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jpeg" ContentType="image/jpeg"/>
  <Default Extension="JPG" ContentType="image/.jp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17.odttf" ContentType="application/vnd.openxmlformats-officedocument.obfuscatedFont"/>
  <Override PartName="/word/fonts/font18.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049C62">
      <w:pPr>
        <w:pStyle w:val="4"/>
      </w:pPr>
      <w:bookmarkStart w:id="0" w:name="_Hlk57883707"/>
    </w:p>
    <w:p w14:paraId="69F03DFB">
      <w:pPr>
        <w:rPr>
          <w:rFonts w:eastAsia="仿宋_GB2312"/>
          <w:color w:val="0070C0"/>
          <w:sz w:val="36"/>
          <w:szCs w:val="36"/>
        </w:rPr>
      </w:pPr>
    </w:p>
    <w:p w14:paraId="4086B2FB">
      <w:pPr>
        <w:rPr>
          <w:rFonts w:eastAsia="仿宋_GB2312"/>
          <w:color w:val="0070C0"/>
          <w:sz w:val="36"/>
          <w:szCs w:val="36"/>
        </w:rPr>
      </w:pPr>
    </w:p>
    <w:p w14:paraId="0A8D1723">
      <w:pPr>
        <w:rPr>
          <w:rFonts w:eastAsia="仿宋_GB2312"/>
          <w:color w:val="0070C0"/>
          <w:sz w:val="36"/>
          <w:szCs w:val="36"/>
        </w:rPr>
      </w:pPr>
    </w:p>
    <w:bookmarkEnd w:id="0"/>
    <w:p w14:paraId="61BD45EC">
      <w:pPr>
        <w:adjustRightInd w:val="0"/>
        <w:snapToGrid w:val="0"/>
        <w:jc w:val="center"/>
        <w:outlineLvl w:val="0"/>
        <w:rPr>
          <w:rFonts w:eastAsia="方正小标宋_GBK"/>
          <w:bCs/>
          <w:sz w:val="72"/>
          <w:szCs w:val="72"/>
        </w:rPr>
      </w:pPr>
      <w:r>
        <w:rPr>
          <w:rFonts w:eastAsia="方正小标宋_GBK"/>
          <w:bCs/>
          <w:sz w:val="72"/>
          <w:szCs w:val="72"/>
        </w:rPr>
        <w:t>建设项目环境影响报告表</w:t>
      </w:r>
    </w:p>
    <w:p w14:paraId="35304F05">
      <w:pPr>
        <w:adjustRightInd w:val="0"/>
        <w:snapToGrid w:val="0"/>
        <w:spacing w:before="192" w:beforeLines="80"/>
        <w:jc w:val="center"/>
        <w:rPr>
          <w:rFonts w:eastAsia="楷体_GB2312"/>
          <w:bCs/>
          <w:sz w:val="48"/>
          <w:szCs w:val="48"/>
        </w:rPr>
      </w:pPr>
      <w:r>
        <w:rPr>
          <w:rFonts w:eastAsia="楷体_GB2312"/>
          <w:bCs/>
          <w:sz w:val="48"/>
          <w:szCs w:val="48"/>
        </w:rPr>
        <w:t>（生态影响类）</w:t>
      </w:r>
    </w:p>
    <w:p w14:paraId="195435F4">
      <w:pPr>
        <w:jc w:val="center"/>
        <w:rPr>
          <w:rFonts w:eastAsia="仿宋"/>
          <w:sz w:val="52"/>
          <w:szCs w:val="52"/>
        </w:rPr>
      </w:pPr>
      <w:bookmarkStart w:id="1" w:name="_Hlk57883728"/>
    </w:p>
    <w:p w14:paraId="4EA6A1E3">
      <w:pPr>
        <w:ind w:firstLine="1040"/>
        <w:rPr>
          <w:rFonts w:eastAsia="仿宋"/>
          <w:sz w:val="44"/>
          <w:szCs w:val="44"/>
        </w:rPr>
      </w:pPr>
    </w:p>
    <w:p w14:paraId="699D6FE8">
      <w:pPr>
        <w:ind w:firstLine="1040"/>
        <w:rPr>
          <w:rFonts w:eastAsia="仿宋"/>
          <w:sz w:val="44"/>
          <w:szCs w:val="44"/>
        </w:rPr>
      </w:pPr>
    </w:p>
    <w:p w14:paraId="57DB0D71">
      <w:pPr>
        <w:ind w:firstLine="1040"/>
        <w:rPr>
          <w:rFonts w:eastAsia="仿宋"/>
          <w:sz w:val="44"/>
          <w:szCs w:val="44"/>
        </w:rPr>
      </w:pPr>
    </w:p>
    <w:p w14:paraId="099F930D">
      <w:pPr>
        <w:ind w:firstLine="1040"/>
        <w:rPr>
          <w:rFonts w:eastAsia="仿宋"/>
          <w:sz w:val="44"/>
          <w:szCs w:val="44"/>
        </w:rPr>
      </w:pPr>
    </w:p>
    <w:bookmarkEnd w:id="1"/>
    <w:p w14:paraId="290F95DA">
      <w:pPr>
        <w:adjustRightInd w:val="0"/>
        <w:snapToGrid w:val="0"/>
        <w:spacing w:line="360" w:lineRule="auto"/>
        <w:ind w:left="3379" w:leftChars="495" w:hanging="2340" w:hangingChars="650"/>
        <w:rPr>
          <w:rFonts w:eastAsia="仿宋_GB2312"/>
          <w:sz w:val="36"/>
          <w:szCs w:val="36"/>
          <w:u w:val="single"/>
        </w:rPr>
      </w:pPr>
      <w:r>
        <w:rPr>
          <w:rFonts w:eastAsia="仿宋_GB2312"/>
          <w:sz w:val="36"/>
          <w:szCs w:val="36"/>
        </w:rPr>
        <w:t>项目名称：</w:t>
      </w:r>
      <w:r>
        <w:rPr>
          <w:rFonts w:hint="eastAsia" w:ascii="仿宋_GB2312" w:eastAsia="仿宋_GB2312"/>
          <w:sz w:val="36"/>
          <w:szCs w:val="36"/>
          <w:u w:val="single"/>
        </w:rPr>
        <w:t>G219八盘水磨至伽师</w:t>
      </w:r>
      <w:r>
        <w:rPr>
          <w:rFonts w:hint="eastAsia" w:ascii="仿宋_GB2312" w:eastAsia="仿宋_GB2312"/>
          <w:sz w:val="36"/>
          <w:szCs w:val="36"/>
          <w:u w:val="single"/>
          <w:lang w:val="en-US" w:eastAsia="zh-CN"/>
        </w:rPr>
        <w:t>沿边通道工程</w:t>
      </w:r>
      <w:r>
        <w:rPr>
          <w:rFonts w:eastAsia="仿宋_GB2312"/>
          <w:sz w:val="36"/>
          <w:szCs w:val="36"/>
          <w:u w:val="single"/>
        </w:rPr>
        <w:t xml:space="preserve">                              </w:t>
      </w:r>
    </w:p>
    <w:p w14:paraId="55F4A37C">
      <w:pPr>
        <w:adjustRightInd w:val="0"/>
        <w:snapToGrid w:val="0"/>
        <w:spacing w:line="360" w:lineRule="auto"/>
        <w:ind w:left="2850" w:leftChars="500" w:hanging="1800" w:hangingChars="500"/>
        <w:rPr>
          <w:rFonts w:eastAsia="仿宋_GB2312"/>
          <w:sz w:val="36"/>
          <w:szCs w:val="36"/>
          <w:u w:val="single"/>
        </w:rPr>
      </w:pPr>
      <w:r>
        <w:rPr>
          <w:rFonts w:eastAsia="仿宋_GB2312"/>
          <w:sz w:val="36"/>
          <w:szCs w:val="36"/>
        </w:rPr>
        <w:t>建设单位（盖章）：</w:t>
      </w:r>
      <w:r>
        <w:rPr>
          <w:rFonts w:hint="eastAsia" w:eastAsia="仿宋_GB2312"/>
          <w:sz w:val="36"/>
          <w:szCs w:val="36"/>
          <w:u w:val="single"/>
        </w:rPr>
        <w:t>新疆维吾尔自治区</w:t>
      </w:r>
      <w:r>
        <w:rPr>
          <w:rFonts w:hint="eastAsia" w:ascii="仿宋_GB2312" w:eastAsia="仿宋_GB2312"/>
          <w:sz w:val="36"/>
          <w:szCs w:val="36"/>
          <w:u w:val="single"/>
        </w:rPr>
        <w:t>交通建设事务中心</w:t>
      </w:r>
      <w:r>
        <w:rPr>
          <w:rFonts w:eastAsia="仿宋_GB2312"/>
          <w:sz w:val="36"/>
          <w:szCs w:val="36"/>
          <w:u w:val="single"/>
        </w:rPr>
        <w:t xml:space="preserve">                   </w:t>
      </w:r>
      <w:r>
        <w:rPr>
          <w:rFonts w:hint="eastAsia" w:eastAsia="仿宋_GB2312"/>
          <w:sz w:val="36"/>
          <w:szCs w:val="36"/>
          <w:u w:val="single"/>
        </w:rPr>
        <w:t xml:space="preserve">        </w:t>
      </w:r>
    </w:p>
    <w:p w14:paraId="2530BD57">
      <w:pPr>
        <w:adjustRightInd w:val="0"/>
        <w:snapToGrid w:val="0"/>
        <w:spacing w:line="360" w:lineRule="auto"/>
        <w:ind w:firstLine="1040"/>
        <w:rPr>
          <w:rFonts w:eastAsia="仿宋_GB2312"/>
          <w:sz w:val="36"/>
          <w:szCs w:val="36"/>
          <w:u w:val="single"/>
        </w:rPr>
      </w:pPr>
      <w:r>
        <w:rPr>
          <w:rFonts w:eastAsia="仿宋_GB2312"/>
          <w:sz w:val="36"/>
          <w:szCs w:val="36"/>
        </w:rPr>
        <w:t>编制日期：</w:t>
      </w:r>
      <w:r>
        <w:rPr>
          <w:rFonts w:hint="eastAsia" w:eastAsia="仿宋_GB2312"/>
          <w:sz w:val="36"/>
          <w:szCs w:val="36"/>
          <w:u w:val="single"/>
        </w:rPr>
        <w:t xml:space="preserve">     </w:t>
      </w:r>
      <w:r>
        <w:rPr>
          <w:rFonts w:eastAsia="仿宋_GB2312"/>
          <w:sz w:val="36"/>
          <w:szCs w:val="36"/>
          <w:u w:val="single"/>
        </w:rPr>
        <w:t xml:space="preserve">    二</w:t>
      </w:r>
      <w:r>
        <w:rPr>
          <w:rFonts w:hint="eastAsia" w:ascii="仿宋_GB2312" w:hAnsi="宋体" w:cs="宋体"/>
          <w:sz w:val="36"/>
          <w:szCs w:val="36"/>
          <w:u w:val="single"/>
        </w:rPr>
        <w:t>〇</w:t>
      </w:r>
      <w:r>
        <w:rPr>
          <w:rFonts w:eastAsia="仿宋_GB2312"/>
          <w:sz w:val="36"/>
          <w:szCs w:val="36"/>
          <w:u w:val="single"/>
        </w:rPr>
        <w:t>二</w:t>
      </w:r>
      <w:r>
        <w:rPr>
          <w:rFonts w:hint="eastAsia" w:eastAsia="仿宋_GB2312"/>
          <w:sz w:val="36"/>
          <w:szCs w:val="36"/>
          <w:u w:val="single"/>
        </w:rPr>
        <w:t>六</w:t>
      </w:r>
      <w:r>
        <w:rPr>
          <w:rFonts w:eastAsia="仿宋_GB2312"/>
          <w:sz w:val="36"/>
          <w:szCs w:val="36"/>
          <w:u w:val="single"/>
        </w:rPr>
        <w:t>年</w:t>
      </w:r>
      <w:r>
        <w:rPr>
          <w:rFonts w:hint="eastAsia" w:eastAsia="仿宋_GB2312"/>
          <w:sz w:val="36"/>
          <w:szCs w:val="36"/>
          <w:u w:val="single"/>
          <w:lang w:val="en-US" w:eastAsia="zh-CN"/>
        </w:rPr>
        <w:t>八</w:t>
      </w:r>
      <w:r>
        <w:rPr>
          <w:rFonts w:eastAsia="仿宋_GB2312"/>
          <w:sz w:val="36"/>
          <w:szCs w:val="36"/>
          <w:u w:val="single"/>
        </w:rPr>
        <w:t xml:space="preserve">月                    </w:t>
      </w:r>
    </w:p>
    <w:p w14:paraId="59DC7EA8">
      <w:pPr>
        <w:adjustRightInd w:val="0"/>
        <w:snapToGrid w:val="0"/>
        <w:spacing w:line="288" w:lineRule="auto"/>
        <w:ind w:firstLine="1040"/>
        <w:rPr>
          <w:rFonts w:eastAsia="仿宋_GB2312"/>
          <w:sz w:val="36"/>
          <w:szCs w:val="36"/>
          <w:u w:val="single"/>
        </w:rPr>
      </w:pPr>
    </w:p>
    <w:p w14:paraId="7AF3DAE1">
      <w:pPr>
        <w:adjustRightInd w:val="0"/>
        <w:snapToGrid w:val="0"/>
        <w:spacing w:line="288" w:lineRule="auto"/>
        <w:ind w:firstLine="1040"/>
        <w:rPr>
          <w:rFonts w:eastAsia="仿宋_GB2312"/>
          <w:sz w:val="36"/>
          <w:szCs w:val="36"/>
        </w:rPr>
      </w:pPr>
    </w:p>
    <w:p w14:paraId="7820E07F">
      <w:pPr>
        <w:adjustRightInd w:val="0"/>
        <w:snapToGrid w:val="0"/>
        <w:spacing w:line="288" w:lineRule="auto"/>
        <w:ind w:firstLine="1040"/>
        <w:rPr>
          <w:rFonts w:eastAsia="仿宋_GB2312"/>
          <w:sz w:val="36"/>
          <w:szCs w:val="36"/>
        </w:rPr>
      </w:pPr>
    </w:p>
    <w:p w14:paraId="20516498">
      <w:pPr>
        <w:adjustRightInd w:val="0"/>
        <w:snapToGrid w:val="0"/>
        <w:spacing w:line="288" w:lineRule="auto"/>
        <w:jc w:val="center"/>
        <w:rPr>
          <w:rFonts w:eastAsia="楷体_GB2312"/>
          <w:sz w:val="36"/>
          <w:szCs w:val="36"/>
        </w:rPr>
      </w:pPr>
      <w:r>
        <w:rPr>
          <w:rFonts w:eastAsia="楷体_GB2312"/>
          <w:sz w:val="36"/>
          <w:szCs w:val="36"/>
        </w:rPr>
        <w:t>中华人民共和国生态环境部制</w:t>
      </w:r>
    </w:p>
    <w:p w14:paraId="6D8CE9D1">
      <w:pPr>
        <w:adjustRightInd w:val="0"/>
        <w:snapToGrid w:val="0"/>
        <w:spacing w:line="288" w:lineRule="auto"/>
        <w:rPr>
          <w:rFonts w:eastAsia="仿宋_GB2312"/>
          <w:color w:val="0070C0"/>
          <w:sz w:val="36"/>
          <w:szCs w:val="36"/>
        </w:rPr>
        <w:sectPr>
          <w:footerReference r:id="rId4" w:type="default"/>
          <w:headerReference r:id="rId3" w:type="even"/>
          <w:footerReference r:id="rId5" w:type="even"/>
          <w:pgSz w:w="11906" w:h="16838"/>
          <w:pgMar w:top="1701" w:right="1531" w:bottom="1701" w:left="1531" w:header="851" w:footer="1077" w:gutter="0"/>
          <w:pgBorders>
            <w:top w:val="none" w:sz="0" w:space="0"/>
            <w:left w:val="none" w:sz="0" w:space="0"/>
            <w:bottom w:val="none" w:sz="0" w:space="0"/>
            <w:right w:val="none" w:sz="0" w:space="0"/>
          </w:pgBorders>
          <w:pgNumType w:start="21"/>
          <w:cols w:space="720" w:num="1"/>
          <w:docGrid w:linePitch="312" w:charSpace="0"/>
        </w:sectPr>
      </w:pPr>
    </w:p>
    <w:p w14:paraId="51F2E585">
      <w:pPr>
        <w:pStyle w:val="20"/>
        <w:jc w:val="center"/>
        <w:outlineLvl w:val="0"/>
        <w:rPr>
          <w:rFonts w:ascii="Times New Roman" w:hAnsi="Times New Roman" w:eastAsia="黑体"/>
          <w:snapToGrid w:val="0"/>
          <w:sz w:val="30"/>
          <w:szCs w:val="30"/>
        </w:rPr>
      </w:pPr>
      <w:r>
        <w:rPr>
          <w:rFonts w:ascii="Times New Roman" w:hAnsi="Times New Roman" w:eastAsia="黑体"/>
          <w:snapToGrid w:val="0"/>
          <w:sz w:val="30"/>
          <w:szCs w:val="30"/>
        </w:rPr>
        <w:t>一、建设项目基本情况</w:t>
      </w:r>
    </w:p>
    <w:tbl>
      <w:tblPr>
        <w:tblStyle w:val="22"/>
        <w:tblW w:w="9072" w:type="dxa"/>
        <w:tblInd w:w="16"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560"/>
        <w:gridCol w:w="2612"/>
        <w:gridCol w:w="2273"/>
        <w:gridCol w:w="2627"/>
      </w:tblGrid>
      <w:tr w14:paraId="762337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84" w:hRule="atLeast"/>
        </w:trPr>
        <w:tc>
          <w:tcPr>
            <w:tcW w:w="1560" w:type="dxa"/>
            <w:tcMar>
              <w:top w:w="16" w:type="dxa"/>
              <w:left w:w="16" w:type="dxa"/>
              <w:right w:w="16" w:type="dxa"/>
            </w:tcMar>
            <w:vAlign w:val="center"/>
          </w:tcPr>
          <w:p w14:paraId="6E5BFD0D">
            <w:pPr>
              <w:adjustRightInd w:val="0"/>
              <w:snapToGrid w:val="0"/>
              <w:spacing w:line="300" w:lineRule="auto"/>
              <w:jc w:val="center"/>
              <w:rPr>
                <w:sz w:val="24"/>
              </w:rPr>
            </w:pPr>
            <w:r>
              <w:rPr>
                <w:sz w:val="24"/>
              </w:rPr>
              <w:t>建设项目名称</w:t>
            </w:r>
          </w:p>
        </w:tc>
        <w:tc>
          <w:tcPr>
            <w:tcW w:w="7512" w:type="dxa"/>
            <w:gridSpan w:val="3"/>
            <w:vAlign w:val="center"/>
          </w:tcPr>
          <w:p w14:paraId="5A07BE7A">
            <w:pPr>
              <w:adjustRightInd w:val="0"/>
              <w:snapToGrid w:val="0"/>
              <w:spacing w:line="300" w:lineRule="auto"/>
              <w:jc w:val="center"/>
              <w:rPr>
                <w:sz w:val="24"/>
              </w:rPr>
            </w:pPr>
            <w:r>
              <w:rPr>
                <w:rFonts w:hint="eastAsia" w:hAnsi="宋体"/>
                <w:sz w:val="24"/>
              </w:rPr>
              <w:t>G219八盘水磨至伽师沿边通道工程</w:t>
            </w:r>
          </w:p>
        </w:tc>
      </w:tr>
      <w:tr w14:paraId="500EF6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55" w:hRule="atLeast"/>
        </w:trPr>
        <w:tc>
          <w:tcPr>
            <w:tcW w:w="1560" w:type="dxa"/>
            <w:tcMar>
              <w:top w:w="16" w:type="dxa"/>
              <w:left w:w="16" w:type="dxa"/>
              <w:right w:w="16" w:type="dxa"/>
            </w:tcMar>
            <w:vAlign w:val="center"/>
          </w:tcPr>
          <w:p w14:paraId="401E63AB">
            <w:pPr>
              <w:adjustRightInd w:val="0"/>
              <w:snapToGrid w:val="0"/>
              <w:spacing w:line="300" w:lineRule="auto"/>
              <w:jc w:val="center"/>
              <w:rPr>
                <w:sz w:val="24"/>
              </w:rPr>
            </w:pPr>
            <w:r>
              <w:rPr>
                <w:sz w:val="24"/>
              </w:rPr>
              <w:t>项目代码</w:t>
            </w:r>
          </w:p>
        </w:tc>
        <w:tc>
          <w:tcPr>
            <w:tcW w:w="7512" w:type="dxa"/>
            <w:gridSpan w:val="3"/>
            <w:vAlign w:val="center"/>
          </w:tcPr>
          <w:p w14:paraId="68E26379">
            <w:pPr>
              <w:adjustRightInd w:val="0"/>
              <w:snapToGrid w:val="0"/>
              <w:spacing w:line="300" w:lineRule="auto"/>
              <w:jc w:val="center"/>
              <w:rPr>
                <w:sz w:val="24"/>
              </w:rPr>
            </w:pPr>
            <w:r>
              <w:rPr>
                <w:rFonts w:hint="eastAsia"/>
                <w:sz w:val="24"/>
              </w:rPr>
              <w:t>2512-653001-18-01-618249</w:t>
            </w:r>
          </w:p>
        </w:tc>
      </w:tr>
      <w:tr w14:paraId="12EED4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62" w:hRule="atLeast"/>
        </w:trPr>
        <w:tc>
          <w:tcPr>
            <w:tcW w:w="1560" w:type="dxa"/>
            <w:tcMar>
              <w:top w:w="16" w:type="dxa"/>
              <w:left w:w="16" w:type="dxa"/>
              <w:right w:w="16" w:type="dxa"/>
            </w:tcMar>
            <w:vAlign w:val="center"/>
          </w:tcPr>
          <w:p w14:paraId="690C67B3">
            <w:pPr>
              <w:adjustRightInd w:val="0"/>
              <w:snapToGrid w:val="0"/>
              <w:spacing w:line="300" w:lineRule="auto"/>
              <w:jc w:val="center"/>
              <w:rPr>
                <w:spacing w:val="-2"/>
                <w:sz w:val="24"/>
              </w:rPr>
            </w:pPr>
            <w:r>
              <w:rPr>
                <w:spacing w:val="-2"/>
                <w:sz w:val="24"/>
              </w:rPr>
              <w:t>建设单位联系人</w:t>
            </w:r>
          </w:p>
        </w:tc>
        <w:tc>
          <w:tcPr>
            <w:tcW w:w="2612" w:type="dxa"/>
            <w:vAlign w:val="center"/>
          </w:tcPr>
          <w:p w14:paraId="1BF33BE9">
            <w:pPr>
              <w:adjustRightInd w:val="0"/>
              <w:snapToGrid w:val="0"/>
              <w:spacing w:line="300" w:lineRule="auto"/>
              <w:jc w:val="center"/>
              <w:rPr>
                <w:sz w:val="24"/>
              </w:rPr>
            </w:pPr>
            <w:r>
              <w:rPr>
                <w:rFonts w:hint="eastAsia"/>
                <w:sz w:val="24"/>
              </w:rPr>
              <w:t>阿力亚 阿不都</w:t>
            </w:r>
          </w:p>
        </w:tc>
        <w:tc>
          <w:tcPr>
            <w:tcW w:w="2273" w:type="dxa"/>
            <w:vAlign w:val="center"/>
          </w:tcPr>
          <w:p w14:paraId="5D4E131D">
            <w:pPr>
              <w:adjustRightInd w:val="0"/>
              <w:snapToGrid w:val="0"/>
              <w:spacing w:line="300" w:lineRule="auto"/>
              <w:jc w:val="center"/>
              <w:rPr>
                <w:sz w:val="24"/>
              </w:rPr>
            </w:pPr>
            <w:r>
              <w:rPr>
                <w:sz w:val="24"/>
              </w:rPr>
              <w:t>联系方式</w:t>
            </w:r>
          </w:p>
        </w:tc>
        <w:tc>
          <w:tcPr>
            <w:tcW w:w="2627" w:type="dxa"/>
            <w:vAlign w:val="center"/>
          </w:tcPr>
          <w:p w14:paraId="17402597">
            <w:pPr>
              <w:adjustRightInd w:val="0"/>
              <w:snapToGrid w:val="0"/>
              <w:spacing w:line="300" w:lineRule="auto"/>
              <w:jc w:val="center"/>
              <w:rPr>
                <w:sz w:val="24"/>
              </w:rPr>
            </w:pPr>
            <w:r>
              <w:rPr>
                <w:rFonts w:hint="eastAsia"/>
                <w:sz w:val="24"/>
              </w:rPr>
              <w:t>18599150715</w:t>
            </w:r>
          </w:p>
        </w:tc>
      </w:tr>
      <w:tr w14:paraId="7A47C7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62" w:hRule="atLeast"/>
        </w:trPr>
        <w:tc>
          <w:tcPr>
            <w:tcW w:w="1560" w:type="dxa"/>
            <w:tcMar>
              <w:top w:w="16" w:type="dxa"/>
              <w:left w:w="16" w:type="dxa"/>
              <w:right w:w="16" w:type="dxa"/>
            </w:tcMar>
            <w:vAlign w:val="center"/>
          </w:tcPr>
          <w:p w14:paraId="6F59C56D">
            <w:pPr>
              <w:adjustRightInd w:val="0"/>
              <w:snapToGrid w:val="0"/>
              <w:spacing w:line="300" w:lineRule="auto"/>
              <w:jc w:val="center"/>
              <w:rPr>
                <w:sz w:val="24"/>
              </w:rPr>
            </w:pPr>
            <w:r>
              <w:rPr>
                <w:sz w:val="24"/>
              </w:rPr>
              <w:t>建设地点</w:t>
            </w:r>
          </w:p>
        </w:tc>
        <w:tc>
          <w:tcPr>
            <w:tcW w:w="7512" w:type="dxa"/>
            <w:gridSpan w:val="3"/>
            <w:vAlign w:val="center"/>
          </w:tcPr>
          <w:p w14:paraId="61F7CB86">
            <w:pPr>
              <w:adjustRightInd w:val="0"/>
              <w:snapToGrid w:val="0"/>
              <w:spacing w:line="300" w:lineRule="auto"/>
              <w:jc w:val="center"/>
              <w:rPr>
                <w:rFonts w:hint="eastAsia" w:eastAsia="宋体"/>
                <w:color w:val="0070C0"/>
                <w:sz w:val="24"/>
                <w:lang w:val="en-US" w:eastAsia="zh-CN"/>
              </w:rPr>
            </w:pPr>
            <w:r>
              <w:rPr>
                <w:rFonts w:hint="eastAsia" w:hAnsi="宋体"/>
                <w:sz w:val="24"/>
                <w:lang w:val="en-US" w:eastAsia="zh-CN"/>
              </w:rPr>
              <w:t>新疆生产建设兵团草湖项目区红旗农场以及</w:t>
            </w:r>
            <w:r>
              <w:rPr>
                <w:rFonts w:hint="eastAsia" w:hAnsi="宋体"/>
                <w:sz w:val="24"/>
              </w:rPr>
              <w:t>新疆维吾尔自治区克孜勒苏柯尔克孜自治州阿图什市，喀什地区伽师县、岳普湖县</w:t>
            </w:r>
          </w:p>
        </w:tc>
      </w:tr>
      <w:tr w14:paraId="7B77B5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55" w:hRule="atLeast"/>
        </w:trPr>
        <w:tc>
          <w:tcPr>
            <w:tcW w:w="1560" w:type="dxa"/>
            <w:tcMar>
              <w:top w:w="16" w:type="dxa"/>
              <w:left w:w="16" w:type="dxa"/>
              <w:right w:w="16" w:type="dxa"/>
            </w:tcMar>
            <w:vAlign w:val="center"/>
          </w:tcPr>
          <w:p w14:paraId="2EB56C80">
            <w:pPr>
              <w:adjustRightInd w:val="0"/>
              <w:snapToGrid w:val="0"/>
              <w:spacing w:line="300" w:lineRule="auto"/>
              <w:jc w:val="center"/>
              <w:rPr>
                <w:sz w:val="24"/>
              </w:rPr>
            </w:pPr>
            <w:r>
              <w:rPr>
                <w:sz w:val="24"/>
              </w:rPr>
              <w:t>地理坐标</w:t>
            </w:r>
          </w:p>
        </w:tc>
        <w:tc>
          <w:tcPr>
            <w:tcW w:w="7512" w:type="dxa"/>
            <w:gridSpan w:val="3"/>
            <w:vAlign w:val="center"/>
          </w:tcPr>
          <w:p w14:paraId="11E26F47">
            <w:pPr>
              <w:autoSpaceDE w:val="0"/>
              <w:autoSpaceDN w:val="0"/>
              <w:adjustRightInd w:val="0"/>
              <w:spacing w:line="300" w:lineRule="auto"/>
              <w:jc w:val="center"/>
              <w:rPr>
                <w:color w:val="0070C0"/>
                <w:sz w:val="24"/>
              </w:rPr>
            </w:pPr>
          </w:p>
          <w:p w14:paraId="6CE0D97D">
            <w:pPr>
              <w:autoSpaceDE w:val="0"/>
              <w:autoSpaceDN w:val="0"/>
              <w:adjustRightInd w:val="0"/>
              <w:spacing w:line="300" w:lineRule="auto"/>
              <w:jc w:val="center"/>
              <w:rPr>
                <w:color w:val="0070C0"/>
                <w:sz w:val="24"/>
              </w:rPr>
            </w:pPr>
          </w:p>
          <w:p w14:paraId="103E5586">
            <w:pPr>
              <w:autoSpaceDE w:val="0"/>
              <w:autoSpaceDN w:val="0"/>
              <w:adjustRightInd w:val="0"/>
              <w:spacing w:line="300" w:lineRule="auto"/>
              <w:jc w:val="center"/>
              <w:rPr>
                <w:color w:val="0070C0"/>
                <w:sz w:val="24"/>
              </w:rPr>
            </w:pPr>
          </w:p>
        </w:tc>
      </w:tr>
      <w:tr w14:paraId="10996F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15" w:hRule="atLeast"/>
        </w:trPr>
        <w:tc>
          <w:tcPr>
            <w:tcW w:w="1560" w:type="dxa"/>
            <w:tcMar>
              <w:top w:w="16" w:type="dxa"/>
              <w:left w:w="16" w:type="dxa"/>
              <w:right w:w="16" w:type="dxa"/>
            </w:tcMar>
            <w:vAlign w:val="center"/>
          </w:tcPr>
          <w:p w14:paraId="3A8DD8D2">
            <w:pPr>
              <w:adjustRightInd w:val="0"/>
              <w:snapToGrid w:val="0"/>
              <w:spacing w:line="300" w:lineRule="auto"/>
              <w:jc w:val="center"/>
              <w:rPr>
                <w:sz w:val="24"/>
              </w:rPr>
            </w:pPr>
            <w:r>
              <w:rPr>
                <w:sz w:val="24"/>
              </w:rPr>
              <w:t>建设项目</w:t>
            </w:r>
          </w:p>
          <w:p w14:paraId="6EC3BA64">
            <w:pPr>
              <w:adjustRightInd w:val="0"/>
              <w:snapToGrid w:val="0"/>
              <w:spacing w:line="300" w:lineRule="auto"/>
              <w:jc w:val="center"/>
              <w:rPr>
                <w:sz w:val="24"/>
              </w:rPr>
            </w:pPr>
            <w:r>
              <w:rPr>
                <w:sz w:val="24"/>
              </w:rPr>
              <w:t>行业类别</w:t>
            </w:r>
          </w:p>
        </w:tc>
        <w:tc>
          <w:tcPr>
            <w:tcW w:w="2612" w:type="dxa"/>
            <w:vAlign w:val="center"/>
          </w:tcPr>
          <w:p w14:paraId="65D280D1">
            <w:pPr>
              <w:autoSpaceDE w:val="0"/>
              <w:autoSpaceDN w:val="0"/>
              <w:adjustRightInd w:val="0"/>
              <w:spacing w:line="300" w:lineRule="auto"/>
              <w:jc w:val="left"/>
              <w:rPr>
                <w:kern w:val="0"/>
                <w:sz w:val="24"/>
              </w:rPr>
            </w:pPr>
            <w:r>
              <w:rPr>
                <w:kern w:val="0"/>
                <w:sz w:val="24"/>
              </w:rPr>
              <w:t>五十二、交通运输业、</w:t>
            </w:r>
          </w:p>
          <w:p w14:paraId="57A4C0BE">
            <w:pPr>
              <w:adjustRightInd w:val="0"/>
              <w:snapToGrid w:val="0"/>
              <w:spacing w:line="300" w:lineRule="auto"/>
              <w:jc w:val="left"/>
              <w:rPr>
                <w:sz w:val="24"/>
              </w:rPr>
            </w:pPr>
            <w:r>
              <w:rPr>
                <w:kern w:val="0"/>
                <w:sz w:val="24"/>
              </w:rPr>
              <w:t>管道运输业</w:t>
            </w:r>
            <w:r>
              <w:rPr>
                <w:rFonts w:hint="eastAsia"/>
                <w:kern w:val="0"/>
                <w:sz w:val="24"/>
              </w:rPr>
              <w:t>-</w:t>
            </w:r>
            <w:r>
              <w:rPr>
                <w:kern w:val="0"/>
                <w:sz w:val="24"/>
              </w:rPr>
              <w:t>130</w:t>
            </w:r>
            <w:r>
              <w:rPr>
                <w:sz w:val="24"/>
              </w:rPr>
              <w:t>等级公路（不含维护；不含生命救援、应急保通工程以及国防交通保障项目；不含改扩建四级公路）</w:t>
            </w:r>
          </w:p>
        </w:tc>
        <w:tc>
          <w:tcPr>
            <w:tcW w:w="2273" w:type="dxa"/>
            <w:vAlign w:val="center"/>
          </w:tcPr>
          <w:p w14:paraId="66832BA9">
            <w:pPr>
              <w:adjustRightInd w:val="0"/>
              <w:snapToGrid w:val="0"/>
              <w:spacing w:line="300" w:lineRule="auto"/>
              <w:jc w:val="center"/>
              <w:rPr>
                <w:sz w:val="24"/>
              </w:rPr>
            </w:pPr>
            <w:r>
              <w:rPr>
                <w:sz w:val="24"/>
              </w:rPr>
              <w:t>用地（用海）面积（m</w:t>
            </w:r>
            <w:r>
              <w:rPr>
                <w:sz w:val="24"/>
                <w:vertAlign w:val="superscript"/>
              </w:rPr>
              <w:t>2</w:t>
            </w:r>
            <w:r>
              <w:rPr>
                <w:sz w:val="24"/>
              </w:rPr>
              <w:t>）/长度（km）</w:t>
            </w:r>
          </w:p>
        </w:tc>
        <w:tc>
          <w:tcPr>
            <w:tcW w:w="2627" w:type="dxa"/>
            <w:vAlign w:val="center"/>
          </w:tcPr>
          <w:p w14:paraId="512EEF26">
            <w:pPr>
              <w:adjustRightInd w:val="0"/>
              <w:snapToGrid w:val="0"/>
              <w:spacing w:line="300" w:lineRule="auto"/>
              <w:jc w:val="center"/>
              <w:rPr>
                <w:rFonts w:hint="default" w:eastAsia="宋体"/>
                <w:color w:val="0070C0"/>
                <w:sz w:val="24"/>
                <w:lang w:val="en-US" w:eastAsia="zh-CN"/>
              </w:rPr>
            </w:pPr>
            <w:r>
              <w:rPr>
                <w:rFonts w:hint="eastAsia"/>
                <w:sz w:val="24"/>
                <w:highlight w:val="none"/>
                <w:lang w:val="en-US" w:eastAsia="zh-CN"/>
              </w:rPr>
              <w:t>3063200</w:t>
            </w:r>
            <w:r>
              <w:rPr>
                <w:color w:val="0070C0"/>
                <w:kern w:val="0"/>
                <w:sz w:val="24"/>
                <w:highlight w:val="none"/>
              </w:rPr>
              <w:t>/</w:t>
            </w:r>
            <w:r>
              <w:rPr>
                <w:rFonts w:hint="eastAsia"/>
                <w:sz w:val="24"/>
                <w:highlight w:val="none"/>
                <w:lang w:val="en-US" w:eastAsia="zh-CN"/>
              </w:rPr>
              <w:t>70.078</w:t>
            </w:r>
          </w:p>
        </w:tc>
      </w:tr>
      <w:tr w14:paraId="4E3A62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04" w:hRule="atLeast"/>
        </w:trPr>
        <w:tc>
          <w:tcPr>
            <w:tcW w:w="1560" w:type="dxa"/>
            <w:tcMar>
              <w:top w:w="16" w:type="dxa"/>
              <w:left w:w="16" w:type="dxa"/>
              <w:right w:w="16" w:type="dxa"/>
            </w:tcMar>
            <w:vAlign w:val="center"/>
          </w:tcPr>
          <w:p w14:paraId="694BF508">
            <w:pPr>
              <w:adjustRightInd w:val="0"/>
              <w:snapToGrid w:val="0"/>
              <w:spacing w:line="300" w:lineRule="auto"/>
              <w:jc w:val="center"/>
              <w:rPr>
                <w:sz w:val="24"/>
              </w:rPr>
            </w:pPr>
            <w:r>
              <w:rPr>
                <w:sz w:val="24"/>
              </w:rPr>
              <w:t>建设性质</w:t>
            </w:r>
          </w:p>
        </w:tc>
        <w:tc>
          <w:tcPr>
            <w:tcW w:w="2612" w:type="dxa"/>
            <w:vAlign w:val="center"/>
          </w:tcPr>
          <w:p w14:paraId="22041743">
            <w:pPr>
              <w:adjustRightInd w:val="0"/>
              <w:snapToGrid w:val="0"/>
              <w:spacing w:line="300" w:lineRule="auto"/>
              <w:jc w:val="left"/>
              <w:rPr>
                <w:rFonts w:hint="eastAsia" w:asciiTheme="minorEastAsia" w:hAnsiTheme="minorEastAsia" w:eastAsiaTheme="minorEastAsia"/>
                <w:sz w:val="24"/>
              </w:rPr>
            </w:pPr>
            <w:r>
              <w:rPr>
                <w:rFonts w:asciiTheme="minorEastAsia" w:hAnsiTheme="minorEastAsia" w:eastAsiaTheme="minorEastAsia"/>
                <w:sz w:val="24"/>
              </w:rPr>
              <w:t>□新建（迁建）</w:t>
            </w:r>
          </w:p>
          <w:p w14:paraId="11FD39A3">
            <w:pPr>
              <w:adjustRightInd w:val="0"/>
              <w:snapToGrid w:val="0"/>
              <w:spacing w:line="300" w:lineRule="auto"/>
              <w:jc w:val="left"/>
              <w:rPr>
                <w:rFonts w:hint="eastAsia" w:asciiTheme="minorEastAsia" w:hAnsiTheme="minorEastAsia" w:eastAsiaTheme="minorEastAsia"/>
                <w:sz w:val="24"/>
              </w:rPr>
            </w:pPr>
            <w:r>
              <w:rPr>
                <w:rFonts w:ascii="Segoe UI Symbol" w:hAnsi="Segoe UI Symbol" w:cs="Segoe UI Symbol" w:eastAsiaTheme="minorEastAsia"/>
                <w:kern w:val="0"/>
                <w:sz w:val="24"/>
              </w:rPr>
              <w:t>☑</w:t>
            </w:r>
            <w:r>
              <w:rPr>
                <w:rFonts w:asciiTheme="minorEastAsia" w:hAnsiTheme="minorEastAsia" w:eastAsiaTheme="minorEastAsia"/>
                <w:sz w:val="24"/>
              </w:rPr>
              <w:t>改建</w:t>
            </w:r>
          </w:p>
          <w:p w14:paraId="3A98E2F4">
            <w:pPr>
              <w:adjustRightInd w:val="0"/>
              <w:snapToGrid w:val="0"/>
              <w:spacing w:line="300" w:lineRule="auto"/>
              <w:jc w:val="left"/>
              <w:rPr>
                <w:rFonts w:hint="eastAsia" w:asciiTheme="minorEastAsia" w:hAnsiTheme="minorEastAsia" w:eastAsiaTheme="minorEastAsia"/>
                <w:sz w:val="24"/>
              </w:rPr>
            </w:pPr>
            <w:r>
              <w:rPr>
                <w:rFonts w:ascii="Segoe UI Symbol" w:hAnsi="Segoe UI Symbol" w:cs="Segoe UI Symbol" w:eastAsiaTheme="minorEastAsia"/>
                <w:kern w:val="0"/>
                <w:sz w:val="24"/>
              </w:rPr>
              <w:t>☑</w:t>
            </w:r>
            <w:r>
              <w:rPr>
                <w:rFonts w:asciiTheme="minorEastAsia" w:hAnsiTheme="minorEastAsia" w:eastAsiaTheme="minorEastAsia"/>
                <w:sz w:val="24"/>
              </w:rPr>
              <w:t>扩建</w:t>
            </w:r>
          </w:p>
          <w:p w14:paraId="16478216">
            <w:pPr>
              <w:adjustRightInd w:val="0"/>
              <w:snapToGrid w:val="0"/>
              <w:spacing w:line="300" w:lineRule="auto"/>
              <w:jc w:val="left"/>
              <w:rPr>
                <w:sz w:val="24"/>
              </w:rPr>
            </w:pPr>
            <w:r>
              <w:rPr>
                <w:rFonts w:asciiTheme="minorEastAsia" w:hAnsiTheme="minorEastAsia" w:eastAsiaTheme="minorEastAsia"/>
                <w:sz w:val="24"/>
              </w:rPr>
              <w:t>□技术改造</w:t>
            </w:r>
          </w:p>
        </w:tc>
        <w:tc>
          <w:tcPr>
            <w:tcW w:w="2273" w:type="dxa"/>
            <w:vAlign w:val="center"/>
          </w:tcPr>
          <w:p w14:paraId="5056387E">
            <w:pPr>
              <w:adjustRightInd w:val="0"/>
              <w:snapToGrid w:val="0"/>
              <w:spacing w:line="300" w:lineRule="auto"/>
              <w:jc w:val="center"/>
              <w:rPr>
                <w:sz w:val="24"/>
              </w:rPr>
            </w:pPr>
            <w:r>
              <w:rPr>
                <w:sz w:val="24"/>
              </w:rPr>
              <w:t>建设项目</w:t>
            </w:r>
          </w:p>
          <w:p w14:paraId="16C223F3">
            <w:pPr>
              <w:adjustRightInd w:val="0"/>
              <w:snapToGrid w:val="0"/>
              <w:spacing w:line="300" w:lineRule="auto"/>
              <w:jc w:val="center"/>
              <w:rPr>
                <w:sz w:val="24"/>
              </w:rPr>
            </w:pPr>
            <w:r>
              <w:rPr>
                <w:sz w:val="24"/>
              </w:rPr>
              <w:t>申报情形</w:t>
            </w:r>
          </w:p>
        </w:tc>
        <w:tc>
          <w:tcPr>
            <w:tcW w:w="2627" w:type="dxa"/>
            <w:vAlign w:val="center"/>
          </w:tcPr>
          <w:p w14:paraId="30E9E384">
            <w:pPr>
              <w:adjustRightInd w:val="0"/>
              <w:snapToGrid w:val="0"/>
              <w:spacing w:line="300" w:lineRule="auto"/>
              <w:jc w:val="left"/>
              <w:rPr>
                <w:rFonts w:hint="eastAsia" w:asciiTheme="majorEastAsia" w:hAnsiTheme="majorEastAsia" w:eastAsiaTheme="majorEastAsia"/>
                <w:sz w:val="24"/>
              </w:rPr>
            </w:pPr>
            <w:r>
              <w:rPr>
                <w:rFonts w:ascii="Segoe UI Symbol" w:hAnsi="Segoe UI Symbol" w:cs="Segoe UI Symbol" w:eastAsiaTheme="majorEastAsia"/>
                <w:kern w:val="0"/>
                <w:sz w:val="24"/>
              </w:rPr>
              <w:t>☑</w:t>
            </w:r>
            <w:r>
              <w:rPr>
                <w:rFonts w:asciiTheme="majorEastAsia" w:hAnsiTheme="majorEastAsia" w:eastAsiaTheme="majorEastAsia"/>
                <w:sz w:val="24"/>
              </w:rPr>
              <w:t>首次申报项目</w:t>
            </w:r>
          </w:p>
          <w:p w14:paraId="17CA0850">
            <w:pPr>
              <w:adjustRightInd w:val="0"/>
              <w:snapToGrid w:val="0"/>
              <w:spacing w:line="300" w:lineRule="auto"/>
              <w:jc w:val="left"/>
              <w:rPr>
                <w:rFonts w:hint="eastAsia" w:asciiTheme="majorEastAsia" w:hAnsiTheme="majorEastAsia" w:eastAsiaTheme="majorEastAsia"/>
                <w:sz w:val="24"/>
              </w:rPr>
            </w:pPr>
            <w:r>
              <w:rPr>
                <w:rFonts w:asciiTheme="majorEastAsia" w:hAnsiTheme="majorEastAsia" w:eastAsiaTheme="majorEastAsia"/>
                <w:sz w:val="24"/>
              </w:rPr>
              <w:t>□不予批准后再次申报项目</w:t>
            </w:r>
          </w:p>
          <w:p w14:paraId="3CAD91DF">
            <w:pPr>
              <w:adjustRightInd w:val="0"/>
              <w:snapToGrid w:val="0"/>
              <w:spacing w:line="300" w:lineRule="auto"/>
              <w:jc w:val="left"/>
              <w:rPr>
                <w:rFonts w:hint="eastAsia" w:asciiTheme="majorEastAsia" w:hAnsiTheme="majorEastAsia" w:eastAsiaTheme="majorEastAsia"/>
                <w:sz w:val="24"/>
              </w:rPr>
            </w:pPr>
            <w:r>
              <w:rPr>
                <w:rFonts w:asciiTheme="majorEastAsia" w:hAnsiTheme="majorEastAsia" w:eastAsiaTheme="majorEastAsia"/>
                <w:sz w:val="24"/>
              </w:rPr>
              <w:t>□超五年重新审核项目</w:t>
            </w:r>
          </w:p>
          <w:p w14:paraId="69C1E350">
            <w:pPr>
              <w:adjustRightInd w:val="0"/>
              <w:snapToGrid w:val="0"/>
              <w:spacing w:line="300" w:lineRule="auto"/>
              <w:rPr>
                <w:sz w:val="24"/>
              </w:rPr>
            </w:pPr>
            <w:r>
              <w:rPr>
                <w:rFonts w:asciiTheme="majorEastAsia" w:hAnsiTheme="majorEastAsia" w:eastAsiaTheme="majorEastAsia"/>
                <w:sz w:val="24"/>
              </w:rPr>
              <w:t>□重大变动重新报批项目</w:t>
            </w:r>
          </w:p>
        </w:tc>
      </w:tr>
      <w:tr w14:paraId="43E0A9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62" w:hRule="atLeast"/>
        </w:trPr>
        <w:tc>
          <w:tcPr>
            <w:tcW w:w="1560" w:type="dxa"/>
            <w:tcMar>
              <w:top w:w="16" w:type="dxa"/>
              <w:left w:w="16" w:type="dxa"/>
              <w:right w:w="16" w:type="dxa"/>
            </w:tcMar>
            <w:vAlign w:val="center"/>
          </w:tcPr>
          <w:p w14:paraId="30F32440">
            <w:pPr>
              <w:adjustRightInd w:val="0"/>
              <w:snapToGrid w:val="0"/>
              <w:spacing w:line="300" w:lineRule="auto"/>
              <w:jc w:val="center"/>
              <w:rPr>
                <w:sz w:val="24"/>
              </w:rPr>
            </w:pPr>
            <w:r>
              <w:rPr>
                <w:sz w:val="24"/>
              </w:rPr>
              <w:t>项目审批（核准/备案）部门（选填）</w:t>
            </w:r>
          </w:p>
        </w:tc>
        <w:tc>
          <w:tcPr>
            <w:tcW w:w="2612" w:type="dxa"/>
            <w:vAlign w:val="center"/>
          </w:tcPr>
          <w:p w14:paraId="7AC27D85">
            <w:pPr>
              <w:adjustRightInd w:val="0"/>
              <w:snapToGrid w:val="0"/>
              <w:spacing w:line="300" w:lineRule="auto"/>
              <w:jc w:val="center"/>
              <w:rPr>
                <w:sz w:val="24"/>
              </w:rPr>
            </w:pPr>
          </w:p>
        </w:tc>
        <w:tc>
          <w:tcPr>
            <w:tcW w:w="2273" w:type="dxa"/>
            <w:vAlign w:val="center"/>
          </w:tcPr>
          <w:p w14:paraId="12564218">
            <w:pPr>
              <w:adjustRightInd w:val="0"/>
              <w:snapToGrid w:val="0"/>
              <w:spacing w:line="300" w:lineRule="auto"/>
              <w:jc w:val="center"/>
              <w:rPr>
                <w:sz w:val="24"/>
              </w:rPr>
            </w:pPr>
            <w:r>
              <w:rPr>
                <w:sz w:val="24"/>
              </w:rPr>
              <w:t>项目审批（核准/</w:t>
            </w:r>
          </w:p>
          <w:p w14:paraId="1232400E">
            <w:pPr>
              <w:adjustRightInd w:val="0"/>
              <w:snapToGrid w:val="0"/>
              <w:spacing w:line="300" w:lineRule="auto"/>
              <w:jc w:val="center"/>
              <w:rPr>
                <w:sz w:val="24"/>
              </w:rPr>
            </w:pPr>
            <w:r>
              <w:rPr>
                <w:sz w:val="24"/>
              </w:rPr>
              <w:t>备案）文号（选填）</w:t>
            </w:r>
          </w:p>
        </w:tc>
        <w:tc>
          <w:tcPr>
            <w:tcW w:w="2627" w:type="dxa"/>
            <w:vAlign w:val="center"/>
          </w:tcPr>
          <w:p w14:paraId="2CD00871">
            <w:pPr>
              <w:adjustRightInd w:val="0"/>
              <w:snapToGrid w:val="0"/>
              <w:spacing w:line="300" w:lineRule="auto"/>
              <w:jc w:val="center"/>
              <w:rPr>
                <w:sz w:val="24"/>
              </w:rPr>
            </w:pPr>
          </w:p>
        </w:tc>
      </w:tr>
      <w:tr w14:paraId="6BB3F9D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55" w:hRule="atLeast"/>
        </w:trPr>
        <w:tc>
          <w:tcPr>
            <w:tcW w:w="1560" w:type="dxa"/>
            <w:tcMar>
              <w:top w:w="16" w:type="dxa"/>
              <w:left w:w="16" w:type="dxa"/>
              <w:right w:w="16" w:type="dxa"/>
            </w:tcMar>
            <w:vAlign w:val="center"/>
          </w:tcPr>
          <w:p w14:paraId="1CC3F9F4">
            <w:pPr>
              <w:adjustRightInd w:val="0"/>
              <w:snapToGrid w:val="0"/>
              <w:spacing w:line="300" w:lineRule="auto"/>
              <w:jc w:val="center"/>
              <w:rPr>
                <w:sz w:val="24"/>
              </w:rPr>
            </w:pPr>
            <w:r>
              <w:rPr>
                <w:sz w:val="24"/>
              </w:rPr>
              <w:t>总投资（万元）</w:t>
            </w:r>
          </w:p>
        </w:tc>
        <w:tc>
          <w:tcPr>
            <w:tcW w:w="2612" w:type="dxa"/>
            <w:vAlign w:val="center"/>
          </w:tcPr>
          <w:p w14:paraId="2558BF43">
            <w:pPr>
              <w:adjustRightInd w:val="0"/>
              <w:snapToGrid w:val="0"/>
              <w:spacing w:line="300" w:lineRule="auto"/>
              <w:jc w:val="center"/>
              <w:rPr>
                <w:rFonts w:hint="default" w:eastAsia="宋体"/>
                <w:sz w:val="24"/>
                <w:lang w:val="en-US" w:eastAsia="zh-CN"/>
              </w:rPr>
            </w:pPr>
            <w:r>
              <w:rPr>
                <w:rFonts w:hint="eastAsia"/>
                <w:sz w:val="24"/>
                <w:lang w:val="en-US" w:eastAsia="zh-CN"/>
              </w:rPr>
              <w:t>189768.89</w:t>
            </w:r>
          </w:p>
        </w:tc>
        <w:tc>
          <w:tcPr>
            <w:tcW w:w="2273" w:type="dxa"/>
            <w:tcMar>
              <w:top w:w="16" w:type="dxa"/>
              <w:left w:w="16" w:type="dxa"/>
              <w:right w:w="16" w:type="dxa"/>
            </w:tcMar>
            <w:vAlign w:val="center"/>
          </w:tcPr>
          <w:p w14:paraId="58AE3AF7">
            <w:pPr>
              <w:adjustRightInd w:val="0"/>
              <w:snapToGrid w:val="0"/>
              <w:spacing w:line="300" w:lineRule="auto"/>
              <w:jc w:val="center"/>
              <w:rPr>
                <w:sz w:val="24"/>
              </w:rPr>
            </w:pPr>
            <w:r>
              <w:rPr>
                <w:sz w:val="24"/>
              </w:rPr>
              <w:t>环保投资（万元）</w:t>
            </w:r>
          </w:p>
        </w:tc>
        <w:tc>
          <w:tcPr>
            <w:tcW w:w="2627" w:type="dxa"/>
            <w:vAlign w:val="center"/>
          </w:tcPr>
          <w:p w14:paraId="2F18F677">
            <w:pPr>
              <w:adjustRightInd w:val="0"/>
              <w:snapToGrid w:val="0"/>
              <w:spacing w:line="300" w:lineRule="auto"/>
              <w:jc w:val="center"/>
              <w:rPr>
                <w:rFonts w:hint="default" w:eastAsia="宋体"/>
                <w:sz w:val="24"/>
                <w:lang w:val="en-US" w:eastAsia="zh-CN"/>
              </w:rPr>
            </w:pPr>
            <w:r>
              <w:rPr>
                <w:rFonts w:hint="eastAsia"/>
                <w:sz w:val="24"/>
                <w:highlight w:val="none"/>
                <w:lang w:val="en-US" w:eastAsia="zh-CN"/>
              </w:rPr>
              <w:t>5197</w:t>
            </w:r>
          </w:p>
        </w:tc>
      </w:tr>
      <w:tr w14:paraId="03CAD5D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64" w:hRule="atLeast"/>
        </w:trPr>
        <w:tc>
          <w:tcPr>
            <w:tcW w:w="1560" w:type="dxa"/>
            <w:tcMar>
              <w:top w:w="16" w:type="dxa"/>
              <w:left w:w="16" w:type="dxa"/>
              <w:right w:w="16" w:type="dxa"/>
            </w:tcMar>
            <w:vAlign w:val="center"/>
          </w:tcPr>
          <w:p w14:paraId="72837E72">
            <w:pPr>
              <w:adjustRightInd w:val="0"/>
              <w:snapToGrid w:val="0"/>
              <w:spacing w:line="300" w:lineRule="auto"/>
              <w:jc w:val="center"/>
              <w:rPr>
                <w:sz w:val="24"/>
              </w:rPr>
            </w:pPr>
            <w:r>
              <w:rPr>
                <w:sz w:val="24"/>
              </w:rPr>
              <w:t>环保投资占比（%）</w:t>
            </w:r>
          </w:p>
        </w:tc>
        <w:tc>
          <w:tcPr>
            <w:tcW w:w="2612" w:type="dxa"/>
            <w:vAlign w:val="center"/>
          </w:tcPr>
          <w:p w14:paraId="3996CC2F">
            <w:pPr>
              <w:adjustRightInd w:val="0"/>
              <w:snapToGrid w:val="0"/>
              <w:spacing w:line="300" w:lineRule="auto"/>
              <w:jc w:val="center"/>
              <w:rPr>
                <w:rFonts w:hint="default" w:eastAsia="宋体"/>
                <w:sz w:val="24"/>
                <w:lang w:val="en-US" w:eastAsia="zh-CN"/>
              </w:rPr>
            </w:pPr>
            <w:r>
              <w:rPr>
                <w:rFonts w:hint="eastAsia"/>
                <w:sz w:val="24"/>
                <w:highlight w:val="none"/>
                <w:lang w:val="en-US" w:eastAsia="zh-CN"/>
              </w:rPr>
              <w:t>2.74</w:t>
            </w:r>
          </w:p>
        </w:tc>
        <w:tc>
          <w:tcPr>
            <w:tcW w:w="2273" w:type="dxa"/>
            <w:tcMar>
              <w:top w:w="16" w:type="dxa"/>
              <w:left w:w="16" w:type="dxa"/>
              <w:right w:w="16" w:type="dxa"/>
            </w:tcMar>
            <w:vAlign w:val="center"/>
          </w:tcPr>
          <w:p w14:paraId="6923E8C9">
            <w:pPr>
              <w:adjustRightInd w:val="0"/>
              <w:snapToGrid w:val="0"/>
              <w:spacing w:line="300" w:lineRule="auto"/>
              <w:jc w:val="center"/>
              <w:rPr>
                <w:sz w:val="24"/>
              </w:rPr>
            </w:pPr>
            <w:r>
              <w:rPr>
                <w:sz w:val="24"/>
              </w:rPr>
              <w:t>施工工期</w:t>
            </w:r>
          </w:p>
        </w:tc>
        <w:tc>
          <w:tcPr>
            <w:tcW w:w="2627" w:type="dxa"/>
            <w:vAlign w:val="center"/>
          </w:tcPr>
          <w:p w14:paraId="21A64C53">
            <w:pPr>
              <w:adjustRightInd w:val="0"/>
              <w:snapToGrid w:val="0"/>
              <w:spacing w:line="300" w:lineRule="auto"/>
              <w:jc w:val="center"/>
              <w:rPr>
                <w:sz w:val="24"/>
              </w:rPr>
            </w:pPr>
            <w:r>
              <w:rPr>
                <w:rFonts w:hint="eastAsia"/>
                <w:sz w:val="24"/>
                <w:lang w:val="en-US" w:eastAsia="zh-CN"/>
              </w:rPr>
              <w:t>2</w:t>
            </w:r>
            <w:r>
              <w:rPr>
                <w:rFonts w:hint="eastAsia"/>
                <w:sz w:val="24"/>
              </w:rPr>
              <w:t>年</w:t>
            </w:r>
          </w:p>
        </w:tc>
      </w:tr>
      <w:tr w14:paraId="528D8D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11" w:hRule="atLeast"/>
        </w:trPr>
        <w:tc>
          <w:tcPr>
            <w:tcW w:w="1560" w:type="dxa"/>
            <w:tcMar>
              <w:top w:w="16" w:type="dxa"/>
              <w:left w:w="16" w:type="dxa"/>
              <w:right w:w="16" w:type="dxa"/>
            </w:tcMar>
            <w:vAlign w:val="center"/>
          </w:tcPr>
          <w:p w14:paraId="17792EE2">
            <w:pPr>
              <w:adjustRightInd w:val="0"/>
              <w:snapToGrid w:val="0"/>
              <w:spacing w:line="300" w:lineRule="auto"/>
              <w:jc w:val="center"/>
              <w:rPr>
                <w:sz w:val="24"/>
              </w:rPr>
            </w:pPr>
            <w:r>
              <w:rPr>
                <w:sz w:val="24"/>
              </w:rPr>
              <w:t>是否开工建设</w:t>
            </w:r>
          </w:p>
        </w:tc>
        <w:tc>
          <w:tcPr>
            <w:tcW w:w="7512" w:type="dxa"/>
            <w:gridSpan w:val="3"/>
            <w:vAlign w:val="center"/>
          </w:tcPr>
          <w:p w14:paraId="1F084EEC">
            <w:pPr>
              <w:adjustRightInd w:val="0"/>
              <w:snapToGrid w:val="0"/>
              <w:spacing w:line="300" w:lineRule="auto"/>
              <w:ind w:firstLine="105"/>
              <w:jc w:val="left"/>
              <w:rPr>
                <w:rFonts w:hint="eastAsia" w:asciiTheme="majorEastAsia" w:hAnsiTheme="majorEastAsia" w:eastAsiaTheme="majorEastAsia"/>
                <w:sz w:val="24"/>
              </w:rPr>
            </w:pPr>
            <w:r>
              <w:rPr>
                <w:rFonts w:ascii="Segoe UI Symbol" w:hAnsi="Segoe UI Symbol" w:cs="Segoe UI Symbol" w:eastAsiaTheme="majorEastAsia"/>
                <w:kern w:val="0"/>
                <w:sz w:val="24"/>
              </w:rPr>
              <w:t>☑</w:t>
            </w:r>
            <w:r>
              <w:rPr>
                <w:rFonts w:asciiTheme="majorEastAsia" w:hAnsiTheme="majorEastAsia" w:eastAsiaTheme="majorEastAsia"/>
                <w:sz w:val="24"/>
              </w:rPr>
              <w:t>否</w:t>
            </w:r>
          </w:p>
          <w:p w14:paraId="1CC87DC4">
            <w:pPr>
              <w:adjustRightInd w:val="0"/>
              <w:snapToGrid w:val="0"/>
              <w:spacing w:line="300" w:lineRule="auto"/>
              <w:ind w:firstLine="92"/>
              <w:jc w:val="left"/>
              <w:rPr>
                <w:sz w:val="24"/>
              </w:rPr>
            </w:pPr>
            <w:r>
              <w:rPr>
                <w:rFonts w:asciiTheme="majorEastAsia" w:hAnsiTheme="majorEastAsia" w:eastAsiaTheme="majorEastAsia"/>
                <w:sz w:val="24"/>
              </w:rPr>
              <w:t>□是：</w:t>
            </w:r>
            <w:r>
              <w:rPr>
                <w:rFonts w:asciiTheme="majorEastAsia" w:hAnsiTheme="majorEastAsia" w:eastAsiaTheme="majorEastAsia"/>
                <w:sz w:val="24"/>
                <w:u w:val="single"/>
              </w:rPr>
              <w:t xml:space="preserve">                             </w:t>
            </w:r>
          </w:p>
        </w:tc>
      </w:tr>
      <w:tr w14:paraId="2B9FD4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15" w:hRule="atLeast"/>
        </w:trPr>
        <w:tc>
          <w:tcPr>
            <w:tcW w:w="1560" w:type="dxa"/>
            <w:tcMar>
              <w:top w:w="16" w:type="dxa"/>
              <w:left w:w="16" w:type="dxa"/>
              <w:right w:w="16" w:type="dxa"/>
            </w:tcMar>
            <w:vAlign w:val="center"/>
          </w:tcPr>
          <w:p w14:paraId="1B74F55D">
            <w:pPr>
              <w:autoSpaceDE w:val="0"/>
              <w:autoSpaceDN w:val="0"/>
              <w:adjustRightInd w:val="0"/>
              <w:snapToGrid w:val="0"/>
              <w:spacing w:line="300" w:lineRule="auto"/>
              <w:jc w:val="center"/>
              <w:rPr>
                <w:kern w:val="0"/>
                <w:sz w:val="24"/>
              </w:rPr>
            </w:pPr>
            <w:r>
              <w:rPr>
                <w:kern w:val="0"/>
                <w:sz w:val="24"/>
              </w:rPr>
              <w:t>专项评价设置情况</w:t>
            </w:r>
          </w:p>
        </w:tc>
        <w:tc>
          <w:tcPr>
            <w:tcW w:w="7512" w:type="dxa"/>
            <w:gridSpan w:val="3"/>
            <w:tcMar>
              <w:top w:w="16" w:type="dxa"/>
              <w:left w:w="16" w:type="dxa"/>
              <w:right w:w="16" w:type="dxa"/>
            </w:tcMar>
            <w:vAlign w:val="center"/>
          </w:tcPr>
          <w:p w14:paraId="1E5485DB">
            <w:pPr>
              <w:autoSpaceDE w:val="0"/>
              <w:autoSpaceDN w:val="0"/>
              <w:adjustRightInd w:val="0"/>
              <w:spacing w:line="370" w:lineRule="exact"/>
              <w:ind w:firstLine="480" w:firstLineChars="200"/>
              <w:rPr>
                <w:kern w:val="0"/>
                <w:sz w:val="24"/>
              </w:rPr>
            </w:pPr>
            <w:r>
              <w:rPr>
                <w:kern w:val="0"/>
                <w:sz w:val="24"/>
              </w:rPr>
              <w:t>根据《建设项目环境影响报告表编制技术指南（生态影响类）</w:t>
            </w:r>
            <w:r>
              <w:rPr>
                <w:rFonts w:hint="eastAsia"/>
                <w:kern w:val="0"/>
                <w:sz w:val="24"/>
                <w:lang w:eastAsia="zh-CN"/>
              </w:rPr>
              <w:t>（试行）》</w:t>
            </w:r>
            <w:r>
              <w:rPr>
                <w:kern w:val="0"/>
                <w:sz w:val="24"/>
              </w:rPr>
              <w:t>，拟建公路</w:t>
            </w:r>
            <w:r>
              <w:rPr>
                <w:rFonts w:hint="eastAsia"/>
                <w:kern w:val="0"/>
                <w:sz w:val="24"/>
                <w:lang w:val="en-US" w:eastAsia="zh-CN"/>
              </w:rPr>
              <w:t>属于</w:t>
            </w:r>
            <w:r>
              <w:rPr>
                <w:kern w:val="0"/>
                <w:sz w:val="24"/>
              </w:rPr>
              <w:t>公路建设项目，</w:t>
            </w:r>
            <w:r>
              <w:rPr>
                <w:rFonts w:hint="eastAsia"/>
                <w:kern w:val="0"/>
                <w:sz w:val="24"/>
                <w:highlight w:val="none"/>
              </w:rPr>
              <w:t>沿线有</w:t>
            </w:r>
            <w:r>
              <w:rPr>
                <w:rFonts w:hint="eastAsia"/>
                <w:kern w:val="0"/>
                <w:sz w:val="24"/>
                <w:highlight w:val="none"/>
                <w:lang w:val="en-US" w:eastAsia="zh-CN"/>
              </w:rPr>
              <w:t>29</w:t>
            </w:r>
            <w:r>
              <w:rPr>
                <w:rFonts w:hint="eastAsia"/>
                <w:kern w:val="0"/>
                <w:sz w:val="24"/>
                <w:highlight w:val="none"/>
              </w:rPr>
              <w:t>处居民点</w:t>
            </w:r>
            <w:r>
              <w:rPr>
                <w:rFonts w:hint="eastAsia"/>
                <w:kern w:val="0"/>
                <w:sz w:val="24"/>
                <w:highlight w:val="none"/>
                <w:lang w:eastAsia="zh-CN"/>
              </w:rPr>
              <w:t>，</w:t>
            </w:r>
            <w:r>
              <w:rPr>
                <w:rFonts w:hint="eastAsia"/>
                <w:kern w:val="0"/>
                <w:sz w:val="24"/>
                <w:highlight w:val="none"/>
                <w:lang w:val="en-US" w:eastAsia="zh-CN"/>
              </w:rPr>
              <w:t>项目位于</w:t>
            </w:r>
            <w:r>
              <w:rPr>
                <w:rFonts w:hint="default" w:ascii="Times New Roman" w:hAnsi="Times New Roman" w:cs="Times New Roman"/>
                <w:kern w:val="0"/>
                <w:sz w:val="24"/>
                <w:highlight w:val="none"/>
                <w:lang w:val="en-US" w:eastAsia="zh-CN"/>
              </w:rPr>
              <w:t>Ⅱ</w:t>
            </w:r>
            <w:r>
              <w:rPr>
                <w:rFonts w:hint="eastAsia"/>
                <w:kern w:val="0"/>
                <w:sz w:val="24"/>
                <w:highlight w:val="none"/>
                <w:vertAlign w:val="subscript"/>
                <w:lang w:val="en-US" w:eastAsia="zh-CN"/>
              </w:rPr>
              <w:t>3</w:t>
            </w:r>
            <w:r>
              <w:rPr>
                <w:rFonts w:hint="eastAsia"/>
                <w:kern w:val="0"/>
                <w:sz w:val="24"/>
                <w:highlight w:val="none"/>
                <w:lang w:val="en-US" w:eastAsia="zh-CN"/>
              </w:rPr>
              <w:t>塔里木河流域重点治理区</w:t>
            </w:r>
            <w:r>
              <w:rPr>
                <w:kern w:val="0"/>
                <w:sz w:val="24"/>
                <w:highlight w:val="none"/>
              </w:rPr>
              <w:t>，因此</w:t>
            </w:r>
            <w:r>
              <w:rPr>
                <w:rFonts w:hint="eastAsia"/>
                <w:kern w:val="0"/>
                <w:sz w:val="24"/>
                <w:highlight w:val="none"/>
                <w:lang w:val="en-US" w:eastAsia="zh-CN"/>
              </w:rPr>
              <w:t>需</w:t>
            </w:r>
            <w:r>
              <w:rPr>
                <w:kern w:val="0"/>
                <w:sz w:val="24"/>
                <w:highlight w:val="none"/>
              </w:rPr>
              <w:t>设置声环境</w:t>
            </w:r>
            <w:r>
              <w:rPr>
                <w:rFonts w:hint="eastAsia"/>
                <w:kern w:val="0"/>
                <w:sz w:val="24"/>
                <w:highlight w:val="none"/>
                <w:lang w:eastAsia="zh-CN"/>
              </w:rPr>
              <w:t>、</w:t>
            </w:r>
            <w:r>
              <w:rPr>
                <w:rFonts w:hint="eastAsia"/>
                <w:kern w:val="0"/>
                <w:sz w:val="24"/>
                <w:highlight w:val="none"/>
                <w:lang w:val="en-US" w:eastAsia="zh-CN"/>
              </w:rPr>
              <w:t>生态</w:t>
            </w:r>
            <w:r>
              <w:rPr>
                <w:kern w:val="0"/>
                <w:sz w:val="24"/>
                <w:highlight w:val="none"/>
              </w:rPr>
              <w:t>专项评价。</w:t>
            </w:r>
          </w:p>
        </w:tc>
      </w:tr>
      <w:tr w14:paraId="6AB8B3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58" w:hRule="atLeast"/>
        </w:trPr>
        <w:tc>
          <w:tcPr>
            <w:tcW w:w="1560" w:type="dxa"/>
            <w:tcMar>
              <w:top w:w="16" w:type="dxa"/>
              <w:left w:w="16" w:type="dxa"/>
              <w:right w:w="16" w:type="dxa"/>
            </w:tcMar>
            <w:vAlign w:val="center"/>
          </w:tcPr>
          <w:p w14:paraId="2DB4EB03">
            <w:pPr>
              <w:autoSpaceDE w:val="0"/>
              <w:autoSpaceDN w:val="0"/>
              <w:adjustRightInd w:val="0"/>
              <w:snapToGrid w:val="0"/>
              <w:spacing w:line="300" w:lineRule="auto"/>
              <w:jc w:val="center"/>
              <w:rPr>
                <w:kern w:val="0"/>
                <w:sz w:val="24"/>
              </w:rPr>
            </w:pPr>
            <w:r>
              <w:rPr>
                <w:sz w:val="24"/>
              </w:rPr>
              <w:t>规划情况</w:t>
            </w:r>
          </w:p>
        </w:tc>
        <w:tc>
          <w:tcPr>
            <w:tcW w:w="7512" w:type="dxa"/>
            <w:gridSpan w:val="3"/>
            <w:tcMar>
              <w:top w:w="16" w:type="dxa"/>
              <w:left w:w="16" w:type="dxa"/>
              <w:right w:w="16" w:type="dxa"/>
            </w:tcMar>
            <w:vAlign w:val="center"/>
          </w:tcPr>
          <w:p w14:paraId="10A8A0B1">
            <w:pPr>
              <w:autoSpaceDE w:val="0"/>
              <w:autoSpaceDN w:val="0"/>
              <w:adjustRightInd w:val="0"/>
              <w:spacing w:line="370" w:lineRule="exact"/>
              <w:rPr>
                <w:sz w:val="24"/>
              </w:rPr>
            </w:pPr>
            <w:r>
              <w:rPr>
                <w:rFonts w:hint="eastAsia"/>
                <w:sz w:val="24"/>
              </w:rPr>
              <w:t>1. 《</w:t>
            </w:r>
            <w:r>
              <w:rPr>
                <w:sz w:val="24"/>
              </w:rPr>
              <w:t>国家公路网规划（20</w:t>
            </w:r>
            <w:r>
              <w:rPr>
                <w:rFonts w:hint="eastAsia"/>
                <w:sz w:val="24"/>
              </w:rPr>
              <w:t>22</w:t>
            </w:r>
            <w:r>
              <w:rPr>
                <w:sz w:val="24"/>
              </w:rPr>
              <w:t>年-203</w:t>
            </w:r>
            <w:r>
              <w:rPr>
                <w:rFonts w:hint="eastAsia"/>
                <w:sz w:val="24"/>
              </w:rPr>
              <w:t>5</w:t>
            </w:r>
            <w:r>
              <w:rPr>
                <w:sz w:val="24"/>
              </w:rPr>
              <w:t>年</w:t>
            </w:r>
            <w:r>
              <w:rPr>
                <w:rFonts w:hint="eastAsia"/>
                <w:sz w:val="24"/>
              </w:rPr>
              <w:t>）》</w:t>
            </w:r>
          </w:p>
          <w:p w14:paraId="30296E88">
            <w:pPr>
              <w:autoSpaceDE w:val="0"/>
              <w:autoSpaceDN w:val="0"/>
              <w:adjustRightInd w:val="0"/>
              <w:spacing w:line="370" w:lineRule="exact"/>
              <w:rPr>
                <w:sz w:val="24"/>
              </w:rPr>
            </w:pPr>
            <w:r>
              <w:rPr>
                <w:rFonts w:hint="eastAsia"/>
                <w:sz w:val="24"/>
              </w:rPr>
              <w:t>审批机关：</w:t>
            </w:r>
            <w:r>
              <w:rPr>
                <w:rFonts w:hint="eastAsia" w:ascii="宋体" w:cs="宋体"/>
                <w:kern w:val="0"/>
                <w:sz w:val="24"/>
              </w:rPr>
              <w:t>国务院</w:t>
            </w:r>
          </w:p>
          <w:p w14:paraId="40823524">
            <w:pPr>
              <w:autoSpaceDE w:val="0"/>
              <w:autoSpaceDN w:val="0"/>
              <w:adjustRightInd w:val="0"/>
              <w:spacing w:line="370" w:lineRule="exact"/>
              <w:rPr>
                <w:sz w:val="24"/>
              </w:rPr>
            </w:pPr>
            <w:r>
              <w:rPr>
                <w:rFonts w:hint="eastAsia"/>
                <w:sz w:val="24"/>
              </w:rPr>
              <w:t>审批文件名称及文号：《关于印发</w:t>
            </w:r>
            <w:r>
              <w:rPr>
                <w:rFonts w:hint="eastAsia"/>
                <w:sz w:val="24"/>
                <w:lang w:eastAsia="zh-CN"/>
              </w:rPr>
              <w:t>〈</w:t>
            </w:r>
            <w:r>
              <w:rPr>
                <w:rFonts w:hint="eastAsia"/>
                <w:sz w:val="24"/>
              </w:rPr>
              <w:t>国家公路网规划（2022年-2035年）</w:t>
            </w:r>
            <w:r>
              <w:rPr>
                <w:rFonts w:hint="eastAsia"/>
                <w:sz w:val="24"/>
                <w:lang w:eastAsia="zh-CN"/>
              </w:rPr>
              <w:t>〉的通知》</w:t>
            </w:r>
            <w:r>
              <w:rPr>
                <w:rFonts w:hint="eastAsia"/>
                <w:sz w:val="24"/>
              </w:rPr>
              <w:t>（发改基础[2022]1033号）</w:t>
            </w:r>
          </w:p>
          <w:p w14:paraId="5E3D88D5">
            <w:pPr>
              <w:autoSpaceDE w:val="0"/>
              <w:autoSpaceDN w:val="0"/>
              <w:adjustRightInd w:val="0"/>
              <w:spacing w:line="370" w:lineRule="exact"/>
              <w:rPr>
                <w:sz w:val="24"/>
              </w:rPr>
            </w:pPr>
            <w:r>
              <w:rPr>
                <w:rFonts w:hint="eastAsia"/>
                <w:sz w:val="24"/>
              </w:rPr>
              <w:t>2. 《新疆维吾尔自治区公路网规划（2021-2050 年）》</w:t>
            </w:r>
          </w:p>
          <w:p w14:paraId="79B73CA6">
            <w:pPr>
              <w:autoSpaceDE w:val="0"/>
              <w:autoSpaceDN w:val="0"/>
              <w:adjustRightInd w:val="0"/>
              <w:spacing w:line="370" w:lineRule="exact"/>
              <w:rPr>
                <w:sz w:val="24"/>
              </w:rPr>
            </w:pPr>
            <w:r>
              <w:rPr>
                <w:rFonts w:hint="eastAsia"/>
                <w:sz w:val="24"/>
              </w:rPr>
              <w:t>审批机关：新疆维吾尔自治区人民政府</w:t>
            </w:r>
          </w:p>
          <w:p w14:paraId="059EB461">
            <w:pPr>
              <w:adjustRightInd w:val="0"/>
              <w:spacing w:line="370" w:lineRule="exact"/>
              <w:rPr>
                <w:sz w:val="24"/>
              </w:rPr>
            </w:pPr>
            <w:r>
              <w:rPr>
                <w:rFonts w:hint="eastAsia"/>
                <w:sz w:val="24"/>
              </w:rPr>
              <w:t>审批文件名称：《</w:t>
            </w:r>
            <w:r>
              <w:rPr>
                <w:sz w:val="24"/>
              </w:rPr>
              <w:t>关于印发</w:t>
            </w:r>
            <w:r>
              <w:rPr>
                <w:rFonts w:hint="eastAsia"/>
                <w:sz w:val="24"/>
                <w:lang w:eastAsia="zh-CN"/>
              </w:rPr>
              <w:t>〈</w:t>
            </w:r>
            <w:r>
              <w:rPr>
                <w:rFonts w:hint="eastAsia"/>
                <w:sz w:val="24"/>
              </w:rPr>
              <w:t>新疆维吾尔自治区公路网规划（2021-2050 年）</w:t>
            </w:r>
            <w:r>
              <w:rPr>
                <w:rFonts w:hint="eastAsia"/>
                <w:sz w:val="24"/>
                <w:lang w:eastAsia="zh-CN"/>
              </w:rPr>
              <w:t>〉的通知》</w:t>
            </w:r>
          </w:p>
          <w:p w14:paraId="78004E60">
            <w:pPr>
              <w:autoSpaceDE w:val="0"/>
              <w:autoSpaceDN w:val="0"/>
              <w:adjustRightInd w:val="0"/>
              <w:spacing w:line="370" w:lineRule="exact"/>
              <w:rPr>
                <w:rFonts w:hint="eastAsia" w:hAnsi="宋体"/>
                <w:sz w:val="24"/>
              </w:rPr>
            </w:pPr>
            <w:r>
              <w:rPr>
                <w:rFonts w:hint="eastAsia" w:hAnsi="宋体"/>
                <w:sz w:val="24"/>
                <w:lang w:val="en-US" w:eastAsia="zh-CN"/>
              </w:rPr>
              <w:t xml:space="preserve">3. </w:t>
            </w:r>
            <w:r>
              <w:rPr>
                <w:rFonts w:hint="eastAsia" w:hAnsi="宋体"/>
                <w:sz w:val="24"/>
              </w:rPr>
              <w:t>《克孜勒苏柯尔克孜自治州国土空间总体规划（2020-2035）》</w:t>
            </w:r>
          </w:p>
          <w:p w14:paraId="11A16640">
            <w:pPr>
              <w:adjustRightInd w:val="0"/>
              <w:spacing w:line="370" w:lineRule="exact"/>
              <w:rPr>
                <w:sz w:val="24"/>
              </w:rPr>
            </w:pPr>
            <w:r>
              <w:rPr>
                <w:sz w:val="24"/>
              </w:rPr>
              <w:t>审批机关：</w:t>
            </w:r>
            <w:r>
              <w:rPr>
                <w:rFonts w:hint="eastAsia"/>
                <w:sz w:val="24"/>
              </w:rPr>
              <w:t>新疆维吾尔自治区人民政府</w:t>
            </w:r>
          </w:p>
          <w:p w14:paraId="44E15FE5">
            <w:pPr>
              <w:autoSpaceDE w:val="0"/>
              <w:autoSpaceDN w:val="0"/>
              <w:adjustRightInd w:val="0"/>
              <w:spacing w:line="370" w:lineRule="exact"/>
              <w:rPr>
                <w:sz w:val="24"/>
              </w:rPr>
            </w:pPr>
            <w:r>
              <w:rPr>
                <w:rFonts w:hint="eastAsia"/>
                <w:sz w:val="24"/>
              </w:rPr>
              <w:t>审批文件名称：</w:t>
            </w:r>
            <w:r>
              <w:rPr>
                <w:sz w:val="24"/>
              </w:rPr>
              <w:t>《关于</w:t>
            </w:r>
            <w:r>
              <w:rPr>
                <w:rFonts w:hint="eastAsia"/>
                <w:sz w:val="24"/>
                <w:lang w:eastAsia="zh-CN"/>
              </w:rPr>
              <w:t>〈</w:t>
            </w:r>
            <w:r>
              <w:rPr>
                <w:rFonts w:hint="eastAsia" w:hAnsi="宋体"/>
                <w:sz w:val="24"/>
              </w:rPr>
              <w:t>克孜勒苏柯尔克孜自治州国土空间总体规划</w:t>
            </w:r>
            <w:r>
              <w:rPr>
                <w:rFonts w:hint="eastAsia"/>
                <w:sz w:val="24"/>
              </w:rPr>
              <w:t>（2021-2035年）</w:t>
            </w:r>
            <w:r>
              <w:rPr>
                <w:rFonts w:hint="eastAsia"/>
                <w:sz w:val="24"/>
                <w:lang w:eastAsia="zh-CN"/>
              </w:rPr>
              <w:t>〉</w:t>
            </w:r>
            <w:r>
              <w:rPr>
                <w:rFonts w:hint="eastAsia"/>
                <w:sz w:val="24"/>
              </w:rPr>
              <w:t>的批复</w:t>
            </w:r>
            <w:r>
              <w:rPr>
                <w:sz w:val="24"/>
              </w:rPr>
              <w:t>》</w:t>
            </w:r>
          </w:p>
          <w:p w14:paraId="1FA921C2">
            <w:pPr>
              <w:autoSpaceDE w:val="0"/>
              <w:autoSpaceDN w:val="0"/>
              <w:adjustRightInd w:val="0"/>
              <w:spacing w:line="370" w:lineRule="exact"/>
              <w:rPr>
                <w:rFonts w:hint="eastAsia" w:hAnsi="宋体"/>
                <w:sz w:val="24"/>
              </w:rPr>
            </w:pPr>
            <w:r>
              <w:rPr>
                <w:rFonts w:hint="eastAsia" w:hAnsi="宋体"/>
                <w:sz w:val="24"/>
                <w:lang w:val="en-US" w:eastAsia="zh-CN"/>
              </w:rPr>
              <w:t xml:space="preserve">4. </w:t>
            </w:r>
            <w:r>
              <w:rPr>
                <w:rFonts w:hint="eastAsia" w:hAnsi="宋体"/>
                <w:sz w:val="24"/>
              </w:rPr>
              <w:t>《</w:t>
            </w:r>
            <w:r>
              <w:rPr>
                <w:rFonts w:hint="eastAsia" w:hAnsi="宋体"/>
                <w:sz w:val="24"/>
                <w:lang w:val="en-US" w:eastAsia="zh-CN"/>
              </w:rPr>
              <w:t>喀什地区</w:t>
            </w:r>
            <w:r>
              <w:rPr>
                <w:rFonts w:hint="eastAsia" w:hAnsi="宋体"/>
                <w:sz w:val="24"/>
              </w:rPr>
              <w:t>国土空间总体规划（2020-2035）》</w:t>
            </w:r>
          </w:p>
          <w:p w14:paraId="54AC94CF">
            <w:pPr>
              <w:adjustRightInd w:val="0"/>
              <w:spacing w:line="370" w:lineRule="exact"/>
              <w:rPr>
                <w:sz w:val="24"/>
              </w:rPr>
            </w:pPr>
            <w:r>
              <w:rPr>
                <w:sz w:val="24"/>
              </w:rPr>
              <w:t>审批机关：</w:t>
            </w:r>
            <w:r>
              <w:rPr>
                <w:rFonts w:hint="eastAsia"/>
                <w:sz w:val="24"/>
              </w:rPr>
              <w:t>新疆维吾尔自治区人民政府</w:t>
            </w:r>
          </w:p>
          <w:p w14:paraId="773437D1">
            <w:pPr>
              <w:autoSpaceDE w:val="0"/>
              <w:autoSpaceDN w:val="0"/>
              <w:adjustRightInd w:val="0"/>
              <w:spacing w:line="370" w:lineRule="exact"/>
              <w:rPr>
                <w:rFonts w:hint="eastAsia" w:hAnsi="宋体"/>
                <w:sz w:val="24"/>
              </w:rPr>
            </w:pPr>
            <w:r>
              <w:rPr>
                <w:rFonts w:hint="eastAsia"/>
                <w:sz w:val="24"/>
              </w:rPr>
              <w:t>审批文件名称：</w:t>
            </w:r>
            <w:r>
              <w:rPr>
                <w:sz w:val="24"/>
              </w:rPr>
              <w:t>《关于</w:t>
            </w:r>
            <w:r>
              <w:rPr>
                <w:rFonts w:hint="eastAsia"/>
                <w:sz w:val="24"/>
                <w:lang w:eastAsia="zh-CN"/>
              </w:rPr>
              <w:t>〈</w:t>
            </w:r>
            <w:r>
              <w:rPr>
                <w:rFonts w:hint="eastAsia" w:hAnsi="宋体"/>
                <w:sz w:val="24"/>
                <w:lang w:val="en-US" w:eastAsia="zh-CN"/>
              </w:rPr>
              <w:t>喀什地区</w:t>
            </w:r>
            <w:r>
              <w:rPr>
                <w:rFonts w:hint="eastAsia" w:hAnsi="宋体"/>
                <w:sz w:val="24"/>
              </w:rPr>
              <w:t>国土空间总体规划</w:t>
            </w:r>
            <w:r>
              <w:rPr>
                <w:rFonts w:hint="eastAsia"/>
                <w:sz w:val="24"/>
              </w:rPr>
              <w:t>（2021-2035年）</w:t>
            </w:r>
            <w:r>
              <w:rPr>
                <w:rFonts w:hint="eastAsia"/>
                <w:sz w:val="24"/>
                <w:lang w:eastAsia="zh-CN"/>
              </w:rPr>
              <w:t>〉</w:t>
            </w:r>
            <w:r>
              <w:rPr>
                <w:rFonts w:hint="eastAsia"/>
                <w:sz w:val="24"/>
              </w:rPr>
              <w:t>的批复</w:t>
            </w:r>
            <w:r>
              <w:rPr>
                <w:sz w:val="24"/>
              </w:rPr>
              <w:t>》</w:t>
            </w:r>
          </w:p>
          <w:p w14:paraId="477FC893">
            <w:pPr>
              <w:autoSpaceDE w:val="0"/>
              <w:autoSpaceDN w:val="0"/>
              <w:adjustRightInd w:val="0"/>
              <w:spacing w:line="370" w:lineRule="exact"/>
              <w:rPr>
                <w:sz w:val="24"/>
              </w:rPr>
            </w:pPr>
            <w:r>
              <w:rPr>
                <w:rFonts w:hint="eastAsia"/>
                <w:sz w:val="24"/>
                <w:lang w:val="en-US" w:eastAsia="zh-CN"/>
              </w:rPr>
              <w:t>5</w:t>
            </w:r>
            <w:r>
              <w:rPr>
                <w:rFonts w:hint="eastAsia"/>
                <w:sz w:val="24"/>
              </w:rPr>
              <w:t xml:space="preserve">. </w:t>
            </w:r>
            <w:r>
              <w:rPr>
                <w:sz w:val="24"/>
              </w:rPr>
              <w:t>《</w:t>
            </w:r>
            <w:r>
              <w:rPr>
                <w:rFonts w:hint="eastAsia"/>
                <w:sz w:val="24"/>
              </w:rPr>
              <w:t>阿图什市</w:t>
            </w:r>
            <w:r>
              <w:rPr>
                <w:sz w:val="24"/>
              </w:rPr>
              <w:t>国土空间总体规划（2021-2035年）》</w:t>
            </w:r>
          </w:p>
          <w:p w14:paraId="0C3E9289">
            <w:pPr>
              <w:autoSpaceDE w:val="0"/>
              <w:autoSpaceDN w:val="0"/>
              <w:adjustRightInd w:val="0"/>
              <w:spacing w:line="370" w:lineRule="exact"/>
              <w:rPr>
                <w:sz w:val="24"/>
              </w:rPr>
            </w:pPr>
            <w:r>
              <w:rPr>
                <w:rFonts w:hint="eastAsia"/>
                <w:sz w:val="24"/>
              </w:rPr>
              <w:t>审批机关：克孜勒苏柯尔克孜自治州人民政府</w:t>
            </w:r>
          </w:p>
          <w:p w14:paraId="57885128">
            <w:pPr>
              <w:autoSpaceDE w:val="0"/>
              <w:autoSpaceDN w:val="0"/>
              <w:adjustRightInd w:val="0"/>
              <w:spacing w:line="370" w:lineRule="exact"/>
              <w:rPr>
                <w:sz w:val="24"/>
                <w:highlight w:val="yellow"/>
              </w:rPr>
            </w:pPr>
            <w:r>
              <w:rPr>
                <w:rFonts w:hint="eastAsia"/>
                <w:sz w:val="24"/>
              </w:rPr>
              <w:t>审批文件名称：</w:t>
            </w:r>
            <w:r>
              <w:rPr>
                <w:sz w:val="24"/>
              </w:rPr>
              <w:t>《关于</w:t>
            </w:r>
            <w:r>
              <w:rPr>
                <w:rFonts w:hint="eastAsia"/>
                <w:sz w:val="24"/>
                <w:lang w:eastAsia="zh-CN"/>
              </w:rPr>
              <w:t>〈</w:t>
            </w:r>
            <w:r>
              <w:rPr>
                <w:rFonts w:hint="eastAsia"/>
                <w:sz w:val="24"/>
              </w:rPr>
              <w:t>阿图什市国土空间总体规划（2021-2035年）</w:t>
            </w:r>
            <w:r>
              <w:rPr>
                <w:rFonts w:hint="eastAsia"/>
                <w:sz w:val="24"/>
                <w:lang w:eastAsia="zh-CN"/>
              </w:rPr>
              <w:t>〉</w:t>
            </w:r>
            <w:r>
              <w:rPr>
                <w:rFonts w:hint="eastAsia"/>
                <w:sz w:val="24"/>
              </w:rPr>
              <w:t>的批复</w:t>
            </w:r>
            <w:r>
              <w:rPr>
                <w:sz w:val="24"/>
              </w:rPr>
              <w:t>》</w:t>
            </w:r>
          </w:p>
          <w:p w14:paraId="239E5EFF">
            <w:pPr>
              <w:autoSpaceDE w:val="0"/>
              <w:autoSpaceDN w:val="0"/>
              <w:adjustRightInd w:val="0"/>
              <w:spacing w:line="370" w:lineRule="exact"/>
              <w:rPr>
                <w:sz w:val="24"/>
              </w:rPr>
            </w:pPr>
            <w:r>
              <w:rPr>
                <w:rFonts w:hint="eastAsia"/>
                <w:sz w:val="24"/>
                <w:lang w:val="en-US" w:eastAsia="zh-CN"/>
              </w:rPr>
              <w:t>6</w:t>
            </w:r>
            <w:r>
              <w:rPr>
                <w:rFonts w:hint="eastAsia"/>
                <w:sz w:val="24"/>
              </w:rPr>
              <w:t xml:space="preserve">. </w:t>
            </w:r>
            <w:r>
              <w:rPr>
                <w:sz w:val="24"/>
              </w:rPr>
              <w:t>《</w:t>
            </w:r>
            <w:r>
              <w:rPr>
                <w:rFonts w:hint="eastAsia"/>
                <w:sz w:val="24"/>
              </w:rPr>
              <w:t>伽师</w:t>
            </w:r>
            <w:r>
              <w:rPr>
                <w:sz w:val="24"/>
              </w:rPr>
              <w:t>县国土空间总体规划（2021-2035年）》</w:t>
            </w:r>
          </w:p>
          <w:p w14:paraId="0DAF32F5">
            <w:pPr>
              <w:autoSpaceDE w:val="0"/>
              <w:autoSpaceDN w:val="0"/>
              <w:adjustRightInd w:val="0"/>
              <w:spacing w:line="370" w:lineRule="exact"/>
              <w:rPr>
                <w:sz w:val="24"/>
              </w:rPr>
            </w:pPr>
            <w:r>
              <w:rPr>
                <w:rFonts w:hint="eastAsia"/>
                <w:sz w:val="24"/>
              </w:rPr>
              <w:t>审批机关：喀什地区行政公署</w:t>
            </w:r>
          </w:p>
          <w:p w14:paraId="15429E13">
            <w:pPr>
              <w:autoSpaceDE w:val="0"/>
              <w:autoSpaceDN w:val="0"/>
              <w:adjustRightInd w:val="0"/>
              <w:spacing w:line="370" w:lineRule="exact"/>
              <w:rPr>
                <w:sz w:val="24"/>
                <w:highlight w:val="yellow"/>
              </w:rPr>
            </w:pPr>
            <w:r>
              <w:rPr>
                <w:rFonts w:hint="eastAsia"/>
                <w:sz w:val="24"/>
              </w:rPr>
              <w:t>审批文件名称：</w:t>
            </w:r>
            <w:r>
              <w:rPr>
                <w:sz w:val="24"/>
              </w:rPr>
              <w:t>《关于</w:t>
            </w:r>
            <w:r>
              <w:rPr>
                <w:rFonts w:hint="eastAsia"/>
                <w:sz w:val="24"/>
                <w:lang w:eastAsia="zh-CN"/>
              </w:rPr>
              <w:t>〈</w:t>
            </w:r>
            <w:bookmarkStart w:id="2" w:name="OLE_LINK7"/>
            <w:r>
              <w:rPr>
                <w:rFonts w:hint="eastAsia"/>
                <w:sz w:val="24"/>
              </w:rPr>
              <w:t>伽师</w:t>
            </w:r>
            <w:r>
              <w:rPr>
                <w:sz w:val="24"/>
              </w:rPr>
              <w:t>县国土空间总体规划（2021-2035年）</w:t>
            </w:r>
            <w:bookmarkEnd w:id="2"/>
            <w:r>
              <w:rPr>
                <w:rFonts w:hint="eastAsia"/>
                <w:sz w:val="24"/>
                <w:lang w:eastAsia="zh-CN"/>
              </w:rPr>
              <w:t>〉</w:t>
            </w:r>
            <w:r>
              <w:rPr>
                <w:rFonts w:hint="eastAsia"/>
                <w:sz w:val="24"/>
              </w:rPr>
              <w:t>的批复</w:t>
            </w:r>
            <w:r>
              <w:rPr>
                <w:sz w:val="24"/>
              </w:rPr>
              <w:t>》</w:t>
            </w:r>
          </w:p>
          <w:p w14:paraId="37B6F3CD">
            <w:pPr>
              <w:autoSpaceDE w:val="0"/>
              <w:autoSpaceDN w:val="0"/>
              <w:adjustRightInd w:val="0"/>
              <w:spacing w:line="370" w:lineRule="exact"/>
              <w:rPr>
                <w:sz w:val="24"/>
              </w:rPr>
            </w:pPr>
            <w:r>
              <w:rPr>
                <w:rFonts w:hint="eastAsia"/>
                <w:sz w:val="24"/>
                <w:lang w:val="en-US" w:eastAsia="zh-CN"/>
              </w:rPr>
              <w:t>7</w:t>
            </w:r>
            <w:r>
              <w:rPr>
                <w:rFonts w:hint="eastAsia"/>
                <w:sz w:val="24"/>
              </w:rPr>
              <w:t xml:space="preserve">. </w:t>
            </w:r>
            <w:r>
              <w:rPr>
                <w:sz w:val="24"/>
              </w:rPr>
              <w:t>《</w:t>
            </w:r>
            <w:r>
              <w:rPr>
                <w:rFonts w:hint="eastAsia"/>
                <w:sz w:val="24"/>
              </w:rPr>
              <w:t>岳普湖</w:t>
            </w:r>
            <w:r>
              <w:rPr>
                <w:sz w:val="24"/>
              </w:rPr>
              <w:t>县国土空间总体规划（2021-2035年）》</w:t>
            </w:r>
          </w:p>
          <w:p w14:paraId="00B3E275">
            <w:pPr>
              <w:autoSpaceDE w:val="0"/>
              <w:autoSpaceDN w:val="0"/>
              <w:adjustRightInd w:val="0"/>
              <w:spacing w:line="370" w:lineRule="exact"/>
              <w:rPr>
                <w:sz w:val="24"/>
              </w:rPr>
            </w:pPr>
            <w:r>
              <w:rPr>
                <w:rFonts w:hint="eastAsia"/>
                <w:sz w:val="24"/>
              </w:rPr>
              <w:t>审批机关：喀什地区行政公署</w:t>
            </w:r>
          </w:p>
          <w:p w14:paraId="7E3E46ED">
            <w:pPr>
              <w:autoSpaceDE w:val="0"/>
              <w:autoSpaceDN w:val="0"/>
              <w:adjustRightInd w:val="0"/>
              <w:spacing w:line="370" w:lineRule="exact"/>
              <w:rPr>
                <w:rFonts w:hint="default" w:eastAsia="宋体"/>
                <w:sz w:val="24"/>
                <w:lang w:val="en-US" w:eastAsia="zh-CN"/>
              </w:rPr>
            </w:pPr>
            <w:r>
              <w:rPr>
                <w:rFonts w:hint="eastAsia"/>
                <w:sz w:val="24"/>
              </w:rPr>
              <w:t>审批文件名称及文号：《关于</w:t>
            </w:r>
            <w:r>
              <w:rPr>
                <w:rFonts w:hint="eastAsia"/>
                <w:sz w:val="24"/>
                <w:lang w:eastAsia="zh-CN"/>
              </w:rPr>
              <w:t>〈</w:t>
            </w:r>
            <w:r>
              <w:rPr>
                <w:rFonts w:hint="eastAsia"/>
                <w:sz w:val="24"/>
              </w:rPr>
              <w:t>岳普湖县国土空间总体规划（2021-2035年）的批复</w:t>
            </w:r>
            <w:r>
              <w:rPr>
                <w:rFonts w:hint="eastAsia"/>
                <w:sz w:val="24"/>
                <w:lang w:eastAsia="zh-CN"/>
              </w:rPr>
              <w:t>〉</w:t>
            </w:r>
            <w:r>
              <w:rPr>
                <w:rFonts w:hint="eastAsia"/>
                <w:sz w:val="24"/>
              </w:rPr>
              <w:t>（喀署复[2024]36号）</w:t>
            </w:r>
          </w:p>
        </w:tc>
      </w:tr>
      <w:tr w14:paraId="266860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04" w:hRule="atLeast"/>
        </w:trPr>
        <w:tc>
          <w:tcPr>
            <w:tcW w:w="1560" w:type="dxa"/>
            <w:tcMar>
              <w:top w:w="16" w:type="dxa"/>
              <w:left w:w="16" w:type="dxa"/>
              <w:right w:w="16" w:type="dxa"/>
            </w:tcMar>
            <w:vAlign w:val="center"/>
          </w:tcPr>
          <w:p w14:paraId="4AC53E67">
            <w:pPr>
              <w:autoSpaceDE w:val="0"/>
              <w:autoSpaceDN w:val="0"/>
              <w:adjustRightInd w:val="0"/>
              <w:snapToGrid w:val="0"/>
              <w:jc w:val="center"/>
              <w:rPr>
                <w:sz w:val="24"/>
              </w:rPr>
            </w:pPr>
            <w:r>
              <w:rPr>
                <w:sz w:val="24"/>
              </w:rPr>
              <w:t>规划环境影响</w:t>
            </w:r>
          </w:p>
          <w:p w14:paraId="0BF7C824">
            <w:pPr>
              <w:autoSpaceDE w:val="0"/>
              <w:autoSpaceDN w:val="0"/>
              <w:adjustRightInd w:val="0"/>
              <w:snapToGrid w:val="0"/>
              <w:jc w:val="center"/>
              <w:rPr>
                <w:kern w:val="0"/>
                <w:sz w:val="24"/>
              </w:rPr>
            </w:pPr>
            <w:r>
              <w:rPr>
                <w:sz w:val="24"/>
              </w:rPr>
              <w:t>评价情况</w:t>
            </w:r>
          </w:p>
        </w:tc>
        <w:tc>
          <w:tcPr>
            <w:tcW w:w="7512" w:type="dxa"/>
            <w:gridSpan w:val="3"/>
            <w:tcMar>
              <w:top w:w="16" w:type="dxa"/>
              <w:left w:w="16" w:type="dxa"/>
              <w:right w:w="16" w:type="dxa"/>
            </w:tcMar>
            <w:vAlign w:val="center"/>
          </w:tcPr>
          <w:p w14:paraId="3BC5D4EF">
            <w:pPr>
              <w:adjustRightInd w:val="0"/>
              <w:snapToGrid w:val="0"/>
              <w:spacing w:line="300" w:lineRule="auto"/>
              <w:jc w:val="left"/>
              <w:rPr>
                <w:rFonts w:hint="eastAsia" w:hAnsi="宋体"/>
                <w:sz w:val="24"/>
              </w:rPr>
            </w:pPr>
            <w:r>
              <w:rPr>
                <w:rFonts w:hint="eastAsia" w:hAnsi="宋体"/>
                <w:sz w:val="24"/>
              </w:rPr>
              <w:t xml:space="preserve">1. </w:t>
            </w:r>
            <w:r>
              <w:rPr>
                <w:rFonts w:hAnsi="宋体"/>
                <w:sz w:val="24"/>
              </w:rPr>
              <w:t>《国家公路网规划</w:t>
            </w:r>
            <w:r>
              <w:rPr>
                <w:rFonts w:hint="eastAsia"/>
                <w:spacing w:val="5"/>
                <w:sz w:val="24"/>
                <w:szCs w:val="21"/>
                <w:lang w:bidi="ar"/>
              </w:rPr>
              <w:t>（</w:t>
            </w:r>
            <w:r>
              <w:rPr>
                <w:spacing w:val="5"/>
                <w:sz w:val="24"/>
                <w:szCs w:val="21"/>
                <w:lang w:bidi="ar"/>
              </w:rPr>
              <w:t>2022-2035</w:t>
            </w:r>
            <w:r>
              <w:rPr>
                <w:rFonts w:hint="eastAsia"/>
                <w:spacing w:val="5"/>
                <w:sz w:val="24"/>
                <w:szCs w:val="21"/>
                <w:lang w:bidi="ar"/>
              </w:rPr>
              <w:t>年）</w:t>
            </w:r>
            <w:r>
              <w:rPr>
                <w:rFonts w:hAnsi="宋体"/>
                <w:sz w:val="24"/>
              </w:rPr>
              <w:t>》</w:t>
            </w:r>
            <w:r>
              <w:rPr>
                <w:rFonts w:hint="eastAsia" w:hAnsi="宋体"/>
                <w:sz w:val="24"/>
              </w:rPr>
              <w:t>环保篇章</w:t>
            </w:r>
          </w:p>
          <w:p w14:paraId="2F86B615">
            <w:pPr>
              <w:adjustRightInd w:val="0"/>
              <w:snapToGrid w:val="0"/>
              <w:spacing w:line="300" w:lineRule="auto"/>
              <w:jc w:val="left"/>
              <w:rPr>
                <w:rFonts w:hint="eastAsia" w:hAnsi="宋体"/>
                <w:sz w:val="24"/>
              </w:rPr>
            </w:pPr>
            <w:r>
              <w:rPr>
                <w:rFonts w:hint="eastAsia" w:hAnsi="宋体"/>
                <w:sz w:val="24"/>
              </w:rPr>
              <w:t>征求意见机关：生态环境部等</w:t>
            </w:r>
          </w:p>
          <w:p w14:paraId="5E0414A0">
            <w:pPr>
              <w:adjustRightInd w:val="0"/>
              <w:snapToGrid w:val="0"/>
              <w:spacing w:line="300" w:lineRule="auto"/>
              <w:jc w:val="left"/>
              <w:rPr>
                <w:rFonts w:hint="eastAsia" w:hAnsi="宋体"/>
                <w:sz w:val="24"/>
              </w:rPr>
            </w:pPr>
            <w:r>
              <w:rPr>
                <w:rFonts w:hint="eastAsia" w:hAnsi="宋体"/>
                <w:sz w:val="24"/>
              </w:rPr>
              <w:t>审查文件名称及文号：</w:t>
            </w:r>
            <w:r>
              <w:rPr>
                <w:rFonts w:hint="eastAsia"/>
                <w:sz w:val="24"/>
              </w:rPr>
              <w:t>《关于印发</w:t>
            </w:r>
            <w:r>
              <w:rPr>
                <w:rFonts w:hint="eastAsia"/>
                <w:sz w:val="24"/>
                <w:lang w:eastAsia="zh-CN"/>
              </w:rPr>
              <w:t>〈</w:t>
            </w:r>
            <w:r>
              <w:rPr>
                <w:rFonts w:hint="eastAsia"/>
                <w:sz w:val="24"/>
              </w:rPr>
              <w:t>国家公路网规划（2022年-2035年）</w:t>
            </w:r>
            <w:r>
              <w:rPr>
                <w:rFonts w:hint="eastAsia"/>
                <w:sz w:val="24"/>
                <w:lang w:eastAsia="zh-CN"/>
              </w:rPr>
              <w:t>〉的通知》</w:t>
            </w:r>
            <w:r>
              <w:rPr>
                <w:rFonts w:hint="eastAsia"/>
                <w:sz w:val="24"/>
              </w:rPr>
              <w:t>（发改基础[2022]1033号）</w:t>
            </w:r>
          </w:p>
          <w:p w14:paraId="5D982586">
            <w:pPr>
              <w:adjustRightInd w:val="0"/>
              <w:snapToGrid w:val="0"/>
              <w:spacing w:line="300" w:lineRule="auto"/>
              <w:jc w:val="left"/>
              <w:rPr>
                <w:rFonts w:hint="eastAsia" w:hAnsi="宋体"/>
                <w:sz w:val="24"/>
              </w:rPr>
            </w:pPr>
            <w:r>
              <w:rPr>
                <w:rFonts w:hint="eastAsia" w:hAnsi="宋体"/>
                <w:sz w:val="24"/>
              </w:rPr>
              <w:t xml:space="preserve">2. </w:t>
            </w:r>
            <w:r>
              <w:rPr>
                <w:rFonts w:hAnsi="宋体"/>
                <w:sz w:val="24"/>
              </w:rPr>
              <w:t>《</w:t>
            </w:r>
            <w:r>
              <w:rPr>
                <w:rFonts w:hint="eastAsia" w:hAnsi="宋体"/>
                <w:sz w:val="24"/>
              </w:rPr>
              <w:t>新疆维吾尔自治区公路网规划（2021-2050年）</w:t>
            </w:r>
            <w:r>
              <w:rPr>
                <w:rFonts w:hAnsi="宋体"/>
                <w:sz w:val="24"/>
              </w:rPr>
              <w:t>环境影响报告书》</w:t>
            </w:r>
          </w:p>
          <w:p w14:paraId="30E478FF">
            <w:pPr>
              <w:adjustRightInd w:val="0"/>
              <w:snapToGrid w:val="0"/>
              <w:spacing w:line="300" w:lineRule="auto"/>
              <w:jc w:val="left"/>
              <w:rPr>
                <w:rFonts w:hint="eastAsia" w:hAnsi="宋体"/>
                <w:sz w:val="24"/>
              </w:rPr>
            </w:pPr>
            <w:r>
              <w:rPr>
                <w:rFonts w:hAnsi="宋体"/>
                <w:sz w:val="24"/>
              </w:rPr>
              <w:t>审查机关：</w:t>
            </w:r>
            <w:r>
              <w:rPr>
                <w:rFonts w:hint="eastAsia" w:hAnsi="宋体"/>
                <w:sz w:val="24"/>
              </w:rPr>
              <w:t>新疆维吾尔自治区生态环境厅</w:t>
            </w:r>
          </w:p>
          <w:p w14:paraId="48029704">
            <w:pPr>
              <w:adjustRightInd w:val="0"/>
              <w:snapToGrid w:val="0"/>
              <w:spacing w:line="300" w:lineRule="auto"/>
              <w:jc w:val="left"/>
              <w:rPr>
                <w:kern w:val="0"/>
                <w:sz w:val="24"/>
              </w:rPr>
            </w:pPr>
            <w:r>
              <w:rPr>
                <w:rFonts w:hint="eastAsia" w:hAnsi="宋体"/>
                <w:sz w:val="24"/>
              </w:rPr>
              <w:t>审查文件名称及文号：</w:t>
            </w:r>
            <w:r>
              <w:rPr>
                <w:rFonts w:hAnsi="宋体"/>
                <w:sz w:val="24"/>
              </w:rPr>
              <w:t>关于《</w:t>
            </w:r>
            <w:r>
              <w:rPr>
                <w:rFonts w:hint="eastAsia" w:hAnsi="宋体"/>
                <w:sz w:val="24"/>
              </w:rPr>
              <w:t>新疆维吾尔自治区公路网规划（2021-2050年）环境影响报告书</w:t>
            </w:r>
            <w:r>
              <w:rPr>
                <w:rFonts w:hAnsi="宋体"/>
                <w:sz w:val="24"/>
              </w:rPr>
              <w:t>》的审查意见</w:t>
            </w:r>
            <w:r>
              <w:rPr>
                <w:rFonts w:hint="eastAsia" w:hAnsi="宋体"/>
                <w:sz w:val="24"/>
              </w:rPr>
              <w:t>（新环环评函[2021]880号）</w:t>
            </w:r>
          </w:p>
        </w:tc>
      </w:tr>
      <w:tr w14:paraId="78089C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560" w:type="dxa"/>
            <w:tcMar>
              <w:top w:w="16" w:type="dxa"/>
              <w:left w:w="16" w:type="dxa"/>
              <w:right w:w="16" w:type="dxa"/>
            </w:tcMar>
            <w:vAlign w:val="center"/>
          </w:tcPr>
          <w:p w14:paraId="0D3C8624">
            <w:pPr>
              <w:autoSpaceDE w:val="0"/>
              <w:autoSpaceDN w:val="0"/>
              <w:adjustRightInd w:val="0"/>
              <w:snapToGrid w:val="0"/>
              <w:spacing w:line="300" w:lineRule="auto"/>
              <w:jc w:val="center"/>
              <w:rPr>
                <w:kern w:val="0"/>
                <w:sz w:val="24"/>
              </w:rPr>
            </w:pPr>
            <w:r>
              <w:rPr>
                <w:sz w:val="24"/>
              </w:rPr>
              <w:t>规划及规划环境影响评价</w:t>
            </w:r>
            <w:r>
              <w:rPr>
                <w:kern w:val="0"/>
                <w:sz w:val="24"/>
              </w:rPr>
              <w:t>符合性分析</w:t>
            </w:r>
          </w:p>
        </w:tc>
        <w:tc>
          <w:tcPr>
            <w:tcW w:w="7512" w:type="dxa"/>
            <w:gridSpan w:val="3"/>
            <w:tcMar>
              <w:top w:w="16" w:type="dxa"/>
              <w:left w:w="16" w:type="dxa"/>
              <w:right w:w="16" w:type="dxa"/>
            </w:tcMar>
            <w:vAlign w:val="center"/>
          </w:tcPr>
          <w:p w14:paraId="65F2D6BD">
            <w:pPr>
              <w:autoSpaceDE w:val="0"/>
              <w:autoSpaceDN w:val="0"/>
              <w:adjustRightInd w:val="0"/>
              <w:spacing w:line="300" w:lineRule="auto"/>
              <w:jc w:val="left"/>
              <w:rPr>
                <w:rFonts w:hint="eastAsia" w:hAnsi="宋体"/>
                <w:b/>
                <w:bCs/>
                <w:sz w:val="24"/>
              </w:rPr>
            </w:pPr>
            <w:r>
              <w:rPr>
                <w:rFonts w:hint="eastAsia" w:hAnsi="宋体"/>
                <w:b/>
                <w:bCs/>
                <w:sz w:val="24"/>
              </w:rPr>
              <w:t>1. 与《</w:t>
            </w:r>
            <w:r>
              <w:rPr>
                <w:rFonts w:hAnsi="宋体"/>
                <w:b/>
                <w:bCs/>
                <w:sz w:val="24"/>
              </w:rPr>
              <w:t>国家公路网规划</w:t>
            </w:r>
            <w:r>
              <w:rPr>
                <w:rFonts w:hint="eastAsia" w:hAnsi="宋体"/>
                <w:b/>
                <w:bCs/>
                <w:sz w:val="24"/>
              </w:rPr>
              <w:t>（</w:t>
            </w:r>
            <w:r>
              <w:rPr>
                <w:rFonts w:hAnsi="宋体"/>
                <w:b/>
                <w:bCs/>
                <w:sz w:val="24"/>
              </w:rPr>
              <w:t>20</w:t>
            </w:r>
            <w:r>
              <w:rPr>
                <w:rFonts w:hint="eastAsia" w:hAnsi="宋体"/>
                <w:b/>
                <w:bCs/>
                <w:sz w:val="24"/>
              </w:rPr>
              <w:t>22</w:t>
            </w:r>
            <w:r>
              <w:rPr>
                <w:rFonts w:hAnsi="宋体"/>
                <w:b/>
                <w:bCs/>
                <w:sz w:val="24"/>
              </w:rPr>
              <w:t>-203</w:t>
            </w:r>
            <w:r>
              <w:rPr>
                <w:rFonts w:hint="eastAsia" w:hAnsi="宋体"/>
                <w:b/>
                <w:bCs/>
                <w:sz w:val="24"/>
              </w:rPr>
              <w:t>5年）》及环保篇章的符合性分析</w:t>
            </w:r>
          </w:p>
          <w:p w14:paraId="3024EB53">
            <w:pPr>
              <w:autoSpaceDE w:val="0"/>
              <w:autoSpaceDN w:val="0"/>
              <w:spacing w:line="300" w:lineRule="auto"/>
              <w:ind w:firstLine="480" w:firstLineChars="200"/>
              <w:contextualSpacing/>
              <w:rPr>
                <w:rFonts w:hint="default" w:hAnsi="宋体" w:eastAsia="宋体"/>
                <w:sz w:val="24"/>
                <w:lang w:val="en-US" w:eastAsia="zh-CN"/>
              </w:rPr>
            </w:pPr>
            <w:r>
              <w:rPr>
                <w:rFonts w:hint="eastAsia" w:hAnsi="宋体"/>
                <w:sz w:val="24"/>
              </w:rPr>
              <w:t>拟建公路是《国家公路网规划（2022-2035年）》中G219线新疆段的组成部分，是克州、喀什地区中部的重要通道，项目建设不仅可以完善区域的公路网结构、缓解区间交通紧张现象，更是对实现沿线城镇高质量发展、维护边境稳定与国防安全以及促进社会经济发展具有重要意义。因此，拟建公路与国家公路网规划是相符的</w:t>
            </w:r>
            <w:r>
              <w:rPr>
                <w:rFonts w:hint="eastAsia" w:hAnsi="宋体"/>
                <w:sz w:val="24"/>
                <w:lang w:val="en-US" w:eastAsia="zh-CN"/>
              </w:rPr>
              <w:t>。</w:t>
            </w:r>
          </w:p>
          <w:p w14:paraId="1364A0C1">
            <w:pPr>
              <w:spacing w:line="300" w:lineRule="auto"/>
              <w:ind w:right="12" w:rightChars="6" w:firstLine="480" w:firstLineChars="200"/>
              <w:rPr>
                <w:kern w:val="0"/>
                <w:sz w:val="24"/>
                <w:szCs w:val="20"/>
              </w:rPr>
            </w:pPr>
            <w:r>
              <w:rPr>
                <w:rFonts w:hint="eastAsia" w:cs="宋体"/>
                <w:kern w:val="0"/>
                <w:sz w:val="24"/>
                <w:szCs w:val="20"/>
                <w:lang w:bidi="ar"/>
              </w:rPr>
              <w:t>根据《国家公路网规划（</w:t>
            </w:r>
            <w:r>
              <w:rPr>
                <w:kern w:val="0"/>
                <w:sz w:val="24"/>
                <w:szCs w:val="20"/>
                <w:lang w:bidi="ar"/>
              </w:rPr>
              <w:t>2022-2035</w:t>
            </w:r>
            <w:r>
              <w:rPr>
                <w:rFonts w:hint="eastAsia" w:cs="宋体"/>
                <w:kern w:val="0"/>
                <w:sz w:val="24"/>
                <w:szCs w:val="20"/>
                <w:lang w:bidi="ar"/>
              </w:rPr>
              <w:t>年）》环保篇章</w:t>
            </w:r>
            <w:r>
              <w:rPr>
                <w:rFonts w:hint="eastAsia" w:cs="宋体"/>
                <w:kern w:val="0"/>
                <w:sz w:val="24"/>
                <w:szCs w:val="20"/>
                <w:lang w:val="en-US" w:eastAsia="zh-CN" w:bidi="ar"/>
              </w:rPr>
              <w:t>-</w:t>
            </w:r>
            <w:r>
              <w:rPr>
                <w:rFonts w:hint="eastAsia" w:cs="宋体"/>
                <w:kern w:val="0"/>
                <w:sz w:val="24"/>
                <w:szCs w:val="20"/>
                <w:lang w:bidi="ar"/>
              </w:rPr>
              <w:t>第五章环境影响及对策，</w:t>
            </w:r>
            <w:r>
              <w:rPr>
                <w:rFonts w:hint="eastAsia" w:cs="宋体"/>
                <w:spacing w:val="5"/>
                <w:sz w:val="24"/>
                <w:szCs w:val="21"/>
                <w:lang w:bidi="ar"/>
              </w:rPr>
              <w:t>拟建公路</w:t>
            </w:r>
            <w:r>
              <w:rPr>
                <w:rFonts w:hint="eastAsia" w:cs="宋体"/>
                <w:spacing w:val="5"/>
                <w:sz w:val="24"/>
                <w:szCs w:val="21"/>
                <w:lang w:val="en-US" w:eastAsia="zh-CN" w:bidi="ar"/>
              </w:rPr>
              <w:t>与国家公路网规划</w:t>
            </w:r>
            <w:r>
              <w:rPr>
                <w:rFonts w:hint="eastAsia" w:cs="宋体"/>
                <w:kern w:val="0"/>
                <w:sz w:val="24"/>
                <w:szCs w:val="20"/>
                <w:lang w:bidi="ar"/>
              </w:rPr>
              <w:t>的符合性分析见表</w:t>
            </w:r>
            <w:r>
              <w:rPr>
                <w:rFonts w:hint="eastAsia"/>
                <w:kern w:val="0"/>
                <w:sz w:val="24"/>
                <w:szCs w:val="20"/>
                <w:lang w:val="en-US" w:eastAsia="zh-CN" w:bidi="ar"/>
              </w:rPr>
              <w:t>1</w:t>
            </w:r>
            <w:r>
              <w:rPr>
                <w:kern w:val="0"/>
                <w:sz w:val="24"/>
                <w:szCs w:val="20"/>
                <w:lang w:bidi="ar"/>
              </w:rPr>
              <w:t>-1</w:t>
            </w:r>
            <w:r>
              <w:rPr>
                <w:rFonts w:hint="eastAsia" w:cs="宋体"/>
                <w:kern w:val="0"/>
                <w:sz w:val="24"/>
                <w:szCs w:val="20"/>
                <w:lang w:bidi="ar"/>
              </w:rPr>
              <w:t>。</w:t>
            </w:r>
          </w:p>
          <w:p w14:paraId="1677B82D">
            <w:pPr>
              <w:spacing w:before="120" w:beforeLines="50"/>
              <w:jc w:val="center"/>
              <w:rPr>
                <w:b/>
              </w:rPr>
            </w:pPr>
            <w:r>
              <w:rPr>
                <w:rFonts w:hint="eastAsia" w:cs="宋体"/>
                <w:b/>
                <w:szCs w:val="21"/>
                <w:lang w:bidi="ar"/>
              </w:rPr>
              <w:t>表</w:t>
            </w:r>
            <w:r>
              <w:rPr>
                <w:rFonts w:hint="eastAsia"/>
                <w:b/>
                <w:szCs w:val="21"/>
                <w:lang w:val="en-US" w:eastAsia="zh-CN" w:bidi="ar"/>
              </w:rPr>
              <w:t>1</w:t>
            </w:r>
            <w:r>
              <w:rPr>
                <w:b/>
                <w:szCs w:val="21"/>
                <w:lang w:bidi="ar"/>
              </w:rPr>
              <w:t xml:space="preserve">-1  </w:t>
            </w:r>
            <w:r>
              <w:rPr>
                <w:rFonts w:hint="eastAsia" w:cs="宋体"/>
                <w:b/>
                <w:szCs w:val="21"/>
                <w:lang w:bidi="ar"/>
              </w:rPr>
              <w:t>拟建公路与国家公路网规划符合性分析表</w:t>
            </w:r>
          </w:p>
          <w:tbl>
            <w:tblPr>
              <w:tblStyle w:val="22"/>
              <w:tblW w:w="7372"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51"/>
              <w:gridCol w:w="4023"/>
              <w:gridCol w:w="2698"/>
            </w:tblGrid>
            <w:tr w14:paraId="7C5A307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blHeader/>
                <w:jc w:val="center"/>
              </w:trPr>
              <w:tc>
                <w:tcPr>
                  <w:tcW w:w="651" w:type="dxa"/>
                  <w:vAlign w:val="center"/>
                </w:tcPr>
                <w:p w14:paraId="09E14256">
                  <w:pPr>
                    <w:pStyle w:val="20"/>
                    <w:widowControl w:val="0"/>
                    <w:snapToGrid w:val="0"/>
                    <w:spacing w:before="0" w:beforeAutospacing="0" w:after="0" w:afterAutospacing="0"/>
                    <w:jc w:val="center"/>
                    <w:outlineLvl w:val="5"/>
                    <w:rPr>
                      <w:rFonts w:ascii="Times New Roman" w:hAnsi="Times New Roman"/>
                      <w:b/>
                      <w:szCs w:val="21"/>
                    </w:rPr>
                  </w:pPr>
                  <w:r>
                    <w:rPr>
                      <w:rFonts w:hint="eastAsia" w:ascii="Times New Roman" w:hAnsi="Times New Roman"/>
                      <w:b/>
                      <w:bCs/>
                      <w:sz w:val="21"/>
                      <w:szCs w:val="21"/>
                      <w:lang w:bidi="ar"/>
                    </w:rPr>
                    <w:t>序号</w:t>
                  </w:r>
                </w:p>
              </w:tc>
              <w:tc>
                <w:tcPr>
                  <w:tcW w:w="4023" w:type="dxa"/>
                  <w:vAlign w:val="center"/>
                </w:tcPr>
                <w:p w14:paraId="21BA8242">
                  <w:pPr>
                    <w:pStyle w:val="20"/>
                    <w:widowControl w:val="0"/>
                    <w:snapToGrid w:val="0"/>
                    <w:spacing w:before="0" w:beforeAutospacing="0" w:after="0" w:afterAutospacing="0"/>
                    <w:jc w:val="center"/>
                    <w:outlineLvl w:val="5"/>
                    <w:rPr>
                      <w:rFonts w:ascii="Times New Roman" w:hAnsi="Times New Roman"/>
                      <w:b/>
                      <w:szCs w:val="21"/>
                    </w:rPr>
                  </w:pPr>
                  <w:r>
                    <w:rPr>
                      <w:rFonts w:hint="eastAsia" w:ascii="Times New Roman" w:hAnsi="Times New Roman"/>
                      <w:b/>
                      <w:bCs/>
                      <w:sz w:val="21"/>
                      <w:szCs w:val="21"/>
                      <w:lang w:bidi="ar"/>
                    </w:rPr>
                    <w:t>国家公路网规划</w:t>
                  </w:r>
                </w:p>
              </w:tc>
              <w:tc>
                <w:tcPr>
                  <w:tcW w:w="2698" w:type="dxa"/>
                  <w:vAlign w:val="center"/>
                </w:tcPr>
                <w:p w14:paraId="0B23ED7B">
                  <w:pPr>
                    <w:pStyle w:val="20"/>
                    <w:widowControl w:val="0"/>
                    <w:snapToGrid w:val="0"/>
                    <w:spacing w:before="0" w:beforeAutospacing="0" w:after="0" w:afterAutospacing="0"/>
                    <w:jc w:val="center"/>
                    <w:outlineLvl w:val="5"/>
                    <w:rPr>
                      <w:rFonts w:ascii="Times New Roman" w:hAnsi="Times New Roman"/>
                      <w:b/>
                      <w:szCs w:val="21"/>
                    </w:rPr>
                  </w:pPr>
                  <w:r>
                    <w:rPr>
                      <w:rFonts w:hint="eastAsia" w:ascii="Times New Roman" w:hAnsi="Times New Roman"/>
                      <w:b/>
                      <w:bCs/>
                      <w:sz w:val="21"/>
                      <w:szCs w:val="21"/>
                      <w:lang w:bidi="ar"/>
                    </w:rPr>
                    <w:t>符合性分析</w:t>
                  </w:r>
                </w:p>
              </w:tc>
            </w:tr>
            <w:tr w14:paraId="7FDA367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51" w:type="dxa"/>
                  <w:vAlign w:val="center"/>
                </w:tcPr>
                <w:p w14:paraId="2B015810">
                  <w:pPr>
                    <w:pStyle w:val="20"/>
                    <w:widowControl w:val="0"/>
                    <w:snapToGrid w:val="0"/>
                    <w:spacing w:before="0" w:beforeAutospacing="0" w:after="0" w:afterAutospacing="0"/>
                    <w:jc w:val="center"/>
                    <w:outlineLvl w:val="5"/>
                    <w:rPr>
                      <w:rFonts w:ascii="Times New Roman" w:hAnsi="Times New Roman"/>
                      <w:szCs w:val="21"/>
                    </w:rPr>
                  </w:pPr>
                  <w:r>
                    <w:rPr>
                      <w:rFonts w:ascii="Times New Roman" w:hAnsi="Times New Roman"/>
                      <w:bCs/>
                      <w:sz w:val="21"/>
                      <w:szCs w:val="21"/>
                      <w:lang w:bidi="ar"/>
                    </w:rPr>
                    <w:t>1</w:t>
                  </w:r>
                </w:p>
              </w:tc>
              <w:tc>
                <w:tcPr>
                  <w:tcW w:w="4023" w:type="dxa"/>
                  <w:vAlign w:val="center"/>
                </w:tcPr>
                <w:p w14:paraId="6D9C1EC6">
                  <w:pPr>
                    <w:jc w:val="left"/>
                    <w:rPr>
                      <w:rFonts w:eastAsia="FZFSK--GBK1-0"/>
                    </w:rPr>
                  </w:pPr>
                  <w:r>
                    <w:rPr>
                      <w:rFonts w:hint="eastAsia" w:hAnsi="FZFSK--GBK1-0" w:eastAsia="FZFSK--GBK1-0" w:cs="FZFSK--GBK1-0"/>
                      <w:szCs w:val="21"/>
                      <w:lang w:bidi="ar"/>
                    </w:rPr>
                    <w:t>强化生态保护修复，公路选线最大限度避让各类环境敏感目标，重要敏感区无法避让的需从地下或空中穿（跨）越，同步开展原生动植物保护、湿地连通、创面生态修复和动物通道建设。</w:t>
                  </w:r>
                </w:p>
              </w:tc>
              <w:tc>
                <w:tcPr>
                  <w:tcW w:w="2698" w:type="dxa"/>
                  <w:vAlign w:val="center"/>
                </w:tcPr>
                <w:p w14:paraId="19557E47">
                  <w:pPr>
                    <w:pStyle w:val="20"/>
                    <w:widowControl w:val="0"/>
                    <w:snapToGrid w:val="0"/>
                    <w:spacing w:before="0" w:beforeAutospacing="0" w:after="0" w:afterAutospacing="0"/>
                    <w:ind w:left="-84" w:leftChars="-40" w:right="-63" w:rightChars="-30"/>
                    <w:jc w:val="both"/>
                    <w:outlineLvl w:val="5"/>
                    <w:rPr>
                      <w:rFonts w:ascii="Times New Roman" w:hAnsi="Times New Roman"/>
                      <w:szCs w:val="21"/>
                    </w:rPr>
                  </w:pPr>
                  <w:r>
                    <w:rPr>
                      <w:rFonts w:hint="eastAsia" w:ascii="Times New Roman" w:hAnsi="Times New Roman"/>
                      <w:bCs/>
                      <w:sz w:val="21"/>
                      <w:szCs w:val="21"/>
                      <w:lang w:bidi="ar"/>
                    </w:rPr>
                    <w:t>拟建公路为改扩建项目，</w:t>
                  </w:r>
                  <w:r>
                    <w:rPr>
                      <w:rFonts w:hint="eastAsia" w:ascii="Times New Roman" w:hAnsi="Times New Roman"/>
                      <w:bCs/>
                      <w:sz w:val="21"/>
                      <w:szCs w:val="21"/>
                      <w:lang w:val="en-US" w:eastAsia="zh-CN" w:bidi="ar"/>
                    </w:rPr>
                    <w:t>基本</w:t>
                  </w:r>
                  <w:r>
                    <w:rPr>
                      <w:rFonts w:hint="eastAsia" w:ascii="Times New Roman" w:hAnsi="Times New Roman"/>
                      <w:bCs/>
                      <w:sz w:val="21"/>
                      <w:szCs w:val="21"/>
                      <w:lang w:bidi="ar"/>
                    </w:rPr>
                    <w:t>沿现有老路改扩建，沿线不涉及自然保护区、风景名胜区、湿地公园、生态保护红线等重要生态敏感目标。</w:t>
                  </w:r>
                </w:p>
              </w:tc>
            </w:tr>
            <w:tr w14:paraId="15F756A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51" w:type="dxa"/>
                  <w:vAlign w:val="center"/>
                </w:tcPr>
                <w:p w14:paraId="71678648">
                  <w:pPr>
                    <w:pStyle w:val="20"/>
                    <w:widowControl w:val="0"/>
                    <w:snapToGrid w:val="0"/>
                    <w:spacing w:before="0" w:beforeAutospacing="0" w:after="0" w:afterAutospacing="0"/>
                    <w:jc w:val="center"/>
                    <w:outlineLvl w:val="5"/>
                    <w:rPr>
                      <w:rFonts w:ascii="Times New Roman" w:hAnsi="Times New Roman"/>
                      <w:szCs w:val="21"/>
                    </w:rPr>
                  </w:pPr>
                  <w:r>
                    <w:rPr>
                      <w:rFonts w:ascii="Times New Roman" w:hAnsi="Times New Roman"/>
                      <w:bCs/>
                      <w:sz w:val="21"/>
                      <w:szCs w:val="21"/>
                      <w:lang w:bidi="ar"/>
                    </w:rPr>
                    <w:t>2</w:t>
                  </w:r>
                </w:p>
              </w:tc>
              <w:tc>
                <w:tcPr>
                  <w:tcW w:w="4023" w:type="dxa"/>
                  <w:vAlign w:val="center"/>
                </w:tcPr>
                <w:p w14:paraId="2B977477">
                  <w:pPr>
                    <w:jc w:val="left"/>
                    <w:rPr>
                      <w:rFonts w:hint="eastAsia" w:eastAsia="FZFSK--GBK1-0"/>
                      <w:lang w:eastAsia="zh-CN"/>
                    </w:rPr>
                  </w:pPr>
                  <w:r>
                    <w:rPr>
                      <w:rFonts w:hint="eastAsia" w:hAnsi="FZFSK--GBK1-0" w:eastAsia="FZFSK--GBK1-0" w:cs="FZFSK--GBK1-0"/>
                      <w:szCs w:val="21"/>
                      <w:lang w:bidi="ar"/>
                    </w:rPr>
                    <w:t>协同促进碳减排与大气污染防治，加强与其他运输方式衔接，为推动多式联运发展和推广使用新能源汽车创造良好环境，探索提高国家公路通道碳汇能力</w:t>
                  </w:r>
                  <w:r>
                    <w:rPr>
                      <w:rFonts w:hint="eastAsia" w:hAnsi="FZFSK--GBK1-0" w:eastAsia="FZFSK--GBK1-0" w:cs="FZFSK--GBK1-0"/>
                      <w:szCs w:val="21"/>
                      <w:lang w:eastAsia="zh-CN" w:bidi="ar"/>
                    </w:rPr>
                    <w:t>。</w:t>
                  </w:r>
                </w:p>
              </w:tc>
              <w:tc>
                <w:tcPr>
                  <w:tcW w:w="2698" w:type="dxa"/>
                  <w:vAlign w:val="center"/>
                </w:tcPr>
                <w:p w14:paraId="6C5BB9E4">
                  <w:pPr>
                    <w:pStyle w:val="20"/>
                    <w:widowControl w:val="0"/>
                    <w:snapToGrid w:val="0"/>
                    <w:spacing w:before="0" w:beforeAutospacing="0" w:after="0" w:afterAutospacing="0"/>
                    <w:ind w:left="-84" w:leftChars="-40" w:right="-63" w:rightChars="-30"/>
                    <w:jc w:val="both"/>
                    <w:outlineLvl w:val="5"/>
                    <w:rPr>
                      <w:rFonts w:ascii="Times New Roman" w:hAnsi="Times New Roman"/>
                      <w:szCs w:val="21"/>
                    </w:rPr>
                  </w:pPr>
                  <w:r>
                    <w:rPr>
                      <w:rFonts w:hint="eastAsia" w:ascii="Times New Roman" w:hAnsi="Times New Roman"/>
                      <w:bCs/>
                      <w:sz w:val="21"/>
                      <w:szCs w:val="21"/>
                      <w:lang w:bidi="ar"/>
                    </w:rPr>
                    <w:t>拟建公路的建设能显著提高沿线运输效率，提高国家公路通道碳汇能力。</w:t>
                  </w:r>
                </w:p>
              </w:tc>
            </w:tr>
            <w:tr w14:paraId="25FC648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51" w:type="dxa"/>
                  <w:vAlign w:val="center"/>
                </w:tcPr>
                <w:p w14:paraId="4CC494E5">
                  <w:pPr>
                    <w:pStyle w:val="20"/>
                    <w:widowControl w:val="0"/>
                    <w:snapToGrid w:val="0"/>
                    <w:spacing w:before="0" w:beforeAutospacing="0" w:after="0" w:afterAutospacing="0"/>
                    <w:jc w:val="center"/>
                    <w:outlineLvl w:val="5"/>
                    <w:rPr>
                      <w:rFonts w:ascii="Times New Roman" w:hAnsi="Times New Roman"/>
                      <w:szCs w:val="21"/>
                    </w:rPr>
                  </w:pPr>
                  <w:r>
                    <w:rPr>
                      <w:rFonts w:ascii="Times New Roman" w:hAnsi="Times New Roman"/>
                      <w:bCs/>
                      <w:sz w:val="21"/>
                      <w:szCs w:val="21"/>
                      <w:lang w:bidi="ar"/>
                    </w:rPr>
                    <w:t>3</w:t>
                  </w:r>
                </w:p>
              </w:tc>
              <w:tc>
                <w:tcPr>
                  <w:tcW w:w="4023" w:type="dxa"/>
                  <w:vAlign w:val="center"/>
                </w:tcPr>
                <w:p w14:paraId="2C90E691">
                  <w:pPr>
                    <w:jc w:val="left"/>
                    <w:rPr>
                      <w:rFonts w:eastAsia="FZFSK--GBK1-0"/>
                    </w:rPr>
                  </w:pPr>
                  <w:r>
                    <w:rPr>
                      <w:rFonts w:hint="eastAsia" w:hAnsi="FZFSK--GBK1-0" w:eastAsia="FZFSK--GBK1-0" w:cs="FZFSK--GBK1-0"/>
                      <w:szCs w:val="21"/>
                      <w:lang w:bidi="ar"/>
                    </w:rPr>
                    <w:t>强化水环境污染防治，尽可能避免占用河湖空间特别是饮用水水源保护区，如占用须采用</w:t>
                  </w:r>
                  <w:r>
                    <w:rPr>
                      <w:rFonts w:eastAsia="TimesNewRomanPSMT"/>
                      <w:szCs w:val="21"/>
                      <w:lang w:bidi="ar"/>
                    </w:rPr>
                    <w:t>“</w:t>
                  </w:r>
                  <w:r>
                    <w:rPr>
                      <w:rFonts w:hint="eastAsia" w:hAnsi="FZFSK--GBK1-0" w:eastAsia="FZFSK--GBK1-0" w:cs="FZFSK--GBK1-0"/>
                      <w:szCs w:val="21"/>
                      <w:lang w:bidi="ar"/>
                    </w:rPr>
                    <w:t>封闭式</w:t>
                  </w:r>
                  <w:r>
                    <w:rPr>
                      <w:rFonts w:eastAsia="TimesNewRomanPSMT"/>
                      <w:szCs w:val="21"/>
                      <w:lang w:bidi="ar"/>
                    </w:rPr>
                    <w:t>”</w:t>
                  </w:r>
                  <w:r>
                    <w:rPr>
                      <w:rFonts w:hint="eastAsia" w:hAnsi="FZFSK--GBK1-0" w:eastAsia="FZFSK--GBK1-0" w:cs="FZFSK--GBK1-0"/>
                      <w:szCs w:val="21"/>
                      <w:lang w:bidi="ar"/>
                    </w:rPr>
                    <w:t>排水和水处理系统，强化公路施工期和运营期服务区污水处理，有条件的纳入城市污水管网。</w:t>
                  </w:r>
                </w:p>
              </w:tc>
              <w:tc>
                <w:tcPr>
                  <w:tcW w:w="2698" w:type="dxa"/>
                  <w:vAlign w:val="center"/>
                </w:tcPr>
                <w:p w14:paraId="4DEA0631">
                  <w:pPr>
                    <w:pStyle w:val="20"/>
                    <w:widowControl w:val="0"/>
                    <w:snapToGrid w:val="0"/>
                    <w:spacing w:before="0" w:beforeAutospacing="0" w:after="0" w:afterAutospacing="0"/>
                    <w:ind w:left="-84" w:leftChars="-40" w:right="-63" w:rightChars="-30"/>
                    <w:jc w:val="both"/>
                    <w:rPr>
                      <w:rFonts w:ascii="Times New Roman" w:hAnsi="Times New Roman"/>
                      <w:szCs w:val="21"/>
                    </w:rPr>
                  </w:pPr>
                  <w:r>
                    <w:rPr>
                      <w:rFonts w:hint="eastAsia" w:ascii="Times New Roman" w:hAnsi="Times New Roman"/>
                      <w:bCs/>
                      <w:sz w:val="21"/>
                      <w:szCs w:val="21"/>
                      <w:lang w:val="en-US" w:eastAsia="zh-CN" w:bidi="ar"/>
                    </w:rPr>
                    <w:t>拟建公路</w:t>
                  </w:r>
                  <w:r>
                    <w:rPr>
                      <w:rFonts w:hint="eastAsia" w:ascii="Times New Roman" w:hAnsi="Times New Roman"/>
                      <w:bCs/>
                      <w:sz w:val="21"/>
                      <w:szCs w:val="21"/>
                      <w:lang w:bidi="ar"/>
                    </w:rPr>
                    <w:t>不穿越饮用水水源保护区，施工期</w:t>
                  </w:r>
                  <w:r>
                    <w:rPr>
                      <w:rFonts w:hint="eastAsia" w:ascii="Times New Roman" w:hAnsi="Times New Roman"/>
                      <w:bCs/>
                      <w:sz w:val="21"/>
                      <w:szCs w:val="21"/>
                      <w:lang w:val="en-US" w:eastAsia="zh-CN" w:bidi="ar"/>
                    </w:rPr>
                    <w:t>生活</w:t>
                  </w:r>
                  <w:r>
                    <w:rPr>
                      <w:rFonts w:hint="eastAsia" w:ascii="Times New Roman" w:hAnsi="Times New Roman"/>
                      <w:bCs/>
                      <w:sz w:val="21"/>
                      <w:szCs w:val="21"/>
                      <w:lang w:bidi="ar"/>
                    </w:rPr>
                    <w:t>污水和运营期服务设施污水处理后用于绿化</w:t>
                  </w:r>
                  <w:r>
                    <w:rPr>
                      <w:rFonts w:hint="eastAsia" w:ascii="Times New Roman" w:hAnsi="Times New Roman"/>
                      <w:bCs/>
                      <w:sz w:val="21"/>
                      <w:szCs w:val="21"/>
                      <w:lang w:eastAsia="zh-CN" w:bidi="ar"/>
                    </w:rPr>
                    <w:t>、</w:t>
                  </w:r>
                  <w:r>
                    <w:rPr>
                      <w:rFonts w:hint="eastAsia" w:ascii="Times New Roman" w:hAnsi="Times New Roman"/>
                      <w:bCs/>
                      <w:sz w:val="21"/>
                      <w:szCs w:val="21"/>
                      <w:lang w:val="en-US" w:eastAsia="zh-CN" w:bidi="ar"/>
                    </w:rPr>
                    <w:t>降尘</w:t>
                  </w:r>
                  <w:r>
                    <w:rPr>
                      <w:rFonts w:hint="eastAsia" w:ascii="Times New Roman" w:hAnsi="Times New Roman"/>
                      <w:bCs/>
                      <w:sz w:val="21"/>
                      <w:szCs w:val="21"/>
                      <w:lang w:bidi="ar"/>
                    </w:rPr>
                    <w:t>，不外排。</w:t>
                  </w:r>
                </w:p>
              </w:tc>
            </w:tr>
            <w:tr w14:paraId="03300E9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51" w:type="dxa"/>
                  <w:vAlign w:val="center"/>
                </w:tcPr>
                <w:p w14:paraId="5EA8BFD8">
                  <w:pPr>
                    <w:pStyle w:val="20"/>
                    <w:widowControl w:val="0"/>
                    <w:snapToGrid w:val="0"/>
                    <w:spacing w:before="0" w:beforeAutospacing="0" w:after="0" w:afterAutospacing="0"/>
                    <w:jc w:val="center"/>
                    <w:outlineLvl w:val="5"/>
                    <w:rPr>
                      <w:rFonts w:ascii="Times New Roman" w:hAnsi="Times New Roman"/>
                      <w:szCs w:val="21"/>
                    </w:rPr>
                  </w:pPr>
                  <w:r>
                    <w:rPr>
                      <w:rFonts w:ascii="Times New Roman" w:hAnsi="Times New Roman"/>
                      <w:bCs/>
                      <w:sz w:val="21"/>
                      <w:szCs w:val="21"/>
                      <w:lang w:bidi="ar"/>
                    </w:rPr>
                    <w:t>4</w:t>
                  </w:r>
                </w:p>
              </w:tc>
              <w:tc>
                <w:tcPr>
                  <w:tcW w:w="4023" w:type="dxa"/>
                  <w:vAlign w:val="center"/>
                </w:tcPr>
                <w:p w14:paraId="0AD49B89">
                  <w:pPr>
                    <w:jc w:val="left"/>
                    <w:rPr>
                      <w:rFonts w:hint="eastAsia" w:eastAsia="FZFSK--GBK1-0"/>
                      <w:lang w:eastAsia="zh-CN"/>
                    </w:rPr>
                  </w:pPr>
                  <w:r>
                    <w:rPr>
                      <w:rFonts w:hint="eastAsia" w:hAnsi="FZFSK--GBK1-0" w:eastAsia="FZFSK--GBK1-0" w:cs="FZFSK--GBK1-0"/>
                      <w:szCs w:val="21"/>
                      <w:lang w:bidi="ar"/>
                    </w:rPr>
                    <w:t>强化噪声污染防治，在敏感区域落实噪声防护距离的要求，在可能造成噪声污染的重点路段设置声屏障或者采取其他降低噪声的有效措施</w:t>
                  </w:r>
                  <w:r>
                    <w:rPr>
                      <w:rFonts w:hint="eastAsia" w:hAnsi="FZFSK--GBK1-0" w:eastAsia="FZFSK--GBK1-0" w:cs="FZFSK--GBK1-0"/>
                      <w:szCs w:val="21"/>
                      <w:lang w:eastAsia="zh-CN" w:bidi="ar"/>
                    </w:rPr>
                    <w:t>。</w:t>
                  </w:r>
                </w:p>
              </w:tc>
              <w:tc>
                <w:tcPr>
                  <w:tcW w:w="2698" w:type="dxa"/>
                  <w:vAlign w:val="center"/>
                </w:tcPr>
                <w:p w14:paraId="195F96FC">
                  <w:pPr>
                    <w:pStyle w:val="20"/>
                    <w:widowControl w:val="0"/>
                    <w:snapToGrid w:val="0"/>
                    <w:spacing w:before="0" w:beforeAutospacing="0" w:after="0" w:afterAutospacing="0"/>
                    <w:ind w:left="-84" w:leftChars="-40" w:right="-63" w:rightChars="-30"/>
                    <w:jc w:val="both"/>
                    <w:rPr>
                      <w:rFonts w:ascii="Times New Roman" w:hAnsi="Times New Roman"/>
                      <w:szCs w:val="21"/>
                    </w:rPr>
                  </w:pPr>
                  <w:r>
                    <w:rPr>
                      <w:rFonts w:hint="eastAsia" w:ascii="Times New Roman" w:hAnsi="Times New Roman"/>
                      <w:bCs/>
                      <w:sz w:val="21"/>
                      <w:szCs w:val="21"/>
                      <w:lang w:bidi="ar"/>
                    </w:rPr>
                    <w:t>对运营中期预测超标的敏感点采取</w:t>
                  </w:r>
                  <w:r>
                    <w:rPr>
                      <w:rFonts w:hint="eastAsia" w:ascii="Times New Roman" w:hAnsi="Times New Roman"/>
                      <w:bCs/>
                      <w:sz w:val="21"/>
                      <w:szCs w:val="21"/>
                      <w:highlight w:val="none"/>
                      <w:lang w:bidi="ar"/>
                    </w:rPr>
                    <w:t>声屏障、隔声窗</w:t>
                  </w:r>
                  <w:r>
                    <w:rPr>
                      <w:rFonts w:hint="eastAsia" w:ascii="Times New Roman" w:hAnsi="Times New Roman"/>
                      <w:bCs/>
                      <w:sz w:val="21"/>
                      <w:szCs w:val="21"/>
                      <w:lang w:bidi="ar"/>
                    </w:rPr>
                    <w:t>等措施。</w:t>
                  </w:r>
                </w:p>
              </w:tc>
            </w:tr>
            <w:tr w14:paraId="11821BB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51" w:type="dxa"/>
                  <w:vAlign w:val="center"/>
                </w:tcPr>
                <w:p w14:paraId="65ABECC0">
                  <w:pPr>
                    <w:pStyle w:val="20"/>
                    <w:widowControl w:val="0"/>
                    <w:snapToGrid w:val="0"/>
                    <w:spacing w:before="0" w:beforeAutospacing="0" w:after="0" w:afterAutospacing="0"/>
                    <w:jc w:val="center"/>
                    <w:outlineLvl w:val="5"/>
                    <w:rPr>
                      <w:rFonts w:ascii="Times New Roman" w:hAnsi="Times New Roman"/>
                      <w:color w:val="auto"/>
                      <w:szCs w:val="21"/>
                    </w:rPr>
                  </w:pPr>
                  <w:r>
                    <w:rPr>
                      <w:rFonts w:ascii="Times New Roman" w:hAnsi="Times New Roman"/>
                      <w:bCs/>
                      <w:color w:val="auto"/>
                      <w:sz w:val="21"/>
                      <w:szCs w:val="21"/>
                      <w:lang w:bidi="ar"/>
                    </w:rPr>
                    <w:t>5</w:t>
                  </w:r>
                </w:p>
              </w:tc>
              <w:tc>
                <w:tcPr>
                  <w:tcW w:w="4023" w:type="dxa"/>
                  <w:vAlign w:val="center"/>
                </w:tcPr>
                <w:p w14:paraId="0FA6694E">
                  <w:pPr>
                    <w:jc w:val="left"/>
                    <w:rPr>
                      <w:rFonts w:hint="eastAsia" w:eastAsia="FZFSK--GBK1-0"/>
                      <w:color w:val="auto"/>
                      <w:lang w:eastAsia="zh-CN"/>
                    </w:rPr>
                  </w:pPr>
                  <w:r>
                    <w:rPr>
                      <w:rFonts w:hint="eastAsia" w:hAnsi="FZFSK--GBK1-0" w:eastAsia="FZFSK--GBK1-0" w:cs="FZFSK--GBK1-0"/>
                      <w:color w:val="auto"/>
                      <w:szCs w:val="21"/>
                      <w:lang w:bidi="ar"/>
                    </w:rPr>
                    <w:t>强化资源节约集约利用，充分利用交通廊道资源，采用先进节地技术和模式，提高交通基础设施土地综合利用率，尽量不占或少占耕地和基本农田，推动钢结构桥梁、环保耐久节能型材料等应用，推进废旧材料、设施设备、水资源循环利用和隧道洞渣资源化利用</w:t>
                  </w:r>
                  <w:r>
                    <w:rPr>
                      <w:rFonts w:hint="eastAsia" w:hAnsi="FZFSK--GBK1-0" w:eastAsia="FZFSK--GBK1-0" w:cs="FZFSK--GBK1-0"/>
                      <w:color w:val="auto"/>
                      <w:szCs w:val="21"/>
                      <w:lang w:eastAsia="zh-CN" w:bidi="ar"/>
                    </w:rPr>
                    <w:t>。</w:t>
                  </w:r>
                </w:p>
              </w:tc>
              <w:tc>
                <w:tcPr>
                  <w:tcW w:w="2698" w:type="dxa"/>
                  <w:vAlign w:val="center"/>
                </w:tcPr>
                <w:p w14:paraId="7E22A0DC">
                  <w:pPr>
                    <w:pStyle w:val="20"/>
                    <w:widowControl w:val="0"/>
                    <w:snapToGrid w:val="0"/>
                    <w:spacing w:before="0" w:beforeAutospacing="0" w:after="0" w:afterAutospacing="0"/>
                    <w:ind w:left="-84" w:leftChars="-40" w:right="-63" w:rightChars="-30"/>
                    <w:jc w:val="both"/>
                    <w:rPr>
                      <w:rFonts w:ascii="Times New Roman" w:hAnsi="Times New Roman"/>
                      <w:color w:val="auto"/>
                      <w:szCs w:val="21"/>
                    </w:rPr>
                  </w:pPr>
                  <w:r>
                    <w:rPr>
                      <w:rFonts w:hint="eastAsia" w:ascii="Times New Roman" w:hAnsi="Times New Roman"/>
                      <w:bCs/>
                      <w:color w:val="auto"/>
                      <w:sz w:val="21"/>
                      <w:szCs w:val="21"/>
                      <w:lang w:bidi="ar"/>
                    </w:rPr>
                    <w:t>拟建公路</w:t>
                  </w:r>
                  <w:r>
                    <w:rPr>
                      <w:rFonts w:hint="eastAsia" w:ascii="Times New Roman" w:hAnsi="Times New Roman"/>
                      <w:bCs/>
                      <w:color w:val="auto"/>
                      <w:sz w:val="21"/>
                      <w:szCs w:val="21"/>
                      <w:lang w:val="en-US" w:eastAsia="zh-CN" w:bidi="ar"/>
                    </w:rPr>
                    <w:t>沿既有公路进行改扩建</w:t>
                  </w:r>
                  <w:r>
                    <w:rPr>
                      <w:rFonts w:hint="eastAsia" w:ascii="Times New Roman" w:hAnsi="Times New Roman"/>
                      <w:bCs/>
                      <w:color w:val="auto"/>
                      <w:sz w:val="21"/>
                      <w:szCs w:val="21"/>
                      <w:lang w:bidi="ar"/>
                    </w:rPr>
                    <w:t>，</w:t>
                  </w:r>
                  <w:r>
                    <w:rPr>
                      <w:rFonts w:hint="eastAsia" w:ascii="Times New Roman" w:hAnsi="Times New Roman"/>
                      <w:bCs/>
                      <w:color w:val="auto"/>
                      <w:sz w:val="21"/>
                      <w:szCs w:val="21"/>
                      <w:lang w:val="en-US" w:eastAsia="zh-CN" w:bidi="ar"/>
                    </w:rPr>
                    <w:t>受线路制约不可避免占用耕地34.12hm</w:t>
                  </w:r>
                  <w:r>
                    <w:rPr>
                      <w:rFonts w:hint="eastAsia" w:ascii="Times New Roman" w:hAnsi="Times New Roman"/>
                      <w:bCs/>
                      <w:color w:val="auto"/>
                      <w:sz w:val="21"/>
                      <w:szCs w:val="21"/>
                      <w:vertAlign w:val="superscript"/>
                      <w:lang w:val="en-US" w:eastAsia="zh-CN" w:bidi="ar"/>
                    </w:rPr>
                    <w:t>2</w:t>
                  </w:r>
                  <w:r>
                    <w:rPr>
                      <w:rFonts w:hint="eastAsia" w:ascii="Times New Roman" w:hAnsi="Times New Roman"/>
                      <w:bCs/>
                      <w:color w:val="auto"/>
                      <w:sz w:val="21"/>
                      <w:szCs w:val="21"/>
                      <w:lang w:val="en-US" w:eastAsia="zh-CN" w:bidi="ar"/>
                    </w:rPr>
                    <w:t>，</w:t>
                  </w:r>
                  <w:r>
                    <w:rPr>
                      <w:rFonts w:hint="eastAsia" w:ascii="Times New Roman" w:hAnsi="Times New Roman"/>
                      <w:bCs/>
                      <w:color w:val="auto"/>
                      <w:sz w:val="21"/>
                      <w:szCs w:val="21"/>
                      <w:lang w:bidi="ar"/>
                    </w:rPr>
                    <w:t>不占用基本农田</w:t>
                  </w:r>
                  <w:r>
                    <w:rPr>
                      <w:rFonts w:hint="eastAsia" w:ascii="Times New Roman" w:hAnsi="Times New Roman"/>
                      <w:bCs/>
                      <w:color w:val="auto"/>
                      <w:sz w:val="21"/>
                      <w:szCs w:val="21"/>
                      <w:lang w:eastAsia="zh-CN" w:bidi="ar"/>
                    </w:rPr>
                    <w:t>，</w:t>
                  </w:r>
                  <w:r>
                    <w:rPr>
                      <w:rFonts w:hint="eastAsia" w:ascii="Times New Roman" w:hAnsi="Times New Roman"/>
                      <w:bCs/>
                      <w:color w:val="auto"/>
                      <w:sz w:val="21"/>
                      <w:szCs w:val="21"/>
                      <w:lang w:val="en-US" w:eastAsia="zh-CN" w:bidi="ar"/>
                    </w:rPr>
                    <w:t>见附件1、附件2</w:t>
                  </w:r>
                  <w:r>
                    <w:rPr>
                      <w:rFonts w:hint="eastAsia" w:ascii="Times New Roman" w:hAnsi="Times New Roman"/>
                      <w:bCs/>
                      <w:color w:val="auto"/>
                      <w:sz w:val="21"/>
                      <w:szCs w:val="21"/>
                      <w:lang w:bidi="ar"/>
                    </w:rPr>
                    <w:t>。</w:t>
                  </w:r>
                </w:p>
              </w:tc>
            </w:tr>
          </w:tbl>
          <w:p w14:paraId="5A003CDC"/>
          <w:p w14:paraId="6293EFDD">
            <w:pPr>
              <w:spacing w:before="120" w:beforeLines="50"/>
              <w:jc w:val="center"/>
              <w:rPr>
                <w:rFonts w:hint="eastAsia" w:cs="宋体"/>
                <w:b/>
                <w:szCs w:val="21"/>
                <w:lang w:val="en-US" w:eastAsia="zh-CN" w:bidi="ar"/>
              </w:rPr>
            </w:pPr>
          </w:p>
          <w:p w14:paraId="50465CCE">
            <w:pPr>
              <w:spacing w:before="120" w:beforeLines="50"/>
              <w:jc w:val="center"/>
              <w:rPr>
                <w:rFonts w:hint="eastAsia" w:cs="宋体"/>
                <w:b/>
                <w:szCs w:val="21"/>
                <w:lang w:val="en-US" w:eastAsia="zh-CN" w:bidi="ar"/>
              </w:rPr>
            </w:pPr>
          </w:p>
          <w:p w14:paraId="71841968">
            <w:pPr>
              <w:spacing w:before="120" w:beforeLines="50"/>
              <w:jc w:val="center"/>
              <w:rPr>
                <w:b/>
              </w:rPr>
            </w:pPr>
            <w:r>
              <w:rPr>
                <w:rFonts w:hint="eastAsia" w:cs="宋体"/>
                <w:b/>
                <w:szCs w:val="21"/>
                <w:lang w:val="en-US" w:eastAsia="zh-CN" w:bidi="ar"/>
              </w:rPr>
              <w:t xml:space="preserve">续 </w:t>
            </w:r>
            <w:r>
              <w:rPr>
                <w:rFonts w:hint="eastAsia" w:cs="宋体"/>
                <w:b/>
                <w:szCs w:val="21"/>
                <w:lang w:bidi="ar"/>
              </w:rPr>
              <w:t>表</w:t>
            </w:r>
            <w:r>
              <w:rPr>
                <w:rFonts w:hint="eastAsia"/>
                <w:b/>
                <w:szCs w:val="21"/>
                <w:lang w:val="en-US" w:eastAsia="zh-CN" w:bidi="ar"/>
              </w:rPr>
              <w:t>1</w:t>
            </w:r>
            <w:r>
              <w:rPr>
                <w:b/>
                <w:szCs w:val="21"/>
                <w:lang w:bidi="ar"/>
              </w:rPr>
              <w:t xml:space="preserve">-1  </w:t>
            </w:r>
            <w:r>
              <w:rPr>
                <w:rFonts w:hint="eastAsia" w:cs="宋体"/>
                <w:b/>
                <w:szCs w:val="21"/>
                <w:lang w:bidi="ar"/>
              </w:rPr>
              <w:t>拟建公路与国家公路网规划符合性分析表</w:t>
            </w:r>
          </w:p>
          <w:tbl>
            <w:tblPr>
              <w:tblStyle w:val="22"/>
              <w:tblW w:w="7372"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51"/>
              <w:gridCol w:w="4023"/>
              <w:gridCol w:w="2698"/>
            </w:tblGrid>
            <w:tr w14:paraId="5078DC3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blHeader/>
                <w:jc w:val="center"/>
              </w:trPr>
              <w:tc>
                <w:tcPr>
                  <w:tcW w:w="651" w:type="dxa"/>
                  <w:vAlign w:val="center"/>
                </w:tcPr>
                <w:p w14:paraId="192BA6D6">
                  <w:pPr>
                    <w:pStyle w:val="20"/>
                    <w:widowControl w:val="0"/>
                    <w:snapToGrid w:val="0"/>
                    <w:spacing w:before="0" w:beforeAutospacing="0" w:after="0" w:afterAutospacing="0"/>
                    <w:jc w:val="center"/>
                    <w:outlineLvl w:val="5"/>
                    <w:rPr>
                      <w:rFonts w:ascii="Times New Roman" w:hAnsi="Times New Roman"/>
                      <w:b/>
                      <w:szCs w:val="21"/>
                    </w:rPr>
                  </w:pPr>
                  <w:r>
                    <w:rPr>
                      <w:rFonts w:hint="eastAsia" w:ascii="Times New Roman" w:hAnsi="Times New Roman"/>
                      <w:b/>
                      <w:bCs/>
                      <w:sz w:val="21"/>
                      <w:szCs w:val="21"/>
                      <w:lang w:bidi="ar"/>
                    </w:rPr>
                    <w:t>序号</w:t>
                  </w:r>
                </w:p>
              </w:tc>
              <w:tc>
                <w:tcPr>
                  <w:tcW w:w="4023" w:type="dxa"/>
                  <w:vAlign w:val="center"/>
                </w:tcPr>
                <w:p w14:paraId="279C91E2">
                  <w:pPr>
                    <w:pStyle w:val="20"/>
                    <w:widowControl w:val="0"/>
                    <w:snapToGrid w:val="0"/>
                    <w:spacing w:before="0" w:beforeAutospacing="0" w:after="0" w:afterAutospacing="0"/>
                    <w:jc w:val="center"/>
                    <w:outlineLvl w:val="5"/>
                    <w:rPr>
                      <w:rFonts w:ascii="Times New Roman" w:hAnsi="Times New Roman"/>
                      <w:b/>
                      <w:szCs w:val="21"/>
                    </w:rPr>
                  </w:pPr>
                  <w:r>
                    <w:rPr>
                      <w:rFonts w:hint="eastAsia" w:ascii="Times New Roman" w:hAnsi="Times New Roman"/>
                      <w:b/>
                      <w:bCs/>
                      <w:sz w:val="21"/>
                      <w:szCs w:val="21"/>
                      <w:lang w:bidi="ar"/>
                    </w:rPr>
                    <w:t>国家公路网规划</w:t>
                  </w:r>
                </w:p>
              </w:tc>
              <w:tc>
                <w:tcPr>
                  <w:tcW w:w="2698" w:type="dxa"/>
                  <w:vAlign w:val="center"/>
                </w:tcPr>
                <w:p w14:paraId="5982827A">
                  <w:pPr>
                    <w:pStyle w:val="20"/>
                    <w:widowControl w:val="0"/>
                    <w:snapToGrid w:val="0"/>
                    <w:spacing w:before="0" w:beforeAutospacing="0" w:after="0" w:afterAutospacing="0"/>
                    <w:jc w:val="center"/>
                    <w:outlineLvl w:val="5"/>
                    <w:rPr>
                      <w:rFonts w:ascii="Times New Roman" w:hAnsi="Times New Roman"/>
                      <w:b/>
                      <w:szCs w:val="21"/>
                    </w:rPr>
                  </w:pPr>
                  <w:r>
                    <w:rPr>
                      <w:rFonts w:hint="eastAsia" w:ascii="Times New Roman" w:hAnsi="Times New Roman"/>
                      <w:b/>
                      <w:bCs/>
                      <w:sz w:val="21"/>
                      <w:szCs w:val="21"/>
                      <w:lang w:bidi="ar"/>
                    </w:rPr>
                    <w:t>符合性分析</w:t>
                  </w:r>
                </w:p>
              </w:tc>
            </w:tr>
            <w:tr w14:paraId="55B6205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51" w:type="dxa"/>
                  <w:vAlign w:val="center"/>
                </w:tcPr>
                <w:p w14:paraId="45A073E7">
                  <w:pPr>
                    <w:pStyle w:val="20"/>
                    <w:widowControl w:val="0"/>
                    <w:snapToGrid w:val="0"/>
                    <w:spacing w:before="0" w:beforeAutospacing="0" w:after="0" w:afterAutospacing="0"/>
                    <w:jc w:val="center"/>
                    <w:outlineLvl w:val="5"/>
                    <w:rPr>
                      <w:rFonts w:ascii="Times New Roman" w:hAnsi="Times New Roman"/>
                      <w:szCs w:val="21"/>
                    </w:rPr>
                  </w:pPr>
                  <w:r>
                    <w:rPr>
                      <w:rFonts w:ascii="Times New Roman" w:hAnsi="Times New Roman"/>
                      <w:bCs/>
                      <w:sz w:val="21"/>
                      <w:szCs w:val="21"/>
                      <w:lang w:bidi="ar"/>
                    </w:rPr>
                    <w:t>6</w:t>
                  </w:r>
                </w:p>
              </w:tc>
              <w:tc>
                <w:tcPr>
                  <w:tcW w:w="4023" w:type="dxa"/>
                  <w:vAlign w:val="center"/>
                </w:tcPr>
                <w:p w14:paraId="692807F7">
                  <w:pPr>
                    <w:jc w:val="left"/>
                    <w:rPr>
                      <w:rFonts w:eastAsia="FZFSK--GBK1-0"/>
                    </w:rPr>
                  </w:pPr>
                  <w:r>
                    <w:rPr>
                      <w:rFonts w:hint="eastAsia" w:hAnsi="FZFSK--GBK1-0" w:eastAsia="FZFSK--GBK1-0" w:cs="FZFSK--GBK1-0"/>
                      <w:szCs w:val="21"/>
                      <w:lang w:bidi="ar"/>
                    </w:rPr>
                    <w:t>加强外部协同与内部监管，强化与碳达峰碳中和、国土空间规划、自然保护地体系以及</w:t>
                  </w:r>
                  <w:r>
                    <w:rPr>
                      <w:rFonts w:eastAsia="TimesNewRomanPSMT"/>
                      <w:szCs w:val="21"/>
                      <w:lang w:bidi="ar"/>
                    </w:rPr>
                    <w:t>“</w:t>
                  </w:r>
                  <w:r>
                    <w:rPr>
                      <w:rFonts w:hint="eastAsia" w:hAnsi="FZFSK--GBK1-0" w:eastAsia="FZFSK--GBK1-0" w:cs="FZFSK--GBK1-0"/>
                      <w:szCs w:val="21"/>
                      <w:lang w:bidi="ar"/>
                    </w:rPr>
                    <w:t>三线一单</w:t>
                  </w:r>
                  <w:r>
                    <w:rPr>
                      <w:rFonts w:eastAsia="TimesNewRomanPSMT"/>
                      <w:szCs w:val="21"/>
                      <w:lang w:bidi="ar"/>
                    </w:rPr>
                    <w:t>”</w:t>
                  </w:r>
                  <w:r>
                    <w:rPr>
                      <w:rFonts w:hint="eastAsia" w:hAnsi="FZFSK--GBK1-0" w:eastAsia="FZFSK--GBK1-0" w:cs="FZFSK--GBK1-0"/>
                      <w:szCs w:val="21"/>
                      <w:lang w:bidi="ar"/>
                    </w:rPr>
                    <w:t>等相关政策的协调衔接，严格落实环保</w:t>
                  </w:r>
                  <w:r>
                    <w:rPr>
                      <w:rFonts w:eastAsia="TimesNewRomanPSMT"/>
                      <w:szCs w:val="21"/>
                      <w:lang w:bidi="ar"/>
                    </w:rPr>
                    <w:t>“</w:t>
                  </w:r>
                  <w:r>
                    <w:rPr>
                      <w:rFonts w:hint="eastAsia" w:hAnsi="FZFSK--GBK1-0" w:eastAsia="FZFSK--GBK1-0" w:cs="FZFSK--GBK1-0"/>
                      <w:szCs w:val="21"/>
                      <w:lang w:bidi="ar"/>
                    </w:rPr>
                    <w:t>三同时</w:t>
                  </w:r>
                  <w:r>
                    <w:rPr>
                      <w:rFonts w:eastAsia="TimesNewRomanPSMT"/>
                      <w:szCs w:val="21"/>
                      <w:lang w:bidi="ar"/>
                    </w:rPr>
                    <w:t>”</w:t>
                  </w:r>
                  <w:r>
                    <w:rPr>
                      <w:rFonts w:hint="eastAsia" w:hAnsi="FZFSK--GBK1-0" w:eastAsia="FZFSK--GBK1-0" w:cs="FZFSK--GBK1-0"/>
                      <w:szCs w:val="21"/>
                      <w:lang w:bidi="ar"/>
                    </w:rPr>
                    <w:t>（同时设计、同时施工、同时投入生产和使用）制度、环境监测与跟踪评价等制度。</w:t>
                  </w:r>
                </w:p>
              </w:tc>
              <w:tc>
                <w:tcPr>
                  <w:tcW w:w="2698" w:type="dxa"/>
                  <w:vAlign w:val="center"/>
                </w:tcPr>
                <w:p w14:paraId="3D137AA3">
                  <w:pPr>
                    <w:pStyle w:val="20"/>
                    <w:widowControl w:val="0"/>
                    <w:snapToGrid w:val="0"/>
                    <w:spacing w:before="0" w:beforeAutospacing="0" w:after="0" w:afterAutospacing="0"/>
                    <w:ind w:left="-84" w:leftChars="-40" w:right="-63" w:rightChars="-30"/>
                    <w:jc w:val="both"/>
                    <w:rPr>
                      <w:rFonts w:ascii="Times New Roman" w:hAnsi="Times New Roman"/>
                      <w:szCs w:val="21"/>
                    </w:rPr>
                  </w:pPr>
                  <w:r>
                    <w:rPr>
                      <w:rFonts w:hint="eastAsia" w:ascii="Times New Roman" w:hAnsi="Times New Roman"/>
                      <w:bCs/>
                      <w:sz w:val="21"/>
                      <w:szCs w:val="21"/>
                      <w:lang w:bidi="ar"/>
                    </w:rPr>
                    <w:t>拟建公路将落实环保</w:t>
                  </w:r>
                  <w:r>
                    <w:rPr>
                      <w:rFonts w:ascii="Times New Roman" w:hAnsi="Times New Roman"/>
                      <w:bCs/>
                      <w:sz w:val="21"/>
                      <w:szCs w:val="21"/>
                      <w:lang w:bidi="ar"/>
                    </w:rPr>
                    <w:t>“</w:t>
                  </w:r>
                  <w:r>
                    <w:rPr>
                      <w:rFonts w:hint="eastAsia" w:ascii="Times New Roman" w:hAnsi="Times New Roman"/>
                      <w:bCs/>
                      <w:sz w:val="21"/>
                      <w:szCs w:val="21"/>
                      <w:lang w:bidi="ar"/>
                    </w:rPr>
                    <w:t>三同时</w:t>
                  </w:r>
                  <w:r>
                    <w:rPr>
                      <w:rFonts w:ascii="Times New Roman" w:hAnsi="Times New Roman"/>
                      <w:bCs/>
                      <w:sz w:val="21"/>
                      <w:szCs w:val="21"/>
                      <w:lang w:bidi="ar"/>
                    </w:rPr>
                    <w:t>”</w:t>
                  </w:r>
                  <w:r>
                    <w:rPr>
                      <w:rFonts w:hint="eastAsia" w:ascii="Times New Roman" w:hAnsi="Times New Roman"/>
                      <w:bCs/>
                      <w:sz w:val="21"/>
                      <w:szCs w:val="21"/>
                      <w:lang w:bidi="ar"/>
                    </w:rPr>
                    <w:t>制度，并提出了环境监测计划。</w:t>
                  </w:r>
                </w:p>
              </w:tc>
            </w:tr>
          </w:tbl>
          <w:p w14:paraId="305F84B3">
            <w:pPr>
              <w:keepNext w:val="0"/>
              <w:keepLines w:val="0"/>
              <w:pageBreakBefore w:val="0"/>
              <w:widowControl w:val="0"/>
              <w:kinsoku/>
              <w:wordWrap/>
              <w:overflowPunct/>
              <w:topLinePunct w:val="0"/>
              <w:autoSpaceDE w:val="0"/>
              <w:autoSpaceDN w:val="0"/>
              <w:bidi w:val="0"/>
              <w:adjustRightInd w:val="0"/>
              <w:snapToGrid/>
              <w:spacing w:before="313" w:beforeLines="100" w:line="300" w:lineRule="auto"/>
              <w:textAlignment w:val="auto"/>
              <w:rPr>
                <w:rFonts w:hint="eastAsia" w:hAnsi="宋体"/>
                <w:b/>
                <w:bCs/>
                <w:sz w:val="24"/>
              </w:rPr>
            </w:pPr>
            <w:r>
              <w:rPr>
                <w:rFonts w:hint="eastAsia" w:hAnsi="宋体"/>
                <w:b/>
                <w:bCs/>
                <w:sz w:val="24"/>
              </w:rPr>
              <w:t>2. 与《新疆维吾尔自治区公路网规划（2021-2050年）》及规划环评符合性分析</w:t>
            </w:r>
          </w:p>
          <w:p w14:paraId="5B728B23">
            <w:pPr>
              <w:autoSpaceDE w:val="0"/>
              <w:autoSpaceDN w:val="0"/>
              <w:adjustRightInd w:val="0"/>
              <w:spacing w:line="300" w:lineRule="auto"/>
              <w:ind w:firstLine="480" w:firstLineChars="200"/>
              <w:rPr>
                <w:rFonts w:hint="eastAsia" w:hAnsi="宋体"/>
                <w:sz w:val="24"/>
              </w:rPr>
            </w:pPr>
            <w:r>
              <w:rPr>
                <w:rFonts w:hint="eastAsia" w:hAnsi="宋体"/>
                <w:sz w:val="24"/>
              </w:rPr>
              <w:t>拟建公路是《新疆维吾尔自治区公路网规划（2021-2050年）》中喀纳斯－东兴（G219线）新疆段的组成部分，项目建设与《新疆维吾尔自治区公路网规划（2021-2050年）》是相符的。</w:t>
            </w:r>
            <w:r>
              <w:rPr>
                <w:rFonts w:hint="eastAsia" w:hAnsi="宋体"/>
                <w:sz w:val="24"/>
                <w:lang w:val="en-US" w:eastAsia="zh-CN"/>
              </w:rPr>
              <w:t>拟建公路在新疆维吾尔自治区公路网规划中位置见附图3。</w:t>
            </w:r>
          </w:p>
          <w:p w14:paraId="7624ACCB">
            <w:pPr>
              <w:spacing w:line="300" w:lineRule="auto"/>
              <w:ind w:right="12" w:rightChars="6" w:firstLine="500" w:firstLineChars="200"/>
              <w:rPr>
                <w:rFonts w:eastAsiaTheme="minorEastAsia"/>
                <w:kern w:val="0"/>
                <w:sz w:val="24"/>
                <w:szCs w:val="20"/>
              </w:rPr>
            </w:pPr>
            <w:r>
              <w:rPr>
                <w:rFonts w:eastAsiaTheme="minorEastAsia"/>
                <w:spacing w:val="5"/>
                <w:sz w:val="24"/>
              </w:rPr>
              <w:t>拟建公路</w:t>
            </w:r>
            <w:r>
              <w:rPr>
                <w:rFonts w:eastAsiaTheme="minorEastAsia"/>
                <w:kern w:val="0"/>
                <w:sz w:val="24"/>
              </w:rPr>
              <w:t>已纳入</w:t>
            </w:r>
            <w:bookmarkStart w:id="3" w:name="OLE_LINK42"/>
            <w:bookmarkStart w:id="4" w:name="OLE_LINK41"/>
            <w:r>
              <w:rPr>
                <w:rFonts w:eastAsiaTheme="minorEastAsia"/>
                <w:kern w:val="0"/>
                <w:sz w:val="24"/>
              </w:rPr>
              <w:t>《新疆维吾尔自治区公路网规划（2021-2050年）》</w:t>
            </w:r>
            <w:bookmarkEnd w:id="3"/>
            <w:bookmarkEnd w:id="4"/>
            <w:r>
              <w:rPr>
                <w:rFonts w:eastAsiaTheme="minorEastAsia"/>
                <w:kern w:val="0"/>
                <w:sz w:val="24"/>
              </w:rPr>
              <w:t>进行环境影响评价，</w:t>
            </w:r>
            <w:r>
              <w:rPr>
                <w:rFonts w:eastAsiaTheme="minorEastAsia"/>
                <w:spacing w:val="5"/>
                <w:sz w:val="24"/>
              </w:rPr>
              <w:t>拟建公路</w:t>
            </w:r>
            <w:r>
              <w:rPr>
                <w:rFonts w:eastAsiaTheme="minorEastAsia"/>
                <w:kern w:val="0"/>
                <w:sz w:val="24"/>
                <w:szCs w:val="20"/>
              </w:rPr>
              <w:t>与</w:t>
            </w:r>
            <w:r>
              <w:rPr>
                <w:rFonts w:hint="eastAsia" w:eastAsiaTheme="minorEastAsia"/>
                <w:kern w:val="0"/>
                <w:sz w:val="24"/>
                <w:szCs w:val="20"/>
                <w:lang w:val="en-US" w:eastAsia="zh-CN"/>
              </w:rPr>
              <w:t>规划</w:t>
            </w:r>
            <w:r>
              <w:rPr>
                <w:rFonts w:eastAsiaTheme="minorEastAsia"/>
                <w:kern w:val="0"/>
                <w:sz w:val="24"/>
                <w:szCs w:val="20"/>
              </w:rPr>
              <w:t>审查意见符合性分析见表</w:t>
            </w:r>
            <w:r>
              <w:rPr>
                <w:rFonts w:hint="eastAsia" w:eastAsiaTheme="minorEastAsia"/>
                <w:kern w:val="0"/>
                <w:sz w:val="24"/>
                <w:szCs w:val="20"/>
                <w:lang w:val="en-US" w:eastAsia="zh-CN"/>
              </w:rPr>
              <w:t>1</w:t>
            </w:r>
            <w:r>
              <w:rPr>
                <w:rFonts w:eastAsiaTheme="minorEastAsia"/>
                <w:kern w:val="0"/>
                <w:sz w:val="24"/>
                <w:szCs w:val="20"/>
              </w:rPr>
              <w:t>-2。</w:t>
            </w:r>
          </w:p>
          <w:p w14:paraId="7805F1D6">
            <w:pPr>
              <w:spacing w:before="120" w:beforeLines="50"/>
              <w:jc w:val="center"/>
              <w:rPr>
                <w:rFonts w:eastAsiaTheme="minorEastAsia"/>
                <w:b/>
              </w:rPr>
            </w:pPr>
            <w:r>
              <w:rPr>
                <w:rFonts w:eastAsiaTheme="minorEastAsia"/>
                <w:b/>
              </w:rPr>
              <w:t>表</w:t>
            </w:r>
            <w:r>
              <w:rPr>
                <w:rFonts w:hint="eastAsia" w:eastAsiaTheme="minorEastAsia"/>
                <w:b/>
                <w:lang w:val="en-US" w:eastAsia="zh-CN"/>
              </w:rPr>
              <w:t>1</w:t>
            </w:r>
            <w:r>
              <w:rPr>
                <w:rFonts w:eastAsiaTheme="minorEastAsia"/>
                <w:b/>
              </w:rPr>
              <w:t>-2  拟建公路与新疆维吾尔自治区公路网规划环评审查意见符合性分析表</w:t>
            </w:r>
          </w:p>
          <w:tbl>
            <w:tblPr>
              <w:tblStyle w:val="22"/>
              <w:tblW w:w="497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82"/>
              <w:gridCol w:w="3352"/>
            </w:tblGrid>
            <w:tr w14:paraId="7E6C3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2745" w:type="pct"/>
                  <w:vAlign w:val="center"/>
                </w:tcPr>
                <w:p w14:paraId="171B95F5">
                  <w:pPr>
                    <w:pStyle w:val="39"/>
                    <w:keepNext w:val="0"/>
                    <w:keepLines w:val="0"/>
                    <w:pageBreakBefore w:val="0"/>
                    <w:widowControl w:val="0"/>
                    <w:kinsoku/>
                    <w:wordWrap/>
                    <w:overflowPunct/>
                    <w:topLinePunct w:val="0"/>
                    <w:autoSpaceDE/>
                    <w:autoSpaceDN/>
                    <w:bidi w:val="0"/>
                    <w:spacing w:before="24" w:after="24" w:line="240" w:lineRule="auto"/>
                    <w:textAlignment w:val="auto"/>
                    <w:rPr>
                      <w:rFonts w:ascii="Times New Roman" w:eastAsiaTheme="minorEastAsia"/>
                      <w:b/>
                      <w:bCs/>
                    </w:rPr>
                  </w:pPr>
                  <w:r>
                    <w:rPr>
                      <w:rFonts w:ascii="Times New Roman" w:eastAsiaTheme="minorEastAsia"/>
                      <w:b/>
                    </w:rPr>
                    <w:t>规划环评审查意见</w:t>
                  </w:r>
                </w:p>
              </w:tc>
              <w:tc>
                <w:tcPr>
                  <w:tcW w:w="2254" w:type="pct"/>
                  <w:vAlign w:val="center"/>
                </w:tcPr>
                <w:p w14:paraId="18548B2F">
                  <w:pPr>
                    <w:pStyle w:val="39"/>
                    <w:keepNext w:val="0"/>
                    <w:keepLines w:val="0"/>
                    <w:pageBreakBefore w:val="0"/>
                    <w:widowControl w:val="0"/>
                    <w:kinsoku/>
                    <w:wordWrap/>
                    <w:overflowPunct/>
                    <w:topLinePunct w:val="0"/>
                    <w:autoSpaceDE/>
                    <w:autoSpaceDN/>
                    <w:bidi w:val="0"/>
                    <w:spacing w:before="24" w:after="24" w:line="240" w:lineRule="auto"/>
                    <w:textAlignment w:val="auto"/>
                    <w:rPr>
                      <w:rFonts w:ascii="Times New Roman" w:eastAsiaTheme="minorEastAsia"/>
                      <w:b/>
                      <w:bCs/>
                    </w:rPr>
                  </w:pPr>
                  <w:r>
                    <w:rPr>
                      <w:rFonts w:ascii="Times New Roman" w:eastAsiaTheme="minorEastAsia"/>
                      <w:b/>
                    </w:rPr>
                    <w:t>符合性分析</w:t>
                  </w:r>
                </w:p>
              </w:tc>
            </w:tr>
            <w:tr w14:paraId="1BD82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745" w:type="pct"/>
                  <w:vAlign w:val="center"/>
                </w:tcPr>
                <w:p w14:paraId="19DB37E3">
                  <w:pPr>
                    <w:pStyle w:val="39"/>
                    <w:keepNext w:val="0"/>
                    <w:keepLines w:val="0"/>
                    <w:pageBreakBefore w:val="0"/>
                    <w:widowControl w:val="0"/>
                    <w:kinsoku/>
                    <w:wordWrap/>
                    <w:overflowPunct/>
                    <w:topLinePunct w:val="0"/>
                    <w:autoSpaceDE/>
                    <w:autoSpaceDN/>
                    <w:bidi w:val="0"/>
                    <w:spacing w:before="24" w:after="24" w:line="240" w:lineRule="auto"/>
                    <w:ind w:left="-57" w:leftChars="-27" w:right="-65" w:rightChars="-31"/>
                    <w:jc w:val="both"/>
                    <w:textAlignment w:val="auto"/>
                    <w:rPr>
                      <w:rFonts w:ascii="Times New Roman" w:eastAsiaTheme="minorEastAsia"/>
                    </w:rPr>
                  </w:pPr>
                  <w:r>
                    <w:rPr>
                      <w:rFonts w:ascii="Times New Roman" w:eastAsiaTheme="minorEastAsia"/>
                    </w:rPr>
                    <w:t>坚持生态优先、绿色发展。根据区域发展战略和主体功能定位，坚持生态保护优先，从顶层设计和源头控制着手，防范环境污染和生态破坏。针对规划涉及区域较为突出的生态环境问题，进一步完善生态环境目标和“三线一单”管控要求。统筹考虑环境敏感区、生态脆弱区、重要物种生境的分布等情况，切实落实各项生态环境保护要求，促进区域经济社会与生态文明协调发展。</w:t>
                  </w:r>
                </w:p>
              </w:tc>
              <w:tc>
                <w:tcPr>
                  <w:tcW w:w="2254" w:type="pct"/>
                  <w:vAlign w:val="center"/>
                </w:tcPr>
                <w:p w14:paraId="09FBCC45">
                  <w:pPr>
                    <w:keepNext w:val="0"/>
                    <w:keepLines w:val="0"/>
                    <w:pageBreakBefore w:val="0"/>
                    <w:widowControl w:val="0"/>
                    <w:kinsoku/>
                    <w:wordWrap/>
                    <w:overflowPunct/>
                    <w:topLinePunct w:val="0"/>
                    <w:autoSpaceDE/>
                    <w:autoSpaceDN/>
                    <w:bidi w:val="0"/>
                    <w:spacing w:line="240" w:lineRule="auto"/>
                    <w:jc w:val="left"/>
                    <w:textAlignment w:val="auto"/>
                    <w:rPr>
                      <w:rFonts w:eastAsiaTheme="minorEastAsia"/>
                    </w:rPr>
                  </w:pPr>
                  <w:r>
                    <w:rPr>
                      <w:rFonts w:hint="eastAsia" w:eastAsiaTheme="minorEastAsia"/>
                    </w:rPr>
                    <w:t>拟建公路为改扩建项目，</w:t>
                  </w:r>
                  <w:r>
                    <w:rPr>
                      <w:rFonts w:hint="eastAsia" w:eastAsiaTheme="minorEastAsia"/>
                      <w:lang w:val="en-US" w:eastAsia="zh-CN"/>
                    </w:rPr>
                    <w:t>基本</w:t>
                  </w:r>
                  <w:r>
                    <w:rPr>
                      <w:rFonts w:hint="eastAsia" w:eastAsiaTheme="minorEastAsia"/>
                    </w:rPr>
                    <w:t>沿现有老路改扩建，沿线不穿越自然保护区、风景名胜区、湿地公园、生态保护红线等重要生态敏感目标，</w:t>
                  </w:r>
                  <w:r>
                    <w:rPr>
                      <w:rFonts w:hint="eastAsia" w:eastAsiaTheme="minorEastAsia"/>
                      <w:lang w:eastAsia="zh-CN"/>
                    </w:rPr>
                    <w:t>临近</w:t>
                  </w:r>
                  <w:r>
                    <w:rPr>
                      <w:rFonts w:hint="eastAsia" w:eastAsiaTheme="minorEastAsia"/>
                    </w:rPr>
                    <w:t>饮用水水源保护区路段提出了严格的禁排措施</w:t>
                  </w:r>
                  <w:r>
                    <w:rPr>
                      <w:rFonts w:eastAsiaTheme="minorEastAsia"/>
                      <w:bCs/>
                    </w:rPr>
                    <w:t>。</w:t>
                  </w:r>
                  <w:r>
                    <w:rPr>
                      <w:rFonts w:hint="eastAsia" w:eastAsiaTheme="minorEastAsia"/>
                      <w:bCs/>
                    </w:rPr>
                    <w:t>拟建公路符合“三线一单”管控要求。</w:t>
                  </w:r>
                </w:p>
              </w:tc>
            </w:tr>
            <w:tr w14:paraId="3ACCB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745" w:type="pct"/>
                  <w:vAlign w:val="center"/>
                </w:tcPr>
                <w:p w14:paraId="4F56C824">
                  <w:pPr>
                    <w:pStyle w:val="39"/>
                    <w:keepNext w:val="0"/>
                    <w:keepLines w:val="0"/>
                    <w:pageBreakBefore w:val="0"/>
                    <w:widowControl w:val="0"/>
                    <w:kinsoku/>
                    <w:wordWrap/>
                    <w:overflowPunct/>
                    <w:topLinePunct w:val="0"/>
                    <w:autoSpaceDE/>
                    <w:autoSpaceDN/>
                    <w:bidi w:val="0"/>
                    <w:spacing w:before="24" w:after="24" w:line="240" w:lineRule="auto"/>
                    <w:ind w:left="-57" w:leftChars="-27" w:right="-65" w:rightChars="-31"/>
                    <w:jc w:val="both"/>
                    <w:textAlignment w:val="auto"/>
                    <w:rPr>
                      <w:rFonts w:ascii="Times New Roman" w:eastAsiaTheme="minorEastAsia"/>
                    </w:rPr>
                  </w:pPr>
                  <w:r>
                    <w:rPr>
                      <w:rFonts w:ascii="Times New Roman" w:eastAsiaTheme="minorEastAsia"/>
                    </w:rPr>
                    <w:t>严格保护生态空间，优化规划布局。主动对接国家、自治区国土空间规划，加强与“三线一单”、生态功能区划等有关要求的衔接，确保符合相关管控和保护要求，实现公路交通与生态环境保护、人居环境安全相协调。在严格落实《报告书》提出的优化调整意见的基础上，进一步优化选址选线和施工布置，坚持“绕避”优先原则，严格按照自然保护地、饮用水源保护区等的管控要求进行交通开发建设活动。</w:t>
                  </w:r>
                </w:p>
              </w:tc>
              <w:tc>
                <w:tcPr>
                  <w:tcW w:w="2254" w:type="pct"/>
                  <w:vAlign w:val="center"/>
                </w:tcPr>
                <w:p w14:paraId="4F48E6D7">
                  <w:pPr>
                    <w:keepNext w:val="0"/>
                    <w:keepLines w:val="0"/>
                    <w:pageBreakBefore w:val="0"/>
                    <w:widowControl w:val="0"/>
                    <w:kinsoku/>
                    <w:wordWrap/>
                    <w:overflowPunct/>
                    <w:topLinePunct w:val="0"/>
                    <w:autoSpaceDE/>
                    <w:autoSpaceDN/>
                    <w:bidi w:val="0"/>
                    <w:spacing w:line="240" w:lineRule="auto"/>
                    <w:jc w:val="left"/>
                    <w:textAlignment w:val="auto"/>
                    <w:rPr>
                      <w:rFonts w:eastAsiaTheme="minorEastAsia"/>
                    </w:rPr>
                  </w:pPr>
                  <w:r>
                    <w:rPr>
                      <w:rFonts w:eastAsiaTheme="minorEastAsia"/>
                    </w:rPr>
                    <w:t>拟建公路在设计阶段充分考虑了国家、自治区国土空间规划，并加强了与“三线一单”分区管控等有关要求的衔接，项目建设符合相关管控和保护要求。</w:t>
                  </w:r>
                  <w:r>
                    <w:rPr>
                      <w:rFonts w:hint="eastAsia" w:eastAsiaTheme="minorEastAsia"/>
                    </w:rPr>
                    <w:t>沿线不穿越自然保护区、风景名胜区、湿地公园、生态保护红线等重要生态敏感目标，</w:t>
                  </w:r>
                  <w:r>
                    <w:rPr>
                      <w:rFonts w:hint="eastAsia" w:eastAsiaTheme="minorEastAsia"/>
                      <w:lang w:eastAsia="zh-CN"/>
                    </w:rPr>
                    <w:t>临近</w:t>
                  </w:r>
                  <w:r>
                    <w:rPr>
                      <w:rFonts w:hint="eastAsia" w:eastAsiaTheme="minorEastAsia"/>
                    </w:rPr>
                    <w:t>饮用水水源保护区路段提出了严格的禁排措施</w:t>
                  </w:r>
                  <w:r>
                    <w:rPr>
                      <w:rFonts w:eastAsiaTheme="minorEastAsia"/>
                    </w:rPr>
                    <w:t>。</w:t>
                  </w:r>
                </w:p>
              </w:tc>
            </w:tr>
            <w:tr w14:paraId="04008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745" w:type="pct"/>
                  <w:vAlign w:val="center"/>
                </w:tcPr>
                <w:p w14:paraId="5A9BF07E">
                  <w:pPr>
                    <w:keepNext w:val="0"/>
                    <w:keepLines w:val="0"/>
                    <w:pageBreakBefore w:val="0"/>
                    <w:widowControl w:val="0"/>
                    <w:kinsoku/>
                    <w:wordWrap/>
                    <w:overflowPunct/>
                    <w:topLinePunct w:val="0"/>
                    <w:autoSpaceDE/>
                    <w:autoSpaceDN/>
                    <w:bidi w:val="0"/>
                    <w:spacing w:line="240" w:lineRule="auto"/>
                    <w:jc w:val="left"/>
                    <w:textAlignment w:val="auto"/>
                    <w:rPr>
                      <w:rFonts w:eastAsiaTheme="minorEastAsia"/>
                    </w:rPr>
                  </w:pPr>
                  <w:r>
                    <w:rPr>
                      <w:rFonts w:eastAsiaTheme="minorEastAsia"/>
                    </w:rPr>
                    <w:t>建立健全长期稳定的环境监测体系。根据规划实施状况、环境敏感目标的分布等，建立和完善生态、大气、声环境等环境要素监控体系。根据监测结果并结合环境影响适时优化、调整规划。</w:t>
                  </w:r>
                </w:p>
              </w:tc>
              <w:tc>
                <w:tcPr>
                  <w:tcW w:w="2254" w:type="pct"/>
                  <w:vAlign w:val="center"/>
                </w:tcPr>
                <w:p w14:paraId="2B6605FD">
                  <w:pPr>
                    <w:keepNext w:val="0"/>
                    <w:keepLines w:val="0"/>
                    <w:pageBreakBefore w:val="0"/>
                    <w:widowControl w:val="0"/>
                    <w:kinsoku/>
                    <w:wordWrap/>
                    <w:overflowPunct/>
                    <w:topLinePunct w:val="0"/>
                    <w:autoSpaceDE/>
                    <w:autoSpaceDN/>
                    <w:bidi w:val="0"/>
                    <w:spacing w:line="240" w:lineRule="auto"/>
                    <w:jc w:val="left"/>
                    <w:textAlignment w:val="auto"/>
                    <w:rPr>
                      <w:rFonts w:eastAsiaTheme="minorEastAsia"/>
                    </w:rPr>
                  </w:pPr>
                  <w:r>
                    <w:rPr>
                      <w:rFonts w:eastAsiaTheme="minorEastAsia"/>
                    </w:rPr>
                    <w:t>拟建公路针对沿线</w:t>
                  </w:r>
                  <w:r>
                    <w:rPr>
                      <w:rFonts w:hint="eastAsia" w:eastAsiaTheme="minorEastAsia"/>
                    </w:rPr>
                    <w:t>环境保护目标</w:t>
                  </w:r>
                  <w:r>
                    <w:rPr>
                      <w:rFonts w:eastAsiaTheme="minorEastAsia"/>
                    </w:rPr>
                    <w:t>提出了大气、水</w:t>
                  </w:r>
                  <w:r>
                    <w:rPr>
                      <w:rFonts w:hint="eastAsia" w:eastAsiaTheme="minorEastAsia"/>
                      <w:lang w:eastAsia="zh-CN"/>
                    </w:rPr>
                    <w:t>、</w:t>
                  </w:r>
                  <w:r>
                    <w:rPr>
                      <w:rFonts w:hint="eastAsia" w:eastAsiaTheme="minorEastAsia"/>
                      <w:lang w:val="en-US" w:eastAsia="zh-CN"/>
                    </w:rPr>
                    <w:t>噪声</w:t>
                  </w:r>
                  <w:r>
                    <w:rPr>
                      <w:rFonts w:eastAsiaTheme="minorEastAsia"/>
                    </w:rPr>
                    <w:t>等环境要素的环境监测计划，根据监测结果及时采取</w:t>
                  </w:r>
                  <w:r>
                    <w:rPr>
                      <w:rFonts w:hint="eastAsia" w:eastAsiaTheme="minorEastAsia"/>
                      <w:lang w:val="en-US" w:eastAsia="zh-CN"/>
                    </w:rPr>
                    <w:t>或调整</w:t>
                  </w:r>
                  <w:r>
                    <w:rPr>
                      <w:rFonts w:eastAsiaTheme="minorEastAsia"/>
                    </w:rPr>
                    <w:t>相应的保护措施。</w:t>
                  </w:r>
                </w:p>
              </w:tc>
            </w:tr>
          </w:tbl>
          <w:p w14:paraId="3AC58691">
            <w:pPr>
              <w:spacing w:before="120" w:beforeLines="50"/>
              <w:jc w:val="center"/>
              <w:rPr>
                <w:rFonts w:eastAsiaTheme="minorEastAsia"/>
                <w:b/>
              </w:rPr>
            </w:pPr>
            <w:r>
              <w:rPr>
                <w:rFonts w:hint="eastAsia" w:eastAsiaTheme="minorEastAsia"/>
                <w:b/>
                <w:lang w:val="en-US" w:eastAsia="zh-CN"/>
              </w:rPr>
              <w:t xml:space="preserve">续 </w:t>
            </w:r>
            <w:r>
              <w:rPr>
                <w:rFonts w:eastAsiaTheme="minorEastAsia"/>
                <w:b/>
              </w:rPr>
              <w:t>表</w:t>
            </w:r>
            <w:r>
              <w:rPr>
                <w:rFonts w:hint="eastAsia" w:eastAsiaTheme="minorEastAsia"/>
                <w:b/>
                <w:lang w:val="en-US" w:eastAsia="zh-CN"/>
              </w:rPr>
              <w:t>1</w:t>
            </w:r>
            <w:r>
              <w:rPr>
                <w:rFonts w:eastAsiaTheme="minorEastAsia"/>
                <w:b/>
              </w:rPr>
              <w:t>-2  拟建公路与新疆维吾尔自治区公路网规划环评审查意见符合性分析表</w:t>
            </w:r>
          </w:p>
          <w:tbl>
            <w:tblPr>
              <w:tblStyle w:val="22"/>
              <w:tblW w:w="497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81"/>
              <w:gridCol w:w="3352"/>
            </w:tblGrid>
            <w:tr w14:paraId="4360F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745" w:type="pct"/>
                  <w:vAlign w:val="center"/>
                </w:tcPr>
                <w:p w14:paraId="46C35511">
                  <w:pPr>
                    <w:pStyle w:val="39"/>
                    <w:spacing w:before="24" w:after="24"/>
                    <w:rPr>
                      <w:rFonts w:ascii="Times New Roman" w:eastAsiaTheme="minorEastAsia"/>
                      <w:b/>
                      <w:bCs/>
                    </w:rPr>
                  </w:pPr>
                  <w:r>
                    <w:rPr>
                      <w:rFonts w:ascii="Times New Roman" w:eastAsiaTheme="minorEastAsia"/>
                      <w:b/>
                    </w:rPr>
                    <w:t>规划环评审查意见</w:t>
                  </w:r>
                </w:p>
              </w:tc>
              <w:tc>
                <w:tcPr>
                  <w:tcW w:w="2254" w:type="pct"/>
                  <w:vAlign w:val="center"/>
                </w:tcPr>
                <w:p w14:paraId="7068A844">
                  <w:pPr>
                    <w:pStyle w:val="39"/>
                    <w:spacing w:before="24" w:after="24"/>
                    <w:rPr>
                      <w:rFonts w:ascii="Times New Roman" w:eastAsiaTheme="minorEastAsia"/>
                      <w:b/>
                      <w:bCs/>
                    </w:rPr>
                  </w:pPr>
                  <w:r>
                    <w:rPr>
                      <w:rFonts w:ascii="Times New Roman" w:eastAsiaTheme="minorEastAsia"/>
                      <w:b/>
                    </w:rPr>
                    <w:t>符合性分析</w:t>
                  </w:r>
                </w:p>
              </w:tc>
            </w:tr>
            <w:tr w14:paraId="279DF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45" w:type="pct"/>
                  <w:vAlign w:val="center"/>
                </w:tcPr>
                <w:p w14:paraId="23C20DA9">
                  <w:pPr>
                    <w:jc w:val="left"/>
                    <w:rPr>
                      <w:rFonts w:eastAsiaTheme="minorEastAsia"/>
                    </w:rPr>
                  </w:pPr>
                  <w:r>
                    <w:rPr>
                      <w:rFonts w:eastAsiaTheme="minorEastAsia"/>
                    </w:rPr>
                    <w:t>强开发过</w:t>
                  </w:r>
                  <w:r>
                    <w:rPr>
                      <w:rFonts w:hint="eastAsia" w:eastAsiaTheme="minorEastAsia"/>
                      <w:lang w:eastAsia="zh-CN"/>
                    </w:rPr>
                    <w:t>程中</w:t>
                  </w:r>
                  <w:r>
                    <w:rPr>
                      <w:rFonts w:eastAsiaTheme="minorEastAsia"/>
                    </w:rPr>
                    <w:t>的环境风险防控。强化风险防控意识，坚持事前防范和事中监管，按照“属地为主、分级响应、区域联动”原则，建立完善各区域环境管理制度、环境风险防控和应急管理体系，健全突发环境事故预警和应急管理机制，制定细化环境风险防控方案和措施，落实主体责任，明晰防控流程，确保环境风险可控。</w:t>
                  </w:r>
                </w:p>
              </w:tc>
              <w:tc>
                <w:tcPr>
                  <w:tcW w:w="2254" w:type="pct"/>
                  <w:vAlign w:val="center"/>
                </w:tcPr>
                <w:p w14:paraId="6692C50A">
                  <w:pPr>
                    <w:jc w:val="left"/>
                    <w:rPr>
                      <w:rFonts w:eastAsiaTheme="minorEastAsia"/>
                    </w:rPr>
                  </w:pPr>
                  <w:r>
                    <w:rPr>
                      <w:rFonts w:eastAsiaTheme="minorEastAsia"/>
                    </w:rPr>
                    <w:t>拟建公路对跨越</w:t>
                  </w:r>
                  <w:r>
                    <w:rPr>
                      <w:rFonts w:hint="eastAsia" w:eastAsiaTheme="minorEastAsia"/>
                    </w:rPr>
                    <w:t>敏感</w:t>
                  </w:r>
                  <w:r>
                    <w:rPr>
                      <w:rFonts w:eastAsiaTheme="minorEastAsia"/>
                    </w:rPr>
                    <w:t>河流及</w:t>
                  </w:r>
                  <w:r>
                    <w:rPr>
                      <w:rFonts w:hint="eastAsia" w:eastAsiaTheme="minorEastAsia"/>
                      <w:lang w:eastAsia="zh-CN"/>
                    </w:rPr>
                    <w:t>临近</w:t>
                  </w:r>
                  <w:r>
                    <w:rPr>
                      <w:rFonts w:eastAsiaTheme="minorEastAsia"/>
                      <w:bCs/>
                    </w:rPr>
                    <w:t>饮用水水源保护区</w:t>
                  </w:r>
                  <w:r>
                    <w:rPr>
                      <w:rFonts w:eastAsiaTheme="minorEastAsia"/>
                    </w:rPr>
                    <w:t>路段加强防撞设计，设置路（桥）面径流收集系统、防渗事故应急池、警示标志</w:t>
                  </w:r>
                  <w:r>
                    <w:rPr>
                      <w:rFonts w:hint="eastAsia" w:eastAsiaTheme="minorEastAsia"/>
                      <w:lang w:val="en-US" w:eastAsia="zh-CN"/>
                    </w:rPr>
                    <w:t>等措施</w:t>
                  </w:r>
                  <w:r>
                    <w:rPr>
                      <w:rFonts w:eastAsiaTheme="minorEastAsia"/>
                    </w:rPr>
                    <w:t>，提出制定突发环境事故应急预案和应急管理机制等。</w:t>
                  </w:r>
                </w:p>
              </w:tc>
            </w:tr>
          </w:tbl>
          <w:p w14:paraId="0416C21B">
            <w:pPr>
              <w:autoSpaceDE w:val="0"/>
              <w:autoSpaceDN w:val="0"/>
              <w:adjustRightInd w:val="0"/>
              <w:spacing w:line="300" w:lineRule="auto"/>
              <w:ind w:firstLine="480" w:firstLineChars="200"/>
              <w:rPr>
                <w:rFonts w:hint="eastAsia" w:hAnsi="宋体"/>
                <w:sz w:val="24"/>
              </w:rPr>
            </w:pPr>
          </w:p>
          <w:p w14:paraId="54509BD3">
            <w:pPr>
              <w:autoSpaceDE w:val="0"/>
              <w:autoSpaceDN w:val="0"/>
              <w:adjustRightInd w:val="0"/>
              <w:spacing w:line="300" w:lineRule="auto"/>
              <w:rPr>
                <w:rFonts w:hint="eastAsia" w:hAnsi="宋体"/>
                <w:b/>
                <w:bCs/>
                <w:sz w:val="24"/>
              </w:rPr>
            </w:pPr>
            <w:r>
              <w:rPr>
                <w:rFonts w:hint="eastAsia" w:hAnsi="宋体"/>
                <w:b/>
                <w:bCs/>
                <w:sz w:val="24"/>
              </w:rPr>
              <w:t xml:space="preserve">3. 与《克孜勒苏柯尔克孜自治州国土空间总体规划（2020-2035）》符合性分析 </w:t>
            </w:r>
          </w:p>
          <w:p w14:paraId="31CDB867">
            <w:pPr>
              <w:keepNext w:val="0"/>
              <w:keepLines w:val="0"/>
              <w:pageBreakBefore w:val="0"/>
              <w:widowControl w:val="0"/>
              <w:kinsoku/>
              <w:wordWrap/>
              <w:overflowPunct/>
              <w:topLinePunct w:val="0"/>
              <w:autoSpaceDE w:val="0"/>
              <w:autoSpaceDN w:val="0"/>
              <w:bidi w:val="0"/>
              <w:adjustRightInd w:val="0"/>
              <w:snapToGrid/>
              <w:spacing w:line="300" w:lineRule="auto"/>
              <w:ind w:firstLine="480" w:firstLineChars="200"/>
              <w:textAlignment w:val="auto"/>
              <w:rPr>
                <w:rFonts w:hint="eastAsia" w:hAnsi="宋体"/>
                <w:sz w:val="24"/>
              </w:rPr>
            </w:pPr>
            <w:r>
              <w:rPr>
                <w:rFonts w:hint="eastAsia" w:hAnsi="宋体"/>
                <w:sz w:val="24"/>
                <w:lang w:val="en-US" w:eastAsia="zh-CN"/>
              </w:rPr>
              <w:t xml:space="preserve">(1) </w:t>
            </w:r>
            <w:r>
              <w:rPr>
                <w:rFonts w:hint="eastAsia" w:hAnsi="宋体"/>
                <w:sz w:val="24"/>
              </w:rPr>
              <w:t>符合区域综合交通网络规划布局要求</w:t>
            </w:r>
          </w:p>
          <w:p w14:paraId="15B6F903">
            <w:pPr>
              <w:keepNext w:val="0"/>
              <w:keepLines w:val="0"/>
              <w:pageBreakBefore w:val="0"/>
              <w:widowControl w:val="0"/>
              <w:kinsoku/>
              <w:wordWrap/>
              <w:overflowPunct/>
              <w:topLinePunct w:val="0"/>
              <w:autoSpaceDE w:val="0"/>
              <w:autoSpaceDN w:val="0"/>
              <w:bidi w:val="0"/>
              <w:adjustRightInd w:val="0"/>
              <w:snapToGrid/>
              <w:spacing w:line="300" w:lineRule="auto"/>
              <w:ind w:firstLine="480" w:firstLineChars="200"/>
              <w:textAlignment w:val="auto"/>
              <w:rPr>
                <w:rFonts w:hint="eastAsia" w:hAnsi="宋体"/>
                <w:sz w:val="24"/>
              </w:rPr>
            </w:pPr>
            <w:r>
              <w:rPr>
                <w:rFonts w:hint="eastAsia" w:hAnsi="宋体"/>
                <w:sz w:val="24"/>
              </w:rPr>
              <w:t>规划明确提出打造便捷畅通的综合交通体系，统筹推进 G219、G315 等国省干线公路建设，完善区域干线公路网，构建覆盖全域、联通喀什、衔接口岸的陆路运输通道，同步支撑 “一核二环五廊” 国土开发保护总体格局落地。</w:t>
            </w:r>
            <w:r>
              <w:rPr>
                <w:rFonts w:hint="eastAsia" w:hAnsi="宋体"/>
                <w:sz w:val="24"/>
                <w:lang w:val="en-US" w:eastAsia="zh-CN"/>
              </w:rPr>
              <w:t>拟建公路</w:t>
            </w:r>
            <w:r>
              <w:rPr>
                <w:rFonts w:hint="eastAsia" w:hAnsi="宋体"/>
                <w:sz w:val="24"/>
              </w:rPr>
              <w:t>为G219线八盘水磨至伽师段干线公路，属于规划重点完善的国省干线组成部分，路线串联阿图什、伽师沿线城镇节点，衔接喀克一体化发展核心区，契合规划“沿城镇、沿产业布局干线通道”的交通发展思路，匹配全州干线公路网建设规划安排。</w:t>
            </w:r>
          </w:p>
          <w:p w14:paraId="7D295AEA">
            <w:pPr>
              <w:keepNext w:val="0"/>
              <w:keepLines w:val="0"/>
              <w:pageBreakBefore w:val="0"/>
              <w:widowControl w:val="0"/>
              <w:kinsoku/>
              <w:wordWrap/>
              <w:overflowPunct/>
              <w:topLinePunct w:val="0"/>
              <w:autoSpaceDE w:val="0"/>
              <w:autoSpaceDN w:val="0"/>
              <w:bidi w:val="0"/>
              <w:adjustRightInd w:val="0"/>
              <w:snapToGrid/>
              <w:spacing w:line="300" w:lineRule="auto"/>
              <w:ind w:firstLine="480" w:firstLineChars="200"/>
              <w:textAlignment w:val="auto"/>
              <w:rPr>
                <w:rFonts w:hint="eastAsia" w:hAnsi="宋体"/>
                <w:sz w:val="24"/>
              </w:rPr>
            </w:pPr>
            <w:r>
              <w:rPr>
                <w:rFonts w:hint="eastAsia" w:hAnsi="宋体"/>
                <w:sz w:val="24"/>
                <w:lang w:val="en-US" w:eastAsia="zh-CN"/>
              </w:rPr>
              <w:t>(2) 符合</w:t>
            </w:r>
            <w:r>
              <w:rPr>
                <w:rFonts w:hint="eastAsia" w:hAnsi="宋体"/>
                <w:sz w:val="24"/>
              </w:rPr>
              <w:t>合喀阿一体化协同发展战略导向</w:t>
            </w:r>
          </w:p>
          <w:p w14:paraId="3ABDB482">
            <w:pPr>
              <w:keepNext w:val="0"/>
              <w:keepLines w:val="0"/>
              <w:pageBreakBefore w:val="0"/>
              <w:widowControl w:val="0"/>
              <w:kinsoku/>
              <w:wordWrap/>
              <w:overflowPunct/>
              <w:topLinePunct w:val="0"/>
              <w:autoSpaceDE w:val="0"/>
              <w:autoSpaceDN w:val="0"/>
              <w:bidi w:val="0"/>
              <w:adjustRightInd w:val="0"/>
              <w:snapToGrid/>
              <w:spacing w:line="300" w:lineRule="auto"/>
              <w:ind w:firstLine="480" w:firstLineChars="200"/>
              <w:textAlignment w:val="auto"/>
              <w:rPr>
                <w:rFonts w:hint="eastAsia" w:hAnsi="宋体"/>
                <w:sz w:val="24"/>
              </w:rPr>
            </w:pPr>
            <w:r>
              <w:rPr>
                <w:rFonts w:hint="eastAsia" w:hAnsi="宋体"/>
                <w:sz w:val="24"/>
              </w:rPr>
              <w:t>规划将“协同推进喀</w:t>
            </w:r>
            <w:r>
              <w:rPr>
                <w:rFonts w:hint="eastAsia" w:hAnsi="宋体"/>
                <w:sz w:val="24"/>
                <w:lang w:val="en-US" w:eastAsia="zh-CN"/>
              </w:rPr>
              <w:t>-</w:t>
            </w:r>
            <w:r>
              <w:rPr>
                <w:rFonts w:hint="eastAsia" w:hAnsi="宋体"/>
                <w:sz w:val="24"/>
              </w:rPr>
              <w:t>阿一体化发展”作为城乡发展核心策略之一，提出统筹区域交通通道建设、强化兵地与喀什城镇互联互通，依托干线公路实现产业联动、旅游协同、基础设施同城联动。拟建公路打通克州阿图什片区与喀什伽师片区快速陆路联系，强化喀克一体化交通廊道功能，串联沿线乡镇、产业地块与绿洲农业区，助力规划中巴铁路、南疆铁路配套公路运输体系成型，能够推动两地商贸物流、全域旅游资源联动开发，落实规划开放融合、区域协同的发展策略，符合克州面向喀什都市圈联动发展空间布局。</w:t>
            </w:r>
          </w:p>
          <w:p w14:paraId="3CB1E244">
            <w:pPr>
              <w:keepNext w:val="0"/>
              <w:keepLines w:val="0"/>
              <w:pageBreakBefore w:val="0"/>
              <w:widowControl w:val="0"/>
              <w:kinsoku/>
              <w:wordWrap/>
              <w:overflowPunct/>
              <w:topLinePunct w:val="0"/>
              <w:autoSpaceDE w:val="0"/>
              <w:autoSpaceDN w:val="0"/>
              <w:bidi w:val="0"/>
              <w:adjustRightInd w:val="0"/>
              <w:snapToGrid/>
              <w:spacing w:line="300" w:lineRule="auto"/>
              <w:ind w:firstLine="480" w:firstLineChars="200"/>
              <w:textAlignment w:val="auto"/>
              <w:rPr>
                <w:rFonts w:hint="eastAsia" w:hAnsi="宋体"/>
                <w:sz w:val="24"/>
              </w:rPr>
            </w:pPr>
            <w:r>
              <w:rPr>
                <w:rFonts w:hint="eastAsia" w:hAnsi="宋体"/>
                <w:sz w:val="24"/>
                <w:lang w:val="en-US" w:eastAsia="zh-CN"/>
              </w:rPr>
              <w:t>(3) 符合</w:t>
            </w:r>
            <w:r>
              <w:rPr>
                <w:rFonts w:hint="eastAsia" w:hAnsi="宋体"/>
                <w:sz w:val="24"/>
              </w:rPr>
              <w:t>基础设施支撑体系建设管控规则</w:t>
            </w:r>
          </w:p>
          <w:p w14:paraId="7EB4BA88">
            <w:pPr>
              <w:keepNext w:val="0"/>
              <w:keepLines w:val="0"/>
              <w:pageBreakBefore w:val="0"/>
              <w:widowControl w:val="0"/>
              <w:kinsoku/>
              <w:wordWrap/>
              <w:overflowPunct/>
              <w:topLinePunct w:val="0"/>
              <w:autoSpaceDE w:val="0"/>
              <w:autoSpaceDN w:val="0"/>
              <w:bidi w:val="0"/>
              <w:adjustRightInd w:val="0"/>
              <w:snapToGrid/>
              <w:spacing w:line="300" w:lineRule="auto"/>
              <w:ind w:firstLine="480" w:firstLineChars="200"/>
              <w:textAlignment w:val="auto"/>
              <w:rPr>
                <w:rFonts w:hint="eastAsia" w:hAnsi="宋体"/>
                <w:sz w:val="24"/>
              </w:rPr>
            </w:pPr>
            <w:r>
              <w:rPr>
                <w:rFonts w:hint="eastAsia" w:hAnsi="宋体"/>
                <w:sz w:val="24"/>
              </w:rPr>
              <w:t>规划明确国省道等线性交通基础设施为全域重点保障类工程，要求公路建设统筹国土空间保护开发，兼顾生态廊道避让、绿洲耕地保护，同步落实水土保持、沿线生态修复、地质灾害防治等配套管控措施，推动基础设施绿色化、复合化发展。</w:t>
            </w:r>
            <w:r>
              <w:rPr>
                <w:rFonts w:hint="eastAsia" w:hAnsi="宋体"/>
                <w:sz w:val="24"/>
                <w:lang w:val="en-US" w:eastAsia="zh-CN"/>
              </w:rPr>
              <w:t>拟建公路基本沿既有公路改扩建</w:t>
            </w:r>
            <w:r>
              <w:rPr>
                <w:rFonts w:hint="eastAsia" w:hAnsi="宋体"/>
                <w:sz w:val="24"/>
              </w:rPr>
              <w:t>，避让</w:t>
            </w:r>
            <w:r>
              <w:rPr>
                <w:rFonts w:hint="eastAsia" w:hAnsi="宋体"/>
                <w:sz w:val="24"/>
                <w:lang w:val="en-US" w:eastAsia="zh-CN"/>
              </w:rPr>
              <w:t>生态敏感区</w:t>
            </w:r>
            <w:r>
              <w:rPr>
                <w:rFonts w:hint="eastAsia" w:hAnsi="宋体"/>
                <w:sz w:val="24"/>
              </w:rPr>
              <w:t>，</w:t>
            </w:r>
            <w:r>
              <w:rPr>
                <w:rFonts w:hint="eastAsia" w:hAnsi="宋体"/>
                <w:sz w:val="24"/>
                <w:lang w:val="en-US" w:eastAsia="zh-CN"/>
              </w:rPr>
              <w:t>不占基本农田</w:t>
            </w:r>
            <w:r>
              <w:rPr>
                <w:rFonts w:hint="eastAsia" w:hAnsi="宋体"/>
                <w:sz w:val="24"/>
              </w:rPr>
              <w:t>，同步</w:t>
            </w:r>
            <w:r>
              <w:rPr>
                <w:rFonts w:hint="eastAsia" w:hAnsi="宋体"/>
                <w:sz w:val="24"/>
                <w:lang w:val="en-US" w:eastAsia="zh-CN"/>
              </w:rPr>
              <w:t>进行</w:t>
            </w:r>
            <w:r>
              <w:rPr>
                <w:rFonts w:hint="eastAsia" w:hAnsi="宋体"/>
                <w:sz w:val="24"/>
              </w:rPr>
              <w:t>表土剥离、植被恢复、沿线水土流失治理等；项目</w:t>
            </w:r>
            <w:r>
              <w:rPr>
                <w:rFonts w:hint="eastAsia" w:hAnsi="宋体"/>
                <w:sz w:val="24"/>
                <w:lang w:val="en-US" w:eastAsia="zh-CN"/>
              </w:rPr>
              <w:t>建设</w:t>
            </w:r>
            <w:r>
              <w:rPr>
                <w:rFonts w:hint="eastAsia" w:hAnsi="宋体"/>
                <w:sz w:val="24"/>
              </w:rPr>
              <w:t>符合规划基础设施建设相关要求。</w:t>
            </w:r>
          </w:p>
          <w:p w14:paraId="2560CF96">
            <w:pPr>
              <w:autoSpaceDE w:val="0"/>
              <w:autoSpaceDN w:val="0"/>
              <w:adjustRightInd w:val="0"/>
              <w:spacing w:line="300" w:lineRule="auto"/>
              <w:rPr>
                <w:rFonts w:hint="eastAsia" w:hAnsi="宋体"/>
                <w:b/>
                <w:bCs/>
                <w:sz w:val="24"/>
              </w:rPr>
            </w:pPr>
            <w:r>
              <w:rPr>
                <w:rFonts w:hint="eastAsia" w:hAnsi="宋体"/>
                <w:b/>
                <w:bCs/>
                <w:sz w:val="24"/>
              </w:rPr>
              <w:t>4. 与</w:t>
            </w:r>
            <w:r>
              <w:rPr>
                <w:rFonts w:hAnsi="宋体"/>
                <w:b/>
                <w:bCs/>
                <w:sz w:val="24"/>
              </w:rPr>
              <w:t>《</w:t>
            </w:r>
            <w:r>
              <w:rPr>
                <w:rFonts w:hint="eastAsia" w:hAnsi="宋体"/>
                <w:b/>
                <w:bCs/>
                <w:sz w:val="24"/>
              </w:rPr>
              <w:t>阿图什市国土空间总体规划（2021-2035年）</w:t>
            </w:r>
            <w:r>
              <w:rPr>
                <w:rFonts w:hAnsi="宋体"/>
                <w:b/>
                <w:bCs/>
                <w:sz w:val="24"/>
              </w:rPr>
              <w:t>》符合性分析</w:t>
            </w:r>
          </w:p>
          <w:p w14:paraId="0D31AE92">
            <w:pPr>
              <w:keepNext w:val="0"/>
              <w:keepLines w:val="0"/>
              <w:pageBreakBefore w:val="0"/>
              <w:widowControl w:val="0"/>
              <w:kinsoku/>
              <w:wordWrap/>
              <w:overflowPunct/>
              <w:topLinePunct w:val="0"/>
              <w:autoSpaceDE w:val="0"/>
              <w:autoSpaceDN w:val="0"/>
              <w:bidi w:val="0"/>
              <w:adjustRightInd w:val="0"/>
              <w:snapToGrid/>
              <w:spacing w:line="300" w:lineRule="auto"/>
              <w:ind w:firstLine="480" w:firstLineChars="200"/>
              <w:textAlignment w:val="auto"/>
              <w:rPr>
                <w:rFonts w:hint="eastAsia" w:hAnsi="宋体"/>
                <w:sz w:val="24"/>
              </w:rPr>
            </w:pPr>
            <w:r>
              <w:rPr>
                <w:rFonts w:hint="eastAsia" w:hAnsi="宋体"/>
                <w:sz w:val="24"/>
                <w:lang w:val="en-US" w:eastAsia="zh-CN"/>
              </w:rPr>
              <w:t>(1) 符</w:t>
            </w:r>
            <w:r>
              <w:rPr>
                <w:rFonts w:hint="eastAsia" w:hAnsi="宋体"/>
                <w:sz w:val="24"/>
              </w:rPr>
              <w:t>合市域综合交通网络规划布局要求</w:t>
            </w:r>
          </w:p>
          <w:p w14:paraId="6DE3028F">
            <w:pPr>
              <w:keepNext w:val="0"/>
              <w:keepLines w:val="0"/>
              <w:pageBreakBefore w:val="0"/>
              <w:widowControl w:val="0"/>
              <w:kinsoku/>
              <w:wordWrap/>
              <w:overflowPunct/>
              <w:topLinePunct w:val="0"/>
              <w:autoSpaceDE w:val="0"/>
              <w:autoSpaceDN w:val="0"/>
              <w:bidi w:val="0"/>
              <w:adjustRightInd w:val="0"/>
              <w:snapToGrid/>
              <w:spacing w:line="300" w:lineRule="auto"/>
              <w:ind w:firstLine="480" w:firstLineChars="200"/>
              <w:textAlignment w:val="auto"/>
              <w:rPr>
                <w:rFonts w:hint="eastAsia" w:hAnsi="宋体"/>
                <w:sz w:val="24"/>
              </w:rPr>
            </w:pPr>
            <w:r>
              <w:rPr>
                <w:rFonts w:hint="eastAsia" w:hAnsi="宋体"/>
                <w:sz w:val="24"/>
              </w:rPr>
              <w:t>规划“内联外通，优化综合交通网络”</w:t>
            </w:r>
            <w:r>
              <w:rPr>
                <w:rFonts w:hint="eastAsia" w:hAnsi="宋体"/>
                <w:sz w:val="24"/>
                <w:lang w:val="en-US" w:eastAsia="zh-CN"/>
              </w:rPr>
              <w:t>中</w:t>
            </w:r>
            <w:r>
              <w:rPr>
                <w:rFonts w:hint="eastAsia" w:hAnsi="宋体"/>
                <w:sz w:val="24"/>
              </w:rPr>
              <w:t>明确提出市域公路升级改造任务，提升G219为一级公路，同步完善区域干线路网，搭建喀克一体化交通环线。</w:t>
            </w:r>
            <w:r>
              <w:rPr>
                <w:rFonts w:hint="eastAsia" w:hAnsi="宋体"/>
                <w:sz w:val="24"/>
                <w:lang w:val="en-US" w:eastAsia="zh-CN"/>
              </w:rPr>
              <w:t>拟建</w:t>
            </w:r>
            <w:r>
              <w:rPr>
                <w:rFonts w:hint="eastAsia" w:hAnsi="宋体"/>
                <w:sz w:val="24"/>
              </w:rPr>
              <w:t>G219八盘水磨至伽师沿边通道工程，属于规划重点升级改造国省干线范畴，路线</w:t>
            </w:r>
            <w:r>
              <w:rPr>
                <w:rFonts w:hint="eastAsia" w:hAnsi="宋体"/>
                <w:sz w:val="24"/>
                <w:lang w:val="en-US" w:eastAsia="zh-CN"/>
              </w:rPr>
              <w:t>穿越</w:t>
            </w:r>
            <w:r>
              <w:rPr>
                <w:rFonts w:hint="eastAsia" w:hAnsi="宋体"/>
                <w:sz w:val="24"/>
              </w:rPr>
              <w:t>阿图什市域南部片区，串联乡镇节点，完善市域公路骨架，匹配市域交通路网建设安排。</w:t>
            </w:r>
          </w:p>
          <w:p w14:paraId="04A51CC9">
            <w:pPr>
              <w:keepNext w:val="0"/>
              <w:keepLines w:val="0"/>
              <w:pageBreakBefore w:val="0"/>
              <w:widowControl w:val="0"/>
              <w:kinsoku/>
              <w:wordWrap/>
              <w:overflowPunct/>
              <w:topLinePunct w:val="0"/>
              <w:autoSpaceDE w:val="0"/>
              <w:autoSpaceDN w:val="0"/>
              <w:bidi w:val="0"/>
              <w:adjustRightInd w:val="0"/>
              <w:snapToGrid/>
              <w:spacing w:line="300" w:lineRule="auto"/>
              <w:ind w:firstLine="480" w:firstLineChars="200"/>
              <w:textAlignment w:val="auto"/>
              <w:rPr>
                <w:rFonts w:hint="eastAsia" w:hAnsi="宋体"/>
                <w:sz w:val="24"/>
              </w:rPr>
            </w:pPr>
            <w:r>
              <w:rPr>
                <w:rFonts w:hint="eastAsia" w:hAnsi="宋体"/>
                <w:sz w:val="24"/>
                <w:lang w:val="en-US" w:eastAsia="zh-CN"/>
              </w:rPr>
              <w:t xml:space="preserve">(2) </w:t>
            </w:r>
            <w:r>
              <w:rPr>
                <w:rFonts w:hint="eastAsia" w:hAnsi="宋体"/>
                <w:sz w:val="24"/>
              </w:rPr>
              <w:t>支撑喀</w:t>
            </w:r>
            <w:r>
              <w:rPr>
                <w:rFonts w:hint="eastAsia" w:hAnsi="宋体"/>
                <w:sz w:val="24"/>
                <w:lang w:val="en-US" w:eastAsia="zh-CN"/>
              </w:rPr>
              <w:t>-</w:t>
            </w:r>
            <w:r>
              <w:rPr>
                <w:rFonts w:hint="eastAsia" w:hAnsi="宋体"/>
                <w:sz w:val="24"/>
              </w:rPr>
              <w:t>阿一体化协同发展战略落地</w:t>
            </w:r>
          </w:p>
          <w:p w14:paraId="2FDE8F87">
            <w:pPr>
              <w:keepNext w:val="0"/>
              <w:keepLines w:val="0"/>
              <w:pageBreakBefore w:val="0"/>
              <w:widowControl w:val="0"/>
              <w:kinsoku/>
              <w:wordWrap/>
              <w:overflowPunct/>
              <w:topLinePunct w:val="0"/>
              <w:autoSpaceDE w:val="0"/>
              <w:autoSpaceDN w:val="0"/>
              <w:bidi w:val="0"/>
              <w:adjustRightInd w:val="0"/>
              <w:snapToGrid/>
              <w:spacing w:line="300" w:lineRule="auto"/>
              <w:ind w:firstLine="480" w:firstLineChars="200"/>
              <w:textAlignment w:val="auto"/>
              <w:rPr>
                <w:rFonts w:hint="eastAsia" w:hAnsi="宋体"/>
                <w:sz w:val="24"/>
              </w:rPr>
            </w:pPr>
            <w:r>
              <w:rPr>
                <w:rFonts w:hint="eastAsia" w:hAnsi="宋体"/>
                <w:sz w:val="24"/>
              </w:rPr>
              <w:t>规划将喀什</w:t>
            </w:r>
            <w:r>
              <w:rPr>
                <w:rFonts w:hint="eastAsia" w:hAnsi="宋体"/>
                <w:sz w:val="24"/>
                <w:lang w:val="en-US" w:eastAsia="zh-CN"/>
              </w:rPr>
              <w:t>-</w:t>
            </w:r>
            <w:r>
              <w:rPr>
                <w:rFonts w:hint="eastAsia" w:hAnsi="宋体"/>
                <w:sz w:val="24"/>
              </w:rPr>
              <w:t>阿图什一体化发展作为核心发展策略，提出统筹区域交通通道、推动基础设施同城联动，构建“喀克交通环”。拟建公路打通阿图什与伽师、喀什的快速陆路通道，强化市域对外联通能力，助力区域商贸物流、全域旅游资源联动，落实规划区域协同、开放发展的总体导向。</w:t>
            </w:r>
          </w:p>
          <w:p w14:paraId="485BC881">
            <w:pPr>
              <w:keepNext w:val="0"/>
              <w:keepLines w:val="0"/>
              <w:pageBreakBefore w:val="0"/>
              <w:widowControl w:val="0"/>
              <w:kinsoku/>
              <w:wordWrap/>
              <w:overflowPunct/>
              <w:topLinePunct w:val="0"/>
              <w:autoSpaceDE w:val="0"/>
              <w:autoSpaceDN w:val="0"/>
              <w:bidi w:val="0"/>
              <w:adjustRightInd w:val="0"/>
              <w:snapToGrid/>
              <w:spacing w:line="300" w:lineRule="auto"/>
              <w:ind w:firstLine="480" w:firstLineChars="200"/>
              <w:textAlignment w:val="auto"/>
              <w:rPr>
                <w:rFonts w:hint="eastAsia" w:hAnsi="宋体"/>
                <w:sz w:val="24"/>
              </w:rPr>
            </w:pPr>
            <w:r>
              <w:rPr>
                <w:rFonts w:hint="eastAsia" w:hAnsi="宋体"/>
                <w:sz w:val="24"/>
                <w:lang w:val="en-US" w:eastAsia="zh-CN"/>
              </w:rPr>
              <w:t xml:space="preserve">(3) </w:t>
            </w:r>
            <w:r>
              <w:rPr>
                <w:rFonts w:hint="eastAsia" w:hAnsi="宋体"/>
                <w:sz w:val="24"/>
              </w:rPr>
              <w:t>符合国土空间开发保护管控规则</w:t>
            </w:r>
          </w:p>
          <w:p w14:paraId="4C295919">
            <w:pPr>
              <w:keepNext w:val="0"/>
              <w:keepLines w:val="0"/>
              <w:pageBreakBefore w:val="0"/>
              <w:widowControl w:val="0"/>
              <w:kinsoku/>
              <w:wordWrap/>
              <w:overflowPunct/>
              <w:topLinePunct w:val="0"/>
              <w:autoSpaceDE w:val="0"/>
              <w:autoSpaceDN w:val="0"/>
              <w:bidi w:val="0"/>
              <w:adjustRightInd w:val="0"/>
              <w:snapToGrid/>
              <w:spacing w:line="300" w:lineRule="auto"/>
              <w:ind w:firstLine="480" w:firstLineChars="200"/>
              <w:textAlignment w:val="auto"/>
              <w:rPr>
                <w:rFonts w:hint="eastAsia" w:hAnsi="宋体"/>
                <w:sz w:val="24"/>
              </w:rPr>
            </w:pPr>
            <w:r>
              <w:rPr>
                <w:rFonts w:hint="eastAsia" w:hAnsi="宋体"/>
                <w:sz w:val="24"/>
              </w:rPr>
              <w:t>规划划定“一心一圈、一轴两脉两屏”国土空间总体格局，构建天山南脉、塔什别勒斯山生态屏障生态廊道，严格管控</w:t>
            </w:r>
            <w:r>
              <w:rPr>
                <w:rFonts w:hint="eastAsia" w:hAnsi="宋体"/>
                <w:sz w:val="24"/>
                <w:lang w:eastAsia="zh-CN"/>
              </w:rPr>
              <w:t>“三区三线”</w:t>
            </w:r>
            <w:r>
              <w:rPr>
                <w:rFonts w:hint="eastAsia" w:hAnsi="宋体"/>
                <w:sz w:val="24"/>
              </w:rPr>
              <w:t>。项目选线充分避让</w:t>
            </w:r>
            <w:r>
              <w:rPr>
                <w:rFonts w:hint="eastAsia" w:hAnsi="宋体"/>
                <w:sz w:val="24"/>
                <w:lang w:val="en-US" w:eastAsia="zh-CN"/>
              </w:rPr>
              <w:t>生态敏感区</w:t>
            </w:r>
            <w:r>
              <w:rPr>
                <w:rFonts w:hint="eastAsia" w:hAnsi="宋体"/>
                <w:sz w:val="24"/>
              </w:rPr>
              <w:t>、基本农田</w:t>
            </w:r>
            <w:r>
              <w:rPr>
                <w:rFonts w:hint="eastAsia" w:hAnsi="宋体"/>
                <w:sz w:val="24"/>
                <w:lang w:eastAsia="zh-CN"/>
              </w:rPr>
              <w:t>，</w:t>
            </w:r>
            <w:r>
              <w:rPr>
                <w:rFonts w:hint="eastAsia" w:hAnsi="宋体"/>
                <w:sz w:val="24"/>
              </w:rPr>
              <w:t>施工期落实水土保持、植被修复等措施，</w:t>
            </w:r>
            <w:r>
              <w:rPr>
                <w:rFonts w:hint="eastAsia" w:hAnsi="宋体"/>
                <w:sz w:val="24"/>
                <w:lang w:val="en-US" w:eastAsia="zh-CN"/>
              </w:rPr>
              <w:t>符合</w:t>
            </w:r>
            <w:r>
              <w:rPr>
                <w:rFonts w:hint="eastAsia" w:hAnsi="宋体"/>
                <w:sz w:val="24"/>
              </w:rPr>
              <w:t>规划生态优先、绿色基础设施建设管控要求。</w:t>
            </w:r>
          </w:p>
          <w:p w14:paraId="694BF064">
            <w:pPr>
              <w:autoSpaceDE w:val="0"/>
              <w:autoSpaceDN w:val="0"/>
              <w:adjustRightInd w:val="0"/>
              <w:spacing w:line="300" w:lineRule="auto"/>
              <w:rPr>
                <w:rFonts w:hint="eastAsia" w:hAnsi="宋体"/>
                <w:b/>
                <w:bCs/>
                <w:sz w:val="24"/>
              </w:rPr>
            </w:pPr>
            <w:r>
              <w:rPr>
                <w:rFonts w:hint="eastAsia" w:hAnsi="宋体"/>
                <w:b/>
                <w:bCs/>
                <w:sz w:val="24"/>
              </w:rPr>
              <w:t>5. 与</w:t>
            </w:r>
            <w:r>
              <w:rPr>
                <w:rFonts w:hAnsi="宋体"/>
                <w:b/>
                <w:bCs/>
                <w:sz w:val="24"/>
              </w:rPr>
              <w:t>《</w:t>
            </w:r>
            <w:r>
              <w:rPr>
                <w:rFonts w:hint="eastAsia" w:hAnsi="宋体"/>
                <w:b/>
                <w:bCs/>
                <w:sz w:val="24"/>
              </w:rPr>
              <w:t>喀什地区国土空间总体规划（2021-2035年</w:t>
            </w:r>
            <w:r>
              <w:rPr>
                <w:rFonts w:hAnsi="宋体"/>
                <w:b/>
                <w:bCs/>
                <w:sz w:val="24"/>
              </w:rPr>
              <w:t>）》符合性分析</w:t>
            </w:r>
          </w:p>
          <w:p w14:paraId="1EC2CC58">
            <w:pPr>
              <w:keepNext w:val="0"/>
              <w:keepLines w:val="0"/>
              <w:pageBreakBefore w:val="0"/>
              <w:widowControl w:val="0"/>
              <w:kinsoku/>
              <w:wordWrap/>
              <w:overflowPunct/>
              <w:topLinePunct w:val="0"/>
              <w:autoSpaceDE w:val="0"/>
              <w:autoSpaceDN w:val="0"/>
              <w:bidi w:val="0"/>
              <w:adjustRightInd w:val="0"/>
              <w:snapToGrid/>
              <w:spacing w:line="300" w:lineRule="auto"/>
              <w:ind w:firstLine="480" w:firstLineChars="200"/>
              <w:textAlignment w:val="auto"/>
              <w:rPr>
                <w:rFonts w:hint="eastAsia" w:hAnsi="宋体"/>
                <w:sz w:val="24"/>
              </w:rPr>
            </w:pPr>
            <w:r>
              <w:rPr>
                <w:rFonts w:hint="eastAsia" w:hAnsi="宋体"/>
                <w:sz w:val="24"/>
                <w:lang w:val="en-US" w:eastAsia="zh-CN"/>
              </w:rPr>
              <w:t>(1) 符合</w:t>
            </w:r>
            <w:r>
              <w:rPr>
                <w:rFonts w:hint="eastAsia" w:hAnsi="宋体"/>
                <w:sz w:val="24"/>
              </w:rPr>
              <w:t>地区综合立体交通体系规划布局</w:t>
            </w:r>
          </w:p>
          <w:p w14:paraId="28D592D4">
            <w:pPr>
              <w:keepNext w:val="0"/>
              <w:keepLines w:val="0"/>
              <w:pageBreakBefore w:val="0"/>
              <w:widowControl w:val="0"/>
              <w:kinsoku/>
              <w:wordWrap/>
              <w:overflowPunct/>
              <w:topLinePunct w:val="0"/>
              <w:autoSpaceDE w:val="0"/>
              <w:autoSpaceDN w:val="0"/>
              <w:bidi w:val="0"/>
              <w:adjustRightInd w:val="0"/>
              <w:snapToGrid/>
              <w:spacing w:line="300" w:lineRule="auto"/>
              <w:ind w:firstLine="480" w:firstLineChars="200"/>
              <w:textAlignment w:val="auto"/>
              <w:rPr>
                <w:rFonts w:hint="eastAsia" w:hAnsi="宋体"/>
                <w:sz w:val="24"/>
              </w:rPr>
            </w:pPr>
            <w:r>
              <w:rPr>
                <w:rFonts w:hint="eastAsia" w:hAnsi="宋体"/>
                <w:sz w:val="24"/>
              </w:rPr>
              <w:t>规划明确构建“六条综合交通廊道”，完善 G217、G219、G314 等国省干线公路网络，打造连通内外、支撑向西开放的陆路通道，同步构建喀什城市圈“一环六射”公路骨架，强化伽师等县域对外交通联络，完善县域干线连通路网。拟建 G219 八盘水磨至伽师沿边通道工程属于规划重点完善的国省干线组成路段，匹配地区公路网络建设总体部署，</w:t>
            </w:r>
            <w:r>
              <w:rPr>
                <w:rFonts w:hint="eastAsia" w:hAnsi="宋体"/>
                <w:sz w:val="24"/>
                <w:lang w:val="en-US" w:eastAsia="zh-CN"/>
              </w:rPr>
              <w:t>符</w:t>
            </w:r>
            <w:r>
              <w:rPr>
                <w:rFonts w:hint="eastAsia" w:hAnsi="宋体"/>
                <w:sz w:val="24"/>
              </w:rPr>
              <w:t>合规划综合交通发展定位。</w:t>
            </w:r>
          </w:p>
          <w:p w14:paraId="0C128FC2">
            <w:pPr>
              <w:keepNext w:val="0"/>
              <w:keepLines w:val="0"/>
              <w:pageBreakBefore w:val="0"/>
              <w:widowControl w:val="0"/>
              <w:kinsoku/>
              <w:wordWrap/>
              <w:overflowPunct/>
              <w:topLinePunct w:val="0"/>
              <w:autoSpaceDE w:val="0"/>
              <w:autoSpaceDN w:val="0"/>
              <w:bidi w:val="0"/>
              <w:adjustRightInd w:val="0"/>
              <w:snapToGrid/>
              <w:spacing w:line="300" w:lineRule="auto"/>
              <w:ind w:firstLine="480" w:firstLineChars="200"/>
              <w:textAlignment w:val="auto"/>
              <w:rPr>
                <w:rFonts w:hint="eastAsia" w:hAnsi="宋体"/>
                <w:sz w:val="24"/>
              </w:rPr>
            </w:pPr>
            <w:r>
              <w:rPr>
                <w:rFonts w:hint="eastAsia" w:hAnsi="宋体"/>
                <w:sz w:val="24"/>
                <w:lang w:val="en-US" w:eastAsia="zh-CN"/>
              </w:rPr>
              <w:t xml:space="preserve">(2) </w:t>
            </w:r>
            <w:r>
              <w:rPr>
                <w:rFonts w:hint="eastAsia" w:hAnsi="宋体"/>
                <w:sz w:val="24"/>
              </w:rPr>
              <w:t>符合喀什城市圈与区域协同发展战略导向</w:t>
            </w:r>
          </w:p>
          <w:p w14:paraId="396FD699">
            <w:pPr>
              <w:keepNext w:val="0"/>
              <w:keepLines w:val="0"/>
              <w:pageBreakBefore w:val="0"/>
              <w:widowControl w:val="0"/>
              <w:kinsoku/>
              <w:wordWrap/>
              <w:overflowPunct/>
              <w:topLinePunct w:val="0"/>
              <w:autoSpaceDE w:val="0"/>
              <w:autoSpaceDN w:val="0"/>
              <w:bidi w:val="0"/>
              <w:adjustRightInd w:val="0"/>
              <w:snapToGrid/>
              <w:spacing w:line="300" w:lineRule="auto"/>
              <w:ind w:firstLine="480" w:firstLineChars="200"/>
              <w:textAlignment w:val="auto"/>
              <w:rPr>
                <w:rFonts w:hint="eastAsia" w:hAnsi="宋体"/>
                <w:sz w:val="24"/>
              </w:rPr>
            </w:pPr>
            <w:r>
              <w:rPr>
                <w:rFonts w:hint="eastAsia" w:hAnsi="宋体"/>
                <w:sz w:val="24"/>
              </w:rPr>
              <w:t>规划提出构建 “一圈、一群、两区、两屏” 国土空间总体格局，以喀什城市圈为核心增长极，统筹推进喀什、伽师、英吉沙等周边城镇互联互通，深化克州、喀什区域协同，共建跨区域交通基础设施，依托干线公路实现商贸、旅游、产业联动发展；同时落实兵地融合发展要求，完善跨区域通道，推动资源、要素互通共享。</w:t>
            </w:r>
            <w:r>
              <w:rPr>
                <w:rFonts w:hint="eastAsia" w:hAnsi="宋体"/>
                <w:sz w:val="24"/>
                <w:lang w:val="en-US" w:eastAsia="zh-CN"/>
              </w:rPr>
              <w:t>拟建公路</w:t>
            </w:r>
            <w:r>
              <w:rPr>
                <w:rFonts w:hint="eastAsia" w:hAnsi="宋体"/>
                <w:sz w:val="24"/>
              </w:rPr>
              <w:t>贯通阿图什（克州）与伽师片区，打通克州、喀什一体化陆路通道，完善喀什城市圈西部联络通道，能够带动沿线绿洲农业、特色文旅产业联动，助力中巴经济走廊配套路网落地，落实规划区域协同、兵地融合、对外开放的空间发展策略。</w:t>
            </w:r>
          </w:p>
          <w:p w14:paraId="5DBB67DB">
            <w:pPr>
              <w:keepNext w:val="0"/>
              <w:keepLines w:val="0"/>
              <w:pageBreakBefore w:val="0"/>
              <w:widowControl w:val="0"/>
              <w:kinsoku/>
              <w:wordWrap/>
              <w:overflowPunct/>
              <w:topLinePunct w:val="0"/>
              <w:autoSpaceDE w:val="0"/>
              <w:autoSpaceDN w:val="0"/>
              <w:bidi w:val="0"/>
              <w:adjustRightInd w:val="0"/>
              <w:snapToGrid/>
              <w:spacing w:line="300" w:lineRule="auto"/>
              <w:ind w:firstLine="480" w:firstLineChars="200"/>
              <w:textAlignment w:val="auto"/>
              <w:rPr>
                <w:rFonts w:hint="eastAsia" w:hAnsi="宋体"/>
                <w:sz w:val="24"/>
              </w:rPr>
            </w:pPr>
            <w:r>
              <w:rPr>
                <w:rFonts w:hint="eastAsia" w:hAnsi="宋体"/>
                <w:sz w:val="24"/>
                <w:lang w:val="en-US" w:eastAsia="zh-CN"/>
              </w:rPr>
              <w:t xml:space="preserve">(3) </w:t>
            </w:r>
            <w:r>
              <w:rPr>
                <w:rFonts w:hint="eastAsia" w:hAnsi="宋体"/>
                <w:sz w:val="24"/>
              </w:rPr>
              <w:t>满足国土空间</w:t>
            </w:r>
            <w:r>
              <w:rPr>
                <w:rFonts w:hint="eastAsia" w:hAnsi="宋体"/>
                <w:sz w:val="24"/>
                <w:lang w:eastAsia="zh-CN"/>
              </w:rPr>
              <w:t>“三区三线”</w:t>
            </w:r>
            <w:r>
              <w:rPr>
                <w:rFonts w:hint="eastAsia" w:hAnsi="宋体"/>
                <w:sz w:val="24"/>
              </w:rPr>
              <w:t>与绿色基建管控要求</w:t>
            </w:r>
          </w:p>
          <w:p w14:paraId="5B2B4921">
            <w:pPr>
              <w:keepNext w:val="0"/>
              <w:keepLines w:val="0"/>
              <w:pageBreakBefore w:val="0"/>
              <w:widowControl w:val="0"/>
              <w:kinsoku/>
              <w:wordWrap/>
              <w:overflowPunct/>
              <w:topLinePunct w:val="0"/>
              <w:autoSpaceDE w:val="0"/>
              <w:autoSpaceDN w:val="0"/>
              <w:bidi w:val="0"/>
              <w:adjustRightInd w:val="0"/>
              <w:snapToGrid/>
              <w:spacing w:line="300" w:lineRule="auto"/>
              <w:ind w:firstLine="480" w:firstLineChars="200"/>
              <w:textAlignment w:val="auto"/>
              <w:rPr>
                <w:rFonts w:hint="eastAsia" w:hAnsi="宋体"/>
                <w:sz w:val="24"/>
              </w:rPr>
            </w:pPr>
            <w:r>
              <w:rPr>
                <w:rFonts w:hint="eastAsia" w:hAnsi="宋体"/>
                <w:sz w:val="24"/>
              </w:rPr>
              <w:t>规划严守生态保护红线、永久基本农田、城镇开发边界三条控制线，严格管控绿洲周边开发建设；同时要求线性交通工程优化选线，避让核心生态斑块与连片优质耕地，同步配套水土保持、植被修复、防风固沙等生态治理措施，统筹工程建设与山水林田湖草沙一体化保护修复。</w:t>
            </w:r>
            <w:r>
              <w:rPr>
                <w:rFonts w:hint="eastAsia" w:hAnsi="宋体"/>
                <w:sz w:val="24"/>
                <w:lang w:val="en-US" w:eastAsia="zh-CN"/>
              </w:rPr>
              <w:t>拟建公路基本沿既有公路改扩建</w:t>
            </w:r>
            <w:r>
              <w:rPr>
                <w:rFonts w:hint="eastAsia" w:hAnsi="宋体"/>
                <w:sz w:val="24"/>
              </w:rPr>
              <w:t>，</w:t>
            </w:r>
            <w:r>
              <w:rPr>
                <w:rFonts w:hint="eastAsia" w:hAnsi="宋体"/>
                <w:sz w:val="24"/>
                <w:lang w:val="en-US" w:eastAsia="zh-CN"/>
              </w:rPr>
              <w:t>避让了生态敏感区</w:t>
            </w:r>
            <w:r>
              <w:rPr>
                <w:rFonts w:hint="eastAsia" w:hAnsi="宋体"/>
                <w:sz w:val="24"/>
                <w:lang w:eastAsia="zh-CN"/>
              </w:rPr>
              <w:t>、</w:t>
            </w:r>
            <w:r>
              <w:rPr>
                <w:rFonts w:hint="eastAsia" w:hAnsi="宋体"/>
                <w:sz w:val="24"/>
              </w:rPr>
              <w:t>基本农田；施工期落实表土剥离、边坡生态修复、风沙防治等措施，符合规划国土空间开发保护、绿色基础设施建设相关管控规则。</w:t>
            </w:r>
          </w:p>
          <w:p w14:paraId="5A9BD03A">
            <w:pPr>
              <w:autoSpaceDE w:val="0"/>
              <w:autoSpaceDN w:val="0"/>
              <w:adjustRightInd w:val="0"/>
              <w:spacing w:line="300" w:lineRule="auto"/>
              <w:rPr>
                <w:rFonts w:hint="eastAsia" w:hAnsi="宋体"/>
                <w:b/>
                <w:bCs/>
                <w:sz w:val="24"/>
              </w:rPr>
            </w:pPr>
            <w:r>
              <w:rPr>
                <w:rFonts w:hint="eastAsia" w:hAnsi="宋体"/>
                <w:b/>
                <w:bCs/>
                <w:sz w:val="24"/>
              </w:rPr>
              <w:t>6. 与</w:t>
            </w:r>
            <w:r>
              <w:rPr>
                <w:rFonts w:hAnsi="宋体"/>
                <w:b/>
                <w:bCs/>
                <w:sz w:val="24"/>
              </w:rPr>
              <w:t>《</w:t>
            </w:r>
            <w:r>
              <w:rPr>
                <w:rFonts w:hint="eastAsia" w:hAnsi="宋体"/>
                <w:b/>
                <w:bCs/>
                <w:sz w:val="24"/>
              </w:rPr>
              <w:t>伽师县国土空间总体规划（2021-2035年）</w:t>
            </w:r>
            <w:r>
              <w:rPr>
                <w:rFonts w:hAnsi="宋体"/>
                <w:b/>
                <w:bCs/>
                <w:sz w:val="24"/>
              </w:rPr>
              <w:t>》符合性分析</w:t>
            </w:r>
          </w:p>
          <w:p w14:paraId="2FDB0412">
            <w:pPr>
              <w:autoSpaceDE w:val="0"/>
              <w:autoSpaceDN w:val="0"/>
              <w:adjustRightInd w:val="0"/>
              <w:spacing w:line="300" w:lineRule="auto"/>
              <w:ind w:firstLine="480" w:firstLineChars="200"/>
              <w:rPr>
                <w:rFonts w:hint="eastAsia" w:hAnsi="宋体"/>
                <w:sz w:val="24"/>
              </w:rPr>
            </w:pPr>
            <w:r>
              <w:rPr>
                <w:rFonts w:hint="eastAsia" w:hAnsi="宋体"/>
                <w:sz w:val="24"/>
                <w:lang w:val="en-US" w:eastAsia="zh-CN"/>
              </w:rPr>
              <w:t>(1) 符合</w:t>
            </w:r>
            <w:r>
              <w:rPr>
                <w:rFonts w:hint="eastAsia" w:hAnsi="宋体"/>
                <w:sz w:val="24"/>
              </w:rPr>
              <w:t>县域综合交通布局</w:t>
            </w:r>
          </w:p>
          <w:p w14:paraId="78B159CF">
            <w:pPr>
              <w:autoSpaceDE w:val="0"/>
              <w:autoSpaceDN w:val="0"/>
              <w:adjustRightInd w:val="0"/>
              <w:spacing w:line="300" w:lineRule="auto"/>
              <w:ind w:firstLine="480" w:firstLineChars="200"/>
              <w:rPr>
                <w:rFonts w:hint="eastAsia" w:hAnsi="宋体"/>
                <w:sz w:val="24"/>
              </w:rPr>
            </w:pPr>
            <w:r>
              <w:rPr>
                <w:rFonts w:hint="eastAsia" w:hAnsi="宋体"/>
                <w:sz w:val="24"/>
              </w:rPr>
              <w:t>依据</w:t>
            </w:r>
            <w:r>
              <w:rPr>
                <w:rFonts w:hint="eastAsia" w:hAnsi="宋体"/>
                <w:sz w:val="24"/>
                <w:lang w:val="en-US" w:eastAsia="zh-CN"/>
              </w:rPr>
              <w:t>规划</w:t>
            </w:r>
            <w:r>
              <w:rPr>
                <w:rFonts w:hint="eastAsia" w:hAnsi="宋体"/>
                <w:sz w:val="24"/>
              </w:rPr>
              <w:t>交通专项内容，县域将G219改扩建纳入重点交通建设项目，目标搭建公铁航一体化路网、打通对外通道、融入喀什一小时城市圈。</w:t>
            </w:r>
            <w:r>
              <w:rPr>
                <w:rFonts w:hint="eastAsia" w:hAnsi="宋体"/>
                <w:sz w:val="24"/>
                <w:lang w:val="en-US" w:eastAsia="zh-CN"/>
              </w:rPr>
              <w:t>拟建公路</w:t>
            </w:r>
            <w:r>
              <w:rPr>
                <w:rFonts w:hint="eastAsia" w:hAnsi="宋体"/>
                <w:sz w:val="24"/>
              </w:rPr>
              <w:t>作为国道干线，补齐县域南北向高等级公路空白，串联高速、国省干道、乡镇客运站与县域农产品物流园区，有效提升伽师瓜、新梅等特色农产品外运效率，改善城乡居民跨区域通勤条件，匹配内外联通的交通发展定位。</w:t>
            </w:r>
          </w:p>
          <w:p w14:paraId="30015BB9">
            <w:pPr>
              <w:autoSpaceDE w:val="0"/>
              <w:autoSpaceDN w:val="0"/>
              <w:adjustRightInd w:val="0"/>
              <w:spacing w:line="300" w:lineRule="auto"/>
              <w:ind w:firstLine="480" w:firstLineChars="200"/>
              <w:rPr>
                <w:rFonts w:hint="eastAsia" w:hAnsi="宋体"/>
                <w:sz w:val="24"/>
              </w:rPr>
            </w:pPr>
            <w:r>
              <w:rPr>
                <w:rFonts w:hint="eastAsia" w:hAnsi="宋体"/>
                <w:sz w:val="24"/>
                <w:lang w:val="en-US" w:eastAsia="zh-CN"/>
              </w:rPr>
              <w:t>(2) 符合</w:t>
            </w:r>
            <w:r>
              <w:rPr>
                <w:rFonts w:hint="eastAsia" w:hAnsi="宋体"/>
                <w:sz w:val="24"/>
              </w:rPr>
              <w:t>全域空间发展格局</w:t>
            </w:r>
          </w:p>
          <w:p w14:paraId="4A49B86C">
            <w:pPr>
              <w:autoSpaceDE w:val="0"/>
              <w:autoSpaceDN w:val="0"/>
              <w:adjustRightInd w:val="0"/>
              <w:spacing w:line="300" w:lineRule="auto"/>
              <w:ind w:firstLine="480" w:firstLineChars="200"/>
              <w:rPr>
                <w:rFonts w:hint="eastAsia" w:hAnsi="宋体"/>
                <w:sz w:val="24"/>
              </w:rPr>
            </w:pPr>
            <w:r>
              <w:rPr>
                <w:rFonts w:hint="eastAsia" w:hAnsi="宋体"/>
                <w:sz w:val="24"/>
              </w:rPr>
              <w:t>总规构建一廊两轴四核国土空间结构，</w:t>
            </w:r>
            <w:r>
              <w:rPr>
                <w:rFonts w:hint="eastAsia" w:hAnsi="宋体"/>
                <w:sz w:val="24"/>
                <w:lang w:val="en-US" w:eastAsia="zh-CN"/>
              </w:rPr>
              <w:t>拟建</w:t>
            </w:r>
            <w:r>
              <w:rPr>
                <w:rFonts w:hint="eastAsia" w:hAnsi="宋体"/>
                <w:sz w:val="24"/>
              </w:rPr>
              <w:t>公路是南北伽岳联动增长轴核心载体，纵向串联绿洲农业区、矿产能源发展区、多个重点乡镇与中心城区，打通伽师与周边县市联络通道，引导产业、人口沿交通廊道集聚，同步串联县域文旅资源，支撑农旅融合、兵地融合及三级城镇体系建设。</w:t>
            </w:r>
          </w:p>
          <w:p w14:paraId="55E5287A">
            <w:pPr>
              <w:autoSpaceDE w:val="0"/>
              <w:autoSpaceDN w:val="0"/>
              <w:adjustRightInd w:val="0"/>
              <w:spacing w:line="300" w:lineRule="auto"/>
              <w:ind w:firstLine="480" w:firstLineChars="200"/>
              <w:rPr>
                <w:rFonts w:hint="eastAsia" w:hAnsi="宋体"/>
                <w:sz w:val="24"/>
              </w:rPr>
            </w:pPr>
            <w:r>
              <w:rPr>
                <w:rFonts w:hint="eastAsia" w:hAnsi="宋体"/>
                <w:sz w:val="24"/>
                <w:lang w:val="en-US" w:eastAsia="zh-CN"/>
              </w:rPr>
              <w:t xml:space="preserve">(3) </w:t>
            </w:r>
            <w:r>
              <w:rPr>
                <w:rFonts w:hint="eastAsia" w:hAnsi="宋体"/>
                <w:sz w:val="24"/>
              </w:rPr>
              <w:t>满足</w:t>
            </w:r>
            <w:r>
              <w:rPr>
                <w:rFonts w:hint="eastAsia" w:hAnsi="宋体"/>
                <w:sz w:val="24"/>
                <w:lang w:val="en-US" w:eastAsia="zh-CN"/>
              </w:rPr>
              <w:t>生态</w:t>
            </w:r>
            <w:r>
              <w:rPr>
                <w:rFonts w:hint="eastAsia" w:hAnsi="宋体"/>
                <w:sz w:val="24"/>
              </w:rPr>
              <w:t>管控要求</w:t>
            </w:r>
          </w:p>
          <w:p w14:paraId="6BBD78A0">
            <w:pPr>
              <w:autoSpaceDE w:val="0"/>
              <w:autoSpaceDN w:val="0"/>
              <w:adjustRightInd w:val="0"/>
              <w:spacing w:line="300" w:lineRule="auto"/>
              <w:ind w:firstLine="480" w:firstLineChars="200"/>
              <w:rPr>
                <w:rFonts w:hint="eastAsia" w:hAnsi="宋体"/>
                <w:sz w:val="24"/>
              </w:rPr>
            </w:pPr>
            <w:r>
              <w:rPr>
                <w:rFonts w:hint="eastAsia" w:hAnsi="宋体"/>
                <w:sz w:val="24"/>
              </w:rPr>
              <w:t>县域六大规划分区均允许线性基础设施</w:t>
            </w:r>
            <w:r>
              <w:rPr>
                <w:rFonts w:hint="eastAsia" w:hAnsi="宋体"/>
                <w:sz w:val="24"/>
                <w:lang w:val="en-US" w:eastAsia="zh-CN"/>
              </w:rPr>
              <w:t>建设</w:t>
            </w:r>
            <w:r>
              <w:rPr>
                <w:rFonts w:hint="eastAsia" w:hAnsi="宋体"/>
                <w:sz w:val="24"/>
              </w:rPr>
              <w:t>，项目</w:t>
            </w:r>
            <w:r>
              <w:rPr>
                <w:rFonts w:hint="eastAsia" w:hAnsi="宋体"/>
                <w:sz w:val="24"/>
                <w:lang w:val="en-US" w:eastAsia="zh-CN"/>
              </w:rPr>
              <w:t>基本沿既有公路改扩建，</w:t>
            </w:r>
            <w:r>
              <w:rPr>
                <w:rFonts w:hint="eastAsia" w:hAnsi="宋体"/>
                <w:sz w:val="24"/>
              </w:rPr>
              <w:t>避让</w:t>
            </w:r>
            <w:r>
              <w:rPr>
                <w:rFonts w:hint="eastAsia" w:hAnsi="宋体"/>
                <w:sz w:val="24"/>
                <w:lang w:val="en-US" w:eastAsia="zh-CN"/>
              </w:rPr>
              <w:t>生态敏感区</w:t>
            </w:r>
            <w:r>
              <w:rPr>
                <w:rFonts w:hint="eastAsia" w:hAnsi="宋体"/>
                <w:sz w:val="24"/>
              </w:rPr>
              <w:t>；途经农田、园地时严格落实耕地占补平衡、</w:t>
            </w:r>
            <w:r>
              <w:rPr>
                <w:rFonts w:hint="eastAsia" w:hAnsi="宋体"/>
                <w:sz w:val="24"/>
                <w:lang w:val="en-US" w:eastAsia="zh-CN"/>
              </w:rPr>
              <w:t>不占用</w:t>
            </w:r>
            <w:r>
              <w:rPr>
                <w:rFonts w:hint="eastAsia" w:hAnsi="宋体"/>
                <w:sz w:val="24"/>
              </w:rPr>
              <w:t>基本农田、城镇开发边界刚性管控要求，用地归类为区域基础设施用地，符合国土空间分区准入、节约集约用地</w:t>
            </w:r>
            <w:r>
              <w:rPr>
                <w:rFonts w:hint="eastAsia" w:hAnsi="宋体"/>
                <w:sz w:val="24"/>
                <w:lang w:val="en-US" w:eastAsia="zh-CN"/>
              </w:rPr>
              <w:t>等</w:t>
            </w:r>
            <w:r>
              <w:rPr>
                <w:rFonts w:hint="eastAsia" w:hAnsi="宋体"/>
                <w:sz w:val="24"/>
              </w:rPr>
              <w:t>管控条款。</w:t>
            </w:r>
          </w:p>
          <w:p w14:paraId="28D981B2">
            <w:pPr>
              <w:autoSpaceDE w:val="0"/>
              <w:autoSpaceDN w:val="0"/>
              <w:adjustRightInd w:val="0"/>
              <w:spacing w:line="300" w:lineRule="auto"/>
              <w:rPr>
                <w:rFonts w:eastAsiaTheme="minorEastAsia"/>
                <w:b/>
                <w:bCs/>
                <w:kern w:val="0"/>
                <w:sz w:val="24"/>
              </w:rPr>
            </w:pPr>
            <w:r>
              <w:rPr>
                <w:rFonts w:hint="eastAsia" w:hAnsi="宋体"/>
                <w:b/>
                <w:bCs/>
                <w:sz w:val="24"/>
              </w:rPr>
              <w:t>7. 与新疆</w:t>
            </w:r>
            <w:r>
              <w:rPr>
                <w:rFonts w:eastAsiaTheme="minorEastAsia"/>
                <w:b/>
                <w:bCs/>
                <w:kern w:val="0"/>
                <w:sz w:val="24"/>
              </w:rPr>
              <w:t>维吾尔自治区主体功能区规划协调性分析</w:t>
            </w:r>
          </w:p>
          <w:p w14:paraId="4E836B78">
            <w:pPr>
              <w:spacing w:line="300" w:lineRule="auto"/>
              <w:ind w:right="12" w:rightChars="6" w:firstLine="480" w:firstLineChars="200"/>
              <w:rPr>
                <w:kern w:val="0"/>
                <w:sz w:val="24"/>
              </w:rPr>
            </w:pPr>
            <w:bookmarkStart w:id="5" w:name="_Toc307910129"/>
            <w:bookmarkStart w:id="6" w:name="_Toc340587280"/>
            <w:bookmarkStart w:id="7" w:name="_Toc307853049"/>
            <w:r>
              <w:rPr>
                <w:kern w:val="0"/>
                <w:sz w:val="24"/>
              </w:rPr>
              <w:t>根据《新疆维吾尔自治区主体功能区规划》</w:t>
            </w:r>
            <w:bookmarkEnd w:id="5"/>
            <w:bookmarkEnd w:id="6"/>
            <w:bookmarkEnd w:id="7"/>
            <w:r>
              <w:rPr>
                <w:kern w:val="0"/>
                <w:sz w:val="24"/>
              </w:rPr>
              <w:t>，拟建公路</w:t>
            </w:r>
            <w:r>
              <w:rPr>
                <w:rFonts w:hint="eastAsia"/>
                <w:kern w:val="0"/>
                <w:sz w:val="24"/>
              </w:rPr>
              <w:t>沿线</w:t>
            </w:r>
            <w:r>
              <w:rPr>
                <w:kern w:val="0"/>
                <w:sz w:val="24"/>
              </w:rPr>
              <w:t>所经</w:t>
            </w:r>
            <w:r>
              <w:rPr>
                <w:rFonts w:hint="eastAsia"/>
                <w:kern w:val="0"/>
                <w:sz w:val="24"/>
              </w:rPr>
              <w:t>市（县）均为重点生态功能区。其中伽师县</w:t>
            </w:r>
            <w:r>
              <w:rPr>
                <w:kern w:val="0"/>
                <w:sz w:val="24"/>
              </w:rPr>
              <w:t>、</w:t>
            </w:r>
            <w:r>
              <w:rPr>
                <w:rFonts w:hint="eastAsia"/>
                <w:kern w:val="0"/>
                <w:sz w:val="24"/>
              </w:rPr>
              <w:t>岳普湖</w:t>
            </w:r>
            <w:r>
              <w:rPr>
                <w:kern w:val="0"/>
                <w:sz w:val="24"/>
              </w:rPr>
              <w:t>县属于限制进行大规模高强度工业化城镇化开发的</w:t>
            </w:r>
            <w:r>
              <w:rPr>
                <w:rFonts w:hint="eastAsia"/>
                <w:kern w:val="0"/>
                <w:sz w:val="24"/>
              </w:rPr>
              <w:t>国家重点生态功能区</w:t>
            </w:r>
            <w:r>
              <w:rPr>
                <w:kern w:val="0"/>
                <w:sz w:val="24"/>
              </w:rPr>
              <w:t>——塔里木河荒漠化防治生态功能区，发展方向</w:t>
            </w:r>
            <w:r>
              <w:rPr>
                <w:rFonts w:hint="eastAsia"/>
                <w:kern w:val="0"/>
                <w:sz w:val="24"/>
              </w:rPr>
              <w:t>为</w:t>
            </w:r>
            <w:r>
              <w:rPr>
                <w:kern w:val="0"/>
                <w:sz w:val="24"/>
              </w:rPr>
              <w:t>合理利用地表水和地下水，调整农牧业结构，加强药材开发管理，禁止过度开垦，恢复天然植被，防止沙化面积扩大；</w:t>
            </w:r>
            <w:r>
              <w:rPr>
                <w:rFonts w:hint="eastAsia"/>
                <w:kern w:val="0"/>
                <w:sz w:val="24"/>
              </w:rPr>
              <w:t>阿图什市属于限制进行大规模高强度工业化城镇化开发的自治区级重点生态功能区</w:t>
            </w:r>
            <w:r>
              <w:rPr>
                <w:kern w:val="0"/>
                <w:sz w:val="24"/>
              </w:rPr>
              <w:t>——</w:t>
            </w:r>
            <w:r>
              <w:rPr>
                <w:rFonts w:hint="eastAsia"/>
                <w:kern w:val="0"/>
                <w:sz w:val="24"/>
              </w:rPr>
              <w:t>塔里木盆地西北部荒漠生态功能区，发展方向为保护荒漠植被、保护荒漠河岸林、保护农田土壤环境质量。</w:t>
            </w:r>
          </w:p>
          <w:p w14:paraId="05EA0CC0">
            <w:pPr>
              <w:spacing w:line="300" w:lineRule="auto"/>
              <w:ind w:firstLine="480" w:firstLineChars="200"/>
              <w:rPr>
                <w:rFonts w:eastAsiaTheme="minorEastAsia"/>
                <w:kern w:val="0"/>
                <w:sz w:val="24"/>
              </w:rPr>
            </w:pPr>
            <w:r>
              <w:rPr>
                <w:rFonts w:eastAsiaTheme="minorEastAsia"/>
                <w:sz w:val="24"/>
              </w:rPr>
              <w:t>拟建公路属于国家和自治区规划的</w:t>
            </w:r>
            <w:r>
              <w:rPr>
                <w:rFonts w:eastAsiaTheme="minorEastAsia"/>
                <w:kern w:val="0"/>
                <w:sz w:val="24"/>
              </w:rPr>
              <w:t>交通运输类重要基础设施建设项目，</w:t>
            </w:r>
            <w:r>
              <w:rPr>
                <w:rFonts w:eastAsiaTheme="minorEastAsia"/>
                <w:sz w:val="24"/>
              </w:rPr>
              <w:t>不属于高污染、高能耗、高物耗产业，</w:t>
            </w:r>
            <w:r>
              <w:rPr>
                <w:rFonts w:eastAsiaTheme="minorEastAsia"/>
                <w:kern w:val="0"/>
                <w:sz w:val="24"/>
              </w:rPr>
              <w:t>未在</w:t>
            </w:r>
            <w:r>
              <w:rPr>
                <w:rFonts w:hint="eastAsia" w:eastAsiaTheme="minorEastAsia"/>
                <w:bCs/>
                <w:sz w:val="24"/>
              </w:rPr>
              <w:t>环境敏感区</w:t>
            </w:r>
            <w:r>
              <w:rPr>
                <w:rFonts w:eastAsiaTheme="minorEastAsia"/>
                <w:bCs/>
                <w:sz w:val="24"/>
              </w:rPr>
              <w:t>范围内进行采石和取</w:t>
            </w:r>
            <w:r>
              <w:rPr>
                <w:rFonts w:hint="eastAsia" w:eastAsiaTheme="minorEastAsia"/>
                <w:bCs/>
                <w:sz w:val="24"/>
                <w:lang w:eastAsia="zh-CN"/>
              </w:rPr>
              <w:t>、</w:t>
            </w:r>
            <w:r>
              <w:rPr>
                <w:rFonts w:hint="eastAsia" w:eastAsiaTheme="minorEastAsia"/>
                <w:bCs/>
                <w:sz w:val="24"/>
                <w:lang w:val="en-US" w:eastAsia="zh-CN"/>
              </w:rPr>
              <w:t>弃</w:t>
            </w:r>
            <w:r>
              <w:rPr>
                <w:rFonts w:eastAsiaTheme="minorEastAsia"/>
                <w:bCs/>
                <w:sz w:val="24"/>
              </w:rPr>
              <w:t>土等活动；</w:t>
            </w:r>
            <w:r>
              <w:rPr>
                <w:rFonts w:eastAsiaTheme="minorEastAsia"/>
                <w:sz w:val="24"/>
                <w:szCs w:val="20"/>
              </w:rPr>
              <w:t>项目沿线</w:t>
            </w:r>
            <w:r>
              <w:rPr>
                <w:rFonts w:eastAsiaTheme="minorEastAsia"/>
                <w:kern w:val="0"/>
                <w:sz w:val="24"/>
              </w:rPr>
              <w:t>施工生产生活区、施工便道等临时用地尽量避开植被生长较好的林</w:t>
            </w:r>
          </w:p>
          <w:p w14:paraId="22BECC69">
            <w:pPr>
              <w:spacing w:line="300" w:lineRule="auto"/>
              <w:ind w:firstLine="480" w:firstLineChars="200"/>
              <w:rPr>
                <w:rFonts w:eastAsiaTheme="minorEastAsia"/>
                <w:kern w:val="0"/>
                <w:sz w:val="24"/>
              </w:rPr>
            </w:pPr>
            <w:r>
              <w:rPr>
                <w:rFonts w:eastAsiaTheme="minorEastAsia"/>
                <w:kern w:val="0"/>
                <w:sz w:val="24"/>
              </w:rPr>
              <w:t>地和环境敏感区，通过调整布局、优化合并及充分利用永临结合等方案进一步</w:t>
            </w:r>
            <w:r>
              <w:rPr>
                <w:rFonts w:hint="eastAsia" w:eastAsiaTheme="minorEastAsia"/>
                <w:kern w:val="0"/>
                <w:sz w:val="24"/>
              </w:rPr>
              <w:t>减少临时</w:t>
            </w:r>
            <w:r>
              <w:rPr>
                <w:rFonts w:eastAsiaTheme="minorEastAsia"/>
                <w:sz w:val="24"/>
              </w:rPr>
              <w:t>占地，</w:t>
            </w:r>
            <w:r>
              <w:rPr>
                <w:rFonts w:eastAsiaTheme="minorEastAsia"/>
                <w:kern w:val="0"/>
                <w:sz w:val="24"/>
              </w:rPr>
              <w:t>施工结束后对施工生产生活区</w:t>
            </w:r>
            <w:r>
              <w:rPr>
                <w:rFonts w:hint="eastAsia" w:eastAsiaTheme="minorEastAsia"/>
                <w:kern w:val="0"/>
                <w:sz w:val="24"/>
                <w:lang w:val="en-US" w:eastAsia="zh-CN"/>
              </w:rPr>
              <w:t>以及施工便道</w:t>
            </w:r>
            <w:r>
              <w:rPr>
                <w:rFonts w:eastAsiaTheme="minorEastAsia"/>
                <w:kern w:val="0"/>
                <w:sz w:val="24"/>
              </w:rPr>
              <w:t>等进行清理平整及植被恢复</w:t>
            </w:r>
            <w:r>
              <w:rPr>
                <w:rFonts w:eastAsiaTheme="minorEastAsia"/>
                <w:sz w:val="24"/>
                <w:szCs w:val="20"/>
              </w:rPr>
              <w:t>。</w:t>
            </w:r>
          </w:p>
          <w:p w14:paraId="27A4CAE6">
            <w:pPr>
              <w:autoSpaceDE w:val="0"/>
              <w:autoSpaceDN w:val="0"/>
              <w:adjustRightInd w:val="0"/>
              <w:spacing w:line="300" w:lineRule="auto"/>
              <w:ind w:firstLine="480" w:firstLineChars="200"/>
              <w:rPr>
                <w:rFonts w:hint="eastAsia" w:hAnsi="宋体"/>
                <w:sz w:val="24"/>
              </w:rPr>
            </w:pPr>
            <w:r>
              <w:rPr>
                <w:rFonts w:eastAsiaTheme="minorEastAsia"/>
                <w:sz w:val="24"/>
              </w:rPr>
              <w:t>综上所述，拟建公路与《</w:t>
            </w:r>
            <w:r>
              <w:rPr>
                <w:rFonts w:eastAsiaTheme="minorEastAsia"/>
                <w:kern w:val="0"/>
                <w:sz w:val="24"/>
              </w:rPr>
              <w:t>新疆维吾尔自治区主体功能区规划</w:t>
            </w:r>
            <w:r>
              <w:rPr>
                <w:rFonts w:eastAsiaTheme="minorEastAsia"/>
                <w:sz w:val="24"/>
              </w:rPr>
              <w:t>》是相符的</w:t>
            </w:r>
            <w:r>
              <w:rPr>
                <w:rFonts w:hint="eastAsia" w:eastAsiaTheme="minorEastAsia"/>
                <w:sz w:val="24"/>
              </w:rPr>
              <w:t>。</w:t>
            </w:r>
          </w:p>
        </w:tc>
      </w:tr>
      <w:tr w14:paraId="34CA9FC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 w:hRule="atLeast"/>
        </w:trPr>
        <w:tc>
          <w:tcPr>
            <w:tcW w:w="1560" w:type="dxa"/>
            <w:tcMar>
              <w:top w:w="16" w:type="dxa"/>
              <w:left w:w="16" w:type="dxa"/>
              <w:right w:w="16" w:type="dxa"/>
            </w:tcMar>
            <w:vAlign w:val="center"/>
          </w:tcPr>
          <w:p w14:paraId="7D5BE373">
            <w:pPr>
              <w:autoSpaceDE w:val="0"/>
              <w:autoSpaceDN w:val="0"/>
              <w:adjustRightInd w:val="0"/>
              <w:snapToGrid w:val="0"/>
              <w:jc w:val="center"/>
              <w:rPr>
                <w:kern w:val="0"/>
                <w:sz w:val="24"/>
              </w:rPr>
            </w:pPr>
            <w:bookmarkStart w:id="8" w:name="_Hlk56690880"/>
            <w:r>
              <w:rPr>
                <w:kern w:val="0"/>
                <w:sz w:val="24"/>
              </w:rPr>
              <w:t>其他符合性分析</w:t>
            </w:r>
            <w:bookmarkEnd w:id="8"/>
          </w:p>
        </w:tc>
        <w:tc>
          <w:tcPr>
            <w:tcW w:w="7512" w:type="dxa"/>
            <w:gridSpan w:val="3"/>
            <w:tcMar>
              <w:top w:w="16" w:type="dxa"/>
              <w:left w:w="16" w:type="dxa"/>
              <w:right w:w="16" w:type="dxa"/>
            </w:tcMar>
            <w:vAlign w:val="center"/>
          </w:tcPr>
          <w:p w14:paraId="4931BE12">
            <w:pPr>
              <w:autoSpaceDE w:val="0"/>
              <w:autoSpaceDN w:val="0"/>
              <w:adjustRightInd w:val="0"/>
              <w:spacing w:line="300" w:lineRule="auto"/>
              <w:rPr>
                <w:b/>
                <w:kern w:val="0"/>
                <w:sz w:val="24"/>
              </w:rPr>
            </w:pPr>
            <w:r>
              <w:rPr>
                <w:b/>
                <w:kern w:val="0"/>
                <w:sz w:val="24"/>
              </w:rPr>
              <w:t>1. 产业政策符合性分析</w:t>
            </w:r>
          </w:p>
          <w:p w14:paraId="145585CB">
            <w:pPr>
              <w:keepNext w:val="0"/>
              <w:keepLines w:val="0"/>
              <w:pageBreakBefore w:val="0"/>
              <w:widowControl w:val="0"/>
              <w:kinsoku/>
              <w:wordWrap/>
              <w:overflowPunct/>
              <w:topLinePunct w:val="0"/>
              <w:autoSpaceDE w:val="0"/>
              <w:autoSpaceDN w:val="0"/>
              <w:bidi w:val="0"/>
              <w:adjustRightInd w:val="0"/>
              <w:snapToGrid/>
              <w:spacing w:line="300" w:lineRule="auto"/>
              <w:ind w:firstLine="480" w:firstLineChars="200"/>
              <w:textAlignment w:val="auto"/>
              <w:rPr>
                <w:kern w:val="0"/>
                <w:sz w:val="24"/>
              </w:rPr>
            </w:pPr>
            <w:r>
              <w:rPr>
                <w:kern w:val="0"/>
                <w:sz w:val="24"/>
              </w:rPr>
              <w:t>按照国家发展改革委发布的</w:t>
            </w:r>
            <w:bookmarkStart w:id="9" w:name="OLE_LINK5"/>
            <w:r>
              <w:rPr>
                <w:kern w:val="0"/>
                <w:sz w:val="24"/>
              </w:rPr>
              <w:t>《产业结构调整指导目录（2024年本</w:t>
            </w:r>
            <w:bookmarkEnd w:id="9"/>
            <w:r>
              <w:rPr>
                <w:kern w:val="0"/>
                <w:sz w:val="24"/>
              </w:rPr>
              <w:t>）》，拟建</w:t>
            </w:r>
            <w:r>
              <w:rPr>
                <w:rFonts w:hint="eastAsia"/>
                <w:kern w:val="0"/>
                <w:sz w:val="24"/>
              </w:rPr>
              <w:t>公路为公路交通网络建设中国省干线改造升级项目，</w:t>
            </w:r>
            <w:r>
              <w:rPr>
                <w:kern w:val="0"/>
                <w:sz w:val="24"/>
              </w:rPr>
              <w:t>为</w:t>
            </w:r>
            <w:r>
              <w:rPr>
                <w:rFonts w:hint="eastAsia"/>
                <w:kern w:val="0"/>
                <w:sz w:val="24"/>
              </w:rPr>
              <w:t>鼓励类投资</w:t>
            </w:r>
            <w:r>
              <w:rPr>
                <w:kern w:val="0"/>
                <w:sz w:val="24"/>
              </w:rPr>
              <w:t>项目。</w:t>
            </w:r>
          </w:p>
          <w:p w14:paraId="660ED519">
            <w:pPr>
              <w:keepNext w:val="0"/>
              <w:keepLines w:val="0"/>
              <w:pageBreakBefore w:val="0"/>
              <w:widowControl w:val="0"/>
              <w:kinsoku/>
              <w:wordWrap/>
              <w:overflowPunct/>
              <w:topLinePunct w:val="0"/>
              <w:autoSpaceDE w:val="0"/>
              <w:autoSpaceDN w:val="0"/>
              <w:bidi w:val="0"/>
              <w:adjustRightInd w:val="0"/>
              <w:snapToGrid/>
              <w:spacing w:after="157" w:afterLines="50" w:line="300" w:lineRule="auto"/>
              <w:ind w:firstLine="480" w:firstLineChars="200"/>
              <w:textAlignment w:val="auto"/>
              <w:rPr>
                <w:kern w:val="0"/>
                <w:sz w:val="24"/>
              </w:rPr>
            </w:pPr>
            <w:r>
              <w:rPr>
                <w:rFonts w:hint="eastAsia"/>
                <w:kern w:val="0"/>
                <w:sz w:val="24"/>
                <w:lang w:val="en-US" w:eastAsia="zh-CN"/>
              </w:rPr>
              <w:t>拟建公路</w:t>
            </w:r>
            <w:r>
              <w:rPr>
                <w:rFonts w:hint="eastAsia"/>
                <w:kern w:val="0"/>
                <w:sz w:val="24"/>
              </w:rPr>
              <w:t>为重大线性基础设施项目，不属于落后产能项目，不属于高耗能高排放项目，不属于国家规定的市场准入负面清单制度中禁止准入类和限制准入类项目</w:t>
            </w:r>
            <w:r>
              <w:rPr>
                <w:rFonts w:hint="eastAsia"/>
                <w:kern w:val="0"/>
                <w:sz w:val="24"/>
                <w:lang w:eastAsia="zh-CN"/>
              </w:rPr>
              <w:t>，</w:t>
            </w:r>
            <w:r>
              <w:rPr>
                <w:rFonts w:hint="eastAsia"/>
                <w:kern w:val="0"/>
                <w:sz w:val="24"/>
                <w:lang w:val="en-US" w:eastAsia="zh-CN"/>
              </w:rPr>
              <w:t>也</w:t>
            </w:r>
            <w:r>
              <w:rPr>
                <w:rFonts w:hint="eastAsia"/>
                <w:kern w:val="0"/>
                <w:sz w:val="24"/>
              </w:rPr>
              <w:t>不属于《新疆维吾尔自治区 28 个国家重点生态功能区县（市）产业准入负面清单（试行）的通知》《新疆维吾尔自治区 17 个新增纳入国家重点生态功能区县（市）产业准入负面清单（试行）的通知》的负面清单项目。</w:t>
            </w:r>
          </w:p>
          <w:p w14:paraId="2FFA7AA3">
            <w:pPr>
              <w:autoSpaceDE w:val="0"/>
              <w:autoSpaceDN w:val="0"/>
              <w:adjustRightInd w:val="0"/>
              <w:spacing w:line="300" w:lineRule="auto"/>
              <w:rPr>
                <w:rFonts w:hint="default" w:eastAsia="宋体"/>
                <w:b/>
                <w:color w:val="0070C0"/>
                <w:kern w:val="0"/>
                <w:sz w:val="24"/>
                <w:lang w:val="en-US" w:eastAsia="zh-CN"/>
              </w:rPr>
            </w:pPr>
            <w:r>
              <w:rPr>
                <w:b/>
                <w:kern w:val="0"/>
                <w:sz w:val="24"/>
              </w:rPr>
              <w:t xml:space="preserve">2. </w:t>
            </w:r>
            <w:r>
              <w:rPr>
                <w:rFonts w:hint="eastAsia"/>
                <w:b/>
                <w:kern w:val="0"/>
                <w:sz w:val="24"/>
                <w:lang w:val="en-US" w:eastAsia="zh-CN"/>
              </w:rPr>
              <w:t>与生态环境分区管控符合性分析</w:t>
            </w:r>
          </w:p>
          <w:p w14:paraId="373F9A67">
            <w:pPr>
              <w:autoSpaceDE w:val="0"/>
              <w:autoSpaceDN w:val="0"/>
              <w:adjustRightInd w:val="0"/>
              <w:spacing w:line="300" w:lineRule="auto"/>
              <w:ind w:firstLine="480" w:firstLineChars="200"/>
              <w:rPr>
                <w:kern w:val="0"/>
                <w:sz w:val="24"/>
              </w:rPr>
            </w:pPr>
            <w:r>
              <w:rPr>
                <w:kern w:val="0"/>
                <w:sz w:val="24"/>
              </w:rPr>
              <w:t>(1) 生态保护红线</w:t>
            </w:r>
          </w:p>
          <w:p w14:paraId="1E133D6F">
            <w:pPr>
              <w:autoSpaceDE w:val="0"/>
              <w:autoSpaceDN w:val="0"/>
              <w:adjustRightInd w:val="0"/>
              <w:spacing w:line="300" w:lineRule="auto"/>
              <w:ind w:firstLine="480" w:firstLineChars="200"/>
              <w:rPr>
                <w:rFonts w:hint="default" w:eastAsia="宋体"/>
                <w:kern w:val="0"/>
                <w:sz w:val="24"/>
                <w:lang w:val="en-US" w:eastAsia="zh-CN"/>
              </w:rPr>
            </w:pPr>
            <w:r>
              <w:rPr>
                <w:rFonts w:hint="eastAsia"/>
                <w:kern w:val="0"/>
                <w:sz w:val="24"/>
              </w:rPr>
              <w:t>经</w:t>
            </w:r>
            <w:r>
              <w:rPr>
                <w:rFonts w:hint="eastAsia"/>
                <w:kern w:val="0"/>
                <w:sz w:val="24"/>
                <w:lang w:val="en-US" w:eastAsia="zh-CN"/>
              </w:rPr>
              <w:t>沿线</w:t>
            </w:r>
            <w:r>
              <w:rPr>
                <w:rFonts w:hint="eastAsia"/>
                <w:kern w:val="0"/>
                <w:sz w:val="24"/>
              </w:rPr>
              <w:t>自然资源</w:t>
            </w:r>
            <w:r>
              <w:rPr>
                <w:rFonts w:hint="eastAsia"/>
                <w:kern w:val="0"/>
                <w:sz w:val="24"/>
                <w:lang w:val="en-US" w:eastAsia="zh-CN"/>
              </w:rPr>
              <w:t>部门</w:t>
            </w:r>
            <w:r>
              <w:rPr>
                <w:rFonts w:hint="eastAsia"/>
                <w:kern w:val="0"/>
                <w:sz w:val="24"/>
              </w:rPr>
              <w:t>核实并出具意见（附件 1、附件 2），拟建公路用地范围不涉及生态保护红线</w:t>
            </w:r>
            <w:r>
              <w:rPr>
                <w:rFonts w:hint="eastAsia"/>
                <w:kern w:val="0"/>
                <w:sz w:val="24"/>
                <w:lang w:val="en-US" w:eastAsia="zh-CN"/>
              </w:rPr>
              <w:t>。</w:t>
            </w:r>
          </w:p>
          <w:p w14:paraId="632880E5">
            <w:pPr>
              <w:autoSpaceDE w:val="0"/>
              <w:autoSpaceDN w:val="0"/>
              <w:adjustRightInd w:val="0"/>
              <w:spacing w:line="300" w:lineRule="auto"/>
              <w:ind w:firstLine="480" w:firstLineChars="200"/>
              <w:rPr>
                <w:kern w:val="0"/>
                <w:sz w:val="24"/>
              </w:rPr>
            </w:pPr>
            <w:r>
              <w:rPr>
                <w:kern w:val="0"/>
                <w:sz w:val="24"/>
              </w:rPr>
              <w:t>(2) 环境质量底线和资源利用上线</w:t>
            </w:r>
          </w:p>
          <w:p w14:paraId="23E5CC87">
            <w:pPr>
              <w:adjustRightInd w:val="0"/>
              <w:spacing w:line="300" w:lineRule="auto"/>
              <w:ind w:firstLine="480" w:firstLineChars="200"/>
            </w:pPr>
            <w:r>
              <w:rPr>
                <w:color w:val="000000"/>
                <w:sz w:val="24"/>
              </w:rPr>
              <w:t>拟建公路施工期间的废水、废气、噪声和固体垃圾等污染物经过采取合理可行的环保措施后，均可做到达标合理处置；营运期沿线设施</w:t>
            </w:r>
            <w:r>
              <w:rPr>
                <w:rFonts w:hint="eastAsia"/>
                <w:color w:val="000000"/>
                <w:sz w:val="24"/>
              </w:rPr>
              <w:t>生活</w:t>
            </w:r>
            <w:r>
              <w:rPr>
                <w:color w:val="000000"/>
                <w:sz w:val="24"/>
              </w:rPr>
              <w:t>污水</w:t>
            </w:r>
            <w:r>
              <w:rPr>
                <w:rFonts w:hint="eastAsia"/>
                <w:color w:val="000000"/>
                <w:sz w:val="24"/>
              </w:rPr>
              <w:t>经</w:t>
            </w:r>
            <w:r>
              <w:rPr>
                <w:rFonts w:hint="eastAsia" w:hAnsi="宋体"/>
                <w:sz w:val="24"/>
              </w:rPr>
              <w:t>地埋式一体化污水处理设施处理达标后绿化回用，冬储夏灌，不外排</w:t>
            </w:r>
            <w:r>
              <w:rPr>
                <w:color w:val="000000"/>
                <w:sz w:val="24"/>
              </w:rPr>
              <w:t>；</w:t>
            </w:r>
            <w:r>
              <w:rPr>
                <w:rFonts w:hint="eastAsia"/>
                <w:color w:val="000000"/>
                <w:sz w:val="24"/>
                <w:highlight w:val="none"/>
                <w:lang w:val="en-US" w:eastAsia="zh-CN"/>
              </w:rPr>
              <w:t>施工生产生活区、施工便道</w:t>
            </w:r>
            <w:r>
              <w:rPr>
                <w:color w:val="000000"/>
                <w:sz w:val="24"/>
                <w:highlight w:val="none"/>
              </w:rPr>
              <w:t>等临时占地采用生态恢复措施；</w:t>
            </w:r>
            <w:r>
              <w:rPr>
                <w:color w:val="000000"/>
                <w:sz w:val="24"/>
              </w:rPr>
              <w:t>对预测超标的声环境敏感点采取设置</w:t>
            </w:r>
            <w:r>
              <w:rPr>
                <w:color w:val="000000"/>
                <w:sz w:val="24"/>
                <w:highlight w:val="none"/>
              </w:rPr>
              <w:t>声屏障、隔声窗等降噪措施，</w:t>
            </w:r>
            <w:r>
              <w:rPr>
                <w:color w:val="000000"/>
                <w:sz w:val="24"/>
              </w:rPr>
              <w:t>拟建公路采取以上环保措施后将对沿线环境影响降至最低程度；项目施工期和营运期污染物的排放情况均满足环境管控、污染物排放控制等要求，与环境质量现状和相关规划、功能区划要求是相符合的。总体而言，项目建设和</w:t>
            </w:r>
            <w:r>
              <w:rPr>
                <w:rFonts w:hint="eastAsia"/>
                <w:color w:val="000000"/>
                <w:sz w:val="24"/>
                <w:lang w:val="en-US" w:eastAsia="zh-CN"/>
              </w:rPr>
              <w:t>运营</w:t>
            </w:r>
            <w:r>
              <w:rPr>
                <w:color w:val="000000"/>
                <w:sz w:val="24"/>
              </w:rPr>
              <w:t>基本不会改变区域环境功能现状，满足当地环境管控、污染物排放控制等要求。因此，拟建公路符合项目当地的环境质量底线要求。</w:t>
            </w:r>
          </w:p>
          <w:p w14:paraId="41E409C5">
            <w:pPr>
              <w:autoSpaceDE w:val="0"/>
              <w:autoSpaceDN w:val="0"/>
              <w:adjustRightInd w:val="0"/>
              <w:spacing w:line="300" w:lineRule="auto"/>
              <w:ind w:firstLine="480" w:firstLineChars="200"/>
              <w:rPr>
                <w:color w:val="0070C0"/>
                <w:kern w:val="0"/>
                <w:sz w:val="24"/>
              </w:rPr>
            </w:pPr>
            <w:r>
              <w:rPr>
                <w:color w:val="000000"/>
                <w:sz w:val="24"/>
              </w:rPr>
              <w:t>拟建公路作为生态类型基础设施建设项目，不属于高耗能、耗水、重污染类项目，对水资源的需求相对区域水资源总量来说总体较少，不会对当地水资源利用产生影响。</w:t>
            </w:r>
            <w:r>
              <w:rPr>
                <w:rFonts w:hint="eastAsia"/>
                <w:color w:val="000000"/>
                <w:sz w:val="24"/>
              </w:rPr>
              <w:t>项目土地预审</w:t>
            </w:r>
            <w:r>
              <w:rPr>
                <w:rFonts w:hint="eastAsia"/>
                <w:color w:val="000000"/>
                <w:sz w:val="24"/>
                <w:lang w:val="en-US" w:eastAsia="zh-CN"/>
              </w:rPr>
              <w:t>正在办理过程中</w:t>
            </w:r>
            <w:r>
              <w:rPr>
                <w:rFonts w:hint="eastAsia"/>
                <w:color w:val="000000"/>
                <w:sz w:val="24"/>
              </w:rPr>
              <w:t>，</w:t>
            </w:r>
            <w:r>
              <w:rPr>
                <w:rFonts w:hint="eastAsia"/>
                <w:color w:val="000000"/>
                <w:sz w:val="24"/>
                <w:lang w:val="en-US" w:eastAsia="zh-CN"/>
              </w:rPr>
              <w:t>项目基本沿老路进行改扩建</w:t>
            </w:r>
            <w:r>
              <w:rPr>
                <w:rFonts w:hint="eastAsia"/>
                <w:color w:val="000000"/>
                <w:sz w:val="24"/>
              </w:rPr>
              <w:t>，</w:t>
            </w:r>
            <w:r>
              <w:rPr>
                <w:rFonts w:hint="eastAsia"/>
                <w:color w:val="000000"/>
                <w:sz w:val="24"/>
                <w:lang w:val="en-US" w:eastAsia="zh-CN"/>
              </w:rPr>
              <w:t>充分利用老路占地，新增占地</w:t>
            </w:r>
            <w:r>
              <w:rPr>
                <w:rFonts w:hint="eastAsia"/>
                <w:color w:val="000000"/>
                <w:sz w:val="24"/>
              </w:rPr>
              <w:t>占区域土地资源总量较小</w:t>
            </w:r>
            <w:r>
              <w:rPr>
                <w:rFonts w:hint="eastAsia"/>
                <w:color w:val="000000"/>
                <w:sz w:val="24"/>
                <w:lang w:eastAsia="zh-CN"/>
              </w:rPr>
              <w:t>；</w:t>
            </w:r>
            <w:r>
              <w:rPr>
                <w:sz w:val="24"/>
              </w:rPr>
              <w:t>项目建设造成的生物资源损失量较小，通过采取生态修复及补偿措施后，对沿线生态系统完整性影响不大。因此，拟建公路符合资源利用上线要求</w:t>
            </w:r>
            <w:r>
              <w:rPr>
                <w:color w:val="0070C0"/>
                <w:kern w:val="0"/>
                <w:sz w:val="24"/>
              </w:rPr>
              <w:t>。</w:t>
            </w:r>
          </w:p>
          <w:p w14:paraId="0EBCDEBA">
            <w:pPr>
              <w:autoSpaceDE w:val="0"/>
              <w:autoSpaceDN w:val="0"/>
              <w:adjustRightInd w:val="0"/>
              <w:spacing w:line="300" w:lineRule="auto"/>
              <w:ind w:firstLine="480" w:firstLineChars="200"/>
              <w:rPr>
                <w:rFonts w:hint="eastAsia"/>
                <w:sz w:val="24"/>
                <w:szCs w:val="24"/>
              </w:rPr>
            </w:pPr>
            <w:r>
              <w:rPr>
                <w:rFonts w:hint="eastAsia"/>
                <w:kern w:val="0"/>
                <w:sz w:val="24"/>
              </w:rPr>
              <w:t>(</w:t>
            </w:r>
            <w:r>
              <w:rPr>
                <w:rFonts w:hint="eastAsia"/>
                <w:kern w:val="0"/>
                <w:sz w:val="24"/>
                <w:lang w:val="en-US" w:eastAsia="zh-CN"/>
              </w:rPr>
              <w:t>3</w:t>
            </w:r>
            <w:r>
              <w:rPr>
                <w:rFonts w:hint="eastAsia"/>
                <w:kern w:val="0"/>
                <w:sz w:val="24"/>
              </w:rPr>
              <w:t>)</w:t>
            </w:r>
            <w:r>
              <w:rPr>
                <w:rFonts w:hint="eastAsia"/>
                <w:kern w:val="0"/>
                <w:sz w:val="24"/>
                <w:szCs w:val="24"/>
              </w:rPr>
              <w:t xml:space="preserve"> </w:t>
            </w:r>
            <w:r>
              <w:rPr>
                <w:rFonts w:hint="eastAsia"/>
                <w:kern w:val="0"/>
                <w:sz w:val="24"/>
                <w:szCs w:val="24"/>
                <w:lang w:val="en-US" w:eastAsia="zh-CN"/>
              </w:rPr>
              <w:t>与沿线生态环境准入要求符合性分析</w:t>
            </w:r>
          </w:p>
          <w:p w14:paraId="6D1589C9">
            <w:pPr>
              <w:autoSpaceDE w:val="0"/>
              <w:autoSpaceDN w:val="0"/>
              <w:adjustRightInd w:val="0"/>
              <w:spacing w:line="300" w:lineRule="auto"/>
              <w:ind w:firstLine="480" w:firstLineChars="200"/>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rPr>
              <w:t>①</w:t>
            </w:r>
            <w:r>
              <w:rPr>
                <w:rFonts w:hint="default" w:ascii="Times New Roman" w:hAnsi="Times New Roman" w:cs="Times New Roman"/>
                <w:sz w:val="24"/>
                <w:szCs w:val="24"/>
                <w:lang w:val="en-US" w:eastAsia="zh-CN"/>
              </w:rPr>
              <w:t xml:space="preserve"> </w:t>
            </w:r>
            <w:r>
              <w:rPr>
                <w:rFonts w:hint="eastAsia" w:ascii="Times New Roman" w:hAnsi="Times New Roman" w:cs="Times New Roman"/>
                <w:sz w:val="24"/>
                <w:szCs w:val="24"/>
                <w:lang w:val="en-US" w:eastAsia="zh-CN"/>
              </w:rPr>
              <w:t>与</w:t>
            </w:r>
            <w:r>
              <w:rPr>
                <w:rFonts w:hint="eastAsia" w:cs="Times New Roman"/>
                <w:sz w:val="24"/>
                <w:szCs w:val="24"/>
                <w:lang w:val="en-US" w:eastAsia="zh-CN"/>
              </w:rPr>
              <w:t>新疆维吾尔</w:t>
            </w:r>
            <w:r>
              <w:rPr>
                <w:rFonts w:hint="eastAsia" w:ascii="Times New Roman" w:hAnsi="Times New Roman" w:cs="Times New Roman"/>
                <w:sz w:val="24"/>
                <w:szCs w:val="24"/>
                <w:lang w:val="en-US" w:eastAsia="zh-CN"/>
              </w:rPr>
              <w:t>自治区管控</w:t>
            </w:r>
            <w:r>
              <w:rPr>
                <w:rFonts w:hint="eastAsia" w:cs="Times New Roman"/>
                <w:sz w:val="24"/>
                <w:szCs w:val="24"/>
                <w:lang w:val="en-US" w:eastAsia="zh-CN"/>
              </w:rPr>
              <w:t>总体</w:t>
            </w:r>
            <w:r>
              <w:rPr>
                <w:rFonts w:hint="eastAsia" w:ascii="Times New Roman" w:hAnsi="Times New Roman" w:cs="Times New Roman"/>
                <w:sz w:val="24"/>
                <w:szCs w:val="24"/>
                <w:lang w:val="en-US" w:eastAsia="zh-CN"/>
              </w:rPr>
              <w:t>要求符合性</w:t>
            </w:r>
            <w:r>
              <w:rPr>
                <w:rFonts w:hint="eastAsia" w:cs="Times New Roman"/>
                <w:sz w:val="24"/>
                <w:szCs w:val="24"/>
                <w:lang w:val="en-US" w:eastAsia="zh-CN"/>
              </w:rPr>
              <w:t>分析</w:t>
            </w:r>
          </w:p>
          <w:p w14:paraId="201E5A31">
            <w:pPr>
              <w:autoSpaceDE w:val="0"/>
              <w:autoSpaceDN w:val="0"/>
              <w:adjustRightInd w:val="0"/>
              <w:spacing w:line="300" w:lineRule="auto"/>
              <w:ind w:firstLine="480" w:firstLineChars="200"/>
              <w:rPr>
                <w:rFonts w:hint="default"/>
                <w:kern w:val="0"/>
                <w:sz w:val="24"/>
                <w:szCs w:val="20"/>
                <w:lang w:val="en-US" w:eastAsia="zh-CN"/>
              </w:rPr>
            </w:pPr>
            <w:r>
              <w:rPr>
                <w:rFonts w:hint="default"/>
                <w:kern w:val="0"/>
                <w:sz w:val="24"/>
                <w:szCs w:val="20"/>
                <w:lang w:val="en-US" w:eastAsia="zh-CN"/>
              </w:rPr>
              <w:t>根据《新疆维吾尔自治区“三线一单”生态环境分区管控方案》（新政发</w:t>
            </w:r>
            <w:r>
              <w:rPr>
                <w:rFonts w:hint="eastAsia"/>
                <w:kern w:val="0"/>
                <w:sz w:val="24"/>
                <w:szCs w:val="20"/>
                <w:lang w:val="en-US" w:eastAsia="zh-CN"/>
              </w:rPr>
              <w:t>[</w:t>
            </w:r>
            <w:r>
              <w:rPr>
                <w:rFonts w:hint="default"/>
                <w:kern w:val="0"/>
                <w:sz w:val="24"/>
                <w:szCs w:val="20"/>
                <w:lang w:val="en-US" w:eastAsia="zh-CN"/>
              </w:rPr>
              <w:t>2021</w:t>
            </w:r>
            <w:r>
              <w:rPr>
                <w:rFonts w:hint="eastAsia"/>
                <w:kern w:val="0"/>
                <w:sz w:val="24"/>
                <w:szCs w:val="20"/>
                <w:lang w:val="en-US" w:eastAsia="zh-CN"/>
              </w:rPr>
              <w:t>]</w:t>
            </w:r>
            <w:r>
              <w:rPr>
                <w:rFonts w:hint="default"/>
                <w:kern w:val="0"/>
                <w:sz w:val="24"/>
                <w:szCs w:val="20"/>
                <w:lang w:val="en-US" w:eastAsia="zh-CN"/>
              </w:rPr>
              <w:t>18号）、《关于印发</w:t>
            </w:r>
            <w:r>
              <w:rPr>
                <w:rFonts w:hint="eastAsia"/>
                <w:kern w:val="0"/>
                <w:sz w:val="24"/>
                <w:szCs w:val="20"/>
                <w:lang w:val="en-US" w:eastAsia="zh-CN"/>
              </w:rPr>
              <w:t>〈</w:t>
            </w:r>
            <w:r>
              <w:rPr>
                <w:rFonts w:hint="default"/>
                <w:kern w:val="0"/>
                <w:sz w:val="24"/>
                <w:szCs w:val="20"/>
                <w:lang w:val="en-US" w:eastAsia="zh-CN"/>
              </w:rPr>
              <w:t>新疆维吾尔自治区生态环境分区管控动态更新成果</w:t>
            </w:r>
            <w:r>
              <w:rPr>
                <w:rFonts w:hint="eastAsia"/>
                <w:kern w:val="0"/>
                <w:sz w:val="24"/>
                <w:szCs w:val="20"/>
                <w:lang w:val="en-US" w:eastAsia="zh-CN"/>
              </w:rPr>
              <w:t>〉的通知》</w:t>
            </w:r>
            <w:r>
              <w:rPr>
                <w:rFonts w:hint="default"/>
                <w:kern w:val="0"/>
                <w:sz w:val="24"/>
                <w:szCs w:val="20"/>
                <w:lang w:val="en-US" w:eastAsia="zh-CN"/>
              </w:rPr>
              <w:t>（新环环评发</w:t>
            </w:r>
            <w:r>
              <w:rPr>
                <w:rFonts w:hint="eastAsia"/>
                <w:kern w:val="0"/>
                <w:sz w:val="24"/>
                <w:szCs w:val="20"/>
                <w:lang w:val="en-US" w:eastAsia="zh-CN"/>
              </w:rPr>
              <w:t>[</w:t>
            </w:r>
            <w:r>
              <w:rPr>
                <w:rFonts w:hint="default"/>
                <w:kern w:val="0"/>
                <w:sz w:val="24"/>
                <w:szCs w:val="20"/>
                <w:lang w:val="en-US" w:eastAsia="zh-CN"/>
              </w:rPr>
              <w:t>2024</w:t>
            </w:r>
            <w:r>
              <w:rPr>
                <w:rFonts w:hint="eastAsia"/>
                <w:kern w:val="0"/>
                <w:sz w:val="24"/>
                <w:szCs w:val="20"/>
                <w:lang w:val="en-US" w:eastAsia="zh-CN"/>
              </w:rPr>
              <w:t>]</w:t>
            </w:r>
            <w:r>
              <w:rPr>
                <w:rFonts w:hint="default"/>
                <w:kern w:val="0"/>
                <w:sz w:val="24"/>
                <w:szCs w:val="20"/>
                <w:lang w:val="en-US" w:eastAsia="zh-CN"/>
              </w:rPr>
              <w:t>157号），</w:t>
            </w:r>
            <w:r>
              <w:rPr>
                <w:rFonts w:hint="eastAsia"/>
                <w:kern w:val="0"/>
                <w:sz w:val="24"/>
                <w:szCs w:val="20"/>
                <w:lang w:val="en-US" w:eastAsia="zh-CN"/>
              </w:rPr>
              <w:t>自治区</w:t>
            </w:r>
            <w:r>
              <w:rPr>
                <w:rFonts w:hint="default"/>
                <w:kern w:val="0"/>
                <w:sz w:val="24"/>
                <w:szCs w:val="20"/>
                <w:lang w:val="en-US" w:eastAsia="zh-CN"/>
              </w:rPr>
              <w:t>共划定1777个环境管控单元，分为优先保护、重点管控和一般管控三类。</w:t>
            </w:r>
            <w:r>
              <w:rPr>
                <w:rFonts w:hint="default"/>
                <w:spacing w:val="-2"/>
                <w:kern w:val="0"/>
                <w:sz w:val="24"/>
                <w:szCs w:val="20"/>
                <w:lang w:val="en-US" w:eastAsia="zh-CN"/>
              </w:rPr>
              <w:t>基于新疆各地自然地理条件、资源环境禀赋、经济社会发展状况的差异性，将全区划分为七大片区。</w:t>
            </w:r>
            <w:r>
              <w:rPr>
                <w:rFonts w:hint="default"/>
                <w:kern w:val="0"/>
                <w:sz w:val="24"/>
                <w:szCs w:val="20"/>
                <w:lang w:val="en-US" w:eastAsia="zh-CN"/>
              </w:rPr>
              <w:t>拟建公路路线位于南疆三地州片区内，重点突出绿洲边缘地区生态防护林建设和水土资源利用效率。</w:t>
            </w:r>
            <w:r>
              <w:rPr>
                <w:rFonts w:hint="eastAsia"/>
                <w:kern w:val="0"/>
                <w:sz w:val="24"/>
                <w:szCs w:val="20"/>
                <w:lang w:val="en-US" w:eastAsia="zh-CN"/>
              </w:rPr>
              <w:t>经调查，拟建公路沿线不涉及自然保护区、风景名胜区、湿地公园、森林公园、生态保护红线等生态敏感区，也不涉及水源保护区</w:t>
            </w:r>
            <w:r>
              <w:rPr>
                <w:rFonts w:hint="default"/>
                <w:kern w:val="0"/>
                <w:sz w:val="24"/>
                <w:szCs w:val="20"/>
                <w:lang w:val="en-US" w:eastAsia="zh-CN"/>
              </w:rPr>
              <w:t>。</w:t>
            </w:r>
          </w:p>
          <w:p w14:paraId="56028D0D">
            <w:pPr>
              <w:autoSpaceDE w:val="0"/>
              <w:autoSpaceDN w:val="0"/>
              <w:adjustRightInd w:val="0"/>
              <w:spacing w:line="300" w:lineRule="auto"/>
              <w:ind w:firstLine="480" w:firstLineChars="200"/>
              <w:rPr>
                <w:rFonts w:hint="eastAsia"/>
                <w:kern w:val="0"/>
                <w:sz w:val="24"/>
                <w:szCs w:val="20"/>
                <w:lang w:val="en-US" w:eastAsia="zh-CN"/>
              </w:rPr>
            </w:pPr>
            <w:r>
              <w:rPr>
                <w:rFonts w:hint="eastAsia"/>
                <w:kern w:val="0"/>
                <w:sz w:val="24"/>
                <w:szCs w:val="20"/>
                <w:lang w:val="en-US" w:eastAsia="zh-CN"/>
              </w:rPr>
              <w:t>拟建公路</w:t>
            </w:r>
            <w:r>
              <w:rPr>
                <w:rFonts w:hint="default"/>
                <w:kern w:val="0"/>
                <w:sz w:val="24"/>
                <w:szCs w:val="20"/>
                <w:lang w:val="en-US" w:eastAsia="zh-CN"/>
              </w:rPr>
              <w:t>属于省道网规划重点基础设施建设项目，是重要的</w:t>
            </w:r>
            <w:r>
              <w:rPr>
                <w:rFonts w:hint="eastAsia"/>
                <w:kern w:val="0"/>
                <w:sz w:val="24"/>
                <w:szCs w:val="20"/>
                <w:lang w:val="en-US" w:eastAsia="zh-CN"/>
              </w:rPr>
              <w:t>沿边</w:t>
            </w:r>
            <w:r>
              <w:rPr>
                <w:rFonts w:hint="default"/>
                <w:kern w:val="0"/>
                <w:sz w:val="24"/>
                <w:szCs w:val="20"/>
                <w:lang w:val="en-US" w:eastAsia="zh-CN"/>
              </w:rPr>
              <w:t>战略通道，路线走向具有特殊性、唯一性</w:t>
            </w:r>
            <w:r>
              <w:rPr>
                <w:rFonts w:hint="eastAsia"/>
                <w:kern w:val="0"/>
                <w:sz w:val="24"/>
                <w:szCs w:val="20"/>
                <w:lang w:val="en-US" w:eastAsia="zh-CN"/>
              </w:rPr>
              <w:t>，同时拟建公路为生态类项目，污染物排放量较小且环境风险可控，采取一系列环境保护措施后，符合</w:t>
            </w:r>
            <w:r>
              <w:rPr>
                <w:rFonts w:hint="default"/>
                <w:kern w:val="0"/>
                <w:sz w:val="24"/>
                <w:szCs w:val="20"/>
                <w:lang w:val="en-US" w:eastAsia="zh-CN"/>
              </w:rPr>
              <w:t>自治区空间布局</w:t>
            </w:r>
            <w:r>
              <w:rPr>
                <w:rFonts w:hint="eastAsia"/>
                <w:kern w:val="0"/>
                <w:sz w:val="24"/>
                <w:szCs w:val="20"/>
                <w:lang w:val="en-US" w:eastAsia="zh-CN"/>
              </w:rPr>
              <w:t>约束</w:t>
            </w:r>
            <w:r>
              <w:rPr>
                <w:rFonts w:hint="default"/>
                <w:kern w:val="0"/>
                <w:sz w:val="24"/>
                <w:szCs w:val="20"/>
                <w:lang w:val="en-US" w:eastAsia="zh-CN"/>
              </w:rPr>
              <w:t>要求</w:t>
            </w:r>
            <w:r>
              <w:rPr>
                <w:rFonts w:hint="eastAsia"/>
                <w:kern w:val="0"/>
                <w:sz w:val="24"/>
                <w:szCs w:val="20"/>
                <w:lang w:val="en-US" w:eastAsia="zh-CN"/>
              </w:rPr>
              <w:t>、</w:t>
            </w:r>
            <w:r>
              <w:rPr>
                <w:rFonts w:hint="default"/>
                <w:kern w:val="0"/>
                <w:sz w:val="24"/>
                <w:szCs w:val="20"/>
                <w:lang w:val="en-US" w:eastAsia="zh-CN"/>
              </w:rPr>
              <w:t>污染物排放</w:t>
            </w:r>
            <w:r>
              <w:rPr>
                <w:rFonts w:hint="eastAsia"/>
                <w:kern w:val="0"/>
                <w:sz w:val="24"/>
                <w:szCs w:val="20"/>
                <w:lang w:val="en-US" w:eastAsia="zh-CN"/>
              </w:rPr>
              <w:t>管控</w:t>
            </w:r>
            <w:r>
              <w:rPr>
                <w:rFonts w:hint="default"/>
                <w:kern w:val="0"/>
                <w:sz w:val="24"/>
                <w:szCs w:val="20"/>
                <w:lang w:val="en-US" w:eastAsia="zh-CN"/>
              </w:rPr>
              <w:t>要求、环境风险防控要求</w:t>
            </w:r>
            <w:r>
              <w:rPr>
                <w:rFonts w:hint="eastAsia"/>
                <w:kern w:val="0"/>
                <w:sz w:val="24"/>
                <w:szCs w:val="20"/>
                <w:lang w:val="en-US" w:eastAsia="zh-CN"/>
              </w:rPr>
              <w:t>以及</w:t>
            </w:r>
            <w:r>
              <w:rPr>
                <w:rFonts w:hint="default"/>
                <w:kern w:val="0"/>
                <w:sz w:val="24"/>
                <w:szCs w:val="20"/>
                <w:lang w:val="en-US" w:eastAsia="zh-CN"/>
              </w:rPr>
              <w:t>资源利用要求</w:t>
            </w:r>
            <w:r>
              <w:rPr>
                <w:rFonts w:hint="eastAsia"/>
                <w:kern w:val="0"/>
                <w:sz w:val="24"/>
                <w:szCs w:val="20"/>
                <w:lang w:val="en-US" w:eastAsia="zh-CN"/>
              </w:rPr>
              <w:t>，因此，拟建公路符合自治区管控总体要求。</w:t>
            </w:r>
          </w:p>
          <w:p w14:paraId="236E02F0">
            <w:pPr>
              <w:autoSpaceDE w:val="0"/>
              <w:autoSpaceDN w:val="0"/>
              <w:adjustRightInd w:val="0"/>
              <w:spacing w:line="300" w:lineRule="auto"/>
              <w:ind w:firstLine="480" w:firstLineChars="200"/>
              <w:rPr>
                <w:rFonts w:hint="eastAsia"/>
                <w:kern w:val="0"/>
                <w:sz w:val="24"/>
                <w:szCs w:val="20"/>
                <w:lang w:val="en-US" w:eastAsia="zh-CN"/>
              </w:rPr>
            </w:pPr>
            <w:r>
              <w:rPr>
                <w:rFonts w:hint="eastAsia"/>
                <w:kern w:val="0"/>
                <w:sz w:val="24"/>
                <w:szCs w:val="20"/>
                <w:lang w:val="en-US" w:eastAsia="zh-CN"/>
              </w:rPr>
              <w:t>拟建公路与新疆维吾尔自治区生态环境分区管控单元位置关系见附图4。</w:t>
            </w:r>
          </w:p>
          <w:p w14:paraId="3D78B733">
            <w:pPr>
              <w:keepNext w:val="0"/>
              <w:keepLines w:val="0"/>
              <w:pageBreakBefore w:val="0"/>
              <w:widowControl w:val="0"/>
              <w:kinsoku/>
              <w:wordWrap/>
              <w:overflowPunct/>
              <w:topLinePunct w:val="0"/>
              <w:autoSpaceDE w:val="0"/>
              <w:autoSpaceDN w:val="0"/>
              <w:bidi w:val="0"/>
              <w:adjustRightInd w:val="0"/>
              <w:snapToGrid/>
              <w:spacing w:line="300" w:lineRule="auto"/>
              <w:ind w:firstLine="480" w:firstLineChars="200"/>
              <w:textAlignment w:val="auto"/>
              <w:rPr>
                <w:rFonts w:hint="default"/>
                <w:kern w:val="0"/>
                <w:sz w:val="24"/>
                <w:szCs w:val="24"/>
                <w:lang w:val="en-US" w:eastAsia="zh-CN"/>
              </w:rPr>
            </w:pPr>
            <w:r>
              <w:rPr>
                <w:rFonts w:hint="default" w:ascii="Times New Roman" w:hAnsi="Times New Roman" w:cs="Times New Roman"/>
                <w:kern w:val="0"/>
                <w:sz w:val="24"/>
                <w:szCs w:val="24"/>
                <w:lang w:val="en-US" w:eastAsia="zh-CN"/>
              </w:rPr>
              <w:t>② 与</w:t>
            </w:r>
            <w:r>
              <w:rPr>
                <w:rFonts w:hint="default" w:ascii="Times New Roman" w:hAnsi="Times New Roman" w:cs="Times New Roman"/>
                <w:kern w:val="0"/>
                <w:sz w:val="24"/>
              </w:rPr>
              <w:t>克</w:t>
            </w:r>
            <w:r>
              <w:rPr>
                <w:rFonts w:hint="eastAsia" w:hAnsi="宋体"/>
                <w:kern w:val="0"/>
                <w:sz w:val="24"/>
              </w:rPr>
              <w:t>孜勒苏柯尔克孜自治州</w:t>
            </w:r>
            <w:r>
              <w:rPr>
                <w:rFonts w:hint="eastAsia" w:hAnsi="宋体"/>
                <w:kern w:val="0"/>
                <w:sz w:val="24"/>
                <w:lang w:val="en-US" w:eastAsia="zh-CN"/>
              </w:rPr>
              <w:t>辖区</w:t>
            </w:r>
            <w:r>
              <w:rPr>
                <w:rFonts w:hint="eastAsia"/>
                <w:kern w:val="0"/>
                <w:sz w:val="24"/>
                <w:szCs w:val="24"/>
                <w:lang w:val="en-US" w:eastAsia="zh-CN"/>
              </w:rPr>
              <w:t>管控单元准入清单符合性分析</w:t>
            </w:r>
          </w:p>
          <w:p w14:paraId="49179F61">
            <w:pPr>
              <w:spacing w:after="120" w:afterLines="50" w:line="300" w:lineRule="auto"/>
              <w:ind w:right="12" w:rightChars="6" w:firstLine="480" w:firstLineChars="200"/>
              <w:rPr>
                <w:rFonts w:hint="default" w:hAnsi="宋体" w:eastAsia="宋体"/>
                <w:kern w:val="0"/>
                <w:sz w:val="24"/>
                <w:lang w:val="en-US" w:eastAsia="zh-CN"/>
              </w:rPr>
            </w:pPr>
            <w:r>
              <w:rPr>
                <w:rFonts w:hint="eastAsia" w:hAnsi="宋体"/>
                <w:kern w:val="0"/>
                <w:sz w:val="24"/>
                <w:lang w:val="en-US" w:eastAsia="zh-CN"/>
              </w:rPr>
              <w:t>根据</w:t>
            </w:r>
            <w:r>
              <w:rPr>
                <w:rFonts w:hint="eastAsia" w:hAnsi="宋体"/>
                <w:kern w:val="0"/>
                <w:sz w:val="24"/>
              </w:rPr>
              <w:t>《关于印发</w:t>
            </w:r>
            <w:r>
              <w:rPr>
                <w:rFonts w:hint="eastAsia" w:hAnsi="宋体"/>
                <w:kern w:val="0"/>
                <w:sz w:val="24"/>
                <w:lang w:eastAsia="zh-CN"/>
              </w:rPr>
              <w:t>〈</w:t>
            </w:r>
            <w:r>
              <w:rPr>
                <w:rFonts w:hint="eastAsia" w:hAnsi="宋体"/>
                <w:kern w:val="0"/>
                <w:sz w:val="24"/>
              </w:rPr>
              <w:t>克孜勒苏柯尔克孜自治州“三线一单”生态环境分区管控方案（2025年版）</w:t>
            </w:r>
            <w:r>
              <w:rPr>
                <w:rFonts w:hint="eastAsia" w:hAnsi="宋体"/>
                <w:kern w:val="0"/>
                <w:sz w:val="24"/>
                <w:lang w:eastAsia="zh-CN"/>
              </w:rPr>
              <w:t>〉的通知》</w:t>
            </w:r>
            <w:r>
              <w:rPr>
                <w:rFonts w:hint="eastAsia" w:hAnsi="宋体"/>
                <w:kern w:val="0"/>
                <w:sz w:val="24"/>
              </w:rPr>
              <w:t>（州人民政府，2025年1月24日）</w:t>
            </w:r>
            <w:r>
              <w:rPr>
                <w:rFonts w:hint="eastAsia" w:hAnsi="宋体"/>
                <w:kern w:val="0"/>
                <w:sz w:val="24"/>
                <w:lang w:eastAsia="zh-CN"/>
              </w:rPr>
              <w:t>，</w:t>
            </w:r>
            <w:r>
              <w:rPr>
                <w:rFonts w:hint="eastAsia" w:hAnsi="宋体"/>
                <w:kern w:val="0"/>
                <w:sz w:val="24"/>
                <w:lang w:val="en-US" w:eastAsia="zh-CN"/>
              </w:rPr>
              <w:t>克州</w:t>
            </w:r>
            <w:r>
              <w:rPr>
                <w:rFonts w:hint="eastAsia" w:hAnsi="宋体"/>
                <w:kern w:val="0"/>
                <w:sz w:val="24"/>
              </w:rPr>
              <w:t>共划定</w:t>
            </w:r>
            <w:r>
              <w:rPr>
                <w:rFonts w:hint="eastAsia" w:hAnsi="宋体"/>
                <w:kern w:val="0"/>
                <w:sz w:val="24"/>
                <w:lang w:val="en-US" w:eastAsia="zh-CN"/>
              </w:rPr>
              <w:t>4</w:t>
            </w:r>
            <w:r>
              <w:rPr>
                <w:rFonts w:hint="eastAsia" w:hAnsi="宋体"/>
                <w:kern w:val="0"/>
                <w:sz w:val="24"/>
              </w:rPr>
              <w:t>6个环境管控单元，分为优先保护、重点管控和一般管控三类</w:t>
            </w:r>
            <w:r>
              <w:rPr>
                <w:rFonts w:hint="eastAsia" w:hAnsi="宋体"/>
                <w:kern w:val="0"/>
                <w:sz w:val="24"/>
                <w:lang w:eastAsia="zh-CN"/>
              </w:rPr>
              <w:t>。</w:t>
            </w:r>
            <w:r>
              <w:rPr>
                <w:rFonts w:hAnsi="宋体"/>
                <w:kern w:val="0"/>
                <w:sz w:val="24"/>
              </w:rPr>
              <w:t>拟建公路涉及</w:t>
            </w:r>
            <w:r>
              <w:rPr>
                <w:rFonts w:hint="eastAsia" w:hAnsi="宋体"/>
                <w:bCs/>
                <w:sz w:val="24"/>
              </w:rPr>
              <w:t>阿图什市一般管控单元（ZH65300130001）</w:t>
            </w:r>
            <w:r>
              <w:rPr>
                <w:rFonts w:hint="eastAsia" w:hAnsi="宋体"/>
                <w:bCs/>
                <w:sz w:val="24"/>
                <w:lang w:eastAsia="zh-CN"/>
              </w:rPr>
              <w:t>，</w:t>
            </w:r>
            <w:r>
              <w:rPr>
                <w:rFonts w:hint="eastAsia" w:hAnsi="宋体"/>
                <w:kern w:val="0"/>
                <w:sz w:val="24"/>
                <w:lang w:val="en-US" w:eastAsia="zh-CN"/>
              </w:rPr>
              <w:t>拟建公路与该管控单元生态环境准入清单符合性分析具体见表1-3，与管控单元位置关系见附图5。</w:t>
            </w:r>
          </w:p>
          <w:p w14:paraId="38DE7494">
            <w:pPr>
              <w:keepNext w:val="0"/>
              <w:keepLines w:val="0"/>
              <w:pageBreakBefore w:val="0"/>
              <w:widowControl w:val="0"/>
              <w:kinsoku/>
              <w:wordWrap/>
              <w:overflowPunct/>
              <w:topLinePunct w:val="0"/>
              <w:autoSpaceDE/>
              <w:autoSpaceDN/>
              <w:bidi w:val="0"/>
              <w:adjustRightInd w:val="0"/>
              <w:snapToGrid/>
              <w:jc w:val="center"/>
              <w:textAlignment w:val="auto"/>
              <w:rPr>
                <w:rFonts w:eastAsiaTheme="minorEastAsia"/>
                <w:b/>
              </w:rPr>
            </w:pPr>
            <w:r>
              <w:rPr>
                <w:rFonts w:eastAsiaTheme="minorEastAsia"/>
                <w:b/>
              </w:rPr>
              <w:t>表</w:t>
            </w:r>
            <w:r>
              <w:rPr>
                <w:rFonts w:hint="eastAsia" w:eastAsiaTheme="minorEastAsia"/>
                <w:b/>
                <w:lang w:val="en-US" w:eastAsia="zh-CN"/>
              </w:rPr>
              <w:t>1</w:t>
            </w:r>
            <w:r>
              <w:rPr>
                <w:rFonts w:eastAsiaTheme="minorEastAsia"/>
                <w:b/>
              </w:rPr>
              <w:t>-</w:t>
            </w:r>
            <w:r>
              <w:rPr>
                <w:rFonts w:hint="eastAsia" w:eastAsiaTheme="minorEastAsia"/>
                <w:b/>
                <w:lang w:val="en-US" w:eastAsia="zh-CN"/>
              </w:rPr>
              <w:t>3</w:t>
            </w:r>
            <w:r>
              <w:rPr>
                <w:rFonts w:eastAsiaTheme="minorEastAsia"/>
                <w:b/>
              </w:rPr>
              <w:t xml:space="preserve">  拟建公路</w:t>
            </w:r>
            <w:r>
              <w:rPr>
                <w:rFonts w:hint="eastAsia" w:eastAsiaTheme="minorEastAsia"/>
                <w:b/>
                <w:lang w:val="en-US" w:eastAsia="zh-CN"/>
              </w:rPr>
              <w:t>与管控单元准入清单</w:t>
            </w:r>
            <w:r>
              <w:rPr>
                <w:rFonts w:eastAsiaTheme="minorEastAsia"/>
                <w:b/>
              </w:rPr>
              <w:t>符合性分析一览表</w:t>
            </w:r>
          </w:p>
          <w:tbl>
            <w:tblPr>
              <w:tblStyle w:val="22"/>
              <w:tblW w:w="493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148"/>
              <w:gridCol w:w="1435"/>
              <w:gridCol w:w="1240"/>
              <w:gridCol w:w="1042"/>
              <w:gridCol w:w="1771"/>
              <w:gridCol w:w="739"/>
            </w:tblGrid>
            <w:tr w14:paraId="29F03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blHeader/>
                <w:jc w:val="center"/>
              </w:trPr>
              <w:tc>
                <w:tcPr>
                  <w:tcW w:w="778" w:type="pct"/>
                  <w:vMerge w:val="restart"/>
                  <w:vAlign w:val="center"/>
                </w:tcPr>
                <w:p w14:paraId="23DB5A29">
                  <w:pPr>
                    <w:widowControl/>
                    <w:adjustRightInd w:val="0"/>
                    <w:spacing w:line="260" w:lineRule="exact"/>
                    <w:jc w:val="center"/>
                    <w:rPr>
                      <w:b/>
                    </w:rPr>
                  </w:pPr>
                  <w:r>
                    <w:rPr>
                      <w:b/>
                      <w:lang w:bidi="ar"/>
                    </w:rPr>
                    <w:t>环境管控单元编码</w:t>
                  </w:r>
                </w:p>
              </w:tc>
              <w:tc>
                <w:tcPr>
                  <w:tcW w:w="972" w:type="pct"/>
                  <w:vMerge w:val="restart"/>
                  <w:vAlign w:val="center"/>
                </w:tcPr>
                <w:p w14:paraId="4DDAB626">
                  <w:pPr>
                    <w:widowControl/>
                    <w:adjustRightInd w:val="0"/>
                    <w:spacing w:line="260" w:lineRule="exact"/>
                    <w:jc w:val="center"/>
                    <w:rPr>
                      <w:b/>
                    </w:rPr>
                  </w:pPr>
                  <w:r>
                    <w:rPr>
                      <w:b/>
                      <w:lang w:bidi="ar"/>
                    </w:rPr>
                    <w:t>单元名称</w:t>
                  </w:r>
                </w:p>
              </w:tc>
              <w:tc>
                <w:tcPr>
                  <w:tcW w:w="2747" w:type="pct"/>
                  <w:gridSpan w:val="3"/>
                  <w:vAlign w:val="center"/>
                </w:tcPr>
                <w:p w14:paraId="45070714">
                  <w:pPr>
                    <w:widowControl/>
                    <w:adjustRightInd w:val="0"/>
                    <w:spacing w:line="260" w:lineRule="exact"/>
                    <w:jc w:val="center"/>
                    <w:rPr>
                      <w:b/>
                    </w:rPr>
                  </w:pPr>
                  <w:r>
                    <w:rPr>
                      <w:b/>
                      <w:lang w:bidi="ar"/>
                    </w:rPr>
                    <w:t>行政区划</w:t>
                  </w:r>
                </w:p>
              </w:tc>
              <w:tc>
                <w:tcPr>
                  <w:tcW w:w="501" w:type="pct"/>
                  <w:vMerge w:val="restart"/>
                  <w:vAlign w:val="center"/>
                </w:tcPr>
                <w:p w14:paraId="65D3A44B">
                  <w:pPr>
                    <w:widowControl/>
                    <w:adjustRightInd w:val="0"/>
                    <w:spacing w:line="260" w:lineRule="exact"/>
                    <w:jc w:val="center"/>
                    <w:rPr>
                      <w:b/>
                      <w:lang w:bidi="ar"/>
                    </w:rPr>
                  </w:pPr>
                  <w:r>
                    <w:rPr>
                      <w:b/>
                      <w:lang w:bidi="ar"/>
                    </w:rPr>
                    <w:t>单元</w:t>
                  </w:r>
                </w:p>
                <w:p w14:paraId="390717FB">
                  <w:pPr>
                    <w:widowControl/>
                    <w:adjustRightInd w:val="0"/>
                    <w:spacing w:line="260" w:lineRule="exact"/>
                    <w:jc w:val="center"/>
                    <w:rPr>
                      <w:b/>
                    </w:rPr>
                  </w:pPr>
                  <w:r>
                    <w:rPr>
                      <w:b/>
                      <w:lang w:bidi="ar"/>
                    </w:rPr>
                    <w:t>分类</w:t>
                  </w:r>
                </w:p>
              </w:tc>
            </w:tr>
            <w:tr w14:paraId="53B91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48" w:hRule="atLeast"/>
                <w:tblHeader/>
                <w:jc w:val="center"/>
              </w:trPr>
              <w:tc>
                <w:tcPr>
                  <w:tcW w:w="778" w:type="pct"/>
                  <w:vMerge w:val="continue"/>
                  <w:vAlign w:val="center"/>
                </w:tcPr>
                <w:p w14:paraId="26B1E8B0">
                  <w:pPr>
                    <w:adjustRightInd w:val="0"/>
                    <w:spacing w:line="260" w:lineRule="exact"/>
                    <w:rPr>
                      <w:szCs w:val="22"/>
                    </w:rPr>
                  </w:pPr>
                </w:p>
              </w:tc>
              <w:tc>
                <w:tcPr>
                  <w:tcW w:w="972" w:type="pct"/>
                  <w:vMerge w:val="continue"/>
                  <w:vAlign w:val="center"/>
                </w:tcPr>
                <w:p w14:paraId="0FD5F13C">
                  <w:pPr>
                    <w:adjustRightInd w:val="0"/>
                    <w:spacing w:line="260" w:lineRule="exact"/>
                    <w:rPr>
                      <w:szCs w:val="22"/>
                    </w:rPr>
                  </w:pPr>
                </w:p>
              </w:tc>
              <w:tc>
                <w:tcPr>
                  <w:tcW w:w="840" w:type="pct"/>
                  <w:vAlign w:val="center"/>
                </w:tcPr>
                <w:p w14:paraId="6C664335">
                  <w:pPr>
                    <w:adjustRightInd w:val="0"/>
                    <w:spacing w:line="260" w:lineRule="exact"/>
                    <w:jc w:val="center"/>
                    <w:rPr>
                      <w:rFonts w:hint="eastAsia" w:eastAsia="宋体"/>
                      <w:b/>
                      <w:lang w:eastAsia="zh-CN"/>
                    </w:rPr>
                  </w:pPr>
                  <w:r>
                    <w:rPr>
                      <w:rFonts w:hint="eastAsia"/>
                      <w:b/>
                      <w:lang w:val="en-US" w:eastAsia="zh-CN" w:bidi="ar"/>
                    </w:rPr>
                    <w:t>自治区</w:t>
                  </w:r>
                </w:p>
              </w:tc>
              <w:tc>
                <w:tcPr>
                  <w:tcW w:w="706" w:type="pct"/>
                  <w:vAlign w:val="center"/>
                </w:tcPr>
                <w:p w14:paraId="11946528">
                  <w:pPr>
                    <w:adjustRightInd w:val="0"/>
                    <w:spacing w:line="260" w:lineRule="exact"/>
                    <w:jc w:val="center"/>
                    <w:rPr>
                      <w:rFonts w:hint="eastAsia" w:eastAsia="宋体"/>
                      <w:b/>
                      <w:lang w:eastAsia="zh-CN"/>
                    </w:rPr>
                  </w:pPr>
                  <w:r>
                    <w:rPr>
                      <w:b/>
                      <w:lang w:bidi="ar"/>
                    </w:rPr>
                    <w:t>州</w:t>
                  </w:r>
                  <w:r>
                    <w:rPr>
                      <w:rFonts w:hint="eastAsia"/>
                      <w:b/>
                      <w:lang w:eastAsia="zh-CN" w:bidi="ar"/>
                    </w:rPr>
                    <w:t>（</w:t>
                  </w:r>
                  <w:r>
                    <w:rPr>
                      <w:rFonts w:hint="eastAsia"/>
                      <w:b/>
                      <w:lang w:val="en-US" w:eastAsia="zh-CN" w:bidi="ar"/>
                    </w:rPr>
                    <w:t>地区</w:t>
                  </w:r>
                  <w:r>
                    <w:rPr>
                      <w:rFonts w:hint="eastAsia"/>
                      <w:b/>
                      <w:lang w:eastAsia="zh-CN" w:bidi="ar"/>
                    </w:rPr>
                    <w:t>）</w:t>
                  </w:r>
                </w:p>
              </w:tc>
              <w:tc>
                <w:tcPr>
                  <w:tcW w:w="1200" w:type="pct"/>
                  <w:vAlign w:val="center"/>
                </w:tcPr>
                <w:p w14:paraId="58FAAA46">
                  <w:pPr>
                    <w:adjustRightInd w:val="0"/>
                    <w:spacing w:line="260" w:lineRule="exact"/>
                    <w:jc w:val="center"/>
                    <w:rPr>
                      <w:rFonts w:hint="eastAsia" w:eastAsia="宋体"/>
                      <w:b/>
                      <w:lang w:eastAsia="zh-CN"/>
                    </w:rPr>
                  </w:pPr>
                  <w:r>
                    <w:rPr>
                      <w:rFonts w:hint="eastAsia"/>
                      <w:b/>
                      <w:lang w:val="en-US" w:eastAsia="zh-CN" w:bidi="ar"/>
                    </w:rPr>
                    <w:t>市</w:t>
                  </w:r>
                  <w:r>
                    <w:rPr>
                      <w:rFonts w:hint="eastAsia"/>
                      <w:b/>
                      <w:lang w:eastAsia="zh-CN" w:bidi="ar"/>
                    </w:rPr>
                    <w:t>（</w:t>
                  </w:r>
                  <w:r>
                    <w:rPr>
                      <w:b/>
                      <w:lang w:bidi="ar"/>
                    </w:rPr>
                    <w:t>县</w:t>
                  </w:r>
                  <w:r>
                    <w:rPr>
                      <w:rFonts w:hint="eastAsia"/>
                      <w:b/>
                      <w:lang w:eastAsia="zh-CN" w:bidi="ar"/>
                    </w:rPr>
                    <w:t>）</w:t>
                  </w:r>
                </w:p>
              </w:tc>
              <w:tc>
                <w:tcPr>
                  <w:tcW w:w="501" w:type="pct"/>
                  <w:vMerge w:val="continue"/>
                  <w:vAlign w:val="center"/>
                </w:tcPr>
                <w:p w14:paraId="72CB0E3A">
                  <w:pPr>
                    <w:adjustRightInd w:val="0"/>
                    <w:spacing w:line="260" w:lineRule="exact"/>
                    <w:rPr>
                      <w:szCs w:val="22"/>
                    </w:rPr>
                  </w:pPr>
                </w:p>
              </w:tc>
            </w:tr>
            <w:tr w14:paraId="2BC1E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66" w:hRule="atLeast"/>
                <w:jc w:val="center"/>
              </w:trPr>
              <w:tc>
                <w:tcPr>
                  <w:tcW w:w="778" w:type="pct"/>
                  <w:vAlign w:val="center"/>
                </w:tcPr>
                <w:p w14:paraId="123A9C67">
                  <w:pPr>
                    <w:pStyle w:val="20"/>
                    <w:widowControl w:val="0"/>
                    <w:autoSpaceDE w:val="0"/>
                    <w:autoSpaceDN w:val="0"/>
                    <w:adjustRightInd w:val="0"/>
                    <w:spacing w:before="0" w:beforeAutospacing="0" w:after="0" w:afterAutospacing="0" w:line="260" w:lineRule="exact"/>
                    <w:jc w:val="center"/>
                    <w:rPr>
                      <w:rFonts w:ascii="Times New Roman" w:hAnsi="Times New Roman"/>
                      <w:kern w:val="2"/>
                      <w:sz w:val="21"/>
                    </w:rPr>
                  </w:pPr>
                  <w:r>
                    <w:rPr>
                      <w:rFonts w:hint="eastAsia" w:ascii="Times New Roman" w:hAnsi="Times New Roman"/>
                      <w:kern w:val="2"/>
                      <w:sz w:val="21"/>
                      <w:lang w:bidi="ar"/>
                    </w:rPr>
                    <w:t>ZH65300130001</w:t>
                  </w:r>
                </w:p>
              </w:tc>
              <w:tc>
                <w:tcPr>
                  <w:tcW w:w="972" w:type="pct"/>
                  <w:vAlign w:val="center"/>
                </w:tcPr>
                <w:p w14:paraId="21AB7D49">
                  <w:pPr>
                    <w:pStyle w:val="20"/>
                    <w:widowControl w:val="0"/>
                    <w:autoSpaceDE w:val="0"/>
                    <w:autoSpaceDN w:val="0"/>
                    <w:adjustRightInd w:val="0"/>
                    <w:spacing w:before="0" w:beforeAutospacing="0" w:after="0" w:afterAutospacing="0" w:line="260" w:lineRule="exact"/>
                    <w:jc w:val="center"/>
                    <w:rPr>
                      <w:rFonts w:hint="default" w:ascii="Times New Roman" w:hAnsi="Times New Roman" w:eastAsia="宋体"/>
                      <w:kern w:val="2"/>
                      <w:sz w:val="21"/>
                      <w:lang w:val="en-US" w:eastAsia="zh-CN"/>
                    </w:rPr>
                  </w:pPr>
                  <w:r>
                    <w:rPr>
                      <w:rFonts w:hint="eastAsia" w:ascii="Times New Roman" w:hAnsi="Times New Roman"/>
                      <w:kern w:val="2"/>
                      <w:sz w:val="21"/>
                      <w:lang w:val="en-US" w:eastAsia="zh-CN" w:bidi="ar"/>
                    </w:rPr>
                    <w:t>阿图什市一般管控单元</w:t>
                  </w:r>
                </w:p>
              </w:tc>
              <w:tc>
                <w:tcPr>
                  <w:tcW w:w="840" w:type="pct"/>
                  <w:vAlign w:val="center"/>
                </w:tcPr>
                <w:p w14:paraId="01883167">
                  <w:pPr>
                    <w:widowControl/>
                    <w:adjustRightInd w:val="0"/>
                    <w:spacing w:line="260" w:lineRule="exact"/>
                    <w:jc w:val="center"/>
                  </w:pPr>
                  <w:r>
                    <w:rPr>
                      <w:lang w:bidi="ar"/>
                    </w:rPr>
                    <w:t>新疆维吾尔自治区</w:t>
                  </w:r>
                </w:p>
              </w:tc>
              <w:tc>
                <w:tcPr>
                  <w:tcW w:w="706" w:type="pct"/>
                  <w:vAlign w:val="center"/>
                </w:tcPr>
                <w:p w14:paraId="26710C10">
                  <w:pPr>
                    <w:pStyle w:val="20"/>
                    <w:widowControl w:val="0"/>
                    <w:autoSpaceDE w:val="0"/>
                    <w:autoSpaceDN w:val="0"/>
                    <w:adjustRightInd w:val="0"/>
                    <w:spacing w:before="0" w:beforeAutospacing="0" w:after="0" w:afterAutospacing="0" w:line="260" w:lineRule="exact"/>
                    <w:jc w:val="center"/>
                    <w:rPr>
                      <w:rFonts w:ascii="Times New Roman" w:hAnsi="Times New Roman"/>
                      <w:kern w:val="2"/>
                      <w:sz w:val="21"/>
                    </w:rPr>
                  </w:pPr>
                  <w:r>
                    <w:rPr>
                      <w:rFonts w:hint="eastAsia" w:ascii="Times New Roman" w:hAnsi="Times New Roman"/>
                      <w:kern w:val="2"/>
                      <w:sz w:val="21"/>
                      <w:lang w:val="en-US" w:eastAsia="zh-CN" w:bidi="ar"/>
                    </w:rPr>
                    <w:t>克州</w:t>
                  </w:r>
                  <w:r>
                    <w:rPr>
                      <w:rFonts w:ascii="Times New Roman" w:hAnsi="Times New Roman"/>
                      <w:kern w:val="2"/>
                      <w:sz w:val="21"/>
                      <w:lang w:bidi="ar"/>
                    </w:rPr>
                    <w:t xml:space="preserve"> </w:t>
                  </w:r>
                </w:p>
              </w:tc>
              <w:tc>
                <w:tcPr>
                  <w:tcW w:w="1200" w:type="pct"/>
                  <w:vAlign w:val="center"/>
                </w:tcPr>
                <w:p w14:paraId="2980BDCE">
                  <w:pPr>
                    <w:pStyle w:val="20"/>
                    <w:widowControl w:val="0"/>
                    <w:autoSpaceDE w:val="0"/>
                    <w:autoSpaceDN w:val="0"/>
                    <w:adjustRightInd w:val="0"/>
                    <w:spacing w:before="0" w:beforeAutospacing="0" w:after="0" w:afterAutospacing="0" w:line="260" w:lineRule="exact"/>
                    <w:jc w:val="center"/>
                    <w:rPr>
                      <w:rFonts w:hint="default" w:ascii="Times New Roman" w:hAnsi="Times New Roman" w:eastAsia="宋体"/>
                      <w:kern w:val="2"/>
                      <w:sz w:val="21"/>
                      <w:lang w:val="en-US" w:eastAsia="zh-CN"/>
                    </w:rPr>
                  </w:pPr>
                  <w:r>
                    <w:rPr>
                      <w:rFonts w:hint="eastAsia" w:ascii="Times New Roman" w:hAnsi="Times New Roman"/>
                      <w:kern w:val="2"/>
                      <w:sz w:val="21"/>
                      <w:lang w:val="en-US" w:eastAsia="zh-CN" w:bidi="ar"/>
                    </w:rPr>
                    <w:t>阿图什市</w:t>
                  </w:r>
                </w:p>
              </w:tc>
              <w:tc>
                <w:tcPr>
                  <w:tcW w:w="501" w:type="pct"/>
                  <w:vAlign w:val="center"/>
                </w:tcPr>
                <w:p w14:paraId="399E8D6C">
                  <w:pPr>
                    <w:widowControl/>
                    <w:adjustRightInd w:val="0"/>
                    <w:spacing w:line="260" w:lineRule="exact"/>
                    <w:jc w:val="center"/>
                  </w:pPr>
                  <w:r>
                    <w:rPr>
                      <w:rFonts w:hint="eastAsia"/>
                      <w:lang w:val="en-US" w:eastAsia="zh-CN" w:bidi="ar"/>
                    </w:rPr>
                    <w:t>一般</w:t>
                  </w:r>
                  <w:r>
                    <w:rPr>
                      <w:rFonts w:hint="eastAsia"/>
                      <w:lang w:bidi="ar"/>
                    </w:rPr>
                    <w:t>管控</w:t>
                  </w:r>
                  <w:r>
                    <w:rPr>
                      <w:lang w:bidi="ar"/>
                    </w:rPr>
                    <w:t>单元</w:t>
                  </w:r>
                </w:p>
              </w:tc>
            </w:tr>
            <w:tr w14:paraId="3EB73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778" w:type="pct"/>
                  <w:vAlign w:val="center"/>
                </w:tcPr>
                <w:p w14:paraId="6494E649">
                  <w:pPr>
                    <w:widowControl/>
                    <w:adjustRightInd w:val="0"/>
                    <w:spacing w:line="260" w:lineRule="exact"/>
                    <w:jc w:val="center"/>
                    <w:rPr>
                      <w:b/>
                    </w:rPr>
                  </w:pPr>
                  <w:r>
                    <w:rPr>
                      <w:b/>
                      <w:lang w:bidi="ar"/>
                    </w:rPr>
                    <w:t>管控维度</w:t>
                  </w:r>
                </w:p>
              </w:tc>
              <w:tc>
                <w:tcPr>
                  <w:tcW w:w="1813" w:type="pct"/>
                  <w:gridSpan w:val="2"/>
                  <w:vAlign w:val="center"/>
                </w:tcPr>
                <w:p w14:paraId="4A15BEF2">
                  <w:pPr>
                    <w:adjustRightInd w:val="0"/>
                    <w:spacing w:line="260" w:lineRule="exact"/>
                    <w:jc w:val="center"/>
                    <w:rPr>
                      <w:b/>
                    </w:rPr>
                  </w:pPr>
                  <w:r>
                    <w:rPr>
                      <w:b/>
                      <w:lang w:bidi="ar"/>
                    </w:rPr>
                    <w:t>管控要求</w:t>
                  </w:r>
                </w:p>
              </w:tc>
              <w:tc>
                <w:tcPr>
                  <w:tcW w:w="1907" w:type="pct"/>
                  <w:gridSpan w:val="2"/>
                  <w:vAlign w:val="center"/>
                </w:tcPr>
                <w:p w14:paraId="23D53934">
                  <w:pPr>
                    <w:adjustRightInd w:val="0"/>
                    <w:spacing w:line="260" w:lineRule="exact"/>
                    <w:jc w:val="center"/>
                    <w:rPr>
                      <w:b/>
                    </w:rPr>
                  </w:pPr>
                  <w:r>
                    <w:rPr>
                      <w:b/>
                      <w:lang w:bidi="ar"/>
                    </w:rPr>
                    <w:t>拟建公路情况</w:t>
                  </w:r>
                </w:p>
              </w:tc>
              <w:tc>
                <w:tcPr>
                  <w:tcW w:w="501" w:type="pct"/>
                  <w:vAlign w:val="center"/>
                </w:tcPr>
                <w:p w14:paraId="12D750B2">
                  <w:pPr>
                    <w:adjustRightInd w:val="0"/>
                    <w:spacing w:line="260" w:lineRule="exact"/>
                    <w:jc w:val="center"/>
                    <w:rPr>
                      <w:b/>
                    </w:rPr>
                  </w:pPr>
                  <w:r>
                    <w:rPr>
                      <w:b/>
                      <w:lang w:bidi="ar"/>
                    </w:rPr>
                    <w:t>符合性</w:t>
                  </w:r>
                </w:p>
              </w:tc>
            </w:tr>
            <w:tr w14:paraId="70A1B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99" w:hRule="atLeast"/>
                <w:jc w:val="center"/>
              </w:trPr>
              <w:tc>
                <w:tcPr>
                  <w:tcW w:w="778" w:type="pct"/>
                  <w:vAlign w:val="center"/>
                </w:tcPr>
                <w:p w14:paraId="70717D1F">
                  <w:pPr>
                    <w:widowControl/>
                    <w:adjustRightInd w:val="0"/>
                    <w:spacing w:line="260" w:lineRule="exact"/>
                    <w:jc w:val="center"/>
                  </w:pPr>
                  <w:r>
                    <w:rPr>
                      <w:lang w:bidi="ar"/>
                    </w:rPr>
                    <w:t>空间布局约束</w:t>
                  </w:r>
                </w:p>
              </w:tc>
              <w:tc>
                <w:tcPr>
                  <w:tcW w:w="1813" w:type="pct"/>
                  <w:gridSpan w:val="2"/>
                  <w:vAlign w:val="center"/>
                </w:tcPr>
                <w:p w14:paraId="2117C7E7">
                  <w:pPr>
                    <w:pStyle w:val="20"/>
                    <w:widowControl w:val="0"/>
                    <w:autoSpaceDE w:val="0"/>
                    <w:autoSpaceDN w:val="0"/>
                    <w:adjustRightInd w:val="0"/>
                    <w:spacing w:before="0" w:beforeAutospacing="0" w:after="0" w:afterAutospacing="0" w:line="260" w:lineRule="exact"/>
                    <w:jc w:val="both"/>
                    <w:rPr>
                      <w:rFonts w:ascii="Times New Roman" w:hAnsi="Times New Roman"/>
                      <w:kern w:val="2"/>
                      <w:sz w:val="21"/>
                      <w:lang w:bidi="ar"/>
                    </w:rPr>
                  </w:pPr>
                  <w:r>
                    <w:rPr>
                      <w:rFonts w:hint="eastAsia" w:ascii="Times New Roman" w:hAnsi="Times New Roman"/>
                      <w:kern w:val="2"/>
                      <w:sz w:val="21"/>
                      <w:lang w:val="en-US" w:eastAsia="zh-CN" w:bidi="ar"/>
                    </w:rPr>
                    <w:t>1.</w:t>
                  </w:r>
                  <w:r>
                    <w:rPr>
                      <w:rFonts w:hint="eastAsia" w:ascii="Times New Roman" w:hAnsi="Times New Roman"/>
                      <w:kern w:val="2"/>
                      <w:sz w:val="21"/>
                      <w:lang w:bidi="ar"/>
                    </w:rPr>
                    <w:t>禁止新建、扩建《产业结构调整指导目录（2024年本）》中淘汰类项目。禁止引入《市场准入负面清单（2022年版）》禁止准入类事项</w:t>
                  </w:r>
                  <w:r>
                    <w:rPr>
                      <w:rFonts w:ascii="Times New Roman" w:hAnsi="Times New Roman"/>
                      <w:kern w:val="2"/>
                      <w:sz w:val="21"/>
                      <w:lang w:bidi="ar"/>
                    </w:rPr>
                    <w:t>。</w:t>
                  </w:r>
                </w:p>
                <w:p w14:paraId="673E3BD9">
                  <w:pPr>
                    <w:pStyle w:val="20"/>
                    <w:widowControl w:val="0"/>
                    <w:autoSpaceDE w:val="0"/>
                    <w:autoSpaceDN w:val="0"/>
                    <w:adjustRightInd w:val="0"/>
                    <w:spacing w:before="0" w:beforeAutospacing="0" w:after="0" w:afterAutospacing="0" w:line="260" w:lineRule="exact"/>
                    <w:jc w:val="both"/>
                    <w:rPr>
                      <w:rFonts w:hint="eastAsia" w:ascii="Times New Roman" w:hAnsi="Times New Roman"/>
                      <w:kern w:val="2"/>
                      <w:sz w:val="21"/>
                      <w:lang w:val="en-US" w:eastAsia="zh-CN" w:bidi="ar"/>
                    </w:rPr>
                  </w:pPr>
                  <w:r>
                    <w:rPr>
                      <w:rFonts w:hint="eastAsia" w:ascii="Times New Roman" w:hAnsi="Times New Roman"/>
                      <w:kern w:val="2"/>
                      <w:sz w:val="21"/>
                      <w:lang w:val="en-US" w:eastAsia="zh-CN" w:bidi="ar"/>
                    </w:rPr>
                    <w:t>2.加强绿洲边缘地区生态防护林建设，禁止樵采喀什三角洲荒漠、绿洲区荒漠植被。</w:t>
                  </w:r>
                </w:p>
                <w:p w14:paraId="7B5A289B">
                  <w:pPr>
                    <w:pStyle w:val="20"/>
                    <w:widowControl w:val="0"/>
                    <w:autoSpaceDE w:val="0"/>
                    <w:autoSpaceDN w:val="0"/>
                    <w:adjustRightInd w:val="0"/>
                    <w:spacing w:before="0" w:beforeAutospacing="0" w:after="0" w:afterAutospacing="0" w:line="260" w:lineRule="exact"/>
                    <w:jc w:val="both"/>
                    <w:rPr>
                      <w:rFonts w:hint="eastAsia" w:ascii="Times New Roman" w:hAnsi="Times New Roman"/>
                      <w:kern w:val="2"/>
                      <w:sz w:val="21"/>
                      <w:lang w:val="en-US" w:eastAsia="zh-CN"/>
                    </w:rPr>
                  </w:pPr>
                  <w:r>
                    <w:rPr>
                      <w:rFonts w:hint="eastAsia" w:ascii="Times New Roman" w:hAnsi="Times New Roman"/>
                      <w:kern w:val="2"/>
                      <w:sz w:val="21"/>
                      <w:lang w:val="en-US" w:eastAsia="zh-CN"/>
                    </w:rPr>
                    <w:t>3.禁止在水源涵养区、地下水源、饮用水源、自然保护区、风景名胜区、森林公园、重要湿地及人群密集区等生态敏感区域内进行煤炭、石油、天然气开发。</w:t>
                  </w:r>
                </w:p>
                <w:p w14:paraId="134D7E31">
                  <w:pPr>
                    <w:pStyle w:val="20"/>
                    <w:widowControl w:val="0"/>
                    <w:autoSpaceDE w:val="0"/>
                    <w:autoSpaceDN w:val="0"/>
                    <w:adjustRightInd w:val="0"/>
                    <w:spacing w:before="0" w:beforeAutospacing="0" w:after="0" w:afterAutospacing="0" w:line="260" w:lineRule="exact"/>
                    <w:jc w:val="both"/>
                    <w:rPr>
                      <w:rFonts w:hint="eastAsia" w:ascii="Times New Roman" w:hAnsi="Times New Roman"/>
                      <w:kern w:val="2"/>
                      <w:sz w:val="21"/>
                      <w:lang w:val="en-US" w:eastAsia="zh-CN"/>
                    </w:rPr>
                  </w:pPr>
                  <w:r>
                    <w:rPr>
                      <w:rFonts w:hint="eastAsia" w:ascii="Times New Roman" w:hAnsi="Times New Roman"/>
                      <w:kern w:val="2"/>
                      <w:sz w:val="21"/>
                      <w:lang w:val="en-US" w:eastAsia="zh-CN"/>
                    </w:rPr>
                    <w:t>4.严禁新建自治区《禁止、控制和限制危险化学品目录》中淘汰类、禁止类危险化学品化工项目。严格执行生态保护红线、永久基本农田管控要求，禁止新、改、扩建化工项目违规占用生态保护红线和永久基本农田。</w:t>
                  </w:r>
                </w:p>
                <w:p w14:paraId="284FE650">
                  <w:pPr>
                    <w:pStyle w:val="20"/>
                    <w:widowControl w:val="0"/>
                    <w:autoSpaceDE w:val="0"/>
                    <w:autoSpaceDN w:val="0"/>
                    <w:adjustRightInd w:val="0"/>
                    <w:spacing w:before="0" w:beforeAutospacing="0" w:after="0" w:afterAutospacing="0" w:line="260" w:lineRule="exact"/>
                    <w:jc w:val="both"/>
                    <w:rPr>
                      <w:rFonts w:hint="eastAsia" w:ascii="Times New Roman" w:hAnsi="Times New Roman"/>
                      <w:kern w:val="2"/>
                      <w:sz w:val="21"/>
                      <w:lang w:val="en-US" w:eastAsia="zh-CN"/>
                    </w:rPr>
                  </w:pPr>
                  <w:r>
                    <w:rPr>
                      <w:rFonts w:hint="eastAsia" w:ascii="Times New Roman" w:hAnsi="Times New Roman"/>
                      <w:kern w:val="2"/>
                      <w:sz w:val="21"/>
                      <w:lang w:val="en-US" w:eastAsia="zh-CN"/>
                    </w:rPr>
                    <w:t>5.新（改、扩）建项目涉及有毒有害物质可能造成土壤污染的，要提出并落实土壤和地下水污染防治要求。</w:t>
                  </w:r>
                </w:p>
                <w:p w14:paraId="28F9B17D">
                  <w:pPr>
                    <w:pStyle w:val="20"/>
                    <w:widowControl w:val="0"/>
                    <w:autoSpaceDE w:val="0"/>
                    <w:autoSpaceDN w:val="0"/>
                    <w:adjustRightInd w:val="0"/>
                    <w:spacing w:before="0" w:beforeAutospacing="0" w:after="0" w:afterAutospacing="0" w:line="260" w:lineRule="exact"/>
                    <w:jc w:val="both"/>
                    <w:rPr>
                      <w:rFonts w:hint="default" w:ascii="Times New Roman" w:hAnsi="Times New Roman"/>
                      <w:kern w:val="2"/>
                      <w:sz w:val="21"/>
                      <w:lang w:val="en-US" w:eastAsia="zh-CN"/>
                    </w:rPr>
                  </w:pPr>
                  <w:r>
                    <w:rPr>
                      <w:rFonts w:hint="eastAsia" w:ascii="Times New Roman" w:hAnsi="Times New Roman"/>
                      <w:kern w:val="2"/>
                      <w:sz w:val="21"/>
                      <w:lang w:val="en-US" w:eastAsia="zh-CN"/>
                    </w:rPr>
                    <w:t>6.一切开发建设活动应符合国家、自治区主体功能区规划、自治区和各地颁布实施的生态环境功能区规划、国民经济发展规划、产业发展规划、国土空间规划等相关规划及重点生态功能区负面清单要求，符合区域或产业规划环评要求。</w:t>
                  </w:r>
                </w:p>
              </w:tc>
              <w:tc>
                <w:tcPr>
                  <w:tcW w:w="1907" w:type="pct"/>
                  <w:gridSpan w:val="2"/>
                  <w:vAlign w:val="center"/>
                </w:tcPr>
                <w:p w14:paraId="0E4AF707">
                  <w:pPr>
                    <w:tabs>
                      <w:tab w:val="left" w:pos="1021"/>
                    </w:tabs>
                    <w:adjustRightInd w:val="0"/>
                    <w:spacing w:line="260" w:lineRule="exact"/>
                    <w:rPr>
                      <w:rFonts w:hint="default" w:eastAsiaTheme="minorEastAsia"/>
                      <w:lang w:val="en-US" w:eastAsia="zh-CN" w:bidi="ar"/>
                    </w:rPr>
                  </w:pPr>
                  <w:r>
                    <w:rPr>
                      <w:rFonts w:hint="eastAsia"/>
                      <w:lang w:val="en-US" w:eastAsia="zh-CN" w:bidi="ar"/>
                    </w:rPr>
                    <w:t>1.</w:t>
                  </w:r>
                  <w:r>
                    <w:rPr>
                      <w:rFonts w:hint="eastAsia" w:eastAsiaTheme="minorEastAsia"/>
                      <w:lang w:val="en-US" w:eastAsia="zh-CN"/>
                    </w:rPr>
                    <w:t>本项目</w:t>
                  </w:r>
                  <w:r>
                    <w:rPr>
                      <w:rFonts w:hint="eastAsia" w:eastAsiaTheme="minorEastAsia"/>
                    </w:rPr>
                    <w:t>属</w:t>
                  </w:r>
                  <w:r>
                    <w:rPr>
                      <w:rFonts w:eastAsiaTheme="minorEastAsia"/>
                    </w:rPr>
                    <w:t>国家和自治区重点线性基础设施，是重要的国防战略通道</w:t>
                  </w:r>
                  <w:r>
                    <w:rPr>
                      <w:rFonts w:hint="eastAsia" w:eastAsiaTheme="minorEastAsia"/>
                      <w:lang w:eastAsia="zh-CN"/>
                    </w:rPr>
                    <w:t>，</w:t>
                  </w:r>
                  <w:r>
                    <w:rPr>
                      <w:rFonts w:hint="eastAsia" w:eastAsiaTheme="minorEastAsia"/>
                      <w:lang w:val="en-US" w:eastAsia="zh-CN"/>
                    </w:rPr>
                    <w:t>属于鼓励类项目。</w:t>
                  </w:r>
                </w:p>
                <w:p w14:paraId="5D014D8E">
                  <w:pPr>
                    <w:tabs>
                      <w:tab w:val="left" w:pos="1021"/>
                    </w:tabs>
                    <w:adjustRightInd w:val="0"/>
                    <w:spacing w:line="260" w:lineRule="exact"/>
                    <w:rPr>
                      <w:rFonts w:hint="eastAsia"/>
                      <w:lang w:bidi="ar"/>
                    </w:rPr>
                  </w:pPr>
                  <w:r>
                    <w:rPr>
                      <w:rFonts w:hint="eastAsia"/>
                      <w:lang w:val="en-US" w:eastAsia="zh-CN" w:bidi="ar"/>
                    </w:rPr>
                    <w:t>2.本项目为公路改扩建工程，不可避让占用部分草地，不存在樵采的情况，项目建成的同时，加强绿化，在公路两侧种植大量防护林，控制水土流失</w:t>
                  </w:r>
                  <w:r>
                    <w:rPr>
                      <w:rFonts w:hint="eastAsia"/>
                      <w:lang w:bidi="ar"/>
                    </w:rPr>
                    <w:t>。</w:t>
                  </w:r>
                </w:p>
                <w:p w14:paraId="51D799A3">
                  <w:pPr>
                    <w:tabs>
                      <w:tab w:val="left" w:pos="1021"/>
                    </w:tabs>
                    <w:adjustRightInd w:val="0"/>
                    <w:spacing w:line="260" w:lineRule="exact"/>
                    <w:rPr>
                      <w:rFonts w:hint="eastAsia"/>
                      <w:lang w:val="en-US" w:eastAsia="zh-CN" w:bidi="ar"/>
                    </w:rPr>
                  </w:pPr>
                  <w:r>
                    <w:rPr>
                      <w:rFonts w:hint="eastAsia"/>
                      <w:lang w:val="en-US" w:eastAsia="zh-CN" w:bidi="ar"/>
                    </w:rPr>
                    <w:t>3.本项目为公路改扩建工程，沿线不涉及在上述区域进行煤炭、石油、天然气的开发。</w:t>
                  </w:r>
                </w:p>
                <w:p w14:paraId="20983AC5">
                  <w:pPr>
                    <w:tabs>
                      <w:tab w:val="left" w:pos="1021"/>
                    </w:tabs>
                    <w:adjustRightInd w:val="0"/>
                    <w:spacing w:line="260" w:lineRule="exact"/>
                    <w:rPr>
                      <w:rFonts w:hint="eastAsia"/>
                      <w:lang w:val="en-US" w:eastAsia="zh-CN" w:bidi="ar"/>
                    </w:rPr>
                  </w:pPr>
                  <w:r>
                    <w:rPr>
                      <w:rFonts w:hint="eastAsia"/>
                      <w:lang w:val="en-US" w:eastAsia="zh-CN" w:bidi="ar"/>
                    </w:rPr>
                    <w:t>4.本项目为公路改扩建工程，不属于淘汰类、禁止类项目。经调查，项目不占用生态保护红线、永久基本农田。</w:t>
                  </w:r>
                </w:p>
                <w:p w14:paraId="190C5CAB">
                  <w:pPr>
                    <w:tabs>
                      <w:tab w:val="left" w:pos="1021"/>
                    </w:tabs>
                    <w:adjustRightInd w:val="0"/>
                    <w:spacing w:line="260" w:lineRule="exact"/>
                    <w:rPr>
                      <w:rFonts w:hint="eastAsia"/>
                      <w:lang w:val="en-US" w:eastAsia="zh-CN" w:bidi="ar"/>
                    </w:rPr>
                  </w:pPr>
                  <w:r>
                    <w:rPr>
                      <w:rFonts w:hint="eastAsia"/>
                      <w:lang w:val="en-US" w:eastAsia="zh-CN" w:bidi="ar"/>
                    </w:rPr>
                    <w:t>5.本项目为公路改扩建项目，不生产有毒有害物质，危化品车辆事故发生时可能会产生有毒有害位置泄漏，项目临近水源保护区路段设置径流收集系统，全线设置边沟并具有完善的应急救援体系，不会对土壤及地下水产生威胁。</w:t>
                  </w:r>
                </w:p>
                <w:p w14:paraId="410403AD">
                  <w:pPr>
                    <w:tabs>
                      <w:tab w:val="left" w:pos="1021"/>
                    </w:tabs>
                    <w:adjustRightInd w:val="0"/>
                    <w:spacing w:line="260" w:lineRule="exact"/>
                    <w:rPr>
                      <w:rFonts w:hint="default"/>
                      <w:lang w:val="en-US" w:eastAsia="zh-CN" w:bidi="ar"/>
                    </w:rPr>
                  </w:pPr>
                  <w:r>
                    <w:rPr>
                      <w:rFonts w:hint="eastAsia"/>
                      <w:lang w:val="en-US" w:eastAsia="zh-CN" w:bidi="ar"/>
                    </w:rPr>
                    <w:t>6.本项目符合国家、新疆维吾尔自治区主体功能区划，符合自治区各地颁布实施的国土空间规划、重点生态功能区负面清单，此外项目符合国家及自治区路网规划要求。</w:t>
                  </w:r>
                </w:p>
              </w:tc>
              <w:tc>
                <w:tcPr>
                  <w:tcW w:w="501" w:type="pct"/>
                  <w:vAlign w:val="center"/>
                </w:tcPr>
                <w:p w14:paraId="3240684E">
                  <w:pPr>
                    <w:tabs>
                      <w:tab w:val="left" w:pos="1021"/>
                    </w:tabs>
                    <w:adjustRightInd w:val="0"/>
                    <w:spacing w:line="260" w:lineRule="exact"/>
                    <w:jc w:val="center"/>
                  </w:pPr>
                  <w:r>
                    <w:rPr>
                      <w:lang w:bidi="ar"/>
                    </w:rPr>
                    <w:t>符合</w:t>
                  </w:r>
                </w:p>
              </w:tc>
            </w:tr>
            <w:tr w14:paraId="31034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99" w:hRule="atLeast"/>
                <w:jc w:val="center"/>
              </w:trPr>
              <w:tc>
                <w:tcPr>
                  <w:tcW w:w="778" w:type="pct"/>
                  <w:vAlign w:val="center"/>
                </w:tcPr>
                <w:p w14:paraId="28BE20AB">
                  <w:pPr>
                    <w:widowControl/>
                    <w:adjustRightInd w:val="0"/>
                    <w:spacing w:line="260" w:lineRule="exact"/>
                    <w:jc w:val="center"/>
                  </w:pPr>
                  <w:r>
                    <w:rPr>
                      <w:lang w:bidi="ar"/>
                    </w:rPr>
                    <w:t>污染物排放管控</w:t>
                  </w:r>
                </w:p>
              </w:tc>
              <w:tc>
                <w:tcPr>
                  <w:tcW w:w="1813" w:type="pct"/>
                  <w:gridSpan w:val="2"/>
                  <w:vAlign w:val="center"/>
                </w:tcPr>
                <w:p w14:paraId="1FEBF2B0">
                  <w:pPr>
                    <w:pStyle w:val="20"/>
                    <w:widowControl w:val="0"/>
                    <w:autoSpaceDE w:val="0"/>
                    <w:autoSpaceDN w:val="0"/>
                    <w:adjustRightInd w:val="0"/>
                    <w:spacing w:before="0" w:beforeAutospacing="0" w:after="0" w:afterAutospacing="0" w:line="260" w:lineRule="exact"/>
                    <w:jc w:val="both"/>
                    <w:rPr>
                      <w:rFonts w:ascii="Times New Roman" w:hAnsi="Times New Roman"/>
                      <w:kern w:val="2"/>
                      <w:sz w:val="21"/>
                      <w:lang w:bidi="ar"/>
                    </w:rPr>
                  </w:pPr>
                  <w:r>
                    <w:rPr>
                      <w:rFonts w:ascii="Times New Roman" w:hAnsi="Times New Roman"/>
                      <w:kern w:val="2"/>
                      <w:sz w:val="21"/>
                      <w:lang w:bidi="ar"/>
                    </w:rPr>
                    <w:t>1.</w:t>
                  </w:r>
                  <w:r>
                    <w:rPr>
                      <w:rFonts w:hint="eastAsia" w:ascii="Times New Roman" w:hAnsi="Times New Roman"/>
                      <w:kern w:val="2"/>
                      <w:sz w:val="21"/>
                      <w:lang w:bidi="ar"/>
                    </w:rPr>
                    <w:t>新、改、扩建重点行业建设项目应符合“三线一单”、产业政策、区域环评、规划环评和行业环境准入管控要求。新、改、扩建高耗能、高排放项目执行污染物区域削减替代</w:t>
                  </w:r>
                  <w:r>
                    <w:rPr>
                      <w:rFonts w:ascii="Times New Roman" w:hAnsi="Times New Roman"/>
                      <w:kern w:val="2"/>
                      <w:sz w:val="21"/>
                      <w:lang w:bidi="ar"/>
                    </w:rPr>
                    <w:t xml:space="preserve">。 </w:t>
                  </w:r>
                </w:p>
                <w:p w14:paraId="5417009D">
                  <w:pPr>
                    <w:pStyle w:val="20"/>
                    <w:widowControl w:val="0"/>
                    <w:autoSpaceDE w:val="0"/>
                    <w:autoSpaceDN w:val="0"/>
                    <w:adjustRightInd w:val="0"/>
                    <w:spacing w:before="0" w:beforeAutospacing="0" w:after="0" w:afterAutospacing="0" w:line="260" w:lineRule="exact"/>
                    <w:jc w:val="both"/>
                    <w:rPr>
                      <w:rFonts w:ascii="Times New Roman" w:hAnsi="Times New Roman"/>
                      <w:kern w:val="2"/>
                      <w:sz w:val="21"/>
                      <w:lang w:bidi="ar"/>
                    </w:rPr>
                  </w:pPr>
                  <w:r>
                    <w:rPr>
                      <w:rFonts w:ascii="Times New Roman" w:hAnsi="Times New Roman"/>
                      <w:kern w:val="2"/>
                      <w:sz w:val="21"/>
                      <w:lang w:bidi="ar"/>
                    </w:rPr>
                    <w:t>2.</w:t>
                  </w:r>
                  <w:r>
                    <w:rPr>
                      <w:rFonts w:hint="eastAsia" w:ascii="Times New Roman" w:hAnsi="Times New Roman"/>
                      <w:kern w:val="2"/>
                      <w:sz w:val="21"/>
                      <w:lang w:bidi="ar"/>
                    </w:rPr>
                    <w:t>通过政策激励、提升标准、鼓励先进等手段，推动重点行业企业开展减污降碳试点工作。鼓励引导企业采取工艺改进、能源替代、节能提效、综合治理等措施，实现生产过程中大气、水和固体废物等多种污染物以及温室气体大幅减排，显著提升环境治理绩效，实现污染物和碳排放均达到行业先进水平</w:t>
                  </w:r>
                  <w:r>
                    <w:rPr>
                      <w:rFonts w:ascii="Times New Roman" w:hAnsi="Times New Roman"/>
                      <w:kern w:val="2"/>
                      <w:sz w:val="21"/>
                      <w:lang w:bidi="ar"/>
                    </w:rPr>
                    <w:t xml:space="preserve">。 </w:t>
                  </w:r>
                </w:p>
                <w:p w14:paraId="73D63742">
                  <w:pPr>
                    <w:pStyle w:val="20"/>
                    <w:widowControl w:val="0"/>
                    <w:autoSpaceDE w:val="0"/>
                    <w:autoSpaceDN w:val="0"/>
                    <w:adjustRightInd w:val="0"/>
                    <w:spacing w:before="0" w:beforeAutospacing="0" w:after="0" w:afterAutospacing="0" w:line="260" w:lineRule="exact"/>
                    <w:jc w:val="both"/>
                    <w:rPr>
                      <w:rFonts w:hint="eastAsia" w:ascii="Times New Roman" w:hAnsi="Times New Roman"/>
                      <w:kern w:val="2"/>
                      <w:sz w:val="21"/>
                      <w:lang w:bidi="ar"/>
                    </w:rPr>
                  </w:pPr>
                  <w:r>
                    <w:rPr>
                      <w:rFonts w:ascii="Times New Roman" w:hAnsi="Times New Roman"/>
                      <w:kern w:val="2"/>
                      <w:sz w:val="21"/>
                      <w:lang w:bidi="ar"/>
                    </w:rPr>
                    <w:t>3.</w:t>
                  </w:r>
                  <w:r>
                    <w:rPr>
                      <w:rFonts w:hint="eastAsia" w:ascii="Times New Roman" w:hAnsi="Times New Roman"/>
                      <w:kern w:val="2"/>
                      <w:sz w:val="21"/>
                      <w:lang w:bidi="ar"/>
                    </w:rPr>
                    <w:t>加强扬尘综合治理，严格施工扬尘监管，提高低尘机械化作业水平。全面推行绿色施工，城市建成区建筑工地扬尘防控标准化管理全覆盖。</w:t>
                  </w:r>
                </w:p>
                <w:p w14:paraId="0F1CA021">
                  <w:pPr>
                    <w:pStyle w:val="20"/>
                    <w:widowControl w:val="0"/>
                    <w:autoSpaceDE w:val="0"/>
                    <w:autoSpaceDN w:val="0"/>
                    <w:adjustRightInd w:val="0"/>
                    <w:spacing w:before="0" w:beforeAutospacing="0" w:after="0" w:afterAutospacing="0" w:line="260" w:lineRule="exact"/>
                    <w:jc w:val="both"/>
                    <w:rPr>
                      <w:rFonts w:hint="default" w:ascii="Times New Roman" w:hAnsi="Times New Roman" w:eastAsia="宋体"/>
                      <w:kern w:val="2"/>
                      <w:sz w:val="21"/>
                      <w:lang w:val="en-US" w:eastAsia="zh-CN" w:bidi="ar"/>
                    </w:rPr>
                  </w:pPr>
                  <w:r>
                    <w:rPr>
                      <w:rFonts w:hint="eastAsia" w:ascii="Times New Roman" w:hAnsi="Times New Roman"/>
                      <w:kern w:val="2"/>
                      <w:sz w:val="21"/>
                      <w:lang w:val="en-US" w:eastAsia="zh-CN" w:bidi="ar"/>
                    </w:rPr>
                    <w:t>4.严格渣土运输车辆密闭覆盖，加强道路清扫保洁和洒水抑尘，控制道路交通扬尘污染。</w:t>
                  </w:r>
                </w:p>
              </w:tc>
              <w:tc>
                <w:tcPr>
                  <w:tcW w:w="1907" w:type="pct"/>
                  <w:gridSpan w:val="2"/>
                  <w:vAlign w:val="center"/>
                </w:tcPr>
                <w:p w14:paraId="28088CB1">
                  <w:pPr>
                    <w:tabs>
                      <w:tab w:val="left" w:pos="1021"/>
                    </w:tabs>
                    <w:adjustRightInd w:val="0"/>
                    <w:spacing w:line="260" w:lineRule="exact"/>
                    <w:jc w:val="both"/>
                    <w:rPr>
                      <w:rFonts w:hint="default" w:eastAsia="宋体"/>
                      <w:lang w:val="en-US" w:eastAsia="zh-CN" w:bidi="ar"/>
                    </w:rPr>
                  </w:pPr>
                  <w:r>
                    <w:rPr>
                      <w:rFonts w:hint="eastAsia"/>
                      <w:lang w:bidi="ar"/>
                    </w:rPr>
                    <w:t>1.</w:t>
                  </w:r>
                  <w:r>
                    <w:rPr>
                      <w:rFonts w:hint="eastAsia"/>
                      <w:lang w:val="en-US" w:eastAsia="zh-CN" w:bidi="ar"/>
                    </w:rPr>
                    <w:t>本项目为公路改扩建项目，符合沿线“三线一单”、产业政策、路网规划环评和准入清单要求</w:t>
                  </w:r>
                  <w:r>
                    <w:rPr>
                      <w:rFonts w:hint="eastAsia"/>
                      <w:lang w:bidi="ar"/>
                    </w:rPr>
                    <w:t>。</w:t>
                  </w:r>
                  <w:r>
                    <w:rPr>
                      <w:rFonts w:hint="eastAsia"/>
                      <w:lang w:val="en-US" w:eastAsia="zh-CN" w:bidi="ar"/>
                    </w:rPr>
                    <w:t>本项目不属于高耗能、高排放项目。</w:t>
                  </w:r>
                </w:p>
                <w:p w14:paraId="4054DF5A">
                  <w:pPr>
                    <w:tabs>
                      <w:tab w:val="left" w:pos="1021"/>
                    </w:tabs>
                    <w:adjustRightInd w:val="0"/>
                    <w:spacing w:line="260" w:lineRule="exact"/>
                    <w:jc w:val="both"/>
                    <w:rPr>
                      <w:lang w:bidi="ar"/>
                    </w:rPr>
                  </w:pPr>
                  <w:r>
                    <w:rPr>
                      <w:rFonts w:hint="eastAsia"/>
                    </w:rPr>
                    <w:t>2.</w:t>
                  </w:r>
                  <w:r>
                    <w:rPr>
                      <w:rFonts w:hint="eastAsia"/>
                      <w:lang w:val="en-US" w:eastAsia="zh-CN"/>
                    </w:rPr>
                    <w:t>本项目采用新工艺、清洁能源与节能方案，综合治理水、气、固废污染，同步管控碳排放，对标行业先进水平实现“双减”排提质效</w:t>
                  </w:r>
                  <w:r>
                    <w:rPr>
                      <w:rFonts w:hint="eastAsia"/>
                      <w:lang w:bidi="ar"/>
                    </w:rPr>
                    <w:t>。</w:t>
                  </w:r>
                </w:p>
                <w:p w14:paraId="06C1CDF6">
                  <w:pPr>
                    <w:tabs>
                      <w:tab w:val="left" w:pos="1021"/>
                    </w:tabs>
                    <w:adjustRightInd w:val="0"/>
                    <w:spacing w:line="260" w:lineRule="exact"/>
                    <w:jc w:val="both"/>
                    <w:rPr>
                      <w:rFonts w:hint="eastAsia"/>
                      <w:lang w:bidi="ar"/>
                    </w:rPr>
                  </w:pPr>
                  <w:r>
                    <w:rPr>
                      <w:rFonts w:hint="eastAsia"/>
                      <w:lang w:bidi="ar"/>
                    </w:rPr>
                    <w:t>3.</w:t>
                  </w:r>
                  <w:r>
                    <w:rPr>
                      <w:rFonts w:hint="eastAsia"/>
                      <w:lang w:val="en-US" w:eastAsia="zh-CN" w:bidi="ar"/>
                    </w:rPr>
                    <w:t>本项目采用低尘机械作业，优化土石方开挖、沥青拌合、物料转运工艺，施工区域封闭围挡，物料堆场、施工裸露面进行遮盖，配套喷淋雾炮、车辆冲洗平台，渣土密闭运输，对施工场地进行智能管控，布设扬尘在线监测设备，并落实三方巡查，全线推行绿色施工</w:t>
                  </w:r>
                  <w:r>
                    <w:rPr>
                      <w:rFonts w:hint="eastAsia"/>
                      <w:lang w:bidi="ar"/>
                    </w:rPr>
                    <w:t>。</w:t>
                  </w:r>
                </w:p>
                <w:p w14:paraId="38B8CDEB">
                  <w:pPr>
                    <w:tabs>
                      <w:tab w:val="left" w:pos="1021"/>
                    </w:tabs>
                    <w:adjustRightInd w:val="0"/>
                    <w:spacing w:line="260" w:lineRule="exact"/>
                    <w:jc w:val="both"/>
                    <w:rPr>
                      <w:rFonts w:hint="default" w:eastAsia="宋体"/>
                      <w:lang w:val="en-US" w:eastAsia="zh-CN" w:bidi="ar"/>
                    </w:rPr>
                  </w:pPr>
                  <w:r>
                    <w:rPr>
                      <w:rFonts w:hint="eastAsia"/>
                      <w:lang w:val="en-US" w:eastAsia="zh-CN" w:bidi="ar"/>
                    </w:rPr>
                    <w:t>4.施工过程中指定运输路线，运输渣土的车辆实行密闭运输，并对运输路线进行定期清扫并实行洒水抑尘措施，控制道路扬尘污染。</w:t>
                  </w:r>
                </w:p>
              </w:tc>
              <w:tc>
                <w:tcPr>
                  <w:tcW w:w="501" w:type="pct"/>
                  <w:vAlign w:val="center"/>
                </w:tcPr>
                <w:p w14:paraId="20FFFDCF">
                  <w:pPr>
                    <w:tabs>
                      <w:tab w:val="left" w:pos="1021"/>
                    </w:tabs>
                    <w:adjustRightInd w:val="0"/>
                    <w:spacing w:line="260" w:lineRule="exact"/>
                    <w:jc w:val="center"/>
                  </w:pPr>
                  <w:r>
                    <w:rPr>
                      <w:lang w:bidi="ar"/>
                    </w:rPr>
                    <w:t>符合</w:t>
                  </w:r>
                </w:p>
              </w:tc>
            </w:tr>
            <w:tr w14:paraId="51AD9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99" w:hRule="atLeast"/>
                <w:jc w:val="center"/>
              </w:trPr>
              <w:tc>
                <w:tcPr>
                  <w:tcW w:w="778" w:type="pct"/>
                  <w:vAlign w:val="center"/>
                </w:tcPr>
                <w:p w14:paraId="4D33AC84">
                  <w:pPr>
                    <w:widowControl/>
                    <w:adjustRightInd w:val="0"/>
                    <w:jc w:val="center"/>
                  </w:pPr>
                  <w:r>
                    <w:rPr>
                      <w:lang w:bidi="ar"/>
                    </w:rPr>
                    <w:t>环境风险防控</w:t>
                  </w:r>
                </w:p>
              </w:tc>
              <w:tc>
                <w:tcPr>
                  <w:tcW w:w="1813" w:type="pct"/>
                  <w:gridSpan w:val="2"/>
                  <w:vAlign w:val="center"/>
                </w:tcPr>
                <w:p w14:paraId="723B36BC">
                  <w:pPr>
                    <w:pStyle w:val="20"/>
                    <w:widowControl w:val="0"/>
                    <w:autoSpaceDE w:val="0"/>
                    <w:autoSpaceDN w:val="0"/>
                    <w:adjustRightInd w:val="0"/>
                    <w:spacing w:before="0" w:beforeAutospacing="0" w:after="0" w:afterAutospacing="0"/>
                    <w:rPr>
                      <w:rFonts w:ascii="Times New Roman" w:hAnsi="Times New Roman"/>
                      <w:kern w:val="2"/>
                      <w:sz w:val="21"/>
                      <w:lang w:bidi="ar"/>
                    </w:rPr>
                  </w:pPr>
                  <w:r>
                    <w:rPr>
                      <w:rFonts w:ascii="Times New Roman" w:hAnsi="Times New Roman"/>
                      <w:kern w:val="2"/>
                      <w:sz w:val="21"/>
                      <w:lang w:bidi="ar"/>
                    </w:rPr>
                    <w:t>1.</w:t>
                  </w:r>
                  <w:r>
                    <w:rPr>
                      <w:rFonts w:hint="eastAsia" w:ascii="Times New Roman" w:hAnsi="Times New Roman"/>
                      <w:kern w:val="2"/>
                      <w:sz w:val="21"/>
                      <w:lang w:bidi="ar"/>
                    </w:rPr>
                    <w:t>加强全州集中式饮用水水源地环境保护力度，实行最严格的饮用水水源保护区管理制度，推进饮用水水源规范化建设。依法清理饮用水水源保护区内违法建筑和排污口</w:t>
                  </w:r>
                  <w:r>
                    <w:rPr>
                      <w:rFonts w:ascii="Times New Roman" w:hAnsi="Times New Roman"/>
                      <w:kern w:val="2"/>
                      <w:sz w:val="21"/>
                      <w:lang w:bidi="ar"/>
                    </w:rPr>
                    <w:t xml:space="preserve">。 </w:t>
                  </w:r>
                </w:p>
                <w:p w14:paraId="618FCD36">
                  <w:pPr>
                    <w:pStyle w:val="20"/>
                    <w:widowControl w:val="0"/>
                    <w:autoSpaceDE w:val="0"/>
                    <w:autoSpaceDN w:val="0"/>
                    <w:adjustRightInd w:val="0"/>
                    <w:spacing w:before="0" w:beforeAutospacing="0" w:after="0" w:afterAutospacing="0"/>
                    <w:rPr>
                      <w:rFonts w:ascii="Times New Roman" w:hAnsi="Times New Roman"/>
                      <w:kern w:val="2"/>
                      <w:sz w:val="21"/>
                    </w:rPr>
                  </w:pPr>
                  <w:r>
                    <w:rPr>
                      <w:rFonts w:ascii="Times New Roman" w:hAnsi="Times New Roman"/>
                      <w:kern w:val="2"/>
                      <w:sz w:val="21"/>
                      <w:lang w:bidi="ar"/>
                    </w:rPr>
                    <w:t>2.</w:t>
                  </w:r>
                  <w:r>
                    <w:rPr>
                      <w:rFonts w:hint="eastAsia" w:ascii="Times New Roman" w:hAnsi="Times New Roman"/>
                      <w:kern w:val="2"/>
                      <w:sz w:val="21"/>
                      <w:lang w:bidi="ar"/>
                    </w:rPr>
                    <w:t>加强涉危险废物企业、涉重金属企业、化工园区、集中式饮用水水源地及重点流域环境风险调查评估，实施分类分级风险管控，协同推进重点区域、流域生态环境污染综合防治、风险防控与生态修复，形成一批生态环境综合整治和风险防控示范工程，在环境高风险领域建立环境污染强制责任保险制度。推动重要水源地水质在线生物预警系统建设。</w:t>
                  </w:r>
                </w:p>
              </w:tc>
              <w:tc>
                <w:tcPr>
                  <w:tcW w:w="1907" w:type="pct"/>
                  <w:gridSpan w:val="2"/>
                  <w:vAlign w:val="center"/>
                </w:tcPr>
                <w:p w14:paraId="77F1EEBE">
                  <w:pPr>
                    <w:tabs>
                      <w:tab w:val="left" w:pos="1021"/>
                    </w:tabs>
                    <w:adjustRightInd w:val="0"/>
                    <w:jc w:val="left"/>
                    <w:rPr>
                      <w:lang w:bidi="ar"/>
                    </w:rPr>
                  </w:pPr>
                  <w:r>
                    <w:rPr>
                      <w:rFonts w:hint="eastAsia"/>
                      <w:lang w:bidi="ar"/>
                    </w:rPr>
                    <w:t>1.本项目</w:t>
                  </w:r>
                  <w:r>
                    <w:rPr>
                      <w:rFonts w:hint="eastAsia"/>
                      <w:lang w:val="en-US" w:eastAsia="zh-CN" w:bidi="ar"/>
                    </w:rPr>
                    <w:t>沿线不涉及水源保护区，对于临近水源保护区的路段采取路面径流收集措施，不在水源保护区范围内设置排污口。</w:t>
                  </w:r>
                </w:p>
                <w:p w14:paraId="4417DA37">
                  <w:pPr>
                    <w:tabs>
                      <w:tab w:val="left" w:pos="1021"/>
                    </w:tabs>
                    <w:adjustRightInd w:val="0"/>
                    <w:jc w:val="left"/>
                    <w:rPr>
                      <w:rFonts w:hint="default" w:eastAsia="宋体"/>
                      <w:lang w:val="en-US" w:eastAsia="zh-CN"/>
                    </w:rPr>
                  </w:pPr>
                  <w:r>
                    <w:rPr>
                      <w:rFonts w:hint="eastAsia"/>
                    </w:rPr>
                    <w:t>2.</w:t>
                  </w:r>
                  <w:r>
                    <w:rPr>
                      <w:rFonts w:hint="eastAsia"/>
                      <w:lang w:val="en-US" w:eastAsia="zh-CN"/>
                    </w:rPr>
                    <w:t>本项目不生产危险废物，运输危化品的车辆发生事故时，可能会发生危化品泄漏风险</w:t>
                  </w:r>
                  <w:r>
                    <w:rPr>
                      <w:rFonts w:hint="eastAsia"/>
                    </w:rPr>
                    <w:t>。</w:t>
                  </w:r>
                  <w:r>
                    <w:rPr>
                      <w:rFonts w:hint="eastAsia"/>
                      <w:lang w:val="en-US" w:eastAsia="zh-CN"/>
                    </w:rPr>
                    <w:t>本项目运营期间将制定危化品车辆突发环境事故应急预案，并与当地政府进行联动，落实责任单位，对突发环境风险事故有效开展救援工作。</w:t>
                  </w:r>
                </w:p>
              </w:tc>
              <w:tc>
                <w:tcPr>
                  <w:tcW w:w="501" w:type="pct"/>
                  <w:vAlign w:val="center"/>
                </w:tcPr>
                <w:p w14:paraId="78CE10D7">
                  <w:pPr>
                    <w:tabs>
                      <w:tab w:val="left" w:pos="1021"/>
                    </w:tabs>
                    <w:adjustRightInd w:val="0"/>
                    <w:jc w:val="center"/>
                  </w:pPr>
                  <w:r>
                    <w:rPr>
                      <w:lang w:bidi="ar"/>
                    </w:rPr>
                    <w:t>符合</w:t>
                  </w:r>
                </w:p>
              </w:tc>
            </w:tr>
            <w:tr w14:paraId="5F4D6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99" w:hRule="atLeast"/>
                <w:jc w:val="center"/>
              </w:trPr>
              <w:tc>
                <w:tcPr>
                  <w:tcW w:w="778" w:type="pct"/>
                  <w:vAlign w:val="center"/>
                </w:tcPr>
                <w:p w14:paraId="3C29C8D6">
                  <w:pPr>
                    <w:widowControl/>
                    <w:adjustRightInd w:val="0"/>
                    <w:jc w:val="center"/>
                    <w:rPr>
                      <w:rFonts w:hint="default" w:eastAsia="宋体"/>
                      <w:lang w:val="en-US" w:eastAsia="zh-CN"/>
                    </w:rPr>
                  </w:pPr>
                  <w:r>
                    <w:rPr>
                      <w:lang w:bidi="ar"/>
                    </w:rPr>
                    <w:t>资源</w:t>
                  </w:r>
                  <w:r>
                    <w:rPr>
                      <w:rFonts w:hint="eastAsia"/>
                      <w:lang w:val="en-US" w:eastAsia="zh-CN" w:bidi="ar"/>
                    </w:rPr>
                    <w:t>利用效率</w:t>
                  </w:r>
                </w:p>
              </w:tc>
              <w:tc>
                <w:tcPr>
                  <w:tcW w:w="1813" w:type="pct"/>
                  <w:gridSpan w:val="2"/>
                  <w:vAlign w:val="center"/>
                </w:tcPr>
                <w:p w14:paraId="09AFB828">
                  <w:pPr>
                    <w:pStyle w:val="20"/>
                    <w:widowControl w:val="0"/>
                    <w:autoSpaceDE w:val="0"/>
                    <w:autoSpaceDN w:val="0"/>
                    <w:adjustRightInd w:val="0"/>
                    <w:spacing w:before="0" w:beforeAutospacing="0" w:after="0" w:afterAutospacing="0"/>
                    <w:jc w:val="left"/>
                    <w:rPr>
                      <w:rFonts w:hint="eastAsia" w:ascii="Times New Roman" w:hAnsi="Times New Roman"/>
                      <w:kern w:val="2"/>
                      <w:sz w:val="21"/>
                      <w:lang w:eastAsia="zh-CN" w:bidi="ar"/>
                    </w:rPr>
                  </w:pPr>
                  <w:r>
                    <w:rPr>
                      <w:rFonts w:hint="eastAsia" w:ascii="Times New Roman" w:hAnsi="Times New Roman"/>
                      <w:kern w:val="2"/>
                      <w:sz w:val="21"/>
                      <w:lang w:val="en-US" w:eastAsia="zh-CN" w:bidi="ar"/>
                    </w:rPr>
                    <w:t>1.</w:t>
                  </w:r>
                  <w:r>
                    <w:rPr>
                      <w:rFonts w:hint="eastAsia" w:ascii="Times New Roman" w:hAnsi="Times New Roman"/>
                      <w:kern w:val="2"/>
                      <w:sz w:val="21"/>
                      <w:lang w:bidi="ar"/>
                    </w:rPr>
                    <w:t>加强固体废物源头减量、资源化利用和无害化处置，最大限度减少填埋量</w:t>
                  </w:r>
                  <w:r>
                    <w:rPr>
                      <w:rFonts w:hint="eastAsia" w:ascii="Times New Roman" w:hAnsi="Times New Roman"/>
                      <w:kern w:val="2"/>
                      <w:sz w:val="21"/>
                      <w:lang w:eastAsia="zh-CN" w:bidi="ar"/>
                    </w:rPr>
                    <w:t>。</w:t>
                  </w:r>
                </w:p>
                <w:p w14:paraId="1C385F8B">
                  <w:pPr>
                    <w:pStyle w:val="20"/>
                    <w:widowControl w:val="0"/>
                    <w:autoSpaceDE w:val="0"/>
                    <w:autoSpaceDN w:val="0"/>
                    <w:adjustRightInd w:val="0"/>
                    <w:spacing w:before="0" w:beforeAutospacing="0" w:after="0" w:afterAutospacing="0"/>
                    <w:jc w:val="left"/>
                    <w:rPr>
                      <w:rFonts w:hint="default" w:ascii="Times New Roman" w:hAnsi="Times New Roman"/>
                      <w:kern w:val="2"/>
                      <w:sz w:val="21"/>
                      <w:lang w:val="en-US" w:eastAsia="zh-CN" w:bidi="ar"/>
                    </w:rPr>
                  </w:pPr>
                  <w:r>
                    <w:rPr>
                      <w:rFonts w:hint="eastAsia" w:ascii="Times New Roman" w:hAnsi="Times New Roman"/>
                      <w:kern w:val="2"/>
                      <w:sz w:val="21"/>
                      <w:lang w:val="en-US" w:eastAsia="zh-CN" w:bidi="ar"/>
                    </w:rPr>
                    <w:t>2.严格落实“三区三线”，明晰生态、农业、城镇三类空间及生态保护红线、永久基本农田、城镇开发边界三条控制线。合理确定新增建设用地规模，严格控制建设项目土地使用标准，提高资源利用效率。</w:t>
                  </w:r>
                </w:p>
              </w:tc>
              <w:tc>
                <w:tcPr>
                  <w:tcW w:w="1907" w:type="pct"/>
                  <w:gridSpan w:val="2"/>
                  <w:vAlign w:val="center"/>
                </w:tcPr>
                <w:p w14:paraId="74397572">
                  <w:pPr>
                    <w:tabs>
                      <w:tab w:val="left" w:pos="1021"/>
                    </w:tabs>
                    <w:adjustRightInd w:val="0"/>
                    <w:jc w:val="left"/>
                    <w:rPr>
                      <w:rFonts w:hint="eastAsia"/>
                      <w:lang w:val="en-US" w:eastAsia="zh-CN" w:bidi="ar"/>
                    </w:rPr>
                  </w:pPr>
                  <w:r>
                    <w:rPr>
                      <w:rFonts w:hint="eastAsia"/>
                      <w:lang w:val="en-US" w:eastAsia="zh-CN" w:bidi="ar"/>
                    </w:rPr>
                    <w:t>1.本项目产生的固体废物尽可能回收利用，无法利用的运至当地指定地点或弃渣场进行处置。</w:t>
                  </w:r>
                </w:p>
                <w:p w14:paraId="5D285D3F">
                  <w:pPr>
                    <w:tabs>
                      <w:tab w:val="left" w:pos="1021"/>
                    </w:tabs>
                    <w:adjustRightInd w:val="0"/>
                    <w:jc w:val="left"/>
                    <w:rPr>
                      <w:rFonts w:hint="default"/>
                      <w:lang w:val="en-US" w:eastAsia="zh-CN" w:bidi="ar"/>
                    </w:rPr>
                  </w:pPr>
                  <w:r>
                    <w:rPr>
                      <w:rFonts w:hint="eastAsia"/>
                      <w:lang w:val="en-US" w:eastAsia="zh-CN" w:bidi="ar"/>
                    </w:rPr>
                    <w:t>2.本项目在选址选线过程严格落实“三区三线”，做到不与</w:t>
                  </w:r>
                  <w:r>
                    <w:rPr>
                      <w:rFonts w:hint="eastAsia" w:ascii="Times New Roman" w:hAnsi="Times New Roman"/>
                      <w:kern w:val="2"/>
                      <w:sz w:val="21"/>
                      <w:lang w:val="en-US" w:eastAsia="zh-CN" w:bidi="ar"/>
                    </w:rPr>
                    <w:t>生态、农业、城镇三类空间及生态保护红线、永久基本农田、城镇开发边界三条控制线</w:t>
                  </w:r>
                  <w:r>
                    <w:rPr>
                      <w:rFonts w:hint="eastAsia"/>
                      <w:kern w:val="2"/>
                      <w:sz w:val="21"/>
                      <w:lang w:val="en-US" w:eastAsia="zh-CN" w:bidi="ar"/>
                    </w:rPr>
                    <w:t>相冲突。项目完全沿老路进行改扩建，严格遵照行业用地指标控制占地规模，不占基本农田。</w:t>
                  </w:r>
                </w:p>
              </w:tc>
              <w:tc>
                <w:tcPr>
                  <w:tcW w:w="501" w:type="pct"/>
                  <w:vAlign w:val="center"/>
                </w:tcPr>
                <w:p w14:paraId="768A8A3A">
                  <w:pPr>
                    <w:tabs>
                      <w:tab w:val="left" w:pos="1021"/>
                    </w:tabs>
                    <w:adjustRightInd w:val="0"/>
                    <w:jc w:val="center"/>
                  </w:pPr>
                  <w:r>
                    <w:rPr>
                      <w:lang w:bidi="ar"/>
                    </w:rPr>
                    <w:t>符合</w:t>
                  </w:r>
                </w:p>
              </w:tc>
            </w:tr>
          </w:tbl>
          <w:p w14:paraId="15C3D8E9">
            <w:pPr>
              <w:keepNext w:val="0"/>
              <w:keepLines w:val="0"/>
              <w:pageBreakBefore w:val="0"/>
              <w:widowControl w:val="0"/>
              <w:kinsoku/>
              <w:wordWrap/>
              <w:overflowPunct/>
              <w:topLinePunct w:val="0"/>
              <w:autoSpaceDE/>
              <w:autoSpaceDN/>
              <w:bidi w:val="0"/>
              <w:adjustRightInd/>
              <w:snapToGrid/>
              <w:spacing w:before="313" w:beforeLines="100" w:line="300" w:lineRule="auto"/>
              <w:ind w:right="12" w:rightChars="6" w:firstLine="480" w:firstLineChars="200"/>
              <w:textAlignment w:val="auto"/>
              <w:rPr>
                <w:rFonts w:hint="eastAsia" w:hAnsi="宋体"/>
                <w:kern w:val="0"/>
                <w:sz w:val="24"/>
                <w:szCs w:val="24"/>
              </w:rPr>
            </w:pPr>
            <w:r>
              <w:rPr>
                <w:rFonts w:hint="default" w:ascii="Times New Roman" w:hAnsi="Times New Roman" w:cs="Times New Roman"/>
                <w:kern w:val="0"/>
                <w:sz w:val="24"/>
                <w:szCs w:val="24"/>
              </w:rPr>
              <w:t>③</w:t>
            </w:r>
            <w:r>
              <w:rPr>
                <w:rFonts w:hint="default" w:ascii="Times New Roman" w:hAnsi="Times New Roman" w:cs="Times New Roman"/>
                <w:kern w:val="0"/>
                <w:sz w:val="24"/>
                <w:szCs w:val="24"/>
                <w:lang w:val="en-US" w:eastAsia="zh-CN"/>
              </w:rPr>
              <w:t xml:space="preserve"> 与喀什地</w:t>
            </w:r>
            <w:r>
              <w:rPr>
                <w:rFonts w:hint="eastAsia" w:hAnsi="宋体"/>
                <w:kern w:val="0"/>
                <w:sz w:val="24"/>
                <w:szCs w:val="24"/>
                <w:lang w:val="en-US" w:eastAsia="zh-CN"/>
              </w:rPr>
              <w:t>区辖区</w:t>
            </w:r>
            <w:r>
              <w:rPr>
                <w:rFonts w:hint="eastAsia"/>
                <w:kern w:val="0"/>
                <w:sz w:val="24"/>
                <w:szCs w:val="24"/>
                <w:lang w:val="en-US" w:eastAsia="zh-CN"/>
              </w:rPr>
              <w:t>管控单元准入清单符合性分析</w:t>
            </w:r>
          </w:p>
          <w:p w14:paraId="7493FE96">
            <w:pPr>
              <w:spacing w:after="120" w:afterLines="50" w:line="300" w:lineRule="auto"/>
              <w:ind w:right="12" w:rightChars="6" w:firstLine="480" w:firstLineChars="200"/>
              <w:rPr>
                <w:rFonts w:hint="eastAsia" w:hAnsi="宋体"/>
                <w:kern w:val="0"/>
                <w:sz w:val="24"/>
              </w:rPr>
            </w:pPr>
            <w:r>
              <w:rPr>
                <w:rFonts w:hint="eastAsia" w:hAnsi="宋体"/>
                <w:kern w:val="0"/>
                <w:sz w:val="24"/>
                <w:lang w:val="en-US" w:eastAsia="zh-CN"/>
              </w:rPr>
              <w:t>根据</w:t>
            </w:r>
            <w:r>
              <w:rPr>
                <w:rFonts w:hint="eastAsia" w:hAnsi="宋体"/>
                <w:kern w:val="0"/>
                <w:sz w:val="24"/>
              </w:rPr>
              <w:t>《关于印发&lt;喀什地区“三线一单”生态环境分区管控方案（2023年版）修改单</w:t>
            </w:r>
            <w:r>
              <w:rPr>
                <w:rFonts w:hint="eastAsia" w:hAnsi="宋体"/>
                <w:kern w:val="0"/>
                <w:sz w:val="24"/>
                <w:lang w:eastAsia="zh-CN"/>
              </w:rPr>
              <w:t>〉的通知》</w:t>
            </w:r>
            <w:r>
              <w:rPr>
                <w:rFonts w:hint="eastAsia" w:hAnsi="宋体"/>
                <w:kern w:val="0"/>
                <w:sz w:val="24"/>
              </w:rPr>
              <w:t>（喀什地区生态环境局，2024年7月26日）</w:t>
            </w:r>
            <w:r>
              <w:rPr>
                <w:rFonts w:hint="eastAsia" w:hAnsi="宋体"/>
                <w:kern w:val="0"/>
                <w:sz w:val="24"/>
                <w:lang w:eastAsia="zh-CN"/>
              </w:rPr>
              <w:t>，</w:t>
            </w:r>
            <w:r>
              <w:rPr>
                <w:rFonts w:hint="eastAsia" w:hAnsi="宋体"/>
                <w:kern w:val="0"/>
                <w:sz w:val="24"/>
              </w:rPr>
              <w:t>喀什地区共划定116个环境管控单元，分为优先保护、重点管控和一般管控三类</w:t>
            </w:r>
            <w:r>
              <w:rPr>
                <w:rFonts w:hint="eastAsia" w:hAnsi="宋体"/>
                <w:kern w:val="0"/>
                <w:sz w:val="24"/>
                <w:lang w:eastAsia="zh-CN"/>
              </w:rPr>
              <w:t>。</w:t>
            </w:r>
            <w:r>
              <w:rPr>
                <w:rFonts w:hAnsi="宋体"/>
                <w:kern w:val="0"/>
                <w:sz w:val="24"/>
              </w:rPr>
              <w:t>拟建公路涉及</w:t>
            </w:r>
            <w:r>
              <w:rPr>
                <w:rFonts w:hint="eastAsia" w:hAnsi="宋体"/>
                <w:bCs/>
                <w:sz w:val="24"/>
              </w:rPr>
              <w:t>伽师县一般生态空间（ZH65312910002）、伽师县城生活垃圾处理厂（ZH65312920004）、</w:t>
            </w:r>
            <w:r>
              <w:rPr>
                <w:rFonts w:hint="eastAsia" w:hAnsi="宋体"/>
                <w:bCs/>
                <w:sz w:val="24"/>
                <w:lang w:eastAsia="zh-CN"/>
              </w:rPr>
              <w:t>水体1</w:t>
            </w:r>
            <w:r>
              <w:rPr>
                <w:rFonts w:hint="eastAsia" w:hAnsi="宋体"/>
                <w:bCs/>
                <w:sz w:val="24"/>
              </w:rPr>
              <w:t>流域亚什拉吾、伽师工业园（ZH65312920005）、伽师县一般管控单元（ZH65312930001）、岳普湖县一般管控单元（ZH65312830001）</w:t>
            </w:r>
            <w:r>
              <w:rPr>
                <w:rFonts w:hAnsi="宋体"/>
                <w:kern w:val="0"/>
                <w:sz w:val="24"/>
              </w:rPr>
              <w:t>。</w:t>
            </w:r>
            <w:r>
              <w:rPr>
                <w:rFonts w:hint="eastAsia" w:hAnsi="宋体"/>
                <w:kern w:val="0"/>
                <w:sz w:val="24"/>
              </w:rPr>
              <w:t>拟建公路</w:t>
            </w:r>
            <w:r>
              <w:rPr>
                <w:rFonts w:hAnsi="宋体"/>
                <w:kern w:val="0"/>
                <w:sz w:val="24"/>
              </w:rPr>
              <w:t>与</w:t>
            </w:r>
            <w:r>
              <w:rPr>
                <w:rFonts w:hint="eastAsia" w:hAnsi="宋体"/>
                <w:kern w:val="0"/>
                <w:sz w:val="24"/>
                <w:lang w:val="en-US" w:eastAsia="zh-CN"/>
              </w:rPr>
              <w:t>上述管控单元</w:t>
            </w:r>
            <w:r>
              <w:rPr>
                <w:rFonts w:hint="eastAsia" w:hAnsi="宋体"/>
                <w:kern w:val="0"/>
                <w:sz w:val="24"/>
              </w:rPr>
              <w:t>生态</w:t>
            </w:r>
            <w:r>
              <w:rPr>
                <w:rFonts w:hAnsi="宋体"/>
                <w:kern w:val="0"/>
                <w:sz w:val="24"/>
              </w:rPr>
              <w:t>环境</w:t>
            </w:r>
            <w:r>
              <w:rPr>
                <w:rFonts w:hint="eastAsia" w:hAnsi="宋体"/>
                <w:kern w:val="0"/>
                <w:sz w:val="24"/>
                <w:lang w:val="en-US" w:eastAsia="zh-CN"/>
              </w:rPr>
              <w:t>准入清单</w:t>
            </w:r>
            <w:r>
              <w:rPr>
                <w:rFonts w:hAnsi="宋体"/>
                <w:kern w:val="0"/>
                <w:sz w:val="24"/>
              </w:rPr>
              <w:t>符合性分析见表</w:t>
            </w:r>
            <w:r>
              <w:rPr>
                <w:rFonts w:hint="eastAsia"/>
                <w:kern w:val="0"/>
                <w:sz w:val="24"/>
              </w:rPr>
              <w:t>1</w:t>
            </w:r>
            <w:r>
              <w:rPr>
                <w:kern w:val="0"/>
                <w:sz w:val="24"/>
              </w:rPr>
              <w:t>-</w:t>
            </w:r>
            <w:r>
              <w:rPr>
                <w:rFonts w:hint="eastAsia"/>
                <w:kern w:val="0"/>
                <w:sz w:val="24"/>
                <w:lang w:val="en-US" w:eastAsia="zh-CN"/>
              </w:rPr>
              <w:t>4</w:t>
            </w:r>
            <w:r>
              <w:rPr>
                <w:rFonts w:hint="default" w:ascii="Times New Roman" w:hAnsi="Times New Roman" w:cs="Times New Roman"/>
                <w:kern w:val="0"/>
                <w:sz w:val="24"/>
              </w:rPr>
              <w:t>~</w:t>
            </w:r>
            <w:r>
              <w:rPr>
                <w:rFonts w:hint="eastAsia" w:cs="Times New Roman"/>
                <w:kern w:val="0"/>
                <w:sz w:val="24"/>
                <w:lang w:val="en-US" w:eastAsia="zh-CN"/>
              </w:rPr>
              <w:t>1-8、与管控单元位置关系见附图6</w:t>
            </w:r>
            <w:r>
              <w:rPr>
                <w:rFonts w:hAnsi="宋体"/>
                <w:kern w:val="0"/>
                <w:sz w:val="24"/>
              </w:rPr>
              <w:t>。</w:t>
            </w:r>
          </w:p>
          <w:p w14:paraId="306BD287">
            <w:pPr>
              <w:keepNext w:val="0"/>
              <w:keepLines w:val="0"/>
              <w:pageBreakBefore w:val="0"/>
              <w:widowControl w:val="0"/>
              <w:kinsoku/>
              <w:wordWrap/>
              <w:overflowPunct/>
              <w:topLinePunct w:val="0"/>
              <w:autoSpaceDE/>
              <w:autoSpaceDN/>
              <w:bidi w:val="0"/>
              <w:adjustRightInd w:val="0"/>
              <w:snapToGrid/>
              <w:jc w:val="center"/>
              <w:textAlignment w:val="auto"/>
              <w:rPr>
                <w:rFonts w:eastAsiaTheme="minorEastAsia"/>
                <w:b/>
              </w:rPr>
            </w:pPr>
            <w:r>
              <w:rPr>
                <w:rFonts w:eastAsiaTheme="minorEastAsia"/>
                <w:b/>
              </w:rPr>
              <w:t>表</w:t>
            </w:r>
            <w:r>
              <w:rPr>
                <w:rFonts w:hint="eastAsia" w:eastAsiaTheme="minorEastAsia"/>
                <w:b/>
                <w:lang w:val="en-US" w:eastAsia="zh-CN"/>
              </w:rPr>
              <w:t>1</w:t>
            </w:r>
            <w:r>
              <w:rPr>
                <w:rFonts w:eastAsiaTheme="minorEastAsia"/>
                <w:b/>
              </w:rPr>
              <w:t>-</w:t>
            </w:r>
            <w:r>
              <w:rPr>
                <w:rFonts w:hint="eastAsia" w:eastAsiaTheme="minorEastAsia"/>
                <w:b/>
                <w:lang w:val="en-US" w:eastAsia="zh-CN"/>
              </w:rPr>
              <w:t>4</w:t>
            </w:r>
            <w:r>
              <w:rPr>
                <w:rFonts w:eastAsiaTheme="minorEastAsia"/>
                <w:b/>
              </w:rPr>
              <w:t xml:space="preserve">  拟建公路</w:t>
            </w:r>
            <w:r>
              <w:rPr>
                <w:rFonts w:hint="eastAsia" w:eastAsiaTheme="minorEastAsia"/>
                <w:b/>
                <w:lang w:val="en-US" w:eastAsia="zh-CN"/>
              </w:rPr>
              <w:t>与管控单元准入清单</w:t>
            </w:r>
            <w:r>
              <w:rPr>
                <w:rFonts w:eastAsiaTheme="minorEastAsia"/>
                <w:b/>
              </w:rPr>
              <w:t>符合性分析一览表</w:t>
            </w:r>
          </w:p>
          <w:tbl>
            <w:tblPr>
              <w:tblStyle w:val="22"/>
              <w:tblW w:w="7417"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1149"/>
              <w:gridCol w:w="1270"/>
              <w:gridCol w:w="1059"/>
              <w:gridCol w:w="1043"/>
              <w:gridCol w:w="2046"/>
              <w:gridCol w:w="850"/>
            </w:tblGrid>
            <w:tr w14:paraId="76D02C2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248" w:hRule="atLeast"/>
                <w:jc w:val="center"/>
              </w:trPr>
              <w:tc>
                <w:tcPr>
                  <w:tcW w:w="774" w:type="pct"/>
                  <w:vMerge w:val="restart"/>
                  <w:vAlign w:val="center"/>
                </w:tcPr>
                <w:p w14:paraId="33784BC7">
                  <w:pPr>
                    <w:widowControl/>
                    <w:adjustRightInd w:val="0"/>
                    <w:snapToGrid w:val="0"/>
                    <w:spacing w:line="260" w:lineRule="exact"/>
                    <w:jc w:val="center"/>
                    <w:rPr>
                      <w:rFonts w:eastAsiaTheme="minorEastAsia"/>
                      <w:b/>
                    </w:rPr>
                  </w:pPr>
                  <w:r>
                    <w:rPr>
                      <w:rFonts w:eastAsiaTheme="minorEastAsia"/>
                      <w:b/>
                    </w:rPr>
                    <w:t>环境管控单元编码</w:t>
                  </w:r>
                </w:p>
              </w:tc>
              <w:tc>
                <w:tcPr>
                  <w:tcW w:w="856" w:type="pct"/>
                  <w:vMerge w:val="restart"/>
                  <w:vAlign w:val="center"/>
                </w:tcPr>
                <w:p w14:paraId="28FFD6C1">
                  <w:pPr>
                    <w:widowControl/>
                    <w:adjustRightInd w:val="0"/>
                    <w:snapToGrid w:val="0"/>
                    <w:spacing w:line="260" w:lineRule="exact"/>
                    <w:jc w:val="center"/>
                    <w:rPr>
                      <w:rFonts w:eastAsiaTheme="minorEastAsia"/>
                      <w:b/>
                    </w:rPr>
                  </w:pPr>
                  <w:r>
                    <w:rPr>
                      <w:rFonts w:eastAsiaTheme="minorEastAsia"/>
                      <w:b/>
                    </w:rPr>
                    <w:t>单元名称</w:t>
                  </w:r>
                </w:p>
              </w:tc>
              <w:tc>
                <w:tcPr>
                  <w:tcW w:w="2796" w:type="pct"/>
                  <w:gridSpan w:val="3"/>
                  <w:vAlign w:val="center"/>
                </w:tcPr>
                <w:p w14:paraId="79DE6C32">
                  <w:pPr>
                    <w:widowControl/>
                    <w:adjustRightInd w:val="0"/>
                    <w:snapToGrid w:val="0"/>
                    <w:spacing w:line="260" w:lineRule="exact"/>
                    <w:jc w:val="center"/>
                    <w:rPr>
                      <w:rFonts w:eastAsiaTheme="minorEastAsia"/>
                      <w:b/>
                    </w:rPr>
                  </w:pPr>
                  <w:r>
                    <w:rPr>
                      <w:rFonts w:eastAsiaTheme="minorEastAsia"/>
                      <w:b/>
                    </w:rPr>
                    <w:t>行政区划</w:t>
                  </w:r>
                </w:p>
              </w:tc>
              <w:tc>
                <w:tcPr>
                  <w:tcW w:w="573" w:type="pct"/>
                  <w:vMerge w:val="restart"/>
                  <w:vAlign w:val="center"/>
                </w:tcPr>
                <w:p w14:paraId="5A04E280">
                  <w:pPr>
                    <w:widowControl/>
                    <w:adjustRightInd w:val="0"/>
                    <w:snapToGrid w:val="0"/>
                    <w:spacing w:line="260" w:lineRule="exact"/>
                    <w:jc w:val="center"/>
                    <w:rPr>
                      <w:rFonts w:eastAsiaTheme="minorEastAsia"/>
                      <w:b/>
                    </w:rPr>
                  </w:pPr>
                  <w:r>
                    <w:rPr>
                      <w:rFonts w:eastAsiaTheme="minorEastAsia"/>
                      <w:b/>
                    </w:rPr>
                    <w:t>单元</w:t>
                  </w:r>
                </w:p>
                <w:p w14:paraId="64E9C24F">
                  <w:pPr>
                    <w:widowControl/>
                    <w:adjustRightInd w:val="0"/>
                    <w:snapToGrid w:val="0"/>
                    <w:spacing w:line="260" w:lineRule="exact"/>
                    <w:jc w:val="center"/>
                    <w:rPr>
                      <w:rFonts w:eastAsiaTheme="minorEastAsia"/>
                      <w:b/>
                    </w:rPr>
                  </w:pPr>
                  <w:r>
                    <w:rPr>
                      <w:rFonts w:eastAsiaTheme="minorEastAsia"/>
                      <w:b/>
                    </w:rPr>
                    <w:t>分类</w:t>
                  </w:r>
                </w:p>
              </w:tc>
            </w:tr>
            <w:tr w14:paraId="287D1D0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blHeader/>
                <w:jc w:val="center"/>
              </w:trPr>
              <w:tc>
                <w:tcPr>
                  <w:tcW w:w="774" w:type="pct"/>
                  <w:vMerge w:val="continue"/>
                  <w:vAlign w:val="center"/>
                </w:tcPr>
                <w:p w14:paraId="2B3BFEF6">
                  <w:pPr>
                    <w:widowControl/>
                    <w:adjustRightInd w:val="0"/>
                    <w:snapToGrid w:val="0"/>
                    <w:spacing w:line="260" w:lineRule="exact"/>
                    <w:jc w:val="center"/>
                    <w:rPr>
                      <w:rFonts w:eastAsiaTheme="minorEastAsia"/>
                    </w:rPr>
                  </w:pPr>
                </w:p>
              </w:tc>
              <w:tc>
                <w:tcPr>
                  <w:tcW w:w="856" w:type="pct"/>
                  <w:vMerge w:val="continue"/>
                  <w:vAlign w:val="center"/>
                </w:tcPr>
                <w:p w14:paraId="37B0EED2">
                  <w:pPr>
                    <w:widowControl/>
                    <w:adjustRightInd w:val="0"/>
                    <w:snapToGrid w:val="0"/>
                    <w:spacing w:line="260" w:lineRule="exact"/>
                    <w:jc w:val="center"/>
                    <w:rPr>
                      <w:rFonts w:eastAsiaTheme="minorEastAsia"/>
                    </w:rPr>
                  </w:pPr>
                </w:p>
              </w:tc>
              <w:tc>
                <w:tcPr>
                  <w:tcW w:w="713" w:type="pct"/>
                  <w:vAlign w:val="center"/>
                </w:tcPr>
                <w:p w14:paraId="19C6C4C2">
                  <w:pPr>
                    <w:adjustRightInd w:val="0"/>
                    <w:snapToGrid w:val="0"/>
                    <w:spacing w:line="260" w:lineRule="exact"/>
                    <w:jc w:val="center"/>
                    <w:rPr>
                      <w:rFonts w:hint="eastAsia" w:eastAsiaTheme="minorEastAsia"/>
                      <w:b/>
                      <w:sz w:val="24"/>
                      <w:szCs w:val="24"/>
                      <w:lang w:eastAsia="zh-CN"/>
                    </w:rPr>
                  </w:pPr>
                  <w:r>
                    <w:rPr>
                      <w:rFonts w:hint="eastAsia" w:eastAsiaTheme="minorEastAsia"/>
                      <w:b/>
                      <w:lang w:val="en-US" w:eastAsia="zh-CN"/>
                    </w:rPr>
                    <w:t>自治区</w:t>
                  </w:r>
                </w:p>
              </w:tc>
              <w:tc>
                <w:tcPr>
                  <w:tcW w:w="703" w:type="pct"/>
                  <w:vAlign w:val="center"/>
                </w:tcPr>
                <w:p w14:paraId="7977117A">
                  <w:pPr>
                    <w:adjustRightInd w:val="0"/>
                    <w:snapToGrid w:val="0"/>
                    <w:spacing w:line="260" w:lineRule="exact"/>
                    <w:jc w:val="center"/>
                    <w:rPr>
                      <w:rFonts w:hint="eastAsia" w:eastAsiaTheme="minorEastAsia"/>
                      <w:b/>
                      <w:lang w:eastAsia="zh-CN"/>
                    </w:rPr>
                  </w:pPr>
                  <w:r>
                    <w:rPr>
                      <w:rFonts w:eastAsiaTheme="minorEastAsia"/>
                      <w:b/>
                    </w:rPr>
                    <w:t>州</w:t>
                  </w:r>
                  <w:r>
                    <w:rPr>
                      <w:rFonts w:hint="eastAsia" w:eastAsiaTheme="minorEastAsia"/>
                      <w:b/>
                      <w:lang w:eastAsia="zh-CN"/>
                    </w:rPr>
                    <w:t>（</w:t>
                  </w:r>
                  <w:r>
                    <w:rPr>
                      <w:rFonts w:hint="eastAsia" w:eastAsiaTheme="minorEastAsia"/>
                      <w:b/>
                      <w:lang w:val="en-US" w:eastAsia="zh-CN"/>
                    </w:rPr>
                    <w:t>地区</w:t>
                  </w:r>
                  <w:r>
                    <w:rPr>
                      <w:rFonts w:hint="eastAsia" w:eastAsiaTheme="minorEastAsia"/>
                      <w:b/>
                      <w:lang w:eastAsia="zh-CN"/>
                    </w:rPr>
                    <w:t>）</w:t>
                  </w:r>
                </w:p>
              </w:tc>
              <w:tc>
                <w:tcPr>
                  <w:tcW w:w="1379" w:type="pct"/>
                  <w:vAlign w:val="center"/>
                </w:tcPr>
                <w:p w14:paraId="67E66EB4">
                  <w:pPr>
                    <w:adjustRightInd w:val="0"/>
                    <w:snapToGrid w:val="0"/>
                    <w:spacing w:line="260" w:lineRule="exact"/>
                    <w:jc w:val="center"/>
                    <w:rPr>
                      <w:rFonts w:eastAsiaTheme="minorEastAsia"/>
                      <w:b/>
                    </w:rPr>
                  </w:pPr>
                  <w:r>
                    <w:rPr>
                      <w:rFonts w:eastAsiaTheme="minorEastAsia"/>
                      <w:b/>
                    </w:rPr>
                    <w:t>县</w:t>
                  </w:r>
                </w:p>
              </w:tc>
              <w:tc>
                <w:tcPr>
                  <w:tcW w:w="573" w:type="pct"/>
                  <w:vMerge w:val="continue"/>
                  <w:vAlign w:val="center"/>
                </w:tcPr>
                <w:p w14:paraId="0E31D320">
                  <w:pPr>
                    <w:adjustRightInd w:val="0"/>
                    <w:snapToGrid w:val="0"/>
                    <w:spacing w:line="260" w:lineRule="exact"/>
                    <w:jc w:val="center"/>
                    <w:rPr>
                      <w:rFonts w:eastAsiaTheme="minorEastAsia"/>
                    </w:rPr>
                  </w:pPr>
                </w:p>
              </w:tc>
            </w:tr>
            <w:tr w14:paraId="641A6B9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245" w:hRule="atLeast"/>
                <w:jc w:val="center"/>
              </w:trPr>
              <w:tc>
                <w:tcPr>
                  <w:tcW w:w="774" w:type="pct"/>
                  <w:vAlign w:val="center"/>
                </w:tcPr>
                <w:p w14:paraId="62CFB4C4">
                  <w:pPr>
                    <w:pStyle w:val="47"/>
                    <w:spacing w:line="260" w:lineRule="exact"/>
                    <w:jc w:val="center"/>
                    <w:rPr>
                      <w:rFonts w:ascii="Times New Roman" w:cs="Times New Roman" w:eastAsiaTheme="minorEastAsia"/>
                      <w:color w:val="auto"/>
                      <w:kern w:val="2"/>
                      <w:sz w:val="21"/>
                      <w:szCs w:val="21"/>
                    </w:rPr>
                  </w:pPr>
                  <w:r>
                    <w:rPr>
                      <w:rFonts w:ascii="Times New Roman" w:cs="Times New Roman" w:eastAsiaTheme="minorEastAsia"/>
                      <w:color w:val="auto"/>
                      <w:kern w:val="2"/>
                      <w:sz w:val="21"/>
                      <w:szCs w:val="21"/>
                    </w:rPr>
                    <w:t>ZH65312910002</w:t>
                  </w:r>
                </w:p>
              </w:tc>
              <w:tc>
                <w:tcPr>
                  <w:tcW w:w="856" w:type="pct"/>
                  <w:vAlign w:val="center"/>
                </w:tcPr>
                <w:p w14:paraId="55569C84">
                  <w:pPr>
                    <w:pStyle w:val="47"/>
                    <w:spacing w:line="260" w:lineRule="exact"/>
                    <w:jc w:val="center"/>
                    <w:rPr>
                      <w:rFonts w:ascii="Times New Roman" w:cs="Times New Roman" w:eastAsiaTheme="minorEastAsia"/>
                      <w:color w:val="auto"/>
                      <w:kern w:val="2"/>
                      <w:sz w:val="21"/>
                      <w:szCs w:val="21"/>
                    </w:rPr>
                  </w:pPr>
                  <w:r>
                    <w:rPr>
                      <w:rFonts w:hint="eastAsia" w:ascii="Times New Roman" w:cs="Times New Roman" w:eastAsiaTheme="minorEastAsia"/>
                      <w:color w:val="auto"/>
                      <w:kern w:val="2"/>
                      <w:sz w:val="21"/>
                      <w:szCs w:val="21"/>
                    </w:rPr>
                    <w:t>伽师县一般生态空间</w:t>
                  </w:r>
                </w:p>
              </w:tc>
              <w:tc>
                <w:tcPr>
                  <w:tcW w:w="713" w:type="pct"/>
                  <w:vAlign w:val="center"/>
                </w:tcPr>
                <w:p w14:paraId="76BF6192">
                  <w:pPr>
                    <w:widowControl/>
                    <w:adjustRightInd w:val="0"/>
                    <w:snapToGrid w:val="0"/>
                    <w:spacing w:line="260" w:lineRule="exact"/>
                    <w:jc w:val="center"/>
                    <w:rPr>
                      <w:rFonts w:eastAsiaTheme="minorEastAsia"/>
                    </w:rPr>
                  </w:pPr>
                  <w:r>
                    <w:rPr>
                      <w:rFonts w:eastAsiaTheme="minorEastAsia"/>
                    </w:rPr>
                    <w:t>新疆维吾尔自治区</w:t>
                  </w:r>
                </w:p>
              </w:tc>
              <w:tc>
                <w:tcPr>
                  <w:tcW w:w="703" w:type="pct"/>
                  <w:vAlign w:val="center"/>
                </w:tcPr>
                <w:p w14:paraId="270F1447">
                  <w:pPr>
                    <w:pStyle w:val="47"/>
                    <w:spacing w:line="260" w:lineRule="exact"/>
                    <w:jc w:val="center"/>
                    <w:rPr>
                      <w:rFonts w:ascii="Times New Roman" w:cs="Times New Roman" w:eastAsiaTheme="minorEastAsia"/>
                      <w:color w:val="auto"/>
                      <w:kern w:val="2"/>
                      <w:sz w:val="21"/>
                      <w:szCs w:val="21"/>
                    </w:rPr>
                  </w:pPr>
                  <w:r>
                    <w:rPr>
                      <w:rFonts w:ascii="Times New Roman" w:cs="Times New Roman" w:eastAsiaTheme="minorEastAsia"/>
                      <w:color w:val="auto"/>
                      <w:kern w:val="2"/>
                      <w:sz w:val="21"/>
                      <w:szCs w:val="21"/>
                    </w:rPr>
                    <w:t xml:space="preserve">喀什地区 </w:t>
                  </w:r>
                </w:p>
              </w:tc>
              <w:tc>
                <w:tcPr>
                  <w:tcW w:w="1379" w:type="pct"/>
                  <w:vAlign w:val="center"/>
                </w:tcPr>
                <w:p w14:paraId="0889B38D">
                  <w:pPr>
                    <w:pStyle w:val="47"/>
                    <w:spacing w:line="260" w:lineRule="exact"/>
                    <w:jc w:val="center"/>
                    <w:rPr>
                      <w:rFonts w:ascii="Times New Roman" w:cs="Times New Roman" w:eastAsiaTheme="minorEastAsia"/>
                      <w:color w:val="auto"/>
                      <w:kern w:val="2"/>
                      <w:sz w:val="21"/>
                      <w:szCs w:val="21"/>
                    </w:rPr>
                  </w:pPr>
                  <w:r>
                    <w:rPr>
                      <w:rFonts w:hint="eastAsia" w:ascii="Times New Roman" w:cs="Times New Roman" w:eastAsiaTheme="minorEastAsia"/>
                      <w:color w:val="auto"/>
                      <w:kern w:val="2"/>
                      <w:sz w:val="21"/>
                      <w:szCs w:val="21"/>
                    </w:rPr>
                    <w:t>伽师</w:t>
                  </w:r>
                  <w:r>
                    <w:rPr>
                      <w:rFonts w:ascii="Times New Roman" w:cs="Times New Roman" w:eastAsiaTheme="minorEastAsia"/>
                      <w:color w:val="auto"/>
                      <w:kern w:val="2"/>
                      <w:sz w:val="21"/>
                      <w:szCs w:val="21"/>
                    </w:rPr>
                    <w:t xml:space="preserve">县 </w:t>
                  </w:r>
                </w:p>
              </w:tc>
              <w:tc>
                <w:tcPr>
                  <w:tcW w:w="573" w:type="pct"/>
                  <w:vAlign w:val="center"/>
                </w:tcPr>
                <w:p w14:paraId="25B9CDD7">
                  <w:pPr>
                    <w:widowControl/>
                    <w:adjustRightInd w:val="0"/>
                    <w:snapToGrid w:val="0"/>
                    <w:spacing w:line="260" w:lineRule="exact"/>
                    <w:jc w:val="center"/>
                    <w:rPr>
                      <w:rFonts w:eastAsiaTheme="minorEastAsia"/>
                    </w:rPr>
                  </w:pPr>
                  <w:r>
                    <w:rPr>
                      <w:rFonts w:eastAsiaTheme="minorEastAsia"/>
                    </w:rPr>
                    <w:t>优先保护单元</w:t>
                  </w:r>
                </w:p>
              </w:tc>
            </w:tr>
            <w:tr w14:paraId="337B102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jc w:val="center"/>
              </w:trPr>
              <w:tc>
                <w:tcPr>
                  <w:tcW w:w="774" w:type="pct"/>
                  <w:vAlign w:val="center"/>
                </w:tcPr>
                <w:p w14:paraId="649FADA4">
                  <w:pPr>
                    <w:widowControl/>
                    <w:adjustRightInd w:val="0"/>
                    <w:snapToGrid w:val="0"/>
                    <w:spacing w:line="260" w:lineRule="exact"/>
                    <w:jc w:val="center"/>
                    <w:rPr>
                      <w:rFonts w:eastAsiaTheme="minorEastAsia"/>
                      <w:b/>
                    </w:rPr>
                  </w:pPr>
                  <w:r>
                    <w:rPr>
                      <w:rFonts w:eastAsiaTheme="minorEastAsia"/>
                      <w:b/>
                    </w:rPr>
                    <w:t>管控维度</w:t>
                  </w:r>
                </w:p>
              </w:tc>
              <w:tc>
                <w:tcPr>
                  <w:tcW w:w="1570" w:type="pct"/>
                  <w:gridSpan w:val="2"/>
                  <w:vAlign w:val="center"/>
                </w:tcPr>
                <w:p w14:paraId="5CD56895">
                  <w:pPr>
                    <w:adjustRightInd w:val="0"/>
                    <w:snapToGrid w:val="0"/>
                    <w:spacing w:line="260" w:lineRule="exact"/>
                    <w:jc w:val="center"/>
                    <w:rPr>
                      <w:rFonts w:eastAsiaTheme="minorEastAsia"/>
                      <w:b/>
                    </w:rPr>
                  </w:pPr>
                  <w:r>
                    <w:rPr>
                      <w:rFonts w:eastAsiaTheme="minorEastAsia"/>
                      <w:b/>
                    </w:rPr>
                    <w:t>管控要求</w:t>
                  </w:r>
                </w:p>
              </w:tc>
              <w:tc>
                <w:tcPr>
                  <w:tcW w:w="2082" w:type="pct"/>
                  <w:gridSpan w:val="2"/>
                  <w:vAlign w:val="center"/>
                </w:tcPr>
                <w:p w14:paraId="021A0D93">
                  <w:pPr>
                    <w:spacing w:line="260" w:lineRule="exact"/>
                    <w:jc w:val="center"/>
                    <w:rPr>
                      <w:rFonts w:eastAsiaTheme="minorEastAsia"/>
                      <w:b/>
                    </w:rPr>
                  </w:pPr>
                  <w:r>
                    <w:rPr>
                      <w:rFonts w:eastAsiaTheme="minorEastAsia"/>
                      <w:b/>
                    </w:rPr>
                    <w:t>拟建公路情况</w:t>
                  </w:r>
                </w:p>
              </w:tc>
              <w:tc>
                <w:tcPr>
                  <w:tcW w:w="573" w:type="pct"/>
                  <w:vAlign w:val="center"/>
                </w:tcPr>
                <w:p w14:paraId="3C877407">
                  <w:pPr>
                    <w:spacing w:line="260" w:lineRule="exact"/>
                    <w:jc w:val="center"/>
                    <w:rPr>
                      <w:rFonts w:eastAsiaTheme="minorEastAsia"/>
                      <w:b/>
                    </w:rPr>
                  </w:pPr>
                  <w:r>
                    <w:rPr>
                      <w:rFonts w:eastAsiaTheme="minorEastAsia"/>
                      <w:b/>
                    </w:rPr>
                    <w:t>符合性</w:t>
                  </w:r>
                </w:p>
              </w:tc>
            </w:tr>
            <w:tr w14:paraId="1BD5B7F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199" w:hRule="atLeast"/>
                <w:jc w:val="center"/>
              </w:trPr>
              <w:tc>
                <w:tcPr>
                  <w:tcW w:w="774" w:type="pct"/>
                  <w:vAlign w:val="center"/>
                </w:tcPr>
                <w:p w14:paraId="13279052">
                  <w:pPr>
                    <w:widowControl/>
                    <w:adjustRightInd w:val="0"/>
                    <w:snapToGrid w:val="0"/>
                    <w:spacing w:line="260" w:lineRule="exact"/>
                    <w:jc w:val="center"/>
                    <w:rPr>
                      <w:rFonts w:eastAsiaTheme="minorEastAsia"/>
                    </w:rPr>
                  </w:pPr>
                  <w:r>
                    <w:rPr>
                      <w:rFonts w:eastAsiaTheme="minorEastAsia"/>
                    </w:rPr>
                    <w:t>空间布局约束</w:t>
                  </w:r>
                </w:p>
              </w:tc>
              <w:tc>
                <w:tcPr>
                  <w:tcW w:w="1570" w:type="pct"/>
                  <w:gridSpan w:val="2"/>
                  <w:vAlign w:val="center"/>
                </w:tcPr>
                <w:p w14:paraId="6FD85FB2">
                  <w:pPr>
                    <w:pStyle w:val="47"/>
                    <w:spacing w:line="260" w:lineRule="exact"/>
                    <w:jc w:val="both"/>
                    <w:rPr>
                      <w:rFonts w:ascii="Times New Roman" w:cs="Times New Roman" w:eastAsiaTheme="minorEastAsia"/>
                      <w:color w:val="auto"/>
                      <w:kern w:val="2"/>
                      <w:sz w:val="21"/>
                      <w:szCs w:val="21"/>
                    </w:rPr>
                  </w:pPr>
                  <w:r>
                    <w:rPr>
                      <w:rFonts w:ascii="Times New Roman" w:cs="Times New Roman" w:eastAsiaTheme="minorEastAsia"/>
                      <w:color w:val="auto"/>
                      <w:kern w:val="2"/>
                      <w:sz w:val="21"/>
                      <w:szCs w:val="21"/>
                    </w:rPr>
                    <w:t xml:space="preserve">1.执行喀什地区总体管控要求中“A1.2”的相关要求。 </w:t>
                  </w:r>
                </w:p>
                <w:p w14:paraId="5ADC1B8F">
                  <w:pPr>
                    <w:pStyle w:val="47"/>
                    <w:spacing w:line="260" w:lineRule="exact"/>
                    <w:jc w:val="both"/>
                    <w:rPr>
                      <w:rFonts w:ascii="Times New Roman" w:cs="Times New Roman" w:eastAsiaTheme="minorEastAsia"/>
                      <w:color w:val="auto"/>
                      <w:kern w:val="2"/>
                      <w:sz w:val="21"/>
                      <w:szCs w:val="21"/>
                    </w:rPr>
                  </w:pPr>
                  <w:r>
                    <w:rPr>
                      <w:rFonts w:ascii="Times New Roman" w:cs="Times New Roman" w:eastAsiaTheme="minorEastAsia"/>
                      <w:color w:val="auto"/>
                      <w:kern w:val="2"/>
                      <w:sz w:val="21"/>
                      <w:szCs w:val="21"/>
                    </w:rPr>
                    <w:t xml:space="preserve">2.执行喀什地区优先保护环境管控单元分类管控要求中“A5.2、A5.3”的相关要求。 </w:t>
                  </w:r>
                </w:p>
              </w:tc>
              <w:tc>
                <w:tcPr>
                  <w:tcW w:w="2082" w:type="pct"/>
                  <w:gridSpan w:val="2"/>
                  <w:vAlign w:val="center"/>
                </w:tcPr>
                <w:p w14:paraId="491A2C5E">
                  <w:pPr>
                    <w:tabs>
                      <w:tab w:val="left" w:pos="1021"/>
                    </w:tabs>
                    <w:adjustRightInd w:val="0"/>
                    <w:snapToGrid w:val="0"/>
                    <w:spacing w:line="260" w:lineRule="exact"/>
                    <w:rPr>
                      <w:rFonts w:eastAsiaTheme="minorEastAsia"/>
                    </w:rPr>
                  </w:pPr>
                  <w:r>
                    <w:rPr>
                      <w:rFonts w:hint="eastAsia" w:eastAsiaTheme="minorEastAsia"/>
                    </w:rPr>
                    <w:t>1</w:t>
                  </w:r>
                  <w:r>
                    <w:rPr>
                      <w:rFonts w:eastAsiaTheme="minorEastAsia"/>
                    </w:rPr>
                    <w:t>.拟建公路</w:t>
                  </w:r>
                  <w:r>
                    <w:rPr>
                      <w:rFonts w:hint="eastAsia" w:eastAsiaTheme="minorEastAsia"/>
                    </w:rPr>
                    <w:t>属</w:t>
                  </w:r>
                  <w:r>
                    <w:rPr>
                      <w:rFonts w:eastAsiaTheme="minorEastAsia"/>
                    </w:rPr>
                    <w:t>国家和自治区重点线性基础设施，是重要的国防战略通道</w:t>
                  </w:r>
                  <w:r>
                    <w:rPr>
                      <w:rFonts w:hint="eastAsia" w:eastAsiaTheme="minorEastAsia"/>
                    </w:rPr>
                    <w:t>，</w:t>
                  </w:r>
                  <w:r>
                    <w:rPr>
                      <w:rFonts w:eastAsiaTheme="minorEastAsia"/>
                    </w:rPr>
                    <w:t>满足“A1.2”明确限制开发建设活动的要求。</w:t>
                  </w:r>
                </w:p>
                <w:p w14:paraId="0C24EFD0">
                  <w:pPr>
                    <w:tabs>
                      <w:tab w:val="left" w:pos="1021"/>
                    </w:tabs>
                    <w:adjustRightInd w:val="0"/>
                    <w:snapToGrid w:val="0"/>
                    <w:spacing w:line="260" w:lineRule="exact"/>
                    <w:rPr>
                      <w:rFonts w:eastAsiaTheme="minorEastAsia"/>
                    </w:rPr>
                  </w:pPr>
                  <w:r>
                    <w:rPr>
                      <w:rFonts w:hint="eastAsia" w:eastAsiaTheme="minorEastAsia"/>
                    </w:rPr>
                    <w:t>2.拟建公路为公路改扩建项目，不在沙化土地封禁保护区内，占地以荒地为主，通过加强绿化可对现有水土流失情况进行整治，施工严禁捕猎野生动物，满足“A5.2”中相关要求；拟建公路不属于高污染、高环境风险产品工业项目，项目不穿越水源保护区，未在水源保护区内设置排污口，</w:t>
                  </w:r>
                  <w:r>
                    <w:rPr>
                      <w:rFonts w:eastAsiaTheme="minorEastAsia"/>
                    </w:rPr>
                    <w:t>满足“A5.</w:t>
                  </w:r>
                  <w:r>
                    <w:rPr>
                      <w:rFonts w:hint="eastAsia" w:eastAsiaTheme="minorEastAsia"/>
                    </w:rPr>
                    <w:t>3</w:t>
                  </w:r>
                  <w:r>
                    <w:rPr>
                      <w:rFonts w:eastAsiaTheme="minorEastAsia"/>
                    </w:rPr>
                    <w:t>”</w:t>
                  </w:r>
                  <w:r>
                    <w:rPr>
                      <w:rFonts w:hint="eastAsia" w:eastAsiaTheme="minorEastAsia"/>
                    </w:rPr>
                    <w:t>中相关</w:t>
                  </w:r>
                  <w:r>
                    <w:rPr>
                      <w:rFonts w:eastAsiaTheme="minorEastAsia"/>
                    </w:rPr>
                    <w:t>要求。</w:t>
                  </w:r>
                </w:p>
              </w:tc>
              <w:tc>
                <w:tcPr>
                  <w:tcW w:w="573" w:type="pct"/>
                  <w:vAlign w:val="center"/>
                </w:tcPr>
                <w:p w14:paraId="0010B3FE">
                  <w:pPr>
                    <w:tabs>
                      <w:tab w:val="left" w:pos="1021"/>
                    </w:tabs>
                    <w:adjustRightInd w:val="0"/>
                    <w:snapToGrid w:val="0"/>
                    <w:spacing w:line="260" w:lineRule="exact"/>
                    <w:jc w:val="center"/>
                    <w:rPr>
                      <w:rFonts w:eastAsiaTheme="minorEastAsia"/>
                    </w:rPr>
                  </w:pPr>
                  <w:r>
                    <w:rPr>
                      <w:rFonts w:eastAsiaTheme="minorEastAsia"/>
                    </w:rPr>
                    <w:t>符合</w:t>
                  </w:r>
                </w:p>
              </w:tc>
            </w:tr>
            <w:tr w14:paraId="0DADF40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199" w:hRule="atLeast"/>
                <w:jc w:val="center"/>
              </w:trPr>
              <w:tc>
                <w:tcPr>
                  <w:tcW w:w="774" w:type="pct"/>
                  <w:vAlign w:val="center"/>
                </w:tcPr>
                <w:p w14:paraId="70FE79E2">
                  <w:pPr>
                    <w:widowControl/>
                    <w:adjustRightInd w:val="0"/>
                    <w:snapToGrid w:val="0"/>
                    <w:spacing w:line="260" w:lineRule="exact"/>
                    <w:jc w:val="center"/>
                    <w:rPr>
                      <w:rFonts w:eastAsiaTheme="minorEastAsia"/>
                    </w:rPr>
                  </w:pPr>
                  <w:r>
                    <w:rPr>
                      <w:rFonts w:eastAsiaTheme="minorEastAsia"/>
                    </w:rPr>
                    <w:t>污染物排放管控</w:t>
                  </w:r>
                </w:p>
              </w:tc>
              <w:tc>
                <w:tcPr>
                  <w:tcW w:w="1570" w:type="pct"/>
                  <w:gridSpan w:val="2"/>
                  <w:vAlign w:val="center"/>
                </w:tcPr>
                <w:p w14:paraId="6D96B8B4">
                  <w:pPr>
                    <w:pStyle w:val="47"/>
                    <w:spacing w:line="260" w:lineRule="exact"/>
                    <w:jc w:val="center"/>
                    <w:rPr>
                      <w:rFonts w:ascii="Times New Roman" w:cs="Times New Roman" w:eastAsiaTheme="minorEastAsia"/>
                      <w:color w:val="auto"/>
                      <w:kern w:val="2"/>
                      <w:sz w:val="21"/>
                      <w:szCs w:val="21"/>
                    </w:rPr>
                  </w:pPr>
                  <w:r>
                    <w:rPr>
                      <w:rFonts w:ascii="Times New Roman" w:cs="Times New Roman" w:eastAsiaTheme="minorEastAsia"/>
                      <w:color w:val="auto"/>
                      <w:kern w:val="2"/>
                      <w:sz w:val="21"/>
                      <w:szCs w:val="21"/>
                    </w:rPr>
                    <w:t>无</w:t>
                  </w:r>
                </w:p>
              </w:tc>
              <w:tc>
                <w:tcPr>
                  <w:tcW w:w="2082" w:type="pct"/>
                  <w:gridSpan w:val="2"/>
                  <w:vAlign w:val="center"/>
                </w:tcPr>
                <w:p w14:paraId="4A38B6EB">
                  <w:pPr>
                    <w:tabs>
                      <w:tab w:val="left" w:pos="1021"/>
                    </w:tabs>
                    <w:adjustRightInd w:val="0"/>
                    <w:snapToGrid w:val="0"/>
                    <w:spacing w:line="260" w:lineRule="exact"/>
                    <w:jc w:val="center"/>
                    <w:rPr>
                      <w:rFonts w:eastAsiaTheme="minorEastAsia"/>
                    </w:rPr>
                  </w:pPr>
                  <w:r>
                    <w:rPr>
                      <w:rFonts w:eastAsiaTheme="minorEastAsia"/>
                    </w:rPr>
                    <w:t>/</w:t>
                  </w:r>
                </w:p>
              </w:tc>
              <w:tc>
                <w:tcPr>
                  <w:tcW w:w="573" w:type="pct"/>
                  <w:vAlign w:val="center"/>
                </w:tcPr>
                <w:p w14:paraId="7CCE3401">
                  <w:pPr>
                    <w:tabs>
                      <w:tab w:val="left" w:pos="1021"/>
                    </w:tabs>
                    <w:adjustRightInd w:val="0"/>
                    <w:snapToGrid w:val="0"/>
                    <w:spacing w:line="260" w:lineRule="exact"/>
                    <w:jc w:val="center"/>
                    <w:rPr>
                      <w:rFonts w:eastAsiaTheme="minorEastAsia"/>
                    </w:rPr>
                  </w:pPr>
                  <w:r>
                    <w:rPr>
                      <w:rFonts w:eastAsiaTheme="minorEastAsia"/>
                    </w:rPr>
                    <w:t>符合</w:t>
                  </w:r>
                </w:p>
              </w:tc>
            </w:tr>
            <w:tr w14:paraId="43D13D2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199" w:hRule="atLeast"/>
                <w:jc w:val="center"/>
              </w:trPr>
              <w:tc>
                <w:tcPr>
                  <w:tcW w:w="774" w:type="pct"/>
                  <w:vAlign w:val="center"/>
                </w:tcPr>
                <w:p w14:paraId="6576F56C">
                  <w:pPr>
                    <w:widowControl/>
                    <w:adjustRightInd w:val="0"/>
                    <w:snapToGrid w:val="0"/>
                    <w:spacing w:line="260" w:lineRule="exact"/>
                    <w:jc w:val="center"/>
                    <w:rPr>
                      <w:rFonts w:eastAsiaTheme="minorEastAsia"/>
                    </w:rPr>
                  </w:pPr>
                  <w:r>
                    <w:rPr>
                      <w:rFonts w:eastAsiaTheme="minorEastAsia"/>
                    </w:rPr>
                    <w:t>环境风险防控</w:t>
                  </w:r>
                </w:p>
              </w:tc>
              <w:tc>
                <w:tcPr>
                  <w:tcW w:w="1570" w:type="pct"/>
                  <w:gridSpan w:val="2"/>
                  <w:vAlign w:val="center"/>
                </w:tcPr>
                <w:p w14:paraId="1FB22460">
                  <w:pPr>
                    <w:pStyle w:val="47"/>
                    <w:spacing w:line="260" w:lineRule="exact"/>
                    <w:jc w:val="center"/>
                    <w:rPr>
                      <w:rFonts w:ascii="Times New Roman" w:cs="Times New Roman" w:eastAsiaTheme="minorEastAsia"/>
                      <w:color w:val="auto"/>
                      <w:kern w:val="2"/>
                      <w:sz w:val="21"/>
                      <w:szCs w:val="21"/>
                    </w:rPr>
                  </w:pPr>
                  <w:r>
                    <w:rPr>
                      <w:rFonts w:ascii="Times New Roman" w:cs="Times New Roman" w:eastAsiaTheme="minorEastAsia"/>
                      <w:color w:val="auto"/>
                      <w:kern w:val="2"/>
                      <w:sz w:val="21"/>
                      <w:szCs w:val="21"/>
                    </w:rPr>
                    <w:t>无</w:t>
                  </w:r>
                </w:p>
              </w:tc>
              <w:tc>
                <w:tcPr>
                  <w:tcW w:w="2082" w:type="pct"/>
                  <w:gridSpan w:val="2"/>
                  <w:vAlign w:val="center"/>
                </w:tcPr>
                <w:p w14:paraId="102A3F2F">
                  <w:pPr>
                    <w:tabs>
                      <w:tab w:val="left" w:pos="1021"/>
                    </w:tabs>
                    <w:adjustRightInd w:val="0"/>
                    <w:snapToGrid w:val="0"/>
                    <w:spacing w:line="260" w:lineRule="exact"/>
                    <w:jc w:val="center"/>
                    <w:rPr>
                      <w:rFonts w:eastAsiaTheme="minorEastAsia"/>
                    </w:rPr>
                  </w:pPr>
                  <w:r>
                    <w:rPr>
                      <w:rFonts w:eastAsiaTheme="minorEastAsia"/>
                    </w:rPr>
                    <w:t>/</w:t>
                  </w:r>
                </w:p>
              </w:tc>
              <w:tc>
                <w:tcPr>
                  <w:tcW w:w="573" w:type="pct"/>
                  <w:vAlign w:val="center"/>
                </w:tcPr>
                <w:p w14:paraId="3FC6AC6A">
                  <w:pPr>
                    <w:tabs>
                      <w:tab w:val="left" w:pos="1021"/>
                    </w:tabs>
                    <w:adjustRightInd w:val="0"/>
                    <w:snapToGrid w:val="0"/>
                    <w:spacing w:line="260" w:lineRule="exact"/>
                    <w:jc w:val="center"/>
                    <w:rPr>
                      <w:rFonts w:eastAsiaTheme="minorEastAsia"/>
                    </w:rPr>
                  </w:pPr>
                  <w:r>
                    <w:rPr>
                      <w:rFonts w:eastAsiaTheme="minorEastAsia"/>
                    </w:rPr>
                    <w:t>符合</w:t>
                  </w:r>
                </w:p>
              </w:tc>
            </w:tr>
            <w:tr w14:paraId="4A7D356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199" w:hRule="atLeast"/>
                <w:jc w:val="center"/>
              </w:trPr>
              <w:tc>
                <w:tcPr>
                  <w:tcW w:w="774" w:type="pct"/>
                  <w:vAlign w:val="center"/>
                </w:tcPr>
                <w:p w14:paraId="4D2377BA">
                  <w:pPr>
                    <w:widowControl/>
                    <w:adjustRightInd w:val="0"/>
                    <w:snapToGrid w:val="0"/>
                    <w:spacing w:line="260" w:lineRule="exact"/>
                    <w:jc w:val="center"/>
                    <w:rPr>
                      <w:rFonts w:eastAsiaTheme="minorEastAsia"/>
                    </w:rPr>
                  </w:pPr>
                  <w:r>
                    <w:rPr>
                      <w:rFonts w:eastAsiaTheme="minorEastAsia"/>
                    </w:rPr>
                    <w:t>资源开发效率要求</w:t>
                  </w:r>
                </w:p>
              </w:tc>
              <w:tc>
                <w:tcPr>
                  <w:tcW w:w="1570" w:type="pct"/>
                  <w:gridSpan w:val="2"/>
                  <w:vAlign w:val="center"/>
                </w:tcPr>
                <w:p w14:paraId="64B4F8C1">
                  <w:pPr>
                    <w:pStyle w:val="47"/>
                    <w:spacing w:line="260" w:lineRule="exact"/>
                    <w:jc w:val="center"/>
                    <w:rPr>
                      <w:rFonts w:ascii="Times New Roman" w:cs="Times New Roman" w:eastAsiaTheme="minorEastAsia"/>
                      <w:color w:val="auto"/>
                      <w:kern w:val="2"/>
                      <w:sz w:val="21"/>
                      <w:szCs w:val="21"/>
                    </w:rPr>
                  </w:pPr>
                  <w:r>
                    <w:rPr>
                      <w:rFonts w:ascii="Times New Roman" w:cs="Times New Roman" w:eastAsiaTheme="minorEastAsia"/>
                      <w:color w:val="auto"/>
                      <w:kern w:val="2"/>
                      <w:sz w:val="21"/>
                      <w:szCs w:val="21"/>
                    </w:rPr>
                    <w:t>无</w:t>
                  </w:r>
                </w:p>
              </w:tc>
              <w:tc>
                <w:tcPr>
                  <w:tcW w:w="2082" w:type="pct"/>
                  <w:gridSpan w:val="2"/>
                  <w:vAlign w:val="center"/>
                </w:tcPr>
                <w:p w14:paraId="0DB7EA52">
                  <w:pPr>
                    <w:tabs>
                      <w:tab w:val="left" w:pos="1021"/>
                    </w:tabs>
                    <w:adjustRightInd w:val="0"/>
                    <w:snapToGrid w:val="0"/>
                    <w:spacing w:line="260" w:lineRule="exact"/>
                    <w:jc w:val="center"/>
                    <w:rPr>
                      <w:rFonts w:eastAsiaTheme="minorEastAsia"/>
                    </w:rPr>
                  </w:pPr>
                  <w:r>
                    <w:rPr>
                      <w:rFonts w:eastAsiaTheme="minorEastAsia"/>
                    </w:rPr>
                    <w:t>/</w:t>
                  </w:r>
                </w:p>
              </w:tc>
              <w:tc>
                <w:tcPr>
                  <w:tcW w:w="573" w:type="pct"/>
                  <w:vAlign w:val="center"/>
                </w:tcPr>
                <w:p w14:paraId="63A4F5F9">
                  <w:pPr>
                    <w:tabs>
                      <w:tab w:val="left" w:pos="1021"/>
                    </w:tabs>
                    <w:adjustRightInd w:val="0"/>
                    <w:snapToGrid w:val="0"/>
                    <w:spacing w:line="260" w:lineRule="exact"/>
                    <w:jc w:val="center"/>
                    <w:rPr>
                      <w:rFonts w:eastAsiaTheme="minorEastAsia"/>
                    </w:rPr>
                  </w:pPr>
                  <w:r>
                    <w:rPr>
                      <w:rFonts w:eastAsiaTheme="minorEastAsia"/>
                    </w:rPr>
                    <w:t>符合</w:t>
                  </w:r>
                </w:p>
              </w:tc>
            </w:tr>
          </w:tbl>
          <w:p w14:paraId="5DF85E4D">
            <w:pPr>
              <w:keepNext w:val="0"/>
              <w:keepLines w:val="0"/>
              <w:pageBreakBefore w:val="0"/>
              <w:widowControl w:val="0"/>
              <w:kinsoku/>
              <w:wordWrap/>
              <w:overflowPunct/>
              <w:topLinePunct w:val="0"/>
              <w:autoSpaceDE/>
              <w:autoSpaceDN/>
              <w:bidi w:val="0"/>
              <w:adjustRightInd w:val="0"/>
              <w:snapToGrid/>
              <w:spacing w:before="157" w:beforeLines="50"/>
              <w:jc w:val="center"/>
              <w:textAlignment w:val="auto"/>
              <w:rPr>
                <w:rFonts w:eastAsiaTheme="minorEastAsia"/>
                <w:b/>
              </w:rPr>
            </w:pPr>
          </w:p>
          <w:p w14:paraId="4B7E2987">
            <w:pPr>
              <w:keepNext w:val="0"/>
              <w:keepLines w:val="0"/>
              <w:pageBreakBefore w:val="0"/>
              <w:widowControl w:val="0"/>
              <w:kinsoku/>
              <w:wordWrap/>
              <w:overflowPunct/>
              <w:topLinePunct w:val="0"/>
              <w:autoSpaceDE/>
              <w:autoSpaceDN/>
              <w:bidi w:val="0"/>
              <w:adjustRightInd w:val="0"/>
              <w:snapToGrid/>
              <w:spacing w:before="157" w:beforeLines="50"/>
              <w:jc w:val="center"/>
              <w:textAlignment w:val="auto"/>
              <w:rPr>
                <w:rFonts w:eastAsiaTheme="minorEastAsia"/>
                <w:b/>
              </w:rPr>
            </w:pPr>
            <w:r>
              <w:rPr>
                <w:rFonts w:eastAsiaTheme="minorEastAsia"/>
                <w:b/>
              </w:rPr>
              <w:t>表</w:t>
            </w:r>
            <w:r>
              <w:rPr>
                <w:rFonts w:hint="eastAsia" w:eastAsiaTheme="minorEastAsia"/>
                <w:b/>
                <w:lang w:val="en-US" w:eastAsia="zh-CN"/>
              </w:rPr>
              <w:t>1</w:t>
            </w:r>
            <w:r>
              <w:rPr>
                <w:rFonts w:eastAsiaTheme="minorEastAsia"/>
                <w:b/>
              </w:rPr>
              <w:t>-</w:t>
            </w:r>
            <w:r>
              <w:rPr>
                <w:rFonts w:hint="eastAsia" w:eastAsiaTheme="minorEastAsia"/>
                <w:b/>
                <w:lang w:val="en-US" w:eastAsia="zh-CN"/>
              </w:rPr>
              <w:t>5</w:t>
            </w:r>
            <w:r>
              <w:rPr>
                <w:rFonts w:eastAsiaTheme="minorEastAsia"/>
                <w:b/>
              </w:rPr>
              <w:t xml:space="preserve">  拟建公路</w:t>
            </w:r>
            <w:r>
              <w:rPr>
                <w:rFonts w:hint="eastAsia" w:eastAsiaTheme="minorEastAsia"/>
                <w:b/>
                <w:lang w:val="en-US" w:eastAsia="zh-CN"/>
              </w:rPr>
              <w:t>与管控单元准入清单</w:t>
            </w:r>
            <w:r>
              <w:rPr>
                <w:rFonts w:eastAsiaTheme="minorEastAsia"/>
                <w:b/>
              </w:rPr>
              <w:t>符合性分析一览表</w:t>
            </w:r>
          </w:p>
          <w:tbl>
            <w:tblPr>
              <w:tblStyle w:val="22"/>
              <w:tblW w:w="498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148"/>
              <w:gridCol w:w="1435"/>
              <w:gridCol w:w="1240"/>
              <w:gridCol w:w="1042"/>
              <w:gridCol w:w="1754"/>
              <w:gridCol w:w="825"/>
            </w:tblGrid>
            <w:tr w14:paraId="3CA86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blHeader/>
                <w:jc w:val="center"/>
              </w:trPr>
              <w:tc>
                <w:tcPr>
                  <w:tcW w:w="771" w:type="pct"/>
                  <w:vMerge w:val="restart"/>
                  <w:vAlign w:val="center"/>
                </w:tcPr>
                <w:p w14:paraId="420C0B44">
                  <w:pPr>
                    <w:widowControl/>
                    <w:adjustRightInd w:val="0"/>
                    <w:spacing w:line="260" w:lineRule="exact"/>
                    <w:jc w:val="center"/>
                    <w:rPr>
                      <w:b/>
                    </w:rPr>
                  </w:pPr>
                  <w:r>
                    <w:rPr>
                      <w:b/>
                      <w:lang w:bidi="ar"/>
                    </w:rPr>
                    <w:t>环境管控单元编码</w:t>
                  </w:r>
                </w:p>
              </w:tc>
              <w:tc>
                <w:tcPr>
                  <w:tcW w:w="963" w:type="pct"/>
                  <w:vMerge w:val="restart"/>
                  <w:vAlign w:val="center"/>
                </w:tcPr>
                <w:p w14:paraId="631906C5">
                  <w:pPr>
                    <w:widowControl/>
                    <w:adjustRightInd w:val="0"/>
                    <w:spacing w:line="260" w:lineRule="exact"/>
                    <w:jc w:val="center"/>
                    <w:rPr>
                      <w:b/>
                    </w:rPr>
                  </w:pPr>
                  <w:r>
                    <w:rPr>
                      <w:b/>
                      <w:lang w:bidi="ar"/>
                    </w:rPr>
                    <w:t>单元名称</w:t>
                  </w:r>
                </w:p>
              </w:tc>
              <w:tc>
                <w:tcPr>
                  <w:tcW w:w="2710" w:type="pct"/>
                  <w:gridSpan w:val="3"/>
                  <w:vAlign w:val="center"/>
                </w:tcPr>
                <w:p w14:paraId="52258FF4">
                  <w:pPr>
                    <w:widowControl/>
                    <w:adjustRightInd w:val="0"/>
                    <w:spacing w:line="260" w:lineRule="exact"/>
                    <w:jc w:val="center"/>
                    <w:rPr>
                      <w:b/>
                    </w:rPr>
                  </w:pPr>
                  <w:r>
                    <w:rPr>
                      <w:b/>
                      <w:lang w:bidi="ar"/>
                    </w:rPr>
                    <w:t>行政区划</w:t>
                  </w:r>
                </w:p>
              </w:tc>
              <w:tc>
                <w:tcPr>
                  <w:tcW w:w="554" w:type="pct"/>
                  <w:vMerge w:val="restart"/>
                  <w:vAlign w:val="center"/>
                </w:tcPr>
                <w:p w14:paraId="74F66A26">
                  <w:pPr>
                    <w:widowControl/>
                    <w:adjustRightInd w:val="0"/>
                    <w:spacing w:line="260" w:lineRule="exact"/>
                    <w:jc w:val="center"/>
                    <w:rPr>
                      <w:b/>
                      <w:lang w:bidi="ar"/>
                    </w:rPr>
                  </w:pPr>
                  <w:r>
                    <w:rPr>
                      <w:b/>
                      <w:lang w:bidi="ar"/>
                    </w:rPr>
                    <w:t>单元</w:t>
                  </w:r>
                </w:p>
                <w:p w14:paraId="06105C0F">
                  <w:pPr>
                    <w:widowControl/>
                    <w:adjustRightInd w:val="0"/>
                    <w:spacing w:line="260" w:lineRule="exact"/>
                    <w:jc w:val="center"/>
                    <w:rPr>
                      <w:b/>
                    </w:rPr>
                  </w:pPr>
                  <w:r>
                    <w:rPr>
                      <w:b/>
                      <w:lang w:bidi="ar"/>
                    </w:rPr>
                    <w:t>分类</w:t>
                  </w:r>
                </w:p>
              </w:tc>
            </w:tr>
            <w:tr w14:paraId="23134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48" w:hRule="atLeast"/>
                <w:tblHeader/>
                <w:jc w:val="center"/>
              </w:trPr>
              <w:tc>
                <w:tcPr>
                  <w:tcW w:w="771" w:type="pct"/>
                  <w:vMerge w:val="continue"/>
                  <w:vAlign w:val="center"/>
                </w:tcPr>
                <w:p w14:paraId="243CE587">
                  <w:pPr>
                    <w:adjustRightInd w:val="0"/>
                    <w:spacing w:line="260" w:lineRule="exact"/>
                    <w:rPr>
                      <w:szCs w:val="22"/>
                    </w:rPr>
                  </w:pPr>
                </w:p>
              </w:tc>
              <w:tc>
                <w:tcPr>
                  <w:tcW w:w="963" w:type="pct"/>
                  <w:vMerge w:val="continue"/>
                  <w:vAlign w:val="center"/>
                </w:tcPr>
                <w:p w14:paraId="4F3E3326">
                  <w:pPr>
                    <w:adjustRightInd w:val="0"/>
                    <w:spacing w:line="260" w:lineRule="exact"/>
                    <w:rPr>
                      <w:szCs w:val="22"/>
                    </w:rPr>
                  </w:pPr>
                </w:p>
              </w:tc>
              <w:tc>
                <w:tcPr>
                  <w:tcW w:w="832" w:type="pct"/>
                  <w:vAlign w:val="center"/>
                </w:tcPr>
                <w:p w14:paraId="203D211B">
                  <w:pPr>
                    <w:adjustRightInd w:val="0"/>
                    <w:spacing w:line="260" w:lineRule="exact"/>
                    <w:jc w:val="center"/>
                    <w:rPr>
                      <w:rFonts w:hint="eastAsia" w:eastAsia="宋体"/>
                      <w:b/>
                      <w:lang w:eastAsia="zh-CN"/>
                    </w:rPr>
                  </w:pPr>
                  <w:r>
                    <w:rPr>
                      <w:rFonts w:hint="eastAsia"/>
                      <w:b/>
                      <w:lang w:val="en-US" w:eastAsia="zh-CN" w:bidi="ar"/>
                    </w:rPr>
                    <w:t>自治区</w:t>
                  </w:r>
                </w:p>
              </w:tc>
              <w:tc>
                <w:tcPr>
                  <w:tcW w:w="699" w:type="pct"/>
                  <w:vAlign w:val="center"/>
                </w:tcPr>
                <w:p w14:paraId="642BDCA7">
                  <w:pPr>
                    <w:adjustRightInd w:val="0"/>
                    <w:spacing w:line="260" w:lineRule="exact"/>
                    <w:jc w:val="center"/>
                    <w:rPr>
                      <w:rFonts w:hint="eastAsia" w:eastAsia="宋体"/>
                      <w:b/>
                      <w:lang w:eastAsia="zh-CN"/>
                    </w:rPr>
                  </w:pPr>
                  <w:r>
                    <w:rPr>
                      <w:b/>
                      <w:lang w:bidi="ar"/>
                    </w:rPr>
                    <w:t>州</w:t>
                  </w:r>
                  <w:r>
                    <w:rPr>
                      <w:rFonts w:hint="eastAsia"/>
                      <w:b/>
                      <w:lang w:eastAsia="zh-CN" w:bidi="ar"/>
                    </w:rPr>
                    <w:t>（</w:t>
                  </w:r>
                  <w:r>
                    <w:rPr>
                      <w:rFonts w:hint="eastAsia"/>
                      <w:b/>
                      <w:lang w:val="en-US" w:eastAsia="zh-CN" w:bidi="ar"/>
                    </w:rPr>
                    <w:t>地区</w:t>
                  </w:r>
                  <w:r>
                    <w:rPr>
                      <w:rFonts w:hint="eastAsia"/>
                      <w:b/>
                      <w:lang w:eastAsia="zh-CN" w:bidi="ar"/>
                    </w:rPr>
                    <w:t>）</w:t>
                  </w:r>
                </w:p>
              </w:tc>
              <w:tc>
                <w:tcPr>
                  <w:tcW w:w="1178" w:type="pct"/>
                  <w:vAlign w:val="center"/>
                </w:tcPr>
                <w:p w14:paraId="01BCD654">
                  <w:pPr>
                    <w:adjustRightInd w:val="0"/>
                    <w:spacing w:line="260" w:lineRule="exact"/>
                    <w:jc w:val="center"/>
                    <w:rPr>
                      <w:b/>
                    </w:rPr>
                  </w:pPr>
                  <w:r>
                    <w:rPr>
                      <w:b/>
                      <w:lang w:bidi="ar"/>
                    </w:rPr>
                    <w:t>县</w:t>
                  </w:r>
                </w:p>
              </w:tc>
              <w:tc>
                <w:tcPr>
                  <w:tcW w:w="554" w:type="pct"/>
                  <w:vMerge w:val="continue"/>
                  <w:vAlign w:val="center"/>
                </w:tcPr>
                <w:p w14:paraId="4476F7F5">
                  <w:pPr>
                    <w:adjustRightInd w:val="0"/>
                    <w:spacing w:line="260" w:lineRule="exact"/>
                    <w:rPr>
                      <w:szCs w:val="22"/>
                    </w:rPr>
                  </w:pPr>
                </w:p>
              </w:tc>
            </w:tr>
            <w:tr w14:paraId="1F73D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66" w:hRule="atLeast"/>
                <w:jc w:val="center"/>
              </w:trPr>
              <w:tc>
                <w:tcPr>
                  <w:tcW w:w="771" w:type="pct"/>
                  <w:vAlign w:val="center"/>
                </w:tcPr>
                <w:p w14:paraId="35D5EBB5">
                  <w:pPr>
                    <w:pStyle w:val="20"/>
                    <w:widowControl w:val="0"/>
                    <w:autoSpaceDE w:val="0"/>
                    <w:autoSpaceDN w:val="0"/>
                    <w:adjustRightInd w:val="0"/>
                    <w:spacing w:before="0" w:beforeAutospacing="0" w:after="0" w:afterAutospacing="0" w:line="260" w:lineRule="exact"/>
                    <w:jc w:val="center"/>
                    <w:rPr>
                      <w:rFonts w:ascii="Times New Roman" w:hAnsi="Times New Roman"/>
                      <w:kern w:val="2"/>
                      <w:sz w:val="21"/>
                    </w:rPr>
                  </w:pPr>
                  <w:r>
                    <w:rPr>
                      <w:rFonts w:ascii="Times New Roman" w:hAnsi="Times New Roman"/>
                      <w:kern w:val="2"/>
                      <w:sz w:val="21"/>
                      <w:lang w:bidi="ar"/>
                    </w:rPr>
                    <w:t>ZH65312920004</w:t>
                  </w:r>
                </w:p>
              </w:tc>
              <w:tc>
                <w:tcPr>
                  <w:tcW w:w="963" w:type="pct"/>
                  <w:vAlign w:val="center"/>
                </w:tcPr>
                <w:p w14:paraId="6AC04077">
                  <w:pPr>
                    <w:pStyle w:val="20"/>
                    <w:widowControl w:val="0"/>
                    <w:autoSpaceDE w:val="0"/>
                    <w:autoSpaceDN w:val="0"/>
                    <w:adjustRightInd w:val="0"/>
                    <w:spacing w:before="0" w:beforeAutospacing="0" w:after="0" w:afterAutospacing="0" w:line="260" w:lineRule="exact"/>
                    <w:jc w:val="center"/>
                    <w:rPr>
                      <w:rFonts w:ascii="Times New Roman" w:hAnsi="Times New Roman"/>
                      <w:kern w:val="2"/>
                      <w:sz w:val="21"/>
                    </w:rPr>
                  </w:pPr>
                  <w:r>
                    <w:rPr>
                      <w:rFonts w:hint="eastAsia" w:ascii="Times New Roman" w:hAnsi="Times New Roman"/>
                      <w:kern w:val="2"/>
                      <w:sz w:val="21"/>
                      <w:lang w:bidi="ar"/>
                    </w:rPr>
                    <w:t>伽师县城生活垃圾处理厂</w:t>
                  </w:r>
                </w:p>
              </w:tc>
              <w:tc>
                <w:tcPr>
                  <w:tcW w:w="832" w:type="pct"/>
                  <w:vAlign w:val="center"/>
                </w:tcPr>
                <w:p w14:paraId="6C75FA88">
                  <w:pPr>
                    <w:widowControl/>
                    <w:adjustRightInd w:val="0"/>
                    <w:spacing w:line="260" w:lineRule="exact"/>
                    <w:jc w:val="center"/>
                  </w:pPr>
                  <w:r>
                    <w:rPr>
                      <w:lang w:bidi="ar"/>
                    </w:rPr>
                    <w:t>新疆维吾尔自治区</w:t>
                  </w:r>
                </w:p>
              </w:tc>
              <w:tc>
                <w:tcPr>
                  <w:tcW w:w="699" w:type="pct"/>
                  <w:vAlign w:val="center"/>
                </w:tcPr>
                <w:p w14:paraId="0519236E">
                  <w:pPr>
                    <w:pStyle w:val="20"/>
                    <w:widowControl w:val="0"/>
                    <w:autoSpaceDE w:val="0"/>
                    <w:autoSpaceDN w:val="0"/>
                    <w:adjustRightInd w:val="0"/>
                    <w:spacing w:before="0" w:beforeAutospacing="0" w:after="0" w:afterAutospacing="0" w:line="260" w:lineRule="exact"/>
                    <w:jc w:val="center"/>
                    <w:rPr>
                      <w:rFonts w:ascii="Times New Roman" w:hAnsi="Times New Roman"/>
                      <w:kern w:val="2"/>
                      <w:sz w:val="21"/>
                    </w:rPr>
                  </w:pPr>
                  <w:r>
                    <w:rPr>
                      <w:rFonts w:ascii="Times New Roman" w:hAnsi="Times New Roman"/>
                      <w:kern w:val="2"/>
                      <w:sz w:val="21"/>
                      <w:lang w:bidi="ar"/>
                    </w:rPr>
                    <w:t xml:space="preserve">喀什地区 </w:t>
                  </w:r>
                </w:p>
              </w:tc>
              <w:tc>
                <w:tcPr>
                  <w:tcW w:w="1178" w:type="pct"/>
                  <w:vAlign w:val="center"/>
                </w:tcPr>
                <w:p w14:paraId="3070D55B">
                  <w:pPr>
                    <w:pStyle w:val="20"/>
                    <w:widowControl w:val="0"/>
                    <w:autoSpaceDE w:val="0"/>
                    <w:autoSpaceDN w:val="0"/>
                    <w:adjustRightInd w:val="0"/>
                    <w:spacing w:before="0" w:beforeAutospacing="0" w:after="0" w:afterAutospacing="0" w:line="260" w:lineRule="exact"/>
                    <w:jc w:val="center"/>
                    <w:rPr>
                      <w:rFonts w:ascii="Times New Roman" w:hAnsi="Times New Roman"/>
                      <w:kern w:val="2"/>
                      <w:sz w:val="21"/>
                    </w:rPr>
                  </w:pPr>
                  <w:r>
                    <w:rPr>
                      <w:rFonts w:hint="eastAsia" w:ascii="Times New Roman" w:hAnsi="Times New Roman"/>
                      <w:kern w:val="2"/>
                      <w:sz w:val="21"/>
                      <w:lang w:bidi="ar"/>
                    </w:rPr>
                    <w:t>伽师</w:t>
                  </w:r>
                  <w:r>
                    <w:rPr>
                      <w:rFonts w:ascii="Times New Roman" w:hAnsi="Times New Roman"/>
                      <w:kern w:val="2"/>
                      <w:sz w:val="21"/>
                      <w:lang w:bidi="ar"/>
                    </w:rPr>
                    <w:t xml:space="preserve">县 </w:t>
                  </w:r>
                </w:p>
              </w:tc>
              <w:tc>
                <w:tcPr>
                  <w:tcW w:w="554" w:type="pct"/>
                  <w:vAlign w:val="center"/>
                </w:tcPr>
                <w:p w14:paraId="73B5C5D8">
                  <w:pPr>
                    <w:widowControl/>
                    <w:adjustRightInd w:val="0"/>
                    <w:spacing w:line="260" w:lineRule="exact"/>
                    <w:jc w:val="center"/>
                  </w:pPr>
                  <w:r>
                    <w:rPr>
                      <w:rFonts w:hint="eastAsia"/>
                      <w:lang w:bidi="ar"/>
                    </w:rPr>
                    <w:t>重点管控</w:t>
                  </w:r>
                  <w:r>
                    <w:rPr>
                      <w:lang w:bidi="ar"/>
                    </w:rPr>
                    <w:t>单元</w:t>
                  </w:r>
                </w:p>
              </w:tc>
            </w:tr>
            <w:tr w14:paraId="7EFA7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771" w:type="pct"/>
                  <w:vAlign w:val="center"/>
                </w:tcPr>
                <w:p w14:paraId="3AC1CDA2">
                  <w:pPr>
                    <w:widowControl/>
                    <w:adjustRightInd w:val="0"/>
                    <w:spacing w:line="260" w:lineRule="exact"/>
                    <w:jc w:val="center"/>
                    <w:rPr>
                      <w:b/>
                    </w:rPr>
                  </w:pPr>
                  <w:r>
                    <w:rPr>
                      <w:b/>
                      <w:lang w:bidi="ar"/>
                    </w:rPr>
                    <w:t>管控维度</w:t>
                  </w:r>
                </w:p>
              </w:tc>
              <w:tc>
                <w:tcPr>
                  <w:tcW w:w="1796" w:type="pct"/>
                  <w:gridSpan w:val="2"/>
                  <w:vAlign w:val="center"/>
                </w:tcPr>
                <w:p w14:paraId="37FA8FE0">
                  <w:pPr>
                    <w:adjustRightInd w:val="0"/>
                    <w:spacing w:line="260" w:lineRule="exact"/>
                    <w:jc w:val="center"/>
                    <w:rPr>
                      <w:b/>
                    </w:rPr>
                  </w:pPr>
                  <w:r>
                    <w:rPr>
                      <w:b/>
                      <w:lang w:bidi="ar"/>
                    </w:rPr>
                    <w:t>管控要求</w:t>
                  </w:r>
                </w:p>
              </w:tc>
              <w:tc>
                <w:tcPr>
                  <w:tcW w:w="1878" w:type="pct"/>
                  <w:gridSpan w:val="2"/>
                  <w:vAlign w:val="center"/>
                </w:tcPr>
                <w:p w14:paraId="226E5DEB">
                  <w:pPr>
                    <w:adjustRightInd w:val="0"/>
                    <w:spacing w:line="260" w:lineRule="exact"/>
                    <w:jc w:val="center"/>
                    <w:rPr>
                      <w:b/>
                    </w:rPr>
                  </w:pPr>
                  <w:r>
                    <w:rPr>
                      <w:b/>
                      <w:lang w:bidi="ar"/>
                    </w:rPr>
                    <w:t>拟建公路情况</w:t>
                  </w:r>
                </w:p>
              </w:tc>
              <w:tc>
                <w:tcPr>
                  <w:tcW w:w="554" w:type="pct"/>
                  <w:vAlign w:val="center"/>
                </w:tcPr>
                <w:p w14:paraId="7F15B62B">
                  <w:pPr>
                    <w:adjustRightInd w:val="0"/>
                    <w:spacing w:line="260" w:lineRule="exact"/>
                    <w:jc w:val="center"/>
                    <w:rPr>
                      <w:b/>
                    </w:rPr>
                  </w:pPr>
                  <w:r>
                    <w:rPr>
                      <w:b/>
                      <w:lang w:bidi="ar"/>
                    </w:rPr>
                    <w:t>符合性</w:t>
                  </w:r>
                </w:p>
              </w:tc>
            </w:tr>
            <w:tr w14:paraId="043F5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99" w:hRule="atLeast"/>
                <w:jc w:val="center"/>
              </w:trPr>
              <w:tc>
                <w:tcPr>
                  <w:tcW w:w="771" w:type="pct"/>
                  <w:vAlign w:val="center"/>
                </w:tcPr>
                <w:p w14:paraId="6A13C9F0">
                  <w:pPr>
                    <w:widowControl/>
                    <w:adjustRightInd w:val="0"/>
                    <w:spacing w:line="260" w:lineRule="exact"/>
                    <w:jc w:val="center"/>
                  </w:pPr>
                  <w:r>
                    <w:rPr>
                      <w:lang w:bidi="ar"/>
                    </w:rPr>
                    <w:t>空间布局约束</w:t>
                  </w:r>
                </w:p>
              </w:tc>
              <w:tc>
                <w:tcPr>
                  <w:tcW w:w="1796" w:type="pct"/>
                  <w:gridSpan w:val="2"/>
                  <w:vAlign w:val="center"/>
                </w:tcPr>
                <w:p w14:paraId="1436DD13">
                  <w:pPr>
                    <w:pStyle w:val="20"/>
                    <w:widowControl w:val="0"/>
                    <w:autoSpaceDE w:val="0"/>
                    <w:autoSpaceDN w:val="0"/>
                    <w:adjustRightInd w:val="0"/>
                    <w:spacing w:before="0" w:beforeAutospacing="0" w:after="0" w:afterAutospacing="0" w:line="260" w:lineRule="exact"/>
                    <w:jc w:val="both"/>
                    <w:rPr>
                      <w:rFonts w:ascii="Times New Roman" w:hAnsi="Times New Roman"/>
                      <w:kern w:val="2"/>
                      <w:sz w:val="21"/>
                    </w:rPr>
                  </w:pPr>
                  <w:r>
                    <w:rPr>
                      <w:rFonts w:ascii="Times New Roman" w:hAnsi="Times New Roman"/>
                      <w:kern w:val="2"/>
                      <w:sz w:val="21"/>
                      <w:lang w:bidi="ar"/>
                    </w:rPr>
                    <w:t xml:space="preserve">执行喀什地区重点环境管控单元分类管控要求中“A6.1-5”的相关要求。 </w:t>
                  </w:r>
                </w:p>
              </w:tc>
              <w:tc>
                <w:tcPr>
                  <w:tcW w:w="1878" w:type="pct"/>
                  <w:gridSpan w:val="2"/>
                  <w:vAlign w:val="center"/>
                </w:tcPr>
                <w:p w14:paraId="17CBD010">
                  <w:pPr>
                    <w:tabs>
                      <w:tab w:val="left" w:pos="1021"/>
                    </w:tabs>
                    <w:adjustRightInd w:val="0"/>
                    <w:spacing w:line="260" w:lineRule="exact"/>
                  </w:pPr>
                  <w:r>
                    <w:rPr>
                      <w:rFonts w:hint="eastAsia"/>
                      <w:lang w:bidi="ar"/>
                    </w:rPr>
                    <w:t>伽师县城生活垃圾处理厂未列入</w:t>
                  </w:r>
                  <w:r>
                    <w:t>建设用地土壤污染风险管控和修复名录</w:t>
                  </w:r>
                  <w:r>
                    <w:rPr>
                      <w:rFonts w:hint="eastAsia"/>
                    </w:rPr>
                    <w:t>，本项目为公路建设项目，符合</w:t>
                  </w:r>
                  <w:r>
                    <w:rPr>
                      <w:lang w:bidi="ar"/>
                    </w:rPr>
                    <w:t>“A6.1-5”的相关要求</w:t>
                  </w:r>
                  <w:r>
                    <w:rPr>
                      <w:rFonts w:hint="eastAsia"/>
                      <w:lang w:bidi="ar"/>
                    </w:rPr>
                    <w:t>。</w:t>
                  </w:r>
                </w:p>
              </w:tc>
              <w:tc>
                <w:tcPr>
                  <w:tcW w:w="554" w:type="pct"/>
                  <w:vAlign w:val="center"/>
                </w:tcPr>
                <w:p w14:paraId="00F9A519">
                  <w:pPr>
                    <w:tabs>
                      <w:tab w:val="left" w:pos="1021"/>
                    </w:tabs>
                    <w:adjustRightInd w:val="0"/>
                    <w:spacing w:line="260" w:lineRule="exact"/>
                    <w:jc w:val="center"/>
                  </w:pPr>
                  <w:r>
                    <w:rPr>
                      <w:lang w:bidi="ar"/>
                    </w:rPr>
                    <w:t>符合</w:t>
                  </w:r>
                </w:p>
              </w:tc>
            </w:tr>
            <w:tr w14:paraId="02B5F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99" w:hRule="atLeast"/>
                <w:jc w:val="center"/>
              </w:trPr>
              <w:tc>
                <w:tcPr>
                  <w:tcW w:w="771" w:type="pct"/>
                  <w:vAlign w:val="center"/>
                </w:tcPr>
                <w:p w14:paraId="0CA4F01A">
                  <w:pPr>
                    <w:widowControl/>
                    <w:adjustRightInd w:val="0"/>
                    <w:spacing w:line="260" w:lineRule="exact"/>
                    <w:jc w:val="center"/>
                  </w:pPr>
                  <w:r>
                    <w:rPr>
                      <w:lang w:bidi="ar"/>
                    </w:rPr>
                    <w:t>污染物排放管控</w:t>
                  </w:r>
                </w:p>
              </w:tc>
              <w:tc>
                <w:tcPr>
                  <w:tcW w:w="1796" w:type="pct"/>
                  <w:gridSpan w:val="2"/>
                  <w:vAlign w:val="center"/>
                </w:tcPr>
                <w:p w14:paraId="2E9BDA30">
                  <w:pPr>
                    <w:pStyle w:val="20"/>
                    <w:widowControl w:val="0"/>
                    <w:autoSpaceDE w:val="0"/>
                    <w:autoSpaceDN w:val="0"/>
                    <w:adjustRightInd w:val="0"/>
                    <w:spacing w:before="0" w:beforeAutospacing="0" w:after="0" w:afterAutospacing="0" w:line="260" w:lineRule="exact"/>
                    <w:rPr>
                      <w:rFonts w:ascii="Times New Roman" w:hAnsi="Times New Roman"/>
                      <w:kern w:val="2"/>
                      <w:sz w:val="21"/>
                      <w:lang w:bidi="ar"/>
                    </w:rPr>
                  </w:pPr>
                  <w:r>
                    <w:rPr>
                      <w:rFonts w:ascii="Times New Roman" w:hAnsi="Times New Roman"/>
                      <w:kern w:val="2"/>
                      <w:sz w:val="21"/>
                      <w:lang w:bidi="ar"/>
                    </w:rPr>
                    <w:t xml:space="preserve">1.执行喀什地区总体管控要求中“A2.3-9”的相关要求。 </w:t>
                  </w:r>
                </w:p>
                <w:p w14:paraId="2C0E3B9C">
                  <w:pPr>
                    <w:pStyle w:val="20"/>
                    <w:widowControl w:val="0"/>
                    <w:autoSpaceDE w:val="0"/>
                    <w:autoSpaceDN w:val="0"/>
                    <w:adjustRightInd w:val="0"/>
                    <w:spacing w:before="0" w:beforeAutospacing="0" w:after="0" w:afterAutospacing="0" w:line="260" w:lineRule="exact"/>
                    <w:rPr>
                      <w:rFonts w:ascii="Times New Roman" w:hAnsi="Times New Roman"/>
                      <w:kern w:val="2"/>
                      <w:sz w:val="21"/>
                      <w:lang w:bidi="ar"/>
                    </w:rPr>
                  </w:pPr>
                  <w:r>
                    <w:rPr>
                      <w:rFonts w:ascii="Times New Roman" w:hAnsi="Times New Roman"/>
                      <w:kern w:val="2"/>
                      <w:sz w:val="21"/>
                      <w:lang w:bidi="ar"/>
                    </w:rPr>
                    <w:t xml:space="preserve">2.执行喀什地区重点环境管控单元分类管控要求中“A6.2”的相关要求。 </w:t>
                  </w:r>
                </w:p>
                <w:p w14:paraId="3911A95D">
                  <w:pPr>
                    <w:pStyle w:val="20"/>
                    <w:widowControl w:val="0"/>
                    <w:autoSpaceDE w:val="0"/>
                    <w:autoSpaceDN w:val="0"/>
                    <w:adjustRightInd w:val="0"/>
                    <w:spacing w:before="0" w:beforeAutospacing="0" w:after="0" w:afterAutospacing="0" w:line="260" w:lineRule="exact"/>
                    <w:rPr>
                      <w:rFonts w:ascii="Times New Roman" w:hAnsi="Times New Roman"/>
                      <w:kern w:val="2"/>
                      <w:sz w:val="21"/>
                    </w:rPr>
                  </w:pPr>
                  <w:r>
                    <w:rPr>
                      <w:rFonts w:ascii="Times New Roman" w:hAnsi="Times New Roman"/>
                      <w:kern w:val="2"/>
                      <w:sz w:val="21"/>
                      <w:lang w:bidi="ar"/>
                    </w:rPr>
                    <w:t>3.新建、改建、扩建石油炼化业、农副食品加工业、造纸和纸制品业、酒与饮料制造业建设项目实行主要污染物排放等量或减量置换</w:t>
                  </w:r>
                  <w:r>
                    <w:rPr>
                      <w:rFonts w:hint="eastAsia" w:ascii="Times New Roman" w:hAnsi="Times New Roman"/>
                      <w:kern w:val="2"/>
                      <w:sz w:val="21"/>
                      <w:lang w:bidi="ar"/>
                    </w:rPr>
                    <w:t>。</w:t>
                  </w:r>
                </w:p>
              </w:tc>
              <w:tc>
                <w:tcPr>
                  <w:tcW w:w="1878" w:type="pct"/>
                  <w:gridSpan w:val="2"/>
                  <w:vAlign w:val="center"/>
                </w:tcPr>
                <w:p w14:paraId="759B1884">
                  <w:pPr>
                    <w:tabs>
                      <w:tab w:val="left" w:pos="1021"/>
                    </w:tabs>
                    <w:adjustRightInd w:val="0"/>
                    <w:spacing w:line="260" w:lineRule="exact"/>
                    <w:rPr>
                      <w:lang w:bidi="ar"/>
                    </w:rPr>
                  </w:pPr>
                  <w:r>
                    <w:rPr>
                      <w:rFonts w:hint="eastAsia"/>
                      <w:lang w:bidi="ar"/>
                    </w:rPr>
                    <w:t>1.本项目为公路建设项目，符合</w:t>
                  </w:r>
                  <w:r>
                    <w:rPr>
                      <w:lang w:bidi="ar"/>
                    </w:rPr>
                    <w:t>“A2.3-9”的相关要求</w:t>
                  </w:r>
                  <w:r>
                    <w:rPr>
                      <w:rFonts w:hint="eastAsia"/>
                      <w:lang w:bidi="ar"/>
                    </w:rPr>
                    <w:t>。</w:t>
                  </w:r>
                </w:p>
                <w:p w14:paraId="5A0887F2">
                  <w:pPr>
                    <w:tabs>
                      <w:tab w:val="left" w:pos="1021"/>
                    </w:tabs>
                    <w:adjustRightInd w:val="0"/>
                    <w:spacing w:line="260" w:lineRule="exact"/>
                    <w:jc w:val="left"/>
                    <w:rPr>
                      <w:lang w:bidi="ar"/>
                    </w:rPr>
                  </w:pPr>
                  <w:r>
                    <w:rPr>
                      <w:rFonts w:hint="eastAsia"/>
                    </w:rPr>
                    <w:t>2.</w:t>
                  </w:r>
                  <w:r>
                    <w:rPr>
                      <w:rFonts w:hint="eastAsia"/>
                      <w:lang w:val="en-US" w:eastAsia="zh-CN"/>
                    </w:rPr>
                    <w:t>本项目</w:t>
                  </w:r>
                  <w:r>
                    <w:rPr>
                      <w:rFonts w:hint="eastAsia"/>
                    </w:rPr>
                    <w:t>施工过程中采取抑尘措施、施工及运营</w:t>
                  </w:r>
                  <w:r>
                    <w:rPr>
                      <w:rFonts w:hint="eastAsia"/>
                      <w:lang w:val="en-US" w:eastAsia="zh-CN"/>
                    </w:rPr>
                    <w:t>期</w:t>
                  </w:r>
                  <w:r>
                    <w:rPr>
                      <w:rFonts w:hint="eastAsia"/>
                    </w:rPr>
                    <w:t>产生的废污水处理后回用，施工及运营期固废均妥善处置，不随意外排，符合</w:t>
                  </w:r>
                  <w:r>
                    <w:rPr>
                      <w:lang w:bidi="ar"/>
                    </w:rPr>
                    <w:t>“A6.2”的相关要求</w:t>
                  </w:r>
                  <w:r>
                    <w:rPr>
                      <w:rFonts w:hint="eastAsia"/>
                      <w:lang w:bidi="ar"/>
                    </w:rPr>
                    <w:t>。</w:t>
                  </w:r>
                </w:p>
                <w:p w14:paraId="145442D5">
                  <w:pPr>
                    <w:tabs>
                      <w:tab w:val="left" w:pos="1021"/>
                    </w:tabs>
                    <w:adjustRightInd w:val="0"/>
                    <w:spacing w:line="260" w:lineRule="exact"/>
                    <w:jc w:val="left"/>
                  </w:pPr>
                  <w:r>
                    <w:rPr>
                      <w:rFonts w:hint="eastAsia"/>
                      <w:lang w:bidi="ar"/>
                    </w:rPr>
                    <w:t>3.本项目为公路建设项目，无</w:t>
                  </w:r>
                  <w:r>
                    <w:rPr>
                      <w:lang w:bidi="ar"/>
                    </w:rPr>
                    <w:t>主要污染物排放等量或减量置换</w:t>
                  </w:r>
                  <w:r>
                    <w:rPr>
                      <w:rFonts w:hint="eastAsia"/>
                      <w:lang w:bidi="ar"/>
                    </w:rPr>
                    <w:t>要求。</w:t>
                  </w:r>
                </w:p>
              </w:tc>
              <w:tc>
                <w:tcPr>
                  <w:tcW w:w="554" w:type="pct"/>
                  <w:vAlign w:val="center"/>
                </w:tcPr>
                <w:p w14:paraId="7F9498C7">
                  <w:pPr>
                    <w:tabs>
                      <w:tab w:val="left" w:pos="1021"/>
                    </w:tabs>
                    <w:adjustRightInd w:val="0"/>
                    <w:spacing w:line="260" w:lineRule="exact"/>
                    <w:jc w:val="center"/>
                  </w:pPr>
                  <w:r>
                    <w:rPr>
                      <w:lang w:bidi="ar"/>
                    </w:rPr>
                    <w:t>符合</w:t>
                  </w:r>
                </w:p>
              </w:tc>
            </w:tr>
            <w:tr w14:paraId="0A34C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99" w:hRule="atLeast"/>
                <w:jc w:val="center"/>
              </w:trPr>
              <w:tc>
                <w:tcPr>
                  <w:tcW w:w="771" w:type="pct"/>
                  <w:vAlign w:val="center"/>
                </w:tcPr>
                <w:p w14:paraId="1A78D603">
                  <w:pPr>
                    <w:widowControl/>
                    <w:adjustRightInd w:val="0"/>
                    <w:jc w:val="center"/>
                  </w:pPr>
                  <w:r>
                    <w:rPr>
                      <w:lang w:bidi="ar"/>
                    </w:rPr>
                    <w:t>环境风险防控</w:t>
                  </w:r>
                </w:p>
              </w:tc>
              <w:tc>
                <w:tcPr>
                  <w:tcW w:w="1796" w:type="pct"/>
                  <w:gridSpan w:val="2"/>
                  <w:vAlign w:val="center"/>
                </w:tcPr>
                <w:p w14:paraId="28B6DF8D">
                  <w:pPr>
                    <w:pStyle w:val="20"/>
                    <w:widowControl w:val="0"/>
                    <w:autoSpaceDE w:val="0"/>
                    <w:autoSpaceDN w:val="0"/>
                    <w:adjustRightInd w:val="0"/>
                    <w:spacing w:before="0" w:beforeAutospacing="0" w:after="0" w:afterAutospacing="0"/>
                    <w:rPr>
                      <w:rFonts w:ascii="Times New Roman" w:hAnsi="Times New Roman"/>
                      <w:kern w:val="2"/>
                      <w:sz w:val="21"/>
                      <w:lang w:bidi="ar"/>
                    </w:rPr>
                  </w:pPr>
                  <w:r>
                    <w:rPr>
                      <w:rFonts w:ascii="Times New Roman" w:hAnsi="Times New Roman"/>
                      <w:kern w:val="2"/>
                      <w:sz w:val="21"/>
                      <w:lang w:bidi="ar"/>
                    </w:rPr>
                    <w:t xml:space="preserve">1.执行喀什地区重点环境管控单元分类管控要求中“A6.3-3、A6.3-5”的相关要求。 </w:t>
                  </w:r>
                </w:p>
                <w:p w14:paraId="0AAAE005">
                  <w:pPr>
                    <w:pStyle w:val="20"/>
                    <w:widowControl w:val="0"/>
                    <w:autoSpaceDE w:val="0"/>
                    <w:autoSpaceDN w:val="0"/>
                    <w:adjustRightInd w:val="0"/>
                    <w:spacing w:before="0" w:beforeAutospacing="0" w:after="0" w:afterAutospacing="0"/>
                    <w:rPr>
                      <w:rFonts w:ascii="Times New Roman" w:hAnsi="Times New Roman"/>
                      <w:kern w:val="2"/>
                      <w:sz w:val="21"/>
                    </w:rPr>
                  </w:pPr>
                  <w:r>
                    <w:rPr>
                      <w:rFonts w:ascii="Times New Roman" w:hAnsi="Times New Roman"/>
                      <w:kern w:val="2"/>
                      <w:sz w:val="21"/>
                      <w:lang w:bidi="ar"/>
                    </w:rPr>
                    <w:t>2.开展建设用地污染风险重点管控企业土壤监督性监测工作，重点监测对环境影响较大的特征污染物</w:t>
                  </w:r>
                  <w:r>
                    <w:rPr>
                      <w:rFonts w:hint="eastAsia" w:ascii="Times New Roman" w:hAnsi="Times New Roman"/>
                      <w:kern w:val="2"/>
                      <w:sz w:val="21"/>
                      <w:lang w:bidi="ar"/>
                    </w:rPr>
                    <w:t>。</w:t>
                  </w:r>
                </w:p>
              </w:tc>
              <w:tc>
                <w:tcPr>
                  <w:tcW w:w="1878" w:type="pct"/>
                  <w:gridSpan w:val="2"/>
                  <w:vAlign w:val="center"/>
                </w:tcPr>
                <w:p w14:paraId="5860D158">
                  <w:pPr>
                    <w:tabs>
                      <w:tab w:val="left" w:pos="1021"/>
                    </w:tabs>
                    <w:adjustRightInd w:val="0"/>
                    <w:jc w:val="left"/>
                    <w:rPr>
                      <w:lang w:bidi="ar"/>
                    </w:rPr>
                  </w:pPr>
                  <w:r>
                    <w:rPr>
                      <w:rFonts w:hint="eastAsia"/>
                      <w:lang w:bidi="ar"/>
                    </w:rPr>
                    <w:t>1.本项目生活垃圾由环卫部门定期清运，不随意倾倒，符合“A6.3-3”相关要求；本项目不涉及有毒、有害物质</w:t>
                  </w:r>
                  <w:r>
                    <w:rPr>
                      <w:rFonts w:hint="eastAsia"/>
                      <w:lang w:val="en-US" w:eastAsia="zh-CN" w:bidi="ar"/>
                    </w:rPr>
                    <w:t>的生产</w:t>
                  </w:r>
                  <w:r>
                    <w:rPr>
                      <w:rFonts w:hint="eastAsia"/>
                      <w:lang w:bidi="ar"/>
                    </w:rPr>
                    <w:t>，运营期编制危化品运输车辆突发事故环境应急预案，符合“A6.3-5”的相关要求。</w:t>
                  </w:r>
                </w:p>
                <w:p w14:paraId="154BF949">
                  <w:pPr>
                    <w:tabs>
                      <w:tab w:val="left" w:pos="1021"/>
                    </w:tabs>
                    <w:adjustRightInd w:val="0"/>
                    <w:jc w:val="left"/>
                  </w:pPr>
                  <w:r>
                    <w:rPr>
                      <w:rFonts w:hint="eastAsia"/>
                    </w:rPr>
                    <w:t>2.本项目不属于建设用地污染风险重点管控企业，可不进行土壤监测工作。</w:t>
                  </w:r>
                </w:p>
              </w:tc>
              <w:tc>
                <w:tcPr>
                  <w:tcW w:w="554" w:type="pct"/>
                  <w:vAlign w:val="center"/>
                </w:tcPr>
                <w:p w14:paraId="1EA7109B">
                  <w:pPr>
                    <w:tabs>
                      <w:tab w:val="left" w:pos="1021"/>
                    </w:tabs>
                    <w:adjustRightInd w:val="0"/>
                    <w:jc w:val="center"/>
                  </w:pPr>
                  <w:r>
                    <w:rPr>
                      <w:lang w:bidi="ar"/>
                    </w:rPr>
                    <w:t>符合</w:t>
                  </w:r>
                </w:p>
              </w:tc>
            </w:tr>
            <w:tr w14:paraId="45DA9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99" w:hRule="atLeast"/>
                <w:jc w:val="center"/>
              </w:trPr>
              <w:tc>
                <w:tcPr>
                  <w:tcW w:w="771" w:type="pct"/>
                  <w:vAlign w:val="center"/>
                </w:tcPr>
                <w:p w14:paraId="26EE1C56">
                  <w:pPr>
                    <w:widowControl/>
                    <w:adjustRightInd w:val="0"/>
                    <w:jc w:val="center"/>
                  </w:pPr>
                  <w:r>
                    <w:rPr>
                      <w:lang w:bidi="ar"/>
                    </w:rPr>
                    <w:t>资源开发效率要求</w:t>
                  </w:r>
                </w:p>
              </w:tc>
              <w:tc>
                <w:tcPr>
                  <w:tcW w:w="1796" w:type="pct"/>
                  <w:gridSpan w:val="2"/>
                  <w:vAlign w:val="center"/>
                </w:tcPr>
                <w:p w14:paraId="17C1D9E0">
                  <w:pPr>
                    <w:pStyle w:val="20"/>
                    <w:widowControl w:val="0"/>
                    <w:autoSpaceDE w:val="0"/>
                    <w:autoSpaceDN w:val="0"/>
                    <w:adjustRightInd w:val="0"/>
                    <w:spacing w:before="0" w:beforeAutospacing="0" w:after="0" w:afterAutospacing="0"/>
                    <w:jc w:val="center"/>
                    <w:rPr>
                      <w:rFonts w:ascii="Times New Roman" w:hAnsi="Times New Roman"/>
                      <w:kern w:val="2"/>
                      <w:sz w:val="21"/>
                    </w:rPr>
                  </w:pPr>
                  <w:r>
                    <w:rPr>
                      <w:rFonts w:ascii="Times New Roman" w:hAnsi="Times New Roman"/>
                      <w:kern w:val="2"/>
                      <w:sz w:val="21"/>
                      <w:lang w:bidi="ar"/>
                    </w:rPr>
                    <w:t>无</w:t>
                  </w:r>
                </w:p>
              </w:tc>
              <w:tc>
                <w:tcPr>
                  <w:tcW w:w="1878" w:type="pct"/>
                  <w:gridSpan w:val="2"/>
                  <w:vAlign w:val="center"/>
                </w:tcPr>
                <w:p w14:paraId="02D0168F">
                  <w:pPr>
                    <w:tabs>
                      <w:tab w:val="left" w:pos="1021"/>
                    </w:tabs>
                    <w:adjustRightInd w:val="0"/>
                    <w:jc w:val="center"/>
                  </w:pPr>
                  <w:r>
                    <w:rPr>
                      <w:lang w:bidi="ar"/>
                    </w:rPr>
                    <w:t>/</w:t>
                  </w:r>
                </w:p>
              </w:tc>
              <w:tc>
                <w:tcPr>
                  <w:tcW w:w="554" w:type="pct"/>
                  <w:vAlign w:val="center"/>
                </w:tcPr>
                <w:p w14:paraId="03FE1790">
                  <w:pPr>
                    <w:tabs>
                      <w:tab w:val="left" w:pos="1021"/>
                    </w:tabs>
                    <w:adjustRightInd w:val="0"/>
                    <w:jc w:val="center"/>
                  </w:pPr>
                  <w:r>
                    <w:rPr>
                      <w:lang w:bidi="ar"/>
                    </w:rPr>
                    <w:t>符合</w:t>
                  </w:r>
                </w:p>
              </w:tc>
            </w:tr>
          </w:tbl>
          <w:p w14:paraId="728BEA8F">
            <w:pPr>
              <w:keepNext w:val="0"/>
              <w:keepLines w:val="0"/>
              <w:pageBreakBefore w:val="0"/>
              <w:widowControl w:val="0"/>
              <w:kinsoku/>
              <w:wordWrap/>
              <w:overflowPunct/>
              <w:topLinePunct w:val="0"/>
              <w:autoSpaceDE/>
              <w:autoSpaceDN/>
              <w:bidi w:val="0"/>
              <w:adjustRightInd w:val="0"/>
              <w:snapToGrid/>
              <w:spacing w:before="313" w:beforeLines="100"/>
              <w:jc w:val="center"/>
              <w:textAlignment w:val="auto"/>
              <w:rPr>
                <w:rFonts w:eastAsiaTheme="minorEastAsia"/>
                <w:b/>
              </w:rPr>
            </w:pPr>
            <w:r>
              <w:rPr>
                <w:rFonts w:eastAsiaTheme="minorEastAsia"/>
                <w:b/>
              </w:rPr>
              <w:t>表</w:t>
            </w:r>
            <w:r>
              <w:rPr>
                <w:rFonts w:hint="eastAsia" w:eastAsiaTheme="minorEastAsia"/>
                <w:b/>
                <w:lang w:val="en-US" w:eastAsia="zh-CN"/>
              </w:rPr>
              <w:t>1</w:t>
            </w:r>
            <w:r>
              <w:rPr>
                <w:rFonts w:eastAsiaTheme="minorEastAsia"/>
                <w:b/>
              </w:rPr>
              <w:t>-</w:t>
            </w:r>
            <w:r>
              <w:rPr>
                <w:rFonts w:hint="eastAsia" w:eastAsiaTheme="minorEastAsia"/>
                <w:b/>
                <w:lang w:val="en-US" w:eastAsia="zh-CN"/>
              </w:rPr>
              <w:t>6</w:t>
            </w:r>
            <w:r>
              <w:rPr>
                <w:rFonts w:eastAsiaTheme="minorEastAsia"/>
                <w:b/>
              </w:rPr>
              <w:t xml:space="preserve">  拟建公路</w:t>
            </w:r>
            <w:r>
              <w:rPr>
                <w:rFonts w:hint="eastAsia" w:eastAsiaTheme="minorEastAsia"/>
                <w:b/>
                <w:lang w:val="en-US" w:eastAsia="zh-CN"/>
              </w:rPr>
              <w:t>与管控单元准入清单</w:t>
            </w:r>
            <w:r>
              <w:rPr>
                <w:rFonts w:eastAsiaTheme="minorEastAsia"/>
                <w:b/>
              </w:rPr>
              <w:t>符合性分析一览表</w:t>
            </w:r>
          </w:p>
          <w:tbl>
            <w:tblPr>
              <w:tblStyle w:val="22"/>
              <w:tblW w:w="498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992"/>
              <w:gridCol w:w="1687"/>
              <w:gridCol w:w="927"/>
              <w:gridCol w:w="1021"/>
              <w:gridCol w:w="2011"/>
              <w:gridCol w:w="805"/>
            </w:tblGrid>
            <w:tr w14:paraId="2EF65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665" w:type="pct"/>
                  <w:vMerge w:val="restart"/>
                  <w:vAlign w:val="center"/>
                </w:tcPr>
                <w:p w14:paraId="7CB25CBE">
                  <w:pPr>
                    <w:widowControl/>
                    <w:adjustRightInd w:val="0"/>
                    <w:jc w:val="center"/>
                    <w:rPr>
                      <w:b/>
                    </w:rPr>
                  </w:pPr>
                  <w:r>
                    <w:rPr>
                      <w:b/>
                      <w:lang w:bidi="ar"/>
                    </w:rPr>
                    <w:t>环境管控单元编码</w:t>
                  </w:r>
                </w:p>
              </w:tc>
              <w:tc>
                <w:tcPr>
                  <w:tcW w:w="1133" w:type="pct"/>
                  <w:vMerge w:val="restart"/>
                  <w:vAlign w:val="center"/>
                </w:tcPr>
                <w:p w14:paraId="619CE6DF">
                  <w:pPr>
                    <w:widowControl/>
                    <w:adjustRightInd w:val="0"/>
                    <w:jc w:val="center"/>
                    <w:rPr>
                      <w:b/>
                    </w:rPr>
                  </w:pPr>
                  <w:r>
                    <w:rPr>
                      <w:b/>
                      <w:lang w:bidi="ar"/>
                    </w:rPr>
                    <w:t>单元名称</w:t>
                  </w:r>
                </w:p>
              </w:tc>
              <w:tc>
                <w:tcPr>
                  <w:tcW w:w="2660" w:type="pct"/>
                  <w:gridSpan w:val="3"/>
                  <w:vAlign w:val="center"/>
                </w:tcPr>
                <w:p w14:paraId="5B51F0F8">
                  <w:pPr>
                    <w:widowControl/>
                    <w:adjustRightInd w:val="0"/>
                    <w:jc w:val="center"/>
                    <w:rPr>
                      <w:b/>
                    </w:rPr>
                  </w:pPr>
                  <w:r>
                    <w:rPr>
                      <w:b/>
                      <w:lang w:bidi="ar"/>
                    </w:rPr>
                    <w:t>行政区划</w:t>
                  </w:r>
                </w:p>
              </w:tc>
              <w:tc>
                <w:tcPr>
                  <w:tcW w:w="542" w:type="pct"/>
                  <w:vMerge w:val="restart"/>
                  <w:vAlign w:val="center"/>
                </w:tcPr>
                <w:p w14:paraId="74B64407">
                  <w:pPr>
                    <w:widowControl/>
                    <w:adjustRightInd w:val="0"/>
                    <w:jc w:val="center"/>
                    <w:rPr>
                      <w:b/>
                      <w:lang w:bidi="ar"/>
                    </w:rPr>
                  </w:pPr>
                  <w:r>
                    <w:rPr>
                      <w:b/>
                      <w:lang w:bidi="ar"/>
                    </w:rPr>
                    <w:t>单元</w:t>
                  </w:r>
                </w:p>
                <w:p w14:paraId="719652E0">
                  <w:pPr>
                    <w:widowControl/>
                    <w:adjustRightInd w:val="0"/>
                    <w:jc w:val="center"/>
                    <w:rPr>
                      <w:b/>
                    </w:rPr>
                  </w:pPr>
                  <w:r>
                    <w:rPr>
                      <w:b/>
                      <w:lang w:bidi="ar"/>
                    </w:rPr>
                    <w:t>分类</w:t>
                  </w:r>
                </w:p>
              </w:tc>
            </w:tr>
            <w:tr w14:paraId="615D9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9" w:hRule="atLeast"/>
                <w:tblHeader/>
                <w:jc w:val="center"/>
              </w:trPr>
              <w:tc>
                <w:tcPr>
                  <w:tcW w:w="665" w:type="pct"/>
                  <w:vMerge w:val="continue"/>
                  <w:vAlign w:val="center"/>
                </w:tcPr>
                <w:p w14:paraId="3B049B72">
                  <w:pPr>
                    <w:adjustRightInd w:val="0"/>
                    <w:rPr>
                      <w:szCs w:val="22"/>
                    </w:rPr>
                  </w:pPr>
                </w:p>
              </w:tc>
              <w:tc>
                <w:tcPr>
                  <w:tcW w:w="1133" w:type="pct"/>
                  <w:vMerge w:val="continue"/>
                  <w:vAlign w:val="center"/>
                </w:tcPr>
                <w:p w14:paraId="3ACC3AE2">
                  <w:pPr>
                    <w:adjustRightInd w:val="0"/>
                    <w:rPr>
                      <w:szCs w:val="22"/>
                    </w:rPr>
                  </w:pPr>
                </w:p>
              </w:tc>
              <w:tc>
                <w:tcPr>
                  <w:tcW w:w="623" w:type="pct"/>
                  <w:vAlign w:val="center"/>
                </w:tcPr>
                <w:p w14:paraId="47FBBB1B">
                  <w:pPr>
                    <w:adjustRightInd w:val="0"/>
                    <w:jc w:val="center"/>
                    <w:rPr>
                      <w:rFonts w:hint="eastAsia" w:eastAsia="宋体"/>
                      <w:b/>
                      <w:lang w:eastAsia="zh-CN"/>
                    </w:rPr>
                  </w:pPr>
                  <w:r>
                    <w:rPr>
                      <w:rFonts w:hint="eastAsia"/>
                      <w:b/>
                      <w:lang w:val="en-US" w:eastAsia="zh-CN" w:bidi="ar"/>
                    </w:rPr>
                    <w:t>自治区</w:t>
                  </w:r>
                </w:p>
              </w:tc>
              <w:tc>
                <w:tcPr>
                  <w:tcW w:w="686" w:type="pct"/>
                  <w:vAlign w:val="center"/>
                </w:tcPr>
                <w:p w14:paraId="1F45CDD5">
                  <w:pPr>
                    <w:adjustRightInd w:val="0"/>
                    <w:jc w:val="center"/>
                    <w:rPr>
                      <w:rFonts w:hint="eastAsia" w:eastAsia="宋体"/>
                      <w:b/>
                      <w:lang w:eastAsia="zh-CN"/>
                    </w:rPr>
                  </w:pPr>
                  <w:r>
                    <w:rPr>
                      <w:b/>
                      <w:lang w:bidi="ar"/>
                    </w:rPr>
                    <w:t>州</w:t>
                  </w:r>
                  <w:r>
                    <w:rPr>
                      <w:rFonts w:hint="eastAsia"/>
                      <w:b/>
                      <w:lang w:eastAsia="zh-CN" w:bidi="ar"/>
                    </w:rPr>
                    <w:t>（</w:t>
                  </w:r>
                  <w:r>
                    <w:rPr>
                      <w:rFonts w:hint="eastAsia"/>
                      <w:b/>
                      <w:lang w:val="en-US" w:eastAsia="zh-CN" w:bidi="ar"/>
                    </w:rPr>
                    <w:t>地区</w:t>
                  </w:r>
                  <w:r>
                    <w:rPr>
                      <w:rFonts w:hint="eastAsia"/>
                      <w:b/>
                      <w:lang w:eastAsia="zh-CN" w:bidi="ar"/>
                    </w:rPr>
                    <w:t>）</w:t>
                  </w:r>
                </w:p>
              </w:tc>
              <w:tc>
                <w:tcPr>
                  <w:tcW w:w="1351" w:type="pct"/>
                  <w:vAlign w:val="center"/>
                </w:tcPr>
                <w:p w14:paraId="53F621BF">
                  <w:pPr>
                    <w:adjustRightInd w:val="0"/>
                    <w:jc w:val="center"/>
                    <w:rPr>
                      <w:b/>
                    </w:rPr>
                  </w:pPr>
                  <w:r>
                    <w:rPr>
                      <w:b/>
                      <w:lang w:bidi="ar"/>
                    </w:rPr>
                    <w:t>县</w:t>
                  </w:r>
                </w:p>
              </w:tc>
              <w:tc>
                <w:tcPr>
                  <w:tcW w:w="542" w:type="pct"/>
                  <w:vMerge w:val="continue"/>
                  <w:vAlign w:val="center"/>
                </w:tcPr>
                <w:p w14:paraId="24796D29">
                  <w:pPr>
                    <w:adjustRightInd w:val="0"/>
                    <w:rPr>
                      <w:szCs w:val="22"/>
                    </w:rPr>
                  </w:pPr>
                </w:p>
              </w:tc>
            </w:tr>
            <w:tr w14:paraId="64B6D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3" w:hRule="atLeast"/>
                <w:jc w:val="center"/>
              </w:trPr>
              <w:tc>
                <w:tcPr>
                  <w:tcW w:w="665" w:type="pct"/>
                  <w:vAlign w:val="center"/>
                </w:tcPr>
                <w:p w14:paraId="5D7925A4">
                  <w:pPr>
                    <w:pStyle w:val="20"/>
                    <w:widowControl w:val="0"/>
                    <w:autoSpaceDE w:val="0"/>
                    <w:autoSpaceDN w:val="0"/>
                    <w:adjustRightInd w:val="0"/>
                    <w:spacing w:before="0" w:beforeAutospacing="0" w:after="0" w:afterAutospacing="0"/>
                    <w:jc w:val="center"/>
                    <w:rPr>
                      <w:rFonts w:ascii="Times New Roman" w:hAnsi="Times New Roman"/>
                      <w:kern w:val="2"/>
                      <w:sz w:val="21"/>
                    </w:rPr>
                  </w:pPr>
                  <w:r>
                    <w:rPr>
                      <w:rFonts w:ascii="Times New Roman" w:hAnsi="Times New Roman"/>
                      <w:kern w:val="2"/>
                      <w:sz w:val="21"/>
                      <w:lang w:bidi="ar"/>
                    </w:rPr>
                    <w:t>ZH65312920005</w:t>
                  </w:r>
                </w:p>
              </w:tc>
              <w:tc>
                <w:tcPr>
                  <w:tcW w:w="1133" w:type="pct"/>
                  <w:vAlign w:val="center"/>
                </w:tcPr>
                <w:p w14:paraId="0BA5F234">
                  <w:pPr>
                    <w:pStyle w:val="20"/>
                    <w:widowControl w:val="0"/>
                    <w:autoSpaceDE w:val="0"/>
                    <w:autoSpaceDN w:val="0"/>
                    <w:adjustRightInd w:val="0"/>
                    <w:spacing w:before="0" w:beforeAutospacing="0" w:after="0" w:afterAutospacing="0"/>
                    <w:jc w:val="center"/>
                    <w:rPr>
                      <w:rFonts w:ascii="Times New Roman" w:hAnsi="Times New Roman"/>
                      <w:kern w:val="2"/>
                      <w:sz w:val="21"/>
                    </w:rPr>
                  </w:pPr>
                  <w:r>
                    <w:rPr>
                      <w:rFonts w:hint="eastAsia" w:ascii="Times New Roman" w:hAnsi="Times New Roman"/>
                      <w:kern w:val="2"/>
                      <w:sz w:val="21"/>
                      <w:lang w:eastAsia="zh-CN" w:bidi="ar"/>
                    </w:rPr>
                    <w:t>水体1</w:t>
                  </w:r>
                  <w:r>
                    <w:rPr>
                      <w:rFonts w:ascii="Times New Roman" w:hAnsi="Times New Roman"/>
                      <w:kern w:val="2"/>
                      <w:sz w:val="21"/>
                      <w:lang w:bidi="ar"/>
                    </w:rPr>
                    <w:t>流域亚什拉吾、伽师工业园</w:t>
                  </w:r>
                </w:p>
              </w:tc>
              <w:tc>
                <w:tcPr>
                  <w:tcW w:w="623" w:type="pct"/>
                  <w:vAlign w:val="center"/>
                </w:tcPr>
                <w:p w14:paraId="78495E66">
                  <w:pPr>
                    <w:widowControl/>
                    <w:adjustRightInd w:val="0"/>
                    <w:jc w:val="center"/>
                  </w:pPr>
                  <w:r>
                    <w:rPr>
                      <w:lang w:bidi="ar"/>
                    </w:rPr>
                    <w:t>新疆维吾尔自治区</w:t>
                  </w:r>
                </w:p>
              </w:tc>
              <w:tc>
                <w:tcPr>
                  <w:tcW w:w="686" w:type="pct"/>
                  <w:vAlign w:val="center"/>
                </w:tcPr>
                <w:p w14:paraId="31B76106">
                  <w:pPr>
                    <w:pStyle w:val="20"/>
                    <w:widowControl w:val="0"/>
                    <w:autoSpaceDE w:val="0"/>
                    <w:autoSpaceDN w:val="0"/>
                    <w:adjustRightInd w:val="0"/>
                    <w:spacing w:before="0" w:beforeAutospacing="0" w:after="0" w:afterAutospacing="0"/>
                    <w:jc w:val="center"/>
                    <w:rPr>
                      <w:rFonts w:ascii="Times New Roman" w:hAnsi="Times New Roman"/>
                      <w:kern w:val="2"/>
                      <w:sz w:val="21"/>
                    </w:rPr>
                  </w:pPr>
                  <w:r>
                    <w:rPr>
                      <w:rFonts w:ascii="Times New Roman" w:hAnsi="Times New Roman"/>
                      <w:kern w:val="2"/>
                      <w:sz w:val="21"/>
                      <w:lang w:bidi="ar"/>
                    </w:rPr>
                    <w:t xml:space="preserve">喀什地区 </w:t>
                  </w:r>
                </w:p>
              </w:tc>
              <w:tc>
                <w:tcPr>
                  <w:tcW w:w="1351" w:type="pct"/>
                  <w:vAlign w:val="center"/>
                </w:tcPr>
                <w:p w14:paraId="6311E14B">
                  <w:pPr>
                    <w:pStyle w:val="20"/>
                    <w:widowControl w:val="0"/>
                    <w:autoSpaceDE w:val="0"/>
                    <w:autoSpaceDN w:val="0"/>
                    <w:adjustRightInd w:val="0"/>
                    <w:spacing w:before="0" w:beforeAutospacing="0" w:after="0" w:afterAutospacing="0"/>
                    <w:jc w:val="center"/>
                    <w:rPr>
                      <w:rFonts w:ascii="Times New Roman" w:hAnsi="Times New Roman"/>
                      <w:kern w:val="2"/>
                      <w:sz w:val="21"/>
                    </w:rPr>
                  </w:pPr>
                  <w:r>
                    <w:rPr>
                      <w:rFonts w:hint="eastAsia" w:ascii="Times New Roman" w:hAnsi="Times New Roman"/>
                      <w:kern w:val="2"/>
                      <w:sz w:val="21"/>
                      <w:lang w:bidi="ar"/>
                    </w:rPr>
                    <w:t>伽师</w:t>
                  </w:r>
                  <w:r>
                    <w:rPr>
                      <w:rFonts w:ascii="Times New Roman" w:hAnsi="Times New Roman"/>
                      <w:kern w:val="2"/>
                      <w:sz w:val="21"/>
                      <w:lang w:bidi="ar"/>
                    </w:rPr>
                    <w:t xml:space="preserve">县 </w:t>
                  </w:r>
                </w:p>
              </w:tc>
              <w:tc>
                <w:tcPr>
                  <w:tcW w:w="542" w:type="pct"/>
                  <w:vAlign w:val="center"/>
                </w:tcPr>
                <w:p w14:paraId="3FFCEA57">
                  <w:pPr>
                    <w:widowControl/>
                    <w:adjustRightInd w:val="0"/>
                    <w:jc w:val="center"/>
                  </w:pPr>
                  <w:r>
                    <w:rPr>
                      <w:rFonts w:hint="eastAsia"/>
                      <w:lang w:bidi="ar"/>
                    </w:rPr>
                    <w:t>重点管控</w:t>
                  </w:r>
                  <w:r>
                    <w:rPr>
                      <w:lang w:bidi="ar"/>
                    </w:rPr>
                    <w:t>单元</w:t>
                  </w:r>
                </w:p>
              </w:tc>
            </w:tr>
            <w:tr w14:paraId="5A568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665" w:type="pct"/>
                  <w:vAlign w:val="center"/>
                </w:tcPr>
                <w:p w14:paraId="560629AC">
                  <w:pPr>
                    <w:widowControl/>
                    <w:adjustRightInd w:val="0"/>
                    <w:jc w:val="center"/>
                    <w:rPr>
                      <w:b/>
                    </w:rPr>
                  </w:pPr>
                  <w:r>
                    <w:rPr>
                      <w:b/>
                      <w:lang w:bidi="ar"/>
                    </w:rPr>
                    <w:t>管控维度</w:t>
                  </w:r>
                </w:p>
              </w:tc>
              <w:tc>
                <w:tcPr>
                  <w:tcW w:w="1756" w:type="pct"/>
                  <w:gridSpan w:val="2"/>
                  <w:vAlign w:val="center"/>
                </w:tcPr>
                <w:p w14:paraId="45799C40">
                  <w:pPr>
                    <w:adjustRightInd w:val="0"/>
                    <w:jc w:val="center"/>
                    <w:rPr>
                      <w:b/>
                    </w:rPr>
                  </w:pPr>
                  <w:r>
                    <w:rPr>
                      <w:b/>
                      <w:lang w:bidi="ar"/>
                    </w:rPr>
                    <w:t>管控要求</w:t>
                  </w:r>
                </w:p>
              </w:tc>
              <w:tc>
                <w:tcPr>
                  <w:tcW w:w="2037" w:type="pct"/>
                  <w:gridSpan w:val="2"/>
                  <w:vAlign w:val="center"/>
                </w:tcPr>
                <w:p w14:paraId="656C2B40">
                  <w:pPr>
                    <w:adjustRightInd w:val="0"/>
                    <w:jc w:val="center"/>
                    <w:rPr>
                      <w:b/>
                    </w:rPr>
                  </w:pPr>
                  <w:r>
                    <w:rPr>
                      <w:b/>
                      <w:lang w:bidi="ar"/>
                    </w:rPr>
                    <w:t>拟建公路情况</w:t>
                  </w:r>
                </w:p>
              </w:tc>
              <w:tc>
                <w:tcPr>
                  <w:tcW w:w="539" w:type="pct"/>
                  <w:vAlign w:val="center"/>
                </w:tcPr>
                <w:p w14:paraId="01C41497">
                  <w:pPr>
                    <w:adjustRightInd w:val="0"/>
                    <w:jc w:val="center"/>
                    <w:rPr>
                      <w:b/>
                    </w:rPr>
                  </w:pPr>
                  <w:r>
                    <w:rPr>
                      <w:b/>
                      <w:lang w:bidi="ar"/>
                    </w:rPr>
                    <w:t>符合性</w:t>
                  </w:r>
                </w:p>
              </w:tc>
            </w:tr>
            <w:tr w14:paraId="63D0F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99" w:hRule="atLeast"/>
                <w:jc w:val="center"/>
              </w:trPr>
              <w:tc>
                <w:tcPr>
                  <w:tcW w:w="665" w:type="pct"/>
                  <w:vAlign w:val="center"/>
                </w:tcPr>
                <w:p w14:paraId="454FFB60">
                  <w:pPr>
                    <w:widowControl/>
                    <w:adjustRightInd w:val="0"/>
                    <w:jc w:val="center"/>
                  </w:pPr>
                  <w:r>
                    <w:rPr>
                      <w:lang w:bidi="ar"/>
                    </w:rPr>
                    <w:t>空间布局约束</w:t>
                  </w:r>
                </w:p>
              </w:tc>
              <w:tc>
                <w:tcPr>
                  <w:tcW w:w="1756" w:type="pct"/>
                  <w:gridSpan w:val="2"/>
                  <w:vAlign w:val="center"/>
                </w:tcPr>
                <w:p w14:paraId="286B6738">
                  <w:pPr>
                    <w:pStyle w:val="20"/>
                    <w:widowControl w:val="0"/>
                    <w:autoSpaceDE w:val="0"/>
                    <w:autoSpaceDN w:val="0"/>
                    <w:adjustRightInd w:val="0"/>
                    <w:spacing w:before="0" w:beforeAutospacing="0" w:after="0" w:afterAutospacing="0"/>
                    <w:jc w:val="both"/>
                    <w:rPr>
                      <w:rFonts w:ascii="Times New Roman" w:hAnsi="Times New Roman"/>
                      <w:kern w:val="2"/>
                      <w:sz w:val="21"/>
                      <w:lang w:bidi="ar"/>
                    </w:rPr>
                  </w:pPr>
                  <w:r>
                    <w:rPr>
                      <w:rFonts w:ascii="Times New Roman" w:hAnsi="Times New Roman"/>
                      <w:kern w:val="2"/>
                      <w:sz w:val="21"/>
                      <w:lang w:bidi="ar"/>
                    </w:rPr>
                    <w:t xml:space="preserve">1.执行喀什地区总体管控要求中“A1.3-1、A1.3-2、A1.3-3、A1.3-7、A1.4-1、A1.4-2、 A1.4-3、A1.4-4、A1.4-6”的相关要求。 </w:t>
                  </w:r>
                </w:p>
                <w:p w14:paraId="3B63A4EA">
                  <w:pPr>
                    <w:pStyle w:val="20"/>
                    <w:widowControl w:val="0"/>
                    <w:autoSpaceDE w:val="0"/>
                    <w:autoSpaceDN w:val="0"/>
                    <w:adjustRightInd w:val="0"/>
                    <w:spacing w:before="0" w:beforeAutospacing="0" w:after="0" w:afterAutospacing="0"/>
                    <w:jc w:val="both"/>
                    <w:rPr>
                      <w:rFonts w:ascii="Times New Roman" w:hAnsi="Times New Roman"/>
                      <w:kern w:val="2"/>
                      <w:sz w:val="21"/>
                      <w:lang w:bidi="ar"/>
                    </w:rPr>
                  </w:pPr>
                  <w:r>
                    <w:rPr>
                      <w:rFonts w:ascii="Times New Roman" w:hAnsi="Times New Roman"/>
                      <w:kern w:val="2"/>
                      <w:sz w:val="21"/>
                      <w:lang w:bidi="ar"/>
                    </w:rPr>
                    <w:t xml:space="preserve">2.执行喀什地区重点环境管控单元分类管控要求中“A6.1-3、A6.1-5”的相关要求。 </w:t>
                  </w:r>
                </w:p>
                <w:p w14:paraId="78BA691D">
                  <w:pPr>
                    <w:pStyle w:val="20"/>
                    <w:widowControl w:val="0"/>
                    <w:autoSpaceDE w:val="0"/>
                    <w:autoSpaceDN w:val="0"/>
                    <w:adjustRightInd w:val="0"/>
                    <w:spacing w:before="0" w:beforeAutospacing="0" w:after="0" w:afterAutospacing="0"/>
                    <w:jc w:val="both"/>
                    <w:rPr>
                      <w:rFonts w:ascii="Times New Roman" w:hAnsi="Times New Roman"/>
                      <w:kern w:val="2"/>
                      <w:sz w:val="21"/>
                    </w:rPr>
                  </w:pPr>
                  <w:r>
                    <w:rPr>
                      <w:rFonts w:ascii="Times New Roman" w:hAnsi="Times New Roman"/>
                      <w:kern w:val="2"/>
                      <w:sz w:val="21"/>
                      <w:lang w:bidi="ar"/>
                    </w:rPr>
                    <w:t>3.禁止在岸线保护范围建设可能影响防洪工程安全</w:t>
                  </w:r>
                  <w:r>
                    <w:rPr>
                      <w:rFonts w:ascii="Times New Roman" w:hAnsi="Times New Roman"/>
                      <w:spacing w:val="-2"/>
                      <w:kern w:val="2"/>
                      <w:sz w:val="21"/>
                      <w:lang w:bidi="ar"/>
                    </w:rPr>
                    <w:t>和重要水利工程安全与正常运行的项目。不得在保护范围内倾倒垃圾和排放污染物，不得造成水体污染。</w:t>
                  </w:r>
                </w:p>
              </w:tc>
              <w:tc>
                <w:tcPr>
                  <w:tcW w:w="2037" w:type="pct"/>
                  <w:gridSpan w:val="2"/>
                  <w:vAlign w:val="center"/>
                </w:tcPr>
                <w:p w14:paraId="225F8203">
                  <w:pPr>
                    <w:tabs>
                      <w:tab w:val="left" w:pos="1021"/>
                    </w:tabs>
                    <w:adjustRightInd w:val="0"/>
                    <w:jc w:val="both"/>
                  </w:pPr>
                  <w:r>
                    <w:rPr>
                      <w:rFonts w:hint="eastAsia"/>
                    </w:rPr>
                    <w:t>1.本项目为公路建设项目，不占用水源保护区范围，项目建设符合国家和自治区主体功能区划、生态环境功能区划及产业政策，符合“A1.3-1、A1.3-2、A1.3-3、A1.3-7、A1.4-1、</w:t>
                  </w:r>
                  <w:r>
                    <w:rPr>
                      <w:rFonts w:hint="eastAsia"/>
                      <w:spacing w:val="-4"/>
                    </w:rPr>
                    <w:t>A1.4-2、A1.4-3、A1.4-4、A1.4-6”的相关要求。</w:t>
                  </w:r>
                </w:p>
                <w:p w14:paraId="450B65F6">
                  <w:pPr>
                    <w:tabs>
                      <w:tab w:val="left" w:pos="1021"/>
                    </w:tabs>
                    <w:adjustRightInd w:val="0"/>
                    <w:jc w:val="both"/>
                    <w:rPr>
                      <w:lang w:bidi="ar"/>
                    </w:rPr>
                  </w:pPr>
                  <w:r>
                    <w:rPr>
                      <w:rFonts w:hint="eastAsia"/>
                    </w:rPr>
                    <w:t>2</w:t>
                  </w:r>
                  <w:r>
                    <w:rPr>
                      <w:rFonts w:hint="eastAsia"/>
                      <w:lang w:val="en-US" w:eastAsia="zh-CN"/>
                    </w:rPr>
                    <w:t>.</w:t>
                  </w:r>
                  <w:r>
                    <w:rPr>
                      <w:rFonts w:hint="eastAsia"/>
                      <w:lang w:bidi="ar"/>
                    </w:rPr>
                    <w:t>本项目施工及运营期废污水处理回用，不外排，符合</w:t>
                  </w:r>
                  <w:r>
                    <w:rPr>
                      <w:lang w:bidi="ar"/>
                    </w:rPr>
                    <w:t>“A6.1-3</w:t>
                  </w:r>
                  <w:r>
                    <w:rPr>
                      <w:rFonts w:hint="eastAsia"/>
                      <w:lang w:bidi="ar"/>
                    </w:rPr>
                    <w:t>”的相关要求；该地块未列入</w:t>
                  </w:r>
                  <w:r>
                    <w:t>建设用地土壤污染风险管控和修复名录</w:t>
                  </w:r>
                  <w:r>
                    <w:rPr>
                      <w:rFonts w:hint="eastAsia"/>
                    </w:rPr>
                    <w:t>，本项目为公路建设项目，符合</w:t>
                  </w:r>
                  <w:r>
                    <w:rPr>
                      <w:lang w:bidi="ar"/>
                    </w:rPr>
                    <w:t>“A6.1-5”的相关要求</w:t>
                  </w:r>
                  <w:r>
                    <w:rPr>
                      <w:rFonts w:hint="eastAsia"/>
                      <w:lang w:bidi="ar"/>
                    </w:rPr>
                    <w:t>。</w:t>
                  </w:r>
                </w:p>
                <w:p w14:paraId="61536309">
                  <w:pPr>
                    <w:tabs>
                      <w:tab w:val="left" w:pos="1021"/>
                    </w:tabs>
                    <w:adjustRightInd w:val="0"/>
                    <w:jc w:val="both"/>
                  </w:pPr>
                  <w:r>
                    <w:rPr>
                      <w:rFonts w:hint="eastAsia"/>
                    </w:rPr>
                    <w:t>3.本项目不影响行洪及水利安全，不在保护范围内倾倒垃圾和排放污染物。</w:t>
                  </w:r>
                </w:p>
              </w:tc>
              <w:tc>
                <w:tcPr>
                  <w:tcW w:w="539" w:type="pct"/>
                  <w:vAlign w:val="center"/>
                </w:tcPr>
                <w:p w14:paraId="570B33D9">
                  <w:pPr>
                    <w:tabs>
                      <w:tab w:val="left" w:pos="1021"/>
                    </w:tabs>
                    <w:adjustRightInd w:val="0"/>
                    <w:jc w:val="center"/>
                  </w:pPr>
                  <w:r>
                    <w:rPr>
                      <w:lang w:bidi="ar"/>
                    </w:rPr>
                    <w:t>符合</w:t>
                  </w:r>
                </w:p>
              </w:tc>
            </w:tr>
            <w:tr w14:paraId="64EA7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99" w:hRule="atLeast"/>
                <w:jc w:val="center"/>
              </w:trPr>
              <w:tc>
                <w:tcPr>
                  <w:tcW w:w="666" w:type="pct"/>
                  <w:vAlign w:val="center"/>
                </w:tcPr>
                <w:p w14:paraId="62550EA5">
                  <w:pPr>
                    <w:widowControl/>
                    <w:adjustRightInd w:val="0"/>
                    <w:jc w:val="center"/>
                  </w:pPr>
                  <w:r>
                    <w:rPr>
                      <w:lang w:bidi="ar"/>
                    </w:rPr>
                    <w:t>污染物排放管控</w:t>
                  </w:r>
                </w:p>
              </w:tc>
              <w:tc>
                <w:tcPr>
                  <w:tcW w:w="1756" w:type="pct"/>
                  <w:gridSpan w:val="2"/>
                  <w:vAlign w:val="center"/>
                </w:tcPr>
                <w:p w14:paraId="741FA881">
                  <w:pPr>
                    <w:pStyle w:val="20"/>
                    <w:widowControl w:val="0"/>
                    <w:autoSpaceDE w:val="0"/>
                    <w:autoSpaceDN w:val="0"/>
                    <w:adjustRightInd w:val="0"/>
                    <w:spacing w:before="0" w:beforeAutospacing="0" w:after="0" w:afterAutospacing="0"/>
                    <w:rPr>
                      <w:rFonts w:ascii="Times New Roman" w:hAnsi="Times New Roman"/>
                      <w:kern w:val="2"/>
                      <w:sz w:val="21"/>
                      <w:lang w:bidi="ar"/>
                    </w:rPr>
                  </w:pPr>
                  <w:r>
                    <w:rPr>
                      <w:rFonts w:ascii="Times New Roman" w:hAnsi="Times New Roman"/>
                      <w:kern w:val="2"/>
                      <w:sz w:val="21"/>
                      <w:lang w:bidi="ar"/>
                    </w:rPr>
                    <w:t xml:space="preserve">1.执行喀什地区总体管控要求中“A2.3-3、A2.3-4、A2.3-5、A2.3-8、A2.4-2”的相关要求。 </w:t>
                  </w:r>
                </w:p>
                <w:p w14:paraId="7D905186">
                  <w:pPr>
                    <w:pStyle w:val="20"/>
                    <w:widowControl w:val="0"/>
                    <w:autoSpaceDE w:val="0"/>
                    <w:autoSpaceDN w:val="0"/>
                    <w:adjustRightInd w:val="0"/>
                    <w:spacing w:before="0" w:beforeAutospacing="0" w:after="0" w:afterAutospacing="0"/>
                    <w:rPr>
                      <w:rFonts w:ascii="Times New Roman" w:hAnsi="Times New Roman"/>
                      <w:kern w:val="2"/>
                      <w:sz w:val="21"/>
                      <w:lang w:bidi="ar"/>
                    </w:rPr>
                  </w:pPr>
                  <w:r>
                    <w:rPr>
                      <w:rFonts w:ascii="Times New Roman" w:hAnsi="Times New Roman"/>
                      <w:kern w:val="2"/>
                      <w:sz w:val="21"/>
                      <w:lang w:bidi="ar"/>
                    </w:rPr>
                    <w:t xml:space="preserve">2.执行喀什地区重点环境管控单元分类管控要求中“A6.2”的相关要求。 </w:t>
                  </w:r>
                </w:p>
                <w:p w14:paraId="24947AD7">
                  <w:pPr>
                    <w:pStyle w:val="20"/>
                    <w:widowControl w:val="0"/>
                    <w:autoSpaceDE w:val="0"/>
                    <w:autoSpaceDN w:val="0"/>
                    <w:adjustRightInd w:val="0"/>
                    <w:spacing w:before="0" w:beforeAutospacing="0" w:after="0" w:afterAutospacing="0"/>
                    <w:rPr>
                      <w:rFonts w:ascii="Times New Roman" w:hAnsi="Times New Roman"/>
                      <w:kern w:val="2"/>
                      <w:sz w:val="21"/>
                    </w:rPr>
                  </w:pPr>
                  <w:r>
                    <w:rPr>
                      <w:rFonts w:ascii="Times New Roman" w:hAnsi="Times New Roman"/>
                      <w:kern w:val="2"/>
                      <w:sz w:val="21"/>
                      <w:lang w:bidi="ar"/>
                    </w:rPr>
                    <w:t>3.新建、改建、扩建石油炼化业、农副食品加工业、造纸和纸制品业、酒与饮料制造业建设项目实行主要污染物排放等量或减量置换。</w:t>
                  </w:r>
                </w:p>
              </w:tc>
              <w:tc>
                <w:tcPr>
                  <w:tcW w:w="2037" w:type="pct"/>
                  <w:gridSpan w:val="2"/>
                  <w:vAlign w:val="center"/>
                </w:tcPr>
                <w:p w14:paraId="6F395901">
                  <w:pPr>
                    <w:tabs>
                      <w:tab w:val="left" w:pos="1021"/>
                    </w:tabs>
                    <w:adjustRightInd w:val="0"/>
                    <w:jc w:val="both"/>
                    <w:rPr>
                      <w:lang w:bidi="ar"/>
                    </w:rPr>
                  </w:pPr>
                  <w:r>
                    <w:rPr>
                      <w:rFonts w:hint="eastAsia"/>
                    </w:rPr>
                    <w:t>1.本项目为公路建设项目，非重点涉水工业行业，项目沿线设施污水经处理后回用，不外排，符合</w:t>
                  </w:r>
                  <w:r>
                    <w:rPr>
                      <w:lang w:bidi="ar"/>
                    </w:rPr>
                    <w:t>“A2.3-3、A2.3-4、A2.3-5、A2.3-8、A2.4-2”的相关要求</w:t>
                  </w:r>
                  <w:r>
                    <w:rPr>
                      <w:rFonts w:hint="eastAsia"/>
                      <w:lang w:bidi="ar"/>
                    </w:rPr>
                    <w:t>。</w:t>
                  </w:r>
                </w:p>
                <w:p w14:paraId="06185F79">
                  <w:pPr>
                    <w:tabs>
                      <w:tab w:val="left" w:pos="1021"/>
                    </w:tabs>
                    <w:adjustRightInd w:val="0"/>
                    <w:jc w:val="both"/>
                    <w:rPr>
                      <w:lang w:bidi="ar"/>
                    </w:rPr>
                  </w:pPr>
                  <w:r>
                    <w:rPr>
                      <w:rFonts w:hint="eastAsia"/>
                    </w:rPr>
                    <w:t>2</w:t>
                  </w:r>
                  <w:r>
                    <w:rPr>
                      <w:rFonts w:hint="eastAsia"/>
                      <w:lang w:val="en-US" w:eastAsia="zh-CN"/>
                    </w:rPr>
                    <w:t>.本项目</w:t>
                  </w:r>
                  <w:r>
                    <w:rPr>
                      <w:rFonts w:hint="eastAsia"/>
                    </w:rPr>
                    <w:t>施工过程中采取抑尘措施、施工及运营</w:t>
                  </w:r>
                  <w:r>
                    <w:rPr>
                      <w:rFonts w:hint="eastAsia"/>
                      <w:lang w:val="en-US" w:eastAsia="zh-CN"/>
                    </w:rPr>
                    <w:t>期</w:t>
                  </w:r>
                  <w:r>
                    <w:rPr>
                      <w:rFonts w:hint="eastAsia"/>
                    </w:rPr>
                    <w:t>产生的废污水处理后回用，施工及运营期固废均妥善处置，不随意外排，符合</w:t>
                  </w:r>
                  <w:r>
                    <w:rPr>
                      <w:lang w:bidi="ar"/>
                    </w:rPr>
                    <w:t>“A6.2”的相关要求</w:t>
                  </w:r>
                  <w:r>
                    <w:rPr>
                      <w:rFonts w:hint="eastAsia"/>
                      <w:lang w:bidi="ar"/>
                    </w:rPr>
                    <w:t>。</w:t>
                  </w:r>
                </w:p>
                <w:p w14:paraId="70134BD8">
                  <w:pPr>
                    <w:tabs>
                      <w:tab w:val="left" w:pos="1021"/>
                    </w:tabs>
                    <w:adjustRightInd w:val="0"/>
                    <w:jc w:val="both"/>
                  </w:pPr>
                  <w:r>
                    <w:rPr>
                      <w:rFonts w:hint="eastAsia"/>
                    </w:rPr>
                    <w:t>3</w:t>
                  </w:r>
                  <w:r>
                    <w:rPr>
                      <w:rFonts w:hint="eastAsia"/>
                      <w:lang w:val="en-US" w:eastAsia="zh-CN"/>
                    </w:rPr>
                    <w:t>.</w:t>
                  </w:r>
                  <w:r>
                    <w:rPr>
                      <w:rFonts w:hint="eastAsia"/>
                      <w:lang w:bidi="ar"/>
                    </w:rPr>
                    <w:t>本项目为公路建设项目，无</w:t>
                  </w:r>
                  <w:r>
                    <w:rPr>
                      <w:lang w:bidi="ar"/>
                    </w:rPr>
                    <w:t>主要污染物排放等量或减量置换</w:t>
                  </w:r>
                  <w:r>
                    <w:rPr>
                      <w:rFonts w:hint="eastAsia"/>
                      <w:lang w:bidi="ar"/>
                    </w:rPr>
                    <w:t>要求。</w:t>
                  </w:r>
                </w:p>
              </w:tc>
              <w:tc>
                <w:tcPr>
                  <w:tcW w:w="541" w:type="pct"/>
                  <w:vAlign w:val="center"/>
                </w:tcPr>
                <w:p w14:paraId="2F5181B9">
                  <w:pPr>
                    <w:tabs>
                      <w:tab w:val="left" w:pos="1021"/>
                    </w:tabs>
                    <w:adjustRightInd w:val="0"/>
                    <w:jc w:val="center"/>
                  </w:pPr>
                  <w:r>
                    <w:rPr>
                      <w:lang w:bidi="ar"/>
                    </w:rPr>
                    <w:t>符合</w:t>
                  </w:r>
                </w:p>
              </w:tc>
            </w:tr>
            <w:tr w14:paraId="383F2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99" w:hRule="atLeast"/>
                <w:jc w:val="center"/>
              </w:trPr>
              <w:tc>
                <w:tcPr>
                  <w:tcW w:w="666" w:type="pct"/>
                  <w:vAlign w:val="center"/>
                </w:tcPr>
                <w:p w14:paraId="1112CB73">
                  <w:pPr>
                    <w:widowControl/>
                    <w:adjustRightInd w:val="0"/>
                    <w:jc w:val="center"/>
                  </w:pPr>
                  <w:r>
                    <w:rPr>
                      <w:lang w:bidi="ar"/>
                    </w:rPr>
                    <w:t>环境风险防控</w:t>
                  </w:r>
                </w:p>
              </w:tc>
              <w:tc>
                <w:tcPr>
                  <w:tcW w:w="1756" w:type="pct"/>
                  <w:gridSpan w:val="2"/>
                  <w:vAlign w:val="center"/>
                </w:tcPr>
                <w:p w14:paraId="1913A81D">
                  <w:pPr>
                    <w:pStyle w:val="20"/>
                    <w:widowControl w:val="0"/>
                    <w:autoSpaceDE w:val="0"/>
                    <w:autoSpaceDN w:val="0"/>
                    <w:adjustRightInd w:val="0"/>
                    <w:spacing w:before="0" w:beforeAutospacing="0" w:after="0" w:afterAutospacing="0"/>
                    <w:rPr>
                      <w:rFonts w:ascii="Times New Roman" w:hAnsi="Times New Roman"/>
                      <w:kern w:val="2"/>
                      <w:sz w:val="21"/>
                      <w:lang w:bidi="ar"/>
                    </w:rPr>
                  </w:pPr>
                  <w:r>
                    <w:rPr>
                      <w:rFonts w:ascii="Times New Roman" w:hAnsi="Times New Roman"/>
                      <w:kern w:val="2"/>
                      <w:sz w:val="21"/>
                      <w:lang w:bidi="ar"/>
                    </w:rPr>
                    <w:t xml:space="preserve">1.执行喀什地区总体管控要求中“A3.1、A3.2”的相关要求。 </w:t>
                  </w:r>
                </w:p>
                <w:p w14:paraId="22250FE4">
                  <w:pPr>
                    <w:pStyle w:val="20"/>
                    <w:widowControl w:val="0"/>
                    <w:autoSpaceDE w:val="0"/>
                    <w:autoSpaceDN w:val="0"/>
                    <w:adjustRightInd w:val="0"/>
                    <w:spacing w:before="0" w:beforeAutospacing="0" w:after="0" w:afterAutospacing="0"/>
                    <w:rPr>
                      <w:rFonts w:ascii="Times New Roman" w:hAnsi="Times New Roman"/>
                      <w:kern w:val="2"/>
                      <w:sz w:val="21"/>
                      <w:lang w:bidi="ar"/>
                    </w:rPr>
                  </w:pPr>
                  <w:r>
                    <w:rPr>
                      <w:rFonts w:ascii="Times New Roman" w:hAnsi="Times New Roman"/>
                      <w:kern w:val="2"/>
                      <w:sz w:val="21"/>
                      <w:lang w:bidi="ar"/>
                    </w:rPr>
                    <w:t xml:space="preserve">2.执行喀什地区重点环境管控单元分类管控要求中“A6.3”的相关管控要求。 </w:t>
                  </w:r>
                </w:p>
                <w:p w14:paraId="02DF6FE1">
                  <w:pPr>
                    <w:pStyle w:val="20"/>
                    <w:widowControl w:val="0"/>
                    <w:autoSpaceDE w:val="0"/>
                    <w:autoSpaceDN w:val="0"/>
                    <w:adjustRightInd w:val="0"/>
                    <w:spacing w:before="0" w:beforeAutospacing="0" w:after="0" w:afterAutospacing="0"/>
                    <w:rPr>
                      <w:rFonts w:ascii="Times New Roman" w:hAnsi="Times New Roman"/>
                      <w:kern w:val="2"/>
                      <w:sz w:val="21"/>
                    </w:rPr>
                  </w:pPr>
                  <w:r>
                    <w:rPr>
                      <w:rFonts w:ascii="Times New Roman" w:hAnsi="Times New Roman"/>
                      <w:kern w:val="2"/>
                      <w:sz w:val="21"/>
                      <w:lang w:bidi="ar"/>
                    </w:rPr>
                    <w:t>3.做好绿化工作，加强防护林的建设，减少就地起尘。</w:t>
                  </w:r>
                </w:p>
              </w:tc>
              <w:tc>
                <w:tcPr>
                  <w:tcW w:w="2037" w:type="pct"/>
                  <w:gridSpan w:val="2"/>
                  <w:vAlign w:val="center"/>
                </w:tcPr>
                <w:p w14:paraId="50D3BA3E">
                  <w:pPr>
                    <w:tabs>
                      <w:tab w:val="left" w:pos="1021"/>
                    </w:tabs>
                    <w:adjustRightInd w:val="0"/>
                    <w:jc w:val="both"/>
                    <w:rPr>
                      <w:lang w:bidi="ar"/>
                    </w:rPr>
                  </w:pPr>
                  <w:r>
                    <w:rPr>
                      <w:rFonts w:hint="eastAsia"/>
                    </w:rPr>
                    <w:t>1.本项目为公路建设项目，不涉及城市建成区，运营期编制危化品车辆突发环境事件应急预案，并在沿线设施储存应急物资，符合</w:t>
                  </w:r>
                  <w:r>
                    <w:rPr>
                      <w:lang w:bidi="ar"/>
                    </w:rPr>
                    <w:t>“A3.1、A3.2”的相关要求</w:t>
                  </w:r>
                  <w:r>
                    <w:rPr>
                      <w:rFonts w:hint="eastAsia"/>
                      <w:lang w:bidi="ar"/>
                    </w:rPr>
                    <w:t>。</w:t>
                  </w:r>
                </w:p>
                <w:p w14:paraId="659CBC82">
                  <w:pPr>
                    <w:tabs>
                      <w:tab w:val="left" w:pos="1021"/>
                    </w:tabs>
                    <w:adjustRightInd w:val="0"/>
                    <w:jc w:val="both"/>
                    <w:rPr>
                      <w:lang w:bidi="ar"/>
                    </w:rPr>
                  </w:pPr>
                  <w:r>
                    <w:rPr>
                      <w:rFonts w:hint="eastAsia"/>
                      <w:lang w:bidi="ar"/>
                    </w:rPr>
                    <w:t>2.本项目不生产有毒有害、易燃易爆物质，施工及运营期废污水处理回用，固废及垃圾均妥善处置，不随意倾倒，运营期编制危化品车辆突发环境事件应急预案，明确联动响应，符合</w:t>
                  </w:r>
                  <w:r>
                    <w:rPr>
                      <w:lang w:bidi="ar"/>
                    </w:rPr>
                    <w:t>“A6.3”的相关管控要求</w:t>
                  </w:r>
                  <w:r>
                    <w:rPr>
                      <w:rFonts w:hint="eastAsia"/>
                      <w:lang w:bidi="ar"/>
                    </w:rPr>
                    <w:t>。</w:t>
                  </w:r>
                </w:p>
                <w:p w14:paraId="48F8ABDB">
                  <w:pPr>
                    <w:tabs>
                      <w:tab w:val="left" w:pos="1021"/>
                    </w:tabs>
                    <w:adjustRightInd w:val="0"/>
                    <w:jc w:val="both"/>
                  </w:pPr>
                  <w:r>
                    <w:rPr>
                      <w:rFonts w:hint="eastAsia"/>
                    </w:rPr>
                    <w:t>3.</w:t>
                  </w:r>
                  <w:r>
                    <w:rPr>
                      <w:rFonts w:hint="eastAsia"/>
                      <w:lang w:val="en-US" w:eastAsia="zh-CN"/>
                    </w:rPr>
                    <w:t>项目建成后在道路两侧种植农田防护林</w:t>
                  </w:r>
                  <w:r>
                    <w:rPr>
                      <w:rFonts w:hint="eastAsia"/>
                    </w:rPr>
                    <w:t>，抑制扬尘效果明显。</w:t>
                  </w:r>
                </w:p>
              </w:tc>
              <w:tc>
                <w:tcPr>
                  <w:tcW w:w="541" w:type="pct"/>
                  <w:vAlign w:val="center"/>
                </w:tcPr>
                <w:p w14:paraId="06E5C83A">
                  <w:pPr>
                    <w:tabs>
                      <w:tab w:val="left" w:pos="1021"/>
                    </w:tabs>
                    <w:adjustRightInd w:val="0"/>
                    <w:jc w:val="center"/>
                  </w:pPr>
                  <w:r>
                    <w:rPr>
                      <w:lang w:bidi="ar"/>
                    </w:rPr>
                    <w:t>符合</w:t>
                  </w:r>
                </w:p>
              </w:tc>
            </w:tr>
            <w:tr w14:paraId="1C451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99" w:hRule="atLeast"/>
                <w:jc w:val="center"/>
              </w:trPr>
              <w:tc>
                <w:tcPr>
                  <w:tcW w:w="666" w:type="pct"/>
                  <w:vAlign w:val="center"/>
                </w:tcPr>
                <w:p w14:paraId="68CDC621">
                  <w:pPr>
                    <w:widowControl/>
                    <w:adjustRightInd w:val="0"/>
                    <w:jc w:val="center"/>
                  </w:pPr>
                  <w:r>
                    <w:rPr>
                      <w:lang w:bidi="ar"/>
                    </w:rPr>
                    <w:t>资源开发效率要求</w:t>
                  </w:r>
                </w:p>
              </w:tc>
              <w:tc>
                <w:tcPr>
                  <w:tcW w:w="1756" w:type="pct"/>
                  <w:gridSpan w:val="2"/>
                  <w:vAlign w:val="center"/>
                </w:tcPr>
                <w:p w14:paraId="3936C9B6">
                  <w:pPr>
                    <w:pStyle w:val="20"/>
                    <w:widowControl w:val="0"/>
                    <w:autoSpaceDE w:val="0"/>
                    <w:autoSpaceDN w:val="0"/>
                    <w:adjustRightInd w:val="0"/>
                    <w:spacing w:before="0" w:beforeAutospacing="0" w:after="0" w:afterAutospacing="0"/>
                    <w:rPr>
                      <w:rFonts w:ascii="Times New Roman" w:hAnsi="Times New Roman"/>
                      <w:kern w:val="2"/>
                      <w:sz w:val="21"/>
                      <w:lang w:bidi="ar"/>
                    </w:rPr>
                  </w:pPr>
                  <w:r>
                    <w:rPr>
                      <w:rFonts w:ascii="Times New Roman" w:hAnsi="Times New Roman"/>
                      <w:kern w:val="2"/>
                      <w:sz w:val="21"/>
                      <w:lang w:bidi="ar"/>
                    </w:rPr>
                    <w:t xml:space="preserve">1.执行喀什地区总体管控要求中“A4”的相关要求。 </w:t>
                  </w:r>
                </w:p>
                <w:p w14:paraId="05E53046">
                  <w:pPr>
                    <w:pStyle w:val="20"/>
                    <w:widowControl w:val="0"/>
                    <w:autoSpaceDE w:val="0"/>
                    <w:autoSpaceDN w:val="0"/>
                    <w:adjustRightInd w:val="0"/>
                    <w:spacing w:before="0" w:beforeAutospacing="0" w:after="0" w:afterAutospacing="0"/>
                    <w:rPr>
                      <w:rFonts w:ascii="Times New Roman" w:hAnsi="Times New Roman"/>
                      <w:kern w:val="2"/>
                      <w:sz w:val="21"/>
                    </w:rPr>
                  </w:pPr>
                  <w:r>
                    <w:rPr>
                      <w:rFonts w:ascii="Times New Roman" w:hAnsi="Times New Roman"/>
                      <w:kern w:val="2"/>
                      <w:sz w:val="21"/>
                      <w:lang w:bidi="ar"/>
                    </w:rPr>
                    <w:t>2.执行喀什地区重点环境管控单元分类管控要求中“A6.4-2”的相关要求。</w:t>
                  </w:r>
                </w:p>
              </w:tc>
              <w:tc>
                <w:tcPr>
                  <w:tcW w:w="2037" w:type="pct"/>
                  <w:gridSpan w:val="2"/>
                  <w:vAlign w:val="center"/>
                </w:tcPr>
                <w:p w14:paraId="4479A926">
                  <w:pPr>
                    <w:tabs>
                      <w:tab w:val="left" w:pos="1021"/>
                    </w:tabs>
                    <w:adjustRightInd w:val="0"/>
                    <w:jc w:val="both"/>
                    <w:rPr>
                      <w:lang w:bidi="ar"/>
                    </w:rPr>
                  </w:pPr>
                  <w:r>
                    <w:rPr>
                      <w:rFonts w:hint="eastAsia"/>
                    </w:rPr>
                    <w:t>1</w:t>
                  </w:r>
                  <w:r>
                    <w:rPr>
                      <w:rFonts w:hint="eastAsia"/>
                      <w:lang w:val="en-US" w:eastAsia="zh-CN"/>
                    </w:rPr>
                    <w:t>.</w:t>
                  </w:r>
                  <w:r>
                    <w:rPr>
                      <w:rFonts w:hint="eastAsia" w:asciiTheme="minorEastAsia" w:hAnsiTheme="minorEastAsia" w:eastAsiaTheme="minorEastAsia"/>
                      <w:lang w:val="en-US" w:eastAsia="zh-CN"/>
                    </w:rPr>
                    <w:t>本项目</w:t>
                  </w:r>
                  <w:r>
                    <w:rPr>
                      <w:rFonts w:hint="default" w:ascii="Times New Roman" w:hAnsi="Times New Roman" w:cs="Times New Roman" w:eastAsiaTheme="minorEastAsia"/>
                    </w:rPr>
                    <w:t>临时便道</w:t>
                  </w:r>
                  <w:r>
                    <w:rPr>
                      <w:rFonts w:hint="eastAsia" w:ascii="Times New Roman" w:hAnsi="Times New Roman" w:cs="Times New Roman" w:eastAsiaTheme="minorEastAsia"/>
                      <w:lang w:val="en-US" w:eastAsia="zh-CN"/>
                    </w:rPr>
                    <w:t>路面进行</w:t>
                  </w:r>
                  <w:r>
                    <w:rPr>
                      <w:rFonts w:hint="default" w:ascii="Times New Roman" w:hAnsi="Times New Roman" w:cs="Times New Roman" w:eastAsiaTheme="minorEastAsia"/>
                    </w:rPr>
                    <w:t>硬化、料场加盖防尘网，减少降尘用水，设固定洗车台，不随意大水冲车，严格控制用水总量，施工及运营期间废污水处理后回用</w:t>
                  </w:r>
                  <w:r>
                    <w:rPr>
                      <w:rFonts w:hint="eastAsia" w:ascii="Times New Roman" w:hAnsi="Times New Roman" w:cs="Times New Roman" w:eastAsiaTheme="minorEastAsia"/>
                      <w:lang w:eastAsia="zh-CN"/>
                    </w:rPr>
                    <w:t>。</w:t>
                  </w:r>
                  <w:r>
                    <w:rPr>
                      <w:rFonts w:hint="default" w:ascii="Times New Roman" w:hAnsi="Times New Roman" w:cs="Times New Roman" w:eastAsiaTheme="minorEastAsia"/>
                      <w:lang w:val="en-US" w:eastAsia="zh-CN"/>
                    </w:rPr>
                    <w:t>项目沿线耕地数量较多，但通过采取灵活拓宽方式，本项目占用耕地仅</w:t>
                  </w:r>
                  <w:r>
                    <w:rPr>
                      <w:rFonts w:hint="eastAsia" w:cs="Times New Roman" w:eastAsiaTheme="minorEastAsia"/>
                      <w:lang w:val="en-US" w:eastAsia="zh-CN"/>
                    </w:rPr>
                    <w:t>34.12</w:t>
                  </w:r>
                  <w:r>
                    <w:rPr>
                      <w:rFonts w:hint="default" w:ascii="Times New Roman" w:hAnsi="Times New Roman" w:cs="Times New Roman" w:eastAsiaTheme="minorEastAsia"/>
                      <w:lang w:val="en-US" w:eastAsia="zh-CN"/>
                    </w:rPr>
                    <w:t>hm</w:t>
                  </w:r>
                  <w:r>
                    <w:rPr>
                      <w:rFonts w:hint="default" w:ascii="Times New Roman" w:hAnsi="Times New Roman" w:cs="Times New Roman" w:eastAsiaTheme="minorEastAsia"/>
                      <w:vertAlign w:val="superscript"/>
                      <w:lang w:val="en-US" w:eastAsia="zh-CN"/>
                    </w:rPr>
                    <w:t>2</w:t>
                  </w:r>
                  <w:r>
                    <w:rPr>
                      <w:rFonts w:hint="default" w:ascii="Times New Roman" w:hAnsi="Times New Roman" w:cs="Times New Roman" w:eastAsiaTheme="minorEastAsia"/>
                    </w:rPr>
                    <w:t>，并实现占补平</w:t>
                  </w:r>
                  <w:r>
                    <w:rPr>
                      <w:rFonts w:hint="eastAsia" w:asciiTheme="minorEastAsia" w:hAnsiTheme="minorEastAsia" w:eastAsiaTheme="minorEastAsia"/>
                    </w:rPr>
                    <w:t>衡，符合</w:t>
                  </w:r>
                  <w:r>
                    <w:rPr>
                      <w:lang w:bidi="ar"/>
                    </w:rPr>
                    <w:t>“A4”的相关要求</w:t>
                  </w:r>
                  <w:r>
                    <w:rPr>
                      <w:rFonts w:hint="eastAsia"/>
                      <w:lang w:bidi="ar"/>
                    </w:rPr>
                    <w:t>。</w:t>
                  </w:r>
                </w:p>
                <w:p w14:paraId="0A5AE7BB">
                  <w:pPr>
                    <w:tabs>
                      <w:tab w:val="left" w:pos="1021"/>
                    </w:tabs>
                    <w:adjustRightInd w:val="0"/>
                    <w:jc w:val="both"/>
                  </w:pPr>
                  <w:r>
                    <w:rPr>
                      <w:rFonts w:hint="eastAsia"/>
                      <w:lang w:bidi="ar"/>
                    </w:rPr>
                    <w:t>2.项目建设严控用水指标，尽量减少用水总量，施工及运营产生的废污水处理回用，符合</w:t>
                  </w:r>
                  <w:r>
                    <w:rPr>
                      <w:lang w:bidi="ar"/>
                    </w:rPr>
                    <w:t>“A6.4-2”的相关要求</w:t>
                  </w:r>
                  <w:r>
                    <w:rPr>
                      <w:rFonts w:hint="eastAsia"/>
                      <w:lang w:bidi="ar"/>
                    </w:rPr>
                    <w:t>。</w:t>
                  </w:r>
                </w:p>
              </w:tc>
              <w:tc>
                <w:tcPr>
                  <w:tcW w:w="541" w:type="pct"/>
                  <w:vAlign w:val="center"/>
                </w:tcPr>
                <w:p w14:paraId="5C78AB00">
                  <w:pPr>
                    <w:tabs>
                      <w:tab w:val="left" w:pos="1021"/>
                    </w:tabs>
                    <w:adjustRightInd w:val="0"/>
                    <w:jc w:val="center"/>
                  </w:pPr>
                  <w:r>
                    <w:rPr>
                      <w:lang w:bidi="ar"/>
                    </w:rPr>
                    <w:t>符合</w:t>
                  </w:r>
                </w:p>
              </w:tc>
            </w:tr>
          </w:tbl>
          <w:p w14:paraId="62C044E8">
            <w:pPr>
              <w:keepNext w:val="0"/>
              <w:keepLines w:val="0"/>
              <w:pageBreakBefore w:val="0"/>
              <w:widowControl w:val="0"/>
              <w:kinsoku/>
              <w:wordWrap/>
              <w:overflowPunct/>
              <w:topLinePunct w:val="0"/>
              <w:autoSpaceDE/>
              <w:autoSpaceDN/>
              <w:bidi w:val="0"/>
              <w:adjustRightInd w:val="0"/>
              <w:snapToGrid/>
              <w:spacing w:before="157" w:beforeLines="50"/>
              <w:jc w:val="center"/>
              <w:textAlignment w:val="auto"/>
              <w:rPr>
                <w:rFonts w:eastAsiaTheme="minorEastAsia"/>
                <w:b/>
              </w:rPr>
            </w:pPr>
          </w:p>
          <w:p w14:paraId="1D24C2BE">
            <w:pPr>
              <w:keepNext w:val="0"/>
              <w:keepLines w:val="0"/>
              <w:pageBreakBefore w:val="0"/>
              <w:widowControl w:val="0"/>
              <w:kinsoku/>
              <w:wordWrap/>
              <w:overflowPunct/>
              <w:topLinePunct w:val="0"/>
              <w:autoSpaceDE/>
              <w:autoSpaceDN/>
              <w:bidi w:val="0"/>
              <w:adjustRightInd w:val="0"/>
              <w:snapToGrid/>
              <w:spacing w:before="157" w:beforeLines="50"/>
              <w:jc w:val="center"/>
              <w:textAlignment w:val="auto"/>
              <w:rPr>
                <w:rFonts w:eastAsiaTheme="minorEastAsia"/>
                <w:b/>
              </w:rPr>
            </w:pPr>
            <w:r>
              <w:rPr>
                <w:rFonts w:eastAsiaTheme="minorEastAsia"/>
                <w:b/>
              </w:rPr>
              <w:t>表</w:t>
            </w:r>
            <w:r>
              <w:rPr>
                <w:rFonts w:hint="eastAsia" w:eastAsiaTheme="minorEastAsia"/>
                <w:b/>
                <w:lang w:val="en-US" w:eastAsia="zh-CN"/>
              </w:rPr>
              <w:t>1</w:t>
            </w:r>
            <w:r>
              <w:rPr>
                <w:rFonts w:eastAsiaTheme="minorEastAsia"/>
                <w:b/>
              </w:rPr>
              <w:t>-</w:t>
            </w:r>
            <w:r>
              <w:rPr>
                <w:rFonts w:hint="eastAsia" w:eastAsiaTheme="minorEastAsia"/>
                <w:b/>
                <w:lang w:val="en-US" w:eastAsia="zh-CN"/>
              </w:rPr>
              <w:t>7</w:t>
            </w:r>
            <w:r>
              <w:rPr>
                <w:rFonts w:eastAsiaTheme="minorEastAsia"/>
                <w:b/>
              </w:rPr>
              <w:t xml:space="preserve">  拟建公路</w:t>
            </w:r>
            <w:r>
              <w:rPr>
                <w:rFonts w:hint="eastAsia" w:eastAsiaTheme="minorEastAsia"/>
                <w:b/>
                <w:lang w:val="en-US" w:eastAsia="zh-CN"/>
              </w:rPr>
              <w:t>与管控单元准入清单</w:t>
            </w:r>
            <w:r>
              <w:rPr>
                <w:rFonts w:eastAsiaTheme="minorEastAsia"/>
                <w:b/>
              </w:rPr>
              <w:t>符合性分析一览表</w:t>
            </w:r>
          </w:p>
          <w:tbl>
            <w:tblPr>
              <w:tblStyle w:val="22"/>
              <w:tblW w:w="496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181"/>
              <w:gridCol w:w="1834"/>
              <w:gridCol w:w="1076"/>
              <w:gridCol w:w="1070"/>
              <w:gridCol w:w="1371"/>
              <w:gridCol w:w="886"/>
            </w:tblGrid>
            <w:tr w14:paraId="7CB7E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796" w:type="pct"/>
                  <w:vMerge w:val="restart"/>
                  <w:vAlign w:val="center"/>
                </w:tcPr>
                <w:p w14:paraId="264FA66D">
                  <w:pPr>
                    <w:widowControl/>
                    <w:adjustRightInd w:val="0"/>
                    <w:snapToGrid w:val="0"/>
                    <w:jc w:val="center"/>
                    <w:rPr>
                      <w:b/>
                    </w:rPr>
                  </w:pPr>
                  <w:r>
                    <w:rPr>
                      <w:b/>
                      <w:lang w:bidi="ar"/>
                    </w:rPr>
                    <w:t>环境管控单元编码</w:t>
                  </w:r>
                </w:p>
              </w:tc>
              <w:tc>
                <w:tcPr>
                  <w:tcW w:w="1236" w:type="pct"/>
                  <w:vMerge w:val="restart"/>
                  <w:vAlign w:val="center"/>
                </w:tcPr>
                <w:p w14:paraId="58B06E4D">
                  <w:pPr>
                    <w:widowControl/>
                    <w:adjustRightInd w:val="0"/>
                    <w:snapToGrid w:val="0"/>
                    <w:jc w:val="center"/>
                    <w:rPr>
                      <w:b/>
                    </w:rPr>
                  </w:pPr>
                  <w:r>
                    <w:rPr>
                      <w:b/>
                      <w:lang w:bidi="ar"/>
                    </w:rPr>
                    <w:t>单元名称</w:t>
                  </w:r>
                </w:p>
              </w:tc>
              <w:tc>
                <w:tcPr>
                  <w:tcW w:w="2370" w:type="pct"/>
                  <w:gridSpan w:val="3"/>
                  <w:vAlign w:val="center"/>
                </w:tcPr>
                <w:p w14:paraId="03845D7D">
                  <w:pPr>
                    <w:widowControl/>
                    <w:adjustRightInd w:val="0"/>
                    <w:snapToGrid w:val="0"/>
                    <w:jc w:val="center"/>
                    <w:rPr>
                      <w:b/>
                    </w:rPr>
                  </w:pPr>
                  <w:r>
                    <w:rPr>
                      <w:b/>
                      <w:lang w:bidi="ar"/>
                    </w:rPr>
                    <w:t>行政区划</w:t>
                  </w:r>
                </w:p>
              </w:tc>
              <w:tc>
                <w:tcPr>
                  <w:tcW w:w="597" w:type="pct"/>
                  <w:vAlign w:val="center"/>
                </w:tcPr>
                <w:p w14:paraId="08032BE7">
                  <w:pPr>
                    <w:widowControl/>
                    <w:adjustRightInd w:val="0"/>
                    <w:snapToGrid w:val="0"/>
                    <w:jc w:val="center"/>
                    <w:rPr>
                      <w:b/>
                    </w:rPr>
                  </w:pPr>
                  <w:r>
                    <w:rPr>
                      <w:b/>
                      <w:lang w:bidi="ar"/>
                    </w:rPr>
                    <w:t>单元分类</w:t>
                  </w:r>
                </w:p>
              </w:tc>
            </w:tr>
            <w:tr w14:paraId="287FD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blHeader/>
                <w:jc w:val="center"/>
              </w:trPr>
              <w:tc>
                <w:tcPr>
                  <w:tcW w:w="796" w:type="pct"/>
                  <w:vMerge w:val="continue"/>
                  <w:vAlign w:val="center"/>
                </w:tcPr>
                <w:p w14:paraId="35F8D699">
                  <w:pPr>
                    <w:rPr>
                      <w:szCs w:val="22"/>
                    </w:rPr>
                  </w:pPr>
                </w:p>
              </w:tc>
              <w:tc>
                <w:tcPr>
                  <w:tcW w:w="1236" w:type="pct"/>
                  <w:vMerge w:val="continue"/>
                  <w:vAlign w:val="center"/>
                </w:tcPr>
                <w:p w14:paraId="264D8AAB">
                  <w:pPr>
                    <w:rPr>
                      <w:szCs w:val="22"/>
                    </w:rPr>
                  </w:pPr>
                </w:p>
              </w:tc>
              <w:tc>
                <w:tcPr>
                  <w:tcW w:w="725" w:type="pct"/>
                  <w:vAlign w:val="center"/>
                </w:tcPr>
                <w:p w14:paraId="07CD88DB">
                  <w:pPr>
                    <w:adjustRightInd w:val="0"/>
                    <w:snapToGrid w:val="0"/>
                    <w:jc w:val="center"/>
                    <w:rPr>
                      <w:rFonts w:hint="default" w:eastAsia="宋体"/>
                      <w:b/>
                      <w:lang w:val="en-US" w:eastAsia="zh-CN"/>
                    </w:rPr>
                  </w:pPr>
                  <w:r>
                    <w:rPr>
                      <w:rFonts w:hint="eastAsia"/>
                      <w:b/>
                      <w:lang w:val="en-US" w:eastAsia="zh-CN"/>
                    </w:rPr>
                    <w:t>自治区</w:t>
                  </w:r>
                </w:p>
              </w:tc>
              <w:tc>
                <w:tcPr>
                  <w:tcW w:w="721" w:type="pct"/>
                  <w:vAlign w:val="center"/>
                </w:tcPr>
                <w:p w14:paraId="7307FF04">
                  <w:pPr>
                    <w:adjustRightInd w:val="0"/>
                    <w:snapToGrid w:val="0"/>
                    <w:jc w:val="center"/>
                    <w:rPr>
                      <w:rFonts w:hint="eastAsia" w:eastAsia="宋体"/>
                      <w:b/>
                      <w:lang w:eastAsia="zh-CN"/>
                    </w:rPr>
                  </w:pPr>
                  <w:r>
                    <w:rPr>
                      <w:b/>
                      <w:lang w:bidi="ar"/>
                    </w:rPr>
                    <w:t>州</w:t>
                  </w:r>
                  <w:r>
                    <w:rPr>
                      <w:rFonts w:hint="eastAsia"/>
                      <w:b/>
                      <w:lang w:eastAsia="zh-CN" w:bidi="ar"/>
                    </w:rPr>
                    <w:t>（</w:t>
                  </w:r>
                  <w:r>
                    <w:rPr>
                      <w:rFonts w:hint="eastAsia"/>
                      <w:b/>
                      <w:lang w:val="en-US" w:eastAsia="zh-CN" w:bidi="ar"/>
                    </w:rPr>
                    <w:t>地区</w:t>
                  </w:r>
                  <w:r>
                    <w:rPr>
                      <w:rFonts w:hint="eastAsia"/>
                      <w:b/>
                      <w:lang w:eastAsia="zh-CN" w:bidi="ar"/>
                    </w:rPr>
                    <w:t>）</w:t>
                  </w:r>
                </w:p>
              </w:tc>
              <w:tc>
                <w:tcPr>
                  <w:tcW w:w="924" w:type="pct"/>
                  <w:vAlign w:val="center"/>
                </w:tcPr>
                <w:p w14:paraId="14CF24E8">
                  <w:pPr>
                    <w:adjustRightInd w:val="0"/>
                    <w:snapToGrid w:val="0"/>
                    <w:jc w:val="center"/>
                    <w:rPr>
                      <w:b/>
                    </w:rPr>
                  </w:pPr>
                  <w:r>
                    <w:rPr>
                      <w:b/>
                      <w:lang w:bidi="ar"/>
                    </w:rPr>
                    <w:t>县</w:t>
                  </w:r>
                </w:p>
              </w:tc>
              <w:tc>
                <w:tcPr>
                  <w:tcW w:w="597" w:type="pct"/>
                  <w:vMerge w:val="restart"/>
                  <w:vAlign w:val="center"/>
                </w:tcPr>
                <w:p w14:paraId="362B203D">
                  <w:pPr>
                    <w:widowControl/>
                    <w:adjustRightInd w:val="0"/>
                    <w:snapToGrid w:val="0"/>
                    <w:jc w:val="center"/>
                  </w:pPr>
                  <w:r>
                    <w:rPr>
                      <w:rFonts w:hint="eastAsia"/>
                      <w:lang w:bidi="ar"/>
                    </w:rPr>
                    <w:t>一般管控单元</w:t>
                  </w:r>
                </w:p>
              </w:tc>
            </w:tr>
            <w:tr w14:paraId="31649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29" w:hRule="atLeast"/>
                <w:jc w:val="center"/>
              </w:trPr>
              <w:tc>
                <w:tcPr>
                  <w:tcW w:w="796" w:type="pct"/>
                  <w:vAlign w:val="center"/>
                </w:tcPr>
                <w:p w14:paraId="4B222E63">
                  <w:pPr>
                    <w:pStyle w:val="20"/>
                    <w:widowControl w:val="0"/>
                    <w:autoSpaceDE w:val="0"/>
                    <w:autoSpaceDN w:val="0"/>
                    <w:adjustRightInd w:val="0"/>
                    <w:spacing w:before="0" w:beforeAutospacing="0" w:after="0" w:afterAutospacing="0"/>
                    <w:jc w:val="center"/>
                    <w:rPr>
                      <w:rFonts w:ascii="Times New Roman" w:hAnsi="Times New Roman"/>
                      <w:kern w:val="2"/>
                      <w:sz w:val="21"/>
                    </w:rPr>
                  </w:pPr>
                  <w:r>
                    <w:rPr>
                      <w:rFonts w:ascii="Times New Roman" w:hAnsi="Times New Roman"/>
                      <w:kern w:val="2"/>
                      <w:sz w:val="21"/>
                      <w:lang w:bidi="ar"/>
                    </w:rPr>
                    <w:t>ZH65312930001</w:t>
                  </w:r>
                </w:p>
              </w:tc>
              <w:tc>
                <w:tcPr>
                  <w:tcW w:w="1236" w:type="pct"/>
                  <w:vAlign w:val="center"/>
                </w:tcPr>
                <w:p w14:paraId="795A5C49">
                  <w:pPr>
                    <w:pStyle w:val="20"/>
                    <w:widowControl w:val="0"/>
                    <w:autoSpaceDE w:val="0"/>
                    <w:autoSpaceDN w:val="0"/>
                    <w:adjustRightInd w:val="0"/>
                    <w:spacing w:before="0" w:beforeAutospacing="0" w:after="0" w:afterAutospacing="0"/>
                    <w:jc w:val="center"/>
                    <w:rPr>
                      <w:rFonts w:ascii="Times New Roman" w:hAnsi="Times New Roman"/>
                      <w:kern w:val="2"/>
                      <w:sz w:val="21"/>
                    </w:rPr>
                  </w:pPr>
                  <w:r>
                    <w:rPr>
                      <w:rFonts w:ascii="Times New Roman" w:hAnsi="Times New Roman"/>
                      <w:kern w:val="2"/>
                      <w:sz w:val="21"/>
                      <w:lang w:bidi="ar"/>
                    </w:rPr>
                    <w:t>伽师县一般管控单元</w:t>
                  </w:r>
                </w:p>
              </w:tc>
              <w:tc>
                <w:tcPr>
                  <w:tcW w:w="725" w:type="pct"/>
                  <w:vAlign w:val="center"/>
                </w:tcPr>
                <w:p w14:paraId="1A9351EF">
                  <w:pPr>
                    <w:widowControl/>
                    <w:adjustRightInd w:val="0"/>
                    <w:snapToGrid w:val="0"/>
                    <w:jc w:val="center"/>
                  </w:pPr>
                  <w:r>
                    <w:rPr>
                      <w:lang w:bidi="ar"/>
                    </w:rPr>
                    <w:t>新疆维吾尔自治区</w:t>
                  </w:r>
                </w:p>
              </w:tc>
              <w:tc>
                <w:tcPr>
                  <w:tcW w:w="721" w:type="pct"/>
                  <w:vAlign w:val="center"/>
                </w:tcPr>
                <w:p w14:paraId="20BB0994">
                  <w:pPr>
                    <w:pStyle w:val="20"/>
                    <w:widowControl w:val="0"/>
                    <w:autoSpaceDE w:val="0"/>
                    <w:autoSpaceDN w:val="0"/>
                    <w:adjustRightInd w:val="0"/>
                    <w:spacing w:before="0" w:beforeAutospacing="0" w:after="0" w:afterAutospacing="0"/>
                    <w:jc w:val="center"/>
                    <w:rPr>
                      <w:rFonts w:ascii="Times New Roman" w:hAnsi="Times New Roman"/>
                      <w:kern w:val="2"/>
                      <w:sz w:val="21"/>
                    </w:rPr>
                  </w:pPr>
                  <w:r>
                    <w:rPr>
                      <w:rFonts w:hint="eastAsia" w:ascii="Times New Roman" w:hAnsi="Times New Roman"/>
                      <w:kern w:val="2"/>
                      <w:sz w:val="21"/>
                      <w:lang w:bidi="ar"/>
                    </w:rPr>
                    <w:t>喀什地区</w:t>
                  </w:r>
                </w:p>
              </w:tc>
              <w:tc>
                <w:tcPr>
                  <w:tcW w:w="924" w:type="pct"/>
                  <w:vAlign w:val="center"/>
                </w:tcPr>
                <w:p w14:paraId="426B3EBE">
                  <w:pPr>
                    <w:pStyle w:val="20"/>
                    <w:widowControl w:val="0"/>
                    <w:autoSpaceDE w:val="0"/>
                    <w:autoSpaceDN w:val="0"/>
                    <w:adjustRightInd w:val="0"/>
                    <w:spacing w:before="0" w:beforeAutospacing="0" w:after="0" w:afterAutospacing="0"/>
                    <w:jc w:val="center"/>
                    <w:rPr>
                      <w:rFonts w:ascii="Times New Roman" w:hAnsi="Times New Roman"/>
                      <w:kern w:val="2"/>
                      <w:sz w:val="21"/>
                    </w:rPr>
                  </w:pPr>
                  <w:r>
                    <w:rPr>
                      <w:rFonts w:hint="eastAsia" w:ascii="Times New Roman" w:hAnsi="Times New Roman"/>
                      <w:kern w:val="2"/>
                      <w:sz w:val="21"/>
                      <w:lang w:bidi="ar"/>
                    </w:rPr>
                    <w:t>伽师</w:t>
                  </w:r>
                  <w:r>
                    <w:rPr>
                      <w:rFonts w:ascii="Times New Roman" w:hAnsi="Times New Roman"/>
                      <w:kern w:val="2"/>
                      <w:sz w:val="21"/>
                      <w:lang w:bidi="ar"/>
                    </w:rPr>
                    <w:t xml:space="preserve">县 </w:t>
                  </w:r>
                </w:p>
              </w:tc>
              <w:tc>
                <w:tcPr>
                  <w:tcW w:w="597" w:type="pct"/>
                  <w:vMerge w:val="continue"/>
                  <w:vAlign w:val="center"/>
                </w:tcPr>
                <w:p w14:paraId="2752DFE8">
                  <w:pPr>
                    <w:widowControl/>
                    <w:adjustRightInd w:val="0"/>
                    <w:snapToGrid w:val="0"/>
                    <w:jc w:val="center"/>
                  </w:pPr>
                </w:p>
              </w:tc>
            </w:tr>
            <w:tr w14:paraId="281A2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796" w:type="pct"/>
                  <w:vAlign w:val="center"/>
                </w:tcPr>
                <w:p w14:paraId="7BB9DD1D">
                  <w:pPr>
                    <w:widowControl/>
                    <w:adjustRightInd w:val="0"/>
                    <w:snapToGrid w:val="0"/>
                    <w:jc w:val="center"/>
                    <w:rPr>
                      <w:b/>
                    </w:rPr>
                  </w:pPr>
                  <w:r>
                    <w:rPr>
                      <w:b/>
                      <w:lang w:bidi="ar"/>
                    </w:rPr>
                    <w:t>管控维度</w:t>
                  </w:r>
                </w:p>
              </w:tc>
              <w:tc>
                <w:tcPr>
                  <w:tcW w:w="1961" w:type="pct"/>
                  <w:gridSpan w:val="2"/>
                  <w:vAlign w:val="center"/>
                </w:tcPr>
                <w:p w14:paraId="246492FB">
                  <w:pPr>
                    <w:adjustRightInd w:val="0"/>
                    <w:snapToGrid w:val="0"/>
                    <w:jc w:val="center"/>
                    <w:rPr>
                      <w:b/>
                    </w:rPr>
                  </w:pPr>
                  <w:r>
                    <w:rPr>
                      <w:b/>
                      <w:lang w:bidi="ar"/>
                    </w:rPr>
                    <w:t>管控要求</w:t>
                  </w:r>
                </w:p>
              </w:tc>
              <w:tc>
                <w:tcPr>
                  <w:tcW w:w="1645" w:type="pct"/>
                  <w:gridSpan w:val="2"/>
                  <w:vAlign w:val="center"/>
                </w:tcPr>
                <w:p w14:paraId="41675AF6">
                  <w:pPr>
                    <w:jc w:val="center"/>
                    <w:rPr>
                      <w:b/>
                    </w:rPr>
                  </w:pPr>
                  <w:r>
                    <w:rPr>
                      <w:b/>
                      <w:lang w:bidi="ar"/>
                    </w:rPr>
                    <w:t>拟建公路情况</w:t>
                  </w:r>
                </w:p>
              </w:tc>
              <w:tc>
                <w:tcPr>
                  <w:tcW w:w="597" w:type="pct"/>
                  <w:vAlign w:val="center"/>
                </w:tcPr>
                <w:p w14:paraId="3519568D">
                  <w:pPr>
                    <w:jc w:val="center"/>
                    <w:rPr>
                      <w:b/>
                    </w:rPr>
                  </w:pPr>
                  <w:r>
                    <w:rPr>
                      <w:b/>
                      <w:lang w:bidi="ar"/>
                    </w:rPr>
                    <w:t>符合性</w:t>
                  </w:r>
                </w:p>
              </w:tc>
            </w:tr>
            <w:tr w14:paraId="03140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99" w:hRule="atLeast"/>
                <w:jc w:val="center"/>
              </w:trPr>
              <w:tc>
                <w:tcPr>
                  <w:tcW w:w="796" w:type="pct"/>
                  <w:vAlign w:val="center"/>
                </w:tcPr>
                <w:p w14:paraId="0E8249B7">
                  <w:pPr>
                    <w:widowControl/>
                    <w:adjustRightInd w:val="0"/>
                    <w:snapToGrid w:val="0"/>
                    <w:jc w:val="center"/>
                  </w:pPr>
                  <w:r>
                    <w:rPr>
                      <w:lang w:bidi="ar"/>
                    </w:rPr>
                    <w:t>空间布局约束</w:t>
                  </w:r>
                </w:p>
              </w:tc>
              <w:tc>
                <w:tcPr>
                  <w:tcW w:w="1961" w:type="pct"/>
                  <w:gridSpan w:val="2"/>
                  <w:vAlign w:val="center"/>
                </w:tcPr>
                <w:p w14:paraId="3752AF26">
                  <w:pPr>
                    <w:pStyle w:val="20"/>
                    <w:widowControl w:val="0"/>
                    <w:autoSpaceDE w:val="0"/>
                    <w:autoSpaceDN w:val="0"/>
                    <w:adjustRightInd w:val="0"/>
                    <w:spacing w:before="0" w:beforeAutospacing="0" w:after="0" w:afterAutospacing="0"/>
                    <w:jc w:val="both"/>
                    <w:rPr>
                      <w:rFonts w:ascii="Times New Roman" w:hAnsi="Times New Roman"/>
                      <w:kern w:val="2"/>
                      <w:sz w:val="21"/>
                      <w:lang w:bidi="ar"/>
                    </w:rPr>
                  </w:pPr>
                  <w:r>
                    <w:rPr>
                      <w:rFonts w:ascii="Times New Roman" w:hAnsi="Times New Roman"/>
                      <w:kern w:val="2"/>
                      <w:sz w:val="21"/>
                      <w:lang w:bidi="ar"/>
                    </w:rPr>
                    <w:t>1.执行喀什地区总体管控要求中“A1.1-5、A1.1-6、A1.1-8、A1.3-1、A1.3-3、A1.3-7、 A1.4-1、A1.4-2、A1.4-3、A1.4-4、A1.4-6、A1.4-7”的相关要求。</w:t>
                  </w:r>
                </w:p>
                <w:p w14:paraId="7A160B16">
                  <w:pPr>
                    <w:pStyle w:val="20"/>
                    <w:widowControl w:val="0"/>
                    <w:autoSpaceDE w:val="0"/>
                    <w:autoSpaceDN w:val="0"/>
                    <w:adjustRightInd w:val="0"/>
                    <w:spacing w:before="0" w:beforeAutospacing="0" w:after="0" w:afterAutospacing="0"/>
                    <w:jc w:val="both"/>
                    <w:rPr>
                      <w:rFonts w:ascii="Times New Roman" w:hAnsi="Times New Roman"/>
                      <w:kern w:val="2"/>
                      <w:sz w:val="21"/>
                      <w:lang w:bidi="ar"/>
                    </w:rPr>
                  </w:pPr>
                  <w:r>
                    <w:rPr>
                      <w:rFonts w:ascii="Times New Roman" w:hAnsi="Times New Roman"/>
                      <w:kern w:val="2"/>
                      <w:sz w:val="21"/>
                      <w:lang w:bidi="ar"/>
                    </w:rPr>
                    <w:t>2.执行喀什地区一般环境管控单元分类管控要求中“A7.1”的相关要求。</w:t>
                  </w:r>
                </w:p>
                <w:p w14:paraId="3AB4335E">
                  <w:pPr>
                    <w:pStyle w:val="20"/>
                    <w:widowControl w:val="0"/>
                    <w:autoSpaceDE w:val="0"/>
                    <w:autoSpaceDN w:val="0"/>
                    <w:adjustRightInd w:val="0"/>
                    <w:spacing w:before="0" w:beforeAutospacing="0" w:after="0" w:afterAutospacing="0"/>
                    <w:jc w:val="both"/>
                    <w:rPr>
                      <w:rFonts w:ascii="Times New Roman" w:hAnsi="Times New Roman"/>
                      <w:kern w:val="2"/>
                      <w:sz w:val="21"/>
                    </w:rPr>
                  </w:pPr>
                  <w:r>
                    <w:rPr>
                      <w:rFonts w:ascii="Times New Roman" w:hAnsi="Times New Roman"/>
                      <w:kern w:val="2"/>
                      <w:sz w:val="21"/>
                      <w:lang w:bidi="ar"/>
                    </w:rPr>
                    <w:t>3.项目准入必须符合《新疆</w:t>
                  </w:r>
                  <w:r>
                    <w:rPr>
                      <w:rFonts w:hint="eastAsia" w:ascii="Times New Roman" w:hAnsi="Times New Roman"/>
                      <w:kern w:val="2"/>
                      <w:sz w:val="21"/>
                      <w:lang w:eastAsia="zh-CN" w:bidi="ar"/>
                    </w:rPr>
                    <w:t>水体1</w:t>
                  </w:r>
                  <w:r>
                    <w:rPr>
                      <w:rFonts w:ascii="Times New Roman" w:hAnsi="Times New Roman"/>
                      <w:kern w:val="2"/>
                      <w:sz w:val="21"/>
                      <w:lang w:bidi="ar"/>
                    </w:rPr>
                    <w:t>流域</w:t>
                  </w:r>
                  <w:r>
                    <w:rPr>
                      <w:rFonts w:hint="eastAsia" w:ascii="Times New Roman" w:hAnsi="Times New Roman"/>
                      <w:kern w:val="2"/>
                      <w:sz w:val="21"/>
                      <w:lang w:eastAsia="zh-CN" w:bidi="ar"/>
                    </w:rPr>
                    <w:t>水体2</w:t>
                  </w:r>
                  <w:r>
                    <w:rPr>
                      <w:rFonts w:ascii="Times New Roman" w:hAnsi="Times New Roman"/>
                      <w:kern w:val="2"/>
                      <w:sz w:val="21"/>
                      <w:lang w:bidi="ar"/>
                    </w:rPr>
                    <w:t xml:space="preserve">河道岸线保护与利用规划》 相关要求，禁止在河道岸线保护范围建设可能影响防洪工程安全和重要水利工程安全与正常运行的项目。允许开展防洪工程建设，以及生态治理工程建设。因防洪安全、河势稳定、供水安全及经济社会发展需要必须建设的堤防护岸、河道治理、取水、公共管理、生态环境治理、国家重要基础设施等工程，须经科学论证，并严格 按照法律法规要求履行相关审批程序。不得在保护范围内倾倒垃圾和排放污染物，不得造成水体污染。 </w:t>
                  </w:r>
                </w:p>
              </w:tc>
              <w:tc>
                <w:tcPr>
                  <w:tcW w:w="1645" w:type="pct"/>
                  <w:gridSpan w:val="2"/>
                  <w:vAlign w:val="center"/>
                </w:tcPr>
                <w:p w14:paraId="2E23780A">
                  <w:pPr>
                    <w:pStyle w:val="20"/>
                    <w:widowControl w:val="0"/>
                    <w:spacing w:before="0" w:beforeAutospacing="0" w:after="0" w:afterAutospacing="0"/>
                    <w:jc w:val="both"/>
                    <w:rPr>
                      <w:rFonts w:ascii="Times New Roman" w:hAnsi="Times New Roman"/>
                      <w:sz w:val="21"/>
                    </w:rPr>
                  </w:pPr>
                  <w:r>
                    <w:rPr>
                      <w:rFonts w:ascii="Times New Roman" w:hAnsi="Times New Roman"/>
                      <w:kern w:val="2"/>
                      <w:sz w:val="21"/>
                      <w:lang w:bidi="ar"/>
                    </w:rPr>
                    <w:t>1</w:t>
                  </w:r>
                  <w:r>
                    <w:rPr>
                      <w:rFonts w:hint="eastAsia" w:ascii="Times New Roman" w:hAnsi="Times New Roman"/>
                      <w:kern w:val="2"/>
                      <w:sz w:val="21"/>
                      <w:lang w:val="en-US" w:eastAsia="zh-CN" w:bidi="ar"/>
                    </w:rPr>
                    <w:t>.</w:t>
                  </w:r>
                  <w:r>
                    <w:rPr>
                      <w:rFonts w:hint="eastAsia" w:ascii="Times New Roman" w:hAnsi="Times New Roman"/>
                      <w:kern w:val="2"/>
                      <w:sz w:val="21"/>
                      <w:lang w:bidi="ar"/>
                    </w:rPr>
                    <w:t>本项目为公路项目，不占用基本农田，不属于高耗水行业，不涉及城市建成区，不占用水源保护区范围，项目建设符合国家及自治区主体功能区规划、生态环境功能区划及产业政策，</w:t>
                  </w:r>
                  <w:r>
                    <w:rPr>
                      <w:rFonts w:hint="eastAsia" w:ascii="Times New Roman" w:hAnsi="Times New Roman"/>
                      <w:kern w:val="2"/>
                      <w:sz w:val="21"/>
                      <w:lang w:eastAsia="zh-CN" w:bidi="ar"/>
                    </w:rPr>
                    <w:t>占用耕地</w:t>
                  </w:r>
                  <w:r>
                    <w:rPr>
                      <w:rFonts w:hint="eastAsia" w:ascii="Times New Roman" w:hAnsi="Times New Roman"/>
                      <w:kern w:val="2"/>
                      <w:sz w:val="21"/>
                      <w:lang w:bidi="ar"/>
                    </w:rPr>
                    <w:t>实行“占补平衡”，实施严格的控水管理，符合</w:t>
                  </w:r>
                  <w:r>
                    <w:rPr>
                      <w:rFonts w:ascii="Times New Roman" w:hAnsi="Times New Roman"/>
                      <w:kern w:val="2"/>
                      <w:sz w:val="21"/>
                      <w:lang w:bidi="ar"/>
                    </w:rPr>
                    <w:t>“A1.1-5、A1.1-6、A1.1-8、A1.3-1、A1.3-3、A1.3-7、A1.4-1、A1.4-2、A1.4-3、A1.4-4、A1.4-6、A1.4-7”的相关要求。</w:t>
                  </w:r>
                </w:p>
                <w:p w14:paraId="21C0D7C6">
                  <w:pPr>
                    <w:pStyle w:val="20"/>
                    <w:widowControl w:val="0"/>
                    <w:spacing w:before="0" w:beforeAutospacing="0" w:after="0" w:afterAutospacing="0"/>
                    <w:jc w:val="both"/>
                    <w:rPr>
                      <w:rFonts w:ascii="Times New Roman" w:hAnsi="Times New Roman"/>
                      <w:kern w:val="2"/>
                      <w:sz w:val="21"/>
                      <w:lang w:bidi="ar"/>
                    </w:rPr>
                  </w:pPr>
                  <w:r>
                    <w:rPr>
                      <w:rFonts w:ascii="Times New Roman" w:hAnsi="Times New Roman"/>
                      <w:kern w:val="2"/>
                      <w:sz w:val="21"/>
                      <w:lang w:bidi="ar"/>
                    </w:rPr>
                    <w:t>2.</w:t>
                  </w:r>
                  <w:r>
                    <w:rPr>
                      <w:rFonts w:hint="eastAsia" w:ascii="Times New Roman" w:hAnsi="Times New Roman"/>
                      <w:kern w:val="2"/>
                      <w:sz w:val="21"/>
                      <w:lang w:bidi="ar"/>
                    </w:rPr>
                    <w:t>本项目不占用基本农田，不属于“高污染、高环境风险产品”工业项目，符合</w:t>
                  </w:r>
                  <w:r>
                    <w:rPr>
                      <w:rFonts w:ascii="Times New Roman" w:hAnsi="Times New Roman"/>
                      <w:kern w:val="2"/>
                      <w:sz w:val="21"/>
                      <w:lang w:bidi="ar"/>
                    </w:rPr>
                    <w:t>“A7.1”的相关要求</w:t>
                  </w:r>
                  <w:r>
                    <w:rPr>
                      <w:rFonts w:hint="eastAsia" w:ascii="Times New Roman" w:hAnsi="Times New Roman"/>
                      <w:kern w:val="2"/>
                      <w:sz w:val="21"/>
                      <w:lang w:bidi="ar"/>
                    </w:rPr>
                    <w:t>。</w:t>
                  </w:r>
                </w:p>
                <w:p w14:paraId="7E228CFC">
                  <w:pPr>
                    <w:pStyle w:val="20"/>
                    <w:widowControl w:val="0"/>
                    <w:spacing w:before="0" w:beforeAutospacing="0" w:after="0" w:afterAutospacing="0"/>
                    <w:jc w:val="both"/>
                    <w:rPr>
                      <w:rFonts w:ascii="Times New Roman" w:hAnsi="Times New Roman"/>
                    </w:rPr>
                  </w:pPr>
                  <w:r>
                    <w:rPr>
                      <w:rFonts w:hint="eastAsia" w:ascii="Times New Roman" w:hAnsi="Times New Roman"/>
                      <w:sz w:val="21"/>
                    </w:rPr>
                    <w:t>3.本项目为国家重要基础设施工程且为改扩建工程，</w:t>
                  </w:r>
                  <w:r>
                    <w:rPr>
                      <w:rFonts w:hint="eastAsia" w:ascii="Times New Roman" w:hAnsi="Times New Roman"/>
                      <w:sz w:val="21"/>
                      <w:lang w:val="en-US" w:eastAsia="zh-CN"/>
                    </w:rPr>
                    <w:t>不</w:t>
                  </w:r>
                  <w:r>
                    <w:rPr>
                      <w:rFonts w:hint="eastAsia" w:ascii="Times New Roman" w:hAnsi="Times New Roman"/>
                      <w:sz w:val="21"/>
                    </w:rPr>
                    <w:t>可避免的以桥梁的形式跨越</w:t>
                  </w:r>
                  <w:r>
                    <w:rPr>
                      <w:rFonts w:hint="eastAsia" w:ascii="Times New Roman" w:hAnsi="Times New Roman"/>
                      <w:sz w:val="21"/>
                      <w:lang w:eastAsia="zh-CN"/>
                    </w:rPr>
                    <w:t>水体2</w:t>
                  </w:r>
                  <w:r>
                    <w:rPr>
                      <w:rFonts w:hint="eastAsia" w:ascii="Times New Roman" w:hAnsi="Times New Roman"/>
                      <w:sz w:val="21"/>
                    </w:rPr>
                    <w:t>，</w:t>
                  </w:r>
                  <w:r>
                    <w:rPr>
                      <w:rFonts w:hint="eastAsia" w:ascii="Times New Roman" w:hAnsi="Times New Roman"/>
                      <w:sz w:val="21"/>
                      <w:lang w:val="en-US" w:eastAsia="zh-CN"/>
                    </w:rPr>
                    <w:t>建设单位已开展了防洪评价，并向行政管理部门办理了批准手续。</w:t>
                  </w:r>
                  <w:r>
                    <w:rPr>
                      <w:rFonts w:hint="eastAsia" w:ascii="Times New Roman" w:hAnsi="Times New Roman"/>
                      <w:sz w:val="21"/>
                    </w:rPr>
                    <w:t>施工及运营期间，各种废污水均处理后回用，不排入</w:t>
                  </w:r>
                  <w:r>
                    <w:rPr>
                      <w:rFonts w:hint="eastAsia" w:ascii="Times New Roman" w:hAnsi="Times New Roman"/>
                      <w:sz w:val="21"/>
                      <w:lang w:eastAsia="zh-CN"/>
                    </w:rPr>
                    <w:t>水体2</w:t>
                  </w:r>
                  <w:r>
                    <w:rPr>
                      <w:rFonts w:hint="eastAsia" w:ascii="Times New Roman" w:hAnsi="Times New Roman"/>
                      <w:sz w:val="21"/>
                    </w:rPr>
                    <w:t>，施工垃圾妥善处置，不随意倾倒。</w:t>
                  </w:r>
                </w:p>
              </w:tc>
              <w:tc>
                <w:tcPr>
                  <w:tcW w:w="597" w:type="pct"/>
                  <w:vAlign w:val="center"/>
                </w:tcPr>
                <w:p w14:paraId="0E879962">
                  <w:pPr>
                    <w:tabs>
                      <w:tab w:val="left" w:pos="1021"/>
                    </w:tabs>
                    <w:adjustRightInd w:val="0"/>
                    <w:snapToGrid w:val="0"/>
                    <w:jc w:val="center"/>
                  </w:pPr>
                  <w:r>
                    <w:rPr>
                      <w:lang w:bidi="ar"/>
                    </w:rPr>
                    <w:t>符合</w:t>
                  </w:r>
                </w:p>
              </w:tc>
            </w:tr>
            <w:tr w14:paraId="7956D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99" w:hRule="atLeast"/>
                <w:jc w:val="center"/>
              </w:trPr>
              <w:tc>
                <w:tcPr>
                  <w:tcW w:w="796" w:type="pct"/>
                  <w:vAlign w:val="center"/>
                </w:tcPr>
                <w:p w14:paraId="322651A9">
                  <w:pPr>
                    <w:widowControl/>
                    <w:adjustRightInd w:val="0"/>
                    <w:snapToGrid w:val="0"/>
                    <w:jc w:val="center"/>
                  </w:pPr>
                  <w:r>
                    <w:rPr>
                      <w:lang w:bidi="ar"/>
                    </w:rPr>
                    <w:t>污染物排放管控</w:t>
                  </w:r>
                </w:p>
              </w:tc>
              <w:tc>
                <w:tcPr>
                  <w:tcW w:w="1961" w:type="pct"/>
                  <w:gridSpan w:val="2"/>
                  <w:vAlign w:val="center"/>
                </w:tcPr>
                <w:p w14:paraId="03178CE7">
                  <w:pPr>
                    <w:pStyle w:val="20"/>
                    <w:widowControl w:val="0"/>
                    <w:autoSpaceDE w:val="0"/>
                    <w:autoSpaceDN w:val="0"/>
                    <w:adjustRightInd w:val="0"/>
                    <w:spacing w:before="0" w:beforeAutospacing="0" w:after="0" w:afterAutospacing="0"/>
                    <w:rPr>
                      <w:rFonts w:ascii="Times New Roman" w:hAnsi="Times New Roman"/>
                      <w:kern w:val="2"/>
                      <w:sz w:val="21"/>
                      <w:lang w:bidi="ar"/>
                    </w:rPr>
                  </w:pPr>
                  <w:r>
                    <w:rPr>
                      <w:rFonts w:ascii="Times New Roman" w:hAnsi="Times New Roman"/>
                      <w:kern w:val="2"/>
                      <w:sz w:val="21"/>
                      <w:lang w:bidi="ar"/>
                    </w:rPr>
                    <w:t>1.执行喀什地区总体管控要求中“A2.3-3、A2.3-4、A2.3-5、A2.3-6、A2.3-7、A2.3-8” 的相关要求。</w:t>
                  </w:r>
                </w:p>
                <w:p w14:paraId="39852F7E">
                  <w:pPr>
                    <w:pStyle w:val="20"/>
                    <w:widowControl w:val="0"/>
                    <w:autoSpaceDE w:val="0"/>
                    <w:autoSpaceDN w:val="0"/>
                    <w:adjustRightInd w:val="0"/>
                    <w:spacing w:before="0" w:beforeAutospacing="0" w:after="0" w:afterAutospacing="0"/>
                    <w:rPr>
                      <w:rFonts w:ascii="Times New Roman" w:hAnsi="Times New Roman"/>
                      <w:kern w:val="2"/>
                      <w:sz w:val="21"/>
                      <w:lang w:bidi="ar"/>
                    </w:rPr>
                  </w:pPr>
                  <w:r>
                    <w:rPr>
                      <w:rFonts w:ascii="Times New Roman" w:hAnsi="Times New Roman"/>
                      <w:kern w:val="2"/>
                      <w:sz w:val="21"/>
                      <w:lang w:bidi="ar"/>
                    </w:rPr>
                    <w:t>2.执行喀什地区一般环境管控单元分类管控要求中“A7.2”的相关要求。</w:t>
                  </w:r>
                </w:p>
                <w:p w14:paraId="457BC9BF">
                  <w:pPr>
                    <w:pStyle w:val="20"/>
                    <w:widowControl w:val="0"/>
                    <w:autoSpaceDE w:val="0"/>
                    <w:autoSpaceDN w:val="0"/>
                    <w:adjustRightInd w:val="0"/>
                    <w:spacing w:before="0" w:beforeAutospacing="0" w:after="0" w:afterAutospacing="0"/>
                    <w:rPr>
                      <w:rFonts w:ascii="Times New Roman" w:hAnsi="Times New Roman"/>
                      <w:kern w:val="2"/>
                      <w:sz w:val="21"/>
                    </w:rPr>
                  </w:pPr>
                  <w:r>
                    <w:rPr>
                      <w:rFonts w:ascii="Times New Roman" w:hAnsi="Times New Roman"/>
                      <w:kern w:val="2"/>
                      <w:sz w:val="21"/>
                    </w:rPr>
                    <w:t>3.严格控制林地、草地、园地农药使用量，禁止使用高毒、高残留农药。</w:t>
                  </w:r>
                </w:p>
              </w:tc>
              <w:tc>
                <w:tcPr>
                  <w:tcW w:w="1645" w:type="pct"/>
                  <w:gridSpan w:val="2"/>
                  <w:vAlign w:val="center"/>
                </w:tcPr>
                <w:p w14:paraId="38F76E1E">
                  <w:pPr>
                    <w:tabs>
                      <w:tab w:val="left" w:pos="1021"/>
                    </w:tabs>
                    <w:adjustRightInd w:val="0"/>
                    <w:snapToGrid w:val="0"/>
                    <w:jc w:val="left"/>
                    <w:rPr>
                      <w:lang w:bidi="ar"/>
                    </w:rPr>
                  </w:pPr>
                  <w:r>
                    <w:rPr>
                      <w:rFonts w:hint="eastAsia"/>
                      <w:lang w:bidi="ar"/>
                    </w:rPr>
                    <w:t>1.本项目为公路建设项目，且各项目污染物可做到达标排放，符合</w:t>
                  </w:r>
                  <w:r>
                    <w:rPr>
                      <w:lang w:bidi="ar"/>
                    </w:rPr>
                    <w:t>“A2.3-3、A2.3-4、A2.3-5、A2.3-6、A2.3-7、A2.3-8”的相关要求</w:t>
                  </w:r>
                  <w:r>
                    <w:rPr>
                      <w:rFonts w:hint="eastAsia"/>
                      <w:lang w:bidi="ar"/>
                    </w:rPr>
                    <w:t>。</w:t>
                  </w:r>
                </w:p>
                <w:p w14:paraId="0748448D">
                  <w:pPr>
                    <w:tabs>
                      <w:tab w:val="left" w:pos="1021"/>
                    </w:tabs>
                    <w:adjustRightInd w:val="0"/>
                    <w:snapToGrid w:val="0"/>
                    <w:jc w:val="left"/>
                  </w:pPr>
                  <w:r>
                    <w:rPr>
                      <w:rFonts w:hint="eastAsia"/>
                    </w:rPr>
                    <w:t>2.本项目严格执行喀什地区</w:t>
                  </w:r>
                  <w:r>
                    <w:rPr>
                      <w:rFonts w:hint="eastAsia"/>
                      <w:lang w:eastAsia="zh-CN"/>
                    </w:rPr>
                    <w:t>大气污染防治</w:t>
                  </w:r>
                  <w:r>
                    <w:rPr>
                      <w:rFonts w:hint="eastAsia"/>
                    </w:rPr>
                    <w:t>要求，施工期间严控污染物排放，并实时监测，确保环境空气质量稳定达标，符合</w:t>
                  </w:r>
                  <w:r>
                    <w:rPr>
                      <w:lang w:bidi="ar"/>
                    </w:rPr>
                    <w:t>“A7.2”的相关要求</w:t>
                  </w:r>
                  <w:r>
                    <w:rPr>
                      <w:rFonts w:hint="eastAsia"/>
                    </w:rPr>
                    <w:t>。</w:t>
                  </w:r>
                </w:p>
                <w:p w14:paraId="7A7A8BEB">
                  <w:pPr>
                    <w:tabs>
                      <w:tab w:val="left" w:pos="1021"/>
                    </w:tabs>
                    <w:adjustRightInd w:val="0"/>
                    <w:snapToGrid w:val="0"/>
                    <w:jc w:val="left"/>
                  </w:pPr>
                  <w:r>
                    <w:rPr>
                      <w:rFonts w:hint="eastAsia"/>
                    </w:rPr>
                    <w:t>3.本项目不使用农药。</w:t>
                  </w:r>
                </w:p>
              </w:tc>
              <w:tc>
                <w:tcPr>
                  <w:tcW w:w="597" w:type="pct"/>
                  <w:vAlign w:val="center"/>
                </w:tcPr>
                <w:p w14:paraId="4A56A723">
                  <w:pPr>
                    <w:tabs>
                      <w:tab w:val="left" w:pos="1021"/>
                    </w:tabs>
                    <w:adjustRightInd w:val="0"/>
                    <w:snapToGrid w:val="0"/>
                    <w:jc w:val="center"/>
                  </w:pPr>
                  <w:r>
                    <w:rPr>
                      <w:lang w:bidi="ar"/>
                    </w:rPr>
                    <w:t>符合</w:t>
                  </w:r>
                </w:p>
              </w:tc>
            </w:tr>
            <w:tr w14:paraId="4F096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99" w:hRule="atLeast"/>
                <w:jc w:val="center"/>
              </w:trPr>
              <w:tc>
                <w:tcPr>
                  <w:tcW w:w="796" w:type="pct"/>
                  <w:vAlign w:val="center"/>
                </w:tcPr>
                <w:p w14:paraId="12BB17B0">
                  <w:pPr>
                    <w:widowControl/>
                    <w:adjustRightInd w:val="0"/>
                    <w:snapToGrid w:val="0"/>
                    <w:jc w:val="center"/>
                  </w:pPr>
                  <w:r>
                    <w:rPr>
                      <w:lang w:bidi="ar"/>
                    </w:rPr>
                    <w:t>环境风险防控</w:t>
                  </w:r>
                </w:p>
              </w:tc>
              <w:tc>
                <w:tcPr>
                  <w:tcW w:w="1961" w:type="pct"/>
                  <w:gridSpan w:val="2"/>
                  <w:vAlign w:val="center"/>
                </w:tcPr>
                <w:p w14:paraId="2E888498">
                  <w:pPr>
                    <w:pStyle w:val="20"/>
                    <w:widowControl w:val="0"/>
                    <w:autoSpaceDE w:val="0"/>
                    <w:autoSpaceDN w:val="0"/>
                    <w:adjustRightInd w:val="0"/>
                    <w:spacing w:before="0" w:beforeAutospacing="0" w:after="0" w:afterAutospacing="0"/>
                    <w:rPr>
                      <w:rFonts w:ascii="Times New Roman" w:hAnsi="Times New Roman"/>
                      <w:kern w:val="2"/>
                      <w:sz w:val="21"/>
                      <w:lang w:bidi="ar"/>
                    </w:rPr>
                  </w:pPr>
                  <w:r>
                    <w:rPr>
                      <w:rFonts w:ascii="Times New Roman" w:hAnsi="Times New Roman"/>
                      <w:kern w:val="2"/>
                      <w:sz w:val="21"/>
                      <w:lang w:bidi="ar"/>
                    </w:rPr>
                    <w:t xml:space="preserve">1.执行喀什地区总体管控要求中“A3.1”的相关要求。 </w:t>
                  </w:r>
                </w:p>
                <w:p w14:paraId="465383E6">
                  <w:pPr>
                    <w:pStyle w:val="20"/>
                    <w:widowControl w:val="0"/>
                    <w:autoSpaceDE w:val="0"/>
                    <w:autoSpaceDN w:val="0"/>
                    <w:adjustRightInd w:val="0"/>
                    <w:spacing w:before="0" w:beforeAutospacing="0" w:after="0" w:afterAutospacing="0"/>
                    <w:rPr>
                      <w:rFonts w:ascii="Times New Roman" w:hAnsi="Times New Roman"/>
                      <w:kern w:val="2"/>
                      <w:sz w:val="21"/>
                    </w:rPr>
                  </w:pPr>
                  <w:r>
                    <w:rPr>
                      <w:rFonts w:ascii="Times New Roman" w:hAnsi="Times New Roman"/>
                      <w:kern w:val="2"/>
                      <w:sz w:val="21"/>
                      <w:lang w:bidi="ar"/>
                    </w:rPr>
                    <w:t>2.执行喀什地区一般环境管控单元分类管控要求中“A7.3”的相关要求。</w:t>
                  </w:r>
                </w:p>
              </w:tc>
              <w:tc>
                <w:tcPr>
                  <w:tcW w:w="1645" w:type="pct"/>
                  <w:gridSpan w:val="2"/>
                  <w:vAlign w:val="center"/>
                </w:tcPr>
                <w:p w14:paraId="0CF7EFBD">
                  <w:pPr>
                    <w:tabs>
                      <w:tab w:val="left" w:pos="1021"/>
                    </w:tabs>
                    <w:adjustRightInd w:val="0"/>
                    <w:jc w:val="left"/>
                    <w:rPr>
                      <w:lang w:bidi="ar"/>
                    </w:rPr>
                  </w:pPr>
                  <w:r>
                    <w:rPr>
                      <w:rFonts w:hint="eastAsia"/>
                    </w:rPr>
                    <w:t>1.本项目为公路建设项目，不属于危化品生产项目，符合</w:t>
                  </w:r>
                  <w:r>
                    <w:rPr>
                      <w:lang w:bidi="ar"/>
                    </w:rPr>
                    <w:t>“A3.1”的相关要求</w:t>
                  </w:r>
                  <w:r>
                    <w:rPr>
                      <w:rFonts w:hint="eastAsia"/>
                      <w:lang w:bidi="ar"/>
                    </w:rPr>
                    <w:t>。</w:t>
                  </w:r>
                </w:p>
                <w:p w14:paraId="1EB4EFB1">
                  <w:pPr>
                    <w:tabs>
                      <w:tab w:val="left" w:pos="1021"/>
                    </w:tabs>
                    <w:adjustRightInd w:val="0"/>
                    <w:snapToGrid w:val="0"/>
                  </w:pPr>
                  <w:r>
                    <w:rPr>
                      <w:rFonts w:hint="eastAsia"/>
                    </w:rPr>
                    <w:t>2.本项目为公路建设项目，沿现有路进行改扩建，占地以荒地为主，占用耕地、林地实施“占补平衡”，加强绿化工作，不向水体排放污染物，施工期水质监测，确保不因工程施工对水体产生污染，符合“A7.3”的相关要求。</w:t>
                  </w:r>
                </w:p>
              </w:tc>
              <w:tc>
                <w:tcPr>
                  <w:tcW w:w="597" w:type="pct"/>
                  <w:vAlign w:val="center"/>
                </w:tcPr>
                <w:p w14:paraId="1E5C1E76">
                  <w:pPr>
                    <w:tabs>
                      <w:tab w:val="left" w:pos="1021"/>
                    </w:tabs>
                    <w:adjustRightInd w:val="0"/>
                    <w:snapToGrid w:val="0"/>
                    <w:jc w:val="center"/>
                  </w:pPr>
                  <w:r>
                    <w:rPr>
                      <w:lang w:bidi="ar"/>
                    </w:rPr>
                    <w:t>符合</w:t>
                  </w:r>
                </w:p>
              </w:tc>
            </w:tr>
            <w:tr w14:paraId="30898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99" w:hRule="atLeast"/>
                <w:jc w:val="center"/>
              </w:trPr>
              <w:tc>
                <w:tcPr>
                  <w:tcW w:w="796" w:type="pct"/>
                  <w:vAlign w:val="center"/>
                </w:tcPr>
                <w:p w14:paraId="35EC1E51">
                  <w:pPr>
                    <w:widowControl/>
                    <w:adjustRightInd w:val="0"/>
                    <w:snapToGrid w:val="0"/>
                    <w:jc w:val="center"/>
                  </w:pPr>
                  <w:r>
                    <w:rPr>
                      <w:lang w:bidi="ar"/>
                    </w:rPr>
                    <w:t>资源开发效率要求</w:t>
                  </w:r>
                </w:p>
              </w:tc>
              <w:tc>
                <w:tcPr>
                  <w:tcW w:w="1961" w:type="pct"/>
                  <w:gridSpan w:val="2"/>
                  <w:vAlign w:val="center"/>
                </w:tcPr>
                <w:p w14:paraId="3E53E357">
                  <w:pPr>
                    <w:pStyle w:val="20"/>
                    <w:widowControl w:val="0"/>
                    <w:autoSpaceDE w:val="0"/>
                    <w:autoSpaceDN w:val="0"/>
                    <w:adjustRightInd w:val="0"/>
                    <w:spacing w:before="0" w:beforeAutospacing="0" w:after="0" w:afterAutospacing="0"/>
                    <w:rPr>
                      <w:rFonts w:ascii="Times New Roman" w:hAnsi="Times New Roman"/>
                      <w:kern w:val="2"/>
                      <w:sz w:val="21"/>
                      <w:lang w:bidi="ar"/>
                    </w:rPr>
                  </w:pPr>
                  <w:r>
                    <w:rPr>
                      <w:rFonts w:ascii="Times New Roman" w:hAnsi="Times New Roman"/>
                      <w:kern w:val="2"/>
                      <w:sz w:val="21"/>
                      <w:lang w:bidi="ar"/>
                    </w:rPr>
                    <w:t xml:space="preserve">1.执行喀什地区总体管控要求中“A4.1、A4.2”的相关要求。 </w:t>
                  </w:r>
                </w:p>
                <w:p w14:paraId="3345593F">
                  <w:pPr>
                    <w:pStyle w:val="20"/>
                    <w:widowControl w:val="0"/>
                    <w:autoSpaceDE w:val="0"/>
                    <w:autoSpaceDN w:val="0"/>
                    <w:adjustRightInd w:val="0"/>
                    <w:spacing w:before="0" w:beforeAutospacing="0" w:after="0" w:afterAutospacing="0"/>
                    <w:rPr>
                      <w:rFonts w:ascii="Times New Roman" w:hAnsi="Times New Roman"/>
                      <w:kern w:val="2"/>
                      <w:sz w:val="21"/>
                    </w:rPr>
                  </w:pPr>
                  <w:r>
                    <w:rPr>
                      <w:rFonts w:ascii="Times New Roman" w:hAnsi="Times New Roman"/>
                      <w:kern w:val="2"/>
                      <w:sz w:val="21"/>
                      <w:lang w:bidi="ar"/>
                    </w:rPr>
                    <w:t>2.执行喀什地区一般环境管控单元分类管控要求中“A7.4”的相关要求。</w:t>
                  </w:r>
                </w:p>
              </w:tc>
              <w:tc>
                <w:tcPr>
                  <w:tcW w:w="1645" w:type="pct"/>
                  <w:gridSpan w:val="2"/>
                  <w:vAlign w:val="center"/>
                </w:tcPr>
                <w:p w14:paraId="067D9B29">
                  <w:pPr>
                    <w:tabs>
                      <w:tab w:val="left" w:pos="1021"/>
                    </w:tabs>
                    <w:adjustRightInd w:val="0"/>
                    <w:snapToGrid w:val="0"/>
                    <w:jc w:val="left"/>
                    <w:rPr>
                      <w:rFonts w:hint="default" w:ascii="Times New Roman" w:hAnsi="Times New Roman" w:cs="Times New Roman"/>
                      <w:lang w:bidi="ar"/>
                    </w:rPr>
                  </w:pPr>
                  <w:r>
                    <w:rPr>
                      <w:rFonts w:hint="default" w:ascii="Times New Roman" w:hAnsi="Times New Roman" w:cs="Times New Roman" w:eastAsiaTheme="minorEastAsia"/>
                    </w:rPr>
                    <w:t>1.本项目施工期间</w:t>
                  </w:r>
                  <w:r>
                    <w:rPr>
                      <w:rFonts w:hint="default" w:ascii="Times New Roman" w:hAnsi="Times New Roman" w:cs="Times New Roman" w:eastAsiaTheme="minorEastAsia"/>
                      <w:lang w:val="en-US" w:eastAsia="zh-CN"/>
                    </w:rPr>
                    <w:t>通过路面硬化、加强苫盖等措施</w:t>
                  </w:r>
                  <w:r>
                    <w:rPr>
                      <w:rFonts w:hint="default" w:ascii="Times New Roman" w:hAnsi="Times New Roman" w:cs="Times New Roman" w:eastAsiaTheme="minorEastAsia"/>
                    </w:rPr>
                    <w:t>减少降尘用水，设固定洗车台，不随意大水冲车，严格控制用水总量，施工及运营期间废污水处理后回用，尽量少占耕地资源，并实现占补平衡，符合</w:t>
                  </w:r>
                  <w:r>
                    <w:rPr>
                      <w:rFonts w:hint="default" w:ascii="Times New Roman" w:hAnsi="Times New Roman" w:cs="Times New Roman"/>
                      <w:lang w:bidi="ar"/>
                    </w:rPr>
                    <w:t>“A4.1、A4.2”的相关要求。</w:t>
                  </w:r>
                </w:p>
                <w:p w14:paraId="1BB61C22">
                  <w:pPr>
                    <w:tabs>
                      <w:tab w:val="left" w:pos="1021"/>
                    </w:tabs>
                    <w:adjustRightInd w:val="0"/>
                    <w:snapToGrid w:val="0"/>
                    <w:jc w:val="left"/>
                  </w:pPr>
                  <w:r>
                    <w:rPr>
                      <w:rFonts w:hint="default" w:ascii="Times New Roman" w:hAnsi="Times New Roman" w:cs="Times New Roman"/>
                    </w:rPr>
                    <w:t>2.本项目沿线服务设施采取电能源，施工及运营期间各项废污水处理回用，符合</w:t>
                  </w:r>
                  <w:r>
                    <w:rPr>
                      <w:rFonts w:hint="default" w:ascii="Times New Roman" w:hAnsi="Times New Roman" w:cs="Times New Roman"/>
                      <w:lang w:bidi="ar"/>
                    </w:rPr>
                    <w:t>“A7.4”的相关要求。</w:t>
                  </w:r>
                </w:p>
              </w:tc>
              <w:tc>
                <w:tcPr>
                  <w:tcW w:w="597" w:type="pct"/>
                  <w:vAlign w:val="center"/>
                </w:tcPr>
                <w:p w14:paraId="34620C95">
                  <w:pPr>
                    <w:tabs>
                      <w:tab w:val="left" w:pos="1021"/>
                    </w:tabs>
                    <w:adjustRightInd w:val="0"/>
                    <w:snapToGrid w:val="0"/>
                    <w:jc w:val="center"/>
                  </w:pPr>
                  <w:r>
                    <w:rPr>
                      <w:lang w:bidi="ar"/>
                    </w:rPr>
                    <w:t>符合</w:t>
                  </w:r>
                </w:p>
              </w:tc>
            </w:tr>
          </w:tbl>
          <w:p w14:paraId="45B5BF61">
            <w:pPr>
              <w:keepNext w:val="0"/>
              <w:keepLines w:val="0"/>
              <w:pageBreakBefore w:val="0"/>
              <w:widowControl w:val="0"/>
              <w:kinsoku/>
              <w:wordWrap/>
              <w:overflowPunct/>
              <w:topLinePunct w:val="0"/>
              <w:autoSpaceDE/>
              <w:autoSpaceDN/>
              <w:bidi w:val="0"/>
              <w:adjustRightInd w:val="0"/>
              <w:snapToGrid/>
              <w:spacing w:before="157" w:beforeLines="50"/>
              <w:jc w:val="center"/>
              <w:textAlignment w:val="auto"/>
              <w:rPr>
                <w:rFonts w:eastAsiaTheme="minorEastAsia"/>
                <w:b/>
              </w:rPr>
            </w:pPr>
            <w:r>
              <w:rPr>
                <w:rFonts w:eastAsiaTheme="minorEastAsia"/>
                <w:b/>
              </w:rPr>
              <w:t>表</w:t>
            </w:r>
            <w:r>
              <w:rPr>
                <w:rFonts w:hint="eastAsia" w:eastAsiaTheme="minorEastAsia"/>
                <w:b/>
                <w:lang w:val="en-US" w:eastAsia="zh-CN"/>
              </w:rPr>
              <w:t>1</w:t>
            </w:r>
            <w:r>
              <w:rPr>
                <w:rFonts w:eastAsiaTheme="minorEastAsia"/>
                <w:b/>
              </w:rPr>
              <w:t>-</w:t>
            </w:r>
            <w:r>
              <w:rPr>
                <w:rFonts w:hint="eastAsia" w:eastAsiaTheme="minorEastAsia"/>
                <w:b/>
                <w:lang w:val="en-US" w:eastAsia="zh-CN"/>
              </w:rPr>
              <w:t>8</w:t>
            </w:r>
            <w:r>
              <w:rPr>
                <w:rFonts w:eastAsiaTheme="minorEastAsia"/>
                <w:b/>
              </w:rPr>
              <w:t xml:space="preserve">  拟建公路</w:t>
            </w:r>
            <w:r>
              <w:rPr>
                <w:rFonts w:hint="eastAsia" w:eastAsiaTheme="minorEastAsia"/>
                <w:b/>
                <w:lang w:val="en-US" w:eastAsia="zh-CN"/>
              </w:rPr>
              <w:t>与管控单元准入清单</w:t>
            </w:r>
            <w:r>
              <w:rPr>
                <w:rFonts w:eastAsiaTheme="minorEastAsia"/>
                <w:b/>
              </w:rPr>
              <w:t>符合性分析一览表</w:t>
            </w:r>
          </w:p>
          <w:tbl>
            <w:tblPr>
              <w:tblStyle w:val="22"/>
              <w:tblW w:w="498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183"/>
              <w:gridCol w:w="1626"/>
              <w:gridCol w:w="1012"/>
              <w:gridCol w:w="1015"/>
              <w:gridCol w:w="1781"/>
              <w:gridCol w:w="835"/>
            </w:tblGrid>
            <w:tr w14:paraId="40F96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793" w:type="pct"/>
                  <w:vMerge w:val="restart"/>
                  <w:vAlign w:val="center"/>
                </w:tcPr>
                <w:p w14:paraId="687BCA32">
                  <w:pPr>
                    <w:widowControl/>
                    <w:adjustRightInd w:val="0"/>
                    <w:snapToGrid w:val="0"/>
                    <w:jc w:val="center"/>
                    <w:rPr>
                      <w:b/>
                    </w:rPr>
                  </w:pPr>
                  <w:r>
                    <w:rPr>
                      <w:b/>
                      <w:lang w:bidi="ar"/>
                    </w:rPr>
                    <w:t>环境管控</w:t>
                  </w:r>
                </w:p>
                <w:p w14:paraId="7008D7D2">
                  <w:pPr>
                    <w:widowControl/>
                    <w:adjustRightInd w:val="0"/>
                    <w:snapToGrid w:val="0"/>
                    <w:jc w:val="center"/>
                    <w:rPr>
                      <w:b/>
                    </w:rPr>
                  </w:pPr>
                  <w:r>
                    <w:rPr>
                      <w:b/>
                      <w:lang w:bidi="ar"/>
                    </w:rPr>
                    <w:t>单元编码</w:t>
                  </w:r>
                </w:p>
              </w:tc>
              <w:tc>
                <w:tcPr>
                  <w:tcW w:w="1090" w:type="pct"/>
                  <w:vMerge w:val="restart"/>
                  <w:vAlign w:val="center"/>
                </w:tcPr>
                <w:p w14:paraId="1E4C9691">
                  <w:pPr>
                    <w:widowControl/>
                    <w:adjustRightInd w:val="0"/>
                    <w:snapToGrid w:val="0"/>
                    <w:jc w:val="center"/>
                    <w:rPr>
                      <w:b/>
                    </w:rPr>
                  </w:pPr>
                  <w:r>
                    <w:rPr>
                      <w:b/>
                      <w:lang w:bidi="ar"/>
                    </w:rPr>
                    <w:t>单元名称</w:t>
                  </w:r>
                </w:p>
              </w:tc>
              <w:tc>
                <w:tcPr>
                  <w:tcW w:w="2555" w:type="pct"/>
                  <w:gridSpan w:val="3"/>
                  <w:vAlign w:val="center"/>
                </w:tcPr>
                <w:p w14:paraId="7B38F524">
                  <w:pPr>
                    <w:widowControl/>
                    <w:adjustRightInd w:val="0"/>
                    <w:snapToGrid w:val="0"/>
                    <w:jc w:val="center"/>
                    <w:rPr>
                      <w:b/>
                    </w:rPr>
                  </w:pPr>
                  <w:r>
                    <w:rPr>
                      <w:b/>
                      <w:lang w:bidi="ar"/>
                    </w:rPr>
                    <w:t>行政区划</w:t>
                  </w:r>
                </w:p>
              </w:tc>
              <w:tc>
                <w:tcPr>
                  <w:tcW w:w="560" w:type="pct"/>
                  <w:vAlign w:val="center"/>
                </w:tcPr>
                <w:p w14:paraId="53215652">
                  <w:pPr>
                    <w:widowControl/>
                    <w:adjustRightInd w:val="0"/>
                    <w:snapToGrid w:val="0"/>
                    <w:jc w:val="center"/>
                    <w:rPr>
                      <w:b/>
                    </w:rPr>
                  </w:pPr>
                  <w:r>
                    <w:rPr>
                      <w:b/>
                      <w:lang w:bidi="ar"/>
                    </w:rPr>
                    <w:t>单元分类</w:t>
                  </w:r>
                </w:p>
              </w:tc>
            </w:tr>
            <w:tr w14:paraId="7C3AB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blHeader/>
                <w:jc w:val="center"/>
              </w:trPr>
              <w:tc>
                <w:tcPr>
                  <w:tcW w:w="793" w:type="pct"/>
                  <w:vMerge w:val="continue"/>
                  <w:vAlign w:val="center"/>
                </w:tcPr>
                <w:p w14:paraId="3AB8A870">
                  <w:pPr>
                    <w:rPr>
                      <w:szCs w:val="22"/>
                    </w:rPr>
                  </w:pPr>
                </w:p>
              </w:tc>
              <w:tc>
                <w:tcPr>
                  <w:tcW w:w="1090" w:type="pct"/>
                  <w:vMerge w:val="continue"/>
                  <w:vAlign w:val="center"/>
                </w:tcPr>
                <w:p w14:paraId="59229399">
                  <w:pPr>
                    <w:rPr>
                      <w:szCs w:val="22"/>
                    </w:rPr>
                  </w:pPr>
                </w:p>
              </w:tc>
              <w:tc>
                <w:tcPr>
                  <w:tcW w:w="679" w:type="pct"/>
                  <w:vAlign w:val="center"/>
                </w:tcPr>
                <w:p w14:paraId="1E85364A">
                  <w:pPr>
                    <w:adjustRightInd w:val="0"/>
                    <w:snapToGrid w:val="0"/>
                    <w:jc w:val="center"/>
                    <w:rPr>
                      <w:rFonts w:hint="eastAsia" w:eastAsia="宋体"/>
                      <w:b/>
                      <w:lang w:eastAsia="zh-CN"/>
                    </w:rPr>
                  </w:pPr>
                  <w:r>
                    <w:rPr>
                      <w:rFonts w:hint="eastAsia"/>
                      <w:b/>
                      <w:lang w:val="en-US" w:eastAsia="zh-CN" w:bidi="ar"/>
                    </w:rPr>
                    <w:t>自治区</w:t>
                  </w:r>
                </w:p>
              </w:tc>
              <w:tc>
                <w:tcPr>
                  <w:tcW w:w="681" w:type="pct"/>
                  <w:vAlign w:val="center"/>
                </w:tcPr>
                <w:p w14:paraId="77808953">
                  <w:pPr>
                    <w:adjustRightInd w:val="0"/>
                    <w:snapToGrid w:val="0"/>
                    <w:jc w:val="center"/>
                    <w:rPr>
                      <w:rFonts w:hint="eastAsia" w:eastAsia="宋体"/>
                      <w:b/>
                      <w:lang w:eastAsia="zh-CN"/>
                    </w:rPr>
                  </w:pPr>
                  <w:r>
                    <w:rPr>
                      <w:b/>
                      <w:lang w:bidi="ar"/>
                    </w:rPr>
                    <w:t>州</w:t>
                  </w:r>
                  <w:r>
                    <w:rPr>
                      <w:rFonts w:hint="eastAsia"/>
                      <w:b/>
                      <w:lang w:eastAsia="zh-CN" w:bidi="ar"/>
                    </w:rPr>
                    <w:t>（</w:t>
                  </w:r>
                  <w:r>
                    <w:rPr>
                      <w:rFonts w:hint="eastAsia"/>
                      <w:b/>
                      <w:lang w:val="en-US" w:eastAsia="zh-CN" w:bidi="ar"/>
                    </w:rPr>
                    <w:t>地区</w:t>
                  </w:r>
                  <w:r>
                    <w:rPr>
                      <w:rFonts w:hint="eastAsia"/>
                      <w:b/>
                      <w:lang w:eastAsia="zh-CN" w:bidi="ar"/>
                    </w:rPr>
                    <w:t>）</w:t>
                  </w:r>
                </w:p>
              </w:tc>
              <w:tc>
                <w:tcPr>
                  <w:tcW w:w="1194" w:type="pct"/>
                  <w:vAlign w:val="center"/>
                </w:tcPr>
                <w:p w14:paraId="19212A31">
                  <w:pPr>
                    <w:adjustRightInd w:val="0"/>
                    <w:snapToGrid w:val="0"/>
                    <w:jc w:val="center"/>
                    <w:rPr>
                      <w:b/>
                    </w:rPr>
                  </w:pPr>
                  <w:r>
                    <w:rPr>
                      <w:b/>
                      <w:lang w:bidi="ar"/>
                    </w:rPr>
                    <w:t>县</w:t>
                  </w:r>
                </w:p>
              </w:tc>
              <w:tc>
                <w:tcPr>
                  <w:tcW w:w="560" w:type="pct"/>
                  <w:vMerge w:val="restart"/>
                  <w:vAlign w:val="center"/>
                </w:tcPr>
                <w:p w14:paraId="37731D9C">
                  <w:pPr>
                    <w:widowControl/>
                    <w:adjustRightInd w:val="0"/>
                    <w:snapToGrid w:val="0"/>
                    <w:jc w:val="center"/>
                  </w:pPr>
                  <w:r>
                    <w:rPr>
                      <w:rFonts w:hint="eastAsia"/>
                      <w:lang w:bidi="ar"/>
                    </w:rPr>
                    <w:t>一般管控单元</w:t>
                  </w:r>
                </w:p>
              </w:tc>
            </w:tr>
            <w:tr w14:paraId="5DFF4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29" w:hRule="atLeast"/>
                <w:jc w:val="center"/>
              </w:trPr>
              <w:tc>
                <w:tcPr>
                  <w:tcW w:w="793" w:type="pct"/>
                  <w:vAlign w:val="center"/>
                </w:tcPr>
                <w:p w14:paraId="74A583F2">
                  <w:pPr>
                    <w:pStyle w:val="20"/>
                    <w:widowControl w:val="0"/>
                    <w:autoSpaceDE w:val="0"/>
                    <w:autoSpaceDN w:val="0"/>
                    <w:adjustRightInd w:val="0"/>
                    <w:spacing w:before="0" w:beforeAutospacing="0" w:after="0" w:afterAutospacing="0"/>
                    <w:jc w:val="center"/>
                    <w:rPr>
                      <w:rFonts w:ascii="Times New Roman" w:hAnsi="Times New Roman"/>
                      <w:kern w:val="2"/>
                      <w:sz w:val="21"/>
                    </w:rPr>
                  </w:pPr>
                  <w:r>
                    <w:rPr>
                      <w:rFonts w:ascii="Times New Roman" w:hAnsi="Times New Roman"/>
                      <w:kern w:val="2"/>
                      <w:sz w:val="21"/>
                      <w:lang w:bidi="ar"/>
                    </w:rPr>
                    <w:t>ZH65312930001</w:t>
                  </w:r>
                </w:p>
              </w:tc>
              <w:tc>
                <w:tcPr>
                  <w:tcW w:w="1090" w:type="pct"/>
                  <w:vAlign w:val="center"/>
                </w:tcPr>
                <w:p w14:paraId="0CC3C17F">
                  <w:pPr>
                    <w:pStyle w:val="20"/>
                    <w:widowControl w:val="0"/>
                    <w:autoSpaceDE w:val="0"/>
                    <w:autoSpaceDN w:val="0"/>
                    <w:adjustRightInd w:val="0"/>
                    <w:spacing w:before="0" w:beforeAutospacing="0" w:after="0" w:afterAutospacing="0"/>
                    <w:jc w:val="center"/>
                    <w:rPr>
                      <w:rFonts w:ascii="Times New Roman" w:hAnsi="Times New Roman"/>
                      <w:kern w:val="2"/>
                      <w:sz w:val="21"/>
                    </w:rPr>
                  </w:pPr>
                  <w:r>
                    <w:rPr>
                      <w:rFonts w:hint="eastAsia" w:ascii="Times New Roman" w:hAnsi="Times New Roman"/>
                      <w:kern w:val="2"/>
                      <w:sz w:val="21"/>
                      <w:lang w:bidi="ar"/>
                    </w:rPr>
                    <w:t>岳普湖县</w:t>
                  </w:r>
                  <w:r>
                    <w:rPr>
                      <w:rFonts w:ascii="Times New Roman" w:hAnsi="Times New Roman"/>
                      <w:kern w:val="2"/>
                      <w:sz w:val="21"/>
                      <w:lang w:bidi="ar"/>
                    </w:rPr>
                    <w:t>一般管控单元</w:t>
                  </w:r>
                </w:p>
              </w:tc>
              <w:tc>
                <w:tcPr>
                  <w:tcW w:w="679" w:type="pct"/>
                  <w:vAlign w:val="center"/>
                </w:tcPr>
                <w:p w14:paraId="4CE2CBE0">
                  <w:pPr>
                    <w:widowControl/>
                    <w:adjustRightInd w:val="0"/>
                    <w:snapToGrid w:val="0"/>
                    <w:jc w:val="center"/>
                  </w:pPr>
                  <w:r>
                    <w:rPr>
                      <w:lang w:bidi="ar"/>
                    </w:rPr>
                    <w:t>新疆维吾尔自治区</w:t>
                  </w:r>
                </w:p>
              </w:tc>
              <w:tc>
                <w:tcPr>
                  <w:tcW w:w="681" w:type="pct"/>
                  <w:vAlign w:val="center"/>
                </w:tcPr>
                <w:p w14:paraId="33B426B2">
                  <w:pPr>
                    <w:pStyle w:val="20"/>
                    <w:widowControl w:val="0"/>
                    <w:autoSpaceDE w:val="0"/>
                    <w:autoSpaceDN w:val="0"/>
                    <w:adjustRightInd w:val="0"/>
                    <w:spacing w:before="0" w:beforeAutospacing="0" w:after="0" w:afterAutospacing="0"/>
                    <w:jc w:val="center"/>
                    <w:rPr>
                      <w:rFonts w:ascii="Times New Roman" w:hAnsi="Times New Roman"/>
                      <w:kern w:val="2"/>
                      <w:sz w:val="21"/>
                    </w:rPr>
                  </w:pPr>
                  <w:r>
                    <w:rPr>
                      <w:rFonts w:hint="eastAsia" w:ascii="Times New Roman" w:hAnsi="Times New Roman"/>
                      <w:kern w:val="2"/>
                      <w:sz w:val="21"/>
                      <w:lang w:bidi="ar"/>
                    </w:rPr>
                    <w:t>喀什地区</w:t>
                  </w:r>
                </w:p>
              </w:tc>
              <w:tc>
                <w:tcPr>
                  <w:tcW w:w="1194" w:type="pct"/>
                  <w:vAlign w:val="center"/>
                </w:tcPr>
                <w:p w14:paraId="213D37BC">
                  <w:pPr>
                    <w:pStyle w:val="20"/>
                    <w:widowControl w:val="0"/>
                    <w:autoSpaceDE w:val="0"/>
                    <w:autoSpaceDN w:val="0"/>
                    <w:adjustRightInd w:val="0"/>
                    <w:spacing w:before="0" w:beforeAutospacing="0" w:after="0" w:afterAutospacing="0"/>
                    <w:jc w:val="center"/>
                    <w:rPr>
                      <w:rFonts w:ascii="Times New Roman" w:hAnsi="Times New Roman"/>
                      <w:kern w:val="2"/>
                      <w:sz w:val="21"/>
                    </w:rPr>
                  </w:pPr>
                  <w:r>
                    <w:rPr>
                      <w:rFonts w:hint="eastAsia" w:ascii="Times New Roman" w:hAnsi="Times New Roman"/>
                      <w:kern w:val="2"/>
                      <w:sz w:val="21"/>
                      <w:lang w:bidi="ar"/>
                    </w:rPr>
                    <w:t>岳普湖</w:t>
                  </w:r>
                  <w:r>
                    <w:rPr>
                      <w:rFonts w:ascii="Times New Roman" w:hAnsi="Times New Roman"/>
                      <w:kern w:val="2"/>
                      <w:sz w:val="21"/>
                      <w:lang w:bidi="ar"/>
                    </w:rPr>
                    <w:t xml:space="preserve">县 </w:t>
                  </w:r>
                </w:p>
              </w:tc>
              <w:tc>
                <w:tcPr>
                  <w:tcW w:w="560" w:type="pct"/>
                  <w:vMerge w:val="continue"/>
                  <w:vAlign w:val="center"/>
                </w:tcPr>
                <w:p w14:paraId="448FDC32">
                  <w:pPr>
                    <w:widowControl/>
                    <w:adjustRightInd w:val="0"/>
                    <w:snapToGrid w:val="0"/>
                    <w:jc w:val="center"/>
                  </w:pPr>
                </w:p>
              </w:tc>
            </w:tr>
            <w:tr w14:paraId="53088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793" w:type="pct"/>
                  <w:vAlign w:val="center"/>
                </w:tcPr>
                <w:p w14:paraId="263F5C42">
                  <w:pPr>
                    <w:widowControl/>
                    <w:adjustRightInd w:val="0"/>
                    <w:snapToGrid w:val="0"/>
                    <w:jc w:val="center"/>
                    <w:rPr>
                      <w:b/>
                    </w:rPr>
                  </w:pPr>
                  <w:r>
                    <w:rPr>
                      <w:b/>
                      <w:lang w:bidi="ar"/>
                    </w:rPr>
                    <w:t>管控维度</w:t>
                  </w:r>
                </w:p>
              </w:tc>
              <w:tc>
                <w:tcPr>
                  <w:tcW w:w="1769" w:type="pct"/>
                  <w:gridSpan w:val="2"/>
                  <w:vAlign w:val="center"/>
                </w:tcPr>
                <w:p w14:paraId="67C32551">
                  <w:pPr>
                    <w:adjustRightInd w:val="0"/>
                    <w:snapToGrid w:val="0"/>
                    <w:jc w:val="center"/>
                    <w:rPr>
                      <w:b/>
                    </w:rPr>
                  </w:pPr>
                  <w:r>
                    <w:rPr>
                      <w:b/>
                      <w:lang w:bidi="ar"/>
                    </w:rPr>
                    <w:t>管控要求</w:t>
                  </w:r>
                </w:p>
              </w:tc>
              <w:tc>
                <w:tcPr>
                  <w:tcW w:w="1876" w:type="pct"/>
                  <w:gridSpan w:val="2"/>
                  <w:vAlign w:val="center"/>
                </w:tcPr>
                <w:p w14:paraId="447B905B">
                  <w:pPr>
                    <w:jc w:val="center"/>
                    <w:rPr>
                      <w:b/>
                    </w:rPr>
                  </w:pPr>
                  <w:r>
                    <w:rPr>
                      <w:b/>
                      <w:lang w:bidi="ar"/>
                    </w:rPr>
                    <w:t>拟建公路情况</w:t>
                  </w:r>
                </w:p>
              </w:tc>
              <w:tc>
                <w:tcPr>
                  <w:tcW w:w="560" w:type="pct"/>
                  <w:vAlign w:val="center"/>
                </w:tcPr>
                <w:p w14:paraId="535DDD88">
                  <w:pPr>
                    <w:jc w:val="center"/>
                    <w:rPr>
                      <w:b/>
                    </w:rPr>
                  </w:pPr>
                  <w:r>
                    <w:rPr>
                      <w:b/>
                      <w:lang w:bidi="ar"/>
                    </w:rPr>
                    <w:t>符合性</w:t>
                  </w:r>
                </w:p>
              </w:tc>
            </w:tr>
            <w:tr w14:paraId="053EA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99" w:hRule="atLeast"/>
                <w:jc w:val="center"/>
              </w:trPr>
              <w:tc>
                <w:tcPr>
                  <w:tcW w:w="793" w:type="pct"/>
                  <w:vAlign w:val="center"/>
                </w:tcPr>
                <w:p w14:paraId="096A0F31">
                  <w:pPr>
                    <w:widowControl/>
                    <w:adjustRightInd w:val="0"/>
                    <w:snapToGrid w:val="0"/>
                    <w:jc w:val="center"/>
                  </w:pPr>
                  <w:r>
                    <w:rPr>
                      <w:lang w:bidi="ar"/>
                    </w:rPr>
                    <w:t>空间布局约束</w:t>
                  </w:r>
                </w:p>
              </w:tc>
              <w:tc>
                <w:tcPr>
                  <w:tcW w:w="1769" w:type="pct"/>
                  <w:gridSpan w:val="2"/>
                  <w:vAlign w:val="center"/>
                </w:tcPr>
                <w:p w14:paraId="44D5791B">
                  <w:pPr>
                    <w:pStyle w:val="20"/>
                    <w:widowControl w:val="0"/>
                    <w:autoSpaceDE w:val="0"/>
                    <w:autoSpaceDN w:val="0"/>
                    <w:adjustRightInd w:val="0"/>
                    <w:spacing w:before="0" w:beforeAutospacing="0" w:after="0" w:afterAutospacing="0"/>
                    <w:jc w:val="both"/>
                    <w:rPr>
                      <w:rFonts w:ascii="Times New Roman" w:hAnsi="Times New Roman"/>
                      <w:kern w:val="2"/>
                      <w:sz w:val="21"/>
                      <w:lang w:bidi="ar"/>
                    </w:rPr>
                  </w:pPr>
                  <w:r>
                    <w:rPr>
                      <w:rFonts w:ascii="Times New Roman" w:hAnsi="Times New Roman"/>
                      <w:kern w:val="2"/>
                      <w:sz w:val="21"/>
                      <w:lang w:bidi="ar"/>
                    </w:rPr>
                    <w:t>1.执行喀什地区总体管控要求中“A1.1-5、A1.1-6、A1.1-8、A1.3-1、A1.3-3、A1.3-7、 A1.4-1、A1.4-2、A1.4-3、A1.4-4、A1.4-6”的相关要求。</w:t>
                  </w:r>
                </w:p>
                <w:p w14:paraId="4C93E463">
                  <w:pPr>
                    <w:pStyle w:val="20"/>
                    <w:widowControl w:val="0"/>
                    <w:autoSpaceDE w:val="0"/>
                    <w:autoSpaceDN w:val="0"/>
                    <w:adjustRightInd w:val="0"/>
                    <w:spacing w:before="0" w:beforeAutospacing="0" w:after="0" w:afterAutospacing="0"/>
                    <w:jc w:val="both"/>
                    <w:rPr>
                      <w:rFonts w:ascii="Times New Roman" w:hAnsi="Times New Roman"/>
                      <w:kern w:val="2"/>
                      <w:sz w:val="21"/>
                      <w:lang w:bidi="ar"/>
                    </w:rPr>
                  </w:pPr>
                  <w:r>
                    <w:rPr>
                      <w:rFonts w:ascii="Times New Roman" w:hAnsi="Times New Roman"/>
                      <w:kern w:val="2"/>
                      <w:sz w:val="21"/>
                      <w:lang w:bidi="ar"/>
                    </w:rPr>
                    <w:t>2.执行喀什地区一般环境管控单元分类管控要求中“A7.1”的相关要求。</w:t>
                  </w:r>
                </w:p>
                <w:p w14:paraId="60AD932A">
                  <w:pPr>
                    <w:pStyle w:val="20"/>
                    <w:widowControl w:val="0"/>
                    <w:autoSpaceDE w:val="0"/>
                    <w:autoSpaceDN w:val="0"/>
                    <w:adjustRightInd w:val="0"/>
                    <w:spacing w:before="0" w:beforeAutospacing="0" w:after="0" w:afterAutospacing="0"/>
                    <w:jc w:val="both"/>
                    <w:rPr>
                      <w:rFonts w:ascii="Times New Roman" w:hAnsi="Times New Roman"/>
                      <w:kern w:val="2"/>
                      <w:sz w:val="21"/>
                    </w:rPr>
                  </w:pPr>
                  <w:r>
                    <w:rPr>
                      <w:rFonts w:ascii="Times New Roman" w:hAnsi="Times New Roman"/>
                      <w:kern w:val="2"/>
                      <w:sz w:val="21"/>
                      <w:lang w:bidi="ar"/>
                    </w:rPr>
                    <w:t>3.项目准入必须符合《新疆</w:t>
                  </w:r>
                  <w:r>
                    <w:rPr>
                      <w:rFonts w:hint="eastAsia" w:ascii="Times New Roman" w:hAnsi="Times New Roman"/>
                      <w:kern w:val="2"/>
                      <w:sz w:val="21"/>
                      <w:lang w:eastAsia="zh-CN" w:bidi="ar"/>
                    </w:rPr>
                    <w:t>水体1</w:t>
                  </w:r>
                  <w:r>
                    <w:rPr>
                      <w:rFonts w:ascii="Times New Roman" w:hAnsi="Times New Roman"/>
                      <w:kern w:val="2"/>
                      <w:sz w:val="21"/>
                      <w:lang w:bidi="ar"/>
                    </w:rPr>
                    <w:t>流域</w:t>
                  </w:r>
                  <w:r>
                    <w:rPr>
                      <w:rFonts w:hint="eastAsia" w:ascii="Times New Roman" w:hAnsi="Times New Roman"/>
                      <w:kern w:val="2"/>
                      <w:sz w:val="21"/>
                      <w:lang w:eastAsia="zh-CN" w:bidi="ar"/>
                    </w:rPr>
                    <w:t>水体2</w:t>
                  </w:r>
                  <w:r>
                    <w:rPr>
                      <w:rFonts w:ascii="Times New Roman" w:hAnsi="Times New Roman"/>
                      <w:kern w:val="2"/>
                      <w:sz w:val="21"/>
                      <w:lang w:bidi="ar"/>
                    </w:rPr>
                    <w:t xml:space="preserve">河道岸线保护与利用规划》 相关要求，禁止在河道岸线保护范围建设可能影响防洪工程安全和重要水利工程安全与正常运行的项目。允许开展防洪工程建设，以及生态治理工程建设。因防洪安全、河势稳定、供水安全及经济社会发展需要必须建设的堤防护岸、河道治理、取水、公共管理、生态环境治理、国家重要基础设施等工程，须经科学论证，并严格 按照法律法规要求履行相关审批程序。不得在保护范围内倾倒垃圾和排放污染物，不得造成水体污染。 </w:t>
                  </w:r>
                </w:p>
              </w:tc>
              <w:tc>
                <w:tcPr>
                  <w:tcW w:w="1876" w:type="pct"/>
                  <w:gridSpan w:val="2"/>
                  <w:vAlign w:val="center"/>
                </w:tcPr>
                <w:p w14:paraId="7DF38CFE">
                  <w:pPr>
                    <w:pStyle w:val="20"/>
                    <w:widowControl w:val="0"/>
                    <w:spacing w:before="0" w:beforeAutospacing="0" w:after="0" w:afterAutospacing="0"/>
                    <w:jc w:val="both"/>
                    <w:rPr>
                      <w:rFonts w:ascii="Times New Roman" w:hAnsi="Times New Roman"/>
                      <w:sz w:val="21"/>
                    </w:rPr>
                  </w:pPr>
                  <w:r>
                    <w:rPr>
                      <w:rFonts w:ascii="Times New Roman" w:hAnsi="Times New Roman"/>
                      <w:kern w:val="2"/>
                      <w:sz w:val="21"/>
                      <w:lang w:bidi="ar"/>
                    </w:rPr>
                    <w:t>1</w:t>
                  </w:r>
                  <w:r>
                    <w:rPr>
                      <w:rFonts w:hint="eastAsia" w:ascii="Times New Roman" w:hAnsi="Times New Roman"/>
                      <w:kern w:val="2"/>
                      <w:sz w:val="21"/>
                      <w:lang w:val="en-US" w:eastAsia="zh-CN" w:bidi="ar"/>
                    </w:rPr>
                    <w:t>.</w:t>
                  </w:r>
                  <w:r>
                    <w:rPr>
                      <w:rFonts w:hint="eastAsia" w:ascii="Times New Roman" w:hAnsi="Times New Roman"/>
                      <w:kern w:val="2"/>
                      <w:sz w:val="21"/>
                      <w:lang w:bidi="ar"/>
                    </w:rPr>
                    <w:t>本项目为公路项目，不占用基本农田，不属于高耗水行业，不涉及城市建成区，不占用水源保护区范围，项目建设符合国家及自治区主体功能区规划、生态环境功能区划及产业政策，</w:t>
                  </w:r>
                  <w:r>
                    <w:rPr>
                      <w:rFonts w:hint="eastAsia" w:ascii="Times New Roman" w:hAnsi="Times New Roman"/>
                      <w:kern w:val="2"/>
                      <w:sz w:val="21"/>
                      <w:lang w:eastAsia="zh-CN" w:bidi="ar"/>
                    </w:rPr>
                    <w:t>占用耕地</w:t>
                  </w:r>
                  <w:r>
                    <w:rPr>
                      <w:rFonts w:hint="eastAsia" w:ascii="Times New Roman" w:hAnsi="Times New Roman"/>
                      <w:kern w:val="2"/>
                      <w:sz w:val="21"/>
                      <w:lang w:bidi="ar"/>
                    </w:rPr>
                    <w:t>实行“占补平衡”，实施严格的控水管理，符合</w:t>
                  </w:r>
                  <w:r>
                    <w:rPr>
                      <w:rFonts w:ascii="Times New Roman" w:hAnsi="Times New Roman"/>
                      <w:kern w:val="2"/>
                      <w:sz w:val="21"/>
                      <w:lang w:bidi="ar"/>
                    </w:rPr>
                    <w:t>“A1.1-5、A1.1-6、A1.1-8、A1.3-1、A1.3-3、A1.3-7、A1.4-1、A1.4-2、A1.4-3、A1.4-4、A1.4-6”的相关要求。</w:t>
                  </w:r>
                </w:p>
                <w:p w14:paraId="0374EB35">
                  <w:pPr>
                    <w:pStyle w:val="20"/>
                    <w:widowControl w:val="0"/>
                    <w:spacing w:before="0" w:beforeAutospacing="0" w:after="0" w:afterAutospacing="0"/>
                    <w:jc w:val="both"/>
                    <w:rPr>
                      <w:rFonts w:ascii="Times New Roman" w:hAnsi="Times New Roman"/>
                      <w:kern w:val="2"/>
                      <w:sz w:val="21"/>
                      <w:lang w:bidi="ar"/>
                    </w:rPr>
                  </w:pPr>
                  <w:r>
                    <w:rPr>
                      <w:rFonts w:ascii="Times New Roman" w:hAnsi="Times New Roman"/>
                      <w:kern w:val="2"/>
                      <w:sz w:val="21"/>
                      <w:lang w:bidi="ar"/>
                    </w:rPr>
                    <w:t>2.</w:t>
                  </w:r>
                  <w:r>
                    <w:rPr>
                      <w:rFonts w:hint="eastAsia" w:ascii="Times New Roman" w:hAnsi="Times New Roman"/>
                      <w:kern w:val="2"/>
                      <w:sz w:val="21"/>
                      <w:lang w:bidi="ar"/>
                    </w:rPr>
                    <w:t>本项目不占用基本农田，不属于“高污染、高环境风险产品”工业项目，符合</w:t>
                  </w:r>
                  <w:r>
                    <w:rPr>
                      <w:rFonts w:ascii="Times New Roman" w:hAnsi="Times New Roman"/>
                      <w:kern w:val="2"/>
                      <w:sz w:val="21"/>
                      <w:lang w:bidi="ar"/>
                    </w:rPr>
                    <w:t>“A7.1”的相关要求</w:t>
                  </w:r>
                  <w:r>
                    <w:rPr>
                      <w:rFonts w:hint="eastAsia" w:ascii="Times New Roman" w:hAnsi="Times New Roman"/>
                      <w:kern w:val="2"/>
                      <w:sz w:val="21"/>
                      <w:lang w:bidi="ar"/>
                    </w:rPr>
                    <w:t>。</w:t>
                  </w:r>
                </w:p>
                <w:p w14:paraId="376FF857">
                  <w:pPr>
                    <w:pStyle w:val="20"/>
                    <w:widowControl w:val="0"/>
                    <w:spacing w:before="0" w:beforeAutospacing="0" w:after="0" w:afterAutospacing="0"/>
                    <w:jc w:val="both"/>
                    <w:rPr>
                      <w:rFonts w:ascii="Times New Roman" w:hAnsi="Times New Roman"/>
                    </w:rPr>
                  </w:pPr>
                  <w:r>
                    <w:rPr>
                      <w:rFonts w:hint="eastAsia" w:ascii="Times New Roman" w:hAnsi="Times New Roman"/>
                      <w:sz w:val="21"/>
                    </w:rPr>
                    <w:t>3.本项目为国家重要基础设施工程且为改扩建工程，</w:t>
                  </w:r>
                  <w:r>
                    <w:rPr>
                      <w:rFonts w:hint="eastAsia" w:ascii="Times New Roman" w:hAnsi="Times New Roman"/>
                      <w:sz w:val="21"/>
                      <w:lang w:val="en-US" w:eastAsia="zh-CN"/>
                    </w:rPr>
                    <w:t>不</w:t>
                  </w:r>
                  <w:r>
                    <w:rPr>
                      <w:rFonts w:hint="eastAsia" w:ascii="Times New Roman" w:hAnsi="Times New Roman"/>
                      <w:sz w:val="21"/>
                    </w:rPr>
                    <w:t>可避免的以桥梁的形式跨越</w:t>
                  </w:r>
                  <w:r>
                    <w:rPr>
                      <w:rFonts w:hint="eastAsia" w:ascii="Times New Roman" w:hAnsi="Times New Roman"/>
                      <w:sz w:val="21"/>
                      <w:lang w:eastAsia="zh-CN"/>
                    </w:rPr>
                    <w:t>水体2</w:t>
                  </w:r>
                  <w:r>
                    <w:rPr>
                      <w:rFonts w:hint="eastAsia" w:ascii="Times New Roman" w:hAnsi="Times New Roman"/>
                      <w:sz w:val="21"/>
                    </w:rPr>
                    <w:t>，</w:t>
                  </w:r>
                  <w:r>
                    <w:rPr>
                      <w:rFonts w:hint="eastAsia" w:ascii="Times New Roman" w:hAnsi="Times New Roman"/>
                      <w:sz w:val="21"/>
                      <w:lang w:val="en-US" w:eastAsia="zh-CN"/>
                    </w:rPr>
                    <w:t>建设单位已开展了防洪评价，并向行政管理部门办理了批准手续。</w:t>
                  </w:r>
                  <w:r>
                    <w:rPr>
                      <w:rFonts w:hint="eastAsia" w:ascii="Times New Roman" w:hAnsi="Times New Roman"/>
                      <w:sz w:val="21"/>
                    </w:rPr>
                    <w:t>施工及运营期间，各种废污水均处理后回用，不排入</w:t>
                  </w:r>
                  <w:r>
                    <w:rPr>
                      <w:rFonts w:hint="eastAsia" w:ascii="Times New Roman" w:hAnsi="Times New Roman"/>
                      <w:sz w:val="21"/>
                      <w:lang w:eastAsia="zh-CN"/>
                    </w:rPr>
                    <w:t>水体2</w:t>
                  </w:r>
                  <w:r>
                    <w:rPr>
                      <w:rFonts w:hint="eastAsia" w:ascii="Times New Roman" w:hAnsi="Times New Roman"/>
                      <w:sz w:val="21"/>
                    </w:rPr>
                    <w:t>，施工垃圾妥善处置，不随意倾倒。</w:t>
                  </w:r>
                </w:p>
              </w:tc>
              <w:tc>
                <w:tcPr>
                  <w:tcW w:w="560" w:type="pct"/>
                  <w:vAlign w:val="center"/>
                </w:tcPr>
                <w:p w14:paraId="5D970243">
                  <w:pPr>
                    <w:tabs>
                      <w:tab w:val="left" w:pos="1021"/>
                    </w:tabs>
                    <w:adjustRightInd w:val="0"/>
                    <w:snapToGrid w:val="0"/>
                    <w:jc w:val="center"/>
                  </w:pPr>
                  <w:r>
                    <w:rPr>
                      <w:lang w:bidi="ar"/>
                    </w:rPr>
                    <w:t>符合</w:t>
                  </w:r>
                </w:p>
              </w:tc>
            </w:tr>
            <w:tr w14:paraId="531B6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99" w:hRule="atLeast"/>
                <w:jc w:val="center"/>
              </w:trPr>
              <w:tc>
                <w:tcPr>
                  <w:tcW w:w="793" w:type="pct"/>
                  <w:vAlign w:val="center"/>
                </w:tcPr>
                <w:p w14:paraId="5018C76E">
                  <w:pPr>
                    <w:widowControl/>
                    <w:adjustRightInd w:val="0"/>
                    <w:snapToGrid w:val="0"/>
                    <w:jc w:val="center"/>
                  </w:pPr>
                  <w:r>
                    <w:rPr>
                      <w:lang w:bidi="ar"/>
                    </w:rPr>
                    <w:t>污染物排放管控</w:t>
                  </w:r>
                </w:p>
              </w:tc>
              <w:tc>
                <w:tcPr>
                  <w:tcW w:w="1769" w:type="pct"/>
                  <w:gridSpan w:val="2"/>
                  <w:vAlign w:val="center"/>
                </w:tcPr>
                <w:p w14:paraId="61A7B747">
                  <w:pPr>
                    <w:pStyle w:val="20"/>
                    <w:widowControl w:val="0"/>
                    <w:autoSpaceDE w:val="0"/>
                    <w:autoSpaceDN w:val="0"/>
                    <w:adjustRightInd w:val="0"/>
                    <w:spacing w:before="0" w:beforeAutospacing="0" w:after="0" w:afterAutospacing="0"/>
                    <w:rPr>
                      <w:rFonts w:ascii="Times New Roman" w:hAnsi="Times New Roman"/>
                      <w:kern w:val="2"/>
                      <w:sz w:val="21"/>
                      <w:lang w:bidi="ar"/>
                    </w:rPr>
                  </w:pPr>
                  <w:r>
                    <w:rPr>
                      <w:rFonts w:ascii="Times New Roman" w:hAnsi="Times New Roman"/>
                      <w:kern w:val="2"/>
                      <w:sz w:val="21"/>
                      <w:lang w:bidi="ar"/>
                    </w:rPr>
                    <w:t>1.执行喀什地区总体管控要求中“A2.3-3、A2.3-4、A2.3-5、A2.3-6、A2.3-7、A2.3-8” 的相关要求。</w:t>
                  </w:r>
                </w:p>
                <w:p w14:paraId="7A2F0358">
                  <w:pPr>
                    <w:pStyle w:val="20"/>
                    <w:widowControl w:val="0"/>
                    <w:autoSpaceDE w:val="0"/>
                    <w:autoSpaceDN w:val="0"/>
                    <w:adjustRightInd w:val="0"/>
                    <w:spacing w:before="0" w:beforeAutospacing="0" w:after="0" w:afterAutospacing="0"/>
                    <w:rPr>
                      <w:rFonts w:ascii="Times New Roman" w:hAnsi="Times New Roman"/>
                      <w:kern w:val="2"/>
                      <w:sz w:val="21"/>
                      <w:lang w:bidi="ar"/>
                    </w:rPr>
                  </w:pPr>
                  <w:r>
                    <w:rPr>
                      <w:rFonts w:ascii="Times New Roman" w:hAnsi="Times New Roman"/>
                      <w:kern w:val="2"/>
                      <w:sz w:val="21"/>
                      <w:lang w:bidi="ar"/>
                    </w:rPr>
                    <w:t>2.执行喀什地区一般环境管控单元分类管控要求中“A7.2”的相关要求。</w:t>
                  </w:r>
                </w:p>
                <w:p w14:paraId="78A03E07">
                  <w:pPr>
                    <w:pStyle w:val="20"/>
                    <w:widowControl w:val="0"/>
                    <w:autoSpaceDE w:val="0"/>
                    <w:autoSpaceDN w:val="0"/>
                    <w:adjustRightInd w:val="0"/>
                    <w:spacing w:before="0" w:beforeAutospacing="0" w:after="0" w:afterAutospacing="0"/>
                    <w:rPr>
                      <w:rFonts w:ascii="Times New Roman" w:hAnsi="Times New Roman"/>
                      <w:kern w:val="2"/>
                      <w:sz w:val="21"/>
                    </w:rPr>
                  </w:pPr>
                  <w:r>
                    <w:rPr>
                      <w:rFonts w:ascii="Times New Roman" w:hAnsi="Times New Roman"/>
                      <w:kern w:val="2"/>
                      <w:sz w:val="21"/>
                    </w:rPr>
                    <w:t>3.严格控制林地、草地、园地农药使用量，禁止使用高毒、高残留农药。</w:t>
                  </w:r>
                </w:p>
              </w:tc>
              <w:tc>
                <w:tcPr>
                  <w:tcW w:w="1876" w:type="pct"/>
                  <w:gridSpan w:val="2"/>
                  <w:vAlign w:val="center"/>
                </w:tcPr>
                <w:p w14:paraId="36788483">
                  <w:pPr>
                    <w:tabs>
                      <w:tab w:val="left" w:pos="1021"/>
                    </w:tabs>
                    <w:adjustRightInd w:val="0"/>
                    <w:snapToGrid w:val="0"/>
                    <w:jc w:val="left"/>
                    <w:rPr>
                      <w:lang w:bidi="ar"/>
                    </w:rPr>
                  </w:pPr>
                  <w:r>
                    <w:rPr>
                      <w:rFonts w:hint="eastAsia"/>
                      <w:lang w:bidi="ar"/>
                    </w:rPr>
                    <w:t>1.本项目为公路建设项目，且各项目污染物可做到达标排放，符合</w:t>
                  </w:r>
                  <w:r>
                    <w:rPr>
                      <w:lang w:bidi="ar"/>
                    </w:rPr>
                    <w:t>“A2.3-3、A2.3-4、A2.3-5、A2.3-6、A2.3-7、A2.3-8”的相关要求</w:t>
                  </w:r>
                  <w:r>
                    <w:rPr>
                      <w:rFonts w:hint="eastAsia"/>
                      <w:lang w:bidi="ar"/>
                    </w:rPr>
                    <w:t>。</w:t>
                  </w:r>
                </w:p>
                <w:p w14:paraId="488053B5">
                  <w:pPr>
                    <w:tabs>
                      <w:tab w:val="left" w:pos="1021"/>
                    </w:tabs>
                    <w:adjustRightInd w:val="0"/>
                    <w:snapToGrid w:val="0"/>
                    <w:jc w:val="left"/>
                  </w:pPr>
                  <w:r>
                    <w:rPr>
                      <w:rFonts w:hint="eastAsia"/>
                    </w:rPr>
                    <w:t>2.本项目严格执行喀什地区</w:t>
                  </w:r>
                  <w:r>
                    <w:rPr>
                      <w:rFonts w:hint="eastAsia"/>
                      <w:lang w:eastAsia="zh-CN"/>
                    </w:rPr>
                    <w:t>大气污染防治</w:t>
                  </w:r>
                  <w:r>
                    <w:rPr>
                      <w:rFonts w:hint="eastAsia"/>
                    </w:rPr>
                    <w:t>要求，施工期间严控污染物排放，并实时监测，确保环境空气质量稳定达标，符合</w:t>
                  </w:r>
                  <w:r>
                    <w:rPr>
                      <w:lang w:bidi="ar"/>
                    </w:rPr>
                    <w:t>“A7.2”的相关要求</w:t>
                  </w:r>
                  <w:r>
                    <w:rPr>
                      <w:rFonts w:hint="eastAsia"/>
                    </w:rPr>
                    <w:t>。</w:t>
                  </w:r>
                </w:p>
                <w:p w14:paraId="7E18107B">
                  <w:pPr>
                    <w:tabs>
                      <w:tab w:val="left" w:pos="1021"/>
                    </w:tabs>
                    <w:adjustRightInd w:val="0"/>
                    <w:snapToGrid w:val="0"/>
                    <w:jc w:val="left"/>
                  </w:pPr>
                  <w:r>
                    <w:rPr>
                      <w:rFonts w:hint="eastAsia"/>
                    </w:rPr>
                    <w:t>3.本项目不使用农药。</w:t>
                  </w:r>
                </w:p>
              </w:tc>
              <w:tc>
                <w:tcPr>
                  <w:tcW w:w="560" w:type="pct"/>
                  <w:vAlign w:val="center"/>
                </w:tcPr>
                <w:p w14:paraId="7C3D34B1">
                  <w:pPr>
                    <w:tabs>
                      <w:tab w:val="left" w:pos="1021"/>
                    </w:tabs>
                    <w:adjustRightInd w:val="0"/>
                    <w:snapToGrid w:val="0"/>
                    <w:jc w:val="center"/>
                  </w:pPr>
                  <w:r>
                    <w:rPr>
                      <w:lang w:bidi="ar"/>
                    </w:rPr>
                    <w:t>符合</w:t>
                  </w:r>
                </w:p>
              </w:tc>
            </w:tr>
            <w:tr w14:paraId="6C543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99" w:hRule="atLeast"/>
                <w:jc w:val="center"/>
              </w:trPr>
              <w:tc>
                <w:tcPr>
                  <w:tcW w:w="793" w:type="pct"/>
                  <w:vAlign w:val="center"/>
                </w:tcPr>
                <w:p w14:paraId="5E5022EB">
                  <w:pPr>
                    <w:widowControl/>
                    <w:adjustRightInd w:val="0"/>
                    <w:snapToGrid w:val="0"/>
                    <w:jc w:val="center"/>
                  </w:pPr>
                  <w:r>
                    <w:rPr>
                      <w:lang w:bidi="ar"/>
                    </w:rPr>
                    <w:t>环境风险防控</w:t>
                  </w:r>
                </w:p>
              </w:tc>
              <w:tc>
                <w:tcPr>
                  <w:tcW w:w="1769" w:type="pct"/>
                  <w:gridSpan w:val="2"/>
                  <w:vAlign w:val="center"/>
                </w:tcPr>
                <w:p w14:paraId="43587C38">
                  <w:pPr>
                    <w:pStyle w:val="20"/>
                    <w:widowControl w:val="0"/>
                    <w:autoSpaceDE w:val="0"/>
                    <w:autoSpaceDN w:val="0"/>
                    <w:adjustRightInd w:val="0"/>
                    <w:spacing w:before="0" w:beforeAutospacing="0" w:after="0" w:afterAutospacing="0"/>
                    <w:rPr>
                      <w:rFonts w:ascii="Times New Roman" w:hAnsi="Times New Roman"/>
                      <w:kern w:val="2"/>
                      <w:sz w:val="21"/>
                      <w:lang w:bidi="ar"/>
                    </w:rPr>
                  </w:pPr>
                  <w:r>
                    <w:rPr>
                      <w:rFonts w:ascii="Times New Roman" w:hAnsi="Times New Roman"/>
                      <w:kern w:val="2"/>
                      <w:sz w:val="21"/>
                      <w:lang w:bidi="ar"/>
                    </w:rPr>
                    <w:t xml:space="preserve">1.执行喀什地区总体管控要求中“A3.1”的相关要求。 </w:t>
                  </w:r>
                </w:p>
                <w:p w14:paraId="34A24AEF">
                  <w:pPr>
                    <w:pStyle w:val="20"/>
                    <w:widowControl w:val="0"/>
                    <w:autoSpaceDE w:val="0"/>
                    <w:autoSpaceDN w:val="0"/>
                    <w:adjustRightInd w:val="0"/>
                    <w:spacing w:before="0" w:beforeAutospacing="0" w:after="0" w:afterAutospacing="0"/>
                    <w:rPr>
                      <w:rFonts w:ascii="Times New Roman" w:hAnsi="Times New Roman"/>
                      <w:kern w:val="2"/>
                      <w:sz w:val="21"/>
                    </w:rPr>
                  </w:pPr>
                  <w:r>
                    <w:rPr>
                      <w:rFonts w:ascii="Times New Roman" w:hAnsi="Times New Roman"/>
                      <w:kern w:val="2"/>
                      <w:sz w:val="21"/>
                      <w:lang w:bidi="ar"/>
                    </w:rPr>
                    <w:t>2.执行喀什地区一般环境管控单元分类管控要求中“A7.3”的相关要求。</w:t>
                  </w:r>
                </w:p>
              </w:tc>
              <w:tc>
                <w:tcPr>
                  <w:tcW w:w="1876" w:type="pct"/>
                  <w:gridSpan w:val="2"/>
                  <w:vAlign w:val="center"/>
                </w:tcPr>
                <w:p w14:paraId="51217D74">
                  <w:pPr>
                    <w:tabs>
                      <w:tab w:val="left" w:pos="1021"/>
                    </w:tabs>
                    <w:adjustRightInd w:val="0"/>
                    <w:jc w:val="left"/>
                    <w:rPr>
                      <w:lang w:bidi="ar"/>
                    </w:rPr>
                  </w:pPr>
                  <w:r>
                    <w:rPr>
                      <w:rFonts w:hint="eastAsia"/>
                    </w:rPr>
                    <w:t>1.本项目为公路建设项目，不属于危化品生产项目，符合</w:t>
                  </w:r>
                  <w:r>
                    <w:rPr>
                      <w:lang w:bidi="ar"/>
                    </w:rPr>
                    <w:t>“A3.1”的相关要求</w:t>
                  </w:r>
                  <w:r>
                    <w:rPr>
                      <w:rFonts w:hint="eastAsia"/>
                      <w:lang w:bidi="ar"/>
                    </w:rPr>
                    <w:t>。</w:t>
                  </w:r>
                </w:p>
                <w:p w14:paraId="0CD6A1B0">
                  <w:pPr>
                    <w:tabs>
                      <w:tab w:val="left" w:pos="1021"/>
                    </w:tabs>
                    <w:adjustRightInd w:val="0"/>
                    <w:snapToGrid w:val="0"/>
                  </w:pPr>
                  <w:r>
                    <w:rPr>
                      <w:rFonts w:hint="eastAsia"/>
                    </w:rPr>
                    <w:t>2.本项目为公路建设项目，沿现有路进行改扩建，占地以荒地为主，占用耕地、林地实施“占补平衡”，加强绿化工作，不向水体排放污染物，施工期水质监测，确保不因工程施工对水体产生污染，符合“A7.3”的相关要求。</w:t>
                  </w:r>
                </w:p>
              </w:tc>
              <w:tc>
                <w:tcPr>
                  <w:tcW w:w="560" w:type="pct"/>
                  <w:vAlign w:val="center"/>
                </w:tcPr>
                <w:p w14:paraId="2105888C">
                  <w:pPr>
                    <w:tabs>
                      <w:tab w:val="left" w:pos="1021"/>
                    </w:tabs>
                    <w:adjustRightInd w:val="0"/>
                    <w:snapToGrid w:val="0"/>
                    <w:jc w:val="center"/>
                  </w:pPr>
                  <w:r>
                    <w:rPr>
                      <w:lang w:bidi="ar"/>
                    </w:rPr>
                    <w:t>符合</w:t>
                  </w:r>
                </w:p>
              </w:tc>
            </w:tr>
            <w:tr w14:paraId="7B10E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99" w:hRule="atLeast"/>
                <w:jc w:val="center"/>
              </w:trPr>
              <w:tc>
                <w:tcPr>
                  <w:tcW w:w="793" w:type="pct"/>
                  <w:vAlign w:val="center"/>
                </w:tcPr>
                <w:p w14:paraId="7505C394">
                  <w:pPr>
                    <w:widowControl/>
                    <w:adjustRightInd w:val="0"/>
                    <w:snapToGrid w:val="0"/>
                    <w:jc w:val="center"/>
                  </w:pPr>
                  <w:r>
                    <w:rPr>
                      <w:lang w:bidi="ar"/>
                    </w:rPr>
                    <w:t>资源开发效率要求</w:t>
                  </w:r>
                </w:p>
              </w:tc>
              <w:tc>
                <w:tcPr>
                  <w:tcW w:w="1769" w:type="pct"/>
                  <w:gridSpan w:val="2"/>
                  <w:vAlign w:val="center"/>
                </w:tcPr>
                <w:p w14:paraId="792CF860">
                  <w:pPr>
                    <w:pStyle w:val="20"/>
                    <w:widowControl w:val="0"/>
                    <w:autoSpaceDE w:val="0"/>
                    <w:autoSpaceDN w:val="0"/>
                    <w:adjustRightInd w:val="0"/>
                    <w:spacing w:before="0" w:beforeAutospacing="0" w:after="0" w:afterAutospacing="0"/>
                    <w:rPr>
                      <w:rFonts w:ascii="Times New Roman" w:hAnsi="Times New Roman"/>
                      <w:kern w:val="2"/>
                      <w:sz w:val="21"/>
                      <w:lang w:bidi="ar"/>
                    </w:rPr>
                  </w:pPr>
                  <w:r>
                    <w:rPr>
                      <w:rFonts w:ascii="Times New Roman" w:hAnsi="Times New Roman"/>
                      <w:kern w:val="2"/>
                      <w:sz w:val="21"/>
                      <w:lang w:bidi="ar"/>
                    </w:rPr>
                    <w:t xml:space="preserve">1.执行喀什地区总体管控要求中“A4.1、A4.2”的相关要求。 </w:t>
                  </w:r>
                </w:p>
                <w:p w14:paraId="4D418591">
                  <w:pPr>
                    <w:pStyle w:val="20"/>
                    <w:widowControl w:val="0"/>
                    <w:autoSpaceDE w:val="0"/>
                    <w:autoSpaceDN w:val="0"/>
                    <w:adjustRightInd w:val="0"/>
                    <w:spacing w:before="0" w:beforeAutospacing="0" w:after="0" w:afterAutospacing="0"/>
                    <w:rPr>
                      <w:rFonts w:ascii="Times New Roman" w:hAnsi="Times New Roman"/>
                      <w:kern w:val="2"/>
                      <w:sz w:val="21"/>
                    </w:rPr>
                  </w:pPr>
                  <w:r>
                    <w:rPr>
                      <w:rFonts w:ascii="Times New Roman" w:hAnsi="Times New Roman"/>
                      <w:kern w:val="2"/>
                      <w:sz w:val="21"/>
                      <w:lang w:bidi="ar"/>
                    </w:rPr>
                    <w:t>2.执行喀什地区一般环境管控单元分类管控要求中“A7.4”的相关要求。</w:t>
                  </w:r>
                </w:p>
              </w:tc>
              <w:tc>
                <w:tcPr>
                  <w:tcW w:w="1876" w:type="pct"/>
                  <w:gridSpan w:val="2"/>
                  <w:vAlign w:val="center"/>
                </w:tcPr>
                <w:p w14:paraId="65ADEDE8">
                  <w:pPr>
                    <w:tabs>
                      <w:tab w:val="left" w:pos="1021"/>
                    </w:tabs>
                    <w:adjustRightInd w:val="0"/>
                    <w:snapToGrid w:val="0"/>
                    <w:jc w:val="left"/>
                    <w:rPr>
                      <w:lang w:bidi="ar"/>
                    </w:rPr>
                  </w:pPr>
                  <w:r>
                    <w:rPr>
                      <w:rFonts w:hint="eastAsia" w:asciiTheme="minorEastAsia" w:hAnsiTheme="minorEastAsia" w:eastAsiaTheme="minorEastAsia"/>
                    </w:rPr>
                    <w:t>1.本项目施工期间</w:t>
                  </w:r>
                  <w:r>
                    <w:rPr>
                      <w:rFonts w:hint="default" w:ascii="Times New Roman" w:hAnsi="Times New Roman" w:cs="Times New Roman" w:eastAsiaTheme="minorEastAsia"/>
                      <w:lang w:val="en-US" w:eastAsia="zh-CN"/>
                    </w:rPr>
                    <w:t>通过路面硬化、加强苫盖等措施</w:t>
                  </w:r>
                  <w:r>
                    <w:rPr>
                      <w:rFonts w:asciiTheme="minorEastAsia" w:hAnsiTheme="minorEastAsia" w:eastAsiaTheme="minorEastAsia"/>
                    </w:rPr>
                    <w:t>减少</w:t>
                  </w:r>
                  <w:r>
                    <w:rPr>
                      <w:rFonts w:hint="eastAsia" w:asciiTheme="minorEastAsia" w:hAnsiTheme="minorEastAsia" w:eastAsiaTheme="minorEastAsia"/>
                    </w:rPr>
                    <w:t>降尘用水，</w:t>
                  </w:r>
                  <w:r>
                    <w:rPr>
                      <w:rFonts w:asciiTheme="minorEastAsia" w:hAnsiTheme="minorEastAsia" w:eastAsiaTheme="minorEastAsia"/>
                    </w:rPr>
                    <w:t>设固定洗车台，不随意大水冲车</w:t>
                  </w:r>
                  <w:r>
                    <w:rPr>
                      <w:rFonts w:hint="eastAsia" w:asciiTheme="minorEastAsia" w:hAnsiTheme="minorEastAsia" w:eastAsiaTheme="minorEastAsia"/>
                    </w:rPr>
                    <w:t>，严格控制用水总量，施工及运营期间废污水处理后回用，尽量少占耕地资源，并实现占补平衡，符合</w:t>
                  </w:r>
                  <w:r>
                    <w:rPr>
                      <w:lang w:bidi="ar"/>
                    </w:rPr>
                    <w:t>“A4.1、A4.2”的相关要求</w:t>
                  </w:r>
                  <w:r>
                    <w:rPr>
                      <w:rFonts w:hint="eastAsia"/>
                      <w:lang w:bidi="ar"/>
                    </w:rPr>
                    <w:t>。</w:t>
                  </w:r>
                </w:p>
                <w:p w14:paraId="5C8CBC24">
                  <w:pPr>
                    <w:tabs>
                      <w:tab w:val="left" w:pos="1021"/>
                    </w:tabs>
                    <w:adjustRightInd w:val="0"/>
                    <w:snapToGrid w:val="0"/>
                    <w:jc w:val="left"/>
                  </w:pPr>
                  <w:r>
                    <w:rPr>
                      <w:rFonts w:hint="eastAsia"/>
                    </w:rPr>
                    <w:t>2.本项目沿线服务设施采取电能源，施工及运营期间各项废污水处理回用，符合</w:t>
                  </w:r>
                  <w:r>
                    <w:rPr>
                      <w:lang w:bidi="ar"/>
                    </w:rPr>
                    <w:t>“A7.4”的相关要求</w:t>
                  </w:r>
                  <w:r>
                    <w:rPr>
                      <w:rFonts w:hint="eastAsia"/>
                      <w:lang w:bidi="ar"/>
                    </w:rPr>
                    <w:t>。</w:t>
                  </w:r>
                </w:p>
              </w:tc>
              <w:tc>
                <w:tcPr>
                  <w:tcW w:w="560" w:type="pct"/>
                  <w:vAlign w:val="center"/>
                </w:tcPr>
                <w:p w14:paraId="1E1A8945">
                  <w:pPr>
                    <w:tabs>
                      <w:tab w:val="left" w:pos="1021"/>
                    </w:tabs>
                    <w:adjustRightInd w:val="0"/>
                    <w:snapToGrid w:val="0"/>
                    <w:jc w:val="center"/>
                  </w:pPr>
                  <w:r>
                    <w:rPr>
                      <w:lang w:bidi="ar"/>
                    </w:rPr>
                    <w:t>符合</w:t>
                  </w:r>
                </w:p>
              </w:tc>
            </w:tr>
          </w:tbl>
          <w:p w14:paraId="45F1BCD1">
            <w:pPr>
              <w:keepNext w:val="0"/>
              <w:keepLines w:val="0"/>
              <w:pageBreakBefore w:val="0"/>
              <w:widowControl w:val="0"/>
              <w:kinsoku/>
              <w:wordWrap/>
              <w:overflowPunct/>
              <w:topLinePunct w:val="0"/>
              <w:autoSpaceDE w:val="0"/>
              <w:autoSpaceDN w:val="0"/>
              <w:bidi w:val="0"/>
              <w:adjustRightInd w:val="0"/>
              <w:snapToGrid/>
              <w:spacing w:line="300" w:lineRule="auto"/>
              <w:ind w:firstLine="480" w:firstLineChars="200"/>
              <w:textAlignment w:val="auto"/>
              <w:rPr>
                <w:rFonts w:hint="default"/>
                <w:kern w:val="0"/>
                <w:sz w:val="24"/>
                <w:szCs w:val="24"/>
                <w:lang w:val="en-US" w:eastAsia="zh-CN"/>
              </w:rPr>
            </w:pPr>
            <w:r>
              <w:rPr>
                <w:rFonts w:hint="default" w:ascii="Times New Roman" w:hAnsi="Times New Roman" w:cs="Times New Roman"/>
                <w:kern w:val="0"/>
                <w:sz w:val="24"/>
                <w:szCs w:val="24"/>
                <w:lang w:val="en-US" w:eastAsia="zh-CN"/>
              </w:rPr>
              <w:t>④ 与新疆生产建</w:t>
            </w:r>
            <w:r>
              <w:rPr>
                <w:rFonts w:hint="eastAsia"/>
                <w:kern w:val="0"/>
                <w:sz w:val="24"/>
                <w:szCs w:val="24"/>
                <w:lang w:val="en-US" w:eastAsia="zh-CN"/>
              </w:rPr>
              <w:t>设兵团辖区管控单元</w:t>
            </w:r>
            <w:r>
              <w:rPr>
                <w:rFonts w:hint="eastAsia" w:ascii="Times New Roman" w:hAnsi="Times New Roman" w:cs="Times New Roman"/>
                <w:sz w:val="24"/>
                <w:szCs w:val="24"/>
                <w:lang w:val="en-US" w:eastAsia="zh-CN"/>
              </w:rPr>
              <w:t>准入清单符合性分析</w:t>
            </w:r>
          </w:p>
          <w:p w14:paraId="143B4E61">
            <w:pPr>
              <w:spacing w:after="120" w:afterLines="50" w:line="300" w:lineRule="auto"/>
              <w:ind w:right="12" w:rightChars="6" w:firstLine="480" w:firstLineChars="200"/>
              <w:rPr>
                <w:rFonts w:hint="eastAsia" w:hAnsi="宋体"/>
                <w:kern w:val="0"/>
                <w:sz w:val="24"/>
                <w:lang w:val="en-US" w:eastAsia="zh-CN"/>
              </w:rPr>
            </w:pPr>
            <w:r>
              <w:rPr>
                <w:rFonts w:hint="eastAsia" w:hAnsi="宋体"/>
                <w:kern w:val="0"/>
                <w:sz w:val="24"/>
              </w:rPr>
              <w:t>根据《新疆生产建设兵团2023年度生态环境分区管控动态更新成果公告》（兵团生态环境局，</w:t>
            </w:r>
            <w:r>
              <w:rPr>
                <w:rFonts w:hAnsi="宋体"/>
                <w:kern w:val="0"/>
                <w:sz w:val="24"/>
              </w:rPr>
              <w:t>2024</w:t>
            </w:r>
            <w:r>
              <w:rPr>
                <w:rFonts w:hint="eastAsia" w:hAnsi="宋体"/>
                <w:kern w:val="0"/>
                <w:sz w:val="24"/>
              </w:rPr>
              <w:t>年</w:t>
            </w:r>
            <w:r>
              <w:rPr>
                <w:rFonts w:hAnsi="宋体"/>
                <w:kern w:val="0"/>
                <w:sz w:val="24"/>
              </w:rPr>
              <w:t>12</w:t>
            </w:r>
            <w:r>
              <w:rPr>
                <w:rFonts w:hint="eastAsia" w:hAnsi="宋体"/>
                <w:kern w:val="0"/>
                <w:sz w:val="24"/>
              </w:rPr>
              <w:t>月</w:t>
            </w:r>
            <w:r>
              <w:rPr>
                <w:rFonts w:hAnsi="宋体"/>
                <w:kern w:val="0"/>
                <w:sz w:val="24"/>
              </w:rPr>
              <w:t>16</w:t>
            </w:r>
            <w:r>
              <w:rPr>
                <w:rFonts w:hint="eastAsia" w:hAnsi="宋体"/>
                <w:kern w:val="0"/>
                <w:sz w:val="24"/>
              </w:rPr>
              <w:t>日）</w:t>
            </w:r>
            <w:r>
              <w:rPr>
                <w:rFonts w:hint="eastAsia" w:hAnsi="宋体"/>
                <w:kern w:val="0"/>
                <w:sz w:val="24"/>
                <w:lang w:eastAsia="zh-CN"/>
              </w:rPr>
              <w:t>，</w:t>
            </w:r>
            <w:r>
              <w:rPr>
                <w:rFonts w:hint="eastAsia"/>
                <w:kern w:val="0"/>
                <w:sz w:val="24"/>
                <w:szCs w:val="20"/>
                <w:lang w:val="en-US" w:eastAsia="zh-CN"/>
              </w:rPr>
              <w:t>兵团</w:t>
            </w:r>
            <w:r>
              <w:rPr>
                <w:rFonts w:hint="default"/>
                <w:kern w:val="0"/>
                <w:sz w:val="24"/>
                <w:szCs w:val="20"/>
                <w:lang w:val="en-US" w:eastAsia="zh-CN"/>
              </w:rPr>
              <w:t>共划定</w:t>
            </w:r>
            <w:r>
              <w:rPr>
                <w:rFonts w:hint="eastAsia"/>
                <w:kern w:val="0"/>
                <w:sz w:val="24"/>
                <w:szCs w:val="20"/>
                <w:lang w:val="en-US" w:eastAsia="zh-CN"/>
              </w:rPr>
              <w:t>760</w:t>
            </w:r>
            <w:r>
              <w:rPr>
                <w:rFonts w:hint="default"/>
                <w:kern w:val="0"/>
                <w:sz w:val="24"/>
                <w:szCs w:val="20"/>
                <w:lang w:val="en-US" w:eastAsia="zh-CN"/>
              </w:rPr>
              <w:t>个环境管控单元，分为优先保护、重点管控和一般管控三类</w:t>
            </w:r>
            <w:r>
              <w:rPr>
                <w:rFonts w:hint="eastAsia"/>
                <w:kern w:val="0"/>
                <w:sz w:val="24"/>
                <w:szCs w:val="20"/>
                <w:lang w:val="en-US" w:eastAsia="zh-CN"/>
              </w:rPr>
              <w:t>。</w:t>
            </w:r>
            <w:r>
              <w:rPr>
                <w:rFonts w:hint="eastAsia" w:hAnsi="宋体"/>
                <w:kern w:val="0"/>
                <w:sz w:val="24"/>
                <w:lang w:eastAsia="zh-CN"/>
              </w:rPr>
              <w:t>拟建公路涉及红旗农场重点管控单元（ZH65731820001），</w:t>
            </w:r>
            <w:r>
              <w:rPr>
                <w:rFonts w:hint="eastAsia" w:hAnsi="宋体"/>
                <w:kern w:val="0"/>
                <w:sz w:val="24"/>
                <w:lang w:val="en-US" w:eastAsia="zh-CN"/>
              </w:rPr>
              <w:t>拟建公路与该管控单元</w:t>
            </w:r>
            <w:r>
              <w:rPr>
                <w:rFonts w:hint="eastAsia" w:ascii="Times New Roman" w:hAnsi="Times New Roman" w:cs="Times New Roman"/>
                <w:sz w:val="24"/>
                <w:szCs w:val="24"/>
                <w:lang w:val="en-US" w:eastAsia="zh-CN"/>
              </w:rPr>
              <w:t>生态环境准入清单符合性分析</w:t>
            </w:r>
            <w:r>
              <w:rPr>
                <w:rFonts w:hint="eastAsia" w:hAnsi="宋体"/>
                <w:kern w:val="0"/>
                <w:sz w:val="24"/>
                <w:lang w:val="en-US" w:eastAsia="zh-CN"/>
              </w:rPr>
              <w:t>具体见表1-9，与管控单元位置关系见附图7。</w:t>
            </w:r>
          </w:p>
          <w:p w14:paraId="5ED989F7">
            <w:pPr>
              <w:adjustRightInd w:val="0"/>
              <w:jc w:val="center"/>
              <w:rPr>
                <w:rFonts w:eastAsiaTheme="minorEastAsia"/>
                <w:b/>
              </w:rPr>
            </w:pPr>
            <w:r>
              <w:rPr>
                <w:rFonts w:eastAsiaTheme="minorEastAsia"/>
                <w:b/>
              </w:rPr>
              <w:t>表</w:t>
            </w:r>
            <w:r>
              <w:rPr>
                <w:rFonts w:hint="eastAsia" w:eastAsiaTheme="minorEastAsia"/>
                <w:b/>
                <w:lang w:val="en-US" w:eastAsia="zh-CN"/>
              </w:rPr>
              <w:t>1</w:t>
            </w:r>
            <w:r>
              <w:rPr>
                <w:rFonts w:eastAsiaTheme="minorEastAsia"/>
                <w:b/>
              </w:rPr>
              <w:t>-</w:t>
            </w:r>
            <w:r>
              <w:rPr>
                <w:rFonts w:hint="eastAsia" w:eastAsiaTheme="minorEastAsia"/>
                <w:b/>
                <w:lang w:val="en-US" w:eastAsia="zh-CN"/>
              </w:rPr>
              <w:t>9</w:t>
            </w:r>
            <w:r>
              <w:rPr>
                <w:rFonts w:eastAsiaTheme="minorEastAsia"/>
                <w:b/>
              </w:rPr>
              <w:t xml:space="preserve">  拟建公路</w:t>
            </w:r>
            <w:r>
              <w:rPr>
                <w:rFonts w:hint="eastAsia" w:eastAsiaTheme="minorEastAsia"/>
                <w:b/>
                <w:lang w:val="en-US" w:eastAsia="zh-CN"/>
              </w:rPr>
              <w:t>与</w:t>
            </w:r>
            <w:r>
              <w:rPr>
                <w:rFonts w:eastAsiaTheme="minorEastAsia"/>
                <w:b/>
              </w:rPr>
              <w:t>生态环境</w:t>
            </w:r>
            <w:r>
              <w:rPr>
                <w:rFonts w:hint="eastAsia" w:eastAsiaTheme="minorEastAsia"/>
                <w:b/>
                <w:lang w:val="en-US" w:eastAsia="zh-CN"/>
              </w:rPr>
              <w:t>准入清单</w:t>
            </w:r>
            <w:r>
              <w:rPr>
                <w:rFonts w:eastAsiaTheme="minorEastAsia"/>
                <w:b/>
              </w:rPr>
              <w:t>符合性分析一览表</w:t>
            </w:r>
          </w:p>
          <w:tbl>
            <w:tblPr>
              <w:tblStyle w:val="22"/>
              <w:tblW w:w="498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992"/>
              <w:gridCol w:w="1687"/>
              <w:gridCol w:w="927"/>
              <w:gridCol w:w="1021"/>
              <w:gridCol w:w="2011"/>
              <w:gridCol w:w="805"/>
            </w:tblGrid>
            <w:tr w14:paraId="1EEC3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blHeader/>
                <w:jc w:val="center"/>
              </w:trPr>
              <w:tc>
                <w:tcPr>
                  <w:tcW w:w="665" w:type="pct"/>
                  <w:vMerge w:val="restart"/>
                  <w:vAlign w:val="center"/>
                </w:tcPr>
                <w:p w14:paraId="11D467B7">
                  <w:pPr>
                    <w:widowControl/>
                    <w:adjustRightInd w:val="0"/>
                    <w:jc w:val="center"/>
                    <w:rPr>
                      <w:b/>
                    </w:rPr>
                  </w:pPr>
                  <w:r>
                    <w:rPr>
                      <w:b/>
                      <w:lang w:bidi="ar"/>
                    </w:rPr>
                    <w:t>环境管控单元编码</w:t>
                  </w:r>
                </w:p>
              </w:tc>
              <w:tc>
                <w:tcPr>
                  <w:tcW w:w="1133" w:type="pct"/>
                  <w:vMerge w:val="restart"/>
                  <w:vAlign w:val="center"/>
                </w:tcPr>
                <w:p w14:paraId="6D4FEAF4">
                  <w:pPr>
                    <w:widowControl/>
                    <w:adjustRightInd w:val="0"/>
                    <w:jc w:val="center"/>
                    <w:rPr>
                      <w:b/>
                    </w:rPr>
                  </w:pPr>
                  <w:r>
                    <w:rPr>
                      <w:b/>
                      <w:lang w:bidi="ar"/>
                    </w:rPr>
                    <w:t>单元名称</w:t>
                  </w:r>
                </w:p>
              </w:tc>
              <w:tc>
                <w:tcPr>
                  <w:tcW w:w="2660" w:type="pct"/>
                  <w:gridSpan w:val="3"/>
                  <w:vAlign w:val="center"/>
                </w:tcPr>
                <w:p w14:paraId="2C12CBA4">
                  <w:pPr>
                    <w:widowControl/>
                    <w:adjustRightInd w:val="0"/>
                    <w:jc w:val="center"/>
                    <w:rPr>
                      <w:b/>
                    </w:rPr>
                  </w:pPr>
                  <w:r>
                    <w:rPr>
                      <w:b/>
                      <w:lang w:bidi="ar"/>
                    </w:rPr>
                    <w:t>行政区划</w:t>
                  </w:r>
                </w:p>
              </w:tc>
              <w:tc>
                <w:tcPr>
                  <w:tcW w:w="542" w:type="pct"/>
                  <w:vMerge w:val="restart"/>
                  <w:vAlign w:val="center"/>
                </w:tcPr>
                <w:p w14:paraId="7525262F">
                  <w:pPr>
                    <w:widowControl/>
                    <w:adjustRightInd w:val="0"/>
                    <w:jc w:val="center"/>
                    <w:rPr>
                      <w:b/>
                      <w:lang w:bidi="ar"/>
                    </w:rPr>
                  </w:pPr>
                  <w:r>
                    <w:rPr>
                      <w:b/>
                      <w:lang w:bidi="ar"/>
                    </w:rPr>
                    <w:t>单元</w:t>
                  </w:r>
                </w:p>
                <w:p w14:paraId="48865DD8">
                  <w:pPr>
                    <w:widowControl/>
                    <w:adjustRightInd w:val="0"/>
                    <w:jc w:val="center"/>
                    <w:rPr>
                      <w:b/>
                    </w:rPr>
                  </w:pPr>
                  <w:r>
                    <w:rPr>
                      <w:b/>
                      <w:lang w:bidi="ar"/>
                    </w:rPr>
                    <w:t>分类</w:t>
                  </w:r>
                </w:p>
              </w:tc>
            </w:tr>
            <w:tr w14:paraId="507EE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9" w:hRule="atLeast"/>
                <w:tblHeader/>
                <w:jc w:val="center"/>
              </w:trPr>
              <w:tc>
                <w:tcPr>
                  <w:tcW w:w="665" w:type="pct"/>
                  <w:vMerge w:val="continue"/>
                  <w:vAlign w:val="center"/>
                </w:tcPr>
                <w:p w14:paraId="50691FDF">
                  <w:pPr>
                    <w:adjustRightInd w:val="0"/>
                    <w:rPr>
                      <w:szCs w:val="22"/>
                    </w:rPr>
                  </w:pPr>
                </w:p>
              </w:tc>
              <w:tc>
                <w:tcPr>
                  <w:tcW w:w="1133" w:type="pct"/>
                  <w:vMerge w:val="continue"/>
                  <w:vAlign w:val="center"/>
                </w:tcPr>
                <w:p w14:paraId="32DFDF41">
                  <w:pPr>
                    <w:adjustRightInd w:val="0"/>
                    <w:rPr>
                      <w:szCs w:val="22"/>
                    </w:rPr>
                  </w:pPr>
                </w:p>
              </w:tc>
              <w:tc>
                <w:tcPr>
                  <w:tcW w:w="623" w:type="pct"/>
                  <w:vAlign w:val="center"/>
                </w:tcPr>
                <w:p w14:paraId="439229D8">
                  <w:pPr>
                    <w:adjustRightInd w:val="0"/>
                    <w:jc w:val="center"/>
                    <w:rPr>
                      <w:b/>
                    </w:rPr>
                  </w:pPr>
                  <w:r>
                    <w:rPr>
                      <w:rFonts w:hint="eastAsia"/>
                      <w:b/>
                      <w:lang w:bidi="ar"/>
                    </w:rPr>
                    <w:t>兵团</w:t>
                  </w:r>
                </w:p>
              </w:tc>
              <w:tc>
                <w:tcPr>
                  <w:tcW w:w="686" w:type="pct"/>
                  <w:vAlign w:val="center"/>
                </w:tcPr>
                <w:p w14:paraId="4A1CF8D7">
                  <w:pPr>
                    <w:adjustRightInd w:val="0"/>
                    <w:jc w:val="center"/>
                    <w:rPr>
                      <w:b/>
                    </w:rPr>
                  </w:pPr>
                  <w:r>
                    <w:rPr>
                      <w:rFonts w:hint="eastAsia"/>
                      <w:b/>
                      <w:lang w:bidi="ar"/>
                    </w:rPr>
                    <w:t>师</w:t>
                  </w:r>
                </w:p>
              </w:tc>
              <w:tc>
                <w:tcPr>
                  <w:tcW w:w="1351" w:type="pct"/>
                  <w:vAlign w:val="center"/>
                </w:tcPr>
                <w:p w14:paraId="200A677F">
                  <w:pPr>
                    <w:adjustRightInd w:val="0"/>
                    <w:jc w:val="center"/>
                    <w:rPr>
                      <w:b/>
                    </w:rPr>
                  </w:pPr>
                  <w:r>
                    <w:rPr>
                      <w:rFonts w:hint="eastAsia"/>
                      <w:b/>
                      <w:lang w:bidi="ar"/>
                    </w:rPr>
                    <w:t>团</w:t>
                  </w:r>
                </w:p>
              </w:tc>
              <w:tc>
                <w:tcPr>
                  <w:tcW w:w="542" w:type="pct"/>
                  <w:vMerge w:val="continue"/>
                  <w:vAlign w:val="center"/>
                </w:tcPr>
                <w:p w14:paraId="5824C1B3">
                  <w:pPr>
                    <w:adjustRightInd w:val="0"/>
                    <w:rPr>
                      <w:szCs w:val="22"/>
                    </w:rPr>
                  </w:pPr>
                </w:p>
              </w:tc>
            </w:tr>
            <w:tr w14:paraId="63F4E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3" w:hRule="atLeast"/>
                <w:jc w:val="center"/>
              </w:trPr>
              <w:tc>
                <w:tcPr>
                  <w:tcW w:w="665" w:type="pct"/>
                  <w:vAlign w:val="center"/>
                </w:tcPr>
                <w:p w14:paraId="29536E27">
                  <w:pPr>
                    <w:pStyle w:val="20"/>
                    <w:widowControl w:val="0"/>
                    <w:autoSpaceDE w:val="0"/>
                    <w:autoSpaceDN w:val="0"/>
                    <w:adjustRightInd w:val="0"/>
                    <w:spacing w:before="0" w:beforeAutospacing="0" w:after="0" w:afterAutospacing="0"/>
                    <w:jc w:val="center"/>
                    <w:rPr>
                      <w:rFonts w:ascii="Times New Roman" w:hAnsi="Times New Roman"/>
                      <w:kern w:val="2"/>
                      <w:sz w:val="21"/>
                    </w:rPr>
                  </w:pPr>
                  <w:r>
                    <w:rPr>
                      <w:rFonts w:ascii="Times New Roman" w:hAnsi="Times New Roman"/>
                      <w:kern w:val="2"/>
                      <w:sz w:val="21"/>
                      <w:lang w:bidi="ar"/>
                    </w:rPr>
                    <w:t>ZH65731820001</w:t>
                  </w:r>
                </w:p>
              </w:tc>
              <w:tc>
                <w:tcPr>
                  <w:tcW w:w="1133" w:type="pct"/>
                  <w:vAlign w:val="center"/>
                </w:tcPr>
                <w:p w14:paraId="1587A575">
                  <w:pPr>
                    <w:pStyle w:val="20"/>
                    <w:widowControl w:val="0"/>
                    <w:autoSpaceDE w:val="0"/>
                    <w:autoSpaceDN w:val="0"/>
                    <w:adjustRightInd w:val="0"/>
                    <w:spacing w:before="0" w:beforeAutospacing="0" w:after="0" w:afterAutospacing="0"/>
                    <w:jc w:val="center"/>
                    <w:rPr>
                      <w:rFonts w:ascii="Times New Roman" w:hAnsi="Times New Roman"/>
                      <w:kern w:val="2"/>
                      <w:sz w:val="21"/>
                    </w:rPr>
                  </w:pPr>
                  <w:r>
                    <w:rPr>
                      <w:rFonts w:hint="eastAsia" w:ascii="Times New Roman" w:hAnsi="Times New Roman"/>
                      <w:kern w:val="2"/>
                      <w:sz w:val="21"/>
                      <w:lang w:bidi="ar"/>
                    </w:rPr>
                    <w:t>红旗农场重点管控单元</w:t>
                  </w:r>
                </w:p>
              </w:tc>
              <w:tc>
                <w:tcPr>
                  <w:tcW w:w="623" w:type="pct"/>
                  <w:vAlign w:val="center"/>
                </w:tcPr>
                <w:p w14:paraId="193FFF0B">
                  <w:pPr>
                    <w:widowControl/>
                    <w:adjustRightInd w:val="0"/>
                    <w:jc w:val="center"/>
                  </w:pPr>
                  <w:r>
                    <w:rPr>
                      <w:lang w:bidi="ar"/>
                    </w:rPr>
                    <w:t>新疆</w:t>
                  </w:r>
                  <w:r>
                    <w:rPr>
                      <w:rFonts w:hint="eastAsia"/>
                      <w:lang w:bidi="ar"/>
                    </w:rPr>
                    <w:t>生产建设兵团</w:t>
                  </w:r>
                </w:p>
              </w:tc>
              <w:tc>
                <w:tcPr>
                  <w:tcW w:w="686" w:type="pct"/>
                  <w:vAlign w:val="center"/>
                </w:tcPr>
                <w:p w14:paraId="32B1C36D">
                  <w:pPr>
                    <w:pStyle w:val="20"/>
                    <w:widowControl w:val="0"/>
                    <w:autoSpaceDE w:val="0"/>
                    <w:autoSpaceDN w:val="0"/>
                    <w:adjustRightInd w:val="0"/>
                    <w:spacing w:before="0" w:beforeAutospacing="0" w:after="0" w:afterAutospacing="0"/>
                    <w:jc w:val="center"/>
                    <w:rPr>
                      <w:rFonts w:ascii="Times New Roman" w:hAnsi="Times New Roman"/>
                      <w:kern w:val="2"/>
                      <w:sz w:val="21"/>
                    </w:rPr>
                  </w:pPr>
                  <w:r>
                    <w:rPr>
                      <w:rFonts w:hint="eastAsia" w:ascii="Times New Roman" w:hAnsi="Times New Roman"/>
                      <w:kern w:val="2"/>
                      <w:sz w:val="21"/>
                      <w:lang w:val="en-US" w:eastAsia="zh-CN" w:bidi="ar"/>
                    </w:rPr>
                    <w:t>草湖项目区</w:t>
                  </w:r>
                  <w:r>
                    <w:rPr>
                      <w:rFonts w:ascii="Times New Roman" w:hAnsi="Times New Roman"/>
                      <w:kern w:val="2"/>
                      <w:sz w:val="21"/>
                      <w:lang w:bidi="ar"/>
                    </w:rPr>
                    <w:t xml:space="preserve"> </w:t>
                  </w:r>
                </w:p>
              </w:tc>
              <w:tc>
                <w:tcPr>
                  <w:tcW w:w="1351" w:type="pct"/>
                  <w:vAlign w:val="center"/>
                </w:tcPr>
                <w:p w14:paraId="5A21BB73">
                  <w:pPr>
                    <w:pStyle w:val="20"/>
                    <w:widowControl w:val="0"/>
                    <w:autoSpaceDE w:val="0"/>
                    <w:autoSpaceDN w:val="0"/>
                    <w:adjustRightInd w:val="0"/>
                    <w:spacing w:before="0" w:beforeAutospacing="0" w:after="0" w:afterAutospacing="0"/>
                    <w:jc w:val="center"/>
                    <w:rPr>
                      <w:rFonts w:ascii="Times New Roman" w:hAnsi="Times New Roman"/>
                      <w:kern w:val="2"/>
                      <w:sz w:val="21"/>
                    </w:rPr>
                  </w:pPr>
                  <w:r>
                    <w:rPr>
                      <w:rFonts w:hint="eastAsia" w:ascii="Times New Roman" w:hAnsi="Times New Roman"/>
                      <w:kern w:val="2"/>
                      <w:sz w:val="21"/>
                      <w:lang w:bidi="ar"/>
                    </w:rPr>
                    <w:t>红旗农场</w:t>
                  </w:r>
                  <w:r>
                    <w:rPr>
                      <w:rFonts w:ascii="Times New Roman" w:hAnsi="Times New Roman"/>
                      <w:kern w:val="2"/>
                      <w:sz w:val="21"/>
                      <w:lang w:bidi="ar"/>
                    </w:rPr>
                    <w:t xml:space="preserve"> </w:t>
                  </w:r>
                </w:p>
              </w:tc>
              <w:tc>
                <w:tcPr>
                  <w:tcW w:w="542" w:type="pct"/>
                  <w:vAlign w:val="center"/>
                </w:tcPr>
                <w:p w14:paraId="7E5BDD6D">
                  <w:pPr>
                    <w:widowControl/>
                    <w:adjustRightInd w:val="0"/>
                    <w:jc w:val="center"/>
                  </w:pPr>
                  <w:r>
                    <w:rPr>
                      <w:rFonts w:hint="eastAsia"/>
                      <w:lang w:bidi="ar"/>
                    </w:rPr>
                    <w:t>重点管控</w:t>
                  </w:r>
                  <w:r>
                    <w:rPr>
                      <w:lang w:bidi="ar"/>
                    </w:rPr>
                    <w:t>单元</w:t>
                  </w:r>
                </w:p>
              </w:tc>
            </w:tr>
            <w:tr w14:paraId="599A7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665" w:type="pct"/>
                  <w:vAlign w:val="center"/>
                </w:tcPr>
                <w:p w14:paraId="15825D43">
                  <w:pPr>
                    <w:widowControl/>
                    <w:adjustRightInd w:val="0"/>
                    <w:jc w:val="center"/>
                    <w:rPr>
                      <w:b/>
                    </w:rPr>
                  </w:pPr>
                  <w:r>
                    <w:rPr>
                      <w:b/>
                      <w:lang w:bidi="ar"/>
                    </w:rPr>
                    <w:t>管控维度</w:t>
                  </w:r>
                </w:p>
              </w:tc>
              <w:tc>
                <w:tcPr>
                  <w:tcW w:w="1756" w:type="pct"/>
                  <w:gridSpan w:val="2"/>
                  <w:vAlign w:val="center"/>
                </w:tcPr>
                <w:p w14:paraId="07448180">
                  <w:pPr>
                    <w:adjustRightInd w:val="0"/>
                    <w:jc w:val="center"/>
                    <w:rPr>
                      <w:b/>
                    </w:rPr>
                  </w:pPr>
                  <w:r>
                    <w:rPr>
                      <w:b/>
                      <w:lang w:bidi="ar"/>
                    </w:rPr>
                    <w:t>管控要求</w:t>
                  </w:r>
                </w:p>
              </w:tc>
              <w:tc>
                <w:tcPr>
                  <w:tcW w:w="2037" w:type="pct"/>
                  <w:gridSpan w:val="2"/>
                  <w:vAlign w:val="center"/>
                </w:tcPr>
                <w:p w14:paraId="54D466E7">
                  <w:pPr>
                    <w:adjustRightInd w:val="0"/>
                    <w:jc w:val="center"/>
                    <w:rPr>
                      <w:b/>
                    </w:rPr>
                  </w:pPr>
                  <w:r>
                    <w:rPr>
                      <w:b/>
                      <w:lang w:bidi="ar"/>
                    </w:rPr>
                    <w:t>拟建公路情况</w:t>
                  </w:r>
                </w:p>
              </w:tc>
              <w:tc>
                <w:tcPr>
                  <w:tcW w:w="539" w:type="pct"/>
                  <w:vAlign w:val="center"/>
                </w:tcPr>
                <w:p w14:paraId="30A2B91F">
                  <w:pPr>
                    <w:adjustRightInd w:val="0"/>
                    <w:jc w:val="center"/>
                    <w:rPr>
                      <w:b/>
                    </w:rPr>
                  </w:pPr>
                  <w:r>
                    <w:rPr>
                      <w:b/>
                      <w:lang w:bidi="ar"/>
                    </w:rPr>
                    <w:t>符合性</w:t>
                  </w:r>
                </w:p>
              </w:tc>
            </w:tr>
            <w:tr w14:paraId="64545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99" w:hRule="atLeast"/>
                <w:jc w:val="center"/>
              </w:trPr>
              <w:tc>
                <w:tcPr>
                  <w:tcW w:w="665" w:type="pct"/>
                  <w:vAlign w:val="center"/>
                </w:tcPr>
                <w:p w14:paraId="4EED27BE">
                  <w:pPr>
                    <w:widowControl/>
                    <w:adjustRightInd w:val="0"/>
                    <w:jc w:val="center"/>
                  </w:pPr>
                  <w:r>
                    <w:rPr>
                      <w:lang w:bidi="ar"/>
                    </w:rPr>
                    <w:t>空间布局约束</w:t>
                  </w:r>
                </w:p>
              </w:tc>
              <w:tc>
                <w:tcPr>
                  <w:tcW w:w="1756" w:type="pct"/>
                  <w:gridSpan w:val="2"/>
                  <w:vAlign w:val="center"/>
                </w:tcPr>
                <w:p w14:paraId="1183CB21">
                  <w:pPr>
                    <w:pStyle w:val="20"/>
                    <w:widowControl w:val="0"/>
                    <w:autoSpaceDE w:val="0"/>
                    <w:autoSpaceDN w:val="0"/>
                    <w:adjustRightInd w:val="0"/>
                    <w:spacing w:before="0" w:beforeAutospacing="0" w:after="0" w:afterAutospacing="0"/>
                    <w:jc w:val="both"/>
                    <w:rPr>
                      <w:rFonts w:ascii="Times New Roman" w:hAnsi="Times New Roman"/>
                      <w:kern w:val="2"/>
                      <w:sz w:val="21"/>
                      <w:lang w:bidi="ar"/>
                    </w:rPr>
                  </w:pPr>
                  <w:r>
                    <w:rPr>
                      <w:rFonts w:hint="eastAsia" w:ascii="Times New Roman" w:hAnsi="Times New Roman"/>
                      <w:kern w:val="2"/>
                      <w:sz w:val="21"/>
                      <w:lang w:bidi="ar"/>
                    </w:rPr>
                    <w:t>1.执行大气环境布局敏感区相关要求。</w:t>
                  </w:r>
                </w:p>
                <w:p w14:paraId="65583481">
                  <w:pPr>
                    <w:pStyle w:val="20"/>
                    <w:widowControl w:val="0"/>
                    <w:autoSpaceDE w:val="0"/>
                    <w:autoSpaceDN w:val="0"/>
                    <w:adjustRightInd w:val="0"/>
                    <w:spacing w:before="0" w:beforeAutospacing="0" w:after="0" w:afterAutospacing="0"/>
                    <w:jc w:val="both"/>
                    <w:rPr>
                      <w:rFonts w:ascii="Times New Roman" w:hAnsi="Times New Roman"/>
                      <w:kern w:val="2"/>
                      <w:sz w:val="21"/>
                      <w:lang w:bidi="ar"/>
                    </w:rPr>
                  </w:pPr>
                  <w:r>
                    <w:rPr>
                      <w:rFonts w:hint="eastAsia" w:ascii="Times New Roman" w:hAnsi="Times New Roman"/>
                      <w:kern w:val="2"/>
                      <w:sz w:val="21"/>
                      <w:lang w:bidi="ar"/>
                    </w:rPr>
                    <w:t>2.保护好河湖湿地生境，禁止未经法定许可占用水域；建设项目不得影响河道自然形态和河湖水生态（环境）功能。</w:t>
                  </w:r>
                </w:p>
                <w:p w14:paraId="7139269E">
                  <w:pPr>
                    <w:pStyle w:val="20"/>
                    <w:widowControl w:val="0"/>
                    <w:autoSpaceDE w:val="0"/>
                    <w:autoSpaceDN w:val="0"/>
                    <w:adjustRightInd w:val="0"/>
                    <w:spacing w:before="0" w:beforeAutospacing="0" w:after="0" w:afterAutospacing="0"/>
                    <w:jc w:val="both"/>
                    <w:rPr>
                      <w:rFonts w:ascii="Times New Roman" w:hAnsi="Times New Roman"/>
                      <w:kern w:val="2"/>
                      <w:sz w:val="21"/>
                      <w:lang w:bidi="ar"/>
                    </w:rPr>
                  </w:pPr>
                  <w:r>
                    <w:rPr>
                      <w:rFonts w:hint="eastAsia" w:ascii="Times New Roman" w:hAnsi="Times New Roman"/>
                      <w:kern w:val="2"/>
                      <w:sz w:val="21"/>
                      <w:lang w:bidi="ar"/>
                    </w:rPr>
                    <w:t>3.加强对林地、河流水系等生态用地的保护，对饮用水水源保护区、水土保持区等生态高敏感区优先保留生态用地。</w:t>
                  </w:r>
                </w:p>
                <w:p w14:paraId="06AA3546">
                  <w:pPr>
                    <w:pStyle w:val="20"/>
                    <w:widowControl w:val="0"/>
                    <w:autoSpaceDE w:val="0"/>
                    <w:autoSpaceDN w:val="0"/>
                    <w:adjustRightInd w:val="0"/>
                    <w:spacing w:before="0" w:beforeAutospacing="0" w:after="0" w:afterAutospacing="0"/>
                    <w:jc w:val="both"/>
                    <w:rPr>
                      <w:rFonts w:ascii="Times New Roman" w:hAnsi="Times New Roman"/>
                      <w:kern w:val="2"/>
                      <w:sz w:val="21"/>
                    </w:rPr>
                  </w:pPr>
                  <w:r>
                    <w:rPr>
                      <w:rFonts w:hint="eastAsia" w:ascii="Times New Roman" w:hAnsi="Times New Roman"/>
                      <w:kern w:val="2"/>
                      <w:sz w:val="21"/>
                      <w:lang w:bidi="ar"/>
                    </w:rPr>
                    <w:t>4.大气环境布局敏感区应避免大规模排放大气污染物的项目布局建设。已有改扩建项目要提高节能环保准入门槛，实行大气污染物排放减量置换，实施区域内最严格的大气污染物排放标准。区内禁止新建除热电联产以外的煤电项目，禁止新（改、扩）建钢铁、建材、焦化、有色、石化、化工等高污染行业项目；禁止新建使用原煤项目和30蒸吨/小时以下的重油、渣油锅炉及直接燃用生物质锅炉；禁止新建涉及有毒有害气体排放的项目；优先实施清洁能源替代，淘汰区域内现存的上述禁止项目。环境质量超标区域，新 （改、扩）建其它项目实行区域大气污染物二倍量削减，即：按照建设项目污染物排放量的2倍及以上实行区域污染物总量削减替代；已达到大气环境质量标准的地区，应当严格控制新增排放大气污染物项目大气污染物排放量</w:t>
                  </w:r>
                  <w:r>
                    <w:rPr>
                      <w:rFonts w:ascii="Times New Roman" w:hAnsi="Times New Roman"/>
                      <w:spacing w:val="-2"/>
                      <w:kern w:val="2"/>
                      <w:sz w:val="21"/>
                      <w:lang w:bidi="ar"/>
                    </w:rPr>
                    <w:t>。</w:t>
                  </w:r>
                </w:p>
              </w:tc>
              <w:tc>
                <w:tcPr>
                  <w:tcW w:w="2037" w:type="pct"/>
                  <w:gridSpan w:val="2"/>
                  <w:vAlign w:val="center"/>
                </w:tcPr>
                <w:p w14:paraId="400FA4BF">
                  <w:pPr>
                    <w:tabs>
                      <w:tab w:val="left" w:pos="1021"/>
                    </w:tabs>
                    <w:adjustRightInd w:val="0"/>
                  </w:pPr>
                  <w:r>
                    <w:rPr>
                      <w:rFonts w:hint="eastAsia"/>
                    </w:rPr>
                    <w:t>1.本项目为公路改扩建项目，通过以新带老可以减轻对环境的影响，符合大气环境布局敏感区相关要求。</w:t>
                  </w:r>
                </w:p>
                <w:p w14:paraId="2C15B25D">
                  <w:pPr>
                    <w:tabs>
                      <w:tab w:val="left" w:pos="1021"/>
                    </w:tabs>
                    <w:adjustRightInd w:val="0"/>
                  </w:pPr>
                  <w:r>
                    <w:rPr>
                      <w:rFonts w:hint="eastAsia"/>
                    </w:rPr>
                    <w:t>2.本项目以桥梁形式跨越沿线水体，涉水桥梁的修建已经水行政部门许可</w:t>
                  </w:r>
                  <w:r>
                    <w:rPr>
                      <w:rFonts w:hint="eastAsia"/>
                      <w:lang w:eastAsia="zh-CN"/>
                    </w:rPr>
                    <w:t>，</w:t>
                  </w:r>
                  <w:r>
                    <w:rPr>
                      <w:rFonts w:hint="eastAsia"/>
                    </w:rPr>
                    <w:t>涉水桥墩方案，不会改变河道走向及水文情势、未缩窄行洪断面，沿线无水生生物产卵、索饵、越冬场及洄游通道，不会破坏水生态功能。</w:t>
                  </w:r>
                </w:p>
                <w:p w14:paraId="31402385">
                  <w:pPr>
                    <w:tabs>
                      <w:tab w:val="left" w:pos="1021"/>
                    </w:tabs>
                    <w:adjustRightInd w:val="0"/>
                  </w:pPr>
                  <w:r>
                    <w:rPr>
                      <w:rFonts w:hint="eastAsia"/>
                    </w:rPr>
                    <w:t>3.本项目未占用公益林，采用桥梁跨越河流，完全沿现有路进行改扩建，施工结束后对临时占地进行生态修复，对生态环境影响相对较小。</w:t>
                  </w:r>
                </w:p>
                <w:p w14:paraId="0B763E01">
                  <w:pPr>
                    <w:tabs>
                      <w:tab w:val="left" w:pos="1021"/>
                    </w:tabs>
                    <w:adjustRightInd w:val="0"/>
                  </w:pPr>
                  <w:r>
                    <w:rPr>
                      <w:rFonts w:hint="eastAsia"/>
                    </w:rPr>
                    <w:t>4.本项目为公路改扩建项目，不属于高污染、高耗能项目，沿线无集中式大气污染排放源，施工期采取密闭拌合、抑尘等措施，沿线设施无锅炉废气排放，厨房加装油烟净化器，不会对环境空气产生明显影响。</w:t>
                  </w:r>
                  <w:r>
                    <w:t xml:space="preserve"> </w:t>
                  </w:r>
                </w:p>
              </w:tc>
              <w:tc>
                <w:tcPr>
                  <w:tcW w:w="539" w:type="pct"/>
                  <w:vAlign w:val="center"/>
                </w:tcPr>
                <w:p w14:paraId="7EB2CB92">
                  <w:pPr>
                    <w:tabs>
                      <w:tab w:val="left" w:pos="1021"/>
                    </w:tabs>
                    <w:adjustRightInd w:val="0"/>
                    <w:jc w:val="center"/>
                  </w:pPr>
                  <w:r>
                    <w:rPr>
                      <w:lang w:bidi="ar"/>
                    </w:rPr>
                    <w:t>符合</w:t>
                  </w:r>
                </w:p>
              </w:tc>
            </w:tr>
            <w:tr w14:paraId="171B7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99" w:hRule="atLeast"/>
                <w:jc w:val="center"/>
              </w:trPr>
              <w:tc>
                <w:tcPr>
                  <w:tcW w:w="666" w:type="pct"/>
                  <w:vAlign w:val="center"/>
                </w:tcPr>
                <w:p w14:paraId="365834E2">
                  <w:pPr>
                    <w:widowControl/>
                    <w:adjustRightInd w:val="0"/>
                    <w:jc w:val="center"/>
                  </w:pPr>
                  <w:r>
                    <w:rPr>
                      <w:lang w:bidi="ar"/>
                    </w:rPr>
                    <w:t>污染物排放管控</w:t>
                  </w:r>
                </w:p>
              </w:tc>
              <w:tc>
                <w:tcPr>
                  <w:tcW w:w="1756" w:type="pct"/>
                  <w:gridSpan w:val="2"/>
                  <w:vAlign w:val="center"/>
                </w:tcPr>
                <w:p w14:paraId="6E4BCA3C">
                  <w:pPr>
                    <w:pStyle w:val="20"/>
                    <w:widowControl w:val="0"/>
                    <w:autoSpaceDE w:val="0"/>
                    <w:autoSpaceDN w:val="0"/>
                    <w:adjustRightInd w:val="0"/>
                    <w:spacing w:before="0" w:beforeAutospacing="0" w:after="0" w:afterAutospacing="0"/>
                    <w:jc w:val="both"/>
                    <w:rPr>
                      <w:rFonts w:ascii="Times New Roman" w:hAnsi="Times New Roman"/>
                      <w:kern w:val="2"/>
                      <w:sz w:val="21"/>
                      <w:lang w:bidi="ar"/>
                    </w:rPr>
                  </w:pPr>
                  <w:r>
                    <w:rPr>
                      <w:rFonts w:hint="eastAsia" w:ascii="Times New Roman" w:hAnsi="Times New Roman"/>
                      <w:kern w:val="2"/>
                      <w:sz w:val="21"/>
                      <w:lang w:bidi="ar"/>
                    </w:rPr>
                    <w:t>1.</w:t>
                  </w:r>
                  <w:r>
                    <w:rPr>
                      <w:rFonts w:ascii="Times New Roman" w:hAnsi="Times New Roman"/>
                      <w:kern w:val="2"/>
                      <w:sz w:val="21"/>
                      <w:lang w:bidi="ar"/>
                    </w:rPr>
                    <w:t>禁止利用未经处理的污水灌溉农田，</w:t>
                  </w:r>
                  <w:r>
                    <w:rPr>
                      <w:rFonts w:hint="eastAsia" w:ascii="Times New Roman" w:hAnsi="Times New Roman"/>
                      <w:kern w:val="2"/>
                      <w:sz w:val="21"/>
                      <w:lang w:eastAsia="zh-CN" w:bidi="ar"/>
                    </w:rPr>
                    <w:t>已有</w:t>
                  </w:r>
                  <w:r>
                    <w:rPr>
                      <w:rFonts w:ascii="Times New Roman" w:hAnsi="Times New Roman"/>
                      <w:kern w:val="2"/>
                      <w:sz w:val="21"/>
                      <w:lang w:bidi="ar"/>
                    </w:rPr>
                    <w:t>污灌农田要限期改用清水灌溉。</w:t>
                  </w:r>
                </w:p>
                <w:p w14:paraId="37400C04">
                  <w:pPr>
                    <w:pStyle w:val="20"/>
                    <w:widowControl w:val="0"/>
                    <w:autoSpaceDE w:val="0"/>
                    <w:autoSpaceDN w:val="0"/>
                    <w:adjustRightInd w:val="0"/>
                    <w:spacing w:before="0" w:beforeAutospacing="0" w:after="0" w:afterAutospacing="0"/>
                    <w:jc w:val="both"/>
                    <w:rPr>
                      <w:rFonts w:ascii="Times New Roman" w:hAnsi="Times New Roman"/>
                      <w:kern w:val="2"/>
                      <w:sz w:val="21"/>
                      <w:lang w:bidi="ar"/>
                    </w:rPr>
                  </w:pPr>
                  <w:r>
                    <w:rPr>
                      <w:rFonts w:hint="eastAsia" w:ascii="Times New Roman" w:hAnsi="Times New Roman"/>
                      <w:kern w:val="2"/>
                      <w:sz w:val="21"/>
                      <w:lang w:bidi="ar"/>
                    </w:rPr>
                    <w:t>2.</w:t>
                  </w:r>
                  <w:r>
                    <w:rPr>
                      <w:rFonts w:ascii="Times New Roman" w:hAnsi="Times New Roman"/>
                      <w:kern w:val="2"/>
                      <w:sz w:val="21"/>
                      <w:lang w:bidi="ar"/>
                    </w:rPr>
                    <w:t>严格控制农药使用，逐步削减农业面源污染物排放量。</w:t>
                  </w:r>
                </w:p>
                <w:p w14:paraId="577FE464">
                  <w:pPr>
                    <w:pStyle w:val="20"/>
                    <w:widowControl w:val="0"/>
                    <w:autoSpaceDE w:val="0"/>
                    <w:autoSpaceDN w:val="0"/>
                    <w:adjustRightInd w:val="0"/>
                    <w:spacing w:before="0" w:beforeAutospacing="0" w:after="0" w:afterAutospacing="0"/>
                    <w:jc w:val="both"/>
                    <w:rPr>
                      <w:rFonts w:ascii="Times New Roman" w:hAnsi="Times New Roman"/>
                      <w:kern w:val="2"/>
                      <w:sz w:val="21"/>
                      <w:lang w:bidi="ar"/>
                    </w:rPr>
                  </w:pPr>
                  <w:r>
                    <w:rPr>
                      <w:rFonts w:hint="eastAsia" w:ascii="Times New Roman" w:hAnsi="Times New Roman"/>
                      <w:kern w:val="2"/>
                      <w:sz w:val="21"/>
                      <w:lang w:bidi="ar"/>
                    </w:rPr>
                    <w:t>3.</w:t>
                  </w:r>
                  <w:r>
                    <w:rPr>
                      <w:rFonts w:ascii="Times New Roman" w:hAnsi="Times New Roman"/>
                      <w:kern w:val="2"/>
                      <w:sz w:val="21"/>
                      <w:lang w:bidi="ar"/>
                    </w:rPr>
                    <w:t>推动秸秆还田与离田收集，禁止焚烧秸秆。</w:t>
                  </w:r>
                </w:p>
                <w:p w14:paraId="2809ADAE">
                  <w:pPr>
                    <w:pStyle w:val="20"/>
                    <w:widowControl w:val="0"/>
                    <w:autoSpaceDE w:val="0"/>
                    <w:autoSpaceDN w:val="0"/>
                    <w:adjustRightInd w:val="0"/>
                    <w:spacing w:before="0" w:beforeAutospacing="0" w:after="0" w:afterAutospacing="0"/>
                    <w:jc w:val="both"/>
                    <w:rPr>
                      <w:rFonts w:ascii="Times New Roman" w:hAnsi="Times New Roman"/>
                      <w:kern w:val="2"/>
                      <w:sz w:val="21"/>
                    </w:rPr>
                  </w:pPr>
                  <w:r>
                    <w:rPr>
                      <w:rFonts w:hint="eastAsia" w:ascii="Times New Roman" w:hAnsi="Times New Roman"/>
                      <w:kern w:val="2"/>
                      <w:sz w:val="21"/>
                      <w:lang w:bidi="ar"/>
                    </w:rPr>
                    <w:t>4.</w:t>
                  </w:r>
                  <w:r>
                    <w:rPr>
                      <w:rFonts w:ascii="Times New Roman" w:hAnsi="Times New Roman"/>
                      <w:kern w:val="2"/>
                      <w:sz w:val="21"/>
                      <w:lang w:bidi="ar"/>
                    </w:rPr>
                    <w:t>大气环境布局敏感区执行环境空气质量二级标准。</w:t>
                  </w:r>
                </w:p>
              </w:tc>
              <w:tc>
                <w:tcPr>
                  <w:tcW w:w="2037" w:type="pct"/>
                  <w:gridSpan w:val="2"/>
                  <w:vAlign w:val="center"/>
                </w:tcPr>
                <w:p w14:paraId="3AB5F8C9">
                  <w:pPr>
                    <w:tabs>
                      <w:tab w:val="left" w:pos="1021"/>
                    </w:tabs>
                    <w:adjustRightInd w:val="0"/>
                    <w:jc w:val="both"/>
                    <w:rPr>
                      <w:lang w:bidi="ar"/>
                    </w:rPr>
                  </w:pPr>
                  <w:r>
                    <w:rPr>
                      <w:rFonts w:hint="eastAsia"/>
                    </w:rPr>
                    <w:t>1.本项目施工期生产废水处理后回用，生活污</w:t>
                  </w:r>
                  <w:r>
                    <w:rPr>
                      <w:rFonts w:hint="eastAsia"/>
                      <w:lang w:val="en-US" w:eastAsia="zh-CN"/>
                    </w:rPr>
                    <w:t>水经</w:t>
                  </w:r>
                  <w:r>
                    <w:rPr>
                      <w:rFonts w:hint="eastAsia"/>
                    </w:rPr>
                    <w:t>化粪池处理后</w:t>
                  </w:r>
                  <w:r>
                    <w:rPr>
                      <w:rFonts w:hint="eastAsia"/>
                      <w:lang w:val="en-US" w:eastAsia="zh-CN"/>
                    </w:rPr>
                    <w:t>用于</w:t>
                  </w:r>
                  <w:r>
                    <w:rPr>
                      <w:rFonts w:hint="eastAsia"/>
                    </w:rPr>
                    <w:t>农田灌溉，运营期沿线设施污水处理后</w:t>
                  </w:r>
                  <w:r>
                    <w:rPr>
                      <w:rFonts w:hint="eastAsia"/>
                      <w:lang w:val="en-US" w:eastAsia="zh-CN"/>
                    </w:rPr>
                    <w:t>冬储夏灌</w:t>
                  </w:r>
                  <w:r>
                    <w:rPr>
                      <w:rFonts w:hint="eastAsia"/>
                    </w:rPr>
                    <w:t>不外排</w:t>
                  </w:r>
                  <w:r>
                    <w:rPr>
                      <w:rFonts w:hint="eastAsia"/>
                      <w:lang w:bidi="ar"/>
                    </w:rPr>
                    <w:t>。</w:t>
                  </w:r>
                </w:p>
                <w:p w14:paraId="1116FBED">
                  <w:pPr>
                    <w:tabs>
                      <w:tab w:val="left" w:pos="1021"/>
                    </w:tabs>
                    <w:adjustRightInd w:val="0"/>
                    <w:jc w:val="both"/>
                    <w:rPr>
                      <w:lang w:bidi="ar"/>
                    </w:rPr>
                  </w:pPr>
                  <w:r>
                    <w:rPr>
                      <w:rFonts w:hint="eastAsia"/>
                    </w:rPr>
                    <w:t>2.本项目不涉及农药使用</w:t>
                  </w:r>
                  <w:r>
                    <w:rPr>
                      <w:rFonts w:hint="eastAsia"/>
                      <w:lang w:bidi="ar"/>
                    </w:rPr>
                    <w:t>。</w:t>
                  </w:r>
                </w:p>
                <w:p w14:paraId="6BC3410A">
                  <w:pPr>
                    <w:tabs>
                      <w:tab w:val="left" w:pos="1021"/>
                    </w:tabs>
                    <w:adjustRightInd w:val="0"/>
                    <w:jc w:val="both"/>
                    <w:rPr>
                      <w:lang w:bidi="ar"/>
                    </w:rPr>
                  </w:pPr>
                  <w:r>
                    <w:rPr>
                      <w:rFonts w:hint="eastAsia"/>
                    </w:rPr>
                    <w:t>3.</w:t>
                  </w:r>
                  <w:r>
                    <w:rPr>
                      <w:rFonts w:hint="eastAsia"/>
                      <w:lang w:bidi="ar"/>
                    </w:rPr>
                    <w:t>本项目不涉及秸秆还田、收集与焚烧。</w:t>
                  </w:r>
                </w:p>
                <w:p w14:paraId="07CB8587">
                  <w:pPr>
                    <w:tabs>
                      <w:tab w:val="left" w:pos="1021"/>
                    </w:tabs>
                    <w:adjustRightInd w:val="0"/>
                    <w:jc w:val="both"/>
                    <w:rPr>
                      <w:rFonts w:hint="eastAsia"/>
                    </w:rPr>
                  </w:pPr>
                  <w:r>
                    <w:rPr>
                      <w:rFonts w:hint="eastAsia"/>
                      <w:lang w:bidi="ar"/>
                    </w:rPr>
                    <w:t>4. 本项目沿线环境空气执行环境空气质量二级标准。</w:t>
                  </w:r>
                </w:p>
              </w:tc>
              <w:tc>
                <w:tcPr>
                  <w:tcW w:w="541" w:type="pct"/>
                  <w:vAlign w:val="center"/>
                </w:tcPr>
                <w:p w14:paraId="7DF8C79C">
                  <w:pPr>
                    <w:tabs>
                      <w:tab w:val="left" w:pos="1021"/>
                    </w:tabs>
                    <w:adjustRightInd w:val="0"/>
                    <w:jc w:val="center"/>
                  </w:pPr>
                  <w:r>
                    <w:rPr>
                      <w:lang w:bidi="ar"/>
                    </w:rPr>
                    <w:t>符合</w:t>
                  </w:r>
                </w:p>
              </w:tc>
            </w:tr>
            <w:tr w14:paraId="4F37A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99" w:hRule="atLeast"/>
                <w:jc w:val="center"/>
              </w:trPr>
              <w:tc>
                <w:tcPr>
                  <w:tcW w:w="666" w:type="pct"/>
                  <w:vAlign w:val="center"/>
                </w:tcPr>
                <w:p w14:paraId="5FB3771D">
                  <w:pPr>
                    <w:widowControl/>
                    <w:adjustRightInd w:val="0"/>
                    <w:jc w:val="center"/>
                  </w:pPr>
                  <w:r>
                    <w:rPr>
                      <w:lang w:bidi="ar"/>
                    </w:rPr>
                    <w:t>环境风险防控</w:t>
                  </w:r>
                </w:p>
              </w:tc>
              <w:tc>
                <w:tcPr>
                  <w:tcW w:w="1756" w:type="pct"/>
                  <w:gridSpan w:val="2"/>
                  <w:vAlign w:val="center"/>
                </w:tcPr>
                <w:p w14:paraId="3B14DBCD">
                  <w:pPr>
                    <w:pStyle w:val="20"/>
                    <w:widowControl w:val="0"/>
                    <w:autoSpaceDE w:val="0"/>
                    <w:autoSpaceDN w:val="0"/>
                    <w:adjustRightInd w:val="0"/>
                    <w:spacing w:before="0" w:beforeAutospacing="0" w:after="0" w:afterAutospacing="0"/>
                    <w:rPr>
                      <w:rFonts w:ascii="Times New Roman" w:hAnsi="Times New Roman"/>
                      <w:kern w:val="2"/>
                      <w:sz w:val="21"/>
                    </w:rPr>
                  </w:pPr>
                  <w:r>
                    <w:rPr>
                      <w:rFonts w:hint="eastAsia" w:ascii="Times New Roman" w:hAnsi="Times New Roman"/>
                      <w:kern w:val="2"/>
                      <w:sz w:val="21"/>
                      <w:lang w:bidi="ar"/>
                    </w:rPr>
                    <w:t>1.</w:t>
                  </w:r>
                  <w:r>
                    <w:rPr>
                      <w:rFonts w:ascii="Times New Roman" w:hAnsi="Times New Roman"/>
                      <w:kern w:val="2"/>
                      <w:sz w:val="21"/>
                      <w:lang w:bidi="ar"/>
                    </w:rPr>
                    <w:t>结合农业工程中节水灌溉工程，疏通排碱渠排盐碱，同时也为农业种植排放的COD、NH</w:t>
                  </w:r>
                  <w:r>
                    <w:rPr>
                      <w:rFonts w:ascii="Times New Roman" w:hAnsi="Times New Roman"/>
                      <w:kern w:val="2"/>
                      <w:sz w:val="21"/>
                      <w:vertAlign w:val="subscript"/>
                      <w:lang w:bidi="ar"/>
                    </w:rPr>
                    <w:t>3</w:t>
                  </w:r>
                  <w:r>
                    <w:rPr>
                      <w:rFonts w:ascii="Times New Roman" w:hAnsi="Times New Roman"/>
                      <w:kern w:val="2"/>
                      <w:sz w:val="21"/>
                      <w:lang w:bidi="ar"/>
                    </w:rPr>
                    <w:t>-N等污染物找到出路。</w:t>
                  </w:r>
                </w:p>
              </w:tc>
              <w:tc>
                <w:tcPr>
                  <w:tcW w:w="2037" w:type="pct"/>
                  <w:gridSpan w:val="2"/>
                  <w:vAlign w:val="center"/>
                </w:tcPr>
                <w:p w14:paraId="1CB87200">
                  <w:pPr>
                    <w:tabs>
                      <w:tab w:val="left" w:pos="1021"/>
                    </w:tabs>
                    <w:adjustRightInd w:val="0"/>
                    <w:jc w:val="left"/>
                  </w:pPr>
                  <w:r>
                    <w:rPr>
                      <w:rFonts w:hint="eastAsia"/>
                    </w:rPr>
                    <w:t>1.本项目为公路建设项目，不属于农业工程。</w:t>
                  </w:r>
                </w:p>
              </w:tc>
              <w:tc>
                <w:tcPr>
                  <w:tcW w:w="541" w:type="pct"/>
                  <w:vAlign w:val="center"/>
                </w:tcPr>
                <w:p w14:paraId="117C0763">
                  <w:pPr>
                    <w:tabs>
                      <w:tab w:val="left" w:pos="1021"/>
                    </w:tabs>
                    <w:adjustRightInd w:val="0"/>
                    <w:jc w:val="center"/>
                  </w:pPr>
                  <w:r>
                    <w:rPr>
                      <w:lang w:bidi="ar"/>
                    </w:rPr>
                    <w:t>符合</w:t>
                  </w:r>
                </w:p>
              </w:tc>
            </w:tr>
            <w:tr w14:paraId="18C89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99" w:hRule="atLeast"/>
                <w:jc w:val="center"/>
              </w:trPr>
              <w:tc>
                <w:tcPr>
                  <w:tcW w:w="666" w:type="pct"/>
                  <w:vAlign w:val="center"/>
                </w:tcPr>
                <w:p w14:paraId="4FAB638D">
                  <w:pPr>
                    <w:widowControl/>
                    <w:adjustRightInd w:val="0"/>
                    <w:jc w:val="center"/>
                  </w:pPr>
                  <w:r>
                    <w:rPr>
                      <w:lang w:bidi="ar"/>
                    </w:rPr>
                    <w:t>资源开发效率要求</w:t>
                  </w:r>
                </w:p>
              </w:tc>
              <w:tc>
                <w:tcPr>
                  <w:tcW w:w="1756" w:type="pct"/>
                  <w:gridSpan w:val="2"/>
                  <w:vAlign w:val="center"/>
                </w:tcPr>
                <w:p w14:paraId="59481384">
                  <w:pPr>
                    <w:pStyle w:val="20"/>
                    <w:widowControl w:val="0"/>
                    <w:autoSpaceDE w:val="0"/>
                    <w:autoSpaceDN w:val="0"/>
                    <w:adjustRightInd w:val="0"/>
                    <w:spacing w:before="0" w:beforeAutospacing="0" w:after="0" w:afterAutospacing="0"/>
                    <w:rPr>
                      <w:rFonts w:ascii="Times New Roman" w:hAnsi="Times New Roman"/>
                      <w:kern w:val="2"/>
                      <w:sz w:val="21"/>
                      <w:lang w:bidi="ar"/>
                    </w:rPr>
                  </w:pPr>
                  <w:r>
                    <w:rPr>
                      <w:rFonts w:hint="eastAsia" w:ascii="Times New Roman" w:hAnsi="Times New Roman"/>
                      <w:kern w:val="2"/>
                      <w:sz w:val="21"/>
                      <w:lang w:bidi="ar"/>
                    </w:rPr>
                    <w:t>1.</w:t>
                  </w:r>
                  <w:r>
                    <w:rPr>
                      <w:rFonts w:ascii="Times New Roman" w:hAnsi="Times New Roman"/>
                      <w:kern w:val="2"/>
                      <w:sz w:val="21"/>
                      <w:lang w:bidi="ar"/>
                    </w:rPr>
                    <w:t>加大土地整理、复垦力度，改造中低田，治理土壤次生盐渍化。推进规模化高效节水灌溉，推广农作物节水抗旱技术。鼓励秸秆资源化、饲料化、肥料化利用，推动秸秆还田与离田收集，禁止焚烧秸秆。</w:t>
                  </w:r>
                </w:p>
                <w:p w14:paraId="19F8DED6">
                  <w:pPr>
                    <w:pStyle w:val="20"/>
                    <w:widowControl w:val="0"/>
                    <w:autoSpaceDE w:val="0"/>
                    <w:autoSpaceDN w:val="0"/>
                    <w:adjustRightInd w:val="0"/>
                    <w:spacing w:before="0" w:beforeAutospacing="0" w:after="0" w:afterAutospacing="0"/>
                    <w:rPr>
                      <w:rFonts w:ascii="Times New Roman" w:hAnsi="Times New Roman"/>
                      <w:kern w:val="2"/>
                      <w:sz w:val="21"/>
                    </w:rPr>
                  </w:pPr>
                  <w:r>
                    <w:rPr>
                      <w:rFonts w:hint="eastAsia" w:ascii="Times New Roman" w:hAnsi="Times New Roman"/>
                      <w:kern w:val="2"/>
                      <w:sz w:val="21"/>
                      <w:lang w:bidi="ar"/>
                    </w:rPr>
                    <w:t>2.</w:t>
                  </w:r>
                  <w:r>
                    <w:rPr>
                      <w:rFonts w:ascii="Times New Roman" w:hAnsi="Times New Roman"/>
                      <w:kern w:val="2"/>
                      <w:sz w:val="21"/>
                      <w:lang w:bidi="ar"/>
                    </w:rPr>
                    <w:t>保障流域生态用水，保护和恢复自然生态系统。</w:t>
                  </w:r>
                </w:p>
              </w:tc>
              <w:tc>
                <w:tcPr>
                  <w:tcW w:w="2037" w:type="pct"/>
                  <w:gridSpan w:val="2"/>
                  <w:vAlign w:val="center"/>
                </w:tcPr>
                <w:p w14:paraId="0D4483C0">
                  <w:pPr>
                    <w:tabs>
                      <w:tab w:val="left" w:pos="1021"/>
                    </w:tabs>
                    <w:adjustRightInd w:val="0"/>
                    <w:jc w:val="left"/>
                    <w:rPr>
                      <w:lang w:bidi="ar"/>
                    </w:rPr>
                  </w:pPr>
                  <w:r>
                    <w:rPr>
                      <w:rFonts w:hint="eastAsia"/>
                    </w:rPr>
                    <w:t>1.</w:t>
                  </w:r>
                  <w:r>
                    <w:rPr>
                      <w:rFonts w:hint="eastAsia" w:asciiTheme="minorEastAsia" w:hAnsiTheme="minorEastAsia" w:eastAsiaTheme="minorEastAsia"/>
                    </w:rPr>
                    <w:t>本项目为公路建设项目，不属于农业工程，永久及临时用地均不涉及</w:t>
                  </w:r>
                  <w:r>
                    <w:rPr>
                      <w:rFonts w:hint="eastAsia" w:asciiTheme="minorEastAsia" w:hAnsiTheme="minorEastAsia" w:eastAsiaTheme="minorEastAsia"/>
                      <w:lang w:val="en-US" w:eastAsia="zh-CN"/>
                    </w:rPr>
                    <w:t>基本农田</w:t>
                  </w:r>
                  <w:r>
                    <w:rPr>
                      <w:rFonts w:hint="eastAsia"/>
                      <w:lang w:bidi="ar"/>
                    </w:rPr>
                    <w:t>。</w:t>
                  </w:r>
                </w:p>
                <w:p w14:paraId="726BB4C7">
                  <w:pPr>
                    <w:tabs>
                      <w:tab w:val="left" w:pos="1021"/>
                    </w:tabs>
                    <w:adjustRightInd w:val="0"/>
                    <w:jc w:val="left"/>
                  </w:pPr>
                  <w:r>
                    <w:rPr>
                      <w:rFonts w:hint="eastAsia"/>
                      <w:lang w:bidi="ar"/>
                    </w:rPr>
                    <w:t>2.本项目为公路项目，用水量有限，不会影响流域生态用水，项目</w:t>
                  </w:r>
                  <w:r>
                    <w:rPr>
                      <w:rFonts w:hint="eastAsia"/>
                      <w:lang w:val="en-US" w:eastAsia="zh-CN" w:bidi="ar"/>
                    </w:rPr>
                    <w:t>基本</w:t>
                  </w:r>
                  <w:r>
                    <w:rPr>
                      <w:rFonts w:hint="eastAsia"/>
                      <w:lang w:bidi="ar"/>
                    </w:rPr>
                    <w:t>利用现有路进行改扩建，未占用</w:t>
                  </w:r>
                  <w:r>
                    <w:rPr>
                      <w:rFonts w:hint="eastAsia"/>
                      <w:lang w:val="en-US" w:eastAsia="zh-CN" w:bidi="ar"/>
                    </w:rPr>
                    <w:t>基本农田</w:t>
                  </w:r>
                  <w:r>
                    <w:rPr>
                      <w:rFonts w:hint="eastAsia"/>
                      <w:lang w:bidi="ar"/>
                    </w:rPr>
                    <w:t>及</w:t>
                  </w:r>
                  <w:r>
                    <w:rPr>
                      <w:rFonts w:hint="eastAsia"/>
                      <w:lang w:val="en-US" w:eastAsia="zh-CN" w:bidi="ar"/>
                    </w:rPr>
                    <w:t>生态</w:t>
                  </w:r>
                  <w:r>
                    <w:rPr>
                      <w:rFonts w:hint="eastAsia"/>
                      <w:lang w:bidi="ar"/>
                    </w:rPr>
                    <w:t>公益林，占用的植被均为当地常见</w:t>
                  </w:r>
                  <w:r>
                    <w:rPr>
                      <w:rFonts w:hint="eastAsia" w:ascii="Segoe UI Emoji" w:hAnsi="Segoe UI Emoji" w:cs="Segoe UI Emoji"/>
                      <w:lang w:bidi="ar"/>
                    </w:rPr>
                    <w:t>种，施工结束后对裸露面及各类临时用地均进行生态恢复</w:t>
                  </w:r>
                  <w:r>
                    <w:rPr>
                      <w:rFonts w:hint="eastAsia"/>
                      <w:lang w:bidi="ar"/>
                    </w:rPr>
                    <w:t>。</w:t>
                  </w:r>
                </w:p>
              </w:tc>
              <w:tc>
                <w:tcPr>
                  <w:tcW w:w="541" w:type="pct"/>
                  <w:vAlign w:val="center"/>
                </w:tcPr>
                <w:p w14:paraId="6F576D6C">
                  <w:pPr>
                    <w:tabs>
                      <w:tab w:val="left" w:pos="1021"/>
                    </w:tabs>
                    <w:adjustRightInd w:val="0"/>
                    <w:jc w:val="center"/>
                  </w:pPr>
                  <w:r>
                    <w:rPr>
                      <w:lang w:bidi="ar"/>
                    </w:rPr>
                    <w:t>符合</w:t>
                  </w:r>
                </w:p>
              </w:tc>
            </w:tr>
          </w:tbl>
          <w:p w14:paraId="2C892CCA">
            <w:pPr>
              <w:spacing w:after="120" w:afterLines="50" w:line="300" w:lineRule="auto"/>
              <w:ind w:right="12" w:rightChars="6"/>
              <w:rPr>
                <w:rFonts w:hint="eastAsia" w:hAnsi="宋体"/>
                <w:kern w:val="0"/>
                <w:sz w:val="24"/>
              </w:rPr>
            </w:pPr>
          </w:p>
          <w:p w14:paraId="72CF6451">
            <w:pPr>
              <w:autoSpaceDE w:val="0"/>
              <w:autoSpaceDN w:val="0"/>
              <w:adjustRightInd w:val="0"/>
              <w:spacing w:line="300" w:lineRule="auto"/>
              <w:rPr>
                <w:color w:val="0070C0"/>
                <w:kern w:val="0"/>
                <w:szCs w:val="21"/>
              </w:rPr>
            </w:pPr>
          </w:p>
          <w:p w14:paraId="63EE3BF7">
            <w:pPr>
              <w:autoSpaceDE w:val="0"/>
              <w:autoSpaceDN w:val="0"/>
              <w:adjustRightInd w:val="0"/>
              <w:spacing w:line="300" w:lineRule="auto"/>
              <w:rPr>
                <w:color w:val="0070C0"/>
                <w:kern w:val="0"/>
                <w:szCs w:val="21"/>
              </w:rPr>
            </w:pPr>
          </w:p>
          <w:p w14:paraId="0935AE73">
            <w:pPr>
              <w:autoSpaceDE w:val="0"/>
              <w:autoSpaceDN w:val="0"/>
              <w:adjustRightInd w:val="0"/>
              <w:spacing w:line="300" w:lineRule="auto"/>
              <w:rPr>
                <w:color w:val="0070C0"/>
                <w:kern w:val="0"/>
                <w:szCs w:val="21"/>
              </w:rPr>
            </w:pPr>
          </w:p>
          <w:p w14:paraId="0F394D6E">
            <w:pPr>
              <w:autoSpaceDE w:val="0"/>
              <w:autoSpaceDN w:val="0"/>
              <w:adjustRightInd w:val="0"/>
              <w:spacing w:line="300" w:lineRule="auto"/>
              <w:rPr>
                <w:color w:val="0070C0"/>
                <w:kern w:val="0"/>
                <w:szCs w:val="21"/>
              </w:rPr>
            </w:pPr>
          </w:p>
          <w:p w14:paraId="476BCAE8">
            <w:pPr>
              <w:autoSpaceDE w:val="0"/>
              <w:autoSpaceDN w:val="0"/>
              <w:adjustRightInd w:val="0"/>
              <w:spacing w:line="300" w:lineRule="auto"/>
              <w:rPr>
                <w:color w:val="0070C0"/>
                <w:kern w:val="0"/>
                <w:szCs w:val="21"/>
              </w:rPr>
            </w:pPr>
          </w:p>
          <w:p w14:paraId="772E439E">
            <w:pPr>
              <w:autoSpaceDE w:val="0"/>
              <w:autoSpaceDN w:val="0"/>
              <w:adjustRightInd w:val="0"/>
              <w:spacing w:line="300" w:lineRule="auto"/>
              <w:rPr>
                <w:color w:val="0070C0"/>
                <w:kern w:val="0"/>
                <w:szCs w:val="21"/>
              </w:rPr>
            </w:pPr>
          </w:p>
          <w:p w14:paraId="63CED393">
            <w:pPr>
              <w:autoSpaceDE w:val="0"/>
              <w:autoSpaceDN w:val="0"/>
              <w:adjustRightInd w:val="0"/>
              <w:spacing w:line="300" w:lineRule="auto"/>
              <w:rPr>
                <w:color w:val="0070C0"/>
                <w:kern w:val="0"/>
                <w:szCs w:val="21"/>
              </w:rPr>
            </w:pPr>
          </w:p>
          <w:p w14:paraId="18867A3A">
            <w:pPr>
              <w:autoSpaceDE w:val="0"/>
              <w:autoSpaceDN w:val="0"/>
              <w:adjustRightInd w:val="0"/>
              <w:spacing w:line="300" w:lineRule="auto"/>
              <w:rPr>
                <w:color w:val="0070C0"/>
                <w:kern w:val="0"/>
                <w:szCs w:val="21"/>
              </w:rPr>
            </w:pPr>
          </w:p>
          <w:p w14:paraId="26BC0607">
            <w:pPr>
              <w:autoSpaceDE w:val="0"/>
              <w:autoSpaceDN w:val="0"/>
              <w:adjustRightInd w:val="0"/>
              <w:spacing w:line="300" w:lineRule="auto"/>
              <w:rPr>
                <w:color w:val="0070C0"/>
                <w:kern w:val="0"/>
                <w:szCs w:val="21"/>
              </w:rPr>
            </w:pPr>
          </w:p>
          <w:p w14:paraId="28A08A57">
            <w:pPr>
              <w:autoSpaceDE w:val="0"/>
              <w:autoSpaceDN w:val="0"/>
              <w:adjustRightInd w:val="0"/>
              <w:spacing w:line="300" w:lineRule="auto"/>
              <w:rPr>
                <w:color w:val="0070C0"/>
                <w:kern w:val="0"/>
                <w:szCs w:val="21"/>
              </w:rPr>
            </w:pPr>
          </w:p>
          <w:p w14:paraId="47B3C128">
            <w:pPr>
              <w:autoSpaceDE w:val="0"/>
              <w:autoSpaceDN w:val="0"/>
              <w:adjustRightInd w:val="0"/>
              <w:spacing w:line="300" w:lineRule="auto"/>
              <w:rPr>
                <w:color w:val="0070C0"/>
                <w:kern w:val="0"/>
                <w:szCs w:val="21"/>
              </w:rPr>
            </w:pPr>
          </w:p>
          <w:p w14:paraId="4C3F55C7">
            <w:pPr>
              <w:autoSpaceDE w:val="0"/>
              <w:autoSpaceDN w:val="0"/>
              <w:adjustRightInd w:val="0"/>
              <w:spacing w:line="300" w:lineRule="auto"/>
              <w:rPr>
                <w:color w:val="0070C0"/>
                <w:kern w:val="0"/>
                <w:szCs w:val="21"/>
              </w:rPr>
            </w:pPr>
          </w:p>
        </w:tc>
      </w:tr>
    </w:tbl>
    <w:p w14:paraId="5C60E2D2">
      <w:pPr>
        <w:spacing w:line="360" w:lineRule="auto"/>
        <w:outlineLvl w:val="0"/>
        <w:rPr>
          <w:rFonts w:eastAsia="黑体"/>
          <w:color w:val="0070C0"/>
          <w:sz w:val="30"/>
        </w:rPr>
        <w:sectPr>
          <w:headerReference r:id="rId6" w:type="default"/>
          <w:footerReference r:id="rId7" w:type="default"/>
          <w:pgSz w:w="11906" w:h="16838"/>
          <w:pgMar w:top="1701" w:right="1531" w:bottom="1701" w:left="1531" w:header="1134" w:footer="1077" w:gutter="0"/>
          <w:pgBorders>
            <w:top w:val="none" w:sz="0" w:space="0"/>
            <w:left w:val="none" w:sz="0" w:space="0"/>
            <w:bottom w:val="none" w:sz="0" w:space="0"/>
            <w:right w:val="none" w:sz="0" w:space="0"/>
          </w:pgBorders>
          <w:pgNumType w:start="1"/>
          <w:cols w:space="720" w:num="1"/>
          <w:docGrid w:linePitch="312" w:charSpace="0"/>
        </w:sectPr>
      </w:pPr>
    </w:p>
    <w:p w14:paraId="0BEA7559">
      <w:pPr>
        <w:pStyle w:val="20"/>
        <w:jc w:val="center"/>
        <w:outlineLvl w:val="0"/>
        <w:rPr>
          <w:rFonts w:ascii="Times New Roman" w:hAnsi="Times New Roman" w:eastAsia="黑体"/>
          <w:snapToGrid w:val="0"/>
          <w:sz w:val="30"/>
          <w:szCs w:val="30"/>
        </w:rPr>
      </w:pPr>
      <w:r>
        <w:rPr>
          <w:rFonts w:ascii="Times New Roman" w:hAnsi="Times New Roman" w:eastAsia="黑体"/>
          <w:snapToGrid w:val="0"/>
          <w:sz w:val="30"/>
          <w:szCs w:val="30"/>
        </w:rPr>
        <w:t>二、建设内容</w:t>
      </w:r>
    </w:p>
    <w:tbl>
      <w:tblPr>
        <w:tblStyle w:val="22"/>
        <w:tblW w:w="9072" w:type="dxa"/>
        <w:tblInd w:w="108"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56"/>
        <w:gridCol w:w="8616"/>
      </w:tblGrid>
      <w:tr w14:paraId="355A71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97" w:hRule="atLeast"/>
        </w:trPr>
        <w:tc>
          <w:tcPr>
            <w:tcW w:w="456" w:type="dxa"/>
            <w:vAlign w:val="center"/>
          </w:tcPr>
          <w:p w14:paraId="3CA48FC1">
            <w:pPr>
              <w:adjustRightInd w:val="0"/>
              <w:snapToGrid w:val="0"/>
              <w:spacing w:line="300" w:lineRule="auto"/>
              <w:jc w:val="center"/>
              <w:rPr>
                <w:color w:val="auto"/>
                <w:kern w:val="0"/>
                <w:sz w:val="24"/>
                <w:szCs w:val="24"/>
              </w:rPr>
            </w:pPr>
            <w:r>
              <w:rPr>
                <w:color w:val="auto"/>
                <w:kern w:val="0"/>
                <w:sz w:val="24"/>
                <w:szCs w:val="24"/>
              </w:rPr>
              <w:t>地理位置</w:t>
            </w:r>
          </w:p>
        </w:tc>
        <w:tc>
          <w:tcPr>
            <w:tcW w:w="8616" w:type="dxa"/>
            <w:vAlign w:val="center"/>
          </w:tcPr>
          <w:p w14:paraId="102BB057">
            <w:pPr>
              <w:autoSpaceDE w:val="0"/>
              <w:autoSpaceDN w:val="0"/>
              <w:adjustRightInd w:val="0"/>
              <w:spacing w:line="300" w:lineRule="auto"/>
              <w:ind w:firstLine="480" w:firstLineChars="200"/>
              <w:rPr>
                <w:color w:val="auto"/>
                <w:kern w:val="0"/>
                <w:sz w:val="24"/>
              </w:rPr>
            </w:pPr>
            <w:r>
              <w:rPr>
                <w:rFonts w:hint="eastAsia"/>
                <w:color w:val="auto"/>
                <w:kern w:val="0"/>
                <w:sz w:val="24"/>
                <w:lang w:val="en-US" w:eastAsia="zh-CN"/>
              </w:rPr>
              <w:t>拟建公路位于</w:t>
            </w:r>
            <w:r>
              <w:rPr>
                <w:rFonts w:hint="eastAsia" w:hAnsi="宋体"/>
                <w:sz w:val="24"/>
                <w:lang w:val="en-US" w:eastAsia="zh-CN"/>
              </w:rPr>
              <w:t>新疆生产建设兵团草湖项目区红旗农场以及</w:t>
            </w:r>
            <w:r>
              <w:rPr>
                <w:rFonts w:hint="eastAsia" w:hAnsi="宋体"/>
                <w:sz w:val="24"/>
              </w:rPr>
              <w:t>新疆维吾尔自治区克孜勒苏柯尔克孜自治州阿图什市，喀什地区伽师县、岳普湖县</w:t>
            </w:r>
            <w:r>
              <w:rPr>
                <w:rFonts w:hint="eastAsia" w:hAnsi="宋体"/>
                <w:sz w:val="24"/>
                <w:lang w:val="en-US" w:eastAsia="zh-CN"/>
              </w:rPr>
              <w:t>境内，路线起</w:t>
            </w:r>
            <w:r>
              <w:rPr>
                <w:rFonts w:hint="eastAsia"/>
                <w:color w:val="auto"/>
                <w:kern w:val="0"/>
                <w:sz w:val="24"/>
              </w:rPr>
              <w:t>于阿图什市八盘水磨西侧G219线与G314平面交叉处，沿既有道路进行拼宽扩建，路线总体呈由北向南走向，经过格达良乡、克孜勒苏乡和夏阿瓦提镇</w:t>
            </w:r>
            <w:r>
              <w:rPr>
                <w:rFonts w:hint="eastAsia"/>
                <w:color w:val="auto"/>
                <w:kern w:val="0"/>
                <w:sz w:val="24"/>
                <w:lang w:val="en-US" w:eastAsia="zh-CN"/>
              </w:rPr>
              <w:t>到达</w:t>
            </w:r>
            <w:r>
              <w:rPr>
                <w:rFonts w:hint="eastAsia"/>
                <w:color w:val="auto"/>
                <w:kern w:val="0"/>
                <w:sz w:val="24"/>
              </w:rPr>
              <w:t>伽师县北侧物流园附近，随后路线向西南绕行伽师县城，经过铁日木乡、居仁镇、克孜勒博依镇</w:t>
            </w:r>
            <w:r>
              <w:rPr>
                <w:rFonts w:hint="eastAsia"/>
                <w:color w:val="auto"/>
                <w:kern w:val="0"/>
                <w:sz w:val="24"/>
                <w:lang w:val="en-US" w:eastAsia="zh-CN"/>
              </w:rPr>
              <w:t>和岳普湖乡</w:t>
            </w:r>
            <w:r>
              <w:rPr>
                <w:rFonts w:hint="eastAsia"/>
                <w:color w:val="auto"/>
                <w:kern w:val="0"/>
                <w:sz w:val="24"/>
              </w:rPr>
              <w:t>等，</w:t>
            </w:r>
            <w:r>
              <w:rPr>
                <w:rFonts w:hint="eastAsia"/>
                <w:color w:val="auto"/>
                <w:kern w:val="0"/>
                <w:sz w:val="24"/>
                <w:lang w:val="en-US" w:eastAsia="zh-CN"/>
              </w:rPr>
              <w:t>止</w:t>
            </w:r>
            <w:r>
              <w:rPr>
                <w:rFonts w:hint="eastAsia"/>
                <w:color w:val="auto"/>
                <w:kern w:val="0"/>
                <w:sz w:val="24"/>
              </w:rPr>
              <w:t>于岳普湖县北侧，顺接G219岳普湖过境段起点</w:t>
            </w:r>
            <w:r>
              <w:rPr>
                <w:color w:val="auto"/>
                <w:kern w:val="0"/>
                <w:sz w:val="24"/>
              </w:rPr>
              <w:t>。</w:t>
            </w:r>
          </w:p>
          <w:p w14:paraId="7718A92F">
            <w:pPr>
              <w:autoSpaceDE w:val="0"/>
              <w:autoSpaceDN w:val="0"/>
              <w:adjustRightInd w:val="0"/>
              <w:spacing w:line="300" w:lineRule="auto"/>
              <w:ind w:firstLine="480" w:firstLineChars="200"/>
              <w:rPr>
                <w:color w:val="auto"/>
                <w:kern w:val="0"/>
                <w:sz w:val="24"/>
              </w:rPr>
            </w:pPr>
            <w:r>
              <w:rPr>
                <w:color w:val="auto"/>
                <w:kern w:val="0"/>
                <w:sz w:val="24"/>
              </w:rPr>
              <w:t>主要控制点：</w:t>
            </w:r>
            <w:r>
              <w:rPr>
                <w:rFonts w:hint="eastAsia"/>
                <w:color w:val="auto"/>
                <w:kern w:val="0"/>
                <w:sz w:val="24"/>
              </w:rPr>
              <w:t>G314、G3012、南疆铁路、</w:t>
            </w:r>
            <w:r>
              <w:rPr>
                <w:rFonts w:hint="eastAsia"/>
                <w:color w:val="auto"/>
                <w:kern w:val="0"/>
                <w:sz w:val="24"/>
                <w:lang w:val="en-US" w:eastAsia="zh-CN"/>
              </w:rPr>
              <w:t>红旗农场、</w:t>
            </w:r>
            <w:r>
              <w:rPr>
                <w:rFonts w:hint="eastAsia"/>
                <w:color w:val="auto"/>
                <w:kern w:val="0"/>
                <w:sz w:val="24"/>
              </w:rPr>
              <w:t>格达良乡、伽师县、克孜勒苏乡、夏阿瓦提镇、日木乡、江巴孜乡、克孜勒博依镇、岳普湖工业园等</w:t>
            </w:r>
            <w:r>
              <w:rPr>
                <w:color w:val="auto"/>
                <w:kern w:val="0"/>
                <w:sz w:val="24"/>
              </w:rPr>
              <w:t>。</w:t>
            </w:r>
          </w:p>
          <w:p w14:paraId="081F5708">
            <w:pPr>
              <w:autoSpaceDE w:val="0"/>
              <w:autoSpaceDN w:val="0"/>
              <w:adjustRightInd w:val="0"/>
              <w:spacing w:line="300" w:lineRule="auto"/>
              <w:ind w:firstLine="480" w:firstLineChars="200"/>
              <w:rPr>
                <w:color w:val="auto"/>
                <w:kern w:val="0"/>
                <w:sz w:val="24"/>
              </w:rPr>
            </w:pPr>
            <w:r>
              <w:rPr>
                <w:color w:val="auto"/>
                <w:kern w:val="0"/>
                <w:sz w:val="24"/>
              </w:rPr>
              <w:t>拟建公路地理位置见</w:t>
            </w:r>
            <w:r>
              <w:rPr>
                <w:color w:val="auto"/>
                <w:kern w:val="0"/>
                <w:sz w:val="24"/>
                <w:highlight w:val="none"/>
              </w:rPr>
              <w:t>附图1。</w:t>
            </w:r>
            <w:r>
              <w:rPr>
                <w:color w:val="auto"/>
                <w:kern w:val="0"/>
                <w:sz w:val="24"/>
              </w:rPr>
              <w:t>路线走向见</w:t>
            </w:r>
            <w:r>
              <w:rPr>
                <w:color w:val="auto"/>
                <w:kern w:val="0"/>
                <w:sz w:val="24"/>
                <w:highlight w:val="none"/>
              </w:rPr>
              <w:t>附图</w:t>
            </w:r>
            <w:r>
              <w:rPr>
                <w:rFonts w:hint="eastAsia"/>
                <w:color w:val="auto"/>
                <w:kern w:val="0"/>
                <w:sz w:val="24"/>
                <w:highlight w:val="none"/>
              </w:rPr>
              <w:t>2</w:t>
            </w:r>
            <w:r>
              <w:rPr>
                <w:color w:val="auto"/>
                <w:kern w:val="0"/>
                <w:sz w:val="24"/>
                <w:highlight w:val="none"/>
              </w:rPr>
              <w:t>。</w:t>
            </w:r>
          </w:p>
        </w:tc>
      </w:tr>
      <w:tr w14:paraId="5620EB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65" w:hRule="atLeast"/>
        </w:trPr>
        <w:tc>
          <w:tcPr>
            <w:tcW w:w="456" w:type="dxa"/>
            <w:vAlign w:val="center"/>
          </w:tcPr>
          <w:p w14:paraId="69B57A35">
            <w:pPr>
              <w:adjustRightInd w:val="0"/>
              <w:snapToGrid w:val="0"/>
              <w:jc w:val="center"/>
              <w:rPr>
                <w:color w:val="0070C0"/>
                <w:kern w:val="0"/>
                <w:sz w:val="24"/>
                <w:szCs w:val="24"/>
              </w:rPr>
            </w:pPr>
            <w:r>
              <w:rPr>
                <w:color w:val="auto"/>
                <w:kern w:val="0"/>
                <w:sz w:val="24"/>
                <w:szCs w:val="24"/>
              </w:rPr>
              <w:t>项目组成及规模</w:t>
            </w:r>
          </w:p>
        </w:tc>
        <w:tc>
          <w:tcPr>
            <w:tcW w:w="8616" w:type="dxa"/>
            <w:vAlign w:val="center"/>
          </w:tcPr>
          <w:p w14:paraId="721E246F">
            <w:pPr>
              <w:autoSpaceDE w:val="0"/>
              <w:autoSpaceDN w:val="0"/>
              <w:adjustRightInd w:val="0"/>
              <w:spacing w:line="300" w:lineRule="auto"/>
              <w:rPr>
                <w:b/>
                <w:color w:val="auto"/>
                <w:kern w:val="0"/>
                <w:sz w:val="24"/>
              </w:rPr>
            </w:pPr>
            <w:r>
              <w:rPr>
                <w:b/>
                <w:color w:val="auto"/>
                <w:kern w:val="0"/>
                <w:sz w:val="24"/>
              </w:rPr>
              <w:t>1. 项目背景</w:t>
            </w:r>
          </w:p>
          <w:p w14:paraId="1FD3112B">
            <w:pPr>
              <w:autoSpaceDE w:val="0"/>
              <w:autoSpaceDN w:val="0"/>
              <w:adjustRightInd w:val="0"/>
              <w:spacing w:line="300" w:lineRule="auto"/>
              <w:ind w:firstLine="480" w:firstLineChars="200"/>
              <w:rPr>
                <w:rFonts w:hint="eastAsia" w:hAnsiTheme="minorEastAsia" w:eastAsiaTheme="minorEastAsia"/>
                <w:color w:val="auto"/>
                <w:kern w:val="0"/>
                <w:sz w:val="24"/>
              </w:rPr>
            </w:pPr>
            <w:r>
              <w:rPr>
                <w:rFonts w:hint="eastAsia" w:hAnsiTheme="minorEastAsia" w:eastAsiaTheme="minorEastAsia"/>
                <w:color w:val="auto"/>
                <w:kern w:val="0"/>
                <w:sz w:val="24"/>
              </w:rPr>
              <w:t>G219 线是连接内陆后方与边境地区的重要通道，</w:t>
            </w:r>
            <w:r>
              <w:rPr>
                <w:rFonts w:hint="eastAsia" w:hAnsiTheme="minorEastAsia" w:eastAsiaTheme="minorEastAsia"/>
                <w:color w:val="auto"/>
                <w:kern w:val="0"/>
                <w:sz w:val="24"/>
                <w:lang w:val="en-US" w:eastAsia="zh-CN"/>
              </w:rPr>
              <w:t>拟建公路</w:t>
            </w:r>
            <w:r>
              <w:rPr>
                <w:rFonts w:hint="eastAsia" w:hAnsiTheme="minorEastAsia" w:eastAsiaTheme="minorEastAsia"/>
                <w:color w:val="auto"/>
                <w:kern w:val="0"/>
                <w:sz w:val="24"/>
              </w:rPr>
              <w:t>为G219线新疆克州及喀什境内关键路段，是克州、喀什地区中部重要通道</w:t>
            </w:r>
            <w:r>
              <w:rPr>
                <w:rFonts w:hint="eastAsia" w:hAnsiTheme="minorEastAsia" w:eastAsiaTheme="minorEastAsia"/>
                <w:color w:val="auto"/>
                <w:kern w:val="0"/>
                <w:sz w:val="24"/>
                <w:lang w:eastAsia="zh-CN"/>
              </w:rPr>
              <w:t>。</w:t>
            </w:r>
            <w:r>
              <w:rPr>
                <w:rFonts w:hint="eastAsia" w:hAnsiTheme="minorEastAsia" w:eastAsiaTheme="minorEastAsia"/>
                <w:color w:val="auto"/>
                <w:kern w:val="0"/>
                <w:sz w:val="24"/>
                <w:lang w:val="en-US" w:eastAsia="zh-CN"/>
              </w:rPr>
              <w:t>项目</w:t>
            </w:r>
            <w:r>
              <w:rPr>
                <w:rFonts w:hint="eastAsia" w:hAnsiTheme="minorEastAsia" w:eastAsiaTheme="minorEastAsia"/>
                <w:color w:val="auto"/>
                <w:kern w:val="0"/>
                <w:sz w:val="24"/>
              </w:rPr>
              <w:t>建成后可有效提升国防公路通达深度与通行能力，</w:t>
            </w:r>
            <w:r>
              <w:rPr>
                <w:rFonts w:hint="eastAsia" w:hAnsiTheme="minorEastAsia" w:eastAsiaTheme="minorEastAsia"/>
                <w:color w:val="auto"/>
                <w:kern w:val="0"/>
                <w:sz w:val="24"/>
                <w:lang w:val="en-US" w:eastAsia="zh-CN"/>
              </w:rPr>
              <w:t>对</w:t>
            </w:r>
            <w:r>
              <w:rPr>
                <w:rFonts w:hint="eastAsia" w:hAnsiTheme="minorEastAsia" w:eastAsiaTheme="minorEastAsia"/>
                <w:color w:val="auto"/>
                <w:kern w:val="0"/>
                <w:sz w:val="24"/>
              </w:rPr>
              <w:t>推进国防现代化、维护边境稳定与国家安全、提升区域反恐维稳能力、促进社会大局稳定具有重要战略意义。</w:t>
            </w:r>
            <w:r>
              <w:rPr>
                <w:rFonts w:hint="eastAsia" w:hAnsiTheme="minorEastAsia" w:eastAsiaTheme="minorEastAsia"/>
                <w:color w:val="auto"/>
                <w:kern w:val="0"/>
                <w:sz w:val="24"/>
                <w:lang w:val="en-US" w:eastAsia="zh-CN"/>
              </w:rPr>
              <w:t>此外，</w:t>
            </w:r>
            <w:r>
              <w:rPr>
                <w:rFonts w:hint="eastAsia" w:hAnsiTheme="minorEastAsia" w:eastAsiaTheme="minorEastAsia"/>
                <w:color w:val="auto"/>
                <w:kern w:val="0"/>
                <w:sz w:val="24"/>
              </w:rPr>
              <w:t>当前</w:t>
            </w:r>
            <w:r>
              <w:rPr>
                <w:rFonts w:hint="eastAsia" w:hAnsiTheme="minorEastAsia" w:eastAsiaTheme="minorEastAsia"/>
                <w:color w:val="auto"/>
                <w:kern w:val="0"/>
                <w:sz w:val="24"/>
                <w:lang w:val="en-US" w:eastAsia="zh-CN"/>
              </w:rPr>
              <w:t>项目</w:t>
            </w:r>
            <w:r>
              <w:rPr>
                <w:rFonts w:hint="eastAsia" w:hAnsiTheme="minorEastAsia" w:eastAsiaTheme="minorEastAsia"/>
                <w:color w:val="auto"/>
                <w:kern w:val="0"/>
                <w:sz w:val="24"/>
              </w:rPr>
              <w:t>沿线城镇在推动国民经济高质量发展过程中仍面临交通基础设施支撑不足等问题</w:t>
            </w:r>
            <w:r>
              <w:rPr>
                <w:rFonts w:hint="eastAsia" w:hAnsiTheme="minorEastAsia" w:eastAsiaTheme="minorEastAsia"/>
                <w:color w:val="auto"/>
                <w:kern w:val="0"/>
                <w:sz w:val="24"/>
                <w:lang w:eastAsia="zh-CN"/>
              </w:rPr>
              <w:t>，</w:t>
            </w:r>
            <w:r>
              <w:rPr>
                <w:rFonts w:hint="eastAsia" w:hAnsiTheme="minorEastAsia" w:eastAsiaTheme="minorEastAsia"/>
                <w:color w:val="auto"/>
                <w:kern w:val="0"/>
                <w:sz w:val="24"/>
              </w:rPr>
              <w:t>项目建设可进一步完善区域公路网结构，缓解区间交通压力，加快沿线城镇新型工业化、信息化、城镇化和农业现代化发展步伐，促进沿线地区经济社会高质量发展。</w:t>
            </w:r>
          </w:p>
          <w:p w14:paraId="378F038F">
            <w:pPr>
              <w:autoSpaceDE w:val="0"/>
              <w:autoSpaceDN w:val="0"/>
              <w:adjustRightInd w:val="0"/>
              <w:spacing w:line="300" w:lineRule="auto"/>
              <w:ind w:firstLine="452" w:firstLineChars="200"/>
              <w:rPr>
                <w:rFonts w:hint="default" w:ascii="Times New Roman" w:hAnsi="Times New Roman" w:eastAsia="宋体" w:cs="Times New Roman"/>
                <w:color w:val="auto"/>
                <w:kern w:val="0"/>
                <w:sz w:val="24"/>
                <w:lang w:eastAsia="zh-CN"/>
              </w:rPr>
            </w:pPr>
            <w:r>
              <w:rPr>
                <w:rFonts w:hint="default" w:ascii="Times New Roman" w:hAnsi="Times New Roman" w:eastAsia="宋体" w:cs="Times New Roman"/>
                <w:spacing w:val="-7"/>
                <w:sz w:val="24"/>
                <w:szCs w:val="24"/>
                <w:highlight w:val="none"/>
              </w:rPr>
              <w:t>现状</w:t>
            </w:r>
            <w:r>
              <w:rPr>
                <w:rFonts w:hint="default" w:ascii="Times New Roman" w:hAnsi="Times New Roman" w:eastAsia="宋体" w:cs="Times New Roman"/>
                <w:spacing w:val="-40"/>
                <w:sz w:val="24"/>
                <w:szCs w:val="24"/>
                <w:highlight w:val="none"/>
              </w:rPr>
              <w:t xml:space="preserve"> </w:t>
            </w:r>
            <w:r>
              <w:rPr>
                <w:rFonts w:hint="default" w:ascii="Times New Roman" w:hAnsi="Times New Roman" w:eastAsia="宋体" w:cs="Times New Roman"/>
                <w:spacing w:val="-7"/>
                <w:sz w:val="24"/>
                <w:szCs w:val="24"/>
                <w:highlight w:val="none"/>
                <w:lang w:val="en-US" w:eastAsia="zh-CN"/>
              </w:rPr>
              <w:t>G219</w:t>
            </w:r>
            <w:r>
              <w:rPr>
                <w:rFonts w:hint="default" w:ascii="Times New Roman" w:hAnsi="Times New Roman" w:eastAsia="宋体" w:cs="Times New Roman"/>
                <w:spacing w:val="-7"/>
                <w:sz w:val="24"/>
                <w:szCs w:val="24"/>
                <w:highlight w:val="none"/>
              </w:rPr>
              <w:t>为二级公路，等级较低，仅为双向两车道，随着沿线城镇化程度不断提高，</w:t>
            </w:r>
            <w:r>
              <w:rPr>
                <w:rFonts w:hint="default" w:ascii="Times New Roman" w:hAnsi="Times New Roman" w:eastAsia="宋体" w:cs="Times New Roman"/>
                <w:spacing w:val="1"/>
                <w:sz w:val="24"/>
                <w:szCs w:val="24"/>
                <w:highlight w:val="none"/>
              </w:rPr>
              <w:t>过境交通与城市内部出行混行，路侧干扰大，通行效率低且易拥堵。</w:t>
            </w:r>
            <w:r>
              <w:rPr>
                <w:rFonts w:hint="eastAsia" w:cs="Times New Roman"/>
                <w:spacing w:val="1"/>
                <w:sz w:val="24"/>
                <w:szCs w:val="24"/>
                <w:highlight w:val="none"/>
                <w:lang w:val="en-US" w:eastAsia="zh-CN"/>
              </w:rPr>
              <w:t>车型中</w:t>
            </w:r>
            <w:r>
              <w:rPr>
                <w:rFonts w:hint="default" w:ascii="Times New Roman" w:hAnsi="Times New Roman" w:eastAsia="宋体" w:cs="Times New Roman"/>
                <w:spacing w:val="1"/>
                <w:sz w:val="24"/>
                <w:szCs w:val="24"/>
                <w:highlight w:val="none"/>
                <w:lang w:val="en-US" w:eastAsia="zh-CN"/>
              </w:rPr>
              <w:t>货车占比较大（自然数约占20%）</w:t>
            </w:r>
            <w:r>
              <w:rPr>
                <w:rFonts w:hint="default" w:ascii="Times New Roman" w:hAnsi="Times New Roman" w:eastAsia="宋体" w:cs="Times New Roman"/>
                <w:spacing w:val="1"/>
                <w:sz w:val="24"/>
                <w:szCs w:val="24"/>
                <w:highlight w:val="none"/>
              </w:rPr>
              <w:t>，存在严重安全隐患，交通事故频</w:t>
            </w:r>
            <w:r>
              <w:rPr>
                <w:rFonts w:hint="default" w:ascii="Times New Roman" w:hAnsi="Times New Roman" w:eastAsia="宋体" w:cs="Times New Roman"/>
                <w:spacing w:val="-2"/>
                <w:sz w:val="24"/>
                <w:szCs w:val="24"/>
                <w:highlight w:val="none"/>
              </w:rPr>
              <w:t>发，运营风险</w:t>
            </w:r>
            <w:r>
              <w:rPr>
                <w:rFonts w:hint="default" w:ascii="Times New Roman" w:hAnsi="Times New Roman" w:eastAsia="宋体" w:cs="Times New Roman"/>
                <w:spacing w:val="-2"/>
                <w:sz w:val="24"/>
                <w:szCs w:val="24"/>
                <w:highlight w:val="none"/>
                <w:lang w:val="en-US" w:eastAsia="zh-CN"/>
              </w:rPr>
              <w:t>较</w:t>
            </w:r>
            <w:r>
              <w:rPr>
                <w:rFonts w:hint="default" w:ascii="Times New Roman" w:hAnsi="Times New Roman" w:eastAsia="宋体" w:cs="Times New Roman"/>
                <w:spacing w:val="-2"/>
                <w:sz w:val="24"/>
                <w:szCs w:val="24"/>
                <w:highlight w:val="none"/>
              </w:rPr>
              <w:t>高</w:t>
            </w:r>
            <w:r>
              <w:rPr>
                <w:rFonts w:hint="eastAsia" w:ascii="Times New Roman" w:hAnsi="Times New Roman" w:eastAsia="宋体" w:cs="Times New Roman"/>
                <w:spacing w:val="-2"/>
                <w:sz w:val="24"/>
                <w:szCs w:val="24"/>
                <w:highlight w:val="none"/>
                <w:lang w:eastAsia="zh-CN"/>
              </w:rPr>
              <w:t>，因此</w:t>
            </w:r>
            <w:r>
              <w:rPr>
                <w:rFonts w:hint="eastAsia" w:cs="Times New Roman"/>
                <w:spacing w:val="-2"/>
                <w:sz w:val="24"/>
                <w:szCs w:val="24"/>
                <w:highlight w:val="none"/>
                <w:lang w:eastAsia="zh-CN"/>
              </w:rPr>
              <w:t>亟须</w:t>
            </w:r>
            <w:r>
              <w:rPr>
                <w:rFonts w:hint="eastAsia" w:ascii="Times New Roman" w:hAnsi="Times New Roman" w:eastAsia="宋体" w:cs="Times New Roman"/>
                <w:spacing w:val="-2"/>
                <w:sz w:val="24"/>
                <w:szCs w:val="24"/>
                <w:highlight w:val="none"/>
                <w:lang w:eastAsia="zh-CN"/>
              </w:rPr>
              <w:t>提升改造</w:t>
            </w:r>
            <w:r>
              <w:rPr>
                <w:rFonts w:hint="default" w:ascii="Times New Roman" w:hAnsi="Times New Roman" w:eastAsia="宋体" w:cs="Times New Roman"/>
                <w:spacing w:val="-2"/>
                <w:sz w:val="24"/>
                <w:szCs w:val="24"/>
                <w:highlight w:val="none"/>
                <w:lang w:eastAsia="zh-CN"/>
              </w:rPr>
              <w:t>。</w:t>
            </w:r>
          </w:p>
          <w:p w14:paraId="757D40F0">
            <w:pPr>
              <w:keepNext w:val="0"/>
              <w:keepLines w:val="0"/>
              <w:pageBreakBefore w:val="0"/>
              <w:widowControl w:val="0"/>
              <w:kinsoku/>
              <w:wordWrap/>
              <w:overflowPunct/>
              <w:topLinePunct w:val="0"/>
              <w:autoSpaceDE w:val="0"/>
              <w:autoSpaceDN w:val="0"/>
              <w:bidi w:val="0"/>
              <w:adjustRightInd w:val="0"/>
              <w:snapToGrid/>
              <w:spacing w:line="300" w:lineRule="auto"/>
              <w:ind w:firstLine="480" w:firstLineChars="200"/>
              <w:textAlignment w:val="auto"/>
              <w:rPr>
                <w:color w:val="auto"/>
                <w:kern w:val="0"/>
                <w:sz w:val="24"/>
              </w:rPr>
            </w:pPr>
            <w:r>
              <w:rPr>
                <w:rFonts w:hint="eastAsia" w:hAnsiTheme="minorEastAsia" w:eastAsiaTheme="minorEastAsia"/>
                <w:color w:val="auto"/>
                <w:kern w:val="0"/>
                <w:sz w:val="24"/>
              </w:rPr>
              <w:t>拟建公路为改扩建工程，由双向二车道二级公路改扩建为双向四车道一级公路，</w:t>
            </w:r>
            <w:r>
              <w:rPr>
                <w:rFonts w:hint="eastAsia" w:hAnsiTheme="minorEastAsia" w:eastAsiaTheme="minorEastAsia"/>
                <w:color w:val="auto"/>
                <w:kern w:val="0"/>
                <w:sz w:val="24"/>
                <w:lang w:val="en-US" w:eastAsia="zh-CN"/>
              </w:rPr>
              <w:t>无</w:t>
            </w:r>
            <w:r>
              <w:rPr>
                <w:rFonts w:hint="eastAsia" w:hAnsiTheme="minorEastAsia" w:eastAsiaTheme="minorEastAsia"/>
                <w:color w:val="auto"/>
                <w:kern w:val="0"/>
                <w:sz w:val="24"/>
              </w:rPr>
              <w:t>涉及环境敏感区</w:t>
            </w:r>
            <w:r>
              <w:rPr>
                <w:rFonts w:hint="eastAsia" w:hAnsiTheme="minorEastAsia" w:eastAsiaTheme="minorEastAsia"/>
                <w:color w:val="auto"/>
                <w:kern w:val="0"/>
                <w:sz w:val="24"/>
                <w:lang w:val="en-US" w:eastAsia="zh-CN"/>
              </w:rPr>
              <w:t>的新建路段</w:t>
            </w:r>
            <w:r>
              <w:rPr>
                <w:rFonts w:hint="eastAsia" w:hAnsiTheme="minorEastAsia" w:eastAsiaTheme="minorEastAsia"/>
                <w:color w:val="auto"/>
                <w:kern w:val="0"/>
                <w:sz w:val="24"/>
              </w:rPr>
              <w:t>。</w:t>
            </w:r>
            <w:r>
              <w:rPr>
                <w:rFonts w:hAnsiTheme="minorEastAsia" w:eastAsiaTheme="minorEastAsia"/>
                <w:color w:val="auto"/>
                <w:kern w:val="0"/>
                <w:sz w:val="24"/>
              </w:rPr>
              <w:t>根</w:t>
            </w:r>
            <w:r>
              <w:rPr>
                <w:color w:val="auto"/>
                <w:kern w:val="0"/>
                <w:sz w:val="24"/>
              </w:rPr>
              <w:t>据《建设项目环境影响评价分类管理名录》（2021年版），</w:t>
            </w:r>
            <w:r>
              <w:rPr>
                <w:rFonts w:hint="eastAsia"/>
                <w:color w:val="auto"/>
                <w:kern w:val="0"/>
                <w:sz w:val="24"/>
              </w:rPr>
              <w:t>拟建公路</w:t>
            </w:r>
            <w:r>
              <w:rPr>
                <w:color w:val="auto"/>
                <w:kern w:val="0"/>
                <w:sz w:val="24"/>
              </w:rPr>
              <w:t>属于“五十二、交通运输业、管道运输业”中其他（配套设施除外；不涉及环境敏感区的三级、四级公路除外），应编制环境影响报告表。</w:t>
            </w:r>
          </w:p>
          <w:p w14:paraId="44F53FCD">
            <w:pPr>
              <w:keepNext w:val="0"/>
              <w:keepLines w:val="0"/>
              <w:pageBreakBefore w:val="0"/>
              <w:widowControl w:val="0"/>
              <w:kinsoku/>
              <w:wordWrap/>
              <w:overflowPunct/>
              <w:topLinePunct w:val="0"/>
              <w:autoSpaceDE w:val="0"/>
              <w:autoSpaceDN w:val="0"/>
              <w:bidi w:val="0"/>
              <w:adjustRightInd w:val="0"/>
              <w:snapToGrid/>
              <w:spacing w:after="157" w:afterLines="50" w:line="300" w:lineRule="auto"/>
              <w:textAlignment w:val="auto"/>
              <w:rPr>
                <w:rFonts w:hint="eastAsia" w:eastAsia="宋体"/>
                <w:color w:val="auto"/>
                <w:kern w:val="0"/>
                <w:sz w:val="24"/>
                <w:lang w:eastAsia="zh-CN"/>
              </w:rPr>
            </w:pPr>
            <w:r>
              <w:rPr>
                <w:kern w:val="0"/>
                <w:sz w:val="24"/>
              </w:rPr>
              <w:t>为此，</w:t>
            </w:r>
            <w:r>
              <w:rPr>
                <w:rFonts w:hint="eastAsia"/>
                <w:kern w:val="0"/>
                <w:sz w:val="24"/>
                <w:lang w:val="en-US" w:eastAsia="zh-CN"/>
              </w:rPr>
              <w:t>建设单位委托北京交科公路勘察设计研究院有限公司</w:t>
            </w:r>
            <w:r>
              <w:rPr>
                <w:kern w:val="0"/>
                <w:sz w:val="24"/>
              </w:rPr>
              <w:t>承担</w:t>
            </w:r>
            <w:r>
              <w:rPr>
                <w:rFonts w:hint="eastAsia"/>
                <w:kern w:val="0"/>
                <w:sz w:val="24"/>
              </w:rPr>
              <w:t>拟建公路</w:t>
            </w:r>
            <w:r>
              <w:rPr>
                <w:kern w:val="0"/>
                <w:sz w:val="24"/>
              </w:rPr>
              <w:t>的环境影响评价工作</w:t>
            </w:r>
            <w:r>
              <w:rPr>
                <w:rFonts w:hint="eastAsia"/>
                <w:kern w:val="0"/>
                <w:sz w:val="24"/>
                <w:lang w:eastAsia="zh-CN"/>
              </w:rPr>
              <w:t>。</w:t>
            </w:r>
          </w:p>
          <w:p w14:paraId="61312974">
            <w:pPr>
              <w:autoSpaceDE w:val="0"/>
              <w:autoSpaceDN w:val="0"/>
              <w:adjustRightInd w:val="0"/>
              <w:spacing w:line="300" w:lineRule="auto"/>
              <w:rPr>
                <w:b/>
                <w:color w:val="auto"/>
                <w:kern w:val="0"/>
                <w:sz w:val="24"/>
              </w:rPr>
            </w:pPr>
            <w:r>
              <w:rPr>
                <w:rFonts w:hint="eastAsia"/>
                <w:b/>
                <w:color w:val="auto"/>
                <w:kern w:val="0"/>
                <w:sz w:val="24"/>
              </w:rPr>
              <w:t>2. 既有</w:t>
            </w:r>
            <w:r>
              <w:rPr>
                <w:rFonts w:hint="eastAsia"/>
                <w:b/>
                <w:color w:val="auto"/>
                <w:kern w:val="0"/>
                <w:sz w:val="24"/>
                <w:lang w:val="en-US" w:eastAsia="zh-CN"/>
              </w:rPr>
              <w:t>公</w:t>
            </w:r>
            <w:r>
              <w:rPr>
                <w:rFonts w:hint="eastAsia"/>
                <w:b/>
                <w:color w:val="auto"/>
                <w:kern w:val="0"/>
                <w:sz w:val="24"/>
              </w:rPr>
              <w:t>路工程概况</w:t>
            </w:r>
          </w:p>
          <w:p w14:paraId="36102121">
            <w:pPr>
              <w:autoSpaceDE w:val="0"/>
              <w:autoSpaceDN w:val="0"/>
              <w:adjustRightInd w:val="0"/>
              <w:spacing w:line="300" w:lineRule="auto"/>
              <w:ind w:firstLine="482" w:firstLineChars="200"/>
              <w:rPr>
                <w:rFonts w:hint="eastAsia" w:hAnsiTheme="minorEastAsia" w:eastAsiaTheme="minorEastAsia"/>
                <w:b/>
                <w:color w:val="auto"/>
                <w:sz w:val="24"/>
              </w:rPr>
            </w:pPr>
            <w:r>
              <w:rPr>
                <w:rFonts w:hint="eastAsia" w:hAnsiTheme="minorEastAsia" w:eastAsiaTheme="minorEastAsia"/>
                <w:b/>
                <w:color w:val="auto"/>
                <w:sz w:val="24"/>
              </w:rPr>
              <w:t>(1) 建设内容及规模</w:t>
            </w:r>
          </w:p>
          <w:p w14:paraId="23D3CE99">
            <w:pPr>
              <w:adjustRightInd w:val="0"/>
              <w:spacing w:after="120" w:afterLines="50" w:line="300" w:lineRule="auto"/>
              <w:ind w:firstLine="480" w:firstLineChars="200"/>
              <w:rPr>
                <w:rFonts w:hAnsi="宋体"/>
                <w:color w:val="auto"/>
                <w:sz w:val="24"/>
              </w:rPr>
            </w:pPr>
            <w:r>
              <w:rPr>
                <w:rFonts w:hint="eastAsia" w:hAnsi="宋体"/>
                <w:color w:val="auto"/>
                <w:sz w:val="24"/>
              </w:rPr>
              <w:t>既有</w:t>
            </w:r>
            <w:r>
              <w:rPr>
                <w:rFonts w:hAnsi="宋体"/>
                <w:color w:val="auto"/>
                <w:sz w:val="24"/>
              </w:rPr>
              <w:t>公</w:t>
            </w:r>
            <w:r>
              <w:rPr>
                <w:rFonts w:hint="eastAsia" w:hAnsi="宋体"/>
                <w:color w:val="auto"/>
                <w:sz w:val="24"/>
              </w:rPr>
              <w:t>路</w:t>
            </w:r>
            <w:r>
              <w:rPr>
                <w:rFonts w:hAnsi="宋体"/>
                <w:color w:val="auto"/>
                <w:sz w:val="24"/>
              </w:rPr>
              <w:t>建设内容及规模见表</w:t>
            </w:r>
            <w:r>
              <w:rPr>
                <w:color w:val="auto"/>
                <w:sz w:val="24"/>
              </w:rPr>
              <w:t>2-1</w:t>
            </w:r>
            <w:r>
              <w:rPr>
                <w:rFonts w:hAnsi="宋体"/>
                <w:color w:val="auto"/>
                <w:sz w:val="24"/>
              </w:rPr>
              <w:t>。</w:t>
            </w:r>
          </w:p>
          <w:p w14:paraId="0FA994BC">
            <w:pPr>
              <w:pStyle w:val="50"/>
              <w:keepNext w:val="0"/>
              <w:keepLines w:val="0"/>
              <w:pageBreakBefore w:val="0"/>
              <w:widowControl w:val="0"/>
              <w:tabs>
                <w:tab w:val="left" w:pos="2694"/>
              </w:tabs>
              <w:kinsoku/>
              <w:wordWrap/>
              <w:overflowPunct/>
              <w:topLinePunct w:val="0"/>
              <w:autoSpaceDE/>
              <w:autoSpaceDN/>
              <w:bidi w:val="0"/>
              <w:adjustRightInd w:val="0"/>
              <w:snapToGrid/>
              <w:spacing w:before="313" w:beforeLines="100" w:line="240" w:lineRule="auto"/>
              <w:textAlignment w:val="baseline"/>
              <w:rPr>
                <w:rFonts w:ascii="Times New Roman" w:hAnsi="宋体" w:eastAsia="宋体"/>
                <w:b/>
                <w:color w:val="auto"/>
                <w:szCs w:val="21"/>
              </w:rPr>
            </w:pPr>
            <w:r>
              <w:rPr>
                <w:rFonts w:ascii="Times New Roman" w:hAnsi="宋体" w:eastAsia="宋体"/>
                <w:b/>
                <w:color w:val="auto"/>
                <w:szCs w:val="21"/>
              </w:rPr>
              <w:t>表</w:t>
            </w:r>
            <w:r>
              <w:rPr>
                <w:rFonts w:ascii="Times New Roman" w:eastAsia="宋体"/>
                <w:b/>
                <w:color w:val="auto"/>
                <w:szCs w:val="21"/>
              </w:rPr>
              <w:t xml:space="preserve">2-1  </w:t>
            </w:r>
            <w:r>
              <w:rPr>
                <w:rFonts w:hint="eastAsia" w:ascii="Times New Roman" w:hAnsi="宋体" w:eastAsia="宋体"/>
                <w:b/>
                <w:color w:val="auto"/>
                <w:szCs w:val="21"/>
              </w:rPr>
              <w:t>既有</w:t>
            </w:r>
            <w:r>
              <w:rPr>
                <w:rFonts w:ascii="Times New Roman" w:hAnsi="宋体" w:eastAsia="宋体"/>
                <w:b/>
                <w:color w:val="auto"/>
                <w:szCs w:val="21"/>
              </w:rPr>
              <w:t>公路建设内容及规模表</w:t>
            </w:r>
          </w:p>
          <w:tbl>
            <w:tblPr>
              <w:tblStyle w:val="22"/>
              <w:tblW w:w="84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7"/>
              <w:gridCol w:w="1322"/>
              <w:gridCol w:w="1377"/>
              <w:gridCol w:w="4329"/>
            </w:tblGrid>
            <w:tr w14:paraId="2D505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1625" w:type="pct"/>
                  <w:gridSpan w:val="2"/>
                  <w:tcBorders>
                    <w:tl2br w:val="nil"/>
                    <w:tr2bl w:val="nil"/>
                  </w:tcBorders>
                  <w:vAlign w:val="center"/>
                </w:tcPr>
                <w:p w14:paraId="7D3B1CEE">
                  <w:pPr>
                    <w:jc w:val="center"/>
                    <w:rPr>
                      <w:rFonts w:eastAsiaTheme="minorEastAsia"/>
                      <w:b/>
                      <w:bCs/>
                      <w:sz w:val="21"/>
                      <w:szCs w:val="21"/>
                    </w:rPr>
                  </w:pPr>
                  <w:r>
                    <w:rPr>
                      <w:rFonts w:eastAsiaTheme="minorEastAsia"/>
                      <w:b/>
                      <w:bCs/>
                      <w:sz w:val="21"/>
                      <w:szCs w:val="21"/>
                    </w:rPr>
                    <w:t>单项工程名称</w:t>
                  </w:r>
                </w:p>
              </w:tc>
              <w:tc>
                <w:tcPr>
                  <w:tcW w:w="814" w:type="pct"/>
                  <w:tcBorders>
                    <w:tl2br w:val="nil"/>
                    <w:tr2bl w:val="nil"/>
                  </w:tcBorders>
                  <w:vAlign w:val="center"/>
                </w:tcPr>
                <w:p w14:paraId="36ABCEC1">
                  <w:pPr>
                    <w:jc w:val="center"/>
                    <w:rPr>
                      <w:rFonts w:eastAsiaTheme="minorEastAsia"/>
                      <w:b/>
                      <w:bCs/>
                      <w:sz w:val="21"/>
                      <w:szCs w:val="21"/>
                    </w:rPr>
                  </w:pPr>
                  <w:r>
                    <w:rPr>
                      <w:rFonts w:eastAsiaTheme="minorEastAsia"/>
                      <w:b/>
                      <w:bCs/>
                      <w:sz w:val="21"/>
                      <w:szCs w:val="21"/>
                    </w:rPr>
                    <w:t>单位</w:t>
                  </w:r>
                </w:p>
              </w:tc>
              <w:tc>
                <w:tcPr>
                  <w:tcW w:w="2560" w:type="pct"/>
                  <w:tcBorders>
                    <w:tl2br w:val="nil"/>
                    <w:tr2bl w:val="nil"/>
                  </w:tcBorders>
                  <w:vAlign w:val="center"/>
                </w:tcPr>
                <w:p w14:paraId="3A2625BA">
                  <w:pPr>
                    <w:jc w:val="center"/>
                    <w:rPr>
                      <w:rFonts w:eastAsiaTheme="minorEastAsia"/>
                      <w:b/>
                      <w:bCs/>
                      <w:sz w:val="21"/>
                      <w:szCs w:val="21"/>
                    </w:rPr>
                  </w:pPr>
                  <w:r>
                    <w:rPr>
                      <w:rFonts w:hint="eastAsia" w:eastAsiaTheme="minorEastAsia"/>
                      <w:b/>
                      <w:bCs/>
                      <w:sz w:val="21"/>
                      <w:szCs w:val="21"/>
                    </w:rPr>
                    <w:t>数量</w:t>
                  </w:r>
                </w:p>
              </w:tc>
            </w:tr>
            <w:tr w14:paraId="5185A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625" w:type="pct"/>
                  <w:gridSpan w:val="2"/>
                  <w:tcBorders>
                    <w:tl2br w:val="nil"/>
                    <w:tr2bl w:val="nil"/>
                  </w:tcBorders>
                  <w:vAlign w:val="center"/>
                </w:tcPr>
                <w:p w14:paraId="4BA6DB29">
                  <w:pPr>
                    <w:jc w:val="center"/>
                    <w:rPr>
                      <w:rFonts w:eastAsiaTheme="minorEastAsia"/>
                      <w:sz w:val="21"/>
                      <w:szCs w:val="21"/>
                    </w:rPr>
                  </w:pPr>
                  <w:r>
                    <w:rPr>
                      <w:rFonts w:eastAsiaTheme="minorEastAsia"/>
                      <w:sz w:val="21"/>
                      <w:szCs w:val="21"/>
                    </w:rPr>
                    <w:t>建设里程</w:t>
                  </w:r>
                </w:p>
              </w:tc>
              <w:tc>
                <w:tcPr>
                  <w:tcW w:w="814" w:type="pct"/>
                  <w:tcBorders>
                    <w:tl2br w:val="nil"/>
                    <w:tr2bl w:val="nil"/>
                  </w:tcBorders>
                  <w:vAlign w:val="center"/>
                </w:tcPr>
                <w:p w14:paraId="1FC2E48D">
                  <w:pPr>
                    <w:jc w:val="center"/>
                    <w:rPr>
                      <w:rFonts w:eastAsiaTheme="minorEastAsia"/>
                      <w:sz w:val="21"/>
                      <w:szCs w:val="21"/>
                    </w:rPr>
                  </w:pPr>
                  <w:r>
                    <w:rPr>
                      <w:rFonts w:eastAsiaTheme="minorEastAsia"/>
                      <w:sz w:val="21"/>
                      <w:szCs w:val="21"/>
                    </w:rPr>
                    <w:t>km</w:t>
                  </w:r>
                </w:p>
              </w:tc>
              <w:tc>
                <w:tcPr>
                  <w:tcW w:w="2560" w:type="pct"/>
                  <w:tcBorders>
                    <w:tl2br w:val="nil"/>
                    <w:tr2bl w:val="nil"/>
                  </w:tcBorders>
                  <w:vAlign w:val="center"/>
                </w:tcPr>
                <w:p w14:paraId="43C118D0">
                  <w:pPr>
                    <w:adjustRightInd w:val="0"/>
                    <w:jc w:val="center"/>
                    <w:rPr>
                      <w:rFonts w:eastAsiaTheme="minorEastAsia"/>
                      <w:sz w:val="21"/>
                      <w:szCs w:val="21"/>
                    </w:rPr>
                  </w:pPr>
                  <w:r>
                    <w:rPr>
                      <w:rFonts w:hint="eastAsia"/>
                      <w:sz w:val="21"/>
                      <w:szCs w:val="21"/>
                      <w:lang w:val="en-US" w:eastAsia="zh-CN"/>
                    </w:rPr>
                    <w:t>70.082</w:t>
                  </w:r>
                  <w:r>
                    <w:rPr>
                      <w:sz w:val="21"/>
                      <w:szCs w:val="21"/>
                    </w:rPr>
                    <w:t>km</w:t>
                  </w:r>
                </w:p>
              </w:tc>
            </w:tr>
            <w:tr w14:paraId="04451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625" w:type="pct"/>
                  <w:gridSpan w:val="2"/>
                  <w:tcBorders>
                    <w:tl2br w:val="nil"/>
                    <w:tr2bl w:val="nil"/>
                  </w:tcBorders>
                  <w:vAlign w:val="center"/>
                </w:tcPr>
                <w:p w14:paraId="76199D00">
                  <w:pPr>
                    <w:jc w:val="center"/>
                    <w:rPr>
                      <w:rFonts w:eastAsiaTheme="minorEastAsia"/>
                      <w:sz w:val="21"/>
                      <w:szCs w:val="21"/>
                    </w:rPr>
                  </w:pPr>
                  <w:r>
                    <w:rPr>
                      <w:rFonts w:eastAsiaTheme="minorEastAsia"/>
                      <w:sz w:val="21"/>
                      <w:szCs w:val="21"/>
                    </w:rPr>
                    <w:t>永久占用土地</w:t>
                  </w:r>
                </w:p>
              </w:tc>
              <w:tc>
                <w:tcPr>
                  <w:tcW w:w="814" w:type="pct"/>
                  <w:tcBorders>
                    <w:tl2br w:val="nil"/>
                    <w:tr2bl w:val="nil"/>
                  </w:tcBorders>
                  <w:vAlign w:val="center"/>
                </w:tcPr>
                <w:p w14:paraId="349FD824">
                  <w:pPr>
                    <w:jc w:val="center"/>
                    <w:rPr>
                      <w:rFonts w:eastAsiaTheme="minorEastAsia"/>
                      <w:sz w:val="21"/>
                      <w:szCs w:val="21"/>
                    </w:rPr>
                  </w:pPr>
                  <w:r>
                    <w:rPr>
                      <w:rFonts w:eastAsiaTheme="minorEastAsia"/>
                      <w:kern w:val="0"/>
                      <w:sz w:val="21"/>
                      <w:szCs w:val="21"/>
                    </w:rPr>
                    <w:t>hm</w:t>
                  </w:r>
                  <w:r>
                    <w:rPr>
                      <w:rFonts w:eastAsiaTheme="minorEastAsia"/>
                      <w:kern w:val="0"/>
                      <w:sz w:val="21"/>
                      <w:szCs w:val="21"/>
                      <w:vertAlign w:val="superscript"/>
                    </w:rPr>
                    <w:t>2</w:t>
                  </w:r>
                </w:p>
              </w:tc>
              <w:tc>
                <w:tcPr>
                  <w:tcW w:w="2560" w:type="pct"/>
                  <w:tcBorders>
                    <w:tl2br w:val="nil"/>
                    <w:tr2bl w:val="nil"/>
                  </w:tcBorders>
                  <w:vAlign w:val="center"/>
                </w:tcPr>
                <w:p w14:paraId="69292F60">
                  <w:pPr>
                    <w:adjustRightInd w:val="0"/>
                    <w:jc w:val="center"/>
                    <w:rPr>
                      <w:rFonts w:eastAsiaTheme="minorEastAsia"/>
                      <w:sz w:val="21"/>
                      <w:szCs w:val="21"/>
                    </w:rPr>
                  </w:pPr>
                  <w:r>
                    <w:rPr>
                      <w:sz w:val="21"/>
                      <w:szCs w:val="21"/>
                    </w:rPr>
                    <w:t>132.71</w:t>
                  </w:r>
                </w:p>
              </w:tc>
            </w:tr>
            <w:tr w14:paraId="0B35F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625" w:type="pct"/>
                  <w:gridSpan w:val="2"/>
                  <w:tcBorders>
                    <w:tl2br w:val="nil"/>
                    <w:tr2bl w:val="nil"/>
                  </w:tcBorders>
                  <w:vAlign w:val="center"/>
                </w:tcPr>
                <w:p w14:paraId="6C233E94">
                  <w:pPr>
                    <w:jc w:val="center"/>
                    <w:rPr>
                      <w:rFonts w:eastAsiaTheme="minorEastAsia"/>
                      <w:sz w:val="21"/>
                      <w:szCs w:val="21"/>
                    </w:rPr>
                  </w:pPr>
                  <w:r>
                    <w:rPr>
                      <w:rFonts w:eastAsiaTheme="minorEastAsia"/>
                      <w:sz w:val="21"/>
                      <w:szCs w:val="21"/>
                    </w:rPr>
                    <w:t>临时占用土地</w:t>
                  </w:r>
                </w:p>
              </w:tc>
              <w:tc>
                <w:tcPr>
                  <w:tcW w:w="814" w:type="pct"/>
                  <w:tcBorders>
                    <w:tl2br w:val="nil"/>
                    <w:tr2bl w:val="nil"/>
                  </w:tcBorders>
                  <w:vAlign w:val="center"/>
                </w:tcPr>
                <w:p w14:paraId="0D12746E">
                  <w:pPr>
                    <w:jc w:val="center"/>
                    <w:rPr>
                      <w:rFonts w:eastAsiaTheme="minorEastAsia"/>
                      <w:kern w:val="0"/>
                      <w:sz w:val="21"/>
                      <w:szCs w:val="21"/>
                    </w:rPr>
                  </w:pPr>
                  <w:r>
                    <w:rPr>
                      <w:rFonts w:eastAsiaTheme="minorEastAsia"/>
                      <w:kern w:val="0"/>
                      <w:sz w:val="21"/>
                      <w:szCs w:val="21"/>
                    </w:rPr>
                    <w:t>hm</w:t>
                  </w:r>
                  <w:r>
                    <w:rPr>
                      <w:rFonts w:eastAsiaTheme="minorEastAsia"/>
                      <w:kern w:val="0"/>
                      <w:sz w:val="21"/>
                      <w:szCs w:val="21"/>
                      <w:vertAlign w:val="superscript"/>
                    </w:rPr>
                    <w:t>2</w:t>
                  </w:r>
                </w:p>
              </w:tc>
              <w:tc>
                <w:tcPr>
                  <w:tcW w:w="2560" w:type="pct"/>
                  <w:tcBorders>
                    <w:tl2br w:val="nil"/>
                    <w:tr2bl w:val="nil"/>
                  </w:tcBorders>
                  <w:vAlign w:val="center"/>
                </w:tcPr>
                <w:p w14:paraId="3C6AABF0">
                  <w:pPr>
                    <w:jc w:val="center"/>
                    <w:rPr>
                      <w:rFonts w:eastAsiaTheme="minorEastAsia"/>
                      <w:sz w:val="21"/>
                      <w:szCs w:val="21"/>
                    </w:rPr>
                  </w:pPr>
                  <w:r>
                    <w:rPr>
                      <w:sz w:val="21"/>
                      <w:szCs w:val="21"/>
                    </w:rPr>
                    <w:t>5.</w:t>
                  </w:r>
                  <w:r>
                    <w:rPr>
                      <w:rFonts w:hint="eastAsia"/>
                      <w:sz w:val="21"/>
                      <w:szCs w:val="21"/>
                    </w:rPr>
                    <w:t>0</w:t>
                  </w:r>
                  <w:r>
                    <w:rPr>
                      <w:sz w:val="21"/>
                      <w:szCs w:val="21"/>
                    </w:rPr>
                    <w:t>1</w:t>
                  </w:r>
                </w:p>
              </w:tc>
            </w:tr>
            <w:tr w14:paraId="604A7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625" w:type="pct"/>
                  <w:gridSpan w:val="2"/>
                  <w:tcBorders>
                    <w:tl2br w:val="nil"/>
                    <w:tr2bl w:val="nil"/>
                  </w:tcBorders>
                  <w:vAlign w:val="center"/>
                </w:tcPr>
                <w:p w14:paraId="657C5DEF">
                  <w:pPr>
                    <w:jc w:val="center"/>
                    <w:rPr>
                      <w:rFonts w:eastAsiaTheme="minorEastAsia"/>
                      <w:sz w:val="21"/>
                      <w:szCs w:val="21"/>
                    </w:rPr>
                  </w:pPr>
                  <w:r>
                    <w:rPr>
                      <w:rFonts w:eastAsiaTheme="minorEastAsia"/>
                      <w:sz w:val="21"/>
                      <w:szCs w:val="21"/>
                    </w:rPr>
                    <w:t>拆迁建筑物</w:t>
                  </w:r>
                </w:p>
              </w:tc>
              <w:tc>
                <w:tcPr>
                  <w:tcW w:w="814" w:type="pct"/>
                  <w:tcBorders>
                    <w:tl2br w:val="nil"/>
                    <w:tr2bl w:val="nil"/>
                  </w:tcBorders>
                  <w:vAlign w:val="center"/>
                </w:tcPr>
                <w:p w14:paraId="2B9B9440">
                  <w:pPr>
                    <w:jc w:val="center"/>
                    <w:rPr>
                      <w:rFonts w:eastAsiaTheme="minorEastAsia"/>
                      <w:sz w:val="21"/>
                      <w:szCs w:val="21"/>
                    </w:rPr>
                  </w:pPr>
                  <w:r>
                    <w:rPr>
                      <w:rFonts w:eastAsiaTheme="minorEastAsia"/>
                      <w:sz w:val="21"/>
                      <w:szCs w:val="21"/>
                    </w:rPr>
                    <w:t>m</w:t>
                  </w:r>
                  <w:r>
                    <w:rPr>
                      <w:rFonts w:eastAsiaTheme="minorEastAsia"/>
                      <w:sz w:val="21"/>
                      <w:szCs w:val="21"/>
                      <w:vertAlign w:val="superscript"/>
                    </w:rPr>
                    <w:t>2</w:t>
                  </w:r>
                </w:p>
              </w:tc>
              <w:tc>
                <w:tcPr>
                  <w:tcW w:w="2560" w:type="pct"/>
                  <w:tcBorders>
                    <w:tl2br w:val="nil"/>
                    <w:tr2bl w:val="nil"/>
                  </w:tcBorders>
                  <w:vAlign w:val="center"/>
                </w:tcPr>
                <w:p w14:paraId="2EE5616D">
                  <w:pPr>
                    <w:jc w:val="center"/>
                    <w:rPr>
                      <w:rFonts w:eastAsiaTheme="minorEastAsia"/>
                      <w:bCs/>
                      <w:sz w:val="21"/>
                      <w:szCs w:val="21"/>
                      <w:lang w:val="en-GB"/>
                    </w:rPr>
                  </w:pPr>
                  <w:r>
                    <w:rPr>
                      <w:sz w:val="21"/>
                      <w:szCs w:val="21"/>
                    </w:rPr>
                    <w:t>8518.15</w:t>
                  </w:r>
                </w:p>
              </w:tc>
            </w:tr>
            <w:tr w14:paraId="7A952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43" w:type="pct"/>
                  <w:vMerge w:val="restart"/>
                  <w:tcBorders>
                    <w:tl2br w:val="nil"/>
                    <w:tr2bl w:val="nil"/>
                  </w:tcBorders>
                  <w:vAlign w:val="center"/>
                </w:tcPr>
                <w:p w14:paraId="250B2086">
                  <w:pPr>
                    <w:jc w:val="center"/>
                    <w:rPr>
                      <w:rFonts w:eastAsiaTheme="minorEastAsia"/>
                      <w:sz w:val="21"/>
                      <w:szCs w:val="21"/>
                    </w:rPr>
                  </w:pPr>
                  <w:r>
                    <w:rPr>
                      <w:rFonts w:eastAsiaTheme="minorEastAsia"/>
                      <w:sz w:val="21"/>
                      <w:szCs w:val="21"/>
                    </w:rPr>
                    <w:t>路基土石方</w:t>
                  </w:r>
                </w:p>
              </w:tc>
              <w:tc>
                <w:tcPr>
                  <w:tcW w:w="781" w:type="pct"/>
                  <w:tcBorders>
                    <w:tl2br w:val="nil"/>
                    <w:tr2bl w:val="nil"/>
                  </w:tcBorders>
                  <w:vAlign w:val="center"/>
                </w:tcPr>
                <w:p w14:paraId="60ECA490">
                  <w:pPr>
                    <w:jc w:val="center"/>
                    <w:rPr>
                      <w:rFonts w:eastAsiaTheme="minorEastAsia"/>
                      <w:sz w:val="21"/>
                      <w:szCs w:val="21"/>
                    </w:rPr>
                  </w:pPr>
                  <w:r>
                    <w:rPr>
                      <w:rFonts w:eastAsiaTheme="minorEastAsia"/>
                      <w:sz w:val="21"/>
                      <w:szCs w:val="21"/>
                    </w:rPr>
                    <w:t>填方</w:t>
                  </w:r>
                </w:p>
              </w:tc>
              <w:tc>
                <w:tcPr>
                  <w:tcW w:w="814" w:type="pct"/>
                  <w:vMerge w:val="restart"/>
                  <w:tcBorders>
                    <w:tl2br w:val="nil"/>
                    <w:tr2bl w:val="nil"/>
                  </w:tcBorders>
                  <w:vAlign w:val="center"/>
                </w:tcPr>
                <w:p w14:paraId="3244F15F">
                  <w:pPr>
                    <w:jc w:val="center"/>
                    <w:rPr>
                      <w:rFonts w:eastAsiaTheme="minorEastAsia"/>
                      <w:sz w:val="21"/>
                      <w:szCs w:val="21"/>
                    </w:rPr>
                  </w:pPr>
                  <w:r>
                    <w:rPr>
                      <w:rFonts w:hint="eastAsia" w:eastAsiaTheme="minorEastAsia"/>
                      <w:sz w:val="21"/>
                      <w:szCs w:val="21"/>
                    </w:rPr>
                    <w:t>万</w:t>
                  </w:r>
                  <w:r>
                    <w:rPr>
                      <w:rFonts w:eastAsiaTheme="minorEastAsia"/>
                      <w:sz w:val="21"/>
                      <w:szCs w:val="21"/>
                    </w:rPr>
                    <w:t>m</w:t>
                  </w:r>
                  <w:r>
                    <w:rPr>
                      <w:rFonts w:eastAsiaTheme="minorEastAsia"/>
                      <w:sz w:val="21"/>
                      <w:szCs w:val="21"/>
                      <w:vertAlign w:val="superscript"/>
                    </w:rPr>
                    <w:t>3</w:t>
                  </w:r>
                </w:p>
              </w:tc>
              <w:tc>
                <w:tcPr>
                  <w:tcW w:w="2560" w:type="pct"/>
                  <w:tcBorders>
                    <w:tl2br w:val="nil"/>
                    <w:tr2bl w:val="nil"/>
                  </w:tcBorders>
                  <w:vAlign w:val="center"/>
                </w:tcPr>
                <w:p w14:paraId="42BB029A">
                  <w:pPr>
                    <w:widowControl/>
                    <w:jc w:val="center"/>
                    <w:rPr>
                      <w:rFonts w:eastAsiaTheme="minorEastAsia"/>
                      <w:sz w:val="21"/>
                      <w:szCs w:val="21"/>
                    </w:rPr>
                  </w:pPr>
                  <w:r>
                    <w:rPr>
                      <w:rFonts w:hint="eastAsia"/>
                      <w:sz w:val="21"/>
                      <w:szCs w:val="21"/>
                    </w:rPr>
                    <w:t>113.58</w:t>
                  </w:r>
                </w:p>
              </w:tc>
            </w:tr>
            <w:tr w14:paraId="7D8F0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43" w:type="pct"/>
                  <w:vMerge w:val="continue"/>
                  <w:tcBorders>
                    <w:tl2br w:val="nil"/>
                    <w:tr2bl w:val="nil"/>
                  </w:tcBorders>
                  <w:vAlign w:val="center"/>
                </w:tcPr>
                <w:p w14:paraId="63F59A3F">
                  <w:pPr>
                    <w:jc w:val="center"/>
                    <w:rPr>
                      <w:rFonts w:eastAsiaTheme="minorEastAsia"/>
                      <w:sz w:val="21"/>
                      <w:szCs w:val="21"/>
                    </w:rPr>
                  </w:pPr>
                </w:p>
              </w:tc>
              <w:tc>
                <w:tcPr>
                  <w:tcW w:w="781" w:type="pct"/>
                  <w:tcBorders>
                    <w:tl2br w:val="nil"/>
                    <w:tr2bl w:val="nil"/>
                  </w:tcBorders>
                  <w:vAlign w:val="center"/>
                </w:tcPr>
                <w:p w14:paraId="1FF78348">
                  <w:pPr>
                    <w:jc w:val="center"/>
                    <w:rPr>
                      <w:rFonts w:eastAsiaTheme="minorEastAsia"/>
                      <w:sz w:val="21"/>
                      <w:szCs w:val="21"/>
                    </w:rPr>
                  </w:pPr>
                  <w:r>
                    <w:rPr>
                      <w:rFonts w:eastAsiaTheme="minorEastAsia"/>
                      <w:sz w:val="21"/>
                      <w:szCs w:val="21"/>
                    </w:rPr>
                    <w:t>挖方</w:t>
                  </w:r>
                </w:p>
              </w:tc>
              <w:tc>
                <w:tcPr>
                  <w:tcW w:w="814" w:type="pct"/>
                  <w:vMerge w:val="continue"/>
                  <w:tcBorders>
                    <w:tl2br w:val="nil"/>
                    <w:tr2bl w:val="nil"/>
                  </w:tcBorders>
                  <w:vAlign w:val="center"/>
                </w:tcPr>
                <w:p w14:paraId="0FC513D1">
                  <w:pPr>
                    <w:jc w:val="center"/>
                    <w:rPr>
                      <w:rFonts w:eastAsiaTheme="minorEastAsia"/>
                      <w:sz w:val="21"/>
                      <w:szCs w:val="21"/>
                    </w:rPr>
                  </w:pPr>
                </w:p>
              </w:tc>
              <w:tc>
                <w:tcPr>
                  <w:tcW w:w="2560" w:type="pct"/>
                  <w:tcBorders>
                    <w:tl2br w:val="nil"/>
                    <w:tr2bl w:val="nil"/>
                  </w:tcBorders>
                  <w:vAlign w:val="center"/>
                </w:tcPr>
                <w:p w14:paraId="28AF4F02">
                  <w:pPr>
                    <w:widowControl/>
                    <w:jc w:val="center"/>
                    <w:rPr>
                      <w:rFonts w:eastAsiaTheme="minorEastAsia"/>
                      <w:sz w:val="21"/>
                      <w:szCs w:val="21"/>
                    </w:rPr>
                  </w:pPr>
                  <w:r>
                    <w:rPr>
                      <w:rFonts w:hint="eastAsia"/>
                      <w:sz w:val="21"/>
                      <w:szCs w:val="21"/>
                    </w:rPr>
                    <w:t>31.09</w:t>
                  </w:r>
                </w:p>
              </w:tc>
            </w:tr>
            <w:tr w14:paraId="39335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43" w:type="pct"/>
                  <w:vMerge w:val="restart"/>
                  <w:tcBorders>
                    <w:tl2br w:val="nil"/>
                    <w:tr2bl w:val="nil"/>
                  </w:tcBorders>
                  <w:vAlign w:val="center"/>
                </w:tcPr>
                <w:p w14:paraId="01AB650E">
                  <w:pPr>
                    <w:jc w:val="center"/>
                    <w:rPr>
                      <w:rFonts w:eastAsiaTheme="minorEastAsia"/>
                      <w:sz w:val="21"/>
                      <w:szCs w:val="21"/>
                    </w:rPr>
                  </w:pPr>
                  <w:r>
                    <w:rPr>
                      <w:rFonts w:eastAsiaTheme="minorEastAsia"/>
                      <w:sz w:val="21"/>
                      <w:szCs w:val="21"/>
                    </w:rPr>
                    <w:t>桥梁</w:t>
                  </w:r>
                </w:p>
              </w:tc>
              <w:tc>
                <w:tcPr>
                  <w:tcW w:w="781" w:type="pct"/>
                  <w:tcBorders>
                    <w:tl2br w:val="nil"/>
                    <w:tr2bl w:val="nil"/>
                  </w:tcBorders>
                  <w:vAlign w:val="center"/>
                </w:tcPr>
                <w:p w14:paraId="63CAD311">
                  <w:pPr>
                    <w:jc w:val="center"/>
                    <w:rPr>
                      <w:rFonts w:eastAsiaTheme="minorEastAsia"/>
                      <w:sz w:val="21"/>
                      <w:szCs w:val="21"/>
                    </w:rPr>
                  </w:pPr>
                  <w:r>
                    <w:rPr>
                      <w:rFonts w:eastAsiaTheme="minorEastAsia"/>
                      <w:sz w:val="21"/>
                      <w:szCs w:val="21"/>
                    </w:rPr>
                    <w:t>总数</w:t>
                  </w:r>
                </w:p>
              </w:tc>
              <w:tc>
                <w:tcPr>
                  <w:tcW w:w="814" w:type="pct"/>
                  <w:tcBorders>
                    <w:tl2br w:val="nil"/>
                    <w:tr2bl w:val="nil"/>
                  </w:tcBorders>
                  <w:vAlign w:val="center"/>
                </w:tcPr>
                <w:p w14:paraId="2AA33273">
                  <w:pPr>
                    <w:jc w:val="center"/>
                    <w:rPr>
                      <w:rFonts w:eastAsiaTheme="minorEastAsia"/>
                      <w:sz w:val="21"/>
                      <w:szCs w:val="21"/>
                    </w:rPr>
                  </w:pPr>
                  <w:r>
                    <w:rPr>
                      <w:rFonts w:eastAsiaTheme="minorEastAsia"/>
                      <w:sz w:val="21"/>
                      <w:szCs w:val="21"/>
                    </w:rPr>
                    <w:t>m/座</w:t>
                  </w:r>
                </w:p>
              </w:tc>
              <w:tc>
                <w:tcPr>
                  <w:tcW w:w="2560" w:type="pct"/>
                  <w:tcBorders>
                    <w:tl2br w:val="nil"/>
                    <w:tr2bl w:val="nil"/>
                  </w:tcBorders>
                  <w:vAlign w:val="center"/>
                </w:tcPr>
                <w:p w14:paraId="130C57E7">
                  <w:pPr>
                    <w:jc w:val="center"/>
                    <w:rPr>
                      <w:bCs/>
                      <w:sz w:val="21"/>
                      <w:szCs w:val="21"/>
                      <w:lang w:val="en-GB"/>
                    </w:rPr>
                  </w:pPr>
                  <w:r>
                    <w:rPr>
                      <w:sz w:val="21"/>
                      <w:szCs w:val="21"/>
                    </w:rPr>
                    <w:t>493.54/14</w:t>
                  </w:r>
                </w:p>
              </w:tc>
            </w:tr>
            <w:tr w14:paraId="2ED69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43" w:type="pct"/>
                  <w:vMerge w:val="continue"/>
                  <w:tcBorders>
                    <w:tl2br w:val="nil"/>
                    <w:tr2bl w:val="nil"/>
                  </w:tcBorders>
                  <w:vAlign w:val="center"/>
                </w:tcPr>
                <w:p w14:paraId="7631C307">
                  <w:pPr>
                    <w:jc w:val="center"/>
                    <w:rPr>
                      <w:rFonts w:eastAsiaTheme="minorEastAsia"/>
                      <w:sz w:val="21"/>
                      <w:szCs w:val="21"/>
                    </w:rPr>
                  </w:pPr>
                </w:p>
              </w:tc>
              <w:tc>
                <w:tcPr>
                  <w:tcW w:w="781" w:type="pct"/>
                  <w:tcBorders>
                    <w:tl2br w:val="nil"/>
                    <w:tr2bl w:val="nil"/>
                  </w:tcBorders>
                  <w:vAlign w:val="center"/>
                </w:tcPr>
                <w:p w14:paraId="6AC87CEF">
                  <w:pPr>
                    <w:jc w:val="center"/>
                    <w:rPr>
                      <w:rFonts w:eastAsiaTheme="minorEastAsia"/>
                      <w:sz w:val="21"/>
                      <w:szCs w:val="21"/>
                    </w:rPr>
                  </w:pPr>
                  <w:r>
                    <w:rPr>
                      <w:rFonts w:eastAsiaTheme="minorEastAsia"/>
                      <w:sz w:val="21"/>
                      <w:szCs w:val="21"/>
                    </w:rPr>
                    <w:t>大桥</w:t>
                  </w:r>
                </w:p>
              </w:tc>
              <w:tc>
                <w:tcPr>
                  <w:tcW w:w="814" w:type="pct"/>
                  <w:tcBorders>
                    <w:tl2br w:val="nil"/>
                    <w:tr2bl w:val="nil"/>
                  </w:tcBorders>
                  <w:vAlign w:val="center"/>
                </w:tcPr>
                <w:p w14:paraId="0571FC55">
                  <w:pPr>
                    <w:jc w:val="center"/>
                    <w:rPr>
                      <w:rFonts w:eastAsiaTheme="minorEastAsia"/>
                      <w:sz w:val="21"/>
                      <w:szCs w:val="21"/>
                    </w:rPr>
                  </w:pPr>
                  <w:r>
                    <w:rPr>
                      <w:rFonts w:eastAsiaTheme="minorEastAsia"/>
                      <w:sz w:val="21"/>
                      <w:szCs w:val="21"/>
                    </w:rPr>
                    <w:t>m/座</w:t>
                  </w:r>
                </w:p>
              </w:tc>
              <w:tc>
                <w:tcPr>
                  <w:tcW w:w="2560" w:type="pct"/>
                  <w:tcBorders>
                    <w:tl2br w:val="nil"/>
                    <w:tr2bl w:val="nil"/>
                  </w:tcBorders>
                  <w:vAlign w:val="center"/>
                </w:tcPr>
                <w:p w14:paraId="30D9ADB6">
                  <w:pPr>
                    <w:jc w:val="center"/>
                    <w:rPr>
                      <w:sz w:val="21"/>
                      <w:szCs w:val="21"/>
                    </w:rPr>
                  </w:pPr>
                  <w:r>
                    <w:rPr>
                      <w:sz w:val="21"/>
                      <w:szCs w:val="21"/>
                    </w:rPr>
                    <w:t>181.54/1</w:t>
                  </w:r>
                </w:p>
              </w:tc>
            </w:tr>
            <w:tr w14:paraId="63CB5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43" w:type="pct"/>
                  <w:vMerge w:val="continue"/>
                  <w:tcBorders>
                    <w:tl2br w:val="nil"/>
                    <w:tr2bl w:val="nil"/>
                  </w:tcBorders>
                  <w:vAlign w:val="center"/>
                </w:tcPr>
                <w:p w14:paraId="1DAFC687">
                  <w:pPr>
                    <w:jc w:val="center"/>
                    <w:rPr>
                      <w:rFonts w:eastAsiaTheme="minorEastAsia"/>
                      <w:sz w:val="21"/>
                      <w:szCs w:val="21"/>
                    </w:rPr>
                  </w:pPr>
                </w:p>
              </w:tc>
              <w:tc>
                <w:tcPr>
                  <w:tcW w:w="781" w:type="pct"/>
                  <w:tcBorders>
                    <w:tl2br w:val="nil"/>
                    <w:tr2bl w:val="nil"/>
                  </w:tcBorders>
                  <w:vAlign w:val="center"/>
                </w:tcPr>
                <w:p w14:paraId="66A0DFC3">
                  <w:pPr>
                    <w:jc w:val="center"/>
                    <w:rPr>
                      <w:rFonts w:eastAsiaTheme="minorEastAsia"/>
                      <w:sz w:val="21"/>
                      <w:szCs w:val="21"/>
                    </w:rPr>
                  </w:pPr>
                  <w:r>
                    <w:rPr>
                      <w:rFonts w:eastAsiaTheme="minorEastAsia"/>
                      <w:sz w:val="21"/>
                      <w:szCs w:val="21"/>
                    </w:rPr>
                    <w:t>小桥</w:t>
                  </w:r>
                </w:p>
              </w:tc>
              <w:tc>
                <w:tcPr>
                  <w:tcW w:w="814" w:type="pct"/>
                  <w:tcBorders>
                    <w:tl2br w:val="nil"/>
                    <w:tr2bl w:val="nil"/>
                  </w:tcBorders>
                  <w:vAlign w:val="center"/>
                </w:tcPr>
                <w:p w14:paraId="760A8C8A">
                  <w:pPr>
                    <w:jc w:val="center"/>
                    <w:rPr>
                      <w:rFonts w:eastAsiaTheme="minorEastAsia"/>
                      <w:sz w:val="21"/>
                      <w:szCs w:val="21"/>
                    </w:rPr>
                  </w:pPr>
                  <w:r>
                    <w:rPr>
                      <w:rFonts w:eastAsiaTheme="minorEastAsia"/>
                      <w:sz w:val="21"/>
                      <w:szCs w:val="21"/>
                    </w:rPr>
                    <w:t>m/座</w:t>
                  </w:r>
                </w:p>
              </w:tc>
              <w:tc>
                <w:tcPr>
                  <w:tcW w:w="2560" w:type="pct"/>
                  <w:tcBorders>
                    <w:tl2br w:val="nil"/>
                    <w:tr2bl w:val="nil"/>
                  </w:tcBorders>
                  <w:vAlign w:val="center"/>
                </w:tcPr>
                <w:p w14:paraId="1D8076A9">
                  <w:pPr>
                    <w:jc w:val="center"/>
                    <w:rPr>
                      <w:rFonts w:eastAsiaTheme="minorEastAsia"/>
                      <w:sz w:val="21"/>
                      <w:szCs w:val="21"/>
                    </w:rPr>
                  </w:pPr>
                  <w:r>
                    <w:rPr>
                      <w:sz w:val="21"/>
                      <w:szCs w:val="21"/>
                    </w:rPr>
                    <w:t>312/13</w:t>
                  </w:r>
                </w:p>
              </w:tc>
            </w:tr>
            <w:tr w14:paraId="740FC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625" w:type="pct"/>
                  <w:gridSpan w:val="2"/>
                  <w:tcBorders>
                    <w:tl2br w:val="nil"/>
                    <w:tr2bl w:val="nil"/>
                  </w:tcBorders>
                  <w:vAlign w:val="center"/>
                </w:tcPr>
                <w:p w14:paraId="77D1A1FB">
                  <w:pPr>
                    <w:jc w:val="center"/>
                    <w:rPr>
                      <w:rFonts w:eastAsiaTheme="minorEastAsia"/>
                      <w:sz w:val="21"/>
                      <w:szCs w:val="21"/>
                    </w:rPr>
                  </w:pPr>
                  <w:r>
                    <w:rPr>
                      <w:rFonts w:eastAsiaTheme="minorEastAsia"/>
                      <w:sz w:val="21"/>
                      <w:szCs w:val="21"/>
                    </w:rPr>
                    <w:t>涵洞</w:t>
                  </w:r>
                </w:p>
              </w:tc>
              <w:tc>
                <w:tcPr>
                  <w:tcW w:w="814" w:type="pct"/>
                  <w:tcBorders>
                    <w:tl2br w:val="nil"/>
                    <w:tr2bl w:val="nil"/>
                  </w:tcBorders>
                  <w:vAlign w:val="center"/>
                </w:tcPr>
                <w:p w14:paraId="41BACE9C">
                  <w:pPr>
                    <w:jc w:val="center"/>
                    <w:rPr>
                      <w:rFonts w:eastAsiaTheme="minorEastAsia"/>
                      <w:sz w:val="21"/>
                      <w:szCs w:val="21"/>
                    </w:rPr>
                  </w:pPr>
                  <w:r>
                    <w:rPr>
                      <w:rFonts w:eastAsiaTheme="minorEastAsia"/>
                      <w:sz w:val="21"/>
                      <w:szCs w:val="21"/>
                    </w:rPr>
                    <w:t>道</w:t>
                  </w:r>
                </w:p>
              </w:tc>
              <w:tc>
                <w:tcPr>
                  <w:tcW w:w="2560" w:type="pct"/>
                  <w:tcBorders>
                    <w:tl2br w:val="nil"/>
                    <w:tr2bl w:val="nil"/>
                  </w:tcBorders>
                  <w:vAlign w:val="center"/>
                </w:tcPr>
                <w:p w14:paraId="507E42BF">
                  <w:pPr>
                    <w:widowControl/>
                    <w:jc w:val="center"/>
                    <w:rPr>
                      <w:rFonts w:eastAsiaTheme="minorEastAsia"/>
                      <w:kern w:val="0"/>
                      <w:sz w:val="21"/>
                      <w:szCs w:val="21"/>
                    </w:rPr>
                  </w:pPr>
                  <w:r>
                    <w:rPr>
                      <w:rFonts w:hint="eastAsia"/>
                      <w:sz w:val="21"/>
                      <w:szCs w:val="21"/>
                    </w:rPr>
                    <w:t>168</w:t>
                  </w:r>
                </w:p>
              </w:tc>
            </w:tr>
            <w:tr w14:paraId="6D7F0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625" w:type="pct"/>
                  <w:gridSpan w:val="2"/>
                  <w:tcBorders>
                    <w:tl2br w:val="nil"/>
                    <w:tr2bl w:val="nil"/>
                  </w:tcBorders>
                  <w:vAlign w:val="center"/>
                </w:tcPr>
                <w:p w14:paraId="62B74789">
                  <w:pPr>
                    <w:jc w:val="center"/>
                    <w:rPr>
                      <w:rFonts w:eastAsiaTheme="minorEastAsia"/>
                      <w:sz w:val="21"/>
                      <w:szCs w:val="21"/>
                    </w:rPr>
                  </w:pPr>
                  <w:r>
                    <w:rPr>
                      <w:rFonts w:hint="eastAsia"/>
                      <w:sz w:val="21"/>
                      <w:szCs w:val="21"/>
                    </w:rPr>
                    <w:t>路线交叉</w:t>
                  </w:r>
                </w:p>
              </w:tc>
              <w:tc>
                <w:tcPr>
                  <w:tcW w:w="814" w:type="pct"/>
                  <w:tcBorders>
                    <w:tl2br w:val="nil"/>
                    <w:tr2bl w:val="nil"/>
                  </w:tcBorders>
                  <w:vAlign w:val="center"/>
                </w:tcPr>
                <w:p w14:paraId="094A230E">
                  <w:pPr>
                    <w:jc w:val="center"/>
                    <w:rPr>
                      <w:rFonts w:eastAsiaTheme="minorEastAsia"/>
                      <w:sz w:val="21"/>
                      <w:szCs w:val="21"/>
                    </w:rPr>
                  </w:pPr>
                  <w:r>
                    <w:rPr>
                      <w:rFonts w:eastAsiaTheme="minorEastAsia"/>
                      <w:sz w:val="21"/>
                      <w:szCs w:val="21"/>
                    </w:rPr>
                    <w:t>处</w:t>
                  </w:r>
                </w:p>
              </w:tc>
              <w:tc>
                <w:tcPr>
                  <w:tcW w:w="2560" w:type="pct"/>
                  <w:tcBorders>
                    <w:tl2br w:val="nil"/>
                    <w:tr2bl w:val="nil"/>
                  </w:tcBorders>
                  <w:vAlign w:val="center"/>
                </w:tcPr>
                <w:p w14:paraId="1BEDB37E">
                  <w:pPr>
                    <w:jc w:val="center"/>
                    <w:rPr>
                      <w:rFonts w:eastAsiaTheme="minorEastAsia"/>
                      <w:sz w:val="21"/>
                      <w:szCs w:val="21"/>
                    </w:rPr>
                  </w:pPr>
                  <w:r>
                    <w:rPr>
                      <w:sz w:val="21"/>
                      <w:szCs w:val="21"/>
                    </w:rPr>
                    <w:t>28</w:t>
                  </w:r>
                </w:p>
              </w:tc>
            </w:tr>
            <w:tr w14:paraId="55E6A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625" w:type="pct"/>
                  <w:gridSpan w:val="2"/>
                  <w:tcBorders>
                    <w:tl2br w:val="nil"/>
                    <w:tr2bl w:val="nil"/>
                  </w:tcBorders>
                  <w:vAlign w:val="center"/>
                </w:tcPr>
                <w:p w14:paraId="684BDC8F">
                  <w:pPr>
                    <w:jc w:val="center"/>
                    <w:rPr>
                      <w:rFonts w:eastAsiaTheme="minorEastAsia"/>
                      <w:sz w:val="21"/>
                      <w:szCs w:val="21"/>
                    </w:rPr>
                  </w:pPr>
                  <w:r>
                    <w:rPr>
                      <w:rFonts w:eastAsiaTheme="minorEastAsia"/>
                      <w:sz w:val="21"/>
                      <w:szCs w:val="21"/>
                    </w:rPr>
                    <w:t>收费站</w:t>
                  </w:r>
                </w:p>
              </w:tc>
              <w:tc>
                <w:tcPr>
                  <w:tcW w:w="814" w:type="pct"/>
                  <w:tcBorders>
                    <w:tl2br w:val="nil"/>
                    <w:tr2bl w:val="nil"/>
                  </w:tcBorders>
                  <w:vAlign w:val="center"/>
                </w:tcPr>
                <w:p w14:paraId="191B7DB7">
                  <w:pPr>
                    <w:jc w:val="center"/>
                    <w:rPr>
                      <w:rFonts w:eastAsiaTheme="minorEastAsia"/>
                      <w:sz w:val="21"/>
                      <w:szCs w:val="21"/>
                    </w:rPr>
                  </w:pPr>
                  <w:r>
                    <w:rPr>
                      <w:rFonts w:eastAsiaTheme="minorEastAsia"/>
                      <w:sz w:val="21"/>
                      <w:szCs w:val="21"/>
                    </w:rPr>
                    <w:t>处</w:t>
                  </w:r>
                </w:p>
              </w:tc>
              <w:tc>
                <w:tcPr>
                  <w:tcW w:w="2560" w:type="pct"/>
                  <w:tcBorders>
                    <w:tl2br w:val="nil"/>
                    <w:tr2bl w:val="nil"/>
                  </w:tcBorders>
                  <w:vAlign w:val="center"/>
                </w:tcPr>
                <w:p w14:paraId="1AC5A096">
                  <w:pPr>
                    <w:jc w:val="center"/>
                    <w:rPr>
                      <w:rFonts w:eastAsiaTheme="minorEastAsia"/>
                      <w:sz w:val="21"/>
                      <w:szCs w:val="21"/>
                    </w:rPr>
                  </w:pPr>
                  <w:r>
                    <w:rPr>
                      <w:rFonts w:eastAsiaTheme="minorEastAsia"/>
                      <w:sz w:val="21"/>
                      <w:szCs w:val="21"/>
                    </w:rPr>
                    <w:t>1</w:t>
                  </w:r>
                </w:p>
              </w:tc>
            </w:tr>
            <w:tr w14:paraId="6A026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625" w:type="pct"/>
                  <w:gridSpan w:val="2"/>
                  <w:tcBorders>
                    <w:tl2br w:val="nil"/>
                    <w:tr2bl w:val="nil"/>
                  </w:tcBorders>
                  <w:vAlign w:val="center"/>
                </w:tcPr>
                <w:p w14:paraId="1296A532">
                  <w:pPr>
                    <w:jc w:val="center"/>
                    <w:rPr>
                      <w:rFonts w:eastAsiaTheme="minorEastAsia"/>
                      <w:sz w:val="21"/>
                      <w:szCs w:val="21"/>
                    </w:rPr>
                  </w:pPr>
                  <w:r>
                    <w:rPr>
                      <w:rFonts w:eastAsiaTheme="minorEastAsia"/>
                      <w:sz w:val="21"/>
                      <w:szCs w:val="21"/>
                    </w:rPr>
                    <w:t>总投资</w:t>
                  </w:r>
                </w:p>
              </w:tc>
              <w:tc>
                <w:tcPr>
                  <w:tcW w:w="814" w:type="pct"/>
                  <w:tcBorders>
                    <w:tl2br w:val="nil"/>
                    <w:tr2bl w:val="nil"/>
                  </w:tcBorders>
                  <w:vAlign w:val="center"/>
                </w:tcPr>
                <w:p w14:paraId="621D5016">
                  <w:pPr>
                    <w:jc w:val="center"/>
                    <w:rPr>
                      <w:rFonts w:eastAsiaTheme="minorEastAsia"/>
                      <w:sz w:val="21"/>
                      <w:szCs w:val="21"/>
                    </w:rPr>
                  </w:pPr>
                  <w:r>
                    <w:rPr>
                      <w:rFonts w:eastAsiaTheme="minorEastAsia"/>
                      <w:sz w:val="21"/>
                      <w:szCs w:val="21"/>
                    </w:rPr>
                    <w:t>亿元</w:t>
                  </w:r>
                </w:p>
              </w:tc>
              <w:tc>
                <w:tcPr>
                  <w:tcW w:w="2560" w:type="pct"/>
                  <w:tcBorders>
                    <w:tl2br w:val="nil"/>
                    <w:tr2bl w:val="nil"/>
                  </w:tcBorders>
                  <w:vAlign w:val="center"/>
                </w:tcPr>
                <w:p w14:paraId="71390A8E">
                  <w:pPr>
                    <w:jc w:val="center"/>
                    <w:rPr>
                      <w:rFonts w:eastAsiaTheme="minorEastAsia"/>
                      <w:sz w:val="21"/>
                      <w:szCs w:val="21"/>
                    </w:rPr>
                  </w:pPr>
                  <w:r>
                    <w:rPr>
                      <w:rFonts w:eastAsiaTheme="minorEastAsia"/>
                      <w:sz w:val="21"/>
                      <w:szCs w:val="21"/>
                    </w:rPr>
                    <w:t>3.696</w:t>
                  </w:r>
                </w:p>
              </w:tc>
            </w:tr>
          </w:tbl>
          <w:p w14:paraId="77FE6A5F">
            <w:pPr>
              <w:autoSpaceDE w:val="0"/>
              <w:autoSpaceDN w:val="0"/>
              <w:adjustRightInd w:val="0"/>
              <w:spacing w:before="240" w:beforeLines="100" w:line="300" w:lineRule="auto"/>
              <w:ind w:firstLine="482" w:firstLineChars="200"/>
              <w:rPr>
                <w:rFonts w:hint="eastAsia" w:hAnsiTheme="minorEastAsia" w:eastAsiaTheme="minorEastAsia"/>
                <w:b/>
                <w:color w:val="auto"/>
                <w:sz w:val="24"/>
              </w:rPr>
            </w:pPr>
            <w:r>
              <w:rPr>
                <w:rFonts w:hint="eastAsia" w:hAnsiTheme="minorEastAsia" w:eastAsiaTheme="minorEastAsia"/>
                <w:b/>
                <w:color w:val="auto"/>
                <w:sz w:val="24"/>
              </w:rPr>
              <w:t>(2) 主要技术指标</w:t>
            </w:r>
          </w:p>
          <w:p w14:paraId="4A529E04">
            <w:pPr>
              <w:pStyle w:val="50"/>
              <w:keepNext w:val="0"/>
              <w:keepLines w:val="0"/>
              <w:pageBreakBefore w:val="0"/>
              <w:widowControl w:val="0"/>
              <w:tabs>
                <w:tab w:val="left" w:pos="2694"/>
              </w:tabs>
              <w:kinsoku/>
              <w:wordWrap/>
              <w:overflowPunct/>
              <w:topLinePunct w:val="0"/>
              <w:autoSpaceDE/>
              <w:autoSpaceDN/>
              <w:bidi w:val="0"/>
              <w:adjustRightInd w:val="0"/>
              <w:snapToGrid/>
              <w:spacing w:before="120" w:beforeLines="50" w:after="157" w:afterLines="50" w:line="300" w:lineRule="auto"/>
              <w:ind w:firstLine="480" w:firstLineChars="200"/>
              <w:jc w:val="left"/>
              <w:textAlignment w:val="baseline"/>
              <w:rPr>
                <w:rFonts w:hint="eastAsia" w:ascii="Times New Roman" w:hAnsiTheme="minorEastAsia" w:eastAsiaTheme="minorEastAsia"/>
                <w:color w:val="auto"/>
                <w:spacing w:val="0"/>
                <w:sz w:val="24"/>
                <w:szCs w:val="24"/>
              </w:rPr>
            </w:pPr>
            <w:r>
              <w:rPr>
                <w:rFonts w:hint="eastAsia" w:ascii="Times New Roman" w:hAnsi="宋体" w:eastAsia="宋体"/>
                <w:color w:val="auto"/>
                <w:spacing w:val="0"/>
                <w:sz w:val="24"/>
                <w:szCs w:val="24"/>
              </w:rPr>
              <w:t>既有</w:t>
            </w:r>
            <w:r>
              <w:rPr>
                <w:rFonts w:ascii="Times New Roman" w:hAnsi="宋体" w:eastAsia="宋体"/>
                <w:color w:val="auto"/>
                <w:spacing w:val="0"/>
                <w:sz w:val="24"/>
                <w:szCs w:val="24"/>
              </w:rPr>
              <w:t>公路为双向</w:t>
            </w:r>
            <w:r>
              <w:rPr>
                <w:rFonts w:hint="eastAsia" w:ascii="Times New Roman" w:hAnsi="宋体" w:eastAsia="宋体"/>
                <w:color w:val="auto"/>
                <w:spacing w:val="0"/>
                <w:sz w:val="24"/>
                <w:szCs w:val="24"/>
              </w:rPr>
              <w:t>二</w:t>
            </w:r>
            <w:r>
              <w:rPr>
                <w:rFonts w:ascii="Times New Roman" w:hAnsi="宋体" w:eastAsia="宋体"/>
                <w:color w:val="auto"/>
                <w:spacing w:val="0"/>
                <w:sz w:val="24"/>
                <w:szCs w:val="24"/>
              </w:rPr>
              <w:t>车道</w:t>
            </w:r>
            <w:r>
              <w:rPr>
                <w:rFonts w:hint="eastAsia" w:ascii="Times New Roman" w:hAnsi="宋体" w:eastAsia="宋体"/>
                <w:color w:val="auto"/>
                <w:spacing w:val="0"/>
                <w:sz w:val="24"/>
                <w:szCs w:val="24"/>
              </w:rPr>
              <w:t>二</w:t>
            </w:r>
            <w:r>
              <w:rPr>
                <w:rFonts w:ascii="Times New Roman" w:hAnsi="宋体" w:eastAsia="宋体"/>
                <w:color w:val="auto"/>
                <w:spacing w:val="0"/>
                <w:sz w:val="24"/>
                <w:szCs w:val="24"/>
              </w:rPr>
              <w:t>级公路</w:t>
            </w:r>
            <w:r>
              <w:rPr>
                <w:rFonts w:hint="eastAsia" w:ascii="Times New Roman" w:hAnsi="宋体" w:eastAsia="宋体"/>
                <w:color w:val="auto"/>
                <w:spacing w:val="0"/>
                <w:sz w:val="24"/>
                <w:szCs w:val="24"/>
              </w:rPr>
              <w:t>，</w:t>
            </w:r>
            <w:r>
              <w:rPr>
                <w:rFonts w:ascii="Times New Roman" w:hAnsi="宋体" w:eastAsia="宋体"/>
                <w:color w:val="auto"/>
                <w:spacing w:val="0"/>
                <w:sz w:val="24"/>
                <w:szCs w:val="24"/>
              </w:rPr>
              <w:t>主要技术指标见表</w:t>
            </w:r>
            <w:r>
              <w:rPr>
                <w:rFonts w:hint="eastAsia" w:ascii="Times New Roman" w:hAnsi="宋体" w:eastAsia="宋体"/>
                <w:color w:val="auto"/>
                <w:spacing w:val="0"/>
                <w:sz w:val="24"/>
                <w:szCs w:val="24"/>
              </w:rPr>
              <w:t>2-2</w:t>
            </w:r>
            <w:r>
              <w:rPr>
                <w:rFonts w:hint="eastAsia" w:ascii="Times New Roman" w:hAnsiTheme="minorEastAsia" w:eastAsiaTheme="minorEastAsia"/>
                <w:color w:val="auto"/>
                <w:spacing w:val="0"/>
                <w:sz w:val="24"/>
                <w:szCs w:val="24"/>
              </w:rPr>
              <w:t>。</w:t>
            </w:r>
          </w:p>
          <w:p w14:paraId="2645F105">
            <w:pPr>
              <w:pStyle w:val="50"/>
              <w:tabs>
                <w:tab w:val="left" w:pos="2694"/>
              </w:tabs>
              <w:spacing w:before="120" w:beforeLines="50" w:line="240" w:lineRule="auto"/>
              <w:rPr>
                <w:rFonts w:ascii="Times New Roman" w:hAnsi="宋体" w:eastAsia="宋体"/>
                <w:b/>
                <w:color w:val="auto"/>
              </w:rPr>
            </w:pPr>
            <w:r>
              <w:rPr>
                <w:rFonts w:ascii="Times New Roman" w:hAnsi="宋体" w:eastAsia="宋体"/>
                <w:b/>
                <w:color w:val="auto"/>
              </w:rPr>
              <w:t>表</w:t>
            </w:r>
            <w:r>
              <w:rPr>
                <w:rFonts w:ascii="Times New Roman" w:eastAsia="宋体"/>
                <w:b/>
                <w:color w:val="auto"/>
              </w:rPr>
              <w:t>2-</w:t>
            </w:r>
            <w:r>
              <w:rPr>
                <w:rFonts w:hint="eastAsia" w:ascii="Times New Roman" w:eastAsia="宋体"/>
                <w:b/>
                <w:color w:val="auto"/>
              </w:rPr>
              <w:t>2</w:t>
            </w:r>
            <w:r>
              <w:rPr>
                <w:rFonts w:ascii="Times New Roman" w:eastAsia="宋体"/>
                <w:b/>
                <w:color w:val="auto"/>
              </w:rPr>
              <w:t xml:space="preserve"> </w:t>
            </w:r>
            <w:r>
              <w:rPr>
                <w:rFonts w:hint="eastAsia" w:ascii="Times New Roman" w:eastAsia="宋体"/>
                <w:b/>
                <w:color w:val="auto"/>
              </w:rPr>
              <w:t xml:space="preserve"> </w:t>
            </w:r>
            <w:r>
              <w:rPr>
                <w:rFonts w:hint="eastAsia" w:ascii="Times New Roman" w:hAnsi="宋体" w:eastAsia="宋体"/>
                <w:b/>
                <w:color w:val="auto"/>
              </w:rPr>
              <w:t>既有</w:t>
            </w:r>
            <w:r>
              <w:rPr>
                <w:rFonts w:ascii="Times New Roman" w:hAnsi="宋体" w:eastAsia="宋体"/>
                <w:b/>
                <w:color w:val="auto"/>
              </w:rPr>
              <w:t>公路主要技术指标表</w:t>
            </w:r>
          </w:p>
          <w:tbl>
            <w:tblPr>
              <w:tblStyle w:val="22"/>
              <w:tblW w:w="84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8"/>
              <w:gridCol w:w="1773"/>
              <w:gridCol w:w="824"/>
              <w:gridCol w:w="1681"/>
              <w:gridCol w:w="840"/>
              <w:gridCol w:w="2624"/>
            </w:tblGrid>
            <w:tr w14:paraId="4B9B6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13" w:type="pct"/>
                  <w:tcBorders>
                    <w:tl2br w:val="nil"/>
                    <w:tr2bl w:val="nil"/>
                  </w:tcBorders>
                  <w:noWrap/>
                  <w:vAlign w:val="center"/>
                </w:tcPr>
                <w:p w14:paraId="075DD55E">
                  <w:pPr>
                    <w:widowControl/>
                    <w:spacing w:line="240" w:lineRule="auto"/>
                    <w:jc w:val="center"/>
                    <w:rPr>
                      <w:rFonts w:hint="default" w:ascii="Times New Roman" w:hAnsi="Times New Roman" w:eastAsia="宋体" w:cs="Times New Roman"/>
                      <w:b/>
                      <w:bCs/>
                      <w:snapToGrid/>
                      <w:color w:val="auto"/>
                      <w:sz w:val="21"/>
                      <w:szCs w:val="21"/>
                      <w:highlight w:val="none"/>
                    </w:rPr>
                  </w:pPr>
                  <w:r>
                    <w:rPr>
                      <w:rFonts w:hint="default" w:ascii="Times New Roman" w:hAnsi="Times New Roman" w:eastAsia="宋体" w:cs="Times New Roman"/>
                      <w:b/>
                      <w:bCs/>
                      <w:snapToGrid/>
                      <w:color w:val="auto"/>
                      <w:sz w:val="21"/>
                      <w:szCs w:val="21"/>
                      <w:highlight w:val="none"/>
                    </w:rPr>
                    <w:t>序号</w:t>
                  </w:r>
                </w:p>
              </w:tc>
              <w:tc>
                <w:tcPr>
                  <w:tcW w:w="2534" w:type="pct"/>
                  <w:gridSpan w:val="3"/>
                  <w:tcBorders>
                    <w:tl2br w:val="nil"/>
                    <w:tr2bl w:val="nil"/>
                  </w:tcBorders>
                  <w:noWrap/>
                  <w:vAlign w:val="center"/>
                </w:tcPr>
                <w:p w14:paraId="7E27C306">
                  <w:pPr>
                    <w:widowControl/>
                    <w:spacing w:line="240" w:lineRule="auto"/>
                    <w:jc w:val="center"/>
                    <w:rPr>
                      <w:rFonts w:hint="default" w:ascii="Times New Roman" w:hAnsi="Times New Roman" w:eastAsia="宋体" w:cs="Times New Roman"/>
                      <w:b/>
                      <w:bCs/>
                      <w:snapToGrid/>
                      <w:color w:val="auto"/>
                      <w:sz w:val="21"/>
                      <w:szCs w:val="21"/>
                      <w:highlight w:val="none"/>
                    </w:rPr>
                  </w:pPr>
                  <w:r>
                    <w:rPr>
                      <w:rFonts w:hint="default" w:ascii="Times New Roman" w:hAnsi="Times New Roman" w:eastAsia="宋体" w:cs="Times New Roman"/>
                      <w:b/>
                      <w:bCs/>
                      <w:snapToGrid/>
                      <w:color w:val="auto"/>
                      <w:sz w:val="21"/>
                      <w:szCs w:val="21"/>
                      <w:highlight w:val="none"/>
                    </w:rPr>
                    <w:t>项目</w:t>
                  </w:r>
                </w:p>
              </w:tc>
              <w:tc>
                <w:tcPr>
                  <w:tcW w:w="497" w:type="pct"/>
                  <w:tcBorders>
                    <w:tl2br w:val="nil"/>
                    <w:tr2bl w:val="nil"/>
                  </w:tcBorders>
                  <w:noWrap/>
                  <w:vAlign w:val="center"/>
                </w:tcPr>
                <w:p w14:paraId="5EFE5121">
                  <w:pPr>
                    <w:widowControl/>
                    <w:spacing w:line="240" w:lineRule="auto"/>
                    <w:jc w:val="center"/>
                    <w:rPr>
                      <w:rFonts w:hint="default" w:ascii="Times New Roman" w:hAnsi="Times New Roman" w:eastAsia="宋体" w:cs="Times New Roman"/>
                      <w:b/>
                      <w:bCs/>
                      <w:snapToGrid/>
                      <w:color w:val="auto"/>
                      <w:sz w:val="21"/>
                      <w:szCs w:val="21"/>
                      <w:highlight w:val="none"/>
                    </w:rPr>
                  </w:pPr>
                  <w:r>
                    <w:rPr>
                      <w:rFonts w:hint="default" w:ascii="Times New Roman" w:hAnsi="Times New Roman" w:eastAsia="宋体" w:cs="Times New Roman"/>
                      <w:b/>
                      <w:bCs/>
                      <w:snapToGrid/>
                      <w:color w:val="auto"/>
                      <w:sz w:val="21"/>
                      <w:szCs w:val="21"/>
                      <w:highlight w:val="none"/>
                    </w:rPr>
                    <w:t>单位</w:t>
                  </w:r>
                </w:p>
              </w:tc>
              <w:tc>
                <w:tcPr>
                  <w:tcW w:w="1554" w:type="pct"/>
                  <w:tcBorders>
                    <w:tl2br w:val="nil"/>
                    <w:tr2bl w:val="nil"/>
                  </w:tcBorders>
                  <w:noWrap w:val="0"/>
                  <w:vAlign w:val="center"/>
                </w:tcPr>
                <w:p w14:paraId="35DA82C8">
                  <w:pPr>
                    <w:widowControl/>
                    <w:spacing w:line="240" w:lineRule="auto"/>
                    <w:jc w:val="center"/>
                    <w:rPr>
                      <w:rFonts w:hint="default" w:ascii="Times New Roman" w:hAnsi="Times New Roman" w:eastAsia="宋体" w:cs="Times New Roman"/>
                      <w:b/>
                      <w:bCs/>
                      <w:snapToGrid/>
                      <w:color w:val="auto"/>
                      <w:sz w:val="21"/>
                      <w:szCs w:val="21"/>
                      <w:highlight w:val="none"/>
                      <w:lang w:val="en-US" w:eastAsia="zh-CN"/>
                    </w:rPr>
                  </w:pPr>
                  <w:r>
                    <w:rPr>
                      <w:rFonts w:hint="default" w:ascii="Times New Roman" w:hAnsi="Times New Roman" w:eastAsia="宋体" w:cs="Times New Roman"/>
                      <w:b/>
                      <w:bCs/>
                      <w:snapToGrid/>
                      <w:color w:val="auto"/>
                      <w:sz w:val="21"/>
                      <w:szCs w:val="21"/>
                      <w:highlight w:val="none"/>
                      <w:lang w:val="en-US" w:eastAsia="zh-CN"/>
                    </w:rPr>
                    <w:t>原设计采用值</w:t>
                  </w:r>
                </w:p>
              </w:tc>
            </w:tr>
            <w:tr w14:paraId="7CE6F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13" w:type="pct"/>
                  <w:tcBorders>
                    <w:tl2br w:val="nil"/>
                    <w:tr2bl w:val="nil"/>
                  </w:tcBorders>
                  <w:noWrap/>
                  <w:vAlign w:val="center"/>
                </w:tcPr>
                <w:p w14:paraId="15F7078F">
                  <w:pPr>
                    <w:widowControl/>
                    <w:spacing w:line="240" w:lineRule="auto"/>
                    <w:jc w:val="center"/>
                    <w:rPr>
                      <w:rFonts w:hint="default" w:ascii="Times New Roman" w:hAnsi="Times New Roman" w:eastAsia="宋体" w:cs="Times New Roman"/>
                      <w:snapToGrid/>
                      <w:color w:val="auto"/>
                      <w:sz w:val="21"/>
                      <w:szCs w:val="21"/>
                      <w:highlight w:val="none"/>
                    </w:rPr>
                  </w:pPr>
                  <w:r>
                    <w:rPr>
                      <w:rFonts w:hint="default" w:ascii="Times New Roman" w:hAnsi="Times New Roman" w:eastAsia="宋体" w:cs="Times New Roman"/>
                      <w:snapToGrid/>
                      <w:color w:val="auto"/>
                      <w:sz w:val="21"/>
                      <w:szCs w:val="21"/>
                      <w:highlight w:val="none"/>
                    </w:rPr>
                    <w:t>1</w:t>
                  </w:r>
                </w:p>
              </w:tc>
              <w:tc>
                <w:tcPr>
                  <w:tcW w:w="2534" w:type="pct"/>
                  <w:gridSpan w:val="3"/>
                  <w:tcBorders>
                    <w:tl2br w:val="nil"/>
                    <w:tr2bl w:val="nil"/>
                  </w:tcBorders>
                  <w:noWrap/>
                  <w:vAlign w:val="center"/>
                </w:tcPr>
                <w:p w14:paraId="10E01131">
                  <w:pPr>
                    <w:widowControl/>
                    <w:spacing w:line="240" w:lineRule="auto"/>
                    <w:jc w:val="center"/>
                    <w:rPr>
                      <w:rFonts w:hint="default" w:ascii="Times New Roman" w:hAnsi="Times New Roman" w:eastAsia="宋体" w:cs="Times New Roman"/>
                      <w:snapToGrid/>
                      <w:color w:val="auto"/>
                      <w:sz w:val="21"/>
                      <w:szCs w:val="21"/>
                      <w:highlight w:val="none"/>
                    </w:rPr>
                  </w:pPr>
                  <w:r>
                    <w:rPr>
                      <w:rFonts w:hint="default" w:ascii="Times New Roman" w:hAnsi="Times New Roman" w:eastAsia="宋体" w:cs="Times New Roman"/>
                      <w:snapToGrid/>
                      <w:color w:val="auto"/>
                      <w:sz w:val="21"/>
                      <w:szCs w:val="21"/>
                      <w:highlight w:val="none"/>
                    </w:rPr>
                    <w:t>公路等级</w:t>
                  </w:r>
                </w:p>
              </w:tc>
              <w:tc>
                <w:tcPr>
                  <w:tcW w:w="497" w:type="pct"/>
                  <w:tcBorders>
                    <w:tl2br w:val="nil"/>
                    <w:tr2bl w:val="nil"/>
                  </w:tcBorders>
                  <w:noWrap/>
                  <w:vAlign w:val="center"/>
                </w:tcPr>
                <w:p w14:paraId="4E28849C">
                  <w:pPr>
                    <w:widowControl/>
                    <w:spacing w:line="240" w:lineRule="auto"/>
                    <w:jc w:val="center"/>
                    <w:rPr>
                      <w:rFonts w:hint="default" w:ascii="Times New Roman" w:hAnsi="Times New Roman" w:eastAsia="宋体" w:cs="Times New Roman"/>
                      <w:snapToGrid/>
                      <w:color w:val="auto"/>
                      <w:sz w:val="21"/>
                      <w:szCs w:val="21"/>
                      <w:highlight w:val="none"/>
                    </w:rPr>
                  </w:pPr>
                  <w:r>
                    <w:rPr>
                      <w:rFonts w:hint="default" w:ascii="Times New Roman" w:hAnsi="Times New Roman" w:eastAsia="宋体" w:cs="Times New Roman"/>
                      <w:snapToGrid/>
                      <w:color w:val="auto"/>
                      <w:sz w:val="21"/>
                      <w:szCs w:val="21"/>
                      <w:highlight w:val="none"/>
                    </w:rPr>
                    <w:t>/</w:t>
                  </w:r>
                </w:p>
              </w:tc>
              <w:tc>
                <w:tcPr>
                  <w:tcW w:w="1554" w:type="pct"/>
                  <w:tcBorders>
                    <w:tl2br w:val="nil"/>
                    <w:tr2bl w:val="nil"/>
                  </w:tcBorders>
                  <w:noWrap/>
                  <w:vAlign w:val="center"/>
                </w:tcPr>
                <w:p w14:paraId="1B62C3AD">
                  <w:pPr>
                    <w:widowControl/>
                    <w:spacing w:line="240" w:lineRule="auto"/>
                    <w:jc w:val="center"/>
                    <w:rPr>
                      <w:rFonts w:hint="default" w:ascii="Times New Roman" w:hAnsi="Times New Roman" w:eastAsia="宋体" w:cs="Times New Roman"/>
                      <w:snapToGrid/>
                      <w:color w:val="auto"/>
                      <w:sz w:val="21"/>
                      <w:szCs w:val="21"/>
                      <w:highlight w:val="none"/>
                    </w:rPr>
                  </w:pPr>
                  <w:r>
                    <w:rPr>
                      <w:rFonts w:hint="default" w:ascii="Times New Roman" w:hAnsi="Times New Roman" w:eastAsia="宋体" w:cs="Times New Roman"/>
                      <w:snapToGrid/>
                      <w:color w:val="auto"/>
                      <w:sz w:val="21"/>
                      <w:szCs w:val="21"/>
                      <w:highlight w:val="none"/>
                    </w:rPr>
                    <w:t>二级</w:t>
                  </w:r>
                </w:p>
              </w:tc>
            </w:tr>
            <w:tr w14:paraId="25318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13" w:type="pct"/>
                  <w:tcBorders>
                    <w:tl2br w:val="nil"/>
                    <w:tr2bl w:val="nil"/>
                  </w:tcBorders>
                  <w:noWrap/>
                  <w:vAlign w:val="center"/>
                </w:tcPr>
                <w:p w14:paraId="01BD4135">
                  <w:pPr>
                    <w:widowControl/>
                    <w:spacing w:line="240" w:lineRule="auto"/>
                    <w:jc w:val="center"/>
                    <w:rPr>
                      <w:rFonts w:hint="default" w:ascii="Times New Roman" w:hAnsi="Times New Roman" w:eastAsia="宋体" w:cs="Times New Roman"/>
                      <w:snapToGrid/>
                      <w:color w:val="auto"/>
                      <w:sz w:val="21"/>
                      <w:szCs w:val="21"/>
                      <w:highlight w:val="none"/>
                    </w:rPr>
                  </w:pPr>
                  <w:r>
                    <w:rPr>
                      <w:rFonts w:hint="default" w:ascii="Times New Roman" w:hAnsi="Times New Roman" w:eastAsia="宋体" w:cs="Times New Roman"/>
                      <w:snapToGrid/>
                      <w:color w:val="auto"/>
                      <w:sz w:val="21"/>
                      <w:szCs w:val="21"/>
                      <w:highlight w:val="none"/>
                    </w:rPr>
                    <w:t>2</w:t>
                  </w:r>
                </w:p>
              </w:tc>
              <w:tc>
                <w:tcPr>
                  <w:tcW w:w="2534" w:type="pct"/>
                  <w:gridSpan w:val="3"/>
                  <w:tcBorders>
                    <w:tl2br w:val="nil"/>
                    <w:tr2bl w:val="nil"/>
                  </w:tcBorders>
                  <w:noWrap/>
                  <w:vAlign w:val="center"/>
                </w:tcPr>
                <w:p w14:paraId="5291A225">
                  <w:pPr>
                    <w:widowControl/>
                    <w:spacing w:line="240" w:lineRule="auto"/>
                    <w:jc w:val="center"/>
                    <w:rPr>
                      <w:rFonts w:hint="default" w:ascii="Times New Roman" w:hAnsi="Times New Roman" w:eastAsia="宋体" w:cs="Times New Roman"/>
                      <w:snapToGrid/>
                      <w:color w:val="auto"/>
                      <w:sz w:val="21"/>
                      <w:szCs w:val="21"/>
                      <w:highlight w:val="none"/>
                    </w:rPr>
                  </w:pPr>
                  <w:r>
                    <w:rPr>
                      <w:rFonts w:hint="default" w:ascii="Times New Roman" w:hAnsi="Times New Roman" w:eastAsia="宋体" w:cs="Times New Roman"/>
                      <w:snapToGrid/>
                      <w:color w:val="auto"/>
                      <w:sz w:val="21"/>
                      <w:szCs w:val="21"/>
                      <w:highlight w:val="none"/>
                    </w:rPr>
                    <w:t>设计速度</w:t>
                  </w:r>
                </w:p>
              </w:tc>
              <w:tc>
                <w:tcPr>
                  <w:tcW w:w="497" w:type="pct"/>
                  <w:tcBorders>
                    <w:tl2br w:val="nil"/>
                    <w:tr2bl w:val="nil"/>
                  </w:tcBorders>
                  <w:noWrap/>
                  <w:vAlign w:val="center"/>
                </w:tcPr>
                <w:p w14:paraId="08682513">
                  <w:pPr>
                    <w:widowControl/>
                    <w:spacing w:line="240" w:lineRule="auto"/>
                    <w:jc w:val="center"/>
                    <w:rPr>
                      <w:rFonts w:hint="default" w:ascii="Times New Roman" w:hAnsi="Times New Roman" w:eastAsia="宋体" w:cs="Times New Roman"/>
                      <w:snapToGrid/>
                      <w:color w:val="auto"/>
                      <w:sz w:val="21"/>
                      <w:szCs w:val="21"/>
                      <w:highlight w:val="none"/>
                    </w:rPr>
                  </w:pPr>
                  <w:r>
                    <w:rPr>
                      <w:rFonts w:hint="default" w:ascii="Times New Roman" w:hAnsi="Times New Roman" w:eastAsia="宋体" w:cs="Times New Roman"/>
                      <w:snapToGrid/>
                      <w:color w:val="auto"/>
                      <w:sz w:val="21"/>
                      <w:szCs w:val="21"/>
                      <w:highlight w:val="none"/>
                    </w:rPr>
                    <w:t>km/h</w:t>
                  </w:r>
                </w:p>
              </w:tc>
              <w:tc>
                <w:tcPr>
                  <w:tcW w:w="1554" w:type="pct"/>
                  <w:tcBorders>
                    <w:tl2br w:val="nil"/>
                    <w:tr2bl w:val="nil"/>
                  </w:tcBorders>
                  <w:noWrap/>
                  <w:vAlign w:val="center"/>
                </w:tcPr>
                <w:p w14:paraId="7F24D871">
                  <w:pPr>
                    <w:widowControl/>
                    <w:spacing w:line="240" w:lineRule="auto"/>
                    <w:jc w:val="center"/>
                    <w:rPr>
                      <w:rFonts w:hint="default" w:ascii="Times New Roman" w:hAnsi="Times New Roman" w:eastAsia="宋体" w:cs="Times New Roman"/>
                      <w:snapToGrid/>
                      <w:color w:val="auto"/>
                      <w:sz w:val="21"/>
                      <w:szCs w:val="21"/>
                      <w:highlight w:val="none"/>
                    </w:rPr>
                  </w:pPr>
                  <w:r>
                    <w:rPr>
                      <w:rFonts w:hint="default" w:ascii="Times New Roman" w:hAnsi="Times New Roman" w:eastAsia="宋体" w:cs="Times New Roman"/>
                      <w:snapToGrid/>
                      <w:color w:val="auto"/>
                      <w:sz w:val="21"/>
                      <w:szCs w:val="21"/>
                      <w:highlight w:val="none"/>
                    </w:rPr>
                    <w:t>80</w:t>
                  </w:r>
                </w:p>
              </w:tc>
            </w:tr>
            <w:tr w14:paraId="55505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13" w:type="pct"/>
                  <w:tcBorders>
                    <w:tl2br w:val="nil"/>
                    <w:tr2bl w:val="nil"/>
                  </w:tcBorders>
                  <w:shd w:val="clear" w:color="auto" w:fill="auto"/>
                  <w:noWrap/>
                  <w:vAlign w:val="center"/>
                </w:tcPr>
                <w:p w14:paraId="490CC445">
                  <w:pPr>
                    <w:widowControl/>
                    <w:spacing w:line="240" w:lineRule="auto"/>
                    <w:jc w:val="center"/>
                    <w:rPr>
                      <w:rFonts w:hint="default" w:ascii="Times New Roman" w:hAnsi="Times New Roman" w:eastAsia="宋体" w:cs="Times New Roman"/>
                      <w:snapToGrid/>
                      <w:color w:val="auto"/>
                      <w:kern w:val="2"/>
                      <w:sz w:val="21"/>
                      <w:szCs w:val="21"/>
                      <w:highlight w:val="none"/>
                      <w:lang w:val="en-US" w:eastAsia="zh-CN" w:bidi="ar-SA"/>
                    </w:rPr>
                  </w:pPr>
                  <w:r>
                    <w:rPr>
                      <w:rFonts w:hint="default" w:ascii="Times New Roman" w:hAnsi="Times New Roman" w:eastAsia="宋体" w:cs="Times New Roman"/>
                      <w:snapToGrid/>
                      <w:color w:val="auto"/>
                      <w:sz w:val="21"/>
                      <w:szCs w:val="21"/>
                      <w:highlight w:val="none"/>
                    </w:rPr>
                    <w:t>3</w:t>
                  </w:r>
                </w:p>
              </w:tc>
              <w:tc>
                <w:tcPr>
                  <w:tcW w:w="2534" w:type="pct"/>
                  <w:gridSpan w:val="3"/>
                  <w:tcBorders>
                    <w:tl2br w:val="nil"/>
                    <w:tr2bl w:val="nil"/>
                  </w:tcBorders>
                  <w:noWrap/>
                  <w:vAlign w:val="center"/>
                </w:tcPr>
                <w:p w14:paraId="68BD2B0F">
                  <w:pPr>
                    <w:widowControl/>
                    <w:spacing w:line="240" w:lineRule="auto"/>
                    <w:jc w:val="center"/>
                    <w:rPr>
                      <w:rFonts w:hint="default" w:ascii="Times New Roman" w:hAnsi="Times New Roman" w:eastAsia="宋体" w:cs="Times New Roman"/>
                      <w:snapToGrid/>
                      <w:color w:val="auto"/>
                      <w:sz w:val="21"/>
                      <w:szCs w:val="21"/>
                      <w:highlight w:val="none"/>
                      <w:lang w:val="en-US" w:eastAsia="zh-CN"/>
                    </w:rPr>
                  </w:pPr>
                  <w:r>
                    <w:rPr>
                      <w:rFonts w:hint="eastAsia" w:ascii="Times New Roman" w:hAnsi="Times New Roman" w:cs="Times New Roman"/>
                      <w:snapToGrid/>
                      <w:color w:val="auto"/>
                      <w:sz w:val="21"/>
                      <w:szCs w:val="21"/>
                      <w:highlight w:val="none"/>
                      <w:lang w:val="en-US" w:eastAsia="zh-CN"/>
                    </w:rPr>
                    <w:t>路基宽度</w:t>
                  </w:r>
                </w:p>
              </w:tc>
              <w:tc>
                <w:tcPr>
                  <w:tcW w:w="497" w:type="pct"/>
                  <w:tcBorders>
                    <w:tl2br w:val="nil"/>
                    <w:tr2bl w:val="nil"/>
                  </w:tcBorders>
                  <w:noWrap/>
                  <w:vAlign w:val="center"/>
                </w:tcPr>
                <w:p w14:paraId="2D0E1356">
                  <w:pPr>
                    <w:widowControl/>
                    <w:spacing w:line="240" w:lineRule="auto"/>
                    <w:jc w:val="center"/>
                    <w:rPr>
                      <w:rFonts w:hint="eastAsia" w:ascii="Times New Roman" w:hAnsi="Times New Roman" w:eastAsia="宋体" w:cs="Times New Roman"/>
                      <w:snapToGrid/>
                      <w:color w:val="auto"/>
                      <w:sz w:val="21"/>
                      <w:szCs w:val="21"/>
                      <w:highlight w:val="none"/>
                      <w:lang w:val="en-US" w:eastAsia="zh-CN"/>
                    </w:rPr>
                  </w:pPr>
                  <w:r>
                    <w:rPr>
                      <w:rFonts w:hint="eastAsia" w:ascii="Times New Roman" w:hAnsi="Times New Roman" w:cs="Times New Roman"/>
                      <w:snapToGrid/>
                      <w:color w:val="auto"/>
                      <w:sz w:val="21"/>
                      <w:szCs w:val="21"/>
                      <w:highlight w:val="none"/>
                      <w:lang w:val="en-US" w:eastAsia="zh-CN"/>
                    </w:rPr>
                    <w:t>m</w:t>
                  </w:r>
                </w:p>
              </w:tc>
              <w:tc>
                <w:tcPr>
                  <w:tcW w:w="1554" w:type="pct"/>
                  <w:tcBorders>
                    <w:tl2br w:val="nil"/>
                    <w:tr2bl w:val="nil"/>
                  </w:tcBorders>
                  <w:noWrap/>
                  <w:vAlign w:val="center"/>
                </w:tcPr>
                <w:p w14:paraId="00C01138">
                  <w:pPr>
                    <w:widowControl/>
                    <w:spacing w:line="240" w:lineRule="auto"/>
                    <w:jc w:val="center"/>
                    <w:rPr>
                      <w:rFonts w:hint="default" w:ascii="Times New Roman" w:hAnsi="Times New Roman" w:eastAsia="宋体" w:cs="Times New Roman"/>
                      <w:snapToGrid/>
                      <w:color w:val="auto"/>
                      <w:sz w:val="21"/>
                      <w:szCs w:val="21"/>
                      <w:highlight w:val="none"/>
                    </w:rPr>
                  </w:pPr>
                  <w:r>
                    <w:rPr>
                      <w:rFonts w:hint="default" w:ascii="Times New Roman" w:hAnsi="Times New Roman" w:eastAsia="宋体" w:cs="Times New Roman"/>
                      <w:snapToGrid/>
                      <w:color w:val="auto"/>
                      <w:sz w:val="21"/>
                      <w:szCs w:val="21"/>
                      <w:highlight w:val="none"/>
                    </w:rPr>
                    <w:t>12（格达良乡过境段17m）</w:t>
                  </w:r>
                </w:p>
              </w:tc>
            </w:tr>
            <w:tr w14:paraId="3C39C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13" w:type="pct"/>
                  <w:vMerge w:val="restart"/>
                  <w:tcBorders>
                    <w:tl2br w:val="nil"/>
                    <w:tr2bl w:val="nil"/>
                  </w:tcBorders>
                  <w:shd w:val="clear" w:color="auto" w:fill="auto"/>
                  <w:noWrap/>
                  <w:vAlign w:val="center"/>
                </w:tcPr>
                <w:p w14:paraId="26CE5C9E">
                  <w:pPr>
                    <w:widowControl/>
                    <w:spacing w:line="240" w:lineRule="auto"/>
                    <w:jc w:val="center"/>
                    <w:rPr>
                      <w:rFonts w:hint="default" w:ascii="Times New Roman" w:hAnsi="Times New Roman" w:eastAsia="宋体" w:cs="Times New Roman"/>
                      <w:snapToGrid/>
                      <w:color w:val="auto"/>
                      <w:kern w:val="2"/>
                      <w:sz w:val="21"/>
                      <w:szCs w:val="21"/>
                      <w:highlight w:val="none"/>
                      <w:lang w:val="en-US" w:eastAsia="zh-CN" w:bidi="ar-SA"/>
                    </w:rPr>
                  </w:pPr>
                  <w:r>
                    <w:rPr>
                      <w:rFonts w:hint="default" w:ascii="Times New Roman" w:hAnsi="Times New Roman" w:eastAsia="宋体" w:cs="Times New Roman"/>
                      <w:snapToGrid/>
                      <w:color w:val="auto"/>
                      <w:sz w:val="21"/>
                      <w:szCs w:val="21"/>
                      <w:highlight w:val="none"/>
                    </w:rPr>
                    <w:t>4</w:t>
                  </w:r>
                </w:p>
              </w:tc>
              <w:tc>
                <w:tcPr>
                  <w:tcW w:w="1050" w:type="pct"/>
                  <w:vMerge w:val="restart"/>
                  <w:tcBorders>
                    <w:tl2br w:val="nil"/>
                    <w:tr2bl w:val="nil"/>
                  </w:tcBorders>
                  <w:noWrap/>
                  <w:vAlign w:val="center"/>
                </w:tcPr>
                <w:p w14:paraId="6EA8831E">
                  <w:pPr>
                    <w:widowControl/>
                    <w:spacing w:line="240" w:lineRule="auto"/>
                    <w:jc w:val="center"/>
                    <w:rPr>
                      <w:rFonts w:hint="default" w:ascii="Times New Roman" w:hAnsi="Times New Roman" w:eastAsia="宋体" w:cs="Times New Roman"/>
                      <w:snapToGrid/>
                      <w:color w:val="auto"/>
                      <w:sz w:val="21"/>
                      <w:szCs w:val="21"/>
                      <w:highlight w:val="none"/>
                    </w:rPr>
                  </w:pPr>
                  <w:r>
                    <w:rPr>
                      <w:rFonts w:hint="default" w:ascii="Times New Roman" w:hAnsi="Times New Roman" w:eastAsia="宋体" w:cs="Times New Roman"/>
                      <w:snapToGrid/>
                      <w:color w:val="auto"/>
                      <w:sz w:val="21"/>
                      <w:szCs w:val="21"/>
                      <w:highlight w:val="none"/>
                    </w:rPr>
                    <w:t>圆曲线最小半径</w:t>
                  </w:r>
                </w:p>
              </w:tc>
              <w:tc>
                <w:tcPr>
                  <w:tcW w:w="1484" w:type="pct"/>
                  <w:gridSpan w:val="2"/>
                  <w:tcBorders>
                    <w:tl2br w:val="nil"/>
                    <w:tr2bl w:val="nil"/>
                  </w:tcBorders>
                  <w:noWrap/>
                  <w:vAlign w:val="center"/>
                </w:tcPr>
                <w:p w14:paraId="50C24885">
                  <w:pPr>
                    <w:widowControl/>
                    <w:spacing w:line="240" w:lineRule="auto"/>
                    <w:jc w:val="center"/>
                    <w:rPr>
                      <w:rFonts w:hint="default" w:ascii="Times New Roman" w:hAnsi="Times New Roman" w:eastAsia="宋体" w:cs="Times New Roman"/>
                      <w:snapToGrid/>
                      <w:color w:val="auto"/>
                      <w:sz w:val="21"/>
                      <w:szCs w:val="21"/>
                      <w:highlight w:val="none"/>
                    </w:rPr>
                  </w:pPr>
                  <w:r>
                    <w:rPr>
                      <w:rFonts w:hint="default" w:ascii="Times New Roman" w:hAnsi="Times New Roman" w:eastAsia="宋体" w:cs="Times New Roman"/>
                      <w:snapToGrid/>
                      <w:color w:val="auto"/>
                      <w:sz w:val="21"/>
                      <w:szCs w:val="21"/>
                      <w:highlight w:val="none"/>
                    </w:rPr>
                    <w:t>一般值/极限值</w:t>
                  </w:r>
                </w:p>
              </w:tc>
              <w:tc>
                <w:tcPr>
                  <w:tcW w:w="497" w:type="pct"/>
                  <w:tcBorders>
                    <w:tl2br w:val="nil"/>
                    <w:tr2bl w:val="nil"/>
                  </w:tcBorders>
                  <w:noWrap/>
                  <w:vAlign w:val="center"/>
                </w:tcPr>
                <w:p w14:paraId="401DB0BD">
                  <w:pPr>
                    <w:widowControl/>
                    <w:spacing w:line="240" w:lineRule="auto"/>
                    <w:jc w:val="center"/>
                    <w:rPr>
                      <w:rFonts w:hint="default" w:ascii="Times New Roman" w:hAnsi="Times New Roman" w:eastAsia="宋体" w:cs="Times New Roman"/>
                      <w:snapToGrid/>
                      <w:color w:val="auto"/>
                      <w:sz w:val="21"/>
                      <w:szCs w:val="21"/>
                      <w:highlight w:val="none"/>
                    </w:rPr>
                  </w:pPr>
                  <w:r>
                    <w:rPr>
                      <w:rFonts w:hint="default" w:ascii="Times New Roman" w:hAnsi="Times New Roman" w:eastAsia="宋体" w:cs="Times New Roman"/>
                      <w:snapToGrid/>
                      <w:color w:val="auto"/>
                      <w:sz w:val="21"/>
                      <w:szCs w:val="21"/>
                      <w:highlight w:val="none"/>
                    </w:rPr>
                    <w:t>m</w:t>
                  </w:r>
                </w:p>
              </w:tc>
              <w:tc>
                <w:tcPr>
                  <w:tcW w:w="1554" w:type="pct"/>
                  <w:tcBorders>
                    <w:tl2br w:val="nil"/>
                    <w:tr2bl w:val="nil"/>
                  </w:tcBorders>
                  <w:noWrap/>
                  <w:vAlign w:val="center"/>
                </w:tcPr>
                <w:p w14:paraId="0A76877D">
                  <w:pPr>
                    <w:widowControl/>
                    <w:spacing w:line="240" w:lineRule="auto"/>
                    <w:jc w:val="center"/>
                    <w:rPr>
                      <w:rFonts w:hint="default" w:ascii="Times New Roman" w:hAnsi="Times New Roman" w:eastAsia="宋体" w:cs="Times New Roman"/>
                      <w:snapToGrid/>
                      <w:color w:val="auto"/>
                      <w:sz w:val="21"/>
                      <w:szCs w:val="21"/>
                      <w:highlight w:val="none"/>
                      <w:lang w:val="en-US" w:eastAsia="zh-CN"/>
                    </w:rPr>
                  </w:pPr>
                  <w:r>
                    <w:rPr>
                      <w:rFonts w:hint="default" w:ascii="Times New Roman" w:hAnsi="Times New Roman" w:eastAsia="宋体" w:cs="Times New Roman"/>
                      <w:snapToGrid/>
                      <w:color w:val="auto"/>
                      <w:sz w:val="21"/>
                      <w:szCs w:val="21"/>
                      <w:highlight w:val="none"/>
                    </w:rPr>
                    <w:t>400</w:t>
                  </w:r>
                </w:p>
              </w:tc>
            </w:tr>
            <w:tr w14:paraId="61E64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13" w:type="pct"/>
                  <w:vMerge w:val="continue"/>
                  <w:tcBorders>
                    <w:tl2br w:val="nil"/>
                    <w:tr2bl w:val="nil"/>
                  </w:tcBorders>
                  <w:shd w:val="clear" w:color="auto" w:fill="auto"/>
                  <w:noWrap/>
                  <w:vAlign w:val="center"/>
                </w:tcPr>
                <w:p w14:paraId="49EA04C3">
                  <w:pPr>
                    <w:widowControl/>
                    <w:spacing w:line="240" w:lineRule="auto"/>
                    <w:jc w:val="center"/>
                    <w:rPr>
                      <w:rFonts w:hint="default" w:ascii="Times New Roman" w:hAnsi="Times New Roman" w:eastAsia="宋体" w:cs="Times New Roman"/>
                      <w:snapToGrid/>
                      <w:color w:val="auto"/>
                      <w:kern w:val="2"/>
                      <w:sz w:val="21"/>
                      <w:szCs w:val="21"/>
                      <w:highlight w:val="none"/>
                      <w:lang w:val="en-US" w:eastAsia="zh-CN" w:bidi="ar-SA"/>
                    </w:rPr>
                  </w:pPr>
                </w:p>
              </w:tc>
              <w:tc>
                <w:tcPr>
                  <w:tcW w:w="1050" w:type="pct"/>
                  <w:vMerge w:val="continue"/>
                  <w:tcBorders>
                    <w:tl2br w:val="nil"/>
                    <w:tr2bl w:val="nil"/>
                  </w:tcBorders>
                  <w:noWrap w:val="0"/>
                  <w:vAlign w:val="center"/>
                </w:tcPr>
                <w:p w14:paraId="4B0D1B29">
                  <w:pPr>
                    <w:widowControl/>
                    <w:spacing w:line="240" w:lineRule="auto"/>
                    <w:jc w:val="left"/>
                    <w:rPr>
                      <w:rFonts w:hint="default" w:ascii="Times New Roman" w:hAnsi="Times New Roman" w:eastAsia="宋体" w:cs="Times New Roman"/>
                      <w:snapToGrid/>
                      <w:color w:val="auto"/>
                      <w:sz w:val="21"/>
                      <w:szCs w:val="21"/>
                      <w:highlight w:val="none"/>
                    </w:rPr>
                  </w:pPr>
                </w:p>
              </w:tc>
              <w:tc>
                <w:tcPr>
                  <w:tcW w:w="1484" w:type="pct"/>
                  <w:gridSpan w:val="2"/>
                  <w:tcBorders>
                    <w:tl2br w:val="nil"/>
                    <w:tr2bl w:val="nil"/>
                  </w:tcBorders>
                  <w:noWrap/>
                  <w:vAlign w:val="center"/>
                </w:tcPr>
                <w:p w14:paraId="7BF8B286">
                  <w:pPr>
                    <w:widowControl/>
                    <w:spacing w:line="240" w:lineRule="auto"/>
                    <w:jc w:val="center"/>
                    <w:rPr>
                      <w:rFonts w:hint="default" w:ascii="Times New Roman" w:hAnsi="Times New Roman" w:eastAsia="宋体" w:cs="Times New Roman"/>
                      <w:snapToGrid/>
                      <w:color w:val="auto"/>
                      <w:sz w:val="21"/>
                      <w:szCs w:val="21"/>
                      <w:highlight w:val="none"/>
                    </w:rPr>
                  </w:pPr>
                  <w:r>
                    <w:rPr>
                      <w:rFonts w:hint="default" w:ascii="Times New Roman" w:hAnsi="Times New Roman" w:eastAsia="宋体" w:cs="Times New Roman"/>
                      <w:snapToGrid/>
                      <w:color w:val="auto"/>
                      <w:sz w:val="21"/>
                      <w:szCs w:val="21"/>
                      <w:highlight w:val="none"/>
                    </w:rPr>
                    <w:t>不设超高最小值</w:t>
                  </w:r>
                </w:p>
              </w:tc>
              <w:tc>
                <w:tcPr>
                  <w:tcW w:w="497" w:type="pct"/>
                  <w:tcBorders>
                    <w:tl2br w:val="nil"/>
                    <w:tr2bl w:val="nil"/>
                  </w:tcBorders>
                  <w:noWrap/>
                  <w:vAlign w:val="center"/>
                </w:tcPr>
                <w:p w14:paraId="3903E34B">
                  <w:pPr>
                    <w:widowControl/>
                    <w:spacing w:line="240" w:lineRule="auto"/>
                    <w:jc w:val="center"/>
                    <w:rPr>
                      <w:rFonts w:hint="default" w:ascii="Times New Roman" w:hAnsi="Times New Roman" w:eastAsia="宋体" w:cs="Times New Roman"/>
                      <w:snapToGrid/>
                      <w:color w:val="auto"/>
                      <w:sz w:val="21"/>
                      <w:szCs w:val="21"/>
                      <w:highlight w:val="none"/>
                    </w:rPr>
                  </w:pPr>
                  <w:r>
                    <w:rPr>
                      <w:rFonts w:hint="default" w:ascii="Times New Roman" w:hAnsi="Times New Roman" w:eastAsia="宋体" w:cs="Times New Roman"/>
                      <w:snapToGrid/>
                      <w:color w:val="auto"/>
                      <w:sz w:val="21"/>
                      <w:szCs w:val="21"/>
                      <w:highlight w:val="none"/>
                    </w:rPr>
                    <w:t>m</w:t>
                  </w:r>
                </w:p>
              </w:tc>
              <w:tc>
                <w:tcPr>
                  <w:tcW w:w="1554" w:type="pct"/>
                  <w:tcBorders>
                    <w:tl2br w:val="nil"/>
                    <w:tr2bl w:val="nil"/>
                  </w:tcBorders>
                  <w:noWrap/>
                  <w:vAlign w:val="center"/>
                </w:tcPr>
                <w:p w14:paraId="37D9ED19">
                  <w:pPr>
                    <w:widowControl/>
                    <w:spacing w:line="240" w:lineRule="auto"/>
                    <w:jc w:val="center"/>
                    <w:rPr>
                      <w:rFonts w:hint="default" w:ascii="Times New Roman" w:hAnsi="Times New Roman" w:eastAsia="宋体" w:cs="Times New Roman"/>
                      <w:snapToGrid/>
                      <w:color w:val="auto"/>
                      <w:sz w:val="21"/>
                      <w:szCs w:val="21"/>
                      <w:highlight w:val="none"/>
                    </w:rPr>
                  </w:pPr>
                  <w:r>
                    <w:rPr>
                      <w:rFonts w:hint="default" w:ascii="Times New Roman" w:hAnsi="Times New Roman" w:eastAsia="宋体" w:cs="Times New Roman"/>
                      <w:snapToGrid/>
                      <w:color w:val="auto"/>
                      <w:sz w:val="21"/>
                      <w:szCs w:val="21"/>
                      <w:highlight w:val="none"/>
                    </w:rPr>
                    <w:t>2500</w:t>
                  </w:r>
                </w:p>
              </w:tc>
            </w:tr>
            <w:tr w14:paraId="483E1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13" w:type="pct"/>
                  <w:tcBorders>
                    <w:tl2br w:val="nil"/>
                    <w:tr2bl w:val="nil"/>
                  </w:tcBorders>
                  <w:shd w:val="clear" w:color="auto" w:fill="auto"/>
                  <w:noWrap/>
                  <w:vAlign w:val="center"/>
                </w:tcPr>
                <w:p w14:paraId="3E398DEC">
                  <w:pPr>
                    <w:widowControl/>
                    <w:spacing w:line="240" w:lineRule="auto"/>
                    <w:jc w:val="center"/>
                    <w:rPr>
                      <w:rFonts w:hint="eastAsia" w:ascii="Times New Roman" w:hAnsi="Times New Roman" w:eastAsia="宋体" w:cs="Times New Roman"/>
                      <w:snapToGrid/>
                      <w:color w:val="auto"/>
                      <w:kern w:val="2"/>
                      <w:sz w:val="21"/>
                      <w:szCs w:val="21"/>
                      <w:highlight w:val="none"/>
                      <w:lang w:val="en-US" w:eastAsia="zh-CN" w:bidi="ar-SA"/>
                    </w:rPr>
                  </w:pPr>
                  <w:r>
                    <w:rPr>
                      <w:rFonts w:hint="eastAsia" w:cs="Times New Roman"/>
                      <w:snapToGrid/>
                      <w:color w:val="auto"/>
                      <w:sz w:val="21"/>
                      <w:szCs w:val="21"/>
                      <w:highlight w:val="none"/>
                      <w:lang w:val="en-US" w:eastAsia="zh-CN"/>
                    </w:rPr>
                    <w:t>5</w:t>
                  </w:r>
                </w:p>
              </w:tc>
              <w:tc>
                <w:tcPr>
                  <w:tcW w:w="1050" w:type="pct"/>
                  <w:tcBorders>
                    <w:tl2br w:val="nil"/>
                    <w:tr2bl w:val="nil"/>
                  </w:tcBorders>
                  <w:noWrap/>
                  <w:vAlign w:val="center"/>
                </w:tcPr>
                <w:p w14:paraId="32DC9F26">
                  <w:pPr>
                    <w:widowControl/>
                    <w:spacing w:line="240" w:lineRule="auto"/>
                    <w:jc w:val="center"/>
                    <w:rPr>
                      <w:rFonts w:hint="default" w:ascii="Times New Roman" w:hAnsi="Times New Roman" w:eastAsia="宋体" w:cs="Times New Roman"/>
                      <w:snapToGrid/>
                      <w:color w:val="auto"/>
                      <w:sz w:val="21"/>
                      <w:szCs w:val="21"/>
                      <w:highlight w:val="none"/>
                    </w:rPr>
                  </w:pPr>
                  <w:r>
                    <w:rPr>
                      <w:rFonts w:hint="default" w:ascii="Times New Roman" w:hAnsi="Times New Roman" w:eastAsia="宋体" w:cs="Times New Roman"/>
                      <w:snapToGrid/>
                      <w:color w:val="auto"/>
                      <w:sz w:val="21"/>
                      <w:szCs w:val="21"/>
                      <w:highlight w:val="none"/>
                    </w:rPr>
                    <w:t>平曲线最小长度</w:t>
                  </w:r>
                </w:p>
              </w:tc>
              <w:tc>
                <w:tcPr>
                  <w:tcW w:w="1484" w:type="pct"/>
                  <w:gridSpan w:val="2"/>
                  <w:tcBorders>
                    <w:tl2br w:val="nil"/>
                    <w:tr2bl w:val="nil"/>
                  </w:tcBorders>
                  <w:noWrap/>
                  <w:vAlign w:val="center"/>
                </w:tcPr>
                <w:p w14:paraId="300DBF58">
                  <w:pPr>
                    <w:widowControl/>
                    <w:spacing w:line="240" w:lineRule="auto"/>
                    <w:jc w:val="center"/>
                    <w:rPr>
                      <w:rFonts w:hint="default" w:ascii="Times New Roman" w:hAnsi="Times New Roman" w:eastAsia="宋体" w:cs="Times New Roman"/>
                      <w:snapToGrid/>
                      <w:color w:val="auto"/>
                      <w:sz w:val="21"/>
                      <w:szCs w:val="21"/>
                      <w:highlight w:val="none"/>
                    </w:rPr>
                  </w:pPr>
                  <w:r>
                    <w:rPr>
                      <w:rFonts w:hint="default" w:ascii="Times New Roman" w:hAnsi="Times New Roman" w:eastAsia="宋体" w:cs="Times New Roman"/>
                      <w:snapToGrid/>
                      <w:color w:val="auto"/>
                      <w:sz w:val="21"/>
                      <w:szCs w:val="21"/>
                      <w:highlight w:val="none"/>
                    </w:rPr>
                    <w:t>一般值/极限值</w:t>
                  </w:r>
                </w:p>
              </w:tc>
              <w:tc>
                <w:tcPr>
                  <w:tcW w:w="497" w:type="pct"/>
                  <w:tcBorders>
                    <w:tl2br w:val="nil"/>
                    <w:tr2bl w:val="nil"/>
                  </w:tcBorders>
                  <w:noWrap/>
                  <w:vAlign w:val="center"/>
                </w:tcPr>
                <w:p w14:paraId="72A3F4D3">
                  <w:pPr>
                    <w:widowControl/>
                    <w:spacing w:line="240" w:lineRule="auto"/>
                    <w:jc w:val="center"/>
                    <w:rPr>
                      <w:rFonts w:hint="default" w:ascii="Times New Roman" w:hAnsi="Times New Roman" w:eastAsia="宋体" w:cs="Times New Roman"/>
                      <w:snapToGrid/>
                      <w:color w:val="auto"/>
                      <w:sz w:val="21"/>
                      <w:szCs w:val="21"/>
                      <w:highlight w:val="none"/>
                    </w:rPr>
                  </w:pPr>
                  <w:r>
                    <w:rPr>
                      <w:rFonts w:hint="default" w:ascii="Times New Roman" w:hAnsi="Times New Roman" w:eastAsia="宋体" w:cs="Times New Roman"/>
                      <w:snapToGrid/>
                      <w:color w:val="auto"/>
                      <w:sz w:val="21"/>
                      <w:szCs w:val="21"/>
                      <w:highlight w:val="none"/>
                    </w:rPr>
                    <w:t>m</w:t>
                  </w:r>
                </w:p>
              </w:tc>
              <w:tc>
                <w:tcPr>
                  <w:tcW w:w="1554" w:type="pct"/>
                  <w:tcBorders>
                    <w:tl2br w:val="nil"/>
                    <w:tr2bl w:val="nil"/>
                  </w:tcBorders>
                  <w:noWrap/>
                  <w:vAlign w:val="center"/>
                </w:tcPr>
                <w:p w14:paraId="186372C6">
                  <w:pPr>
                    <w:widowControl/>
                    <w:spacing w:line="240" w:lineRule="auto"/>
                    <w:jc w:val="center"/>
                    <w:rPr>
                      <w:rFonts w:hint="default" w:ascii="Times New Roman" w:hAnsi="Times New Roman" w:eastAsia="宋体" w:cs="Times New Roman"/>
                      <w:snapToGrid/>
                      <w:color w:val="auto"/>
                      <w:sz w:val="21"/>
                      <w:szCs w:val="21"/>
                      <w:highlight w:val="none"/>
                    </w:rPr>
                  </w:pPr>
                  <w:r>
                    <w:rPr>
                      <w:rFonts w:hint="default" w:ascii="Times New Roman" w:hAnsi="Times New Roman" w:eastAsia="宋体" w:cs="Times New Roman"/>
                      <w:snapToGrid/>
                      <w:color w:val="auto"/>
                      <w:sz w:val="21"/>
                      <w:szCs w:val="21"/>
                      <w:highlight w:val="none"/>
                    </w:rPr>
                    <w:t>237.22</w:t>
                  </w:r>
                </w:p>
              </w:tc>
            </w:tr>
            <w:tr w14:paraId="6FBA5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13" w:type="pct"/>
                  <w:tcBorders>
                    <w:tl2br w:val="nil"/>
                    <w:tr2bl w:val="nil"/>
                  </w:tcBorders>
                  <w:shd w:val="clear" w:color="auto" w:fill="auto"/>
                  <w:noWrap/>
                  <w:vAlign w:val="center"/>
                </w:tcPr>
                <w:p w14:paraId="6062876B">
                  <w:pPr>
                    <w:widowControl/>
                    <w:spacing w:line="240" w:lineRule="auto"/>
                    <w:jc w:val="center"/>
                    <w:rPr>
                      <w:rFonts w:hint="eastAsia" w:ascii="Times New Roman" w:hAnsi="Times New Roman" w:eastAsia="宋体" w:cs="Times New Roman"/>
                      <w:snapToGrid/>
                      <w:color w:val="auto"/>
                      <w:kern w:val="2"/>
                      <w:sz w:val="21"/>
                      <w:szCs w:val="21"/>
                      <w:highlight w:val="none"/>
                      <w:lang w:val="en-US" w:eastAsia="zh-CN" w:bidi="ar-SA"/>
                    </w:rPr>
                  </w:pPr>
                  <w:r>
                    <w:rPr>
                      <w:rFonts w:hint="eastAsia" w:cs="Times New Roman"/>
                      <w:snapToGrid/>
                      <w:color w:val="auto"/>
                      <w:sz w:val="21"/>
                      <w:szCs w:val="21"/>
                      <w:highlight w:val="none"/>
                      <w:lang w:val="en-US" w:eastAsia="zh-CN"/>
                    </w:rPr>
                    <w:t>6</w:t>
                  </w:r>
                </w:p>
              </w:tc>
              <w:tc>
                <w:tcPr>
                  <w:tcW w:w="2534" w:type="pct"/>
                  <w:gridSpan w:val="3"/>
                  <w:tcBorders>
                    <w:tl2br w:val="nil"/>
                    <w:tr2bl w:val="nil"/>
                  </w:tcBorders>
                  <w:noWrap/>
                  <w:vAlign w:val="center"/>
                </w:tcPr>
                <w:p w14:paraId="7B14969D">
                  <w:pPr>
                    <w:widowControl/>
                    <w:spacing w:line="240" w:lineRule="auto"/>
                    <w:jc w:val="center"/>
                    <w:rPr>
                      <w:rFonts w:hint="default" w:ascii="Times New Roman" w:hAnsi="Times New Roman" w:eastAsia="宋体" w:cs="Times New Roman"/>
                      <w:snapToGrid/>
                      <w:color w:val="auto"/>
                      <w:sz w:val="21"/>
                      <w:szCs w:val="21"/>
                      <w:highlight w:val="none"/>
                    </w:rPr>
                  </w:pPr>
                  <w:r>
                    <w:rPr>
                      <w:rFonts w:hint="default" w:ascii="Times New Roman" w:hAnsi="Times New Roman" w:eastAsia="宋体" w:cs="Times New Roman"/>
                      <w:snapToGrid/>
                      <w:color w:val="auto"/>
                      <w:sz w:val="21"/>
                      <w:szCs w:val="21"/>
                      <w:highlight w:val="none"/>
                    </w:rPr>
                    <w:t>回旋线最小长度</w:t>
                  </w:r>
                </w:p>
              </w:tc>
              <w:tc>
                <w:tcPr>
                  <w:tcW w:w="497" w:type="pct"/>
                  <w:tcBorders>
                    <w:tl2br w:val="nil"/>
                    <w:tr2bl w:val="nil"/>
                  </w:tcBorders>
                  <w:noWrap/>
                  <w:vAlign w:val="center"/>
                </w:tcPr>
                <w:p w14:paraId="7A1A0E67">
                  <w:pPr>
                    <w:widowControl/>
                    <w:spacing w:line="240" w:lineRule="auto"/>
                    <w:jc w:val="center"/>
                    <w:rPr>
                      <w:rFonts w:hint="default" w:ascii="Times New Roman" w:hAnsi="Times New Roman" w:eastAsia="宋体" w:cs="Times New Roman"/>
                      <w:snapToGrid/>
                      <w:color w:val="auto"/>
                      <w:sz w:val="21"/>
                      <w:szCs w:val="21"/>
                      <w:highlight w:val="none"/>
                    </w:rPr>
                  </w:pPr>
                  <w:r>
                    <w:rPr>
                      <w:rFonts w:hint="default" w:ascii="Times New Roman" w:hAnsi="Times New Roman" w:eastAsia="宋体" w:cs="Times New Roman"/>
                      <w:snapToGrid/>
                      <w:color w:val="auto"/>
                      <w:sz w:val="21"/>
                      <w:szCs w:val="21"/>
                      <w:highlight w:val="none"/>
                    </w:rPr>
                    <w:t>m</w:t>
                  </w:r>
                </w:p>
              </w:tc>
              <w:tc>
                <w:tcPr>
                  <w:tcW w:w="1554" w:type="pct"/>
                  <w:tcBorders>
                    <w:tl2br w:val="nil"/>
                    <w:tr2bl w:val="nil"/>
                  </w:tcBorders>
                  <w:noWrap/>
                  <w:vAlign w:val="center"/>
                </w:tcPr>
                <w:p w14:paraId="09D52E22">
                  <w:pPr>
                    <w:widowControl/>
                    <w:spacing w:line="240" w:lineRule="auto"/>
                    <w:jc w:val="center"/>
                    <w:rPr>
                      <w:rFonts w:hint="default" w:ascii="Times New Roman" w:hAnsi="Times New Roman" w:eastAsia="宋体" w:cs="Times New Roman"/>
                      <w:snapToGrid/>
                      <w:color w:val="auto"/>
                      <w:sz w:val="21"/>
                      <w:szCs w:val="21"/>
                      <w:highlight w:val="none"/>
                    </w:rPr>
                  </w:pPr>
                  <w:r>
                    <w:rPr>
                      <w:rFonts w:hint="default" w:ascii="Times New Roman" w:hAnsi="Times New Roman" w:eastAsia="宋体" w:cs="Times New Roman"/>
                      <w:snapToGrid/>
                      <w:color w:val="auto"/>
                      <w:sz w:val="21"/>
                      <w:szCs w:val="21"/>
                      <w:highlight w:val="none"/>
                    </w:rPr>
                    <w:t>80</w:t>
                  </w:r>
                </w:p>
              </w:tc>
            </w:tr>
            <w:tr w14:paraId="21DFE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13" w:type="pct"/>
                  <w:tcBorders>
                    <w:tl2br w:val="nil"/>
                    <w:tr2bl w:val="nil"/>
                  </w:tcBorders>
                  <w:shd w:val="clear" w:color="auto" w:fill="auto"/>
                  <w:noWrap/>
                  <w:vAlign w:val="center"/>
                </w:tcPr>
                <w:p w14:paraId="4D386C62">
                  <w:pPr>
                    <w:widowControl/>
                    <w:spacing w:line="240" w:lineRule="auto"/>
                    <w:jc w:val="center"/>
                    <w:rPr>
                      <w:rFonts w:hint="eastAsia" w:ascii="Times New Roman" w:hAnsi="Times New Roman" w:eastAsia="宋体" w:cs="Times New Roman"/>
                      <w:snapToGrid/>
                      <w:color w:val="auto"/>
                      <w:kern w:val="2"/>
                      <w:sz w:val="21"/>
                      <w:szCs w:val="21"/>
                      <w:highlight w:val="none"/>
                      <w:lang w:val="en-US" w:eastAsia="zh-CN" w:bidi="ar-SA"/>
                    </w:rPr>
                  </w:pPr>
                  <w:r>
                    <w:rPr>
                      <w:rFonts w:hint="eastAsia" w:cs="Times New Roman"/>
                      <w:snapToGrid/>
                      <w:color w:val="auto"/>
                      <w:sz w:val="21"/>
                      <w:szCs w:val="21"/>
                      <w:highlight w:val="none"/>
                      <w:lang w:val="en-US" w:eastAsia="zh-CN"/>
                    </w:rPr>
                    <w:t>7</w:t>
                  </w:r>
                </w:p>
              </w:tc>
              <w:tc>
                <w:tcPr>
                  <w:tcW w:w="2534" w:type="pct"/>
                  <w:gridSpan w:val="3"/>
                  <w:tcBorders>
                    <w:tl2br w:val="nil"/>
                    <w:tr2bl w:val="nil"/>
                  </w:tcBorders>
                  <w:noWrap/>
                  <w:vAlign w:val="center"/>
                </w:tcPr>
                <w:p w14:paraId="3192F111">
                  <w:pPr>
                    <w:widowControl/>
                    <w:spacing w:line="240" w:lineRule="auto"/>
                    <w:jc w:val="center"/>
                    <w:rPr>
                      <w:rFonts w:hint="default" w:ascii="Times New Roman" w:hAnsi="Times New Roman" w:eastAsia="宋体" w:cs="Times New Roman"/>
                      <w:snapToGrid/>
                      <w:color w:val="auto"/>
                      <w:sz w:val="21"/>
                      <w:szCs w:val="21"/>
                      <w:highlight w:val="none"/>
                    </w:rPr>
                  </w:pPr>
                  <w:r>
                    <w:rPr>
                      <w:rFonts w:hint="default" w:ascii="Times New Roman" w:hAnsi="Times New Roman" w:eastAsia="宋体" w:cs="Times New Roman"/>
                      <w:snapToGrid/>
                      <w:color w:val="auto"/>
                      <w:sz w:val="21"/>
                      <w:szCs w:val="21"/>
                      <w:highlight w:val="none"/>
                    </w:rPr>
                    <w:t>同向曲线间直线段最短长度</w:t>
                  </w:r>
                </w:p>
              </w:tc>
              <w:tc>
                <w:tcPr>
                  <w:tcW w:w="497" w:type="pct"/>
                  <w:tcBorders>
                    <w:tl2br w:val="nil"/>
                    <w:tr2bl w:val="nil"/>
                  </w:tcBorders>
                  <w:noWrap/>
                  <w:vAlign w:val="center"/>
                </w:tcPr>
                <w:p w14:paraId="27FC6471">
                  <w:pPr>
                    <w:widowControl/>
                    <w:spacing w:line="240" w:lineRule="auto"/>
                    <w:jc w:val="center"/>
                    <w:rPr>
                      <w:rFonts w:hint="default" w:ascii="Times New Roman" w:hAnsi="Times New Roman" w:eastAsia="宋体" w:cs="Times New Roman"/>
                      <w:snapToGrid/>
                      <w:color w:val="auto"/>
                      <w:sz w:val="21"/>
                      <w:szCs w:val="21"/>
                      <w:highlight w:val="none"/>
                    </w:rPr>
                  </w:pPr>
                  <w:r>
                    <w:rPr>
                      <w:rFonts w:hint="default" w:ascii="Times New Roman" w:hAnsi="Times New Roman" w:eastAsia="宋体" w:cs="Times New Roman"/>
                      <w:snapToGrid/>
                      <w:color w:val="auto"/>
                      <w:sz w:val="21"/>
                      <w:szCs w:val="21"/>
                      <w:highlight w:val="none"/>
                    </w:rPr>
                    <w:t>m</w:t>
                  </w:r>
                </w:p>
              </w:tc>
              <w:tc>
                <w:tcPr>
                  <w:tcW w:w="1554" w:type="pct"/>
                  <w:tcBorders>
                    <w:tl2br w:val="nil"/>
                    <w:tr2bl w:val="nil"/>
                  </w:tcBorders>
                  <w:noWrap/>
                  <w:vAlign w:val="center"/>
                </w:tcPr>
                <w:p w14:paraId="213927CF">
                  <w:pPr>
                    <w:widowControl/>
                    <w:spacing w:line="240" w:lineRule="auto"/>
                    <w:jc w:val="center"/>
                    <w:rPr>
                      <w:rFonts w:hint="default" w:ascii="Times New Roman" w:hAnsi="Times New Roman" w:eastAsia="宋体" w:cs="Times New Roman"/>
                      <w:snapToGrid/>
                      <w:color w:val="auto"/>
                      <w:sz w:val="21"/>
                      <w:szCs w:val="21"/>
                      <w:highlight w:val="none"/>
                    </w:rPr>
                  </w:pPr>
                  <w:r>
                    <w:rPr>
                      <w:rFonts w:hint="default" w:ascii="Times New Roman" w:hAnsi="Times New Roman" w:eastAsia="宋体" w:cs="Times New Roman"/>
                      <w:snapToGrid/>
                      <w:color w:val="auto"/>
                      <w:sz w:val="21"/>
                      <w:szCs w:val="21"/>
                      <w:highlight w:val="none"/>
                    </w:rPr>
                    <w:t>3</w:t>
                  </w:r>
                  <w:r>
                    <w:rPr>
                      <w:rFonts w:hint="default" w:ascii="Times New Roman" w:hAnsi="Times New Roman" w:eastAsia="宋体" w:cs="Times New Roman"/>
                      <w:snapToGrid/>
                      <w:color w:val="auto"/>
                      <w:sz w:val="21"/>
                      <w:szCs w:val="21"/>
                      <w:highlight w:val="none"/>
                      <w:lang w:val="en-US" w:eastAsia="zh-CN"/>
                    </w:rPr>
                    <w:t>72.797</w:t>
                  </w:r>
                </w:p>
              </w:tc>
            </w:tr>
            <w:tr w14:paraId="12C24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13" w:type="pct"/>
                  <w:tcBorders>
                    <w:tl2br w:val="nil"/>
                    <w:tr2bl w:val="nil"/>
                  </w:tcBorders>
                  <w:shd w:val="clear" w:color="auto" w:fill="auto"/>
                  <w:noWrap/>
                  <w:vAlign w:val="center"/>
                </w:tcPr>
                <w:p w14:paraId="40EC10B7">
                  <w:pPr>
                    <w:widowControl/>
                    <w:spacing w:line="240" w:lineRule="auto"/>
                    <w:jc w:val="center"/>
                    <w:rPr>
                      <w:rFonts w:hint="eastAsia" w:ascii="Times New Roman" w:hAnsi="Times New Roman" w:eastAsia="宋体" w:cs="Times New Roman"/>
                      <w:snapToGrid/>
                      <w:color w:val="auto"/>
                      <w:kern w:val="2"/>
                      <w:sz w:val="21"/>
                      <w:szCs w:val="21"/>
                      <w:highlight w:val="none"/>
                      <w:lang w:val="en-US" w:eastAsia="zh-CN" w:bidi="ar-SA"/>
                    </w:rPr>
                  </w:pPr>
                  <w:r>
                    <w:rPr>
                      <w:rFonts w:hint="eastAsia" w:cs="Times New Roman"/>
                      <w:snapToGrid/>
                      <w:color w:val="auto"/>
                      <w:sz w:val="21"/>
                      <w:szCs w:val="21"/>
                      <w:highlight w:val="none"/>
                      <w:lang w:val="en-US" w:eastAsia="zh-CN"/>
                    </w:rPr>
                    <w:t>8</w:t>
                  </w:r>
                </w:p>
              </w:tc>
              <w:tc>
                <w:tcPr>
                  <w:tcW w:w="2534" w:type="pct"/>
                  <w:gridSpan w:val="3"/>
                  <w:tcBorders>
                    <w:tl2br w:val="nil"/>
                    <w:tr2bl w:val="nil"/>
                  </w:tcBorders>
                  <w:noWrap/>
                  <w:vAlign w:val="center"/>
                </w:tcPr>
                <w:p w14:paraId="4D95D14B">
                  <w:pPr>
                    <w:widowControl/>
                    <w:spacing w:line="240" w:lineRule="auto"/>
                    <w:jc w:val="center"/>
                    <w:rPr>
                      <w:rFonts w:hint="default" w:ascii="Times New Roman" w:hAnsi="Times New Roman" w:eastAsia="宋体" w:cs="Times New Roman"/>
                      <w:snapToGrid/>
                      <w:color w:val="auto"/>
                      <w:sz w:val="21"/>
                      <w:szCs w:val="21"/>
                      <w:highlight w:val="none"/>
                    </w:rPr>
                  </w:pPr>
                  <w:r>
                    <w:rPr>
                      <w:rFonts w:hint="default" w:ascii="Times New Roman" w:hAnsi="Times New Roman" w:eastAsia="宋体" w:cs="Times New Roman"/>
                      <w:snapToGrid/>
                      <w:color w:val="auto"/>
                      <w:sz w:val="21"/>
                      <w:szCs w:val="21"/>
                      <w:highlight w:val="none"/>
                    </w:rPr>
                    <w:t>反向曲线间直线段最短长度</w:t>
                  </w:r>
                </w:p>
              </w:tc>
              <w:tc>
                <w:tcPr>
                  <w:tcW w:w="497" w:type="pct"/>
                  <w:tcBorders>
                    <w:tl2br w:val="nil"/>
                    <w:tr2bl w:val="nil"/>
                  </w:tcBorders>
                  <w:noWrap/>
                  <w:vAlign w:val="center"/>
                </w:tcPr>
                <w:p w14:paraId="10DEA387">
                  <w:pPr>
                    <w:widowControl/>
                    <w:spacing w:line="240" w:lineRule="auto"/>
                    <w:jc w:val="center"/>
                    <w:rPr>
                      <w:rFonts w:hint="default" w:ascii="Times New Roman" w:hAnsi="Times New Roman" w:eastAsia="宋体" w:cs="Times New Roman"/>
                      <w:snapToGrid/>
                      <w:color w:val="auto"/>
                      <w:sz w:val="21"/>
                      <w:szCs w:val="21"/>
                      <w:highlight w:val="none"/>
                    </w:rPr>
                  </w:pPr>
                  <w:r>
                    <w:rPr>
                      <w:rFonts w:hint="default" w:ascii="Times New Roman" w:hAnsi="Times New Roman" w:eastAsia="宋体" w:cs="Times New Roman"/>
                      <w:snapToGrid/>
                      <w:color w:val="auto"/>
                      <w:sz w:val="21"/>
                      <w:szCs w:val="21"/>
                      <w:highlight w:val="none"/>
                    </w:rPr>
                    <w:t>m</w:t>
                  </w:r>
                </w:p>
              </w:tc>
              <w:tc>
                <w:tcPr>
                  <w:tcW w:w="1554" w:type="pct"/>
                  <w:tcBorders>
                    <w:tl2br w:val="nil"/>
                    <w:tr2bl w:val="nil"/>
                  </w:tcBorders>
                  <w:noWrap/>
                  <w:vAlign w:val="center"/>
                </w:tcPr>
                <w:p w14:paraId="7F22163B">
                  <w:pPr>
                    <w:widowControl/>
                    <w:spacing w:line="240" w:lineRule="auto"/>
                    <w:jc w:val="center"/>
                    <w:rPr>
                      <w:rFonts w:hint="default" w:ascii="Times New Roman" w:hAnsi="Times New Roman" w:eastAsia="宋体" w:cs="Times New Roman"/>
                      <w:snapToGrid/>
                      <w:color w:val="auto"/>
                      <w:sz w:val="21"/>
                      <w:szCs w:val="21"/>
                      <w:highlight w:val="none"/>
                    </w:rPr>
                  </w:pPr>
                  <w:r>
                    <w:rPr>
                      <w:rFonts w:hint="default" w:ascii="Times New Roman" w:hAnsi="Times New Roman" w:eastAsia="宋体" w:cs="Times New Roman"/>
                      <w:snapToGrid/>
                      <w:color w:val="auto"/>
                      <w:sz w:val="21"/>
                      <w:szCs w:val="21"/>
                      <w:highlight w:val="none"/>
                    </w:rPr>
                    <w:t>12</w:t>
                  </w:r>
                  <w:r>
                    <w:rPr>
                      <w:rFonts w:hint="default" w:ascii="Times New Roman" w:hAnsi="Times New Roman" w:eastAsia="宋体" w:cs="Times New Roman"/>
                      <w:snapToGrid/>
                      <w:color w:val="auto"/>
                      <w:sz w:val="21"/>
                      <w:szCs w:val="21"/>
                      <w:highlight w:val="none"/>
                      <w:lang w:val="en-US" w:eastAsia="zh-CN"/>
                    </w:rPr>
                    <w:t>5.549</w:t>
                  </w:r>
                </w:p>
              </w:tc>
            </w:tr>
            <w:tr w14:paraId="32CFD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13" w:type="pct"/>
                  <w:tcBorders>
                    <w:tl2br w:val="nil"/>
                    <w:tr2bl w:val="nil"/>
                  </w:tcBorders>
                  <w:shd w:val="clear" w:color="auto" w:fill="auto"/>
                  <w:noWrap/>
                  <w:vAlign w:val="center"/>
                </w:tcPr>
                <w:p w14:paraId="10F783B0">
                  <w:pPr>
                    <w:widowControl/>
                    <w:spacing w:line="240" w:lineRule="auto"/>
                    <w:jc w:val="center"/>
                    <w:rPr>
                      <w:rFonts w:hint="eastAsia" w:ascii="Times New Roman" w:hAnsi="Times New Roman" w:eastAsia="宋体" w:cs="Times New Roman"/>
                      <w:snapToGrid/>
                      <w:color w:val="auto"/>
                      <w:kern w:val="2"/>
                      <w:sz w:val="21"/>
                      <w:szCs w:val="21"/>
                      <w:highlight w:val="none"/>
                      <w:lang w:val="en-US" w:eastAsia="zh-CN" w:bidi="ar-SA"/>
                    </w:rPr>
                  </w:pPr>
                  <w:r>
                    <w:rPr>
                      <w:rFonts w:hint="eastAsia" w:cs="Times New Roman"/>
                      <w:snapToGrid/>
                      <w:color w:val="auto"/>
                      <w:sz w:val="21"/>
                      <w:szCs w:val="21"/>
                      <w:highlight w:val="none"/>
                      <w:lang w:val="en-US" w:eastAsia="zh-CN"/>
                    </w:rPr>
                    <w:t>9</w:t>
                  </w:r>
                </w:p>
              </w:tc>
              <w:tc>
                <w:tcPr>
                  <w:tcW w:w="2534" w:type="pct"/>
                  <w:gridSpan w:val="3"/>
                  <w:tcBorders>
                    <w:tl2br w:val="nil"/>
                    <w:tr2bl w:val="nil"/>
                  </w:tcBorders>
                  <w:noWrap/>
                  <w:vAlign w:val="center"/>
                </w:tcPr>
                <w:p w14:paraId="30321073">
                  <w:pPr>
                    <w:widowControl/>
                    <w:spacing w:line="240" w:lineRule="auto"/>
                    <w:jc w:val="center"/>
                    <w:rPr>
                      <w:rFonts w:hint="default" w:ascii="Times New Roman" w:hAnsi="Times New Roman" w:eastAsia="宋体" w:cs="Times New Roman"/>
                      <w:snapToGrid/>
                      <w:color w:val="auto"/>
                      <w:sz w:val="21"/>
                      <w:szCs w:val="21"/>
                      <w:highlight w:val="none"/>
                    </w:rPr>
                  </w:pPr>
                  <w:r>
                    <w:rPr>
                      <w:rFonts w:hint="default" w:ascii="Times New Roman" w:hAnsi="Times New Roman" w:eastAsia="宋体" w:cs="Times New Roman"/>
                      <w:snapToGrid/>
                      <w:color w:val="auto"/>
                      <w:sz w:val="21"/>
                      <w:szCs w:val="21"/>
                      <w:highlight w:val="none"/>
                    </w:rPr>
                    <w:t>最大纵坡</w:t>
                  </w:r>
                </w:p>
              </w:tc>
              <w:tc>
                <w:tcPr>
                  <w:tcW w:w="497" w:type="pct"/>
                  <w:tcBorders>
                    <w:tl2br w:val="nil"/>
                    <w:tr2bl w:val="nil"/>
                  </w:tcBorders>
                  <w:noWrap/>
                  <w:vAlign w:val="center"/>
                </w:tcPr>
                <w:p w14:paraId="0C866569">
                  <w:pPr>
                    <w:widowControl/>
                    <w:spacing w:line="240" w:lineRule="auto"/>
                    <w:jc w:val="center"/>
                    <w:rPr>
                      <w:rFonts w:hint="default" w:ascii="Times New Roman" w:hAnsi="Times New Roman" w:eastAsia="宋体" w:cs="Times New Roman"/>
                      <w:snapToGrid/>
                      <w:color w:val="auto"/>
                      <w:sz w:val="21"/>
                      <w:szCs w:val="21"/>
                      <w:highlight w:val="none"/>
                    </w:rPr>
                  </w:pPr>
                  <w:r>
                    <w:rPr>
                      <w:rFonts w:hint="default" w:ascii="Times New Roman" w:hAnsi="Times New Roman" w:eastAsia="宋体" w:cs="Times New Roman"/>
                      <w:snapToGrid/>
                      <w:color w:val="auto"/>
                      <w:sz w:val="21"/>
                      <w:szCs w:val="21"/>
                      <w:highlight w:val="none"/>
                    </w:rPr>
                    <w:t>%</w:t>
                  </w:r>
                </w:p>
              </w:tc>
              <w:tc>
                <w:tcPr>
                  <w:tcW w:w="1554" w:type="pct"/>
                  <w:tcBorders>
                    <w:tl2br w:val="nil"/>
                    <w:tr2bl w:val="nil"/>
                  </w:tcBorders>
                  <w:noWrap/>
                  <w:vAlign w:val="center"/>
                </w:tcPr>
                <w:p w14:paraId="49B09E6D">
                  <w:pPr>
                    <w:widowControl/>
                    <w:spacing w:line="240" w:lineRule="auto"/>
                    <w:jc w:val="center"/>
                    <w:rPr>
                      <w:rFonts w:hint="default" w:ascii="Times New Roman" w:hAnsi="Times New Roman" w:eastAsia="宋体" w:cs="Times New Roman"/>
                      <w:snapToGrid/>
                      <w:color w:val="auto"/>
                      <w:sz w:val="21"/>
                      <w:szCs w:val="21"/>
                      <w:highlight w:val="none"/>
                    </w:rPr>
                  </w:pPr>
                  <w:r>
                    <w:rPr>
                      <w:rFonts w:hint="default" w:ascii="Times New Roman" w:hAnsi="Times New Roman" w:eastAsia="宋体" w:cs="Times New Roman"/>
                      <w:snapToGrid/>
                      <w:color w:val="auto"/>
                      <w:sz w:val="21"/>
                      <w:szCs w:val="21"/>
                      <w:highlight w:val="none"/>
                    </w:rPr>
                    <w:t>3</w:t>
                  </w:r>
                </w:p>
              </w:tc>
            </w:tr>
            <w:tr w14:paraId="5B69E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13" w:type="pct"/>
                  <w:tcBorders>
                    <w:tl2br w:val="nil"/>
                    <w:tr2bl w:val="nil"/>
                  </w:tcBorders>
                  <w:shd w:val="clear" w:color="auto" w:fill="auto"/>
                  <w:noWrap/>
                  <w:vAlign w:val="center"/>
                </w:tcPr>
                <w:p w14:paraId="24A76232">
                  <w:pPr>
                    <w:widowControl/>
                    <w:spacing w:line="240" w:lineRule="auto"/>
                    <w:jc w:val="center"/>
                    <w:rPr>
                      <w:rFonts w:hint="eastAsia" w:ascii="Times New Roman" w:hAnsi="Times New Roman" w:eastAsia="宋体" w:cs="Times New Roman"/>
                      <w:snapToGrid/>
                      <w:color w:val="auto"/>
                      <w:kern w:val="2"/>
                      <w:sz w:val="21"/>
                      <w:szCs w:val="21"/>
                      <w:highlight w:val="none"/>
                      <w:lang w:val="en-US" w:eastAsia="zh-CN" w:bidi="ar-SA"/>
                    </w:rPr>
                  </w:pPr>
                  <w:r>
                    <w:rPr>
                      <w:rFonts w:hint="default" w:ascii="Times New Roman" w:hAnsi="Times New Roman" w:eastAsia="宋体" w:cs="Times New Roman"/>
                      <w:snapToGrid/>
                      <w:color w:val="auto"/>
                      <w:sz w:val="21"/>
                      <w:szCs w:val="21"/>
                      <w:highlight w:val="none"/>
                    </w:rPr>
                    <w:t>1</w:t>
                  </w:r>
                  <w:r>
                    <w:rPr>
                      <w:rFonts w:hint="eastAsia" w:cs="Times New Roman"/>
                      <w:snapToGrid/>
                      <w:color w:val="auto"/>
                      <w:sz w:val="21"/>
                      <w:szCs w:val="21"/>
                      <w:highlight w:val="none"/>
                      <w:lang w:val="en-US" w:eastAsia="zh-CN"/>
                    </w:rPr>
                    <w:t>0</w:t>
                  </w:r>
                </w:p>
              </w:tc>
              <w:tc>
                <w:tcPr>
                  <w:tcW w:w="2534" w:type="pct"/>
                  <w:gridSpan w:val="3"/>
                  <w:tcBorders>
                    <w:tl2br w:val="nil"/>
                    <w:tr2bl w:val="nil"/>
                  </w:tcBorders>
                  <w:noWrap/>
                  <w:vAlign w:val="center"/>
                </w:tcPr>
                <w:p w14:paraId="06BB190E">
                  <w:pPr>
                    <w:widowControl/>
                    <w:spacing w:line="240" w:lineRule="auto"/>
                    <w:jc w:val="center"/>
                    <w:rPr>
                      <w:rFonts w:hint="default" w:ascii="Times New Roman" w:hAnsi="Times New Roman" w:eastAsia="宋体" w:cs="Times New Roman"/>
                      <w:snapToGrid/>
                      <w:color w:val="auto"/>
                      <w:sz w:val="21"/>
                      <w:szCs w:val="21"/>
                      <w:highlight w:val="none"/>
                    </w:rPr>
                  </w:pPr>
                  <w:r>
                    <w:rPr>
                      <w:rFonts w:hint="default" w:ascii="Times New Roman" w:hAnsi="Times New Roman" w:eastAsia="宋体" w:cs="Times New Roman"/>
                      <w:snapToGrid/>
                      <w:color w:val="auto"/>
                      <w:sz w:val="21"/>
                      <w:szCs w:val="21"/>
                      <w:highlight w:val="none"/>
                    </w:rPr>
                    <w:t>最小坡长</w:t>
                  </w:r>
                </w:p>
              </w:tc>
              <w:tc>
                <w:tcPr>
                  <w:tcW w:w="497" w:type="pct"/>
                  <w:tcBorders>
                    <w:tl2br w:val="nil"/>
                    <w:tr2bl w:val="nil"/>
                  </w:tcBorders>
                  <w:noWrap/>
                  <w:vAlign w:val="center"/>
                </w:tcPr>
                <w:p w14:paraId="26BC0D66">
                  <w:pPr>
                    <w:widowControl/>
                    <w:spacing w:line="240" w:lineRule="auto"/>
                    <w:jc w:val="center"/>
                    <w:rPr>
                      <w:rFonts w:hint="default" w:ascii="Times New Roman" w:hAnsi="Times New Roman" w:eastAsia="宋体" w:cs="Times New Roman"/>
                      <w:snapToGrid/>
                      <w:color w:val="auto"/>
                      <w:sz w:val="21"/>
                      <w:szCs w:val="21"/>
                      <w:highlight w:val="none"/>
                    </w:rPr>
                  </w:pPr>
                  <w:r>
                    <w:rPr>
                      <w:rFonts w:hint="default" w:ascii="Times New Roman" w:hAnsi="Times New Roman" w:eastAsia="宋体" w:cs="Times New Roman"/>
                      <w:snapToGrid/>
                      <w:color w:val="auto"/>
                      <w:sz w:val="21"/>
                      <w:szCs w:val="21"/>
                      <w:highlight w:val="none"/>
                    </w:rPr>
                    <w:t>m</w:t>
                  </w:r>
                </w:p>
              </w:tc>
              <w:tc>
                <w:tcPr>
                  <w:tcW w:w="1554" w:type="pct"/>
                  <w:tcBorders>
                    <w:tl2br w:val="nil"/>
                    <w:tr2bl w:val="nil"/>
                  </w:tcBorders>
                  <w:noWrap/>
                  <w:vAlign w:val="center"/>
                </w:tcPr>
                <w:p w14:paraId="25591469">
                  <w:pPr>
                    <w:widowControl/>
                    <w:spacing w:line="240" w:lineRule="auto"/>
                    <w:jc w:val="center"/>
                    <w:rPr>
                      <w:rFonts w:hint="default" w:ascii="Times New Roman" w:hAnsi="Times New Roman" w:eastAsia="宋体" w:cs="Times New Roman"/>
                      <w:snapToGrid/>
                      <w:color w:val="auto"/>
                      <w:sz w:val="21"/>
                      <w:szCs w:val="21"/>
                      <w:highlight w:val="none"/>
                    </w:rPr>
                  </w:pPr>
                  <w:r>
                    <w:rPr>
                      <w:rFonts w:hint="default" w:ascii="Times New Roman" w:hAnsi="Times New Roman" w:eastAsia="宋体" w:cs="Times New Roman"/>
                      <w:snapToGrid/>
                      <w:color w:val="auto"/>
                      <w:sz w:val="21"/>
                      <w:szCs w:val="21"/>
                      <w:highlight w:val="none"/>
                    </w:rPr>
                    <w:t>200</w:t>
                  </w:r>
                </w:p>
              </w:tc>
            </w:tr>
            <w:tr w14:paraId="2C279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13" w:type="pct"/>
                  <w:vMerge w:val="restart"/>
                  <w:tcBorders>
                    <w:tl2br w:val="nil"/>
                    <w:tr2bl w:val="nil"/>
                  </w:tcBorders>
                  <w:shd w:val="clear" w:color="auto" w:fill="auto"/>
                  <w:noWrap/>
                  <w:vAlign w:val="center"/>
                </w:tcPr>
                <w:p w14:paraId="4B3EADEF">
                  <w:pPr>
                    <w:widowControl/>
                    <w:spacing w:line="240" w:lineRule="auto"/>
                    <w:jc w:val="center"/>
                    <w:rPr>
                      <w:rFonts w:hint="eastAsia" w:ascii="Times New Roman" w:hAnsi="Times New Roman" w:eastAsia="宋体" w:cs="Times New Roman"/>
                      <w:snapToGrid/>
                      <w:color w:val="auto"/>
                      <w:kern w:val="2"/>
                      <w:sz w:val="21"/>
                      <w:szCs w:val="21"/>
                      <w:highlight w:val="none"/>
                      <w:lang w:val="en-US" w:eastAsia="zh-CN" w:bidi="ar-SA"/>
                    </w:rPr>
                  </w:pPr>
                  <w:r>
                    <w:rPr>
                      <w:rFonts w:hint="default" w:ascii="Times New Roman" w:hAnsi="Times New Roman" w:eastAsia="宋体" w:cs="Times New Roman"/>
                      <w:snapToGrid/>
                      <w:color w:val="auto"/>
                      <w:sz w:val="21"/>
                      <w:szCs w:val="21"/>
                      <w:highlight w:val="none"/>
                    </w:rPr>
                    <w:t>1</w:t>
                  </w:r>
                  <w:r>
                    <w:rPr>
                      <w:rFonts w:hint="eastAsia" w:cs="Times New Roman"/>
                      <w:snapToGrid/>
                      <w:color w:val="auto"/>
                      <w:sz w:val="21"/>
                      <w:szCs w:val="21"/>
                      <w:highlight w:val="none"/>
                      <w:lang w:val="en-US" w:eastAsia="zh-CN"/>
                    </w:rPr>
                    <w:t>1</w:t>
                  </w:r>
                </w:p>
              </w:tc>
              <w:tc>
                <w:tcPr>
                  <w:tcW w:w="1050" w:type="pct"/>
                  <w:vMerge w:val="restart"/>
                  <w:tcBorders>
                    <w:tl2br w:val="nil"/>
                    <w:tr2bl w:val="nil"/>
                  </w:tcBorders>
                  <w:noWrap/>
                  <w:vAlign w:val="center"/>
                </w:tcPr>
                <w:p w14:paraId="488A3671">
                  <w:pPr>
                    <w:widowControl/>
                    <w:spacing w:line="240" w:lineRule="auto"/>
                    <w:jc w:val="center"/>
                    <w:rPr>
                      <w:rFonts w:hint="default" w:ascii="Times New Roman" w:hAnsi="Times New Roman" w:eastAsia="宋体" w:cs="Times New Roman"/>
                      <w:snapToGrid/>
                      <w:color w:val="auto"/>
                      <w:sz w:val="21"/>
                      <w:szCs w:val="21"/>
                      <w:highlight w:val="none"/>
                    </w:rPr>
                  </w:pPr>
                  <w:r>
                    <w:rPr>
                      <w:rFonts w:hint="default" w:ascii="Times New Roman" w:hAnsi="Times New Roman" w:eastAsia="宋体" w:cs="Times New Roman"/>
                      <w:snapToGrid/>
                      <w:color w:val="auto"/>
                      <w:sz w:val="21"/>
                      <w:szCs w:val="21"/>
                      <w:highlight w:val="none"/>
                    </w:rPr>
                    <w:t>竖曲线最小半径</w:t>
                  </w:r>
                </w:p>
              </w:tc>
              <w:tc>
                <w:tcPr>
                  <w:tcW w:w="488" w:type="pct"/>
                  <w:tcBorders>
                    <w:tl2br w:val="nil"/>
                    <w:tr2bl w:val="nil"/>
                  </w:tcBorders>
                  <w:noWrap/>
                  <w:vAlign w:val="center"/>
                </w:tcPr>
                <w:p w14:paraId="2DEC0E77">
                  <w:pPr>
                    <w:widowControl/>
                    <w:spacing w:line="240" w:lineRule="auto"/>
                    <w:jc w:val="center"/>
                    <w:rPr>
                      <w:rFonts w:hint="default" w:ascii="Times New Roman" w:hAnsi="Times New Roman" w:eastAsia="宋体" w:cs="Times New Roman"/>
                      <w:snapToGrid/>
                      <w:color w:val="auto"/>
                      <w:sz w:val="21"/>
                      <w:szCs w:val="21"/>
                      <w:highlight w:val="none"/>
                    </w:rPr>
                  </w:pPr>
                  <w:r>
                    <w:rPr>
                      <w:rFonts w:hint="default" w:ascii="Times New Roman" w:hAnsi="Times New Roman" w:eastAsia="宋体" w:cs="Times New Roman"/>
                      <w:snapToGrid/>
                      <w:color w:val="auto"/>
                      <w:sz w:val="21"/>
                      <w:szCs w:val="21"/>
                      <w:highlight w:val="none"/>
                    </w:rPr>
                    <w:t>凸型</w:t>
                  </w:r>
                </w:p>
              </w:tc>
              <w:tc>
                <w:tcPr>
                  <w:tcW w:w="995" w:type="pct"/>
                  <w:tcBorders>
                    <w:tl2br w:val="nil"/>
                    <w:tr2bl w:val="nil"/>
                  </w:tcBorders>
                  <w:noWrap/>
                  <w:vAlign w:val="center"/>
                </w:tcPr>
                <w:p w14:paraId="3244DB81">
                  <w:pPr>
                    <w:widowControl/>
                    <w:spacing w:line="240" w:lineRule="auto"/>
                    <w:jc w:val="left"/>
                    <w:rPr>
                      <w:rFonts w:hint="default" w:ascii="Times New Roman" w:hAnsi="Times New Roman" w:eastAsia="宋体" w:cs="Times New Roman"/>
                      <w:snapToGrid/>
                      <w:color w:val="auto"/>
                      <w:sz w:val="21"/>
                      <w:szCs w:val="21"/>
                      <w:highlight w:val="none"/>
                    </w:rPr>
                  </w:pPr>
                  <w:r>
                    <w:rPr>
                      <w:rFonts w:hint="default" w:ascii="Times New Roman" w:hAnsi="Times New Roman" w:eastAsia="宋体" w:cs="Times New Roman"/>
                      <w:snapToGrid/>
                      <w:color w:val="auto"/>
                      <w:sz w:val="21"/>
                      <w:szCs w:val="21"/>
                      <w:highlight w:val="none"/>
                    </w:rPr>
                    <w:t>一般值/极限值</w:t>
                  </w:r>
                </w:p>
              </w:tc>
              <w:tc>
                <w:tcPr>
                  <w:tcW w:w="497" w:type="pct"/>
                  <w:tcBorders>
                    <w:tl2br w:val="nil"/>
                    <w:tr2bl w:val="nil"/>
                  </w:tcBorders>
                  <w:noWrap/>
                  <w:vAlign w:val="center"/>
                </w:tcPr>
                <w:p w14:paraId="12A88C3D">
                  <w:pPr>
                    <w:widowControl/>
                    <w:spacing w:line="240" w:lineRule="auto"/>
                    <w:jc w:val="center"/>
                    <w:rPr>
                      <w:rFonts w:hint="default" w:ascii="Times New Roman" w:hAnsi="Times New Roman" w:eastAsia="宋体" w:cs="Times New Roman"/>
                      <w:snapToGrid/>
                      <w:color w:val="auto"/>
                      <w:sz w:val="21"/>
                      <w:szCs w:val="21"/>
                      <w:highlight w:val="none"/>
                    </w:rPr>
                  </w:pPr>
                  <w:r>
                    <w:rPr>
                      <w:rFonts w:hint="default" w:ascii="Times New Roman" w:hAnsi="Times New Roman" w:eastAsia="宋体" w:cs="Times New Roman"/>
                      <w:snapToGrid/>
                      <w:color w:val="auto"/>
                      <w:sz w:val="21"/>
                      <w:szCs w:val="21"/>
                      <w:highlight w:val="none"/>
                    </w:rPr>
                    <w:t>m</w:t>
                  </w:r>
                </w:p>
              </w:tc>
              <w:tc>
                <w:tcPr>
                  <w:tcW w:w="1554" w:type="pct"/>
                  <w:tcBorders>
                    <w:tl2br w:val="nil"/>
                    <w:tr2bl w:val="nil"/>
                  </w:tcBorders>
                  <w:noWrap/>
                  <w:vAlign w:val="center"/>
                </w:tcPr>
                <w:p w14:paraId="119F1F63">
                  <w:pPr>
                    <w:widowControl/>
                    <w:spacing w:line="240" w:lineRule="auto"/>
                    <w:jc w:val="center"/>
                    <w:rPr>
                      <w:rFonts w:hint="default" w:ascii="Times New Roman" w:hAnsi="Times New Roman" w:eastAsia="宋体" w:cs="Times New Roman"/>
                      <w:snapToGrid/>
                      <w:color w:val="auto"/>
                      <w:sz w:val="21"/>
                      <w:szCs w:val="21"/>
                      <w:highlight w:val="none"/>
                    </w:rPr>
                  </w:pPr>
                  <w:r>
                    <w:rPr>
                      <w:rFonts w:hint="default" w:ascii="Times New Roman" w:hAnsi="Times New Roman" w:eastAsia="宋体" w:cs="Times New Roman"/>
                      <w:snapToGrid/>
                      <w:color w:val="auto"/>
                      <w:sz w:val="21"/>
                      <w:szCs w:val="21"/>
                      <w:highlight w:val="none"/>
                    </w:rPr>
                    <w:t>4400</w:t>
                  </w:r>
                </w:p>
              </w:tc>
            </w:tr>
            <w:tr w14:paraId="2E3AC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13" w:type="pct"/>
                  <w:vMerge w:val="continue"/>
                  <w:tcBorders>
                    <w:tl2br w:val="nil"/>
                    <w:tr2bl w:val="nil"/>
                  </w:tcBorders>
                  <w:shd w:val="clear" w:color="auto" w:fill="auto"/>
                  <w:noWrap/>
                  <w:vAlign w:val="center"/>
                </w:tcPr>
                <w:p w14:paraId="13967FCE">
                  <w:pPr>
                    <w:widowControl/>
                    <w:spacing w:line="240" w:lineRule="auto"/>
                    <w:jc w:val="center"/>
                    <w:rPr>
                      <w:rFonts w:hint="default" w:ascii="Times New Roman" w:hAnsi="Times New Roman" w:eastAsia="宋体" w:cs="Times New Roman"/>
                      <w:snapToGrid/>
                      <w:color w:val="auto"/>
                      <w:kern w:val="2"/>
                      <w:sz w:val="21"/>
                      <w:szCs w:val="21"/>
                      <w:highlight w:val="none"/>
                      <w:lang w:val="en-US" w:eastAsia="zh-CN" w:bidi="ar-SA"/>
                    </w:rPr>
                  </w:pPr>
                </w:p>
              </w:tc>
              <w:tc>
                <w:tcPr>
                  <w:tcW w:w="1050" w:type="pct"/>
                  <w:vMerge w:val="continue"/>
                  <w:tcBorders>
                    <w:tl2br w:val="nil"/>
                    <w:tr2bl w:val="nil"/>
                  </w:tcBorders>
                  <w:noWrap w:val="0"/>
                  <w:vAlign w:val="center"/>
                </w:tcPr>
                <w:p w14:paraId="60D3B826">
                  <w:pPr>
                    <w:widowControl/>
                    <w:spacing w:line="240" w:lineRule="auto"/>
                    <w:jc w:val="left"/>
                    <w:rPr>
                      <w:rFonts w:hint="default" w:ascii="Times New Roman" w:hAnsi="Times New Roman" w:eastAsia="宋体" w:cs="Times New Roman"/>
                      <w:snapToGrid/>
                      <w:color w:val="auto"/>
                      <w:sz w:val="21"/>
                      <w:szCs w:val="21"/>
                      <w:highlight w:val="none"/>
                    </w:rPr>
                  </w:pPr>
                </w:p>
              </w:tc>
              <w:tc>
                <w:tcPr>
                  <w:tcW w:w="488" w:type="pct"/>
                  <w:tcBorders>
                    <w:tl2br w:val="nil"/>
                    <w:tr2bl w:val="nil"/>
                  </w:tcBorders>
                  <w:noWrap/>
                  <w:vAlign w:val="center"/>
                </w:tcPr>
                <w:p w14:paraId="6193A068">
                  <w:pPr>
                    <w:widowControl/>
                    <w:spacing w:line="240" w:lineRule="auto"/>
                    <w:jc w:val="center"/>
                    <w:rPr>
                      <w:rFonts w:hint="default" w:ascii="Times New Roman" w:hAnsi="Times New Roman" w:eastAsia="宋体" w:cs="Times New Roman"/>
                      <w:snapToGrid/>
                      <w:color w:val="auto"/>
                      <w:sz w:val="21"/>
                      <w:szCs w:val="21"/>
                      <w:highlight w:val="none"/>
                    </w:rPr>
                  </w:pPr>
                  <w:r>
                    <w:rPr>
                      <w:rFonts w:hint="default" w:ascii="Times New Roman" w:hAnsi="Times New Roman" w:eastAsia="宋体" w:cs="Times New Roman"/>
                      <w:snapToGrid/>
                      <w:color w:val="auto"/>
                      <w:sz w:val="21"/>
                      <w:szCs w:val="21"/>
                      <w:highlight w:val="none"/>
                    </w:rPr>
                    <w:t>凹形</w:t>
                  </w:r>
                </w:p>
              </w:tc>
              <w:tc>
                <w:tcPr>
                  <w:tcW w:w="995" w:type="pct"/>
                  <w:tcBorders>
                    <w:tl2br w:val="nil"/>
                    <w:tr2bl w:val="nil"/>
                  </w:tcBorders>
                  <w:noWrap/>
                  <w:vAlign w:val="center"/>
                </w:tcPr>
                <w:p w14:paraId="48237510">
                  <w:pPr>
                    <w:widowControl/>
                    <w:spacing w:line="240" w:lineRule="auto"/>
                    <w:jc w:val="left"/>
                    <w:rPr>
                      <w:rFonts w:hint="default" w:ascii="Times New Roman" w:hAnsi="Times New Roman" w:eastAsia="宋体" w:cs="Times New Roman"/>
                      <w:snapToGrid/>
                      <w:color w:val="auto"/>
                      <w:sz w:val="21"/>
                      <w:szCs w:val="21"/>
                      <w:highlight w:val="none"/>
                    </w:rPr>
                  </w:pPr>
                  <w:r>
                    <w:rPr>
                      <w:rFonts w:hint="default" w:ascii="Times New Roman" w:hAnsi="Times New Roman" w:eastAsia="宋体" w:cs="Times New Roman"/>
                      <w:snapToGrid/>
                      <w:color w:val="auto"/>
                      <w:sz w:val="21"/>
                      <w:szCs w:val="21"/>
                      <w:highlight w:val="none"/>
                    </w:rPr>
                    <w:t>一般值/极限值</w:t>
                  </w:r>
                </w:p>
              </w:tc>
              <w:tc>
                <w:tcPr>
                  <w:tcW w:w="497" w:type="pct"/>
                  <w:tcBorders>
                    <w:tl2br w:val="nil"/>
                    <w:tr2bl w:val="nil"/>
                  </w:tcBorders>
                  <w:noWrap/>
                  <w:vAlign w:val="center"/>
                </w:tcPr>
                <w:p w14:paraId="34E6F176">
                  <w:pPr>
                    <w:widowControl/>
                    <w:spacing w:line="240" w:lineRule="auto"/>
                    <w:jc w:val="center"/>
                    <w:rPr>
                      <w:rFonts w:hint="default" w:ascii="Times New Roman" w:hAnsi="Times New Roman" w:eastAsia="宋体" w:cs="Times New Roman"/>
                      <w:snapToGrid/>
                      <w:color w:val="auto"/>
                      <w:sz w:val="21"/>
                      <w:szCs w:val="21"/>
                      <w:highlight w:val="none"/>
                    </w:rPr>
                  </w:pPr>
                  <w:r>
                    <w:rPr>
                      <w:rFonts w:hint="default" w:ascii="Times New Roman" w:hAnsi="Times New Roman" w:eastAsia="宋体" w:cs="Times New Roman"/>
                      <w:snapToGrid/>
                      <w:color w:val="auto"/>
                      <w:sz w:val="21"/>
                      <w:szCs w:val="21"/>
                      <w:highlight w:val="none"/>
                    </w:rPr>
                    <w:t>m</w:t>
                  </w:r>
                </w:p>
              </w:tc>
              <w:tc>
                <w:tcPr>
                  <w:tcW w:w="1554" w:type="pct"/>
                  <w:tcBorders>
                    <w:tl2br w:val="nil"/>
                    <w:tr2bl w:val="nil"/>
                  </w:tcBorders>
                  <w:noWrap/>
                  <w:vAlign w:val="center"/>
                </w:tcPr>
                <w:p w14:paraId="55543EAB">
                  <w:pPr>
                    <w:widowControl/>
                    <w:spacing w:line="240" w:lineRule="auto"/>
                    <w:jc w:val="center"/>
                    <w:rPr>
                      <w:rFonts w:hint="default" w:ascii="Times New Roman" w:hAnsi="Times New Roman" w:eastAsia="宋体" w:cs="Times New Roman"/>
                      <w:snapToGrid/>
                      <w:color w:val="auto"/>
                      <w:sz w:val="21"/>
                      <w:szCs w:val="21"/>
                      <w:highlight w:val="none"/>
                    </w:rPr>
                  </w:pPr>
                  <w:r>
                    <w:rPr>
                      <w:rFonts w:hint="default" w:ascii="Times New Roman" w:hAnsi="Times New Roman" w:eastAsia="宋体" w:cs="Times New Roman"/>
                      <w:snapToGrid/>
                      <w:color w:val="auto"/>
                      <w:sz w:val="21"/>
                      <w:szCs w:val="21"/>
                      <w:highlight w:val="none"/>
                    </w:rPr>
                    <w:t>6177.121</w:t>
                  </w:r>
                </w:p>
              </w:tc>
            </w:tr>
            <w:tr w14:paraId="205E4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13" w:type="pct"/>
                  <w:tcBorders>
                    <w:tl2br w:val="nil"/>
                    <w:tr2bl w:val="nil"/>
                  </w:tcBorders>
                  <w:noWrap/>
                  <w:vAlign w:val="center"/>
                </w:tcPr>
                <w:p w14:paraId="1F90623F">
                  <w:pPr>
                    <w:widowControl/>
                    <w:spacing w:line="240" w:lineRule="auto"/>
                    <w:jc w:val="center"/>
                    <w:rPr>
                      <w:rFonts w:hint="default" w:ascii="Times New Roman" w:hAnsi="Times New Roman" w:eastAsia="宋体" w:cs="Times New Roman"/>
                      <w:snapToGrid/>
                      <w:color w:val="auto"/>
                      <w:sz w:val="21"/>
                      <w:szCs w:val="21"/>
                      <w:highlight w:val="none"/>
                      <w:lang w:val="en-US" w:eastAsia="zh-CN"/>
                    </w:rPr>
                  </w:pPr>
                  <w:r>
                    <w:rPr>
                      <w:rFonts w:hint="eastAsia" w:ascii="Times New Roman" w:hAnsi="Times New Roman" w:cs="Times New Roman"/>
                      <w:snapToGrid/>
                      <w:color w:val="auto"/>
                      <w:sz w:val="21"/>
                      <w:szCs w:val="21"/>
                      <w:highlight w:val="none"/>
                      <w:lang w:val="en-US" w:eastAsia="zh-CN"/>
                    </w:rPr>
                    <w:t>1</w:t>
                  </w:r>
                  <w:r>
                    <w:rPr>
                      <w:rFonts w:hint="eastAsia" w:cs="Times New Roman"/>
                      <w:snapToGrid/>
                      <w:color w:val="auto"/>
                      <w:sz w:val="21"/>
                      <w:szCs w:val="21"/>
                      <w:highlight w:val="none"/>
                      <w:lang w:val="en-US" w:eastAsia="zh-CN"/>
                    </w:rPr>
                    <w:t>2</w:t>
                  </w:r>
                </w:p>
              </w:tc>
              <w:tc>
                <w:tcPr>
                  <w:tcW w:w="2534" w:type="pct"/>
                  <w:gridSpan w:val="3"/>
                  <w:tcBorders>
                    <w:tl2br w:val="nil"/>
                    <w:tr2bl w:val="nil"/>
                  </w:tcBorders>
                  <w:noWrap/>
                  <w:vAlign w:val="center"/>
                </w:tcPr>
                <w:p w14:paraId="63273CE5">
                  <w:pPr>
                    <w:widowControl/>
                    <w:spacing w:line="240" w:lineRule="auto"/>
                    <w:jc w:val="center"/>
                    <w:rPr>
                      <w:rFonts w:hint="default" w:ascii="Times New Roman" w:hAnsi="Times New Roman" w:eastAsia="宋体" w:cs="Times New Roman"/>
                      <w:snapToGrid/>
                      <w:color w:val="auto"/>
                      <w:sz w:val="21"/>
                      <w:szCs w:val="21"/>
                      <w:highlight w:val="none"/>
                    </w:rPr>
                  </w:pPr>
                  <w:r>
                    <w:rPr>
                      <w:rFonts w:hint="default" w:ascii="Times New Roman" w:hAnsi="Times New Roman" w:eastAsia="宋体" w:cs="Times New Roman"/>
                      <w:snapToGrid/>
                      <w:color w:val="auto"/>
                      <w:sz w:val="21"/>
                      <w:szCs w:val="21"/>
                      <w:highlight w:val="none"/>
                    </w:rPr>
                    <w:t>竖曲线最小长度一般值/极限值</w:t>
                  </w:r>
                </w:p>
              </w:tc>
              <w:tc>
                <w:tcPr>
                  <w:tcW w:w="497" w:type="pct"/>
                  <w:tcBorders>
                    <w:tl2br w:val="nil"/>
                    <w:tr2bl w:val="nil"/>
                  </w:tcBorders>
                  <w:noWrap/>
                  <w:vAlign w:val="center"/>
                </w:tcPr>
                <w:p w14:paraId="6D2C4766">
                  <w:pPr>
                    <w:widowControl/>
                    <w:spacing w:line="240" w:lineRule="auto"/>
                    <w:jc w:val="center"/>
                    <w:rPr>
                      <w:rFonts w:hint="default" w:ascii="Times New Roman" w:hAnsi="Times New Roman" w:eastAsia="宋体" w:cs="Times New Roman"/>
                      <w:snapToGrid/>
                      <w:color w:val="auto"/>
                      <w:sz w:val="21"/>
                      <w:szCs w:val="21"/>
                      <w:highlight w:val="none"/>
                    </w:rPr>
                  </w:pPr>
                  <w:r>
                    <w:rPr>
                      <w:rFonts w:hint="default" w:ascii="Times New Roman" w:hAnsi="Times New Roman" w:eastAsia="宋体" w:cs="Times New Roman"/>
                      <w:snapToGrid/>
                      <w:color w:val="auto"/>
                      <w:sz w:val="21"/>
                      <w:szCs w:val="21"/>
                      <w:highlight w:val="none"/>
                    </w:rPr>
                    <w:t>m</w:t>
                  </w:r>
                </w:p>
              </w:tc>
              <w:tc>
                <w:tcPr>
                  <w:tcW w:w="1554" w:type="pct"/>
                  <w:tcBorders>
                    <w:tl2br w:val="nil"/>
                    <w:tr2bl w:val="nil"/>
                  </w:tcBorders>
                  <w:noWrap/>
                  <w:vAlign w:val="center"/>
                </w:tcPr>
                <w:p w14:paraId="601CA8BB">
                  <w:pPr>
                    <w:widowControl/>
                    <w:spacing w:line="240" w:lineRule="auto"/>
                    <w:jc w:val="center"/>
                    <w:rPr>
                      <w:rFonts w:hint="default" w:ascii="Times New Roman" w:hAnsi="Times New Roman" w:eastAsia="宋体" w:cs="Times New Roman"/>
                      <w:snapToGrid/>
                      <w:color w:val="auto"/>
                      <w:sz w:val="21"/>
                      <w:szCs w:val="21"/>
                      <w:highlight w:val="none"/>
                      <w:lang w:val="en-US" w:eastAsia="zh-CN"/>
                    </w:rPr>
                  </w:pPr>
                  <w:r>
                    <w:rPr>
                      <w:rFonts w:hint="default" w:ascii="Times New Roman" w:hAnsi="Times New Roman" w:eastAsia="宋体" w:cs="Times New Roman"/>
                      <w:snapToGrid/>
                      <w:color w:val="auto"/>
                      <w:sz w:val="21"/>
                      <w:szCs w:val="21"/>
                      <w:highlight w:val="none"/>
                    </w:rPr>
                    <w:t>1</w:t>
                  </w:r>
                  <w:r>
                    <w:rPr>
                      <w:rFonts w:hint="default" w:ascii="Times New Roman" w:hAnsi="Times New Roman" w:eastAsia="宋体" w:cs="Times New Roman"/>
                      <w:snapToGrid/>
                      <w:color w:val="auto"/>
                      <w:sz w:val="21"/>
                      <w:szCs w:val="21"/>
                      <w:highlight w:val="none"/>
                      <w:lang w:val="en-US" w:eastAsia="zh-CN"/>
                    </w:rPr>
                    <w:t>70.596</w:t>
                  </w:r>
                </w:p>
              </w:tc>
            </w:tr>
          </w:tbl>
          <w:p w14:paraId="56D7A0BE">
            <w:pPr>
              <w:autoSpaceDE w:val="0"/>
              <w:autoSpaceDN w:val="0"/>
              <w:adjustRightInd w:val="0"/>
              <w:spacing w:before="240" w:beforeLines="100" w:line="300" w:lineRule="auto"/>
              <w:rPr>
                <w:b/>
                <w:color w:val="auto"/>
                <w:kern w:val="0"/>
                <w:sz w:val="24"/>
              </w:rPr>
            </w:pPr>
            <w:r>
              <w:rPr>
                <w:rFonts w:hint="eastAsia"/>
                <w:b/>
                <w:color w:val="auto"/>
                <w:kern w:val="0"/>
                <w:sz w:val="24"/>
              </w:rPr>
              <w:t>3</w:t>
            </w:r>
            <w:r>
              <w:rPr>
                <w:b/>
                <w:color w:val="auto"/>
                <w:kern w:val="0"/>
                <w:sz w:val="24"/>
              </w:rPr>
              <w:t>. 拟建公路建设内容及规模</w:t>
            </w:r>
          </w:p>
          <w:p w14:paraId="293E855F">
            <w:pPr>
              <w:adjustRightInd w:val="0"/>
              <w:spacing w:line="300" w:lineRule="auto"/>
              <w:ind w:firstLine="482" w:firstLineChars="200"/>
              <w:rPr>
                <w:b/>
                <w:color w:val="auto"/>
                <w:sz w:val="24"/>
              </w:rPr>
            </w:pPr>
            <w:r>
              <w:rPr>
                <w:b/>
                <w:color w:val="auto"/>
                <w:kern w:val="0"/>
                <w:sz w:val="24"/>
              </w:rPr>
              <w:t xml:space="preserve"> </w:t>
            </w:r>
            <w:r>
              <w:rPr>
                <w:b/>
                <w:color w:val="auto"/>
                <w:sz w:val="24"/>
              </w:rPr>
              <w:t xml:space="preserve">(1) </w:t>
            </w:r>
            <w:r>
              <w:rPr>
                <w:rFonts w:hAnsi="宋体"/>
                <w:b/>
                <w:color w:val="auto"/>
                <w:sz w:val="24"/>
              </w:rPr>
              <w:t>建设内容及规模</w:t>
            </w:r>
          </w:p>
          <w:p w14:paraId="5E8F5A03">
            <w:pPr>
              <w:adjustRightInd w:val="0"/>
              <w:spacing w:after="120" w:afterLines="50" w:line="300" w:lineRule="auto"/>
              <w:ind w:firstLine="480" w:firstLineChars="200"/>
              <w:rPr>
                <w:rFonts w:hAnsi="宋体"/>
                <w:color w:val="auto"/>
                <w:sz w:val="24"/>
              </w:rPr>
            </w:pPr>
            <w:r>
              <w:rPr>
                <w:rFonts w:hAnsi="宋体"/>
                <w:color w:val="auto"/>
                <w:sz w:val="24"/>
              </w:rPr>
              <w:t>拟建公</w:t>
            </w:r>
            <w:r>
              <w:rPr>
                <w:rFonts w:hint="eastAsia" w:hAnsi="宋体"/>
                <w:color w:val="auto"/>
                <w:sz w:val="24"/>
              </w:rPr>
              <w:t>路</w:t>
            </w:r>
            <w:r>
              <w:rPr>
                <w:rFonts w:hAnsi="宋体"/>
                <w:color w:val="auto"/>
                <w:sz w:val="24"/>
              </w:rPr>
              <w:t>建设内容及规模见表</w:t>
            </w:r>
            <w:r>
              <w:rPr>
                <w:color w:val="auto"/>
                <w:sz w:val="24"/>
              </w:rPr>
              <w:t>2-</w:t>
            </w:r>
            <w:r>
              <w:rPr>
                <w:rFonts w:hint="eastAsia"/>
                <w:color w:val="auto"/>
                <w:sz w:val="24"/>
              </w:rPr>
              <w:t>3</w:t>
            </w:r>
            <w:r>
              <w:rPr>
                <w:rFonts w:hAnsi="宋体"/>
                <w:color w:val="auto"/>
                <w:sz w:val="24"/>
              </w:rPr>
              <w:t>。</w:t>
            </w:r>
          </w:p>
          <w:p w14:paraId="315FF8B2">
            <w:pPr>
              <w:adjustRightInd w:val="0"/>
              <w:spacing w:after="120" w:afterLines="50" w:line="300" w:lineRule="auto"/>
              <w:ind w:firstLine="480" w:firstLineChars="200"/>
              <w:rPr>
                <w:rFonts w:hAnsi="宋体"/>
                <w:color w:val="0070C0"/>
                <w:sz w:val="24"/>
              </w:rPr>
            </w:pPr>
          </w:p>
          <w:p w14:paraId="2EB2820A">
            <w:pPr>
              <w:adjustRightInd w:val="0"/>
              <w:spacing w:after="120" w:afterLines="50" w:line="300" w:lineRule="auto"/>
              <w:ind w:firstLine="480" w:firstLineChars="200"/>
              <w:rPr>
                <w:rFonts w:hAnsi="宋体"/>
                <w:color w:val="0070C0"/>
                <w:sz w:val="24"/>
              </w:rPr>
            </w:pPr>
          </w:p>
          <w:p w14:paraId="35111D90">
            <w:pPr>
              <w:pStyle w:val="50"/>
              <w:tabs>
                <w:tab w:val="left" w:pos="2694"/>
              </w:tabs>
              <w:spacing w:before="120" w:beforeLines="50" w:line="240" w:lineRule="auto"/>
              <w:rPr>
                <w:rFonts w:ascii="Times New Roman" w:hAnsi="宋体" w:eastAsia="宋体"/>
                <w:b/>
                <w:color w:val="0070C0"/>
                <w:szCs w:val="21"/>
              </w:rPr>
            </w:pPr>
          </w:p>
          <w:p w14:paraId="3C7D1063">
            <w:pPr>
              <w:pStyle w:val="50"/>
              <w:tabs>
                <w:tab w:val="left" w:pos="2694"/>
              </w:tabs>
              <w:spacing w:before="120" w:beforeLines="50" w:line="240" w:lineRule="auto"/>
              <w:rPr>
                <w:rFonts w:ascii="Times New Roman" w:eastAsia="宋体"/>
                <w:b/>
                <w:color w:val="auto"/>
                <w:szCs w:val="21"/>
              </w:rPr>
            </w:pPr>
            <w:r>
              <w:rPr>
                <w:rFonts w:ascii="Times New Roman" w:hAnsi="宋体" w:eastAsia="宋体"/>
                <w:b/>
                <w:color w:val="auto"/>
                <w:szCs w:val="21"/>
              </w:rPr>
              <w:t>表</w:t>
            </w:r>
            <w:r>
              <w:rPr>
                <w:rFonts w:ascii="Times New Roman" w:eastAsia="宋体"/>
                <w:b/>
                <w:color w:val="auto"/>
                <w:szCs w:val="21"/>
              </w:rPr>
              <w:t>2-</w:t>
            </w:r>
            <w:r>
              <w:rPr>
                <w:rFonts w:hint="eastAsia" w:ascii="Times New Roman" w:eastAsia="宋体"/>
                <w:b/>
                <w:color w:val="auto"/>
                <w:szCs w:val="21"/>
              </w:rPr>
              <w:t>3</w:t>
            </w:r>
            <w:r>
              <w:rPr>
                <w:rFonts w:ascii="Times New Roman" w:eastAsia="宋体"/>
                <w:b/>
                <w:color w:val="auto"/>
                <w:szCs w:val="21"/>
              </w:rPr>
              <w:t xml:space="preserve">  </w:t>
            </w:r>
            <w:r>
              <w:rPr>
                <w:rFonts w:ascii="Times New Roman" w:hAnsi="宋体" w:eastAsia="宋体"/>
                <w:b/>
                <w:color w:val="auto"/>
                <w:szCs w:val="21"/>
              </w:rPr>
              <w:t>拟建公路建设内容及规模表</w:t>
            </w:r>
          </w:p>
          <w:tbl>
            <w:tblPr>
              <w:tblStyle w:val="22"/>
              <w:tblW w:w="5057"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90"/>
              <w:gridCol w:w="1265"/>
              <w:gridCol w:w="1771"/>
              <w:gridCol w:w="1246"/>
              <w:gridCol w:w="3415"/>
            </w:tblGrid>
            <w:tr w14:paraId="4121A48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cantSplit/>
                <w:trHeight w:val="283" w:hRule="atLeast"/>
                <w:jc w:val="center"/>
              </w:trPr>
              <w:tc>
                <w:tcPr>
                  <w:tcW w:w="465" w:type="pct"/>
                  <w:vAlign w:val="center"/>
                </w:tcPr>
                <w:p w14:paraId="24EA8400">
                  <w:pPr>
                    <w:snapToGrid w:val="0"/>
                    <w:spacing w:line="260" w:lineRule="exact"/>
                    <w:jc w:val="center"/>
                    <w:rPr>
                      <w:b/>
                      <w:color w:val="auto"/>
                      <w:szCs w:val="21"/>
                    </w:rPr>
                  </w:pPr>
                  <w:r>
                    <w:rPr>
                      <w:b/>
                      <w:color w:val="auto"/>
                      <w:szCs w:val="21"/>
                    </w:rPr>
                    <w:t>序号</w:t>
                  </w:r>
                </w:p>
              </w:tc>
              <w:tc>
                <w:tcPr>
                  <w:tcW w:w="1788" w:type="pct"/>
                  <w:gridSpan w:val="2"/>
                  <w:vAlign w:val="center"/>
                </w:tcPr>
                <w:p w14:paraId="53D6CC44">
                  <w:pPr>
                    <w:snapToGrid w:val="0"/>
                    <w:spacing w:line="260" w:lineRule="exact"/>
                    <w:jc w:val="center"/>
                    <w:rPr>
                      <w:b/>
                      <w:color w:val="auto"/>
                      <w:szCs w:val="21"/>
                    </w:rPr>
                  </w:pPr>
                  <w:r>
                    <w:rPr>
                      <w:b/>
                      <w:color w:val="auto"/>
                      <w:szCs w:val="21"/>
                    </w:rPr>
                    <w:t>指标</w:t>
                  </w:r>
                </w:p>
              </w:tc>
              <w:tc>
                <w:tcPr>
                  <w:tcW w:w="734" w:type="pct"/>
                  <w:vAlign w:val="center"/>
                </w:tcPr>
                <w:p w14:paraId="7267257E">
                  <w:pPr>
                    <w:snapToGrid w:val="0"/>
                    <w:spacing w:line="260" w:lineRule="exact"/>
                    <w:jc w:val="center"/>
                    <w:rPr>
                      <w:b/>
                      <w:color w:val="auto"/>
                      <w:szCs w:val="21"/>
                    </w:rPr>
                  </w:pPr>
                  <w:r>
                    <w:rPr>
                      <w:b/>
                      <w:color w:val="auto"/>
                      <w:szCs w:val="21"/>
                    </w:rPr>
                    <w:t>单位</w:t>
                  </w:r>
                </w:p>
              </w:tc>
              <w:tc>
                <w:tcPr>
                  <w:tcW w:w="2011" w:type="pct"/>
                  <w:vAlign w:val="center"/>
                </w:tcPr>
                <w:p w14:paraId="7A1635FA">
                  <w:pPr>
                    <w:snapToGrid w:val="0"/>
                    <w:spacing w:line="260" w:lineRule="exact"/>
                    <w:jc w:val="center"/>
                    <w:rPr>
                      <w:b/>
                      <w:color w:val="auto"/>
                      <w:szCs w:val="21"/>
                    </w:rPr>
                  </w:pPr>
                  <w:r>
                    <w:rPr>
                      <w:b/>
                      <w:color w:val="auto"/>
                      <w:szCs w:val="21"/>
                    </w:rPr>
                    <w:t>数量</w:t>
                  </w:r>
                </w:p>
              </w:tc>
            </w:tr>
            <w:tr w14:paraId="05909E4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cantSplit/>
                <w:trHeight w:val="283" w:hRule="atLeast"/>
                <w:tblHeader/>
                <w:jc w:val="center"/>
              </w:trPr>
              <w:tc>
                <w:tcPr>
                  <w:tcW w:w="465" w:type="pct"/>
                  <w:vAlign w:val="center"/>
                </w:tcPr>
                <w:p w14:paraId="42B2318D">
                  <w:pPr>
                    <w:widowControl/>
                    <w:spacing w:line="260" w:lineRule="exact"/>
                    <w:jc w:val="center"/>
                    <w:rPr>
                      <w:color w:val="auto"/>
                      <w:szCs w:val="21"/>
                    </w:rPr>
                  </w:pPr>
                  <w:r>
                    <w:rPr>
                      <w:color w:val="auto"/>
                      <w:szCs w:val="21"/>
                    </w:rPr>
                    <w:t>1</w:t>
                  </w:r>
                </w:p>
              </w:tc>
              <w:tc>
                <w:tcPr>
                  <w:tcW w:w="1788" w:type="pct"/>
                  <w:gridSpan w:val="2"/>
                  <w:vAlign w:val="center"/>
                </w:tcPr>
                <w:p w14:paraId="4923CBE2">
                  <w:pPr>
                    <w:widowControl/>
                    <w:spacing w:line="260" w:lineRule="exact"/>
                    <w:jc w:val="center"/>
                    <w:rPr>
                      <w:color w:val="auto"/>
                      <w:szCs w:val="21"/>
                    </w:rPr>
                  </w:pPr>
                  <w:r>
                    <w:rPr>
                      <w:color w:val="auto"/>
                      <w:szCs w:val="21"/>
                    </w:rPr>
                    <w:t>路线长度</w:t>
                  </w:r>
                </w:p>
              </w:tc>
              <w:tc>
                <w:tcPr>
                  <w:tcW w:w="734" w:type="pct"/>
                  <w:vAlign w:val="center"/>
                </w:tcPr>
                <w:p w14:paraId="7D5178E3">
                  <w:pPr>
                    <w:widowControl/>
                    <w:spacing w:line="260" w:lineRule="exact"/>
                    <w:jc w:val="center"/>
                    <w:rPr>
                      <w:color w:val="auto"/>
                      <w:szCs w:val="21"/>
                    </w:rPr>
                  </w:pPr>
                  <w:r>
                    <w:rPr>
                      <w:color w:val="auto"/>
                      <w:szCs w:val="21"/>
                    </w:rPr>
                    <w:t>km</w:t>
                  </w:r>
                </w:p>
              </w:tc>
              <w:tc>
                <w:tcPr>
                  <w:tcW w:w="2011" w:type="pct"/>
                  <w:vAlign w:val="center"/>
                </w:tcPr>
                <w:p w14:paraId="399789DC">
                  <w:pPr>
                    <w:widowControl/>
                    <w:spacing w:line="260" w:lineRule="exact"/>
                    <w:jc w:val="center"/>
                    <w:rPr>
                      <w:rFonts w:hint="default" w:eastAsia="宋体"/>
                      <w:color w:val="auto"/>
                      <w:szCs w:val="21"/>
                      <w:lang w:val="en-US" w:eastAsia="zh-CN"/>
                    </w:rPr>
                  </w:pPr>
                  <w:r>
                    <w:rPr>
                      <w:rFonts w:hint="eastAsia"/>
                      <w:color w:val="auto"/>
                      <w:szCs w:val="21"/>
                      <w:lang w:val="en-US" w:eastAsia="zh-CN"/>
                    </w:rPr>
                    <w:t>70.078</w:t>
                  </w:r>
                </w:p>
              </w:tc>
            </w:tr>
            <w:tr w14:paraId="0317A4D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cantSplit/>
                <w:trHeight w:val="283" w:hRule="atLeast"/>
                <w:tblHeader/>
                <w:jc w:val="center"/>
              </w:trPr>
              <w:tc>
                <w:tcPr>
                  <w:tcW w:w="465" w:type="pct"/>
                  <w:vMerge w:val="restart"/>
                  <w:vAlign w:val="center"/>
                </w:tcPr>
                <w:p w14:paraId="1BE8999E">
                  <w:pPr>
                    <w:widowControl/>
                    <w:spacing w:line="260" w:lineRule="exact"/>
                    <w:jc w:val="center"/>
                    <w:rPr>
                      <w:rFonts w:hint="eastAsia" w:eastAsia="宋体"/>
                      <w:color w:val="auto"/>
                      <w:szCs w:val="21"/>
                      <w:lang w:val="en-US" w:eastAsia="zh-CN"/>
                    </w:rPr>
                  </w:pPr>
                  <w:r>
                    <w:rPr>
                      <w:rFonts w:hint="eastAsia"/>
                      <w:color w:val="auto"/>
                      <w:szCs w:val="21"/>
                      <w:lang w:val="en-US" w:eastAsia="zh-CN"/>
                    </w:rPr>
                    <w:t>2</w:t>
                  </w:r>
                </w:p>
              </w:tc>
              <w:tc>
                <w:tcPr>
                  <w:tcW w:w="745" w:type="pct"/>
                  <w:vMerge w:val="restart"/>
                  <w:tcBorders>
                    <w:right w:val="single" w:color="000000" w:sz="4" w:space="0"/>
                  </w:tcBorders>
                  <w:vAlign w:val="center"/>
                </w:tcPr>
                <w:p w14:paraId="0F2E8F5C">
                  <w:pPr>
                    <w:widowControl/>
                    <w:spacing w:line="260" w:lineRule="exact"/>
                    <w:jc w:val="center"/>
                    <w:rPr>
                      <w:rFonts w:hint="default" w:eastAsia="宋体"/>
                      <w:color w:val="auto"/>
                      <w:szCs w:val="21"/>
                      <w:lang w:val="en-US" w:eastAsia="zh-CN"/>
                    </w:rPr>
                  </w:pPr>
                  <w:r>
                    <w:rPr>
                      <w:rFonts w:hint="eastAsia"/>
                      <w:color w:val="auto"/>
                      <w:szCs w:val="21"/>
                      <w:lang w:val="en-US" w:eastAsia="zh-CN"/>
                    </w:rPr>
                    <w:t>土石方数量</w:t>
                  </w:r>
                </w:p>
              </w:tc>
              <w:tc>
                <w:tcPr>
                  <w:tcW w:w="1043" w:type="pct"/>
                  <w:tcBorders>
                    <w:left w:val="single" w:color="000000" w:sz="4" w:space="0"/>
                  </w:tcBorders>
                  <w:vAlign w:val="center"/>
                </w:tcPr>
                <w:p w14:paraId="5FB8CB15">
                  <w:pPr>
                    <w:widowControl/>
                    <w:spacing w:line="260" w:lineRule="exact"/>
                    <w:jc w:val="center"/>
                    <w:rPr>
                      <w:rFonts w:hint="eastAsia" w:eastAsia="宋体"/>
                      <w:color w:val="auto"/>
                      <w:szCs w:val="21"/>
                      <w:lang w:val="en-US" w:eastAsia="zh-CN"/>
                    </w:rPr>
                  </w:pPr>
                  <w:r>
                    <w:rPr>
                      <w:rFonts w:hint="eastAsia"/>
                      <w:color w:val="auto"/>
                      <w:szCs w:val="21"/>
                      <w:lang w:val="en-US" w:eastAsia="zh-CN"/>
                    </w:rPr>
                    <w:t>挖方</w:t>
                  </w:r>
                </w:p>
              </w:tc>
              <w:tc>
                <w:tcPr>
                  <w:tcW w:w="734" w:type="pct"/>
                  <w:vAlign w:val="center"/>
                </w:tcPr>
                <w:p w14:paraId="2FF5E78E">
                  <w:pPr>
                    <w:widowControl/>
                    <w:spacing w:line="260" w:lineRule="exact"/>
                    <w:jc w:val="center"/>
                    <w:rPr>
                      <w:rFonts w:hint="eastAsia" w:eastAsia="宋体"/>
                      <w:color w:val="auto"/>
                      <w:szCs w:val="21"/>
                      <w:lang w:val="en-US" w:eastAsia="zh-CN"/>
                    </w:rPr>
                  </w:pPr>
                  <w:r>
                    <w:rPr>
                      <w:rFonts w:hint="eastAsia"/>
                      <w:color w:val="auto"/>
                      <w:szCs w:val="21"/>
                      <w:lang w:val="en-US" w:eastAsia="zh-CN"/>
                    </w:rPr>
                    <w:t>k</w:t>
                  </w:r>
                  <w:r>
                    <w:rPr>
                      <w:rFonts w:hint="eastAsia"/>
                      <w:color w:val="auto"/>
                      <w:szCs w:val="21"/>
                    </w:rPr>
                    <w:t>m</w:t>
                  </w:r>
                  <w:r>
                    <w:rPr>
                      <w:rFonts w:hint="eastAsia"/>
                      <w:color w:val="auto"/>
                      <w:szCs w:val="21"/>
                      <w:vertAlign w:val="superscript"/>
                      <w:lang w:val="en-US" w:eastAsia="zh-CN"/>
                    </w:rPr>
                    <w:t>3</w:t>
                  </w:r>
                </w:p>
              </w:tc>
              <w:tc>
                <w:tcPr>
                  <w:tcW w:w="2011" w:type="pct"/>
                  <w:vAlign w:val="center"/>
                </w:tcPr>
                <w:p w14:paraId="5E404DF9">
                  <w:pPr>
                    <w:widowControl/>
                    <w:spacing w:line="260" w:lineRule="exact"/>
                    <w:jc w:val="center"/>
                    <w:rPr>
                      <w:rFonts w:hint="default"/>
                      <w:color w:val="auto"/>
                      <w:szCs w:val="21"/>
                      <w:highlight w:val="none"/>
                      <w:lang w:val="en-US" w:eastAsia="zh-CN"/>
                    </w:rPr>
                  </w:pPr>
                  <w:r>
                    <w:rPr>
                      <w:rFonts w:hint="eastAsia"/>
                      <w:color w:val="auto"/>
                      <w:szCs w:val="21"/>
                      <w:highlight w:val="none"/>
                      <w:lang w:val="en-US" w:eastAsia="zh-CN"/>
                    </w:rPr>
                    <w:t>194.33</w:t>
                  </w:r>
                </w:p>
              </w:tc>
            </w:tr>
            <w:tr w14:paraId="4FA7459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cantSplit/>
                <w:trHeight w:val="283" w:hRule="atLeast"/>
                <w:tblHeader/>
                <w:jc w:val="center"/>
              </w:trPr>
              <w:tc>
                <w:tcPr>
                  <w:tcW w:w="465" w:type="pct"/>
                  <w:vMerge w:val="continue"/>
                  <w:vAlign w:val="center"/>
                </w:tcPr>
                <w:p w14:paraId="56C6A157">
                  <w:pPr>
                    <w:widowControl/>
                    <w:spacing w:line="260" w:lineRule="exact"/>
                    <w:jc w:val="center"/>
                    <w:rPr>
                      <w:color w:val="auto"/>
                      <w:szCs w:val="21"/>
                    </w:rPr>
                  </w:pPr>
                </w:p>
              </w:tc>
              <w:tc>
                <w:tcPr>
                  <w:tcW w:w="745" w:type="pct"/>
                  <w:vMerge w:val="continue"/>
                  <w:tcBorders>
                    <w:right w:val="single" w:color="000000" w:sz="4" w:space="0"/>
                  </w:tcBorders>
                  <w:vAlign w:val="center"/>
                </w:tcPr>
                <w:p w14:paraId="08A98D47">
                  <w:pPr>
                    <w:widowControl/>
                    <w:spacing w:line="260" w:lineRule="exact"/>
                    <w:jc w:val="center"/>
                    <w:rPr>
                      <w:color w:val="auto"/>
                      <w:szCs w:val="21"/>
                    </w:rPr>
                  </w:pPr>
                </w:p>
              </w:tc>
              <w:tc>
                <w:tcPr>
                  <w:tcW w:w="1043" w:type="pct"/>
                  <w:tcBorders>
                    <w:left w:val="single" w:color="000000" w:sz="4" w:space="0"/>
                  </w:tcBorders>
                  <w:vAlign w:val="center"/>
                </w:tcPr>
                <w:p w14:paraId="077051C7">
                  <w:pPr>
                    <w:widowControl/>
                    <w:spacing w:line="260" w:lineRule="exact"/>
                    <w:jc w:val="center"/>
                    <w:rPr>
                      <w:rFonts w:hint="eastAsia" w:eastAsia="宋体"/>
                      <w:color w:val="auto"/>
                      <w:szCs w:val="21"/>
                      <w:lang w:val="en-US" w:eastAsia="zh-CN"/>
                    </w:rPr>
                  </w:pPr>
                  <w:r>
                    <w:rPr>
                      <w:rFonts w:hint="eastAsia"/>
                      <w:color w:val="auto"/>
                      <w:szCs w:val="21"/>
                      <w:lang w:val="en-US" w:eastAsia="zh-CN"/>
                    </w:rPr>
                    <w:t>填方</w:t>
                  </w:r>
                </w:p>
              </w:tc>
              <w:tc>
                <w:tcPr>
                  <w:tcW w:w="734" w:type="pct"/>
                  <w:vAlign w:val="center"/>
                </w:tcPr>
                <w:p w14:paraId="4EC2BAB2">
                  <w:pPr>
                    <w:widowControl/>
                    <w:spacing w:line="260" w:lineRule="exact"/>
                    <w:jc w:val="center"/>
                    <w:rPr>
                      <w:rFonts w:hint="eastAsia" w:eastAsia="宋体"/>
                      <w:color w:val="auto"/>
                      <w:szCs w:val="21"/>
                      <w:lang w:val="en-US" w:eastAsia="zh-CN"/>
                    </w:rPr>
                  </w:pPr>
                  <w:r>
                    <w:rPr>
                      <w:rFonts w:hint="eastAsia"/>
                      <w:color w:val="auto"/>
                      <w:szCs w:val="21"/>
                      <w:lang w:val="en-US" w:eastAsia="zh-CN"/>
                    </w:rPr>
                    <w:t>k</w:t>
                  </w:r>
                  <w:r>
                    <w:rPr>
                      <w:rFonts w:hint="eastAsia"/>
                      <w:color w:val="auto"/>
                      <w:szCs w:val="21"/>
                    </w:rPr>
                    <w:t>m</w:t>
                  </w:r>
                  <w:r>
                    <w:rPr>
                      <w:rFonts w:hint="eastAsia"/>
                      <w:color w:val="auto"/>
                      <w:szCs w:val="21"/>
                      <w:vertAlign w:val="superscript"/>
                      <w:lang w:val="en-US" w:eastAsia="zh-CN"/>
                    </w:rPr>
                    <w:t>3</w:t>
                  </w:r>
                </w:p>
              </w:tc>
              <w:tc>
                <w:tcPr>
                  <w:tcW w:w="2011" w:type="pct"/>
                  <w:vAlign w:val="center"/>
                </w:tcPr>
                <w:p w14:paraId="25BC5806">
                  <w:pPr>
                    <w:widowControl/>
                    <w:spacing w:line="260" w:lineRule="exact"/>
                    <w:jc w:val="center"/>
                    <w:rPr>
                      <w:rFonts w:hint="default"/>
                      <w:color w:val="auto"/>
                      <w:szCs w:val="21"/>
                      <w:highlight w:val="none"/>
                      <w:lang w:val="en-US" w:eastAsia="zh-CN"/>
                    </w:rPr>
                  </w:pPr>
                  <w:r>
                    <w:rPr>
                      <w:rFonts w:hint="eastAsia"/>
                      <w:color w:val="auto"/>
                      <w:szCs w:val="21"/>
                      <w:highlight w:val="none"/>
                      <w:lang w:val="en-US" w:eastAsia="zh-CN"/>
                    </w:rPr>
                    <w:t>201.67</w:t>
                  </w:r>
                </w:p>
              </w:tc>
            </w:tr>
            <w:tr w14:paraId="766ADE2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cantSplit/>
                <w:trHeight w:val="283" w:hRule="atLeast"/>
                <w:jc w:val="center"/>
              </w:trPr>
              <w:tc>
                <w:tcPr>
                  <w:tcW w:w="465" w:type="pct"/>
                  <w:vMerge w:val="restart"/>
                  <w:vAlign w:val="center"/>
                </w:tcPr>
                <w:p w14:paraId="1813FB95">
                  <w:pPr>
                    <w:snapToGrid w:val="0"/>
                    <w:spacing w:line="260" w:lineRule="exact"/>
                    <w:jc w:val="center"/>
                    <w:rPr>
                      <w:rFonts w:hint="eastAsia" w:eastAsia="宋体"/>
                      <w:color w:val="auto"/>
                      <w:szCs w:val="21"/>
                      <w:lang w:eastAsia="zh-CN"/>
                    </w:rPr>
                  </w:pPr>
                  <w:r>
                    <w:rPr>
                      <w:rFonts w:hint="eastAsia"/>
                      <w:color w:val="auto"/>
                      <w:szCs w:val="21"/>
                      <w:lang w:val="en-US" w:eastAsia="zh-CN"/>
                    </w:rPr>
                    <w:t>3</w:t>
                  </w:r>
                </w:p>
              </w:tc>
              <w:tc>
                <w:tcPr>
                  <w:tcW w:w="1788" w:type="pct"/>
                  <w:gridSpan w:val="2"/>
                </w:tcPr>
                <w:p w14:paraId="51A7400B">
                  <w:pPr>
                    <w:pStyle w:val="78"/>
                    <w:spacing w:line="260" w:lineRule="exact"/>
                    <w:rPr>
                      <w:rFonts w:eastAsia="宋体" w:cs="Times New Roman"/>
                      <w:color w:val="auto"/>
                      <w:szCs w:val="21"/>
                    </w:rPr>
                  </w:pPr>
                  <w:r>
                    <w:rPr>
                      <w:rFonts w:eastAsia="宋体" w:cs="Times New Roman"/>
                      <w:color w:val="auto"/>
                      <w:szCs w:val="21"/>
                    </w:rPr>
                    <w:t>桥梁</w:t>
                  </w:r>
                </w:p>
              </w:tc>
              <w:tc>
                <w:tcPr>
                  <w:tcW w:w="734" w:type="pct"/>
                </w:tcPr>
                <w:p w14:paraId="1850D9B0">
                  <w:pPr>
                    <w:pStyle w:val="78"/>
                    <w:spacing w:line="260" w:lineRule="exact"/>
                    <w:rPr>
                      <w:rFonts w:eastAsia="宋体" w:cs="Times New Roman"/>
                      <w:color w:val="auto"/>
                      <w:szCs w:val="21"/>
                    </w:rPr>
                  </w:pPr>
                  <w:r>
                    <w:rPr>
                      <w:rFonts w:eastAsia="宋体" w:cs="Times New Roman"/>
                      <w:color w:val="auto"/>
                      <w:szCs w:val="21"/>
                    </w:rPr>
                    <w:t>m/座</w:t>
                  </w:r>
                </w:p>
              </w:tc>
              <w:tc>
                <w:tcPr>
                  <w:tcW w:w="2011" w:type="pct"/>
                  <w:vAlign w:val="top"/>
                </w:tcPr>
                <w:p w14:paraId="70BBF9CB">
                  <w:pPr>
                    <w:pStyle w:val="78"/>
                    <w:spacing w:line="260" w:lineRule="exact"/>
                    <w:rPr>
                      <w:rFonts w:hint="default" w:eastAsia="仿宋_GB2312" w:cs="Times New Roman"/>
                      <w:color w:val="auto"/>
                      <w:szCs w:val="21"/>
                      <w:lang w:val="en-US" w:eastAsia="zh-CN"/>
                    </w:rPr>
                  </w:pPr>
                  <w:r>
                    <w:rPr>
                      <w:rFonts w:hint="eastAsia"/>
                      <w:color w:val="auto"/>
                      <w:szCs w:val="21"/>
                      <w:lang w:val="en-US" w:eastAsia="zh-CN"/>
                    </w:rPr>
                    <w:t>823.585</w:t>
                  </w:r>
                  <w:r>
                    <w:rPr>
                      <w:color w:val="auto"/>
                      <w:szCs w:val="21"/>
                    </w:rPr>
                    <w:t>/</w:t>
                  </w:r>
                  <w:r>
                    <w:rPr>
                      <w:rFonts w:hint="eastAsia"/>
                      <w:color w:val="auto"/>
                      <w:szCs w:val="21"/>
                      <w:lang w:val="en-US" w:eastAsia="zh-CN"/>
                    </w:rPr>
                    <w:t>15</w:t>
                  </w:r>
                </w:p>
              </w:tc>
            </w:tr>
            <w:tr w14:paraId="1BB7674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cantSplit/>
                <w:trHeight w:val="283" w:hRule="atLeast"/>
                <w:jc w:val="center"/>
              </w:trPr>
              <w:tc>
                <w:tcPr>
                  <w:tcW w:w="465" w:type="pct"/>
                  <w:vMerge w:val="continue"/>
                  <w:vAlign w:val="center"/>
                </w:tcPr>
                <w:p w14:paraId="7CDA40E1">
                  <w:pPr>
                    <w:snapToGrid w:val="0"/>
                    <w:spacing w:line="260" w:lineRule="exact"/>
                    <w:jc w:val="center"/>
                    <w:rPr>
                      <w:color w:val="auto"/>
                      <w:szCs w:val="21"/>
                    </w:rPr>
                  </w:pPr>
                </w:p>
              </w:tc>
              <w:tc>
                <w:tcPr>
                  <w:tcW w:w="1788" w:type="pct"/>
                  <w:gridSpan w:val="2"/>
                </w:tcPr>
                <w:p w14:paraId="5BF80487">
                  <w:pPr>
                    <w:pStyle w:val="78"/>
                    <w:spacing w:line="260" w:lineRule="exact"/>
                    <w:rPr>
                      <w:rFonts w:eastAsia="宋体" w:cs="Times New Roman"/>
                      <w:color w:val="auto"/>
                      <w:szCs w:val="21"/>
                    </w:rPr>
                  </w:pPr>
                  <w:r>
                    <w:rPr>
                      <w:rFonts w:eastAsia="宋体" w:cs="Times New Roman"/>
                      <w:color w:val="auto"/>
                      <w:szCs w:val="21"/>
                    </w:rPr>
                    <w:t>其中，大桥</w:t>
                  </w:r>
                </w:p>
              </w:tc>
              <w:tc>
                <w:tcPr>
                  <w:tcW w:w="734" w:type="pct"/>
                </w:tcPr>
                <w:p w14:paraId="54D29492">
                  <w:pPr>
                    <w:pStyle w:val="78"/>
                    <w:spacing w:line="260" w:lineRule="exact"/>
                    <w:rPr>
                      <w:rFonts w:eastAsia="宋体" w:cs="Times New Roman"/>
                      <w:color w:val="auto"/>
                      <w:szCs w:val="21"/>
                    </w:rPr>
                  </w:pPr>
                  <w:r>
                    <w:rPr>
                      <w:rFonts w:eastAsia="宋体" w:cs="Times New Roman"/>
                      <w:color w:val="auto"/>
                      <w:szCs w:val="21"/>
                    </w:rPr>
                    <w:t>m/座</w:t>
                  </w:r>
                </w:p>
              </w:tc>
              <w:tc>
                <w:tcPr>
                  <w:tcW w:w="2011" w:type="pct"/>
                  <w:vAlign w:val="top"/>
                </w:tcPr>
                <w:p w14:paraId="2D9A839A">
                  <w:pPr>
                    <w:pStyle w:val="78"/>
                    <w:spacing w:line="260" w:lineRule="exact"/>
                    <w:rPr>
                      <w:rFonts w:hint="eastAsia" w:eastAsia="CIDFont+F2" w:cs="Times New Roman"/>
                      <w:color w:val="auto"/>
                      <w:szCs w:val="21"/>
                      <w:lang w:eastAsia="zh-CN"/>
                    </w:rPr>
                  </w:pPr>
                  <w:r>
                    <w:rPr>
                      <w:rFonts w:hint="eastAsia" w:eastAsia="CIDFont+F2"/>
                      <w:color w:val="auto"/>
                      <w:kern w:val="0"/>
                      <w:szCs w:val="21"/>
                      <w:lang w:val="en-US" w:eastAsia="zh-CN"/>
                    </w:rPr>
                    <w:t>339.95</w:t>
                  </w:r>
                  <w:r>
                    <w:rPr>
                      <w:rFonts w:eastAsia="CIDFont+F2"/>
                      <w:color w:val="auto"/>
                      <w:kern w:val="0"/>
                      <w:szCs w:val="21"/>
                    </w:rPr>
                    <w:t>/</w:t>
                  </w:r>
                  <w:r>
                    <w:rPr>
                      <w:rFonts w:hint="eastAsia" w:eastAsia="CIDFont+F2"/>
                      <w:color w:val="auto"/>
                      <w:kern w:val="0"/>
                      <w:szCs w:val="21"/>
                      <w:lang w:val="en-US" w:eastAsia="zh-CN"/>
                    </w:rPr>
                    <w:t>1</w:t>
                  </w:r>
                </w:p>
              </w:tc>
            </w:tr>
            <w:tr w14:paraId="280085F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cantSplit/>
                <w:trHeight w:val="283" w:hRule="atLeast"/>
                <w:jc w:val="center"/>
              </w:trPr>
              <w:tc>
                <w:tcPr>
                  <w:tcW w:w="465" w:type="pct"/>
                  <w:vMerge w:val="continue"/>
                  <w:vAlign w:val="center"/>
                </w:tcPr>
                <w:p w14:paraId="660157A5">
                  <w:pPr>
                    <w:snapToGrid w:val="0"/>
                    <w:spacing w:line="260" w:lineRule="exact"/>
                    <w:jc w:val="center"/>
                    <w:rPr>
                      <w:color w:val="auto"/>
                      <w:szCs w:val="21"/>
                    </w:rPr>
                  </w:pPr>
                </w:p>
              </w:tc>
              <w:tc>
                <w:tcPr>
                  <w:tcW w:w="1788" w:type="pct"/>
                  <w:gridSpan w:val="2"/>
                </w:tcPr>
                <w:p w14:paraId="5C8C3AC4">
                  <w:pPr>
                    <w:pStyle w:val="78"/>
                    <w:spacing w:line="260" w:lineRule="exact"/>
                    <w:rPr>
                      <w:rFonts w:eastAsia="宋体" w:cs="Times New Roman"/>
                      <w:color w:val="auto"/>
                      <w:szCs w:val="21"/>
                    </w:rPr>
                  </w:pPr>
                  <w:r>
                    <w:rPr>
                      <w:rFonts w:eastAsia="宋体" w:cs="Times New Roman"/>
                      <w:color w:val="auto"/>
                      <w:szCs w:val="21"/>
                    </w:rPr>
                    <w:t>中</w:t>
                  </w:r>
                  <w:r>
                    <w:rPr>
                      <w:rFonts w:hint="eastAsia" w:eastAsia="宋体" w:cs="Times New Roman"/>
                      <w:color w:val="auto"/>
                      <w:szCs w:val="21"/>
                      <w:lang w:eastAsia="zh-CN"/>
                    </w:rPr>
                    <w:t>、</w:t>
                  </w:r>
                  <w:r>
                    <w:rPr>
                      <w:rFonts w:hint="eastAsia" w:eastAsia="宋体" w:cs="Times New Roman"/>
                      <w:color w:val="auto"/>
                      <w:szCs w:val="21"/>
                      <w:lang w:val="en-US" w:eastAsia="zh-CN"/>
                    </w:rPr>
                    <w:t>小</w:t>
                  </w:r>
                  <w:r>
                    <w:rPr>
                      <w:rFonts w:eastAsia="宋体" w:cs="Times New Roman"/>
                      <w:color w:val="auto"/>
                      <w:szCs w:val="21"/>
                    </w:rPr>
                    <w:t>桥</w:t>
                  </w:r>
                </w:p>
              </w:tc>
              <w:tc>
                <w:tcPr>
                  <w:tcW w:w="734" w:type="pct"/>
                </w:tcPr>
                <w:p w14:paraId="0AB76BA4">
                  <w:pPr>
                    <w:pStyle w:val="78"/>
                    <w:spacing w:line="260" w:lineRule="exact"/>
                    <w:rPr>
                      <w:rFonts w:eastAsia="宋体" w:cs="Times New Roman"/>
                      <w:color w:val="auto"/>
                      <w:szCs w:val="21"/>
                    </w:rPr>
                  </w:pPr>
                  <w:r>
                    <w:rPr>
                      <w:rFonts w:eastAsia="宋体" w:cs="Times New Roman"/>
                      <w:color w:val="auto"/>
                      <w:szCs w:val="21"/>
                    </w:rPr>
                    <w:t>m/座</w:t>
                  </w:r>
                </w:p>
              </w:tc>
              <w:tc>
                <w:tcPr>
                  <w:tcW w:w="2011" w:type="pct"/>
                  <w:vAlign w:val="top"/>
                </w:tcPr>
                <w:p w14:paraId="39A91E69">
                  <w:pPr>
                    <w:pStyle w:val="78"/>
                    <w:spacing w:line="260" w:lineRule="exact"/>
                    <w:rPr>
                      <w:rFonts w:hint="default" w:eastAsia="CIDFont+F2" w:cs="Times New Roman"/>
                      <w:color w:val="auto"/>
                      <w:szCs w:val="21"/>
                      <w:lang w:val="en-US" w:eastAsia="zh-CN"/>
                    </w:rPr>
                  </w:pPr>
                  <w:r>
                    <w:rPr>
                      <w:rFonts w:hint="eastAsia" w:eastAsia="CIDFont+F2" w:cs="Times New Roman"/>
                      <w:color w:val="auto"/>
                      <w:kern w:val="0"/>
                      <w:szCs w:val="21"/>
                      <w:lang w:val="en-US" w:eastAsia="zh-CN"/>
                    </w:rPr>
                    <w:t>389.62</w:t>
                  </w:r>
                  <w:r>
                    <w:rPr>
                      <w:rFonts w:eastAsia="CIDFont+F2" w:cs="Times New Roman"/>
                      <w:color w:val="auto"/>
                      <w:kern w:val="0"/>
                      <w:szCs w:val="21"/>
                    </w:rPr>
                    <w:t>/</w:t>
                  </w:r>
                  <w:r>
                    <w:rPr>
                      <w:rFonts w:hint="eastAsia" w:eastAsia="CIDFont+F2" w:cs="Times New Roman"/>
                      <w:color w:val="auto"/>
                      <w:kern w:val="0"/>
                      <w:szCs w:val="21"/>
                      <w:lang w:val="en-US" w:eastAsia="zh-CN"/>
                    </w:rPr>
                    <w:t>14</w:t>
                  </w:r>
                </w:p>
              </w:tc>
            </w:tr>
            <w:tr w14:paraId="24AB578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cantSplit/>
                <w:trHeight w:val="283" w:hRule="atLeast"/>
                <w:jc w:val="center"/>
              </w:trPr>
              <w:tc>
                <w:tcPr>
                  <w:tcW w:w="465" w:type="pct"/>
                  <w:vAlign w:val="center"/>
                </w:tcPr>
                <w:p w14:paraId="3827A102">
                  <w:pPr>
                    <w:snapToGrid w:val="0"/>
                    <w:spacing w:line="260" w:lineRule="exact"/>
                    <w:jc w:val="center"/>
                    <w:rPr>
                      <w:rFonts w:hint="eastAsia" w:eastAsia="宋体"/>
                      <w:color w:val="auto"/>
                      <w:szCs w:val="21"/>
                      <w:lang w:val="en-US" w:eastAsia="zh-CN"/>
                    </w:rPr>
                  </w:pPr>
                  <w:r>
                    <w:rPr>
                      <w:rFonts w:hint="eastAsia"/>
                      <w:color w:val="auto"/>
                      <w:szCs w:val="21"/>
                      <w:lang w:val="en-US" w:eastAsia="zh-CN"/>
                    </w:rPr>
                    <w:t>4</w:t>
                  </w:r>
                </w:p>
              </w:tc>
              <w:tc>
                <w:tcPr>
                  <w:tcW w:w="1788" w:type="pct"/>
                  <w:gridSpan w:val="2"/>
                </w:tcPr>
                <w:p w14:paraId="6F12F7AF">
                  <w:pPr>
                    <w:pStyle w:val="78"/>
                    <w:spacing w:line="260" w:lineRule="exact"/>
                    <w:rPr>
                      <w:rFonts w:hint="default" w:eastAsia="宋体" w:cs="Times New Roman"/>
                      <w:color w:val="auto"/>
                      <w:szCs w:val="21"/>
                      <w:lang w:val="en-US" w:eastAsia="zh-CN"/>
                    </w:rPr>
                  </w:pPr>
                  <w:r>
                    <w:rPr>
                      <w:rFonts w:hint="eastAsia" w:eastAsia="宋体" w:cs="Times New Roman"/>
                      <w:color w:val="auto"/>
                      <w:szCs w:val="21"/>
                      <w:lang w:val="en-US" w:eastAsia="zh-CN"/>
                    </w:rPr>
                    <w:t>立体交叉</w:t>
                  </w:r>
                </w:p>
              </w:tc>
              <w:tc>
                <w:tcPr>
                  <w:tcW w:w="734" w:type="pct"/>
                </w:tcPr>
                <w:p w14:paraId="5859C543">
                  <w:pPr>
                    <w:pStyle w:val="78"/>
                    <w:spacing w:line="260" w:lineRule="exact"/>
                    <w:rPr>
                      <w:rFonts w:hint="eastAsia" w:eastAsia="宋体" w:cs="Times New Roman"/>
                      <w:color w:val="auto"/>
                      <w:szCs w:val="21"/>
                      <w:lang w:val="en-US" w:eastAsia="zh-CN"/>
                    </w:rPr>
                  </w:pPr>
                  <w:r>
                    <w:rPr>
                      <w:rFonts w:hint="eastAsia" w:eastAsia="宋体" w:cs="Times New Roman"/>
                      <w:color w:val="auto"/>
                      <w:szCs w:val="21"/>
                      <w:lang w:val="en-US" w:eastAsia="zh-CN"/>
                    </w:rPr>
                    <w:t>处</w:t>
                  </w:r>
                </w:p>
              </w:tc>
              <w:tc>
                <w:tcPr>
                  <w:tcW w:w="2011" w:type="pct"/>
                </w:tcPr>
                <w:p w14:paraId="611C9F99">
                  <w:pPr>
                    <w:pStyle w:val="78"/>
                    <w:spacing w:line="260" w:lineRule="exact"/>
                    <w:rPr>
                      <w:rFonts w:hint="default" w:eastAsia="CIDFont+F2" w:cs="Times New Roman"/>
                      <w:color w:val="auto"/>
                      <w:kern w:val="0"/>
                      <w:szCs w:val="21"/>
                      <w:lang w:val="en-US" w:eastAsia="zh-CN"/>
                    </w:rPr>
                  </w:pPr>
                  <w:r>
                    <w:rPr>
                      <w:rFonts w:hint="eastAsia" w:eastAsia="CIDFont+F2" w:cs="Times New Roman"/>
                      <w:color w:val="auto"/>
                      <w:kern w:val="0"/>
                      <w:szCs w:val="21"/>
                      <w:lang w:val="en-US" w:eastAsia="zh-CN"/>
                    </w:rPr>
                    <w:t>4</w:t>
                  </w:r>
                </w:p>
              </w:tc>
            </w:tr>
            <w:tr w14:paraId="60F47C7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cantSplit/>
                <w:trHeight w:val="283" w:hRule="atLeast"/>
                <w:jc w:val="center"/>
              </w:trPr>
              <w:tc>
                <w:tcPr>
                  <w:tcW w:w="465" w:type="pct"/>
                  <w:vAlign w:val="center"/>
                </w:tcPr>
                <w:p w14:paraId="5517E32F">
                  <w:pPr>
                    <w:snapToGrid w:val="0"/>
                    <w:jc w:val="center"/>
                    <w:rPr>
                      <w:rFonts w:hint="eastAsia" w:eastAsia="宋体"/>
                      <w:color w:val="auto"/>
                      <w:szCs w:val="21"/>
                      <w:lang w:eastAsia="zh-CN"/>
                    </w:rPr>
                  </w:pPr>
                  <w:r>
                    <w:rPr>
                      <w:rFonts w:hint="eastAsia"/>
                      <w:color w:val="auto"/>
                      <w:szCs w:val="21"/>
                      <w:lang w:val="en-US" w:eastAsia="zh-CN"/>
                    </w:rPr>
                    <w:t>5</w:t>
                  </w:r>
                </w:p>
              </w:tc>
              <w:tc>
                <w:tcPr>
                  <w:tcW w:w="1788" w:type="pct"/>
                  <w:gridSpan w:val="2"/>
                  <w:vAlign w:val="center"/>
                </w:tcPr>
                <w:p w14:paraId="107369B4">
                  <w:pPr>
                    <w:snapToGrid w:val="0"/>
                    <w:jc w:val="center"/>
                    <w:rPr>
                      <w:color w:val="auto"/>
                      <w:szCs w:val="21"/>
                    </w:rPr>
                  </w:pPr>
                  <w:r>
                    <w:rPr>
                      <w:rFonts w:hint="eastAsia" w:hAnsi="宋体"/>
                      <w:color w:val="auto"/>
                      <w:szCs w:val="21"/>
                    </w:rPr>
                    <w:t>平面</w:t>
                  </w:r>
                  <w:r>
                    <w:rPr>
                      <w:rFonts w:hAnsi="宋体"/>
                      <w:color w:val="auto"/>
                      <w:szCs w:val="21"/>
                    </w:rPr>
                    <w:t>交叉</w:t>
                  </w:r>
                </w:p>
              </w:tc>
              <w:tc>
                <w:tcPr>
                  <w:tcW w:w="734" w:type="pct"/>
                  <w:vAlign w:val="center"/>
                </w:tcPr>
                <w:p w14:paraId="36AAD9E2">
                  <w:pPr>
                    <w:jc w:val="center"/>
                    <w:rPr>
                      <w:color w:val="auto"/>
                      <w:szCs w:val="21"/>
                    </w:rPr>
                  </w:pPr>
                  <w:r>
                    <w:rPr>
                      <w:rFonts w:hAnsi="宋体"/>
                      <w:color w:val="auto"/>
                      <w:szCs w:val="21"/>
                    </w:rPr>
                    <w:t>处</w:t>
                  </w:r>
                </w:p>
              </w:tc>
              <w:tc>
                <w:tcPr>
                  <w:tcW w:w="2011" w:type="pct"/>
                  <w:vAlign w:val="center"/>
                </w:tcPr>
                <w:p w14:paraId="5375957B">
                  <w:pPr>
                    <w:jc w:val="center"/>
                    <w:rPr>
                      <w:rFonts w:hint="default" w:eastAsia="宋体"/>
                      <w:color w:val="auto"/>
                      <w:szCs w:val="21"/>
                      <w:lang w:val="en-US" w:eastAsia="zh-CN"/>
                    </w:rPr>
                  </w:pPr>
                  <w:r>
                    <w:rPr>
                      <w:rFonts w:hint="eastAsia"/>
                      <w:color w:val="auto"/>
                      <w:szCs w:val="21"/>
                      <w:lang w:val="en-US" w:eastAsia="zh-CN"/>
                    </w:rPr>
                    <w:t>32</w:t>
                  </w:r>
                </w:p>
              </w:tc>
            </w:tr>
            <w:tr w14:paraId="69442D6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cantSplit/>
                <w:trHeight w:val="283" w:hRule="atLeast"/>
                <w:jc w:val="center"/>
              </w:trPr>
              <w:tc>
                <w:tcPr>
                  <w:tcW w:w="465" w:type="pct"/>
                  <w:vAlign w:val="center"/>
                </w:tcPr>
                <w:p w14:paraId="1E584AA2">
                  <w:pPr>
                    <w:snapToGrid w:val="0"/>
                    <w:jc w:val="center"/>
                    <w:rPr>
                      <w:rFonts w:hint="eastAsia" w:eastAsia="宋体"/>
                      <w:color w:val="auto"/>
                      <w:szCs w:val="21"/>
                      <w:lang w:eastAsia="zh-CN"/>
                    </w:rPr>
                  </w:pPr>
                  <w:r>
                    <w:rPr>
                      <w:rFonts w:hint="eastAsia"/>
                      <w:color w:val="auto"/>
                      <w:szCs w:val="21"/>
                      <w:lang w:val="en-US" w:eastAsia="zh-CN"/>
                    </w:rPr>
                    <w:t>6</w:t>
                  </w:r>
                </w:p>
              </w:tc>
              <w:tc>
                <w:tcPr>
                  <w:tcW w:w="1788" w:type="pct"/>
                  <w:gridSpan w:val="2"/>
                  <w:vAlign w:val="center"/>
                </w:tcPr>
                <w:p w14:paraId="3C33FB6C">
                  <w:pPr>
                    <w:snapToGrid w:val="0"/>
                    <w:jc w:val="center"/>
                    <w:rPr>
                      <w:color w:val="auto"/>
                      <w:szCs w:val="21"/>
                    </w:rPr>
                  </w:pPr>
                  <w:r>
                    <w:rPr>
                      <w:rFonts w:hAnsi="宋体"/>
                      <w:color w:val="auto"/>
                      <w:szCs w:val="21"/>
                    </w:rPr>
                    <w:t>涵洞</w:t>
                  </w:r>
                </w:p>
              </w:tc>
              <w:tc>
                <w:tcPr>
                  <w:tcW w:w="734" w:type="pct"/>
                  <w:vAlign w:val="center"/>
                </w:tcPr>
                <w:p w14:paraId="31413E85">
                  <w:pPr>
                    <w:snapToGrid w:val="0"/>
                    <w:jc w:val="center"/>
                    <w:rPr>
                      <w:color w:val="auto"/>
                      <w:szCs w:val="21"/>
                    </w:rPr>
                  </w:pPr>
                  <w:r>
                    <w:rPr>
                      <w:rFonts w:hAnsi="宋体"/>
                      <w:color w:val="auto"/>
                      <w:szCs w:val="21"/>
                    </w:rPr>
                    <w:t>道</w:t>
                  </w:r>
                </w:p>
              </w:tc>
              <w:tc>
                <w:tcPr>
                  <w:tcW w:w="2011" w:type="pct"/>
                  <w:vAlign w:val="center"/>
                </w:tcPr>
                <w:p w14:paraId="2F083774">
                  <w:pPr>
                    <w:jc w:val="center"/>
                    <w:rPr>
                      <w:rFonts w:hint="default" w:eastAsia="宋体"/>
                      <w:color w:val="auto"/>
                      <w:szCs w:val="21"/>
                      <w:lang w:val="en-US" w:eastAsia="zh-CN"/>
                    </w:rPr>
                  </w:pPr>
                  <w:r>
                    <w:rPr>
                      <w:rFonts w:hint="eastAsia"/>
                      <w:color w:val="auto"/>
                      <w:szCs w:val="21"/>
                      <w:lang w:val="en-US" w:eastAsia="zh-CN"/>
                    </w:rPr>
                    <w:t>197</w:t>
                  </w:r>
                </w:p>
              </w:tc>
            </w:tr>
            <w:tr w14:paraId="5818F92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cantSplit/>
                <w:trHeight w:val="283" w:hRule="atLeast"/>
                <w:jc w:val="center"/>
              </w:trPr>
              <w:tc>
                <w:tcPr>
                  <w:tcW w:w="465" w:type="pct"/>
                  <w:vAlign w:val="center"/>
                </w:tcPr>
                <w:p w14:paraId="76B970AD">
                  <w:pPr>
                    <w:snapToGrid w:val="0"/>
                    <w:jc w:val="center"/>
                    <w:rPr>
                      <w:rFonts w:hint="eastAsia" w:eastAsia="宋体"/>
                      <w:color w:val="auto"/>
                      <w:szCs w:val="21"/>
                      <w:lang w:val="en-US" w:eastAsia="zh-CN"/>
                    </w:rPr>
                  </w:pPr>
                  <w:r>
                    <w:rPr>
                      <w:rFonts w:hint="eastAsia"/>
                      <w:color w:val="auto"/>
                      <w:szCs w:val="21"/>
                      <w:lang w:val="en-US" w:eastAsia="zh-CN"/>
                    </w:rPr>
                    <w:t>7</w:t>
                  </w:r>
                </w:p>
              </w:tc>
              <w:tc>
                <w:tcPr>
                  <w:tcW w:w="1788" w:type="pct"/>
                  <w:gridSpan w:val="2"/>
                  <w:vAlign w:val="center"/>
                </w:tcPr>
                <w:p w14:paraId="338E400B">
                  <w:pPr>
                    <w:snapToGrid w:val="0"/>
                    <w:jc w:val="center"/>
                    <w:rPr>
                      <w:rFonts w:hint="eastAsia" w:hAnsi="宋体" w:eastAsia="宋体"/>
                      <w:color w:val="auto"/>
                      <w:szCs w:val="21"/>
                      <w:lang w:val="en-US" w:eastAsia="zh-CN"/>
                    </w:rPr>
                  </w:pPr>
                  <w:r>
                    <w:rPr>
                      <w:rFonts w:hint="eastAsia" w:hAnsi="宋体"/>
                      <w:color w:val="auto"/>
                      <w:szCs w:val="21"/>
                      <w:lang w:val="en-US" w:eastAsia="zh-CN"/>
                    </w:rPr>
                    <w:t>通道</w:t>
                  </w:r>
                </w:p>
              </w:tc>
              <w:tc>
                <w:tcPr>
                  <w:tcW w:w="734" w:type="pct"/>
                  <w:vAlign w:val="center"/>
                </w:tcPr>
                <w:p w14:paraId="1FCD4BB8">
                  <w:pPr>
                    <w:snapToGrid w:val="0"/>
                    <w:jc w:val="center"/>
                    <w:rPr>
                      <w:rFonts w:hint="eastAsia" w:hAnsi="宋体" w:eastAsia="宋体"/>
                      <w:color w:val="auto"/>
                      <w:szCs w:val="21"/>
                      <w:lang w:val="en-US" w:eastAsia="zh-CN"/>
                    </w:rPr>
                  </w:pPr>
                  <w:r>
                    <w:rPr>
                      <w:rFonts w:hint="eastAsia" w:hAnsi="宋体"/>
                      <w:color w:val="auto"/>
                      <w:szCs w:val="21"/>
                      <w:lang w:val="en-US" w:eastAsia="zh-CN"/>
                    </w:rPr>
                    <w:t>道</w:t>
                  </w:r>
                </w:p>
              </w:tc>
              <w:tc>
                <w:tcPr>
                  <w:tcW w:w="2011" w:type="pct"/>
                  <w:vAlign w:val="center"/>
                </w:tcPr>
                <w:p w14:paraId="5A6CA721">
                  <w:pPr>
                    <w:jc w:val="center"/>
                    <w:rPr>
                      <w:rFonts w:hint="default"/>
                      <w:color w:val="auto"/>
                      <w:szCs w:val="21"/>
                      <w:lang w:val="en-US" w:eastAsia="zh-CN"/>
                    </w:rPr>
                  </w:pPr>
                  <w:r>
                    <w:rPr>
                      <w:rFonts w:hint="eastAsia"/>
                      <w:color w:val="auto"/>
                      <w:szCs w:val="21"/>
                      <w:lang w:val="en-US" w:eastAsia="zh-CN"/>
                    </w:rPr>
                    <w:t>12</w:t>
                  </w:r>
                </w:p>
              </w:tc>
            </w:tr>
            <w:tr w14:paraId="3EA2253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cantSplit/>
                <w:trHeight w:val="283" w:hRule="atLeast"/>
                <w:jc w:val="center"/>
              </w:trPr>
              <w:tc>
                <w:tcPr>
                  <w:tcW w:w="465" w:type="pct"/>
                  <w:vAlign w:val="center"/>
                </w:tcPr>
                <w:p w14:paraId="778E1D68">
                  <w:pPr>
                    <w:snapToGrid w:val="0"/>
                    <w:jc w:val="center"/>
                    <w:rPr>
                      <w:rFonts w:hint="eastAsia" w:eastAsia="宋体"/>
                      <w:color w:val="auto"/>
                      <w:szCs w:val="21"/>
                      <w:lang w:eastAsia="zh-CN"/>
                    </w:rPr>
                  </w:pPr>
                  <w:r>
                    <w:rPr>
                      <w:rFonts w:hint="eastAsia"/>
                      <w:color w:val="auto"/>
                      <w:szCs w:val="21"/>
                      <w:lang w:val="en-US" w:eastAsia="zh-CN"/>
                    </w:rPr>
                    <w:t>8</w:t>
                  </w:r>
                </w:p>
              </w:tc>
              <w:tc>
                <w:tcPr>
                  <w:tcW w:w="1788" w:type="pct"/>
                  <w:gridSpan w:val="2"/>
                  <w:vAlign w:val="center"/>
                </w:tcPr>
                <w:p w14:paraId="220B14F2">
                  <w:pPr>
                    <w:snapToGrid w:val="0"/>
                    <w:jc w:val="center"/>
                    <w:rPr>
                      <w:rFonts w:hint="eastAsia" w:hAnsi="宋体"/>
                      <w:color w:val="auto"/>
                      <w:szCs w:val="21"/>
                    </w:rPr>
                  </w:pPr>
                  <w:r>
                    <w:rPr>
                      <w:rFonts w:hint="eastAsia" w:hAnsi="宋体"/>
                      <w:color w:val="auto"/>
                      <w:szCs w:val="21"/>
                      <w:lang w:val="en-US" w:eastAsia="zh-CN"/>
                    </w:rPr>
                    <w:t>人行</w:t>
                  </w:r>
                  <w:r>
                    <w:rPr>
                      <w:rFonts w:hAnsi="宋体"/>
                      <w:color w:val="auto"/>
                      <w:szCs w:val="21"/>
                    </w:rPr>
                    <w:t>天桥</w:t>
                  </w:r>
                </w:p>
              </w:tc>
              <w:tc>
                <w:tcPr>
                  <w:tcW w:w="734" w:type="pct"/>
                  <w:vAlign w:val="center"/>
                </w:tcPr>
                <w:p w14:paraId="1E2F4CA0">
                  <w:pPr>
                    <w:snapToGrid w:val="0"/>
                    <w:jc w:val="center"/>
                    <w:rPr>
                      <w:rFonts w:hint="eastAsia" w:hAnsi="宋体"/>
                      <w:color w:val="auto"/>
                      <w:szCs w:val="21"/>
                    </w:rPr>
                  </w:pPr>
                  <w:r>
                    <w:rPr>
                      <w:rFonts w:hAnsi="宋体"/>
                      <w:color w:val="auto"/>
                      <w:szCs w:val="21"/>
                    </w:rPr>
                    <w:t>座</w:t>
                  </w:r>
                </w:p>
              </w:tc>
              <w:tc>
                <w:tcPr>
                  <w:tcW w:w="2011" w:type="pct"/>
                  <w:vAlign w:val="center"/>
                </w:tcPr>
                <w:p w14:paraId="179B5F42">
                  <w:pPr>
                    <w:jc w:val="center"/>
                    <w:rPr>
                      <w:color w:val="auto"/>
                      <w:szCs w:val="21"/>
                    </w:rPr>
                  </w:pPr>
                  <w:r>
                    <w:rPr>
                      <w:rFonts w:hint="eastAsia"/>
                      <w:color w:val="auto"/>
                      <w:szCs w:val="21"/>
                    </w:rPr>
                    <w:t>1</w:t>
                  </w:r>
                </w:p>
              </w:tc>
            </w:tr>
            <w:tr w14:paraId="7B7FAEC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cantSplit/>
                <w:trHeight w:val="283" w:hRule="atLeast"/>
                <w:jc w:val="center"/>
              </w:trPr>
              <w:tc>
                <w:tcPr>
                  <w:tcW w:w="465" w:type="pct"/>
                  <w:vAlign w:val="center"/>
                </w:tcPr>
                <w:p w14:paraId="6D7B9330">
                  <w:pPr>
                    <w:snapToGrid w:val="0"/>
                    <w:jc w:val="center"/>
                    <w:rPr>
                      <w:rFonts w:hint="eastAsia" w:eastAsia="宋体"/>
                      <w:color w:val="auto"/>
                      <w:szCs w:val="21"/>
                      <w:lang w:eastAsia="zh-CN"/>
                    </w:rPr>
                  </w:pPr>
                  <w:r>
                    <w:rPr>
                      <w:rFonts w:hint="eastAsia"/>
                      <w:color w:val="auto"/>
                      <w:szCs w:val="21"/>
                      <w:lang w:val="en-US" w:eastAsia="zh-CN"/>
                    </w:rPr>
                    <w:t>9</w:t>
                  </w:r>
                </w:p>
              </w:tc>
              <w:tc>
                <w:tcPr>
                  <w:tcW w:w="1788" w:type="pct"/>
                  <w:gridSpan w:val="2"/>
                  <w:vAlign w:val="center"/>
                </w:tcPr>
                <w:p w14:paraId="38CA8635">
                  <w:pPr>
                    <w:snapToGrid w:val="0"/>
                    <w:jc w:val="center"/>
                    <w:rPr>
                      <w:rFonts w:hint="eastAsia" w:eastAsia="宋体"/>
                      <w:color w:val="auto"/>
                      <w:szCs w:val="21"/>
                      <w:lang w:eastAsia="zh-CN"/>
                    </w:rPr>
                  </w:pPr>
                  <w:r>
                    <w:rPr>
                      <w:rFonts w:hint="eastAsia" w:hAnsi="宋体"/>
                      <w:color w:val="auto"/>
                      <w:szCs w:val="21"/>
                      <w:lang w:val="en-US" w:eastAsia="zh-CN"/>
                    </w:rPr>
                    <w:t>收费站</w:t>
                  </w:r>
                </w:p>
              </w:tc>
              <w:tc>
                <w:tcPr>
                  <w:tcW w:w="734" w:type="pct"/>
                  <w:vAlign w:val="center"/>
                </w:tcPr>
                <w:p w14:paraId="4C8B7D23">
                  <w:pPr>
                    <w:pStyle w:val="79"/>
                    <w:snapToGrid w:val="0"/>
                    <w:spacing w:line="240" w:lineRule="auto"/>
                    <w:ind w:firstLine="0"/>
                    <w:jc w:val="center"/>
                    <w:rPr>
                      <w:rFonts w:eastAsia="宋体"/>
                      <w:color w:val="auto"/>
                      <w:kern w:val="2"/>
                      <w:sz w:val="21"/>
                      <w:szCs w:val="21"/>
                    </w:rPr>
                  </w:pPr>
                  <w:r>
                    <w:rPr>
                      <w:rFonts w:hAnsi="宋体" w:eastAsia="宋体"/>
                      <w:color w:val="auto"/>
                      <w:kern w:val="2"/>
                      <w:sz w:val="21"/>
                      <w:szCs w:val="21"/>
                    </w:rPr>
                    <w:t>处</w:t>
                  </w:r>
                </w:p>
              </w:tc>
              <w:tc>
                <w:tcPr>
                  <w:tcW w:w="2011" w:type="pct"/>
                  <w:vAlign w:val="center"/>
                </w:tcPr>
                <w:p w14:paraId="1E4C9869">
                  <w:pPr>
                    <w:pStyle w:val="79"/>
                    <w:snapToGrid w:val="0"/>
                    <w:spacing w:line="240" w:lineRule="auto"/>
                    <w:ind w:firstLine="0"/>
                    <w:jc w:val="center"/>
                    <w:rPr>
                      <w:rFonts w:hint="eastAsia" w:eastAsia="宋体"/>
                      <w:color w:val="auto"/>
                      <w:kern w:val="2"/>
                      <w:sz w:val="21"/>
                      <w:szCs w:val="21"/>
                      <w:lang w:eastAsia="zh-CN"/>
                    </w:rPr>
                  </w:pPr>
                  <w:r>
                    <w:rPr>
                      <w:rFonts w:hint="eastAsia" w:eastAsia="宋体"/>
                      <w:color w:val="auto"/>
                      <w:kern w:val="2"/>
                      <w:sz w:val="21"/>
                      <w:szCs w:val="21"/>
                      <w:lang w:val="en-US" w:eastAsia="zh-CN"/>
                    </w:rPr>
                    <w:t>1</w:t>
                  </w:r>
                </w:p>
              </w:tc>
            </w:tr>
            <w:tr w14:paraId="59ED088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cantSplit/>
                <w:trHeight w:val="283" w:hRule="atLeast"/>
                <w:jc w:val="center"/>
              </w:trPr>
              <w:tc>
                <w:tcPr>
                  <w:tcW w:w="465" w:type="pct"/>
                  <w:vAlign w:val="center"/>
                </w:tcPr>
                <w:p w14:paraId="6C624404">
                  <w:pPr>
                    <w:snapToGrid w:val="0"/>
                    <w:jc w:val="center"/>
                    <w:rPr>
                      <w:rFonts w:hint="default" w:eastAsia="宋体"/>
                      <w:color w:val="auto"/>
                      <w:szCs w:val="21"/>
                      <w:lang w:val="en-US" w:eastAsia="zh-CN"/>
                    </w:rPr>
                  </w:pPr>
                  <w:r>
                    <w:rPr>
                      <w:rFonts w:hint="eastAsia"/>
                      <w:color w:val="auto"/>
                      <w:szCs w:val="21"/>
                      <w:lang w:val="en-US" w:eastAsia="zh-CN"/>
                    </w:rPr>
                    <w:t>10</w:t>
                  </w:r>
                </w:p>
              </w:tc>
              <w:tc>
                <w:tcPr>
                  <w:tcW w:w="1788" w:type="pct"/>
                  <w:gridSpan w:val="2"/>
                  <w:vAlign w:val="center"/>
                </w:tcPr>
                <w:p w14:paraId="10D8415F">
                  <w:pPr>
                    <w:snapToGrid w:val="0"/>
                    <w:jc w:val="center"/>
                    <w:rPr>
                      <w:rFonts w:hint="eastAsia" w:hAnsi="宋体"/>
                      <w:color w:val="auto"/>
                      <w:szCs w:val="21"/>
                    </w:rPr>
                  </w:pPr>
                  <w:r>
                    <w:rPr>
                      <w:rFonts w:hAnsi="宋体"/>
                      <w:color w:val="auto"/>
                      <w:szCs w:val="21"/>
                    </w:rPr>
                    <w:t>养护工区</w:t>
                  </w:r>
                </w:p>
              </w:tc>
              <w:tc>
                <w:tcPr>
                  <w:tcW w:w="734" w:type="pct"/>
                  <w:vAlign w:val="center"/>
                </w:tcPr>
                <w:p w14:paraId="53508CFD">
                  <w:pPr>
                    <w:pStyle w:val="79"/>
                    <w:snapToGrid w:val="0"/>
                    <w:spacing w:line="240" w:lineRule="auto"/>
                    <w:ind w:firstLine="0"/>
                    <w:jc w:val="center"/>
                    <w:rPr>
                      <w:rFonts w:hint="eastAsia" w:hAnsi="宋体" w:eastAsia="宋体"/>
                      <w:color w:val="auto"/>
                      <w:kern w:val="2"/>
                      <w:sz w:val="21"/>
                      <w:szCs w:val="21"/>
                    </w:rPr>
                  </w:pPr>
                  <w:r>
                    <w:rPr>
                      <w:rFonts w:hAnsi="宋体" w:eastAsia="宋体"/>
                      <w:color w:val="auto"/>
                      <w:kern w:val="2"/>
                      <w:sz w:val="21"/>
                      <w:szCs w:val="21"/>
                    </w:rPr>
                    <w:t>处</w:t>
                  </w:r>
                </w:p>
              </w:tc>
              <w:tc>
                <w:tcPr>
                  <w:tcW w:w="2011" w:type="pct"/>
                  <w:vAlign w:val="center"/>
                </w:tcPr>
                <w:p w14:paraId="543D9795">
                  <w:pPr>
                    <w:pStyle w:val="79"/>
                    <w:snapToGrid w:val="0"/>
                    <w:spacing w:line="240" w:lineRule="auto"/>
                    <w:ind w:firstLine="0"/>
                    <w:jc w:val="center"/>
                    <w:rPr>
                      <w:rFonts w:hint="eastAsia" w:eastAsia="宋体"/>
                      <w:color w:val="auto"/>
                      <w:kern w:val="2"/>
                      <w:sz w:val="21"/>
                      <w:szCs w:val="21"/>
                      <w:lang w:eastAsia="zh-CN"/>
                    </w:rPr>
                  </w:pPr>
                  <w:r>
                    <w:rPr>
                      <w:rFonts w:hint="eastAsia" w:eastAsia="宋体"/>
                      <w:color w:val="auto"/>
                      <w:kern w:val="2"/>
                      <w:sz w:val="21"/>
                      <w:szCs w:val="21"/>
                      <w:lang w:val="en-US" w:eastAsia="zh-CN"/>
                    </w:rPr>
                    <w:t>1</w:t>
                  </w:r>
                </w:p>
              </w:tc>
            </w:tr>
            <w:tr w14:paraId="7CD43B0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cantSplit/>
                <w:trHeight w:val="283" w:hRule="atLeast"/>
                <w:jc w:val="center"/>
              </w:trPr>
              <w:tc>
                <w:tcPr>
                  <w:tcW w:w="465" w:type="pct"/>
                  <w:vAlign w:val="center"/>
                </w:tcPr>
                <w:p w14:paraId="756CA48A">
                  <w:pPr>
                    <w:widowControl/>
                    <w:jc w:val="center"/>
                    <w:rPr>
                      <w:rFonts w:hint="default" w:eastAsia="宋体"/>
                      <w:color w:val="auto"/>
                      <w:szCs w:val="21"/>
                      <w:lang w:val="en-US" w:eastAsia="zh-CN"/>
                    </w:rPr>
                  </w:pPr>
                  <w:r>
                    <w:rPr>
                      <w:rFonts w:hint="eastAsia"/>
                      <w:color w:val="auto"/>
                      <w:szCs w:val="21"/>
                      <w:lang w:val="en-US" w:eastAsia="zh-CN"/>
                    </w:rPr>
                    <w:t>11</w:t>
                  </w:r>
                </w:p>
              </w:tc>
              <w:tc>
                <w:tcPr>
                  <w:tcW w:w="1788" w:type="pct"/>
                  <w:gridSpan w:val="2"/>
                  <w:vAlign w:val="center"/>
                </w:tcPr>
                <w:p w14:paraId="63F1343F">
                  <w:pPr>
                    <w:snapToGrid w:val="0"/>
                    <w:jc w:val="center"/>
                    <w:rPr>
                      <w:rFonts w:hint="default" w:hAnsi="宋体" w:eastAsia="宋体"/>
                      <w:color w:val="auto"/>
                      <w:szCs w:val="21"/>
                      <w:lang w:val="en-US" w:eastAsia="zh-CN"/>
                    </w:rPr>
                  </w:pPr>
                  <w:r>
                    <w:rPr>
                      <w:rFonts w:hint="eastAsia" w:hAnsi="宋体"/>
                      <w:color w:val="auto"/>
                      <w:szCs w:val="21"/>
                      <w:lang w:val="en-US" w:eastAsia="zh-CN"/>
                    </w:rPr>
                    <w:t>监控管理分中心</w:t>
                  </w:r>
                </w:p>
              </w:tc>
              <w:tc>
                <w:tcPr>
                  <w:tcW w:w="734" w:type="pct"/>
                  <w:vAlign w:val="center"/>
                </w:tcPr>
                <w:p w14:paraId="376E474E">
                  <w:pPr>
                    <w:pStyle w:val="79"/>
                    <w:snapToGrid w:val="0"/>
                    <w:spacing w:line="240" w:lineRule="auto"/>
                    <w:ind w:firstLine="0"/>
                    <w:jc w:val="center"/>
                    <w:rPr>
                      <w:rFonts w:hint="eastAsia" w:hAnsi="宋体" w:eastAsia="宋体"/>
                      <w:color w:val="auto"/>
                      <w:kern w:val="2"/>
                      <w:sz w:val="21"/>
                      <w:szCs w:val="21"/>
                    </w:rPr>
                  </w:pPr>
                  <w:r>
                    <w:rPr>
                      <w:rFonts w:hAnsi="宋体" w:eastAsia="宋体"/>
                      <w:color w:val="auto"/>
                      <w:kern w:val="2"/>
                      <w:sz w:val="21"/>
                      <w:szCs w:val="21"/>
                    </w:rPr>
                    <w:t>处</w:t>
                  </w:r>
                </w:p>
              </w:tc>
              <w:tc>
                <w:tcPr>
                  <w:tcW w:w="2011" w:type="pct"/>
                  <w:vAlign w:val="center"/>
                </w:tcPr>
                <w:p w14:paraId="1CB23CD3">
                  <w:pPr>
                    <w:pStyle w:val="79"/>
                    <w:snapToGrid w:val="0"/>
                    <w:spacing w:line="240" w:lineRule="auto"/>
                    <w:ind w:firstLine="0"/>
                    <w:jc w:val="center"/>
                    <w:rPr>
                      <w:rFonts w:eastAsia="宋体"/>
                      <w:color w:val="auto"/>
                      <w:kern w:val="2"/>
                      <w:sz w:val="21"/>
                      <w:szCs w:val="21"/>
                    </w:rPr>
                  </w:pPr>
                  <w:r>
                    <w:rPr>
                      <w:rFonts w:hint="eastAsia" w:eastAsia="宋体"/>
                      <w:color w:val="auto"/>
                      <w:kern w:val="2"/>
                      <w:sz w:val="21"/>
                      <w:szCs w:val="21"/>
                    </w:rPr>
                    <w:t>1</w:t>
                  </w:r>
                </w:p>
              </w:tc>
            </w:tr>
            <w:tr w14:paraId="27C1615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cantSplit/>
                <w:trHeight w:val="283" w:hRule="atLeast"/>
                <w:jc w:val="center"/>
              </w:trPr>
              <w:tc>
                <w:tcPr>
                  <w:tcW w:w="465" w:type="pct"/>
                  <w:vAlign w:val="center"/>
                </w:tcPr>
                <w:p w14:paraId="74EA37BD">
                  <w:pPr>
                    <w:widowControl/>
                    <w:jc w:val="center"/>
                    <w:rPr>
                      <w:rFonts w:hint="eastAsia" w:eastAsia="宋体"/>
                      <w:color w:val="auto"/>
                      <w:szCs w:val="21"/>
                      <w:lang w:eastAsia="zh-CN"/>
                    </w:rPr>
                  </w:pPr>
                  <w:r>
                    <w:rPr>
                      <w:rFonts w:hint="eastAsia"/>
                      <w:color w:val="auto"/>
                      <w:szCs w:val="21"/>
                    </w:rPr>
                    <w:t>1</w:t>
                  </w:r>
                  <w:r>
                    <w:rPr>
                      <w:rFonts w:hint="eastAsia"/>
                      <w:color w:val="auto"/>
                      <w:szCs w:val="21"/>
                      <w:lang w:val="en-US" w:eastAsia="zh-CN"/>
                    </w:rPr>
                    <w:t>2</w:t>
                  </w:r>
                </w:p>
              </w:tc>
              <w:tc>
                <w:tcPr>
                  <w:tcW w:w="1788" w:type="pct"/>
                  <w:gridSpan w:val="2"/>
                  <w:vAlign w:val="center"/>
                </w:tcPr>
                <w:p w14:paraId="58693B94">
                  <w:pPr>
                    <w:snapToGrid w:val="0"/>
                    <w:jc w:val="center"/>
                    <w:rPr>
                      <w:rFonts w:hint="default" w:hAnsi="宋体" w:eastAsia="宋体"/>
                      <w:color w:val="auto"/>
                      <w:szCs w:val="21"/>
                      <w:lang w:val="en-US" w:eastAsia="zh-CN"/>
                    </w:rPr>
                  </w:pPr>
                  <w:r>
                    <w:rPr>
                      <w:rFonts w:hAnsi="宋体"/>
                      <w:color w:val="auto"/>
                      <w:szCs w:val="21"/>
                    </w:rPr>
                    <w:t>路政</w:t>
                  </w:r>
                  <w:r>
                    <w:rPr>
                      <w:rFonts w:hint="eastAsia" w:hAnsi="宋体"/>
                      <w:color w:val="auto"/>
                      <w:szCs w:val="21"/>
                      <w:lang w:val="en-US" w:eastAsia="zh-CN"/>
                    </w:rPr>
                    <w:t>执法用房</w:t>
                  </w:r>
                </w:p>
              </w:tc>
              <w:tc>
                <w:tcPr>
                  <w:tcW w:w="734" w:type="pct"/>
                  <w:vAlign w:val="center"/>
                </w:tcPr>
                <w:p w14:paraId="581F8896">
                  <w:pPr>
                    <w:pStyle w:val="79"/>
                    <w:snapToGrid w:val="0"/>
                    <w:spacing w:line="240" w:lineRule="auto"/>
                    <w:ind w:firstLine="0"/>
                    <w:jc w:val="center"/>
                    <w:rPr>
                      <w:rFonts w:hint="eastAsia" w:hAnsi="宋体" w:eastAsia="宋体"/>
                      <w:color w:val="auto"/>
                      <w:kern w:val="2"/>
                      <w:sz w:val="21"/>
                      <w:szCs w:val="21"/>
                    </w:rPr>
                  </w:pPr>
                  <w:r>
                    <w:rPr>
                      <w:rFonts w:hAnsi="宋体" w:eastAsia="宋体"/>
                      <w:color w:val="auto"/>
                      <w:kern w:val="2"/>
                      <w:sz w:val="21"/>
                      <w:szCs w:val="21"/>
                    </w:rPr>
                    <w:t>处</w:t>
                  </w:r>
                </w:p>
              </w:tc>
              <w:tc>
                <w:tcPr>
                  <w:tcW w:w="2011" w:type="pct"/>
                  <w:vAlign w:val="center"/>
                </w:tcPr>
                <w:p w14:paraId="4CC7CAF1">
                  <w:pPr>
                    <w:pStyle w:val="79"/>
                    <w:snapToGrid w:val="0"/>
                    <w:spacing w:line="240" w:lineRule="auto"/>
                    <w:ind w:firstLine="0"/>
                    <w:jc w:val="center"/>
                    <w:rPr>
                      <w:rFonts w:hint="eastAsia" w:eastAsia="宋体"/>
                      <w:color w:val="auto"/>
                      <w:kern w:val="2"/>
                      <w:sz w:val="21"/>
                      <w:szCs w:val="21"/>
                      <w:lang w:eastAsia="zh-CN"/>
                    </w:rPr>
                  </w:pPr>
                  <w:r>
                    <w:rPr>
                      <w:rFonts w:hint="eastAsia" w:eastAsia="宋体"/>
                      <w:color w:val="auto"/>
                      <w:kern w:val="2"/>
                      <w:sz w:val="21"/>
                      <w:szCs w:val="21"/>
                      <w:lang w:val="en-US" w:eastAsia="zh-CN"/>
                    </w:rPr>
                    <w:t>1</w:t>
                  </w:r>
                </w:p>
              </w:tc>
            </w:tr>
            <w:tr w14:paraId="7503DE8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cantSplit/>
                <w:trHeight w:val="283" w:hRule="atLeast"/>
                <w:jc w:val="center"/>
              </w:trPr>
              <w:tc>
                <w:tcPr>
                  <w:tcW w:w="465" w:type="pct"/>
                  <w:vAlign w:val="center"/>
                </w:tcPr>
                <w:p w14:paraId="40947D68">
                  <w:pPr>
                    <w:widowControl/>
                    <w:jc w:val="center"/>
                    <w:rPr>
                      <w:rFonts w:hint="default" w:eastAsia="宋体"/>
                      <w:color w:val="auto"/>
                      <w:szCs w:val="21"/>
                      <w:lang w:val="en-US" w:eastAsia="zh-CN"/>
                    </w:rPr>
                  </w:pPr>
                  <w:r>
                    <w:rPr>
                      <w:rFonts w:hint="eastAsia"/>
                      <w:color w:val="auto"/>
                      <w:szCs w:val="21"/>
                      <w:lang w:val="en-US" w:eastAsia="zh-CN"/>
                    </w:rPr>
                    <w:t>13</w:t>
                  </w:r>
                </w:p>
              </w:tc>
              <w:tc>
                <w:tcPr>
                  <w:tcW w:w="1788" w:type="pct"/>
                  <w:gridSpan w:val="2"/>
                  <w:vAlign w:val="center"/>
                </w:tcPr>
                <w:p w14:paraId="0BDE8A34">
                  <w:pPr>
                    <w:snapToGrid w:val="0"/>
                    <w:jc w:val="center"/>
                    <w:rPr>
                      <w:rFonts w:hint="default" w:hAnsi="宋体" w:eastAsia="宋体"/>
                      <w:color w:val="auto"/>
                      <w:szCs w:val="21"/>
                      <w:lang w:val="en-US" w:eastAsia="zh-CN"/>
                    </w:rPr>
                  </w:pPr>
                  <w:r>
                    <w:rPr>
                      <w:rFonts w:hint="eastAsia" w:hAnsi="宋体"/>
                      <w:color w:val="auto"/>
                      <w:szCs w:val="21"/>
                      <w:highlight w:val="none"/>
                      <w:lang w:val="en-US" w:eastAsia="zh-CN"/>
                    </w:rPr>
                    <w:t>非现场执法</w:t>
                  </w:r>
                </w:p>
              </w:tc>
              <w:tc>
                <w:tcPr>
                  <w:tcW w:w="734" w:type="pct"/>
                  <w:vAlign w:val="center"/>
                </w:tcPr>
                <w:p w14:paraId="1B75B5E4">
                  <w:pPr>
                    <w:pStyle w:val="79"/>
                    <w:snapToGrid w:val="0"/>
                    <w:spacing w:line="240" w:lineRule="auto"/>
                    <w:ind w:firstLine="0"/>
                    <w:jc w:val="center"/>
                    <w:rPr>
                      <w:rFonts w:hint="eastAsia" w:hAnsi="宋体" w:eastAsia="宋体"/>
                      <w:color w:val="auto"/>
                      <w:kern w:val="2"/>
                      <w:sz w:val="21"/>
                      <w:szCs w:val="21"/>
                      <w:lang w:val="en-US" w:eastAsia="zh-CN"/>
                    </w:rPr>
                  </w:pPr>
                  <w:r>
                    <w:rPr>
                      <w:rFonts w:hint="eastAsia" w:hAnsi="宋体" w:eastAsia="宋体"/>
                      <w:color w:val="auto"/>
                      <w:kern w:val="2"/>
                      <w:sz w:val="21"/>
                      <w:szCs w:val="21"/>
                      <w:lang w:val="en-US" w:eastAsia="zh-CN"/>
                    </w:rPr>
                    <w:t>处</w:t>
                  </w:r>
                </w:p>
              </w:tc>
              <w:tc>
                <w:tcPr>
                  <w:tcW w:w="2011" w:type="pct"/>
                  <w:vAlign w:val="center"/>
                </w:tcPr>
                <w:p w14:paraId="0402B93C">
                  <w:pPr>
                    <w:pStyle w:val="79"/>
                    <w:snapToGrid w:val="0"/>
                    <w:spacing w:line="240" w:lineRule="auto"/>
                    <w:ind w:firstLine="0"/>
                    <w:jc w:val="center"/>
                    <w:rPr>
                      <w:rFonts w:hint="default" w:eastAsia="宋体"/>
                      <w:color w:val="auto"/>
                      <w:kern w:val="2"/>
                      <w:sz w:val="21"/>
                      <w:szCs w:val="21"/>
                      <w:lang w:val="en-US" w:eastAsia="zh-CN"/>
                    </w:rPr>
                  </w:pPr>
                  <w:r>
                    <w:rPr>
                      <w:rFonts w:hint="eastAsia" w:eastAsia="宋体"/>
                      <w:color w:val="auto"/>
                      <w:kern w:val="2"/>
                      <w:sz w:val="21"/>
                      <w:szCs w:val="21"/>
                      <w:lang w:val="en-US" w:eastAsia="zh-CN"/>
                    </w:rPr>
                    <w:t>1</w:t>
                  </w:r>
                </w:p>
              </w:tc>
            </w:tr>
            <w:tr w14:paraId="4950DAA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cantSplit/>
                <w:trHeight w:val="283" w:hRule="atLeast"/>
                <w:tblHeader/>
                <w:jc w:val="center"/>
              </w:trPr>
              <w:tc>
                <w:tcPr>
                  <w:tcW w:w="465" w:type="pct"/>
                  <w:shd w:val="clear" w:color="auto" w:fill="auto"/>
                  <w:vAlign w:val="center"/>
                </w:tcPr>
                <w:p w14:paraId="40BFD54B">
                  <w:pPr>
                    <w:snapToGrid w:val="0"/>
                    <w:jc w:val="center"/>
                    <w:rPr>
                      <w:rFonts w:hint="eastAsia" w:ascii="Times New Roman" w:hAnsi="Times New Roman" w:eastAsia="宋体" w:cs="Times New Roman"/>
                      <w:color w:val="auto"/>
                      <w:kern w:val="2"/>
                      <w:sz w:val="21"/>
                      <w:szCs w:val="21"/>
                      <w:lang w:val="en-US" w:eastAsia="zh-CN" w:bidi="ar-SA"/>
                    </w:rPr>
                  </w:pPr>
                  <w:r>
                    <w:rPr>
                      <w:color w:val="auto"/>
                      <w:szCs w:val="21"/>
                    </w:rPr>
                    <w:t>1</w:t>
                  </w:r>
                  <w:r>
                    <w:rPr>
                      <w:rFonts w:hint="eastAsia"/>
                      <w:color w:val="auto"/>
                      <w:szCs w:val="21"/>
                      <w:lang w:val="en-US" w:eastAsia="zh-CN"/>
                    </w:rPr>
                    <w:t>4</w:t>
                  </w:r>
                </w:p>
              </w:tc>
              <w:tc>
                <w:tcPr>
                  <w:tcW w:w="1788" w:type="pct"/>
                  <w:gridSpan w:val="2"/>
                  <w:vAlign w:val="center"/>
                </w:tcPr>
                <w:p w14:paraId="1A6668CD">
                  <w:pPr>
                    <w:widowControl/>
                    <w:jc w:val="center"/>
                    <w:rPr>
                      <w:color w:val="auto"/>
                      <w:szCs w:val="21"/>
                    </w:rPr>
                  </w:pPr>
                  <w:r>
                    <w:rPr>
                      <w:rFonts w:hAnsi="宋体"/>
                      <w:color w:val="auto"/>
                      <w:szCs w:val="21"/>
                    </w:rPr>
                    <w:t>永久占地</w:t>
                  </w:r>
                </w:p>
              </w:tc>
              <w:tc>
                <w:tcPr>
                  <w:tcW w:w="734" w:type="pct"/>
                  <w:vAlign w:val="center"/>
                </w:tcPr>
                <w:p w14:paraId="65CF500B">
                  <w:pPr>
                    <w:widowControl/>
                    <w:jc w:val="center"/>
                    <w:rPr>
                      <w:color w:val="auto"/>
                      <w:szCs w:val="21"/>
                    </w:rPr>
                  </w:pPr>
                  <w:r>
                    <w:rPr>
                      <w:color w:val="auto"/>
                      <w:szCs w:val="21"/>
                    </w:rPr>
                    <w:t>hm</w:t>
                  </w:r>
                  <w:r>
                    <w:rPr>
                      <w:color w:val="auto"/>
                      <w:szCs w:val="21"/>
                      <w:vertAlign w:val="superscript"/>
                    </w:rPr>
                    <w:t>2</w:t>
                  </w:r>
                </w:p>
              </w:tc>
              <w:tc>
                <w:tcPr>
                  <w:tcW w:w="2011" w:type="pct"/>
                  <w:vAlign w:val="center"/>
                </w:tcPr>
                <w:p w14:paraId="5D3EB273">
                  <w:pPr>
                    <w:jc w:val="center"/>
                    <w:rPr>
                      <w:rFonts w:hint="default" w:eastAsia="宋体"/>
                      <w:color w:val="auto"/>
                      <w:szCs w:val="21"/>
                      <w:lang w:val="en-US" w:eastAsia="zh-CN"/>
                    </w:rPr>
                  </w:pPr>
                  <w:r>
                    <w:rPr>
                      <w:rFonts w:hint="eastAsia"/>
                      <w:color w:val="auto"/>
                      <w:szCs w:val="21"/>
                      <w:lang w:val="en-US" w:eastAsia="zh-CN"/>
                    </w:rPr>
                    <w:t>306.32</w:t>
                  </w:r>
                </w:p>
              </w:tc>
            </w:tr>
            <w:tr w14:paraId="7D6DBB8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cantSplit/>
                <w:trHeight w:val="283" w:hRule="atLeast"/>
                <w:tblHeader/>
                <w:jc w:val="center"/>
              </w:trPr>
              <w:tc>
                <w:tcPr>
                  <w:tcW w:w="465" w:type="pct"/>
                  <w:shd w:val="clear" w:color="auto" w:fill="auto"/>
                  <w:vAlign w:val="center"/>
                </w:tcPr>
                <w:p w14:paraId="3DE19362">
                  <w:pPr>
                    <w:snapToGrid w:val="0"/>
                    <w:jc w:val="center"/>
                    <w:rPr>
                      <w:rFonts w:hint="eastAsia" w:ascii="Times New Roman" w:hAnsi="Times New Roman" w:eastAsia="宋体" w:cs="Times New Roman"/>
                      <w:color w:val="auto"/>
                      <w:kern w:val="2"/>
                      <w:sz w:val="21"/>
                      <w:szCs w:val="21"/>
                      <w:lang w:val="en-US" w:eastAsia="zh-CN" w:bidi="ar-SA"/>
                    </w:rPr>
                  </w:pPr>
                  <w:r>
                    <w:rPr>
                      <w:rFonts w:hint="eastAsia"/>
                      <w:color w:val="auto"/>
                      <w:szCs w:val="21"/>
                    </w:rPr>
                    <w:t>1</w:t>
                  </w:r>
                  <w:r>
                    <w:rPr>
                      <w:rFonts w:hint="eastAsia"/>
                      <w:color w:val="auto"/>
                      <w:szCs w:val="21"/>
                      <w:lang w:val="en-US" w:eastAsia="zh-CN"/>
                    </w:rPr>
                    <w:t>5</w:t>
                  </w:r>
                </w:p>
              </w:tc>
              <w:tc>
                <w:tcPr>
                  <w:tcW w:w="1788" w:type="pct"/>
                  <w:gridSpan w:val="2"/>
                  <w:vAlign w:val="center"/>
                </w:tcPr>
                <w:p w14:paraId="11DFF876">
                  <w:pPr>
                    <w:widowControl/>
                    <w:jc w:val="center"/>
                    <w:rPr>
                      <w:color w:val="auto"/>
                      <w:szCs w:val="21"/>
                    </w:rPr>
                  </w:pPr>
                  <w:r>
                    <w:rPr>
                      <w:rFonts w:hAnsi="宋体"/>
                      <w:color w:val="auto"/>
                      <w:szCs w:val="21"/>
                    </w:rPr>
                    <w:t>拆迁建筑物</w:t>
                  </w:r>
                </w:p>
              </w:tc>
              <w:tc>
                <w:tcPr>
                  <w:tcW w:w="734" w:type="pct"/>
                  <w:vAlign w:val="center"/>
                </w:tcPr>
                <w:p w14:paraId="584B82E2">
                  <w:pPr>
                    <w:widowControl/>
                    <w:jc w:val="center"/>
                    <w:rPr>
                      <w:color w:val="auto"/>
                      <w:szCs w:val="21"/>
                    </w:rPr>
                  </w:pPr>
                  <w:r>
                    <w:rPr>
                      <w:color w:val="auto"/>
                      <w:szCs w:val="21"/>
                    </w:rPr>
                    <w:t>m</w:t>
                  </w:r>
                  <w:r>
                    <w:rPr>
                      <w:color w:val="auto"/>
                      <w:szCs w:val="21"/>
                      <w:vertAlign w:val="superscript"/>
                    </w:rPr>
                    <w:t>2</w:t>
                  </w:r>
                </w:p>
              </w:tc>
              <w:tc>
                <w:tcPr>
                  <w:tcW w:w="2011" w:type="pct"/>
                  <w:vAlign w:val="center"/>
                </w:tcPr>
                <w:p w14:paraId="63E904E5">
                  <w:pPr>
                    <w:jc w:val="center"/>
                    <w:rPr>
                      <w:rFonts w:hint="default" w:eastAsia="宋体"/>
                      <w:color w:val="auto"/>
                      <w:szCs w:val="21"/>
                      <w:lang w:val="en-US" w:eastAsia="zh-CN"/>
                    </w:rPr>
                  </w:pPr>
                  <w:r>
                    <w:rPr>
                      <w:rFonts w:hint="eastAsia"/>
                      <w:color w:val="auto"/>
                      <w:lang w:val="en-US" w:eastAsia="zh-CN"/>
                    </w:rPr>
                    <w:t>47602</w:t>
                  </w:r>
                </w:p>
              </w:tc>
            </w:tr>
            <w:tr w14:paraId="08BC6A2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cantSplit/>
                <w:trHeight w:val="283" w:hRule="atLeast"/>
                <w:tblHeader/>
                <w:jc w:val="center"/>
              </w:trPr>
              <w:tc>
                <w:tcPr>
                  <w:tcW w:w="465" w:type="pct"/>
                  <w:shd w:val="clear" w:color="auto" w:fill="auto"/>
                  <w:vAlign w:val="center"/>
                </w:tcPr>
                <w:p w14:paraId="75BF166E">
                  <w:pPr>
                    <w:snapToGrid w:val="0"/>
                    <w:jc w:val="center"/>
                    <w:rPr>
                      <w:rFonts w:hint="eastAsia" w:ascii="Times New Roman" w:hAnsi="Times New Roman" w:eastAsia="宋体" w:cs="Times New Roman"/>
                      <w:color w:val="auto"/>
                      <w:kern w:val="2"/>
                      <w:sz w:val="21"/>
                      <w:szCs w:val="21"/>
                      <w:lang w:val="en-US" w:eastAsia="zh-CN" w:bidi="ar-SA"/>
                    </w:rPr>
                  </w:pPr>
                  <w:r>
                    <w:rPr>
                      <w:rFonts w:hint="eastAsia"/>
                      <w:color w:val="auto"/>
                      <w:szCs w:val="21"/>
                      <w:lang w:val="en-US" w:eastAsia="zh-CN"/>
                    </w:rPr>
                    <w:t>16</w:t>
                  </w:r>
                </w:p>
              </w:tc>
              <w:tc>
                <w:tcPr>
                  <w:tcW w:w="1788" w:type="pct"/>
                  <w:gridSpan w:val="2"/>
                  <w:vAlign w:val="center"/>
                </w:tcPr>
                <w:p w14:paraId="3ECC80C2">
                  <w:pPr>
                    <w:widowControl/>
                    <w:jc w:val="center"/>
                    <w:rPr>
                      <w:rFonts w:hint="eastAsia" w:hAnsi="宋体"/>
                      <w:color w:val="auto"/>
                      <w:szCs w:val="21"/>
                    </w:rPr>
                  </w:pPr>
                  <w:r>
                    <w:rPr>
                      <w:rFonts w:hAnsi="宋体"/>
                      <w:color w:val="auto"/>
                      <w:szCs w:val="21"/>
                    </w:rPr>
                    <w:t>交通工程</w:t>
                  </w:r>
                </w:p>
              </w:tc>
              <w:tc>
                <w:tcPr>
                  <w:tcW w:w="734" w:type="pct"/>
                  <w:vAlign w:val="center"/>
                </w:tcPr>
                <w:p w14:paraId="467463A0">
                  <w:pPr>
                    <w:widowControl/>
                    <w:jc w:val="center"/>
                    <w:rPr>
                      <w:color w:val="auto"/>
                      <w:szCs w:val="21"/>
                    </w:rPr>
                  </w:pPr>
                  <w:r>
                    <w:rPr>
                      <w:rFonts w:hint="eastAsia"/>
                      <w:color w:val="auto"/>
                      <w:szCs w:val="21"/>
                    </w:rPr>
                    <w:t>km</w:t>
                  </w:r>
                </w:p>
              </w:tc>
              <w:tc>
                <w:tcPr>
                  <w:tcW w:w="2011" w:type="pct"/>
                  <w:vAlign w:val="center"/>
                </w:tcPr>
                <w:p w14:paraId="7A1EC019">
                  <w:pPr>
                    <w:jc w:val="center"/>
                    <w:rPr>
                      <w:rFonts w:hint="default" w:eastAsia="宋体"/>
                      <w:color w:val="auto"/>
                      <w:lang w:val="en-US" w:eastAsia="zh-CN"/>
                    </w:rPr>
                  </w:pPr>
                  <w:r>
                    <w:rPr>
                      <w:rFonts w:hint="eastAsia"/>
                      <w:color w:val="auto"/>
                      <w:lang w:val="en-US" w:eastAsia="zh-CN"/>
                    </w:rPr>
                    <w:t>70.078</w:t>
                  </w:r>
                </w:p>
              </w:tc>
            </w:tr>
            <w:tr w14:paraId="33F08B5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cantSplit/>
                <w:trHeight w:val="283" w:hRule="atLeast"/>
                <w:jc w:val="center"/>
              </w:trPr>
              <w:tc>
                <w:tcPr>
                  <w:tcW w:w="465" w:type="pct"/>
                  <w:shd w:val="clear" w:color="auto" w:fill="auto"/>
                  <w:vAlign w:val="center"/>
                </w:tcPr>
                <w:p w14:paraId="3F4149BD">
                  <w:pPr>
                    <w:snapToGrid w:val="0"/>
                    <w:jc w:val="center"/>
                    <w:rPr>
                      <w:rFonts w:hint="eastAsia" w:ascii="Times New Roman" w:hAnsi="Times New Roman" w:eastAsia="宋体" w:cs="Times New Roman"/>
                      <w:color w:val="auto"/>
                      <w:kern w:val="2"/>
                      <w:sz w:val="21"/>
                      <w:szCs w:val="21"/>
                      <w:lang w:val="en-US" w:eastAsia="zh-CN" w:bidi="ar-SA"/>
                    </w:rPr>
                  </w:pPr>
                  <w:r>
                    <w:rPr>
                      <w:rFonts w:hint="eastAsia"/>
                      <w:color w:val="auto"/>
                      <w:szCs w:val="21"/>
                    </w:rPr>
                    <w:t>1</w:t>
                  </w:r>
                  <w:r>
                    <w:rPr>
                      <w:rFonts w:hint="eastAsia"/>
                      <w:color w:val="auto"/>
                      <w:szCs w:val="21"/>
                      <w:lang w:val="en-US" w:eastAsia="zh-CN"/>
                    </w:rPr>
                    <w:t>7</w:t>
                  </w:r>
                </w:p>
              </w:tc>
              <w:tc>
                <w:tcPr>
                  <w:tcW w:w="1788" w:type="pct"/>
                  <w:gridSpan w:val="2"/>
                  <w:vAlign w:val="center"/>
                </w:tcPr>
                <w:p w14:paraId="46B69CE5">
                  <w:pPr>
                    <w:snapToGrid w:val="0"/>
                    <w:jc w:val="center"/>
                    <w:rPr>
                      <w:color w:val="auto"/>
                      <w:szCs w:val="21"/>
                    </w:rPr>
                  </w:pPr>
                  <w:r>
                    <w:rPr>
                      <w:rFonts w:hAnsi="宋体"/>
                      <w:color w:val="auto"/>
                      <w:szCs w:val="21"/>
                    </w:rPr>
                    <w:t>投资</w:t>
                  </w:r>
                  <w:r>
                    <w:rPr>
                      <w:rFonts w:hint="eastAsia" w:hAnsi="宋体"/>
                      <w:color w:val="auto"/>
                      <w:szCs w:val="21"/>
                      <w:lang w:val="en-US" w:eastAsia="zh-CN"/>
                    </w:rPr>
                    <w:t>概</w:t>
                  </w:r>
                  <w:r>
                    <w:rPr>
                      <w:rFonts w:hAnsi="宋体"/>
                      <w:color w:val="auto"/>
                      <w:szCs w:val="21"/>
                    </w:rPr>
                    <w:t>算</w:t>
                  </w:r>
                </w:p>
              </w:tc>
              <w:tc>
                <w:tcPr>
                  <w:tcW w:w="734" w:type="pct"/>
                  <w:vAlign w:val="center"/>
                </w:tcPr>
                <w:p w14:paraId="66ADD0BC">
                  <w:pPr>
                    <w:snapToGrid w:val="0"/>
                    <w:jc w:val="center"/>
                    <w:rPr>
                      <w:color w:val="auto"/>
                      <w:szCs w:val="21"/>
                    </w:rPr>
                  </w:pPr>
                  <w:r>
                    <w:rPr>
                      <w:rFonts w:hAnsi="宋体"/>
                      <w:color w:val="auto"/>
                      <w:szCs w:val="21"/>
                    </w:rPr>
                    <w:t>亿元</w:t>
                  </w:r>
                </w:p>
              </w:tc>
              <w:tc>
                <w:tcPr>
                  <w:tcW w:w="2011" w:type="pct"/>
                  <w:vAlign w:val="center"/>
                </w:tcPr>
                <w:p w14:paraId="352DAA71">
                  <w:pPr>
                    <w:jc w:val="center"/>
                    <w:rPr>
                      <w:rFonts w:hint="default" w:eastAsia="宋体"/>
                      <w:color w:val="auto"/>
                      <w:szCs w:val="21"/>
                      <w:lang w:val="en-US" w:eastAsia="zh-CN"/>
                    </w:rPr>
                  </w:pPr>
                  <w:r>
                    <w:rPr>
                      <w:rFonts w:hint="eastAsia"/>
                      <w:color w:val="auto"/>
                      <w:szCs w:val="21"/>
                      <w:lang w:val="en-US" w:eastAsia="zh-CN"/>
                    </w:rPr>
                    <w:t>18.98</w:t>
                  </w:r>
                </w:p>
              </w:tc>
            </w:tr>
            <w:tr w14:paraId="16698B8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cantSplit/>
                <w:trHeight w:val="283" w:hRule="atLeast"/>
                <w:jc w:val="center"/>
              </w:trPr>
              <w:tc>
                <w:tcPr>
                  <w:tcW w:w="465" w:type="pct"/>
                  <w:vAlign w:val="center"/>
                </w:tcPr>
                <w:p w14:paraId="2E1E5DBA">
                  <w:pPr>
                    <w:snapToGrid w:val="0"/>
                    <w:jc w:val="center"/>
                    <w:rPr>
                      <w:rFonts w:hint="default" w:eastAsia="宋体"/>
                      <w:color w:val="auto"/>
                      <w:szCs w:val="21"/>
                      <w:lang w:val="en-US" w:eastAsia="zh-CN"/>
                    </w:rPr>
                  </w:pPr>
                  <w:r>
                    <w:rPr>
                      <w:rFonts w:hint="eastAsia"/>
                      <w:color w:val="auto"/>
                      <w:szCs w:val="21"/>
                      <w:lang w:val="en-US" w:eastAsia="zh-CN"/>
                    </w:rPr>
                    <w:t>18</w:t>
                  </w:r>
                </w:p>
              </w:tc>
              <w:tc>
                <w:tcPr>
                  <w:tcW w:w="1788" w:type="pct"/>
                  <w:gridSpan w:val="2"/>
                  <w:vAlign w:val="center"/>
                </w:tcPr>
                <w:p w14:paraId="5DFE693B">
                  <w:pPr>
                    <w:snapToGrid w:val="0"/>
                    <w:jc w:val="center"/>
                    <w:rPr>
                      <w:color w:val="auto"/>
                      <w:szCs w:val="21"/>
                    </w:rPr>
                  </w:pPr>
                  <w:r>
                    <w:rPr>
                      <w:rFonts w:hAnsi="宋体"/>
                      <w:color w:val="auto"/>
                      <w:szCs w:val="21"/>
                    </w:rPr>
                    <w:t>平均每公里造价</w:t>
                  </w:r>
                </w:p>
              </w:tc>
              <w:tc>
                <w:tcPr>
                  <w:tcW w:w="734" w:type="pct"/>
                  <w:vAlign w:val="center"/>
                </w:tcPr>
                <w:p w14:paraId="0417F346">
                  <w:pPr>
                    <w:snapToGrid w:val="0"/>
                    <w:jc w:val="center"/>
                    <w:rPr>
                      <w:color w:val="auto"/>
                      <w:szCs w:val="21"/>
                    </w:rPr>
                  </w:pPr>
                  <w:r>
                    <w:rPr>
                      <w:rFonts w:hAnsi="宋体"/>
                      <w:color w:val="auto"/>
                      <w:szCs w:val="21"/>
                    </w:rPr>
                    <w:t>万元</w:t>
                  </w:r>
                </w:p>
              </w:tc>
              <w:tc>
                <w:tcPr>
                  <w:tcW w:w="2011" w:type="pct"/>
                  <w:vAlign w:val="center"/>
                </w:tcPr>
                <w:p w14:paraId="25DC7B0E">
                  <w:pPr>
                    <w:jc w:val="center"/>
                    <w:rPr>
                      <w:rFonts w:hint="default" w:eastAsia="宋体"/>
                      <w:color w:val="auto"/>
                      <w:szCs w:val="21"/>
                      <w:lang w:val="en-US" w:eastAsia="zh-CN"/>
                    </w:rPr>
                  </w:pPr>
                  <w:r>
                    <w:rPr>
                      <w:rFonts w:hint="eastAsia"/>
                      <w:color w:val="auto"/>
                      <w:szCs w:val="21"/>
                      <w:lang w:val="en-US" w:eastAsia="zh-CN"/>
                    </w:rPr>
                    <w:t>2707.77</w:t>
                  </w:r>
                </w:p>
              </w:tc>
            </w:tr>
          </w:tbl>
          <w:p w14:paraId="6A1A5970">
            <w:pPr>
              <w:pStyle w:val="50"/>
              <w:tabs>
                <w:tab w:val="left" w:pos="2694"/>
              </w:tabs>
              <w:spacing w:before="240" w:beforeLines="100" w:line="300" w:lineRule="auto"/>
              <w:ind w:firstLine="502" w:firstLineChars="200"/>
              <w:jc w:val="both"/>
              <w:rPr>
                <w:rFonts w:hint="eastAsia" w:ascii="Times New Roman" w:hAnsi="宋体" w:eastAsia="宋体"/>
                <w:b/>
                <w:color w:val="auto"/>
                <w:sz w:val="24"/>
                <w:szCs w:val="24"/>
              </w:rPr>
            </w:pPr>
            <w:r>
              <w:rPr>
                <w:rFonts w:hint="eastAsia" w:ascii="Times New Roman" w:hAnsi="宋体" w:eastAsia="宋体"/>
                <w:b/>
                <w:color w:val="auto"/>
                <w:sz w:val="24"/>
                <w:szCs w:val="24"/>
              </w:rPr>
              <w:t>(2) 技术标准</w:t>
            </w:r>
          </w:p>
          <w:p w14:paraId="0FE5FBA7">
            <w:pPr>
              <w:pStyle w:val="50"/>
              <w:tabs>
                <w:tab w:val="left" w:pos="2694"/>
              </w:tabs>
              <w:spacing w:line="300" w:lineRule="auto"/>
              <w:ind w:firstLine="480" w:firstLineChars="200"/>
              <w:jc w:val="both"/>
              <w:rPr>
                <w:rFonts w:hint="eastAsia" w:ascii="Times New Roman" w:hAnsiTheme="minorEastAsia" w:eastAsiaTheme="minorEastAsia"/>
                <w:color w:val="auto"/>
                <w:spacing w:val="0"/>
                <w:sz w:val="24"/>
                <w:szCs w:val="24"/>
              </w:rPr>
            </w:pPr>
            <w:r>
              <w:rPr>
                <w:rFonts w:ascii="Times New Roman" w:hAnsi="宋体" w:eastAsia="宋体"/>
                <w:color w:val="auto"/>
                <w:spacing w:val="0"/>
                <w:sz w:val="24"/>
                <w:szCs w:val="24"/>
              </w:rPr>
              <w:t>拟建公路</w:t>
            </w:r>
            <w:r>
              <w:rPr>
                <w:rFonts w:hint="eastAsia" w:ascii="Times New Roman" w:hAnsi="宋体" w:eastAsia="宋体"/>
                <w:color w:val="auto"/>
                <w:spacing w:val="0"/>
                <w:sz w:val="24"/>
                <w:szCs w:val="24"/>
              </w:rPr>
              <w:t>采用双向四车道一级公路标准</w:t>
            </w:r>
            <w:r>
              <w:rPr>
                <w:rFonts w:hint="eastAsia" w:ascii="Times New Roman" w:hAnsi="宋体" w:eastAsia="宋体"/>
                <w:color w:val="auto"/>
                <w:spacing w:val="0"/>
                <w:sz w:val="24"/>
                <w:szCs w:val="24"/>
                <w:lang w:val="en-US" w:eastAsia="zh-CN"/>
              </w:rPr>
              <w:t>建设</w:t>
            </w:r>
            <w:r>
              <w:rPr>
                <w:rFonts w:hint="eastAsia" w:ascii="Times New Roman" w:hAnsi="宋体" w:eastAsia="宋体"/>
                <w:color w:val="auto"/>
                <w:spacing w:val="0"/>
                <w:sz w:val="24"/>
                <w:szCs w:val="24"/>
                <w:lang w:eastAsia="zh-CN"/>
              </w:rPr>
              <w:t>，</w:t>
            </w:r>
            <w:r>
              <w:rPr>
                <w:rFonts w:hint="eastAsia" w:ascii="Times New Roman" w:hAnsi="宋体" w:eastAsia="宋体"/>
                <w:color w:val="auto"/>
                <w:spacing w:val="0"/>
                <w:sz w:val="24"/>
                <w:szCs w:val="24"/>
              </w:rPr>
              <w:t>一般路段采用设计速度80km/h、路基宽度25.5</w:t>
            </w:r>
            <w:r>
              <w:rPr>
                <w:rFonts w:hint="eastAsia" w:ascii="Times New Roman" w:hAnsi="宋体" w:eastAsia="宋体"/>
                <w:color w:val="auto"/>
                <w:spacing w:val="0"/>
                <w:sz w:val="24"/>
                <w:szCs w:val="24"/>
                <w:lang w:val="en-US" w:eastAsia="zh-CN"/>
              </w:rPr>
              <w:t>m</w:t>
            </w:r>
            <w:r>
              <w:rPr>
                <w:rFonts w:hint="eastAsia" w:ascii="Times New Roman" w:hAnsi="宋体" w:eastAsia="宋体"/>
                <w:color w:val="auto"/>
                <w:spacing w:val="0"/>
                <w:sz w:val="24"/>
                <w:szCs w:val="24"/>
              </w:rPr>
              <w:t>、2</w:t>
            </w:r>
            <w:r>
              <w:rPr>
                <w:rFonts w:hint="eastAsia" w:ascii="Times New Roman" w:hAnsi="宋体" w:eastAsia="宋体"/>
                <w:color w:val="auto"/>
                <w:spacing w:val="0"/>
                <w:sz w:val="24"/>
                <w:szCs w:val="24"/>
                <w:lang w:val="en-US" w:eastAsia="zh-CN"/>
              </w:rPr>
              <w:t>8.5m</w:t>
            </w:r>
            <w:r>
              <w:rPr>
                <w:rFonts w:hint="eastAsia" w:ascii="Times New Roman" w:hAnsi="宋体" w:eastAsia="宋体"/>
                <w:color w:val="auto"/>
                <w:spacing w:val="0"/>
                <w:sz w:val="24"/>
                <w:szCs w:val="24"/>
              </w:rPr>
              <w:t>（格达良乡城镇段），K18+300～K22+410</w:t>
            </w:r>
            <w:r>
              <w:rPr>
                <w:rFonts w:hint="eastAsia" w:ascii="Times New Roman" w:hAnsi="宋体" w:eastAsia="宋体"/>
                <w:color w:val="auto"/>
                <w:spacing w:val="0"/>
                <w:sz w:val="24"/>
                <w:szCs w:val="24"/>
                <w:lang w:val="en-US" w:eastAsia="zh-CN"/>
              </w:rPr>
              <w:t>路</w:t>
            </w:r>
            <w:r>
              <w:rPr>
                <w:rFonts w:hint="eastAsia" w:ascii="Times New Roman" w:hAnsi="宋体" w:eastAsia="宋体"/>
                <w:color w:val="auto"/>
                <w:spacing w:val="0"/>
                <w:sz w:val="24"/>
                <w:szCs w:val="24"/>
              </w:rPr>
              <w:t>段受基本农田限制采用设计速度60km/h，路基宽度19</w:t>
            </w:r>
            <w:r>
              <w:rPr>
                <w:rFonts w:hint="eastAsia" w:ascii="Times New Roman" w:hAnsi="宋体" w:eastAsia="宋体"/>
                <w:color w:val="auto"/>
                <w:spacing w:val="0"/>
                <w:sz w:val="24"/>
                <w:szCs w:val="24"/>
                <w:lang w:val="en-US" w:eastAsia="zh-CN"/>
              </w:rPr>
              <w:t>m</w:t>
            </w:r>
            <w:r>
              <w:rPr>
                <w:rFonts w:hint="eastAsia" w:ascii="Times New Roman" w:hAnsi="宋体" w:eastAsia="宋体"/>
                <w:color w:val="auto"/>
                <w:spacing w:val="0"/>
                <w:sz w:val="24"/>
                <w:szCs w:val="24"/>
              </w:rPr>
              <w:t>～23.5</w:t>
            </w:r>
            <w:r>
              <w:rPr>
                <w:rFonts w:hint="eastAsia" w:ascii="Times New Roman" w:hAnsi="宋体" w:eastAsia="宋体"/>
                <w:color w:val="auto"/>
                <w:spacing w:val="0"/>
                <w:sz w:val="24"/>
                <w:szCs w:val="24"/>
                <w:lang w:val="en-US" w:eastAsia="zh-CN"/>
              </w:rPr>
              <w:t>m。拟建公路</w:t>
            </w:r>
            <w:r>
              <w:rPr>
                <w:rFonts w:ascii="Times New Roman" w:hAnsi="宋体" w:eastAsia="宋体"/>
                <w:color w:val="auto"/>
                <w:spacing w:val="0"/>
                <w:sz w:val="24"/>
                <w:szCs w:val="24"/>
              </w:rPr>
              <w:t>主要技术指标见表</w:t>
            </w:r>
            <w:r>
              <w:rPr>
                <w:rFonts w:hint="eastAsia" w:ascii="Times New Roman" w:hAnsi="宋体" w:eastAsia="宋体"/>
                <w:color w:val="auto"/>
                <w:spacing w:val="0"/>
                <w:sz w:val="24"/>
                <w:szCs w:val="24"/>
              </w:rPr>
              <w:t>2-4</w:t>
            </w:r>
            <w:r>
              <w:rPr>
                <w:rFonts w:hint="eastAsia" w:ascii="Times New Roman" w:hAnsiTheme="minorEastAsia" w:eastAsiaTheme="minorEastAsia"/>
                <w:color w:val="auto"/>
                <w:spacing w:val="0"/>
                <w:sz w:val="24"/>
                <w:szCs w:val="24"/>
              </w:rPr>
              <w:t>。</w:t>
            </w:r>
          </w:p>
          <w:p w14:paraId="04F3E09B">
            <w:pPr>
              <w:pStyle w:val="50"/>
              <w:tabs>
                <w:tab w:val="left" w:pos="2694"/>
              </w:tabs>
              <w:spacing w:before="120" w:beforeLines="50" w:line="240" w:lineRule="auto"/>
              <w:rPr>
                <w:rFonts w:ascii="Times New Roman" w:hAnsi="宋体" w:eastAsia="宋体"/>
                <w:b/>
                <w:color w:val="auto"/>
              </w:rPr>
            </w:pPr>
            <w:r>
              <w:rPr>
                <w:rFonts w:ascii="Times New Roman" w:hAnsi="宋体" w:eastAsia="宋体"/>
                <w:b/>
                <w:color w:val="auto"/>
              </w:rPr>
              <w:t>表</w:t>
            </w:r>
            <w:r>
              <w:rPr>
                <w:rFonts w:ascii="Times New Roman" w:eastAsia="宋体"/>
                <w:b/>
                <w:color w:val="auto"/>
              </w:rPr>
              <w:t>2-</w:t>
            </w:r>
            <w:r>
              <w:rPr>
                <w:rFonts w:hint="eastAsia" w:ascii="Times New Roman" w:eastAsia="宋体"/>
                <w:b/>
                <w:color w:val="auto"/>
              </w:rPr>
              <w:t>4</w:t>
            </w:r>
            <w:r>
              <w:rPr>
                <w:rFonts w:ascii="Times New Roman" w:eastAsia="宋体"/>
                <w:b/>
                <w:color w:val="auto"/>
              </w:rPr>
              <w:t xml:space="preserve"> </w:t>
            </w:r>
            <w:r>
              <w:rPr>
                <w:rFonts w:hint="eastAsia" w:ascii="Times New Roman" w:eastAsia="宋体"/>
                <w:b/>
                <w:color w:val="auto"/>
              </w:rPr>
              <w:t xml:space="preserve"> </w:t>
            </w:r>
            <w:r>
              <w:rPr>
                <w:rFonts w:ascii="Times New Roman" w:hAnsi="宋体" w:eastAsia="宋体"/>
                <w:b/>
                <w:color w:val="auto"/>
              </w:rPr>
              <w:t>拟建公路主要技术指标表</w:t>
            </w:r>
          </w:p>
          <w:tbl>
            <w:tblPr>
              <w:tblStyle w:val="22"/>
              <w:tblW w:w="502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1"/>
              <w:gridCol w:w="3198"/>
              <w:gridCol w:w="845"/>
              <w:gridCol w:w="1833"/>
              <w:gridCol w:w="1834"/>
            </w:tblGrid>
            <w:tr w14:paraId="4731D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27" w:type="pct"/>
                  <w:tcBorders>
                    <w:tl2br w:val="nil"/>
                    <w:tr2bl w:val="nil"/>
                  </w:tcBorders>
                  <w:noWrap w:val="0"/>
                  <w:vAlign w:val="center"/>
                </w:tcPr>
                <w:p w14:paraId="4CEE764A">
                  <w:pPr>
                    <w:pStyle w:val="77"/>
                    <w:jc w:val="center"/>
                    <w:rPr>
                      <w:rFonts w:hint="default" w:ascii="Times New Roman" w:hAnsi="Times New Roman" w:eastAsia="宋体" w:cs="Times New Roman"/>
                      <w:b/>
                      <w:sz w:val="21"/>
                      <w:szCs w:val="21"/>
                      <w:highlight w:val="none"/>
                      <w:lang w:val="en-US" w:eastAsia="zh-CN"/>
                    </w:rPr>
                  </w:pPr>
                  <w:r>
                    <w:rPr>
                      <w:rFonts w:hint="eastAsia" w:ascii="Times New Roman" w:hAnsi="Times New Roman" w:cs="Times New Roman"/>
                      <w:b/>
                      <w:sz w:val="21"/>
                      <w:szCs w:val="21"/>
                      <w:highlight w:val="none"/>
                      <w:lang w:val="en-US" w:eastAsia="zh-CN"/>
                    </w:rPr>
                    <w:t>序号</w:t>
                  </w:r>
                </w:p>
              </w:tc>
              <w:tc>
                <w:tcPr>
                  <w:tcW w:w="1896" w:type="pct"/>
                  <w:tcBorders>
                    <w:tl2br w:val="nil"/>
                    <w:tr2bl w:val="nil"/>
                  </w:tcBorders>
                  <w:noWrap w:val="0"/>
                  <w:vAlign w:val="center"/>
                </w:tcPr>
                <w:p w14:paraId="1DE5742A">
                  <w:pPr>
                    <w:pStyle w:val="77"/>
                    <w:jc w:val="center"/>
                    <w:rPr>
                      <w:rFonts w:hint="default" w:ascii="Times New Roman" w:hAnsi="Times New Roman" w:eastAsia="宋体" w:cs="Times New Roman"/>
                      <w:b/>
                      <w:sz w:val="21"/>
                      <w:szCs w:val="21"/>
                      <w:highlight w:val="none"/>
                    </w:rPr>
                  </w:pPr>
                  <w:r>
                    <w:rPr>
                      <w:rFonts w:hint="default" w:ascii="Times New Roman" w:hAnsi="Times New Roman" w:eastAsia="宋体" w:cs="Times New Roman"/>
                      <w:b/>
                      <w:bCs/>
                      <w:color w:val="000000"/>
                      <w:sz w:val="21"/>
                      <w:szCs w:val="21"/>
                      <w:highlight w:val="none"/>
                      <w:lang w:eastAsia="zh-CN" w:bidi="ar"/>
                    </w:rPr>
                    <w:t>项 目</w:t>
                  </w:r>
                </w:p>
              </w:tc>
              <w:tc>
                <w:tcPr>
                  <w:tcW w:w="501" w:type="pct"/>
                  <w:tcBorders>
                    <w:tl2br w:val="nil"/>
                    <w:tr2bl w:val="nil"/>
                  </w:tcBorders>
                  <w:noWrap w:val="0"/>
                  <w:vAlign w:val="center"/>
                </w:tcPr>
                <w:p w14:paraId="549298E0">
                  <w:pPr>
                    <w:pStyle w:val="77"/>
                    <w:jc w:val="center"/>
                    <w:rPr>
                      <w:rFonts w:hint="default" w:ascii="Times New Roman" w:hAnsi="Times New Roman" w:eastAsia="宋体" w:cs="Times New Roman"/>
                      <w:b/>
                      <w:sz w:val="21"/>
                      <w:szCs w:val="21"/>
                      <w:highlight w:val="none"/>
                      <w:lang w:eastAsia="zh-CN"/>
                    </w:rPr>
                  </w:pPr>
                  <w:r>
                    <w:rPr>
                      <w:rFonts w:hint="default" w:ascii="Times New Roman" w:hAnsi="Times New Roman" w:eastAsia="宋体" w:cs="Times New Roman"/>
                      <w:b/>
                      <w:sz w:val="21"/>
                      <w:szCs w:val="21"/>
                      <w:highlight w:val="none"/>
                      <w:lang w:eastAsia="zh-CN"/>
                    </w:rPr>
                    <w:t>单位</w:t>
                  </w:r>
                </w:p>
              </w:tc>
              <w:tc>
                <w:tcPr>
                  <w:tcW w:w="1087" w:type="pct"/>
                  <w:tcBorders>
                    <w:tl2br w:val="nil"/>
                    <w:tr2bl w:val="nil"/>
                  </w:tcBorders>
                  <w:noWrap w:val="0"/>
                  <w:vAlign w:val="center"/>
                </w:tcPr>
                <w:p w14:paraId="661BE32C">
                  <w:pPr>
                    <w:pStyle w:val="77"/>
                    <w:jc w:val="center"/>
                    <w:rPr>
                      <w:rFonts w:hint="default" w:ascii="Times New Roman" w:hAnsi="Times New Roman" w:eastAsia="宋体" w:cs="Times New Roman"/>
                      <w:b/>
                      <w:sz w:val="21"/>
                      <w:szCs w:val="21"/>
                      <w:highlight w:val="none"/>
                      <w:lang w:val="en-US" w:eastAsia="zh-CN"/>
                    </w:rPr>
                  </w:pPr>
                  <w:r>
                    <w:rPr>
                      <w:rFonts w:hint="default" w:ascii="Times New Roman" w:hAnsi="Times New Roman" w:cs="Times New Roman"/>
                      <w:b/>
                      <w:sz w:val="21"/>
                      <w:szCs w:val="21"/>
                      <w:highlight w:val="none"/>
                      <w:lang w:val="en-US" w:eastAsia="zh-CN"/>
                    </w:rPr>
                    <w:t>指标值</w:t>
                  </w:r>
                </w:p>
              </w:tc>
              <w:tc>
                <w:tcPr>
                  <w:tcW w:w="1087" w:type="pct"/>
                  <w:tcBorders>
                    <w:tl2br w:val="nil"/>
                    <w:tr2bl w:val="nil"/>
                  </w:tcBorders>
                  <w:noWrap w:val="0"/>
                  <w:vAlign w:val="center"/>
                </w:tcPr>
                <w:p w14:paraId="0C717181">
                  <w:pPr>
                    <w:pStyle w:val="77"/>
                    <w:jc w:val="center"/>
                    <w:rPr>
                      <w:rFonts w:hint="default" w:ascii="Times New Roman" w:hAnsi="Times New Roman" w:eastAsia="宋体" w:cs="Times New Roman"/>
                      <w:b/>
                      <w:sz w:val="21"/>
                      <w:szCs w:val="21"/>
                      <w:highlight w:val="none"/>
                      <w:lang w:val="en-US" w:eastAsia="zh-CN"/>
                    </w:rPr>
                  </w:pPr>
                  <w:r>
                    <w:rPr>
                      <w:rFonts w:hint="default" w:ascii="Times New Roman" w:hAnsi="Times New Roman" w:cs="Times New Roman"/>
                      <w:b/>
                      <w:sz w:val="21"/>
                      <w:szCs w:val="21"/>
                      <w:highlight w:val="none"/>
                      <w:lang w:val="en-US" w:eastAsia="zh-CN"/>
                    </w:rPr>
                    <w:t>指标值</w:t>
                  </w:r>
                </w:p>
              </w:tc>
            </w:tr>
            <w:tr w14:paraId="33CDE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27" w:type="pct"/>
                  <w:tcBorders>
                    <w:tl2br w:val="nil"/>
                    <w:tr2bl w:val="nil"/>
                  </w:tcBorders>
                  <w:noWrap w:val="0"/>
                  <w:vAlign w:val="center"/>
                </w:tcPr>
                <w:p w14:paraId="4D22723F">
                  <w:pPr>
                    <w:pStyle w:val="77"/>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1</w:t>
                  </w:r>
                </w:p>
              </w:tc>
              <w:tc>
                <w:tcPr>
                  <w:tcW w:w="1896" w:type="pct"/>
                  <w:tcBorders>
                    <w:tl2br w:val="nil"/>
                    <w:tr2bl w:val="nil"/>
                  </w:tcBorders>
                  <w:noWrap w:val="0"/>
                  <w:vAlign w:val="center"/>
                </w:tcPr>
                <w:p w14:paraId="318DB67D">
                  <w:pPr>
                    <w:pStyle w:val="77"/>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公路</w:t>
                  </w:r>
                  <w:r>
                    <w:rPr>
                      <w:rFonts w:hint="default" w:ascii="Times New Roman" w:hAnsi="Times New Roman" w:eastAsia="宋体" w:cs="Times New Roman"/>
                      <w:sz w:val="21"/>
                      <w:szCs w:val="21"/>
                      <w:highlight w:val="none"/>
                      <w:lang w:eastAsia="zh-CN"/>
                    </w:rPr>
                    <w:t>等级</w:t>
                  </w:r>
                </w:p>
              </w:tc>
              <w:tc>
                <w:tcPr>
                  <w:tcW w:w="501" w:type="pct"/>
                  <w:tcBorders>
                    <w:tl2br w:val="nil"/>
                    <w:tr2bl w:val="nil"/>
                  </w:tcBorders>
                  <w:noWrap w:val="0"/>
                  <w:vAlign w:val="center"/>
                </w:tcPr>
                <w:p w14:paraId="6BCDB642">
                  <w:pPr>
                    <w:pStyle w:val="77"/>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cs="Times New Roman"/>
                      <w:sz w:val="21"/>
                      <w:szCs w:val="21"/>
                      <w:highlight w:val="none"/>
                      <w:lang w:val="en-US" w:eastAsia="zh-CN"/>
                    </w:rPr>
                    <w:t>-</w:t>
                  </w:r>
                </w:p>
              </w:tc>
              <w:tc>
                <w:tcPr>
                  <w:tcW w:w="2174" w:type="pct"/>
                  <w:gridSpan w:val="2"/>
                  <w:tcBorders>
                    <w:tl2br w:val="nil"/>
                    <w:tr2bl w:val="nil"/>
                  </w:tcBorders>
                  <w:noWrap w:val="0"/>
                  <w:vAlign w:val="center"/>
                </w:tcPr>
                <w:p w14:paraId="072DCBB3">
                  <w:pPr>
                    <w:pStyle w:val="77"/>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eastAsia="zh-CN"/>
                    </w:rPr>
                    <w:t>一级公路</w:t>
                  </w:r>
                </w:p>
              </w:tc>
            </w:tr>
            <w:tr w14:paraId="56685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27" w:type="pct"/>
                  <w:tcBorders>
                    <w:tl2br w:val="nil"/>
                    <w:tr2bl w:val="nil"/>
                  </w:tcBorders>
                  <w:noWrap w:val="0"/>
                  <w:vAlign w:val="center"/>
                </w:tcPr>
                <w:p w14:paraId="1350957E">
                  <w:pPr>
                    <w:pStyle w:val="77"/>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w:t>
                  </w:r>
                </w:p>
              </w:tc>
              <w:tc>
                <w:tcPr>
                  <w:tcW w:w="1896" w:type="pct"/>
                  <w:tcBorders>
                    <w:tl2br w:val="nil"/>
                    <w:tr2bl w:val="nil"/>
                  </w:tcBorders>
                  <w:noWrap w:val="0"/>
                  <w:vAlign w:val="center"/>
                </w:tcPr>
                <w:p w14:paraId="545075E5">
                  <w:pPr>
                    <w:pStyle w:val="77"/>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车道数</w:t>
                  </w:r>
                </w:p>
              </w:tc>
              <w:tc>
                <w:tcPr>
                  <w:tcW w:w="501" w:type="pct"/>
                  <w:tcBorders>
                    <w:tl2br w:val="nil"/>
                    <w:tr2bl w:val="nil"/>
                  </w:tcBorders>
                  <w:noWrap w:val="0"/>
                  <w:vAlign w:val="center"/>
                </w:tcPr>
                <w:p w14:paraId="5E3F3CB3">
                  <w:pPr>
                    <w:pStyle w:val="77"/>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cs="Times New Roman"/>
                      <w:sz w:val="21"/>
                      <w:szCs w:val="21"/>
                      <w:highlight w:val="none"/>
                      <w:lang w:val="en-US" w:eastAsia="zh-CN"/>
                    </w:rPr>
                    <w:t>-</w:t>
                  </w:r>
                </w:p>
              </w:tc>
              <w:tc>
                <w:tcPr>
                  <w:tcW w:w="2174" w:type="pct"/>
                  <w:gridSpan w:val="2"/>
                  <w:tcBorders>
                    <w:tl2br w:val="nil"/>
                    <w:tr2bl w:val="nil"/>
                  </w:tcBorders>
                  <w:noWrap w:val="0"/>
                  <w:vAlign w:val="center"/>
                </w:tcPr>
                <w:p w14:paraId="2E8C4A40">
                  <w:pPr>
                    <w:pStyle w:val="77"/>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eastAsia="zh-CN"/>
                    </w:rPr>
                    <w:t>4</w:t>
                  </w:r>
                </w:p>
              </w:tc>
            </w:tr>
            <w:tr w14:paraId="5E8CD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27" w:type="pct"/>
                  <w:tcBorders>
                    <w:tl2br w:val="nil"/>
                    <w:tr2bl w:val="nil"/>
                  </w:tcBorders>
                  <w:noWrap w:val="0"/>
                  <w:vAlign w:val="center"/>
                </w:tcPr>
                <w:p w14:paraId="01B82D61">
                  <w:pPr>
                    <w:pStyle w:val="77"/>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3</w:t>
                  </w:r>
                </w:p>
              </w:tc>
              <w:tc>
                <w:tcPr>
                  <w:tcW w:w="1896" w:type="pct"/>
                  <w:tcBorders>
                    <w:tl2br w:val="nil"/>
                    <w:tr2bl w:val="nil"/>
                  </w:tcBorders>
                  <w:noWrap w:val="0"/>
                  <w:vAlign w:val="center"/>
                </w:tcPr>
                <w:p w14:paraId="36E0C99F">
                  <w:pPr>
                    <w:pStyle w:val="77"/>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设计速度</w:t>
                  </w:r>
                </w:p>
              </w:tc>
              <w:tc>
                <w:tcPr>
                  <w:tcW w:w="501" w:type="pct"/>
                  <w:tcBorders>
                    <w:tl2br w:val="nil"/>
                    <w:tr2bl w:val="nil"/>
                  </w:tcBorders>
                  <w:noWrap w:val="0"/>
                  <w:vAlign w:val="center"/>
                </w:tcPr>
                <w:p w14:paraId="3DF697E5">
                  <w:pPr>
                    <w:pStyle w:val="77"/>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km/h</w:t>
                  </w:r>
                </w:p>
              </w:tc>
              <w:tc>
                <w:tcPr>
                  <w:tcW w:w="1087" w:type="pct"/>
                  <w:tcBorders>
                    <w:tl2br w:val="nil"/>
                    <w:tr2bl w:val="nil"/>
                  </w:tcBorders>
                  <w:noWrap w:val="0"/>
                  <w:vAlign w:val="center"/>
                </w:tcPr>
                <w:p w14:paraId="057E6211">
                  <w:pPr>
                    <w:pStyle w:val="77"/>
                    <w:jc w:val="center"/>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80</w:t>
                  </w:r>
                </w:p>
              </w:tc>
              <w:tc>
                <w:tcPr>
                  <w:tcW w:w="1087" w:type="pct"/>
                  <w:tcBorders>
                    <w:tl2br w:val="nil"/>
                    <w:tr2bl w:val="nil"/>
                  </w:tcBorders>
                  <w:noWrap w:val="0"/>
                  <w:vAlign w:val="center"/>
                </w:tcPr>
                <w:p w14:paraId="479BA239">
                  <w:pPr>
                    <w:pStyle w:val="77"/>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eastAsia="zh-CN"/>
                    </w:rPr>
                    <w:t>60</w:t>
                  </w:r>
                </w:p>
              </w:tc>
            </w:tr>
            <w:tr w14:paraId="5FB64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27" w:type="pct"/>
                  <w:tcBorders>
                    <w:tl2br w:val="nil"/>
                    <w:tr2bl w:val="nil"/>
                  </w:tcBorders>
                  <w:noWrap w:val="0"/>
                  <w:vAlign w:val="center"/>
                </w:tcPr>
                <w:p w14:paraId="79A28791">
                  <w:pPr>
                    <w:pStyle w:val="77"/>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4</w:t>
                  </w:r>
                </w:p>
              </w:tc>
              <w:tc>
                <w:tcPr>
                  <w:tcW w:w="1896" w:type="pct"/>
                  <w:tcBorders>
                    <w:tl2br w:val="nil"/>
                    <w:tr2bl w:val="nil"/>
                  </w:tcBorders>
                  <w:noWrap w:val="0"/>
                  <w:vAlign w:val="center"/>
                </w:tcPr>
                <w:p w14:paraId="3E188E40">
                  <w:pPr>
                    <w:pStyle w:val="77"/>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路线里程</w:t>
                  </w:r>
                </w:p>
              </w:tc>
              <w:tc>
                <w:tcPr>
                  <w:tcW w:w="501" w:type="pct"/>
                  <w:tcBorders>
                    <w:tl2br w:val="nil"/>
                    <w:tr2bl w:val="nil"/>
                  </w:tcBorders>
                  <w:noWrap w:val="0"/>
                  <w:vAlign w:val="center"/>
                </w:tcPr>
                <w:p w14:paraId="1EDC6AA6">
                  <w:pPr>
                    <w:pStyle w:val="77"/>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km</w:t>
                  </w:r>
                </w:p>
              </w:tc>
              <w:tc>
                <w:tcPr>
                  <w:tcW w:w="1087" w:type="pct"/>
                  <w:tcBorders>
                    <w:tl2br w:val="nil"/>
                    <w:tr2bl w:val="nil"/>
                  </w:tcBorders>
                  <w:noWrap w:val="0"/>
                  <w:vAlign w:val="center"/>
                </w:tcPr>
                <w:p w14:paraId="4E6E5B85">
                  <w:pPr>
                    <w:pStyle w:val="77"/>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eastAsia="zh-CN"/>
                    </w:rPr>
                    <w:t>6</w:t>
                  </w:r>
                  <w:r>
                    <w:rPr>
                      <w:rFonts w:hint="default" w:ascii="Times New Roman" w:hAnsi="Times New Roman" w:eastAsia="宋体" w:cs="Times New Roman"/>
                      <w:sz w:val="21"/>
                      <w:szCs w:val="21"/>
                      <w:highlight w:val="none"/>
                      <w:lang w:val="en-US" w:eastAsia="zh-CN"/>
                    </w:rPr>
                    <w:t>5.9</w:t>
                  </w:r>
                  <w:r>
                    <w:rPr>
                      <w:rFonts w:hint="eastAsia" w:ascii="Times New Roman" w:hAnsi="Times New Roman" w:cs="Times New Roman"/>
                      <w:sz w:val="21"/>
                      <w:szCs w:val="21"/>
                      <w:highlight w:val="none"/>
                      <w:lang w:val="en-US" w:eastAsia="zh-CN"/>
                    </w:rPr>
                    <w:t>68</w:t>
                  </w:r>
                </w:p>
              </w:tc>
              <w:tc>
                <w:tcPr>
                  <w:tcW w:w="1087" w:type="pct"/>
                  <w:tcBorders>
                    <w:tl2br w:val="nil"/>
                    <w:tr2bl w:val="nil"/>
                  </w:tcBorders>
                  <w:noWrap w:val="0"/>
                  <w:vAlign w:val="center"/>
                </w:tcPr>
                <w:p w14:paraId="48B59055">
                  <w:pPr>
                    <w:pStyle w:val="77"/>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4.11</w:t>
                  </w:r>
                </w:p>
              </w:tc>
            </w:tr>
            <w:tr w14:paraId="7F0B5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27" w:type="pct"/>
                  <w:tcBorders>
                    <w:tl2br w:val="nil"/>
                    <w:tr2bl w:val="nil"/>
                  </w:tcBorders>
                  <w:noWrap w:val="0"/>
                  <w:vAlign w:val="center"/>
                </w:tcPr>
                <w:p w14:paraId="3BEB4022">
                  <w:pPr>
                    <w:pStyle w:val="77"/>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5</w:t>
                  </w:r>
                </w:p>
              </w:tc>
              <w:tc>
                <w:tcPr>
                  <w:tcW w:w="1896" w:type="pct"/>
                  <w:tcBorders>
                    <w:tl2br w:val="nil"/>
                    <w:tr2bl w:val="nil"/>
                  </w:tcBorders>
                  <w:noWrap w:val="0"/>
                  <w:vAlign w:val="center"/>
                </w:tcPr>
                <w:p w14:paraId="514F1994">
                  <w:pPr>
                    <w:pStyle w:val="77"/>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路基宽度</w:t>
                  </w:r>
                </w:p>
              </w:tc>
              <w:tc>
                <w:tcPr>
                  <w:tcW w:w="501" w:type="pct"/>
                  <w:tcBorders>
                    <w:tl2br w:val="nil"/>
                    <w:tr2bl w:val="nil"/>
                  </w:tcBorders>
                  <w:noWrap w:val="0"/>
                  <w:vAlign w:val="center"/>
                </w:tcPr>
                <w:p w14:paraId="0FADFC8A">
                  <w:pPr>
                    <w:pStyle w:val="77"/>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m</w:t>
                  </w:r>
                </w:p>
              </w:tc>
              <w:tc>
                <w:tcPr>
                  <w:tcW w:w="1087" w:type="pct"/>
                  <w:tcBorders>
                    <w:tl2br w:val="nil"/>
                    <w:tr2bl w:val="nil"/>
                  </w:tcBorders>
                  <w:noWrap w:val="0"/>
                  <w:vAlign w:val="center"/>
                </w:tcPr>
                <w:p w14:paraId="54D9C016">
                  <w:pPr>
                    <w:pStyle w:val="77"/>
                    <w:jc w:val="center"/>
                    <w:rPr>
                      <w:rFonts w:hint="default" w:ascii="Times New Roman" w:hAnsi="Times New Roman" w:eastAsia="宋体" w:cs="Times New Roman"/>
                      <w:sz w:val="21"/>
                      <w:szCs w:val="21"/>
                      <w:highlight w:val="none"/>
                      <w:lang w:val="en-US"/>
                    </w:rPr>
                  </w:pPr>
                  <w:r>
                    <w:rPr>
                      <w:rFonts w:hint="default" w:ascii="Times New Roman" w:hAnsi="Times New Roman" w:eastAsia="宋体" w:cs="Times New Roman"/>
                      <w:sz w:val="21"/>
                      <w:szCs w:val="21"/>
                      <w:highlight w:val="none"/>
                      <w:lang w:eastAsia="zh-CN"/>
                    </w:rPr>
                    <w:t>25.5、2</w:t>
                  </w:r>
                  <w:r>
                    <w:rPr>
                      <w:rFonts w:hint="eastAsia" w:ascii="Times New Roman" w:hAnsi="Times New Roman" w:cs="Times New Roman"/>
                      <w:sz w:val="21"/>
                      <w:szCs w:val="21"/>
                      <w:highlight w:val="none"/>
                      <w:lang w:val="en-US" w:eastAsia="zh-CN"/>
                    </w:rPr>
                    <w:t>8.5</w:t>
                  </w:r>
                </w:p>
              </w:tc>
              <w:tc>
                <w:tcPr>
                  <w:tcW w:w="1087" w:type="pct"/>
                  <w:tcBorders>
                    <w:tl2br w:val="nil"/>
                    <w:tr2bl w:val="nil"/>
                  </w:tcBorders>
                  <w:noWrap w:val="0"/>
                  <w:vAlign w:val="center"/>
                </w:tcPr>
                <w:p w14:paraId="5109E078">
                  <w:pPr>
                    <w:pStyle w:val="77"/>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eastAsia="zh-CN"/>
                    </w:rPr>
                    <w:t>19～23.5</w:t>
                  </w:r>
                </w:p>
              </w:tc>
            </w:tr>
            <w:tr w14:paraId="4288B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27" w:type="pct"/>
                  <w:tcBorders>
                    <w:tl2br w:val="nil"/>
                    <w:tr2bl w:val="nil"/>
                  </w:tcBorders>
                  <w:shd w:val="clear" w:color="auto" w:fill="auto"/>
                  <w:noWrap w:val="0"/>
                  <w:vAlign w:val="center"/>
                </w:tcPr>
                <w:p w14:paraId="65E00969">
                  <w:pPr>
                    <w:pStyle w:val="77"/>
                    <w:jc w:val="center"/>
                    <w:rPr>
                      <w:rFonts w:hint="default" w:ascii="Times New Roman" w:hAnsi="Times New Roman" w:eastAsia="宋体" w:cs="Times New Roman"/>
                      <w:kern w:val="0"/>
                      <w:sz w:val="21"/>
                      <w:szCs w:val="21"/>
                      <w:highlight w:val="none"/>
                      <w:lang w:val="en-US" w:eastAsia="en-US" w:bidi="ar-SA"/>
                    </w:rPr>
                  </w:pPr>
                  <w:r>
                    <w:rPr>
                      <w:rFonts w:hint="default" w:ascii="Times New Roman" w:hAnsi="Times New Roman" w:eastAsia="宋体" w:cs="Times New Roman"/>
                      <w:sz w:val="21"/>
                      <w:szCs w:val="21"/>
                      <w:highlight w:val="none"/>
                    </w:rPr>
                    <w:t>6</w:t>
                  </w:r>
                </w:p>
              </w:tc>
              <w:tc>
                <w:tcPr>
                  <w:tcW w:w="1896" w:type="pct"/>
                  <w:tcBorders>
                    <w:tl2br w:val="nil"/>
                    <w:tr2bl w:val="nil"/>
                  </w:tcBorders>
                  <w:noWrap w:val="0"/>
                  <w:vAlign w:val="center"/>
                </w:tcPr>
                <w:p w14:paraId="739CE95E">
                  <w:pPr>
                    <w:pStyle w:val="77"/>
                    <w:jc w:val="center"/>
                    <w:rPr>
                      <w:rFonts w:hint="default" w:ascii="Times New Roman" w:hAnsi="Times New Roman" w:eastAsia="宋体" w:cs="Times New Roman"/>
                      <w:sz w:val="21"/>
                      <w:szCs w:val="21"/>
                      <w:highlight w:val="none"/>
                      <w:lang w:val="en-US" w:eastAsia="zh-CN"/>
                    </w:rPr>
                  </w:pPr>
                  <w:r>
                    <w:rPr>
                      <w:rFonts w:hint="eastAsia" w:ascii="Times New Roman" w:hAnsi="Times New Roman" w:cs="Times New Roman"/>
                      <w:sz w:val="21"/>
                      <w:szCs w:val="21"/>
                      <w:highlight w:val="none"/>
                      <w:lang w:val="en-US" w:eastAsia="zh-CN"/>
                    </w:rPr>
                    <w:t>行车道数及宽度</w:t>
                  </w:r>
                </w:p>
              </w:tc>
              <w:tc>
                <w:tcPr>
                  <w:tcW w:w="501" w:type="pct"/>
                  <w:tcBorders>
                    <w:tl2br w:val="nil"/>
                    <w:tr2bl w:val="nil"/>
                  </w:tcBorders>
                  <w:noWrap w:val="0"/>
                  <w:vAlign w:val="center"/>
                </w:tcPr>
                <w:p w14:paraId="59347DB3">
                  <w:pPr>
                    <w:pStyle w:val="77"/>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cs="Times New Roman"/>
                      <w:sz w:val="21"/>
                      <w:szCs w:val="21"/>
                      <w:highlight w:val="none"/>
                      <w:lang w:val="en-US" w:eastAsia="zh-CN"/>
                    </w:rPr>
                    <w:t>m</w:t>
                  </w:r>
                </w:p>
              </w:tc>
              <w:tc>
                <w:tcPr>
                  <w:tcW w:w="1087" w:type="pct"/>
                  <w:tcBorders>
                    <w:tl2br w:val="nil"/>
                    <w:tr2bl w:val="nil"/>
                  </w:tcBorders>
                  <w:noWrap w:val="0"/>
                  <w:vAlign w:val="center"/>
                </w:tcPr>
                <w:p w14:paraId="4F3978D4">
                  <w:pPr>
                    <w:pStyle w:val="77"/>
                    <w:jc w:val="center"/>
                    <w:rPr>
                      <w:rFonts w:hint="default" w:ascii="Times New Roman" w:hAnsi="Times New Roman" w:eastAsia="宋体" w:cs="Times New Roman"/>
                      <w:sz w:val="21"/>
                      <w:szCs w:val="21"/>
                      <w:highlight w:val="none"/>
                      <w:lang w:val="en-US" w:eastAsia="zh-CN"/>
                    </w:rPr>
                  </w:pPr>
                  <w:r>
                    <w:rPr>
                      <w:rFonts w:hint="default" w:ascii="Times New Roman" w:hAnsi="Times New Roman" w:cs="Times New Roman"/>
                      <w:sz w:val="21"/>
                      <w:szCs w:val="21"/>
                      <w:highlight w:val="none"/>
                      <w:lang w:val="en-US" w:eastAsia="zh-CN"/>
                    </w:rPr>
                    <w:t>4×3.75</w:t>
                  </w:r>
                </w:p>
              </w:tc>
              <w:tc>
                <w:tcPr>
                  <w:tcW w:w="1087" w:type="pct"/>
                  <w:tcBorders>
                    <w:tl2br w:val="nil"/>
                    <w:tr2bl w:val="nil"/>
                  </w:tcBorders>
                  <w:noWrap w:val="0"/>
                  <w:vAlign w:val="center"/>
                </w:tcPr>
                <w:p w14:paraId="1EB4773B">
                  <w:pPr>
                    <w:pStyle w:val="77"/>
                    <w:jc w:val="center"/>
                    <w:rPr>
                      <w:rFonts w:hint="default" w:ascii="Times New Roman" w:hAnsi="Times New Roman" w:eastAsia="宋体" w:cs="Times New Roman"/>
                      <w:sz w:val="21"/>
                      <w:szCs w:val="21"/>
                      <w:highlight w:val="none"/>
                      <w:lang w:val="en-US" w:eastAsia="zh-CN"/>
                    </w:rPr>
                  </w:pPr>
                  <w:r>
                    <w:rPr>
                      <w:rFonts w:hint="default" w:ascii="Times New Roman" w:hAnsi="Times New Roman" w:cs="Times New Roman"/>
                      <w:sz w:val="21"/>
                      <w:szCs w:val="21"/>
                      <w:highlight w:val="none"/>
                      <w:lang w:val="en-US" w:eastAsia="zh-CN"/>
                    </w:rPr>
                    <w:t>4×3.</w:t>
                  </w:r>
                  <w:r>
                    <w:rPr>
                      <w:rFonts w:hint="eastAsia" w:ascii="Times New Roman" w:hAnsi="Times New Roman" w:cs="Times New Roman"/>
                      <w:sz w:val="21"/>
                      <w:szCs w:val="21"/>
                      <w:highlight w:val="none"/>
                      <w:lang w:val="en-US" w:eastAsia="zh-CN"/>
                    </w:rPr>
                    <w:t>50</w:t>
                  </w:r>
                </w:p>
              </w:tc>
            </w:tr>
            <w:tr w14:paraId="110F7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27" w:type="pct"/>
                  <w:tcBorders>
                    <w:tl2br w:val="nil"/>
                    <w:tr2bl w:val="nil"/>
                  </w:tcBorders>
                  <w:shd w:val="clear" w:color="auto" w:fill="auto"/>
                  <w:noWrap w:val="0"/>
                  <w:vAlign w:val="center"/>
                </w:tcPr>
                <w:p w14:paraId="555D681D">
                  <w:pPr>
                    <w:pStyle w:val="77"/>
                    <w:jc w:val="center"/>
                    <w:rPr>
                      <w:rFonts w:hint="default" w:ascii="Times New Roman" w:hAnsi="Times New Roman" w:eastAsia="宋体" w:cs="Times New Roman"/>
                      <w:kern w:val="0"/>
                      <w:sz w:val="21"/>
                      <w:szCs w:val="21"/>
                      <w:highlight w:val="none"/>
                      <w:lang w:val="en-US" w:eastAsia="en-US" w:bidi="ar-SA"/>
                    </w:rPr>
                  </w:pPr>
                  <w:r>
                    <w:rPr>
                      <w:rFonts w:hint="default" w:ascii="Times New Roman" w:hAnsi="Times New Roman" w:eastAsia="宋体" w:cs="Times New Roman"/>
                      <w:sz w:val="21"/>
                      <w:szCs w:val="21"/>
                      <w:highlight w:val="none"/>
                    </w:rPr>
                    <w:t>7</w:t>
                  </w:r>
                </w:p>
              </w:tc>
              <w:tc>
                <w:tcPr>
                  <w:tcW w:w="1896" w:type="pct"/>
                  <w:tcBorders>
                    <w:tl2br w:val="nil"/>
                    <w:tr2bl w:val="nil"/>
                  </w:tcBorders>
                  <w:noWrap w:val="0"/>
                  <w:vAlign w:val="center"/>
                </w:tcPr>
                <w:p w14:paraId="5FE1183F">
                  <w:pPr>
                    <w:pStyle w:val="77"/>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平曲线最小半径</w:t>
                  </w:r>
                </w:p>
              </w:tc>
              <w:tc>
                <w:tcPr>
                  <w:tcW w:w="501" w:type="pct"/>
                  <w:tcBorders>
                    <w:tl2br w:val="nil"/>
                    <w:tr2bl w:val="nil"/>
                  </w:tcBorders>
                  <w:noWrap w:val="0"/>
                  <w:vAlign w:val="center"/>
                </w:tcPr>
                <w:p w14:paraId="3692E31E">
                  <w:pPr>
                    <w:pStyle w:val="77"/>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m</w:t>
                  </w:r>
                </w:p>
              </w:tc>
              <w:tc>
                <w:tcPr>
                  <w:tcW w:w="1087" w:type="pct"/>
                  <w:tcBorders>
                    <w:tl2br w:val="nil"/>
                    <w:tr2bl w:val="nil"/>
                  </w:tcBorders>
                  <w:shd w:val="clear" w:color="auto" w:fill="auto"/>
                  <w:noWrap w:val="0"/>
                  <w:vAlign w:val="center"/>
                </w:tcPr>
                <w:p w14:paraId="752876A2">
                  <w:pPr>
                    <w:pStyle w:val="77"/>
                    <w:jc w:val="center"/>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eastAsia="zh-CN"/>
                    </w:rPr>
                    <w:t>400</w:t>
                  </w:r>
                </w:p>
              </w:tc>
              <w:tc>
                <w:tcPr>
                  <w:tcW w:w="1087" w:type="pct"/>
                  <w:tcBorders>
                    <w:tl2br w:val="nil"/>
                    <w:tr2bl w:val="nil"/>
                  </w:tcBorders>
                  <w:shd w:val="clear" w:color="auto" w:fill="auto"/>
                  <w:noWrap w:val="0"/>
                  <w:vAlign w:val="center"/>
                </w:tcPr>
                <w:p w14:paraId="34144F01">
                  <w:pPr>
                    <w:pStyle w:val="77"/>
                    <w:jc w:val="center"/>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eastAsia="zh-CN"/>
                    </w:rPr>
                    <w:t>4</w:t>
                  </w:r>
                  <w:r>
                    <w:rPr>
                      <w:rFonts w:hint="default" w:ascii="Times New Roman" w:hAnsi="Times New Roman" w:eastAsia="宋体" w:cs="Times New Roman"/>
                      <w:sz w:val="21"/>
                      <w:szCs w:val="21"/>
                      <w:highlight w:val="none"/>
                      <w:lang w:val="en-US" w:eastAsia="zh-CN"/>
                    </w:rPr>
                    <w:t>00</w:t>
                  </w:r>
                </w:p>
              </w:tc>
            </w:tr>
            <w:tr w14:paraId="1FD71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27" w:type="pct"/>
                  <w:tcBorders>
                    <w:tl2br w:val="nil"/>
                    <w:tr2bl w:val="nil"/>
                  </w:tcBorders>
                  <w:shd w:val="clear" w:color="auto" w:fill="auto"/>
                  <w:noWrap w:val="0"/>
                  <w:vAlign w:val="center"/>
                </w:tcPr>
                <w:p w14:paraId="73603AC6">
                  <w:pPr>
                    <w:pStyle w:val="77"/>
                    <w:jc w:val="center"/>
                    <w:rPr>
                      <w:rFonts w:hint="default" w:ascii="Times New Roman" w:hAnsi="Times New Roman" w:eastAsia="宋体" w:cs="Times New Roman"/>
                      <w:kern w:val="0"/>
                      <w:sz w:val="21"/>
                      <w:szCs w:val="21"/>
                      <w:highlight w:val="none"/>
                      <w:lang w:val="en-US" w:eastAsia="en-US" w:bidi="ar-SA"/>
                    </w:rPr>
                  </w:pPr>
                  <w:r>
                    <w:rPr>
                      <w:rFonts w:hint="default" w:ascii="Times New Roman" w:hAnsi="Times New Roman" w:eastAsia="宋体" w:cs="Times New Roman"/>
                      <w:sz w:val="21"/>
                      <w:szCs w:val="21"/>
                      <w:highlight w:val="none"/>
                    </w:rPr>
                    <w:t>8</w:t>
                  </w:r>
                </w:p>
              </w:tc>
              <w:tc>
                <w:tcPr>
                  <w:tcW w:w="1896" w:type="pct"/>
                  <w:tcBorders>
                    <w:tl2br w:val="nil"/>
                    <w:tr2bl w:val="nil"/>
                  </w:tcBorders>
                  <w:noWrap w:val="0"/>
                  <w:vAlign w:val="center"/>
                </w:tcPr>
                <w:p w14:paraId="47760232">
                  <w:pPr>
                    <w:pStyle w:val="77"/>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停车视距</w:t>
                  </w:r>
                </w:p>
              </w:tc>
              <w:tc>
                <w:tcPr>
                  <w:tcW w:w="501" w:type="pct"/>
                  <w:tcBorders>
                    <w:tl2br w:val="nil"/>
                    <w:tr2bl w:val="nil"/>
                  </w:tcBorders>
                  <w:noWrap w:val="0"/>
                  <w:vAlign w:val="center"/>
                </w:tcPr>
                <w:p w14:paraId="41432344">
                  <w:pPr>
                    <w:pStyle w:val="77"/>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m</w:t>
                  </w:r>
                </w:p>
              </w:tc>
              <w:tc>
                <w:tcPr>
                  <w:tcW w:w="1087" w:type="pct"/>
                  <w:tcBorders>
                    <w:tl2br w:val="nil"/>
                    <w:tr2bl w:val="nil"/>
                  </w:tcBorders>
                  <w:noWrap w:val="0"/>
                  <w:vAlign w:val="center"/>
                </w:tcPr>
                <w:p w14:paraId="3D4831B1">
                  <w:pPr>
                    <w:pStyle w:val="77"/>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eastAsia="zh-CN"/>
                    </w:rPr>
                    <w:t>1</w:t>
                  </w:r>
                  <w:r>
                    <w:rPr>
                      <w:rFonts w:hint="default" w:ascii="Times New Roman" w:hAnsi="Times New Roman" w:eastAsia="宋体" w:cs="Times New Roman"/>
                      <w:sz w:val="21"/>
                      <w:szCs w:val="21"/>
                      <w:highlight w:val="none"/>
                      <w:lang w:val="en-US" w:eastAsia="zh-CN"/>
                    </w:rPr>
                    <w:t>10</w:t>
                  </w:r>
                </w:p>
              </w:tc>
              <w:tc>
                <w:tcPr>
                  <w:tcW w:w="1087" w:type="pct"/>
                  <w:tcBorders>
                    <w:tl2br w:val="nil"/>
                    <w:tr2bl w:val="nil"/>
                  </w:tcBorders>
                  <w:noWrap w:val="0"/>
                  <w:vAlign w:val="center"/>
                </w:tcPr>
                <w:p w14:paraId="68C17847">
                  <w:pPr>
                    <w:pStyle w:val="77"/>
                    <w:jc w:val="center"/>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75</w:t>
                  </w:r>
                </w:p>
              </w:tc>
            </w:tr>
            <w:tr w14:paraId="20515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27" w:type="pct"/>
                  <w:tcBorders>
                    <w:tl2br w:val="nil"/>
                    <w:tr2bl w:val="nil"/>
                  </w:tcBorders>
                  <w:shd w:val="clear" w:color="auto" w:fill="auto"/>
                  <w:noWrap w:val="0"/>
                  <w:vAlign w:val="center"/>
                </w:tcPr>
                <w:p w14:paraId="547F9E83">
                  <w:pPr>
                    <w:pStyle w:val="77"/>
                    <w:jc w:val="center"/>
                    <w:rPr>
                      <w:rFonts w:hint="default" w:ascii="Times New Roman" w:hAnsi="Times New Roman" w:eastAsia="宋体" w:cs="Times New Roman"/>
                      <w:kern w:val="0"/>
                      <w:sz w:val="21"/>
                      <w:szCs w:val="21"/>
                      <w:highlight w:val="none"/>
                      <w:lang w:val="en-US" w:eastAsia="en-US" w:bidi="ar-SA"/>
                    </w:rPr>
                  </w:pPr>
                  <w:r>
                    <w:rPr>
                      <w:rFonts w:hint="default" w:ascii="Times New Roman" w:hAnsi="Times New Roman" w:eastAsia="宋体" w:cs="Times New Roman"/>
                      <w:sz w:val="21"/>
                      <w:szCs w:val="21"/>
                      <w:highlight w:val="none"/>
                    </w:rPr>
                    <w:t>9</w:t>
                  </w:r>
                </w:p>
              </w:tc>
              <w:tc>
                <w:tcPr>
                  <w:tcW w:w="1896" w:type="pct"/>
                  <w:tcBorders>
                    <w:tl2br w:val="nil"/>
                    <w:tr2bl w:val="nil"/>
                  </w:tcBorders>
                  <w:noWrap w:val="0"/>
                  <w:vAlign w:val="center"/>
                </w:tcPr>
                <w:p w14:paraId="64EE00C4">
                  <w:pPr>
                    <w:pStyle w:val="77"/>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最大纵坡</w:t>
                  </w:r>
                </w:p>
              </w:tc>
              <w:tc>
                <w:tcPr>
                  <w:tcW w:w="501" w:type="pct"/>
                  <w:tcBorders>
                    <w:tl2br w:val="nil"/>
                    <w:tr2bl w:val="nil"/>
                  </w:tcBorders>
                  <w:noWrap w:val="0"/>
                  <w:vAlign w:val="center"/>
                </w:tcPr>
                <w:p w14:paraId="5EC9B94F">
                  <w:pPr>
                    <w:pStyle w:val="77"/>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w:t>
                  </w:r>
                </w:p>
              </w:tc>
              <w:tc>
                <w:tcPr>
                  <w:tcW w:w="1087" w:type="pct"/>
                  <w:tcBorders>
                    <w:tl2br w:val="nil"/>
                    <w:tr2bl w:val="nil"/>
                  </w:tcBorders>
                  <w:noWrap w:val="0"/>
                  <w:vAlign w:val="center"/>
                </w:tcPr>
                <w:p w14:paraId="4888F3A7">
                  <w:pPr>
                    <w:pStyle w:val="77"/>
                    <w:jc w:val="center"/>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3.1</w:t>
                  </w:r>
                </w:p>
              </w:tc>
              <w:tc>
                <w:tcPr>
                  <w:tcW w:w="1087" w:type="pct"/>
                  <w:tcBorders>
                    <w:tl2br w:val="nil"/>
                    <w:tr2bl w:val="nil"/>
                  </w:tcBorders>
                  <w:noWrap w:val="0"/>
                  <w:vAlign w:val="center"/>
                </w:tcPr>
                <w:p w14:paraId="14590C22">
                  <w:pPr>
                    <w:pStyle w:val="77"/>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eastAsia="zh-CN"/>
                    </w:rPr>
                    <w:t>1.</w:t>
                  </w:r>
                  <w:r>
                    <w:rPr>
                      <w:rFonts w:hint="default" w:ascii="Times New Roman" w:hAnsi="Times New Roman" w:eastAsia="宋体" w:cs="Times New Roman"/>
                      <w:sz w:val="21"/>
                      <w:szCs w:val="21"/>
                      <w:highlight w:val="none"/>
                      <w:lang w:val="en-US" w:eastAsia="zh-CN"/>
                    </w:rPr>
                    <w:t>5</w:t>
                  </w:r>
                </w:p>
              </w:tc>
            </w:tr>
            <w:tr w14:paraId="025F9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27" w:type="pct"/>
                  <w:tcBorders>
                    <w:tl2br w:val="nil"/>
                    <w:tr2bl w:val="nil"/>
                  </w:tcBorders>
                  <w:shd w:val="clear" w:color="auto" w:fill="auto"/>
                  <w:noWrap w:val="0"/>
                  <w:vAlign w:val="center"/>
                </w:tcPr>
                <w:p w14:paraId="29676BF0">
                  <w:pPr>
                    <w:pStyle w:val="77"/>
                    <w:jc w:val="center"/>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cs="Times New Roman"/>
                      <w:kern w:val="0"/>
                      <w:sz w:val="21"/>
                      <w:szCs w:val="21"/>
                      <w:highlight w:val="none"/>
                      <w:lang w:val="en-US" w:eastAsia="zh-CN" w:bidi="ar-SA"/>
                    </w:rPr>
                    <w:t>10</w:t>
                  </w:r>
                </w:p>
              </w:tc>
              <w:tc>
                <w:tcPr>
                  <w:tcW w:w="1896" w:type="pct"/>
                  <w:tcBorders>
                    <w:tl2br w:val="nil"/>
                    <w:tr2bl w:val="nil"/>
                  </w:tcBorders>
                  <w:noWrap w:val="0"/>
                  <w:vAlign w:val="center"/>
                </w:tcPr>
                <w:p w14:paraId="58EE4BE4">
                  <w:pPr>
                    <w:pStyle w:val="77"/>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最小坡长</w:t>
                  </w:r>
                </w:p>
              </w:tc>
              <w:tc>
                <w:tcPr>
                  <w:tcW w:w="501" w:type="pct"/>
                  <w:tcBorders>
                    <w:tl2br w:val="nil"/>
                    <w:tr2bl w:val="nil"/>
                  </w:tcBorders>
                  <w:noWrap w:val="0"/>
                  <w:vAlign w:val="center"/>
                </w:tcPr>
                <w:p w14:paraId="158E5765">
                  <w:pPr>
                    <w:pStyle w:val="77"/>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m</w:t>
                  </w:r>
                </w:p>
              </w:tc>
              <w:tc>
                <w:tcPr>
                  <w:tcW w:w="1087" w:type="pct"/>
                  <w:tcBorders>
                    <w:tl2br w:val="nil"/>
                    <w:tr2bl w:val="nil"/>
                  </w:tcBorders>
                  <w:noWrap w:val="0"/>
                  <w:vAlign w:val="center"/>
                </w:tcPr>
                <w:p w14:paraId="54EA4E34">
                  <w:pPr>
                    <w:pStyle w:val="77"/>
                    <w:jc w:val="center"/>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200</w:t>
                  </w:r>
                </w:p>
              </w:tc>
              <w:tc>
                <w:tcPr>
                  <w:tcW w:w="1087" w:type="pct"/>
                  <w:tcBorders>
                    <w:tl2br w:val="nil"/>
                    <w:tr2bl w:val="nil"/>
                  </w:tcBorders>
                  <w:noWrap w:val="0"/>
                  <w:vAlign w:val="center"/>
                </w:tcPr>
                <w:p w14:paraId="1F65CC70">
                  <w:pPr>
                    <w:pStyle w:val="77"/>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200</w:t>
                  </w:r>
                </w:p>
              </w:tc>
            </w:tr>
          </w:tbl>
          <w:p w14:paraId="4C51D73A">
            <w:pPr>
              <w:pStyle w:val="50"/>
              <w:tabs>
                <w:tab w:val="left" w:pos="2694"/>
              </w:tabs>
              <w:spacing w:before="120" w:beforeLines="50" w:line="240" w:lineRule="auto"/>
              <w:rPr>
                <w:rFonts w:ascii="Times New Roman" w:hAnsi="宋体" w:eastAsia="宋体"/>
                <w:b/>
                <w:color w:val="auto"/>
              </w:rPr>
            </w:pPr>
            <w:r>
              <w:rPr>
                <w:rFonts w:hint="eastAsia" w:ascii="Times New Roman" w:hAnsi="宋体" w:eastAsia="宋体"/>
                <w:b/>
                <w:color w:val="auto"/>
                <w:lang w:val="en-US" w:eastAsia="zh-CN"/>
              </w:rPr>
              <w:t xml:space="preserve">续 </w:t>
            </w:r>
            <w:r>
              <w:rPr>
                <w:rFonts w:ascii="Times New Roman" w:hAnsi="宋体" w:eastAsia="宋体"/>
                <w:b/>
                <w:color w:val="auto"/>
              </w:rPr>
              <w:t>表</w:t>
            </w:r>
            <w:r>
              <w:rPr>
                <w:rFonts w:ascii="Times New Roman" w:eastAsia="宋体"/>
                <w:b/>
                <w:color w:val="auto"/>
              </w:rPr>
              <w:t>2-</w:t>
            </w:r>
            <w:r>
              <w:rPr>
                <w:rFonts w:hint="eastAsia" w:ascii="Times New Roman" w:eastAsia="宋体"/>
                <w:b/>
                <w:color w:val="auto"/>
              </w:rPr>
              <w:t>4</w:t>
            </w:r>
            <w:r>
              <w:rPr>
                <w:rFonts w:ascii="Times New Roman" w:eastAsia="宋体"/>
                <w:b/>
                <w:color w:val="auto"/>
              </w:rPr>
              <w:t xml:space="preserve"> </w:t>
            </w:r>
            <w:r>
              <w:rPr>
                <w:rFonts w:hint="eastAsia" w:ascii="Times New Roman" w:eastAsia="宋体"/>
                <w:b/>
                <w:color w:val="auto"/>
              </w:rPr>
              <w:t xml:space="preserve"> </w:t>
            </w:r>
            <w:r>
              <w:rPr>
                <w:rFonts w:ascii="Times New Roman" w:hAnsi="宋体" w:eastAsia="宋体"/>
                <w:b/>
                <w:color w:val="auto"/>
              </w:rPr>
              <w:t>拟建公路主要技术指标表</w:t>
            </w:r>
          </w:p>
          <w:tbl>
            <w:tblPr>
              <w:tblStyle w:val="22"/>
              <w:tblW w:w="84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1"/>
              <w:gridCol w:w="1689"/>
              <w:gridCol w:w="7"/>
              <w:gridCol w:w="1502"/>
              <w:gridCol w:w="845"/>
              <w:gridCol w:w="1833"/>
              <w:gridCol w:w="1834"/>
            </w:tblGrid>
            <w:tr w14:paraId="1CE7D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27" w:type="pct"/>
                  <w:tcBorders>
                    <w:tl2br w:val="nil"/>
                    <w:tr2bl w:val="nil"/>
                  </w:tcBorders>
                  <w:noWrap w:val="0"/>
                  <w:vAlign w:val="center"/>
                </w:tcPr>
                <w:p w14:paraId="359EB541">
                  <w:pPr>
                    <w:pStyle w:val="77"/>
                    <w:jc w:val="center"/>
                    <w:rPr>
                      <w:rFonts w:hint="default" w:ascii="Times New Roman" w:hAnsi="Times New Roman" w:eastAsia="宋体" w:cs="Times New Roman"/>
                      <w:b/>
                      <w:sz w:val="21"/>
                      <w:szCs w:val="21"/>
                      <w:highlight w:val="none"/>
                      <w:lang w:val="en-US" w:eastAsia="zh-CN"/>
                    </w:rPr>
                  </w:pPr>
                  <w:r>
                    <w:rPr>
                      <w:rFonts w:hint="eastAsia" w:ascii="Times New Roman" w:hAnsi="Times New Roman" w:cs="Times New Roman"/>
                      <w:b/>
                      <w:sz w:val="21"/>
                      <w:szCs w:val="21"/>
                      <w:highlight w:val="none"/>
                      <w:lang w:val="en-US" w:eastAsia="zh-CN"/>
                    </w:rPr>
                    <w:t>序号</w:t>
                  </w:r>
                </w:p>
              </w:tc>
              <w:tc>
                <w:tcPr>
                  <w:tcW w:w="1896" w:type="pct"/>
                  <w:gridSpan w:val="3"/>
                  <w:tcBorders>
                    <w:tl2br w:val="nil"/>
                    <w:tr2bl w:val="nil"/>
                  </w:tcBorders>
                  <w:noWrap w:val="0"/>
                  <w:vAlign w:val="center"/>
                </w:tcPr>
                <w:p w14:paraId="10EF7FCD">
                  <w:pPr>
                    <w:pStyle w:val="77"/>
                    <w:jc w:val="center"/>
                    <w:rPr>
                      <w:rFonts w:hint="default" w:ascii="Times New Roman" w:hAnsi="Times New Roman" w:eastAsia="宋体" w:cs="Times New Roman"/>
                      <w:b/>
                      <w:sz w:val="21"/>
                      <w:szCs w:val="21"/>
                      <w:highlight w:val="none"/>
                    </w:rPr>
                  </w:pPr>
                  <w:r>
                    <w:rPr>
                      <w:rFonts w:hint="default" w:ascii="Times New Roman" w:hAnsi="Times New Roman" w:eastAsia="宋体" w:cs="Times New Roman"/>
                      <w:b/>
                      <w:bCs/>
                      <w:color w:val="000000"/>
                      <w:sz w:val="21"/>
                      <w:szCs w:val="21"/>
                      <w:highlight w:val="none"/>
                      <w:lang w:eastAsia="zh-CN" w:bidi="ar"/>
                    </w:rPr>
                    <w:t>项 目</w:t>
                  </w:r>
                </w:p>
              </w:tc>
              <w:tc>
                <w:tcPr>
                  <w:tcW w:w="501" w:type="pct"/>
                  <w:tcBorders>
                    <w:tl2br w:val="nil"/>
                    <w:tr2bl w:val="nil"/>
                  </w:tcBorders>
                  <w:noWrap w:val="0"/>
                  <w:vAlign w:val="center"/>
                </w:tcPr>
                <w:p w14:paraId="58DC3E93">
                  <w:pPr>
                    <w:pStyle w:val="77"/>
                    <w:jc w:val="center"/>
                    <w:rPr>
                      <w:rFonts w:hint="default" w:ascii="Times New Roman" w:hAnsi="Times New Roman" w:eastAsia="宋体" w:cs="Times New Roman"/>
                      <w:b/>
                      <w:sz w:val="21"/>
                      <w:szCs w:val="21"/>
                      <w:highlight w:val="none"/>
                      <w:lang w:eastAsia="zh-CN"/>
                    </w:rPr>
                  </w:pPr>
                  <w:r>
                    <w:rPr>
                      <w:rFonts w:hint="default" w:ascii="Times New Roman" w:hAnsi="Times New Roman" w:eastAsia="宋体" w:cs="Times New Roman"/>
                      <w:b/>
                      <w:sz w:val="21"/>
                      <w:szCs w:val="21"/>
                      <w:highlight w:val="none"/>
                      <w:lang w:eastAsia="zh-CN"/>
                    </w:rPr>
                    <w:t>单位</w:t>
                  </w:r>
                </w:p>
              </w:tc>
              <w:tc>
                <w:tcPr>
                  <w:tcW w:w="1087" w:type="pct"/>
                  <w:tcBorders>
                    <w:tl2br w:val="nil"/>
                    <w:tr2bl w:val="nil"/>
                  </w:tcBorders>
                  <w:noWrap w:val="0"/>
                  <w:vAlign w:val="center"/>
                </w:tcPr>
                <w:p w14:paraId="18C59C82">
                  <w:pPr>
                    <w:pStyle w:val="77"/>
                    <w:jc w:val="center"/>
                    <w:rPr>
                      <w:rFonts w:hint="default" w:ascii="Times New Roman" w:hAnsi="Times New Roman" w:eastAsia="宋体" w:cs="Times New Roman"/>
                      <w:b/>
                      <w:sz w:val="21"/>
                      <w:szCs w:val="21"/>
                      <w:highlight w:val="none"/>
                      <w:lang w:val="en-US" w:eastAsia="zh-CN"/>
                    </w:rPr>
                  </w:pPr>
                  <w:r>
                    <w:rPr>
                      <w:rFonts w:hint="default" w:ascii="Times New Roman" w:hAnsi="Times New Roman" w:cs="Times New Roman"/>
                      <w:b/>
                      <w:sz w:val="21"/>
                      <w:szCs w:val="21"/>
                      <w:highlight w:val="none"/>
                      <w:lang w:val="en-US" w:eastAsia="zh-CN"/>
                    </w:rPr>
                    <w:t>指标值</w:t>
                  </w:r>
                </w:p>
              </w:tc>
              <w:tc>
                <w:tcPr>
                  <w:tcW w:w="1087" w:type="pct"/>
                  <w:tcBorders>
                    <w:tl2br w:val="nil"/>
                    <w:tr2bl w:val="nil"/>
                  </w:tcBorders>
                  <w:noWrap w:val="0"/>
                  <w:vAlign w:val="center"/>
                </w:tcPr>
                <w:p w14:paraId="23AB4CE9">
                  <w:pPr>
                    <w:pStyle w:val="77"/>
                    <w:jc w:val="center"/>
                    <w:rPr>
                      <w:rFonts w:hint="default" w:ascii="Times New Roman" w:hAnsi="Times New Roman" w:eastAsia="宋体" w:cs="Times New Roman"/>
                      <w:b/>
                      <w:sz w:val="21"/>
                      <w:szCs w:val="21"/>
                      <w:highlight w:val="none"/>
                      <w:lang w:val="en-US" w:eastAsia="zh-CN"/>
                    </w:rPr>
                  </w:pPr>
                  <w:r>
                    <w:rPr>
                      <w:rFonts w:hint="default" w:ascii="Times New Roman" w:hAnsi="Times New Roman" w:cs="Times New Roman"/>
                      <w:b/>
                      <w:sz w:val="21"/>
                      <w:szCs w:val="21"/>
                      <w:highlight w:val="none"/>
                      <w:lang w:val="en-US" w:eastAsia="zh-CN"/>
                    </w:rPr>
                    <w:t>指标值</w:t>
                  </w:r>
                </w:p>
              </w:tc>
            </w:tr>
            <w:tr w14:paraId="368B4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21" w:type="dxa"/>
                  <w:tcBorders>
                    <w:tl2br w:val="nil"/>
                    <w:tr2bl w:val="nil"/>
                  </w:tcBorders>
                  <w:noWrap w:val="0"/>
                  <w:vAlign w:val="center"/>
                </w:tcPr>
                <w:p w14:paraId="7D3D5FB4">
                  <w:pPr>
                    <w:pStyle w:val="77"/>
                    <w:jc w:val="center"/>
                    <w:rPr>
                      <w:rFonts w:hint="eastAsia" w:ascii="Times New Roman" w:hAnsi="Times New Roman" w:eastAsia="宋体" w:cs="Times New Roman"/>
                      <w:b/>
                      <w:sz w:val="21"/>
                      <w:szCs w:val="21"/>
                      <w:highlight w:val="none"/>
                      <w:lang w:val="en-US" w:eastAsia="zh-CN"/>
                    </w:rPr>
                  </w:pPr>
                  <w:r>
                    <w:rPr>
                      <w:rFonts w:hint="default" w:ascii="Times New Roman" w:hAnsi="Times New Roman" w:eastAsia="宋体" w:cs="Times New Roman"/>
                      <w:sz w:val="21"/>
                      <w:szCs w:val="21"/>
                      <w:highlight w:val="none"/>
                    </w:rPr>
                    <w:t>1</w:t>
                  </w:r>
                  <w:r>
                    <w:rPr>
                      <w:rFonts w:hint="eastAsia" w:ascii="Times New Roman" w:hAnsi="Times New Roman" w:cs="Times New Roman"/>
                      <w:sz w:val="21"/>
                      <w:szCs w:val="21"/>
                      <w:highlight w:val="none"/>
                      <w:lang w:val="en-US" w:eastAsia="zh-CN"/>
                    </w:rPr>
                    <w:t>1</w:t>
                  </w:r>
                </w:p>
              </w:tc>
              <w:tc>
                <w:tcPr>
                  <w:tcW w:w="1696" w:type="dxa"/>
                  <w:gridSpan w:val="2"/>
                  <w:tcBorders>
                    <w:tl2br w:val="nil"/>
                    <w:tr2bl w:val="nil"/>
                  </w:tcBorders>
                  <w:noWrap w:val="0"/>
                  <w:vAlign w:val="center"/>
                </w:tcPr>
                <w:p w14:paraId="1B14A000">
                  <w:pPr>
                    <w:pStyle w:val="77"/>
                    <w:jc w:val="center"/>
                    <w:rPr>
                      <w:rFonts w:hint="default" w:ascii="Times New Roman" w:hAnsi="Times New Roman" w:eastAsia="宋体" w:cs="Times New Roman"/>
                      <w:b/>
                      <w:bCs/>
                      <w:color w:val="000000"/>
                      <w:sz w:val="21"/>
                      <w:szCs w:val="21"/>
                      <w:highlight w:val="none"/>
                      <w:lang w:eastAsia="zh-CN" w:bidi="ar"/>
                    </w:rPr>
                  </w:pPr>
                  <w:r>
                    <w:rPr>
                      <w:rFonts w:hint="default" w:ascii="Times New Roman" w:hAnsi="Times New Roman" w:eastAsia="宋体" w:cs="Times New Roman"/>
                      <w:sz w:val="21"/>
                      <w:szCs w:val="21"/>
                      <w:highlight w:val="none"/>
                    </w:rPr>
                    <w:t>凸形竖曲线半径</w:t>
                  </w:r>
                </w:p>
              </w:tc>
              <w:tc>
                <w:tcPr>
                  <w:tcW w:w="1502" w:type="dxa"/>
                  <w:tcBorders>
                    <w:tl2br w:val="nil"/>
                    <w:tr2bl w:val="nil"/>
                  </w:tcBorders>
                  <w:noWrap w:val="0"/>
                  <w:vAlign w:val="center"/>
                </w:tcPr>
                <w:p w14:paraId="01B35358">
                  <w:pPr>
                    <w:pStyle w:val="77"/>
                    <w:jc w:val="center"/>
                    <w:rPr>
                      <w:rFonts w:hint="default" w:ascii="Times New Roman" w:hAnsi="Times New Roman" w:eastAsia="宋体" w:cs="Times New Roman"/>
                      <w:b/>
                      <w:bCs/>
                      <w:color w:val="000000"/>
                      <w:sz w:val="21"/>
                      <w:szCs w:val="21"/>
                      <w:highlight w:val="none"/>
                      <w:lang w:eastAsia="zh-CN" w:bidi="ar"/>
                    </w:rPr>
                  </w:pPr>
                  <w:r>
                    <w:rPr>
                      <w:rFonts w:hint="default" w:ascii="Times New Roman" w:hAnsi="Times New Roman" w:eastAsia="宋体" w:cs="Times New Roman"/>
                      <w:sz w:val="21"/>
                      <w:szCs w:val="21"/>
                      <w:highlight w:val="none"/>
                    </w:rPr>
                    <w:t>一般值</w:t>
                  </w:r>
                </w:p>
              </w:tc>
              <w:tc>
                <w:tcPr>
                  <w:tcW w:w="845" w:type="dxa"/>
                  <w:tcBorders>
                    <w:tl2br w:val="nil"/>
                    <w:tr2bl w:val="nil"/>
                  </w:tcBorders>
                  <w:noWrap w:val="0"/>
                  <w:vAlign w:val="center"/>
                </w:tcPr>
                <w:p w14:paraId="70C0D012">
                  <w:pPr>
                    <w:pStyle w:val="77"/>
                    <w:jc w:val="center"/>
                    <w:rPr>
                      <w:rFonts w:hint="default" w:ascii="Times New Roman" w:hAnsi="Times New Roman" w:eastAsia="宋体" w:cs="Times New Roman"/>
                      <w:b/>
                      <w:sz w:val="21"/>
                      <w:szCs w:val="21"/>
                      <w:highlight w:val="none"/>
                      <w:lang w:eastAsia="zh-CN"/>
                    </w:rPr>
                  </w:pPr>
                  <w:r>
                    <w:rPr>
                      <w:rFonts w:hint="default" w:ascii="Times New Roman" w:hAnsi="Times New Roman" w:eastAsia="宋体" w:cs="Times New Roman"/>
                      <w:sz w:val="21"/>
                      <w:szCs w:val="21"/>
                      <w:highlight w:val="none"/>
                    </w:rPr>
                    <w:t>m</w:t>
                  </w:r>
                </w:p>
              </w:tc>
              <w:tc>
                <w:tcPr>
                  <w:tcW w:w="1833" w:type="dxa"/>
                  <w:tcBorders>
                    <w:tl2br w:val="nil"/>
                    <w:tr2bl w:val="nil"/>
                  </w:tcBorders>
                  <w:noWrap w:val="0"/>
                  <w:vAlign w:val="center"/>
                </w:tcPr>
                <w:p w14:paraId="2594EC4D">
                  <w:pPr>
                    <w:pStyle w:val="77"/>
                    <w:jc w:val="center"/>
                    <w:rPr>
                      <w:rFonts w:hint="default" w:ascii="Times New Roman" w:hAnsi="Times New Roman" w:cs="Times New Roman"/>
                      <w:b/>
                      <w:sz w:val="21"/>
                      <w:szCs w:val="21"/>
                      <w:highlight w:val="none"/>
                      <w:lang w:val="en-US" w:eastAsia="zh-CN"/>
                    </w:rPr>
                  </w:pPr>
                  <w:r>
                    <w:rPr>
                      <w:rFonts w:hint="default" w:ascii="Times New Roman" w:hAnsi="Times New Roman" w:eastAsia="宋体" w:cs="Times New Roman"/>
                      <w:sz w:val="21"/>
                      <w:szCs w:val="21"/>
                      <w:highlight w:val="none"/>
                      <w:lang w:val="en-US" w:eastAsia="zh-CN"/>
                    </w:rPr>
                    <w:t>4500</w:t>
                  </w:r>
                </w:p>
              </w:tc>
              <w:tc>
                <w:tcPr>
                  <w:tcW w:w="1834" w:type="dxa"/>
                  <w:tcBorders>
                    <w:tl2br w:val="nil"/>
                    <w:tr2bl w:val="nil"/>
                  </w:tcBorders>
                  <w:noWrap w:val="0"/>
                  <w:vAlign w:val="center"/>
                </w:tcPr>
                <w:p w14:paraId="6A5EAD15">
                  <w:pPr>
                    <w:pStyle w:val="77"/>
                    <w:jc w:val="center"/>
                    <w:rPr>
                      <w:rFonts w:hint="default" w:ascii="Times New Roman" w:hAnsi="Times New Roman" w:cs="Times New Roman"/>
                      <w:b/>
                      <w:sz w:val="21"/>
                      <w:szCs w:val="21"/>
                      <w:highlight w:val="none"/>
                      <w:lang w:val="en-US" w:eastAsia="zh-CN"/>
                    </w:rPr>
                  </w:pPr>
                  <w:r>
                    <w:rPr>
                      <w:rFonts w:hint="default" w:ascii="Times New Roman" w:hAnsi="Times New Roman" w:eastAsia="宋体" w:cs="Times New Roman"/>
                      <w:sz w:val="21"/>
                      <w:szCs w:val="21"/>
                      <w:highlight w:val="none"/>
                      <w:lang w:val="en-US" w:eastAsia="zh-CN"/>
                    </w:rPr>
                    <w:t>2000</w:t>
                  </w:r>
                </w:p>
              </w:tc>
            </w:tr>
            <w:tr w14:paraId="7CB5A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21" w:type="dxa"/>
                  <w:tcBorders>
                    <w:tl2br w:val="nil"/>
                    <w:tr2bl w:val="nil"/>
                  </w:tcBorders>
                  <w:noWrap w:val="0"/>
                  <w:vAlign w:val="center"/>
                </w:tcPr>
                <w:p w14:paraId="2E9962E0">
                  <w:pPr>
                    <w:pStyle w:val="77"/>
                    <w:jc w:val="center"/>
                    <w:rPr>
                      <w:rFonts w:hint="eastAsia" w:ascii="Times New Roman" w:hAnsi="Times New Roman" w:cs="Times New Roman"/>
                      <w:b/>
                      <w:sz w:val="21"/>
                      <w:szCs w:val="21"/>
                      <w:highlight w:val="none"/>
                      <w:lang w:val="en-US" w:eastAsia="zh-CN"/>
                    </w:rPr>
                  </w:pPr>
                  <w:r>
                    <w:rPr>
                      <w:rFonts w:hint="eastAsia" w:ascii="Times New Roman" w:hAnsi="Times New Roman" w:cs="Times New Roman"/>
                      <w:sz w:val="21"/>
                      <w:szCs w:val="21"/>
                      <w:highlight w:val="none"/>
                      <w:lang w:val="en-US" w:eastAsia="zh-CN"/>
                    </w:rPr>
                    <w:t>12</w:t>
                  </w:r>
                </w:p>
              </w:tc>
              <w:tc>
                <w:tcPr>
                  <w:tcW w:w="1696" w:type="dxa"/>
                  <w:gridSpan w:val="2"/>
                  <w:tcBorders>
                    <w:tl2br w:val="nil"/>
                    <w:tr2bl w:val="nil"/>
                  </w:tcBorders>
                  <w:noWrap w:val="0"/>
                  <w:vAlign w:val="center"/>
                </w:tcPr>
                <w:p w14:paraId="18CFEDBA">
                  <w:pPr>
                    <w:pStyle w:val="77"/>
                    <w:jc w:val="center"/>
                    <w:rPr>
                      <w:rFonts w:hint="default" w:ascii="Times New Roman" w:hAnsi="Times New Roman" w:eastAsia="宋体" w:cs="Times New Roman"/>
                      <w:b/>
                      <w:bCs/>
                      <w:color w:val="000000"/>
                      <w:sz w:val="21"/>
                      <w:szCs w:val="21"/>
                      <w:highlight w:val="none"/>
                      <w:lang w:eastAsia="zh-CN" w:bidi="ar"/>
                    </w:rPr>
                  </w:pPr>
                  <w:r>
                    <w:rPr>
                      <w:rFonts w:hint="default" w:ascii="Times New Roman" w:hAnsi="Times New Roman" w:eastAsia="宋体" w:cs="Times New Roman"/>
                      <w:sz w:val="21"/>
                      <w:szCs w:val="21"/>
                      <w:highlight w:val="none"/>
                    </w:rPr>
                    <w:t>凹形竖曲线半径</w:t>
                  </w:r>
                </w:p>
              </w:tc>
              <w:tc>
                <w:tcPr>
                  <w:tcW w:w="1502" w:type="dxa"/>
                  <w:tcBorders>
                    <w:tl2br w:val="nil"/>
                    <w:tr2bl w:val="nil"/>
                  </w:tcBorders>
                  <w:noWrap w:val="0"/>
                  <w:vAlign w:val="center"/>
                </w:tcPr>
                <w:p w14:paraId="72A2AF2D">
                  <w:pPr>
                    <w:pStyle w:val="77"/>
                    <w:jc w:val="center"/>
                    <w:rPr>
                      <w:rFonts w:hint="default" w:ascii="Times New Roman" w:hAnsi="Times New Roman" w:eastAsia="宋体" w:cs="Times New Roman"/>
                      <w:b/>
                      <w:bCs/>
                      <w:color w:val="000000"/>
                      <w:sz w:val="21"/>
                      <w:szCs w:val="21"/>
                      <w:highlight w:val="none"/>
                      <w:lang w:eastAsia="zh-CN" w:bidi="ar"/>
                    </w:rPr>
                  </w:pPr>
                  <w:r>
                    <w:rPr>
                      <w:rFonts w:hint="default" w:ascii="Times New Roman" w:hAnsi="Times New Roman" w:eastAsia="宋体" w:cs="Times New Roman"/>
                      <w:sz w:val="21"/>
                      <w:szCs w:val="21"/>
                      <w:highlight w:val="none"/>
                    </w:rPr>
                    <w:t>一般值</w:t>
                  </w:r>
                </w:p>
              </w:tc>
              <w:tc>
                <w:tcPr>
                  <w:tcW w:w="845" w:type="dxa"/>
                  <w:tcBorders>
                    <w:tl2br w:val="nil"/>
                    <w:tr2bl w:val="nil"/>
                  </w:tcBorders>
                  <w:noWrap w:val="0"/>
                  <w:vAlign w:val="center"/>
                </w:tcPr>
                <w:p w14:paraId="2E72AE1C">
                  <w:pPr>
                    <w:pStyle w:val="77"/>
                    <w:jc w:val="center"/>
                    <w:rPr>
                      <w:rFonts w:hint="default" w:ascii="Times New Roman" w:hAnsi="Times New Roman" w:eastAsia="宋体" w:cs="Times New Roman"/>
                      <w:b/>
                      <w:sz w:val="21"/>
                      <w:szCs w:val="21"/>
                      <w:highlight w:val="none"/>
                      <w:lang w:eastAsia="zh-CN"/>
                    </w:rPr>
                  </w:pPr>
                  <w:r>
                    <w:rPr>
                      <w:rFonts w:hint="default" w:ascii="Times New Roman" w:hAnsi="Times New Roman" w:eastAsia="宋体" w:cs="Times New Roman"/>
                      <w:sz w:val="21"/>
                      <w:szCs w:val="21"/>
                      <w:highlight w:val="none"/>
                    </w:rPr>
                    <w:t>m</w:t>
                  </w:r>
                </w:p>
              </w:tc>
              <w:tc>
                <w:tcPr>
                  <w:tcW w:w="1833" w:type="dxa"/>
                  <w:tcBorders>
                    <w:tl2br w:val="nil"/>
                    <w:tr2bl w:val="nil"/>
                  </w:tcBorders>
                  <w:noWrap w:val="0"/>
                  <w:vAlign w:val="center"/>
                </w:tcPr>
                <w:p w14:paraId="09F19FC8">
                  <w:pPr>
                    <w:pStyle w:val="77"/>
                    <w:jc w:val="center"/>
                    <w:rPr>
                      <w:rFonts w:hint="default" w:ascii="Times New Roman" w:hAnsi="Times New Roman" w:cs="Times New Roman"/>
                      <w:b/>
                      <w:sz w:val="21"/>
                      <w:szCs w:val="21"/>
                      <w:highlight w:val="none"/>
                      <w:lang w:val="en-US" w:eastAsia="zh-CN"/>
                    </w:rPr>
                  </w:pPr>
                  <w:r>
                    <w:rPr>
                      <w:rFonts w:hint="default" w:ascii="Times New Roman" w:hAnsi="Times New Roman" w:eastAsia="宋体" w:cs="Times New Roman"/>
                      <w:sz w:val="21"/>
                      <w:szCs w:val="21"/>
                      <w:highlight w:val="none"/>
                      <w:lang w:val="en-US" w:eastAsia="zh-CN"/>
                    </w:rPr>
                    <w:t>6260.160</w:t>
                  </w:r>
                </w:p>
              </w:tc>
              <w:tc>
                <w:tcPr>
                  <w:tcW w:w="1834" w:type="dxa"/>
                  <w:tcBorders>
                    <w:tl2br w:val="nil"/>
                    <w:tr2bl w:val="nil"/>
                  </w:tcBorders>
                  <w:noWrap w:val="0"/>
                  <w:vAlign w:val="center"/>
                </w:tcPr>
                <w:p w14:paraId="02E33F80">
                  <w:pPr>
                    <w:pStyle w:val="77"/>
                    <w:jc w:val="center"/>
                    <w:rPr>
                      <w:rFonts w:hint="default" w:ascii="Times New Roman" w:hAnsi="Times New Roman" w:cs="Times New Roman"/>
                      <w:b/>
                      <w:sz w:val="21"/>
                      <w:szCs w:val="21"/>
                      <w:highlight w:val="none"/>
                      <w:lang w:val="en-US" w:eastAsia="zh-CN"/>
                    </w:rPr>
                  </w:pPr>
                  <w:r>
                    <w:rPr>
                      <w:rFonts w:hint="default" w:ascii="Times New Roman" w:hAnsi="Times New Roman" w:eastAsia="宋体" w:cs="Times New Roman"/>
                      <w:sz w:val="21"/>
                      <w:szCs w:val="21"/>
                      <w:highlight w:val="none"/>
                      <w:lang w:val="en-US" w:eastAsia="zh-CN"/>
                    </w:rPr>
                    <w:t>12330.459</w:t>
                  </w:r>
                </w:p>
              </w:tc>
            </w:tr>
            <w:tr w14:paraId="12EDB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27" w:type="pct"/>
                  <w:vMerge w:val="restart"/>
                  <w:tcBorders>
                    <w:tl2br w:val="nil"/>
                    <w:tr2bl w:val="nil"/>
                  </w:tcBorders>
                  <w:noWrap w:val="0"/>
                  <w:vAlign w:val="center"/>
                </w:tcPr>
                <w:p w14:paraId="16A78BD1">
                  <w:pPr>
                    <w:pStyle w:val="77"/>
                    <w:jc w:val="center"/>
                    <w:rPr>
                      <w:rFonts w:hint="eastAsia"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rPr>
                    <w:t>1</w:t>
                  </w:r>
                  <w:r>
                    <w:rPr>
                      <w:rFonts w:hint="eastAsia" w:ascii="Times New Roman" w:hAnsi="Times New Roman" w:cs="Times New Roman"/>
                      <w:sz w:val="21"/>
                      <w:szCs w:val="21"/>
                      <w:highlight w:val="none"/>
                      <w:lang w:val="en-US" w:eastAsia="zh-CN"/>
                    </w:rPr>
                    <w:t>3</w:t>
                  </w:r>
                </w:p>
              </w:tc>
              <w:tc>
                <w:tcPr>
                  <w:tcW w:w="1001" w:type="pct"/>
                  <w:vMerge w:val="restart"/>
                  <w:tcBorders>
                    <w:tl2br w:val="nil"/>
                    <w:tr2bl w:val="nil"/>
                  </w:tcBorders>
                  <w:noWrap w:val="0"/>
                  <w:vAlign w:val="center"/>
                </w:tcPr>
                <w:p w14:paraId="335F56E2">
                  <w:pPr>
                    <w:pStyle w:val="77"/>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竖曲线最小长度</w:t>
                  </w:r>
                </w:p>
              </w:tc>
              <w:tc>
                <w:tcPr>
                  <w:tcW w:w="894" w:type="pct"/>
                  <w:gridSpan w:val="2"/>
                  <w:tcBorders>
                    <w:tl2br w:val="nil"/>
                    <w:tr2bl w:val="nil"/>
                  </w:tcBorders>
                  <w:noWrap w:val="0"/>
                  <w:vAlign w:val="center"/>
                </w:tcPr>
                <w:p w14:paraId="4E698F9C">
                  <w:pPr>
                    <w:pStyle w:val="77"/>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一般值</w:t>
                  </w:r>
                </w:p>
              </w:tc>
              <w:tc>
                <w:tcPr>
                  <w:tcW w:w="501" w:type="pct"/>
                  <w:tcBorders>
                    <w:tl2br w:val="nil"/>
                    <w:tr2bl w:val="nil"/>
                  </w:tcBorders>
                  <w:noWrap w:val="0"/>
                  <w:vAlign w:val="center"/>
                </w:tcPr>
                <w:p w14:paraId="68EDA725">
                  <w:pPr>
                    <w:pStyle w:val="77"/>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m</w:t>
                  </w:r>
                </w:p>
              </w:tc>
              <w:tc>
                <w:tcPr>
                  <w:tcW w:w="1087" w:type="pct"/>
                  <w:tcBorders>
                    <w:tl2br w:val="nil"/>
                    <w:tr2bl w:val="nil"/>
                  </w:tcBorders>
                  <w:noWrap w:val="0"/>
                  <w:vAlign w:val="center"/>
                </w:tcPr>
                <w:p w14:paraId="797C3B2D">
                  <w:pPr>
                    <w:pStyle w:val="77"/>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170</w:t>
                  </w:r>
                </w:p>
              </w:tc>
              <w:tc>
                <w:tcPr>
                  <w:tcW w:w="1087" w:type="pct"/>
                  <w:tcBorders>
                    <w:tl2br w:val="nil"/>
                    <w:tr2bl w:val="nil"/>
                  </w:tcBorders>
                  <w:noWrap w:val="0"/>
                  <w:vAlign w:val="center"/>
                </w:tcPr>
                <w:p w14:paraId="64221CE6">
                  <w:pPr>
                    <w:pStyle w:val="77"/>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170</w:t>
                  </w:r>
                </w:p>
              </w:tc>
            </w:tr>
            <w:tr w14:paraId="421E2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27" w:type="pct"/>
                  <w:vMerge w:val="continue"/>
                  <w:tcBorders>
                    <w:tl2br w:val="nil"/>
                    <w:tr2bl w:val="nil"/>
                  </w:tcBorders>
                  <w:noWrap w:val="0"/>
                  <w:vAlign w:val="center"/>
                </w:tcPr>
                <w:p w14:paraId="58237DB5">
                  <w:pPr>
                    <w:jc w:val="center"/>
                    <w:rPr>
                      <w:rFonts w:hint="default" w:ascii="Times New Roman" w:hAnsi="Times New Roman" w:eastAsia="宋体" w:cs="Times New Roman"/>
                      <w:sz w:val="21"/>
                      <w:szCs w:val="21"/>
                      <w:highlight w:val="none"/>
                    </w:rPr>
                  </w:pPr>
                </w:p>
              </w:tc>
              <w:tc>
                <w:tcPr>
                  <w:tcW w:w="1001" w:type="pct"/>
                  <w:vMerge w:val="continue"/>
                  <w:tcBorders>
                    <w:tl2br w:val="nil"/>
                    <w:tr2bl w:val="nil"/>
                  </w:tcBorders>
                  <w:noWrap w:val="0"/>
                  <w:vAlign w:val="center"/>
                </w:tcPr>
                <w:p w14:paraId="5385D7CF">
                  <w:pPr>
                    <w:jc w:val="center"/>
                    <w:rPr>
                      <w:rFonts w:hint="default" w:ascii="Times New Roman" w:hAnsi="Times New Roman" w:eastAsia="宋体" w:cs="Times New Roman"/>
                      <w:sz w:val="21"/>
                      <w:szCs w:val="21"/>
                      <w:highlight w:val="none"/>
                    </w:rPr>
                  </w:pPr>
                </w:p>
              </w:tc>
              <w:tc>
                <w:tcPr>
                  <w:tcW w:w="894" w:type="pct"/>
                  <w:gridSpan w:val="2"/>
                  <w:tcBorders>
                    <w:tl2br w:val="nil"/>
                    <w:tr2bl w:val="nil"/>
                  </w:tcBorders>
                  <w:noWrap w:val="0"/>
                  <w:vAlign w:val="center"/>
                </w:tcPr>
                <w:p w14:paraId="223B69BA">
                  <w:pPr>
                    <w:pStyle w:val="77"/>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极限值</w:t>
                  </w:r>
                </w:p>
              </w:tc>
              <w:tc>
                <w:tcPr>
                  <w:tcW w:w="501" w:type="pct"/>
                  <w:tcBorders>
                    <w:tl2br w:val="nil"/>
                    <w:tr2bl w:val="nil"/>
                  </w:tcBorders>
                  <w:noWrap w:val="0"/>
                  <w:vAlign w:val="center"/>
                </w:tcPr>
                <w:p w14:paraId="03800B1B">
                  <w:pPr>
                    <w:pStyle w:val="77"/>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m</w:t>
                  </w:r>
                </w:p>
              </w:tc>
              <w:tc>
                <w:tcPr>
                  <w:tcW w:w="1087" w:type="pct"/>
                  <w:tcBorders>
                    <w:tl2br w:val="nil"/>
                    <w:tr2bl w:val="nil"/>
                  </w:tcBorders>
                  <w:noWrap w:val="0"/>
                  <w:vAlign w:val="center"/>
                </w:tcPr>
                <w:p w14:paraId="75BAE8D6">
                  <w:pPr>
                    <w:pStyle w:val="77"/>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170</w:t>
                  </w:r>
                </w:p>
              </w:tc>
              <w:tc>
                <w:tcPr>
                  <w:tcW w:w="1087" w:type="pct"/>
                  <w:tcBorders>
                    <w:tl2br w:val="nil"/>
                    <w:tr2bl w:val="nil"/>
                  </w:tcBorders>
                  <w:noWrap w:val="0"/>
                  <w:vAlign w:val="center"/>
                </w:tcPr>
                <w:p w14:paraId="6DB8DF93">
                  <w:pPr>
                    <w:pStyle w:val="77"/>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170</w:t>
                  </w:r>
                </w:p>
              </w:tc>
            </w:tr>
            <w:tr w14:paraId="6B73A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27" w:type="pct"/>
                  <w:vMerge w:val="restart"/>
                  <w:tcBorders>
                    <w:tl2br w:val="nil"/>
                    <w:tr2bl w:val="nil"/>
                  </w:tcBorders>
                  <w:noWrap w:val="0"/>
                  <w:vAlign w:val="center"/>
                </w:tcPr>
                <w:p w14:paraId="603AF642">
                  <w:pPr>
                    <w:pStyle w:val="77"/>
                    <w:jc w:val="center"/>
                    <w:rPr>
                      <w:rFonts w:hint="default" w:ascii="Times New Roman" w:hAnsi="Times New Roman" w:eastAsia="宋体" w:cs="Times New Roman"/>
                      <w:sz w:val="21"/>
                      <w:szCs w:val="21"/>
                      <w:highlight w:val="none"/>
                      <w:lang w:val="en-US" w:eastAsia="zh-CN"/>
                    </w:rPr>
                  </w:pPr>
                  <w:r>
                    <w:rPr>
                      <w:rFonts w:hint="eastAsia" w:ascii="Times New Roman" w:hAnsi="Times New Roman" w:cs="Times New Roman"/>
                      <w:sz w:val="21"/>
                      <w:szCs w:val="21"/>
                      <w:highlight w:val="none"/>
                      <w:lang w:val="en-US" w:eastAsia="zh-CN"/>
                    </w:rPr>
                    <w:t>14</w:t>
                  </w:r>
                </w:p>
              </w:tc>
              <w:tc>
                <w:tcPr>
                  <w:tcW w:w="1001" w:type="pct"/>
                  <w:vMerge w:val="restart"/>
                  <w:tcBorders>
                    <w:tl2br w:val="nil"/>
                    <w:tr2bl w:val="nil"/>
                  </w:tcBorders>
                  <w:noWrap w:val="0"/>
                  <w:vAlign w:val="center"/>
                </w:tcPr>
                <w:p w14:paraId="4D618053">
                  <w:pPr>
                    <w:pStyle w:val="77"/>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eastAsia="zh-CN"/>
                    </w:rPr>
                    <w:t>设计洪水频率</w:t>
                  </w:r>
                </w:p>
              </w:tc>
              <w:tc>
                <w:tcPr>
                  <w:tcW w:w="894" w:type="pct"/>
                  <w:gridSpan w:val="2"/>
                  <w:tcBorders>
                    <w:tl2br w:val="nil"/>
                    <w:tr2bl w:val="nil"/>
                  </w:tcBorders>
                  <w:noWrap w:val="0"/>
                  <w:vAlign w:val="center"/>
                </w:tcPr>
                <w:p w14:paraId="2AD4AF25">
                  <w:pPr>
                    <w:pStyle w:val="77"/>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eastAsia="zh-CN"/>
                    </w:rPr>
                    <w:t>大、中桥</w:t>
                  </w:r>
                </w:p>
              </w:tc>
              <w:tc>
                <w:tcPr>
                  <w:tcW w:w="501" w:type="pct"/>
                  <w:tcBorders>
                    <w:tl2br w:val="nil"/>
                    <w:tr2bl w:val="nil"/>
                  </w:tcBorders>
                  <w:noWrap w:val="0"/>
                  <w:vAlign w:val="center"/>
                </w:tcPr>
                <w:p w14:paraId="2E39F95C">
                  <w:pPr>
                    <w:pStyle w:val="77"/>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cs="Times New Roman"/>
                      <w:sz w:val="21"/>
                      <w:szCs w:val="21"/>
                      <w:highlight w:val="none"/>
                      <w:lang w:val="en-US" w:eastAsia="zh-CN"/>
                    </w:rPr>
                    <w:t>-</w:t>
                  </w:r>
                </w:p>
              </w:tc>
              <w:tc>
                <w:tcPr>
                  <w:tcW w:w="1087" w:type="pct"/>
                  <w:tcBorders>
                    <w:tl2br w:val="nil"/>
                    <w:tr2bl w:val="nil"/>
                  </w:tcBorders>
                  <w:noWrap w:val="0"/>
                  <w:vAlign w:val="center"/>
                </w:tcPr>
                <w:p w14:paraId="1679A7C7">
                  <w:pPr>
                    <w:pStyle w:val="77"/>
                    <w:jc w:val="center"/>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1/100</w:t>
                  </w:r>
                </w:p>
              </w:tc>
              <w:tc>
                <w:tcPr>
                  <w:tcW w:w="1087" w:type="pct"/>
                  <w:tcBorders>
                    <w:tl2br w:val="nil"/>
                    <w:tr2bl w:val="nil"/>
                  </w:tcBorders>
                  <w:noWrap w:val="0"/>
                  <w:vAlign w:val="center"/>
                </w:tcPr>
                <w:p w14:paraId="2DBA6B3A">
                  <w:pPr>
                    <w:pStyle w:val="77"/>
                    <w:jc w:val="center"/>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1/100</w:t>
                  </w:r>
                </w:p>
              </w:tc>
            </w:tr>
            <w:tr w14:paraId="5FFF4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27" w:type="pct"/>
                  <w:vMerge w:val="continue"/>
                  <w:tcBorders>
                    <w:tl2br w:val="nil"/>
                    <w:tr2bl w:val="nil"/>
                  </w:tcBorders>
                  <w:noWrap w:val="0"/>
                  <w:vAlign w:val="center"/>
                </w:tcPr>
                <w:p w14:paraId="5B8B247F">
                  <w:pPr>
                    <w:pStyle w:val="77"/>
                    <w:jc w:val="center"/>
                    <w:rPr>
                      <w:rFonts w:hint="default" w:ascii="Times New Roman" w:hAnsi="Times New Roman" w:eastAsia="宋体" w:cs="Times New Roman"/>
                      <w:sz w:val="21"/>
                      <w:szCs w:val="21"/>
                      <w:highlight w:val="none"/>
                    </w:rPr>
                  </w:pPr>
                </w:p>
              </w:tc>
              <w:tc>
                <w:tcPr>
                  <w:tcW w:w="1001" w:type="pct"/>
                  <w:vMerge w:val="continue"/>
                  <w:tcBorders>
                    <w:tl2br w:val="nil"/>
                    <w:tr2bl w:val="nil"/>
                  </w:tcBorders>
                  <w:noWrap w:val="0"/>
                  <w:vAlign w:val="center"/>
                </w:tcPr>
                <w:p w14:paraId="76FC43F2">
                  <w:pPr>
                    <w:pStyle w:val="77"/>
                    <w:jc w:val="center"/>
                    <w:rPr>
                      <w:rFonts w:hint="default" w:ascii="Times New Roman" w:hAnsi="Times New Roman" w:eastAsia="宋体" w:cs="Times New Roman"/>
                      <w:sz w:val="21"/>
                      <w:szCs w:val="21"/>
                      <w:highlight w:val="none"/>
                    </w:rPr>
                  </w:pPr>
                </w:p>
              </w:tc>
              <w:tc>
                <w:tcPr>
                  <w:tcW w:w="894" w:type="pct"/>
                  <w:gridSpan w:val="2"/>
                  <w:tcBorders>
                    <w:tl2br w:val="nil"/>
                    <w:tr2bl w:val="nil"/>
                  </w:tcBorders>
                  <w:noWrap w:val="0"/>
                  <w:vAlign w:val="center"/>
                </w:tcPr>
                <w:p w14:paraId="5BCFC9FB">
                  <w:pPr>
                    <w:pStyle w:val="77"/>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eastAsia="zh-CN"/>
                    </w:rPr>
                    <w:t>小桥涵、路基</w:t>
                  </w:r>
                </w:p>
              </w:tc>
              <w:tc>
                <w:tcPr>
                  <w:tcW w:w="501" w:type="pct"/>
                  <w:tcBorders>
                    <w:tl2br w:val="nil"/>
                    <w:tr2bl w:val="nil"/>
                  </w:tcBorders>
                  <w:noWrap w:val="0"/>
                  <w:vAlign w:val="center"/>
                </w:tcPr>
                <w:p w14:paraId="1D625DDF">
                  <w:pPr>
                    <w:pStyle w:val="77"/>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cs="Times New Roman"/>
                      <w:sz w:val="21"/>
                      <w:szCs w:val="21"/>
                      <w:highlight w:val="none"/>
                      <w:lang w:val="en-US" w:eastAsia="zh-CN"/>
                    </w:rPr>
                    <w:t>-</w:t>
                  </w:r>
                </w:p>
              </w:tc>
              <w:tc>
                <w:tcPr>
                  <w:tcW w:w="1087" w:type="pct"/>
                  <w:tcBorders>
                    <w:tl2br w:val="nil"/>
                    <w:tr2bl w:val="nil"/>
                  </w:tcBorders>
                  <w:noWrap w:val="0"/>
                  <w:vAlign w:val="center"/>
                </w:tcPr>
                <w:p w14:paraId="2D22A34B">
                  <w:pPr>
                    <w:pStyle w:val="77"/>
                    <w:jc w:val="center"/>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1/100</w:t>
                  </w:r>
                </w:p>
              </w:tc>
              <w:tc>
                <w:tcPr>
                  <w:tcW w:w="1087" w:type="pct"/>
                  <w:tcBorders>
                    <w:tl2br w:val="nil"/>
                    <w:tr2bl w:val="nil"/>
                  </w:tcBorders>
                  <w:noWrap w:val="0"/>
                  <w:vAlign w:val="center"/>
                </w:tcPr>
                <w:p w14:paraId="44558919">
                  <w:pPr>
                    <w:pStyle w:val="77"/>
                    <w:jc w:val="center"/>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1/100</w:t>
                  </w:r>
                </w:p>
              </w:tc>
            </w:tr>
            <w:tr w14:paraId="72CA1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27" w:type="pct"/>
                  <w:tcBorders>
                    <w:tl2br w:val="nil"/>
                    <w:tr2bl w:val="nil"/>
                  </w:tcBorders>
                  <w:noWrap w:val="0"/>
                  <w:vAlign w:val="center"/>
                </w:tcPr>
                <w:p w14:paraId="000C7D15">
                  <w:pPr>
                    <w:pStyle w:val="77"/>
                    <w:jc w:val="center"/>
                    <w:rPr>
                      <w:rFonts w:hint="default" w:ascii="Times New Roman" w:hAnsi="Times New Roman" w:eastAsia="宋体" w:cs="Times New Roman"/>
                      <w:sz w:val="21"/>
                      <w:szCs w:val="21"/>
                      <w:highlight w:val="none"/>
                      <w:lang w:val="en-US" w:eastAsia="zh-CN"/>
                    </w:rPr>
                  </w:pPr>
                  <w:r>
                    <w:rPr>
                      <w:rFonts w:hint="eastAsia" w:ascii="Times New Roman" w:hAnsi="Times New Roman" w:cs="Times New Roman"/>
                      <w:sz w:val="21"/>
                      <w:szCs w:val="21"/>
                      <w:highlight w:val="none"/>
                      <w:lang w:val="en-US" w:eastAsia="zh-CN"/>
                    </w:rPr>
                    <w:t>15</w:t>
                  </w:r>
                </w:p>
              </w:tc>
              <w:tc>
                <w:tcPr>
                  <w:tcW w:w="1896" w:type="pct"/>
                  <w:gridSpan w:val="3"/>
                  <w:tcBorders>
                    <w:tl2br w:val="nil"/>
                    <w:tr2bl w:val="nil"/>
                  </w:tcBorders>
                  <w:noWrap w:val="0"/>
                  <w:vAlign w:val="center"/>
                </w:tcPr>
                <w:p w14:paraId="14D74D54">
                  <w:pPr>
                    <w:pStyle w:val="77"/>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eastAsia="zh-CN"/>
                    </w:rPr>
                    <w:t>汽车荷载等级</w:t>
                  </w:r>
                </w:p>
              </w:tc>
              <w:tc>
                <w:tcPr>
                  <w:tcW w:w="501" w:type="pct"/>
                  <w:tcBorders>
                    <w:tl2br w:val="nil"/>
                    <w:tr2bl w:val="nil"/>
                  </w:tcBorders>
                  <w:noWrap w:val="0"/>
                  <w:vAlign w:val="center"/>
                </w:tcPr>
                <w:p w14:paraId="160E857D">
                  <w:pPr>
                    <w:pStyle w:val="77"/>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w:t>
                  </w:r>
                </w:p>
              </w:tc>
              <w:tc>
                <w:tcPr>
                  <w:tcW w:w="2174" w:type="pct"/>
                  <w:gridSpan w:val="2"/>
                  <w:tcBorders>
                    <w:tl2br w:val="nil"/>
                    <w:tr2bl w:val="nil"/>
                  </w:tcBorders>
                  <w:noWrap w:val="0"/>
                  <w:vAlign w:val="center"/>
                </w:tcPr>
                <w:p w14:paraId="70AC1128">
                  <w:pPr>
                    <w:pStyle w:val="77"/>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公路-</w:t>
                  </w:r>
                  <w:r>
                    <w:rPr>
                      <w:rFonts w:hint="default" w:ascii="Times New Roman" w:hAnsi="Times New Roman" w:eastAsia="宋体" w:cs="Times New Roman"/>
                      <w:color w:val="auto"/>
                      <w:sz w:val="21"/>
                      <w:szCs w:val="21"/>
                      <w:highlight w:val="none"/>
                      <w:lang w:eastAsia="zh-CN"/>
                    </w:rPr>
                    <w:t>I</w:t>
                  </w:r>
                  <w:r>
                    <w:rPr>
                      <w:rFonts w:hint="default" w:ascii="Times New Roman" w:hAnsi="Times New Roman" w:eastAsia="宋体" w:cs="Times New Roman"/>
                      <w:color w:val="auto"/>
                      <w:sz w:val="21"/>
                      <w:szCs w:val="21"/>
                      <w:highlight w:val="none"/>
                    </w:rPr>
                    <w:t>级</w:t>
                  </w:r>
                </w:p>
              </w:tc>
            </w:tr>
          </w:tbl>
          <w:p w14:paraId="2753BAA9">
            <w:pPr>
              <w:pStyle w:val="50"/>
              <w:keepNext w:val="0"/>
              <w:keepLines w:val="0"/>
              <w:pageBreakBefore w:val="0"/>
              <w:widowControl w:val="0"/>
              <w:tabs>
                <w:tab w:val="left" w:pos="2694"/>
              </w:tabs>
              <w:kinsoku/>
              <w:wordWrap/>
              <w:overflowPunct/>
              <w:topLinePunct w:val="0"/>
              <w:autoSpaceDE/>
              <w:autoSpaceDN/>
              <w:bidi w:val="0"/>
              <w:adjustRightInd w:val="0"/>
              <w:snapToGrid/>
              <w:spacing w:before="313" w:beforeLines="100" w:line="300" w:lineRule="auto"/>
              <w:jc w:val="both"/>
              <w:textAlignment w:val="baseline"/>
              <w:rPr>
                <w:rFonts w:hint="eastAsia" w:ascii="Times New Roman" w:hAnsi="宋体" w:eastAsia="宋体"/>
                <w:b/>
                <w:color w:val="auto"/>
                <w:sz w:val="24"/>
                <w:szCs w:val="24"/>
              </w:rPr>
            </w:pPr>
            <w:r>
              <w:rPr>
                <w:rFonts w:hint="eastAsia" w:ascii="Times New Roman" w:hAnsi="宋体" w:eastAsia="宋体"/>
                <w:b/>
                <w:color w:val="0070C0"/>
              </w:rPr>
              <w:t xml:space="preserve">    </w:t>
            </w:r>
            <w:r>
              <w:rPr>
                <w:rFonts w:hint="eastAsia" w:ascii="Times New Roman" w:hAnsi="宋体" w:eastAsia="宋体"/>
                <w:b/>
                <w:color w:val="auto"/>
                <w:sz w:val="24"/>
                <w:szCs w:val="24"/>
              </w:rPr>
              <w:t>(3) 改扩建方案</w:t>
            </w:r>
          </w:p>
          <w:p w14:paraId="522CA528">
            <w:pPr>
              <w:pStyle w:val="50"/>
              <w:keepNext w:val="0"/>
              <w:keepLines w:val="0"/>
              <w:pageBreakBefore w:val="0"/>
              <w:widowControl w:val="0"/>
              <w:tabs>
                <w:tab w:val="left" w:pos="2694"/>
              </w:tabs>
              <w:kinsoku/>
              <w:wordWrap/>
              <w:overflowPunct/>
              <w:topLinePunct w:val="0"/>
              <w:autoSpaceDE/>
              <w:autoSpaceDN/>
              <w:bidi w:val="0"/>
              <w:adjustRightInd w:val="0"/>
              <w:snapToGrid/>
              <w:spacing w:after="120" w:afterLines="50" w:line="300" w:lineRule="auto"/>
              <w:ind w:firstLine="480" w:firstLineChars="200"/>
              <w:jc w:val="both"/>
              <w:textAlignment w:val="baseline"/>
              <w:rPr>
                <w:rFonts w:hint="eastAsia" w:ascii="Times New Roman" w:hAnsi="宋体" w:eastAsia="宋体"/>
                <w:color w:val="auto"/>
                <w:spacing w:val="0"/>
                <w:sz w:val="24"/>
                <w:szCs w:val="24"/>
              </w:rPr>
            </w:pPr>
            <w:r>
              <w:rPr>
                <w:rFonts w:hint="eastAsia" w:ascii="Times New Roman" w:hAnsi="宋体" w:eastAsia="宋体"/>
                <w:color w:val="auto"/>
                <w:spacing w:val="0"/>
                <w:sz w:val="24"/>
                <w:szCs w:val="24"/>
                <w:lang w:val="en-US" w:eastAsia="zh-CN"/>
              </w:rPr>
              <w:t>拟建公路基本沿既有公路进行改扩建，</w:t>
            </w:r>
            <w:r>
              <w:rPr>
                <w:rFonts w:hint="eastAsia" w:ascii="Times New Roman" w:hAnsi="宋体" w:eastAsia="宋体"/>
                <w:color w:val="auto"/>
                <w:spacing w:val="0"/>
                <w:sz w:val="24"/>
                <w:szCs w:val="24"/>
              </w:rPr>
              <w:t>在无控制因素影响情况下，优先采用单侧拼宽方案</w:t>
            </w:r>
            <w:r>
              <w:rPr>
                <w:rFonts w:hint="eastAsia" w:ascii="Times New Roman" w:hAnsi="宋体" w:eastAsia="宋体"/>
                <w:color w:val="auto"/>
                <w:spacing w:val="0"/>
                <w:sz w:val="24"/>
                <w:szCs w:val="24"/>
                <w:lang w:eastAsia="zh-CN"/>
              </w:rPr>
              <w:t>，</w:t>
            </w:r>
            <w:r>
              <w:rPr>
                <w:rFonts w:hint="eastAsia" w:ascii="Times New Roman" w:hAnsi="宋体" w:eastAsia="宋体"/>
                <w:color w:val="auto"/>
                <w:spacing w:val="0"/>
                <w:sz w:val="24"/>
                <w:szCs w:val="24"/>
              </w:rPr>
              <w:t>在穿越村镇及基本农田段，根据布设空间选择单侧或两侧拼宽方案。拟建公路各路段改扩建方案见表2-5。</w:t>
            </w:r>
          </w:p>
          <w:p w14:paraId="61CFC574">
            <w:pPr>
              <w:pStyle w:val="50"/>
              <w:keepNext w:val="0"/>
              <w:keepLines w:val="0"/>
              <w:pageBreakBefore w:val="0"/>
              <w:widowControl w:val="0"/>
              <w:tabs>
                <w:tab w:val="left" w:pos="2694"/>
              </w:tabs>
              <w:kinsoku/>
              <w:wordWrap/>
              <w:overflowPunct/>
              <w:topLinePunct w:val="0"/>
              <w:autoSpaceDE/>
              <w:autoSpaceDN/>
              <w:bidi w:val="0"/>
              <w:adjustRightInd w:val="0"/>
              <w:snapToGrid/>
              <w:spacing w:line="240" w:lineRule="auto"/>
              <w:textAlignment w:val="baseline"/>
              <w:rPr>
                <w:rFonts w:hint="eastAsia" w:ascii="Times New Roman" w:hAnsi="宋体" w:eastAsia="宋体"/>
                <w:b/>
                <w:color w:val="auto"/>
              </w:rPr>
            </w:pPr>
            <w:r>
              <w:rPr>
                <w:rFonts w:ascii="Times New Roman" w:hAnsi="宋体" w:eastAsia="宋体"/>
                <w:b/>
                <w:color w:val="auto"/>
              </w:rPr>
              <w:t>表</w:t>
            </w:r>
            <w:r>
              <w:rPr>
                <w:rFonts w:ascii="Times New Roman" w:eastAsia="宋体"/>
                <w:b/>
                <w:color w:val="auto"/>
              </w:rPr>
              <w:t>2-</w:t>
            </w:r>
            <w:r>
              <w:rPr>
                <w:rFonts w:hint="eastAsia" w:ascii="Times New Roman" w:eastAsia="宋体"/>
                <w:b/>
                <w:color w:val="auto"/>
              </w:rPr>
              <w:t>5</w:t>
            </w:r>
            <w:r>
              <w:rPr>
                <w:rFonts w:ascii="Times New Roman" w:eastAsia="宋体"/>
                <w:b/>
                <w:color w:val="auto"/>
              </w:rPr>
              <w:t xml:space="preserve"> </w:t>
            </w:r>
            <w:r>
              <w:rPr>
                <w:rFonts w:hint="eastAsia" w:ascii="Times New Roman" w:eastAsia="宋体"/>
                <w:b/>
                <w:color w:val="auto"/>
              </w:rPr>
              <w:t xml:space="preserve"> </w:t>
            </w:r>
            <w:r>
              <w:rPr>
                <w:rFonts w:ascii="Times New Roman" w:hAnsi="宋体" w:eastAsia="宋体"/>
                <w:b/>
                <w:color w:val="auto"/>
              </w:rPr>
              <w:t>拟建公路各路段改扩建</w:t>
            </w:r>
            <w:r>
              <w:rPr>
                <w:rFonts w:hint="eastAsia" w:ascii="Times New Roman" w:hAnsi="宋体" w:eastAsia="宋体"/>
                <w:b/>
                <w:color w:val="auto"/>
              </w:rPr>
              <w:t>方案一览表</w:t>
            </w:r>
          </w:p>
          <w:tbl>
            <w:tblPr>
              <w:tblStyle w:val="95"/>
              <w:tblW w:w="84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4"/>
              <w:gridCol w:w="1364"/>
              <w:gridCol w:w="1178"/>
              <w:gridCol w:w="925"/>
              <w:gridCol w:w="1671"/>
              <w:gridCol w:w="2713"/>
            </w:tblGrid>
            <w:tr w14:paraId="723AA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44" w:type="dxa"/>
                  <w:tcBorders>
                    <w:tl2br w:val="nil"/>
                    <w:tr2bl w:val="nil"/>
                  </w:tcBorders>
                  <w:noWrap/>
                  <w:vAlign w:val="center"/>
                </w:tcPr>
                <w:p w14:paraId="3DCEF6A8">
                  <w:pPr>
                    <w:pStyle w:val="94"/>
                    <w:jc w:val="both"/>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序号</w:t>
                  </w:r>
                </w:p>
              </w:tc>
              <w:tc>
                <w:tcPr>
                  <w:tcW w:w="1364" w:type="dxa"/>
                  <w:tcBorders>
                    <w:tl2br w:val="nil"/>
                    <w:tr2bl w:val="nil"/>
                  </w:tcBorders>
                  <w:noWrap/>
                  <w:vAlign w:val="center"/>
                </w:tcPr>
                <w:p w14:paraId="3C1A4F70">
                  <w:pPr>
                    <w:pStyle w:val="94"/>
                    <w:jc w:val="center"/>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起点桩号</w:t>
                  </w:r>
                </w:p>
              </w:tc>
              <w:tc>
                <w:tcPr>
                  <w:tcW w:w="1178" w:type="dxa"/>
                  <w:tcBorders>
                    <w:tl2br w:val="nil"/>
                    <w:tr2bl w:val="nil"/>
                  </w:tcBorders>
                  <w:noWrap/>
                  <w:vAlign w:val="center"/>
                </w:tcPr>
                <w:p w14:paraId="2F91D547">
                  <w:pPr>
                    <w:pStyle w:val="94"/>
                    <w:jc w:val="center"/>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终点桩号</w:t>
                  </w:r>
                </w:p>
              </w:tc>
              <w:tc>
                <w:tcPr>
                  <w:tcW w:w="925" w:type="dxa"/>
                  <w:tcBorders>
                    <w:tl2br w:val="nil"/>
                    <w:tr2bl w:val="nil"/>
                  </w:tcBorders>
                  <w:noWrap/>
                  <w:vAlign w:val="center"/>
                </w:tcPr>
                <w:p w14:paraId="60F2EC7E">
                  <w:pPr>
                    <w:pStyle w:val="94"/>
                    <w:jc w:val="center"/>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长度（</w:t>
                  </w:r>
                  <w:r>
                    <w:rPr>
                      <w:rFonts w:hint="default" w:ascii="Times New Roman" w:hAnsi="Times New Roman" w:eastAsia="宋体" w:cs="Times New Roman"/>
                      <w:b/>
                      <w:bCs/>
                      <w:sz w:val="21"/>
                      <w:szCs w:val="21"/>
                      <w:highlight w:val="none"/>
                      <w:lang w:val="en-US" w:eastAsia="zh-CN"/>
                    </w:rPr>
                    <w:t>k</w:t>
                  </w:r>
                  <w:r>
                    <w:rPr>
                      <w:rFonts w:hint="default" w:ascii="Times New Roman" w:hAnsi="Times New Roman" w:eastAsia="宋体" w:cs="Times New Roman"/>
                      <w:b/>
                      <w:bCs/>
                      <w:sz w:val="21"/>
                      <w:szCs w:val="21"/>
                      <w:highlight w:val="none"/>
                    </w:rPr>
                    <w:t>m）</w:t>
                  </w:r>
                </w:p>
              </w:tc>
              <w:tc>
                <w:tcPr>
                  <w:tcW w:w="1671" w:type="dxa"/>
                  <w:tcBorders>
                    <w:tl2br w:val="nil"/>
                    <w:tr2bl w:val="nil"/>
                  </w:tcBorders>
                  <w:noWrap/>
                  <w:vAlign w:val="center"/>
                </w:tcPr>
                <w:p w14:paraId="147F5B9D">
                  <w:pPr>
                    <w:pStyle w:val="94"/>
                    <w:jc w:val="center"/>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拼宽方式</w:t>
                  </w:r>
                </w:p>
              </w:tc>
              <w:tc>
                <w:tcPr>
                  <w:tcW w:w="2713" w:type="dxa"/>
                  <w:tcBorders>
                    <w:tl2br w:val="nil"/>
                    <w:tr2bl w:val="nil"/>
                  </w:tcBorders>
                  <w:noWrap/>
                  <w:vAlign w:val="center"/>
                </w:tcPr>
                <w:p w14:paraId="62ED8C8E">
                  <w:pPr>
                    <w:pStyle w:val="94"/>
                    <w:jc w:val="center"/>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备注</w:t>
                  </w:r>
                </w:p>
              </w:tc>
            </w:tr>
            <w:tr w14:paraId="54B04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44" w:type="dxa"/>
                  <w:tcBorders>
                    <w:tl2br w:val="nil"/>
                    <w:tr2bl w:val="nil"/>
                  </w:tcBorders>
                  <w:noWrap/>
                  <w:vAlign w:val="center"/>
                </w:tcPr>
                <w:p w14:paraId="572BA31A">
                  <w:pPr>
                    <w:pStyle w:val="94"/>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w:t>
                  </w:r>
                </w:p>
              </w:tc>
              <w:tc>
                <w:tcPr>
                  <w:tcW w:w="1364" w:type="dxa"/>
                  <w:tcBorders>
                    <w:tl2br w:val="nil"/>
                    <w:tr2bl w:val="nil"/>
                  </w:tcBorders>
                  <w:noWrap/>
                  <w:vAlign w:val="center"/>
                </w:tcPr>
                <w:p w14:paraId="38B24320">
                  <w:pPr>
                    <w:pStyle w:val="94"/>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K0+37</w:t>
                  </w:r>
                  <w:r>
                    <w:rPr>
                      <w:rFonts w:hint="eastAsia" w:cs="Times New Roman"/>
                      <w:sz w:val="21"/>
                      <w:szCs w:val="21"/>
                      <w:highlight w:val="none"/>
                      <w:lang w:val="en-US" w:eastAsia="zh-CN"/>
                    </w:rPr>
                    <w:t>2.936</w:t>
                  </w:r>
                </w:p>
              </w:tc>
              <w:tc>
                <w:tcPr>
                  <w:tcW w:w="1178" w:type="dxa"/>
                  <w:tcBorders>
                    <w:tl2br w:val="nil"/>
                    <w:tr2bl w:val="nil"/>
                  </w:tcBorders>
                  <w:noWrap/>
                  <w:vAlign w:val="center"/>
                </w:tcPr>
                <w:p w14:paraId="2941512A">
                  <w:pPr>
                    <w:pStyle w:val="94"/>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K2+</w:t>
                  </w:r>
                  <w:r>
                    <w:rPr>
                      <w:rFonts w:hint="eastAsia" w:cs="Times New Roman"/>
                      <w:sz w:val="21"/>
                      <w:szCs w:val="21"/>
                      <w:highlight w:val="none"/>
                      <w:lang w:val="en-US" w:eastAsia="zh-CN"/>
                    </w:rPr>
                    <w:t>2</w:t>
                  </w:r>
                  <w:r>
                    <w:rPr>
                      <w:rFonts w:hint="default" w:ascii="Times New Roman" w:hAnsi="Times New Roman" w:eastAsia="宋体" w:cs="Times New Roman"/>
                      <w:sz w:val="21"/>
                      <w:szCs w:val="21"/>
                      <w:highlight w:val="none"/>
                      <w:lang w:val="en-US" w:eastAsia="zh-CN"/>
                    </w:rPr>
                    <w:t>00</w:t>
                  </w:r>
                </w:p>
              </w:tc>
              <w:tc>
                <w:tcPr>
                  <w:tcW w:w="925" w:type="dxa"/>
                  <w:tcBorders>
                    <w:tl2br w:val="nil"/>
                    <w:tr2bl w:val="nil"/>
                  </w:tcBorders>
                  <w:noWrap/>
                  <w:vAlign w:val="center"/>
                </w:tcPr>
                <w:p w14:paraId="73595AD2">
                  <w:pPr>
                    <w:pStyle w:val="94"/>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1.826</w:t>
                  </w:r>
                </w:p>
              </w:tc>
              <w:tc>
                <w:tcPr>
                  <w:tcW w:w="1671" w:type="dxa"/>
                  <w:tcBorders>
                    <w:tl2br w:val="nil"/>
                    <w:tr2bl w:val="nil"/>
                  </w:tcBorders>
                  <w:noWrap/>
                  <w:vAlign w:val="center"/>
                </w:tcPr>
                <w:p w14:paraId="746385A6">
                  <w:pPr>
                    <w:pStyle w:val="94"/>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pacing w:val="-11"/>
                      <w:sz w:val="21"/>
                      <w:szCs w:val="21"/>
                      <w:highlight w:val="none"/>
                      <w:lang w:val="en-US" w:eastAsia="zh-CN"/>
                    </w:rPr>
                    <w:t>左侧分离式路基</w:t>
                  </w:r>
                </w:p>
              </w:tc>
              <w:tc>
                <w:tcPr>
                  <w:tcW w:w="2713" w:type="dxa"/>
                  <w:tcBorders>
                    <w:tl2br w:val="nil"/>
                    <w:tr2bl w:val="nil"/>
                  </w:tcBorders>
                  <w:noWrap/>
                  <w:vAlign w:val="center"/>
                </w:tcPr>
                <w:p w14:paraId="0B63C746">
                  <w:pPr>
                    <w:pStyle w:val="94"/>
                    <w:jc w:val="both"/>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pacing w:val="-2"/>
                      <w:sz w:val="21"/>
                      <w:szCs w:val="21"/>
                      <w:highlight w:val="none"/>
                      <w:lang w:val="en-US" w:eastAsia="zh-CN"/>
                    </w:rPr>
                    <w:t>下穿吐和高速及南疆铁路段</w:t>
                  </w:r>
                </w:p>
              </w:tc>
            </w:tr>
            <w:tr w14:paraId="0BC84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44" w:type="dxa"/>
                  <w:tcBorders>
                    <w:tl2br w:val="nil"/>
                    <w:tr2bl w:val="nil"/>
                  </w:tcBorders>
                  <w:noWrap/>
                  <w:vAlign w:val="center"/>
                </w:tcPr>
                <w:p w14:paraId="062B5B54">
                  <w:pPr>
                    <w:pStyle w:val="94"/>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2</w:t>
                  </w:r>
                </w:p>
              </w:tc>
              <w:tc>
                <w:tcPr>
                  <w:tcW w:w="1364" w:type="dxa"/>
                  <w:tcBorders>
                    <w:tl2br w:val="nil"/>
                    <w:tr2bl w:val="nil"/>
                  </w:tcBorders>
                  <w:noWrap/>
                  <w:vAlign w:val="center"/>
                </w:tcPr>
                <w:p w14:paraId="7853E50C">
                  <w:pPr>
                    <w:pStyle w:val="94"/>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K2+</w:t>
                  </w:r>
                  <w:r>
                    <w:rPr>
                      <w:rFonts w:hint="eastAsia" w:cs="Times New Roman"/>
                      <w:sz w:val="21"/>
                      <w:szCs w:val="21"/>
                      <w:highlight w:val="none"/>
                      <w:lang w:val="en-US" w:eastAsia="zh-CN"/>
                    </w:rPr>
                    <w:t>2</w:t>
                  </w:r>
                  <w:r>
                    <w:rPr>
                      <w:rFonts w:hint="default" w:ascii="Times New Roman" w:hAnsi="Times New Roman" w:eastAsia="宋体" w:cs="Times New Roman"/>
                      <w:sz w:val="21"/>
                      <w:szCs w:val="21"/>
                      <w:highlight w:val="none"/>
                      <w:lang w:val="en-US" w:eastAsia="zh-CN"/>
                    </w:rPr>
                    <w:t>00</w:t>
                  </w:r>
                </w:p>
              </w:tc>
              <w:tc>
                <w:tcPr>
                  <w:tcW w:w="1178" w:type="dxa"/>
                  <w:tcBorders>
                    <w:tl2br w:val="nil"/>
                    <w:tr2bl w:val="nil"/>
                  </w:tcBorders>
                  <w:noWrap/>
                  <w:vAlign w:val="center"/>
                </w:tcPr>
                <w:p w14:paraId="3D3F66F8">
                  <w:pPr>
                    <w:pStyle w:val="94"/>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K9+</w:t>
                  </w:r>
                  <w:r>
                    <w:rPr>
                      <w:rFonts w:hint="eastAsia" w:cs="Times New Roman"/>
                      <w:sz w:val="21"/>
                      <w:szCs w:val="21"/>
                      <w:highlight w:val="none"/>
                      <w:lang w:val="en-US" w:eastAsia="zh-CN"/>
                    </w:rPr>
                    <w:t>034</w:t>
                  </w:r>
                </w:p>
              </w:tc>
              <w:tc>
                <w:tcPr>
                  <w:tcW w:w="925" w:type="dxa"/>
                  <w:tcBorders>
                    <w:tl2br w:val="nil"/>
                    <w:tr2bl w:val="nil"/>
                  </w:tcBorders>
                  <w:noWrap/>
                  <w:vAlign w:val="center"/>
                </w:tcPr>
                <w:p w14:paraId="4BE1E9FB">
                  <w:pPr>
                    <w:pStyle w:val="94"/>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6.</w:t>
                  </w:r>
                  <w:r>
                    <w:rPr>
                      <w:rFonts w:hint="eastAsia" w:cs="Times New Roman"/>
                      <w:sz w:val="21"/>
                      <w:szCs w:val="21"/>
                      <w:highlight w:val="none"/>
                      <w:lang w:val="en-US" w:eastAsia="zh-CN"/>
                    </w:rPr>
                    <w:t>834</w:t>
                  </w:r>
                </w:p>
              </w:tc>
              <w:tc>
                <w:tcPr>
                  <w:tcW w:w="1671" w:type="dxa"/>
                  <w:tcBorders>
                    <w:tl2br w:val="nil"/>
                    <w:tr2bl w:val="nil"/>
                  </w:tcBorders>
                  <w:noWrap/>
                  <w:vAlign w:val="center"/>
                </w:tcPr>
                <w:p w14:paraId="17AB2E06">
                  <w:pPr>
                    <w:pStyle w:val="94"/>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左侧拼宽</w:t>
                  </w:r>
                </w:p>
              </w:tc>
              <w:tc>
                <w:tcPr>
                  <w:tcW w:w="2713" w:type="dxa"/>
                  <w:tcBorders>
                    <w:tl2br w:val="nil"/>
                    <w:tr2bl w:val="nil"/>
                  </w:tcBorders>
                  <w:noWrap/>
                  <w:vAlign w:val="center"/>
                </w:tcPr>
                <w:p w14:paraId="09F96CFA">
                  <w:pPr>
                    <w:pStyle w:val="94"/>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戈壁及格达良乡段</w:t>
                  </w:r>
                </w:p>
              </w:tc>
            </w:tr>
            <w:tr w14:paraId="15274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44" w:type="dxa"/>
                  <w:tcBorders>
                    <w:tl2br w:val="nil"/>
                    <w:tr2bl w:val="nil"/>
                  </w:tcBorders>
                  <w:noWrap/>
                  <w:vAlign w:val="center"/>
                </w:tcPr>
                <w:p w14:paraId="68AB61B5">
                  <w:pPr>
                    <w:pStyle w:val="94"/>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3</w:t>
                  </w:r>
                </w:p>
              </w:tc>
              <w:tc>
                <w:tcPr>
                  <w:tcW w:w="1364" w:type="dxa"/>
                  <w:tcBorders>
                    <w:tl2br w:val="nil"/>
                    <w:tr2bl w:val="nil"/>
                  </w:tcBorders>
                  <w:noWrap/>
                  <w:vAlign w:val="center"/>
                </w:tcPr>
                <w:p w14:paraId="7D338BD6">
                  <w:pPr>
                    <w:pStyle w:val="94"/>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K9+</w:t>
                  </w:r>
                  <w:r>
                    <w:rPr>
                      <w:rFonts w:hint="eastAsia" w:cs="Times New Roman"/>
                      <w:sz w:val="21"/>
                      <w:szCs w:val="21"/>
                      <w:highlight w:val="none"/>
                      <w:lang w:val="en-US" w:eastAsia="zh-CN"/>
                    </w:rPr>
                    <w:t>034</w:t>
                  </w:r>
                </w:p>
              </w:tc>
              <w:tc>
                <w:tcPr>
                  <w:tcW w:w="1178" w:type="dxa"/>
                  <w:tcBorders>
                    <w:tl2br w:val="nil"/>
                    <w:tr2bl w:val="nil"/>
                  </w:tcBorders>
                  <w:noWrap/>
                  <w:vAlign w:val="center"/>
                </w:tcPr>
                <w:p w14:paraId="3C9B0865">
                  <w:pPr>
                    <w:pStyle w:val="94"/>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K1</w:t>
                  </w:r>
                  <w:r>
                    <w:rPr>
                      <w:rFonts w:hint="eastAsia" w:cs="Times New Roman"/>
                      <w:sz w:val="21"/>
                      <w:szCs w:val="21"/>
                      <w:highlight w:val="none"/>
                      <w:lang w:val="en-US" w:eastAsia="zh-CN"/>
                    </w:rPr>
                    <w:t>0</w:t>
                  </w:r>
                  <w:r>
                    <w:rPr>
                      <w:rFonts w:hint="default" w:ascii="Times New Roman" w:hAnsi="Times New Roman" w:eastAsia="宋体" w:cs="Times New Roman"/>
                      <w:sz w:val="21"/>
                      <w:szCs w:val="21"/>
                      <w:highlight w:val="none"/>
                      <w:lang w:val="en-US" w:eastAsia="zh-CN"/>
                    </w:rPr>
                    <w:t>+</w:t>
                  </w:r>
                  <w:r>
                    <w:rPr>
                      <w:rFonts w:hint="eastAsia" w:cs="Times New Roman"/>
                      <w:sz w:val="21"/>
                      <w:szCs w:val="21"/>
                      <w:highlight w:val="none"/>
                      <w:lang w:val="en-US" w:eastAsia="zh-CN"/>
                    </w:rPr>
                    <w:t>080</w:t>
                  </w:r>
                </w:p>
              </w:tc>
              <w:tc>
                <w:tcPr>
                  <w:tcW w:w="925" w:type="dxa"/>
                  <w:tcBorders>
                    <w:tl2br w:val="nil"/>
                    <w:tr2bl w:val="nil"/>
                  </w:tcBorders>
                  <w:noWrap/>
                  <w:vAlign w:val="center"/>
                </w:tcPr>
                <w:p w14:paraId="0626AC48">
                  <w:pPr>
                    <w:pStyle w:val="94"/>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1.046</w:t>
                  </w:r>
                </w:p>
              </w:tc>
              <w:tc>
                <w:tcPr>
                  <w:tcW w:w="1671" w:type="dxa"/>
                  <w:tcBorders>
                    <w:tl2br w:val="nil"/>
                    <w:tr2bl w:val="nil"/>
                  </w:tcBorders>
                  <w:noWrap/>
                  <w:vAlign w:val="center"/>
                </w:tcPr>
                <w:p w14:paraId="4E79039B">
                  <w:pPr>
                    <w:pStyle w:val="94"/>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拼宽渐变段</w:t>
                  </w:r>
                </w:p>
              </w:tc>
              <w:tc>
                <w:tcPr>
                  <w:tcW w:w="2713" w:type="dxa"/>
                  <w:tcBorders>
                    <w:tl2br w:val="nil"/>
                    <w:tr2bl w:val="nil"/>
                  </w:tcBorders>
                  <w:noWrap/>
                  <w:vAlign w:val="center"/>
                </w:tcPr>
                <w:p w14:paraId="602DDE16">
                  <w:pPr>
                    <w:pStyle w:val="94"/>
                    <w:jc w:val="center"/>
                    <w:rPr>
                      <w:rFonts w:hint="default" w:ascii="Times New Roman" w:hAnsi="Times New Roman" w:eastAsia="宋体" w:cs="Times New Roman"/>
                      <w:sz w:val="21"/>
                      <w:szCs w:val="21"/>
                      <w:highlight w:val="none"/>
                      <w:lang w:val="en-US" w:eastAsia="zh-CN"/>
                    </w:rPr>
                  </w:pPr>
                </w:p>
              </w:tc>
            </w:tr>
            <w:tr w14:paraId="14DB8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44" w:type="dxa"/>
                  <w:tcBorders>
                    <w:tl2br w:val="nil"/>
                    <w:tr2bl w:val="nil"/>
                  </w:tcBorders>
                  <w:noWrap/>
                  <w:vAlign w:val="center"/>
                </w:tcPr>
                <w:p w14:paraId="288D8E6E">
                  <w:pPr>
                    <w:pStyle w:val="94"/>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4</w:t>
                  </w:r>
                </w:p>
              </w:tc>
              <w:tc>
                <w:tcPr>
                  <w:tcW w:w="1364" w:type="dxa"/>
                  <w:tcBorders>
                    <w:tl2br w:val="nil"/>
                    <w:tr2bl w:val="nil"/>
                  </w:tcBorders>
                  <w:noWrap/>
                  <w:vAlign w:val="center"/>
                </w:tcPr>
                <w:p w14:paraId="04553DEE">
                  <w:pPr>
                    <w:pStyle w:val="94"/>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K1</w:t>
                  </w:r>
                  <w:r>
                    <w:rPr>
                      <w:rFonts w:hint="eastAsia" w:cs="Times New Roman"/>
                      <w:sz w:val="21"/>
                      <w:szCs w:val="21"/>
                      <w:highlight w:val="none"/>
                      <w:lang w:val="en-US" w:eastAsia="zh-CN"/>
                    </w:rPr>
                    <w:t>0</w:t>
                  </w:r>
                  <w:r>
                    <w:rPr>
                      <w:rFonts w:hint="default" w:ascii="Times New Roman" w:hAnsi="Times New Roman" w:eastAsia="宋体" w:cs="Times New Roman"/>
                      <w:sz w:val="21"/>
                      <w:szCs w:val="21"/>
                      <w:highlight w:val="none"/>
                      <w:lang w:val="en-US" w:eastAsia="zh-CN"/>
                    </w:rPr>
                    <w:t>+0</w:t>
                  </w:r>
                  <w:r>
                    <w:rPr>
                      <w:rFonts w:hint="eastAsia" w:cs="Times New Roman"/>
                      <w:sz w:val="21"/>
                      <w:szCs w:val="21"/>
                      <w:highlight w:val="none"/>
                      <w:lang w:val="en-US" w:eastAsia="zh-CN"/>
                    </w:rPr>
                    <w:t>80</w:t>
                  </w:r>
                </w:p>
              </w:tc>
              <w:tc>
                <w:tcPr>
                  <w:tcW w:w="1178" w:type="dxa"/>
                  <w:tcBorders>
                    <w:tl2br w:val="nil"/>
                    <w:tr2bl w:val="nil"/>
                  </w:tcBorders>
                  <w:noWrap/>
                  <w:vAlign w:val="center"/>
                </w:tcPr>
                <w:p w14:paraId="38E4888B">
                  <w:pPr>
                    <w:pStyle w:val="94"/>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K1</w:t>
                  </w:r>
                  <w:r>
                    <w:rPr>
                      <w:rFonts w:hint="eastAsia" w:cs="Times New Roman"/>
                      <w:sz w:val="21"/>
                      <w:szCs w:val="21"/>
                      <w:highlight w:val="none"/>
                      <w:lang w:val="en-US" w:eastAsia="zh-CN"/>
                    </w:rPr>
                    <w:t>2</w:t>
                  </w:r>
                  <w:r>
                    <w:rPr>
                      <w:rFonts w:hint="default" w:ascii="Times New Roman" w:hAnsi="Times New Roman" w:eastAsia="宋体" w:cs="Times New Roman"/>
                      <w:sz w:val="21"/>
                      <w:szCs w:val="21"/>
                      <w:highlight w:val="none"/>
                      <w:lang w:val="en-US" w:eastAsia="zh-CN"/>
                    </w:rPr>
                    <w:t>+</w:t>
                  </w:r>
                  <w:r>
                    <w:rPr>
                      <w:rFonts w:hint="eastAsia" w:cs="Times New Roman"/>
                      <w:sz w:val="21"/>
                      <w:szCs w:val="21"/>
                      <w:highlight w:val="none"/>
                      <w:lang w:val="en-US" w:eastAsia="zh-CN"/>
                    </w:rPr>
                    <w:t>772</w:t>
                  </w:r>
                </w:p>
              </w:tc>
              <w:tc>
                <w:tcPr>
                  <w:tcW w:w="925" w:type="dxa"/>
                  <w:tcBorders>
                    <w:tl2br w:val="nil"/>
                    <w:tr2bl w:val="nil"/>
                  </w:tcBorders>
                  <w:noWrap/>
                  <w:vAlign w:val="center"/>
                </w:tcPr>
                <w:p w14:paraId="57D40594">
                  <w:pPr>
                    <w:pStyle w:val="94"/>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2.692</w:t>
                  </w:r>
                </w:p>
              </w:tc>
              <w:tc>
                <w:tcPr>
                  <w:tcW w:w="1671" w:type="dxa"/>
                  <w:tcBorders>
                    <w:tl2br w:val="nil"/>
                    <w:tr2bl w:val="nil"/>
                  </w:tcBorders>
                  <w:noWrap/>
                  <w:vAlign w:val="center"/>
                </w:tcPr>
                <w:p w14:paraId="088F3469">
                  <w:pPr>
                    <w:pStyle w:val="94"/>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右侧拼宽</w:t>
                  </w:r>
                </w:p>
              </w:tc>
              <w:tc>
                <w:tcPr>
                  <w:tcW w:w="2713" w:type="dxa"/>
                  <w:tcBorders>
                    <w:tl2br w:val="nil"/>
                    <w:tr2bl w:val="nil"/>
                  </w:tcBorders>
                  <w:noWrap/>
                  <w:vAlign w:val="center"/>
                </w:tcPr>
                <w:p w14:paraId="0CCE9C39">
                  <w:pPr>
                    <w:pStyle w:val="94"/>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pacing w:val="-6"/>
                      <w:sz w:val="21"/>
                      <w:szCs w:val="21"/>
                      <w:highlight w:val="none"/>
                      <w:lang w:val="en-US" w:eastAsia="zh-CN"/>
                    </w:rPr>
                    <w:t>戈壁路段、避让局部基本农田</w:t>
                  </w:r>
                </w:p>
              </w:tc>
            </w:tr>
            <w:tr w14:paraId="31D08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44" w:type="dxa"/>
                  <w:tcBorders>
                    <w:tl2br w:val="nil"/>
                    <w:tr2bl w:val="nil"/>
                  </w:tcBorders>
                  <w:noWrap/>
                  <w:vAlign w:val="center"/>
                </w:tcPr>
                <w:p w14:paraId="28489EEF">
                  <w:pPr>
                    <w:pStyle w:val="94"/>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w:t>
                  </w:r>
                </w:p>
              </w:tc>
              <w:tc>
                <w:tcPr>
                  <w:tcW w:w="1364" w:type="dxa"/>
                  <w:tcBorders>
                    <w:tl2br w:val="nil"/>
                    <w:tr2bl w:val="nil"/>
                  </w:tcBorders>
                  <w:noWrap/>
                  <w:vAlign w:val="center"/>
                </w:tcPr>
                <w:p w14:paraId="6369C18F">
                  <w:pPr>
                    <w:pStyle w:val="94"/>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K1</w:t>
                  </w:r>
                  <w:r>
                    <w:rPr>
                      <w:rFonts w:hint="eastAsia" w:cs="Times New Roman"/>
                      <w:sz w:val="21"/>
                      <w:szCs w:val="21"/>
                      <w:highlight w:val="none"/>
                      <w:lang w:val="en-US" w:eastAsia="zh-CN"/>
                    </w:rPr>
                    <w:t>2</w:t>
                  </w:r>
                  <w:r>
                    <w:rPr>
                      <w:rFonts w:hint="default" w:ascii="Times New Roman" w:hAnsi="Times New Roman" w:eastAsia="宋体" w:cs="Times New Roman"/>
                      <w:sz w:val="21"/>
                      <w:szCs w:val="21"/>
                      <w:highlight w:val="none"/>
                      <w:lang w:val="en-US" w:eastAsia="zh-CN"/>
                    </w:rPr>
                    <w:t>+</w:t>
                  </w:r>
                  <w:r>
                    <w:rPr>
                      <w:rFonts w:hint="eastAsia" w:cs="Times New Roman"/>
                      <w:sz w:val="21"/>
                      <w:szCs w:val="21"/>
                      <w:highlight w:val="none"/>
                      <w:lang w:val="en-US" w:eastAsia="zh-CN"/>
                    </w:rPr>
                    <w:t>772</w:t>
                  </w:r>
                </w:p>
              </w:tc>
              <w:tc>
                <w:tcPr>
                  <w:tcW w:w="1178" w:type="dxa"/>
                  <w:tcBorders>
                    <w:tl2br w:val="nil"/>
                    <w:tr2bl w:val="nil"/>
                  </w:tcBorders>
                  <w:noWrap/>
                  <w:vAlign w:val="center"/>
                </w:tcPr>
                <w:p w14:paraId="2FC2F3F1">
                  <w:pPr>
                    <w:pStyle w:val="94"/>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K</w:t>
                  </w:r>
                  <w:r>
                    <w:rPr>
                      <w:rFonts w:hint="eastAsia" w:cs="Times New Roman"/>
                      <w:sz w:val="21"/>
                      <w:szCs w:val="21"/>
                      <w:highlight w:val="none"/>
                      <w:lang w:val="en-US" w:eastAsia="zh-CN"/>
                    </w:rPr>
                    <w:t>13</w:t>
                  </w:r>
                  <w:r>
                    <w:rPr>
                      <w:rFonts w:hint="default" w:ascii="Times New Roman" w:hAnsi="Times New Roman" w:eastAsia="宋体" w:cs="Times New Roman"/>
                      <w:sz w:val="21"/>
                      <w:szCs w:val="21"/>
                      <w:highlight w:val="none"/>
                      <w:lang w:val="en-US" w:eastAsia="zh-CN"/>
                    </w:rPr>
                    <w:t>+</w:t>
                  </w:r>
                  <w:r>
                    <w:rPr>
                      <w:rFonts w:hint="eastAsia" w:cs="Times New Roman"/>
                      <w:sz w:val="21"/>
                      <w:szCs w:val="21"/>
                      <w:highlight w:val="none"/>
                      <w:lang w:val="en-US" w:eastAsia="zh-CN"/>
                    </w:rPr>
                    <w:t>551</w:t>
                  </w:r>
                </w:p>
              </w:tc>
              <w:tc>
                <w:tcPr>
                  <w:tcW w:w="925" w:type="dxa"/>
                  <w:tcBorders>
                    <w:tl2br w:val="nil"/>
                    <w:tr2bl w:val="nil"/>
                  </w:tcBorders>
                  <w:noWrap/>
                  <w:vAlign w:val="center"/>
                </w:tcPr>
                <w:p w14:paraId="49F5BC98">
                  <w:pPr>
                    <w:pStyle w:val="94"/>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0.779</w:t>
                  </w:r>
                </w:p>
              </w:tc>
              <w:tc>
                <w:tcPr>
                  <w:tcW w:w="1671" w:type="dxa"/>
                  <w:tcBorders>
                    <w:tl2br w:val="nil"/>
                    <w:tr2bl w:val="nil"/>
                  </w:tcBorders>
                  <w:noWrap/>
                  <w:vAlign w:val="center"/>
                </w:tcPr>
                <w:p w14:paraId="322E9DC1">
                  <w:pPr>
                    <w:pStyle w:val="94"/>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拼宽渐变段</w:t>
                  </w:r>
                </w:p>
              </w:tc>
              <w:tc>
                <w:tcPr>
                  <w:tcW w:w="2713" w:type="dxa"/>
                  <w:tcBorders>
                    <w:tl2br w:val="nil"/>
                    <w:tr2bl w:val="nil"/>
                  </w:tcBorders>
                  <w:noWrap/>
                  <w:vAlign w:val="center"/>
                </w:tcPr>
                <w:p w14:paraId="578B4857">
                  <w:pPr>
                    <w:pStyle w:val="94"/>
                    <w:jc w:val="center"/>
                    <w:rPr>
                      <w:rFonts w:hint="default" w:ascii="Times New Roman" w:hAnsi="Times New Roman" w:eastAsia="宋体" w:cs="Times New Roman"/>
                      <w:sz w:val="21"/>
                      <w:szCs w:val="21"/>
                      <w:highlight w:val="none"/>
                      <w:lang w:val="en-US" w:eastAsia="zh-CN"/>
                    </w:rPr>
                  </w:pPr>
                </w:p>
              </w:tc>
            </w:tr>
            <w:tr w14:paraId="29B27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44" w:type="dxa"/>
                  <w:tcBorders>
                    <w:tl2br w:val="nil"/>
                    <w:tr2bl w:val="nil"/>
                  </w:tcBorders>
                  <w:shd w:val="clear" w:color="auto" w:fill="auto"/>
                  <w:noWrap/>
                  <w:vAlign w:val="center"/>
                </w:tcPr>
                <w:p w14:paraId="2C4B23EB">
                  <w:pPr>
                    <w:pStyle w:val="94"/>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6</w:t>
                  </w:r>
                </w:p>
              </w:tc>
              <w:tc>
                <w:tcPr>
                  <w:tcW w:w="1364" w:type="dxa"/>
                  <w:tcBorders>
                    <w:tl2br w:val="nil"/>
                    <w:tr2bl w:val="nil"/>
                  </w:tcBorders>
                  <w:noWrap/>
                  <w:vAlign w:val="center"/>
                </w:tcPr>
                <w:p w14:paraId="041B1994">
                  <w:pPr>
                    <w:pStyle w:val="94"/>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K</w:t>
                  </w:r>
                  <w:r>
                    <w:rPr>
                      <w:rFonts w:hint="eastAsia" w:cs="Times New Roman"/>
                      <w:sz w:val="21"/>
                      <w:szCs w:val="21"/>
                      <w:highlight w:val="none"/>
                      <w:lang w:val="en-US" w:eastAsia="zh-CN"/>
                    </w:rPr>
                    <w:t>13</w:t>
                  </w:r>
                  <w:r>
                    <w:rPr>
                      <w:rFonts w:hint="default" w:ascii="Times New Roman" w:hAnsi="Times New Roman" w:eastAsia="宋体" w:cs="Times New Roman"/>
                      <w:sz w:val="21"/>
                      <w:szCs w:val="21"/>
                      <w:highlight w:val="none"/>
                      <w:lang w:val="en-US" w:eastAsia="zh-CN"/>
                    </w:rPr>
                    <w:t>+</w:t>
                  </w:r>
                  <w:r>
                    <w:rPr>
                      <w:rFonts w:hint="eastAsia" w:cs="Times New Roman"/>
                      <w:sz w:val="21"/>
                      <w:szCs w:val="21"/>
                      <w:highlight w:val="none"/>
                      <w:lang w:val="en-US" w:eastAsia="zh-CN"/>
                    </w:rPr>
                    <w:t>551</w:t>
                  </w:r>
                </w:p>
              </w:tc>
              <w:tc>
                <w:tcPr>
                  <w:tcW w:w="1178" w:type="dxa"/>
                  <w:tcBorders>
                    <w:tl2br w:val="nil"/>
                    <w:tr2bl w:val="nil"/>
                  </w:tcBorders>
                  <w:noWrap/>
                  <w:vAlign w:val="center"/>
                </w:tcPr>
                <w:p w14:paraId="729F4153">
                  <w:pPr>
                    <w:pStyle w:val="94"/>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K</w:t>
                  </w:r>
                  <w:r>
                    <w:rPr>
                      <w:rFonts w:hint="eastAsia" w:cs="Times New Roman"/>
                      <w:sz w:val="21"/>
                      <w:szCs w:val="21"/>
                      <w:highlight w:val="none"/>
                      <w:lang w:val="en-US" w:eastAsia="zh-CN"/>
                    </w:rPr>
                    <w:t>18</w:t>
                  </w:r>
                  <w:r>
                    <w:rPr>
                      <w:rFonts w:hint="default" w:ascii="Times New Roman" w:hAnsi="Times New Roman" w:eastAsia="宋体" w:cs="Times New Roman"/>
                      <w:sz w:val="21"/>
                      <w:szCs w:val="21"/>
                      <w:highlight w:val="none"/>
                      <w:lang w:val="en-US" w:eastAsia="zh-CN"/>
                    </w:rPr>
                    <w:t>+</w:t>
                  </w:r>
                  <w:r>
                    <w:rPr>
                      <w:rFonts w:hint="eastAsia" w:cs="Times New Roman"/>
                      <w:sz w:val="21"/>
                      <w:szCs w:val="21"/>
                      <w:highlight w:val="none"/>
                      <w:lang w:val="en-US" w:eastAsia="zh-CN"/>
                    </w:rPr>
                    <w:t>921</w:t>
                  </w:r>
                </w:p>
              </w:tc>
              <w:tc>
                <w:tcPr>
                  <w:tcW w:w="925" w:type="dxa"/>
                  <w:tcBorders>
                    <w:tl2br w:val="nil"/>
                    <w:tr2bl w:val="nil"/>
                  </w:tcBorders>
                  <w:noWrap/>
                  <w:vAlign w:val="center"/>
                </w:tcPr>
                <w:p w14:paraId="727C7D70">
                  <w:pPr>
                    <w:pStyle w:val="94"/>
                    <w:jc w:val="center"/>
                    <w:rPr>
                      <w:rFonts w:hint="default" w:cs="Times New Roman"/>
                      <w:sz w:val="21"/>
                      <w:szCs w:val="21"/>
                      <w:highlight w:val="none"/>
                      <w:lang w:val="en-US" w:eastAsia="zh-CN"/>
                    </w:rPr>
                  </w:pPr>
                  <w:r>
                    <w:rPr>
                      <w:rFonts w:hint="eastAsia" w:cs="Times New Roman"/>
                      <w:sz w:val="21"/>
                      <w:szCs w:val="21"/>
                      <w:highlight w:val="none"/>
                      <w:lang w:val="en-US" w:eastAsia="zh-CN"/>
                    </w:rPr>
                    <w:t>5.371</w:t>
                  </w:r>
                </w:p>
              </w:tc>
              <w:tc>
                <w:tcPr>
                  <w:tcW w:w="1671" w:type="dxa"/>
                  <w:tcBorders>
                    <w:tl2br w:val="nil"/>
                    <w:tr2bl w:val="nil"/>
                  </w:tcBorders>
                  <w:noWrap/>
                  <w:vAlign w:val="center"/>
                </w:tcPr>
                <w:p w14:paraId="5A76B9C8">
                  <w:pPr>
                    <w:pStyle w:val="94"/>
                    <w:jc w:val="center"/>
                    <w:rPr>
                      <w:rFonts w:hint="default" w:cs="Times New Roman"/>
                      <w:sz w:val="21"/>
                      <w:szCs w:val="21"/>
                      <w:highlight w:val="none"/>
                      <w:lang w:val="en-US" w:eastAsia="zh-CN"/>
                    </w:rPr>
                  </w:pPr>
                  <w:r>
                    <w:rPr>
                      <w:rFonts w:hint="eastAsia" w:cs="Times New Roman"/>
                      <w:sz w:val="21"/>
                      <w:szCs w:val="21"/>
                      <w:highlight w:val="none"/>
                      <w:lang w:val="en-US" w:eastAsia="zh-CN"/>
                    </w:rPr>
                    <w:t>左侧拼宽</w:t>
                  </w:r>
                </w:p>
              </w:tc>
              <w:tc>
                <w:tcPr>
                  <w:tcW w:w="2713" w:type="dxa"/>
                  <w:tcBorders>
                    <w:tl2br w:val="nil"/>
                    <w:tr2bl w:val="nil"/>
                  </w:tcBorders>
                  <w:noWrap/>
                  <w:vAlign w:val="center"/>
                </w:tcPr>
                <w:p w14:paraId="0534EA93">
                  <w:pPr>
                    <w:pStyle w:val="94"/>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戈壁路段，避让基本农田</w:t>
                  </w:r>
                </w:p>
              </w:tc>
            </w:tr>
            <w:tr w14:paraId="659CA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44" w:type="dxa"/>
                  <w:tcBorders>
                    <w:tl2br w:val="nil"/>
                    <w:tr2bl w:val="nil"/>
                  </w:tcBorders>
                  <w:shd w:val="clear" w:color="auto" w:fill="auto"/>
                  <w:noWrap/>
                  <w:vAlign w:val="center"/>
                </w:tcPr>
                <w:p w14:paraId="0CDA0AFA">
                  <w:pPr>
                    <w:pStyle w:val="94"/>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7</w:t>
                  </w:r>
                </w:p>
              </w:tc>
              <w:tc>
                <w:tcPr>
                  <w:tcW w:w="1364" w:type="dxa"/>
                  <w:tcBorders>
                    <w:tl2br w:val="nil"/>
                    <w:tr2bl w:val="nil"/>
                  </w:tcBorders>
                  <w:noWrap/>
                  <w:vAlign w:val="center"/>
                </w:tcPr>
                <w:p w14:paraId="508FA7DE">
                  <w:pPr>
                    <w:pStyle w:val="94"/>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K</w:t>
                  </w:r>
                  <w:r>
                    <w:rPr>
                      <w:rFonts w:hint="eastAsia" w:cs="Times New Roman"/>
                      <w:sz w:val="21"/>
                      <w:szCs w:val="21"/>
                      <w:highlight w:val="none"/>
                      <w:lang w:val="en-US" w:eastAsia="zh-CN"/>
                    </w:rPr>
                    <w:t>18</w:t>
                  </w:r>
                  <w:r>
                    <w:rPr>
                      <w:rFonts w:hint="default" w:ascii="Times New Roman" w:hAnsi="Times New Roman" w:eastAsia="宋体" w:cs="Times New Roman"/>
                      <w:sz w:val="21"/>
                      <w:szCs w:val="21"/>
                      <w:highlight w:val="none"/>
                      <w:lang w:val="en-US" w:eastAsia="zh-CN"/>
                    </w:rPr>
                    <w:t>+</w:t>
                  </w:r>
                  <w:r>
                    <w:rPr>
                      <w:rFonts w:hint="eastAsia" w:cs="Times New Roman"/>
                      <w:sz w:val="21"/>
                      <w:szCs w:val="21"/>
                      <w:highlight w:val="none"/>
                      <w:lang w:val="en-US" w:eastAsia="zh-CN"/>
                    </w:rPr>
                    <w:t>921</w:t>
                  </w:r>
                </w:p>
              </w:tc>
              <w:tc>
                <w:tcPr>
                  <w:tcW w:w="1178" w:type="dxa"/>
                  <w:tcBorders>
                    <w:tl2br w:val="nil"/>
                    <w:tr2bl w:val="nil"/>
                  </w:tcBorders>
                  <w:noWrap/>
                  <w:vAlign w:val="center"/>
                </w:tcPr>
                <w:p w14:paraId="25788F83">
                  <w:pPr>
                    <w:pStyle w:val="94"/>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K</w:t>
                  </w:r>
                  <w:r>
                    <w:rPr>
                      <w:rFonts w:hint="eastAsia" w:cs="Times New Roman"/>
                      <w:sz w:val="21"/>
                      <w:szCs w:val="21"/>
                      <w:highlight w:val="none"/>
                      <w:lang w:val="en-US" w:eastAsia="zh-CN"/>
                    </w:rPr>
                    <w:t>19</w:t>
                  </w:r>
                  <w:r>
                    <w:rPr>
                      <w:rFonts w:hint="default" w:ascii="Times New Roman" w:hAnsi="Times New Roman" w:eastAsia="宋体" w:cs="Times New Roman"/>
                      <w:sz w:val="21"/>
                      <w:szCs w:val="21"/>
                      <w:highlight w:val="none"/>
                      <w:lang w:val="en-US" w:eastAsia="zh-CN"/>
                    </w:rPr>
                    <w:t>+</w:t>
                  </w:r>
                  <w:r>
                    <w:rPr>
                      <w:rFonts w:hint="eastAsia" w:cs="Times New Roman"/>
                      <w:sz w:val="21"/>
                      <w:szCs w:val="21"/>
                      <w:highlight w:val="none"/>
                      <w:lang w:val="en-US" w:eastAsia="zh-CN"/>
                    </w:rPr>
                    <w:t>934</w:t>
                  </w:r>
                </w:p>
              </w:tc>
              <w:tc>
                <w:tcPr>
                  <w:tcW w:w="925" w:type="dxa"/>
                  <w:tcBorders>
                    <w:tl2br w:val="nil"/>
                    <w:tr2bl w:val="nil"/>
                  </w:tcBorders>
                  <w:noWrap/>
                  <w:vAlign w:val="center"/>
                </w:tcPr>
                <w:p w14:paraId="1138DDD6">
                  <w:pPr>
                    <w:pStyle w:val="94"/>
                    <w:jc w:val="center"/>
                    <w:rPr>
                      <w:rFonts w:hint="default" w:cs="Times New Roman"/>
                      <w:sz w:val="21"/>
                      <w:szCs w:val="21"/>
                      <w:highlight w:val="none"/>
                      <w:lang w:val="en-US" w:eastAsia="zh-CN"/>
                    </w:rPr>
                  </w:pPr>
                  <w:r>
                    <w:rPr>
                      <w:rFonts w:hint="eastAsia" w:cs="Times New Roman"/>
                      <w:sz w:val="21"/>
                      <w:szCs w:val="21"/>
                      <w:highlight w:val="none"/>
                      <w:lang w:val="en-US" w:eastAsia="zh-CN"/>
                    </w:rPr>
                    <w:t>1.013</w:t>
                  </w:r>
                </w:p>
              </w:tc>
              <w:tc>
                <w:tcPr>
                  <w:tcW w:w="1671" w:type="dxa"/>
                  <w:tcBorders>
                    <w:tl2br w:val="nil"/>
                    <w:tr2bl w:val="nil"/>
                  </w:tcBorders>
                  <w:noWrap/>
                  <w:vAlign w:val="center"/>
                </w:tcPr>
                <w:p w14:paraId="24A3C3EB">
                  <w:pPr>
                    <w:pStyle w:val="94"/>
                    <w:jc w:val="center"/>
                    <w:rPr>
                      <w:rFonts w:hint="default" w:cs="Times New Roman"/>
                      <w:sz w:val="21"/>
                      <w:szCs w:val="21"/>
                      <w:highlight w:val="none"/>
                      <w:lang w:val="en-US" w:eastAsia="zh-CN"/>
                    </w:rPr>
                  </w:pPr>
                  <w:r>
                    <w:rPr>
                      <w:rFonts w:hint="eastAsia" w:cs="Times New Roman"/>
                      <w:sz w:val="21"/>
                      <w:szCs w:val="21"/>
                      <w:highlight w:val="none"/>
                      <w:lang w:val="en-US" w:eastAsia="zh-CN"/>
                    </w:rPr>
                    <w:t>拼宽渐变段</w:t>
                  </w:r>
                </w:p>
              </w:tc>
              <w:tc>
                <w:tcPr>
                  <w:tcW w:w="2713" w:type="dxa"/>
                  <w:tcBorders>
                    <w:tl2br w:val="nil"/>
                    <w:tr2bl w:val="nil"/>
                  </w:tcBorders>
                  <w:noWrap/>
                  <w:vAlign w:val="center"/>
                </w:tcPr>
                <w:p w14:paraId="714F3386">
                  <w:pPr>
                    <w:pStyle w:val="94"/>
                    <w:jc w:val="center"/>
                    <w:rPr>
                      <w:rFonts w:hint="default" w:ascii="Times New Roman" w:hAnsi="Times New Roman" w:eastAsia="宋体" w:cs="Times New Roman"/>
                      <w:sz w:val="21"/>
                      <w:szCs w:val="21"/>
                      <w:highlight w:val="none"/>
                      <w:lang w:val="en-US" w:eastAsia="zh-CN"/>
                    </w:rPr>
                  </w:pPr>
                </w:p>
              </w:tc>
            </w:tr>
            <w:tr w14:paraId="38D56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44" w:type="dxa"/>
                  <w:tcBorders>
                    <w:tl2br w:val="nil"/>
                    <w:tr2bl w:val="nil"/>
                  </w:tcBorders>
                  <w:shd w:val="clear" w:color="auto" w:fill="auto"/>
                  <w:noWrap/>
                  <w:vAlign w:val="center"/>
                </w:tcPr>
                <w:p w14:paraId="2EEB6804">
                  <w:pPr>
                    <w:pStyle w:val="94"/>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8</w:t>
                  </w:r>
                </w:p>
              </w:tc>
              <w:tc>
                <w:tcPr>
                  <w:tcW w:w="1364" w:type="dxa"/>
                  <w:tcBorders>
                    <w:tl2br w:val="nil"/>
                    <w:tr2bl w:val="nil"/>
                  </w:tcBorders>
                  <w:noWrap/>
                  <w:vAlign w:val="center"/>
                </w:tcPr>
                <w:p w14:paraId="45F9F591">
                  <w:pPr>
                    <w:pStyle w:val="94"/>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K</w:t>
                  </w:r>
                  <w:r>
                    <w:rPr>
                      <w:rFonts w:hint="eastAsia" w:cs="Times New Roman"/>
                      <w:sz w:val="21"/>
                      <w:szCs w:val="21"/>
                      <w:highlight w:val="none"/>
                      <w:lang w:val="en-US" w:eastAsia="zh-CN"/>
                    </w:rPr>
                    <w:t>19</w:t>
                  </w:r>
                  <w:r>
                    <w:rPr>
                      <w:rFonts w:hint="default" w:ascii="Times New Roman" w:hAnsi="Times New Roman" w:eastAsia="宋体" w:cs="Times New Roman"/>
                      <w:sz w:val="21"/>
                      <w:szCs w:val="21"/>
                      <w:highlight w:val="none"/>
                      <w:lang w:val="en-US" w:eastAsia="zh-CN"/>
                    </w:rPr>
                    <w:t>+</w:t>
                  </w:r>
                  <w:r>
                    <w:rPr>
                      <w:rFonts w:hint="eastAsia" w:cs="Times New Roman"/>
                      <w:sz w:val="21"/>
                      <w:szCs w:val="21"/>
                      <w:highlight w:val="none"/>
                      <w:lang w:val="en-US" w:eastAsia="zh-CN"/>
                    </w:rPr>
                    <w:t>934</w:t>
                  </w:r>
                </w:p>
              </w:tc>
              <w:tc>
                <w:tcPr>
                  <w:tcW w:w="1178" w:type="dxa"/>
                  <w:tcBorders>
                    <w:tl2br w:val="nil"/>
                    <w:tr2bl w:val="nil"/>
                  </w:tcBorders>
                  <w:noWrap/>
                  <w:vAlign w:val="center"/>
                </w:tcPr>
                <w:p w14:paraId="21B2944B">
                  <w:pPr>
                    <w:pStyle w:val="94"/>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K</w:t>
                  </w:r>
                  <w:r>
                    <w:rPr>
                      <w:rFonts w:hint="eastAsia" w:cs="Times New Roman"/>
                      <w:sz w:val="21"/>
                      <w:szCs w:val="21"/>
                      <w:highlight w:val="none"/>
                      <w:lang w:val="en-US" w:eastAsia="zh-CN"/>
                    </w:rPr>
                    <w:t>24</w:t>
                  </w:r>
                  <w:r>
                    <w:rPr>
                      <w:rFonts w:hint="default" w:ascii="Times New Roman" w:hAnsi="Times New Roman" w:eastAsia="宋体" w:cs="Times New Roman"/>
                      <w:sz w:val="21"/>
                      <w:szCs w:val="21"/>
                      <w:highlight w:val="none"/>
                      <w:lang w:val="en-US" w:eastAsia="zh-CN"/>
                    </w:rPr>
                    <w:t>+</w:t>
                  </w:r>
                  <w:r>
                    <w:rPr>
                      <w:rFonts w:hint="eastAsia" w:cs="Times New Roman"/>
                      <w:sz w:val="21"/>
                      <w:szCs w:val="21"/>
                      <w:highlight w:val="none"/>
                      <w:lang w:val="en-US" w:eastAsia="zh-CN"/>
                    </w:rPr>
                    <w:t>871</w:t>
                  </w:r>
                </w:p>
              </w:tc>
              <w:tc>
                <w:tcPr>
                  <w:tcW w:w="925" w:type="dxa"/>
                  <w:tcBorders>
                    <w:tl2br w:val="nil"/>
                    <w:tr2bl w:val="nil"/>
                  </w:tcBorders>
                  <w:noWrap/>
                  <w:vAlign w:val="center"/>
                </w:tcPr>
                <w:p w14:paraId="097B6823">
                  <w:pPr>
                    <w:pStyle w:val="94"/>
                    <w:jc w:val="center"/>
                    <w:rPr>
                      <w:rFonts w:hint="default" w:cs="Times New Roman"/>
                      <w:sz w:val="21"/>
                      <w:szCs w:val="21"/>
                      <w:highlight w:val="none"/>
                      <w:lang w:val="en-US" w:eastAsia="zh-CN"/>
                    </w:rPr>
                  </w:pPr>
                  <w:r>
                    <w:rPr>
                      <w:rFonts w:hint="eastAsia" w:cs="Times New Roman"/>
                      <w:sz w:val="21"/>
                      <w:szCs w:val="21"/>
                      <w:highlight w:val="none"/>
                      <w:lang w:val="en-US" w:eastAsia="zh-CN"/>
                    </w:rPr>
                    <w:t>4.937</w:t>
                  </w:r>
                </w:p>
              </w:tc>
              <w:tc>
                <w:tcPr>
                  <w:tcW w:w="1671" w:type="dxa"/>
                  <w:tcBorders>
                    <w:tl2br w:val="nil"/>
                    <w:tr2bl w:val="nil"/>
                  </w:tcBorders>
                  <w:noWrap/>
                  <w:vAlign w:val="center"/>
                </w:tcPr>
                <w:p w14:paraId="2D4F34A7">
                  <w:pPr>
                    <w:pStyle w:val="94"/>
                    <w:jc w:val="center"/>
                    <w:rPr>
                      <w:rFonts w:hint="default" w:cs="Times New Roman"/>
                      <w:sz w:val="21"/>
                      <w:szCs w:val="21"/>
                      <w:highlight w:val="none"/>
                      <w:lang w:val="en-US" w:eastAsia="zh-CN"/>
                    </w:rPr>
                  </w:pPr>
                  <w:r>
                    <w:rPr>
                      <w:rFonts w:hint="eastAsia" w:cs="Times New Roman"/>
                      <w:sz w:val="21"/>
                      <w:szCs w:val="21"/>
                      <w:highlight w:val="none"/>
                      <w:lang w:val="en-US" w:eastAsia="zh-CN"/>
                    </w:rPr>
                    <w:t>双侧拼宽</w:t>
                  </w:r>
                </w:p>
              </w:tc>
              <w:tc>
                <w:tcPr>
                  <w:tcW w:w="2713" w:type="dxa"/>
                  <w:tcBorders>
                    <w:tl2br w:val="nil"/>
                    <w:tr2bl w:val="nil"/>
                  </w:tcBorders>
                  <w:noWrap/>
                  <w:vAlign w:val="center"/>
                </w:tcPr>
                <w:p w14:paraId="014C4E54">
                  <w:pPr>
                    <w:pStyle w:val="94"/>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基本农田及建筑分布密集</w:t>
                  </w:r>
                </w:p>
              </w:tc>
            </w:tr>
            <w:tr w14:paraId="57BF0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44" w:type="dxa"/>
                  <w:tcBorders>
                    <w:tl2br w:val="nil"/>
                    <w:tr2bl w:val="nil"/>
                  </w:tcBorders>
                  <w:shd w:val="clear" w:color="auto" w:fill="auto"/>
                  <w:noWrap/>
                  <w:vAlign w:val="center"/>
                </w:tcPr>
                <w:p w14:paraId="5681BA7B">
                  <w:pPr>
                    <w:pStyle w:val="94"/>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9</w:t>
                  </w:r>
                </w:p>
              </w:tc>
              <w:tc>
                <w:tcPr>
                  <w:tcW w:w="1364" w:type="dxa"/>
                  <w:tcBorders>
                    <w:tl2br w:val="nil"/>
                    <w:tr2bl w:val="nil"/>
                  </w:tcBorders>
                  <w:shd w:val="clear" w:color="auto" w:fill="auto"/>
                  <w:noWrap/>
                  <w:vAlign w:val="center"/>
                </w:tcPr>
                <w:p w14:paraId="0D6D6990">
                  <w:pPr>
                    <w:pStyle w:val="94"/>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K</w:t>
                  </w:r>
                  <w:r>
                    <w:rPr>
                      <w:rFonts w:hint="eastAsia" w:cs="Times New Roman"/>
                      <w:sz w:val="21"/>
                      <w:szCs w:val="21"/>
                      <w:highlight w:val="none"/>
                      <w:lang w:val="en-US" w:eastAsia="zh-CN"/>
                    </w:rPr>
                    <w:t>24</w:t>
                  </w:r>
                  <w:r>
                    <w:rPr>
                      <w:rFonts w:hint="default" w:ascii="Times New Roman" w:hAnsi="Times New Roman" w:eastAsia="宋体" w:cs="Times New Roman"/>
                      <w:sz w:val="21"/>
                      <w:szCs w:val="21"/>
                      <w:highlight w:val="none"/>
                      <w:lang w:val="en-US" w:eastAsia="zh-CN"/>
                    </w:rPr>
                    <w:t>+</w:t>
                  </w:r>
                  <w:r>
                    <w:rPr>
                      <w:rFonts w:hint="eastAsia" w:cs="Times New Roman"/>
                      <w:sz w:val="21"/>
                      <w:szCs w:val="21"/>
                      <w:highlight w:val="none"/>
                      <w:lang w:val="en-US" w:eastAsia="zh-CN"/>
                    </w:rPr>
                    <w:t>871</w:t>
                  </w:r>
                </w:p>
              </w:tc>
              <w:tc>
                <w:tcPr>
                  <w:tcW w:w="1178" w:type="dxa"/>
                  <w:tcBorders>
                    <w:tl2br w:val="nil"/>
                    <w:tr2bl w:val="nil"/>
                  </w:tcBorders>
                  <w:shd w:val="clear" w:color="auto" w:fill="auto"/>
                  <w:noWrap/>
                  <w:vAlign w:val="center"/>
                </w:tcPr>
                <w:p w14:paraId="1C07096F">
                  <w:pPr>
                    <w:pStyle w:val="94"/>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K</w:t>
                  </w:r>
                  <w:r>
                    <w:rPr>
                      <w:rFonts w:hint="eastAsia" w:cs="Times New Roman"/>
                      <w:sz w:val="21"/>
                      <w:szCs w:val="21"/>
                      <w:highlight w:val="none"/>
                      <w:lang w:val="en-US" w:eastAsia="zh-CN"/>
                    </w:rPr>
                    <w:t>25</w:t>
                  </w:r>
                  <w:r>
                    <w:rPr>
                      <w:rFonts w:hint="default" w:ascii="Times New Roman" w:hAnsi="Times New Roman" w:eastAsia="宋体" w:cs="Times New Roman"/>
                      <w:sz w:val="21"/>
                      <w:szCs w:val="21"/>
                      <w:highlight w:val="none"/>
                      <w:lang w:val="en-US" w:eastAsia="zh-CN"/>
                    </w:rPr>
                    <w:t>+</w:t>
                  </w:r>
                  <w:r>
                    <w:rPr>
                      <w:rFonts w:hint="eastAsia" w:cs="Times New Roman"/>
                      <w:sz w:val="21"/>
                      <w:szCs w:val="21"/>
                      <w:highlight w:val="none"/>
                      <w:lang w:val="en-US" w:eastAsia="zh-CN"/>
                    </w:rPr>
                    <w:t>738</w:t>
                  </w:r>
                </w:p>
              </w:tc>
              <w:tc>
                <w:tcPr>
                  <w:tcW w:w="925" w:type="dxa"/>
                  <w:tcBorders>
                    <w:tl2br w:val="nil"/>
                    <w:tr2bl w:val="nil"/>
                  </w:tcBorders>
                  <w:noWrap/>
                  <w:vAlign w:val="center"/>
                </w:tcPr>
                <w:p w14:paraId="58498EB7">
                  <w:pPr>
                    <w:pStyle w:val="94"/>
                    <w:jc w:val="center"/>
                    <w:rPr>
                      <w:rFonts w:hint="default" w:cs="Times New Roman"/>
                      <w:sz w:val="21"/>
                      <w:szCs w:val="21"/>
                      <w:highlight w:val="none"/>
                      <w:lang w:val="en-US" w:eastAsia="zh-CN"/>
                    </w:rPr>
                  </w:pPr>
                  <w:r>
                    <w:rPr>
                      <w:rFonts w:hint="eastAsia" w:cs="Times New Roman"/>
                      <w:sz w:val="21"/>
                      <w:szCs w:val="21"/>
                      <w:highlight w:val="none"/>
                      <w:lang w:val="en-US" w:eastAsia="zh-CN"/>
                    </w:rPr>
                    <w:t>0.867</w:t>
                  </w:r>
                </w:p>
              </w:tc>
              <w:tc>
                <w:tcPr>
                  <w:tcW w:w="1671" w:type="dxa"/>
                  <w:tcBorders>
                    <w:tl2br w:val="nil"/>
                    <w:tr2bl w:val="nil"/>
                  </w:tcBorders>
                  <w:noWrap/>
                  <w:vAlign w:val="center"/>
                </w:tcPr>
                <w:p w14:paraId="560EE042">
                  <w:pPr>
                    <w:pStyle w:val="94"/>
                    <w:jc w:val="center"/>
                    <w:rPr>
                      <w:rFonts w:hint="default" w:cs="Times New Roman"/>
                      <w:sz w:val="21"/>
                      <w:szCs w:val="21"/>
                      <w:highlight w:val="none"/>
                      <w:lang w:val="en-US" w:eastAsia="zh-CN"/>
                    </w:rPr>
                  </w:pPr>
                  <w:r>
                    <w:rPr>
                      <w:rFonts w:hint="eastAsia" w:cs="Times New Roman"/>
                      <w:sz w:val="21"/>
                      <w:szCs w:val="21"/>
                      <w:highlight w:val="none"/>
                      <w:lang w:val="en-US" w:eastAsia="zh-CN"/>
                    </w:rPr>
                    <w:t>右侧拼宽</w:t>
                  </w:r>
                </w:p>
              </w:tc>
              <w:tc>
                <w:tcPr>
                  <w:tcW w:w="2713" w:type="dxa"/>
                  <w:tcBorders>
                    <w:tl2br w:val="nil"/>
                    <w:tr2bl w:val="nil"/>
                  </w:tcBorders>
                  <w:noWrap/>
                  <w:vAlign w:val="center"/>
                </w:tcPr>
                <w:p w14:paraId="0C9A3B50">
                  <w:pPr>
                    <w:pStyle w:val="94"/>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大桥</w:t>
                  </w:r>
                  <w:r>
                    <w:rPr>
                      <w:rFonts w:hint="eastAsia" w:cs="Times New Roman"/>
                      <w:sz w:val="21"/>
                      <w:szCs w:val="21"/>
                      <w:highlight w:val="none"/>
                      <w:lang w:val="en-US" w:eastAsia="zh-CN"/>
                    </w:rPr>
                    <w:t>段</w:t>
                  </w:r>
                </w:p>
              </w:tc>
            </w:tr>
            <w:tr w14:paraId="06212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44" w:type="dxa"/>
                  <w:tcBorders>
                    <w:tl2br w:val="nil"/>
                    <w:tr2bl w:val="nil"/>
                  </w:tcBorders>
                  <w:shd w:val="clear" w:color="auto" w:fill="auto"/>
                  <w:noWrap/>
                  <w:vAlign w:val="center"/>
                </w:tcPr>
                <w:p w14:paraId="19AE6B9C">
                  <w:pPr>
                    <w:pStyle w:val="94"/>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10</w:t>
                  </w:r>
                </w:p>
              </w:tc>
              <w:tc>
                <w:tcPr>
                  <w:tcW w:w="1364" w:type="dxa"/>
                  <w:tcBorders>
                    <w:tl2br w:val="nil"/>
                    <w:tr2bl w:val="nil"/>
                  </w:tcBorders>
                  <w:noWrap/>
                  <w:vAlign w:val="center"/>
                </w:tcPr>
                <w:p w14:paraId="5E4654EE">
                  <w:pPr>
                    <w:pStyle w:val="94"/>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K25+</w:t>
                  </w:r>
                  <w:r>
                    <w:rPr>
                      <w:rFonts w:hint="eastAsia" w:cs="Times New Roman"/>
                      <w:sz w:val="21"/>
                      <w:szCs w:val="21"/>
                      <w:highlight w:val="none"/>
                      <w:lang w:val="en-US" w:eastAsia="zh-CN"/>
                    </w:rPr>
                    <w:t>738</w:t>
                  </w:r>
                </w:p>
              </w:tc>
              <w:tc>
                <w:tcPr>
                  <w:tcW w:w="1178" w:type="dxa"/>
                  <w:tcBorders>
                    <w:tl2br w:val="nil"/>
                    <w:tr2bl w:val="nil"/>
                  </w:tcBorders>
                  <w:noWrap/>
                  <w:vAlign w:val="center"/>
                </w:tcPr>
                <w:p w14:paraId="2136B9B9">
                  <w:pPr>
                    <w:pStyle w:val="94"/>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K2</w:t>
                  </w:r>
                  <w:r>
                    <w:rPr>
                      <w:rFonts w:hint="eastAsia" w:cs="Times New Roman"/>
                      <w:sz w:val="21"/>
                      <w:szCs w:val="21"/>
                      <w:highlight w:val="none"/>
                      <w:lang w:val="en-US" w:eastAsia="zh-CN"/>
                    </w:rPr>
                    <w:t>6</w:t>
                  </w:r>
                  <w:r>
                    <w:rPr>
                      <w:rFonts w:hint="default" w:ascii="Times New Roman" w:hAnsi="Times New Roman" w:eastAsia="宋体" w:cs="Times New Roman"/>
                      <w:sz w:val="21"/>
                      <w:szCs w:val="21"/>
                      <w:highlight w:val="none"/>
                      <w:lang w:val="en-US" w:eastAsia="zh-CN"/>
                    </w:rPr>
                    <w:t>+</w:t>
                  </w:r>
                  <w:r>
                    <w:rPr>
                      <w:rFonts w:hint="eastAsia" w:cs="Times New Roman"/>
                      <w:sz w:val="21"/>
                      <w:szCs w:val="21"/>
                      <w:highlight w:val="none"/>
                      <w:lang w:val="en-US" w:eastAsia="zh-CN"/>
                    </w:rPr>
                    <w:t>258</w:t>
                  </w:r>
                </w:p>
              </w:tc>
              <w:tc>
                <w:tcPr>
                  <w:tcW w:w="925" w:type="dxa"/>
                  <w:tcBorders>
                    <w:tl2br w:val="nil"/>
                    <w:tr2bl w:val="nil"/>
                  </w:tcBorders>
                  <w:noWrap/>
                  <w:vAlign w:val="center"/>
                </w:tcPr>
                <w:p w14:paraId="12B07E60">
                  <w:pPr>
                    <w:pStyle w:val="94"/>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0.520</w:t>
                  </w:r>
                </w:p>
              </w:tc>
              <w:tc>
                <w:tcPr>
                  <w:tcW w:w="1671" w:type="dxa"/>
                  <w:tcBorders>
                    <w:tl2br w:val="nil"/>
                    <w:tr2bl w:val="nil"/>
                  </w:tcBorders>
                  <w:noWrap/>
                  <w:vAlign w:val="center"/>
                </w:tcPr>
                <w:p w14:paraId="54D3FD74">
                  <w:pPr>
                    <w:pStyle w:val="94"/>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右侧拼宽</w:t>
                  </w:r>
                </w:p>
              </w:tc>
              <w:tc>
                <w:tcPr>
                  <w:tcW w:w="2713" w:type="dxa"/>
                  <w:tcBorders>
                    <w:tl2br w:val="nil"/>
                    <w:tr2bl w:val="nil"/>
                  </w:tcBorders>
                  <w:noWrap/>
                  <w:vAlign w:val="center"/>
                </w:tcPr>
                <w:p w14:paraId="1309A269">
                  <w:pPr>
                    <w:pStyle w:val="94"/>
                    <w:jc w:val="center"/>
                    <w:rPr>
                      <w:rFonts w:hint="default" w:ascii="Times New Roman" w:hAnsi="Times New Roman" w:eastAsia="宋体" w:cs="Times New Roman"/>
                      <w:sz w:val="21"/>
                      <w:szCs w:val="21"/>
                      <w:highlight w:val="none"/>
                      <w:lang w:val="en-US" w:eastAsia="zh-CN"/>
                    </w:rPr>
                  </w:pPr>
                </w:p>
              </w:tc>
            </w:tr>
            <w:tr w14:paraId="41BDE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44" w:type="dxa"/>
                  <w:tcBorders>
                    <w:tl2br w:val="nil"/>
                    <w:tr2bl w:val="nil"/>
                  </w:tcBorders>
                  <w:shd w:val="clear" w:color="auto" w:fill="auto"/>
                  <w:noWrap/>
                  <w:vAlign w:val="center"/>
                </w:tcPr>
                <w:p w14:paraId="52DC1A3C">
                  <w:pPr>
                    <w:pStyle w:val="94"/>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11</w:t>
                  </w:r>
                </w:p>
              </w:tc>
              <w:tc>
                <w:tcPr>
                  <w:tcW w:w="1364" w:type="dxa"/>
                  <w:tcBorders>
                    <w:tl2br w:val="nil"/>
                    <w:tr2bl w:val="nil"/>
                  </w:tcBorders>
                  <w:noWrap/>
                  <w:vAlign w:val="center"/>
                </w:tcPr>
                <w:p w14:paraId="26290E95">
                  <w:pPr>
                    <w:pStyle w:val="94"/>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K2</w:t>
                  </w:r>
                  <w:r>
                    <w:rPr>
                      <w:rFonts w:hint="eastAsia" w:cs="Times New Roman"/>
                      <w:sz w:val="21"/>
                      <w:szCs w:val="21"/>
                      <w:highlight w:val="none"/>
                      <w:lang w:val="en-US" w:eastAsia="zh-CN"/>
                    </w:rPr>
                    <w:t>6</w:t>
                  </w:r>
                  <w:r>
                    <w:rPr>
                      <w:rFonts w:hint="default" w:ascii="Times New Roman" w:hAnsi="Times New Roman" w:eastAsia="宋体" w:cs="Times New Roman"/>
                      <w:sz w:val="21"/>
                      <w:szCs w:val="21"/>
                      <w:highlight w:val="none"/>
                      <w:lang w:val="en-US" w:eastAsia="zh-CN"/>
                    </w:rPr>
                    <w:t>+</w:t>
                  </w:r>
                  <w:r>
                    <w:rPr>
                      <w:rFonts w:hint="eastAsia" w:cs="Times New Roman"/>
                      <w:sz w:val="21"/>
                      <w:szCs w:val="21"/>
                      <w:highlight w:val="none"/>
                      <w:lang w:val="en-US" w:eastAsia="zh-CN"/>
                    </w:rPr>
                    <w:t>258</w:t>
                  </w:r>
                </w:p>
              </w:tc>
              <w:tc>
                <w:tcPr>
                  <w:tcW w:w="1178" w:type="dxa"/>
                  <w:tcBorders>
                    <w:tl2br w:val="nil"/>
                    <w:tr2bl w:val="nil"/>
                  </w:tcBorders>
                  <w:noWrap/>
                  <w:vAlign w:val="center"/>
                </w:tcPr>
                <w:p w14:paraId="246EB327">
                  <w:pPr>
                    <w:pStyle w:val="94"/>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K27+</w:t>
                  </w:r>
                  <w:r>
                    <w:rPr>
                      <w:rFonts w:hint="eastAsia" w:cs="Times New Roman"/>
                      <w:sz w:val="21"/>
                      <w:szCs w:val="21"/>
                      <w:highlight w:val="none"/>
                      <w:lang w:val="en-US" w:eastAsia="zh-CN"/>
                    </w:rPr>
                    <w:t>465</w:t>
                  </w:r>
                </w:p>
              </w:tc>
              <w:tc>
                <w:tcPr>
                  <w:tcW w:w="925" w:type="dxa"/>
                  <w:tcBorders>
                    <w:tl2br w:val="nil"/>
                    <w:tr2bl w:val="nil"/>
                  </w:tcBorders>
                  <w:noWrap/>
                  <w:vAlign w:val="center"/>
                </w:tcPr>
                <w:p w14:paraId="74189B79">
                  <w:pPr>
                    <w:pStyle w:val="94"/>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w:t>
                  </w:r>
                  <w:r>
                    <w:rPr>
                      <w:rFonts w:hint="eastAsia" w:cs="Times New Roman"/>
                      <w:sz w:val="21"/>
                      <w:szCs w:val="21"/>
                      <w:highlight w:val="none"/>
                      <w:lang w:val="en-US" w:eastAsia="zh-CN"/>
                    </w:rPr>
                    <w:t>207</w:t>
                  </w:r>
                </w:p>
              </w:tc>
              <w:tc>
                <w:tcPr>
                  <w:tcW w:w="1671" w:type="dxa"/>
                  <w:tcBorders>
                    <w:tl2br w:val="nil"/>
                    <w:tr2bl w:val="nil"/>
                  </w:tcBorders>
                  <w:noWrap/>
                  <w:vAlign w:val="center"/>
                </w:tcPr>
                <w:p w14:paraId="709A0BB8">
                  <w:pPr>
                    <w:pStyle w:val="94"/>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不均等拼宽</w:t>
                  </w:r>
                </w:p>
              </w:tc>
              <w:tc>
                <w:tcPr>
                  <w:tcW w:w="2713" w:type="dxa"/>
                  <w:tcBorders>
                    <w:tl2br w:val="nil"/>
                    <w:tr2bl w:val="nil"/>
                  </w:tcBorders>
                  <w:noWrap/>
                  <w:vAlign w:val="center"/>
                </w:tcPr>
                <w:p w14:paraId="4B4268BD">
                  <w:pPr>
                    <w:pStyle w:val="94"/>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两侧建筑、基本农田密集</w:t>
                  </w:r>
                </w:p>
              </w:tc>
            </w:tr>
            <w:tr w14:paraId="2749D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44" w:type="dxa"/>
                  <w:tcBorders>
                    <w:tl2br w:val="nil"/>
                    <w:tr2bl w:val="nil"/>
                  </w:tcBorders>
                  <w:shd w:val="clear" w:color="auto" w:fill="auto"/>
                  <w:noWrap/>
                  <w:vAlign w:val="center"/>
                </w:tcPr>
                <w:p w14:paraId="52E2EF68">
                  <w:pPr>
                    <w:pStyle w:val="94"/>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12</w:t>
                  </w:r>
                </w:p>
              </w:tc>
              <w:tc>
                <w:tcPr>
                  <w:tcW w:w="1364" w:type="dxa"/>
                  <w:tcBorders>
                    <w:tl2br w:val="nil"/>
                    <w:tr2bl w:val="nil"/>
                  </w:tcBorders>
                  <w:noWrap/>
                  <w:vAlign w:val="center"/>
                </w:tcPr>
                <w:p w14:paraId="2C3C7A49">
                  <w:pPr>
                    <w:pStyle w:val="94"/>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K27+</w:t>
                  </w:r>
                  <w:r>
                    <w:rPr>
                      <w:rFonts w:hint="eastAsia" w:cs="Times New Roman"/>
                      <w:sz w:val="21"/>
                      <w:szCs w:val="21"/>
                      <w:highlight w:val="none"/>
                      <w:lang w:val="en-US" w:eastAsia="zh-CN"/>
                    </w:rPr>
                    <w:t>465</w:t>
                  </w:r>
                </w:p>
              </w:tc>
              <w:tc>
                <w:tcPr>
                  <w:tcW w:w="1178" w:type="dxa"/>
                  <w:tcBorders>
                    <w:tl2br w:val="nil"/>
                    <w:tr2bl w:val="nil"/>
                  </w:tcBorders>
                  <w:noWrap/>
                  <w:vAlign w:val="center"/>
                </w:tcPr>
                <w:p w14:paraId="7CA98558">
                  <w:pPr>
                    <w:pStyle w:val="94"/>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K2</w:t>
                  </w:r>
                  <w:r>
                    <w:rPr>
                      <w:rFonts w:hint="eastAsia" w:cs="Times New Roman"/>
                      <w:sz w:val="21"/>
                      <w:szCs w:val="21"/>
                      <w:highlight w:val="none"/>
                      <w:lang w:val="en-US" w:eastAsia="zh-CN"/>
                    </w:rPr>
                    <w:t>7</w:t>
                  </w:r>
                  <w:r>
                    <w:rPr>
                      <w:rFonts w:hint="default" w:ascii="Times New Roman" w:hAnsi="Times New Roman" w:eastAsia="宋体" w:cs="Times New Roman"/>
                      <w:sz w:val="21"/>
                      <w:szCs w:val="21"/>
                      <w:highlight w:val="none"/>
                      <w:lang w:val="en-US" w:eastAsia="zh-CN"/>
                    </w:rPr>
                    <w:t>+</w:t>
                  </w:r>
                  <w:r>
                    <w:rPr>
                      <w:rFonts w:hint="eastAsia" w:cs="Times New Roman"/>
                      <w:sz w:val="21"/>
                      <w:szCs w:val="21"/>
                      <w:highlight w:val="none"/>
                      <w:lang w:val="en-US" w:eastAsia="zh-CN"/>
                    </w:rPr>
                    <w:t>766</w:t>
                  </w:r>
                </w:p>
              </w:tc>
              <w:tc>
                <w:tcPr>
                  <w:tcW w:w="925" w:type="dxa"/>
                  <w:tcBorders>
                    <w:tl2br w:val="nil"/>
                    <w:tr2bl w:val="nil"/>
                  </w:tcBorders>
                  <w:noWrap/>
                  <w:vAlign w:val="center"/>
                </w:tcPr>
                <w:p w14:paraId="5F33AB3F">
                  <w:pPr>
                    <w:pStyle w:val="94"/>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0.</w:t>
                  </w:r>
                  <w:r>
                    <w:rPr>
                      <w:rFonts w:hint="eastAsia" w:cs="Times New Roman"/>
                      <w:sz w:val="21"/>
                      <w:szCs w:val="21"/>
                      <w:highlight w:val="none"/>
                      <w:lang w:val="en-US" w:eastAsia="zh-CN"/>
                    </w:rPr>
                    <w:t>301</w:t>
                  </w:r>
                </w:p>
              </w:tc>
              <w:tc>
                <w:tcPr>
                  <w:tcW w:w="1671" w:type="dxa"/>
                  <w:tcBorders>
                    <w:tl2br w:val="nil"/>
                    <w:tr2bl w:val="nil"/>
                  </w:tcBorders>
                  <w:noWrap/>
                  <w:vAlign w:val="center"/>
                </w:tcPr>
                <w:p w14:paraId="34FB2092">
                  <w:pPr>
                    <w:pStyle w:val="94"/>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左侧拼宽</w:t>
                  </w:r>
                </w:p>
              </w:tc>
              <w:tc>
                <w:tcPr>
                  <w:tcW w:w="2713" w:type="dxa"/>
                  <w:tcBorders>
                    <w:tl2br w:val="nil"/>
                    <w:tr2bl w:val="nil"/>
                  </w:tcBorders>
                  <w:noWrap/>
                  <w:vAlign w:val="center"/>
                </w:tcPr>
                <w:p w14:paraId="0C475554">
                  <w:pPr>
                    <w:pStyle w:val="94"/>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右侧临近基本农田</w:t>
                  </w:r>
                </w:p>
              </w:tc>
            </w:tr>
            <w:tr w14:paraId="7852D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44" w:type="dxa"/>
                  <w:tcBorders>
                    <w:tl2br w:val="nil"/>
                    <w:tr2bl w:val="nil"/>
                  </w:tcBorders>
                  <w:shd w:val="clear" w:color="auto" w:fill="auto"/>
                  <w:noWrap/>
                  <w:vAlign w:val="center"/>
                </w:tcPr>
                <w:p w14:paraId="3C268E2C">
                  <w:pPr>
                    <w:pStyle w:val="94"/>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13</w:t>
                  </w:r>
                </w:p>
              </w:tc>
              <w:tc>
                <w:tcPr>
                  <w:tcW w:w="1364" w:type="dxa"/>
                  <w:tcBorders>
                    <w:tl2br w:val="nil"/>
                    <w:tr2bl w:val="nil"/>
                  </w:tcBorders>
                  <w:noWrap/>
                  <w:vAlign w:val="center"/>
                </w:tcPr>
                <w:p w14:paraId="49B59D10">
                  <w:pPr>
                    <w:pStyle w:val="94"/>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K2</w:t>
                  </w:r>
                  <w:r>
                    <w:rPr>
                      <w:rFonts w:hint="eastAsia" w:cs="Times New Roman"/>
                      <w:sz w:val="21"/>
                      <w:szCs w:val="21"/>
                      <w:highlight w:val="none"/>
                      <w:lang w:val="en-US" w:eastAsia="zh-CN"/>
                    </w:rPr>
                    <w:t>7</w:t>
                  </w:r>
                  <w:r>
                    <w:rPr>
                      <w:rFonts w:hint="default" w:ascii="Times New Roman" w:hAnsi="Times New Roman" w:eastAsia="宋体" w:cs="Times New Roman"/>
                      <w:sz w:val="21"/>
                      <w:szCs w:val="21"/>
                      <w:highlight w:val="none"/>
                      <w:lang w:val="en-US" w:eastAsia="zh-CN"/>
                    </w:rPr>
                    <w:t>+</w:t>
                  </w:r>
                  <w:r>
                    <w:rPr>
                      <w:rFonts w:hint="eastAsia" w:cs="Times New Roman"/>
                      <w:sz w:val="21"/>
                      <w:szCs w:val="21"/>
                      <w:highlight w:val="none"/>
                      <w:lang w:val="en-US" w:eastAsia="zh-CN"/>
                    </w:rPr>
                    <w:t>766</w:t>
                  </w:r>
                </w:p>
              </w:tc>
              <w:tc>
                <w:tcPr>
                  <w:tcW w:w="1178" w:type="dxa"/>
                  <w:tcBorders>
                    <w:tl2br w:val="nil"/>
                    <w:tr2bl w:val="nil"/>
                  </w:tcBorders>
                  <w:noWrap/>
                  <w:vAlign w:val="center"/>
                </w:tcPr>
                <w:p w14:paraId="0CE7A2CB">
                  <w:pPr>
                    <w:pStyle w:val="94"/>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K</w:t>
                  </w:r>
                  <w:r>
                    <w:rPr>
                      <w:rFonts w:hint="eastAsia" w:cs="Times New Roman"/>
                      <w:sz w:val="21"/>
                      <w:szCs w:val="21"/>
                      <w:highlight w:val="none"/>
                      <w:lang w:val="en-US" w:eastAsia="zh-CN"/>
                    </w:rPr>
                    <w:t>28</w:t>
                  </w:r>
                  <w:r>
                    <w:rPr>
                      <w:rFonts w:hint="default" w:ascii="Times New Roman" w:hAnsi="Times New Roman" w:eastAsia="宋体" w:cs="Times New Roman"/>
                      <w:sz w:val="21"/>
                      <w:szCs w:val="21"/>
                      <w:highlight w:val="none"/>
                      <w:lang w:val="en-US" w:eastAsia="zh-CN"/>
                    </w:rPr>
                    <w:t>+</w:t>
                  </w:r>
                  <w:r>
                    <w:rPr>
                      <w:rFonts w:hint="eastAsia" w:cs="Times New Roman"/>
                      <w:sz w:val="21"/>
                      <w:szCs w:val="21"/>
                      <w:highlight w:val="none"/>
                      <w:lang w:val="en-US" w:eastAsia="zh-CN"/>
                    </w:rPr>
                    <w:t>770</w:t>
                  </w:r>
                </w:p>
              </w:tc>
              <w:tc>
                <w:tcPr>
                  <w:tcW w:w="925" w:type="dxa"/>
                  <w:tcBorders>
                    <w:tl2br w:val="nil"/>
                    <w:tr2bl w:val="nil"/>
                  </w:tcBorders>
                  <w:noWrap/>
                  <w:vAlign w:val="center"/>
                </w:tcPr>
                <w:p w14:paraId="27D7B196">
                  <w:pPr>
                    <w:pStyle w:val="94"/>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1.004</w:t>
                  </w:r>
                </w:p>
              </w:tc>
              <w:tc>
                <w:tcPr>
                  <w:tcW w:w="1671" w:type="dxa"/>
                  <w:tcBorders>
                    <w:tl2br w:val="nil"/>
                    <w:tr2bl w:val="nil"/>
                  </w:tcBorders>
                  <w:noWrap/>
                  <w:vAlign w:val="center"/>
                </w:tcPr>
                <w:p w14:paraId="54B1B69B">
                  <w:pPr>
                    <w:pStyle w:val="94"/>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拼宽渐变段</w:t>
                  </w:r>
                </w:p>
              </w:tc>
              <w:tc>
                <w:tcPr>
                  <w:tcW w:w="2713" w:type="dxa"/>
                  <w:tcBorders>
                    <w:tl2br w:val="nil"/>
                    <w:tr2bl w:val="nil"/>
                  </w:tcBorders>
                  <w:noWrap/>
                  <w:vAlign w:val="center"/>
                </w:tcPr>
                <w:p w14:paraId="4DF05F4B">
                  <w:pPr>
                    <w:pStyle w:val="94"/>
                    <w:jc w:val="center"/>
                    <w:rPr>
                      <w:rFonts w:hint="default" w:ascii="Times New Roman" w:hAnsi="Times New Roman" w:eastAsia="宋体" w:cs="Times New Roman"/>
                      <w:sz w:val="21"/>
                      <w:szCs w:val="21"/>
                      <w:highlight w:val="none"/>
                      <w:lang w:val="en-US" w:eastAsia="zh-CN"/>
                    </w:rPr>
                  </w:pPr>
                </w:p>
              </w:tc>
            </w:tr>
            <w:tr w14:paraId="5A04B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44" w:type="dxa"/>
                  <w:tcBorders>
                    <w:tl2br w:val="nil"/>
                    <w:tr2bl w:val="nil"/>
                  </w:tcBorders>
                  <w:shd w:val="clear" w:color="auto" w:fill="auto"/>
                  <w:noWrap/>
                  <w:vAlign w:val="center"/>
                </w:tcPr>
                <w:p w14:paraId="7B0644D8">
                  <w:pPr>
                    <w:pStyle w:val="94"/>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14</w:t>
                  </w:r>
                </w:p>
              </w:tc>
              <w:tc>
                <w:tcPr>
                  <w:tcW w:w="1364" w:type="dxa"/>
                  <w:tcBorders>
                    <w:tl2br w:val="nil"/>
                    <w:tr2bl w:val="nil"/>
                  </w:tcBorders>
                  <w:noWrap/>
                  <w:vAlign w:val="center"/>
                </w:tcPr>
                <w:p w14:paraId="7E0C2891">
                  <w:pPr>
                    <w:pStyle w:val="94"/>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K</w:t>
                  </w:r>
                  <w:r>
                    <w:rPr>
                      <w:rFonts w:hint="eastAsia" w:cs="Times New Roman"/>
                      <w:sz w:val="21"/>
                      <w:szCs w:val="21"/>
                      <w:highlight w:val="none"/>
                      <w:lang w:val="en-US" w:eastAsia="zh-CN"/>
                    </w:rPr>
                    <w:t>28</w:t>
                  </w:r>
                  <w:r>
                    <w:rPr>
                      <w:rFonts w:hint="default" w:ascii="Times New Roman" w:hAnsi="Times New Roman" w:eastAsia="宋体" w:cs="Times New Roman"/>
                      <w:sz w:val="21"/>
                      <w:szCs w:val="21"/>
                      <w:highlight w:val="none"/>
                      <w:lang w:val="en-US" w:eastAsia="zh-CN"/>
                    </w:rPr>
                    <w:t>+</w:t>
                  </w:r>
                  <w:r>
                    <w:rPr>
                      <w:rFonts w:hint="eastAsia" w:cs="Times New Roman"/>
                      <w:sz w:val="21"/>
                      <w:szCs w:val="21"/>
                      <w:highlight w:val="none"/>
                      <w:lang w:val="en-US" w:eastAsia="zh-CN"/>
                    </w:rPr>
                    <w:t>770</w:t>
                  </w:r>
                </w:p>
              </w:tc>
              <w:tc>
                <w:tcPr>
                  <w:tcW w:w="1178" w:type="dxa"/>
                  <w:tcBorders>
                    <w:tl2br w:val="nil"/>
                    <w:tr2bl w:val="nil"/>
                  </w:tcBorders>
                  <w:noWrap/>
                  <w:vAlign w:val="center"/>
                </w:tcPr>
                <w:p w14:paraId="0E17DCFC">
                  <w:pPr>
                    <w:pStyle w:val="94"/>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K</w:t>
                  </w:r>
                  <w:r>
                    <w:rPr>
                      <w:rFonts w:hint="eastAsia" w:cs="Times New Roman"/>
                      <w:sz w:val="21"/>
                      <w:szCs w:val="21"/>
                      <w:highlight w:val="none"/>
                      <w:lang w:val="en-US" w:eastAsia="zh-CN"/>
                    </w:rPr>
                    <w:t>29</w:t>
                  </w:r>
                  <w:r>
                    <w:rPr>
                      <w:rFonts w:hint="default" w:ascii="Times New Roman" w:hAnsi="Times New Roman" w:eastAsia="宋体" w:cs="Times New Roman"/>
                      <w:sz w:val="21"/>
                      <w:szCs w:val="21"/>
                      <w:highlight w:val="none"/>
                      <w:lang w:val="en-US" w:eastAsia="zh-CN"/>
                    </w:rPr>
                    <w:t>+</w:t>
                  </w:r>
                  <w:r>
                    <w:rPr>
                      <w:rFonts w:hint="eastAsia" w:cs="Times New Roman"/>
                      <w:sz w:val="21"/>
                      <w:szCs w:val="21"/>
                      <w:highlight w:val="none"/>
                      <w:lang w:val="en-US" w:eastAsia="zh-CN"/>
                    </w:rPr>
                    <w:t>864</w:t>
                  </w:r>
                </w:p>
              </w:tc>
              <w:tc>
                <w:tcPr>
                  <w:tcW w:w="925" w:type="dxa"/>
                  <w:tcBorders>
                    <w:tl2br w:val="nil"/>
                    <w:tr2bl w:val="nil"/>
                  </w:tcBorders>
                  <w:noWrap/>
                  <w:vAlign w:val="center"/>
                </w:tcPr>
                <w:p w14:paraId="75B570BF">
                  <w:pPr>
                    <w:pStyle w:val="94"/>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1.094</w:t>
                  </w:r>
                </w:p>
              </w:tc>
              <w:tc>
                <w:tcPr>
                  <w:tcW w:w="1671" w:type="dxa"/>
                  <w:tcBorders>
                    <w:tl2br w:val="nil"/>
                    <w:tr2bl w:val="nil"/>
                  </w:tcBorders>
                  <w:noWrap/>
                  <w:vAlign w:val="center"/>
                </w:tcPr>
                <w:p w14:paraId="4BCB3FC7">
                  <w:pPr>
                    <w:pStyle w:val="94"/>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两</w:t>
                  </w:r>
                  <w:r>
                    <w:rPr>
                      <w:rFonts w:hint="default" w:ascii="Times New Roman" w:hAnsi="Times New Roman" w:eastAsia="宋体" w:cs="Times New Roman"/>
                      <w:sz w:val="21"/>
                      <w:szCs w:val="21"/>
                      <w:highlight w:val="none"/>
                      <w:lang w:val="en-US" w:eastAsia="zh-CN"/>
                    </w:rPr>
                    <w:t>侧拼宽</w:t>
                  </w:r>
                </w:p>
              </w:tc>
              <w:tc>
                <w:tcPr>
                  <w:tcW w:w="2713" w:type="dxa"/>
                  <w:tcBorders>
                    <w:tl2br w:val="nil"/>
                    <w:tr2bl w:val="nil"/>
                  </w:tcBorders>
                  <w:noWrap/>
                  <w:vAlign w:val="center"/>
                </w:tcPr>
                <w:p w14:paraId="2CFA0C45">
                  <w:pPr>
                    <w:pStyle w:val="94"/>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两侧建筑、基本农田密集</w:t>
                  </w:r>
                </w:p>
              </w:tc>
            </w:tr>
            <w:tr w14:paraId="64FB7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44" w:type="dxa"/>
                  <w:tcBorders>
                    <w:tl2br w:val="nil"/>
                    <w:tr2bl w:val="nil"/>
                  </w:tcBorders>
                  <w:shd w:val="clear" w:color="auto" w:fill="auto"/>
                  <w:noWrap/>
                  <w:vAlign w:val="center"/>
                </w:tcPr>
                <w:p w14:paraId="4C3ED72B">
                  <w:pPr>
                    <w:pStyle w:val="94"/>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15</w:t>
                  </w:r>
                </w:p>
              </w:tc>
              <w:tc>
                <w:tcPr>
                  <w:tcW w:w="1364" w:type="dxa"/>
                  <w:tcBorders>
                    <w:tl2br w:val="nil"/>
                    <w:tr2bl w:val="nil"/>
                  </w:tcBorders>
                  <w:noWrap/>
                  <w:vAlign w:val="center"/>
                </w:tcPr>
                <w:p w14:paraId="55EB9A7D">
                  <w:pPr>
                    <w:pStyle w:val="94"/>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K</w:t>
                  </w:r>
                  <w:r>
                    <w:rPr>
                      <w:rFonts w:hint="eastAsia" w:cs="Times New Roman"/>
                      <w:sz w:val="21"/>
                      <w:szCs w:val="21"/>
                      <w:highlight w:val="none"/>
                      <w:lang w:val="en-US" w:eastAsia="zh-CN"/>
                    </w:rPr>
                    <w:t>29</w:t>
                  </w:r>
                  <w:r>
                    <w:rPr>
                      <w:rFonts w:hint="default" w:ascii="Times New Roman" w:hAnsi="Times New Roman" w:eastAsia="宋体" w:cs="Times New Roman"/>
                      <w:sz w:val="21"/>
                      <w:szCs w:val="21"/>
                      <w:highlight w:val="none"/>
                      <w:lang w:val="en-US" w:eastAsia="zh-CN"/>
                    </w:rPr>
                    <w:t>+</w:t>
                  </w:r>
                  <w:r>
                    <w:rPr>
                      <w:rFonts w:hint="eastAsia" w:cs="Times New Roman"/>
                      <w:sz w:val="21"/>
                      <w:szCs w:val="21"/>
                      <w:highlight w:val="none"/>
                      <w:lang w:val="en-US" w:eastAsia="zh-CN"/>
                    </w:rPr>
                    <w:t>864</w:t>
                  </w:r>
                </w:p>
              </w:tc>
              <w:tc>
                <w:tcPr>
                  <w:tcW w:w="1178" w:type="dxa"/>
                  <w:tcBorders>
                    <w:tl2br w:val="nil"/>
                    <w:tr2bl w:val="nil"/>
                  </w:tcBorders>
                  <w:noWrap/>
                  <w:vAlign w:val="center"/>
                </w:tcPr>
                <w:p w14:paraId="25EBCF50">
                  <w:pPr>
                    <w:pStyle w:val="94"/>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K</w:t>
                  </w:r>
                  <w:r>
                    <w:rPr>
                      <w:rFonts w:hint="eastAsia" w:cs="Times New Roman"/>
                      <w:sz w:val="21"/>
                      <w:szCs w:val="21"/>
                      <w:highlight w:val="none"/>
                      <w:lang w:val="en-US" w:eastAsia="zh-CN"/>
                    </w:rPr>
                    <w:t>30</w:t>
                  </w:r>
                  <w:r>
                    <w:rPr>
                      <w:rFonts w:hint="default" w:ascii="Times New Roman" w:hAnsi="Times New Roman" w:eastAsia="宋体" w:cs="Times New Roman"/>
                      <w:sz w:val="21"/>
                      <w:szCs w:val="21"/>
                      <w:highlight w:val="none"/>
                      <w:lang w:val="en-US" w:eastAsia="zh-CN"/>
                    </w:rPr>
                    <w:t>+</w:t>
                  </w:r>
                  <w:r>
                    <w:rPr>
                      <w:rFonts w:hint="eastAsia" w:cs="Times New Roman"/>
                      <w:sz w:val="21"/>
                      <w:szCs w:val="21"/>
                      <w:highlight w:val="none"/>
                      <w:lang w:val="en-US" w:eastAsia="zh-CN"/>
                    </w:rPr>
                    <w:t>870</w:t>
                  </w:r>
                </w:p>
              </w:tc>
              <w:tc>
                <w:tcPr>
                  <w:tcW w:w="925" w:type="dxa"/>
                  <w:tcBorders>
                    <w:tl2br w:val="nil"/>
                    <w:tr2bl w:val="nil"/>
                  </w:tcBorders>
                  <w:noWrap/>
                  <w:vAlign w:val="center"/>
                </w:tcPr>
                <w:p w14:paraId="1B3A11AF">
                  <w:pPr>
                    <w:pStyle w:val="94"/>
                    <w:jc w:val="center"/>
                    <w:rPr>
                      <w:rFonts w:hint="default" w:cs="Times New Roman"/>
                      <w:sz w:val="21"/>
                      <w:szCs w:val="21"/>
                      <w:highlight w:val="none"/>
                      <w:lang w:val="en-US" w:eastAsia="zh-CN"/>
                    </w:rPr>
                  </w:pPr>
                  <w:r>
                    <w:rPr>
                      <w:rFonts w:hint="eastAsia" w:cs="Times New Roman"/>
                      <w:sz w:val="21"/>
                      <w:szCs w:val="21"/>
                      <w:highlight w:val="none"/>
                      <w:lang w:val="en-US" w:eastAsia="zh-CN"/>
                    </w:rPr>
                    <w:t>1.006</w:t>
                  </w:r>
                </w:p>
              </w:tc>
              <w:tc>
                <w:tcPr>
                  <w:tcW w:w="1671" w:type="dxa"/>
                  <w:tcBorders>
                    <w:tl2br w:val="nil"/>
                    <w:tr2bl w:val="nil"/>
                  </w:tcBorders>
                  <w:noWrap/>
                  <w:vAlign w:val="center"/>
                </w:tcPr>
                <w:p w14:paraId="7CB0BF65">
                  <w:pPr>
                    <w:pStyle w:val="94"/>
                    <w:jc w:val="center"/>
                    <w:rPr>
                      <w:rFonts w:hint="default" w:cs="Times New Roman"/>
                      <w:sz w:val="21"/>
                      <w:szCs w:val="21"/>
                      <w:highlight w:val="none"/>
                      <w:lang w:val="en-US" w:eastAsia="zh-CN"/>
                    </w:rPr>
                  </w:pPr>
                  <w:r>
                    <w:rPr>
                      <w:rFonts w:hint="eastAsia" w:cs="Times New Roman"/>
                      <w:sz w:val="21"/>
                      <w:szCs w:val="21"/>
                      <w:highlight w:val="none"/>
                      <w:lang w:val="en-US" w:eastAsia="zh-CN"/>
                    </w:rPr>
                    <w:t>拼宽渐变段</w:t>
                  </w:r>
                </w:p>
              </w:tc>
              <w:tc>
                <w:tcPr>
                  <w:tcW w:w="2713" w:type="dxa"/>
                  <w:tcBorders>
                    <w:tl2br w:val="nil"/>
                    <w:tr2bl w:val="nil"/>
                  </w:tcBorders>
                  <w:noWrap/>
                  <w:vAlign w:val="center"/>
                </w:tcPr>
                <w:p w14:paraId="53676ADB">
                  <w:pPr>
                    <w:pStyle w:val="94"/>
                    <w:jc w:val="center"/>
                    <w:rPr>
                      <w:rFonts w:hint="default" w:ascii="Times New Roman" w:hAnsi="Times New Roman" w:eastAsia="宋体" w:cs="Times New Roman"/>
                      <w:sz w:val="21"/>
                      <w:szCs w:val="21"/>
                      <w:highlight w:val="none"/>
                      <w:lang w:val="en-US" w:eastAsia="zh-CN"/>
                    </w:rPr>
                  </w:pPr>
                </w:p>
              </w:tc>
            </w:tr>
            <w:tr w14:paraId="5F3FC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44" w:type="dxa"/>
                  <w:tcBorders>
                    <w:tl2br w:val="nil"/>
                    <w:tr2bl w:val="nil"/>
                  </w:tcBorders>
                  <w:shd w:val="clear" w:color="auto" w:fill="auto"/>
                  <w:noWrap/>
                  <w:vAlign w:val="center"/>
                </w:tcPr>
                <w:p w14:paraId="79667E5E">
                  <w:pPr>
                    <w:pStyle w:val="94"/>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16</w:t>
                  </w:r>
                </w:p>
              </w:tc>
              <w:tc>
                <w:tcPr>
                  <w:tcW w:w="1364" w:type="dxa"/>
                  <w:tcBorders>
                    <w:tl2br w:val="nil"/>
                    <w:tr2bl w:val="nil"/>
                  </w:tcBorders>
                  <w:shd w:val="clear" w:color="auto" w:fill="auto"/>
                  <w:noWrap/>
                  <w:vAlign w:val="center"/>
                </w:tcPr>
                <w:p w14:paraId="77DAA3C8">
                  <w:pPr>
                    <w:pStyle w:val="94"/>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K</w:t>
                  </w:r>
                  <w:r>
                    <w:rPr>
                      <w:rFonts w:hint="eastAsia" w:cs="Times New Roman"/>
                      <w:sz w:val="21"/>
                      <w:szCs w:val="21"/>
                      <w:highlight w:val="none"/>
                      <w:lang w:val="en-US" w:eastAsia="zh-CN"/>
                    </w:rPr>
                    <w:t>30</w:t>
                  </w:r>
                  <w:r>
                    <w:rPr>
                      <w:rFonts w:hint="default" w:ascii="Times New Roman" w:hAnsi="Times New Roman" w:eastAsia="宋体" w:cs="Times New Roman"/>
                      <w:sz w:val="21"/>
                      <w:szCs w:val="21"/>
                      <w:highlight w:val="none"/>
                      <w:lang w:val="en-US" w:eastAsia="zh-CN"/>
                    </w:rPr>
                    <w:t>+</w:t>
                  </w:r>
                  <w:r>
                    <w:rPr>
                      <w:rFonts w:hint="eastAsia" w:cs="Times New Roman"/>
                      <w:sz w:val="21"/>
                      <w:szCs w:val="21"/>
                      <w:highlight w:val="none"/>
                      <w:lang w:val="en-US" w:eastAsia="zh-CN"/>
                    </w:rPr>
                    <w:t>870</w:t>
                  </w:r>
                </w:p>
              </w:tc>
              <w:tc>
                <w:tcPr>
                  <w:tcW w:w="1178" w:type="dxa"/>
                  <w:tcBorders>
                    <w:tl2br w:val="nil"/>
                    <w:tr2bl w:val="nil"/>
                  </w:tcBorders>
                  <w:shd w:val="clear" w:color="auto" w:fill="auto"/>
                  <w:noWrap/>
                  <w:vAlign w:val="center"/>
                </w:tcPr>
                <w:p w14:paraId="471F7AB3">
                  <w:pPr>
                    <w:pStyle w:val="94"/>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K</w:t>
                  </w:r>
                  <w:r>
                    <w:rPr>
                      <w:rFonts w:hint="eastAsia" w:cs="Times New Roman"/>
                      <w:sz w:val="21"/>
                      <w:szCs w:val="21"/>
                      <w:highlight w:val="none"/>
                      <w:lang w:val="en-US" w:eastAsia="zh-CN"/>
                    </w:rPr>
                    <w:t>31</w:t>
                  </w:r>
                  <w:r>
                    <w:rPr>
                      <w:rFonts w:hint="default" w:ascii="Times New Roman" w:hAnsi="Times New Roman" w:eastAsia="宋体" w:cs="Times New Roman"/>
                      <w:sz w:val="21"/>
                      <w:szCs w:val="21"/>
                      <w:highlight w:val="none"/>
                      <w:lang w:val="en-US" w:eastAsia="zh-CN"/>
                    </w:rPr>
                    <w:t>+</w:t>
                  </w:r>
                  <w:r>
                    <w:rPr>
                      <w:rFonts w:hint="eastAsia" w:cs="Times New Roman"/>
                      <w:sz w:val="21"/>
                      <w:szCs w:val="21"/>
                      <w:highlight w:val="none"/>
                      <w:lang w:val="en-US" w:eastAsia="zh-CN"/>
                    </w:rPr>
                    <w:t>933</w:t>
                  </w:r>
                </w:p>
              </w:tc>
              <w:tc>
                <w:tcPr>
                  <w:tcW w:w="925" w:type="dxa"/>
                  <w:tcBorders>
                    <w:tl2br w:val="nil"/>
                    <w:tr2bl w:val="nil"/>
                  </w:tcBorders>
                  <w:noWrap/>
                  <w:vAlign w:val="center"/>
                </w:tcPr>
                <w:p w14:paraId="25E49A31">
                  <w:pPr>
                    <w:pStyle w:val="94"/>
                    <w:jc w:val="center"/>
                    <w:rPr>
                      <w:rFonts w:hint="default" w:cs="Times New Roman"/>
                      <w:sz w:val="21"/>
                      <w:szCs w:val="21"/>
                      <w:highlight w:val="none"/>
                      <w:lang w:val="en-US" w:eastAsia="zh-CN"/>
                    </w:rPr>
                  </w:pPr>
                  <w:r>
                    <w:rPr>
                      <w:rFonts w:hint="eastAsia" w:cs="Times New Roman"/>
                      <w:sz w:val="21"/>
                      <w:szCs w:val="21"/>
                      <w:highlight w:val="none"/>
                      <w:lang w:val="en-US" w:eastAsia="zh-CN"/>
                    </w:rPr>
                    <w:t>1.062</w:t>
                  </w:r>
                </w:p>
              </w:tc>
              <w:tc>
                <w:tcPr>
                  <w:tcW w:w="1671" w:type="dxa"/>
                  <w:tcBorders>
                    <w:tl2br w:val="nil"/>
                    <w:tr2bl w:val="nil"/>
                  </w:tcBorders>
                  <w:noWrap/>
                  <w:vAlign w:val="center"/>
                </w:tcPr>
                <w:p w14:paraId="0F51F587">
                  <w:pPr>
                    <w:pStyle w:val="94"/>
                    <w:jc w:val="center"/>
                    <w:rPr>
                      <w:rFonts w:hint="default" w:cs="Times New Roman"/>
                      <w:sz w:val="21"/>
                      <w:szCs w:val="21"/>
                      <w:highlight w:val="none"/>
                      <w:lang w:val="en-US" w:eastAsia="zh-CN"/>
                    </w:rPr>
                  </w:pPr>
                  <w:r>
                    <w:rPr>
                      <w:rFonts w:hint="eastAsia" w:cs="Times New Roman"/>
                      <w:spacing w:val="-4"/>
                      <w:sz w:val="21"/>
                      <w:szCs w:val="21"/>
                      <w:highlight w:val="none"/>
                      <w:lang w:val="en-US" w:eastAsia="zh-CN"/>
                    </w:rPr>
                    <w:t>左侧不均等拼宽</w:t>
                  </w:r>
                </w:p>
              </w:tc>
              <w:tc>
                <w:tcPr>
                  <w:tcW w:w="2713" w:type="dxa"/>
                  <w:tcBorders>
                    <w:tl2br w:val="nil"/>
                    <w:tr2bl w:val="nil"/>
                  </w:tcBorders>
                  <w:noWrap/>
                  <w:vAlign w:val="center"/>
                </w:tcPr>
                <w:p w14:paraId="619C7C87">
                  <w:pPr>
                    <w:pStyle w:val="94"/>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利用部分路基</w:t>
                  </w:r>
                </w:p>
              </w:tc>
            </w:tr>
            <w:tr w14:paraId="79FAA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44" w:type="dxa"/>
                  <w:tcBorders>
                    <w:tl2br w:val="nil"/>
                    <w:tr2bl w:val="nil"/>
                  </w:tcBorders>
                  <w:shd w:val="clear" w:color="auto" w:fill="auto"/>
                  <w:noWrap/>
                  <w:vAlign w:val="center"/>
                </w:tcPr>
                <w:p w14:paraId="52817949">
                  <w:pPr>
                    <w:pStyle w:val="94"/>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17</w:t>
                  </w:r>
                </w:p>
              </w:tc>
              <w:tc>
                <w:tcPr>
                  <w:tcW w:w="1364" w:type="dxa"/>
                  <w:tcBorders>
                    <w:tl2br w:val="nil"/>
                    <w:tr2bl w:val="nil"/>
                  </w:tcBorders>
                  <w:noWrap/>
                  <w:vAlign w:val="center"/>
                </w:tcPr>
                <w:p w14:paraId="38C306D6">
                  <w:pPr>
                    <w:pStyle w:val="94"/>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K</w:t>
                  </w:r>
                  <w:r>
                    <w:rPr>
                      <w:rFonts w:hint="eastAsia" w:cs="Times New Roman"/>
                      <w:sz w:val="21"/>
                      <w:szCs w:val="21"/>
                      <w:highlight w:val="none"/>
                      <w:lang w:val="en-US" w:eastAsia="zh-CN"/>
                    </w:rPr>
                    <w:t>31</w:t>
                  </w:r>
                  <w:r>
                    <w:rPr>
                      <w:rFonts w:hint="default" w:ascii="Times New Roman" w:hAnsi="Times New Roman" w:eastAsia="宋体" w:cs="Times New Roman"/>
                      <w:sz w:val="21"/>
                      <w:szCs w:val="21"/>
                      <w:highlight w:val="none"/>
                      <w:lang w:val="en-US" w:eastAsia="zh-CN"/>
                    </w:rPr>
                    <w:t>+</w:t>
                  </w:r>
                  <w:r>
                    <w:rPr>
                      <w:rFonts w:hint="eastAsia" w:cs="Times New Roman"/>
                      <w:sz w:val="21"/>
                      <w:szCs w:val="21"/>
                      <w:highlight w:val="none"/>
                      <w:lang w:val="en-US" w:eastAsia="zh-CN"/>
                    </w:rPr>
                    <w:t>933</w:t>
                  </w:r>
                </w:p>
              </w:tc>
              <w:tc>
                <w:tcPr>
                  <w:tcW w:w="1178" w:type="dxa"/>
                  <w:tcBorders>
                    <w:tl2br w:val="nil"/>
                    <w:tr2bl w:val="nil"/>
                  </w:tcBorders>
                  <w:noWrap/>
                  <w:vAlign w:val="center"/>
                </w:tcPr>
                <w:p w14:paraId="0E7070EB">
                  <w:pPr>
                    <w:pStyle w:val="94"/>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K</w:t>
                  </w:r>
                  <w:r>
                    <w:rPr>
                      <w:rFonts w:hint="eastAsia" w:cs="Times New Roman"/>
                      <w:sz w:val="21"/>
                      <w:szCs w:val="21"/>
                      <w:highlight w:val="none"/>
                      <w:lang w:val="en-US" w:eastAsia="zh-CN"/>
                    </w:rPr>
                    <w:t>32</w:t>
                  </w:r>
                  <w:r>
                    <w:rPr>
                      <w:rFonts w:hint="default" w:ascii="Times New Roman" w:hAnsi="Times New Roman" w:eastAsia="宋体" w:cs="Times New Roman"/>
                      <w:sz w:val="21"/>
                      <w:szCs w:val="21"/>
                      <w:highlight w:val="none"/>
                      <w:lang w:val="en-US" w:eastAsia="zh-CN"/>
                    </w:rPr>
                    <w:t>+</w:t>
                  </w:r>
                  <w:r>
                    <w:rPr>
                      <w:rFonts w:hint="eastAsia" w:cs="Times New Roman"/>
                      <w:sz w:val="21"/>
                      <w:szCs w:val="21"/>
                      <w:highlight w:val="none"/>
                      <w:lang w:val="en-US" w:eastAsia="zh-CN"/>
                    </w:rPr>
                    <w:t>937</w:t>
                  </w:r>
                </w:p>
              </w:tc>
              <w:tc>
                <w:tcPr>
                  <w:tcW w:w="925" w:type="dxa"/>
                  <w:tcBorders>
                    <w:tl2br w:val="nil"/>
                    <w:tr2bl w:val="nil"/>
                  </w:tcBorders>
                  <w:noWrap/>
                  <w:vAlign w:val="center"/>
                </w:tcPr>
                <w:p w14:paraId="0288FA0B">
                  <w:pPr>
                    <w:pStyle w:val="94"/>
                    <w:jc w:val="center"/>
                    <w:rPr>
                      <w:rFonts w:hint="default" w:cs="Times New Roman"/>
                      <w:sz w:val="21"/>
                      <w:szCs w:val="21"/>
                      <w:highlight w:val="none"/>
                      <w:lang w:val="en-US" w:eastAsia="zh-CN"/>
                    </w:rPr>
                  </w:pPr>
                  <w:r>
                    <w:rPr>
                      <w:rFonts w:hint="eastAsia" w:cs="Times New Roman"/>
                      <w:sz w:val="21"/>
                      <w:szCs w:val="21"/>
                      <w:highlight w:val="none"/>
                      <w:lang w:val="en-US" w:eastAsia="zh-CN"/>
                    </w:rPr>
                    <w:t>1.004</w:t>
                  </w:r>
                </w:p>
              </w:tc>
              <w:tc>
                <w:tcPr>
                  <w:tcW w:w="1671" w:type="dxa"/>
                  <w:tcBorders>
                    <w:tl2br w:val="nil"/>
                    <w:tr2bl w:val="nil"/>
                  </w:tcBorders>
                  <w:noWrap/>
                  <w:vAlign w:val="center"/>
                </w:tcPr>
                <w:p w14:paraId="509341AD">
                  <w:pPr>
                    <w:pStyle w:val="94"/>
                    <w:jc w:val="center"/>
                    <w:rPr>
                      <w:rFonts w:hint="default" w:cs="Times New Roman"/>
                      <w:sz w:val="21"/>
                      <w:szCs w:val="21"/>
                      <w:highlight w:val="none"/>
                      <w:lang w:val="en-US" w:eastAsia="zh-CN"/>
                    </w:rPr>
                  </w:pPr>
                  <w:r>
                    <w:rPr>
                      <w:rFonts w:hint="eastAsia" w:cs="Times New Roman"/>
                      <w:sz w:val="21"/>
                      <w:szCs w:val="21"/>
                      <w:highlight w:val="none"/>
                      <w:lang w:val="en-US" w:eastAsia="zh-CN"/>
                    </w:rPr>
                    <w:t>拼宽渐变段</w:t>
                  </w:r>
                </w:p>
              </w:tc>
              <w:tc>
                <w:tcPr>
                  <w:tcW w:w="2713" w:type="dxa"/>
                  <w:tcBorders>
                    <w:tl2br w:val="nil"/>
                    <w:tr2bl w:val="nil"/>
                  </w:tcBorders>
                  <w:noWrap/>
                  <w:vAlign w:val="center"/>
                </w:tcPr>
                <w:p w14:paraId="310CB4AA">
                  <w:pPr>
                    <w:pStyle w:val="94"/>
                    <w:jc w:val="center"/>
                    <w:rPr>
                      <w:rFonts w:hint="default" w:ascii="Times New Roman" w:hAnsi="Times New Roman" w:eastAsia="宋体" w:cs="Times New Roman"/>
                      <w:sz w:val="21"/>
                      <w:szCs w:val="21"/>
                      <w:highlight w:val="none"/>
                      <w:lang w:val="en-US" w:eastAsia="zh-CN"/>
                    </w:rPr>
                  </w:pPr>
                </w:p>
              </w:tc>
            </w:tr>
            <w:tr w14:paraId="2C3A0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44" w:type="dxa"/>
                  <w:tcBorders>
                    <w:tl2br w:val="nil"/>
                    <w:tr2bl w:val="nil"/>
                  </w:tcBorders>
                  <w:shd w:val="clear" w:color="auto" w:fill="auto"/>
                  <w:noWrap/>
                  <w:vAlign w:val="center"/>
                </w:tcPr>
                <w:p w14:paraId="658209E1">
                  <w:pPr>
                    <w:pStyle w:val="94"/>
                    <w:jc w:val="center"/>
                    <w:rPr>
                      <w:rFonts w:hint="default"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18</w:t>
                  </w:r>
                </w:p>
              </w:tc>
              <w:tc>
                <w:tcPr>
                  <w:tcW w:w="1364" w:type="dxa"/>
                  <w:tcBorders>
                    <w:tl2br w:val="nil"/>
                    <w:tr2bl w:val="nil"/>
                  </w:tcBorders>
                  <w:shd w:val="clear" w:color="auto" w:fill="auto"/>
                  <w:noWrap/>
                  <w:vAlign w:val="center"/>
                </w:tcPr>
                <w:p w14:paraId="06BE6357">
                  <w:pPr>
                    <w:pStyle w:val="94"/>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K</w:t>
                  </w:r>
                  <w:r>
                    <w:rPr>
                      <w:rFonts w:hint="eastAsia" w:cs="Times New Roman"/>
                      <w:sz w:val="21"/>
                      <w:szCs w:val="21"/>
                      <w:highlight w:val="none"/>
                      <w:lang w:val="en-US" w:eastAsia="zh-CN"/>
                    </w:rPr>
                    <w:t>32</w:t>
                  </w:r>
                  <w:r>
                    <w:rPr>
                      <w:rFonts w:hint="default" w:ascii="Times New Roman" w:hAnsi="Times New Roman" w:eastAsia="宋体" w:cs="Times New Roman"/>
                      <w:sz w:val="21"/>
                      <w:szCs w:val="21"/>
                      <w:highlight w:val="none"/>
                      <w:lang w:val="en-US" w:eastAsia="zh-CN"/>
                    </w:rPr>
                    <w:t>+</w:t>
                  </w:r>
                  <w:r>
                    <w:rPr>
                      <w:rFonts w:hint="eastAsia" w:cs="Times New Roman"/>
                      <w:sz w:val="21"/>
                      <w:szCs w:val="21"/>
                      <w:highlight w:val="none"/>
                      <w:lang w:val="en-US" w:eastAsia="zh-CN"/>
                    </w:rPr>
                    <w:t>937</w:t>
                  </w:r>
                </w:p>
              </w:tc>
              <w:tc>
                <w:tcPr>
                  <w:tcW w:w="1178" w:type="dxa"/>
                  <w:tcBorders>
                    <w:tl2br w:val="nil"/>
                    <w:tr2bl w:val="nil"/>
                  </w:tcBorders>
                  <w:shd w:val="clear" w:color="auto" w:fill="auto"/>
                  <w:noWrap/>
                  <w:vAlign w:val="center"/>
                </w:tcPr>
                <w:p w14:paraId="77484CD9">
                  <w:pPr>
                    <w:pStyle w:val="94"/>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K</w:t>
                  </w:r>
                  <w:r>
                    <w:rPr>
                      <w:rFonts w:hint="eastAsia" w:cs="Times New Roman"/>
                      <w:sz w:val="21"/>
                      <w:szCs w:val="21"/>
                      <w:highlight w:val="none"/>
                      <w:lang w:val="en-US" w:eastAsia="zh-CN"/>
                    </w:rPr>
                    <w:t>34</w:t>
                  </w:r>
                  <w:r>
                    <w:rPr>
                      <w:rFonts w:hint="default" w:ascii="Times New Roman" w:hAnsi="Times New Roman" w:eastAsia="宋体" w:cs="Times New Roman"/>
                      <w:sz w:val="21"/>
                      <w:szCs w:val="21"/>
                      <w:highlight w:val="none"/>
                      <w:lang w:val="en-US" w:eastAsia="zh-CN"/>
                    </w:rPr>
                    <w:t>+</w:t>
                  </w:r>
                  <w:r>
                    <w:rPr>
                      <w:rFonts w:hint="eastAsia" w:cs="Times New Roman"/>
                      <w:sz w:val="21"/>
                      <w:szCs w:val="21"/>
                      <w:highlight w:val="none"/>
                      <w:lang w:val="en-US" w:eastAsia="zh-CN"/>
                    </w:rPr>
                    <w:t>445</w:t>
                  </w:r>
                </w:p>
              </w:tc>
              <w:tc>
                <w:tcPr>
                  <w:tcW w:w="925" w:type="dxa"/>
                  <w:tcBorders>
                    <w:tl2br w:val="nil"/>
                    <w:tr2bl w:val="nil"/>
                  </w:tcBorders>
                  <w:noWrap/>
                  <w:vAlign w:val="center"/>
                </w:tcPr>
                <w:p w14:paraId="2B35E575">
                  <w:pPr>
                    <w:pStyle w:val="94"/>
                    <w:jc w:val="center"/>
                    <w:rPr>
                      <w:rFonts w:hint="default" w:cs="Times New Roman"/>
                      <w:sz w:val="21"/>
                      <w:szCs w:val="21"/>
                      <w:highlight w:val="none"/>
                      <w:lang w:val="en-US" w:eastAsia="zh-CN"/>
                    </w:rPr>
                  </w:pPr>
                  <w:r>
                    <w:rPr>
                      <w:rFonts w:hint="eastAsia" w:cs="Times New Roman"/>
                      <w:sz w:val="21"/>
                      <w:szCs w:val="21"/>
                      <w:highlight w:val="none"/>
                      <w:lang w:val="en-US" w:eastAsia="zh-CN"/>
                    </w:rPr>
                    <w:t>1.508</w:t>
                  </w:r>
                </w:p>
              </w:tc>
              <w:tc>
                <w:tcPr>
                  <w:tcW w:w="1671" w:type="dxa"/>
                  <w:tcBorders>
                    <w:tl2br w:val="nil"/>
                    <w:tr2bl w:val="nil"/>
                  </w:tcBorders>
                  <w:noWrap/>
                  <w:vAlign w:val="center"/>
                </w:tcPr>
                <w:p w14:paraId="5D85F30B">
                  <w:pPr>
                    <w:pStyle w:val="94"/>
                    <w:jc w:val="center"/>
                    <w:rPr>
                      <w:rFonts w:hint="default" w:cs="Times New Roman"/>
                      <w:sz w:val="21"/>
                      <w:szCs w:val="21"/>
                      <w:highlight w:val="none"/>
                      <w:lang w:val="en-US" w:eastAsia="zh-CN"/>
                    </w:rPr>
                  </w:pPr>
                  <w:r>
                    <w:rPr>
                      <w:rFonts w:hint="eastAsia" w:cs="Times New Roman"/>
                      <w:spacing w:val="-2"/>
                      <w:sz w:val="21"/>
                      <w:szCs w:val="21"/>
                      <w:highlight w:val="none"/>
                      <w:lang w:val="en-US" w:eastAsia="zh-CN"/>
                    </w:rPr>
                    <w:t>右侧不均等拼宽</w:t>
                  </w:r>
                </w:p>
              </w:tc>
              <w:tc>
                <w:tcPr>
                  <w:tcW w:w="2713" w:type="dxa"/>
                  <w:tcBorders>
                    <w:tl2br w:val="nil"/>
                    <w:tr2bl w:val="nil"/>
                  </w:tcBorders>
                  <w:noWrap/>
                  <w:vAlign w:val="center"/>
                </w:tcPr>
                <w:p w14:paraId="0682C81A">
                  <w:pPr>
                    <w:pStyle w:val="94"/>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左侧110KV高压线</w:t>
                  </w:r>
                </w:p>
              </w:tc>
            </w:tr>
            <w:tr w14:paraId="7B12E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44" w:type="dxa"/>
                  <w:tcBorders>
                    <w:tl2br w:val="nil"/>
                    <w:tr2bl w:val="nil"/>
                  </w:tcBorders>
                  <w:noWrap/>
                  <w:vAlign w:val="center"/>
                </w:tcPr>
                <w:p w14:paraId="178830D8">
                  <w:pPr>
                    <w:pStyle w:val="94"/>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19</w:t>
                  </w:r>
                </w:p>
              </w:tc>
              <w:tc>
                <w:tcPr>
                  <w:tcW w:w="1364" w:type="dxa"/>
                  <w:tcBorders>
                    <w:tl2br w:val="nil"/>
                    <w:tr2bl w:val="nil"/>
                  </w:tcBorders>
                  <w:noWrap/>
                  <w:vAlign w:val="center"/>
                </w:tcPr>
                <w:p w14:paraId="14A26F3E">
                  <w:pPr>
                    <w:pStyle w:val="94"/>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K</w:t>
                  </w:r>
                  <w:r>
                    <w:rPr>
                      <w:rFonts w:hint="eastAsia" w:cs="Times New Roman"/>
                      <w:sz w:val="21"/>
                      <w:szCs w:val="21"/>
                      <w:highlight w:val="none"/>
                      <w:lang w:val="en-US" w:eastAsia="zh-CN"/>
                    </w:rPr>
                    <w:t>34</w:t>
                  </w:r>
                  <w:r>
                    <w:rPr>
                      <w:rFonts w:hint="default" w:ascii="Times New Roman" w:hAnsi="Times New Roman" w:eastAsia="宋体" w:cs="Times New Roman"/>
                      <w:sz w:val="21"/>
                      <w:szCs w:val="21"/>
                      <w:highlight w:val="none"/>
                      <w:lang w:val="en-US" w:eastAsia="zh-CN"/>
                    </w:rPr>
                    <w:t>+</w:t>
                  </w:r>
                  <w:r>
                    <w:rPr>
                      <w:rFonts w:hint="eastAsia" w:cs="Times New Roman"/>
                      <w:sz w:val="21"/>
                      <w:szCs w:val="21"/>
                      <w:highlight w:val="none"/>
                      <w:lang w:val="en-US" w:eastAsia="zh-CN"/>
                    </w:rPr>
                    <w:t>445</w:t>
                  </w:r>
                </w:p>
              </w:tc>
              <w:tc>
                <w:tcPr>
                  <w:tcW w:w="1178" w:type="dxa"/>
                  <w:tcBorders>
                    <w:tl2br w:val="nil"/>
                    <w:tr2bl w:val="nil"/>
                  </w:tcBorders>
                  <w:noWrap/>
                  <w:vAlign w:val="center"/>
                </w:tcPr>
                <w:p w14:paraId="6AA068C1">
                  <w:pPr>
                    <w:pStyle w:val="94"/>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K</w:t>
                  </w:r>
                  <w:r>
                    <w:rPr>
                      <w:rFonts w:hint="eastAsia" w:cs="Times New Roman"/>
                      <w:sz w:val="21"/>
                      <w:szCs w:val="21"/>
                      <w:highlight w:val="none"/>
                      <w:lang w:val="en-US" w:eastAsia="zh-CN"/>
                    </w:rPr>
                    <w:t>34</w:t>
                  </w:r>
                  <w:r>
                    <w:rPr>
                      <w:rFonts w:hint="default" w:ascii="Times New Roman" w:hAnsi="Times New Roman" w:eastAsia="宋体" w:cs="Times New Roman"/>
                      <w:sz w:val="21"/>
                      <w:szCs w:val="21"/>
                      <w:highlight w:val="none"/>
                      <w:lang w:val="en-US" w:eastAsia="zh-CN"/>
                    </w:rPr>
                    <w:t>+</w:t>
                  </w:r>
                  <w:r>
                    <w:rPr>
                      <w:rFonts w:hint="eastAsia" w:cs="Times New Roman"/>
                      <w:sz w:val="21"/>
                      <w:szCs w:val="21"/>
                      <w:highlight w:val="none"/>
                      <w:lang w:val="en-US" w:eastAsia="zh-CN"/>
                    </w:rPr>
                    <w:t>828</w:t>
                  </w:r>
                </w:p>
              </w:tc>
              <w:tc>
                <w:tcPr>
                  <w:tcW w:w="925" w:type="dxa"/>
                  <w:tcBorders>
                    <w:tl2br w:val="nil"/>
                    <w:tr2bl w:val="nil"/>
                  </w:tcBorders>
                  <w:noWrap/>
                  <w:vAlign w:val="center"/>
                </w:tcPr>
                <w:p w14:paraId="6D37FA0E">
                  <w:pPr>
                    <w:pStyle w:val="94"/>
                    <w:jc w:val="center"/>
                    <w:rPr>
                      <w:rFonts w:hint="default" w:cs="Times New Roman"/>
                      <w:sz w:val="21"/>
                      <w:szCs w:val="21"/>
                      <w:highlight w:val="none"/>
                      <w:lang w:val="en-US" w:eastAsia="zh-CN"/>
                    </w:rPr>
                  </w:pPr>
                  <w:r>
                    <w:rPr>
                      <w:rFonts w:hint="eastAsia" w:cs="Times New Roman"/>
                      <w:sz w:val="21"/>
                      <w:szCs w:val="21"/>
                      <w:highlight w:val="none"/>
                      <w:lang w:val="en-US" w:eastAsia="zh-CN"/>
                    </w:rPr>
                    <w:t>0.383</w:t>
                  </w:r>
                </w:p>
              </w:tc>
              <w:tc>
                <w:tcPr>
                  <w:tcW w:w="1671" w:type="dxa"/>
                  <w:tcBorders>
                    <w:tl2br w:val="nil"/>
                    <w:tr2bl w:val="nil"/>
                  </w:tcBorders>
                  <w:noWrap/>
                  <w:vAlign w:val="center"/>
                </w:tcPr>
                <w:p w14:paraId="14A19614">
                  <w:pPr>
                    <w:pStyle w:val="94"/>
                    <w:jc w:val="center"/>
                    <w:rPr>
                      <w:rFonts w:hint="default" w:cs="Times New Roman"/>
                      <w:sz w:val="21"/>
                      <w:szCs w:val="21"/>
                      <w:highlight w:val="none"/>
                      <w:lang w:val="en-US" w:eastAsia="zh-CN"/>
                    </w:rPr>
                  </w:pPr>
                  <w:r>
                    <w:rPr>
                      <w:rFonts w:hint="eastAsia" w:cs="Times New Roman"/>
                      <w:sz w:val="21"/>
                      <w:szCs w:val="21"/>
                      <w:highlight w:val="none"/>
                      <w:lang w:val="en-US" w:eastAsia="zh-CN"/>
                    </w:rPr>
                    <w:t>新建</w:t>
                  </w:r>
                </w:p>
              </w:tc>
              <w:tc>
                <w:tcPr>
                  <w:tcW w:w="2713" w:type="dxa"/>
                  <w:tcBorders>
                    <w:tl2br w:val="nil"/>
                    <w:tr2bl w:val="nil"/>
                  </w:tcBorders>
                  <w:noWrap/>
                  <w:vAlign w:val="center"/>
                </w:tcPr>
                <w:p w14:paraId="6B378DF5">
                  <w:pPr>
                    <w:pStyle w:val="94"/>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优化线位</w:t>
                  </w:r>
                </w:p>
              </w:tc>
            </w:tr>
            <w:tr w14:paraId="2F44C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44" w:type="dxa"/>
                  <w:tcBorders>
                    <w:tl2br w:val="nil"/>
                    <w:tr2bl w:val="nil"/>
                  </w:tcBorders>
                  <w:noWrap/>
                  <w:vAlign w:val="center"/>
                </w:tcPr>
                <w:p w14:paraId="7B4378A7">
                  <w:pPr>
                    <w:pStyle w:val="94"/>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20</w:t>
                  </w:r>
                </w:p>
              </w:tc>
              <w:tc>
                <w:tcPr>
                  <w:tcW w:w="1364" w:type="dxa"/>
                  <w:tcBorders>
                    <w:tl2br w:val="nil"/>
                    <w:tr2bl w:val="nil"/>
                  </w:tcBorders>
                  <w:noWrap/>
                  <w:vAlign w:val="center"/>
                </w:tcPr>
                <w:p w14:paraId="25287EC3">
                  <w:pPr>
                    <w:pStyle w:val="94"/>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K</w:t>
                  </w:r>
                  <w:r>
                    <w:rPr>
                      <w:rFonts w:hint="eastAsia" w:cs="Times New Roman"/>
                      <w:sz w:val="21"/>
                      <w:szCs w:val="21"/>
                      <w:highlight w:val="none"/>
                      <w:lang w:val="en-US" w:eastAsia="zh-CN"/>
                    </w:rPr>
                    <w:t>34</w:t>
                  </w:r>
                  <w:r>
                    <w:rPr>
                      <w:rFonts w:hint="default" w:ascii="Times New Roman" w:hAnsi="Times New Roman" w:eastAsia="宋体" w:cs="Times New Roman"/>
                      <w:sz w:val="21"/>
                      <w:szCs w:val="21"/>
                      <w:highlight w:val="none"/>
                      <w:lang w:val="en-US" w:eastAsia="zh-CN"/>
                    </w:rPr>
                    <w:t>+</w:t>
                  </w:r>
                  <w:r>
                    <w:rPr>
                      <w:rFonts w:hint="eastAsia" w:cs="Times New Roman"/>
                      <w:sz w:val="21"/>
                      <w:szCs w:val="21"/>
                      <w:highlight w:val="none"/>
                      <w:lang w:val="en-US" w:eastAsia="zh-CN"/>
                    </w:rPr>
                    <w:t>828</w:t>
                  </w:r>
                </w:p>
              </w:tc>
              <w:tc>
                <w:tcPr>
                  <w:tcW w:w="1178" w:type="dxa"/>
                  <w:tcBorders>
                    <w:tl2br w:val="nil"/>
                    <w:tr2bl w:val="nil"/>
                  </w:tcBorders>
                  <w:noWrap/>
                  <w:vAlign w:val="center"/>
                </w:tcPr>
                <w:p w14:paraId="4976842A">
                  <w:pPr>
                    <w:pStyle w:val="94"/>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K</w:t>
                  </w:r>
                  <w:r>
                    <w:rPr>
                      <w:rFonts w:hint="eastAsia" w:cs="Times New Roman"/>
                      <w:sz w:val="21"/>
                      <w:szCs w:val="21"/>
                      <w:highlight w:val="none"/>
                      <w:lang w:val="en-US" w:eastAsia="zh-CN"/>
                    </w:rPr>
                    <w:t>41</w:t>
                  </w:r>
                  <w:r>
                    <w:rPr>
                      <w:rFonts w:hint="default" w:ascii="Times New Roman" w:hAnsi="Times New Roman" w:eastAsia="宋体" w:cs="Times New Roman"/>
                      <w:sz w:val="21"/>
                      <w:szCs w:val="21"/>
                      <w:highlight w:val="none"/>
                      <w:lang w:val="en-US" w:eastAsia="zh-CN"/>
                    </w:rPr>
                    <w:t>+</w:t>
                  </w:r>
                  <w:r>
                    <w:rPr>
                      <w:rFonts w:hint="eastAsia" w:cs="Times New Roman"/>
                      <w:sz w:val="21"/>
                      <w:szCs w:val="21"/>
                      <w:highlight w:val="none"/>
                      <w:lang w:val="en-US" w:eastAsia="zh-CN"/>
                    </w:rPr>
                    <w:t>715</w:t>
                  </w:r>
                </w:p>
              </w:tc>
              <w:tc>
                <w:tcPr>
                  <w:tcW w:w="925" w:type="dxa"/>
                  <w:tcBorders>
                    <w:tl2br w:val="nil"/>
                    <w:tr2bl w:val="nil"/>
                  </w:tcBorders>
                  <w:noWrap/>
                  <w:vAlign w:val="center"/>
                </w:tcPr>
                <w:p w14:paraId="7E49428A">
                  <w:pPr>
                    <w:pStyle w:val="94"/>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6.887</w:t>
                  </w:r>
                </w:p>
              </w:tc>
              <w:tc>
                <w:tcPr>
                  <w:tcW w:w="1671" w:type="dxa"/>
                  <w:tcBorders>
                    <w:tl2br w:val="nil"/>
                    <w:tr2bl w:val="nil"/>
                  </w:tcBorders>
                  <w:noWrap/>
                  <w:vAlign w:val="center"/>
                </w:tcPr>
                <w:p w14:paraId="09698125">
                  <w:pPr>
                    <w:pStyle w:val="94"/>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双侧拼宽</w:t>
                  </w:r>
                </w:p>
              </w:tc>
              <w:tc>
                <w:tcPr>
                  <w:tcW w:w="2713" w:type="dxa"/>
                  <w:tcBorders>
                    <w:tl2br w:val="nil"/>
                    <w:tr2bl w:val="nil"/>
                  </w:tcBorders>
                  <w:noWrap/>
                  <w:vAlign w:val="center"/>
                </w:tcPr>
                <w:p w14:paraId="149C209D">
                  <w:pPr>
                    <w:pStyle w:val="94"/>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两侧基本农田分布密集</w:t>
                  </w:r>
                </w:p>
              </w:tc>
            </w:tr>
            <w:tr w14:paraId="40C8C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44" w:type="dxa"/>
                  <w:tcBorders>
                    <w:tl2br w:val="nil"/>
                    <w:tr2bl w:val="nil"/>
                  </w:tcBorders>
                  <w:noWrap/>
                  <w:vAlign w:val="center"/>
                </w:tcPr>
                <w:p w14:paraId="6C3777A9">
                  <w:pPr>
                    <w:pStyle w:val="94"/>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21</w:t>
                  </w:r>
                </w:p>
              </w:tc>
              <w:tc>
                <w:tcPr>
                  <w:tcW w:w="1364" w:type="dxa"/>
                  <w:tcBorders>
                    <w:tl2br w:val="nil"/>
                    <w:tr2bl w:val="nil"/>
                  </w:tcBorders>
                  <w:noWrap/>
                  <w:vAlign w:val="center"/>
                </w:tcPr>
                <w:p w14:paraId="6BA70DB1">
                  <w:pPr>
                    <w:pStyle w:val="94"/>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K</w:t>
                  </w:r>
                  <w:r>
                    <w:rPr>
                      <w:rFonts w:hint="eastAsia" w:cs="Times New Roman"/>
                      <w:sz w:val="21"/>
                      <w:szCs w:val="21"/>
                      <w:highlight w:val="none"/>
                      <w:lang w:val="en-US" w:eastAsia="zh-CN"/>
                    </w:rPr>
                    <w:t>41</w:t>
                  </w:r>
                  <w:r>
                    <w:rPr>
                      <w:rFonts w:hint="default" w:ascii="Times New Roman" w:hAnsi="Times New Roman" w:eastAsia="宋体" w:cs="Times New Roman"/>
                      <w:sz w:val="21"/>
                      <w:szCs w:val="21"/>
                      <w:highlight w:val="none"/>
                      <w:lang w:val="en-US" w:eastAsia="zh-CN"/>
                    </w:rPr>
                    <w:t>+</w:t>
                  </w:r>
                  <w:r>
                    <w:rPr>
                      <w:rFonts w:hint="eastAsia" w:cs="Times New Roman"/>
                      <w:sz w:val="21"/>
                      <w:szCs w:val="21"/>
                      <w:highlight w:val="none"/>
                      <w:lang w:val="en-US" w:eastAsia="zh-CN"/>
                    </w:rPr>
                    <w:t>715</w:t>
                  </w:r>
                </w:p>
              </w:tc>
              <w:tc>
                <w:tcPr>
                  <w:tcW w:w="1178" w:type="dxa"/>
                  <w:tcBorders>
                    <w:tl2br w:val="nil"/>
                    <w:tr2bl w:val="nil"/>
                  </w:tcBorders>
                  <w:noWrap/>
                  <w:vAlign w:val="center"/>
                </w:tcPr>
                <w:p w14:paraId="7D405A28">
                  <w:pPr>
                    <w:pStyle w:val="94"/>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K</w:t>
                  </w:r>
                  <w:r>
                    <w:rPr>
                      <w:rFonts w:hint="eastAsia" w:cs="Times New Roman"/>
                      <w:sz w:val="21"/>
                      <w:szCs w:val="21"/>
                      <w:highlight w:val="none"/>
                      <w:lang w:val="en-US" w:eastAsia="zh-CN"/>
                    </w:rPr>
                    <w:t>42</w:t>
                  </w:r>
                  <w:r>
                    <w:rPr>
                      <w:rFonts w:hint="default" w:ascii="Times New Roman" w:hAnsi="Times New Roman" w:eastAsia="宋体" w:cs="Times New Roman"/>
                      <w:sz w:val="21"/>
                      <w:szCs w:val="21"/>
                      <w:highlight w:val="none"/>
                      <w:lang w:val="en-US" w:eastAsia="zh-CN"/>
                    </w:rPr>
                    <w:t>+</w:t>
                  </w:r>
                  <w:r>
                    <w:rPr>
                      <w:rFonts w:hint="eastAsia" w:cs="Times New Roman"/>
                      <w:sz w:val="21"/>
                      <w:szCs w:val="21"/>
                      <w:highlight w:val="none"/>
                      <w:lang w:val="en-US" w:eastAsia="zh-CN"/>
                    </w:rPr>
                    <w:t>540</w:t>
                  </w:r>
                </w:p>
              </w:tc>
              <w:tc>
                <w:tcPr>
                  <w:tcW w:w="925" w:type="dxa"/>
                  <w:tcBorders>
                    <w:tl2br w:val="nil"/>
                    <w:tr2bl w:val="nil"/>
                  </w:tcBorders>
                  <w:noWrap/>
                  <w:vAlign w:val="center"/>
                </w:tcPr>
                <w:p w14:paraId="508F74EA">
                  <w:pPr>
                    <w:pStyle w:val="94"/>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0.825</w:t>
                  </w:r>
                </w:p>
              </w:tc>
              <w:tc>
                <w:tcPr>
                  <w:tcW w:w="1671" w:type="dxa"/>
                  <w:tcBorders>
                    <w:tl2br w:val="nil"/>
                    <w:tr2bl w:val="nil"/>
                  </w:tcBorders>
                  <w:noWrap/>
                  <w:vAlign w:val="center"/>
                </w:tcPr>
                <w:p w14:paraId="707AE27E">
                  <w:pPr>
                    <w:pStyle w:val="94"/>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拼宽渐变段</w:t>
                  </w:r>
                </w:p>
              </w:tc>
              <w:tc>
                <w:tcPr>
                  <w:tcW w:w="2713" w:type="dxa"/>
                  <w:tcBorders>
                    <w:tl2br w:val="nil"/>
                    <w:tr2bl w:val="nil"/>
                  </w:tcBorders>
                  <w:noWrap/>
                  <w:vAlign w:val="center"/>
                </w:tcPr>
                <w:p w14:paraId="3283D356">
                  <w:pPr>
                    <w:pStyle w:val="94"/>
                    <w:jc w:val="center"/>
                    <w:rPr>
                      <w:rFonts w:hint="default" w:ascii="Times New Roman" w:hAnsi="Times New Roman" w:eastAsia="宋体" w:cs="Times New Roman"/>
                      <w:sz w:val="21"/>
                      <w:szCs w:val="21"/>
                      <w:highlight w:val="none"/>
                      <w:lang w:val="en-US" w:eastAsia="zh-CN"/>
                    </w:rPr>
                  </w:pPr>
                </w:p>
              </w:tc>
            </w:tr>
            <w:tr w14:paraId="2D6DD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44" w:type="dxa"/>
                  <w:tcBorders>
                    <w:tl2br w:val="nil"/>
                    <w:tr2bl w:val="nil"/>
                  </w:tcBorders>
                  <w:noWrap/>
                  <w:vAlign w:val="center"/>
                </w:tcPr>
                <w:p w14:paraId="73E86CD5">
                  <w:pPr>
                    <w:pStyle w:val="94"/>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22</w:t>
                  </w:r>
                </w:p>
              </w:tc>
              <w:tc>
                <w:tcPr>
                  <w:tcW w:w="1364" w:type="dxa"/>
                  <w:tcBorders>
                    <w:tl2br w:val="nil"/>
                    <w:tr2bl w:val="nil"/>
                  </w:tcBorders>
                  <w:noWrap/>
                  <w:vAlign w:val="center"/>
                </w:tcPr>
                <w:p w14:paraId="2FBE11AD">
                  <w:pPr>
                    <w:pStyle w:val="94"/>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K</w:t>
                  </w:r>
                  <w:r>
                    <w:rPr>
                      <w:rFonts w:hint="eastAsia" w:cs="Times New Roman"/>
                      <w:sz w:val="21"/>
                      <w:szCs w:val="21"/>
                      <w:highlight w:val="none"/>
                      <w:lang w:val="en-US" w:eastAsia="zh-CN"/>
                    </w:rPr>
                    <w:t>42</w:t>
                  </w:r>
                  <w:r>
                    <w:rPr>
                      <w:rFonts w:hint="default" w:ascii="Times New Roman" w:hAnsi="Times New Roman" w:eastAsia="宋体" w:cs="Times New Roman"/>
                      <w:sz w:val="21"/>
                      <w:szCs w:val="21"/>
                      <w:highlight w:val="none"/>
                      <w:lang w:val="en-US" w:eastAsia="zh-CN"/>
                    </w:rPr>
                    <w:t>+</w:t>
                  </w:r>
                  <w:r>
                    <w:rPr>
                      <w:rFonts w:hint="eastAsia" w:cs="Times New Roman"/>
                      <w:sz w:val="21"/>
                      <w:szCs w:val="21"/>
                      <w:highlight w:val="none"/>
                      <w:lang w:val="en-US" w:eastAsia="zh-CN"/>
                    </w:rPr>
                    <w:t>540</w:t>
                  </w:r>
                </w:p>
              </w:tc>
              <w:tc>
                <w:tcPr>
                  <w:tcW w:w="1178" w:type="dxa"/>
                  <w:tcBorders>
                    <w:tl2br w:val="nil"/>
                    <w:tr2bl w:val="nil"/>
                  </w:tcBorders>
                  <w:noWrap/>
                  <w:vAlign w:val="center"/>
                </w:tcPr>
                <w:p w14:paraId="741FAECE">
                  <w:pPr>
                    <w:pStyle w:val="94"/>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K</w:t>
                  </w:r>
                  <w:r>
                    <w:rPr>
                      <w:rFonts w:hint="eastAsia" w:cs="Times New Roman"/>
                      <w:sz w:val="21"/>
                      <w:szCs w:val="21"/>
                      <w:highlight w:val="none"/>
                      <w:lang w:val="en-US" w:eastAsia="zh-CN"/>
                    </w:rPr>
                    <w:t>44</w:t>
                  </w:r>
                  <w:r>
                    <w:rPr>
                      <w:rFonts w:hint="default" w:ascii="Times New Roman" w:hAnsi="Times New Roman" w:eastAsia="宋体" w:cs="Times New Roman"/>
                      <w:sz w:val="21"/>
                      <w:szCs w:val="21"/>
                      <w:highlight w:val="none"/>
                      <w:lang w:val="en-US" w:eastAsia="zh-CN"/>
                    </w:rPr>
                    <w:t>+</w:t>
                  </w:r>
                  <w:r>
                    <w:rPr>
                      <w:rFonts w:hint="eastAsia" w:cs="Times New Roman"/>
                      <w:sz w:val="21"/>
                      <w:szCs w:val="21"/>
                      <w:highlight w:val="none"/>
                      <w:lang w:val="en-US" w:eastAsia="zh-CN"/>
                    </w:rPr>
                    <w:t>547</w:t>
                  </w:r>
                </w:p>
              </w:tc>
              <w:tc>
                <w:tcPr>
                  <w:tcW w:w="925" w:type="dxa"/>
                  <w:tcBorders>
                    <w:tl2br w:val="nil"/>
                    <w:tr2bl w:val="nil"/>
                  </w:tcBorders>
                  <w:noWrap/>
                  <w:vAlign w:val="center"/>
                </w:tcPr>
                <w:p w14:paraId="5791E137">
                  <w:pPr>
                    <w:pStyle w:val="94"/>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2.008</w:t>
                  </w:r>
                </w:p>
              </w:tc>
              <w:tc>
                <w:tcPr>
                  <w:tcW w:w="1671" w:type="dxa"/>
                  <w:tcBorders>
                    <w:tl2br w:val="nil"/>
                    <w:tr2bl w:val="nil"/>
                  </w:tcBorders>
                  <w:noWrap/>
                  <w:vAlign w:val="center"/>
                </w:tcPr>
                <w:p w14:paraId="409FDB14">
                  <w:pPr>
                    <w:pStyle w:val="94"/>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左侧拼宽</w:t>
                  </w:r>
                </w:p>
              </w:tc>
              <w:tc>
                <w:tcPr>
                  <w:tcW w:w="2713" w:type="dxa"/>
                  <w:tcBorders>
                    <w:tl2br w:val="nil"/>
                    <w:tr2bl w:val="nil"/>
                  </w:tcBorders>
                  <w:noWrap/>
                  <w:vAlign w:val="center"/>
                </w:tcPr>
                <w:p w14:paraId="1048CB73">
                  <w:pPr>
                    <w:pStyle w:val="94"/>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右侧基本农田</w:t>
                  </w:r>
                </w:p>
              </w:tc>
            </w:tr>
            <w:tr w14:paraId="3FC21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44" w:type="dxa"/>
                  <w:tcBorders>
                    <w:tl2br w:val="nil"/>
                    <w:tr2bl w:val="nil"/>
                  </w:tcBorders>
                  <w:noWrap/>
                  <w:vAlign w:val="center"/>
                </w:tcPr>
                <w:p w14:paraId="7CAF5A6C">
                  <w:pPr>
                    <w:pStyle w:val="94"/>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23</w:t>
                  </w:r>
                </w:p>
              </w:tc>
              <w:tc>
                <w:tcPr>
                  <w:tcW w:w="1364" w:type="dxa"/>
                  <w:tcBorders>
                    <w:tl2br w:val="nil"/>
                    <w:tr2bl w:val="nil"/>
                  </w:tcBorders>
                  <w:noWrap/>
                  <w:vAlign w:val="center"/>
                </w:tcPr>
                <w:p w14:paraId="3B0989AE">
                  <w:pPr>
                    <w:pStyle w:val="94"/>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K</w:t>
                  </w:r>
                  <w:r>
                    <w:rPr>
                      <w:rFonts w:hint="eastAsia" w:cs="Times New Roman"/>
                      <w:sz w:val="21"/>
                      <w:szCs w:val="21"/>
                      <w:highlight w:val="none"/>
                      <w:lang w:val="en-US" w:eastAsia="zh-CN"/>
                    </w:rPr>
                    <w:t>44</w:t>
                  </w:r>
                  <w:r>
                    <w:rPr>
                      <w:rFonts w:hint="default" w:ascii="Times New Roman" w:hAnsi="Times New Roman" w:eastAsia="宋体" w:cs="Times New Roman"/>
                      <w:sz w:val="21"/>
                      <w:szCs w:val="21"/>
                      <w:highlight w:val="none"/>
                      <w:lang w:val="en-US" w:eastAsia="zh-CN"/>
                    </w:rPr>
                    <w:t>+</w:t>
                  </w:r>
                  <w:r>
                    <w:rPr>
                      <w:rFonts w:hint="eastAsia" w:cs="Times New Roman"/>
                      <w:sz w:val="21"/>
                      <w:szCs w:val="21"/>
                      <w:highlight w:val="none"/>
                      <w:lang w:val="en-US" w:eastAsia="zh-CN"/>
                    </w:rPr>
                    <w:t>547</w:t>
                  </w:r>
                </w:p>
              </w:tc>
              <w:tc>
                <w:tcPr>
                  <w:tcW w:w="1178" w:type="dxa"/>
                  <w:tcBorders>
                    <w:tl2br w:val="nil"/>
                    <w:tr2bl w:val="nil"/>
                  </w:tcBorders>
                  <w:noWrap/>
                  <w:vAlign w:val="center"/>
                </w:tcPr>
                <w:p w14:paraId="0206484E">
                  <w:pPr>
                    <w:pStyle w:val="94"/>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K</w:t>
                  </w:r>
                  <w:r>
                    <w:rPr>
                      <w:rFonts w:hint="eastAsia" w:cs="Times New Roman"/>
                      <w:sz w:val="21"/>
                      <w:szCs w:val="21"/>
                      <w:highlight w:val="none"/>
                      <w:lang w:val="en-US" w:eastAsia="zh-CN"/>
                    </w:rPr>
                    <w:t>44</w:t>
                  </w:r>
                  <w:r>
                    <w:rPr>
                      <w:rFonts w:hint="default" w:ascii="Times New Roman" w:hAnsi="Times New Roman" w:eastAsia="宋体" w:cs="Times New Roman"/>
                      <w:sz w:val="21"/>
                      <w:szCs w:val="21"/>
                      <w:highlight w:val="none"/>
                      <w:lang w:val="en-US" w:eastAsia="zh-CN"/>
                    </w:rPr>
                    <w:t>+</w:t>
                  </w:r>
                  <w:r>
                    <w:rPr>
                      <w:rFonts w:hint="eastAsia" w:cs="Times New Roman"/>
                      <w:sz w:val="21"/>
                      <w:szCs w:val="21"/>
                      <w:highlight w:val="none"/>
                      <w:lang w:val="en-US" w:eastAsia="zh-CN"/>
                    </w:rPr>
                    <w:t>900</w:t>
                  </w:r>
                </w:p>
              </w:tc>
              <w:tc>
                <w:tcPr>
                  <w:tcW w:w="925" w:type="dxa"/>
                  <w:tcBorders>
                    <w:tl2br w:val="nil"/>
                    <w:tr2bl w:val="nil"/>
                  </w:tcBorders>
                  <w:noWrap/>
                  <w:vAlign w:val="center"/>
                </w:tcPr>
                <w:p w14:paraId="27B14E16">
                  <w:pPr>
                    <w:pStyle w:val="94"/>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0.353</w:t>
                  </w:r>
                </w:p>
              </w:tc>
              <w:tc>
                <w:tcPr>
                  <w:tcW w:w="1671" w:type="dxa"/>
                  <w:tcBorders>
                    <w:tl2br w:val="nil"/>
                    <w:tr2bl w:val="nil"/>
                  </w:tcBorders>
                  <w:noWrap/>
                  <w:vAlign w:val="center"/>
                </w:tcPr>
                <w:p w14:paraId="6D6C05E3">
                  <w:pPr>
                    <w:pStyle w:val="94"/>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拼宽渐变段</w:t>
                  </w:r>
                </w:p>
              </w:tc>
              <w:tc>
                <w:tcPr>
                  <w:tcW w:w="2713" w:type="dxa"/>
                  <w:tcBorders>
                    <w:tl2br w:val="nil"/>
                    <w:tr2bl w:val="nil"/>
                  </w:tcBorders>
                  <w:noWrap/>
                  <w:vAlign w:val="center"/>
                </w:tcPr>
                <w:p w14:paraId="007FE776">
                  <w:pPr>
                    <w:pStyle w:val="94"/>
                    <w:jc w:val="center"/>
                    <w:rPr>
                      <w:rFonts w:hint="default" w:ascii="Times New Roman" w:hAnsi="Times New Roman" w:eastAsia="宋体" w:cs="Times New Roman"/>
                      <w:sz w:val="21"/>
                      <w:szCs w:val="21"/>
                      <w:highlight w:val="none"/>
                      <w:lang w:val="en-US" w:eastAsia="zh-CN"/>
                    </w:rPr>
                  </w:pPr>
                </w:p>
              </w:tc>
            </w:tr>
            <w:tr w14:paraId="59DA3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44" w:type="dxa"/>
                  <w:tcBorders>
                    <w:tl2br w:val="nil"/>
                    <w:tr2bl w:val="nil"/>
                  </w:tcBorders>
                  <w:noWrap/>
                  <w:vAlign w:val="center"/>
                </w:tcPr>
                <w:p w14:paraId="68871D19">
                  <w:pPr>
                    <w:pStyle w:val="94"/>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24</w:t>
                  </w:r>
                </w:p>
              </w:tc>
              <w:tc>
                <w:tcPr>
                  <w:tcW w:w="1364" w:type="dxa"/>
                  <w:tcBorders>
                    <w:tl2br w:val="nil"/>
                    <w:tr2bl w:val="nil"/>
                  </w:tcBorders>
                  <w:noWrap/>
                  <w:vAlign w:val="center"/>
                </w:tcPr>
                <w:p w14:paraId="62EA43C3">
                  <w:pPr>
                    <w:pStyle w:val="94"/>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K</w:t>
                  </w:r>
                  <w:r>
                    <w:rPr>
                      <w:rFonts w:hint="eastAsia" w:cs="Times New Roman"/>
                      <w:sz w:val="21"/>
                      <w:szCs w:val="21"/>
                      <w:highlight w:val="none"/>
                      <w:lang w:val="en-US" w:eastAsia="zh-CN"/>
                    </w:rPr>
                    <w:t>44</w:t>
                  </w:r>
                  <w:r>
                    <w:rPr>
                      <w:rFonts w:hint="default" w:ascii="Times New Roman" w:hAnsi="Times New Roman" w:eastAsia="宋体" w:cs="Times New Roman"/>
                      <w:sz w:val="21"/>
                      <w:szCs w:val="21"/>
                      <w:highlight w:val="none"/>
                      <w:lang w:val="en-US" w:eastAsia="zh-CN"/>
                    </w:rPr>
                    <w:t>+</w:t>
                  </w:r>
                  <w:r>
                    <w:rPr>
                      <w:rFonts w:hint="eastAsia" w:cs="Times New Roman"/>
                      <w:sz w:val="21"/>
                      <w:szCs w:val="21"/>
                      <w:highlight w:val="none"/>
                      <w:lang w:val="en-US" w:eastAsia="zh-CN"/>
                    </w:rPr>
                    <w:t>900</w:t>
                  </w:r>
                </w:p>
              </w:tc>
              <w:tc>
                <w:tcPr>
                  <w:tcW w:w="1178" w:type="dxa"/>
                  <w:tcBorders>
                    <w:tl2br w:val="nil"/>
                    <w:tr2bl w:val="nil"/>
                  </w:tcBorders>
                  <w:noWrap/>
                  <w:vAlign w:val="center"/>
                </w:tcPr>
                <w:p w14:paraId="59553E5D">
                  <w:pPr>
                    <w:pStyle w:val="94"/>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K</w:t>
                  </w:r>
                  <w:r>
                    <w:rPr>
                      <w:rFonts w:hint="eastAsia" w:cs="Times New Roman"/>
                      <w:sz w:val="21"/>
                      <w:szCs w:val="21"/>
                      <w:highlight w:val="none"/>
                      <w:lang w:val="en-US" w:eastAsia="zh-CN"/>
                    </w:rPr>
                    <w:t>54</w:t>
                  </w:r>
                  <w:r>
                    <w:rPr>
                      <w:rFonts w:hint="default" w:ascii="Times New Roman" w:hAnsi="Times New Roman" w:eastAsia="宋体" w:cs="Times New Roman"/>
                      <w:sz w:val="21"/>
                      <w:szCs w:val="21"/>
                      <w:highlight w:val="none"/>
                      <w:lang w:val="en-US" w:eastAsia="zh-CN"/>
                    </w:rPr>
                    <w:t>+</w:t>
                  </w:r>
                  <w:r>
                    <w:rPr>
                      <w:rFonts w:hint="eastAsia" w:cs="Times New Roman"/>
                      <w:sz w:val="21"/>
                      <w:szCs w:val="21"/>
                      <w:highlight w:val="none"/>
                      <w:lang w:val="en-US" w:eastAsia="zh-CN"/>
                    </w:rPr>
                    <w:t>600</w:t>
                  </w:r>
                </w:p>
              </w:tc>
              <w:tc>
                <w:tcPr>
                  <w:tcW w:w="925" w:type="dxa"/>
                  <w:tcBorders>
                    <w:tl2br w:val="nil"/>
                    <w:tr2bl w:val="nil"/>
                  </w:tcBorders>
                  <w:noWrap/>
                  <w:vAlign w:val="center"/>
                </w:tcPr>
                <w:p w14:paraId="427A424F">
                  <w:pPr>
                    <w:pStyle w:val="94"/>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9.700</w:t>
                  </w:r>
                </w:p>
              </w:tc>
              <w:tc>
                <w:tcPr>
                  <w:tcW w:w="1671" w:type="dxa"/>
                  <w:tcBorders>
                    <w:tl2br w:val="nil"/>
                    <w:tr2bl w:val="nil"/>
                  </w:tcBorders>
                  <w:noWrap/>
                  <w:vAlign w:val="center"/>
                </w:tcPr>
                <w:p w14:paraId="0D65E3A4">
                  <w:pPr>
                    <w:pStyle w:val="94"/>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双侧拼宽</w:t>
                  </w:r>
                </w:p>
              </w:tc>
              <w:tc>
                <w:tcPr>
                  <w:tcW w:w="2713" w:type="dxa"/>
                  <w:tcBorders>
                    <w:tl2br w:val="nil"/>
                    <w:tr2bl w:val="nil"/>
                  </w:tcBorders>
                  <w:noWrap/>
                  <w:vAlign w:val="center"/>
                </w:tcPr>
                <w:p w14:paraId="2D1FDA5A">
                  <w:pPr>
                    <w:pStyle w:val="94"/>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两侧基本农田分布密</w:t>
                  </w:r>
                  <w:r>
                    <w:rPr>
                      <w:rFonts w:hint="eastAsia" w:cs="Times New Roman"/>
                      <w:sz w:val="21"/>
                      <w:szCs w:val="21"/>
                      <w:highlight w:val="none"/>
                      <w:lang w:val="en-US" w:eastAsia="zh-CN"/>
                    </w:rPr>
                    <w:t>集</w:t>
                  </w:r>
                </w:p>
              </w:tc>
            </w:tr>
            <w:tr w14:paraId="44D8A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44" w:type="dxa"/>
                  <w:tcBorders>
                    <w:tl2br w:val="nil"/>
                    <w:tr2bl w:val="nil"/>
                  </w:tcBorders>
                  <w:noWrap/>
                  <w:vAlign w:val="center"/>
                </w:tcPr>
                <w:p w14:paraId="16CD745A">
                  <w:pPr>
                    <w:pStyle w:val="94"/>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25</w:t>
                  </w:r>
                </w:p>
              </w:tc>
              <w:tc>
                <w:tcPr>
                  <w:tcW w:w="1364" w:type="dxa"/>
                  <w:tcBorders>
                    <w:tl2br w:val="nil"/>
                    <w:tr2bl w:val="nil"/>
                  </w:tcBorders>
                  <w:shd w:val="clear" w:color="auto" w:fill="auto"/>
                  <w:noWrap/>
                  <w:vAlign w:val="center"/>
                </w:tcPr>
                <w:p w14:paraId="314FACF4">
                  <w:pPr>
                    <w:pStyle w:val="94"/>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K</w:t>
                  </w:r>
                  <w:r>
                    <w:rPr>
                      <w:rFonts w:hint="eastAsia" w:cs="Times New Roman"/>
                      <w:sz w:val="21"/>
                      <w:szCs w:val="21"/>
                      <w:highlight w:val="none"/>
                      <w:lang w:val="en-US" w:eastAsia="zh-CN"/>
                    </w:rPr>
                    <w:t>54</w:t>
                  </w:r>
                  <w:r>
                    <w:rPr>
                      <w:rFonts w:hint="default" w:ascii="Times New Roman" w:hAnsi="Times New Roman" w:eastAsia="宋体" w:cs="Times New Roman"/>
                      <w:sz w:val="21"/>
                      <w:szCs w:val="21"/>
                      <w:highlight w:val="none"/>
                      <w:lang w:val="en-US" w:eastAsia="zh-CN"/>
                    </w:rPr>
                    <w:t>+</w:t>
                  </w:r>
                  <w:r>
                    <w:rPr>
                      <w:rFonts w:hint="eastAsia" w:cs="Times New Roman"/>
                      <w:sz w:val="21"/>
                      <w:szCs w:val="21"/>
                      <w:highlight w:val="none"/>
                      <w:lang w:val="en-US" w:eastAsia="zh-CN"/>
                    </w:rPr>
                    <w:t>600</w:t>
                  </w:r>
                </w:p>
              </w:tc>
              <w:tc>
                <w:tcPr>
                  <w:tcW w:w="1178" w:type="dxa"/>
                  <w:tcBorders>
                    <w:tl2br w:val="nil"/>
                    <w:tr2bl w:val="nil"/>
                  </w:tcBorders>
                  <w:shd w:val="clear" w:color="auto" w:fill="auto"/>
                  <w:noWrap/>
                  <w:vAlign w:val="center"/>
                </w:tcPr>
                <w:p w14:paraId="7C18107E">
                  <w:pPr>
                    <w:pStyle w:val="94"/>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K</w:t>
                  </w:r>
                  <w:r>
                    <w:rPr>
                      <w:rFonts w:hint="eastAsia" w:cs="Times New Roman"/>
                      <w:sz w:val="21"/>
                      <w:szCs w:val="21"/>
                      <w:highlight w:val="none"/>
                      <w:lang w:val="en-US" w:eastAsia="zh-CN"/>
                    </w:rPr>
                    <w:t>57</w:t>
                  </w:r>
                  <w:r>
                    <w:rPr>
                      <w:rFonts w:hint="default" w:ascii="Times New Roman" w:hAnsi="Times New Roman" w:eastAsia="宋体" w:cs="Times New Roman"/>
                      <w:sz w:val="21"/>
                      <w:szCs w:val="21"/>
                      <w:highlight w:val="none"/>
                      <w:lang w:val="en-US" w:eastAsia="zh-CN"/>
                    </w:rPr>
                    <w:t>+</w:t>
                  </w:r>
                  <w:r>
                    <w:rPr>
                      <w:rFonts w:hint="eastAsia" w:cs="Times New Roman"/>
                      <w:sz w:val="21"/>
                      <w:szCs w:val="21"/>
                      <w:highlight w:val="none"/>
                      <w:lang w:val="en-US" w:eastAsia="zh-CN"/>
                    </w:rPr>
                    <w:t>400</w:t>
                  </w:r>
                </w:p>
              </w:tc>
              <w:tc>
                <w:tcPr>
                  <w:tcW w:w="925" w:type="dxa"/>
                  <w:tcBorders>
                    <w:tl2br w:val="nil"/>
                    <w:tr2bl w:val="nil"/>
                  </w:tcBorders>
                  <w:noWrap/>
                  <w:vAlign w:val="center"/>
                </w:tcPr>
                <w:p w14:paraId="304F2E63">
                  <w:pPr>
                    <w:pStyle w:val="94"/>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2.800</w:t>
                  </w:r>
                </w:p>
              </w:tc>
              <w:tc>
                <w:tcPr>
                  <w:tcW w:w="1671" w:type="dxa"/>
                  <w:tcBorders>
                    <w:tl2br w:val="nil"/>
                    <w:tr2bl w:val="nil"/>
                  </w:tcBorders>
                  <w:noWrap/>
                  <w:vAlign w:val="center"/>
                </w:tcPr>
                <w:p w14:paraId="31C9B135">
                  <w:pPr>
                    <w:pStyle w:val="94"/>
                    <w:jc w:val="center"/>
                    <w:rPr>
                      <w:rFonts w:hint="default" w:ascii="Times New Roman" w:hAnsi="Times New Roman" w:eastAsia="宋体" w:cs="Times New Roman"/>
                      <w:sz w:val="21"/>
                      <w:szCs w:val="21"/>
                      <w:highlight w:val="none"/>
                      <w:lang w:val="en-US" w:eastAsia="zh-CN"/>
                    </w:rPr>
                  </w:pPr>
                  <w:r>
                    <w:rPr>
                      <w:rFonts w:hint="eastAsia" w:cs="Times New Roman"/>
                      <w:spacing w:val="-2"/>
                      <w:sz w:val="21"/>
                      <w:szCs w:val="21"/>
                      <w:highlight w:val="none"/>
                      <w:lang w:val="en-US" w:eastAsia="zh-CN"/>
                    </w:rPr>
                    <w:t>新建左侧分离式</w:t>
                  </w:r>
                </w:p>
              </w:tc>
              <w:tc>
                <w:tcPr>
                  <w:tcW w:w="2713" w:type="dxa"/>
                  <w:tcBorders>
                    <w:tl2br w:val="nil"/>
                    <w:tr2bl w:val="nil"/>
                  </w:tcBorders>
                  <w:noWrap/>
                  <w:vAlign w:val="center"/>
                </w:tcPr>
                <w:p w14:paraId="12BC92A1">
                  <w:pPr>
                    <w:pStyle w:val="94"/>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上跨S16 麦喀高速段</w:t>
                  </w:r>
                </w:p>
              </w:tc>
            </w:tr>
            <w:tr w14:paraId="3CDC0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44" w:type="dxa"/>
                  <w:tcBorders>
                    <w:tl2br w:val="nil"/>
                    <w:tr2bl w:val="nil"/>
                  </w:tcBorders>
                  <w:noWrap/>
                  <w:vAlign w:val="center"/>
                </w:tcPr>
                <w:p w14:paraId="62752690">
                  <w:pPr>
                    <w:pStyle w:val="94"/>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26</w:t>
                  </w:r>
                </w:p>
              </w:tc>
              <w:tc>
                <w:tcPr>
                  <w:tcW w:w="1364" w:type="dxa"/>
                  <w:tcBorders>
                    <w:tl2br w:val="nil"/>
                    <w:tr2bl w:val="nil"/>
                  </w:tcBorders>
                  <w:shd w:val="clear" w:color="auto" w:fill="auto"/>
                  <w:noWrap/>
                  <w:vAlign w:val="center"/>
                </w:tcPr>
                <w:p w14:paraId="03001C65">
                  <w:pPr>
                    <w:pStyle w:val="94"/>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K</w:t>
                  </w:r>
                  <w:r>
                    <w:rPr>
                      <w:rFonts w:hint="eastAsia" w:cs="Times New Roman"/>
                      <w:sz w:val="21"/>
                      <w:szCs w:val="21"/>
                      <w:highlight w:val="none"/>
                      <w:lang w:val="en-US" w:eastAsia="zh-CN"/>
                    </w:rPr>
                    <w:t>57</w:t>
                  </w:r>
                  <w:r>
                    <w:rPr>
                      <w:rFonts w:hint="default" w:ascii="Times New Roman" w:hAnsi="Times New Roman" w:eastAsia="宋体" w:cs="Times New Roman"/>
                      <w:sz w:val="21"/>
                      <w:szCs w:val="21"/>
                      <w:highlight w:val="none"/>
                      <w:lang w:val="en-US" w:eastAsia="zh-CN"/>
                    </w:rPr>
                    <w:t>+</w:t>
                  </w:r>
                  <w:r>
                    <w:rPr>
                      <w:rFonts w:hint="eastAsia" w:cs="Times New Roman"/>
                      <w:sz w:val="21"/>
                      <w:szCs w:val="21"/>
                      <w:highlight w:val="none"/>
                      <w:lang w:val="en-US" w:eastAsia="zh-CN"/>
                    </w:rPr>
                    <w:t>400</w:t>
                  </w:r>
                </w:p>
              </w:tc>
              <w:tc>
                <w:tcPr>
                  <w:tcW w:w="1178" w:type="dxa"/>
                  <w:tcBorders>
                    <w:tl2br w:val="nil"/>
                    <w:tr2bl w:val="nil"/>
                  </w:tcBorders>
                  <w:shd w:val="clear" w:color="auto" w:fill="auto"/>
                  <w:noWrap/>
                  <w:vAlign w:val="center"/>
                </w:tcPr>
                <w:p w14:paraId="2489C726">
                  <w:pPr>
                    <w:pStyle w:val="94"/>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K</w:t>
                  </w:r>
                  <w:r>
                    <w:rPr>
                      <w:rFonts w:hint="eastAsia" w:cs="Times New Roman"/>
                      <w:sz w:val="21"/>
                      <w:szCs w:val="21"/>
                      <w:highlight w:val="none"/>
                      <w:lang w:val="en-US" w:eastAsia="zh-CN"/>
                    </w:rPr>
                    <w:t>59</w:t>
                  </w:r>
                  <w:r>
                    <w:rPr>
                      <w:rFonts w:hint="default" w:ascii="Times New Roman" w:hAnsi="Times New Roman" w:eastAsia="宋体" w:cs="Times New Roman"/>
                      <w:sz w:val="21"/>
                      <w:szCs w:val="21"/>
                      <w:highlight w:val="none"/>
                      <w:lang w:val="en-US" w:eastAsia="zh-CN"/>
                    </w:rPr>
                    <w:t>+</w:t>
                  </w:r>
                  <w:r>
                    <w:rPr>
                      <w:rFonts w:hint="eastAsia" w:cs="Times New Roman"/>
                      <w:sz w:val="21"/>
                      <w:szCs w:val="21"/>
                      <w:highlight w:val="none"/>
                      <w:lang w:val="en-US" w:eastAsia="zh-CN"/>
                    </w:rPr>
                    <w:t>511</w:t>
                  </w:r>
                </w:p>
              </w:tc>
              <w:tc>
                <w:tcPr>
                  <w:tcW w:w="925" w:type="dxa"/>
                  <w:tcBorders>
                    <w:tl2br w:val="nil"/>
                    <w:tr2bl w:val="nil"/>
                  </w:tcBorders>
                  <w:noWrap/>
                  <w:vAlign w:val="center"/>
                </w:tcPr>
                <w:p w14:paraId="3EB8F995">
                  <w:pPr>
                    <w:pStyle w:val="94"/>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2.111</w:t>
                  </w:r>
                </w:p>
              </w:tc>
              <w:tc>
                <w:tcPr>
                  <w:tcW w:w="1671" w:type="dxa"/>
                  <w:tcBorders>
                    <w:tl2br w:val="nil"/>
                    <w:tr2bl w:val="nil"/>
                  </w:tcBorders>
                  <w:noWrap/>
                  <w:vAlign w:val="center"/>
                </w:tcPr>
                <w:p w14:paraId="05309ECB">
                  <w:pPr>
                    <w:pStyle w:val="94"/>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双侧拼宽</w:t>
                  </w:r>
                </w:p>
              </w:tc>
              <w:tc>
                <w:tcPr>
                  <w:tcW w:w="2713" w:type="dxa"/>
                  <w:tcBorders>
                    <w:tl2br w:val="nil"/>
                    <w:tr2bl w:val="nil"/>
                  </w:tcBorders>
                  <w:noWrap/>
                  <w:vAlign w:val="center"/>
                </w:tcPr>
                <w:p w14:paraId="2DA7CE25">
                  <w:pPr>
                    <w:pStyle w:val="94"/>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两侧基本农田分布密集</w:t>
                  </w:r>
                </w:p>
              </w:tc>
            </w:tr>
          </w:tbl>
          <w:p w14:paraId="024FA0DB">
            <w:pPr>
              <w:pStyle w:val="50"/>
              <w:keepNext w:val="0"/>
              <w:keepLines w:val="0"/>
              <w:pageBreakBefore w:val="0"/>
              <w:widowControl w:val="0"/>
              <w:tabs>
                <w:tab w:val="left" w:pos="2694"/>
              </w:tabs>
              <w:kinsoku/>
              <w:wordWrap/>
              <w:overflowPunct/>
              <w:topLinePunct w:val="0"/>
              <w:autoSpaceDE/>
              <w:autoSpaceDN/>
              <w:bidi w:val="0"/>
              <w:adjustRightInd w:val="0"/>
              <w:snapToGrid/>
              <w:spacing w:before="157" w:beforeLines="50" w:line="240" w:lineRule="auto"/>
              <w:textAlignment w:val="baseline"/>
              <w:rPr>
                <w:rFonts w:hint="eastAsia" w:ascii="Times New Roman" w:hAnsi="宋体" w:eastAsia="宋体"/>
                <w:b/>
                <w:color w:val="auto"/>
              </w:rPr>
            </w:pPr>
            <w:r>
              <w:rPr>
                <w:rFonts w:hint="eastAsia" w:ascii="Times New Roman" w:hAnsi="宋体" w:eastAsia="宋体"/>
                <w:b/>
                <w:color w:val="auto"/>
                <w:lang w:val="en-US" w:eastAsia="zh-CN"/>
              </w:rPr>
              <w:t xml:space="preserve">续 </w:t>
            </w:r>
            <w:r>
              <w:rPr>
                <w:rFonts w:ascii="Times New Roman" w:hAnsi="宋体" w:eastAsia="宋体"/>
                <w:b/>
                <w:color w:val="auto"/>
              </w:rPr>
              <w:t>表</w:t>
            </w:r>
            <w:r>
              <w:rPr>
                <w:rFonts w:ascii="Times New Roman" w:eastAsia="宋体"/>
                <w:b/>
                <w:color w:val="auto"/>
              </w:rPr>
              <w:t>2-</w:t>
            </w:r>
            <w:r>
              <w:rPr>
                <w:rFonts w:hint="eastAsia" w:ascii="Times New Roman" w:eastAsia="宋体"/>
                <w:b/>
                <w:color w:val="auto"/>
              </w:rPr>
              <w:t>5</w:t>
            </w:r>
            <w:r>
              <w:rPr>
                <w:rFonts w:ascii="Times New Roman" w:eastAsia="宋体"/>
                <w:b/>
                <w:color w:val="auto"/>
              </w:rPr>
              <w:t xml:space="preserve"> </w:t>
            </w:r>
            <w:r>
              <w:rPr>
                <w:rFonts w:hint="eastAsia" w:ascii="Times New Roman" w:eastAsia="宋体"/>
                <w:b/>
                <w:color w:val="auto"/>
              </w:rPr>
              <w:t xml:space="preserve"> </w:t>
            </w:r>
            <w:r>
              <w:rPr>
                <w:rFonts w:ascii="Times New Roman" w:hAnsi="宋体" w:eastAsia="宋体"/>
                <w:b/>
                <w:color w:val="auto"/>
              </w:rPr>
              <w:t>拟建公路各路段改扩建</w:t>
            </w:r>
            <w:r>
              <w:rPr>
                <w:rFonts w:hint="eastAsia" w:ascii="Times New Roman" w:hAnsi="宋体" w:eastAsia="宋体"/>
                <w:b/>
                <w:color w:val="auto"/>
              </w:rPr>
              <w:t>方案一览表</w:t>
            </w:r>
          </w:p>
          <w:tbl>
            <w:tblPr>
              <w:tblStyle w:val="95"/>
              <w:tblW w:w="84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4"/>
              <w:gridCol w:w="1364"/>
              <w:gridCol w:w="1178"/>
              <w:gridCol w:w="925"/>
              <w:gridCol w:w="1671"/>
              <w:gridCol w:w="2713"/>
            </w:tblGrid>
            <w:tr w14:paraId="52271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44" w:type="dxa"/>
                  <w:tcBorders>
                    <w:tl2br w:val="nil"/>
                    <w:tr2bl w:val="nil"/>
                  </w:tcBorders>
                  <w:noWrap/>
                  <w:vAlign w:val="center"/>
                </w:tcPr>
                <w:p w14:paraId="5311E84C">
                  <w:pPr>
                    <w:pStyle w:val="94"/>
                    <w:jc w:val="both"/>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序号</w:t>
                  </w:r>
                </w:p>
              </w:tc>
              <w:tc>
                <w:tcPr>
                  <w:tcW w:w="1364" w:type="dxa"/>
                  <w:tcBorders>
                    <w:tl2br w:val="nil"/>
                    <w:tr2bl w:val="nil"/>
                  </w:tcBorders>
                  <w:noWrap/>
                  <w:vAlign w:val="center"/>
                </w:tcPr>
                <w:p w14:paraId="51CD64EC">
                  <w:pPr>
                    <w:pStyle w:val="94"/>
                    <w:jc w:val="center"/>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起点桩号</w:t>
                  </w:r>
                </w:p>
              </w:tc>
              <w:tc>
                <w:tcPr>
                  <w:tcW w:w="1178" w:type="dxa"/>
                  <w:tcBorders>
                    <w:tl2br w:val="nil"/>
                    <w:tr2bl w:val="nil"/>
                  </w:tcBorders>
                  <w:noWrap/>
                  <w:vAlign w:val="center"/>
                </w:tcPr>
                <w:p w14:paraId="5663D94C">
                  <w:pPr>
                    <w:pStyle w:val="94"/>
                    <w:jc w:val="center"/>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终点桩号</w:t>
                  </w:r>
                </w:p>
              </w:tc>
              <w:tc>
                <w:tcPr>
                  <w:tcW w:w="925" w:type="dxa"/>
                  <w:tcBorders>
                    <w:tl2br w:val="nil"/>
                    <w:tr2bl w:val="nil"/>
                  </w:tcBorders>
                  <w:noWrap/>
                  <w:vAlign w:val="center"/>
                </w:tcPr>
                <w:p w14:paraId="627F6C5B">
                  <w:pPr>
                    <w:pStyle w:val="94"/>
                    <w:jc w:val="center"/>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长度（</w:t>
                  </w:r>
                  <w:r>
                    <w:rPr>
                      <w:rFonts w:hint="default" w:ascii="Times New Roman" w:hAnsi="Times New Roman" w:eastAsia="宋体" w:cs="Times New Roman"/>
                      <w:b/>
                      <w:bCs/>
                      <w:sz w:val="21"/>
                      <w:szCs w:val="21"/>
                      <w:highlight w:val="none"/>
                      <w:lang w:val="en-US" w:eastAsia="zh-CN"/>
                    </w:rPr>
                    <w:t>k</w:t>
                  </w:r>
                  <w:r>
                    <w:rPr>
                      <w:rFonts w:hint="default" w:ascii="Times New Roman" w:hAnsi="Times New Roman" w:eastAsia="宋体" w:cs="Times New Roman"/>
                      <w:b/>
                      <w:bCs/>
                      <w:sz w:val="21"/>
                      <w:szCs w:val="21"/>
                      <w:highlight w:val="none"/>
                    </w:rPr>
                    <w:t>m）</w:t>
                  </w:r>
                </w:p>
              </w:tc>
              <w:tc>
                <w:tcPr>
                  <w:tcW w:w="1671" w:type="dxa"/>
                  <w:tcBorders>
                    <w:tl2br w:val="nil"/>
                    <w:tr2bl w:val="nil"/>
                  </w:tcBorders>
                  <w:noWrap/>
                  <w:vAlign w:val="center"/>
                </w:tcPr>
                <w:p w14:paraId="13E65562">
                  <w:pPr>
                    <w:pStyle w:val="94"/>
                    <w:jc w:val="center"/>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拼宽方式</w:t>
                  </w:r>
                </w:p>
              </w:tc>
              <w:tc>
                <w:tcPr>
                  <w:tcW w:w="2713" w:type="dxa"/>
                  <w:tcBorders>
                    <w:tl2br w:val="nil"/>
                    <w:tr2bl w:val="nil"/>
                  </w:tcBorders>
                  <w:noWrap/>
                  <w:vAlign w:val="center"/>
                </w:tcPr>
                <w:p w14:paraId="02E0A2EC">
                  <w:pPr>
                    <w:pStyle w:val="94"/>
                    <w:jc w:val="center"/>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备注</w:t>
                  </w:r>
                </w:p>
              </w:tc>
            </w:tr>
            <w:tr w14:paraId="4F606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44" w:type="dxa"/>
                  <w:tcBorders>
                    <w:tl2br w:val="nil"/>
                    <w:tr2bl w:val="nil"/>
                  </w:tcBorders>
                  <w:noWrap/>
                  <w:vAlign w:val="center"/>
                </w:tcPr>
                <w:p w14:paraId="3FFC8D5B">
                  <w:pPr>
                    <w:pStyle w:val="94"/>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27</w:t>
                  </w:r>
                </w:p>
              </w:tc>
              <w:tc>
                <w:tcPr>
                  <w:tcW w:w="1364" w:type="dxa"/>
                  <w:tcBorders>
                    <w:tl2br w:val="nil"/>
                    <w:tr2bl w:val="nil"/>
                  </w:tcBorders>
                  <w:shd w:val="clear" w:color="auto" w:fill="auto"/>
                  <w:noWrap/>
                  <w:vAlign w:val="center"/>
                </w:tcPr>
                <w:p w14:paraId="63E34058">
                  <w:pPr>
                    <w:pStyle w:val="94"/>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K</w:t>
                  </w:r>
                  <w:r>
                    <w:rPr>
                      <w:rFonts w:hint="eastAsia" w:cs="Times New Roman"/>
                      <w:sz w:val="21"/>
                      <w:szCs w:val="21"/>
                      <w:highlight w:val="none"/>
                      <w:lang w:val="en-US" w:eastAsia="zh-CN"/>
                    </w:rPr>
                    <w:t>59</w:t>
                  </w:r>
                  <w:r>
                    <w:rPr>
                      <w:rFonts w:hint="default" w:ascii="Times New Roman" w:hAnsi="Times New Roman" w:eastAsia="宋体" w:cs="Times New Roman"/>
                      <w:sz w:val="21"/>
                      <w:szCs w:val="21"/>
                      <w:highlight w:val="none"/>
                      <w:lang w:val="en-US" w:eastAsia="zh-CN"/>
                    </w:rPr>
                    <w:t>+</w:t>
                  </w:r>
                  <w:r>
                    <w:rPr>
                      <w:rFonts w:hint="eastAsia" w:cs="Times New Roman"/>
                      <w:sz w:val="21"/>
                      <w:szCs w:val="21"/>
                      <w:highlight w:val="none"/>
                      <w:lang w:val="en-US" w:eastAsia="zh-CN"/>
                    </w:rPr>
                    <w:t>511</w:t>
                  </w:r>
                </w:p>
              </w:tc>
              <w:tc>
                <w:tcPr>
                  <w:tcW w:w="1178" w:type="dxa"/>
                  <w:tcBorders>
                    <w:tl2br w:val="nil"/>
                    <w:tr2bl w:val="nil"/>
                  </w:tcBorders>
                  <w:shd w:val="clear" w:color="auto" w:fill="auto"/>
                  <w:noWrap/>
                  <w:vAlign w:val="center"/>
                </w:tcPr>
                <w:p w14:paraId="648288A3">
                  <w:pPr>
                    <w:pStyle w:val="94"/>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K</w:t>
                  </w:r>
                  <w:r>
                    <w:rPr>
                      <w:rFonts w:hint="eastAsia" w:cs="Times New Roman"/>
                      <w:sz w:val="21"/>
                      <w:szCs w:val="21"/>
                      <w:highlight w:val="none"/>
                      <w:lang w:val="en-US" w:eastAsia="zh-CN"/>
                    </w:rPr>
                    <w:t>60</w:t>
                  </w:r>
                  <w:r>
                    <w:rPr>
                      <w:rFonts w:hint="default" w:ascii="Times New Roman" w:hAnsi="Times New Roman" w:eastAsia="宋体" w:cs="Times New Roman"/>
                      <w:sz w:val="21"/>
                      <w:szCs w:val="21"/>
                      <w:highlight w:val="none"/>
                      <w:lang w:val="en-US" w:eastAsia="zh-CN"/>
                    </w:rPr>
                    <w:t>+</w:t>
                  </w:r>
                  <w:r>
                    <w:rPr>
                      <w:rFonts w:hint="eastAsia" w:cs="Times New Roman"/>
                      <w:sz w:val="21"/>
                      <w:szCs w:val="21"/>
                      <w:highlight w:val="none"/>
                      <w:lang w:val="en-US" w:eastAsia="zh-CN"/>
                    </w:rPr>
                    <w:t>522</w:t>
                  </w:r>
                </w:p>
              </w:tc>
              <w:tc>
                <w:tcPr>
                  <w:tcW w:w="925" w:type="dxa"/>
                  <w:tcBorders>
                    <w:tl2br w:val="nil"/>
                    <w:tr2bl w:val="nil"/>
                  </w:tcBorders>
                  <w:noWrap/>
                  <w:vAlign w:val="center"/>
                </w:tcPr>
                <w:p w14:paraId="2ABCA98C">
                  <w:pPr>
                    <w:pStyle w:val="94"/>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1.011</w:t>
                  </w:r>
                </w:p>
              </w:tc>
              <w:tc>
                <w:tcPr>
                  <w:tcW w:w="1671" w:type="dxa"/>
                  <w:tcBorders>
                    <w:tl2br w:val="nil"/>
                    <w:tr2bl w:val="nil"/>
                  </w:tcBorders>
                  <w:noWrap/>
                  <w:vAlign w:val="center"/>
                </w:tcPr>
                <w:p w14:paraId="5AFD8266">
                  <w:pPr>
                    <w:pStyle w:val="94"/>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拼宽渐变段</w:t>
                  </w:r>
                </w:p>
              </w:tc>
              <w:tc>
                <w:tcPr>
                  <w:tcW w:w="2713" w:type="dxa"/>
                  <w:tcBorders>
                    <w:tl2br w:val="nil"/>
                    <w:tr2bl w:val="nil"/>
                  </w:tcBorders>
                  <w:noWrap/>
                  <w:vAlign w:val="center"/>
                </w:tcPr>
                <w:p w14:paraId="5775505F">
                  <w:pPr>
                    <w:pStyle w:val="94"/>
                    <w:jc w:val="center"/>
                    <w:rPr>
                      <w:rFonts w:hint="default" w:ascii="Times New Roman" w:hAnsi="Times New Roman" w:eastAsia="宋体" w:cs="Times New Roman"/>
                      <w:sz w:val="21"/>
                      <w:szCs w:val="21"/>
                      <w:highlight w:val="none"/>
                      <w:lang w:val="en-US" w:eastAsia="zh-CN"/>
                    </w:rPr>
                  </w:pPr>
                </w:p>
              </w:tc>
            </w:tr>
            <w:tr w14:paraId="31A3A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44" w:type="dxa"/>
                  <w:tcBorders>
                    <w:tl2br w:val="nil"/>
                    <w:tr2bl w:val="nil"/>
                  </w:tcBorders>
                  <w:noWrap/>
                  <w:vAlign w:val="center"/>
                </w:tcPr>
                <w:p w14:paraId="689A8C1C">
                  <w:pPr>
                    <w:pStyle w:val="94"/>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28</w:t>
                  </w:r>
                </w:p>
              </w:tc>
              <w:tc>
                <w:tcPr>
                  <w:tcW w:w="1364" w:type="dxa"/>
                  <w:tcBorders>
                    <w:tl2br w:val="nil"/>
                    <w:tr2bl w:val="nil"/>
                  </w:tcBorders>
                  <w:shd w:val="clear" w:color="auto" w:fill="auto"/>
                  <w:noWrap/>
                  <w:vAlign w:val="center"/>
                </w:tcPr>
                <w:p w14:paraId="143A0117">
                  <w:pPr>
                    <w:pStyle w:val="94"/>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K</w:t>
                  </w:r>
                  <w:r>
                    <w:rPr>
                      <w:rFonts w:hint="eastAsia" w:cs="Times New Roman"/>
                      <w:sz w:val="21"/>
                      <w:szCs w:val="21"/>
                      <w:highlight w:val="none"/>
                      <w:lang w:val="en-US" w:eastAsia="zh-CN"/>
                    </w:rPr>
                    <w:t>60</w:t>
                  </w:r>
                  <w:r>
                    <w:rPr>
                      <w:rFonts w:hint="default" w:ascii="Times New Roman" w:hAnsi="Times New Roman" w:eastAsia="宋体" w:cs="Times New Roman"/>
                      <w:sz w:val="21"/>
                      <w:szCs w:val="21"/>
                      <w:highlight w:val="none"/>
                      <w:lang w:val="en-US" w:eastAsia="zh-CN"/>
                    </w:rPr>
                    <w:t>+</w:t>
                  </w:r>
                  <w:r>
                    <w:rPr>
                      <w:rFonts w:hint="eastAsia" w:cs="Times New Roman"/>
                      <w:sz w:val="21"/>
                      <w:szCs w:val="21"/>
                      <w:highlight w:val="none"/>
                      <w:lang w:val="en-US" w:eastAsia="zh-CN"/>
                    </w:rPr>
                    <w:t>522</w:t>
                  </w:r>
                </w:p>
              </w:tc>
              <w:tc>
                <w:tcPr>
                  <w:tcW w:w="1178" w:type="dxa"/>
                  <w:tcBorders>
                    <w:tl2br w:val="nil"/>
                    <w:tr2bl w:val="nil"/>
                  </w:tcBorders>
                  <w:shd w:val="clear" w:color="auto" w:fill="auto"/>
                  <w:noWrap/>
                  <w:vAlign w:val="center"/>
                </w:tcPr>
                <w:p w14:paraId="5B20D98A">
                  <w:pPr>
                    <w:pStyle w:val="94"/>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K</w:t>
                  </w:r>
                  <w:r>
                    <w:rPr>
                      <w:rFonts w:hint="eastAsia" w:cs="Times New Roman"/>
                      <w:sz w:val="21"/>
                      <w:szCs w:val="21"/>
                      <w:highlight w:val="none"/>
                      <w:lang w:val="en-US" w:eastAsia="zh-CN"/>
                    </w:rPr>
                    <w:t>64</w:t>
                  </w:r>
                  <w:r>
                    <w:rPr>
                      <w:rFonts w:hint="default" w:ascii="Times New Roman" w:hAnsi="Times New Roman" w:eastAsia="宋体" w:cs="Times New Roman"/>
                      <w:sz w:val="21"/>
                      <w:szCs w:val="21"/>
                      <w:highlight w:val="none"/>
                      <w:lang w:val="en-US" w:eastAsia="zh-CN"/>
                    </w:rPr>
                    <w:t>+</w:t>
                  </w:r>
                  <w:r>
                    <w:rPr>
                      <w:rFonts w:hint="eastAsia" w:cs="Times New Roman"/>
                      <w:sz w:val="21"/>
                      <w:szCs w:val="21"/>
                      <w:highlight w:val="none"/>
                      <w:lang w:val="en-US" w:eastAsia="zh-CN"/>
                    </w:rPr>
                    <w:t>852</w:t>
                  </w:r>
                </w:p>
              </w:tc>
              <w:tc>
                <w:tcPr>
                  <w:tcW w:w="925" w:type="dxa"/>
                  <w:tcBorders>
                    <w:tl2br w:val="nil"/>
                    <w:tr2bl w:val="nil"/>
                  </w:tcBorders>
                  <w:noWrap/>
                  <w:vAlign w:val="center"/>
                </w:tcPr>
                <w:p w14:paraId="72B35195">
                  <w:pPr>
                    <w:pStyle w:val="94"/>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4.330</w:t>
                  </w:r>
                </w:p>
              </w:tc>
              <w:tc>
                <w:tcPr>
                  <w:tcW w:w="1671" w:type="dxa"/>
                  <w:tcBorders>
                    <w:tl2br w:val="nil"/>
                    <w:tr2bl w:val="nil"/>
                  </w:tcBorders>
                  <w:noWrap/>
                  <w:vAlign w:val="center"/>
                </w:tcPr>
                <w:p w14:paraId="34348D15">
                  <w:pPr>
                    <w:pStyle w:val="94"/>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右侧拼宽</w:t>
                  </w:r>
                </w:p>
              </w:tc>
              <w:tc>
                <w:tcPr>
                  <w:tcW w:w="2713" w:type="dxa"/>
                  <w:tcBorders>
                    <w:tl2br w:val="nil"/>
                    <w:tr2bl w:val="nil"/>
                  </w:tcBorders>
                  <w:noWrap/>
                  <w:vAlign w:val="center"/>
                </w:tcPr>
                <w:p w14:paraId="223A1E74">
                  <w:pPr>
                    <w:pStyle w:val="94"/>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左侧10KV高压线</w:t>
                  </w:r>
                </w:p>
              </w:tc>
            </w:tr>
            <w:tr w14:paraId="5FE40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44" w:type="dxa"/>
                  <w:tcBorders>
                    <w:tl2br w:val="nil"/>
                    <w:tr2bl w:val="nil"/>
                  </w:tcBorders>
                  <w:noWrap/>
                  <w:vAlign w:val="center"/>
                </w:tcPr>
                <w:p w14:paraId="2F07FA15">
                  <w:pPr>
                    <w:pStyle w:val="94"/>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29</w:t>
                  </w:r>
                </w:p>
              </w:tc>
              <w:tc>
                <w:tcPr>
                  <w:tcW w:w="1364" w:type="dxa"/>
                  <w:tcBorders>
                    <w:tl2br w:val="nil"/>
                    <w:tr2bl w:val="nil"/>
                  </w:tcBorders>
                  <w:shd w:val="clear" w:color="auto" w:fill="auto"/>
                  <w:noWrap/>
                  <w:vAlign w:val="center"/>
                </w:tcPr>
                <w:p w14:paraId="548AAE96">
                  <w:pPr>
                    <w:pStyle w:val="94"/>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K</w:t>
                  </w:r>
                  <w:r>
                    <w:rPr>
                      <w:rFonts w:hint="eastAsia" w:cs="Times New Roman"/>
                      <w:sz w:val="21"/>
                      <w:szCs w:val="21"/>
                      <w:highlight w:val="none"/>
                      <w:lang w:val="en-US" w:eastAsia="zh-CN"/>
                    </w:rPr>
                    <w:t>64</w:t>
                  </w:r>
                  <w:r>
                    <w:rPr>
                      <w:rFonts w:hint="default" w:ascii="Times New Roman" w:hAnsi="Times New Roman" w:eastAsia="宋体" w:cs="Times New Roman"/>
                      <w:sz w:val="21"/>
                      <w:szCs w:val="21"/>
                      <w:highlight w:val="none"/>
                      <w:lang w:val="en-US" w:eastAsia="zh-CN"/>
                    </w:rPr>
                    <w:t>+</w:t>
                  </w:r>
                  <w:r>
                    <w:rPr>
                      <w:rFonts w:hint="eastAsia" w:cs="Times New Roman"/>
                      <w:sz w:val="21"/>
                      <w:szCs w:val="21"/>
                      <w:highlight w:val="none"/>
                      <w:lang w:val="en-US" w:eastAsia="zh-CN"/>
                    </w:rPr>
                    <w:t>852</w:t>
                  </w:r>
                </w:p>
              </w:tc>
              <w:tc>
                <w:tcPr>
                  <w:tcW w:w="1178" w:type="dxa"/>
                  <w:tcBorders>
                    <w:tl2br w:val="nil"/>
                    <w:tr2bl w:val="nil"/>
                  </w:tcBorders>
                  <w:shd w:val="clear" w:color="auto" w:fill="auto"/>
                  <w:noWrap/>
                  <w:vAlign w:val="center"/>
                </w:tcPr>
                <w:p w14:paraId="05D9DE18">
                  <w:pPr>
                    <w:pStyle w:val="94"/>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K</w:t>
                  </w:r>
                  <w:r>
                    <w:rPr>
                      <w:rFonts w:hint="eastAsia" w:cs="Times New Roman"/>
                      <w:sz w:val="21"/>
                      <w:szCs w:val="21"/>
                      <w:highlight w:val="none"/>
                      <w:lang w:val="en-US" w:eastAsia="zh-CN"/>
                    </w:rPr>
                    <w:t>65</w:t>
                  </w:r>
                  <w:r>
                    <w:rPr>
                      <w:rFonts w:hint="default" w:ascii="Times New Roman" w:hAnsi="Times New Roman" w:eastAsia="宋体" w:cs="Times New Roman"/>
                      <w:sz w:val="21"/>
                      <w:szCs w:val="21"/>
                      <w:highlight w:val="none"/>
                      <w:lang w:val="en-US" w:eastAsia="zh-CN"/>
                    </w:rPr>
                    <w:t>+</w:t>
                  </w:r>
                  <w:r>
                    <w:rPr>
                      <w:rFonts w:hint="eastAsia" w:cs="Times New Roman"/>
                      <w:sz w:val="21"/>
                      <w:szCs w:val="21"/>
                      <w:highlight w:val="none"/>
                      <w:lang w:val="en-US" w:eastAsia="zh-CN"/>
                    </w:rPr>
                    <w:t>247</w:t>
                  </w:r>
                </w:p>
              </w:tc>
              <w:tc>
                <w:tcPr>
                  <w:tcW w:w="925" w:type="dxa"/>
                  <w:tcBorders>
                    <w:tl2br w:val="nil"/>
                    <w:tr2bl w:val="nil"/>
                  </w:tcBorders>
                  <w:noWrap/>
                  <w:vAlign w:val="center"/>
                </w:tcPr>
                <w:p w14:paraId="4353B8BA">
                  <w:pPr>
                    <w:pStyle w:val="94"/>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0.396</w:t>
                  </w:r>
                </w:p>
              </w:tc>
              <w:tc>
                <w:tcPr>
                  <w:tcW w:w="1671" w:type="dxa"/>
                  <w:tcBorders>
                    <w:tl2br w:val="nil"/>
                    <w:tr2bl w:val="nil"/>
                  </w:tcBorders>
                  <w:noWrap/>
                  <w:vAlign w:val="center"/>
                </w:tcPr>
                <w:p w14:paraId="6BAA31EE">
                  <w:pPr>
                    <w:pStyle w:val="94"/>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拼宽渐变段</w:t>
                  </w:r>
                </w:p>
              </w:tc>
              <w:tc>
                <w:tcPr>
                  <w:tcW w:w="2713" w:type="dxa"/>
                  <w:tcBorders>
                    <w:tl2br w:val="nil"/>
                    <w:tr2bl w:val="nil"/>
                  </w:tcBorders>
                  <w:noWrap/>
                  <w:vAlign w:val="center"/>
                </w:tcPr>
                <w:p w14:paraId="19B2894A">
                  <w:pPr>
                    <w:pStyle w:val="94"/>
                    <w:jc w:val="center"/>
                    <w:rPr>
                      <w:rFonts w:hint="default" w:ascii="Times New Roman" w:hAnsi="Times New Roman" w:eastAsia="宋体" w:cs="Times New Roman"/>
                      <w:sz w:val="21"/>
                      <w:szCs w:val="21"/>
                      <w:highlight w:val="none"/>
                      <w:lang w:val="en-US" w:eastAsia="zh-CN"/>
                    </w:rPr>
                  </w:pPr>
                </w:p>
              </w:tc>
            </w:tr>
            <w:tr w14:paraId="63813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44" w:type="dxa"/>
                  <w:tcBorders>
                    <w:tl2br w:val="nil"/>
                    <w:tr2bl w:val="nil"/>
                  </w:tcBorders>
                  <w:noWrap/>
                  <w:vAlign w:val="center"/>
                </w:tcPr>
                <w:p w14:paraId="0D07AF87">
                  <w:pPr>
                    <w:pStyle w:val="94"/>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30</w:t>
                  </w:r>
                </w:p>
              </w:tc>
              <w:tc>
                <w:tcPr>
                  <w:tcW w:w="1364" w:type="dxa"/>
                  <w:tcBorders>
                    <w:tl2br w:val="nil"/>
                    <w:tr2bl w:val="nil"/>
                  </w:tcBorders>
                  <w:shd w:val="clear" w:color="auto" w:fill="auto"/>
                  <w:noWrap/>
                  <w:vAlign w:val="center"/>
                </w:tcPr>
                <w:p w14:paraId="15A4060B">
                  <w:pPr>
                    <w:pStyle w:val="94"/>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K</w:t>
                  </w:r>
                  <w:r>
                    <w:rPr>
                      <w:rFonts w:hint="eastAsia" w:cs="Times New Roman"/>
                      <w:sz w:val="21"/>
                      <w:szCs w:val="21"/>
                      <w:highlight w:val="none"/>
                      <w:lang w:val="en-US" w:eastAsia="zh-CN"/>
                    </w:rPr>
                    <w:t>65</w:t>
                  </w:r>
                  <w:r>
                    <w:rPr>
                      <w:rFonts w:hint="default" w:ascii="Times New Roman" w:hAnsi="Times New Roman" w:eastAsia="宋体" w:cs="Times New Roman"/>
                      <w:sz w:val="21"/>
                      <w:szCs w:val="21"/>
                      <w:highlight w:val="none"/>
                      <w:lang w:val="en-US" w:eastAsia="zh-CN"/>
                    </w:rPr>
                    <w:t>+</w:t>
                  </w:r>
                  <w:r>
                    <w:rPr>
                      <w:rFonts w:hint="eastAsia" w:cs="Times New Roman"/>
                      <w:sz w:val="21"/>
                      <w:szCs w:val="21"/>
                      <w:highlight w:val="none"/>
                      <w:lang w:val="en-US" w:eastAsia="zh-CN"/>
                    </w:rPr>
                    <w:t>247</w:t>
                  </w:r>
                </w:p>
              </w:tc>
              <w:tc>
                <w:tcPr>
                  <w:tcW w:w="1178" w:type="dxa"/>
                  <w:tcBorders>
                    <w:tl2br w:val="nil"/>
                    <w:tr2bl w:val="nil"/>
                  </w:tcBorders>
                  <w:shd w:val="clear" w:color="auto" w:fill="auto"/>
                  <w:noWrap/>
                  <w:vAlign w:val="center"/>
                </w:tcPr>
                <w:p w14:paraId="5E6827A5">
                  <w:pPr>
                    <w:pStyle w:val="94"/>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pacing w:val="-23"/>
                      <w:sz w:val="21"/>
                      <w:szCs w:val="21"/>
                      <w:highlight w:val="none"/>
                      <w:lang w:val="en-US" w:eastAsia="zh-CN"/>
                    </w:rPr>
                    <w:t>K</w:t>
                  </w:r>
                  <w:r>
                    <w:rPr>
                      <w:rFonts w:hint="eastAsia" w:cs="Times New Roman"/>
                      <w:spacing w:val="-23"/>
                      <w:sz w:val="21"/>
                      <w:szCs w:val="21"/>
                      <w:highlight w:val="none"/>
                      <w:lang w:val="en-US" w:eastAsia="zh-CN"/>
                    </w:rPr>
                    <w:t>70</w:t>
                  </w:r>
                  <w:r>
                    <w:rPr>
                      <w:rFonts w:hint="default" w:ascii="Times New Roman" w:hAnsi="Times New Roman" w:eastAsia="宋体" w:cs="Times New Roman"/>
                      <w:spacing w:val="-23"/>
                      <w:sz w:val="21"/>
                      <w:szCs w:val="21"/>
                      <w:highlight w:val="none"/>
                      <w:lang w:val="en-US" w:eastAsia="zh-CN"/>
                    </w:rPr>
                    <w:t>+</w:t>
                  </w:r>
                  <w:r>
                    <w:rPr>
                      <w:rFonts w:hint="eastAsia" w:cs="Times New Roman"/>
                      <w:spacing w:val="-23"/>
                      <w:sz w:val="21"/>
                      <w:szCs w:val="21"/>
                      <w:highlight w:val="none"/>
                      <w:lang w:val="en-US" w:eastAsia="zh-CN"/>
                    </w:rPr>
                    <w:t>451.290</w:t>
                  </w:r>
                </w:p>
              </w:tc>
              <w:tc>
                <w:tcPr>
                  <w:tcW w:w="925" w:type="dxa"/>
                  <w:tcBorders>
                    <w:tl2br w:val="nil"/>
                    <w:tr2bl w:val="nil"/>
                  </w:tcBorders>
                  <w:noWrap/>
                  <w:vAlign w:val="center"/>
                </w:tcPr>
                <w:p w14:paraId="0B0DD7B3">
                  <w:pPr>
                    <w:pStyle w:val="94"/>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5.204</w:t>
                  </w:r>
                </w:p>
              </w:tc>
              <w:tc>
                <w:tcPr>
                  <w:tcW w:w="1671" w:type="dxa"/>
                  <w:tcBorders>
                    <w:tl2br w:val="nil"/>
                    <w:tr2bl w:val="nil"/>
                  </w:tcBorders>
                  <w:noWrap/>
                  <w:vAlign w:val="center"/>
                </w:tcPr>
                <w:p w14:paraId="0F403B46">
                  <w:pPr>
                    <w:pStyle w:val="94"/>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双侧拼宽</w:t>
                  </w:r>
                </w:p>
              </w:tc>
              <w:tc>
                <w:tcPr>
                  <w:tcW w:w="2713" w:type="dxa"/>
                  <w:tcBorders>
                    <w:tl2br w:val="nil"/>
                    <w:tr2bl w:val="nil"/>
                  </w:tcBorders>
                  <w:noWrap/>
                  <w:vAlign w:val="center"/>
                </w:tcPr>
                <w:p w14:paraId="05C67853">
                  <w:pPr>
                    <w:pStyle w:val="94"/>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两侧建筑密集</w:t>
                  </w:r>
                </w:p>
              </w:tc>
            </w:tr>
          </w:tbl>
          <w:p w14:paraId="512D2D78">
            <w:pPr>
              <w:keepNext w:val="0"/>
              <w:keepLines w:val="0"/>
              <w:pageBreakBefore w:val="0"/>
              <w:widowControl w:val="0"/>
              <w:kinsoku/>
              <w:wordWrap/>
              <w:overflowPunct/>
              <w:topLinePunct w:val="0"/>
              <w:autoSpaceDE w:val="0"/>
              <w:autoSpaceDN w:val="0"/>
              <w:bidi w:val="0"/>
              <w:adjustRightInd w:val="0"/>
              <w:snapToGrid/>
              <w:spacing w:before="313" w:beforeLines="100" w:line="300" w:lineRule="auto"/>
              <w:ind w:firstLine="470" w:firstLineChars="196"/>
              <w:textAlignment w:val="auto"/>
              <w:rPr>
                <w:rFonts w:hint="default" w:eastAsia="宋体"/>
                <w:b/>
                <w:color w:val="auto"/>
                <w:kern w:val="0"/>
                <w:sz w:val="24"/>
                <w:lang w:val="en-US" w:eastAsia="zh-CN"/>
              </w:rPr>
            </w:pPr>
            <w:r>
              <w:rPr>
                <w:rFonts w:hint="eastAsia"/>
                <w:b w:val="0"/>
                <w:bCs/>
                <w:color w:val="auto"/>
                <w:kern w:val="0"/>
                <w:sz w:val="24"/>
                <w:lang w:val="en-US" w:eastAsia="zh-CN"/>
              </w:rPr>
              <w:t>按照所属行政区域划分，K0+372.936</w:t>
            </w:r>
            <w:r>
              <w:rPr>
                <w:rFonts w:hint="default" w:ascii="Times New Roman" w:hAnsi="Times New Roman" w:cs="Times New Roman"/>
                <w:color w:val="auto"/>
                <w:kern w:val="0"/>
                <w:sz w:val="24"/>
              </w:rPr>
              <w:t>～</w:t>
            </w:r>
            <w:r>
              <w:rPr>
                <w:rFonts w:hint="eastAsia"/>
                <w:b w:val="0"/>
                <w:bCs/>
                <w:color w:val="auto"/>
                <w:kern w:val="0"/>
                <w:sz w:val="24"/>
                <w:lang w:val="en-US" w:eastAsia="zh-CN"/>
              </w:rPr>
              <w:t>K2+140路段位于草湖项目区红旗农场境内，K2+140</w:t>
            </w:r>
            <w:r>
              <w:rPr>
                <w:rFonts w:hint="default" w:ascii="Times New Roman" w:hAnsi="Times New Roman" w:cs="Times New Roman"/>
                <w:color w:val="auto"/>
                <w:kern w:val="0"/>
                <w:sz w:val="24"/>
              </w:rPr>
              <w:t>～</w:t>
            </w:r>
            <w:r>
              <w:rPr>
                <w:rFonts w:hint="eastAsia"/>
                <w:b w:val="0"/>
                <w:bCs/>
                <w:color w:val="auto"/>
                <w:kern w:val="0"/>
                <w:sz w:val="24"/>
                <w:lang w:val="en-US" w:eastAsia="zh-CN"/>
              </w:rPr>
              <w:t>K18+630路段位于克州阿图什市境内，K18+630</w:t>
            </w:r>
            <w:r>
              <w:rPr>
                <w:rFonts w:hint="default" w:ascii="Times New Roman" w:hAnsi="Times New Roman" w:cs="Times New Roman"/>
                <w:color w:val="auto"/>
                <w:kern w:val="0"/>
                <w:sz w:val="24"/>
              </w:rPr>
              <w:t>～</w:t>
            </w:r>
            <w:r>
              <w:rPr>
                <w:rFonts w:hint="eastAsia"/>
                <w:b w:val="0"/>
                <w:bCs/>
                <w:color w:val="auto"/>
                <w:kern w:val="0"/>
                <w:sz w:val="24"/>
                <w:lang w:val="en-US" w:eastAsia="zh-CN"/>
              </w:rPr>
              <w:t>K70+385路段位于喀什地区伽师县境内，K70+385</w:t>
            </w:r>
            <w:r>
              <w:rPr>
                <w:rFonts w:hint="default" w:ascii="Times New Roman" w:hAnsi="Times New Roman" w:cs="Times New Roman"/>
                <w:color w:val="auto"/>
                <w:kern w:val="0"/>
                <w:sz w:val="24"/>
              </w:rPr>
              <w:t>～</w:t>
            </w:r>
            <w:r>
              <w:rPr>
                <w:rFonts w:hint="eastAsia"/>
                <w:b w:val="0"/>
                <w:bCs/>
                <w:color w:val="auto"/>
                <w:kern w:val="0"/>
                <w:sz w:val="24"/>
                <w:lang w:val="en-US" w:eastAsia="zh-CN"/>
              </w:rPr>
              <w:t>K70+451.290位于喀什地区岳普湖县境内。</w:t>
            </w:r>
          </w:p>
          <w:p w14:paraId="6CBC1D07">
            <w:pPr>
              <w:keepNext w:val="0"/>
              <w:keepLines w:val="0"/>
              <w:pageBreakBefore w:val="0"/>
              <w:widowControl w:val="0"/>
              <w:kinsoku/>
              <w:wordWrap/>
              <w:overflowPunct/>
              <w:topLinePunct w:val="0"/>
              <w:autoSpaceDE w:val="0"/>
              <w:autoSpaceDN w:val="0"/>
              <w:bidi w:val="0"/>
              <w:adjustRightInd w:val="0"/>
              <w:snapToGrid/>
              <w:spacing w:before="157" w:beforeLines="50" w:line="300" w:lineRule="auto"/>
              <w:ind w:firstLine="472" w:firstLineChars="196"/>
              <w:textAlignment w:val="auto"/>
              <w:rPr>
                <w:b/>
                <w:color w:val="auto"/>
                <w:kern w:val="0"/>
                <w:sz w:val="24"/>
              </w:rPr>
            </w:pPr>
            <w:r>
              <w:rPr>
                <w:b/>
                <w:color w:val="auto"/>
                <w:kern w:val="0"/>
                <w:sz w:val="24"/>
              </w:rPr>
              <w:t>(</w:t>
            </w:r>
            <w:r>
              <w:rPr>
                <w:rFonts w:hint="eastAsia"/>
                <w:b/>
                <w:color w:val="auto"/>
                <w:kern w:val="0"/>
                <w:sz w:val="24"/>
              </w:rPr>
              <w:t>4</w:t>
            </w:r>
            <w:r>
              <w:rPr>
                <w:b/>
                <w:color w:val="auto"/>
                <w:kern w:val="0"/>
                <w:sz w:val="24"/>
              </w:rPr>
              <w:t>) 路基工程</w:t>
            </w:r>
          </w:p>
          <w:p w14:paraId="66DD2C84">
            <w:pPr>
              <w:autoSpaceDE w:val="0"/>
              <w:autoSpaceDN w:val="0"/>
              <w:adjustRightInd w:val="0"/>
              <w:spacing w:line="300" w:lineRule="auto"/>
              <w:ind w:firstLine="480" w:firstLineChars="200"/>
              <w:rPr>
                <w:rFonts w:hint="default" w:ascii="Times New Roman" w:hAnsi="Times New Roman" w:cs="Times New Roman"/>
                <w:color w:val="auto"/>
                <w:kern w:val="0"/>
                <w:sz w:val="24"/>
              </w:rPr>
            </w:pPr>
            <w:r>
              <w:rPr>
                <w:rFonts w:hint="default" w:ascii="Times New Roman" w:hAnsi="Times New Roman" w:cs="Times New Roman"/>
                <w:color w:val="auto"/>
                <w:kern w:val="0"/>
                <w:sz w:val="24"/>
              </w:rPr>
              <w:t>1) 路基横断面设计</w:t>
            </w:r>
          </w:p>
          <w:p w14:paraId="1D79B07A">
            <w:pPr>
              <w:keepNext w:val="0"/>
              <w:keepLines w:val="0"/>
              <w:pageBreakBefore w:val="0"/>
              <w:widowControl w:val="0"/>
              <w:kinsoku/>
              <w:wordWrap/>
              <w:overflowPunct/>
              <w:topLinePunct w:val="0"/>
              <w:autoSpaceDE/>
              <w:autoSpaceDN/>
              <w:bidi w:val="0"/>
              <w:adjustRightInd/>
              <w:snapToGrid/>
              <w:spacing w:line="300" w:lineRule="auto"/>
              <w:ind w:right="12" w:rightChars="6" w:firstLine="480" w:firstLineChars="200"/>
              <w:textAlignment w:val="auto"/>
              <w:rPr>
                <w:rFonts w:hint="default" w:ascii="Times New Roman" w:hAnsi="Times New Roman" w:cs="Times New Roman"/>
                <w:color w:val="auto"/>
                <w:kern w:val="0"/>
                <w:sz w:val="24"/>
              </w:rPr>
            </w:pPr>
            <w:r>
              <w:rPr>
                <w:rFonts w:hint="default" w:ascii="Times New Roman" w:hAnsi="Times New Roman" w:cs="Times New Roman"/>
                <w:color w:val="auto"/>
                <w:kern w:val="0"/>
                <w:sz w:val="24"/>
                <w:szCs w:val="24"/>
              </w:rPr>
              <w:fldChar w:fldCharType="begin"/>
            </w:r>
            <w:r>
              <w:rPr>
                <w:rFonts w:hint="default" w:ascii="Times New Roman" w:hAnsi="Times New Roman" w:cs="Times New Roman"/>
                <w:color w:val="auto"/>
                <w:kern w:val="0"/>
                <w:sz w:val="24"/>
                <w:szCs w:val="24"/>
              </w:rPr>
              <w:instrText xml:space="preserve"> = 1 \* GB3 \* MERGEFORMAT </w:instrText>
            </w:r>
            <w:r>
              <w:rPr>
                <w:rFonts w:hint="default" w:ascii="Times New Roman" w:hAnsi="Times New Roman" w:cs="Times New Roman"/>
                <w:color w:val="auto"/>
                <w:kern w:val="0"/>
                <w:sz w:val="24"/>
                <w:szCs w:val="24"/>
              </w:rPr>
              <w:fldChar w:fldCharType="separate"/>
            </w:r>
            <w:r>
              <w:rPr>
                <w:rFonts w:hint="default" w:ascii="Times New Roman" w:hAnsi="Times New Roman" w:cs="Times New Roman"/>
                <w:color w:val="auto"/>
                <w:sz w:val="24"/>
                <w:szCs w:val="24"/>
              </w:rPr>
              <w:t>①</w:t>
            </w:r>
            <w:r>
              <w:rPr>
                <w:rFonts w:hint="default" w:ascii="Times New Roman" w:hAnsi="Times New Roman" w:cs="Times New Roman"/>
                <w:color w:val="auto"/>
                <w:kern w:val="0"/>
                <w:sz w:val="24"/>
                <w:szCs w:val="24"/>
              </w:rPr>
              <w:fldChar w:fldCharType="end"/>
            </w:r>
            <w:r>
              <w:rPr>
                <w:rFonts w:hint="default" w:ascii="Times New Roman" w:hAnsi="Times New Roman" w:cs="Times New Roman"/>
                <w:color w:val="auto"/>
                <w:kern w:val="0"/>
                <w:sz w:val="24"/>
                <w:szCs w:val="24"/>
                <w:lang w:val="en-US" w:eastAsia="zh-CN"/>
              </w:rPr>
              <w:t xml:space="preserve"> </w:t>
            </w:r>
            <w:r>
              <w:rPr>
                <w:rFonts w:hint="default" w:ascii="Times New Roman" w:hAnsi="Times New Roman" w:cs="Times New Roman"/>
                <w:color w:val="auto"/>
                <w:kern w:val="0"/>
                <w:sz w:val="24"/>
              </w:rPr>
              <w:t>分离式路基：K0+</w:t>
            </w:r>
            <w:r>
              <w:rPr>
                <w:rFonts w:hint="eastAsia" w:cs="Times New Roman"/>
                <w:color w:val="auto"/>
                <w:kern w:val="0"/>
                <w:sz w:val="24"/>
                <w:lang w:val="en-US" w:eastAsia="zh-CN"/>
              </w:rPr>
              <w:t>372.936</w:t>
            </w:r>
            <w:r>
              <w:rPr>
                <w:rFonts w:hint="default" w:ascii="Times New Roman" w:hAnsi="Times New Roman" w:cs="Times New Roman"/>
                <w:color w:val="auto"/>
                <w:kern w:val="0"/>
                <w:sz w:val="24"/>
              </w:rPr>
              <w:t>～K2+</w:t>
            </w:r>
            <w:r>
              <w:rPr>
                <w:rFonts w:hint="eastAsia" w:cs="Times New Roman"/>
                <w:color w:val="auto"/>
                <w:kern w:val="0"/>
                <w:sz w:val="24"/>
                <w:lang w:val="en-US" w:eastAsia="zh-CN"/>
              </w:rPr>
              <w:t>200</w:t>
            </w:r>
            <w:r>
              <w:rPr>
                <w:rFonts w:hint="default" w:ascii="Times New Roman" w:hAnsi="Times New Roman" w:cs="Times New Roman"/>
                <w:color w:val="auto"/>
                <w:kern w:val="0"/>
                <w:sz w:val="24"/>
              </w:rPr>
              <w:t>下穿高速公路、铁路段</w:t>
            </w:r>
          </w:p>
          <w:p w14:paraId="2F8AE0DC">
            <w:pPr>
              <w:keepNext w:val="0"/>
              <w:keepLines w:val="0"/>
              <w:pageBreakBefore w:val="0"/>
              <w:widowControl w:val="0"/>
              <w:kinsoku/>
              <w:wordWrap/>
              <w:overflowPunct/>
              <w:topLinePunct w:val="0"/>
              <w:autoSpaceDE/>
              <w:autoSpaceDN/>
              <w:bidi w:val="0"/>
              <w:adjustRightInd/>
              <w:snapToGrid/>
              <w:spacing w:after="157" w:afterLines="50" w:line="300" w:lineRule="auto"/>
              <w:ind w:right="12" w:rightChars="6" w:firstLine="480" w:firstLineChars="200"/>
              <w:textAlignment w:val="auto"/>
              <w:rPr>
                <w:rFonts w:hint="default" w:ascii="Times New Roman" w:hAnsi="Times New Roman" w:cs="Times New Roman"/>
                <w:color w:val="auto"/>
                <w:kern w:val="0"/>
                <w:sz w:val="24"/>
              </w:rPr>
            </w:pPr>
            <w:r>
              <w:rPr>
                <w:rFonts w:hint="default" w:ascii="Times New Roman" w:hAnsi="Times New Roman" w:cs="Times New Roman"/>
                <w:color w:val="auto"/>
                <w:kern w:val="0"/>
                <w:sz w:val="24"/>
              </w:rPr>
              <w:t>新建幅与拼宽利用幅均采用单向二车道断面，设计车速80km/h，路基宽12.75m，其中行车道宽度2×3.75m，左侧硬路肩宽度3.0m（含路缘带0.5m），右侧硬路肩0.75m（含路缘带0.5m），土路肩宽2×0.75m。</w:t>
            </w:r>
            <w:r>
              <w:rPr>
                <w:rFonts w:hint="default" w:ascii="Times New Roman" w:hAnsi="Times New Roman" w:cs="Times New Roman" w:eastAsiaTheme="minorEastAsia"/>
                <w:color w:val="auto"/>
                <w:kern w:val="0"/>
                <w:sz w:val="24"/>
              </w:rPr>
              <w:t>路基横断面见图2-1(1)。</w:t>
            </w:r>
          </w:p>
          <w:p w14:paraId="7DE1198E">
            <w:pPr>
              <w:autoSpaceDE w:val="0"/>
              <w:autoSpaceDN w:val="0"/>
              <w:adjustRightInd w:val="0"/>
              <w:spacing w:line="300" w:lineRule="auto"/>
              <w:ind w:firstLine="2" w:firstLineChars="1"/>
              <w:rPr>
                <w:color w:val="0070C0"/>
                <w:kern w:val="0"/>
                <w:sz w:val="24"/>
              </w:rPr>
            </w:pPr>
            <w:r>
              <w:rPr>
                <w:rFonts w:hint="eastAsia" w:ascii="宋体" w:hAnsi="宋体" w:eastAsia="宋体" w:cs="宋体"/>
                <w:highlight w:val="none"/>
              </w:rPr>
              <w:drawing>
                <wp:inline distT="0" distB="0" distL="114300" distR="114300">
                  <wp:extent cx="5335270" cy="1070610"/>
                  <wp:effectExtent l="0" t="0" r="17780" b="1524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44">
                            <a:lum bright="-6000"/>
                          </a:blip>
                          <a:stretch>
                            <a:fillRect/>
                          </a:stretch>
                        </pic:blipFill>
                        <pic:spPr>
                          <a:xfrm>
                            <a:off x="0" y="0"/>
                            <a:ext cx="5335270" cy="1070610"/>
                          </a:xfrm>
                          <a:prstGeom prst="rect">
                            <a:avLst/>
                          </a:prstGeom>
                          <a:noFill/>
                          <a:ln>
                            <a:noFill/>
                          </a:ln>
                        </pic:spPr>
                      </pic:pic>
                    </a:graphicData>
                  </a:graphic>
                </wp:inline>
              </w:drawing>
            </w:r>
          </w:p>
          <w:p w14:paraId="3F9E6149">
            <w:pPr>
              <w:autoSpaceDE w:val="0"/>
              <w:autoSpaceDN w:val="0"/>
              <w:adjustRightInd w:val="0"/>
              <w:spacing w:after="240" w:afterLines="100"/>
              <w:jc w:val="center"/>
              <w:rPr>
                <w:rFonts w:hAnsiTheme="minorEastAsia" w:eastAsiaTheme="minorEastAsia"/>
                <w:b/>
                <w:color w:val="auto"/>
                <w:kern w:val="0"/>
                <w:sz w:val="22"/>
                <w:szCs w:val="22"/>
              </w:rPr>
            </w:pPr>
            <w:r>
              <w:rPr>
                <w:rFonts w:hAnsiTheme="minorEastAsia" w:eastAsiaTheme="minorEastAsia"/>
                <w:b/>
                <w:color w:val="auto"/>
                <w:kern w:val="0"/>
                <w:sz w:val="22"/>
                <w:szCs w:val="22"/>
              </w:rPr>
              <w:t>图</w:t>
            </w:r>
            <w:r>
              <w:rPr>
                <w:rFonts w:eastAsiaTheme="minorEastAsia"/>
                <w:b/>
                <w:color w:val="auto"/>
                <w:kern w:val="0"/>
                <w:sz w:val="22"/>
                <w:szCs w:val="22"/>
              </w:rPr>
              <w:t>2-</w:t>
            </w:r>
            <w:r>
              <w:rPr>
                <w:rFonts w:hint="eastAsia" w:eastAsiaTheme="minorEastAsia"/>
                <w:b/>
                <w:color w:val="auto"/>
                <w:kern w:val="0"/>
                <w:sz w:val="22"/>
                <w:szCs w:val="22"/>
              </w:rPr>
              <w:t>1</w:t>
            </w:r>
            <w:r>
              <w:rPr>
                <w:rFonts w:hint="eastAsia" w:hAnsiTheme="minorEastAsia" w:eastAsiaTheme="minorEastAsia"/>
                <w:b/>
                <w:color w:val="auto"/>
                <w:kern w:val="0"/>
                <w:sz w:val="22"/>
                <w:szCs w:val="22"/>
              </w:rPr>
              <w:t>(1)</w:t>
            </w:r>
            <w:r>
              <w:rPr>
                <w:rFonts w:hint="eastAsia" w:eastAsiaTheme="minorEastAsia"/>
                <w:b/>
                <w:color w:val="auto"/>
                <w:kern w:val="0"/>
                <w:sz w:val="22"/>
                <w:szCs w:val="22"/>
              </w:rPr>
              <w:t xml:space="preserve">  </w:t>
            </w:r>
            <w:r>
              <w:rPr>
                <w:rFonts w:hAnsiTheme="minorEastAsia" w:eastAsiaTheme="minorEastAsia"/>
                <w:b/>
                <w:color w:val="auto"/>
                <w:kern w:val="0"/>
                <w:sz w:val="22"/>
                <w:szCs w:val="22"/>
              </w:rPr>
              <w:t>路基横断面图</w:t>
            </w:r>
          </w:p>
          <w:p w14:paraId="17869C56">
            <w:pPr>
              <w:keepNext w:val="0"/>
              <w:keepLines w:val="0"/>
              <w:pageBreakBefore w:val="0"/>
              <w:widowControl w:val="0"/>
              <w:kinsoku/>
              <w:wordWrap/>
              <w:overflowPunct/>
              <w:topLinePunct w:val="0"/>
              <w:autoSpaceDE/>
              <w:autoSpaceDN/>
              <w:bidi w:val="0"/>
              <w:adjustRightInd w:val="0"/>
              <w:snapToGrid w:val="0"/>
              <w:spacing w:line="300" w:lineRule="auto"/>
              <w:ind w:left="-21" w:right="-21" w:firstLine="480" w:firstLineChars="200"/>
              <w:textAlignment w:val="auto"/>
              <w:rPr>
                <w:rFonts w:hint="default" w:ascii="Times New Roman" w:hAnsi="Times New Roman" w:eastAsia="宋体" w:cs="Times New Roman"/>
                <w:b w:val="0"/>
                <w:bCs w:val="0"/>
                <w:sz w:val="24"/>
                <w:szCs w:val="24"/>
                <w:highlight w:val="none"/>
              </w:rPr>
            </w:pPr>
            <w:r>
              <w:rPr>
                <w:rFonts w:hint="default" w:ascii="Times New Roman" w:hAnsi="Times New Roman" w:eastAsia="宋体" w:cs="Times New Roman"/>
                <w:b w:val="0"/>
                <w:bCs w:val="0"/>
                <w:sz w:val="24"/>
                <w:szCs w:val="24"/>
                <w:highlight w:val="none"/>
              </w:rPr>
              <w:fldChar w:fldCharType="begin"/>
            </w:r>
            <w:r>
              <w:rPr>
                <w:rFonts w:hint="default" w:ascii="Times New Roman" w:hAnsi="Times New Roman" w:eastAsia="宋体" w:cs="Times New Roman"/>
                <w:b w:val="0"/>
                <w:bCs w:val="0"/>
                <w:sz w:val="24"/>
                <w:szCs w:val="24"/>
                <w:highlight w:val="none"/>
              </w:rPr>
              <w:instrText xml:space="preserve"> = 2 \* GB3 \* MERGEFORMAT </w:instrText>
            </w:r>
            <w:r>
              <w:rPr>
                <w:rFonts w:hint="default" w:ascii="Times New Roman" w:hAnsi="Times New Roman" w:eastAsia="宋体" w:cs="Times New Roman"/>
                <w:b w:val="0"/>
                <w:bCs w:val="0"/>
                <w:sz w:val="24"/>
                <w:szCs w:val="24"/>
                <w:highlight w:val="none"/>
              </w:rPr>
              <w:fldChar w:fldCharType="separate"/>
            </w:r>
            <w:r>
              <w:rPr>
                <w:rFonts w:hint="default" w:ascii="Times New Roman" w:hAnsi="Times New Roman" w:cs="Times New Roman"/>
                <w:b w:val="0"/>
                <w:bCs w:val="0"/>
                <w:sz w:val="24"/>
                <w:szCs w:val="24"/>
              </w:rPr>
              <w:t>②</w:t>
            </w:r>
            <w:r>
              <w:rPr>
                <w:rFonts w:hint="default" w:ascii="Times New Roman" w:hAnsi="Times New Roman" w:eastAsia="宋体" w:cs="Times New Roman"/>
                <w:b w:val="0"/>
                <w:bCs w:val="0"/>
                <w:sz w:val="24"/>
                <w:szCs w:val="24"/>
                <w:highlight w:val="none"/>
              </w:rPr>
              <w:fldChar w:fldCharType="end"/>
            </w:r>
            <w:r>
              <w:rPr>
                <w:rFonts w:hint="default" w:ascii="Times New Roman" w:hAnsi="Times New Roman" w:cs="Times New Roman"/>
                <w:b w:val="0"/>
                <w:bCs w:val="0"/>
                <w:sz w:val="24"/>
                <w:szCs w:val="24"/>
                <w:highlight w:val="none"/>
                <w:lang w:val="en-US" w:eastAsia="zh-CN"/>
              </w:rPr>
              <w:t xml:space="preserve"> </w:t>
            </w:r>
            <w:r>
              <w:rPr>
                <w:rFonts w:hint="default" w:ascii="Times New Roman" w:hAnsi="Times New Roman" w:eastAsia="宋体" w:cs="Times New Roman"/>
                <w:b w:val="0"/>
                <w:bCs w:val="0"/>
                <w:sz w:val="24"/>
                <w:szCs w:val="24"/>
                <w:highlight w:val="none"/>
              </w:rPr>
              <w:t>整体式路基（一）：K2+</w:t>
            </w:r>
            <w:r>
              <w:rPr>
                <w:rFonts w:hint="eastAsia" w:cs="Times New Roman"/>
                <w:b w:val="0"/>
                <w:bCs w:val="0"/>
                <w:sz w:val="24"/>
                <w:szCs w:val="24"/>
                <w:highlight w:val="none"/>
                <w:lang w:val="en-US" w:eastAsia="zh-CN"/>
              </w:rPr>
              <w:t>200</w:t>
            </w:r>
            <w:r>
              <w:rPr>
                <w:rFonts w:hint="default" w:ascii="Times New Roman" w:hAnsi="Times New Roman" w:cs="Times New Roman"/>
                <w:color w:val="auto"/>
                <w:kern w:val="0"/>
                <w:sz w:val="24"/>
              </w:rPr>
              <w:t>～</w:t>
            </w:r>
            <w:r>
              <w:rPr>
                <w:rFonts w:hint="default" w:ascii="Times New Roman" w:hAnsi="Times New Roman" w:eastAsia="宋体" w:cs="Times New Roman"/>
                <w:b w:val="0"/>
                <w:bCs w:val="0"/>
                <w:sz w:val="24"/>
                <w:szCs w:val="24"/>
                <w:highlight w:val="none"/>
              </w:rPr>
              <w:t>K7+</w:t>
            </w:r>
            <w:r>
              <w:rPr>
                <w:rFonts w:hint="default" w:ascii="Times New Roman" w:hAnsi="Times New Roman" w:eastAsia="宋体" w:cs="Times New Roman"/>
                <w:b w:val="0"/>
                <w:bCs w:val="0"/>
                <w:sz w:val="24"/>
                <w:szCs w:val="24"/>
                <w:highlight w:val="none"/>
                <w:lang w:val="en-US" w:eastAsia="zh-CN"/>
              </w:rPr>
              <w:t>29</w:t>
            </w:r>
            <w:r>
              <w:rPr>
                <w:rFonts w:hint="default" w:ascii="Times New Roman" w:hAnsi="Times New Roman" w:eastAsia="宋体" w:cs="Times New Roman"/>
                <w:b w:val="0"/>
                <w:bCs w:val="0"/>
                <w:sz w:val="24"/>
                <w:szCs w:val="24"/>
                <w:highlight w:val="none"/>
              </w:rPr>
              <w:t>0、K</w:t>
            </w:r>
            <w:r>
              <w:rPr>
                <w:rFonts w:hint="default" w:ascii="Times New Roman" w:hAnsi="Times New Roman" w:eastAsia="宋体" w:cs="Times New Roman"/>
                <w:b w:val="0"/>
                <w:bCs w:val="0"/>
                <w:sz w:val="24"/>
                <w:szCs w:val="24"/>
                <w:highlight w:val="none"/>
                <w:lang w:val="en-US" w:eastAsia="zh-CN"/>
              </w:rPr>
              <w:t>9+</w:t>
            </w:r>
            <w:r>
              <w:rPr>
                <w:rFonts w:hint="eastAsia" w:cs="Times New Roman"/>
                <w:b w:val="0"/>
                <w:bCs w:val="0"/>
                <w:sz w:val="24"/>
                <w:szCs w:val="24"/>
                <w:highlight w:val="none"/>
                <w:lang w:val="en-US" w:eastAsia="zh-CN"/>
              </w:rPr>
              <w:t>700</w:t>
            </w:r>
            <w:r>
              <w:rPr>
                <w:rFonts w:hint="default" w:ascii="Times New Roman" w:hAnsi="Times New Roman" w:cs="Times New Roman"/>
                <w:color w:val="auto"/>
                <w:kern w:val="0"/>
                <w:sz w:val="24"/>
              </w:rPr>
              <w:t>～</w:t>
            </w:r>
            <w:r>
              <w:rPr>
                <w:rFonts w:hint="default" w:ascii="Times New Roman" w:hAnsi="Times New Roman" w:eastAsia="宋体" w:cs="Times New Roman"/>
                <w:b w:val="0"/>
                <w:bCs w:val="0"/>
                <w:sz w:val="24"/>
                <w:szCs w:val="24"/>
                <w:highlight w:val="none"/>
              </w:rPr>
              <w:t>K1</w:t>
            </w:r>
            <w:r>
              <w:rPr>
                <w:rFonts w:hint="default" w:ascii="Times New Roman" w:hAnsi="Times New Roman" w:eastAsia="宋体" w:cs="Times New Roman"/>
                <w:b w:val="0"/>
                <w:bCs w:val="0"/>
                <w:sz w:val="24"/>
                <w:szCs w:val="24"/>
                <w:highlight w:val="none"/>
                <w:lang w:val="en-US" w:eastAsia="zh-CN"/>
              </w:rPr>
              <w:t>8+3</w:t>
            </w:r>
            <w:r>
              <w:rPr>
                <w:rFonts w:hint="default" w:ascii="Times New Roman" w:hAnsi="Times New Roman" w:eastAsia="宋体" w:cs="Times New Roman"/>
                <w:b w:val="0"/>
                <w:bCs w:val="0"/>
                <w:sz w:val="24"/>
                <w:szCs w:val="24"/>
                <w:highlight w:val="none"/>
              </w:rPr>
              <w:t>00、K</w:t>
            </w:r>
            <w:r>
              <w:rPr>
                <w:rFonts w:hint="default" w:ascii="Times New Roman" w:hAnsi="Times New Roman" w:eastAsia="宋体" w:cs="Times New Roman"/>
                <w:b w:val="0"/>
                <w:bCs w:val="0"/>
                <w:sz w:val="24"/>
                <w:szCs w:val="24"/>
                <w:highlight w:val="none"/>
                <w:lang w:val="en-US" w:eastAsia="zh-CN"/>
              </w:rPr>
              <w:t>22+41</w:t>
            </w:r>
            <w:r>
              <w:rPr>
                <w:rFonts w:hint="default" w:ascii="Times New Roman" w:hAnsi="Times New Roman" w:eastAsia="宋体" w:cs="Times New Roman"/>
                <w:b w:val="0"/>
                <w:bCs w:val="0"/>
                <w:sz w:val="24"/>
                <w:szCs w:val="24"/>
                <w:highlight w:val="none"/>
              </w:rPr>
              <w:t>0</w:t>
            </w:r>
            <w:r>
              <w:rPr>
                <w:rFonts w:hint="default" w:ascii="Times New Roman" w:hAnsi="Times New Roman" w:cs="Times New Roman"/>
                <w:color w:val="auto"/>
                <w:kern w:val="0"/>
                <w:sz w:val="24"/>
              </w:rPr>
              <w:t>～</w:t>
            </w:r>
            <w:r>
              <w:rPr>
                <w:rFonts w:hint="default" w:ascii="Times New Roman" w:hAnsi="Times New Roman" w:eastAsia="宋体" w:cs="Times New Roman"/>
                <w:b w:val="0"/>
                <w:bCs w:val="0"/>
                <w:sz w:val="24"/>
                <w:szCs w:val="24"/>
                <w:highlight w:val="none"/>
              </w:rPr>
              <w:t>K70+</w:t>
            </w:r>
            <w:r>
              <w:rPr>
                <w:rFonts w:hint="default" w:ascii="Times New Roman" w:hAnsi="Times New Roman" w:eastAsia="宋体" w:cs="Times New Roman"/>
                <w:b w:val="0"/>
                <w:bCs w:val="0"/>
                <w:sz w:val="24"/>
                <w:szCs w:val="24"/>
                <w:highlight w:val="none"/>
                <w:lang w:val="en-US" w:eastAsia="zh-CN"/>
              </w:rPr>
              <w:t>416</w:t>
            </w:r>
            <w:r>
              <w:rPr>
                <w:rFonts w:hint="default" w:ascii="Times New Roman" w:hAnsi="Times New Roman" w:eastAsia="宋体" w:cs="Times New Roman"/>
                <w:b w:val="0"/>
                <w:bCs w:val="0"/>
                <w:sz w:val="24"/>
                <w:szCs w:val="24"/>
                <w:highlight w:val="none"/>
              </w:rPr>
              <w:t>段</w:t>
            </w:r>
          </w:p>
          <w:p w14:paraId="295A504A">
            <w:pPr>
              <w:pStyle w:val="96"/>
              <w:keepNext w:val="0"/>
              <w:keepLines w:val="0"/>
              <w:pageBreakBefore w:val="0"/>
              <w:widowControl w:val="0"/>
              <w:kinsoku/>
              <w:wordWrap/>
              <w:overflowPunct/>
              <w:topLinePunct w:val="0"/>
              <w:autoSpaceDE/>
              <w:autoSpaceDN/>
              <w:bidi w:val="0"/>
              <w:adjustRightInd/>
              <w:snapToGrid/>
              <w:spacing w:after="157" w:afterLines="50" w:line="300" w:lineRule="auto"/>
              <w:textAlignment w:val="auto"/>
              <w:rPr>
                <w:rFonts w:hint="default" w:ascii="Times New Roman" w:hAnsi="Times New Roman" w:eastAsia="宋体" w:cs="Times New Roman"/>
                <w:b w:val="0"/>
                <w:bCs w:val="0"/>
                <w:sz w:val="24"/>
                <w:szCs w:val="24"/>
                <w:highlight w:val="none"/>
              </w:rPr>
            </w:pPr>
            <w:r>
              <w:rPr>
                <w:rFonts w:hint="default" w:ascii="Times New Roman" w:hAnsi="Times New Roman" w:eastAsia="宋体" w:cs="Times New Roman"/>
                <w:b w:val="0"/>
                <w:bCs w:val="0"/>
                <w:sz w:val="24"/>
                <w:szCs w:val="24"/>
                <w:highlight w:val="none"/>
              </w:rPr>
              <w:t>采用整体式双向四车道路基断面，设计车速80km/h，路基宽25.5m，其中行车道宽4×3.75m，中间带宽度3.0m（含中央分隔带宽2.0m，路缘带宽2×0.5m），硬路肩宽2×3.0m（含路缘带0.5m），土路肩宽2×0.75m。路基横断面见图2-1(</w:t>
            </w:r>
            <w:r>
              <w:rPr>
                <w:rFonts w:hint="eastAsia" w:ascii="Times New Roman" w:hAnsi="Times New Roman" w:cs="Times New Roman"/>
                <w:b w:val="0"/>
                <w:bCs w:val="0"/>
                <w:sz w:val="24"/>
                <w:szCs w:val="24"/>
                <w:highlight w:val="none"/>
                <w:lang w:val="en-US" w:eastAsia="zh-CN"/>
              </w:rPr>
              <w:t>2</w:t>
            </w:r>
            <w:r>
              <w:rPr>
                <w:rFonts w:hint="default" w:ascii="Times New Roman" w:hAnsi="Times New Roman" w:eastAsia="宋体" w:cs="Times New Roman"/>
                <w:b w:val="0"/>
                <w:bCs w:val="0"/>
                <w:sz w:val="24"/>
                <w:szCs w:val="24"/>
                <w:highlight w:val="none"/>
              </w:rPr>
              <w:t>)。</w:t>
            </w:r>
          </w:p>
          <w:p w14:paraId="562B83D8">
            <w:pPr>
              <w:adjustRightInd w:val="0"/>
              <w:snapToGrid w:val="0"/>
              <w:spacing w:line="360" w:lineRule="auto"/>
              <w:ind w:left="-21" w:right="-21"/>
              <w:jc w:val="center"/>
              <w:rPr>
                <w:rFonts w:hint="eastAsia" w:ascii="宋体" w:hAnsi="宋体" w:eastAsia="宋体" w:cs="宋体"/>
                <w:b/>
                <w:bCs/>
                <w:highlight w:val="none"/>
              </w:rPr>
            </w:pPr>
            <w:r>
              <w:rPr>
                <w:rFonts w:hint="eastAsia" w:ascii="宋体" w:hAnsi="宋体" w:eastAsia="宋体" w:cs="宋体"/>
                <w:highlight w:val="none"/>
              </w:rPr>
              <w:drawing>
                <wp:inline distT="0" distB="0" distL="114300" distR="114300">
                  <wp:extent cx="5340350" cy="1424940"/>
                  <wp:effectExtent l="0" t="0" r="12700" b="3810"/>
                  <wp:docPr id="2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
                          <pic:cNvPicPr>
                            <a:picLocks noChangeAspect="1"/>
                          </pic:cNvPicPr>
                        </pic:nvPicPr>
                        <pic:blipFill>
                          <a:blip r:embed="rId145"/>
                          <a:stretch>
                            <a:fillRect/>
                          </a:stretch>
                        </pic:blipFill>
                        <pic:spPr>
                          <a:xfrm>
                            <a:off x="0" y="0"/>
                            <a:ext cx="5340350" cy="1424940"/>
                          </a:xfrm>
                          <a:prstGeom prst="rect">
                            <a:avLst/>
                          </a:prstGeom>
                          <a:noFill/>
                          <a:ln>
                            <a:noFill/>
                          </a:ln>
                        </pic:spPr>
                      </pic:pic>
                    </a:graphicData>
                  </a:graphic>
                </wp:inline>
              </w:drawing>
            </w:r>
          </w:p>
          <w:p w14:paraId="4CDE6582">
            <w:pPr>
              <w:keepNext w:val="0"/>
              <w:keepLines w:val="0"/>
              <w:pageBreakBefore w:val="0"/>
              <w:widowControl w:val="0"/>
              <w:kinsoku/>
              <w:wordWrap/>
              <w:overflowPunct/>
              <w:topLinePunct w:val="0"/>
              <w:autoSpaceDE/>
              <w:autoSpaceDN/>
              <w:bidi w:val="0"/>
              <w:adjustRightInd w:val="0"/>
              <w:snapToGrid w:val="0"/>
              <w:spacing w:after="313" w:afterLines="100"/>
              <w:ind w:left="-23" w:right="-23"/>
              <w:jc w:val="center"/>
              <w:textAlignment w:val="auto"/>
              <w:rPr>
                <w:rFonts w:hint="eastAsia" w:ascii="宋体" w:hAnsi="宋体" w:eastAsia="宋体" w:cs="宋体"/>
                <w:b/>
                <w:sz w:val="21"/>
                <w:szCs w:val="21"/>
                <w:highlight w:val="none"/>
              </w:rPr>
            </w:pPr>
            <w:r>
              <w:rPr>
                <w:rFonts w:hint="eastAsia" w:ascii="宋体" w:hAnsi="宋体" w:eastAsia="宋体" w:cs="宋体"/>
                <w:b/>
                <w:sz w:val="21"/>
                <w:szCs w:val="21"/>
                <w:highlight w:val="none"/>
              </w:rPr>
              <w:t xml:space="preserve"> </w:t>
            </w:r>
            <w:r>
              <w:rPr>
                <w:rFonts w:hint="default" w:ascii="Times New Roman" w:hAnsi="Times New Roman" w:eastAsia="宋体" w:cs="Times New Roman"/>
                <w:b/>
                <w:sz w:val="21"/>
                <w:szCs w:val="21"/>
                <w:highlight w:val="none"/>
              </w:rPr>
              <w:t>图2-1(2)  路基横断面图</w:t>
            </w:r>
          </w:p>
          <w:p w14:paraId="6AEE5EE7">
            <w:pPr>
              <w:keepNext w:val="0"/>
              <w:keepLines w:val="0"/>
              <w:pageBreakBefore w:val="0"/>
              <w:widowControl w:val="0"/>
              <w:kinsoku/>
              <w:wordWrap/>
              <w:overflowPunct/>
              <w:topLinePunct w:val="0"/>
              <w:autoSpaceDE/>
              <w:autoSpaceDN/>
              <w:bidi w:val="0"/>
              <w:adjustRightInd w:val="0"/>
              <w:snapToGrid w:val="0"/>
              <w:spacing w:line="300" w:lineRule="auto"/>
              <w:ind w:left="-21" w:right="-21" w:firstLine="480" w:firstLineChars="200"/>
              <w:textAlignment w:val="auto"/>
              <w:rPr>
                <w:rFonts w:hint="default" w:ascii="Times New Roman" w:hAnsi="Times New Roman" w:eastAsia="宋体" w:cs="Times New Roman"/>
                <w:b w:val="0"/>
                <w:bCs w:val="0"/>
                <w:sz w:val="24"/>
                <w:szCs w:val="24"/>
                <w:highlight w:val="none"/>
              </w:rPr>
            </w:pPr>
            <w:r>
              <w:rPr>
                <w:rFonts w:hint="default" w:ascii="Times New Roman" w:hAnsi="Times New Roman" w:eastAsia="宋体" w:cs="Times New Roman"/>
                <w:b w:val="0"/>
                <w:bCs w:val="0"/>
                <w:sz w:val="24"/>
                <w:szCs w:val="24"/>
                <w:highlight w:val="none"/>
              </w:rPr>
              <w:fldChar w:fldCharType="begin"/>
            </w:r>
            <w:r>
              <w:rPr>
                <w:rFonts w:hint="default" w:ascii="Times New Roman" w:hAnsi="Times New Roman" w:eastAsia="宋体" w:cs="Times New Roman"/>
                <w:b w:val="0"/>
                <w:bCs w:val="0"/>
                <w:sz w:val="24"/>
                <w:szCs w:val="24"/>
                <w:highlight w:val="none"/>
              </w:rPr>
              <w:instrText xml:space="preserve"> = 3 \* GB3 \* MERGEFORMAT </w:instrText>
            </w:r>
            <w:r>
              <w:rPr>
                <w:rFonts w:hint="default" w:ascii="Times New Roman" w:hAnsi="Times New Roman" w:eastAsia="宋体" w:cs="Times New Roman"/>
                <w:b w:val="0"/>
                <w:bCs w:val="0"/>
                <w:sz w:val="24"/>
                <w:szCs w:val="24"/>
                <w:highlight w:val="none"/>
              </w:rPr>
              <w:fldChar w:fldCharType="separate"/>
            </w:r>
            <w:r>
              <w:rPr>
                <w:rFonts w:hint="default" w:ascii="Times New Roman" w:hAnsi="Times New Roman" w:cs="Times New Roman"/>
                <w:b w:val="0"/>
                <w:bCs w:val="0"/>
                <w:sz w:val="24"/>
                <w:szCs w:val="24"/>
              </w:rPr>
              <w:t>③</w:t>
            </w:r>
            <w:r>
              <w:rPr>
                <w:rFonts w:hint="default" w:ascii="Times New Roman" w:hAnsi="Times New Roman" w:eastAsia="宋体" w:cs="Times New Roman"/>
                <w:b w:val="0"/>
                <w:bCs w:val="0"/>
                <w:sz w:val="24"/>
                <w:szCs w:val="24"/>
                <w:highlight w:val="none"/>
              </w:rPr>
              <w:fldChar w:fldCharType="end"/>
            </w:r>
            <w:r>
              <w:rPr>
                <w:rFonts w:hint="default" w:ascii="Times New Roman" w:hAnsi="Times New Roman" w:cs="Times New Roman"/>
                <w:b w:val="0"/>
                <w:bCs w:val="0"/>
                <w:sz w:val="24"/>
                <w:szCs w:val="24"/>
                <w:highlight w:val="none"/>
                <w:lang w:val="en-US" w:eastAsia="zh-CN"/>
              </w:rPr>
              <w:t xml:space="preserve"> </w:t>
            </w:r>
            <w:r>
              <w:rPr>
                <w:rFonts w:hint="default" w:ascii="Times New Roman" w:hAnsi="Times New Roman" w:eastAsia="宋体" w:cs="Times New Roman"/>
                <w:b w:val="0"/>
                <w:bCs w:val="0"/>
                <w:sz w:val="24"/>
                <w:szCs w:val="24"/>
                <w:highlight w:val="none"/>
              </w:rPr>
              <w:t>整体式路基（二）：K1</w:t>
            </w:r>
            <w:r>
              <w:rPr>
                <w:rFonts w:hint="default" w:ascii="Times New Roman" w:hAnsi="Times New Roman" w:eastAsia="宋体" w:cs="Times New Roman"/>
                <w:b w:val="0"/>
                <w:bCs w:val="0"/>
                <w:sz w:val="24"/>
                <w:szCs w:val="24"/>
                <w:highlight w:val="none"/>
                <w:lang w:val="en-US" w:eastAsia="zh-CN"/>
              </w:rPr>
              <w:t>8+3</w:t>
            </w:r>
            <w:r>
              <w:rPr>
                <w:rFonts w:hint="default" w:ascii="Times New Roman" w:hAnsi="Times New Roman" w:eastAsia="宋体" w:cs="Times New Roman"/>
                <w:b w:val="0"/>
                <w:bCs w:val="0"/>
                <w:sz w:val="24"/>
                <w:szCs w:val="24"/>
                <w:highlight w:val="none"/>
              </w:rPr>
              <w:t>00</w:t>
            </w:r>
            <w:r>
              <w:rPr>
                <w:rFonts w:hint="default" w:ascii="Times New Roman" w:hAnsi="Times New Roman" w:eastAsia="宋体" w:cs="Times New Roman"/>
                <w:b w:val="0"/>
                <w:bCs w:val="0"/>
                <w:sz w:val="24"/>
                <w:szCs w:val="24"/>
                <w:highlight w:val="none"/>
                <w:lang w:eastAsia="zh-CN"/>
              </w:rPr>
              <w:t>～</w:t>
            </w:r>
            <w:r>
              <w:rPr>
                <w:rFonts w:hint="default" w:ascii="Times New Roman" w:hAnsi="Times New Roman" w:eastAsia="宋体" w:cs="Times New Roman"/>
                <w:b w:val="0"/>
                <w:bCs w:val="0"/>
                <w:sz w:val="24"/>
                <w:szCs w:val="24"/>
                <w:highlight w:val="none"/>
              </w:rPr>
              <w:t>K2</w:t>
            </w:r>
            <w:r>
              <w:rPr>
                <w:rFonts w:hint="default" w:ascii="Times New Roman" w:hAnsi="Times New Roman" w:eastAsia="宋体" w:cs="Times New Roman"/>
                <w:b w:val="0"/>
                <w:bCs w:val="0"/>
                <w:sz w:val="24"/>
                <w:szCs w:val="24"/>
                <w:highlight w:val="none"/>
                <w:lang w:val="en-US" w:eastAsia="zh-CN"/>
              </w:rPr>
              <w:t>2+41</w:t>
            </w:r>
            <w:r>
              <w:rPr>
                <w:rFonts w:hint="default" w:ascii="Times New Roman" w:hAnsi="Times New Roman" w:eastAsia="宋体" w:cs="Times New Roman"/>
                <w:b w:val="0"/>
                <w:bCs w:val="0"/>
                <w:sz w:val="24"/>
                <w:szCs w:val="24"/>
                <w:highlight w:val="none"/>
              </w:rPr>
              <w:t>0段</w:t>
            </w:r>
          </w:p>
          <w:p w14:paraId="1658E360">
            <w:pPr>
              <w:pStyle w:val="96"/>
              <w:keepNext w:val="0"/>
              <w:keepLines w:val="0"/>
              <w:pageBreakBefore w:val="0"/>
              <w:widowControl w:val="0"/>
              <w:kinsoku/>
              <w:wordWrap/>
              <w:overflowPunct/>
              <w:topLinePunct w:val="0"/>
              <w:autoSpaceDE/>
              <w:autoSpaceDN/>
              <w:bidi w:val="0"/>
              <w:adjustRightInd/>
              <w:snapToGrid/>
              <w:spacing w:after="157" w:afterLines="50" w:line="300" w:lineRule="auto"/>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K1</w:t>
            </w:r>
            <w:r>
              <w:rPr>
                <w:rFonts w:hint="default" w:ascii="Times New Roman" w:hAnsi="Times New Roman" w:cs="Times New Roman"/>
                <w:sz w:val="24"/>
                <w:szCs w:val="24"/>
                <w:highlight w:val="none"/>
                <w:lang w:val="en-US" w:eastAsia="zh-CN"/>
              </w:rPr>
              <w:t>8+3</w:t>
            </w:r>
            <w:r>
              <w:rPr>
                <w:rFonts w:hint="default" w:ascii="Times New Roman" w:hAnsi="Times New Roman" w:eastAsia="宋体" w:cs="Times New Roman"/>
                <w:sz w:val="24"/>
                <w:szCs w:val="24"/>
                <w:highlight w:val="none"/>
              </w:rPr>
              <w:t>00</w:t>
            </w:r>
            <w:r>
              <w:rPr>
                <w:rFonts w:hint="default" w:ascii="Times New Roman" w:hAnsi="Times New Roman" w:cs="Times New Roman"/>
                <w:sz w:val="24"/>
                <w:szCs w:val="24"/>
                <w:highlight w:val="none"/>
                <w:lang w:eastAsia="zh-CN"/>
              </w:rPr>
              <w:t>～</w:t>
            </w:r>
            <w:r>
              <w:rPr>
                <w:rFonts w:hint="default" w:ascii="Times New Roman" w:hAnsi="Times New Roman" w:eastAsia="宋体" w:cs="Times New Roman"/>
                <w:sz w:val="24"/>
                <w:szCs w:val="24"/>
                <w:highlight w:val="none"/>
              </w:rPr>
              <w:t>K2</w:t>
            </w:r>
            <w:r>
              <w:rPr>
                <w:rFonts w:hint="default" w:ascii="Times New Roman" w:hAnsi="Times New Roman" w:cs="Times New Roman"/>
                <w:sz w:val="24"/>
                <w:szCs w:val="24"/>
                <w:highlight w:val="none"/>
                <w:lang w:val="en-US" w:eastAsia="zh-CN"/>
              </w:rPr>
              <w:t>2+41</w:t>
            </w:r>
            <w:r>
              <w:rPr>
                <w:rFonts w:hint="default" w:ascii="Times New Roman" w:hAnsi="Times New Roman" w:eastAsia="宋体" w:cs="Times New Roman"/>
                <w:sz w:val="24"/>
                <w:szCs w:val="24"/>
                <w:highlight w:val="none"/>
              </w:rPr>
              <w:t>0段采用整体式双向四车道路基断面，设计车速60km/h，为</w:t>
            </w:r>
            <w:r>
              <w:rPr>
                <w:rFonts w:hint="eastAsia" w:ascii="Times New Roman" w:hAnsi="Times New Roman" w:cs="Times New Roman"/>
                <w:sz w:val="24"/>
                <w:szCs w:val="24"/>
                <w:highlight w:val="none"/>
                <w:lang w:val="en-US" w:eastAsia="zh-CN"/>
              </w:rPr>
              <w:t>避让基本农田</w:t>
            </w:r>
            <w:r>
              <w:rPr>
                <w:rFonts w:hint="default" w:ascii="Times New Roman" w:hAnsi="Times New Roman" w:eastAsia="宋体" w:cs="Times New Roman"/>
                <w:sz w:val="24"/>
                <w:szCs w:val="24"/>
                <w:highlight w:val="none"/>
              </w:rPr>
              <w:t>，路基宽度采用19.0～23.5m，其中行车道宽4×3.75m，中间带宽度2.5m（含中央分隔带宽1.5m，路缘带宽2×0.5m），硬路肩宽2×0.75～3.0m（硬路肩宽度结合用地情况选择，宽度渐变，渐变范围0.75～3.0m），土路肩宽2×0.75m。路基横断面见图2-1(</w:t>
            </w:r>
            <w:r>
              <w:rPr>
                <w:rFonts w:hint="eastAsia" w:ascii="Times New Roman" w:hAnsi="Times New Roman" w:cs="Times New Roman"/>
                <w:sz w:val="24"/>
                <w:szCs w:val="24"/>
                <w:highlight w:val="none"/>
                <w:lang w:val="en-US" w:eastAsia="zh-CN"/>
              </w:rPr>
              <w:t>3</w:t>
            </w:r>
            <w:r>
              <w:rPr>
                <w:rFonts w:hint="default" w:ascii="Times New Roman" w:hAnsi="Times New Roman" w:eastAsia="宋体" w:cs="Times New Roman"/>
                <w:sz w:val="24"/>
                <w:szCs w:val="24"/>
                <w:highlight w:val="none"/>
              </w:rPr>
              <w:t>)。</w:t>
            </w:r>
          </w:p>
          <w:p w14:paraId="1B53A43A">
            <w:pPr>
              <w:adjustRightInd w:val="0"/>
              <w:snapToGrid w:val="0"/>
              <w:spacing w:line="360" w:lineRule="auto"/>
              <w:jc w:val="center"/>
              <w:rPr>
                <w:rFonts w:hint="eastAsia" w:ascii="宋体" w:hAnsi="宋体" w:eastAsia="宋体" w:cs="宋体"/>
                <w:bCs/>
                <w:highlight w:val="none"/>
              </w:rPr>
            </w:pPr>
            <w:r>
              <w:rPr>
                <w:rFonts w:hint="eastAsia" w:ascii="宋体" w:hAnsi="宋体" w:eastAsia="宋体" w:cs="宋体"/>
                <w:highlight w:val="none"/>
              </w:rPr>
              <w:drawing>
                <wp:inline distT="0" distB="0" distL="114300" distR="114300">
                  <wp:extent cx="5309870" cy="1581785"/>
                  <wp:effectExtent l="0" t="0" r="5080" b="18415"/>
                  <wp:docPr id="1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
                          <pic:cNvPicPr>
                            <a:picLocks noChangeAspect="1"/>
                          </pic:cNvPicPr>
                        </pic:nvPicPr>
                        <pic:blipFill>
                          <a:blip r:embed="rId146"/>
                          <a:stretch>
                            <a:fillRect/>
                          </a:stretch>
                        </pic:blipFill>
                        <pic:spPr>
                          <a:xfrm>
                            <a:off x="0" y="0"/>
                            <a:ext cx="5309870" cy="1581785"/>
                          </a:xfrm>
                          <a:prstGeom prst="rect">
                            <a:avLst/>
                          </a:prstGeom>
                          <a:noFill/>
                          <a:ln>
                            <a:noFill/>
                          </a:ln>
                        </pic:spPr>
                      </pic:pic>
                    </a:graphicData>
                  </a:graphic>
                </wp:inline>
              </w:drawing>
            </w:r>
          </w:p>
          <w:p w14:paraId="4DF4F61D">
            <w:pPr>
              <w:keepNext w:val="0"/>
              <w:keepLines w:val="0"/>
              <w:pageBreakBefore w:val="0"/>
              <w:widowControl w:val="0"/>
              <w:kinsoku/>
              <w:wordWrap/>
              <w:overflowPunct/>
              <w:topLinePunct w:val="0"/>
              <w:autoSpaceDE/>
              <w:autoSpaceDN/>
              <w:bidi w:val="0"/>
              <w:adjustRightInd w:val="0"/>
              <w:snapToGrid w:val="0"/>
              <w:spacing w:after="313" w:afterLines="100"/>
              <w:ind w:left="-23" w:right="-23"/>
              <w:jc w:val="center"/>
              <w:textAlignment w:val="auto"/>
              <w:rPr>
                <w:rFonts w:hint="default" w:ascii="Times New Roman" w:hAnsi="Times New Roman" w:eastAsia="宋体" w:cs="Times New Roman"/>
                <w:b/>
                <w:sz w:val="21"/>
                <w:szCs w:val="21"/>
                <w:highlight w:val="none"/>
              </w:rPr>
            </w:pPr>
            <w:r>
              <w:rPr>
                <w:rFonts w:hint="eastAsia" w:ascii="宋体" w:hAnsi="宋体" w:eastAsia="宋体" w:cs="宋体"/>
                <w:b/>
                <w:sz w:val="21"/>
                <w:szCs w:val="21"/>
                <w:highlight w:val="none"/>
              </w:rPr>
              <w:t xml:space="preserve"> </w:t>
            </w:r>
            <w:r>
              <w:rPr>
                <w:rFonts w:hint="default" w:ascii="Times New Roman" w:hAnsi="Times New Roman" w:eastAsia="宋体" w:cs="Times New Roman"/>
                <w:b/>
                <w:sz w:val="21"/>
                <w:szCs w:val="21"/>
                <w:highlight w:val="none"/>
              </w:rPr>
              <w:t>图2-1(</w:t>
            </w:r>
            <w:r>
              <w:rPr>
                <w:rFonts w:hint="eastAsia" w:ascii="Times New Roman" w:hAnsi="Times New Roman" w:cs="Times New Roman"/>
                <w:b/>
                <w:sz w:val="21"/>
                <w:szCs w:val="21"/>
                <w:highlight w:val="none"/>
                <w:lang w:val="en-US" w:eastAsia="zh-CN"/>
              </w:rPr>
              <w:t>3</w:t>
            </w:r>
            <w:r>
              <w:rPr>
                <w:rFonts w:hint="default" w:ascii="Times New Roman" w:hAnsi="Times New Roman" w:eastAsia="宋体" w:cs="Times New Roman"/>
                <w:b/>
                <w:sz w:val="21"/>
                <w:szCs w:val="21"/>
                <w:highlight w:val="none"/>
              </w:rPr>
              <w:t>)  路基横断面图</w:t>
            </w:r>
          </w:p>
          <w:p w14:paraId="167B4133">
            <w:pPr>
              <w:keepNext w:val="0"/>
              <w:keepLines w:val="0"/>
              <w:pageBreakBefore w:val="0"/>
              <w:widowControl w:val="0"/>
              <w:kinsoku/>
              <w:wordWrap/>
              <w:overflowPunct/>
              <w:topLinePunct w:val="0"/>
              <w:autoSpaceDE/>
              <w:autoSpaceDN/>
              <w:bidi w:val="0"/>
              <w:adjustRightInd w:val="0"/>
              <w:snapToGrid w:val="0"/>
              <w:spacing w:line="300" w:lineRule="auto"/>
              <w:ind w:right="-21" w:firstLine="480" w:firstLineChars="200"/>
              <w:textAlignment w:val="auto"/>
              <w:rPr>
                <w:rFonts w:hint="default" w:ascii="Times New Roman" w:hAnsi="Times New Roman" w:eastAsia="宋体" w:cs="Times New Roman"/>
                <w:b w:val="0"/>
                <w:bCs w:val="0"/>
                <w:sz w:val="24"/>
                <w:szCs w:val="24"/>
                <w:highlight w:val="none"/>
              </w:rPr>
            </w:pPr>
            <w:r>
              <w:rPr>
                <w:rFonts w:hint="default" w:ascii="Times New Roman" w:hAnsi="Times New Roman" w:eastAsia="宋体" w:cs="Times New Roman"/>
                <w:b w:val="0"/>
                <w:bCs w:val="0"/>
                <w:sz w:val="24"/>
                <w:szCs w:val="24"/>
                <w:highlight w:val="none"/>
              </w:rPr>
              <w:fldChar w:fldCharType="begin"/>
            </w:r>
            <w:r>
              <w:rPr>
                <w:rFonts w:hint="default" w:ascii="Times New Roman" w:hAnsi="Times New Roman" w:eastAsia="宋体" w:cs="Times New Roman"/>
                <w:b w:val="0"/>
                <w:bCs w:val="0"/>
                <w:sz w:val="24"/>
                <w:szCs w:val="24"/>
                <w:highlight w:val="none"/>
              </w:rPr>
              <w:instrText xml:space="preserve"> = 4 \* GB3 \* MERGEFORMAT </w:instrText>
            </w:r>
            <w:r>
              <w:rPr>
                <w:rFonts w:hint="default" w:ascii="Times New Roman" w:hAnsi="Times New Roman" w:eastAsia="宋体" w:cs="Times New Roman"/>
                <w:b w:val="0"/>
                <w:bCs w:val="0"/>
                <w:sz w:val="24"/>
                <w:szCs w:val="24"/>
                <w:highlight w:val="none"/>
              </w:rPr>
              <w:fldChar w:fldCharType="separate"/>
            </w:r>
            <w:r>
              <w:rPr>
                <w:rFonts w:hint="default" w:ascii="Times New Roman" w:hAnsi="Times New Roman" w:cs="Times New Roman"/>
                <w:b w:val="0"/>
                <w:bCs w:val="0"/>
                <w:sz w:val="24"/>
                <w:szCs w:val="24"/>
              </w:rPr>
              <w:t>④</w:t>
            </w:r>
            <w:r>
              <w:rPr>
                <w:rFonts w:hint="default" w:ascii="Times New Roman" w:hAnsi="Times New Roman" w:eastAsia="宋体" w:cs="Times New Roman"/>
                <w:b w:val="0"/>
                <w:bCs w:val="0"/>
                <w:sz w:val="24"/>
                <w:szCs w:val="24"/>
                <w:highlight w:val="none"/>
              </w:rPr>
              <w:fldChar w:fldCharType="end"/>
            </w:r>
            <w:r>
              <w:rPr>
                <w:rFonts w:hint="default" w:ascii="Times New Roman" w:hAnsi="Times New Roman" w:cs="Times New Roman"/>
                <w:b w:val="0"/>
                <w:bCs w:val="0"/>
                <w:sz w:val="24"/>
                <w:szCs w:val="24"/>
                <w:highlight w:val="none"/>
                <w:lang w:val="en-US" w:eastAsia="zh-CN"/>
              </w:rPr>
              <w:t xml:space="preserve"> </w:t>
            </w:r>
            <w:r>
              <w:rPr>
                <w:rFonts w:hint="default" w:ascii="Times New Roman" w:hAnsi="Times New Roman" w:eastAsia="宋体" w:cs="Times New Roman"/>
                <w:b w:val="0"/>
                <w:bCs w:val="0"/>
                <w:sz w:val="24"/>
                <w:szCs w:val="24"/>
                <w:highlight w:val="none"/>
              </w:rPr>
              <w:t>整体式路基（三）：K7+</w:t>
            </w:r>
            <w:r>
              <w:rPr>
                <w:rFonts w:hint="default" w:ascii="Times New Roman" w:hAnsi="Times New Roman" w:eastAsia="宋体" w:cs="Times New Roman"/>
                <w:b w:val="0"/>
                <w:bCs w:val="0"/>
                <w:sz w:val="24"/>
                <w:szCs w:val="24"/>
                <w:highlight w:val="none"/>
                <w:lang w:val="en-US" w:eastAsia="zh-CN"/>
              </w:rPr>
              <w:t>29</w:t>
            </w:r>
            <w:r>
              <w:rPr>
                <w:rFonts w:hint="default" w:ascii="Times New Roman" w:hAnsi="Times New Roman" w:eastAsia="宋体" w:cs="Times New Roman"/>
                <w:b w:val="0"/>
                <w:bCs w:val="0"/>
                <w:sz w:val="24"/>
                <w:szCs w:val="24"/>
                <w:highlight w:val="none"/>
              </w:rPr>
              <w:t>0</w:t>
            </w:r>
            <w:r>
              <w:rPr>
                <w:rFonts w:hint="default" w:ascii="Times New Roman" w:hAnsi="Times New Roman" w:eastAsia="宋体" w:cs="Times New Roman"/>
                <w:b w:val="0"/>
                <w:bCs w:val="0"/>
                <w:sz w:val="24"/>
                <w:szCs w:val="24"/>
                <w:highlight w:val="none"/>
                <w:lang w:eastAsia="zh-CN"/>
              </w:rPr>
              <w:t>～</w:t>
            </w:r>
            <w:r>
              <w:rPr>
                <w:rFonts w:hint="default" w:ascii="Times New Roman" w:hAnsi="Times New Roman" w:eastAsia="宋体" w:cs="Times New Roman"/>
                <w:b w:val="0"/>
                <w:bCs w:val="0"/>
                <w:sz w:val="24"/>
                <w:szCs w:val="24"/>
                <w:highlight w:val="none"/>
              </w:rPr>
              <w:t>K</w:t>
            </w:r>
            <w:r>
              <w:rPr>
                <w:rFonts w:hint="default" w:ascii="Times New Roman" w:hAnsi="Times New Roman" w:eastAsia="宋体" w:cs="Times New Roman"/>
                <w:b w:val="0"/>
                <w:bCs w:val="0"/>
                <w:sz w:val="24"/>
                <w:szCs w:val="24"/>
                <w:highlight w:val="none"/>
                <w:lang w:val="en-US" w:eastAsia="zh-CN"/>
              </w:rPr>
              <w:t>9+</w:t>
            </w:r>
            <w:r>
              <w:rPr>
                <w:rFonts w:hint="eastAsia" w:cs="Times New Roman"/>
                <w:b w:val="0"/>
                <w:bCs w:val="0"/>
                <w:sz w:val="24"/>
                <w:szCs w:val="24"/>
                <w:highlight w:val="none"/>
                <w:lang w:val="en-US" w:eastAsia="zh-CN"/>
              </w:rPr>
              <w:t>700</w:t>
            </w:r>
            <w:r>
              <w:rPr>
                <w:rFonts w:hint="default" w:ascii="Times New Roman" w:hAnsi="Times New Roman" w:eastAsia="宋体" w:cs="Times New Roman"/>
                <w:b w:val="0"/>
                <w:bCs w:val="0"/>
                <w:sz w:val="24"/>
                <w:szCs w:val="24"/>
                <w:highlight w:val="none"/>
              </w:rPr>
              <w:t>过境段</w:t>
            </w:r>
          </w:p>
          <w:p w14:paraId="10B4A4D2">
            <w:pPr>
              <w:pStyle w:val="96"/>
              <w:keepNext w:val="0"/>
              <w:keepLines w:val="0"/>
              <w:pageBreakBefore w:val="0"/>
              <w:widowControl w:val="0"/>
              <w:kinsoku/>
              <w:wordWrap/>
              <w:overflowPunct/>
              <w:topLinePunct w:val="0"/>
              <w:autoSpaceDE/>
              <w:autoSpaceDN/>
              <w:bidi w:val="0"/>
              <w:adjustRightInd/>
              <w:snapToGrid/>
              <w:spacing w:line="300" w:lineRule="auto"/>
              <w:textAlignment w:val="auto"/>
              <w:rPr>
                <w:rFonts w:hint="eastAsia" w:ascii="宋体" w:hAnsi="宋体" w:eastAsia="宋体" w:cs="宋体"/>
                <w:highlight w:val="none"/>
              </w:rPr>
            </w:pPr>
            <w:bookmarkStart w:id="10" w:name="_Hlk218428285"/>
            <w:r>
              <w:rPr>
                <w:rFonts w:hint="default" w:ascii="Times New Roman" w:hAnsi="Times New Roman" w:eastAsia="宋体" w:cs="Times New Roman"/>
                <w:sz w:val="24"/>
                <w:szCs w:val="24"/>
                <w:highlight w:val="none"/>
              </w:rPr>
              <w:t>K7+</w:t>
            </w:r>
            <w:r>
              <w:rPr>
                <w:rFonts w:hint="default" w:ascii="Times New Roman" w:hAnsi="Times New Roman" w:cs="Times New Roman"/>
                <w:sz w:val="24"/>
                <w:szCs w:val="24"/>
                <w:highlight w:val="none"/>
                <w:lang w:val="en-US" w:eastAsia="zh-CN"/>
              </w:rPr>
              <w:t>29</w:t>
            </w:r>
            <w:r>
              <w:rPr>
                <w:rFonts w:hint="default" w:ascii="Times New Roman" w:hAnsi="Times New Roman" w:eastAsia="宋体" w:cs="Times New Roman"/>
                <w:sz w:val="24"/>
                <w:szCs w:val="24"/>
                <w:highlight w:val="none"/>
              </w:rPr>
              <w:t>0</w:t>
            </w:r>
            <w:r>
              <w:rPr>
                <w:rFonts w:hint="default" w:ascii="Times New Roman" w:hAnsi="Times New Roman" w:cs="Times New Roman"/>
                <w:sz w:val="24"/>
                <w:szCs w:val="24"/>
                <w:highlight w:val="none"/>
                <w:lang w:eastAsia="zh-CN"/>
              </w:rPr>
              <w:t>～</w:t>
            </w:r>
            <w:r>
              <w:rPr>
                <w:rFonts w:hint="default" w:ascii="Times New Roman" w:hAnsi="Times New Roman" w:eastAsia="宋体" w:cs="Times New Roman"/>
                <w:sz w:val="24"/>
                <w:szCs w:val="24"/>
                <w:highlight w:val="none"/>
              </w:rPr>
              <w:t>K</w:t>
            </w:r>
            <w:r>
              <w:rPr>
                <w:rFonts w:hint="default" w:ascii="Times New Roman" w:hAnsi="Times New Roman" w:cs="Times New Roman"/>
                <w:sz w:val="24"/>
                <w:szCs w:val="24"/>
                <w:highlight w:val="none"/>
                <w:lang w:val="en-US" w:eastAsia="zh-CN"/>
              </w:rPr>
              <w:t>9+</w:t>
            </w:r>
            <w:bookmarkEnd w:id="10"/>
            <w:r>
              <w:rPr>
                <w:rFonts w:hint="eastAsia" w:ascii="Times New Roman" w:hAnsi="Times New Roman" w:cs="Times New Roman"/>
                <w:sz w:val="24"/>
                <w:szCs w:val="24"/>
                <w:highlight w:val="none"/>
                <w:lang w:val="en-US" w:eastAsia="zh-CN"/>
              </w:rPr>
              <w:t>700</w:t>
            </w:r>
            <w:r>
              <w:rPr>
                <w:rFonts w:hint="default" w:ascii="Times New Roman" w:hAnsi="Times New Roman" w:eastAsia="宋体" w:cs="Times New Roman"/>
                <w:sz w:val="24"/>
                <w:szCs w:val="24"/>
                <w:highlight w:val="none"/>
              </w:rPr>
              <w:t>格达良乡过境段，采用整体式双向四车道路基断面，设计车速80km/h，路基宽2</w:t>
            </w:r>
            <w:r>
              <w:rPr>
                <w:rFonts w:hint="eastAsia" w:ascii="Times New Roman" w:hAnsi="Times New Roman" w:cs="Times New Roman"/>
                <w:sz w:val="24"/>
                <w:szCs w:val="24"/>
                <w:highlight w:val="none"/>
                <w:lang w:val="en-US" w:eastAsia="zh-CN"/>
              </w:rPr>
              <w:t>8.5</w:t>
            </w:r>
            <w:r>
              <w:rPr>
                <w:rFonts w:hint="default" w:ascii="Times New Roman" w:hAnsi="Times New Roman" w:eastAsia="宋体" w:cs="Times New Roman"/>
                <w:sz w:val="24"/>
                <w:szCs w:val="24"/>
                <w:highlight w:val="none"/>
              </w:rPr>
              <w:t>m，其中行车道宽4×3.75m，中间带宽度</w:t>
            </w:r>
            <w:r>
              <w:rPr>
                <w:rFonts w:hint="default" w:ascii="Times New Roman" w:hAnsi="Times New Roman" w:cs="Times New Roman"/>
                <w:sz w:val="24"/>
                <w:szCs w:val="24"/>
                <w:highlight w:val="none"/>
                <w:lang w:val="en-US" w:eastAsia="zh-CN"/>
              </w:rPr>
              <w:t>3.0</w:t>
            </w:r>
            <w:r>
              <w:rPr>
                <w:rFonts w:hint="default" w:ascii="Times New Roman" w:hAnsi="Times New Roman" w:eastAsia="宋体" w:cs="Times New Roman"/>
                <w:sz w:val="24"/>
                <w:szCs w:val="24"/>
                <w:highlight w:val="none"/>
              </w:rPr>
              <w:t>m（含中央分隔带宽</w:t>
            </w:r>
            <w:r>
              <w:rPr>
                <w:rFonts w:hint="default" w:ascii="Times New Roman" w:hAnsi="Times New Roman" w:cs="Times New Roman"/>
                <w:sz w:val="24"/>
                <w:szCs w:val="24"/>
                <w:highlight w:val="none"/>
                <w:lang w:val="en-US" w:eastAsia="zh-CN"/>
              </w:rPr>
              <w:t>2.0</w:t>
            </w:r>
            <w:r>
              <w:rPr>
                <w:rFonts w:hint="default" w:ascii="Times New Roman" w:hAnsi="Times New Roman" w:eastAsia="宋体" w:cs="Times New Roman"/>
                <w:sz w:val="24"/>
                <w:szCs w:val="24"/>
                <w:highlight w:val="none"/>
              </w:rPr>
              <w:t>m，路缘带宽2×0.5m），路缘带宽2×0.</w:t>
            </w:r>
            <w:r>
              <w:rPr>
                <w:rFonts w:hint="eastAsia" w:ascii="Times New Roman" w:hAnsi="Times New Roman" w:cs="Times New Roman"/>
                <w:sz w:val="24"/>
                <w:szCs w:val="24"/>
                <w:highlight w:val="none"/>
                <w:lang w:val="en-US" w:eastAsia="zh-CN"/>
              </w:rPr>
              <w:t>50</w:t>
            </w:r>
            <w:r>
              <w:rPr>
                <w:rFonts w:hint="default" w:ascii="Times New Roman" w:hAnsi="Times New Roman" w:eastAsia="宋体" w:cs="Times New Roman"/>
                <w:sz w:val="24"/>
                <w:szCs w:val="24"/>
                <w:highlight w:val="none"/>
              </w:rPr>
              <w:t>m，侧分带宽2×0.5m，</w:t>
            </w:r>
            <w:r>
              <w:rPr>
                <w:rFonts w:hint="default" w:ascii="Times New Roman" w:hAnsi="Times New Roman" w:cs="Times New Roman"/>
                <w:sz w:val="24"/>
                <w:szCs w:val="24"/>
                <w:highlight w:val="none"/>
                <w:lang w:val="en-US" w:eastAsia="zh-CN"/>
              </w:rPr>
              <w:t>人</w:t>
            </w:r>
            <w:r>
              <w:rPr>
                <w:rFonts w:hint="default" w:ascii="Times New Roman" w:hAnsi="Times New Roman" w:eastAsia="宋体" w:cs="Times New Roman"/>
                <w:sz w:val="24"/>
                <w:szCs w:val="24"/>
                <w:highlight w:val="none"/>
              </w:rPr>
              <w:t>非混行路缘带宽2×0.25m，</w:t>
            </w:r>
            <w:r>
              <w:rPr>
                <w:rFonts w:hint="default" w:ascii="Times New Roman" w:hAnsi="Times New Roman" w:cs="Times New Roman"/>
                <w:sz w:val="24"/>
                <w:szCs w:val="24"/>
                <w:highlight w:val="none"/>
                <w:lang w:val="en-US" w:eastAsia="zh-CN"/>
              </w:rPr>
              <w:t>人</w:t>
            </w:r>
            <w:r>
              <w:rPr>
                <w:rFonts w:hint="default" w:ascii="Times New Roman" w:hAnsi="Times New Roman" w:eastAsia="宋体" w:cs="Times New Roman"/>
                <w:sz w:val="24"/>
                <w:szCs w:val="24"/>
                <w:highlight w:val="none"/>
              </w:rPr>
              <w:t>非混行车道宽2×</w:t>
            </w:r>
            <w:r>
              <w:rPr>
                <w:rFonts w:hint="default" w:ascii="Times New Roman" w:hAnsi="Times New Roman" w:cs="Times New Roman"/>
                <w:sz w:val="24"/>
                <w:szCs w:val="24"/>
                <w:highlight w:val="none"/>
                <w:lang w:val="en-US" w:eastAsia="zh-CN"/>
              </w:rPr>
              <w:t>4</w:t>
            </w:r>
            <w:r>
              <w:rPr>
                <w:rFonts w:hint="default" w:ascii="Times New Roman" w:hAnsi="Times New Roman" w:eastAsia="宋体" w:cs="Times New Roman"/>
                <w:sz w:val="24"/>
                <w:szCs w:val="24"/>
                <w:highlight w:val="none"/>
              </w:rPr>
              <w:t>.0m。路基横断面见图2-1(</w:t>
            </w:r>
            <w:r>
              <w:rPr>
                <w:rFonts w:hint="eastAsia" w:ascii="Times New Roman" w:hAnsi="Times New Roman" w:cs="Times New Roman"/>
                <w:sz w:val="24"/>
                <w:szCs w:val="24"/>
                <w:highlight w:val="none"/>
                <w:lang w:val="en-US" w:eastAsia="zh-CN"/>
              </w:rPr>
              <w:t>4</w:t>
            </w:r>
            <w:r>
              <w:rPr>
                <w:rFonts w:hint="default" w:ascii="Times New Roman" w:hAnsi="Times New Roman" w:eastAsia="宋体" w:cs="Times New Roman"/>
                <w:sz w:val="24"/>
                <w:szCs w:val="24"/>
                <w:highlight w:val="none"/>
              </w:rPr>
              <w:t>)。</w:t>
            </w:r>
          </w:p>
          <w:p w14:paraId="131A5C57">
            <w:pPr>
              <w:rPr>
                <w:rFonts w:hint="eastAsia"/>
                <w:highlight w:val="none"/>
              </w:rPr>
            </w:pPr>
            <w:r>
              <w:rPr>
                <w:highlight w:val="none"/>
              </w:rPr>
              <w:drawing>
                <wp:inline distT="0" distB="0" distL="114300" distR="114300">
                  <wp:extent cx="5352415" cy="1736725"/>
                  <wp:effectExtent l="0" t="0" r="635" b="15875"/>
                  <wp:docPr id="1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4"/>
                          <pic:cNvPicPr>
                            <a:picLocks noChangeAspect="1"/>
                          </pic:cNvPicPr>
                        </pic:nvPicPr>
                        <pic:blipFill>
                          <a:blip r:embed="rId147"/>
                          <a:stretch>
                            <a:fillRect/>
                          </a:stretch>
                        </pic:blipFill>
                        <pic:spPr>
                          <a:xfrm>
                            <a:off x="0" y="0"/>
                            <a:ext cx="5352415" cy="1736725"/>
                          </a:xfrm>
                          <a:prstGeom prst="rect">
                            <a:avLst/>
                          </a:prstGeom>
                          <a:noFill/>
                          <a:ln>
                            <a:noFill/>
                          </a:ln>
                        </pic:spPr>
                      </pic:pic>
                    </a:graphicData>
                  </a:graphic>
                </wp:inline>
              </w:drawing>
            </w:r>
          </w:p>
          <w:p w14:paraId="02AFE402">
            <w:pPr>
              <w:keepNext w:val="0"/>
              <w:keepLines w:val="0"/>
              <w:pageBreakBefore w:val="0"/>
              <w:widowControl w:val="0"/>
              <w:kinsoku/>
              <w:wordWrap/>
              <w:overflowPunct/>
              <w:topLinePunct w:val="0"/>
              <w:autoSpaceDE/>
              <w:autoSpaceDN/>
              <w:bidi w:val="0"/>
              <w:adjustRightInd w:val="0"/>
              <w:snapToGrid w:val="0"/>
              <w:spacing w:after="313" w:afterLines="100"/>
              <w:ind w:left="-23" w:right="-23"/>
              <w:jc w:val="center"/>
              <w:textAlignment w:val="auto"/>
              <w:rPr>
                <w:rFonts w:hint="eastAsia" w:ascii="宋体" w:hAnsi="宋体" w:eastAsia="宋体" w:cs="宋体"/>
                <w:b/>
                <w:sz w:val="21"/>
                <w:szCs w:val="21"/>
                <w:highlight w:val="none"/>
              </w:rPr>
            </w:pPr>
            <w:r>
              <w:rPr>
                <w:rFonts w:hint="eastAsia" w:ascii="宋体" w:hAnsi="宋体" w:eastAsia="宋体" w:cs="宋体"/>
                <w:b/>
                <w:sz w:val="21"/>
                <w:szCs w:val="21"/>
                <w:highlight w:val="none"/>
              </w:rPr>
              <w:t xml:space="preserve"> </w:t>
            </w:r>
            <w:r>
              <w:rPr>
                <w:rFonts w:hint="default" w:ascii="Times New Roman" w:hAnsi="Times New Roman" w:eastAsia="宋体" w:cs="Times New Roman"/>
                <w:b/>
                <w:sz w:val="21"/>
                <w:szCs w:val="21"/>
                <w:highlight w:val="none"/>
              </w:rPr>
              <w:t>图2-1(</w:t>
            </w:r>
            <w:r>
              <w:rPr>
                <w:rFonts w:hint="eastAsia" w:cs="Times New Roman"/>
                <w:b/>
                <w:sz w:val="21"/>
                <w:szCs w:val="21"/>
                <w:highlight w:val="none"/>
                <w:lang w:val="en-US" w:eastAsia="zh-CN"/>
              </w:rPr>
              <w:t>4</w:t>
            </w:r>
            <w:r>
              <w:rPr>
                <w:rFonts w:hint="default" w:ascii="Times New Roman" w:hAnsi="Times New Roman" w:eastAsia="宋体" w:cs="Times New Roman"/>
                <w:b/>
                <w:sz w:val="21"/>
                <w:szCs w:val="21"/>
                <w:highlight w:val="none"/>
              </w:rPr>
              <w:t>)  路基横断面图</w:t>
            </w:r>
          </w:p>
          <w:p w14:paraId="539865A1">
            <w:pPr>
              <w:autoSpaceDE w:val="0"/>
              <w:autoSpaceDN w:val="0"/>
              <w:adjustRightInd w:val="0"/>
              <w:spacing w:line="300" w:lineRule="auto"/>
              <w:ind w:firstLine="480" w:firstLineChars="200"/>
              <w:rPr>
                <w:rFonts w:eastAsiaTheme="minorEastAsia"/>
                <w:color w:val="auto"/>
                <w:kern w:val="0"/>
                <w:sz w:val="24"/>
                <w:szCs w:val="24"/>
              </w:rPr>
            </w:pPr>
            <w:r>
              <w:rPr>
                <w:rFonts w:eastAsiaTheme="minorEastAsia"/>
                <w:color w:val="auto"/>
                <w:kern w:val="0"/>
                <w:sz w:val="24"/>
                <w:szCs w:val="24"/>
              </w:rPr>
              <w:t xml:space="preserve">2) </w:t>
            </w:r>
            <w:r>
              <w:rPr>
                <w:rFonts w:hAnsiTheme="minorEastAsia" w:eastAsiaTheme="minorEastAsia"/>
                <w:color w:val="auto"/>
                <w:kern w:val="0"/>
                <w:sz w:val="24"/>
                <w:szCs w:val="24"/>
              </w:rPr>
              <w:t>一般路基设计</w:t>
            </w:r>
          </w:p>
          <w:p w14:paraId="6D3CBB6D">
            <w:pPr>
              <w:autoSpaceDE w:val="0"/>
              <w:autoSpaceDN w:val="0"/>
              <w:adjustRightInd w:val="0"/>
              <w:spacing w:line="300" w:lineRule="auto"/>
              <w:ind w:firstLine="480" w:firstLineChars="200"/>
              <w:rPr>
                <w:rFonts w:hint="eastAsia" w:hAnsiTheme="minorEastAsia" w:eastAsiaTheme="minorEastAsia"/>
                <w:color w:val="auto"/>
                <w:kern w:val="0"/>
                <w:sz w:val="24"/>
                <w:szCs w:val="24"/>
              </w:rPr>
            </w:pPr>
            <w:r>
              <w:rPr>
                <w:rFonts w:hint="eastAsia" w:hAnsiTheme="minorEastAsia" w:eastAsiaTheme="minorEastAsia"/>
                <w:color w:val="auto"/>
                <w:kern w:val="0"/>
                <w:sz w:val="24"/>
                <w:szCs w:val="24"/>
              </w:rPr>
              <w:fldChar w:fldCharType="begin"/>
            </w:r>
            <w:r>
              <w:rPr>
                <w:rFonts w:hint="eastAsia" w:hAnsiTheme="minorEastAsia" w:eastAsiaTheme="minorEastAsia"/>
                <w:color w:val="auto"/>
                <w:kern w:val="0"/>
                <w:sz w:val="24"/>
                <w:szCs w:val="24"/>
              </w:rPr>
              <w:instrText xml:space="preserve"> = 1 \* GB3 \* MERGEFORMAT </w:instrText>
            </w:r>
            <w:r>
              <w:rPr>
                <w:rFonts w:hint="eastAsia" w:hAnsiTheme="minorEastAsia" w:eastAsiaTheme="minorEastAsia"/>
                <w:color w:val="auto"/>
                <w:kern w:val="0"/>
                <w:sz w:val="24"/>
                <w:szCs w:val="24"/>
              </w:rPr>
              <w:fldChar w:fldCharType="separate"/>
            </w:r>
            <w:r>
              <w:rPr>
                <w:color w:val="auto"/>
                <w:sz w:val="24"/>
                <w:szCs w:val="24"/>
              </w:rPr>
              <w:t>①</w:t>
            </w:r>
            <w:r>
              <w:rPr>
                <w:rFonts w:hint="eastAsia" w:hAnsiTheme="minorEastAsia" w:eastAsiaTheme="minorEastAsia"/>
                <w:color w:val="auto"/>
                <w:kern w:val="0"/>
                <w:sz w:val="24"/>
                <w:szCs w:val="24"/>
              </w:rPr>
              <w:fldChar w:fldCharType="end"/>
            </w:r>
            <w:r>
              <w:rPr>
                <w:rFonts w:hint="eastAsia" w:hAnsiTheme="minorEastAsia" w:eastAsiaTheme="minorEastAsia"/>
                <w:color w:val="auto"/>
                <w:kern w:val="0"/>
                <w:sz w:val="24"/>
                <w:szCs w:val="24"/>
                <w:lang w:val="en-US" w:eastAsia="zh-CN"/>
              </w:rPr>
              <w:t xml:space="preserve"> </w:t>
            </w:r>
            <w:r>
              <w:rPr>
                <w:rFonts w:hint="eastAsia" w:hAnsiTheme="minorEastAsia" w:eastAsiaTheme="minorEastAsia"/>
                <w:color w:val="auto"/>
                <w:kern w:val="0"/>
                <w:sz w:val="24"/>
                <w:szCs w:val="24"/>
              </w:rPr>
              <w:t>低填浅挖处理</w:t>
            </w:r>
          </w:p>
          <w:p w14:paraId="6322B368">
            <w:pPr>
              <w:autoSpaceDE w:val="0"/>
              <w:autoSpaceDN w:val="0"/>
              <w:adjustRightInd w:val="0"/>
              <w:spacing w:line="300" w:lineRule="auto"/>
              <w:ind w:firstLine="480" w:firstLineChars="200"/>
              <w:rPr>
                <w:rFonts w:hint="eastAsia" w:hAnsiTheme="minorEastAsia" w:eastAsiaTheme="minorEastAsia"/>
                <w:color w:val="auto"/>
                <w:kern w:val="0"/>
                <w:sz w:val="24"/>
                <w:szCs w:val="24"/>
              </w:rPr>
            </w:pPr>
            <w:r>
              <w:rPr>
                <w:rFonts w:hint="eastAsia" w:hAnsiTheme="minorEastAsia" w:eastAsiaTheme="minorEastAsia"/>
                <w:color w:val="auto"/>
                <w:kern w:val="0"/>
                <w:sz w:val="24"/>
                <w:szCs w:val="24"/>
              </w:rPr>
              <w:t>对路基高度H≤C+0.8m（C为路面结构厚度）时，不受地下水影响且基底压实度难以满足90%要求的填方路段，当清除表土以及特殊路基换填处理后，路基填土高度小于路面和路床总厚度时，进行低填浅挖处理。</w:t>
            </w:r>
          </w:p>
          <w:p w14:paraId="4225D68C">
            <w:pPr>
              <w:autoSpaceDE w:val="0"/>
              <w:autoSpaceDN w:val="0"/>
              <w:adjustRightInd w:val="0"/>
              <w:spacing w:line="300" w:lineRule="auto"/>
              <w:ind w:firstLine="480" w:firstLineChars="200"/>
              <w:rPr>
                <w:rFonts w:hint="eastAsia" w:hAnsiTheme="minorEastAsia" w:eastAsiaTheme="minorEastAsia"/>
                <w:color w:val="auto"/>
                <w:kern w:val="0"/>
                <w:sz w:val="24"/>
                <w:szCs w:val="24"/>
              </w:rPr>
            </w:pPr>
            <w:r>
              <w:rPr>
                <w:rFonts w:hint="eastAsia" w:hAnsiTheme="minorEastAsia" w:eastAsiaTheme="minorEastAsia"/>
                <w:color w:val="auto"/>
                <w:kern w:val="0"/>
                <w:sz w:val="24"/>
                <w:szCs w:val="24"/>
              </w:rPr>
              <w:t>路基填料为砾类土路段采用超挖回填碾压，对0～50cm深度内地基土进行超挖并分层回填碾压，对路床50～80cm范围内地基土进行翻松碾压，以保证0～80cm厚路床满足压实要求。</w:t>
            </w:r>
          </w:p>
          <w:p w14:paraId="30C64C45">
            <w:pPr>
              <w:autoSpaceDE w:val="0"/>
              <w:autoSpaceDN w:val="0"/>
              <w:adjustRightInd w:val="0"/>
              <w:spacing w:line="300" w:lineRule="auto"/>
              <w:ind w:firstLine="480" w:firstLineChars="200"/>
              <w:rPr>
                <w:rFonts w:hint="eastAsia" w:hAnsiTheme="minorEastAsia" w:eastAsiaTheme="minorEastAsia"/>
                <w:color w:val="auto"/>
                <w:kern w:val="0"/>
                <w:sz w:val="24"/>
                <w:szCs w:val="24"/>
              </w:rPr>
            </w:pPr>
            <w:r>
              <w:rPr>
                <w:rFonts w:hint="eastAsia" w:hAnsiTheme="minorEastAsia" w:eastAsiaTheme="minorEastAsia"/>
                <w:color w:val="auto"/>
                <w:kern w:val="0"/>
                <w:sz w:val="24"/>
                <w:szCs w:val="24"/>
              </w:rPr>
              <w:t>路基填料为粉土路段采用挖除换填，对0～80cm深度内地基土进行挖除换填处理，以保证0～80cm厚路床满足压实要求，新建及拼宽部分路床土压实度≥97%。</w:t>
            </w:r>
          </w:p>
          <w:p w14:paraId="1899DAEE">
            <w:pPr>
              <w:autoSpaceDE w:val="0"/>
              <w:autoSpaceDN w:val="0"/>
              <w:adjustRightInd w:val="0"/>
              <w:spacing w:line="300" w:lineRule="auto"/>
              <w:ind w:firstLine="480" w:firstLineChars="200"/>
              <w:rPr>
                <w:rFonts w:hint="eastAsia" w:hAnsiTheme="minorEastAsia" w:eastAsiaTheme="minorEastAsia"/>
                <w:color w:val="auto"/>
                <w:kern w:val="0"/>
                <w:sz w:val="24"/>
              </w:rPr>
            </w:pPr>
            <w:r>
              <w:rPr>
                <w:rFonts w:hint="eastAsia" w:hAnsiTheme="minorEastAsia" w:eastAsiaTheme="minorEastAsia"/>
                <w:color w:val="auto"/>
                <w:kern w:val="0"/>
                <w:sz w:val="24"/>
                <w:szCs w:val="24"/>
              </w:rPr>
              <w:fldChar w:fldCharType="begin"/>
            </w:r>
            <w:r>
              <w:rPr>
                <w:rFonts w:hint="eastAsia" w:hAnsiTheme="minorEastAsia" w:eastAsiaTheme="minorEastAsia"/>
                <w:color w:val="auto"/>
                <w:kern w:val="0"/>
                <w:sz w:val="24"/>
                <w:szCs w:val="24"/>
              </w:rPr>
              <w:instrText xml:space="preserve"> = 2 \* GB3 \* MERGEFORMAT </w:instrText>
            </w:r>
            <w:r>
              <w:rPr>
                <w:rFonts w:hint="eastAsia" w:hAnsiTheme="minorEastAsia" w:eastAsiaTheme="minorEastAsia"/>
                <w:color w:val="auto"/>
                <w:kern w:val="0"/>
                <w:sz w:val="24"/>
                <w:szCs w:val="24"/>
              </w:rPr>
              <w:fldChar w:fldCharType="separate"/>
            </w:r>
            <w:r>
              <w:rPr>
                <w:color w:val="auto"/>
                <w:sz w:val="24"/>
                <w:szCs w:val="24"/>
              </w:rPr>
              <w:t>②</w:t>
            </w:r>
            <w:r>
              <w:rPr>
                <w:rFonts w:hint="eastAsia" w:hAnsiTheme="minorEastAsia" w:eastAsiaTheme="minorEastAsia"/>
                <w:color w:val="auto"/>
                <w:kern w:val="0"/>
                <w:sz w:val="24"/>
                <w:szCs w:val="24"/>
              </w:rPr>
              <w:fldChar w:fldCharType="end"/>
            </w:r>
            <w:r>
              <w:rPr>
                <w:rFonts w:hint="eastAsia" w:hAnsiTheme="minorEastAsia" w:eastAsiaTheme="minorEastAsia"/>
                <w:color w:val="auto"/>
                <w:kern w:val="0"/>
                <w:sz w:val="24"/>
                <w:szCs w:val="24"/>
                <w:lang w:val="en-US" w:eastAsia="zh-CN"/>
              </w:rPr>
              <w:t xml:space="preserve"> </w:t>
            </w:r>
            <w:r>
              <w:rPr>
                <w:rFonts w:hint="eastAsia" w:hAnsiTheme="minorEastAsia" w:eastAsiaTheme="minorEastAsia"/>
                <w:color w:val="auto"/>
                <w:kern w:val="0"/>
                <w:sz w:val="24"/>
                <w:szCs w:val="24"/>
              </w:rPr>
              <w:t>路基高</w:t>
            </w:r>
            <w:r>
              <w:rPr>
                <w:rFonts w:hint="eastAsia" w:hAnsiTheme="minorEastAsia" w:eastAsiaTheme="minorEastAsia"/>
                <w:color w:val="auto"/>
                <w:kern w:val="0"/>
                <w:sz w:val="24"/>
              </w:rPr>
              <w:t>度、路堤（或路堑）最大、最小高度及其控制因素</w:t>
            </w:r>
          </w:p>
          <w:p w14:paraId="156DADC2">
            <w:pPr>
              <w:autoSpaceDE w:val="0"/>
              <w:autoSpaceDN w:val="0"/>
              <w:adjustRightInd w:val="0"/>
              <w:spacing w:line="300" w:lineRule="auto"/>
              <w:ind w:firstLine="480" w:firstLineChars="200"/>
              <w:rPr>
                <w:rFonts w:hint="eastAsia" w:hAnsiTheme="minorEastAsia" w:eastAsiaTheme="minorEastAsia"/>
                <w:color w:val="auto"/>
                <w:kern w:val="0"/>
                <w:sz w:val="24"/>
              </w:rPr>
            </w:pPr>
            <w:r>
              <w:rPr>
                <w:rFonts w:hint="eastAsia" w:hAnsiTheme="minorEastAsia" w:eastAsiaTheme="minorEastAsia"/>
                <w:color w:val="auto"/>
                <w:kern w:val="0"/>
                <w:sz w:val="24"/>
                <w:lang w:val="en-US" w:eastAsia="zh-CN"/>
              </w:rPr>
              <w:t xml:space="preserve">a. </w:t>
            </w:r>
            <w:r>
              <w:rPr>
                <w:rFonts w:hint="eastAsia" w:hAnsiTheme="minorEastAsia" w:eastAsiaTheme="minorEastAsia"/>
                <w:color w:val="auto"/>
                <w:kern w:val="0"/>
                <w:sz w:val="24"/>
              </w:rPr>
              <w:t>路基高度</w:t>
            </w:r>
          </w:p>
          <w:p w14:paraId="61147153">
            <w:pPr>
              <w:autoSpaceDE w:val="0"/>
              <w:autoSpaceDN w:val="0"/>
              <w:adjustRightInd w:val="0"/>
              <w:spacing w:line="300" w:lineRule="auto"/>
              <w:ind w:firstLine="480" w:firstLineChars="200"/>
              <w:rPr>
                <w:rFonts w:hint="eastAsia" w:hAnsiTheme="minorEastAsia" w:eastAsiaTheme="minorEastAsia"/>
                <w:color w:val="auto"/>
                <w:kern w:val="0"/>
                <w:sz w:val="24"/>
              </w:rPr>
            </w:pPr>
            <w:r>
              <w:rPr>
                <w:rFonts w:hint="eastAsia" w:hAnsiTheme="minorEastAsia" w:eastAsiaTheme="minorEastAsia"/>
                <w:color w:val="auto"/>
                <w:kern w:val="0"/>
                <w:sz w:val="24"/>
              </w:rPr>
              <w:t>路基高度按《公路工程技术标准》(JTG B01-2014)执行。</w:t>
            </w:r>
            <w:r>
              <w:rPr>
                <w:rFonts w:hint="eastAsia" w:hAnsiTheme="minorEastAsia" w:eastAsiaTheme="minorEastAsia"/>
                <w:color w:val="auto"/>
                <w:kern w:val="0"/>
                <w:sz w:val="24"/>
                <w:lang w:val="en-US" w:eastAsia="zh-CN"/>
              </w:rPr>
              <w:t>拟建公路</w:t>
            </w:r>
            <w:r>
              <w:rPr>
                <w:rFonts w:hint="eastAsia" w:hAnsiTheme="minorEastAsia" w:eastAsiaTheme="minorEastAsia"/>
                <w:color w:val="auto"/>
                <w:kern w:val="0"/>
                <w:sz w:val="24"/>
              </w:rPr>
              <w:t>为改扩建项目，沿线均利用旧路拼宽改造，路基填高与旧路路基高度保持一致，局部新建段路基填高满足《公路路基设计规范》3.3.2节相关要求，季节性冻土段填高不小于1.46m（冻深+结构层厚度）控制，特殊路基路段结合特殊路基处置方案综合确定路基填高。</w:t>
            </w:r>
            <w:r>
              <w:rPr>
                <w:rFonts w:hint="eastAsia" w:hAnsiTheme="minorEastAsia" w:eastAsiaTheme="minorEastAsia"/>
                <w:color w:val="auto"/>
                <w:kern w:val="0"/>
                <w:sz w:val="24"/>
                <w:lang w:val="en-US" w:eastAsia="zh-CN"/>
              </w:rPr>
              <w:t>拟建公路</w:t>
            </w:r>
            <w:r>
              <w:rPr>
                <w:rFonts w:hint="eastAsia" w:hAnsiTheme="minorEastAsia" w:eastAsiaTheme="minorEastAsia"/>
                <w:color w:val="auto"/>
                <w:kern w:val="0"/>
                <w:sz w:val="24"/>
              </w:rPr>
              <w:t>填方路基最大填方高度约10.0m。</w:t>
            </w:r>
          </w:p>
          <w:p w14:paraId="533EB0B6">
            <w:pPr>
              <w:autoSpaceDE w:val="0"/>
              <w:autoSpaceDN w:val="0"/>
              <w:adjustRightInd w:val="0"/>
              <w:spacing w:line="300" w:lineRule="auto"/>
              <w:ind w:firstLine="480" w:firstLineChars="200"/>
              <w:rPr>
                <w:rFonts w:hint="eastAsia" w:hAnsiTheme="minorEastAsia" w:eastAsiaTheme="minorEastAsia"/>
                <w:color w:val="auto"/>
                <w:kern w:val="0"/>
                <w:sz w:val="24"/>
              </w:rPr>
            </w:pPr>
            <w:r>
              <w:rPr>
                <w:rFonts w:hint="eastAsia" w:hAnsiTheme="minorEastAsia" w:eastAsiaTheme="minorEastAsia"/>
                <w:color w:val="auto"/>
                <w:kern w:val="0"/>
                <w:sz w:val="24"/>
                <w:lang w:val="en-US" w:eastAsia="zh-CN"/>
              </w:rPr>
              <w:t xml:space="preserve">b. </w:t>
            </w:r>
            <w:r>
              <w:rPr>
                <w:rFonts w:hint="eastAsia" w:hAnsiTheme="minorEastAsia" w:eastAsiaTheme="minorEastAsia"/>
                <w:color w:val="auto"/>
                <w:kern w:val="0"/>
                <w:sz w:val="24"/>
              </w:rPr>
              <w:t>路基压实度、填料最小强度(CBR)、最大粒径要求</w:t>
            </w:r>
          </w:p>
          <w:p w14:paraId="4F7D818C">
            <w:pPr>
              <w:autoSpaceDE w:val="0"/>
              <w:autoSpaceDN w:val="0"/>
              <w:adjustRightInd w:val="0"/>
              <w:spacing w:line="300" w:lineRule="auto"/>
              <w:ind w:firstLine="480" w:firstLineChars="200"/>
              <w:rPr>
                <w:rFonts w:eastAsiaTheme="minorEastAsia"/>
                <w:color w:val="auto"/>
                <w:kern w:val="0"/>
                <w:sz w:val="24"/>
              </w:rPr>
            </w:pPr>
            <w:r>
              <w:rPr>
                <w:rFonts w:hint="eastAsia" w:hAnsiTheme="minorEastAsia" w:eastAsiaTheme="minorEastAsia"/>
                <w:color w:val="auto"/>
                <w:kern w:val="0"/>
                <w:sz w:val="24"/>
              </w:rPr>
              <w:t>施工中应严格控制路基填料质量，严禁填筑盐渍土和有机质土，严禁填筑含有草皮、生活垃圾、树根、腐殖质的土。路基应分层铺筑，均匀压实，路基压实度以重型击实试验法为准，执行</w:t>
            </w:r>
            <w:r>
              <w:rPr>
                <w:rFonts w:hint="eastAsia" w:hAnsiTheme="minorEastAsia" w:eastAsiaTheme="minorEastAsia"/>
                <w:color w:val="auto"/>
                <w:kern w:val="0"/>
                <w:sz w:val="24"/>
                <w:lang w:val="en-US" w:eastAsia="zh-CN"/>
              </w:rPr>
              <w:t>原</w:t>
            </w:r>
            <w:r>
              <w:rPr>
                <w:rFonts w:hint="eastAsia" w:hAnsiTheme="minorEastAsia" w:eastAsiaTheme="minorEastAsia"/>
                <w:color w:val="auto"/>
                <w:kern w:val="0"/>
                <w:sz w:val="24"/>
              </w:rPr>
              <w:t>新疆维吾尔自治区交通厅新交质监[2002]2号文件和《公路路基设计规范》JTGD30-2015两者中较高的压实标准。</w:t>
            </w:r>
          </w:p>
          <w:p w14:paraId="1CDFC123">
            <w:pPr>
              <w:autoSpaceDE w:val="0"/>
              <w:autoSpaceDN w:val="0"/>
              <w:adjustRightInd w:val="0"/>
              <w:spacing w:line="300" w:lineRule="auto"/>
              <w:ind w:firstLine="480" w:firstLineChars="200"/>
              <w:rPr>
                <w:rFonts w:eastAsiaTheme="minorEastAsia"/>
                <w:color w:val="auto"/>
                <w:kern w:val="0"/>
                <w:sz w:val="24"/>
              </w:rPr>
            </w:pPr>
            <w:r>
              <w:rPr>
                <w:rFonts w:hint="eastAsia" w:hAnsiTheme="minorEastAsia" w:eastAsiaTheme="minorEastAsia"/>
                <w:color w:val="auto"/>
                <w:kern w:val="0"/>
                <w:sz w:val="24"/>
                <w:lang w:val="en-US" w:eastAsia="zh-CN"/>
              </w:rPr>
              <w:t xml:space="preserve">c. </w:t>
            </w:r>
            <w:r>
              <w:rPr>
                <w:rFonts w:hAnsiTheme="minorEastAsia" w:eastAsiaTheme="minorEastAsia"/>
                <w:color w:val="auto"/>
                <w:kern w:val="0"/>
                <w:sz w:val="24"/>
              </w:rPr>
              <w:t>新旧路基衔接</w:t>
            </w:r>
          </w:p>
          <w:p w14:paraId="18B026BE">
            <w:pPr>
              <w:keepNext w:val="0"/>
              <w:keepLines w:val="0"/>
              <w:pageBreakBefore w:val="0"/>
              <w:widowControl w:val="0"/>
              <w:numPr>
                <w:ilvl w:val="0"/>
                <w:numId w:val="1"/>
              </w:numPr>
              <w:tabs>
                <w:tab w:val="left" w:pos="640"/>
              </w:tabs>
              <w:kinsoku/>
              <w:wordWrap/>
              <w:overflowPunct/>
              <w:topLinePunct w:val="0"/>
              <w:autoSpaceDE w:val="0"/>
              <w:autoSpaceDN w:val="0"/>
              <w:bidi w:val="0"/>
              <w:adjustRightInd w:val="0"/>
              <w:snapToGrid/>
              <w:spacing w:line="300" w:lineRule="auto"/>
              <w:ind w:left="420" w:leftChars="0" w:firstLine="0" w:firstLineChars="0"/>
              <w:textAlignment w:val="auto"/>
              <w:rPr>
                <w:rFonts w:hint="eastAsia" w:hAnsiTheme="minorEastAsia" w:eastAsiaTheme="minorEastAsia"/>
                <w:color w:val="auto"/>
                <w:kern w:val="0"/>
                <w:sz w:val="24"/>
              </w:rPr>
            </w:pPr>
            <w:r>
              <w:rPr>
                <w:rFonts w:hint="eastAsia" w:hAnsiTheme="minorEastAsia" w:eastAsiaTheme="minorEastAsia"/>
                <w:color w:val="auto"/>
                <w:kern w:val="0"/>
                <w:sz w:val="24"/>
              </w:rPr>
              <w:t>由于改扩建工程需对现有路基拼接加宽，现有路基沉降多年已基本稳定，而新路基沉降时间短，新旧路基之间必将产生不均匀沉降，从而产生纵向裂缝。如何减少或抑制新老路基沉降差，确保路基拼接稳固是本项目的重点、难点。</w:t>
            </w:r>
          </w:p>
          <w:p w14:paraId="7A823DA9">
            <w:pPr>
              <w:keepNext w:val="0"/>
              <w:keepLines w:val="0"/>
              <w:pageBreakBefore w:val="0"/>
              <w:widowControl w:val="0"/>
              <w:numPr>
                <w:ilvl w:val="0"/>
                <w:numId w:val="1"/>
              </w:numPr>
              <w:tabs>
                <w:tab w:val="left" w:pos="640"/>
              </w:tabs>
              <w:kinsoku/>
              <w:wordWrap/>
              <w:overflowPunct/>
              <w:topLinePunct w:val="0"/>
              <w:autoSpaceDE w:val="0"/>
              <w:autoSpaceDN w:val="0"/>
              <w:bidi w:val="0"/>
              <w:adjustRightInd w:val="0"/>
              <w:snapToGrid/>
              <w:spacing w:line="300" w:lineRule="auto"/>
              <w:ind w:left="420" w:leftChars="0" w:firstLine="0" w:firstLineChars="0"/>
              <w:textAlignment w:val="auto"/>
              <w:rPr>
                <w:rFonts w:hint="eastAsia" w:hAnsiTheme="minorEastAsia" w:eastAsiaTheme="minorEastAsia"/>
                <w:color w:val="auto"/>
                <w:kern w:val="0"/>
                <w:sz w:val="24"/>
              </w:rPr>
            </w:pPr>
            <w:r>
              <w:rPr>
                <w:rFonts w:hint="eastAsia" w:hAnsiTheme="minorEastAsia" w:eastAsiaTheme="minorEastAsia"/>
                <w:color w:val="auto"/>
                <w:kern w:val="0"/>
                <w:sz w:val="24"/>
              </w:rPr>
              <w:t>对于已稳定的路基边坡，先进行清坡处理，清除既有路基边坡圬工及表层松散土等；路基拓宽处地基表层根据需要清除表土。</w:t>
            </w:r>
          </w:p>
          <w:p w14:paraId="14FB4E0E">
            <w:pPr>
              <w:keepNext w:val="0"/>
              <w:keepLines w:val="0"/>
              <w:pageBreakBefore w:val="0"/>
              <w:widowControl w:val="0"/>
              <w:numPr>
                <w:ilvl w:val="0"/>
                <w:numId w:val="1"/>
              </w:numPr>
              <w:tabs>
                <w:tab w:val="left" w:pos="640"/>
              </w:tabs>
              <w:kinsoku/>
              <w:wordWrap/>
              <w:overflowPunct/>
              <w:topLinePunct w:val="0"/>
              <w:autoSpaceDE w:val="0"/>
              <w:autoSpaceDN w:val="0"/>
              <w:bidi w:val="0"/>
              <w:adjustRightInd w:val="0"/>
              <w:snapToGrid/>
              <w:spacing w:line="300" w:lineRule="auto"/>
              <w:ind w:left="420" w:leftChars="0" w:firstLine="0" w:firstLineChars="0"/>
              <w:textAlignment w:val="auto"/>
              <w:rPr>
                <w:rFonts w:hint="eastAsia" w:hAnsiTheme="minorEastAsia" w:eastAsiaTheme="minorEastAsia"/>
                <w:color w:val="auto"/>
                <w:kern w:val="0"/>
                <w:sz w:val="24"/>
              </w:rPr>
            </w:pPr>
            <w:r>
              <w:rPr>
                <w:rFonts w:hint="eastAsia" w:hAnsiTheme="minorEastAsia" w:eastAsiaTheme="minorEastAsia"/>
                <w:color w:val="auto"/>
                <w:kern w:val="0"/>
                <w:sz w:val="24"/>
              </w:rPr>
              <w:t>为了加强新旧路基的衔接，促进新旧路基之间的协调变形，清坡后拓宽既有路堤时，应在既有路堤坡面开挖台阶，自下而上逐级开挖台阶，开挖一阶及时填筑一阶，台阶宽度不应小于1.0m，水平向设置内倾3%的斜坡。</w:t>
            </w:r>
          </w:p>
          <w:p w14:paraId="641315EA">
            <w:pPr>
              <w:keepNext w:val="0"/>
              <w:keepLines w:val="0"/>
              <w:pageBreakBefore w:val="0"/>
              <w:widowControl w:val="0"/>
              <w:numPr>
                <w:ilvl w:val="0"/>
                <w:numId w:val="1"/>
              </w:numPr>
              <w:tabs>
                <w:tab w:val="left" w:pos="640"/>
              </w:tabs>
              <w:kinsoku/>
              <w:wordWrap/>
              <w:overflowPunct/>
              <w:topLinePunct w:val="0"/>
              <w:autoSpaceDE w:val="0"/>
              <w:autoSpaceDN w:val="0"/>
              <w:bidi w:val="0"/>
              <w:adjustRightInd w:val="0"/>
              <w:snapToGrid/>
              <w:spacing w:line="300" w:lineRule="auto"/>
              <w:ind w:left="420" w:leftChars="0" w:firstLine="0" w:firstLineChars="0"/>
              <w:textAlignment w:val="auto"/>
              <w:rPr>
                <w:rFonts w:hint="eastAsia" w:hAnsiTheme="minorEastAsia" w:eastAsiaTheme="minorEastAsia"/>
                <w:color w:val="auto"/>
                <w:kern w:val="0"/>
                <w:sz w:val="24"/>
              </w:rPr>
            </w:pPr>
            <w:r>
              <w:rPr>
                <w:rFonts w:hint="eastAsia" w:hAnsiTheme="minorEastAsia" w:eastAsiaTheme="minorEastAsia"/>
                <w:color w:val="auto"/>
                <w:kern w:val="0"/>
                <w:sz w:val="24"/>
              </w:rPr>
              <w:t>在台阶的开挖过程中，如遇既有路基内部的土工织物等，应采取适当的保护措施，避免破坏。</w:t>
            </w:r>
          </w:p>
          <w:p w14:paraId="4B2ADEF0">
            <w:pPr>
              <w:keepNext w:val="0"/>
              <w:keepLines w:val="0"/>
              <w:pageBreakBefore w:val="0"/>
              <w:widowControl w:val="0"/>
              <w:numPr>
                <w:ilvl w:val="0"/>
                <w:numId w:val="1"/>
              </w:numPr>
              <w:tabs>
                <w:tab w:val="left" w:pos="640"/>
              </w:tabs>
              <w:kinsoku/>
              <w:wordWrap/>
              <w:overflowPunct/>
              <w:topLinePunct w:val="0"/>
              <w:autoSpaceDE w:val="0"/>
              <w:autoSpaceDN w:val="0"/>
              <w:bidi w:val="0"/>
              <w:adjustRightInd w:val="0"/>
              <w:snapToGrid/>
              <w:spacing w:line="300" w:lineRule="auto"/>
              <w:ind w:left="420" w:leftChars="0" w:firstLine="0" w:firstLineChars="0"/>
              <w:textAlignment w:val="auto"/>
              <w:rPr>
                <w:rFonts w:hint="eastAsia" w:hAnsiTheme="minorEastAsia" w:eastAsiaTheme="minorEastAsia"/>
                <w:color w:val="auto"/>
                <w:kern w:val="0"/>
                <w:sz w:val="24"/>
              </w:rPr>
            </w:pPr>
            <w:r>
              <w:rPr>
                <w:rFonts w:hint="eastAsia" w:hAnsiTheme="minorEastAsia" w:eastAsiaTheme="minorEastAsia"/>
                <w:color w:val="auto"/>
                <w:kern w:val="0"/>
                <w:sz w:val="24"/>
              </w:rPr>
              <w:t>在拓宽路基段路基内部和基底采用铺设土工合成材料增强拼接部位的连接效果，改善土体的强度与抗变形能力。在新、旧路基边坡的衔接处，为了加强新旧路基的衔接，拼宽部分路床范围内设置2层土工格栅，当填高大于4.0m时，路床以下每间隔2米设置一层土工格栅。</w:t>
            </w:r>
          </w:p>
          <w:p w14:paraId="1E6F78A8">
            <w:pPr>
              <w:keepNext w:val="0"/>
              <w:keepLines w:val="0"/>
              <w:pageBreakBefore w:val="0"/>
              <w:widowControl w:val="0"/>
              <w:numPr>
                <w:ilvl w:val="0"/>
                <w:numId w:val="1"/>
              </w:numPr>
              <w:tabs>
                <w:tab w:val="left" w:pos="640"/>
              </w:tabs>
              <w:kinsoku/>
              <w:wordWrap/>
              <w:overflowPunct/>
              <w:topLinePunct w:val="0"/>
              <w:autoSpaceDE w:val="0"/>
              <w:autoSpaceDN w:val="0"/>
              <w:bidi w:val="0"/>
              <w:adjustRightInd w:val="0"/>
              <w:snapToGrid/>
              <w:spacing w:line="300" w:lineRule="auto"/>
              <w:ind w:left="420" w:leftChars="0" w:firstLine="0" w:firstLineChars="0"/>
              <w:textAlignment w:val="auto"/>
              <w:rPr>
                <w:rFonts w:hint="eastAsia" w:hAnsiTheme="minorEastAsia" w:eastAsiaTheme="minorEastAsia"/>
                <w:color w:val="auto"/>
                <w:kern w:val="0"/>
                <w:sz w:val="24"/>
              </w:rPr>
            </w:pPr>
            <w:r>
              <w:rPr>
                <w:rFonts w:hint="eastAsia" w:hAnsiTheme="minorEastAsia" w:eastAsiaTheme="minorEastAsia"/>
                <w:color w:val="auto"/>
                <w:kern w:val="0"/>
                <w:sz w:val="24"/>
              </w:rPr>
              <w:t>加强路基施工时的临时防护、排水，防止路基、路面渗水破坏路基稳定。</w:t>
            </w:r>
          </w:p>
          <w:p w14:paraId="70E62716">
            <w:pPr>
              <w:keepNext w:val="0"/>
              <w:keepLines w:val="0"/>
              <w:pageBreakBefore w:val="0"/>
              <w:widowControl w:val="0"/>
              <w:numPr>
                <w:ilvl w:val="0"/>
                <w:numId w:val="1"/>
              </w:numPr>
              <w:tabs>
                <w:tab w:val="left" w:pos="640"/>
              </w:tabs>
              <w:kinsoku/>
              <w:wordWrap/>
              <w:overflowPunct/>
              <w:topLinePunct w:val="0"/>
              <w:autoSpaceDE w:val="0"/>
              <w:autoSpaceDN w:val="0"/>
              <w:bidi w:val="0"/>
              <w:adjustRightInd w:val="0"/>
              <w:snapToGrid/>
              <w:spacing w:line="300" w:lineRule="auto"/>
              <w:ind w:left="420" w:leftChars="0" w:firstLine="0" w:firstLineChars="0"/>
              <w:textAlignment w:val="auto"/>
              <w:rPr>
                <w:rFonts w:hint="eastAsia" w:hAnsiTheme="minorEastAsia" w:eastAsiaTheme="minorEastAsia"/>
                <w:color w:val="auto"/>
                <w:kern w:val="0"/>
                <w:sz w:val="24"/>
              </w:rPr>
            </w:pPr>
            <w:r>
              <w:rPr>
                <w:rFonts w:hint="eastAsia" w:hAnsiTheme="minorEastAsia" w:eastAsiaTheme="minorEastAsia"/>
                <w:color w:val="auto"/>
                <w:kern w:val="0"/>
                <w:sz w:val="24"/>
              </w:rPr>
              <w:t>合理安排施工组织，新旧路基衔接处尽量提前填筑完成，保证一定的自然沉降期。</w:t>
            </w:r>
          </w:p>
          <w:p w14:paraId="77A0AE8F">
            <w:pPr>
              <w:pStyle w:val="64"/>
              <w:keepNext w:val="0"/>
              <w:keepLines w:val="0"/>
              <w:pageBreakBefore w:val="0"/>
              <w:widowControl w:val="0"/>
              <w:kinsoku/>
              <w:wordWrap/>
              <w:overflowPunct/>
              <w:topLinePunct w:val="0"/>
              <w:bidi w:val="0"/>
              <w:snapToGrid w:val="0"/>
              <w:spacing w:line="300" w:lineRule="auto"/>
              <w:ind w:firstLine="482"/>
              <w:textAlignment w:val="auto"/>
              <w:outlineLvl w:val="3"/>
              <w:rPr>
                <w:rFonts w:hint="default" w:ascii="Times New Roman" w:hAnsi="Times New Roman" w:eastAsia="宋体" w:cs="Times New Roman"/>
                <w:b w:val="0"/>
                <w:bCs/>
                <w:sz w:val="24"/>
                <w:szCs w:val="24"/>
                <w:highlight w:val="none"/>
              </w:rPr>
            </w:pPr>
            <w:r>
              <w:rPr>
                <w:rFonts w:hint="default" w:ascii="Times New Roman" w:hAnsi="Times New Roman" w:cs="Times New Roman"/>
                <w:b w:val="0"/>
                <w:bCs/>
                <w:sz w:val="24"/>
                <w:szCs w:val="24"/>
                <w:highlight w:val="none"/>
                <w:lang w:val="en-US" w:eastAsia="zh-CN"/>
              </w:rPr>
              <w:t xml:space="preserve">d. </w:t>
            </w:r>
            <w:r>
              <w:rPr>
                <w:rFonts w:hint="default" w:ascii="Times New Roman" w:hAnsi="Times New Roman" w:eastAsia="宋体" w:cs="Times New Roman"/>
                <w:b w:val="0"/>
                <w:bCs/>
                <w:sz w:val="24"/>
                <w:szCs w:val="24"/>
                <w:highlight w:val="none"/>
              </w:rPr>
              <w:t>高填深挖路基</w:t>
            </w:r>
          </w:p>
          <w:p w14:paraId="02803B36">
            <w:pPr>
              <w:pStyle w:val="96"/>
              <w:keepNext w:val="0"/>
              <w:keepLines w:val="0"/>
              <w:pageBreakBefore w:val="0"/>
              <w:widowControl w:val="0"/>
              <w:kinsoku/>
              <w:wordWrap/>
              <w:overflowPunct/>
              <w:topLinePunct w:val="0"/>
              <w:bidi w:val="0"/>
              <w:spacing w:line="300" w:lineRule="auto"/>
              <w:textAlignment w:val="auto"/>
              <w:rPr>
                <w:rFonts w:hint="default" w:ascii="Times New Roman" w:hAnsi="Times New Roman" w:eastAsia="宋体" w:cs="Times New Roman"/>
                <w:b w:val="0"/>
                <w:bCs/>
                <w:sz w:val="24"/>
                <w:szCs w:val="24"/>
                <w:highlight w:val="none"/>
              </w:rPr>
            </w:pPr>
            <w:r>
              <w:rPr>
                <w:rFonts w:hint="default" w:ascii="Times New Roman" w:hAnsi="Times New Roman" w:eastAsia="宋体" w:cs="Times New Roman"/>
                <w:b w:val="0"/>
                <w:bCs/>
                <w:sz w:val="24"/>
                <w:szCs w:val="24"/>
                <w:highlight w:val="none"/>
              </w:rPr>
              <w:t>本项目无高填深挖路基。</w:t>
            </w:r>
          </w:p>
          <w:p w14:paraId="03E7CC11">
            <w:pPr>
              <w:pStyle w:val="64"/>
              <w:keepNext w:val="0"/>
              <w:keepLines w:val="0"/>
              <w:pageBreakBefore w:val="0"/>
              <w:widowControl w:val="0"/>
              <w:kinsoku/>
              <w:wordWrap/>
              <w:overflowPunct/>
              <w:topLinePunct w:val="0"/>
              <w:bidi w:val="0"/>
              <w:snapToGrid w:val="0"/>
              <w:spacing w:line="300" w:lineRule="auto"/>
              <w:ind w:firstLine="482"/>
              <w:textAlignment w:val="auto"/>
              <w:outlineLvl w:val="3"/>
              <w:rPr>
                <w:rFonts w:hint="default" w:ascii="Times New Roman" w:hAnsi="Times New Roman" w:eastAsia="宋体" w:cs="Times New Roman"/>
                <w:b w:val="0"/>
                <w:bCs/>
                <w:sz w:val="24"/>
                <w:szCs w:val="24"/>
                <w:highlight w:val="none"/>
              </w:rPr>
            </w:pPr>
            <w:r>
              <w:rPr>
                <w:rFonts w:hint="default" w:ascii="Times New Roman" w:hAnsi="Times New Roman" w:cs="Times New Roman"/>
                <w:b w:val="0"/>
                <w:bCs/>
                <w:sz w:val="24"/>
                <w:szCs w:val="24"/>
                <w:highlight w:val="none"/>
                <w:lang w:val="en-US" w:eastAsia="zh-CN"/>
              </w:rPr>
              <w:t xml:space="preserve">e. </w:t>
            </w:r>
            <w:r>
              <w:rPr>
                <w:rFonts w:hint="default" w:ascii="Times New Roman" w:hAnsi="Times New Roman" w:eastAsia="宋体" w:cs="Times New Roman"/>
                <w:b w:val="0"/>
                <w:bCs/>
                <w:sz w:val="24"/>
                <w:szCs w:val="24"/>
                <w:highlight w:val="none"/>
              </w:rPr>
              <w:t>陡坡路堤及填挖交界处理</w:t>
            </w:r>
          </w:p>
          <w:p w14:paraId="274F3A5B">
            <w:pPr>
              <w:keepNext w:val="0"/>
              <w:keepLines w:val="0"/>
              <w:pageBreakBefore w:val="0"/>
              <w:widowControl w:val="0"/>
              <w:numPr>
                <w:ilvl w:val="0"/>
                <w:numId w:val="0"/>
              </w:numPr>
              <w:tabs>
                <w:tab w:val="left" w:pos="640"/>
              </w:tabs>
              <w:kinsoku/>
              <w:wordWrap/>
              <w:overflowPunct/>
              <w:topLinePunct w:val="0"/>
              <w:autoSpaceDE w:val="0"/>
              <w:autoSpaceDN w:val="0"/>
              <w:bidi w:val="0"/>
              <w:adjustRightInd w:val="0"/>
              <w:snapToGrid/>
              <w:spacing w:line="300" w:lineRule="auto"/>
              <w:ind w:left="0" w:leftChars="0" w:firstLine="420" w:firstLineChars="175"/>
              <w:textAlignment w:val="auto"/>
              <w:rPr>
                <w:rFonts w:hint="default" w:ascii="Times New Roman" w:hAnsi="Times New Roman" w:cs="Times New Roman" w:eastAsiaTheme="minorEastAsia"/>
                <w:b w:val="0"/>
                <w:bCs/>
                <w:color w:val="0070C0"/>
                <w:kern w:val="0"/>
                <w:sz w:val="24"/>
                <w:szCs w:val="24"/>
              </w:rPr>
            </w:pPr>
            <w:r>
              <w:rPr>
                <w:rFonts w:hint="eastAsia" w:ascii="Times New Roman" w:hAnsi="Times New Roman" w:cs="Times New Roman"/>
                <w:b w:val="0"/>
                <w:bCs/>
                <w:sz w:val="24"/>
                <w:szCs w:val="24"/>
                <w:highlight w:val="none"/>
                <w:lang w:val="en-US" w:eastAsia="zh-CN"/>
              </w:rPr>
              <w:t>拟建公路</w:t>
            </w:r>
            <w:r>
              <w:rPr>
                <w:rFonts w:hint="default" w:ascii="Times New Roman" w:hAnsi="Times New Roman" w:eastAsia="宋体" w:cs="Times New Roman"/>
                <w:b w:val="0"/>
                <w:bCs/>
                <w:sz w:val="24"/>
                <w:szCs w:val="24"/>
                <w:highlight w:val="none"/>
              </w:rPr>
              <w:t>全线均位于戈壁或冲积平原地段，地面线均缓于1:5，无陡坡路堤及填挖交界处理。</w:t>
            </w:r>
          </w:p>
          <w:p w14:paraId="02D335FC">
            <w:pPr>
              <w:autoSpaceDE w:val="0"/>
              <w:autoSpaceDN w:val="0"/>
              <w:adjustRightInd w:val="0"/>
              <w:spacing w:line="300" w:lineRule="auto"/>
              <w:ind w:firstLine="480" w:firstLineChars="200"/>
              <w:rPr>
                <w:rFonts w:eastAsiaTheme="minorEastAsia"/>
                <w:color w:val="auto"/>
                <w:kern w:val="0"/>
                <w:sz w:val="24"/>
              </w:rPr>
            </w:pPr>
            <w:r>
              <w:rPr>
                <w:rFonts w:eastAsiaTheme="minorEastAsia"/>
                <w:color w:val="auto"/>
                <w:kern w:val="0"/>
                <w:sz w:val="24"/>
              </w:rPr>
              <w:t xml:space="preserve">3) </w:t>
            </w:r>
            <w:r>
              <w:rPr>
                <w:rFonts w:hAnsiTheme="minorEastAsia" w:eastAsiaTheme="minorEastAsia"/>
                <w:color w:val="auto"/>
                <w:kern w:val="0"/>
                <w:sz w:val="24"/>
              </w:rPr>
              <w:t>特殊路基设计</w:t>
            </w:r>
          </w:p>
          <w:p w14:paraId="7BCAA42A">
            <w:pPr>
              <w:autoSpaceDE w:val="0"/>
              <w:autoSpaceDN w:val="0"/>
              <w:adjustRightInd w:val="0"/>
              <w:spacing w:line="300" w:lineRule="auto"/>
              <w:ind w:firstLine="480" w:firstLineChars="200"/>
              <w:rPr>
                <w:rFonts w:hint="eastAsia" w:eastAsiaTheme="minorEastAsia"/>
                <w:color w:val="auto"/>
                <w:kern w:val="0"/>
                <w:sz w:val="24"/>
                <w:lang w:val="en-US" w:eastAsia="zh-CN"/>
              </w:rPr>
            </w:pPr>
            <w:r>
              <w:rPr>
                <w:rFonts w:hint="eastAsia" w:asciiTheme="minorEastAsia" w:hAnsiTheme="minorEastAsia" w:eastAsiaTheme="minorEastAsia"/>
                <w:color w:val="auto"/>
                <w:kern w:val="0"/>
                <w:sz w:val="24"/>
              </w:rPr>
              <w:t>①</w:t>
            </w:r>
            <w:r>
              <w:rPr>
                <w:rFonts w:eastAsiaTheme="minorEastAsia"/>
                <w:color w:val="auto"/>
                <w:kern w:val="0"/>
                <w:sz w:val="24"/>
              </w:rPr>
              <w:t xml:space="preserve"> </w:t>
            </w:r>
            <w:r>
              <w:rPr>
                <w:rFonts w:hint="eastAsia" w:eastAsiaTheme="minorEastAsia"/>
                <w:color w:val="auto"/>
                <w:kern w:val="0"/>
                <w:sz w:val="24"/>
                <w:lang w:val="en-US" w:eastAsia="zh-CN"/>
              </w:rPr>
              <w:t>盐渍土</w:t>
            </w:r>
          </w:p>
          <w:p w14:paraId="6B91CCE3">
            <w:pPr>
              <w:autoSpaceDE w:val="0"/>
              <w:autoSpaceDN w:val="0"/>
              <w:adjustRightInd w:val="0"/>
              <w:spacing w:line="300" w:lineRule="auto"/>
              <w:ind w:firstLine="480" w:firstLineChars="200"/>
              <w:rPr>
                <w:rFonts w:hint="eastAsia" w:hAnsiTheme="minorEastAsia" w:eastAsiaTheme="minorEastAsia"/>
                <w:color w:val="auto"/>
                <w:kern w:val="0"/>
                <w:sz w:val="24"/>
              </w:rPr>
            </w:pPr>
            <w:r>
              <w:rPr>
                <w:rFonts w:hint="eastAsia" w:hAnsiTheme="minorEastAsia" w:eastAsiaTheme="minorEastAsia"/>
                <w:color w:val="auto"/>
                <w:kern w:val="0"/>
                <w:sz w:val="24"/>
              </w:rPr>
              <w:t>针对盐渍化程度、地表水位、地下水位、土质情况，结合毛细水上升高度，冻胀深度等因素，对于盐渍土路段，主要采取以下处理措施：</w:t>
            </w:r>
          </w:p>
          <w:p w14:paraId="38ECB1D4">
            <w:pPr>
              <w:autoSpaceDE w:val="0"/>
              <w:autoSpaceDN w:val="0"/>
              <w:adjustRightInd w:val="0"/>
              <w:spacing w:line="300" w:lineRule="auto"/>
              <w:ind w:firstLine="480" w:firstLineChars="200"/>
              <w:rPr>
                <w:rFonts w:hint="eastAsia" w:hAnsiTheme="minorEastAsia" w:eastAsiaTheme="minorEastAsia"/>
                <w:color w:val="auto"/>
                <w:kern w:val="0"/>
                <w:sz w:val="24"/>
              </w:rPr>
            </w:pPr>
            <w:r>
              <w:rPr>
                <w:rFonts w:hint="eastAsia" w:hAnsiTheme="minorEastAsia" w:eastAsiaTheme="minorEastAsia"/>
                <w:color w:val="auto"/>
                <w:kern w:val="0"/>
                <w:sz w:val="24"/>
                <w:lang w:val="en-US" w:eastAsia="zh-CN"/>
              </w:rPr>
              <w:t xml:space="preserve">a. </w:t>
            </w:r>
            <w:r>
              <w:rPr>
                <w:rFonts w:hint="eastAsia" w:hAnsiTheme="minorEastAsia" w:eastAsiaTheme="minorEastAsia"/>
                <w:color w:val="auto"/>
                <w:kern w:val="0"/>
                <w:sz w:val="24"/>
              </w:rPr>
              <w:t>清除地表盐渍土并压实，采用砾类土回填，换填深度30cm，地表以上路基填料选择非盐渍土的砾类土材料填筑。</w:t>
            </w:r>
          </w:p>
          <w:p w14:paraId="05181650">
            <w:pPr>
              <w:autoSpaceDE w:val="0"/>
              <w:autoSpaceDN w:val="0"/>
              <w:adjustRightInd w:val="0"/>
              <w:spacing w:line="300" w:lineRule="auto"/>
              <w:ind w:firstLine="480" w:firstLineChars="200"/>
              <w:rPr>
                <w:rFonts w:hint="eastAsia" w:hAnsiTheme="minorEastAsia" w:eastAsiaTheme="minorEastAsia"/>
                <w:color w:val="auto"/>
                <w:kern w:val="0"/>
                <w:sz w:val="24"/>
              </w:rPr>
            </w:pPr>
            <w:r>
              <w:rPr>
                <w:rFonts w:hint="eastAsia" w:hAnsiTheme="minorEastAsia" w:eastAsiaTheme="minorEastAsia"/>
                <w:color w:val="auto"/>
                <w:kern w:val="0"/>
                <w:sz w:val="24"/>
                <w:lang w:val="en-US" w:eastAsia="zh-CN"/>
              </w:rPr>
              <w:t xml:space="preserve">b. </w:t>
            </w:r>
            <w:r>
              <w:rPr>
                <w:rFonts w:hint="eastAsia" w:hAnsiTheme="minorEastAsia" w:eastAsiaTheme="minorEastAsia"/>
                <w:color w:val="auto"/>
                <w:kern w:val="0"/>
                <w:sz w:val="24"/>
              </w:rPr>
              <w:t>完善路基、路面排水系统，设置必要的排水设施，以拦截、排除地表水。</w:t>
            </w:r>
          </w:p>
          <w:p w14:paraId="2808D221">
            <w:pPr>
              <w:autoSpaceDE w:val="0"/>
              <w:autoSpaceDN w:val="0"/>
              <w:adjustRightInd w:val="0"/>
              <w:spacing w:line="300" w:lineRule="auto"/>
              <w:ind w:firstLine="480" w:firstLineChars="200"/>
              <w:rPr>
                <w:rFonts w:eastAsiaTheme="minorEastAsia"/>
                <w:color w:val="auto"/>
                <w:kern w:val="0"/>
                <w:sz w:val="24"/>
              </w:rPr>
            </w:pPr>
            <w:r>
              <w:rPr>
                <w:rFonts w:hint="eastAsia" w:hAnsiTheme="minorEastAsia" w:eastAsiaTheme="minorEastAsia"/>
                <w:color w:val="auto"/>
                <w:kern w:val="0"/>
                <w:sz w:val="24"/>
                <w:lang w:val="en-US" w:eastAsia="zh-CN"/>
              </w:rPr>
              <w:t xml:space="preserve">c. </w:t>
            </w:r>
            <w:r>
              <w:rPr>
                <w:rFonts w:hint="eastAsia" w:hAnsiTheme="minorEastAsia" w:eastAsiaTheme="minorEastAsia"/>
                <w:color w:val="auto"/>
                <w:kern w:val="0"/>
                <w:sz w:val="24"/>
              </w:rPr>
              <w:t>对于水文、地质等因素较差的中盐渍土路段，在采取以上措施的前提下，再采用隔断措施，设两布一膜复合土工布，以隔断毛细水的上升路基的不利影响</w:t>
            </w:r>
            <w:r>
              <w:rPr>
                <w:rFonts w:hAnsiTheme="minorEastAsia" w:eastAsiaTheme="minorEastAsia"/>
                <w:color w:val="auto"/>
                <w:kern w:val="0"/>
                <w:sz w:val="24"/>
              </w:rPr>
              <w:t>。</w:t>
            </w:r>
          </w:p>
          <w:p w14:paraId="7571F18F">
            <w:pPr>
              <w:autoSpaceDE w:val="0"/>
              <w:autoSpaceDN w:val="0"/>
              <w:adjustRightInd w:val="0"/>
              <w:spacing w:line="300" w:lineRule="auto"/>
              <w:ind w:firstLine="480" w:firstLineChars="200"/>
              <w:rPr>
                <w:rFonts w:hint="default" w:eastAsiaTheme="minorEastAsia"/>
                <w:color w:val="auto"/>
                <w:kern w:val="0"/>
                <w:sz w:val="24"/>
                <w:lang w:val="en-US" w:eastAsia="zh-CN"/>
              </w:rPr>
            </w:pPr>
            <w:r>
              <w:rPr>
                <w:rFonts w:hint="eastAsia" w:asciiTheme="minorEastAsia" w:hAnsiTheme="minorEastAsia" w:eastAsiaTheme="minorEastAsia"/>
                <w:color w:val="auto"/>
                <w:kern w:val="0"/>
                <w:sz w:val="24"/>
              </w:rPr>
              <w:t>②</w:t>
            </w:r>
            <w:r>
              <w:rPr>
                <w:rFonts w:eastAsiaTheme="minorEastAsia"/>
                <w:color w:val="auto"/>
                <w:kern w:val="0"/>
                <w:sz w:val="24"/>
              </w:rPr>
              <w:t xml:space="preserve"> </w:t>
            </w:r>
            <w:r>
              <w:rPr>
                <w:rFonts w:hint="eastAsia" w:eastAsiaTheme="minorEastAsia"/>
                <w:color w:val="auto"/>
                <w:kern w:val="0"/>
                <w:sz w:val="24"/>
                <w:lang w:val="en-US" w:eastAsia="zh-CN"/>
              </w:rPr>
              <w:t>软土地基</w:t>
            </w:r>
          </w:p>
          <w:p w14:paraId="2F4CF648">
            <w:pPr>
              <w:autoSpaceDE w:val="0"/>
              <w:autoSpaceDN w:val="0"/>
              <w:adjustRightInd w:val="0"/>
              <w:spacing w:line="300" w:lineRule="auto"/>
              <w:ind w:firstLine="480" w:firstLineChars="200"/>
              <w:rPr>
                <w:rFonts w:hint="eastAsia" w:eastAsiaTheme="minorEastAsia"/>
                <w:color w:val="auto"/>
                <w:kern w:val="0"/>
                <w:sz w:val="24"/>
                <w:lang w:eastAsia="zh-CN"/>
              </w:rPr>
            </w:pPr>
            <w:r>
              <w:rPr>
                <w:rFonts w:hint="eastAsia" w:hAnsiTheme="minorEastAsia" w:eastAsiaTheme="minorEastAsia"/>
                <w:color w:val="auto"/>
                <w:kern w:val="0"/>
                <w:sz w:val="24"/>
              </w:rPr>
              <w:t>对软土段落厚度小于3</w:t>
            </w:r>
            <w:r>
              <w:rPr>
                <w:rFonts w:hint="eastAsia" w:hAnsiTheme="minorEastAsia" w:eastAsiaTheme="minorEastAsia"/>
                <w:color w:val="auto"/>
                <w:kern w:val="0"/>
                <w:sz w:val="24"/>
                <w:lang w:val="en-US" w:eastAsia="zh-CN"/>
              </w:rPr>
              <w:t>m</w:t>
            </w:r>
            <w:r>
              <w:rPr>
                <w:rFonts w:hint="eastAsia" w:hAnsiTheme="minorEastAsia" w:eastAsiaTheme="minorEastAsia"/>
                <w:color w:val="auto"/>
                <w:kern w:val="0"/>
                <w:sz w:val="24"/>
              </w:rPr>
              <w:t>路段，采用挖除换填砂砾土处理。对软土段落厚度大于3</w:t>
            </w:r>
            <w:r>
              <w:rPr>
                <w:rFonts w:hint="eastAsia" w:hAnsiTheme="minorEastAsia" w:eastAsiaTheme="minorEastAsia"/>
                <w:color w:val="auto"/>
                <w:kern w:val="0"/>
                <w:sz w:val="24"/>
                <w:lang w:val="en-US" w:eastAsia="zh-CN"/>
              </w:rPr>
              <w:t>m</w:t>
            </w:r>
            <w:r>
              <w:rPr>
                <w:rFonts w:hint="eastAsia" w:hAnsiTheme="minorEastAsia" w:eastAsiaTheme="minorEastAsia"/>
                <w:color w:val="auto"/>
                <w:kern w:val="0"/>
                <w:sz w:val="24"/>
              </w:rPr>
              <w:t>、且地基承载力＞80kpa的非临河路段，采用挖除换填砂砾土处理</w:t>
            </w:r>
            <w:r>
              <w:rPr>
                <w:rFonts w:hAnsiTheme="minorEastAsia" w:eastAsiaTheme="minorEastAsia"/>
                <w:color w:val="auto"/>
                <w:kern w:val="0"/>
                <w:sz w:val="24"/>
              </w:rPr>
              <w:t>。</w:t>
            </w:r>
            <w:r>
              <w:rPr>
                <w:rFonts w:hint="eastAsia" w:hAnsiTheme="minorEastAsia" w:eastAsiaTheme="minorEastAsia"/>
                <w:color w:val="auto"/>
                <w:kern w:val="0"/>
                <w:sz w:val="24"/>
              </w:rPr>
              <w:t>对软土段落厚度大于3</w:t>
            </w:r>
            <w:r>
              <w:rPr>
                <w:rFonts w:hint="eastAsia" w:hAnsiTheme="minorEastAsia" w:eastAsiaTheme="minorEastAsia"/>
                <w:color w:val="auto"/>
                <w:kern w:val="0"/>
                <w:sz w:val="24"/>
                <w:lang w:val="en-US" w:eastAsia="zh-CN"/>
              </w:rPr>
              <w:t>m</w:t>
            </w:r>
            <w:r>
              <w:rPr>
                <w:rFonts w:hint="eastAsia" w:hAnsiTheme="minorEastAsia" w:eastAsiaTheme="minorEastAsia"/>
                <w:color w:val="auto"/>
                <w:kern w:val="0"/>
                <w:sz w:val="24"/>
              </w:rPr>
              <w:t>的临河或地下水位较高路段，采用砾石挤密桩进行处理，桩径0.5m，桩间距和桩长根据软土性质分析计算确定</w:t>
            </w:r>
            <w:r>
              <w:rPr>
                <w:rFonts w:hint="eastAsia" w:hAnsiTheme="minorEastAsia" w:eastAsiaTheme="minorEastAsia"/>
                <w:color w:val="auto"/>
                <w:kern w:val="0"/>
                <w:sz w:val="24"/>
                <w:lang w:eastAsia="zh-CN"/>
              </w:rPr>
              <w:t>。</w:t>
            </w:r>
          </w:p>
          <w:p w14:paraId="36910166">
            <w:pPr>
              <w:autoSpaceDE w:val="0"/>
              <w:autoSpaceDN w:val="0"/>
              <w:adjustRightInd w:val="0"/>
              <w:spacing w:line="300" w:lineRule="auto"/>
              <w:ind w:firstLine="480" w:firstLineChars="200"/>
              <w:rPr>
                <w:rFonts w:hint="eastAsia" w:eastAsiaTheme="minorEastAsia"/>
                <w:color w:val="auto"/>
                <w:kern w:val="0"/>
                <w:sz w:val="24"/>
                <w:szCs w:val="24"/>
                <w:lang w:eastAsia="zh-CN"/>
              </w:rPr>
            </w:pPr>
            <w:r>
              <w:rPr>
                <w:rFonts w:hint="eastAsia" w:asciiTheme="minorEastAsia" w:hAnsiTheme="minorEastAsia" w:eastAsiaTheme="minorEastAsia"/>
                <w:color w:val="auto"/>
                <w:kern w:val="0"/>
                <w:sz w:val="24"/>
                <w:szCs w:val="24"/>
              </w:rPr>
              <w:t>③</w:t>
            </w:r>
            <w:r>
              <w:rPr>
                <w:rFonts w:eastAsiaTheme="minorEastAsia"/>
                <w:color w:val="auto"/>
                <w:kern w:val="0"/>
                <w:sz w:val="24"/>
                <w:szCs w:val="24"/>
              </w:rPr>
              <w:t xml:space="preserve"> </w:t>
            </w:r>
            <w:r>
              <w:rPr>
                <w:rFonts w:hint="eastAsia" w:hAnsiTheme="minorEastAsia" w:eastAsiaTheme="minorEastAsia"/>
                <w:color w:val="auto"/>
                <w:kern w:val="0"/>
                <w:sz w:val="24"/>
                <w:szCs w:val="24"/>
                <w:lang w:val="en-US" w:eastAsia="zh-CN"/>
              </w:rPr>
              <w:t>填土（杂填土、素填土）</w:t>
            </w:r>
          </w:p>
          <w:p w14:paraId="73EF6657">
            <w:pPr>
              <w:autoSpaceDE w:val="0"/>
              <w:autoSpaceDN w:val="0"/>
              <w:adjustRightInd w:val="0"/>
              <w:spacing w:line="300" w:lineRule="auto"/>
              <w:ind w:firstLine="480" w:firstLineChars="200"/>
              <w:rPr>
                <w:rFonts w:eastAsiaTheme="minorEastAsia"/>
                <w:color w:val="auto"/>
                <w:kern w:val="0"/>
                <w:sz w:val="24"/>
                <w:szCs w:val="24"/>
              </w:rPr>
            </w:pPr>
            <w:r>
              <w:rPr>
                <w:rFonts w:hint="eastAsia" w:hAnsiTheme="minorEastAsia" w:eastAsiaTheme="minorEastAsia"/>
                <w:color w:val="auto"/>
                <w:kern w:val="0"/>
                <w:sz w:val="24"/>
                <w:szCs w:val="24"/>
              </w:rPr>
              <w:t>线路分布段落共计18段，共计长度32.7km，对路基有一定影响，采用挖除换填处理。</w:t>
            </w:r>
          </w:p>
          <w:p w14:paraId="423611F7">
            <w:pPr>
              <w:autoSpaceDE w:val="0"/>
              <w:autoSpaceDN w:val="0"/>
              <w:adjustRightInd w:val="0"/>
              <w:spacing w:line="300" w:lineRule="auto"/>
              <w:ind w:firstLine="480" w:firstLineChars="200"/>
              <w:rPr>
                <w:rFonts w:hint="default" w:eastAsiaTheme="minorEastAsia"/>
                <w:color w:val="auto"/>
                <w:kern w:val="0"/>
                <w:sz w:val="24"/>
                <w:szCs w:val="24"/>
                <w:lang w:val="en-US" w:eastAsia="zh-CN"/>
              </w:rPr>
            </w:pPr>
            <w:r>
              <w:rPr>
                <w:rFonts w:hint="eastAsia" w:asciiTheme="minorEastAsia" w:hAnsiTheme="minorEastAsia" w:eastAsiaTheme="minorEastAsia"/>
                <w:color w:val="auto"/>
                <w:kern w:val="0"/>
                <w:sz w:val="24"/>
                <w:szCs w:val="24"/>
              </w:rPr>
              <w:t>④</w:t>
            </w:r>
            <w:r>
              <w:rPr>
                <w:rFonts w:eastAsiaTheme="minorEastAsia"/>
                <w:color w:val="auto"/>
                <w:kern w:val="0"/>
                <w:sz w:val="24"/>
                <w:szCs w:val="24"/>
              </w:rPr>
              <w:t xml:space="preserve"> </w:t>
            </w:r>
            <w:r>
              <w:rPr>
                <w:rFonts w:hint="eastAsia" w:hAnsiTheme="minorEastAsia" w:eastAsiaTheme="minorEastAsia"/>
                <w:color w:val="auto"/>
                <w:kern w:val="0"/>
                <w:sz w:val="24"/>
                <w:szCs w:val="24"/>
                <w:lang w:val="en-US" w:eastAsia="zh-CN"/>
              </w:rPr>
              <w:t>地震液化</w:t>
            </w:r>
          </w:p>
          <w:p w14:paraId="76E0ADCC">
            <w:pPr>
              <w:autoSpaceDE w:val="0"/>
              <w:autoSpaceDN w:val="0"/>
              <w:adjustRightInd w:val="0"/>
              <w:spacing w:line="300" w:lineRule="auto"/>
              <w:ind w:firstLine="480" w:firstLineChars="200"/>
              <w:rPr>
                <w:rFonts w:hAnsiTheme="minorEastAsia" w:eastAsiaTheme="minorEastAsia"/>
                <w:color w:val="auto"/>
                <w:kern w:val="0"/>
                <w:sz w:val="24"/>
                <w:szCs w:val="24"/>
              </w:rPr>
            </w:pPr>
            <w:r>
              <w:rPr>
                <w:rFonts w:hint="eastAsia" w:hAnsiTheme="minorEastAsia" w:eastAsiaTheme="minorEastAsia"/>
                <w:color w:val="auto"/>
                <w:kern w:val="0"/>
                <w:sz w:val="24"/>
                <w:szCs w:val="24"/>
                <w:lang w:val="en-US" w:eastAsia="zh-CN"/>
              </w:rPr>
              <w:t>拟建公路沿线</w:t>
            </w:r>
            <w:r>
              <w:rPr>
                <w:rFonts w:hint="eastAsia" w:hAnsiTheme="minorEastAsia" w:eastAsiaTheme="minorEastAsia"/>
                <w:color w:val="auto"/>
                <w:kern w:val="0"/>
                <w:sz w:val="24"/>
                <w:szCs w:val="24"/>
              </w:rPr>
              <w:t>液化层不连续，多呈夹层或透镜体状，且埋深和厚度变化较大，对桥涵工程有一定影响。其中3段对路基和涵洞基础有影响，根据《公路工程抗震规范》4.3.5条、8.3.5条和9.0.2条，采取减轻液化影响的措施</w:t>
            </w:r>
            <w:r>
              <w:rPr>
                <w:rFonts w:hAnsiTheme="minorEastAsia" w:eastAsiaTheme="minorEastAsia"/>
                <w:color w:val="auto"/>
                <w:kern w:val="0"/>
                <w:sz w:val="24"/>
                <w:szCs w:val="24"/>
              </w:rPr>
              <w:t>。</w:t>
            </w:r>
          </w:p>
          <w:p w14:paraId="583CA0B5">
            <w:pPr>
              <w:autoSpaceDE w:val="0"/>
              <w:autoSpaceDN w:val="0"/>
              <w:adjustRightInd w:val="0"/>
              <w:spacing w:line="300" w:lineRule="auto"/>
              <w:ind w:firstLine="480" w:firstLineChars="200"/>
              <w:rPr>
                <w:rFonts w:hint="eastAsia" w:hAnsiTheme="minorEastAsia" w:eastAsiaTheme="minorEastAsia"/>
                <w:color w:val="auto"/>
                <w:kern w:val="0"/>
                <w:sz w:val="24"/>
                <w:szCs w:val="24"/>
                <w:lang w:val="en-US" w:eastAsia="zh-CN"/>
              </w:rPr>
            </w:pPr>
            <w:r>
              <w:rPr>
                <w:rFonts w:hAnsiTheme="minorEastAsia" w:eastAsiaTheme="minorEastAsia"/>
                <w:color w:val="auto"/>
                <w:kern w:val="0"/>
                <w:sz w:val="24"/>
                <w:szCs w:val="24"/>
              </w:rPr>
              <w:fldChar w:fldCharType="begin"/>
            </w:r>
            <w:r>
              <w:rPr>
                <w:rFonts w:hAnsiTheme="minorEastAsia" w:eastAsiaTheme="minorEastAsia"/>
                <w:color w:val="auto"/>
                <w:kern w:val="0"/>
                <w:sz w:val="24"/>
                <w:szCs w:val="24"/>
              </w:rPr>
              <w:instrText xml:space="preserve"> = 5 \* GB3 \* MERGEFORMAT </w:instrText>
            </w:r>
            <w:r>
              <w:rPr>
                <w:rFonts w:hAnsiTheme="minorEastAsia" w:eastAsiaTheme="minorEastAsia"/>
                <w:color w:val="auto"/>
                <w:kern w:val="0"/>
                <w:sz w:val="24"/>
                <w:szCs w:val="24"/>
              </w:rPr>
              <w:fldChar w:fldCharType="separate"/>
            </w:r>
            <w:r>
              <w:rPr>
                <w:color w:val="auto"/>
                <w:sz w:val="24"/>
                <w:szCs w:val="24"/>
              </w:rPr>
              <w:t>⑤</w:t>
            </w:r>
            <w:r>
              <w:rPr>
                <w:rFonts w:hAnsiTheme="minorEastAsia" w:eastAsiaTheme="minorEastAsia"/>
                <w:color w:val="auto"/>
                <w:kern w:val="0"/>
                <w:sz w:val="24"/>
                <w:szCs w:val="24"/>
              </w:rPr>
              <w:fldChar w:fldCharType="end"/>
            </w:r>
            <w:r>
              <w:rPr>
                <w:rFonts w:hint="eastAsia" w:hAnsiTheme="minorEastAsia" w:eastAsiaTheme="minorEastAsia"/>
                <w:color w:val="auto"/>
                <w:kern w:val="0"/>
                <w:sz w:val="24"/>
                <w:szCs w:val="24"/>
                <w:lang w:val="en-US" w:eastAsia="zh-CN"/>
              </w:rPr>
              <w:t xml:space="preserve"> 强震区</w:t>
            </w:r>
          </w:p>
          <w:p w14:paraId="12AA07C7">
            <w:pPr>
              <w:keepNext w:val="0"/>
              <w:keepLines w:val="0"/>
              <w:pageBreakBefore w:val="0"/>
              <w:widowControl w:val="0"/>
              <w:kinsoku/>
              <w:wordWrap/>
              <w:overflowPunct/>
              <w:topLinePunct w:val="0"/>
              <w:autoSpaceDE w:val="0"/>
              <w:autoSpaceDN w:val="0"/>
              <w:bidi w:val="0"/>
              <w:adjustRightInd w:val="0"/>
              <w:snapToGrid/>
              <w:spacing w:line="300" w:lineRule="auto"/>
              <w:ind w:firstLine="480" w:firstLineChars="200"/>
              <w:textAlignment w:val="auto"/>
              <w:rPr>
                <w:rFonts w:hint="default" w:ascii="Times New Roman" w:hAnsi="Times New Roman" w:cs="Times New Roman" w:eastAsiaTheme="minorEastAsia"/>
                <w:color w:val="auto"/>
                <w:kern w:val="0"/>
                <w:sz w:val="24"/>
                <w:szCs w:val="24"/>
                <w:lang w:val="en-US" w:eastAsia="zh-CN"/>
              </w:rPr>
            </w:pPr>
            <w:r>
              <w:rPr>
                <w:rFonts w:hint="default" w:ascii="Times New Roman" w:hAnsi="Times New Roman" w:cs="Times New Roman" w:eastAsiaTheme="minorEastAsia"/>
                <w:color w:val="auto"/>
                <w:kern w:val="0"/>
                <w:sz w:val="24"/>
                <w:szCs w:val="24"/>
                <w:lang w:val="en-US" w:eastAsia="zh-CN"/>
              </w:rPr>
              <w:t>本项目全线地震动峰值加速度为0.20～0.30g，地震基本烈度为Ⅷ度，地震动加速度反应谱特征周期为0.45s，所有桥涵、挡墙等构造物按《公路桥梁抗震设计规范》进行抗震设防。</w:t>
            </w:r>
          </w:p>
          <w:p w14:paraId="066DAA7C">
            <w:pPr>
              <w:keepNext w:val="0"/>
              <w:keepLines w:val="0"/>
              <w:pageBreakBefore w:val="0"/>
              <w:widowControl w:val="0"/>
              <w:kinsoku/>
              <w:wordWrap/>
              <w:overflowPunct/>
              <w:topLinePunct w:val="0"/>
              <w:autoSpaceDE w:val="0"/>
              <w:autoSpaceDN w:val="0"/>
              <w:bidi w:val="0"/>
              <w:adjustRightInd w:val="0"/>
              <w:snapToGrid/>
              <w:spacing w:line="300" w:lineRule="auto"/>
              <w:ind w:firstLine="480" w:firstLineChars="200"/>
              <w:textAlignment w:val="auto"/>
              <w:rPr>
                <w:rFonts w:eastAsiaTheme="minorEastAsia"/>
                <w:color w:val="auto"/>
                <w:kern w:val="0"/>
                <w:sz w:val="24"/>
              </w:rPr>
            </w:pPr>
            <w:r>
              <w:rPr>
                <w:rFonts w:hint="eastAsia" w:eastAsiaTheme="minorEastAsia"/>
                <w:color w:val="auto"/>
                <w:kern w:val="0"/>
                <w:sz w:val="24"/>
                <w:lang w:val="en-US" w:eastAsia="zh-CN"/>
              </w:rPr>
              <w:t>4</w:t>
            </w:r>
            <w:r>
              <w:rPr>
                <w:rFonts w:hint="eastAsia" w:eastAsiaTheme="minorEastAsia"/>
                <w:color w:val="auto"/>
                <w:kern w:val="0"/>
                <w:sz w:val="24"/>
              </w:rPr>
              <w:t>) 路基防护</w:t>
            </w:r>
          </w:p>
          <w:p w14:paraId="383212FE">
            <w:pPr>
              <w:keepNext w:val="0"/>
              <w:keepLines w:val="0"/>
              <w:pageBreakBefore w:val="0"/>
              <w:widowControl w:val="0"/>
              <w:kinsoku/>
              <w:wordWrap/>
              <w:overflowPunct/>
              <w:topLinePunct w:val="0"/>
              <w:autoSpaceDE w:val="0"/>
              <w:autoSpaceDN w:val="0"/>
              <w:bidi w:val="0"/>
              <w:adjustRightInd w:val="0"/>
              <w:snapToGrid/>
              <w:spacing w:line="300" w:lineRule="auto"/>
              <w:ind w:firstLine="480" w:firstLineChars="200"/>
              <w:textAlignment w:val="auto"/>
              <w:rPr>
                <w:rFonts w:eastAsiaTheme="minorEastAsia"/>
                <w:color w:val="auto"/>
                <w:kern w:val="0"/>
                <w:sz w:val="24"/>
              </w:rPr>
            </w:pPr>
            <w:r>
              <w:rPr>
                <w:rFonts w:hAnsiTheme="minorEastAsia" w:eastAsiaTheme="minorEastAsia"/>
                <w:color w:val="auto"/>
                <w:kern w:val="0"/>
                <w:sz w:val="24"/>
              </w:rPr>
              <w:t>①</w:t>
            </w:r>
            <w:r>
              <w:rPr>
                <w:rFonts w:eastAsiaTheme="minorEastAsia"/>
                <w:color w:val="auto"/>
                <w:kern w:val="0"/>
                <w:sz w:val="24"/>
              </w:rPr>
              <w:t xml:space="preserve"> </w:t>
            </w:r>
            <w:r>
              <w:rPr>
                <w:rFonts w:hAnsiTheme="minorEastAsia" w:eastAsiaTheme="minorEastAsia"/>
                <w:color w:val="auto"/>
                <w:kern w:val="0"/>
                <w:sz w:val="24"/>
              </w:rPr>
              <w:t>填方边坡防护</w:t>
            </w:r>
          </w:p>
          <w:p w14:paraId="5EDF96FF">
            <w:pPr>
              <w:keepNext w:val="0"/>
              <w:keepLines w:val="0"/>
              <w:pageBreakBefore w:val="0"/>
              <w:widowControl w:val="0"/>
              <w:kinsoku/>
              <w:wordWrap/>
              <w:overflowPunct/>
              <w:topLinePunct w:val="0"/>
              <w:autoSpaceDE w:val="0"/>
              <w:autoSpaceDN w:val="0"/>
              <w:bidi w:val="0"/>
              <w:adjustRightInd w:val="0"/>
              <w:snapToGrid/>
              <w:spacing w:line="300" w:lineRule="auto"/>
              <w:ind w:firstLine="480" w:firstLineChars="200"/>
              <w:textAlignment w:val="auto"/>
              <w:rPr>
                <w:rFonts w:hint="eastAsia" w:eastAsiaTheme="minorEastAsia"/>
                <w:color w:val="auto"/>
                <w:kern w:val="0"/>
                <w:sz w:val="24"/>
              </w:rPr>
            </w:pPr>
            <w:r>
              <w:rPr>
                <w:rFonts w:hint="eastAsia" w:eastAsiaTheme="minorEastAsia"/>
                <w:color w:val="auto"/>
                <w:kern w:val="0"/>
                <w:sz w:val="24"/>
              </w:rPr>
              <w:t>根据路线所经区域的地形、地貌、地质条件、气象及水文等特点，借鉴疆内已建项目习惯做法，以“安全、稳定、环保、经济”为基本准则。本项目根据初步设计方案结合当地防治体系设置边坡防护构造物，考虑到本项目所在地域的特点，防护方案如下：</w:t>
            </w:r>
          </w:p>
          <w:p w14:paraId="2C043B3B">
            <w:pPr>
              <w:keepNext w:val="0"/>
              <w:keepLines w:val="0"/>
              <w:pageBreakBefore w:val="0"/>
              <w:widowControl w:val="0"/>
              <w:kinsoku/>
              <w:wordWrap/>
              <w:overflowPunct/>
              <w:topLinePunct w:val="0"/>
              <w:autoSpaceDE w:val="0"/>
              <w:autoSpaceDN w:val="0"/>
              <w:bidi w:val="0"/>
              <w:adjustRightInd w:val="0"/>
              <w:snapToGrid/>
              <w:spacing w:line="300" w:lineRule="auto"/>
              <w:ind w:firstLine="480" w:firstLineChars="200"/>
              <w:textAlignment w:val="auto"/>
              <w:rPr>
                <w:rFonts w:eastAsiaTheme="minorEastAsia"/>
                <w:color w:val="auto"/>
                <w:kern w:val="0"/>
                <w:sz w:val="24"/>
              </w:rPr>
            </w:pPr>
            <w:r>
              <w:rPr>
                <w:rFonts w:hint="eastAsia" w:eastAsiaTheme="minorEastAsia"/>
                <w:color w:val="auto"/>
                <w:kern w:val="0"/>
                <w:sz w:val="24"/>
              </w:rPr>
              <w:t>填方边坡高度≥3m的路堤边坡采用方格网护坡防护，填方边坡高度＜3m的路堤采用自然边坡。农田路段边坡覆盖清表土撒草籽绿化，戈壁滩路段不进行撒草籽绿化。本项目沿线基本农田及房屋分布密集，为了减少占用土地，降低拆迁规模，在基本农田及部分村镇段设置衡重式挡墙收坡</w:t>
            </w:r>
            <w:r>
              <w:rPr>
                <w:rFonts w:hAnsiTheme="minorEastAsia" w:eastAsiaTheme="minorEastAsia"/>
                <w:color w:val="auto"/>
                <w:kern w:val="0"/>
                <w:sz w:val="24"/>
              </w:rPr>
              <w:t>。</w:t>
            </w:r>
          </w:p>
          <w:p w14:paraId="39610825">
            <w:pPr>
              <w:keepNext w:val="0"/>
              <w:keepLines w:val="0"/>
              <w:pageBreakBefore w:val="0"/>
              <w:widowControl w:val="0"/>
              <w:kinsoku/>
              <w:wordWrap/>
              <w:overflowPunct/>
              <w:topLinePunct w:val="0"/>
              <w:autoSpaceDE w:val="0"/>
              <w:autoSpaceDN w:val="0"/>
              <w:bidi w:val="0"/>
              <w:adjustRightInd w:val="0"/>
              <w:snapToGrid/>
              <w:spacing w:line="300" w:lineRule="auto"/>
              <w:ind w:firstLine="480" w:firstLineChars="200"/>
              <w:textAlignment w:val="auto"/>
              <w:rPr>
                <w:rFonts w:eastAsiaTheme="minorEastAsia"/>
                <w:color w:val="auto"/>
                <w:kern w:val="0"/>
                <w:sz w:val="24"/>
              </w:rPr>
            </w:pPr>
            <w:r>
              <w:rPr>
                <w:rFonts w:hint="eastAsia" w:ascii="宋体" w:hAnsi="宋体"/>
                <w:color w:val="auto"/>
                <w:kern w:val="0"/>
                <w:sz w:val="24"/>
              </w:rPr>
              <w:t>②</w:t>
            </w:r>
            <w:r>
              <w:rPr>
                <w:rFonts w:hint="eastAsia" w:eastAsiaTheme="minorEastAsia"/>
                <w:color w:val="auto"/>
                <w:kern w:val="0"/>
                <w:sz w:val="24"/>
              </w:rPr>
              <w:t xml:space="preserve"> </w:t>
            </w:r>
            <w:r>
              <w:rPr>
                <w:rFonts w:hAnsiTheme="minorEastAsia" w:eastAsiaTheme="minorEastAsia"/>
                <w:color w:val="auto"/>
                <w:kern w:val="0"/>
                <w:sz w:val="24"/>
              </w:rPr>
              <w:t>挖方边坡防护</w:t>
            </w:r>
          </w:p>
          <w:p w14:paraId="04DAF57F">
            <w:pPr>
              <w:keepNext w:val="0"/>
              <w:keepLines w:val="0"/>
              <w:pageBreakBefore w:val="0"/>
              <w:widowControl w:val="0"/>
              <w:kinsoku/>
              <w:wordWrap/>
              <w:overflowPunct/>
              <w:topLinePunct w:val="0"/>
              <w:autoSpaceDE w:val="0"/>
              <w:autoSpaceDN w:val="0"/>
              <w:bidi w:val="0"/>
              <w:adjustRightInd w:val="0"/>
              <w:snapToGrid/>
              <w:spacing w:line="300" w:lineRule="auto"/>
              <w:ind w:firstLine="480" w:firstLineChars="200"/>
              <w:textAlignment w:val="auto"/>
              <w:rPr>
                <w:rFonts w:hAnsiTheme="minorEastAsia" w:eastAsiaTheme="minorEastAsia"/>
                <w:color w:val="auto"/>
                <w:kern w:val="0"/>
                <w:sz w:val="24"/>
              </w:rPr>
            </w:pPr>
            <w:r>
              <w:rPr>
                <w:rFonts w:hint="eastAsia" w:eastAsiaTheme="minorEastAsia"/>
                <w:color w:val="auto"/>
                <w:kern w:val="0"/>
                <w:sz w:val="24"/>
                <w:lang w:val="en-US" w:eastAsia="zh-CN"/>
              </w:rPr>
              <w:t>拟建公路</w:t>
            </w:r>
            <w:r>
              <w:rPr>
                <w:rFonts w:hint="eastAsia" w:eastAsiaTheme="minorEastAsia"/>
                <w:color w:val="auto"/>
                <w:kern w:val="0"/>
                <w:sz w:val="24"/>
              </w:rPr>
              <w:t>仅在下穿高速、铁路段存在挖方路基，现状挖方路基采用自然边坡，未设置防护工程，目前使用状况良好，本次改扩建设计本段挖方边坡采用自然边坡。坡顶汇水冲刷及下穿高速收陡路段设置护面墙</w:t>
            </w:r>
            <w:r>
              <w:rPr>
                <w:rFonts w:hAnsiTheme="minorEastAsia" w:eastAsiaTheme="minorEastAsia"/>
                <w:color w:val="auto"/>
                <w:kern w:val="0"/>
                <w:sz w:val="24"/>
              </w:rPr>
              <w:t>。</w:t>
            </w:r>
          </w:p>
          <w:p w14:paraId="5B0F7EE0">
            <w:pPr>
              <w:keepNext w:val="0"/>
              <w:keepLines w:val="0"/>
              <w:pageBreakBefore w:val="0"/>
              <w:widowControl w:val="0"/>
              <w:kinsoku/>
              <w:wordWrap/>
              <w:overflowPunct/>
              <w:topLinePunct w:val="0"/>
              <w:autoSpaceDE w:val="0"/>
              <w:autoSpaceDN w:val="0"/>
              <w:bidi w:val="0"/>
              <w:adjustRightInd w:val="0"/>
              <w:snapToGrid/>
              <w:spacing w:line="300" w:lineRule="auto"/>
              <w:ind w:firstLine="480" w:firstLineChars="200"/>
              <w:textAlignment w:val="auto"/>
              <w:rPr>
                <w:rFonts w:hint="eastAsia" w:hAnsiTheme="minorEastAsia" w:eastAsiaTheme="minorEastAsia"/>
                <w:color w:val="auto"/>
                <w:kern w:val="0"/>
                <w:sz w:val="24"/>
                <w:lang w:val="en-US" w:eastAsia="zh-CN"/>
              </w:rPr>
            </w:pPr>
            <w:r>
              <w:rPr>
                <w:rFonts w:hAnsiTheme="minorEastAsia" w:eastAsiaTheme="minorEastAsia"/>
                <w:color w:val="auto"/>
                <w:kern w:val="0"/>
                <w:sz w:val="24"/>
              </w:rPr>
              <w:fldChar w:fldCharType="begin"/>
            </w:r>
            <w:r>
              <w:rPr>
                <w:rFonts w:hAnsiTheme="minorEastAsia" w:eastAsiaTheme="minorEastAsia"/>
                <w:color w:val="auto"/>
                <w:kern w:val="0"/>
                <w:sz w:val="24"/>
              </w:rPr>
              <w:instrText xml:space="preserve"> = 3 \* GB3 \* MERGEFORMAT </w:instrText>
            </w:r>
            <w:r>
              <w:rPr>
                <w:rFonts w:hAnsiTheme="minorEastAsia" w:eastAsiaTheme="minorEastAsia"/>
                <w:color w:val="auto"/>
                <w:kern w:val="0"/>
                <w:sz w:val="24"/>
              </w:rPr>
              <w:fldChar w:fldCharType="separate"/>
            </w:r>
            <w:r>
              <w:rPr>
                <w:color w:val="auto"/>
              </w:rPr>
              <w:t>③</w:t>
            </w:r>
            <w:r>
              <w:rPr>
                <w:rFonts w:hAnsiTheme="minorEastAsia" w:eastAsiaTheme="minorEastAsia"/>
                <w:color w:val="auto"/>
                <w:kern w:val="0"/>
                <w:sz w:val="24"/>
              </w:rPr>
              <w:fldChar w:fldCharType="end"/>
            </w:r>
            <w:r>
              <w:rPr>
                <w:rFonts w:hint="eastAsia" w:hAnsiTheme="minorEastAsia" w:eastAsiaTheme="minorEastAsia"/>
                <w:color w:val="auto"/>
                <w:kern w:val="0"/>
                <w:sz w:val="24"/>
                <w:lang w:val="en-US" w:eastAsia="zh-CN"/>
              </w:rPr>
              <w:t xml:space="preserve"> 护坡道</w:t>
            </w:r>
          </w:p>
          <w:p w14:paraId="327F03E1">
            <w:pPr>
              <w:keepNext w:val="0"/>
              <w:keepLines w:val="0"/>
              <w:pageBreakBefore w:val="0"/>
              <w:widowControl w:val="0"/>
              <w:kinsoku/>
              <w:wordWrap/>
              <w:overflowPunct/>
              <w:topLinePunct w:val="0"/>
              <w:autoSpaceDE w:val="0"/>
              <w:autoSpaceDN w:val="0"/>
              <w:bidi w:val="0"/>
              <w:adjustRightInd w:val="0"/>
              <w:snapToGrid/>
              <w:spacing w:line="300" w:lineRule="auto"/>
              <w:ind w:firstLine="480" w:firstLineChars="200"/>
              <w:textAlignment w:val="auto"/>
              <w:rPr>
                <w:rFonts w:hint="default" w:hAnsiTheme="minorEastAsia" w:eastAsiaTheme="minorEastAsia"/>
                <w:color w:val="auto"/>
                <w:kern w:val="0"/>
                <w:sz w:val="24"/>
                <w:lang w:val="en-US" w:eastAsia="zh-CN"/>
              </w:rPr>
            </w:pPr>
            <w:r>
              <w:rPr>
                <w:rFonts w:hint="default" w:hAnsiTheme="minorEastAsia" w:eastAsiaTheme="minorEastAsia"/>
                <w:color w:val="auto"/>
                <w:kern w:val="0"/>
                <w:sz w:val="24"/>
                <w:lang w:val="en-US" w:eastAsia="zh-CN"/>
              </w:rPr>
              <w:t>农田区、林带路段有冬灌、春灌漫灌需求。根据现场勘察，在积水明显路段设置排水沟阻断汇水浸泡坡脚，在无明显积水的农田及沙枣林路段设置护坡道，护坡道高1m，宽0.8m，土质护坡道采用弱盐渍清表土填筑</w:t>
            </w:r>
            <w:r>
              <w:rPr>
                <w:rFonts w:hint="eastAsia" w:hAnsiTheme="minorEastAsia" w:eastAsiaTheme="minorEastAsia"/>
                <w:color w:val="auto"/>
                <w:kern w:val="0"/>
                <w:sz w:val="24"/>
                <w:lang w:val="en-US" w:eastAsia="zh-CN"/>
              </w:rPr>
              <w:t>。</w:t>
            </w:r>
          </w:p>
          <w:p w14:paraId="5F08BF9C">
            <w:pPr>
              <w:keepNext w:val="0"/>
              <w:keepLines w:val="0"/>
              <w:pageBreakBefore w:val="0"/>
              <w:widowControl w:val="0"/>
              <w:kinsoku/>
              <w:wordWrap/>
              <w:overflowPunct/>
              <w:topLinePunct w:val="0"/>
              <w:autoSpaceDE w:val="0"/>
              <w:autoSpaceDN w:val="0"/>
              <w:bidi w:val="0"/>
              <w:adjustRightInd w:val="0"/>
              <w:snapToGrid/>
              <w:spacing w:line="300" w:lineRule="auto"/>
              <w:ind w:firstLine="480" w:firstLineChars="200"/>
              <w:textAlignment w:val="auto"/>
              <w:rPr>
                <w:rFonts w:hint="default" w:ascii="Times New Roman" w:hAnsi="Times New Roman" w:cs="Times New Roman" w:eastAsiaTheme="minorEastAsia"/>
                <w:color w:val="auto"/>
                <w:kern w:val="0"/>
                <w:sz w:val="24"/>
                <w:szCs w:val="24"/>
              </w:rPr>
            </w:pPr>
            <w:r>
              <w:rPr>
                <w:rFonts w:hint="eastAsia" w:cs="Times New Roman" w:eastAsiaTheme="minorEastAsia"/>
                <w:color w:val="auto"/>
                <w:kern w:val="0"/>
                <w:sz w:val="24"/>
                <w:szCs w:val="24"/>
                <w:lang w:val="en-US" w:eastAsia="zh-CN"/>
              </w:rPr>
              <w:t>5</w:t>
            </w:r>
            <w:r>
              <w:rPr>
                <w:rFonts w:hint="default" w:ascii="Times New Roman" w:hAnsi="Times New Roman" w:cs="Times New Roman" w:eastAsiaTheme="minorEastAsia"/>
                <w:color w:val="auto"/>
                <w:kern w:val="0"/>
                <w:sz w:val="24"/>
                <w:szCs w:val="24"/>
              </w:rPr>
              <w:t>) 路基排水</w:t>
            </w:r>
          </w:p>
          <w:p w14:paraId="1BC3685A">
            <w:pPr>
              <w:keepNext w:val="0"/>
              <w:keepLines w:val="0"/>
              <w:pageBreakBefore w:val="0"/>
              <w:widowControl w:val="0"/>
              <w:kinsoku/>
              <w:wordWrap/>
              <w:overflowPunct/>
              <w:topLinePunct w:val="0"/>
              <w:autoSpaceDE w:val="0"/>
              <w:autoSpaceDN w:val="0"/>
              <w:bidi w:val="0"/>
              <w:adjustRightInd w:val="0"/>
              <w:snapToGrid/>
              <w:spacing w:line="300" w:lineRule="auto"/>
              <w:ind w:firstLine="480" w:firstLineChars="200"/>
              <w:textAlignment w:val="auto"/>
              <w:rPr>
                <w:rFonts w:hint="default" w:ascii="Times New Roman" w:hAnsi="Times New Roman" w:cs="Times New Roman" w:eastAsiaTheme="minorEastAsia"/>
                <w:color w:val="auto"/>
                <w:kern w:val="0"/>
                <w:sz w:val="24"/>
                <w:szCs w:val="24"/>
              </w:rPr>
            </w:pPr>
            <w:r>
              <w:rPr>
                <w:rFonts w:hint="default" w:ascii="Times New Roman" w:hAnsi="Times New Roman" w:cs="Times New Roman" w:eastAsiaTheme="minorEastAsia"/>
                <w:color w:val="auto"/>
                <w:kern w:val="0"/>
                <w:sz w:val="24"/>
                <w:szCs w:val="24"/>
              </w:rPr>
              <w:fldChar w:fldCharType="begin"/>
            </w:r>
            <w:r>
              <w:rPr>
                <w:rFonts w:hint="default" w:ascii="Times New Roman" w:hAnsi="Times New Roman" w:cs="Times New Roman" w:eastAsiaTheme="minorEastAsia"/>
                <w:color w:val="auto"/>
                <w:kern w:val="0"/>
                <w:sz w:val="24"/>
                <w:szCs w:val="24"/>
              </w:rPr>
              <w:instrText xml:space="preserve"> = 1 \* GB3 \* MERGEFORMAT </w:instrText>
            </w:r>
            <w:r>
              <w:rPr>
                <w:rFonts w:hint="default" w:ascii="Times New Roman" w:hAnsi="Times New Roman" w:cs="Times New Roman" w:eastAsiaTheme="minorEastAsia"/>
                <w:color w:val="auto"/>
                <w:kern w:val="0"/>
                <w:sz w:val="24"/>
                <w:szCs w:val="24"/>
              </w:rPr>
              <w:fldChar w:fldCharType="separate"/>
            </w:r>
            <w:r>
              <w:rPr>
                <w:rFonts w:hint="default" w:ascii="Times New Roman" w:hAnsi="Times New Roman" w:cs="Times New Roman"/>
                <w:color w:val="auto"/>
                <w:sz w:val="24"/>
                <w:szCs w:val="24"/>
              </w:rPr>
              <w:t>①</w:t>
            </w:r>
            <w:r>
              <w:rPr>
                <w:rFonts w:hint="default" w:ascii="Times New Roman" w:hAnsi="Times New Roman" w:cs="Times New Roman" w:eastAsiaTheme="minorEastAsia"/>
                <w:color w:val="auto"/>
                <w:kern w:val="0"/>
                <w:sz w:val="24"/>
                <w:szCs w:val="24"/>
              </w:rPr>
              <w:fldChar w:fldCharType="end"/>
            </w:r>
            <w:r>
              <w:rPr>
                <w:rFonts w:hint="default" w:ascii="Times New Roman" w:hAnsi="Times New Roman" w:cs="Times New Roman" w:eastAsiaTheme="minorEastAsia"/>
                <w:color w:val="auto"/>
                <w:kern w:val="0"/>
                <w:sz w:val="24"/>
                <w:szCs w:val="24"/>
                <w:lang w:val="en-US" w:eastAsia="zh-CN"/>
              </w:rPr>
              <w:t xml:space="preserve"> </w:t>
            </w:r>
            <w:r>
              <w:rPr>
                <w:rFonts w:hint="default" w:ascii="Times New Roman" w:hAnsi="Times New Roman" w:cs="Times New Roman" w:eastAsiaTheme="minorEastAsia"/>
                <w:color w:val="auto"/>
                <w:kern w:val="0"/>
                <w:sz w:val="24"/>
                <w:szCs w:val="24"/>
              </w:rPr>
              <w:t>边沟</w:t>
            </w:r>
          </w:p>
          <w:p w14:paraId="50C911B0">
            <w:pPr>
              <w:keepNext w:val="0"/>
              <w:keepLines w:val="0"/>
              <w:pageBreakBefore w:val="0"/>
              <w:widowControl w:val="0"/>
              <w:kinsoku/>
              <w:wordWrap/>
              <w:overflowPunct/>
              <w:topLinePunct w:val="0"/>
              <w:autoSpaceDE w:val="0"/>
              <w:autoSpaceDN w:val="0"/>
              <w:bidi w:val="0"/>
              <w:adjustRightInd w:val="0"/>
              <w:snapToGrid/>
              <w:spacing w:line="300" w:lineRule="auto"/>
              <w:ind w:firstLine="480" w:firstLineChars="200"/>
              <w:textAlignment w:val="auto"/>
              <w:rPr>
                <w:rFonts w:hint="default" w:ascii="Times New Roman" w:hAnsi="Times New Roman" w:cs="Times New Roman" w:eastAsiaTheme="minorEastAsia"/>
                <w:color w:val="auto"/>
                <w:kern w:val="0"/>
                <w:sz w:val="24"/>
                <w:szCs w:val="24"/>
              </w:rPr>
            </w:pPr>
            <w:r>
              <w:rPr>
                <w:rFonts w:hint="default" w:ascii="Times New Roman" w:hAnsi="Times New Roman" w:cs="Times New Roman" w:eastAsiaTheme="minorEastAsia"/>
                <w:color w:val="auto"/>
                <w:kern w:val="0"/>
                <w:sz w:val="24"/>
                <w:szCs w:val="24"/>
              </w:rPr>
              <w:t>路基挖方或路基边缘填土高度小于40cm的路段设置宽浅型边沟，边沟深度为0.3m，内边坡1：3，底宽1.6m（深路堑边沟与1m碎落平台合并建设，底宽采用2.0m），外边坡与挖方边坡一致，采用M10砂浆砌筑8cm厚C30水泥混凝土预制板加固，预制板底部设置15cm厚砂砾垫层。</w:t>
            </w:r>
          </w:p>
          <w:p w14:paraId="748A761A">
            <w:pPr>
              <w:keepNext w:val="0"/>
              <w:keepLines w:val="0"/>
              <w:pageBreakBefore w:val="0"/>
              <w:widowControl w:val="0"/>
              <w:kinsoku/>
              <w:wordWrap/>
              <w:overflowPunct/>
              <w:topLinePunct w:val="0"/>
              <w:autoSpaceDE w:val="0"/>
              <w:autoSpaceDN w:val="0"/>
              <w:bidi w:val="0"/>
              <w:adjustRightInd w:val="0"/>
              <w:snapToGrid/>
              <w:spacing w:line="300" w:lineRule="auto"/>
              <w:ind w:firstLine="480" w:firstLineChars="200"/>
              <w:textAlignment w:val="auto"/>
              <w:rPr>
                <w:rFonts w:hint="default" w:ascii="Times New Roman" w:hAnsi="Times New Roman" w:cs="Times New Roman" w:eastAsiaTheme="minorEastAsia"/>
                <w:color w:val="auto"/>
                <w:kern w:val="0"/>
                <w:sz w:val="24"/>
                <w:szCs w:val="24"/>
              </w:rPr>
            </w:pPr>
            <w:r>
              <w:rPr>
                <w:rFonts w:hint="default" w:ascii="Times New Roman" w:hAnsi="Times New Roman" w:cs="Times New Roman" w:eastAsiaTheme="minorEastAsia"/>
                <w:color w:val="auto"/>
                <w:kern w:val="0"/>
                <w:sz w:val="24"/>
                <w:szCs w:val="24"/>
              </w:rPr>
              <w:fldChar w:fldCharType="begin"/>
            </w:r>
            <w:r>
              <w:rPr>
                <w:rFonts w:hint="default" w:ascii="Times New Roman" w:hAnsi="Times New Roman" w:cs="Times New Roman" w:eastAsiaTheme="minorEastAsia"/>
                <w:color w:val="auto"/>
                <w:kern w:val="0"/>
                <w:sz w:val="24"/>
                <w:szCs w:val="24"/>
              </w:rPr>
              <w:instrText xml:space="preserve"> = 2 \* GB3 \* MERGEFORMAT </w:instrText>
            </w:r>
            <w:r>
              <w:rPr>
                <w:rFonts w:hint="default" w:ascii="Times New Roman" w:hAnsi="Times New Roman" w:cs="Times New Roman" w:eastAsiaTheme="minorEastAsia"/>
                <w:color w:val="auto"/>
                <w:kern w:val="0"/>
                <w:sz w:val="24"/>
                <w:szCs w:val="24"/>
              </w:rPr>
              <w:fldChar w:fldCharType="separate"/>
            </w:r>
            <w:r>
              <w:rPr>
                <w:rFonts w:hint="default" w:ascii="Times New Roman" w:hAnsi="Times New Roman" w:cs="Times New Roman"/>
                <w:color w:val="auto"/>
                <w:sz w:val="24"/>
                <w:szCs w:val="24"/>
              </w:rPr>
              <w:t>②</w:t>
            </w:r>
            <w:r>
              <w:rPr>
                <w:rFonts w:hint="default" w:ascii="Times New Roman" w:hAnsi="Times New Roman" w:cs="Times New Roman" w:eastAsiaTheme="minorEastAsia"/>
                <w:color w:val="auto"/>
                <w:kern w:val="0"/>
                <w:sz w:val="24"/>
                <w:szCs w:val="24"/>
              </w:rPr>
              <w:fldChar w:fldCharType="end"/>
            </w:r>
            <w:r>
              <w:rPr>
                <w:rFonts w:hint="default" w:ascii="Times New Roman" w:hAnsi="Times New Roman" w:cs="Times New Roman" w:eastAsiaTheme="minorEastAsia"/>
                <w:color w:val="auto"/>
                <w:kern w:val="0"/>
                <w:sz w:val="24"/>
                <w:szCs w:val="24"/>
                <w:lang w:val="en-US" w:eastAsia="zh-CN"/>
              </w:rPr>
              <w:t xml:space="preserve"> </w:t>
            </w:r>
            <w:r>
              <w:rPr>
                <w:rFonts w:hint="default" w:ascii="Times New Roman" w:hAnsi="Times New Roman" w:cs="Times New Roman" w:eastAsiaTheme="minorEastAsia"/>
                <w:color w:val="auto"/>
                <w:kern w:val="0"/>
                <w:sz w:val="24"/>
                <w:szCs w:val="24"/>
              </w:rPr>
              <w:t>排水沟</w:t>
            </w:r>
          </w:p>
          <w:p w14:paraId="30E87AD7">
            <w:pPr>
              <w:keepNext w:val="0"/>
              <w:keepLines w:val="0"/>
              <w:pageBreakBefore w:val="0"/>
              <w:widowControl w:val="0"/>
              <w:kinsoku/>
              <w:wordWrap/>
              <w:overflowPunct/>
              <w:topLinePunct w:val="0"/>
              <w:autoSpaceDE w:val="0"/>
              <w:autoSpaceDN w:val="0"/>
              <w:bidi w:val="0"/>
              <w:adjustRightInd w:val="0"/>
              <w:snapToGrid/>
              <w:spacing w:line="300" w:lineRule="auto"/>
              <w:ind w:firstLine="480" w:firstLineChars="200"/>
              <w:textAlignment w:val="auto"/>
              <w:rPr>
                <w:rFonts w:hint="default" w:ascii="Times New Roman" w:hAnsi="Times New Roman" w:cs="Times New Roman" w:eastAsiaTheme="minorEastAsia"/>
                <w:color w:val="auto"/>
                <w:kern w:val="0"/>
                <w:sz w:val="24"/>
                <w:szCs w:val="24"/>
              </w:rPr>
            </w:pPr>
            <w:r>
              <w:rPr>
                <w:rFonts w:hint="default" w:ascii="Times New Roman" w:hAnsi="Times New Roman" w:cs="Times New Roman" w:eastAsiaTheme="minorEastAsia"/>
                <w:color w:val="auto"/>
                <w:kern w:val="0"/>
                <w:sz w:val="24"/>
                <w:szCs w:val="24"/>
              </w:rPr>
              <w:t>排水沟设置在填方路段地表冲刷痕迹明显的迎水侧以及农田两侧路段，原则上排水沟沟底标高不高于原地表，必要时在排水沟外侧设置挡水埝。排水沟尽量根据地形起伏和路线的弯曲来布置，并使路基排水系统自成体系，以防止农田水进入路基排水沟。对于一般填方路段，排水沟采用底宽50cm、深50cm、边坡为1:1的梯形排水沟，沟身采用C30砼预制块砌筑，下设15cm砂砾垫层。</w:t>
            </w:r>
          </w:p>
          <w:p w14:paraId="29DA8648">
            <w:pPr>
              <w:keepNext w:val="0"/>
              <w:keepLines w:val="0"/>
              <w:pageBreakBefore w:val="0"/>
              <w:widowControl w:val="0"/>
              <w:kinsoku/>
              <w:wordWrap/>
              <w:overflowPunct/>
              <w:topLinePunct w:val="0"/>
              <w:autoSpaceDE w:val="0"/>
              <w:autoSpaceDN w:val="0"/>
              <w:bidi w:val="0"/>
              <w:adjustRightInd w:val="0"/>
              <w:snapToGrid/>
              <w:spacing w:line="300" w:lineRule="auto"/>
              <w:ind w:firstLine="480" w:firstLineChars="200"/>
              <w:textAlignment w:val="auto"/>
              <w:rPr>
                <w:rFonts w:hint="default" w:ascii="Times New Roman" w:hAnsi="Times New Roman" w:cs="Times New Roman" w:eastAsiaTheme="minorEastAsia"/>
                <w:color w:val="auto"/>
                <w:kern w:val="0"/>
                <w:sz w:val="24"/>
                <w:szCs w:val="24"/>
              </w:rPr>
            </w:pPr>
            <w:r>
              <w:rPr>
                <w:rFonts w:hint="default" w:ascii="Times New Roman" w:hAnsi="Times New Roman" w:cs="Times New Roman" w:eastAsiaTheme="minorEastAsia"/>
                <w:color w:val="auto"/>
                <w:kern w:val="0"/>
                <w:sz w:val="24"/>
                <w:szCs w:val="24"/>
              </w:rPr>
              <w:fldChar w:fldCharType="begin"/>
            </w:r>
            <w:r>
              <w:rPr>
                <w:rFonts w:hint="default" w:ascii="Times New Roman" w:hAnsi="Times New Roman" w:cs="Times New Roman" w:eastAsiaTheme="minorEastAsia"/>
                <w:color w:val="auto"/>
                <w:kern w:val="0"/>
                <w:sz w:val="24"/>
                <w:szCs w:val="24"/>
              </w:rPr>
              <w:instrText xml:space="preserve"> = 3 \* GB3 \* MERGEFORMAT </w:instrText>
            </w:r>
            <w:r>
              <w:rPr>
                <w:rFonts w:hint="default" w:ascii="Times New Roman" w:hAnsi="Times New Roman" w:cs="Times New Roman" w:eastAsiaTheme="minorEastAsia"/>
                <w:color w:val="auto"/>
                <w:kern w:val="0"/>
                <w:sz w:val="24"/>
                <w:szCs w:val="24"/>
              </w:rPr>
              <w:fldChar w:fldCharType="separate"/>
            </w:r>
            <w:r>
              <w:rPr>
                <w:rFonts w:hint="default" w:ascii="Times New Roman" w:hAnsi="Times New Roman" w:cs="Times New Roman"/>
                <w:color w:val="auto"/>
                <w:sz w:val="24"/>
                <w:szCs w:val="24"/>
              </w:rPr>
              <w:t>③</w:t>
            </w:r>
            <w:r>
              <w:rPr>
                <w:rFonts w:hint="default" w:ascii="Times New Roman" w:hAnsi="Times New Roman" w:cs="Times New Roman" w:eastAsiaTheme="minorEastAsia"/>
                <w:color w:val="auto"/>
                <w:kern w:val="0"/>
                <w:sz w:val="24"/>
                <w:szCs w:val="24"/>
              </w:rPr>
              <w:fldChar w:fldCharType="end"/>
            </w:r>
            <w:r>
              <w:rPr>
                <w:rFonts w:hint="eastAsia" w:ascii="Times New Roman" w:hAnsi="Times New Roman" w:cs="Times New Roman" w:eastAsiaTheme="minorEastAsia"/>
                <w:color w:val="auto"/>
                <w:kern w:val="0"/>
                <w:sz w:val="24"/>
                <w:szCs w:val="24"/>
                <w:lang w:val="en-US" w:eastAsia="zh-CN"/>
              </w:rPr>
              <w:t xml:space="preserve"> </w:t>
            </w:r>
            <w:r>
              <w:rPr>
                <w:rFonts w:hint="default" w:ascii="Times New Roman" w:hAnsi="Times New Roman" w:cs="Times New Roman" w:eastAsiaTheme="minorEastAsia"/>
                <w:color w:val="auto"/>
                <w:kern w:val="0"/>
                <w:sz w:val="24"/>
                <w:szCs w:val="24"/>
              </w:rPr>
              <w:t>截水沟</w:t>
            </w:r>
          </w:p>
          <w:p w14:paraId="12818A08">
            <w:pPr>
              <w:keepNext w:val="0"/>
              <w:keepLines w:val="0"/>
              <w:pageBreakBefore w:val="0"/>
              <w:widowControl w:val="0"/>
              <w:kinsoku/>
              <w:wordWrap/>
              <w:overflowPunct/>
              <w:topLinePunct w:val="0"/>
              <w:autoSpaceDE w:val="0"/>
              <w:autoSpaceDN w:val="0"/>
              <w:bidi w:val="0"/>
              <w:adjustRightInd w:val="0"/>
              <w:snapToGrid/>
              <w:spacing w:line="300" w:lineRule="auto"/>
              <w:ind w:firstLine="480" w:firstLineChars="200"/>
              <w:textAlignment w:val="auto"/>
              <w:rPr>
                <w:rFonts w:hint="default" w:ascii="Times New Roman" w:hAnsi="Times New Roman" w:cs="Times New Roman" w:eastAsiaTheme="minorEastAsia"/>
                <w:color w:val="auto"/>
                <w:kern w:val="0"/>
                <w:sz w:val="24"/>
                <w:szCs w:val="24"/>
              </w:rPr>
            </w:pPr>
            <w:r>
              <w:rPr>
                <w:rFonts w:hint="eastAsia" w:cs="Times New Roman" w:eastAsiaTheme="minorEastAsia"/>
                <w:color w:val="auto"/>
                <w:kern w:val="0"/>
                <w:sz w:val="24"/>
                <w:szCs w:val="24"/>
                <w:lang w:val="en-US" w:eastAsia="zh-CN"/>
              </w:rPr>
              <w:t>拟建公路</w:t>
            </w:r>
            <w:r>
              <w:rPr>
                <w:rFonts w:hint="default" w:ascii="Times New Roman" w:hAnsi="Times New Roman" w:cs="Times New Roman" w:eastAsiaTheme="minorEastAsia"/>
                <w:color w:val="auto"/>
                <w:kern w:val="0"/>
                <w:sz w:val="24"/>
                <w:szCs w:val="24"/>
              </w:rPr>
              <w:t>截水沟采用矩形断面，底宽60cm,深60cm，采用15cm厚C30混凝土浇筑。截水沟一般设置在地表有明显冲刷或汇水痕迹的挖方路段，布设位置距离挖方边坡坡口以外不小于5m处。</w:t>
            </w:r>
          </w:p>
          <w:p w14:paraId="059B05AA">
            <w:pPr>
              <w:keepNext w:val="0"/>
              <w:keepLines w:val="0"/>
              <w:pageBreakBefore w:val="0"/>
              <w:widowControl w:val="0"/>
              <w:kinsoku/>
              <w:wordWrap/>
              <w:overflowPunct/>
              <w:topLinePunct w:val="0"/>
              <w:autoSpaceDE w:val="0"/>
              <w:autoSpaceDN w:val="0"/>
              <w:bidi w:val="0"/>
              <w:adjustRightInd w:val="0"/>
              <w:snapToGrid/>
              <w:spacing w:line="300" w:lineRule="auto"/>
              <w:ind w:firstLine="480" w:firstLineChars="200"/>
              <w:textAlignment w:val="auto"/>
              <w:rPr>
                <w:rFonts w:hint="default" w:ascii="Times New Roman" w:hAnsi="Times New Roman" w:cs="Times New Roman" w:eastAsiaTheme="minorEastAsia"/>
                <w:color w:val="auto"/>
                <w:kern w:val="0"/>
                <w:sz w:val="24"/>
                <w:szCs w:val="24"/>
              </w:rPr>
            </w:pPr>
            <w:r>
              <w:rPr>
                <w:rFonts w:hint="default" w:ascii="Times New Roman" w:hAnsi="Times New Roman" w:cs="Times New Roman" w:eastAsiaTheme="minorEastAsia"/>
                <w:color w:val="auto"/>
                <w:kern w:val="0"/>
                <w:sz w:val="24"/>
                <w:szCs w:val="24"/>
              </w:rPr>
              <w:fldChar w:fldCharType="begin"/>
            </w:r>
            <w:r>
              <w:rPr>
                <w:rFonts w:hint="default" w:ascii="Times New Roman" w:hAnsi="Times New Roman" w:cs="Times New Roman" w:eastAsiaTheme="minorEastAsia"/>
                <w:color w:val="auto"/>
                <w:kern w:val="0"/>
                <w:sz w:val="24"/>
                <w:szCs w:val="24"/>
              </w:rPr>
              <w:instrText xml:space="preserve"> = 4 \* GB3 \* MERGEFORMAT </w:instrText>
            </w:r>
            <w:r>
              <w:rPr>
                <w:rFonts w:hint="default" w:ascii="Times New Roman" w:hAnsi="Times New Roman" w:cs="Times New Roman" w:eastAsiaTheme="minorEastAsia"/>
                <w:color w:val="auto"/>
                <w:kern w:val="0"/>
                <w:sz w:val="24"/>
                <w:szCs w:val="24"/>
              </w:rPr>
              <w:fldChar w:fldCharType="separate"/>
            </w:r>
            <w:r>
              <w:rPr>
                <w:rFonts w:hint="default" w:ascii="Times New Roman" w:hAnsi="Times New Roman" w:cs="Times New Roman"/>
                <w:color w:val="auto"/>
                <w:sz w:val="24"/>
                <w:szCs w:val="24"/>
              </w:rPr>
              <w:t>④</w:t>
            </w:r>
            <w:r>
              <w:rPr>
                <w:rFonts w:hint="default" w:ascii="Times New Roman" w:hAnsi="Times New Roman" w:cs="Times New Roman" w:eastAsiaTheme="minorEastAsia"/>
                <w:color w:val="auto"/>
                <w:kern w:val="0"/>
                <w:sz w:val="24"/>
                <w:szCs w:val="24"/>
              </w:rPr>
              <w:fldChar w:fldCharType="end"/>
            </w:r>
            <w:r>
              <w:rPr>
                <w:rFonts w:hint="default" w:ascii="Times New Roman" w:hAnsi="Times New Roman" w:cs="Times New Roman" w:eastAsiaTheme="minorEastAsia"/>
                <w:color w:val="auto"/>
                <w:kern w:val="0"/>
                <w:sz w:val="24"/>
                <w:szCs w:val="24"/>
                <w:lang w:val="en-US" w:eastAsia="zh-CN"/>
              </w:rPr>
              <w:t xml:space="preserve"> </w:t>
            </w:r>
            <w:r>
              <w:rPr>
                <w:rFonts w:hint="default" w:ascii="Times New Roman" w:hAnsi="Times New Roman" w:cs="Times New Roman" w:eastAsiaTheme="minorEastAsia"/>
                <w:color w:val="auto"/>
                <w:kern w:val="0"/>
                <w:sz w:val="24"/>
                <w:szCs w:val="24"/>
              </w:rPr>
              <w:t>急流槽</w:t>
            </w:r>
          </w:p>
          <w:p w14:paraId="13F728FE">
            <w:pPr>
              <w:keepNext w:val="0"/>
              <w:keepLines w:val="0"/>
              <w:pageBreakBefore w:val="0"/>
              <w:widowControl w:val="0"/>
              <w:kinsoku/>
              <w:wordWrap/>
              <w:overflowPunct/>
              <w:topLinePunct w:val="0"/>
              <w:autoSpaceDE w:val="0"/>
              <w:autoSpaceDN w:val="0"/>
              <w:bidi w:val="0"/>
              <w:adjustRightInd w:val="0"/>
              <w:snapToGrid/>
              <w:spacing w:after="157" w:afterLines="50" w:line="300" w:lineRule="auto"/>
              <w:ind w:firstLine="480" w:firstLineChars="200"/>
              <w:textAlignment w:val="auto"/>
              <w:rPr>
                <w:rFonts w:hint="eastAsia" w:hAnsiTheme="minorEastAsia" w:eastAsiaTheme="minorEastAsia"/>
                <w:color w:val="auto"/>
                <w:kern w:val="0"/>
                <w:sz w:val="24"/>
              </w:rPr>
            </w:pPr>
            <w:r>
              <w:rPr>
                <w:rFonts w:hint="eastAsia" w:cs="Times New Roman" w:eastAsiaTheme="minorEastAsia"/>
                <w:color w:val="auto"/>
                <w:kern w:val="0"/>
                <w:sz w:val="24"/>
                <w:szCs w:val="24"/>
                <w:lang w:val="en-US" w:eastAsia="zh-CN"/>
              </w:rPr>
              <w:t>拟建公路</w:t>
            </w:r>
            <w:r>
              <w:rPr>
                <w:rFonts w:hint="default" w:ascii="Times New Roman" w:hAnsi="Times New Roman" w:cs="Times New Roman" w:eastAsiaTheme="minorEastAsia"/>
                <w:color w:val="auto"/>
                <w:kern w:val="0"/>
                <w:sz w:val="24"/>
                <w:szCs w:val="24"/>
              </w:rPr>
              <w:t>急流槽设置于拦水带与边沟、排水沟衔接处，采用C30混凝土现浇</w:t>
            </w:r>
            <w:r>
              <w:rPr>
                <w:rFonts w:hint="eastAsia" w:hAnsiTheme="minorEastAsia" w:eastAsiaTheme="minorEastAsia"/>
                <w:color w:val="auto"/>
                <w:kern w:val="0"/>
                <w:sz w:val="24"/>
              </w:rPr>
              <w:t>。</w:t>
            </w:r>
          </w:p>
          <w:p w14:paraId="0BEC5259">
            <w:pPr>
              <w:autoSpaceDE w:val="0"/>
              <w:autoSpaceDN w:val="0"/>
              <w:adjustRightInd w:val="0"/>
              <w:spacing w:line="300" w:lineRule="auto"/>
              <w:ind w:firstLine="482" w:firstLineChars="200"/>
              <w:rPr>
                <w:rFonts w:hAnsiTheme="minorEastAsia" w:eastAsiaTheme="minorEastAsia"/>
                <w:b/>
                <w:color w:val="auto"/>
                <w:kern w:val="0"/>
                <w:sz w:val="24"/>
              </w:rPr>
            </w:pPr>
            <w:r>
              <w:rPr>
                <w:rFonts w:eastAsiaTheme="minorEastAsia"/>
                <w:b/>
                <w:color w:val="auto"/>
                <w:kern w:val="0"/>
                <w:sz w:val="24"/>
              </w:rPr>
              <w:t>(</w:t>
            </w:r>
            <w:r>
              <w:rPr>
                <w:rFonts w:hint="eastAsia" w:eastAsiaTheme="minorEastAsia"/>
                <w:b/>
                <w:color w:val="auto"/>
                <w:kern w:val="0"/>
                <w:sz w:val="24"/>
              </w:rPr>
              <w:t>5</w:t>
            </w:r>
            <w:r>
              <w:rPr>
                <w:rFonts w:eastAsiaTheme="minorEastAsia"/>
                <w:b/>
                <w:color w:val="auto"/>
                <w:kern w:val="0"/>
                <w:sz w:val="24"/>
              </w:rPr>
              <w:t xml:space="preserve">) </w:t>
            </w:r>
            <w:r>
              <w:rPr>
                <w:rFonts w:hAnsiTheme="minorEastAsia" w:eastAsiaTheme="minorEastAsia"/>
                <w:b/>
                <w:color w:val="auto"/>
                <w:kern w:val="0"/>
                <w:sz w:val="24"/>
              </w:rPr>
              <w:t>路面工程</w:t>
            </w:r>
          </w:p>
          <w:p w14:paraId="609D1DF0">
            <w:pPr>
              <w:autoSpaceDE w:val="0"/>
              <w:autoSpaceDN w:val="0"/>
              <w:adjustRightInd w:val="0"/>
              <w:spacing w:line="300" w:lineRule="auto"/>
              <w:ind w:firstLine="480" w:firstLineChars="200"/>
              <w:rPr>
                <w:rFonts w:hint="default" w:hAnsiTheme="minorEastAsia" w:eastAsiaTheme="minorEastAsia"/>
                <w:b w:val="0"/>
                <w:bCs/>
                <w:color w:val="auto"/>
                <w:kern w:val="0"/>
                <w:sz w:val="24"/>
                <w:lang w:val="en-US" w:eastAsia="zh-CN"/>
              </w:rPr>
            </w:pPr>
            <w:r>
              <w:rPr>
                <w:rFonts w:hint="eastAsia" w:hAnsiTheme="minorEastAsia" w:eastAsiaTheme="minorEastAsia"/>
                <w:b w:val="0"/>
                <w:bCs/>
                <w:color w:val="auto"/>
                <w:kern w:val="0"/>
                <w:sz w:val="24"/>
                <w:lang w:val="en-US" w:eastAsia="zh-CN"/>
              </w:rPr>
              <w:t>1）路面结构</w:t>
            </w:r>
          </w:p>
          <w:p w14:paraId="041FCB0C">
            <w:pPr>
              <w:autoSpaceDE w:val="0"/>
              <w:autoSpaceDN w:val="0"/>
              <w:adjustRightInd w:val="0"/>
              <w:spacing w:line="300" w:lineRule="auto"/>
              <w:ind w:firstLine="480" w:firstLineChars="200"/>
              <w:rPr>
                <w:rFonts w:eastAsiaTheme="minorEastAsia"/>
                <w:color w:val="auto"/>
                <w:kern w:val="0"/>
                <w:sz w:val="24"/>
              </w:rPr>
            </w:pPr>
            <w:r>
              <w:rPr>
                <w:rFonts w:hAnsiTheme="minorEastAsia" w:eastAsiaTheme="minorEastAsia"/>
                <w:color w:val="auto"/>
                <w:kern w:val="0"/>
                <w:sz w:val="24"/>
              </w:rPr>
              <w:t>根据初步设计审查情况并结合项目主体设计情况，确定路面结构为：</w:t>
            </w:r>
          </w:p>
          <w:p w14:paraId="52BD2D00">
            <w:pPr>
              <w:autoSpaceDE w:val="0"/>
              <w:autoSpaceDN w:val="0"/>
              <w:adjustRightInd w:val="0"/>
              <w:spacing w:line="300" w:lineRule="auto"/>
              <w:ind w:firstLine="480" w:firstLineChars="200"/>
              <w:rPr>
                <w:rFonts w:eastAsiaTheme="minorEastAsia"/>
                <w:color w:val="auto"/>
                <w:kern w:val="0"/>
                <w:sz w:val="24"/>
              </w:rPr>
            </w:pPr>
            <w:r>
              <w:rPr>
                <w:rFonts w:hint="eastAsia" w:ascii="宋体" w:hAnsi="宋体"/>
                <w:color w:val="auto"/>
                <w:kern w:val="0"/>
                <w:sz w:val="24"/>
              </w:rPr>
              <w:t>①</w:t>
            </w:r>
            <w:r>
              <w:rPr>
                <w:rFonts w:hint="eastAsia" w:eastAsiaTheme="minorEastAsia"/>
                <w:color w:val="auto"/>
                <w:kern w:val="0"/>
                <w:sz w:val="24"/>
              </w:rPr>
              <w:t xml:space="preserve"> </w:t>
            </w:r>
            <w:r>
              <w:rPr>
                <w:rFonts w:hAnsiTheme="minorEastAsia" w:eastAsiaTheme="minorEastAsia"/>
                <w:color w:val="auto"/>
                <w:kern w:val="0"/>
                <w:sz w:val="24"/>
              </w:rPr>
              <w:t>主线路面结构组合</w:t>
            </w:r>
          </w:p>
          <w:p w14:paraId="3E744832">
            <w:pPr>
              <w:autoSpaceDE w:val="0"/>
              <w:autoSpaceDN w:val="0"/>
              <w:adjustRightInd w:val="0"/>
              <w:spacing w:line="300" w:lineRule="auto"/>
              <w:ind w:firstLine="480" w:firstLineChars="200"/>
              <w:rPr>
                <w:rFonts w:eastAsiaTheme="minorEastAsia"/>
                <w:color w:val="auto"/>
                <w:kern w:val="0"/>
                <w:sz w:val="24"/>
              </w:rPr>
            </w:pPr>
            <w:r>
              <w:rPr>
                <w:rFonts w:hAnsiTheme="minorEastAsia" w:eastAsiaTheme="minorEastAsia"/>
                <w:color w:val="auto"/>
                <w:kern w:val="0"/>
                <w:sz w:val="24"/>
              </w:rPr>
              <w:t>上面层：</w:t>
            </w:r>
            <w:r>
              <w:rPr>
                <w:rFonts w:eastAsiaTheme="minorEastAsia"/>
                <w:color w:val="auto"/>
                <w:kern w:val="0"/>
                <w:sz w:val="24"/>
              </w:rPr>
              <w:t>4cm</w:t>
            </w:r>
            <w:r>
              <w:rPr>
                <w:rFonts w:hint="eastAsia" w:eastAsiaTheme="minorEastAsia"/>
                <w:color w:val="auto"/>
                <w:kern w:val="0"/>
                <w:sz w:val="24"/>
                <w:lang w:val="en-US" w:eastAsia="zh-CN"/>
              </w:rPr>
              <w:t xml:space="preserve"> </w:t>
            </w:r>
            <w:r>
              <w:rPr>
                <w:rFonts w:hAnsiTheme="minorEastAsia" w:eastAsiaTheme="minorEastAsia"/>
                <w:color w:val="auto"/>
                <w:kern w:val="0"/>
                <w:sz w:val="24"/>
              </w:rPr>
              <w:t>改性沥青混凝土</w:t>
            </w:r>
            <w:r>
              <w:rPr>
                <w:rFonts w:eastAsiaTheme="minorEastAsia"/>
                <w:color w:val="auto"/>
                <w:kern w:val="0"/>
                <w:sz w:val="24"/>
              </w:rPr>
              <w:t>AC-13C</w:t>
            </w:r>
          </w:p>
          <w:p w14:paraId="0E026EEC">
            <w:pPr>
              <w:autoSpaceDE w:val="0"/>
              <w:autoSpaceDN w:val="0"/>
              <w:adjustRightInd w:val="0"/>
              <w:spacing w:line="300" w:lineRule="auto"/>
              <w:ind w:firstLine="480" w:firstLineChars="200"/>
              <w:rPr>
                <w:rFonts w:eastAsiaTheme="minorEastAsia"/>
                <w:color w:val="auto"/>
                <w:kern w:val="0"/>
                <w:sz w:val="24"/>
              </w:rPr>
            </w:pPr>
            <w:r>
              <w:rPr>
                <w:rFonts w:hAnsiTheme="minorEastAsia" w:eastAsiaTheme="minorEastAsia"/>
                <w:color w:val="auto"/>
                <w:kern w:val="0"/>
                <w:sz w:val="24"/>
              </w:rPr>
              <w:t>下面层：</w:t>
            </w:r>
            <w:r>
              <w:rPr>
                <w:rFonts w:eastAsiaTheme="minorEastAsia"/>
                <w:color w:val="auto"/>
                <w:kern w:val="0"/>
                <w:sz w:val="24"/>
              </w:rPr>
              <w:t>6cm</w:t>
            </w:r>
            <w:r>
              <w:rPr>
                <w:rFonts w:hint="eastAsia" w:eastAsiaTheme="minorEastAsia"/>
                <w:color w:val="auto"/>
                <w:kern w:val="0"/>
                <w:sz w:val="24"/>
                <w:lang w:val="en-US" w:eastAsia="zh-CN"/>
              </w:rPr>
              <w:t xml:space="preserve"> </w:t>
            </w:r>
            <w:r>
              <w:rPr>
                <w:rFonts w:hint="eastAsia" w:hAnsiTheme="minorEastAsia" w:eastAsiaTheme="minorEastAsia"/>
                <w:color w:val="auto"/>
                <w:kern w:val="0"/>
                <w:sz w:val="24"/>
                <w:lang w:val="en-US" w:eastAsia="zh-CN"/>
              </w:rPr>
              <w:t>中粒式</w:t>
            </w:r>
            <w:r>
              <w:rPr>
                <w:rFonts w:hAnsiTheme="minorEastAsia" w:eastAsiaTheme="minorEastAsia"/>
                <w:color w:val="auto"/>
                <w:kern w:val="0"/>
                <w:sz w:val="24"/>
              </w:rPr>
              <w:t>沥青混凝土</w:t>
            </w:r>
            <w:r>
              <w:rPr>
                <w:rFonts w:eastAsiaTheme="minorEastAsia"/>
                <w:color w:val="auto"/>
                <w:kern w:val="0"/>
                <w:sz w:val="24"/>
              </w:rPr>
              <w:t>AC-20C</w:t>
            </w:r>
          </w:p>
          <w:p w14:paraId="0E661586">
            <w:pPr>
              <w:autoSpaceDE w:val="0"/>
              <w:autoSpaceDN w:val="0"/>
              <w:adjustRightInd w:val="0"/>
              <w:spacing w:line="300" w:lineRule="auto"/>
              <w:ind w:firstLine="480" w:firstLineChars="200"/>
              <w:rPr>
                <w:rFonts w:hint="eastAsia" w:eastAsiaTheme="minorEastAsia"/>
                <w:color w:val="auto"/>
                <w:kern w:val="0"/>
                <w:sz w:val="24"/>
                <w:lang w:eastAsia="zh-CN"/>
              </w:rPr>
            </w:pPr>
            <w:r>
              <w:rPr>
                <w:rFonts w:hAnsiTheme="minorEastAsia" w:eastAsiaTheme="minorEastAsia"/>
                <w:color w:val="auto"/>
                <w:kern w:val="0"/>
                <w:sz w:val="24"/>
              </w:rPr>
              <w:t>封层：</w:t>
            </w:r>
            <w:r>
              <w:rPr>
                <w:rFonts w:hint="eastAsia" w:eastAsiaTheme="minorEastAsia"/>
                <w:color w:val="auto"/>
                <w:kern w:val="0"/>
                <w:sz w:val="24"/>
                <w:lang w:val="en-US" w:eastAsia="zh-CN"/>
              </w:rPr>
              <w:t>乳化沥青（PCR）</w:t>
            </w:r>
          </w:p>
          <w:p w14:paraId="648504A7">
            <w:pPr>
              <w:autoSpaceDE w:val="0"/>
              <w:autoSpaceDN w:val="0"/>
              <w:adjustRightInd w:val="0"/>
              <w:spacing w:line="300" w:lineRule="auto"/>
              <w:ind w:firstLine="480" w:firstLineChars="200"/>
              <w:rPr>
                <w:rFonts w:hint="default" w:hAnsiTheme="minorEastAsia" w:eastAsiaTheme="minorEastAsia"/>
                <w:color w:val="auto"/>
                <w:kern w:val="0"/>
                <w:sz w:val="24"/>
                <w:lang w:val="en-US" w:eastAsia="zh-CN"/>
              </w:rPr>
            </w:pPr>
            <w:r>
              <w:rPr>
                <w:rFonts w:hAnsiTheme="minorEastAsia" w:eastAsiaTheme="minorEastAsia"/>
                <w:color w:val="auto"/>
                <w:kern w:val="0"/>
                <w:sz w:val="24"/>
              </w:rPr>
              <w:t>基层：</w:t>
            </w:r>
            <w:r>
              <w:rPr>
                <w:rFonts w:eastAsiaTheme="minorEastAsia"/>
                <w:color w:val="auto"/>
                <w:kern w:val="0"/>
                <w:sz w:val="24"/>
              </w:rPr>
              <w:t xml:space="preserve">36cm </w:t>
            </w:r>
            <w:r>
              <w:rPr>
                <w:rFonts w:hAnsiTheme="minorEastAsia" w:eastAsiaTheme="minorEastAsia"/>
                <w:color w:val="auto"/>
                <w:kern w:val="0"/>
                <w:sz w:val="24"/>
              </w:rPr>
              <w:t>水泥稳定</w:t>
            </w:r>
            <w:r>
              <w:rPr>
                <w:rFonts w:hint="eastAsia" w:hAnsiTheme="minorEastAsia" w:eastAsiaTheme="minorEastAsia"/>
                <w:color w:val="auto"/>
                <w:kern w:val="0"/>
                <w:sz w:val="24"/>
                <w:lang w:val="en-US" w:eastAsia="zh-CN"/>
              </w:rPr>
              <w:t>级配砂砾</w:t>
            </w:r>
          </w:p>
          <w:p w14:paraId="2D161564">
            <w:pPr>
              <w:autoSpaceDE w:val="0"/>
              <w:autoSpaceDN w:val="0"/>
              <w:adjustRightInd w:val="0"/>
              <w:spacing w:line="300" w:lineRule="auto"/>
              <w:ind w:firstLine="480" w:firstLineChars="200"/>
              <w:rPr>
                <w:rFonts w:eastAsiaTheme="minorEastAsia"/>
                <w:color w:val="auto"/>
                <w:kern w:val="0"/>
                <w:sz w:val="24"/>
              </w:rPr>
            </w:pPr>
            <w:r>
              <w:rPr>
                <w:rFonts w:hAnsiTheme="minorEastAsia" w:eastAsiaTheme="minorEastAsia"/>
                <w:color w:val="auto"/>
                <w:kern w:val="0"/>
                <w:sz w:val="24"/>
              </w:rPr>
              <w:t>底基层：</w:t>
            </w:r>
            <w:r>
              <w:rPr>
                <w:rFonts w:eastAsiaTheme="minorEastAsia"/>
                <w:color w:val="auto"/>
                <w:kern w:val="0"/>
                <w:sz w:val="24"/>
              </w:rPr>
              <w:t xml:space="preserve">20cm </w:t>
            </w:r>
            <w:r>
              <w:rPr>
                <w:rFonts w:hAnsiTheme="minorEastAsia" w:eastAsiaTheme="minorEastAsia"/>
                <w:color w:val="auto"/>
                <w:kern w:val="0"/>
                <w:sz w:val="24"/>
              </w:rPr>
              <w:t>级配砂砾</w:t>
            </w:r>
          </w:p>
          <w:p w14:paraId="433F6662">
            <w:pPr>
              <w:autoSpaceDE w:val="0"/>
              <w:autoSpaceDN w:val="0"/>
              <w:adjustRightInd w:val="0"/>
              <w:spacing w:line="300" w:lineRule="auto"/>
              <w:ind w:firstLine="480" w:firstLineChars="200"/>
              <w:rPr>
                <w:rFonts w:eastAsiaTheme="minorEastAsia"/>
                <w:color w:val="auto"/>
                <w:kern w:val="0"/>
                <w:sz w:val="24"/>
              </w:rPr>
            </w:pPr>
            <w:r>
              <w:rPr>
                <w:rFonts w:hAnsiTheme="minorEastAsia" w:eastAsiaTheme="minorEastAsia"/>
                <w:color w:val="auto"/>
                <w:kern w:val="0"/>
                <w:sz w:val="24"/>
              </w:rPr>
              <w:t>总厚：</w:t>
            </w:r>
            <w:r>
              <w:rPr>
                <w:rFonts w:eastAsiaTheme="minorEastAsia"/>
                <w:color w:val="auto"/>
                <w:kern w:val="0"/>
                <w:sz w:val="24"/>
              </w:rPr>
              <w:t>66cm</w:t>
            </w:r>
          </w:p>
          <w:p w14:paraId="72479B42">
            <w:pPr>
              <w:autoSpaceDE w:val="0"/>
              <w:autoSpaceDN w:val="0"/>
              <w:adjustRightInd w:val="0"/>
              <w:spacing w:line="300" w:lineRule="auto"/>
              <w:ind w:firstLine="480" w:firstLineChars="200"/>
              <w:rPr>
                <w:rFonts w:eastAsiaTheme="minorEastAsia"/>
                <w:color w:val="auto"/>
                <w:kern w:val="0"/>
                <w:sz w:val="24"/>
              </w:rPr>
            </w:pPr>
            <w:r>
              <w:rPr>
                <w:rFonts w:hint="eastAsia" w:ascii="宋体" w:hAnsi="宋体"/>
                <w:color w:val="auto"/>
                <w:kern w:val="0"/>
                <w:sz w:val="24"/>
              </w:rPr>
              <w:t>②</w:t>
            </w:r>
            <w:r>
              <w:rPr>
                <w:rFonts w:hint="eastAsia" w:eastAsiaTheme="minorEastAsia"/>
                <w:color w:val="auto"/>
                <w:kern w:val="0"/>
                <w:sz w:val="24"/>
              </w:rPr>
              <w:t xml:space="preserve"> </w:t>
            </w:r>
            <w:r>
              <w:rPr>
                <w:rFonts w:hAnsiTheme="minorEastAsia" w:eastAsiaTheme="minorEastAsia"/>
                <w:color w:val="auto"/>
                <w:kern w:val="0"/>
                <w:sz w:val="24"/>
              </w:rPr>
              <w:t>桥面铺装路面结构</w:t>
            </w:r>
          </w:p>
          <w:p w14:paraId="401C3521">
            <w:pPr>
              <w:autoSpaceDE w:val="0"/>
              <w:autoSpaceDN w:val="0"/>
              <w:adjustRightInd w:val="0"/>
              <w:spacing w:line="300" w:lineRule="auto"/>
              <w:ind w:firstLine="480" w:firstLineChars="200"/>
              <w:rPr>
                <w:rFonts w:eastAsiaTheme="minorEastAsia"/>
                <w:color w:val="auto"/>
                <w:kern w:val="0"/>
                <w:sz w:val="24"/>
              </w:rPr>
            </w:pPr>
            <w:r>
              <w:rPr>
                <w:rFonts w:hAnsiTheme="minorEastAsia" w:eastAsiaTheme="minorEastAsia"/>
                <w:color w:val="auto"/>
                <w:kern w:val="0"/>
                <w:sz w:val="24"/>
              </w:rPr>
              <w:t>上面层：</w:t>
            </w:r>
            <w:r>
              <w:rPr>
                <w:rFonts w:eastAsiaTheme="minorEastAsia"/>
                <w:color w:val="auto"/>
                <w:kern w:val="0"/>
                <w:sz w:val="24"/>
              </w:rPr>
              <w:t xml:space="preserve">4cmSBS </w:t>
            </w:r>
            <w:r>
              <w:rPr>
                <w:rFonts w:hAnsiTheme="minorEastAsia" w:eastAsiaTheme="minorEastAsia"/>
                <w:color w:val="auto"/>
                <w:kern w:val="0"/>
                <w:sz w:val="24"/>
              </w:rPr>
              <w:t>改性沥青混凝土</w:t>
            </w:r>
            <w:r>
              <w:rPr>
                <w:rFonts w:eastAsiaTheme="minorEastAsia"/>
                <w:color w:val="auto"/>
                <w:kern w:val="0"/>
                <w:sz w:val="24"/>
              </w:rPr>
              <w:t>AC-13C</w:t>
            </w:r>
          </w:p>
          <w:p w14:paraId="152EFA19">
            <w:pPr>
              <w:autoSpaceDE w:val="0"/>
              <w:autoSpaceDN w:val="0"/>
              <w:adjustRightInd w:val="0"/>
              <w:spacing w:line="300" w:lineRule="auto"/>
              <w:ind w:firstLine="480" w:firstLineChars="200"/>
              <w:rPr>
                <w:rFonts w:eastAsiaTheme="minorEastAsia"/>
                <w:color w:val="auto"/>
                <w:kern w:val="0"/>
                <w:sz w:val="24"/>
              </w:rPr>
            </w:pPr>
            <w:r>
              <w:rPr>
                <w:rFonts w:hAnsiTheme="minorEastAsia" w:eastAsiaTheme="minorEastAsia"/>
                <w:color w:val="auto"/>
                <w:kern w:val="0"/>
                <w:sz w:val="24"/>
              </w:rPr>
              <w:t>下面层：</w:t>
            </w:r>
            <w:r>
              <w:rPr>
                <w:rFonts w:eastAsiaTheme="minorEastAsia"/>
                <w:color w:val="auto"/>
                <w:kern w:val="0"/>
                <w:sz w:val="24"/>
              </w:rPr>
              <w:t xml:space="preserve">6cmSBS </w:t>
            </w:r>
            <w:r>
              <w:rPr>
                <w:rFonts w:hAnsiTheme="minorEastAsia" w:eastAsiaTheme="minorEastAsia"/>
                <w:color w:val="auto"/>
                <w:kern w:val="0"/>
                <w:sz w:val="24"/>
              </w:rPr>
              <w:t>改性沥青混凝土</w:t>
            </w:r>
            <w:r>
              <w:rPr>
                <w:rFonts w:eastAsiaTheme="minorEastAsia"/>
                <w:color w:val="auto"/>
                <w:kern w:val="0"/>
                <w:sz w:val="24"/>
              </w:rPr>
              <w:t>AC-20C</w:t>
            </w:r>
          </w:p>
          <w:p w14:paraId="463D5305">
            <w:pPr>
              <w:autoSpaceDE w:val="0"/>
              <w:autoSpaceDN w:val="0"/>
              <w:adjustRightInd w:val="0"/>
              <w:spacing w:line="300" w:lineRule="auto"/>
              <w:ind w:firstLine="480" w:firstLineChars="200"/>
              <w:rPr>
                <w:rFonts w:eastAsiaTheme="minorEastAsia"/>
                <w:color w:val="auto"/>
                <w:kern w:val="0"/>
                <w:sz w:val="24"/>
              </w:rPr>
            </w:pPr>
            <w:r>
              <w:rPr>
                <w:rFonts w:hAnsiTheme="minorEastAsia" w:eastAsiaTheme="minorEastAsia"/>
                <w:color w:val="auto"/>
                <w:kern w:val="0"/>
                <w:sz w:val="24"/>
              </w:rPr>
              <w:t>防水粘结层总厚：</w:t>
            </w:r>
            <w:r>
              <w:rPr>
                <w:rFonts w:eastAsiaTheme="minorEastAsia"/>
                <w:color w:val="auto"/>
                <w:kern w:val="0"/>
                <w:sz w:val="24"/>
              </w:rPr>
              <w:t>10cm</w:t>
            </w:r>
          </w:p>
          <w:p w14:paraId="56A9E3BD">
            <w:pPr>
              <w:autoSpaceDE w:val="0"/>
              <w:autoSpaceDN w:val="0"/>
              <w:adjustRightInd w:val="0"/>
              <w:spacing w:line="300" w:lineRule="auto"/>
              <w:ind w:firstLine="480" w:firstLineChars="200"/>
              <w:rPr>
                <w:rFonts w:hint="default" w:eastAsiaTheme="minorEastAsia"/>
                <w:color w:val="auto"/>
                <w:kern w:val="0"/>
                <w:sz w:val="24"/>
                <w:lang w:val="en-US" w:eastAsia="zh-CN"/>
              </w:rPr>
            </w:pPr>
            <w:r>
              <w:rPr>
                <w:rFonts w:hint="eastAsia" w:eastAsiaTheme="minorEastAsia"/>
                <w:color w:val="auto"/>
                <w:kern w:val="0"/>
                <w:sz w:val="24"/>
                <w:lang w:val="en-US" w:eastAsia="zh-CN"/>
              </w:rPr>
              <w:t>2）路面排水</w:t>
            </w:r>
          </w:p>
          <w:p w14:paraId="008694E8">
            <w:pPr>
              <w:autoSpaceDE w:val="0"/>
              <w:autoSpaceDN w:val="0"/>
              <w:adjustRightInd w:val="0"/>
              <w:spacing w:line="300" w:lineRule="auto"/>
              <w:ind w:firstLine="480" w:firstLineChars="200"/>
              <w:rPr>
                <w:rFonts w:hint="eastAsia" w:eastAsiaTheme="minorEastAsia"/>
                <w:color w:val="auto"/>
                <w:kern w:val="0"/>
                <w:sz w:val="24"/>
              </w:rPr>
            </w:pPr>
            <w:r>
              <w:rPr>
                <w:rFonts w:hint="eastAsia" w:eastAsiaTheme="minorEastAsia"/>
                <w:color w:val="auto"/>
                <w:kern w:val="0"/>
                <w:sz w:val="24"/>
              </w:rPr>
              <w:fldChar w:fldCharType="begin"/>
            </w:r>
            <w:r>
              <w:rPr>
                <w:rFonts w:hint="eastAsia" w:eastAsiaTheme="minorEastAsia"/>
                <w:color w:val="auto"/>
                <w:kern w:val="0"/>
                <w:sz w:val="24"/>
              </w:rPr>
              <w:instrText xml:space="preserve"> = 1 \* GB3 \* MERGEFORMAT </w:instrText>
            </w:r>
            <w:r>
              <w:rPr>
                <w:rFonts w:hint="eastAsia" w:eastAsiaTheme="minorEastAsia"/>
                <w:color w:val="auto"/>
                <w:kern w:val="0"/>
                <w:sz w:val="24"/>
              </w:rPr>
              <w:fldChar w:fldCharType="separate"/>
            </w:r>
            <w:r>
              <w:rPr>
                <w:color w:val="auto"/>
              </w:rPr>
              <w:t>①</w:t>
            </w:r>
            <w:r>
              <w:rPr>
                <w:rFonts w:hint="eastAsia" w:eastAsiaTheme="minorEastAsia"/>
                <w:color w:val="auto"/>
                <w:kern w:val="0"/>
                <w:sz w:val="24"/>
              </w:rPr>
              <w:fldChar w:fldCharType="end"/>
            </w:r>
            <w:r>
              <w:rPr>
                <w:rFonts w:hint="eastAsia" w:eastAsiaTheme="minorEastAsia"/>
                <w:color w:val="auto"/>
                <w:kern w:val="0"/>
                <w:sz w:val="24"/>
                <w:lang w:val="en-US" w:eastAsia="zh-CN"/>
              </w:rPr>
              <w:t xml:space="preserve"> </w:t>
            </w:r>
            <w:r>
              <w:rPr>
                <w:rFonts w:hint="eastAsia" w:eastAsiaTheme="minorEastAsia"/>
                <w:color w:val="auto"/>
                <w:kern w:val="0"/>
                <w:sz w:val="24"/>
              </w:rPr>
              <w:t>中央分隔带（中间带）排水</w:t>
            </w:r>
          </w:p>
          <w:p w14:paraId="7845BE6D">
            <w:pPr>
              <w:autoSpaceDE w:val="0"/>
              <w:autoSpaceDN w:val="0"/>
              <w:adjustRightInd w:val="0"/>
              <w:spacing w:line="300" w:lineRule="auto"/>
              <w:ind w:firstLine="480" w:firstLineChars="200"/>
              <w:rPr>
                <w:rFonts w:hint="eastAsia" w:eastAsiaTheme="minorEastAsia"/>
                <w:color w:val="auto"/>
                <w:kern w:val="0"/>
                <w:sz w:val="24"/>
              </w:rPr>
            </w:pPr>
            <w:r>
              <w:rPr>
                <w:rFonts w:hint="eastAsia" w:eastAsiaTheme="minorEastAsia"/>
                <w:color w:val="auto"/>
                <w:kern w:val="0"/>
                <w:sz w:val="24"/>
                <w:lang w:val="en-US" w:eastAsia="zh-CN"/>
              </w:rPr>
              <w:t xml:space="preserve">a. </w:t>
            </w:r>
            <w:r>
              <w:rPr>
                <w:rFonts w:hint="eastAsia" w:eastAsiaTheme="minorEastAsia"/>
                <w:color w:val="auto"/>
                <w:kern w:val="0"/>
                <w:sz w:val="24"/>
              </w:rPr>
              <w:t>整体式路基：</w:t>
            </w:r>
          </w:p>
          <w:p w14:paraId="4AFD334C">
            <w:pPr>
              <w:autoSpaceDE w:val="0"/>
              <w:autoSpaceDN w:val="0"/>
              <w:adjustRightInd w:val="0"/>
              <w:spacing w:line="300" w:lineRule="auto"/>
              <w:ind w:firstLine="480" w:firstLineChars="200"/>
              <w:rPr>
                <w:rFonts w:hint="eastAsia" w:eastAsiaTheme="minorEastAsia"/>
                <w:color w:val="auto"/>
                <w:kern w:val="0"/>
                <w:sz w:val="24"/>
              </w:rPr>
            </w:pPr>
            <w:r>
              <w:rPr>
                <w:rFonts w:hint="eastAsia" w:eastAsiaTheme="minorEastAsia"/>
                <w:color w:val="auto"/>
                <w:kern w:val="0"/>
                <w:sz w:val="24"/>
              </w:rPr>
              <w:t>双侧拼宽段中央分隔带采用路面通铺方案，单侧拼宽段为防止降水通过中央分隔带渗入路面和路基，中央分隔带采用2.0cm砂粒式沥青混凝土（AC-5）封闭，砂粒式沥青混凝土底面设置8cm厚级配砂砾垫层。</w:t>
            </w:r>
          </w:p>
          <w:p w14:paraId="17C7FF42">
            <w:pPr>
              <w:autoSpaceDE w:val="0"/>
              <w:autoSpaceDN w:val="0"/>
              <w:adjustRightInd w:val="0"/>
              <w:spacing w:line="300" w:lineRule="auto"/>
              <w:ind w:firstLine="480" w:firstLineChars="200"/>
              <w:rPr>
                <w:rFonts w:hint="eastAsia" w:eastAsiaTheme="minorEastAsia"/>
                <w:color w:val="auto"/>
                <w:kern w:val="0"/>
                <w:sz w:val="24"/>
              </w:rPr>
            </w:pPr>
            <w:r>
              <w:rPr>
                <w:rFonts w:hint="eastAsia" w:eastAsiaTheme="minorEastAsia"/>
                <w:color w:val="auto"/>
                <w:kern w:val="0"/>
                <w:sz w:val="24"/>
                <w:lang w:val="en-US" w:eastAsia="zh-CN"/>
              </w:rPr>
              <w:t xml:space="preserve">b. </w:t>
            </w:r>
            <w:r>
              <w:rPr>
                <w:rFonts w:hint="eastAsia" w:eastAsiaTheme="minorEastAsia"/>
                <w:color w:val="auto"/>
                <w:kern w:val="0"/>
                <w:sz w:val="24"/>
              </w:rPr>
              <w:t>分离式路基：</w:t>
            </w:r>
          </w:p>
          <w:p w14:paraId="6617D279">
            <w:pPr>
              <w:autoSpaceDE w:val="0"/>
              <w:autoSpaceDN w:val="0"/>
              <w:adjustRightInd w:val="0"/>
              <w:spacing w:line="300" w:lineRule="auto"/>
              <w:ind w:firstLine="480" w:firstLineChars="200"/>
              <w:rPr>
                <w:rFonts w:hint="eastAsia" w:eastAsiaTheme="minorEastAsia"/>
                <w:color w:val="auto"/>
                <w:kern w:val="0"/>
                <w:sz w:val="24"/>
              </w:rPr>
            </w:pPr>
            <w:r>
              <w:rPr>
                <w:rFonts w:hint="eastAsia" w:eastAsiaTheme="minorEastAsia"/>
                <w:color w:val="auto"/>
                <w:kern w:val="0"/>
                <w:sz w:val="24"/>
              </w:rPr>
              <w:t>改扩建项目为最大程度的利用既有老路，分离式路基利用既有老路幅不改变路拱横坡，所以存在半幅路面水顺原有横坡向路基中间带排流，为避免中间带积水，在分离式路基中间带设置排水沟。</w:t>
            </w:r>
          </w:p>
          <w:p w14:paraId="4BAD762B">
            <w:pPr>
              <w:autoSpaceDE w:val="0"/>
              <w:autoSpaceDN w:val="0"/>
              <w:adjustRightInd w:val="0"/>
              <w:spacing w:line="300" w:lineRule="auto"/>
              <w:ind w:firstLine="480" w:firstLineChars="200"/>
              <w:rPr>
                <w:rFonts w:hint="eastAsia" w:eastAsiaTheme="minorEastAsia"/>
                <w:color w:val="auto"/>
                <w:kern w:val="0"/>
                <w:sz w:val="24"/>
              </w:rPr>
            </w:pPr>
            <w:r>
              <w:rPr>
                <w:rFonts w:hint="eastAsia" w:eastAsiaTheme="minorEastAsia"/>
                <w:color w:val="auto"/>
                <w:kern w:val="0"/>
                <w:sz w:val="24"/>
              </w:rPr>
              <w:fldChar w:fldCharType="begin"/>
            </w:r>
            <w:r>
              <w:rPr>
                <w:rFonts w:hint="eastAsia" w:eastAsiaTheme="minorEastAsia"/>
                <w:color w:val="auto"/>
                <w:kern w:val="0"/>
                <w:sz w:val="24"/>
              </w:rPr>
              <w:instrText xml:space="preserve"> = 2 \* GB3 \* MERGEFORMAT </w:instrText>
            </w:r>
            <w:r>
              <w:rPr>
                <w:rFonts w:hint="eastAsia" w:eastAsiaTheme="minorEastAsia"/>
                <w:color w:val="auto"/>
                <w:kern w:val="0"/>
                <w:sz w:val="24"/>
              </w:rPr>
              <w:fldChar w:fldCharType="separate"/>
            </w:r>
            <w:r>
              <w:rPr>
                <w:color w:val="auto"/>
              </w:rPr>
              <w:t>②</w:t>
            </w:r>
            <w:r>
              <w:rPr>
                <w:rFonts w:hint="eastAsia" w:eastAsiaTheme="minorEastAsia"/>
                <w:color w:val="auto"/>
                <w:kern w:val="0"/>
                <w:sz w:val="24"/>
              </w:rPr>
              <w:fldChar w:fldCharType="end"/>
            </w:r>
            <w:r>
              <w:rPr>
                <w:rFonts w:hint="eastAsia" w:eastAsiaTheme="minorEastAsia"/>
                <w:color w:val="auto"/>
                <w:kern w:val="0"/>
                <w:sz w:val="24"/>
                <w:lang w:val="en-US" w:eastAsia="zh-CN"/>
              </w:rPr>
              <w:t xml:space="preserve"> </w:t>
            </w:r>
            <w:r>
              <w:rPr>
                <w:rFonts w:hint="eastAsia" w:eastAsiaTheme="minorEastAsia"/>
                <w:color w:val="auto"/>
                <w:kern w:val="0"/>
                <w:sz w:val="24"/>
              </w:rPr>
              <w:t>拦水带</w:t>
            </w:r>
          </w:p>
          <w:p w14:paraId="7D0615C8">
            <w:pPr>
              <w:keepNext w:val="0"/>
              <w:keepLines w:val="0"/>
              <w:pageBreakBefore w:val="0"/>
              <w:widowControl w:val="0"/>
              <w:kinsoku/>
              <w:wordWrap/>
              <w:overflowPunct/>
              <w:topLinePunct w:val="0"/>
              <w:autoSpaceDE w:val="0"/>
              <w:autoSpaceDN w:val="0"/>
              <w:bidi w:val="0"/>
              <w:adjustRightInd w:val="0"/>
              <w:snapToGrid/>
              <w:spacing w:after="157" w:afterLines="50" w:line="300" w:lineRule="auto"/>
              <w:ind w:firstLine="480" w:firstLineChars="200"/>
              <w:textAlignment w:val="auto"/>
              <w:rPr>
                <w:rFonts w:eastAsiaTheme="minorEastAsia"/>
                <w:color w:val="auto"/>
                <w:kern w:val="0"/>
                <w:sz w:val="24"/>
              </w:rPr>
            </w:pPr>
            <w:r>
              <w:rPr>
                <w:rFonts w:hint="eastAsia" w:eastAsiaTheme="minorEastAsia"/>
                <w:color w:val="auto"/>
                <w:kern w:val="0"/>
                <w:sz w:val="24"/>
              </w:rPr>
              <w:t>项目区内气候干燥，降雨量稀少。为防止路基坡面的冲刷，结合南疆地区公路的养护特点及G219线既有老路拦水带形式及特点，对项目除设置方格网以外的凹型竖曲线底部或弯道超高内侧路段，设置凹型拦水带并配合急流槽集中排除路面水，其他路段采用散排方案。</w:t>
            </w:r>
          </w:p>
          <w:p w14:paraId="39A6BAA9">
            <w:pPr>
              <w:autoSpaceDE w:val="0"/>
              <w:autoSpaceDN w:val="0"/>
              <w:adjustRightInd w:val="0"/>
              <w:spacing w:line="300" w:lineRule="auto"/>
              <w:ind w:firstLine="482" w:firstLineChars="200"/>
              <w:rPr>
                <w:b/>
                <w:color w:val="auto"/>
                <w:kern w:val="0"/>
                <w:sz w:val="24"/>
              </w:rPr>
            </w:pPr>
            <w:r>
              <w:rPr>
                <w:b/>
                <w:color w:val="auto"/>
                <w:kern w:val="0"/>
                <w:sz w:val="24"/>
              </w:rPr>
              <w:t>(</w:t>
            </w:r>
            <w:r>
              <w:rPr>
                <w:rFonts w:hint="eastAsia"/>
                <w:b/>
                <w:color w:val="auto"/>
                <w:kern w:val="0"/>
                <w:sz w:val="24"/>
              </w:rPr>
              <w:t>6</w:t>
            </w:r>
            <w:r>
              <w:rPr>
                <w:b/>
                <w:color w:val="auto"/>
                <w:kern w:val="0"/>
                <w:sz w:val="24"/>
              </w:rPr>
              <w:t>) 桥</w:t>
            </w:r>
            <w:r>
              <w:rPr>
                <w:rFonts w:hint="eastAsia"/>
                <w:b/>
                <w:color w:val="auto"/>
                <w:kern w:val="0"/>
                <w:sz w:val="24"/>
              </w:rPr>
              <w:t>涵</w:t>
            </w:r>
            <w:r>
              <w:rPr>
                <w:b/>
                <w:color w:val="auto"/>
                <w:kern w:val="0"/>
                <w:sz w:val="24"/>
              </w:rPr>
              <w:t>工程</w:t>
            </w:r>
          </w:p>
          <w:p w14:paraId="4C53C90C">
            <w:pPr>
              <w:autoSpaceDE w:val="0"/>
              <w:autoSpaceDN w:val="0"/>
              <w:adjustRightInd w:val="0"/>
              <w:spacing w:line="300" w:lineRule="auto"/>
              <w:ind w:firstLine="480" w:firstLineChars="200"/>
              <w:rPr>
                <w:color w:val="auto"/>
                <w:spacing w:val="-4"/>
                <w:kern w:val="0"/>
                <w:sz w:val="24"/>
              </w:rPr>
            </w:pPr>
            <w:r>
              <w:rPr>
                <w:rFonts w:hint="eastAsia" w:hAnsi="宋体"/>
                <w:bCs/>
                <w:color w:val="auto"/>
                <w:sz w:val="24"/>
                <w:lang w:val="en-US" w:eastAsia="zh-CN"/>
              </w:rPr>
              <w:t>拟建公路推荐线长70.078km，共设置桥梁823.585m/15座，其中大桥339.95m/1座、中桥65.08m/1座、小桥324.54m/13座，涵洞197道。拟建公路桥梁设置情况见表2-6</w:t>
            </w:r>
            <w:r>
              <w:rPr>
                <w:color w:val="auto"/>
                <w:spacing w:val="-4"/>
                <w:kern w:val="0"/>
                <w:sz w:val="24"/>
              </w:rPr>
              <w:t>。</w:t>
            </w:r>
          </w:p>
          <w:p w14:paraId="7FDB560E">
            <w:pPr>
              <w:autoSpaceDE w:val="0"/>
              <w:autoSpaceDN w:val="0"/>
              <w:adjustRightInd w:val="0"/>
              <w:spacing w:line="300" w:lineRule="auto"/>
              <w:ind w:firstLine="464" w:firstLineChars="200"/>
              <w:rPr>
                <w:color w:val="auto"/>
                <w:spacing w:val="-4"/>
                <w:kern w:val="0"/>
                <w:sz w:val="24"/>
              </w:rPr>
            </w:pPr>
          </w:p>
          <w:p w14:paraId="4554C187">
            <w:pPr>
              <w:autoSpaceDE w:val="0"/>
              <w:autoSpaceDN w:val="0"/>
              <w:adjustRightInd w:val="0"/>
              <w:spacing w:before="120" w:beforeLines="50"/>
              <w:jc w:val="center"/>
              <w:rPr>
                <w:b/>
                <w:color w:val="auto"/>
                <w:kern w:val="0"/>
                <w:szCs w:val="21"/>
              </w:rPr>
            </w:pPr>
            <w:r>
              <w:rPr>
                <w:b/>
                <w:color w:val="auto"/>
                <w:kern w:val="0"/>
                <w:szCs w:val="21"/>
              </w:rPr>
              <w:t>表2-</w:t>
            </w:r>
            <w:r>
              <w:rPr>
                <w:rFonts w:hint="eastAsia"/>
                <w:b/>
                <w:color w:val="auto"/>
                <w:kern w:val="0"/>
                <w:szCs w:val="21"/>
              </w:rPr>
              <w:t>6</w:t>
            </w:r>
            <w:r>
              <w:rPr>
                <w:b/>
                <w:color w:val="auto"/>
                <w:kern w:val="0"/>
                <w:szCs w:val="21"/>
              </w:rPr>
              <w:t xml:space="preserve">  拟建公路桥梁设置情况一览表</w:t>
            </w:r>
          </w:p>
          <w:tbl>
            <w:tblPr>
              <w:tblStyle w:val="22"/>
              <w:tblW w:w="8410" w:type="dxa"/>
              <w:tblInd w:w="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2"/>
              <w:gridCol w:w="1494"/>
              <w:gridCol w:w="1842"/>
              <w:gridCol w:w="1276"/>
              <w:gridCol w:w="871"/>
              <w:gridCol w:w="1701"/>
              <w:gridCol w:w="774"/>
            </w:tblGrid>
            <w:tr w14:paraId="41436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trPr>
              <w:tc>
                <w:tcPr>
                  <w:tcW w:w="452" w:type="dxa"/>
                  <w:tcBorders>
                    <w:tl2br w:val="nil"/>
                    <w:tr2bl w:val="nil"/>
                  </w:tcBorders>
                  <w:noWrap w:val="0"/>
                  <w:vAlign w:val="center"/>
                </w:tcPr>
                <w:p w14:paraId="61A7F7C7">
                  <w:pPr>
                    <w:adjustRightInd w:val="0"/>
                    <w:snapToGrid w:val="0"/>
                    <w:jc w:val="center"/>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序号</w:t>
                  </w:r>
                </w:p>
              </w:tc>
              <w:tc>
                <w:tcPr>
                  <w:tcW w:w="1494" w:type="dxa"/>
                  <w:tcBorders>
                    <w:tl2br w:val="nil"/>
                    <w:tr2bl w:val="nil"/>
                  </w:tcBorders>
                  <w:noWrap w:val="0"/>
                  <w:vAlign w:val="center"/>
                </w:tcPr>
                <w:p w14:paraId="2679FE13">
                  <w:pPr>
                    <w:adjustRightInd w:val="0"/>
                    <w:snapToGrid w:val="0"/>
                    <w:jc w:val="center"/>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中心桩号</w:t>
                  </w:r>
                </w:p>
              </w:tc>
              <w:tc>
                <w:tcPr>
                  <w:tcW w:w="1842" w:type="dxa"/>
                  <w:tcBorders>
                    <w:tl2br w:val="nil"/>
                    <w:tr2bl w:val="nil"/>
                  </w:tcBorders>
                  <w:noWrap w:val="0"/>
                  <w:vAlign w:val="center"/>
                </w:tcPr>
                <w:p w14:paraId="115A167E">
                  <w:pPr>
                    <w:adjustRightInd w:val="0"/>
                    <w:snapToGrid w:val="0"/>
                    <w:jc w:val="center"/>
                    <w:rPr>
                      <w:rFonts w:hint="default" w:ascii="Times New Roman" w:hAnsi="Times New Roman" w:eastAsia="宋体" w:cs="Times New Roman"/>
                      <w:b/>
                      <w:bCs/>
                      <w:sz w:val="21"/>
                      <w:szCs w:val="21"/>
                      <w:highlight w:val="none"/>
                    </w:rPr>
                  </w:pPr>
                  <w:r>
                    <w:rPr>
                      <w:rFonts w:hint="eastAsia" w:ascii="Times New Roman" w:hAnsi="Times New Roman" w:cs="Times New Roman"/>
                      <w:b/>
                      <w:bCs/>
                      <w:sz w:val="21"/>
                      <w:szCs w:val="21"/>
                      <w:highlight w:val="none"/>
                      <w:lang w:val="en-US" w:eastAsia="zh-CN"/>
                    </w:rPr>
                    <w:t>桥梁</w:t>
                  </w:r>
                  <w:r>
                    <w:rPr>
                      <w:rFonts w:hint="default" w:ascii="Times New Roman" w:hAnsi="Times New Roman" w:eastAsia="宋体" w:cs="Times New Roman"/>
                      <w:b/>
                      <w:bCs/>
                      <w:sz w:val="21"/>
                      <w:szCs w:val="21"/>
                      <w:highlight w:val="none"/>
                    </w:rPr>
                    <w:t>名称</w:t>
                  </w:r>
                </w:p>
              </w:tc>
              <w:tc>
                <w:tcPr>
                  <w:tcW w:w="1276" w:type="dxa"/>
                  <w:tcBorders>
                    <w:tl2br w:val="nil"/>
                    <w:tr2bl w:val="nil"/>
                  </w:tcBorders>
                  <w:noWrap w:val="0"/>
                  <w:vAlign w:val="center"/>
                </w:tcPr>
                <w:p w14:paraId="1E2BAC72">
                  <w:pPr>
                    <w:adjustRightInd w:val="0"/>
                    <w:snapToGrid w:val="0"/>
                    <w:jc w:val="center"/>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孔数及孔径</w:t>
                  </w:r>
                  <w:r>
                    <w:rPr>
                      <w:rFonts w:hint="default" w:ascii="Times New Roman" w:hAnsi="Times New Roman" w:eastAsia="宋体" w:cs="Times New Roman"/>
                      <w:b/>
                      <w:bCs/>
                      <w:sz w:val="21"/>
                      <w:szCs w:val="21"/>
                      <w:highlight w:val="none"/>
                    </w:rPr>
                    <w:br w:type="textWrapping"/>
                  </w:r>
                  <w:r>
                    <w:rPr>
                      <w:rFonts w:hint="default" w:ascii="Times New Roman" w:hAnsi="Times New Roman" w:eastAsia="宋体" w:cs="Times New Roman"/>
                      <w:b/>
                      <w:bCs/>
                      <w:sz w:val="21"/>
                      <w:szCs w:val="21"/>
                      <w:highlight w:val="none"/>
                    </w:rPr>
                    <w:t>（孔-</w:t>
                  </w:r>
                  <w:r>
                    <w:rPr>
                      <w:rFonts w:hint="eastAsia" w:ascii="Times New Roman" w:hAnsi="Times New Roman" w:cs="Times New Roman"/>
                      <w:b/>
                      <w:bCs/>
                      <w:sz w:val="21"/>
                      <w:szCs w:val="21"/>
                      <w:highlight w:val="none"/>
                      <w:lang w:val="en-US" w:eastAsia="zh-CN"/>
                    </w:rPr>
                    <w:t>m</w:t>
                  </w:r>
                  <w:r>
                    <w:rPr>
                      <w:rFonts w:hint="default" w:ascii="Times New Roman" w:hAnsi="Times New Roman" w:eastAsia="宋体" w:cs="Times New Roman"/>
                      <w:b/>
                      <w:bCs/>
                      <w:sz w:val="21"/>
                      <w:szCs w:val="21"/>
                      <w:highlight w:val="none"/>
                    </w:rPr>
                    <w:t>）</w:t>
                  </w:r>
                </w:p>
              </w:tc>
              <w:tc>
                <w:tcPr>
                  <w:tcW w:w="871" w:type="dxa"/>
                  <w:tcBorders>
                    <w:tl2br w:val="nil"/>
                    <w:tr2bl w:val="nil"/>
                  </w:tcBorders>
                  <w:noWrap w:val="0"/>
                  <w:vAlign w:val="center"/>
                </w:tcPr>
                <w:p w14:paraId="162DE9E1">
                  <w:pPr>
                    <w:adjustRightInd w:val="0"/>
                    <w:snapToGrid w:val="0"/>
                    <w:jc w:val="center"/>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全长</w:t>
                  </w:r>
                  <w:r>
                    <w:rPr>
                      <w:rFonts w:hint="default" w:ascii="Times New Roman" w:hAnsi="Times New Roman" w:eastAsia="宋体" w:cs="Times New Roman"/>
                      <w:b/>
                      <w:bCs/>
                      <w:sz w:val="21"/>
                      <w:szCs w:val="21"/>
                      <w:highlight w:val="none"/>
                    </w:rPr>
                    <w:br w:type="textWrapping"/>
                  </w:r>
                  <w:r>
                    <w:rPr>
                      <w:rFonts w:hint="default" w:ascii="Times New Roman" w:hAnsi="Times New Roman" w:eastAsia="宋体" w:cs="Times New Roman"/>
                      <w:b/>
                      <w:bCs/>
                      <w:sz w:val="21"/>
                      <w:szCs w:val="21"/>
                      <w:highlight w:val="none"/>
                    </w:rPr>
                    <w:t>(</w:t>
                  </w:r>
                  <w:r>
                    <w:rPr>
                      <w:rFonts w:hint="eastAsia" w:ascii="Times New Roman" w:hAnsi="Times New Roman" w:cs="Times New Roman"/>
                      <w:b/>
                      <w:bCs/>
                      <w:sz w:val="21"/>
                      <w:szCs w:val="21"/>
                      <w:highlight w:val="none"/>
                      <w:lang w:val="en-US" w:eastAsia="zh-CN"/>
                    </w:rPr>
                    <w:t>m</w:t>
                  </w:r>
                  <w:r>
                    <w:rPr>
                      <w:rFonts w:hint="default" w:ascii="Times New Roman" w:hAnsi="Times New Roman" w:eastAsia="宋体" w:cs="Times New Roman"/>
                      <w:b/>
                      <w:bCs/>
                      <w:sz w:val="21"/>
                      <w:szCs w:val="21"/>
                      <w:highlight w:val="none"/>
                    </w:rPr>
                    <w:t>)</w:t>
                  </w:r>
                </w:p>
              </w:tc>
              <w:tc>
                <w:tcPr>
                  <w:tcW w:w="1701" w:type="dxa"/>
                  <w:tcBorders>
                    <w:tl2br w:val="nil"/>
                    <w:tr2bl w:val="nil"/>
                  </w:tcBorders>
                  <w:noWrap/>
                  <w:vAlign w:val="center"/>
                </w:tcPr>
                <w:p w14:paraId="129FBCDC">
                  <w:pPr>
                    <w:adjustRightInd w:val="0"/>
                    <w:snapToGrid w:val="0"/>
                    <w:jc w:val="center"/>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上部结构</w:t>
                  </w:r>
                </w:p>
              </w:tc>
              <w:tc>
                <w:tcPr>
                  <w:tcW w:w="774" w:type="dxa"/>
                  <w:tcBorders>
                    <w:tl2br w:val="nil"/>
                    <w:tr2bl w:val="nil"/>
                  </w:tcBorders>
                  <w:noWrap w:val="0"/>
                  <w:vAlign w:val="center"/>
                </w:tcPr>
                <w:p w14:paraId="5AB7EECB">
                  <w:pPr>
                    <w:adjustRightInd w:val="0"/>
                    <w:snapToGrid w:val="0"/>
                    <w:jc w:val="center"/>
                    <w:rPr>
                      <w:rFonts w:hint="default" w:ascii="Times New Roman" w:hAnsi="Times New Roman" w:eastAsia="宋体" w:cs="Times New Roman"/>
                      <w:b/>
                      <w:bCs/>
                      <w:color w:val="000000"/>
                      <w:sz w:val="21"/>
                      <w:szCs w:val="21"/>
                      <w:highlight w:val="none"/>
                    </w:rPr>
                  </w:pPr>
                  <w:r>
                    <w:rPr>
                      <w:rFonts w:hint="default" w:ascii="Times New Roman" w:hAnsi="Times New Roman" w:eastAsia="宋体" w:cs="Times New Roman"/>
                      <w:b/>
                      <w:bCs/>
                      <w:color w:val="000000"/>
                      <w:sz w:val="21"/>
                      <w:szCs w:val="21"/>
                      <w:highlight w:val="none"/>
                    </w:rPr>
                    <w:t>方案</w:t>
                  </w:r>
                </w:p>
              </w:tc>
            </w:tr>
            <w:tr w14:paraId="7E336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52" w:type="dxa"/>
                  <w:vMerge w:val="restart"/>
                  <w:tcBorders>
                    <w:tl2br w:val="nil"/>
                    <w:tr2bl w:val="nil"/>
                  </w:tcBorders>
                  <w:noWrap w:val="0"/>
                  <w:vAlign w:val="center"/>
                </w:tcPr>
                <w:p w14:paraId="3B78E7CD">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1</w:t>
                  </w:r>
                </w:p>
              </w:tc>
              <w:tc>
                <w:tcPr>
                  <w:tcW w:w="1494" w:type="dxa"/>
                  <w:vMerge w:val="restart"/>
                  <w:tcBorders>
                    <w:tl2br w:val="nil"/>
                    <w:tr2bl w:val="nil"/>
                  </w:tcBorders>
                  <w:noWrap w:val="0"/>
                  <w:vAlign w:val="center"/>
                </w:tcPr>
                <w:p w14:paraId="6ABB11DD">
                  <w:pPr>
                    <w:adjustRightInd w:val="0"/>
                    <w:snapToGrid w:val="0"/>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rPr>
                    <w:t>K2+20</w:t>
                  </w:r>
                  <w:r>
                    <w:rPr>
                      <w:rFonts w:hint="default" w:ascii="Times New Roman" w:hAnsi="Times New Roman" w:eastAsia="宋体" w:cs="Times New Roman"/>
                      <w:sz w:val="21"/>
                      <w:szCs w:val="21"/>
                      <w:highlight w:val="none"/>
                      <w:lang w:val="en-US" w:eastAsia="zh-CN"/>
                    </w:rPr>
                    <w:t>4.866</w:t>
                  </w:r>
                </w:p>
              </w:tc>
              <w:tc>
                <w:tcPr>
                  <w:tcW w:w="1842" w:type="dxa"/>
                  <w:tcBorders>
                    <w:tl2br w:val="nil"/>
                    <w:tr2bl w:val="nil"/>
                  </w:tcBorders>
                  <w:noWrap w:val="0"/>
                  <w:vAlign w:val="center"/>
                </w:tcPr>
                <w:p w14:paraId="7543D9DE">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格达良检查站桥(左幅)</w:t>
                  </w:r>
                </w:p>
              </w:tc>
              <w:tc>
                <w:tcPr>
                  <w:tcW w:w="1276" w:type="dxa"/>
                  <w:tcBorders>
                    <w:tl2br w:val="nil"/>
                    <w:tr2bl w:val="nil"/>
                  </w:tcBorders>
                  <w:noWrap w:val="0"/>
                  <w:vAlign w:val="center"/>
                </w:tcPr>
                <w:p w14:paraId="1DEBFB13">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3×20</w:t>
                  </w:r>
                </w:p>
              </w:tc>
              <w:tc>
                <w:tcPr>
                  <w:tcW w:w="871" w:type="dxa"/>
                  <w:tcBorders>
                    <w:tl2br w:val="nil"/>
                    <w:tr2bl w:val="nil"/>
                  </w:tcBorders>
                  <w:noWrap w:val="0"/>
                  <w:vAlign w:val="center"/>
                </w:tcPr>
                <w:p w14:paraId="4E45E5D3">
                  <w:pPr>
                    <w:adjustRightInd w:val="0"/>
                    <w:snapToGrid w:val="0"/>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rPr>
                    <w:t>6</w:t>
                  </w:r>
                  <w:r>
                    <w:rPr>
                      <w:rFonts w:hint="eastAsia" w:cs="Times New Roman"/>
                      <w:sz w:val="21"/>
                      <w:szCs w:val="21"/>
                      <w:highlight w:val="none"/>
                      <w:lang w:val="en-US" w:eastAsia="zh-CN"/>
                    </w:rPr>
                    <w:t>5.08</w:t>
                  </w:r>
                </w:p>
              </w:tc>
              <w:tc>
                <w:tcPr>
                  <w:tcW w:w="1701" w:type="dxa"/>
                  <w:tcBorders>
                    <w:tl2br w:val="nil"/>
                    <w:tr2bl w:val="nil"/>
                  </w:tcBorders>
                  <w:noWrap/>
                  <w:vAlign w:val="center"/>
                </w:tcPr>
                <w:p w14:paraId="1513FE8A">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预应力砼小箱梁</w:t>
                  </w:r>
                </w:p>
              </w:tc>
              <w:tc>
                <w:tcPr>
                  <w:tcW w:w="774" w:type="dxa"/>
                  <w:tcBorders>
                    <w:tl2br w:val="nil"/>
                    <w:tr2bl w:val="nil"/>
                  </w:tcBorders>
                  <w:noWrap w:val="0"/>
                  <w:vAlign w:val="center"/>
                </w:tcPr>
                <w:p w14:paraId="38C46CC7">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新建</w:t>
                  </w:r>
                </w:p>
              </w:tc>
            </w:tr>
            <w:tr w14:paraId="0ED26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52" w:type="dxa"/>
                  <w:vMerge w:val="continue"/>
                  <w:tcBorders>
                    <w:tl2br w:val="nil"/>
                    <w:tr2bl w:val="nil"/>
                  </w:tcBorders>
                  <w:noWrap w:val="0"/>
                  <w:vAlign w:val="center"/>
                </w:tcPr>
                <w:p w14:paraId="67C8454A">
                  <w:pPr>
                    <w:adjustRightInd w:val="0"/>
                    <w:snapToGrid w:val="0"/>
                    <w:jc w:val="center"/>
                    <w:rPr>
                      <w:rFonts w:hint="default" w:ascii="Times New Roman" w:hAnsi="Times New Roman" w:eastAsia="宋体" w:cs="Times New Roman"/>
                      <w:sz w:val="21"/>
                      <w:szCs w:val="21"/>
                      <w:highlight w:val="none"/>
                    </w:rPr>
                  </w:pPr>
                </w:p>
              </w:tc>
              <w:tc>
                <w:tcPr>
                  <w:tcW w:w="1494" w:type="dxa"/>
                  <w:vMerge w:val="continue"/>
                  <w:tcBorders>
                    <w:tl2br w:val="nil"/>
                    <w:tr2bl w:val="nil"/>
                  </w:tcBorders>
                  <w:noWrap w:val="0"/>
                  <w:vAlign w:val="center"/>
                </w:tcPr>
                <w:p w14:paraId="5BB01D39">
                  <w:pPr>
                    <w:adjustRightInd w:val="0"/>
                    <w:snapToGrid w:val="0"/>
                    <w:jc w:val="center"/>
                    <w:rPr>
                      <w:rFonts w:hint="default" w:ascii="Times New Roman" w:hAnsi="Times New Roman" w:eastAsia="宋体" w:cs="Times New Roman"/>
                      <w:sz w:val="21"/>
                      <w:szCs w:val="21"/>
                      <w:highlight w:val="none"/>
                      <w:lang w:val="en-US" w:eastAsia="zh-CN"/>
                    </w:rPr>
                  </w:pPr>
                </w:p>
              </w:tc>
              <w:tc>
                <w:tcPr>
                  <w:tcW w:w="1842" w:type="dxa"/>
                  <w:tcBorders>
                    <w:tl2br w:val="nil"/>
                    <w:tr2bl w:val="nil"/>
                  </w:tcBorders>
                  <w:noWrap w:val="0"/>
                  <w:vAlign w:val="center"/>
                </w:tcPr>
                <w:p w14:paraId="4A106F24">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格达良检查站桥(右幅)</w:t>
                  </w:r>
                </w:p>
              </w:tc>
              <w:tc>
                <w:tcPr>
                  <w:tcW w:w="1276" w:type="dxa"/>
                  <w:tcBorders>
                    <w:tl2br w:val="nil"/>
                    <w:tr2bl w:val="nil"/>
                  </w:tcBorders>
                  <w:noWrap w:val="0"/>
                  <w:vAlign w:val="center"/>
                </w:tcPr>
                <w:p w14:paraId="5E1F6535">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3×20</w:t>
                  </w:r>
                </w:p>
              </w:tc>
              <w:tc>
                <w:tcPr>
                  <w:tcW w:w="871" w:type="dxa"/>
                  <w:tcBorders>
                    <w:tl2br w:val="nil"/>
                    <w:tr2bl w:val="nil"/>
                  </w:tcBorders>
                  <w:noWrap w:val="0"/>
                  <w:vAlign w:val="center"/>
                </w:tcPr>
                <w:p w14:paraId="47130819">
                  <w:pPr>
                    <w:adjustRightInd w:val="0"/>
                    <w:snapToGrid w:val="0"/>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rPr>
                    <w:t>6</w:t>
                  </w:r>
                  <w:r>
                    <w:rPr>
                      <w:rFonts w:hint="eastAsia" w:cs="Times New Roman"/>
                      <w:sz w:val="21"/>
                      <w:szCs w:val="21"/>
                      <w:highlight w:val="none"/>
                      <w:lang w:val="en-US" w:eastAsia="zh-CN"/>
                    </w:rPr>
                    <w:t>5.08</w:t>
                  </w:r>
                </w:p>
              </w:tc>
              <w:tc>
                <w:tcPr>
                  <w:tcW w:w="1701" w:type="dxa"/>
                  <w:tcBorders>
                    <w:tl2br w:val="nil"/>
                    <w:tr2bl w:val="nil"/>
                  </w:tcBorders>
                  <w:noWrap/>
                  <w:vAlign w:val="center"/>
                </w:tcPr>
                <w:p w14:paraId="0C40E4B1">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预应力砼小箱梁</w:t>
                  </w:r>
                </w:p>
              </w:tc>
              <w:tc>
                <w:tcPr>
                  <w:tcW w:w="774" w:type="dxa"/>
                  <w:tcBorders>
                    <w:tl2br w:val="nil"/>
                    <w:tr2bl w:val="nil"/>
                  </w:tcBorders>
                  <w:noWrap w:val="0"/>
                  <w:vAlign w:val="center"/>
                </w:tcPr>
                <w:p w14:paraId="4FD42251">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修复</w:t>
                  </w:r>
                </w:p>
                <w:p w14:paraId="3757680F">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利用</w:t>
                  </w:r>
                </w:p>
              </w:tc>
            </w:tr>
            <w:tr w14:paraId="21963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52" w:type="dxa"/>
                  <w:vMerge w:val="restart"/>
                  <w:tcBorders>
                    <w:tl2br w:val="nil"/>
                    <w:tr2bl w:val="nil"/>
                  </w:tcBorders>
                  <w:noWrap w:val="0"/>
                  <w:vAlign w:val="center"/>
                </w:tcPr>
                <w:p w14:paraId="597CB151">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w:t>
                  </w:r>
                </w:p>
              </w:tc>
              <w:tc>
                <w:tcPr>
                  <w:tcW w:w="1494" w:type="dxa"/>
                  <w:vMerge w:val="restart"/>
                  <w:tcBorders>
                    <w:tl2br w:val="nil"/>
                    <w:tr2bl w:val="nil"/>
                  </w:tcBorders>
                  <w:noWrap w:val="0"/>
                  <w:vAlign w:val="center"/>
                </w:tcPr>
                <w:p w14:paraId="7B3EF1B6">
                  <w:pPr>
                    <w:adjustRightInd w:val="0"/>
                    <w:snapToGrid w:val="0"/>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rPr>
                    <w:t>K14+866.</w:t>
                  </w:r>
                  <w:r>
                    <w:rPr>
                      <w:rFonts w:hint="default" w:ascii="Times New Roman" w:hAnsi="Times New Roman" w:eastAsia="宋体" w:cs="Times New Roman"/>
                      <w:sz w:val="21"/>
                      <w:szCs w:val="21"/>
                      <w:highlight w:val="none"/>
                      <w:lang w:val="en-US" w:eastAsia="zh-CN"/>
                    </w:rPr>
                    <w:t>748</w:t>
                  </w:r>
                </w:p>
              </w:tc>
              <w:tc>
                <w:tcPr>
                  <w:tcW w:w="1842" w:type="dxa"/>
                  <w:tcBorders>
                    <w:tl2br w:val="nil"/>
                    <w:tr2bl w:val="nil"/>
                  </w:tcBorders>
                  <w:noWrap w:val="0"/>
                  <w:vAlign w:val="center"/>
                </w:tcPr>
                <w:p w14:paraId="58754A1B">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格达良二桥(左幅)</w:t>
                  </w:r>
                </w:p>
              </w:tc>
              <w:tc>
                <w:tcPr>
                  <w:tcW w:w="1276" w:type="dxa"/>
                  <w:tcBorders>
                    <w:tl2br w:val="nil"/>
                    <w:tr2bl w:val="nil"/>
                  </w:tcBorders>
                  <w:noWrap w:val="0"/>
                  <w:vAlign w:val="center"/>
                </w:tcPr>
                <w:p w14:paraId="415B1232">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1×16</w:t>
                  </w:r>
                </w:p>
              </w:tc>
              <w:tc>
                <w:tcPr>
                  <w:tcW w:w="871" w:type="dxa"/>
                  <w:tcBorders>
                    <w:tl2br w:val="nil"/>
                    <w:tr2bl w:val="nil"/>
                  </w:tcBorders>
                  <w:noWrap w:val="0"/>
                  <w:vAlign w:val="center"/>
                </w:tcPr>
                <w:p w14:paraId="544B04D0">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21.5</w:t>
                  </w:r>
                </w:p>
              </w:tc>
              <w:tc>
                <w:tcPr>
                  <w:tcW w:w="1701" w:type="dxa"/>
                  <w:tcBorders>
                    <w:tl2br w:val="nil"/>
                    <w:tr2bl w:val="nil"/>
                  </w:tcBorders>
                  <w:noWrap/>
                  <w:vAlign w:val="center"/>
                </w:tcPr>
                <w:p w14:paraId="2EFB9622">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预应力砼矮T梁</w:t>
                  </w:r>
                </w:p>
              </w:tc>
              <w:tc>
                <w:tcPr>
                  <w:tcW w:w="774" w:type="dxa"/>
                  <w:tcBorders>
                    <w:tl2br w:val="nil"/>
                    <w:tr2bl w:val="nil"/>
                  </w:tcBorders>
                  <w:noWrap w:val="0"/>
                  <w:vAlign w:val="center"/>
                </w:tcPr>
                <w:p w14:paraId="0BFA3607">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新建</w:t>
                  </w:r>
                </w:p>
              </w:tc>
            </w:tr>
            <w:tr w14:paraId="416AF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52" w:type="dxa"/>
                  <w:vMerge w:val="continue"/>
                  <w:tcBorders>
                    <w:tl2br w:val="nil"/>
                    <w:tr2bl w:val="nil"/>
                  </w:tcBorders>
                  <w:noWrap w:val="0"/>
                  <w:vAlign w:val="center"/>
                </w:tcPr>
                <w:p w14:paraId="36E2F15C">
                  <w:pPr>
                    <w:adjustRightInd w:val="0"/>
                    <w:snapToGrid w:val="0"/>
                    <w:jc w:val="center"/>
                    <w:rPr>
                      <w:rFonts w:hint="default" w:ascii="Times New Roman" w:hAnsi="Times New Roman" w:eastAsia="宋体" w:cs="Times New Roman"/>
                      <w:sz w:val="21"/>
                      <w:szCs w:val="21"/>
                      <w:highlight w:val="none"/>
                    </w:rPr>
                  </w:pPr>
                </w:p>
              </w:tc>
              <w:tc>
                <w:tcPr>
                  <w:tcW w:w="1494" w:type="dxa"/>
                  <w:vMerge w:val="continue"/>
                  <w:tcBorders>
                    <w:tl2br w:val="nil"/>
                    <w:tr2bl w:val="nil"/>
                  </w:tcBorders>
                  <w:noWrap w:val="0"/>
                  <w:vAlign w:val="center"/>
                </w:tcPr>
                <w:p w14:paraId="2A9D772E">
                  <w:pPr>
                    <w:adjustRightInd w:val="0"/>
                    <w:snapToGrid w:val="0"/>
                    <w:jc w:val="center"/>
                    <w:rPr>
                      <w:rFonts w:hint="default" w:ascii="Times New Roman" w:hAnsi="Times New Roman" w:eastAsia="宋体" w:cs="Times New Roman"/>
                      <w:sz w:val="21"/>
                      <w:szCs w:val="21"/>
                      <w:highlight w:val="none"/>
                    </w:rPr>
                  </w:pPr>
                </w:p>
              </w:tc>
              <w:tc>
                <w:tcPr>
                  <w:tcW w:w="1842" w:type="dxa"/>
                  <w:tcBorders>
                    <w:tl2br w:val="nil"/>
                    <w:tr2bl w:val="nil"/>
                  </w:tcBorders>
                  <w:noWrap w:val="0"/>
                  <w:vAlign w:val="center"/>
                </w:tcPr>
                <w:p w14:paraId="18683DF9">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格达良二桥(右幅)</w:t>
                  </w:r>
                </w:p>
              </w:tc>
              <w:tc>
                <w:tcPr>
                  <w:tcW w:w="1276" w:type="dxa"/>
                  <w:tcBorders>
                    <w:tl2br w:val="nil"/>
                    <w:tr2bl w:val="nil"/>
                  </w:tcBorders>
                  <w:noWrap w:val="0"/>
                  <w:vAlign w:val="center"/>
                </w:tcPr>
                <w:p w14:paraId="608894EE">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1×16</w:t>
                  </w:r>
                </w:p>
              </w:tc>
              <w:tc>
                <w:tcPr>
                  <w:tcW w:w="871" w:type="dxa"/>
                  <w:tcBorders>
                    <w:tl2br w:val="nil"/>
                    <w:tr2bl w:val="nil"/>
                  </w:tcBorders>
                  <w:noWrap w:val="0"/>
                  <w:vAlign w:val="center"/>
                </w:tcPr>
                <w:p w14:paraId="4EB12018">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21.5</w:t>
                  </w:r>
                </w:p>
              </w:tc>
              <w:tc>
                <w:tcPr>
                  <w:tcW w:w="1701" w:type="dxa"/>
                  <w:tcBorders>
                    <w:tl2br w:val="nil"/>
                    <w:tr2bl w:val="nil"/>
                  </w:tcBorders>
                  <w:noWrap/>
                  <w:vAlign w:val="center"/>
                </w:tcPr>
                <w:p w14:paraId="616E04FB">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预应力砼空心板</w:t>
                  </w:r>
                </w:p>
              </w:tc>
              <w:tc>
                <w:tcPr>
                  <w:tcW w:w="774" w:type="dxa"/>
                  <w:tcBorders>
                    <w:tl2br w:val="nil"/>
                    <w:tr2bl w:val="nil"/>
                  </w:tcBorders>
                  <w:noWrap w:val="0"/>
                  <w:vAlign w:val="center"/>
                </w:tcPr>
                <w:p w14:paraId="07843520">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修复</w:t>
                  </w:r>
                </w:p>
                <w:p w14:paraId="5E935A33">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利用</w:t>
                  </w:r>
                </w:p>
              </w:tc>
            </w:tr>
            <w:tr w14:paraId="76D0B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52" w:type="dxa"/>
                  <w:vMerge w:val="restart"/>
                  <w:tcBorders>
                    <w:tl2br w:val="nil"/>
                    <w:tr2bl w:val="nil"/>
                  </w:tcBorders>
                  <w:noWrap w:val="0"/>
                  <w:vAlign w:val="center"/>
                </w:tcPr>
                <w:p w14:paraId="5CA86184">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3</w:t>
                  </w:r>
                </w:p>
              </w:tc>
              <w:tc>
                <w:tcPr>
                  <w:tcW w:w="1494" w:type="dxa"/>
                  <w:vMerge w:val="restart"/>
                  <w:tcBorders>
                    <w:tl2br w:val="nil"/>
                    <w:tr2bl w:val="nil"/>
                  </w:tcBorders>
                  <w:noWrap w:val="0"/>
                  <w:vAlign w:val="center"/>
                </w:tcPr>
                <w:p w14:paraId="31C2FDED">
                  <w:pPr>
                    <w:adjustRightInd w:val="0"/>
                    <w:snapToGrid w:val="0"/>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rPr>
                    <w:t>K15+302.</w:t>
                  </w:r>
                  <w:r>
                    <w:rPr>
                      <w:rFonts w:hint="default" w:ascii="Times New Roman" w:hAnsi="Times New Roman" w:eastAsia="宋体" w:cs="Times New Roman"/>
                      <w:sz w:val="21"/>
                      <w:szCs w:val="21"/>
                      <w:highlight w:val="none"/>
                      <w:lang w:val="en-US" w:eastAsia="zh-CN"/>
                    </w:rPr>
                    <w:t>766</w:t>
                  </w:r>
                </w:p>
              </w:tc>
              <w:tc>
                <w:tcPr>
                  <w:tcW w:w="1842" w:type="dxa"/>
                  <w:tcBorders>
                    <w:tl2br w:val="nil"/>
                    <w:tr2bl w:val="nil"/>
                  </w:tcBorders>
                  <w:noWrap w:val="0"/>
                  <w:vAlign w:val="center"/>
                </w:tcPr>
                <w:p w14:paraId="3DC27399">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格达良三桥(左幅)</w:t>
                  </w:r>
                </w:p>
              </w:tc>
              <w:tc>
                <w:tcPr>
                  <w:tcW w:w="1276" w:type="dxa"/>
                  <w:tcBorders>
                    <w:tl2br w:val="nil"/>
                    <w:tr2bl w:val="nil"/>
                  </w:tcBorders>
                  <w:noWrap w:val="0"/>
                  <w:vAlign w:val="center"/>
                </w:tcPr>
                <w:p w14:paraId="42535FD5">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2×13</w:t>
                  </w:r>
                </w:p>
              </w:tc>
              <w:tc>
                <w:tcPr>
                  <w:tcW w:w="871" w:type="dxa"/>
                  <w:tcBorders>
                    <w:tl2br w:val="nil"/>
                    <w:tr2bl w:val="nil"/>
                  </w:tcBorders>
                  <w:noWrap w:val="0"/>
                  <w:vAlign w:val="center"/>
                </w:tcPr>
                <w:p w14:paraId="39299ED9">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31.5</w:t>
                  </w:r>
                </w:p>
              </w:tc>
              <w:tc>
                <w:tcPr>
                  <w:tcW w:w="1701" w:type="dxa"/>
                  <w:tcBorders>
                    <w:tl2br w:val="nil"/>
                    <w:tr2bl w:val="nil"/>
                  </w:tcBorders>
                  <w:noWrap/>
                  <w:vAlign w:val="center"/>
                </w:tcPr>
                <w:p w14:paraId="29BF0369">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预应力砼矮T梁</w:t>
                  </w:r>
                </w:p>
              </w:tc>
              <w:tc>
                <w:tcPr>
                  <w:tcW w:w="774" w:type="dxa"/>
                  <w:tcBorders>
                    <w:tl2br w:val="nil"/>
                    <w:tr2bl w:val="nil"/>
                  </w:tcBorders>
                  <w:noWrap w:val="0"/>
                  <w:vAlign w:val="center"/>
                </w:tcPr>
                <w:p w14:paraId="1879319A">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新建</w:t>
                  </w:r>
                </w:p>
              </w:tc>
            </w:tr>
            <w:tr w14:paraId="07770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52" w:type="dxa"/>
                  <w:vMerge w:val="continue"/>
                  <w:tcBorders>
                    <w:tl2br w:val="nil"/>
                    <w:tr2bl w:val="nil"/>
                  </w:tcBorders>
                  <w:noWrap w:val="0"/>
                  <w:vAlign w:val="center"/>
                </w:tcPr>
                <w:p w14:paraId="7E33D5A7">
                  <w:pPr>
                    <w:adjustRightInd w:val="0"/>
                    <w:snapToGrid w:val="0"/>
                    <w:jc w:val="center"/>
                    <w:rPr>
                      <w:rFonts w:hint="default" w:ascii="Times New Roman" w:hAnsi="Times New Roman" w:eastAsia="宋体" w:cs="Times New Roman"/>
                      <w:sz w:val="21"/>
                      <w:szCs w:val="21"/>
                      <w:highlight w:val="none"/>
                    </w:rPr>
                  </w:pPr>
                </w:p>
              </w:tc>
              <w:tc>
                <w:tcPr>
                  <w:tcW w:w="1494" w:type="dxa"/>
                  <w:vMerge w:val="continue"/>
                  <w:tcBorders>
                    <w:tl2br w:val="nil"/>
                    <w:tr2bl w:val="nil"/>
                  </w:tcBorders>
                  <w:noWrap w:val="0"/>
                  <w:vAlign w:val="center"/>
                </w:tcPr>
                <w:p w14:paraId="695053A4">
                  <w:pPr>
                    <w:adjustRightInd w:val="0"/>
                    <w:snapToGrid w:val="0"/>
                    <w:jc w:val="center"/>
                    <w:rPr>
                      <w:rFonts w:hint="default" w:ascii="Times New Roman" w:hAnsi="Times New Roman" w:eastAsia="宋体" w:cs="Times New Roman"/>
                      <w:sz w:val="21"/>
                      <w:szCs w:val="21"/>
                      <w:highlight w:val="none"/>
                    </w:rPr>
                  </w:pPr>
                </w:p>
              </w:tc>
              <w:tc>
                <w:tcPr>
                  <w:tcW w:w="1842" w:type="dxa"/>
                  <w:tcBorders>
                    <w:tl2br w:val="nil"/>
                    <w:tr2bl w:val="nil"/>
                  </w:tcBorders>
                  <w:noWrap w:val="0"/>
                  <w:vAlign w:val="center"/>
                </w:tcPr>
                <w:p w14:paraId="71F5929E">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格达良三桥(右幅)</w:t>
                  </w:r>
                </w:p>
              </w:tc>
              <w:tc>
                <w:tcPr>
                  <w:tcW w:w="1276" w:type="dxa"/>
                  <w:tcBorders>
                    <w:tl2br w:val="nil"/>
                    <w:tr2bl w:val="nil"/>
                  </w:tcBorders>
                  <w:noWrap w:val="0"/>
                  <w:vAlign w:val="center"/>
                </w:tcPr>
                <w:p w14:paraId="6FE9D424">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2×13</w:t>
                  </w:r>
                </w:p>
              </w:tc>
              <w:tc>
                <w:tcPr>
                  <w:tcW w:w="871" w:type="dxa"/>
                  <w:tcBorders>
                    <w:tl2br w:val="nil"/>
                    <w:tr2bl w:val="nil"/>
                  </w:tcBorders>
                  <w:noWrap w:val="0"/>
                  <w:vAlign w:val="center"/>
                </w:tcPr>
                <w:p w14:paraId="72B2E254">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31.5</w:t>
                  </w:r>
                </w:p>
              </w:tc>
              <w:tc>
                <w:tcPr>
                  <w:tcW w:w="1701" w:type="dxa"/>
                  <w:tcBorders>
                    <w:tl2br w:val="nil"/>
                    <w:tr2bl w:val="nil"/>
                  </w:tcBorders>
                  <w:noWrap/>
                  <w:vAlign w:val="center"/>
                </w:tcPr>
                <w:p w14:paraId="3AA93596">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预应力砼矮T梁</w:t>
                  </w:r>
                </w:p>
              </w:tc>
              <w:tc>
                <w:tcPr>
                  <w:tcW w:w="774" w:type="dxa"/>
                  <w:tcBorders>
                    <w:tl2br w:val="nil"/>
                    <w:tr2bl w:val="nil"/>
                  </w:tcBorders>
                  <w:noWrap w:val="0"/>
                  <w:vAlign w:val="center"/>
                </w:tcPr>
                <w:p w14:paraId="1A374C2C">
                  <w:pPr>
                    <w:adjustRightInd w:val="0"/>
                    <w:snapToGrid w:val="0"/>
                    <w:jc w:val="center"/>
                    <w:rPr>
                      <w:rFonts w:hint="eastAsia" w:ascii="Times New Roman" w:hAnsi="Times New Roman" w:eastAsia="宋体" w:cs="Times New Roman"/>
                      <w:sz w:val="21"/>
                      <w:szCs w:val="21"/>
                      <w:highlight w:val="none"/>
                      <w:lang w:eastAsia="zh-CN"/>
                    </w:rPr>
                  </w:pPr>
                  <w:r>
                    <w:rPr>
                      <w:rFonts w:hint="eastAsia" w:cs="Times New Roman"/>
                      <w:sz w:val="21"/>
                      <w:szCs w:val="21"/>
                      <w:highlight w:val="none"/>
                      <w:lang w:val="en-US" w:eastAsia="zh-CN"/>
                    </w:rPr>
                    <w:t>拼宽</w:t>
                  </w:r>
                </w:p>
                <w:p w14:paraId="5ED3CD3C">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利用</w:t>
                  </w:r>
                </w:p>
              </w:tc>
            </w:tr>
            <w:tr w14:paraId="47A1E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52" w:type="dxa"/>
                  <w:vMerge w:val="restart"/>
                  <w:tcBorders>
                    <w:tl2br w:val="nil"/>
                    <w:tr2bl w:val="nil"/>
                  </w:tcBorders>
                  <w:noWrap w:val="0"/>
                  <w:vAlign w:val="center"/>
                </w:tcPr>
                <w:p w14:paraId="59AC26D9">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4</w:t>
                  </w:r>
                </w:p>
              </w:tc>
              <w:tc>
                <w:tcPr>
                  <w:tcW w:w="1494" w:type="dxa"/>
                  <w:vMerge w:val="restart"/>
                  <w:tcBorders>
                    <w:tl2br w:val="nil"/>
                    <w:tr2bl w:val="nil"/>
                  </w:tcBorders>
                  <w:noWrap w:val="0"/>
                  <w:vAlign w:val="center"/>
                </w:tcPr>
                <w:p w14:paraId="1CD3C69B">
                  <w:pPr>
                    <w:adjustRightInd w:val="0"/>
                    <w:snapToGrid w:val="0"/>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rPr>
                    <w:t>K15+536.</w:t>
                  </w:r>
                  <w:r>
                    <w:rPr>
                      <w:rFonts w:hint="default" w:ascii="Times New Roman" w:hAnsi="Times New Roman" w:eastAsia="宋体" w:cs="Times New Roman"/>
                      <w:sz w:val="21"/>
                      <w:szCs w:val="21"/>
                      <w:highlight w:val="none"/>
                      <w:lang w:val="en-US" w:eastAsia="zh-CN"/>
                    </w:rPr>
                    <w:t>725</w:t>
                  </w:r>
                </w:p>
              </w:tc>
              <w:tc>
                <w:tcPr>
                  <w:tcW w:w="1842" w:type="dxa"/>
                  <w:tcBorders>
                    <w:tl2br w:val="nil"/>
                    <w:tr2bl w:val="nil"/>
                  </w:tcBorders>
                  <w:noWrap w:val="0"/>
                  <w:vAlign w:val="center"/>
                </w:tcPr>
                <w:p w14:paraId="63DC1F43">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格达良四桥(左幅)</w:t>
                  </w:r>
                </w:p>
              </w:tc>
              <w:tc>
                <w:tcPr>
                  <w:tcW w:w="1276" w:type="dxa"/>
                  <w:tcBorders>
                    <w:tl2br w:val="nil"/>
                    <w:tr2bl w:val="nil"/>
                  </w:tcBorders>
                  <w:noWrap w:val="0"/>
                  <w:vAlign w:val="center"/>
                </w:tcPr>
                <w:p w14:paraId="14983EEE">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2×13</w:t>
                  </w:r>
                </w:p>
              </w:tc>
              <w:tc>
                <w:tcPr>
                  <w:tcW w:w="871" w:type="dxa"/>
                  <w:tcBorders>
                    <w:tl2br w:val="nil"/>
                    <w:tr2bl w:val="nil"/>
                  </w:tcBorders>
                  <w:noWrap w:val="0"/>
                  <w:vAlign w:val="center"/>
                </w:tcPr>
                <w:p w14:paraId="5D392204">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31.5</w:t>
                  </w:r>
                </w:p>
              </w:tc>
              <w:tc>
                <w:tcPr>
                  <w:tcW w:w="1701" w:type="dxa"/>
                  <w:tcBorders>
                    <w:tl2br w:val="nil"/>
                    <w:tr2bl w:val="nil"/>
                  </w:tcBorders>
                  <w:noWrap/>
                  <w:vAlign w:val="center"/>
                </w:tcPr>
                <w:p w14:paraId="50A86E3D">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预应力砼矮T梁</w:t>
                  </w:r>
                </w:p>
              </w:tc>
              <w:tc>
                <w:tcPr>
                  <w:tcW w:w="774" w:type="dxa"/>
                  <w:tcBorders>
                    <w:tl2br w:val="nil"/>
                    <w:tr2bl w:val="nil"/>
                  </w:tcBorders>
                  <w:noWrap w:val="0"/>
                  <w:vAlign w:val="center"/>
                </w:tcPr>
                <w:p w14:paraId="74D59A86">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新建</w:t>
                  </w:r>
                </w:p>
              </w:tc>
            </w:tr>
            <w:tr w14:paraId="45757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52" w:type="dxa"/>
                  <w:vMerge w:val="continue"/>
                  <w:tcBorders>
                    <w:tl2br w:val="nil"/>
                    <w:tr2bl w:val="nil"/>
                  </w:tcBorders>
                  <w:noWrap w:val="0"/>
                  <w:vAlign w:val="center"/>
                </w:tcPr>
                <w:p w14:paraId="0A51B8E6">
                  <w:pPr>
                    <w:adjustRightInd w:val="0"/>
                    <w:snapToGrid w:val="0"/>
                    <w:jc w:val="center"/>
                    <w:rPr>
                      <w:rFonts w:hint="default" w:ascii="Times New Roman" w:hAnsi="Times New Roman" w:eastAsia="宋体" w:cs="Times New Roman"/>
                      <w:sz w:val="21"/>
                      <w:szCs w:val="21"/>
                      <w:highlight w:val="none"/>
                    </w:rPr>
                  </w:pPr>
                </w:p>
              </w:tc>
              <w:tc>
                <w:tcPr>
                  <w:tcW w:w="1494" w:type="dxa"/>
                  <w:vMerge w:val="continue"/>
                  <w:tcBorders>
                    <w:tl2br w:val="nil"/>
                    <w:tr2bl w:val="nil"/>
                  </w:tcBorders>
                  <w:noWrap w:val="0"/>
                  <w:vAlign w:val="center"/>
                </w:tcPr>
                <w:p w14:paraId="5ABA04E4">
                  <w:pPr>
                    <w:adjustRightInd w:val="0"/>
                    <w:snapToGrid w:val="0"/>
                    <w:jc w:val="center"/>
                    <w:rPr>
                      <w:rFonts w:hint="default" w:ascii="Times New Roman" w:hAnsi="Times New Roman" w:eastAsia="宋体" w:cs="Times New Roman"/>
                      <w:sz w:val="21"/>
                      <w:szCs w:val="21"/>
                      <w:highlight w:val="none"/>
                    </w:rPr>
                  </w:pPr>
                </w:p>
              </w:tc>
              <w:tc>
                <w:tcPr>
                  <w:tcW w:w="1842" w:type="dxa"/>
                  <w:tcBorders>
                    <w:tl2br w:val="nil"/>
                    <w:tr2bl w:val="nil"/>
                  </w:tcBorders>
                  <w:noWrap w:val="0"/>
                  <w:vAlign w:val="center"/>
                </w:tcPr>
                <w:p w14:paraId="656C6B9A">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格达良四桥(右幅)</w:t>
                  </w:r>
                </w:p>
              </w:tc>
              <w:tc>
                <w:tcPr>
                  <w:tcW w:w="1276" w:type="dxa"/>
                  <w:tcBorders>
                    <w:tl2br w:val="nil"/>
                    <w:tr2bl w:val="nil"/>
                  </w:tcBorders>
                  <w:noWrap w:val="0"/>
                  <w:vAlign w:val="center"/>
                </w:tcPr>
                <w:p w14:paraId="11795DB4">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2×13</w:t>
                  </w:r>
                </w:p>
              </w:tc>
              <w:tc>
                <w:tcPr>
                  <w:tcW w:w="871" w:type="dxa"/>
                  <w:tcBorders>
                    <w:tl2br w:val="nil"/>
                    <w:tr2bl w:val="nil"/>
                  </w:tcBorders>
                  <w:noWrap w:val="0"/>
                  <w:vAlign w:val="center"/>
                </w:tcPr>
                <w:p w14:paraId="23109AA7">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31.5</w:t>
                  </w:r>
                </w:p>
              </w:tc>
              <w:tc>
                <w:tcPr>
                  <w:tcW w:w="1701" w:type="dxa"/>
                  <w:tcBorders>
                    <w:tl2br w:val="nil"/>
                    <w:tr2bl w:val="nil"/>
                  </w:tcBorders>
                  <w:noWrap/>
                  <w:vAlign w:val="center"/>
                </w:tcPr>
                <w:p w14:paraId="04EE1793">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预应力砼矮T梁</w:t>
                  </w:r>
                </w:p>
              </w:tc>
              <w:tc>
                <w:tcPr>
                  <w:tcW w:w="774" w:type="dxa"/>
                  <w:tcBorders>
                    <w:tl2br w:val="nil"/>
                    <w:tr2bl w:val="nil"/>
                  </w:tcBorders>
                  <w:noWrap w:val="0"/>
                  <w:vAlign w:val="center"/>
                </w:tcPr>
                <w:p w14:paraId="79D95440">
                  <w:pPr>
                    <w:adjustRightInd w:val="0"/>
                    <w:snapToGrid w:val="0"/>
                    <w:jc w:val="center"/>
                    <w:rPr>
                      <w:rFonts w:hint="eastAsia" w:cs="Times New Roman"/>
                      <w:sz w:val="21"/>
                      <w:szCs w:val="21"/>
                      <w:highlight w:val="none"/>
                      <w:lang w:val="en-US" w:eastAsia="zh-CN"/>
                    </w:rPr>
                  </w:pPr>
                  <w:r>
                    <w:rPr>
                      <w:rFonts w:hint="eastAsia" w:cs="Times New Roman"/>
                      <w:sz w:val="21"/>
                      <w:szCs w:val="21"/>
                      <w:highlight w:val="none"/>
                      <w:lang w:val="en-US" w:eastAsia="zh-CN"/>
                    </w:rPr>
                    <w:t>拼宽</w:t>
                  </w:r>
                </w:p>
                <w:p w14:paraId="24AF9997">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利用</w:t>
                  </w:r>
                </w:p>
              </w:tc>
            </w:tr>
            <w:tr w14:paraId="6F237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52" w:type="dxa"/>
                  <w:vMerge w:val="restart"/>
                  <w:tcBorders>
                    <w:tl2br w:val="nil"/>
                    <w:tr2bl w:val="nil"/>
                  </w:tcBorders>
                  <w:noWrap w:val="0"/>
                  <w:vAlign w:val="center"/>
                </w:tcPr>
                <w:p w14:paraId="4120EE85">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5</w:t>
                  </w:r>
                </w:p>
              </w:tc>
              <w:tc>
                <w:tcPr>
                  <w:tcW w:w="1494" w:type="dxa"/>
                  <w:vMerge w:val="restart"/>
                  <w:tcBorders>
                    <w:tl2br w:val="nil"/>
                    <w:tr2bl w:val="nil"/>
                  </w:tcBorders>
                  <w:noWrap w:val="0"/>
                  <w:vAlign w:val="center"/>
                </w:tcPr>
                <w:p w14:paraId="53DEE50E">
                  <w:pPr>
                    <w:adjustRightInd w:val="0"/>
                    <w:snapToGrid w:val="0"/>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rPr>
                    <w:t>K16+412.</w:t>
                  </w:r>
                  <w:r>
                    <w:rPr>
                      <w:rFonts w:hint="default" w:ascii="Times New Roman" w:hAnsi="Times New Roman" w:eastAsia="宋体" w:cs="Times New Roman"/>
                      <w:sz w:val="21"/>
                      <w:szCs w:val="21"/>
                      <w:highlight w:val="none"/>
                      <w:lang w:val="en-US" w:eastAsia="zh-CN"/>
                    </w:rPr>
                    <w:t>693</w:t>
                  </w:r>
                </w:p>
              </w:tc>
              <w:tc>
                <w:tcPr>
                  <w:tcW w:w="1842" w:type="dxa"/>
                  <w:tcBorders>
                    <w:tl2br w:val="nil"/>
                    <w:tr2bl w:val="nil"/>
                  </w:tcBorders>
                  <w:noWrap w:val="0"/>
                  <w:vAlign w:val="center"/>
                </w:tcPr>
                <w:p w14:paraId="44880C59">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格达良五桥(左幅)</w:t>
                  </w:r>
                </w:p>
              </w:tc>
              <w:tc>
                <w:tcPr>
                  <w:tcW w:w="1276" w:type="dxa"/>
                  <w:tcBorders>
                    <w:tl2br w:val="nil"/>
                    <w:tr2bl w:val="nil"/>
                  </w:tcBorders>
                  <w:noWrap w:val="0"/>
                  <w:vAlign w:val="center"/>
                </w:tcPr>
                <w:p w14:paraId="4348093F">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1×16</w:t>
                  </w:r>
                </w:p>
              </w:tc>
              <w:tc>
                <w:tcPr>
                  <w:tcW w:w="871" w:type="dxa"/>
                  <w:tcBorders>
                    <w:tl2br w:val="nil"/>
                    <w:tr2bl w:val="nil"/>
                  </w:tcBorders>
                  <w:noWrap w:val="0"/>
                  <w:vAlign w:val="center"/>
                </w:tcPr>
                <w:p w14:paraId="62A25A1E">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21.5</w:t>
                  </w:r>
                </w:p>
              </w:tc>
              <w:tc>
                <w:tcPr>
                  <w:tcW w:w="1701" w:type="dxa"/>
                  <w:tcBorders>
                    <w:tl2br w:val="nil"/>
                    <w:tr2bl w:val="nil"/>
                  </w:tcBorders>
                  <w:noWrap/>
                  <w:vAlign w:val="center"/>
                </w:tcPr>
                <w:p w14:paraId="7B5F72EB">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预应力砼矮T梁</w:t>
                  </w:r>
                </w:p>
              </w:tc>
              <w:tc>
                <w:tcPr>
                  <w:tcW w:w="774" w:type="dxa"/>
                  <w:tcBorders>
                    <w:tl2br w:val="nil"/>
                    <w:tr2bl w:val="nil"/>
                  </w:tcBorders>
                  <w:noWrap w:val="0"/>
                  <w:vAlign w:val="center"/>
                </w:tcPr>
                <w:p w14:paraId="5F69DF59">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新建</w:t>
                  </w:r>
                </w:p>
              </w:tc>
            </w:tr>
            <w:tr w14:paraId="4DA3E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52" w:type="dxa"/>
                  <w:vMerge w:val="continue"/>
                  <w:tcBorders>
                    <w:tl2br w:val="nil"/>
                    <w:tr2bl w:val="nil"/>
                  </w:tcBorders>
                  <w:noWrap w:val="0"/>
                  <w:vAlign w:val="center"/>
                </w:tcPr>
                <w:p w14:paraId="401D04AC">
                  <w:pPr>
                    <w:adjustRightInd w:val="0"/>
                    <w:snapToGrid w:val="0"/>
                    <w:jc w:val="center"/>
                    <w:rPr>
                      <w:rFonts w:hint="default" w:ascii="Times New Roman" w:hAnsi="Times New Roman" w:eastAsia="宋体" w:cs="Times New Roman"/>
                      <w:sz w:val="21"/>
                      <w:szCs w:val="21"/>
                      <w:highlight w:val="none"/>
                    </w:rPr>
                  </w:pPr>
                </w:p>
              </w:tc>
              <w:tc>
                <w:tcPr>
                  <w:tcW w:w="1494" w:type="dxa"/>
                  <w:vMerge w:val="continue"/>
                  <w:tcBorders>
                    <w:tl2br w:val="nil"/>
                    <w:tr2bl w:val="nil"/>
                  </w:tcBorders>
                  <w:noWrap w:val="0"/>
                  <w:vAlign w:val="center"/>
                </w:tcPr>
                <w:p w14:paraId="3E33AB9A">
                  <w:pPr>
                    <w:adjustRightInd w:val="0"/>
                    <w:snapToGrid w:val="0"/>
                    <w:jc w:val="center"/>
                    <w:rPr>
                      <w:rFonts w:hint="default" w:ascii="Times New Roman" w:hAnsi="Times New Roman" w:eastAsia="宋体" w:cs="Times New Roman"/>
                      <w:sz w:val="21"/>
                      <w:szCs w:val="21"/>
                      <w:highlight w:val="none"/>
                    </w:rPr>
                  </w:pPr>
                </w:p>
              </w:tc>
              <w:tc>
                <w:tcPr>
                  <w:tcW w:w="1842" w:type="dxa"/>
                  <w:tcBorders>
                    <w:tl2br w:val="nil"/>
                    <w:tr2bl w:val="nil"/>
                  </w:tcBorders>
                  <w:noWrap w:val="0"/>
                  <w:vAlign w:val="center"/>
                </w:tcPr>
                <w:p w14:paraId="4BE8C38D">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格达良五桥(右幅)</w:t>
                  </w:r>
                </w:p>
              </w:tc>
              <w:tc>
                <w:tcPr>
                  <w:tcW w:w="1276" w:type="dxa"/>
                  <w:tcBorders>
                    <w:tl2br w:val="nil"/>
                    <w:tr2bl w:val="nil"/>
                  </w:tcBorders>
                  <w:noWrap w:val="0"/>
                  <w:vAlign w:val="center"/>
                </w:tcPr>
                <w:p w14:paraId="529D5B07">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1×16</w:t>
                  </w:r>
                </w:p>
              </w:tc>
              <w:tc>
                <w:tcPr>
                  <w:tcW w:w="871" w:type="dxa"/>
                  <w:tcBorders>
                    <w:tl2br w:val="nil"/>
                    <w:tr2bl w:val="nil"/>
                  </w:tcBorders>
                  <w:noWrap w:val="0"/>
                  <w:vAlign w:val="center"/>
                </w:tcPr>
                <w:p w14:paraId="1852F9EC">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21.5</w:t>
                  </w:r>
                </w:p>
              </w:tc>
              <w:tc>
                <w:tcPr>
                  <w:tcW w:w="1701" w:type="dxa"/>
                  <w:tcBorders>
                    <w:tl2br w:val="nil"/>
                    <w:tr2bl w:val="nil"/>
                  </w:tcBorders>
                  <w:noWrap/>
                  <w:vAlign w:val="center"/>
                </w:tcPr>
                <w:p w14:paraId="28008693">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预应力砼空心板</w:t>
                  </w:r>
                </w:p>
              </w:tc>
              <w:tc>
                <w:tcPr>
                  <w:tcW w:w="774" w:type="dxa"/>
                  <w:tcBorders>
                    <w:tl2br w:val="nil"/>
                    <w:tr2bl w:val="nil"/>
                  </w:tcBorders>
                  <w:noWrap w:val="0"/>
                  <w:vAlign w:val="center"/>
                </w:tcPr>
                <w:p w14:paraId="04CAE501">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修复</w:t>
                  </w:r>
                </w:p>
                <w:p w14:paraId="3AAF8641">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利用</w:t>
                  </w:r>
                </w:p>
              </w:tc>
            </w:tr>
            <w:tr w14:paraId="2105F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52" w:type="dxa"/>
                  <w:vMerge w:val="restart"/>
                  <w:tcBorders>
                    <w:tl2br w:val="nil"/>
                    <w:tr2bl w:val="nil"/>
                  </w:tcBorders>
                  <w:noWrap w:val="0"/>
                  <w:vAlign w:val="center"/>
                </w:tcPr>
                <w:p w14:paraId="69EF8EFC">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6</w:t>
                  </w:r>
                </w:p>
              </w:tc>
              <w:tc>
                <w:tcPr>
                  <w:tcW w:w="1494" w:type="dxa"/>
                  <w:vMerge w:val="restart"/>
                  <w:tcBorders>
                    <w:tl2br w:val="nil"/>
                    <w:tr2bl w:val="nil"/>
                  </w:tcBorders>
                  <w:noWrap w:val="0"/>
                  <w:vAlign w:val="center"/>
                </w:tcPr>
                <w:p w14:paraId="2664F56C">
                  <w:pPr>
                    <w:adjustRightInd w:val="0"/>
                    <w:snapToGrid w:val="0"/>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rPr>
                    <w:t>K16+929.</w:t>
                  </w:r>
                  <w:r>
                    <w:rPr>
                      <w:rFonts w:hint="default" w:ascii="Times New Roman" w:hAnsi="Times New Roman" w:eastAsia="宋体" w:cs="Times New Roman"/>
                      <w:sz w:val="21"/>
                      <w:szCs w:val="21"/>
                      <w:highlight w:val="none"/>
                      <w:lang w:val="en-US" w:eastAsia="zh-CN"/>
                    </w:rPr>
                    <w:t>269</w:t>
                  </w:r>
                </w:p>
              </w:tc>
              <w:tc>
                <w:tcPr>
                  <w:tcW w:w="1842" w:type="dxa"/>
                  <w:tcBorders>
                    <w:tl2br w:val="nil"/>
                    <w:tr2bl w:val="nil"/>
                  </w:tcBorders>
                  <w:noWrap w:val="0"/>
                  <w:vAlign w:val="center"/>
                </w:tcPr>
                <w:p w14:paraId="09ABB0DB">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格达良六桥(左幅)</w:t>
                  </w:r>
                </w:p>
              </w:tc>
              <w:tc>
                <w:tcPr>
                  <w:tcW w:w="1276" w:type="dxa"/>
                  <w:tcBorders>
                    <w:tl2br w:val="nil"/>
                    <w:tr2bl w:val="nil"/>
                  </w:tcBorders>
                  <w:noWrap w:val="0"/>
                  <w:vAlign w:val="center"/>
                </w:tcPr>
                <w:p w14:paraId="1A8224A4">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1×16</w:t>
                  </w:r>
                </w:p>
              </w:tc>
              <w:tc>
                <w:tcPr>
                  <w:tcW w:w="871" w:type="dxa"/>
                  <w:tcBorders>
                    <w:tl2br w:val="nil"/>
                    <w:tr2bl w:val="nil"/>
                  </w:tcBorders>
                  <w:noWrap w:val="0"/>
                  <w:vAlign w:val="center"/>
                </w:tcPr>
                <w:p w14:paraId="60FDAA54">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21.5</w:t>
                  </w:r>
                </w:p>
              </w:tc>
              <w:tc>
                <w:tcPr>
                  <w:tcW w:w="1701" w:type="dxa"/>
                  <w:tcBorders>
                    <w:tl2br w:val="nil"/>
                    <w:tr2bl w:val="nil"/>
                  </w:tcBorders>
                  <w:noWrap/>
                  <w:vAlign w:val="center"/>
                </w:tcPr>
                <w:p w14:paraId="1614694A">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预应力砼矮T梁</w:t>
                  </w:r>
                </w:p>
              </w:tc>
              <w:tc>
                <w:tcPr>
                  <w:tcW w:w="774" w:type="dxa"/>
                  <w:tcBorders>
                    <w:tl2br w:val="nil"/>
                    <w:tr2bl w:val="nil"/>
                  </w:tcBorders>
                  <w:noWrap w:val="0"/>
                  <w:vAlign w:val="center"/>
                </w:tcPr>
                <w:p w14:paraId="1B0F8300">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新建</w:t>
                  </w:r>
                </w:p>
              </w:tc>
            </w:tr>
            <w:tr w14:paraId="656EB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52" w:type="dxa"/>
                  <w:vMerge w:val="continue"/>
                  <w:tcBorders>
                    <w:tl2br w:val="nil"/>
                    <w:tr2bl w:val="nil"/>
                  </w:tcBorders>
                  <w:noWrap w:val="0"/>
                  <w:vAlign w:val="center"/>
                </w:tcPr>
                <w:p w14:paraId="5A3C013B">
                  <w:pPr>
                    <w:adjustRightInd w:val="0"/>
                    <w:snapToGrid w:val="0"/>
                    <w:jc w:val="center"/>
                    <w:rPr>
                      <w:rFonts w:hint="default" w:ascii="Times New Roman" w:hAnsi="Times New Roman" w:eastAsia="宋体" w:cs="Times New Roman"/>
                      <w:sz w:val="21"/>
                      <w:szCs w:val="21"/>
                      <w:highlight w:val="none"/>
                    </w:rPr>
                  </w:pPr>
                </w:p>
              </w:tc>
              <w:tc>
                <w:tcPr>
                  <w:tcW w:w="1494" w:type="dxa"/>
                  <w:vMerge w:val="continue"/>
                  <w:tcBorders>
                    <w:tl2br w:val="nil"/>
                    <w:tr2bl w:val="nil"/>
                  </w:tcBorders>
                  <w:noWrap w:val="0"/>
                  <w:vAlign w:val="center"/>
                </w:tcPr>
                <w:p w14:paraId="2A860EAB">
                  <w:pPr>
                    <w:adjustRightInd w:val="0"/>
                    <w:snapToGrid w:val="0"/>
                    <w:jc w:val="center"/>
                    <w:rPr>
                      <w:rFonts w:hint="default" w:ascii="Times New Roman" w:hAnsi="Times New Roman" w:eastAsia="宋体" w:cs="Times New Roman"/>
                      <w:sz w:val="21"/>
                      <w:szCs w:val="21"/>
                      <w:highlight w:val="none"/>
                    </w:rPr>
                  </w:pPr>
                </w:p>
              </w:tc>
              <w:tc>
                <w:tcPr>
                  <w:tcW w:w="1842" w:type="dxa"/>
                  <w:tcBorders>
                    <w:tl2br w:val="nil"/>
                    <w:tr2bl w:val="nil"/>
                  </w:tcBorders>
                  <w:noWrap w:val="0"/>
                  <w:vAlign w:val="center"/>
                </w:tcPr>
                <w:p w14:paraId="3C43276F">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格达良六桥(右幅)</w:t>
                  </w:r>
                </w:p>
              </w:tc>
              <w:tc>
                <w:tcPr>
                  <w:tcW w:w="1276" w:type="dxa"/>
                  <w:tcBorders>
                    <w:tl2br w:val="nil"/>
                    <w:tr2bl w:val="nil"/>
                  </w:tcBorders>
                  <w:noWrap w:val="0"/>
                  <w:vAlign w:val="center"/>
                </w:tcPr>
                <w:p w14:paraId="5AD9F83E">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1×16</w:t>
                  </w:r>
                </w:p>
              </w:tc>
              <w:tc>
                <w:tcPr>
                  <w:tcW w:w="871" w:type="dxa"/>
                  <w:tcBorders>
                    <w:tl2br w:val="nil"/>
                    <w:tr2bl w:val="nil"/>
                  </w:tcBorders>
                  <w:noWrap w:val="0"/>
                  <w:vAlign w:val="center"/>
                </w:tcPr>
                <w:p w14:paraId="438D3B36">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21.5</w:t>
                  </w:r>
                </w:p>
              </w:tc>
              <w:tc>
                <w:tcPr>
                  <w:tcW w:w="1701" w:type="dxa"/>
                  <w:tcBorders>
                    <w:tl2br w:val="nil"/>
                    <w:tr2bl w:val="nil"/>
                  </w:tcBorders>
                  <w:noWrap/>
                  <w:vAlign w:val="center"/>
                </w:tcPr>
                <w:p w14:paraId="48DD74AC">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预应力砼空心板</w:t>
                  </w:r>
                </w:p>
              </w:tc>
              <w:tc>
                <w:tcPr>
                  <w:tcW w:w="774" w:type="dxa"/>
                  <w:tcBorders>
                    <w:tl2br w:val="nil"/>
                    <w:tr2bl w:val="nil"/>
                  </w:tcBorders>
                  <w:noWrap w:val="0"/>
                  <w:vAlign w:val="center"/>
                </w:tcPr>
                <w:p w14:paraId="624B09B6">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修复</w:t>
                  </w:r>
                </w:p>
                <w:p w14:paraId="211769D6">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利用</w:t>
                  </w:r>
                </w:p>
              </w:tc>
            </w:tr>
            <w:tr w14:paraId="66088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52" w:type="dxa"/>
                  <w:tcBorders>
                    <w:tl2br w:val="nil"/>
                    <w:tr2bl w:val="nil"/>
                  </w:tcBorders>
                  <w:noWrap w:val="0"/>
                  <w:vAlign w:val="center"/>
                </w:tcPr>
                <w:p w14:paraId="5F06ADEF">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7</w:t>
                  </w:r>
                </w:p>
              </w:tc>
              <w:tc>
                <w:tcPr>
                  <w:tcW w:w="1494" w:type="dxa"/>
                  <w:tcBorders>
                    <w:tl2br w:val="nil"/>
                    <w:tr2bl w:val="nil"/>
                  </w:tcBorders>
                  <w:noWrap w:val="0"/>
                  <w:vAlign w:val="center"/>
                </w:tcPr>
                <w:p w14:paraId="58B5038B">
                  <w:pPr>
                    <w:adjustRightInd w:val="0"/>
                    <w:snapToGrid w:val="0"/>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rPr>
                    <w:t>K18+530.</w:t>
                  </w:r>
                  <w:r>
                    <w:rPr>
                      <w:rFonts w:hint="default" w:ascii="Times New Roman" w:hAnsi="Times New Roman" w:eastAsia="宋体" w:cs="Times New Roman"/>
                      <w:sz w:val="21"/>
                      <w:szCs w:val="21"/>
                      <w:highlight w:val="none"/>
                      <w:lang w:val="en-US" w:eastAsia="zh-CN"/>
                    </w:rPr>
                    <w:t>871</w:t>
                  </w:r>
                </w:p>
              </w:tc>
              <w:tc>
                <w:tcPr>
                  <w:tcW w:w="1842" w:type="dxa"/>
                  <w:tcBorders>
                    <w:tl2br w:val="nil"/>
                    <w:tr2bl w:val="nil"/>
                  </w:tcBorders>
                  <w:noWrap w:val="0"/>
                  <w:vAlign w:val="center"/>
                </w:tcPr>
                <w:p w14:paraId="68B59D57">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古力牙提桥</w:t>
                  </w:r>
                </w:p>
              </w:tc>
              <w:tc>
                <w:tcPr>
                  <w:tcW w:w="1276" w:type="dxa"/>
                  <w:tcBorders>
                    <w:tl2br w:val="nil"/>
                    <w:tr2bl w:val="nil"/>
                  </w:tcBorders>
                  <w:noWrap w:val="0"/>
                  <w:vAlign w:val="center"/>
                </w:tcPr>
                <w:p w14:paraId="7A20ADD2">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1×16</w:t>
                  </w:r>
                </w:p>
              </w:tc>
              <w:tc>
                <w:tcPr>
                  <w:tcW w:w="871" w:type="dxa"/>
                  <w:tcBorders>
                    <w:tl2br w:val="nil"/>
                    <w:tr2bl w:val="nil"/>
                  </w:tcBorders>
                  <w:noWrap w:val="0"/>
                  <w:vAlign w:val="center"/>
                </w:tcPr>
                <w:p w14:paraId="405EF04D">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21.5</w:t>
                  </w:r>
                </w:p>
              </w:tc>
              <w:tc>
                <w:tcPr>
                  <w:tcW w:w="1701" w:type="dxa"/>
                  <w:tcBorders>
                    <w:tl2br w:val="nil"/>
                    <w:tr2bl w:val="nil"/>
                  </w:tcBorders>
                  <w:noWrap/>
                  <w:vAlign w:val="center"/>
                </w:tcPr>
                <w:p w14:paraId="71FA93BD">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预应力砼矮T梁</w:t>
                  </w:r>
                </w:p>
              </w:tc>
              <w:tc>
                <w:tcPr>
                  <w:tcW w:w="774" w:type="dxa"/>
                  <w:tcBorders>
                    <w:tl2br w:val="nil"/>
                    <w:tr2bl w:val="nil"/>
                  </w:tcBorders>
                  <w:noWrap w:val="0"/>
                  <w:vAlign w:val="center"/>
                </w:tcPr>
                <w:p w14:paraId="7F343C57">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拆除</w:t>
                  </w:r>
                </w:p>
                <w:p w14:paraId="16812A15">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新建</w:t>
                  </w:r>
                </w:p>
              </w:tc>
            </w:tr>
            <w:tr w14:paraId="445DD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52" w:type="dxa"/>
                  <w:tcBorders>
                    <w:tl2br w:val="nil"/>
                    <w:tr2bl w:val="nil"/>
                  </w:tcBorders>
                  <w:noWrap w:val="0"/>
                  <w:vAlign w:val="center"/>
                </w:tcPr>
                <w:p w14:paraId="7397A745">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8</w:t>
                  </w:r>
                </w:p>
              </w:tc>
              <w:tc>
                <w:tcPr>
                  <w:tcW w:w="1494" w:type="dxa"/>
                  <w:tcBorders>
                    <w:tl2br w:val="nil"/>
                    <w:tr2bl w:val="nil"/>
                  </w:tcBorders>
                  <w:noWrap w:val="0"/>
                  <w:vAlign w:val="center"/>
                </w:tcPr>
                <w:p w14:paraId="43C2686B">
                  <w:pPr>
                    <w:adjustRightInd w:val="0"/>
                    <w:snapToGrid w:val="0"/>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rPr>
                    <w:t>K21+57</w:t>
                  </w:r>
                  <w:r>
                    <w:rPr>
                      <w:rFonts w:hint="default" w:ascii="Times New Roman" w:hAnsi="Times New Roman" w:eastAsia="宋体" w:cs="Times New Roman"/>
                      <w:sz w:val="21"/>
                      <w:szCs w:val="21"/>
                      <w:highlight w:val="none"/>
                      <w:lang w:val="en-US" w:eastAsia="zh-CN"/>
                    </w:rPr>
                    <w:t>3.539</w:t>
                  </w:r>
                </w:p>
              </w:tc>
              <w:tc>
                <w:tcPr>
                  <w:tcW w:w="1842" w:type="dxa"/>
                  <w:tcBorders>
                    <w:tl2br w:val="nil"/>
                    <w:tr2bl w:val="nil"/>
                  </w:tcBorders>
                  <w:noWrap w:val="0"/>
                  <w:vAlign w:val="center"/>
                </w:tcPr>
                <w:p w14:paraId="37A08D3F">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新栏杆一桥</w:t>
                  </w:r>
                </w:p>
              </w:tc>
              <w:tc>
                <w:tcPr>
                  <w:tcW w:w="1276" w:type="dxa"/>
                  <w:tcBorders>
                    <w:tl2br w:val="nil"/>
                    <w:tr2bl w:val="nil"/>
                  </w:tcBorders>
                  <w:noWrap w:val="0"/>
                  <w:vAlign w:val="center"/>
                </w:tcPr>
                <w:p w14:paraId="35BD46D3">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2×13</w:t>
                  </w:r>
                </w:p>
              </w:tc>
              <w:tc>
                <w:tcPr>
                  <w:tcW w:w="871" w:type="dxa"/>
                  <w:tcBorders>
                    <w:tl2br w:val="nil"/>
                    <w:tr2bl w:val="nil"/>
                  </w:tcBorders>
                  <w:noWrap w:val="0"/>
                  <w:vAlign w:val="center"/>
                </w:tcPr>
                <w:p w14:paraId="2FF8A6A7">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31.5</w:t>
                  </w:r>
                </w:p>
              </w:tc>
              <w:tc>
                <w:tcPr>
                  <w:tcW w:w="1701" w:type="dxa"/>
                  <w:tcBorders>
                    <w:tl2br w:val="nil"/>
                    <w:tr2bl w:val="nil"/>
                  </w:tcBorders>
                  <w:noWrap/>
                  <w:vAlign w:val="center"/>
                </w:tcPr>
                <w:p w14:paraId="6B1C4DDC">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预应力砼矮T梁</w:t>
                  </w:r>
                </w:p>
              </w:tc>
              <w:tc>
                <w:tcPr>
                  <w:tcW w:w="774" w:type="dxa"/>
                  <w:tcBorders>
                    <w:tl2br w:val="nil"/>
                    <w:tr2bl w:val="nil"/>
                  </w:tcBorders>
                  <w:noWrap w:val="0"/>
                  <w:vAlign w:val="center"/>
                </w:tcPr>
                <w:p w14:paraId="2193A3E9">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双侧</w:t>
                  </w:r>
                </w:p>
                <w:p w14:paraId="39BF9325">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拼宽</w:t>
                  </w:r>
                </w:p>
              </w:tc>
            </w:tr>
            <w:tr w14:paraId="4B414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52" w:type="dxa"/>
                  <w:tcBorders>
                    <w:tl2br w:val="nil"/>
                    <w:tr2bl w:val="nil"/>
                  </w:tcBorders>
                  <w:noWrap w:val="0"/>
                  <w:vAlign w:val="center"/>
                </w:tcPr>
                <w:p w14:paraId="34AE1128">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9</w:t>
                  </w:r>
                </w:p>
              </w:tc>
              <w:tc>
                <w:tcPr>
                  <w:tcW w:w="1494" w:type="dxa"/>
                  <w:tcBorders>
                    <w:tl2br w:val="nil"/>
                    <w:tr2bl w:val="nil"/>
                  </w:tcBorders>
                  <w:noWrap w:val="0"/>
                  <w:vAlign w:val="center"/>
                </w:tcPr>
                <w:p w14:paraId="68A6B905">
                  <w:pPr>
                    <w:adjustRightInd w:val="0"/>
                    <w:snapToGrid w:val="0"/>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rPr>
                    <w:t>K21+81</w:t>
                  </w:r>
                  <w:r>
                    <w:rPr>
                      <w:rFonts w:hint="default" w:ascii="Times New Roman" w:hAnsi="Times New Roman" w:eastAsia="宋体" w:cs="Times New Roman"/>
                      <w:sz w:val="21"/>
                      <w:szCs w:val="21"/>
                      <w:highlight w:val="none"/>
                      <w:lang w:val="en-US" w:eastAsia="zh-CN"/>
                    </w:rPr>
                    <w:t>8.179</w:t>
                  </w:r>
                </w:p>
              </w:tc>
              <w:tc>
                <w:tcPr>
                  <w:tcW w:w="1842" w:type="dxa"/>
                  <w:tcBorders>
                    <w:tl2br w:val="nil"/>
                    <w:tr2bl w:val="nil"/>
                  </w:tcBorders>
                  <w:noWrap w:val="0"/>
                  <w:vAlign w:val="center"/>
                </w:tcPr>
                <w:p w14:paraId="10611D31">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新栏杆二桥</w:t>
                  </w:r>
                </w:p>
              </w:tc>
              <w:tc>
                <w:tcPr>
                  <w:tcW w:w="1276" w:type="dxa"/>
                  <w:tcBorders>
                    <w:tl2br w:val="nil"/>
                    <w:tr2bl w:val="nil"/>
                  </w:tcBorders>
                  <w:noWrap w:val="0"/>
                  <w:vAlign w:val="center"/>
                </w:tcPr>
                <w:p w14:paraId="27FB52C2">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2×13</w:t>
                  </w:r>
                </w:p>
              </w:tc>
              <w:tc>
                <w:tcPr>
                  <w:tcW w:w="871" w:type="dxa"/>
                  <w:tcBorders>
                    <w:tl2br w:val="nil"/>
                    <w:tr2bl w:val="nil"/>
                  </w:tcBorders>
                  <w:noWrap w:val="0"/>
                  <w:vAlign w:val="center"/>
                </w:tcPr>
                <w:p w14:paraId="2D8F73B2">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31.5</w:t>
                  </w:r>
                </w:p>
              </w:tc>
              <w:tc>
                <w:tcPr>
                  <w:tcW w:w="1701" w:type="dxa"/>
                  <w:tcBorders>
                    <w:tl2br w:val="nil"/>
                    <w:tr2bl w:val="nil"/>
                  </w:tcBorders>
                  <w:noWrap/>
                  <w:vAlign w:val="center"/>
                </w:tcPr>
                <w:p w14:paraId="108E160E">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预应力砼矮T梁</w:t>
                  </w:r>
                </w:p>
              </w:tc>
              <w:tc>
                <w:tcPr>
                  <w:tcW w:w="774" w:type="dxa"/>
                  <w:tcBorders>
                    <w:tl2br w:val="nil"/>
                    <w:tr2bl w:val="nil"/>
                  </w:tcBorders>
                  <w:noWrap w:val="0"/>
                  <w:vAlign w:val="center"/>
                </w:tcPr>
                <w:p w14:paraId="7D0C2C9C">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双侧</w:t>
                  </w:r>
                </w:p>
                <w:p w14:paraId="384DA97A">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拼宽</w:t>
                  </w:r>
                </w:p>
              </w:tc>
            </w:tr>
            <w:tr w14:paraId="37E90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52" w:type="dxa"/>
                  <w:vMerge w:val="restart"/>
                  <w:tcBorders>
                    <w:tl2br w:val="nil"/>
                    <w:tr2bl w:val="nil"/>
                  </w:tcBorders>
                  <w:noWrap w:val="0"/>
                  <w:vAlign w:val="center"/>
                </w:tcPr>
                <w:p w14:paraId="096969C3">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10</w:t>
                  </w:r>
                </w:p>
              </w:tc>
              <w:tc>
                <w:tcPr>
                  <w:tcW w:w="1494" w:type="dxa"/>
                  <w:tcBorders>
                    <w:tl2br w:val="nil"/>
                    <w:tr2bl w:val="nil"/>
                  </w:tcBorders>
                  <w:noWrap w:val="0"/>
                  <w:vAlign w:val="center"/>
                </w:tcPr>
                <w:p w14:paraId="49B399C1">
                  <w:pPr>
                    <w:adjustRightInd w:val="0"/>
                    <w:snapToGrid w:val="0"/>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rPr>
                    <w:t>K25+</w:t>
                  </w:r>
                  <w:r>
                    <w:rPr>
                      <w:rFonts w:hint="default" w:ascii="Times New Roman" w:hAnsi="Times New Roman" w:eastAsia="宋体" w:cs="Times New Roman"/>
                      <w:sz w:val="21"/>
                      <w:szCs w:val="21"/>
                      <w:highlight w:val="none"/>
                      <w:lang w:val="en-US" w:eastAsia="zh-CN"/>
                    </w:rPr>
                    <w:t>300.</w:t>
                  </w:r>
                  <w:r>
                    <w:rPr>
                      <w:rFonts w:hint="eastAsia" w:cs="Times New Roman"/>
                      <w:sz w:val="21"/>
                      <w:szCs w:val="21"/>
                      <w:highlight w:val="none"/>
                      <w:lang w:val="en-US" w:eastAsia="zh-CN"/>
                    </w:rPr>
                    <w:t>029</w:t>
                  </w:r>
                </w:p>
              </w:tc>
              <w:tc>
                <w:tcPr>
                  <w:tcW w:w="1842" w:type="dxa"/>
                  <w:tcBorders>
                    <w:tl2br w:val="nil"/>
                    <w:tr2bl w:val="nil"/>
                  </w:tcBorders>
                  <w:noWrap w:val="0"/>
                  <w:vAlign w:val="center"/>
                </w:tcPr>
                <w:p w14:paraId="6764C744">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克孜勒苏大桥</w:t>
                  </w:r>
                </w:p>
                <w:p w14:paraId="48567D01">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(左幅)</w:t>
                  </w:r>
                </w:p>
              </w:tc>
              <w:tc>
                <w:tcPr>
                  <w:tcW w:w="1276" w:type="dxa"/>
                  <w:tcBorders>
                    <w:tl2br w:val="nil"/>
                    <w:tr2bl w:val="nil"/>
                  </w:tcBorders>
                  <w:noWrap w:val="0"/>
                  <w:vAlign w:val="center"/>
                </w:tcPr>
                <w:p w14:paraId="44A4FAFE">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w:t>
                  </w:r>
                  <w:r>
                    <w:rPr>
                      <w:rFonts w:hint="default" w:ascii="Times New Roman" w:hAnsi="Times New Roman" w:eastAsia="宋体" w:cs="Times New Roman"/>
                      <w:sz w:val="21"/>
                      <w:szCs w:val="21"/>
                      <w:highlight w:val="none"/>
                      <w:lang w:val="en-US" w:eastAsia="zh-CN"/>
                    </w:rPr>
                    <w:t>1</w:t>
                  </w:r>
                  <w:r>
                    <w:rPr>
                      <w:rFonts w:hint="default" w:ascii="Times New Roman" w:hAnsi="Times New Roman" w:eastAsia="宋体" w:cs="Times New Roman"/>
                      <w:sz w:val="21"/>
                      <w:szCs w:val="21"/>
                      <w:highlight w:val="none"/>
                    </w:rPr>
                    <w:t>×16</w:t>
                  </w:r>
                </w:p>
              </w:tc>
              <w:tc>
                <w:tcPr>
                  <w:tcW w:w="871" w:type="dxa"/>
                  <w:tcBorders>
                    <w:tl2br w:val="nil"/>
                    <w:tr2bl w:val="nil"/>
                  </w:tcBorders>
                  <w:noWrap w:val="0"/>
                  <w:vAlign w:val="center"/>
                </w:tcPr>
                <w:p w14:paraId="0BE3B595">
                  <w:pPr>
                    <w:adjustRightInd w:val="0"/>
                    <w:snapToGrid w:val="0"/>
                    <w:jc w:val="center"/>
                    <w:rPr>
                      <w:rFonts w:hint="default" w:ascii="Times New Roman" w:hAnsi="Times New Roman" w:eastAsia="宋体" w:cs="Times New Roman"/>
                      <w:sz w:val="21"/>
                      <w:szCs w:val="21"/>
                      <w:highlight w:val="none"/>
                      <w:lang w:val="en-US" w:eastAsia="zh-CN"/>
                    </w:rPr>
                  </w:pPr>
                  <w:r>
                    <w:rPr>
                      <w:rFonts w:hint="eastAsia" w:cs="Times New Roman"/>
                      <w:spacing w:val="-6"/>
                      <w:sz w:val="21"/>
                      <w:szCs w:val="21"/>
                      <w:highlight w:val="none"/>
                      <w:lang w:val="en-US" w:eastAsia="zh-CN"/>
                    </w:rPr>
                    <w:t>339.949</w:t>
                  </w:r>
                </w:p>
              </w:tc>
              <w:tc>
                <w:tcPr>
                  <w:tcW w:w="1701" w:type="dxa"/>
                  <w:tcBorders>
                    <w:tl2br w:val="nil"/>
                    <w:tr2bl w:val="nil"/>
                  </w:tcBorders>
                  <w:noWrap/>
                  <w:vAlign w:val="center"/>
                </w:tcPr>
                <w:p w14:paraId="66486D2C">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预应力砼矮T梁</w:t>
                  </w:r>
                </w:p>
              </w:tc>
              <w:tc>
                <w:tcPr>
                  <w:tcW w:w="774" w:type="dxa"/>
                  <w:tcBorders>
                    <w:tl2br w:val="nil"/>
                    <w:tr2bl w:val="nil"/>
                  </w:tcBorders>
                  <w:noWrap w:val="0"/>
                  <w:vAlign w:val="center"/>
                </w:tcPr>
                <w:p w14:paraId="7E5A8D72">
                  <w:pPr>
                    <w:adjustRightInd w:val="0"/>
                    <w:snapToGrid w:val="0"/>
                    <w:jc w:val="center"/>
                    <w:rPr>
                      <w:rFonts w:hint="default" w:ascii="Times New Roman" w:hAnsi="Times New Roman" w:eastAsia="宋体" w:cs="Times New Roman"/>
                      <w:spacing w:val="-6"/>
                      <w:sz w:val="21"/>
                      <w:szCs w:val="21"/>
                      <w:highlight w:val="none"/>
                    </w:rPr>
                  </w:pPr>
                  <w:r>
                    <w:rPr>
                      <w:rFonts w:hint="default" w:ascii="Times New Roman" w:hAnsi="Times New Roman" w:eastAsia="宋体" w:cs="Times New Roman"/>
                      <w:spacing w:val="-6"/>
                      <w:sz w:val="21"/>
                      <w:szCs w:val="21"/>
                      <w:highlight w:val="none"/>
                    </w:rPr>
                    <w:t>拼宽</w:t>
                  </w:r>
                </w:p>
                <w:p w14:paraId="6C646249">
                  <w:pPr>
                    <w:adjustRightInd w:val="0"/>
                    <w:snapToGrid w:val="0"/>
                    <w:jc w:val="center"/>
                    <w:rPr>
                      <w:rFonts w:hint="eastAsia" w:ascii="Times New Roman" w:hAnsi="Times New Roman" w:eastAsia="宋体" w:cs="Times New Roman"/>
                      <w:sz w:val="21"/>
                      <w:szCs w:val="21"/>
                      <w:highlight w:val="none"/>
                      <w:lang w:val="en-US" w:eastAsia="zh-CN"/>
                    </w:rPr>
                  </w:pPr>
                  <w:r>
                    <w:rPr>
                      <w:rFonts w:hint="eastAsia" w:cs="Times New Roman"/>
                      <w:spacing w:val="-6"/>
                      <w:sz w:val="21"/>
                      <w:szCs w:val="21"/>
                      <w:highlight w:val="none"/>
                      <w:lang w:val="en-US" w:eastAsia="zh-CN"/>
                    </w:rPr>
                    <w:t>利用</w:t>
                  </w:r>
                </w:p>
              </w:tc>
            </w:tr>
            <w:tr w14:paraId="51028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52" w:type="dxa"/>
                  <w:vMerge w:val="continue"/>
                  <w:tcBorders>
                    <w:tl2br w:val="nil"/>
                    <w:tr2bl w:val="nil"/>
                  </w:tcBorders>
                  <w:noWrap w:val="0"/>
                  <w:vAlign w:val="center"/>
                </w:tcPr>
                <w:p w14:paraId="00F2CF56">
                  <w:pPr>
                    <w:adjustRightInd w:val="0"/>
                    <w:snapToGrid w:val="0"/>
                    <w:jc w:val="center"/>
                    <w:rPr>
                      <w:rFonts w:hint="default" w:ascii="Times New Roman" w:hAnsi="Times New Roman" w:eastAsia="宋体" w:cs="Times New Roman"/>
                      <w:sz w:val="21"/>
                      <w:szCs w:val="21"/>
                      <w:highlight w:val="none"/>
                    </w:rPr>
                  </w:pPr>
                </w:p>
              </w:tc>
              <w:tc>
                <w:tcPr>
                  <w:tcW w:w="1494" w:type="dxa"/>
                  <w:tcBorders>
                    <w:tl2br w:val="nil"/>
                    <w:tr2bl w:val="nil"/>
                  </w:tcBorders>
                  <w:noWrap w:val="0"/>
                  <w:vAlign w:val="center"/>
                </w:tcPr>
                <w:p w14:paraId="127184FE">
                  <w:pPr>
                    <w:adjustRightInd w:val="0"/>
                    <w:snapToGrid w:val="0"/>
                    <w:jc w:val="center"/>
                    <w:rPr>
                      <w:rFonts w:hint="default" w:ascii="Times New Roman" w:hAnsi="Times New Roman" w:eastAsia="宋体" w:cs="Times New Roman"/>
                      <w:sz w:val="21"/>
                      <w:szCs w:val="21"/>
                      <w:highlight w:val="none"/>
                      <w:lang w:val="en-US"/>
                    </w:rPr>
                  </w:pPr>
                  <w:r>
                    <w:rPr>
                      <w:rFonts w:hint="default" w:ascii="Times New Roman" w:hAnsi="Times New Roman" w:eastAsia="宋体" w:cs="Times New Roman"/>
                      <w:sz w:val="21"/>
                      <w:szCs w:val="21"/>
                      <w:highlight w:val="none"/>
                    </w:rPr>
                    <w:t>K25+</w:t>
                  </w:r>
                  <w:r>
                    <w:rPr>
                      <w:rFonts w:hint="default" w:ascii="Times New Roman" w:hAnsi="Times New Roman" w:eastAsia="宋体" w:cs="Times New Roman"/>
                      <w:sz w:val="21"/>
                      <w:szCs w:val="21"/>
                      <w:highlight w:val="none"/>
                      <w:lang w:val="en-US" w:eastAsia="zh-CN"/>
                    </w:rPr>
                    <w:t>300.</w:t>
                  </w:r>
                  <w:r>
                    <w:rPr>
                      <w:rFonts w:hint="eastAsia" w:cs="Times New Roman"/>
                      <w:sz w:val="21"/>
                      <w:szCs w:val="21"/>
                      <w:highlight w:val="none"/>
                      <w:lang w:val="en-US" w:eastAsia="zh-CN"/>
                    </w:rPr>
                    <w:t>030</w:t>
                  </w:r>
                </w:p>
              </w:tc>
              <w:tc>
                <w:tcPr>
                  <w:tcW w:w="1842" w:type="dxa"/>
                  <w:tcBorders>
                    <w:tl2br w:val="nil"/>
                    <w:tr2bl w:val="nil"/>
                  </w:tcBorders>
                  <w:noWrap w:val="0"/>
                  <w:vAlign w:val="center"/>
                </w:tcPr>
                <w:p w14:paraId="38B41097">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克孜勒苏大桥</w:t>
                  </w:r>
                </w:p>
                <w:p w14:paraId="6CB8A0E4">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(右幅)</w:t>
                  </w:r>
                </w:p>
              </w:tc>
              <w:tc>
                <w:tcPr>
                  <w:tcW w:w="1276" w:type="dxa"/>
                  <w:tcBorders>
                    <w:tl2br w:val="nil"/>
                    <w:tr2bl w:val="nil"/>
                  </w:tcBorders>
                  <w:noWrap w:val="0"/>
                  <w:vAlign w:val="center"/>
                </w:tcPr>
                <w:p w14:paraId="58EA1A8A">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w:t>
                  </w:r>
                  <w:r>
                    <w:rPr>
                      <w:rFonts w:hint="default" w:ascii="Times New Roman" w:hAnsi="Times New Roman" w:eastAsia="宋体" w:cs="Times New Roman"/>
                      <w:sz w:val="21"/>
                      <w:szCs w:val="21"/>
                      <w:highlight w:val="none"/>
                      <w:lang w:val="en-US" w:eastAsia="zh-CN"/>
                    </w:rPr>
                    <w:t>1</w:t>
                  </w:r>
                  <w:r>
                    <w:rPr>
                      <w:rFonts w:hint="default" w:ascii="Times New Roman" w:hAnsi="Times New Roman" w:eastAsia="宋体" w:cs="Times New Roman"/>
                      <w:sz w:val="21"/>
                      <w:szCs w:val="21"/>
                      <w:highlight w:val="none"/>
                    </w:rPr>
                    <w:t>×16</w:t>
                  </w:r>
                </w:p>
              </w:tc>
              <w:tc>
                <w:tcPr>
                  <w:tcW w:w="871" w:type="dxa"/>
                  <w:tcBorders>
                    <w:tl2br w:val="nil"/>
                    <w:tr2bl w:val="nil"/>
                  </w:tcBorders>
                  <w:noWrap w:val="0"/>
                  <w:vAlign w:val="center"/>
                </w:tcPr>
                <w:p w14:paraId="10688110">
                  <w:pPr>
                    <w:adjustRightInd w:val="0"/>
                    <w:snapToGrid w:val="0"/>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339.95</w:t>
                  </w:r>
                </w:p>
              </w:tc>
              <w:tc>
                <w:tcPr>
                  <w:tcW w:w="1701" w:type="dxa"/>
                  <w:tcBorders>
                    <w:tl2br w:val="nil"/>
                    <w:tr2bl w:val="nil"/>
                  </w:tcBorders>
                  <w:noWrap/>
                  <w:vAlign w:val="center"/>
                </w:tcPr>
                <w:p w14:paraId="20F9C433">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预应力砼矮T梁</w:t>
                  </w:r>
                </w:p>
              </w:tc>
              <w:tc>
                <w:tcPr>
                  <w:tcW w:w="774" w:type="dxa"/>
                  <w:tcBorders>
                    <w:tl2br w:val="nil"/>
                    <w:tr2bl w:val="nil"/>
                  </w:tcBorders>
                  <w:noWrap w:val="0"/>
                  <w:vAlign w:val="center"/>
                </w:tcPr>
                <w:p w14:paraId="3BAC616B">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新建</w:t>
                  </w:r>
                </w:p>
              </w:tc>
            </w:tr>
            <w:tr w14:paraId="5EB5C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52" w:type="dxa"/>
                  <w:tcBorders>
                    <w:tl2br w:val="nil"/>
                    <w:tr2bl w:val="nil"/>
                  </w:tcBorders>
                  <w:noWrap w:val="0"/>
                  <w:vAlign w:val="center"/>
                </w:tcPr>
                <w:p w14:paraId="0B176567">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11</w:t>
                  </w:r>
                </w:p>
              </w:tc>
              <w:tc>
                <w:tcPr>
                  <w:tcW w:w="1494" w:type="dxa"/>
                  <w:tcBorders>
                    <w:tl2br w:val="nil"/>
                    <w:tr2bl w:val="nil"/>
                  </w:tcBorders>
                  <w:noWrap w:val="0"/>
                  <w:vAlign w:val="center"/>
                </w:tcPr>
                <w:p w14:paraId="4FC52B59">
                  <w:pPr>
                    <w:adjustRightInd w:val="0"/>
                    <w:snapToGrid w:val="0"/>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rPr>
                    <w:t>K29+655.</w:t>
                  </w:r>
                  <w:r>
                    <w:rPr>
                      <w:rFonts w:hint="default" w:ascii="Times New Roman" w:hAnsi="Times New Roman" w:eastAsia="宋体" w:cs="Times New Roman"/>
                      <w:sz w:val="21"/>
                      <w:szCs w:val="21"/>
                      <w:highlight w:val="none"/>
                      <w:lang w:val="en-US" w:eastAsia="zh-CN"/>
                    </w:rPr>
                    <w:t>132</w:t>
                  </w:r>
                </w:p>
              </w:tc>
              <w:tc>
                <w:tcPr>
                  <w:tcW w:w="1842" w:type="dxa"/>
                  <w:tcBorders>
                    <w:tl2br w:val="nil"/>
                    <w:tr2bl w:val="nil"/>
                  </w:tcBorders>
                  <w:noWrap w:val="0"/>
                  <w:vAlign w:val="center"/>
                </w:tcPr>
                <w:p w14:paraId="2E4FD575">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和夏阿瓦提桥</w:t>
                  </w:r>
                </w:p>
              </w:tc>
              <w:tc>
                <w:tcPr>
                  <w:tcW w:w="1276" w:type="dxa"/>
                  <w:tcBorders>
                    <w:tl2br w:val="nil"/>
                    <w:tr2bl w:val="nil"/>
                  </w:tcBorders>
                  <w:noWrap w:val="0"/>
                  <w:vAlign w:val="center"/>
                </w:tcPr>
                <w:p w14:paraId="6B4C98E7">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1×16</w:t>
                  </w:r>
                </w:p>
              </w:tc>
              <w:tc>
                <w:tcPr>
                  <w:tcW w:w="871" w:type="dxa"/>
                  <w:tcBorders>
                    <w:tl2br w:val="nil"/>
                    <w:tr2bl w:val="nil"/>
                  </w:tcBorders>
                  <w:noWrap w:val="0"/>
                  <w:vAlign w:val="center"/>
                </w:tcPr>
                <w:p w14:paraId="4E1D9B82">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21.5</w:t>
                  </w:r>
                </w:p>
              </w:tc>
              <w:tc>
                <w:tcPr>
                  <w:tcW w:w="1701" w:type="dxa"/>
                  <w:tcBorders>
                    <w:tl2br w:val="nil"/>
                    <w:tr2bl w:val="nil"/>
                  </w:tcBorders>
                  <w:noWrap/>
                  <w:vAlign w:val="center"/>
                </w:tcPr>
                <w:p w14:paraId="1404BBA7">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预应力砼矮T梁</w:t>
                  </w:r>
                </w:p>
              </w:tc>
              <w:tc>
                <w:tcPr>
                  <w:tcW w:w="774" w:type="dxa"/>
                  <w:tcBorders>
                    <w:tl2br w:val="nil"/>
                    <w:tr2bl w:val="nil"/>
                  </w:tcBorders>
                  <w:noWrap w:val="0"/>
                  <w:vAlign w:val="center"/>
                </w:tcPr>
                <w:p w14:paraId="1B01F3F0">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双侧</w:t>
                  </w:r>
                </w:p>
                <w:p w14:paraId="4AAEAADB">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拼宽</w:t>
                  </w:r>
                </w:p>
              </w:tc>
            </w:tr>
            <w:tr w14:paraId="30797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52" w:type="dxa"/>
                  <w:tcBorders>
                    <w:tl2br w:val="nil"/>
                    <w:tr2bl w:val="nil"/>
                  </w:tcBorders>
                  <w:noWrap w:val="0"/>
                  <w:vAlign w:val="center"/>
                </w:tcPr>
                <w:p w14:paraId="33333C59">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12</w:t>
                  </w:r>
                </w:p>
              </w:tc>
              <w:tc>
                <w:tcPr>
                  <w:tcW w:w="1494" w:type="dxa"/>
                  <w:tcBorders>
                    <w:tl2br w:val="nil"/>
                    <w:tr2bl w:val="nil"/>
                  </w:tcBorders>
                  <w:noWrap w:val="0"/>
                  <w:vAlign w:val="center"/>
                </w:tcPr>
                <w:p w14:paraId="669DE705">
                  <w:pPr>
                    <w:adjustRightInd w:val="0"/>
                    <w:snapToGrid w:val="0"/>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rPr>
                    <w:t>K41+</w:t>
                  </w:r>
                  <w:r>
                    <w:rPr>
                      <w:rFonts w:hint="default" w:ascii="Times New Roman" w:hAnsi="Times New Roman" w:eastAsia="宋体" w:cs="Times New Roman"/>
                      <w:sz w:val="21"/>
                      <w:szCs w:val="21"/>
                      <w:highlight w:val="none"/>
                      <w:lang w:val="en-US" w:eastAsia="zh-CN"/>
                    </w:rPr>
                    <w:t>340.822</w:t>
                  </w:r>
                </w:p>
              </w:tc>
              <w:tc>
                <w:tcPr>
                  <w:tcW w:w="1842" w:type="dxa"/>
                  <w:tcBorders>
                    <w:tl2br w:val="nil"/>
                    <w:tr2bl w:val="nil"/>
                  </w:tcBorders>
                  <w:noWrap w:val="0"/>
                  <w:vAlign w:val="center"/>
                </w:tcPr>
                <w:p w14:paraId="4008915F">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调节渠桥</w:t>
                  </w:r>
                </w:p>
              </w:tc>
              <w:tc>
                <w:tcPr>
                  <w:tcW w:w="1276" w:type="dxa"/>
                  <w:tcBorders>
                    <w:tl2br w:val="nil"/>
                    <w:tr2bl w:val="nil"/>
                  </w:tcBorders>
                  <w:noWrap w:val="0"/>
                  <w:vAlign w:val="center"/>
                </w:tcPr>
                <w:p w14:paraId="301F1F0C">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1×13</w:t>
                  </w:r>
                </w:p>
              </w:tc>
              <w:tc>
                <w:tcPr>
                  <w:tcW w:w="871" w:type="dxa"/>
                  <w:tcBorders>
                    <w:tl2br w:val="nil"/>
                    <w:tr2bl w:val="nil"/>
                  </w:tcBorders>
                  <w:noWrap w:val="0"/>
                  <w:vAlign w:val="center"/>
                </w:tcPr>
                <w:p w14:paraId="4D602841">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18.5</w:t>
                  </w:r>
                </w:p>
              </w:tc>
              <w:tc>
                <w:tcPr>
                  <w:tcW w:w="1701" w:type="dxa"/>
                  <w:tcBorders>
                    <w:tl2br w:val="nil"/>
                    <w:tr2bl w:val="nil"/>
                  </w:tcBorders>
                  <w:noWrap/>
                  <w:vAlign w:val="center"/>
                </w:tcPr>
                <w:p w14:paraId="170F08F5">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预应力砼矮T梁</w:t>
                  </w:r>
                </w:p>
              </w:tc>
              <w:tc>
                <w:tcPr>
                  <w:tcW w:w="774" w:type="dxa"/>
                  <w:tcBorders>
                    <w:tl2br w:val="nil"/>
                    <w:tr2bl w:val="nil"/>
                  </w:tcBorders>
                  <w:noWrap w:val="0"/>
                  <w:vAlign w:val="center"/>
                </w:tcPr>
                <w:p w14:paraId="70A9E715">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双侧</w:t>
                  </w:r>
                </w:p>
                <w:p w14:paraId="78E66F7E">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拼宽</w:t>
                  </w:r>
                </w:p>
              </w:tc>
            </w:tr>
            <w:tr w14:paraId="27E85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52" w:type="dxa"/>
                  <w:tcBorders>
                    <w:tl2br w:val="nil"/>
                    <w:tr2bl w:val="nil"/>
                  </w:tcBorders>
                  <w:noWrap w:val="0"/>
                  <w:vAlign w:val="center"/>
                </w:tcPr>
                <w:p w14:paraId="3F5C94D1">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13</w:t>
                  </w:r>
                </w:p>
              </w:tc>
              <w:tc>
                <w:tcPr>
                  <w:tcW w:w="1494" w:type="dxa"/>
                  <w:tcBorders>
                    <w:tl2br w:val="nil"/>
                    <w:tr2bl w:val="nil"/>
                  </w:tcBorders>
                  <w:noWrap w:val="0"/>
                  <w:vAlign w:val="center"/>
                </w:tcPr>
                <w:p w14:paraId="6B9140DA">
                  <w:pPr>
                    <w:adjustRightInd w:val="0"/>
                    <w:snapToGrid w:val="0"/>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rPr>
                    <w:t>K44+</w:t>
                  </w:r>
                  <w:r>
                    <w:rPr>
                      <w:rFonts w:hint="default" w:ascii="Times New Roman" w:hAnsi="Times New Roman" w:eastAsia="宋体" w:cs="Times New Roman"/>
                      <w:sz w:val="21"/>
                      <w:szCs w:val="21"/>
                      <w:highlight w:val="none"/>
                      <w:lang w:val="en-US" w:eastAsia="zh-CN"/>
                    </w:rPr>
                    <w:t>179.938</w:t>
                  </w:r>
                </w:p>
              </w:tc>
              <w:tc>
                <w:tcPr>
                  <w:tcW w:w="1842" w:type="dxa"/>
                  <w:tcBorders>
                    <w:tl2br w:val="nil"/>
                    <w:tr2bl w:val="nil"/>
                  </w:tcBorders>
                  <w:noWrap w:val="0"/>
                  <w:vAlign w:val="center"/>
                </w:tcPr>
                <w:p w14:paraId="25BF1825">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青年渠桥</w:t>
                  </w:r>
                </w:p>
              </w:tc>
              <w:tc>
                <w:tcPr>
                  <w:tcW w:w="1276" w:type="dxa"/>
                  <w:tcBorders>
                    <w:tl2br w:val="nil"/>
                    <w:tr2bl w:val="nil"/>
                  </w:tcBorders>
                  <w:noWrap w:val="0"/>
                  <w:vAlign w:val="center"/>
                </w:tcPr>
                <w:p w14:paraId="6CEC0554">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3×8</w:t>
                  </w:r>
                </w:p>
              </w:tc>
              <w:tc>
                <w:tcPr>
                  <w:tcW w:w="871" w:type="dxa"/>
                  <w:tcBorders>
                    <w:tl2br w:val="nil"/>
                    <w:tr2bl w:val="nil"/>
                  </w:tcBorders>
                  <w:noWrap w:val="0"/>
                  <w:vAlign w:val="center"/>
                </w:tcPr>
                <w:p w14:paraId="2B267E76">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28</w:t>
                  </w:r>
                </w:p>
              </w:tc>
              <w:tc>
                <w:tcPr>
                  <w:tcW w:w="1701" w:type="dxa"/>
                  <w:tcBorders>
                    <w:tl2br w:val="nil"/>
                    <w:tr2bl w:val="nil"/>
                  </w:tcBorders>
                  <w:noWrap/>
                  <w:vAlign w:val="center"/>
                </w:tcPr>
                <w:p w14:paraId="100F43CA">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现浇钢筋砼实心板</w:t>
                  </w:r>
                </w:p>
              </w:tc>
              <w:tc>
                <w:tcPr>
                  <w:tcW w:w="774" w:type="dxa"/>
                  <w:tcBorders>
                    <w:tl2br w:val="nil"/>
                    <w:tr2bl w:val="nil"/>
                  </w:tcBorders>
                  <w:noWrap w:val="0"/>
                  <w:vAlign w:val="center"/>
                </w:tcPr>
                <w:p w14:paraId="6D620DE7">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拆除</w:t>
                  </w:r>
                </w:p>
                <w:p w14:paraId="0C20C086">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新建</w:t>
                  </w:r>
                </w:p>
              </w:tc>
            </w:tr>
            <w:tr w14:paraId="1281A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52" w:type="dxa"/>
                  <w:tcBorders>
                    <w:tl2br w:val="nil"/>
                    <w:tr2bl w:val="nil"/>
                  </w:tcBorders>
                  <w:noWrap w:val="0"/>
                  <w:vAlign w:val="center"/>
                </w:tcPr>
                <w:p w14:paraId="641FD0A2">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14</w:t>
                  </w:r>
                </w:p>
              </w:tc>
              <w:tc>
                <w:tcPr>
                  <w:tcW w:w="1494" w:type="dxa"/>
                  <w:tcBorders>
                    <w:tl2br w:val="nil"/>
                    <w:tr2bl w:val="nil"/>
                  </w:tcBorders>
                  <w:noWrap w:val="0"/>
                  <w:vAlign w:val="center"/>
                </w:tcPr>
                <w:p w14:paraId="1AE14460">
                  <w:pPr>
                    <w:adjustRightInd w:val="0"/>
                    <w:snapToGrid w:val="0"/>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rPr>
                    <w:t>K47+</w:t>
                  </w:r>
                  <w:r>
                    <w:rPr>
                      <w:rFonts w:hint="default" w:ascii="Times New Roman" w:hAnsi="Times New Roman" w:eastAsia="宋体" w:cs="Times New Roman"/>
                      <w:sz w:val="21"/>
                      <w:szCs w:val="21"/>
                      <w:highlight w:val="none"/>
                      <w:lang w:val="en-US" w:eastAsia="zh-CN"/>
                    </w:rPr>
                    <w:t>445.967</w:t>
                  </w:r>
                </w:p>
              </w:tc>
              <w:tc>
                <w:tcPr>
                  <w:tcW w:w="1842" w:type="dxa"/>
                  <w:tcBorders>
                    <w:tl2br w:val="nil"/>
                    <w:tr2bl w:val="nil"/>
                  </w:tcBorders>
                  <w:noWrap w:val="0"/>
                  <w:vAlign w:val="center"/>
                </w:tcPr>
                <w:p w14:paraId="15056CDE">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红旗渠桥</w:t>
                  </w:r>
                </w:p>
              </w:tc>
              <w:tc>
                <w:tcPr>
                  <w:tcW w:w="1276" w:type="dxa"/>
                  <w:tcBorders>
                    <w:tl2br w:val="nil"/>
                    <w:tr2bl w:val="nil"/>
                  </w:tcBorders>
                  <w:noWrap w:val="0"/>
                  <w:vAlign w:val="center"/>
                </w:tcPr>
                <w:p w14:paraId="2C818832">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1×16</w:t>
                  </w:r>
                </w:p>
              </w:tc>
              <w:tc>
                <w:tcPr>
                  <w:tcW w:w="871" w:type="dxa"/>
                  <w:tcBorders>
                    <w:tl2br w:val="nil"/>
                    <w:tr2bl w:val="nil"/>
                  </w:tcBorders>
                  <w:noWrap w:val="0"/>
                  <w:vAlign w:val="center"/>
                </w:tcPr>
                <w:p w14:paraId="58377C1F">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21.5</w:t>
                  </w:r>
                </w:p>
              </w:tc>
              <w:tc>
                <w:tcPr>
                  <w:tcW w:w="1701" w:type="dxa"/>
                  <w:tcBorders>
                    <w:tl2br w:val="nil"/>
                    <w:tr2bl w:val="nil"/>
                  </w:tcBorders>
                  <w:noWrap/>
                  <w:vAlign w:val="center"/>
                </w:tcPr>
                <w:p w14:paraId="6D87B8DB">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预应力砼矮T梁</w:t>
                  </w:r>
                </w:p>
              </w:tc>
              <w:tc>
                <w:tcPr>
                  <w:tcW w:w="774" w:type="dxa"/>
                  <w:tcBorders>
                    <w:tl2br w:val="nil"/>
                    <w:tr2bl w:val="nil"/>
                  </w:tcBorders>
                  <w:noWrap w:val="0"/>
                  <w:vAlign w:val="center"/>
                </w:tcPr>
                <w:p w14:paraId="049A9C00">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双侧</w:t>
                  </w:r>
                </w:p>
                <w:p w14:paraId="22B7963F">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拼宽</w:t>
                  </w:r>
                </w:p>
              </w:tc>
            </w:tr>
            <w:tr w14:paraId="67D67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52" w:type="dxa"/>
                  <w:tcBorders>
                    <w:tl2br w:val="nil"/>
                    <w:tr2bl w:val="nil"/>
                  </w:tcBorders>
                  <w:noWrap w:val="0"/>
                  <w:vAlign w:val="center"/>
                </w:tcPr>
                <w:p w14:paraId="6C7363EA">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15</w:t>
                  </w:r>
                </w:p>
              </w:tc>
              <w:tc>
                <w:tcPr>
                  <w:tcW w:w="1494" w:type="dxa"/>
                  <w:tcBorders>
                    <w:tl2br w:val="nil"/>
                    <w:tr2bl w:val="nil"/>
                  </w:tcBorders>
                  <w:noWrap w:val="0"/>
                  <w:vAlign w:val="center"/>
                </w:tcPr>
                <w:p w14:paraId="3BE2BD6D">
                  <w:pPr>
                    <w:adjustRightInd w:val="0"/>
                    <w:snapToGrid w:val="0"/>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rPr>
                    <w:t>K50+</w:t>
                  </w:r>
                  <w:r>
                    <w:rPr>
                      <w:rFonts w:hint="default" w:ascii="Times New Roman" w:hAnsi="Times New Roman" w:eastAsia="宋体" w:cs="Times New Roman"/>
                      <w:sz w:val="21"/>
                      <w:szCs w:val="21"/>
                      <w:highlight w:val="none"/>
                      <w:lang w:val="en-US" w:eastAsia="zh-CN"/>
                    </w:rPr>
                    <w:t>739.</w:t>
                  </w:r>
                  <w:r>
                    <w:rPr>
                      <w:rFonts w:hint="eastAsia" w:cs="Times New Roman"/>
                      <w:sz w:val="21"/>
                      <w:szCs w:val="21"/>
                      <w:highlight w:val="none"/>
                      <w:lang w:val="en-US" w:eastAsia="zh-CN"/>
                    </w:rPr>
                    <w:t>378</w:t>
                  </w:r>
                </w:p>
              </w:tc>
              <w:tc>
                <w:tcPr>
                  <w:tcW w:w="1842" w:type="dxa"/>
                  <w:tcBorders>
                    <w:tl2br w:val="nil"/>
                    <w:tr2bl w:val="nil"/>
                  </w:tcBorders>
                  <w:noWrap w:val="0"/>
                  <w:vAlign w:val="center"/>
                </w:tcPr>
                <w:p w14:paraId="58DCCE40">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苍干渠一桥</w:t>
                  </w:r>
                </w:p>
              </w:tc>
              <w:tc>
                <w:tcPr>
                  <w:tcW w:w="1276" w:type="dxa"/>
                  <w:tcBorders>
                    <w:tl2br w:val="nil"/>
                    <w:tr2bl w:val="nil"/>
                  </w:tcBorders>
                  <w:noWrap w:val="0"/>
                  <w:vAlign w:val="center"/>
                </w:tcPr>
                <w:p w14:paraId="275302E4">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1×8</w:t>
                  </w:r>
                </w:p>
              </w:tc>
              <w:tc>
                <w:tcPr>
                  <w:tcW w:w="871" w:type="dxa"/>
                  <w:tcBorders>
                    <w:tl2br w:val="nil"/>
                    <w:tr2bl w:val="nil"/>
                  </w:tcBorders>
                  <w:noWrap w:val="0"/>
                  <w:vAlign w:val="center"/>
                </w:tcPr>
                <w:p w14:paraId="11F123F6">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13.5</w:t>
                  </w:r>
                </w:p>
              </w:tc>
              <w:tc>
                <w:tcPr>
                  <w:tcW w:w="1701" w:type="dxa"/>
                  <w:tcBorders>
                    <w:tl2br w:val="nil"/>
                    <w:tr2bl w:val="nil"/>
                  </w:tcBorders>
                  <w:noWrap/>
                  <w:vAlign w:val="center"/>
                </w:tcPr>
                <w:p w14:paraId="746DE512">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预应力砼矮T梁</w:t>
                  </w:r>
                </w:p>
              </w:tc>
              <w:tc>
                <w:tcPr>
                  <w:tcW w:w="774" w:type="dxa"/>
                  <w:tcBorders>
                    <w:tl2br w:val="nil"/>
                    <w:tr2bl w:val="nil"/>
                  </w:tcBorders>
                  <w:noWrap w:val="0"/>
                  <w:vAlign w:val="center"/>
                </w:tcPr>
                <w:p w14:paraId="2E612158">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双侧</w:t>
                  </w:r>
                </w:p>
                <w:p w14:paraId="2262C23C">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拼宽</w:t>
                  </w:r>
                </w:p>
              </w:tc>
            </w:tr>
          </w:tbl>
          <w:p w14:paraId="3774A665">
            <w:pPr>
              <w:keepNext w:val="0"/>
              <w:keepLines w:val="0"/>
              <w:pageBreakBefore w:val="0"/>
              <w:widowControl w:val="0"/>
              <w:kinsoku/>
              <w:wordWrap/>
              <w:overflowPunct/>
              <w:topLinePunct w:val="0"/>
              <w:autoSpaceDE w:val="0"/>
              <w:autoSpaceDN w:val="0"/>
              <w:bidi w:val="0"/>
              <w:adjustRightInd w:val="0"/>
              <w:snapToGrid/>
              <w:spacing w:before="313" w:beforeLines="100" w:line="300" w:lineRule="auto"/>
              <w:ind w:firstLine="482" w:firstLineChars="200"/>
              <w:textAlignment w:val="auto"/>
              <w:rPr>
                <w:b/>
                <w:kern w:val="0"/>
                <w:sz w:val="24"/>
              </w:rPr>
            </w:pPr>
            <w:r>
              <w:rPr>
                <w:rFonts w:hint="eastAsia"/>
                <w:b/>
                <w:kern w:val="0"/>
                <w:sz w:val="24"/>
              </w:rPr>
              <w:t>(</w:t>
            </w:r>
            <w:r>
              <w:rPr>
                <w:rFonts w:hint="eastAsia"/>
                <w:b/>
                <w:kern w:val="0"/>
                <w:sz w:val="24"/>
                <w:lang w:val="en-US" w:eastAsia="zh-CN"/>
              </w:rPr>
              <w:t>7</w:t>
            </w:r>
            <w:r>
              <w:rPr>
                <w:rFonts w:hint="eastAsia"/>
                <w:b/>
                <w:kern w:val="0"/>
                <w:sz w:val="24"/>
              </w:rPr>
              <w:t>) 交叉工程</w:t>
            </w:r>
          </w:p>
          <w:p w14:paraId="11204CB5">
            <w:pPr>
              <w:autoSpaceDE w:val="0"/>
              <w:autoSpaceDN w:val="0"/>
              <w:adjustRightInd w:val="0"/>
              <w:spacing w:after="120" w:afterLines="50" w:line="300" w:lineRule="auto"/>
              <w:ind w:firstLine="480" w:firstLineChars="200"/>
              <w:rPr>
                <w:rFonts w:hint="eastAsia" w:hAnsi="宋体"/>
                <w:kern w:val="0"/>
                <w:sz w:val="24"/>
              </w:rPr>
            </w:pPr>
            <w:r>
              <w:rPr>
                <w:rFonts w:hAnsi="宋体"/>
                <w:kern w:val="0"/>
                <w:sz w:val="24"/>
              </w:rPr>
              <w:t>拟建公路</w:t>
            </w:r>
            <w:r>
              <w:rPr>
                <w:rFonts w:hint="eastAsia" w:hAnsi="宋体"/>
                <w:kern w:val="0"/>
                <w:sz w:val="24"/>
              </w:rPr>
              <w:t>设置互通式立交1处、分离式立交3处、平面交叉3</w:t>
            </w:r>
            <w:r>
              <w:rPr>
                <w:rFonts w:hint="eastAsia" w:hAnsi="宋体"/>
                <w:kern w:val="0"/>
                <w:sz w:val="24"/>
                <w:lang w:val="en-US" w:eastAsia="zh-CN"/>
              </w:rPr>
              <w:t>2</w:t>
            </w:r>
            <w:r>
              <w:rPr>
                <w:rFonts w:hint="eastAsia" w:hAnsi="宋体"/>
                <w:kern w:val="0"/>
                <w:sz w:val="24"/>
              </w:rPr>
              <w:t>处、主路优先的“右进右出”交叉口</w:t>
            </w:r>
            <w:r>
              <w:rPr>
                <w:rFonts w:hint="eastAsia" w:hAnsi="宋体"/>
                <w:kern w:val="0"/>
                <w:sz w:val="24"/>
                <w:lang w:val="en-US" w:eastAsia="zh-CN"/>
              </w:rPr>
              <w:t>24</w:t>
            </w:r>
            <w:r>
              <w:rPr>
                <w:rFonts w:hint="eastAsia" w:hAnsi="宋体"/>
                <w:kern w:val="0"/>
                <w:sz w:val="24"/>
              </w:rPr>
              <w:t>处</w:t>
            </w:r>
            <w:r>
              <w:rPr>
                <w:rFonts w:hint="eastAsia" w:hAnsi="宋体"/>
                <w:kern w:val="0"/>
                <w:sz w:val="24"/>
                <w:lang w:eastAsia="zh-CN"/>
              </w:rPr>
              <w:t>、</w:t>
            </w:r>
            <w:r>
              <w:rPr>
                <w:rFonts w:hint="eastAsia" w:hAnsi="宋体"/>
                <w:kern w:val="0"/>
                <w:sz w:val="24"/>
                <w:lang w:val="en-US" w:eastAsia="zh-CN"/>
              </w:rPr>
              <w:t>接入口101处</w:t>
            </w:r>
            <w:r>
              <w:rPr>
                <w:rFonts w:hint="eastAsia" w:hAnsi="宋体"/>
                <w:kern w:val="0"/>
                <w:sz w:val="24"/>
              </w:rPr>
              <w:t>，此外设置天桥1座，通道1</w:t>
            </w:r>
            <w:r>
              <w:rPr>
                <w:rFonts w:hint="eastAsia" w:hAnsi="宋体"/>
                <w:kern w:val="0"/>
                <w:sz w:val="24"/>
                <w:lang w:val="en-US" w:eastAsia="zh-CN"/>
              </w:rPr>
              <w:t>2</w:t>
            </w:r>
            <w:r>
              <w:rPr>
                <w:rFonts w:hint="eastAsia" w:hAnsi="宋体"/>
                <w:kern w:val="0"/>
                <w:sz w:val="24"/>
              </w:rPr>
              <w:t>道。</w:t>
            </w:r>
            <w:r>
              <w:rPr>
                <w:rFonts w:hint="eastAsia" w:hAnsi="宋体"/>
                <w:kern w:val="0"/>
                <w:sz w:val="24"/>
                <w:lang w:val="en-US" w:eastAsia="zh-CN"/>
              </w:rPr>
              <w:t>拟建公路互通式</w:t>
            </w:r>
            <w:r>
              <w:rPr>
                <w:rFonts w:hint="eastAsia" w:hAnsi="宋体"/>
                <w:kern w:val="0"/>
                <w:sz w:val="24"/>
              </w:rPr>
              <w:t>交叉工程信息见表2-</w:t>
            </w:r>
            <w:r>
              <w:rPr>
                <w:rFonts w:hint="eastAsia" w:hAnsi="宋体"/>
                <w:kern w:val="0"/>
                <w:sz w:val="24"/>
                <w:lang w:val="en-US" w:eastAsia="zh-CN"/>
              </w:rPr>
              <w:t>7</w:t>
            </w:r>
            <w:r>
              <w:rPr>
                <w:rFonts w:hint="eastAsia" w:hAnsi="宋体"/>
                <w:kern w:val="0"/>
                <w:sz w:val="24"/>
              </w:rPr>
              <w:t>。</w:t>
            </w:r>
          </w:p>
          <w:p w14:paraId="172F0153">
            <w:pPr>
              <w:tabs>
                <w:tab w:val="center" w:pos="4231"/>
                <w:tab w:val="right" w:pos="8463"/>
              </w:tabs>
              <w:adjustRightInd w:val="0"/>
              <w:spacing w:before="120" w:beforeLines="50"/>
              <w:jc w:val="center"/>
              <w:textAlignment w:val="baseline"/>
              <w:rPr>
                <w:rFonts w:eastAsiaTheme="minorEastAsia"/>
                <w:b/>
                <w:spacing w:val="5"/>
              </w:rPr>
            </w:pPr>
            <w:r>
              <w:rPr>
                <w:rFonts w:eastAsiaTheme="minorEastAsia"/>
                <w:b/>
                <w:spacing w:val="5"/>
              </w:rPr>
              <w:t>表2-</w:t>
            </w:r>
            <w:r>
              <w:rPr>
                <w:rFonts w:hint="eastAsia" w:eastAsiaTheme="minorEastAsia"/>
                <w:b/>
                <w:spacing w:val="5"/>
                <w:lang w:val="en-US" w:eastAsia="zh-CN"/>
              </w:rPr>
              <w:t xml:space="preserve">7 </w:t>
            </w:r>
            <w:r>
              <w:rPr>
                <w:rFonts w:eastAsiaTheme="minorEastAsia"/>
                <w:b/>
                <w:spacing w:val="5"/>
              </w:rPr>
              <w:t xml:space="preserve"> </w:t>
            </w:r>
            <w:r>
              <w:rPr>
                <w:rFonts w:hint="eastAsia" w:eastAsiaTheme="minorEastAsia"/>
                <w:b/>
                <w:spacing w:val="5"/>
                <w:lang w:val="en-US" w:eastAsia="zh-CN"/>
              </w:rPr>
              <w:t>拟建公路</w:t>
            </w:r>
            <w:r>
              <w:rPr>
                <w:rFonts w:eastAsiaTheme="minorEastAsia"/>
                <w:b/>
                <w:spacing w:val="5"/>
              </w:rPr>
              <w:t>互通式立体交叉设置一览表</w:t>
            </w:r>
          </w:p>
          <w:tbl>
            <w:tblPr>
              <w:tblStyle w:val="22"/>
              <w:tblpPr w:leftFromText="181" w:rightFromText="181" w:vertAnchor="text" w:horzAnchor="margin" w:tblpXSpec="center" w:tblpY="1"/>
              <w:tblW w:w="84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526"/>
              <w:gridCol w:w="948"/>
              <w:gridCol w:w="1760"/>
              <w:gridCol w:w="1706"/>
              <w:gridCol w:w="2518"/>
            </w:tblGrid>
            <w:tr w14:paraId="30FDD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1526" w:type="dxa"/>
                  <w:vAlign w:val="center"/>
                </w:tcPr>
                <w:p w14:paraId="01527C5D">
                  <w:pPr>
                    <w:widowControl/>
                    <w:jc w:val="center"/>
                    <w:rPr>
                      <w:rFonts w:eastAsiaTheme="minorEastAsia"/>
                      <w:b/>
                      <w:bCs/>
                      <w:kern w:val="0"/>
                    </w:rPr>
                  </w:pPr>
                  <w:r>
                    <w:rPr>
                      <w:rFonts w:eastAsiaTheme="minorEastAsia"/>
                      <w:b/>
                      <w:bCs/>
                      <w:kern w:val="0"/>
                    </w:rPr>
                    <w:t>互通立交名称</w:t>
                  </w:r>
                </w:p>
              </w:tc>
              <w:tc>
                <w:tcPr>
                  <w:tcW w:w="948" w:type="dxa"/>
                  <w:vAlign w:val="center"/>
                </w:tcPr>
                <w:p w14:paraId="5479A508">
                  <w:pPr>
                    <w:widowControl/>
                    <w:jc w:val="center"/>
                    <w:rPr>
                      <w:rFonts w:eastAsiaTheme="minorEastAsia"/>
                      <w:b/>
                      <w:bCs/>
                      <w:kern w:val="0"/>
                    </w:rPr>
                  </w:pPr>
                  <w:r>
                    <w:rPr>
                      <w:rFonts w:eastAsiaTheme="minorEastAsia"/>
                      <w:b/>
                      <w:bCs/>
                      <w:kern w:val="0"/>
                    </w:rPr>
                    <w:t>型式</w:t>
                  </w:r>
                </w:p>
              </w:tc>
              <w:tc>
                <w:tcPr>
                  <w:tcW w:w="1760" w:type="dxa"/>
                  <w:vAlign w:val="center"/>
                </w:tcPr>
                <w:p w14:paraId="59BD10AA">
                  <w:pPr>
                    <w:widowControl/>
                    <w:jc w:val="center"/>
                    <w:rPr>
                      <w:rFonts w:hint="default" w:eastAsiaTheme="minorEastAsia"/>
                      <w:b/>
                      <w:bCs/>
                      <w:kern w:val="0"/>
                      <w:lang w:val="en-US" w:eastAsia="zh-CN"/>
                    </w:rPr>
                  </w:pPr>
                  <w:r>
                    <w:rPr>
                      <w:rFonts w:hint="eastAsia" w:eastAsiaTheme="minorEastAsia"/>
                      <w:b/>
                      <w:bCs/>
                      <w:kern w:val="0"/>
                      <w:highlight w:val="none"/>
                      <w:lang w:val="en-US" w:eastAsia="zh-CN"/>
                    </w:rPr>
                    <w:t>中心桩号</w:t>
                  </w:r>
                </w:p>
              </w:tc>
              <w:tc>
                <w:tcPr>
                  <w:tcW w:w="1706" w:type="dxa"/>
                  <w:vAlign w:val="center"/>
                </w:tcPr>
                <w:p w14:paraId="253B7862">
                  <w:pPr>
                    <w:widowControl/>
                    <w:jc w:val="center"/>
                    <w:rPr>
                      <w:rFonts w:eastAsiaTheme="minorEastAsia"/>
                      <w:b/>
                      <w:bCs/>
                      <w:kern w:val="0"/>
                    </w:rPr>
                  </w:pPr>
                  <w:r>
                    <w:rPr>
                      <w:rFonts w:eastAsiaTheme="minorEastAsia"/>
                      <w:b/>
                      <w:bCs/>
                      <w:kern w:val="0"/>
                    </w:rPr>
                    <w:t>连接道路及等级</w:t>
                  </w:r>
                </w:p>
              </w:tc>
              <w:tc>
                <w:tcPr>
                  <w:tcW w:w="2518" w:type="dxa"/>
                  <w:vAlign w:val="center"/>
                </w:tcPr>
                <w:p w14:paraId="758601BE">
                  <w:pPr>
                    <w:widowControl/>
                    <w:jc w:val="center"/>
                    <w:rPr>
                      <w:rFonts w:eastAsiaTheme="minorEastAsia"/>
                      <w:b/>
                      <w:bCs/>
                      <w:kern w:val="0"/>
                    </w:rPr>
                  </w:pPr>
                  <w:r>
                    <w:rPr>
                      <w:rFonts w:eastAsiaTheme="minorEastAsia"/>
                      <w:b/>
                      <w:bCs/>
                      <w:kern w:val="0"/>
                    </w:rPr>
                    <w:t>主要功能</w:t>
                  </w:r>
                </w:p>
              </w:tc>
            </w:tr>
            <w:tr w14:paraId="0C7E1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1526" w:type="dxa"/>
                  <w:vAlign w:val="center"/>
                </w:tcPr>
                <w:p w14:paraId="14CB43ED">
                  <w:pPr>
                    <w:widowControl/>
                    <w:jc w:val="center"/>
                    <w:rPr>
                      <w:rFonts w:hint="default" w:eastAsiaTheme="minorEastAsia"/>
                      <w:kern w:val="0"/>
                      <w:lang w:val="en-US" w:eastAsia="zh-CN"/>
                    </w:rPr>
                  </w:pPr>
                  <w:r>
                    <w:rPr>
                      <w:rFonts w:hint="eastAsia" w:eastAsiaTheme="minorEastAsia"/>
                      <w:kern w:val="0"/>
                      <w:lang w:val="en-US" w:eastAsia="zh-CN"/>
                    </w:rPr>
                    <w:t>格达良简易互通</w:t>
                  </w:r>
                </w:p>
              </w:tc>
              <w:tc>
                <w:tcPr>
                  <w:tcW w:w="948" w:type="dxa"/>
                  <w:vAlign w:val="center"/>
                </w:tcPr>
                <w:p w14:paraId="54F984E8">
                  <w:pPr>
                    <w:widowControl/>
                    <w:jc w:val="center"/>
                    <w:rPr>
                      <w:rFonts w:eastAsiaTheme="minorEastAsia"/>
                      <w:kern w:val="0"/>
                    </w:rPr>
                  </w:pPr>
                  <w:r>
                    <w:rPr>
                      <w:rFonts w:hint="eastAsia" w:eastAsiaTheme="minorEastAsia"/>
                      <w:kern w:val="0"/>
                    </w:rPr>
                    <w:t>简易</w:t>
                  </w:r>
                  <w:r>
                    <w:rPr>
                      <w:rFonts w:eastAsiaTheme="minorEastAsia"/>
                      <w:kern w:val="0"/>
                    </w:rPr>
                    <w:t>互通</w:t>
                  </w:r>
                </w:p>
              </w:tc>
              <w:tc>
                <w:tcPr>
                  <w:tcW w:w="1760" w:type="dxa"/>
                  <w:vAlign w:val="center"/>
                </w:tcPr>
                <w:p w14:paraId="036C9FC3">
                  <w:pPr>
                    <w:widowControl/>
                    <w:jc w:val="center"/>
                    <w:rPr>
                      <w:rFonts w:eastAsiaTheme="minorEastAsia"/>
                      <w:kern w:val="0"/>
                    </w:rPr>
                  </w:pPr>
                  <w:r>
                    <w:rPr>
                      <w:rFonts w:hint="eastAsia" w:eastAsiaTheme="minorEastAsia"/>
                      <w:kern w:val="0"/>
                    </w:rPr>
                    <w:t>K0+784.031</w:t>
                  </w:r>
                </w:p>
              </w:tc>
              <w:tc>
                <w:tcPr>
                  <w:tcW w:w="1706" w:type="dxa"/>
                  <w:vAlign w:val="center"/>
                </w:tcPr>
                <w:p w14:paraId="34247251">
                  <w:pPr>
                    <w:widowControl/>
                    <w:jc w:val="center"/>
                    <w:rPr>
                      <w:rFonts w:hint="default" w:eastAsiaTheme="minorEastAsia"/>
                      <w:kern w:val="0"/>
                      <w:lang w:val="en-US" w:eastAsia="zh-CN"/>
                    </w:rPr>
                  </w:pPr>
                  <w:r>
                    <w:rPr>
                      <w:rFonts w:hint="eastAsia" w:eastAsiaTheme="minorEastAsia"/>
                      <w:kern w:val="0"/>
                      <w:lang w:val="en-US" w:eastAsia="zh-CN"/>
                    </w:rPr>
                    <w:t>G314，二级</w:t>
                  </w:r>
                </w:p>
              </w:tc>
              <w:tc>
                <w:tcPr>
                  <w:tcW w:w="2518" w:type="dxa"/>
                  <w:vAlign w:val="center"/>
                </w:tcPr>
                <w:p w14:paraId="7542532E">
                  <w:pPr>
                    <w:widowControl/>
                    <w:jc w:val="center"/>
                    <w:rPr>
                      <w:rFonts w:eastAsiaTheme="minorEastAsia"/>
                      <w:kern w:val="0"/>
                    </w:rPr>
                  </w:pPr>
                  <w:r>
                    <w:rPr>
                      <w:rFonts w:hint="eastAsia" w:eastAsiaTheme="minorEastAsia"/>
                      <w:kern w:val="0"/>
                    </w:rPr>
                    <w:t>连接本项目与G</w:t>
                  </w:r>
                  <w:r>
                    <w:rPr>
                      <w:rFonts w:hint="eastAsia" w:eastAsiaTheme="minorEastAsia"/>
                      <w:kern w:val="0"/>
                      <w:lang w:val="en-US" w:eastAsia="zh-CN"/>
                    </w:rPr>
                    <w:t>314</w:t>
                  </w:r>
                  <w:r>
                    <w:rPr>
                      <w:rFonts w:hint="eastAsia" w:eastAsiaTheme="minorEastAsia"/>
                      <w:kern w:val="0"/>
                    </w:rPr>
                    <w:t>，实现互通互联</w:t>
                  </w:r>
                </w:p>
              </w:tc>
            </w:tr>
          </w:tbl>
          <w:p w14:paraId="1F2B7154">
            <w:pPr>
              <w:keepNext w:val="0"/>
              <w:keepLines w:val="0"/>
              <w:pageBreakBefore w:val="0"/>
              <w:widowControl w:val="0"/>
              <w:kinsoku/>
              <w:wordWrap/>
              <w:overflowPunct/>
              <w:topLinePunct w:val="0"/>
              <w:autoSpaceDE w:val="0"/>
              <w:autoSpaceDN w:val="0"/>
              <w:bidi w:val="0"/>
              <w:adjustRightInd w:val="0"/>
              <w:snapToGrid/>
              <w:spacing w:before="313" w:beforeLines="100" w:line="300" w:lineRule="auto"/>
              <w:ind w:firstLine="482" w:firstLineChars="200"/>
              <w:textAlignment w:val="auto"/>
              <w:rPr>
                <w:b/>
                <w:kern w:val="0"/>
                <w:sz w:val="24"/>
              </w:rPr>
            </w:pPr>
            <w:r>
              <w:rPr>
                <w:b/>
                <w:kern w:val="0"/>
                <w:sz w:val="24"/>
              </w:rPr>
              <w:t>(</w:t>
            </w:r>
            <w:r>
              <w:rPr>
                <w:rFonts w:hint="eastAsia"/>
                <w:b/>
                <w:kern w:val="0"/>
                <w:sz w:val="24"/>
                <w:lang w:val="en-US" w:eastAsia="zh-CN"/>
              </w:rPr>
              <w:t>8</w:t>
            </w:r>
            <w:r>
              <w:rPr>
                <w:b/>
                <w:kern w:val="0"/>
                <w:sz w:val="24"/>
              </w:rPr>
              <w:t>) 沿线服务设施</w:t>
            </w:r>
          </w:p>
          <w:p w14:paraId="60A7787C">
            <w:pPr>
              <w:spacing w:after="120" w:afterLines="50" w:line="300" w:lineRule="auto"/>
              <w:ind w:firstLine="480" w:firstLineChars="200"/>
              <w:rPr>
                <w:sz w:val="24"/>
              </w:rPr>
            </w:pPr>
            <w:r>
              <w:rPr>
                <w:rFonts w:hAnsi="宋体"/>
                <w:sz w:val="24"/>
              </w:rPr>
              <w:t>拟建公路</w:t>
            </w:r>
            <w:r>
              <w:rPr>
                <w:rFonts w:hint="eastAsia" w:hAnsi="宋体"/>
                <w:sz w:val="24"/>
                <w:lang w:val="en-US" w:eastAsia="zh-CN"/>
              </w:rPr>
              <w:t>另选址新建</w:t>
            </w:r>
            <w:r>
              <w:rPr>
                <w:rFonts w:hint="eastAsia" w:hAnsi="宋体"/>
                <w:sz w:val="24"/>
              </w:rPr>
              <w:t>收费站1处</w:t>
            </w:r>
            <w:r>
              <w:rPr>
                <w:rFonts w:hint="eastAsia" w:hAnsi="宋体"/>
                <w:sz w:val="24"/>
                <w:lang w:eastAsia="zh-CN"/>
              </w:rPr>
              <w:t>（</w:t>
            </w:r>
            <w:r>
              <w:rPr>
                <w:rFonts w:hint="eastAsia" w:hAnsi="宋体"/>
                <w:sz w:val="24"/>
                <w:lang w:val="en-US" w:eastAsia="zh-CN"/>
              </w:rPr>
              <w:t>既有公路收费站收费大棚拆除</w:t>
            </w:r>
            <w:r>
              <w:rPr>
                <w:rFonts w:hint="eastAsia" w:hAnsi="宋体"/>
                <w:sz w:val="24"/>
                <w:lang w:eastAsia="zh-CN"/>
              </w:rPr>
              <w:t>），</w:t>
            </w:r>
            <w:r>
              <w:rPr>
                <w:rFonts w:hint="eastAsia" w:hAnsi="宋体"/>
                <w:sz w:val="24"/>
                <w:lang w:val="en-US" w:eastAsia="zh-CN"/>
              </w:rPr>
              <w:t>并设置</w:t>
            </w:r>
            <w:r>
              <w:rPr>
                <w:rFonts w:hint="eastAsia" w:hAnsi="宋体"/>
                <w:sz w:val="24"/>
              </w:rPr>
              <w:t>养护</w:t>
            </w:r>
            <w:r>
              <w:rPr>
                <w:rFonts w:hAnsi="宋体"/>
                <w:sz w:val="24"/>
              </w:rPr>
              <w:t>工区</w:t>
            </w:r>
            <w:r>
              <w:rPr>
                <w:rFonts w:hint="eastAsia" w:hAnsi="宋体"/>
                <w:sz w:val="24"/>
              </w:rPr>
              <w:t>1</w:t>
            </w:r>
            <w:r>
              <w:rPr>
                <w:rFonts w:hAnsi="宋体"/>
                <w:sz w:val="24"/>
              </w:rPr>
              <w:t>处、</w:t>
            </w:r>
            <w:r>
              <w:rPr>
                <w:rFonts w:hint="eastAsia" w:hAnsi="宋体"/>
                <w:sz w:val="24"/>
                <w:lang w:val="en-US" w:eastAsia="zh-CN"/>
              </w:rPr>
              <w:t>监控</w:t>
            </w:r>
            <w:r>
              <w:rPr>
                <w:rFonts w:hint="eastAsia" w:hAnsi="宋体"/>
                <w:sz w:val="24"/>
              </w:rPr>
              <w:t>管理分中心1处，均在收费站同址建设</w:t>
            </w:r>
            <w:r>
              <w:rPr>
                <w:rFonts w:hAnsi="宋体"/>
                <w:sz w:val="24"/>
              </w:rPr>
              <w:t>。具体见表</w:t>
            </w:r>
            <w:r>
              <w:rPr>
                <w:sz w:val="24"/>
              </w:rPr>
              <w:t>2</w:t>
            </w:r>
            <w:r>
              <w:rPr>
                <w:rFonts w:hint="eastAsia"/>
                <w:sz w:val="24"/>
              </w:rPr>
              <w:t>-8</w:t>
            </w:r>
            <w:r>
              <w:rPr>
                <w:rFonts w:hAnsi="宋体"/>
                <w:sz w:val="24"/>
              </w:rPr>
              <w:t>。</w:t>
            </w:r>
          </w:p>
          <w:p w14:paraId="2EE6456E">
            <w:pPr>
              <w:pStyle w:val="68"/>
              <w:spacing w:before="120" w:beforeLines="50" w:line="240" w:lineRule="auto"/>
              <w:ind w:firstLine="422"/>
              <w:jc w:val="center"/>
              <w:rPr>
                <w:rFonts w:hint="eastAsia" w:hAnsi="宋体"/>
                <w:b/>
                <w:color w:val="auto"/>
                <w:sz w:val="21"/>
                <w:szCs w:val="21"/>
              </w:rPr>
            </w:pPr>
            <w:r>
              <w:rPr>
                <w:rFonts w:hAnsi="宋体"/>
                <w:b/>
                <w:color w:val="auto"/>
                <w:sz w:val="21"/>
                <w:szCs w:val="21"/>
              </w:rPr>
              <w:t>表</w:t>
            </w:r>
            <w:r>
              <w:rPr>
                <w:b/>
                <w:color w:val="auto"/>
                <w:sz w:val="21"/>
                <w:szCs w:val="21"/>
              </w:rPr>
              <w:t>2</w:t>
            </w:r>
            <w:r>
              <w:rPr>
                <w:rFonts w:hint="eastAsia"/>
                <w:b/>
                <w:color w:val="auto"/>
                <w:sz w:val="21"/>
                <w:szCs w:val="21"/>
              </w:rPr>
              <w:t>-8</w:t>
            </w:r>
            <w:r>
              <w:rPr>
                <w:b/>
                <w:color w:val="auto"/>
                <w:sz w:val="21"/>
                <w:szCs w:val="21"/>
              </w:rPr>
              <w:t xml:space="preserve">  </w:t>
            </w:r>
            <w:r>
              <w:rPr>
                <w:rFonts w:hAnsi="宋体"/>
                <w:b/>
                <w:color w:val="auto"/>
                <w:sz w:val="21"/>
                <w:szCs w:val="21"/>
              </w:rPr>
              <w:t>拟建公路服务设施一览表</w:t>
            </w:r>
          </w:p>
          <w:tbl>
            <w:tblPr>
              <w:tblStyle w:val="22"/>
              <w:tblW w:w="5025"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48"/>
              <w:gridCol w:w="2823"/>
              <w:gridCol w:w="1573"/>
              <w:gridCol w:w="1136"/>
              <w:gridCol w:w="1252"/>
            </w:tblGrid>
            <w:tr w14:paraId="61AEA73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977" w:type="pct"/>
                  <w:vAlign w:val="center"/>
                </w:tcPr>
                <w:p w14:paraId="1E8A9402">
                  <w:pPr>
                    <w:jc w:val="center"/>
                    <w:rPr>
                      <w:b/>
                      <w:szCs w:val="21"/>
                    </w:rPr>
                  </w:pPr>
                  <w:r>
                    <w:rPr>
                      <w:rFonts w:hAnsi="宋体"/>
                      <w:b/>
                      <w:szCs w:val="21"/>
                    </w:rPr>
                    <w:t>中心桩号</w:t>
                  </w:r>
                </w:p>
              </w:tc>
              <w:tc>
                <w:tcPr>
                  <w:tcW w:w="1673" w:type="pct"/>
                  <w:tcBorders>
                    <w:right w:val="single" w:color="auto" w:sz="4" w:space="0"/>
                  </w:tcBorders>
                  <w:vAlign w:val="center"/>
                </w:tcPr>
                <w:p w14:paraId="455CD955">
                  <w:pPr>
                    <w:jc w:val="center"/>
                    <w:rPr>
                      <w:b/>
                      <w:szCs w:val="21"/>
                    </w:rPr>
                  </w:pPr>
                  <w:r>
                    <w:rPr>
                      <w:rFonts w:hAnsi="宋体"/>
                      <w:b/>
                      <w:szCs w:val="21"/>
                    </w:rPr>
                    <w:t>服务设施</w:t>
                  </w:r>
                </w:p>
              </w:tc>
              <w:tc>
                <w:tcPr>
                  <w:tcW w:w="932" w:type="pct"/>
                  <w:tcBorders>
                    <w:left w:val="single" w:color="auto" w:sz="4" w:space="0"/>
                  </w:tcBorders>
                  <w:vAlign w:val="center"/>
                </w:tcPr>
                <w:p w14:paraId="160A6C18">
                  <w:pPr>
                    <w:jc w:val="center"/>
                    <w:rPr>
                      <w:b/>
                      <w:szCs w:val="21"/>
                    </w:rPr>
                  </w:pPr>
                  <w:r>
                    <w:rPr>
                      <w:b/>
                      <w:szCs w:val="21"/>
                    </w:rPr>
                    <w:t>占地面积</w:t>
                  </w:r>
                  <w:r>
                    <w:rPr>
                      <w:rFonts w:hint="eastAsia"/>
                      <w:b/>
                      <w:szCs w:val="21"/>
                    </w:rPr>
                    <w:t>(hm</w:t>
                  </w:r>
                  <w:r>
                    <w:rPr>
                      <w:rFonts w:hint="eastAsia"/>
                      <w:b/>
                      <w:szCs w:val="21"/>
                      <w:vertAlign w:val="superscript"/>
                    </w:rPr>
                    <w:t>2</w:t>
                  </w:r>
                  <w:r>
                    <w:rPr>
                      <w:rFonts w:hint="eastAsia"/>
                      <w:b/>
                      <w:szCs w:val="21"/>
                    </w:rPr>
                    <w:t>)</w:t>
                  </w:r>
                </w:p>
              </w:tc>
              <w:tc>
                <w:tcPr>
                  <w:tcW w:w="673" w:type="pct"/>
                  <w:tcBorders>
                    <w:right w:val="single" w:color="auto" w:sz="4" w:space="0"/>
                  </w:tcBorders>
                  <w:vAlign w:val="center"/>
                </w:tcPr>
                <w:p w14:paraId="28E1A2DF">
                  <w:pPr>
                    <w:jc w:val="center"/>
                    <w:rPr>
                      <w:b/>
                      <w:szCs w:val="21"/>
                    </w:rPr>
                  </w:pPr>
                  <w:r>
                    <w:rPr>
                      <w:rFonts w:hint="eastAsia"/>
                      <w:b/>
                      <w:szCs w:val="21"/>
                    </w:rPr>
                    <w:t>定员</w:t>
                  </w:r>
                  <w:r>
                    <w:rPr>
                      <w:b/>
                      <w:szCs w:val="21"/>
                    </w:rPr>
                    <w:t>（人）</w:t>
                  </w:r>
                </w:p>
              </w:tc>
              <w:tc>
                <w:tcPr>
                  <w:tcW w:w="742" w:type="pct"/>
                  <w:tcBorders>
                    <w:left w:val="single" w:color="auto" w:sz="4" w:space="0"/>
                  </w:tcBorders>
                  <w:vAlign w:val="center"/>
                </w:tcPr>
                <w:p w14:paraId="733209CB">
                  <w:pPr>
                    <w:jc w:val="center"/>
                    <w:rPr>
                      <w:b/>
                      <w:szCs w:val="21"/>
                    </w:rPr>
                  </w:pPr>
                  <w:r>
                    <w:rPr>
                      <w:rFonts w:hAnsi="宋体"/>
                      <w:b/>
                      <w:szCs w:val="21"/>
                    </w:rPr>
                    <w:t>备注</w:t>
                  </w:r>
                </w:p>
              </w:tc>
            </w:tr>
            <w:tr w14:paraId="077E9E7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977" w:type="pct"/>
                  <w:vAlign w:val="center"/>
                </w:tcPr>
                <w:p w14:paraId="452EFCC0">
                  <w:pPr>
                    <w:jc w:val="center"/>
                    <w:rPr>
                      <w:szCs w:val="21"/>
                    </w:rPr>
                  </w:pPr>
                  <w:r>
                    <w:rPr>
                      <w:szCs w:val="21"/>
                    </w:rPr>
                    <w:t>K</w:t>
                  </w:r>
                  <w:r>
                    <w:rPr>
                      <w:rFonts w:hint="eastAsia"/>
                      <w:szCs w:val="21"/>
                    </w:rPr>
                    <w:t>18</w:t>
                  </w:r>
                  <w:r>
                    <w:rPr>
                      <w:szCs w:val="21"/>
                    </w:rPr>
                    <w:t>+</w:t>
                  </w:r>
                  <w:r>
                    <w:rPr>
                      <w:rFonts w:hint="eastAsia"/>
                      <w:szCs w:val="21"/>
                    </w:rPr>
                    <w:t>1</w:t>
                  </w:r>
                  <w:r>
                    <w:rPr>
                      <w:rFonts w:hint="eastAsia"/>
                      <w:szCs w:val="21"/>
                      <w:lang w:val="en-US" w:eastAsia="zh-CN"/>
                    </w:rPr>
                    <w:t>7</w:t>
                  </w:r>
                  <w:r>
                    <w:rPr>
                      <w:szCs w:val="21"/>
                    </w:rPr>
                    <w:t>0</w:t>
                  </w:r>
                </w:p>
              </w:tc>
              <w:tc>
                <w:tcPr>
                  <w:tcW w:w="1673" w:type="pct"/>
                  <w:tcBorders>
                    <w:right w:val="single" w:color="auto" w:sz="4" w:space="0"/>
                  </w:tcBorders>
                  <w:vAlign w:val="center"/>
                </w:tcPr>
                <w:p w14:paraId="36A337E1">
                  <w:pPr>
                    <w:jc w:val="center"/>
                    <w:rPr>
                      <w:rFonts w:hint="default" w:eastAsia="宋体"/>
                      <w:szCs w:val="21"/>
                      <w:lang w:val="en-US" w:eastAsia="zh-CN"/>
                    </w:rPr>
                  </w:pPr>
                  <w:r>
                    <w:rPr>
                      <w:rFonts w:hint="eastAsia"/>
                      <w:szCs w:val="21"/>
                    </w:rPr>
                    <w:t>收费站、养护工区、</w:t>
                  </w:r>
                  <w:r>
                    <w:rPr>
                      <w:rFonts w:hint="eastAsia"/>
                      <w:szCs w:val="21"/>
                      <w:lang w:val="en-US" w:eastAsia="zh-CN"/>
                    </w:rPr>
                    <w:t>监控</w:t>
                  </w:r>
                  <w:r>
                    <w:rPr>
                      <w:rFonts w:hint="eastAsia"/>
                      <w:szCs w:val="21"/>
                    </w:rPr>
                    <w:t>管理分中心</w:t>
                  </w:r>
                  <w:r>
                    <w:rPr>
                      <w:rFonts w:hint="eastAsia"/>
                      <w:szCs w:val="21"/>
                      <w:lang w:eastAsia="zh-CN"/>
                    </w:rPr>
                    <w:t>、</w:t>
                  </w:r>
                  <w:r>
                    <w:rPr>
                      <w:rFonts w:hint="eastAsia"/>
                      <w:szCs w:val="21"/>
                      <w:lang w:val="en-US" w:eastAsia="zh-CN"/>
                    </w:rPr>
                    <w:t>路政执法用房</w:t>
                  </w:r>
                </w:p>
              </w:tc>
              <w:tc>
                <w:tcPr>
                  <w:tcW w:w="932" w:type="pct"/>
                  <w:tcBorders>
                    <w:left w:val="single" w:color="auto" w:sz="4" w:space="0"/>
                  </w:tcBorders>
                  <w:vAlign w:val="center"/>
                </w:tcPr>
                <w:p w14:paraId="2EA37C52">
                  <w:pPr>
                    <w:jc w:val="center"/>
                    <w:rPr>
                      <w:rFonts w:hint="default" w:eastAsia="宋体"/>
                      <w:szCs w:val="21"/>
                      <w:lang w:val="en-US" w:eastAsia="zh-CN"/>
                    </w:rPr>
                  </w:pPr>
                  <w:r>
                    <w:rPr>
                      <w:rFonts w:hint="eastAsia"/>
                      <w:szCs w:val="21"/>
                      <w:lang w:val="en-US" w:eastAsia="zh-CN"/>
                    </w:rPr>
                    <w:t>4.67</w:t>
                  </w:r>
                </w:p>
              </w:tc>
              <w:tc>
                <w:tcPr>
                  <w:tcW w:w="673" w:type="pct"/>
                  <w:tcBorders>
                    <w:right w:val="single" w:color="auto" w:sz="4" w:space="0"/>
                  </w:tcBorders>
                  <w:vAlign w:val="center"/>
                </w:tcPr>
                <w:p w14:paraId="50E51780">
                  <w:pPr>
                    <w:jc w:val="center"/>
                    <w:rPr>
                      <w:szCs w:val="21"/>
                    </w:rPr>
                  </w:pPr>
                  <w:r>
                    <w:rPr>
                      <w:rFonts w:hint="eastAsia"/>
                      <w:szCs w:val="21"/>
                      <w:lang w:val="en-US" w:eastAsia="zh-CN"/>
                    </w:rPr>
                    <w:t>8</w:t>
                  </w:r>
                  <w:r>
                    <w:rPr>
                      <w:rFonts w:hint="eastAsia"/>
                      <w:szCs w:val="21"/>
                    </w:rPr>
                    <w:t>0</w:t>
                  </w:r>
                </w:p>
              </w:tc>
              <w:tc>
                <w:tcPr>
                  <w:tcW w:w="742" w:type="pct"/>
                  <w:tcBorders>
                    <w:left w:val="single" w:color="auto" w:sz="4" w:space="0"/>
                  </w:tcBorders>
                  <w:vAlign w:val="center"/>
                </w:tcPr>
                <w:p w14:paraId="7FC36ECD">
                  <w:pPr>
                    <w:jc w:val="center"/>
                    <w:rPr>
                      <w:szCs w:val="21"/>
                    </w:rPr>
                  </w:pPr>
                  <w:r>
                    <w:rPr>
                      <w:rFonts w:hAnsi="宋体"/>
                      <w:szCs w:val="21"/>
                    </w:rPr>
                    <w:t>新建</w:t>
                  </w:r>
                </w:p>
              </w:tc>
            </w:tr>
          </w:tbl>
          <w:p w14:paraId="04CED9A0">
            <w:pPr>
              <w:keepNext w:val="0"/>
              <w:keepLines w:val="0"/>
              <w:pageBreakBefore w:val="0"/>
              <w:widowControl w:val="0"/>
              <w:kinsoku/>
              <w:wordWrap/>
              <w:overflowPunct/>
              <w:topLinePunct w:val="0"/>
              <w:autoSpaceDE w:val="0"/>
              <w:autoSpaceDN w:val="0"/>
              <w:bidi w:val="0"/>
              <w:adjustRightInd w:val="0"/>
              <w:snapToGrid/>
              <w:spacing w:before="313" w:beforeLines="100" w:line="300" w:lineRule="auto"/>
              <w:ind w:firstLine="482" w:firstLineChars="200"/>
              <w:textAlignment w:val="auto"/>
              <w:rPr>
                <w:b/>
                <w:color w:val="auto"/>
                <w:kern w:val="0"/>
                <w:sz w:val="24"/>
              </w:rPr>
            </w:pPr>
            <w:r>
              <w:rPr>
                <w:b/>
                <w:color w:val="auto"/>
                <w:kern w:val="0"/>
                <w:sz w:val="24"/>
              </w:rPr>
              <w:t>(</w:t>
            </w:r>
            <w:r>
              <w:rPr>
                <w:rFonts w:hint="eastAsia"/>
                <w:b/>
                <w:color w:val="auto"/>
                <w:kern w:val="0"/>
                <w:sz w:val="24"/>
                <w:lang w:val="en-US" w:eastAsia="zh-CN"/>
              </w:rPr>
              <w:t>9</w:t>
            </w:r>
            <w:r>
              <w:rPr>
                <w:b/>
                <w:color w:val="auto"/>
                <w:kern w:val="0"/>
                <w:sz w:val="24"/>
              </w:rPr>
              <w:t>) 工程占地</w:t>
            </w:r>
          </w:p>
          <w:p w14:paraId="108E9EC1">
            <w:pPr>
              <w:keepNext w:val="0"/>
              <w:keepLines w:val="0"/>
              <w:pageBreakBefore w:val="0"/>
              <w:widowControl w:val="0"/>
              <w:kinsoku/>
              <w:wordWrap/>
              <w:overflowPunct/>
              <w:topLinePunct w:val="0"/>
              <w:autoSpaceDE w:val="0"/>
              <w:autoSpaceDN w:val="0"/>
              <w:bidi w:val="0"/>
              <w:adjustRightInd w:val="0"/>
              <w:snapToGrid/>
              <w:spacing w:line="300" w:lineRule="auto"/>
              <w:ind w:firstLine="480" w:firstLineChars="200"/>
              <w:jc w:val="left"/>
              <w:textAlignment w:val="auto"/>
              <w:rPr>
                <w:rFonts w:hint="eastAsia" w:hAnsi="宋体"/>
                <w:b/>
                <w:color w:val="0070C0"/>
                <w:szCs w:val="21"/>
              </w:rPr>
            </w:pPr>
            <w:r>
              <w:rPr>
                <w:rFonts w:hAnsi="宋体"/>
                <w:color w:val="auto"/>
                <w:sz w:val="24"/>
              </w:rPr>
              <w:t>拟建公路共计占地</w:t>
            </w:r>
            <w:r>
              <w:rPr>
                <w:rFonts w:hint="eastAsia"/>
                <w:color w:val="auto"/>
                <w:sz w:val="24"/>
                <w:lang w:val="en-US" w:eastAsia="zh-CN"/>
              </w:rPr>
              <w:t>317.3</w:t>
            </w:r>
            <w:r>
              <w:rPr>
                <w:color w:val="auto"/>
                <w:spacing w:val="4"/>
                <w:sz w:val="24"/>
              </w:rPr>
              <w:t>hm</w:t>
            </w:r>
            <w:r>
              <w:rPr>
                <w:color w:val="auto"/>
                <w:spacing w:val="4"/>
                <w:sz w:val="24"/>
                <w:vertAlign w:val="superscript"/>
              </w:rPr>
              <w:t>2</w:t>
            </w:r>
            <w:r>
              <w:rPr>
                <w:rFonts w:hAnsi="宋体"/>
                <w:color w:val="auto"/>
                <w:spacing w:val="4"/>
                <w:sz w:val="24"/>
              </w:rPr>
              <w:t>，其中</w:t>
            </w:r>
            <w:r>
              <w:rPr>
                <w:rFonts w:hAnsi="宋体"/>
                <w:color w:val="auto"/>
                <w:sz w:val="24"/>
              </w:rPr>
              <w:t>永久占地</w:t>
            </w:r>
            <w:r>
              <w:rPr>
                <w:rFonts w:hint="eastAsia"/>
                <w:color w:val="auto"/>
                <w:sz w:val="24"/>
                <w:lang w:val="en-US" w:eastAsia="zh-CN"/>
              </w:rPr>
              <w:t>306.32</w:t>
            </w:r>
            <w:r>
              <w:rPr>
                <w:color w:val="auto"/>
                <w:sz w:val="24"/>
              </w:rPr>
              <w:t>hm</w:t>
            </w:r>
            <w:r>
              <w:rPr>
                <w:color w:val="auto"/>
                <w:sz w:val="24"/>
                <w:vertAlign w:val="superscript"/>
              </w:rPr>
              <w:t>2</w:t>
            </w:r>
            <w:r>
              <w:rPr>
                <w:rFonts w:hAnsi="宋体"/>
                <w:color w:val="auto"/>
                <w:sz w:val="24"/>
              </w:rPr>
              <w:t>，临时用</w:t>
            </w:r>
            <w:r>
              <w:rPr>
                <w:rFonts w:hAnsi="宋体"/>
                <w:color w:val="auto"/>
                <w:sz w:val="24"/>
                <w:highlight w:val="none"/>
              </w:rPr>
              <w:t>地</w:t>
            </w:r>
            <w:r>
              <w:rPr>
                <w:rFonts w:hint="eastAsia"/>
                <w:color w:val="auto"/>
                <w:sz w:val="24"/>
                <w:highlight w:val="none"/>
                <w:lang w:val="en-US" w:eastAsia="zh-CN"/>
              </w:rPr>
              <w:t>10.98</w:t>
            </w:r>
            <w:r>
              <w:rPr>
                <w:color w:val="auto"/>
                <w:sz w:val="24"/>
                <w:highlight w:val="none"/>
              </w:rPr>
              <w:t>hm</w:t>
            </w:r>
            <w:r>
              <w:rPr>
                <w:color w:val="auto"/>
                <w:sz w:val="24"/>
                <w:highlight w:val="none"/>
                <w:vertAlign w:val="superscript"/>
              </w:rPr>
              <w:t>2</w:t>
            </w:r>
            <w:r>
              <w:rPr>
                <w:rFonts w:hAnsi="宋体"/>
                <w:color w:val="auto"/>
                <w:sz w:val="24"/>
                <w:highlight w:val="none"/>
              </w:rPr>
              <w:t>，</w:t>
            </w:r>
            <w:r>
              <w:rPr>
                <w:rFonts w:hAnsi="宋体"/>
                <w:color w:val="auto"/>
                <w:spacing w:val="4"/>
                <w:sz w:val="24"/>
              </w:rPr>
              <w:t>具体占地类型及数量详见</w:t>
            </w:r>
            <w:r>
              <w:rPr>
                <w:rFonts w:hAnsi="宋体"/>
                <w:color w:val="auto"/>
                <w:sz w:val="24"/>
              </w:rPr>
              <w:t>表</w:t>
            </w:r>
            <w:r>
              <w:rPr>
                <w:color w:val="auto"/>
                <w:sz w:val="24"/>
              </w:rPr>
              <w:t>2</w:t>
            </w:r>
            <w:r>
              <w:rPr>
                <w:rFonts w:hint="eastAsia"/>
                <w:color w:val="auto"/>
                <w:sz w:val="24"/>
              </w:rPr>
              <w:t>-9</w:t>
            </w:r>
            <w:r>
              <w:rPr>
                <w:color w:val="auto"/>
                <w:sz w:val="24"/>
              </w:rPr>
              <w:t>~表</w:t>
            </w:r>
            <w:r>
              <w:rPr>
                <w:rFonts w:hint="eastAsia"/>
                <w:color w:val="auto"/>
                <w:sz w:val="24"/>
              </w:rPr>
              <w:t>2-10</w:t>
            </w:r>
            <w:r>
              <w:rPr>
                <w:color w:val="auto"/>
                <w:kern w:val="0"/>
                <w:sz w:val="24"/>
              </w:rPr>
              <w:t>。</w:t>
            </w:r>
            <w:r>
              <w:rPr>
                <w:rFonts w:hint="eastAsia" w:hAnsi="宋体"/>
                <w:b/>
                <w:color w:val="0070C0"/>
                <w:szCs w:val="21"/>
              </w:rPr>
              <w:t xml:space="preserve"> </w:t>
            </w:r>
          </w:p>
          <w:p w14:paraId="2AB3B1FA">
            <w:pPr>
              <w:autoSpaceDE w:val="0"/>
              <w:autoSpaceDN w:val="0"/>
              <w:adjustRightInd w:val="0"/>
              <w:spacing w:before="120" w:beforeLines="50"/>
              <w:jc w:val="center"/>
              <w:rPr>
                <w:b/>
                <w:color w:val="auto"/>
                <w:szCs w:val="21"/>
              </w:rPr>
            </w:pPr>
            <w:r>
              <w:rPr>
                <w:rFonts w:hint="eastAsia" w:hAnsi="宋体"/>
                <w:b/>
                <w:color w:val="auto"/>
                <w:szCs w:val="21"/>
                <w:lang w:val="en-US" w:eastAsia="zh-CN"/>
              </w:rPr>
              <w:t xml:space="preserve">                          </w:t>
            </w:r>
            <w:r>
              <w:rPr>
                <w:rFonts w:hAnsi="宋体"/>
                <w:b/>
                <w:color w:val="auto"/>
                <w:szCs w:val="21"/>
              </w:rPr>
              <w:t>表</w:t>
            </w:r>
            <w:r>
              <w:rPr>
                <w:b/>
                <w:color w:val="auto"/>
                <w:szCs w:val="21"/>
              </w:rPr>
              <w:t>2</w:t>
            </w:r>
            <w:r>
              <w:rPr>
                <w:rFonts w:hint="eastAsia"/>
                <w:b/>
                <w:color w:val="auto"/>
                <w:szCs w:val="21"/>
              </w:rPr>
              <w:t>-9</w:t>
            </w:r>
            <w:r>
              <w:rPr>
                <w:b/>
                <w:color w:val="auto"/>
                <w:szCs w:val="21"/>
              </w:rPr>
              <w:t xml:space="preserve">  </w:t>
            </w:r>
            <w:r>
              <w:rPr>
                <w:rFonts w:hAnsi="宋体"/>
                <w:b/>
                <w:bCs/>
                <w:color w:val="auto"/>
              </w:rPr>
              <w:t>拟建公路永久</w:t>
            </w:r>
            <w:r>
              <w:rPr>
                <w:rFonts w:hAnsi="宋体"/>
                <w:b/>
                <w:color w:val="auto"/>
                <w:szCs w:val="21"/>
              </w:rPr>
              <w:t>占地一览表</w:t>
            </w:r>
            <w:r>
              <w:rPr>
                <w:b/>
                <w:color w:val="auto"/>
                <w:szCs w:val="21"/>
              </w:rPr>
              <w:t xml:space="preserve">  </w:t>
            </w:r>
            <w:r>
              <w:rPr>
                <w:rFonts w:hint="eastAsia"/>
                <w:b/>
                <w:color w:val="auto"/>
                <w:szCs w:val="21"/>
              </w:rPr>
              <w:t xml:space="preserve">   </w:t>
            </w:r>
            <w:r>
              <w:rPr>
                <w:rFonts w:hint="eastAsia"/>
                <w:b/>
                <w:color w:val="auto"/>
                <w:szCs w:val="21"/>
                <w:lang w:val="en-US" w:eastAsia="zh-CN"/>
              </w:rPr>
              <w:t xml:space="preserve">  </w:t>
            </w:r>
            <w:r>
              <w:rPr>
                <w:rFonts w:hint="eastAsia"/>
                <w:b/>
                <w:color w:val="auto"/>
                <w:szCs w:val="21"/>
              </w:rPr>
              <w:t xml:space="preserve">         </w:t>
            </w:r>
            <w:r>
              <w:rPr>
                <w:rFonts w:hAnsi="宋体"/>
                <w:b/>
                <w:color w:val="auto"/>
                <w:szCs w:val="21"/>
              </w:rPr>
              <w:t>单位：</w:t>
            </w:r>
            <w:r>
              <w:rPr>
                <w:b/>
                <w:color w:val="auto"/>
                <w:szCs w:val="21"/>
              </w:rPr>
              <w:t>hm</w:t>
            </w:r>
            <w:r>
              <w:rPr>
                <w:b/>
                <w:color w:val="auto"/>
                <w:szCs w:val="21"/>
                <w:vertAlign w:val="superscript"/>
              </w:rPr>
              <w:t>2</w:t>
            </w:r>
          </w:p>
          <w:tbl>
            <w:tblPr>
              <w:tblStyle w:val="22"/>
              <w:tblW w:w="8426"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03"/>
              <w:gridCol w:w="803"/>
              <w:gridCol w:w="803"/>
              <w:gridCol w:w="803"/>
              <w:gridCol w:w="803"/>
              <w:gridCol w:w="859"/>
              <w:gridCol w:w="868"/>
              <w:gridCol w:w="926"/>
              <w:gridCol w:w="926"/>
              <w:gridCol w:w="832"/>
            </w:tblGrid>
            <w:tr w14:paraId="50ED842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476" w:type="pct"/>
                  <w:noWrap/>
                  <w:vAlign w:val="center"/>
                </w:tcPr>
                <w:p w14:paraId="5B416905">
                  <w:pPr>
                    <w:widowControl/>
                    <w:spacing w:line="250" w:lineRule="exact"/>
                    <w:jc w:val="center"/>
                    <w:rPr>
                      <w:rFonts w:hint="default" w:ascii="Times New Roman" w:hAnsi="Times New Roman" w:cs="Times New Roman"/>
                      <w:b/>
                      <w:color w:val="auto"/>
                      <w:kern w:val="0"/>
                      <w:szCs w:val="21"/>
                    </w:rPr>
                  </w:pPr>
                  <w:r>
                    <w:rPr>
                      <w:rFonts w:hint="default" w:ascii="Times New Roman" w:hAnsi="Times New Roman" w:cs="Times New Roman"/>
                      <w:b/>
                      <w:color w:val="auto"/>
                      <w:kern w:val="0"/>
                      <w:szCs w:val="21"/>
                    </w:rPr>
                    <w:t>耕地</w:t>
                  </w:r>
                </w:p>
              </w:tc>
              <w:tc>
                <w:tcPr>
                  <w:tcW w:w="476" w:type="pct"/>
                  <w:tcBorders>
                    <w:right w:val="single" w:color="auto" w:sz="4" w:space="0"/>
                  </w:tcBorders>
                  <w:noWrap/>
                  <w:vAlign w:val="center"/>
                </w:tcPr>
                <w:p w14:paraId="41F7AE31">
                  <w:pPr>
                    <w:widowControl/>
                    <w:spacing w:line="250" w:lineRule="exact"/>
                    <w:jc w:val="center"/>
                    <w:rPr>
                      <w:rFonts w:hint="default" w:ascii="Times New Roman" w:hAnsi="Times New Roman" w:cs="Times New Roman"/>
                      <w:b/>
                      <w:color w:val="auto"/>
                      <w:kern w:val="0"/>
                      <w:szCs w:val="21"/>
                    </w:rPr>
                  </w:pPr>
                  <w:r>
                    <w:rPr>
                      <w:rFonts w:hint="default" w:ascii="Times New Roman" w:hAnsi="Times New Roman" w:cs="Times New Roman"/>
                      <w:b/>
                      <w:color w:val="auto"/>
                      <w:kern w:val="0"/>
                      <w:szCs w:val="21"/>
                    </w:rPr>
                    <w:t>林地</w:t>
                  </w:r>
                </w:p>
              </w:tc>
              <w:tc>
                <w:tcPr>
                  <w:tcW w:w="476" w:type="pct"/>
                  <w:tcBorders>
                    <w:right w:val="single" w:color="auto" w:sz="4" w:space="0"/>
                  </w:tcBorders>
                  <w:vAlign w:val="center"/>
                </w:tcPr>
                <w:p w14:paraId="35B054D8">
                  <w:pPr>
                    <w:widowControl/>
                    <w:spacing w:line="250" w:lineRule="exact"/>
                    <w:jc w:val="center"/>
                    <w:rPr>
                      <w:rFonts w:hint="default" w:ascii="Times New Roman" w:hAnsi="Times New Roman" w:cs="Times New Roman"/>
                      <w:b/>
                      <w:color w:val="auto"/>
                      <w:kern w:val="0"/>
                      <w:szCs w:val="21"/>
                    </w:rPr>
                  </w:pPr>
                  <w:r>
                    <w:rPr>
                      <w:rFonts w:hint="default" w:ascii="Times New Roman" w:hAnsi="Times New Roman" w:cs="Times New Roman"/>
                      <w:b/>
                      <w:color w:val="auto"/>
                      <w:kern w:val="0"/>
                      <w:szCs w:val="21"/>
                    </w:rPr>
                    <w:t>草地</w:t>
                  </w:r>
                </w:p>
              </w:tc>
              <w:tc>
                <w:tcPr>
                  <w:tcW w:w="476" w:type="pct"/>
                  <w:tcBorders>
                    <w:right w:val="single" w:color="auto" w:sz="4" w:space="0"/>
                  </w:tcBorders>
                  <w:vAlign w:val="center"/>
                </w:tcPr>
                <w:p w14:paraId="3E6106C3">
                  <w:pPr>
                    <w:widowControl/>
                    <w:spacing w:line="250" w:lineRule="exact"/>
                    <w:jc w:val="center"/>
                    <w:rPr>
                      <w:rFonts w:hint="default" w:ascii="Times New Roman" w:hAnsi="Times New Roman" w:eastAsia="宋体" w:cs="Times New Roman"/>
                      <w:b/>
                      <w:color w:val="auto"/>
                      <w:kern w:val="0"/>
                      <w:szCs w:val="21"/>
                      <w:lang w:val="en-US" w:eastAsia="zh-CN"/>
                    </w:rPr>
                  </w:pPr>
                  <w:r>
                    <w:rPr>
                      <w:rFonts w:hint="eastAsia" w:cs="Times New Roman"/>
                      <w:b/>
                      <w:color w:val="auto"/>
                      <w:kern w:val="0"/>
                      <w:szCs w:val="21"/>
                      <w:lang w:val="en-US" w:eastAsia="zh-CN"/>
                    </w:rPr>
                    <w:t>园地</w:t>
                  </w:r>
                </w:p>
              </w:tc>
              <w:tc>
                <w:tcPr>
                  <w:tcW w:w="476" w:type="pct"/>
                  <w:tcBorders>
                    <w:left w:val="single" w:color="auto" w:sz="4" w:space="0"/>
                    <w:right w:val="single" w:color="auto" w:sz="4" w:space="0"/>
                  </w:tcBorders>
                  <w:vAlign w:val="center"/>
                </w:tcPr>
                <w:p w14:paraId="41422C02">
                  <w:pPr>
                    <w:widowControl/>
                    <w:spacing w:line="250" w:lineRule="exact"/>
                    <w:jc w:val="center"/>
                    <w:rPr>
                      <w:rFonts w:hint="default" w:cs="Times New Roman"/>
                      <w:b/>
                      <w:color w:val="auto"/>
                      <w:kern w:val="0"/>
                      <w:szCs w:val="21"/>
                      <w:lang w:val="en-US" w:eastAsia="zh-CN"/>
                    </w:rPr>
                  </w:pPr>
                  <w:r>
                    <w:rPr>
                      <w:rFonts w:hint="eastAsia" w:cs="Times New Roman"/>
                      <w:b/>
                      <w:color w:val="auto"/>
                      <w:kern w:val="0"/>
                      <w:szCs w:val="21"/>
                      <w:lang w:val="en-US" w:eastAsia="zh-CN"/>
                    </w:rPr>
                    <w:t>荒地</w:t>
                  </w:r>
                </w:p>
              </w:tc>
              <w:tc>
                <w:tcPr>
                  <w:tcW w:w="509" w:type="pct"/>
                  <w:tcBorders>
                    <w:left w:val="single" w:color="auto" w:sz="4" w:space="0"/>
                  </w:tcBorders>
                  <w:vAlign w:val="center"/>
                </w:tcPr>
                <w:p w14:paraId="5B85C7EF">
                  <w:pPr>
                    <w:widowControl/>
                    <w:spacing w:line="250" w:lineRule="exact"/>
                    <w:jc w:val="center"/>
                    <w:rPr>
                      <w:rFonts w:hint="eastAsia" w:ascii="Times New Roman" w:hAnsi="Times New Roman" w:eastAsia="宋体" w:cs="Times New Roman"/>
                      <w:b/>
                      <w:color w:val="auto"/>
                      <w:kern w:val="0"/>
                      <w:szCs w:val="21"/>
                      <w:lang w:eastAsia="zh-CN"/>
                    </w:rPr>
                  </w:pPr>
                  <w:r>
                    <w:rPr>
                      <w:rFonts w:hint="eastAsia" w:cs="Times New Roman"/>
                      <w:b/>
                      <w:color w:val="auto"/>
                      <w:kern w:val="0"/>
                      <w:szCs w:val="21"/>
                      <w:lang w:val="en-US" w:eastAsia="zh-CN"/>
                    </w:rPr>
                    <w:t>宅基地</w:t>
                  </w:r>
                </w:p>
              </w:tc>
              <w:tc>
                <w:tcPr>
                  <w:tcW w:w="515" w:type="pct"/>
                  <w:tcBorders>
                    <w:right w:val="single" w:color="auto" w:sz="4" w:space="0"/>
                  </w:tcBorders>
                  <w:noWrap/>
                  <w:vAlign w:val="center"/>
                </w:tcPr>
                <w:p w14:paraId="5C61D8B8">
                  <w:pPr>
                    <w:widowControl/>
                    <w:spacing w:line="250" w:lineRule="exact"/>
                    <w:jc w:val="center"/>
                    <w:rPr>
                      <w:rFonts w:hint="default" w:ascii="Times New Roman" w:hAnsi="Times New Roman" w:eastAsia="宋体" w:cs="Times New Roman"/>
                      <w:b/>
                      <w:color w:val="auto"/>
                      <w:kern w:val="0"/>
                      <w:szCs w:val="21"/>
                      <w:lang w:val="en-US" w:eastAsia="zh-CN"/>
                    </w:rPr>
                  </w:pPr>
                  <w:r>
                    <w:rPr>
                      <w:rFonts w:hint="eastAsia" w:cs="Times New Roman"/>
                      <w:b/>
                      <w:color w:val="auto"/>
                      <w:kern w:val="0"/>
                      <w:szCs w:val="21"/>
                      <w:lang w:val="en-US" w:eastAsia="zh-CN"/>
                    </w:rPr>
                    <w:t>地方路</w:t>
                  </w:r>
                </w:p>
              </w:tc>
              <w:tc>
                <w:tcPr>
                  <w:tcW w:w="549" w:type="pct"/>
                  <w:tcBorders>
                    <w:left w:val="single" w:color="auto" w:sz="4" w:space="0"/>
                    <w:right w:val="single" w:color="auto" w:sz="4" w:space="0"/>
                  </w:tcBorders>
                  <w:noWrap/>
                  <w:vAlign w:val="center"/>
                </w:tcPr>
                <w:p w14:paraId="08840435">
                  <w:pPr>
                    <w:widowControl/>
                    <w:spacing w:line="250" w:lineRule="exact"/>
                    <w:jc w:val="center"/>
                    <w:rPr>
                      <w:rFonts w:hint="default" w:ascii="Times New Roman" w:hAnsi="Times New Roman" w:cs="Times New Roman"/>
                      <w:b/>
                      <w:color w:val="auto"/>
                      <w:kern w:val="0"/>
                      <w:szCs w:val="21"/>
                      <w:lang w:val="en-US" w:eastAsia="zh-CN"/>
                    </w:rPr>
                  </w:pPr>
                  <w:r>
                    <w:rPr>
                      <w:rFonts w:hint="default" w:ascii="Times New Roman" w:hAnsi="Times New Roman" w:cs="Times New Roman"/>
                      <w:b/>
                      <w:color w:val="auto"/>
                      <w:kern w:val="0"/>
                      <w:szCs w:val="21"/>
                      <w:lang w:val="en-US" w:eastAsia="zh-CN"/>
                    </w:rPr>
                    <w:t>河流</w:t>
                  </w:r>
                </w:p>
                <w:p w14:paraId="17432036">
                  <w:pPr>
                    <w:widowControl/>
                    <w:spacing w:line="250" w:lineRule="exact"/>
                    <w:jc w:val="center"/>
                    <w:rPr>
                      <w:rFonts w:hint="eastAsia" w:cs="Times New Roman"/>
                      <w:b/>
                      <w:color w:val="auto"/>
                      <w:kern w:val="0"/>
                      <w:szCs w:val="21"/>
                      <w:lang w:val="en-US" w:eastAsia="zh-CN"/>
                    </w:rPr>
                  </w:pPr>
                  <w:r>
                    <w:rPr>
                      <w:rFonts w:hint="default" w:ascii="Times New Roman" w:hAnsi="Times New Roman" w:cs="Times New Roman"/>
                      <w:b/>
                      <w:color w:val="auto"/>
                      <w:kern w:val="0"/>
                      <w:szCs w:val="21"/>
                      <w:lang w:val="en-US" w:eastAsia="zh-CN"/>
                    </w:rPr>
                    <w:t>水面</w:t>
                  </w:r>
                </w:p>
              </w:tc>
              <w:tc>
                <w:tcPr>
                  <w:tcW w:w="549" w:type="pct"/>
                  <w:tcBorders>
                    <w:left w:val="single" w:color="auto" w:sz="4" w:space="0"/>
                  </w:tcBorders>
                  <w:vAlign w:val="center"/>
                </w:tcPr>
                <w:p w14:paraId="28085918">
                  <w:pPr>
                    <w:widowControl/>
                    <w:spacing w:line="250" w:lineRule="exact"/>
                    <w:jc w:val="center"/>
                    <w:rPr>
                      <w:rFonts w:hint="eastAsia" w:cs="Times New Roman"/>
                      <w:b/>
                      <w:color w:val="auto"/>
                      <w:kern w:val="0"/>
                      <w:szCs w:val="21"/>
                      <w:lang w:val="en-US" w:eastAsia="zh-CN"/>
                    </w:rPr>
                  </w:pPr>
                  <w:r>
                    <w:rPr>
                      <w:rFonts w:hint="eastAsia" w:cs="Times New Roman"/>
                      <w:b/>
                      <w:color w:val="auto"/>
                      <w:kern w:val="0"/>
                      <w:szCs w:val="21"/>
                      <w:lang w:val="en-US" w:eastAsia="zh-CN"/>
                    </w:rPr>
                    <w:t>原有</w:t>
                  </w:r>
                </w:p>
                <w:p w14:paraId="6F4E4425">
                  <w:pPr>
                    <w:widowControl/>
                    <w:spacing w:line="250" w:lineRule="exact"/>
                    <w:jc w:val="center"/>
                    <w:rPr>
                      <w:rFonts w:hint="default" w:ascii="Times New Roman" w:hAnsi="Times New Roman" w:eastAsia="宋体" w:cs="Times New Roman"/>
                      <w:b/>
                      <w:color w:val="auto"/>
                      <w:kern w:val="0"/>
                      <w:szCs w:val="21"/>
                      <w:lang w:val="en-US" w:eastAsia="zh-CN"/>
                    </w:rPr>
                  </w:pPr>
                  <w:r>
                    <w:rPr>
                      <w:rFonts w:hint="eastAsia" w:cs="Times New Roman"/>
                      <w:b/>
                      <w:color w:val="auto"/>
                      <w:kern w:val="0"/>
                      <w:szCs w:val="21"/>
                      <w:lang w:val="en-US" w:eastAsia="zh-CN"/>
                    </w:rPr>
                    <w:t>公路</w:t>
                  </w:r>
                </w:p>
              </w:tc>
              <w:tc>
                <w:tcPr>
                  <w:tcW w:w="493" w:type="pct"/>
                  <w:noWrap/>
                  <w:vAlign w:val="center"/>
                </w:tcPr>
                <w:p w14:paraId="12CF6D53">
                  <w:pPr>
                    <w:widowControl/>
                    <w:spacing w:line="250" w:lineRule="exact"/>
                    <w:jc w:val="center"/>
                    <w:rPr>
                      <w:rFonts w:hint="default" w:ascii="Times New Roman" w:hAnsi="Times New Roman" w:cs="Times New Roman"/>
                      <w:b/>
                      <w:color w:val="auto"/>
                      <w:kern w:val="0"/>
                      <w:szCs w:val="21"/>
                    </w:rPr>
                  </w:pPr>
                  <w:r>
                    <w:rPr>
                      <w:rFonts w:hint="default" w:ascii="Times New Roman" w:hAnsi="Times New Roman" w:cs="Times New Roman"/>
                      <w:b/>
                      <w:color w:val="auto"/>
                      <w:kern w:val="0"/>
                      <w:szCs w:val="21"/>
                    </w:rPr>
                    <w:t>小计</w:t>
                  </w:r>
                </w:p>
              </w:tc>
            </w:tr>
            <w:tr w14:paraId="4949483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476" w:type="pct"/>
                  <w:noWrap/>
                  <w:vAlign w:val="center"/>
                </w:tcPr>
                <w:p w14:paraId="4FFEDE9E">
                  <w:pPr>
                    <w:spacing w:line="250" w:lineRule="exact"/>
                    <w:jc w:val="center"/>
                    <w:rPr>
                      <w:rFonts w:hint="default" w:ascii="Times New Roman" w:hAnsi="Times New Roman" w:eastAsia="宋体" w:cs="Times New Roman"/>
                      <w:color w:val="auto"/>
                      <w:szCs w:val="21"/>
                      <w:lang w:val="en-US" w:eastAsia="zh-CN"/>
                    </w:rPr>
                  </w:pPr>
                  <w:r>
                    <w:rPr>
                      <w:rFonts w:hint="eastAsia" w:cs="Times New Roman"/>
                      <w:color w:val="auto"/>
                      <w:szCs w:val="21"/>
                      <w:lang w:val="en-US" w:eastAsia="zh-CN"/>
                    </w:rPr>
                    <w:t>34.12</w:t>
                  </w:r>
                </w:p>
              </w:tc>
              <w:tc>
                <w:tcPr>
                  <w:tcW w:w="476" w:type="pct"/>
                  <w:tcBorders>
                    <w:right w:val="single" w:color="auto" w:sz="4" w:space="0"/>
                  </w:tcBorders>
                  <w:noWrap/>
                  <w:vAlign w:val="center"/>
                </w:tcPr>
                <w:p w14:paraId="3FC567D4">
                  <w:pPr>
                    <w:spacing w:line="250" w:lineRule="exact"/>
                    <w:jc w:val="center"/>
                    <w:rPr>
                      <w:rFonts w:hint="default" w:ascii="Times New Roman" w:hAnsi="Times New Roman" w:eastAsia="宋体" w:cs="Times New Roman"/>
                      <w:color w:val="auto"/>
                      <w:szCs w:val="21"/>
                      <w:lang w:val="en-US" w:eastAsia="zh-CN"/>
                    </w:rPr>
                  </w:pPr>
                  <w:r>
                    <w:rPr>
                      <w:rFonts w:hint="eastAsia" w:cs="Times New Roman"/>
                      <w:color w:val="auto"/>
                      <w:szCs w:val="21"/>
                      <w:lang w:val="en-US" w:eastAsia="zh-CN"/>
                    </w:rPr>
                    <w:t>78.08</w:t>
                  </w:r>
                </w:p>
              </w:tc>
              <w:tc>
                <w:tcPr>
                  <w:tcW w:w="476" w:type="pct"/>
                  <w:tcBorders>
                    <w:right w:val="single" w:color="auto" w:sz="4" w:space="0"/>
                  </w:tcBorders>
                  <w:vAlign w:val="center"/>
                </w:tcPr>
                <w:p w14:paraId="5E2143F0">
                  <w:pPr>
                    <w:spacing w:line="250" w:lineRule="exact"/>
                    <w:jc w:val="center"/>
                    <w:rPr>
                      <w:rFonts w:hint="default" w:ascii="Times New Roman" w:hAnsi="Times New Roman" w:eastAsia="宋体" w:cs="Times New Roman"/>
                      <w:color w:val="auto"/>
                      <w:szCs w:val="21"/>
                      <w:lang w:val="en-US" w:eastAsia="zh-CN"/>
                    </w:rPr>
                  </w:pPr>
                  <w:r>
                    <w:rPr>
                      <w:rFonts w:hint="eastAsia" w:cs="Times New Roman"/>
                      <w:color w:val="auto"/>
                      <w:szCs w:val="21"/>
                      <w:lang w:val="en-US" w:eastAsia="zh-CN"/>
                    </w:rPr>
                    <w:t>4.79</w:t>
                  </w:r>
                </w:p>
              </w:tc>
              <w:tc>
                <w:tcPr>
                  <w:tcW w:w="476" w:type="pct"/>
                  <w:tcBorders>
                    <w:right w:val="single" w:color="auto" w:sz="4" w:space="0"/>
                  </w:tcBorders>
                  <w:vAlign w:val="center"/>
                </w:tcPr>
                <w:p w14:paraId="359A5831">
                  <w:pPr>
                    <w:spacing w:line="250" w:lineRule="exact"/>
                    <w:jc w:val="center"/>
                    <w:rPr>
                      <w:rFonts w:hint="default" w:ascii="Times New Roman" w:hAnsi="Times New Roman" w:eastAsia="宋体" w:cs="Times New Roman"/>
                      <w:color w:val="auto"/>
                      <w:szCs w:val="21"/>
                      <w:lang w:val="en-US" w:eastAsia="zh-CN"/>
                    </w:rPr>
                  </w:pPr>
                  <w:r>
                    <w:rPr>
                      <w:rFonts w:hint="eastAsia" w:cs="Times New Roman"/>
                      <w:color w:val="auto"/>
                      <w:szCs w:val="21"/>
                      <w:lang w:val="en-US" w:eastAsia="zh-CN"/>
                    </w:rPr>
                    <w:t>7.85</w:t>
                  </w:r>
                </w:p>
              </w:tc>
              <w:tc>
                <w:tcPr>
                  <w:tcW w:w="476" w:type="pct"/>
                  <w:tcBorders>
                    <w:left w:val="single" w:color="auto" w:sz="4" w:space="0"/>
                    <w:right w:val="single" w:color="auto" w:sz="4" w:space="0"/>
                  </w:tcBorders>
                  <w:vAlign w:val="center"/>
                </w:tcPr>
                <w:p w14:paraId="63093E0F">
                  <w:pPr>
                    <w:spacing w:line="250" w:lineRule="exact"/>
                    <w:jc w:val="center"/>
                    <w:rPr>
                      <w:rFonts w:hint="default" w:cs="Times New Roman"/>
                      <w:color w:val="auto"/>
                      <w:szCs w:val="21"/>
                      <w:lang w:val="en-US" w:eastAsia="zh-CN"/>
                    </w:rPr>
                  </w:pPr>
                  <w:r>
                    <w:rPr>
                      <w:rFonts w:hint="eastAsia" w:cs="Times New Roman"/>
                      <w:color w:val="auto"/>
                      <w:szCs w:val="21"/>
                      <w:lang w:val="en-US" w:eastAsia="zh-CN"/>
                    </w:rPr>
                    <w:t>15.68</w:t>
                  </w:r>
                </w:p>
              </w:tc>
              <w:tc>
                <w:tcPr>
                  <w:tcW w:w="509" w:type="pct"/>
                  <w:tcBorders>
                    <w:left w:val="single" w:color="auto" w:sz="4" w:space="0"/>
                  </w:tcBorders>
                  <w:vAlign w:val="center"/>
                </w:tcPr>
                <w:p w14:paraId="0A2F9030">
                  <w:pPr>
                    <w:spacing w:line="250" w:lineRule="exact"/>
                    <w:jc w:val="center"/>
                    <w:rPr>
                      <w:rFonts w:hint="default" w:ascii="Times New Roman" w:hAnsi="Times New Roman" w:eastAsia="宋体" w:cs="Times New Roman"/>
                      <w:color w:val="auto"/>
                      <w:szCs w:val="21"/>
                      <w:lang w:val="en-US" w:eastAsia="zh-CN"/>
                    </w:rPr>
                  </w:pPr>
                  <w:r>
                    <w:rPr>
                      <w:rFonts w:hint="eastAsia" w:cs="Times New Roman"/>
                      <w:color w:val="auto"/>
                      <w:szCs w:val="21"/>
                      <w:lang w:val="en-US" w:eastAsia="zh-CN"/>
                    </w:rPr>
                    <w:t>9.47</w:t>
                  </w:r>
                </w:p>
              </w:tc>
              <w:tc>
                <w:tcPr>
                  <w:tcW w:w="515" w:type="pct"/>
                  <w:tcBorders>
                    <w:right w:val="single" w:color="auto" w:sz="4" w:space="0"/>
                  </w:tcBorders>
                  <w:noWrap/>
                  <w:vAlign w:val="center"/>
                </w:tcPr>
                <w:p w14:paraId="42CD34BD">
                  <w:pPr>
                    <w:spacing w:line="250" w:lineRule="exact"/>
                    <w:jc w:val="center"/>
                    <w:rPr>
                      <w:rFonts w:hint="default" w:ascii="Times New Roman" w:hAnsi="Times New Roman" w:eastAsia="宋体" w:cs="Times New Roman"/>
                      <w:color w:val="auto"/>
                      <w:szCs w:val="21"/>
                      <w:lang w:val="en-US" w:eastAsia="zh-CN"/>
                    </w:rPr>
                  </w:pPr>
                  <w:r>
                    <w:rPr>
                      <w:rFonts w:hint="eastAsia" w:cs="Times New Roman"/>
                      <w:color w:val="auto"/>
                      <w:szCs w:val="21"/>
                      <w:lang w:val="en-US" w:eastAsia="zh-CN"/>
                    </w:rPr>
                    <w:t>12.8</w:t>
                  </w:r>
                </w:p>
              </w:tc>
              <w:tc>
                <w:tcPr>
                  <w:tcW w:w="549" w:type="pct"/>
                  <w:tcBorders>
                    <w:left w:val="single" w:color="auto" w:sz="4" w:space="0"/>
                    <w:right w:val="single" w:color="auto" w:sz="4" w:space="0"/>
                  </w:tcBorders>
                  <w:noWrap/>
                  <w:vAlign w:val="center"/>
                </w:tcPr>
                <w:p w14:paraId="1FC0C459">
                  <w:pPr>
                    <w:spacing w:line="250" w:lineRule="exact"/>
                    <w:jc w:val="center"/>
                    <w:rPr>
                      <w:rFonts w:hint="default" w:ascii="Times New Roman" w:hAnsi="Times New Roman" w:cs="Times New Roman"/>
                      <w:color w:val="auto"/>
                      <w:szCs w:val="21"/>
                      <w:lang w:val="en-US" w:eastAsia="zh-CN"/>
                    </w:rPr>
                  </w:pPr>
                  <w:r>
                    <w:rPr>
                      <w:rFonts w:hint="eastAsia" w:cs="Times New Roman"/>
                      <w:color w:val="auto"/>
                      <w:szCs w:val="21"/>
                      <w:lang w:val="en-US" w:eastAsia="zh-CN"/>
                    </w:rPr>
                    <w:t>1.07</w:t>
                  </w:r>
                </w:p>
              </w:tc>
              <w:tc>
                <w:tcPr>
                  <w:tcW w:w="549" w:type="pct"/>
                  <w:tcBorders>
                    <w:left w:val="single" w:color="auto" w:sz="4" w:space="0"/>
                  </w:tcBorders>
                  <w:vAlign w:val="center"/>
                </w:tcPr>
                <w:p w14:paraId="470399DE">
                  <w:pPr>
                    <w:spacing w:line="250" w:lineRule="exact"/>
                    <w:jc w:val="center"/>
                    <w:rPr>
                      <w:rFonts w:hint="default" w:ascii="Times New Roman" w:hAnsi="Times New Roman" w:eastAsia="宋体" w:cs="Times New Roman"/>
                      <w:color w:val="auto"/>
                      <w:szCs w:val="21"/>
                      <w:lang w:val="en-US" w:eastAsia="zh-CN"/>
                    </w:rPr>
                  </w:pPr>
                  <w:r>
                    <w:rPr>
                      <w:rFonts w:hint="eastAsia" w:cs="Times New Roman"/>
                      <w:color w:val="auto"/>
                      <w:szCs w:val="21"/>
                      <w:lang w:val="en-US" w:eastAsia="zh-CN"/>
                    </w:rPr>
                    <w:t>142.46</w:t>
                  </w:r>
                </w:p>
              </w:tc>
              <w:tc>
                <w:tcPr>
                  <w:tcW w:w="493" w:type="pct"/>
                  <w:noWrap/>
                  <w:vAlign w:val="center"/>
                </w:tcPr>
                <w:p w14:paraId="2E7259CE">
                  <w:pPr>
                    <w:spacing w:line="250" w:lineRule="exact"/>
                    <w:jc w:val="center"/>
                    <w:rPr>
                      <w:rFonts w:hint="default" w:ascii="Times New Roman" w:hAnsi="Times New Roman" w:eastAsia="宋体" w:cs="Times New Roman"/>
                      <w:color w:val="auto"/>
                      <w:szCs w:val="21"/>
                      <w:lang w:val="en-US" w:eastAsia="zh-CN"/>
                    </w:rPr>
                  </w:pPr>
                  <w:r>
                    <w:rPr>
                      <w:rFonts w:hint="eastAsia" w:cs="Times New Roman"/>
                      <w:color w:val="auto"/>
                      <w:szCs w:val="21"/>
                      <w:lang w:val="en-US" w:eastAsia="zh-CN"/>
                    </w:rPr>
                    <w:t>306.32</w:t>
                  </w:r>
                </w:p>
              </w:tc>
            </w:tr>
          </w:tbl>
          <w:p w14:paraId="07C441E4">
            <w:pPr>
              <w:keepNext w:val="0"/>
              <w:keepLines w:val="0"/>
              <w:pageBreakBefore w:val="0"/>
              <w:widowControl w:val="0"/>
              <w:kinsoku/>
              <w:wordWrap/>
              <w:overflowPunct/>
              <w:topLinePunct w:val="0"/>
              <w:autoSpaceDE w:val="0"/>
              <w:autoSpaceDN w:val="0"/>
              <w:bidi w:val="0"/>
              <w:adjustRightInd w:val="0"/>
              <w:snapToGrid/>
              <w:spacing w:before="313" w:beforeLines="100"/>
              <w:jc w:val="both"/>
              <w:textAlignment w:val="auto"/>
              <w:rPr>
                <w:b/>
                <w:color w:val="auto"/>
                <w:szCs w:val="21"/>
              </w:rPr>
            </w:pPr>
            <w:r>
              <w:rPr>
                <w:rFonts w:hint="eastAsia" w:hAnsi="宋体"/>
                <w:b/>
                <w:color w:val="0070C0"/>
                <w:szCs w:val="21"/>
              </w:rPr>
              <w:t xml:space="preserve">                        </w:t>
            </w:r>
            <w:r>
              <w:rPr>
                <w:rFonts w:hint="eastAsia" w:hAnsi="宋体"/>
                <w:b/>
                <w:color w:val="0070C0"/>
                <w:szCs w:val="21"/>
                <w:lang w:val="en-US" w:eastAsia="zh-CN"/>
              </w:rPr>
              <w:t xml:space="preserve"> </w:t>
            </w:r>
            <w:r>
              <w:rPr>
                <w:rFonts w:hAnsi="宋体"/>
                <w:b/>
                <w:color w:val="auto"/>
                <w:szCs w:val="21"/>
              </w:rPr>
              <w:t>表</w:t>
            </w:r>
            <w:r>
              <w:rPr>
                <w:b/>
                <w:color w:val="auto"/>
                <w:szCs w:val="21"/>
              </w:rPr>
              <w:t>2</w:t>
            </w:r>
            <w:r>
              <w:rPr>
                <w:rFonts w:hint="eastAsia"/>
                <w:b/>
                <w:color w:val="auto"/>
                <w:szCs w:val="21"/>
              </w:rPr>
              <w:t>-10</w:t>
            </w:r>
            <w:r>
              <w:rPr>
                <w:b/>
                <w:color w:val="auto"/>
                <w:szCs w:val="21"/>
              </w:rPr>
              <w:t xml:space="preserve">  </w:t>
            </w:r>
            <w:r>
              <w:rPr>
                <w:rFonts w:hAnsi="宋体"/>
                <w:b/>
                <w:bCs/>
                <w:color w:val="auto"/>
              </w:rPr>
              <w:t>拟建公路临时</w:t>
            </w:r>
            <w:r>
              <w:rPr>
                <w:rFonts w:hAnsi="宋体"/>
                <w:b/>
                <w:color w:val="auto"/>
                <w:szCs w:val="21"/>
              </w:rPr>
              <w:t>占地一览表</w:t>
            </w:r>
            <w:r>
              <w:rPr>
                <w:b/>
                <w:color w:val="auto"/>
                <w:szCs w:val="21"/>
              </w:rPr>
              <w:t xml:space="preserve">  </w:t>
            </w:r>
            <w:r>
              <w:rPr>
                <w:rFonts w:hint="eastAsia"/>
                <w:b/>
                <w:color w:val="auto"/>
                <w:szCs w:val="21"/>
              </w:rPr>
              <w:t xml:space="preserve">              </w:t>
            </w:r>
            <w:r>
              <w:rPr>
                <w:rFonts w:hAnsi="宋体"/>
                <w:b/>
                <w:color w:val="auto"/>
                <w:szCs w:val="21"/>
              </w:rPr>
              <w:t>单位：</w:t>
            </w:r>
            <w:r>
              <w:rPr>
                <w:b/>
                <w:color w:val="auto"/>
                <w:szCs w:val="21"/>
              </w:rPr>
              <w:t>hm</w:t>
            </w:r>
            <w:r>
              <w:rPr>
                <w:b/>
                <w:color w:val="auto"/>
                <w:szCs w:val="21"/>
                <w:vertAlign w:val="superscript"/>
              </w:rPr>
              <w:t>2</w:t>
            </w:r>
          </w:p>
          <w:tbl>
            <w:tblPr>
              <w:tblStyle w:val="22"/>
              <w:tblW w:w="8460"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262"/>
              <w:gridCol w:w="4198"/>
            </w:tblGrid>
            <w:tr w14:paraId="56378CA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2518" w:type="pct"/>
                  <w:tcBorders>
                    <w:right w:val="single" w:color="auto" w:sz="4" w:space="0"/>
                  </w:tcBorders>
                  <w:noWrap/>
                  <w:vAlign w:val="center"/>
                </w:tcPr>
                <w:p w14:paraId="0F20729E">
                  <w:pPr>
                    <w:widowControl/>
                    <w:spacing w:line="250" w:lineRule="exact"/>
                    <w:jc w:val="center"/>
                    <w:rPr>
                      <w:b/>
                      <w:color w:val="auto"/>
                      <w:kern w:val="0"/>
                      <w:szCs w:val="21"/>
                    </w:rPr>
                  </w:pPr>
                  <w:r>
                    <w:rPr>
                      <w:b/>
                      <w:color w:val="auto"/>
                      <w:kern w:val="0"/>
                      <w:szCs w:val="21"/>
                    </w:rPr>
                    <w:t>临时工程</w:t>
                  </w:r>
                </w:p>
              </w:tc>
              <w:tc>
                <w:tcPr>
                  <w:tcW w:w="2481" w:type="pct"/>
                  <w:tcBorders>
                    <w:left w:val="single" w:color="auto" w:sz="4" w:space="0"/>
                  </w:tcBorders>
                  <w:vAlign w:val="center"/>
                </w:tcPr>
                <w:p w14:paraId="6AD9C002">
                  <w:pPr>
                    <w:pStyle w:val="77"/>
                    <w:spacing w:line="250" w:lineRule="exact"/>
                    <w:jc w:val="center"/>
                    <w:rPr>
                      <w:rFonts w:hint="default" w:ascii="Times New Roman" w:hAnsi="Times New Roman"/>
                      <w:b/>
                      <w:color w:val="auto"/>
                      <w:sz w:val="21"/>
                      <w:szCs w:val="21"/>
                      <w:lang w:val="en-US" w:eastAsia="zh-CN"/>
                    </w:rPr>
                  </w:pPr>
                  <w:r>
                    <w:rPr>
                      <w:rFonts w:hint="eastAsia" w:ascii="Times New Roman" w:hAnsi="Times New Roman"/>
                      <w:b/>
                      <w:color w:val="auto"/>
                      <w:sz w:val="21"/>
                      <w:szCs w:val="21"/>
                      <w:lang w:val="en-US" w:eastAsia="zh-CN"/>
                    </w:rPr>
                    <w:t>草地</w:t>
                  </w:r>
                </w:p>
              </w:tc>
            </w:tr>
            <w:tr w14:paraId="62D8F93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2518" w:type="pct"/>
                  <w:tcBorders>
                    <w:right w:val="single" w:color="auto" w:sz="4" w:space="0"/>
                  </w:tcBorders>
                  <w:noWrap/>
                  <w:vAlign w:val="center"/>
                </w:tcPr>
                <w:p w14:paraId="5FB13D77">
                  <w:pPr>
                    <w:widowControl/>
                    <w:spacing w:line="250" w:lineRule="exact"/>
                    <w:jc w:val="center"/>
                    <w:rPr>
                      <w:color w:val="auto"/>
                      <w:kern w:val="0"/>
                      <w:szCs w:val="21"/>
                    </w:rPr>
                  </w:pPr>
                  <w:r>
                    <w:rPr>
                      <w:color w:val="auto"/>
                      <w:kern w:val="0"/>
                      <w:szCs w:val="21"/>
                    </w:rPr>
                    <w:t>施工生产生活区</w:t>
                  </w:r>
                </w:p>
              </w:tc>
              <w:tc>
                <w:tcPr>
                  <w:tcW w:w="2481" w:type="pct"/>
                  <w:tcBorders>
                    <w:left w:val="single" w:color="auto" w:sz="4" w:space="0"/>
                  </w:tcBorders>
                  <w:vAlign w:val="center"/>
                </w:tcPr>
                <w:p w14:paraId="2D8FF5F8">
                  <w:pPr>
                    <w:spacing w:line="250" w:lineRule="exact"/>
                    <w:jc w:val="center"/>
                    <w:rPr>
                      <w:rFonts w:hint="default" w:eastAsia="宋体"/>
                      <w:color w:val="auto"/>
                      <w:szCs w:val="21"/>
                      <w:lang w:val="en-US" w:eastAsia="zh-CN"/>
                    </w:rPr>
                  </w:pPr>
                  <w:r>
                    <w:rPr>
                      <w:rFonts w:hint="eastAsia"/>
                      <w:color w:val="auto"/>
                      <w:szCs w:val="21"/>
                      <w:lang w:val="en-US" w:eastAsia="zh-CN"/>
                    </w:rPr>
                    <w:t>9.37</w:t>
                  </w:r>
                </w:p>
              </w:tc>
            </w:tr>
            <w:tr w14:paraId="22169D8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2518" w:type="pct"/>
                  <w:tcBorders>
                    <w:right w:val="single" w:color="auto" w:sz="4" w:space="0"/>
                  </w:tcBorders>
                  <w:noWrap/>
                  <w:vAlign w:val="center"/>
                </w:tcPr>
                <w:p w14:paraId="38DD0127">
                  <w:pPr>
                    <w:widowControl/>
                    <w:spacing w:line="250" w:lineRule="exact"/>
                    <w:jc w:val="center"/>
                    <w:rPr>
                      <w:color w:val="auto"/>
                      <w:kern w:val="0"/>
                      <w:szCs w:val="21"/>
                    </w:rPr>
                  </w:pPr>
                  <w:r>
                    <w:rPr>
                      <w:color w:val="auto"/>
                      <w:kern w:val="0"/>
                      <w:szCs w:val="21"/>
                    </w:rPr>
                    <w:t>施工便道</w:t>
                  </w:r>
                </w:p>
              </w:tc>
              <w:tc>
                <w:tcPr>
                  <w:tcW w:w="2481" w:type="pct"/>
                  <w:tcBorders>
                    <w:left w:val="single" w:color="auto" w:sz="4" w:space="0"/>
                  </w:tcBorders>
                  <w:vAlign w:val="center"/>
                </w:tcPr>
                <w:p w14:paraId="11821707">
                  <w:pPr>
                    <w:widowControl/>
                    <w:spacing w:line="250" w:lineRule="exact"/>
                    <w:jc w:val="center"/>
                    <w:rPr>
                      <w:rFonts w:hint="default" w:eastAsia="宋体"/>
                      <w:color w:val="auto"/>
                      <w:kern w:val="0"/>
                      <w:szCs w:val="21"/>
                      <w:lang w:val="en-US" w:eastAsia="zh-CN"/>
                    </w:rPr>
                  </w:pPr>
                  <w:r>
                    <w:rPr>
                      <w:rFonts w:hint="eastAsia"/>
                      <w:color w:val="auto"/>
                      <w:kern w:val="0"/>
                      <w:szCs w:val="21"/>
                      <w:lang w:val="en-US" w:eastAsia="zh-CN"/>
                    </w:rPr>
                    <w:t>1.61</w:t>
                  </w:r>
                </w:p>
              </w:tc>
            </w:tr>
            <w:tr w14:paraId="33374B6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2518" w:type="pct"/>
                  <w:tcBorders>
                    <w:right w:val="single" w:color="auto" w:sz="4" w:space="0"/>
                  </w:tcBorders>
                  <w:noWrap/>
                  <w:vAlign w:val="center"/>
                </w:tcPr>
                <w:p w14:paraId="58A6C86B">
                  <w:pPr>
                    <w:widowControl/>
                    <w:spacing w:line="250" w:lineRule="exact"/>
                    <w:jc w:val="center"/>
                    <w:rPr>
                      <w:color w:val="auto"/>
                      <w:kern w:val="0"/>
                      <w:szCs w:val="21"/>
                    </w:rPr>
                  </w:pPr>
                  <w:r>
                    <w:rPr>
                      <w:color w:val="auto"/>
                      <w:kern w:val="0"/>
                      <w:szCs w:val="21"/>
                    </w:rPr>
                    <w:t>合计</w:t>
                  </w:r>
                </w:p>
              </w:tc>
              <w:tc>
                <w:tcPr>
                  <w:tcW w:w="2481" w:type="pct"/>
                  <w:tcBorders>
                    <w:left w:val="single" w:color="auto" w:sz="4" w:space="0"/>
                  </w:tcBorders>
                  <w:vAlign w:val="center"/>
                </w:tcPr>
                <w:p w14:paraId="1163926E">
                  <w:pPr>
                    <w:widowControl/>
                    <w:spacing w:line="250" w:lineRule="exact"/>
                    <w:jc w:val="center"/>
                    <w:rPr>
                      <w:rFonts w:hint="default" w:eastAsia="宋体"/>
                      <w:color w:val="auto"/>
                      <w:kern w:val="0"/>
                      <w:szCs w:val="21"/>
                      <w:lang w:val="en-US" w:eastAsia="zh-CN"/>
                    </w:rPr>
                  </w:pPr>
                  <w:r>
                    <w:rPr>
                      <w:rFonts w:hint="eastAsia"/>
                      <w:color w:val="auto"/>
                      <w:kern w:val="0"/>
                      <w:szCs w:val="21"/>
                      <w:lang w:val="en-US" w:eastAsia="zh-CN"/>
                    </w:rPr>
                    <w:t>10.98</w:t>
                  </w:r>
                </w:p>
              </w:tc>
            </w:tr>
          </w:tbl>
          <w:p w14:paraId="6B55060F">
            <w:pPr>
              <w:autoSpaceDE w:val="0"/>
              <w:autoSpaceDN w:val="0"/>
              <w:adjustRightInd w:val="0"/>
              <w:spacing w:before="240" w:beforeLines="100" w:line="300" w:lineRule="auto"/>
              <w:ind w:firstLine="472" w:firstLineChars="196"/>
              <w:jc w:val="left"/>
              <w:rPr>
                <w:b/>
                <w:color w:val="auto"/>
                <w:kern w:val="0"/>
                <w:sz w:val="24"/>
              </w:rPr>
            </w:pPr>
            <w:r>
              <w:rPr>
                <w:b/>
                <w:color w:val="auto"/>
                <w:kern w:val="0"/>
                <w:sz w:val="24"/>
              </w:rPr>
              <w:t>(</w:t>
            </w:r>
            <w:r>
              <w:rPr>
                <w:rFonts w:hint="eastAsia"/>
                <w:b/>
                <w:color w:val="auto"/>
                <w:kern w:val="0"/>
                <w:sz w:val="24"/>
              </w:rPr>
              <w:t>1</w:t>
            </w:r>
            <w:r>
              <w:rPr>
                <w:rFonts w:hint="eastAsia"/>
                <w:b/>
                <w:color w:val="auto"/>
                <w:kern w:val="0"/>
                <w:sz w:val="24"/>
                <w:lang w:val="en-US" w:eastAsia="zh-CN"/>
              </w:rPr>
              <w:t>0</w:t>
            </w:r>
            <w:r>
              <w:rPr>
                <w:b/>
                <w:color w:val="auto"/>
                <w:kern w:val="0"/>
                <w:sz w:val="24"/>
              </w:rPr>
              <w:t>) 拆迁建筑物</w:t>
            </w:r>
          </w:p>
          <w:p w14:paraId="37D66483">
            <w:pPr>
              <w:pStyle w:val="68"/>
              <w:spacing w:after="120" w:afterLines="50"/>
              <w:rPr>
                <w:rFonts w:hint="eastAsia" w:hAnsi="宋体"/>
                <w:color w:val="auto"/>
              </w:rPr>
            </w:pPr>
            <w:r>
              <w:rPr>
                <w:rFonts w:hAnsi="宋体"/>
                <w:color w:val="auto"/>
              </w:rPr>
              <w:t>拟建公路共拆迁建筑物</w:t>
            </w:r>
            <w:r>
              <w:rPr>
                <w:rFonts w:hint="eastAsia"/>
                <w:color w:val="auto"/>
                <w:lang w:val="en-US" w:eastAsia="zh-CN"/>
              </w:rPr>
              <w:t>47602</w:t>
            </w:r>
            <w:r>
              <w:rPr>
                <w:color w:val="auto"/>
              </w:rPr>
              <w:t>m</w:t>
            </w:r>
            <w:r>
              <w:rPr>
                <w:color w:val="auto"/>
                <w:vertAlign w:val="superscript"/>
              </w:rPr>
              <w:t>2</w:t>
            </w:r>
            <w:r>
              <w:rPr>
                <w:rFonts w:hAnsi="宋体"/>
                <w:color w:val="auto"/>
              </w:rPr>
              <w:t>，此外拆迁部分电力电讯设施，具体见表</w:t>
            </w:r>
            <w:r>
              <w:rPr>
                <w:color w:val="auto"/>
              </w:rPr>
              <w:t>2</w:t>
            </w:r>
            <w:r>
              <w:rPr>
                <w:rFonts w:hint="eastAsia"/>
                <w:color w:val="auto"/>
              </w:rPr>
              <w:t>-11</w:t>
            </w:r>
            <w:r>
              <w:rPr>
                <w:rFonts w:hAnsi="宋体"/>
                <w:color w:val="auto"/>
              </w:rPr>
              <w:t>。</w:t>
            </w:r>
          </w:p>
          <w:p w14:paraId="36DAC132">
            <w:pPr>
              <w:spacing w:before="120" w:beforeLines="50"/>
              <w:jc w:val="center"/>
              <w:rPr>
                <w:rFonts w:hint="eastAsia" w:hAnsi="宋体"/>
                <w:b/>
                <w:color w:val="auto"/>
                <w:szCs w:val="21"/>
              </w:rPr>
            </w:pPr>
            <w:r>
              <w:rPr>
                <w:rFonts w:hAnsi="宋体"/>
                <w:b/>
                <w:color w:val="auto"/>
                <w:szCs w:val="21"/>
              </w:rPr>
              <w:t>表</w:t>
            </w:r>
            <w:r>
              <w:rPr>
                <w:b/>
                <w:color w:val="auto"/>
                <w:szCs w:val="21"/>
              </w:rPr>
              <w:t>2</w:t>
            </w:r>
            <w:r>
              <w:rPr>
                <w:rFonts w:hint="eastAsia"/>
                <w:b/>
                <w:color w:val="auto"/>
                <w:szCs w:val="21"/>
              </w:rPr>
              <w:t>-11</w:t>
            </w:r>
            <w:r>
              <w:rPr>
                <w:b/>
                <w:color w:val="auto"/>
                <w:szCs w:val="21"/>
              </w:rPr>
              <w:t xml:space="preserve">  </w:t>
            </w:r>
            <w:r>
              <w:rPr>
                <w:rFonts w:hAnsi="宋体"/>
                <w:b/>
                <w:bCs/>
                <w:color w:val="auto"/>
              </w:rPr>
              <w:t>拟建公路</w:t>
            </w:r>
            <w:r>
              <w:rPr>
                <w:rFonts w:hAnsi="宋体"/>
                <w:b/>
                <w:color w:val="auto"/>
                <w:szCs w:val="21"/>
              </w:rPr>
              <w:t>拆迁数量表</w:t>
            </w:r>
          </w:p>
          <w:tbl>
            <w:tblPr>
              <w:tblStyle w:val="22"/>
              <w:tblW w:w="8497"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1056"/>
              <w:gridCol w:w="1119"/>
              <w:gridCol w:w="1350"/>
              <w:gridCol w:w="945"/>
              <w:gridCol w:w="1395"/>
              <w:gridCol w:w="1497"/>
              <w:gridCol w:w="1135"/>
            </w:tblGrid>
            <w:tr w14:paraId="7BCD1CE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300" w:hRule="atLeast"/>
                <w:jc w:val="center"/>
              </w:trPr>
              <w:tc>
                <w:tcPr>
                  <w:tcW w:w="621" w:type="pct"/>
                  <w:vMerge w:val="restart"/>
                  <w:vAlign w:val="center"/>
                </w:tcPr>
                <w:p w14:paraId="01325935">
                  <w:pPr>
                    <w:widowControl/>
                    <w:jc w:val="center"/>
                    <w:rPr>
                      <w:b/>
                      <w:color w:val="auto"/>
                      <w:kern w:val="0"/>
                      <w:szCs w:val="21"/>
                    </w:rPr>
                  </w:pPr>
                  <w:r>
                    <w:rPr>
                      <w:b/>
                      <w:color w:val="auto"/>
                      <w:kern w:val="0"/>
                      <w:szCs w:val="21"/>
                    </w:rPr>
                    <w:t>拆迁类型</w:t>
                  </w:r>
                </w:p>
              </w:tc>
              <w:tc>
                <w:tcPr>
                  <w:tcW w:w="2008" w:type="pct"/>
                  <w:gridSpan w:val="3"/>
                  <w:vAlign w:val="center"/>
                </w:tcPr>
                <w:p w14:paraId="03950905">
                  <w:pPr>
                    <w:widowControl/>
                    <w:jc w:val="center"/>
                    <w:rPr>
                      <w:b/>
                      <w:color w:val="auto"/>
                      <w:kern w:val="0"/>
                      <w:szCs w:val="21"/>
                    </w:rPr>
                  </w:pPr>
                  <w:r>
                    <w:rPr>
                      <w:b/>
                      <w:color w:val="auto"/>
                      <w:kern w:val="0"/>
                      <w:szCs w:val="21"/>
                    </w:rPr>
                    <w:t>建筑物(m</w:t>
                  </w:r>
                  <w:r>
                    <w:rPr>
                      <w:b/>
                      <w:color w:val="auto"/>
                      <w:kern w:val="0"/>
                      <w:szCs w:val="21"/>
                      <w:vertAlign w:val="superscript"/>
                    </w:rPr>
                    <w:t>2</w:t>
                  </w:r>
                  <w:r>
                    <w:rPr>
                      <w:b/>
                      <w:color w:val="auto"/>
                      <w:kern w:val="0"/>
                      <w:szCs w:val="21"/>
                    </w:rPr>
                    <w:t>)</w:t>
                  </w:r>
                </w:p>
              </w:tc>
              <w:tc>
                <w:tcPr>
                  <w:tcW w:w="2369" w:type="pct"/>
                  <w:gridSpan w:val="3"/>
                  <w:vAlign w:val="center"/>
                </w:tcPr>
                <w:p w14:paraId="0787B23A">
                  <w:pPr>
                    <w:widowControl/>
                    <w:jc w:val="center"/>
                    <w:rPr>
                      <w:b/>
                      <w:color w:val="auto"/>
                      <w:kern w:val="0"/>
                      <w:szCs w:val="21"/>
                    </w:rPr>
                  </w:pPr>
                  <w:r>
                    <w:rPr>
                      <w:b/>
                      <w:color w:val="auto"/>
                      <w:kern w:val="0"/>
                      <w:szCs w:val="21"/>
                    </w:rPr>
                    <w:t>电力电讯设施</w:t>
                  </w:r>
                </w:p>
              </w:tc>
            </w:tr>
            <w:tr w14:paraId="4FB933B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335" w:hRule="atLeast"/>
                <w:jc w:val="center"/>
              </w:trPr>
              <w:tc>
                <w:tcPr>
                  <w:tcW w:w="621" w:type="pct"/>
                  <w:vMerge w:val="continue"/>
                  <w:vAlign w:val="center"/>
                </w:tcPr>
                <w:p w14:paraId="06DA2BC8">
                  <w:pPr>
                    <w:widowControl/>
                    <w:jc w:val="center"/>
                    <w:rPr>
                      <w:b/>
                      <w:color w:val="auto"/>
                      <w:kern w:val="0"/>
                      <w:szCs w:val="21"/>
                    </w:rPr>
                  </w:pPr>
                </w:p>
              </w:tc>
              <w:tc>
                <w:tcPr>
                  <w:tcW w:w="658" w:type="pct"/>
                  <w:vAlign w:val="center"/>
                </w:tcPr>
                <w:p w14:paraId="58391C9B">
                  <w:pPr>
                    <w:widowControl/>
                    <w:jc w:val="center"/>
                    <w:rPr>
                      <w:rFonts w:hint="eastAsia" w:eastAsia="宋体"/>
                      <w:b/>
                      <w:color w:val="auto"/>
                      <w:kern w:val="0"/>
                      <w:szCs w:val="21"/>
                      <w:lang w:eastAsia="zh-CN"/>
                    </w:rPr>
                  </w:pPr>
                  <w:r>
                    <w:rPr>
                      <w:b/>
                      <w:color w:val="auto"/>
                      <w:kern w:val="0"/>
                      <w:szCs w:val="21"/>
                    </w:rPr>
                    <w:t>砖混</w:t>
                  </w:r>
                  <w:r>
                    <w:rPr>
                      <w:rFonts w:hint="eastAsia"/>
                      <w:b/>
                      <w:color w:val="auto"/>
                      <w:kern w:val="0"/>
                      <w:szCs w:val="21"/>
                      <w:lang w:val="en-US" w:eastAsia="zh-CN"/>
                    </w:rPr>
                    <w:t>结构</w:t>
                  </w:r>
                </w:p>
              </w:tc>
              <w:tc>
                <w:tcPr>
                  <w:tcW w:w="794" w:type="pct"/>
                  <w:tcBorders>
                    <w:right w:val="single" w:color="auto" w:sz="4" w:space="0"/>
                  </w:tcBorders>
                  <w:vAlign w:val="center"/>
                </w:tcPr>
                <w:p w14:paraId="220B5A3A">
                  <w:pPr>
                    <w:widowControl/>
                    <w:jc w:val="center"/>
                    <w:rPr>
                      <w:rFonts w:hint="eastAsia" w:eastAsia="宋体"/>
                      <w:b/>
                      <w:color w:val="auto"/>
                      <w:kern w:val="0"/>
                      <w:szCs w:val="21"/>
                      <w:lang w:val="en-US" w:eastAsia="zh-CN"/>
                    </w:rPr>
                  </w:pPr>
                  <w:r>
                    <w:rPr>
                      <w:b/>
                      <w:color w:val="auto"/>
                      <w:kern w:val="0"/>
                      <w:szCs w:val="21"/>
                    </w:rPr>
                    <w:t>彩钢</w:t>
                  </w:r>
                  <w:r>
                    <w:rPr>
                      <w:rFonts w:hint="eastAsia"/>
                      <w:b/>
                      <w:color w:val="auto"/>
                      <w:kern w:val="0"/>
                      <w:szCs w:val="21"/>
                      <w:lang w:val="en-US" w:eastAsia="zh-CN"/>
                    </w:rPr>
                    <w:t>板简易房</w:t>
                  </w:r>
                </w:p>
              </w:tc>
              <w:tc>
                <w:tcPr>
                  <w:tcW w:w="556" w:type="pct"/>
                  <w:tcBorders>
                    <w:left w:val="single" w:color="auto" w:sz="4" w:space="0"/>
                  </w:tcBorders>
                  <w:vAlign w:val="center"/>
                </w:tcPr>
                <w:p w14:paraId="28911679">
                  <w:pPr>
                    <w:jc w:val="center"/>
                    <w:rPr>
                      <w:rFonts w:hint="default" w:eastAsia="宋体"/>
                      <w:b/>
                      <w:color w:val="auto"/>
                      <w:kern w:val="0"/>
                      <w:szCs w:val="21"/>
                      <w:lang w:val="en-US" w:eastAsia="zh-CN"/>
                    </w:rPr>
                  </w:pPr>
                  <w:r>
                    <w:rPr>
                      <w:rFonts w:hint="eastAsia"/>
                      <w:b/>
                      <w:color w:val="auto"/>
                      <w:kern w:val="0"/>
                      <w:szCs w:val="21"/>
                      <w:lang w:val="en-US" w:eastAsia="zh-CN"/>
                    </w:rPr>
                    <w:t>土木结构</w:t>
                  </w:r>
                </w:p>
              </w:tc>
              <w:tc>
                <w:tcPr>
                  <w:tcW w:w="820" w:type="pct"/>
                  <w:vAlign w:val="center"/>
                </w:tcPr>
                <w:p w14:paraId="6117EAA9">
                  <w:pPr>
                    <w:widowControl/>
                    <w:jc w:val="center"/>
                    <w:rPr>
                      <w:b/>
                      <w:color w:val="auto"/>
                      <w:kern w:val="0"/>
                      <w:szCs w:val="21"/>
                    </w:rPr>
                  </w:pPr>
                  <w:r>
                    <w:rPr>
                      <w:b/>
                      <w:color w:val="auto"/>
                      <w:kern w:val="0"/>
                      <w:szCs w:val="21"/>
                    </w:rPr>
                    <w:t>电力电杆(根)</w:t>
                  </w:r>
                </w:p>
              </w:tc>
              <w:tc>
                <w:tcPr>
                  <w:tcW w:w="880" w:type="pct"/>
                  <w:tcBorders>
                    <w:right w:val="single" w:color="auto" w:sz="4" w:space="0"/>
                  </w:tcBorders>
                  <w:vAlign w:val="center"/>
                </w:tcPr>
                <w:p w14:paraId="6D9232E7">
                  <w:pPr>
                    <w:widowControl/>
                    <w:jc w:val="center"/>
                    <w:rPr>
                      <w:b/>
                      <w:color w:val="auto"/>
                      <w:kern w:val="0"/>
                      <w:szCs w:val="21"/>
                    </w:rPr>
                  </w:pPr>
                  <w:r>
                    <w:rPr>
                      <w:b/>
                      <w:color w:val="auto"/>
                      <w:kern w:val="0"/>
                      <w:szCs w:val="21"/>
                    </w:rPr>
                    <w:t>通讯电杆(</w:t>
                  </w:r>
                  <w:r>
                    <w:rPr>
                      <w:rFonts w:hint="eastAsia"/>
                      <w:b/>
                      <w:color w:val="auto"/>
                      <w:kern w:val="0"/>
                      <w:szCs w:val="21"/>
                    </w:rPr>
                    <w:t>根</w:t>
                  </w:r>
                  <w:r>
                    <w:rPr>
                      <w:b/>
                      <w:color w:val="auto"/>
                      <w:kern w:val="0"/>
                      <w:szCs w:val="21"/>
                    </w:rPr>
                    <w:t>)</w:t>
                  </w:r>
                </w:p>
              </w:tc>
              <w:tc>
                <w:tcPr>
                  <w:tcW w:w="667" w:type="pct"/>
                  <w:tcBorders>
                    <w:left w:val="single" w:color="auto" w:sz="4" w:space="0"/>
                  </w:tcBorders>
                  <w:vAlign w:val="center"/>
                </w:tcPr>
                <w:p w14:paraId="1CB7BC22">
                  <w:pPr>
                    <w:widowControl/>
                    <w:jc w:val="center"/>
                    <w:rPr>
                      <w:b/>
                      <w:color w:val="auto"/>
                      <w:kern w:val="0"/>
                      <w:szCs w:val="21"/>
                    </w:rPr>
                  </w:pPr>
                  <w:r>
                    <w:rPr>
                      <w:b/>
                      <w:color w:val="auto"/>
                      <w:kern w:val="0"/>
                      <w:szCs w:val="21"/>
                    </w:rPr>
                    <w:t>电线</w:t>
                  </w:r>
                  <w:r>
                    <w:rPr>
                      <w:rFonts w:hint="eastAsia"/>
                      <w:b/>
                      <w:color w:val="auto"/>
                      <w:kern w:val="0"/>
                      <w:szCs w:val="21"/>
                    </w:rPr>
                    <w:t>(km)</w:t>
                  </w:r>
                </w:p>
              </w:tc>
            </w:tr>
            <w:tr w14:paraId="3625F81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300" w:hRule="atLeast"/>
                <w:jc w:val="center"/>
              </w:trPr>
              <w:tc>
                <w:tcPr>
                  <w:tcW w:w="621" w:type="pct"/>
                  <w:vAlign w:val="center"/>
                </w:tcPr>
                <w:p w14:paraId="0F014195">
                  <w:pPr>
                    <w:widowControl/>
                    <w:jc w:val="center"/>
                    <w:rPr>
                      <w:color w:val="auto"/>
                      <w:kern w:val="0"/>
                      <w:szCs w:val="21"/>
                    </w:rPr>
                  </w:pPr>
                  <w:r>
                    <w:rPr>
                      <w:color w:val="auto"/>
                      <w:kern w:val="0"/>
                      <w:szCs w:val="21"/>
                    </w:rPr>
                    <w:t>数量</w:t>
                  </w:r>
                </w:p>
              </w:tc>
              <w:tc>
                <w:tcPr>
                  <w:tcW w:w="658" w:type="pct"/>
                  <w:vAlign w:val="center"/>
                </w:tcPr>
                <w:p w14:paraId="5E08DE2B">
                  <w:pPr>
                    <w:widowControl/>
                    <w:jc w:val="center"/>
                    <w:rPr>
                      <w:rFonts w:hint="default" w:eastAsia="宋体"/>
                      <w:color w:val="auto"/>
                      <w:kern w:val="0"/>
                      <w:szCs w:val="21"/>
                      <w:lang w:val="en-US" w:eastAsia="zh-CN"/>
                    </w:rPr>
                  </w:pPr>
                  <w:r>
                    <w:rPr>
                      <w:rFonts w:hint="eastAsia"/>
                      <w:color w:val="auto"/>
                      <w:kern w:val="0"/>
                      <w:szCs w:val="21"/>
                      <w:lang w:val="en-US" w:eastAsia="zh-CN"/>
                    </w:rPr>
                    <w:t>34832.7</w:t>
                  </w:r>
                </w:p>
              </w:tc>
              <w:tc>
                <w:tcPr>
                  <w:tcW w:w="794" w:type="pct"/>
                  <w:tcBorders>
                    <w:right w:val="single" w:color="auto" w:sz="4" w:space="0"/>
                  </w:tcBorders>
                  <w:vAlign w:val="center"/>
                </w:tcPr>
                <w:p w14:paraId="1540040C">
                  <w:pPr>
                    <w:widowControl/>
                    <w:jc w:val="center"/>
                    <w:rPr>
                      <w:rFonts w:hint="default" w:eastAsia="宋体"/>
                      <w:color w:val="auto"/>
                      <w:kern w:val="0"/>
                      <w:szCs w:val="21"/>
                      <w:lang w:val="en-US" w:eastAsia="zh-CN"/>
                    </w:rPr>
                  </w:pPr>
                  <w:r>
                    <w:rPr>
                      <w:rFonts w:hint="eastAsia"/>
                      <w:color w:val="auto"/>
                      <w:kern w:val="0"/>
                      <w:szCs w:val="21"/>
                      <w:lang w:val="en-US" w:eastAsia="zh-CN"/>
                    </w:rPr>
                    <w:t>12482.1</w:t>
                  </w:r>
                </w:p>
              </w:tc>
              <w:tc>
                <w:tcPr>
                  <w:tcW w:w="556" w:type="pct"/>
                  <w:tcBorders>
                    <w:left w:val="single" w:color="auto" w:sz="4" w:space="0"/>
                  </w:tcBorders>
                  <w:vAlign w:val="center"/>
                </w:tcPr>
                <w:p w14:paraId="53E7ED77">
                  <w:pPr>
                    <w:jc w:val="center"/>
                    <w:rPr>
                      <w:rFonts w:hint="default" w:eastAsia="宋体"/>
                      <w:color w:val="auto"/>
                      <w:kern w:val="0"/>
                      <w:szCs w:val="21"/>
                      <w:lang w:val="en-US" w:eastAsia="zh-CN"/>
                    </w:rPr>
                  </w:pPr>
                  <w:r>
                    <w:rPr>
                      <w:rFonts w:hint="eastAsia"/>
                      <w:color w:val="auto"/>
                      <w:kern w:val="0"/>
                      <w:szCs w:val="21"/>
                      <w:lang w:val="en-US" w:eastAsia="zh-CN"/>
                    </w:rPr>
                    <w:t>287.2</w:t>
                  </w:r>
                </w:p>
              </w:tc>
              <w:tc>
                <w:tcPr>
                  <w:tcW w:w="820" w:type="pct"/>
                  <w:vAlign w:val="center"/>
                </w:tcPr>
                <w:p w14:paraId="038DD569">
                  <w:pPr>
                    <w:widowControl/>
                    <w:jc w:val="center"/>
                    <w:rPr>
                      <w:rFonts w:hint="default" w:eastAsia="宋体"/>
                      <w:color w:val="auto"/>
                      <w:kern w:val="0"/>
                      <w:szCs w:val="21"/>
                      <w:lang w:val="en-US" w:eastAsia="zh-CN"/>
                    </w:rPr>
                  </w:pPr>
                  <w:r>
                    <w:rPr>
                      <w:rFonts w:hint="eastAsia"/>
                      <w:color w:val="auto"/>
                      <w:kern w:val="0"/>
                      <w:szCs w:val="21"/>
                      <w:lang w:val="en-US" w:eastAsia="zh-CN"/>
                    </w:rPr>
                    <w:t>1385</w:t>
                  </w:r>
                </w:p>
              </w:tc>
              <w:tc>
                <w:tcPr>
                  <w:tcW w:w="880" w:type="pct"/>
                  <w:tcBorders>
                    <w:right w:val="single" w:color="auto" w:sz="4" w:space="0"/>
                  </w:tcBorders>
                  <w:vAlign w:val="center"/>
                </w:tcPr>
                <w:p w14:paraId="7340D530">
                  <w:pPr>
                    <w:widowControl/>
                    <w:jc w:val="center"/>
                    <w:rPr>
                      <w:rFonts w:hint="default" w:eastAsia="宋体"/>
                      <w:color w:val="auto"/>
                      <w:kern w:val="0"/>
                      <w:szCs w:val="21"/>
                      <w:lang w:val="en-US" w:eastAsia="zh-CN"/>
                    </w:rPr>
                  </w:pPr>
                  <w:r>
                    <w:rPr>
                      <w:rFonts w:hint="eastAsia"/>
                      <w:color w:val="auto"/>
                      <w:kern w:val="0"/>
                      <w:szCs w:val="21"/>
                      <w:lang w:val="en-US" w:eastAsia="zh-CN"/>
                    </w:rPr>
                    <w:t>832</w:t>
                  </w:r>
                </w:p>
              </w:tc>
              <w:tc>
                <w:tcPr>
                  <w:tcW w:w="667" w:type="pct"/>
                  <w:tcBorders>
                    <w:left w:val="single" w:color="auto" w:sz="4" w:space="0"/>
                  </w:tcBorders>
                  <w:vAlign w:val="center"/>
                </w:tcPr>
                <w:p w14:paraId="193F8D8C">
                  <w:pPr>
                    <w:widowControl/>
                    <w:jc w:val="center"/>
                    <w:rPr>
                      <w:rFonts w:hint="default" w:eastAsia="宋体"/>
                      <w:color w:val="auto"/>
                      <w:kern w:val="0"/>
                      <w:szCs w:val="21"/>
                      <w:lang w:val="en-US" w:eastAsia="zh-CN"/>
                    </w:rPr>
                  </w:pPr>
                  <w:r>
                    <w:rPr>
                      <w:rFonts w:hint="eastAsia"/>
                      <w:color w:val="auto"/>
                      <w:kern w:val="0"/>
                      <w:szCs w:val="21"/>
                      <w:lang w:val="en-US" w:eastAsia="zh-CN"/>
                    </w:rPr>
                    <w:t>304.7</w:t>
                  </w:r>
                </w:p>
              </w:tc>
            </w:tr>
          </w:tbl>
          <w:p w14:paraId="1E935B0A">
            <w:pPr>
              <w:keepNext w:val="0"/>
              <w:keepLines w:val="0"/>
              <w:pageBreakBefore w:val="0"/>
              <w:widowControl w:val="0"/>
              <w:kinsoku/>
              <w:wordWrap/>
              <w:overflowPunct/>
              <w:topLinePunct w:val="0"/>
              <w:autoSpaceDE w:val="0"/>
              <w:autoSpaceDN w:val="0"/>
              <w:bidi w:val="0"/>
              <w:adjustRightInd w:val="0"/>
              <w:snapToGrid/>
              <w:spacing w:before="313" w:beforeLines="100" w:line="300" w:lineRule="auto"/>
              <w:ind w:firstLine="472" w:firstLineChars="196"/>
              <w:jc w:val="left"/>
              <w:textAlignment w:val="auto"/>
              <w:rPr>
                <w:rFonts w:hint="eastAsia"/>
                <w:b/>
                <w:color w:val="auto"/>
                <w:kern w:val="0"/>
                <w:sz w:val="24"/>
                <w:lang w:val="en-US" w:eastAsia="zh-CN"/>
              </w:rPr>
            </w:pPr>
            <w:r>
              <w:rPr>
                <w:rFonts w:hint="eastAsia"/>
                <w:b/>
                <w:color w:val="auto"/>
                <w:kern w:val="0"/>
                <w:sz w:val="24"/>
                <w:lang w:val="en-US" w:eastAsia="zh-CN"/>
              </w:rPr>
              <w:t>(11) 工程土石方数量</w:t>
            </w:r>
          </w:p>
          <w:p w14:paraId="2F4544CA">
            <w:pPr>
              <w:keepNext w:val="0"/>
              <w:keepLines w:val="0"/>
              <w:pageBreakBefore w:val="0"/>
              <w:widowControl w:val="0"/>
              <w:kinsoku/>
              <w:wordWrap/>
              <w:overflowPunct/>
              <w:topLinePunct w:val="0"/>
              <w:autoSpaceDE w:val="0"/>
              <w:autoSpaceDN w:val="0"/>
              <w:bidi w:val="0"/>
              <w:adjustRightInd w:val="0"/>
              <w:snapToGrid/>
              <w:spacing w:after="157" w:afterLines="50" w:line="300" w:lineRule="auto"/>
              <w:ind w:firstLine="470" w:firstLineChars="196"/>
              <w:jc w:val="left"/>
              <w:textAlignment w:val="auto"/>
              <w:rPr>
                <w:rFonts w:hint="eastAsia" w:eastAsia="宋体"/>
                <w:b/>
                <w:color w:val="auto"/>
                <w:kern w:val="0"/>
                <w:sz w:val="24"/>
                <w:lang w:val="en-US" w:eastAsia="zh-CN"/>
              </w:rPr>
            </w:pPr>
            <w:r>
              <w:rPr>
                <w:rFonts w:hint="eastAsia"/>
                <w:color w:val="auto"/>
                <w:sz w:val="24"/>
              </w:rPr>
              <w:t>拟建公路土石方挖方</w:t>
            </w:r>
            <w:r>
              <w:rPr>
                <w:rFonts w:hint="eastAsia"/>
                <w:color w:val="auto"/>
                <w:sz w:val="24"/>
                <w:lang w:val="en-US" w:eastAsia="zh-CN"/>
              </w:rPr>
              <w:t>总</w:t>
            </w:r>
            <w:r>
              <w:rPr>
                <w:rFonts w:hint="eastAsia"/>
                <w:color w:val="auto"/>
                <w:sz w:val="24"/>
              </w:rPr>
              <w:t>量</w:t>
            </w:r>
            <w:r>
              <w:rPr>
                <w:rFonts w:hint="eastAsia"/>
                <w:color w:val="auto"/>
                <w:sz w:val="24"/>
                <w:lang w:val="en-US" w:eastAsia="zh-CN"/>
              </w:rPr>
              <w:t>194.33</w:t>
            </w:r>
            <w:r>
              <w:rPr>
                <w:rFonts w:hint="eastAsia"/>
                <w:color w:val="auto"/>
                <w:sz w:val="24"/>
              </w:rPr>
              <w:t>万m</w:t>
            </w:r>
            <w:r>
              <w:rPr>
                <w:rFonts w:hint="eastAsia"/>
                <w:color w:val="auto"/>
                <w:sz w:val="24"/>
                <w:vertAlign w:val="superscript"/>
              </w:rPr>
              <w:t>3</w:t>
            </w:r>
            <w:r>
              <w:rPr>
                <w:rFonts w:hint="eastAsia"/>
                <w:color w:val="auto"/>
                <w:sz w:val="24"/>
              </w:rPr>
              <w:t>，对于能够满足路基填筑要求的开挖土石方优先考虑本桩利用，其次调运至临近路段利用。余方</w:t>
            </w:r>
            <w:r>
              <w:rPr>
                <w:rFonts w:hint="eastAsia"/>
                <w:color w:val="auto"/>
                <w:sz w:val="24"/>
                <w:lang w:val="en-US" w:eastAsia="zh-CN"/>
              </w:rPr>
              <w:t>中</w:t>
            </w:r>
            <w:r>
              <w:rPr>
                <w:rFonts w:hint="eastAsia"/>
                <w:color w:val="auto"/>
                <w:sz w:val="24"/>
              </w:rPr>
              <w:t>不能满足回填要求或拟不利用的开挖土石方运往弃渣场集中堆放，共计弃渣</w:t>
            </w:r>
            <w:r>
              <w:rPr>
                <w:rFonts w:hint="eastAsia"/>
                <w:color w:val="auto"/>
                <w:sz w:val="24"/>
                <w:lang w:val="en-US" w:eastAsia="zh-CN"/>
              </w:rPr>
              <w:t>123.74</w:t>
            </w:r>
            <w:r>
              <w:rPr>
                <w:rFonts w:hint="eastAsia"/>
                <w:color w:val="auto"/>
                <w:sz w:val="24"/>
              </w:rPr>
              <w:t>万m</w:t>
            </w:r>
            <w:r>
              <w:rPr>
                <w:rFonts w:hint="eastAsia"/>
                <w:color w:val="auto"/>
                <w:sz w:val="24"/>
                <w:vertAlign w:val="superscript"/>
              </w:rPr>
              <w:t>3</w:t>
            </w:r>
            <w:r>
              <w:rPr>
                <w:rFonts w:hint="eastAsia"/>
                <w:color w:val="auto"/>
                <w:sz w:val="24"/>
              </w:rPr>
              <w:t>。拟建公路所需填方量</w:t>
            </w:r>
            <w:r>
              <w:rPr>
                <w:rFonts w:hint="eastAsia"/>
                <w:color w:val="auto"/>
                <w:sz w:val="24"/>
                <w:lang w:val="en-US" w:eastAsia="zh-CN"/>
              </w:rPr>
              <w:t>201.67</w:t>
            </w:r>
            <w:r>
              <w:rPr>
                <w:rFonts w:hint="eastAsia"/>
                <w:color w:val="auto"/>
                <w:sz w:val="24"/>
              </w:rPr>
              <w:t>万m</w:t>
            </w:r>
            <w:r>
              <w:rPr>
                <w:rFonts w:hint="eastAsia"/>
                <w:color w:val="auto"/>
                <w:sz w:val="24"/>
                <w:vertAlign w:val="superscript"/>
              </w:rPr>
              <w:t>3</w:t>
            </w:r>
            <w:r>
              <w:rPr>
                <w:rFonts w:hint="eastAsia"/>
                <w:color w:val="auto"/>
                <w:sz w:val="24"/>
              </w:rPr>
              <w:t>，部分路段挖方为松土和软石，无法用作路基填方，同时受运距等限制，工程挖方不能满足全线填方需要，</w:t>
            </w:r>
            <w:r>
              <w:rPr>
                <w:rFonts w:hint="eastAsia"/>
                <w:color w:val="auto"/>
                <w:sz w:val="24"/>
                <w:lang w:val="en-US" w:eastAsia="zh-CN"/>
              </w:rPr>
              <w:t>需</w:t>
            </w:r>
            <w:r>
              <w:rPr>
                <w:rFonts w:hint="eastAsia"/>
                <w:color w:val="auto"/>
                <w:sz w:val="24"/>
              </w:rPr>
              <w:t>借方</w:t>
            </w:r>
            <w:r>
              <w:rPr>
                <w:rFonts w:hint="eastAsia"/>
                <w:color w:val="auto"/>
                <w:sz w:val="24"/>
                <w:lang w:val="en-US" w:eastAsia="zh-CN"/>
              </w:rPr>
              <w:t>131.08</w:t>
            </w:r>
            <w:r>
              <w:rPr>
                <w:rFonts w:hint="eastAsia"/>
                <w:color w:val="auto"/>
                <w:sz w:val="24"/>
              </w:rPr>
              <w:t>万m</w:t>
            </w:r>
            <w:r>
              <w:rPr>
                <w:rFonts w:hint="eastAsia"/>
                <w:color w:val="auto"/>
                <w:sz w:val="24"/>
                <w:vertAlign w:val="superscript"/>
              </w:rPr>
              <w:t>3</w:t>
            </w:r>
            <w:r>
              <w:rPr>
                <w:rFonts w:hint="eastAsia"/>
                <w:color w:val="auto"/>
                <w:sz w:val="24"/>
              </w:rPr>
              <w:t>，</w:t>
            </w:r>
            <w:r>
              <w:rPr>
                <w:rFonts w:hint="eastAsia"/>
                <w:color w:val="auto"/>
                <w:sz w:val="24"/>
                <w:lang w:val="en-US" w:eastAsia="zh-CN"/>
              </w:rPr>
              <w:t>来自1</w:t>
            </w:r>
            <w:r>
              <w:rPr>
                <w:rFonts w:hint="eastAsia"/>
                <w:color w:val="auto"/>
                <w:sz w:val="24"/>
              </w:rPr>
              <w:t>处</w:t>
            </w:r>
            <w:r>
              <w:rPr>
                <w:rFonts w:hint="eastAsia"/>
                <w:color w:val="auto"/>
                <w:sz w:val="24"/>
                <w:lang w:val="en-US" w:eastAsia="zh-CN"/>
              </w:rPr>
              <w:t>商品</w:t>
            </w:r>
            <w:r>
              <w:rPr>
                <w:rFonts w:hint="eastAsia"/>
                <w:color w:val="auto"/>
                <w:sz w:val="24"/>
              </w:rPr>
              <w:t>取土场</w:t>
            </w:r>
            <w:r>
              <w:rPr>
                <w:rFonts w:hint="eastAsia"/>
                <w:color w:val="auto"/>
                <w:sz w:val="24"/>
                <w:lang w:eastAsia="zh-CN"/>
              </w:rPr>
              <w:t>。</w:t>
            </w:r>
          </w:p>
          <w:p w14:paraId="184E1DB4">
            <w:pPr>
              <w:keepNext w:val="0"/>
              <w:keepLines w:val="0"/>
              <w:pageBreakBefore w:val="0"/>
              <w:widowControl w:val="0"/>
              <w:kinsoku/>
              <w:wordWrap/>
              <w:overflowPunct/>
              <w:topLinePunct w:val="0"/>
              <w:autoSpaceDE w:val="0"/>
              <w:autoSpaceDN w:val="0"/>
              <w:bidi w:val="0"/>
              <w:adjustRightInd w:val="0"/>
              <w:snapToGrid/>
              <w:spacing w:line="300" w:lineRule="auto"/>
              <w:ind w:firstLine="472" w:firstLineChars="196"/>
              <w:jc w:val="left"/>
              <w:textAlignment w:val="auto"/>
              <w:rPr>
                <w:b/>
                <w:color w:val="auto"/>
                <w:kern w:val="0"/>
                <w:sz w:val="24"/>
              </w:rPr>
            </w:pPr>
            <w:r>
              <w:rPr>
                <w:rFonts w:hint="eastAsia"/>
                <w:b/>
                <w:color w:val="auto"/>
                <w:kern w:val="0"/>
                <w:sz w:val="24"/>
              </w:rPr>
              <w:t>(1</w:t>
            </w:r>
            <w:r>
              <w:rPr>
                <w:rFonts w:hint="eastAsia"/>
                <w:b/>
                <w:color w:val="auto"/>
                <w:kern w:val="0"/>
                <w:sz w:val="24"/>
                <w:lang w:val="en-US" w:eastAsia="zh-CN"/>
              </w:rPr>
              <w:t>2</w:t>
            </w:r>
            <w:r>
              <w:rPr>
                <w:b/>
                <w:color w:val="auto"/>
                <w:kern w:val="0"/>
                <w:sz w:val="24"/>
              </w:rPr>
              <w:t xml:space="preserve">) </w:t>
            </w:r>
            <w:r>
              <w:rPr>
                <w:rFonts w:hint="eastAsia"/>
                <w:b/>
                <w:color w:val="auto"/>
                <w:kern w:val="0"/>
                <w:sz w:val="24"/>
              </w:rPr>
              <w:t>预测交通量</w:t>
            </w:r>
          </w:p>
          <w:p w14:paraId="34E01FE7">
            <w:pPr>
              <w:pStyle w:val="68"/>
              <w:spacing w:afterLines="50"/>
              <w:rPr>
                <w:color w:val="auto"/>
              </w:rPr>
            </w:pPr>
            <w:r>
              <w:rPr>
                <w:rFonts w:hint="eastAsia"/>
                <w:color w:val="auto"/>
              </w:rPr>
              <w:t>拟建公路营运期各特征年平均日交通量（折合标准小客车）的预测结果参见表</w:t>
            </w:r>
            <w:r>
              <w:rPr>
                <w:color w:val="auto"/>
              </w:rPr>
              <w:t>2-</w:t>
            </w:r>
            <w:r>
              <w:rPr>
                <w:rFonts w:hint="eastAsia"/>
                <w:color w:val="auto"/>
              </w:rPr>
              <w:t>12，各特征年绝对交通量预测结果见表</w:t>
            </w:r>
            <w:r>
              <w:rPr>
                <w:color w:val="auto"/>
              </w:rPr>
              <w:t>2-1</w:t>
            </w:r>
            <w:r>
              <w:rPr>
                <w:rFonts w:hint="eastAsia"/>
                <w:color w:val="auto"/>
              </w:rPr>
              <w:t>3。</w:t>
            </w:r>
          </w:p>
          <w:p w14:paraId="7DCA2DAA">
            <w:pPr>
              <w:pStyle w:val="68"/>
              <w:spacing w:line="240" w:lineRule="auto"/>
              <w:ind w:firstLine="0" w:firstLineChars="0"/>
              <w:jc w:val="center"/>
              <w:rPr>
                <w:b/>
                <w:bCs/>
                <w:color w:val="auto"/>
                <w:sz w:val="21"/>
                <w:szCs w:val="21"/>
              </w:rPr>
            </w:pPr>
            <w:r>
              <w:rPr>
                <w:rFonts w:hint="eastAsia"/>
                <w:b/>
                <w:bCs/>
                <w:color w:val="auto"/>
                <w:sz w:val="21"/>
                <w:szCs w:val="21"/>
              </w:rPr>
              <w:t>表</w:t>
            </w:r>
            <w:r>
              <w:rPr>
                <w:b/>
                <w:bCs/>
                <w:color w:val="auto"/>
                <w:sz w:val="21"/>
                <w:szCs w:val="21"/>
              </w:rPr>
              <w:t>2-</w:t>
            </w:r>
            <w:r>
              <w:rPr>
                <w:rFonts w:hint="eastAsia"/>
                <w:b/>
                <w:bCs/>
                <w:color w:val="auto"/>
                <w:sz w:val="21"/>
                <w:szCs w:val="21"/>
              </w:rPr>
              <w:t>12</w:t>
            </w:r>
            <w:r>
              <w:rPr>
                <w:b/>
                <w:bCs/>
                <w:color w:val="auto"/>
                <w:sz w:val="21"/>
                <w:szCs w:val="21"/>
              </w:rPr>
              <w:t xml:space="preserve">  </w:t>
            </w:r>
            <w:r>
              <w:rPr>
                <w:rFonts w:hint="eastAsia"/>
                <w:b/>
                <w:bCs/>
                <w:color w:val="auto"/>
                <w:sz w:val="21"/>
                <w:szCs w:val="21"/>
              </w:rPr>
              <w:t>拟建公路交通量预测结果（单位：</w:t>
            </w:r>
            <w:r>
              <w:rPr>
                <w:b/>
                <w:bCs/>
                <w:color w:val="auto"/>
                <w:sz w:val="21"/>
                <w:szCs w:val="21"/>
              </w:rPr>
              <w:t>pcu/</w:t>
            </w:r>
            <w:r>
              <w:rPr>
                <w:rFonts w:hint="eastAsia"/>
                <w:b/>
                <w:bCs/>
                <w:color w:val="auto"/>
                <w:sz w:val="21"/>
                <w:szCs w:val="21"/>
              </w:rPr>
              <w:t>日）</w:t>
            </w:r>
          </w:p>
          <w:tbl>
            <w:tblPr>
              <w:tblStyle w:val="22"/>
              <w:tblW w:w="84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3231"/>
              <w:gridCol w:w="1701"/>
              <w:gridCol w:w="1701"/>
              <w:gridCol w:w="1811"/>
            </w:tblGrid>
            <w:tr w14:paraId="2E155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3231" w:type="dxa"/>
                  <w:tcBorders>
                    <w:tl2br w:val="nil"/>
                    <w:tr2bl w:val="nil"/>
                  </w:tcBorders>
                  <w:noWrap/>
                  <w:vAlign w:val="center"/>
                </w:tcPr>
                <w:p w14:paraId="35DE93C2">
                  <w:pPr>
                    <w:jc w:val="center"/>
                    <w:rPr>
                      <w:b/>
                      <w:color w:val="auto"/>
                      <w:szCs w:val="21"/>
                    </w:rPr>
                  </w:pPr>
                  <w:r>
                    <w:rPr>
                      <w:b/>
                      <w:color w:val="auto"/>
                      <w:szCs w:val="21"/>
                    </w:rPr>
                    <w:t xml:space="preserve">                  预测特征年</w:t>
                  </w:r>
                </w:p>
                <w:p w14:paraId="6FD984BB">
                  <w:pPr>
                    <w:jc w:val="left"/>
                    <w:rPr>
                      <w:b/>
                      <w:color w:val="auto"/>
                      <w:szCs w:val="21"/>
                    </w:rPr>
                  </w:pPr>
                  <w:r>
                    <w:rPr>
                      <w:b/>
                      <w:color w:val="auto"/>
                      <w:szCs w:val="21"/>
                    </w:rPr>
                    <w:t>路段</w:t>
                  </w:r>
                </w:p>
              </w:tc>
              <w:tc>
                <w:tcPr>
                  <w:tcW w:w="1701" w:type="dxa"/>
                  <w:tcBorders>
                    <w:tl2br w:val="nil"/>
                    <w:tr2bl w:val="nil"/>
                  </w:tcBorders>
                  <w:noWrap/>
                  <w:vAlign w:val="center"/>
                </w:tcPr>
                <w:p w14:paraId="27AE0232">
                  <w:pPr>
                    <w:widowControl/>
                    <w:jc w:val="center"/>
                    <w:rPr>
                      <w:b/>
                      <w:color w:val="auto"/>
                      <w:szCs w:val="21"/>
                    </w:rPr>
                  </w:pPr>
                  <w:r>
                    <w:rPr>
                      <w:b/>
                      <w:color w:val="auto"/>
                      <w:szCs w:val="21"/>
                    </w:rPr>
                    <w:t>202</w:t>
                  </w:r>
                  <w:r>
                    <w:rPr>
                      <w:rFonts w:hint="eastAsia"/>
                      <w:b/>
                      <w:color w:val="auto"/>
                      <w:szCs w:val="21"/>
                    </w:rPr>
                    <w:t>8</w:t>
                  </w:r>
                  <w:r>
                    <w:rPr>
                      <w:b/>
                      <w:color w:val="auto"/>
                      <w:szCs w:val="21"/>
                    </w:rPr>
                    <w:t>年</w:t>
                  </w:r>
                </w:p>
              </w:tc>
              <w:tc>
                <w:tcPr>
                  <w:tcW w:w="1701" w:type="dxa"/>
                  <w:tcBorders>
                    <w:tl2br w:val="nil"/>
                    <w:tr2bl w:val="nil"/>
                  </w:tcBorders>
                  <w:noWrap/>
                  <w:vAlign w:val="center"/>
                </w:tcPr>
                <w:p w14:paraId="5CE42BC7">
                  <w:pPr>
                    <w:jc w:val="center"/>
                    <w:rPr>
                      <w:b/>
                      <w:color w:val="auto"/>
                      <w:szCs w:val="21"/>
                    </w:rPr>
                  </w:pPr>
                  <w:r>
                    <w:rPr>
                      <w:b/>
                      <w:color w:val="auto"/>
                      <w:szCs w:val="21"/>
                    </w:rPr>
                    <w:t>203</w:t>
                  </w:r>
                  <w:r>
                    <w:rPr>
                      <w:rFonts w:hint="eastAsia"/>
                      <w:b/>
                      <w:color w:val="auto"/>
                      <w:szCs w:val="21"/>
                    </w:rPr>
                    <w:t>4</w:t>
                  </w:r>
                  <w:r>
                    <w:rPr>
                      <w:b/>
                      <w:color w:val="auto"/>
                      <w:szCs w:val="21"/>
                    </w:rPr>
                    <w:t>年</w:t>
                  </w:r>
                </w:p>
              </w:tc>
              <w:tc>
                <w:tcPr>
                  <w:tcW w:w="1811" w:type="dxa"/>
                  <w:tcBorders>
                    <w:tl2br w:val="nil"/>
                    <w:tr2bl w:val="nil"/>
                  </w:tcBorders>
                  <w:noWrap/>
                  <w:vAlign w:val="center"/>
                </w:tcPr>
                <w:p w14:paraId="54348524">
                  <w:pPr>
                    <w:jc w:val="center"/>
                    <w:rPr>
                      <w:b/>
                      <w:color w:val="auto"/>
                      <w:szCs w:val="21"/>
                    </w:rPr>
                  </w:pPr>
                  <w:r>
                    <w:rPr>
                      <w:b/>
                      <w:color w:val="auto"/>
                      <w:szCs w:val="21"/>
                    </w:rPr>
                    <w:t>204</w:t>
                  </w:r>
                  <w:r>
                    <w:rPr>
                      <w:rFonts w:hint="eastAsia"/>
                      <w:b/>
                      <w:color w:val="auto"/>
                      <w:szCs w:val="21"/>
                    </w:rPr>
                    <w:t>2</w:t>
                  </w:r>
                  <w:r>
                    <w:rPr>
                      <w:b/>
                      <w:color w:val="auto"/>
                      <w:szCs w:val="21"/>
                    </w:rPr>
                    <w:t>年</w:t>
                  </w:r>
                </w:p>
              </w:tc>
            </w:tr>
            <w:tr w14:paraId="57073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3231" w:type="dxa"/>
                  <w:tcBorders>
                    <w:tl2br w:val="nil"/>
                    <w:tr2bl w:val="nil"/>
                  </w:tcBorders>
                  <w:noWrap/>
                  <w:vAlign w:val="center"/>
                </w:tcPr>
                <w:p w14:paraId="29635454">
                  <w:pPr>
                    <w:jc w:val="center"/>
                    <w:rPr>
                      <w:rFonts w:ascii="宋体" w:hAnsi="宋体" w:cs="宋体"/>
                      <w:color w:val="auto"/>
                      <w:sz w:val="24"/>
                    </w:rPr>
                  </w:pPr>
                  <w:r>
                    <w:rPr>
                      <w:rFonts w:hint="eastAsia"/>
                      <w:color w:val="auto"/>
                    </w:rPr>
                    <w:t>起点～胜利路</w:t>
                  </w:r>
                </w:p>
              </w:tc>
              <w:tc>
                <w:tcPr>
                  <w:tcW w:w="1701" w:type="dxa"/>
                  <w:tcBorders>
                    <w:tl2br w:val="nil"/>
                    <w:tr2bl w:val="nil"/>
                  </w:tcBorders>
                  <w:noWrap/>
                  <w:vAlign w:val="center"/>
                </w:tcPr>
                <w:p w14:paraId="7E05EDB4">
                  <w:pPr>
                    <w:jc w:val="center"/>
                    <w:rPr>
                      <w:color w:val="auto"/>
                      <w:sz w:val="24"/>
                    </w:rPr>
                  </w:pPr>
                  <w:r>
                    <w:rPr>
                      <w:color w:val="auto"/>
                    </w:rPr>
                    <w:t>14463</w:t>
                  </w:r>
                </w:p>
              </w:tc>
              <w:tc>
                <w:tcPr>
                  <w:tcW w:w="1701" w:type="dxa"/>
                  <w:tcBorders>
                    <w:tl2br w:val="nil"/>
                    <w:tr2bl w:val="nil"/>
                  </w:tcBorders>
                  <w:noWrap/>
                  <w:vAlign w:val="center"/>
                </w:tcPr>
                <w:p w14:paraId="660BF00F">
                  <w:pPr>
                    <w:jc w:val="center"/>
                    <w:rPr>
                      <w:color w:val="auto"/>
                      <w:sz w:val="24"/>
                    </w:rPr>
                  </w:pPr>
                  <w:r>
                    <w:rPr>
                      <w:color w:val="auto"/>
                    </w:rPr>
                    <w:t>17270</w:t>
                  </w:r>
                </w:p>
              </w:tc>
              <w:tc>
                <w:tcPr>
                  <w:tcW w:w="1811" w:type="dxa"/>
                  <w:tcBorders>
                    <w:tl2br w:val="nil"/>
                    <w:tr2bl w:val="nil"/>
                  </w:tcBorders>
                  <w:noWrap/>
                  <w:vAlign w:val="center"/>
                </w:tcPr>
                <w:p w14:paraId="3A74E1D7">
                  <w:pPr>
                    <w:jc w:val="center"/>
                    <w:rPr>
                      <w:color w:val="auto"/>
                      <w:sz w:val="24"/>
                    </w:rPr>
                  </w:pPr>
                  <w:r>
                    <w:rPr>
                      <w:color w:val="auto"/>
                    </w:rPr>
                    <w:t>20311</w:t>
                  </w:r>
                </w:p>
              </w:tc>
            </w:tr>
            <w:tr w14:paraId="63BCA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3231" w:type="dxa"/>
                  <w:tcBorders>
                    <w:tl2br w:val="nil"/>
                    <w:tr2bl w:val="nil"/>
                  </w:tcBorders>
                  <w:noWrap/>
                  <w:vAlign w:val="center"/>
                </w:tcPr>
                <w:p w14:paraId="359B67A0">
                  <w:pPr>
                    <w:jc w:val="center"/>
                    <w:rPr>
                      <w:rFonts w:ascii="宋体" w:hAnsi="宋体" w:cs="宋体"/>
                      <w:color w:val="auto"/>
                      <w:sz w:val="24"/>
                    </w:rPr>
                  </w:pPr>
                  <w:r>
                    <w:rPr>
                      <w:rFonts w:hint="eastAsia"/>
                      <w:color w:val="auto"/>
                    </w:rPr>
                    <w:t>胜利路～S311</w:t>
                  </w:r>
                </w:p>
              </w:tc>
              <w:tc>
                <w:tcPr>
                  <w:tcW w:w="1701" w:type="dxa"/>
                  <w:tcBorders>
                    <w:tl2br w:val="nil"/>
                    <w:tr2bl w:val="nil"/>
                  </w:tcBorders>
                  <w:noWrap/>
                  <w:vAlign w:val="center"/>
                </w:tcPr>
                <w:p w14:paraId="4B20E69E">
                  <w:pPr>
                    <w:jc w:val="center"/>
                    <w:rPr>
                      <w:color w:val="auto"/>
                      <w:sz w:val="24"/>
                    </w:rPr>
                  </w:pPr>
                  <w:r>
                    <w:rPr>
                      <w:color w:val="auto"/>
                    </w:rPr>
                    <w:t>10441</w:t>
                  </w:r>
                </w:p>
              </w:tc>
              <w:tc>
                <w:tcPr>
                  <w:tcW w:w="1701" w:type="dxa"/>
                  <w:tcBorders>
                    <w:tl2br w:val="nil"/>
                    <w:tr2bl w:val="nil"/>
                  </w:tcBorders>
                  <w:noWrap/>
                  <w:vAlign w:val="center"/>
                </w:tcPr>
                <w:p w14:paraId="03034CBF">
                  <w:pPr>
                    <w:jc w:val="center"/>
                    <w:rPr>
                      <w:color w:val="auto"/>
                      <w:sz w:val="24"/>
                    </w:rPr>
                  </w:pPr>
                  <w:r>
                    <w:rPr>
                      <w:color w:val="auto"/>
                    </w:rPr>
                    <w:t>12466</w:t>
                  </w:r>
                </w:p>
              </w:tc>
              <w:tc>
                <w:tcPr>
                  <w:tcW w:w="1811" w:type="dxa"/>
                  <w:tcBorders>
                    <w:tl2br w:val="nil"/>
                    <w:tr2bl w:val="nil"/>
                  </w:tcBorders>
                  <w:noWrap/>
                  <w:vAlign w:val="center"/>
                </w:tcPr>
                <w:p w14:paraId="17DACBE2">
                  <w:pPr>
                    <w:jc w:val="center"/>
                    <w:rPr>
                      <w:color w:val="auto"/>
                      <w:sz w:val="24"/>
                    </w:rPr>
                  </w:pPr>
                  <w:r>
                    <w:rPr>
                      <w:color w:val="auto"/>
                    </w:rPr>
                    <w:t>14661</w:t>
                  </w:r>
                </w:p>
              </w:tc>
            </w:tr>
            <w:tr w14:paraId="31BF4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3231" w:type="dxa"/>
                  <w:tcBorders>
                    <w:tl2br w:val="nil"/>
                    <w:tr2bl w:val="nil"/>
                  </w:tcBorders>
                  <w:noWrap/>
                  <w:vAlign w:val="center"/>
                </w:tcPr>
                <w:p w14:paraId="3915665C">
                  <w:pPr>
                    <w:jc w:val="center"/>
                    <w:rPr>
                      <w:rFonts w:ascii="宋体" w:hAnsi="宋体" w:cs="宋体"/>
                      <w:color w:val="auto"/>
                      <w:sz w:val="24"/>
                    </w:rPr>
                  </w:pPr>
                  <w:r>
                    <w:rPr>
                      <w:rFonts w:hint="eastAsia"/>
                      <w:color w:val="auto"/>
                    </w:rPr>
                    <w:t>S311～高速口</w:t>
                  </w:r>
                </w:p>
              </w:tc>
              <w:tc>
                <w:tcPr>
                  <w:tcW w:w="1701" w:type="dxa"/>
                  <w:tcBorders>
                    <w:tl2br w:val="nil"/>
                    <w:tr2bl w:val="nil"/>
                  </w:tcBorders>
                  <w:noWrap/>
                  <w:vAlign w:val="center"/>
                </w:tcPr>
                <w:p w14:paraId="5B3B8FC7">
                  <w:pPr>
                    <w:jc w:val="center"/>
                    <w:rPr>
                      <w:color w:val="auto"/>
                      <w:sz w:val="24"/>
                    </w:rPr>
                  </w:pPr>
                  <w:r>
                    <w:rPr>
                      <w:color w:val="auto"/>
                    </w:rPr>
                    <w:t>9841</w:t>
                  </w:r>
                </w:p>
              </w:tc>
              <w:tc>
                <w:tcPr>
                  <w:tcW w:w="1701" w:type="dxa"/>
                  <w:tcBorders>
                    <w:tl2br w:val="nil"/>
                    <w:tr2bl w:val="nil"/>
                  </w:tcBorders>
                  <w:noWrap/>
                  <w:vAlign w:val="center"/>
                </w:tcPr>
                <w:p w14:paraId="11AD49A1">
                  <w:pPr>
                    <w:jc w:val="center"/>
                    <w:rPr>
                      <w:color w:val="auto"/>
                      <w:sz w:val="24"/>
                    </w:rPr>
                  </w:pPr>
                  <w:r>
                    <w:rPr>
                      <w:color w:val="auto"/>
                    </w:rPr>
                    <w:t>11750</w:t>
                  </w:r>
                </w:p>
              </w:tc>
              <w:tc>
                <w:tcPr>
                  <w:tcW w:w="1811" w:type="dxa"/>
                  <w:tcBorders>
                    <w:tl2br w:val="nil"/>
                    <w:tr2bl w:val="nil"/>
                  </w:tcBorders>
                  <w:noWrap/>
                  <w:vAlign w:val="center"/>
                </w:tcPr>
                <w:p w14:paraId="59C8F4EE">
                  <w:pPr>
                    <w:jc w:val="center"/>
                    <w:rPr>
                      <w:color w:val="auto"/>
                      <w:sz w:val="24"/>
                    </w:rPr>
                  </w:pPr>
                  <w:r>
                    <w:rPr>
                      <w:color w:val="auto"/>
                    </w:rPr>
                    <w:t>13818</w:t>
                  </w:r>
                </w:p>
              </w:tc>
            </w:tr>
            <w:tr w14:paraId="0290B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3231" w:type="dxa"/>
                  <w:tcBorders>
                    <w:tl2br w:val="nil"/>
                    <w:tr2bl w:val="nil"/>
                  </w:tcBorders>
                  <w:noWrap/>
                  <w:vAlign w:val="center"/>
                </w:tcPr>
                <w:p w14:paraId="2C4C85A4">
                  <w:pPr>
                    <w:jc w:val="center"/>
                    <w:rPr>
                      <w:rFonts w:ascii="宋体" w:hAnsi="宋体" w:cs="宋体"/>
                      <w:color w:val="auto"/>
                      <w:sz w:val="24"/>
                    </w:rPr>
                  </w:pPr>
                  <w:r>
                    <w:rPr>
                      <w:rFonts w:hint="eastAsia"/>
                      <w:color w:val="auto"/>
                    </w:rPr>
                    <w:t>高速口～岳普湖</w:t>
                  </w:r>
                </w:p>
              </w:tc>
              <w:tc>
                <w:tcPr>
                  <w:tcW w:w="1701" w:type="dxa"/>
                  <w:tcBorders>
                    <w:tl2br w:val="nil"/>
                    <w:tr2bl w:val="nil"/>
                  </w:tcBorders>
                  <w:noWrap/>
                  <w:vAlign w:val="center"/>
                </w:tcPr>
                <w:p w14:paraId="70C1D103">
                  <w:pPr>
                    <w:jc w:val="center"/>
                    <w:rPr>
                      <w:color w:val="auto"/>
                      <w:sz w:val="24"/>
                    </w:rPr>
                  </w:pPr>
                  <w:r>
                    <w:rPr>
                      <w:color w:val="auto"/>
                    </w:rPr>
                    <w:t>11014</w:t>
                  </w:r>
                </w:p>
              </w:tc>
              <w:tc>
                <w:tcPr>
                  <w:tcW w:w="1701" w:type="dxa"/>
                  <w:tcBorders>
                    <w:tl2br w:val="nil"/>
                    <w:tr2bl w:val="nil"/>
                  </w:tcBorders>
                  <w:noWrap/>
                  <w:vAlign w:val="center"/>
                </w:tcPr>
                <w:p w14:paraId="1166E515">
                  <w:pPr>
                    <w:jc w:val="center"/>
                    <w:rPr>
                      <w:color w:val="auto"/>
                      <w:sz w:val="24"/>
                    </w:rPr>
                  </w:pPr>
                  <w:r>
                    <w:rPr>
                      <w:color w:val="auto"/>
                    </w:rPr>
                    <w:t>13151</w:t>
                  </w:r>
                </w:p>
              </w:tc>
              <w:tc>
                <w:tcPr>
                  <w:tcW w:w="1811" w:type="dxa"/>
                  <w:tcBorders>
                    <w:tl2br w:val="nil"/>
                    <w:tr2bl w:val="nil"/>
                  </w:tcBorders>
                  <w:noWrap/>
                  <w:vAlign w:val="center"/>
                </w:tcPr>
                <w:p w14:paraId="0F5D9C7C">
                  <w:pPr>
                    <w:jc w:val="center"/>
                    <w:rPr>
                      <w:color w:val="auto"/>
                      <w:sz w:val="24"/>
                    </w:rPr>
                  </w:pPr>
                  <w:r>
                    <w:rPr>
                      <w:color w:val="auto"/>
                    </w:rPr>
                    <w:t>15466</w:t>
                  </w:r>
                </w:p>
              </w:tc>
            </w:tr>
            <w:tr w14:paraId="67A32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3231" w:type="dxa"/>
                  <w:tcBorders>
                    <w:tl2br w:val="nil"/>
                    <w:tr2bl w:val="nil"/>
                  </w:tcBorders>
                  <w:noWrap/>
                  <w:vAlign w:val="center"/>
                </w:tcPr>
                <w:p w14:paraId="559BB6BC">
                  <w:pPr>
                    <w:jc w:val="center"/>
                    <w:rPr>
                      <w:b/>
                      <w:color w:val="auto"/>
                      <w:szCs w:val="21"/>
                    </w:rPr>
                  </w:pPr>
                  <w:r>
                    <w:rPr>
                      <w:b/>
                      <w:color w:val="auto"/>
                    </w:rPr>
                    <w:t>加权平均值</w:t>
                  </w:r>
                </w:p>
              </w:tc>
              <w:tc>
                <w:tcPr>
                  <w:tcW w:w="1701" w:type="dxa"/>
                  <w:tcBorders>
                    <w:tl2br w:val="nil"/>
                    <w:tr2bl w:val="nil"/>
                  </w:tcBorders>
                  <w:noWrap/>
                  <w:vAlign w:val="center"/>
                </w:tcPr>
                <w:p w14:paraId="13CDA23E">
                  <w:pPr>
                    <w:jc w:val="center"/>
                    <w:rPr>
                      <w:b/>
                      <w:color w:val="auto"/>
                      <w:szCs w:val="21"/>
                    </w:rPr>
                  </w:pPr>
                  <w:r>
                    <w:rPr>
                      <w:b/>
                      <w:color w:val="auto"/>
                      <w:szCs w:val="21"/>
                    </w:rPr>
                    <w:t>12430</w:t>
                  </w:r>
                </w:p>
              </w:tc>
              <w:tc>
                <w:tcPr>
                  <w:tcW w:w="1701" w:type="dxa"/>
                  <w:tcBorders>
                    <w:tl2br w:val="nil"/>
                    <w:tr2bl w:val="nil"/>
                  </w:tcBorders>
                  <w:noWrap/>
                  <w:vAlign w:val="center"/>
                </w:tcPr>
                <w:p w14:paraId="3125FAC9">
                  <w:pPr>
                    <w:jc w:val="center"/>
                    <w:rPr>
                      <w:b/>
                      <w:color w:val="auto"/>
                      <w:szCs w:val="21"/>
                    </w:rPr>
                  </w:pPr>
                  <w:r>
                    <w:rPr>
                      <w:b/>
                      <w:color w:val="auto"/>
                      <w:szCs w:val="21"/>
                    </w:rPr>
                    <w:t>14842</w:t>
                  </w:r>
                </w:p>
              </w:tc>
              <w:tc>
                <w:tcPr>
                  <w:tcW w:w="1811" w:type="dxa"/>
                  <w:tcBorders>
                    <w:tl2br w:val="nil"/>
                    <w:tr2bl w:val="nil"/>
                  </w:tcBorders>
                  <w:noWrap/>
                  <w:vAlign w:val="center"/>
                </w:tcPr>
                <w:p w14:paraId="0343CDED">
                  <w:pPr>
                    <w:jc w:val="center"/>
                    <w:rPr>
                      <w:b/>
                      <w:color w:val="auto"/>
                      <w:szCs w:val="21"/>
                    </w:rPr>
                  </w:pPr>
                  <w:r>
                    <w:rPr>
                      <w:b/>
                      <w:color w:val="auto"/>
                      <w:szCs w:val="21"/>
                    </w:rPr>
                    <w:t>17455</w:t>
                  </w:r>
                </w:p>
              </w:tc>
            </w:tr>
          </w:tbl>
          <w:p w14:paraId="7D738AAD">
            <w:pPr>
              <w:pStyle w:val="68"/>
              <w:spacing w:beforeLines="100" w:line="240" w:lineRule="auto"/>
              <w:ind w:firstLine="0" w:firstLineChars="0"/>
              <w:jc w:val="center"/>
              <w:rPr>
                <w:b/>
                <w:bCs/>
                <w:color w:val="auto"/>
                <w:sz w:val="21"/>
                <w:szCs w:val="21"/>
              </w:rPr>
            </w:pPr>
            <w:r>
              <w:rPr>
                <w:rFonts w:hint="eastAsia"/>
                <w:b/>
                <w:bCs/>
                <w:color w:val="auto"/>
                <w:sz w:val="21"/>
                <w:szCs w:val="21"/>
              </w:rPr>
              <w:t>表</w:t>
            </w:r>
            <w:r>
              <w:rPr>
                <w:b/>
                <w:bCs/>
                <w:color w:val="auto"/>
                <w:sz w:val="21"/>
                <w:szCs w:val="21"/>
              </w:rPr>
              <w:t>2-1</w:t>
            </w:r>
            <w:r>
              <w:rPr>
                <w:rFonts w:hint="eastAsia"/>
                <w:b/>
                <w:bCs/>
                <w:color w:val="auto"/>
                <w:sz w:val="21"/>
                <w:szCs w:val="21"/>
              </w:rPr>
              <w:t>3</w:t>
            </w:r>
            <w:r>
              <w:rPr>
                <w:b/>
                <w:bCs/>
                <w:color w:val="auto"/>
                <w:sz w:val="21"/>
                <w:szCs w:val="21"/>
              </w:rPr>
              <w:t xml:space="preserve">  </w:t>
            </w:r>
            <w:r>
              <w:rPr>
                <w:rFonts w:hint="eastAsia"/>
                <w:b/>
                <w:bCs/>
                <w:color w:val="auto"/>
                <w:sz w:val="21"/>
                <w:szCs w:val="21"/>
              </w:rPr>
              <w:t>拟建公路绝对交通量预测结果（单位：辆</w:t>
            </w:r>
            <w:r>
              <w:rPr>
                <w:b/>
                <w:bCs/>
                <w:color w:val="auto"/>
                <w:sz w:val="21"/>
                <w:szCs w:val="21"/>
              </w:rPr>
              <w:t>/</w:t>
            </w:r>
            <w:r>
              <w:rPr>
                <w:rFonts w:hint="eastAsia"/>
                <w:b/>
                <w:bCs/>
                <w:color w:val="auto"/>
                <w:sz w:val="21"/>
                <w:szCs w:val="21"/>
              </w:rPr>
              <w:t>日）</w:t>
            </w:r>
          </w:p>
          <w:tbl>
            <w:tblPr>
              <w:tblStyle w:val="22"/>
              <w:tblW w:w="84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3231"/>
              <w:gridCol w:w="1701"/>
              <w:gridCol w:w="1701"/>
              <w:gridCol w:w="1811"/>
            </w:tblGrid>
            <w:tr w14:paraId="7C425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3231" w:type="dxa"/>
                  <w:tcBorders>
                    <w:tl2br w:val="nil"/>
                    <w:tr2bl w:val="nil"/>
                  </w:tcBorders>
                  <w:noWrap/>
                  <w:vAlign w:val="center"/>
                </w:tcPr>
                <w:p w14:paraId="66B5DEFE">
                  <w:pPr>
                    <w:jc w:val="center"/>
                    <w:rPr>
                      <w:b/>
                      <w:color w:val="auto"/>
                      <w:szCs w:val="21"/>
                    </w:rPr>
                  </w:pPr>
                  <w:r>
                    <w:rPr>
                      <w:b/>
                      <w:color w:val="auto"/>
                      <w:szCs w:val="21"/>
                    </w:rPr>
                    <w:t xml:space="preserve">                  预测特征年</w:t>
                  </w:r>
                </w:p>
                <w:p w14:paraId="1E7FAF3F">
                  <w:pPr>
                    <w:jc w:val="left"/>
                    <w:rPr>
                      <w:b/>
                      <w:color w:val="auto"/>
                      <w:szCs w:val="21"/>
                    </w:rPr>
                  </w:pPr>
                  <w:r>
                    <w:rPr>
                      <w:b/>
                      <w:color w:val="auto"/>
                      <w:szCs w:val="21"/>
                    </w:rPr>
                    <w:t>路段</w:t>
                  </w:r>
                </w:p>
              </w:tc>
              <w:tc>
                <w:tcPr>
                  <w:tcW w:w="1701" w:type="dxa"/>
                  <w:tcBorders>
                    <w:tl2br w:val="nil"/>
                    <w:tr2bl w:val="nil"/>
                  </w:tcBorders>
                  <w:noWrap/>
                  <w:vAlign w:val="center"/>
                </w:tcPr>
                <w:p w14:paraId="63218308">
                  <w:pPr>
                    <w:widowControl/>
                    <w:jc w:val="center"/>
                    <w:rPr>
                      <w:b/>
                      <w:color w:val="auto"/>
                      <w:szCs w:val="21"/>
                    </w:rPr>
                  </w:pPr>
                  <w:r>
                    <w:rPr>
                      <w:b/>
                      <w:color w:val="auto"/>
                      <w:szCs w:val="21"/>
                    </w:rPr>
                    <w:t>202</w:t>
                  </w:r>
                  <w:r>
                    <w:rPr>
                      <w:rFonts w:hint="eastAsia"/>
                      <w:b/>
                      <w:color w:val="auto"/>
                      <w:szCs w:val="21"/>
                    </w:rPr>
                    <w:t>8</w:t>
                  </w:r>
                  <w:r>
                    <w:rPr>
                      <w:b/>
                      <w:color w:val="auto"/>
                      <w:szCs w:val="21"/>
                    </w:rPr>
                    <w:t>年</w:t>
                  </w:r>
                </w:p>
              </w:tc>
              <w:tc>
                <w:tcPr>
                  <w:tcW w:w="1701" w:type="dxa"/>
                  <w:tcBorders>
                    <w:tl2br w:val="nil"/>
                    <w:tr2bl w:val="nil"/>
                  </w:tcBorders>
                  <w:noWrap/>
                  <w:vAlign w:val="center"/>
                </w:tcPr>
                <w:p w14:paraId="2F3FEC42">
                  <w:pPr>
                    <w:jc w:val="center"/>
                    <w:rPr>
                      <w:b/>
                      <w:color w:val="auto"/>
                      <w:szCs w:val="21"/>
                    </w:rPr>
                  </w:pPr>
                  <w:r>
                    <w:rPr>
                      <w:b/>
                      <w:color w:val="auto"/>
                      <w:szCs w:val="21"/>
                    </w:rPr>
                    <w:t>203</w:t>
                  </w:r>
                  <w:r>
                    <w:rPr>
                      <w:rFonts w:hint="eastAsia"/>
                      <w:b/>
                      <w:color w:val="auto"/>
                      <w:szCs w:val="21"/>
                    </w:rPr>
                    <w:t>4</w:t>
                  </w:r>
                  <w:r>
                    <w:rPr>
                      <w:b/>
                      <w:color w:val="auto"/>
                      <w:szCs w:val="21"/>
                    </w:rPr>
                    <w:t>年</w:t>
                  </w:r>
                </w:p>
              </w:tc>
              <w:tc>
                <w:tcPr>
                  <w:tcW w:w="1811" w:type="dxa"/>
                  <w:tcBorders>
                    <w:tl2br w:val="nil"/>
                    <w:tr2bl w:val="nil"/>
                  </w:tcBorders>
                  <w:noWrap/>
                  <w:vAlign w:val="center"/>
                </w:tcPr>
                <w:p w14:paraId="338AD07F">
                  <w:pPr>
                    <w:jc w:val="center"/>
                    <w:rPr>
                      <w:b/>
                      <w:color w:val="auto"/>
                      <w:szCs w:val="21"/>
                    </w:rPr>
                  </w:pPr>
                  <w:r>
                    <w:rPr>
                      <w:b/>
                      <w:color w:val="auto"/>
                      <w:szCs w:val="21"/>
                    </w:rPr>
                    <w:t>204</w:t>
                  </w:r>
                  <w:r>
                    <w:rPr>
                      <w:rFonts w:hint="eastAsia"/>
                      <w:b/>
                      <w:color w:val="auto"/>
                      <w:szCs w:val="21"/>
                    </w:rPr>
                    <w:t>2</w:t>
                  </w:r>
                  <w:r>
                    <w:rPr>
                      <w:b/>
                      <w:color w:val="auto"/>
                      <w:szCs w:val="21"/>
                    </w:rPr>
                    <w:t>年</w:t>
                  </w:r>
                </w:p>
              </w:tc>
            </w:tr>
            <w:tr w14:paraId="24A4D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3231" w:type="dxa"/>
                  <w:tcBorders>
                    <w:tl2br w:val="nil"/>
                    <w:tr2bl w:val="nil"/>
                  </w:tcBorders>
                  <w:noWrap/>
                  <w:vAlign w:val="center"/>
                </w:tcPr>
                <w:p w14:paraId="01EEADD6">
                  <w:pPr>
                    <w:jc w:val="center"/>
                    <w:rPr>
                      <w:rFonts w:ascii="宋体" w:hAnsi="宋体" w:cs="宋体"/>
                      <w:color w:val="auto"/>
                      <w:sz w:val="24"/>
                    </w:rPr>
                  </w:pPr>
                  <w:r>
                    <w:rPr>
                      <w:rFonts w:hint="eastAsia"/>
                      <w:color w:val="auto"/>
                    </w:rPr>
                    <w:t>起点～胜利路</w:t>
                  </w:r>
                </w:p>
              </w:tc>
              <w:tc>
                <w:tcPr>
                  <w:tcW w:w="1701" w:type="dxa"/>
                  <w:tcBorders>
                    <w:tl2br w:val="nil"/>
                    <w:tr2bl w:val="nil"/>
                  </w:tcBorders>
                  <w:noWrap/>
                  <w:vAlign w:val="center"/>
                </w:tcPr>
                <w:p w14:paraId="018281D1">
                  <w:pPr>
                    <w:jc w:val="center"/>
                    <w:rPr>
                      <w:color w:val="auto"/>
                      <w:sz w:val="24"/>
                      <w:u w:val="none"/>
                    </w:rPr>
                  </w:pPr>
                  <w:r>
                    <w:rPr>
                      <w:color w:val="auto"/>
                      <w:u w:val="none"/>
                    </w:rPr>
                    <w:t>9250</w:t>
                  </w:r>
                </w:p>
              </w:tc>
              <w:tc>
                <w:tcPr>
                  <w:tcW w:w="1701" w:type="dxa"/>
                  <w:tcBorders>
                    <w:tl2br w:val="nil"/>
                    <w:tr2bl w:val="nil"/>
                  </w:tcBorders>
                  <w:noWrap/>
                  <w:vAlign w:val="center"/>
                </w:tcPr>
                <w:p w14:paraId="076DF7D5">
                  <w:pPr>
                    <w:jc w:val="center"/>
                    <w:rPr>
                      <w:color w:val="auto"/>
                      <w:sz w:val="24"/>
                      <w:u w:val="none"/>
                    </w:rPr>
                  </w:pPr>
                  <w:r>
                    <w:rPr>
                      <w:color w:val="auto"/>
                      <w:u w:val="none"/>
                    </w:rPr>
                    <w:t>11032</w:t>
                  </w:r>
                </w:p>
              </w:tc>
              <w:tc>
                <w:tcPr>
                  <w:tcW w:w="1811" w:type="dxa"/>
                  <w:tcBorders>
                    <w:tl2br w:val="nil"/>
                    <w:tr2bl w:val="nil"/>
                  </w:tcBorders>
                  <w:noWrap/>
                  <w:vAlign w:val="center"/>
                </w:tcPr>
                <w:p w14:paraId="615C3FCD">
                  <w:pPr>
                    <w:jc w:val="center"/>
                    <w:rPr>
                      <w:color w:val="auto"/>
                      <w:sz w:val="24"/>
                      <w:u w:val="none"/>
                    </w:rPr>
                  </w:pPr>
                  <w:r>
                    <w:rPr>
                      <w:color w:val="auto"/>
                      <w:u w:val="none"/>
                    </w:rPr>
                    <w:t>12979</w:t>
                  </w:r>
                </w:p>
              </w:tc>
            </w:tr>
            <w:tr w14:paraId="2062B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3231" w:type="dxa"/>
                  <w:tcBorders>
                    <w:tl2br w:val="nil"/>
                    <w:tr2bl w:val="nil"/>
                  </w:tcBorders>
                  <w:noWrap/>
                  <w:vAlign w:val="center"/>
                </w:tcPr>
                <w:p w14:paraId="6360DA42">
                  <w:pPr>
                    <w:jc w:val="center"/>
                    <w:rPr>
                      <w:rFonts w:ascii="宋体" w:hAnsi="宋体" w:cs="宋体"/>
                      <w:color w:val="auto"/>
                      <w:sz w:val="24"/>
                    </w:rPr>
                  </w:pPr>
                  <w:r>
                    <w:rPr>
                      <w:rFonts w:hint="eastAsia"/>
                      <w:color w:val="auto"/>
                    </w:rPr>
                    <w:t>胜利路～S311</w:t>
                  </w:r>
                </w:p>
              </w:tc>
              <w:tc>
                <w:tcPr>
                  <w:tcW w:w="1701" w:type="dxa"/>
                  <w:tcBorders>
                    <w:tl2br w:val="nil"/>
                    <w:tr2bl w:val="nil"/>
                  </w:tcBorders>
                  <w:noWrap/>
                  <w:vAlign w:val="center"/>
                </w:tcPr>
                <w:p w14:paraId="62DA57F4">
                  <w:pPr>
                    <w:jc w:val="center"/>
                    <w:rPr>
                      <w:color w:val="auto"/>
                      <w:sz w:val="24"/>
                      <w:u w:val="none"/>
                    </w:rPr>
                  </w:pPr>
                  <w:r>
                    <w:rPr>
                      <w:color w:val="auto"/>
                      <w:u w:val="none"/>
                    </w:rPr>
                    <w:t>6678</w:t>
                  </w:r>
                </w:p>
              </w:tc>
              <w:tc>
                <w:tcPr>
                  <w:tcW w:w="1701" w:type="dxa"/>
                  <w:tcBorders>
                    <w:tl2br w:val="nil"/>
                    <w:tr2bl w:val="nil"/>
                  </w:tcBorders>
                  <w:noWrap/>
                  <w:vAlign w:val="center"/>
                </w:tcPr>
                <w:p w14:paraId="15F7E6C2">
                  <w:pPr>
                    <w:jc w:val="center"/>
                    <w:rPr>
                      <w:color w:val="auto"/>
                      <w:sz w:val="24"/>
                      <w:u w:val="none"/>
                    </w:rPr>
                  </w:pPr>
                  <w:r>
                    <w:rPr>
                      <w:color w:val="auto"/>
                      <w:u w:val="none"/>
                    </w:rPr>
                    <w:t>7963</w:t>
                  </w:r>
                </w:p>
              </w:tc>
              <w:tc>
                <w:tcPr>
                  <w:tcW w:w="1811" w:type="dxa"/>
                  <w:tcBorders>
                    <w:tl2br w:val="nil"/>
                    <w:tr2bl w:val="nil"/>
                  </w:tcBorders>
                  <w:noWrap/>
                  <w:vAlign w:val="center"/>
                </w:tcPr>
                <w:p w14:paraId="74E57596">
                  <w:pPr>
                    <w:jc w:val="center"/>
                    <w:rPr>
                      <w:color w:val="auto"/>
                      <w:sz w:val="24"/>
                      <w:u w:val="none"/>
                    </w:rPr>
                  </w:pPr>
                  <w:r>
                    <w:rPr>
                      <w:color w:val="auto"/>
                      <w:u w:val="none"/>
                    </w:rPr>
                    <w:t>9368</w:t>
                  </w:r>
                </w:p>
              </w:tc>
            </w:tr>
            <w:tr w14:paraId="63D23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3231" w:type="dxa"/>
                  <w:tcBorders>
                    <w:tl2br w:val="nil"/>
                    <w:tr2bl w:val="nil"/>
                  </w:tcBorders>
                  <w:noWrap/>
                  <w:vAlign w:val="center"/>
                </w:tcPr>
                <w:p w14:paraId="78B6E5BB">
                  <w:pPr>
                    <w:jc w:val="center"/>
                    <w:rPr>
                      <w:rFonts w:ascii="宋体" w:hAnsi="宋体" w:cs="宋体"/>
                      <w:color w:val="auto"/>
                      <w:sz w:val="24"/>
                    </w:rPr>
                  </w:pPr>
                  <w:r>
                    <w:rPr>
                      <w:rFonts w:hint="eastAsia"/>
                      <w:color w:val="auto"/>
                    </w:rPr>
                    <w:t>S311～高速口</w:t>
                  </w:r>
                </w:p>
              </w:tc>
              <w:tc>
                <w:tcPr>
                  <w:tcW w:w="1701" w:type="dxa"/>
                  <w:tcBorders>
                    <w:tl2br w:val="nil"/>
                    <w:tr2bl w:val="nil"/>
                  </w:tcBorders>
                  <w:noWrap/>
                  <w:vAlign w:val="center"/>
                </w:tcPr>
                <w:p w14:paraId="2AEA7CF6">
                  <w:pPr>
                    <w:jc w:val="center"/>
                    <w:rPr>
                      <w:color w:val="auto"/>
                      <w:sz w:val="24"/>
                      <w:u w:val="none"/>
                    </w:rPr>
                  </w:pPr>
                  <w:r>
                    <w:rPr>
                      <w:color w:val="auto"/>
                      <w:u w:val="none"/>
                    </w:rPr>
                    <w:t>6294</w:t>
                  </w:r>
                </w:p>
              </w:tc>
              <w:tc>
                <w:tcPr>
                  <w:tcW w:w="1701" w:type="dxa"/>
                  <w:tcBorders>
                    <w:tl2br w:val="nil"/>
                    <w:tr2bl w:val="nil"/>
                  </w:tcBorders>
                  <w:noWrap/>
                  <w:vAlign w:val="center"/>
                </w:tcPr>
                <w:p w14:paraId="378069B3">
                  <w:pPr>
                    <w:jc w:val="center"/>
                    <w:rPr>
                      <w:color w:val="auto"/>
                      <w:sz w:val="24"/>
                      <w:u w:val="none"/>
                    </w:rPr>
                  </w:pPr>
                  <w:r>
                    <w:rPr>
                      <w:color w:val="auto"/>
                      <w:u w:val="none"/>
                    </w:rPr>
                    <w:t>7505</w:t>
                  </w:r>
                </w:p>
              </w:tc>
              <w:tc>
                <w:tcPr>
                  <w:tcW w:w="1811" w:type="dxa"/>
                  <w:tcBorders>
                    <w:tl2br w:val="nil"/>
                    <w:tr2bl w:val="nil"/>
                  </w:tcBorders>
                  <w:noWrap/>
                  <w:vAlign w:val="center"/>
                </w:tcPr>
                <w:p w14:paraId="0BCDAF92">
                  <w:pPr>
                    <w:jc w:val="center"/>
                    <w:rPr>
                      <w:color w:val="auto"/>
                      <w:sz w:val="24"/>
                      <w:u w:val="none"/>
                    </w:rPr>
                  </w:pPr>
                  <w:r>
                    <w:rPr>
                      <w:color w:val="auto"/>
                      <w:u w:val="none"/>
                    </w:rPr>
                    <w:t>8830</w:t>
                  </w:r>
                </w:p>
              </w:tc>
            </w:tr>
            <w:tr w14:paraId="010F1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3231" w:type="dxa"/>
                  <w:tcBorders>
                    <w:tl2br w:val="nil"/>
                    <w:tr2bl w:val="nil"/>
                  </w:tcBorders>
                  <w:noWrap/>
                  <w:vAlign w:val="center"/>
                </w:tcPr>
                <w:p w14:paraId="17F331C0">
                  <w:pPr>
                    <w:jc w:val="center"/>
                    <w:rPr>
                      <w:rFonts w:ascii="宋体" w:hAnsi="宋体" w:cs="宋体"/>
                      <w:color w:val="auto"/>
                      <w:sz w:val="24"/>
                    </w:rPr>
                  </w:pPr>
                  <w:r>
                    <w:rPr>
                      <w:rFonts w:hint="eastAsia"/>
                      <w:color w:val="auto"/>
                    </w:rPr>
                    <w:t>高速口～岳普湖</w:t>
                  </w:r>
                </w:p>
              </w:tc>
              <w:tc>
                <w:tcPr>
                  <w:tcW w:w="1701" w:type="dxa"/>
                  <w:tcBorders>
                    <w:tl2br w:val="nil"/>
                    <w:tr2bl w:val="nil"/>
                  </w:tcBorders>
                  <w:noWrap/>
                  <w:vAlign w:val="center"/>
                </w:tcPr>
                <w:p w14:paraId="2C20D306">
                  <w:pPr>
                    <w:jc w:val="center"/>
                    <w:rPr>
                      <w:color w:val="auto"/>
                      <w:sz w:val="24"/>
                      <w:u w:val="none"/>
                    </w:rPr>
                  </w:pPr>
                  <w:r>
                    <w:rPr>
                      <w:color w:val="auto"/>
                      <w:u w:val="none"/>
                    </w:rPr>
                    <w:t>7044</w:t>
                  </w:r>
                </w:p>
              </w:tc>
              <w:tc>
                <w:tcPr>
                  <w:tcW w:w="1701" w:type="dxa"/>
                  <w:tcBorders>
                    <w:tl2br w:val="nil"/>
                    <w:tr2bl w:val="nil"/>
                  </w:tcBorders>
                  <w:noWrap/>
                  <w:vAlign w:val="center"/>
                </w:tcPr>
                <w:p w14:paraId="4DFFFDFC">
                  <w:pPr>
                    <w:jc w:val="center"/>
                    <w:rPr>
                      <w:color w:val="auto"/>
                      <w:sz w:val="24"/>
                      <w:u w:val="none"/>
                    </w:rPr>
                  </w:pPr>
                  <w:r>
                    <w:rPr>
                      <w:color w:val="auto"/>
                      <w:u w:val="none"/>
                    </w:rPr>
                    <w:t>8401</w:t>
                  </w:r>
                </w:p>
              </w:tc>
              <w:tc>
                <w:tcPr>
                  <w:tcW w:w="1811" w:type="dxa"/>
                  <w:tcBorders>
                    <w:tl2br w:val="nil"/>
                    <w:tr2bl w:val="nil"/>
                  </w:tcBorders>
                  <w:noWrap/>
                  <w:vAlign w:val="center"/>
                </w:tcPr>
                <w:p w14:paraId="7D7B47B3">
                  <w:pPr>
                    <w:jc w:val="center"/>
                    <w:rPr>
                      <w:color w:val="auto"/>
                      <w:sz w:val="24"/>
                      <w:u w:val="none"/>
                    </w:rPr>
                  </w:pPr>
                  <w:r>
                    <w:rPr>
                      <w:color w:val="auto"/>
                      <w:u w:val="none"/>
                    </w:rPr>
                    <w:t>9883</w:t>
                  </w:r>
                </w:p>
              </w:tc>
            </w:tr>
            <w:tr w14:paraId="726F7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3231" w:type="dxa"/>
                  <w:tcBorders>
                    <w:tl2br w:val="nil"/>
                    <w:tr2bl w:val="nil"/>
                  </w:tcBorders>
                  <w:noWrap/>
                  <w:vAlign w:val="center"/>
                </w:tcPr>
                <w:p w14:paraId="1EB044E1">
                  <w:pPr>
                    <w:jc w:val="center"/>
                    <w:rPr>
                      <w:b/>
                      <w:color w:val="auto"/>
                      <w:szCs w:val="21"/>
                    </w:rPr>
                  </w:pPr>
                  <w:r>
                    <w:rPr>
                      <w:b/>
                      <w:color w:val="auto"/>
                    </w:rPr>
                    <w:t>加权平均值</w:t>
                  </w:r>
                </w:p>
              </w:tc>
              <w:tc>
                <w:tcPr>
                  <w:tcW w:w="1701" w:type="dxa"/>
                  <w:tcBorders>
                    <w:tl2br w:val="nil"/>
                    <w:tr2bl w:val="nil"/>
                  </w:tcBorders>
                  <w:noWrap/>
                  <w:vAlign w:val="center"/>
                </w:tcPr>
                <w:p w14:paraId="2B598FD0">
                  <w:pPr>
                    <w:jc w:val="center"/>
                    <w:rPr>
                      <w:color w:val="auto"/>
                      <w:sz w:val="24"/>
                      <w:u w:val="none"/>
                    </w:rPr>
                  </w:pPr>
                  <w:r>
                    <w:rPr>
                      <w:b/>
                      <w:bCs/>
                      <w:color w:val="auto"/>
                      <w:u w:val="none"/>
                    </w:rPr>
                    <w:t>7950</w:t>
                  </w:r>
                </w:p>
              </w:tc>
              <w:tc>
                <w:tcPr>
                  <w:tcW w:w="1701" w:type="dxa"/>
                  <w:tcBorders>
                    <w:tl2br w:val="nil"/>
                    <w:tr2bl w:val="nil"/>
                  </w:tcBorders>
                  <w:noWrap/>
                  <w:vAlign w:val="center"/>
                </w:tcPr>
                <w:p w14:paraId="5B41FC7D">
                  <w:pPr>
                    <w:jc w:val="center"/>
                    <w:rPr>
                      <w:color w:val="auto"/>
                      <w:sz w:val="24"/>
                      <w:u w:val="none"/>
                    </w:rPr>
                  </w:pPr>
                  <w:r>
                    <w:rPr>
                      <w:b/>
                      <w:bCs/>
                      <w:color w:val="auto"/>
                      <w:u w:val="none"/>
                    </w:rPr>
                    <w:t>9481</w:t>
                  </w:r>
                </w:p>
              </w:tc>
              <w:tc>
                <w:tcPr>
                  <w:tcW w:w="1811" w:type="dxa"/>
                  <w:tcBorders>
                    <w:tl2br w:val="nil"/>
                    <w:tr2bl w:val="nil"/>
                  </w:tcBorders>
                  <w:noWrap/>
                  <w:vAlign w:val="center"/>
                </w:tcPr>
                <w:p w14:paraId="5F05326D">
                  <w:pPr>
                    <w:jc w:val="center"/>
                    <w:rPr>
                      <w:color w:val="auto"/>
                      <w:sz w:val="24"/>
                      <w:u w:val="none"/>
                    </w:rPr>
                  </w:pPr>
                  <w:r>
                    <w:rPr>
                      <w:b/>
                      <w:bCs/>
                      <w:color w:val="auto"/>
                      <w:u w:val="none"/>
                    </w:rPr>
                    <w:t>11154</w:t>
                  </w:r>
                </w:p>
              </w:tc>
            </w:tr>
          </w:tbl>
          <w:p w14:paraId="1DE7AB62">
            <w:pPr>
              <w:snapToGrid w:val="0"/>
              <w:rPr>
                <w:color w:val="0070C0"/>
              </w:rPr>
            </w:pPr>
          </w:p>
          <w:p w14:paraId="4A53AE23">
            <w:pPr>
              <w:snapToGrid w:val="0"/>
              <w:rPr>
                <w:color w:val="0070C0"/>
              </w:rPr>
            </w:pPr>
          </w:p>
          <w:p w14:paraId="27D46C58">
            <w:pPr>
              <w:snapToGrid w:val="0"/>
              <w:rPr>
                <w:color w:val="0070C0"/>
              </w:rPr>
            </w:pPr>
          </w:p>
          <w:p w14:paraId="1563AC6F">
            <w:pPr>
              <w:snapToGrid w:val="0"/>
              <w:rPr>
                <w:color w:val="0070C0"/>
              </w:rPr>
            </w:pPr>
          </w:p>
          <w:p w14:paraId="23F666DC">
            <w:pPr>
              <w:snapToGrid w:val="0"/>
              <w:rPr>
                <w:color w:val="0070C0"/>
              </w:rPr>
            </w:pPr>
          </w:p>
          <w:p w14:paraId="074C0C0A">
            <w:pPr>
              <w:snapToGrid w:val="0"/>
              <w:rPr>
                <w:color w:val="0070C0"/>
              </w:rPr>
            </w:pPr>
          </w:p>
          <w:p w14:paraId="29924BC6">
            <w:pPr>
              <w:snapToGrid w:val="0"/>
              <w:rPr>
                <w:color w:val="0070C0"/>
              </w:rPr>
            </w:pPr>
          </w:p>
          <w:p w14:paraId="4459C7AF">
            <w:pPr>
              <w:snapToGrid w:val="0"/>
              <w:rPr>
                <w:color w:val="0070C0"/>
              </w:rPr>
            </w:pPr>
          </w:p>
          <w:p w14:paraId="3C522E44">
            <w:pPr>
              <w:snapToGrid w:val="0"/>
              <w:rPr>
                <w:color w:val="0070C0"/>
              </w:rPr>
            </w:pPr>
          </w:p>
          <w:p w14:paraId="288CB247">
            <w:pPr>
              <w:snapToGrid w:val="0"/>
              <w:rPr>
                <w:color w:val="0070C0"/>
              </w:rPr>
            </w:pPr>
          </w:p>
          <w:p w14:paraId="36EBAABC">
            <w:pPr>
              <w:snapToGrid w:val="0"/>
              <w:rPr>
                <w:color w:val="0070C0"/>
              </w:rPr>
            </w:pPr>
          </w:p>
          <w:p w14:paraId="17519B5E">
            <w:pPr>
              <w:snapToGrid w:val="0"/>
              <w:rPr>
                <w:color w:val="0070C0"/>
              </w:rPr>
            </w:pPr>
          </w:p>
          <w:p w14:paraId="499B9520">
            <w:pPr>
              <w:snapToGrid w:val="0"/>
              <w:rPr>
                <w:color w:val="0070C0"/>
              </w:rPr>
            </w:pPr>
          </w:p>
          <w:p w14:paraId="77C66EF5">
            <w:pPr>
              <w:snapToGrid w:val="0"/>
              <w:rPr>
                <w:color w:val="0070C0"/>
              </w:rPr>
            </w:pPr>
          </w:p>
          <w:p w14:paraId="7D3A3113">
            <w:pPr>
              <w:snapToGrid w:val="0"/>
              <w:rPr>
                <w:color w:val="0070C0"/>
              </w:rPr>
            </w:pPr>
          </w:p>
          <w:p w14:paraId="2DD64477">
            <w:pPr>
              <w:snapToGrid w:val="0"/>
              <w:rPr>
                <w:color w:val="0070C0"/>
              </w:rPr>
            </w:pPr>
          </w:p>
          <w:p w14:paraId="7ED218C3">
            <w:pPr>
              <w:snapToGrid w:val="0"/>
              <w:rPr>
                <w:color w:val="0070C0"/>
              </w:rPr>
            </w:pPr>
          </w:p>
          <w:p w14:paraId="2D6401A2">
            <w:pPr>
              <w:snapToGrid w:val="0"/>
              <w:rPr>
                <w:color w:val="0070C0"/>
              </w:rPr>
            </w:pPr>
          </w:p>
          <w:p w14:paraId="58AE2755">
            <w:pPr>
              <w:snapToGrid w:val="0"/>
              <w:rPr>
                <w:color w:val="0070C0"/>
              </w:rPr>
            </w:pPr>
          </w:p>
          <w:p w14:paraId="0980BA4D">
            <w:pPr>
              <w:snapToGrid w:val="0"/>
              <w:rPr>
                <w:color w:val="0070C0"/>
              </w:rPr>
            </w:pPr>
          </w:p>
          <w:p w14:paraId="08C60F43">
            <w:pPr>
              <w:snapToGrid w:val="0"/>
              <w:rPr>
                <w:color w:val="0070C0"/>
              </w:rPr>
            </w:pPr>
          </w:p>
          <w:p w14:paraId="3B763B38">
            <w:pPr>
              <w:snapToGrid w:val="0"/>
              <w:rPr>
                <w:color w:val="0070C0"/>
              </w:rPr>
            </w:pPr>
          </w:p>
        </w:tc>
      </w:tr>
      <w:tr w14:paraId="0185BD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036" w:hRule="atLeast"/>
        </w:trPr>
        <w:tc>
          <w:tcPr>
            <w:tcW w:w="456" w:type="dxa"/>
            <w:vAlign w:val="center"/>
          </w:tcPr>
          <w:p w14:paraId="4802335E">
            <w:pPr>
              <w:adjustRightInd w:val="0"/>
              <w:snapToGrid w:val="0"/>
              <w:jc w:val="center"/>
              <w:rPr>
                <w:color w:val="0070C0"/>
                <w:kern w:val="0"/>
                <w:szCs w:val="21"/>
              </w:rPr>
            </w:pPr>
            <w:r>
              <w:rPr>
                <w:color w:val="auto"/>
                <w:kern w:val="0"/>
                <w:sz w:val="24"/>
                <w:szCs w:val="24"/>
              </w:rPr>
              <w:t>总平面及现场布置</w:t>
            </w:r>
          </w:p>
        </w:tc>
        <w:tc>
          <w:tcPr>
            <w:tcW w:w="8616" w:type="dxa"/>
            <w:vAlign w:val="top"/>
          </w:tcPr>
          <w:p w14:paraId="17798394">
            <w:pPr>
              <w:spacing w:line="300" w:lineRule="auto"/>
              <w:jc w:val="both"/>
              <w:rPr>
                <w:rFonts w:hint="eastAsia" w:hAnsi="宋体"/>
                <w:b/>
                <w:color w:val="auto"/>
                <w:sz w:val="24"/>
              </w:rPr>
            </w:pPr>
            <w:r>
              <w:rPr>
                <w:rFonts w:hint="eastAsia" w:hAnsi="宋体"/>
                <w:b/>
                <w:color w:val="auto"/>
                <w:sz w:val="24"/>
              </w:rPr>
              <w:t>1. 工程布局情况</w:t>
            </w:r>
          </w:p>
          <w:p w14:paraId="2BB983DB">
            <w:pPr>
              <w:spacing w:after="120" w:afterLines="50" w:line="300" w:lineRule="auto"/>
              <w:jc w:val="both"/>
              <w:rPr>
                <w:rFonts w:hint="eastAsia" w:hAnsi="宋体"/>
                <w:color w:val="auto"/>
                <w:sz w:val="24"/>
              </w:rPr>
            </w:pPr>
            <w:r>
              <w:rPr>
                <w:rFonts w:hint="eastAsia" w:hAnsi="宋体"/>
                <w:b/>
                <w:color w:val="auto"/>
                <w:sz w:val="24"/>
              </w:rPr>
              <w:t xml:space="preserve">   </w:t>
            </w:r>
            <w:r>
              <w:rPr>
                <w:rFonts w:hint="eastAsia" w:hAnsi="宋体"/>
                <w:color w:val="auto"/>
                <w:sz w:val="24"/>
              </w:rPr>
              <w:t xml:space="preserve"> 拟建公路工程布局情况见附图2。</w:t>
            </w:r>
          </w:p>
          <w:p w14:paraId="07044027">
            <w:pPr>
              <w:spacing w:line="300" w:lineRule="auto"/>
              <w:jc w:val="both"/>
              <w:rPr>
                <w:rFonts w:hint="eastAsia" w:hAnsi="宋体"/>
                <w:b/>
                <w:color w:val="auto"/>
                <w:sz w:val="24"/>
              </w:rPr>
            </w:pPr>
            <w:r>
              <w:rPr>
                <w:rFonts w:hint="eastAsia" w:hAnsi="宋体"/>
                <w:b/>
                <w:color w:val="auto"/>
                <w:sz w:val="24"/>
              </w:rPr>
              <w:t>2. 临时场地布设</w:t>
            </w:r>
          </w:p>
          <w:p w14:paraId="491DD89B">
            <w:pPr>
              <w:keepNext w:val="0"/>
              <w:keepLines w:val="0"/>
              <w:pageBreakBefore w:val="0"/>
              <w:widowControl w:val="0"/>
              <w:kinsoku/>
              <w:wordWrap/>
              <w:overflowPunct/>
              <w:topLinePunct w:val="0"/>
              <w:bidi w:val="0"/>
              <w:snapToGrid/>
              <w:spacing w:line="300" w:lineRule="auto"/>
              <w:ind w:firstLine="480" w:firstLineChars="200"/>
              <w:jc w:val="both"/>
              <w:textAlignment w:val="auto"/>
              <w:rPr>
                <w:color w:val="auto"/>
                <w:sz w:val="24"/>
              </w:rPr>
            </w:pPr>
            <w:r>
              <w:rPr>
                <w:rFonts w:hAnsi="宋体"/>
                <w:color w:val="auto"/>
                <w:sz w:val="24"/>
              </w:rPr>
              <w:t>拟建公路临时工程包括取土场、弃土场、施工生产生活区</w:t>
            </w:r>
            <w:r>
              <w:rPr>
                <w:rFonts w:hint="eastAsia" w:hAnsi="宋体"/>
                <w:color w:val="auto"/>
                <w:sz w:val="24"/>
              </w:rPr>
              <w:t>以及</w:t>
            </w:r>
            <w:r>
              <w:rPr>
                <w:rFonts w:hAnsi="宋体"/>
                <w:color w:val="auto"/>
                <w:sz w:val="24"/>
              </w:rPr>
              <w:t>施工便道等。</w:t>
            </w:r>
          </w:p>
          <w:p w14:paraId="190B943E">
            <w:pPr>
              <w:keepNext w:val="0"/>
              <w:keepLines w:val="0"/>
              <w:pageBreakBefore w:val="0"/>
              <w:widowControl w:val="0"/>
              <w:kinsoku/>
              <w:wordWrap/>
              <w:overflowPunct/>
              <w:topLinePunct w:val="0"/>
              <w:bidi w:val="0"/>
              <w:snapToGrid/>
              <w:spacing w:line="300" w:lineRule="auto"/>
              <w:ind w:firstLine="496" w:firstLineChars="200"/>
              <w:jc w:val="both"/>
              <w:textAlignment w:val="auto"/>
              <w:rPr>
                <w:rFonts w:hAnsi="宋体"/>
                <w:color w:val="auto"/>
                <w:spacing w:val="4"/>
                <w:sz w:val="24"/>
              </w:rPr>
            </w:pPr>
            <w:r>
              <w:rPr>
                <w:rFonts w:hint="eastAsia"/>
                <w:color w:val="auto"/>
                <w:spacing w:val="4"/>
                <w:sz w:val="24"/>
              </w:rPr>
              <w:t xml:space="preserve">(1) </w:t>
            </w:r>
            <w:r>
              <w:rPr>
                <w:rFonts w:hAnsi="宋体"/>
                <w:color w:val="auto"/>
                <w:spacing w:val="4"/>
                <w:sz w:val="24"/>
              </w:rPr>
              <w:t>取</w:t>
            </w:r>
            <w:r>
              <w:rPr>
                <w:rFonts w:hint="eastAsia" w:hAnsi="宋体"/>
                <w:color w:val="auto"/>
                <w:spacing w:val="4"/>
                <w:sz w:val="24"/>
              </w:rPr>
              <w:t>弃</w:t>
            </w:r>
            <w:r>
              <w:rPr>
                <w:rFonts w:hAnsi="宋体"/>
                <w:color w:val="auto"/>
                <w:spacing w:val="4"/>
                <w:sz w:val="24"/>
              </w:rPr>
              <w:t>土场</w:t>
            </w:r>
          </w:p>
          <w:p w14:paraId="1EC10268">
            <w:pPr>
              <w:keepNext w:val="0"/>
              <w:keepLines w:val="0"/>
              <w:pageBreakBefore w:val="0"/>
              <w:widowControl w:val="0"/>
              <w:kinsoku/>
              <w:wordWrap/>
              <w:overflowPunct/>
              <w:topLinePunct w:val="0"/>
              <w:bidi w:val="0"/>
              <w:snapToGrid/>
              <w:spacing w:line="300" w:lineRule="auto"/>
              <w:ind w:firstLine="496" w:firstLineChars="200"/>
              <w:jc w:val="both"/>
              <w:textAlignment w:val="auto"/>
              <w:rPr>
                <w:rFonts w:hint="default" w:ascii="Times New Roman" w:hAnsi="Times New Roman" w:eastAsia="宋体" w:cs="Times New Roman"/>
                <w:color w:val="auto"/>
                <w:spacing w:val="4"/>
                <w:sz w:val="24"/>
                <w:lang w:val="en-US" w:eastAsia="zh-CN"/>
              </w:rPr>
            </w:pPr>
            <w:r>
              <w:rPr>
                <w:rFonts w:hint="default" w:ascii="Times New Roman" w:hAnsi="Times New Roman" w:cs="Times New Roman"/>
                <w:color w:val="auto"/>
                <w:spacing w:val="4"/>
                <w:sz w:val="24"/>
              </w:rPr>
              <w:t>①</w:t>
            </w:r>
            <w:r>
              <w:rPr>
                <w:rFonts w:hint="default" w:ascii="Times New Roman" w:hAnsi="Times New Roman" w:cs="Times New Roman"/>
                <w:color w:val="auto"/>
                <w:spacing w:val="4"/>
                <w:sz w:val="24"/>
                <w:lang w:val="en-US" w:eastAsia="zh-CN"/>
              </w:rPr>
              <w:t xml:space="preserve"> 设置情况</w:t>
            </w:r>
          </w:p>
          <w:p w14:paraId="22B83C1B">
            <w:pPr>
              <w:keepNext w:val="0"/>
              <w:keepLines w:val="0"/>
              <w:pageBreakBefore w:val="0"/>
              <w:widowControl w:val="0"/>
              <w:kinsoku/>
              <w:wordWrap/>
              <w:overflowPunct/>
              <w:topLinePunct w:val="0"/>
              <w:autoSpaceDE w:val="0"/>
              <w:autoSpaceDN w:val="0"/>
              <w:bidi w:val="0"/>
              <w:adjustRightInd w:val="0"/>
              <w:snapToGrid/>
              <w:spacing w:line="300" w:lineRule="auto"/>
              <w:ind w:firstLine="496" w:firstLineChars="200"/>
              <w:jc w:val="both"/>
              <w:textAlignment w:val="auto"/>
              <w:rPr>
                <w:rFonts w:hint="eastAsia"/>
                <w:color w:val="auto"/>
                <w:spacing w:val="4"/>
                <w:sz w:val="24"/>
              </w:rPr>
            </w:pPr>
            <w:r>
              <w:rPr>
                <w:rFonts w:hint="eastAsia"/>
                <w:color w:val="auto"/>
                <w:spacing w:val="4"/>
                <w:sz w:val="24"/>
              </w:rPr>
              <w:t>拟建公路设置取土场 1 处，采用招拍挂方式外购布设，同步利用该取土场作为弃土场，此外无其他弃土场。外购取土场由经营单位自行开展环境影响评价工作，同步约定利用该取土场开采形成的采空区作为弃渣消纳场地，将项目内部无法平衡的剩余弃渣，运送至取土场采坑进行分层回填、压实治理。该取土场为独立经营的合法矿业用地，其回填治理、生态恢复等环保要求由经营单位承担主体责任，相关管理要求不纳入本项目评价范围。</w:t>
            </w:r>
          </w:p>
          <w:p w14:paraId="36E7CEEE">
            <w:pPr>
              <w:keepNext w:val="0"/>
              <w:keepLines w:val="0"/>
              <w:pageBreakBefore w:val="0"/>
              <w:widowControl w:val="0"/>
              <w:kinsoku/>
              <w:wordWrap/>
              <w:overflowPunct/>
              <w:topLinePunct w:val="0"/>
              <w:autoSpaceDE w:val="0"/>
              <w:autoSpaceDN w:val="0"/>
              <w:bidi w:val="0"/>
              <w:adjustRightInd w:val="0"/>
              <w:snapToGrid/>
              <w:spacing w:line="300" w:lineRule="auto"/>
              <w:ind w:firstLine="496" w:firstLineChars="200"/>
              <w:jc w:val="both"/>
              <w:textAlignment w:val="auto"/>
              <w:rPr>
                <w:rFonts w:hint="eastAsia"/>
                <w:color w:val="auto"/>
                <w:spacing w:val="4"/>
                <w:sz w:val="24"/>
              </w:rPr>
            </w:pPr>
            <w:r>
              <w:rPr>
                <w:rFonts w:hint="eastAsia"/>
                <w:color w:val="auto"/>
                <w:spacing w:val="4"/>
                <w:sz w:val="24"/>
              </w:rPr>
              <w:t>② 环境合理性分析</w:t>
            </w:r>
          </w:p>
          <w:p w14:paraId="6F36C258">
            <w:pPr>
              <w:keepNext w:val="0"/>
              <w:keepLines w:val="0"/>
              <w:pageBreakBefore w:val="0"/>
              <w:widowControl w:val="0"/>
              <w:kinsoku/>
              <w:wordWrap/>
              <w:overflowPunct/>
              <w:topLinePunct w:val="0"/>
              <w:autoSpaceDE w:val="0"/>
              <w:autoSpaceDN w:val="0"/>
              <w:bidi w:val="0"/>
              <w:adjustRightInd w:val="0"/>
              <w:snapToGrid/>
              <w:spacing w:line="300" w:lineRule="auto"/>
              <w:ind w:firstLine="496" w:firstLineChars="200"/>
              <w:jc w:val="both"/>
              <w:textAlignment w:val="auto"/>
              <w:rPr>
                <w:rFonts w:hint="eastAsia"/>
                <w:color w:val="auto"/>
                <w:spacing w:val="4"/>
                <w:sz w:val="24"/>
              </w:rPr>
            </w:pPr>
            <w:r>
              <w:rPr>
                <w:rFonts w:hint="eastAsia"/>
                <w:color w:val="auto"/>
                <w:spacing w:val="4"/>
                <w:sz w:val="24"/>
              </w:rPr>
              <w:t>项目不新增专用弃</w:t>
            </w:r>
            <w:r>
              <w:rPr>
                <w:rFonts w:hint="eastAsia"/>
                <w:color w:val="auto"/>
                <w:spacing w:val="4"/>
                <w:sz w:val="24"/>
                <w:lang w:val="en-US" w:eastAsia="zh-CN"/>
              </w:rPr>
              <w:t>土</w:t>
            </w:r>
            <w:r>
              <w:rPr>
                <w:rFonts w:hint="eastAsia"/>
                <w:color w:val="auto"/>
                <w:spacing w:val="4"/>
                <w:sz w:val="24"/>
              </w:rPr>
              <w:t>场，避免了额外占用草地、盐碱地等土地资源，减少了弃</w:t>
            </w:r>
            <w:r>
              <w:rPr>
                <w:rFonts w:hint="eastAsia"/>
                <w:color w:val="auto"/>
                <w:spacing w:val="4"/>
                <w:sz w:val="24"/>
                <w:lang w:val="en-US" w:eastAsia="zh-CN"/>
              </w:rPr>
              <w:t>土</w:t>
            </w:r>
            <w:r>
              <w:rPr>
                <w:rFonts w:hint="eastAsia"/>
                <w:color w:val="auto"/>
                <w:spacing w:val="4"/>
                <w:sz w:val="24"/>
              </w:rPr>
              <w:t>场建设带来的地表扰动与植被破坏，符合《公路建设项目占地指标》中 “从严控制临时用地规模、优先永临结合与资源利用”的管控要求，也</w:t>
            </w:r>
            <w:r>
              <w:rPr>
                <w:rFonts w:hint="eastAsia"/>
                <w:color w:val="auto"/>
                <w:spacing w:val="4"/>
                <w:sz w:val="24"/>
                <w:lang w:val="en-US" w:eastAsia="zh-CN"/>
              </w:rPr>
              <w:t>有利于</w:t>
            </w:r>
            <w:r>
              <w:rPr>
                <w:rFonts w:hint="eastAsia"/>
                <w:color w:val="auto"/>
                <w:spacing w:val="4"/>
                <w:sz w:val="24"/>
              </w:rPr>
              <w:t>干旱区稀缺土地资源的保护。</w:t>
            </w:r>
          </w:p>
          <w:p w14:paraId="48858193">
            <w:pPr>
              <w:keepNext w:val="0"/>
              <w:keepLines w:val="0"/>
              <w:pageBreakBefore w:val="0"/>
              <w:widowControl w:val="0"/>
              <w:kinsoku/>
              <w:wordWrap/>
              <w:overflowPunct/>
              <w:topLinePunct w:val="0"/>
              <w:autoSpaceDE w:val="0"/>
              <w:autoSpaceDN w:val="0"/>
              <w:bidi w:val="0"/>
              <w:adjustRightInd w:val="0"/>
              <w:snapToGrid/>
              <w:spacing w:line="300" w:lineRule="auto"/>
              <w:ind w:firstLine="496" w:firstLineChars="200"/>
              <w:jc w:val="both"/>
              <w:textAlignment w:val="auto"/>
              <w:rPr>
                <w:rFonts w:hint="eastAsia"/>
                <w:color w:val="auto"/>
                <w:spacing w:val="4"/>
                <w:sz w:val="24"/>
              </w:rPr>
            </w:pPr>
            <w:r>
              <w:rPr>
                <w:rFonts w:hint="eastAsia"/>
                <w:color w:val="auto"/>
                <w:spacing w:val="4"/>
                <w:sz w:val="24"/>
              </w:rPr>
              <w:t>项目区地处塔里木盆地西缘，部分路段穿越沙化土地，地表砾幕层与生物结皮对防风固沙至关重要。若新增弃渣场，将大面积破坏原生地表结构，加剧风力侵蚀与土地沙化风险。</w:t>
            </w:r>
            <w:r>
              <w:rPr>
                <w:rFonts w:hint="eastAsia"/>
                <w:color w:val="auto"/>
                <w:spacing w:val="4"/>
                <w:sz w:val="24"/>
                <w:lang w:val="en-US" w:eastAsia="zh-CN"/>
              </w:rPr>
              <w:t>拟建公路</w:t>
            </w:r>
            <w:r>
              <w:rPr>
                <w:rFonts w:hint="eastAsia"/>
                <w:color w:val="auto"/>
                <w:spacing w:val="4"/>
                <w:sz w:val="24"/>
              </w:rPr>
              <w:t>通过取土场消纳弃渣，避免了弃渣场建设对荒漠植被、砾幕层的大范围破坏，有效控制了新增沙化与水土流失源，</w:t>
            </w:r>
            <w:r>
              <w:rPr>
                <w:rFonts w:hint="eastAsia"/>
                <w:color w:val="auto"/>
                <w:spacing w:val="4"/>
                <w:sz w:val="24"/>
                <w:lang w:val="en-US" w:eastAsia="zh-CN"/>
              </w:rPr>
              <w:t>符合</w:t>
            </w:r>
            <w:r>
              <w:rPr>
                <w:rFonts w:hint="eastAsia"/>
                <w:color w:val="auto"/>
                <w:spacing w:val="4"/>
                <w:sz w:val="24"/>
              </w:rPr>
              <w:t>区域防沙治沙的生态管控要求。</w:t>
            </w:r>
          </w:p>
          <w:p w14:paraId="7E5D6208">
            <w:pPr>
              <w:keepNext w:val="0"/>
              <w:keepLines w:val="0"/>
              <w:pageBreakBefore w:val="0"/>
              <w:widowControl w:val="0"/>
              <w:kinsoku/>
              <w:wordWrap/>
              <w:overflowPunct/>
              <w:topLinePunct w:val="0"/>
              <w:autoSpaceDE w:val="0"/>
              <w:autoSpaceDN w:val="0"/>
              <w:bidi w:val="0"/>
              <w:adjustRightInd w:val="0"/>
              <w:snapToGrid/>
              <w:spacing w:line="300" w:lineRule="auto"/>
              <w:ind w:firstLine="496" w:firstLineChars="200"/>
              <w:jc w:val="both"/>
              <w:textAlignment w:val="auto"/>
              <w:rPr>
                <w:rFonts w:hint="eastAsia"/>
                <w:color w:val="auto"/>
                <w:spacing w:val="4"/>
                <w:sz w:val="24"/>
              </w:rPr>
            </w:pPr>
            <w:r>
              <w:rPr>
                <w:rFonts w:hint="eastAsia"/>
                <w:color w:val="auto"/>
                <w:spacing w:val="4"/>
                <w:sz w:val="24"/>
              </w:rPr>
              <w:t>所有外弃渣运输过程采用密闭车辆、定期洒水降尘，严格按照指定路线行驶，严禁沿途撒漏与随意倾倒，</w:t>
            </w:r>
            <w:r>
              <w:rPr>
                <w:rFonts w:hint="eastAsia"/>
                <w:color w:val="auto"/>
                <w:spacing w:val="4"/>
                <w:sz w:val="24"/>
                <w:lang w:val="en-US" w:eastAsia="zh-CN"/>
              </w:rPr>
              <w:t>避免</w:t>
            </w:r>
            <w:r>
              <w:rPr>
                <w:rFonts w:hint="eastAsia"/>
                <w:color w:val="auto"/>
                <w:spacing w:val="4"/>
                <w:sz w:val="24"/>
              </w:rPr>
              <w:t>对沿线农田、水体、荒漠植被造成二次污染。</w:t>
            </w:r>
          </w:p>
          <w:p w14:paraId="6A867931">
            <w:pPr>
              <w:keepNext w:val="0"/>
              <w:keepLines w:val="0"/>
              <w:pageBreakBefore w:val="0"/>
              <w:widowControl w:val="0"/>
              <w:kinsoku/>
              <w:wordWrap/>
              <w:overflowPunct/>
              <w:topLinePunct w:val="0"/>
              <w:autoSpaceDE w:val="0"/>
              <w:autoSpaceDN w:val="0"/>
              <w:bidi w:val="0"/>
              <w:adjustRightInd w:val="0"/>
              <w:snapToGrid/>
              <w:spacing w:line="300" w:lineRule="auto"/>
              <w:ind w:firstLine="496" w:firstLineChars="200"/>
              <w:jc w:val="both"/>
              <w:textAlignment w:val="auto"/>
              <w:rPr>
                <w:rFonts w:hint="eastAsia"/>
                <w:color w:val="auto"/>
                <w:spacing w:val="4"/>
                <w:sz w:val="24"/>
              </w:rPr>
            </w:pPr>
            <w:r>
              <w:rPr>
                <w:rFonts w:hint="eastAsia"/>
                <w:color w:val="auto"/>
                <w:spacing w:val="4"/>
                <w:sz w:val="24"/>
              </w:rPr>
              <w:t>项目所有弃渣</w:t>
            </w:r>
            <w:r>
              <w:rPr>
                <w:rFonts w:hint="eastAsia"/>
                <w:color w:val="auto"/>
                <w:spacing w:val="4"/>
                <w:sz w:val="24"/>
                <w:lang w:val="en-US" w:eastAsia="zh-CN"/>
              </w:rPr>
              <w:t>一部分路基回用，一部分回填取土场，</w:t>
            </w:r>
            <w:r>
              <w:rPr>
                <w:rFonts w:hint="eastAsia"/>
                <w:color w:val="auto"/>
                <w:spacing w:val="4"/>
                <w:sz w:val="24"/>
              </w:rPr>
              <w:t>均得到妥善处置，无随意堆放弃置情况，不会造成周边河道淤积、农田压占、植被掩埋等问题</w:t>
            </w:r>
            <w:r>
              <w:rPr>
                <w:rFonts w:hint="eastAsia"/>
                <w:color w:val="auto"/>
                <w:spacing w:val="4"/>
                <w:sz w:val="24"/>
                <w:lang w:eastAsia="zh-CN"/>
              </w:rPr>
              <w:t>。</w:t>
            </w:r>
            <w:r>
              <w:rPr>
                <w:rFonts w:hint="eastAsia"/>
                <w:color w:val="auto"/>
                <w:spacing w:val="4"/>
                <w:sz w:val="24"/>
                <w:lang w:val="en-US" w:eastAsia="zh-CN"/>
              </w:rPr>
              <w:t>项目采用取弃结合，不另设弃土场合理</w:t>
            </w:r>
            <w:r>
              <w:rPr>
                <w:rFonts w:hint="eastAsia"/>
                <w:color w:val="auto"/>
                <w:spacing w:val="4"/>
                <w:sz w:val="24"/>
                <w:lang w:eastAsia="zh-CN"/>
              </w:rPr>
              <w:t>。</w:t>
            </w:r>
          </w:p>
          <w:p w14:paraId="15BDE271">
            <w:pPr>
              <w:keepNext w:val="0"/>
              <w:keepLines w:val="0"/>
              <w:pageBreakBefore w:val="0"/>
              <w:widowControl w:val="0"/>
              <w:kinsoku/>
              <w:wordWrap/>
              <w:overflowPunct/>
              <w:topLinePunct w:val="0"/>
              <w:autoSpaceDE w:val="0"/>
              <w:autoSpaceDN w:val="0"/>
              <w:bidi w:val="0"/>
              <w:adjustRightInd w:val="0"/>
              <w:snapToGrid/>
              <w:spacing w:line="300" w:lineRule="auto"/>
              <w:ind w:firstLine="480" w:firstLineChars="200"/>
              <w:jc w:val="both"/>
              <w:textAlignment w:val="auto"/>
              <w:rPr>
                <w:color w:val="auto"/>
                <w:kern w:val="0"/>
                <w:sz w:val="24"/>
              </w:rPr>
            </w:pPr>
            <w:r>
              <w:rPr>
                <w:rFonts w:hint="eastAsia"/>
                <w:color w:val="auto"/>
                <w:kern w:val="0"/>
                <w:sz w:val="24"/>
              </w:rPr>
              <w:t>(</w:t>
            </w:r>
            <w:r>
              <w:rPr>
                <w:rFonts w:hint="eastAsia"/>
                <w:color w:val="auto"/>
                <w:kern w:val="0"/>
                <w:sz w:val="24"/>
                <w:lang w:val="en-US" w:eastAsia="zh-CN"/>
              </w:rPr>
              <w:t>2</w:t>
            </w:r>
            <w:r>
              <w:rPr>
                <w:rFonts w:hint="eastAsia"/>
                <w:color w:val="auto"/>
                <w:kern w:val="0"/>
                <w:sz w:val="24"/>
              </w:rPr>
              <w:t xml:space="preserve">) </w:t>
            </w:r>
            <w:r>
              <w:rPr>
                <w:color w:val="auto"/>
                <w:kern w:val="0"/>
                <w:sz w:val="24"/>
              </w:rPr>
              <w:t>施工生产生活区</w:t>
            </w:r>
          </w:p>
          <w:p w14:paraId="30A4BB41">
            <w:pPr>
              <w:pStyle w:val="68"/>
              <w:keepNext w:val="0"/>
              <w:keepLines w:val="0"/>
              <w:pageBreakBefore w:val="0"/>
              <w:widowControl w:val="0"/>
              <w:kinsoku/>
              <w:wordWrap/>
              <w:overflowPunct/>
              <w:topLinePunct w:val="0"/>
              <w:bidi w:val="0"/>
              <w:snapToGrid/>
              <w:jc w:val="both"/>
              <w:textAlignment w:val="auto"/>
              <w:rPr>
                <w:rFonts w:hAnsi="宋体"/>
                <w:color w:val="auto"/>
              </w:rPr>
            </w:pPr>
            <w:r>
              <w:rPr>
                <w:rFonts w:hAnsi="宋体"/>
                <w:color w:val="auto"/>
              </w:rPr>
              <w:t>拟建公路施工生产生活区包括拌</w:t>
            </w:r>
            <w:r>
              <w:rPr>
                <w:rFonts w:hint="eastAsia" w:hAnsi="宋体"/>
                <w:color w:val="auto"/>
              </w:rPr>
              <w:t>合</w:t>
            </w:r>
            <w:r>
              <w:rPr>
                <w:rFonts w:hAnsi="宋体"/>
                <w:color w:val="auto"/>
              </w:rPr>
              <w:t>站、预制场、钢筋加工厂、施工营地等，共</w:t>
            </w:r>
            <w:r>
              <w:rPr>
                <w:rFonts w:hint="eastAsia" w:hAnsi="宋体"/>
                <w:color w:val="auto"/>
                <w:lang w:val="en-US" w:eastAsia="zh-CN"/>
              </w:rPr>
              <w:t>计</w:t>
            </w:r>
            <w:r>
              <w:rPr>
                <w:rFonts w:hint="eastAsia"/>
                <w:color w:val="auto"/>
                <w:lang w:val="en-US" w:eastAsia="zh-CN"/>
              </w:rPr>
              <w:t>2</w:t>
            </w:r>
            <w:r>
              <w:rPr>
                <w:rFonts w:hAnsi="宋体"/>
                <w:color w:val="auto"/>
              </w:rPr>
              <w:t>处，新增临时占地</w:t>
            </w:r>
            <w:r>
              <w:rPr>
                <w:rFonts w:hint="eastAsia"/>
                <w:color w:val="auto"/>
                <w:lang w:val="en-US" w:eastAsia="zh-CN"/>
              </w:rPr>
              <w:t>9.37</w:t>
            </w:r>
            <w:r>
              <w:rPr>
                <w:color w:val="auto"/>
              </w:rPr>
              <w:t>hm</w:t>
            </w:r>
            <w:r>
              <w:rPr>
                <w:color w:val="auto"/>
                <w:vertAlign w:val="superscript"/>
              </w:rPr>
              <w:t>2</w:t>
            </w:r>
            <w:r>
              <w:rPr>
                <w:rFonts w:hAnsi="宋体"/>
                <w:color w:val="auto"/>
              </w:rPr>
              <w:t>，占地类型</w:t>
            </w:r>
            <w:r>
              <w:rPr>
                <w:rFonts w:hint="eastAsia" w:hAnsi="宋体"/>
                <w:color w:val="auto"/>
                <w:lang w:val="en-US" w:eastAsia="zh-CN"/>
              </w:rPr>
              <w:t>为</w:t>
            </w:r>
            <w:r>
              <w:rPr>
                <w:rFonts w:hAnsi="宋体"/>
                <w:color w:val="auto"/>
              </w:rPr>
              <w:t>草地。</w:t>
            </w:r>
            <w:r>
              <w:rPr>
                <w:rFonts w:hint="eastAsia" w:hAnsi="宋体"/>
                <w:color w:val="auto"/>
                <w:spacing w:val="4"/>
              </w:rPr>
              <w:t>拟建公路</w:t>
            </w:r>
            <w:r>
              <w:rPr>
                <w:rFonts w:hAnsi="宋体"/>
                <w:color w:val="auto"/>
                <w:spacing w:val="4"/>
              </w:rPr>
              <w:t>施工生产生活区设置情况</w:t>
            </w:r>
            <w:r>
              <w:rPr>
                <w:rFonts w:hAnsi="宋体"/>
                <w:color w:val="auto"/>
              </w:rPr>
              <w:t>见表</w:t>
            </w:r>
            <w:r>
              <w:rPr>
                <w:color w:val="auto"/>
              </w:rPr>
              <w:t>2-1</w:t>
            </w:r>
            <w:r>
              <w:rPr>
                <w:rFonts w:hint="eastAsia"/>
                <w:color w:val="auto"/>
                <w:lang w:val="en-US" w:eastAsia="zh-CN"/>
              </w:rPr>
              <w:t>4、平面布置见附图15</w:t>
            </w:r>
            <w:r>
              <w:rPr>
                <w:rFonts w:hAnsi="宋体"/>
                <w:color w:val="auto"/>
              </w:rPr>
              <w:t>。</w:t>
            </w:r>
          </w:p>
          <w:p w14:paraId="118E561B">
            <w:pPr>
              <w:pStyle w:val="68"/>
              <w:keepNext w:val="0"/>
              <w:keepLines w:val="0"/>
              <w:pageBreakBefore w:val="0"/>
              <w:widowControl w:val="0"/>
              <w:kinsoku/>
              <w:wordWrap/>
              <w:overflowPunct/>
              <w:topLinePunct w:val="0"/>
              <w:bidi w:val="0"/>
              <w:snapToGrid/>
              <w:jc w:val="both"/>
              <w:textAlignment w:val="auto"/>
              <w:rPr>
                <w:rFonts w:hAnsi="宋体"/>
                <w:color w:val="auto"/>
              </w:rPr>
            </w:pPr>
          </w:p>
          <w:p w14:paraId="02A57824">
            <w:pPr>
              <w:pStyle w:val="68"/>
              <w:keepNext w:val="0"/>
              <w:keepLines w:val="0"/>
              <w:pageBreakBefore w:val="0"/>
              <w:widowControl w:val="0"/>
              <w:kinsoku/>
              <w:wordWrap/>
              <w:overflowPunct/>
              <w:topLinePunct w:val="0"/>
              <w:bidi w:val="0"/>
              <w:snapToGrid/>
              <w:ind w:left="0" w:leftChars="0" w:firstLine="0" w:firstLineChars="0"/>
              <w:jc w:val="both"/>
              <w:textAlignment w:val="auto"/>
              <w:rPr>
                <w:rFonts w:hAnsi="宋体"/>
                <w:color w:val="auto"/>
              </w:rPr>
            </w:pPr>
          </w:p>
          <w:p w14:paraId="3AB07AEA">
            <w:pPr>
              <w:pStyle w:val="68"/>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firstLine="0" w:firstLineChars="0"/>
              <w:jc w:val="center"/>
              <w:textAlignment w:val="auto"/>
              <w:rPr>
                <w:b/>
                <w:color w:val="auto"/>
                <w:sz w:val="21"/>
                <w:szCs w:val="21"/>
              </w:rPr>
            </w:pPr>
            <w:bookmarkStart w:id="11" w:name="OLE_LINK4"/>
            <w:r>
              <w:rPr>
                <w:rFonts w:hAnsi="宋体"/>
                <w:b/>
                <w:color w:val="auto"/>
                <w:sz w:val="21"/>
                <w:szCs w:val="21"/>
              </w:rPr>
              <w:t>表</w:t>
            </w:r>
            <w:r>
              <w:rPr>
                <w:b/>
                <w:color w:val="auto"/>
                <w:sz w:val="21"/>
                <w:szCs w:val="21"/>
              </w:rPr>
              <w:t>2-1</w:t>
            </w:r>
            <w:r>
              <w:rPr>
                <w:rFonts w:hint="eastAsia"/>
                <w:b/>
                <w:color w:val="auto"/>
                <w:sz w:val="21"/>
                <w:szCs w:val="21"/>
                <w:lang w:val="en-US" w:eastAsia="zh-CN"/>
              </w:rPr>
              <w:t>4</w:t>
            </w:r>
            <w:r>
              <w:rPr>
                <w:b/>
                <w:color w:val="auto"/>
                <w:sz w:val="21"/>
                <w:szCs w:val="21"/>
              </w:rPr>
              <w:t xml:space="preserve">  </w:t>
            </w:r>
            <w:r>
              <w:rPr>
                <w:rFonts w:hAnsi="宋体"/>
                <w:b/>
                <w:color w:val="auto"/>
                <w:sz w:val="21"/>
                <w:szCs w:val="21"/>
              </w:rPr>
              <w:t>拟建公路施工生产生活区设置一览表</w:t>
            </w:r>
          </w:p>
          <w:tbl>
            <w:tblPr>
              <w:tblStyle w:val="22"/>
              <w:tblW w:w="8463"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0" w:type="dxa"/>
                <w:bottom w:w="0" w:type="dxa"/>
                <w:right w:w="0" w:type="dxa"/>
              </w:tblCellMar>
            </w:tblPr>
            <w:tblGrid>
              <w:gridCol w:w="488"/>
              <w:gridCol w:w="1800"/>
              <w:gridCol w:w="2635"/>
              <w:gridCol w:w="1129"/>
              <w:gridCol w:w="2411"/>
            </w:tblGrid>
            <w:tr w14:paraId="70A3A5B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blHeader/>
                <w:jc w:val="center"/>
              </w:trPr>
              <w:tc>
                <w:tcPr>
                  <w:tcW w:w="288" w:type="pct"/>
                  <w:vMerge w:val="restart"/>
                  <w:vAlign w:val="center"/>
                </w:tcPr>
                <w:p w14:paraId="1F6835BB">
                  <w:pPr>
                    <w:pStyle w:val="77"/>
                    <w:jc w:val="center"/>
                    <w:rPr>
                      <w:rFonts w:ascii="Times New Roman" w:hAnsi="Times New Roman"/>
                      <w:b/>
                      <w:color w:val="auto"/>
                      <w:sz w:val="21"/>
                      <w:szCs w:val="21"/>
                      <w:lang w:eastAsia="zh-CN"/>
                    </w:rPr>
                  </w:pPr>
                  <w:r>
                    <w:rPr>
                      <w:rFonts w:ascii="Times New Roman" w:hAnsi="Times New Roman"/>
                      <w:b/>
                      <w:color w:val="auto"/>
                      <w:sz w:val="21"/>
                      <w:szCs w:val="21"/>
                      <w:lang w:eastAsia="zh-CN"/>
                    </w:rPr>
                    <w:t>序号</w:t>
                  </w:r>
                </w:p>
              </w:tc>
              <w:tc>
                <w:tcPr>
                  <w:tcW w:w="1063" w:type="pct"/>
                  <w:vMerge w:val="restart"/>
                  <w:vAlign w:val="center"/>
                </w:tcPr>
                <w:p w14:paraId="7BE20EC9">
                  <w:pPr>
                    <w:pStyle w:val="77"/>
                    <w:jc w:val="center"/>
                    <w:rPr>
                      <w:rFonts w:ascii="Times New Roman" w:hAnsi="Times New Roman"/>
                      <w:b/>
                      <w:color w:val="auto"/>
                      <w:sz w:val="21"/>
                      <w:szCs w:val="21"/>
                      <w:lang w:eastAsia="zh-CN"/>
                    </w:rPr>
                  </w:pPr>
                  <w:r>
                    <w:rPr>
                      <w:rFonts w:ascii="Times New Roman" w:hAnsi="Times New Roman"/>
                      <w:b/>
                      <w:color w:val="auto"/>
                      <w:sz w:val="21"/>
                      <w:szCs w:val="21"/>
                      <w:lang w:eastAsia="zh-CN"/>
                    </w:rPr>
                    <w:t>桩号及距离</w:t>
                  </w:r>
                  <w:r>
                    <w:rPr>
                      <w:rFonts w:hint="eastAsia" w:ascii="Times New Roman" w:hAnsi="Times New Roman"/>
                      <w:b/>
                      <w:color w:val="auto"/>
                      <w:sz w:val="21"/>
                      <w:szCs w:val="21"/>
                      <w:lang w:eastAsia="zh-CN"/>
                    </w:rPr>
                    <w:t>(</w:t>
                  </w:r>
                  <w:r>
                    <w:rPr>
                      <w:rFonts w:ascii="Times New Roman" w:hAnsi="Times New Roman"/>
                      <w:b/>
                      <w:color w:val="auto"/>
                      <w:sz w:val="21"/>
                      <w:szCs w:val="21"/>
                      <w:lang w:eastAsia="zh-CN"/>
                    </w:rPr>
                    <w:t>m</w:t>
                  </w:r>
                  <w:r>
                    <w:rPr>
                      <w:rFonts w:hint="eastAsia" w:ascii="Times New Roman" w:hAnsi="Times New Roman"/>
                      <w:b/>
                      <w:color w:val="auto"/>
                      <w:sz w:val="21"/>
                      <w:szCs w:val="21"/>
                      <w:lang w:eastAsia="zh-CN"/>
                    </w:rPr>
                    <w:t>)</w:t>
                  </w:r>
                </w:p>
              </w:tc>
              <w:tc>
                <w:tcPr>
                  <w:tcW w:w="1556" w:type="pct"/>
                  <w:vMerge w:val="restart"/>
                  <w:vAlign w:val="center"/>
                </w:tcPr>
                <w:p w14:paraId="2A5E3CA4">
                  <w:pPr>
                    <w:pStyle w:val="77"/>
                    <w:jc w:val="center"/>
                    <w:rPr>
                      <w:rFonts w:ascii="Times New Roman" w:hAnsi="Times New Roman"/>
                      <w:b/>
                      <w:color w:val="auto"/>
                      <w:sz w:val="21"/>
                      <w:szCs w:val="21"/>
                      <w:lang w:eastAsia="zh-CN"/>
                    </w:rPr>
                  </w:pPr>
                  <w:r>
                    <w:rPr>
                      <w:rFonts w:ascii="Times New Roman" w:hAnsi="Times New Roman"/>
                      <w:b/>
                      <w:color w:val="auto"/>
                      <w:sz w:val="21"/>
                      <w:szCs w:val="21"/>
                      <w:lang w:eastAsia="zh-CN"/>
                    </w:rPr>
                    <w:t>名称</w:t>
                  </w:r>
                </w:p>
              </w:tc>
              <w:tc>
                <w:tcPr>
                  <w:tcW w:w="667" w:type="pct"/>
                  <w:vMerge w:val="restart"/>
                  <w:vAlign w:val="center"/>
                </w:tcPr>
                <w:p w14:paraId="7C4930B9">
                  <w:pPr>
                    <w:pStyle w:val="77"/>
                    <w:jc w:val="center"/>
                    <w:rPr>
                      <w:rFonts w:ascii="Times New Roman" w:hAnsi="Times New Roman"/>
                      <w:b/>
                      <w:color w:val="auto"/>
                      <w:sz w:val="21"/>
                      <w:szCs w:val="21"/>
                    </w:rPr>
                  </w:pPr>
                  <w:r>
                    <w:rPr>
                      <w:rFonts w:ascii="Times New Roman" w:hAnsi="Times New Roman"/>
                      <w:b/>
                      <w:color w:val="auto"/>
                      <w:sz w:val="21"/>
                      <w:szCs w:val="21"/>
                      <w:lang w:eastAsia="zh-CN"/>
                    </w:rPr>
                    <w:t>所属</w:t>
                  </w:r>
                  <w:r>
                    <w:rPr>
                      <w:rFonts w:hint="eastAsia" w:ascii="Times New Roman" w:hAnsi="Times New Roman"/>
                      <w:b/>
                      <w:color w:val="auto"/>
                      <w:sz w:val="21"/>
                      <w:szCs w:val="21"/>
                      <w:lang w:val="en-US" w:eastAsia="zh-CN"/>
                    </w:rPr>
                    <w:t>(市)</w:t>
                  </w:r>
                  <w:r>
                    <w:rPr>
                      <w:rFonts w:ascii="Times New Roman" w:hAnsi="Times New Roman"/>
                      <w:b/>
                      <w:color w:val="auto"/>
                      <w:sz w:val="21"/>
                      <w:szCs w:val="21"/>
                      <w:lang w:eastAsia="zh-CN"/>
                    </w:rPr>
                    <w:t>县</w:t>
                  </w:r>
                </w:p>
              </w:tc>
              <w:tc>
                <w:tcPr>
                  <w:tcW w:w="1424" w:type="pct"/>
                  <w:vAlign w:val="center"/>
                </w:tcPr>
                <w:p w14:paraId="1EDF1E8C">
                  <w:pPr>
                    <w:jc w:val="center"/>
                    <w:rPr>
                      <w:rFonts w:hint="eastAsia" w:eastAsia="宋体"/>
                      <w:b/>
                      <w:color w:val="auto"/>
                      <w:szCs w:val="21"/>
                      <w:vertAlign w:val="baseline"/>
                      <w:lang w:val="en-US" w:eastAsia="zh-CN"/>
                    </w:rPr>
                  </w:pPr>
                  <w:r>
                    <w:rPr>
                      <w:b/>
                      <w:color w:val="auto"/>
                      <w:szCs w:val="21"/>
                    </w:rPr>
                    <w:t>占地类型及面积</w:t>
                  </w:r>
                  <w:r>
                    <w:rPr>
                      <w:rFonts w:hint="eastAsia"/>
                      <w:b/>
                      <w:color w:val="auto"/>
                      <w:szCs w:val="21"/>
                      <w:lang w:val="en-US" w:eastAsia="zh-CN"/>
                    </w:rPr>
                    <w:t>(</w:t>
                  </w:r>
                  <w:r>
                    <w:rPr>
                      <w:b/>
                      <w:color w:val="auto"/>
                      <w:szCs w:val="21"/>
                    </w:rPr>
                    <w:t>hm</w:t>
                  </w:r>
                  <w:r>
                    <w:rPr>
                      <w:b/>
                      <w:color w:val="auto"/>
                      <w:szCs w:val="21"/>
                      <w:vertAlign w:val="superscript"/>
                    </w:rPr>
                    <w:t>2</w:t>
                  </w:r>
                  <w:r>
                    <w:rPr>
                      <w:rFonts w:hint="eastAsia"/>
                      <w:b/>
                      <w:color w:val="auto"/>
                      <w:szCs w:val="21"/>
                      <w:vertAlign w:val="baseline"/>
                      <w:lang w:val="en-US" w:eastAsia="zh-CN"/>
                    </w:rPr>
                    <w:t>)</w:t>
                  </w:r>
                </w:p>
              </w:tc>
            </w:tr>
            <w:tr w14:paraId="5D34D6B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blHeader/>
                <w:jc w:val="center"/>
              </w:trPr>
              <w:tc>
                <w:tcPr>
                  <w:tcW w:w="288" w:type="pct"/>
                  <w:vMerge w:val="continue"/>
                  <w:vAlign w:val="center"/>
                </w:tcPr>
                <w:p w14:paraId="51195AE9">
                  <w:pPr>
                    <w:pStyle w:val="77"/>
                    <w:jc w:val="center"/>
                    <w:rPr>
                      <w:rFonts w:ascii="Times New Roman" w:hAnsi="Times New Roman"/>
                      <w:b/>
                      <w:color w:val="auto"/>
                      <w:sz w:val="21"/>
                      <w:szCs w:val="21"/>
                      <w:lang w:eastAsia="zh-CN"/>
                    </w:rPr>
                  </w:pPr>
                </w:p>
              </w:tc>
              <w:tc>
                <w:tcPr>
                  <w:tcW w:w="1063" w:type="pct"/>
                  <w:vMerge w:val="continue"/>
                  <w:vAlign w:val="center"/>
                </w:tcPr>
                <w:p w14:paraId="54C1792E">
                  <w:pPr>
                    <w:pStyle w:val="77"/>
                    <w:jc w:val="center"/>
                    <w:rPr>
                      <w:rFonts w:ascii="Times New Roman" w:hAnsi="Times New Roman"/>
                      <w:b/>
                      <w:color w:val="auto"/>
                      <w:sz w:val="21"/>
                      <w:szCs w:val="21"/>
                      <w:lang w:eastAsia="zh-CN"/>
                    </w:rPr>
                  </w:pPr>
                </w:p>
              </w:tc>
              <w:tc>
                <w:tcPr>
                  <w:tcW w:w="1556" w:type="pct"/>
                  <w:vMerge w:val="continue"/>
                  <w:vAlign w:val="center"/>
                </w:tcPr>
                <w:p w14:paraId="1D52C011">
                  <w:pPr>
                    <w:pStyle w:val="77"/>
                    <w:jc w:val="center"/>
                    <w:rPr>
                      <w:rFonts w:ascii="Times New Roman" w:hAnsi="Times New Roman"/>
                      <w:b/>
                      <w:color w:val="auto"/>
                      <w:sz w:val="21"/>
                      <w:szCs w:val="21"/>
                      <w:lang w:eastAsia="zh-CN"/>
                    </w:rPr>
                  </w:pPr>
                </w:p>
              </w:tc>
              <w:tc>
                <w:tcPr>
                  <w:tcW w:w="667" w:type="pct"/>
                  <w:vMerge w:val="continue"/>
                  <w:vAlign w:val="center"/>
                </w:tcPr>
                <w:p w14:paraId="0A9F044D">
                  <w:pPr>
                    <w:pStyle w:val="77"/>
                    <w:jc w:val="center"/>
                    <w:rPr>
                      <w:rFonts w:ascii="Times New Roman" w:hAnsi="Times New Roman"/>
                      <w:b/>
                      <w:color w:val="auto"/>
                      <w:sz w:val="21"/>
                      <w:szCs w:val="21"/>
                      <w:lang w:eastAsia="zh-CN"/>
                    </w:rPr>
                  </w:pPr>
                </w:p>
              </w:tc>
              <w:tc>
                <w:tcPr>
                  <w:tcW w:w="1424" w:type="pct"/>
                  <w:vAlign w:val="center"/>
                </w:tcPr>
                <w:p w14:paraId="444D1BEB">
                  <w:pPr>
                    <w:jc w:val="center"/>
                    <w:rPr>
                      <w:rFonts w:hint="eastAsia" w:eastAsia="宋体"/>
                      <w:b/>
                      <w:color w:val="auto"/>
                      <w:szCs w:val="21"/>
                      <w:lang w:val="en-US" w:eastAsia="zh-CN"/>
                    </w:rPr>
                  </w:pPr>
                  <w:r>
                    <w:rPr>
                      <w:rFonts w:hint="eastAsia"/>
                      <w:b/>
                      <w:color w:val="auto"/>
                      <w:szCs w:val="21"/>
                      <w:lang w:val="en-US" w:eastAsia="zh-CN"/>
                    </w:rPr>
                    <w:t>草地</w:t>
                  </w:r>
                </w:p>
              </w:tc>
            </w:tr>
            <w:tr w14:paraId="6E60C5D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243" w:hRule="atLeast"/>
                <w:jc w:val="center"/>
              </w:trPr>
              <w:tc>
                <w:tcPr>
                  <w:tcW w:w="288" w:type="pct"/>
                  <w:vAlign w:val="center"/>
                </w:tcPr>
                <w:p w14:paraId="4F1D39B6">
                  <w:pPr>
                    <w:jc w:val="center"/>
                    <w:rPr>
                      <w:color w:val="auto"/>
                      <w:szCs w:val="21"/>
                    </w:rPr>
                  </w:pPr>
                  <w:r>
                    <w:rPr>
                      <w:color w:val="auto"/>
                      <w:szCs w:val="21"/>
                    </w:rPr>
                    <w:t>1</w:t>
                  </w:r>
                </w:p>
              </w:tc>
              <w:tc>
                <w:tcPr>
                  <w:tcW w:w="1063" w:type="pct"/>
                  <w:vAlign w:val="center"/>
                </w:tcPr>
                <w:p w14:paraId="2F3BED29">
                  <w:pPr>
                    <w:jc w:val="center"/>
                    <w:rPr>
                      <w:color w:val="auto"/>
                      <w:szCs w:val="21"/>
                      <w:highlight w:val="none"/>
                    </w:rPr>
                  </w:pPr>
                  <w:r>
                    <w:rPr>
                      <w:color w:val="auto"/>
                      <w:szCs w:val="21"/>
                      <w:highlight w:val="none"/>
                    </w:rPr>
                    <w:t>K</w:t>
                  </w:r>
                  <w:r>
                    <w:rPr>
                      <w:rFonts w:hint="eastAsia"/>
                      <w:color w:val="auto"/>
                      <w:szCs w:val="21"/>
                      <w:highlight w:val="none"/>
                      <w:lang w:val="en-US" w:eastAsia="zh-CN"/>
                    </w:rPr>
                    <w:t>0</w:t>
                  </w:r>
                  <w:r>
                    <w:rPr>
                      <w:color w:val="auto"/>
                      <w:szCs w:val="21"/>
                      <w:highlight w:val="none"/>
                    </w:rPr>
                    <w:t>+</w:t>
                  </w:r>
                  <w:r>
                    <w:rPr>
                      <w:rFonts w:hint="eastAsia"/>
                      <w:color w:val="auto"/>
                      <w:szCs w:val="21"/>
                      <w:highlight w:val="none"/>
                      <w:lang w:val="en-US" w:eastAsia="zh-CN"/>
                    </w:rPr>
                    <w:t>4</w:t>
                  </w:r>
                  <w:r>
                    <w:rPr>
                      <w:color w:val="auto"/>
                      <w:szCs w:val="21"/>
                      <w:highlight w:val="none"/>
                    </w:rPr>
                    <w:t>00左</w:t>
                  </w:r>
                  <w:r>
                    <w:rPr>
                      <w:rFonts w:hint="eastAsia"/>
                      <w:color w:val="auto"/>
                      <w:szCs w:val="21"/>
                      <w:highlight w:val="none"/>
                      <w:lang w:val="en-US" w:eastAsia="zh-CN"/>
                    </w:rPr>
                    <w:t>30</w:t>
                  </w:r>
                  <w:r>
                    <w:rPr>
                      <w:rFonts w:hint="eastAsia"/>
                      <w:color w:val="auto"/>
                      <w:szCs w:val="21"/>
                      <w:highlight w:val="none"/>
                    </w:rPr>
                    <w:t>m</w:t>
                  </w:r>
                </w:p>
              </w:tc>
              <w:tc>
                <w:tcPr>
                  <w:tcW w:w="1556" w:type="pct"/>
                  <w:vAlign w:val="center"/>
                </w:tcPr>
                <w:p w14:paraId="290602E8">
                  <w:pPr>
                    <w:autoSpaceDE w:val="0"/>
                    <w:autoSpaceDN w:val="0"/>
                    <w:adjustRightInd w:val="0"/>
                    <w:jc w:val="center"/>
                    <w:rPr>
                      <w:rFonts w:hint="default" w:eastAsia="宋体"/>
                      <w:color w:val="auto"/>
                      <w:kern w:val="0"/>
                      <w:szCs w:val="21"/>
                      <w:highlight w:val="none"/>
                      <w:lang w:val="en-US" w:eastAsia="zh-CN"/>
                    </w:rPr>
                  </w:pPr>
                  <w:r>
                    <w:rPr>
                      <w:rFonts w:hint="eastAsia"/>
                      <w:color w:val="auto"/>
                      <w:kern w:val="0"/>
                      <w:szCs w:val="21"/>
                      <w:highlight w:val="none"/>
                      <w:lang w:val="en-US" w:eastAsia="zh-CN"/>
                    </w:rPr>
                    <w:t>预制场、沥青拌合站、混凝土拌合站、水稳拌合站、施工营地</w:t>
                  </w:r>
                </w:p>
              </w:tc>
              <w:tc>
                <w:tcPr>
                  <w:tcW w:w="667" w:type="pct"/>
                  <w:vAlign w:val="center"/>
                </w:tcPr>
                <w:p w14:paraId="66AA3CEB">
                  <w:pPr>
                    <w:jc w:val="center"/>
                    <w:rPr>
                      <w:rFonts w:hint="default" w:eastAsia="宋体"/>
                      <w:color w:val="auto"/>
                      <w:szCs w:val="21"/>
                      <w:lang w:val="en-US" w:eastAsia="zh-CN"/>
                    </w:rPr>
                  </w:pPr>
                  <w:r>
                    <w:rPr>
                      <w:rFonts w:hint="eastAsia"/>
                      <w:color w:val="auto"/>
                      <w:szCs w:val="21"/>
                      <w:lang w:val="en-US" w:eastAsia="zh-CN"/>
                    </w:rPr>
                    <w:t>阿图什市</w:t>
                  </w:r>
                </w:p>
              </w:tc>
              <w:tc>
                <w:tcPr>
                  <w:tcW w:w="1424" w:type="pct"/>
                  <w:vAlign w:val="center"/>
                </w:tcPr>
                <w:p w14:paraId="0FBD5B35">
                  <w:pPr>
                    <w:jc w:val="center"/>
                    <w:rPr>
                      <w:rFonts w:hint="default" w:eastAsia="宋体"/>
                      <w:color w:val="auto"/>
                      <w:szCs w:val="21"/>
                      <w:lang w:val="en-US" w:eastAsia="zh-CN"/>
                    </w:rPr>
                  </w:pPr>
                  <w:r>
                    <w:rPr>
                      <w:rFonts w:hint="eastAsia"/>
                      <w:color w:val="auto"/>
                      <w:szCs w:val="21"/>
                      <w:lang w:val="en-US" w:eastAsia="zh-CN"/>
                    </w:rPr>
                    <w:t>4.75</w:t>
                  </w:r>
                </w:p>
              </w:tc>
            </w:tr>
            <w:tr w14:paraId="59095D2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jc w:val="center"/>
              </w:trPr>
              <w:tc>
                <w:tcPr>
                  <w:tcW w:w="288" w:type="pct"/>
                  <w:vAlign w:val="center"/>
                </w:tcPr>
                <w:p w14:paraId="11937F50">
                  <w:pPr>
                    <w:jc w:val="center"/>
                    <w:rPr>
                      <w:color w:val="auto"/>
                      <w:szCs w:val="21"/>
                    </w:rPr>
                  </w:pPr>
                  <w:r>
                    <w:rPr>
                      <w:color w:val="auto"/>
                      <w:szCs w:val="21"/>
                    </w:rPr>
                    <w:t>2</w:t>
                  </w:r>
                </w:p>
              </w:tc>
              <w:tc>
                <w:tcPr>
                  <w:tcW w:w="1063" w:type="pct"/>
                  <w:vAlign w:val="center"/>
                </w:tcPr>
                <w:p w14:paraId="6287D33D">
                  <w:pPr>
                    <w:jc w:val="center"/>
                    <w:rPr>
                      <w:color w:val="auto"/>
                      <w:szCs w:val="21"/>
                      <w:highlight w:val="none"/>
                    </w:rPr>
                  </w:pPr>
                  <w:r>
                    <w:rPr>
                      <w:color w:val="auto"/>
                      <w:kern w:val="0"/>
                      <w:szCs w:val="21"/>
                      <w:highlight w:val="none"/>
                    </w:rPr>
                    <w:t>K</w:t>
                  </w:r>
                  <w:r>
                    <w:rPr>
                      <w:rFonts w:hint="eastAsia"/>
                      <w:color w:val="auto"/>
                      <w:kern w:val="0"/>
                      <w:szCs w:val="21"/>
                      <w:highlight w:val="none"/>
                      <w:lang w:val="en-US" w:eastAsia="zh-CN"/>
                    </w:rPr>
                    <w:t>33</w:t>
                  </w:r>
                  <w:r>
                    <w:rPr>
                      <w:color w:val="auto"/>
                      <w:kern w:val="0"/>
                      <w:szCs w:val="21"/>
                      <w:highlight w:val="none"/>
                    </w:rPr>
                    <w:t>+</w:t>
                  </w:r>
                  <w:r>
                    <w:rPr>
                      <w:rFonts w:hint="eastAsia"/>
                      <w:color w:val="auto"/>
                      <w:kern w:val="0"/>
                      <w:szCs w:val="21"/>
                      <w:highlight w:val="none"/>
                      <w:lang w:val="en-US" w:eastAsia="zh-CN"/>
                    </w:rPr>
                    <w:t>4</w:t>
                  </w:r>
                  <w:r>
                    <w:rPr>
                      <w:color w:val="auto"/>
                      <w:kern w:val="0"/>
                      <w:szCs w:val="21"/>
                      <w:highlight w:val="none"/>
                    </w:rPr>
                    <w:t>00</w:t>
                  </w:r>
                  <w:r>
                    <w:rPr>
                      <w:rFonts w:hint="eastAsia"/>
                      <w:color w:val="auto"/>
                      <w:kern w:val="0"/>
                      <w:szCs w:val="21"/>
                      <w:highlight w:val="none"/>
                      <w:lang w:val="en-US" w:eastAsia="zh-CN"/>
                    </w:rPr>
                    <w:t>右50</w:t>
                  </w:r>
                  <w:r>
                    <w:rPr>
                      <w:rFonts w:hint="eastAsia"/>
                      <w:color w:val="auto"/>
                      <w:kern w:val="0"/>
                      <w:szCs w:val="21"/>
                      <w:highlight w:val="none"/>
                    </w:rPr>
                    <w:t>m</w:t>
                  </w:r>
                </w:p>
              </w:tc>
              <w:tc>
                <w:tcPr>
                  <w:tcW w:w="1556" w:type="pct"/>
                  <w:vAlign w:val="center"/>
                </w:tcPr>
                <w:p w14:paraId="0FBFA753">
                  <w:pPr>
                    <w:jc w:val="center"/>
                    <w:rPr>
                      <w:rFonts w:hint="default" w:eastAsia="宋体"/>
                      <w:color w:val="auto"/>
                      <w:szCs w:val="21"/>
                      <w:highlight w:val="none"/>
                      <w:lang w:val="en-US" w:eastAsia="zh-CN"/>
                    </w:rPr>
                  </w:pPr>
                  <w:r>
                    <w:rPr>
                      <w:rFonts w:hint="eastAsia"/>
                      <w:color w:val="auto"/>
                      <w:szCs w:val="21"/>
                      <w:highlight w:val="none"/>
                      <w:lang w:val="en-US" w:eastAsia="zh-CN"/>
                    </w:rPr>
                    <w:t>预制场、沥青拌合站、混凝土拌合站、水稳拌合站、施工营地</w:t>
                  </w:r>
                </w:p>
              </w:tc>
              <w:tc>
                <w:tcPr>
                  <w:tcW w:w="667" w:type="pct"/>
                  <w:vAlign w:val="center"/>
                </w:tcPr>
                <w:p w14:paraId="4682DEAA">
                  <w:pPr>
                    <w:jc w:val="center"/>
                    <w:rPr>
                      <w:rFonts w:hint="eastAsia" w:eastAsia="宋体"/>
                      <w:color w:val="auto"/>
                      <w:szCs w:val="21"/>
                      <w:lang w:eastAsia="zh-CN"/>
                    </w:rPr>
                  </w:pPr>
                  <w:r>
                    <w:rPr>
                      <w:rFonts w:hint="eastAsia"/>
                      <w:color w:val="auto"/>
                      <w:szCs w:val="21"/>
                      <w:lang w:val="en-US" w:eastAsia="zh-CN"/>
                    </w:rPr>
                    <w:t>伽师县</w:t>
                  </w:r>
                </w:p>
              </w:tc>
              <w:tc>
                <w:tcPr>
                  <w:tcW w:w="1424" w:type="pct"/>
                  <w:vAlign w:val="center"/>
                </w:tcPr>
                <w:p w14:paraId="5F79A705">
                  <w:pPr>
                    <w:jc w:val="center"/>
                    <w:rPr>
                      <w:rFonts w:hint="default" w:eastAsia="宋体"/>
                      <w:color w:val="auto"/>
                      <w:szCs w:val="21"/>
                      <w:lang w:val="en-US" w:eastAsia="zh-CN"/>
                    </w:rPr>
                  </w:pPr>
                  <w:r>
                    <w:rPr>
                      <w:rFonts w:hint="eastAsia"/>
                      <w:color w:val="auto"/>
                      <w:szCs w:val="21"/>
                      <w:lang w:val="en-US" w:eastAsia="zh-CN"/>
                    </w:rPr>
                    <w:t>4.62</w:t>
                  </w:r>
                </w:p>
              </w:tc>
            </w:tr>
            <w:tr w14:paraId="3BC10F7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jc w:val="center"/>
              </w:trPr>
              <w:tc>
                <w:tcPr>
                  <w:tcW w:w="2908" w:type="pct"/>
                  <w:gridSpan w:val="3"/>
                  <w:vAlign w:val="center"/>
                </w:tcPr>
                <w:p w14:paraId="1A5062A8">
                  <w:pPr>
                    <w:spacing w:line="260" w:lineRule="exact"/>
                    <w:jc w:val="center"/>
                    <w:rPr>
                      <w:color w:val="auto"/>
                      <w:szCs w:val="21"/>
                    </w:rPr>
                  </w:pPr>
                  <w:r>
                    <w:rPr>
                      <w:color w:val="auto"/>
                      <w:szCs w:val="21"/>
                    </w:rPr>
                    <w:t>合计</w:t>
                  </w:r>
                </w:p>
              </w:tc>
              <w:tc>
                <w:tcPr>
                  <w:tcW w:w="667" w:type="pct"/>
                  <w:vAlign w:val="center"/>
                </w:tcPr>
                <w:p w14:paraId="18E5946F">
                  <w:pPr>
                    <w:spacing w:line="260" w:lineRule="exact"/>
                    <w:jc w:val="center"/>
                    <w:rPr>
                      <w:color w:val="auto"/>
                      <w:szCs w:val="21"/>
                    </w:rPr>
                  </w:pPr>
                </w:p>
              </w:tc>
              <w:tc>
                <w:tcPr>
                  <w:tcW w:w="1424" w:type="pct"/>
                  <w:vAlign w:val="center"/>
                </w:tcPr>
                <w:p w14:paraId="255B5463">
                  <w:pPr>
                    <w:spacing w:line="260" w:lineRule="exact"/>
                    <w:jc w:val="center"/>
                    <w:rPr>
                      <w:rFonts w:hint="default" w:eastAsia="宋体"/>
                      <w:color w:val="auto"/>
                      <w:szCs w:val="21"/>
                      <w:lang w:val="en-US" w:eastAsia="zh-CN"/>
                    </w:rPr>
                  </w:pPr>
                  <w:r>
                    <w:rPr>
                      <w:rFonts w:hint="eastAsia"/>
                      <w:color w:val="auto"/>
                      <w:szCs w:val="21"/>
                      <w:lang w:val="en-US" w:eastAsia="zh-CN"/>
                    </w:rPr>
                    <w:t>9.37</w:t>
                  </w:r>
                </w:p>
              </w:tc>
            </w:tr>
            <w:bookmarkEnd w:id="11"/>
          </w:tbl>
          <w:p w14:paraId="2510B2A5">
            <w:pPr>
              <w:spacing w:before="240" w:beforeLines="100" w:line="300" w:lineRule="auto"/>
              <w:ind w:firstLine="480" w:firstLineChars="200"/>
              <w:jc w:val="both"/>
              <w:rPr>
                <w:rFonts w:hint="default" w:eastAsiaTheme="minorEastAsia"/>
                <w:color w:val="auto"/>
                <w:kern w:val="0"/>
                <w:sz w:val="24"/>
                <w:lang w:val="en-US" w:eastAsia="zh-CN"/>
              </w:rPr>
            </w:pPr>
            <w:r>
              <w:rPr>
                <w:rFonts w:eastAsiaTheme="minorEastAsia"/>
                <w:color w:val="auto"/>
                <w:kern w:val="0"/>
                <w:sz w:val="24"/>
              </w:rPr>
              <w:t>(</w:t>
            </w:r>
            <w:r>
              <w:rPr>
                <w:rFonts w:hint="eastAsia" w:eastAsiaTheme="minorEastAsia"/>
                <w:color w:val="auto"/>
                <w:kern w:val="0"/>
                <w:sz w:val="24"/>
                <w:lang w:val="en-US" w:eastAsia="zh-CN"/>
              </w:rPr>
              <w:t>3</w:t>
            </w:r>
            <w:r>
              <w:rPr>
                <w:rFonts w:eastAsiaTheme="minorEastAsia"/>
                <w:color w:val="auto"/>
                <w:kern w:val="0"/>
                <w:sz w:val="24"/>
              </w:rPr>
              <w:t xml:space="preserve">) </w:t>
            </w:r>
            <w:r>
              <w:rPr>
                <w:rFonts w:hAnsiTheme="minorEastAsia" w:eastAsiaTheme="minorEastAsia"/>
                <w:color w:val="auto"/>
                <w:kern w:val="0"/>
                <w:sz w:val="24"/>
              </w:rPr>
              <w:t>施工便道</w:t>
            </w:r>
            <w:r>
              <w:rPr>
                <w:rFonts w:hint="eastAsia" w:hAnsiTheme="minorEastAsia" w:eastAsiaTheme="minorEastAsia"/>
                <w:color w:val="auto"/>
                <w:kern w:val="0"/>
                <w:sz w:val="24"/>
                <w:lang w:val="en-US" w:eastAsia="zh-CN"/>
              </w:rPr>
              <w:t>及便桥</w:t>
            </w:r>
          </w:p>
          <w:p w14:paraId="0CA23C49">
            <w:pPr>
              <w:pStyle w:val="91"/>
              <w:spacing w:after="120" w:afterLines="50"/>
              <w:ind w:firstLine="480"/>
              <w:jc w:val="both"/>
              <w:rPr>
                <w:rFonts w:eastAsiaTheme="minorEastAsia"/>
                <w:color w:val="auto"/>
                <w:spacing w:val="4"/>
                <w:szCs w:val="24"/>
              </w:rPr>
            </w:pPr>
            <w:r>
              <w:rPr>
                <w:rFonts w:hAnsiTheme="minorEastAsia" w:eastAsiaTheme="minorEastAsia"/>
                <w:color w:val="auto"/>
                <w:szCs w:val="24"/>
              </w:rPr>
              <w:t>拟建公路</w:t>
            </w:r>
            <w:r>
              <w:rPr>
                <w:rFonts w:hint="eastAsia" w:hAnsiTheme="minorEastAsia" w:eastAsiaTheme="minorEastAsia"/>
                <w:color w:val="auto"/>
                <w:szCs w:val="24"/>
                <w:lang w:val="en-US" w:eastAsia="zh-CN"/>
              </w:rPr>
              <w:t>设置</w:t>
            </w:r>
            <w:r>
              <w:rPr>
                <w:rFonts w:hAnsiTheme="minorEastAsia" w:eastAsiaTheme="minorEastAsia"/>
                <w:color w:val="auto"/>
                <w:spacing w:val="4"/>
                <w:szCs w:val="24"/>
              </w:rPr>
              <w:t>新建施工便道</w:t>
            </w:r>
            <w:r>
              <w:rPr>
                <w:rFonts w:hint="eastAsia" w:eastAsiaTheme="minorEastAsia"/>
                <w:color w:val="auto"/>
                <w:spacing w:val="4"/>
                <w:szCs w:val="24"/>
                <w:lang w:val="en-US" w:eastAsia="zh-CN"/>
              </w:rPr>
              <w:t>2.3</w:t>
            </w:r>
            <w:r>
              <w:rPr>
                <w:rFonts w:eastAsiaTheme="minorEastAsia"/>
                <w:color w:val="auto"/>
                <w:spacing w:val="4"/>
                <w:szCs w:val="24"/>
              </w:rPr>
              <w:t>km</w:t>
            </w:r>
            <w:r>
              <w:rPr>
                <w:rFonts w:hAnsiTheme="minorEastAsia" w:eastAsiaTheme="minorEastAsia"/>
                <w:color w:val="auto"/>
                <w:spacing w:val="4"/>
                <w:szCs w:val="24"/>
              </w:rPr>
              <w:t>。施工便道设置情况详见表</w:t>
            </w:r>
            <w:r>
              <w:rPr>
                <w:rFonts w:eastAsiaTheme="minorEastAsia"/>
                <w:color w:val="auto"/>
                <w:spacing w:val="4"/>
                <w:szCs w:val="24"/>
              </w:rPr>
              <w:t>2-1</w:t>
            </w:r>
            <w:r>
              <w:rPr>
                <w:rFonts w:hint="eastAsia" w:eastAsiaTheme="minorEastAsia"/>
                <w:color w:val="auto"/>
                <w:spacing w:val="4"/>
                <w:szCs w:val="24"/>
                <w:lang w:val="en-US" w:eastAsia="zh-CN"/>
              </w:rPr>
              <w:t>5</w:t>
            </w:r>
            <w:r>
              <w:rPr>
                <w:rFonts w:hAnsiTheme="minorEastAsia" w:eastAsiaTheme="minorEastAsia"/>
                <w:color w:val="auto"/>
                <w:spacing w:val="4"/>
                <w:szCs w:val="24"/>
              </w:rPr>
              <w:t>。</w:t>
            </w:r>
          </w:p>
          <w:p w14:paraId="46EF75EA">
            <w:pPr>
              <w:pStyle w:val="90"/>
              <w:spacing w:line="240" w:lineRule="auto"/>
              <w:ind w:firstLine="0" w:firstLineChars="0"/>
              <w:jc w:val="center"/>
              <w:rPr>
                <w:rFonts w:eastAsiaTheme="minorEastAsia"/>
                <w:b/>
                <w:color w:val="auto"/>
                <w:sz w:val="21"/>
                <w:szCs w:val="21"/>
              </w:rPr>
            </w:pPr>
            <w:r>
              <w:rPr>
                <w:rFonts w:hAnsiTheme="minorEastAsia" w:eastAsiaTheme="minorEastAsia"/>
                <w:b/>
                <w:color w:val="auto"/>
                <w:sz w:val="21"/>
                <w:szCs w:val="21"/>
              </w:rPr>
              <w:t>表</w:t>
            </w:r>
            <w:r>
              <w:rPr>
                <w:rFonts w:eastAsiaTheme="minorEastAsia"/>
                <w:b/>
                <w:color w:val="auto"/>
                <w:sz w:val="21"/>
                <w:szCs w:val="21"/>
              </w:rPr>
              <w:t>2-1</w:t>
            </w:r>
            <w:r>
              <w:rPr>
                <w:rFonts w:hint="eastAsia" w:eastAsiaTheme="minorEastAsia"/>
                <w:b/>
                <w:color w:val="auto"/>
                <w:sz w:val="21"/>
                <w:szCs w:val="21"/>
                <w:lang w:val="en-US" w:eastAsia="zh-CN"/>
              </w:rPr>
              <w:t>5</w:t>
            </w:r>
            <w:r>
              <w:rPr>
                <w:rFonts w:hint="eastAsia" w:eastAsiaTheme="minorEastAsia"/>
                <w:b/>
                <w:color w:val="auto"/>
                <w:sz w:val="21"/>
                <w:szCs w:val="21"/>
              </w:rPr>
              <w:t xml:space="preserve"> </w:t>
            </w:r>
            <w:r>
              <w:rPr>
                <w:rFonts w:eastAsiaTheme="minorEastAsia"/>
                <w:b/>
                <w:color w:val="auto"/>
                <w:sz w:val="21"/>
                <w:szCs w:val="21"/>
              </w:rPr>
              <w:t xml:space="preserve"> </w:t>
            </w:r>
            <w:r>
              <w:rPr>
                <w:rFonts w:hint="eastAsia" w:eastAsiaTheme="minorEastAsia"/>
                <w:b/>
                <w:color w:val="auto"/>
                <w:sz w:val="21"/>
                <w:szCs w:val="21"/>
                <w:lang w:val="en-US" w:eastAsia="zh-CN"/>
              </w:rPr>
              <w:t>拟建公路</w:t>
            </w:r>
            <w:r>
              <w:rPr>
                <w:rFonts w:hAnsiTheme="minorEastAsia" w:eastAsiaTheme="minorEastAsia"/>
                <w:b/>
                <w:color w:val="auto"/>
                <w:sz w:val="21"/>
                <w:szCs w:val="21"/>
              </w:rPr>
              <w:t>新建施工便道分布情况表</w:t>
            </w:r>
          </w:p>
          <w:tbl>
            <w:tblPr>
              <w:tblStyle w:val="22"/>
              <w:tblW w:w="84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1"/>
              <w:gridCol w:w="2127"/>
              <w:gridCol w:w="1283"/>
              <w:gridCol w:w="851"/>
              <w:gridCol w:w="911"/>
              <w:gridCol w:w="1673"/>
            </w:tblGrid>
            <w:tr w14:paraId="6F5D8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 w:type="pct"/>
                  <w:vMerge w:val="restart"/>
                  <w:noWrap/>
                  <w:vAlign w:val="center"/>
                </w:tcPr>
                <w:p w14:paraId="0EC1C8D3">
                  <w:pPr>
                    <w:widowControl/>
                    <w:jc w:val="center"/>
                    <w:rPr>
                      <w:rFonts w:hint="eastAsia" w:hAnsiTheme="minorEastAsia" w:eastAsiaTheme="minorEastAsia"/>
                      <w:b/>
                      <w:color w:val="auto"/>
                      <w:kern w:val="0"/>
                      <w:sz w:val="21"/>
                      <w:szCs w:val="21"/>
                      <w:lang w:val="en-US" w:eastAsia="zh-CN"/>
                    </w:rPr>
                  </w:pPr>
                  <w:r>
                    <w:rPr>
                      <w:rFonts w:hint="eastAsia" w:hAnsiTheme="minorEastAsia" w:eastAsiaTheme="minorEastAsia"/>
                      <w:b/>
                      <w:color w:val="auto"/>
                      <w:kern w:val="0"/>
                      <w:sz w:val="21"/>
                      <w:szCs w:val="21"/>
                      <w:lang w:val="en-US" w:eastAsia="zh-CN"/>
                    </w:rPr>
                    <w:t>桩号</w:t>
                  </w:r>
                </w:p>
              </w:tc>
              <w:tc>
                <w:tcPr>
                  <w:tcW w:w="1265" w:type="pct"/>
                  <w:vMerge w:val="restart"/>
                  <w:noWrap/>
                  <w:vAlign w:val="center"/>
                </w:tcPr>
                <w:p w14:paraId="6B8B7117">
                  <w:pPr>
                    <w:widowControl/>
                    <w:jc w:val="center"/>
                    <w:rPr>
                      <w:rFonts w:eastAsiaTheme="minorEastAsia"/>
                      <w:b/>
                      <w:color w:val="auto"/>
                      <w:kern w:val="0"/>
                      <w:sz w:val="21"/>
                      <w:szCs w:val="21"/>
                    </w:rPr>
                  </w:pPr>
                  <w:r>
                    <w:rPr>
                      <w:rFonts w:hAnsiTheme="minorEastAsia" w:eastAsiaTheme="minorEastAsia"/>
                      <w:b/>
                      <w:color w:val="auto"/>
                      <w:kern w:val="0"/>
                      <w:sz w:val="21"/>
                      <w:szCs w:val="21"/>
                    </w:rPr>
                    <w:t>便道名称</w:t>
                  </w:r>
                </w:p>
              </w:tc>
              <w:tc>
                <w:tcPr>
                  <w:tcW w:w="763" w:type="pct"/>
                  <w:vMerge w:val="restart"/>
                  <w:noWrap/>
                  <w:vAlign w:val="center"/>
                </w:tcPr>
                <w:p w14:paraId="34E97F3C">
                  <w:pPr>
                    <w:widowControl/>
                    <w:jc w:val="center"/>
                    <w:rPr>
                      <w:rFonts w:hint="default" w:hAnsiTheme="minorEastAsia" w:eastAsiaTheme="minorEastAsia"/>
                      <w:b/>
                      <w:color w:val="auto"/>
                      <w:kern w:val="0"/>
                      <w:sz w:val="21"/>
                      <w:szCs w:val="21"/>
                      <w:lang w:val="en-US" w:eastAsia="zh-CN"/>
                    </w:rPr>
                  </w:pPr>
                  <w:r>
                    <w:rPr>
                      <w:rFonts w:hint="eastAsia" w:hAnsiTheme="minorEastAsia" w:eastAsiaTheme="minorEastAsia"/>
                      <w:b/>
                      <w:color w:val="auto"/>
                      <w:kern w:val="0"/>
                      <w:sz w:val="21"/>
                      <w:szCs w:val="21"/>
                      <w:lang w:val="en-US" w:eastAsia="zh-CN"/>
                    </w:rPr>
                    <w:t>所属市(县)</w:t>
                  </w:r>
                </w:p>
              </w:tc>
              <w:tc>
                <w:tcPr>
                  <w:tcW w:w="506" w:type="pct"/>
                  <w:vMerge w:val="restart"/>
                  <w:vAlign w:val="center"/>
                </w:tcPr>
                <w:p w14:paraId="5F7E6C73">
                  <w:pPr>
                    <w:widowControl/>
                    <w:jc w:val="center"/>
                    <w:rPr>
                      <w:rFonts w:eastAsiaTheme="minorEastAsia"/>
                      <w:b/>
                      <w:color w:val="auto"/>
                      <w:kern w:val="0"/>
                      <w:sz w:val="21"/>
                      <w:szCs w:val="21"/>
                    </w:rPr>
                  </w:pPr>
                  <w:r>
                    <w:rPr>
                      <w:rFonts w:hAnsiTheme="minorEastAsia" w:eastAsiaTheme="minorEastAsia"/>
                      <w:b/>
                      <w:color w:val="auto"/>
                      <w:kern w:val="0"/>
                      <w:sz w:val="21"/>
                      <w:szCs w:val="21"/>
                    </w:rPr>
                    <w:t>长度</w:t>
                  </w:r>
                  <w:r>
                    <w:rPr>
                      <w:rFonts w:eastAsiaTheme="minorEastAsia"/>
                      <w:b/>
                      <w:color w:val="auto"/>
                      <w:kern w:val="0"/>
                      <w:sz w:val="21"/>
                      <w:szCs w:val="21"/>
                    </w:rPr>
                    <w:t>(km)</w:t>
                  </w:r>
                </w:p>
              </w:tc>
              <w:tc>
                <w:tcPr>
                  <w:tcW w:w="541" w:type="pct"/>
                  <w:vMerge w:val="restart"/>
                  <w:vAlign w:val="center"/>
                </w:tcPr>
                <w:p w14:paraId="1013639A">
                  <w:pPr>
                    <w:widowControl/>
                    <w:jc w:val="center"/>
                    <w:rPr>
                      <w:rFonts w:eastAsiaTheme="minorEastAsia"/>
                      <w:b/>
                      <w:color w:val="auto"/>
                      <w:kern w:val="0"/>
                      <w:sz w:val="21"/>
                      <w:szCs w:val="21"/>
                    </w:rPr>
                  </w:pPr>
                  <w:r>
                    <w:rPr>
                      <w:rFonts w:hAnsiTheme="minorEastAsia" w:eastAsiaTheme="minorEastAsia"/>
                      <w:b/>
                      <w:color w:val="auto"/>
                      <w:kern w:val="0"/>
                      <w:sz w:val="21"/>
                      <w:szCs w:val="21"/>
                    </w:rPr>
                    <w:t>便道宽度</w:t>
                  </w:r>
                  <w:r>
                    <w:rPr>
                      <w:rFonts w:eastAsiaTheme="minorEastAsia"/>
                      <w:b/>
                      <w:color w:val="auto"/>
                      <w:kern w:val="0"/>
                      <w:sz w:val="21"/>
                      <w:szCs w:val="21"/>
                    </w:rPr>
                    <w:t>(m)</w:t>
                  </w:r>
                </w:p>
              </w:tc>
              <w:tc>
                <w:tcPr>
                  <w:tcW w:w="995" w:type="pct"/>
                  <w:vAlign w:val="center"/>
                </w:tcPr>
                <w:p w14:paraId="52E0CD08">
                  <w:pPr>
                    <w:widowControl/>
                    <w:jc w:val="center"/>
                    <w:rPr>
                      <w:rFonts w:eastAsiaTheme="minorEastAsia"/>
                      <w:b/>
                      <w:color w:val="auto"/>
                      <w:kern w:val="0"/>
                      <w:sz w:val="21"/>
                      <w:szCs w:val="21"/>
                    </w:rPr>
                  </w:pPr>
                  <w:r>
                    <w:rPr>
                      <w:rFonts w:hAnsiTheme="minorEastAsia" w:eastAsiaTheme="minorEastAsia"/>
                      <w:b/>
                      <w:color w:val="auto"/>
                      <w:kern w:val="0"/>
                      <w:sz w:val="21"/>
                      <w:szCs w:val="21"/>
                    </w:rPr>
                    <w:t>占地类型及面积</w:t>
                  </w:r>
                  <w:r>
                    <w:rPr>
                      <w:rFonts w:hint="eastAsia" w:hAnsiTheme="minorEastAsia" w:eastAsiaTheme="minorEastAsia"/>
                      <w:b/>
                      <w:color w:val="auto"/>
                      <w:kern w:val="0"/>
                      <w:sz w:val="21"/>
                      <w:szCs w:val="21"/>
                      <w:lang w:val="en-US" w:eastAsia="zh-CN"/>
                    </w:rPr>
                    <w:t>(</w:t>
                  </w:r>
                  <w:r>
                    <w:rPr>
                      <w:rFonts w:eastAsiaTheme="minorEastAsia"/>
                      <w:b/>
                      <w:color w:val="auto"/>
                      <w:kern w:val="0"/>
                      <w:sz w:val="21"/>
                      <w:szCs w:val="21"/>
                    </w:rPr>
                    <w:t>hm</w:t>
                  </w:r>
                  <w:r>
                    <w:rPr>
                      <w:rFonts w:eastAsiaTheme="minorEastAsia"/>
                      <w:b/>
                      <w:color w:val="auto"/>
                      <w:kern w:val="0"/>
                      <w:sz w:val="21"/>
                      <w:szCs w:val="21"/>
                      <w:vertAlign w:val="superscript"/>
                    </w:rPr>
                    <w:t>2</w:t>
                  </w:r>
                  <w:r>
                    <w:rPr>
                      <w:rFonts w:hint="eastAsia" w:hAnsiTheme="minorEastAsia" w:eastAsiaTheme="minorEastAsia"/>
                      <w:b/>
                      <w:color w:val="auto"/>
                      <w:kern w:val="0"/>
                      <w:sz w:val="21"/>
                      <w:szCs w:val="21"/>
                      <w:lang w:val="en-US" w:eastAsia="zh-CN"/>
                    </w:rPr>
                    <w:t>)</w:t>
                  </w:r>
                </w:p>
              </w:tc>
            </w:tr>
            <w:tr w14:paraId="65DE7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 w:type="pct"/>
                  <w:vMerge w:val="continue"/>
                  <w:vAlign w:val="center"/>
                </w:tcPr>
                <w:p w14:paraId="0316745B">
                  <w:pPr>
                    <w:widowControl/>
                    <w:jc w:val="center"/>
                    <w:rPr>
                      <w:rFonts w:eastAsiaTheme="minorEastAsia"/>
                      <w:b/>
                      <w:color w:val="auto"/>
                      <w:kern w:val="0"/>
                      <w:sz w:val="21"/>
                      <w:szCs w:val="21"/>
                    </w:rPr>
                  </w:pPr>
                </w:p>
              </w:tc>
              <w:tc>
                <w:tcPr>
                  <w:tcW w:w="1265" w:type="pct"/>
                  <w:vMerge w:val="continue"/>
                  <w:vAlign w:val="center"/>
                </w:tcPr>
                <w:p w14:paraId="42693E83">
                  <w:pPr>
                    <w:widowControl/>
                    <w:jc w:val="center"/>
                    <w:rPr>
                      <w:rFonts w:eastAsiaTheme="minorEastAsia"/>
                      <w:b/>
                      <w:color w:val="auto"/>
                      <w:kern w:val="0"/>
                      <w:sz w:val="21"/>
                      <w:szCs w:val="21"/>
                    </w:rPr>
                  </w:pPr>
                </w:p>
              </w:tc>
              <w:tc>
                <w:tcPr>
                  <w:tcW w:w="763" w:type="pct"/>
                  <w:vMerge w:val="continue"/>
                  <w:vAlign w:val="center"/>
                </w:tcPr>
                <w:p w14:paraId="53D21C30">
                  <w:pPr>
                    <w:widowControl/>
                    <w:jc w:val="center"/>
                    <w:rPr>
                      <w:rFonts w:eastAsiaTheme="minorEastAsia"/>
                      <w:b/>
                      <w:color w:val="auto"/>
                      <w:kern w:val="0"/>
                      <w:sz w:val="21"/>
                      <w:szCs w:val="21"/>
                    </w:rPr>
                  </w:pPr>
                </w:p>
              </w:tc>
              <w:tc>
                <w:tcPr>
                  <w:tcW w:w="506" w:type="pct"/>
                  <w:vMerge w:val="continue"/>
                  <w:vAlign w:val="center"/>
                </w:tcPr>
                <w:p w14:paraId="34F52DA0">
                  <w:pPr>
                    <w:widowControl/>
                    <w:jc w:val="center"/>
                    <w:rPr>
                      <w:rFonts w:eastAsiaTheme="minorEastAsia"/>
                      <w:b/>
                      <w:color w:val="auto"/>
                      <w:kern w:val="0"/>
                      <w:sz w:val="21"/>
                      <w:szCs w:val="21"/>
                    </w:rPr>
                  </w:pPr>
                </w:p>
              </w:tc>
              <w:tc>
                <w:tcPr>
                  <w:tcW w:w="541" w:type="pct"/>
                  <w:vMerge w:val="continue"/>
                  <w:vAlign w:val="center"/>
                </w:tcPr>
                <w:p w14:paraId="667145D3">
                  <w:pPr>
                    <w:widowControl/>
                    <w:jc w:val="center"/>
                    <w:rPr>
                      <w:rFonts w:eastAsiaTheme="minorEastAsia"/>
                      <w:b/>
                      <w:color w:val="auto"/>
                      <w:kern w:val="0"/>
                      <w:sz w:val="21"/>
                      <w:szCs w:val="21"/>
                    </w:rPr>
                  </w:pPr>
                </w:p>
              </w:tc>
              <w:tc>
                <w:tcPr>
                  <w:tcW w:w="995" w:type="pct"/>
                  <w:noWrap/>
                  <w:vAlign w:val="center"/>
                </w:tcPr>
                <w:p w14:paraId="6E84D4B4">
                  <w:pPr>
                    <w:widowControl/>
                    <w:jc w:val="center"/>
                    <w:rPr>
                      <w:rFonts w:eastAsiaTheme="minorEastAsia"/>
                      <w:b/>
                      <w:color w:val="auto"/>
                      <w:kern w:val="0"/>
                      <w:sz w:val="21"/>
                      <w:szCs w:val="21"/>
                    </w:rPr>
                  </w:pPr>
                  <w:r>
                    <w:rPr>
                      <w:rFonts w:hAnsiTheme="minorEastAsia" w:eastAsiaTheme="minorEastAsia"/>
                      <w:b/>
                      <w:color w:val="auto"/>
                      <w:kern w:val="0"/>
                      <w:sz w:val="21"/>
                      <w:szCs w:val="21"/>
                    </w:rPr>
                    <w:t>草地</w:t>
                  </w:r>
                </w:p>
              </w:tc>
            </w:tr>
            <w:tr w14:paraId="3EEAB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 w:type="pct"/>
                  <w:vAlign w:val="center"/>
                </w:tcPr>
                <w:p w14:paraId="6B16EFB9">
                  <w:pPr>
                    <w:jc w:val="center"/>
                    <w:rPr>
                      <w:sz w:val="21"/>
                      <w:szCs w:val="21"/>
                    </w:rPr>
                  </w:pPr>
                  <w:r>
                    <w:rPr>
                      <w:sz w:val="21"/>
                      <w:szCs w:val="21"/>
                    </w:rPr>
                    <w:t>K1</w:t>
                  </w:r>
                  <w:r>
                    <w:rPr>
                      <w:rFonts w:hint="eastAsia"/>
                      <w:sz w:val="21"/>
                      <w:szCs w:val="21"/>
                    </w:rPr>
                    <w:t>8</w:t>
                  </w:r>
                  <w:r>
                    <w:rPr>
                      <w:sz w:val="21"/>
                      <w:szCs w:val="21"/>
                    </w:rPr>
                    <w:t>+</w:t>
                  </w:r>
                  <w:r>
                    <w:rPr>
                      <w:rFonts w:hint="eastAsia"/>
                      <w:sz w:val="21"/>
                      <w:szCs w:val="21"/>
                    </w:rPr>
                    <w:t>4</w:t>
                  </w:r>
                  <w:r>
                    <w:rPr>
                      <w:sz w:val="21"/>
                      <w:szCs w:val="21"/>
                    </w:rPr>
                    <w:t>00</w:t>
                  </w:r>
                  <w:r>
                    <w:rPr>
                      <w:rFonts w:hint="default" w:ascii="Times New Roman" w:hAnsi="Times New Roman" w:cs="Times New Roman"/>
                      <w:sz w:val="21"/>
                      <w:szCs w:val="21"/>
                    </w:rPr>
                    <w:t>~</w:t>
                  </w:r>
                </w:p>
                <w:p w14:paraId="73023102">
                  <w:pPr>
                    <w:jc w:val="center"/>
                    <w:rPr>
                      <w:rFonts w:hint="eastAsia" w:eastAsia="宋体"/>
                      <w:color w:val="auto"/>
                      <w:sz w:val="21"/>
                      <w:szCs w:val="21"/>
                      <w:lang w:val="en-US" w:eastAsia="zh-CN"/>
                    </w:rPr>
                  </w:pPr>
                  <w:r>
                    <w:rPr>
                      <w:sz w:val="21"/>
                      <w:szCs w:val="21"/>
                    </w:rPr>
                    <w:t>K</w:t>
                  </w:r>
                  <w:r>
                    <w:rPr>
                      <w:rFonts w:hint="eastAsia"/>
                      <w:sz w:val="21"/>
                      <w:szCs w:val="21"/>
                    </w:rPr>
                    <w:t>18</w:t>
                  </w:r>
                  <w:r>
                    <w:rPr>
                      <w:sz w:val="21"/>
                      <w:szCs w:val="21"/>
                    </w:rPr>
                    <w:t>+</w:t>
                  </w:r>
                  <w:r>
                    <w:rPr>
                      <w:rFonts w:hint="eastAsia"/>
                      <w:sz w:val="21"/>
                      <w:szCs w:val="21"/>
                    </w:rPr>
                    <w:t>6</w:t>
                  </w:r>
                  <w:r>
                    <w:rPr>
                      <w:sz w:val="21"/>
                      <w:szCs w:val="21"/>
                    </w:rPr>
                    <w:t>00</w:t>
                  </w:r>
                  <w:r>
                    <w:rPr>
                      <w:rFonts w:hint="eastAsia"/>
                      <w:sz w:val="21"/>
                      <w:szCs w:val="21"/>
                      <w:lang w:val="en-US" w:eastAsia="zh-CN"/>
                    </w:rPr>
                    <w:t>右侧</w:t>
                  </w:r>
                </w:p>
              </w:tc>
              <w:tc>
                <w:tcPr>
                  <w:tcW w:w="1265" w:type="pct"/>
                  <w:vAlign w:val="center"/>
                </w:tcPr>
                <w:p w14:paraId="2273D18E">
                  <w:pPr>
                    <w:jc w:val="center"/>
                    <w:rPr>
                      <w:rFonts w:eastAsiaTheme="minorEastAsia"/>
                      <w:color w:val="auto"/>
                      <w:kern w:val="0"/>
                      <w:sz w:val="21"/>
                      <w:szCs w:val="21"/>
                    </w:rPr>
                  </w:pPr>
                  <w:r>
                    <w:rPr>
                      <w:rFonts w:hint="eastAsia"/>
                      <w:color w:val="auto"/>
                      <w:sz w:val="21"/>
                      <w:szCs w:val="21"/>
                    </w:rPr>
                    <w:t>纵向贯通便道</w:t>
                  </w:r>
                </w:p>
              </w:tc>
              <w:tc>
                <w:tcPr>
                  <w:tcW w:w="763" w:type="pct"/>
                  <w:vAlign w:val="center"/>
                </w:tcPr>
                <w:p w14:paraId="2E0EC433">
                  <w:pPr>
                    <w:jc w:val="center"/>
                    <w:rPr>
                      <w:rFonts w:hint="eastAsia"/>
                      <w:color w:val="auto"/>
                      <w:sz w:val="21"/>
                      <w:szCs w:val="21"/>
                    </w:rPr>
                  </w:pPr>
                  <w:r>
                    <w:rPr>
                      <w:rFonts w:hint="eastAsia"/>
                      <w:sz w:val="21"/>
                      <w:szCs w:val="21"/>
                    </w:rPr>
                    <w:t>伽师县</w:t>
                  </w:r>
                </w:p>
              </w:tc>
              <w:tc>
                <w:tcPr>
                  <w:tcW w:w="506" w:type="pct"/>
                  <w:vAlign w:val="center"/>
                </w:tcPr>
                <w:p w14:paraId="503B0702">
                  <w:pPr>
                    <w:jc w:val="center"/>
                    <w:rPr>
                      <w:rFonts w:eastAsiaTheme="minorEastAsia"/>
                      <w:color w:val="auto"/>
                      <w:sz w:val="21"/>
                      <w:szCs w:val="21"/>
                    </w:rPr>
                  </w:pPr>
                  <w:r>
                    <w:rPr>
                      <w:rFonts w:hint="eastAsia"/>
                      <w:color w:val="auto"/>
                      <w:sz w:val="21"/>
                      <w:szCs w:val="21"/>
                    </w:rPr>
                    <w:t>0.2</w:t>
                  </w:r>
                </w:p>
              </w:tc>
              <w:tc>
                <w:tcPr>
                  <w:tcW w:w="541" w:type="pct"/>
                  <w:vAlign w:val="center"/>
                </w:tcPr>
                <w:p w14:paraId="0388AA14">
                  <w:pPr>
                    <w:widowControl/>
                    <w:jc w:val="center"/>
                    <w:textAlignment w:val="center"/>
                    <w:rPr>
                      <w:rFonts w:hint="eastAsia" w:eastAsiaTheme="minorEastAsia"/>
                      <w:color w:val="auto"/>
                      <w:sz w:val="21"/>
                      <w:szCs w:val="21"/>
                      <w:lang w:eastAsia="zh-CN"/>
                    </w:rPr>
                  </w:pPr>
                  <w:r>
                    <w:rPr>
                      <w:rFonts w:hint="eastAsia" w:eastAsiaTheme="minorEastAsia"/>
                      <w:color w:val="auto"/>
                      <w:kern w:val="0"/>
                      <w:sz w:val="21"/>
                      <w:szCs w:val="21"/>
                      <w:lang w:val="en-US" w:eastAsia="zh-CN"/>
                    </w:rPr>
                    <w:t>7</w:t>
                  </w:r>
                </w:p>
              </w:tc>
              <w:tc>
                <w:tcPr>
                  <w:tcW w:w="995" w:type="pct"/>
                  <w:noWrap/>
                  <w:vAlign w:val="center"/>
                </w:tcPr>
                <w:p w14:paraId="0F45A729">
                  <w:pPr>
                    <w:jc w:val="center"/>
                    <w:rPr>
                      <w:rFonts w:eastAsiaTheme="minorEastAsia"/>
                      <w:color w:val="auto"/>
                      <w:sz w:val="21"/>
                      <w:szCs w:val="21"/>
                    </w:rPr>
                  </w:pPr>
                  <w:r>
                    <w:rPr>
                      <w:rFonts w:hint="eastAsia"/>
                      <w:color w:val="auto"/>
                      <w:sz w:val="21"/>
                      <w:szCs w:val="21"/>
                    </w:rPr>
                    <w:t>0.14</w:t>
                  </w:r>
                </w:p>
              </w:tc>
            </w:tr>
            <w:tr w14:paraId="726CB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 w:type="pct"/>
                  <w:vAlign w:val="center"/>
                </w:tcPr>
                <w:p w14:paraId="62B1507C">
                  <w:pPr>
                    <w:jc w:val="center"/>
                    <w:rPr>
                      <w:rFonts w:hint="eastAsia"/>
                      <w:color w:val="auto"/>
                      <w:sz w:val="21"/>
                      <w:szCs w:val="21"/>
                    </w:rPr>
                  </w:pPr>
                  <w:r>
                    <w:rPr>
                      <w:sz w:val="21"/>
                      <w:szCs w:val="21"/>
                    </w:rPr>
                    <w:t>K</w:t>
                  </w:r>
                  <w:r>
                    <w:rPr>
                      <w:rFonts w:hint="eastAsia"/>
                      <w:sz w:val="21"/>
                      <w:szCs w:val="21"/>
                    </w:rPr>
                    <w:t>0</w:t>
                  </w:r>
                  <w:r>
                    <w:rPr>
                      <w:sz w:val="21"/>
                      <w:szCs w:val="21"/>
                    </w:rPr>
                    <w:t>+</w:t>
                  </w:r>
                  <w:r>
                    <w:rPr>
                      <w:rFonts w:hint="eastAsia"/>
                      <w:sz w:val="21"/>
                      <w:szCs w:val="21"/>
                    </w:rPr>
                    <w:t>20</w:t>
                  </w:r>
                  <w:r>
                    <w:rPr>
                      <w:sz w:val="21"/>
                      <w:szCs w:val="21"/>
                    </w:rPr>
                    <w:t>0</w:t>
                  </w:r>
                  <w:r>
                    <w:rPr>
                      <w:rFonts w:hint="eastAsia"/>
                      <w:sz w:val="21"/>
                      <w:szCs w:val="21"/>
                    </w:rPr>
                    <w:t>左</w:t>
                  </w:r>
                  <w:r>
                    <w:rPr>
                      <w:sz w:val="21"/>
                      <w:szCs w:val="21"/>
                    </w:rPr>
                    <w:t>侧</w:t>
                  </w:r>
                </w:p>
              </w:tc>
              <w:tc>
                <w:tcPr>
                  <w:tcW w:w="1265" w:type="pct"/>
                  <w:vAlign w:val="center"/>
                </w:tcPr>
                <w:p w14:paraId="4CAC201C">
                  <w:pPr>
                    <w:jc w:val="center"/>
                    <w:rPr>
                      <w:rFonts w:eastAsiaTheme="minorEastAsia"/>
                      <w:color w:val="auto"/>
                      <w:kern w:val="0"/>
                      <w:sz w:val="21"/>
                      <w:szCs w:val="21"/>
                    </w:rPr>
                  </w:pPr>
                  <w:r>
                    <w:rPr>
                      <w:rFonts w:hint="eastAsia"/>
                      <w:color w:val="auto"/>
                      <w:sz w:val="21"/>
                      <w:szCs w:val="21"/>
                    </w:rPr>
                    <w:t>1#综合场站横向便道</w:t>
                  </w:r>
                </w:p>
              </w:tc>
              <w:tc>
                <w:tcPr>
                  <w:tcW w:w="763" w:type="pct"/>
                  <w:vAlign w:val="center"/>
                </w:tcPr>
                <w:p w14:paraId="2A201C25">
                  <w:pPr>
                    <w:jc w:val="center"/>
                    <w:rPr>
                      <w:rFonts w:hint="eastAsia"/>
                      <w:color w:val="auto"/>
                      <w:sz w:val="21"/>
                      <w:szCs w:val="21"/>
                    </w:rPr>
                  </w:pPr>
                  <w:r>
                    <w:rPr>
                      <w:rFonts w:hint="eastAsia"/>
                      <w:sz w:val="21"/>
                      <w:szCs w:val="21"/>
                    </w:rPr>
                    <w:t>阿图什市</w:t>
                  </w:r>
                </w:p>
              </w:tc>
              <w:tc>
                <w:tcPr>
                  <w:tcW w:w="506" w:type="pct"/>
                  <w:vAlign w:val="center"/>
                </w:tcPr>
                <w:p w14:paraId="0258B0BC">
                  <w:pPr>
                    <w:jc w:val="center"/>
                    <w:rPr>
                      <w:rFonts w:eastAsiaTheme="minorEastAsia"/>
                      <w:color w:val="auto"/>
                      <w:sz w:val="21"/>
                      <w:szCs w:val="21"/>
                    </w:rPr>
                  </w:pPr>
                  <w:r>
                    <w:rPr>
                      <w:rFonts w:hint="eastAsia"/>
                      <w:color w:val="auto"/>
                      <w:sz w:val="21"/>
                      <w:szCs w:val="21"/>
                    </w:rPr>
                    <w:t>0.3</w:t>
                  </w:r>
                </w:p>
              </w:tc>
              <w:tc>
                <w:tcPr>
                  <w:tcW w:w="541" w:type="pct"/>
                  <w:vAlign w:val="center"/>
                </w:tcPr>
                <w:p w14:paraId="1F80D89E">
                  <w:pPr>
                    <w:widowControl/>
                    <w:jc w:val="center"/>
                    <w:textAlignment w:val="center"/>
                    <w:rPr>
                      <w:rFonts w:hint="eastAsia" w:eastAsiaTheme="minorEastAsia"/>
                      <w:color w:val="auto"/>
                      <w:sz w:val="21"/>
                      <w:szCs w:val="21"/>
                      <w:lang w:eastAsia="zh-CN"/>
                    </w:rPr>
                  </w:pPr>
                  <w:r>
                    <w:rPr>
                      <w:rFonts w:hint="eastAsia" w:eastAsiaTheme="minorEastAsia"/>
                      <w:color w:val="auto"/>
                      <w:kern w:val="0"/>
                      <w:sz w:val="21"/>
                      <w:szCs w:val="21"/>
                      <w:lang w:val="en-US" w:eastAsia="zh-CN"/>
                    </w:rPr>
                    <w:t>7</w:t>
                  </w:r>
                </w:p>
              </w:tc>
              <w:tc>
                <w:tcPr>
                  <w:tcW w:w="995" w:type="pct"/>
                  <w:noWrap/>
                  <w:vAlign w:val="center"/>
                </w:tcPr>
                <w:p w14:paraId="26D56AB1">
                  <w:pPr>
                    <w:jc w:val="center"/>
                    <w:rPr>
                      <w:rFonts w:eastAsiaTheme="minorEastAsia"/>
                      <w:color w:val="auto"/>
                      <w:sz w:val="21"/>
                      <w:szCs w:val="21"/>
                    </w:rPr>
                  </w:pPr>
                  <w:r>
                    <w:rPr>
                      <w:rFonts w:hint="eastAsia"/>
                      <w:color w:val="auto"/>
                      <w:sz w:val="21"/>
                      <w:szCs w:val="21"/>
                    </w:rPr>
                    <w:t>0.21</w:t>
                  </w:r>
                </w:p>
              </w:tc>
            </w:tr>
            <w:tr w14:paraId="3D744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 w:type="pct"/>
                  <w:vAlign w:val="center"/>
                </w:tcPr>
                <w:p w14:paraId="22B3D31B">
                  <w:pPr>
                    <w:jc w:val="center"/>
                    <w:rPr>
                      <w:rFonts w:hint="eastAsia"/>
                      <w:color w:val="auto"/>
                      <w:sz w:val="21"/>
                      <w:szCs w:val="21"/>
                    </w:rPr>
                  </w:pPr>
                  <w:r>
                    <w:rPr>
                      <w:sz w:val="21"/>
                      <w:szCs w:val="21"/>
                    </w:rPr>
                    <w:t>K</w:t>
                  </w:r>
                  <w:r>
                    <w:rPr>
                      <w:rFonts w:hint="eastAsia"/>
                      <w:sz w:val="21"/>
                      <w:szCs w:val="21"/>
                    </w:rPr>
                    <w:t>33</w:t>
                  </w:r>
                  <w:r>
                    <w:rPr>
                      <w:sz w:val="21"/>
                      <w:szCs w:val="21"/>
                    </w:rPr>
                    <w:t>+</w:t>
                  </w:r>
                  <w:r>
                    <w:rPr>
                      <w:rFonts w:hint="eastAsia"/>
                      <w:sz w:val="21"/>
                      <w:szCs w:val="21"/>
                    </w:rPr>
                    <w:t>1</w:t>
                  </w:r>
                  <w:r>
                    <w:rPr>
                      <w:sz w:val="21"/>
                      <w:szCs w:val="21"/>
                    </w:rPr>
                    <w:t>0右侧</w:t>
                  </w:r>
                </w:p>
              </w:tc>
              <w:tc>
                <w:tcPr>
                  <w:tcW w:w="1265" w:type="pct"/>
                  <w:vAlign w:val="center"/>
                </w:tcPr>
                <w:p w14:paraId="50890B17">
                  <w:pPr>
                    <w:jc w:val="center"/>
                    <w:rPr>
                      <w:rFonts w:eastAsiaTheme="minorEastAsia"/>
                      <w:color w:val="auto"/>
                      <w:kern w:val="0"/>
                      <w:sz w:val="21"/>
                      <w:szCs w:val="21"/>
                    </w:rPr>
                  </w:pPr>
                  <w:r>
                    <w:rPr>
                      <w:rFonts w:hint="eastAsia"/>
                      <w:color w:val="auto"/>
                      <w:sz w:val="21"/>
                      <w:szCs w:val="21"/>
                    </w:rPr>
                    <w:t>2#综合场站横向便道</w:t>
                  </w:r>
                </w:p>
              </w:tc>
              <w:tc>
                <w:tcPr>
                  <w:tcW w:w="763" w:type="pct"/>
                  <w:vAlign w:val="center"/>
                </w:tcPr>
                <w:p w14:paraId="50891B4F">
                  <w:pPr>
                    <w:jc w:val="center"/>
                    <w:rPr>
                      <w:rFonts w:hint="eastAsia"/>
                      <w:color w:val="auto"/>
                      <w:sz w:val="21"/>
                      <w:szCs w:val="21"/>
                    </w:rPr>
                  </w:pPr>
                  <w:r>
                    <w:rPr>
                      <w:rFonts w:hint="eastAsia"/>
                      <w:sz w:val="21"/>
                      <w:szCs w:val="21"/>
                    </w:rPr>
                    <w:t>伽师县</w:t>
                  </w:r>
                </w:p>
              </w:tc>
              <w:tc>
                <w:tcPr>
                  <w:tcW w:w="506" w:type="pct"/>
                  <w:vAlign w:val="center"/>
                </w:tcPr>
                <w:p w14:paraId="347B4401">
                  <w:pPr>
                    <w:jc w:val="center"/>
                    <w:rPr>
                      <w:rFonts w:eastAsiaTheme="minorEastAsia"/>
                      <w:color w:val="auto"/>
                      <w:sz w:val="21"/>
                      <w:szCs w:val="21"/>
                    </w:rPr>
                  </w:pPr>
                  <w:r>
                    <w:rPr>
                      <w:rFonts w:hint="eastAsia"/>
                      <w:color w:val="auto"/>
                      <w:sz w:val="21"/>
                      <w:szCs w:val="21"/>
                    </w:rPr>
                    <w:t>0.3</w:t>
                  </w:r>
                </w:p>
              </w:tc>
              <w:tc>
                <w:tcPr>
                  <w:tcW w:w="541" w:type="pct"/>
                  <w:vAlign w:val="center"/>
                </w:tcPr>
                <w:p w14:paraId="77EC9B40">
                  <w:pPr>
                    <w:widowControl/>
                    <w:jc w:val="center"/>
                    <w:textAlignment w:val="center"/>
                    <w:rPr>
                      <w:rFonts w:hint="eastAsia" w:eastAsiaTheme="minorEastAsia"/>
                      <w:color w:val="auto"/>
                      <w:sz w:val="21"/>
                      <w:szCs w:val="21"/>
                      <w:lang w:eastAsia="zh-CN"/>
                    </w:rPr>
                  </w:pPr>
                  <w:r>
                    <w:rPr>
                      <w:rFonts w:hint="eastAsia" w:eastAsiaTheme="minorEastAsia"/>
                      <w:color w:val="auto"/>
                      <w:kern w:val="0"/>
                      <w:sz w:val="21"/>
                      <w:szCs w:val="21"/>
                      <w:lang w:val="en-US" w:eastAsia="zh-CN"/>
                    </w:rPr>
                    <w:t>7</w:t>
                  </w:r>
                </w:p>
              </w:tc>
              <w:tc>
                <w:tcPr>
                  <w:tcW w:w="995" w:type="pct"/>
                  <w:noWrap/>
                  <w:vAlign w:val="center"/>
                </w:tcPr>
                <w:p w14:paraId="472FECF7">
                  <w:pPr>
                    <w:jc w:val="center"/>
                    <w:rPr>
                      <w:rFonts w:eastAsiaTheme="minorEastAsia"/>
                      <w:color w:val="auto"/>
                      <w:sz w:val="21"/>
                      <w:szCs w:val="21"/>
                    </w:rPr>
                  </w:pPr>
                  <w:r>
                    <w:rPr>
                      <w:rFonts w:hint="eastAsia"/>
                      <w:color w:val="auto"/>
                      <w:sz w:val="21"/>
                      <w:szCs w:val="21"/>
                    </w:rPr>
                    <w:t>0.21</w:t>
                  </w:r>
                </w:p>
              </w:tc>
            </w:tr>
            <w:tr w14:paraId="4EAE6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 w:type="pct"/>
                  <w:vAlign w:val="center"/>
                </w:tcPr>
                <w:p w14:paraId="43B69A3D">
                  <w:pPr>
                    <w:jc w:val="center"/>
                    <w:rPr>
                      <w:rFonts w:hint="default" w:eastAsia="宋体"/>
                      <w:color w:val="auto"/>
                      <w:sz w:val="21"/>
                      <w:szCs w:val="21"/>
                      <w:lang w:val="en-US" w:eastAsia="zh-CN"/>
                    </w:rPr>
                  </w:pPr>
                  <w:r>
                    <w:rPr>
                      <w:sz w:val="21"/>
                      <w:szCs w:val="21"/>
                    </w:rPr>
                    <w:t>K</w:t>
                  </w:r>
                  <w:r>
                    <w:rPr>
                      <w:rFonts w:hint="eastAsia"/>
                      <w:sz w:val="21"/>
                      <w:szCs w:val="21"/>
                    </w:rPr>
                    <w:t>0</w:t>
                  </w:r>
                  <w:r>
                    <w:rPr>
                      <w:sz w:val="21"/>
                      <w:szCs w:val="21"/>
                    </w:rPr>
                    <w:t>+1</w:t>
                  </w:r>
                  <w:r>
                    <w:rPr>
                      <w:rFonts w:hint="eastAsia"/>
                      <w:sz w:val="21"/>
                      <w:szCs w:val="21"/>
                    </w:rPr>
                    <w:t>0</w:t>
                  </w:r>
                  <w:r>
                    <w:rPr>
                      <w:rFonts w:hint="eastAsia"/>
                      <w:sz w:val="21"/>
                      <w:szCs w:val="21"/>
                      <w:lang w:val="en-US" w:eastAsia="zh-CN"/>
                    </w:rPr>
                    <w:t>0左侧</w:t>
                  </w:r>
                </w:p>
              </w:tc>
              <w:tc>
                <w:tcPr>
                  <w:tcW w:w="1265" w:type="pct"/>
                  <w:vAlign w:val="center"/>
                </w:tcPr>
                <w:p w14:paraId="3001C543">
                  <w:pPr>
                    <w:jc w:val="center"/>
                    <w:rPr>
                      <w:rFonts w:eastAsiaTheme="minorEastAsia"/>
                      <w:color w:val="auto"/>
                      <w:kern w:val="0"/>
                      <w:sz w:val="21"/>
                      <w:szCs w:val="21"/>
                    </w:rPr>
                  </w:pPr>
                  <w:r>
                    <w:rPr>
                      <w:rFonts w:hint="eastAsia"/>
                      <w:color w:val="auto"/>
                      <w:sz w:val="21"/>
                      <w:szCs w:val="21"/>
                    </w:rPr>
                    <w:t>取弃土场横向便道</w:t>
                  </w:r>
                </w:p>
              </w:tc>
              <w:tc>
                <w:tcPr>
                  <w:tcW w:w="763" w:type="pct"/>
                  <w:vAlign w:val="center"/>
                </w:tcPr>
                <w:p w14:paraId="5B349DB3">
                  <w:pPr>
                    <w:jc w:val="center"/>
                    <w:rPr>
                      <w:rFonts w:hint="eastAsia"/>
                      <w:color w:val="auto"/>
                      <w:sz w:val="21"/>
                      <w:szCs w:val="21"/>
                    </w:rPr>
                  </w:pPr>
                  <w:r>
                    <w:rPr>
                      <w:rFonts w:hint="eastAsia"/>
                      <w:sz w:val="21"/>
                      <w:szCs w:val="21"/>
                    </w:rPr>
                    <w:t>阿图什市</w:t>
                  </w:r>
                </w:p>
              </w:tc>
              <w:tc>
                <w:tcPr>
                  <w:tcW w:w="506" w:type="pct"/>
                  <w:vAlign w:val="center"/>
                </w:tcPr>
                <w:p w14:paraId="4EF9552F">
                  <w:pPr>
                    <w:jc w:val="center"/>
                    <w:rPr>
                      <w:rFonts w:eastAsiaTheme="minorEastAsia"/>
                      <w:color w:val="auto"/>
                      <w:sz w:val="21"/>
                      <w:szCs w:val="21"/>
                    </w:rPr>
                  </w:pPr>
                  <w:r>
                    <w:rPr>
                      <w:rFonts w:hint="eastAsia"/>
                      <w:color w:val="auto"/>
                      <w:sz w:val="21"/>
                      <w:szCs w:val="21"/>
                    </w:rPr>
                    <w:t>1.5</w:t>
                  </w:r>
                </w:p>
              </w:tc>
              <w:tc>
                <w:tcPr>
                  <w:tcW w:w="541" w:type="pct"/>
                  <w:vAlign w:val="center"/>
                </w:tcPr>
                <w:p w14:paraId="4E45CE9B">
                  <w:pPr>
                    <w:widowControl/>
                    <w:jc w:val="center"/>
                    <w:textAlignment w:val="center"/>
                    <w:rPr>
                      <w:rFonts w:hint="eastAsia" w:eastAsiaTheme="minorEastAsia"/>
                      <w:color w:val="auto"/>
                      <w:sz w:val="21"/>
                      <w:szCs w:val="21"/>
                      <w:lang w:eastAsia="zh-CN"/>
                    </w:rPr>
                  </w:pPr>
                  <w:r>
                    <w:rPr>
                      <w:rFonts w:hint="eastAsia" w:eastAsiaTheme="minorEastAsia"/>
                      <w:color w:val="auto"/>
                      <w:kern w:val="0"/>
                      <w:sz w:val="21"/>
                      <w:szCs w:val="21"/>
                      <w:lang w:val="en-US" w:eastAsia="zh-CN"/>
                    </w:rPr>
                    <w:t>7</w:t>
                  </w:r>
                </w:p>
              </w:tc>
              <w:tc>
                <w:tcPr>
                  <w:tcW w:w="995" w:type="pct"/>
                  <w:noWrap/>
                  <w:vAlign w:val="center"/>
                </w:tcPr>
                <w:p w14:paraId="769B40B0">
                  <w:pPr>
                    <w:jc w:val="center"/>
                    <w:rPr>
                      <w:rFonts w:eastAsiaTheme="minorEastAsia"/>
                      <w:color w:val="auto"/>
                      <w:sz w:val="21"/>
                      <w:szCs w:val="21"/>
                    </w:rPr>
                  </w:pPr>
                  <w:r>
                    <w:rPr>
                      <w:rFonts w:hint="eastAsia"/>
                      <w:color w:val="auto"/>
                      <w:sz w:val="21"/>
                      <w:szCs w:val="21"/>
                    </w:rPr>
                    <w:t>1.05</w:t>
                  </w:r>
                </w:p>
              </w:tc>
            </w:tr>
            <w:tr w14:paraId="36C7A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3" w:type="pct"/>
                  <w:gridSpan w:val="2"/>
                  <w:vAlign w:val="center"/>
                </w:tcPr>
                <w:p w14:paraId="132819F9">
                  <w:pPr>
                    <w:widowControl/>
                    <w:jc w:val="center"/>
                    <w:rPr>
                      <w:rFonts w:eastAsiaTheme="minorEastAsia"/>
                      <w:bCs/>
                      <w:color w:val="auto"/>
                      <w:kern w:val="0"/>
                      <w:sz w:val="21"/>
                      <w:szCs w:val="21"/>
                    </w:rPr>
                  </w:pPr>
                  <w:r>
                    <w:rPr>
                      <w:rFonts w:hAnsiTheme="minorEastAsia" w:eastAsiaTheme="minorEastAsia"/>
                      <w:bCs/>
                      <w:color w:val="auto"/>
                      <w:kern w:val="0"/>
                      <w:sz w:val="21"/>
                      <w:szCs w:val="21"/>
                    </w:rPr>
                    <w:t>合计</w:t>
                  </w:r>
                </w:p>
              </w:tc>
              <w:tc>
                <w:tcPr>
                  <w:tcW w:w="763" w:type="pct"/>
                  <w:vAlign w:val="center"/>
                </w:tcPr>
                <w:p w14:paraId="7F799CFC">
                  <w:pPr>
                    <w:widowControl/>
                    <w:jc w:val="center"/>
                    <w:rPr>
                      <w:rFonts w:hAnsiTheme="minorEastAsia" w:eastAsiaTheme="minorEastAsia"/>
                      <w:bCs/>
                      <w:color w:val="auto"/>
                      <w:kern w:val="0"/>
                      <w:sz w:val="21"/>
                      <w:szCs w:val="21"/>
                    </w:rPr>
                  </w:pPr>
                </w:p>
              </w:tc>
              <w:tc>
                <w:tcPr>
                  <w:tcW w:w="506" w:type="pct"/>
                  <w:vAlign w:val="center"/>
                </w:tcPr>
                <w:p w14:paraId="047917BD">
                  <w:pPr>
                    <w:widowControl/>
                    <w:jc w:val="center"/>
                    <w:textAlignment w:val="center"/>
                    <w:rPr>
                      <w:rFonts w:eastAsiaTheme="minorEastAsia"/>
                      <w:color w:val="auto"/>
                      <w:sz w:val="21"/>
                      <w:szCs w:val="21"/>
                    </w:rPr>
                  </w:pPr>
                  <w:r>
                    <w:rPr>
                      <w:rFonts w:hint="eastAsia" w:eastAsiaTheme="minorEastAsia"/>
                      <w:color w:val="auto"/>
                      <w:kern w:val="0"/>
                      <w:sz w:val="21"/>
                      <w:szCs w:val="21"/>
                      <w:lang w:val="en-US" w:eastAsia="zh-CN"/>
                    </w:rPr>
                    <w:t>2.3</w:t>
                  </w:r>
                </w:p>
              </w:tc>
              <w:tc>
                <w:tcPr>
                  <w:tcW w:w="541" w:type="pct"/>
                  <w:vAlign w:val="center"/>
                </w:tcPr>
                <w:p w14:paraId="34905C91">
                  <w:pPr>
                    <w:jc w:val="center"/>
                    <w:rPr>
                      <w:rFonts w:eastAsiaTheme="minorEastAsia"/>
                      <w:b/>
                      <w:color w:val="auto"/>
                      <w:sz w:val="21"/>
                      <w:szCs w:val="21"/>
                    </w:rPr>
                  </w:pPr>
                </w:p>
              </w:tc>
              <w:tc>
                <w:tcPr>
                  <w:tcW w:w="995" w:type="pct"/>
                  <w:noWrap/>
                  <w:vAlign w:val="center"/>
                </w:tcPr>
                <w:p w14:paraId="138C5CEB">
                  <w:pPr>
                    <w:jc w:val="center"/>
                    <w:rPr>
                      <w:rFonts w:eastAsiaTheme="minorEastAsia"/>
                      <w:color w:val="auto"/>
                      <w:sz w:val="21"/>
                      <w:szCs w:val="21"/>
                    </w:rPr>
                  </w:pPr>
                  <w:r>
                    <w:rPr>
                      <w:rFonts w:hint="eastAsia"/>
                      <w:color w:val="auto"/>
                      <w:sz w:val="21"/>
                      <w:szCs w:val="21"/>
                    </w:rPr>
                    <w:t>1.61</w:t>
                  </w:r>
                </w:p>
              </w:tc>
            </w:tr>
          </w:tbl>
          <w:p w14:paraId="32DFD199">
            <w:pPr>
              <w:autoSpaceDE w:val="0"/>
              <w:autoSpaceDN w:val="0"/>
              <w:adjustRightInd w:val="0"/>
              <w:spacing w:line="300" w:lineRule="auto"/>
              <w:ind w:firstLine="420" w:firstLineChars="200"/>
              <w:jc w:val="both"/>
              <w:rPr>
                <w:color w:val="0070C0"/>
                <w:kern w:val="0"/>
                <w:szCs w:val="21"/>
              </w:rPr>
            </w:pPr>
          </w:p>
          <w:p w14:paraId="1202D2F2">
            <w:pPr>
              <w:autoSpaceDE w:val="0"/>
              <w:autoSpaceDN w:val="0"/>
              <w:adjustRightInd w:val="0"/>
              <w:spacing w:line="300" w:lineRule="auto"/>
              <w:ind w:firstLine="480" w:firstLineChars="200"/>
              <w:rPr>
                <w:color w:val="auto"/>
                <w:sz w:val="24"/>
              </w:rPr>
            </w:pPr>
            <w:r>
              <w:rPr>
                <w:rFonts w:hint="default"/>
                <w:color w:val="auto"/>
                <w:sz w:val="24"/>
                <w:lang w:val="en-US" w:eastAsia="zh-CN"/>
              </w:rPr>
              <w:t>针对克孜勒苏大桥跨</w:t>
            </w:r>
            <w:r>
              <w:rPr>
                <w:rFonts w:hint="eastAsia"/>
                <w:color w:val="auto"/>
                <w:sz w:val="24"/>
                <w:lang w:val="en-US" w:eastAsia="zh-CN"/>
              </w:rPr>
              <w:t>水体1</w:t>
            </w:r>
            <w:r>
              <w:rPr>
                <w:rFonts w:hint="default"/>
                <w:color w:val="auto"/>
                <w:sz w:val="24"/>
                <w:lang w:val="en-US" w:eastAsia="zh-CN"/>
              </w:rPr>
              <w:t>涉水施工需求，配套设置临时装配式钢施工便桥，作为水中桩基、墩身施工设备、建材运输专用临时通道</w:t>
            </w:r>
            <w:r>
              <w:rPr>
                <w:rFonts w:hint="eastAsia"/>
                <w:color w:val="auto"/>
                <w:sz w:val="24"/>
                <w:lang w:val="en-US" w:eastAsia="zh-CN"/>
              </w:rPr>
              <w:t>。施工便桥平行布置于克孜勒苏大桥上游侧，与主线桥梁净距 8～10m，避开主线围堰作业范围；跨河主段河面宽度与主河道匹配，最大限度减少涉水占地面积。</w:t>
            </w:r>
          </w:p>
          <w:p w14:paraId="3512094F">
            <w:pPr>
              <w:autoSpaceDE w:val="0"/>
              <w:autoSpaceDN w:val="0"/>
              <w:adjustRightInd w:val="0"/>
              <w:spacing w:line="300" w:lineRule="auto"/>
              <w:ind w:firstLine="420" w:firstLineChars="200"/>
              <w:jc w:val="both"/>
              <w:rPr>
                <w:color w:val="0070C0"/>
                <w:kern w:val="0"/>
                <w:szCs w:val="21"/>
              </w:rPr>
            </w:pPr>
          </w:p>
        </w:tc>
      </w:tr>
      <w:tr w14:paraId="3C2E93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456" w:type="dxa"/>
            <w:vAlign w:val="center"/>
          </w:tcPr>
          <w:p w14:paraId="02D5A1C6">
            <w:pPr>
              <w:adjustRightInd w:val="0"/>
              <w:snapToGrid w:val="0"/>
              <w:jc w:val="center"/>
              <w:rPr>
                <w:color w:val="0070C0"/>
                <w:kern w:val="0"/>
                <w:szCs w:val="21"/>
              </w:rPr>
            </w:pPr>
            <w:r>
              <w:rPr>
                <w:color w:val="auto"/>
                <w:kern w:val="0"/>
                <w:sz w:val="24"/>
                <w:szCs w:val="24"/>
              </w:rPr>
              <w:t>施工方案</w:t>
            </w:r>
          </w:p>
        </w:tc>
        <w:tc>
          <w:tcPr>
            <w:tcW w:w="8616" w:type="dxa"/>
            <w:vAlign w:val="center"/>
          </w:tcPr>
          <w:p w14:paraId="58ABD1C4">
            <w:pPr>
              <w:pageBreakBefore w:val="0"/>
              <w:kinsoku/>
              <w:wordWrap/>
              <w:overflowPunct/>
              <w:topLinePunct w:val="0"/>
              <w:autoSpaceDE/>
              <w:autoSpaceDN/>
              <w:bidi w:val="0"/>
              <w:adjustRightInd w:val="0"/>
              <w:snapToGrid/>
              <w:spacing w:line="380" w:lineRule="exact"/>
              <w:textAlignment w:val="auto"/>
              <w:rPr>
                <w:b/>
                <w:kern w:val="0"/>
                <w:sz w:val="24"/>
              </w:rPr>
            </w:pPr>
            <w:r>
              <w:rPr>
                <w:b/>
                <w:kern w:val="0"/>
                <w:sz w:val="24"/>
              </w:rPr>
              <w:t>1. 施工方案</w:t>
            </w:r>
          </w:p>
          <w:p w14:paraId="529B3151">
            <w:pPr>
              <w:pageBreakBefore w:val="0"/>
              <w:kinsoku/>
              <w:wordWrap/>
              <w:overflowPunct/>
              <w:topLinePunct w:val="0"/>
              <w:autoSpaceDE/>
              <w:autoSpaceDN/>
              <w:bidi w:val="0"/>
              <w:adjustRightInd w:val="0"/>
              <w:snapToGrid/>
              <w:spacing w:line="380" w:lineRule="exact"/>
              <w:ind w:firstLine="465"/>
              <w:textAlignment w:val="auto"/>
              <w:rPr>
                <w:b/>
                <w:kern w:val="0"/>
                <w:sz w:val="24"/>
              </w:rPr>
            </w:pPr>
            <w:r>
              <w:rPr>
                <w:rFonts w:hint="eastAsia"/>
                <w:b/>
                <w:kern w:val="0"/>
                <w:sz w:val="24"/>
              </w:rPr>
              <w:t>(1) 农田路段</w:t>
            </w:r>
          </w:p>
          <w:p w14:paraId="26BFCB3E">
            <w:pPr>
              <w:pStyle w:val="64"/>
              <w:pageBreakBefore w:val="0"/>
              <w:numPr>
                <w:ilvl w:val="0"/>
                <w:numId w:val="2"/>
              </w:numPr>
              <w:kinsoku/>
              <w:wordWrap/>
              <w:overflowPunct/>
              <w:topLinePunct w:val="0"/>
              <w:autoSpaceDE/>
              <w:autoSpaceDN/>
              <w:bidi w:val="0"/>
              <w:adjustRightInd w:val="0"/>
              <w:snapToGrid/>
              <w:spacing w:line="380" w:lineRule="exact"/>
              <w:ind w:firstLineChars="0"/>
              <w:textAlignment w:val="auto"/>
              <w:rPr>
                <w:kern w:val="0"/>
                <w:sz w:val="24"/>
              </w:rPr>
            </w:pPr>
            <w:r>
              <w:rPr>
                <w:rFonts w:hint="eastAsia"/>
                <w:kern w:val="0"/>
                <w:sz w:val="24"/>
              </w:rPr>
              <w:t>施工期准备</w:t>
            </w:r>
          </w:p>
          <w:p w14:paraId="26E4C2B2">
            <w:pPr>
              <w:pStyle w:val="64"/>
              <w:pageBreakBefore w:val="0"/>
              <w:numPr>
                <w:ilvl w:val="0"/>
                <w:numId w:val="3"/>
              </w:numPr>
              <w:kinsoku/>
              <w:wordWrap/>
              <w:overflowPunct/>
              <w:topLinePunct w:val="0"/>
              <w:autoSpaceDE/>
              <w:autoSpaceDN/>
              <w:bidi w:val="0"/>
              <w:adjustRightInd w:val="0"/>
              <w:snapToGrid/>
              <w:spacing w:line="380" w:lineRule="exact"/>
              <w:ind w:firstLineChars="0"/>
              <w:textAlignment w:val="auto"/>
              <w:rPr>
                <w:rFonts w:hint="eastAsia" w:hAnsi="宋体"/>
                <w:spacing w:val="4"/>
                <w:sz w:val="24"/>
              </w:rPr>
            </w:pPr>
            <w:r>
              <w:rPr>
                <w:rFonts w:hint="eastAsia" w:hAnsi="宋体"/>
                <w:spacing w:val="4"/>
                <w:sz w:val="24"/>
              </w:rPr>
              <w:t>成立专门的环境保护小组：负责对施工人员进行环境保护培训、监督施工不当行为。</w:t>
            </w:r>
          </w:p>
          <w:p w14:paraId="310DF0D8">
            <w:pPr>
              <w:pStyle w:val="64"/>
              <w:pageBreakBefore w:val="0"/>
              <w:numPr>
                <w:ilvl w:val="0"/>
                <w:numId w:val="3"/>
              </w:numPr>
              <w:kinsoku/>
              <w:wordWrap/>
              <w:overflowPunct/>
              <w:topLinePunct w:val="0"/>
              <w:autoSpaceDE/>
              <w:autoSpaceDN/>
              <w:bidi w:val="0"/>
              <w:adjustRightInd w:val="0"/>
              <w:snapToGrid/>
              <w:spacing w:line="380" w:lineRule="exact"/>
              <w:ind w:firstLineChars="0"/>
              <w:textAlignment w:val="auto"/>
              <w:rPr>
                <w:rFonts w:hint="eastAsia" w:hAnsi="宋体"/>
                <w:spacing w:val="4"/>
                <w:sz w:val="24"/>
              </w:rPr>
            </w:pPr>
            <w:r>
              <w:rPr>
                <w:rFonts w:hint="eastAsia" w:ascii="宋体" w:hAnsi="宋体"/>
                <w:spacing w:val="0"/>
                <w:sz w:val="24"/>
              </w:rPr>
              <w:t>排查环境风险：施工前踏勘现场，梳理农田、水体影响，制定防控预案</w:t>
            </w:r>
            <w:r>
              <w:rPr>
                <w:rFonts w:hAnsi="宋体"/>
                <w:spacing w:val="4"/>
                <w:sz w:val="24"/>
              </w:rPr>
              <w:t>。</w:t>
            </w:r>
          </w:p>
          <w:p w14:paraId="7EDD6190">
            <w:pPr>
              <w:pStyle w:val="64"/>
              <w:pageBreakBefore w:val="0"/>
              <w:numPr>
                <w:ilvl w:val="0"/>
                <w:numId w:val="3"/>
              </w:numPr>
              <w:kinsoku/>
              <w:wordWrap/>
              <w:overflowPunct/>
              <w:topLinePunct w:val="0"/>
              <w:autoSpaceDE/>
              <w:autoSpaceDN/>
              <w:bidi w:val="0"/>
              <w:adjustRightInd w:val="0"/>
              <w:snapToGrid/>
              <w:spacing w:line="380" w:lineRule="exact"/>
              <w:ind w:firstLineChars="0"/>
              <w:textAlignment w:val="auto"/>
              <w:rPr>
                <w:rFonts w:hint="eastAsia" w:hAnsi="宋体"/>
                <w:spacing w:val="4"/>
                <w:sz w:val="24"/>
              </w:rPr>
            </w:pPr>
            <w:r>
              <w:rPr>
                <w:rFonts w:hAnsi="宋体"/>
                <w:spacing w:val="4"/>
                <w:sz w:val="24"/>
              </w:rPr>
              <w:t>划定施工范围</w:t>
            </w:r>
            <w:r>
              <w:rPr>
                <w:rFonts w:hint="eastAsia" w:hAnsi="宋体"/>
                <w:spacing w:val="4"/>
                <w:sz w:val="24"/>
              </w:rPr>
              <w:t>：</w:t>
            </w:r>
            <w:r>
              <w:rPr>
                <w:rFonts w:hAnsi="宋体"/>
                <w:spacing w:val="4"/>
                <w:sz w:val="24"/>
              </w:rPr>
              <w:t>设置明显的界限标志，禁止</w:t>
            </w:r>
            <w:r>
              <w:rPr>
                <w:rFonts w:hint="eastAsia" w:hAnsi="宋体"/>
                <w:spacing w:val="4"/>
                <w:sz w:val="24"/>
              </w:rPr>
              <w:t>越界</w:t>
            </w:r>
            <w:r>
              <w:rPr>
                <w:rFonts w:hAnsi="宋体"/>
                <w:spacing w:val="4"/>
                <w:sz w:val="24"/>
              </w:rPr>
              <w:t>施工，</w:t>
            </w:r>
            <w:r>
              <w:rPr>
                <w:rFonts w:hint="eastAsia" w:hAnsi="宋体"/>
                <w:spacing w:val="4"/>
                <w:sz w:val="24"/>
              </w:rPr>
              <w:t>机具材料远离河道、灌溉渠</w:t>
            </w:r>
            <w:r>
              <w:rPr>
                <w:rFonts w:hAnsi="宋体"/>
                <w:spacing w:val="4"/>
                <w:sz w:val="24"/>
              </w:rPr>
              <w:t>。</w:t>
            </w:r>
            <w:r>
              <w:rPr>
                <w:rFonts w:hint="eastAsia" w:hAnsi="宋体"/>
                <w:spacing w:val="4"/>
                <w:sz w:val="24"/>
              </w:rPr>
              <w:t xml:space="preserve"> </w:t>
            </w:r>
          </w:p>
          <w:p w14:paraId="0DF4BC04">
            <w:pPr>
              <w:pStyle w:val="64"/>
              <w:pageBreakBefore w:val="0"/>
              <w:numPr>
                <w:ilvl w:val="0"/>
                <w:numId w:val="2"/>
              </w:numPr>
              <w:kinsoku/>
              <w:wordWrap/>
              <w:overflowPunct/>
              <w:topLinePunct w:val="0"/>
              <w:autoSpaceDE/>
              <w:autoSpaceDN/>
              <w:bidi w:val="0"/>
              <w:adjustRightInd w:val="0"/>
              <w:snapToGrid/>
              <w:spacing w:line="380" w:lineRule="exact"/>
              <w:ind w:firstLineChars="0"/>
              <w:textAlignment w:val="auto"/>
              <w:rPr>
                <w:kern w:val="0"/>
                <w:sz w:val="24"/>
              </w:rPr>
            </w:pPr>
            <w:r>
              <w:rPr>
                <w:kern w:val="0"/>
                <w:sz w:val="24"/>
              </w:rPr>
              <w:t>施工过程中的水质保护措施</w:t>
            </w:r>
          </w:p>
          <w:p w14:paraId="00DD8BBF">
            <w:pPr>
              <w:pStyle w:val="6"/>
              <w:pageBreakBefore w:val="0"/>
              <w:numPr>
                <w:ilvl w:val="0"/>
                <w:numId w:val="4"/>
              </w:numPr>
              <w:kinsoku/>
              <w:wordWrap/>
              <w:overflowPunct/>
              <w:topLinePunct w:val="0"/>
              <w:autoSpaceDE/>
              <w:autoSpaceDN/>
              <w:bidi w:val="0"/>
              <w:adjustRightInd w:val="0"/>
              <w:snapToGrid/>
              <w:spacing w:before="0" w:after="0" w:line="380" w:lineRule="exact"/>
              <w:textAlignment w:val="auto"/>
              <w:rPr>
                <w:rFonts w:hint="eastAsia" w:hAnsi="宋体"/>
                <w:b w:val="0"/>
                <w:spacing w:val="4"/>
                <w:sz w:val="24"/>
                <w:szCs w:val="24"/>
              </w:rPr>
            </w:pPr>
            <w:r>
              <w:rPr>
                <w:rFonts w:hint="eastAsia" w:hAnsi="宋体"/>
                <w:b w:val="0"/>
                <w:spacing w:val="4"/>
                <w:sz w:val="24"/>
                <w:szCs w:val="24"/>
              </w:rPr>
              <w:t>农田设施专项保护</w:t>
            </w:r>
          </w:p>
          <w:p w14:paraId="4E46CAE5">
            <w:pPr>
              <w:pageBreakBefore w:val="0"/>
              <w:widowControl/>
              <w:kinsoku/>
              <w:wordWrap/>
              <w:overflowPunct/>
              <w:topLinePunct w:val="0"/>
              <w:autoSpaceDE/>
              <w:autoSpaceDN/>
              <w:bidi w:val="0"/>
              <w:adjustRightInd w:val="0"/>
              <w:snapToGrid/>
              <w:spacing w:line="380" w:lineRule="exact"/>
              <w:ind w:left="3" w:firstLine="496" w:firstLineChars="200"/>
              <w:textAlignment w:val="auto"/>
              <w:rPr>
                <w:rFonts w:hint="eastAsia" w:hAnsi="宋体"/>
                <w:spacing w:val="4"/>
                <w:sz w:val="24"/>
              </w:rPr>
            </w:pPr>
            <w:r>
              <w:rPr>
                <w:rFonts w:cs="Calibri" w:asciiTheme="minorEastAsia" w:hAnsiTheme="minorEastAsia" w:eastAsiaTheme="minorEastAsia"/>
                <w:spacing w:val="4"/>
                <w:sz w:val="24"/>
              </w:rPr>
              <w:t>①</w:t>
            </w:r>
            <w:r>
              <w:rPr>
                <w:rFonts w:hint="eastAsia" w:cs="Calibri" w:asciiTheme="minorEastAsia" w:hAnsiTheme="minorEastAsia" w:eastAsiaTheme="minorEastAsia"/>
                <w:spacing w:val="4"/>
                <w:sz w:val="24"/>
              </w:rPr>
              <w:t xml:space="preserve"> </w:t>
            </w:r>
            <w:r>
              <w:rPr>
                <w:rFonts w:hint="eastAsia" w:hAnsi="宋体"/>
                <w:spacing w:val="4"/>
                <w:sz w:val="24"/>
              </w:rPr>
              <w:t>保护灌溉沟渠：严禁封堵、损毁农田灌排渠；临时改道需做防渗处理，施工后及时复原，保障农田通水</w:t>
            </w:r>
            <w:r>
              <w:rPr>
                <w:rFonts w:hAnsi="宋体"/>
                <w:spacing w:val="4"/>
                <w:sz w:val="24"/>
              </w:rPr>
              <w:t>。</w:t>
            </w:r>
          </w:p>
          <w:p w14:paraId="0CE288FD">
            <w:pPr>
              <w:pageBreakBefore w:val="0"/>
              <w:widowControl/>
              <w:kinsoku/>
              <w:wordWrap/>
              <w:overflowPunct/>
              <w:topLinePunct w:val="0"/>
              <w:autoSpaceDE/>
              <w:autoSpaceDN/>
              <w:bidi w:val="0"/>
              <w:adjustRightInd w:val="0"/>
              <w:snapToGrid/>
              <w:spacing w:line="380" w:lineRule="exact"/>
              <w:ind w:firstLine="496" w:firstLineChars="200"/>
              <w:textAlignment w:val="auto"/>
              <w:rPr>
                <w:rFonts w:hint="eastAsia" w:hAnsi="宋体"/>
                <w:spacing w:val="4"/>
                <w:sz w:val="24"/>
              </w:rPr>
            </w:pPr>
            <w:r>
              <w:rPr>
                <w:rFonts w:hint="eastAsia" w:ascii="宋体" w:hAnsi="宋体"/>
                <w:spacing w:val="4"/>
                <w:sz w:val="24"/>
              </w:rPr>
              <w:t xml:space="preserve">② </w:t>
            </w:r>
            <w:r>
              <w:rPr>
                <w:rFonts w:hint="eastAsia" w:hAnsi="宋体"/>
                <w:spacing w:val="4"/>
                <w:sz w:val="24"/>
              </w:rPr>
              <w:t>守护耕作土层：施工前剥离表层熟土单独堆放养护，完工后优先回填，保留农田耕种条件</w:t>
            </w:r>
            <w:r>
              <w:rPr>
                <w:rFonts w:hAnsi="宋体"/>
                <w:spacing w:val="4"/>
                <w:sz w:val="24"/>
              </w:rPr>
              <w:t>。</w:t>
            </w:r>
          </w:p>
          <w:p w14:paraId="4A6E9F07">
            <w:pPr>
              <w:pageBreakBefore w:val="0"/>
              <w:widowControl/>
              <w:kinsoku/>
              <w:wordWrap/>
              <w:overflowPunct/>
              <w:topLinePunct w:val="0"/>
              <w:autoSpaceDE/>
              <w:autoSpaceDN/>
              <w:bidi w:val="0"/>
              <w:adjustRightInd w:val="0"/>
              <w:snapToGrid/>
              <w:spacing w:line="380" w:lineRule="exact"/>
              <w:ind w:firstLine="496" w:firstLineChars="200"/>
              <w:textAlignment w:val="auto"/>
              <w:rPr>
                <w:rFonts w:hint="eastAsia" w:hAnsi="宋体"/>
                <w:spacing w:val="4"/>
                <w:sz w:val="24"/>
              </w:rPr>
            </w:pPr>
            <w:r>
              <w:rPr>
                <w:rFonts w:hint="eastAsia" w:ascii="宋体" w:hAnsi="宋体" w:cs="Cambria Math"/>
                <w:spacing w:val="4"/>
                <w:sz w:val="24"/>
              </w:rPr>
              <w:t>③</w:t>
            </w:r>
            <w:r>
              <w:rPr>
                <w:spacing w:val="4"/>
                <w:sz w:val="24"/>
              </w:rPr>
              <w:t xml:space="preserve"> 保障农机通行：</w:t>
            </w:r>
            <w:r>
              <w:rPr>
                <w:rFonts w:hAnsi="宋体"/>
                <w:spacing w:val="4"/>
                <w:sz w:val="24"/>
              </w:rPr>
              <w:t>预留农田作业通道，严禁占用农机路；临时占道需铺设垫板，减少耕地碾压</w:t>
            </w:r>
          </w:p>
          <w:p w14:paraId="69AE1006">
            <w:pPr>
              <w:pStyle w:val="6"/>
              <w:pageBreakBefore w:val="0"/>
              <w:numPr>
                <w:ilvl w:val="0"/>
                <w:numId w:val="4"/>
              </w:numPr>
              <w:kinsoku/>
              <w:wordWrap/>
              <w:overflowPunct/>
              <w:topLinePunct w:val="0"/>
              <w:autoSpaceDE/>
              <w:autoSpaceDN/>
              <w:bidi w:val="0"/>
              <w:adjustRightInd w:val="0"/>
              <w:snapToGrid/>
              <w:spacing w:before="0" w:after="0" w:line="380" w:lineRule="exact"/>
              <w:textAlignment w:val="auto"/>
              <w:rPr>
                <w:rFonts w:hint="eastAsia" w:hAnsi="宋体"/>
                <w:b w:val="0"/>
                <w:spacing w:val="4"/>
                <w:sz w:val="24"/>
                <w:szCs w:val="24"/>
              </w:rPr>
            </w:pPr>
            <w:r>
              <w:rPr>
                <w:rFonts w:hint="eastAsia" w:hAnsi="宋体"/>
                <w:b w:val="0"/>
                <w:spacing w:val="4"/>
                <w:sz w:val="24"/>
                <w:szCs w:val="24"/>
              </w:rPr>
              <w:t>防泥沙入河、防农田水土流失</w:t>
            </w:r>
          </w:p>
          <w:p w14:paraId="685C9B14">
            <w:pPr>
              <w:pageBreakBefore w:val="0"/>
              <w:widowControl/>
              <w:kinsoku/>
              <w:wordWrap/>
              <w:overflowPunct/>
              <w:topLinePunct w:val="0"/>
              <w:autoSpaceDE/>
              <w:autoSpaceDN/>
              <w:bidi w:val="0"/>
              <w:adjustRightInd w:val="0"/>
              <w:snapToGrid/>
              <w:spacing w:line="380" w:lineRule="exact"/>
              <w:ind w:left="3" w:firstLine="496" w:firstLineChars="200"/>
              <w:textAlignment w:val="auto"/>
              <w:rPr>
                <w:rFonts w:hint="eastAsia" w:hAnsi="宋体"/>
                <w:spacing w:val="4"/>
                <w:sz w:val="24"/>
              </w:rPr>
            </w:pPr>
            <w:r>
              <w:rPr>
                <w:rFonts w:cs="Calibri" w:asciiTheme="minorEastAsia" w:hAnsiTheme="minorEastAsia" w:eastAsiaTheme="minorEastAsia"/>
                <w:spacing w:val="4"/>
                <w:sz w:val="24"/>
              </w:rPr>
              <w:t>①</w:t>
            </w:r>
            <w:r>
              <w:rPr>
                <w:rFonts w:hint="eastAsia" w:ascii="宋体" w:hAnsi="宋体"/>
                <w:spacing w:val="4"/>
                <w:sz w:val="24"/>
              </w:rPr>
              <w:t xml:space="preserve"> </w:t>
            </w:r>
            <w:r>
              <w:rPr>
                <w:rFonts w:hint="eastAsia" w:hAnsi="宋体"/>
                <w:spacing w:val="4"/>
                <w:sz w:val="24"/>
              </w:rPr>
              <w:t>盖裸露土方：防尘网全覆盖裸露土，长期裸地铺草皮，减少雨水冲刷</w:t>
            </w:r>
            <w:r>
              <w:rPr>
                <w:rFonts w:hAnsi="宋体"/>
                <w:spacing w:val="4"/>
                <w:sz w:val="24"/>
              </w:rPr>
              <w:t>。</w:t>
            </w:r>
          </w:p>
          <w:p w14:paraId="56C3A5C3">
            <w:pPr>
              <w:pStyle w:val="6"/>
              <w:pageBreakBefore w:val="0"/>
              <w:numPr>
                <w:ilvl w:val="0"/>
                <w:numId w:val="4"/>
              </w:numPr>
              <w:kinsoku/>
              <w:wordWrap/>
              <w:overflowPunct/>
              <w:topLinePunct w:val="0"/>
              <w:autoSpaceDE/>
              <w:autoSpaceDN/>
              <w:bidi w:val="0"/>
              <w:adjustRightInd w:val="0"/>
              <w:snapToGrid/>
              <w:spacing w:before="0" w:after="0" w:line="380" w:lineRule="exact"/>
              <w:textAlignment w:val="auto"/>
              <w:rPr>
                <w:rFonts w:hint="eastAsia" w:hAnsi="宋体"/>
                <w:b w:val="0"/>
                <w:spacing w:val="4"/>
                <w:sz w:val="24"/>
                <w:szCs w:val="24"/>
              </w:rPr>
            </w:pPr>
            <w:r>
              <w:rPr>
                <w:rFonts w:hint="eastAsia" w:hAnsi="宋体"/>
                <w:b w:val="0"/>
                <w:spacing w:val="4"/>
                <w:sz w:val="24"/>
                <w:szCs w:val="24"/>
              </w:rPr>
              <w:t>防油污污染</w:t>
            </w:r>
          </w:p>
          <w:p w14:paraId="43B62B54">
            <w:pPr>
              <w:pageBreakBefore w:val="0"/>
              <w:widowControl/>
              <w:kinsoku/>
              <w:wordWrap/>
              <w:overflowPunct/>
              <w:topLinePunct w:val="0"/>
              <w:autoSpaceDE/>
              <w:autoSpaceDN/>
              <w:bidi w:val="0"/>
              <w:adjustRightInd w:val="0"/>
              <w:snapToGrid/>
              <w:spacing w:line="380" w:lineRule="exact"/>
              <w:ind w:left="3" w:firstLine="496" w:firstLineChars="200"/>
              <w:textAlignment w:val="auto"/>
              <w:rPr>
                <w:rFonts w:hint="eastAsia" w:hAnsi="宋体"/>
                <w:spacing w:val="4"/>
                <w:sz w:val="24"/>
              </w:rPr>
            </w:pPr>
            <w:r>
              <w:rPr>
                <w:rFonts w:hint="eastAsia" w:ascii="宋体" w:hAnsi="宋体"/>
                <w:spacing w:val="4"/>
                <w:sz w:val="24"/>
              </w:rPr>
              <w:t>①</w:t>
            </w:r>
            <w:r>
              <w:rPr>
                <w:rFonts w:hint="eastAsia" w:hAnsi="宋体"/>
                <w:spacing w:val="4"/>
                <w:sz w:val="24"/>
              </w:rPr>
              <w:t xml:space="preserve"> </w:t>
            </w:r>
            <w:r>
              <w:rPr>
                <w:rFonts w:hAnsi="宋体"/>
                <w:spacing w:val="4"/>
                <w:sz w:val="24"/>
              </w:rPr>
              <w:t>应急措施：配备油污应急处理设备（如吸油毡、围油栏等），一旦发生油污泄漏，立即采取措施防止污染扩散。</w:t>
            </w:r>
          </w:p>
          <w:p w14:paraId="3EA8FFEB">
            <w:pPr>
              <w:pStyle w:val="64"/>
              <w:pageBreakBefore w:val="0"/>
              <w:numPr>
                <w:ilvl w:val="0"/>
                <w:numId w:val="5"/>
              </w:numPr>
              <w:kinsoku/>
              <w:wordWrap/>
              <w:overflowPunct/>
              <w:topLinePunct w:val="0"/>
              <w:autoSpaceDE/>
              <w:autoSpaceDN/>
              <w:bidi w:val="0"/>
              <w:adjustRightInd w:val="0"/>
              <w:snapToGrid/>
              <w:spacing w:line="380" w:lineRule="exact"/>
              <w:ind w:firstLineChars="0"/>
              <w:textAlignment w:val="auto"/>
              <w:rPr>
                <w:rFonts w:hint="eastAsia" w:hAnsi="宋体"/>
                <w:spacing w:val="4"/>
                <w:sz w:val="24"/>
              </w:rPr>
            </w:pPr>
            <w:r>
              <w:rPr>
                <w:rFonts w:hint="eastAsia" w:hAnsi="宋体"/>
                <w:spacing w:val="4"/>
                <w:sz w:val="24"/>
              </w:rPr>
              <w:t>施工废污水处理</w:t>
            </w:r>
          </w:p>
          <w:p w14:paraId="746EC25E">
            <w:pPr>
              <w:pageBreakBefore w:val="0"/>
              <w:kinsoku/>
              <w:wordWrap/>
              <w:overflowPunct/>
              <w:topLinePunct w:val="0"/>
              <w:autoSpaceDE/>
              <w:autoSpaceDN/>
              <w:bidi w:val="0"/>
              <w:adjustRightInd w:val="0"/>
              <w:snapToGrid/>
              <w:spacing w:line="380" w:lineRule="exact"/>
              <w:ind w:firstLine="496" w:firstLineChars="200"/>
              <w:textAlignment w:val="auto"/>
              <w:rPr>
                <w:rFonts w:hint="eastAsia" w:hAnsi="宋体"/>
                <w:spacing w:val="4"/>
                <w:sz w:val="24"/>
              </w:rPr>
            </w:pPr>
            <w:r>
              <w:rPr>
                <w:rFonts w:cs="Calibri" w:asciiTheme="minorEastAsia" w:hAnsiTheme="minorEastAsia" w:eastAsiaTheme="minorEastAsia"/>
                <w:spacing w:val="4"/>
                <w:sz w:val="24"/>
              </w:rPr>
              <w:t>①</w:t>
            </w:r>
            <w:r>
              <w:rPr>
                <w:rFonts w:hint="eastAsia" w:cs="Calibri" w:asciiTheme="minorEastAsia" w:hAnsiTheme="minorEastAsia" w:eastAsiaTheme="minorEastAsia"/>
                <w:spacing w:val="4"/>
                <w:sz w:val="24"/>
              </w:rPr>
              <w:t xml:space="preserve"> </w:t>
            </w:r>
            <w:r>
              <w:rPr>
                <w:rFonts w:hint="eastAsia" w:hAnsi="宋体"/>
                <w:spacing w:val="4"/>
                <w:sz w:val="24"/>
              </w:rPr>
              <w:t>生产废水：施工生产废水经</w:t>
            </w:r>
            <w:r>
              <w:rPr>
                <w:rFonts w:hAnsi="宋体"/>
                <w:spacing w:val="4"/>
                <w:sz w:val="24"/>
              </w:rPr>
              <w:t>絮凝沉淀、隔油除渣等处理后</w:t>
            </w:r>
            <w:r>
              <w:rPr>
                <w:rFonts w:hint="eastAsia" w:hAnsi="宋体"/>
                <w:spacing w:val="4"/>
                <w:sz w:val="24"/>
                <w:lang w:val="en-US" w:eastAsia="zh-CN"/>
              </w:rPr>
              <w:t>循环</w:t>
            </w:r>
            <w:r>
              <w:rPr>
                <w:rFonts w:hint="eastAsia"/>
                <w:color w:val="auto"/>
                <w:sz w:val="24"/>
              </w:rPr>
              <w:t>回用</w:t>
            </w:r>
            <w:r>
              <w:rPr>
                <w:rFonts w:hint="eastAsia"/>
                <w:color w:val="auto"/>
                <w:sz w:val="24"/>
                <w:lang w:val="en-US" w:eastAsia="zh-CN"/>
              </w:rPr>
              <w:t>于生产及场地</w:t>
            </w:r>
            <w:r>
              <w:rPr>
                <w:rFonts w:hint="eastAsia"/>
                <w:color w:val="auto"/>
                <w:sz w:val="24"/>
              </w:rPr>
              <w:t>洒水降尘</w:t>
            </w:r>
            <w:r>
              <w:rPr>
                <w:rFonts w:hint="eastAsia" w:hAnsi="宋体"/>
                <w:spacing w:val="4"/>
                <w:sz w:val="24"/>
              </w:rPr>
              <w:t>。</w:t>
            </w:r>
          </w:p>
          <w:p w14:paraId="582394D8">
            <w:pPr>
              <w:pageBreakBefore w:val="0"/>
              <w:kinsoku/>
              <w:wordWrap/>
              <w:overflowPunct/>
              <w:topLinePunct w:val="0"/>
              <w:autoSpaceDE/>
              <w:autoSpaceDN/>
              <w:bidi w:val="0"/>
              <w:adjustRightInd w:val="0"/>
              <w:snapToGrid/>
              <w:spacing w:line="380" w:lineRule="exact"/>
              <w:ind w:firstLine="496" w:firstLineChars="200"/>
              <w:textAlignment w:val="auto"/>
              <w:rPr>
                <w:rFonts w:hint="eastAsia" w:hAnsi="宋体"/>
                <w:spacing w:val="4"/>
                <w:sz w:val="24"/>
              </w:rPr>
            </w:pPr>
            <w:r>
              <w:rPr>
                <w:rFonts w:hint="eastAsia" w:ascii="宋体" w:hAnsi="宋体"/>
                <w:spacing w:val="4"/>
                <w:sz w:val="24"/>
              </w:rPr>
              <w:t>②</w:t>
            </w:r>
            <w:r>
              <w:rPr>
                <w:rFonts w:hint="eastAsia" w:hAnsi="宋体"/>
                <w:spacing w:val="4"/>
                <w:sz w:val="24"/>
              </w:rPr>
              <w:t xml:space="preserve"> 生活污水：施工生活污水经</w:t>
            </w:r>
            <w:r>
              <w:rPr>
                <w:rFonts w:hint="eastAsia" w:hAnsi="宋体"/>
                <w:spacing w:val="4"/>
                <w:sz w:val="24"/>
                <w:lang w:val="en-US" w:eastAsia="zh-CN"/>
              </w:rPr>
              <w:t>隔油池、</w:t>
            </w:r>
            <w:r>
              <w:rPr>
                <w:rFonts w:hint="eastAsia" w:hAnsi="宋体"/>
                <w:spacing w:val="4"/>
                <w:sz w:val="24"/>
              </w:rPr>
              <w:t>化粪</w:t>
            </w:r>
            <w:r>
              <w:rPr>
                <w:rFonts w:hint="eastAsia" w:hAnsi="宋体"/>
                <w:color w:val="auto"/>
                <w:spacing w:val="4"/>
                <w:sz w:val="24"/>
                <w:highlight w:val="none"/>
              </w:rPr>
              <w:t>池</w:t>
            </w:r>
            <w:r>
              <w:rPr>
                <w:rFonts w:hint="eastAsia" w:hAnsi="宋体"/>
                <w:color w:val="auto"/>
                <w:spacing w:val="4"/>
                <w:sz w:val="24"/>
                <w:highlight w:val="none"/>
                <w:lang w:val="en-US" w:eastAsia="zh-CN"/>
              </w:rPr>
              <w:t>处理后定期清运</w:t>
            </w:r>
            <w:r>
              <w:rPr>
                <w:rFonts w:hint="eastAsia" w:hAnsi="宋体"/>
                <w:color w:val="auto"/>
                <w:spacing w:val="4"/>
                <w:sz w:val="24"/>
                <w:highlight w:val="none"/>
              </w:rPr>
              <w:t>。</w:t>
            </w:r>
          </w:p>
          <w:p w14:paraId="681216AE">
            <w:pPr>
              <w:pStyle w:val="64"/>
              <w:pageBreakBefore w:val="0"/>
              <w:numPr>
                <w:ilvl w:val="0"/>
                <w:numId w:val="6"/>
              </w:numPr>
              <w:kinsoku/>
              <w:wordWrap/>
              <w:overflowPunct/>
              <w:topLinePunct w:val="0"/>
              <w:autoSpaceDE/>
              <w:autoSpaceDN/>
              <w:bidi w:val="0"/>
              <w:adjustRightInd w:val="0"/>
              <w:snapToGrid/>
              <w:spacing w:line="380" w:lineRule="exact"/>
              <w:ind w:firstLineChars="0"/>
              <w:textAlignment w:val="auto"/>
              <w:rPr>
                <w:rFonts w:hint="eastAsia" w:hAnsi="宋体"/>
                <w:spacing w:val="4"/>
                <w:sz w:val="24"/>
              </w:rPr>
            </w:pPr>
            <w:r>
              <w:rPr>
                <w:rFonts w:hint="eastAsia" w:hAnsi="宋体"/>
                <w:spacing w:val="4"/>
                <w:sz w:val="24"/>
              </w:rPr>
              <w:t>减少施工扰动</w:t>
            </w:r>
          </w:p>
          <w:p w14:paraId="18FD06DA">
            <w:pPr>
              <w:pageBreakBefore w:val="0"/>
              <w:widowControl/>
              <w:kinsoku/>
              <w:wordWrap/>
              <w:overflowPunct/>
              <w:topLinePunct w:val="0"/>
              <w:autoSpaceDE/>
              <w:autoSpaceDN/>
              <w:bidi w:val="0"/>
              <w:adjustRightInd w:val="0"/>
              <w:snapToGrid/>
              <w:spacing w:line="380" w:lineRule="exact"/>
              <w:ind w:firstLine="496" w:firstLineChars="200"/>
              <w:textAlignment w:val="auto"/>
              <w:rPr>
                <w:rFonts w:hint="eastAsia" w:hAnsi="宋体"/>
                <w:spacing w:val="4"/>
                <w:sz w:val="24"/>
              </w:rPr>
            </w:pPr>
            <w:r>
              <w:rPr>
                <w:rFonts w:cs="Calibri" w:asciiTheme="minorEastAsia" w:hAnsiTheme="minorEastAsia" w:eastAsiaTheme="minorEastAsia"/>
                <w:spacing w:val="4"/>
                <w:sz w:val="24"/>
              </w:rPr>
              <w:t>①</w:t>
            </w:r>
            <w:r>
              <w:rPr>
                <w:rFonts w:hint="eastAsia" w:cs="Calibri" w:asciiTheme="minorEastAsia" w:hAnsiTheme="minorEastAsia" w:eastAsiaTheme="minorEastAsia"/>
                <w:spacing w:val="4"/>
                <w:sz w:val="24"/>
              </w:rPr>
              <w:t xml:space="preserve"> </w:t>
            </w:r>
            <w:r>
              <w:rPr>
                <w:rFonts w:hAnsi="宋体"/>
                <w:spacing w:val="4"/>
                <w:sz w:val="24"/>
              </w:rPr>
              <w:t>分段施工：采用分段施工的方式，</w:t>
            </w:r>
            <w:r>
              <w:rPr>
                <w:rFonts w:hint="eastAsia" w:hAnsi="宋体"/>
                <w:spacing w:val="4"/>
                <w:sz w:val="24"/>
              </w:rPr>
              <w:t>缩短裸土周期</w:t>
            </w:r>
            <w:r>
              <w:rPr>
                <w:rFonts w:hAnsi="宋体"/>
                <w:spacing w:val="4"/>
                <w:sz w:val="24"/>
              </w:rPr>
              <w:t>。</w:t>
            </w:r>
          </w:p>
          <w:p w14:paraId="3DFC936A">
            <w:pPr>
              <w:pageBreakBefore w:val="0"/>
              <w:widowControl/>
              <w:kinsoku/>
              <w:wordWrap/>
              <w:overflowPunct/>
              <w:topLinePunct w:val="0"/>
              <w:autoSpaceDE/>
              <w:autoSpaceDN/>
              <w:bidi w:val="0"/>
              <w:adjustRightInd w:val="0"/>
              <w:snapToGrid/>
              <w:spacing w:line="380" w:lineRule="exact"/>
              <w:ind w:left="3" w:firstLine="496" w:firstLineChars="200"/>
              <w:textAlignment w:val="auto"/>
              <w:rPr>
                <w:rFonts w:hint="eastAsia" w:hAnsi="宋体"/>
                <w:spacing w:val="4"/>
                <w:sz w:val="24"/>
              </w:rPr>
            </w:pPr>
            <w:r>
              <w:rPr>
                <w:rFonts w:hint="eastAsia" w:ascii="宋体" w:hAnsi="宋体"/>
                <w:spacing w:val="4"/>
                <w:sz w:val="24"/>
              </w:rPr>
              <w:t xml:space="preserve">② </w:t>
            </w:r>
            <w:r>
              <w:rPr>
                <w:rFonts w:hAnsi="宋体"/>
                <w:spacing w:val="4"/>
                <w:sz w:val="24"/>
              </w:rPr>
              <w:t>减少开挖：尽量采用低扰动施工技术，减少土方开挖量，</w:t>
            </w:r>
            <w:r>
              <w:rPr>
                <w:rFonts w:hint="eastAsia" w:hAnsi="宋体"/>
                <w:spacing w:val="4"/>
                <w:sz w:val="24"/>
              </w:rPr>
              <w:t>降低土层、岸坡破坏</w:t>
            </w:r>
            <w:r>
              <w:rPr>
                <w:rFonts w:hAnsi="宋体"/>
                <w:spacing w:val="4"/>
                <w:sz w:val="24"/>
              </w:rPr>
              <w:t>。</w:t>
            </w:r>
          </w:p>
          <w:p w14:paraId="0A0F3616">
            <w:pPr>
              <w:pStyle w:val="64"/>
              <w:pageBreakBefore w:val="0"/>
              <w:numPr>
                <w:ilvl w:val="0"/>
                <w:numId w:val="2"/>
              </w:numPr>
              <w:kinsoku/>
              <w:wordWrap/>
              <w:overflowPunct/>
              <w:topLinePunct w:val="0"/>
              <w:autoSpaceDE/>
              <w:autoSpaceDN/>
              <w:bidi w:val="0"/>
              <w:adjustRightInd w:val="0"/>
              <w:snapToGrid/>
              <w:spacing w:line="380" w:lineRule="exact"/>
              <w:ind w:firstLineChars="0"/>
              <w:textAlignment w:val="auto"/>
              <w:rPr>
                <w:kern w:val="0"/>
                <w:sz w:val="24"/>
              </w:rPr>
            </w:pPr>
            <w:r>
              <w:rPr>
                <w:kern w:val="0"/>
                <w:sz w:val="24"/>
              </w:rPr>
              <w:t>施工后的恢复措施</w:t>
            </w:r>
          </w:p>
          <w:p w14:paraId="049A8D36">
            <w:pPr>
              <w:pStyle w:val="64"/>
              <w:pageBreakBefore w:val="0"/>
              <w:numPr>
                <w:ilvl w:val="2"/>
                <w:numId w:val="7"/>
              </w:numPr>
              <w:kinsoku/>
              <w:wordWrap/>
              <w:overflowPunct/>
              <w:topLinePunct w:val="0"/>
              <w:autoSpaceDE/>
              <w:autoSpaceDN/>
              <w:bidi w:val="0"/>
              <w:adjustRightInd w:val="0"/>
              <w:snapToGrid/>
              <w:spacing w:line="380" w:lineRule="exact"/>
              <w:ind w:left="420" w:leftChars="200" w:firstLineChars="0"/>
              <w:textAlignment w:val="auto"/>
              <w:rPr>
                <w:kern w:val="0"/>
                <w:sz w:val="24"/>
              </w:rPr>
            </w:pPr>
            <w:r>
              <w:rPr>
                <w:rFonts w:hint="eastAsia"/>
                <w:kern w:val="0"/>
                <w:sz w:val="24"/>
              </w:rPr>
              <w:t>清理施工现场：</w:t>
            </w:r>
            <w:r>
              <w:rPr>
                <w:rFonts w:hAnsi="宋体"/>
                <w:spacing w:val="4"/>
                <w:sz w:val="24"/>
              </w:rPr>
              <w:t>施工结束后，及时清理施工现场的废弃物、油污和化学品残留，确保无污染物进入</w:t>
            </w:r>
            <w:r>
              <w:rPr>
                <w:rFonts w:hint="eastAsia" w:hAnsi="宋体"/>
                <w:spacing w:val="4"/>
                <w:sz w:val="24"/>
              </w:rPr>
              <w:t>农田</w:t>
            </w:r>
            <w:r>
              <w:rPr>
                <w:rFonts w:hAnsi="宋体"/>
                <w:spacing w:val="4"/>
                <w:sz w:val="24"/>
              </w:rPr>
              <w:t>。</w:t>
            </w:r>
          </w:p>
          <w:p w14:paraId="38281255">
            <w:pPr>
              <w:pStyle w:val="20"/>
              <w:pageBreakBefore w:val="0"/>
              <w:numPr>
                <w:ilvl w:val="2"/>
                <w:numId w:val="7"/>
              </w:numPr>
              <w:kinsoku/>
              <w:wordWrap/>
              <w:overflowPunct/>
              <w:topLinePunct w:val="0"/>
              <w:autoSpaceDE/>
              <w:autoSpaceDN/>
              <w:bidi w:val="0"/>
              <w:adjustRightInd w:val="0"/>
              <w:snapToGrid/>
              <w:spacing w:before="0" w:beforeAutospacing="0" w:after="0" w:afterAutospacing="0" w:line="380" w:lineRule="exact"/>
              <w:ind w:left="420" w:leftChars="200"/>
              <w:jc w:val="both"/>
              <w:textAlignment w:val="auto"/>
              <w:rPr>
                <w:rFonts w:hint="eastAsia" w:ascii="Times New Roman"/>
                <w:spacing w:val="4"/>
                <w:kern w:val="2"/>
                <w:szCs w:val="24"/>
              </w:rPr>
            </w:pPr>
            <w:r>
              <w:rPr>
                <w:rFonts w:hint="eastAsia" w:ascii="Times New Roman"/>
                <w:spacing w:val="4"/>
                <w:kern w:val="2"/>
                <w:szCs w:val="24"/>
              </w:rPr>
              <w:t>农田恢复：平整土地、回填耕作层，补种绿植，修复灌溉排水系统</w:t>
            </w:r>
            <w:r>
              <w:rPr>
                <w:rFonts w:ascii="Times New Roman"/>
                <w:spacing w:val="4"/>
                <w:kern w:val="2"/>
                <w:szCs w:val="24"/>
              </w:rPr>
              <w:t>。</w:t>
            </w:r>
          </w:p>
          <w:p w14:paraId="567012F1">
            <w:pPr>
              <w:pStyle w:val="20"/>
              <w:pageBreakBefore w:val="0"/>
              <w:kinsoku/>
              <w:wordWrap/>
              <w:overflowPunct/>
              <w:topLinePunct w:val="0"/>
              <w:autoSpaceDE/>
              <w:autoSpaceDN/>
              <w:bidi w:val="0"/>
              <w:adjustRightInd w:val="0"/>
              <w:snapToGrid/>
              <w:spacing w:before="0" w:beforeAutospacing="0" w:after="0" w:afterAutospacing="0" w:line="380" w:lineRule="exact"/>
              <w:ind w:left="420"/>
              <w:jc w:val="both"/>
              <w:textAlignment w:val="auto"/>
              <w:rPr>
                <w:rFonts w:hint="eastAsia" w:ascii="Times New Roman"/>
                <w:b/>
                <w:spacing w:val="4"/>
                <w:kern w:val="2"/>
                <w:szCs w:val="24"/>
              </w:rPr>
            </w:pPr>
            <w:r>
              <w:rPr>
                <w:rFonts w:hint="eastAsia" w:ascii="Times New Roman"/>
                <w:b/>
                <w:spacing w:val="4"/>
                <w:kern w:val="2"/>
                <w:szCs w:val="24"/>
              </w:rPr>
              <w:t>(2) 绿</w:t>
            </w:r>
            <w:r>
              <w:rPr>
                <w:rFonts w:hint="eastAsia" w:ascii="Times New Roman"/>
                <w:b/>
                <w:spacing w:val="4"/>
                <w:kern w:val="2"/>
                <w:szCs w:val="24"/>
                <w:highlight w:val="none"/>
              </w:rPr>
              <w:t>洲路段</w:t>
            </w:r>
          </w:p>
          <w:p w14:paraId="249396AC">
            <w:pPr>
              <w:pStyle w:val="64"/>
              <w:pageBreakBefore w:val="0"/>
              <w:numPr>
                <w:ilvl w:val="0"/>
                <w:numId w:val="2"/>
              </w:numPr>
              <w:kinsoku/>
              <w:wordWrap/>
              <w:overflowPunct/>
              <w:topLinePunct w:val="0"/>
              <w:autoSpaceDE/>
              <w:autoSpaceDN/>
              <w:bidi w:val="0"/>
              <w:adjustRightInd w:val="0"/>
              <w:snapToGrid/>
              <w:spacing w:line="380" w:lineRule="exact"/>
              <w:ind w:firstLineChars="0"/>
              <w:textAlignment w:val="auto"/>
              <w:rPr>
                <w:kern w:val="0"/>
                <w:sz w:val="24"/>
              </w:rPr>
            </w:pPr>
            <w:r>
              <w:rPr>
                <w:kern w:val="0"/>
                <w:sz w:val="24"/>
              </w:rPr>
              <w:t>前期调查与设计</w:t>
            </w:r>
          </w:p>
          <w:p w14:paraId="4D080645">
            <w:pPr>
              <w:pStyle w:val="20"/>
              <w:pageBreakBefore w:val="0"/>
              <w:numPr>
                <w:ilvl w:val="2"/>
                <w:numId w:val="7"/>
              </w:numPr>
              <w:kinsoku/>
              <w:wordWrap/>
              <w:overflowPunct/>
              <w:topLinePunct w:val="0"/>
              <w:autoSpaceDE/>
              <w:autoSpaceDN/>
              <w:bidi w:val="0"/>
              <w:adjustRightInd w:val="0"/>
              <w:snapToGrid/>
              <w:spacing w:before="0" w:beforeAutospacing="0" w:after="0" w:afterAutospacing="0" w:line="380" w:lineRule="exact"/>
              <w:ind w:left="420" w:leftChars="200"/>
              <w:jc w:val="both"/>
              <w:textAlignment w:val="auto"/>
              <w:rPr>
                <w:rFonts w:hint="eastAsia" w:ascii="Times New Roman"/>
                <w:bCs/>
                <w:spacing w:val="4"/>
                <w:kern w:val="2"/>
                <w:szCs w:val="24"/>
              </w:rPr>
            </w:pPr>
            <w:r>
              <w:rPr>
                <w:rFonts w:ascii="Times New Roman"/>
                <w:spacing w:val="4"/>
                <w:kern w:val="2"/>
                <w:szCs w:val="24"/>
              </w:rPr>
              <w:t>地质勘察</w:t>
            </w:r>
            <w:r>
              <w:rPr>
                <w:rFonts w:ascii="Times New Roman"/>
                <w:bCs/>
                <w:spacing w:val="4"/>
                <w:kern w:val="2"/>
                <w:szCs w:val="24"/>
              </w:rPr>
              <w:t>：调查</w:t>
            </w:r>
            <w:r>
              <w:rPr>
                <w:rFonts w:hint="eastAsia" w:ascii="Times New Roman"/>
                <w:bCs/>
                <w:spacing w:val="4"/>
                <w:kern w:val="2"/>
                <w:szCs w:val="24"/>
              </w:rPr>
              <w:t>绿洲区</w:t>
            </w:r>
            <w:r>
              <w:rPr>
                <w:rFonts w:ascii="Times New Roman"/>
                <w:bCs/>
                <w:spacing w:val="4"/>
                <w:kern w:val="2"/>
                <w:szCs w:val="24"/>
              </w:rPr>
              <w:t>地质、水文及生态环境。</w:t>
            </w:r>
          </w:p>
          <w:p w14:paraId="47E57156">
            <w:pPr>
              <w:pStyle w:val="20"/>
              <w:pageBreakBefore w:val="0"/>
              <w:numPr>
                <w:ilvl w:val="2"/>
                <w:numId w:val="7"/>
              </w:numPr>
              <w:kinsoku/>
              <w:wordWrap/>
              <w:overflowPunct/>
              <w:topLinePunct w:val="0"/>
              <w:autoSpaceDE/>
              <w:autoSpaceDN/>
              <w:bidi w:val="0"/>
              <w:adjustRightInd w:val="0"/>
              <w:snapToGrid/>
              <w:spacing w:before="0" w:beforeAutospacing="0" w:after="0" w:afterAutospacing="0" w:line="380" w:lineRule="exact"/>
              <w:ind w:left="420" w:leftChars="200"/>
              <w:jc w:val="both"/>
              <w:textAlignment w:val="auto"/>
              <w:rPr>
                <w:rFonts w:hint="eastAsia" w:ascii="Times New Roman"/>
                <w:bCs/>
                <w:spacing w:val="4"/>
                <w:kern w:val="2"/>
                <w:szCs w:val="24"/>
              </w:rPr>
            </w:pPr>
            <w:r>
              <w:rPr>
                <w:rFonts w:ascii="Times New Roman"/>
                <w:spacing w:val="4"/>
                <w:kern w:val="2"/>
                <w:szCs w:val="24"/>
              </w:rPr>
              <w:t>环境影响评估</w:t>
            </w:r>
            <w:r>
              <w:rPr>
                <w:rFonts w:ascii="Times New Roman"/>
                <w:bCs/>
                <w:spacing w:val="4"/>
                <w:kern w:val="2"/>
                <w:szCs w:val="24"/>
              </w:rPr>
              <w:t>：评估施工对</w:t>
            </w:r>
            <w:r>
              <w:rPr>
                <w:rFonts w:hint="eastAsia" w:ascii="Times New Roman"/>
                <w:bCs/>
                <w:spacing w:val="4"/>
                <w:kern w:val="2"/>
                <w:szCs w:val="24"/>
              </w:rPr>
              <w:t>绿洲区</w:t>
            </w:r>
            <w:r>
              <w:rPr>
                <w:rFonts w:ascii="Times New Roman"/>
                <w:bCs/>
                <w:spacing w:val="4"/>
                <w:kern w:val="2"/>
                <w:szCs w:val="24"/>
              </w:rPr>
              <w:t>生态的影响，制定保护措施。</w:t>
            </w:r>
          </w:p>
          <w:p w14:paraId="4839DC24">
            <w:pPr>
              <w:pStyle w:val="20"/>
              <w:pageBreakBefore w:val="0"/>
              <w:numPr>
                <w:ilvl w:val="2"/>
                <w:numId w:val="7"/>
              </w:numPr>
              <w:kinsoku/>
              <w:wordWrap/>
              <w:overflowPunct/>
              <w:topLinePunct w:val="0"/>
              <w:autoSpaceDE/>
              <w:autoSpaceDN/>
              <w:bidi w:val="0"/>
              <w:adjustRightInd w:val="0"/>
              <w:snapToGrid/>
              <w:spacing w:before="0" w:beforeAutospacing="0" w:after="0" w:afterAutospacing="0" w:line="380" w:lineRule="exact"/>
              <w:ind w:left="420" w:leftChars="200"/>
              <w:jc w:val="both"/>
              <w:textAlignment w:val="auto"/>
              <w:rPr>
                <w:rFonts w:hint="eastAsia" w:ascii="Times New Roman"/>
                <w:bCs/>
                <w:spacing w:val="4"/>
                <w:kern w:val="2"/>
                <w:szCs w:val="24"/>
              </w:rPr>
            </w:pPr>
            <w:r>
              <w:rPr>
                <w:rFonts w:ascii="Times New Roman"/>
                <w:bCs/>
                <w:spacing w:val="4"/>
                <w:kern w:val="2"/>
                <w:szCs w:val="24"/>
              </w:rPr>
              <w:t>新技术应用：采用环保材料和先进技术，减少环境影响。</w:t>
            </w:r>
          </w:p>
          <w:p w14:paraId="6EBF1A21">
            <w:pPr>
              <w:pStyle w:val="64"/>
              <w:pageBreakBefore w:val="0"/>
              <w:numPr>
                <w:ilvl w:val="0"/>
                <w:numId w:val="2"/>
              </w:numPr>
              <w:kinsoku/>
              <w:wordWrap/>
              <w:overflowPunct/>
              <w:topLinePunct w:val="0"/>
              <w:autoSpaceDE/>
              <w:autoSpaceDN/>
              <w:bidi w:val="0"/>
              <w:adjustRightInd w:val="0"/>
              <w:snapToGrid/>
              <w:spacing w:line="380" w:lineRule="exact"/>
              <w:ind w:firstLineChars="0"/>
              <w:textAlignment w:val="auto"/>
              <w:rPr>
                <w:kern w:val="0"/>
                <w:sz w:val="24"/>
              </w:rPr>
            </w:pPr>
            <w:r>
              <w:rPr>
                <w:kern w:val="0"/>
                <w:sz w:val="24"/>
              </w:rPr>
              <w:t>施工准备</w:t>
            </w:r>
          </w:p>
          <w:p w14:paraId="345A6803">
            <w:pPr>
              <w:pStyle w:val="20"/>
              <w:pageBreakBefore w:val="0"/>
              <w:numPr>
                <w:ilvl w:val="2"/>
                <w:numId w:val="7"/>
              </w:numPr>
              <w:kinsoku/>
              <w:wordWrap/>
              <w:overflowPunct/>
              <w:topLinePunct w:val="0"/>
              <w:autoSpaceDE/>
              <w:autoSpaceDN/>
              <w:bidi w:val="0"/>
              <w:adjustRightInd w:val="0"/>
              <w:snapToGrid/>
              <w:spacing w:before="0" w:beforeAutospacing="0" w:after="0" w:afterAutospacing="0" w:line="380" w:lineRule="exact"/>
              <w:ind w:left="420" w:leftChars="200"/>
              <w:jc w:val="both"/>
              <w:textAlignment w:val="auto"/>
              <w:rPr>
                <w:rFonts w:hint="eastAsia" w:ascii="Times New Roman"/>
                <w:spacing w:val="4"/>
                <w:kern w:val="2"/>
                <w:szCs w:val="24"/>
              </w:rPr>
            </w:pPr>
            <w:r>
              <w:rPr>
                <w:rFonts w:ascii="Times New Roman"/>
                <w:bCs/>
                <w:spacing w:val="4"/>
                <w:kern w:val="2"/>
                <w:szCs w:val="24"/>
              </w:rPr>
              <w:t>临时设施</w:t>
            </w:r>
            <w:r>
              <w:rPr>
                <w:rFonts w:ascii="Times New Roman"/>
                <w:spacing w:val="4"/>
                <w:kern w:val="2"/>
                <w:szCs w:val="24"/>
              </w:rPr>
              <w:t>：搭建临时道路和施工平台，减少对</w:t>
            </w:r>
            <w:r>
              <w:rPr>
                <w:rFonts w:hint="eastAsia" w:ascii="Times New Roman"/>
                <w:spacing w:val="4"/>
                <w:kern w:val="2"/>
                <w:szCs w:val="24"/>
              </w:rPr>
              <w:t>绿洲区</w:t>
            </w:r>
            <w:r>
              <w:rPr>
                <w:rFonts w:ascii="Times New Roman"/>
                <w:spacing w:val="4"/>
                <w:kern w:val="2"/>
                <w:szCs w:val="24"/>
              </w:rPr>
              <w:t>的直接干扰。</w:t>
            </w:r>
          </w:p>
          <w:p w14:paraId="0B551708">
            <w:pPr>
              <w:pStyle w:val="20"/>
              <w:pageBreakBefore w:val="0"/>
              <w:numPr>
                <w:ilvl w:val="2"/>
                <w:numId w:val="7"/>
              </w:numPr>
              <w:kinsoku/>
              <w:wordWrap/>
              <w:overflowPunct/>
              <w:topLinePunct w:val="0"/>
              <w:autoSpaceDE/>
              <w:autoSpaceDN/>
              <w:bidi w:val="0"/>
              <w:adjustRightInd w:val="0"/>
              <w:snapToGrid/>
              <w:spacing w:before="0" w:beforeAutospacing="0" w:after="0" w:afterAutospacing="0" w:line="380" w:lineRule="exact"/>
              <w:ind w:left="420" w:leftChars="200"/>
              <w:jc w:val="both"/>
              <w:textAlignment w:val="auto"/>
              <w:rPr>
                <w:rFonts w:hint="eastAsia" w:ascii="Times New Roman"/>
                <w:spacing w:val="4"/>
                <w:kern w:val="2"/>
                <w:szCs w:val="24"/>
              </w:rPr>
            </w:pPr>
            <w:r>
              <w:rPr>
                <w:rFonts w:ascii="Times New Roman"/>
                <w:bCs/>
                <w:spacing w:val="4"/>
                <w:kern w:val="2"/>
                <w:szCs w:val="24"/>
              </w:rPr>
              <w:t>排水系统</w:t>
            </w:r>
            <w:r>
              <w:rPr>
                <w:rFonts w:ascii="Times New Roman"/>
                <w:spacing w:val="4"/>
                <w:kern w:val="2"/>
                <w:szCs w:val="24"/>
              </w:rPr>
              <w:t>：设置临时排水设施，防止积水影响施工。</w:t>
            </w:r>
          </w:p>
          <w:p w14:paraId="5A613C83">
            <w:pPr>
              <w:pStyle w:val="64"/>
              <w:pageBreakBefore w:val="0"/>
              <w:numPr>
                <w:ilvl w:val="0"/>
                <w:numId w:val="2"/>
              </w:numPr>
              <w:kinsoku/>
              <w:wordWrap/>
              <w:overflowPunct/>
              <w:topLinePunct w:val="0"/>
              <w:autoSpaceDE/>
              <w:autoSpaceDN/>
              <w:bidi w:val="0"/>
              <w:adjustRightInd w:val="0"/>
              <w:snapToGrid/>
              <w:spacing w:line="380" w:lineRule="exact"/>
              <w:ind w:firstLineChars="0"/>
              <w:textAlignment w:val="auto"/>
              <w:rPr>
                <w:kern w:val="0"/>
                <w:sz w:val="24"/>
              </w:rPr>
            </w:pPr>
            <w:r>
              <w:rPr>
                <w:kern w:val="0"/>
                <w:sz w:val="24"/>
              </w:rPr>
              <w:t>地基处理</w:t>
            </w:r>
          </w:p>
          <w:p w14:paraId="5F5B46AE">
            <w:pPr>
              <w:pStyle w:val="20"/>
              <w:pageBreakBefore w:val="0"/>
              <w:numPr>
                <w:ilvl w:val="2"/>
                <w:numId w:val="7"/>
              </w:numPr>
              <w:kinsoku/>
              <w:wordWrap/>
              <w:overflowPunct/>
              <w:topLinePunct w:val="0"/>
              <w:autoSpaceDE/>
              <w:autoSpaceDN/>
              <w:bidi w:val="0"/>
              <w:adjustRightInd w:val="0"/>
              <w:snapToGrid/>
              <w:spacing w:before="0" w:beforeAutospacing="0" w:after="0" w:afterAutospacing="0" w:line="380" w:lineRule="exact"/>
              <w:ind w:left="420" w:leftChars="200"/>
              <w:jc w:val="both"/>
              <w:textAlignment w:val="auto"/>
              <w:rPr>
                <w:rFonts w:hint="eastAsia" w:ascii="Times New Roman"/>
                <w:bCs/>
                <w:spacing w:val="4"/>
                <w:kern w:val="2"/>
                <w:szCs w:val="24"/>
              </w:rPr>
            </w:pPr>
            <w:r>
              <w:rPr>
                <w:rFonts w:ascii="Times New Roman"/>
                <w:spacing w:val="4"/>
                <w:kern w:val="2"/>
                <w:szCs w:val="24"/>
              </w:rPr>
              <w:t>软基处理</w:t>
            </w:r>
            <w:r>
              <w:rPr>
                <w:rFonts w:ascii="Times New Roman"/>
                <w:bCs/>
                <w:spacing w:val="4"/>
                <w:kern w:val="2"/>
                <w:szCs w:val="24"/>
              </w:rPr>
              <w:t>：采用换填、砂桩、碎石桩等方法加固软基。</w:t>
            </w:r>
          </w:p>
          <w:p w14:paraId="4BB359ED">
            <w:pPr>
              <w:pStyle w:val="20"/>
              <w:pageBreakBefore w:val="0"/>
              <w:numPr>
                <w:ilvl w:val="2"/>
                <w:numId w:val="7"/>
              </w:numPr>
              <w:kinsoku/>
              <w:wordWrap/>
              <w:overflowPunct/>
              <w:topLinePunct w:val="0"/>
              <w:autoSpaceDE/>
              <w:autoSpaceDN/>
              <w:bidi w:val="0"/>
              <w:adjustRightInd w:val="0"/>
              <w:snapToGrid/>
              <w:spacing w:before="0" w:beforeAutospacing="0" w:after="0" w:afterAutospacing="0" w:line="380" w:lineRule="exact"/>
              <w:ind w:left="420" w:leftChars="200"/>
              <w:jc w:val="both"/>
              <w:textAlignment w:val="auto"/>
              <w:rPr>
                <w:rFonts w:hint="eastAsia" w:ascii="Times New Roman"/>
                <w:bCs/>
                <w:spacing w:val="4"/>
                <w:kern w:val="2"/>
                <w:szCs w:val="24"/>
              </w:rPr>
            </w:pPr>
            <w:r>
              <w:rPr>
                <w:rFonts w:ascii="Times New Roman"/>
                <w:spacing w:val="4"/>
                <w:kern w:val="2"/>
                <w:szCs w:val="24"/>
              </w:rPr>
              <w:t>排水固结</w:t>
            </w:r>
            <w:r>
              <w:rPr>
                <w:rFonts w:ascii="Times New Roman"/>
                <w:bCs/>
                <w:spacing w:val="4"/>
                <w:kern w:val="2"/>
                <w:szCs w:val="24"/>
              </w:rPr>
              <w:t>：通过排水板或井点降水加速地基固结。</w:t>
            </w:r>
          </w:p>
          <w:p w14:paraId="3A8DB556">
            <w:pPr>
              <w:pStyle w:val="64"/>
              <w:pageBreakBefore w:val="0"/>
              <w:numPr>
                <w:ilvl w:val="0"/>
                <w:numId w:val="2"/>
              </w:numPr>
              <w:kinsoku/>
              <w:wordWrap/>
              <w:overflowPunct/>
              <w:topLinePunct w:val="0"/>
              <w:autoSpaceDE/>
              <w:autoSpaceDN/>
              <w:bidi w:val="0"/>
              <w:adjustRightInd w:val="0"/>
              <w:snapToGrid/>
              <w:spacing w:line="380" w:lineRule="exact"/>
              <w:ind w:firstLineChars="0"/>
              <w:textAlignment w:val="auto"/>
              <w:rPr>
                <w:kern w:val="0"/>
                <w:sz w:val="24"/>
              </w:rPr>
            </w:pPr>
            <w:r>
              <w:rPr>
                <w:kern w:val="0"/>
                <w:sz w:val="24"/>
              </w:rPr>
              <w:t>路基施工</w:t>
            </w:r>
          </w:p>
          <w:p w14:paraId="69726EB8">
            <w:pPr>
              <w:pStyle w:val="20"/>
              <w:pageBreakBefore w:val="0"/>
              <w:numPr>
                <w:ilvl w:val="2"/>
                <w:numId w:val="7"/>
              </w:numPr>
              <w:kinsoku/>
              <w:wordWrap/>
              <w:overflowPunct/>
              <w:topLinePunct w:val="0"/>
              <w:autoSpaceDE/>
              <w:autoSpaceDN/>
              <w:bidi w:val="0"/>
              <w:adjustRightInd w:val="0"/>
              <w:snapToGrid/>
              <w:spacing w:before="0" w:beforeAutospacing="0" w:after="0" w:afterAutospacing="0" w:line="380" w:lineRule="exact"/>
              <w:ind w:left="420" w:leftChars="200"/>
              <w:jc w:val="both"/>
              <w:textAlignment w:val="auto"/>
              <w:rPr>
                <w:rFonts w:hint="eastAsia" w:ascii="Times New Roman"/>
                <w:spacing w:val="4"/>
                <w:kern w:val="2"/>
                <w:szCs w:val="24"/>
              </w:rPr>
            </w:pPr>
            <w:r>
              <w:rPr>
                <w:rFonts w:ascii="Times New Roman"/>
                <w:bCs/>
                <w:spacing w:val="4"/>
                <w:kern w:val="2"/>
                <w:szCs w:val="24"/>
              </w:rPr>
              <w:t>分层填筑</w:t>
            </w:r>
            <w:r>
              <w:rPr>
                <w:rFonts w:ascii="Times New Roman"/>
                <w:spacing w:val="4"/>
                <w:kern w:val="2"/>
                <w:szCs w:val="24"/>
              </w:rPr>
              <w:t>：分层填筑路基，每层压实至设计要求。</w:t>
            </w:r>
          </w:p>
          <w:p w14:paraId="660E77D0">
            <w:pPr>
              <w:pStyle w:val="20"/>
              <w:pageBreakBefore w:val="0"/>
              <w:numPr>
                <w:ilvl w:val="2"/>
                <w:numId w:val="7"/>
              </w:numPr>
              <w:kinsoku/>
              <w:wordWrap/>
              <w:overflowPunct/>
              <w:topLinePunct w:val="0"/>
              <w:autoSpaceDE/>
              <w:autoSpaceDN/>
              <w:bidi w:val="0"/>
              <w:adjustRightInd w:val="0"/>
              <w:snapToGrid/>
              <w:spacing w:before="0" w:beforeAutospacing="0" w:after="0" w:afterAutospacing="0" w:line="380" w:lineRule="exact"/>
              <w:ind w:left="420" w:leftChars="200"/>
              <w:jc w:val="both"/>
              <w:textAlignment w:val="auto"/>
              <w:rPr>
                <w:rFonts w:hint="eastAsia" w:ascii="Times New Roman"/>
                <w:spacing w:val="4"/>
                <w:kern w:val="2"/>
                <w:szCs w:val="24"/>
              </w:rPr>
            </w:pPr>
            <w:r>
              <w:rPr>
                <w:rFonts w:ascii="Times New Roman"/>
                <w:bCs/>
                <w:spacing w:val="4"/>
                <w:kern w:val="2"/>
                <w:szCs w:val="24"/>
              </w:rPr>
              <w:t>防水措施</w:t>
            </w:r>
            <w:r>
              <w:rPr>
                <w:rFonts w:ascii="Times New Roman"/>
                <w:spacing w:val="4"/>
                <w:kern w:val="2"/>
                <w:szCs w:val="24"/>
              </w:rPr>
              <w:t>：铺设防水材料，防止水分渗透影响路基稳定。</w:t>
            </w:r>
          </w:p>
          <w:p w14:paraId="541740C6">
            <w:pPr>
              <w:pStyle w:val="64"/>
              <w:pageBreakBefore w:val="0"/>
              <w:numPr>
                <w:ilvl w:val="0"/>
                <w:numId w:val="2"/>
              </w:numPr>
              <w:kinsoku/>
              <w:wordWrap/>
              <w:overflowPunct/>
              <w:topLinePunct w:val="0"/>
              <w:autoSpaceDE/>
              <w:autoSpaceDN/>
              <w:bidi w:val="0"/>
              <w:adjustRightInd w:val="0"/>
              <w:snapToGrid/>
              <w:spacing w:line="380" w:lineRule="exact"/>
              <w:ind w:firstLineChars="0"/>
              <w:textAlignment w:val="auto"/>
              <w:rPr>
                <w:kern w:val="0"/>
                <w:sz w:val="24"/>
              </w:rPr>
            </w:pPr>
            <w:r>
              <w:rPr>
                <w:kern w:val="0"/>
                <w:sz w:val="24"/>
              </w:rPr>
              <w:t>路面施工</w:t>
            </w:r>
          </w:p>
          <w:p w14:paraId="1B1CE072">
            <w:pPr>
              <w:pStyle w:val="20"/>
              <w:pageBreakBefore w:val="0"/>
              <w:numPr>
                <w:ilvl w:val="2"/>
                <w:numId w:val="7"/>
              </w:numPr>
              <w:kinsoku/>
              <w:wordWrap/>
              <w:overflowPunct/>
              <w:topLinePunct w:val="0"/>
              <w:autoSpaceDE/>
              <w:autoSpaceDN/>
              <w:bidi w:val="0"/>
              <w:adjustRightInd w:val="0"/>
              <w:snapToGrid/>
              <w:spacing w:before="0" w:beforeAutospacing="0" w:after="0" w:afterAutospacing="0" w:line="380" w:lineRule="exact"/>
              <w:ind w:left="420" w:leftChars="200"/>
              <w:jc w:val="both"/>
              <w:textAlignment w:val="auto"/>
              <w:rPr>
                <w:rFonts w:hint="eastAsia" w:ascii="Times New Roman"/>
                <w:bCs/>
                <w:spacing w:val="4"/>
                <w:kern w:val="2"/>
                <w:szCs w:val="24"/>
              </w:rPr>
            </w:pPr>
            <w:r>
              <w:rPr>
                <w:rFonts w:ascii="Times New Roman"/>
                <w:spacing w:val="4"/>
                <w:kern w:val="2"/>
                <w:szCs w:val="24"/>
              </w:rPr>
              <w:t>基层施工</w:t>
            </w:r>
            <w:r>
              <w:rPr>
                <w:rFonts w:ascii="Times New Roman"/>
                <w:bCs/>
                <w:spacing w:val="4"/>
                <w:kern w:val="2"/>
                <w:szCs w:val="24"/>
              </w:rPr>
              <w:t>：铺设碎石或混凝土基层，确保平整度和密实度。</w:t>
            </w:r>
          </w:p>
          <w:p w14:paraId="3DDB3A33">
            <w:pPr>
              <w:pStyle w:val="20"/>
              <w:pageBreakBefore w:val="0"/>
              <w:numPr>
                <w:ilvl w:val="2"/>
                <w:numId w:val="7"/>
              </w:numPr>
              <w:kinsoku/>
              <w:wordWrap/>
              <w:overflowPunct/>
              <w:topLinePunct w:val="0"/>
              <w:autoSpaceDE/>
              <w:autoSpaceDN/>
              <w:bidi w:val="0"/>
              <w:adjustRightInd w:val="0"/>
              <w:snapToGrid/>
              <w:spacing w:before="0" w:beforeAutospacing="0" w:after="0" w:afterAutospacing="0" w:line="380" w:lineRule="exact"/>
              <w:ind w:left="420" w:leftChars="200"/>
              <w:jc w:val="both"/>
              <w:textAlignment w:val="auto"/>
              <w:rPr>
                <w:rFonts w:hint="eastAsia" w:ascii="Times New Roman"/>
                <w:bCs/>
                <w:spacing w:val="4"/>
                <w:kern w:val="2"/>
                <w:szCs w:val="24"/>
              </w:rPr>
            </w:pPr>
            <w:r>
              <w:rPr>
                <w:rFonts w:ascii="Times New Roman"/>
                <w:spacing w:val="4"/>
                <w:kern w:val="2"/>
                <w:szCs w:val="24"/>
              </w:rPr>
              <w:t>面层施工</w:t>
            </w:r>
            <w:r>
              <w:rPr>
                <w:rFonts w:ascii="Times New Roman"/>
                <w:bCs/>
                <w:spacing w:val="4"/>
                <w:kern w:val="2"/>
                <w:szCs w:val="24"/>
              </w:rPr>
              <w:t>：铺设沥青或混凝土面层，保证路面平整和耐久。</w:t>
            </w:r>
          </w:p>
          <w:p w14:paraId="1E5486A1">
            <w:pPr>
              <w:pStyle w:val="64"/>
              <w:pageBreakBefore w:val="0"/>
              <w:numPr>
                <w:ilvl w:val="0"/>
                <w:numId w:val="2"/>
              </w:numPr>
              <w:kinsoku/>
              <w:wordWrap/>
              <w:overflowPunct/>
              <w:topLinePunct w:val="0"/>
              <w:autoSpaceDE/>
              <w:autoSpaceDN/>
              <w:bidi w:val="0"/>
              <w:adjustRightInd w:val="0"/>
              <w:snapToGrid/>
              <w:spacing w:line="380" w:lineRule="exact"/>
              <w:ind w:firstLineChars="0"/>
              <w:textAlignment w:val="auto"/>
              <w:rPr>
                <w:kern w:val="0"/>
                <w:sz w:val="24"/>
              </w:rPr>
            </w:pPr>
            <w:r>
              <w:rPr>
                <w:kern w:val="0"/>
                <w:sz w:val="24"/>
              </w:rPr>
              <w:t>环境保护</w:t>
            </w:r>
          </w:p>
          <w:p w14:paraId="2BBD88A2">
            <w:pPr>
              <w:pStyle w:val="20"/>
              <w:pageBreakBefore w:val="0"/>
              <w:numPr>
                <w:ilvl w:val="2"/>
                <w:numId w:val="7"/>
              </w:numPr>
              <w:kinsoku/>
              <w:wordWrap/>
              <w:overflowPunct/>
              <w:topLinePunct w:val="0"/>
              <w:autoSpaceDE/>
              <w:autoSpaceDN/>
              <w:bidi w:val="0"/>
              <w:adjustRightInd w:val="0"/>
              <w:snapToGrid/>
              <w:spacing w:before="0" w:beforeAutospacing="0" w:after="0" w:afterAutospacing="0" w:line="380" w:lineRule="exact"/>
              <w:ind w:left="420" w:leftChars="200"/>
              <w:jc w:val="both"/>
              <w:textAlignment w:val="auto"/>
              <w:rPr>
                <w:rFonts w:hint="eastAsia" w:ascii="Times New Roman"/>
                <w:spacing w:val="4"/>
                <w:kern w:val="2"/>
                <w:szCs w:val="24"/>
              </w:rPr>
            </w:pPr>
            <w:r>
              <w:rPr>
                <w:rFonts w:ascii="Times New Roman"/>
                <w:bCs/>
                <w:spacing w:val="4"/>
                <w:kern w:val="2"/>
                <w:szCs w:val="24"/>
              </w:rPr>
              <w:t>生态恢复</w:t>
            </w:r>
            <w:r>
              <w:rPr>
                <w:rFonts w:ascii="Times New Roman"/>
                <w:spacing w:val="4"/>
                <w:kern w:val="2"/>
                <w:szCs w:val="24"/>
              </w:rPr>
              <w:t>：施工后恢复</w:t>
            </w:r>
            <w:r>
              <w:rPr>
                <w:rFonts w:hint="eastAsia" w:ascii="Times New Roman"/>
                <w:spacing w:val="4"/>
                <w:kern w:val="2"/>
                <w:szCs w:val="24"/>
              </w:rPr>
              <w:t>绿洲</w:t>
            </w:r>
            <w:r>
              <w:rPr>
                <w:rFonts w:ascii="Times New Roman"/>
                <w:spacing w:val="4"/>
                <w:kern w:val="2"/>
                <w:szCs w:val="24"/>
              </w:rPr>
              <w:t>植被，减少生态破坏。</w:t>
            </w:r>
          </w:p>
          <w:p w14:paraId="212F86E5">
            <w:pPr>
              <w:pStyle w:val="20"/>
              <w:pageBreakBefore w:val="0"/>
              <w:numPr>
                <w:ilvl w:val="2"/>
                <w:numId w:val="7"/>
              </w:numPr>
              <w:kinsoku/>
              <w:wordWrap/>
              <w:overflowPunct/>
              <w:topLinePunct w:val="0"/>
              <w:autoSpaceDE/>
              <w:autoSpaceDN/>
              <w:bidi w:val="0"/>
              <w:adjustRightInd w:val="0"/>
              <w:snapToGrid/>
              <w:spacing w:before="0" w:beforeAutospacing="0" w:after="0" w:afterAutospacing="0" w:line="380" w:lineRule="exact"/>
              <w:ind w:left="420" w:leftChars="200"/>
              <w:jc w:val="both"/>
              <w:textAlignment w:val="auto"/>
              <w:rPr>
                <w:rFonts w:hint="eastAsia" w:ascii="Times New Roman"/>
                <w:spacing w:val="4"/>
                <w:kern w:val="2"/>
                <w:szCs w:val="24"/>
              </w:rPr>
            </w:pPr>
            <w:r>
              <w:rPr>
                <w:rFonts w:ascii="Times New Roman"/>
                <w:bCs/>
                <w:spacing w:val="4"/>
                <w:kern w:val="2"/>
                <w:szCs w:val="24"/>
              </w:rPr>
              <w:t>水土保持</w:t>
            </w:r>
            <w:r>
              <w:rPr>
                <w:rFonts w:ascii="Times New Roman"/>
                <w:spacing w:val="4"/>
                <w:kern w:val="2"/>
                <w:szCs w:val="24"/>
              </w:rPr>
              <w:t>：设置挡土墙、植被护坡等措施，防止水土流失。</w:t>
            </w:r>
          </w:p>
          <w:p w14:paraId="3756C314">
            <w:pPr>
              <w:pStyle w:val="64"/>
              <w:pageBreakBefore w:val="0"/>
              <w:numPr>
                <w:ilvl w:val="0"/>
                <w:numId w:val="2"/>
              </w:numPr>
              <w:kinsoku/>
              <w:wordWrap/>
              <w:overflowPunct/>
              <w:topLinePunct w:val="0"/>
              <w:autoSpaceDE/>
              <w:autoSpaceDN/>
              <w:bidi w:val="0"/>
              <w:adjustRightInd w:val="0"/>
              <w:snapToGrid/>
              <w:spacing w:line="380" w:lineRule="exact"/>
              <w:ind w:firstLineChars="0"/>
              <w:textAlignment w:val="auto"/>
              <w:rPr>
                <w:kern w:val="0"/>
                <w:sz w:val="24"/>
              </w:rPr>
            </w:pPr>
            <w:r>
              <w:rPr>
                <w:kern w:val="0"/>
                <w:sz w:val="24"/>
              </w:rPr>
              <w:t>监测与维护</w:t>
            </w:r>
          </w:p>
          <w:p w14:paraId="16869F79">
            <w:pPr>
              <w:pStyle w:val="20"/>
              <w:pageBreakBefore w:val="0"/>
              <w:numPr>
                <w:ilvl w:val="2"/>
                <w:numId w:val="7"/>
              </w:numPr>
              <w:kinsoku/>
              <w:wordWrap/>
              <w:overflowPunct/>
              <w:topLinePunct w:val="0"/>
              <w:autoSpaceDE/>
              <w:autoSpaceDN/>
              <w:bidi w:val="0"/>
              <w:adjustRightInd w:val="0"/>
              <w:snapToGrid/>
              <w:spacing w:before="0" w:beforeAutospacing="0" w:after="0" w:afterAutospacing="0" w:line="380" w:lineRule="exact"/>
              <w:ind w:left="420" w:leftChars="200"/>
              <w:jc w:val="both"/>
              <w:textAlignment w:val="auto"/>
              <w:rPr>
                <w:rFonts w:hint="eastAsia" w:ascii="Times New Roman"/>
                <w:bCs/>
                <w:spacing w:val="4"/>
                <w:kern w:val="2"/>
                <w:szCs w:val="24"/>
              </w:rPr>
            </w:pPr>
            <w:r>
              <w:rPr>
                <w:rFonts w:ascii="Times New Roman"/>
                <w:spacing w:val="4"/>
                <w:kern w:val="2"/>
                <w:szCs w:val="24"/>
              </w:rPr>
              <w:t>施工监测</w:t>
            </w:r>
            <w:r>
              <w:rPr>
                <w:rFonts w:ascii="Times New Roman"/>
                <w:bCs/>
                <w:spacing w:val="4"/>
                <w:kern w:val="2"/>
                <w:szCs w:val="24"/>
              </w:rPr>
              <w:t>：实时监测路基沉降和变形，及时调整施工方案。</w:t>
            </w:r>
          </w:p>
          <w:p w14:paraId="45A0AA31">
            <w:pPr>
              <w:pStyle w:val="20"/>
              <w:pageBreakBefore w:val="0"/>
              <w:numPr>
                <w:ilvl w:val="2"/>
                <w:numId w:val="7"/>
              </w:numPr>
              <w:kinsoku/>
              <w:wordWrap/>
              <w:overflowPunct/>
              <w:topLinePunct w:val="0"/>
              <w:autoSpaceDE/>
              <w:autoSpaceDN/>
              <w:bidi w:val="0"/>
              <w:adjustRightInd w:val="0"/>
              <w:snapToGrid/>
              <w:spacing w:before="0" w:beforeAutospacing="0" w:after="0" w:afterAutospacing="0" w:line="380" w:lineRule="exact"/>
              <w:ind w:left="420" w:leftChars="200"/>
              <w:jc w:val="both"/>
              <w:textAlignment w:val="auto"/>
              <w:rPr>
                <w:rFonts w:hint="eastAsia" w:ascii="Times New Roman"/>
                <w:bCs/>
                <w:spacing w:val="4"/>
                <w:kern w:val="2"/>
                <w:szCs w:val="24"/>
              </w:rPr>
            </w:pPr>
            <w:r>
              <w:rPr>
                <w:rFonts w:ascii="Times New Roman"/>
                <w:spacing w:val="4"/>
                <w:kern w:val="2"/>
                <w:szCs w:val="24"/>
              </w:rPr>
              <w:t>后期维护</w:t>
            </w:r>
            <w:r>
              <w:rPr>
                <w:rFonts w:ascii="Times New Roman"/>
                <w:bCs/>
                <w:spacing w:val="4"/>
                <w:kern w:val="2"/>
                <w:szCs w:val="24"/>
              </w:rPr>
              <w:t>：定期检查排水系统和路基稳定性，及时维护。</w:t>
            </w:r>
          </w:p>
          <w:p w14:paraId="1A3AB2F3">
            <w:pPr>
              <w:pStyle w:val="20"/>
              <w:pageBreakBefore w:val="0"/>
              <w:kinsoku/>
              <w:wordWrap/>
              <w:overflowPunct/>
              <w:topLinePunct w:val="0"/>
              <w:autoSpaceDE/>
              <w:autoSpaceDN/>
              <w:bidi w:val="0"/>
              <w:adjustRightInd w:val="0"/>
              <w:snapToGrid/>
              <w:spacing w:before="0" w:beforeAutospacing="0" w:after="0" w:afterAutospacing="0" w:line="380" w:lineRule="exact"/>
              <w:ind w:left="420"/>
              <w:jc w:val="both"/>
              <w:textAlignment w:val="auto"/>
              <w:rPr>
                <w:rFonts w:hint="eastAsia" w:ascii="Times New Roman"/>
                <w:b/>
                <w:spacing w:val="4"/>
                <w:kern w:val="2"/>
                <w:szCs w:val="24"/>
              </w:rPr>
            </w:pPr>
            <w:r>
              <w:rPr>
                <w:rFonts w:hint="eastAsia" w:ascii="Times New Roman"/>
                <w:b/>
                <w:spacing w:val="4"/>
                <w:kern w:val="2"/>
                <w:szCs w:val="24"/>
              </w:rPr>
              <w:t>(3) 跨河桥梁段</w:t>
            </w:r>
          </w:p>
          <w:p w14:paraId="58EFD11E">
            <w:pPr>
              <w:pStyle w:val="64"/>
              <w:pageBreakBefore w:val="0"/>
              <w:numPr>
                <w:ilvl w:val="0"/>
                <w:numId w:val="2"/>
              </w:numPr>
              <w:kinsoku/>
              <w:wordWrap/>
              <w:overflowPunct/>
              <w:topLinePunct w:val="0"/>
              <w:autoSpaceDE/>
              <w:autoSpaceDN/>
              <w:bidi w:val="0"/>
              <w:adjustRightInd w:val="0"/>
              <w:snapToGrid/>
              <w:spacing w:line="380" w:lineRule="exact"/>
              <w:ind w:firstLineChars="0"/>
              <w:textAlignment w:val="auto"/>
              <w:rPr>
                <w:kern w:val="0"/>
                <w:sz w:val="24"/>
              </w:rPr>
            </w:pPr>
            <w:r>
              <w:rPr>
                <w:bCs/>
                <w:kern w:val="0"/>
                <w:sz w:val="24"/>
              </w:rPr>
              <w:t>施工准备</w:t>
            </w:r>
          </w:p>
          <w:p w14:paraId="03366420">
            <w:pPr>
              <w:pStyle w:val="20"/>
              <w:pageBreakBefore w:val="0"/>
              <w:numPr>
                <w:ilvl w:val="2"/>
                <w:numId w:val="7"/>
              </w:numPr>
              <w:kinsoku/>
              <w:wordWrap/>
              <w:overflowPunct/>
              <w:topLinePunct w:val="0"/>
              <w:autoSpaceDE/>
              <w:autoSpaceDN/>
              <w:bidi w:val="0"/>
              <w:adjustRightInd w:val="0"/>
              <w:snapToGrid/>
              <w:spacing w:before="0" w:beforeAutospacing="0" w:after="0" w:afterAutospacing="0" w:line="380" w:lineRule="exact"/>
              <w:ind w:left="420" w:leftChars="200"/>
              <w:jc w:val="both"/>
              <w:textAlignment w:val="auto"/>
              <w:rPr>
                <w:rFonts w:hint="eastAsia" w:ascii="Times New Roman"/>
                <w:spacing w:val="4"/>
                <w:kern w:val="2"/>
                <w:szCs w:val="24"/>
              </w:rPr>
            </w:pPr>
            <w:r>
              <w:rPr>
                <w:rFonts w:ascii="Times New Roman"/>
                <w:spacing w:val="4"/>
                <w:kern w:val="2"/>
                <w:szCs w:val="24"/>
              </w:rPr>
              <w:t>水文勘察：了解水深、流速、河床地质等情况，为施工方案设计提供依据。</w:t>
            </w:r>
          </w:p>
          <w:p w14:paraId="58ABD0ED">
            <w:pPr>
              <w:pStyle w:val="20"/>
              <w:pageBreakBefore w:val="0"/>
              <w:numPr>
                <w:ilvl w:val="2"/>
                <w:numId w:val="7"/>
              </w:numPr>
              <w:kinsoku/>
              <w:wordWrap/>
              <w:overflowPunct/>
              <w:topLinePunct w:val="0"/>
              <w:autoSpaceDE/>
              <w:autoSpaceDN/>
              <w:bidi w:val="0"/>
              <w:adjustRightInd w:val="0"/>
              <w:snapToGrid/>
              <w:spacing w:before="0" w:beforeAutospacing="0" w:after="0" w:afterAutospacing="0" w:line="380" w:lineRule="exact"/>
              <w:ind w:left="420" w:leftChars="200"/>
              <w:jc w:val="both"/>
              <w:textAlignment w:val="auto"/>
              <w:rPr>
                <w:rFonts w:hint="eastAsia" w:ascii="Times New Roman"/>
                <w:spacing w:val="4"/>
                <w:kern w:val="2"/>
                <w:szCs w:val="24"/>
              </w:rPr>
            </w:pPr>
            <w:r>
              <w:rPr>
                <w:rFonts w:hint="eastAsia" w:ascii="Times New Roman"/>
                <w:spacing w:val="4"/>
                <w:kern w:val="2"/>
                <w:szCs w:val="24"/>
              </w:rPr>
              <w:t>物资</w:t>
            </w:r>
            <w:r>
              <w:rPr>
                <w:rFonts w:ascii="Times New Roman"/>
                <w:spacing w:val="4"/>
                <w:kern w:val="2"/>
                <w:szCs w:val="24"/>
              </w:rPr>
              <w:t>及人员准备：准备施工设备、材料和人员。</w:t>
            </w:r>
          </w:p>
          <w:p w14:paraId="527B01DF">
            <w:pPr>
              <w:pStyle w:val="64"/>
              <w:pageBreakBefore w:val="0"/>
              <w:numPr>
                <w:ilvl w:val="0"/>
                <w:numId w:val="2"/>
              </w:numPr>
              <w:kinsoku/>
              <w:wordWrap/>
              <w:overflowPunct/>
              <w:topLinePunct w:val="0"/>
              <w:autoSpaceDE/>
              <w:autoSpaceDN/>
              <w:bidi w:val="0"/>
              <w:adjustRightInd w:val="0"/>
              <w:snapToGrid/>
              <w:spacing w:line="380" w:lineRule="exact"/>
              <w:ind w:firstLineChars="0"/>
              <w:textAlignment w:val="auto"/>
              <w:rPr>
                <w:bCs/>
                <w:kern w:val="0"/>
                <w:sz w:val="24"/>
              </w:rPr>
            </w:pPr>
            <w:r>
              <w:rPr>
                <w:kern w:val="0"/>
                <w:sz w:val="24"/>
              </w:rPr>
              <w:t>桥墩基础施工</w:t>
            </w:r>
          </w:p>
          <w:p w14:paraId="54039676">
            <w:pPr>
              <w:pStyle w:val="20"/>
              <w:pageBreakBefore w:val="0"/>
              <w:numPr>
                <w:ilvl w:val="2"/>
                <w:numId w:val="7"/>
              </w:numPr>
              <w:kinsoku/>
              <w:wordWrap/>
              <w:overflowPunct/>
              <w:topLinePunct w:val="0"/>
              <w:autoSpaceDE/>
              <w:autoSpaceDN/>
              <w:bidi w:val="0"/>
              <w:adjustRightInd w:val="0"/>
              <w:snapToGrid/>
              <w:spacing w:before="0" w:beforeAutospacing="0" w:after="0" w:afterAutospacing="0" w:line="380" w:lineRule="exact"/>
              <w:ind w:left="420" w:leftChars="200"/>
              <w:jc w:val="both"/>
              <w:textAlignment w:val="auto"/>
              <w:rPr>
                <w:rFonts w:hint="eastAsia" w:ascii="Times New Roman"/>
                <w:spacing w:val="4"/>
                <w:kern w:val="2"/>
                <w:szCs w:val="24"/>
              </w:rPr>
            </w:pPr>
            <w:r>
              <w:rPr>
                <w:rFonts w:ascii="Times New Roman"/>
                <w:bCs/>
                <w:spacing w:val="4"/>
                <w:kern w:val="2"/>
                <w:szCs w:val="24"/>
              </w:rPr>
              <w:t>钻孔灌注桩施工</w:t>
            </w:r>
          </w:p>
          <w:p w14:paraId="28B00D87">
            <w:pPr>
              <w:pStyle w:val="20"/>
              <w:pageBreakBefore w:val="0"/>
              <w:kinsoku/>
              <w:wordWrap/>
              <w:overflowPunct/>
              <w:topLinePunct w:val="0"/>
              <w:autoSpaceDE/>
              <w:autoSpaceDN/>
              <w:bidi w:val="0"/>
              <w:adjustRightInd w:val="0"/>
              <w:snapToGrid/>
              <w:spacing w:before="0" w:beforeAutospacing="0" w:after="0" w:afterAutospacing="0" w:line="380" w:lineRule="exact"/>
              <w:ind w:firstLine="480" w:firstLineChars="200"/>
              <w:jc w:val="both"/>
              <w:textAlignment w:val="auto"/>
              <w:rPr>
                <w:rFonts w:ascii="Segoe UI" w:hAnsi="Segoe UI" w:cs="Segoe UI"/>
                <w:szCs w:val="24"/>
              </w:rPr>
            </w:pPr>
            <w:r>
              <w:rPr>
                <w:rFonts w:hint="eastAsia" w:cs="Segoe UI"/>
                <w:szCs w:val="24"/>
              </w:rPr>
              <w:t xml:space="preserve">① </w:t>
            </w:r>
            <w:r>
              <w:rPr>
                <w:rFonts w:ascii="Segoe UI" w:hAnsi="Segoe UI" w:cs="Segoe UI"/>
                <w:szCs w:val="24"/>
              </w:rPr>
              <w:t>使用钻孔设备在水底钻孔。</w:t>
            </w:r>
          </w:p>
          <w:p w14:paraId="0503B3A9">
            <w:pPr>
              <w:pStyle w:val="20"/>
              <w:pageBreakBefore w:val="0"/>
              <w:kinsoku/>
              <w:wordWrap/>
              <w:overflowPunct/>
              <w:topLinePunct w:val="0"/>
              <w:autoSpaceDE/>
              <w:autoSpaceDN/>
              <w:bidi w:val="0"/>
              <w:adjustRightInd w:val="0"/>
              <w:snapToGrid/>
              <w:spacing w:before="0" w:beforeAutospacing="0" w:after="0" w:afterAutospacing="0" w:line="380" w:lineRule="exact"/>
              <w:ind w:firstLine="480" w:firstLineChars="200"/>
              <w:jc w:val="both"/>
              <w:textAlignment w:val="auto"/>
              <w:rPr>
                <w:rFonts w:hint="eastAsia" w:cs="Segoe UI"/>
                <w:szCs w:val="24"/>
              </w:rPr>
            </w:pPr>
            <w:r>
              <w:rPr>
                <w:rFonts w:hint="eastAsia" w:cs="Segoe UI"/>
                <w:szCs w:val="24"/>
              </w:rPr>
              <w:t xml:space="preserve">② </w:t>
            </w:r>
            <w:r>
              <w:rPr>
                <w:rFonts w:cs="Segoe UI"/>
                <w:szCs w:val="24"/>
              </w:rPr>
              <w:t>安装钢筋笼，灌注混凝土形成桩基。</w:t>
            </w:r>
          </w:p>
          <w:p w14:paraId="7A101609">
            <w:pPr>
              <w:pStyle w:val="20"/>
              <w:pageBreakBefore w:val="0"/>
              <w:numPr>
                <w:ilvl w:val="2"/>
                <w:numId w:val="7"/>
              </w:numPr>
              <w:kinsoku/>
              <w:wordWrap/>
              <w:overflowPunct/>
              <w:topLinePunct w:val="0"/>
              <w:autoSpaceDE/>
              <w:autoSpaceDN/>
              <w:bidi w:val="0"/>
              <w:adjustRightInd w:val="0"/>
              <w:snapToGrid/>
              <w:spacing w:before="0" w:beforeAutospacing="0" w:after="0" w:afterAutospacing="0" w:line="380" w:lineRule="exact"/>
              <w:ind w:left="420" w:leftChars="200"/>
              <w:jc w:val="both"/>
              <w:textAlignment w:val="auto"/>
              <w:rPr>
                <w:rFonts w:hint="eastAsia" w:ascii="Times New Roman"/>
                <w:bCs/>
                <w:spacing w:val="4"/>
                <w:kern w:val="2"/>
                <w:szCs w:val="24"/>
              </w:rPr>
            </w:pPr>
            <w:r>
              <w:rPr>
                <w:rFonts w:ascii="Times New Roman"/>
                <w:spacing w:val="4"/>
                <w:kern w:val="2"/>
                <w:szCs w:val="24"/>
              </w:rPr>
              <w:t>沉井基础施工</w:t>
            </w:r>
          </w:p>
          <w:p w14:paraId="562A4796">
            <w:pPr>
              <w:pStyle w:val="20"/>
              <w:pageBreakBefore w:val="0"/>
              <w:kinsoku/>
              <w:wordWrap/>
              <w:overflowPunct/>
              <w:topLinePunct w:val="0"/>
              <w:autoSpaceDE/>
              <w:autoSpaceDN/>
              <w:bidi w:val="0"/>
              <w:adjustRightInd w:val="0"/>
              <w:snapToGrid/>
              <w:spacing w:before="0" w:beforeAutospacing="0" w:after="0" w:afterAutospacing="0" w:line="380" w:lineRule="exact"/>
              <w:ind w:firstLine="480" w:firstLineChars="200"/>
              <w:jc w:val="both"/>
              <w:textAlignment w:val="auto"/>
              <w:rPr>
                <w:rFonts w:ascii="Segoe UI" w:hAnsi="Segoe UI" w:cs="Segoe UI"/>
                <w:szCs w:val="24"/>
              </w:rPr>
            </w:pPr>
            <w:r>
              <w:rPr>
                <w:rFonts w:hint="eastAsia" w:cs="Segoe UI"/>
                <w:szCs w:val="24"/>
              </w:rPr>
              <w:t xml:space="preserve">① </w:t>
            </w:r>
            <w:r>
              <w:rPr>
                <w:rFonts w:ascii="Segoe UI" w:hAnsi="Segoe UI" w:cs="Segoe UI"/>
                <w:szCs w:val="24"/>
              </w:rPr>
              <w:t>在岸上预制沉井，沉放到水底。</w:t>
            </w:r>
          </w:p>
          <w:p w14:paraId="2F092A1F">
            <w:pPr>
              <w:pStyle w:val="20"/>
              <w:pageBreakBefore w:val="0"/>
              <w:kinsoku/>
              <w:wordWrap/>
              <w:overflowPunct/>
              <w:topLinePunct w:val="0"/>
              <w:autoSpaceDE/>
              <w:autoSpaceDN/>
              <w:bidi w:val="0"/>
              <w:adjustRightInd w:val="0"/>
              <w:snapToGrid/>
              <w:spacing w:before="0" w:beforeAutospacing="0" w:after="0" w:afterAutospacing="0" w:line="380" w:lineRule="exact"/>
              <w:ind w:firstLine="480" w:firstLineChars="200"/>
              <w:jc w:val="both"/>
              <w:textAlignment w:val="auto"/>
              <w:rPr>
                <w:rFonts w:ascii="Segoe UI" w:hAnsi="Segoe UI" w:cs="Segoe UI"/>
                <w:szCs w:val="24"/>
              </w:rPr>
            </w:pPr>
            <w:r>
              <w:rPr>
                <w:rFonts w:hint="eastAsia" w:cs="Segoe UI"/>
                <w:szCs w:val="24"/>
              </w:rPr>
              <w:t xml:space="preserve">② </w:t>
            </w:r>
            <w:r>
              <w:rPr>
                <w:rFonts w:ascii="Segoe UI" w:hAnsi="Segoe UI" w:cs="Segoe UI"/>
                <w:szCs w:val="24"/>
              </w:rPr>
              <w:t>进行沉井内挖土和混凝土浇筑。</w:t>
            </w:r>
          </w:p>
          <w:p w14:paraId="0DA1BEEE">
            <w:pPr>
              <w:pStyle w:val="20"/>
              <w:pageBreakBefore w:val="0"/>
              <w:numPr>
                <w:ilvl w:val="2"/>
                <w:numId w:val="7"/>
              </w:numPr>
              <w:kinsoku/>
              <w:wordWrap/>
              <w:overflowPunct/>
              <w:topLinePunct w:val="0"/>
              <w:autoSpaceDE/>
              <w:autoSpaceDN/>
              <w:bidi w:val="0"/>
              <w:adjustRightInd w:val="0"/>
              <w:snapToGrid/>
              <w:spacing w:before="0" w:beforeAutospacing="0" w:after="0" w:afterAutospacing="0" w:line="380" w:lineRule="exact"/>
              <w:ind w:left="420" w:leftChars="200"/>
              <w:jc w:val="both"/>
              <w:textAlignment w:val="auto"/>
              <w:rPr>
                <w:rFonts w:hint="eastAsia" w:ascii="Times New Roman"/>
                <w:spacing w:val="4"/>
                <w:kern w:val="2"/>
                <w:szCs w:val="24"/>
              </w:rPr>
            </w:pPr>
            <w:r>
              <w:rPr>
                <w:rFonts w:ascii="Times New Roman"/>
                <w:bCs/>
                <w:spacing w:val="4"/>
                <w:kern w:val="2"/>
                <w:szCs w:val="24"/>
              </w:rPr>
              <w:t>钢管桩基础施工</w:t>
            </w:r>
          </w:p>
          <w:p w14:paraId="112677DF">
            <w:pPr>
              <w:pStyle w:val="20"/>
              <w:pageBreakBefore w:val="0"/>
              <w:kinsoku/>
              <w:wordWrap/>
              <w:overflowPunct/>
              <w:topLinePunct w:val="0"/>
              <w:autoSpaceDE/>
              <w:autoSpaceDN/>
              <w:bidi w:val="0"/>
              <w:adjustRightInd w:val="0"/>
              <w:snapToGrid/>
              <w:spacing w:before="0" w:beforeAutospacing="0" w:after="0" w:afterAutospacing="0" w:line="380" w:lineRule="exact"/>
              <w:ind w:firstLine="480" w:firstLineChars="200"/>
              <w:jc w:val="both"/>
              <w:textAlignment w:val="auto"/>
              <w:rPr>
                <w:rFonts w:ascii="Segoe UI" w:hAnsi="Segoe UI" w:cs="Segoe UI"/>
                <w:szCs w:val="24"/>
              </w:rPr>
            </w:pPr>
            <w:r>
              <w:rPr>
                <w:rFonts w:hint="eastAsia" w:cs="Segoe UI"/>
                <w:szCs w:val="24"/>
              </w:rPr>
              <w:t xml:space="preserve">① </w:t>
            </w:r>
            <w:r>
              <w:rPr>
                <w:rFonts w:ascii="Segoe UI" w:hAnsi="Segoe UI" w:cs="Segoe UI"/>
                <w:szCs w:val="24"/>
              </w:rPr>
              <w:t>使用打桩机将钢管桩打入水底。</w:t>
            </w:r>
          </w:p>
          <w:p w14:paraId="0BD15D76">
            <w:pPr>
              <w:pStyle w:val="20"/>
              <w:pageBreakBefore w:val="0"/>
              <w:kinsoku/>
              <w:wordWrap/>
              <w:overflowPunct/>
              <w:topLinePunct w:val="0"/>
              <w:autoSpaceDE/>
              <w:autoSpaceDN/>
              <w:bidi w:val="0"/>
              <w:adjustRightInd w:val="0"/>
              <w:snapToGrid/>
              <w:spacing w:before="0" w:beforeAutospacing="0" w:after="0" w:afterAutospacing="0" w:line="380" w:lineRule="exact"/>
              <w:ind w:firstLine="480" w:firstLineChars="200"/>
              <w:jc w:val="both"/>
              <w:textAlignment w:val="auto"/>
              <w:rPr>
                <w:rFonts w:ascii="Segoe UI" w:hAnsi="Segoe UI" w:cs="Segoe UI"/>
                <w:szCs w:val="24"/>
              </w:rPr>
            </w:pPr>
            <w:r>
              <w:rPr>
                <w:rFonts w:hint="eastAsia" w:cs="Segoe UI"/>
                <w:szCs w:val="24"/>
              </w:rPr>
              <w:t xml:space="preserve">② </w:t>
            </w:r>
            <w:r>
              <w:rPr>
                <w:rFonts w:ascii="Segoe UI" w:hAnsi="Segoe UI" w:cs="Segoe UI"/>
                <w:szCs w:val="24"/>
              </w:rPr>
              <w:t>在钢管桩内灌注混凝土。</w:t>
            </w:r>
          </w:p>
          <w:p w14:paraId="79FB3B39">
            <w:pPr>
              <w:pStyle w:val="64"/>
              <w:pageBreakBefore w:val="0"/>
              <w:numPr>
                <w:ilvl w:val="0"/>
                <w:numId w:val="2"/>
              </w:numPr>
              <w:kinsoku/>
              <w:wordWrap/>
              <w:overflowPunct/>
              <w:topLinePunct w:val="0"/>
              <w:autoSpaceDE/>
              <w:autoSpaceDN/>
              <w:bidi w:val="0"/>
              <w:adjustRightInd w:val="0"/>
              <w:snapToGrid/>
              <w:spacing w:line="380" w:lineRule="exact"/>
              <w:ind w:firstLineChars="0"/>
              <w:textAlignment w:val="auto"/>
              <w:rPr>
                <w:kern w:val="0"/>
                <w:sz w:val="24"/>
              </w:rPr>
            </w:pPr>
            <w:r>
              <w:rPr>
                <w:rFonts w:hint="eastAsia"/>
                <w:kern w:val="0"/>
                <w:sz w:val="24"/>
              </w:rPr>
              <w:t>桥墩施工</w:t>
            </w:r>
          </w:p>
          <w:p w14:paraId="361C0539">
            <w:pPr>
              <w:pStyle w:val="20"/>
              <w:pageBreakBefore w:val="0"/>
              <w:numPr>
                <w:ilvl w:val="2"/>
                <w:numId w:val="7"/>
              </w:numPr>
              <w:kinsoku/>
              <w:wordWrap/>
              <w:overflowPunct/>
              <w:topLinePunct w:val="0"/>
              <w:autoSpaceDE/>
              <w:autoSpaceDN/>
              <w:bidi w:val="0"/>
              <w:adjustRightInd w:val="0"/>
              <w:snapToGrid/>
              <w:spacing w:before="0" w:beforeAutospacing="0" w:after="0" w:afterAutospacing="0" w:line="380" w:lineRule="exact"/>
              <w:ind w:left="420" w:leftChars="200"/>
              <w:jc w:val="both"/>
              <w:textAlignment w:val="auto"/>
              <w:rPr>
                <w:rFonts w:hint="eastAsia" w:ascii="Times New Roman"/>
                <w:spacing w:val="4"/>
                <w:kern w:val="2"/>
                <w:szCs w:val="24"/>
              </w:rPr>
            </w:pPr>
            <w:r>
              <w:rPr>
                <w:rFonts w:ascii="Times New Roman"/>
                <w:bCs/>
                <w:spacing w:val="4"/>
                <w:kern w:val="2"/>
                <w:szCs w:val="24"/>
              </w:rPr>
              <w:t>模板安装</w:t>
            </w:r>
            <w:r>
              <w:rPr>
                <w:rFonts w:ascii="Times New Roman"/>
                <w:spacing w:val="4"/>
                <w:kern w:val="2"/>
                <w:szCs w:val="24"/>
              </w:rPr>
              <w:t>：在桥墩基础上安装模板。</w:t>
            </w:r>
          </w:p>
          <w:p w14:paraId="6C013DF0">
            <w:pPr>
              <w:pStyle w:val="20"/>
              <w:pageBreakBefore w:val="0"/>
              <w:numPr>
                <w:ilvl w:val="2"/>
                <w:numId w:val="7"/>
              </w:numPr>
              <w:kinsoku/>
              <w:wordWrap/>
              <w:overflowPunct/>
              <w:topLinePunct w:val="0"/>
              <w:autoSpaceDE/>
              <w:autoSpaceDN/>
              <w:bidi w:val="0"/>
              <w:adjustRightInd w:val="0"/>
              <w:snapToGrid/>
              <w:spacing w:before="0" w:beforeAutospacing="0" w:after="0" w:afterAutospacing="0" w:line="380" w:lineRule="exact"/>
              <w:ind w:left="420" w:leftChars="200"/>
              <w:jc w:val="both"/>
              <w:textAlignment w:val="auto"/>
              <w:rPr>
                <w:rFonts w:hint="eastAsia" w:ascii="Times New Roman"/>
                <w:spacing w:val="4"/>
                <w:kern w:val="2"/>
                <w:szCs w:val="24"/>
              </w:rPr>
            </w:pPr>
            <w:r>
              <w:rPr>
                <w:rFonts w:ascii="Times New Roman"/>
                <w:bCs/>
                <w:spacing w:val="4"/>
                <w:kern w:val="2"/>
                <w:szCs w:val="24"/>
              </w:rPr>
              <w:t>钢筋绑扎</w:t>
            </w:r>
            <w:r>
              <w:rPr>
                <w:rFonts w:ascii="Times New Roman"/>
                <w:spacing w:val="4"/>
                <w:kern w:val="2"/>
                <w:szCs w:val="24"/>
              </w:rPr>
              <w:t>：按照设计要求绑扎桥墩钢筋。</w:t>
            </w:r>
          </w:p>
          <w:p w14:paraId="06B1FF0D">
            <w:pPr>
              <w:pStyle w:val="20"/>
              <w:pageBreakBefore w:val="0"/>
              <w:numPr>
                <w:ilvl w:val="2"/>
                <w:numId w:val="7"/>
              </w:numPr>
              <w:kinsoku/>
              <w:wordWrap/>
              <w:overflowPunct/>
              <w:topLinePunct w:val="0"/>
              <w:autoSpaceDE/>
              <w:autoSpaceDN/>
              <w:bidi w:val="0"/>
              <w:adjustRightInd w:val="0"/>
              <w:snapToGrid/>
              <w:spacing w:before="0" w:beforeAutospacing="0" w:after="0" w:afterAutospacing="0" w:line="380" w:lineRule="exact"/>
              <w:ind w:left="420" w:leftChars="200"/>
              <w:jc w:val="both"/>
              <w:textAlignment w:val="auto"/>
              <w:rPr>
                <w:rFonts w:hint="eastAsia" w:ascii="Times New Roman"/>
                <w:spacing w:val="4"/>
                <w:kern w:val="2"/>
                <w:szCs w:val="24"/>
              </w:rPr>
            </w:pPr>
            <w:r>
              <w:rPr>
                <w:rFonts w:ascii="Times New Roman"/>
                <w:bCs/>
                <w:spacing w:val="4"/>
                <w:kern w:val="2"/>
                <w:szCs w:val="24"/>
              </w:rPr>
              <w:t>混凝土浇筑</w:t>
            </w:r>
            <w:r>
              <w:rPr>
                <w:rFonts w:ascii="Times New Roman"/>
                <w:spacing w:val="4"/>
                <w:kern w:val="2"/>
                <w:szCs w:val="24"/>
              </w:rPr>
              <w:t>：分段浇筑桥墩混凝土，确保振捣密实。</w:t>
            </w:r>
          </w:p>
          <w:p w14:paraId="759247B2">
            <w:pPr>
              <w:pStyle w:val="20"/>
              <w:pageBreakBefore w:val="0"/>
              <w:numPr>
                <w:ilvl w:val="2"/>
                <w:numId w:val="7"/>
              </w:numPr>
              <w:kinsoku/>
              <w:wordWrap/>
              <w:overflowPunct/>
              <w:topLinePunct w:val="0"/>
              <w:autoSpaceDE/>
              <w:autoSpaceDN/>
              <w:bidi w:val="0"/>
              <w:adjustRightInd w:val="0"/>
              <w:snapToGrid/>
              <w:spacing w:before="0" w:beforeAutospacing="0" w:after="0" w:afterAutospacing="0" w:line="380" w:lineRule="exact"/>
              <w:ind w:left="420" w:leftChars="200"/>
              <w:jc w:val="both"/>
              <w:textAlignment w:val="auto"/>
              <w:rPr>
                <w:rFonts w:hint="eastAsia" w:ascii="Times New Roman"/>
                <w:spacing w:val="4"/>
                <w:kern w:val="2"/>
                <w:szCs w:val="24"/>
              </w:rPr>
            </w:pPr>
            <w:r>
              <w:rPr>
                <w:rFonts w:ascii="Times New Roman"/>
                <w:bCs/>
                <w:spacing w:val="4"/>
                <w:kern w:val="2"/>
                <w:szCs w:val="24"/>
              </w:rPr>
              <w:t>养护</w:t>
            </w:r>
            <w:r>
              <w:rPr>
                <w:rFonts w:ascii="Times New Roman"/>
                <w:spacing w:val="4"/>
                <w:kern w:val="2"/>
                <w:szCs w:val="24"/>
              </w:rPr>
              <w:t>：对桥墩混凝土进行养护，确保强度达到设计要求。</w:t>
            </w:r>
          </w:p>
          <w:p w14:paraId="07D57DCA">
            <w:pPr>
              <w:pStyle w:val="64"/>
              <w:pageBreakBefore w:val="0"/>
              <w:numPr>
                <w:ilvl w:val="0"/>
                <w:numId w:val="2"/>
              </w:numPr>
              <w:kinsoku/>
              <w:wordWrap/>
              <w:overflowPunct/>
              <w:topLinePunct w:val="0"/>
              <w:autoSpaceDE/>
              <w:autoSpaceDN/>
              <w:bidi w:val="0"/>
              <w:adjustRightInd w:val="0"/>
              <w:snapToGrid/>
              <w:spacing w:line="380" w:lineRule="exact"/>
              <w:ind w:firstLineChars="0"/>
              <w:textAlignment w:val="auto"/>
              <w:rPr>
                <w:kern w:val="0"/>
                <w:sz w:val="24"/>
              </w:rPr>
            </w:pPr>
            <w:r>
              <w:rPr>
                <w:kern w:val="0"/>
                <w:sz w:val="24"/>
              </w:rPr>
              <w:t>桥面施工</w:t>
            </w:r>
          </w:p>
          <w:p w14:paraId="24476741">
            <w:pPr>
              <w:pStyle w:val="20"/>
              <w:pageBreakBefore w:val="0"/>
              <w:numPr>
                <w:ilvl w:val="2"/>
                <w:numId w:val="7"/>
              </w:numPr>
              <w:kinsoku/>
              <w:wordWrap/>
              <w:overflowPunct/>
              <w:topLinePunct w:val="0"/>
              <w:autoSpaceDE/>
              <w:autoSpaceDN/>
              <w:bidi w:val="0"/>
              <w:adjustRightInd w:val="0"/>
              <w:snapToGrid/>
              <w:spacing w:before="0" w:beforeAutospacing="0" w:after="0" w:afterAutospacing="0" w:line="380" w:lineRule="exact"/>
              <w:ind w:left="420" w:leftChars="200"/>
              <w:jc w:val="both"/>
              <w:textAlignment w:val="auto"/>
              <w:rPr>
                <w:rFonts w:hint="eastAsia" w:ascii="Times New Roman"/>
                <w:bCs/>
                <w:spacing w:val="4"/>
                <w:kern w:val="2"/>
                <w:szCs w:val="24"/>
              </w:rPr>
            </w:pPr>
            <w:r>
              <w:rPr>
                <w:rFonts w:ascii="Times New Roman"/>
                <w:bCs/>
                <w:spacing w:val="4"/>
                <w:kern w:val="2"/>
                <w:szCs w:val="24"/>
              </w:rPr>
              <w:t>预制桥梁段吊装</w:t>
            </w:r>
          </w:p>
          <w:p w14:paraId="6250FD48">
            <w:pPr>
              <w:pageBreakBefore w:val="0"/>
              <w:widowControl/>
              <w:kinsoku/>
              <w:wordWrap/>
              <w:overflowPunct/>
              <w:topLinePunct w:val="0"/>
              <w:autoSpaceDE/>
              <w:autoSpaceDN/>
              <w:bidi w:val="0"/>
              <w:adjustRightInd w:val="0"/>
              <w:snapToGrid/>
              <w:spacing w:line="380" w:lineRule="exact"/>
              <w:ind w:firstLine="480" w:firstLineChars="200"/>
              <w:textAlignment w:val="auto"/>
              <w:rPr>
                <w:rFonts w:ascii="Segoe UI" w:hAnsi="Segoe UI" w:cs="Segoe UI"/>
                <w:kern w:val="0"/>
                <w:sz w:val="24"/>
              </w:rPr>
            </w:pPr>
            <w:r>
              <w:rPr>
                <w:rFonts w:hint="eastAsia" w:ascii="宋体" w:hAnsi="宋体" w:cs="Segoe UI"/>
                <w:kern w:val="0"/>
                <w:sz w:val="24"/>
              </w:rPr>
              <w:t xml:space="preserve">① </w:t>
            </w:r>
            <w:r>
              <w:rPr>
                <w:rFonts w:ascii="Segoe UI" w:hAnsi="Segoe UI" w:cs="Segoe UI"/>
                <w:kern w:val="0"/>
                <w:sz w:val="24"/>
              </w:rPr>
              <w:t>在岸上预制桥梁段。</w:t>
            </w:r>
          </w:p>
          <w:p w14:paraId="581196BC">
            <w:pPr>
              <w:pageBreakBefore w:val="0"/>
              <w:widowControl/>
              <w:kinsoku/>
              <w:wordWrap/>
              <w:overflowPunct/>
              <w:topLinePunct w:val="0"/>
              <w:autoSpaceDE/>
              <w:autoSpaceDN/>
              <w:bidi w:val="0"/>
              <w:adjustRightInd w:val="0"/>
              <w:snapToGrid/>
              <w:spacing w:line="380" w:lineRule="exact"/>
              <w:ind w:firstLine="480" w:firstLineChars="200"/>
              <w:textAlignment w:val="auto"/>
              <w:rPr>
                <w:rFonts w:ascii="Segoe UI" w:hAnsi="Segoe UI" w:cs="Segoe UI"/>
                <w:kern w:val="0"/>
                <w:sz w:val="24"/>
              </w:rPr>
            </w:pPr>
            <w:r>
              <w:rPr>
                <w:rFonts w:hint="eastAsia" w:ascii="宋体" w:hAnsi="宋体" w:cs="Segoe UI"/>
                <w:kern w:val="0"/>
                <w:sz w:val="24"/>
              </w:rPr>
              <w:t xml:space="preserve">② </w:t>
            </w:r>
            <w:r>
              <w:rPr>
                <w:rFonts w:ascii="Segoe UI" w:hAnsi="Segoe UI" w:cs="Segoe UI"/>
                <w:kern w:val="0"/>
                <w:sz w:val="24"/>
              </w:rPr>
              <w:t>使用浮吊或大型吊装设备将桥梁段安装到桥墩上。</w:t>
            </w:r>
          </w:p>
          <w:p w14:paraId="35D0937F">
            <w:pPr>
              <w:pStyle w:val="20"/>
              <w:pageBreakBefore w:val="0"/>
              <w:numPr>
                <w:ilvl w:val="2"/>
                <w:numId w:val="7"/>
              </w:numPr>
              <w:kinsoku/>
              <w:wordWrap/>
              <w:overflowPunct/>
              <w:topLinePunct w:val="0"/>
              <w:autoSpaceDE/>
              <w:autoSpaceDN/>
              <w:bidi w:val="0"/>
              <w:adjustRightInd w:val="0"/>
              <w:snapToGrid/>
              <w:spacing w:before="0" w:beforeAutospacing="0" w:after="0" w:afterAutospacing="0" w:line="380" w:lineRule="exact"/>
              <w:ind w:left="420" w:leftChars="200"/>
              <w:jc w:val="both"/>
              <w:textAlignment w:val="auto"/>
              <w:rPr>
                <w:rFonts w:hint="eastAsia" w:ascii="Times New Roman"/>
                <w:bCs/>
                <w:spacing w:val="4"/>
                <w:kern w:val="2"/>
                <w:szCs w:val="24"/>
              </w:rPr>
            </w:pPr>
            <w:r>
              <w:rPr>
                <w:rFonts w:ascii="Times New Roman"/>
                <w:bCs/>
                <w:spacing w:val="4"/>
                <w:kern w:val="2"/>
                <w:szCs w:val="24"/>
              </w:rPr>
              <w:t>现浇桥面施工</w:t>
            </w:r>
          </w:p>
          <w:p w14:paraId="1DB749E1">
            <w:pPr>
              <w:pageBreakBefore w:val="0"/>
              <w:widowControl/>
              <w:kinsoku/>
              <w:wordWrap/>
              <w:overflowPunct/>
              <w:topLinePunct w:val="0"/>
              <w:autoSpaceDE/>
              <w:autoSpaceDN/>
              <w:bidi w:val="0"/>
              <w:adjustRightInd w:val="0"/>
              <w:snapToGrid/>
              <w:spacing w:line="380" w:lineRule="exact"/>
              <w:ind w:firstLine="480" w:firstLineChars="200"/>
              <w:textAlignment w:val="auto"/>
              <w:rPr>
                <w:rFonts w:ascii="Segoe UI" w:hAnsi="Segoe UI" w:cs="Segoe UI"/>
                <w:kern w:val="0"/>
                <w:sz w:val="24"/>
              </w:rPr>
            </w:pPr>
            <w:r>
              <w:rPr>
                <w:rFonts w:hint="eastAsia" w:ascii="宋体" w:hAnsi="宋体" w:cs="Segoe UI"/>
                <w:kern w:val="0"/>
                <w:sz w:val="24"/>
              </w:rPr>
              <w:t xml:space="preserve">① </w:t>
            </w:r>
            <w:r>
              <w:rPr>
                <w:rFonts w:ascii="Segoe UI" w:hAnsi="Segoe UI" w:cs="Segoe UI"/>
                <w:kern w:val="0"/>
                <w:sz w:val="24"/>
              </w:rPr>
              <w:t>在桥墩上搭设支架。</w:t>
            </w:r>
          </w:p>
          <w:p w14:paraId="1B99EEF1">
            <w:pPr>
              <w:pageBreakBefore w:val="0"/>
              <w:widowControl/>
              <w:kinsoku/>
              <w:wordWrap/>
              <w:overflowPunct/>
              <w:topLinePunct w:val="0"/>
              <w:autoSpaceDE/>
              <w:autoSpaceDN/>
              <w:bidi w:val="0"/>
              <w:adjustRightInd w:val="0"/>
              <w:snapToGrid/>
              <w:spacing w:line="380" w:lineRule="exact"/>
              <w:ind w:firstLine="480" w:firstLineChars="200"/>
              <w:textAlignment w:val="auto"/>
              <w:rPr>
                <w:rFonts w:ascii="Segoe UI" w:hAnsi="Segoe UI" w:cs="Segoe UI"/>
                <w:kern w:val="0"/>
                <w:sz w:val="24"/>
              </w:rPr>
            </w:pPr>
            <w:r>
              <w:rPr>
                <w:rFonts w:hint="eastAsia" w:ascii="宋体" w:hAnsi="宋体" w:cs="Segoe UI"/>
                <w:kern w:val="0"/>
                <w:sz w:val="24"/>
              </w:rPr>
              <w:t xml:space="preserve">② </w:t>
            </w:r>
            <w:r>
              <w:rPr>
                <w:rFonts w:ascii="Segoe UI" w:hAnsi="Segoe UI" w:cs="Segoe UI"/>
                <w:kern w:val="0"/>
                <w:sz w:val="24"/>
              </w:rPr>
              <w:t>绑扎钢筋，浇筑混凝土。</w:t>
            </w:r>
          </w:p>
          <w:p w14:paraId="7B7061D9">
            <w:pPr>
              <w:pStyle w:val="64"/>
              <w:pageBreakBefore w:val="0"/>
              <w:numPr>
                <w:ilvl w:val="0"/>
                <w:numId w:val="2"/>
              </w:numPr>
              <w:kinsoku/>
              <w:wordWrap/>
              <w:overflowPunct/>
              <w:topLinePunct w:val="0"/>
              <w:autoSpaceDE/>
              <w:autoSpaceDN/>
              <w:bidi w:val="0"/>
              <w:adjustRightInd w:val="0"/>
              <w:snapToGrid/>
              <w:spacing w:line="380" w:lineRule="exact"/>
              <w:ind w:firstLineChars="0"/>
              <w:textAlignment w:val="auto"/>
              <w:rPr>
                <w:kern w:val="0"/>
                <w:sz w:val="24"/>
              </w:rPr>
            </w:pPr>
            <w:r>
              <w:rPr>
                <w:bCs/>
                <w:kern w:val="0"/>
              </w:rPr>
              <w:t>围堰拆除</w:t>
            </w:r>
          </w:p>
          <w:p w14:paraId="2166BAEB">
            <w:pPr>
              <w:pStyle w:val="20"/>
              <w:pageBreakBefore w:val="0"/>
              <w:numPr>
                <w:ilvl w:val="2"/>
                <w:numId w:val="7"/>
              </w:numPr>
              <w:kinsoku/>
              <w:wordWrap/>
              <w:overflowPunct/>
              <w:topLinePunct w:val="0"/>
              <w:autoSpaceDE/>
              <w:autoSpaceDN/>
              <w:bidi w:val="0"/>
              <w:adjustRightInd w:val="0"/>
              <w:snapToGrid/>
              <w:spacing w:before="0" w:beforeAutospacing="0" w:after="0" w:afterAutospacing="0" w:line="380" w:lineRule="exact"/>
              <w:ind w:left="420" w:leftChars="200"/>
              <w:jc w:val="both"/>
              <w:textAlignment w:val="auto"/>
              <w:rPr>
                <w:rFonts w:hint="eastAsia" w:ascii="Times New Roman"/>
                <w:bCs/>
                <w:spacing w:val="4"/>
                <w:kern w:val="2"/>
                <w:szCs w:val="24"/>
              </w:rPr>
            </w:pPr>
            <w:r>
              <w:rPr>
                <w:rFonts w:ascii="Times New Roman"/>
                <w:bCs/>
                <w:spacing w:val="4"/>
                <w:kern w:val="2"/>
                <w:szCs w:val="24"/>
              </w:rPr>
              <w:t>桥梁施工完成后，拆除围堰，恢复水体原状。</w:t>
            </w:r>
          </w:p>
          <w:p w14:paraId="7D1D9139">
            <w:pPr>
              <w:pStyle w:val="64"/>
              <w:pageBreakBefore w:val="0"/>
              <w:numPr>
                <w:ilvl w:val="0"/>
                <w:numId w:val="2"/>
              </w:numPr>
              <w:kinsoku/>
              <w:wordWrap/>
              <w:overflowPunct/>
              <w:topLinePunct w:val="0"/>
              <w:autoSpaceDE/>
              <w:autoSpaceDN/>
              <w:bidi w:val="0"/>
              <w:adjustRightInd w:val="0"/>
              <w:snapToGrid/>
              <w:spacing w:line="380" w:lineRule="exact"/>
              <w:ind w:firstLineChars="0"/>
              <w:textAlignment w:val="auto"/>
              <w:rPr>
                <w:kern w:val="0"/>
                <w:sz w:val="24"/>
              </w:rPr>
            </w:pPr>
            <w:r>
              <w:rPr>
                <w:bCs/>
                <w:kern w:val="0"/>
                <w:sz w:val="24"/>
              </w:rPr>
              <w:t>环境保护</w:t>
            </w:r>
          </w:p>
          <w:p w14:paraId="72593F53">
            <w:pPr>
              <w:pStyle w:val="20"/>
              <w:pageBreakBefore w:val="0"/>
              <w:numPr>
                <w:ilvl w:val="2"/>
                <w:numId w:val="7"/>
              </w:numPr>
              <w:kinsoku/>
              <w:wordWrap/>
              <w:overflowPunct/>
              <w:topLinePunct w:val="0"/>
              <w:autoSpaceDE/>
              <w:autoSpaceDN/>
              <w:bidi w:val="0"/>
              <w:adjustRightInd w:val="0"/>
              <w:snapToGrid/>
              <w:spacing w:before="0" w:beforeAutospacing="0" w:after="0" w:afterAutospacing="0" w:line="380" w:lineRule="exact"/>
              <w:ind w:left="420" w:leftChars="200"/>
              <w:jc w:val="both"/>
              <w:textAlignment w:val="auto"/>
              <w:rPr>
                <w:rFonts w:hint="eastAsia" w:ascii="Times New Roman"/>
                <w:bCs/>
                <w:spacing w:val="4"/>
                <w:kern w:val="2"/>
                <w:szCs w:val="24"/>
              </w:rPr>
            </w:pPr>
            <w:r>
              <w:rPr>
                <w:rFonts w:ascii="Times New Roman"/>
                <w:bCs/>
                <w:spacing w:val="4"/>
                <w:kern w:val="2"/>
                <w:szCs w:val="24"/>
              </w:rPr>
              <w:t>施工过程中避免油污、泥浆等污染物进入水体，设置沉淀池处理施工废水</w:t>
            </w:r>
          </w:p>
          <w:p w14:paraId="64DF4AA9">
            <w:pPr>
              <w:pStyle w:val="20"/>
              <w:keepNext w:val="0"/>
              <w:keepLines w:val="0"/>
              <w:pageBreakBefore w:val="0"/>
              <w:widowControl/>
              <w:numPr>
                <w:ilvl w:val="2"/>
                <w:numId w:val="7"/>
              </w:numPr>
              <w:kinsoku/>
              <w:wordWrap/>
              <w:overflowPunct/>
              <w:topLinePunct w:val="0"/>
              <w:autoSpaceDE/>
              <w:autoSpaceDN/>
              <w:bidi w:val="0"/>
              <w:adjustRightInd w:val="0"/>
              <w:snapToGrid/>
              <w:spacing w:before="0" w:beforeAutospacing="0" w:after="157" w:afterLines="50" w:afterAutospacing="0" w:line="380" w:lineRule="exact"/>
              <w:ind w:left="840" w:leftChars="200" w:hanging="420"/>
              <w:jc w:val="both"/>
              <w:textAlignment w:val="auto"/>
              <w:rPr>
                <w:rFonts w:hint="eastAsia" w:ascii="Times New Roman"/>
                <w:bCs/>
                <w:spacing w:val="4"/>
                <w:kern w:val="2"/>
                <w:szCs w:val="24"/>
              </w:rPr>
            </w:pPr>
            <w:r>
              <w:rPr>
                <w:rFonts w:hint="eastAsia" w:ascii="Times New Roman"/>
                <w:bCs/>
                <w:spacing w:val="4"/>
                <w:kern w:val="2"/>
                <w:szCs w:val="24"/>
              </w:rPr>
              <w:t>施工</w:t>
            </w:r>
            <w:r>
              <w:rPr>
                <w:rFonts w:ascii="Times New Roman"/>
                <w:bCs/>
                <w:spacing w:val="4"/>
                <w:kern w:val="2"/>
                <w:szCs w:val="24"/>
              </w:rPr>
              <w:t>钻渣及时清运至弃渣场，不进入水体。</w:t>
            </w:r>
          </w:p>
          <w:p w14:paraId="65402ACE">
            <w:pPr>
              <w:adjustRightInd w:val="0"/>
              <w:spacing w:line="300" w:lineRule="auto"/>
              <w:rPr>
                <w:b/>
                <w:kern w:val="0"/>
                <w:sz w:val="24"/>
              </w:rPr>
            </w:pPr>
            <w:r>
              <w:rPr>
                <w:rFonts w:hint="eastAsia"/>
                <w:b/>
                <w:kern w:val="0"/>
                <w:sz w:val="24"/>
              </w:rPr>
              <w:t>2. 施工</w:t>
            </w:r>
            <w:r>
              <w:rPr>
                <w:b/>
                <w:kern w:val="0"/>
                <w:sz w:val="24"/>
              </w:rPr>
              <w:t>工艺</w:t>
            </w:r>
          </w:p>
          <w:p w14:paraId="69B712E0">
            <w:pPr>
              <w:autoSpaceDE w:val="0"/>
              <w:autoSpaceDN w:val="0"/>
              <w:adjustRightInd w:val="0"/>
              <w:spacing w:line="300" w:lineRule="auto"/>
              <w:ind w:firstLine="480" w:firstLineChars="200"/>
              <w:jc w:val="left"/>
              <w:rPr>
                <w:kern w:val="0"/>
                <w:sz w:val="24"/>
              </w:rPr>
            </w:pPr>
            <w:r>
              <w:rPr>
                <w:kern w:val="0"/>
                <w:sz w:val="24"/>
              </w:rPr>
              <w:t>拟建</w:t>
            </w:r>
            <w:r>
              <w:rPr>
                <w:rFonts w:hint="eastAsia"/>
                <w:kern w:val="0"/>
                <w:sz w:val="24"/>
              </w:rPr>
              <w:t>公路</w:t>
            </w:r>
            <w:r>
              <w:rPr>
                <w:kern w:val="0"/>
                <w:sz w:val="24"/>
              </w:rPr>
              <w:t>主要工程内容包括路基工程、桥涵工程、路面工程、公路附属设施工程（</w:t>
            </w:r>
            <w:r>
              <w:rPr>
                <w:rFonts w:hint="eastAsia"/>
                <w:kern w:val="0"/>
                <w:sz w:val="24"/>
              </w:rPr>
              <w:t>收费站</w:t>
            </w:r>
            <w:r>
              <w:rPr>
                <w:kern w:val="0"/>
                <w:sz w:val="24"/>
              </w:rPr>
              <w:t>、养护工区）等。</w:t>
            </w:r>
          </w:p>
          <w:p w14:paraId="2F5C06C0">
            <w:pPr>
              <w:pStyle w:val="58"/>
              <w:ind w:firstLine="480"/>
              <w:rPr>
                <w:szCs w:val="24"/>
              </w:rPr>
            </w:pPr>
            <w:r>
              <w:rPr>
                <w:szCs w:val="24"/>
              </w:rPr>
              <w:t xml:space="preserve"> (1) 路基工程</w:t>
            </w:r>
          </w:p>
          <w:p w14:paraId="787BB263">
            <w:pPr>
              <w:pStyle w:val="58"/>
              <w:ind w:firstLine="480"/>
            </w:pPr>
            <w:r>
              <w:rPr>
                <w:rFonts w:hint="eastAsia"/>
              </w:rPr>
              <w:t>路基工程采用机械施工为主、人工辅助配合的施工方式。对于路段内硬岩挖方地段，采用台阶式浅孔松动爆破开挖方案；爆破工艺同步兼顾边坡整体稳定性及路基填料最大粒径控制要求，确保开挖石料可直接利用作为路基填筑用料。针对挖方与填方衔接过渡路段，为避免工后不均匀沉降、路基错台进而引发路面结构破损，须严格按规范要求采取专项衔接处置措施</w:t>
            </w:r>
            <w:r>
              <w:t>。</w:t>
            </w:r>
          </w:p>
          <w:p w14:paraId="3C777A79">
            <w:pPr>
              <w:pStyle w:val="58"/>
              <w:ind w:firstLine="480"/>
              <w:rPr>
                <w:spacing w:val="-2"/>
                <w:sz w:val="24"/>
              </w:rPr>
            </w:pPr>
            <w:r>
              <w:rPr>
                <w:rFonts w:hint="eastAsia"/>
                <w:spacing w:val="-2"/>
                <w:sz w:val="24"/>
              </w:rPr>
              <w:t>挖方路段合理布设多作业面，由推土机、挖掘机开挖，装载机及自卸汽车将合格土石方调运至填方路段填筑路堤，弃方清运至弃土场，机械化条件较好地段可采用铲运机完成挖、运、填连续作业；填方路段优先就近利用挖方合格填料，以推土机推铺、人工配合找平，有条件路段采用平地机精平，严控分层厚度与平整度，分层碾压至规定密实度，强化工序管控，减小工后沉降，保障路基整体稳定</w:t>
            </w:r>
            <w:r>
              <w:rPr>
                <w:spacing w:val="-2"/>
                <w:sz w:val="24"/>
              </w:rPr>
              <w:t>。</w:t>
            </w:r>
          </w:p>
          <w:p w14:paraId="4EA24D32">
            <w:pPr>
              <w:pStyle w:val="58"/>
              <w:ind w:firstLine="480"/>
              <w:rPr>
                <w:szCs w:val="24"/>
              </w:rPr>
            </w:pPr>
            <w:r>
              <w:rPr>
                <w:rFonts w:hint="eastAsia"/>
              </w:rPr>
              <w:t>路基防护工程与路基土石方工程同步穿插施工，务必在雨季来临前完善路基排水系统，减少并避免雨水对已成型路基、路面基层造成冲刷、浸泡，防止路基及基层土体含水率升高、强度降低，诱发路基病害</w:t>
            </w:r>
            <w:r>
              <w:rPr>
                <w:szCs w:val="24"/>
              </w:rPr>
              <w:t>。</w:t>
            </w:r>
          </w:p>
          <w:p w14:paraId="43785DD1">
            <w:pPr>
              <w:pStyle w:val="58"/>
              <w:spacing w:after="120" w:afterLines="50"/>
              <w:ind w:firstLine="480"/>
              <w:rPr>
                <w:szCs w:val="24"/>
              </w:rPr>
            </w:pPr>
            <w:r>
              <w:rPr>
                <w:szCs w:val="24"/>
              </w:rPr>
              <w:t>路基工程施工工艺见图2-2。</w:t>
            </w:r>
          </w:p>
          <w:p w14:paraId="7BB3EEEB">
            <w:pPr>
              <w:pStyle w:val="58"/>
              <w:ind w:firstLine="2" w:firstLineChars="1"/>
              <w:rPr>
                <w:szCs w:val="24"/>
              </w:rPr>
            </w:pPr>
            <w:r>
              <w:drawing>
                <wp:inline distT="0" distB="0" distL="0" distR="0">
                  <wp:extent cx="5277485" cy="855980"/>
                  <wp:effectExtent l="1905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noChangeArrowheads="1"/>
                          </pic:cNvPicPr>
                        </pic:nvPicPr>
                        <pic:blipFill>
                          <a:blip r:embed="rId148" cstate="print"/>
                          <a:srcRect/>
                          <a:stretch>
                            <a:fillRect/>
                          </a:stretch>
                        </pic:blipFill>
                        <pic:spPr>
                          <a:xfrm>
                            <a:off x="0" y="0"/>
                            <a:ext cx="5287831" cy="857833"/>
                          </a:xfrm>
                          <a:prstGeom prst="rect">
                            <a:avLst/>
                          </a:prstGeom>
                          <a:noFill/>
                          <a:ln w="9525">
                            <a:noFill/>
                            <a:miter lim="800000"/>
                            <a:headEnd/>
                            <a:tailEnd/>
                          </a:ln>
                        </pic:spPr>
                      </pic:pic>
                    </a:graphicData>
                  </a:graphic>
                </wp:inline>
              </w:drawing>
            </w:r>
          </w:p>
          <w:p w14:paraId="40E19EF6">
            <w:pPr>
              <w:jc w:val="center"/>
              <w:rPr>
                <w:b/>
                <w:szCs w:val="21"/>
              </w:rPr>
            </w:pPr>
            <w:r>
              <w:rPr>
                <w:b/>
                <w:szCs w:val="21"/>
              </w:rPr>
              <w:t>图2-2 路基工程施工工艺流程</w:t>
            </w:r>
          </w:p>
          <w:p w14:paraId="2A9C2B4B">
            <w:pPr>
              <w:rPr>
                <w:szCs w:val="21"/>
              </w:rPr>
            </w:pPr>
          </w:p>
          <w:p w14:paraId="4435B39D">
            <w:pPr>
              <w:pStyle w:val="58"/>
              <w:ind w:firstLine="480"/>
              <w:rPr>
                <w:szCs w:val="24"/>
              </w:rPr>
            </w:pPr>
            <w:r>
              <w:rPr>
                <w:szCs w:val="24"/>
              </w:rPr>
              <w:t>(2) 路面工程</w:t>
            </w:r>
          </w:p>
          <w:p w14:paraId="5B385FEE">
            <w:pPr>
              <w:pStyle w:val="58"/>
              <w:ind w:firstLine="480"/>
              <w:rPr>
                <w:szCs w:val="24"/>
              </w:rPr>
            </w:pPr>
            <w:r>
              <w:rPr>
                <w:szCs w:val="24"/>
              </w:rPr>
              <w:t>拟建</w:t>
            </w:r>
            <w:r>
              <w:rPr>
                <w:rFonts w:hint="eastAsia"/>
                <w:szCs w:val="24"/>
              </w:rPr>
              <w:t>公路</w:t>
            </w:r>
            <w:r>
              <w:rPr>
                <w:szCs w:val="24"/>
              </w:rPr>
              <w:t>路面工程施工建议选用大型拌合摊铺设备，确保路面施工质量。在施工中要严格按照路面面层、基层施工技术规范执行，在保证质量的前提下力争在当年雨季前完成计划路段的基层、底基层施工。</w:t>
            </w:r>
          </w:p>
          <w:p w14:paraId="1CC51BC2">
            <w:pPr>
              <w:pStyle w:val="58"/>
              <w:ind w:firstLine="480"/>
              <w:rPr>
                <w:szCs w:val="24"/>
              </w:rPr>
            </w:pPr>
            <w:r>
              <w:rPr>
                <w:szCs w:val="24"/>
              </w:rPr>
              <w:t>为确保路面工程的平整度和质量，建议路面各结构层全部由专业队伍承担，底基层、基层均采用机械拌合，摊铺机分层摊铺，压路机压实；各面层采用洒布机喷洒透层油，摊铺机配以自卸车连续摊铺沥青</w:t>
            </w:r>
            <w:r>
              <w:rPr>
                <w:rFonts w:hint="eastAsia"/>
                <w:szCs w:val="24"/>
                <w:lang w:eastAsia="zh-CN"/>
              </w:rPr>
              <w:t>拌合</w:t>
            </w:r>
            <w:r>
              <w:rPr>
                <w:szCs w:val="24"/>
              </w:rPr>
              <w:t>料，压路机碾压密实成型，各种拌和材料由所设置的集中拌合站以机械拌合提供。</w:t>
            </w:r>
          </w:p>
          <w:p w14:paraId="50C6A356">
            <w:pPr>
              <w:pStyle w:val="58"/>
              <w:keepNext w:val="0"/>
              <w:keepLines w:val="0"/>
              <w:pageBreakBefore w:val="0"/>
              <w:widowControl w:val="0"/>
              <w:kinsoku/>
              <w:wordWrap/>
              <w:overflowPunct/>
              <w:topLinePunct w:val="0"/>
              <w:autoSpaceDE/>
              <w:autoSpaceDN/>
              <w:bidi w:val="0"/>
              <w:adjustRightInd/>
              <w:snapToGrid/>
              <w:ind w:firstLine="480"/>
              <w:textAlignment w:val="auto"/>
              <w:rPr>
                <w:szCs w:val="24"/>
              </w:rPr>
            </w:pPr>
            <w:r>
              <w:rPr>
                <w:szCs w:val="24"/>
              </w:rPr>
              <w:t>路</w:t>
            </w:r>
            <w:r>
              <w:rPr>
                <w:rFonts w:hint="eastAsia"/>
                <w:szCs w:val="24"/>
              </w:rPr>
              <w:t>面</w:t>
            </w:r>
            <w:r>
              <w:rPr>
                <w:szCs w:val="24"/>
              </w:rPr>
              <w:t>工程施工工艺见图2-3</w:t>
            </w:r>
            <w:r>
              <w:rPr>
                <w:rFonts w:hint="eastAsia"/>
                <w:szCs w:val="24"/>
              </w:rPr>
              <w:t>。</w:t>
            </w:r>
          </w:p>
          <w:p w14:paraId="6F750D7B">
            <w:pPr>
              <w:pStyle w:val="58"/>
              <w:ind w:firstLine="2" w:firstLineChars="1"/>
              <w:rPr>
                <w:szCs w:val="24"/>
              </w:rPr>
            </w:pPr>
            <w:r>
              <w:drawing>
                <wp:inline distT="0" distB="0" distL="0" distR="0">
                  <wp:extent cx="5277485" cy="1075055"/>
                  <wp:effectExtent l="19050" t="0" r="0" b="0"/>
                  <wp:docPr id="1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3"/>
                          <pic:cNvPicPr>
                            <a:picLocks noChangeAspect="1" noChangeArrowheads="1"/>
                          </pic:cNvPicPr>
                        </pic:nvPicPr>
                        <pic:blipFill>
                          <a:blip r:embed="rId149" cstate="print"/>
                          <a:srcRect/>
                          <a:stretch>
                            <a:fillRect/>
                          </a:stretch>
                        </pic:blipFill>
                        <pic:spPr>
                          <a:xfrm>
                            <a:off x="0" y="0"/>
                            <a:ext cx="5275418" cy="1074809"/>
                          </a:xfrm>
                          <a:prstGeom prst="rect">
                            <a:avLst/>
                          </a:prstGeom>
                          <a:noFill/>
                          <a:ln w="9525">
                            <a:noFill/>
                            <a:miter lim="800000"/>
                            <a:headEnd/>
                            <a:tailEnd/>
                          </a:ln>
                        </pic:spPr>
                      </pic:pic>
                    </a:graphicData>
                  </a:graphic>
                </wp:inline>
              </w:drawing>
            </w:r>
          </w:p>
          <w:p w14:paraId="78930F75">
            <w:pPr>
              <w:pStyle w:val="58"/>
              <w:spacing w:after="120" w:afterLines="50"/>
              <w:ind w:firstLine="0" w:firstLineChars="0"/>
              <w:jc w:val="center"/>
              <w:rPr>
                <w:sz w:val="21"/>
                <w:szCs w:val="21"/>
              </w:rPr>
            </w:pPr>
            <w:r>
              <w:rPr>
                <w:b/>
                <w:sz w:val="21"/>
                <w:szCs w:val="21"/>
              </w:rPr>
              <w:t xml:space="preserve">图2-3 </w:t>
            </w:r>
            <w:r>
              <w:rPr>
                <w:rFonts w:hint="eastAsia"/>
                <w:b/>
                <w:sz w:val="21"/>
                <w:szCs w:val="21"/>
              </w:rPr>
              <w:t xml:space="preserve"> 路面</w:t>
            </w:r>
            <w:r>
              <w:rPr>
                <w:b/>
                <w:sz w:val="21"/>
                <w:szCs w:val="21"/>
              </w:rPr>
              <w:t>工程施工工艺流程</w:t>
            </w:r>
          </w:p>
          <w:p w14:paraId="3CC4EB5F">
            <w:pPr>
              <w:pStyle w:val="58"/>
              <w:ind w:firstLine="480"/>
              <w:rPr>
                <w:szCs w:val="24"/>
              </w:rPr>
            </w:pPr>
            <w:r>
              <w:rPr>
                <w:szCs w:val="24"/>
              </w:rPr>
              <w:t>(3) 桥梁工程</w:t>
            </w:r>
          </w:p>
          <w:p w14:paraId="69867CB1">
            <w:pPr>
              <w:pStyle w:val="58"/>
              <w:ind w:firstLine="480"/>
              <w:rPr>
                <w:szCs w:val="24"/>
              </w:rPr>
            </w:pPr>
            <w:r>
              <w:rPr>
                <w:szCs w:val="24"/>
              </w:rPr>
              <w:t>拟建</w:t>
            </w:r>
            <w:r>
              <w:rPr>
                <w:rFonts w:hint="eastAsia"/>
                <w:szCs w:val="24"/>
              </w:rPr>
              <w:t>公路</w:t>
            </w:r>
            <w:r>
              <w:rPr>
                <w:szCs w:val="24"/>
              </w:rPr>
              <w:t>桥梁上部构造主要采用钢筋混凝土或预应力混凝土梁，施工方法以预制装配为主，采用架桥机或门式吊机架设。桥梁施工工序为：平整施工生产生活区→基础施工→上部构造施工。</w:t>
            </w:r>
          </w:p>
          <w:p w14:paraId="676A82B1">
            <w:pPr>
              <w:pStyle w:val="58"/>
              <w:spacing w:after="120" w:afterLines="50"/>
              <w:ind w:firstLine="480"/>
              <w:rPr>
                <w:szCs w:val="24"/>
              </w:rPr>
            </w:pPr>
            <w:r>
              <w:rPr>
                <w:szCs w:val="24"/>
              </w:rPr>
              <w:t>拟建</w:t>
            </w:r>
            <w:r>
              <w:rPr>
                <w:rFonts w:hint="eastAsia"/>
                <w:szCs w:val="24"/>
              </w:rPr>
              <w:t>公路</w:t>
            </w:r>
            <w:r>
              <w:rPr>
                <w:szCs w:val="24"/>
              </w:rPr>
              <w:t>桥梁桥墩主要采用柱式墩，桥台主要采用肋板台。桥梁墩、台的施工工艺流程参见图2-4。</w:t>
            </w:r>
          </w:p>
          <w:p w14:paraId="7C24ABD2">
            <w:pPr>
              <w:jc w:val="center"/>
              <w:rPr>
                <w:rFonts w:eastAsia="仿宋_GB2312"/>
                <w:szCs w:val="21"/>
              </w:rPr>
            </w:pPr>
            <w:r>
              <w:rPr>
                <w:rFonts w:eastAsia="仿宋_GB2312"/>
                <w:szCs w:val="21"/>
              </w:rPr>
              <w:drawing>
                <wp:inline distT="0" distB="0" distL="0" distR="0">
                  <wp:extent cx="4851400" cy="892175"/>
                  <wp:effectExtent l="0" t="0" r="6350" b="317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noChangeArrowheads="1"/>
                          </pic:cNvPicPr>
                        </pic:nvPicPr>
                        <pic:blipFill>
                          <a:blip r:embed="rId150" cstate="print"/>
                          <a:srcRect/>
                          <a:stretch>
                            <a:fillRect/>
                          </a:stretch>
                        </pic:blipFill>
                        <pic:spPr>
                          <a:xfrm>
                            <a:off x="0" y="0"/>
                            <a:ext cx="4873500" cy="896235"/>
                          </a:xfrm>
                          <a:prstGeom prst="rect">
                            <a:avLst/>
                          </a:prstGeom>
                          <a:noFill/>
                          <a:ln w="9525">
                            <a:noFill/>
                            <a:miter lim="800000"/>
                            <a:headEnd/>
                            <a:tailEnd/>
                          </a:ln>
                        </pic:spPr>
                      </pic:pic>
                    </a:graphicData>
                  </a:graphic>
                </wp:inline>
              </w:drawing>
            </w:r>
          </w:p>
          <w:p w14:paraId="1E1C59C2">
            <w:pPr>
              <w:keepNext w:val="0"/>
              <w:keepLines w:val="0"/>
              <w:pageBreakBefore w:val="0"/>
              <w:widowControl w:val="0"/>
              <w:kinsoku/>
              <w:wordWrap/>
              <w:overflowPunct/>
              <w:topLinePunct w:val="0"/>
              <w:autoSpaceDE/>
              <w:autoSpaceDN/>
              <w:bidi w:val="0"/>
              <w:adjustRightInd/>
              <w:snapToGrid/>
              <w:spacing w:before="157" w:beforeLines="50"/>
              <w:jc w:val="center"/>
              <w:textAlignment w:val="auto"/>
              <w:rPr>
                <w:rFonts w:eastAsia="仿宋_GB2312"/>
                <w:szCs w:val="21"/>
              </w:rPr>
            </w:pPr>
            <w:r>
              <w:rPr>
                <w:b/>
                <w:szCs w:val="21"/>
              </w:rPr>
              <w:t>图2-4  桥梁墩台施工工艺流程</w:t>
            </w:r>
          </w:p>
          <w:p w14:paraId="76CAC41F">
            <w:pPr>
              <w:widowControl/>
              <w:spacing w:line="300" w:lineRule="auto"/>
              <w:ind w:firstLine="480" w:firstLineChars="200"/>
              <w:jc w:val="left"/>
              <w:rPr>
                <w:color w:val="auto"/>
                <w:kern w:val="0"/>
                <w:sz w:val="24"/>
                <w:szCs w:val="21"/>
                <w:lang w:bidi="zh-CN"/>
              </w:rPr>
            </w:pPr>
            <w:r>
              <w:rPr>
                <w:rFonts w:hint="eastAsia"/>
                <w:color w:val="auto"/>
                <w:kern w:val="0"/>
                <w:sz w:val="24"/>
                <w:szCs w:val="21"/>
                <w:lang w:bidi="zh-CN"/>
              </w:rPr>
              <w:t xml:space="preserve">(4) </w:t>
            </w:r>
            <w:r>
              <w:rPr>
                <w:color w:val="auto"/>
                <w:kern w:val="0"/>
                <w:sz w:val="24"/>
                <w:szCs w:val="21"/>
                <w:lang w:bidi="zh-CN"/>
              </w:rPr>
              <w:t>沥青拌和站</w:t>
            </w:r>
          </w:p>
          <w:p w14:paraId="0CA4F2F8">
            <w:pPr>
              <w:widowControl/>
              <w:spacing w:line="300" w:lineRule="auto"/>
              <w:ind w:firstLine="480" w:firstLineChars="200"/>
              <w:jc w:val="left"/>
              <w:rPr>
                <w:color w:val="auto"/>
                <w:kern w:val="0"/>
                <w:sz w:val="24"/>
                <w:szCs w:val="21"/>
                <w:lang w:bidi="zh-CN"/>
              </w:rPr>
            </w:pPr>
            <w:r>
              <w:rPr>
                <w:rFonts w:hint="eastAsia" w:ascii="宋体" w:hAnsi="宋体" w:cs="宋体"/>
                <w:color w:val="auto"/>
                <w:kern w:val="0"/>
                <w:sz w:val="24"/>
                <w:szCs w:val="21"/>
                <w:lang w:bidi="zh-CN"/>
              </w:rPr>
              <w:t xml:space="preserve">① </w:t>
            </w:r>
            <w:r>
              <w:rPr>
                <w:color w:val="auto"/>
                <w:kern w:val="0"/>
                <w:sz w:val="24"/>
                <w:szCs w:val="21"/>
                <w:lang w:bidi="zh-CN"/>
              </w:rPr>
              <w:t>工艺流程</w:t>
            </w:r>
          </w:p>
          <w:p w14:paraId="7AE8340A">
            <w:pPr>
              <w:widowControl/>
              <w:spacing w:line="300" w:lineRule="auto"/>
              <w:ind w:firstLine="480" w:firstLineChars="200"/>
              <w:jc w:val="left"/>
              <w:rPr>
                <w:color w:val="auto"/>
                <w:kern w:val="0"/>
                <w:sz w:val="24"/>
                <w:szCs w:val="21"/>
                <w:lang w:bidi="zh-CN"/>
              </w:rPr>
            </w:pPr>
            <w:r>
              <w:rPr>
                <w:color w:val="auto"/>
                <w:kern w:val="0"/>
                <w:sz w:val="24"/>
                <w:szCs w:val="21"/>
                <w:lang w:bidi="zh-CN"/>
              </w:rPr>
              <w:t>沥青拌和站生产沥青混凝土，沥青混合料主要有石油沥青和骨料（碎石）混合拌制而成。其一般流程可分为沥青预处理和骨料预处理，而后进入拌合仓拌合后即为成品。</w:t>
            </w:r>
          </w:p>
          <w:p w14:paraId="1F0CDC1B">
            <w:pPr>
              <w:widowControl/>
              <w:spacing w:line="300" w:lineRule="auto"/>
              <w:ind w:firstLine="480" w:firstLineChars="200"/>
              <w:jc w:val="left"/>
              <w:rPr>
                <w:color w:val="auto"/>
                <w:kern w:val="0"/>
                <w:sz w:val="24"/>
                <w:szCs w:val="21"/>
                <w:lang w:bidi="zh-CN"/>
              </w:rPr>
            </w:pPr>
            <w:r>
              <w:rPr>
                <w:color w:val="auto"/>
                <w:kern w:val="0"/>
                <w:sz w:val="24"/>
                <w:szCs w:val="21"/>
                <w:lang w:bidi="zh-CN"/>
              </w:rPr>
              <w:t>沥青预处理流程：项目沥青原料进场时为散装沥青，由专用沥青运输车将沥青通过密闭管道输送入沥青储罐；使用导热油炉将沥青间接加热，使其保温至160℃-170℃。生产时，沥青按一定比例由沥青泵输入拌合仓内与骨料混合后进行搅拌。</w:t>
            </w:r>
          </w:p>
          <w:p w14:paraId="6EA69B89">
            <w:pPr>
              <w:widowControl/>
              <w:spacing w:line="300" w:lineRule="auto"/>
              <w:ind w:firstLine="480" w:firstLineChars="200"/>
              <w:jc w:val="left"/>
              <w:rPr>
                <w:color w:val="auto"/>
                <w:kern w:val="0"/>
                <w:sz w:val="24"/>
                <w:szCs w:val="21"/>
                <w:lang w:bidi="zh-CN"/>
              </w:rPr>
            </w:pPr>
            <w:r>
              <w:rPr>
                <w:color w:val="auto"/>
                <w:kern w:val="0"/>
                <w:sz w:val="24"/>
                <w:szCs w:val="21"/>
                <w:lang w:bidi="zh-CN"/>
              </w:rPr>
              <w:t>骨料预处理流程：满足产品规格需要的骨料（碎石）从石料仓运入骨料池，通过皮带机送入干燥筒；为使沥青混合料不至于因过快冷却而带来运输</w:t>
            </w:r>
            <w:r>
              <w:rPr>
                <w:rFonts w:hint="eastAsia"/>
                <w:color w:val="auto"/>
                <w:kern w:val="0"/>
                <w:sz w:val="24"/>
                <w:szCs w:val="21"/>
                <w:lang w:bidi="zh-CN"/>
              </w:rPr>
              <w:t>上</w:t>
            </w:r>
            <w:r>
              <w:rPr>
                <w:color w:val="auto"/>
                <w:kern w:val="0"/>
                <w:sz w:val="24"/>
                <w:szCs w:val="21"/>
                <w:lang w:bidi="zh-CN"/>
              </w:rPr>
              <w:t>的不便，骨料在进入拌和仓前须经干燥筒热处理。干燥筒通过加热，并不停转动，使骨料间接受热干燥；加热后的</w:t>
            </w:r>
            <w:r>
              <w:rPr>
                <w:rFonts w:hint="eastAsia"/>
                <w:color w:val="auto"/>
                <w:kern w:val="0"/>
                <w:sz w:val="24"/>
                <w:szCs w:val="21"/>
                <w:lang w:bidi="zh-CN"/>
              </w:rPr>
              <w:t>骨料</w:t>
            </w:r>
            <w:r>
              <w:rPr>
                <w:color w:val="auto"/>
                <w:kern w:val="0"/>
                <w:sz w:val="24"/>
                <w:szCs w:val="21"/>
                <w:lang w:bidi="zh-CN"/>
              </w:rPr>
              <w:t>通过骨料提升机送到粒度检控系统内进行振动筛。</w:t>
            </w:r>
          </w:p>
          <w:p w14:paraId="0A6C9AAB">
            <w:pPr>
              <w:widowControl/>
              <w:spacing w:line="300" w:lineRule="auto"/>
              <w:ind w:firstLine="480" w:firstLineChars="200"/>
              <w:jc w:val="left"/>
              <w:rPr>
                <w:color w:val="auto"/>
                <w:kern w:val="0"/>
                <w:sz w:val="24"/>
                <w:szCs w:val="21"/>
                <w:lang w:bidi="zh-CN"/>
              </w:rPr>
            </w:pPr>
            <w:r>
              <w:rPr>
                <w:color w:val="auto"/>
                <w:kern w:val="0"/>
                <w:sz w:val="24"/>
                <w:szCs w:val="21"/>
                <w:lang w:bidi="zh-CN"/>
              </w:rPr>
              <w:t>量后进入拌和仓；少数粒度不合规的被分离后由专门出口排出，由装载机送至骨料池重新利用。干燥筒、粒度控制筛都为密闭工作，干燥及筛选过程产生的粉尘由配套的布袋除尘器除尘后排放。</w:t>
            </w:r>
          </w:p>
          <w:p w14:paraId="64938437">
            <w:pPr>
              <w:widowControl/>
              <w:spacing w:line="300" w:lineRule="auto"/>
              <w:ind w:firstLine="480" w:firstLineChars="200"/>
              <w:jc w:val="left"/>
              <w:rPr>
                <w:color w:val="auto"/>
                <w:kern w:val="0"/>
                <w:sz w:val="24"/>
                <w:szCs w:val="21"/>
                <w:lang w:bidi="zh-CN"/>
              </w:rPr>
            </w:pPr>
            <w:r>
              <w:rPr>
                <w:color w:val="auto"/>
                <w:kern w:val="0"/>
                <w:sz w:val="24"/>
                <w:szCs w:val="21"/>
                <w:lang w:bidi="zh-CN"/>
              </w:rPr>
              <w:t>进入拌合仓搅拌的还有矿粉（主要成分为石灰石），矿粉通过配料斗，粉料提升机、计量器进入拌和楼。</w:t>
            </w:r>
          </w:p>
          <w:p w14:paraId="14A058D9">
            <w:pPr>
              <w:widowControl/>
              <w:spacing w:line="300" w:lineRule="auto"/>
              <w:ind w:firstLine="480" w:firstLineChars="200"/>
              <w:jc w:val="left"/>
              <w:rPr>
                <w:color w:val="auto"/>
                <w:kern w:val="0"/>
                <w:sz w:val="24"/>
                <w:szCs w:val="21"/>
                <w:lang w:bidi="zh-CN"/>
              </w:rPr>
            </w:pPr>
            <w:r>
              <w:rPr>
                <w:color w:val="auto"/>
                <w:kern w:val="0"/>
                <w:sz w:val="24"/>
                <w:szCs w:val="21"/>
                <w:lang w:bidi="zh-CN"/>
              </w:rPr>
              <w:t>进入拌合仓的沥青、骨料、矿粉经拌和得到沥青混合料成品，产品整个生产工艺在密闭系统中进行。成品出料由小斗车经滑道提升到成品仓后装入车辆外运，产生出料过程为间断式。</w:t>
            </w:r>
          </w:p>
          <w:p w14:paraId="563407B5">
            <w:pPr>
              <w:widowControl/>
              <w:spacing w:line="300" w:lineRule="auto"/>
              <w:ind w:firstLine="480" w:firstLineChars="200"/>
              <w:jc w:val="left"/>
              <w:rPr>
                <w:color w:val="auto"/>
                <w:kern w:val="0"/>
                <w:sz w:val="24"/>
                <w:szCs w:val="21"/>
                <w:lang w:bidi="zh-CN"/>
              </w:rPr>
            </w:pPr>
            <w:r>
              <w:rPr>
                <w:rFonts w:hint="eastAsia" w:ascii="宋体" w:hAnsi="宋体" w:cs="宋体"/>
                <w:color w:val="auto"/>
                <w:kern w:val="0"/>
                <w:sz w:val="24"/>
                <w:szCs w:val="21"/>
                <w:lang w:bidi="zh-CN"/>
              </w:rPr>
              <w:t xml:space="preserve">② </w:t>
            </w:r>
            <w:r>
              <w:rPr>
                <w:color w:val="auto"/>
                <w:kern w:val="0"/>
                <w:sz w:val="24"/>
                <w:szCs w:val="21"/>
                <w:lang w:bidi="zh-CN"/>
              </w:rPr>
              <w:t>产污环节分析</w:t>
            </w:r>
          </w:p>
          <w:p w14:paraId="1E065B4D">
            <w:pPr>
              <w:widowControl/>
              <w:spacing w:line="300" w:lineRule="auto"/>
              <w:ind w:firstLine="480" w:firstLineChars="200"/>
              <w:jc w:val="left"/>
              <w:rPr>
                <w:rFonts w:hint="eastAsia"/>
                <w:color w:val="auto"/>
                <w:kern w:val="0"/>
                <w:sz w:val="24"/>
                <w:szCs w:val="21"/>
                <w:lang w:bidi="zh-CN"/>
              </w:rPr>
            </w:pPr>
            <w:r>
              <w:rPr>
                <w:color w:val="auto"/>
                <w:kern w:val="0"/>
                <w:sz w:val="24"/>
                <w:szCs w:val="21"/>
                <w:lang w:bidi="zh-CN"/>
              </w:rPr>
              <w:t>废气产污环节：主要有烘干、拌和过程中产生的粉尘、烘干炉燃烧废气、导热油炉燃烧废气等；废水产污环节：设备及车辆清洗废水；噪声：噪声主要为给料、拌和、振动筛等设备噪声；固体废物：固体废物主要为废沥青混凝土块等。</w:t>
            </w:r>
          </w:p>
          <w:p w14:paraId="614BFB41">
            <w:pPr>
              <w:autoSpaceDE w:val="0"/>
              <w:autoSpaceDN w:val="0"/>
              <w:adjustRightInd w:val="0"/>
              <w:spacing w:line="300" w:lineRule="auto"/>
              <w:rPr>
                <w:rFonts w:hint="eastAsia"/>
                <w:color w:val="auto"/>
                <w:kern w:val="0"/>
                <w:sz w:val="24"/>
                <w:szCs w:val="21"/>
                <w:lang w:bidi="zh-CN"/>
              </w:rPr>
            </w:pPr>
            <w:r>
              <w:rPr>
                <w:color w:val="auto"/>
                <w:kern w:val="0"/>
                <w:sz w:val="24"/>
                <w:szCs w:val="21"/>
                <w:lang w:bidi="zh-CN"/>
              </w:rPr>
              <w:t>沥青砼生产工艺流程及产污环节见图2-</w:t>
            </w:r>
            <w:r>
              <w:rPr>
                <w:rFonts w:hint="eastAsia"/>
                <w:color w:val="auto"/>
                <w:kern w:val="0"/>
                <w:sz w:val="24"/>
                <w:szCs w:val="21"/>
                <w:lang w:bidi="zh-CN"/>
              </w:rPr>
              <w:t>5。</w:t>
            </w:r>
          </w:p>
          <w:p w14:paraId="5B026EBA">
            <w:pPr>
              <w:autoSpaceDE w:val="0"/>
              <w:autoSpaceDN w:val="0"/>
              <w:adjustRightInd w:val="0"/>
              <w:spacing w:line="300" w:lineRule="auto"/>
              <w:rPr>
                <w:rFonts w:hint="eastAsia"/>
                <w:color w:val="FF0000"/>
                <w:kern w:val="0"/>
                <w:sz w:val="24"/>
                <w:szCs w:val="21"/>
                <w:lang w:bidi="zh-CN"/>
              </w:rPr>
            </w:pPr>
          </w:p>
          <w:p w14:paraId="193D3529">
            <w:pPr>
              <w:autoSpaceDE w:val="0"/>
              <w:autoSpaceDN w:val="0"/>
              <w:adjustRightInd w:val="0"/>
              <w:spacing w:line="300" w:lineRule="auto"/>
              <w:rPr>
                <w:rFonts w:hint="eastAsia"/>
                <w:color w:val="FF0000"/>
                <w:kern w:val="0"/>
                <w:sz w:val="24"/>
                <w:szCs w:val="21"/>
                <w:lang w:bidi="zh-CN"/>
              </w:rPr>
            </w:pPr>
          </w:p>
          <w:p w14:paraId="548EEEDD">
            <w:pPr>
              <w:autoSpaceDE w:val="0"/>
              <w:autoSpaceDN w:val="0"/>
              <w:adjustRightInd w:val="0"/>
              <w:spacing w:line="300" w:lineRule="auto"/>
              <w:rPr>
                <w:rFonts w:hint="eastAsia"/>
                <w:color w:val="FF0000"/>
                <w:kern w:val="0"/>
                <w:sz w:val="24"/>
                <w:szCs w:val="21"/>
                <w:lang w:bidi="zh-CN"/>
              </w:rPr>
            </w:pPr>
          </w:p>
          <w:p w14:paraId="5B530C78">
            <w:pPr>
              <w:autoSpaceDE w:val="0"/>
              <w:autoSpaceDN w:val="0"/>
              <w:adjustRightInd w:val="0"/>
              <w:spacing w:line="300" w:lineRule="auto"/>
              <w:rPr>
                <w:rFonts w:hint="eastAsia"/>
                <w:color w:val="FF0000"/>
                <w:kern w:val="0"/>
                <w:sz w:val="24"/>
                <w:szCs w:val="21"/>
                <w:lang w:bidi="zh-CN"/>
              </w:rPr>
            </w:pPr>
          </w:p>
          <w:p w14:paraId="75DBEBDB">
            <w:pPr>
              <w:autoSpaceDE w:val="0"/>
              <w:autoSpaceDN w:val="0"/>
              <w:adjustRightInd w:val="0"/>
              <w:spacing w:line="300" w:lineRule="auto"/>
              <w:rPr>
                <w:rFonts w:hint="eastAsia"/>
                <w:color w:val="FF0000"/>
                <w:kern w:val="0"/>
                <w:sz w:val="24"/>
                <w:szCs w:val="21"/>
                <w:lang w:bidi="zh-CN"/>
              </w:rPr>
            </w:pPr>
          </w:p>
          <w:p w14:paraId="5338100B">
            <w:pPr>
              <w:autoSpaceDE w:val="0"/>
              <w:autoSpaceDN w:val="0"/>
              <w:adjustRightInd w:val="0"/>
              <w:spacing w:line="300" w:lineRule="auto"/>
              <w:rPr>
                <w:rFonts w:hint="eastAsia"/>
                <w:color w:val="FF0000"/>
                <w:kern w:val="0"/>
                <w:sz w:val="24"/>
                <w:szCs w:val="21"/>
                <w:lang w:bidi="zh-CN"/>
              </w:rPr>
            </w:pPr>
          </w:p>
          <w:p w14:paraId="288E4A04">
            <w:pPr>
              <w:autoSpaceDE w:val="0"/>
              <w:autoSpaceDN w:val="0"/>
              <w:adjustRightInd w:val="0"/>
              <w:spacing w:line="300" w:lineRule="auto"/>
              <w:rPr>
                <w:rFonts w:hint="eastAsia"/>
                <w:color w:val="FF0000"/>
                <w:kern w:val="0"/>
                <w:sz w:val="24"/>
                <w:szCs w:val="21"/>
                <w:lang w:bidi="zh-CN"/>
              </w:rPr>
            </w:pPr>
          </w:p>
          <w:p w14:paraId="08583CFC">
            <w:pPr>
              <w:widowControl/>
              <w:jc w:val="center"/>
              <w:rPr>
                <w:color w:val="FF0000"/>
                <w:kern w:val="0"/>
                <w:sz w:val="24"/>
                <w:szCs w:val="21"/>
                <w:lang w:bidi="zh-CN"/>
              </w:rPr>
            </w:pPr>
            <w:r>
              <w:rPr>
                <w:color w:val="FF0000"/>
                <w:kern w:val="0"/>
                <w:sz w:val="24"/>
                <w:szCs w:val="21"/>
              </w:rPr>
              <w:drawing>
                <wp:inline distT="0" distB="0" distL="0" distR="0">
                  <wp:extent cx="5400675" cy="4067175"/>
                  <wp:effectExtent l="0" t="0" r="9525" b="9525"/>
                  <wp:docPr id="1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3"/>
                          <pic:cNvPicPr>
                            <a:picLocks noChangeAspect="1" noChangeArrowheads="1"/>
                          </pic:cNvPicPr>
                        </pic:nvPicPr>
                        <pic:blipFill>
                          <a:blip r:embed="rId151" cstate="print"/>
                          <a:srcRect/>
                          <a:stretch>
                            <a:fillRect/>
                          </a:stretch>
                        </pic:blipFill>
                        <pic:spPr>
                          <a:xfrm>
                            <a:off x="0" y="0"/>
                            <a:ext cx="5400675" cy="4067175"/>
                          </a:xfrm>
                          <a:prstGeom prst="rect">
                            <a:avLst/>
                          </a:prstGeom>
                          <a:noFill/>
                          <a:ln w="9525">
                            <a:noFill/>
                            <a:miter lim="800000"/>
                            <a:headEnd/>
                            <a:tailEnd/>
                          </a:ln>
                        </pic:spPr>
                      </pic:pic>
                    </a:graphicData>
                  </a:graphic>
                </wp:inline>
              </w:drawing>
            </w:r>
          </w:p>
          <w:p w14:paraId="1175C0E4">
            <w:pPr>
              <w:keepNext w:val="0"/>
              <w:keepLines w:val="0"/>
              <w:pageBreakBefore w:val="0"/>
              <w:widowControl/>
              <w:kinsoku/>
              <w:wordWrap/>
              <w:overflowPunct/>
              <w:topLinePunct w:val="0"/>
              <w:autoSpaceDE/>
              <w:autoSpaceDN/>
              <w:bidi w:val="0"/>
              <w:adjustRightInd/>
              <w:snapToGrid/>
              <w:spacing w:beforeLines="50" w:after="313" w:afterLines="100"/>
              <w:jc w:val="center"/>
              <w:textAlignment w:val="auto"/>
              <w:rPr>
                <w:b/>
                <w:bCs/>
                <w:color w:val="auto"/>
                <w:kern w:val="0"/>
                <w:szCs w:val="21"/>
              </w:rPr>
            </w:pPr>
            <w:r>
              <w:rPr>
                <w:b/>
                <w:bCs/>
                <w:color w:val="auto"/>
                <w:kern w:val="0"/>
                <w:szCs w:val="21"/>
              </w:rPr>
              <w:t>图2-</w:t>
            </w:r>
            <w:r>
              <w:rPr>
                <w:rFonts w:hint="eastAsia"/>
                <w:b/>
                <w:bCs/>
                <w:color w:val="auto"/>
                <w:kern w:val="0"/>
                <w:szCs w:val="21"/>
              </w:rPr>
              <w:t xml:space="preserve">5  </w:t>
            </w:r>
            <w:r>
              <w:rPr>
                <w:b/>
                <w:bCs/>
                <w:color w:val="auto"/>
                <w:kern w:val="0"/>
                <w:szCs w:val="21"/>
              </w:rPr>
              <w:t>沥青混凝土生产工艺流程及产污环节图</w:t>
            </w:r>
          </w:p>
          <w:p w14:paraId="4A784A2F">
            <w:pPr>
              <w:widowControl/>
              <w:spacing w:line="300" w:lineRule="auto"/>
              <w:ind w:firstLine="480" w:firstLineChars="200"/>
              <w:jc w:val="left"/>
              <w:rPr>
                <w:color w:val="auto"/>
                <w:kern w:val="0"/>
                <w:sz w:val="24"/>
                <w:szCs w:val="21"/>
                <w:lang w:bidi="zh-CN"/>
              </w:rPr>
            </w:pPr>
            <w:r>
              <w:rPr>
                <w:rFonts w:hint="eastAsia"/>
                <w:color w:val="auto"/>
                <w:kern w:val="0"/>
                <w:sz w:val="24"/>
                <w:szCs w:val="21"/>
                <w:lang w:bidi="zh-CN"/>
              </w:rPr>
              <w:t xml:space="preserve">(5) </w:t>
            </w:r>
            <w:r>
              <w:rPr>
                <w:color w:val="auto"/>
                <w:kern w:val="0"/>
                <w:sz w:val="24"/>
                <w:szCs w:val="21"/>
                <w:lang w:bidi="zh-CN"/>
              </w:rPr>
              <w:t>混凝土拌和</w:t>
            </w:r>
            <w:r>
              <w:rPr>
                <w:rFonts w:hint="eastAsia"/>
                <w:color w:val="auto"/>
                <w:kern w:val="0"/>
                <w:sz w:val="24"/>
                <w:szCs w:val="21"/>
                <w:lang w:bidi="zh-CN"/>
              </w:rPr>
              <w:t>站</w:t>
            </w:r>
          </w:p>
          <w:p w14:paraId="2915C3F8">
            <w:pPr>
              <w:widowControl/>
              <w:spacing w:line="300" w:lineRule="auto"/>
              <w:ind w:firstLine="480" w:firstLineChars="200"/>
              <w:jc w:val="left"/>
              <w:rPr>
                <w:color w:val="auto"/>
                <w:kern w:val="0"/>
                <w:sz w:val="24"/>
                <w:szCs w:val="21"/>
                <w:lang w:bidi="zh-CN"/>
              </w:rPr>
            </w:pPr>
            <w:r>
              <w:rPr>
                <w:rFonts w:hint="eastAsia" w:ascii="宋体" w:hAnsi="宋体" w:cs="宋体"/>
                <w:color w:val="auto"/>
                <w:kern w:val="0"/>
                <w:sz w:val="24"/>
                <w:szCs w:val="21"/>
                <w:lang w:bidi="zh-CN"/>
              </w:rPr>
              <w:t xml:space="preserve">① </w:t>
            </w:r>
            <w:r>
              <w:rPr>
                <w:color w:val="auto"/>
                <w:kern w:val="0"/>
                <w:sz w:val="24"/>
                <w:szCs w:val="21"/>
                <w:lang w:bidi="zh-CN"/>
              </w:rPr>
              <w:t>工艺流程</w:t>
            </w:r>
          </w:p>
          <w:p w14:paraId="56F99479">
            <w:pPr>
              <w:widowControl/>
              <w:spacing w:line="300" w:lineRule="auto"/>
              <w:ind w:firstLine="480" w:firstLineChars="200"/>
              <w:jc w:val="left"/>
              <w:rPr>
                <w:color w:val="auto"/>
                <w:kern w:val="0"/>
                <w:sz w:val="24"/>
                <w:szCs w:val="21"/>
                <w:lang w:bidi="zh-CN"/>
              </w:rPr>
            </w:pPr>
            <w:r>
              <w:rPr>
                <w:color w:val="auto"/>
                <w:kern w:val="0"/>
                <w:sz w:val="24"/>
                <w:szCs w:val="21"/>
                <w:lang w:bidi="zh-CN"/>
              </w:rPr>
              <w:t>用装载机将石子、砂装入输送机料斗，并经过输送机送入石子仓和砂仓，水泥、粉煤灰储存在钢板材内，水和外加剂储存在储罐内，以上物料在仓下部装置电子秤，经过微机操控计量，各种物料按不一样的标号和合作比一起落入拌和机拌合，拌合合格后经过卸料斗装入混凝土罐车或泵车送至混凝土浇筑工地。</w:t>
            </w:r>
          </w:p>
          <w:p w14:paraId="142A0DE7">
            <w:pPr>
              <w:widowControl/>
              <w:spacing w:line="300" w:lineRule="auto"/>
              <w:ind w:firstLine="480" w:firstLineChars="200"/>
              <w:jc w:val="left"/>
              <w:rPr>
                <w:color w:val="auto"/>
                <w:kern w:val="0"/>
                <w:sz w:val="24"/>
                <w:szCs w:val="21"/>
                <w:lang w:bidi="zh-CN"/>
              </w:rPr>
            </w:pPr>
            <w:r>
              <w:rPr>
                <w:rFonts w:hint="eastAsia" w:ascii="宋体" w:hAnsi="宋体" w:cs="宋体"/>
                <w:color w:val="auto"/>
                <w:kern w:val="0"/>
                <w:sz w:val="24"/>
                <w:szCs w:val="21"/>
                <w:lang w:bidi="zh-CN"/>
              </w:rPr>
              <w:t xml:space="preserve">② </w:t>
            </w:r>
            <w:r>
              <w:rPr>
                <w:color w:val="auto"/>
                <w:kern w:val="0"/>
                <w:sz w:val="24"/>
                <w:szCs w:val="21"/>
                <w:lang w:bidi="zh-CN"/>
              </w:rPr>
              <w:t>产污环节分析</w:t>
            </w:r>
          </w:p>
          <w:p w14:paraId="40EAC9A5">
            <w:pPr>
              <w:autoSpaceDE w:val="0"/>
              <w:autoSpaceDN w:val="0"/>
              <w:adjustRightInd w:val="0"/>
              <w:spacing w:line="300" w:lineRule="auto"/>
              <w:ind w:firstLine="480" w:firstLineChars="200"/>
              <w:rPr>
                <w:rFonts w:hint="eastAsia"/>
                <w:color w:val="auto"/>
                <w:kern w:val="0"/>
                <w:sz w:val="24"/>
                <w:szCs w:val="21"/>
                <w:lang w:bidi="zh-CN"/>
              </w:rPr>
            </w:pPr>
            <w:r>
              <w:rPr>
                <w:rFonts w:hint="eastAsia"/>
                <w:color w:val="auto"/>
                <w:kern w:val="0"/>
                <w:sz w:val="24"/>
                <w:szCs w:val="21"/>
                <w:lang w:val="en-US" w:bidi="zh-CN"/>
              </w:rPr>
              <w:t>拟建公路</w:t>
            </w:r>
            <w:r>
              <w:rPr>
                <w:color w:val="auto"/>
                <w:kern w:val="0"/>
                <w:sz w:val="24"/>
                <w:szCs w:val="21"/>
                <w:lang w:bidi="zh-CN"/>
              </w:rPr>
              <w:t>废气主要为原料堆场产生的粉尘，砂石料进料口粉尘以及粉状筒仓顶产生的粉尘、运输车辆进出厂区产生的动力扬尘等；工业废水主要为搅拌机和混凝土车辆的清洗废水等；固体废物主要为不合格砂石料、剩余混凝土等，噪声源主要为搅拌机、装载机、混凝土运输车辆等，</w:t>
            </w:r>
            <w:r>
              <w:rPr>
                <w:rFonts w:hint="eastAsia"/>
                <w:color w:val="auto"/>
                <w:kern w:val="0"/>
                <w:sz w:val="24"/>
                <w:szCs w:val="21"/>
                <w:lang w:val="en-US" w:bidi="zh-CN"/>
              </w:rPr>
              <w:t>拟建公路混凝土拌和</w:t>
            </w:r>
            <w:r>
              <w:rPr>
                <w:color w:val="auto"/>
                <w:kern w:val="0"/>
                <w:sz w:val="24"/>
                <w:szCs w:val="21"/>
                <w:lang w:bidi="zh-CN"/>
              </w:rPr>
              <w:t>生产工艺产污环节详见图2</w:t>
            </w:r>
            <w:r>
              <w:rPr>
                <w:rFonts w:hint="eastAsia"/>
                <w:color w:val="auto"/>
                <w:kern w:val="0"/>
                <w:sz w:val="24"/>
                <w:szCs w:val="21"/>
                <w:lang w:bidi="zh-CN"/>
              </w:rPr>
              <w:t>-6。</w:t>
            </w:r>
          </w:p>
          <w:p w14:paraId="470E7FFD">
            <w:pPr>
              <w:autoSpaceDE w:val="0"/>
              <w:autoSpaceDN w:val="0"/>
              <w:adjustRightInd w:val="0"/>
              <w:spacing w:line="300" w:lineRule="auto"/>
              <w:ind w:firstLine="480" w:firstLineChars="200"/>
              <w:rPr>
                <w:rFonts w:hint="eastAsia"/>
                <w:color w:val="auto"/>
                <w:kern w:val="0"/>
                <w:sz w:val="24"/>
                <w:szCs w:val="21"/>
                <w:lang w:bidi="zh-CN"/>
              </w:rPr>
            </w:pPr>
          </w:p>
          <w:p w14:paraId="05B32824">
            <w:pPr>
              <w:autoSpaceDE w:val="0"/>
              <w:autoSpaceDN w:val="0"/>
              <w:adjustRightInd w:val="0"/>
              <w:spacing w:line="300" w:lineRule="auto"/>
              <w:ind w:firstLine="480" w:firstLineChars="200"/>
              <w:rPr>
                <w:rFonts w:hint="eastAsia"/>
                <w:color w:val="auto"/>
                <w:kern w:val="0"/>
                <w:sz w:val="24"/>
                <w:szCs w:val="21"/>
                <w:lang w:bidi="zh-CN"/>
              </w:rPr>
            </w:pPr>
          </w:p>
          <w:p w14:paraId="26441013">
            <w:pPr>
              <w:autoSpaceDE w:val="0"/>
              <w:autoSpaceDN w:val="0"/>
              <w:adjustRightInd w:val="0"/>
              <w:spacing w:line="300" w:lineRule="auto"/>
              <w:ind w:firstLine="480" w:firstLineChars="200"/>
              <w:rPr>
                <w:rFonts w:hint="eastAsia"/>
                <w:color w:val="auto"/>
                <w:kern w:val="0"/>
                <w:sz w:val="24"/>
                <w:szCs w:val="21"/>
                <w:lang w:bidi="zh-CN"/>
              </w:rPr>
            </w:pPr>
          </w:p>
          <w:p w14:paraId="77ABFAF8">
            <w:pPr>
              <w:autoSpaceDE w:val="0"/>
              <w:autoSpaceDN w:val="0"/>
              <w:adjustRightInd w:val="0"/>
              <w:spacing w:line="300" w:lineRule="auto"/>
              <w:ind w:firstLine="480" w:firstLineChars="200"/>
              <w:rPr>
                <w:rFonts w:hint="eastAsia"/>
                <w:color w:val="auto"/>
                <w:kern w:val="0"/>
                <w:sz w:val="24"/>
                <w:szCs w:val="21"/>
                <w:lang w:bidi="zh-CN"/>
              </w:rPr>
            </w:pPr>
          </w:p>
          <w:p w14:paraId="0DAEE52A">
            <w:pPr>
              <w:widowControl/>
              <w:jc w:val="center"/>
              <w:rPr>
                <w:color w:val="FF0000"/>
                <w:kern w:val="0"/>
                <w:sz w:val="24"/>
                <w:szCs w:val="21"/>
              </w:rPr>
            </w:pPr>
            <w:r>
              <w:rPr>
                <w:color w:val="FF0000"/>
                <w:kern w:val="0"/>
                <w:sz w:val="24"/>
                <w:szCs w:val="21"/>
              </w:rPr>
              <w:drawing>
                <wp:inline distT="0" distB="0" distL="0" distR="0">
                  <wp:extent cx="5400675" cy="4829175"/>
                  <wp:effectExtent l="0" t="0" r="9525" b="9525"/>
                  <wp:docPr id="11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4"/>
                          <pic:cNvPicPr>
                            <a:picLocks noChangeAspect="1" noChangeArrowheads="1"/>
                          </pic:cNvPicPr>
                        </pic:nvPicPr>
                        <pic:blipFill>
                          <a:blip r:embed="rId152" cstate="print"/>
                          <a:srcRect/>
                          <a:stretch>
                            <a:fillRect/>
                          </a:stretch>
                        </pic:blipFill>
                        <pic:spPr>
                          <a:xfrm>
                            <a:off x="0" y="0"/>
                            <a:ext cx="5400675" cy="4829175"/>
                          </a:xfrm>
                          <a:prstGeom prst="rect">
                            <a:avLst/>
                          </a:prstGeom>
                          <a:noFill/>
                          <a:ln w="9525">
                            <a:noFill/>
                            <a:miter lim="800000"/>
                            <a:headEnd/>
                            <a:tailEnd/>
                          </a:ln>
                        </pic:spPr>
                      </pic:pic>
                    </a:graphicData>
                  </a:graphic>
                </wp:inline>
              </w:drawing>
            </w:r>
          </w:p>
          <w:p w14:paraId="5046EE4F">
            <w:pPr>
              <w:keepNext w:val="0"/>
              <w:keepLines w:val="0"/>
              <w:pageBreakBefore w:val="0"/>
              <w:widowControl/>
              <w:kinsoku/>
              <w:wordWrap/>
              <w:overflowPunct/>
              <w:topLinePunct w:val="0"/>
              <w:autoSpaceDE/>
              <w:autoSpaceDN/>
              <w:bidi w:val="0"/>
              <w:adjustRightInd/>
              <w:snapToGrid/>
              <w:spacing w:after="313" w:afterLines="100"/>
              <w:jc w:val="center"/>
              <w:textAlignment w:val="auto"/>
              <w:rPr>
                <w:b/>
                <w:bCs/>
                <w:color w:val="auto"/>
                <w:kern w:val="0"/>
                <w:szCs w:val="21"/>
              </w:rPr>
            </w:pPr>
            <w:r>
              <w:rPr>
                <w:b/>
                <w:bCs/>
                <w:color w:val="auto"/>
                <w:kern w:val="0"/>
                <w:szCs w:val="21"/>
              </w:rPr>
              <w:t>图2.</w:t>
            </w:r>
            <w:r>
              <w:rPr>
                <w:rFonts w:hint="eastAsia"/>
                <w:b/>
                <w:bCs/>
                <w:color w:val="auto"/>
                <w:kern w:val="0"/>
                <w:szCs w:val="21"/>
              </w:rPr>
              <w:t xml:space="preserve">6  </w:t>
            </w:r>
            <w:r>
              <w:rPr>
                <w:b/>
                <w:bCs/>
                <w:color w:val="auto"/>
                <w:kern w:val="0"/>
                <w:szCs w:val="21"/>
              </w:rPr>
              <w:t>混凝土拌和生产工艺流程及产污环节图</w:t>
            </w:r>
          </w:p>
          <w:p w14:paraId="1B2EAB61">
            <w:pPr>
              <w:widowControl/>
              <w:spacing w:line="300" w:lineRule="auto"/>
              <w:ind w:firstLine="480" w:firstLineChars="200"/>
              <w:jc w:val="left"/>
              <w:rPr>
                <w:color w:val="auto"/>
                <w:kern w:val="0"/>
                <w:sz w:val="24"/>
                <w:szCs w:val="21"/>
                <w:lang w:bidi="zh-CN"/>
              </w:rPr>
            </w:pPr>
            <w:r>
              <w:rPr>
                <w:rFonts w:hint="eastAsia"/>
                <w:color w:val="auto"/>
                <w:kern w:val="0"/>
                <w:sz w:val="24"/>
                <w:szCs w:val="21"/>
                <w:lang w:bidi="zh-CN"/>
              </w:rPr>
              <w:t>(6) 水稳</w:t>
            </w:r>
            <w:r>
              <w:rPr>
                <w:color w:val="auto"/>
                <w:kern w:val="0"/>
                <w:sz w:val="24"/>
                <w:szCs w:val="21"/>
                <w:lang w:bidi="zh-CN"/>
              </w:rPr>
              <w:t>拌合站</w:t>
            </w:r>
          </w:p>
          <w:p w14:paraId="558F66FE">
            <w:pPr>
              <w:widowControl/>
              <w:spacing w:line="300" w:lineRule="auto"/>
              <w:ind w:firstLine="480" w:firstLineChars="200"/>
              <w:jc w:val="left"/>
              <w:rPr>
                <w:color w:val="auto"/>
                <w:kern w:val="0"/>
                <w:sz w:val="24"/>
                <w:szCs w:val="21"/>
                <w:lang w:bidi="zh-CN"/>
              </w:rPr>
            </w:pPr>
            <w:r>
              <w:rPr>
                <w:rFonts w:hint="eastAsia" w:ascii="宋体" w:hAnsi="宋体" w:cs="宋体"/>
                <w:color w:val="auto"/>
                <w:kern w:val="0"/>
                <w:sz w:val="24"/>
                <w:szCs w:val="21"/>
                <w:lang w:bidi="zh-CN"/>
              </w:rPr>
              <w:t xml:space="preserve">① </w:t>
            </w:r>
            <w:r>
              <w:rPr>
                <w:color w:val="auto"/>
                <w:kern w:val="0"/>
                <w:sz w:val="24"/>
                <w:szCs w:val="21"/>
                <w:lang w:bidi="zh-CN"/>
              </w:rPr>
              <w:t>生产工艺</w:t>
            </w:r>
          </w:p>
          <w:p w14:paraId="317B028F">
            <w:pPr>
              <w:widowControl/>
              <w:spacing w:line="300" w:lineRule="auto"/>
              <w:ind w:firstLine="480" w:firstLineChars="200"/>
              <w:jc w:val="left"/>
              <w:rPr>
                <w:color w:val="auto"/>
                <w:kern w:val="0"/>
                <w:sz w:val="24"/>
                <w:szCs w:val="21"/>
                <w:lang w:bidi="zh-CN"/>
              </w:rPr>
            </w:pPr>
            <w:r>
              <w:rPr>
                <w:color w:val="auto"/>
                <w:kern w:val="0"/>
                <w:sz w:val="24"/>
                <w:szCs w:val="21"/>
                <w:lang w:bidi="zh-CN"/>
              </w:rPr>
              <w:t>各种物料如石料、石屑等，用装载机装入配料机料斗，经皮带给料机计量给出，送至皮带集料机；水泥由螺旋输送机输入计量料斗，</w:t>
            </w:r>
            <w:r>
              <w:rPr>
                <w:rFonts w:hint="eastAsia"/>
                <w:color w:val="auto"/>
                <w:kern w:val="0"/>
                <w:sz w:val="24"/>
                <w:szCs w:val="21"/>
                <w:lang w:bidi="zh-CN"/>
              </w:rPr>
              <w:t>再</w:t>
            </w:r>
            <w:r>
              <w:rPr>
                <w:color w:val="auto"/>
                <w:kern w:val="0"/>
                <w:sz w:val="24"/>
                <w:szCs w:val="21"/>
                <w:lang w:bidi="zh-CN"/>
              </w:rPr>
              <w:t>使用粉料给料机计量给出，送至皮带集料机；各种骨料、粉料由集料机输送至搅拌机拌合，搅拌机物料入口上部都设有液体喷头，喷洒适量的水，以调整混合粉料的含水量。</w:t>
            </w:r>
          </w:p>
          <w:p w14:paraId="2BF569BE">
            <w:pPr>
              <w:widowControl/>
              <w:spacing w:line="300" w:lineRule="auto"/>
              <w:ind w:firstLine="480" w:firstLineChars="200"/>
              <w:jc w:val="left"/>
              <w:rPr>
                <w:color w:val="auto"/>
                <w:kern w:val="0"/>
                <w:sz w:val="24"/>
                <w:szCs w:val="21"/>
                <w:lang w:bidi="zh-CN"/>
              </w:rPr>
            </w:pPr>
            <w:r>
              <w:rPr>
                <w:rFonts w:hint="eastAsia" w:ascii="宋体" w:hAnsi="宋体" w:cs="宋体"/>
                <w:color w:val="auto"/>
                <w:kern w:val="0"/>
                <w:sz w:val="24"/>
                <w:szCs w:val="21"/>
                <w:lang w:bidi="zh-CN"/>
              </w:rPr>
              <w:t xml:space="preserve">② </w:t>
            </w:r>
            <w:r>
              <w:rPr>
                <w:color w:val="auto"/>
                <w:kern w:val="0"/>
                <w:sz w:val="24"/>
                <w:szCs w:val="21"/>
                <w:lang w:bidi="zh-CN"/>
              </w:rPr>
              <w:t>产污环节分析</w:t>
            </w:r>
          </w:p>
          <w:p w14:paraId="734E5B43">
            <w:pPr>
              <w:widowControl/>
              <w:spacing w:line="300" w:lineRule="auto"/>
              <w:ind w:firstLine="480" w:firstLineChars="200"/>
              <w:jc w:val="left"/>
              <w:rPr>
                <w:color w:val="auto"/>
                <w:kern w:val="0"/>
                <w:sz w:val="24"/>
                <w:szCs w:val="21"/>
                <w:lang w:bidi="zh-CN"/>
              </w:rPr>
            </w:pPr>
            <w:r>
              <w:rPr>
                <w:color w:val="auto"/>
                <w:kern w:val="0"/>
                <w:sz w:val="24"/>
                <w:szCs w:val="21"/>
                <w:lang w:bidi="zh-CN"/>
              </w:rPr>
              <w:t>稳定土生产废气产污环节：主要为传输拌和等过程产生的粉尘；废水产污环节：设备及车辆清洗废水；噪声：噪声主要为给料、拌和等设备噪声；固体废物：固体废物主要为废稳定土块等。</w:t>
            </w:r>
          </w:p>
          <w:p w14:paraId="64A7FDB4">
            <w:pPr>
              <w:autoSpaceDE w:val="0"/>
              <w:autoSpaceDN w:val="0"/>
              <w:adjustRightInd w:val="0"/>
              <w:spacing w:line="300" w:lineRule="auto"/>
              <w:ind w:firstLine="480" w:firstLineChars="200"/>
              <w:rPr>
                <w:rFonts w:hint="eastAsia"/>
                <w:color w:val="auto"/>
                <w:kern w:val="0"/>
                <w:sz w:val="24"/>
                <w:szCs w:val="21"/>
                <w:lang w:bidi="zh-CN"/>
              </w:rPr>
            </w:pPr>
            <w:r>
              <w:rPr>
                <w:color w:val="auto"/>
                <w:kern w:val="0"/>
                <w:sz w:val="24"/>
                <w:szCs w:val="21"/>
                <w:lang w:bidi="zh-CN"/>
              </w:rPr>
              <w:t>水稳拌和生产工艺流程及产污环节图详见图2</w:t>
            </w:r>
            <w:r>
              <w:rPr>
                <w:rFonts w:hint="eastAsia"/>
                <w:color w:val="auto"/>
                <w:kern w:val="0"/>
                <w:sz w:val="24"/>
                <w:szCs w:val="21"/>
                <w:lang w:bidi="zh-CN"/>
              </w:rPr>
              <w:t>-7。</w:t>
            </w:r>
          </w:p>
          <w:p w14:paraId="0C7BB42F">
            <w:pPr>
              <w:autoSpaceDE w:val="0"/>
              <w:autoSpaceDN w:val="0"/>
              <w:adjustRightInd w:val="0"/>
              <w:spacing w:line="300" w:lineRule="auto"/>
              <w:ind w:firstLine="480" w:firstLineChars="200"/>
              <w:rPr>
                <w:rFonts w:hint="eastAsia"/>
                <w:color w:val="auto"/>
                <w:kern w:val="0"/>
                <w:sz w:val="24"/>
                <w:szCs w:val="21"/>
                <w:lang w:bidi="zh-CN"/>
              </w:rPr>
            </w:pPr>
          </w:p>
          <w:p w14:paraId="7ADD2F3B">
            <w:pPr>
              <w:autoSpaceDE w:val="0"/>
              <w:autoSpaceDN w:val="0"/>
              <w:adjustRightInd w:val="0"/>
              <w:spacing w:line="300" w:lineRule="auto"/>
              <w:ind w:firstLine="480" w:firstLineChars="200"/>
              <w:rPr>
                <w:rFonts w:hint="eastAsia"/>
                <w:color w:val="auto"/>
                <w:kern w:val="0"/>
                <w:sz w:val="24"/>
                <w:szCs w:val="21"/>
                <w:lang w:bidi="zh-CN"/>
              </w:rPr>
            </w:pPr>
          </w:p>
          <w:p w14:paraId="14EA337D">
            <w:pPr>
              <w:widowControl/>
              <w:jc w:val="center"/>
              <w:rPr>
                <w:color w:val="FF0000"/>
                <w:kern w:val="0"/>
                <w:sz w:val="24"/>
                <w:szCs w:val="21"/>
              </w:rPr>
            </w:pPr>
            <w:r>
              <w:rPr>
                <w:color w:val="FF0000"/>
                <w:kern w:val="0"/>
                <w:sz w:val="24"/>
                <w:szCs w:val="21"/>
              </w:rPr>
              <w:drawing>
                <wp:inline distT="0" distB="0" distL="0" distR="0">
                  <wp:extent cx="3982085" cy="1798320"/>
                  <wp:effectExtent l="0" t="0" r="18415" b="11430"/>
                  <wp:docPr id="11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5"/>
                          <pic:cNvPicPr>
                            <a:picLocks noChangeAspect="1" noChangeArrowheads="1"/>
                          </pic:cNvPicPr>
                        </pic:nvPicPr>
                        <pic:blipFill>
                          <a:blip r:embed="rId153" cstate="print"/>
                          <a:srcRect/>
                          <a:stretch>
                            <a:fillRect/>
                          </a:stretch>
                        </pic:blipFill>
                        <pic:spPr>
                          <a:xfrm>
                            <a:off x="0" y="0"/>
                            <a:ext cx="3982085" cy="1798320"/>
                          </a:xfrm>
                          <a:prstGeom prst="rect">
                            <a:avLst/>
                          </a:prstGeom>
                          <a:noFill/>
                          <a:ln w="9525">
                            <a:noFill/>
                            <a:miter lim="800000"/>
                            <a:headEnd/>
                            <a:tailEnd/>
                          </a:ln>
                        </pic:spPr>
                      </pic:pic>
                    </a:graphicData>
                  </a:graphic>
                </wp:inline>
              </w:drawing>
            </w:r>
          </w:p>
          <w:p w14:paraId="4B22B2F1">
            <w:pPr>
              <w:keepNext w:val="0"/>
              <w:keepLines w:val="0"/>
              <w:pageBreakBefore w:val="0"/>
              <w:widowControl/>
              <w:kinsoku/>
              <w:wordWrap/>
              <w:overflowPunct/>
              <w:topLinePunct w:val="0"/>
              <w:autoSpaceDE/>
              <w:autoSpaceDN/>
              <w:bidi w:val="0"/>
              <w:adjustRightInd/>
              <w:snapToGrid/>
              <w:spacing w:beforeLines="50" w:after="313" w:afterLines="100"/>
              <w:jc w:val="center"/>
              <w:textAlignment w:val="auto"/>
              <w:rPr>
                <w:b/>
                <w:bCs/>
                <w:color w:val="FF0000"/>
                <w:kern w:val="0"/>
                <w:szCs w:val="21"/>
              </w:rPr>
            </w:pPr>
            <w:r>
              <w:rPr>
                <w:b/>
                <w:bCs/>
                <w:color w:val="auto"/>
                <w:kern w:val="0"/>
                <w:szCs w:val="21"/>
              </w:rPr>
              <w:t>图2</w:t>
            </w:r>
            <w:r>
              <w:rPr>
                <w:rFonts w:hint="eastAsia"/>
                <w:b/>
                <w:bCs/>
                <w:color w:val="auto"/>
                <w:kern w:val="0"/>
                <w:szCs w:val="21"/>
              </w:rPr>
              <w:t>-7  水稳拌合</w:t>
            </w:r>
            <w:r>
              <w:rPr>
                <w:b/>
                <w:bCs/>
                <w:color w:val="auto"/>
                <w:kern w:val="0"/>
                <w:szCs w:val="21"/>
              </w:rPr>
              <w:t>工艺流程及产污环节图</w:t>
            </w:r>
          </w:p>
          <w:p w14:paraId="047A4D9F">
            <w:pPr>
              <w:widowControl/>
              <w:spacing w:line="300" w:lineRule="auto"/>
              <w:ind w:firstLine="480" w:firstLineChars="200"/>
              <w:jc w:val="left"/>
              <w:rPr>
                <w:color w:val="auto"/>
                <w:kern w:val="0"/>
                <w:sz w:val="24"/>
                <w:szCs w:val="21"/>
                <w:lang w:bidi="zh-CN"/>
              </w:rPr>
            </w:pPr>
            <w:r>
              <w:rPr>
                <w:rFonts w:hint="eastAsia"/>
                <w:color w:val="auto"/>
                <w:kern w:val="0"/>
                <w:sz w:val="24"/>
                <w:szCs w:val="21"/>
                <w:lang w:bidi="zh-CN"/>
              </w:rPr>
              <w:t xml:space="preserve">(7) </w:t>
            </w:r>
            <w:r>
              <w:rPr>
                <w:color w:val="auto"/>
                <w:kern w:val="0"/>
                <w:sz w:val="24"/>
                <w:szCs w:val="21"/>
                <w:lang w:bidi="zh-CN"/>
              </w:rPr>
              <w:t>预制场</w:t>
            </w:r>
          </w:p>
          <w:p w14:paraId="54C896E2">
            <w:pPr>
              <w:widowControl/>
              <w:spacing w:line="300" w:lineRule="auto"/>
              <w:ind w:firstLine="480" w:firstLineChars="200"/>
              <w:jc w:val="left"/>
              <w:rPr>
                <w:color w:val="auto"/>
                <w:kern w:val="0"/>
                <w:sz w:val="24"/>
                <w:szCs w:val="21"/>
                <w:lang w:bidi="zh-CN"/>
              </w:rPr>
            </w:pPr>
            <w:r>
              <w:rPr>
                <w:rFonts w:hint="eastAsia" w:ascii="宋体" w:hAnsi="宋体" w:cs="宋体"/>
                <w:color w:val="auto"/>
                <w:kern w:val="0"/>
                <w:sz w:val="24"/>
                <w:szCs w:val="21"/>
                <w:lang w:bidi="zh-CN"/>
              </w:rPr>
              <w:t xml:space="preserve">① </w:t>
            </w:r>
            <w:r>
              <w:rPr>
                <w:color w:val="auto"/>
                <w:kern w:val="0"/>
                <w:sz w:val="24"/>
                <w:szCs w:val="21"/>
                <w:lang w:bidi="zh-CN"/>
              </w:rPr>
              <w:t>工艺流程</w:t>
            </w:r>
          </w:p>
          <w:p w14:paraId="49631A17">
            <w:pPr>
              <w:widowControl/>
              <w:spacing w:line="300" w:lineRule="auto"/>
              <w:ind w:firstLine="480" w:firstLineChars="200"/>
              <w:jc w:val="left"/>
              <w:rPr>
                <w:color w:val="auto"/>
                <w:kern w:val="0"/>
                <w:sz w:val="24"/>
                <w:szCs w:val="21"/>
                <w:lang w:bidi="zh-CN"/>
              </w:rPr>
            </w:pPr>
            <w:r>
              <w:rPr>
                <w:color w:val="auto"/>
                <w:kern w:val="0"/>
                <w:sz w:val="24"/>
                <w:szCs w:val="21"/>
                <w:lang w:bidi="zh-CN"/>
              </w:rPr>
              <w:t>将各种原料进行重量配料，采用滚筒式搅拌机现场搅拌，现场制作，并保证随拌随用；入仓振捣：将拌和原材料浇入模具，放置于振动台上，振动一分钟，使砼预制件内部密实，表面出浆，人工收面磨平压光，达到设计要求的强度指标；运输：用人工推车将制作完成的砼构件转移至硬化的平台上，水平摆放，统一管理；拆模：根据砼初凝期，使砼预制件达到一定强度后开始磕模，然后集中堆放，统一管理。</w:t>
            </w:r>
          </w:p>
          <w:p w14:paraId="22CF33E1">
            <w:pPr>
              <w:widowControl/>
              <w:spacing w:line="300" w:lineRule="auto"/>
              <w:ind w:firstLine="480" w:firstLineChars="200"/>
              <w:jc w:val="left"/>
              <w:rPr>
                <w:color w:val="auto"/>
                <w:kern w:val="0"/>
                <w:sz w:val="24"/>
                <w:szCs w:val="21"/>
                <w:lang w:bidi="zh-CN"/>
              </w:rPr>
            </w:pPr>
            <w:r>
              <w:rPr>
                <w:rFonts w:hint="eastAsia" w:ascii="宋体" w:hAnsi="宋体" w:cs="宋体"/>
                <w:color w:val="auto"/>
                <w:kern w:val="0"/>
                <w:sz w:val="24"/>
                <w:szCs w:val="21"/>
                <w:lang w:bidi="zh-CN"/>
              </w:rPr>
              <w:t xml:space="preserve">② </w:t>
            </w:r>
            <w:r>
              <w:rPr>
                <w:color w:val="auto"/>
                <w:kern w:val="0"/>
                <w:sz w:val="24"/>
                <w:szCs w:val="21"/>
                <w:lang w:bidi="zh-CN"/>
              </w:rPr>
              <w:t>产污环节分析</w:t>
            </w:r>
          </w:p>
          <w:p w14:paraId="28627C1F">
            <w:pPr>
              <w:widowControl/>
              <w:spacing w:line="300" w:lineRule="auto"/>
              <w:ind w:firstLine="480" w:firstLineChars="200"/>
              <w:jc w:val="left"/>
              <w:rPr>
                <w:color w:val="auto"/>
                <w:kern w:val="0"/>
                <w:sz w:val="24"/>
                <w:szCs w:val="21"/>
                <w:lang w:bidi="zh-CN"/>
              </w:rPr>
            </w:pPr>
            <w:r>
              <w:rPr>
                <w:color w:val="auto"/>
                <w:kern w:val="0"/>
                <w:sz w:val="24"/>
                <w:szCs w:val="21"/>
                <w:lang w:bidi="zh-CN"/>
              </w:rPr>
              <w:t>预制</w:t>
            </w:r>
            <w:r>
              <w:rPr>
                <w:rFonts w:hint="eastAsia"/>
                <w:color w:val="auto"/>
                <w:kern w:val="0"/>
                <w:sz w:val="24"/>
                <w:szCs w:val="21"/>
                <w:lang w:bidi="zh-CN"/>
              </w:rPr>
              <w:t>场</w:t>
            </w:r>
            <w:r>
              <w:rPr>
                <w:color w:val="auto"/>
                <w:kern w:val="0"/>
                <w:sz w:val="24"/>
                <w:szCs w:val="21"/>
                <w:lang w:bidi="zh-CN"/>
              </w:rPr>
              <w:t>生产废气产污环节：主要为搅拌机粉尘；废水产污环节：设备及车辆清洗废水；噪声：噪声主要为搅拌机等设备噪声；固体废物：固体废物主要为废混凝土块等。</w:t>
            </w:r>
          </w:p>
          <w:p w14:paraId="7668BFB9">
            <w:pPr>
              <w:autoSpaceDE w:val="0"/>
              <w:autoSpaceDN w:val="0"/>
              <w:adjustRightInd w:val="0"/>
              <w:spacing w:line="300" w:lineRule="auto"/>
              <w:ind w:firstLine="480" w:firstLineChars="200"/>
              <w:rPr>
                <w:rFonts w:hint="eastAsia"/>
                <w:color w:val="auto"/>
                <w:kern w:val="0"/>
                <w:sz w:val="24"/>
                <w:szCs w:val="21"/>
                <w:lang w:bidi="zh-CN"/>
              </w:rPr>
            </w:pPr>
            <w:r>
              <w:rPr>
                <w:color w:val="auto"/>
                <w:kern w:val="0"/>
                <w:sz w:val="24"/>
                <w:szCs w:val="21"/>
                <w:lang w:bidi="zh-CN"/>
              </w:rPr>
              <w:t>预制</w:t>
            </w:r>
            <w:r>
              <w:rPr>
                <w:rFonts w:hint="eastAsia"/>
                <w:color w:val="auto"/>
                <w:kern w:val="0"/>
                <w:sz w:val="24"/>
                <w:szCs w:val="21"/>
                <w:lang w:bidi="zh-CN"/>
              </w:rPr>
              <w:t>场</w:t>
            </w:r>
            <w:r>
              <w:rPr>
                <w:color w:val="auto"/>
                <w:kern w:val="0"/>
                <w:sz w:val="24"/>
                <w:szCs w:val="21"/>
                <w:lang w:bidi="zh-CN"/>
              </w:rPr>
              <w:t>工艺流程及产污环节图详见图2</w:t>
            </w:r>
            <w:r>
              <w:rPr>
                <w:rFonts w:hint="eastAsia"/>
                <w:color w:val="auto"/>
                <w:kern w:val="0"/>
                <w:sz w:val="24"/>
                <w:szCs w:val="21"/>
                <w:lang w:bidi="zh-CN"/>
              </w:rPr>
              <w:t>-8。</w:t>
            </w:r>
          </w:p>
          <w:p w14:paraId="4EEA4E53">
            <w:pPr>
              <w:autoSpaceDE w:val="0"/>
              <w:autoSpaceDN w:val="0"/>
              <w:adjustRightInd w:val="0"/>
              <w:spacing w:line="300" w:lineRule="auto"/>
              <w:ind w:firstLine="480" w:firstLineChars="200"/>
              <w:jc w:val="center"/>
              <w:rPr>
                <w:rFonts w:hint="eastAsia"/>
                <w:color w:val="FF0000"/>
                <w:kern w:val="0"/>
                <w:sz w:val="24"/>
                <w:szCs w:val="21"/>
                <w:lang w:bidi="zh-CN"/>
              </w:rPr>
            </w:pPr>
            <w:r>
              <w:rPr>
                <w:color w:val="FF0000"/>
                <w:kern w:val="0"/>
                <w:sz w:val="24"/>
                <w:szCs w:val="21"/>
              </w:rPr>
              <w:drawing>
                <wp:inline distT="0" distB="0" distL="0" distR="0">
                  <wp:extent cx="2933700" cy="2744470"/>
                  <wp:effectExtent l="0" t="0" r="0" b="17780"/>
                  <wp:docPr id="11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6"/>
                          <pic:cNvPicPr>
                            <a:picLocks noChangeAspect="1" noChangeArrowheads="1"/>
                          </pic:cNvPicPr>
                        </pic:nvPicPr>
                        <pic:blipFill>
                          <a:blip r:embed="rId154" cstate="print"/>
                          <a:srcRect/>
                          <a:stretch>
                            <a:fillRect/>
                          </a:stretch>
                        </pic:blipFill>
                        <pic:spPr>
                          <a:xfrm>
                            <a:off x="0" y="0"/>
                            <a:ext cx="2933700" cy="2744470"/>
                          </a:xfrm>
                          <a:prstGeom prst="rect">
                            <a:avLst/>
                          </a:prstGeom>
                          <a:noFill/>
                          <a:ln w="9525">
                            <a:noFill/>
                            <a:miter lim="800000"/>
                            <a:headEnd/>
                            <a:tailEnd/>
                          </a:ln>
                        </pic:spPr>
                      </pic:pic>
                    </a:graphicData>
                  </a:graphic>
                </wp:inline>
              </w:drawing>
            </w:r>
          </w:p>
          <w:p w14:paraId="44187D01">
            <w:pPr>
              <w:widowControl/>
              <w:jc w:val="center"/>
              <w:rPr>
                <w:b/>
                <w:bCs/>
                <w:color w:val="auto"/>
                <w:kern w:val="0"/>
                <w:szCs w:val="21"/>
              </w:rPr>
            </w:pPr>
            <w:r>
              <w:rPr>
                <w:b/>
                <w:bCs/>
                <w:color w:val="auto"/>
                <w:kern w:val="0"/>
                <w:szCs w:val="21"/>
              </w:rPr>
              <w:t>图2</w:t>
            </w:r>
            <w:r>
              <w:rPr>
                <w:rFonts w:hint="eastAsia"/>
                <w:b/>
                <w:bCs/>
                <w:color w:val="auto"/>
                <w:kern w:val="0"/>
                <w:szCs w:val="21"/>
              </w:rPr>
              <w:t xml:space="preserve">-8  </w:t>
            </w:r>
            <w:r>
              <w:rPr>
                <w:b/>
                <w:bCs/>
                <w:color w:val="auto"/>
                <w:kern w:val="0"/>
                <w:szCs w:val="21"/>
              </w:rPr>
              <w:t>预制件生产工艺流程及产污环节图</w:t>
            </w:r>
          </w:p>
          <w:p w14:paraId="638E00F3">
            <w:pPr>
              <w:autoSpaceDE w:val="0"/>
              <w:autoSpaceDN w:val="0"/>
              <w:adjustRightInd w:val="0"/>
              <w:spacing w:line="300" w:lineRule="auto"/>
              <w:rPr>
                <w:b/>
                <w:kern w:val="0"/>
                <w:sz w:val="24"/>
              </w:rPr>
            </w:pPr>
            <w:r>
              <w:rPr>
                <w:b/>
                <w:bCs/>
                <w:kern w:val="0"/>
                <w:sz w:val="24"/>
              </w:rPr>
              <w:t xml:space="preserve">2. </w:t>
            </w:r>
            <w:r>
              <w:rPr>
                <w:b/>
                <w:kern w:val="0"/>
                <w:sz w:val="24"/>
              </w:rPr>
              <w:t>筑路材料</w:t>
            </w:r>
          </w:p>
          <w:p w14:paraId="4DAF7EC4">
            <w:pPr>
              <w:autoSpaceDE w:val="0"/>
              <w:autoSpaceDN w:val="0"/>
              <w:adjustRightInd w:val="0"/>
              <w:spacing w:line="300" w:lineRule="auto"/>
              <w:ind w:firstLine="480" w:firstLineChars="200"/>
              <w:rPr>
                <w:kern w:val="0"/>
                <w:sz w:val="24"/>
              </w:rPr>
            </w:pPr>
            <w:r>
              <w:rPr>
                <w:rFonts w:hint="eastAsia"/>
                <w:kern w:val="0"/>
                <w:sz w:val="24"/>
              </w:rPr>
              <w:t>(1) 料场</w:t>
            </w:r>
          </w:p>
          <w:p w14:paraId="609F16A5">
            <w:pPr>
              <w:autoSpaceDE w:val="0"/>
              <w:autoSpaceDN w:val="0"/>
              <w:adjustRightInd w:val="0"/>
              <w:spacing w:line="300" w:lineRule="auto"/>
              <w:ind w:firstLine="480" w:firstLineChars="200"/>
              <w:rPr>
                <w:kern w:val="0"/>
                <w:sz w:val="24"/>
              </w:rPr>
            </w:pPr>
            <w:r>
              <w:rPr>
                <w:rFonts w:hint="eastAsia"/>
                <w:kern w:val="0"/>
                <w:sz w:val="24"/>
              </w:rPr>
              <w:t>经调查，拟建公路沿线砂、砾石料，路基填筑材料-砾类土和水料场一般，碎石石料较为稀缺。砂、砾石料和路基填筑材料-砾类土主要分布于山前冲洪积区。料场储量丰富，开采条件尚可、运输便利。工程用水可在沿线取水。</w:t>
            </w:r>
          </w:p>
          <w:p w14:paraId="523491EE">
            <w:pPr>
              <w:autoSpaceDE w:val="0"/>
              <w:autoSpaceDN w:val="0"/>
              <w:adjustRightInd w:val="0"/>
              <w:spacing w:line="300" w:lineRule="auto"/>
              <w:ind w:firstLine="480" w:firstLineChars="200"/>
              <w:rPr>
                <w:kern w:val="0"/>
                <w:sz w:val="24"/>
              </w:rPr>
            </w:pPr>
            <w:r>
              <w:rPr>
                <w:rFonts w:hint="eastAsia"/>
                <w:kern w:val="0"/>
                <w:sz w:val="24"/>
              </w:rPr>
              <w:t>① 水料场</w:t>
            </w:r>
          </w:p>
          <w:p w14:paraId="45CF3712">
            <w:pPr>
              <w:autoSpaceDE w:val="0"/>
              <w:autoSpaceDN w:val="0"/>
              <w:adjustRightInd w:val="0"/>
              <w:spacing w:line="300" w:lineRule="auto"/>
              <w:ind w:firstLine="480" w:firstLineChars="200"/>
              <w:rPr>
                <w:kern w:val="0"/>
                <w:sz w:val="24"/>
              </w:rPr>
            </w:pPr>
            <w:r>
              <w:rPr>
                <w:rFonts w:hint="eastAsia"/>
                <w:kern w:val="0"/>
                <w:sz w:val="24"/>
                <w:lang w:val="en-US" w:eastAsia="zh-CN"/>
              </w:rPr>
              <w:t>项目</w:t>
            </w:r>
            <w:r>
              <w:rPr>
                <w:rFonts w:hint="eastAsia"/>
                <w:kern w:val="0"/>
                <w:sz w:val="24"/>
              </w:rPr>
              <w:t>沿线地表水水质较差，含盐量高，无法直接用于工程使用，经与水利部门沟通，工程用水采用沿线灌溉用地下机井水，共设置机井取水点3处，分别为K24+260左100m、K37+630右60m、K56+840右130m。每个取水点每小时可取水200m</w:t>
            </w:r>
            <w:r>
              <w:rPr>
                <w:rFonts w:hint="eastAsia"/>
                <w:kern w:val="0"/>
                <w:sz w:val="24"/>
                <w:vertAlign w:val="superscript"/>
                <w:lang w:val="en-US" w:eastAsia="zh-CN"/>
              </w:rPr>
              <w:t>3</w:t>
            </w:r>
            <w:r>
              <w:rPr>
                <w:rFonts w:hint="eastAsia"/>
                <w:kern w:val="0"/>
                <w:sz w:val="24"/>
              </w:rPr>
              <w:t>，单价按居民生活用水价3.2元/m。</w:t>
            </w:r>
          </w:p>
          <w:p w14:paraId="39807EB0">
            <w:pPr>
              <w:autoSpaceDE w:val="0"/>
              <w:autoSpaceDN w:val="0"/>
              <w:adjustRightInd w:val="0"/>
              <w:spacing w:line="300" w:lineRule="auto"/>
              <w:ind w:firstLine="480" w:firstLineChars="200"/>
              <w:rPr>
                <w:kern w:val="0"/>
                <w:sz w:val="24"/>
              </w:rPr>
            </w:pPr>
            <w:r>
              <w:rPr>
                <w:rFonts w:hint="eastAsia"/>
                <w:kern w:val="0"/>
                <w:sz w:val="24"/>
              </w:rPr>
              <w:t>② 砂、砾石料场</w:t>
            </w:r>
          </w:p>
          <w:p w14:paraId="1188F4EA">
            <w:pPr>
              <w:autoSpaceDE w:val="0"/>
              <w:autoSpaceDN w:val="0"/>
              <w:adjustRightInd w:val="0"/>
              <w:spacing w:line="300" w:lineRule="auto"/>
              <w:ind w:firstLine="480" w:firstLineChars="200"/>
              <w:rPr>
                <w:kern w:val="0"/>
                <w:sz w:val="24"/>
              </w:rPr>
            </w:pPr>
            <w:r>
              <w:rPr>
                <w:rFonts w:hint="eastAsia"/>
                <w:kern w:val="0"/>
                <w:sz w:val="24"/>
              </w:rPr>
              <w:t>砂、砾石料场</w:t>
            </w:r>
            <w:r>
              <w:rPr>
                <w:rFonts w:hint="eastAsia"/>
                <w:kern w:val="0"/>
                <w:sz w:val="24"/>
                <w:lang w:val="en-US" w:eastAsia="zh-CN"/>
              </w:rPr>
              <w:t>共有</w:t>
            </w:r>
            <w:r>
              <w:rPr>
                <w:rFonts w:hint="eastAsia"/>
                <w:kern w:val="0"/>
                <w:sz w:val="24"/>
              </w:rPr>
              <w:t>2处，</w:t>
            </w:r>
            <w:r>
              <w:rPr>
                <w:rFonts w:hint="eastAsia"/>
                <w:kern w:val="0"/>
                <w:sz w:val="24"/>
                <w:lang w:val="en-US" w:eastAsia="zh-CN"/>
              </w:rPr>
              <w:t>分别</w:t>
            </w:r>
            <w:r>
              <w:rPr>
                <w:rFonts w:hint="eastAsia"/>
                <w:kern w:val="0"/>
                <w:sz w:val="24"/>
              </w:rPr>
              <w:t>位于G314线K1385+700处右侧2.0km</w:t>
            </w:r>
            <w:r>
              <w:rPr>
                <w:rFonts w:hint="eastAsia"/>
                <w:kern w:val="0"/>
                <w:sz w:val="24"/>
                <w:lang w:eastAsia="zh-CN"/>
              </w:rPr>
              <w:t>、</w:t>
            </w:r>
            <w:r>
              <w:rPr>
                <w:rFonts w:hint="eastAsia"/>
                <w:kern w:val="0"/>
                <w:sz w:val="24"/>
              </w:rPr>
              <w:t>G314线K1384+000右侧3.0km</w:t>
            </w:r>
            <w:r>
              <w:rPr>
                <w:rFonts w:hint="eastAsia"/>
                <w:kern w:val="0"/>
                <w:sz w:val="24"/>
                <w:lang w:eastAsia="zh-CN"/>
              </w:rPr>
              <w:t>，</w:t>
            </w:r>
            <w:r>
              <w:rPr>
                <w:rFonts w:hint="eastAsia"/>
                <w:kern w:val="0"/>
                <w:sz w:val="24"/>
                <w:lang w:val="en-US" w:eastAsia="zh-CN"/>
              </w:rPr>
              <w:t>均为商品料场，</w:t>
            </w:r>
            <w:r>
              <w:rPr>
                <w:rFonts w:hint="eastAsia"/>
                <w:kern w:val="0"/>
                <w:sz w:val="24"/>
              </w:rPr>
              <w:t>品质好、强度高，储量丰富，可开采条件较好，运输方便。</w:t>
            </w:r>
          </w:p>
          <w:p w14:paraId="7C794515">
            <w:pPr>
              <w:autoSpaceDE w:val="0"/>
              <w:autoSpaceDN w:val="0"/>
              <w:adjustRightInd w:val="0"/>
              <w:spacing w:line="300" w:lineRule="auto"/>
              <w:ind w:firstLine="480" w:firstLineChars="200"/>
              <w:rPr>
                <w:kern w:val="0"/>
                <w:sz w:val="24"/>
              </w:rPr>
            </w:pPr>
            <w:r>
              <w:rPr>
                <w:rFonts w:hint="eastAsia"/>
                <w:kern w:val="0"/>
                <w:sz w:val="24"/>
              </w:rPr>
              <w:t>③ 碎石料场</w:t>
            </w:r>
          </w:p>
          <w:p w14:paraId="535C34A9">
            <w:pPr>
              <w:autoSpaceDE w:val="0"/>
              <w:autoSpaceDN w:val="0"/>
              <w:adjustRightInd w:val="0"/>
              <w:spacing w:line="300" w:lineRule="auto"/>
              <w:ind w:firstLine="480" w:firstLineChars="200"/>
              <w:rPr>
                <w:kern w:val="0"/>
                <w:sz w:val="24"/>
              </w:rPr>
            </w:pPr>
            <w:r>
              <w:rPr>
                <w:rFonts w:hint="eastAsia"/>
                <w:kern w:val="0"/>
                <w:sz w:val="24"/>
                <w:lang w:val="en-US" w:eastAsia="zh-CN"/>
              </w:rPr>
              <w:t>碎石料场1处，</w:t>
            </w:r>
            <w:r>
              <w:rPr>
                <w:rFonts w:hint="eastAsia"/>
                <w:kern w:val="0"/>
                <w:sz w:val="24"/>
              </w:rPr>
              <w:t>位于英吉沙县X473线K7+600左12km，英吉沙石料厂，覆盖层1m左右，所产石料为安山岩，石料强度满足要求，可作为沥青路面面层和桥涵构造物用料。现有外购商品料，运距130km。</w:t>
            </w:r>
          </w:p>
          <w:p w14:paraId="135D15E2">
            <w:pPr>
              <w:autoSpaceDE w:val="0"/>
              <w:autoSpaceDN w:val="0"/>
              <w:adjustRightInd w:val="0"/>
              <w:spacing w:line="300" w:lineRule="auto"/>
              <w:ind w:firstLine="480" w:firstLineChars="200"/>
              <w:rPr>
                <w:kern w:val="0"/>
                <w:sz w:val="24"/>
              </w:rPr>
            </w:pPr>
            <w:r>
              <w:rPr>
                <w:rFonts w:hint="eastAsia"/>
                <w:kern w:val="0"/>
                <w:sz w:val="24"/>
              </w:rPr>
              <w:t>(2) 外购材料</w:t>
            </w:r>
          </w:p>
          <w:p w14:paraId="751D3473">
            <w:pPr>
              <w:autoSpaceDE w:val="0"/>
              <w:autoSpaceDN w:val="0"/>
              <w:adjustRightInd w:val="0"/>
              <w:spacing w:line="300" w:lineRule="auto"/>
              <w:ind w:firstLine="480" w:firstLineChars="200"/>
              <w:rPr>
                <w:kern w:val="0"/>
                <w:sz w:val="24"/>
              </w:rPr>
            </w:pPr>
            <w:r>
              <w:rPr>
                <w:rFonts w:hint="eastAsia"/>
                <w:kern w:val="0"/>
                <w:sz w:val="24"/>
              </w:rPr>
              <w:t>水泥、矿粉、木材、钢筋喀什购买，汽车运输，运距75km，其他钢材在乌鲁木齐市购买，汽车运输，运距1450km。工程所需沥青可从疆内购买，汽车运输，运距1760km。</w:t>
            </w:r>
          </w:p>
          <w:p w14:paraId="7C720633">
            <w:pPr>
              <w:autoSpaceDE w:val="0"/>
              <w:autoSpaceDN w:val="0"/>
              <w:adjustRightInd w:val="0"/>
              <w:spacing w:line="300" w:lineRule="auto"/>
              <w:ind w:firstLine="480" w:firstLineChars="200"/>
              <w:rPr>
                <w:kern w:val="0"/>
                <w:sz w:val="24"/>
              </w:rPr>
            </w:pPr>
            <w:r>
              <w:rPr>
                <w:rFonts w:hint="eastAsia"/>
                <w:kern w:val="0"/>
                <w:sz w:val="24"/>
              </w:rPr>
              <w:t>(3) 工程用电</w:t>
            </w:r>
          </w:p>
          <w:p w14:paraId="416F6DA9">
            <w:pPr>
              <w:autoSpaceDE w:val="0"/>
              <w:autoSpaceDN w:val="0"/>
              <w:adjustRightInd w:val="0"/>
              <w:spacing w:after="120" w:afterLines="50" w:line="300" w:lineRule="auto"/>
              <w:ind w:firstLine="465" w:firstLineChars="194"/>
              <w:rPr>
                <w:kern w:val="0"/>
                <w:sz w:val="24"/>
              </w:rPr>
            </w:pPr>
            <w:r>
              <w:rPr>
                <w:rFonts w:hint="eastAsia"/>
                <w:kern w:val="0"/>
                <w:sz w:val="24"/>
              </w:rPr>
              <w:t>拟建公路用电考虑自发电和社会用电结合的方案，80%为社会用电，20%为自发电。</w:t>
            </w:r>
          </w:p>
          <w:p w14:paraId="6ACED25F">
            <w:pPr>
              <w:adjustRightInd w:val="0"/>
              <w:spacing w:line="300" w:lineRule="auto"/>
              <w:rPr>
                <w:b/>
                <w:kern w:val="0"/>
                <w:sz w:val="24"/>
              </w:rPr>
            </w:pPr>
            <w:r>
              <w:rPr>
                <w:b/>
                <w:bCs/>
                <w:kern w:val="0"/>
                <w:sz w:val="24"/>
              </w:rPr>
              <w:t xml:space="preserve">3. </w:t>
            </w:r>
            <w:r>
              <w:rPr>
                <w:b/>
                <w:kern w:val="0"/>
                <w:sz w:val="24"/>
              </w:rPr>
              <w:t>运输条件</w:t>
            </w:r>
          </w:p>
          <w:p w14:paraId="1B696885">
            <w:pPr>
              <w:autoSpaceDE w:val="0"/>
              <w:autoSpaceDN w:val="0"/>
              <w:adjustRightInd w:val="0"/>
              <w:spacing w:after="120" w:afterLines="50" w:line="300" w:lineRule="auto"/>
              <w:ind w:firstLine="480" w:firstLineChars="200"/>
              <w:rPr>
                <w:kern w:val="0"/>
                <w:sz w:val="24"/>
              </w:rPr>
            </w:pPr>
            <w:r>
              <w:rPr>
                <w:kern w:val="0"/>
                <w:sz w:val="24"/>
              </w:rPr>
              <w:t>从交通运输条件看，项目区域满足施工的要求，交通运输条件好，主要有公路G219、G314现有旧路等直通项目所在区域，施工机械设备、筑路材料等需修筑一定量的施工便道即可运往工地。</w:t>
            </w:r>
          </w:p>
          <w:p w14:paraId="35DB8046">
            <w:pPr>
              <w:autoSpaceDE w:val="0"/>
              <w:autoSpaceDN w:val="0"/>
              <w:adjustRightInd w:val="0"/>
              <w:spacing w:line="300" w:lineRule="auto"/>
              <w:rPr>
                <w:color w:val="auto"/>
                <w:kern w:val="0"/>
                <w:sz w:val="24"/>
              </w:rPr>
            </w:pPr>
            <w:r>
              <w:rPr>
                <w:b/>
                <w:bCs/>
                <w:color w:val="auto"/>
                <w:kern w:val="0"/>
                <w:sz w:val="24"/>
              </w:rPr>
              <w:t>4</w:t>
            </w:r>
            <w:r>
              <w:rPr>
                <w:b/>
                <w:color w:val="auto"/>
                <w:kern w:val="0"/>
                <w:sz w:val="24"/>
              </w:rPr>
              <w:t>. 施工进度安排</w:t>
            </w:r>
          </w:p>
          <w:p w14:paraId="40D4BB9F">
            <w:pPr>
              <w:autoSpaceDE w:val="0"/>
              <w:autoSpaceDN w:val="0"/>
              <w:adjustRightInd w:val="0"/>
              <w:spacing w:line="300" w:lineRule="auto"/>
              <w:ind w:firstLine="480" w:firstLineChars="200"/>
              <w:rPr>
                <w:color w:val="0070C0"/>
                <w:kern w:val="0"/>
                <w:sz w:val="24"/>
              </w:rPr>
            </w:pPr>
            <w:r>
              <w:rPr>
                <w:color w:val="auto"/>
                <w:kern w:val="0"/>
                <w:sz w:val="24"/>
              </w:rPr>
              <w:t>拟建公路</w:t>
            </w:r>
            <w:r>
              <w:rPr>
                <w:rFonts w:hint="eastAsia" w:ascii="宋体" w:cs="宋体"/>
                <w:color w:val="auto"/>
                <w:kern w:val="0"/>
                <w:sz w:val="24"/>
              </w:rPr>
              <w:t>建设计划为</w:t>
            </w:r>
            <w:r>
              <w:rPr>
                <w:color w:val="auto"/>
                <w:kern w:val="0"/>
                <w:sz w:val="24"/>
              </w:rPr>
              <w:t>202</w:t>
            </w:r>
            <w:r>
              <w:rPr>
                <w:rFonts w:hint="eastAsia"/>
                <w:color w:val="auto"/>
                <w:kern w:val="0"/>
                <w:sz w:val="24"/>
                <w:lang w:val="en-US" w:eastAsia="zh-CN"/>
              </w:rPr>
              <w:t>6</w:t>
            </w:r>
            <w:r>
              <w:rPr>
                <w:rFonts w:hint="eastAsia" w:ascii="宋体" w:cs="宋体"/>
                <w:color w:val="auto"/>
                <w:kern w:val="0"/>
                <w:sz w:val="24"/>
              </w:rPr>
              <w:t>～</w:t>
            </w:r>
            <w:r>
              <w:rPr>
                <w:color w:val="auto"/>
                <w:kern w:val="0"/>
                <w:sz w:val="24"/>
              </w:rPr>
              <w:t>202</w:t>
            </w:r>
            <w:r>
              <w:rPr>
                <w:rFonts w:hint="eastAsia"/>
                <w:color w:val="auto"/>
                <w:kern w:val="0"/>
                <w:sz w:val="24"/>
                <w:lang w:val="en-US" w:eastAsia="zh-CN"/>
              </w:rPr>
              <w:t>8</w:t>
            </w:r>
            <w:r>
              <w:rPr>
                <w:rFonts w:hint="eastAsia" w:ascii="宋体" w:cs="宋体"/>
                <w:color w:val="auto"/>
                <w:kern w:val="0"/>
                <w:sz w:val="24"/>
              </w:rPr>
              <w:t>年，建设工期</w:t>
            </w:r>
            <w:r>
              <w:rPr>
                <w:rFonts w:hint="eastAsia"/>
                <w:color w:val="auto"/>
                <w:kern w:val="0"/>
                <w:sz w:val="24"/>
                <w:lang w:val="en-US" w:eastAsia="zh-CN"/>
              </w:rPr>
              <w:t>2</w:t>
            </w:r>
            <w:r>
              <w:rPr>
                <w:color w:val="auto"/>
                <w:kern w:val="0"/>
                <w:sz w:val="24"/>
              </w:rPr>
              <w:t>年。</w:t>
            </w:r>
          </w:p>
        </w:tc>
      </w:tr>
      <w:tr w14:paraId="7F41AF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456" w:type="dxa"/>
            <w:vAlign w:val="center"/>
          </w:tcPr>
          <w:p w14:paraId="61DBE165">
            <w:pPr>
              <w:adjustRightInd w:val="0"/>
              <w:snapToGrid w:val="0"/>
              <w:jc w:val="center"/>
              <w:rPr>
                <w:color w:val="auto"/>
                <w:kern w:val="0"/>
                <w:szCs w:val="21"/>
              </w:rPr>
            </w:pPr>
            <w:r>
              <w:rPr>
                <w:color w:val="auto"/>
                <w:kern w:val="0"/>
                <w:szCs w:val="21"/>
              </w:rPr>
              <w:t>其他</w:t>
            </w:r>
          </w:p>
        </w:tc>
        <w:tc>
          <w:tcPr>
            <w:tcW w:w="8616" w:type="dxa"/>
            <w:vAlign w:val="center"/>
          </w:tcPr>
          <w:p w14:paraId="64111AE5">
            <w:pPr>
              <w:pStyle w:val="58"/>
              <w:adjustRightInd w:val="0"/>
              <w:spacing w:before="240" w:beforeLines="100"/>
              <w:ind w:firstLine="0" w:firstLineChars="0"/>
              <w:jc w:val="center"/>
              <w:rPr>
                <w:rFonts w:eastAsiaTheme="minorEastAsia"/>
                <w:color w:val="auto"/>
                <w:szCs w:val="24"/>
              </w:rPr>
            </w:pPr>
            <w:r>
              <w:rPr>
                <w:rFonts w:hint="eastAsia" w:eastAsiaTheme="minorEastAsia"/>
                <w:color w:val="auto"/>
                <w:szCs w:val="24"/>
              </w:rPr>
              <w:t>无。</w:t>
            </w:r>
          </w:p>
        </w:tc>
      </w:tr>
    </w:tbl>
    <w:p w14:paraId="15EF6E07">
      <w:pPr>
        <w:rPr>
          <w:color w:val="0070C0"/>
        </w:rPr>
        <w:sectPr>
          <w:headerReference r:id="rId8" w:type="default"/>
          <w:pgSz w:w="11906" w:h="16838"/>
          <w:pgMar w:top="1701" w:right="1531" w:bottom="1701" w:left="1531" w:header="1134" w:footer="1134" w:gutter="0"/>
          <w:pgBorders>
            <w:top w:val="none" w:sz="0" w:space="0"/>
            <w:left w:val="none" w:sz="0" w:space="0"/>
            <w:bottom w:val="none" w:sz="0" w:space="0"/>
            <w:right w:val="none" w:sz="0" w:space="0"/>
          </w:pgBorders>
          <w:cols w:space="425" w:num="1"/>
          <w:docGrid w:linePitch="312" w:charSpace="0"/>
        </w:sectPr>
      </w:pPr>
    </w:p>
    <w:p w14:paraId="1D5CADA1">
      <w:pPr>
        <w:pStyle w:val="20"/>
        <w:jc w:val="center"/>
        <w:outlineLvl w:val="0"/>
        <w:rPr>
          <w:rFonts w:ascii="Times New Roman" w:hAnsi="Times New Roman" w:eastAsia="黑体"/>
          <w:snapToGrid w:val="0"/>
          <w:color w:val="auto"/>
          <w:sz w:val="30"/>
          <w:szCs w:val="30"/>
        </w:rPr>
      </w:pPr>
      <w:r>
        <w:rPr>
          <w:rFonts w:ascii="Times New Roman" w:hAnsi="Times New Roman" w:eastAsia="黑体"/>
          <w:snapToGrid w:val="0"/>
          <w:color w:val="auto"/>
          <w:sz w:val="30"/>
          <w:szCs w:val="30"/>
        </w:rPr>
        <w:t>三、生态环境现状、保护目标及评价标准</w:t>
      </w:r>
    </w:p>
    <w:tbl>
      <w:tblPr>
        <w:tblStyle w:val="22"/>
        <w:tblW w:w="9072" w:type="dxa"/>
        <w:tblInd w:w="108"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456"/>
        <w:gridCol w:w="8616"/>
      </w:tblGrid>
      <w:tr w14:paraId="46ACD57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456" w:type="dxa"/>
            <w:tcBorders>
              <w:bottom w:val="single" w:color="auto" w:sz="4" w:space="0"/>
            </w:tcBorders>
            <w:vAlign w:val="center"/>
          </w:tcPr>
          <w:p w14:paraId="077DBDFA">
            <w:pPr>
              <w:adjustRightInd w:val="0"/>
              <w:snapToGrid w:val="0"/>
              <w:jc w:val="center"/>
              <w:rPr>
                <w:color w:val="auto"/>
                <w:kern w:val="0"/>
                <w:sz w:val="24"/>
              </w:rPr>
            </w:pPr>
            <w:r>
              <w:rPr>
                <w:color w:val="auto"/>
                <w:kern w:val="0"/>
                <w:sz w:val="24"/>
              </w:rPr>
              <w:t>生态环境现状</w:t>
            </w:r>
          </w:p>
        </w:tc>
        <w:tc>
          <w:tcPr>
            <w:tcW w:w="8616" w:type="dxa"/>
            <w:tcBorders>
              <w:bottom w:val="single" w:color="auto" w:sz="4" w:space="0"/>
            </w:tcBorders>
            <w:vAlign w:val="center"/>
          </w:tcPr>
          <w:p w14:paraId="7DEDD40B">
            <w:pPr>
              <w:adjustRightInd w:val="0"/>
              <w:spacing w:after="120" w:afterLines="50" w:line="300" w:lineRule="auto"/>
              <w:rPr>
                <w:b/>
                <w:kern w:val="0"/>
                <w:sz w:val="24"/>
              </w:rPr>
            </w:pPr>
            <w:r>
              <w:rPr>
                <w:b/>
                <w:kern w:val="0"/>
                <w:sz w:val="24"/>
              </w:rPr>
              <w:t>一、自然环境概况</w:t>
            </w:r>
          </w:p>
          <w:p w14:paraId="27EC9AFD">
            <w:pPr>
              <w:autoSpaceDE w:val="0"/>
              <w:autoSpaceDN w:val="0"/>
              <w:adjustRightInd w:val="0"/>
              <w:spacing w:line="300" w:lineRule="auto"/>
              <w:rPr>
                <w:b/>
                <w:kern w:val="0"/>
                <w:sz w:val="24"/>
              </w:rPr>
            </w:pPr>
            <w:r>
              <w:rPr>
                <w:b/>
                <w:bCs/>
                <w:kern w:val="0"/>
                <w:sz w:val="24"/>
              </w:rPr>
              <w:t>1.</w:t>
            </w:r>
            <w:r>
              <w:rPr>
                <w:rFonts w:hint="eastAsia"/>
                <w:b/>
                <w:bCs/>
                <w:kern w:val="0"/>
                <w:sz w:val="24"/>
              </w:rPr>
              <w:t xml:space="preserve"> </w:t>
            </w:r>
            <w:r>
              <w:rPr>
                <w:b/>
                <w:kern w:val="0"/>
                <w:sz w:val="24"/>
              </w:rPr>
              <w:t>地形地貌</w:t>
            </w:r>
          </w:p>
          <w:p w14:paraId="7184DE1C">
            <w:pPr>
              <w:autoSpaceDE w:val="0"/>
              <w:autoSpaceDN w:val="0"/>
              <w:adjustRightInd w:val="0"/>
              <w:spacing w:after="120" w:afterLines="50" w:line="300" w:lineRule="auto"/>
              <w:ind w:firstLine="480" w:firstLineChars="200"/>
              <w:rPr>
                <w:rFonts w:eastAsiaTheme="minorEastAsia"/>
                <w:kern w:val="0"/>
                <w:sz w:val="24"/>
              </w:rPr>
            </w:pPr>
            <w:r>
              <w:rPr>
                <w:rFonts w:hint="eastAsia" w:hAnsiTheme="minorEastAsia" w:eastAsiaTheme="minorEastAsia"/>
                <w:kern w:val="0"/>
                <w:sz w:val="24"/>
              </w:rPr>
              <w:t>拟建公路所在区域位于天山南麓塔里木盆地西部边缘，地处喀什冲积扇平原的前端、喀什绿洲中部，属沙漠与冲积平原过渡的绿洲地带。地貌为沉积或冲积平原，其形态包括风成沙包、盐土荒漠和现代河流淤积绿洲等。项目沿线穿越的地貌单元有河流堆积冲洪积地貌区、河流堆积冲积平原地貌区、河流侵蚀堆积河漫滩地貌区</w:t>
            </w:r>
            <w:r>
              <w:rPr>
                <w:rFonts w:hAnsiTheme="minorEastAsia" w:eastAsiaTheme="minorEastAsia"/>
                <w:kern w:val="0"/>
                <w:sz w:val="24"/>
              </w:rPr>
              <w:t>。</w:t>
            </w:r>
            <w:r>
              <w:rPr>
                <w:rFonts w:hint="eastAsia" w:hAnsiTheme="minorEastAsia" w:eastAsiaTheme="minorEastAsia"/>
                <w:kern w:val="0"/>
                <w:sz w:val="24"/>
              </w:rPr>
              <w:t>项目沿线海拔在1190m~1225m之间，地形起伏不大。</w:t>
            </w:r>
          </w:p>
          <w:p w14:paraId="1149CD70">
            <w:pPr>
              <w:autoSpaceDE w:val="0"/>
              <w:autoSpaceDN w:val="0"/>
              <w:adjustRightInd w:val="0"/>
              <w:spacing w:line="300" w:lineRule="auto"/>
              <w:rPr>
                <w:b/>
                <w:kern w:val="0"/>
                <w:sz w:val="24"/>
              </w:rPr>
            </w:pPr>
            <w:r>
              <w:rPr>
                <w:rFonts w:hint="eastAsia"/>
                <w:b/>
                <w:bCs/>
                <w:kern w:val="0"/>
                <w:sz w:val="24"/>
              </w:rPr>
              <w:t>2</w:t>
            </w:r>
            <w:r>
              <w:rPr>
                <w:b/>
                <w:bCs/>
                <w:kern w:val="0"/>
                <w:sz w:val="24"/>
              </w:rPr>
              <w:t>.</w:t>
            </w:r>
            <w:r>
              <w:rPr>
                <w:rFonts w:hint="eastAsia"/>
                <w:b/>
                <w:bCs/>
                <w:kern w:val="0"/>
                <w:sz w:val="24"/>
              </w:rPr>
              <w:t xml:space="preserve"> </w:t>
            </w:r>
            <w:r>
              <w:rPr>
                <w:b/>
                <w:kern w:val="0"/>
                <w:sz w:val="24"/>
              </w:rPr>
              <w:t>气候条件</w:t>
            </w:r>
          </w:p>
          <w:p w14:paraId="5AEF90E4">
            <w:pPr>
              <w:autoSpaceDE w:val="0"/>
              <w:autoSpaceDN w:val="0"/>
              <w:adjustRightInd w:val="0"/>
              <w:spacing w:line="300" w:lineRule="auto"/>
              <w:ind w:firstLine="480" w:firstLineChars="200"/>
              <w:rPr>
                <w:rFonts w:hint="eastAsia" w:hAnsiTheme="minorEastAsia" w:eastAsiaTheme="minorEastAsia"/>
                <w:kern w:val="0"/>
                <w:sz w:val="24"/>
              </w:rPr>
            </w:pPr>
            <w:r>
              <w:rPr>
                <w:rFonts w:hint="eastAsia" w:hAnsiTheme="minorEastAsia" w:eastAsiaTheme="minorEastAsia"/>
                <w:kern w:val="0"/>
                <w:sz w:val="24"/>
              </w:rPr>
              <w:t>项目区属暖温带荒漠、大陆性</w:t>
            </w:r>
            <w:r>
              <w:rPr>
                <w:rFonts w:hint="eastAsia" w:hAnsiTheme="minorEastAsia" w:eastAsiaTheme="minorEastAsia"/>
                <w:kern w:val="0"/>
                <w:sz w:val="24"/>
                <w:lang w:eastAsia="zh-CN"/>
              </w:rPr>
              <w:t>干旱气候</w:t>
            </w:r>
            <w:r>
              <w:rPr>
                <w:rFonts w:hint="eastAsia" w:hAnsiTheme="minorEastAsia" w:eastAsiaTheme="minorEastAsia"/>
                <w:kern w:val="0"/>
                <w:sz w:val="24"/>
              </w:rPr>
              <w:t>区。气候主要特征为：夏季炎热，冬季寒冷，四季分明，昼夜温差较大，湿度小，光照充足，热量丰富，无霜期长，空气干燥，降水量少，蒸发极强。</w:t>
            </w:r>
          </w:p>
          <w:p w14:paraId="575AFF81">
            <w:pPr>
              <w:keepNext w:val="0"/>
              <w:keepLines w:val="0"/>
              <w:pageBreakBefore w:val="0"/>
              <w:widowControl w:val="0"/>
              <w:kinsoku/>
              <w:wordWrap/>
              <w:overflowPunct/>
              <w:topLinePunct w:val="0"/>
              <w:autoSpaceDE w:val="0"/>
              <w:autoSpaceDN w:val="0"/>
              <w:bidi w:val="0"/>
              <w:adjustRightInd w:val="0"/>
              <w:snapToGrid/>
              <w:spacing w:after="157" w:afterLines="50" w:line="300" w:lineRule="auto"/>
              <w:ind w:firstLine="480" w:firstLineChars="200"/>
              <w:textAlignment w:val="auto"/>
              <w:rPr>
                <w:rFonts w:hint="eastAsia" w:hAnsiTheme="minorEastAsia" w:eastAsiaTheme="minorEastAsia"/>
                <w:kern w:val="0"/>
                <w:sz w:val="24"/>
              </w:rPr>
            </w:pPr>
            <w:r>
              <w:rPr>
                <w:rFonts w:hint="eastAsia" w:hAnsiTheme="minorEastAsia" w:eastAsiaTheme="minorEastAsia"/>
                <w:kern w:val="0"/>
                <w:sz w:val="24"/>
              </w:rPr>
              <w:t>区内年平均气温11.7℃，1月份最冷，平均温度为-6.8℃，7月份最热，平均温度为26.3℃，极端最低气温-22.1℃，极端最高气温达41.1℃。年平均无霜期 214~233d，年平均降雨量45.2mm，年最大降雨量125.8mm。全年日照时数达2761h~2924h，年平风速1.9m/s，以东北风为主</w:t>
            </w:r>
            <w:r>
              <w:rPr>
                <w:rFonts w:hAnsiTheme="minorEastAsia" w:eastAsiaTheme="minorEastAsia"/>
                <w:kern w:val="0"/>
                <w:sz w:val="24"/>
              </w:rPr>
              <w:t>。</w:t>
            </w:r>
          </w:p>
          <w:p w14:paraId="5908CC15">
            <w:pPr>
              <w:autoSpaceDE w:val="0"/>
              <w:autoSpaceDN w:val="0"/>
              <w:adjustRightInd w:val="0"/>
              <w:spacing w:line="300" w:lineRule="auto"/>
              <w:rPr>
                <w:b/>
                <w:kern w:val="0"/>
                <w:sz w:val="24"/>
              </w:rPr>
            </w:pPr>
            <w:r>
              <w:rPr>
                <w:b/>
                <w:bCs/>
                <w:kern w:val="0"/>
                <w:sz w:val="24"/>
              </w:rPr>
              <w:t>3.</w:t>
            </w:r>
            <w:r>
              <w:rPr>
                <w:rFonts w:hint="eastAsia"/>
                <w:b/>
                <w:bCs/>
                <w:kern w:val="0"/>
                <w:sz w:val="24"/>
              </w:rPr>
              <w:t xml:space="preserve"> </w:t>
            </w:r>
            <w:r>
              <w:rPr>
                <w:b/>
                <w:kern w:val="0"/>
                <w:sz w:val="24"/>
              </w:rPr>
              <w:t>水文地质条件</w:t>
            </w:r>
          </w:p>
          <w:p w14:paraId="418A21C3">
            <w:pPr>
              <w:autoSpaceDE w:val="0"/>
              <w:autoSpaceDN w:val="0"/>
              <w:adjustRightInd w:val="0"/>
              <w:spacing w:line="300" w:lineRule="auto"/>
              <w:ind w:firstLine="480" w:firstLineChars="200"/>
              <w:rPr>
                <w:rFonts w:eastAsiaTheme="minorEastAsia"/>
                <w:kern w:val="0"/>
                <w:sz w:val="24"/>
              </w:rPr>
            </w:pPr>
            <w:r>
              <w:rPr>
                <w:rFonts w:eastAsiaTheme="minorEastAsia"/>
                <w:kern w:val="0"/>
                <w:sz w:val="24"/>
              </w:rPr>
              <w:t xml:space="preserve">(1) </w:t>
            </w:r>
            <w:r>
              <w:rPr>
                <w:rFonts w:hAnsiTheme="minorEastAsia" w:eastAsiaTheme="minorEastAsia"/>
                <w:kern w:val="0"/>
                <w:sz w:val="24"/>
              </w:rPr>
              <w:t>地表水</w:t>
            </w:r>
          </w:p>
          <w:p w14:paraId="472E74E8">
            <w:pPr>
              <w:autoSpaceDE w:val="0"/>
              <w:autoSpaceDN w:val="0"/>
              <w:adjustRightInd w:val="0"/>
              <w:spacing w:line="300" w:lineRule="auto"/>
              <w:ind w:firstLine="480" w:firstLineChars="200"/>
              <w:rPr>
                <w:rFonts w:eastAsiaTheme="minorEastAsia"/>
                <w:kern w:val="0"/>
                <w:sz w:val="24"/>
                <w:highlight w:val="none"/>
              </w:rPr>
            </w:pPr>
            <w:r>
              <w:rPr>
                <w:rFonts w:hint="eastAsia" w:hAnsiTheme="minorEastAsia" w:eastAsiaTheme="minorEastAsia"/>
                <w:kern w:val="0"/>
                <w:sz w:val="24"/>
              </w:rPr>
              <w:t>伽师县地表水系隶属于</w:t>
            </w:r>
            <w:r>
              <w:rPr>
                <w:rFonts w:hint="eastAsia" w:hAnsiTheme="minorEastAsia" w:eastAsiaTheme="minorEastAsia"/>
                <w:kern w:val="0"/>
                <w:sz w:val="24"/>
                <w:lang w:eastAsia="zh-CN"/>
              </w:rPr>
              <w:t>水体1</w:t>
            </w:r>
            <w:r>
              <w:rPr>
                <w:rFonts w:hint="eastAsia" w:hAnsiTheme="minorEastAsia" w:eastAsiaTheme="minorEastAsia"/>
                <w:kern w:val="0"/>
                <w:sz w:val="24"/>
              </w:rPr>
              <w:t>流域，以冰雪融水及山区降水为主要补给来源。</w:t>
            </w:r>
            <w:r>
              <w:rPr>
                <w:rFonts w:hAnsiTheme="minorEastAsia" w:eastAsiaTheme="minorEastAsia"/>
                <w:kern w:val="0"/>
                <w:sz w:val="24"/>
              </w:rPr>
              <w:t>区内河流均为内陆河，流经区域地势平坦</w:t>
            </w:r>
            <w:r>
              <w:rPr>
                <w:rFonts w:hint="eastAsia" w:hAnsiTheme="minorEastAsia" w:eastAsiaTheme="minorEastAsia"/>
                <w:kern w:val="0"/>
                <w:sz w:val="24"/>
              </w:rPr>
              <w:t>，</w:t>
            </w:r>
            <w:r>
              <w:rPr>
                <w:rFonts w:hint="eastAsia" w:hAnsiTheme="minorEastAsia" w:eastAsiaTheme="minorEastAsia"/>
                <w:kern w:val="0"/>
                <w:sz w:val="24"/>
                <w:lang w:val="en-US" w:eastAsia="zh-CN"/>
              </w:rPr>
              <w:t>项目沿线</w:t>
            </w:r>
            <w:r>
              <w:rPr>
                <w:rFonts w:hint="eastAsia" w:hAnsiTheme="minorEastAsia" w:eastAsiaTheme="minorEastAsia"/>
                <w:kern w:val="0"/>
                <w:sz w:val="24"/>
              </w:rPr>
              <w:t>主要河流为</w:t>
            </w:r>
            <w:r>
              <w:rPr>
                <w:rFonts w:hint="eastAsia" w:hAnsiTheme="minorEastAsia" w:eastAsiaTheme="minorEastAsia"/>
                <w:kern w:val="0"/>
                <w:sz w:val="24"/>
                <w:lang w:eastAsia="zh-CN"/>
              </w:rPr>
              <w:t>水体1</w:t>
            </w:r>
            <w:r>
              <w:rPr>
                <w:rFonts w:hint="eastAsia" w:hAnsiTheme="minorEastAsia" w:eastAsiaTheme="minorEastAsia"/>
                <w:kern w:val="0"/>
                <w:sz w:val="24"/>
              </w:rPr>
              <w:t>、</w:t>
            </w:r>
            <w:r>
              <w:rPr>
                <w:rFonts w:hint="eastAsia" w:hAnsiTheme="minorEastAsia" w:eastAsiaTheme="minorEastAsia"/>
                <w:kern w:val="0"/>
                <w:sz w:val="24"/>
                <w:lang w:eastAsia="zh-CN"/>
              </w:rPr>
              <w:t>水体2</w:t>
            </w:r>
            <w:r>
              <w:rPr>
                <w:rFonts w:hint="eastAsia" w:hAnsiTheme="minorEastAsia" w:eastAsiaTheme="minorEastAsia"/>
                <w:kern w:val="0"/>
                <w:sz w:val="24"/>
              </w:rPr>
              <w:t>等</w:t>
            </w:r>
            <w:r>
              <w:rPr>
                <w:rFonts w:hAnsiTheme="minorEastAsia" w:eastAsiaTheme="minorEastAsia"/>
                <w:kern w:val="0"/>
                <w:sz w:val="24"/>
              </w:rPr>
              <w:t>。拟建公路沿线水系见</w:t>
            </w:r>
            <w:r>
              <w:rPr>
                <w:rFonts w:hAnsiTheme="minorEastAsia" w:eastAsiaTheme="minorEastAsia"/>
                <w:kern w:val="0"/>
                <w:sz w:val="24"/>
                <w:highlight w:val="none"/>
              </w:rPr>
              <w:t>附图</w:t>
            </w:r>
            <w:r>
              <w:rPr>
                <w:rFonts w:hint="eastAsia" w:eastAsiaTheme="minorEastAsia"/>
                <w:kern w:val="0"/>
                <w:sz w:val="24"/>
                <w:highlight w:val="none"/>
                <w:lang w:val="en-US" w:eastAsia="zh-CN"/>
              </w:rPr>
              <w:t>8</w:t>
            </w:r>
            <w:r>
              <w:rPr>
                <w:rFonts w:hAnsiTheme="minorEastAsia" w:eastAsiaTheme="minorEastAsia"/>
                <w:kern w:val="0"/>
                <w:sz w:val="24"/>
                <w:highlight w:val="none"/>
              </w:rPr>
              <w:t>。</w:t>
            </w:r>
          </w:p>
          <w:p w14:paraId="5C47D60D">
            <w:pPr>
              <w:autoSpaceDE w:val="0"/>
              <w:autoSpaceDN w:val="0"/>
              <w:adjustRightInd w:val="0"/>
              <w:spacing w:line="300" w:lineRule="auto"/>
              <w:ind w:firstLine="480" w:firstLineChars="200"/>
              <w:rPr>
                <w:rFonts w:eastAsiaTheme="minorEastAsia"/>
                <w:kern w:val="0"/>
                <w:sz w:val="24"/>
              </w:rPr>
            </w:pPr>
            <w:r>
              <w:rPr>
                <w:rFonts w:eastAsiaTheme="minorEastAsia"/>
                <w:kern w:val="0"/>
                <w:sz w:val="24"/>
              </w:rPr>
              <w:t xml:space="preserve">(2) </w:t>
            </w:r>
            <w:r>
              <w:rPr>
                <w:rFonts w:hAnsiTheme="minorEastAsia" w:eastAsiaTheme="minorEastAsia"/>
                <w:kern w:val="0"/>
                <w:sz w:val="24"/>
              </w:rPr>
              <w:t>地下水</w:t>
            </w:r>
          </w:p>
          <w:p w14:paraId="4AEB8E88">
            <w:pPr>
              <w:autoSpaceDE w:val="0"/>
              <w:autoSpaceDN w:val="0"/>
              <w:adjustRightInd w:val="0"/>
              <w:spacing w:line="300" w:lineRule="auto"/>
              <w:ind w:firstLine="480" w:firstLineChars="200"/>
              <w:rPr>
                <w:rFonts w:eastAsiaTheme="minorEastAsia"/>
                <w:kern w:val="0"/>
                <w:sz w:val="24"/>
              </w:rPr>
            </w:pPr>
            <w:r>
              <w:rPr>
                <w:rFonts w:hint="eastAsia" w:hAnsiTheme="minorEastAsia" w:eastAsiaTheme="minorEastAsia"/>
                <w:kern w:val="0"/>
                <w:sz w:val="24"/>
              </w:rPr>
              <w:t>项目区内水文地质条件相对简单，区域范围内地下水主要为第四系松散堆积层孔隙潜水</w:t>
            </w:r>
            <w:r>
              <w:rPr>
                <w:rFonts w:hAnsiTheme="minorEastAsia" w:eastAsiaTheme="minorEastAsia"/>
                <w:kern w:val="0"/>
                <w:sz w:val="24"/>
              </w:rPr>
              <w:t>。</w:t>
            </w:r>
            <w:r>
              <w:rPr>
                <w:rFonts w:hint="eastAsia" w:hAnsiTheme="minorEastAsia" w:eastAsiaTheme="minorEastAsia"/>
                <w:kern w:val="0"/>
                <w:sz w:val="24"/>
              </w:rPr>
              <w:t>区内地下水主要接受上游地区地下水的侧向径流补给以及区内地表水体的垂向渗漏补给。地下水流向为自西而东，地下水的排泄主要为潜水的蒸发排泄、植被的蒸腾排泄、排水渠排泄、侧向排泄及少量的人工开采等。</w:t>
            </w:r>
          </w:p>
          <w:p w14:paraId="49C7E121">
            <w:pPr>
              <w:autoSpaceDE w:val="0"/>
              <w:autoSpaceDN w:val="0"/>
              <w:adjustRightInd w:val="0"/>
              <w:spacing w:after="120" w:afterLines="50" w:line="300" w:lineRule="auto"/>
              <w:ind w:firstLine="480" w:firstLineChars="200"/>
              <w:rPr>
                <w:rFonts w:eastAsiaTheme="minorEastAsia"/>
                <w:kern w:val="0"/>
                <w:sz w:val="24"/>
              </w:rPr>
            </w:pPr>
            <w:r>
              <w:rPr>
                <w:rFonts w:hint="eastAsia" w:hAnsiTheme="minorEastAsia" w:eastAsiaTheme="minorEastAsia"/>
                <w:kern w:val="0"/>
                <w:sz w:val="24"/>
              </w:rPr>
              <w:t>区内地下水位埋藏</w:t>
            </w:r>
            <w:r>
              <w:rPr>
                <w:rFonts w:hint="eastAsia" w:hAnsiTheme="minorEastAsia" w:eastAsiaTheme="minorEastAsia"/>
                <w:kern w:val="0"/>
                <w:sz w:val="24"/>
                <w:lang w:val="en-US" w:eastAsia="zh-CN"/>
              </w:rPr>
              <w:t>多为5</w:t>
            </w:r>
            <w:r>
              <w:rPr>
                <w:rFonts w:hint="eastAsia" w:hAnsiTheme="minorEastAsia" w:eastAsiaTheme="minorEastAsia"/>
                <w:kern w:val="0"/>
                <w:sz w:val="24"/>
              </w:rPr>
              <w:t>~</w:t>
            </w:r>
            <w:r>
              <w:rPr>
                <w:rFonts w:hint="eastAsia" w:hAnsiTheme="minorEastAsia" w:eastAsiaTheme="minorEastAsia"/>
                <w:kern w:val="0"/>
                <w:sz w:val="24"/>
                <w:lang w:val="en-US" w:eastAsia="zh-CN"/>
              </w:rPr>
              <w:t>10</w:t>
            </w:r>
            <w:r>
              <w:rPr>
                <w:rFonts w:hint="eastAsia" w:hAnsiTheme="minorEastAsia" w:eastAsiaTheme="minorEastAsia"/>
                <w:kern w:val="0"/>
                <w:sz w:val="24"/>
              </w:rPr>
              <w:t>m，局部</w:t>
            </w:r>
            <w:r>
              <w:rPr>
                <w:rFonts w:hint="eastAsia" w:hAnsiTheme="minorEastAsia" w:eastAsiaTheme="minorEastAsia"/>
                <w:kern w:val="0"/>
                <w:sz w:val="24"/>
                <w:lang w:val="en-US" w:eastAsia="zh-CN"/>
              </w:rPr>
              <w:t>10</w:t>
            </w:r>
            <w:r>
              <w:rPr>
                <w:rFonts w:hint="eastAsia" w:hAnsiTheme="minorEastAsia" w:eastAsiaTheme="minorEastAsia"/>
                <w:kern w:val="0"/>
                <w:sz w:val="24"/>
              </w:rPr>
              <w:t>~25m，且受季节影响较大，含水层分布较稳定，厚度变化不大，含水层厚度10~80m</w:t>
            </w:r>
            <w:r>
              <w:rPr>
                <w:rFonts w:hAnsiTheme="minorEastAsia" w:eastAsiaTheme="minorEastAsia"/>
                <w:kern w:val="0"/>
                <w:sz w:val="24"/>
              </w:rPr>
              <w:t>。</w:t>
            </w:r>
          </w:p>
          <w:p w14:paraId="14149425">
            <w:pPr>
              <w:adjustRightInd w:val="0"/>
              <w:spacing w:after="120" w:afterLines="50" w:line="300" w:lineRule="auto"/>
              <w:rPr>
                <w:b/>
                <w:color w:val="000000"/>
                <w:kern w:val="0"/>
                <w:sz w:val="24"/>
              </w:rPr>
            </w:pPr>
            <w:r>
              <w:rPr>
                <w:b/>
                <w:color w:val="000000"/>
                <w:kern w:val="0"/>
                <w:sz w:val="24"/>
              </w:rPr>
              <w:t>二</w:t>
            </w:r>
            <w:r>
              <w:rPr>
                <w:rFonts w:hint="eastAsia"/>
                <w:b/>
                <w:color w:val="000000"/>
                <w:kern w:val="0"/>
                <w:sz w:val="24"/>
              </w:rPr>
              <w:t>、</w:t>
            </w:r>
            <w:r>
              <w:rPr>
                <w:b/>
                <w:color w:val="000000"/>
                <w:kern w:val="0"/>
                <w:sz w:val="24"/>
              </w:rPr>
              <w:t>环境功能区划</w:t>
            </w:r>
          </w:p>
          <w:p w14:paraId="74840B28">
            <w:pPr>
              <w:adjustRightInd w:val="0"/>
              <w:spacing w:line="300" w:lineRule="auto"/>
              <w:rPr>
                <w:b/>
                <w:color w:val="000000"/>
                <w:kern w:val="0"/>
                <w:sz w:val="24"/>
              </w:rPr>
            </w:pPr>
            <w:r>
              <w:rPr>
                <w:b/>
                <w:color w:val="000000"/>
                <w:kern w:val="0"/>
                <w:sz w:val="24"/>
              </w:rPr>
              <w:t>1. 主体功能区规划</w:t>
            </w:r>
          </w:p>
          <w:p w14:paraId="08ACF4D2">
            <w:pPr>
              <w:adjustRightInd w:val="0"/>
              <w:spacing w:after="120" w:afterLines="50" w:line="300" w:lineRule="auto"/>
              <w:ind w:firstLine="480" w:firstLineChars="200"/>
              <w:rPr>
                <w:color w:val="000000"/>
                <w:sz w:val="24"/>
              </w:rPr>
            </w:pPr>
            <w:r>
              <w:rPr>
                <w:rFonts w:hint="eastAsia"/>
                <w:color w:val="000000"/>
                <w:sz w:val="24"/>
              </w:rPr>
              <w:t>根据《新疆维吾尔自治区主体功能区规划》，</w:t>
            </w:r>
            <w:r>
              <w:rPr>
                <w:color w:val="000000"/>
                <w:kern w:val="0"/>
                <w:sz w:val="24"/>
              </w:rPr>
              <w:t>拟建公路</w:t>
            </w:r>
            <w:r>
              <w:rPr>
                <w:rFonts w:hint="eastAsia"/>
                <w:color w:val="000000"/>
                <w:kern w:val="0"/>
                <w:sz w:val="24"/>
              </w:rPr>
              <w:t>沿线</w:t>
            </w:r>
            <w:r>
              <w:rPr>
                <w:color w:val="000000"/>
                <w:kern w:val="0"/>
                <w:sz w:val="24"/>
              </w:rPr>
              <w:t>所经</w:t>
            </w:r>
            <w:r>
              <w:rPr>
                <w:rFonts w:hint="eastAsia"/>
                <w:color w:val="000000"/>
                <w:kern w:val="0"/>
                <w:sz w:val="24"/>
              </w:rPr>
              <w:t>市（县）均为重点生态功能区。其中伽师县</w:t>
            </w:r>
            <w:r>
              <w:rPr>
                <w:color w:val="000000"/>
                <w:kern w:val="0"/>
                <w:sz w:val="24"/>
              </w:rPr>
              <w:t>、</w:t>
            </w:r>
            <w:r>
              <w:rPr>
                <w:rFonts w:hint="eastAsia"/>
                <w:color w:val="000000"/>
                <w:kern w:val="0"/>
                <w:sz w:val="24"/>
              </w:rPr>
              <w:t>岳普湖</w:t>
            </w:r>
            <w:r>
              <w:rPr>
                <w:color w:val="000000"/>
                <w:kern w:val="0"/>
                <w:sz w:val="24"/>
              </w:rPr>
              <w:t>县属于</w:t>
            </w:r>
            <w:r>
              <w:rPr>
                <w:rFonts w:hint="eastAsia"/>
                <w:color w:val="000000"/>
                <w:kern w:val="0"/>
                <w:sz w:val="24"/>
              </w:rPr>
              <w:t>国家重点生态功能区，阿图什市属于自治区级重点生态功能</w:t>
            </w:r>
            <w:r>
              <w:rPr>
                <w:rFonts w:hint="eastAsia"/>
                <w:color w:val="000000"/>
                <w:sz w:val="24"/>
              </w:rPr>
              <w:t>区。</w:t>
            </w:r>
          </w:p>
          <w:p w14:paraId="6E38D65B">
            <w:pPr>
              <w:adjustRightInd w:val="0"/>
              <w:spacing w:line="300" w:lineRule="auto"/>
              <w:rPr>
                <w:kern w:val="0"/>
                <w:sz w:val="24"/>
              </w:rPr>
            </w:pPr>
            <w:r>
              <w:rPr>
                <w:rFonts w:hint="eastAsia"/>
                <w:b/>
                <w:kern w:val="0"/>
                <w:sz w:val="24"/>
              </w:rPr>
              <w:t>2</w:t>
            </w:r>
            <w:r>
              <w:rPr>
                <w:b/>
                <w:kern w:val="0"/>
                <w:sz w:val="24"/>
              </w:rPr>
              <w:t xml:space="preserve">. </w:t>
            </w:r>
            <w:r>
              <w:rPr>
                <w:rFonts w:hint="eastAsia"/>
                <w:b/>
                <w:kern w:val="0"/>
                <w:sz w:val="24"/>
              </w:rPr>
              <w:t>环境空气功能区划</w:t>
            </w:r>
          </w:p>
          <w:p w14:paraId="1584587F">
            <w:pPr>
              <w:autoSpaceDE w:val="0"/>
              <w:autoSpaceDN w:val="0"/>
              <w:adjustRightInd w:val="0"/>
              <w:spacing w:after="120" w:afterLines="50" w:line="300" w:lineRule="auto"/>
              <w:ind w:firstLine="480" w:firstLineChars="200"/>
              <w:rPr>
                <w:rFonts w:ascii="宋体" w:cs="宋体"/>
                <w:kern w:val="0"/>
                <w:sz w:val="24"/>
              </w:rPr>
            </w:pPr>
            <w:r>
              <w:rPr>
                <w:rFonts w:hAnsi="宋体"/>
                <w:sz w:val="24"/>
              </w:rPr>
              <w:t>拟建公路沿线尚未进行环境空气质量环境功能区划</w:t>
            </w:r>
            <w:r>
              <w:rPr>
                <w:kern w:val="0"/>
                <w:sz w:val="24"/>
              </w:rPr>
              <w:t>。</w:t>
            </w:r>
          </w:p>
          <w:p w14:paraId="1143C84C">
            <w:pPr>
              <w:autoSpaceDE w:val="0"/>
              <w:autoSpaceDN w:val="0"/>
              <w:adjustRightInd w:val="0"/>
              <w:spacing w:line="300" w:lineRule="auto"/>
              <w:rPr>
                <w:b/>
                <w:kern w:val="0"/>
                <w:sz w:val="24"/>
              </w:rPr>
            </w:pPr>
            <w:r>
              <w:rPr>
                <w:rFonts w:hint="eastAsia"/>
                <w:b/>
                <w:bCs/>
                <w:kern w:val="0"/>
                <w:sz w:val="24"/>
              </w:rPr>
              <w:t xml:space="preserve">3. </w:t>
            </w:r>
            <w:r>
              <w:rPr>
                <w:rFonts w:hint="eastAsia"/>
                <w:b/>
                <w:kern w:val="0"/>
                <w:sz w:val="24"/>
              </w:rPr>
              <w:t>水环境功能区划</w:t>
            </w:r>
          </w:p>
          <w:p w14:paraId="1844B523">
            <w:pPr>
              <w:pStyle w:val="61"/>
              <w:ind w:firstLine="480"/>
              <w:rPr>
                <w:rFonts w:eastAsiaTheme="minorEastAsia"/>
              </w:rPr>
            </w:pPr>
            <w:r>
              <w:rPr>
                <w:rFonts w:eastAsiaTheme="minorEastAsia"/>
              </w:rPr>
              <w:t>根据《新疆水环境功能区划》，</w:t>
            </w:r>
            <w:r>
              <w:rPr>
                <w:rFonts w:eastAsiaTheme="minorEastAsia"/>
                <w:kern w:val="0"/>
                <w:szCs w:val="20"/>
              </w:rPr>
              <w:t>拟建公路所跨</w:t>
            </w:r>
            <w:r>
              <w:rPr>
                <w:rFonts w:eastAsiaTheme="minorEastAsia"/>
              </w:rPr>
              <w:t>河流的功能区类型和</w:t>
            </w:r>
            <w:r>
              <w:rPr>
                <w:rFonts w:eastAsiaTheme="minorEastAsia"/>
                <w:kern w:val="0"/>
                <w:szCs w:val="20"/>
              </w:rPr>
              <w:t>水质目标见表</w:t>
            </w:r>
            <w:r>
              <w:rPr>
                <w:rFonts w:hint="eastAsia" w:eastAsiaTheme="minorEastAsia"/>
                <w:kern w:val="0"/>
                <w:szCs w:val="20"/>
                <w:lang w:val="en-US" w:eastAsia="zh-CN"/>
              </w:rPr>
              <w:t>3</w:t>
            </w:r>
            <w:r>
              <w:rPr>
                <w:rFonts w:eastAsiaTheme="minorEastAsia"/>
                <w:kern w:val="0"/>
                <w:szCs w:val="20"/>
              </w:rPr>
              <w:t>-1。</w:t>
            </w:r>
          </w:p>
          <w:p w14:paraId="1EE5C82C">
            <w:pPr>
              <w:pStyle w:val="50"/>
              <w:spacing w:before="120" w:beforeLines="50" w:line="240" w:lineRule="auto"/>
              <w:rPr>
                <w:rFonts w:ascii="Times New Roman" w:eastAsiaTheme="minorEastAsia"/>
                <w:b/>
              </w:rPr>
            </w:pPr>
            <w:r>
              <w:rPr>
                <w:rFonts w:ascii="Times New Roman" w:eastAsiaTheme="minorEastAsia"/>
                <w:b/>
              </w:rPr>
              <w:t>表</w:t>
            </w:r>
            <w:r>
              <w:rPr>
                <w:rFonts w:hint="eastAsia" w:ascii="Times New Roman" w:eastAsiaTheme="minorEastAsia"/>
                <w:b/>
                <w:lang w:val="en-US" w:eastAsia="zh-CN"/>
              </w:rPr>
              <w:t>3</w:t>
            </w:r>
            <w:r>
              <w:rPr>
                <w:rFonts w:ascii="Times New Roman" w:eastAsiaTheme="minorEastAsia"/>
                <w:b/>
              </w:rPr>
              <w:t>-1 拟建公路所跨河流水环境功能区划</w:t>
            </w:r>
          </w:p>
          <w:tbl>
            <w:tblPr>
              <w:tblStyle w:val="22"/>
              <w:tblW w:w="8515"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485"/>
              <w:gridCol w:w="1283"/>
              <w:gridCol w:w="1300"/>
              <w:gridCol w:w="1262"/>
              <w:gridCol w:w="1319"/>
              <w:gridCol w:w="1503"/>
              <w:gridCol w:w="1363"/>
            </w:tblGrid>
            <w:tr w14:paraId="5EA9A71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283" w:hRule="atLeast"/>
                <w:jc w:val="center"/>
              </w:trPr>
              <w:tc>
                <w:tcPr>
                  <w:tcW w:w="284" w:type="pct"/>
                  <w:vAlign w:val="center"/>
                </w:tcPr>
                <w:p w14:paraId="703D0C42">
                  <w:pPr>
                    <w:jc w:val="center"/>
                    <w:rPr>
                      <w:rFonts w:eastAsiaTheme="minorEastAsia"/>
                      <w:b/>
                      <w:bCs/>
                    </w:rPr>
                  </w:pPr>
                  <w:r>
                    <w:rPr>
                      <w:rFonts w:eastAsiaTheme="minorEastAsia"/>
                      <w:b/>
                      <w:bCs/>
                    </w:rPr>
                    <w:t>序号</w:t>
                  </w:r>
                </w:p>
              </w:tc>
              <w:tc>
                <w:tcPr>
                  <w:tcW w:w="753" w:type="pct"/>
                  <w:tcMar>
                    <w:left w:w="28" w:type="dxa"/>
                    <w:right w:w="28" w:type="dxa"/>
                  </w:tcMar>
                  <w:vAlign w:val="center"/>
                </w:tcPr>
                <w:p w14:paraId="710C3CBB">
                  <w:pPr>
                    <w:jc w:val="center"/>
                    <w:rPr>
                      <w:rFonts w:eastAsiaTheme="minorEastAsia"/>
                      <w:b/>
                      <w:bCs/>
                    </w:rPr>
                  </w:pPr>
                  <w:r>
                    <w:rPr>
                      <w:rFonts w:eastAsiaTheme="minorEastAsia"/>
                      <w:b/>
                      <w:bCs/>
                    </w:rPr>
                    <w:t>桩号</w:t>
                  </w:r>
                </w:p>
              </w:tc>
              <w:tc>
                <w:tcPr>
                  <w:tcW w:w="763" w:type="pct"/>
                  <w:tcMar>
                    <w:left w:w="28" w:type="dxa"/>
                    <w:right w:w="28" w:type="dxa"/>
                  </w:tcMar>
                  <w:vAlign w:val="center"/>
                </w:tcPr>
                <w:p w14:paraId="7D82BC67">
                  <w:pPr>
                    <w:jc w:val="center"/>
                    <w:rPr>
                      <w:rFonts w:eastAsiaTheme="minorEastAsia"/>
                      <w:b/>
                      <w:bCs/>
                    </w:rPr>
                  </w:pPr>
                  <w:r>
                    <w:rPr>
                      <w:rFonts w:eastAsiaTheme="minorEastAsia"/>
                      <w:b/>
                      <w:bCs/>
                    </w:rPr>
                    <w:t>河流</w:t>
                  </w:r>
                </w:p>
              </w:tc>
              <w:tc>
                <w:tcPr>
                  <w:tcW w:w="741" w:type="pct"/>
                  <w:vAlign w:val="center"/>
                </w:tcPr>
                <w:p w14:paraId="1B82BFF8">
                  <w:pPr>
                    <w:jc w:val="center"/>
                    <w:rPr>
                      <w:rFonts w:eastAsiaTheme="minorEastAsia"/>
                      <w:b/>
                      <w:bCs/>
                    </w:rPr>
                  </w:pPr>
                  <w:r>
                    <w:rPr>
                      <w:rFonts w:eastAsiaTheme="minorEastAsia"/>
                      <w:b/>
                      <w:bCs/>
                    </w:rPr>
                    <w:t>所在河段</w:t>
                  </w:r>
                </w:p>
              </w:tc>
              <w:tc>
                <w:tcPr>
                  <w:tcW w:w="774" w:type="pct"/>
                  <w:vAlign w:val="center"/>
                </w:tcPr>
                <w:p w14:paraId="020B4D03">
                  <w:pPr>
                    <w:jc w:val="center"/>
                    <w:rPr>
                      <w:rFonts w:eastAsiaTheme="minorEastAsia"/>
                      <w:b/>
                      <w:bCs/>
                    </w:rPr>
                  </w:pPr>
                  <w:r>
                    <w:rPr>
                      <w:rFonts w:hint="eastAsia" w:eastAsiaTheme="minorEastAsia"/>
                      <w:b/>
                      <w:bCs/>
                    </w:rPr>
                    <w:t>现状功能</w:t>
                  </w:r>
                </w:p>
              </w:tc>
              <w:tc>
                <w:tcPr>
                  <w:tcW w:w="882" w:type="pct"/>
                  <w:vAlign w:val="center"/>
                </w:tcPr>
                <w:p w14:paraId="06961D3F">
                  <w:pPr>
                    <w:jc w:val="center"/>
                    <w:rPr>
                      <w:rFonts w:eastAsiaTheme="minorEastAsia"/>
                      <w:b/>
                      <w:bCs/>
                    </w:rPr>
                  </w:pPr>
                  <w:r>
                    <w:rPr>
                      <w:rFonts w:eastAsiaTheme="minorEastAsia"/>
                      <w:b/>
                      <w:bCs/>
                    </w:rPr>
                    <w:t>规划主导功能</w:t>
                  </w:r>
                </w:p>
              </w:tc>
              <w:tc>
                <w:tcPr>
                  <w:tcW w:w="800" w:type="pct"/>
                  <w:vAlign w:val="center"/>
                </w:tcPr>
                <w:p w14:paraId="47ECB35C">
                  <w:pPr>
                    <w:jc w:val="center"/>
                    <w:rPr>
                      <w:rFonts w:eastAsiaTheme="minorEastAsia"/>
                      <w:b/>
                      <w:bCs/>
                    </w:rPr>
                  </w:pPr>
                  <w:r>
                    <w:rPr>
                      <w:rFonts w:eastAsiaTheme="minorEastAsia"/>
                      <w:b/>
                      <w:bCs/>
                    </w:rPr>
                    <w:t>规划水质目标</w:t>
                  </w:r>
                </w:p>
              </w:tc>
            </w:tr>
            <w:tr w14:paraId="5E432F7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283" w:hRule="atLeast"/>
                <w:jc w:val="center"/>
              </w:trPr>
              <w:tc>
                <w:tcPr>
                  <w:tcW w:w="284" w:type="pct"/>
                  <w:vAlign w:val="center"/>
                </w:tcPr>
                <w:p w14:paraId="2D7C876F">
                  <w:pPr>
                    <w:jc w:val="center"/>
                    <w:rPr>
                      <w:rFonts w:eastAsiaTheme="minorEastAsia"/>
                    </w:rPr>
                  </w:pPr>
                  <w:r>
                    <w:rPr>
                      <w:rFonts w:eastAsiaTheme="minorEastAsia"/>
                    </w:rPr>
                    <w:t>1</w:t>
                  </w:r>
                </w:p>
              </w:tc>
              <w:tc>
                <w:tcPr>
                  <w:tcW w:w="753" w:type="pct"/>
                  <w:tcMar>
                    <w:left w:w="28" w:type="dxa"/>
                    <w:right w:w="28" w:type="dxa"/>
                  </w:tcMar>
                  <w:vAlign w:val="center"/>
                </w:tcPr>
                <w:p w14:paraId="1D6471E3">
                  <w:pPr>
                    <w:jc w:val="center"/>
                    <w:rPr>
                      <w:rFonts w:eastAsiaTheme="minorEastAsia"/>
                      <w:highlight w:val="yellow"/>
                    </w:rPr>
                  </w:pPr>
                  <w:r>
                    <w:rPr>
                      <w:rFonts w:eastAsiaTheme="minorEastAsia"/>
                    </w:rPr>
                    <w:t>K</w:t>
                  </w:r>
                  <w:r>
                    <w:rPr>
                      <w:rFonts w:hint="eastAsia" w:eastAsiaTheme="minorEastAsia"/>
                    </w:rPr>
                    <w:t>25</w:t>
                  </w:r>
                  <w:r>
                    <w:rPr>
                      <w:rFonts w:eastAsiaTheme="minorEastAsia"/>
                    </w:rPr>
                    <w:t>+</w:t>
                  </w:r>
                  <w:r>
                    <w:rPr>
                      <w:rFonts w:hint="eastAsia" w:eastAsiaTheme="minorEastAsia"/>
                      <w:lang w:val="en-US" w:eastAsia="zh-CN"/>
                    </w:rPr>
                    <w:t>300.582</w:t>
                  </w:r>
                  <w:r>
                    <w:rPr>
                      <w:rFonts w:eastAsiaTheme="minorEastAsia"/>
                    </w:rPr>
                    <w:t xml:space="preserve"> </w:t>
                  </w:r>
                </w:p>
              </w:tc>
              <w:tc>
                <w:tcPr>
                  <w:tcW w:w="763" w:type="pct"/>
                  <w:tcMar>
                    <w:left w:w="28" w:type="dxa"/>
                    <w:right w:w="28" w:type="dxa"/>
                  </w:tcMar>
                  <w:vAlign w:val="center"/>
                </w:tcPr>
                <w:p w14:paraId="3171CCA9">
                  <w:pPr>
                    <w:jc w:val="center"/>
                    <w:rPr>
                      <w:rFonts w:hint="eastAsia" w:eastAsiaTheme="minorEastAsia"/>
                      <w:lang w:eastAsia="zh-CN"/>
                    </w:rPr>
                  </w:pPr>
                  <w:r>
                    <w:rPr>
                      <w:rFonts w:hint="eastAsia" w:eastAsiaTheme="minorEastAsia"/>
                      <w:lang w:eastAsia="zh-CN"/>
                    </w:rPr>
                    <w:t>水体1</w:t>
                  </w:r>
                </w:p>
              </w:tc>
              <w:tc>
                <w:tcPr>
                  <w:tcW w:w="741" w:type="pct"/>
                  <w:vAlign w:val="center"/>
                </w:tcPr>
                <w:p w14:paraId="75C535E6">
                  <w:pPr>
                    <w:jc w:val="center"/>
                    <w:rPr>
                      <w:rFonts w:eastAsiaTheme="minorEastAsia"/>
                    </w:rPr>
                  </w:pPr>
                  <w:r>
                    <w:rPr>
                      <w:rFonts w:hint="eastAsia" w:eastAsiaTheme="minorEastAsia"/>
                      <w:lang w:val="en-US" w:eastAsia="zh-CN"/>
                    </w:rPr>
                    <w:t>伽师</w:t>
                  </w:r>
                  <w:r>
                    <w:rPr>
                      <w:rFonts w:eastAsiaTheme="minorEastAsia"/>
                    </w:rPr>
                    <w:t>段</w:t>
                  </w:r>
                </w:p>
              </w:tc>
              <w:tc>
                <w:tcPr>
                  <w:tcW w:w="774" w:type="pct"/>
                  <w:vAlign w:val="center"/>
                </w:tcPr>
                <w:p w14:paraId="29B1B5D6">
                  <w:pPr>
                    <w:jc w:val="center"/>
                    <w:rPr>
                      <w:rFonts w:eastAsiaTheme="minorEastAsia"/>
                    </w:rPr>
                  </w:pPr>
                  <w:r>
                    <w:rPr>
                      <w:rFonts w:hint="eastAsia" w:eastAsiaTheme="minorEastAsia"/>
                    </w:rPr>
                    <w:t>饮用、农业</w:t>
                  </w:r>
                </w:p>
              </w:tc>
              <w:tc>
                <w:tcPr>
                  <w:tcW w:w="882" w:type="pct"/>
                  <w:vAlign w:val="center"/>
                </w:tcPr>
                <w:p w14:paraId="2199A132">
                  <w:pPr>
                    <w:jc w:val="center"/>
                    <w:rPr>
                      <w:rFonts w:eastAsiaTheme="minorEastAsia"/>
                    </w:rPr>
                  </w:pPr>
                  <w:r>
                    <w:rPr>
                      <w:rFonts w:eastAsiaTheme="minorEastAsia"/>
                    </w:rPr>
                    <w:t>饮用水源</w:t>
                  </w:r>
                </w:p>
              </w:tc>
              <w:tc>
                <w:tcPr>
                  <w:tcW w:w="800" w:type="pct"/>
                  <w:vAlign w:val="center"/>
                </w:tcPr>
                <w:p w14:paraId="1DC9B576">
                  <w:pPr>
                    <w:jc w:val="center"/>
                    <w:rPr>
                      <w:rFonts w:eastAsiaTheme="minorEastAsia"/>
                    </w:rPr>
                  </w:pPr>
                  <w:r>
                    <w:rPr>
                      <w:rFonts w:eastAsiaTheme="minorEastAsia"/>
                    </w:rPr>
                    <w:t>Ⅲ类</w:t>
                  </w:r>
                </w:p>
              </w:tc>
            </w:tr>
            <w:tr w14:paraId="3BC3FA3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283" w:hRule="atLeast"/>
                <w:jc w:val="center"/>
              </w:trPr>
              <w:tc>
                <w:tcPr>
                  <w:tcW w:w="284" w:type="pct"/>
                  <w:vAlign w:val="center"/>
                </w:tcPr>
                <w:p w14:paraId="528163B0">
                  <w:pPr>
                    <w:jc w:val="center"/>
                    <w:rPr>
                      <w:rFonts w:eastAsiaTheme="minorEastAsia"/>
                    </w:rPr>
                  </w:pPr>
                  <w:r>
                    <w:rPr>
                      <w:rFonts w:eastAsiaTheme="minorEastAsia"/>
                    </w:rPr>
                    <w:t>2</w:t>
                  </w:r>
                </w:p>
              </w:tc>
              <w:tc>
                <w:tcPr>
                  <w:tcW w:w="753" w:type="pct"/>
                  <w:tcMar>
                    <w:left w:w="28" w:type="dxa"/>
                    <w:right w:w="28" w:type="dxa"/>
                  </w:tcMar>
                  <w:vAlign w:val="center"/>
                </w:tcPr>
                <w:p w14:paraId="48DA4741">
                  <w:pPr>
                    <w:jc w:val="center"/>
                    <w:rPr>
                      <w:rFonts w:eastAsiaTheme="minorEastAsia"/>
                      <w:highlight w:val="yellow"/>
                    </w:rPr>
                  </w:pPr>
                  <w:r>
                    <w:rPr>
                      <w:rFonts w:hint="eastAsia"/>
                    </w:rPr>
                    <w:t>K21+573.539</w:t>
                  </w:r>
                </w:p>
              </w:tc>
              <w:tc>
                <w:tcPr>
                  <w:tcW w:w="763" w:type="pct"/>
                  <w:tcMar>
                    <w:left w:w="28" w:type="dxa"/>
                    <w:right w:w="28" w:type="dxa"/>
                  </w:tcMar>
                  <w:vAlign w:val="center"/>
                </w:tcPr>
                <w:p w14:paraId="78EC6D2A">
                  <w:pPr>
                    <w:jc w:val="center"/>
                    <w:rPr>
                      <w:rFonts w:hint="eastAsia" w:eastAsiaTheme="minorEastAsia"/>
                      <w:lang w:eastAsia="zh-CN"/>
                    </w:rPr>
                  </w:pPr>
                  <w:r>
                    <w:rPr>
                      <w:rFonts w:hint="eastAsia" w:eastAsiaTheme="minorEastAsia"/>
                      <w:lang w:eastAsia="zh-CN"/>
                    </w:rPr>
                    <w:t>水体2</w:t>
                  </w:r>
                </w:p>
              </w:tc>
              <w:tc>
                <w:tcPr>
                  <w:tcW w:w="741" w:type="pct"/>
                  <w:vAlign w:val="center"/>
                </w:tcPr>
                <w:p w14:paraId="2124DB52">
                  <w:pPr>
                    <w:jc w:val="center"/>
                    <w:rPr>
                      <w:rFonts w:hint="default" w:eastAsiaTheme="minorEastAsia"/>
                      <w:lang w:val="en-US" w:eastAsia="zh-CN"/>
                    </w:rPr>
                  </w:pPr>
                  <w:r>
                    <w:rPr>
                      <w:rFonts w:hint="eastAsia" w:eastAsiaTheme="minorEastAsia"/>
                      <w:lang w:val="en-US" w:eastAsia="zh-CN"/>
                    </w:rPr>
                    <w:t>伽师段</w:t>
                  </w:r>
                </w:p>
              </w:tc>
              <w:tc>
                <w:tcPr>
                  <w:tcW w:w="774" w:type="pct"/>
                  <w:vAlign w:val="center"/>
                </w:tcPr>
                <w:p w14:paraId="1DFEA465">
                  <w:pPr>
                    <w:jc w:val="center"/>
                    <w:rPr>
                      <w:rFonts w:eastAsiaTheme="minorEastAsia"/>
                    </w:rPr>
                  </w:pPr>
                  <w:r>
                    <w:rPr>
                      <w:rFonts w:hint="eastAsia" w:eastAsiaTheme="minorEastAsia"/>
                    </w:rPr>
                    <w:t>农业</w:t>
                  </w:r>
                </w:p>
              </w:tc>
              <w:tc>
                <w:tcPr>
                  <w:tcW w:w="882" w:type="pct"/>
                  <w:vAlign w:val="center"/>
                </w:tcPr>
                <w:p w14:paraId="4CF574BB">
                  <w:pPr>
                    <w:jc w:val="center"/>
                    <w:rPr>
                      <w:rFonts w:eastAsiaTheme="minorEastAsia"/>
                    </w:rPr>
                  </w:pPr>
                  <w:r>
                    <w:rPr>
                      <w:rFonts w:eastAsiaTheme="minorEastAsia"/>
                    </w:rPr>
                    <w:t>/</w:t>
                  </w:r>
                </w:p>
              </w:tc>
              <w:tc>
                <w:tcPr>
                  <w:tcW w:w="800" w:type="pct"/>
                  <w:vAlign w:val="center"/>
                </w:tcPr>
                <w:p w14:paraId="7F8C130E">
                  <w:pPr>
                    <w:jc w:val="center"/>
                    <w:rPr>
                      <w:rFonts w:eastAsiaTheme="minorEastAsia"/>
                    </w:rPr>
                  </w:pPr>
                  <w:r>
                    <w:rPr>
                      <w:rFonts w:eastAsiaTheme="minorEastAsia"/>
                    </w:rPr>
                    <w:t>参照Ⅲ类</w:t>
                  </w:r>
                </w:p>
              </w:tc>
            </w:tr>
          </w:tbl>
          <w:p w14:paraId="381EA9D2">
            <w:pPr>
              <w:adjustRightInd w:val="0"/>
              <w:spacing w:line="300" w:lineRule="auto"/>
              <w:rPr>
                <w:b/>
                <w:color w:val="0070C0"/>
                <w:kern w:val="0"/>
                <w:szCs w:val="21"/>
              </w:rPr>
            </w:pPr>
            <w:r>
              <w:rPr>
                <w:rFonts w:eastAsiaTheme="minorEastAsia"/>
                <w:bCs/>
              </w:rPr>
              <w:t>注：</w:t>
            </w:r>
            <w:r>
              <w:rPr>
                <w:rFonts w:hint="eastAsia" w:eastAsiaTheme="minorEastAsia"/>
                <w:bCs/>
                <w:lang w:eastAsia="zh-CN"/>
              </w:rPr>
              <w:t>水体2</w:t>
            </w:r>
            <w:r>
              <w:rPr>
                <w:rFonts w:hint="eastAsia" w:eastAsiaTheme="minorEastAsia"/>
                <w:bCs/>
                <w:lang w:val="en-US" w:eastAsia="zh-CN"/>
              </w:rPr>
              <w:t>为水体1支流</w:t>
            </w:r>
            <w:r>
              <w:rPr>
                <w:rFonts w:eastAsiaTheme="minorEastAsia"/>
                <w:bCs/>
              </w:rPr>
              <w:t>，</w:t>
            </w:r>
            <w:r>
              <w:rPr>
                <w:rFonts w:hint="eastAsia" w:eastAsiaTheme="minorEastAsia"/>
                <w:bCs/>
                <w:lang w:val="en-US" w:eastAsia="zh-CN"/>
              </w:rPr>
              <w:t>参照</w:t>
            </w:r>
            <w:r>
              <w:rPr>
                <w:rFonts w:eastAsiaTheme="minorEastAsia"/>
                <w:bCs/>
              </w:rPr>
              <w:t>执行</w:t>
            </w:r>
            <w:r>
              <w:rPr>
                <w:rFonts w:eastAsiaTheme="minorEastAsia"/>
              </w:rPr>
              <w:t>Ⅲ</w:t>
            </w:r>
            <w:r>
              <w:rPr>
                <w:rFonts w:eastAsiaTheme="minorEastAsia"/>
                <w:bCs/>
              </w:rPr>
              <w:t>类水体标准</w:t>
            </w:r>
            <w:r>
              <w:rPr>
                <w:color w:val="0070C0"/>
                <w:kern w:val="0"/>
                <w:szCs w:val="21"/>
              </w:rPr>
              <w:t>。</w:t>
            </w:r>
          </w:p>
          <w:p w14:paraId="0B65B928">
            <w:pPr>
              <w:adjustRightInd w:val="0"/>
              <w:spacing w:before="240" w:beforeLines="100" w:line="300" w:lineRule="auto"/>
              <w:rPr>
                <w:b/>
                <w:color w:val="auto"/>
                <w:kern w:val="0"/>
                <w:sz w:val="24"/>
              </w:rPr>
            </w:pPr>
            <w:r>
              <w:rPr>
                <w:rFonts w:hint="eastAsia"/>
                <w:b/>
                <w:color w:val="auto"/>
                <w:kern w:val="0"/>
                <w:sz w:val="24"/>
              </w:rPr>
              <w:t>4. 声环境功能区划</w:t>
            </w:r>
          </w:p>
          <w:p w14:paraId="78DCF35C">
            <w:pPr>
              <w:pStyle w:val="68"/>
              <w:keepNext w:val="0"/>
              <w:keepLines w:val="0"/>
              <w:pageBreakBefore w:val="0"/>
              <w:widowControl w:val="0"/>
              <w:kinsoku/>
              <w:wordWrap/>
              <w:overflowPunct/>
              <w:topLinePunct w:val="0"/>
              <w:autoSpaceDE/>
              <w:autoSpaceDN/>
              <w:bidi w:val="0"/>
              <w:adjustRightInd/>
              <w:snapToGrid/>
              <w:textAlignment w:val="auto"/>
              <w:rPr>
                <w:rFonts w:hint="eastAsia" w:hAnsi="宋体"/>
                <w:color w:val="auto"/>
                <w:sz w:val="24"/>
              </w:rPr>
            </w:pPr>
            <w:r>
              <w:rPr>
                <w:rFonts w:hint="eastAsia" w:hAnsi="宋体"/>
                <w:color w:val="auto"/>
                <w:sz w:val="24"/>
              </w:rPr>
              <w:t>经核实，拟建公路沿线评价范围内未划分声环境功能区。</w:t>
            </w:r>
          </w:p>
          <w:p w14:paraId="32EE9381">
            <w:pPr>
              <w:pStyle w:val="68"/>
              <w:keepNext w:val="0"/>
              <w:keepLines w:val="0"/>
              <w:pageBreakBefore w:val="0"/>
              <w:widowControl w:val="0"/>
              <w:kinsoku/>
              <w:wordWrap/>
              <w:overflowPunct/>
              <w:topLinePunct w:val="0"/>
              <w:autoSpaceDE/>
              <w:autoSpaceDN/>
              <w:bidi w:val="0"/>
              <w:adjustRightInd/>
              <w:snapToGrid/>
              <w:textAlignment w:val="auto"/>
              <w:rPr>
                <w:rFonts w:hint="eastAsia" w:hAnsi="宋体"/>
                <w:color w:val="auto"/>
                <w:sz w:val="24"/>
              </w:rPr>
            </w:pPr>
            <w:r>
              <w:rPr>
                <w:rFonts w:hint="eastAsia" w:hAnsi="宋体"/>
                <w:color w:val="auto"/>
                <w:sz w:val="24"/>
              </w:rPr>
              <w:t>根据《声环境质量标准》（GB3096-2008）以及《声环境功能区划分技术规范》（GB/T15190-2014）中乡村声环境功能以及4a类声环境功能区的划分要求：“工业活动较多的村庄以及有交通干线经过的村庄（指执行4类声环境功能区要求以外的地区）可局部或全部执行2类声环境功能区要求”。</w:t>
            </w:r>
          </w:p>
          <w:p w14:paraId="48F0DDD5">
            <w:pPr>
              <w:pStyle w:val="68"/>
              <w:keepNext w:val="0"/>
              <w:keepLines w:val="0"/>
              <w:pageBreakBefore w:val="0"/>
              <w:widowControl w:val="0"/>
              <w:kinsoku/>
              <w:wordWrap/>
              <w:overflowPunct/>
              <w:topLinePunct w:val="0"/>
              <w:autoSpaceDE/>
              <w:autoSpaceDN/>
              <w:bidi w:val="0"/>
              <w:adjustRightInd/>
              <w:snapToGrid/>
              <w:spacing w:after="157" w:afterLines="50"/>
              <w:textAlignment w:val="auto"/>
              <w:rPr>
                <w:color w:val="auto"/>
              </w:rPr>
            </w:pPr>
            <w:r>
              <w:rPr>
                <w:rFonts w:hint="eastAsia" w:hAnsi="宋体"/>
                <w:color w:val="auto"/>
                <w:sz w:val="24"/>
              </w:rPr>
              <w:t>拟建公路利用现有G219公路（交通干线）进行改扩建，本评价项目沿线农村地区参照执行2类声环境标准限值，学校、卫生院等特殊敏感区执行昼间60dB(A)、夜间50dB(A)</w:t>
            </w:r>
            <w:r>
              <w:rPr>
                <w:rFonts w:hint="eastAsia"/>
                <w:color w:val="auto"/>
              </w:rPr>
              <w:t>。</w:t>
            </w:r>
          </w:p>
          <w:p w14:paraId="5B7B0CB8">
            <w:pPr>
              <w:adjustRightInd w:val="0"/>
              <w:spacing w:after="120" w:afterLines="50" w:line="300" w:lineRule="auto"/>
              <w:rPr>
                <w:b/>
                <w:color w:val="000000"/>
                <w:kern w:val="0"/>
                <w:sz w:val="24"/>
              </w:rPr>
            </w:pPr>
            <w:r>
              <w:rPr>
                <w:rFonts w:hint="eastAsia"/>
                <w:b/>
                <w:color w:val="000000"/>
                <w:kern w:val="0"/>
                <w:sz w:val="24"/>
              </w:rPr>
              <w:t>三</w:t>
            </w:r>
            <w:r>
              <w:rPr>
                <w:b/>
                <w:color w:val="000000"/>
                <w:kern w:val="0"/>
                <w:sz w:val="24"/>
              </w:rPr>
              <w:t>、生态环境现状</w:t>
            </w:r>
          </w:p>
          <w:p w14:paraId="1AA3CE9B">
            <w:pPr>
              <w:adjustRightInd w:val="0"/>
              <w:spacing w:line="300" w:lineRule="auto"/>
              <w:rPr>
                <w:b/>
                <w:color w:val="000000"/>
                <w:kern w:val="0"/>
                <w:sz w:val="24"/>
              </w:rPr>
            </w:pPr>
            <w:r>
              <w:rPr>
                <w:b/>
                <w:color w:val="000000"/>
                <w:kern w:val="0"/>
                <w:sz w:val="24"/>
              </w:rPr>
              <w:t>1. 环境空气</w:t>
            </w:r>
          </w:p>
          <w:p w14:paraId="0CC44AF7">
            <w:pPr>
              <w:spacing w:line="300" w:lineRule="auto"/>
              <w:ind w:firstLine="480" w:firstLineChars="200"/>
              <w:rPr>
                <w:rFonts w:eastAsiaTheme="minorEastAsia"/>
                <w:color w:val="000000"/>
                <w:sz w:val="24"/>
                <w:szCs w:val="20"/>
              </w:rPr>
            </w:pPr>
            <w:r>
              <w:rPr>
                <w:rFonts w:hint="eastAsia" w:eastAsiaTheme="minorEastAsia"/>
                <w:color w:val="000000"/>
                <w:sz w:val="24"/>
                <w:szCs w:val="20"/>
                <w:lang w:val="en-US" w:eastAsia="zh-CN"/>
              </w:rPr>
              <w:t xml:space="preserve">(1) </w:t>
            </w:r>
            <w:r>
              <w:rPr>
                <w:rFonts w:eastAsiaTheme="minorEastAsia"/>
                <w:color w:val="000000"/>
                <w:sz w:val="24"/>
                <w:szCs w:val="20"/>
              </w:rPr>
              <w:t>现状调查</w:t>
            </w:r>
          </w:p>
          <w:p w14:paraId="617C9A8E">
            <w:pPr>
              <w:spacing w:line="300" w:lineRule="auto"/>
              <w:ind w:firstLine="480" w:firstLineChars="200"/>
              <w:rPr>
                <w:rFonts w:eastAsiaTheme="minorEastAsia"/>
                <w:color w:val="000000"/>
                <w:sz w:val="24"/>
                <w:szCs w:val="20"/>
              </w:rPr>
            </w:pPr>
            <w:r>
              <w:rPr>
                <w:rFonts w:eastAsiaTheme="minorEastAsia"/>
                <w:color w:val="000000"/>
                <w:sz w:val="24"/>
                <w:szCs w:val="20"/>
              </w:rPr>
              <w:t>拟建公路所经区域多为空旷区域和乡村居住点，环境空气质量保持自然状况。评价范围内无大型固定污染源，现有环境空气污染源主要来自道路汽车尾气、二次扬尘、人群生产生活所产生的一氧化碳和总悬浮颗粒物等，但排放量均较小。</w:t>
            </w:r>
          </w:p>
          <w:p w14:paraId="0442159A">
            <w:pPr>
              <w:adjustRightInd w:val="0"/>
              <w:spacing w:line="300" w:lineRule="auto"/>
              <w:ind w:firstLine="480" w:firstLineChars="200"/>
              <w:rPr>
                <w:rFonts w:eastAsiaTheme="minorEastAsia"/>
                <w:color w:val="000000"/>
                <w:sz w:val="24"/>
                <w:szCs w:val="20"/>
              </w:rPr>
            </w:pPr>
            <w:r>
              <w:rPr>
                <w:rFonts w:hint="eastAsia" w:eastAsiaTheme="minorEastAsia"/>
                <w:color w:val="000000"/>
                <w:sz w:val="24"/>
                <w:szCs w:val="20"/>
                <w:lang w:val="en-US" w:eastAsia="zh-CN"/>
              </w:rPr>
              <w:t xml:space="preserve">(2) </w:t>
            </w:r>
            <w:r>
              <w:rPr>
                <w:rFonts w:eastAsiaTheme="minorEastAsia"/>
                <w:color w:val="000000"/>
                <w:sz w:val="24"/>
                <w:szCs w:val="20"/>
              </w:rPr>
              <w:t>达标区判定</w:t>
            </w:r>
          </w:p>
          <w:p w14:paraId="76436A84">
            <w:pPr>
              <w:spacing w:line="300" w:lineRule="auto"/>
              <w:ind w:firstLine="480" w:firstLineChars="200"/>
              <w:rPr>
                <w:rFonts w:eastAsiaTheme="minorEastAsia"/>
                <w:color w:val="000000"/>
                <w:sz w:val="24"/>
                <w:szCs w:val="20"/>
              </w:rPr>
            </w:pPr>
            <w:r>
              <w:rPr>
                <w:rFonts w:eastAsiaTheme="minorEastAsia"/>
                <w:color w:val="000000"/>
                <w:sz w:val="24"/>
              </w:rPr>
              <w:t>拟建公路位于新疆维吾尔自治区克孜勒苏柯尔克孜自治州和</w:t>
            </w:r>
            <w:r>
              <w:rPr>
                <w:rFonts w:eastAsiaTheme="minorEastAsia"/>
                <w:color w:val="000000"/>
                <w:kern w:val="0"/>
                <w:sz w:val="24"/>
                <w:szCs w:val="20"/>
              </w:rPr>
              <w:t>喀什地区</w:t>
            </w:r>
            <w:r>
              <w:rPr>
                <w:rFonts w:eastAsiaTheme="minorEastAsia"/>
                <w:color w:val="000000"/>
                <w:sz w:val="24"/>
              </w:rPr>
              <w:t>境内，选取环境空气质量模型技术支持服务系统中克孜勒苏柯尔克孜自治州和</w:t>
            </w:r>
            <w:r>
              <w:rPr>
                <w:rFonts w:hint="eastAsia" w:eastAsiaTheme="minorEastAsia"/>
                <w:color w:val="000000"/>
                <w:sz w:val="24"/>
              </w:rPr>
              <w:t>喀什地区</w:t>
            </w:r>
            <w:r>
              <w:rPr>
                <w:rFonts w:eastAsiaTheme="minorEastAsia"/>
                <w:color w:val="000000"/>
                <w:sz w:val="24"/>
              </w:rPr>
              <w:t>国控监测站点的2024年环境空气质量数据，项目区空气质量达标情况见表</w:t>
            </w:r>
            <w:r>
              <w:rPr>
                <w:rFonts w:eastAsiaTheme="minorEastAsia"/>
                <w:color w:val="000000"/>
                <w:sz w:val="24"/>
                <w:szCs w:val="20"/>
              </w:rPr>
              <w:t>3</w:t>
            </w:r>
            <w:r>
              <w:rPr>
                <w:rFonts w:hint="eastAsia" w:eastAsiaTheme="minorEastAsia"/>
                <w:color w:val="000000"/>
                <w:sz w:val="24"/>
                <w:szCs w:val="20"/>
                <w:lang w:val="en-US" w:eastAsia="zh-CN"/>
              </w:rPr>
              <w:t>-2</w:t>
            </w:r>
            <w:r>
              <w:rPr>
                <w:rFonts w:eastAsiaTheme="minorEastAsia"/>
                <w:color w:val="000000"/>
                <w:sz w:val="24"/>
                <w:szCs w:val="20"/>
              </w:rPr>
              <w:t>。</w:t>
            </w:r>
          </w:p>
          <w:p w14:paraId="0C572D46">
            <w:pPr>
              <w:spacing w:line="300" w:lineRule="auto"/>
              <w:ind w:firstLine="480" w:firstLineChars="200"/>
              <w:rPr>
                <w:rFonts w:eastAsiaTheme="minorEastAsia"/>
                <w:color w:val="000000"/>
                <w:sz w:val="24"/>
                <w:szCs w:val="20"/>
              </w:rPr>
            </w:pPr>
          </w:p>
          <w:p w14:paraId="4984B1AA">
            <w:pPr>
              <w:spacing w:line="300" w:lineRule="auto"/>
              <w:ind w:firstLine="480" w:firstLineChars="200"/>
              <w:rPr>
                <w:rFonts w:eastAsiaTheme="minorEastAsia"/>
                <w:color w:val="000000"/>
                <w:sz w:val="24"/>
                <w:szCs w:val="20"/>
              </w:rPr>
            </w:pPr>
          </w:p>
          <w:p w14:paraId="47004628">
            <w:pPr>
              <w:tabs>
                <w:tab w:val="left" w:pos="993"/>
              </w:tabs>
              <w:spacing w:before="120" w:beforeLines="50"/>
              <w:jc w:val="center"/>
              <w:rPr>
                <w:rFonts w:eastAsiaTheme="minorEastAsia"/>
                <w:b/>
                <w:szCs w:val="21"/>
              </w:rPr>
            </w:pPr>
            <w:r>
              <w:rPr>
                <w:rFonts w:eastAsiaTheme="minorEastAsia"/>
                <w:b/>
                <w:szCs w:val="21"/>
              </w:rPr>
              <w:t>表3</w:t>
            </w:r>
            <w:r>
              <w:rPr>
                <w:rFonts w:hint="eastAsia" w:eastAsiaTheme="minorEastAsia"/>
                <w:b/>
                <w:szCs w:val="21"/>
                <w:lang w:val="en-US" w:eastAsia="zh-CN"/>
              </w:rPr>
              <w:t>-2</w:t>
            </w:r>
            <w:r>
              <w:rPr>
                <w:rFonts w:eastAsiaTheme="minorEastAsia"/>
                <w:b/>
                <w:szCs w:val="21"/>
              </w:rPr>
              <w:t xml:space="preserve">  沿线城镇大气环境污染物年均浓度情况</w:t>
            </w:r>
          </w:p>
          <w:tbl>
            <w:tblPr>
              <w:tblStyle w:val="22"/>
              <w:tblW w:w="84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1"/>
              <w:gridCol w:w="812"/>
              <w:gridCol w:w="3185"/>
              <w:gridCol w:w="1210"/>
              <w:gridCol w:w="1210"/>
              <w:gridCol w:w="861"/>
            </w:tblGrid>
            <w:tr w14:paraId="077E3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77" w:type="pct"/>
                  <w:vAlign w:val="center"/>
                </w:tcPr>
                <w:p w14:paraId="59EEC414">
                  <w:pPr>
                    <w:spacing w:line="240" w:lineRule="exact"/>
                    <w:jc w:val="center"/>
                    <w:rPr>
                      <w:rFonts w:eastAsiaTheme="minorEastAsia"/>
                      <w:b/>
                      <w:bCs/>
                      <w:szCs w:val="21"/>
                    </w:rPr>
                  </w:pPr>
                  <w:r>
                    <w:rPr>
                      <w:rFonts w:eastAsiaTheme="minorEastAsia"/>
                      <w:b/>
                      <w:bCs/>
                      <w:szCs w:val="21"/>
                    </w:rPr>
                    <w:t>行政区</w:t>
                  </w:r>
                </w:p>
              </w:tc>
              <w:tc>
                <w:tcPr>
                  <w:tcW w:w="482" w:type="pct"/>
                  <w:vAlign w:val="center"/>
                </w:tcPr>
                <w:p w14:paraId="373F449A">
                  <w:pPr>
                    <w:spacing w:line="240" w:lineRule="exact"/>
                    <w:jc w:val="center"/>
                    <w:rPr>
                      <w:rFonts w:eastAsiaTheme="minorEastAsia"/>
                      <w:b/>
                      <w:bCs/>
                      <w:szCs w:val="21"/>
                    </w:rPr>
                  </w:pPr>
                  <w:r>
                    <w:rPr>
                      <w:rFonts w:eastAsiaTheme="minorEastAsia"/>
                      <w:b/>
                      <w:bCs/>
                      <w:szCs w:val="21"/>
                    </w:rPr>
                    <w:t>评价因子</w:t>
                  </w:r>
                </w:p>
              </w:tc>
              <w:tc>
                <w:tcPr>
                  <w:tcW w:w="1891" w:type="pct"/>
                  <w:vAlign w:val="center"/>
                </w:tcPr>
                <w:p w14:paraId="69478F3D">
                  <w:pPr>
                    <w:spacing w:line="240" w:lineRule="exact"/>
                    <w:jc w:val="center"/>
                    <w:rPr>
                      <w:rFonts w:eastAsiaTheme="minorEastAsia"/>
                      <w:b/>
                      <w:bCs/>
                      <w:szCs w:val="21"/>
                    </w:rPr>
                  </w:pPr>
                  <w:r>
                    <w:rPr>
                      <w:rFonts w:hint="eastAsia" w:eastAsiaTheme="minorEastAsia"/>
                      <w:b/>
                      <w:bCs/>
                      <w:szCs w:val="21"/>
                    </w:rPr>
                    <w:t>年度</w:t>
                  </w:r>
                  <w:r>
                    <w:rPr>
                      <w:rFonts w:eastAsiaTheme="minorEastAsia"/>
                      <w:b/>
                      <w:bCs/>
                      <w:szCs w:val="21"/>
                    </w:rPr>
                    <w:t>评价指标</w:t>
                  </w:r>
                </w:p>
              </w:tc>
              <w:tc>
                <w:tcPr>
                  <w:tcW w:w="718" w:type="pct"/>
                  <w:vAlign w:val="center"/>
                </w:tcPr>
                <w:p w14:paraId="11546CDA">
                  <w:pPr>
                    <w:spacing w:line="240" w:lineRule="exact"/>
                    <w:jc w:val="center"/>
                    <w:rPr>
                      <w:rFonts w:eastAsiaTheme="minorEastAsia"/>
                      <w:b/>
                      <w:bCs/>
                      <w:szCs w:val="21"/>
                    </w:rPr>
                  </w:pPr>
                  <w:r>
                    <w:rPr>
                      <w:rFonts w:eastAsiaTheme="minorEastAsia"/>
                      <w:b/>
                      <w:bCs/>
                      <w:szCs w:val="21"/>
                    </w:rPr>
                    <w:t>现状浓度 (μg/m</w:t>
                  </w:r>
                  <w:r>
                    <w:rPr>
                      <w:rFonts w:eastAsiaTheme="minorEastAsia"/>
                      <w:b/>
                      <w:bCs/>
                      <w:szCs w:val="21"/>
                      <w:vertAlign w:val="superscript"/>
                    </w:rPr>
                    <w:t>3</w:t>
                  </w:r>
                  <w:r>
                    <w:rPr>
                      <w:rFonts w:eastAsiaTheme="minorEastAsia"/>
                      <w:b/>
                      <w:bCs/>
                      <w:szCs w:val="21"/>
                    </w:rPr>
                    <w:t>)</w:t>
                  </w:r>
                </w:p>
              </w:tc>
              <w:tc>
                <w:tcPr>
                  <w:tcW w:w="718" w:type="pct"/>
                  <w:vAlign w:val="center"/>
                </w:tcPr>
                <w:p w14:paraId="50911409">
                  <w:pPr>
                    <w:spacing w:line="240" w:lineRule="exact"/>
                    <w:jc w:val="center"/>
                    <w:rPr>
                      <w:rFonts w:eastAsiaTheme="minorEastAsia"/>
                      <w:b/>
                      <w:bCs/>
                      <w:szCs w:val="21"/>
                    </w:rPr>
                  </w:pPr>
                  <w:r>
                    <w:rPr>
                      <w:rFonts w:eastAsiaTheme="minorEastAsia"/>
                      <w:b/>
                      <w:bCs/>
                      <w:szCs w:val="21"/>
                    </w:rPr>
                    <w:t>标准限值(μg/m</w:t>
                  </w:r>
                  <w:r>
                    <w:rPr>
                      <w:rFonts w:eastAsiaTheme="minorEastAsia"/>
                      <w:b/>
                      <w:bCs/>
                      <w:szCs w:val="21"/>
                      <w:vertAlign w:val="superscript"/>
                    </w:rPr>
                    <w:t>3</w:t>
                  </w:r>
                  <w:r>
                    <w:rPr>
                      <w:rFonts w:eastAsiaTheme="minorEastAsia"/>
                      <w:b/>
                      <w:bCs/>
                      <w:szCs w:val="21"/>
                    </w:rPr>
                    <w:t>)</w:t>
                  </w:r>
                </w:p>
              </w:tc>
              <w:tc>
                <w:tcPr>
                  <w:tcW w:w="511" w:type="pct"/>
                  <w:vAlign w:val="center"/>
                </w:tcPr>
                <w:p w14:paraId="4D940375">
                  <w:pPr>
                    <w:autoSpaceDE w:val="0"/>
                    <w:autoSpaceDN w:val="0"/>
                    <w:adjustRightInd w:val="0"/>
                    <w:spacing w:line="240" w:lineRule="exact"/>
                    <w:jc w:val="center"/>
                    <w:rPr>
                      <w:rFonts w:eastAsiaTheme="minorEastAsia"/>
                      <w:b/>
                      <w:bCs/>
                      <w:szCs w:val="21"/>
                    </w:rPr>
                  </w:pPr>
                  <w:r>
                    <w:rPr>
                      <w:rFonts w:eastAsiaTheme="minorEastAsia"/>
                      <w:b/>
                      <w:bCs/>
                      <w:szCs w:val="21"/>
                    </w:rPr>
                    <w:t>达标情况</w:t>
                  </w:r>
                </w:p>
              </w:tc>
            </w:tr>
            <w:tr w14:paraId="67216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77" w:type="pct"/>
                  <w:vMerge w:val="restart"/>
                  <w:vAlign w:val="center"/>
                </w:tcPr>
                <w:p w14:paraId="5C3F5F35">
                  <w:pPr>
                    <w:autoSpaceDE w:val="0"/>
                    <w:autoSpaceDN w:val="0"/>
                    <w:adjustRightInd w:val="0"/>
                    <w:spacing w:line="240" w:lineRule="exact"/>
                    <w:jc w:val="center"/>
                    <w:rPr>
                      <w:rFonts w:eastAsiaTheme="minorEastAsia"/>
                      <w:szCs w:val="21"/>
                    </w:rPr>
                  </w:pPr>
                  <w:r>
                    <w:rPr>
                      <w:rFonts w:eastAsiaTheme="minorEastAsia"/>
                      <w:szCs w:val="21"/>
                    </w:rPr>
                    <w:t>克孜勒苏柯尔克孜自治州</w:t>
                  </w:r>
                </w:p>
              </w:tc>
              <w:tc>
                <w:tcPr>
                  <w:tcW w:w="482" w:type="pct"/>
                  <w:vAlign w:val="center"/>
                </w:tcPr>
                <w:p w14:paraId="006BEEED">
                  <w:pPr>
                    <w:autoSpaceDE w:val="0"/>
                    <w:autoSpaceDN w:val="0"/>
                    <w:adjustRightInd w:val="0"/>
                    <w:spacing w:line="240" w:lineRule="exact"/>
                    <w:jc w:val="center"/>
                    <w:rPr>
                      <w:rFonts w:eastAsiaTheme="minorEastAsia"/>
                      <w:szCs w:val="21"/>
                    </w:rPr>
                  </w:pPr>
                  <w:r>
                    <w:rPr>
                      <w:rFonts w:eastAsiaTheme="minorEastAsia"/>
                      <w:szCs w:val="21"/>
                    </w:rPr>
                    <w:t>SO</w:t>
                  </w:r>
                  <w:r>
                    <w:rPr>
                      <w:rFonts w:eastAsiaTheme="minorEastAsia"/>
                      <w:szCs w:val="21"/>
                      <w:vertAlign w:val="subscript"/>
                    </w:rPr>
                    <w:t>2</w:t>
                  </w:r>
                </w:p>
              </w:tc>
              <w:tc>
                <w:tcPr>
                  <w:tcW w:w="1891" w:type="pct"/>
                  <w:vAlign w:val="center"/>
                </w:tcPr>
                <w:p w14:paraId="4E7AFEA1">
                  <w:pPr>
                    <w:autoSpaceDE w:val="0"/>
                    <w:autoSpaceDN w:val="0"/>
                    <w:adjustRightInd w:val="0"/>
                    <w:spacing w:line="240" w:lineRule="exact"/>
                    <w:jc w:val="center"/>
                    <w:rPr>
                      <w:rFonts w:eastAsiaTheme="minorEastAsia"/>
                      <w:szCs w:val="21"/>
                    </w:rPr>
                  </w:pPr>
                  <w:r>
                    <w:rPr>
                      <w:rFonts w:eastAsiaTheme="minorEastAsia"/>
                      <w:szCs w:val="21"/>
                    </w:rPr>
                    <w:t>年平均</w:t>
                  </w:r>
                </w:p>
              </w:tc>
              <w:tc>
                <w:tcPr>
                  <w:tcW w:w="718" w:type="pct"/>
                  <w:vAlign w:val="center"/>
                </w:tcPr>
                <w:p w14:paraId="0CCC35BD">
                  <w:pPr>
                    <w:autoSpaceDE w:val="0"/>
                    <w:autoSpaceDN w:val="0"/>
                    <w:adjustRightInd w:val="0"/>
                    <w:spacing w:line="240" w:lineRule="exact"/>
                    <w:jc w:val="center"/>
                    <w:rPr>
                      <w:rFonts w:eastAsiaTheme="minorEastAsia"/>
                      <w:szCs w:val="21"/>
                    </w:rPr>
                  </w:pPr>
                  <w:r>
                    <w:rPr>
                      <w:rFonts w:eastAsiaTheme="minorEastAsia"/>
                      <w:szCs w:val="21"/>
                    </w:rPr>
                    <w:t>9</w:t>
                  </w:r>
                </w:p>
              </w:tc>
              <w:tc>
                <w:tcPr>
                  <w:tcW w:w="718" w:type="pct"/>
                  <w:vAlign w:val="center"/>
                </w:tcPr>
                <w:p w14:paraId="7DFF8B5C">
                  <w:pPr>
                    <w:autoSpaceDE w:val="0"/>
                    <w:autoSpaceDN w:val="0"/>
                    <w:adjustRightInd w:val="0"/>
                    <w:spacing w:line="240" w:lineRule="exact"/>
                    <w:jc w:val="center"/>
                    <w:rPr>
                      <w:rFonts w:eastAsiaTheme="minorEastAsia"/>
                      <w:szCs w:val="21"/>
                    </w:rPr>
                  </w:pPr>
                  <w:r>
                    <w:rPr>
                      <w:rFonts w:eastAsiaTheme="minorEastAsia"/>
                      <w:szCs w:val="21"/>
                    </w:rPr>
                    <w:t>60</w:t>
                  </w:r>
                </w:p>
              </w:tc>
              <w:tc>
                <w:tcPr>
                  <w:tcW w:w="511" w:type="pct"/>
                  <w:vAlign w:val="center"/>
                </w:tcPr>
                <w:p w14:paraId="7BA66765">
                  <w:pPr>
                    <w:autoSpaceDE w:val="0"/>
                    <w:autoSpaceDN w:val="0"/>
                    <w:adjustRightInd w:val="0"/>
                    <w:spacing w:line="240" w:lineRule="exact"/>
                    <w:jc w:val="center"/>
                    <w:rPr>
                      <w:rFonts w:eastAsiaTheme="minorEastAsia"/>
                      <w:szCs w:val="21"/>
                    </w:rPr>
                  </w:pPr>
                  <w:r>
                    <w:rPr>
                      <w:rFonts w:eastAsiaTheme="minorEastAsia"/>
                      <w:szCs w:val="21"/>
                    </w:rPr>
                    <w:t>达标</w:t>
                  </w:r>
                </w:p>
              </w:tc>
            </w:tr>
            <w:tr w14:paraId="1ECA7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77" w:type="pct"/>
                  <w:vMerge w:val="continue"/>
                  <w:vAlign w:val="center"/>
                </w:tcPr>
                <w:p w14:paraId="4CCFFC80">
                  <w:pPr>
                    <w:autoSpaceDE w:val="0"/>
                    <w:autoSpaceDN w:val="0"/>
                    <w:adjustRightInd w:val="0"/>
                    <w:spacing w:line="240" w:lineRule="exact"/>
                    <w:jc w:val="center"/>
                    <w:rPr>
                      <w:rFonts w:eastAsiaTheme="minorEastAsia"/>
                      <w:szCs w:val="21"/>
                    </w:rPr>
                  </w:pPr>
                </w:p>
              </w:tc>
              <w:tc>
                <w:tcPr>
                  <w:tcW w:w="482" w:type="pct"/>
                  <w:vAlign w:val="center"/>
                </w:tcPr>
                <w:p w14:paraId="79BEF20C">
                  <w:pPr>
                    <w:autoSpaceDE w:val="0"/>
                    <w:autoSpaceDN w:val="0"/>
                    <w:adjustRightInd w:val="0"/>
                    <w:spacing w:line="240" w:lineRule="exact"/>
                    <w:jc w:val="center"/>
                    <w:rPr>
                      <w:rFonts w:eastAsiaTheme="minorEastAsia"/>
                      <w:szCs w:val="21"/>
                    </w:rPr>
                  </w:pPr>
                  <w:r>
                    <w:rPr>
                      <w:rFonts w:eastAsiaTheme="minorEastAsia"/>
                      <w:szCs w:val="21"/>
                    </w:rPr>
                    <w:t>NO</w:t>
                  </w:r>
                  <w:r>
                    <w:rPr>
                      <w:rFonts w:eastAsiaTheme="minorEastAsia"/>
                      <w:szCs w:val="21"/>
                      <w:vertAlign w:val="subscript"/>
                    </w:rPr>
                    <w:t>2</w:t>
                  </w:r>
                </w:p>
              </w:tc>
              <w:tc>
                <w:tcPr>
                  <w:tcW w:w="1891" w:type="pct"/>
                  <w:vAlign w:val="center"/>
                </w:tcPr>
                <w:p w14:paraId="0D968EF0">
                  <w:pPr>
                    <w:autoSpaceDE w:val="0"/>
                    <w:autoSpaceDN w:val="0"/>
                    <w:adjustRightInd w:val="0"/>
                    <w:spacing w:line="240" w:lineRule="exact"/>
                    <w:jc w:val="center"/>
                    <w:rPr>
                      <w:rFonts w:eastAsiaTheme="minorEastAsia"/>
                      <w:szCs w:val="21"/>
                    </w:rPr>
                  </w:pPr>
                  <w:r>
                    <w:rPr>
                      <w:rFonts w:eastAsiaTheme="minorEastAsia"/>
                      <w:szCs w:val="21"/>
                    </w:rPr>
                    <w:t>年平均</w:t>
                  </w:r>
                </w:p>
              </w:tc>
              <w:tc>
                <w:tcPr>
                  <w:tcW w:w="718" w:type="pct"/>
                  <w:vAlign w:val="center"/>
                </w:tcPr>
                <w:p w14:paraId="2FA33251">
                  <w:pPr>
                    <w:autoSpaceDE w:val="0"/>
                    <w:autoSpaceDN w:val="0"/>
                    <w:adjustRightInd w:val="0"/>
                    <w:spacing w:line="240" w:lineRule="exact"/>
                    <w:jc w:val="center"/>
                    <w:rPr>
                      <w:rFonts w:eastAsiaTheme="minorEastAsia"/>
                      <w:szCs w:val="21"/>
                    </w:rPr>
                  </w:pPr>
                  <w:r>
                    <w:rPr>
                      <w:rFonts w:eastAsiaTheme="minorEastAsia"/>
                      <w:szCs w:val="21"/>
                    </w:rPr>
                    <w:t>13</w:t>
                  </w:r>
                </w:p>
              </w:tc>
              <w:tc>
                <w:tcPr>
                  <w:tcW w:w="718" w:type="pct"/>
                  <w:vAlign w:val="center"/>
                </w:tcPr>
                <w:p w14:paraId="4CF23F39">
                  <w:pPr>
                    <w:autoSpaceDE w:val="0"/>
                    <w:autoSpaceDN w:val="0"/>
                    <w:adjustRightInd w:val="0"/>
                    <w:spacing w:line="240" w:lineRule="exact"/>
                    <w:jc w:val="center"/>
                    <w:rPr>
                      <w:rFonts w:eastAsiaTheme="minorEastAsia"/>
                      <w:szCs w:val="21"/>
                    </w:rPr>
                  </w:pPr>
                  <w:r>
                    <w:rPr>
                      <w:rFonts w:eastAsiaTheme="minorEastAsia"/>
                      <w:szCs w:val="21"/>
                    </w:rPr>
                    <w:t>40</w:t>
                  </w:r>
                </w:p>
              </w:tc>
              <w:tc>
                <w:tcPr>
                  <w:tcW w:w="511" w:type="pct"/>
                  <w:vAlign w:val="center"/>
                </w:tcPr>
                <w:p w14:paraId="098E265A">
                  <w:pPr>
                    <w:autoSpaceDE w:val="0"/>
                    <w:spacing w:line="240" w:lineRule="exact"/>
                    <w:jc w:val="center"/>
                    <w:rPr>
                      <w:rFonts w:eastAsiaTheme="minorEastAsia"/>
                      <w:szCs w:val="21"/>
                    </w:rPr>
                  </w:pPr>
                  <w:r>
                    <w:rPr>
                      <w:rFonts w:eastAsiaTheme="minorEastAsia"/>
                      <w:szCs w:val="21"/>
                    </w:rPr>
                    <w:t>达标</w:t>
                  </w:r>
                </w:p>
              </w:tc>
            </w:tr>
            <w:tr w14:paraId="5AA99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77" w:type="pct"/>
                  <w:vMerge w:val="continue"/>
                  <w:vAlign w:val="center"/>
                </w:tcPr>
                <w:p w14:paraId="0E1F1AC3">
                  <w:pPr>
                    <w:autoSpaceDE w:val="0"/>
                    <w:autoSpaceDN w:val="0"/>
                    <w:adjustRightInd w:val="0"/>
                    <w:spacing w:line="240" w:lineRule="exact"/>
                    <w:jc w:val="center"/>
                    <w:rPr>
                      <w:rFonts w:eastAsiaTheme="minorEastAsia"/>
                      <w:szCs w:val="21"/>
                    </w:rPr>
                  </w:pPr>
                </w:p>
              </w:tc>
              <w:tc>
                <w:tcPr>
                  <w:tcW w:w="482" w:type="pct"/>
                  <w:vAlign w:val="center"/>
                </w:tcPr>
                <w:p w14:paraId="54E7E22B">
                  <w:pPr>
                    <w:autoSpaceDE w:val="0"/>
                    <w:autoSpaceDN w:val="0"/>
                    <w:adjustRightInd w:val="0"/>
                    <w:spacing w:line="240" w:lineRule="exact"/>
                    <w:jc w:val="center"/>
                    <w:rPr>
                      <w:rFonts w:eastAsiaTheme="minorEastAsia"/>
                      <w:szCs w:val="21"/>
                    </w:rPr>
                  </w:pPr>
                  <w:r>
                    <w:rPr>
                      <w:rFonts w:eastAsiaTheme="minorEastAsia"/>
                      <w:szCs w:val="21"/>
                    </w:rPr>
                    <w:t>CO</w:t>
                  </w:r>
                </w:p>
              </w:tc>
              <w:tc>
                <w:tcPr>
                  <w:tcW w:w="1891" w:type="pct"/>
                  <w:vAlign w:val="center"/>
                </w:tcPr>
                <w:p w14:paraId="18306B3E">
                  <w:pPr>
                    <w:autoSpaceDE w:val="0"/>
                    <w:autoSpaceDN w:val="0"/>
                    <w:adjustRightInd w:val="0"/>
                    <w:spacing w:line="240" w:lineRule="exact"/>
                    <w:jc w:val="center"/>
                    <w:rPr>
                      <w:rFonts w:eastAsiaTheme="minorEastAsia"/>
                      <w:szCs w:val="21"/>
                    </w:rPr>
                  </w:pPr>
                  <w:r>
                    <w:rPr>
                      <w:rFonts w:eastAsiaTheme="minorEastAsia"/>
                      <w:szCs w:val="21"/>
                    </w:rPr>
                    <w:t>24h的第95百分位数</w:t>
                  </w:r>
                </w:p>
              </w:tc>
              <w:tc>
                <w:tcPr>
                  <w:tcW w:w="718" w:type="pct"/>
                  <w:vAlign w:val="center"/>
                </w:tcPr>
                <w:p w14:paraId="01730925">
                  <w:pPr>
                    <w:autoSpaceDE w:val="0"/>
                    <w:autoSpaceDN w:val="0"/>
                    <w:adjustRightInd w:val="0"/>
                    <w:spacing w:line="240" w:lineRule="exact"/>
                    <w:jc w:val="center"/>
                    <w:rPr>
                      <w:rFonts w:eastAsiaTheme="minorEastAsia"/>
                      <w:szCs w:val="21"/>
                    </w:rPr>
                  </w:pPr>
                  <w:r>
                    <w:rPr>
                      <w:rFonts w:eastAsiaTheme="minorEastAsia"/>
                      <w:szCs w:val="21"/>
                    </w:rPr>
                    <w:t>1100</w:t>
                  </w:r>
                </w:p>
              </w:tc>
              <w:tc>
                <w:tcPr>
                  <w:tcW w:w="718" w:type="pct"/>
                  <w:vAlign w:val="center"/>
                </w:tcPr>
                <w:p w14:paraId="7AFAFDE4">
                  <w:pPr>
                    <w:autoSpaceDE w:val="0"/>
                    <w:autoSpaceDN w:val="0"/>
                    <w:adjustRightInd w:val="0"/>
                    <w:spacing w:line="240" w:lineRule="exact"/>
                    <w:jc w:val="center"/>
                    <w:rPr>
                      <w:rFonts w:eastAsiaTheme="minorEastAsia"/>
                      <w:szCs w:val="21"/>
                    </w:rPr>
                  </w:pPr>
                  <w:r>
                    <w:rPr>
                      <w:rFonts w:eastAsiaTheme="minorEastAsia"/>
                      <w:szCs w:val="21"/>
                    </w:rPr>
                    <w:t>4000</w:t>
                  </w:r>
                </w:p>
              </w:tc>
              <w:tc>
                <w:tcPr>
                  <w:tcW w:w="511" w:type="pct"/>
                  <w:vAlign w:val="center"/>
                </w:tcPr>
                <w:p w14:paraId="0E490B5E">
                  <w:pPr>
                    <w:autoSpaceDE w:val="0"/>
                    <w:spacing w:line="240" w:lineRule="exact"/>
                    <w:jc w:val="center"/>
                    <w:rPr>
                      <w:rFonts w:eastAsiaTheme="minorEastAsia"/>
                      <w:szCs w:val="21"/>
                    </w:rPr>
                  </w:pPr>
                  <w:r>
                    <w:rPr>
                      <w:rFonts w:eastAsiaTheme="minorEastAsia"/>
                      <w:szCs w:val="21"/>
                    </w:rPr>
                    <w:t>达标</w:t>
                  </w:r>
                </w:p>
              </w:tc>
            </w:tr>
            <w:tr w14:paraId="561D5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77" w:type="pct"/>
                  <w:vMerge w:val="continue"/>
                  <w:vAlign w:val="center"/>
                </w:tcPr>
                <w:p w14:paraId="1EBB7487">
                  <w:pPr>
                    <w:autoSpaceDE w:val="0"/>
                    <w:autoSpaceDN w:val="0"/>
                    <w:adjustRightInd w:val="0"/>
                    <w:spacing w:line="240" w:lineRule="exact"/>
                    <w:jc w:val="center"/>
                    <w:rPr>
                      <w:rFonts w:eastAsiaTheme="minorEastAsia"/>
                      <w:szCs w:val="21"/>
                    </w:rPr>
                  </w:pPr>
                </w:p>
              </w:tc>
              <w:tc>
                <w:tcPr>
                  <w:tcW w:w="482" w:type="pct"/>
                  <w:vAlign w:val="center"/>
                </w:tcPr>
                <w:p w14:paraId="0448C700">
                  <w:pPr>
                    <w:autoSpaceDE w:val="0"/>
                    <w:autoSpaceDN w:val="0"/>
                    <w:adjustRightInd w:val="0"/>
                    <w:spacing w:line="240" w:lineRule="exact"/>
                    <w:jc w:val="center"/>
                    <w:rPr>
                      <w:rFonts w:eastAsiaTheme="minorEastAsia"/>
                      <w:szCs w:val="21"/>
                    </w:rPr>
                  </w:pPr>
                  <w:r>
                    <w:rPr>
                      <w:rFonts w:eastAsiaTheme="minorEastAsia"/>
                      <w:szCs w:val="21"/>
                    </w:rPr>
                    <w:t>O</w:t>
                  </w:r>
                  <w:r>
                    <w:rPr>
                      <w:rFonts w:eastAsiaTheme="minorEastAsia"/>
                      <w:szCs w:val="21"/>
                      <w:vertAlign w:val="subscript"/>
                    </w:rPr>
                    <w:t>3</w:t>
                  </w:r>
                </w:p>
              </w:tc>
              <w:tc>
                <w:tcPr>
                  <w:tcW w:w="1891" w:type="pct"/>
                  <w:vAlign w:val="center"/>
                </w:tcPr>
                <w:p w14:paraId="5031BFAA">
                  <w:pPr>
                    <w:autoSpaceDE w:val="0"/>
                    <w:autoSpaceDN w:val="0"/>
                    <w:adjustRightInd w:val="0"/>
                    <w:spacing w:line="240" w:lineRule="exact"/>
                    <w:jc w:val="center"/>
                    <w:rPr>
                      <w:rFonts w:eastAsiaTheme="minorEastAsia"/>
                      <w:szCs w:val="21"/>
                    </w:rPr>
                  </w:pPr>
                  <w:r>
                    <w:rPr>
                      <w:rFonts w:eastAsiaTheme="minorEastAsia"/>
                      <w:szCs w:val="21"/>
                    </w:rPr>
                    <w:t>最大8h平均值的第90百分位数</w:t>
                  </w:r>
                </w:p>
              </w:tc>
              <w:tc>
                <w:tcPr>
                  <w:tcW w:w="718" w:type="pct"/>
                  <w:vAlign w:val="center"/>
                </w:tcPr>
                <w:p w14:paraId="0D828002">
                  <w:pPr>
                    <w:autoSpaceDE w:val="0"/>
                    <w:autoSpaceDN w:val="0"/>
                    <w:adjustRightInd w:val="0"/>
                    <w:spacing w:line="240" w:lineRule="exact"/>
                    <w:jc w:val="center"/>
                    <w:rPr>
                      <w:rFonts w:eastAsiaTheme="minorEastAsia"/>
                      <w:szCs w:val="21"/>
                    </w:rPr>
                  </w:pPr>
                  <w:r>
                    <w:rPr>
                      <w:rFonts w:eastAsiaTheme="minorEastAsia"/>
                      <w:szCs w:val="21"/>
                    </w:rPr>
                    <w:t>140</w:t>
                  </w:r>
                </w:p>
              </w:tc>
              <w:tc>
                <w:tcPr>
                  <w:tcW w:w="718" w:type="pct"/>
                  <w:vAlign w:val="center"/>
                </w:tcPr>
                <w:p w14:paraId="28BA1EA4">
                  <w:pPr>
                    <w:autoSpaceDE w:val="0"/>
                    <w:autoSpaceDN w:val="0"/>
                    <w:adjustRightInd w:val="0"/>
                    <w:spacing w:line="240" w:lineRule="exact"/>
                    <w:jc w:val="center"/>
                    <w:rPr>
                      <w:rFonts w:eastAsiaTheme="minorEastAsia"/>
                      <w:szCs w:val="21"/>
                    </w:rPr>
                  </w:pPr>
                  <w:r>
                    <w:rPr>
                      <w:rFonts w:eastAsiaTheme="minorEastAsia"/>
                      <w:szCs w:val="21"/>
                    </w:rPr>
                    <w:t>160</w:t>
                  </w:r>
                </w:p>
              </w:tc>
              <w:tc>
                <w:tcPr>
                  <w:tcW w:w="511" w:type="pct"/>
                  <w:vAlign w:val="center"/>
                </w:tcPr>
                <w:p w14:paraId="051FC515">
                  <w:pPr>
                    <w:autoSpaceDE w:val="0"/>
                    <w:spacing w:line="240" w:lineRule="exact"/>
                    <w:jc w:val="center"/>
                    <w:rPr>
                      <w:rFonts w:eastAsiaTheme="minorEastAsia"/>
                      <w:szCs w:val="21"/>
                    </w:rPr>
                  </w:pPr>
                  <w:r>
                    <w:rPr>
                      <w:rFonts w:eastAsiaTheme="minorEastAsia"/>
                      <w:szCs w:val="21"/>
                    </w:rPr>
                    <w:t>达标</w:t>
                  </w:r>
                </w:p>
              </w:tc>
            </w:tr>
            <w:tr w14:paraId="36E7C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77" w:type="pct"/>
                  <w:vMerge w:val="continue"/>
                  <w:vAlign w:val="center"/>
                </w:tcPr>
                <w:p w14:paraId="45ADA403">
                  <w:pPr>
                    <w:autoSpaceDE w:val="0"/>
                    <w:autoSpaceDN w:val="0"/>
                    <w:adjustRightInd w:val="0"/>
                    <w:spacing w:line="240" w:lineRule="exact"/>
                    <w:jc w:val="center"/>
                    <w:rPr>
                      <w:rFonts w:eastAsiaTheme="minorEastAsia"/>
                      <w:szCs w:val="21"/>
                    </w:rPr>
                  </w:pPr>
                </w:p>
              </w:tc>
              <w:tc>
                <w:tcPr>
                  <w:tcW w:w="482" w:type="pct"/>
                  <w:vAlign w:val="center"/>
                </w:tcPr>
                <w:p w14:paraId="42AC5C60">
                  <w:pPr>
                    <w:autoSpaceDE w:val="0"/>
                    <w:autoSpaceDN w:val="0"/>
                    <w:adjustRightInd w:val="0"/>
                    <w:spacing w:line="240" w:lineRule="exact"/>
                    <w:jc w:val="center"/>
                    <w:rPr>
                      <w:rFonts w:eastAsiaTheme="minorEastAsia"/>
                      <w:szCs w:val="21"/>
                    </w:rPr>
                  </w:pPr>
                  <w:r>
                    <w:rPr>
                      <w:rFonts w:eastAsiaTheme="minorEastAsia"/>
                      <w:szCs w:val="21"/>
                    </w:rPr>
                    <w:t>PM</w:t>
                  </w:r>
                  <w:r>
                    <w:rPr>
                      <w:rFonts w:eastAsiaTheme="minorEastAsia"/>
                      <w:szCs w:val="21"/>
                      <w:vertAlign w:val="subscript"/>
                    </w:rPr>
                    <w:t>2.5</w:t>
                  </w:r>
                </w:p>
              </w:tc>
              <w:tc>
                <w:tcPr>
                  <w:tcW w:w="1891" w:type="pct"/>
                  <w:vAlign w:val="center"/>
                </w:tcPr>
                <w:p w14:paraId="7C885E21">
                  <w:pPr>
                    <w:autoSpaceDE w:val="0"/>
                    <w:autoSpaceDN w:val="0"/>
                    <w:adjustRightInd w:val="0"/>
                    <w:spacing w:line="240" w:lineRule="exact"/>
                    <w:jc w:val="center"/>
                    <w:rPr>
                      <w:rFonts w:eastAsiaTheme="minorEastAsia"/>
                      <w:szCs w:val="21"/>
                    </w:rPr>
                  </w:pPr>
                  <w:r>
                    <w:rPr>
                      <w:rFonts w:eastAsiaTheme="minorEastAsia"/>
                      <w:szCs w:val="21"/>
                    </w:rPr>
                    <w:t>年平均</w:t>
                  </w:r>
                </w:p>
              </w:tc>
              <w:tc>
                <w:tcPr>
                  <w:tcW w:w="718" w:type="pct"/>
                  <w:vAlign w:val="center"/>
                </w:tcPr>
                <w:p w14:paraId="7BF67F01">
                  <w:pPr>
                    <w:autoSpaceDE w:val="0"/>
                    <w:autoSpaceDN w:val="0"/>
                    <w:adjustRightInd w:val="0"/>
                    <w:spacing w:line="240" w:lineRule="exact"/>
                    <w:jc w:val="center"/>
                    <w:rPr>
                      <w:rFonts w:eastAsiaTheme="minorEastAsia"/>
                      <w:szCs w:val="21"/>
                    </w:rPr>
                  </w:pPr>
                  <w:r>
                    <w:rPr>
                      <w:rFonts w:eastAsiaTheme="minorEastAsia"/>
                      <w:szCs w:val="21"/>
                    </w:rPr>
                    <w:t>53</w:t>
                  </w:r>
                </w:p>
              </w:tc>
              <w:tc>
                <w:tcPr>
                  <w:tcW w:w="718" w:type="pct"/>
                  <w:vAlign w:val="center"/>
                </w:tcPr>
                <w:p w14:paraId="132028A8">
                  <w:pPr>
                    <w:autoSpaceDE w:val="0"/>
                    <w:autoSpaceDN w:val="0"/>
                    <w:adjustRightInd w:val="0"/>
                    <w:spacing w:line="240" w:lineRule="exact"/>
                    <w:jc w:val="center"/>
                    <w:rPr>
                      <w:rFonts w:eastAsiaTheme="minorEastAsia"/>
                      <w:szCs w:val="21"/>
                    </w:rPr>
                  </w:pPr>
                  <w:r>
                    <w:rPr>
                      <w:rFonts w:eastAsiaTheme="minorEastAsia"/>
                      <w:szCs w:val="21"/>
                    </w:rPr>
                    <w:t>35</w:t>
                  </w:r>
                </w:p>
              </w:tc>
              <w:tc>
                <w:tcPr>
                  <w:tcW w:w="511" w:type="pct"/>
                  <w:vAlign w:val="center"/>
                </w:tcPr>
                <w:p w14:paraId="083A163D">
                  <w:pPr>
                    <w:autoSpaceDE w:val="0"/>
                    <w:spacing w:line="240" w:lineRule="exact"/>
                    <w:jc w:val="center"/>
                    <w:rPr>
                      <w:rFonts w:eastAsiaTheme="minorEastAsia"/>
                      <w:b/>
                      <w:szCs w:val="21"/>
                    </w:rPr>
                  </w:pPr>
                  <w:r>
                    <w:rPr>
                      <w:rFonts w:eastAsiaTheme="minorEastAsia"/>
                      <w:b/>
                      <w:szCs w:val="21"/>
                    </w:rPr>
                    <w:t>超标</w:t>
                  </w:r>
                </w:p>
              </w:tc>
            </w:tr>
            <w:tr w14:paraId="68E34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77" w:type="pct"/>
                  <w:vMerge w:val="continue"/>
                  <w:vAlign w:val="center"/>
                </w:tcPr>
                <w:p w14:paraId="6837C6A0">
                  <w:pPr>
                    <w:autoSpaceDE w:val="0"/>
                    <w:spacing w:line="240" w:lineRule="exact"/>
                    <w:jc w:val="center"/>
                    <w:rPr>
                      <w:rFonts w:eastAsiaTheme="minorEastAsia"/>
                      <w:szCs w:val="21"/>
                    </w:rPr>
                  </w:pPr>
                </w:p>
              </w:tc>
              <w:tc>
                <w:tcPr>
                  <w:tcW w:w="482" w:type="pct"/>
                  <w:vAlign w:val="center"/>
                </w:tcPr>
                <w:p w14:paraId="4A1D1404">
                  <w:pPr>
                    <w:autoSpaceDE w:val="0"/>
                    <w:spacing w:line="240" w:lineRule="exact"/>
                    <w:jc w:val="center"/>
                    <w:rPr>
                      <w:rFonts w:eastAsiaTheme="minorEastAsia"/>
                      <w:szCs w:val="21"/>
                    </w:rPr>
                  </w:pPr>
                  <w:r>
                    <w:rPr>
                      <w:rFonts w:eastAsiaTheme="minorEastAsia"/>
                      <w:szCs w:val="21"/>
                    </w:rPr>
                    <w:t>PM</w:t>
                  </w:r>
                  <w:r>
                    <w:rPr>
                      <w:rFonts w:eastAsiaTheme="minorEastAsia"/>
                      <w:szCs w:val="21"/>
                      <w:vertAlign w:val="subscript"/>
                    </w:rPr>
                    <w:t>10</w:t>
                  </w:r>
                </w:p>
              </w:tc>
              <w:tc>
                <w:tcPr>
                  <w:tcW w:w="1891" w:type="pct"/>
                  <w:vAlign w:val="center"/>
                </w:tcPr>
                <w:p w14:paraId="18FAD780">
                  <w:pPr>
                    <w:autoSpaceDE w:val="0"/>
                    <w:autoSpaceDN w:val="0"/>
                    <w:adjustRightInd w:val="0"/>
                    <w:spacing w:line="240" w:lineRule="exact"/>
                    <w:jc w:val="center"/>
                    <w:rPr>
                      <w:rFonts w:eastAsiaTheme="minorEastAsia"/>
                      <w:szCs w:val="21"/>
                    </w:rPr>
                  </w:pPr>
                  <w:r>
                    <w:rPr>
                      <w:rFonts w:eastAsiaTheme="minorEastAsia"/>
                      <w:szCs w:val="21"/>
                    </w:rPr>
                    <w:t>年平均</w:t>
                  </w:r>
                </w:p>
              </w:tc>
              <w:tc>
                <w:tcPr>
                  <w:tcW w:w="718" w:type="pct"/>
                  <w:vAlign w:val="center"/>
                </w:tcPr>
                <w:p w14:paraId="02EC2BFF">
                  <w:pPr>
                    <w:autoSpaceDE w:val="0"/>
                    <w:autoSpaceDN w:val="0"/>
                    <w:adjustRightInd w:val="0"/>
                    <w:spacing w:line="240" w:lineRule="exact"/>
                    <w:jc w:val="center"/>
                    <w:rPr>
                      <w:rFonts w:eastAsiaTheme="minorEastAsia"/>
                      <w:szCs w:val="21"/>
                    </w:rPr>
                  </w:pPr>
                  <w:r>
                    <w:rPr>
                      <w:rFonts w:eastAsiaTheme="minorEastAsia"/>
                      <w:szCs w:val="21"/>
                    </w:rPr>
                    <w:t>167</w:t>
                  </w:r>
                </w:p>
              </w:tc>
              <w:tc>
                <w:tcPr>
                  <w:tcW w:w="718" w:type="pct"/>
                  <w:vAlign w:val="center"/>
                </w:tcPr>
                <w:p w14:paraId="24D01E8E">
                  <w:pPr>
                    <w:autoSpaceDE w:val="0"/>
                    <w:autoSpaceDN w:val="0"/>
                    <w:adjustRightInd w:val="0"/>
                    <w:spacing w:line="240" w:lineRule="exact"/>
                    <w:jc w:val="center"/>
                    <w:rPr>
                      <w:rFonts w:eastAsiaTheme="minorEastAsia"/>
                      <w:szCs w:val="21"/>
                    </w:rPr>
                  </w:pPr>
                  <w:r>
                    <w:rPr>
                      <w:rFonts w:eastAsiaTheme="minorEastAsia"/>
                      <w:szCs w:val="21"/>
                    </w:rPr>
                    <w:t>70</w:t>
                  </w:r>
                </w:p>
              </w:tc>
              <w:tc>
                <w:tcPr>
                  <w:tcW w:w="511" w:type="pct"/>
                  <w:vAlign w:val="center"/>
                </w:tcPr>
                <w:p w14:paraId="0FBC2E86">
                  <w:pPr>
                    <w:autoSpaceDE w:val="0"/>
                    <w:spacing w:line="240" w:lineRule="exact"/>
                    <w:jc w:val="center"/>
                    <w:rPr>
                      <w:rFonts w:eastAsiaTheme="minorEastAsia"/>
                      <w:b/>
                      <w:szCs w:val="21"/>
                    </w:rPr>
                  </w:pPr>
                  <w:r>
                    <w:rPr>
                      <w:rFonts w:eastAsiaTheme="minorEastAsia"/>
                      <w:b/>
                      <w:szCs w:val="21"/>
                    </w:rPr>
                    <w:t>超标</w:t>
                  </w:r>
                </w:p>
              </w:tc>
            </w:tr>
            <w:tr w14:paraId="7C0DE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77" w:type="pct"/>
                  <w:vMerge w:val="restart"/>
                  <w:vAlign w:val="center"/>
                </w:tcPr>
                <w:p w14:paraId="7943673A">
                  <w:pPr>
                    <w:autoSpaceDE w:val="0"/>
                    <w:spacing w:line="240" w:lineRule="exact"/>
                    <w:jc w:val="center"/>
                    <w:rPr>
                      <w:rFonts w:eastAsiaTheme="minorEastAsia"/>
                      <w:szCs w:val="21"/>
                    </w:rPr>
                  </w:pPr>
                  <w:r>
                    <w:rPr>
                      <w:rFonts w:eastAsiaTheme="minorEastAsia"/>
                      <w:szCs w:val="21"/>
                    </w:rPr>
                    <w:t>喀什地区</w:t>
                  </w:r>
                </w:p>
              </w:tc>
              <w:tc>
                <w:tcPr>
                  <w:tcW w:w="482" w:type="pct"/>
                </w:tcPr>
                <w:p w14:paraId="28B4D2F1">
                  <w:pPr>
                    <w:autoSpaceDE w:val="0"/>
                    <w:spacing w:line="240" w:lineRule="exact"/>
                    <w:jc w:val="center"/>
                    <w:rPr>
                      <w:rFonts w:eastAsiaTheme="minorEastAsia"/>
                      <w:szCs w:val="21"/>
                    </w:rPr>
                  </w:pPr>
                  <w:r>
                    <w:rPr>
                      <w:rFonts w:hint="eastAsia"/>
                    </w:rPr>
                    <w:t>SO2</w:t>
                  </w:r>
                </w:p>
              </w:tc>
              <w:tc>
                <w:tcPr>
                  <w:tcW w:w="1891" w:type="pct"/>
                </w:tcPr>
                <w:p w14:paraId="0AE75494">
                  <w:pPr>
                    <w:autoSpaceDE w:val="0"/>
                    <w:autoSpaceDN w:val="0"/>
                    <w:adjustRightInd w:val="0"/>
                    <w:spacing w:line="240" w:lineRule="exact"/>
                    <w:jc w:val="center"/>
                    <w:rPr>
                      <w:rFonts w:eastAsiaTheme="minorEastAsia"/>
                      <w:szCs w:val="21"/>
                    </w:rPr>
                  </w:pPr>
                  <w:r>
                    <w:rPr>
                      <w:rFonts w:hint="eastAsia"/>
                    </w:rPr>
                    <w:t>年平均</w:t>
                  </w:r>
                </w:p>
              </w:tc>
              <w:tc>
                <w:tcPr>
                  <w:tcW w:w="718" w:type="pct"/>
                </w:tcPr>
                <w:p w14:paraId="16CF96E1">
                  <w:pPr>
                    <w:autoSpaceDE w:val="0"/>
                    <w:autoSpaceDN w:val="0"/>
                    <w:adjustRightInd w:val="0"/>
                    <w:spacing w:line="240" w:lineRule="exact"/>
                    <w:jc w:val="center"/>
                    <w:rPr>
                      <w:rFonts w:eastAsiaTheme="minorEastAsia"/>
                      <w:szCs w:val="21"/>
                    </w:rPr>
                  </w:pPr>
                  <w:r>
                    <w:rPr>
                      <w:rFonts w:hint="eastAsia"/>
                    </w:rPr>
                    <w:t>4</w:t>
                  </w:r>
                </w:p>
              </w:tc>
              <w:tc>
                <w:tcPr>
                  <w:tcW w:w="718" w:type="pct"/>
                </w:tcPr>
                <w:p w14:paraId="6339DFB9">
                  <w:pPr>
                    <w:autoSpaceDE w:val="0"/>
                    <w:autoSpaceDN w:val="0"/>
                    <w:adjustRightInd w:val="0"/>
                    <w:spacing w:line="240" w:lineRule="exact"/>
                    <w:jc w:val="center"/>
                    <w:rPr>
                      <w:rFonts w:eastAsiaTheme="minorEastAsia"/>
                      <w:szCs w:val="21"/>
                    </w:rPr>
                  </w:pPr>
                  <w:r>
                    <w:rPr>
                      <w:rFonts w:hint="eastAsia"/>
                    </w:rPr>
                    <w:t>60</w:t>
                  </w:r>
                </w:p>
              </w:tc>
              <w:tc>
                <w:tcPr>
                  <w:tcW w:w="511" w:type="pct"/>
                </w:tcPr>
                <w:p w14:paraId="0270302C">
                  <w:pPr>
                    <w:autoSpaceDE w:val="0"/>
                    <w:spacing w:line="240" w:lineRule="exact"/>
                    <w:jc w:val="center"/>
                    <w:rPr>
                      <w:rFonts w:eastAsiaTheme="minorEastAsia"/>
                      <w:b/>
                      <w:szCs w:val="21"/>
                    </w:rPr>
                  </w:pPr>
                  <w:r>
                    <w:rPr>
                      <w:rFonts w:hint="eastAsia"/>
                    </w:rPr>
                    <w:t>达标</w:t>
                  </w:r>
                </w:p>
              </w:tc>
            </w:tr>
            <w:tr w14:paraId="5413D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77" w:type="pct"/>
                  <w:vMerge w:val="continue"/>
                  <w:vAlign w:val="center"/>
                </w:tcPr>
                <w:p w14:paraId="60DD69EA">
                  <w:pPr>
                    <w:autoSpaceDE w:val="0"/>
                    <w:spacing w:line="240" w:lineRule="exact"/>
                    <w:jc w:val="center"/>
                    <w:rPr>
                      <w:rFonts w:eastAsiaTheme="minorEastAsia"/>
                      <w:szCs w:val="21"/>
                    </w:rPr>
                  </w:pPr>
                </w:p>
              </w:tc>
              <w:tc>
                <w:tcPr>
                  <w:tcW w:w="482" w:type="pct"/>
                </w:tcPr>
                <w:p w14:paraId="770CEE60">
                  <w:pPr>
                    <w:autoSpaceDE w:val="0"/>
                    <w:spacing w:line="240" w:lineRule="exact"/>
                    <w:jc w:val="center"/>
                    <w:rPr>
                      <w:rFonts w:eastAsiaTheme="minorEastAsia"/>
                      <w:szCs w:val="21"/>
                    </w:rPr>
                  </w:pPr>
                  <w:r>
                    <w:rPr>
                      <w:rFonts w:hint="eastAsia"/>
                    </w:rPr>
                    <w:t>NO2</w:t>
                  </w:r>
                </w:p>
              </w:tc>
              <w:tc>
                <w:tcPr>
                  <w:tcW w:w="1891" w:type="pct"/>
                </w:tcPr>
                <w:p w14:paraId="28F9141E">
                  <w:pPr>
                    <w:autoSpaceDE w:val="0"/>
                    <w:autoSpaceDN w:val="0"/>
                    <w:adjustRightInd w:val="0"/>
                    <w:spacing w:line="240" w:lineRule="exact"/>
                    <w:jc w:val="center"/>
                    <w:rPr>
                      <w:rFonts w:eastAsiaTheme="minorEastAsia"/>
                      <w:szCs w:val="21"/>
                    </w:rPr>
                  </w:pPr>
                  <w:r>
                    <w:rPr>
                      <w:rFonts w:hint="eastAsia"/>
                    </w:rPr>
                    <w:t>年平均</w:t>
                  </w:r>
                </w:p>
              </w:tc>
              <w:tc>
                <w:tcPr>
                  <w:tcW w:w="718" w:type="pct"/>
                </w:tcPr>
                <w:p w14:paraId="5E00DC31">
                  <w:pPr>
                    <w:autoSpaceDE w:val="0"/>
                    <w:autoSpaceDN w:val="0"/>
                    <w:adjustRightInd w:val="0"/>
                    <w:spacing w:line="240" w:lineRule="exact"/>
                    <w:jc w:val="center"/>
                    <w:rPr>
                      <w:rFonts w:eastAsiaTheme="minorEastAsia"/>
                      <w:szCs w:val="21"/>
                    </w:rPr>
                  </w:pPr>
                  <w:r>
                    <w:rPr>
                      <w:rFonts w:hint="eastAsia"/>
                    </w:rPr>
                    <w:t>32</w:t>
                  </w:r>
                </w:p>
              </w:tc>
              <w:tc>
                <w:tcPr>
                  <w:tcW w:w="718" w:type="pct"/>
                </w:tcPr>
                <w:p w14:paraId="589A0C25">
                  <w:pPr>
                    <w:autoSpaceDE w:val="0"/>
                    <w:autoSpaceDN w:val="0"/>
                    <w:adjustRightInd w:val="0"/>
                    <w:spacing w:line="240" w:lineRule="exact"/>
                    <w:jc w:val="center"/>
                    <w:rPr>
                      <w:rFonts w:eastAsiaTheme="minorEastAsia"/>
                      <w:szCs w:val="21"/>
                    </w:rPr>
                  </w:pPr>
                  <w:r>
                    <w:rPr>
                      <w:rFonts w:hint="eastAsia"/>
                    </w:rPr>
                    <w:t>40</w:t>
                  </w:r>
                </w:p>
              </w:tc>
              <w:tc>
                <w:tcPr>
                  <w:tcW w:w="511" w:type="pct"/>
                </w:tcPr>
                <w:p w14:paraId="64CC8902">
                  <w:pPr>
                    <w:autoSpaceDE w:val="0"/>
                    <w:spacing w:line="240" w:lineRule="exact"/>
                    <w:jc w:val="center"/>
                    <w:rPr>
                      <w:rFonts w:eastAsiaTheme="minorEastAsia"/>
                      <w:b/>
                      <w:szCs w:val="21"/>
                    </w:rPr>
                  </w:pPr>
                  <w:r>
                    <w:rPr>
                      <w:rFonts w:hint="eastAsia"/>
                    </w:rPr>
                    <w:t>达标</w:t>
                  </w:r>
                </w:p>
              </w:tc>
            </w:tr>
            <w:tr w14:paraId="0BF74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77" w:type="pct"/>
                  <w:vMerge w:val="continue"/>
                  <w:vAlign w:val="center"/>
                </w:tcPr>
                <w:p w14:paraId="6371B1E0">
                  <w:pPr>
                    <w:autoSpaceDE w:val="0"/>
                    <w:spacing w:line="240" w:lineRule="exact"/>
                    <w:jc w:val="center"/>
                    <w:rPr>
                      <w:rFonts w:eastAsiaTheme="minorEastAsia"/>
                      <w:szCs w:val="21"/>
                    </w:rPr>
                  </w:pPr>
                </w:p>
              </w:tc>
              <w:tc>
                <w:tcPr>
                  <w:tcW w:w="482" w:type="pct"/>
                </w:tcPr>
                <w:p w14:paraId="194C0954">
                  <w:pPr>
                    <w:autoSpaceDE w:val="0"/>
                    <w:spacing w:line="240" w:lineRule="exact"/>
                    <w:jc w:val="center"/>
                    <w:rPr>
                      <w:rFonts w:eastAsiaTheme="minorEastAsia"/>
                      <w:szCs w:val="21"/>
                    </w:rPr>
                  </w:pPr>
                  <w:r>
                    <w:rPr>
                      <w:rFonts w:hint="eastAsia"/>
                    </w:rPr>
                    <w:t>CO</w:t>
                  </w:r>
                </w:p>
              </w:tc>
              <w:tc>
                <w:tcPr>
                  <w:tcW w:w="1891" w:type="pct"/>
                </w:tcPr>
                <w:p w14:paraId="2001EBF3">
                  <w:pPr>
                    <w:autoSpaceDE w:val="0"/>
                    <w:autoSpaceDN w:val="0"/>
                    <w:adjustRightInd w:val="0"/>
                    <w:spacing w:line="240" w:lineRule="exact"/>
                    <w:jc w:val="center"/>
                    <w:rPr>
                      <w:rFonts w:eastAsiaTheme="minorEastAsia"/>
                      <w:szCs w:val="21"/>
                    </w:rPr>
                  </w:pPr>
                  <w:r>
                    <w:rPr>
                      <w:rFonts w:hint="eastAsia"/>
                    </w:rPr>
                    <w:t>24h的第95百分位数</w:t>
                  </w:r>
                </w:p>
              </w:tc>
              <w:tc>
                <w:tcPr>
                  <w:tcW w:w="718" w:type="pct"/>
                </w:tcPr>
                <w:p w14:paraId="1B619229">
                  <w:pPr>
                    <w:autoSpaceDE w:val="0"/>
                    <w:autoSpaceDN w:val="0"/>
                    <w:adjustRightInd w:val="0"/>
                    <w:spacing w:line="240" w:lineRule="exact"/>
                    <w:jc w:val="center"/>
                    <w:rPr>
                      <w:rFonts w:eastAsiaTheme="minorEastAsia"/>
                      <w:szCs w:val="21"/>
                    </w:rPr>
                  </w:pPr>
                  <w:r>
                    <w:rPr>
                      <w:rFonts w:hint="eastAsia"/>
                    </w:rPr>
                    <w:t>2600</w:t>
                  </w:r>
                </w:p>
              </w:tc>
              <w:tc>
                <w:tcPr>
                  <w:tcW w:w="718" w:type="pct"/>
                </w:tcPr>
                <w:p w14:paraId="34188972">
                  <w:pPr>
                    <w:autoSpaceDE w:val="0"/>
                    <w:autoSpaceDN w:val="0"/>
                    <w:adjustRightInd w:val="0"/>
                    <w:spacing w:line="240" w:lineRule="exact"/>
                    <w:jc w:val="center"/>
                    <w:rPr>
                      <w:rFonts w:eastAsiaTheme="minorEastAsia"/>
                      <w:szCs w:val="21"/>
                    </w:rPr>
                  </w:pPr>
                  <w:r>
                    <w:rPr>
                      <w:rFonts w:hint="eastAsia"/>
                    </w:rPr>
                    <w:t>4000</w:t>
                  </w:r>
                </w:p>
              </w:tc>
              <w:tc>
                <w:tcPr>
                  <w:tcW w:w="511" w:type="pct"/>
                </w:tcPr>
                <w:p w14:paraId="63711E79">
                  <w:pPr>
                    <w:autoSpaceDE w:val="0"/>
                    <w:spacing w:line="240" w:lineRule="exact"/>
                    <w:jc w:val="center"/>
                    <w:rPr>
                      <w:rFonts w:eastAsiaTheme="minorEastAsia"/>
                      <w:b/>
                      <w:szCs w:val="21"/>
                    </w:rPr>
                  </w:pPr>
                  <w:r>
                    <w:rPr>
                      <w:rFonts w:hint="eastAsia"/>
                    </w:rPr>
                    <w:t>达标</w:t>
                  </w:r>
                </w:p>
              </w:tc>
            </w:tr>
            <w:tr w14:paraId="45F55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77" w:type="pct"/>
                  <w:vMerge w:val="continue"/>
                  <w:vAlign w:val="center"/>
                </w:tcPr>
                <w:p w14:paraId="551DBCAA">
                  <w:pPr>
                    <w:autoSpaceDE w:val="0"/>
                    <w:spacing w:line="240" w:lineRule="exact"/>
                    <w:jc w:val="center"/>
                    <w:rPr>
                      <w:rFonts w:eastAsiaTheme="minorEastAsia"/>
                      <w:szCs w:val="21"/>
                    </w:rPr>
                  </w:pPr>
                </w:p>
              </w:tc>
              <w:tc>
                <w:tcPr>
                  <w:tcW w:w="482" w:type="pct"/>
                </w:tcPr>
                <w:p w14:paraId="144AB9EA">
                  <w:pPr>
                    <w:autoSpaceDE w:val="0"/>
                    <w:spacing w:line="240" w:lineRule="exact"/>
                    <w:jc w:val="center"/>
                    <w:rPr>
                      <w:rFonts w:eastAsiaTheme="minorEastAsia"/>
                      <w:szCs w:val="21"/>
                    </w:rPr>
                  </w:pPr>
                  <w:r>
                    <w:rPr>
                      <w:rFonts w:hint="eastAsia"/>
                    </w:rPr>
                    <w:t>O3</w:t>
                  </w:r>
                </w:p>
              </w:tc>
              <w:tc>
                <w:tcPr>
                  <w:tcW w:w="1891" w:type="pct"/>
                </w:tcPr>
                <w:p w14:paraId="55745EF9">
                  <w:pPr>
                    <w:autoSpaceDE w:val="0"/>
                    <w:autoSpaceDN w:val="0"/>
                    <w:adjustRightInd w:val="0"/>
                    <w:spacing w:line="240" w:lineRule="exact"/>
                    <w:jc w:val="center"/>
                    <w:rPr>
                      <w:rFonts w:eastAsiaTheme="minorEastAsia"/>
                      <w:szCs w:val="21"/>
                    </w:rPr>
                  </w:pPr>
                  <w:r>
                    <w:rPr>
                      <w:rFonts w:hint="eastAsia"/>
                    </w:rPr>
                    <w:t>最大8h平均值的第90百分位数</w:t>
                  </w:r>
                </w:p>
              </w:tc>
              <w:tc>
                <w:tcPr>
                  <w:tcW w:w="718" w:type="pct"/>
                </w:tcPr>
                <w:p w14:paraId="602037EC">
                  <w:pPr>
                    <w:autoSpaceDE w:val="0"/>
                    <w:autoSpaceDN w:val="0"/>
                    <w:adjustRightInd w:val="0"/>
                    <w:spacing w:line="240" w:lineRule="exact"/>
                    <w:jc w:val="center"/>
                    <w:rPr>
                      <w:rFonts w:eastAsiaTheme="minorEastAsia"/>
                      <w:szCs w:val="21"/>
                    </w:rPr>
                  </w:pPr>
                  <w:r>
                    <w:rPr>
                      <w:rFonts w:hint="eastAsia"/>
                    </w:rPr>
                    <w:t>134</w:t>
                  </w:r>
                </w:p>
              </w:tc>
              <w:tc>
                <w:tcPr>
                  <w:tcW w:w="718" w:type="pct"/>
                </w:tcPr>
                <w:p w14:paraId="6171770F">
                  <w:pPr>
                    <w:autoSpaceDE w:val="0"/>
                    <w:autoSpaceDN w:val="0"/>
                    <w:adjustRightInd w:val="0"/>
                    <w:spacing w:line="240" w:lineRule="exact"/>
                    <w:jc w:val="center"/>
                    <w:rPr>
                      <w:rFonts w:eastAsiaTheme="minorEastAsia"/>
                      <w:szCs w:val="21"/>
                    </w:rPr>
                  </w:pPr>
                  <w:r>
                    <w:rPr>
                      <w:rFonts w:hint="eastAsia"/>
                    </w:rPr>
                    <w:t>160</w:t>
                  </w:r>
                </w:p>
              </w:tc>
              <w:tc>
                <w:tcPr>
                  <w:tcW w:w="511" w:type="pct"/>
                </w:tcPr>
                <w:p w14:paraId="7ED4DCF5">
                  <w:pPr>
                    <w:autoSpaceDE w:val="0"/>
                    <w:spacing w:line="240" w:lineRule="exact"/>
                    <w:jc w:val="center"/>
                    <w:rPr>
                      <w:rFonts w:eastAsiaTheme="minorEastAsia"/>
                      <w:b/>
                      <w:szCs w:val="21"/>
                    </w:rPr>
                  </w:pPr>
                  <w:r>
                    <w:rPr>
                      <w:rFonts w:hint="eastAsia"/>
                    </w:rPr>
                    <w:t>达标</w:t>
                  </w:r>
                </w:p>
              </w:tc>
            </w:tr>
            <w:tr w14:paraId="732EA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77" w:type="pct"/>
                  <w:vMerge w:val="continue"/>
                  <w:vAlign w:val="center"/>
                </w:tcPr>
                <w:p w14:paraId="057D2D65">
                  <w:pPr>
                    <w:autoSpaceDE w:val="0"/>
                    <w:spacing w:line="240" w:lineRule="exact"/>
                    <w:jc w:val="center"/>
                    <w:rPr>
                      <w:rFonts w:eastAsiaTheme="minorEastAsia"/>
                      <w:szCs w:val="21"/>
                    </w:rPr>
                  </w:pPr>
                </w:p>
              </w:tc>
              <w:tc>
                <w:tcPr>
                  <w:tcW w:w="482" w:type="pct"/>
                </w:tcPr>
                <w:p w14:paraId="6F63E60A">
                  <w:pPr>
                    <w:autoSpaceDE w:val="0"/>
                    <w:spacing w:line="240" w:lineRule="exact"/>
                    <w:jc w:val="center"/>
                    <w:rPr>
                      <w:rFonts w:eastAsiaTheme="minorEastAsia"/>
                      <w:szCs w:val="21"/>
                    </w:rPr>
                  </w:pPr>
                  <w:r>
                    <w:rPr>
                      <w:rFonts w:hint="eastAsia"/>
                    </w:rPr>
                    <w:t>PM2.5</w:t>
                  </w:r>
                </w:p>
              </w:tc>
              <w:tc>
                <w:tcPr>
                  <w:tcW w:w="1891" w:type="pct"/>
                </w:tcPr>
                <w:p w14:paraId="556C89F5">
                  <w:pPr>
                    <w:autoSpaceDE w:val="0"/>
                    <w:autoSpaceDN w:val="0"/>
                    <w:adjustRightInd w:val="0"/>
                    <w:spacing w:line="240" w:lineRule="exact"/>
                    <w:jc w:val="center"/>
                    <w:rPr>
                      <w:rFonts w:eastAsiaTheme="minorEastAsia"/>
                      <w:szCs w:val="21"/>
                    </w:rPr>
                  </w:pPr>
                  <w:r>
                    <w:rPr>
                      <w:rFonts w:hint="eastAsia"/>
                    </w:rPr>
                    <w:t>年平均</w:t>
                  </w:r>
                </w:p>
              </w:tc>
              <w:tc>
                <w:tcPr>
                  <w:tcW w:w="718" w:type="pct"/>
                </w:tcPr>
                <w:p w14:paraId="6AD06A6A">
                  <w:pPr>
                    <w:autoSpaceDE w:val="0"/>
                    <w:autoSpaceDN w:val="0"/>
                    <w:adjustRightInd w:val="0"/>
                    <w:spacing w:line="240" w:lineRule="exact"/>
                    <w:jc w:val="center"/>
                    <w:rPr>
                      <w:rFonts w:eastAsiaTheme="minorEastAsia"/>
                      <w:szCs w:val="21"/>
                    </w:rPr>
                  </w:pPr>
                  <w:r>
                    <w:rPr>
                      <w:rFonts w:hint="eastAsia"/>
                    </w:rPr>
                    <w:t>57</w:t>
                  </w:r>
                </w:p>
              </w:tc>
              <w:tc>
                <w:tcPr>
                  <w:tcW w:w="718" w:type="pct"/>
                </w:tcPr>
                <w:p w14:paraId="04B90210">
                  <w:pPr>
                    <w:autoSpaceDE w:val="0"/>
                    <w:autoSpaceDN w:val="0"/>
                    <w:adjustRightInd w:val="0"/>
                    <w:spacing w:line="240" w:lineRule="exact"/>
                    <w:jc w:val="center"/>
                    <w:rPr>
                      <w:rFonts w:eastAsiaTheme="minorEastAsia"/>
                      <w:szCs w:val="21"/>
                    </w:rPr>
                  </w:pPr>
                  <w:r>
                    <w:rPr>
                      <w:rFonts w:hint="eastAsia"/>
                    </w:rPr>
                    <w:t>35</w:t>
                  </w:r>
                </w:p>
              </w:tc>
              <w:tc>
                <w:tcPr>
                  <w:tcW w:w="511" w:type="pct"/>
                </w:tcPr>
                <w:p w14:paraId="3E3308E8">
                  <w:pPr>
                    <w:autoSpaceDE w:val="0"/>
                    <w:spacing w:line="240" w:lineRule="exact"/>
                    <w:jc w:val="center"/>
                    <w:rPr>
                      <w:rFonts w:eastAsiaTheme="minorEastAsia"/>
                      <w:b/>
                      <w:bCs/>
                      <w:szCs w:val="21"/>
                    </w:rPr>
                  </w:pPr>
                  <w:r>
                    <w:rPr>
                      <w:rFonts w:hint="eastAsia"/>
                      <w:b/>
                      <w:bCs/>
                    </w:rPr>
                    <w:t>超标</w:t>
                  </w:r>
                </w:p>
              </w:tc>
            </w:tr>
            <w:tr w14:paraId="580F9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77" w:type="pct"/>
                  <w:vMerge w:val="continue"/>
                  <w:vAlign w:val="center"/>
                </w:tcPr>
                <w:p w14:paraId="6A68ED3D">
                  <w:pPr>
                    <w:autoSpaceDE w:val="0"/>
                    <w:spacing w:line="240" w:lineRule="exact"/>
                    <w:jc w:val="center"/>
                    <w:rPr>
                      <w:rFonts w:eastAsiaTheme="minorEastAsia"/>
                      <w:szCs w:val="21"/>
                    </w:rPr>
                  </w:pPr>
                </w:p>
              </w:tc>
              <w:tc>
                <w:tcPr>
                  <w:tcW w:w="482" w:type="pct"/>
                </w:tcPr>
                <w:p w14:paraId="542A7054">
                  <w:pPr>
                    <w:autoSpaceDE w:val="0"/>
                    <w:spacing w:line="240" w:lineRule="exact"/>
                    <w:jc w:val="center"/>
                    <w:rPr>
                      <w:rFonts w:eastAsiaTheme="minorEastAsia"/>
                      <w:szCs w:val="21"/>
                    </w:rPr>
                  </w:pPr>
                  <w:r>
                    <w:rPr>
                      <w:rFonts w:hint="eastAsia"/>
                    </w:rPr>
                    <w:t>PM10</w:t>
                  </w:r>
                </w:p>
              </w:tc>
              <w:tc>
                <w:tcPr>
                  <w:tcW w:w="1891" w:type="pct"/>
                </w:tcPr>
                <w:p w14:paraId="181035E0">
                  <w:pPr>
                    <w:autoSpaceDE w:val="0"/>
                    <w:autoSpaceDN w:val="0"/>
                    <w:adjustRightInd w:val="0"/>
                    <w:spacing w:line="240" w:lineRule="exact"/>
                    <w:jc w:val="center"/>
                    <w:rPr>
                      <w:rFonts w:eastAsiaTheme="minorEastAsia"/>
                      <w:szCs w:val="21"/>
                    </w:rPr>
                  </w:pPr>
                  <w:r>
                    <w:rPr>
                      <w:rFonts w:hint="eastAsia"/>
                    </w:rPr>
                    <w:t>年平均</w:t>
                  </w:r>
                </w:p>
              </w:tc>
              <w:tc>
                <w:tcPr>
                  <w:tcW w:w="718" w:type="pct"/>
                </w:tcPr>
                <w:p w14:paraId="73543161">
                  <w:pPr>
                    <w:autoSpaceDE w:val="0"/>
                    <w:autoSpaceDN w:val="0"/>
                    <w:adjustRightInd w:val="0"/>
                    <w:spacing w:line="240" w:lineRule="exact"/>
                    <w:jc w:val="center"/>
                    <w:rPr>
                      <w:rFonts w:eastAsiaTheme="minorEastAsia"/>
                      <w:szCs w:val="21"/>
                    </w:rPr>
                  </w:pPr>
                  <w:r>
                    <w:rPr>
                      <w:rFonts w:hint="eastAsia"/>
                    </w:rPr>
                    <w:t>208</w:t>
                  </w:r>
                </w:p>
              </w:tc>
              <w:tc>
                <w:tcPr>
                  <w:tcW w:w="718" w:type="pct"/>
                </w:tcPr>
                <w:p w14:paraId="3918AF88">
                  <w:pPr>
                    <w:autoSpaceDE w:val="0"/>
                    <w:autoSpaceDN w:val="0"/>
                    <w:adjustRightInd w:val="0"/>
                    <w:spacing w:line="240" w:lineRule="exact"/>
                    <w:jc w:val="center"/>
                    <w:rPr>
                      <w:rFonts w:eastAsiaTheme="minorEastAsia"/>
                      <w:szCs w:val="21"/>
                    </w:rPr>
                  </w:pPr>
                  <w:r>
                    <w:rPr>
                      <w:rFonts w:hint="eastAsia"/>
                    </w:rPr>
                    <w:t>70</w:t>
                  </w:r>
                </w:p>
              </w:tc>
              <w:tc>
                <w:tcPr>
                  <w:tcW w:w="511" w:type="pct"/>
                </w:tcPr>
                <w:p w14:paraId="565D1291">
                  <w:pPr>
                    <w:autoSpaceDE w:val="0"/>
                    <w:spacing w:line="240" w:lineRule="exact"/>
                    <w:jc w:val="center"/>
                    <w:rPr>
                      <w:rFonts w:eastAsiaTheme="minorEastAsia"/>
                      <w:b/>
                      <w:bCs/>
                      <w:szCs w:val="21"/>
                    </w:rPr>
                  </w:pPr>
                  <w:r>
                    <w:rPr>
                      <w:rFonts w:hint="eastAsia"/>
                      <w:b/>
                      <w:bCs/>
                    </w:rPr>
                    <w:t>超标</w:t>
                  </w:r>
                </w:p>
              </w:tc>
            </w:tr>
          </w:tbl>
          <w:p w14:paraId="1939C908">
            <w:pPr>
              <w:autoSpaceDE w:val="0"/>
              <w:autoSpaceDN w:val="0"/>
              <w:adjustRightInd w:val="0"/>
              <w:spacing w:before="240" w:beforeLines="100" w:line="300" w:lineRule="auto"/>
              <w:ind w:firstLine="480" w:firstLineChars="200"/>
              <w:rPr>
                <w:rFonts w:eastAsiaTheme="minorEastAsia"/>
                <w:kern w:val="0"/>
                <w:sz w:val="24"/>
              </w:rPr>
            </w:pPr>
            <w:r>
              <w:rPr>
                <w:rFonts w:eastAsiaTheme="minorEastAsia"/>
                <w:sz w:val="24"/>
              </w:rPr>
              <w:t>由表</w:t>
            </w:r>
            <w:r>
              <w:rPr>
                <w:rFonts w:hint="eastAsia" w:eastAsiaTheme="minorEastAsia"/>
                <w:sz w:val="24"/>
              </w:rPr>
              <w:t>3</w:t>
            </w:r>
            <w:r>
              <w:rPr>
                <w:rFonts w:hint="eastAsia" w:eastAsiaTheme="minorEastAsia"/>
                <w:sz w:val="24"/>
                <w:lang w:val="en-US" w:eastAsia="zh-CN"/>
              </w:rPr>
              <w:t>-2</w:t>
            </w:r>
            <w:r>
              <w:rPr>
                <w:rFonts w:eastAsiaTheme="minorEastAsia"/>
                <w:sz w:val="24"/>
              </w:rPr>
              <w:t>可知，2024年</w:t>
            </w:r>
            <w:r>
              <w:rPr>
                <w:rFonts w:eastAsiaTheme="minorEastAsia"/>
                <w:kern w:val="0"/>
                <w:sz w:val="24"/>
              </w:rPr>
              <w:t>喀什地区</w:t>
            </w:r>
            <w:r>
              <w:rPr>
                <w:rFonts w:eastAsiaTheme="minorEastAsia"/>
                <w:sz w:val="24"/>
              </w:rPr>
              <w:t>和克孜勒苏柯尔克孜自治州PM</w:t>
            </w:r>
            <w:r>
              <w:rPr>
                <w:rFonts w:eastAsiaTheme="minorEastAsia"/>
                <w:sz w:val="24"/>
                <w:vertAlign w:val="subscript"/>
              </w:rPr>
              <w:t>10</w:t>
            </w:r>
            <w:r>
              <w:rPr>
                <w:rFonts w:eastAsiaTheme="minorEastAsia"/>
                <w:sz w:val="24"/>
              </w:rPr>
              <w:t>和PM</w:t>
            </w:r>
            <w:r>
              <w:rPr>
                <w:rFonts w:eastAsiaTheme="minorEastAsia"/>
                <w:sz w:val="24"/>
                <w:vertAlign w:val="subscript"/>
              </w:rPr>
              <w:t>2.5</w:t>
            </w:r>
            <w:r>
              <w:rPr>
                <w:rFonts w:eastAsiaTheme="minorEastAsia"/>
                <w:sz w:val="24"/>
              </w:rPr>
              <w:t>年平均浓度均超过《环境空气质量标准》（GB3095-2012）及修改清单中二级标准要求。因此，项目区属于环境空气质量不达标区</w:t>
            </w:r>
            <w:r>
              <w:rPr>
                <w:rFonts w:hAnsiTheme="minorEastAsia" w:eastAsiaTheme="minorEastAsia"/>
                <w:sz w:val="24"/>
              </w:rPr>
              <w:t>。</w:t>
            </w:r>
          </w:p>
          <w:p w14:paraId="58E1FEA3">
            <w:pPr>
              <w:adjustRightInd w:val="0"/>
              <w:spacing w:before="120" w:beforeLines="50" w:line="300" w:lineRule="auto"/>
              <w:rPr>
                <w:b/>
                <w:color w:val="auto"/>
                <w:kern w:val="0"/>
                <w:sz w:val="24"/>
              </w:rPr>
            </w:pPr>
            <w:r>
              <w:rPr>
                <w:b/>
                <w:color w:val="auto"/>
                <w:kern w:val="0"/>
                <w:sz w:val="24"/>
              </w:rPr>
              <w:t>2. 地表水环境</w:t>
            </w:r>
          </w:p>
          <w:p w14:paraId="70F29F09">
            <w:pPr>
              <w:keepNext w:val="0"/>
              <w:keepLines w:val="0"/>
              <w:pageBreakBefore w:val="0"/>
              <w:widowControl w:val="0"/>
              <w:kinsoku/>
              <w:wordWrap/>
              <w:overflowPunct/>
              <w:topLinePunct w:val="0"/>
              <w:autoSpaceDE/>
              <w:autoSpaceDN/>
              <w:bidi w:val="0"/>
              <w:adjustRightInd w:val="0"/>
              <w:snapToGrid/>
              <w:spacing w:line="300" w:lineRule="auto"/>
              <w:ind w:firstLine="480" w:firstLineChars="200"/>
              <w:jc w:val="both"/>
              <w:textAlignment w:val="auto"/>
              <w:rPr>
                <w:rFonts w:eastAsiaTheme="minorEastAsia"/>
                <w:color w:val="auto"/>
                <w:kern w:val="0"/>
                <w:sz w:val="24"/>
              </w:rPr>
            </w:pPr>
            <w:r>
              <w:rPr>
                <w:rFonts w:hAnsiTheme="minorEastAsia" w:eastAsiaTheme="minorEastAsia"/>
                <w:color w:val="auto"/>
                <w:kern w:val="0"/>
                <w:sz w:val="24"/>
              </w:rPr>
              <w:t>为了解拟建公路沿线水环境质量现状，本次评价委托</w:t>
            </w:r>
            <w:r>
              <w:rPr>
                <w:rFonts w:hint="eastAsia" w:hAnsiTheme="minorEastAsia" w:eastAsiaTheme="minorEastAsia"/>
                <w:color w:val="auto"/>
                <w:kern w:val="0"/>
                <w:sz w:val="24"/>
                <w:lang w:val="en-US" w:eastAsia="zh-CN"/>
              </w:rPr>
              <w:t>新疆绿格洁瑞环境检测技术有限公司</w:t>
            </w:r>
            <w:r>
              <w:rPr>
                <w:rFonts w:hAnsiTheme="minorEastAsia" w:eastAsiaTheme="minorEastAsia"/>
                <w:color w:val="auto"/>
                <w:kern w:val="0"/>
                <w:sz w:val="24"/>
              </w:rPr>
              <w:t>于</w:t>
            </w:r>
            <w:r>
              <w:rPr>
                <w:rFonts w:eastAsiaTheme="minorEastAsia"/>
                <w:color w:val="auto"/>
                <w:kern w:val="0"/>
                <w:sz w:val="24"/>
              </w:rPr>
              <w:t>202</w:t>
            </w:r>
            <w:r>
              <w:rPr>
                <w:rFonts w:hint="eastAsia" w:eastAsiaTheme="minorEastAsia"/>
                <w:color w:val="auto"/>
                <w:kern w:val="0"/>
                <w:sz w:val="24"/>
                <w:lang w:val="en-US" w:eastAsia="zh-CN"/>
              </w:rPr>
              <w:t>6</w:t>
            </w:r>
            <w:r>
              <w:rPr>
                <w:rFonts w:hAnsiTheme="minorEastAsia" w:eastAsiaTheme="minorEastAsia"/>
                <w:color w:val="auto"/>
                <w:kern w:val="0"/>
                <w:sz w:val="24"/>
              </w:rPr>
              <w:t>年</w:t>
            </w:r>
            <w:r>
              <w:rPr>
                <w:rFonts w:hint="eastAsia" w:eastAsiaTheme="minorEastAsia"/>
                <w:color w:val="auto"/>
                <w:kern w:val="0"/>
                <w:sz w:val="24"/>
                <w:lang w:val="en-US" w:eastAsia="zh-CN"/>
              </w:rPr>
              <w:t>4</w:t>
            </w:r>
            <w:r>
              <w:rPr>
                <w:rFonts w:hAnsiTheme="minorEastAsia" w:eastAsiaTheme="minorEastAsia"/>
                <w:color w:val="auto"/>
                <w:kern w:val="0"/>
                <w:sz w:val="24"/>
              </w:rPr>
              <w:t>月</w:t>
            </w:r>
            <w:r>
              <w:rPr>
                <w:rFonts w:hint="eastAsia" w:eastAsiaTheme="minorEastAsia"/>
                <w:color w:val="auto"/>
                <w:kern w:val="0"/>
                <w:sz w:val="24"/>
                <w:lang w:val="en-US" w:eastAsia="zh-CN"/>
              </w:rPr>
              <w:t>23</w:t>
            </w:r>
            <w:r>
              <w:rPr>
                <w:rFonts w:hAnsiTheme="minorEastAsia" w:eastAsiaTheme="minorEastAsia"/>
                <w:color w:val="auto"/>
                <w:kern w:val="0"/>
                <w:sz w:val="24"/>
              </w:rPr>
              <w:t>日～</w:t>
            </w:r>
            <w:r>
              <w:rPr>
                <w:rFonts w:hint="eastAsia" w:eastAsiaTheme="minorEastAsia"/>
                <w:color w:val="auto"/>
                <w:kern w:val="0"/>
                <w:sz w:val="24"/>
                <w:lang w:val="en-US" w:eastAsia="zh-CN"/>
              </w:rPr>
              <w:t>4</w:t>
            </w:r>
            <w:r>
              <w:rPr>
                <w:rFonts w:hAnsiTheme="minorEastAsia" w:eastAsiaTheme="minorEastAsia"/>
                <w:color w:val="auto"/>
                <w:kern w:val="0"/>
                <w:sz w:val="24"/>
              </w:rPr>
              <w:t>月</w:t>
            </w:r>
            <w:r>
              <w:rPr>
                <w:rFonts w:hint="eastAsia" w:eastAsiaTheme="minorEastAsia"/>
                <w:color w:val="auto"/>
                <w:kern w:val="0"/>
                <w:sz w:val="24"/>
                <w:lang w:val="en-US" w:eastAsia="zh-CN"/>
              </w:rPr>
              <w:t>25</w:t>
            </w:r>
            <w:r>
              <w:rPr>
                <w:rFonts w:hAnsiTheme="minorEastAsia" w:eastAsiaTheme="minorEastAsia"/>
                <w:color w:val="auto"/>
                <w:kern w:val="0"/>
                <w:sz w:val="24"/>
              </w:rPr>
              <w:t>日对项目沿线水体的水环境质量进行了现状监测。</w:t>
            </w:r>
          </w:p>
          <w:p w14:paraId="26CC04B9">
            <w:pPr>
              <w:adjustRightInd w:val="0"/>
              <w:spacing w:line="300" w:lineRule="auto"/>
              <w:ind w:firstLine="480" w:firstLineChars="200"/>
              <w:rPr>
                <w:color w:val="auto"/>
                <w:kern w:val="0"/>
                <w:sz w:val="24"/>
              </w:rPr>
            </w:pPr>
            <w:r>
              <w:rPr>
                <w:rFonts w:hint="eastAsia"/>
                <w:color w:val="auto"/>
                <w:kern w:val="0"/>
                <w:sz w:val="24"/>
              </w:rPr>
              <w:t xml:space="preserve">(1) </w:t>
            </w:r>
            <w:r>
              <w:rPr>
                <w:color w:val="auto"/>
                <w:kern w:val="0"/>
                <w:sz w:val="24"/>
              </w:rPr>
              <w:t>监测方案</w:t>
            </w:r>
          </w:p>
          <w:p w14:paraId="7BDDE8C6">
            <w:pPr>
              <w:adjustRightInd w:val="0"/>
              <w:spacing w:after="120" w:afterLines="50" w:line="300" w:lineRule="auto"/>
              <w:ind w:firstLine="480" w:firstLineChars="200"/>
              <w:rPr>
                <w:rFonts w:eastAsia="TimesNewRomanPSMT"/>
                <w:color w:val="auto"/>
                <w:kern w:val="0"/>
                <w:sz w:val="24"/>
              </w:rPr>
            </w:pPr>
            <w:r>
              <w:rPr>
                <w:color w:val="auto"/>
                <w:kern w:val="0"/>
                <w:sz w:val="24"/>
              </w:rPr>
              <w:t>拟建公路地表水环境质量监测方案见表</w:t>
            </w:r>
            <w:r>
              <w:rPr>
                <w:rFonts w:eastAsia="TimesNewRomanPSMT"/>
                <w:color w:val="auto"/>
                <w:kern w:val="0"/>
                <w:sz w:val="24"/>
              </w:rPr>
              <w:t>3-</w:t>
            </w:r>
            <w:r>
              <w:rPr>
                <w:rFonts w:hint="eastAsia" w:eastAsia="TimesNewRomanPSMT"/>
                <w:color w:val="auto"/>
                <w:kern w:val="0"/>
                <w:sz w:val="24"/>
                <w:lang w:val="en-US" w:eastAsia="zh-CN"/>
              </w:rPr>
              <w:t>3</w:t>
            </w:r>
            <w:r>
              <w:rPr>
                <w:rFonts w:eastAsia="TimesNewRomanPSMT"/>
                <w:color w:val="auto"/>
                <w:kern w:val="0"/>
                <w:sz w:val="24"/>
              </w:rPr>
              <w:t>。</w:t>
            </w:r>
          </w:p>
          <w:p w14:paraId="0B37DD48">
            <w:pPr>
              <w:pStyle w:val="50"/>
              <w:spacing w:line="240" w:lineRule="auto"/>
              <w:rPr>
                <w:rFonts w:ascii="Times New Roman" w:eastAsia="宋体"/>
                <w:b/>
                <w:color w:val="auto"/>
                <w:spacing w:val="0"/>
              </w:rPr>
            </w:pPr>
            <w:r>
              <w:rPr>
                <w:rFonts w:ascii="Times New Roman" w:eastAsia="宋体"/>
                <w:b/>
                <w:color w:val="auto"/>
                <w:spacing w:val="0"/>
              </w:rPr>
              <w:t>表3-</w:t>
            </w:r>
            <w:r>
              <w:rPr>
                <w:rFonts w:hint="eastAsia" w:ascii="Times New Roman" w:eastAsia="宋体"/>
                <w:b/>
                <w:color w:val="auto"/>
                <w:spacing w:val="0"/>
                <w:lang w:val="en-US" w:eastAsia="zh-CN"/>
              </w:rPr>
              <w:t>3</w:t>
            </w:r>
            <w:r>
              <w:rPr>
                <w:rFonts w:ascii="Times New Roman" w:eastAsia="宋体"/>
                <w:b/>
                <w:color w:val="auto"/>
                <w:spacing w:val="0"/>
              </w:rPr>
              <w:t xml:space="preserve">  拟建公路地表水环境现状监测方案</w:t>
            </w:r>
          </w:p>
          <w:tbl>
            <w:tblPr>
              <w:tblStyle w:val="22"/>
              <w:tblW w:w="8473"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7" w:type="dxa"/>
                <w:bottom w:w="0" w:type="dxa"/>
                <w:right w:w="57" w:type="dxa"/>
              </w:tblCellMar>
            </w:tblPr>
            <w:tblGrid>
              <w:gridCol w:w="593"/>
              <w:gridCol w:w="989"/>
              <w:gridCol w:w="1026"/>
              <w:gridCol w:w="2865"/>
              <w:gridCol w:w="1200"/>
              <w:gridCol w:w="1800"/>
            </w:tblGrid>
            <w:tr w14:paraId="229BDBB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trHeight w:val="90" w:hRule="atLeast"/>
                <w:jc w:val="center"/>
              </w:trPr>
              <w:tc>
                <w:tcPr>
                  <w:tcW w:w="349" w:type="pct"/>
                  <w:vAlign w:val="center"/>
                </w:tcPr>
                <w:p w14:paraId="7930D59D">
                  <w:pPr>
                    <w:jc w:val="center"/>
                    <w:rPr>
                      <w:b/>
                      <w:color w:val="auto"/>
                      <w:szCs w:val="21"/>
                    </w:rPr>
                  </w:pPr>
                  <w:r>
                    <w:rPr>
                      <w:rFonts w:hint="eastAsia"/>
                      <w:b/>
                      <w:color w:val="auto"/>
                      <w:szCs w:val="21"/>
                    </w:rPr>
                    <w:t>序号</w:t>
                  </w:r>
                </w:p>
              </w:tc>
              <w:tc>
                <w:tcPr>
                  <w:tcW w:w="583" w:type="pct"/>
                  <w:tcMar>
                    <w:left w:w="28" w:type="dxa"/>
                    <w:right w:w="28" w:type="dxa"/>
                  </w:tcMar>
                  <w:vAlign w:val="center"/>
                </w:tcPr>
                <w:p w14:paraId="617FECA8">
                  <w:pPr>
                    <w:jc w:val="center"/>
                    <w:rPr>
                      <w:b/>
                      <w:color w:val="auto"/>
                      <w:szCs w:val="21"/>
                    </w:rPr>
                  </w:pPr>
                  <w:r>
                    <w:rPr>
                      <w:b/>
                      <w:color w:val="auto"/>
                      <w:szCs w:val="21"/>
                    </w:rPr>
                    <w:t>桩 号</w:t>
                  </w:r>
                </w:p>
              </w:tc>
              <w:tc>
                <w:tcPr>
                  <w:tcW w:w="605" w:type="pct"/>
                  <w:tcMar>
                    <w:left w:w="28" w:type="dxa"/>
                    <w:right w:w="28" w:type="dxa"/>
                  </w:tcMar>
                  <w:vAlign w:val="center"/>
                </w:tcPr>
                <w:p w14:paraId="03A6D65B">
                  <w:pPr>
                    <w:jc w:val="center"/>
                    <w:rPr>
                      <w:b/>
                      <w:color w:val="auto"/>
                      <w:szCs w:val="21"/>
                    </w:rPr>
                  </w:pPr>
                  <w:r>
                    <w:rPr>
                      <w:b/>
                      <w:color w:val="auto"/>
                      <w:szCs w:val="21"/>
                    </w:rPr>
                    <w:t>河流</w:t>
                  </w:r>
                </w:p>
              </w:tc>
              <w:tc>
                <w:tcPr>
                  <w:tcW w:w="1690" w:type="pct"/>
                  <w:tcMar>
                    <w:left w:w="28" w:type="dxa"/>
                    <w:right w:w="28" w:type="dxa"/>
                  </w:tcMar>
                  <w:vAlign w:val="center"/>
                </w:tcPr>
                <w:p w14:paraId="327A150F">
                  <w:pPr>
                    <w:jc w:val="center"/>
                    <w:rPr>
                      <w:b/>
                      <w:color w:val="auto"/>
                      <w:szCs w:val="21"/>
                    </w:rPr>
                  </w:pPr>
                  <w:r>
                    <w:rPr>
                      <w:b/>
                      <w:color w:val="auto"/>
                      <w:szCs w:val="21"/>
                    </w:rPr>
                    <w:t>断面设置及布点方法</w:t>
                  </w:r>
                </w:p>
              </w:tc>
              <w:tc>
                <w:tcPr>
                  <w:tcW w:w="708" w:type="pct"/>
                  <w:vAlign w:val="center"/>
                </w:tcPr>
                <w:p w14:paraId="1086BC8A">
                  <w:pPr>
                    <w:pStyle w:val="11"/>
                    <w:adjustRightInd w:val="0"/>
                    <w:spacing w:after="0" w:line="288" w:lineRule="auto"/>
                    <w:ind w:left="0" w:leftChars="0"/>
                    <w:jc w:val="center"/>
                    <w:rPr>
                      <w:b/>
                      <w:color w:val="auto"/>
                      <w:szCs w:val="21"/>
                    </w:rPr>
                  </w:pPr>
                  <w:r>
                    <w:rPr>
                      <w:b/>
                      <w:color w:val="auto"/>
                      <w:szCs w:val="21"/>
                    </w:rPr>
                    <w:t>监测因子</w:t>
                  </w:r>
                </w:p>
              </w:tc>
              <w:tc>
                <w:tcPr>
                  <w:tcW w:w="1062" w:type="pct"/>
                  <w:vAlign w:val="center"/>
                </w:tcPr>
                <w:p w14:paraId="1BFBB6AD">
                  <w:pPr>
                    <w:pStyle w:val="11"/>
                    <w:adjustRightInd w:val="0"/>
                    <w:spacing w:after="0" w:line="288" w:lineRule="auto"/>
                    <w:ind w:left="120" w:leftChars="57"/>
                    <w:jc w:val="center"/>
                    <w:rPr>
                      <w:b/>
                      <w:color w:val="auto"/>
                      <w:szCs w:val="21"/>
                    </w:rPr>
                  </w:pPr>
                  <w:r>
                    <w:rPr>
                      <w:b/>
                      <w:color w:val="auto"/>
                      <w:szCs w:val="21"/>
                    </w:rPr>
                    <w:t>监测时段和频率</w:t>
                  </w:r>
                </w:p>
              </w:tc>
            </w:tr>
            <w:tr w14:paraId="133C7AD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jc w:val="center"/>
              </w:trPr>
              <w:tc>
                <w:tcPr>
                  <w:tcW w:w="349" w:type="pct"/>
                  <w:vAlign w:val="center"/>
                </w:tcPr>
                <w:p w14:paraId="50481521">
                  <w:pPr>
                    <w:jc w:val="center"/>
                    <w:rPr>
                      <w:color w:val="auto"/>
                      <w:szCs w:val="21"/>
                    </w:rPr>
                  </w:pPr>
                  <w:r>
                    <w:rPr>
                      <w:rFonts w:hint="eastAsia"/>
                      <w:color w:val="auto"/>
                      <w:szCs w:val="21"/>
                    </w:rPr>
                    <w:t>1</w:t>
                  </w:r>
                </w:p>
              </w:tc>
              <w:tc>
                <w:tcPr>
                  <w:tcW w:w="583" w:type="pct"/>
                  <w:tcMar>
                    <w:left w:w="28" w:type="dxa"/>
                    <w:right w:w="28" w:type="dxa"/>
                  </w:tcMar>
                  <w:vAlign w:val="center"/>
                </w:tcPr>
                <w:p w14:paraId="785F682E">
                  <w:pPr>
                    <w:jc w:val="center"/>
                    <w:rPr>
                      <w:color w:val="auto"/>
                      <w:szCs w:val="21"/>
                    </w:rPr>
                  </w:pPr>
                  <w:r>
                    <w:rPr>
                      <w:rFonts w:hint="default" w:ascii="Times New Roman" w:hAnsi="Times New Roman" w:eastAsia="宋体" w:cs="Times New Roman"/>
                      <w:color w:val="auto"/>
                      <w:sz w:val="21"/>
                      <w:szCs w:val="21"/>
                      <w:highlight w:val="none"/>
                    </w:rPr>
                    <w:t>K21+57</w:t>
                  </w:r>
                  <w:r>
                    <w:rPr>
                      <w:rFonts w:hint="default" w:ascii="Times New Roman" w:hAnsi="Times New Roman" w:eastAsia="宋体" w:cs="Times New Roman"/>
                      <w:color w:val="auto"/>
                      <w:sz w:val="21"/>
                      <w:szCs w:val="21"/>
                      <w:highlight w:val="none"/>
                      <w:lang w:val="en-US" w:eastAsia="zh-CN"/>
                    </w:rPr>
                    <w:t>3.539</w:t>
                  </w:r>
                </w:p>
              </w:tc>
              <w:tc>
                <w:tcPr>
                  <w:tcW w:w="605" w:type="pct"/>
                  <w:tcMar>
                    <w:left w:w="28" w:type="dxa"/>
                    <w:right w:w="28" w:type="dxa"/>
                  </w:tcMar>
                  <w:vAlign w:val="center"/>
                </w:tcPr>
                <w:p w14:paraId="7F2C9AB4">
                  <w:pPr>
                    <w:jc w:val="center"/>
                    <w:rPr>
                      <w:color w:val="auto"/>
                      <w:szCs w:val="21"/>
                    </w:rPr>
                  </w:pPr>
                  <w:r>
                    <w:rPr>
                      <w:rFonts w:hint="eastAsia"/>
                      <w:color w:val="auto"/>
                      <w:szCs w:val="21"/>
                      <w:lang w:val="en-US" w:eastAsia="zh-CN"/>
                    </w:rPr>
                    <w:t>水体2</w:t>
                  </w:r>
                </w:p>
              </w:tc>
              <w:tc>
                <w:tcPr>
                  <w:tcW w:w="1690" w:type="pct"/>
                  <w:vMerge w:val="restart"/>
                  <w:tcMar>
                    <w:left w:w="28" w:type="dxa"/>
                    <w:right w:w="28" w:type="dxa"/>
                  </w:tcMar>
                  <w:vAlign w:val="center"/>
                </w:tcPr>
                <w:p w14:paraId="6D37DE1A">
                  <w:pPr>
                    <w:jc w:val="center"/>
                    <w:rPr>
                      <w:color w:val="auto"/>
                      <w:szCs w:val="21"/>
                    </w:rPr>
                  </w:pPr>
                  <w:r>
                    <w:rPr>
                      <w:color w:val="auto"/>
                      <w:szCs w:val="21"/>
                    </w:rPr>
                    <w:t>拟建桥位下游200m处设1个取样断面，在取样断面的主流线上设一条取样垂线；在一条垂线上，水深大于5m时，在水面下0.5m水深处和在距河底0.5m处取一个混合水样；水深为1~5m时，只在水面下0.5m处取一个样；在水深不足1m时，取样点距水面不应小于0.3m，距河底也不应小于0.3m。各垂线每次取一个混合水样。</w:t>
                  </w:r>
                </w:p>
              </w:tc>
              <w:tc>
                <w:tcPr>
                  <w:tcW w:w="708" w:type="pct"/>
                  <w:vMerge w:val="restart"/>
                  <w:vAlign w:val="center"/>
                </w:tcPr>
                <w:p w14:paraId="13508F3F">
                  <w:pPr>
                    <w:jc w:val="center"/>
                    <w:rPr>
                      <w:color w:val="auto"/>
                      <w:szCs w:val="21"/>
                    </w:rPr>
                  </w:pPr>
                  <w:r>
                    <w:rPr>
                      <w:rFonts w:hint="eastAsia"/>
                      <w:color w:val="auto"/>
                      <w:szCs w:val="21"/>
                    </w:rPr>
                    <w:t>pH值、</w:t>
                  </w:r>
                  <w:r>
                    <w:rPr>
                      <w:color w:val="auto"/>
                      <w:szCs w:val="21"/>
                    </w:rPr>
                    <w:t>氨氮、总磷、</w:t>
                  </w:r>
                  <w:r>
                    <w:rPr>
                      <w:rFonts w:hint="eastAsia"/>
                      <w:color w:val="auto"/>
                      <w:szCs w:val="21"/>
                    </w:rPr>
                    <w:t>高锰酸盐指数、BOD</w:t>
                  </w:r>
                  <w:r>
                    <w:rPr>
                      <w:rFonts w:hint="eastAsia"/>
                      <w:color w:val="auto"/>
                      <w:szCs w:val="21"/>
                      <w:vertAlign w:val="subscript"/>
                    </w:rPr>
                    <w:t>5</w:t>
                  </w:r>
                  <w:r>
                    <w:rPr>
                      <w:rFonts w:hint="eastAsia"/>
                      <w:color w:val="auto"/>
                      <w:szCs w:val="21"/>
                    </w:rPr>
                    <w:t>、COD、石油类、溶解氧、水温</w:t>
                  </w:r>
                </w:p>
              </w:tc>
              <w:tc>
                <w:tcPr>
                  <w:tcW w:w="1062" w:type="pct"/>
                  <w:vMerge w:val="restart"/>
                  <w:vAlign w:val="center"/>
                </w:tcPr>
                <w:p w14:paraId="14942AD9">
                  <w:pPr>
                    <w:jc w:val="center"/>
                    <w:rPr>
                      <w:color w:val="auto"/>
                      <w:szCs w:val="21"/>
                    </w:rPr>
                  </w:pPr>
                  <w:r>
                    <w:rPr>
                      <w:rFonts w:hint="eastAsia"/>
                      <w:color w:val="auto"/>
                      <w:szCs w:val="21"/>
                    </w:rPr>
                    <w:t>连续监测3天，每天取样1次</w:t>
                  </w:r>
                </w:p>
              </w:tc>
            </w:tr>
            <w:tr w14:paraId="7392515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jc w:val="center"/>
              </w:trPr>
              <w:tc>
                <w:tcPr>
                  <w:tcW w:w="349" w:type="pct"/>
                  <w:vAlign w:val="center"/>
                </w:tcPr>
                <w:p w14:paraId="12411978">
                  <w:pPr>
                    <w:jc w:val="center"/>
                    <w:rPr>
                      <w:color w:val="auto"/>
                      <w:szCs w:val="21"/>
                    </w:rPr>
                  </w:pPr>
                  <w:r>
                    <w:rPr>
                      <w:rFonts w:hint="eastAsia"/>
                      <w:color w:val="auto"/>
                      <w:szCs w:val="21"/>
                    </w:rPr>
                    <w:t>2</w:t>
                  </w:r>
                </w:p>
              </w:tc>
              <w:tc>
                <w:tcPr>
                  <w:tcW w:w="583" w:type="pct"/>
                  <w:tcMar>
                    <w:left w:w="28" w:type="dxa"/>
                    <w:right w:w="28" w:type="dxa"/>
                  </w:tcMar>
                  <w:vAlign w:val="center"/>
                </w:tcPr>
                <w:p w14:paraId="667ACD22">
                  <w:pPr>
                    <w:jc w:val="center"/>
                    <w:rPr>
                      <w:rFonts w:hint="default" w:eastAsia="宋体"/>
                      <w:color w:val="auto"/>
                      <w:szCs w:val="21"/>
                      <w:lang w:val="en-US" w:eastAsia="zh-CN"/>
                    </w:rPr>
                  </w:pPr>
                  <w:r>
                    <w:rPr>
                      <w:rFonts w:hint="eastAsia"/>
                      <w:color w:val="auto"/>
                      <w:szCs w:val="21"/>
                    </w:rPr>
                    <w:t>K</w:t>
                  </w:r>
                  <w:r>
                    <w:rPr>
                      <w:color w:val="auto"/>
                      <w:szCs w:val="21"/>
                    </w:rPr>
                    <w:t>2</w:t>
                  </w:r>
                  <w:r>
                    <w:rPr>
                      <w:rFonts w:hint="eastAsia"/>
                      <w:color w:val="auto"/>
                      <w:szCs w:val="21"/>
                      <w:lang w:val="en-US" w:eastAsia="zh-CN"/>
                    </w:rPr>
                    <w:t>5</w:t>
                  </w:r>
                  <w:r>
                    <w:rPr>
                      <w:color w:val="auto"/>
                      <w:szCs w:val="21"/>
                    </w:rPr>
                    <w:t>+</w:t>
                  </w:r>
                  <w:r>
                    <w:rPr>
                      <w:rFonts w:hint="eastAsia"/>
                      <w:color w:val="auto"/>
                      <w:szCs w:val="21"/>
                      <w:lang w:val="en-US" w:eastAsia="zh-CN"/>
                    </w:rPr>
                    <w:t>300.582</w:t>
                  </w:r>
                </w:p>
              </w:tc>
              <w:tc>
                <w:tcPr>
                  <w:tcW w:w="605" w:type="pct"/>
                  <w:tcMar>
                    <w:left w:w="28" w:type="dxa"/>
                    <w:right w:w="28" w:type="dxa"/>
                  </w:tcMar>
                  <w:vAlign w:val="center"/>
                </w:tcPr>
                <w:p w14:paraId="101C8891">
                  <w:pPr>
                    <w:jc w:val="center"/>
                    <w:rPr>
                      <w:rFonts w:hint="eastAsia" w:eastAsia="宋体"/>
                      <w:color w:val="auto"/>
                      <w:szCs w:val="21"/>
                      <w:lang w:eastAsia="zh-CN"/>
                    </w:rPr>
                  </w:pPr>
                  <w:r>
                    <w:rPr>
                      <w:rFonts w:hint="eastAsia"/>
                      <w:color w:val="auto"/>
                      <w:szCs w:val="21"/>
                      <w:lang w:val="en-US" w:eastAsia="zh-CN"/>
                    </w:rPr>
                    <w:t>水体1</w:t>
                  </w:r>
                </w:p>
              </w:tc>
              <w:tc>
                <w:tcPr>
                  <w:tcW w:w="1690" w:type="pct"/>
                  <w:vMerge w:val="continue"/>
                  <w:tcMar>
                    <w:left w:w="28" w:type="dxa"/>
                    <w:right w:w="28" w:type="dxa"/>
                  </w:tcMar>
                  <w:vAlign w:val="center"/>
                </w:tcPr>
                <w:p w14:paraId="31AFD5C7">
                  <w:pPr>
                    <w:jc w:val="center"/>
                    <w:rPr>
                      <w:color w:val="auto"/>
                      <w:szCs w:val="21"/>
                    </w:rPr>
                  </w:pPr>
                </w:p>
              </w:tc>
              <w:tc>
                <w:tcPr>
                  <w:tcW w:w="708" w:type="pct"/>
                  <w:vMerge w:val="continue"/>
                  <w:vAlign w:val="center"/>
                </w:tcPr>
                <w:p w14:paraId="41A9087D">
                  <w:pPr>
                    <w:jc w:val="center"/>
                    <w:rPr>
                      <w:color w:val="auto"/>
                      <w:szCs w:val="21"/>
                    </w:rPr>
                  </w:pPr>
                </w:p>
              </w:tc>
              <w:tc>
                <w:tcPr>
                  <w:tcW w:w="1062" w:type="pct"/>
                  <w:vMerge w:val="continue"/>
                  <w:vAlign w:val="center"/>
                </w:tcPr>
                <w:p w14:paraId="0CB76B0C">
                  <w:pPr>
                    <w:jc w:val="center"/>
                    <w:rPr>
                      <w:color w:val="auto"/>
                      <w:szCs w:val="21"/>
                    </w:rPr>
                  </w:pPr>
                </w:p>
              </w:tc>
            </w:tr>
          </w:tbl>
          <w:p w14:paraId="0C3900B7">
            <w:pPr>
              <w:autoSpaceDE w:val="0"/>
              <w:autoSpaceDN w:val="0"/>
              <w:adjustRightInd w:val="0"/>
              <w:spacing w:before="120" w:beforeLines="50" w:line="300" w:lineRule="auto"/>
              <w:ind w:firstLine="480" w:firstLineChars="200"/>
              <w:rPr>
                <w:color w:val="auto"/>
                <w:kern w:val="0"/>
                <w:sz w:val="24"/>
              </w:rPr>
            </w:pPr>
            <w:r>
              <w:rPr>
                <w:color w:val="auto"/>
                <w:kern w:val="0"/>
                <w:sz w:val="24"/>
              </w:rPr>
              <w:t>(2) 监测结果</w:t>
            </w:r>
          </w:p>
          <w:p w14:paraId="01DD2DBF">
            <w:pPr>
              <w:adjustRightInd w:val="0"/>
              <w:spacing w:after="120" w:afterLines="50" w:line="300" w:lineRule="auto"/>
              <w:ind w:firstLine="480" w:firstLineChars="200"/>
              <w:rPr>
                <w:color w:val="auto"/>
                <w:sz w:val="24"/>
              </w:rPr>
            </w:pPr>
            <w:r>
              <w:rPr>
                <w:color w:val="auto"/>
                <w:sz w:val="24"/>
              </w:rPr>
              <w:t>水环境质量监测结果见表3-</w:t>
            </w:r>
            <w:r>
              <w:rPr>
                <w:rFonts w:hint="eastAsia"/>
                <w:color w:val="auto"/>
                <w:sz w:val="24"/>
                <w:lang w:val="en-US" w:eastAsia="zh-CN"/>
              </w:rPr>
              <w:t>4</w:t>
            </w:r>
            <w:r>
              <w:rPr>
                <w:rFonts w:hint="eastAsia"/>
                <w:color w:val="auto"/>
                <w:sz w:val="24"/>
              </w:rPr>
              <w:t>。</w:t>
            </w:r>
          </w:p>
          <w:p w14:paraId="2C0890E2">
            <w:pPr>
              <w:jc w:val="center"/>
              <w:rPr>
                <w:b/>
                <w:bCs/>
                <w:color w:val="0070C0"/>
              </w:rPr>
            </w:pPr>
          </w:p>
          <w:p w14:paraId="7EC38F1A">
            <w:pPr>
              <w:keepNext w:val="0"/>
              <w:keepLines w:val="0"/>
              <w:pageBreakBefore w:val="0"/>
              <w:widowControl w:val="0"/>
              <w:kinsoku/>
              <w:wordWrap/>
              <w:overflowPunct/>
              <w:topLinePunct w:val="0"/>
              <w:autoSpaceDE/>
              <w:autoSpaceDN/>
              <w:bidi w:val="0"/>
              <w:adjustRightInd/>
              <w:snapToGrid/>
              <w:spacing w:before="157" w:beforeLines="50"/>
              <w:jc w:val="center"/>
              <w:textAlignment w:val="auto"/>
              <w:rPr>
                <w:b/>
                <w:bCs/>
                <w:color w:val="auto"/>
              </w:rPr>
            </w:pPr>
            <w:r>
              <w:rPr>
                <w:b/>
                <w:bCs/>
                <w:color w:val="auto"/>
              </w:rPr>
              <w:t>表3-</w:t>
            </w:r>
            <w:r>
              <w:rPr>
                <w:rFonts w:hint="eastAsia"/>
                <w:b/>
                <w:bCs/>
                <w:color w:val="auto"/>
                <w:lang w:val="en-US" w:eastAsia="zh-CN"/>
              </w:rPr>
              <w:t>4</w:t>
            </w:r>
            <w:r>
              <w:rPr>
                <w:b/>
                <w:bCs/>
                <w:color w:val="auto"/>
              </w:rPr>
              <w:t xml:space="preserve">  水环境</w:t>
            </w:r>
            <w:r>
              <w:rPr>
                <w:rFonts w:hint="eastAsia"/>
                <w:b/>
                <w:color w:val="auto"/>
                <w:spacing w:val="-2"/>
              </w:rPr>
              <w:t>现状</w:t>
            </w:r>
            <w:r>
              <w:rPr>
                <w:b/>
                <w:color w:val="auto"/>
                <w:spacing w:val="-2"/>
              </w:rPr>
              <w:t>监测</w:t>
            </w:r>
            <w:r>
              <w:rPr>
                <w:rFonts w:hint="eastAsia"/>
                <w:b/>
                <w:color w:val="auto"/>
                <w:spacing w:val="-2"/>
              </w:rPr>
              <w:t>结果</w:t>
            </w:r>
            <w:r>
              <w:rPr>
                <w:b/>
                <w:bCs/>
                <w:color w:val="auto"/>
              </w:rPr>
              <w:t>一览表</w:t>
            </w:r>
          </w:p>
          <w:tbl>
            <w:tblPr>
              <w:tblStyle w:val="22"/>
              <w:tblW w:w="836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
            <w:tblGrid>
              <w:gridCol w:w="1456"/>
              <w:gridCol w:w="1050"/>
              <w:gridCol w:w="977"/>
              <w:gridCol w:w="977"/>
              <w:gridCol w:w="977"/>
              <w:gridCol w:w="977"/>
              <w:gridCol w:w="977"/>
              <w:gridCol w:w="978"/>
            </w:tblGrid>
            <w:tr w14:paraId="08DD70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55" w:hRule="atLeast"/>
              </w:trPr>
              <w:tc>
                <w:tcPr>
                  <w:tcW w:w="1456" w:type="dxa"/>
                  <w:vMerge w:val="restart"/>
                  <w:tcBorders>
                    <w:tl2br w:val="nil"/>
                    <w:tr2bl w:val="nil"/>
                  </w:tcBorders>
                  <w:shd w:val="clear" w:color="auto" w:fill="auto"/>
                  <w:vAlign w:val="center"/>
                </w:tcPr>
                <w:p w14:paraId="2DF2BD23">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ajorEastAsia"/>
                      <w:b/>
                      <w:bCs/>
                      <w:color w:val="auto"/>
                      <w:kern w:val="0"/>
                      <w:sz w:val="21"/>
                      <w:szCs w:val="21"/>
                      <w:highlight w:val="none"/>
                      <w:lang w:val="en-US" w:eastAsia="zh-CN" w:bidi="ar-SA"/>
                    </w:rPr>
                  </w:pPr>
                  <w:r>
                    <w:rPr>
                      <w:rFonts w:hint="default" w:ascii="Times New Roman" w:hAnsi="Times New Roman" w:cs="Times New Roman" w:eastAsiaTheme="majorEastAsia"/>
                      <w:b/>
                      <w:bCs/>
                      <w:color w:val="auto"/>
                      <w:kern w:val="0"/>
                      <w:sz w:val="21"/>
                      <w:szCs w:val="21"/>
                      <w:lang w:eastAsia="zh-CN"/>
                    </w:rPr>
                    <w:t>检测项目</w:t>
                  </w:r>
                </w:p>
              </w:tc>
              <w:tc>
                <w:tcPr>
                  <w:tcW w:w="1050" w:type="dxa"/>
                  <w:vMerge w:val="restart"/>
                  <w:tcBorders>
                    <w:tl2br w:val="nil"/>
                    <w:tr2bl w:val="nil"/>
                  </w:tcBorders>
                  <w:shd w:val="clear" w:color="auto" w:fill="auto"/>
                  <w:vAlign w:val="center"/>
                </w:tcPr>
                <w:p w14:paraId="00F13C5C">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ajorEastAsia"/>
                      <w:b/>
                      <w:bCs w:val="0"/>
                      <w:kern w:val="2"/>
                      <w:sz w:val="21"/>
                      <w:szCs w:val="21"/>
                      <w:lang w:val="en-US" w:eastAsia="zh-CN" w:bidi="ar-SA"/>
                    </w:rPr>
                  </w:pPr>
                  <w:r>
                    <w:rPr>
                      <w:rFonts w:hint="default" w:ascii="Times New Roman" w:hAnsi="Times New Roman" w:eastAsia="宋体" w:cs="Times New Roman"/>
                      <w:b/>
                      <w:bCs/>
                      <w:sz w:val="21"/>
                      <w:szCs w:val="21"/>
                      <w:highlight w:val="none"/>
                      <w:lang w:eastAsia="zh-CN"/>
                    </w:rPr>
                    <w:t>单位</w:t>
                  </w:r>
                </w:p>
              </w:tc>
              <w:tc>
                <w:tcPr>
                  <w:tcW w:w="5863" w:type="dxa"/>
                  <w:gridSpan w:val="6"/>
                  <w:tcBorders>
                    <w:tl2br w:val="nil"/>
                    <w:tr2bl w:val="nil"/>
                  </w:tcBorders>
                  <w:shd w:val="clear" w:color="auto" w:fill="auto"/>
                  <w:vAlign w:val="center"/>
                </w:tcPr>
                <w:p w14:paraId="62D26644">
                  <w:pPr>
                    <w:keepNext w:val="0"/>
                    <w:keepLines w:val="0"/>
                    <w:pageBreakBefore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cs="Times New Roman"/>
                      <w:b/>
                      <w:bCs/>
                      <w:kern w:val="2"/>
                      <w:sz w:val="21"/>
                      <w:szCs w:val="21"/>
                      <w:lang w:val="en-US" w:eastAsia="zh-CN" w:bidi="ar-SA"/>
                    </w:rPr>
                  </w:pPr>
                  <w:r>
                    <w:rPr>
                      <w:rFonts w:hint="default" w:ascii="Times New Roman" w:hAnsi="Times New Roman" w:cs="Times New Roman"/>
                      <w:b/>
                      <w:bCs/>
                      <w:kern w:val="2"/>
                      <w:sz w:val="21"/>
                      <w:szCs w:val="21"/>
                      <w:lang w:val="en-US" w:eastAsia="zh-CN" w:bidi="ar-SA"/>
                    </w:rPr>
                    <w:t>检测结果</w:t>
                  </w:r>
                </w:p>
              </w:tc>
            </w:tr>
            <w:tr w14:paraId="23D332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55" w:hRule="atLeast"/>
              </w:trPr>
              <w:tc>
                <w:tcPr>
                  <w:tcW w:w="1456" w:type="dxa"/>
                  <w:vMerge w:val="continue"/>
                  <w:tcBorders>
                    <w:tl2br w:val="nil"/>
                    <w:tr2bl w:val="nil"/>
                  </w:tcBorders>
                  <w:shd w:val="clear" w:color="auto" w:fill="auto"/>
                  <w:vAlign w:val="center"/>
                </w:tcPr>
                <w:p w14:paraId="5E34A03F">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ajorEastAsia"/>
                      <w:b/>
                      <w:bCs/>
                      <w:color w:val="auto"/>
                      <w:kern w:val="0"/>
                      <w:sz w:val="21"/>
                      <w:szCs w:val="21"/>
                      <w:lang w:eastAsia="zh-CN"/>
                    </w:rPr>
                  </w:pPr>
                </w:p>
              </w:tc>
              <w:tc>
                <w:tcPr>
                  <w:tcW w:w="1050" w:type="dxa"/>
                  <w:vMerge w:val="continue"/>
                  <w:tcBorders>
                    <w:tl2br w:val="nil"/>
                    <w:tr2bl w:val="nil"/>
                  </w:tcBorders>
                  <w:shd w:val="clear" w:color="auto" w:fill="auto"/>
                  <w:vAlign w:val="center"/>
                </w:tcPr>
                <w:p w14:paraId="2D35346D">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sz w:val="21"/>
                      <w:szCs w:val="21"/>
                      <w:highlight w:val="none"/>
                      <w:lang w:eastAsia="zh-CN"/>
                    </w:rPr>
                  </w:pPr>
                </w:p>
              </w:tc>
              <w:tc>
                <w:tcPr>
                  <w:tcW w:w="1954" w:type="dxa"/>
                  <w:gridSpan w:val="2"/>
                  <w:tcBorders>
                    <w:tl2br w:val="nil"/>
                    <w:tr2bl w:val="nil"/>
                  </w:tcBorders>
                  <w:shd w:val="clear" w:color="auto" w:fill="auto"/>
                  <w:vAlign w:val="center"/>
                </w:tcPr>
                <w:p w14:paraId="559AA975">
                  <w:pPr>
                    <w:keepNext w:val="0"/>
                    <w:keepLines w:val="0"/>
                    <w:pageBreakBefore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cs="Times New Roman"/>
                      <w:b/>
                      <w:bCs/>
                      <w:kern w:val="2"/>
                      <w:sz w:val="21"/>
                      <w:szCs w:val="21"/>
                      <w:lang w:val="en-US" w:eastAsia="zh-CN" w:bidi="ar-SA"/>
                    </w:rPr>
                  </w:pPr>
                  <w:r>
                    <w:rPr>
                      <w:rFonts w:hint="default" w:ascii="Times New Roman" w:hAnsi="Times New Roman" w:cs="Times New Roman"/>
                      <w:b/>
                      <w:bCs/>
                      <w:kern w:val="2"/>
                      <w:sz w:val="21"/>
                      <w:szCs w:val="21"/>
                      <w:lang w:val="en-US" w:eastAsia="zh-CN" w:bidi="ar-SA"/>
                    </w:rPr>
                    <w:t>04月23日</w:t>
                  </w:r>
                </w:p>
              </w:tc>
              <w:tc>
                <w:tcPr>
                  <w:tcW w:w="1954" w:type="dxa"/>
                  <w:gridSpan w:val="2"/>
                  <w:tcBorders>
                    <w:tl2br w:val="nil"/>
                    <w:tr2bl w:val="nil"/>
                  </w:tcBorders>
                  <w:shd w:val="clear" w:color="auto" w:fill="auto"/>
                  <w:vAlign w:val="center"/>
                </w:tcPr>
                <w:p w14:paraId="09727C29">
                  <w:pPr>
                    <w:keepNext w:val="0"/>
                    <w:keepLines w:val="0"/>
                    <w:pageBreakBefore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bCs/>
                      <w:kern w:val="2"/>
                      <w:sz w:val="21"/>
                      <w:szCs w:val="21"/>
                      <w:lang w:val="en-US" w:eastAsia="zh-CN" w:bidi="ar-SA"/>
                    </w:rPr>
                  </w:pPr>
                  <w:r>
                    <w:rPr>
                      <w:rFonts w:hint="default" w:ascii="Times New Roman" w:hAnsi="Times New Roman" w:cs="Times New Roman"/>
                      <w:b/>
                      <w:bCs/>
                      <w:kern w:val="2"/>
                      <w:sz w:val="21"/>
                      <w:szCs w:val="21"/>
                      <w:lang w:val="en-US" w:eastAsia="zh-CN" w:bidi="ar-SA"/>
                    </w:rPr>
                    <w:t>04月24日</w:t>
                  </w:r>
                </w:p>
              </w:tc>
              <w:tc>
                <w:tcPr>
                  <w:tcW w:w="1955" w:type="dxa"/>
                  <w:gridSpan w:val="2"/>
                  <w:tcBorders>
                    <w:tl2br w:val="nil"/>
                    <w:tr2bl w:val="nil"/>
                  </w:tcBorders>
                  <w:shd w:val="clear" w:color="auto" w:fill="auto"/>
                  <w:vAlign w:val="center"/>
                </w:tcPr>
                <w:p w14:paraId="5F24A822">
                  <w:pPr>
                    <w:keepNext w:val="0"/>
                    <w:keepLines w:val="0"/>
                    <w:pageBreakBefore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bCs/>
                      <w:kern w:val="2"/>
                      <w:sz w:val="21"/>
                      <w:szCs w:val="21"/>
                      <w:lang w:val="en-US" w:eastAsia="zh-CN" w:bidi="ar-SA"/>
                    </w:rPr>
                  </w:pPr>
                  <w:r>
                    <w:rPr>
                      <w:rFonts w:hint="default" w:ascii="Times New Roman" w:hAnsi="Times New Roman" w:cs="Times New Roman"/>
                      <w:b/>
                      <w:bCs/>
                      <w:kern w:val="2"/>
                      <w:sz w:val="21"/>
                      <w:szCs w:val="21"/>
                      <w:lang w:val="en-US" w:eastAsia="zh-CN" w:bidi="ar-SA"/>
                    </w:rPr>
                    <w:t>04月25日</w:t>
                  </w:r>
                </w:p>
              </w:tc>
            </w:tr>
            <w:tr w14:paraId="549455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55" w:hRule="atLeast"/>
              </w:trPr>
              <w:tc>
                <w:tcPr>
                  <w:tcW w:w="1456" w:type="dxa"/>
                  <w:vMerge w:val="continue"/>
                  <w:tcBorders>
                    <w:tl2br w:val="nil"/>
                    <w:tr2bl w:val="nil"/>
                  </w:tcBorders>
                  <w:shd w:val="clear" w:color="auto" w:fill="auto"/>
                  <w:vAlign w:val="center"/>
                </w:tcPr>
                <w:p w14:paraId="3594D885">
                  <w:pPr>
                    <w:keepNext w:val="0"/>
                    <w:keepLines w:val="0"/>
                    <w:pageBreakBefore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cs="Times New Roman"/>
                      <w:sz w:val="21"/>
                      <w:szCs w:val="21"/>
                    </w:rPr>
                  </w:pPr>
                </w:p>
              </w:tc>
              <w:tc>
                <w:tcPr>
                  <w:tcW w:w="1050" w:type="dxa"/>
                  <w:vMerge w:val="continue"/>
                  <w:tcBorders>
                    <w:tl2br w:val="nil"/>
                    <w:tr2bl w:val="nil"/>
                  </w:tcBorders>
                  <w:shd w:val="clear" w:color="auto" w:fill="auto"/>
                  <w:vAlign w:val="center"/>
                </w:tcPr>
                <w:p w14:paraId="59A2D131">
                  <w:pPr>
                    <w:keepNext w:val="0"/>
                    <w:keepLines w:val="0"/>
                    <w:pageBreakBefore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cs="Times New Roman"/>
                      <w:sz w:val="21"/>
                      <w:szCs w:val="21"/>
                    </w:rPr>
                  </w:pPr>
                </w:p>
              </w:tc>
              <w:tc>
                <w:tcPr>
                  <w:tcW w:w="977" w:type="dxa"/>
                  <w:tcBorders>
                    <w:tl2br w:val="nil"/>
                    <w:tr2bl w:val="nil"/>
                  </w:tcBorders>
                  <w:shd w:val="clear" w:color="auto" w:fill="auto"/>
                  <w:vAlign w:val="center"/>
                </w:tcPr>
                <w:p w14:paraId="5D7F7BB4">
                  <w:pPr>
                    <w:keepNext w:val="0"/>
                    <w:keepLines w:val="0"/>
                    <w:pageBreakBefore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bCs/>
                      <w:color w:val="auto"/>
                      <w:sz w:val="21"/>
                      <w:szCs w:val="21"/>
                      <w:lang w:val="en-US" w:eastAsia="zh-CN"/>
                    </w:rPr>
                  </w:pPr>
                  <w:r>
                    <w:rPr>
                      <w:rFonts w:hint="eastAsia" w:cs="Times New Roman"/>
                      <w:b/>
                      <w:bCs/>
                      <w:color w:val="auto"/>
                      <w:sz w:val="21"/>
                      <w:szCs w:val="21"/>
                      <w:lang w:val="en-US" w:eastAsia="zh-CN"/>
                    </w:rPr>
                    <w:t>水体1</w:t>
                  </w:r>
                </w:p>
              </w:tc>
              <w:tc>
                <w:tcPr>
                  <w:tcW w:w="977" w:type="dxa"/>
                  <w:tcBorders>
                    <w:tl2br w:val="nil"/>
                    <w:tr2bl w:val="nil"/>
                  </w:tcBorders>
                  <w:shd w:val="clear" w:color="auto" w:fill="auto"/>
                  <w:vAlign w:val="center"/>
                </w:tcPr>
                <w:p w14:paraId="4410063A">
                  <w:pPr>
                    <w:keepNext w:val="0"/>
                    <w:keepLines w:val="0"/>
                    <w:pageBreakBefore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bCs/>
                      <w:color w:val="auto"/>
                      <w:sz w:val="21"/>
                      <w:szCs w:val="21"/>
                      <w:lang w:val="en-US" w:eastAsia="zh-CN"/>
                    </w:rPr>
                  </w:pPr>
                  <w:r>
                    <w:rPr>
                      <w:rFonts w:hint="eastAsia" w:cs="Times New Roman"/>
                      <w:b/>
                      <w:bCs/>
                      <w:color w:val="auto"/>
                      <w:sz w:val="21"/>
                      <w:szCs w:val="21"/>
                      <w:lang w:val="en-US" w:eastAsia="zh-CN"/>
                    </w:rPr>
                    <w:t>水体2</w:t>
                  </w:r>
                </w:p>
              </w:tc>
              <w:tc>
                <w:tcPr>
                  <w:tcW w:w="977" w:type="dxa"/>
                  <w:tcBorders>
                    <w:tl2br w:val="nil"/>
                    <w:tr2bl w:val="nil"/>
                  </w:tcBorders>
                  <w:shd w:val="clear" w:color="auto" w:fill="auto"/>
                  <w:vAlign w:val="center"/>
                </w:tcPr>
                <w:p w14:paraId="35761AFB">
                  <w:pPr>
                    <w:keepNext w:val="0"/>
                    <w:keepLines w:val="0"/>
                    <w:pageBreakBefore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cs="Times New Roman"/>
                      <w:b/>
                      <w:bCs/>
                      <w:color w:val="auto"/>
                      <w:sz w:val="21"/>
                      <w:szCs w:val="21"/>
                    </w:rPr>
                  </w:pPr>
                  <w:r>
                    <w:rPr>
                      <w:rFonts w:hint="eastAsia" w:cs="Times New Roman"/>
                      <w:b/>
                      <w:bCs/>
                      <w:color w:val="auto"/>
                      <w:sz w:val="21"/>
                      <w:szCs w:val="21"/>
                      <w:lang w:val="en-US" w:eastAsia="zh-CN"/>
                    </w:rPr>
                    <w:t>水体1</w:t>
                  </w:r>
                </w:p>
              </w:tc>
              <w:tc>
                <w:tcPr>
                  <w:tcW w:w="977" w:type="dxa"/>
                  <w:tcBorders>
                    <w:tl2br w:val="nil"/>
                    <w:tr2bl w:val="nil"/>
                  </w:tcBorders>
                  <w:shd w:val="clear" w:color="auto" w:fill="auto"/>
                  <w:vAlign w:val="center"/>
                </w:tcPr>
                <w:p w14:paraId="5DFAF036">
                  <w:pPr>
                    <w:keepNext w:val="0"/>
                    <w:keepLines w:val="0"/>
                    <w:pageBreakBefore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cs="Times New Roman"/>
                      <w:b/>
                      <w:bCs/>
                      <w:color w:val="auto"/>
                      <w:sz w:val="21"/>
                      <w:szCs w:val="21"/>
                    </w:rPr>
                  </w:pPr>
                  <w:r>
                    <w:rPr>
                      <w:rFonts w:hint="eastAsia" w:cs="Times New Roman"/>
                      <w:b/>
                      <w:bCs/>
                      <w:color w:val="auto"/>
                      <w:sz w:val="21"/>
                      <w:szCs w:val="21"/>
                      <w:lang w:val="en-US" w:eastAsia="zh-CN"/>
                    </w:rPr>
                    <w:t>水体2</w:t>
                  </w:r>
                </w:p>
              </w:tc>
              <w:tc>
                <w:tcPr>
                  <w:tcW w:w="977" w:type="dxa"/>
                  <w:tcBorders>
                    <w:tl2br w:val="nil"/>
                    <w:tr2bl w:val="nil"/>
                  </w:tcBorders>
                  <w:shd w:val="clear" w:color="auto" w:fill="auto"/>
                  <w:vAlign w:val="center"/>
                </w:tcPr>
                <w:p w14:paraId="15AC0E4A">
                  <w:pPr>
                    <w:keepNext w:val="0"/>
                    <w:keepLines w:val="0"/>
                    <w:pageBreakBefore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cs="Times New Roman"/>
                      <w:b/>
                      <w:bCs/>
                      <w:color w:val="auto"/>
                      <w:sz w:val="21"/>
                      <w:szCs w:val="21"/>
                    </w:rPr>
                  </w:pPr>
                  <w:r>
                    <w:rPr>
                      <w:rFonts w:hint="eastAsia" w:cs="Times New Roman"/>
                      <w:b/>
                      <w:bCs/>
                      <w:color w:val="auto"/>
                      <w:sz w:val="21"/>
                      <w:szCs w:val="21"/>
                      <w:lang w:val="en-US" w:eastAsia="zh-CN"/>
                    </w:rPr>
                    <w:t>水体1</w:t>
                  </w:r>
                </w:p>
              </w:tc>
              <w:tc>
                <w:tcPr>
                  <w:tcW w:w="978" w:type="dxa"/>
                  <w:tcBorders>
                    <w:tl2br w:val="nil"/>
                    <w:tr2bl w:val="nil"/>
                  </w:tcBorders>
                  <w:shd w:val="clear" w:color="auto" w:fill="auto"/>
                  <w:vAlign w:val="center"/>
                </w:tcPr>
                <w:p w14:paraId="09BC9330">
                  <w:pPr>
                    <w:keepNext w:val="0"/>
                    <w:keepLines w:val="0"/>
                    <w:pageBreakBefore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cs="Times New Roman"/>
                      <w:b/>
                      <w:bCs/>
                      <w:color w:val="auto"/>
                      <w:sz w:val="21"/>
                      <w:szCs w:val="21"/>
                    </w:rPr>
                  </w:pPr>
                  <w:r>
                    <w:rPr>
                      <w:rFonts w:hint="eastAsia" w:cs="Times New Roman"/>
                      <w:b/>
                      <w:bCs/>
                      <w:color w:val="auto"/>
                      <w:sz w:val="21"/>
                      <w:szCs w:val="21"/>
                      <w:lang w:val="en-US" w:eastAsia="zh-CN"/>
                    </w:rPr>
                    <w:t>水体2</w:t>
                  </w:r>
                </w:p>
              </w:tc>
            </w:tr>
            <w:tr w14:paraId="506DB2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55" w:hRule="atLeast"/>
              </w:trPr>
              <w:tc>
                <w:tcPr>
                  <w:tcW w:w="1456" w:type="dxa"/>
                  <w:tcBorders>
                    <w:tl2br w:val="nil"/>
                    <w:tr2bl w:val="nil"/>
                  </w:tcBorders>
                  <w:shd w:val="clear" w:color="auto" w:fill="auto"/>
                  <w:vAlign w:val="center"/>
                </w:tcPr>
                <w:p w14:paraId="1D9CC3D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val="0"/>
                      <w:bCs w:val="0"/>
                      <w:color w:val="auto"/>
                      <w:kern w:val="2"/>
                      <w:sz w:val="21"/>
                      <w:szCs w:val="21"/>
                      <w:lang w:val="en-US" w:eastAsia="zh-CN" w:bidi="ar-SA"/>
                    </w:rPr>
                  </w:pPr>
                  <w:r>
                    <w:rPr>
                      <w:rFonts w:hint="default" w:ascii="Times New Roman" w:hAnsi="Times New Roman" w:cs="Times New Roman"/>
                      <w:b w:val="0"/>
                      <w:bCs w:val="0"/>
                      <w:color w:val="auto"/>
                      <w:kern w:val="0"/>
                      <w:sz w:val="21"/>
                      <w:szCs w:val="21"/>
                      <w:lang w:val="en-US" w:eastAsia="zh-CN"/>
                    </w:rPr>
                    <w:t>pH</w:t>
                  </w:r>
                </w:p>
              </w:tc>
              <w:tc>
                <w:tcPr>
                  <w:tcW w:w="1050" w:type="dxa"/>
                  <w:tcBorders>
                    <w:tl2br w:val="nil"/>
                    <w:tr2bl w:val="nil"/>
                  </w:tcBorders>
                  <w:shd w:val="clear" w:color="auto" w:fill="auto"/>
                  <w:vAlign w:val="center"/>
                </w:tcPr>
                <w:p w14:paraId="68A454E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rPr>
                  </w:pPr>
                  <w:r>
                    <w:rPr>
                      <w:rFonts w:hint="default" w:ascii="Times New Roman" w:hAnsi="Times New Roman" w:cs="Times New Roman"/>
                      <w:color w:val="000000" w:themeColor="text1"/>
                      <w:kern w:val="2"/>
                      <w:sz w:val="21"/>
                      <w:szCs w:val="21"/>
                      <w:lang w:val="en-US" w:eastAsia="zh-CN" w:bidi="ar-SA"/>
                    </w:rPr>
                    <w:t>无量纲</w:t>
                  </w:r>
                </w:p>
              </w:tc>
              <w:tc>
                <w:tcPr>
                  <w:tcW w:w="977" w:type="dxa"/>
                  <w:tcBorders>
                    <w:tl2br w:val="nil"/>
                    <w:tr2bl w:val="nil"/>
                  </w:tcBorders>
                  <w:shd w:val="clear" w:color="auto" w:fill="auto"/>
                  <w:vAlign w:val="center"/>
                </w:tcPr>
                <w:p w14:paraId="24430BB1">
                  <w:pPr>
                    <w:keepNext w:val="0"/>
                    <w:keepLines w:val="0"/>
                    <w:pageBreakBefore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color w:val="000000" w:themeColor="text1"/>
                      <w:kern w:val="2"/>
                      <w:sz w:val="21"/>
                      <w:szCs w:val="21"/>
                      <w:lang w:val="en-US" w:eastAsia="zh-CN" w:bidi="ar-SA"/>
                    </w:rPr>
                  </w:pPr>
                  <w:r>
                    <w:rPr>
                      <w:rFonts w:hint="default" w:ascii="Times New Roman" w:hAnsi="Times New Roman" w:cs="Times New Roman"/>
                      <w:color w:val="000000" w:themeColor="text1"/>
                      <w:kern w:val="2"/>
                      <w:sz w:val="21"/>
                      <w:szCs w:val="21"/>
                      <w:lang w:val="en-US" w:eastAsia="zh-CN" w:bidi="ar-SA"/>
                    </w:rPr>
                    <w:t>7.8</w:t>
                  </w:r>
                </w:p>
              </w:tc>
              <w:tc>
                <w:tcPr>
                  <w:tcW w:w="977" w:type="dxa"/>
                  <w:tcBorders>
                    <w:tl2br w:val="nil"/>
                    <w:tr2bl w:val="nil"/>
                  </w:tcBorders>
                  <w:shd w:val="clear" w:color="auto" w:fill="auto"/>
                  <w:vAlign w:val="center"/>
                </w:tcPr>
                <w:p w14:paraId="5854BB6D">
                  <w:pPr>
                    <w:keepNext w:val="0"/>
                    <w:keepLines w:val="0"/>
                    <w:pageBreakBefore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color w:val="000000" w:themeColor="text1"/>
                      <w:kern w:val="2"/>
                      <w:sz w:val="21"/>
                      <w:szCs w:val="21"/>
                      <w:lang w:val="en-US" w:eastAsia="zh-CN" w:bidi="ar-SA"/>
                    </w:rPr>
                  </w:pPr>
                  <w:r>
                    <w:rPr>
                      <w:rFonts w:hint="default" w:ascii="Times New Roman" w:hAnsi="Times New Roman" w:cs="Times New Roman"/>
                      <w:color w:val="000000" w:themeColor="text1"/>
                      <w:kern w:val="2"/>
                      <w:sz w:val="21"/>
                      <w:szCs w:val="21"/>
                      <w:lang w:val="en-US" w:eastAsia="zh-CN" w:bidi="ar-SA"/>
                    </w:rPr>
                    <w:t>7.9</w:t>
                  </w:r>
                </w:p>
              </w:tc>
              <w:tc>
                <w:tcPr>
                  <w:tcW w:w="977" w:type="dxa"/>
                  <w:tcBorders>
                    <w:tl2br w:val="nil"/>
                    <w:tr2bl w:val="nil"/>
                  </w:tcBorders>
                  <w:shd w:val="clear" w:color="auto" w:fill="auto"/>
                  <w:vAlign w:val="center"/>
                </w:tcPr>
                <w:p w14:paraId="5C642CA1">
                  <w:pPr>
                    <w:keepNext w:val="0"/>
                    <w:keepLines w:val="0"/>
                    <w:pageBreakBefore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color w:val="000000" w:themeColor="text1"/>
                      <w:kern w:val="2"/>
                      <w:sz w:val="21"/>
                      <w:szCs w:val="21"/>
                      <w:lang w:val="en-US" w:eastAsia="zh-CN" w:bidi="ar-SA"/>
                    </w:rPr>
                  </w:pPr>
                  <w:r>
                    <w:rPr>
                      <w:rFonts w:hint="default" w:ascii="Times New Roman" w:hAnsi="Times New Roman" w:eastAsia="宋体" w:cs="Times New Roman"/>
                      <w:color w:val="000000" w:themeColor="text1"/>
                      <w:kern w:val="2"/>
                      <w:sz w:val="21"/>
                      <w:szCs w:val="21"/>
                      <w:lang w:val="en-US" w:eastAsia="zh-CN" w:bidi="ar-SA"/>
                    </w:rPr>
                    <w:t>7.9</w:t>
                  </w:r>
                </w:p>
              </w:tc>
              <w:tc>
                <w:tcPr>
                  <w:tcW w:w="977" w:type="dxa"/>
                  <w:tcBorders>
                    <w:tl2br w:val="nil"/>
                    <w:tr2bl w:val="nil"/>
                  </w:tcBorders>
                  <w:vAlign w:val="center"/>
                </w:tcPr>
                <w:p w14:paraId="02DF604F">
                  <w:pPr>
                    <w:keepNext w:val="0"/>
                    <w:keepLines w:val="0"/>
                    <w:pageBreakBefore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cs="Times New Roman" w:eastAsiaTheme="majorEastAsia"/>
                      <w:color w:val="auto"/>
                      <w:sz w:val="21"/>
                      <w:szCs w:val="21"/>
                      <w:highlight w:val="none"/>
                      <w:lang w:val="en-US" w:eastAsia="zh-CN"/>
                    </w:rPr>
                  </w:pPr>
                  <w:r>
                    <w:rPr>
                      <w:rFonts w:hint="default" w:ascii="Times New Roman" w:hAnsi="Times New Roman" w:cs="Times New Roman" w:eastAsiaTheme="majorEastAsia"/>
                      <w:color w:val="auto"/>
                      <w:sz w:val="21"/>
                      <w:szCs w:val="21"/>
                      <w:highlight w:val="none"/>
                      <w:lang w:val="en-US" w:eastAsia="zh-CN"/>
                    </w:rPr>
                    <w:t>7.8</w:t>
                  </w:r>
                </w:p>
              </w:tc>
              <w:tc>
                <w:tcPr>
                  <w:tcW w:w="977" w:type="dxa"/>
                  <w:tcBorders>
                    <w:tl2br w:val="nil"/>
                    <w:tr2bl w:val="nil"/>
                  </w:tcBorders>
                  <w:vAlign w:val="center"/>
                </w:tcPr>
                <w:p w14:paraId="3C230932">
                  <w:pPr>
                    <w:keepNext w:val="0"/>
                    <w:keepLines w:val="0"/>
                    <w:pageBreakBefore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cs="Times New Roman" w:eastAsiaTheme="majorEastAsia"/>
                      <w:color w:val="auto"/>
                      <w:sz w:val="21"/>
                      <w:szCs w:val="21"/>
                      <w:highlight w:val="none"/>
                      <w:lang w:val="en-US" w:eastAsia="zh-CN"/>
                    </w:rPr>
                  </w:pPr>
                  <w:r>
                    <w:rPr>
                      <w:rFonts w:hint="default" w:ascii="Times New Roman" w:hAnsi="Times New Roman" w:cs="Times New Roman" w:eastAsiaTheme="majorEastAsia"/>
                      <w:color w:val="auto"/>
                      <w:sz w:val="21"/>
                      <w:szCs w:val="21"/>
                      <w:highlight w:val="none"/>
                      <w:lang w:val="en-US" w:eastAsia="zh-CN"/>
                    </w:rPr>
                    <w:t>7.8</w:t>
                  </w:r>
                </w:p>
              </w:tc>
              <w:tc>
                <w:tcPr>
                  <w:tcW w:w="978" w:type="dxa"/>
                  <w:tcBorders>
                    <w:tl2br w:val="nil"/>
                    <w:tr2bl w:val="nil"/>
                  </w:tcBorders>
                  <w:vAlign w:val="center"/>
                </w:tcPr>
                <w:p w14:paraId="51DC7C83">
                  <w:pPr>
                    <w:keepNext w:val="0"/>
                    <w:keepLines w:val="0"/>
                    <w:pageBreakBefore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cs="Times New Roman" w:eastAsiaTheme="majorEastAsia"/>
                      <w:color w:val="auto"/>
                      <w:sz w:val="21"/>
                      <w:szCs w:val="21"/>
                      <w:highlight w:val="none"/>
                      <w:lang w:val="en-US" w:eastAsia="zh-CN"/>
                    </w:rPr>
                  </w:pPr>
                  <w:r>
                    <w:rPr>
                      <w:rFonts w:hint="default" w:ascii="Times New Roman" w:hAnsi="Times New Roman" w:cs="Times New Roman" w:eastAsiaTheme="majorEastAsia"/>
                      <w:color w:val="auto"/>
                      <w:sz w:val="21"/>
                      <w:szCs w:val="21"/>
                      <w:highlight w:val="none"/>
                      <w:lang w:val="en-US" w:eastAsia="zh-CN"/>
                    </w:rPr>
                    <w:t>7.7</w:t>
                  </w:r>
                </w:p>
              </w:tc>
            </w:tr>
            <w:tr w14:paraId="1AB62A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55" w:hRule="atLeast"/>
              </w:trPr>
              <w:tc>
                <w:tcPr>
                  <w:tcW w:w="1456" w:type="dxa"/>
                  <w:tcBorders>
                    <w:tl2br w:val="nil"/>
                    <w:tr2bl w:val="nil"/>
                  </w:tcBorders>
                  <w:shd w:val="clear" w:color="auto" w:fill="auto"/>
                  <w:vAlign w:val="center"/>
                </w:tcPr>
                <w:p w14:paraId="47584936">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ajorEastAsia"/>
                      <w:b w:val="0"/>
                      <w:bCs w:val="0"/>
                      <w:color w:val="auto"/>
                      <w:kern w:val="0"/>
                      <w:sz w:val="21"/>
                      <w:szCs w:val="21"/>
                      <w:highlight w:val="none"/>
                      <w:lang w:val="en-US" w:eastAsia="zh-CN" w:bidi="ar-SA"/>
                    </w:rPr>
                  </w:pPr>
                  <w:r>
                    <w:rPr>
                      <w:rFonts w:hint="default" w:ascii="Times New Roman" w:hAnsi="Times New Roman" w:cs="Times New Roman" w:eastAsiaTheme="minorEastAsia"/>
                      <w:b w:val="0"/>
                      <w:bCs w:val="0"/>
                      <w:color w:val="auto"/>
                      <w:sz w:val="21"/>
                      <w:szCs w:val="21"/>
                    </w:rPr>
                    <w:t>水温</w:t>
                  </w:r>
                </w:p>
              </w:tc>
              <w:tc>
                <w:tcPr>
                  <w:tcW w:w="1050" w:type="dxa"/>
                  <w:tcBorders>
                    <w:tl2br w:val="nil"/>
                    <w:tr2bl w:val="nil"/>
                  </w:tcBorders>
                  <w:shd w:val="clear" w:color="auto" w:fill="auto"/>
                  <w:vAlign w:val="center"/>
                </w:tcPr>
                <w:p w14:paraId="6F79476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w:t>
                  </w:r>
                </w:p>
              </w:tc>
              <w:tc>
                <w:tcPr>
                  <w:tcW w:w="977" w:type="dxa"/>
                  <w:tcBorders>
                    <w:tl2br w:val="nil"/>
                    <w:tr2bl w:val="nil"/>
                  </w:tcBorders>
                  <w:shd w:val="clear" w:color="auto" w:fill="auto"/>
                  <w:vAlign w:val="center"/>
                </w:tcPr>
                <w:p w14:paraId="5EC2D173">
                  <w:pPr>
                    <w:keepNext w:val="0"/>
                    <w:keepLines w:val="0"/>
                    <w:pageBreakBefore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15.0</w:t>
                  </w:r>
                </w:p>
              </w:tc>
              <w:tc>
                <w:tcPr>
                  <w:tcW w:w="977" w:type="dxa"/>
                  <w:tcBorders>
                    <w:tl2br w:val="nil"/>
                    <w:tr2bl w:val="nil"/>
                  </w:tcBorders>
                  <w:shd w:val="clear" w:color="auto" w:fill="auto"/>
                  <w:vAlign w:val="center"/>
                </w:tcPr>
                <w:p w14:paraId="3BDC705B">
                  <w:pPr>
                    <w:keepNext w:val="0"/>
                    <w:keepLines w:val="0"/>
                    <w:pageBreakBefore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15.0</w:t>
                  </w:r>
                </w:p>
              </w:tc>
              <w:tc>
                <w:tcPr>
                  <w:tcW w:w="977" w:type="dxa"/>
                  <w:tcBorders>
                    <w:tl2br w:val="nil"/>
                    <w:tr2bl w:val="nil"/>
                  </w:tcBorders>
                  <w:shd w:val="clear" w:color="auto" w:fill="auto"/>
                  <w:vAlign w:val="center"/>
                </w:tcPr>
                <w:p w14:paraId="076361FA">
                  <w:pPr>
                    <w:keepNext w:val="0"/>
                    <w:keepLines w:val="0"/>
                    <w:pageBreakBefore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cs="Times New Roman" w:eastAsiaTheme="minorEastAsia"/>
                      <w:color w:val="000000" w:themeColor="text1"/>
                      <w:kern w:val="2"/>
                      <w:sz w:val="21"/>
                      <w:szCs w:val="21"/>
                      <w:lang w:val="en-US" w:eastAsia="zh-CN" w:bidi="ar-SA"/>
                    </w:rPr>
                  </w:pPr>
                  <w:r>
                    <w:rPr>
                      <w:rFonts w:hint="default" w:ascii="Times New Roman" w:hAnsi="Times New Roman" w:cs="Times New Roman"/>
                      <w:color w:val="auto"/>
                      <w:kern w:val="2"/>
                      <w:sz w:val="21"/>
                      <w:szCs w:val="21"/>
                      <w:lang w:val="en-US" w:eastAsia="zh-CN" w:bidi="ar-SA"/>
                    </w:rPr>
                    <w:t>15.0</w:t>
                  </w:r>
                </w:p>
              </w:tc>
              <w:tc>
                <w:tcPr>
                  <w:tcW w:w="977" w:type="dxa"/>
                  <w:tcBorders>
                    <w:tl2br w:val="nil"/>
                    <w:tr2bl w:val="nil"/>
                  </w:tcBorders>
                  <w:vAlign w:val="center"/>
                </w:tcPr>
                <w:p w14:paraId="095C39BB">
                  <w:pPr>
                    <w:keepNext w:val="0"/>
                    <w:keepLines w:val="0"/>
                    <w:pageBreakBefore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cs="Times New Roman" w:eastAsiaTheme="majorEastAsia"/>
                      <w:color w:val="auto"/>
                      <w:sz w:val="21"/>
                      <w:szCs w:val="21"/>
                      <w:highlight w:val="none"/>
                      <w:lang w:val="en-US" w:eastAsia="zh-CN"/>
                    </w:rPr>
                  </w:pPr>
                  <w:r>
                    <w:rPr>
                      <w:rFonts w:hint="default" w:ascii="Times New Roman" w:hAnsi="Times New Roman" w:cs="Times New Roman"/>
                      <w:color w:val="auto"/>
                      <w:kern w:val="2"/>
                      <w:sz w:val="21"/>
                      <w:szCs w:val="21"/>
                      <w:lang w:val="en-US" w:eastAsia="zh-CN" w:bidi="ar-SA"/>
                    </w:rPr>
                    <w:t>15.0</w:t>
                  </w:r>
                </w:p>
              </w:tc>
              <w:tc>
                <w:tcPr>
                  <w:tcW w:w="977" w:type="dxa"/>
                  <w:tcBorders>
                    <w:tl2br w:val="nil"/>
                    <w:tr2bl w:val="nil"/>
                  </w:tcBorders>
                  <w:shd w:val="clear" w:color="auto" w:fill="auto"/>
                  <w:vAlign w:val="center"/>
                </w:tcPr>
                <w:p w14:paraId="53DB46E4">
                  <w:pPr>
                    <w:keepNext w:val="0"/>
                    <w:keepLines w:val="0"/>
                    <w:pageBreakBefore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cs="Times New Roman" w:eastAsiaTheme="majorEastAsia"/>
                      <w:color w:val="auto"/>
                      <w:sz w:val="21"/>
                      <w:szCs w:val="21"/>
                      <w:highlight w:val="none"/>
                      <w:lang w:val="en-US" w:eastAsia="zh-CN"/>
                    </w:rPr>
                  </w:pPr>
                  <w:r>
                    <w:rPr>
                      <w:rFonts w:hint="default" w:ascii="Times New Roman" w:hAnsi="Times New Roman" w:cs="Times New Roman"/>
                      <w:color w:val="auto"/>
                      <w:kern w:val="2"/>
                      <w:sz w:val="21"/>
                      <w:szCs w:val="21"/>
                      <w:lang w:val="en-US" w:eastAsia="zh-CN" w:bidi="ar-SA"/>
                    </w:rPr>
                    <w:t>15.0</w:t>
                  </w:r>
                </w:p>
              </w:tc>
              <w:tc>
                <w:tcPr>
                  <w:tcW w:w="978" w:type="dxa"/>
                  <w:tcBorders>
                    <w:tl2br w:val="nil"/>
                    <w:tr2bl w:val="nil"/>
                  </w:tcBorders>
                  <w:shd w:val="clear" w:color="auto" w:fill="auto"/>
                  <w:vAlign w:val="center"/>
                </w:tcPr>
                <w:p w14:paraId="2B6106BD">
                  <w:pPr>
                    <w:keepNext w:val="0"/>
                    <w:keepLines w:val="0"/>
                    <w:pageBreakBefore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cs="Times New Roman" w:eastAsiaTheme="majorEastAsia"/>
                      <w:color w:val="auto"/>
                      <w:sz w:val="21"/>
                      <w:szCs w:val="21"/>
                      <w:highlight w:val="none"/>
                      <w:lang w:val="en-US" w:eastAsia="zh-CN"/>
                    </w:rPr>
                  </w:pPr>
                  <w:r>
                    <w:rPr>
                      <w:rFonts w:hint="default" w:ascii="Times New Roman" w:hAnsi="Times New Roman" w:cs="Times New Roman"/>
                      <w:color w:val="auto"/>
                      <w:kern w:val="2"/>
                      <w:sz w:val="21"/>
                      <w:szCs w:val="21"/>
                      <w:lang w:val="en-US" w:eastAsia="zh-CN" w:bidi="ar-SA"/>
                    </w:rPr>
                    <w:t>15.0</w:t>
                  </w:r>
                </w:p>
              </w:tc>
            </w:tr>
            <w:tr w14:paraId="7BC4F2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55" w:hRule="atLeast"/>
              </w:trPr>
              <w:tc>
                <w:tcPr>
                  <w:tcW w:w="1456" w:type="dxa"/>
                  <w:tcBorders>
                    <w:tl2br w:val="nil"/>
                    <w:tr2bl w:val="nil"/>
                  </w:tcBorders>
                  <w:shd w:val="clear" w:color="auto" w:fill="auto"/>
                  <w:vAlign w:val="center"/>
                </w:tcPr>
                <w:p w14:paraId="37C0E8F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ajorEastAsia"/>
                      <w:b w:val="0"/>
                      <w:bCs w:val="0"/>
                      <w:color w:val="auto"/>
                      <w:kern w:val="0"/>
                      <w:sz w:val="21"/>
                      <w:szCs w:val="21"/>
                      <w:highlight w:val="none"/>
                      <w:lang w:val="en-US" w:eastAsia="zh-CN" w:bidi="ar-SA"/>
                    </w:rPr>
                  </w:pPr>
                  <w:r>
                    <w:rPr>
                      <w:rFonts w:hint="eastAsia" w:ascii="Times New Roman" w:hAnsi="Times New Roman" w:cs="Times New Roman" w:eastAsiaTheme="minorEastAsia"/>
                      <w:b w:val="0"/>
                      <w:bCs w:val="0"/>
                      <w:color w:val="auto"/>
                      <w:sz w:val="21"/>
                      <w:szCs w:val="21"/>
                      <w:lang w:val="en-US" w:eastAsia="zh-CN"/>
                    </w:rPr>
                    <w:t>BOD</w:t>
                  </w:r>
                  <w:r>
                    <w:rPr>
                      <w:rFonts w:hint="eastAsia" w:ascii="Times New Roman" w:hAnsi="Times New Roman" w:cs="Times New Roman" w:eastAsiaTheme="minorEastAsia"/>
                      <w:b w:val="0"/>
                      <w:bCs w:val="0"/>
                      <w:color w:val="auto"/>
                      <w:sz w:val="21"/>
                      <w:szCs w:val="21"/>
                      <w:vertAlign w:val="subscript"/>
                      <w:lang w:val="en-US" w:eastAsia="zh-CN"/>
                    </w:rPr>
                    <w:t>5</w:t>
                  </w:r>
                </w:p>
              </w:tc>
              <w:tc>
                <w:tcPr>
                  <w:tcW w:w="1050" w:type="dxa"/>
                  <w:tcBorders>
                    <w:tl2br w:val="nil"/>
                    <w:tr2bl w:val="nil"/>
                  </w:tcBorders>
                  <w:shd w:val="clear" w:color="auto" w:fill="auto"/>
                  <w:vAlign w:val="center"/>
                </w:tcPr>
                <w:p w14:paraId="3A4818B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eastAsiaTheme="minorEastAsia"/>
                      <w:color w:val="auto"/>
                      <w:kern w:val="2"/>
                      <w:sz w:val="21"/>
                      <w:szCs w:val="21"/>
                      <w:lang w:val="en-US" w:eastAsia="zh-CN" w:bidi="ar-SA"/>
                    </w:rPr>
                    <w:t>mg/L</w:t>
                  </w:r>
                </w:p>
              </w:tc>
              <w:tc>
                <w:tcPr>
                  <w:tcW w:w="977" w:type="dxa"/>
                  <w:tcBorders>
                    <w:tl2br w:val="nil"/>
                    <w:tr2bl w:val="nil"/>
                  </w:tcBorders>
                  <w:shd w:val="clear" w:color="auto" w:fill="auto"/>
                  <w:vAlign w:val="center"/>
                </w:tcPr>
                <w:p w14:paraId="10C1322D">
                  <w:pPr>
                    <w:keepNext w:val="0"/>
                    <w:keepLines w:val="0"/>
                    <w:pageBreakBefore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eastAsia="宋体" w:cs="Times New Roman"/>
                      <w:b w:val="0"/>
                      <w:bCs w:val="0"/>
                      <w:snapToGrid/>
                      <w:color w:val="auto"/>
                      <w:kern w:val="2"/>
                      <w:sz w:val="21"/>
                      <w:szCs w:val="21"/>
                      <w:vertAlign w:val="baseline"/>
                      <w:lang w:val="en-US" w:eastAsia="zh-CN" w:bidi="ar-SA"/>
                    </w:rPr>
                    <w:t>2.1</w:t>
                  </w:r>
                </w:p>
              </w:tc>
              <w:tc>
                <w:tcPr>
                  <w:tcW w:w="977" w:type="dxa"/>
                  <w:tcBorders>
                    <w:tl2br w:val="nil"/>
                    <w:tr2bl w:val="nil"/>
                  </w:tcBorders>
                  <w:shd w:val="clear" w:color="auto" w:fill="auto"/>
                  <w:vAlign w:val="center"/>
                </w:tcPr>
                <w:p w14:paraId="7C6DACFA">
                  <w:pPr>
                    <w:keepNext w:val="0"/>
                    <w:keepLines w:val="0"/>
                    <w:pageBreakBefore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eastAsia="宋体" w:cs="Times New Roman"/>
                      <w:b w:val="0"/>
                      <w:bCs w:val="0"/>
                      <w:snapToGrid/>
                      <w:color w:val="auto"/>
                      <w:kern w:val="2"/>
                      <w:sz w:val="21"/>
                      <w:szCs w:val="21"/>
                      <w:vertAlign w:val="baseline"/>
                      <w:lang w:val="en-US" w:eastAsia="zh-CN" w:bidi="ar-SA"/>
                    </w:rPr>
                    <w:t>2.4</w:t>
                  </w:r>
                </w:p>
              </w:tc>
              <w:tc>
                <w:tcPr>
                  <w:tcW w:w="977" w:type="dxa"/>
                  <w:tcBorders>
                    <w:tl2br w:val="nil"/>
                    <w:tr2bl w:val="nil"/>
                  </w:tcBorders>
                  <w:shd w:val="clear" w:color="auto" w:fill="auto"/>
                  <w:vAlign w:val="center"/>
                </w:tcPr>
                <w:p w14:paraId="7EA57C62">
                  <w:pPr>
                    <w:keepNext w:val="0"/>
                    <w:keepLines w:val="0"/>
                    <w:pageBreakBefore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cs="Times New Roman" w:eastAsiaTheme="minorEastAsia"/>
                      <w:color w:val="auto"/>
                      <w:kern w:val="2"/>
                      <w:sz w:val="21"/>
                      <w:szCs w:val="21"/>
                      <w:lang w:val="en-US" w:eastAsia="zh-CN" w:bidi="ar-SA"/>
                    </w:rPr>
                    <w:t>1.8</w:t>
                  </w:r>
                </w:p>
              </w:tc>
              <w:tc>
                <w:tcPr>
                  <w:tcW w:w="977" w:type="dxa"/>
                  <w:tcBorders>
                    <w:tl2br w:val="nil"/>
                    <w:tr2bl w:val="nil"/>
                  </w:tcBorders>
                  <w:vAlign w:val="center"/>
                </w:tcPr>
                <w:p w14:paraId="4ACAE940">
                  <w:pPr>
                    <w:keepNext w:val="0"/>
                    <w:keepLines w:val="0"/>
                    <w:pageBreakBefore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cs="Times New Roman" w:eastAsiaTheme="majorEastAsia"/>
                      <w:color w:val="auto"/>
                      <w:sz w:val="21"/>
                      <w:szCs w:val="21"/>
                      <w:highlight w:val="none"/>
                      <w:lang w:val="en-US" w:eastAsia="zh-CN"/>
                    </w:rPr>
                  </w:pPr>
                  <w:r>
                    <w:rPr>
                      <w:rFonts w:hint="default" w:ascii="Times New Roman" w:hAnsi="Times New Roman" w:cs="Times New Roman" w:eastAsiaTheme="majorEastAsia"/>
                      <w:color w:val="auto"/>
                      <w:sz w:val="21"/>
                      <w:szCs w:val="21"/>
                      <w:highlight w:val="none"/>
                      <w:lang w:val="en-US" w:eastAsia="zh-CN"/>
                    </w:rPr>
                    <w:t>2.1</w:t>
                  </w:r>
                </w:p>
              </w:tc>
              <w:tc>
                <w:tcPr>
                  <w:tcW w:w="977" w:type="dxa"/>
                  <w:tcBorders>
                    <w:tl2br w:val="nil"/>
                    <w:tr2bl w:val="nil"/>
                  </w:tcBorders>
                  <w:shd w:val="clear" w:color="auto" w:fill="auto"/>
                  <w:vAlign w:val="center"/>
                </w:tcPr>
                <w:p w14:paraId="66633C52">
                  <w:pPr>
                    <w:keepNext w:val="0"/>
                    <w:keepLines w:val="0"/>
                    <w:pageBreakBefore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cs="Times New Roman" w:eastAsiaTheme="majorEastAsia"/>
                      <w:color w:val="auto"/>
                      <w:sz w:val="21"/>
                      <w:szCs w:val="21"/>
                      <w:highlight w:val="none"/>
                      <w:lang w:val="en-US" w:eastAsia="zh-CN"/>
                    </w:rPr>
                  </w:pPr>
                  <w:r>
                    <w:rPr>
                      <w:rFonts w:hint="default" w:ascii="Times New Roman" w:hAnsi="Times New Roman" w:cs="Times New Roman" w:eastAsiaTheme="majorEastAsia"/>
                      <w:color w:val="auto"/>
                      <w:sz w:val="21"/>
                      <w:szCs w:val="21"/>
                      <w:highlight w:val="none"/>
                      <w:lang w:val="en-US" w:eastAsia="zh-CN"/>
                    </w:rPr>
                    <w:t>2.1</w:t>
                  </w:r>
                </w:p>
              </w:tc>
              <w:tc>
                <w:tcPr>
                  <w:tcW w:w="978" w:type="dxa"/>
                  <w:tcBorders>
                    <w:tl2br w:val="nil"/>
                    <w:tr2bl w:val="nil"/>
                  </w:tcBorders>
                  <w:shd w:val="clear" w:color="auto" w:fill="auto"/>
                  <w:vAlign w:val="center"/>
                </w:tcPr>
                <w:p w14:paraId="3D862AFE">
                  <w:pPr>
                    <w:keepNext w:val="0"/>
                    <w:keepLines w:val="0"/>
                    <w:pageBreakBefore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cs="Times New Roman" w:eastAsiaTheme="majorEastAsia"/>
                      <w:color w:val="auto"/>
                      <w:sz w:val="21"/>
                      <w:szCs w:val="21"/>
                      <w:highlight w:val="none"/>
                      <w:lang w:val="en-US" w:eastAsia="zh-CN"/>
                    </w:rPr>
                  </w:pPr>
                  <w:r>
                    <w:rPr>
                      <w:rFonts w:hint="default" w:ascii="Times New Roman" w:hAnsi="Times New Roman" w:cs="Times New Roman" w:eastAsiaTheme="majorEastAsia"/>
                      <w:color w:val="auto"/>
                      <w:sz w:val="21"/>
                      <w:szCs w:val="21"/>
                      <w:highlight w:val="none"/>
                      <w:lang w:val="en-US" w:eastAsia="zh-CN"/>
                    </w:rPr>
                    <w:t>2.5</w:t>
                  </w:r>
                </w:p>
              </w:tc>
            </w:tr>
            <w:tr w14:paraId="4106DB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40" w:hRule="atLeast"/>
              </w:trPr>
              <w:tc>
                <w:tcPr>
                  <w:tcW w:w="1456" w:type="dxa"/>
                  <w:tcBorders>
                    <w:tl2br w:val="nil"/>
                    <w:tr2bl w:val="nil"/>
                  </w:tcBorders>
                  <w:shd w:val="clear" w:color="auto" w:fill="auto"/>
                  <w:vAlign w:val="center"/>
                </w:tcPr>
                <w:p w14:paraId="0A1F37A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val="0"/>
                      <w:bCs w:val="0"/>
                      <w:color w:val="auto"/>
                      <w:kern w:val="2"/>
                      <w:sz w:val="21"/>
                      <w:szCs w:val="21"/>
                      <w:lang w:val="en-US" w:eastAsia="zh-CN" w:bidi="ar-SA"/>
                    </w:rPr>
                  </w:pPr>
                  <w:r>
                    <w:rPr>
                      <w:rFonts w:hint="eastAsia" w:ascii="Times New Roman" w:hAnsi="Times New Roman" w:cs="Times New Roman" w:eastAsiaTheme="minorEastAsia"/>
                      <w:b w:val="0"/>
                      <w:bCs w:val="0"/>
                      <w:color w:val="auto"/>
                      <w:sz w:val="21"/>
                      <w:szCs w:val="21"/>
                      <w:lang w:val="en-US" w:eastAsia="zh-CN"/>
                    </w:rPr>
                    <w:t>COD</w:t>
                  </w:r>
                </w:p>
              </w:tc>
              <w:tc>
                <w:tcPr>
                  <w:tcW w:w="1050" w:type="dxa"/>
                  <w:tcBorders>
                    <w:tl2br w:val="nil"/>
                    <w:tr2bl w:val="nil"/>
                  </w:tcBorders>
                  <w:shd w:val="clear" w:color="auto" w:fill="auto"/>
                  <w:vAlign w:val="center"/>
                </w:tcPr>
                <w:p w14:paraId="6ED631B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eastAsiaTheme="minorEastAsia"/>
                      <w:color w:val="auto"/>
                      <w:kern w:val="2"/>
                      <w:sz w:val="21"/>
                      <w:szCs w:val="21"/>
                      <w:lang w:val="en-US" w:eastAsia="zh-CN" w:bidi="ar-SA"/>
                    </w:rPr>
                    <w:t>mg/L</w:t>
                  </w:r>
                </w:p>
              </w:tc>
              <w:tc>
                <w:tcPr>
                  <w:tcW w:w="977" w:type="dxa"/>
                  <w:tcBorders>
                    <w:tl2br w:val="nil"/>
                    <w:tr2bl w:val="nil"/>
                  </w:tcBorders>
                  <w:shd w:val="clear" w:color="auto" w:fill="auto"/>
                  <w:vAlign w:val="center"/>
                </w:tcPr>
                <w:p w14:paraId="23945F1D">
                  <w:pPr>
                    <w:keepNext w:val="0"/>
                    <w:keepLines w:val="0"/>
                    <w:pageBreakBefore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cs="Times New Roman" w:eastAsiaTheme="minorEastAsia"/>
                      <w:color w:val="auto"/>
                      <w:kern w:val="2"/>
                      <w:sz w:val="21"/>
                      <w:szCs w:val="21"/>
                      <w:lang w:val="en-US" w:eastAsia="zh-CN" w:bidi="ar-SA"/>
                    </w:rPr>
                    <w:t>6</w:t>
                  </w:r>
                </w:p>
              </w:tc>
              <w:tc>
                <w:tcPr>
                  <w:tcW w:w="977" w:type="dxa"/>
                  <w:tcBorders>
                    <w:tl2br w:val="nil"/>
                    <w:tr2bl w:val="nil"/>
                  </w:tcBorders>
                  <w:shd w:val="clear" w:color="auto" w:fill="auto"/>
                  <w:vAlign w:val="center"/>
                </w:tcPr>
                <w:p w14:paraId="17725C5D">
                  <w:pPr>
                    <w:keepNext w:val="0"/>
                    <w:keepLines w:val="0"/>
                    <w:pageBreakBefore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cs="Times New Roman" w:eastAsiaTheme="minorEastAsia"/>
                      <w:color w:val="auto"/>
                      <w:kern w:val="2"/>
                      <w:sz w:val="21"/>
                      <w:szCs w:val="21"/>
                      <w:lang w:val="en-US" w:eastAsia="zh-CN" w:bidi="ar-SA"/>
                    </w:rPr>
                    <w:t>7</w:t>
                  </w:r>
                </w:p>
              </w:tc>
              <w:tc>
                <w:tcPr>
                  <w:tcW w:w="977" w:type="dxa"/>
                  <w:tcBorders>
                    <w:tl2br w:val="nil"/>
                    <w:tr2bl w:val="nil"/>
                  </w:tcBorders>
                  <w:shd w:val="clear" w:color="auto" w:fill="auto"/>
                  <w:vAlign w:val="center"/>
                </w:tcPr>
                <w:p w14:paraId="6E3A92B5">
                  <w:pPr>
                    <w:keepNext w:val="0"/>
                    <w:keepLines w:val="0"/>
                    <w:pageBreakBefore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cs="Times New Roman" w:eastAsiaTheme="minorEastAsia"/>
                      <w:color w:val="auto"/>
                      <w:kern w:val="2"/>
                      <w:sz w:val="21"/>
                      <w:szCs w:val="21"/>
                      <w:lang w:val="en-US" w:eastAsia="zh-CN" w:bidi="ar-SA"/>
                    </w:rPr>
                    <w:t>5</w:t>
                  </w:r>
                </w:p>
              </w:tc>
              <w:tc>
                <w:tcPr>
                  <w:tcW w:w="977" w:type="dxa"/>
                  <w:tcBorders>
                    <w:tl2br w:val="nil"/>
                    <w:tr2bl w:val="nil"/>
                  </w:tcBorders>
                  <w:vAlign w:val="center"/>
                </w:tcPr>
                <w:p w14:paraId="04B1F353">
                  <w:pPr>
                    <w:keepNext w:val="0"/>
                    <w:keepLines w:val="0"/>
                    <w:pageBreakBefore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cs="Times New Roman" w:eastAsiaTheme="majorEastAsia"/>
                      <w:color w:val="auto"/>
                      <w:sz w:val="21"/>
                      <w:szCs w:val="21"/>
                      <w:highlight w:val="none"/>
                      <w:lang w:val="en-US" w:eastAsia="zh-CN"/>
                    </w:rPr>
                  </w:pPr>
                  <w:r>
                    <w:rPr>
                      <w:rFonts w:hint="default" w:ascii="Times New Roman" w:hAnsi="Times New Roman" w:cs="Times New Roman" w:eastAsiaTheme="majorEastAsia"/>
                      <w:color w:val="auto"/>
                      <w:sz w:val="21"/>
                      <w:szCs w:val="21"/>
                      <w:highlight w:val="none"/>
                      <w:lang w:val="en-US" w:eastAsia="zh-CN"/>
                    </w:rPr>
                    <w:t>6</w:t>
                  </w:r>
                </w:p>
              </w:tc>
              <w:tc>
                <w:tcPr>
                  <w:tcW w:w="977" w:type="dxa"/>
                  <w:tcBorders>
                    <w:tl2br w:val="nil"/>
                    <w:tr2bl w:val="nil"/>
                  </w:tcBorders>
                  <w:shd w:val="clear" w:color="auto" w:fill="auto"/>
                  <w:vAlign w:val="center"/>
                </w:tcPr>
                <w:p w14:paraId="4C0ADA6C">
                  <w:pPr>
                    <w:keepNext w:val="0"/>
                    <w:keepLines w:val="0"/>
                    <w:pageBreakBefore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cs="Times New Roman" w:eastAsiaTheme="majorEastAsia"/>
                      <w:color w:val="auto"/>
                      <w:sz w:val="21"/>
                      <w:szCs w:val="21"/>
                      <w:highlight w:val="none"/>
                      <w:lang w:val="en-US" w:eastAsia="zh-CN"/>
                    </w:rPr>
                  </w:pPr>
                  <w:r>
                    <w:rPr>
                      <w:rFonts w:hint="default" w:ascii="Times New Roman" w:hAnsi="Times New Roman" w:cs="Times New Roman" w:eastAsiaTheme="majorEastAsia"/>
                      <w:color w:val="auto"/>
                      <w:sz w:val="21"/>
                      <w:szCs w:val="21"/>
                      <w:highlight w:val="none"/>
                      <w:lang w:val="en-US" w:eastAsia="zh-CN"/>
                    </w:rPr>
                    <w:t>6</w:t>
                  </w:r>
                </w:p>
              </w:tc>
              <w:tc>
                <w:tcPr>
                  <w:tcW w:w="978" w:type="dxa"/>
                  <w:tcBorders>
                    <w:tl2br w:val="nil"/>
                    <w:tr2bl w:val="nil"/>
                  </w:tcBorders>
                  <w:shd w:val="clear" w:color="auto" w:fill="auto"/>
                  <w:vAlign w:val="center"/>
                </w:tcPr>
                <w:p w14:paraId="70941BAA">
                  <w:pPr>
                    <w:keepNext w:val="0"/>
                    <w:keepLines w:val="0"/>
                    <w:pageBreakBefore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cs="Times New Roman" w:eastAsiaTheme="majorEastAsia"/>
                      <w:color w:val="auto"/>
                      <w:sz w:val="21"/>
                      <w:szCs w:val="21"/>
                      <w:highlight w:val="none"/>
                      <w:lang w:val="en-US" w:eastAsia="zh-CN"/>
                    </w:rPr>
                  </w:pPr>
                  <w:r>
                    <w:rPr>
                      <w:rFonts w:hint="default" w:ascii="Times New Roman" w:hAnsi="Times New Roman" w:cs="Times New Roman" w:eastAsiaTheme="majorEastAsia"/>
                      <w:color w:val="auto"/>
                      <w:sz w:val="21"/>
                      <w:szCs w:val="21"/>
                      <w:highlight w:val="none"/>
                      <w:lang w:val="en-US" w:eastAsia="zh-CN"/>
                    </w:rPr>
                    <w:t>7</w:t>
                  </w:r>
                </w:p>
              </w:tc>
            </w:tr>
            <w:tr w14:paraId="713124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55" w:hRule="atLeast"/>
              </w:trPr>
              <w:tc>
                <w:tcPr>
                  <w:tcW w:w="1456" w:type="dxa"/>
                  <w:tcBorders>
                    <w:tl2br w:val="nil"/>
                    <w:tr2bl w:val="nil"/>
                  </w:tcBorders>
                  <w:shd w:val="clear" w:color="auto" w:fill="auto"/>
                  <w:vAlign w:val="center"/>
                </w:tcPr>
                <w:p w14:paraId="27EE484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ajorEastAsia"/>
                      <w:b w:val="0"/>
                      <w:bCs w:val="0"/>
                      <w:color w:val="auto"/>
                      <w:kern w:val="0"/>
                      <w:sz w:val="21"/>
                      <w:szCs w:val="21"/>
                      <w:highlight w:val="none"/>
                      <w:lang w:val="en-US" w:eastAsia="zh-CN" w:bidi="ar-SA"/>
                    </w:rPr>
                  </w:pPr>
                  <w:r>
                    <w:rPr>
                      <w:rFonts w:hint="default" w:ascii="Times New Roman" w:hAnsi="Times New Roman" w:cs="Times New Roman" w:eastAsiaTheme="minorEastAsia"/>
                      <w:b w:val="0"/>
                      <w:bCs w:val="0"/>
                      <w:color w:val="auto"/>
                      <w:kern w:val="0"/>
                      <w:sz w:val="21"/>
                      <w:szCs w:val="21"/>
                      <w:highlight w:val="none"/>
                      <w:lang w:eastAsia="zh-CN"/>
                    </w:rPr>
                    <w:t>总磷</w:t>
                  </w:r>
                </w:p>
              </w:tc>
              <w:tc>
                <w:tcPr>
                  <w:tcW w:w="1050" w:type="dxa"/>
                  <w:tcBorders>
                    <w:tl2br w:val="nil"/>
                    <w:tr2bl w:val="nil"/>
                  </w:tcBorders>
                  <w:shd w:val="clear" w:color="auto" w:fill="auto"/>
                  <w:vAlign w:val="center"/>
                </w:tcPr>
                <w:p w14:paraId="3F9B8CC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themeColor="text1"/>
                      <w:kern w:val="2"/>
                      <w:sz w:val="21"/>
                      <w:szCs w:val="21"/>
                      <w:lang w:val="en-US" w:eastAsia="zh-CN" w:bidi="ar-SA"/>
                    </w:rPr>
                  </w:pPr>
                  <w:r>
                    <w:rPr>
                      <w:rFonts w:hint="default" w:ascii="Times New Roman" w:hAnsi="Times New Roman" w:cs="Times New Roman" w:eastAsiaTheme="minorEastAsia"/>
                      <w:color w:val="000000" w:themeColor="text1"/>
                      <w:kern w:val="2"/>
                      <w:sz w:val="21"/>
                      <w:szCs w:val="21"/>
                      <w:lang w:val="en-US" w:eastAsia="zh-CN" w:bidi="ar-SA"/>
                    </w:rPr>
                    <w:t>mg/L</w:t>
                  </w:r>
                </w:p>
              </w:tc>
              <w:tc>
                <w:tcPr>
                  <w:tcW w:w="977" w:type="dxa"/>
                  <w:tcBorders>
                    <w:tl2br w:val="nil"/>
                    <w:tr2bl w:val="nil"/>
                  </w:tcBorders>
                  <w:shd w:val="clear" w:color="auto" w:fill="auto"/>
                  <w:vAlign w:val="center"/>
                </w:tcPr>
                <w:p w14:paraId="488C4F89">
                  <w:pPr>
                    <w:keepNext w:val="0"/>
                    <w:keepLines w:val="0"/>
                    <w:pageBreakBefore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cs="Times New Roman" w:eastAsiaTheme="minorEastAsia"/>
                      <w:color w:val="000000" w:themeColor="text1"/>
                      <w:kern w:val="2"/>
                      <w:sz w:val="21"/>
                      <w:szCs w:val="21"/>
                      <w:lang w:val="en-US" w:eastAsia="zh-CN" w:bidi="ar-SA"/>
                    </w:rPr>
                  </w:pPr>
                  <w:r>
                    <w:rPr>
                      <w:rFonts w:hint="default" w:ascii="Times New Roman" w:hAnsi="Times New Roman" w:cs="Times New Roman" w:eastAsiaTheme="minorEastAsia"/>
                      <w:color w:val="000000" w:themeColor="text1"/>
                      <w:kern w:val="2"/>
                      <w:sz w:val="21"/>
                      <w:szCs w:val="21"/>
                      <w:lang w:val="en-US" w:eastAsia="zh-CN" w:bidi="ar-SA"/>
                    </w:rPr>
                    <w:t>0.02</w:t>
                  </w:r>
                </w:p>
              </w:tc>
              <w:tc>
                <w:tcPr>
                  <w:tcW w:w="977" w:type="dxa"/>
                  <w:tcBorders>
                    <w:tl2br w:val="nil"/>
                    <w:tr2bl w:val="nil"/>
                  </w:tcBorders>
                  <w:shd w:val="clear" w:color="auto" w:fill="auto"/>
                  <w:vAlign w:val="center"/>
                </w:tcPr>
                <w:p w14:paraId="487E093E">
                  <w:pPr>
                    <w:keepNext w:val="0"/>
                    <w:keepLines w:val="0"/>
                    <w:pageBreakBefore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cs="Times New Roman" w:eastAsiaTheme="minorEastAsia"/>
                      <w:color w:val="000000" w:themeColor="text1"/>
                      <w:kern w:val="2"/>
                      <w:sz w:val="21"/>
                      <w:szCs w:val="21"/>
                      <w:lang w:val="en-US" w:eastAsia="zh-CN" w:bidi="ar-SA"/>
                    </w:rPr>
                  </w:pPr>
                  <w:r>
                    <w:rPr>
                      <w:rFonts w:hint="default" w:ascii="Times New Roman" w:hAnsi="Times New Roman" w:cs="Times New Roman" w:eastAsiaTheme="minorEastAsia"/>
                      <w:color w:val="000000" w:themeColor="text1"/>
                      <w:kern w:val="2"/>
                      <w:sz w:val="21"/>
                      <w:szCs w:val="21"/>
                      <w:lang w:val="en-US" w:eastAsia="zh-CN" w:bidi="ar-SA"/>
                    </w:rPr>
                    <w:t>0.02</w:t>
                  </w:r>
                </w:p>
              </w:tc>
              <w:tc>
                <w:tcPr>
                  <w:tcW w:w="977" w:type="dxa"/>
                  <w:tcBorders>
                    <w:tl2br w:val="nil"/>
                    <w:tr2bl w:val="nil"/>
                  </w:tcBorders>
                  <w:shd w:val="clear" w:color="auto" w:fill="auto"/>
                  <w:vAlign w:val="center"/>
                </w:tcPr>
                <w:p w14:paraId="0A6A4C98">
                  <w:pPr>
                    <w:keepNext w:val="0"/>
                    <w:keepLines w:val="0"/>
                    <w:pageBreakBefore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cs="Times New Roman" w:eastAsiaTheme="minorEastAsia"/>
                      <w:color w:val="auto"/>
                      <w:kern w:val="2"/>
                      <w:sz w:val="21"/>
                      <w:szCs w:val="21"/>
                      <w:lang w:val="en-US" w:eastAsia="zh-CN" w:bidi="ar-SA"/>
                    </w:rPr>
                    <w:t>0.02</w:t>
                  </w:r>
                </w:p>
              </w:tc>
              <w:tc>
                <w:tcPr>
                  <w:tcW w:w="977" w:type="dxa"/>
                  <w:tcBorders>
                    <w:tl2br w:val="nil"/>
                    <w:tr2bl w:val="nil"/>
                  </w:tcBorders>
                  <w:vAlign w:val="center"/>
                </w:tcPr>
                <w:p w14:paraId="56005676">
                  <w:pPr>
                    <w:keepNext w:val="0"/>
                    <w:keepLines w:val="0"/>
                    <w:pageBreakBefore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cs="Times New Roman" w:eastAsiaTheme="majorEastAsia"/>
                      <w:color w:val="auto"/>
                      <w:sz w:val="21"/>
                      <w:szCs w:val="21"/>
                      <w:highlight w:val="none"/>
                      <w:lang w:val="en-US" w:eastAsia="zh-CN"/>
                    </w:rPr>
                  </w:pPr>
                  <w:r>
                    <w:rPr>
                      <w:rFonts w:hint="default" w:ascii="Times New Roman" w:hAnsi="Times New Roman" w:cs="Times New Roman" w:eastAsiaTheme="majorEastAsia"/>
                      <w:color w:val="auto"/>
                      <w:sz w:val="21"/>
                      <w:szCs w:val="21"/>
                      <w:highlight w:val="none"/>
                      <w:lang w:val="en-US" w:eastAsia="zh-CN"/>
                    </w:rPr>
                    <w:t>0.02</w:t>
                  </w:r>
                </w:p>
              </w:tc>
              <w:tc>
                <w:tcPr>
                  <w:tcW w:w="977" w:type="dxa"/>
                  <w:tcBorders>
                    <w:tl2br w:val="nil"/>
                    <w:tr2bl w:val="nil"/>
                  </w:tcBorders>
                  <w:shd w:val="clear" w:color="auto" w:fill="auto"/>
                  <w:vAlign w:val="center"/>
                </w:tcPr>
                <w:p w14:paraId="7E1D9BE3">
                  <w:pPr>
                    <w:keepNext w:val="0"/>
                    <w:keepLines w:val="0"/>
                    <w:pageBreakBefore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cs="Times New Roman" w:eastAsiaTheme="majorEastAsia"/>
                      <w:color w:val="auto"/>
                      <w:sz w:val="21"/>
                      <w:szCs w:val="21"/>
                      <w:highlight w:val="none"/>
                      <w:lang w:val="en-US" w:eastAsia="zh-CN"/>
                    </w:rPr>
                  </w:pPr>
                  <w:r>
                    <w:rPr>
                      <w:rFonts w:hint="default" w:ascii="Times New Roman" w:hAnsi="Times New Roman" w:cs="Times New Roman" w:eastAsiaTheme="majorEastAsia"/>
                      <w:color w:val="auto"/>
                      <w:sz w:val="21"/>
                      <w:szCs w:val="21"/>
                      <w:highlight w:val="none"/>
                      <w:lang w:val="en-US" w:eastAsia="zh-CN"/>
                    </w:rPr>
                    <w:t>0.03</w:t>
                  </w:r>
                </w:p>
              </w:tc>
              <w:tc>
                <w:tcPr>
                  <w:tcW w:w="978" w:type="dxa"/>
                  <w:tcBorders>
                    <w:tl2br w:val="nil"/>
                    <w:tr2bl w:val="nil"/>
                  </w:tcBorders>
                  <w:shd w:val="clear" w:color="auto" w:fill="auto"/>
                  <w:vAlign w:val="center"/>
                </w:tcPr>
                <w:p w14:paraId="2977F931">
                  <w:pPr>
                    <w:keepNext w:val="0"/>
                    <w:keepLines w:val="0"/>
                    <w:pageBreakBefore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cs="Times New Roman" w:eastAsiaTheme="majorEastAsia"/>
                      <w:color w:val="auto"/>
                      <w:sz w:val="21"/>
                      <w:szCs w:val="21"/>
                      <w:highlight w:val="none"/>
                      <w:lang w:val="en-US" w:eastAsia="zh-CN"/>
                    </w:rPr>
                  </w:pPr>
                  <w:r>
                    <w:rPr>
                      <w:rFonts w:hint="default" w:ascii="Times New Roman" w:hAnsi="Times New Roman" w:cs="Times New Roman" w:eastAsiaTheme="majorEastAsia"/>
                      <w:color w:val="auto"/>
                      <w:sz w:val="21"/>
                      <w:szCs w:val="21"/>
                      <w:highlight w:val="none"/>
                      <w:lang w:val="en-US" w:eastAsia="zh-CN"/>
                    </w:rPr>
                    <w:t>0.04</w:t>
                  </w:r>
                </w:p>
              </w:tc>
            </w:tr>
            <w:tr w14:paraId="708618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55" w:hRule="atLeast"/>
              </w:trPr>
              <w:tc>
                <w:tcPr>
                  <w:tcW w:w="1456" w:type="dxa"/>
                  <w:tcBorders>
                    <w:tl2br w:val="nil"/>
                    <w:tr2bl w:val="nil"/>
                  </w:tcBorders>
                  <w:shd w:val="clear" w:color="auto" w:fill="auto"/>
                  <w:vAlign w:val="center"/>
                </w:tcPr>
                <w:p w14:paraId="4BD51B2A">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cs="Times New Roman" w:eastAsiaTheme="majorEastAsia"/>
                      <w:b w:val="0"/>
                      <w:bCs w:val="0"/>
                      <w:color w:val="auto"/>
                      <w:kern w:val="0"/>
                      <w:sz w:val="21"/>
                      <w:szCs w:val="21"/>
                      <w:highlight w:val="none"/>
                      <w:lang w:val="en-US" w:eastAsia="zh-CN" w:bidi="ar-SA"/>
                    </w:rPr>
                  </w:pPr>
                  <w:r>
                    <w:rPr>
                      <w:rFonts w:hint="default" w:ascii="Times New Roman" w:hAnsi="Times New Roman" w:cs="Times New Roman" w:eastAsiaTheme="majorEastAsia"/>
                      <w:b w:val="0"/>
                      <w:bCs w:val="0"/>
                      <w:color w:val="auto"/>
                      <w:kern w:val="0"/>
                      <w:sz w:val="21"/>
                      <w:szCs w:val="21"/>
                      <w:highlight w:val="none"/>
                      <w:lang w:val="en-US" w:eastAsia="zh-CN"/>
                    </w:rPr>
                    <w:t>氨氮</w:t>
                  </w:r>
                </w:p>
              </w:tc>
              <w:tc>
                <w:tcPr>
                  <w:tcW w:w="1050" w:type="dxa"/>
                  <w:tcBorders>
                    <w:tl2br w:val="nil"/>
                    <w:tr2bl w:val="nil"/>
                  </w:tcBorders>
                  <w:shd w:val="clear" w:color="auto" w:fill="auto"/>
                  <w:vAlign w:val="center"/>
                </w:tcPr>
                <w:p w14:paraId="71CD6DA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cs="Times New Roman" w:eastAsiaTheme="minorEastAsia"/>
                      <w:color w:val="auto"/>
                      <w:kern w:val="2"/>
                      <w:sz w:val="21"/>
                      <w:szCs w:val="21"/>
                      <w:lang w:val="en-US" w:eastAsia="zh-CN" w:bidi="ar-SA"/>
                    </w:rPr>
                    <w:t>mg/L</w:t>
                  </w:r>
                </w:p>
              </w:tc>
              <w:tc>
                <w:tcPr>
                  <w:tcW w:w="977" w:type="dxa"/>
                  <w:tcBorders>
                    <w:tl2br w:val="nil"/>
                    <w:tr2bl w:val="nil"/>
                  </w:tcBorders>
                  <w:shd w:val="clear" w:color="auto" w:fill="auto"/>
                  <w:vAlign w:val="center"/>
                </w:tcPr>
                <w:p w14:paraId="1F08D196">
                  <w:pPr>
                    <w:keepNext w:val="0"/>
                    <w:keepLines w:val="0"/>
                    <w:pageBreakBefore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cs="Times New Roman" w:eastAsiaTheme="minorEastAsia"/>
                      <w:color w:val="auto"/>
                      <w:kern w:val="2"/>
                      <w:sz w:val="21"/>
                      <w:szCs w:val="21"/>
                      <w:lang w:val="en-US" w:eastAsia="zh-CN" w:bidi="ar-SA"/>
                    </w:rPr>
                    <w:t>0.122</w:t>
                  </w:r>
                </w:p>
              </w:tc>
              <w:tc>
                <w:tcPr>
                  <w:tcW w:w="977" w:type="dxa"/>
                  <w:tcBorders>
                    <w:tl2br w:val="nil"/>
                    <w:tr2bl w:val="nil"/>
                  </w:tcBorders>
                  <w:shd w:val="clear" w:color="auto" w:fill="auto"/>
                  <w:vAlign w:val="center"/>
                </w:tcPr>
                <w:p w14:paraId="751D97E5">
                  <w:pPr>
                    <w:keepNext w:val="0"/>
                    <w:keepLines w:val="0"/>
                    <w:pageBreakBefore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cs="Times New Roman" w:eastAsiaTheme="minorEastAsia"/>
                      <w:color w:val="auto"/>
                      <w:kern w:val="2"/>
                      <w:sz w:val="21"/>
                      <w:szCs w:val="21"/>
                      <w:lang w:val="en-US" w:eastAsia="zh-CN" w:bidi="ar-SA"/>
                    </w:rPr>
                    <w:t>0.118</w:t>
                  </w:r>
                </w:p>
              </w:tc>
              <w:tc>
                <w:tcPr>
                  <w:tcW w:w="977" w:type="dxa"/>
                  <w:tcBorders>
                    <w:tl2br w:val="nil"/>
                    <w:tr2bl w:val="nil"/>
                  </w:tcBorders>
                  <w:shd w:val="clear" w:color="auto" w:fill="auto"/>
                  <w:vAlign w:val="center"/>
                </w:tcPr>
                <w:p w14:paraId="090B47A8">
                  <w:pPr>
                    <w:keepNext w:val="0"/>
                    <w:keepLines w:val="0"/>
                    <w:pageBreakBefore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cs="Times New Roman" w:eastAsiaTheme="minorEastAsia"/>
                      <w:color w:val="auto"/>
                      <w:kern w:val="2"/>
                      <w:sz w:val="21"/>
                      <w:szCs w:val="21"/>
                      <w:lang w:val="en-US" w:eastAsia="zh-CN" w:bidi="ar-SA"/>
                    </w:rPr>
                    <w:t>0.156</w:t>
                  </w:r>
                </w:p>
              </w:tc>
              <w:tc>
                <w:tcPr>
                  <w:tcW w:w="977" w:type="dxa"/>
                  <w:tcBorders>
                    <w:tl2br w:val="nil"/>
                    <w:tr2bl w:val="nil"/>
                  </w:tcBorders>
                  <w:vAlign w:val="center"/>
                </w:tcPr>
                <w:p w14:paraId="310A2257">
                  <w:pPr>
                    <w:keepNext w:val="0"/>
                    <w:keepLines w:val="0"/>
                    <w:pageBreakBefore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cs="Times New Roman" w:eastAsiaTheme="majorEastAsia"/>
                      <w:color w:val="auto"/>
                      <w:sz w:val="21"/>
                      <w:szCs w:val="21"/>
                      <w:highlight w:val="none"/>
                      <w:lang w:val="en-US" w:eastAsia="zh-CN"/>
                    </w:rPr>
                  </w:pPr>
                  <w:r>
                    <w:rPr>
                      <w:rFonts w:hint="default" w:ascii="Times New Roman" w:hAnsi="Times New Roman" w:cs="Times New Roman" w:eastAsiaTheme="majorEastAsia"/>
                      <w:color w:val="auto"/>
                      <w:sz w:val="21"/>
                      <w:szCs w:val="21"/>
                      <w:highlight w:val="none"/>
                      <w:lang w:val="en-US" w:eastAsia="zh-CN"/>
                    </w:rPr>
                    <w:t>0.178</w:t>
                  </w:r>
                </w:p>
              </w:tc>
              <w:tc>
                <w:tcPr>
                  <w:tcW w:w="977" w:type="dxa"/>
                  <w:tcBorders>
                    <w:tl2br w:val="nil"/>
                    <w:tr2bl w:val="nil"/>
                  </w:tcBorders>
                  <w:shd w:val="clear" w:color="auto" w:fill="auto"/>
                  <w:vAlign w:val="center"/>
                </w:tcPr>
                <w:p w14:paraId="385236DA">
                  <w:pPr>
                    <w:keepNext w:val="0"/>
                    <w:keepLines w:val="0"/>
                    <w:pageBreakBefore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cs="Times New Roman" w:eastAsiaTheme="majorEastAsia"/>
                      <w:color w:val="auto"/>
                      <w:sz w:val="21"/>
                      <w:szCs w:val="21"/>
                      <w:highlight w:val="none"/>
                      <w:lang w:val="en-US" w:eastAsia="zh-CN"/>
                    </w:rPr>
                  </w:pPr>
                  <w:r>
                    <w:rPr>
                      <w:rFonts w:hint="default" w:ascii="Times New Roman" w:hAnsi="Times New Roman" w:cs="Times New Roman" w:eastAsiaTheme="majorEastAsia"/>
                      <w:color w:val="auto"/>
                      <w:sz w:val="21"/>
                      <w:szCs w:val="21"/>
                      <w:highlight w:val="none"/>
                      <w:lang w:val="en-US" w:eastAsia="zh-CN"/>
                    </w:rPr>
                    <w:t>0.135</w:t>
                  </w:r>
                </w:p>
              </w:tc>
              <w:tc>
                <w:tcPr>
                  <w:tcW w:w="978" w:type="dxa"/>
                  <w:tcBorders>
                    <w:tl2br w:val="nil"/>
                    <w:tr2bl w:val="nil"/>
                  </w:tcBorders>
                  <w:shd w:val="clear" w:color="auto" w:fill="auto"/>
                  <w:vAlign w:val="center"/>
                </w:tcPr>
                <w:p w14:paraId="300F048F">
                  <w:pPr>
                    <w:keepNext w:val="0"/>
                    <w:keepLines w:val="0"/>
                    <w:pageBreakBefore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cs="Times New Roman" w:eastAsiaTheme="majorEastAsia"/>
                      <w:color w:val="auto"/>
                      <w:sz w:val="21"/>
                      <w:szCs w:val="21"/>
                      <w:highlight w:val="none"/>
                      <w:lang w:val="en-US" w:eastAsia="zh-CN"/>
                    </w:rPr>
                  </w:pPr>
                  <w:r>
                    <w:rPr>
                      <w:rFonts w:hint="default" w:ascii="Times New Roman" w:hAnsi="Times New Roman" w:cs="Times New Roman" w:eastAsiaTheme="majorEastAsia"/>
                      <w:color w:val="auto"/>
                      <w:sz w:val="21"/>
                      <w:szCs w:val="21"/>
                      <w:highlight w:val="none"/>
                      <w:lang w:val="en-US" w:eastAsia="zh-CN"/>
                    </w:rPr>
                    <w:t>0.152</w:t>
                  </w:r>
                </w:p>
              </w:tc>
            </w:tr>
            <w:tr w14:paraId="542F93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55" w:hRule="atLeast"/>
              </w:trPr>
              <w:tc>
                <w:tcPr>
                  <w:tcW w:w="1456" w:type="dxa"/>
                  <w:tcBorders>
                    <w:tl2br w:val="nil"/>
                    <w:tr2bl w:val="nil"/>
                  </w:tcBorders>
                  <w:shd w:val="clear" w:color="auto" w:fill="auto"/>
                  <w:vAlign w:val="center"/>
                </w:tcPr>
                <w:p w14:paraId="2C3F2AEE">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cs="Times New Roman" w:eastAsiaTheme="majorEastAsia"/>
                      <w:b w:val="0"/>
                      <w:bCs w:val="0"/>
                      <w:color w:val="auto"/>
                      <w:kern w:val="0"/>
                      <w:sz w:val="21"/>
                      <w:szCs w:val="21"/>
                      <w:highlight w:val="none"/>
                      <w:lang w:val="en-US" w:eastAsia="zh-CN" w:bidi="ar-SA"/>
                    </w:rPr>
                  </w:pPr>
                  <w:r>
                    <w:rPr>
                      <w:rFonts w:hint="default" w:ascii="Times New Roman" w:hAnsi="Times New Roman" w:cs="Times New Roman" w:eastAsiaTheme="majorEastAsia"/>
                      <w:b w:val="0"/>
                      <w:bCs w:val="0"/>
                      <w:color w:val="auto"/>
                      <w:kern w:val="0"/>
                      <w:sz w:val="21"/>
                      <w:szCs w:val="21"/>
                      <w:highlight w:val="none"/>
                      <w:lang w:val="en-US" w:eastAsia="zh-CN"/>
                    </w:rPr>
                    <w:t>石油类</w:t>
                  </w:r>
                </w:p>
              </w:tc>
              <w:tc>
                <w:tcPr>
                  <w:tcW w:w="1050" w:type="dxa"/>
                  <w:tcBorders>
                    <w:tl2br w:val="nil"/>
                    <w:tr2bl w:val="nil"/>
                  </w:tcBorders>
                  <w:shd w:val="clear" w:color="auto" w:fill="auto"/>
                  <w:vAlign w:val="center"/>
                </w:tcPr>
                <w:p w14:paraId="48C079F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themeColor="text1"/>
                      <w:kern w:val="2"/>
                      <w:sz w:val="21"/>
                      <w:szCs w:val="21"/>
                      <w:lang w:val="en-US" w:eastAsia="zh-CN" w:bidi="ar-SA"/>
                    </w:rPr>
                  </w:pPr>
                  <w:r>
                    <w:rPr>
                      <w:rFonts w:hint="default" w:ascii="Times New Roman" w:hAnsi="Times New Roman" w:cs="Times New Roman" w:eastAsiaTheme="minorEastAsia"/>
                      <w:color w:val="000000" w:themeColor="text1"/>
                      <w:kern w:val="2"/>
                      <w:sz w:val="21"/>
                      <w:szCs w:val="21"/>
                      <w:lang w:val="en-US" w:eastAsia="zh-CN" w:bidi="ar-SA"/>
                    </w:rPr>
                    <w:t>mg/L</w:t>
                  </w:r>
                </w:p>
              </w:tc>
              <w:tc>
                <w:tcPr>
                  <w:tcW w:w="977" w:type="dxa"/>
                  <w:tcBorders>
                    <w:tl2br w:val="nil"/>
                    <w:tr2bl w:val="nil"/>
                  </w:tcBorders>
                  <w:shd w:val="clear" w:color="auto" w:fill="auto"/>
                  <w:vAlign w:val="center"/>
                </w:tcPr>
                <w:p w14:paraId="316867CA">
                  <w:pPr>
                    <w:keepNext w:val="0"/>
                    <w:keepLines w:val="0"/>
                    <w:pageBreakBefore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cs="Times New Roman" w:eastAsiaTheme="minorEastAsia"/>
                      <w:color w:val="000000" w:themeColor="text1"/>
                      <w:kern w:val="2"/>
                      <w:sz w:val="21"/>
                      <w:szCs w:val="21"/>
                      <w:lang w:val="en-US" w:eastAsia="zh-CN" w:bidi="ar-SA"/>
                    </w:rPr>
                  </w:pPr>
                  <w:r>
                    <w:rPr>
                      <w:rFonts w:hint="default" w:ascii="Times New Roman" w:hAnsi="Times New Roman" w:eastAsia="宋体" w:cs="Times New Roman"/>
                      <w:b w:val="0"/>
                      <w:bCs w:val="0"/>
                      <w:snapToGrid/>
                      <w:color w:val="auto"/>
                      <w:kern w:val="2"/>
                      <w:sz w:val="21"/>
                      <w:szCs w:val="21"/>
                      <w:vertAlign w:val="baseline"/>
                      <w:lang w:val="en-US" w:eastAsia="zh-CN" w:bidi="ar-SA"/>
                    </w:rPr>
                    <w:t>ND</w:t>
                  </w:r>
                </w:p>
              </w:tc>
              <w:tc>
                <w:tcPr>
                  <w:tcW w:w="977" w:type="dxa"/>
                  <w:tcBorders>
                    <w:tl2br w:val="nil"/>
                    <w:tr2bl w:val="nil"/>
                  </w:tcBorders>
                  <w:shd w:val="clear" w:color="auto" w:fill="auto"/>
                  <w:vAlign w:val="center"/>
                </w:tcPr>
                <w:p w14:paraId="02E88E1C">
                  <w:pPr>
                    <w:keepNext w:val="0"/>
                    <w:keepLines w:val="0"/>
                    <w:pageBreakBefore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cs="Times New Roman" w:eastAsiaTheme="minorEastAsia"/>
                      <w:color w:val="000000" w:themeColor="text1"/>
                      <w:kern w:val="2"/>
                      <w:sz w:val="21"/>
                      <w:szCs w:val="21"/>
                      <w:lang w:val="en-US" w:eastAsia="zh-CN" w:bidi="ar-SA"/>
                    </w:rPr>
                  </w:pPr>
                  <w:r>
                    <w:rPr>
                      <w:rFonts w:hint="default" w:ascii="Times New Roman" w:hAnsi="Times New Roman" w:eastAsia="宋体" w:cs="Times New Roman"/>
                      <w:b w:val="0"/>
                      <w:bCs w:val="0"/>
                      <w:snapToGrid/>
                      <w:color w:val="auto"/>
                      <w:kern w:val="2"/>
                      <w:sz w:val="21"/>
                      <w:szCs w:val="21"/>
                      <w:vertAlign w:val="baseline"/>
                      <w:lang w:val="en-US" w:eastAsia="zh-CN" w:bidi="ar-SA"/>
                    </w:rPr>
                    <w:t>ND</w:t>
                  </w:r>
                </w:p>
              </w:tc>
              <w:tc>
                <w:tcPr>
                  <w:tcW w:w="977" w:type="dxa"/>
                  <w:tcBorders>
                    <w:tl2br w:val="nil"/>
                    <w:tr2bl w:val="nil"/>
                  </w:tcBorders>
                  <w:shd w:val="clear" w:color="auto" w:fill="auto"/>
                  <w:vAlign w:val="center"/>
                </w:tcPr>
                <w:p w14:paraId="3AD95ED9">
                  <w:pPr>
                    <w:keepNext w:val="0"/>
                    <w:keepLines w:val="0"/>
                    <w:pageBreakBefore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cs="Times New Roman" w:eastAsiaTheme="minorEastAsia"/>
                      <w:color w:val="000000" w:themeColor="text1"/>
                      <w:kern w:val="2"/>
                      <w:sz w:val="21"/>
                      <w:szCs w:val="21"/>
                      <w:lang w:val="en-US" w:eastAsia="zh-CN" w:bidi="ar-SA"/>
                    </w:rPr>
                  </w:pPr>
                  <w:r>
                    <w:rPr>
                      <w:rFonts w:hint="default" w:ascii="Times New Roman" w:hAnsi="Times New Roman" w:eastAsia="宋体" w:cs="Times New Roman"/>
                      <w:b w:val="0"/>
                      <w:bCs w:val="0"/>
                      <w:snapToGrid/>
                      <w:color w:val="auto"/>
                      <w:kern w:val="2"/>
                      <w:sz w:val="21"/>
                      <w:szCs w:val="21"/>
                      <w:vertAlign w:val="baseline"/>
                      <w:lang w:val="en-US" w:eastAsia="zh-CN" w:bidi="ar-SA"/>
                    </w:rPr>
                    <w:t>ND</w:t>
                  </w:r>
                </w:p>
              </w:tc>
              <w:tc>
                <w:tcPr>
                  <w:tcW w:w="977" w:type="dxa"/>
                  <w:tcBorders>
                    <w:tl2br w:val="nil"/>
                    <w:tr2bl w:val="nil"/>
                  </w:tcBorders>
                  <w:vAlign w:val="center"/>
                </w:tcPr>
                <w:p w14:paraId="74BE6D3D">
                  <w:pPr>
                    <w:keepNext w:val="0"/>
                    <w:keepLines w:val="0"/>
                    <w:pageBreakBefore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cs="Times New Roman" w:eastAsiaTheme="majorEastAsia"/>
                      <w:color w:val="auto"/>
                      <w:sz w:val="21"/>
                      <w:szCs w:val="21"/>
                      <w:highlight w:val="none"/>
                      <w:lang w:val="en-US" w:eastAsia="zh-CN"/>
                    </w:rPr>
                  </w:pPr>
                  <w:r>
                    <w:rPr>
                      <w:rFonts w:hint="default" w:ascii="Times New Roman" w:hAnsi="Times New Roman" w:eastAsia="宋体" w:cs="Times New Roman"/>
                      <w:b w:val="0"/>
                      <w:bCs w:val="0"/>
                      <w:snapToGrid/>
                      <w:color w:val="auto"/>
                      <w:kern w:val="2"/>
                      <w:sz w:val="21"/>
                      <w:szCs w:val="21"/>
                      <w:vertAlign w:val="baseline"/>
                      <w:lang w:val="en-US" w:eastAsia="zh-CN" w:bidi="ar-SA"/>
                    </w:rPr>
                    <w:t>ND</w:t>
                  </w:r>
                </w:p>
              </w:tc>
              <w:tc>
                <w:tcPr>
                  <w:tcW w:w="977" w:type="dxa"/>
                  <w:tcBorders>
                    <w:tl2br w:val="nil"/>
                    <w:tr2bl w:val="nil"/>
                  </w:tcBorders>
                  <w:shd w:val="clear" w:color="auto" w:fill="auto"/>
                  <w:vAlign w:val="center"/>
                </w:tcPr>
                <w:p w14:paraId="40785C81">
                  <w:pPr>
                    <w:keepNext w:val="0"/>
                    <w:keepLines w:val="0"/>
                    <w:pageBreakBefore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cs="Times New Roman" w:eastAsiaTheme="majorEastAsia"/>
                      <w:color w:val="auto"/>
                      <w:sz w:val="21"/>
                      <w:szCs w:val="21"/>
                      <w:highlight w:val="none"/>
                      <w:lang w:val="en-US" w:eastAsia="zh-CN"/>
                    </w:rPr>
                  </w:pPr>
                  <w:r>
                    <w:rPr>
                      <w:rFonts w:hint="default" w:ascii="Times New Roman" w:hAnsi="Times New Roman" w:eastAsia="宋体" w:cs="Times New Roman"/>
                      <w:b w:val="0"/>
                      <w:bCs w:val="0"/>
                      <w:snapToGrid/>
                      <w:color w:val="auto"/>
                      <w:kern w:val="2"/>
                      <w:sz w:val="21"/>
                      <w:szCs w:val="21"/>
                      <w:vertAlign w:val="baseline"/>
                      <w:lang w:val="en-US" w:eastAsia="zh-CN" w:bidi="ar-SA"/>
                    </w:rPr>
                    <w:t>ND</w:t>
                  </w:r>
                </w:p>
              </w:tc>
              <w:tc>
                <w:tcPr>
                  <w:tcW w:w="978" w:type="dxa"/>
                  <w:tcBorders>
                    <w:tl2br w:val="nil"/>
                    <w:tr2bl w:val="nil"/>
                  </w:tcBorders>
                  <w:shd w:val="clear" w:color="auto" w:fill="auto"/>
                  <w:vAlign w:val="center"/>
                </w:tcPr>
                <w:p w14:paraId="15401022">
                  <w:pPr>
                    <w:keepNext w:val="0"/>
                    <w:keepLines w:val="0"/>
                    <w:pageBreakBefore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cs="Times New Roman" w:eastAsiaTheme="majorEastAsia"/>
                      <w:color w:val="auto"/>
                      <w:sz w:val="21"/>
                      <w:szCs w:val="21"/>
                      <w:highlight w:val="none"/>
                      <w:lang w:val="en-US" w:eastAsia="zh-CN"/>
                    </w:rPr>
                  </w:pPr>
                  <w:r>
                    <w:rPr>
                      <w:rFonts w:hint="default" w:ascii="Times New Roman" w:hAnsi="Times New Roman" w:eastAsia="宋体" w:cs="Times New Roman"/>
                      <w:b w:val="0"/>
                      <w:bCs w:val="0"/>
                      <w:snapToGrid/>
                      <w:color w:val="auto"/>
                      <w:kern w:val="2"/>
                      <w:sz w:val="21"/>
                      <w:szCs w:val="21"/>
                      <w:vertAlign w:val="baseline"/>
                      <w:lang w:val="en-US" w:eastAsia="zh-CN" w:bidi="ar-SA"/>
                    </w:rPr>
                    <w:t>ND</w:t>
                  </w:r>
                </w:p>
              </w:tc>
            </w:tr>
            <w:tr w14:paraId="1DE2C6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55" w:hRule="atLeast"/>
              </w:trPr>
              <w:tc>
                <w:tcPr>
                  <w:tcW w:w="1456" w:type="dxa"/>
                  <w:tcBorders>
                    <w:tl2br w:val="nil"/>
                    <w:tr2bl w:val="nil"/>
                  </w:tcBorders>
                  <w:shd w:val="clear" w:color="auto" w:fill="auto"/>
                  <w:vAlign w:val="center"/>
                </w:tcPr>
                <w:p w14:paraId="5524153D">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cs="Times New Roman" w:eastAsiaTheme="majorEastAsia"/>
                      <w:b w:val="0"/>
                      <w:bCs w:val="0"/>
                      <w:color w:val="auto"/>
                      <w:kern w:val="0"/>
                      <w:sz w:val="21"/>
                      <w:szCs w:val="21"/>
                      <w:highlight w:val="none"/>
                      <w:lang w:val="en-US" w:eastAsia="zh-CN"/>
                    </w:rPr>
                  </w:pPr>
                  <w:r>
                    <w:rPr>
                      <w:rFonts w:hint="default" w:ascii="Times New Roman" w:hAnsi="Times New Roman" w:cs="Times New Roman" w:eastAsiaTheme="majorEastAsia"/>
                      <w:b w:val="0"/>
                      <w:bCs w:val="0"/>
                      <w:color w:val="auto"/>
                      <w:kern w:val="0"/>
                      <w:sz w:val="21"/>
                      <w:szCs w:val="21"/>
                      <w:highlight w:val="none"/>
                      <w:lang w:val="en-US" w:eastAsia="zh-CN"/>
                    </w:rPr>
                    <w:t>高锰酸盐指数</w:t>
                  </w:r>
                </w:p>
                <w:p w14:paraId="37DF823C">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cs="Times New Roman" w:eastAsiaTheme="majorEastAsia"/>
                      <w:b w:val="0"/>
                      <w:bCs w:val="0"/>
                      <w:color w:val="auto"/>
                      <w:kern w:val="0"/>
                      <w:sz w:val="21"/>
                      <w:szCs w:val="21"/>
                      <w:highlight w:val="none"/>
                      <w:lang w:val="en-US" w:eastAsia="zh-CN" w:bidi="ar-SA"/>
                    </w:rPr>
                  </w:pPr>
                  <w:r>
                    <w:rPr>
                      <w:rFonts w:hint="default" w:ascii="Times New Roman" w:hAnsi="Times New Roman" w:cs="Times New Roman" w:eastAsiaTheme="majorEastAsia"/>
                      <w:b w:val="0"/>
                      <w:bCs w:val="0"/>
                      <w:color w:val="auto"/>
                      <w:kern w:val="0"/>
                      <w:sz w:val="21"/>
                      <w:szCs w:val="21"/>
                      <w:highlight w:val="none"/>
                      <w:lang w:val="en-US" w:eastAsia="zh-CN"/>
                    </w:rPr>
                    <w:t>（以O</w:t>
                  </w:r>
                  <w:r>
                    <w:rPr>
                      <w:rFonts w:hint="default" w:ascii="Times New Roman" w:hAnsi="Times New Roman" w:cs="Times New Roman" w:eastAsiaTheme="majorEastAsia"/>
                      <w:b w:val="0"/>
                      <w:bCs w:val="0"/>
                      <w:color w:val="auto"/>
                      <w:kern w:val="0"/>
                      <w:sz w:val="21"/>
                      <w:szCs w:val="21"/>
                      <w:highlight w:val="none"/>
                      <w:vertAlign w:val="subscript"/>
                      <w:lang w:val="en-US" w:eastAsia="zh-CN"/>
                    </w:rPr>
                    <w:t>2</w:t>
                  </w:r>
                  <w:r>
                    <w:rPr>
                      <w:rFonts w:hint="default" w:ascii="Times New Roman" w:hAnsi="Times New Roman" w:cs="Times New Roman" w:eastAsiaTheme="majorEastAsia"/>
                      <w:b w:val="0"/>
                      <w:bCs w:val="0"/>
                      <w:color w:val="auto"/>
                      <w:kern w:val="0"/>
                      <w:sz w:val="21"/>
                      <w:szCs w:val="21"/>
                      <w:highlight w:val="none"/>
                      <w:lang w:val="en-US" w:eastAsia="zh-CN"/>
                    </w:rPr>
                    <w:t>计）</w:t>
                  </w:r>
                </w:p>
              </w:tc>
              <w:tc>
                <w:tcPr>
                  <w:tcW w:w="1050" w:type="dxa"/>
                  <w:tcBorders>
                    <w:tl2br w:val="nil"/>
                    <w:tr2bl w:val="nil"/>
                  </w:tcBorders>
                  <w:shd w:val="clear" w:color="auto" w:fill="auto"/>
                  <w:vAlign w:val="center"/>
                </w:tcPr>
                <w:p w14:paraId="116D4A0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ajorEastAsia"/>
                      <w:b/>
                      <w:bCs/>
                      <w:color w:val="auto"/>
                      <w:kern w:val="0"/>
                      <w:sz w:val="21"/>
                      <w:szCs w:val="21"/>
                      <w:highlight w:val="none"/>
                      <w:lang w:val="en-US" w:eastAsia="zh-CN" w:bidi="ar-SA"/>
                    </w:rPr>
                  </w:pPr>
                  <w:r>
                    <w:rPr>
                      <w:rFonts w:hint="default" w:ascii="Times New Roman" w:hAnsi="Times New Roman" w:cs="Times New Roman" w:eastAsiaTheme="minorEastAsia"/>
                      <w:color w:val="000000" w:themeColor="text1"/>
                      <w:kern w:val="2"/>
                      <w:sz w:val="21"/>
                      <w:szCs w:val="21"/>
                      <w:lang w:val="en-US" w:eastAsia="zh-CN" w:bidi="ar-SA"/>
                    </w:rPr>
                    <w:t>mg/L</w:t>
                  </w:r>
                </w:p>
              </w:tc>
              <w:tc>
                <w:tcPr>
                  <w:tcW w:w="977" w:type="dxa"/>
                  <w:tcBorders>
                    <w:tl2br w:val="nil"/>
                    <w:tr2bl w:val="nil"/>
                  </w:tcBorders>
                  <w:shd w:val="clear" w:color="auto" w:fill="auto"/>
                  <w:vAlign w:val="center"/>
                </w:tcPr>
                <w:p w14:paraId="025C6B0E">
                  <w:pPr>
                    <w:keepNext w:val="0"/>
                    <w:keepLines w:val="0"/>
                    <w:pageBreakBefore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cs="Times New Roman" w:eastAsiaTheme="minorEastAsia"/>
                      <w:color w:val="000000" w:themeColor="text1"/>
                      <w:kern w:val="2"/>
                      <w:sz w:val="21"/>
                      <w:szCs w:val="21"/>
                      <w:lang w:val="en-US" w:eastAsia="zh-CN" w:bidi="ar-SA"/>
                    </w:rPr>
                  </w:pPr>
                  <w:r>
                    <w:rPr>
                      <w:rFonts w:hint="default" w:ascii="Times New Roman" w:hAnsi="Times New Roman" w:cs="Times New Roman" w:eastAsiaTheme="minorEastAsia"/>
                      <w:color w:val="000000" w:themeColor="text1"/>
                      <w:kern w:val="2"/>
                      <w:sz w:val="21"/>
                      <w:szCs w:val="21"/>
                      <w:lang w:val="en-US" w:eastAsia="zh-CN" w:bidi="ar-SA"/>
                    </w:rPr>
                    <w:t>1.0</w:t>
                  </w:r>
                </w:p>
              </w:tc>
              <w:tc>
                <w:tcPr>
                  <w:tcW w:w="977" w:type="dxa"/>
                  <w:tcBorders>
                    <w:tl2br w:val="nil"/>
                    <w:tr2bl w:val="nil"/>
                  </w:tcBorders>
                  <w:shd w:val="clear" w:color="auto" w:fill="auto"/>
                  <w:vAlign w:val="center"/>
                </w:tcPr>
                <w:p w14:paraId="4D1E93DE">
                  <w:pPr>
                    <w:keepNext w:val="0"/>
                    <w:keepLines w:val="0"/>
                    <w:pageBreakBefore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cs="Times New Roman" w:eastAsiaTheme="minorEastAsia"/>
                      <w:color w:val="000000" w:themeColor="text1"/>
                      <w:kern w:val="2"/>
                      <w:sz w:val="21"/>
                      <w:szCs w:val="21"/>
                      <w:lang w:val="en-US" w:eastAsia="zh-CN" w:bidi="ar-SA"/>
                    </w:rPr>
                  </w:pPr>
                  <w:r>
                    <w:rPr>
                      <w:rFonts w:hint="default" w:ascii="Times New Roman" w:hAnsi="Times New Roman" w:cs="Times New Roman" w:eastAsiaTheme="minorEastAsia"/>
                      <w:color w:val="000000" w:themeColor="text1"/>
                      <w:kern w:val="2"/>
                      <w:sz w:val="21"/>
                      <w:szCs w:val="21"/>
                      <w:lang w:val="en-US" w:eastAsia="zh-CN" w:bidi="ar-SA"/>
                    </w:rPr>
                    <w:t>1.0</w:t>
                  </w:r>
                </w:p>
              </w:tc>
              <w:tc>
                <w:tcPr>
                  <w:tcW w:w="977" w:type="dxa"/>
                  <w:tcBorders>
                    <w:tl2br w:val="nil"/>
                    <w:tr2bl w:val="nil"/>
                  </w:tcBorders>
                  <w:shd w:val="clear" w:color="auto" w:fill="auto"/>
                  <w:vAlign w:val="center"/>
                </w:tcPr>
                <w:p w14:paraId="69DEF102">
                  <w:pPr>
                    <w:keepNext w:val="0"/>
                    <w:keepLines w:val="0"/>
                    <w:pageBreakBefore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0.9</w:t>
                  </w:r>
                </w:p>
              </w:tc>
              <w:tc>
                <w:tcPr>
                  <w:tcW w:w="977" w:type="dxa"/>
                  <w:tcBorders>
                    <w:tl2br w:val="nil"/>
                    <w:tr2bl w:val="nil"/>
                  </w:tcBorders>
                  <w:vAlign w:val="center"/>
                </w:tcPr>
                <w:p w14:paraId="25B27104">
                  <w:pPr>
                    <w:keepNext w:val="0"/>
                    <w:keepLines w:val="0"/>
                    <w:pageBreakBefore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cs="Times New Roman" w:eastAsiaTheme="majorEastAsia"/>
                      <w:color w:val="auto"/>
                      <w:sz w:val="21"/>
                      <w:szCs w:val="21"/>
                      <w:highlight w:val="none"/>
                      <w:lang w:val="en-US" w:eastAsia="zh-CN"/>
                    </w:rPr>
                  </w:pPr>
                  <w:r>
                    <w:rPr>
                      <w:rFonts w:hint="default" w:ascii="Times New Roman" w:hAnsi="Times New Roman" w:cs="Times New Roman" w:eastAsiaTheme="majorEastAsia"/>
                      <w:color w:val="auto"/>
                      <w:sz w:val="21"/>
                      <w:szCs w:val="21"/>
                      <w:highlight w:val="none"/>
                      <w:lang w:val="en-US" w:eastAsia="zh-CN"/>
                    </w:rPr>
                    <w:t>0.8</w:t>
                  </w:r>
                </w:p>
              </w:tc>
              <w:tc>
                <w:tcPr>
                  <w:tcW w:w="977" w:type="dxa"/>
                  <w:tcBorders>
                    <w:tl2br w:val="nil"/>
                    <w:tr2bl w:val="nil"/>
                  </w:tcBorders>
                  <w:shd w:val="clear" w:color="auto" w:fill="auto"/>
                  <w:vAlign w:val="center"/>
                </w:tcPr>
                <w:p w14:paraId="20C1FF4B">
                  <w:pPr>
                    <w:keepNext w:val="0"/>
                    <w:keepLines w:val="0"/>
                    <w:pageBreakBefore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cs="Times New Roman" w:eastAsiaTheme="majorEastAsia"/>
                      <w:color w:val="auto"/>
                      <w:sz w:val="21"/>
                      <w:szCs w:val="21"/>
                      <w:highlight w:val="none"/>
                      <w:lang w:val="en-US" w:eastAsia="zh-CN"/>
                    </w:rPr>
                  </w:pPr>
                  <w:r>
                    <w:rPr>
                      <w:rFonts w:hint="default" w:ascii="Times New Roman" w:hAnsi="Times New Roman" w:cs="Times New Roman" w:eastAsiaTheme="majorEastAsia"/>
                      <w:color w:val="auto"/>
                      <w:sz w:val="21"/>
                      <w:szCs w:val="21"/>
                      <w:highlight w:val="none"/>
                      <w:lang w:val="en-US" w:eastAsia="zh-CN"/>
                    </w:rPr>
                    <w:t>0.9</w:t>
                  </w:r>
                </w:p>
              </w:tc>
              <w:tc>
                <w:tcPr>
                  <w:tcW w:w="978" w:type="dxa"/>
                  <w:tcBorders>
                    <w:tl2br w:val="nil"/>
                    <w:tr2bl w:val="nil"/>
                  </w:tcBorders>
                  <w:shd w:val="clear" w:color="auto" w:fill="auto"/>
                  <w:vAlign w:val="center"/>
                </w:tcPr>
                <w:p w14:paraId="4160291C">
                  <w:pPr>
                    <w:keepNext w:val="0"/>
                    <w:keepLines w:val="0"/>
                    <w:pageBreakBefore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cs="Times New Roman" w:eastAsiaTheme="majorEastAsia"/>
                      <w:color w:val="auto"/>
                      <w:sz w:val="21"/>
                      <w:szCs w:val="21"/>
                      <w:highlight w:val="none"/>
                      <w:lang w:val="en-US" w:eastAsia="zh-CN"/>
                    </w:rPr>
                  </w:pPr>
                  <w:r>
                    <w:rPr>
                      <w:rFonts w:hint="default" w:ascii="Times New Roman" w:hAnsi="Times New Roman" w:cs="Times New Roman" w:eastAsiaTheme="majorEastAsia"/>
                      <w:color w:val="auto"/>
                      <w:sz w:val="21"/>
                      <w:szCs w:val="21"/>
                      <w:highlight w:val="none"/>
                      <w:lang w:val="en-US" w:eastAsia="zh-CN"/>
                    </w:rPr>
                    <w:t>1.0</w:t>
                  </w:r>
                </w:p>
              </w:tc>
            </w:tr>
          </w:tbl>
          <w:p w14:paraId="0E79C328">
            <w:pPr>
              <w:keepNext w:val="0"/>
              <w:keepLines w:val="0"/>
              <w:pageBreakBefore w:val="0"/>
              <w:widowControl w:val="0"/>
              <w:kinsoku/>
              <w:wordWrap/>
              <w:overflowPunct/>
              <w:topLinePunct w:val="0"/>
              <w:autoSpaceDE/>
              <w:autoSpaceDN/>
              <w:bidi w:val="0"/>
              <w:adjustRightInd/>
              <w:snapToGrid/>
              <w:spacing w:before="313" w:beforeLines="100" w:after="157" w:afterLines="50" w:line="300" w:lineRule="auto"/>
              <w:ind w:firstLine="720" w:firstLineChars="300"/>
              <w:textAlignment w:val="auto"/>
              <w:rPr>
                <w:bCs/>
                <w:color w:val="auto"/>
                <w:sz w:val="24"/>
              </w:rPr>
            </w:pPr>
            <w:r>
              <w:rPr>
                <w:rFonts w:hint="eastAsia"/>
                <w:bCs/>
                <w:color w:val="auto"/>
                <w:sz w:val="24"/>
              </w:rPr>
              <w:t>采用单因子指数法对水质现状进行评价，评价结果见表3-</w:t>
            </w:r>
            <w:r>
              <w:rPr>
                <w:rFonts w:hint="eastAsia"/>
                <w:bCs/>
                <w:color w:val="auto"/>
                <w:sz w:val="24"/>
                <w:lang w:val="en-US" w:eastAsia="zh-CN"/>
              </w:rPr>
              <w:t>5</w:t>
            </w:r>
            <w:r>
              <w:rPr>
                <w:rFonts w:hint="eastAsia"/>
                <w:bCs/>
                <w:color w:val="auto"/>
                <w:sz w:val="24"/>
              </w:rPr>
              <w:t>。</w:t>
            </w:r>
          </w:p>
          <w:p w14:paraId="70409E6F">
            <w:pPr>
              <w:jc w:val="center"/>
              <w:rPr>
                <w:b/>
                <w:bCs/>
                <w:color w:val="auto"/>
              </w:rPr>
            </w:pPr>
            <w:r>
              <w:rPr>
                <w:b/>
                <w:bCs/>
                <w:color w:val="auto"/>
              </w:rPr>
              <w:t>表3-</w:t>
            </w:r>
            <w:r>
              <w:rPr>
                <w:rFonts w:hint="eastAsia"/>
                <w:b/>
                <w:bCs/>
                <w:color w:val="auto"/>
                <w:lang w:val="en-US" w:eastAsia="zh-CN"/>
              </w:rPr>
              <w:t>5</w:t>
            </w:r>
            <w:r>
              <w:rPr>
                <w:b/>
                <w:bCs/>
                <w:color w:val="auto"/>
              </w:rPr>
              <w:t xml:space="preserve">  </w:t>
            </w:r>
            <w:r>
              <w:rPr>
                <w:rFonts w:hint="eastAsia"/>
                <w:b/>
                <w:color w:val="auto"/>
                <w:spacing w:val="-2"/>
              </w:rPr>
              <w:t>现状</w:t>
            </w:r>
            <w:r>
              <w:rPr>
                <w:b/>
                <w:color w:val="auto"/>
                <w:spacing w:val="-2"/>
              </w:rPr>
              <w:t>监测单因子指数</w:t>
            </w:r>
            <w:r>
              <w:rPr>
                <w:b/>
                <w:bCs/>
                <w:color w:val="auto"/>
              </w:rPr>
              <w:t>一览表</w:t>
            </w:r>
          </w:p>
          <w:tbl>
            <w:tblPr>
              <w:tblStyle w:val="2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
            <w:tblGrid>
              <w:gridCol w:w="1456"/>
              <w:gridCol w:w="1158"/>
              <w:gridCol w:w="1159"/>
              <w:gridCol w:w="1158"/>
              <w:gridCol w:w="1159"/>
              <w:gridCol w:w="1158"/>
              <w:gridCol w:w="1162"/>
            </w:tblGrid>
            <w:tr w14:paraId="7A66B9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55" w:hRule="atLeast"/>
              </w:trPr>
              <w:tc>
                <w:tcPr>
                  <w:tcW w:w="1456" w:type="dxa"/>
                  <w:vMerge w:val="restart"/>
                  <w:tcBorders>
                    <w:tl2br w:val="nil"/>
                    <w:tr2bl w:val="nil"/>
                  </w:tcBorders>
                  <w:shd w:val="clear" w:color="auto" w:fill="auto"/>
                  <w:vAlign w:val="center"/>
                </w:tcPr>
                <w:p w14:paraId="631FE82E">
                  <w:pPr>
                    <w:spacing w:line="240" w:lineRule="auto"/>
                    <w:jc w:val="center"/>
                    <w:rPr>
                      <w:rFonts w:hint="default" w:ascii="Times New Roman" w:hAnsi="Times New Roman" w:cs="Times New Roman" w:eastAsiaTheme="majorEastAsia"/>
                      <w:b/>
                      <w:bCs/>
                      <w:color w:val="auto"/>
                      <w:kern w:val="0"/>
                      <w:sz w:val="21"/>
                      <w:szCs w:val="21"/>
                      <w:highlight w:val="none"/>
                      <w:lang w:val="en-US" w:eastAsia="zh-CN" w:bidi="ar-SA"/>
                    </w:rPr>
                  </w:pPr>
                  <w:r>
                    <w:rPr>
                      <w:rFonts w:hint="default" w:ascii="Times New Roman" w:hAnsi="Times New Roman" w:cs="Times New Roman" w:eastAsiaTheme="majorEastAsia"/>
                      <w:b/>
                      <w:bCs/>
                      <w:color w:val="auto"/>
                      <w:kern w:val="0"/>
                      <w:sz w:val="21"/>
                      <w:szCs w:val="21"/>
                      <w:lang w:eastAsia="zh-CN"/>
                    </w:rPr>
                    <w:t>检测项目</w:t>
                  </w:r>
                </w:p>
              </w:tc>
              <w:tc>
                <w:tcPr>
                  <w:tcW w:w="6952" w:type="dxa"/>
                  <w:gridSpan w:val="6"/>
                  <w:tcBorders>
                    <w:tl2br w:val="nil"/>
                    <w:tr2bl w:val="nil"/>
                  </w:tcBorders>
                  <w:shd w:val="clear" w:color="auto" w:fill="auto"/>
                  <w:vAlign w:val="center"/>
                </w:tcPr>
                <w:p w14:paraId="070AEED4">
                  <w:pPr>
                    <w:keepNext w:val="0"/>
                    <w:keepLines w:val="0"/>
                    <w:pageBreakBefore w:val="0"/>
                    <w:kinsoku/>
                    <w:wordWrap/>
                    <w:overflowPunct/>
                    <w:topLinePunct w:val="0"/>
                    <w:autoSpaceDE/>
                    <w:autoSpaceDN/>
                    <w:bidi w:val="0"/>
                    <w:adjustRightInd/>
                    <w:snapToGrid/>
                    <w:spacing w:line="284" w:lineRule="exact"/>
                    <w:jc w:val="center"/>
                    <w:textAlignment w:val="auto"/>
                    <w:outlineLvl w:val="9"/>
                    <w:rPr>
                      <w:rFonts w:hint="default" w:ascii="Times New Roman" w:hAnsi="Times New Roman" w:cs="Times New Roman"/>
                      <w:b/>
                      <w:bCs/>
                      <w:kern w:val="2"/>
                      <w:sz w:val="21"/>
                      <w:szCs w:val="21"/>
                      <w:lang w:val="en-US" w:eastAsia="zh-CN" w:bidi="ar-SA"/>
                    </w:rPr>
                  </w:pPr>
                  <w:r>
                    <w:rPr>
                      <w:rFonts w:hint="default" w:ascii="Times New Roman" w:hAnsi="Times New Roman" w:cs="Times New Roman"/>
                      <w:b/>
                      <w:bCs/>
                      <w:kern w:val="2"/>
                      <w:sz w:val="21"/>
                      <w:szCs w:val="21"/>
                      <w:lang w:val="en-US" w:eastAsia="zh-CN" w:bidi="ar-SA"/>
                    </w:rPr>
                    <w:t>检测结果</w:t>
                  </w:r>
                </w:p>
              </w:tc>
            </w:tr>
            <w:tr w14:paraId="56FA53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55" w:hRule="atLeast"/>
              </w:trPr>
              <w:tc>
                <w:tcPr>
                  <w:tcW w:w="1456" w:type="dxa"/>
                  <w:vMerge w:val="continue"/>
                  <w:tcBorders>
                    <w:tl2br w:val="nil"/>
                    <w:tr2bl w:val="nil"/>
                  </w:tcBorders>
                  <w:shd w:val="clear" w:color="auto" w:fill="auto"/>
                  <w:vAlign w:val="center"/>
                </w:tcPr>
                <w:p w14:paraId="395C89E2">
                  <w:pPr>
                    <w:spacing w:line="240" w:lineRule="auto"/>
                    <w:jc w:val="center"/>
                    <w:rPr>
                      <w:rFonts w:hint="default" w:ascii="Times New Roman" w:hAnsi="Times New Roman" w:cs="Times New Roman" w:eastAsiaTheme="majorEastAsia"/>
                      <w:b/>
                      <w:bCs/>
                      <w:color w:val="auto"/>
                      <w:kern w:val="0"/>
                      <w:sz w:val="21"/>
                      <w:szCs w:val="21"/>
                      <w:lang w:eastAsia="zh-CN"/>
                    </w:rPr>
                  </w:pPr>
                </w:p>
              </w:tc>
              <w:tc>
                <w:tcPr>
                  <w:tcW w:w="2317" w:type="dxa"/>
                  <w:gridSpan w:val="2"/>
                  <w:tcBorders>
                    <w:tl2br w:val="nil"/>
                    <w:tr2bl w:val="nil"/>
                  </w:tcBorders>
                  <w:shd w:val="clear" w:color="auto" w:fill="auto"/>
                  <w:vAlign w:val="center"/>
                </w:tcPr>
                <w:p w14:paraId="4DFF5016">
                  <w:pPr>
                    <w:keepNext w:val="0"/>
                    <w:keepLines w:val="0"/>
                    <w:pageBreakBefore w:val="0"/>
                    <w:kinsoku/>
                    <w:wordWrap/>
                    <w:overflowPunct/>
                    <w:topLinePunct w:val="0"/>
                    <w:autoSpaceDE/>
                    <w:autoSpaceDN/>
                    <w:bidi w:val="0"/>
                    <w:adjustRightInd/>
                    <w:snapToGrid/>
                    <w:spacing w:line="284" w:lineRule="exact"/>
                    <w:jc w:val="center"/>
                    <w:textAlignment w:val="auto"/>
                    <w:outlineLvl w:val="9"/>
                    <w:rPr>
                      <w:rFonts w:hint="default" w:ascii="Times New Roman" w:hAnsi="Times New Roman" w:cs="Times New Roman"/>
                      <w:b/>
                      <w:bCs/>
                      <w:kern w:val="2"/>
                      <w:sz w:val="21"/>
                      <w:szCs w:val="21"/>
                      <w:lang w:val="en-US" w:eastAsia="zh-CN" w:bidi="ar-SA"/>
                    </w:rPr>
                  </w:pPr>
                  <w:r>
                    <w:rPr>
                      <w:rFonts w:hint="default" w:ascii="Times New Roman" w:hAnsi="Times New Roman" w:cs="Times New Roman"/>
                      <w:b/>
                      <w:bCs/>
                      <w:kern w:val="2"/>
                      <w:sz w:val="21"/>
                      <w:szCs w:val="21"/>
                      <w:lang w:val="en-US" w:eastAsia="zh-CN" w:bidi="ar-SA"/>
                    </w:rPr>
                    <w:t>04月23日</w:t>
                  </w:r>
                </w:p>
              </w:tc>
              <w:tc>
                <w:tcPr>
                  <w:tcW w:w="2317" w:type="dxa"/>
                  <w:gridSpan w:val="2"/>
                  <w:tcBorders>
                    <w:tl2br w:val="nil"/>
                    <w:tr2bl w:val="nil"/>
                  </w:tcBorders>
                  <w:shd w:val="clear" w:color="auto" w:fill="auto"/>
                  <w:vAlign w:val="center"/>
                </w:tcPr>
                <w:p w14:paraId="3F49A4C0">
                  <w:pPr>
                    <w:keepNext w:val="0"/>
                    <w:keepLines w:val="0"/>
                    <w:pageBreakBefore w:val="0"/>
                    <w:kinsoku/>
                    <w:wordWrap/>
                    <w:overflowPunct/>
                    <w:topLinePunct w:val="0"/>
                    <w:autoSpaceDE/>
                    <w:autoSpaceDN/>
                    <w:bidi w:val="0"/>
                    <w:adjustRightInd/>
                    <w:snapToGrid/>
                    <w:spacing w:line="284" w:lineRule="exact"/>
                    <w:jc w:val="center"/>
                    <w:textAlignment w:val="auto"/>
                    <w:outlineLvl w:val="9"/>
                    <w:rPr>
                      <w:rFonts w:hint="default" w:ascii="Times New Roman" w:hAnsi="Times New Roman" w:eastAsia="宋体" w:cs="Times New Roman"/>
                      <w:b/>
                      <w:bCs/>
                      <w:kern w:val="2"/>
                      <w:sz w:val="21"/>
                      <w:szCs w:val="21"/>
                      <w:lang w:val="en-US" w:eastAsia="zh-CN" w:bidi="ar-SA"/>
                    </w:rPr>
                  </w:pPr>
                  <w:r>
                    <w:rPr>
                      <w:rFonts w:hint="default" w:ascii="Times New Roman" w:hAnsi="Times New Roman" w:cs="Times New Roman"/>
                      <w:b/>
                      <w:bCs/>
                      <w:kern w:val="2"/>
                      <w:sz w:val="21"/>
                      <w:szCs w:val="21"/>
                      <w:lang w:val="en-US" w:eastAsia="zh-CN" w:bidi="ar-SA"/>
                    </w:rPr>
                    <w:t>04月24日</w:t>
                  </w:r>
                </w:p>
              </w:tc>
              <w:tc>
                <w:tcPr>
                  <w:tcW w:w="2318" w:type="dxa"/>
                  <w:gridSpan w:val="2"/>
                  <w:tcBorders>
                    <w:tl2br w:val="nil"/>
                    <w:tr2bl w:val="nil"/>
                  </w:tcBorders>
                  <w:shd w:val="clear" w:color="auto" w:fill="auto"/>
                  <w:vAlign w:val="center"/>
                </w:tcPr>
                <w:p w14:paraId="5FE2F06D">
                  <w:pPr>
                    <w:keepNext w:val="0"/>
                    <w:keepLines w:val="0"/>
                    <w:pageBreakBefore w:val="0"/>
                    <w:kinsoku/>
                    <w:wordWrap/>
                    <w:overflowPunct/>
                    <w:topLinePunct w:val="0"/>
                    <w:autoSpaceDE/>
                    <w:autoSpaceDN/>
                    <w:bidi w:val="0"/>
                    <w:adjustRightInd/>
                    <w:snapToGrid/>
                    <w:spacing w:line="284" w:lineRule="exact"/>
                    <w:jc w:val="center"/>
                    <w:textAlignment w:val="auto"/>
                    <w:outlineLvl w:val="9"/>
                    <w:rPr>
                      <w:rFonts w:hint="default" w:ascii="Times New Roman" w:hAnsi="Times New Roman" w:eastAsia="宋体" w:cs="Times New Roman"/>
                      <w:b/>
                      <w:bCs/>
                      <w:kern w:val="2"/>
                      <w:sz w:val="21"/>
                      <w:szCs w:val="21"/>
                      <w:lang w:val="en-US" w:eastAsia="zh-CN" w:bidi="ar-SA"/>
                    </w:rPr>
                  </w:pPr>
                  <w:r>
                    <w:rPr>
                      <w:rFonts w:hint="default" w:ascii="Times New Roman" w:hAnsi="Times New Roman" w:cs="Times New Roman"/>
                      <w:b/>
                      <w:bCs/>
                      <w:kern w:val="2"/>
                      <w:sz w:val="21"/>
                      <w:szCs w:val="21"/>
                      <w:lang w:val="en-US" w:eastAsia="zh-CN" w:bidi="ar-SA"/>
                    </w:rPr>
                    <w:t>04月25日</w:t>
                  </w:r>
                </w:p>
              </w:tc>
            </w:tr>
            <w:tr w14:paraId="099BC7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55" w:hRule="atLeast"/>
              </w:trPr>
              <w:tc>
                <w:tcPr>
                  <w:tcW w:w="1456" w:type="dxa"/>
                  <w:vMerge w:val="continue"/>
                  <w:tcBorders>
                    <w:tl2br w:val="nil"/>
                    <w:tr2bl w:val="nil"/>
                  </w:tcBorders>
                  <w:shd w:val="clear" w:color="auto" w:fill="auto"/>
                  <w:vAlign w:val="center"/>
                </w:tcPr>
                <w:p w14:paraId="313A2DA2">
                  <w:pPr>
                    <w:keepNext w:val="0"/>
                    <w:keepLines w:val="0"/>
                    <w:pageBreakBefore w:val="0"/>
                    <w:kinsoku/>
                    <w:wordWrap/>
                    <w:overflowPunct/>
                    <w:topLinePunct w:val="0"/>
                    <w:autoSpaceDE/>
                    <w:autoSpaceDN/>
                    <w:bidi w:val="0"/>
                    <w:adjustRightInd/>
                    <w:snapToGrid/>
                    <w:spacing w:line="284" w:lineRule="exact"/>
                    <w:jc w:val="center"/>
                    <w:textAlignment w:val="auto"/>
                    <w:outlineLvl w:val="9"/>
                    <w:rPr>
                      <w:rFonts w:hint="default" w:ascii="Times New Roman" w:hAnsi="Times New Roman" w:cs="Times New Roman"/>
                      <w:sz w:val="21"/>
                      <w:szCs w:val="21"/>
                    </w:rPr>
                  </w:pPr>
                </w:p>
              </w:tc>
              <w:tc>
                <w:tcPr>
                  <w:tcW w:w="1158" w:type="dxa"/>
                  <w:tcBorders>
                    <w:tl2br w:val="nil"/>
                    <w:tr2bl w:val="nil"/>
                  </w:tcBorders>
                  <w:shd w:val="clear" w:color="auto" w:fill="auto"/>
                  <w:vAlign w:val="center"/>
                </w:tcPr>
                <w:p w14:paraId="3C9C2219">
                  <w:pPr>
                    <w:keepNext w:val="0"/>
                    <w:keepLines w:val="0"/>
                    <w:pageBreakBefore w:val="0"/>
                    <w:kinsoku/>
                    <w:wordWrap/>
                    <w:overflowPunct/>
                    <w:topLinePunct w:val="0"/>
                    <w:autoSpaceDE/>
                    <w:autoSpaceDN/>
                    <w:bidi w:val="0"/>
                    <w:adjustRightInd/>
                    <w:snapToGrid/>
                    <w:spacing w:line="284" w:lineRule="exact"/>
                    <w:jc w:val="center"/>
                    <w:textAlignment w:val="auto"/>
                    <w:outlineLvl w:val="9"/>
                    <w:rPr>
                      <w:rFonts w:hint="default" w:ascii="Times New Roman" w:hAnsi="Times New Roman" w:eastAsia="宋体" w:cs="Times New Roman"/>
                      <w:b/>
                      <w:bCs/>
                      <w:color w:val="auto"/>
                      <w:sz w:val="21"/>
                      <w:szCs w:val="21"/>
                      <w:lang w:val="en-US" w:eastAsia="zh-CN"/>
                    </w:rPr>
                  </w:pPr>
                  <w:r>
                    <w:rPr>
                      <w:rFonts w:hint="eastAsia" w:cs="Times New Roman"/>
                      <w:b/>
                      <w:bCs/>
                      <w:color w:val="auto"/>
                      <w:sz w:val="21"/>
                      <w:szCs w:val="21"/>
                      <w:lang w:val="en-US" w:eastAsia="zh-CN"/>
                    </w:rPr>
                    <w:t>水体1</w:t>
                  </w:r>
                </w:p>
              </w:tc>
              <w:tc>
                <w:tcPr>
                  <w:tcW w:w="1158" w:type="dxa"/>
                  <w:tcBorders>
                    <w:tl2br w:val="nil"/>
                    <w:tr2bl w:val="nil"/>
                  </w:tcBorders>
                  <w:shd w:val="clear" w:color="auto" w:fill="auto"/>
                  <w:vAlign w:val="center"/>
                </w:tcPr>
                <w:p w14:paraId="5A30EB32">
                  <w:pPr>
                    <w:keepNext w:val="0"/>
                    <w:keepLines w:val="0"/>
                    <w:pageBreakBefore w:val="0"/>
                    <w:kinsoku/>
                    <w:wordWrap/>
                    <w:overflowPunct/>
                    <w:topLinePunct w:val="0"/>
                    <w:autoSpaceDE/>
                    <w:autoSpaceDN/>
                    <w:bidi w:val="0"/>
                    <w:adjustRightInd/>
                    <w:snapToGrid/>
                    <w:spacing w:line="284" w:lineRule="exact"/>
                    <w:jc w:val="center"/>
                    <w:textAlignment w:val="auto"/>
                    <w:outlineLvl w:val="9"/>
                    <w:rPr>
                      <w:rFonts w:hint="default" w:ascii="Times New Roman" w:hAnsi="Times New Roman" w:eastAsia="宋体" w:cs="Times New Roman"/>
                      <w:b/>
                      <w:bCs/>
                      <w:color w:val="auto"/>
                      <w:sz w:val="21"/>
                      <w:szCs w:val="21"/>
                      <w:lang w:val="en-US" w:eastAsia="zh-CN"/>
                    </w:rPr>
                  </w:pPr>
                  <w:r>
                    <w:rPr>
                      <w:rFonts w:hint="eastAsia" w:cs="Times New Roman"/>
                      <w:b/>
                      <w:bCs/>
                      <w:color w:val="auto"/>
                      <w:sz w:val="21"/>
                      <w:szCs w:val="21"/>
                      <w:lang w:val="en-US" w:eastAsia="zh-CN"/>
                    </w:rPr>
                    <w:t>水体2</w:t>
                  </w:r>
                </w:p>
              </w:tc>
              <w:tc>
                <w:tcPr>
                  <w:tcW w:w="1158" w:type="dxa"/>
                  <w:tcBorders>
                    <w:tl2br w:val="nil"/>
                    <w:tr2bl w:val="nil"/>
                  </w:tcBorders>
                  <w:shd w:val="clear" w:color="auto" w:fill="auto"/>
                  <w:vAlign w:val="center"/>
                </w:tcPr>
                <w:p w14:paraId="0F8D9DCF">
                  <w:pPr>
                    <w:keepNext w:val="0"/>
                    <w:keepLines w:val="0"/>
                    <w:pageBreakBefore w:val="0"/>
                    <w:kinsoku/>
                    <w:wordWrap/>
                    <w:overflowPunct/>
                    <w:topLinePunct w:val="0"/>
                    <w:autoSpaceDE/>
                    <w:autoSpaceDN/>
                    <w:bidi w:val="0"/>
                    <w:adjustRightInd/>
                    <w:snapToGrid/>
                    <w:spacing w:line="284" w:lineRule="exact"/>
                    <w:jc w:val="center"/>
                    <w:textAlignment w:val="auto"/>
                    <w:outlineLvl w:val="9"/>
                    <w:rPr>
                      <w:rFonts w:hint="default" w:ascii="Times New Roman" w:hAnsi="Times New Roman" w:cs="Times New Roman"/>
                      <w:b/>
                      <w:bCs/>
                      <w:color w:val="auto"/>
                      <w:sz w:val="21"/>
                      <w:szCs w:val="21"/>
                    </w:rPr>
                  </w:pPr>
                  <w:r>
                    <w:rPr>
                      <w:rFonts w:hint="eastAsia" w:cs="Times New Roman"/>
                      <w:b/>
                      <w:bCs/>
                      <w:color w:val="auto"/>
                      <w:sz w:val="21"/>
                      <w:szCs w:val="21"/>
                      <w:lang w:val="en-US" w:eastAsia="zh-CN"/>
                    </w:rPr>
                    <w:t>水体1</w:t>
                  </w:r>
                </w:p>
              </w:tc>
              <w:tc>
                <w:tcPr>
                  <w:tcW w:w="1158" w:type="dxa"/>
                  <w:tcBorders>
                    <w:tl2br w:val="nil"/>
                    <w:tr2bl w:val="nil"/>
                  </w:tcBorders>
                  <w:shd w:val="clear" w:color="auto" w:fill="auto"/>
                  <w:vAlign w:val="center"/>
                </w:tcPr>
                <w:p w14:paraId="26AFC42A">
                  <w:pPr>
                    <w:keepNext w:val="0"/>
                    <w:keepLines w:val="0"/>
                    <w:pageBreakBefore w:val="0"/>
                    <w:kinsoku/>
                    <w:wordWrap/>
                    <w:overflowPunct/>
                    <w:topLinePunct w:val="0"/>
                    <w:autoSpaceDE/>
                    <w:autoSpaceDN/>
                    <w:bidi w:val="0"/>
                    <w:adjustRightInd/>
                    <w:snapToGrid/>
                    <w:spacing w:line="284" w:lineRule="exact"/>
                    <w:jc w:val="center"/>
                    <w:textAlignment w:val="auto"/>
                    <w:outlineLvl w:val="9"/>
                    <w:rPr>
                      <w:rFonts w:hint="default" w:ascii="Times New Roman" w:hAnsi="Times New Roman" w:cs="Times New Roman"/>
                      <w:b/>
                      <w:bCs/>
                      <w:color w:val="auto"/>
                      <w:sz w:val="21"/>
                      <w:szCs w:val="21"/>
                    </w:rPr>
                  </w:pPr>
                  <w:r>
                    <w:rPr>
                      <w:rFonts w:hint="eastAsia" w:cs="Times New Roman"/>
                      <w:b/>
                      <w:bCs/>
                      <w:color w:val="auto"/>
                      <w:sz w:val="21"/>
                      <w:szCs w:val="21"/>
                      <w:lang w:val="en-US" w:eastAsia="zh-CN"/>
                    </w:rPr>
                    <w:t>水体2</w:t>
                  </w:r>
                </w:p>
              </w:tc>
              <w:tc>
                <w:tcPr>
                  <w:tcW w:w="1158" w:type="dxa"/>
                  <w:tcBorders>
                    <w:tl2br w:val="nil"/>
                    <w:tr2bl w:val="nil"/>
                  </w:tcBorders>
                  <w:shd w:val="clear" w:color="auto" w:fill="auto"/>
                  <w:vAlign w:val="center"/>
                </w:tcPr>
                <w:p w14:paraId="6BE82065">
                  <w:pPr>
                    <w:keepNext w:val="0"/>
                    <w:keepLines w:val="0"/>
                    <w:pageBreakBefore w:val="0"/>
                    <w:kinsoku/>
                    <w:wordWrap/>
                    <w:overflowPunct/>
                    <w:topLinePunct w:val="0"/>
                    <w:autoSpaceDE/>
                    <w:autoSpaceDN/>
                    <w:bidi w:val="0"/>
                    <w:adjustRightInd/>
                    <w:snapToGrid/>
                    <w:spacing w:line="284" w:lineRule="exact"/>
                    <w:jc w:val="center"/>
                    <w:textAlignment w:val="auto"/>
                    <w:outlineLvl w:val="9"/>
                    <w:rPr>
                      <w:rFonts w:hint="default" w:ascii="Times New Roman" w:hAnsi="Times New Roman" w:cs="Times New Roman"/>
                      <w:b/>
                      <w:bCs/>
                      <w:color w:val="auto"/>
                      <w:sz w:val="21"/>
                      <w:szCs w:val="21"/>
                    </w:rPr>
                  </w:pPr>
                  <w:r>
                    <w:rPr>
                      <w:rFonts w:hint="eastAsia" w:cs="Times New Roman"/>
                      <w:b/>
                      <w:bCs/>
                      <w:color w:val="auto"/>
                      <w:sz w:val="21"/>
                      <w:szCs w:val="21"/>
                      <w:lang w:val="en-US" w:eastAsia="zh-CN"/>
                    </w:rPr>
                    <w:t>水体1</w:t>
                  </w:r>
                </w:p>
              </w:tc>
              <w:tc>
                <w:tcPr>
                  <w:tcW w:w="1162" w:type="dxa"/>
                  <w:tcBorders>
                    <w:tl2br w:val="nil"/>
                    <w:tr2bl w:val="nil"/>
                  </w:tcBorders>
                  <w:shd w:val="clear" w:color="auto" w:fill="auto"/>
                  <w:vAlign w:val="center"/>
                </w:tcPr>
                <w:p w14:paraId="3F8E6568">
                  <w:pPr>
                    <w:keepNext w:val="0"/>
                    <w:keepLines w:val="0"/>
                    <w:pageBreakBefore w:val="0"/>
                    <w:kinsoku/>
                    <w:wordWrap/>
                    <w:overflowPunct/>
                    <w:topLinePunct w:val="0"/>
                    <w:autoSpaceDE/>
                    <w:autoSpaceDN/>
                    <w:bidi w:val="0"/>
                    <w:adjustRightInd/>
                    <w:snapToGrid/>
                    <w:spacing w:line="284" w:lineRule="exact"/>
                    <w:jc w:val="center"/>
                    <w:textAlignment w:val="auto"/>
                    <w:outlineLvl w:val="9"/>
                    <w:rPr>
                      <w:rFonts w:hint="default" w:ascii="Times New Roman" w:hAnsi="Times New Roman" w:cs="Times New Roman"/>
                      <w:b/>
                      <w:bCs/>
                      <w:color w:val="auto"/>
                      <w:sz w:val="21"/>
                      <w:szCs w:val="21"/>
                    </w:rPr>
                  </w:pPr>
                  <w:r>
                    <w:rPr>
                      <w:rFonts w:hint="eastAsia" w:cs="Times New Roman"/>
                      <w:b/>
                      <w:bCs/>
                      <w:color w:val="auto"/>
                      <w:sz w:val="21"/>
                      <w:szCs w:val="21"/>
                      <w:lang w:val="en-US" w:eastAsia="zh-CN"/>
                    </w:rPr>
                    <w:t>水体2</w:t>
                  </w:r>
                </w:p>
              </w:tc>
            </w:tr>
            <w:tr w14:paraId="0D1E7A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55" w:hRule="atLeast"/>
              </w:trPr>
              <w:tc>
                <w:tcPr>
                  <w:tcW w:w="1456" w:type="dxa"/>
                  <w:tcBorders>
                    <w:tl2br w:val="nil"/>
                    <w:tr2bl w:val="nil"/>
                  </w:tcBorders>
                  <w:shd w:val="clear" w:color="auto" w:fill="auto"/>
                  <w:vAlign w:val="center"/>
                </w:tcPr>
                <w:p w14:paraId="7681F1C9">
                  <w:pPr>
                    <w:keepNext w:val="0"/>
                    <w:keepLines w:val="0"/>
                    <w:pageBreakBefore w:val="0"/>
                    <w:widowControl/>
                    <w:kinsoku/>
                    <w:wordWrap/>
                    <w:overflowPunct/>
                    <w:topLinePunct w:val="0"/>
                    <w:autoSpaceDE/>
                    <w:autoSpaceDN/>
                    <w:bidi w:val="0"/>
                    <w:spacing w:line="292" w:lineRule="exact"/>
                    <w:jc w:val="center"/>
                    <w:rPr>
                      <w:rFonts w:hint="default" w:ascii="Times New Roman" w:hAnsi="Times New Roman" w:cs="Times New Roman" w:eastAsiaTheme="minorEastAsia"/>
                      <w:b w:val="0"/>
                      <w:bCs w:val="0"/>
                      <w:color w:val="auto"/>
                      <w:kern w:val="2"/>
                      <w:sz w:val="21"/>
                      <w:szCs w:val="21"/>
                      <w:lang w:val="en-US" w:eastAsia="zh-CN" w:bidi="ar-SA"/>
                    </w:rPr>
                  </w:pPr>
                  <w:r>
                    <w:rPr>
                      <w:rFonts w:hint="default" w:ascii="Times New Roman" w:hAnsi="Times New Roman" w:cs="Times New Roman"/>
                      <w:b w:val="0"/>
                      <w:bCs w:val="0"/>
                      <w:color w:val="auto"/>
                      <w:kern w:val="0"/>
                      <w:sz w:val="21"/>
                      <w:szCs w:val="21"/>
                      <w:lang w:val="en-US" w:eastAsia="zh-CN"/>
                    </w:rPr>
                    <w:t>pH</w:t>
                  </w:r>
                </w:p>
              </w:tc>
              <w:tc>
                <w:tcPr>
                  <w:tcW w:w="1158" w:type="dxa"/>
                  <w:tcBorders>
                    <w:tl2br w:val="nil"/>
                    <w:tr2bl w:val="nil"/>
                  </w:tcBorders>
                  <w:shd w:val="clear" w:color="auto" w:fill="auto"/>
                  <w:vAlign w:val="center"/>
                </w:tcPr>
                <w:p w14:paraId="6AA367DF">
                  <w:pPr>
                    <w:keepNext w:val="0"/>
                    <w:keepLines w:val="0"/>
                    <w:pageBreakBefore w:val="0"/>
                    <w:kinsoku/>
                    <w:wordWrap/>
                    <w:overflowPunct/>
                    <w:topLinePunct w:val="0"/>
                    <w:autoSpaceDE/>
                    <w:autoSpaceDN/>
                    <w:bidi w:val="0"/>
                    <w:adjustRightInd/>
                    <w:snapToGrid/>
                    <w:spacing w:line="284" w:lineRule="exact"/>
                    <w:jc w:val="center"/>
                    <w:textAlignment w:val="auto"/>
                    <w:outlineLvl w:val="9"/>
                    <w:rPr>
                      <w:rFonts w:hint="default" w:ascii="Times New Roman" w:hAnsi="Times New Roman" w:eastAsia="宋体" w:cs="Times New Roman"/>
                      <w:color w:val="000000" w:themeColor="text1"/>
                      <w:kern w:val="2"/>
                      <w:sz w:val="21"/>
                      <w:szCs w:val="21"/>
                      <w:lang w:val="en-US" w:eastAsia="zh-CN" w:bidi="ar-SA"/>
                    </w:rPr>
                  </w:pPr>
                  <w:r>
                    <w:rPr>
                      <w:rFonts w:hint="eastAsia" w:ascii="Times New Roman" w:hAnsi="Times New Roman" w:cs="Times New Roman"/>
                      <w:color w:val="000000" w:themeColor="text1"/>
                      <w:kern w:val="2"/>
                      <w:sz w:val="21"/>
                      <w:szCs w:val="21"/>
                      <w:lang w:val="en-US" w:eastAsia="zh-CN" w:bidi="ar-SA"/>
                    </w:rPr>
                    <w:t>0.40</w:t>
                  </w:r>
                </w:p>
              </w:tc>
              <w:tc>
                <w:tcPr>
                  <w:tcW w:w="1158" w:type="dxa"/>
                  <w:tcBorders>
                    <w:tl2br w:val="nil"/>
                    <w:tr2bl w:val="nil"/>
                  </w:tcBorders>
                  <w:shd w:val="clear" w:color="auto" w:fill="auto"/>
                  <w:vAlign w:val="center"/>
                </w:tcPr>
                <w:p w14:paraId="633B9B18">
                  <w:pPr>
                    <w:keepNext w:val="0"/>
                    <w:keepLines w:val="0"/>
                    <w:pageBreakBefore w:val="0"/>
                    <w:kinsoku/>
                    <w:wordWrap/>
                    <w:overflowPunct/>
                    <w:topLinePunct w:val="0"/>
                    <w:autoSpaceDE/>
                    <w:autoSpaceDN/>
                    <w:bidi w:val="0"/>
                    <w:adjustRightInd/>
                    <w:snapToGrid/>
                    <w:spacing w:line="284" w:lineRule="exact"/>
                    <w:jc w:val="center"/>
                    <w:textAlignment w:val="auto"/>
                    <w:outlineLvl w:val="9"/>
                    <w:rPr>
                      <w:rFonts w:hint="default" w:ascii="Times New Roman" w:hAnsi="Times New Roman" w:eastAsia="宋体" w:cs="Times New Roman"/>
                      <w:color w:val="000000" w:themeColor="text1"/>
                      <w:kern w:val="2"/>
                      <w:sz w:val="21"/>
                      <w:szCs w:val="21"/>
                      <w:lang w:val="en-US" w:eastAsia="zh-CN" w:bidi="ar-SA"/>
                    </w:rPr>
                  </w:pPr>
                  <w:r>
                    <w:rPr>
                      <w:rFonts w:hint="eastAsia" w:ascii="Times New Roman" w:hAnsi="Times New Roman" w:cs="Times New Roman"/>
                      <w:color w:val="000000" w:themeColor="text1"/>
                      <w:kern w:val="2"/>
                      <w:sz w:val="21"/>
                      <w:szCs w:val="21"/>
                      <w:lang w:val="en-US" w:eastAsia="zh-CN" w:bidi="ar-SA"/>
                    </w:rPr>
                    <w:t>0.45</w:t>
                  </w:r>
                </w:p>
              </w:tc>
              <w:tc>
                <w:tcPr>
                  <w:tcW w:w="1158" w:type="dxa"/>
                  <w:tcBorders>
                    <w:tl2br w:val="nil"/>
                    <w:tr2bl w:val="nil"/>
                  </w:tcBorders>
                  <w:shd w:val="clear" w:color="auto" w:fill="auto"/>
                  <w:vAlign w:val="center"/>
                </w:tcPr>
                <w:p w14:paraId="2DCB5BF6">
                  <w:pPr>
                    <w:keepNext w:val="0"/>
                    <w:keepLines w:val="0"/>
                    <w:pageBreakBefore w:val="0"/>
                    <w:kinsoku/>
                    <w:wordWrap/>
                    <w:overflowPunct/>
                    <w:topLinePunct w:val="0"/>
                    <w:autoSpaceDE/>
                    <w:autoSpaceDN/>
                    <w:bidi w:val="0"/>
                    <w:adjustRightInd/>
                    <w:snapToGrid/>
                    <w:spacing w:line="284" w:lineRule="exact"/>
                    <w:jc w:val="center"/>
                    <w:textAlignment w:val="auto"/>
                    <w:outlineLvl w:val="9"/>
                    <w:rPr>
                      <w:rFonts w:hint="default" w:ascii="Times New Roman" w:hAnsi="Times New Roman" w:eastAsia="宋体" w:cs="Times New Roman"/>
                      <w:color w:val="000000" w:themeColor="text1"/>
                      <w:kern w:val="2"/>
                      <w:sz w:val="21"/>
                      <w:szCs w:val="21"/>
                      <w:lang w:val="en-US" w:eastAsia="zh-CN" w:bidi="ar-SA"/>
                    </w:rPr>
                  </w:pPr>
                  <w:r>
                    <w:rPr>
                      <w:rFonts w:hint="eastAsia" w:ascii="Times New Roman" w:hAnsi="Times New Roman" w:cs="Times New Roman"/>
                      <w:color w:val="000000" w:themeColor="text1"/>
                      <w:kern w:val="2"/>
                      <w:sz w:val="21"/>
                      <w:szCs w:val="21"/>
                      <w:lang w:val="en-US" w:eastAsia="zh-CN" w:bidi="ar-SA"/>
                    </w:rPr>
                    <w:t>0.45</w:t>
                  </w:r>
                </w:p>
              </w:tc>
              <w:tc>
                <w:tcPr>
                  <w:tcW w:w="1158" w:type="dxa"/>
                  <w:tcBorders>
                    <w:tl2br w:val="nil"/>
                    <w:tr2bl w:val="nil"/>
                  </w:tcBorders>
                  <w:vAlign w:val="center"/>
                </w:tcPr>
                <w:p w14:paraId="50CC2119">
                  <w:pPr>
                    <w:keepNext w:val="0"/>
                    <w:keepLines w:val="0"/>
                    <w:pageBreakBefore w:val="0"/>
                    <w:kinsoku/>
                    <w:wordWrap/>
                    <w:overflowPunct/>
                    <w:topLinePunct w:val="0"/>
                    <w:autoSpaceDE/>
                    <w:autoSpaceDN/>
                    <w:bidi w:val="0"/>
                    <w:adjustRightInd/>
                    <w:snapToGrid/>
                    <w:spacing w:line="284" w:lineRule="exact"/>
                    <w:jc w:val="center"/>
                    <w:textAlignment w:val="auto"/>
                    <w:outlineLvl w:val="9"/>
                    <w:rPr>
                      <w:rFonts w:hint="default" w:ascii="Times New Roman" w:hAnsi="Times New Roman" w:cs="Times New Roman" w:eastAsiaTheme="majorEastAsia"/>
                      <w:color w:val="auto"/>
                      <w:sz w:val="21"/>
                      <w:szCs w:val="21"/>
                      <w:highlight w:val="none"/>
                      <w:lang w:val="en-US" w:eastAsia="zh-CN"/>
                    </w:rPr>
                  </w:pPr>
                  <w:r>
                    <w:rPr>
                      <w:rFonts w:hint="eastAsia" w:ascii="Times New Roman" w:hAnsi="Times New Roman" w:cs="Times New Roman" w:eastAsiaTheme="majorEastAsia"/>
                      <w:color w:val="auto"/>
                      <w:sz w:val="21"/>
                      <w:szCs w:val="21"/>
                      <w:highlight w:val="none"/>
                      <w:lang w:val="en-US" w:eastAsia="zh-CN"/>
                    </w:rPr>
                    <w:t>0.40</w:t>
                  </w:r>
                </w:p>
              </w:tc>
              <w:tc>
                <w:tcPr>
                  <w:tcW w:w="1158" w:type="dxa"/>
                  <w:tcBorders>
                    <w:tl2br w:val="nil"/>
                    <w:tr2bl w:val="nil"/>
                  </w:tcBorders>
                  <w:vAlign w:val="center"/>
                </w:tcPr>
                <w:p w14:paraId="7DA8F884">
                  <w:pPr>
                    <w:keepNext w:val="0"/>
                    <w:keepLines w:val="0"/>
                    <w:pageBreakBefore w:val="0"/>
                    <w:kinsoku/>
                    <w:wordWrap/>
                    <w:overflowPunct/>
                    <w:topLinePunct w:val="0"/>
                    <w:autoSpaceDE/>
                    <w:autoSpaceDN/>
                    <w:bidi w:val="0"/>
                    <w:adjustRightInd/>
                    <w:snapToGrid/>
                    <w:spacing w:line="284" w:lineRule="exact"/>
                    <w:jc w:val="center"/>
                    <w:textAlignment w:val="auto"/>
                    <w:outlineLvl w:val="9"/>
                    <w:rPr>
                      <w:rFonts w:hint="default" w:ascii="Times New Roman" w:hAnsi="Times New Roman" w:cs="Times New Roman" w:eastAsiaTheme="majorEastAsia"/>
                      <w:color w:val="auto"/>
                      <w:sz w:val="21"/>
                      <w:szCs w:val="21"/>
                      <w:highlight w:val="none"/>
                      <w:lang w:val="en-US" w:eastAsia="zh-CN"/>
                    </w:rPr>
                  </w:pPr>
                  <w:r>
                    <w:rPr>
                      <w:rFonts w:hint="eastAsia" w:ascii="Times New Roman" w:hAnsi="Times New Roman" w:cs="Times New Roman" w:eastAsiaTheme="majorEastAsia"/>
                      <w:color w:val="auto"/>
                      <w:sz w:val="21"/>
                      <w:szCs w:val="21"/>
                      <w:highlight w:val="none"/>
                      <w:lang w:val="en-US" w:eastAsia="zh-CN"/>
                    </w:rPr>
                    <w:t>0.40</w:t>
                  </w:r>
                </w:p>
              </w:tc>
              <w:tc>
                <w:tcPr>
                  <w:tcW w:w="1162" w:type="dxa"/>
                  <w:tcBorders>
                    <w:tl2br w:val="nil"/>
                    <w:tr2bl w:val="nil"/>
                  </w:tcBorders>
                  <w:vAlign w:val="center"/>
                </w:tcPr>
                <w:p w14:paraId="29C3BD69">
                  <w:pPr>
                    <w:keepNext w:val="0"/>
                    <w:keepLines w:val="0"/>
                    <w:pageBreakBefore w:val="0"/>
                    <w:kinsoku/>
                    <w:wordWrap/>
                    <w:overflowPunct/>
                    <w:topLinePunct w:val="0"/>
                    <w:autoSpaceDE/>
                    <w:autoSpaceDN/>
                    <w:bidi w:val="0"/>
                    <w:adjustRightInd/>
                    <w:snapToGrid/>
                    <w:spacing w:line="284" w:lineRule="exact"/>
                    <w:jc w:val="center"/>
                    <w:textAlignment w:val="auto"/>
                    <w:outlineLvl w:val="9"/>
                    <w:rPr>
                      <w:rFonts w:hint="default" w:ascii="Times New Roman" w:hAnsi="Times New Roman" w:cs="Times New Roman" w:eastAsiaTheme="majorEastAsia"/>
                      <w:color w:val="auto"/>
                      <w:sz w:val="21"/>
                      <w:szCs w:val="21"/>
                      <w:highlight w:val="none"/>
                      <w:lang w:val="en-US" w:eastAsia="zh-CN"/>
                    </w:rPr>
                  </w:pPr>
                  <w:r>
                    <w:rPr>
                      <w:rFonts w:hint="eastAsia" w:ascii="Times New Roman" w:hAnsi="Times New Roman" w:cs="Times New Roman" w:eastAsiaTheme="majorEastAsia"/>
                      <w:color w:val="auto"/>
                      <w:sz w:val="21"/>
                      <w:szCs w:val="21"/>
                      <w:highlight w:val="none"/>
                      <w:lang w:val="en-US" w:eastAsia="zh-CN"/>
                    </w:rPr>
                    <w:t>0.35</w:t>
                  </w:r>
                </w:p>
              </w:tc>
            </w:tr>
            <w:tr w14:paraId="40FA66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55" w:hRule="atLeast"/>
              </w:trPr>
              <w:tc>
                <w:tcPr>
                  <w:tcW w:w="1456" w:type="dxa"/>
                  <w:tcBorders>
                    <w:tl2br w:val="nil"/>
                    <w:tr2bl w:val="nil"/>
                  </w:tcBorders>
                  <w:shd w:val="clear" w:color="auto" w:fill="auto"/>
                  <w:vAlign w:val="center"/>
                </w:tcPr>
                <w:p w14:paraId="74157036">
                  <w:pPr>
                    <w:keepNext w:val="0"/>
                    <w:keepLines w:val="0"/>
                    <w:pageBreakBefore w:val="0"/>
                    <w:widowControl/>
                    <w:kinsoku/>
                    <w:wordWrap/>
                    <w:overflowPunct/>
                    <w:topLinePunct w:val="0"/>
                    <w:autoSpaceDE/>
                    <w:autoSpaceDN/>
                    <w:bidi w:val="0"/>
                    <w:adjustRightInd/>
                    <w:snapToGrid/>
                    <w:spacing w:line="284" w:lineRule="exact"/>
                    <w:jc w:val="center"/>
                    <w:rPr>
                      <w:rFonts w:hint="default" w:ascii="Times New Roman" w:hAnsi="Times New Roman" w:cs="Times New Roman" w:eastAsiaTheme="majorEastAsia"/>
                      <w:b w:val="0"/>
                      <w:bCs w:val="0"/>
                      <w:color w:val="auto"/>
                      <w:kern w:val="0"/>
                      <w:sz w:val="21"/>
                      <w:szCs w:val="21"/>
                      <w:highlight w:val="none"/>
                      <w:lang w:val="en-US" w:eastAsia="zh-CN" w:bidi="ar-SA"/>
                    </w:rPr>
                  </w:pPr>
                  <w:r>
                    <w:rPr>
                      <w:rFonts w:hint="default" w:ascii="Times New Roman" w:hAnsi="Times New Roman" w:cs="Times New Roman" w:eastAsiaTheme="minorEastAsia"/>
                      <w:b w:val="0"/>
                      <w:bCs w:val="0"/>
                      <w:color w:val="auto"/>
                      <w:sz w:val="21"/>
                      <w:szCs w:val="21"/>
                      <w:lang w:val="en-US" w:eastAsia="zh-CN"/>
                    </w:rPr>
                    <w:t>BOD</w:t>
                  </w:r>
                  <w:r>
                    <w:rPr>
                      <w:rFonts w:hint="default" w:ascii="Times New Roman" w:hAnsi="Times New Roman" w:cs="Times New Roman" w:eastAsiaTheme="minorEastAsia"/>
                      <w:b w:val="0"/>
                      <w:bCs w:val="0"/>
                      <w:color w:val="auto"/>
                      <w:sz w:val="21"/>
                      <w:szCs w:val="21"/>
                      <w:vertAlign w:val="subscript"/>
                      <w:lang w:val="en-US" w:eastAsia="zh-CN"/>
                    </w:rPr>
                    <w:t>5</w:t>
                  </w:r>
                </w:p>
              </w:tc>
              <w:tc>
                <w:tcPr>
                  <w:tcW w:w="1158" w:type="dxa"/>
                  <w:tcBorders>
                    <w:tl2br w:val="nil"/>
                    <w:tr2bl w:val="nil"/>
                  </w:tcBorders>
                  <w:shd w:val="clear" w:color="auto" w:fill="auto"/>
                  <w:vAlign w:val="center"/>
                </w:tcPr>
                <w:p w14:paraId="0AFBA29F">
                  <w:pPr>
                    <w:keepNext w:val="0"/>
                    <w:keepLines w:val="0"/>
                    <w:widowControl/>
                    <w:suppressLineNumbers w:val="0"/>
                    <w:jc w:val="center"/>
                    <w:textAlignment w:val="center"/>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0.53</w:t>
                  </w:r>
                </w:p>
              </w:tc>
              <w:tc>
                <w:tcPr>
                  <w:tcW w:w="1158" w:type="dxa"/>
                  <w:tcBorders>
                    <w:tl2br w:val="nil"/>
                    <w:tr2bl w:val="nil"/>
                  </w:tcBorders>
                  <w:shd w:val="clear" w:color="auto" w:fill="auto"/>
                  <w:vAlign w:val="center"/>
                </w:tcPr>
                <w:p w14:paraId="21E7B03F">
                  <w:pPr>
                    <w:keepNext w:val="0"/>
                    <w:keepLines w:val="0"/>
                    <w:widowControl/>
                    <w:suppressLineNumbers w:val="0"/>
                    <w:jc w:val="center"/>
                    <w:textAlignment w:val="center"/>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w:t>
                  </w:r>
                  <w:r>
                    <w:rPr>
                      <w:rFonts w:hint="eastAsia" w:cs="Times New Roman"/>
                      <w:i w:val="0"/>
                      <w:iCs w:val="0"/>
                      <w:color w:val="000000"/>
                      <w:kern w:val="0"/>
                      <w:sz w:val="21"/>
                      <w:szCs w:val="21"/>
                      <w:u w:val="none"/>
                      <w:lang w:val="en-US" w:eastAsia="zh-CN" w:bidi="ar"/>
                    </w:rPr>
                    <w:t>60</w:t>
                  </w:r>
                </w:p>
              </w:tc>
              <w:tc>
                <w:tcPr>
                  <w:tcW w:w="1158" w:type="dxa"/>
                  <w:tcBorders>
                    <w:tl2br w:val="nil"/>
                    <w:tr2bl w:val="nil"/>
                  </w:tcBorders>
                  <w:shd w:val="clear" w:color="auto" w:fill="auto"/>
                  <w:vAlign w:val="center"/>
                </w:tcPr>
                <w:p w14:paraId="5EDF94BF">
                  <w:pPr>
                    <w:keepNext w:val="0"/>
                    <w:keepLines w:val="0"/>
                    <w:widowControl/>
                    <w:suppressLineNumbers w:val="0"/>
                    <w:jc w:val="center"/>
                    <w:textAlignment w:val="center"/>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0.45</w:t>
                  </w:r>
                </w:p>
              </w:tc>
              <w:tc>
                <w:tcPr>
                  <w:tcW w:w="1158" w:type="dxa"/>
                  <w:tcBorders>
                    <w:tl2br w:val="nil"/>
                    <w:tr2bl w:val="nil"/>
                  </w:tcBorders>
                  <w:vAlign w:val="center"/>
                </w:tcPr>
                <w:p w14:paraId="7C4CFDA4">
                  <w:pPr>
                    <w:keepNext w:val="0"/>
                    <w:keepLines w:val="0"/>
                    <w:widowControl/>
                    <w:suppressLineNumbers w:val="0"/>
                    <w:jc w:val="center"/>
                    <w:textAlignment w:val="center"/>
                    <w:rPr>
                      <w:rFonts w:hint="default" w:ascii="Times New Roman" w:hAnsi="Times New Roman" w:cs="Times New Roman" w:eastAsiaTheme="majorEastAsia"/>
                      <w:color w:val="auto"/>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0.</w:t>
                  </w:r>
                  <w:r>
                    <w:rPr>
                      <w:rFonts w:hint="eastAsia" w:cs="Times New Roman"/>
                      <w:i w:val="0"/>
                      <w:iCs w:val="0"/>
                      <w:color w:val="000000"/>
                      <w:kern w:val="0"/>
                      <w:sz w:val="21"/>
                      <w:szCs w:val="21"/>
                      <w:u w:val="none"/>
                      <w:lang w:val="en-US" w:eastAsia="zh-CN" w:bidi="ar"/>
                    </w:rPr>
                    <w:t>53</w:t>
                  </w:r>
                </w:p>
              </w:tc>
              <w:tc>
                <w:tcPr>
                  <w:tcW w:w="1158" w:type="dxa"/>
                  <w:tcBorders>
                    <w:tl2br w:val="nil"/>
                    <w:tr2bl w:val="nil"/>
                  </w:tcBorders>
                  <w:shd w:val="clear" w:color="auto" w:fill="auto"/>
                  <w:vAlign w:val="center"/>
                </w:tcPr>
                <w:p w14:paraId="5F9B1638">
                  <w:pPr>
                    <w:keepNext w:val="0"/>
                    <w:keepLines w:val="0"/>
                    <w:widowControl/>
                    <w:suppressLineNumbers w:val="0"/>
                    <w:jc w:val="center"/>
                    <w:textAlignment w:val="center"/>
                    <w:rPr>
                      <w:rFonts w:hint="default" w:ascii="Times New Roman" w:hAnsi="Times New Roman" w:cs="Times New Roman" w:eastAsiaTheme="majorEastAsia"/>
                      <w:color w:val="auto"/>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0.53</w:t>
                  </w:r>
                </w:p>
              </w:tc>
              <w:tc>
                <w:tcPr>
                  <w:tcW w:w="1162" w:type="dxa"/>
                  <w:tcBorders>
                    <w:tl2br w:val="nil"/>
                    <w:tr2bl w:val="nil"/>
                  </w:tcBorders>
                  <w:shd w:val="clear" w:color="auto" w:fill="auto"/>
                  <w:vAlign w:val="center"/>
                </w:tcPr>
                <w:p w14:paraId="16199B25">
                  <w:pPr>
                    <w:keepNext w:val="0"/>
                    <w:keepLines w:val="0"/>
                    <w:widowControl/>
                    <w:suppressLineNumbers w:val="0"/>
                    <w:jc w:val="center"/>
                    <w:textAlignment w:val="center"/>
                    <w:rPr>
                      <w:rFonts w:hint="default" w:ascii="Times New Roman" w:hAnsi="Times New Roman" w:cs="Times New Roman" w:eastAsiaTheme="majorEastAsia"/>
                      <w:color w:val="auto"/>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0.</w:t>
                  </w:r>
                  <w:r>
                    <w:rPr>
                      <w:rFonts w:hint="eastAsia" w:cs="Times New Roman"/>
                      <w:i w:val="0"/>
                      <w:iCs w:val="0"/>
                      <w:color w:val="000000"/>
                      <w:kern w:val="0"/>
                      <w:sz w:val="21"/>
                      <w:szCs w:val="21"/>
                      <w:u w:val="none"/>
                      <w:lang w:val="en-US" w:eastAsia="zh-CN" w:bidi="ar"/>
                    </w:rPr>
                    <w:t>63</w:t>
                  </w:r>
                </w:p>
              </w:tc>
            </w:tr>
            <w:tr w14:paraId="0C7BB6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55" w:hRule="atLeast"/>
              </w:trPr>
              <w:tc>
                <w:tcPr>
                  <w:tcW w:w="1456" w:type="dxa"/>
                  <w:tcBorders>
                    <w:tl2br w:val="nil"/>
                    <w:tr2bl w:val="nil"/>
                  </w:tcBorders>
                  <w:shd w:val="clear" w:color="auto" w:fill="auto"/>
                  <w:vAlign w:val="center"/>
                </w:tcPr>
                <w:p w14:paraId="11985EDA">
                  <w:pPr>
                    <w:keepNext w:val="0"/>
                    <w:keepLines w:val="0"/>
                    <w:pageBreakBefore w:val="0"/>
                    <w:widowControl/>
                    <w:kinsoku/>
                    <w:wordWrap/>
                    <w:overflowPunct/>
                    <w:topLinePunct w:val="0"/>
                    <w:autoSpaceDE/>
                    <w:autoSpaceDN/>
                    <w:bidi w:val="0"/>
                    <w:adjustRightInd/>
                    <w:snapToGrid/>
                    <w:spacing w:line="284" w:lineRule="exact"/>
                    <w:jc w:val="center"/>
                    <w:rPr>
                      <w:rFonts w:hint="default" w:ascii="Times New Roman" w:hAnsi="Times New Roman" w:cs="Times New Roman" w:eastAsiaTheme="minorEastAsia"/>
                      <w:b w:val="0"/>
                      <w:bCs w:val="0"/>
                      <w:color w:val="auto"/>
                      <w:kern w:val="2"/>
                      <w:sz w:val="21"/>
                      <w:szCs w:val="21"/>
                      <w:lang w:val="en-US" w:eastAsia="zh-CN" w:bidi="ar-SA"/>
                    </w:rPr>
                  </w:pPr>
                  <w:r>
                    <w:rPr>
                      <w:rFonts w:hint="default" w:ascii="Times New Roman" w:hAnsi="Times New Roman" w:cs="Times New Roman" w:eastAsiaTheme="minorEastAsia"/>
                      <w:b w:val="0"/>
                      <w:bCs w:val="0"/>
                      <w:color w:val="auto"/>
                      <w:sz w:val="21"/>
                      <w:szCs w:val="21"/>
                      <w:lang w:val="en-US" w:eastAsia="zh-CN"/>
                    </w:rPr>
                    <w:t>COD</w:t>
                  </w:r>
                </w:p>
              </w:tc>
              <w:tc>
                <w:tcPr>
                  <w:tcW w:w="1158" w:type="dxa"/>
                  <w:tcBorders>
                    <w:tl2br w:val="nil"/>
                    <w:tr2bl w:val="nil"/>
                  </w:tcBorders>
                  <w:shd w:val="clear" w:color="auto" w:fill="auto"/>
                  <w:vAlign w:val="center"/>
                </w:tcPr>
                <w:p w14:paraId="64207F22">
                  <w:pPr>
                    <w:keepNext w:val="0"/>
                    <w:keepLines w:val="0"/>
                    <w:widowControl/>
                    <w:suppressLineNumbers w:val="0"/>
                    <w:jc w:val="center"/>
                    <w:textAlignment w:val="center"/>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0.30</w:t>
                  </w:r>
                </w:p>
              </w:tc>
              <w:tc>
                <w:tcPr>
                  <w:tcW w:w="1158" w:type="dxa"/>
                  <w:tcBorders>
                    <w:tl2br w:val="nil"/>
                    <w:tr2bl w:val="nil"/>
                  </w:tcBorders>
                  <w:shd w:val="clear" w:color="auto" w:fill="auto"/>
                  <w:vAlign w:val="center"/>
                </w:tcPr>
                <w:p w14:paraId="326AF3FE">
                  <w:pPr>
                    <w:keepNext w:val="0"/>
                    <w:keepLines w:val="0"/>
                    <w:widowControl/>
                    <w:suppressLineNumbers w:val="0"/>
                    <w:jc w:val="center"/>
                    <w:textAlignment w:val="center"/>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w:t>
                  </w:r>
                  <w:r>
                    <w:rPr>
                      <w:rFonts w:hint="eastAsia" w:cs="Times New Roman"/>
                      <w:i w:val="0"/>
                      <w:iCs w:val="0"/>
                      <w:color w:val="000000"/>
                      <w:kern w:val="0"/>
                      <w:sz w:val="21"/>
                      <w:szCs w:val="21"/>
                      <w:u w:val="none"/>
                      <w:lang w:val="en-US" w:eastAsia="zh-CN" w:bidi="ar"/>
                    </w:rPr>
                    <w:t>35</w:t>
                  </w:r>
                </w:p>
              </w:tc>
              <w:tc>
                <w:tcPr>
                  <w:tcW w:w="1158" w:type="dxa"/>
                  <w:tcBorders>
                    <w:tl2br w:val="nil"/>
                    <w:tr2bl w:val="nil"/>
                  </w:tcBorders>
                  <w:shd w:val="clear" w:color="auto" w:fill="auto"/>
                  <w:vAlign w:val="center"/>
                </w:tcPr>
                <w:p w14:paraId="3E207D2B">
                  <w:pPr>
                    <w:keepNext w:val="0"/>
                    <w:keepLines w:val="0"/>
                    <w:widowControl/>
                    <w:suppressLineNumbers w:val="0"/>
                    <w:jc w:val="center"/>
                    <w:textAlignment w:val="center"/>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0.25</w:t>
                  </w:r>
                </w:p>
              </w:tc>
              <w:tc>
                <w:tcPr>
                  <w:tcW w:w="1158" w:type="dxa"/>
                  <w:tcBorders>
                    <w:tl2br w:val="nil"/>
                    <w:tr2bl w:val="nil"/>
                  </w:tcBorders>
                  <w:vAlign w:val="center"/>
                </w:tcPr>
                <w:p w14:paraId="6F3CB1FA">
                  <w:pPr>
                    <w:keepNext w:val="0"/>
                    <w:keepLines w:val="0"/>
                    <w:widowControl/>
                    <w:suppressLineNumbers w:val="0"/>
                    <w:jc w:val="center"/>
                    <w:textAlignment w:val="center"/>
                    <w:rPr>
                      <w:rFonts w:hint="default" w:ascii="Times New Roman" w:hAnsi="Times New Roman" w:cs="Times New Roman" w:eastAsiaTheme="majorEastAsia"/>
                      <w:color w:val="auto"/>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0.</w:t>
                  </w:r>
                  <w:r>
                    <w:rPr>
                      <w:rFonts w:hint="eastAsia" w:cs="Times New Roman"/>
                      <w:i w:val="0"/>
                      <w:iCs w:val="0"/>
                      <w:color w:val="000000"/>
                      <w:kern w:val="0"/>
                      <w:sz w:val="21"/>
                      <w:szCs w:val="21"/>
                      <w:u w:val="none"/>
                      <w:lang w:val="en-US" w:eastAsia="zh-CN" w:bidi="ar"/>
                    </w:rPr>
                    <w:t>30</w:t>
                  </w:r>
                </w:p>
              </w:tc>
              <w:tc>
                <w:tcPr>
                  <w:tcW w:w="1158" w:type="dxa"/>
                  <w:tcBorders>
                    <w:tl2br w:val="nil"/>
                    <w:tr2bl w:val="nil"/>
                  </w:tcBorders>
                  <w:shd w:val="clear" w:color="auto" w:fill="auto"/>
                  <w:vAlign w:val="center"/>
                </w:tcPr>
                <w:p w14:paraId="13294E10">
                  <w:pPr>
                    <w:keepNext w:val="0"/>
                    <w:keepLines w:val="0"/>
                    <w:widowControl/>
                    <w:suppressLineNumbers w:val="0"/>
                    <w:jc w:val="center"/>
                    <w:textAlignment w:val="center"/>
                    <w:rPr>
                      <w:rFonts w:hint="default" w:ascii="Times New Roman" w:hAnsi="Times New Roman" w:cs="Times New Roman" w:eastAsiaTheme="majorEastAsia"/>
                      <w:color w:val="auto"/>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0.30</w:t>
                  </w:r>
                </w:p>
              </w:tc>
              <w:tc>
                <w:tcPr>
                  <w:tcW w:w="1162" w:type="dxa"/>
                  <w:tcBorders>
                    <w:tl2br w:val="nil"/>
                    <w:tr2bl w:val="nil"/>
                  </w:tcBorders>
                  <w:shd w:val="clear" w:color="auto" w:fill="auto"/>
                  <w:vAlign w:val="center"/>
                </w:tcPr>
                <w:p w14:paraId="073B7DCF">
                  <w:pPr>
                    <w:keepNext w:val="0"/>
                    <w:keepLines w:val="0"/>
                    <w:widowControl/>
                    <w:suppressLineNumbers w:val="0"/>
                    <w:jc w:val="center"/>
                    <w:textAlignment w:val="center"/>
                    <w:rPr>
                      <w:rFonts w:hint="default" w:ascii="Times New Roman" w:hAnsi="Times New Roman" w:cs="Times New Roman" w:eastAsiaTheme="majorEastAsia"/>
                      <w:color w:val="auto"/>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0.</w:t>
                  </w:r>
                  <w:r>
                    <w:rPr>
                      <w:rFonts w:hint="eastAsia" w:cs="Times New Roman"/>
                      <w:i w:val="0"/>
                      <w:iCs w:val="0"/>
                      <w:color w:val="000000"/>
                      <w:kern w:val="0"/>
                      <w:sz w:val="21"/>
                      <w:szCs w:val="21"/>
                      <w:u w:val="none"/>
                      <w:lang w:val="en-US" w:eastAsia="zh-CN" w:bidi="ar"/>
                    </w:rPr>
                    <w:t>35</w:t>
                  </w:r>
                </w:p>
              </w:tc>
            </w:tr>
            <w:tr w14:paraId="477229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55" w:hRule="atLeast"/>
              </w:trPr>
              <w:tc>
                <w:tcPr>
                  <w:tcW w:w="1456" w:type="dxa"/>
                  <w:tcBorders>
                    <w:tl2br w:val="nil"/>
                    <w:tr2bl w:val="nil"/>
                  </w:tcBorders>
                  <w:shd w:val="clear" w:color="auto" w:fill="auto"/>
                  <w:vAlign w:val="center"/>
                </w:tcPr>
                <w:p w14:paraId="0143CCD4">
                  <w:pPr>
                    <w:keepNext w:val="0"/>
                    <w:keepLines w:val="0"/>
                    <w:pageBreakBefore w:val="0"/>
                    <w:widowControl/>
                    <w:kinsoku/>
                    <w:wordWrap/>
                    <w:overflowPunct/>
                    <w:topLinePunct w:val="0"/>
                    <w:autoSpaceDE/>
                    <w:autoSpaceDN/>
                    <w:bidi w:val="0"/>
                    <w:spacing w:line="292" w:lineRule="exact"/>
                    <w:jc w:val="center"/>
                    <w:rPr>
                      <w:rFonts w:hint="default" w:ascii="Times New Roman" w:hAnsi="Times New Roman" w:cs="Times New Roman" w:eastAsiaTheme="majorEastAsia"/>
                      <w:b w:val="0"/>
                      <w:bCs w:val="0"/>
                      <w:color w:val="auto"/>
                      <w:kern w:val="0"/>
                      <w:sz w:val="21"/>
                      <w:szCs w:val="21"/>
                      <w:highlight w:val="none"/>
                      <w:lang w:val="en-US" w:eastAsia="zh-CN" w:bidi="ar-SA"/>
                    </w:rPr>
                  </w:pPr>
                  <w:r>
                    <w:rPr>
                      <w:rFonts w:hint="default" w:ascii="Times New Roman" w:hAnsi="Times New Roman" w:cs="Times New Roman" w:eastAsiaTheme="minorEastAsia"/>
                      <w:b w:val="0"/>
                      <w:bCs w:val="0"/>
                      <w:color w:val="auto"/>
                      <w:kern w:val="0"/>
                      <w:sz w:val="21"/>
                      <w:szCs w:val="21"/>
                      <w:highlight w:val="none"/>
                      <w:lang w:eastAsia="zh-CN"/>
                    </w:rPr>
                    <w:t>总磷</w:t>
                  </w:r>
                </w:p>
              </w:tc>
              <w:tc>
                <w:tcPr>
                  <w:tcW w:w="1158" w:type="dxa"/>
                  <w:tcBorders>
                    <w:tl2br w:val="nil"/>
                    <w:tr2bl w:val="nil"/>
                  </w:tcBorders>
                  <w:shd w:val="clear" w:color="auto" w:fill="auto"/>
                  <w:vAlign w:val="center"/>
                </w:tcPr>
                <w:p w14:paraId="698C4CC3">
                  <w:pPr>
                    <w:keepNext w:val="0"/>
                    <w:keepLines w:val="0"/>
                    <w:widowControl/>
                    <w:suppressLineNumbers w:val="0"/>
                    <w:jc w:val="center"/>
                    <w:textAlignment w:val="center"/>
                    <w:rPr>
                      <w:rFonts w:hint="default" w:ascii="Times New Roman" w:hAnsi="Times New Roman" w:cs="Times New Roman" w:eastAsiaTheme="minorEastAsia"/>
                      <w:color w:val="000000" w:themeColor="text1"/>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0.10</w:t>
                  </w:r>
                </w:p>
              </w:tc>
              <w:tc>
                <w:tcPr>
                  <w:tcW w:w="1158" w:type="dxa"/>
                  <w:tcBorders>
                    <w:tl2br w:val="nil"/>
                    <w:tr2bl w:val="nil"/>
                  </w:tcBorders>
                  <w:shd w:val="clear" w:color="auto" w:fill="auto"/>
                  <w:vAlign w:val="center"/>
                </w:tcPr>
                <w:p w14:paraId="0F31AA35">
                  <w:pPr>
                    <w:keepNext w:val="0"/>
                    <w:keepLines w:val="0"/>
                    <w:widowControl/>
                    <w:suppressLineNumbers w:val="0"/>
                    <w:jc w:val="center"/>
                    <w:textAlignment w:val="center"/>
                    <w:rPr>
                      <w:rFonts w:hint="default" w:ascii="Times New Roman" w:hAnsi="Times New Roman" w:cs="Times New Roman" w:eastAsiaTheme="minorEastAsia"/>
                      <w:color w:val="000000" w:themeColor="text1"/>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w:t>
                  </w:r>
                  <w:r>
                    <w:rPr>
                      <w:rFonts w:hint="eastAsia" w:cs="Times New Roman"/>
                      <w:i w:val="0"/>
                      <w:iCs w:val="0"/>
                      <w:color w:val="000000"/>
                      <w:kern w:val="0"/>
                      <w:sz w:val="21"/>
                      <w:szCs w:val="21"/>
                      <w:u w:val="none"/>
                      <w:lang w:val="en-US" w:eastAsia="zh-CN" w:bidi="ar"/>
                    </w:rPr>
                    <w:t>1</w:t>
                  </w:r>
                  <w:r>
                    <w:rPr>
                      <w:rFonts w:hint="default" w:ascii="Times New Roman" w:hAnsi="Times New Roman" w:eastAsia="宋体" w:cs="Times New Roman"/>
                      <w:i w:val="0"/>
                      <w:iCs w:val="0"/>
                      <w:color w:val="000000"/>
                      <w:kern w:val="0"/>
                      <w:sz w:val="21"/>
                      <w:szCs w:val="21"/>
                      <w:u w:val="none"/>
                      <w:lang w:val="en-US" w:eastAsia="zh-CN" w:bidi="ar"/>
                    </w:rPr>
                    <w:t>0</w:t>
                  </w:r>
                </w:p>
              </w:tc>
              <w:tc>
                <w:tcPr>
                  <w:tcW w:w="1158" w:type="dxa"/>
                  <w:tcBorders>
                    <w:tl2br w:val="nil"/>
                    <w:tr2bl w:val="nil"/>
                  </w:tcBorders>
                  <w:shd w:val="clear" w:color="auto" w:fill="auto"/>
                  <w:vAlign w:val="center"/>
                </w:tcPr>
                <w:p w14:paraId="35DCA0E9">
                  <w:pPr>
                    <w:keepNext w:val="0"/>
                    <w:keepLines w:val="0"/>
                    <w:widowControl/>
                    <w:suppressLineNumbers w:val="0"/>
                    <w:jc w:val="center"/>
                    <w:textAlignment w:val="center"/>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0.10</w:t>
                  </w:r>
                </w:p>
              </w:tc>
              <w:tc>
                <w:tcPr>
                  <w:tcW w:w="1158" w:type="dxa"/>
                  <w:tcBorders>
                    <w:tl2br w:val="nil"/>
                    <w:tr2bl w:val="nil"/>
                  </w:tcBorders>
                  <w:vAlign w:val="center"/>
                </w:tcPr>
                <w:p w14:paraId="0824FB73">
                  <w:pPr>
                    <w:keepNext w:val="0"/>
                    <w:keepLines w:val="0"/>
                    <w:widowControl/>
                    <w:suppressLineNumbers w:val="0"/>
                    <w:jc w:val="center"/>
                    <w:textAlignment w:val="center"/>
                    <w:rPr>
                      <w:rFonts w:hint="default" w:ascii="Times New Roman" w:hAnsi="Times New Roman" w:cs="Times New Roman" w:eastAsiaTheme="majorEastAsia"/>
                      <w:color w:val="auto"/>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0.</w:t>
                  </w:r>
                  <w:r>
                    <w:rPr>
                      <w:rFonts w:hint="eastAsia" w:cs="Times New Roman"/>
                      <w:i w:val="0"/>
                      <w:iCs w:val="0"/>
                      <w:color w:val="000000"/>
                      <w:kern w:val="0"/>
                      <w:sz w:val="21"/>
                      <w:szCs w:val="21"/>
                      <w:u w:val="none"/>
                      <w:lang w:val="en-US" w:eastAsia="zh-CN" w:bidi="ar"/>
                    </w:rPr>
                    <w:t>1</w:t>
                  </w:r>
                  <w:r>
                    <w:rPr>
                      <w:rFonts w:hint="default" w:ascii="Times New Roman" w:hAnsi="Times New Roman" w:eastAsia="宋体" w:cs="Times New Roman"/>
                      <w:i w:val="0"/>
                      <w:iCs w:val="0"/>
                      <w:color w:val="000000"/>
                      <w:kern w:val="0"/>
                      <w:sz w:val="21"/>
                      <w:szCs w:val="21"/>
                      <w:u w:val="none"/>
                      <w:lang w:val="en-US" w:eastAsia="zh-CN" w:bidi="ar"/>
                    </w:rPr>
                    <w:t>0</w:t>
                  </w:r>
                </w:p>
              </w:tc>
              <w:tc>
                <w:tcPr>
                  <w:tcW w:w="1158" w:type="dxa"/>
                  <w:tcBorders>
                    <w:tl2br w:val="nil"/>
                    <w:tr2bl w:val="nil"/>
                  </w:tcBorders>
                  <w:shd w:val="clear" w:color="auto" w:fill="auto"/>
                  <w:vAlign w:val="center"/>
                </w:tcPr>
                <w:p w14:paraId="794351F2">
                  <w:pPr>
                    <w:keepNext w:val="0"/>
                    <w:keepLines w:val="0"/>
                    <w:widowControl/>
                    <w:suppressLineNumbers w:val="0"/>
                    <w:jc w:val="center"/>
                    <w:textAlignment w:val="center"/>
                    <w:rPr>
                      <w:rFonts w:hint="default" w:ascii="Times New Roman" w:hAnsi="Times New Roman" w:cs="Times New Roman" w:eastAsiaTheme="majorEastAsia"/>
                      <w:color w:val="auto"/>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0.15</w:t>
                  </w:r>
                </w:p>
              </w:tc>
              <w:tc>
                <w:tcPr>
                  <w:tcW w:w="1162" w:type="dxa"/>
                  <w:tcBorders>
                    <w:tl2br w:val="nil"/>
                    <w:tr2bl w:val="nil"/>
                  </w:tcBorders>
                  <w:shd w:val="clear" w:color="auto" w:fill="auto"/>
                  <w:vAlign w:val="center"/>
                </w:tcPr>
                <w:p w14:paraId="0484C1E7">
                  <w:pPr>
                    <w:keepNext w:val="0"/>
                    <w:keepLines w:val="0"/>
                    <w:widowControl/>
                    <w:suppressLineNumbers w:val="0"/>
                    <w:jc w:val="center"/>
                    <w:textAlignment w:val="center"/>
                    <w:rPr>
                      <w:rFonts w:hint="default" w:ascii="Times New Roman" w:hAnsi="Times New Roman" w:cs="Times New Roman" w:eastAsiaTheme="majorEastAsia"/>
                      <w:color w:val="auto"/>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0.</w:t>
                  </w:r>
                  <w:r>
                    <w:rPr>
                      <w:rFonts w:hint="eastAsia" w:cs="Times New Roman"/>
                      <w:i w:val="0"/>
                      <w:iCs w:val="0"/>
                      <w:color w:val="000000"/>
                      <w:kern w:val="0"/>
                      <w:sz w:val="21"/>
                      <w:szCs w:val="21"/>
                      <w:u w:val="none"/>
                      <w:lang w:val="en-US" w:eastAsia="zh-CN" w:bidi="ar"/>
                    </w:rPr>
                    <w:t>2</w:t>
                  </w:r>
                  <w:r>
                    <w:rPr>
                      <w:rFonts w:hint="default" w:ascii="Times New Roman" w:hAnsi="Times New Roman" w:eastAsia="宋体" w:cs="Times New Roman"/>
                      <w:i w:val="0"/>
                      <w:iCs w:val="0"/>
                      <w:color w:val="000000"/>
                      <w:kern w:val="0"/>
                      <w:sz w:val="21"/>
                      <w:szCs w:val="21"/>
                      <w:u w:val="none"/>
                      <w:lang w:val="en-US" w:eastAsia="zh-CN" w:bidi="ar"/>
                    </w:rPr>
                    <w:t>0</w:t>
                  </w:r>
                </w:p>
              </w:tc>
            </w:tr>
            <w:tr w14:paraId="5F05C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55" w:hRule="atLeast"/>
              </w:trPr>
              <w:tc>
                <w:tcPr>
                  <w:tcW w:w="1456" w:type="dxa"/>
                  <w:tcBorders>
                    <w:tl2br w:val="nil"/>
                    <w:tr2bl w:val="nil"/>
                  </w:tcBorders>
                  <w:shd w:val="clear" w:color="auto" w:fill="auto"/>
                  <w:vAlign w:val="center"/>
                </w:tcPr>
                <w:p w14:paraId="45DBF113">
                  <w:pPr>
                    <w:keepNext w:val="0"/>
                    <w:keepLines w:val="0"/>
                    <w:pageBreakBefore w:val="0"/>
                    <w:widowControl/>
                    <w:kinsoku/>
                    <w:wordWrap/>
                    <w:overflowPunct/>
                    <w:topLinePunct w:val="0"/>
                    <w:autoSpaceDE/>
                    <w:autoSpaceDN/>
                    <w:bidi w:val="0"/>
                    <w:adjustRightInd/>
                    <w:snapToGrid/>
                    <w:spacing w:line="292" w:lineRule="exact"/>
                    <w:jc w:val="center"/>
                    <w:outlineLvl w:val="9"/>
                    <w:rPr>
                      <w:rFonts w:hint="default" w:ascii="Times New Roman" w:hAnsi="Times New Roman" w:cs="Times New Roman" w:eastAsiaTheme="majorEastAsia"/>
                      <w:b w:val="0"/>
                      <w:bCs w:val="0"/>
                      <w:color w:val="auto"/>
                      <w:kern w:val="0"/>
                      <w:sz w:val="21"/>
                      <w:szCs w:val="21"/>
                      <w:highlight w:val="none"/>
                      <w:lang w:val="en-US" w:eastAsia="zh-CN" w:bidi="ar-SA"/>
                    </w:rPr>
                  </w:pPr>
                  <w:r>
                    <w:rPr>
                      <w:rFonts w:hint="default" w:ascii="Times New Roman" w:hAnsi="Times New Roman" w:cs="Times New Roman" w:eastAsiaTheme="majorEastAsia"/>
                      <w:b w:val="0"/>
                      <w:bCs w:val="0"/>
                      <w:color w:val="auto"/>
                      <w:kern w:val="0"/>
                      <w:sz w:val="21"/>
                      <w:szCs w:val="21"/>
                      <w:highlight w:val="none"/>
                      <w:lang w:val="en-US" w:eastAsia="zh-CN"/>
                    </w:rPr>
                    <w:t>氨氮</w:t>
                  </w:r>
                </w:p>
              </w:tc>
              <w:tc>
                <w:tcPr>
                  <w:tcW w:w="1158" w:type="dxa"/>
                  <w:tcBorders>
                    <w:tl2br w:val="nil"/>
                    <w:tr2bl w:val="nil"/>
                  </w:tcBorders>
                  <w:shd w:val="clear" w:color="auto" w:fill="auto"/>
                  <w:vAlign w:val="center"/>
                </w:tcPr>
                <w:p w14:paraId="418FD8DD">
                  <w:pPr>
                    <w:keepNext w:val="0"/>
                    <w:keepLines w:val="0"/>
                    <w:widowControl/>
                    <w:suppressLineNumbers w:val="0"/>
                    <w:jc w:val="center"/>
                    <w:textAlignment w:val="center"/>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0.12</w:t>
                  </w:r>
                </w:p>
              </w:tc>
              <w:tc>
                <w:tcPr>
                  <w:tcW w:w="1158" w:type="dxa"/>
                  <w:tcBorders>
                    <w:tl2br w:val="nil"/>
                    <w:tr2bl w:val="nil"/>
                  </w:tcBorders>
                  <w:shd w:val="clear" w:color="auto" w:fill="auto"/>
                  <w:vAlign w:val="center"/>
                </w:tcPr>
                <w:p w14:paraId="17F95EFB">
                  <w:pPr>
                    <w:keepNext w:val="0"/>
                    <w:keepLines w:val="0"/>
                    <w:widowControl/>
                    <w:suppressLineNumbers w:val="0"/>
                    <w:jc w:val="center"/>
                    <w:textAlignment w:val="center"/>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w:t>
                  </w:r>
                  <w:r>
                    <w:rPr>
                      <w:rFonts w:hint="eastAsia" w:cs="Times New Roman"/>
                      <w:i w:val="0"/>
                      <w:iCs w:val="0"/>
                      <w:color w:val="000000"/>
                      <w:kern w:val="0"/>
                      <w:sz w:val="21"/>
                      <w:szCs w:val="21"/>
                      <w:u w:val="none"/>
                      <w:lang w:val="en-US" w:eastAsia="zh-CN" w:bidi="ar"/>
                    </w:rPr>
                    <w:t>12</w:t>
                  </w:r>
                </w:p>
              </w:tc>
              <w:tc>
                <w:tcPr>
                  <w:tcW w:w="1158" w:type="dxa"/>
                  <w:tcBorders>
                    <w:tl2br w:val="nil"/>
                    <w:tr2bl w:val="nil"/>
                  </w:tcBorders>
                  <w:shd w:val="clear" w:color="auto" w:fill="auto"/>
                  <w:vAlign w:val="center"/>
                </w:tcPr>
                <w:p w14:paraId="5BC54A1D">
                  <w:pPr>
                    <w:keepNext w:val="0"/>
                    <w:keepLines w:val="0"/>
                    <w:widowControl/>
                    <w:suppressLineNumbers w:val="0"/>
                    <w:jc w:val="center"/>
                    <w:textAlignment w:val="center"/>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0.16</w:t>
                  </w:r>
                </w:p>
              </w:tc>
              <w:tc>
                <w:tcPr>
                  <w:tcW w:w="1158" w:type="dxa"/>
                  <w:tcBorders>
                    <w:tl2br w:val="nil"/>
                    <w:tr2bl w:val="nil"/>
                  </w:tcBorders>
                  <w:vAlign w:val="center"/>
                </w:tcPr>
                <w:p w14:paraId="0929E797">
                  <w:pPr>
                    <w:keepNext w:val="0"/>
                    <w:keepLines w:val="0"/>
                    <w:widowControl/>
                    <w:suppressLineNumbers w:val="0"/>
                    <w:jc w:val="center"/>
                    <w:textAlignment w:val="center"/>
                    <w:rPr>
                      <w:rFonts w:hint="default" w:ascii="Times New Roman" w:hAnsi="Times New Roman" w:cs="Times New Roman" w:eastAsiaTheme="majorEastAsia"/>
                      <w:color w:val="auto"/>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0.</w:t>
                  </w:r>
                  <w:r>
                    <w:rPr>
                      <w:rFonts w:hint="eastAsia" w:cs="Times New Roman"/>
                      <w:i w:val="0"/>
                      <w:iCs w:val="0"/>
                      <w:color w:val="000000"/>
                      <w:kern w:val="0"/>
                      <w:sz w:val="21"/>
                      <w:szCs w:val="21"/>
                      <w:u w:val="none"/>
                      <w:lang w:val="en-US" w:eastAsia="zh-CN" w:bidi="ar"/>
                    </w:rPr>
                    <w:t>18</w:t>
                  </w:r>
                </w:p>
              </w:tc>
              <w:tc>
                <w:tcPr>
                  <w:tcW w:w="1158" w:type="dxa"/>
                  <w:tcBorders>
                    <w:tl2br w:val="nil"/>
                    <w:tr2bl w:val="nil"/>
                  </w:tcBorders>
                  <w:shd w:val="clear" w:color="auto" w:fill="auto"/>
                  <w:vAlign w:val="center"/>
                </w:tcPr>
                <w:p w14:paraId="62595803">
                  <w:pPr>
                    <w:keepNext w:val="0"/>
                    <w:keepLines w:val="0"/>
                    <w:widowControl/>
                    <w:suppressLineNumbers w:val="0"/>
                    <w:jc w:val="center"/>
                    <w:textAlignment w:val="center"/>
                    <w:rPr>
                      <w:rFonts w:hint="default" w:ascii="Times New Roman" w:hAnsi="Times New Roman" w:cs="Times New Roman" w:eastAsiaTheme="majorEastAsia"/>
                      <w:color w:val="auto"/>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0.14</w:t>
                  </w:r>
                </w:p>
              </w:tc>
              <w:tc>
                <w:tcPr>
                  <w:tcW w:w="1162" w:type="dxa"/>
                  <w:tcBorders>
                    <w:tl2br w:val="nil"/>
                    <w:tr2bl w:val="nil"/>
                  </w:tcBorders>
                  <w:shd w:val="clear" w:color="auto" w:fill="auto"/>
                  <w:vAlign w:val="center"/>
                </w:tcPr>
                <w:p w14:paraId="28A372E7">
                  <w:pPr>
                    <w:keepNext w:val="0"/>
                    <w:keepLines w:val="0"/>
                    <w:widowControl/>
                    <w:suppressLineNumbers w:val="0"/>
                    <w:jc w:val="center"/>
                    <w:textAlignment w:val="center"/>
                    <w:rPr>
                      <w:rFonts w:hint="default" w:ascii="Times New Roman" w:hAnsi="Times New Roman" w:cs="Times New Roman" w:eastAsiaTheme="majorEastAsia"/>
                      <w:color w:val="auto"/>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0.</w:t>
                  </w:r>
                  <w:r>
                    <w:rPr>
                      <w:rFonts w:hint="eastAsia" w:cs="Times New Roman"/>
                      <w:i w:val="0"/>
                      <w:iCs w:val="0"/>
                      <w:color w:val="000000"/>
                      <w:kern w:val="0"/>
                      <w:sz w:val="21"/>
                      <w:szCs w:val="21"/>
                      <w:u w:val="none"/>
                      <w:lang w:val="en-US" w:eastAsia="zh-CN" w:bidi="ar"/>
                    </w:rPr>
                    <w:t>15</w:t>
                  </w:r>
                </w:p>
              </w:tc>
            </w:tr>
            <w:tr w14:paraId="57E578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55" w:hRule="atLeast"/>
              </w:trPr>
              <w:tc>
                <w:tcPr>
                  <w:tcW w:w="1456" w:type="dxa"/>
                  <w:tcBorders>
                    <w:tl2br w:val="nil"/>
                    <w:tr2bl w:val="nil"/>
                  </w:tcBorders>
                  <w:shd w:val="clear" w:color="auto" w:fill="auto"/>
                  <w:vAlign w:val="center"/>
                </w:tcPr>
                <w:p w14:paraId="53DB0D4E">
                  <w:pPr>
                    <w:keepNext w:val="0"/>
                    <w:keepLines w:val="0"/>
                    <w:pageBreakBefore w:val="0"/>
                    <w:widowControl/>
                    <w:kinsoku/>
                    <w:wordWrap/>
                    <w:overflowPunct/>
                    <w:topLinePunct w:val="0"/>
                    <w:autoSpaceDE/>
                    <w:autoSpaceDN/>
                    <w:bidi w:val="0"/>
                    <w:adjustRightInd/>
                    <w:snapToGrid/>
                    <w:spacing w:line="292" w:lineRule="exact"/>
                    <w:jc w:val="center"/>
                    <w:outlineLvl w:val="9"/>
                    <w:rPr>
                      <w:rFonts w:hint="default" w:ascii="Times New Roman" w:hAnsi="Times New Roman" w:cs="Times New Roman" w:eastAsiaTheme="majorEastAsia"/>
                      <w:b w:val="0"/>
                      <w:bCs w:val="0"/>
                      <w:color w:val="auto"/>
                      <w:kern w:val="0"/>
                      <w:sz w:val="21"/>
                      <w:szCs w:val="21"/>
                      <w:highlight w:val="none"/>
                      <w:lang w:val="en-US" w:eastAsia="zh-CN" w:bidi="ar-SA"/>
                    </w:rPr>
                  </w:pPr>
                  <w:r>
                    <w:rPr>
                      <w:rFonts w:hint="default" w:ascii="Times New Roman" w:hAnsi="Times New Roman" w:cs="Times New Roman" w:eastAsiaTheme="majorEastAsia"/>
                      <w:b w:val="0"/>
                      <w:bCs w:val="0"/>
                      <w:color w:val="auto"/>
                      <w:kern w:val="0"/>
                      <w:sz w:val="21"/>
                      <w:szCs w:val="21"/>
                      <w:highlight w:val="none"/>
                      <w:lang w:val="en-US" w:eastAsia="zh-CN"/>
                    </w:rPr>
                    <w:t>石油类</w:t>
                  </w:r>
                </w:p>
              </w:tc>
              <w:tc>
                <w:tcPr>
                  <w:tcW w:w="1158" w:type="dxa"/>
                  <w:tcBorders>
                    <w:tl2br w:val="nil"/>
                    <w:tr2bl w:val="nil"/>
                  </w:tcBorders>
                  <w:shd w:val="clear" w:color="auto" w:fill="auto"/>
                  <w:vAlign w:val="center"/>
                </w:tcPr>
                <w:p w14:paraId="2F35EED8">
                  <w:pPr>
                    <w:keepNext w:val="0"/>
                    <w:keepLines w:val="0"/>
                    <w:widowControl/>
                    <w:suppressLineNumbers w:val="0"/>
                    <w:jc w:val="center"/>
                    <w:textAlignment w:val="center"/>
                    <w:rPr>
                      <w:rFonts w:hint="default" w:ascii="Times New Roman" w:hAnsi="Times New Roman" w:cs="Times New Roman" w:eastAsiaTheme="minorEastAsia"/>
                      <w:color w:val="000000" w:themeColor="text1"/>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158" w:type="dxa"/>
                  <w:tcBorders>
                    <w:tl2br w:val="nil"/>
                    <w:tr2bl w:val="nil"/>
                  </w:tcBorders>
                  <w:shd w:val="clear" w:color="auto" w:fill="auto"/>
                  <w:vAlign w:val="center"/>
                </w:tcPr>
                <w:p w14:paraId="058A9717">
                  <w:pPr>
                    <w:keepNext w:val="0"/>
                    <w:keepLines w:val="0"/>
                    <w:widowControl/>
                    <w:suppressLineNumbers w:val="0"/>
                    <w:jc w:val="center"/>
                    <w:textAlignment w:val="center"/>
                    <w:rPr>
                      <w:rFonts w:hint="default" w:ascii="Times New Roman" w:hAnsi="Times New Roman" w:cs="Times New Roman" w:eastAsiaTheme="minorEastAsia"/>
                      <w:color w:val="000000" w:themeColor="text1"/>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158" w:type="dxa"/>
                  <w:tcBorders>
                    <w:tl2br w:val="nil"/>
                    <w:tr2bl w:val="nil"/>
                  </w:tcBorders>
                  <w:shd w:val="clear" w:color="auto" w:fill="auto"/>
                  <w:vAlign w:val="center"/>
                </w:tcPr>
                <w:p w14:paraId="57AFB35D">
                  <w:pPr>
                    <w:keepNext w:val="0"/>
                    <w:keepLines w:val="0"/>
                    <w:widowControl/>
                    <w:suppressLineNumbers w:val="0"/>
                    <w:jc w:val="center"/>
                    <w:textAlignment w:val="center"/>
                    <w:rPr>
                      <w:rFonts w:hint="default" w:ascii="Times New Roman" w:hAnsi="Times New Roman" w:cs="Times New Roman" w:eastAsiaTheme="minorEastAsia"/>
                      <w:color w:val="000000" w:themeColor="text1"/>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158" w:type="dxa"/>
                  <w:tcBorders>
                    <w:tl2br w:val="nil"/>
                    <w:tr2bl w:val="nil"/>
                  </w:tcBorders>
                  <w:vAlign w:val="center"/>
                </w:tcPr>
                <w:p w14:paraId="3E625E5F">
                  <w:pPr>
                    <w:keepNext w:val="0"/>
                    <w:keepLines w:val="0"/>
                    <w:widowControl/>
                    <w:suppressLineNumbers w:val="0"/>
                    <w:jc w:val="center"/>
                    <w:textAlignment w:val="center"/>
                    <w:rPr>
                      <w:rFonts w:hint="default" w:ascii="Times New Roman" w:hAnsi="Times New Roman" w:cs="Times New Roman" w:eastAsiaTheme="majorEastAsia"/>
                      <w:color w:val="auto"/>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158" w:type="dxa"/>
                  <w:tcBorders>
                    <w:tl2br w:val="nil"/>
                    <w:tr2bl w:val="nil"/>
                  </w:tcBorders>
                  <w:shd w:val="clear" w:color="auto" w:fill="auto"/>
                  <w:vAlign w:val="center"/>
                </w:tcPr>
                <w:p w14:paraId="33FD45E4">
                  <w:pPr>
                    <w:keepNext w:val="0"/>
                    <w:keepLines w:val="0"/>
                    <w:widowControl/>
                    <w:suppressLineNumbers w:val="0"/>
                    <w:jc w:val="center"/>
                    <w:textAlignment w:val="center"/>
                    <w:rPr>
                      <w:rFonts w:hint="default" w:ascii="Times New Roman" w:hAnsi="Times New Roman" w:cs="Times New Roman" w:eastAsiaTheme="majorEastAsia"/>
                      <w:color w:val="auto"/>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162" w:type="dxa"/>
                  <w:tcBorders>
                    <w:tl2br w:val="nil"/>
                    <w:tr2bl w:val="nil"/>
                  </w:tcBorders>
                  <w:shd w:val="clear" w:color="auto" w:fill="auto"/>
                  <w:vAlign w:val="center"/>
                </w:tcPr>
                <w:p w14:paraId="106A7509">
                  <w:pPr>
                    <w:keepNext w:val="0"/>
                    <w:keepLines w:val="0"/>
                    <w:widowControl/>
                    <w:suppressLineNumbers w:val="0"/>
                    <w:jc w:val="center"/>
                    <w:textAlignment w:val="center"/>
                    <w:rPr>
                      <w:rFonts w:hint="default" w:ascii="Times New Roman" w:hAnsi="Times New Roman" w:cs="Times New Roman" w:eastAsiaTheme="majorEastAsia"/>
                      <w:color w:val="auto"/>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r>
            <w:tr w14:paraId="121621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55" w:hRule="atLeast"/>
              </w:trPr>
              <w:tc>
                <w:tcPr>
                  <w:tcW w:w="1456" w:type="dxa"/>
                  <w:tcBorders>
                    <w:tl2br w:val="nil"/>
                    <w:tr2bl w:val="nil"/>
                  </w:tcBorders>
                  <w:shd w:val="clear" w:color="auto" w:fill="auto"/>
                  <w:vAlign w:val="center"/>
                </w:tcPr>
                <w:p w14:paraId="550DCD51">
                  <w:pPr>
                    <w:keepNext w:val="0"/>
                    <w:keepLines w:val="0"/>
                    <w:pageBreakBefore w:val="0"/>
                    <w:widowControl/>
                    <w:kinsoku/>
                    <w:wordWrap/>
                    <w:overflowPunct/>
                    <w:topLinePunct w:val="0"/>
                    <w:autoSpaceDE/>
                    <w:autoSpaceDN/>
                    <w:bidi w:val="0"/>
                    <w:adjustRightInd/>
                    <w:snapToGrid/>
                    <w:spacing w:line="240" w:lineRule="auto"/>
                    <w:jc w:val="center"/>
                    <w:outlineLvl w:val="9"/>
                    <w:rPr>
                      <w:rFonts w:hint="default" w:ascii="Times New Roman" w:hAnsi="Times New Roman" w:cs="Times New Roman" w:eastAsiaTheme="majorEastAsia"/>
                      <w:b w:val="0"/>
                      <w:bCs w:val="0"/>
                      <w:color w:val="auto"/>
                      <w:kern w:val="0"/>
                      <w:sz w:val="21"/>
                      <w:szCs w:val="21"/>
                      <w:highlight w:val="none"/>
                      <w:lang w:val="en-US" w:eastAsia="zh-CN"/>
                    </w:rPr>
                  </w:pPr>
                  <w:r>
                    <w:rPr>
                      <w:rFonts w:hint="default" w:ascii="Times New Roman" w:hAnsi="Times New Roman" w:cs="Times New Roman" w:eastAsiaTheme="majorEastAsia"/>
                      <w:b w:val="0"/>
                      <w:bCs w:val="0"/>
                      <w:color w:val="auto"/>
                      <w:kern w:val="0"/>
                      <w:sz w:val="21"/>
                      <w:szCs w:val="21"/>
                      <w:highlight w:val="none"/>
                      <w:lang w:val="en-US" w:eastAsia="zh-CN"/>
                    </w:rPr>
                    <w:t>高锰酸盐指数</w:t>
                  </w:r>
                </w:p>
                <w:p w14:paraId="27DD1421">
                  <w:pPr>
                    <w:keepNext w:val="0"/>
                    <w:keepLines w:val="0"/>
                    <w:pageBreakBefore w:val="0"/>
                    <w:widowControl/>
                    <w:kinsoku/>
                    <w:wordWrap/>
                    <w:overflowPunct/>
                    <w:topLinePunct w:val="0"/>
                    <w:autoSpaceDE/>
                    <w:autoSpaceDN/>
                    <w:bidi w:val="0"/>
                    <w:adjustRightInd/>
                    <w:snapToGrid/>
                    <w:spacing w:line="240" w:lineRule="auto"/>
                    <w:jc w:val="center"/>
                    <w:outlineLvl w:val="9"/>
                    <w:rPr>
                      <w:rFonts w:hint="default" w:ascii="Times New Roman" w:hAnsi="Times New Roman" w:cs="Times New Roman" w:eastAsiaTheme="majorEastAsia"/>
                      <w:b w:val="0"/>
                      <w:bCs w:val="0"/>
                      <w:color w:val="auto"/>
                      <w:kern w:val="0"/>
                      <w:sz w:val="21"/>
                      <w:szCs w:val="21"/>
                      <w:highlight w:val="none"/>
                      <w:lang w:val="en-US" w:eastAsia="zh-CN" w:bidi="ar-SA"/>
                    </w:rPr>
                  </w:pPr>
                  <w:r>
                    <w:rPr>
                      <w:rFonts w:hint="default" w:ascii="Times New Roman" w:hAnsi="Times New Roman" w:cs="Times New Roman" w:eastAsiaTheme="majorEastAsia"/>
                      <w:b w:val="0"/>
                      <w:bCs w:val="0"/>
                      <w:color w:val="auto"/>
                      <w:kern w:val="0"/>
                      <w:sz w:val="21"/>
                      <w:szCs w:val="21"/>
                      <w:highlight w:val="none"/>
                      <w:lang w:val="en-US" w:eastAsia="zh-CN"/>
                    </w:rPr>
                    <w:t>（以O</w:t>
                  </w:r>
                  <w:r>
                    <w:rPr>
                      <w:rFonts w:hint="default" w:ascii="Times New Roman" w:hAnsi="Times New Roman" w:cs="Times New Roman" w:eastAsiaTheme="majorEastAsia"/>
                      <w:b w:val="0"/>
                      <w:bCs w:val="0"/>
                      <w:color w:val="auto"/>
                      <w:kern w:val="0"/>
                      <w:sz w:val="21"/>
                      <w:szCs w:val="21"/>
                      <w:highlight w:val="none"/>
                      <w:vertAlign w:val="subscript"/>
                      <w:lang w:val="en-US" w:eastAsia="zh-CN"/>
                    </w:rPr>
                    <w:t>2</w:t>
                  </w:r>
                  <w:r>
                    <w:rPr>
                      <w:rFonts w:hint="default" w:ascii="Times New Roman" w:hAnsi="Times New Roman" w:cs="Times New Roman" w:eastAsiaTheme="majorEastAsia"/>
                      <w:b w:val="0"/>
                      <w:bCs w:val="0"/>
                      <w:color w:val="auto"/>
                      <w:kern w:val="0"/>
                      <w:sz w:val="21"/>
                      <w:szCs w:val="21"/>
                      <w:highlight w:val="none"/>
                      <w:lang w:val="en-US" w:eastAsia="zh-CN"/>
                    </w:rPr>
                    <w:t>计）</w:t>
                  </w:r>
                </w:p>
              </w:tc>
              <w:tc>
                <w:tcPr>
                  <w:tcW w:w="1158" w:type="dxa"/>
                  <w:tcBorders>
                    <w:tl2br w:val="nil"/>
                    <w:tr2bl w:val="nil"/>
                  </w:tcBorders>
                  <w:shd w:val="clear" w:color="auto" w:fill="auto"/>
                  <w:vAlign w:val="center"/>
                </w:tcPr>
                <w:p w14:paraId="280F8513">
                  <w:pPr>
                    <w:keepNext w:val="0"/>
                    <w:keepLines w:val="0"/>
                    <w:widowControl/>
                    <w:suppressLineNumbers w:val="0"/>
                    <w:jc w:val="center"/>
                    <w:textAlignment w:val="center"/>
                    <w:rPr>
                      <w:rFonts w:hint="default" w:ascii="Times New Roman" w:hAnsi="Times New Roman" w:cs="Times New Roman" w:eastAsiaTheme="minorEastAsia"/>
                      <w:color w:val="000000" w:themeColor="text1"/>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0.17</w:t>
                  </w:r>
                </w:p>
              </w:tc>
              <w:tc>
                <w:tcPr>
                  <w:tcW w:w="1158" w:type="dxa"/>
                  <w:tcBorders>
                    <w:tl2br w:val="nil"/>
                    <w:tr2bl w:val="nil"/>
                  </w:tcBorders>
                  <w:shd w:val="clear" w:color="auto" w:fill="auto"/>
                  <w:vAlign w:val="center"/>
                </w:tcPr>
                <w:p w14:paraId="7A9EE9FF">
                  <w:pPr>
                    <w:keepNext w:val="0"/>
                    <w:keepLines w:val="0"/>
                    <w:widowControl/>
                    <w:suppressLineNumbers w:val="0"/>
                    <w:jc w:val="center"/>
                    <w:textAlignment w:val="center"/>
                    <w:rPr>
                      <w:rFonts w:hint="default" w:ascii="Times New Roman" w:hAnsi="Times New Roman" w:cs="Times New Roman" w:eastAsiaTheme="minorEastAsia"/>
                      <w:color w:val="000000" w:themeColor="text1"/>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w:t>
                  </w:r>
                  <w:r>
                    <w:rPr>
                      <w:rFonts w:hint="eastAsia" w:cs="Times New Roman"/>
                      <w:i w:val="0"/>
                      <w:iCs w:val="0"/>
                      <w:color w:val="000000"/>
                      <w:kern w:val="0"/>
                      <w:sz w:val="21"/>
                      <w:szCs w:val="21"/>
                      <w:u w:val="none"/>
                      <w:lang w:val="en-US" w:eastAsia="zh-CN" w:bidi="ar"/>
                    </w:rPr>
                    <w:t>17</w:t>
                  </w:r>
                </w:p>
              </w:tc>
              <w:tc>
                <w:tcPr>
                  <w:tcW w:w="1158" w:type="dxa"/>
                  <w:tcBorders>
                    <w:tl2br w:val="nil"/>
                    <w:tr2bl w:val="nil"/>
                  </w:tcBorders>
                  <w:shd w:val="clear" w:color="auto" w:fill="auto"/>
                  <w:vAlign w:val="center"/>
                </w:tcPr>
                <w:p w14:paraId="3337D57E">
                  <w:pPr>
                    <w:keepNext w:val="0"/>
                    <w:keepLines w:val="0"/>
                    <w:widowControl/>
                    <w:suppressLineNumbers w:val="0"/>
                    <w:jc w:val="center"/>
                    <w:textAlignment w:val="center"/>
                    <w:rPr>
                      <w:rFonts w:hint="default" w:ascii="Times New Roman" w:hAnsi="Times New Roman" w:cs="Times New Roman" w:eastAsiaTheme="minorEastAsia"/>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0.15</w:t>
                  </w:r>
                </w:p>
              </w:tc>
              <w:tc>
                <w:tcPr>
                  <w:tcW w:w="1158" w:type="dxa"/>
                  <w:tcBorders>
                    <w:tl2br w:val="nil"/>
                    <w:tr2bl w:val="nil"/>
                  </w:tcBorders>
                  <w:vAlign w:val="center"/>
                </w:tcPr>
                <w:p w14:paraId="03ABB847">
                  <w:pPr>
                    <w:keepNext w:val="0"/>
                    <w:keepLines w:val="0"/>
                    <w:widowControl/>
                    <w:suppressLineNumbers w:val="0"/>
                    <w:jc w:val="center"/>
                    <w:textAlignment w:val="center"/>
                    <w:rPr>
                      <w:rFonts w:hint="default" w:ascii="Times New Roman" w:hAnsi="Times New Roman" w:cs="Times New Roman" w:eastAsiaTheme="majorEastAsia"/>
                      <w:color w:val="auto"/>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0.</w:t>
                  </w:r>
                  <w:r>
                    <w:rPr>
                      <w:rFonts w:hint="eastAsia" w:cs="Times New Roman"/>
                      <w:i w:val="0"/>
                      <w:iCs w:val="0"/>
                      <w:color w:val="000000"/>
                      <w:kern w:val="0"/>
                      <w:sz w:val="21"/>
                      <w:szCs w:val="21"/>
                      <w:u w:val="none"/>
                      <w:lang w:val="en-US" w:eastAsia="zh-CN" w:bidi="ar"/>
                    </w:rPr>
                    <w:t>13</w:t>
                  </w:r>
                </w:p>
              </w:tc>
              <w:tc>
                <w:tcPr>
                  <w:tcW w:w="1158" w:type="dxa"/>
                  <w:tcBorders>
                    <w:tl2br w:val="nil"/>
                    <w:tr2bl w:val="nil"/>
                  </w:tcBorders>
                  <w:shd w:val="clear" w:color="auto" w:fill="auto"/>
                  <w:vAlign w:val="center"/>
                </w:tcPr>
                <w:p w14:paraId="251818FE">
                  <w:pPr>
                    <w:keepNext w:val="0"/>
                    <w:keepLines w:val="0"/>
                    <w:widowControl/>
                    <w:suppressLineNumbers w:val="0"/>
                    <w:jc w:val="center"/>
                    <w:textAlignment w:val="center"/>
                    <w:rPr>
                      <w:rFonts w:hint="default" w:ascii="Times New Roman" w:hAnsi="Times New Roman" w:cs="Times New Roman" w:eastAsiaTheme="majorEastAsia"/>
                      <w:color w:val="auto"/>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0.15</w:t>
                  </w:r>
                </w:p>
              </w:tc>
              <w:tc>
                <w:tcPr>
                  <w:tcW w:w="1162" w:type="dxa"/>
                  <w:tcBorders>
                    <w:tl2br w:val="nil"/>
                    <w:tr2bl w:val="nil"/>
                  </w:tcBorders>
                  <w:shd w:val="clear" w:color="auto" w:fill="auto"/>
                  <w:vAlign w:val="center"/>
                </w:tcPr>
                <w:p w14:paraId="2EB05718">
                  <w:pPr>
                    <w:keepNext w:val="0"/>
                    <w:keepLines w:val="0"/>
                    <w:widowControl/>
                    <w:suppressLineNumbers w:val="0"/>
                    <w:jc w:val="center"/>
                    <w:textAlignment w:val="center"/>
                    <w:rPr>
                      <w:rFonts w:hint="default" w:ascii="Times New Roman" w:hAnsi="Times New Roman" w:cs="Times New Roman" w:eastAsiaTheme="majorEastAsia"/>
                      <w:color w:val="auto"/>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0.</w:t>
                  </w:r>
                  <w:r>
                    <w:rPr>
                      <w:rFonts w:hint="eastAsia" w:cs="Times New Roman"/>
                      <w:i w:val="0"/>
                      <w:iCs w:val="0"/>
                      <w:color w:val="000000"/>
                      <w:kern w:val="0"/>
                      <w:sz w:val="21"/>
                      <w:szCs w:val="21"/>
                      <w:u w:val="none"/>
                      <w:lang w:val="en-US" w:eastAsia="zh-CN" w:bidi="ar"/>
                    </w:rPr>
                    <w:t>17</w:t>
                  </w:r>
                </w:p>
              </w:tc>
            </w:tr>
          </w:tbl>
          <w:p w14:paraId="4B299C43">
            <w:pPr>
              <w:adjustRightInd w:val="0"/>
              <w:spacing w:before="240" w:beforeLines="100" w:line="300" w:lineRule="auto"/>
              <w:ind w:firstLine="480" w:firstLineChars="200"/>
              <w:rPr>
                <w:b/>
                <w:color w:val="auto"/>
                <w:kern w:val="0"/>
                <w:sz w:val="24"/>
                <w:szCs w:val="24"/>
              </w:rPr>
            </w:pPr>
            <w:r>
              <w:rPr>
                <w:rFonts w:hint="default" w:ascii="Times New Roman" w:hAnsi="Times New Roman" w:cs="Times New Roman"/>
                <w:snapToGrid w:val="0"/>
                <w:color w:val="auto"/>
                <w:sz w:val="24"/>
                <w:szCs w:val="24"/>
              </w:rPr>
              <w:t>由表3-</w:t>
            </w:r>
            <w:r>
              <w:rPr>
                <w:rFonts w:hint="eastAsia" w:cs="Times New Roman"/>
                <w:snapToGrid w:val="0"/>
                <w:color w:val="auto"/>
                <w:sz w:val="24"/>
                <w:szCs w:val="24"/>
                <w:lang w:val="en-US" w:eastAsia="zh-CN"/>
              </w:rPr>
              <w:t>5</w:t>
            </w:r>
            <w:r>
              <w:rPr>
                <w:rFonts w:hint="default" w:ascii="Times New Roman" w:hAnsi="Times New Roman" w:cs="Times New Roman"/>
                <w:snapToGrid w:val="0"/>
                <w:color w:val="auto"/>
                <w:sz w:val="24"/>
                <w:szCs w:val="24"/>
              </w:rPr>
              <w:t>可以看出，拟建公路沿线水体水质各项监测指标均可满足</w:t>
            </w:r>
            <w:r>
              <w:rPr>
                <w:rFonts w:hint="default" w:ascii="Times New Roman" w:hAnsi="Times New Roman" w:cs="Times New Roman"/>
                <w:bCs/>
                <w:snapToGrid w:val="0"/>
                <w:color w:val="auto"/>
                <w:sz w:val="24"/>
                <w:szCs w:val="24"/>
              </w:rPr>
              <w:t>《地表水环境质量标准》（GB3838-2002）</w:t>
            </w:r>
            <w:r>
              <w:rPr>
                <w:rFonts w:hint="default" w:ascii="Times New Roman" w:hAnsi="Times New Roman" w:cs="Times New Roman"/>
                <w:bCs/>
                <w:snapToGrid w:val="0"/>
                <w:color w:val="auto"/>
                <w:sz w:val="24"/>
                <w:szCs w:val="24"/>
              </w:rPr>
              <w:fldChar w:fldCharType="begin"/>
            </w:r>
            <w:r>
              <w:rPr>
                <w:rFonts w:hint="default" w:ascii="Times New Roman" w:hAnsi="Times New Roman" w:cs="Times New Roman"/>
                <w:bCs/>
                <w:snapToGrid w:val="0"/>
                <w:color w:val="auto"/>
                <w:sz w:val="24"/>
                <w:szCs w:val="24"/>
              </w:rPr>
              <w:instrText xml:space="preserve"> = 3 \* ROMAN \* MERGEFORMAT </w:instrText>
            </w:r>
            <w:r>
              <w:rPr>
                <w:rFonts w:hint="default" w:ascii="Times New Roman" w:hAnsi="Times New Roman" w:cs="Times New Roman"/>
                <w:bCs/>
                <w:snapToGrid w:val="0"/>
                <w:color w:val="auto"/>
                <w:sz w:val="24"/>
                <w:szCs w:val="24"/>
              </w:rPr>
              <w:fldChar w:fldCharType="separate"/>
            </w:r>
            <w:r>
              <w:rPr>
                <w:rFonts w:hint="default" w:ascii="Times New Roman" w:hAnsi="Times New Roman" w:cs="Times New Roman"/>
                <w:color w:val="auto"/>
                <w:sz w:val="24"/>
                <w:szCs w:val="24"/>
              </w:rPr>
              <w:t>III</w:t>
            </w:r>
            <w:r>
              <w:rPr>
                <w:rFonts w:hint="default" w:ascii="Times New Roman" w:hAnsi="Times New Roman" w:cs="Times New Roman"/>
                <w:bCs/>
                <w:snapToGrid w:val="0"/>
                <w:color w:val="auto"/>
                <w:sz w:val="24"/>
                <w:szCs w:val="24"/>
              </w:rPr>
              <w:fldChar w:fldCharType="end"/>
            </w:r>
            <w:r>
              <w:rPr>
                <w:rFonts w:hint="default" w:ascii="Times New Roman" w:hAnsi="Times New Roman" w:cs="Times New Roman"/>
                <w:bCs/>
                <w:snapToGrid w:val="0"/>
                <w:color w:val="auto"/>
                <w:sz w:val="24"/>
                <w:szCs w:val="24"/>
              </w:rPr>
              <w:t>类标准</w:t>
            </w:r>
            <w:r>
              <w:rPr>
                <w:snapToGrid w:val="0"/>
                <w:color w:val="auto"/>
                <w:sz w:val="24"/>
                <w:szCs w:val="24"/>
              </w:rPr>
              <w:t>要求</w:t>
            </w:r>
            <w:r>
              <w:rPr>
                <w:rFonts w:hint="eastAsia"/>
                <w:snapToGrid w:val="0"/>
                <w:color w:val="auto"/>
                <w:sz w:val="24"/>
                <w:szCs w:val="24"/>
                <w:lang w:eastAsia="zh-CN"/>
              </w:rPr>
              <w:t>，</w:t>
            </w:r>
            <w:r>
              <w:rPr>
                <w:rFonts w:hint="eastAsia"/>
                <w:snapToGrid w:val="0"/>
                <w:color w:val="auto"/>
                <w:sz w:val="24"/>
                <w:szCs w:val="24"/>
                <w:lang w:val="en-US" w:eastAsia="zh-CN"/>
              </w:rPr>
              <w:t>沿线水环境质量较好</w:t>
            </w:r>
            <w:r>
              <w:rPr>
                <w:rFonts w:hint="eastAsia"/>
                <w:snapToGrid w:val="0"/>
                <w:color w:val="auto"/>
                <w:sz w:val="24"/>
                <w:szCs w:val="24"/>
              </w:rPr>
              <w:t>。</w:t>
            </w:r>
          </w:p>
          <w:p w14:paraId="165C89D0">
            <w:pPr>
              <w:adjustRightInd w:val="0"/>
              <w:spacing w:before="120" w:beforeLines="50" w:line="300" w:lineRule="auto"/>
              <w:rPr>
                <w:b/>
                <w:color w:val="auto"/>
                <w:kern w:val="0"/>
                <w:sz w:val="24"/>
              </w:rPr>
            </w:pPr>
            <w:r>
              <w:rPr>
                <w:rFonts w:hint="eastAsia"/>
                <w:b/>
                <w:color w:val="auto"/>
                <w:kern w:val="0"/>
                <w:sz w:val="24"/>
                <w:lang w:val="en-US" w:eastAsia="zh-CN"/>
              </w:rPr>
              <w:t>3</w:t>
            </w:r>
            <w:r>
              <w:rPr>
                <w:b/>
                <w:color w:val="auto"/>
                <w:kern w:val="0"/>
                <w:sz w:val="24"/>
              </w:rPr>
              <w:t>. 声环境</w:t>
            </w:r>
          </w:p>
          <w:p w14:paraId="4146D989">
            <w:pPr>
              <w:spacing w:line="300" w:lineRule="auto"/>
              <w:ind w:firstLine="480" w:firstLineChars="200"/>
              <w:rPr>
                <w:color w:val="auto"/>
                <w:sz w:val="24"/>
              </w:rPr>
            </w:pPr>
            <w:bookmarkStart w:id="12" w:name="_Hlk187523477"/>
            <w:r>
              <w:rPr>
                <w:color w:val="auto"/>
                <w:sz w:val="24"/>
              </w:rPr>
              <w:t>拟建</w:t>
            </w:r>
            <w:r>
              <w:rPr>
                <w:rFonts w:hint="eastAsia"/>
                <w:color w:val="auto"/>
                <w:sz w:val="24"/>
              </w:rPr>
              <w:t>公路沿线主要位于乡村地区，无大型</w:t>
            </w:r>
            <w:r>
              <w:rPr>
                <w:color w:val="auto"/>
                <w:sz w:val="24"/>
              </w:rPr>
              <w:t>强噪声工矿企业分布</w:t>
            </w:r>
            <w:r>
              <w:rPr>
                <w:rFonts w:hint="eastAsia"/>
                <w:color w:val="auto"/>
                <w:sz w:val="24"/>
              </w:rPr>
              <w:t>，</w:t>
            </w:r>
            <w:r>
              <w:rPr>
                <w:color w:val="auto"/>
                <w:sz w:val="24"/>
              </w:rPr>
              <w:t>主要交通</w:t>
            </w:r>
            <w:r>
              <w:rPr>
                <w:rFonts w:hint="eastAsia"/>
                <w:color w:val="auto"/>
                <w:sz w:val="24"/>
              </w:rPr>
              <w:t>干线</w:t>
            </w:r>
            <w:r>
              <w:rPr>
                <w:color w:val="auto"/>
                <w:sz w:val="24"/>
              </w:rPr>
              <w:t>有</w:t>
            </w:r>
            <w:r>
              <w:rPr>
                <w:rFonts w:hint="eastAsia"/>
                <w:color w:val="auto"/>
                <w:sz w:val="24"/>
              </w:rPr>
              <w:t>G219、</w:t>
            </w:r>
            <w:r>
              <w:rPr>
                <w:rFonts w:hint="eastAsia"/>
                <w:color w:val="auto"/>
                <w:kern w:val="0"/>
                <w:sz w:val="24"/>
              </w:rPr>
              <w:t>G3012</w:t>
            </w:r>
            <w:r>
              <w:rPr>
                <w:rFonts w:hint="eastAsia"/>
                <w:color w:val="auto"/>
                <w:sz w:val="24"/>
                <w:szCs w:val="20"/>
              </w:rPr>
              <w:t>、S311及南疆铁路</w:t>
            </w:r>
            <w:r>
              <w:rPr>
                <w:color w:val="auto"/>
                <w:sz w:val="24"/>
              </w:rPr>
              <w:t>等</w:t>
            </w:r>
            <w:r>
              <w:rPr>
                <w:rFonts w:hint="eastAsia"/>
                <w:color w:val="auto"/>
                <w:sz w:val="24"/>
              </w:rPr>
              <w:t>，</w:t>
            </w:r>
            <w:r>
              <w:rPr>
                <w:color w:val="auto"/>
                <w:sz w:val="24"/>
              </w:rPr>
              <w:t>噪声源主要为现有交通噪声和</w:t>
            </w:r>
            <w:r>
              <w:rPr>
                <w:rFonts w:hint="eastAsia"/>
                <w:color w:val="auto"/>
                <w:sz w:val="24"/>
              </w:rPr>
              <w:t>社会</w:t>
            </w:r>
            <w:r>
              <w:rPr>
                <w:color w:val="auto"/>
                <w:sz w:val="24"/>
              </w:rPr>
              <w:t>生活噪声，其中交通噪声为主要污染源。</w:t>
            </w:r>
            <w:bookmarkEnd w:id="12"/>
            <w:r>
              <w:rPr>
                <w:color w:val="auto"/>
                <w:sz w:val="24"/>
              </w:rPr>
              <w:t>拟建公路所在区域声环境质量总体</w:t>
            </w:r>
            <w:r>
              <w:rPr>
                <w:rFonts w:hint="eastAsia"/>
                <w:color w:val="auto"/>
                <w:sz w:val="24"/>
              </w:rPr>
              <w:t>较好</w:t>
            </w:r>
            <w:r>
              <w:rPr>
                <w:color w:val="auto"/>
                <w:sz w:val="24"/>
              </w:rPr>
              <w:t>。</w:t>
            </w:r>
          </w:p>
          <w:p w14:paraId="371B370D">
            <w:pPr>
              <w:adjustRightInd w:val="0"/>
              <w:spacing w:line="300" w:lineRule="auto"/>
              <w:ind w:firstLine="480" w:firstLineChars="200"/>
              <w:rPr>
                <w:color w:val="auto"/>
                <w:sz w:val="24"/>
              </w:rPr>
            </w:pPr>
            <w:r>
              <w:rPr>
                <w:color w:val="auto"/>
                <w:sz w:val="24"/>
              </w:rPr>
              <w:t>根据拟建公路所经区域的环境特征、噪声污染源和噪声敏感目标现状情况，本着“以点和代表性区段为主，点段结合，反馈全线”的评价原则，本次评价委托</w:t>
            </w:r>
            <w:r>
              <w:rPr>
                <w:rFonts w:hint="eastAsia"/>
                <w:color w:val="auto"/>
                <w:sz w:val="24"/>
              </w:rPr>
              <w:t>新疆绿格洁瑞环境检测技术有限公司</w:t>
            </w:r>
            <w:r>
              <w:rPr>
                <w:color w:val="auto"/>
                <w:sz w:val="24"/>
              </w:rPr>
              <w:t>于202</w:t>
            </w:r>
            <w:r>
              <w:rPr>
                <w:rFonts w:hint="eastAsia"/>
                <w:color w:val="auto"/>
                <w:sz w:val="24"/>
              </w:rPr>
              <w:t>6</w:t>
            </w:r>
            <w:r>
              <w:rPr>
                <w:color w:val="auto"/>
                <w:sz w:val="24"/>
              </w:rPr>
              <w:t>年</w:t>
            </w:r>
            <w:r>
              <w:rPr>
                <w:rFonts w:hint="eastAsia"/>
                <w:color w:val="auto"/>
                <w:sz w:val="24"/>
              </w:rPr>
              <w:t>4</w:t>
            </w:r>
            <w:r>
              <w:rPr>
                <w:color w:val="auto"/>
                <w:sz w:val="24"/>
              </w:rPr>
              <w:t>月</w:t>
            </w:r>
            <w:r>
              <w:rPr>
                <w:rFonts w:hint="eastAsia"/>
                <w:color w:val="auto"/>
                <w:sz w:val="24"/>
              </w:rPr>
              <w:t>21</w:t>
            </w:r>
            <w:r>
              <w:rPr>
                <w:color w:val="auto"/>
                <w:sz w:val="24"/>
              </w:rPr>
              <w:t>日～</w:t>
            </w:r>
            <w:r>
              <w:rPr>
                <w:rFonts w:hint="eastAsia"/>
                <w:color w:val="auto"/>
                <w:sz w:val="24"/>
              </w:rPr>
              <w:t>4</w:t>
            </w:r>
            <w:r>
              <w:rPr>
                <w:color w:val="auto"/>
                <w:sz w:val="24"/>
              </w:rPr>
              <w:t>月</w:t>
            </w:r>
            <w:r>
              <w:rPr>
                <w:rFonts w:hint="eastAsia"/>
                <w:color w:val="auto"/>
                <w:sz w:val="24"/>
              </w:rPr>
              <w:t>29</w:t>
            </w:r>
            <w:r>
              <w:rPr>
                <w:color w:val="auto"/>
                <w:sz w:val="24"/>
              </w:rPr>
              <w:t>日对项目沿线</w:t>
            </w:r>
            <w:r>
              <w:rPr>
                <w:rFonts w:hint="eastAsia"/>
                <w:color w:val="auto"/>
                <w:sz w:val="24"/>
              </w:rPr>
              <w:t>20</w:t>
            </w:r>
            <w:r>
              <w:rPr>
                <w:color w:val="auto"/>
                <w:sz w:val="24"/>
              </w:rPr>
              <w:t>处代表性声环境保护目标</w:t>
            </w:r>
            <w:r>
              <w:rPr>
                <w:rFonts w:hint="eastAsia"/>
                <w:color w:val="auto"/>
                <w:sz w:val="24"/>
              </w:rPr>
              <w:t>和1</w:t>
            </w:r>
            <w:r>
              <w:rPr>
                <w:color w:val="auto"/>
                <w:sz w:val="24"/>
              </w:rPr>
              <w:t>处交通噪声断面进行了现状监测。现状监测表明，拟建公路沿线所布设的噪声监测点昼、夜环境噪声监测值均可以达到相应执行的《声环境质量标准》（GB</w:t>
            </w:r>
            <w:r>
              <w:rPr>
                <w:rFonts w:hint="eastAsia"/>
                <w:color w:val="auto"/>
                <w:sz w:val="24"/>
              </w:rPr>
              <w:t xml:space="preserve"> </w:t>
            </w:r>
            <w:r>
              <w:rPr>
                <w:color w:val="auto"/>
                <w:sz w:val="24"/>
              </w:rPr>
              <w:t>3096-2008）的4a类、2类标准要求</w:t>
            </w:r>
            <w:r>
              <w:rPr>
                <w:rFonts w:hint="eastAsia"/>
                <w:color w:val="auto"/>
                <w:sz w:val="24"/>
              </w:rPr>
              <w:t>；根据代表性监测点位类比分析，沿线其余9处声环境保护目标</w:t>
            </w:r>
            <w:r>
              <w:rPr>
                <w:color w:val="auto"/>
                <w:sz w:val="24"/>
              </w:rPr>
              <w:t>昼、</w:t>
            </w:r>
            <w:r>
              <w:rPr>
                <w:rFonts w:hint="eastAsia"/>
                <w:color w:val="auto"/>
                <w:sz w:val="24"/>
              </w:rPr>
              <w:t>夜环境噪声</w:t>
            </w:r>
            <w:r>
              <w:rPr>
                <w:rFonts w:hint="eastAsia"/>
                <w:color w:val="auto"/>
                <w:sz w:val="24"/>
                <w:lang w:eastAsia="zh-CN"/>
              </w:rPr>
              <w:t>均</w:t>
            </w:r>
            <w:r>
              <w:rPr>
                <w:rFonts w:hint="eastAsia"/>
                <w:color w:val="auto"/>
                <w:sz w:val="24"/>
              </w:rPr>
              <w:t>可以达到《声环境质量标准》（GB3096-2008）的4a类、2类标准要求。</w:t>
            </w:r>
            <w:r>
              <w:rPr>
                <w:color w:val="auto"/>
                <w:sz w:val="24"/>
              </w:rPr>
              <w:t>拟建公路沿线声环境质量现状较好</w:t>
            </w:r>
            <w:r>
              <w:rPr>
                <w:rFonts w:hint="eastAsia"/>
                <w:color w:val="auto"/>
                <w:sz w:val="24"/>
              </w:rPr>
              <w:t>。</w:t>
            </w:r>
          </w:p>
          <w:p w14:paraId="7C335B43">
            <w:pPr>
              <w:adjustRightInd w:val="0"/>
              <w:spacing w:after="120" w:afterLines="50" w:line="300" w:lineRule="auto"/>
              <w:ind w:firstLine="480" w:firstLineChars="200"/>
              <w:rPr>
                <w:color w:val="auto"/>
                <w:sz w:val="24"/>
              </w:rPr>
            </w:pPr>
            <w:r>
              <w:rPr>
                <w:rFonts w:hint="eastAsia"/>
                <w:color w:val="auto"/>
                <w:sz w:val="24"/>
              </w:rPr>
              <w:t>拟建公路</w:t>
            </w:r>
            <w:r>
              <w:rPr>
                <w:color w:val="auto"/>
                <w:sz w:val="24"/>
              </w:rPr>
              <w:t>声环境现状具体见声环境专项评价。</w:t>
            </w:r>
          </w:p>
          <w:p w14:paraId="594103E3">
            <w:pPr>
              <w:adjustRightInd w:val="0"/>
              <w:spacing w:line="300" w:lineRule="auto"/>
              <w:rPr>
                <w:b/>
                <w:color w:val="auto"/>
                <w:kern w:val="0"/>
                <w:sz w:val="24"/>
              </w:rPr>
            </w:pPr>
            <w:r>
              <w:rPr>
                <w:rFonts w:hint="eastAsia"/>
                <w:b/>
                <w:color w:val="auto"/>
                <w:kern w:val="0"/>
                <w:sz w:val="24"/>
                <w:lang w:val="en-US" w:eastAsia="zh-CN"/>
              </w:rPr>
              <w:t xml:space="preserve">4. </w:t>
            </w:r>
            <w:r>
              <w:rPr>
                <w:b/>
                <w:color w:val="auto"/>
                <w:kern w:val="0"/>
                <w:sz w:val="24"/>
              </w:rPr>
              <w:t>生态</w:t>
            </w:r>
          </w:p>
          <w:p w14:paraId="35FB1535">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Ansi="宋体"/>
                <w:color w:val="auto"/>
                <w:kern w:val="0"/>
                <w:sz w:val="24"/>
              </w:rPr>
            </w:pPr>
            <w:r>
              <w:rPr>
                <w:rFonts w:hint="eastAsia" w:hAnsi="宋体"/>
                <w:color w:val="auto"/>
                <w:kern w:val="0"/>
                <w:sz w:val="24"/>
              </w:rPr>
              <w:t>根据《新疆生态功能区划》，</w:t>
            </w:r>
            <w:r>
              <w:rPr>
                <w:rFonts w:hAnsi="宋体"/>
                <w:color w:val="auto"/>
                <w:kern w:val="0"/>
                <w:sz w:val="24"/>
              </w:rPr>
              <w:t>项目区</w:t>
            </w:r>
            <w:r>
              <w:rPr>
                <w:rFonts w:hint="eastAsia" w:hAnsi="宋体"/>
                <w:color w:val="auto"/>
                <w:kern w:val="0"/>
                <w:sz w:val="24"/>
              </w:rPr>
              <w:t>在全疆生态功能区划中属于塔里木盆地暖温荒漠及绿洲农业生态区</w:t>
            </w:r>
            <w:r>
              <w:rPr>
                <w:rFonts w:hint="eastAsia" w:ascii="宋体" w:hAnsi="宋体" w:eastAsia="宋体" w:cs="宋体"/>
                <w:color w:val="auto"/>
                <w:kern w:val="0"/>
                <w:sz w:val="24"/>
              </w:rPr>
              <w:t>-</w:t>
            </w:r>
            <w:r>
              <w:rPr>
                <w:rFonts w:hint="eastAsia" w:hAnsi="宋体"/>
                <w:color w:val="auto"/>
                <w:kern w:val="0"/>
                <w:sz w:val="24"/>
              </w:rPr>
              <w:t>塔里木盆地西部、北部荒漠及绿洲农业生态亚区</w:t>
            </w:r>
            <w:r>
              <w:rPr>
                <w:rFonts w:hint="eastAsia" w:ascii="宋体" w:hAnsi="宋体" w:eastAsia="宋体" w:cs="宋体"/>
                <w:color w:val="auto"/>
                <w:kern w:val="0"/>
                <w:sz w:val="24"/>
              </w:rPr>
              <w:t>-</w:t>
            </w:r>
            <w:r>
              <w:rPr>
                <w:rFonts w:hint="eastAsia" w:hAnsi="宋体"/>
                <w:color w:val="auto"/>
                <w:kern w:val="0"/>
                <w:sz w:val="24"/>
              </w:rPr>
              <w:t>喀什三角洲绿洲农业盐渍化敏感生态功能区。</w:t>
            </w:r>
          </w:p>
          <w:p w14:paraId="55D29CBB">
            <w:pPr>
              <w:keepNext w:val="0"/>
              <w:keepLines w:val="0"/>
              <w:pageBreakBefore w:val="0"/>
              <w:widowControl w:val="0"/>
              <w:kinsoku/>
              <w:wordWrap/>
              <w:overflowPunct/>
              <w:topLinePunct w:val="0"/>
              <w:autoSpaceDE/>
              <w:autoSpaceDN/>
              <w:bidi w:val="0"/>
              <w:adjustRightInd/>
              <w:snapToGrid w:val="0"/>
              <w:spacing w:line="300" w:lineRule="auto"/>
              <w:ind w:firstLine="482"/>
              <w:textAlignment w:val="auto"/>
              <w:rPr>
                <w:rFonts w:eastAsiaTheme="minorEastAsia"/>
                <w:color w:val="auto"/>
                <w:sz w:val="24"/>
              </w:rPr>
            </w:pPr>
            <w:r>
              <w:rPr>
                <w:rFonts w:hint="eastAsia" w:hAnsi="宋体"/>
                <w:color w:val="auto"/>
                <w:kern w:val="0"/>
                <w:sz w:val="24"/>
                <w:lang w:val="en-US" w:eastAsia="zh-CN"/>
              </w:rPr>
              <w:t>拟建公路沿线大部分</w:t>
            </w:r>
            <w:r>
              <w:rPr>
                <w:rFonts w:hint="eastAsia" w:hAnsi="宋体"/>
                <w:color w:val="auto"/>
                <w:kern w:val="0"/>
                <w:sz w:val="24"/>
              </w:rPr>
              <w:t>属平原绿洲</w:t>
            </w:r>
            <w:r>
              <w:rPr>
                <w:rFonts w:hint="eastAsia" w:hAnsi="宋体"/>
                <w:color w:val="auto"/>
                <w:kern w:val="0"/>
                <w:sz w:val="24"/>
                <w:lang w:val="en-US" w:eastAsia="zh-CN"/>
              </w:rPr>
              <w:t>区</w:t>
            </w:r>
            <w:r>
              <w:rPr>
                <w:rFonts w:hint="eastAsia" w:hAnsi="宋体"/>
                <w:color w:val="auto"/>
                <w:kern w:val="0"/>
                <w:sz w:val="24"/>
              </w:rPr>
              <w:t>，</w:t>
            </w:r>
            <w:r>
              <w:rPr>
                <w:rFonts w:hint="eastAsia" w:hAnsi="宋体"/>
                <w:color w:val="auto"/>
                <w:kern w:val="0"/>
                <w:sz w:val="24"/>
                <w:lang w:val="en-US" w:eastAsia="zh-CN"/>
              </w:rPr>
              <w:t>部分路段</w:t>
            </w:r>
            <w:r>
              <w:rPr>
                <w:rFonts w:hint="eastAsia" w:hAnsi="宋体"/>
                <w:color w:val="auto"/>
                <w:kern w:val="0"/>
                <w:sz w:val="24"/>
              </w:rPr>
              <w:t>由于地下水埋深</w:t>
            </w:r>
            <w:r>
              <w:rPr>
                <w:rFonts w:hint="eastAsia" w:hAnsi="宋体"/>
                <w:color w:val="auto"/>
                <w:kern w:val="0"/>
                <w:sz w:val="24"/>
                <w:lang w:val="en-US" w:eastAsia="zh-CN"/>
              </w:rPr>
              <w:t>较浅</w:t>
            </w:r>
            <w:r>
              <w:rPr>
                <w:rFonts w:hint="eastAsia" w:hAnsi="宋体"/>
                <w:color w:val="auto"/>
                <w:kern w:val="0"/>
                <w:sz w:val="24"/>
              </w:rPr>
              <w:t>，浅层地下水硫酸盐含量较高，土壤</w:t>
            </w:r>
            <w:r>
              <w:rPr>
                <w:rFonts w:hint="eastAsia" w:hAnsi="宋体"/>
                <w:color w:val="auto"/>
                <w:kern w:val="0"/>
                <w:sz w:val="24"/>
                <w:lang w:val="en-US" w:eastAsia="zh-CN"/>
              </w:rPr>
              <w:t>呈</w:t>
            </w:r>
            <w:r>
              <w:rPr>
                <w:rFonts w:hint="eastAsia" w:hAnsi="宋体"/>
                <w:color w:val="auto"/>
                <w:kern w:val="0"/>
                <w:sz w:val="24"/>
              </w:rPr>
              <w:t>盐渍化。</w:t>
            </w:r>
          </w:p>
          <w:p w14:paraId="6B8AB206">
            <w:pPr>
              <w:spacing w:line="300" w:lineRule="auto"/>
              <w:ind w:firstLine="480" w:firstLineChars="200"/>
              <w:rPr>
                <w:rFonts w:hint="eastAsia" w:eastAsia="宋体"/>
                <w:color w:val="auto"/>
                <w:sz w:val="24"/>
                <w:lang w:eastAsia="zh-CN"/>
              </w:rPr>
            </w:pPr>
            <w:r>
              <w:rPr>
                <w:rFonts w:hint="eastAsia"/>
                <w:color w:val="auto"/>
                <w:sz w:val="24"/>
              </w:rPr>
              <w:t>沿线天然植被以荒漠植被为主，无天然针叶林、阔叶林及高山植被分布；人工植被以绿洲农田和农田防护林为主。主要植被型包括灌木、草地、栽培植被三类，区域植被结构简单、覆盖度低。项目沿线植被以新疆杨、银白杨、榆树、沙枣构成的人工林为主，</w:t>
            </w:r>
            <w:bookmarkStart w:id="13" w:name="OLE_LINK9"/>
            <w:r>
              <w:rPr>
                <w:rFonts w:hint="eastAsia"/>
                <w:color w:val="auto"/>
                <w:sz w:val="24"/>
              </w:rPr>
              <w:t>灌木为</w:t>
            </w:r>
            <w:bookmarkStart w:id="14" w:name="OLE_LINK31"/>
            <w:r>
              <w:rPr>
                <w:color w:val="auto"/>
                <w:sz w:val="24"/>
              </w:rPr>
              <w:t>多枝柽柳、</w:t>
            </w:r>
            <w:r>
              <w:rPr>
                <w:rFonts w:hint="eastAsia"/>
                <w:color w:val="auto"/>
                <w:sz w:val="24"/>
              </w:rPr>
              <w:t>柽柳、琵琶柴、</w:t>
            </w:r>
            <w:r>
              <w:rPr>
                <w:color w:val="auto"/>
                <w:sz w:val="24"/>
              </w:rPr>
              <w:t>沙拐枣、骆驼刺、盐爪爪</w:t>
            </w:r>
            <w:bookmarkEnd w:id="14"/>
            <w:r>
              <w:rPr>
                <w:color w:val="auto"/>
                <w:sz w:val="24"/>
              </w:rPr>
              <w:t>等</w:t>
            </w:r>
            <w:bookmarkEnd w:id="13"/>
            <w:r>
              <w:rPr>
                <w:rFonts w:hint="eastAsia"/>
                <w:color w:val="auto"/>
                <w:sz w:val="24"/>
              </w:rPr>
              <w:t>，草地主要为芨芨草、碱蓬。评价范围未发现国家级和新疆自治区级保护植物</w:t>
            </w:r>
            <w:r>
              <w:rPr>
                <w:rFonts w:hint="eastAsia"/>
                <w:color w:val="auto"/>
                <w:sz w:val="24"/>
                <w:lang w:val="en-US" w:eastAsia="zh-CN"/>
              </w:rPr>
              <w:t>以及</w:t>
            </w:r>
            <w:r>
              <w:rPr>
                <w:rFonts w:hint="eastAsia"/>
                <w:color w:val="auto"/>
                <w:sz w:val="24"/>
              </w:rPr>
              <w:t>古树名木</w:t>
            </w:r>
            <w:r>
              <w:rPr>
                <w:rFonts w:hint="eastAsia"/>
                <w:color w:val="auto"/>
                <w:sz w:val="24"/>
                <w:lang w:eastAsia="zh-CN"/>
              </w:rPr>
              <w:t>。</w:t>
            </w:r>
          </w:p>
          <w:p w14:paraId="1E28CFFC">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auto"/>
              <w:ind w:firstLine="480" w:firstLineChars="200"/>
              <w:jc w:val="both"/>
              <w:textAlignment w:val="auto"/>
              <w:rPr>
                <w:rFonts w:hint="default" w:ascii="Times New Roman" w:hAnsi="Times New Roman" w:eastAsiaTheme="minorEastAsia"/>
                <w:color w:val="auto"/>
                <w:kern w:val="2"/>
                <w:szCs w:val="24"/>
                <w:lang w:val="en-US" w:eastAsia="zh-CN" w:bidi="ar"/>
              </w:rPr>
            </w:pPr>
            <w:r>
              <w:rPr>
                <w:rFonts w:ascii="Times New Roman" w:hAnsi="Times New Roman" w:eastAsiaTheme="minorEastAsia"/>
                <w:color w:val="auto"/>
                <w:kern w:val="2"/>
                <w:szCs w:val="24"/>
                <w:lang w:bidi="ar"/>
              </w:rPr>
              <w:t>评价区分布的野生动物以鸟类和哺乳动物为主。</w:t>
            </w:r>
            <w:r>
              <w:rPr>
                <w:rFonts w:hint="eastAsia" w:ascii="Times New Roman" w:hAnsi="Times New Roman" w:eastAsiaTheme="minorEastAsia"/>
                <w:color w:val="auto"/>
                <w:kern w:val="2"/>
                <w:szCs w:val="24"/>
                <w:lang w:bidi="ar"/>
              </w:rPr>
              <w:t>通过资料收集和现场调查，荒漠区兽类以子午沙鼠、短耳沙鼠等啮齿类动物为主，爬行类以麻蜥、荒漠麻蜥为主；人工绿洲区以家燕、戴胜、喜鹊、小嘴乌鸦、灰斑鸠等鸟类为主；两栖类以塔里木蟾蜍等（仅分布于绿洲、沟渠周边）。经过林业、农业部门咨询和沿途踏勘、访谈，项目区公路运行多年，人类活动频繁，评价范围内无国家级和新疆自治区级重点保护野生动物分布</w:t>
            </w:r>
            <w:r>
              <w:rPr>
                <w:rFonts w:hint="eastAsia" w:ascii="Times New Roman" w:hAnsi="Times New Roman" w:eastAsiaTheme="minorEastAsia"/>
                <w:color w:val="auto"/>
                <w:kern w:val="2"/>
                <w:szCs w:val="24"/>
                <w:lang w:val="en-US" w:eastAsia="zh-CN" w:bidi="ar"/>
              </w:rPr>
              <w:t>。</w:t>
            </w:r>
          </w:p>
          <w:p w14:paraId="4FD40BA6">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auto"/>
              <w:ind w:firstLine="480" w:firstLineChars="200"/>
              <w:jc w:val="both"/>
              <w:textAlignment w:val="auto"/>
              <w:rPr>
                <w:rFonts w:hint="default" w:ascii="Times New Roman" w:hAnsi="Times New Roman" w:cs="Times New Roman" w:eastAsiaTheme="minorEastAsia"/>
                <w:color w:val="auto"/>
                <w:kern w:val="2"/>
                <w:sz w:val="24"/>
                <w:szCs w:val="24"/>
                <w:lang w:bidi="ar"/>
              </w:rPr>
            </w:pPr>
            <w:r>
              <w:rPr>
                <w:rFonts w:hint="default" w:ascii="Times New Roman" w:hAnsi="Times New Roman" w:cs="Times New Roman"/>
                <w:color w:val="auto"/>
                <w:sz w:val="24"/>
                <w:szCs w:val="24"/>
              </w:rPr>
              <w:t>拟建公路沿线水生生态以</w:t>
            </w:r>
            <w:r>
              <w:rPr>
                <w:rFonts w:hint="eastAsia" w:ascii="Times New Roman" w:hAnsi="Times New Roman" w:cs="Times New Roman"/>
                <w:color w:val="auto"/>
                <w:sz w:val="24"/>
                <w:szCs w:val="24"/>
                <w:lang w:eastAsia="zh-CN"/>
              </w:rPr>
              <w:t>水体1</w:t>
            </w:r>
            <w:r>
              <w:rPr>
                <w:rFonts w:hint="default" w:ascii="Times New Roman" w:hAnsi="Times New Roman" w:cs="Times New Roman"/>
                <w:color w:val="auto"/>
                <w:sz w:val="24"/>
                <w:szCs w:val="24"/>
              </w:rPr>
              <w:t>流域季节性河滩湿地和盐沼湿地为主，水生生物资源较为贫乏，群落结构简单，无珍稀濒危保护物种，无鱼类产卵场、索饵场、越冬场等重要水生生物生境。</w:t>
            </w:r>
          </w:p>
          <w:p w14:paraId="5BA44A99">
            <w:pPr>
              <w:spacing w:line="300" w:lineRule="auto"/>
              <w:ind w:firstLine="480" w:firstLineChars="200"/>
              <w:rPr>
                <w:rFonts w:eastAsiaTheme="minorEastAsia"/>
                <w:color w:val="auto"/>
                <w:sz w:val="24"/>
              </w:rPr>
            </w:pPr>
            <w:r>
              <w:rPr>
                <w:rFonts w:hint="default" w:ascii="Times New Roman" w:hAnsi="Times New Roman" w:cs="Times New Roman" w:eastAsiaTheme="minorEastAsia"/>
                <w:color w:val="auto"/>
                <w:sz w:val="24"/>
                <w:szCs w:val="24"/>
              </w:rPr>
              <w:t>拟建公路</w:t>
            </w:r>
            <w:bookmarkStart w:id="15" w:name="OLE_LINK45"/>
            <w:r>
              <w:rPr>
                <w:rFonts w:hint="default" w:ascii="Times New Roman" w:hAnsi="Times New Roman" w:cs="Times New Roman" w:eastAsiaTheme="minorEastAsia"/>
                <w:color w:val="auto"/>
                <w:sz w:val="24"/>
                <w:szCs w:val="24"/>
              </w:rPr>
              <w:t>K0+000~K1+100、K4+100~K6+500、K11+000~K14+000段穿越沙化土地，共6.5km，约占戈壁类型沙化土地15.68hm</w:t>
            </w:r>
            <w:r>
              <w:rPr>
                <w:rFonts w:hint="default" w:ascii="Times New Roman" w:hAnsi="Times New Roman" w:cs="Times New Roman" w:eastAsiaTheme="minorEastAsia"/>
                <w:color w:val="auto"/>
                <w:sz w:val="24"/>
                <w:szCs w:val="24"/>
                <w:vertAlign w:val="superscript"/>
              </w:rPr>
              <w:t>2</w:t>
            </w:r>
            <w:r>
              <w:rPr>
                <w:rFonts w:hint="default" w:ascii="Times New Roman" w:hAnsi="Times New Roman" w:cs="Times New Roman"/>
                <w:color w:val="auto"/>
                <w:sz w:val="24"/>
                <w:szCs w:val="24"/>
                <w:lang w:bidi="ar"/>
              </w:rPr>
              <w:t>。</w:t>
            </w:r>
            <w:bookmarkEnd w:id="15"/>
          </w:p>
          <w:p w14:paraId="7279FBFD">
            <w:pPr>
              <w:snapToGrid w:val="0"/>
              <w:spacing w:line="300" w:lineRule="auto"/>
              <w:ind w:firstLine="480" w:firstLineChars="200"/>
              <w:rPr>
                <w:rFonts w:eastAsiaTheme="minorEastAsia"/>
                <w:color w:val="auto"/>
                <w:kern w:val="0"/>
                <w:sz w:val="24"/>
                <w:szCs w:val="24"/>
                <w:lang w:bidi="ar"/>
              </w:rPr>
            </w:pPr>
            <w:r>
              <w:rPr>
                <w:rFonts w:eastAsiaTheme="minorEastAsia"/>
                <w:color w:val="auto"/>
                <w:sz w:val="24"/>
                <w:szCs w:val="24"/>
                <w:lang w:bidi="ar"/>
              </w:rPr>
              <w:t>根据拟建公路区林草部门相关数据，进行叠图对比分析，</w:t>
            </w:r>
            <w:r>
              <w:rPr>
                <w:rFonts w:eastAsiaTheme="minorEastAsia"/>
                <w:color w:val="auto"/>
                <w:sz w:val="24"/>
                <w:lang w:bidi="ar"/>
              </w:rPr>
              <w:t>拟建公路</w:t>
            </w:r>
            <w:r>
              <w:rPr>
                <w:rFonts w:hint="eastAsia" w:eastAsiaTheme="minorEastAsia"/>
                <w:color w:val="auto"/>
                <w:sz w:val="24"/>
                <w:lang w:bidi="ar"/>
              </w:rPr>
              <w:t>300m范围</w:t>
            </w:r>
            <w:r>
              <w:rPr>
                <w:rFonts w:hint="eastAsia" w:eastAsiaTheme="minorEastAsia"/>
                <w:color w:val="auto"/>
                <w:sz w:val="24"/>
                <w:lang w:val="en-US" w:eastAsia="zh-CN" w:bidi="ar"/>
              </w:rPr>
              <w:t>内</w:t>
            </w:r>
            <w:r>
              <w:rPr>
                <w:rFonts w:hint="eastAsia" w:eastAsiaTheme="minorEastAsia"/>
                <w:color w:val="auto"/>
                <w:sz w:val="24"/>
                <w:szCs w:val="24"/>
                <w:lang w:bidi="ar"/>
              </w:rPr>
              <w:t>不涉及生态敏感区，不涉及生态</w:t>
            </w:r>
            <w:r>
              <w:rPr>
                <w:rFonts w:hint="eastAsia"/>
                <w:color w:val="auto"/>
                <w:sz w:val="24"/>
                <w:szCs w:val="24"/>
                <w:lang w:bidi="ar"/>
              </w:rPr>
              <w:t>保护红线区域。</w:t>
            </w:r>
          </w:p>
          <w:p w14:paraId="0D861F75">
            <w:pPr>
              <w:adjustRightInd w:val="0"/>
              <w:spacing w:line="300" w:lineRule="auto"/>
              <w:ind w:firstLine="480" w:firstLineChars="200"/>
              <w:rPr>
                <w:rFonts w:hint="eastAsia" w:eastAsia="宋体"/>
                <w:color w:val="auto"/>
                <w:spacing w:val="4"/>
                <w:sz w:val="24"/>
                <w:lang w:eastAsia="zh-CN"/>
              </w:rPr>
            </w:pPr>
            <w:r>
              <w:rPr>
                <w:rFonts w:hint="eastAsia"/>
                <w:sz w:val="24"/>
              </w:rPr>
              <w:t>拟建公路</w:t>
            </w:r>
            <w:r>
              <w:rPr>
                <w:rFonts w:hint="eastAsia"/>
                <w:spacing w:val="4"/>
                <w:sz w:val="24"/>
              </w:rPr>
              <w:t>生态现状具体见生态专项评价</w:t>
            </w:r>
            <w:r>
              <w:rPr>
                <w:rFonts w:hint="eastAsia"/>
                <w:spacing w:val="4"/>
                <w:sz w:val="24"/>
                <w:lang w:eastAsia="zh-CN"/>
              </w:rPr>
              <w:t>。</w:t>
            </w:r>
          </w:p>
        </w:tc>
      </w:tr>
      <w:tr w14:paraId="3AB3A38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3320" w:hRule="atLeast"/>
        </w:trPr>
        <w:tc>
          <w:tcPr>
            <w:tcW w:w="456" w:type="dxa"/>
            <w:tcBorders>
              <w:top w:val="single" w:color="auto" w:sz="4" w:space="0"/>
            </w:tcBorders>
            <w:vAlign w:val="center"/>
          </w:tcPr>
          <w:p w14:paraId="40719A9D">
            <w:pPr>
              <w:adjustRightInd w:val="0"/>
              <w:snapToGrid w:val="0"/>
              <w:jc w:val="center"/>
              <w:rPr>
                <w:color w:val="auto"/>
                <w:kern w:val="0"/>
                <w:sz w:val="24"/>
              </w:rPr>
            </w:pPr>
            <w:r>
              <w:rPr>
                <w:bCs/>
                <w:color w:val="auto"/>
                <w:sz w:val="24"/>
              </w:rPr>
              <w:t>与项目有关的原有环境污染和生态破坏问题</w:t>
            </w:r>
          </w:p>
        </w:tc>
        <w:tc>
          <w:tcPr>
            <w:tcW w:w="8616" w:type="dxa"/>
            <w:tcBorders>
              <w:top w:val="single" w:color="auto" w:sz="4" w:space="0"/>
            </w:tcBorders>
            <w:vAlign w:val="center"/>
          </w:tcPr>
          <w:p w14:paraId="27EC02D4">
            <w:pPr>
              <w:adjustRightInd w:val="0"/>
              <w:spacing w:line="300" w:lineRule="auto"/>
              <w:rPr>
                <w:b/>
                <w:sz w:val="24"/>
                <w:shd w:val="clear" w:color="auto" w:fill="FFFFFF"/>
              </w:rPr>
            </w:pPr>
            <w:r>
              <w:rPr>
                <w:rFonts w:hint="eastAsia"/>
                <w:b/>
                <w:sz w:val="24"/>
                <w:shd w:val="clear" w:color="auto" w:fill="FFFFFF"/>
              </w:rPr>
              <w:t>1</w:t>
            </w:r>
            <w:r>
              <w:rPr>
                <w:b/>
                <w:sz w:val="24"/>
                <w:shd w:val="clear" w:color="auto" w:fill="FFFFFF"/>
              </w:rPr>
              <w:t xml:space="preserve">. </w:t>
            </w:r>
            <w:r>
              <w:rPr>
                <w:rFonts w:hint="eastAsia"/>
                <w:b/>
                <w:sz w:val="24"/>
                <w:shd w:val="clear" w:color="auto" w:fill="FFFFFF"/>
              </w:rPr>
              <w:t>既</w:t>
            </w:r>
            <w:r>
              <w:rPr>
                <w:b/>
                <w:sz w:val="24"/>
                <w:shd w:val="clear" w:color="auto" w:fill="FFFFFF"/>
              </w:rPr>
              <w:t>有</w:t>
            </w:r>
            <w:r>
              <w:rPr>
                <w:rFonts w:hint="eastAsia"/>
                <w:b/>
                <w:sz w:val="24"/>
                <w:shd w:val="clear" w:color="auto" w:fill="FFFFFF"/>
              </w:rPr>
              <w:t>公路环保</w:t>
            </w:r>
            <w:r>
              <w:rPr>
                <w:b/>
                <w:sz w:val="24"/>
                <w:shd w:val="clear" w:color="auto" w:fill="FFFFFF"/>
              </w:rPr>
              <w:t>手续履行情况</w:t>
            </w:r>
          </w:p>
          <w:p w14:paraId="523971C9">
            <w:pPr>
              <w:adjustRightInd w:val="0"/>
              <w:spacing w:line="300" w:lineRule="auto"/>
              <w:ind w:firstLine="480" w:firstLineChars="200"/>
              <w:rPr>
                <w:sz w:val="24"/>
              </w:rPr>
            </w:pPr>
            <w:r>
              <w:rPr>
                <w:rFonts w:hint="eastAsia"/>
                <w:sz w:val="24"/>
              </w:rPr>
              <w:t>既有公路作为G219线新疆克州及喀什</w:t>
            </w:r>
            <w:r>
              <w:rPr>
                <w:rFonts w:hint="eastAsia"/>
                <w:sz w:val="24"/>
                <w:lang w:val="en-US" w:eastAsia="zh-CN"/>
              </w:rPr>
              <w:t>地区</w:t>
            </w:r>
            <w:r>
              <w:rPr>
                <w:rFonts w:hint="eastAsia"/>
                <w:sz w:val="24"/>
              </w:rPr>
              <w:t>境内的重要组成部分，环保手续齐全。</w:t>
            </w:r>
          </w:p>
          <w:p w14:paraId="581EE1B5">
            <w:pPr>
              <w:adjustRightInd w:val="0"/>
              <w:spacing w:line="300" w:lineRule="auto"/>
              <w:ind w:firstLine="480" w:firstLineChars="200"/>
              <w:rPr>
                <w:sz w:val="24"/>
              </w:rPr>
            </w:pPr>
            <w:r>
              <w:rPr>
                <w:rFonts w:hint="eastAsia"/>
                <w:sz w:val="24"/>
              </w:rPr>
              <w:t>(1) 环境影响报告书</w:t>
            </w:r>
          </w:p>
          <w:p w14:paraId="5915DD81">
            <w:pPr>
              <w:adjustRightInd w:val="0"/>
              <w:spacing w:line="300" w:lineRule="auto"/>
              <w:ind w:firstLine="480" w:firstLineChars="200"/>
              <w:rPr>
                <w:sz w:val="24"/>
              </w:rPr>
            </w:pPr>
            <w:r>
              <w:rPr>
                <w:rFonts w:hint="eastAsia"/>
                <w:sz w:val="24"/>
              </w:rPr>
              <w:t>2013年10月，新疆维吾尔自治区环境保护技术咨询中心编制完成了《G219线八盘水磨-岳普湖县段公路改建工程环境影响报告书》。</w:t>
            </w:r>
          </w:p>
          <w:p w14:paraId="47F19A41">
            <w:pPr>
              <w:adjustRightInd w:val="0"/>
              <w:spacing w:line="300" w:lineRule="auto"/>
              <w:ind w:firstLine="480" w:firstLineChars="200"/>
              <w:rPr>
                <w:sz w:val="24"/>
              </w:rPr>
            </w:pPr>
            <w:r>
              <w:rPr>
                <w:rFonts w:hint="eastAsia"/>
                <w:sz w:val="24"/>
              </w:rPr>
              <w:t>(2) 环评批复</w:t>
            </w:r>
          </w:p>
          <w:p w14:paraId="6FF5F4AA">
            <w:pPr>
              <w:adjustRightInd w:val="0"/>
              <w:spacing w:line="300" w:lineRule="auto"/>
              <w:ind w:firstLine="480" w:firstLineChars="200"/>
              <w:rPr>
                <w:sz w:val="24"/>
              </w:rPr>
            </w:pPr>
            <w:r>
              <w:rPr>
                <w:rFonts w:hint="eastAsia"/>
                <w:sz w:val="24"/>
              </w:rPr>
              <w:t>2013年10月，原新疆维吾尔自治区环境保护厅以“新环自函[2013]975号”文对环境影响报告书予以批复。</w:t>
            </w:r>
          </w:p>
          <w:p w14:paraId="28288F82">
            <w:pPr>
              <w:adjustRightInd w:val="0"/>
              <w:spacing w:line="300" w:lineRule="auto"/>
              <w:ind w:firstLine="480" w:firstLineChars="200"/>
              <w:rPr>
                <w:sz w:val="24"/>
              </w:rPr>
            </w:pPr>
            <w:r>
              <w:rPr>
                <w:rFonts w:hint="eastAsia"/>
                <w:sz w:val="24"/>
              </w:rPr>
              <w:t>(3) 建设情况</w:t>
            </w:r>
          </w:p>
          <w:p w14:paraId="555E29F5">
            <w:pPr>
              <w:adjustRightInd w:val="0"/>
              <w:spacing w:line="300" w:lineRule="auto"/>
              <w:ind w:firstLine="480" w:firstLineChars="200"/>
              <w:rPr>
                <w:sz w:val="24"/>
              </w:rPr>
            </w:pPr>
            <w:r>
              <w:rPr>
                <w:rFonts w:hint="eastAsia"/>
                <w:sz w:val="24"/>
              </w:rPr>
              <w:t>既有公路于</w:t>
            </w:r>
            <w:r>
              <w:rPr>
                <w:sz w:val="24"/>
              </w:rPr>
              <w:t>2015年8月项目开工建设，2016年</w:t>
            </w:r>
            <w:r>
              <w:rPr>
                <w:rFonts w:hint="eastAsia"/>
                <w:sz w:val="24"/>
              </w:rPr>
              <w:t>9</w:t>
            </w:r>
            <w:r>
              <w:rPr>
                <w:sz w:val="24"/>
              </w:rPr>
              <w:t>月建成通车</w:t>
            </w:r>
            <w:r>
              <w:rPr>
                <w:rFonts w:hint="eastAsia"/>
                <w:sz w:val="24"/>
              </w:rPr>
              <w:t>。</w:t>
            </w:r>
          </w:p>
          <w:p w14:paraId="6E3CBF0A">
            <w:pPr>
              <w:adjustRightInd w:val="0"/>
              <w:spacing w:line="300" w:lineRule="auto"/>
              <w:ind w:firstLine="480" w:firstLineChars="200"/>
              <w:rPr>
                <w:sz w:val="24"/>
              </w:rPr>
            </w:pPr>
            <w:r>
              <w:rPr>
                <w:rFonts w:hint="eastAsia"/>
                <w:sz w:val="24"/>
              </w:rPr>
              <w:t>(4) 竣工环保验收</w:t>
            </w:r>
          </w:p>
          <w:p w14:paraId="44F95988">
            <w:pPr>
              <w:adjustRightInd w:val="0"/>
              <w:spacing w:after="120" w:afterLines="50" w:line="300" w:lineRule="auto"/>
              <w:ind w:firstLine="480" w:firstLineChars="200"/>
              <w:rPr>
                <w:sz w:val="24"/>
              </w:rPr>
            </w:pPr>
            <w:r>
              <w:rPr>
                <w:rFonts w:hint="eastAsia"/>
                <w:sz w:val="24"/>
              </w:rPr>
              <w:t>2019年1月，中路高科交通科技集团有限公司编制完成了《G219线八盘水磨-岳普湖县段公路改建工程竣工环境保护验收调查报告》，2019年3月，新疆维吾尔自治区交通建设管理局召开自主验收会议，形成了《G219 线八盘水磨-岳普湖县段公路改建工程竣工环境保护验收意见》，同意项目通过验收。 </w:t>
            </w:r>
          </w:p>
          <w:p w14:paraId="1ED1E295">
            <w:pPr>
              <w:adjustRightInd w:val="0"/>
              <w:spacing w:line="300" w:lineRule="auto"/>
              <w:rPr>
                <w:b/>
                <w:sz w:val="24"/>
              </w:rPr>
            </w:pPr>
            <w:r>
              <w:rPr>
                <w:rFonts w:hint="eastAsia"/>
                <w:b/>
                <w:sz w:val="24"/>
              </w:rPr>
              <w:t>2. 既有公路环保措施实施情况</w:t>
            </w:r>
          </w:p>
          <w:p w14:paraId="588414A7">
            <w:pPr>
              <w:keepNext w:val="0"/>
              <w:keepLines w:val="0"/>
              <w:pageBreakBefore w:val="0"/>
              <w:widowControl w:val="0"/>
              <w:kinsoku/>
              <w:wordWrap/>
              <w:overflowPunct/>
              <w:topLinePunct w:val="0"/>
              <w:autoSpaceDE/>
              <w:autoSpaceDN/>
              <w:bidi w:val="0"/>
              <w:adjustRightInd w:val="0"/>
              <w:snapToGrid/>
              <w:spacing w:after="157" w:afterLines="50" w:line="300" w:lineRule="auto"/>
              <w:ind w:firstLine="480" w:firstLineChars="200"/>
              <w:textAlignment w:val="auto"/>
              <w:rPr>
                <w:rFonts w:hint="eastAsia"/>
                <w:sz w:val="24"/>
                <w:lang w:val="en-US" w:eastAsia="zh-CN"/>
              </w:rPr>
            </w:pPr>
            <w:r>
              <w:rPr>
                <w:kern w:val="0"/>
                <w:sz w:val="24"/>
              </w:rPr>
              <w:t>根据现场调查并结合竣工环保验收调查报告，原</w:t>
            </w:r>
            <w:r>
              <w:rPr>
                <w:rFonts w:hint="eastAsia"/>
                <w:kern w:val="0"/>
                <w:sz w:val="24"/>
              </w:rPr>
              <w:t>环评提出的主要环保措施</w:t>
            </w:r>
            <w:r>
              <w:rPr>
                <w:rFonts w:hint="eastAsia"/>
                <w:kern w:val="0"/>
                <w:sz w:val="24"/>
                <w:lang w:val="en-US" w:eastAsia="zh-CN"/>
              </w:rPr>
              <w:t>均</w:t>
            </w:r>
            <w:r>
              <w:rPr>
                <w:kern w:val="0"/>
                <w:sz w:val="24"/>
              </w:rPr>
              <w:t>得到了落实，具体见表</w:t>
            </w:r>
            <w:r>
              <w:rPr>
                <w:rFonts w:hint="eastAsia"/>
                <w:sz w:val="24"/>
              </w:rPr>
              <w:t>3-</w:t>
            </w:r>
            <w:r>
              <w:rPr>
                <w:rFonts w:hint="eastAsia"/>
                <w:sz w:val="24"/>
                <w:lang w:val="en-US" w:eastAsia="zh-CN"/>
              </w:rPr>
              <w:t>12。</w:t>
            </w:r>
          </w:p>
          <w:p w14:paraId="1AB33874">
            <w:pPr>
              <w:keepNext w:val="0"/>
              <w:keepLines w:val="0"/>
              <w:pageBreakBefore w:val="0"/>
              <w:widowControl w:val="0"/>
              <w:kinsoku/>
              <w:wordWrap/>
              <w:overflowPunct/>
              <w:topLinePunct w:val="0"/>
              <w:autoSpaceDE/>
              <w:autoSpaceDN/>
              <w:bidi w:val="0"/>
              <w:adjustRightInd w:val="0"/>
              <w:snapToGrid/>
              <w:jc w:val="center"/>
              <w:textAlignment w:val="auto"/>
              <w:rPr>
                <w:b/>
                <w:szCs w:val="21"/>
              </w:rPr>
            </w:pPr>
            <w:r>
              <w:rPr>
                <w:rFonts w:hint="eastAsia"/>
                <w:b/>
                <w:szCs w:val="21"/>
              </w:rPr>
              <w:t>表3-</w:t>
            </w:r>
            <w:r>
              <w:rPr>
                <w:rFonts w:hint="eastAsia"/>
                <w:b/>
                <w:szCs w:val="21"/>
                <w:lang w:val="en-US" w:eastAsia="zh-CN"/>
              </w:rPr>
              <w:t>12</w:t>
            </w:r>
            <w:r>
              <w:rPr>
                <w:rFonts w:hint="eastAsia"/>
                <w:b/>
                <w:szCs w:val="21"/>
              </w:rPr>
              <w:t xml:space="preserve">  既有公路环保措施实施情况</w:t>
            </w:r>
          </w:p>
          <w:tbl>
            <w:tblPr>
              <w:tblStyle w:val="22"/>
              <w:tblW w:w="8533"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
              <w:gridCol w:w="3004"/>
              <w:gridCol w:w="4962"/>
            </w:tblGrid>
            <w:tr w14:paraId="2313937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1" w:hRule="atLeast"/>
                <w:tblHeader/>
                <w:jc w:val="center"/>
              </w:trPr>
              <w:tc>
                <w:tcPr>
                  <w:tcW w:w="567" w:type="dxa"/>
                  <w:vAlign w:val="center"/>
                </w:tcPr>
                <w:p w14:paraId="1B1EBD13">
                  <w:pPr>
                    <w:pStyle w:val="14"/>
                    <w:keepNext w:val="0"/>
                    <w:keepLines w:val="0"/>
                    <w:pageBreakBefore w:val="0"/>
                    <w:widowControl w:val="0"/>
                    <w:kinsoku/>
                    <w:wordWrap/>
                    <w:overflowPunct/>
                    <w:topLinePunct w:val="0"/>
                    <w:autoSpaceDE/>
                    <w:autoSpaceDN/>
                    <w:bidi w:val="0"/>
                    <w:adjustRightInd/>
                    <w:snapToGrid/>
                    <w:spacing w:after="0" w:line="260" w:lineRule="exact"/>
                    <w:ind w:left="-105" w:leftChars="-50" w:right="-105" w:rightChars="-50" w:firstLine="105" w:firstLineChars="50"/>
                    <w:jc w:val="center"/>
                    <w:textAlignment w:val="auto"/>
                    <w:rPr>
                      <w:b/>
                      <w:szCs w:val="21"/>
                    </w:rPr>
                  </w:pPr>
                  <w:r>
                    <w:rPr>
                      <w:b/>
                      <w:szCs w:val="21"/>
                    </w:rPr>
                    <w:t>序号</w:t>
                  </w:r>
                </w:p>
              </w:tc>
              <w:tc>
                <w:tcPr>
                  <w:tcW w:w="3004" w:type="dxa"/>
                  <w:vAlign w:val="center"/>
                </w:tcPr>
                <w:p w14:paraId="3073B15E">
                  <w:pPr>
                    <w:pStyle w:val="14"/>
                    <w:keepNext w:val="0"/>
                    <w:keepLines w:val="0"/>
                    <w:pageBreakBefore w:val="0"/>
                    <w:widowControl w:val="0"/>
                    <w:kinsoku/>
                    <w:wordWrap/>
                    <w:overflowPunct/>
                    <w:topLinePunct w:val="0"/>
                    <w:autoSpaceDE/>
                    <w:autoSpaceDN/>
                    <w:bidi w:val="0"/>
                    <w:adjustRightInd/>
                    <w:snapToGrid/>
                    <w:spacing w:after="0" w:line="260" w:lineRule="exact"/>
                    <w:ind w:left="0" w:leftChars="0" w:right="-105" w:rightChars="-50"/>
                    <w:jc w:val="center"/>
                    <w:textAlignment w:val="auto"/>
                    <w:rPr>
                      <w:b/>
                      <w:szCs w:val="21"/>
                    </w:rPr>
                  </w:pPr>
                  <w:r>
                    <w:rPr>
                      <w:rFonts w:hint="eastAsia"/>
                      <w:b/>
                      <w:szCs w:val="21"/>
                    </w:rPr>
                    <w:t>环评提出的主要环保措施</w:t>
                  </w:r>
                </w:p>
              </w:tc>
              <w:tc>
                <w:tcPr>
                  <w:tcW w:w="4962" w:type="dxa"/>
                  <w:vAlign w:val="center"/>
                </w:tcPr>
                <w:p w14:paraId="3BD53EF2">
                  <w:pPr>
                    <w:pStyle w:val="14"/>
                    <w:keepNext w:val="0"/>
                    <w:keepLines w:val="0"/>
                    <w:pageBreakBefore w:val="0"/>
                    <w:widowControl w:val="0"/>
                    <w:kinsoku/>
                    <w:wordWrap/>
                    <w:overflowPunct/>
                    <w:topLinePunct w:val="0"/>
                    <w:autoSpaceDE/>
                    <w:autoSpaceDN/>
                    <w:bidi w:val="0"/>
                    <w:adjustRightInd/>
                    <w:snapToGrid/>
                    <w:spacing w:after="0" w:line="260" w:lineRule="exact"/>
                    <w:ind w:left="0" w:leftChars="0" w:right="-105" w:rightChars="-50"/>
                    <w:jc w:val="center"/>
                    <w:textAlignment w:val="auto"/>
                    <w:rPr>
                      <w:b/>
                      <w:szCs w:val="21"/>
                    </w:rPr>
                  </w:pPr>
                  <w:r>
                    <w:rPr>
                      <w:b/>
                      <w:szCs w:val="21"/>
                    </w:rPr>
                    <w:t>落实情况</w:t>
                  </w:r>
                </w:p>
              </w:tc>
            </w:tr>
            <w:tr w14:paraId="5F488FF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81" w:hRule="atLeast"/>
                <w:jc w:val="center"/>
              </w:trPr>
              <w:tc>
                <w:tcPr>
                  <w:tcW w:w="567" w:type="dxa"/>
                  <w:vAlign w:val="center"/>
                </w:tcPr>
                <w:p w14:paraId="4FFB3A8C">
                  <w:pPr>
                    <w:pStyle w:val="14"/>
                    <w:keepNext w:val="0"/>
                    <w:keepLines w:val="0"/>
                    <w:pageBreakBefore w:val="0"/>
                    <w:widowControl w:val="0"/>
                    <w:kinsoku/>
                    <w:wordWrap/>
                    <w:overflowPunct/>
                    <w:topLinePunct w:val="0"/>
                    <w:autoSpaceDE/>
                    <w:autoSpaceDN/>
                    <w:bidi w:val="0"/>
                    <w:adjustRightInd/>
                    <w:snapToGrid/>
                    <w:spacing w:after="0" w:line="260" w:lineRule="exact"/>
                    <w:ind w:left="0" w:leftChars="0"/>
                    <w:jc w:val="center"/>
                    <w:textAlignment w:val="auto"/>
                    <w:rPr>
                      <w:szCs w:val="21"/>
                    </w:rPr>
                  </w:pPr>
                  <w:r>
                    <w:rPr>
                      <w:szCs w:val="21"/>
                    </w:rPr>
                    <w:t>1</w:t>
                  </w:r>
                </w:p>
              </w:tc>
              <w:tc>
                <w:tcPr>
                  <w:tcW w:w="3004" w:type="dxa"/>
                  <w:vAlign w:val="center"/>
                </w:tcPr>
                <w:p w14:paraId="6F3A2091">
                  <w:pPr>
                    <w:keepNext w:val="0"/>
                    <w:keepLines w:val="0"/>
                    <w:pageBreakBefore w:val="0"/>
                    <w:widowControl w:val="0"/>
                    <w:kinsoku/>
                    <w:wordWrap/>
                    <w:overflowPunct/>
                    <w:topLinePunct w:val="0"/>
                    <w:autoSpaceDE/>
                    <w:autoSpaceDN/>
                    <w:bidi w:val="0"/>
                    <w:adjustRightInd/>
                    <w:snapToGrid/>
                    <w:spacing w:line="260" w:lineRule="exact"/>
                    <w:textAlignment w:val="auto"/>
                  </w:pPr>
                  <w:r>
                    <w:t>下一步设计中必须严格落实报告书各项环境保护要求，确保项目环境保护措施、设施与主体工程</w:t>
                  </w:r>
                  <w:r>
                    <w:rPr>
                      <w:rFonts w:hint="eastAsia"/>
                    </w:rPr>
                    <w:t>同</w:t>
                  </w:r>
                  <w:r>
                    <w:t>时设计、同时施工、</w:t>
                  </w:r>
                  <w:r>
                    <w:rPr>
                      <w:rFonts w:hint="eastAsia"/>
                    </w:rPr>
                    <w:t>同</w:t>
                  </w:r>
                  <w:r>
                    <w:t>时建成。对环评尚未确定的取弃土场、施工营地、拌合站等位置必须严格按照环境保护要求进行设计，确定后报当地环保部门认可后方可实施；伽师县县城1＃地下水水源地范围内不得设置任何临时施工营地等。依法履行设计的拆迁、占用耕地、草地、树木砍伐等征占补偿手续及恢复措施，确保不引发次生环境问题。</w:t>
                  </w:r>
                </w:p>
              </w:tc>
              <w:tc>
                <w:tcPr>
                  <w:tcW w:w="4962" w:type="dxa"/>
                  <w:vAlign w:val="center"/>
                </w:tcPr>
                <w:p w14:paraId="72CEB5AC">
                  <w:pPr>
                    <w:keepNext w:val="0"/>
                    <w:keepLines w:val="0"/>
                    <w:pageBreakBefore w:val="0"/>
                    <w:widowControl w:val="0"/>
                    <w:kinsoku/>
                    <w:wordWrap/>
                    <w:overflowPunct/>
                    <w:topLinePunct w:val="0"/>
                    <w:autoSpaceDE/>
                    <w:autoSpaceDN/>
                    <w:bidi w:val="0"/>
                    <w:adjustRightInd/>
                    <w:snapToGrid/>
                    <w:spacing w:line="260" w:lineRule="exact"/>
                    <w:textAlignment w:val="auto"/>
                  </w:pPr>
                  <w:r>
                    <w:rPr>
                      <w:rFonts w:hint="eastAsia"/>
                      <w:lang w:val="en-US" w:eastAsia="zh-CN"/>
                    </w:rPr>
                    <w:t>已</w:t>
                  </w:r>
                  <w:r>
                    <w:t>落实。</w:t>
                  </w:r>
                </w:p>
                <w:p w14:paraId="3F16BD52">
                  <w:pPr>
                    <w:keepNext w:val="0"/>
                    <w:keepLines w:val="0"/>
                    <w:pageBreakBefore w:val="0"/>
                    <w:widowControl w:val="0"/>
                    <w:kinsoku/>
                    <w:wordWrap/>
                    <w:overflowPunct/>
                    <w:topLinePunct w:val="0"/>
                    <w:autoSpaceDE/>
                    <w:autoSpaceDN/>
                    <w:bidi w:val="0"/>
                    <w:adjustRightInd/>
                    <w:snapToGrid/>
                    <w:spacing w:line="260" w:lineRule="exact"/>
                    <w:textAlignment w:val="auto"/>
                  </w:pPr>
                  <w:r>
                    <w:t>（1）本项目将环评</w:t>
                  </w:r>
                  <w:r>
                    <w:rPr>
                      <w:rFonts w:hint="eastAsia"/>
                    </w:rPr>
                    <w:t>及</w:t>
                  </w:r>
                  <w:r>
                    <w:t>批复要求纳入初步设计及施工图设计</w:t>
                  </w:r>
                  <w:r>
                    <w:rPr>
                      <w:rFonts w:hint="eastAsia"/>
                    </w:rPr>
                    <w:t>中</w:t>
                  </w:r>
                  <w:r>
                    <w:t>，相关环境保护措施</w:t>
                  </w:r>
                  <w:r>
                    <w:rPr>
                      <w:rFonts w:hint="eastAsia"/>
                    </w:rPr>
                    <w:t>及</w:t>
                  </w:r>
                  <w:r>
                    <w:t>设施</w:t>
                  </w:r>
                  <w:r>
                    <w:rPr>
                      <w:rFonts w:hint="eastAsia"/>
                    </w:rPr>
                    <w:t>基本</w:t>
                  </w:r>
                  <w:r>
                    <w:t>做到与主体工程</w:t>
                  </w:r>
                  <w:r>
                    <w:rPr>
                      <w:rFonts w:hint="eastAsia"/>
                    </w:rPr>
                    <w:t>“</w:t>
                  </w:r>
                  <w:r>
                    <w:t>同时设计、同时施工、同时建成</w:t>
                  </w:r>
                  <w:r>
                    <w:rPr>
                      <w:rFonts w:hint="eastAsia"/>
                    </w:rPr>
                    <w:t>”</w:t>
                  </w:r>
                  <w:r>
                    <w:t>。</w:t>
                  </w:r>
                </w:p>
                <w:p w14:paraId="29FA65C8">
                  <w:pPr>
                    <w:keepNext w:val="0"/>
                    <w:keepLines w:val="0"/>
                    <w:pageBreakBefore w:val="0"/>
                    <w:widowControl w:val="0"/>
                    <w:kinsoku/>
                    <w:wordWrap/>
                    <w:overflowPunct/>
                    <w:topLinePunct w:val="0"/>
                    <w:autoSpaceDE/>
                    <w:autoSpaceDN/>
                    <w:bidi w:val="0"/>
                    <w:adjustRightInd/>
                    <w:snapToGrid/>
                    <w:spacing w:line="260" w:lineRule="exact"/>
                    <w:textAlignment w:val="auto"/>
                  </w:pPr>
                  <w:r>
                    <w:t>（2）</w:t>
                  </w:r>
                  <w:r>
                    <w:rPr>
                      <w:rFonts w:hint="eastAsia"/>
                    </w:rPr>
                    <w:t>本项目根据环保要求对临时用地进行了优化设计</w:t>
                  </w:r>
                  <w:r>
                    <w:t>，</w:t>
                  </w:r>
                  <w:r>
                    <w:rPr>
                      <w:rFonts w:hint="eastAsia"/>
                    </w:rPr>
                    <w:t>其</w:t>
                  </w:r>
                  <w:r>
                    <w:t>主要利用建设用地，占用少量稀疏草地</w:t>
                  </w:r>
                  <w:r>
                    <w:rPr>
                      <w:rFonts w:hint="eastAsia"/>
                    </w:rPr>
                    <w:t>；</w:t>
                  </w:r>
                  <w:r>
                    <w:t>临时用地</w:t>
                  </w:r>
                  <w:r>
                    <w:rPr>
                      <w:rFonts w:hint="eastAsia"/>
                    </w:rPr>
                    <w:t>的</w:t>
                  </w:r>
                  <w:r>
                    <w:t>占用按规定办理了相关手续</w:t>
                  </w:r>
                  <w:r>
                    <w:rPr>
                      <w:rFonts w:hint="eastAsia"/>
                    </w:rPr>
                    <w:t>，</w:t>
                  </w:r>
                  <w:r>
                    <w:t>施工期由当地环保部门</w:t>
                  </w:r>
                  <w:r>
                    <w:rPr>
                      <w:rFonts w:hint="eastAsia"/>
                    </w:rPr>
                    <w:t>进行</w:t>
                  </w:r>
                  <w:r>
                    <w:t>了现场检查</w:t>
                  </w:r>
                  <w:r>
                    <w:rPr>
                      <w:rFonts w:hint="eastAsia"/>
                    </w:rPr>
                    <w:t>确认，</w:t>
                  </w:r>
                  <w:r>
                    <w:t>提出</w:t>
                  </w:r>
                  <w:r>
                    <w:rPr>
                      <w:rFonts w:hint="eastAsia"/>
                    </w:rPr>
                    <w:t>了</w:t>
                  </w:r>
                  <w:r>
                    <w:t>进一步保护和恢复措施</w:t>
                  </w:r>
                  <w:r>
                    <w:rPr>
                      <w:rFonts w:hint="eastAsia"/>
                    </w:rPr>
                    <w:t>要求，施工单位在施工中予以落实</w:t>
                  </w:r>
                  <w:r>
                    <w:t>。</w:t>
                  </w:r>
                </w:p>
                <w:p w14:paraId="51FFF84F">
                  <w:pPr>
                    <w:keepNext w:val="0"/>
                    <w:keepLines w:val="0"/>
                    <w:pageBreakBefore w:val="0"/>
                    <w:widowControl w:val="0"/>
                    <w:kinsoku/>
                    <w:wordWrap/>
                    <w:overflowPunct/>
                    <w:topLinePunct w:val="0"/>
                    <w:autoSpaceDE/>
                    <w:autoSpaceDN/>
                    <w:bidi w:val="0"/>
                    <w:adjustRightInd/>
                    <w:snapToGrid/>
                    <w:spacing w:line="260" w:lineRule="exact"/>
                    <w:textAlignment w:val="auto"/>
                  </w:pPr>
                  <w:r>
                    <w:t>（3）本项目设置</w:t>
                  </w:r>
                  <w:r>
                    <w:rPr>
                      <w:rFonts w:hint="eastAsia"/>
                    </w:rPr>
                    <w:t>的4处</w:t>
                  </w:r>
                  <w:r>
                    <w:t>临时</w:t>
                  </w:r>
                  <w:r>
                    <w:rPr>
                      <w:rFonts w:hint="eastAsia"/>
                    </w:rPr>
                    <w:t>用地（为施工营地、拌合站和预制场，</w:t>
                  </w:r>
                  <w:r>
                    <w:t>无取弃土场</w:t>
                  </w:r>
                  <w:r>
                    <w:rPr>
                      <w:rFonts w:hint="eastAsia"/>
                    </w:rPr>
                    <w:t>）</w:t>
                  </w:r>
                  <w:r>
                    <w:t>及施工便道均远离伽师县县城1＃地下水水源地。</w:t>
                  </w:r>
                </w:p>
                <w:p w14:paraId="1D5970AF">
                  <w:pPr>
                    <w:keepNext w:val="0"/>
                    <w:keepLines w:val="0"/>
                    <w:pageBreakBefore w:val="0"/>
                    <w:widowControl w:val="0"/>
                    <w:kinsoku/>
                    <w:wordWrap/>
                    <w:overflowPunct/>
                    <w:topLinePunct w:val="0"/>
                    <w:autoSpaceDE/>
                    <w:autoSpaceDN/>
                    <w:bidi w:val="0"/>
                    <w:adjustRightInd/>
                    <w:snapToGrid/>
                    <w:spacing w:line="260" w:lineRule="exact"/>
                    <w:textAlignment w:val="auto"/>
                  </w:pPr>
                  <w:r>
                    <w:t>（4）本项目占用</w:t>
                  </w:r>
                  <w:r>
                    <w:rPr>
                      <w:rFonts w:hint="eastAsia"/>
                      <w:lang w:val="en-US" w:eastAsia="zh-CN"/>
                    </w:rPr>
                    <w:t>耕地、林地以及草地</w:t>
                  </w:r>
                  <w:r>
                    <w:t>均按照相关规定办理了占地手续。本项目征地拆迁补偿按照《关于进一步做好征地管理工作的通知》和《自治区重点建设项目征地拆迁补偿标准》等有关规定执行。本工程涉及征地拆迁户全部就地分散安置，对安置产生的污水和垃圾进行了妥善处理，未发生次生环境问题。</w:t>
                  </w:r>
                </w:p>
              </w:tc>
            </w:tr>
          </w:tbl>
          <w:p w14:paraId="7D3F702A"/>
          <w:p w14:paraId="0694CF0E"/>
          <w:p w14:paraId="613FFBB3">
            <w:pPr>
              <w:keepNext w:val="0"/>
              <w:keepLines w:val="0"/>
              <w:pageBreakBefore w:val="0"/>
              <w:widowControl w:val="0"/>
              <w:kinsoku/>
              <w:wordWrap/>
              <w:overflowPunct/>
              <w:topLinePunct w:val="0"/>
              <w:autoSpaceDE/>
              <w:autoSpaceDN/>
              <w:bidi w:val="0"/>
              <w:adjustRightInd w:val="0"/>
              <w:snapToGrid/>
              <w:spacing w:before="157" w:beforeLines="50"/>
              <w:jc w:val="center"/>
              <w:textAlignment w:val="auto"/>
              <w:rPr>
                <w:b/>
                <w:szCs w:val="21"/>
              </w:rPr>
            </w:pPr>
            <w:r>
              <w:rPr>
                <w:rFonts w:hint="eastAsia"/>
                <w:b/>
                <w:szCs w:val="21"/>
                <w:lang w:val="en-US" w:eastAsia="zh-CN"/>
              </w:rPr>
              <w:t xml:space="preserve">续 </w:t>
            </w:r>
            <w:r>
              <w:rPr>
                <w:rFonts w:hint="eastAsia"/>
                <w:b/>
                <w:szCs w:val="21"/>
              </w:rPr>
              <w:t>表3-</w:t>
            </w:r>
            <w:r>
              <w:rPr>
                <w:rFonts w:hint="eastAsia"/>
                <w:b/>
                <w:szCs w:val="21"/>
                <w:lang w:val="en-US" w:eastAsia="zh-CN"/>
              </w:rPr>
              <w:t>12</w:t>
            </w:r>
            <w:r>
              <w:rPr>
                <w:rFonts w:hint="eastAsia"/>
                <w:b/>
                <w:szCs w:val="21"/>
              </w:rPr>
              <w:t xml:space="preserve">  既有公路环保措施实施情况</w:t>
            </w:r>
          </w:p>
          <w:tbl>
            <w:tblPr>
              <w:tblStyle w:val="22"/>
              <w:tblW w:w="8533"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
              <w:gridCol w:w="3004"/>
              <w:gridCol w:w="4962"/>
            </w:tblGrid>
            <w:tr w14:paraId="3E1C947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1" w:hRule="atLeast"/>
                <w:tblHeader/>
                <w:jc w:val="center"/>
              </w:trPr>
              <w:tc>
                <w:tcPr>
                  <w:tcW w:w="567" w:type="dxa"/>
                  <w:vAlign w:val="center"/>
                </w:tcPr>
                <w:p w14:paraId="41F52874">
                  <w:pPr>
                    <w:pStyle w:val="14"/>
                    <w:keepNext w:val="0"/>
                    <w:keepLines w:val="0"/>
                    <w:pageBreakBefore w:val="0"/>
                    <w:widowControl w:val="0"/>
                    <w:kinsoku/>
                    <w:wordWrap/>
                    <w:overflowPunct/>
                    <w:topLinePunct w:val="0"/>
                    <w:autoSpaceDE/>
                    <w:autoSpaceDN/>
                    <w:bidi w:val="0"/>
                    <w:adjustRightInd/>
                    <w:snapToGrid/>
                    <w:spacing w:after="0" w:line="240" w:lineRule="auto"/>
                    <w:ind w:left="-105" w:leftChars="-50" w:right="-105" w:rightChars="-50" w:firstLine="105" w:firstLineChars="50"/>
                    <w:jc w:val="center"/>
                    <w:textAlignment w:val="auto"/>
                    <w:rPr>
                      <w:b/>
                      <w:szCs w:val="21"/>
                    </w:rPr>
                  </w:pPr>
                  <w:r>
                    <w:rPr>
                      <w:b/>
                      <w:szCs w:val="21"/>
                    </w:rPr>
                    <w:t>序号</w:t>
                  </w:r>
                </w:p>
              </w:tc>
              <w:tc>
                <w:tcPr>
                  <w:tcW w:w="3004" w:type="dxa"/>
                  <w:vAlign w:val="center"/>
                </w:tcPr>
                <w:p w14:paraId="708F0C63">
                  <w:pPr>
                    <w:pStyle w:val="14"/>
                    <w:keepNext w:val="0"/>
                    <w:keepLines w:val="0"/>
                    <w:pageBreakBefore w:val="0"/>
                    <w:widowControl w:val="0"/>
                    <w:kinsoku/>
                    <w:wordWrap/>
                    <w:overflowPunct/>
                    <w:topLinePunct w:val="0"/>
                    <w:autoSpaceDE/>
                    <w:autoSpaceDN/>
                    <w:bidi w:val="0"/>
                    <w:adjustRightInd/>
                    <w:snapToGrid/>
                    <w:spacing w:after="0" w:line="240" w:lineRule="auto"/>
                    <w:ind w:left="0" w:leftChars="0" w:right="-105" w:rightChars="-50"/>
                    <w:jc w:val="center"/>
                    <w:textAlignment w:val="auto"/>
                    <w:rPr>
                      <w:b/>
                      <w:szCs w:val="21"/>
                    </w:rPr>
                  </w:pPr>
                  <w:r>
                    <w:rPr>
                      <w:rFonts w:hint="eastAsia"/>
                      <w:b/>
                      <w:szCs w:val="21"/>
                    </w:rPr>
                    <w:t>环评提出的主要环保措施</w:t>
                  </w:r>
                </w:p>
              </w:tc>
              <w:tc>
                <w:tcPr>
                  <w:tcW w:w="4962" w:type="dxa"/>
                  <w:vAlign w:val="center"/>
                </w:tcPr>
                <w:p w14:paraId="58D7CF7D">
                  <w:pPr>
                    <w:pStyle w:val="14"/>
                    <w:keepNext w:val="0"/>
                    <w:keepLines w:val="0"/>
                    <w:pageBreakBefore w:val="0"/>
                    <w:widowControl w:val="0"/>
                    <w:kinsoku/>
                    <w:wordWrap/>
                    <w:overflowPunct/>
                    <w:topLinePunct w:val="0"/>
                    <w:autoSpaceDE/>
                    <w:autoSpaceDN/>
                    <w:bidi w:val="0"/>
                    <w:adjustRightInd/>
                    <w:snapToGrid/>
                    <w:spacing w:after="0" w:line="240" w:lineRule="auto"/>
                    <w:ind w:left="0" w:leftChars="0" w:right="-105" w:rightChars="-50"/>
                    <w:jc w:val="center"/>
                    <w:textAlignment w:val="auto"/>
                    <w:rPr>
                      <w:b/>
                      <w:szCs w:val="21"/>
                    </w:rPr>
                  </w:pPr>
                  <w:r>
                    <w:rPr>
                      <w:b/>
                      <w:szCs w:val="21"/>
                    </w:rPr>
                    <w:t>落实情况</w:t>
                  </w:r>
                </w:p>
              </w:tc>
            </w:tr>
            <w:tr w14:paraId="0740D44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490" w:hRule="atLeast"/>
                <w:jc w:val="center"/>
              </w:trPr>
              <w:tc>
                <w:tcPr>
                  <w:tcW w:w="567" w:type="dxa"/>
                  <w:vAlign w:val="center"/>
                </w:tcPr>
                <w:p w14:paraId="42AD7ECB">
                  <w:pPr>
                    <w:pStyle w:val="14"/>
                    <w:keepNext w:val="0"/>
                    <w:keepLines w:val="0"/>
                    <w:pageBreakBefore w:val="0"/>
                    <w:widowControl w:val="0"/>
                    <w:kinsoku/>
                    <w:wordWrap/>
                    <w:overflowPunct/>
                    <w:topLinePunct w:val="0"/>
                    <w:autoSpaceDE/>
                    <w:autoSpaceDN/>
                    <w:bidi w:val="0"/>
                    <w:adjustRightInd/>
                    <w:snapToGrid/>
                    <w:spacing w:after="0" w:line="240" w:lineRule="auto"/>
                    <w:ind w:left="0" w:leftChars="0"/>
                    <w:jc w:val="center"/>
                    <w:textAlignment w:val="auto"/>
                    <w:rPr>
                      <w:szCs w:val="21"/>
                    </w:rPr>
                  </w:pPr>
                  <w:r>
                    <w:rPr>
                      <w:szCs w:val="21"/>
                    </w:rPr>
                    <w:t>2</w:t>
                  </w:r>
                </w:p>
              </w:tc>
              <w:tc>
                <w:tcPr>
                  <w:tcW w:w="3004" w:type="dxa"/>
                  <w:vAlign w:val="center"/>
                </w:tcPr>
                <w:p w14:paraId="6865C530">
                  <w:pPr>
                    <w:keepNext w:val="0"/>
                    <w:keepLines w:val="0"/>
                    <w:pageBreakBefore w:val="0"/>
                    <w:widowControl w:val="0"/>
                    <w:kinsoku/>
                    <w:wordWrap/>
                    <w:overflowPunct/>
                    <w:topLinePunct w:val="0"/>
                    <w:autoSpaceDE/>
                    <w:autoSpaceDN/>
                    <w:bidi w:val="0"/>
                    <w:adjustRightInd/>
                    <w:snapToGrid/>
                    <w:spacing w:line="240" w:lineRule="auto"/>
                    <w:textAlignment w:val="auto"/>
                  </w:pPr>
                  <w:r>
                    <w:t>严格控制施工范围，施工车辆严禁随意碾压。施工机械、土石方材料等不得乱停乱放；路基工程施工过程中定时洒水降尘，严格落实物料堆存、运输中的遮挡措施。施工便道、生产（生活）营地等临时用地不得占用农田；施工后期及时做好工程开挖面及各类施工迹地的生态恢复，清除施工迹地范围内的一切固体废弃物，取弃土场等须进行削缓坡处理，平整压实并恢复植被．严格落实穿越城区、村庄等段的绿化补偿措施。</w:t>
                  </w:r>
                </w:p>
              </w:tc>
              <w:tc>
                <w:tcPr>
                  <w:tcW w:w="4962" w:type="dxa"/>
                  <w:vAlign w:val="center"/>
                </w:tcPr>
                <w:p w14:paraId="79DF8251">
                  <w:pPr>
                    <w:keepNext w:val="0"/>
                    <w:keepLines w:val="0"/>
                    <w:pageBreakBefore w:val="0"/>
                    <w:widowControl w:val="0"/>
                    <w:kinsoku/>
                    <w:wordWrap/>
                    <w:overflowPunct/>
                    <w:topLinePunct w:val="0"/>
                    <w:autoSpaceDE/>
                    <w:autoSpaceDN/>
                    <w:bidi w:val="0"/>
                    <w:adjustRightInd/>
                    <w:snapToGrid/>
                    <w:spacing w:line="240" w:lineRule="auto"/>
                    <w:textAlignment w:val="auto"/>
                  </w:pPr>
                  <w:r>
                    <w:t>已落实。</w:t>
                  </w:r>
                </w:p>
                <w:p w14:paraId="7B3BEEF7">
                  <w:pPr>
                    <w:keepNext w:val="0"/>
                    <w:keepLines w:val="0"/>
                    <w:pageBreakBefore w:val="0"/>
                    <w:widowControl w:val="0"/>
                    <w:kinsoku/>
                    <w:wordWrap/>
                    <w:overflowPunct/>
                    <w:topLinePunct w:val="0"/>
                    <w:autoSpaceDE/>
                    <w:autoSpaceDN/>
                    <w:bidi w:val="0"/>
                    <w:adjustRightInd/>
                    <w:snapToGrid/>
                    <w:spacing w:line="240" w:lineRule="auto"/>
                    <w:textAlignment w:val="auto"/>
                  </w:pPr>
                  <w:r>
                    <w:t>（1）本项目施工阶段划定了施工红线，严格控制施工范围，</w:t>
                  </w:r>
                  <w:r>
                    <w:rPr>
                      <w:rFonts w:hint="eastAsia"/>
                    </w:rPr>
                    <w:t>未</w:t>
                  </w:r>
                  <w:r>
                    <w:t>破坏施工红线外植被。施工便道两侧设置边界标志，车辆按照规定的路线行驶，避免随意碾压。</w:t>
                  </w:r>
                </w:p>
                <w:p w14:paraId="426FD9A3">
                  <w:pPr>
                    <w:keepNext w:val="0"/>
                    <w:keepLines w:val="0"/>
                    <w:pageBreakBefore w:val="0"/>
                    <w:widowControl w:val="0"/>
                    <w:kinsoku/>
                    <w:wordWrap/>
                    <w:overflowPunct/>
                    <w:topLinePunct w:val="0"/>
                    <w:autoSpaceDE/>
                    <w:autoSpaceDN/>
                    <w:bidi w:val="0"/>
                    <w:adjustRightInd/>
                    <w:snapToGrid/>
                    <w:spacing w:line="240" w:lineRule="auto"/>
                    <w:textAlignment w:val="auto"/>
                  </w:pPr>
                  <w:r>
                    <w:t>（2）</w:t>
                  </w:r>
                  <w:r>
                    <w:rPr>
                      <w:rFonts w:hint="eastAsia"/>
                    </w:rPr>
                    <w:t>施工期</w:t>
                  </w:r>
                  <w:r>
                    <w:t>加强施工管理，</w:t>
                  </w:r>
                  <w:r>
                    <w:rPr>
                      <w:rFonts w:hint="eastAsia"/>
                    </w:rPr>
                    <w:t>施工</w:t>
                  </w:r>
                  <w:r>
                    <w:t>机械</w:t>
                  </w:r>
                  <w:r>
                    <w:rPr>
                      <w:rFonts w:hint="eastAsia"/>
                    </w:rPr>
                    <w:t>、</w:t>
                  </w:r>
                  <w:r>
                    <w:t>施工材料</w:t>
                  </w:r>
                  <w:r>
                    <w:rPr>
                      <w:rFonts w:hint="eastAsia"/>
                    </w:rPr>
                    <w:t>、</w:t>
                  </w:r>
                  <w:r>
                    <w:t>土石方</w:t>
                  </w:r>
                  <w:r>
                    <w:rPr>
                      <w:rFonts w:hint="eastAsia"/>
                    </w:rPr>
                    <w:t>等</w:t>
                  </w:r>
                  <w:r>
                    <w:t>均在指定地点存放，</w:t>
                  </w:r>
                  <w:r>
                    <w:rPr>
                      <w:rFonts w:hint="eastAsia"/>
                    </w:rPr>
                    <w:t>未</w:t>
                  </w:r>
                  <w:r>
                    <w:t>乱停乱放</w:t>
                  </w:r>
                  <w:r>
                    <w:rPr>
                      <w:rFonts w:hint="eastAsia"/>
                    </w:rPr>
                    <w:t>。</w:t>
                  </w:r>
                </w:p>
                <w:p w14:paraId="52CB4CFE">
                  <w:pPr>
                    <w:keepNext w:val="0"/>
                    <w:keepLines w:val="0"/>
                    <w:pageBreakBefore w:val="0"/>
                    <w:widowControl w:val="0"/>
                    <w:kinsoku/>
                    <w:wordWrap/>
                    <w:overflowPunct/>
                    <w:topLinePunct w:val="0"/>
                    <w:autoSpaceDE/>
                    <w:autoSpaceDN/>
                    <w:bidi w:val="0"/>
                    <w:adjustRightInd/>
                    <w:snapToGrid/>
                    <w:spacing w:line="240" w:lineRule="auto"/>
                    <w:textAlignment w:val="auto"/>
                  </w:pPr>
                  <w:r>
                    <w:rPr>
                      <w:rFonts w:hint="eastAsia"/>
                    </w:rPr>
                    <w:t>（3）施工</w:t>
                  </w:r>
                  <w:r>
                    <w:t>单位配备的洒水车</w:t>
                  </w:r>
                  <w:r>
                    <w:rPr>
                      <w:rFonts w:hint="eastAsia"/>
                    </w:rPr>
                    <w:t>，</w:t>
                  </w:r>
                  <w:r>
                    <w:t>对施工</w:t>
                  </w:r>
                  <w:r>
                    <w:rPr>
                      <w:rFonts w:hint="eastAsia"/>
                    </w:rPr>
                    <w:t>现场</w:t>
                  </w:r>
                  <w:r>
                    <w:t>和运输道路经常洒水</w:t>
                  </w:r>
                  <w:r>
                    <w:rPr>
                      <w:rFonts w:hint="eastAsia"/>
                    </w:rPr>
                    <w:t>，</w:t>
                  </w:r>
                  <w:r>
                    <w:t>以</w:t>
                  </w:r>
                  <w:r>
                    <w:rPr>
                      <w:rFonts w:hint="eastAsia"/>
                      <w:lang w:eastAsia="zh-CN"/>
                    </w:rPr>
                    <w:t>防止</w:t>
                  </w:r>
                  <w:r>
                    <w:t>风吹扬尘</w:t>
                  </w:r>
                  <w:r>
                    <w:rPr>
                      <w:rFonts w:hint="eastAsia"/>
                    </w:rPr>
                    <w:t>。</w:t>
                  </w:r>
                </w:p>
                <w:p w14:paraId="04D9AC4B">
                  <w:pPr>
                    <w:keepNext w:val="0"/>
                    <w:keepLines w:val="0"/>
                    <w:pageBreakBefore w:val="0"/>
                    <w:widowControl w:val="0"/>
                    <w:kinsoku/>
                    <w:wordWrap/>
                    <w:overflowPunct/>
                    <w:topLinePunct w:val="0"/>
                    <w:autoSpaceDE/>
                    <w:autoSpaceDN/>
                    <w:bidi w:val="0"/>
                    <w:adjustRightInd/>
                    <w:snapToGrid/>
                    <w:spacing w:line="240" w:lineRule="auto"/>
                    <w:textAlignment w:val="auto"/>
                  </w:pPr>
                  <w:r>
                    <w:rPr>
                      <w:rFonts w:hint="eastAsia"/>
                    </w:rPr>
                    <w:t>（4）</w:t>
                  </w:r>
                  <w:r>
                    <w:t>本项目设置</w:t>
                  </w:r>
                  <w:r>
                    <w:rPr>
                      <w:rFonts w:hint="eastAsia"/>
                    </w:rPr>
                    <w:t>的</w:t>
                  </w:r>
                  <w:r>
                    <w:t>4处临时</w:t>
                  </w:r>
                  <w:r>
                    <w:rPr>
                      <w:rFonts w:hint="eastAsia"/>
                    </w:rPr>
                    <w:t>用地</w:t>
                  </w:r>
                  <w:r>
                    <w:t>及施工便道</w:t>
                  </w:r>
                  <w:r>
                    <w:rPr>
                      <w:rFonts w:hint="eastAsia"/>
                    </w:rPr>
                    <w:t>主要利用</w:t>
                  </w:r>
                  <w:r>
                    <w:t>建设用地，占用少量稀疏草地</w:t>
                  </w:r>
                  <w:r>
                    <w:rPr>
                      <w:rFonts w:hint="eastAsia"/>
                    </w:rPr>
                    <w:t>，</w:t>
                  </w:r>
                  <w:r>
                    <w:t>未占用农田。</w:t>
                  </w:r>
                </w:p>
                <w:p w14:paraId="7F5FA116">
                  <w:pPr>
                    <w:keepNext w:val="0"/>
                    <w:keepLines w:val="0"/>
                    <w:pageBreakBefore w:val="0"/>
                    <w:widowControl w:val="0"/>
                    <w:kinsoku/>
                    <w:wordWrap/>
                    <w:overflowPunct/>
                    <w:topLinePunct w:val="0"/>
                    <w:autoSpaceDE/>
                    <w:autoSpaceDN/>
                    <w:bidi w:val="0"/>
                    <w:adjustRightInd/>
                    <w:snapToGrid/>
                    <w:spacing w:line="240" w:lineRule="auto"/>
                    <w:textAlignment w:val="auto"/>
                  </w:pPr>
                  <w:r>
                    <w:rPr>
                      <w:rFonts w:hint="eastAsia"/>
                    </w:rPr>
                    <w:t>（5）施工</w:t>
                  </w:r>
                  <w:r>
                    <w:t>后期按照环保设计要求，</w:t>
                  </w:r>
                  <w:r>
                    <w:rPr>
                      <w:rFonts w:hint="eastAsia"/>
                    </w:rPr>
                    <w:t>对</w:t>
                  </w:r>
                  <w:r>
                    <w:t>施工迹地</w:t>
                  </w:r>
                  <w:r>
                    <w:rPr>
                      <w:rFonts w:hint="eastAsia"/>
                    </w:rPr>
                    <w:t>进行了</w:t>
                  </w:r>
                  <w:r>
                    <w:t>清理</w:t>
                  </w:r>
                  <w:r>
                    <w:rPr>
                      <w:rFonts w:hint="eastAsia"/>
                    </w:rPr>
                    <w:t>，</w:t>
                  </w:r>
                  <w:r>
                    <w:t>平整，</w:t>
                  </w:r>
                  <w:r>
                    <w:rPr>
                      <w:rFonts w:hint="eastAsia"/>
                    </w:rPr>
                    <w:t>植被</w:t>
                  </w:r>
                  <w:r>
                    <w:t>恢复</w:t>
                  </w:r>
                  <w:r>
                    <w:rPr>
                      <w:rFonts w:hint="eastAsia"/>
                    </w:rPr>
                    <w:t>或</w:t>
                  </w:r>
                  <w:r>
                    <w:t>自然恢复。</w:t>
                  </w:r>
                  <w:r>
                    <w:rPr>
                      <w:rFonts w:hint="eastAsia"/>
                    </w:rPr>
                    <w:t>本</w:t>
                  </w:r>
                  <w:r>
                    <w:t>项目绿化面积</w:t>
                  </w:r>
                  <w:r>
                    <w:rPr>
                      <w:rFonts w:hint="eastAsia"/>
                    </w:rPr>
                    <w:t>共计</w:t>
                  </w:r>
                  <w:r>
                    <w:t>130770m</w:t>
                  </w:r>
                  <w:r>
                    <w:rPr>
                      <w:vertAlign w:val="superscript"/>
                    </w:rPr>
                    <w:t>2</w:t>
                  </w:r>
                  <w:r>
                    <w:rPr>
                      <w:rFonts w:hint="eastAsia"/>
                    </w:rPr>
                    <w:t>，绿化工程与路面工程同时设计、同时施工、同时交付使用。同时根据地方生态规划及</w:t>
                  </w:r>
                  <w:r>
                    <w:t>植被补偿</w:t>
                  </w:r>
                  <w:r>
                    <w:rPr>
                      <w:rFonts w:hint="eastAsia"/>
                    </w:rPr>
                    <w:t>等</w:t>
                  </w:r>
                  <w:r>
                    <w:t>需要，地方政府统一</w:t>
                  </w:r>
                  <w:r>
                    <w:rPr>
                      <w:rFonts w:hint="eastAsia"/>
                    </w:rPr>
                    <w:t>在公路</w:t>
                  </w:r>
                  <w:r>
                    <w:t>沿线及周边进行</w:t>
                  </w:r>
                  <w:r>
                    <w:rPr>
                      <w:rFonts w:hint="eastAsia"/>
                    </w:rPr>
                    <w:t>了</w:t>
                  </w:r>
                  <w:r>
                    <w:t>植被绿化</w:t>
                  </w:r>
                  <w:r>
                    <w:rPr>
                      <w:rFonts w:hint="eastAsia"/>
                    </w:rPr>
                    <w:t>补偿</w:t>
                  </w:r>
                  <w:r>
                    <w:t>恢复</w:t>
                  </w:r>
                  <w:r>
                    <w:rPr>
                      <w:rFonts w:hint="eastAsia"/>
                    </w:rPr>
                    <w:t>。</w:t>
                  </w:r>
                </w:p>
              </w:tc>
            </w:tr>
            <w:tr w14:paraId="747D74B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3" w:hRule="atLeast"/>
                <w:jc w:val="center"/>
              </w:trPr>
              <w:tc>
                <w:tcPr>
                  <w:tcW w:w="567" w:type="dxa"/>
                  <w:vAlign w:val="center"/>
                </w:tcPr>
                <w:p w14:paraId="6D4EF9F9">
                  <w:pPr>
                    <w:pStyle w:val="14"/>
                    <w:keepNext w:val="0"/>
                    <w:keepLines w:val="0"/>
                    <w:pageBreakBefore w:val="0"/>
                    <w:widowControl w:val="0"/>
                    <w:kinsoku/>
                    <w:wordWrap/>
                    <w:overflowPunct/>
                    <w:topLinePunct w:val="0"/>
                    <w:autoSpaceDE/>
                    <w:autoSpaceDN/>
                    <w:bidi w:val="0"/>
                    <w:adjustRightInd/>
                    <w:snapToGrid/>
                    <w:spacing w:after="0" w:line="240" w:lineRule="auto"/>
                    <w:ind w:left="0" w:leftChars="0"/>
                    <w:jc w:val="center"/>
                    <w:textAlignment w:val="auto"/>
                    <w:rPr>
                      <w:rFonts w:hint="default" w:eastAsia="宋体"/>
                      <w:szCs w:val="21"/>
                      <w:lang w:val="en-US" w:eastAsia="zh-CN"/>
                    </w:rPr>
                  </w:pPr>
                  <w:r>
                    <w:rPr>
                      <w:rFonts w:hint="eastAsia"/>
                      <w:szCs w:val="21"/>
                      <w:lang w:val="en-US" w:eastAsia="zh-CN"/>
                    </w:rPr>
                    <w:t xml:space="preserve">3                                                                              </w:t>
                  </w:r>
                </w:p>
              </w:tc>
              <w:tc>
                <w:tcPr>
                  <w:tcW w:w="3004" w:type="dxa"/>
                  <w:vAlign w:val="center"/>
                </w:tcPr>
                <w:p w14:paraId="306A992B">
                  <w:pPr>
                    <w:keepNext w:val="0"/>
                    <w:keepLines w:val="0"/>
                    <w:pageBreakBefore w:val="0"/>
                    <w:widowControl w:val="0"/>
                    <w:kinsoku/>
                    <w:wordWrap/>
                    <w:overflowPunct/>
                    <w:topLinePunct w:val="0"/>
                    <w:autoSpaceDE/>
                    <w:autoSpaceDN/>
                    <w:bidi w:val="0"/>
                    <w:adjustRightInd/>
                    <w:snapToGrid/>
                    <w:spacing w:line="240" w:lineRule="auto"/>
                    <w:textAlignment w:val="auto"/>
                  </w:pPr>
                  <w:r>
                    <w:t>严格落实各项噪声污染防治设施与措施，沿线村庄、学校等声环境敏感点禁止高噪声设备夜间施工；在居民集中区两端</w:t>
                  </w:r>
                  <w:r>
                    <w:rPr>
                      <w:rFonts w:hint="eastAsia"/>
                      <w:lang w:eastAsia="zh-CN"/>
                    </w:rPr>
                    <w:t>设置</w:t>
                  </w:r>
                  <w:r>
                    <w:t>限速、警示标志牌；落实阿图什市格达良乡中心学校宿舍、克孜勒博依乡阿巴霍加小学宿舍安装通风隔声窗措施；开展声环境跟踪监测，预留足够资金确保沿线村庄段声环境敏感目标噪声达标。今后公路两侧噪声预测</w:t>
                  </w:r>
                  <w:r>
                    <w:rPr>
                      <w:rFonts w:hint="eastAsia"/>
                    </w:rPr>
                    <w:t>超标</w:t>
                  </w:r>
                  <w:r>
                    <w:t>范围内，不宜规划新建声环境敏感建筑物。</w:t>
                  </w:r>
                </w:p>
              </w:tc>
              <w:tc>
                <w:tcPr>
                  <w:tcW w:w="4962" w:type="dxa"/>
                  <w:vAlign w:val="center"/>
                </w:tcPr>
                <w:p w14:paraId="3C75C70D">
                  <w:pPr>
                    <w:keepNext w:val="0"/>
                    <w:keepLines w:val="0"/>
                    <w:pageBreakBefore w:val="0"/>
                    <w:widowControl w:val="0"/>
                    <w:kinsoku/>
                    <w:wordWrap/>
                    <w:overflowPunct/>
                    <w:topLinePunct w:val="0"/>
                    <w:autoSpaceDE/>
                    <w:autoSpaceDN/>
                    <w:bidi w:val="0"/>
                    <w:adjustRightInd/>
                    <w:snapToGrid/>
                    <w:spacing w:line="240" w:lineRule="auto"/>
                    <w:textAlignment w:val="auto"/>
                  </w:pPr>
                  <w:r>
                    <w:t>已落实。</w:t>
                  </w:r>
                </w:p>
                <w:p w14:paraId="4FF5CFD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eastAsia="宋体"/>
                      <w:lang w:eastAsia="zh-CN"/>
                    </w:rPr>
                  </w:pPr>
                  <w:r>
                    <w:t>（1）施工期加强了施工管理，离居民点、学校较近的施工现场严禁夜间施工，强噪声机械作业夜间禁止施工，保证周围居民的正常休息</w:t>
                  </w:r>
                  <w:r>
                    <w:rPr>
                      <w:rFonts w:hint="eastAsia"/>
                      <w:lang w:eastAsia="zh-CN"/>
                    </w:rPr>
                    <w:t>。</w:t>
                  </w:r>
                </w:p>
                <w:p w14:paraId="549FBAD8">
                  <w:pPr>
                    <w:keepNext w:val="0"/>
                    <w:keepLines w:val="0"/>
                    <w:pageBreakBefore w:val="0"/>
                    <w:widowControl w:val="0"/>
                    <w:kinsoku/>
                    <w:wordWrap/>
                    <w:overflowPunct/>
                    <w:topLinePunct w:val="0"/>
                    <w:autoSpaceDE/>
                    <w:autoSpaceDN/>
                    <w:bidi w:val="0"/>
                    <w:adjustRightInd/>
                    <w:snapToGrid/>
                    <w:spacing w:line="240" w:lineRule="auto"/>
                    <w:textAlignment w:val="auto"/>
                    <w:rPr>
                      <w:spacing w:val="-2"/>
                      <w:sz w:val="21"/>
                    </w:rPr>
                  </w:pPr>
                  <w:r>
                    <w:rPr>
                      <w:spacing w:val="-2"/>
                      <w:sz w:val="21"/>
                    </w:rPr>
                    <w:t>（2）根据环评报告书及批复要求</w:t>
                  </w:r>
                  <w:r>
                    <w:rPr>
                      <w:rFonts w:hint="eastAsia"/>
                      <w:spacing w:val="-2"/>
                      <w:sz w:val="21"/>
                    </w:rPr>
                    <w:t>，</w:t>
                  </w:r>
                  <w:r>
                    <w:rPr>
                      <w:spacing w:val="-2"/>
                      <w:sz w:val="21"/>
                    </w:rPr>
                    <w:t>结合</w:t>
                  </w:r>
                  <w:r>
                    <w:rPr>
                      <w:rFonts w:hint="eastAsia"/>
                      <w:spacing w:val="-2"/>
                      <w:sz w:val="21"/>
                    </w:rPr>
                    <w:t>敏感点</w:t>
                  </w:r>
                  <w:r>
                    <w:rPr>
                      <w:spacing w:val="-2"/>
                      <w:sz w:val="21"/>
                    </w:rPr>
                    <w:t>实际</w:t>
                  </w:r>
                  <w:r>
                    <w:rPr>
                      <w:rFonts w:hint="eastAsia"/>
                      <w:spacing w:val="-2"/>
                      <w:sz w:val="21"/>
                    </w:rPr>
                    <w:t>受</w:t>
                  </w:r>
                  <w:r>
                    <w:rPr>
                      <w:spacing w:val="-2"/>
                      <w:sz w:val="21"/>
                    </w:rPr>
                    <w:t>影响的情况</w:t>
                  </w:r>
                  <w:r>
                    <w:rPr>
                      <w:rFonts w:hint="eastAsia"/>
                      <w:spacing w:val="-2"/>
                      <w:sz w:val="21"/>
                    </w:rPr>
                    <w:t>及</w:t>
                  </w:r>
                  <w:r>
                    <w:rPr>
                      <w:spacing w:val="-2"/>
                      <w:sz w:val="21"/>
                    </w:rPr>
                    <w:t>降噪需要，对格达良乡中心学校宿舍、阿巴霍加小学2处敏感点设</w:t>
                  </w:r>
                  <w:r>
                    <w:rPr>
                      <w:rFonts w:hint="eastAsia"/>
                      <w:spacing w:val="-2"/>
                      <w:sz w:val="21"/>
                    </w:rPr>
                    <w:t>有</w:t>
                  </w:r>
                  <w:r>
                    <w:rPr>
                      <w:spacing w:val="-2"/>
                      <w:sz w:val="21"/>
                    </w:rPr>
                    <w:t>隔声窗；对</w:t>
                  </w:r>
                  <w:r>
                    <w:rPr>
                      <w:rFonts w:hint="eastAsia"/>
                      <w:spacing w:val="-2"/>
                      <w:sz w:val="21"/>
                    </w:rPr>
                    <w:t>沿线</w:t>
                  </w:r>
                  <w:r>
                    <w:rPr>
                      <w:spacing w:val="-2"/>
                      <w:sz w:val="21"/>
                    </w:rPr>
                    <w:t xml:space="preserve"> 22 处敏感点</w:t>
                  </w:r>
                  <w:r>
                    <w:rPr>
                      <w:rFonts w:hint="eastAsia"/>
                      <w:spacing w:val="-2"/>
                      <w:sz w:val="21"/>
                    </w:rPr>
                    <w:t>设有区间</w:t>
                  </w:r>
                  <w:r>
                    <w:rPr>
                      <w:spacing w:val="-2"/>
                      <w:sz w:val="21"/>
                    </w:rPr>
                    <w:t>限速警示标志</w:t>
                  </w:r>
                  <w:r>
                    <w:rPr>
                      <w:rFonts w:hint="eastAsia"/>
                      <w:spacing w:val="-2"/>
                      <w:sz w:val="21"/>
                    </w:rPr>
                    <w:t>，</w:t>
                  </w:r>
                  <w:r>
                    <w:rPr>
                      <w:spacing w:val="-2"/>
                      <w:sz w:val="21"/>
                    </w:rPr>
                    <w:t>11处敏感点</w:t>
                  </w:r>
                  <w:r>
                    <w:rPr>
                      <w:rFonts w:hint="eastAsia"/>
                      <w:spacing w:val="-2"/>
                      <w:sz w:val="21"/>
                    </w:rPr>
                    <w:t>同时设有</w:t>
                  </w:r>
                  <w:r>
                    <w:rPr>
                      <w:spacing w:val="-2"/>
                      <w:sz w:val="21"/>
                    </w:rPr>
                    <w:t>区间限</w:t>
                  </w:r>
                  <w:r>
                    <w:rPr>
                      <w:rFonts w:hint="eastAsia"/>
                      <w:spacing w:val="-2"/>
                      <w:sz w:val="21"/>
                    </w:rPr>
                    <w:t>禁鸣警示</w:t>
                  </w:r>
                  <w:r>
                    <w:rPr>
                      <w:spacing w:val="-2"/>
                      <w:sz w:val="21"/>
                    </w:rPr>
                    <w:t>标志</w:t>
                  </w:r>
                  <w:r>
                    <w:rPr>
                      <w:rFonts w:hint="eastAsia"/>
                      <w:spacing w:val="-2"/>
                      <w:sz w:val="21"/>
                    </w:rPr>
                    <w:t>，</w:t>
                  </w:r>
                  <w:r>
                    <w:rPr>
                      <w:spacing w:val="-2"/>
                      <w:sz w:val="21"/>
                    </w:rPr>
                    <w:t>17 处敏感点设有绿化林带</w:t>
                  </w:r>
                  <w:r>
                    <w:rPr>
                      <w:rFonts w:hint="eastAsia"/>
                      <w:spacing w:val="-2"/>
                      <w:sz w:val="21"/>
                    </w:rPr>
                    <w:t>，</w:t>
                  </w:r>
                  <w:r>
                    <w:rPr>
                      <w:spacing w:val="-2"/>
                      <w:sz w:val="21"/>
                    </w:rPr>
                    <w:t>6 处敏感点</w:t>
                  </w:r>
                  <w:r>
                    <w:rPr>
                      <w:rFonts w:hint="eastAsia"/>
                      <w:spacing w:val="-2"/>
                      <w:sz w:val="21"/>
                    </w:rPr>
                    <w:t>自行安装</w:t>
                  </w:r>
                  <w:r>
                    <w:rPr>
                      <w:spacing w:val="-2"/>
                      <w:sz w:val="21"/>
                    </w:rPr>
                    <w:t>了隔声窗。</w:t>
                  </w:r>
                  <w:r>
                    <w:rPr>
                      <w:rFonts w:hint="eastAsia"/>
                      <w:spacing w:val="-2"/>
                      <w:sz w:val="21"/>
                    </w:rPr>
                    <w:t>在采取以上措施后，经监测</w:t>
                  </w:r>
                  <w:r>
                    <w:rPr>
                      <w:spacing w:val="-2"/>
                      <w:sz w:val="21"/>
                    </w:rPr>
                    <w:t>和评估沿线敏感点</w:t>
                  </w:r>
                  <w:r>
                    <w:rPr>
                      <w:rFonts w:hint="eastAsia"/>
                      <w:spacing w:val="-2"/>
                      <w:sz w:val="21"/>
                    </w:rPr>
                    <w:t>噪声值均达到</w:t>
                  </w:r>
                  <w:r>
                    <w:rPr>
                      <w:spacing w:val="-2"/>
                      <w:sz w:val="21"/>
                    </w:rPr>
                    <w:t>相应的</w:t>
                  </w:r>
                  <w:r>
                    <w:rPr>
                      <w:rFonts w:hint="eastAsia"/>
                      <w:spacing w:val="-2"/>
                      <w:sz w:val="21"/>
                    </w:rPr>
                    <w:t>声</w:t>
                  </w:r>
                  <w:r>
                    <w:rPr>
                      <w:spacing w:val="-2"/>
                      <w:sz w:val="21"/>
                    </w:rPr>
                    <w:t>环境</w:t>
                  </w:r>
                  <w:r>
                    <w:rPr>
                      <w:rFonts w:hint="eastAsia"/>
                      <w:spacing w:val="-2"/>
                      <w:sz w:val="21"/>
                    </w:rPr>
                    <w:t>标准</w:t>
                  </w:r>
                  <w:r>
                    <w:rPr>
                      <w:spacing w:val="-2"/>
                      <w:sz w:val="21"/>
                    </w:rPr>
                    <w:t>。</w:t>
                  </w:r>
                  <w:r>
                    <w:rPr>
                      <w:rFonts w:hint="eastAsia"/>
                      <w:spacing w:val="-2"/>
                      <w:sz w:val="21"/>
                    </w:rPr>
                    <w:t>本次现状监测全线敏感点均满足相应标准限值。</w:t>
                  </w:r>
                  <w:r>
                    <w:rPr>
                      <w:spacing w:val="-2"/>
                      <w:sz w:val="21"/>
                    </w:rPr>
                    <w:t xml:space="preserve"> </w:t>
                  </w:r>
                </w:p>
                <w:p w14:paraId="190D4226">
                  <w:pPr>
                    <w:keepNext w:val="0"/>
                    <w:keepLines w:val="0"/>
                    <w:pageBreakBefore w:val="0"/>
                    <w:widowControl w:val="0"/>
                    <w:kinsoku/>
                    <w:wordWrap/>
                    <w:overflowPunct/>
                    <w:topLinePunct w:val="0"/>
                    <w:autoSpaceDE/>
                    <w:autoSpaceDN/>
                    <w:bidi w:val="0"/>
                    <w:adjustRightInd/>
                    <w:snapToGrid/>
                    <w:spacing w:line="240" w:lineRule="auto"/>
                    <w:textAlignment w:val="auto"/>
                  </w:pPr>
                  <w:r>
                    <w:t>（3）建设单位积极配合沿线城镇规划，</w:t>
                  </w:r>
                  <w:r>
                    <w:rPr>
                      <w:rFonts w:hint="eastAsia"/>
                    </w:rPr>
                    <w:t>未</w:t>
                  </w:r>
                  <w:r>
                    <w:t>在噪声预测超标范围内规划敏感建筑。</w:t>
                  </w:r>
                </w:p>
              </w:tc>
            </w:tr>
            <w:tr w14:paraId="27E9AE5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3" w:hRule="atLeast"/>
                <w:jc w:val="center"/>
              </w:trPr>
              <w:tc>
                <w:tcPr>
                  <w:tcW w:w="567" w:type="dxa"/>
                  <w:vAlign w:val="center"/>
                </w:tcPr>
                <w:p w14:paraId="06DC7437">
                  <w:pPr>
                    <w:pStyle w:val="14"/>
                    <w:keepNext w:val="0"/>
                    <w:keepLines w:val="0"/>
                    <w:pageBreakBefore w:val="0"/>
                    <w:widowControl w:val="0"/>
                    <w:kinsoku/>
                    <w:wordWrap/>
                    <w:overflowPunct/>
                    <w:topLinePunct w:val="0"/>
                    <w:autoSpaceDE/>
                    <w:autoSpaceDN/>
                    <w:bidi w:val="0"/>
                    <w:adjustRightInd/>
                    <w:snapToGrid/>
                    <w:spacing w:after="0" w:line="240" w:lineRule="auto"/>
                    <w:ind w:left="0" w:leftChars="0"/>
                    <w:jc w:val="center"/>
                    <w:textAlignment w:val="auto"/>
                    <w:rPr>
                      <w:rFonts w:hint="eastAsia" w:eastAsia="宋体"/>
                      <w:szCs w:val="21"/>
                      <w:lang w:eastAsia="zh-CN"/>
                    </w:rPr>
                  </w:pPr>
                  <w:r>
                    <w:rPr>
                      <w:rFonts w:hint="eastAsia"/>
                      <w:szCs w:val="21"/>
                      <w:lang w:val="en-US" w:eastAsia="zh-CN"/>
                    </w:rPr>
                    <w:t>4</w:t>
                  </w:r>
                </w:p>
              </w:tc>
              <w:tc>
                <w:tcPr>
                  <w:tcW w:w="3004" w:type="dxa"/>
                  <w:vAlign w:val="center"/>
                </w:tcPr>
                <w:p w14:paraId="084F88F3">
                  <w:pPr>
                    <w:keepNext w:val="0"/>
                    <w:keepLines w:val="0"/>
                    <w:pageBreakBefore w:val="0"/>
                    <w:widowControl w:val="0"/>
                    <w:kinsoku/>
                    <w:wordWrap/>
                    <w:overflowPunct/>
                    <w:topLinePunct w:val="0"/>
                    <w:autoSpaceDE/>
                    <w:autoSpaceDN/>
                    <w:bidi w:val="0"/>
                    <w:adjustRightInd/>
                    <w:snapToGrid/>
                    <w:spacing w:line="240" w:lineRule="auto"/>
                    <w:textAlignment w:val="auto"/>
                  </w:pPr>
                  <w:r>
                    <w:t>跨河桥梁施工须选择枯水期进行；河堤内严禁停放、清洗施工机械；沿线距河流 100</w:t>
                  </w:r>
                  <w:r>
                    <w:rPr>
                      <w:rFonts w:hint="eastAsia"/>
                    </w:rPr>
                    <w:t>m</w:t>
                  </w:r>
                  <w:r>
                    <w:t>范围内严禁设立料场、废弃物堆放场、施工营地等；各类废弃物严禁排入河流、渠道</w:t>
                  </w:r>
                  <w:r>
                    <w:rPr>
                      <w:rFonts w:hint="eastAsia"/>
                    </w:rPr>
                    <w:t>。</w:t>
                  </w:r>
                  <w:r>
                    <w:t>在大桥新建桥面不得设竖向泄水孔，须设置防撞护栏及桥面径流收集系统，并在大桥两端设置事故缓冲池，确保桥梁运输中水环境安全</w:t>
                  </w:r>
                  <w:r>
                    <w:rPr>
                      <w:rFonts w:hint="eastAsia"/>
                    </w:rPr>
                    <w:t>。</w:t>
                  </w:r>
                  <w:r>
                    <w:t>在 K25 + 700段西侧伽师县县城1＃地下水水源地与公路伴行路段两侧设置防撞墩及事故缓冲池</w:t>
                  </w:r>
                  <w:r>
                    <w:rPr>
                      <w:rFonts w:hint="eastAsia"/>
                    </w:rPr>
                    <w:t>。</w:t>
                  </w:r>
                </w:p>
              </w:tc>
              <w:tc>
                <w:tcPr>
                  <w:tcW w:w="4962" w:type="dxa"/>
                  <w:vAlign w:val="center"/>
                </w:tcPr>
                <w:p w14:paraId="6E0FB7DF">
                  <w:pPr>
                    <w:keepNext w:val="0"/>
                    <w:keepLines w:val="0"/>
                    <w:pageBreakBefore w:val="0"/>
                    <w:widowControl w:val="0"/>
                    <w:kinsoku/>
                    <w:wordWrap/>
                    <w:overflowPunct/>
                    <w:topLinePunct w:val="0"/>
                    <w:autoSpaceDE/>
                    <w:autoSpaceDN/>
                    <w:bidi w:val="0"/>
                    <w:adjustRightInd/>
                    <w:snapToGrid/>
                    <w:spacing w:line="240" w:lineRule="auto"/>
                    <w:textAlignment w:val="auto"/>
                  </w:pPr>
                  <w:r>
                    <w:rPr>
                      <w:rFonts w:hint="eastAsia"/>
                    </w:rPr>
                    <w:t>已</w:t>
                  </w:r>
                  <w:r>
                    <w:t>落实。</w:t>
                  </w:r>
                </w:p>
                <w:p w14:paraId="21A2D7B4">
                  <w:pPr>
                    <w:keepNext w:val="0"/>
                    <w:keepLines w:val="0"/>
                    <w:pageBreakBefore w:val="0"/>
                    <w:widowControl w:val="0"/>
                    <w:kinsoku/>
                    <w:wordWrap/>
                    <w:overflowPunct/>
                    <w:topLinePunct w:val="0"/>
                    <w:autoSpaceDE/>
                    <w:autoSpaceDN/>
                    <w:bidi w:val="0"/>
                    <w:adjustRightInd/>
                    <w:snapToGrid/>
                    <w:spacing w:line="240" w:lineRule="auto"/>
                    <w:textAlignment w:val="auto"/>
                  </w:pPr>
                  <w:r>
                    <w:t>（1）克孜勒苏大桥桥梁桩基施工选择在枯水期进行，并采用围堰施工</w:t>
                  </w:r>
                  <w:r>
                    <w:rPr>
                      <w:rFonts w:hint="eastAsia"/>
                      <w:lang w:eastAsia="zh-CN"/>
                    </w:rPr>
                    <w:t>；</w:t>
                  </w:r>
                  <w:r>
                    <w:t>施工机械的停放及冲洗均在施工场地内指定地点进行</w:t>
                  </w:r>
                  <w:r>
                    <w:rPr>
                      <w:rFonts w:hint="eastAsia"/>
                      <w:lang w:eastAsia="zh-CN"/>
                    </w:rPr>
                    <w:t>；</w:t>
                  </w:r>
                  <w:r>
                    <w:rPr>
                      <w:rFonts w:hint="eastAsia"/>
                    </w:rPr>
                    <w:t>堆</w:t>
                  </w:r>
                  <w:r>
                    <w:t>料场、废弃物堆放场、施工营地等临时工程用地均距河流1km以外。</w:t>
                  </w:r>
                </w:p>
                <w:p w14:paraId="34A96967">
                  <w:pPr>
                    <w:keepNext w:val="0"/>
                    <w:keepLines w:val="0"/>
                    <w:pageBreakBefore w:val="0"/>
                    <w:widowControl w:val="0"/>
                    <w:kinsoku/>
                    <w:wordWrap/>
                    <w:overflowPunct/>
                    <w:topLinePunct w:val="0"/>
                    <w:autoSpaceDE/>
                    <w:autoSpaceDN/>
                    <w:bidi w:val="0"/>
                    <w:adjustRightInd/>
                    <w:snapToGrid/>
                    <w:spacing w:line="240" w:lineRule="auto"/>
                    <w:textAlignment w:val="auto"/>
                  </w:pPr>
                  <w:r>
                    <w:t>（</w:t>
                  </w:r>
                  <w:r>
                    <w:rPr>
                      <w:rFonts w:hint="eastAsia"/>
                      <w:lang w:val="en-US" w:eastAsia="zh-CN"/>
                    </w:rPr>
                    <w:t>2</w:t>
                  </w:r>
                  <w:r>
                    <w:t>）建设单位对克孜勒苏大桥两侧设置钢筋混凝土防撞护栏、防抛网、警示标志，</w:t>
                  </w:r>
                  <w:r>
                    <w:rPr>
                      <w:rFonts w:hint="eastAsia"/>
                    </w:rPr>
                    <w:t>并</w:t>
                  </w:r>
                  <w:r>
                    <w:t>采取限速措施，防止车辆行驶不慎冲入水体</w:t>
                  </w:r>
                  <w:r>
                    <w:rPr>
                      <w:rFonts w:hint="eastAsia"/>
                    </w:rPr>
                    <w:t>；桥梁</w:t>
                  </w:r>
                  <w:r>
                    <w:t>设置桥面</w:t>
                  </w:r>
                  <w:r>
                    <w:rPr>
                      <w:rFonts w:hint="eastAsia"/>
                    </w:rPr>
                    <w:t>径流</w:t>
                  </w:r>
                  <w:r>
                    <w:t>收集系统</w:t>
                  </w:r>
                  <w:r>
                    <w:rPr>
                      <w:rFonts w:hint="eastAsia"/>
                    </w:rPr>
                    <w:t>和</w:t>
                  </w:r>
                  <w:r>
                    <w:t>收集池</w:t>
                  </w:r>
                  <w:r>
                    <w:rPr>
                      <w:rFonts w:hint="eastAsia"/>
                    </w:rPr>
                    <w:t>（2</w:t>
                  </w:r>
                  <w:r>
                    <w:t>*62.5m</w:t>
                  </w:r>
                  <w:r>
                    <w:rPr>
                      <w:vertAlign w:val="superscript"/>
                    </w:rPr>
                    <w:t>3</w:t>
                  </w:r>
                  <w:r>
                    <w:rPr>
                      <w:rFonts w:hint="eastAsia"/>
                    </w:rPr>
                    <w:t>）</w:t>
                  </w:r>
                  <w:r>
                    <w:t>对</w:t>
                  </w:r>
                  <w:r>
                    <w:rPr>
                      <w:rFonts w:hint="eastAsia"/>
                    </w:rPr>
                    <w:t>桥</w:t>
                  </w:r>
                  <w:r>
                    <w:t>面径流进行收集</w:t>
                  </w:r>
                  <w:r>
                    <w:rPr>
                      <w:rFonts w:hint="eastAsia"/>
                    </w:rPr>
                    <w:t>，</w:t>
                  </w:r>
                  <w:r>
                    <w:t>避免危险品运输车辆事故风险对水体造成影响。</w:t>
                  </w:r>
                </w:p>
                <w:p w14:paraId="58890F29">
                  <w:pPr>
                    <w:keepNext w:val="0"/>
                    <w:keepLines w:val="0"/>
                    <w:pageBreakBefore w:val="0"/>
                    <w:widowControl w:val="0"/>
                    <w:kinsoku/>
                    <w:wordWrap/>
                    <w:overflowPunct/>
                    <w:topLinePunct w:val="0"/>
                    <w:autoSpaceDE/>
                    <w:autoSpaceDN/>
                    <w:bidi w:val="0"/>
                    <w:adjustRightInd/>
                    <w:snapToGrid/>
                    <w:spacing w:line="240" w:lineRule="auto"/>
                    <w:textAlignment w:val="auto"/>
                  </w:pPr>
                  <w:r>
                    <w:t>（</w:t>
                  </w:r>
                  <w:r>
                    <w:rPr>
                      <w:rFonts w:hint="eastAsia"/>
                      <w:lang w:val="en-US" w:eastAsia="zh-CN"/>
                    </w:rPr>
                    <w:t>3</w:t>
                  </w:r>
                  <w:r>
                    <w:t>）根据设计单位从保护水源及安全、防撞、养护角度综合比选，临近伽师县县城1#饮用水源保护区路段</w:t>
                  </w:r>
                  <w:r>
                    <w:rPr>
                      <w:rFonts w:hint="eastAsia"/>
                    </w:rPr>
                    <w:t>采用</w:t>
                  </w:r>
                  <w:r>
                    <w:t>波形防撞护栏</w:t>
                  </w:r>
                  <w:r>
                    <w:rPr>
                      <w:rFonts w:hint="eastAsia"/>
                    </w:rPr>
                    <w:t>设计</w:t>
                  </w:r>
                  <w:r>
                    <w:t>，</w:t>
                  </w:r>
                  <w:r>
                    <w:rPr>
                      <w:rFonts w:hint="eastAsia"/>
                    </w:rPr>
                    <w:t>并</w:t>
                  </w:r>
                  <w:r>
                    <w:t>采取限速措施，防止车辆行驶不慎冲入路基外</w:t>
                  </w:r>
                  <w:r>
                    <w:rPr>
                      <w:rFonts w:hint="eastAsia"/>
                    </w:rPr>
                    <w:t>；路段</w:t>
                  </w:r>
                  <w:r>
                    <w:t>设置路面</w:t>
                  </w:r>
                  <w:r>
                    <w:rPr>
                      <w:rFonts w:hint="eastAsia"/>
                    </w:rPr>
                    <w:t>径流</w:t>
                  </w:r>
                  <w:r>
                    <w:t>收集系统</w:t>
                  </w:r>
                  <w:r>
                    <w:rPr>
                      <w:rFonts w:hint="eastAsia"/>
                    </w:rPr>
                    <w:t>和</w:t>
                  </w:r>
                  <w:r>
                    <w:t>收集池</w:t>
                  </w:r>
                  <w:r>
                    <w:rPr>
                      <w:rFonts w:hint="eastAsia"/>
                    </w:rPr>
                    <w:t>（4</w:t>
                  </w:r>
                  <w:r>
                    <w:t>*54 m</w:t>
                  </w:r>
                  <w:r>
                    <w:rPr>
                      <w:vertAlign w:val="superscript"/>
                    </w:rPr>
                    <w:t>3</w:t>
                  </w:r>
                  <w:r>
                    <w:rPr>
                      <w:rFonts w:hint="eastAsia"/>
                    </w:rPr>
                    <w:t>）</w:t>
                  </w:r>
                  <w:r>
                    <w:t>对</w:t>
                  </w:r>
                  <w:r>
                    <w:rPr>
                      <w:rFonts w:hint="eastAsia"/>
                    </w:rPr>
                    <w:t>路</w:t>
                  </w:r>
                  <w:r>
                    <w:t>面径流进行收集，避免危险品运输车辆事故风险对水源保护区造成影响。</w:t>
                  </w:r>
                </w:p>
              </w:tc>
            </w:tr>
          </w:tbl>
          <w:p w14:paraId="3F40B92A">
            <w:pPr>
              <w:keepNext w:val="0"/>
              <w:keepLines w:val="0"/>
              <w:pageBreakBefore w:val="0"/>
              <w:widowControl w:val="0"/>
              <w:kinsoku/>
              <w:wordWrap/>
              <w:overflowPunct/>
              <w:topLinePunct w:val="0"/>
              <w:autoSpaceDE/>
              <w:autoSpaceDN/>
              <w:bidi w:val="0"/>
              <w:adjustRightInd w:val="0"/>
              <w:snapToGrid/>
              <w:spacing w:before="157" w:beforeLines="50"/>
              <w:jc w:val="center"/>
              <w:textAlignment w:val="auto"/>
              <w:rPr>
                <w:b/>
                <w:szCs w:val="21"/>
              </w:rPr>
            </w:pPr>
            <w:r>
              <w:rPr>
                <w:rFonts w:hint="eastAsia"/>
                <w:b/>
                <w:szCs w:val="21"/>
                <w:lang w:val="en-US" w:eastAsia="zh-CN"/>
              </w:rPr>
              <w:t xml:space="preserve">续 </w:t>
            </w:r>
            <w:r>
              <w:rPr>
                <w:rFonts w:hint="eastAsia"/>
                <w:b/>
                <w:szCs w:val="21"/>
              </w:rPr>
              <w:t>表3-</w:t>
            </w:r>
            <w:r>
              <w:rPr>
                <w:rFonts w:hint="eastAsia"/>
                <w:b/>
                <w:szCs w:val="21"/>
                <w:lang w:val="en-US" w:eastAsia="zh-CN"/>
              </w:rPr>
              <w:t>12</w:t>
            </w:r>
            <w:r>
              <w:rPr>
                <w:rFonts w:hint="eastAsia"/>
                <w:b/>
                <w:szCs w:val="21"/>
              </w:rPr>
              <w:t xml:space="preserve">  既有公路环保措施实施情况</w:t>
            </w:r>
          </w:p>
          <w:tbl>
            <w:tblPr>
              <w:tblStyle w:val="22"/>
              <w:tblW w:w="8533"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
              <w:gridCol w:w="3004"/>
              <w:gridCol w:w="4962"/>
            </w:tblGrid>
            <w:tr w14:paraId="510BAFA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1" w:hRule="atLeast"/>
                <w:tblHeader/>
                <w:jc w:val="center"/>
              </w:trPr>
              <w:tc>
                <w:tcPr>
                  <w:tcW w:w="567" w:type="dxa"/>
                  <w:vAlign w:val="center"/>
                </w:tcPr>
                <w:p w14:paraId="2DB15323">
                  <w:pPr>
                    <w:pStyle w:val="14"/>
                    <w:keepNext w:val="0"/>
                    <w:keepLines w:val="0"/>
                    <w:pageBreakBefore w:val="0"/>
                    <w:widowControl w:val="0"/>
                    <w:kinsoku/>
                    <w:wordWrap/>
                    <w:overflowPunct/>
                    <w:topLinePunct w:val="0"/>
                    <w:autoSpaceDE/>
                    <w:autoSpaceDN/>
                    <w:bidi w:val="0"/>
                    <w:adjustRightInd/>
                    <w:snapToGrid/>
                    <w:spacing w:after="0" w:line="260" w:lineRule="exact"/>
                    <w:ind w:left="-105" w:leftChars="-50" w:right="-105" w:rightChars="-50" w:firstLine="105" w:firstLineChars="50"/>
                    <w:jc w:val="center"/>
                    <w:textAlignment w:val="auto"/>
                    <w:rPr>
                      <w:b/>
                      <w:szCs w:val="21"/>
                    </w:rPr>
                  </w:pPr>
                  <w:r>
                    <w:rPr>
                      <w:b/>
                      <w:szCs w:val="21"/>
                    </w:rPr>
                    <w:t>序号</w:t>
                  </w:r>
                </w:p>
              </w:tc>
              <w:tc>
                <w:tcPr>
                  <w:tcW w:w="3004" w:type="dxa"/>
                  <w:vAlign w:val="center"/>
                </w:tcPr>
                <w:p w14:paraId="6C1CB102">
                  <w:pPr>
                    <w:pStyle w:val="14"/>
                    <w:keepNext w:val="0"/>
                    <w:keepLines w:val="0"/>
                    <w:pageBreakBefore w:val="0"/>
                    <w:widowControl w:val="0"/>
                    <w:kinsoku/>
                    <w:wordWrap/>
                    <w:overflowPunct/>
                    <w:topLinePunct w:val="0"/>
                    <w:autoSpaceDE/>
                    <w:autoSpaceDN/>
                    <w:bidi w:val="0"/>
                    <w:adjustRightInd/>
                    <w:snapToGrid/>
                    <w:spacing w:after="0" w:line="260" w:lineRule="exact"/>
                    <w:ind w:left="0" w:leftChars="0" w:right="-105" w:rightChars="-50"/>
                    <w:jc w:val="center"/>
                    <w:textAlignment w:val="auto"/>
                    <w:rPr>
                      <w:b/>
                      <w:szCs w:val="21"/>
                    </w:rPr>
                  </w:pPr>
                  <w:r>
                    <w:rPr>
                      <w:rFonts w:hint="eastAsia"/>
                      <w:b/>
                      <w:szCs w:val="21"/>
                    </w:rPr>
                    <w:t>环评提出的主要环保措施</w:t>
                  </w:r>
                </w:p>
              </w:tc>
              <w:tc>
                <w:tcPr>
                  <w:tcW w:w="4962" w:type="dxa"/>
                  <w:vAlign w:val="center"/>
                </w:tcPr>
                <w:p w14:paraId="616A0F57">
                  <w:pPr>
                    <w:pStyle w:val="14"/>
                    <w:keepNext w:val="0"/>
                    <w:keepLines w:val="0"/>
                    <w:pageBreakBefore w:val="0"/>
                    <w:widowControl w:val="0"/>
                    <w:kinsoku/>
                    <w:wordWrap/>
                    <w:overflowPunct/>
                    <w:topLinePunct w:val="0"/>
                    <w:autoSpaceDE/>
                    <w:autoSpaceDN/>
                    <w:bidi w:val="0"/>
                    <w:adjustRightInd/>
                    <w:snapToGrid/>
                    <w:spacing w:after="0" w:line="260" w:lineRule="exact"/>
                    <w:ind w:left="0" w:leftChars="0" w:right="-105" w:rightChars="-50"/>
                    <w:jc w:val="center"/>
                    <w:textAlignment w:val="auto"/>
                    <w:rPr>
                      <w:b/>
                      <w:szCs w:val="21"/>
                    </w:rPr>
                  </w:pPr>
                  <w:r>
                    <w:rPr>
                      <w:b/>
                      <w:szCs w:val="21"/>
                    </w:rPr>
                    <w:t>落实情况</w:t>
                  </w:r>
                </w:p>
              </w:tc>
            </w:tr>
            <w:tr w14:paraId="345A6F9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567" w:type="dxa"/>
                  <w:vAlign w:val="center"/>
                </w:tcPr>
                <w:p w14:paraId="3B152643">
                  <w:pPr>
                    <w:pStyle w:val="14"/>
                    <w:spacing w:after="0" w:line="240" w:lineRule="auto"/>
                    <w:ind w:left="0" w:leftChars="0"/>
                    <w:jc w:val="center"/>
                    <w:rPr>
                      <w:rFonts w:hint="eastAsia" w:eastAsia="宋体"/>
                      <w:szCs w:val="21"/>
                      <w:lang w:eastAsia="zh-CN"/>
                    </w:rPr>
                  </w:pPr>
                  <w:r>
                    <w:rPr>
                      <w:rFonts w:hint="eastAsia"/>
                      <w:lang w:val="en-US" w:eastAsia="zh-CN"/>
                    </w:rPr>
                    <w:t>5</w:t>
                  </w:r>
                </w:p>
              </w:tc>
              <w:tc>
                <w:tcPr>
                  <w:tcW w:w="3004" w:type="dxa"/>
                  <w:vAlign w:val="center"/>
                </w:tcPr>
                <w:p w14:paraId="0C1C7302">
                  <w:r>
                    <w:t>严格落实施工期居民出行道口设置及洒水降尘等措施，确保不影响居民生产、生活。预留足够的机耕通道和村民通行通道，尽量不产生阻隔影响。</w:t>
                  </w:r>
                </w:p>
              </w:tc>
              <w:tc>
                <w:tcPr>
                  <w:tcW w:w="4962" w:type="dxa"/>
                  <w:vAlign w:val="center"/>
                </w:tcPr>
                <w:p w14:paraId="42E7B07D">
                  <w:r>
                    <w:t>已落实。</w:t>
                  </w:r>
                </w:p>
                <w:p w14:paraId="105FEAA4">
                  <w:r>
                    <w:rPr>
                      <w:rFonts w:hint="eastAsia"/>
                    </w:rPr>
                    <w:t>（1）施工期根据</w:t>
                  </w:r>
                  <w:r>
                    <w:t>沿线居民出行习惯，预留出行</w:t>
                  </w:r>
                  <w:r>
                    <w:rPr>
                      <w:rFonts w:hint="eastAsia"/>
                    </w:rPr>
                    <w:t>通道，</w:t>
                  </w:r>
                  <w:r>
                    <w:t>并配备了洒水车</w:t>
                  </w:r>
                  <w:r>
                    <w:rPr>
                      <w:rFonts w:hint="eastAsia"/>
                    </w:rPr>
                    <w:t>经常洒水。</w:t>
                  </w:r>
                </w:p>
                <w:p w14:paraId="56285B51">
                  <w:r>
                    <w:rPr>
                      <w:rFonts w:hint="eastAsia"/>
                    </w:rPr>
                    <w:t>（2）本项目主线</w:t>
                  </w:r>
                  <w:r>
                    <w:t>采用</w:t>
                  </w:r>
                  <w:r>
                    <w:rPr>
                      <w:rFonts w:hint="eastAsia"/>
                    </w:rPr>
                    <w:t>二级</w:t>
                  </w:r>
                  <w:r>
                    <w:t>公路标准建设</w:t>
                  </w:r>
                  <w:r>
                    <w:rPr>
                      <w:rFonts w:hint="eastAsia"/>
                    </w:rPr>
                    <w:t>，</w:t>
                  </w:r>
                  <w:r>
                    <w:t>全线</w:t>
                  </w:r>
                  <w:r>
                    <w:rPr>
                      <w:rFonts w:hint="eastAsia"/>
                    </w:rPr>
                    <w:t>不</w:t>
                  </w:r>
                  <w:r>
                    <w:t>封闭，</w:t>
                  </w:r>
                  <w:r>
                    <w:rPr>
                      <w:rFonts w:hint="eastAsia"/>
                    </w:rPr>
                    <w:t>与地方道路相交均设置了平面交叉，对沿线居民的阻隔影响较小。同时在沿线学校、村庄附近设置了交通标志和标线，保证了沿线过往群众的</w:t>
                  </w:r>
                  <w:r>
                    <w:t>出行和往来</w:t>
                  </w:r>
                  <w:r>
                    <w:rPr>
                      <w:rFonts w:hint="eastAsia"/>
                    </w:rPr>
                    <w:t>的安全。</w:t>
                  </w:r>
                </w:p>
              </w:tc>
            </w:tr>
            <w:tr w14:paraId="580531E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567" w:type="dxa"/>
                  <w:vAlign w:val="center"/>
                </w:tcPr>
                <w:p w14:paraId="73D77E57">
                  <w:pPr>
                    <w:pStyle w:val="14"/>
                    <w:spacing w:after="0" w:line="240" w:lineRule="auto"/>
                    <w:ind w:left="0" w:leftChars="0"/>
                    <w:jc w:val="center"/>
                    <w:rPr>
                      <w:rFonts w:hint="eastAsia" w:eastAsia="宋体"/>
                      <w:szCs w:val="21"/>
                      <w:lang w:eastAsia="zh-CN"/>
                    </w:rPr>
                  </w:pPr>
                  <w:r>
                    <w:rPr>
                      <w:rFonts w:hint="eastAsia"/>
                      <w:szCs w:val="21"/>
                      <w:lang w:val="en-US" w:eastAsia="zh-CN"/>
                    </w:rPr>
                    <w:t>6</w:t>
                  </w:r>
                </w:p>
              </w:tc>
              <w:tc>
                <w:tcPr>
                  <w:tcW w:w="3004" w:type="dxa"/>
                  <w:vAlign w:val="center"/>
                </w:tcPr>
                <w:p w14:paraId="13436FAA">
                  <w:r>
                    <w:t>施工期各类污染物须集中收集处置，严禁随意排弃；收费站生活污水采用一体化污水处理系统处理后夏灌冬储用于绿化，不得外排；锅炉选用低硫煤，确保锅炉烟气排放浓度满足 《锅炉大气污染物排放标准》（GB13271- 2001）中二类区Ⅱ时段标准；生活垃圾等须到当地环保部门指定地点合理处置。废弃沥青须分类处置。</w:t>
                  </w:r>
                </w:p>
              </w:tc>
              <w:tc>
                <w:tcPr>
                  <w:tcW w:w="4962" w:type="dxa"/>
                  <w:vAlign w:val="center"/>
                </w:tcPr>
                <w:p w14:paraId="60DC9FC5">
                  <w:r>
                    <w:t>已落实。</w:t>
                  </w:r>
                </w:p>
                <w:p w14:paraId="0FF74150">
                  <w:r>
                    <w:t>（1）</w:t>
                  </w:r>
                  <w:r>
                    <w:rPr>
                      <w:rFonts w:hint="eastAsia"/>
                    </w:rPr>
                    <w:t>施工期产生</w:t>
                  </w:r>
                  <w:r>
                    <w:t>的固体废物主要为施工建筑垃圾</w:t>
                  </w:r>
                  <w:r>
                    <w:rPr>
                      <w:rFonts w:hint="eastAsia"/>
                    </w:rPr>
                    <w:t>和</w:t>
                  </w:r>
                  <w:r>
                    <w:t>施工人员的生活垃圾。对于</w:t>
                  </w:r>
                  <w:r>
                    <w:rPr>
                      <w:rFonts w:hint="eastAsia"/>
                    </w:rPr>
                    <w:t>建筑垃圾</w:t>
                  </w:r>
                  <w:r>
                    <w:t>尽量</w:t>
                  </w:r>
                  <w:r>
                    <w:rPr>
                      <w:rFonts w:hint="eastAsia"/>
                      <w:lang w:val="en-US" w:eastAsia="zh-CN"/>
                    </w:rPr>
                    <w:t>回收</w:t>
                  </w:r>
                  <w:r>
                    <w:t>利用，利用不完</w:t>
                  </w:r>
                  <w:r>
                    <w:rPr>
                      <w:rFonts w:hint="eastAsia"/>
                    </w:rPr>
                    <w:t>的</w:t>
                  </w:r>
                  <w:r>
                    <w:t>由</w:t>
                  </w:r>
                  <w:r>
                    <w:rPr>
                      <w:rFonts w:hint="eastAsia"/>
                    </w:rPr>
                    <w:t>地方回收</w:t>
                  </w:r>
                  <w:r>
                    <w:t>处理后</w:t>
                  </w:r>
                  <w:r>
                    <w:rPr>
                      <w:rFonts w:hint="eastAsia"/>
                    </w:rPr>
                    <w:t>用于当地乡村道路的填筑、</w:t>
                  </w:r>
                  <w:r>
                    <w:t>修补</w:t>
                  </w:r>
                  <w:r>
                    <w:rPr>
                      <w:rFonts w:hint="eastAsia"/>
                    </w:rPr>
                    <w:t>及施工</w:t>
                  </w:r>
                  <w:r>
                    <w:t>建设</w:t>
                  </w:r>
                  <w:r>
                    <w:rPr>
                      <w:rFonts w:hint="eastAsia"/>
                    </w:rPr>
                    <w:t>使用；原有</w:t>
                  </w:r>
                  <w:r>
                    <w:t>沥青路面尽量利用，</w:t>
                  </w:r>
                  <w:r>
                    <w:rPr>
                      <w:rFonts w:hint="eastAsia"/>
                    </w:rPr>
                    <w:t>少量的沥青</w:t>
                  </w:r>
                  <w:r>
                    <w:t>路面拆迁垃圾</w:t>
                  </w:r>
                  <w:r>
                    <w:rPr>
                      <w:rFonts w:hint="eastAsia"/>
                    </w:rPr>
                    <w:t>也由地方</w:t>
                  </w:r>
                  <w:r>
                    <w:t>进行再利用</w:t>
                  </w:r>
                  <w:r>
                    <w:rPr>
                      <w:rFonts w:hint="eastAsia"/>
                    </w:rPr>
                    <w:t>，均未</w:t>
                  </w:r>
                  <w:r>
                    <w:t>随意丢弃。施工营地的生活垃圾集中收集后，定期清运。营运期</w:t>
                  </w:r>
                  <w:r>
                    <w:rPr>
                      <w:rFonts w:hint="eastAsia"/>
                    </w:rPr>
                    <w:t>服务</w:t>
                  </w:r>
                  <w:r>
                    <w:t>设施垃圾集中收集，并委托当地环卫部门定期清运。</w:t>
                  </w:r>
                </w:p>
                <w:p w14:paraId="03C2FB8E">
                  <w:r>
                    <w:t>（2）本项目收费站设置了地埋式膜生物反应器一体化污水处理设备，在污水排口处设置收集池，污水经处理后，排入收集池中，回用于</w:t>
                  </w:r>
                  <w:r>
                    <w:rPr>
                      <w:rFonts w:hint="eastAsia"/>
                    </w:rPr>
                    <w:t>沿线</w:t>
                  </w:r>
                  <w:r>
                    <w:t>绿化、养护，不会对沿线水环境产生影响。</w:t>
                  </w:r>
                </w:p>
                <w:p w14:paraId="18671D6A">
                  <w:r>
                    <w:t>（3）本项目收费站未设置燃煤锅炉，采用电锅炉，不会产生锅炉废气污染。</w:t>
                  </w:r>
                </w:p>
              </w:tc>
            </w:tr>
            <w:tr w14:paraId="04B4478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567" w:type="dxa"/>
                  <w:vAlign w:val="center"/>
                </w:tcPr>
                <w:p w14:paraId="4ED5964A">
                  <w:pPr>
                    <w:pStyle w:val="14"/>
                    <w:spacing w:after="0" w:line="240" w:lineRule="auto"/>
                    <w:ind w:left="0" w:leftChars="0"/>
                    <w:jc w:val="center"/>
                    <w:rPr>
                      <w:rFonts w:hint="eastAsia" w:eastAsia="宋体"/>
                      <w:szCs w:val="21"/>
                      <w:lang w:eastAsia="zh-CN"/>
                    </w:rPr>
                  </w:pPr>
                  <w:r>
                    <w:rPr>
                      <w:rFonts w:hint="eastAsia"/>
                      <w:szCs w:val="21"/>
                      <w:lang w:val="en-US" w:eastAsia="zh-CN"/>
                    </w:rPr>
                    <w:t>7</w:t>
                  </w:r>
                </w:p>
              </w:tc>
              <w:tc>
                <w:tcPr>
                  <w:tcW w:w="3004" w:type="dxa"/>
                  <w:vAlign w:val="center"/>
                </w:tcPr>
                <w:p w14:paraId="2ED7B328">
                  <w:r>
                    <w:t>制定危险品运输事故环境应急预案，事故发生时立即启动应急预案，严格落实各项事故应急处理措施</w:t>
                  </w:r>
                  <w:r>
                    <w:rPr>
                      <w:rFonts w:hint="eastAsia"/>
                    </w:rPr>
                    <w:t>。</w:t>
                  </w:r>
                </w:p>
              </w:tc>
              <w:tc>
                <w:tcPr>
                  <w:tcW w:w="4962" w:type="dxa"/>
                  <w:vAlign w:val="center"/>
                </w:tcPr>
                <w:p w14:paraId="0D8C0DCF">
                  <w:r>
                    <w:t>已落实。</w:t>
                  </w:r>
                </w:p>
                <w:p w14:paraId="6B2BD3E4">
                  <w:r>
                    <w:t>本项目制定了《G219线八盘水磨-岳普湖县段公路改建工程突发环境事件应急预案》，方案中详细规定了应急机构的组成、职责、处置方案，以及突发事件现场救援方案等。据调查，本项目运营至今未发生运输危险品车辆交通事故。</w:t>
                  </w:r>
                </w:p>
              </w:tc>
            </w:tr>
          </w:tbl>
          <w:p w14:paraId="416C5239">
            <w:pPr>
              <w:keepNext w:val="0"/>
              <w:keepLines w:val="0"/>
              <w:pageBreakBefore w:val="0"/>
              <w:widowControl w:val="0"/>
              <w:kinsoku/>
              <w:wordWrap/>
              <w:overflowPunct/>
              <w:topLinePunct w:val="0"/>
              <w:autoSpaceDE/>
              <w:autoSpaceDN/>
              <w:bidi w:val="0"/>
              <w:adjustRightInd w:val="0"/>
              <w:snapToGrid/>
              <w:spacing w:before="157" w:beforeLines="50" w:line="300" w:lineRule="auto"/>
              <w:textAlignment w:val="auto"/>
              <w:rPr>
                <w:rFonts w:hint="eastAsia"/>
                <w:b/>
                <w:color w:val="auto"/>
                <w:sz w:val="24"/>
              </w:rPr>
            </w:pPr>
          </w:p>
          <w:p w14:paraId="15F8068E">
            <w:pPr>
              <w:keepNext w:val="0"/>
              <w:keepLines w:val="0"/>
              <w:pageBreakBefore w:val="0"/>
              <w:widowControl w:val="0"/>
              <w:kinsoku/>
              <w:wordWrap/>
              <w:overflowPunct/>
              <w:topLinePunct w:val="0"/>
              <w:autoSpaceDE/>
              <w:autoSpaceDN/>
              <w:bidi w:val="0"/>
              <w:adjustRightInd w:val="0"/>
              <w:snapToGrid/>
              <w:spacing w:line="300" w:lineRule="auto"/>
              <w:textAlignment w:val="auto"/>
              <w:rPr>
                <w:b/>
                <w:color w:val="auto"/>
                <w:sz w:val="24"/>
              </w:rPr>
            </w:pPr>
            <w:r>
              <w:rPr>
                <w:rFonts w:hint="eastAsia"/>
                <w:b/>
                <w:color w:val="auto"/>
                <w:sz w:val="24"/>
              </w:rPr>
              <w:t>3. 既有公路存在的环境问题</w:t>
            </w:r>
          </w:p>
          <w:p w14:paraId="6366C55F">
            <w:pPr>
              <w:adjustRightInd w:val="0"/>
              <w:snapToGrid w:val="0"/>
              <w:spacing w:line="300" w:lineRule="auto"/>
              <w:ind w:firstLine="480" w:firstLineChars="200"/>
              <w:rPr>
                <w:color w:val="auto"/>
                <w:kern w:val="0"/>
                <w:sz w:val="24"/>
              </w:rPr>
            </w:pPr>
            <w:r>
              <w:rPr>
                <w:color w:val="auto"/>
                <w:kern w:val="0"/>
                <w:sz w:val="24"/>
              </w:rPr>
              <w:t>(</w:t>
            </w:r>
            <w:r>
              <w:rPr>
                <w:rFonts w:hint="eastAsia"/>
                <w:color w:val="auto"/>
                <w:kern w:val="0"/>
                <w:sz w:val="24"/>
              </w:rPr>
              <w:t>1</w:t>
            </w:r>
            <w:r>
              <w:rPr>
                <w:color w:val="auto"/>
                <w:kern w:val="0"/>
                <w:sz w:val="24"/>
              </w:rPr>
              <w:t>) 服务设施污水超标排放</w:t>
            </w:r>
          </w:p>
          <w:p w14:paraId="7C4D39DD">
            <w:pPr>
              <w:adjustRightInd w:val="0"/>
              <w:snapToGrid w:val="0"/>
              <w:spacing w:line="300" w:lineRule="auto"/>
              <w:ind w:firstLine="480" w:firstLineChars="200"/>
              <w:rPr>
                <w:rFonts w:hint="default" w:eastAsia="宋体"/>
                <w:color w:val="auto"/>
                <w:kern w:val="0"/>
                <w:sz w:val="24"/>
                <w:lang w:val="en-US" w:eastAsia="zh-CN"/>
              </w:rPr>
            </w:pPr>
            <w:r>
              <w:rPr>
                <w:rFonts w:hint="eastAsia" w:hAnsiTheme="minorEastAsia" w:eastAsiaTheme="minorEastAsia"/>
                <w:color w:val="auto"/>
                <w:sz w:val="24"/>
              </w:rPr>
              <w:t>既有</w:t>
            </w:r>
            <w:r>
              <w:rPr>
                <w:rFonts w:hAnsiTheme="minorEastAsia" w:eastAsiaTheme="minorEastAsia"/>
                <w:color w:val="auto"/>
                <w:sz w:val="24"/>
              </w:rPr>
              <w:t>公路</w:t>
            </w:r>
            <w:r>
              <w:rPr>
                <w:rFonts w:hint="eastAsia" w:hAnsiTheme="minorEastAsia" w:eastAsiaTheme="minorEastAsia"/>
                <w:color w:val="auto"/>
                <w:sz w:val="24"/>
                <w:lang w:val="en-US" w:eastAsia="zh-CN"/>
              </w:rPr>
              <w:t>收费站设置有一体化污水处理设备</w:t>
            </w:r>
            <w:r>
              <w:rPr>
                <w:rFonts w:hAnsiTheme="minorEastAsia" w:eastAsiaTheme="minorEastAsia"/>
                <w:color w:val="auto"/>
                <w:sz w:val="24"/>
              </w:rPr>
              <w:t>，</w:t>
            </w:r>
            <w:r>
              <w:rPr>
                <w:rFonts w:hint="eastAsia" w:hAnsiTheme="minorEastAsia" w:eastAsiaTheme="minorEastAsia"/>
                <w:color w:val="auto"/>
                <w:sz w:val="24"/>
                <w:lang w:val="en-US" w:eastAsia="zh-CN"/>
              </w:rPr>
              <w:t>但目前设备已损坏停用，</w:t>
            </w:r>
            <w:r>
              <w:rPr>
                <w:rFonts w:hAnsiTheme="minorEastAsia" w:eastAsiaTheme="minorEastAsia"/>
                <w:color w:val="auto"/>
                <w:sz w:val="24"/>
              </w:rPr>
              <w:t>生活污水</w:t>
            </w:r>
            <w:r>
              <w:rPr>
                <w:rFonts w:hint="eastAsia" w:hAnsiTheme="minorEastAsia" w:eastAsiaTheme="minorEastAsia"/>
                <w:color w:val="auto"/>
                <w:sz w:val="24"/>
                <w:lang w:val="en-US" w:eastAsia="zh-CN"/>
              </w:rPr>
              <w:t>仅由化粪池处理后排放</w:t>
            </w:r>
            <w:r>
              <w:rPr>
                <w:rFonts w:hAnsiTheme="minorEastAsia" w:eastAsiaTheme="minorEastAsia"/>
                <w:color w:val="auto"/>
                <w:sz w:val="24"/>
              </w:rPr>
              <w:t>，对水环境可能会产生一定的污染</w:t>
            </w:r>
            <w:r>
              <w:rPr>
                <w:color w:val="auto"/>
                <w:kern w:val="0"/>
                <w:sz w:val="24"/>
              </w:rPr>
              <w:t>。</w:t>
            </w:r>
            <w:r>
              <w:rPr>
                <w:rFonts w:hint="eastAsia"/>
                <w:color w:val="auto"/>
                <w:kern w:val="0"/>
                <w:sz w:val="24"/>
                <w:lang w:val="en-US" w:eastAsia="zh-CN"/>
              </w:rPr>
              <w:t>拟建公路建成后，既有收费站将调整使用功能，不再具备收费功能。</w:t>
            </w:r>
          </w:p>
          <w:p w14:paraId="293AC0B8">
            <w:pPr>
              <w:adjustRightInd w:val="0"/>
              <w:snapToGrid w:val="0"/>
              <w:spacing w:line="300" w:lineRule="auto"/>
              <w:ind w:firstLine="480" w:firstLineChars="200"/>
              <w:rPr>
                <w:color w:val="auto"/>
                <w:kern w:val="0"/>
                <w:sz w:val="24"/>
              </w:rPr>
            </w:pPr>
            <w:r>
              <w:rPr>
                <w:rFonts w:hint="eastAsia"/>
                <w:color w:val="auto"/>
                <w:kern w:val="0"/>
                <w:sz w:val="24"/>
              </w:rPr>
              <w:t>(2) 服务设施油烟超标排放</w:t>
            </w:r>
          </w:p>
          <w:p w14:paraId="2F8235B6">
            <w:pPr>
              <w:adjustRightInd w:val="0"/>
              <w:snapToGrid w:val="0"/>
              <w:spacing w:line="300" w:lineRule="auto"/>
              <w:ind w:firstLine="480" w:firstLineChars="200"/>
              <w:rPr>
                <w:color w:val="auto"/>
                <w:kern w:val="0"/>
                <w:sz w:val="24"/>
              </w:rPr>
            </w:pPr>
            <w:r>
              <w:rPr>
                <w:rFonts w:hAnsiTheme="minorEastAsia" w:eastAsiaTheme="minorEastAsia"/>
                <w:color w:val="auto"/>
                <w:sz w:val="24"/>
              </w:rPr>
              <w:t>既有公路</w:t>
            </w:r>
            <w:r>
              <w:rPr>
                <w:rFonts w:hint="eastAsia" w:hAnsiTheme="minorEastAsia" w:eastAsiaTheme="minorEastAsia"/>
                <w:color w:val="auto"/>
                <w:sz w:val="24"/>
                <w:lang w:val="en-US" w:eastAsia="zh-CN"/>
              </w:rPr>
              <w:t>收费站</w:t>
            </w:r>
            <w:r>
              <w:rPr>
                <w:rFonts w:hAnsiTheme="minorEastAsia" w:eastAsiaTheme="minorEastAsia"/>
                <w:color w:val="auto"/>
                <w:sz w:val="24"/>
              </w:rPr>
              <w:t>厨房</w:t>
            </w:r>
            <w:r>
              <w:rPr>
                <w:rFonts w:hint="eastAsia" w:hAnsiTheme="minorEastAsia" w:eastAsiaTheme="minorEastAsia"/>
                <w:color w:val="auto"/>
                <w:sz w:val="24"/>
                <w:lang w:val="en-US" w:eastAsia="zh-CN"/>
              </w:rPr>
              <w:t>烟囱</w:t>
            </w:r>
            <w:r>
              <w:rPr>
                <w:rFonts w:hAnsiTheme="minorEastAsia" w:eastAsiaTheme="minorEastAsia"/>
                <w:color w:val="auto"/>
                <w:sz w:val="24"/>
              </w:rPr>
              <w:t>未加装油烟净化设施，油烟可能存在超标排放的现象</w:t>
            </w:r>
            <w:r>
              <w:rPr>
                <w:rFonts w:hint="eastAsia"/>
                <w:color w:val="auto"/>
                <w:kern w:val="0"/>
                <w:sz w:val="24"/>
              </w:rPr>
              <w:t>。</w:t>
            </w:r>
          </w:p>
          <w:p w14:paraId="0F80D8BB">
            <w:pPr>
              <w:adjustRightInd w:val="0"/>
              <w:snapToGrid w:val="0"/>
              <w:spacing w:line="300" w:lineRule="auto"/>
              <w:ind w:firstLine="480" w:firstLineChars="200"/>
              <w:rPr>
                <w:color w:val="auto"/>
                <w:kern w:val="0"/>
                <w:sz w:val="24"/>
              </w:rPr>
            </w:pPr>
            <w:r>
              <w:rPr>
                <w:color w:val="auto"/>
                <w:kern w:val="0"/>
                <w:sz w:val="24"/>
              </w:rPr>
              <w:t>(</w:t>
            </w:r>
            <w:r>
              <w:rPr>
                <w:rFonts w:hint="eastAsia"/>
                <w:color w:val="auto"/>
                <w:kern w:val="0"/>
                <w:sz w:val="24"/>
              </w:rPr>
              <w:t>3</w:t>
            </w:r>
            <w:r>
              <w:rPr>
                <w:color w:val="auto"/>
                <w:kern w:val="0"/>
                <w:sz w:val="24"/>
              </w:rPr>
              <w:t>) 环境风险</w:t>
            </w:r>
          </w:p>
          <w:p w14:paraId="1A3D14D9">
            <w:pPr>
              <w:keepNext w:val="0"/>
              <w:keepLines w:val="0"/>
              <w:pageBreakBefore w:val="0"/>
              <w:widowControl w:val="0"/>
              <w:kinsoku/>
              <w:wordWrap/>
              <w:overflowPunct/>
              <w:topLinePunct w:val="0"/>
              <w:autoSpaceDE/>
              <w:autoSpaceDN/>
              <w:bidi w:val="0"/>
              <w:adjustRightInd w:val="0"/>
              <w:snapToGrid w:val="0"/>
              <w:spacing w:line="300" w:lineRule="auto"/>
              <w:ind w:firstLine="480" w:firstLineChars="200"/>
              <w:textAlignment w:val="auto"/>
              <w:rPr>
                <w:color w:val="auto"/>
                <w:kern w:val="0"/>
                <w:sz w:val="24"/>
              </w:rPr>
            </w:pPr>
            <w:r>
              <w:rPr>
                <w:color w:val="auto"/>
                <w:sz w:val="24"/>
              </w:rPr>
              <w:t>目前沿线</w:t>
            </w:r>
            <w:r>
              <w:rPr>
                <w:rFonts w:hint="eastAsia"/>
                <w:color w:val="auto"/>
                <w:sz w:val="24"/>
                <w:lang w:val="en-US" w:eastAsia="zh-CN"/>
              </w:rPr>
              <w:t>跨越</w:t>
            </w:r>
            <w:r>
              <w:rPr>
                <w:rFonts w:hint="default" w:ascii="Times New Roman" w:hAnsi="Times New Roman" w:cs="Times New Roman"/>
                <w:color w:val="auto"/>
                <w:sz w:val="24"/>
                <w:lang w:val="en-US" w:eastAsia="zh-CN"/>
              </w:rPr>
              <w:t>Ⅲ</w:t>
            </w:r>
            <w:r>
              <w:rPr>
                <w:rFonts w:hint="eastAsia"/>
                <w:color w:val="auto"/>
                <w:sz w:val="24"/>
                <w:lang w:val="en-US" w:eastAsia="zh-CN"/>
              </w:rPr>
              <w:t>类水体水体1的桥梁虽已设置径流收集系统，但由于年久失修，径流收集管道已出现破损和缺失，不能有效对桥面径流进行收集，跨越其支流水体2的桥梁未设置径流收集系统；既有公路仅对临近伽师县城饮用水</w:t>
            </w:r>
            <w:r>
              <w:rPr>
                <w:color w:val="auto"/>
                <w:sz w:val="24"/>
              </w:rPr>
              <w:t>水源</w:t>
            </w:r>
            <w:r>
              <w:rPr>
                <w:rFonts w:hint="eastAsia"/>
                <w:color w:val="auto"/>
                <w:sz w:val="24"/>
                <w:lang w:val="en-US" w:eastAsia="zh-CN"/>
              </w:rPr>
              <w:t>地1</w:t>
            </w:r>
            <w:r>
              <w:rPr>
                <w:rFonts w:hint="default" w:ascii="Times New Roman" w:hAnsi="Times New Roman" w:cs="Times New Roman"/>
                <w:color w:val="auto"/>
                <w:sz w:val="24"/>
                <w:lang w:val="en-US" w:eastAsia="zh-CN"/>
              </w:rPr>
              <w:t>#</w:t>
            </w:r>
            <w:r>
              <w:rPr>
                <w:rFonts w:hint="eastAsia" w:ascii="Times New Roman" w:hAnsi="Times New Roman" w:cs="Times New Roman"/>
                <w:color w:val="auto"/>
                <w:sz w:val="24"/>
                <w:lang w:val="en-US" w:eastAsia="zh-CN"/>
              </w:rPr>
              <w:t>水井水源保护区路段设置有路面径流收集系统，</w:t>
            </w:r>
            <w:r>
              <w:rPr>
                <w:rFonts w:hint="eastAsia" w:cs="Times New Roman"/>
                <w:color w:val="auto"/>
                <w:sz w:val="24"/>
                <w:lang w:val="en-US" w:eastAsia="zh-CN"/>
              </w:rPr>
              <w:t>临近</w:t>
            </w:r>
            <w:r>
              <w:rPr>
                <w:rFonts w:hint="eastAsia" w:ascii="Times New Roman" w:hAnsi="Times New Roman" w:cs="Times New Roman"/>
                <w:color w:val="auto"/>
                <w:sz w:val="24"/>
                <w:lang w:val="en-US" w:eastAsia="zh-CN"/>
              </w:rPr>
              <w:t>其余3口</w:t>
            </w:r>
            <w:r>
              <w:rPr>
                <w:rFonts w:hint="eastAsia" w:cs="Times New Roman"/>
                <w:color w:val="auto"/>
                <w:sz w:val="24"/>
                <w:lang w:val="en-US" w:eastAsia="zh-CN"/>
              </w:rPr>
              <w:t>水</w:t>
            </w:r>
            <w:r>
              <w:rPr>
                <w:rFonts w:hint="eastAsia" w:ascii="Times New Roman" w:hAnsi="Times New Roman" w:cs="Times New Roman"/>
                <w:color w:val="auto"/>
                <w:sz w:val="24"/>
                <w:lang w:val="en-US" w:eastAsia="zh-CN"/>
              </w:rPr>
              <w:t>井水源保护区路段未设置路面径流收集系统</w:t>
            </w:r>
            <w:r>
              <w:rPr>
                <w:rFonts w:hint="eastAsia" w:cs="Times New Roman"/>
                <w:color w:val="auto"/>
                <w:sz w:val="24"/>
                <w:lang w:val="en-US" w:eastAsia="zh-CN"/>
              </w:rPr>
              <w:t>。</w:t>
            </w:r>
            <w:r>
              <w:rPr>
                <w:rFonts w:hint="eastAsia" w:ascii="Times New Roman" w:hAnsi="Times New Roman" w:cs="Times New Roman"/>
                <w:color w:val="auto"/>
                <w:sz w:val="24"/>
                <w:lang w:val="en-US" w:eastAsia="zh-CN"/>
              </w:rPr>
              <w:t>一旦发生风险事故，将</w:t>
            </w:r>
            <w:r>
              <w:rPr>
                <w:color w:val="auto"/>
                <w:sz w:val="24"/>
              </w:rPr>
              <w:t>对上述敏感路段水质安全</w:t>
            </w:r>
            <w:r>
              <w:rPr>
                <w:rFonts w:hint="eastAsia"/>
                <w:color w:val="auto"/>
                <w:sz w:val="24"/>
                <w:lang w:val="en-US" w:eastAsia="zh-CN"/>
              </w:rPr>
              <w:t>产生</w:t>
            </w:r>
            <w:r>
              <w:rPr>
                <w:color w:val="auto"/>
                <w:sz w:val="24"/>
              </w:rPr>
              <w:t>一定的潜在风险</w:t>
            </w:r>
            <w:r>
              <w:rPr>
                <w:color w:val="auto"/>
                <w:kern w:val="0"/>
                <w:sz w:val="24"/>
              </w:rPr>
              <w:t>。</w:t>
            </w:r>
          </w:p>
          <w:p w14:paraId="6FF2DAE9">
            <w:pPr>
              <w:keepNext w:val="0"/>
              <w:keepLines w:val="0"/>
              <w:pageBreakBefore w:val="0"/>
              <w:widowControl w:val="0"/>
              <w:kinsoku/>
              <w:wordWrap/>
              <w:overflowPunct/>
              <w:topLinePunct w:val="0"/>
              <w:autoSpaceDE/>
              <w:autoSpaceDN/>
              <w:bidi w:val="0"/>
              <w:adjustRightInd w:val="0"/>
              <w:snapToGrid w:val="0"/>
              <w:spacing w:line="300" w:lineRule="auto"/>
              <w:ind w:firstLine="480" w:firstLineChars="200"/>
              <w:textAlignment w:val="auto"/>
              <w:rPr>
                <w:rFonts w:hint="eastAsia"/>
                <w:color w:val="auto"/>
                <w:kern w:val="0"/>
                <w:sz w:val="24"/>
                <w:lang w:val="en-US" w:eastAsia="zh-CN"/>
              </w:rPr>
            </w:pPr>
            <w:r>
              <w:rPr>
                <w:rFonts w:hint="eastAsia"/>
                <w:color w:val="auto"/>
                <w:kern w:val="0"/>
                <w:sz w:val="24"/>
                <w:lang w:val="en-US" w:eastAsia="zh-CN"/>
              </w:rPr>
              <w:t>(4) 生态</w:t>
            </w:r>
          </w:p>
          <w:p w14:paraId="0AB902FA">
            <w:pPr>
              <w:keepNext w:val="0"/>
              <w:keepLines w:val="0"/>
              <w:pageBreakBefore w:val="0"/>
              <w:widowControl w:val="0"/>
              <w:kinsoku/>
              <w:wordWrap/>
              <w:overflowPunct/>
              <w:topLinePunct w:val="0"/>
              <w:autoSpaceDE/>
              <w:autoSpaceDN/>
              <w:bidi w:val="0"/>
              <w:adjustRightInd w:val="0"/>
              <w:snapToGrid w:val="0"/>
              <w:spacing w:after="157" w:afterLines="50" w:line="300" w:lineRule="auto"/>
              <w:ind w:firstLine="480" w:firstLineChars="200"/>
              <w:textAlignment w:val="auto"/>
              <w:rPr>
                <w:rFonts w:hint="default" w:eastAsia="宋体"/>
                <w:color w:val="auto"/>
                <w:kern w:val="0"/>
                <w:sz w:val="24"/>
                <w:lang w:val="en-US" w:eastAsia="zh-CN"/>
              </w:rPr>
            </w:pPr>
            <w:r>
              <w:rPr>
                <w:rFonts w:hint="eastAsia"/>
                <w:color w:val="auto"/>
                <w:kern w:val="0"/>
                <w:sz w:val="24"/>
                <w:lang w:val="en-US" w:eastAsia="zh-CN"/>
              </w:rPr>
              <w:t>既有老路运营多年，受项目区土壤盐渍化和沙化以及一定的地表扰动影响，导致局部路段存在地表裸露，且</w:t>
            </w:r>
            <w:r>
              <w:rPr>
                <w:rFonts w:hint="default"/>
                <w:color w:val="auto"/>
                <w:kern w:val="0"/>
                <w:sz w:val="24"/>
                <w:lang w:val="en-US" w:eastAsia="zh-CN"/>
              </w:rPr>
              <w:t>既有</w:t>
            </w:r>
            <w:r>
              <w:rPr>
                <w:rFonts w:hint="eastAsia"/>
                <w:color w:val="auto"/>
                <w:kern w:val="0"/>
                <w:sz w:val="24"/>
                <w:lang w:val="en-US" w:eastAsia="zh-CN"/>
              </w:rPr>
              <w:t>老路</w:t>
            </w:r>
            <w:r>
              <w:rPr>
                <w:rFonts w:hint="default"/>
                <w:color w:val="auto"/>
                <w:kern w:val="0"/>
                <w:sz w:val="24"/>
                <w:lang w:val="en-US" w:eastAsia="zh-CN"/>
              </w:rPr>
              <w:t>大部分路基排水采用散排方式，不设置排水沟，部分路段受冲刷</w:t>
            </w:r>
            <w:r>
              <w:rPr>
                <w:rFonts w:hint="eastAsia"/>
                <w:color w:val="auto"/>
                <w:kern w:val="0"/>
                <w:sz w:val="24"/>
                <w:lang w:val="en-US" w:eastAsia="zh-CN"/>
              </w:rPr>
              <w:t>，存在一定的</w:t>
            </w:r>
            <w:r>
              <w:rPr>
                <w:rFonts w:hint="default"/>
                <w:color w:val="auto"/>
                <w:kern w:val="0"/>
                <w:sz w:val="24"/>
                <w:lang w:val="en-US" w:eastAsia="zh-CN"/>
              </w:rPr>
              <w:t>水土流失</w:t>
            </w:r>
            <w:r>
              <w:rPr>
                <w:rFonts w:hint="eastAsia"/>
                <w:color w:val="auto"/>
                <w:kern w:val="0"/>
                <w:sz w:val="24"/>
                <w:lang w:val="en-US" w:eastAsia="zh-CN"/>
              </w:rPr>
              <w:t>现象。</w:t>
            </w:r>
          </w:p>
          <w:p w14:paraId="77E8958B">
            <w:pPr>
              <w:adjustRightInd w:val="0"/>
              <w:snapToGrid w:val="0"/>
              <w:spacing w:line="300" w:lineRule="auto"/>
              <w:rPr>
                <w:b/>
                <w:color w:val="auto"/>
                <w:kern w:val="0"/>
                <w:sz w:val="24"/>
              </w:rPr>
            </w:pPr>
            <w:r>
              <w:rPr>
                <w:rFonts w:hint="eastAsia"/>
                <w:b/>
                <w:color w:val="auto"/>
                <w:kern w:val="0"/>
                <w:sz w:val="24"/>
              </w:rPr>
              <w:t>4</w:t>
            </w:r>
            <w:r>
              <w:rPr>
                <w:b/>
                <w:color w:val="auto"/>
                <w:kern w:val="0"/>
                <w:sz w:val="24"/>
              </w:rPr>
              <w:t xml:space="preserve">. </w:t>
            </w:r>
            <w:r>
              <w:rPr>
                <w:rFonts w:hint="eastAsia"/>
                <w:b/>
                <w:color w:val="auto"/>
                <w:kern w:val="0"/>
                <w:sz w:val="24"/>
              </w:rPr>
              <w:t>本项目“</w:t>
            </w:r>
            <w:r>
              <w:rPr>
                <w:b/>
                <w:color w:val="auto"/>
                <w:kern w:val="0"/>
                <w:sz w:val="24"/>
              </w:rPr>
              <w:t>以新带老</w:t>
            </w:r>
            <w:r>
              <w:rPr>
                <w:rFonts w:hint="eastAsia"/>
                <w:b/>
                <w:color w:val="auto"/>
                <w:kern w:val="0"/>
                <w:sz w:val="24"/>
              </w:rPr>
              <w:t>”</w:t>
            </w:r>
            <w:r>
              <w:rPr>
                <w:b/>
                <w:color w:val="auto"/>
                <w:kern w:val="0"/>
                <w:sz w:val="24"/>
              </w:rPr>
              <w:t>解决的环境问题</w:t>
            </w:r>
          </w:p>
          <w:p w14:paraId="7B626974">
            <w:pPr>
              <w:adjustRightInd w:val="0"/>
              <w:spacing w:line="300" w:lineRule="auto"/>
              <w:ind w:firstLine="482"/>
              <w:rPr>
                <w:color w:val="auto"/>
                <w:sz w:val="24"/>
              </w:rPr>
            </w:pPr>
            <w:r>
              <w:rPr>
                <w:rFonts w:hint="eastAsia"/>
                <w:color w:val="auto"/>
                <w:sz w:val="24"/>
              </w:rPr>
              <w:t>(1) 沿线设施污水超标排放</w:t>
            </w:r>
          </w:p>
          <w:p w14:paraId="241F8748">
            <w:pPr>
              <w:adjustRightInd w:val="0"/>
              <w:spacing w:line="300" w:lineRule="auto"/>
              <w:ind w:firstLine="482"/>
              <w:rPr>
                <w:rFonts w:hint="default" w:eastAsia="宋体"/>
                <w:color w:val="auto"/>
                <w:sz w:val="24"/>
                <w:lang w:val="en-US" w:eastAsia="zh-CN"/>
              </w:rPr>
            </w:pPr>
            <w:r>
              <w:rPr>
                <w:rFonts w:hint="eastAsia" w:hAnsiTheme="minorEastAsia" w:eastAsiaTheme="minorEastAsia"/>
                <w:color w:val="auto"/>
                <w:sz w:val="24"/>
                <w:lang w:val="en-US" w:eastAsia="zh-CN"/>
              </w:rPr>
              <w:t>本次环评</w:t>
            </w:r>
            <w:r>
              <w:rPr>
                <w:rFonts w:hAnsiTheme="minorEastAsia" w:eastAsiaTheme="minorEastAsia"/>
                <w:color w:val="auto"/>
                <w:sz w:val="24"/>
              </w:rPr>
              <w:t>提出对</w:t>
            </w:r>
            <w:r>
              <w:rPr>
                <w:rFonts w:hint="eastAsia" w:hAnsiTheme="minorEastAsia" w:eastAsiaTheme="minorEastAsia"/>
                <w:color w:val="auto"/>
                <w:sz w:val="24"/>
                <w:lang w:val="en-US" w:eastAsia="zh-CN"/>
              </w:rPr>
              <w:t>新建收费站</w:t>
            </w:r>
            <w:r>
              <w:rPr>
                <w:rFonts w:hint="eastAsia" w:hAnsiTheme="minorEastAsia" w:eastAsiaTheme="minorEastAsia"/>
                <w:color w:val="auto"/>
                <w:sz w:val="24"/>
              </w:rPr>
              <w:t>设置一体化</w:t>
            </w:r>
            <w:r>
              <w:rPr>
                <w:rFonts w:hAnsiTheme="minorEastAsia" w:eastAsiaTheme="minorEastAsia"/>
                <w:color w:val="auto"/>
                <w:sz w:val="24"/>
              </w:rPr>
              <w:t>污水处理设施</w:t>
            </w:r>
            <w:r>
              <w:rPr>
                <w:rFonts w:hint="eastAsia" w:hAnsiTheme="minorEastAsia" w:eastAsiaTheme="minorEastAsia"/>
                <w:color w:val="auto"/>
                <w:sz w:val="24"/>
              </w:rPr>
              <w:t>，</w:t>
            </w:r>
            <w:r>
              <w:rPr>
                <w:rFonts w:hAnsiTheme="minorEastAsia" w:eastAsiaTheme="minorEastAsia"/>
                <w:color w:val="auto"/>
                <w:sz w:val="24"/>
              </w:rPr>
              <w:t>处理规模</w:t>
            </w:r>
            <w:r>
              <w:rPr>
                <w:rFonts w:hint="eastAsia" w:hAnsiTheme="minorEastAsia" w:eastAsiaTheme="minorEastAsia"/>
                <w:color w:val="auto"/>
                <w:sz w:val="24"/>
                <w:lang w:val="en-US" w:eastAsia="zh-CN"/>
              </w:rPr>
              <w:t>1</w:t>
            </w:r>
            <w:r>
              <w:rPr>
                <w:rFonts w:hint="eastAsia" w:hAnsiTheme="minorEastAsia" w:eastAsiaTheme="minorEastAsia"/>
                <w:color w:val="auto"/>
                <w:sz w:val="24"/>
              </w:rPr>
              <w:t>0t/d</w:t>
            </w:r>
            <w:r>
              <w:rPr>
                <w:rFonts w:hAnsiTheme="minorEastAsia" w:eastAsiaTheme="minorEastAsia"/>
                <w:color w:val="auto"/>
                <w:sz w:val="24"/>
              </w:rPr>
              <w:t>，生活污水经处理</w:t>
            </w:r>
            <w:r>
              <w:rPr>
                <w:rFonts w:hint="eastAsia"/>
                <w:color w:val="auto"/>
                <w:sz w:val="24"/>
              </w:rPr>
              <w:t>达到《城市污水再生利用 城市杂用水水质》(GB/T 18920-2020)绿化用水标准后用于场地绿化，夏灌冬储不外排</w:t>
            </w:r>
            <w:r>
              <w:rPr>
                <w:rFonts w:hAnsiTheme="minorEastAsia" w:eastAsiaTheme="minorEastAsia"/>
                <w:color w:val="auto"/>
                <w:sz w:val="24"/>
              </w:rPr>
              <w:t>，不</w:t>
            </w:r>
            <w:r>
              <w:rPr>
                <w:rFonts w:hint="eastAsia" w:hAnsiTheme="minorEastAsia" w:eastAsiaTheme="minorEastAsia"/>
                <w:color w:val="auto"/>
                <w:sz w:val="24"/>
              </w:rPr>
              <w:t>再</w:t>
            </w:r>
            <w:r>
              <w:rPr>
                <w:rFonts w:hAnsiTheme="minorEastAsia" w:eastAsiaTheme="minorEastAsia"/>
                <w:color w:val="auto"/>
                <w:sz w:val="24"/>
              </w:rPr>
              <w:t>对水环境产生污染影响</w:t>
            </w:r>
            <w:r>
              <w:rPr>
                <w:rFonts w:hint="eastAsia"/>
                <w:snapToGrid w:val="0"/>
                <w:color w:val="auto"/>
                <w:sz w:val="24"/>
              </w:rPr>
              <w:t>。</w:t>
            </w:r>
            <w:r>
              <w:rPr>
                <w:rFonts w:hint="eastAsia"/>
                <w:snapToGrid w:val="0"/>
                <w:color w:val="auto"/>
                <w:sz w:val="24"/>
                <w:lang w:val="en-US" w:eastAsia="zh-CN"/>
              </w:rPr>
              <w:t>既有公路收费站调整使用功能继续利用时，应重建污水处理设施或将污水运至新址收费站进行处理，确保不污染外环境。</w:t>
            </w:r>
          </w:p>
          <w:p w14:paraId="56F22012">
            <w:pPr>
              <w:adjustRightInd w:val="0"/>
              <w:spacing w:line="300" w:lineRule="auto"/>
              <w:ind w:firstLine="482"/>
              <w:rPr>
                <w:color w:val="auto"/>
                <w:sz w:val="24"/>
              </w:rPr>
            </w:pPr>
            <w:r>
              <w:rPr>
                <w:rFonts w:hint="eastAsia"/>
                <w:color w:val="auto"/>
                <w:sz w:val="24"/>
              </w:rPr>
              <w:t>(2) 服务设施餐饮油烟超标排放</w:t>
            </w:r>
          </w:p>
          <w:p w14:paraId="2E587644">
            <w:pPr>
              <w:adjustRightInd w:val="0"/>
              <w:spacing w:line="300" w:lineRule="auto"/>
              <w:ind w:firstLine="482"/>
              <w:rPr>
                <w:rFonts w:hint="default" w:eastAsia="宋体"/>
                <w:color w:val="auto"/>
                <w:kern w:val="0"/>
                <w:sz w:val="24"/>
                <w:lang w:val="en-US" w:eastAsia="zh-CN"/>
              </w:rPr>
            </w:pPr>
            <w:r>
              <w:rPr>
                <w:rFonts w:hint="eastAsia"/>
                <w:color w:val="auto"/>
                <w:sz w:val="24"/>
                <w:lang w:val="en-US" w:eastAsia="zh-CN"/>
              </w:rPr>
              <w:t>本次环评提出</w:t>
            </w:r>
            <w:r>
              <w:rPr>
                <w:color w:val="auto"/>
                <w:sz w:val="24"/>
              </w:rPr>
              <w:t>对</w:t>
            </w:r>
            <w:r>
              <w:rPr>
                <w:rFonts w:hint="eastAsia"/>
                <w:color w:val="auto"/>
                <w:sz w:val="24"/>
                <w:lang w:val="en-US" w:eastAsia="zh-CN"/>
              </w:rPr>
              <w:t>新建</w:t>
            </w:r>
            <w:r>
              <w:rPr>
                <w:rFonts w:hint="eastAsia" w:hAnsiTheme="minorEastAsia" w:eastAsiaTheme="minorEastAsia"/>
                <w:color w:val="auto"/>
                <w:sz w:val="24"/>
                <w:lang w:val="en-US" w:eastAsia="zh-CN"/>
              </w:rPr>
              <w:t>收费站</w:t>
            </w:r>
            <w:r>
              <w:rPr>
                <w:color w:val="auto"/>
                <w:sz w:val="24"/>
              </w:rPr>
              <w:t>厨房</w:t>
            </w:r>
            <w:r>
              <w:rPr>
                <w:rFonts w:hint="eastAsia"/>
                <w:color w:val="auto"/>
                <w:sz w:val="24"/>
                <w:lang w:val="en-US" w:eastAsia="zh-CN"/>
              </w:rPr>
              <w:t>烟囱加装</w:t>
            </w:r>
            <w:r>
              <w:rPr>
                <w:color w:val="auto"/>
                <w:sz w:val="24"/>
              </w:rPr>
              <w:t>油烟净化设施，确保油烟达标排放</w:t>
            </w:r>
            <w:r>
              <w:rPr>
                <w:color w:val="auto"/>
                <w:kern w:val="0"/>
                <w:sz w:val="24"/>
              </w:rPr>
              <w:t>。</w:t>
            </w:r>
            <w:r>
              <w:rPr>
                <w:rFonts w:hint="eastAsia"/>
                <w:color w:val="auto"/>
                <w:kern w:val="0"/>
                <w:sz w:val="24"/>
                <w:lang w:val="en-US" w:eastAsia="zh-CN"/>
              </w:rPr>
              <w:t>既有公路收费站厨房继续使用时应加装油烟净化设施。</w:t>
            </w:r>
          </w:p>
          <w:p w14:paraId="09251513">
            <w:pPr>
              <w:adjustRightInd w:val="0"/>
              <w:spacing w:line="300" w:lineRule="auto"/>
              <w:ind w:firstLine="482"/>
              <w:rPr>
                <w:color w:val="auto"/>
                <w:kern w:val="0"/>
                <w:sz w:val="24"/>
              </w:rPr>
            </w:pPr>
            <w:r>
              <w:rPr>
                <w:color w:val="auto"/>
                <w:kern w:val="0"/>
                <w:sz w:val="24"/>
              </w:rPr>
              <w:t>(</w:t>
            </w:r>
            <w:r>
              <w:rPr>
                <w:rFonts w:hint="eastAsia"/>
                <w:color w:val="auto"/>
                <w:kern w:val="0"/>
                <w:sz w:val="24"/>
              </w:rPr>
              <w:t>3</w:t>
            </w:r>
            <w:r>
              <w:rPr>
                <w:color w:val="auto"/>
                <w:kern w:val="0"/>
                <w:sz w:val="24"/>
              </w:rPr>
              <w:t>)</w:t>
            </w:r>
            <w:r>
              <w:rPr>
                <w:rFonts w:hint="eastAsia"/>
                <w:color w:val="auto"/>
                <w:kern w:val="0"/>
                <w:sz w:val="24"/>
              </w:rPr>
              <w:t xml:space="preserve"> 环境风险</w:t>
            </w:r>
          </w:p>
          <w:p w14:paraId="106AD8DE">
            <w:pPr>
              <w:adjustRightInd w:val="0"/>
              <w:spacing w:line="300" w:lineRule="auto"/>
              <w:ind w:firstLine="482"/>
              <w:rPr>
                <w:color w:val="auto"/>
                <w:sz w:val="24"/>
              </w:rPr>
            </w:pPr>
            <w:r>
              <w:rPr>
                <w:color w:val="auto"/>
                <w:sz w:val="24"/>
              </w:rPr>
              <w:t>拟建</w:t>
            </w:r>
            <w:r>
              <w:rPr>
                <w:rFonts w:hint="eastAsia" w:hAnsiTheme="minorEastAsia" w:eastAsiaTheme="minorEastAsia"/>
                <w:color w:val="auto"/>
                <w:sz w:val="24"/>
              </w:rPr>
              <w:t>公路</w:t>
            </w:r>
            <w:r>
              <w:rPr>
                <w:color w:val="auto"/>
                <w:sz w:val="24"/>
              </w:rPr>
              <w:t>对</w:t>
            </w:r>
            <w:r>
              <w:rPr>
                <w:rFonts w:hint="eastAsia"/>
                <w:color w:val="auto"/>
                <w:sz w:val="24"/>
                <w:lang w:val="en-US" w:eastAsia="zh-CN"/>
              </w:rPr>
              <w:t>现有桥梁进行</w:t>
            </w:r>
            <w:r>
              <w:rPr>
                <w:color w:val="auto"/>
                <w:sz w:val="24"/>
              </w:rPr>
              <w:t>维修加固利用</w:t>
            </w:r>
            <w:r>
              <w:rPr>
                <w:rFonts w:hint="eastAsia"/>
                <w:color w:val="auto"/>
                <w:sz w:val="24"/>
                <w:lang w:val="en-US" w:eastAsia="zh-CN"/>
              </w:rPr>
              <w:t>或拆除重建，</w:t>
            </w:r>
            <w:r>
              <w:rPr>
                <w:color w:val="auto"/>
                <w:sz w:val="24"/>
              </w:rPr>
              <w:t>桥梁质量有本质提升，可大大</w:t>
            </w:r>
            <w:r>
              <w:rPr>
                <w:rFonts w:hint="eastAsia"/>
                <w:color w:val="auto"/>
                <w:sz w:val="24"/>
              </w:rPr>
              <w:t>避免因</w:t>
            </w:r>
            <w:r>
              <w:rPr>
                <w:color w:val="auto"/>
                <w:sz w:val="24"/>
              </w:rPr>
              <w:t>事故车辆的冲击带来的</w:t>
            </w:r>
            <w:r>
              <w:rPr>
                <w:rFonts w:hint="eastAsia"/>
                <w:color w:val="auto"/>
                <w:sz w:val="24"/>
              </w:rPr>
              <w:t>环境</w:t>
            </w:r>
            <w:r>
              <w:rPr>
                <w:color w:val="auto"/>
                <w:sz w:val="24"/>
              </w:rPr>
              <w:t>风险</w:t>
            </w:r>
            <w:r>
              <w:rPr>
                <w:rFonts w:hint="eastAsia"/>
                <w:color w:val="auto"/>
                <w:sz w:val="24"/>
                <w:lang w:eastAsia="zh-CN"/>
              </w:rPr>
              <w:t>。</w:t>
            </w:r>
            <w:r>
              <w:rPr>
                <w:rFonts w:hint="eastAsia"/>
                <w:color w:val="auto"/>
                <w:sz w:val="24"/>
                <w:lang w:val="en-US" w:eastAsia="zh-CN"/>
              </w:rPr>
              <w:t>此外</w:t>
            </w:r>
            <w:r>
              <w:rPr>
                <w:color w:val="auto"/>
                <w:sz w:val="24"/>
              </w:rPr>
              <w:t>，</w:t>
            </w:r>
            <w:r>
              <w:rPr>
                <w:rFonts w:hint="eastAsia"/>
                <w:color w:val="auto"/>
                <w:sz w:val="24"/>
                <w:lang w:val="en-US" w:eastAsia="zh-CN"/>
              </w:rPr>
              <w:t>本次环评</w:t>
            </w:r>
            <w:r>
              <w:rPr>
                <w:color w:val="auto"/>
                <w:sz w:val="24"/>
              </w:rPr>
              <w:t>提出</w:t>
            </w:r>
            <w:r>
              <w:rPr>
                <w:rFonts w:hint="eastAsia"/>
                <w:color w:val="auto"/>
                <w:sz w:val="24"/>
                <w:lang w:val="en-US" w:eastAsia="zh-CN"/>
              </w:rPr>
              <w:t>对</w:t>
            </w:r>
            <w:r>
              <w:rPr>
                <w:color w:val="auto"/>
                <w:sz w:val="24"/>
              </w:rPr>
              <w:t>跨越</w:t>
            </w:r>
            <w:r>
              <w:rPr>
                <w:rFonts w:hint="eastAsia"/>
                <w:color w:val="auto"/>
                <w:sz w:val="24"/>
              </w:rPr>
              <w:fldChar w:fldCharType="begin"/>
            </w:r>
            <w:r>
              <w:rPr>
                <w:rFonts w:hint="eastAsia"/>
                <w:color w:val="auto"/>
                <w:sz w:val="24"/>
              </w:rPr>
              <w:instrText xml:space="preserve"> = 3 \* ROMAN \* MERGEFORMAT </w:instrText>
            </w:r>
            <w:r>
              <w:rPr>
                <w:rFonts w:hint="eastAsia"/>
                <w:color w:val="auto"/>
                <w:sz w:val="24"/>
              </w:rPr>
              <w:fldChar w:fldCharType="separate"/>
            </w:r>
            <w:r>
              <w:rPr>
                <w:color w:val="auto"/>
              </w:rPr>
              <w:t>III</w:t>
            </w:r>
            <w:r>
              <w:rPr>
                <w:rFonts w:hint="eastAsia"/>
                <w:color w:val="auto"/>
                <w:sz w:val="24"/>
              </w:rPr>
              <w:fldChar w:fldCharType="end"/>
            </w:r>
            <w:r>
              <w:rPr>
                <w:color w:val="auto"/>
                <w:sz w:val="24"/>
              </w:rPr>
              <w:t>类水体</w:t>
            </w:r>
            <w:r>
              <w:rPr>
                <w:rFonts w:hint="eastAsia"/>
                <w:color w:val="auto"/>
                <w:sz w:val="24"/>
                <w:lang w:val="en-US" w:eastAsia="zh-CN"/>
              </w:rPr>
              <w:t>水体1及其支流水体2的</w:t>
            </w:r>
            <w:r>
              <w:rPr>
                <w:color w:val="auto"/>
                <w:sz w:val="24"/>
              </w:rPr>
              <w:t>桥梁</w:t>
            </w:r>
            <w:r>
              <w:rPr>
                <w:rFonts w:hint="eastAsia"/>
                <w:color w:val="auto"/>
                <w:sz w:val="24"/>
                <w:lang w:val="en-US" w:eastAsia="zh-CN"/>
              </w:rPr>
              <w:t>以及临近伽师县城饮用水</w:t>
            </w:r>
            <w:r>
              <w:rPr>
                <w:color w:val="auto"/>
                <w:sz w:val="24"/>
              </w:rPr>
              <w:t>水源保护区路段</w:t>
            </w:r>
            <w:r>
              <w:rPr>
                <w:rFonts w:hint="eastAsia"/>
                <w:color w:val="auto"/>
                <w:sz w:val="24"/>
                <w:lang w:val="en-US" w:eastAsia="zh-CN"/>
              </w:rPr>
              <w:t>设置完善的径流收集系统，并强化防撞护栏设计</w:t>
            </w:r>
            <w:r>
              <w:rPr>
                <w:rFonts w:hint="eastAsia"/>
                <w:color w:val="auto"/>
                <w:sz w:val="24"/>
              </w:rPr>
              <w:t>、</w:t>
            </w:r>
            <w:r>
              <w:rPr>
                <w:rFonts w:hint="eastAsia"/>
                <w:color w:val="auto"/>
                <w:sz w:val="24"/>
                <w:lang w:val="en-US" w:eastAsia="zh-CN"/>
              </w:rPr>
              <w:t>增加</w:t>
            </w:r>
            <w:r>
              <w:rPr>
                <w:color w:val="auto"/>
                <w:sz w:val="24"/>
              </w:rPr>
              <w:t>警示标志。通过采取上述措施，降低公路危险品运</w:t>
            </w:r>
            <w:r>
              <w:rPr>
                <w:rFonts w:eastAsiaTheme="minorEastAsia"/>
                <w:color w:val="auto"/>
                <w:sz w:val="24"/>
              </w:rPr>
              <w:t>输带来的环境风险</w:t>
            </w:r>
            <w:r>
              <w:rPr>
                <w:color w:val="auto"/>
                <w:sz w:val="24"/>
              </w:rPr>
              <w:t>。</w:t>
            </w:r>
            <w:r>
              <w:rPr>
                <w:rFonts w:hint="eastAsia"/>
                <w:color w:val="auto"/>
                <w:sz w:val="24"/>
                <w:lang w:val="en-US" w:eastAsia="zh-CN"/>
              </w:rPr>
              <w:t>同时，</w:t>
            </w:r>
            <w:r>
              <w:rPr>
                <w:rFonts w:hint="eastAsia" w:ascii="宋体" w:hAnsi="宋体"/>
                <w:kern w:val="0"/>
                <w:sz w:val="24"/>
                <w:szCs w:val="20"/>
                <w:lang w:val="en-US" w:eastAsia="zh-CN"/>
              </w:rPr>
              <w:t>考虑到路线多次跨越干渠，为保护农田灌溉安全，在跨干渠桥梁两端设置警示标志，提醒司机注意安全驾驶。</w:t>
            </w:r>
          </w:p>
          <w:p w14:paraId="2C827FEB">
            <w:pPr>
              <w:adjustRightInd w:val="0"/>
              <w:spacing w:line="300" w:lineRule="auto"/>
              <w:ind w:firstLine="482"/>
              <w:rPr>
                <w:color w:val="auto"/>
                <w:sz w:val="24"/>
              </w:rPr>
            </w:pPr>
            <w:r>
              <w:rPr>
                <w:rFonts w:hint="eastAsia"/>
                <w:color w:val="0070C0"/>
                <w:kern w:val="0"/>
                <w:sz w:val="24"/>
              </w:rPr>
              <w:t xml:space="preserve"> </w:t>
            </w:r>
            <w:r>
              <w:rPr>
                <w:rFonts w:hint="eastAsia"/>
                <w:color w:val="auto"/>
                <w:kern w:val="0"/>
                <w:sz w:val="24"/>
              </w:rPr>
              <w:t>(</w:t>
            </w:r>
            <w:r>
              <w:rPr>
                <w:rFonts w:hint="eastAsia"/>
                <w:color w:val="auto"/>
                <w:sz w:val="24"/>
              </w:rPr>
              <w:t>4) 生态</w:t>
            </w:r>
          </w:p>
          <w:p w14:paraId="511A4CE5">
            <w:pPr>
              <w:adjustRightInd w:val="0"/>
              <w:spacing w:line="300" w:lineRule="auto"/>
              <w:ind w:firstLine="482"/>
              <w:rPr>
                <w:color w:val="auto"/>
                <w:sz w:val="24"/>
              </w:rPr>
            </w:pPr>
            <w:r>
              <w:rPr>
                <w:rFonts w:hint="eastAsia"/>
                <w:color w:val="auto"/>
                <w:sz w:val="24"/>
                <w:lang w:val="en-US" w:eastAsia="zh-CN"/>
              </w:rPr>
              <w:t>本次环评</w:t>
            </w:r>
            <w:r>
              <w:rPr>
                <w:color w:val="auto"/>
                <w:sz w:val="24"/>
              </w:rPr>
              <w:t>提出</w:t>
            </w:r>
            <w:r>
              <w:rPr>
                <w:rFonts w:hint="eastAsia"/>
                <w:color w:val="auto"/>
                <w:sz w:val="24"/>
                <w:lang w:val="en-US" w:eastAsia="zh-CN"/>
              </w:rPr>
              <w:t>沿线</w:t>
            </w:r>
            <w:r>
              <w:rPr>
                <w:color w:val="auto"/>
                <w:sz w:val="24"/>
              </w:rPr>
              <w:t>优先选择适应当地气候、土壤条件的</w:t>
            </w:r>
            <w:r>
              <w:rPr>
                <w:rFonts w:hint="eastAsia"/>
                <w:color w:val="auto"/>
                <w:sz w:val="24"/>
              </w:rPr>
              <w:t>草本</w:t>
            </w:r>
            <w:r>
              <w:rPr>
                <w:color w:val="auto"/>
                <w:sz w:val="24"/>
              </w:rPr>
              <w:t>植物和灌木加强绿化</w:t>
            </w:r>
            <w:r>
              <w:rPr>
                <w:rFonts w:hint="eastAsia"/>
                <w:color w:val="auto"/>
                <w:sz w:val="24"/>
              </w:rPr>
              <w:t>及</w:t>
            </w:r>
            <w:r>
              <w:rPr>
                <w:color w:val="auto"/>
                <w:sz w:val="24"/>
              </w:rPr>
              <w:t>生态修复，</w:t>
            </w:r>
            <w:r>
              <w:rPr>
                <w:rFonts w:hint="eastAsia"/>
                <w:color w:val="auto"/>
                <w:sz w:val="24"/>
                <w:lang w:val="en-US" w:eastAsia="zh-CN"/>
              </w:rPr>
              <w:t>种植农田防护林带，</w:t>
            </w:r>
            <w:r>
              <w:rPr>
                <w:rFonts w:hint="eastAsia"/>
                <w:color w:val="auto"/>
                <w:sz w:val="24"/>
              </w:rPr>
              <w:t>形成绿色走廊，</w:t>
            </w:r>
            <w:r>
              <w:rPr>
                <w:color w:val="auto"/>
                <w:sz w:val="24"/>
              </w:rPr>
              <w:t>提升生态质量</w:t>
            </w:r>
            <w:r>
              <w:rPr>
                <w:rFonts w:hint="eastAsia"/>
                <w:color w:val="auto"/>
                <w:sz w:val="24"/>
                <w:lang w:eastAsia="zh-CN"/>
              </w:rPr>
              <w:t>，</w:t>
            </w:r>
            <w:r>
              <w:rPr>
                <w:rFonts w:hint="eastAsia"/>
                <w:color w:val="auto"/>
                <w:sz w:val="24"/>
                <w:lang w:val="en-US" w:eastAsia="zh-CN"/>
              </w:rPr>
              <w:t>同时拟建公路将加强水土保持设施的设计，设置完善的排水系统，减少水土流失，提升生态质量</w:t>
            </w:r>
            <w:r>
              <w:rPr>
                <w:color w:val="auto"/>
                <w:sz w:val="24"/>
              </w:rPr>
              <w:t>。</w:t>
            </w:r>
          </w:p>
        </w:tc>
      </w:tr>
      <w:tr w14:paraId="0AAF846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119" w:hRule="atLeast"/>
        </w:trPr>
        <w:tc>
          <w:tcPr>
            <w:tcW w:w="456" w:type="dxa"/>
            <w:vAlign w:val="center"/>
          </w:tcPr>
          <w:p w14:paraId="7C26A931">
            <w:pPr>
              <w:adjustRightInd w:val="0"/>
              <w:snapToGrid w:val="0"/>
              <w:jc w:val="center"/>
              <w:rPr>
                <w:color w:val="0070C0"/>
                <w:kern w:val="0"/>
                <w:sz w:val="24"/>
              </w:rPr>
            </w:pPr>
            <w:r>
              <w:rPr>
                <w:color w:val="auto"/>
                <w:kern w:val="0"/>
                <w:sz w:val="24"/>
              </w:rPr>
              <w:t>生态环境保护目标</w:t>
            </w:r>
          </w:p>
        </w:tc>
        <w:tc>
          <w:tcPr>
            <w:tcW w:w="8616" w:type="dxa"/>
            <w:vAlign w:val="center"/>
          </w:tcPr>
          <w:p w14:paraId="7235C65E">
            <w:pPr>
              <w:adjustRightInd w:val="0"/>
              <w:snapToGrid w:val="0"/>
              <w:spacing w:line="300" w:lineRule="auto"/>
              <w:rPr>
                <w:b/>
                <w:color w:val="auto"/>
                <w:kern w:val="0"/>
                <w:sz w:val="24"/>
              </w:rPr>
            </w:pPr>
            <w:r>
              <w:rPr>
                <w:b/>
                <w:color w:val="auto"/>
                <w:kern w:val="0"/>
                <w:sz w:val="24"/>
              </w:rPr>
              <w:t>1. 生态保护目标</w:t>
            </w:r>
          </w:p>
          <w:p w14:paraId="79279872">
            <w:pPr>
              <w:adjustRightInd w:val="0"/>
              <w:snapToGrid w:val="0"/>
              <w:spacing w:after="120" w:afterLines="50" w:line="300" w:lineRule="auto"/>
              <w:ind w:firstLine="480" w:firstLineChars="200"/>
              <w:rPr>
                <w:color w:val="auto"/>
                <w:kern w:val="0"/>
                <w:sz w:val="24"/>
              </w:rPr>
            </w:pPr>
            <w:r>
              <w:rPr>
                <w:rFonts w:hint="eastAsia"/>
                <w:color w:val="auto"/>
                <w:kern w:val="0"/>
                <w:sz w:val="24"/>
              </w:rPr>
              <w:t>拟建公路生态保护目标包括项目沿线自然植被、河谷林、农田防护林、耕地、基本农田、野生动物、沙化土地等</w:t>
            </w:r>
            <w:r>
              <w:rPr>
                <w:rFonts w:hint="eastAsia"/>
                <w:color w:val="auto"/>
                <w:kern w:val="0"/>
                <w:sz w:val="24"/>
                <w:lang w:eastAsia="zh-CN"/>
              </w:rPr>
              <w:t>，</w:t>
            </w:r>
            <w:r>
              <w:rPr>
                <w:rFonts w:hint="eastAsia"/>
                <w:color w:val="auto"/>
                <w:kern w:val="0"/>
                <w:sz w:val="24"/>
                <w:lang w:val="en-US" w:eastAsia="zh-CN"/>
              </w:rPr>
              <w:t>具体见表3-13</w:t>
            </w:r>
            <w:r>
              <w:rPr>
                <w:rFonts w:hint="eastAsia"/>
                <w:color w:val="auto"/>
                <w:kern w:val="0"/>
                <w:sz w:val="24"/>
              </w:rPr>
              <w:t>。</w:t>
            </w:r>
          </w:p>
          <w:p w14:paraId="7F1034BD">
            <w:pPr>
              <w:spacing w:before="120" w:beforeLines="50"/>
              <w:jc w:val="center"/>
              <w:rPr>
                <w:rFonts w:eastAsiaTheme="minorEastAsia"/>
                <w:b/>
                <w:bCs/>
                <w:color w:val="auto"/>
              </w:rPr>
            </w:pPr>
            <w:r>
              <w:rPr>
                <w:rFonts w:eastAsiaTheme="minorEastAsia"/>
                <w:b/>
                <w:bCs/>
                <w:color w:val="auto"/>
              </w:rPr>
              <w:t>表</w:t>
            </w:r>
            <w:r>
              <w:rPr>
                <w:rFonts w:hint="eastAsia" w:eastAsiaTheme="minorEastAsia"/>
                <w:b/>
                <w:bCs/>
                <w:color w:val="auto"/>
              </w:rPr>
              <w:t>3-</w:t>
            </w:r>
            <w:r>
              <w:rPr>
                <w:rFonts w:hint="eastAsia" w:eastAsiaTheme="minorEastAsia"/>
                <w:b/>
                <w:bCs/>
                <w:color w:val="auto"/>
                <w:lang w:val="en-US" w:eastAsia="zh-CN"/>
              </w:rPr>
              <w:t>13</w:t>
            </w:r>
            <w:r>
              <w:rPr>
                <w:rFonts w:eastAsiaTheme="minorEastAsia"/>
                <w:b/>
                <w:bCs/>
                <w:color w:val="auto"/>
              </w:rPr>
              <w:t xml:space="preserve">  拟建公路沿线主要生态保护目标情况</w:t>
            </w:r>
          </w:p>
          <w:tbl>
            <w:tblPr>
              <w:tblStyle w:val="23"/>
              <w:tblW w:w="84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915"/>
              <w:gridCol w:w="3444"/>
              <w:gridCol w:w="2264"/>
              <w:gridCol w:w="1807"/>
            </w:tblGrid>
            <w:tr w14:paraId="7D263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283" w:hRule="atLeast"/>
                <w:tblHeader/>
                <w:jc w:val="center"/>
              </w:trPr>
              <w:tc>
                <w:tcPr>
                  <w:tcW w:w="542" w:type="pct"/>
                  <w:tcBorders>
                    <w:tl2br w:val="nil"/>
                    <w:tr2bl w:val="nil"/>
                  </w:tcBorders>
                  <w:vAlign w:val="center"/>
                </w:tcPr>
                <w:p w14:paraId="2BC42315">
                  <w:pPr>
                    <w:adjustRightInd w:val="0"/>
                    <w:snapToGrid w:val="0"/>
                    <w:spacing w:line="240" w:lineRule="exact"/>
                    <w:jc w:val="center"/>
                    <w:rPr>
                      <w:rFonts w:eastAsiaTheme="minorEastAsia"/>
                      <w:b/>
                      <w:bCs/>
                      <w:color w:val="auto"/>
                    </w:rPr>
                  </w:pPr>
                  <w:bookmarkStart w:id="16" w:name="_Hlk231401647"/>
                  <w:r>
                    <w:rPr>
                      <w:rFonts w:hint="eastAsia" w:eastAsiaTheme="minorEastAsia"/>
                      <w:b/>
                      <w:bCs/>
                      <w:color w:val="auto"/>
                    </w:rPr>
                    <w:t>保护</w:t>
                  </w:r>
                  <w:r>
                    <w:rPr>
                      <w:rFonts w:eastAsiaTheme="minorEastAsia"/>
                      <w:b/>
                      <w:bCs/>
                      <w:color w:val="auto"/>
                    </w:rPr>
                    <w:t>目标</w:t>
                  </w:r>
                  <w:r>
                    <w:rPr>
                      <w:rFonts w:hint="eastAsia" w:eastAsiaTheme="minorEastAsia"/>
                      <w:b/>
                      <w:bCs/>
                      <w:color w:val="auto"/>
                    </w:rPr>
                    <w:t>名称</w:t>
                  </w:r>
                </w:p>
              </w:tc>
              <w:tc>
                <w:tcPr>
                  <w:tcW w:w="2042" w:type="pct"/>
                  <w:tcBorders>
                    <w:tl2br w:val="nil"/>
                    <w:tr2bl w:val="nil"/>
                  </w:tcBorders>
                  <w:vAlign w:val="center"/>
                </w:tcPr>
                <w:p w14:paraId="1E82B02D">
                  <w:pPr>
                    <w:adjustRightInd w:val="0"/>
                    <w:snapToGrid w:val="0"/>
                    <w:spacing w:line="240" w:lineRule="exact"/>
                    <w:jc w:val="center"/>
                    <w:rPr>
                      <w:rFonts w:eastAsiaTheme="minorEastAsia"/>
                      <w:b/>
                      <w:bCs/>
                      <w:color w:val="auto"/>
                    </w:rPr>
                  </w:pPr>
                  <w:r>
                    <w:rPr>
                      <w:rFonts w:hint="eastAsia" w:eastAsiaTheme="minorEastAsia"/>
                      <w:b/>
                      <w:bCs/>
                      <w:color w:val="auto"/>
                    </w:rPr>
                    <w:t>保护</w:t>
                  </w:r>
                  <w:r>
                    <w:rPr>
                      <w:rFonts w:eastAsiaTheme="minorEastAsia"/>
                      <w:b/>
                      <w:bCs/>
                      <w:color w:val="auto"/>
                    </w:rPr>
                    <w:t>目标特征</w:t>
                  </w:r>
                </w:p>
              </w:tc>
              <w:tc>
                <w:tcPr>
                  <w:tcW w:w="1342" w:type="pct"/>
                  <w:tcBorders>
                    <w:tl2br w:val="nil"/>
                    <w:tr2bl w:val="nil"/>
                  </w:tcBorders>
                  <w:vAlign w:val="center"/>
                </w:tcPr>
                <w:p w14:paraId="16AD7622">
                  <w:pPr>
                    <w:adjustRightInd w:val="0"/>
                    <w:snapToGrid w:val="0"/>
                    <w:spacing w:line="240" w:lineRule="exact"/>
                    <w:jc w:val="center"/>
                    <w:rPr>
                      <w:rFonts w:eastAsiaTheme="minorEastAsia"/>
                      <w:b/>
                      <w:bCs/>
                      <w:color w:val="auto"/>
                    </w:rPr>
                  </w:pPr>
                  <w:r>
                    <w:rPr>
                      <w:rFonts w:eastAsiaTheme="minorEastAsia"/>
                      <w:b/>
                      <w:bCs/>
                      <w:color w:val="auto"/>
                    </w:rPr>
                    <w:t>相关关系</w:t>
                  </w:r>
                </w:p>
              </w:tc>
              <w:tc>
                <w:tcPr>
                  <w:tcW w:w="1071" w:type="pct"/>
                  <w:tcBorders>
                    <w:tl2br w:val="nil"/>
                    <w:tr2bl w:val="nil"/>
                  </w:tcBorders>
                  <w:vAlign w:val="center"/>
                </w:tcPr>
                <w:p w14:paraId="1799AA48">
                  <w:pPr>
                    <w:adjustRightInd w:val="0"/>
                    <w:snapToGrid w:val="0"/>
                    <w:spacing w:line="240" w:lineRule="exact"/>
                    <w:jc w:val="center"/>
                    <w:rPr>
                      <w:rFonts w:eastAsiaTheme="minorEastAsia"/>
                      <w:b/>
                      <w:bCs/>
                      <w:color w:val="auto"/>
                    </w:rPr>
                  </w:pPr>
                  <w:r>
                    <w:rPr>
                      <w:rFonts w:eastAsiaTheme="minorEastAsia"/>
                      <w:b/>
                      <w:bCs/>
                      <w:color w:val="auto"/>
                    </w:rPr>
                    <w:t>主要影响及时段</w:t>
                  </w:r>
                </w:p>
              </w:tc>
            </w:tr>
            <w:bookmarkEnd w:id="16"/>
            <w:tr w14:paraId="64BDA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283" w:hRule="atLeast"/>
                <w:jc w:val="center"/>
              </w:trPr>
              <w:tc>
                <w:tcPr>
                  <w:tcW w:w="542" w:type="pct"/>
                  <w:tcBorders>
                    <w:tl2br w:val="nil"/>
                    <w:tr2bl w:val="nil"/>
                  </w:tcBorders>
                  <w:vAlign w:val="center"/>
                </w:tcPr>
                <w:p w14:paraId="3EAEE3AC">
                  <w:pPr>
                    <w:adjustRightInd w:val="0"/>
                    <w:snapToGrid w:val="0"/>
                    <w:spacing w:line="240" w:lineRule="exact"/>
                    <w:jc w:val="center"/>
                    <w:rPr>
                      <w:rFonts w:eastAsiaTheme="minorEastAsia"/>
                      <w:b/>
                      <w:bCs/>
                      <w:color w:val="auto"/>
                    </w:rPr>
                  </w:pPr>
                  <w:bookmarkStart w:id="17" w:name="_Hlk229412764"/>
                  <w:r>
                    <w:rPr>
                      <w:rFonts w:eastAsiaTheme="minorEastAsia"/>
                      <w:color w:val="auto"/>
                      <w:lang w:bidi="ar"/>
                    </w:rPr>
                    <w:t>耕地、基本农田</w:t>
                  </w:r>
                </w:p>
              </w:tc>
              <w:tc>
                <w:tcPr>
                  <w:tcW w:w="2042" w:type="pct"/>
                  <w:tcBorders>
                    <w:tl2br w:val="nil"/>
                    <w:tr2bl w:val="nil"/>
                  </w:tcBorders>
                  <w:vAlign w:val="center"/>
                </w:tcPr>
                <w:p w14:paraId="56610E08">
                  <w:pPr>
                    <w:spacing w:line="240" w:lineRule="exact"/>
                    <w:jc w:val="left"/>
                    <w:rPr>
                      <w:rFonts w:eastAsiaTheme="minorEastAsia"/>
                      <w:b/>
                      <w:bCs/>
                      <w:color w:val="auto"/>
                    </w:rPr>
                  </w:pPr>
                  <w:r>
                    <w:rPr>
                      <w:rFonts w:eastAsiaTheme="minorEastAsia"/>
                      <w:color w:val="auto"/>
                      <w:lang w:bidi="ar"/>
                    </w:rPr>
                    <w:t>沿线地区农耕历史悠久，主要种植的农作物以小麦、玉米、棉花为主，还有水稻、大麦、高粱、胡麻、葵花、花生、芝麻、小茴香等。果树有桃、杏、梨、苹果、葡萄、无花果、石榴、核桃等。</w:t>
                  </w:r>
                </w:p>
              </w:tc>
              <w:tc>
                <w:tcPr>
                  <w:tcW w:w="1342" w:type="pct"/>
                  <w:tcBorders>
                    <w:tl2br w:val="nil"/>
                    <w:tr2bl w:val="nil"/>
                  </w:tcBorders>
                  <w:vAlign w:val="center"/>
                </w:tcPr>
                <w:p w14:paraId="64642CDC">
                  <w:pPr>
                    <w:adjustRightInd w:val="0"/>
                    <w:snapToGrid w:val="0"/>
                    <w:spacing w:line="240" w:lineRule="exact"/>
                    <w:jc w:val="left"/>
                    <w:rPr>
                      <w:rFonts w:eastAsiaTheme="minorEastAsia"/>
                      <w:b/>
                      <w:bCs/>
                      <w:color w:val="auto"/>
                    </w:rPr>
                  </w:pPr>
                  <w:r>
                    <w:rPr>
                      <w:rFonts w:eastAsiaTheme="minorEastAsia"/>
                      <w:color w:val="auto"/>
                      <w:lang w:bidi="ar"/>
                    </w:rPr>
                    <w:t>拟建公路占用耕地</w:t>
                  </w:r>
                  <w:r>
                    <w:rPr>
                      <w:rFonts w:hint="eastAsia" w:eastAsiaTheme="minorEastAsia"/>
                      <w:color w:val="auto"/>
                      <w:lang w:bidi="ar"/>
                    </w:rPr>
                    <w:t>34.12</w:t>
                  </w:r>
                  <w:r>
                    <w:rPr>
                      <w:rFonts w:eastAsiaTheme="minorEastAsia"/>
                      <w:color w:val="auto"/>
                      <w:lang w:bidi="ar"/>
                    </w:rPr>
                    <w:t>hm</w:t>
                  </w:r>
                  <w:r>
                    <w:rPr>
                      <w:rFonts w:eastAsiaTheme="minorEastAsia"/>
                      <w:color w:val="auto"/>
                      <w:vertAlign w:val="superscript"/>
                      <w:lang w:bidi="ar"/>
                    </w:rPr>
                    <w:t>2</w:t>
                  </w:r>
                  <w:r>
                    <w:rPr>
                      <w:rFonts w:eastAsiaTheme="minorEastAsia"/>
                      <w:color w:val="auto"/>
                      <w:lang w:bidi="ar"/>
                    </w:rPr>
                    <w:t>，不占用基本农田。</w:t>
                  </w:r>
                </w:p>
              </w:tc>
              <w:tc>
                <w:tcPr>
                  <w:tcW w:w="1071" w:type="pct"/>
                  <w:tcBorders>
                    <w:tl2br w:val="nil"/>
                    <w:tr2bl w:val="nil"/>
                  </w:tcBorders>
                  <w:vAlign w:val="center"/>
                </w:tcPr>
                <w:p w14:paraId="7219D999">
                  <w:pPr>
                    <w:adjustRightInd w:val="0"/>
                    <w:snapToGrid w:val="0"/>
                    <w:spacing w:line="240" w:lineRule="exact"/>
                    <w:jc w:val="left"/>
                    <w:rPr>
                      <w:rFonts w:eastAsiaTheme="minorEastAsia"/>
                      <w:b/>
                      <w:bCs/>
                      <w:color w:val="auto"/>
                    </w:rPr>
                  </w:pPr>
                  <w:r>
                    <w:rPr>
                      <w:rFonts w:eastAsiaTheme="minorEastAsia"/>
                      <w:color w:val="auto"/>
                      <w:lang w:bidi="ar"/>
                    </w:rPr>
                    <w:t>土地占用造成耕地的减少，影响时段为施工期</w:t>
                  </w:r>
                  <w:r>
                    <w:rPr>
                      <w:rFonts w:hint="eastAsia" w:eastAsiaTheme="minorEastAsia"/>
                      <w:color w:val="auto"/>
                      <w:lang w:bidi="ar"/>
                    </w:rPr>
                    <w:t>。</w:t>
                  </w:r>
                </w:p>
              </w:tc>
            </w:tr>
            <w:tr w14:paraId="3A0C9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283" w:hRule="atLeast"/>
                <w:jc w:val="center"/>
              </w:trPr>
              <w:tc>
                <w:tcPr>
                  <w:tcW w:w="542" w:type="pct"/>
                  <w:tcBorders>
                    <w:tl2br w:val="nil"/>
                    <w:tr2bl w:val="nil"/>
                  </w:tcBorders>
                  <w:vAlign w:val="center"/>
                </w:tcPr>
                <w:p w14:paraId="5A0949D1">
                  <w:pPr>
                    <w:adjustRightInd w:val="0"/>
                    <w:snapToGrid w:val="0"/>
                    <w:spacing w:line="240" w:lineRule="exact"/>
                    <w:jc w:val="center"/>
                    <w:rPr>
                      <w:rFonts w:eastAsiaTheme="minorEastAsia"/>
                      <w:b/>
                      <w:bCs/>
                      <w:color w:val="auto"/>
                    </w:rPr>
                  </w:pPr>
                  <w:r>
                    <w:rPr>
                      <w:rFonts w:eastAsiaTheme="minorEastAsia"/>
                      <w:color w:val="auto"/>
                      <w:spacing w:val="6"/>
                    </w:rPr>
                    <w:t>自然植被</w:t>
                  </w:r>
                </w:p>
              </w:tc>
              <w:tc>
                <w:tcPr>
                  <w:tcW w:w="2042" w:type="pct"/>
                  <w:tcBorders>
                    <w:tl2br w:val="nil"/>
                    <w:tr2bl w:val="nil"/>
                  </w:tcBorders>
                  <w:vAlign w:val="center"/>
                </w:tcPr>
                <w:p w14:paraId="3161B7E2">
                  <w:pPr>
                    <w:adjustRightInd w:val="0"/>
                    <w:snapToGrid w:val="0"/>
                    <w:spacing w:line="240" w:lineRule="exact"/>
                    <w:rPr>
                      <w:rFonts w:eastAsiaTheme="minorEastAsia"/>
                      <w:b/>
                      <w:bCs/>
                      <w:color w:val="auto"/>
                    </w:rPr>
                  </w:pPr>
                  <w:r>
                    <w:rPr>
                      <w:rFonts w:eastAsiaTheme="minorEastAsia"/>
                      <w:color w:val="auto"/>
                    </w:rPr>
                    <w:t>项目沿线植被</w:t>
                  </w:r>
                  <w:r>
                    <w:rPr>
                      <w:rFonts w:hint="eastAsia" w:eastAsiaTheme="minorEastAsia"/>
                      <w:color w:val="auto"/>
                    </w:rPr>
                    <w:t>以</w:t>
                  </w:r>
                  <w:r>
                    <w:rPr>
                      <w:rFonts w:eastAsiaTheme="minorEastAsia"/>
                      <w:color w:val="auto"/>
                    </w:rPr>
                    <w:t>新疆杨、银白杨</w:t>
                  </w:r>
                  <w:r>
                    <w:rPr>
                      <w:rFonts w:hint="eastAsia" w:eastAsiaTheme="minorEastAsia"/>
                      <w:color w:val="auto"/>
                    </w:rPr>
                    <w:t>、榆树、</w:t>
                  </w:r>
                  <w:r>
                    <w:rPr>
                      <w:rFonts w:eastAsiaTheme="minorEastAsia"/>
                      <w:color w:val="auto"/>
                    </w:rPr>
                    <w:t>沙枣构成的</w:t>
                  </w:r>
                  <w:r>
                    <w:rPr>
                      <w:rFonts w:hint="eastAsia" w:eastAsiaTheme="minorEastAsia"/>
                      <w:color w:val="auto"/>
                    </w:rPr>
                    <w:t>人工林为主，灌木为</w:t>
                  </w:r>
                  <w:bookmarkStart w:id="18" w:name="_Hlk232442062"/>
                  <w:r>
                    <w:rPr>
                      <w:rFonts w:hint="eastAsia" w:eastAsiaTheme="minorEastAsia"/>
                      <w:color w:val="auto"/>
                    </w:rPr>
                    <w:t>多枝柽柳、柽柳、琵琶柴、沙拐枣、骆驼刺、盐爪爪</w:t>
                  </w:r>
                  <w:bookmarkEnd w:id="18"/>
                  <w:r>
                    <w:rPr>
                      <w:rFonts w:hint="eastAsia" w:eastAsiaTheme="minorEastAsia"/>
                      <w:color w:val="auto"/>
                    </w:rPr>
                    <w:t>等，</w:t>
                  </w:r>
                  <w:r>
                    <w:rPr>
                      <w:rFonts w:eastAsiaTheme="minorEastAsia"/>
                      <w:color w:val="auto"/>
                    </w:rPr>
                    <w:t>草原主要</w:t>
                  </w:r>
                  <w:r>
                    <w:rPr>
                      <w:rFonts w:hint="eastAsia" w:eastAsiaTheme="minorEastAsia"/>
                      <w:color w:val="auto"/>
                    </w:rPr>
                    <w:t>由</w:t>
                  </w:r>
                  <w:r>
                    <w:rPr>
                      <w:rFonts w:eastAsiaTheme="minorEastAsia"/>
                      <w:color w:val="auto"/>
                    </w:rPr>
                    <w:t>芨芨草、碱蓬等构成。</w:t>
                  </w:r>
                  <w:r>
                    <w:rPr>
                      <w:rFonts w:hint="eastAsia" w:eastAsiaTheme="minorEastAsia"/>
                      <w:color w:val="auto"/>
                      <w:lang w:bidi="ar"/>
                    </w:rPr>
                    <w:t>通过资料收集和</w:t>
                  </w:r>
                  <w:r>
                    <w:rPr>
                      <w:rFonts w:eastAsiaTheme="minorEastAsia"/>
                      <w:color w:val="auto"/>
                      <w:lang w:bidi="ar"/>
                    </w:rPr>
                    <w:t>现场调查</w:t>
                  </w:r>
                  <w:r>
                    <w:rPr>
                      <w:rFonts w:hint="eastAsia" w:eastAsiaTheme="minorEastAsia"/>
                      <w:color w:val="auto"/>
                      <w:lang w:bidi="ar"/>
                    </w:rPr>
                    <w:t>，</w:t>
                  </w:r>
                  <w:r>
                    <w:rPr>
                      <w:rFonts w:eastAsiaTheme="minorEastAsia"/>
                      <w:color w:val="auto"/>
                      <w:lang w:bidi="ar"/>
                    </w:rPr>
                    <w:t>评价范围内</w:t>
                  </w:r>
                  <w:r>
                    <w:rPr>
                      <w:rFonts w:hint="eastAsia" w:eastAsiaTheme="minorEastAsia"/>
                      <w:color w:val="auto"/>
                      <w:lang w:bidi="ar"/>
                    </w:rPr>
                    <w:t>无国家级和新疆自治区级重点保护野生植物、古树名木分布。</w:t>
                  </w:r>
                </w:p>
              </w:tc>
              <w:tc>
                <w:tcPr>
                  <w:tcW w:w="1342" w:type="pct"/>
                  <w:tcBorders>
                    <w:tl2br w:val="nil"/>
                    <w:tr2bl w:val="nil"/>
                  </w:tcBorders>
                  <w:vAlign w:val="center"/>
                </w:tcPr>
                <w:p w14:paraId="0CD83498">
                  <w:pPr>
                    <w:adjustRightInd w:val="0"/>
                    <w:snapToGrid w:val="0"/>
                    <w:spacing w:line="240" w:lineRule="exact"/>
                    <w:rPr>
                      <w:color w:val="auto"/>
                      <w:szCs w:val="16"/>
                    </w:rPr>
                  </w:pPr>
                  <w:r>
                    <w:rPr>
                      <w:rFonts w:eastAsiaTheme="minorEastAsia"/>
                      <w:color w:val="auto"/>
                    </w:rPr>
                    <w:t>拟建公路永久占地</w:t>
                  </w:r>
                  <w:r>
                    <w:rPr>
                      <w:rFonts w:hint="eastAsia" w:eastAsiaTheme="minorEastAsia"/>
                      <w:color w:val="auto"/>
                    </w:rPr>
                    <w:t>306.32</w:t>
                  </w:r>
                  <w:r>
                    <w:rPr>
                      <w:rFonts w:eastAsiaTheme="minorEastAsia"/>
                      <w:color w:val="auto"/>
                    </w:rPr>
                    <w:t>hm</w:t>
                  </w:r>
                  <w:r>
                    <w:rPr>
                      <w:rFonts w:eastAsiaTheme="minorEastAsia"/>
                      <w:color w:val="auto"/>
                      <w:vertAlign w:val="superscript"/>
                    </w:rPr>
                    <w:t>2</w:t>
                  </w:r>
                  <w:r>
                    <w:rPr>
                      <w:rFonts w:eastAsiaTheme="minorEastAsia"/>
                      <w:color w:val="auto"/>
                    </w:rPr>
                    <w:t>，</w:t>
                  </w:r>
                  <w:r>
                    <w:rPr>
                      <w:rFonts w:hint="eastAsia"/>
                      <w:color w:val="auto"/>
                      <w:szCs w:val="16"/>
                    </w:rPr>
                    <w:t>其中</w:t>
                  </w:r>
                  <w:r>
                    <w:rPr>
                      <w:color w:val="auto"/>
                      <w:szCs w:val="16"/>
                    </w:rPr>
                    <w:t>耕地</w:t>
                  </w:r>
                  <w:r>
                    <w:rPr>
                      <w:rFonts w:hint="eastAsia"/>
                      <w:color w:val="auto"/>
                      <w:szCs w:val="16"/>
                    </w:rPr>
                    <w:t>34.12</w:t>
                  </w:r>
                  <w:r>
                    <w:rPr>
                      <w:color w:val="auto"/>
                      <w:szCs w:val="16"/>
                    </w:rPr>
                    <w:t>hm</w:t>
                  </w:r>
                  <w:r>
                    <w:rPr>
                      <w:color w:val="auto"/>
                      <w:szCs w:val="16"/>
                      <w:vertAlign w:val="superscript"/>
                    </w:rPr>
                    <w:t>2</w:t>
                  </w:r>
                  <w:r>
                    <w:rPr>
                      <w:color w:val="auto"/>
                      <w:szCs w:val="16"/>
                    </w:rPr>
                    <w:t>、林地</w:t>
                  </w:r>
                  <w:r>
                    <w:rPr>
                      <w:rFonts w:hint="eastAsia"/>
                      <w:color w:val="auto"/>
                      <w:szCs w:val="16"/>
                    </w:rPr>
                    <w:t>78.08</w:t>
                  </w:r>
                  <w:r>
                    <w:rPr>
                      <w:color w:val="auto"/>
                      <w:szCs w:val="16"/>
                    </w:rPr>
                    <w:t>hm</w:t>
                  </w:r>
                  <w:r>
                    <w:rPr>
                      <w:color w:val="auto"/>
                      <w:szCs w:val="16"/>
                      <w:vertAlign w:val="superscript"/>
                    </w:rPr>
                    <w:t>2</w:t>
                  </w:r>
                  <w:r>
                    <w:rPr>
                      <w:color w:val="auto"/>
                      <w:szCs w:val="16"/>
                    </w:rPr>
                    <w:t>、草地</w:t>
                  </w:r>
                  <w:r>
                    <w:rPr>
                      <w:rFonts w:hint="eastAsia"/>
                      <w:color w:val="auto"/>
                      <w:szCs w:val="16"/>
                    </w:rPr>
                    <w:t>4.79</w:t>
                  </w:r>
                  <w:r>
                    <w:rPr>
                      <w:color w:val="auto"/>
                      <w:szCs w:val="16"/>
                    </w:rPr>
                    <w:t>hm</w:t>
                  </w:r>
                  <w:r>
                    <w:rPr>
                      <w:color w:val="auto"/>
                      <w:szCs w:val="16"/>
                      <w:vertAlign w:val="superscript"/>
                    </w:rPr>
                    <w:t>2</w:t>
                  </w:r>
                  <w:bookmarkStart w:id="19" w:name="OLE_LINK35"/>
                  <w:r>
                    <w:rPr>
                      <w:color w:val="auto"/>
                      <w:szCs w:val="16"/>
                    </w:rPr>
                    <w:t>、</w:t>
                  </w:r>
                  <w:bookmarkEnd w:id="19"/>
                  <w:r>
                    <w:rPr>
                      <w:rFonts w:hint="eastAsia"/>
                      <w:color w:val="auto"/>
                      <w:szCs w:val="16"/>
                    </w:rPr>
                    <w:t>园地7.85</w:t>
                  </w:r>
                  <w:r>
                    <w:rPr>
                      <w:color w:val="auto"/>
                      <w:szCs w:val="16"/>
                    </w:rPr>
                    <w:t xml:space="preserve"> hm</w:t>
                  </w:r>
                  <w:r>
                    <w:rPr>
                      <w:color w:val="auto"/>
                      <w:szCs w:val="16"/>
                      <w:vertAlign w:val="superscript"/>
                    </w:rPr>
                    <w:t>2</w:t>
                  </w:r>
                  <w:r>
                    <w:rPr>
                      <w:color w:val="auto"/>
                      <w:szCs w:val="16"/>
                    </w:rPr>
                    <w:t>、水域及水利设施用地</w:t>
                  </w:r>
                  <w:r>
                    <w:rPr>
                      <w:rFonts w:hint="eastAsia"/>
                      <w:color w:val="auto"/>
                      <w:szCs w:val="16"/>
                    </w:rPr>
                    <w:t>1.07</w:t>
                  </w:r>
                  <w:r>
                    <w:rPr>
                      <w:color w:val="auto"/>
                      <w:szCs w:val="16"/>
                    </w:rPr>
                    <w:t>hm</w:t>
                  </w:r>
                  <w:r>
                    <w:rPr>
                      <w:color w:val="auto"/>
                      <w:szCs w:val="16"/>
                      <w:vertAlign w:val="superscript"/>
                    </w:rPr>
                    <w:t>2</w:t>
                  </w:r>
                  <w:r>
                    <w:rPr>
                      <w:rFonts w:hint="eastAsia"/>
                      <w:color w:val="auto"/>
                      <w:szCs w:val="16"/>
                    </w:rPr>
                    <w:t>。</w:t>
                  </w:r>
                </w:p>
              </w:tc>
              <w:tc>
                <w:tcPr>
                  <w:tcW w:w="1071" w:type="pct"/>
                  <w:tcBorders>
                    <w:tl2br w:val="nil"/>
                    <w:tr2bl w:val="nil"/>
                  </w:tcBorders>
                  <w:vAlign w:val="center"/>
                </w:tcPr>
                <w:p w14:paraId="5D665660">
                  <w:pPr>
                    <w:adjustRightInd w:val="0"/>
                    <w:snapToGrid w:val="0"/>
                    <w:spacing w:line="240" w:lineRule="exact"/>
                    <w:rPr>
                      <w:rFonts w:eastAsiaTheme="minorEastAsia"/>
                      <w:b/>
                      <w:bCs/>
                      <w:color w:val="auto"/>
                    </w:rPr>
                  </w:pPr>
                  <w:r>
                    <w:rPr>
                      <w:rFonts w:eastAsiaTheme="minorEastAsia"/>
                      <w:color w:val="auto"/>
                    </w:rPr>
                    <w:t>土地占用将造成植被的损失，影响时段为施工期。</w:t>
                  </w:r>
                </w:p>
              </w:tc>
            </w:tr>
            <w:tr w14:paraId="2D753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283" w:hRule="atLeast"/>
                <w:jc w:val="center"/>
              </w:trPr>
              <w:tc>
                <w:tcPr>
                  <w:tcW w:w="542" w:type="pct"/>
                  <w:tcBorders>
                    <w:tl2br w:val="nil"/>
                    <w:tr2bl w:val="nil"/>
                  </w:tcBorders>
                  <w:vAlign w:val="center"/>
                </w:tcPr>
                <w:p w14:paraId="0144AE8F">
                  <w:pPr>
                    <w:adjustRightInd w:val="0"/>
                    <w:snapToGrid w:val="0"/>
                    <w:spacing w:line="240" w:lineRule="exact"/>
                    <w:jc w:val="center"/>
                    <w:rPr>
                      <w:rFonts w:eastAsiaTheme="minorEastAsia"/>
                      <w:color w:val="auto"/>
                      <w:lang w:bidi="ar"/>
                    </w:rPr>
                  </w:pPr>
                  <w:bookmarkStart w:id="20" w:name="OLE_LINK36"/>
                  <w:r>
                    <w:rPr>
                      <w:rFonts w:hint="eastAsia" w:eastAsiaTheme="minorEastAsia"/>
                      <w:color w:val="auto"/>
                      <w:lang w:bidi="ar"/>
                    </w:rPr>
                    <w:t>河谷林、农田防护林</w:t>
                  </w:r>
                  <w:bookmarkEnd w:id="20"/>
                </w:p>
              </w:tc>
              <w:tc>
                <w:tcPr>
                  <w:tcW w:w="2042" w:type="pct"/>
                  <w:tcBorders>
                    <w:tl2br w:val="nil"/>
                    <w:tr2bl w:val="nil"/>
                  </w:tcBorders>
                  <w:vAlign w:val="center"/>
                </w:tcPr>
                <w:p w14:paraId="65AE433F">
                  <w:pPr>
                    <w:spacing w:line="240" w:lineRule="exact"/>
                    <w:jc w:val="left"/>
                    <w:rPr>
                      <w:rFonts w:eastAsiaTheme="minorEastAsia"/>
                      <w:color w:val="auto"/>
                      <w:lang w:bidi="ar"/>
                    </w:rPr>
                  </w:pPr>
                  <w:r>
                    <w:rPr>
                      <w:rFonts w:hint="eastAsia" w:eastAsiaTheme="minorEastAsia"/>
                      <w:color w:val="auto"/>
                      <w:lang w:bidi="ar"/>
                    </w:rPr>
                    <w:t>河谷林：沿线河道附近带状分布，以多枝柽柳为主，</w:t>
                  </w:r>
                  <w:r>
                    <w:rPr>
                      <w:rFonts w:eastAsiaTheme="minorEastAsia"/>
                      <w:color w:val="auto"/>
                      <w:lang w:bidi="ar"/>
                    </w:rPr>
                    <w:t>属</w:t>
                  </w:r>
                  <w:bookmarkStart w:id="21" w:name="OLE_LINK17"/>
                  <w:r>
                    <w:rPr>
                      <w:rFonts w:eastAsiaTheme="minorEastAsia"/>
                      <w:color w:val="auto"/>
                      <w:lang w:bidi="ar"/>
                    </w:rPr>
                    <w:t>国家级 / 地方</w:t>
                  </w:r>
                  <w:bookmarkEnd w:id="21"/>
                  <w:r>
                    <w:rPr>
                      <w:rFonts w:eastAsiaTheme="minorEastAsia"/>
                      <w:color w:val="auto"/>
                      <w:lang w:bidi="ar"/>
                    </w:rPr>
                    <w:t>公益防护林地，干旱区河流稀缺天然植被，是绿洲水源涵养、防风固沙核心屏障</w:t>
                  </w:r>
                  <w:r>
                    <w:rPr>
                      <w:rFonts w:hint="eastAsia" w:eastAsiaTheme="minorEastAsia"/>
                      <w:color w:val="auto"/>
                      <w:lang w:bidi="ar"/>
                    </w:rPr>
                    <w:t>。</w:t>
                  </w:r>
                </w:p>
                <w:p w14:paraId="42E954E1">
                  <w:pPr>
                    <w:spacing w:line="240" w:lineRule="exact"/>
                    <w:jc w:val="left"/>
                    <w:rPr>
                      <w:rFonts w:eastAsiaTheme="minorEastAsia"/>
                      <w:color w:val="auto"/>
                      <w:lang w:bidi="ar"/>
                    </w:rPr>
                  </w:pPr>
                  <w:r>
                    <w:rPr>
                      <w:rFonts w:hint="eastAsia" w:eastAsiaTheme="minorEastAsia"/>
                      <w:color w:val="auto"/>
                      <w:lang w:bidi="ar"/>
                    </w:rPr>
                    <w:t>农田防护林：沿线农田四周，呈网格状环绕棉花、小麦、玉米耕地，沿路侧、渠边连续布设；以新疆杨、白榆为主，少量沙枣，全为人工防风固沙经济防护林地，属于地方重点防护林。</w:t>
                  </w:r>
                </w:p>
              </w:tc>
              <w:tc>
                <w:tcPr>
                  <w:tcW w:w="1342" w:type="pct"/>
                  <w:tcBorders>
                    <w:tl2br w:val="nil"/>
                    <w:tr2bl w:val="nil"/>
                  </w:tcBorders>
                  <w:vAlign w:val="center"/>
                </w:tcPr>
                <w:p w14:paraId="0C6A06AC">
                  <w:pPr>
                    <w:adjustRightInd w:val="0"/>
                    <w:snapToGrid w:val="0"/>
                    <w:spacing w:line="240" w:lineRule="exact"/>
                    <w:jc w:val="left"/>
                    <w:rPr>
                      <w:rFonts w:eastAsiaTheme="minorEastAsia"/>
                      <w:color w:val="auto"/>
                      <w:lang w:bidi="ar"/>
                    </w:rPr>
                  </w:pPr>
                  <w:r>
                    <w:rPr>
                      <w:rFonts w:hint="eastAsia" w:eastAsiaTheme="minorEastAsia"/>
                      <w:color w:val="auto"/>
                      <w:lang w:bidi="ar"/>
                    </w:rPr>
                    <w:t>拟建公路占用林地</w:t>
                  </w:r>
                  <w:r>
                    <w:rPr>
                      <w:rFonts w:hint="eastAsia"/>
                      <w:color w:val="auto"/>
                      <w:szCs w:val="16"/>
                    </w:rPr>
                    <w:t>78.08</w:t>
                  </w:r>
                  <w:r>
                    <w:rPr>
                      <w:color w:val="auto"/>
                      <w:szCs w:val="16"/>
                    </w:rPr>
                    <w:t>hm</w:t>
                  </w:r>
                  <w:r>
                    <w:rPr>
                      <w:color w:val="auto"/>
                      <w:szCs w:val="16"/>
                      <w:vertAlign w:val="superscript"/>
                    </w:rPr>
                    <w:t>2</w:t>
                  </w:r>
                  <w:r>
                    <w:rPr>
                      <w:rFonts w:hint="eastAsia"/>
                      <w:color w:val="auto"/>
                      <w:szCs w:val="16"/>
                    </w:rPr>
                    <w:t>，不涉及占用</w:t>
                  </w:r>
                  <w:r>
                    <w:rPr>
                      <w:rFonts w:eastAsiaTheme="minorEastAsia"/>
                      <w:color w:val="auto"/>
                      <w:lang w:bidi="ar"/>
                    </w:rPr>
                    <w:t>国家级/地方</w:t>
                  </w:r>
                  <w:r>
                    <w:rPr>
                      <w:rFonts w:hint="eastAsia"/>
                      <w:color w:val="auto"/>
                      <w:szCs w:val="16"/>
                    </w:rPr>
                    <w:t>生态公益林，不占用河谷林和农田防护林。</w:t>
                  </w:r>
                </w:p>
              </w:tc>
              <w:tc>
                <w:tcPr>
                  <w:tcW w:w="1071" w:type="pct"/>
                  <w:tcBorders>
                    <w:tl2br w:val="nil"/>
                    <w:tr2bl w:val="nil"/>
                  </w:tcBorders>
                  <w:vAlign w:val="center"/>
                </w:tcPr>
                <w:p w14:paraId="5A8EA5A3">
                  <w:pPr>
                    <w:adjustRightInd w:val="0"/>
                    <w:snapToGrid w:val="0"/>
                    <w:spacing w:line="240" w:lineRule="exact"/>
                    <w:jc w:val="left"/>
                    <w:rPr>
                      <w:rFonts w:eastAsiaTheme="minorEastAsia"/>
                      <w:color w:val="auto"/>
                      <w:lang w:bidi="ar"/>
                    </w:rPr>
                  </w:pPr>
                  <w:r>
                    <w:rPr>
                      <w:rFonts w:eastAsiaTheme="minorEastAsia"/>
                      <w:color w:val="auto"/>
                      <w:lang w:bidi="ar"/>
                    </w:rPr>
                    <w:t>土地占用造成</w:t>
                  </w:r>
                  <w:r>
                    <w:rPr>
                      <w:rFonts w:hint="eastAsia" w:eastAsiaTheme="minorEastAsia"/>
                      <w:color w:val="auto"/>
                      <w:lang w:bidi="ar"/>
                    </w:rPr>
                    <w:t>林地</w:t>
                  </w:r>
                  <w:r>
                    <w:rPr>
                      <w:rFonts w:eastAsiaTheme="minorEastAsia"/>
                      <w:color w:val="auto"/>
                      <w:lang w:bidi="ar"/>
                    </w:rPr>
                    <w:t>的减少，影响时段为施工期</w:t>
                  </w:r>
                  <w:r>
                    <w:rPr>
                      <w:rFonts w:hint="eastAsia" w:eastAsiaTheme="minorEastAsia"/>
                      <w:color w:val="auto"/>
                      <w:lang w:bidi="ar"/>
                    </w:rPr>
                    <w:t>。</w:t>
                  </w:r>
                </w:p>
              </w:tc>
            </w:tr>
            <w:tr w14:paraId="243D9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283" w:hRule="atLeast"/>
                <w:jc w:val="center"/>
              </w:trPr>
              <w:tc>
                <w:tcPr>
                  <w:tcW w:w="542" w:type="pct"/>
                  <w:tcBorders>
                    <w:tl2br w:val="nil"/>
                    <w:tr2bl w:val="nil"/>
                  </w:tcBorders>
                  <w:vAlign w:val="center"/>
                </w:tcPr>
                <w:p w14:paraId="0F6466C5">
                  <w:pPr>
                    <w:adjustRightInd w:val="0"/>
                    <w:snapToGrid w:val="0"/>
                    <w:spacing w:line="240" w:lineRule="exact"/>
                    <w:jc w:val="center"/>
                    <w:rPr>
                      <w:rFonts w:eastAsiaTheme="minorEastAsia"/>
                      <w:b/>
                      <w:bCs/>
                      <w:color w:val="auto"/>
                    </w:rPr>
                  </w:pPr>
                  <w:r>
                    <w:rPr>
                      <w:rFonts w:eastAsiaTheme="minorEastAsia"/>
                      <w:color w:val="auto"/>
                      <w:spacing w:val="6"/>
                    </w:rPr>
                    <w:t>野生动物</w:t>
                  </w:r>
                </w:p>
              </w:tc>
              <w:tc>
                <w:tcPr>
                  <w:tcW w:w="2042" w:type="pct"/>
                  <w:tcBorders>
                    <w:tl2br w:val="nil"/>
                    <w:tr2bl w:val="nil"/>
                  </w:tcBorders>
                  <w:vAlign w:val="center"/>
                </w:tcPr>
                <w:p w14:paraId="19C75E93">
                  <w:pPr>
                    <w:adjustRightInd w:val="0"/>
                    <w:snapToGrid w:val="0"/>
                    <w:spacing w:line="240" w:lineRule="exact"/>
                    <w:rPr>
                      <w:rFonts w:eastAsiaTheme="minorEastAsia"/>
                      <w:b/>
                      <w:bCs/>
                      <w:color w:val="auto"/>
                    </w:rPr>
                  </w:pPr>
                  <w:r>
                    <w:rPr>
                      <w:rFonts w:eastAsiaTheme="minorEastAsia"/>
                      <w:color w:val="auto"/>
                      <w:lang w:bidi="ar"/>
                    </w:rPr>
                    <w:t>拟建公路评价范围内陆生野生动物</w:t>
                  </w:r>
                  <w:r>
                    <w:rPr>
                      <w:rFonts w:hint="eastAsia" w:eastAsiaTheme="minorEastAsia"/>
                      <w:color w:val="auto"/>
                      <w:lang w:bidi="ar"/>
                    </w:rPr>
                    <w:t>种类较少，兽类以子午沙鼠、短耳沙鼠等啮齿类动物为主，鸟类以家燕、戴胜、喜鹊、小嘴乌鸦、灰斑鸠等为主；爬行类以麻蜥、荒漠麻蜥为主；两栖类以塔里木蟾蜍等（仅分布于绿洲、沟渠周边）</w:t>
                  </w:r>
                  <w:r>
                    <w:rPr>
                      <w:rFonts w:eastAsiaTheme="minorEastAsia"/>
                      <w:color w:val="auto"/>
                      <w:lang w:bidi="ar"/>
                    </w:rPr>
                    <w:t>。</w:t>
                  </w:r>
                  <w:bookmarkStart w:id="22" w:name="OLE_LINK19"/>
                  <w:r>
                    <w:rPr>
                      <w:rFonts w:hint="eastAsia" w:eastAsiaTheme="minorEastAsia"/>
                      <w:color w:val="auto"/>
                      <w:lang w:bidi="ar"/>
                    </w:rPr>
                    <w:t>通过资料收集和</w:t>
                  </w:r>
                  <w:r>
                    <w:rPr>
                      <w:rFonts w:eastAsiaTheme="minorEastAsia"/>
                      <w:color w:val="auto"/>
                      <w:lang w:bidi="ar"/>
                    </w:rPr>
                    <w:t>现场调查</w:t>
                  </w:r>
                  <w:r>
                    <w:rPr>
                      <w:rFonts w:hint="eastAsia" w:eastAsiaTheme="minorEastAsia"/>
                      <w:color w:val="auto"/>
                      <w:lang w:bidi="ar"/>
                    </w:rPr>
                    <w:t>，</w:t>
                  </w:r>
                  <w:bookmarkStart w:id="23" w:name="OLE_LINK8"/>
                  <w:r>
                    <w:rPr>
                      <w:rFonts w:eastAsiaTheme="minorEastAsia"/>
                      <w:color w:val="auto"/>
                      <w:lang w:bidi="ar"/>
                    </w:rPr>
                    <w:t>评价范围内</w:t>
                  </w:r>
                  <w:r>
                    <w:rPr>
                      <w:rFonts w:hint="eastAsia" w:eastAsiaTheme="minorEastAsia"/>
                      <w:color w:val="auto"/>
                      <w:lang w:bidi="ar"/>
                    </w:rPr>
                    <w:t>无国家级和新疆自治区级重点保护野生动物分布。</w:t>
                  </w:r>
                  <w:bookmarkEnd w:id="22"/>
                  <w:bookmarkEnd w:id="23"/>
                </w:p>
              </w:tc>
              <w:tc>
                <w:tcPr>
                  <w:tcW w:w="1342" w:type="pct"/>
                  <w:tcBorders>
                    <w:tl2br w:val="nil"/>
                    <w:tr2bl w:val="nil"/>
                  </w:tcBorders>
                  <w:vAlign w:val="center"/>
                </w:tcPr>
                <w:p w14:paraId="1083DA10">
                  <w:pPr>
                    <w:adjustRightInd w:val="0"/>
                    <w:snapToGrid w:val="0"/>
                    <w:spacing w:line="240" w:lineRule="exact"/>
                    <w:rPr>
                      <w:rFonts w:eastAsiaTheme="minorEastAsia"/>
                      <w:b/>
                      <w:bCs/>
                      <w:color w:val="auto"/>
                    </w:rPr>
                  </w:pPr>
                  <w:r>
                    <w:rPr>
                      <w:rFonts w:eastAsiaTheme="minorEastAsia"/>
                      <w:color w:val="auto"/>
                    </w:rPr>
                    <w:t>工程永久占地，占用并分割动物自然生境等工程影响。</w:t>
                  </w:r>
                </w:p>
              </w:tc>
              <w:tc>
                <w:tcPr>
                  <w:tcW w:w="1071" w:type="pct"/>
                  <w:tcBorders>
                    <w:tl2br w:val="nil"/>
                    <w:tr2bl w:val="nil"/>
                  </w:tcBorders>
                  <w:vAlign w:val="center"/>
                </w:tcPr>
                <w:p w14:paraId="2D51552E">
                  <w:pPr>
                    <w:adjustRightInd w:val="0"/>
                    <w:snapToGrid w:val="0"/>
                    <w:spacing w:line="240" w:lineRule="exact"/>
                    <w:rPr>
                      <w:rFonts w:eastAsiaTheme="minorEastAsia"/>
                      <w:b/>
                      <w:bCs/>
                      <w:color w:val="auto"/>
                    </w:rPr>
                  </w:pPr>
                  <w:r>
                    <w:rPr>
                      <w:rFonts w:eastAsiaTheme="minorEastAsia"/>
                      <w:color w:val="auto"/>
                    </w:rPr>
                    <w:t>公路建设对保护动物栖息和觅食场所的破坏，影响时段为施工期。</w:t>
                  </w:r>
                </w:p>
              </w:tc>
            </w:tr>
            <w:tr w14:paraId="272E1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283" w:hRule="atLeast"/>
                <w:jc w:val="center"/>
              </w:trPr>
              <w:tc>
                <w:tcPr>
                  <w:tcW w:w="542" w:type="pct"/>
                  <w:tcBorders>
                    <w:tl2br w:val="nil"/>
                    <w:tr2bl w:val="nil"/>
                  </w:tcBorders>
                  <w:vAlign w:val="center"/>
                </w:tcPr>
                <w:p w14:paraId="2BA0A3F0">
                  <w:pPr>
                    <w:adjustRightInd w:val="0"/>
                    <w:snapToGrid w:val="0"/>
                    <w:spacing w:line="240" w:lineRule="exact"/>
                    <w:jc w:val="center"/>
                    <w:rPr>
                      <w:rFonts w:eastAsiaTheme="minorEastAsia"/>
                      <w:color w:val="auto"/>
                      <w:spacing w:val="6"/>
                    </w:rPr>
                  </w:pPr>
                  <w:r>
                    <w:rPr>
                      <w:color w:val="auto"/>
                      <w:spacing w:val="6"/>
                      <w:szCs w:val="21"/>
                      <w:lang w:bidi="ar"/>
                    </w:rPr>
                    <w:t>沙化土地</w:t>
                  </w:r>
                </w:p>
              </w:tc>
              <w:tc>
                <w:tcPr>
                  <w:tcW w:w="2042" w:type="pct"/>
                  <w:tcBorders>
                    <w:tl2br w:val="nil"/>
                    <w:tr2bl w:val="nil"/>
                  </w:tcBorders>
                  <w:vAlign w:val="center"/>
                </w:tcPr>
                <w:p w14:paraId="4CBDEA6E">
                  <w:pPr>
                    <w:adjustRightInd w:val="0"/>
                    <w:snapToGrid w:val="0"/>
                    <w:spacing w:line="240" w:lineRule="exact"/>
                    <w:rPr>
                      <w:rFonts w:eastAsiaTheme="minorEastAsia"/>
                      <w:color w:val="auto"/>
                      <w:lang w:bidi="ar"/>
                    </w:rPr>
                  </w:pPr>
                  <w:r>
                    <w:rPr>
                      <w:color w:val="auto"/>
                      <w:szCs w:val="21"/>
                      <w:lang w:bidi="ar"/>
                    </w:rPr>
                    <w:t>根据《全国防沙治沙规划（2021</w:t>
                  </w:r>
                  <w:r>
                    <w:rPr>
                      <w:rFonts w:hint="eastAsia"/>
                      <w:color w:val="auto"/>
                      <w:szCs w:val="21"/>
                      <w:lang w:bidi="ar"/>
                    </w:rPr>
                    <w:t>—</w:t>
                  </w:r>
                  <w:r>
                    <w:rPr>
                      <w:color w:val="auto"/>
                      <w:szCs w:val="21"/>
                      <w:lang w:bidi="ar"/>
                    </w:rPr>
                    <w:t>2030年）》，项目区域属于干旱沙漠及绿洲类型区的塔克拉玛干沙漠及绿洲生态保护修复区，其中莎车县为重点县，阿克陶县和塔什库尔干塔吉克自治县为一般县。</w:t>
                  </w:r>
                </w:p>
              </w:tc>
              <w:tc>
                <w:tcPr>
                  <w:tcW w:w="1342" w:type="pct"/>
                  <w:tcBorders>
                    <w:tl2br w:val="nil"/>
                    <w:tr2bl w:val="nil"/>
                  </w:tcBorders>
                  <w:vAlign w:val="center"/>
                </w:tcPr>
                <w:p w14:paraId="513B3417">
                  <w:pPr>
                    <w:rPr>
                      <w:color w:val="auto"/>
                    </w:rPr>
                  </w:pPr>
                  <w:r>
                    <w:rPr>
                      <w:color w:val="auto"/>
                      <w:szCs w:val="21"/>
                      <w:lang w:bidi="ar"/>
                    </w:rPr>
                    <w:t>拟建公路</w:t>
                  </w:r>
                  <w:bookmarkStart w:id="24" w:name="_Hlk232441971"/>
                  <w:r>
                    <w:rPr>
                      <w:color w:val="auto"/>
                      <w:szCs w:val="21"/>
                      <w:lang w:bidi="ar"/>
                    </w:rPr>
                    <w:t>K0+000~K1+100</w:t>
                  </w:r>
                  <w:r>
                    <w:rPr>
                      <w:rFonts w:hint="eastAsia"/>
                      <w:color w:val="auto"/>
                      <w:szCs w:val="21"/>
                      <w:lang w:bidi="ar"/>
                    </w:rPr>
                    <w:t>、</w:t>
                  </w:r>
                  <w:r>
                    <w:rPr>
                      <w:color w:val="auto"/>
                      <w:szCs w:val="21"/>
                      <w:lang w:bidi="ar"/>
                    </w:rPr>
                    <w:t>K4+100~K6+500</w:t>
                  </w:r>
                  <w:r>
                    <w:rPr>
                      <w:rFonts w:hint="eastAsia"/>
                      <w:color w:val="auto"/>
                      <w:szCs w:val="21"/>
                      <w:lang w:bidi="ar"/>
                    </w:rPr>
                    <w:t>、</w:t>
                  </w:r>
                  <w:r>
                    <w:rPr>
                      <w:rFonts w:eastAsiaTheme="minorEastAsia"/>
                      <w:color w:val="auto"/>
                      <w:spacing w:val="-2"/>
                      <w:sz w:val="24"/>
                    </w:rPr>
                    <w:t>K11+000~K14+000</w:t>
                  </w:r>
                  <w:bookmarkEnd w:id="24"/>
                </w:p>
                <w:p w14:paraId="2CD7594D">
                  <w:pPr>
                    <w:adjustRightInd w:val="0"/>
                    <w:snapToGrid w:val="0"/>
                    <w:spacing w:line="240" w:lineRule="exact"/>
                    <w:rPr>
                      <w:rFonts w:eastAsiaTheme="minorEastAsia"/>
                      <w:color w:val="auto"/>
                      <w:highlight w:val="yellow"/>
                    </w:rPr>
                  </w:pPr>
                  <w:r>
                    <w:rPr>
                      <w:color w:val="auto"/>
                      <w:szCs w:val="21"/>
                      <w:lang w:bidi="ar"/>
                    </w:rPr>
                    <w:t>段</w:t>
                  </w:r>
                  <w:r>
                    <w:rPr>
                      <w:rFonts w:hint="eastAsia"/>
                      <w:color w:val="auto"/>
                      <w:szCs w:val="21"/>
                      <w:lang w:bidi="ar"/>
                    </w:rPr>
                    <w:t>6.5</w:t>
                  </w:r>
                  <w:r>
                    <w:rPr>
                      <w:color w:val="auto"/>
                      <w:szCs w:val="21"/>
                      <w:lang w:bidi="ar"/>
                    </w:rPr>
                    <w:t>km穿越沙化土地，</w:t>
                  </w:r>
                  <w:r>
                    <w:rPr>
                      <w:rFonts w:hint="eastAsia"/>
                      <w:color w:val="auto"/>
                      <w:szCs w:val="21"/>
                      <w:lang w:bidi="ar"/>
                    </w:rPr>
                    <w:t>占地15.68</w:t>
                  </w:r>
                  <w:r>
                    <w:rPr>
                      <w:color w:val="auto"/>
                      <w:szCs w:val="21"/>
                      <w:lang w:bidi="ar"/>
                    </w:rPr>
                    <w:t>hm</w:t>
                  </w:r>
                  <w:r>
                    <w:rPr>
                      <w:color w:val="auto"/>
                      <w:szCs w:val="21"/>
                      <w:vertAlign w:val="superscript"/>
                      <w:lang w:bidi="ar"/>
                    </w:rPr>
                    <w:t>2</w:t>
                  </w:r>
                </w:p>
              </w:tc>
              <w:tc>
                <w:tcPr>
                  <w:tcW w:w="1071" w:type="pct"/>
                  <w:tcBorders>
                    <w:tl2br w:val="nil"/>
                    <w:tr2bl w:val="nil"/>
                  </w:tcBorders>
                  <w:vAlign w:val="center"/>
                </w:tcPr>
                <w:p w14:paraId="5C89A28E">
                  <w:pPr>
                    <w:adjustRightInd w:val="0"/>
                    <w:snapToGrid w:val="0"/>
                    <w:spacing w:line="240" w:lineRule="exact"/>
                    <w:rPr>
                      <w:rFonts w:eastAsiaTheme="minorEastAsia"/>
                      <w:color w:val="auto"/>
                      <w:highlight w:val="yellow"/>
                    </w:rPr>
                  </w:pPr>
                  <w:r>
                    <w:rPr>
                      <w:color w:val="auto"/>
                      <w:szCs w:val="21"/>
                      <w:lang w:bidi="ar"/>
                    </w:rPr>
                    <w:t>公路建设扰动原地貌、破坏地表植被，改变土体结构，使土壤抗蚀性降低，加剧局部地段土地沙化现象。</w:t>
                  </w:r>
                </w:p>
              </w:tc>
            </w:tr>
            <w:bookmarkEnd w:id="17"/>
          </w:tbl>
          <w:p w14:paraId="0FB06412">
            <w:pPr>
              <w:keepNext w:val="0"/>
              <w:keepLines w:val="0"/>
              <w:pageBreakBefore w:val="0"/>
              <w:widowControl w:val="0"/>
              <w:kinsoku/>
              <w:wordWrap/>
              <w:overflowPunct/>
              <w:topLinePunct w:val="0"/>
              <w:autoSpaceDE/>
              <w:autoSpaceDN/>
              <w:bidi w:val="0"/>
              <w:adjustRightInd w:val="0"/>
              <w:snapToGrid w:val="0"/>
              <w:spacing w:before="313" w:beforeLines="100" w:line="300" w:lineRule="auto"/>
              <w:textAlignment w:val="auto"/>
              <w:rPr>
                <w:b/>
                <w:color w:val="auto"/>
                <w:kern w:val="0"/>
                <w:sz w:val="24"/>
              </w:rPr>
            </w:pPr>
            <w:r>
              <w:rPr>
                <w:b/>
                <w:color w:val="auto"/>
                <w:kern w:val="0"/>
                <w:sz w:val="24"/>
              </w:rPr>
              <w:t>2. 声环境保护目标</w:t>
            </w:r>
          </w:p>
          <w:p w14:paraId="7CFBBDD5">
            <w:pPr>
              <w:adjustRightInd w:val="0"/>
              <w:snapToGrid w:val="0"/>
              <w:spacing w:after="120" w:afterLines="50" w:line="300" w:lineRule="auto"/>
              <w:ind w:firstLine="480" w:firstLineChars="200"/>
              <w:rPr>
                <w:color w:val="auto"/>
                <w:kern w:val="0"/>
                <w:sz w:val="24"/>
              </w:rPr>
            </w:pPr>
            <w:r>
              <w:rPr>
                <w:color w:val="auto"/>
                <w:sz w:val="24"/>
              </w:rPr>
              <w:t>拟建公路沿线评价范围内共有声环境保护目标</w:t>
            </w:r>
            <w:r>
              <w:rPr>
                <w:rFonts w:hint="eastAsia"/>
                <w:color w:val="auto"/>
                <w:sz w:val="24"/>
              </w:rPr>
              <w:t>29</w:t>
            </w:r>
            <w:r>
              <w:rPr>
                <w:color w:val="auto"/>
                <w:sz w:val="24"/>
              </w:rPr>
              <w:t>处，包括：6</w:t>
            </w:r>
            <w:r>
              <w:rPr>
                <w:rFonts w:hint="eastAsia"/>
                <w:color w:val="auto"/>
                <w:sz w:val="24"/>
                <w:lang w:val="en-US" w:eastAsia="zh-CN"/>
              </w:rPr>
              <w:t>所</w:t>
            </w:r>
            <w:r>
              <w:rPr>
                <w:color w:val="auto"/>
                <w:sz w:val="24"/>
              </w:rPr>
              <w:t>学校（</w:t>
            </w:r>
            <w:r>
              <w:rPr>
                <w:rFonts w:hint="eastAsia"/>
                <w:color w:val="auto"/>
                <w:sz w:val="24"/>
              </w:rPr>
              <w:t>1</w:t>
            </w:r>
            <w:r>
              <w:rPr>
                <w:rFonts w:hint="eastAsia"/>
                <w:color w:val="auto"/>
                <w:sz w:val="24"/>
                <w:lang w:val="en-US" w:eastAsia="zh-CN"/>
              </w:rPr>
              <w:t>所</w:t>
            </w:r>
            <w:r>
              <w:rPr>
                <w:rFonts w:hint="eastAsia"/>
                <w:color w:val="auto"/>
                <w:sz w:val="24"/>
              </w:rPr>
              <w:t>技校、3</w:t>
            </w:r>
            <w:r>
              <w:rPr>
                <w:rFonts w:hint="eastAsia"/>
                <w:color w:val="auto"/>
                <w:sz w:val="24"/>
                <w:lang w:val="en-US" w:eastAsia="zh-CN"/>
              </w:rPr>
              <w:t>所</w:t>
            </w:r>
            <w:r>
              <w:rPr>
                <w:color w:val="auto"/>
                <w:sz w:val="24"/>
              </w:rPr>
              <w:t>小学</w:t>
            </w:r>
            <w:r>
              <w:rPr>
                <w:rFonts w:hint="eastAsia"/>
                <w:color w:val="auto"/>
                <w:sz w:val="24"/>
              </w:rPr>
              <w:t>、2</w:t>
            </w:r>
            <w:r>
              <w:rPr>
                <w:rFonts w:hint="eastAsia"/>
                <w:color w:val="auto"/>
                <w:sz w:val="24"/>
                <w:lang w:val="en-US" w:eastAsia="zh-CN"/>
              </w:rPr>
              <w:t>所</w:t>
            </w:r>
            <w:r>
              <w:rPr>
                <w:color w:val="auto"/>
                <w:sz w:val="24"/>
              </w:rPr>
              <w:t>幼儿园，夜间均无住宿）</w:t>
            </w:r>
            <w:r>
              <w:rPr>
                <w:rFonts w:hint="eastAsia"/>
                <w:color w:val="auto"/>
                <w:sz w:val="24"/>
              </w:rPr>
              <w:t>、1处卫生院（住院部夜间有住宿）</w:t>
            </w:r>
            <w:r>
              <w:rPr>
                <w:color w:val="auto"/>
                <w:sz w:val="24"/>
              </w:rPr>
              <w:t>和</w:t>
            </w:r>
            <w:r>
              <w:rPr>
                <w:rFonts w:hint="eastAsia"/>
                <w:color w:val="auto"/>
                <w:sz w:val="24"/>
              </w:rPr>
              <w:t>22</w:t>
            </w:r>
            <w:r>
              <w:rPr>
                <w:color w:val="auto"/>
                <w:sz w:val="24"/>
              </w:rPr>
              <w:t>处村庄</w:t>
            </w:r>
            <w:r>
              <w:rPr>
                <w:rFonts w:hint="eastAsia"/>
                <w:color w:val="auto"/>
                <w:sz w:val="24"/>
              </w:rPr>
              <w:t>居民点</w:t>
            </w:r>
            <w:r>
              <w:rPr>
                <w:color w:val="auto"/>
                <w:sz w:val="24"/>
              </w:rPr>
              <w:t>，</w:t>
            </w:r>
            <w:r>
              <w:rPr>
                <w:color w:val="auto"/>
                <w:kern w:val="0"/>
                <w:sz w:val="24"/>
              </w:rPr>
              <w:t>具体见声环境专项评价。</w:t>
            </w:r>
          </w:p>
          <w:p w14:paraId="60AE9687">
            <w:pPr>
              <w:adjustRightInd w:val="0"/>
              <w:snapToGrid w:val="0"/>
              <w:spacing w:line="300" w:lineRule="auto"/>
              <w:rPr>
                <w:b/>
                <w:kern w:val="0"/>
                <w:sz w:val="24"/>
              </w:rPr>
            </w:pPr>
            <w:r>
              <w:rPr>
                <w:b/>
                <w:kern w:val="0"/>
                <w:sz w:val="24"/>
              </w:rPr>
              <w:t>3. 环境空气保护目标</w:t>
            </w:r>
          </w:p>
          <w:p w14:paraId="771D1052">
            <w:pPr>
              <w:adjustRightInd w:val="0"/>
              <w:snapToGrid w:val="0"/>
              <w:spacing w:afterLines="50" w:line="300" w:lineRule="auto"/>
              <w:ind w:firstLine="482"/>
              <w:rPr>
                <w:rFonts w:hint="eastAsia"/>
                <w:bCs/>
                <w:color w:val="auto"/>
                <w:kern w:val="0"/>
                <w:sz w:val="24"/>
              </w:rPr>
            </w:pPr>
            <w:r>
              <w:rPr>
                <w:rFonts w:hint="eastAsia"/>
                <w:bCs/>
                <w:color w:val="auto"/>
                <w:kern w:val="0"/>
                <w:sz w:val="24"/>
              </w:rPr>
              <w:t>拟建公路沿线设置的2处</w:t>
            </w:r>
            <w:r>
              <w:rPr>
                <w:bCs/>
                <w:color w:val="auto"/>
                <w:kern w:val="0"/>
                <w:sz w:val="24"/>
              </w:rPr>
              <w:t>施工生产生活区（包括混凝土拌</w:t>
            </w:r>
            <w:r>
              <w:rPr>
                <w:rFonts w:hint="eastAsia"/>
                <w:bCs/>
                <w:color w:val="auto"/>
                <w:kern w:val="0"/>
                <w:sz w:val="24"/>
              </w:rPr>
              <w:t>合</w:t>
            </w:r>
            <w:r>
              <w:rPr>
                <w:bCs/>
                <w:color w:val="auto"/>
                <w:kern w:val="0"/>
                <w:sz w:val="24"/>
              </w:rPr>
              <w:t>站、沥青拌合站、预制场）周边</w:t>
            </w:r>
            <w:r>
              <w:rPr>
                <w:rFonts w:hint="eastAsia"/>
                <w:bCs/>
                <w:color w:val="auto"/>
                <w:kern w:val="0"/>
                <w:sz w:val="24"/>
              </w:rPr>
              <w:t>500m范围内无自然保护区、风景名胜区、居住区、文化区和农村地区中人群较集中区域</w:t>
            </w:r>
            <w:r>
              <w:rPr>
                <w:bCs/>
                <w:color w:val="auto"/>
                <w:kern w:val="0"/>
                <w:sz w:val="24"/>
              </w:rPr>
              <w:t>，</w:t>
            </w:r>
            <w:r>
              <w:rPr>
                <w:rFonts w:hint="eastAsia"/>
                <w:bCs/>
                <w:color w:val="auto"/>
                <w:kern w:val="0"/>
                <w:sz w:val="24"/>
              </w:rPr>
              <w:t>沿线不设隧道及服务区，收费站设置电锅炉，无集中式排放源。因此，拟建公路沿线无环境空气保护目标</w:t>
            </w:r>
            <w:r>
              <w:rPr>
                <w:rFonts w:hint="eastAsia"/>
                <w:bCs/>
                <w:color w:val="auto"/>
                <w:kern w:val="0"/>
                <w:sz w:val="24"/>
                <w:lang w:eastAsia="zh-CN"/>
              </w:rPr>
              <w:t>，</w:t>
            </w:r>
            <w:r>
              <w:rPr>
                <w:rFonts w:hint="eastAsia"/>
                <w:bCs/>
                <w:color w:val="auto"/>
                <w:kern w:val="0"/>
                <w:sz w:val="24"/>
                <w:lang w:val="en-US" w:eastAsia="zh-CN"/>
              </w:rPr>
              <w:t>见表3-14</w:t>
            </w:r>
            <w:r>
              <w:rPr>
                <w:rFonts w:hint="eastAsia"/>
                <w:bCs/>
                <w:color w:val="auto"/>
                <w:kern w:val="0"/>
                <w:sz w:val="24"/>
              </w:rPr>
              <w:t>。</w:t>
            </w:r>
          </w:p>
          <w:p w14:paraId="1B31A46B">
            <w:pPr>
              <w:pStyle w:val="50"/>
              <w:spacing w:beforeLines="50" w:line="240" w:lineRule="auto"/>
              <w:rPr>
                <w:rFonts w:ascii="Times New Roman" w:hAnsi="宋体" w:eastAsia="宋体"/>
                <w:b/>
                <w:color w:val="auto"/>
              </w:rPr>
            </w:pPr>
            <w:r>
              <w:rPr>
                <w:rFonts w:ascii="Times New Roman" w:hAnsi="宋体" w:eastAsia="宋体"/>
                <w:b/>
                <w:color w:val="auto"/>
              </w:rPr>
              <w:t>表</w:t>
            </w:r>
            <w:r>
              <w:rPr>
                <w:rFonts w:ascii="Times New Roman" w:eastAsia="宋体"/>
                <w:b/>
                <w:color w:val="auto"/>
              </w:rPr>
              <w:t>3-</w:t>
            </w:r>
            <w:r>
              <w:rPr>
                <w:rFonts w:hint="eastAsia" w:ascii="Times New Roman" w:eastAsia="宋体"/>
                <w:b/>
                <w:color w:val="auto"/>
              </w:rPr>
              <w:t>14</w:t>
            </w:r>
            <w:r>
              <w:rPr>
                <w:rFonts w:ascii="Times New Roman" w:eastAsia="宋体"/>
                <w:b/>
                <w:color w:val="auto"/>
              </w:rPr>
              <w:t xml:space="preserve">  </w:t>
            </w:r>
            <w:r>
              <w:rPr>
                <w:rFonts w:ascii="Times New Roman" w:hAnsi="宋体" w:eastAsia="宋体"/>
                <w:b/>
                <w:color w:val="auto"/>
              </w:rPr>
              <w:t>拟建公路</w:t>
            </w:r>
            <w:r>
              <w:rPr>
                <w:rFonts w:hint="eastAsia" w:ascii="Times New Roman" w:hAnsi="宋体" w:eastAsia="宋体"/>
                <w:b/>
                <w:color w:val="auto"/>
              </w:rPr>
              <w:t>施工</w:t>
            </w:r>
            <w:r>
              <w:rPr>
                <w:rFonts w:ascii="Times New Roman" w:hAnsi="宋体" w:eastAsia="宋体"/>
                <w:b/>
                <w:color w:val="auto"/>
              </w:rPr>
              <w:t>场站周边环境保护目标分布一览表</w:t>
            </w:r>
          </w:p>
          <w:tbl>
            <w:tblPr>
              <w:tblStyle w:val="22"/>
              <w:tblW w:w="8499"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672"/>
              <w:gridCol w:w="2191"/>
              <w:gridCol w:w="1560"/>
              <w:gridCol w:w="4076"/>
            </w:tblGrid>
            <w:tr w14:paraId="4A315AB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90" w:hRule="atLeast"/>
                <w:jc w:val="center"/>
              </w:trPr>
              <w:tc>
                <w:tcPr>
                  <w:tcW w:w="395" w:type="pct"/>
                  <w:vAlign w:val="center"/>
                </w:tcPr>
                <w:p w14:paraId="0502539C">
                  <w:pPr>
                    <w:jc w:val="center"/>
                    <w:rPr>
                      <w:rFonts w:eastAsiaTheme="minorEastAsia"/>
                      <w:b/>
                      <w:bCs/>
                      <w:color w:val="auto"/>
                    </w:rPr>
                  </w:pPr>
                  <w:r>
                    <w:rPr>
                      <w:rFonts w:eastAsiaTheme="minorEastAsia"/>
                      <w:b/>
                      <w:bCs/>
                      <w:color w:val="auto"/>
                    </w:rPr>
                    <w:t>序号</w:t>
                  </w:r>
                </w:p>
              </w:tc>
              <w:tc>
                <w:tcPr>
                  <w:tcW w:w="1288" w:type="pct"/>
                  <w:vAlign w:val="center"/>
                </w:tcPr>
                <w:p w14:paraId="7FAF1929">
                  <w:pPr>
                    <w:jc w:val="center"/>
                    <w:rPr>
                      <w:rFonts w:eastAsiaTheme="minorEastAsia"/>
                      <w:b/>
                      <w:bCs/>
                      <w:color w:val="auto"/>
                    </w:rPr>
                  </w:pPr>
                  <w:r>
                    <w:rPr>
                      <w:rFonts w:eastAsiaTheme="minorEastAsia"/>
                      <w:b/>
                      <w:bCs/>
                      <w:color w:val="auto"/>
                    </w:rPr>
                    <w:t>工程名称</w:t>
                  </w:r>
                </w:p>
              </w:tc>
              <w:tc>
                <w:tcPr>
                  <w:tcW w:w="917" w:type="pct"/>
                </w:tcPr>
                <w:p w14:paraId="068814E6">
                  <w:pPr>
                    <w:jc w:val="center"/>
                    <w:rPr>
                      <w:rFonts w:eastAsiaTheme="minorEastAsia"/>
                      <w:b/>
                      <w:bCs/>
                      <w:color w:val="auto"/>
                    </w:rPr>
                  </w:pPr>
                  <w:r>
                    <w:rPr>
                      <w:rFonts w:eastAsiaTheme="minorEastAsia"/>
                      <w:b/>
                      <w:bCs/>
                      <w:color w:val="auto"/>
                    </w:rPr>
                    <w:t>位置</w:t>
                  </w:r>
                </w:p>
              </w:tc>
              <w:tc>
                <w:tcPr>
                  <w:tcW w:w="2397" w:type="pct"/>
                  <w:tcMar>
                    <w:left w:w="28" w:type="dxa"/>
                    <w:right w:w="28" w:type="dxa"/>
                  </w:tcMar>
                  <w:vAlign w:val="center"/>
                </w:tcPr>
                <w:p w14:paraId="71EC1359">
                  <w:pPr>
                    <w:jc w:val="center"/>
                    <w:rPr>
                      <w:rFonts w:eastAsiaTheme="minorEastAsia"/>
                      <w:b/>
                      <w:bCs/>
                      <w:color w:val="auto"/>
                    </w:rPr>
                  </w:pPr>
                  <w:r>
                    <w:rPr>
                      <w:rFonts w:eastAsiaTheme="minorEastAsia"/>
                      <w:b/>
                      <w:bCs/>
                      <w:color w:val="auto"/>
                    </w:rPr>
                    <w:t>施工场站周边环境</w:t>
                  </w:r>
                  <w:r>
                    <w:rPr>
                      <w:rFonts w:hint="eastAsia" w:eastAsiaTheme="minorEastAsia"/>
                      <w:b/>
                      <w:bCs/>
                      <w:color w:val="auto"/>
                    </w:rPr>
                    <w:t>特征</w:t>
                  </w:r>
                </w:p>
              </w:tc>
            </w:tr>
            <w:tr w14:paraId="1E09E47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17" w:hRule="atLeast"/>
                <w:jc w:val="center"/>
              </w:trPr>
              <w:tc>
                <w:tcPr>
                  <w:tcW w:w="395" w:type="pct"/>
                  <w:vAlign w:val="center"/>
                </w:tcPr>
                <w:p w14:paraId="2D73C6DA">
                  <w:pPr>
                    <w:jc w:val="center"/>
                    <w:rPr>
                      <w:rFonts w:eastAsiaTheme="minorEastAsia"/>
                      <w:color w:val="auto"/>
                    </w:rPr>
                  </w:pPr>
                  <w:r>
                    <w:rPr>
                      <w:rFonts w:eastAsiaTheme="minorEastAsia"/>
                      <w:color w:val="auto"/>
                    </w:rPr>
                    <w:t>1</w:t>
                  </w:r>
                </w:p>
              </w:tc>
              <w:tc>
                <w:tcPr>
                  <w:tcW w:w="1288" w:type="pct"/>
                  <w:vAlign w:val="center"/>
                </w:tcPr>
                <w:p w14:paraId="4C03D7F3">
                  <w:pPr>
                    <w:autoSpaceDE w:val="0"/>
                    <w:autoSpaceDN w:val="0"/>
                    <w:adjustRightInd w:val="0"/>
                    <w:jc w:val="center"/>
                    <w:rPr>
                      <w:color w:val="auto"/>
                      <w:kern w:val="0"/>
                      <w:szCs w:val="21"/>
                    </w:rPr>
                  </w:pPr>
                  <w:r>
                    <w:rPr>
                      <w:rFonts w:hint="eastAsia"/>
                      <w:color w:val="auto"/>
                      <w:kern w:val="0"/>
                      <w:szCs w:val="21"/>
                    </w:rPr>
                    <w:t>预制场、沥青拌合站、混凝土拌合站、水稳拌合站、施工营地</w:t>
                  </w:r>
                </w:p>
              </w:tc>
              <w:tc>
                <w:tcPr>
                  <w:tcW w:w="917" w:type="pct"/>
                  <w:vAlign w:val="center"/>
                </w:tcPr>
                <w:p w14:paraId="05EC0293">
                  <w:pPr>
                    <w:jc w:val="center"/>
                    <w:rPr>
                      <w:color w:val="auto"/>
                      <w:szCs w:val="21"/>
                    </w:rPr>
                  </w:pPr>
                  <w:r>
                    <w:rPr>
                      <w:color w:val="auto"/>
                      <w:szCs w:val="21"/>
                    </w:rPr>
                    <w:t>K</w:t>
                  </w:r>
                  <w:r>
                    <w:rPr>
                      <w:rFonts w:hint="eastAsia"/>
                      <w:color w:val="auto"/>
                      <w:szCs w:val="21"/>
                    </w:rPr>
                    <w:t>0</w:t>
                  </w:r>
                  <w:r>
                    <w:rPr>
                      <w:color w:val="auto"/>
                      <w:szCs w:val="21"/>
                    </w:rPr>
                    <w:t>+</w:t>
                  </w:r>
                  <w:r>
                    <w:rPr>
                      <w:rFonts w:hint="eastAsia"/>
                      <w:color w:val="auto"/>
                      <w:szCs w:val="21"/>
                    </w:rPr>
                    <w:t>4</w:t>
                  </w:r>
                  <w:r>
                    <w:rPr>
                      <w:color w:val="auto"/>
                      <w:szCs w:val="21"/>
                    </w:rPr>
                    <w:t>00左</w:t>
                  </w:r>
                  <w:r>
                    <w:rPr>
                      <w:rFonts w:hint="eastAsia"/>
                      <w:color w:val="auto"/>
                      <w:szCs w:val="21"/>
                    </w:rPr>
                    <w:t>30m</w:t>
                  </w:r>
                </w:p>
              </w:tc>
              <w:tc>
                <w:tcPr>
                  <w:tcW w:w="2397" w:type="pct"/>
                  <w:tcMar>
                    <w:left w:w="28" w:type="dxa"/>
                    <w:right w:w="28" w:type="dxa"/>
                  </w:tcMar>
                  <w:vAlign w:val="center"/>
                </w:tcPr>
                <w:p w14:paraId="1DD5E7E1">
                  <w:pPr>
                    <w:jc w:val="center"/>
                    <w:rPr>
                      <w:rFonts w:eastAsiaTheme="minorEastAsia"/>
                      <w:color w:val="auto"/>
                    </w:rPr>
                  </w:pPr>
                  <w:r>
                    <w:rPr>
                      <w:color w:val="auto"/>
                      <w:szCs w:val="21"/>
                    </w:rPr>
                    <w:t>该施工场地周围</w:t>
                  </w:r>
                  <w:r>
                    <w:rPr>
                      <w:rFonts w:hint="eastAsia"/>
                      <w:color w:val="auto"/>
                      <w:szCs w:val="21"/>
                    </w:rPr>
                    <w:t>5</w:t>
                  </w:r>
                  <w:r>
                    <w:rPr>
                      <w:color w:val="auto"/>
                      <w:szCs w:val="21"/>
                    </w:rPr>
                    <w:t>00m调查范围内无</w:t>
                  </w:r>
                  <w:r>
                    <w:rPr>
                      <w:rFonts w:hint="eastAsia"/>
                      <w:color w:val="auto"/>
                      <w:szCs w:val="21"/>
                    </w:rPr>
                    <w:t>居民点</w:t>
                  </w:r>
                  <w:r>
                    <w:rPr>
                      <w:color w:val="auto"/>
                      <w:szCs w:val="21"/>
                    </w:rPr>
                    <w:t>等环境保护目标分布。</w:t>
                  </w:r>
                </w:p>
              </w:tc>
            </w:tr>
            <w:tr w14:paraId="0D4CF18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283" w:hRule="atLeast"/>
                <w:jc w:val="center"/>
              </w:trPr>
              <w:tc>
                <w:tcPr>
                  <w:tcW w:w="395" w:type="pct"/>
                  <w:vAlign w:val="center"/>
                </w:tcPr>
                <w:p w14:paraId="52A8D4A0">
                  <w:pPr>
                    <w:jc w:val="center"/>
                    <w:rPr>
                      <w:rFonts w:eastAsiaTheme="minorEastAsia"/>
                      <w:color w:val="auto"/>
                    </w:rPr>
                  </w:pPr>
                  <w:r>
                    <w:rPr>
                      <w:rFonts w:eastAsiaTheme="minorEastAsia"/>
                      <w:color w:val="auto"/>
                    </w:rPr>
                    <w:t>2</w:t>
                  </w:r>
                </w:p>
              </w:tc>
              <w:tc>
                <w:tcPr>
                  <w:tcW w:w="1288" w:type="pct"/>
                  <w:vAlign w:val="center"/>
                </w:tcPr>
                <w:p w14:paraId="1A4BE8D1">
                  <w:pPr>
                    <w:jc w:val="center"/>
                    <w:rPr>
                      <w:color w:val="auto"/>
                      <w:szCs w:val="21"/>
                    </w:rPr>
                  </w:pPr>
                  <w:r>
                    <w:rPr>
                      <w:rFonts w:hint="eastAsia"/>
                      <w:color w:val="auto"/>
                      <w:szCs w:val="21"/>
                    </w:rPr>
                    <w:t>预制场、沥青拌合站、混凝土拌合站、水稳拌合站、施工营地</w:t>
                  </w:r>
                </w:p>
              </w:tc>
              <w:tc>
                <w:tcPr>
                  <w:tcW w:w="917" w:type="pct"/>
                  <w:vAlign w:val="center"/>
                </w:tcPr>
                <w:p w14:paraId="1683DC7B">
                  <w:pPr>
                    <w:jc w:val="center"/>
                    <w:rPr>
                      <w:color w:val="auto"/>
                      <w:szCs w:val="21"/>
                    </w:rPr>
                  </w:pPr>
                  <w:r>
                    <w:rPr>
                      <w:color w:val="auto"/>
                      <w:kern w:val="0"/>
                      <w:szCs w:val="21"/>
                    </w:rPr>
                    <w:t>K</w:t>
                  </w:r>
                  <w:r>
                    <w:rPr>
                      <w:rFonts w:hint="eastAsia"/>
                      <w:color w:val="auto"/>
                      <w:kern w:val="0"/>
                      <w:szCs w:val="21"/>
                    </w:rPr>
                    <w:t>33</w:t>
                  </w:r>
                  <w:r>
                    <w:rPr>
                      <w:color w:val="auto"/>
                      <w:kern w:val="0"/>
                      <w:szCs w:val="21"/>
                    </w:rPr>
                    <w:t>+</w:t>
                  </w:r>
                  <w:r>
                    <w:rPr>
                      <w:rFonts w:hint="eastAsia"/>
                      <w:color w:val="auto"/>
                      <w:kern w:val="0"/>
                      <w:szCs w:val="21"/>
                    </w:rPr>
                    <w:t>4</w:t>
                  </w:r>
                  <w:r>
                    <w:rPr>
                      <w:color w:val="auto"/>
                      <w:kern w:val="0"/>
                      <w:szCs w:val="21"/>
                    </w:rPr>
                    <w:t>00</w:t>
                  </w:r>
                  <w:r>
                    <w:rPr>
                      <w:rFonts w:hint="eastAsia"/>
                      <w:color w:val="auto"/>
                      <w:kern w:val="0"/>
                      <w:szCs w:val="21"/>
                    </w:rPr>
                    <w:t>右50m</w:t>
                  </w:r>
                </w:p>
              </w:tc>
              <w:tc>
                <w:tcPr>
                  <w:tcW w:w="2397" w:type="pct"/>
                  <w:tcMar>
                    <w:left w:w="28" w:type="dxa"/>
                    <w:right w:w="28" w:type="dxa"/>
                  </w:tcMar>
                  <w:vAlign w:val="center"/>
                </w:tcPr>
                <w:p w14:paraId="690E47E5">
                  <w:pPr>
                    <w:jc w:val="center"/>
                    <w:rPr>
                      <w:rFonts w:eastAsiaTheme="minorEastAsia"/>
                      <w:color w:val="auto"/>
                    </w:rPr>
                  </w:pPr>
                  <w:r>
                    <w:rPr>
                      <w:color w:val="auto"/>
                      <w:szCs w:val="21"/>
                    </w:rPr>
                    <w:t>该施工场地周围</w:t>
                  </w:r>
                  <w:r>
                    <w:rPr>
                      <w:rFonts w:hint="eastAsia"/>
                      <w:color w:val="auto"/>
                      <w:szCs w:val="21"/>
                    </w:rPr>
                    <w:t>5</w:t>
                  </w:r>
                  <w:r>
                    <w:rPr>
                      <w:color w:val="auto"/>
                      <w:szCs w:val="21"/>
                    </w:rPr>
                    <w:t>00m调查范围内分布有伽师县工业园区，无</w:t>
                  </w:r>
                  <w:r>
                    <w:rPr>
                      <w:rFonts w:hint="eastAsia"/>
                      <w:color w:val="auto"/>
                      <w:szCs w:val="21"/>
                    </w:rPr>
                    <w:t>居民点</w:t>
                  </w:r>
                  <w:r>
                    <w:rPr>
                      <w:color w:val="auto"/>
                      <w:szCs w:val="21"/>
                    </w:rPr>
                    <w:t>等环境保护目标分布。</w:t>
                  </w:r>
                </w:p>
              </w:tc>
            </w:tr>
          </w:tbl>
          <w:p w14:paraId="19EDD7E5">
            <w:pPr>
              <w:keepNext w:val="0"/>
              <w:keepLines w:val="0"/>
              <w:pageBreakBefore w:val="0"/>
              <w:widowControl w:val="0"/>
              <w:kinsoku/>
              <w:wordWrap/>
              <w:overflowPunct/>
              <w:topLinePunct w:val="0"/>
              <w:autoSpaceDE/>
              <w:autoSpaceDN/>
              <w:bidi w:val="0"/>
              <w:adjustRightInd w:val="0"/>
              <w:snapToGrid/>
              <w:spacing w:before="313" w:beforeLines="100" w:line="300" w:lineRule="auto"/>
              <w:textAlignment w:val="auto"/>
              <w:rPr>
                <w:b/>
                <w:kern w:val="0"/>
                <w:sz w:val="24"/>
              </w:rPr>
            </w:pPr>
            <w:r>
              <w:rPr>
                <w:b/>
                <w:kern w:val="0"/>
                <w:sz w:val="24"/>
              </w:rPr>
              <w:t>4. 地表水环境保护目标</w:t>
            </w:r>
          </w:p>
          <w:p w14:paraId="548019AC">
            <w:pPr>
              <w:autoSpaceDE w:val="0"/>
              <w:autoSpaceDN w:val="0"/>
              <w:adjustRightInd w:val="0"/>
              <w:spacing w:after="120" w:afterLines="50" w:line="300" w:lineRule="auto"/>
              <w:ind w:firstLine="480" w:firstLineChars="200"/>
              <w:rPr>
                <w:kern w:val="0"/>
                <w:sz w:val="24"/>
              </w:rPr>
            </w:pPr>
            <w:r>
              <w:rPr>
                <w:rFonts w:hint="eastAsia" w:hAnsi="宋体"/>
                <w:sz w:val="24"/>
              </w:rPr>
              <w:t>拟建公路沿线河流主要为</w:t>
            </w:r>
            <w:r>
              <w:rPr>
                <w:rFonts w:hint="eastAsia" w:hAnsi="宋体"/>
                <w:sz w:val="24"/>
                <w:lang w:eastAsia="zh-CN"/>
              </w:rPr>
              <w:t>水体1</w:t>
            </w:r>
            <w:r>
              <w:rPr>
                <w:rFonts w:hint="eastAsia" w:hAnsi="宋体"/>
                <w:sz w:val="24"/>
              </w:rPr>
              <w:t>、</w:t>
            </w:r>
            <w:r>
              <w:rPr>
                <w:rFonts w:hint="eastAsia" w:hAnsi="宋体"/>
                <w:sz w:val="24"/>
                <w:lang w:eastAsia="zh-CN"/>
              </w:rPr>
              <w:t>水体2</w:t>
            </w:r>
            <w:r>
              <w:rPr>
                <w:rFonts w:hint="eastAsia" w:hAnsi="宋体"/>
                <w:sz w:val="24"/>
              </w:rPr>
              <w:t>，沿线不涉及地表水饮用水水源保护区及集中式取水口。拟建公路地表水环境保护目标见表</w:t>
            </w:r>
            <w:r>
              <w:rPr>
                <w:rFonts w:hint="eastAsia" w:hAnsi="宋体"/>
                <w:sz w:val="24"/>
                <w:lang w:val="en-US" w:eastAsia="zh-CN"/>
              </w:rPr>
              <w:t>3-15</w:t>
            </w:r>
            <w:r>
              <w:rPr>
                <w:rFonts w:hint="eastAsia"/>
                <w:kern w:val="0"/>
                <w:sz w:val="24"/>
              </w:rPr>
              <w:t>。</w:t>
            </w:r>
          </w:p>
          <w:p w14:paraId="5165BF23">
            <w:pPr>
              <w:pStyle w:val="50"/>
              <w:spacing w:before="120" w:beforeLines="50" w:line="240" w:lineRule="auto"/>
              <w:rPr>
                <w:rFonts w:hint="eastAsia" w:ascii="Times New Roman" w:hAnsi="宋体" w:eastAsia="宋体"/>
                <w:b/>
              </w:rPr>
            </w:pPr>
            <w:r>
              <w:rPr>
                <w:rFonts w:ascii="Times New Roman" w:hAnsi="宋体" w:eastAsia="宋体"/>
                <w:b/>
              </w:rPr>
              <w:t>表</w:t>
            </w:r>
            <w:r>
              <w:rPr>
                <w:rFonts w:ascii="Times New Roman" w:eastAsia="宋体"/>
                <w:b/>
              </w:rPr>
              <w:t>3-</w:t>
            </w:r>
            <w:r>
              <w:rPr>
                <w:rFonts w:hint="eastAsia" w:ascii="Times New Roman" w:eastAsia="宋体"/>
                <w:b/>
                <w:lang w:val="en-US" w:eastAsia="zh-CN"/>
              </w:rPr>
              <w:t>15</w:t>
            </w:r>
            <w:r>
              <w:rPr>
                <w:rFonts w:ascii="Times New Roman" w:eastAsia="宋体"/>
                <w:b/>
              </w:rPr>
              <w:t xml:space="preserve">  </w:t>
            </w:r>
            <w:r>
              <w:rPr>
                <w:rFonts w:ascii="Times New Roman" w:hAnsi="宋体" w:eastAsia="宋体"/>
                <w:b/>
              </w:rPr>
              <w:t>拟建公路主要地表水环境保护目标</w:t>
            </w:r>
          </w:p>
          <w:tbl>
            <w:tblPr>
              <w:tblStyle w:val="22"/>
              <w:tblW w:w="8449"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671"/>
              <w:gridCol w:w="1178"/>
              <w:gridCol w:w="1411"/>
              <w:gridCol w:w="2689"/>
              <w:gridCol w:w="2500"/>
            </w:tblGrid>
            <w:tr w14:paraId="14CF752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90" w:hRule="atLeast"/>
                <w:jc w:val="center"/>
              </w:trPr>
              <w:tc>
                <w:tcPr>
                  <w:tcW w:w="397" w:type="pct"/>
                  <w:vAlign w:val="center"/>
                </w:tcPr>
                <w:p w14:paraId="0314B16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eastAsiaTheme="minorEastAsia"/>
                      <w:b/>
                      <w:bCs/>
                    </w:rPr>
                  </w:pPr>
                  <w:r>
                    <w:rPr>
                      <w:rFonts w:eastAsiaTheme="minorEastAsia"/>
                      <w:b/>
                      <w:bCs/>
                    </w:rPr>
                    <w:t>序号</w:t>
                  </w:r>
                </w:p>
              </w:tc>
              <w:tc>
                <w:tcPr>
                  <w:tcW w:w="697" w:type="pct"/>
                  <w:vAlign w:val="center"/>
                </w:tcPr>
                <w:p w14:paraId="4BE7878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eastAsiaTheme="minorEastAsia"/>
                      <w:b/>
                      <w:bCs/>
                    </w:rPr>
                  </w:pPr>
                  <w:r>
                    <w:rPr>
                      <w:rFonts w:hint="eastAsia" w:eastAsiaTheme="minorEastAsia"/>
                      <w:b/>
                      <w:bCs/>
                      <w:lang w:val="en-US" w:eastAsia="zh-CN"/>
                    </w:rPr>
                    <w:t>保护</w:t>
                  </w:r>
                  <w:r>
                    <w:rPr>
                      <w:rFonts w:eastAsiaTheme="minorEastAsia"/>
                      <w:b/>
                      <w:bCs/>
                    </w:rPr>
                    <w:t>目标</w:t>
                  </w:r>
                </w:p>
              </w:tc>
              <w:tc>
                <w:tcPr>
                  <w:tcW w:w="835" w:type="pct"/>
                </w:tcPr>
                <w:p w14:paraId="0C47133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eastAsiaTheme="minorEastAsia"/>
                      <w:b/>
                      <w:bCs/>
                    </w:rPr>
                  </w:pPr>
                  <w:r>
                    <w:rPr>
                      <w:rFonts w:eastAsiaTheme="minorEastAsia"/>
                      <w:b/>
                      <w:bCs/>
                    </w:rPr>
                    <w:t>目标特征</w:t>
                  </w:r>
                </w:p>
              </w:tc>
              <w:tc>
                <w:tcPr>
                  <w:tcW w:w="1591" w:type="pct"/>
                  <w:tcMar>
                    <w:left w:w="28" w:type="dxa"/>
                    <w:right w:w="28" w:type="dxa"/>
                  </w:tcMar>
                  <w:vAlign w:val="center"/>
                </w:tcPr>
                <w:p w14:paraId="1DB93FA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eastAsiaTheme="minorEastAsia"/>
                      <w:b/>
                      <w:bCs/>
                    </w:rPr>
                  </w:pPr>
                  <w:r>
                    <w:rPr>
                      <w:rFonts w:eastAsiaTheme="minorEastAsia"/>
                      <w:b/>
                      <w:bCs/>
                    </w:rPr>
                    <w:t>相关关系</w:t>
                  </w:r>
                </w:p>
              </w:tc>
              <w:tc>
                <w:tcPr>
                  <w:tcW w:w="1479" w:type="pct"/>
                  <w:vAlign w:val="center"/>
                </w:tcPr>
                <w:p w14:paraId="66CB001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eastAsiaTheme="minorEastAsia"/>
                      <w:b/>
                      <w:bCs/>
                    </w:rPr>
                  </w:pPr>
                  <w:r>
                    <w:rPr>
                      <w:rFonts w:eastAsiaTheme="minorEastAsia"/>
                      <w:b/>
                      <w:bCs/>
                    </w:rPr>
                    <w:t>主要影响时段</w:t>
                  </w:r>
                </w:p>
              </w:tc>
            </w:tr>
            <w:tr w14:paraId="0D4AADB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180" w:hRule="atLeast"/>
                <w:jc w:val="center"/>
              </w:trPr>
              <w:tc>
                <w:tcPr>
                  <w:tcW w:w="397" w:type="pct"/>
                  <w:vAlign w:val="center"/>
                </w:tcPr>
                <w:p w14:paraId="75CF451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eastAsiaTheme="minorEastAsia"/>
                    </w:rPr>
                  </w:pPr>
                  <w:r>
                    <w:rPr>
                      <w:rFonts w:eastAsiaTheme="minorEastAsia"/>
                    </w:rPr>
                    <w:t>1</w:t>
                  </w:r>
                </w:p>
              </w:tc>
              <w:tc>
                <w:tcPr>
                  <w:tcW w:w="697" w:type="pct"/>
                  <w:vAlign w:val="center"/>
                </w:tcPr>
                <w:p w14:paraId="2B9A8C5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eastAsiaTheme="minorEastAsia"/>
                      <w:lang w:eastAsia="zh-CN"/>
                    </w:rPr>
                  </w:pPr>
                  <w:r>
                    <w:rPr>
                      <w:rFonts w:hint="eastAsia" w:eastAsiaTheme="minorEastAsia"/>
                      <w:lang w:eastAsia="zh-CN"/>
                    </w:rPr>
                    <w:t>水体2</w:t>
                  </w:r>
                </w:p>
              </w:tc>
              <w:tc>
                <w:tcPr>
                  <w:tcW w:w="835" w:type="pct"/>
                  <w:vAlign w:val="center"/>
                </w:tcPr>
                <w:p w14:paraId="6306277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eastAsiaTheme="minorEastAsia"/>
                    </w:rPr>
                  </w:pPr>
                  <w:r>
                    <w:t>水质目标</w:t>
                  </w:r>
                  <w:r>
                    <w:rPr>
                      <w:rFonts w:eastAsiaTheme="minorEastAsia"/>
                      <w:kern w:val="0"/>
                    </w:rPr>
                    <w:t>Ⅲ</w:t>
                  </w:r>
                  <w:r>
                    <w:t>类</w:t>
                  </w:r>
                </w:p>
              </w:tc>
              <w:tc>
                <w:tcPr>
                  <w:tcW w:w="1591" w:type="pct"/>
                  <w:tcMar>
                    <w:left w:w="28" w:type="dxa"/>
                    <w:right w:w="28" w:type="dxa"/>
                  </w:tcMar>
                  <w:vAlign w:val="center"/>
                </w:tcPr>
                <w:p w14:paraId="7E25D05B">
                  <w:pPr>
                    <w:keepNext w:val="0"/>
                    <w:keepLines w:val="0"/>
                    <w:pageBreakBefore w:val="0"/>
                    <w:widowControl w:val="0"/>
                    <w:kinsoku/>
                    <w:wordWrap/>
                    <w:overflowPunct/>
                    <w:topLinePunct w:val="0"/>
                    <w:autoSpaceDE/>
                    <w:autoSpaceDN/>
                    <w:bidi w:val="0"/>
                    <w:adjustRightInd/>
                    <w:snapToGrid/>
                    <w:spacing w:line="260" w:lineRule="exact"/>
                    <w:textAlignment w:val="auto"/>
                    <w:rPr>
                      <w:rFonts w:eastAsiaTheme="minorEastAsia"/>
                    </w:rPr>
                  </w:pPr>
                  <w:r>
                    <w:rPr>
                      <w:rFonts w:hint="eastAsia"/>
                    </w:rPr>
                    <w:t>K21+573.539</w:t>
                  </w:r>
                  <w:r>
                    <w:t>新栏杆一桥跨越，水中有桥墩1组</w:t>
                  </w:r>
                </w:p>
              </w:tc>
              <w:tc>
                <w:tcPr>
                  <w:tcW w:w="1479" w:type="pct"/>
                  <w:vAlign w:val="center"/>
                </w:tcPr>
                <w:p w14:paraId="0BB72D1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eastAsiaTheme="minorEastAsia"/>
                    </w:rPr>
                  </w:pPr>
                  <w:r>
                    <w:rPr>
                      <w:rFonts w:eastAsiaTheme="minorEastAsia"/>
                      <w:spacing w:val="-6"/>
                    </w:rPr>
                    <w:t>施工期：施工扰动对水质的影响，</w:t>
                  </w:r>
                  <w:r>
                    <w:rPr>
                      <w:rFonts w:eastAsiaTheme="minorEastAsia"/>
                      <w:bCs/>
                    </w:rPr>
                    <w:t>运营期：风险事故下危化品泄漏对水质的影响</w:t>
                  </w:r>
                </w:p>
              </w:tc>
            </w:tr>
            <w:tr w14:paraId="01E53F4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90" w:hRule="atLeast"/>
                <w:jc w:val="center"/>
              </w:trPr>
              <w:tc>
                <w:tcPr>
                  <w:tcW w:w="397" w:type="pct"/>
                  <w:vAlign w:val="center"/>
                </w:tcPr>
                <w:p w14:paraId="04F6385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eastAsiaTheme="minorEastAsia"/>
                    </w:rPr>
                  </w:pPr>
                  <w:r>
                    <w:rPr>
                      <w:rFonts w:eastAsiaTheme="minorEastAsia"/>
                    </w:rPr>
                    <w:t>2</w:t>
                  </w:r>
                </w:p>
              </w:tc>
              <w:tc>
                <w:tcPr>
                  <w:tcW w:w="697" w:type="pct"/>
                  <w:vAlign w:val="center"/>
                </w:tcPr>
                <w:p w14:paraId="74DB4D2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eastAsiaTheme="minorEastAsia"/>
                      <w:lang w:eastAsia="zh-CN"/>
                    </w:rPr>
                  </w:pPr>
                  <w:r>
                    <w:rPr>
                      <w:rFonts w:hint="eastAsia" w:eastAsiaTheme="minorEastAsia"/>
                      <w:lang w:eastAsia="zh-CN"/>
                    </w:rPr>
                    <w:t>水体1</w:t>
                  </w:r>
                </w:p>
              </w:tc>
              <w:tc>
                <w:tcPr>
                  <w:tcW w:w="835" w:type="pct"/>
                  <w:vAlign w:val="center"/>
                </w:tcPr>
                <w:p w14:paraId="1C2C715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eastAsiaTheme="minorEastAsia"/>
                    </w:rPr>
                  </w:pPr>
                  <w:r>
                    <w:rPr>
                      <w:rFonts w:eastAsiaTheme="minorEastAsia"/>
                      <w:kern w:val="0"/>
                    </w:rPr>
                    <w:t>水质目标Ⅲ类</w:t>
                  </w:r>
                </w:p>
              </w:tc>
              <w:tc>
                <w:tcPr>
                  <w:tcW w:w="1591" w:type="pct"/>
                  <w:tcMar>
                    <w:left w:w="28" w:type="dxa"/>
                    <w:right w:w="28" w:type="dxa"/>
                  </w:tcMar>
                  <w:vAlign w:val="center"/>
                </w:tcPr>
                <w:p w14:paraId="70050738">
                  <w:pPr>
                    <w:keepNext w:val="0"/>
                    <w:keepLines w:val="0"/>
                    <w:pageBreakBefore w:val="0"/>
                    <w:widowControl w:val="0"/>
                    <w:kinsoku/>
                    <w:wordWrap/>
                    <w:overflowPunct/>
                    <w:topLinePunct w:val="0"/>
                    <w:autoSpaceDE/>
                    <w:autoSpaceDN/>
                    <w:bidi w:val="0"/>
                    <w:adjustRightInd/>
                    <w:snapToGrid/>
                    <w:spacing w:line="260" w:lineRule="exact"/>
                    <w:textAlignment w:val="auto"/>
                    <w:rPr>
                      <w:rFonts w:eastAsiaTheme="minorEastAsia"/>
                    </w:rPr>
                  </w:pPr>
                  <w:r>
                    <w:rPr>
                      <w:rFonts w:hint="eastAsia" w:eastAsiaTheme="minorEastAsia"/>
                    </w:rPr>
                    <w:t>K25+300.582</w:t>
                  </w:r>
                  <w:r>
                    <w:rPr>
                      <w:rFonts w:eastAsiaTheme="minorEastAsia"/>
                    </w:rPr>
                    <w:t>克孜勒苏大桥跨越，水中有桥墩</w:t>
                  </w:r>
                  <w:r>
                    <w:rPr>
                      <w:rFonts w:hint="eastAsia" w:eastAsiaTheme="minorEastAsia"/>
                      <w:lang w:val="en-US" w:eastAsia="zh-CN"/>
                    </w:rPr>
                    <w:t>6</w:t>
                  </w:r>
                  <w:r>
                    <w:rPr>
                      <w:rFonts w:eastAsiaTheme="minorEastAsia"/>
                    </w:rPr>
                    <w:t>组</w:t>
                  </w:r>
                </w:p>
              </w:tc>
              <w:tc>
                <w:tcPr>
                  <w:tcW w:w="1479" w:type="pct"/>
                  <w:vAlign w:val="center"/>
                </w:tcPr>
                <w:p w14:paraId="0BF2EFC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eastAsiaTheme="minorEastAsia"/>
                    </w:rPr>
                  </w:pPr>
                  <w:r>
                    <w:rPr>
                      <w:rFonts w:eastAsiaTheme="minorEastAsia"/>
                      <w:spacing w:val="-6"/>
                    </w:rPr>
                    <w:t>施工期：施工扰动对水质的影响，</w:t>
                  </w:r>
                  <w:r>
                    <w:rPr>
                      <w:rFonts w:eastAsiaTheme="minorEastAsia"/>
                      <w:bCs/>
                    </w:rPr>
                    <w:t>运营期：风险事故下危化品泄漏对水质的影响</w:t>
                  </w:r>
                </w:p>
              </w:tc>
            </w:tr>
          </w:tbl>
          <w:p w14:paraId="32DAA9F0">
            <w:pPr>
              <w:pStyle w:val="50"/>
              <w:keepNext w:val="0"/>
              <w:keepLines w:val="0"/>
              <w:pageBreakBefore w:val="0"/>
              <w:widowControl w:val="0"/>
              <w:kinsoku/>
              <w:wordWrap/>
              <w:overflowPunct/>
              <w:topLinePunct w:val="0"/>
              <w:autoSpaceDE/>
              <w:autoSpaceDN/>
              <w:bidi w:val="0"/>
              <w:adjustRightInd w:val="0"/>
              <w:snapToGrid/>
              <w:spacing w:before="313" w:beforeLines="100" w:line="300" w:lineRule="auto"/>
              <w:jc w:val="both"/>
              <w:textAlignment w:val="baseline"/>
              <w:rPr>
                <w:rFonts w:hint="eastAsia" w:ascii="Times New Roman" w:hAnsi="宋体" w:eastAsia="宋体"/>
                <w:b/>
                <w:sz w:val="24"/>
                <w:szCs w:val="24"/>
              </w:rPr>
            </w:pPr>
            <w:r>
              <w:rPr>
                <w:rFonts w:hint="eastAsia" w:ascii="Times New Roman" w:hAnsi="宋体" w:eastAsia="宋体"/>
                <w:b/>
                <w:sz w:val="24"/>
                <w:szCs w:val="24"/>
              </w:rPr>
              <w:t>5. 地下水环境保护目标</w:t>
            </w:r>
          </w:p>
          <w:p w14:paraId="3BC1211C">
            <w:pPr>
              <w:keepNext w:val="0"/>
              <w:keepLines w:val="0"/>
              <w:pageBreakBefore w:val="0"/>
              <w:widowControl w:val="0"/>
              <w:kinsoku/>
              <w:wordWrap/>
              <w:overflowPunct/>
              <w:topLinePunct w:val="0"/>
              <w:autoSpaceDE/>
              <w:autoSpaceDN/>
              <w:bidi w:val="0"/>
              <w:adjustRightInd w:val="0"/>
              <w:snapToGrid/>
              <w:spacing w:after="157" w:afterLines="50" w:line="300" w:lineRule="auto"/>
              <w:ind w:firstLine="448"/>
              <w:textAlignment w:val="auto"/>
              <w:rPr>
                <w:rFonts w:hint="eastAsia"/>
                <w:sz w:val="24"/>
                <w:highlight w:val="none"/>
              </w:rPr>
            </w:pPr>
            <w:r>
              <w:rPr>
                <w:rFonts w:hint="eastAsia"/>
                <w:sz w:val="24"/>
              </w:rPr>
              <w:t>拟建公路沿线</w:t>
            </w:r>
            <w:r>
              <w:rPr>
                <w:rFonts w:hint="eastAsia"/>
                <w:sz w:val="24"/>
                <w:lang w:eastAsia="zh-CN"/>
              </w:rPr>
              <w:t>临近</w:t>
            </w:r>
            <w:r>
              <w:rPr>
                <w:rFonts w:hint="eastAsia"/>
                <w:sz w:val="24"/>
              </w:rPr>
              <w:t>伽师县城饮用水水源保护区，该水源地为伽师县城备用水源，共有4口水源井，每口井均划定了一级水源保护区（不设二级水源保护区）。具体见表</w:t>
            </w:r>
            <w:r>
              <w:rPr>
                <w:rFonts w:hint="eastAsia"/>
                <w:sz w:val="24"/>
                <w:lang w:val="en-US" w:eastAsia="zh-CN"/>
              </w:rPr>
              <w:t>3-16</w:t>
            </w:r>
            <w:r>
              <w:rPr>
                <w:rFonts w:hint="eastAsia"/>
                <w:sz w:val="24"/>
              </w:rPr>
              <w:t>、</w:t>
            </w:r>
            <w:r>
              <w:rPr>
                <w:rFonts w:hint="eastAsia"/>
                <w:sz w:val="24"/>
                <w:highlight w:val="none"/>
              </w:rPr>
              <w:t>附图</w:t>
            </w:r>
            <w:r>
              <w:rPr>
                <w:rFonts w:hint="eastAsia"/>
                <w:sz w:val="24"/>
                <w:highlight w:val="none"/>
                <w:lang w:val="en-US" w:eastAsia="zh-CN"/>
              </w:rPr>
              <w:t>9</w:t>
            </w:r>
            <w:r>
              <w:rPr>
                <w:rFonts w:hint="eastAsia"/>
                <w:sz w:val="24"/>
                <w:highlight w:val="none"/>
              </w:rPr>
              <w:t>。</w:t>
            </w:r>
          </w:p>
          <w:p w14:paraId="7B20026A">
            <w:pPr>
              <w:keepNext w:val="0"/>
              <w:keepLines w:val="0"/>
              <w:pageBreakBefore w:val="0"/>
              <w:widowControl w:val="0"/>
              <w:kinsoku/>
              <w:wordWrap/>
              <w:overflowPunct/>
              <w:topLinePunct w:val="0"/>
              <w:autoSpaceDE/>
              <w:autoSpaceDN/>
              <w:bidi w:val="0"/>
              <w:adjustRightInd/>
              <w:snapToGrid/>
              <w:spacing w:before="157" w:beforeLines="50"/>
              <w:jc w:val="center"/>
              <w:textAlignment w:val="auto"/>
              <w:rPr>
                <w:b/>
                <w:bCs/>
              </w:rPr>
            </w:pPr>
            <w:r>
              <w:rPr>
                <w:b/>
                <w:bCs/>
              </w:rPr>
              <w:t>表</w:t>
            </w:r>
            <w:r>
              <w:rPr>
                <w:rFonts w:hint="eastAsia"/>
                <w:b/>
                <w:bCs/>
                <w:lang w:val="en-US" w:eastAsia="zh-CN"/>
              </w:rPr>
              <w:t>3-16</w:t>
            </w:r>
            <w:r>
              <w:rPr>
                <w:b/>
                <w:bCs/>
              </w:rPr>
              <w:t xml:space="preserve"> </w:t>
            </w:r>
            <w:r>
              <w:rPr>
                <w:rFonts w:hint="eastAsia"/>
                <w:b/>
                <w:bCs/>
              </w:rPr>
              <w:t xml:space="preserve"> 拟建公路沿线地下</w:t>
            </w:r>
            <w:r>
              <w:rPr>
                <w:b/>
                <w:bCs/>
              </w:rPr>
              <w:t>水环境保护目标</w:t>
            </w:r>
          </w:p>
          <w:tbl>
            <w:tblPr>
              <w:tblStyle w:val="22"/>
              <w:tblW w:w="84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6"/>
              <w:gridCol w:w="4548"/>
              <w:gridCol w:w="2851"/>
            </w:tblGrid>
            <w:tr w14:paraId="671E2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5" w:type="pct"/>
                  <w:vAlign w:val="center"/>
                </w:tcPr>
                <w:p w14:paraId="16099525">
                  <w:pPr>
                    <w:keepNext w:val="0"/>
                    <w:keepLines w:val="0"/>
                    <w:pageBreakBefore w:val="0"/>
                    <w:widowControl/>
                    <w:kinsoku/>
                    <w:wordWrap/>
                    <w:overflowPunct/>
                    <w:topLinePunct w:val="0"/>
                    <w:autoSpaceDE/>
                    <w:autoSpaceDN/>
                    <w:bidi w:val="0"/>
                    <w:snapToGrid/>
                    <w:spacing w:line="240" w:lineRule="exact"/>
                    <w:jc w:val="center"/>
                    <w:textAlignment w:val="auto"/>
                    <w:rPr>
                      <w:rFonts w:hint="default" w:ascii="Times New Roman" w:hAnsi="Times New Roman" w:cs="Times New Roman"/>
                      <w:b/>
                      <w:bCs/>
                      <w:kern w:val="0"/>
                      <w:sz w:val="21"/>
                      <w:szCs w:val="21"/>
                    </w:rPr>
                  </w:pPr>
                  <w:r>
                    <w:rPr>
                      <w:rFonts w:hint="default" w:ascii="Times New Roman" w:hAnsi="Times New Roman" w:cs="Times New Roman"/>
                      <w:b/>
                      <w:bCs/>
                      <w:kern w:val="0"/>
                      <w:sz w:val="21"/>
                      <w:szCs w:val="21"/>
                    </w:rPr>
                    <w:t>保护目标</w:t>
                  </w:r>
                </w:p>
              </w:tc>
              <w:tc>
                <w:tcPr>
                  <w:tcW w:w="2676" w:type="pct"/>
                  <w:vAlign w:val="center"/>
                </w:tcPr>
                <w:p w14:paraId="341AEE8F">
                  <w:pPr>
                    <w:keepNext w:val="0"/>
                    <w:keepLines w:val="0"/>
                    <w:pageBreakBefore w:val="0"/>
                    <w:widowControl/>
                    <w:kinsoku/>
                    <w:wordWrap/>
                    <w:overflowPunct/>
                    <w:topLinePunct w:val="0"/>
                    <w:autoSpaceDE/>
                    <w:autoSpaceDN/>
                    <w:bidi w:val="0"/>
                    <w:snapToGrid/>
                    <w:spacing w:line="240" w:lineRule="exact"/>
                    <w:jc w:val="center"/>
                    <w:textAlignment w:val="auto"/>
                    <w:rPr>
                      <w:rFonts w:hint="default" w:ascii="Times New Roman" w:hAnsi="Times New Roman" w:cs="Times New Roman"/>
                      <w:b/>
                      <w:sz w:val="21"/>
                      <w:szCs w:val="21"/>
                    </w:rPr>
                  </w:pPr>
                  <w:r>
                    <w:rPr>
                      <w:rFonts w:hint="default" w:ascii="Times New Roman" w:hAnsi="Times New Roman" w:cs="Times New Roman"/>
                      <w:b/>
                      <w:sz w:val="21"/>
                      <w:szCs w:val="21"/>
                    </w:rPr>
                    <w:t>位置关系</w:t>
                  </w:r>
                </w:p>
              </w:tc>
              <w:tc>
                <w:tcPr>
                  <w:tcW w:w="1678" w:type="pct"/>
                  <w:vAlign w:val="center"/>
                </w:tcPr>
                <w:p w14:paraId="083EAA76">
                  <w:pPr>
                    <w:pStyle w:val="50"/>
                    <w:keepNext w:val="0"/>
                    <w:keepLines w:val="0"/>
                    <w:pageBreakBefore w:val="0"/>
                    <w:kinsoku/>
                    <w:wordWrap/>
                    <w:overflowPunct/>
                    <w:topLinePunct w:val="0"/>
                    <w:autoSpaceDE/>
                    <w:autoSpaceDN/>
                    <w:bidi w:val="0"/>
                    <w:snapToGrid/>
                    <w:spacing w:line="240" w:lineRule="exact"/>
                    <w:textAlignment w:val="auto"/>
                    <w:rPr>
                      <w:rFonts w:hint="default" w:ascii="Times New Roman" w:hAnsi="Times New Roman" w:eastAsia="宋体" w:cs="Times New Roman"/>
                      <w:b/>
                      <w:spacing w:val="0"/>
                      <w:kern w:val="2"/>
                      <w:sz w:val="21"/>
                      <w:szCs w:val="21"/>
                    </w:rPr>
                  </w:pPr>
                  <w:r>
                    <w:rPr>
                      <w:rFonts w:hint="default" w:ascii="Times New Roman" w:hAnsi="Times New Roman" w:eastAsia="宋体" w:cs="Times New Roman"/>
                      <w:b/>
                      <w:spacing w:val="0"/>
                      <w:kern w:val="2"/>
                      <w:sz w:val="21"/>
                      <w:szCs w:val="21"/>
                    </w:rPr>
                    <w:t>保护区概况</w:t>
                  </w:r>
                </w:p>
              </w:tc>
            </w:tr>
            <w:tr w14:paraId="7B300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645" w:type="pct"/>
                  <w:vMerge w:val="restart"/>
                  <w:vAlign w:val="center"/>
                </w:tcPr>
                <w:p w14:paraId="09F4FAB0">
                  <w:pPr>
                    <w:keepNext w:val="0"/>
                    <w:keepLines w:val="0"/>
                    <w:pageBreakBefore w:val="0"/>
                    <w:widowControl/>
                    <w:kinsoku/>
                    <w:wordWrap/>
                    <w:overflowPunct/>
                    <w:topLinePunct w:val="0"/>
                    <w:autoSpaceDE/>
                    <w:autoSpaceDN/>
                    <w:bidi w:val="0"/>
                    <w:snapToGrid/>
                    <w:spacing w:line="240" w:lineRule="exact"/>
                    <w:jc w:val="center"/>
                    <w:textAlignment w:val="auto"/>
                    <w:rPr>
                      <w:rFonts w:hint="default" w:ascii="Times New Roman" w:hAnsi="Times New Roman" w:cs="Times New Roman"/>
                      <w:kern w:val="0"/>
                      <w:sz w:val="21"/>
                      <w:szCs w:val="21"/>
                    </w:rPr>
                  </w:pPr>
                  <w:r>
                    <w:rPr>
                      <w:rFonts w:hint="default" w:ascii="Times New Roman" w:hAnsi="Times New Roman" w:cs="Times New Roman"/>
                      <w:sz w:val="21"/>
                      <w:szCs w:val="21"/>
                    </w:rPr>
                    <w:t>伽师县城饮用水水源保护区</w:t>
                  </w:r>
                </w:p>
              </w:tc>
              <w:tc>
                <w:tcPr>
                  <w:tcW w:w="2676" w:type="pct"/>
                  <w:vAlign w:val="center"/>
                </w:tcPr>
                <w:p w14:paraId="7A107968">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default" w:ascii="Times New Roman" w:hAnsi="Times New Roman" w:cs="Times New Roman"/>
                      <w:sz w:val="21"/>
                      <w:szCs w:val="21"/>
                    </w:rPr>
                  </w:pPr>
                  <w:r>
                    <w:rPr>
                      <w:rFonts w:hint="default" w:ascii="Times New Roman" w:hAnsi="Times New Roman" w:cs="Times New Roman"/>
                      <w:sz w:val="21"/>
                      <w:szCs w:val="21"/>
                    </w:rPr>
                    <w:t>K27+120-K27+260路段</w:t>
                  </w:r>
                  <w:r>
                    <w:rPr>
                      <w:rFonts w:hint="eastAsia" w:cs="Times New Roman"/>
                      <w:sz w:val="21"/>
                      <w:szCs w:val="21"/>
                      <w:lang w:val="en-US" w:eastAsia="zh-CN"/>
                    </w:rPr>
                    <w:t>位于一级水源保护区东</w:t>
                  </w:r>
                  <w:r>
                    <w:rPr>
                      <w:rFonts w:hint="default" w:ascii="Times New Roman" w:hAnsi="Times New Roman" w:cs="Times New Roman"/>
                      <w:sz w:val="21"/>
                      <w:szCs w:val="21"/>
                    </w:rPr>
                    <w:t>侧</w:t>
                  </w:r>
                  <w:r>
                    <w:rPr>
                      <w:rFonts w:hint="eastAsia" w:cs="Times New Roman"/>
                      <w:sz w:val="21"/>
                      <w:szCs w:val="21"/>
                      <w:lang w:eastAsia="zh-CN"/>
                    </w:rPr>
                    <w:t>（</w:t>
                  </w:r>
                  <w:r>
                    <w:rPr>
                      <w:rFonts w:hint="eastAsia" w:cs="Times New Roman"/>
                      <w:sz w:val="21"/>
                      <w:szCs w:val="21"/>
                      <w:lang w:val="en-US" w:eastAsia="zh-CN"/>
                    </w:rPr>
                    <w:t>水源地下游</w:t>
                  </w:r>
                  <w:r>
                    <w:rPr>
                      <w:rFonts w:hint="eastAsia" w:cs="Times New Roman"/>
                      <w:sz w:val="21"/>
                      <w:szCs w:val="21"/>
                      <w:lang w:eastAsia="zh-CN"/>
                    </w:rPr>
                    <w:t>）</w:t>
                  </w:r>
                  <w:r>
                    <w:rPr>
                      <w:rFonts w:hint="default" w:ascii="Times New Roman" w:hAnsi="Times New Roman" w:cs="Times New Roman"/>
                      <w:sz w:val="21"/>
                      <w:szCs w:val="21"/>
                    </w:rPr>
                    <w:t>，公路边界距</w:t>
                  </w:r>
                  <w:r>
                    <w:rPr>
                      <w:rFonts w:hint="eastAsia" w:cs="Times New Roman"/>
                      <w:sz w:val="21"/>
                      <w:szCs w:val="21"/>
                      <w:lang w:val="en-US" w:eastAsia="zh-CN"/>
                    </w:rPr>
                    <w:t>取水口最近距离约为99m，距</w:t>
                  </w:r>
                  <w:r>
                    <w:rPr>
                      <w:rFonts w:hint="default" w:ascii="Times New Roman" w:hAnsi="Times New Roman" w:cs="Times New Roman"/>
                      <w:sz w:val="21"/>
                      <w:szCs w:val="21"/>
                    </w:rPr>
                    <w:t>保护区</w:t>
                  </w:r>
                  <w:r>
                    <w:rPr>
                      <w:rFonts w:hint="eastAsia" w:cs="Times New Roman"/>
                      <w:sz w:val="21"/>
                      <w:szCs w:val="21"/>
                      <w:lang w:val="en-US" w:eastAsia="zh-CN"/>
                    </w:rPr>
                    <w:t>边界</w:t>
                  </w:r>
                  <w:r>
                    <w:rPr>
                      <w:rFonts w:hint="default" w:ascii="Times New Roman" w:hAnsi="Times New Roman" w:cs="Times New Roman"/>
                      <w:sz w:val="21"/>
                      <w:szCs w:val="21"/>
                    </w:rPr>
                    <w:t>最近距离</w:t>
                  </w:r>
                  <w:r>
                    <w:rPr>
                      <w:rFonts w:hint="eastAsia" w:cs="Times New Roman"/>
                      <w:sz w:val="21"/>
                      <w:szCs w:val="21"/>
                      <w:lang w:val="en-US" w:eastAsia="zh-CN"/>
                    </w:rPr>
                    <w:t>约为</w:t>
                  </w:r>
                  <w:r>
                    <w:rPr>
                      <w:rFonts w:hint="default" w:ascii="Times New Roman" w:hAnsi="Times New Roman" w:cs="Times New Roman"/>
                      <w:sz w:val="21"/>
                      <w:szCs w:val="21"/>
                    </w:rPr>
                    <w:t>25m</w:t>
                  </w:r>
                </w:p>
              </w:tc>
              <w:tc>
                <w:tcPr>
                  <w:tcW w:w="1678" w:type="pct"/>
                  <w:vMerge w:val="restart"/>
                  <w:vAlign w:val="center"/>
                </w:tcPr>
                <w:p w14:paraId="001CE935">
                  <w:pPr>
                    <w:keepNext w:val="0"/>
                    <w:keepLines w:val="0"/>
                    <w:pageBreakBefore w:val="0"/>
                    <w:kinsoku/>
                    <w:wordWrap/>
                    <w:overflowPunct/>
                    <w:topLinePunct w:val="0"/>
                    <w:autoSpaceDE/>
                    <w:autoSpaceDN/>
                    <w:bidi w:val="0"/>
                    <w:adjustRightInd w:val="0"/>
                    <w:snapToGrid/>
                    <w:spacing w:line="240" w:lineRule="exact"/>
                    <w:textAlignment w:val="auto"/>
                    <w:rPr>
                      <w:rFonts w:hint="default" w:ascii="Times New Roman" w:hAnsi="Times New Roman" w:cs="Times New Roman"/>
                      <w:sz w:val="21"/>
                      <w:szCs w:val="21"/>
                    </w:rPr>
                  </w:pPr>
                  <w:r>
                    <w:rPr>
                      <w:rFonts w:hint="default" w:ascii="Times New Roman" w:hAnsi="Times New Roman" w:cs="Times New Roman"/>
                      <w:sz w:val="21"/>
                      <w:szCs w:val="21"/>
                    </w:rPr>
                    <w:t>伽师县备用水源</w:t>
                  </w:r>
                  <w:r>
                    <w:rPr>
                      <w:rFonts w:hint="default" w:ascii="Times New Roman" w:hAnsi="Times New Roman" w:cs="Times New Roman"/>
                      <w:sz w:val="21"/>
                      <w:szCs w:val="21"/>
                      <w:lang w:eastAsia="zh-CN"/>
                    </w:rPr>
                    <w:t>，</w:t>
                  </w:r>
                  <w:r>
                    <w:rPr>
                      <w:rFonts w:hint="default" w:ascii="Times New Roman" w:hAnsi="Times New Roman" w:cs="Times New Roman"/>
                      <w:sz w:val="21"/>
                      <w:szCs w:val="21"/>
                    </w:rPr>
                    <w:t>共有4口水源井，打井时间为1999年，井深度在180m~230m</w:t>
                  </w:r>
                </w:p>
                <w:p w14:paraId="650E9326">
                  <w:pPr>
                    <w:keepNext w:val="0"/>
                    <w:keepLines w:val="0"/>
                    <w:pageBreakBefore w:val="0"/>
                    <w:kinsoku/>
                    <w:wordWrap/>
                    <w:overflowPunct/>
                    <w:topLinePunct w:val="0"/>
                    <w:autoSpaceDE/>
                    <w:autoSpaceDN/>
                    <w:bidi w:val="0"/>
                    <w:adjustRightInd w:val="0"/>
                    <w:snapToGrid/>
                    <w:spacing w:line="240" w:lineRule="exact"/>
                    <w:textAlignment w:val="auto"/>
                    <w:rPr>
                      <w:rFonts w:hint="default" w:ascii="Times New Roman" w:hAnsi="Times New Roman" w:cs="Times New Roman"/>
                      <w:sz w:val="21"/>
                      <w:szCs w:val="21"/>
                    </w:rPr>
                  </w:pPr>
                  <w:r>
                    <w:rPr>
                      <w:rFonts w:hint="default" w:ascii="Times New Roman" w:hAnsi="Times New Roman" w:cs="Times New Roman"/>
                      <w:sz w:val="21"/>
                      <w:szCs w:val="21"/>
                    </w:rPr>
                    <w:t>之间，取水处至水厂管线16km，水厂综合供水能力平均5万m</w:t>
                  </w:r>
                  <w:r>
                    <w:rPr>
                      <w:rFonts w:hint="default" w:ascii="Times New Roman" w:hAnsi="Times New Roman" w:cs="Times New Roman"/>
                      <w:sz w:val="21"/>
                      <w:szCs w:val="21"/>
                      <w:vertAlign w:val="superscript"/>
                    </w:rPr>
                    <w:t>3</w:t>
                  </w:r>
                  <w:r>
                    <w:rPr>
                      <w:rFonts w:hint="default" w:ascii="Times New Roman" w:hAnsi="Times New Roman" w:cs="Times New Roman"/>
                      <w:sz w:val="21"/>
                      <w:szCs w:val="21"/>
                    </w:rPr>
                    <w:t>/d，供水人口为3.6万人。水源保护区于2009年由喀什地区行政公署划定。</w:t>
                  </w:r>
                </w:p>
              </w:tc>
            </w:tr>
            <w:tr w14:paraId="3CCF1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45" w:type="pct"/>
                  <w:vMerge w:val="continue"/>
                  <w:vAlign w:val="center"/>
                </w:tcPr>
                <w:p w14:paraId="7CDACED0">
                  <w:pPr>
                    <w:keepNext w:val="0"/>
                    <w:keepLines w:val="0"/>
                    <w:pageBreakBefore w:val="0"/>
                    <w:widowControl/>
                    <w:kinsoku/>
                    <w:wordWrap/>
                    <w:overflowPunct/>
                    <w:topLinePunct w:val="0"/>
                    <w:autoSpaceDE/>
                    <w:autoSpaceDN/>
                    <w:bidi w:val="0"/>
                    <w:snapToGrid/>
                    <w:spacing w:line="240" w:lineRule="exact"/>
                    <w:jc w:val="center"/>
                    <w:textAlignment w:val="auto"/>
                    <w:rPr>
                      <w:rFonts w:hint="default" w:ascii="Times New Roman" w:hAnsi="Times New Roman" w:cs="Times New Roman"/>
                      <w:sz w:val="21"/>
                      <w:szCs w:val="21"/>
                    </w:rPr>
                  </w:pPr>
                </w:p>
              </w:tc>
              <w:tc>
                <w:tcPr>
                  <w:tcW w:w="2676" w:type="pct"/>
                  <w:vAlign w:val="center"/>
                </w:tcPr>
                <w:p w14:paraId="4B209D78">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default" w:ascii="Times New Roman" w:hAnsi="Times New Roman" w:cs="Times New Roman"/>
                      <w:sz w:val="21"/>
                      <w:szCs w:val="21"/>
                    </w:rPr>
                  </w:pPr>
                  <w:r>
                    <w:rPr>
                      <w:rFonts w:hint="default" w:ascii="Times New Roman" w:hAnsi="Times New Roman" w:cs="Times New Roman"/>
                      <w:sz w:val="21"/>
                      <w:szCs w:val="21"/>
                    </w:rPr>
                    <w:t>K24+7</w:t>
                  </w:r>
                  <w:r>
                    <w:rPr>
                      <w:rFonts w:hint="eastAsia" w:cs="Times New Roman"/>
                      <w:sz w:val="21"/>
                      <w:szCs w:val="21"/>
                      <w:lang w:val="en-US" w:eastAsia="zh-CN"/>
                    </w:rPr>
                    <w:t>8</w:t>
                  </w:r>
                  <w:r>
                    <w:rPr>
                      <w:rFonts w:hint="default" w:ascii="Times New Roman" w:hAnsi="Times New Roman" w:cs="Times New Roman"/>
                      <w:sz w:val="21"/>
                      <w:szCs w:val="21"/>
                    </w:rPr>
                    <w:t>0-K24+8</w:t>
                  </w:r>
                  <w:r>
                    <w:rPr>
                      <w:rFonts w:hint="eastAsia" w:cs="Times New Roman"/>
                      <w:sz w:val="21"/>
                      <w:szCs w:val="21"/>
                      <w:lang w:val="en-US" w:eastAsia="zh-CN"/>
                    </w:rPr>
                    <w:t>6</w:t>
                  </w:r>
                  <w:r>
                    <w:rPr>
                      <w:rFonts w:hint="default" w:ascii="Times New Roman" w:hAnsi="Times New Roman" w:cs="Times New Roman"/>
                      <w:sz w:val="21"/>
                      <w:szCs w:val="21"/>
                    </w:rPr>
                    <w:t>0路段</w:t>
                  </w:r>
                  <w:r>
                    <w:rPr>
                      <w:rFonts w:hint="eastAsia" w:cs="Times New Roman"/>
                      <w:sz w:val="21"/>
                      <w:szCs w:val="21"/>
                      <w:lang w:val="en-US" w:eastAsia="zh-CN"/>
                    </w:rPr>
                    <w:t>位于一级水源保护区东</w:t>
                  </w:r>
                  <w:r>
                    <w:rPr>
                      <w:rFonts w:hint="default" w:ascii="Times New Roman" w:hAnsi="Times New Roman" w:cs="Times New Roman"/>
                      <w:sz w:val="21"/>
                      <w:szCs w:val="21"/>
                    </w:rPr>
                    <w:t>侧</w:t>
                  </w:r>
                  <w:r>
                    <w:rPr>
                      <w:rFonts w:hint="eastAsia" w:cs="Times New Roman"/>
                      <w:sz w:val="21"/>
                      <w:szCs w:val="21"/>
                      <w:lang w:eastAsia="zh-CN"/>
                    </w:rPr>
                    <w:t>（</w:t>
                  </w:r>
                  <w:r>
                    <w:rPr>
                      <w:rFonts w:hint="eastAsia" w:cs="Times New Roman"/>
                      <w:sz w:val="21"/>
                      <w:szCs w:val="21"/>
                      <w:lang w:val="en-US" w:eastAsia="zh-CN"/>
                    </w:rPr>
                    <w:t>水源地下游</w:t>
                  </w:r>
                  <w:r>
                    <w:rPr>
                      <w:rFonts w:hint="eastAsia" w:cs="Times New Roman"/>
                      <w:sz w:val="21"/>
                      <w:szCs w:val="21"/>
                      <w:lang w:eastAsia="zh-CN"/>
                    </w:rPr>
                    <w:t>）</w:t>
                  </w:r>
                  <w:r>
                    <w:rPr>
                      <w:rFonts w:hint="default" w:ascii="Times New Roman" w:hAnsi="Times New Roman" w:cs="Times New Roman"/>
                      <w:sz w:val="21"/>
                      <w:szCs w:val="21"/>
                    </w:rPr>
                    <w:t>，公路边界距</w:t>
                  </w:r>
                  <w:r>
                    <w:rPr>
                      <w:rFonts w:hint="eastAsia" w:cs="Times New Roman"/>
                      <w:sz w:val="21"/>
                      <w:szCs w:val="21"/>
                      <w:lang w:val="en-US" w:eastAsia="zh-CN"/>
                    </w:rPr>
                    <w:t>取水口最近距离约为25m，距</w:t>
                  </w:r>
                  <w:r>
                    <w:rPr>
                      <w:rFonts w:hint="default" w:ascii="Times New Roman" w:hAnsi="Times New Roman" w:cs="Times New Roman"/>
                      <w:sz w:val="21"/>
                      <w:szCs w:val="21"/>
                    </w:rPr>
                    <w:t>保护区</w:t>
                  </w:r>
                  <w:r>
                    <w:rPr>
                      <w:rFonts w:hint="eastAsia" w:cs="Times New Roman"/>
                      <w:sz w:val="21"/>
                      <w:szCs w:val="21"/>
                      <w:lang w:val="en-US" w:eastAsia="zh-CN"/>
                    </w:rPr>
                    <w:t>边界</w:t>
                  </w:r>
                  <w:r>
                    <w:rPr>
                      <w:rFonts w:hint="default" w:ascii="Times New Roman" w:hAnsi="Times New Roman" w:cs="Times New Roman"/>
                      <w:sz w:val="21"/>
                      <w:szCs w:val="21"/>
                    </w:rPr>
                    <w:t>最近距离</w:t>
                  </w:r>
                  <w:r>
                    <w:rPr>
                      <w:rFonts w:hint="eastAsia" w:cs="Times New Roman"/>
                      <w:sz w:val="21"/>
                      <w:szCs w:val="21"/>
                      <w:lang w:val="en-US" w:eastAsia="zh-CN"/>
                    </w:rPr>
                    <w:t>约为1</w:t>
                  </w:r>
                  <w:r>
                    <w:rPr>
                      <w:rFonts w:hint="default" w:ascii="Times New Roman" w:hAnsi="Times New Roman" w:cs="Times New Roman"/>
                      <w:sz w:val="21"/>
                      <w:szCs w:val="21"/>
                    </w:rPr>
                    <w:t>5m</w:t>
                  </w:r>
                </w:p>
              </w:tc>
              <w:tc>
                <w:tcPr>
                  <w:tcW w:w="1678" w:type="pct"/>
                  <w:vMerge w:val="continue"/>
                  <w:vAlign w:val="center"/>
                </w:tcPr>
                <w:p w14:paraId="3D45E0D5">
                  <w:pPr>
                    <w:keepNext w:val="0"/>
                    <w:keepLines w:val="0"/>
                    <w:pageBreakBefore w:val="0"/>
                    <w:kinsoku/>
                    <w:wordWrap/>
                    <w:overflowPunct/>
                    <w:topLinePunct w:val="0"/>
                    <w:autoSpaceDE/>
                    <w:autoSpaceDN/>
                    <w:bidi w:val="0"/>
                    <w:adjustRightInd w:val="0"/>
                    <w:snapToGrid/>
                    <w:spacing w:line="240" w:lineRule="exact"/>
                    <w:jc w:val="center"/>
                    <w:textAlignment w:val="auto"/>
                    <w:rPr>
                      <w:rFonts w:hint="default" w:ascii="Times New Roman" w:hAnsi="Times New Roman" w:cs="Times New Roman"/>
                      <w:sz w:val="21"/>
                      <w:szCs w:val="21"/>
                    </w:rPr>
                  </w:pPr>
                </w:p>
              </w:tc>
            </w:tr>
            <w:tr w14:paraId="52A2F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45" w:type="pct"/>
                  <w:vMerge w:val="continue"/>
                  <w:vAlign w:val="center"/>
                </w:tcPr>
                <w:p w14:paraId="6F866186">
                  <w:pPr>
                    <w:keepNext w:val="0"/>
                    <w:keepLines w:val="0"/>
                    <w:pageBreakBefore w:val="0"/>
                    <w:widowControl/>
                    <w:kinsoku/>
                    <w:wordWrap/>
                    <w:overflowPunct/>
                    <w:topLinePunct w:val="0"/>
                    <w:autoSpaceDE/>
                    <w:autoSpaceDN/>
                    <w:bidi w:val="0"/>
                    <w:snapToGrid/>
                    <w:spacing w:line="240" w:lineRule="exact"/>
                    <w:jc w:val="center"/>
                    <w:textAlignment w:val="auto"/>
                    <w:rPr>
                      <w:rFonts w:hint="default" w:ascii="Times New Roman" w:hAnsi="Times New Roman" w:cs="Times New Roman"/>
                      <w:sz w:val="21"/>
                      <w:szCs w:val="21"/>
                    </w:rPr>
                  </w:pPr>
                </w:p>
              </w:tc>
              <w:tc>
                <w:tcPr>
                  <w:tcW w:w="2676" w:type="pct"/>
                  <w:vAlign w:val="center"/>
                </w:tcPr>
                <w:p w14:paraId="04587C21">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default" w:ascii="Times New Roman" w:hAnsi="Times New Roman" w:cs="Times New Roman"/>
                      <w:sz w:val="21"/>
                      <w:szCs w:val="21"/>
                    </w:rPr>
                  </w:pPr>
                  <w:r>
                    <w:rPr>
                      <w:rFonts w:hint="default" w:ascii="Times New Roman" w:hAnsi="Times New Roman" w:cs="Times New Roman"/>
                      <w:sz w:val="21"/>
                      <w:szCs w:val="21"/>
                    </w:rPr>
                    <w:t>K24+070-K24+170路段</w:t>
                  </w:r>
                  <w:r>
                    <w:rPr>
                      <w:rFonts w:hint="eastAsia" w:cs="Times New Roman"/>
                      <w:sz w:val="21"/>
                      <w:szCs w:val="21"/>
                      <w:lang w:val="en-US" w:eastAsia="zh-CN"/>
                    </w:rPr>
                    <w:t>位于一级水源保护区东</w:t>
                  </w:r>
                  <w:r>
                    <w:rPr>
                      <w:rFonts w:hint="default" w:ascii="Times New Roman" w:hAnsi="Times New Roman" w:cs="Times New Roman"/>
                      <w:sz w:val="21"/>
                      <w:szCs w:val="21"/>
                    </w:rPr>
                    <w:t>侧</w:t>
                  </w:r>
                  <w:r>
                    <w:rPr>
                      <w:rFonts w:hint="eastAsia" w:cs="Times New Roman"/>
                      <w:sz w:val="21"/>
                      <w:szCs w:val="21"/>
                      <w:lang w:eastAsia="zh-CN"/>
                    </w:rPr>
                    <w:t>（</w:t>
                  </w:r>
                  <w:r>
                    <w:rPr>
                      <w:rFonts w:hint="eastAsia" w:cs="Times New Roman"/>
                      <w:sz w:val="21"/>
                      <w:szCs w:val="21"/>
                      <w:lang w:val="en-US" w:eastAsia="zh-CN"/>
                    </w:rPr>
                    <w:t>水源地下游</w:t>
                  </w:r>
                  <w:r>
                    <w:rPr>
                      <w:rFonts w:hint="eastAsia" w:cs="Times New Roman"/>
                      <w:sz w:val="21"/>
                      <w:szCs w:val="21"/>
                      <w:lang w:eastAsia="zh-CN"/>
                    </w:rPr>
                    <w:t>）</w:t>
                  </w:r>
                  <w:r>
                    <w:rPr>
                      <w:rFonts w:hint="default" w:ascii="Times New Roman" w:hAnsi="Times New Roman" w:cs="Times New Roman"/>
                      <w:sz w:val="21"/>
                      <w:szCs w:val="21"/>
                    </w:rPr>
                    <w:t>，公路边界距</w:t>
                  </w:r>
                  <w:r>
                    <w:rPr>
                      <w:rFonts w:hint="eastAsia" w:cs="Times New Roman"/>
                      <w:sz w:val="21"/>
                      <w:szCs w:val="21"/>
                      <w:lang w:val="en-US" w:eastAsia="zh-CN"/>
                    </w:rPr>
                    <w:t>取水口最近距离约为25m，距</w:t>
                  </w:r>
                  <w:r>
                    <w:rPr>
                      <w:rFonts w:hint="default" w:ascii="Times New Roman" w:hAnsi="Times New Roman" w:cs="Times New Roman"/>
                      <w:sz w:val="21"/>
                      <w:szCs w:val="21"/>
                    </w:rPr>
                    <w:t>保护区</w:t>
                  </w:r>
                  <w:r>
                    <w:rPr>
                      <w:rFonts w:hint="eastAsia" w:cs="Times New Roman"/>
                      <w:sz w:val="21"/>
                      <w:szCs w:val="21"/>
                      <w:lang w:val="en-US" w:eastAsia="zh-CN"/>
                    </w:rPr>
                    <w:t>边界</w:t>
                  </w:r>
                  <w:r>
                    <w:rPr>
                      <w:rFonts w:hint="default" w:ascii="Times New Roman" w:hAnsi="Times New Roman" w:cs="Times New Roman"/>
                      <w:sz w:val="21"/>
                      <w:szCs w:val="21"/>
                    </w:rPr>
                    <w:t>最近距离</w:t>
                  </w:r>
                  <w:r>
                    <w:rPr>
                      <w:rFonts w:hint="eastAsia" w:cs="Times New Roman"/>
                      <w:sz w:val="21"/>
                      <w:szCs w:val="21"/>
                      <w:lang w:val="en-US" w:eastAsia="zh-CN"/>
                    </w:rPr>
                    <w:t>约为1</w:t>
                  </w:r>
                  <w:r>
                    <w:rPr>
                      <w:rFonts w:hint="default" w:ascii="Times New Roman" w:hAnsi="Times New Roman" w:cs="Times New Roman"/>
                      <w:sz w:val="21"/>
                      <w:szCs w:val="21"/>
                    </w:rPr>
                    <w:t>5m</w:t>
                  </w:r>
                </w:p>
              </w:tc>
              <w:tc>
                <w:tcPr>
                  <w:tcW w:w="1678" w:type="pct"/>
                  <w:vMerge w:val="continue"/>
                  <w:vAlign w:val="center"/>
                </w:tcPr>
                <w:p w14:paraId="519EC2C6">
                  <w:pPr>
                    <w:keepNext w:val="0"/>
                    <w:keepLines w:val="0"/>
                    <w:pageBreakBefore w:val="0"/>
                    <w:kinsoku/>
                    <w:wordWrap/>
                    <w:overflowPunct/>
                    <w:topLinePunct w:val="0"/>
                    <w:autoSpaceDE/>
                    <w:autoSpaceDN/>
                    <w:bidi w:val="0"/>
                    <w:adjustRightInd w:val="0"/>
                    <w:snapToGrid/>
                    <w:spacing w:line="240" w:lineRule="exact"/>
                    <w:jc w:val="center"/>
                    <w:textAlignment w:val="auto"/>
                    <w:rPr>
                      <w:rFonts w:hint="default" w:ascii="Times New Roman" w:hAnsi="Times New Roman" w:cs="Times New Roman"/>
                      <w:sz w:val="21"/>
                      <w:szCs w:val="21"/>
                    </w:rPr>
                  </w:pPr>
                </w:p>
              </w:tc>
            </w:tr>
            <w:tr w14:paraId="2B0F7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45" w:type="pct"/>
                  <w:vMerge w:val="continue"/>
                  <w:vAlign w:val="center"/>
                </w:tcPr>
                <w:p w14:paraId="50C54B0D">
                  <w:pPr>
                    <w:keepNext w:val="0"/>
                    <w:keepLines w:val="0"/>
                    <w:pageBreakBefore w:val="0"/>
                    <w:widowControl/>
                    <w:kinsoku/>
                    <w:wordWrap/>
                    <w:overflowPunct/>
                    <w:topLinePunct w:val="0"/>
                    <w:autoSpaceDE/>
                    <w:autoSpaceDN/>
                    <w:bidi w:val="0"/>
                    <w:snapToGrid/>
                    <w:spacing w:line="240" w:lineRule="exact"/>
                    <w:jc w:val="center"/>
                    <w:textAlignment w:val="auto"/>
                    <w:rPr>
                      <w:rFonts w:hint="default" w:ascii="Times New Roman" w:hAnsi="Times New Roman" w:cs="Times New Roman"/>
                      <w:sz w:val="21"/>
                      <w:szCs w:val="21"/>
                    </w:rPr>
                  </w:pPr>
                </w:p>
              </w:tc>
              <w:tc>
                <w:tcPr>
                  <w:tcW w:w="2676" w:type="pct"/>
                  <w:vAlign w:val="center"/>
                </w:tcPr>
                <w:p w14:paraId="29CC6817">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default" w:ascii="Times New Roman" w:hAnsi="Times New Roman" w:cs="Times New Roman"/>
                      <w:sz w:val="21"/>
                      <w:szCs w:val="21"/>
                    </w:rPr>
                  </w:pPr>
                  <w:r>
                    <w:rPr>
                      <w:rFonts w:hint="default" w:ascii="Times New Roman" w:hAnsi="Times New Roman" w:cs="Times New Roman"/>
                      <w:sz w:val="21"/>
                      <w:szCs w:val="21"/>
                    </w:rPr>
                    <w:t>K23+350-K23+450</w:t>
                  </w:r>
                  <w:r>
                    <w:rPr>
                      <w:rFonts w:hint="eastAsia" w:cs="Times New Roman"/>
                      <w:sz w:val="21"/>
                      <w:szCs w:val="21"/>
                      <w:lang w:val="en-US" w:eastAsia="zh-CN"/>
                    </w:rPr>
                    <w:t>路段位于一级水源保护区东</w:t>
                  </w:r>
                  <w:r>
                    <w:rPr>
                      <w:rFonts w:hint="default" w:ascii="Times New Roman" w:hAnsi="Times New Roman" w:cs="Times New Roman"/>
                      <w:sz w:val="21"/>
                      <w:szCs w:val="21"/>
                    </w:rPr>
                    <w:t>侧</w:t>
                  </w:r>
                  <w:r>
                    <w:rPr>
                      <w:rFonts w:hint="eastAsia" w:cs="Times New Roman"/>
                      <w:sz w:val="21"/>
                      <w:szCs w:val="21"/>
                      <w:lang w:eastAsia="zh-CN"/>
                    </w:rPr>
                    <w:t>（</w:t>
                  </w:r>
                  <w:r>
                    <w:rPr>
                      <w:rFonts w:hint="eastAsia" w:cs="Times New Roman"/>
                      <w:sz w:val="21"/>
                      <w:szCs w:val="21"/>
                      <w:lang w:val="en-US" w:eastAsia="zh-CN"/>
                    </w:rPr>
                    <w:t>水源地下游</w:t>
                  </w:r>
                  <w:r>
                    <w:rPr>
                      <w:rFonts w:hint="eastAsia" w:cs="Times New Roman"/>
                      <w:sz w:val="21"/>
                      <w:szCs w:val="21"/>
                      <w:lang w:eastAsia="zh-CN"/>
                    </w:rPr>
                    <w:t>）</w:t>
                  </w:r>
                  <w:r>
                    <w:rPr>
                      <w:rFonts w:hint="default" w:ascii="Times New Roman" w:hAnsi="Times New Roman" w:cs="Times New Roman"/>
                      <w:sz w:val="21"/>
                      <w:szCs w:val="21"/>
                    </w:rPr>
                    <w:t>，公路边界距</w:t>
                  </w:r>
                  <w:r>
                    <w:rPr>
                      <w:rFonts w:hint="eastAsia" w:cs="Times New Roman"/>
                      <w:sz w:val="21"/>
                      <w:szCs w:val="21"/>
                      <w:lang w:val="en-US" w:eastAsia="zh-CN"/>
                    </w:rPr>
                    <w:t>取水口最近距离约为66m，距</w:t>
                  </w:r>
                  <w:r>
                    <w:rPr>
                      <w:rFonts w:hint="default" w:ascii="Times New Roman" w:hAnsi="Times New Roman" w:cs="Times New Roman"/>
                      <w:sz w:val="21"/>
                      <w:szCs w:val="21"/>
                    </w:rPr>
                    <w:t>保护区</w:t>
                  </w:r>
                  <w:r>
                    <w:rPr>
                      <w:rFonts w:hint="eastAsia" w:cs="Times New Roman"/>
                      <w:sz w:val="21"/>
                      <w:szCs w:val="21"/>
                      <w:lang w:val="en-US" w:eastAsia="zh-CN"/>
                    </w:rPr>
                    <w:t>边界</w:t>
                  </w:r>
                  <w:r>
                    <w:rPr>
                      <w:rFonts w:hint="default" w:ascii="Times New Roman" w:hAnsi="Times New Roman" w:cs="Times New Roman"/>
                      <w:sz w:val="21"/>
                      <w:szCs w:val="21"/>
                    </w:rPr>
                    <w:t>最近距离</w:t>
                  </w:r>
                  <w:r>
                    <w:rPr>
                      <w:rFonts w:hint="eastAsia" w:cs="Times New Roman"/>
                      <w:sz w:val="21"/>
                      <w:szCs w:val="21"/>
                      <w:lang w:val="en-US" w:eastAsia="zh-CN"/>
                    </w:rPr>
                    <w:t>约为30</w:t>
                  </w:r>
                  <w:r>
                    <w:rPr>
                      <w:rFonts w:hint="default" w:ascii="Times New Roman" w:hAnsi="Times New Roman" w:cs="Times New Roman"/>
                      <w:sz w:val="21"/>
                      <w:szCs w:val="21"/>
                    </w:rPr>
                    <w:t>m</w:t>
                  </w:r>
                </w:p>
              </w:tc>
              <w:tc>
                <w:tcPr>
                  <w:tcW w:w="1678" w:type="pct"/>
                  <w:vMerge w:val="continue"/>
                  <w:vAlign w:val="center"/>
                </w:tcPr>
                <w:p w14:paraId="21C20390">
                  <w:pPr>
                    <w:keepNext w:val="0"/>
                    <w:keepLines w:val="0"/>
                    <w:pageBreakBefore w:val="0"/>
                    <w:kinsoku/>
                    <w:wordWrap/>
                    <w:overflowPunct/>
                    <w:topLinePunct w:val="0"/>
                    <w:autoSpaceDE/>
                    <w:autoSpaceDN/>
                    <w:bidi w:val="0"/>
                    <w:adjustRightInd w:val="0"/>
                    <w:snapToGrid/>
                    <w:spacing w:line="240" w:lineRule="exact"/>
                    <w:jc w:val="center"/>
                    <w:textAlignment w:val="auto"/>
                    <w:rPr>
                      <w:rFonts w:hint="default" w:ascii="Times New Roman" w:hAnsi="Times New Roman" w:cs="Times New Roman"/>
                      <w:sz w:val="21"/>
                      <w:szCs w:val="21"/>
                    </w:rPr>
                  </w:pPr>
                </w:p>
              </w:tc>
            </w:tr>
          </w:tbl>
          <w:p w14:paraId="37CE9178">
            <w:pPr>
              <w:pStyle w:val="50"/>
              <w:spacing w:before="120" w:beforeLines="50" w:line="240" w:lineRule="auto"/>
              <w:jc w:val="both"/>
              <w:rPr>
                <w:b/>
                <w:color w:val="0070C0"/>
              </w:rPr>
            </w:pPr>
          </w:p>
        </w:tc>
      </w:tr>
      <w:tr w14:paraId="629ACF6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78" w:hRule="atLeast"/>
        </w:trPr>
        <w:tc>
          <w:tcPr>
            <w:tcW w:w="456" w:type="dxa"/>
            <w:vAlign w:val="center"/>
          </w:tcPr>
          <w:p w14:paraId="0A766AA3">
            <w:pPr>
              <w:adjustRightInd w:val="0"/>
              <w:snapToGrid w:val="0"/>
              <w:jc w:val="center"/>
              <w:rPr>
                <w:color w:val="auto"/>
                <w:kern w:val="0"/>
                <w:sz w:val="24"/>
              </w:rPr>
            </w:pPr>
            <w:r>
              <w:rPr>
                <w:color w:val="auto"/>
                <w:kern w:val="0"/>
                <w:sz w:val="24"/>
              </w:rPr>
              <w:t>评价</w:t>
            </w:r>
          </w:p>
          <w:p w14:paraId="7BE5AA2E">
            <w:pPr>
              <w:adjustRightInd w:val="0"/>
              <w:snapToGrid w:val="0"/>
              <w:jc w:val="center"/>
              <w:rPr>
                <w:color w:val="0070C0"/>
                <w:kern w:val="0"/>
                <w:szCs w:val="21"/>
              </w:rPr>
            </w:pPr>
            <w:r>
              <w:rPr>
                <w:color w:val="auto"/>
                <w:kern w:val="0"/>
                <w:sz w:val="24"/>
              </w:rPr>
              <w:t>标准</w:t>
            </w:r>
          </w:p>
        </w:tc>
        <w:tc>
          <w:tcPr>
            <w:tcW w:w="8616" w:type="dxa"/>
            <w:vAlign w:val="center"/>
          </w:tcPr>
          <w:p w14:paraId="34BEA50B">
            <w:pPr>
              <w:adjustRightInd w:val="0"/>
              <w:spacing w:before="120" w:beforeLines="50" w:line="300" w:lineRule="auto"/>
              <w:rPr>
                <w:b/>
                <w:color w:val="auto"/>
                <w:kern w:val="0"/>
                <w:sz w:val="24"/>
              </w:rPr>
            </w:pPr>
            <w:r>
              <w:rPr>
                <w:b/>
                <w:color w:val="auto"/>
                <w:kern w:val="0"/>
                <w:sz w:val="24"/>
              </w:rPr>
              <w:t>1. 环境质量标准</w:t>
            </w:r>
          </w:p>
          <w:p w14:paraId="14F63FB6">
            <w:pPr>
              <w:adjustRightInd w:val="0"/>
              <w:spacing w:line="300" w:lineRule="auto"/>
              <w:ind w:firstLine="480" w:firstLineChars="200"/>
              <w:rPr>
                <w:rFonts w:hint="eastAsia"/>
                <w:color w:val="auto"/>
                <w:kern w:val="0"/>
                <w:sz w:val="24"/>
                <w:lang w:val="en-US" w:eastAsia="zh-CN"/>
              </w:rPr>
            </w:pPr>
            <w:r>
              <w:rPr>
                <w:color w:val="auto"/>
                <w:kern w:val="0"/>
                <w:sz w:val="24"/>
              </w:rPr>
              <w:t xml:space="preserve">(1) </w:t>
            </w:r>
            <w:r>
              <w:rPr>
                <w:rFonts w:hint="eastAsia"/>
                <w:color w:val="auto"/>
                <w:kern w:val="0"/>
                <w:sz w:val="24"/>
                <w:lang w:val="en-US" w:eastAsia="zh-CN"/>
              </w:rPr>
              <w:t>大气环境</w:t>
            </w:r>
          </w:p>
          <w:p w14:paraId="5A5F10C9">
            <w:pPr>
              <w:autoSpaceDE w:val="0"/>
              <w:autoSpaceDN w:val="0"/>
              <w:adjustRightInd w:val="0"/>
              <w:spacing w:afterLines="50" w:line="300" w:lineRule="auto"/>
              <w:ind w:firstLine="480" w:firstLineChars="200"/>
              <w:rPr>
                <w:color w:val="auto"/>
                <w:kern w:val="0"/>
                <w:sz w:val="24"/>
              </w:rPr>
            </w:pPr>
            <w:r>
              <w:rPr>
                <w:color w:val="auto"/>
                <w:kern w:val="0"/>
                <w:sz w:val="24"/>
              </w:rPr>
              <w:t>拟建公路沿线环境空气执行《环境空气质量标准》（GB3095-20</w:t>
            </w:r>
            <w:r>
              <w:rPr>
                <w:rFonts w:hint="eastAsia"/>
                <w:color w:val="auto"/>
                <w:kern w:val="0"/>
                <w:sz w:val="24"/>
              </w:rPr>
              <w:t>26</w:t>
            </w:r>
            <w:r>
              <w:rPr>
                <w:color w:val="auto"/>
                <w:kern w:val="0"/>
                <w:sz w:val="24"/>
              </w:rPr>
              <w:t>）中</w:t>
            </w:r>
            <w:r>
              <w:rPr>
                <w:rFonts w:hint="eastAsia"/>
                <w:color w:val="auto"/>
                <w:kern w:val="0"/>
                <w:sz w:val="24"/>
              </w:rPr>
              <w:t>二</w:t>
            </w:r>
            <w:r>
              <w:rPr>
                <w:color w:val="auto"/>
                <w:kern w:val="0"/>
                <w:sz w:val="24"/>
              </w:rPr>
              <w:t>级标准（</w:t>
            </w:r>
            <w:r>
              <w:rPr>
                <w:rFonts w:hint="eastAsia"/>
                <w:color w:val="auto"/>
                <w:kern w:val="0"/>
                <w:sz w:val="24"/>
              </w:rPr>
              <w:t>其中2030年12月31日前执行过渡阶段浓度限值，自2031年1月1日起，执行基本项目（表1）浓度限值</w:t>
            </w:r>
            <w:r>
              <w:rPr>
                <w:color w:val="auto"/>
                <w:kern w:val="0"/>
                <w:sz w:val="24"/>
              </w:rPr>
              <w:t>。具体标准限值见表3-</w:t>
            </w:r>
            <w:r>
              <w:rPr>
                <w:rFonts w:hint="eastAsia"/>
                <w:color w:val="auto"/>
                <w:kern w:val="0"/>
                <w:sz w:val="24"/>
              </w:rPr>
              <w:t>1</w:t>
            </w:r>
            <w:r>
              <w:rPr>
                <w:rFonts w:hint="eastAsia"/>
                <w:color w:val="auto"/>
                <w:kern w:val="0"/>
                <w:sz w:val="24"/>
                <w:lang w:val="en-US" w:eastAsia="zh-CN"/>
              </w:rPr>
              <w:t>7</w:t>
            </w:r>
            <w:r>
              <w:rPr>
                <w:color w:val="auto"/>
                <w:kern w:val="0"/>
                <w:sz w:val="24"/>
              </w:rPr>
              <w:t>。</w:t>
            </w:r>
          </w:p>
          <w:p w14:paraId="4FE4D6AE">
            <w:pPr>
              <w:ind w:firstLine="1786" w:firstLineChars="847"/>
              <w:rPr>
                <w:b/>
                <w:color w:val="auto"/>
                <w:szCs w:val="21"/>
                <w:vertAlign w:val="superscript"/>
              </w:rPr>
            </w:pPr>
            <w:r>
              <w:rPr>
                <w:b/>
                <w:color w:val="auto"/>
                <w:szCs w:val="21"/>
              </w:rPr>
              <w:t>表3-</w:t>
            </w:r>
            <w:r>
              <w:rPr>
                <w:rFonts w:hint="eastAsia"/>
                <w:b/>
                <w:color w:val="auto"/>
                <w:szCs w:val="21"/>
              </w:rPr>
              <w:t>1</w:t>
            </w:r>
            <w:r>
              <w:rPr>
                <w:rFonts w:hint="eastAsia"/>
                <w:b/>
                <w:color w:val="auto"/>
                <w:szCs w:val="21"/>
                <w:lang w:val="en-US" w:eastAsia="zh-CN"/>
              </w:rPr>
              <w:t>7</w:t>
            </w:r>
            <w:r>
              <w:rPr>
                <w:b/>
                <w:color w:val="auto"/>
                <w:szCs w:val="21"/>
              </w:rPr>
              <w:t xml:space="preserve">  《环境空气质量标准》（GB3095-20</w:t>
            </w:r>
            <w:r>
              <w:rPr>
                <w:rFonts w:hint="eastAsia"/>
                <w:b/>
                <w:color w:val="auto"/>
                <w:szCs w:val="21"/>
              </w:rPr>
              <w:t>26</w:t>
            </w:r>
            <w:r>
              <w:rPr>
                <w:b/>
                <w:color w:val="auto"/>
                <w:szCs w:val="21"/>
              </w:rPr>
              <w:t xml:space="preserve">）摘录  </w:t>
            </w:r>
            <w:r>
              <w:rPr>
                <w:rFonts w:hint="eastAsia"/>
                <w:b/>
                <w:color w:val="auto"/>
                <w:szCs w:val="21"/>
              </w:rPr>
              <w:t xml:space="preserve">    </w:t>
            </w:r>
            <w:r>
              <w:rPr>
                <w:b/>
                <w:color w:val="auto"/>
                <w:szCs w:val="21"/>
              </w:rPr>
              <w:t>单位：mg/m</w:t>
            </w:r>
            <w:r>
              <w:rPr>
                <w:b/>
                <w:color w:val="auto"/>
                <w:szCs w:val="21"/>
                <w:vertAlign w:val="superscript"/>
              </w:rPr>
              <w:t>3</w:t>
            </w:r>
          </w:p>
          <w:tbl>
            <w:tblPr>
              <w:tblStyle w:val="22"/>
              <w:tblW w:w="8393"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2160"/>
              <w:gridCol w:w="567"/>
              <w:gridCol w:w="1244"/>
              <w:gridCol w:w="638"/>
              <w:gridCol w:w="631"/>
              <w:gridCol w:w="631"/>
              <w:gridCol w:w="631"/>
              <w:gridCol w:w="631"/>
              <w:gridCol w:w="631"/>
              <w:gridCol w:w="629"/>
            </w:tblGrid>
            <w:tr w14:paraId="400E86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283" w:hRule="atLeast"/>
                <w:jc w:val="center"/>
              </w:trPr>
              <w:tc>
                <w:tcPr>
                  <w:tcW w:w="2364" w:type="pct"/>
                  <w:gridSpan w:val="3"/>
                  <w:vAlign w:val="center"/>
                </w:tcPr>
                <w:p w14:paraId="257936DE">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b/>
                      <w:bCs/>
                      <w:color w:val="auto"/>
                      <w:kern w:val="0"/>
                      <w:szCs w:val="21"/>
                    </w:rPr>
                  </w:pPr>
                  <w:r>
                    <w:rPr>
                      <w:b/>
                      <w:bCs/>
                      <w:color w:val="auto"/>
                      <w:kern w:val="0"/>
                      <w:szCs w:val="21"/>
                    </w:rPr>
                    <w:t>评价标准</w:t>
                  </w:r>
                </w:p>
              </w:tc>
              <w:tc>
                <w:tcPr>
                  <w:tcW w:w="380" w:type="pct"/>
                  <w:vAlign w:val="center"/>
                </w:tcPr>
                <w:p w14:paraId="3C7C6134">
                  <w:pPr>
                    <w:keepNext w:val="0"/>
                    <w:keepLines w:val="0"/>
                    <w:pageBreakBefore w:val="0"/>
                    <w:widowControl w:val="0"/>
                    <w:kinsoku/>
                    <w:wordWrap/>
                    <w:overflowPunct/>
                    <w:topLinePunct w:val="0"/>
                    <w:autoSpaceDE/>
                    <w:autoSpaceDN/>
                    <w:bidi w:val="0"/>
                    <w:snapToGrid/>
                    <w:spacing w:line="240" w:lineRule="auto"/>
                    <w:jc w:val="center"/>
                    <w:rPr>
                      <w:b/>
                      <w:bCs/>
                      <w:color w:val="auto"/>
                      <w:szCs w:val="21"/>
                      <w:vertAlign w:val="subscript"/>
                    </w:rPr>
                  </w:pPr>
                  <w:r>
                    <w:rPr>
                      <w:b/>
                      <w:bCs/>
                      <w:color w:val="auto"/>
                      <w:szCs w:val="21"/>
                    </w:rPr>
                    <w:t>SO</w:t>
                  </w:r>
                  <w:r>
                    <w:rPr>
                      <w:b/>
                      <w:bCs/>
                      <w:color w:val="auto"/>
                      <w:szCs w:val="21"/>
                      <w:vertAlign w:val="subscript"/>
                    </w:rPr>
                    <w:t>2</w:t>
                  </w:r>
                </w:p>
              </w:tc>
              <w:tc>
                <w:tcPr>
                  <w:tcW w:w="376" w:type="pct"/>
                  <w:vAlign w:val="center"/>
                </w:tcPr>
                <w:p w14:paraId="322A3870">
                  <w:pPr>
                    <w:keepNext w:val="0"/>
                    <w:keepLines w:val="0"/>
                    <w:pageBreakBefore w:val="0"/>
                    <w:widowControl w:val="0"/>
                    <w:kinsoku/>
                    <w:wordWrap/>
                    <w:overflowPunct/>
                    <w:topLinePunct w:val="0"/>
                    <w:autoSpaceDE/>
                    <w:autoSpaceDN/>
                    <w:bidi w:val="0"/>
                    <w:snapToGrid/>
                    <w:spacing w:line="240" w:lineRule="auto"/>
                    <w:jc w:val="center"/>
                    <w:rPr>
                      <w:b/>
                      <w:bCs/>
                      <w:color w:val="auto"/>
                      <w:szCs w:val="21"/>
                    </w:rPr>
                  </w:pPr>
                  <w:r>
                    <w:rPr>
                      <w:b/>
                      <w:bCs/>
                      <w:color w:val="auto"/>
                      <w:szCs w:val="21"/>
                    </w:rPr>
                    <w:t>NO</w:t>
                  </w:r>
                  <w:r>
                    <w:rPr>
                      <w:b/>
                      <w:bCs/>
                      <w:color w:val="auto"/>
                      <w:szCs w:val="21"/>
                      <w:vertAlign w:val="subscript"/>
                    </w:rPr>
                    <w:t>2</w:t>
                  </w:r>
                </w:p>
              </w:tc>
              <w:tc>
                <w:tcPr>
                  <w:tcW w:w="376" w:type="pct"/>
                  <w:vAlign w:val="center"/>
                </w:tcPr>
                <w:p w14:paraId="2C92AA4D">
                  <w:pPr>
                    <w:keepNext w:val="0"/>
                    <w:keepLines w:val="0"/>
                    <w:pageBreakBefore w:val="0"/>
                    <w:widowControl w:val="0"/>
                    <w:kinsoku/>
                    <w:wordWrap/>
                    <w:overflowPunct/>
                    <w:topLinePunct w:val="0"/>
                    <w:autoSpaceDE/>
                    <w:autoSpaceDN/>
                    <w:bidi w:val="0"/>
                    <w:snapToGrid/>
                    <w:spacing w:line="240" w:lineRule="auto"/>
                    <w:jc w:val="center"/>
                    <w:rPr>
                      <w:b/>
                      <w:bCs/>
                      <w:color w:val="auto"/>
                      <w:szCs w:val="21"/>
                    </w:rPr>
                  </w:pPr>
                  <w:r>
                    <w:rPr>
                      <w:b/>
                      <w:bCs/>
                      <w:color w:val="auto"/>
                      <w:szCs w:val="21"/>
                    </w:rPr>
                    <w:t>CO</w:t>
                  </w:r>
                </w:p>
              </w:tc>
              <w:tc>
                <w:tcPr>
                  <w:tcW w:w="376" w:type="pct"/>
                  <w:vAlign w:val="center"/>
                </w:tcPr>
                <w:p w14:paraId="0C12EF39">
                  <w:pPr>
                    <w:keepNext w:val="0"/>
                    <w:keepLines w:val="0"/>
                    <w:pageBreakBefore w:val="0"/>
                    <w:widowControl w:val="0"/>
                    <w:kinsoku/>
                    <w:wordWrap/>
                    <w:overflowPunct/>
                    <w:topLinePunct w:val="0"/>
                    <w:autoSpaceDE/>
                    <w:autoSpaceDN/>
                    <w:bidi w:val="0"/>
                    <w:snapToGrid/>
                    <w:spacing w:line="240" w:lineRule="auto"/>
                    <w:jc w:val="center"/>
                    <w:rPr>
                      <w:b/>
                      <w:color w:val="auto"/>
                      <w:szCs w:val="21"/>
                    </w:rPr>
                  </w:pPr>
                  <w:r>
                    <w:rPr>
                      <w:b/>
                      <w:color w:val="auto"/>
                      <w:szCs w:val="21"/>
                    </w:rPr>
                    <w:t>O</w:t>
                  </w:r>
                  <w:r>
                    <w:rPr>
                      <w:b/>
                      <w:color w:val="auto"/>
                      <w:szCs w:val="21"/>
                      <w:vertAlign w:val="subscript"/>
                    </w:rPr>
                    <w:t>3</w:t>
                  </w:r>
                </w:p>
              </w:tc>
              <w:tc>
                <w:tcPr>
                  <w:tcW w:w="376" w:type="pct"/>
                  <w:vAlign w:val="center"/>
                </w:tcPr>
                <w:p w14:paraId="1B5FE23D">
                  <w:pPr>
                    <w:keepNext w:val="0"/>
                    <w:keepLines w:val="0"/>
                    <w:pageBreakBefore w:val="0"/>
                    <w:widowControl w:val="0"/>
                    <w:kinsoku/>
                    <w:wordWrap/>
                    <w:overflowPunct/>
                    <w:topLinePunct w:val="0"/>
                    <w:autoSpaceDE/>
                    <w:autoSpaceDN/>
                    <w:bidi w:val="0"/>
                    <w:snapToGrid/>
                    <w:spacing w:line="240" w:lineRule="auto"/>
                    <w:jc w:val="center"/>
                    <w:rPr>
                      <w:b/>
                      <w:bCs/>
                      <w:color w:val="auto"/>
                      <w:szCs w:val="21"/>
                    </w:rPr>
                  </w:pPr>
                  <w:r>
                    <w:rPr>
                      <w:b/>
                      <w:color w:val="auto"/>
                      <w:szCs w:val="21"/>
                    </w:rPr>
                    <w:t>PM</w:t>
                  </w:r>
                  <w:r>
                    <w:rPr>
                      <w:b/>
                      <w:color w:val="auto"/>
                      <w:szCs w:val="21"/>
                      <w:vertAlign w:val="subscript"/>
                    </w:rPr>
                    <w:t>10</w:t>
                  </w:r>
                </w:p>
              </w:tc>
              <w:tc>
                <w:tcPr>
                  <w:tcW w:w="376" w:type="pct"/>
                  <w:vAlign w:val="center"/>
                </w:tcPr>
                <w:p w14:paraId="752A1E28">
                  <w:pPr>
                    <w:keepNext w:val="0"/>
                    <w:keepLines w:val="0"/>
                    <w:pageBreakBefore w:val="0"/>
                    <w:widowControl w:val="0"/>
                    <w:kinsoku/>
                    <w:wordWrap/>
                    <w:overflowPunct/>
                    <w:topLinePunct w:val="0"/>
                    <w:autoSpaceDE/>
                    <w:autoSpaceDN/>
                    <w:bidi w:val="0"/>
                    <w:snapToGrid/>
                    <w:spacing w:line="240" w:lineRule="auto"/>
                    <w:jc w:val="center"/>
                    <w:rPr>
                      <w:b/>
                      <w:bCs/>
                      <w:color w:val="auto"/>
                      <w:szCs w:val="21"/>
                    </w:rPr>
                  </w:pPr>
                  <w:r>
                    <w:rPr>
                      <w:b/>
                      <w:color w:val="auto"/>
                      <w:szCs w:val="21"/>
                    </w:rPr>
                    <w:t>PM</w:t>
                  </w:r>
                  <w:r>
                    <w:rPr>
                      <w:b/>
                      <w:color w:val="auto"/>
                      <w:szCs w:val="21"/>
                      <w:vertAlign w:val="subscript"/>
                    </w:rPr>
                    <w:t>2.5</w:t>
                  </w:r>
                </w:p>
              </w:tc>
              <w:tc>
                <w:tcPr>
                  <w:tcW w:w="376" w:type="pct"/>
                  <w:vAlign w:val="center"/>
                </w:tcPr>
                <w:p w14:paraId="6CABFAB4">
                  <w:pPr>
                    <w:keepNext w:val="0"/>
                    <w:keepLines w:val="0"/>
                    <w:pageBreakBefore w:val="0"/>
                    <w:widowControl w:val="0"/>
                    <w:kinsoku/>
                    <w:wordWrap/>
                    <w:overflowPunct/>
                    <w:topLinePunct w:val="0"/>
                    <w:autoSpaceDE/>
                    <w:autoSpaceDN/>
                    <w:bidi w:val="0"/>
                    <w:snapToGrid/>
                    <w:spacing w:line="240" w:lineRule="auto"/>
                    <w:jc w:val="center"/>
                    <w:rPr>
                      <w:b/>
                      <w:bCs/>
                      <w:color w:val="auto"/>
                      <w:szCs w:val="21"/>
                    </w:rPr>
                  </w:pPr>
                  <w:r>
                    <w:rPr>
                      <w:b/>
                      <w:bCs/>
                      <w:color w:val="auto"/>
                      <w:szCs w:val="21"/>
                    </w:rPr>
                    <w:t>TSP</w:t>
                  </w:r>
                </w:p>
              </w:tc>
            </w:tr>
            <w:tr w14:paraId="2B3FF1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283" w:hRule="atLeast"/>
                <w:jc w:val="center"/>
              </w:trPr>
              <w:tc>
                <w:tcPr>
                  <w:tcW w:w="1286" w:type="pct"/>
                  <w:vMerge w:val="restart"/>
                  <w:vAlign w:val="center"/>
                </w:tcPr>
                <w:p w14:paraId="3074D41E">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bCs/>
                      <w:color w:val="auto"/>
                      <w:kern w:val="0"/>
                      <w:szCs w:val="21"/>
                    </w:rPr>
                  </w:pPr>
                  <w:r>
                    <w:rPr>
                      <w:bCs/>
                      <w:color w:val="auto"/>
                      <w:kern w:val="0"/>
                      <w:szCs w:val="21"/>
                    </w:rPr>
                    <w:t>《环境空气质量标准》</w:t>
                  </w:r>
                </w:p>
                <w:p w14:paraId="7F6A112B">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bCs/>
                      <w:color w:val="auto"/>
                      <w:kern w:val="0"/>
                      <w:szCs w:val="21"/>
                    </w:rPr>
                  </w:pPr>
                  <w:r>
                    <w:rPr>
                      <w:bCs/>
                      <w:color w:val="auto"/>
                      <w:kern w:val="0"/>
                      <w:szCs w:val="21"/>
                    </w:rPr>
                    <w:t>（GB3095-20</w:t>
                  </w:r>
                  <w:r>
                    <w:rPr>
                      <w:rFonts w:hint="eastAsia"/>
                      <w:bCs/>
                      <w:color w:val="auto"/>
                      <w:kern w:val="0"/>
                      <w:szCs w:val="21"/>
                    </w:rPr>
                    <w:t>26</w:t>
                  </w:r>
                  <w:r>
                    <w:rPr>
                      <w:bCs/>
                      <w:color w:val="auto"/>
                      <w:kern w:val="0"/>
                      <w:szCs w:val="21"/>
                    </w:rPr>
                    <w:t>）</w:t>
                  </w:r>
                </w:p>
                <w:p w14:paraId="09412C4B">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bCs/>
                      <w:color w:val="auto"/>
                      <w:kern w:val="0"/>
                      <w:szCs w:val="21"/>
                    </w:rPr>
                  </w:pPr>
                  <w:r>
                    <w:rPr>
                      <w:bCs/>
                      <w:color w:val="auto"/>
                      <w:kern w:val="0"/>
                      <w:szCs w:val="21"/>
                    </w:rPr>
                    <w:t>（</w:t>
                  </w:r>
                  <w:r>
                    <w:rPr>
                      <w:rFonts w:hint="eastAsia"/>
                      <w:bCs/>
                      <w:color w:val="auto"/>
                      <w:kern w:val="0"/>
                      <w:szCs w:val="21"/>
                      <w:lang w:eastAsia="zh-CN"/>
                    </w:rPr>
                    <w:t>过渡阶段</w:t>
                  </w:r>
                  <w:r>
                    <w:rPr>
                      <w:bCs/>
                      <w:color w:val="auto"/>
                      <w:kern w:val="0"/>
                      <w:szCs w:val="21"/>
                    </w:rPr>
                    <w:t>浓度限值）</w:t>
                  </w:r>
                </w:p>
              </w:tc>
              <w:tc>
                <w:tcPr>
                  <w:tcW w:w="338" w:type="pct"/>
                  <w:vMerge w:val="restart"/>
                  <w:vAlign w:val="center"/>
                </w:tcPr>
                <w:p w14:paraId="60944089">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bCs/>
                      <w:color w:val="auto"/>
                      <w:kern w:val="0"/>
                      <w:szCs w:val="21"/>
                    </w:rPr>
                  </w:pPr>
                  <w:r>
                    <w:rPr>
                      <w:bCs/>
                      <w:color w:val="auto"/>
                      <w:kern w:val="0"/>
                      <w:szCs w:val="21"/>
                    </w:rPr>
                    <w:t>二级</w:t>
                  </w:r>
                </w:p>
              </w:tc>
              <w:tc>
                <w:tcPr>
                  <w:tcW w:w="741" w:type="pct"/>
                  <w:vAlign w:val="center"/>
                </w:tcPr>
                <w:p w14:paraId="70BEE195">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bCs/>
                      <w:color w:val="auto"/>
                      <w:kern w:val="0"/>
                      <w:szCs w:val="21"/>
                    </w:rPr>
                  </w:pPr>
                  <w:r>
                    <w:rPr>
                      <w:rFonts w:hint="eastAsia" w:ascii="宋体"/>
                      <w:bCs/>
                      <w:color w:val="auto"/>
                      <w:kern w:val="0"/>
                      <w:sz w:val="24"/>
                      <w:szCs w:val="20"/>
                    </w:rPr>
                    <w:t>日</w:t>
                  </w:r>
                  <w:r>
                    <w:rPr>
                      <w:bCs/>
                      <w:color w:val="auto"/>
                      <w:kern w:val="0"/>
                      <w:szCs w:val="21"/>
                    </w:rPr>
                    <w:t>平均</w:t>
                  </w:r>
                </w:p>
              </w:tc>
              <w:tc>
                <w:tcPr>
                  <w:tcW w:w="380" w:type="pct"/>
                  <w:vAlign w:val="center"/>
                </w:tcPr>
                <w:p w14:paraId="2C336486">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bCs/>
                      <w:color w:val="auto"/>
                      <w:kern w:val="0"/>
                      <w:szCs w:val="21"/>
                    </w:rPr>
                  </w:pPr>
                  <w:r>
                    <w:rPr>
                      <w:bCs/>
                      <w:color w:val="auto"/>
                      <w:kern w:val="0"/>
                      <w:szCs w:val="21"/>
                    </w:rPr>
                    <w:t>0.</w:t>
                  </w:r>
                  <w:r>
                    <w:rPr>
                      <w:rFonts w:hint="eastAsia"/>
                      <w:bCs/>
                      <w:color w:val="auto"/>
                      <w:kern w:val="0"/>
                      <w:szCs w:val="21"/>
                    </w:rPr>
                    <w:t>15</w:t>
                  </w:r>
                </w:p>
              </w:tc>
              <w:tc>
                <w:tcPr>
                  <w:tcW w:w="376" w:type="pct"/>
                  <w:vAlign w:val="center"/>
                </w:tcPr>
                <w:p w14:paraId="2C774DDB">
                  <w:pPr>
                    <w:keepNext w:val="0"/>
                    <w:keepLines w:val="0"/>
                    <w:pageBreakBefore w:val="0"/>
                    <w:widowControl w:val="0"/>
                    <w:kinsoku/>
                    <w:wordWrap/>
                    <w:overflowPunct/>
                    <w:topLinePunct w:val="0"/>
                    <w:autoSpaceDE/>
                    <w:autoSpaceDN/>
                    <w:bidi w:val="0"/>
                    <w:snapToGrid/>
                    <w:spacing w:line="240" w:lineRule="auto"/>
                    <w:jc w:val="center"/>
                    <w:rPr>
                      <w:bCs/>
                      <w:color w:val="auto"/>
                      <w:szCs w:val="21"/>
                    </w:rPr>
                  </w:pPr>
                  <w:r>
                    <w:rPr>
                      <w:bCs/>
                      <w:color w:val="auto"/>
                      <w:szCs w:val="21"/>
                    </w:rPr>
                    <w:t>0.</w:t>
                  </w:r>
                  <w:r>
                    <w:rPr>
                      <w:rFonts w:hint="eastAsia"/>
                      <w:bCs/>
                      <w:color w:val="auto"/>
                      <w:szCs w:val="21"/>
                    </w:rPr>
                    <w:t>08</w:t>
                  </w:r>
                </w:p>
              </w:tc>
              <w:tc>
                <w:tcPr>
                  <w:tcW w:w="376" w:type="pct"/>
                  <w:vAlign w:val="center"/>
                </w:tcPr>
                <w:p w14:paraId="7E5E31BD">
                  <w:pPr>
                    <w:keepNext w:val="0"/>
                    <w:keepLines w:val="0"/>
                    <w:pageBreakBefore w:val="0"/>
                    <w:widowControl w:val="0"/>
                    <w:kinsoku/>
                    <w:wordWrap/>
                    <w:overflowPunct/>
                    <w:topLinePunct w:val="0"/>
                    <w:autoSpaceDE/>
                    <w:autoSpaceDN/>
                    <w:bidi w:val="0"/>
                    <w:snapToGrid/>
                    <w:spacing w:line="240" w:lineRule="auto"/>
                    <w:jc w:val="center"/>
                    <w:rPr>
                      <w:bCs/>
                      <w:color w:val="auto"/>
                      <w:szCs w:val="21"/>
                    </w:rPr>
                  </w:pPr>
                  <w:r>
                    <w:rPr>
                      <w:bCs/>
                      <w:color w:val="auto"/>
                      <w:szCs w:val="21"/>
                    </w:rPr>
                    <w:t>4</w:t>
                  </w:r>
                </w:p>
              </w:tc>
              <w:tc>
                <w:tcPr>
                  <w:tcW w:w="376" w:type="pct"/>
                  <w:vAlign w:val="center"/>
                </w:tcPr>
                <w:p w14:paraId="602E383F">
                  <w:pPr>
                    <w:keepNext w:val="0"/>
                    <w:keepLines w:val="0"/>
                    <w:pageBreakBefore w:val="0"/>
                    <w:widowControl w:val="0"/>
                    <w:kinsoku/>
                    <w:wordWrap/>
                    <w:overflowPunct/>
                    <w:topLinePunct w:val="0"/>
                    <w:autoSpaceDE/>
                    <w:autoSpaceDN/>
                    <w:bidi w:val="0"/>
                    <w:snapToGrid/>
                    <w:spacing w:line="240" w:lineRule="auto"/>
                    <w:jc w:val="center"/>
                    <w:rPr>
                      <w:bCs/>
                      <w:color w:val="auto"/>
                      <w:szCs w:val="21"/>
                    </w:rPr>
                  </w:pPr>
                  <w:r>
                    <w:rPr>
                      <w:color w:val="auto"/>
                      <w:szCs w:val="21"/>
                    </w:rPr>
                    <w:t>0.16</w:t>
                  </w:r>
                  <w:r>
                    <w:rPr>
                      <w:b/>
                      <w:color w:val="auto"/>
                      <w:szCs w:val="21"/>
                    </w:rPr>
                    <w:t>*</w:t>
                  </w:r>
                </w:p>
              </w:tc>
              <w:tc>
                <w:tcPr>
                  <w:tcW w:w="376" w:type="pct"/>
                  <w:vAlign w:val="center"/>
                </w:tcPr>
                <w:p w14:paraId="067DD0F3">
                  <w:pPr>
                    <w:keepNext w:val="0"/>
                    <w:keepLines w:val="0"/>
                    <w:pageBreakBefore w:val="0"/>
                    <w:widowControl w:val="0"/>
                    <w:kinsoku/>
                    <w:wordWrap/>
                    <w:overflowPunct/>
                    <w:topLinePunct w:val="0"/>
                    <w:autoSpaceDE/>
                    <w:autoSpaceDN/>
                    <w:bidi w:val="0"/>
                    <w:snapToGrid/>
                    <w:spacing w:line="240" w:lineRule="auto"/>
                    <w:jc w:val="center"/>
                    <w:rPr>
                      <w:bCs/>
                      <w:color w:val="auto"/>
                      <w:szCs w:val="21"/>
                    </w:rPr>
                  </w:pPr>
                  <w:r>
                    <w:rPr>
                      <w:bCs/>
                      <w:color w:val="auto"/>
                      <w:szCs w:val="21"/>
                    </w:rPr>
                    <w:t>0.1</w:t>
                  </w:r>
                  <w:r>
                    <w:rPr>
                      <w:rFonts w:hint="eastAsia"/>
                      <w:bCs/>
                      <w:color w:val="auto"/>
                      <w:szCs w:val="21"/>
                    </w:rPr>
                    <w:t>2</w:t>
                  </w:r>
                </w:p>
              </w:tc>
              <w:tc>
                <w:tcPr>
                  <w:tcW w:w="376" w:type="pct"/>
                  <w:vAlign w:val="center"/>
                </w:tcPr>
                <w:p w14:paraId="1B93DB4D">
                  <w:pPr>
                    <w:keepNext w:val="0"/>
                    <w:keepLines w:val="0"/>
                    <w:pageBreakBefore w:val="0"/>
                    <w:widowControl w:val="0"/>
                    <w:kinsoku/>
                    <w:wordWrap/>
                    <w:overflowPunct/>
                    <w:topLinePunct w:val="0"/>
                    <w:autoSpaceDE/>
                    <w:autoSpaceDN/>
                    <w:bidi w:val="0"/>
                    <w:snapToGrid/>
                    <w:spacing w:line="240" w:lineRule="auto"/>
                    <w:jc w:val="center"/>
                    <w:rPr>
                      <w:bCs/>
                      <w:color w:val="auto"/>
                      <w:szCs w:val="21"/>
                    </w:rPr>
                  </w:pPr>
                  <w:r>
                    <w:rPr>
                      <w:bCs/>
                      <w:color w:val="auto"/>
                      <w:szCs w:val="21"/>
                    </w:rPr>
                    <w:t>0.0</w:t>
                  </w:r>
                  <w:r>
                    <w:rPr>
                      <w:rFonts w:hint="eastAsia"/>
                      <w:bCs/>
                      <w:color w:val="auto"/>
                      <w:szCs w:val="21"/>
                    </w:rPr>
                    <w:t>60</w:t>
                  </w:r>
                </w:p>
              </w:tc>
              <w:tc>
                <w:tcPr>
                  <w:tcW w:w="376" w:type="pct"/>
                  <w:vAlign w:val="center"/>
                </w:tcPr>
                <w:p w14:paraId="49845F41">
                  <w:pPr>
                    <w:keepNext w:val="0"/>
                    <w:keepLines w:val="0"/>
                    <w:pageBreakBefore w:val="0"/>
                    <w:widowControl w:val="0"/>
                    <w:kinsoku/>
                    <w:wordWrap/>
                    <w:overflowPunct/>
                    <w:topLinePunct w:val="0"/>
                    <w:autoSpaceDE/>
                    <w:autoSpaceDN/>
                    <w:bidi w:val="0"/>
                    <w:snapToGrid/>
                    <w:spacing w:line="240" w:lineRule="auto"/>
                    <w:jc w:val="center"/>
                    <w:rPr>
                      <w:bCs/>
                      <w:color w:val="auto"/>
                      <w:szCs w:val="21"/>
                    </w:rPr>
                  </w:pPr>
                  <w:r>
                    <w:rPr>
                      <w:bCs/>
                      <w:color w:val="auto"/>
                      <w:szCs w:val="21"/>
                    </w:rPr>
                    <w:t>0.30</w:t>
                  </w:r>
                </w:p>
              </w:tc>
            </w:tr>
            <w:tr w14:paraId="7D74B60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283" w:hRule="atLeast"/>
                <w:jc w:val="center"/>
              </w:trPr>
              <w:tc>
                <w:tcPr>
                  <w:tcW w:w="1286" w:type="pct"/>
                  <w:vMerge w:val="continue"/>
                  <w:vAlign w:val="center"/>
                </w:tcPr>
                <w:p w14:paraId="769CA7A2">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bCs/>
                      <w:color w:val="auto"/>
                      <w:kern w:val="0"/>
                      <w:szCs w:val="21"/>
                    </w:rPr>
                  </w:pPr>
                </w:p>
              </w:tc>
              <w:tc>
                <w:tcPr>
                  <w:tcW w:w="338" w:type="pct"/>
                  <w:vMerge w:val="continue"/>
                  <w:vAlign w:val="center"/>
                </w:tcPr>
                <w:p w14:paraId="2EBF6E21">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bCs/>
                      <w:color w:val="auto"/>
                      <w:kern w:val="0"/>
                      <w:szCs w:val="21"/>
                    </w:rPr>
                  </w:pPr>
                </w:p>
              </w:tc>
              <w:tc>
                <w:tcPr>
                  <w:tcW w:w="741" w:type="pct"/>
                  <w:vAlign w:val="center"/>
                </w:tcPr>
                <w:p w14:paraId="04C59D5A">
                  <w:pPr>
                    <w:keepNext w:val="0"/>
                    <w:keepLines w:val="0"/>
                    <w:pageBreakBefore w:val="0"/>
                    <w:widowControl w:val="0"/>
                    <w:kinsoku/>
                    <w:wordWrap/>
                    <w:overflowPunct/>
                    <w:topLinePunct w:val="0"/>
                    <w:autoSpaceDE/>
                    <w:autoSpaceDN/>
                    <w:bidi w:val="0"/>
                    <w:snapToGrid/>
                    <w:spacing w:line="240" w:lineRule="auto"/>
                    <w:jc w:val="center"/>
                    <w:rPr>
                      <w:bCs/>
                      <w:color w:val="auto"/>
                      <w:szCs w:val="21"/>
                    </w:rPr>
                  </w:pPr>
                  <w:r>
                    <w:rPr>
                      <w:bCs/>
                      <w:color w:val="auto"/>
                      <w:kern w:val="0"/>
                      <w:szCs w:val="21"/>
                    </w:rPr>
                    <w:t>1小时平均</w:t>
                  </w:r>
                </w:p>
              </w:tc>
              <w:tc>
                <w:tcPr>
                  <w:tcW w:w="380" w:type="pct"/>
                  <w:vAlign w:val="center"/>
                </w:tcPr>
                <w:p w14:paraId="45A88D47">
                  <w:pPr>
                    <w:keepNext w:val="0"/>
                    <w:keepLines w:val="0"/>
                    <w:pageBreakBefore w:val="0"/>
                    <w:widowControl w:val="0"/>
                    <w:kinsoku/>
                    <w:wordWrap/>
                    <w:overflowPunct/>
                    <w:topLinePunct w:val="0"/>
                    <w:autoSpaceDE/>
                    <w:autoSpaceDN/>
                    <w:bidi w:val="0"/>
                    <w:snapToGrid/>
                    <w:spacing w:line="240" w:lineRule="auto"/>
                    <w:jc w:val="center"/>
                    <w:rPr>
                      <w:bCs/>
                      <w:color w:val="auto"/>
                      <w:szCs w:val="21"/>
                    </w:rPr>
                  </w:pPr>
                  <w:r>
                    <w:rPr>
                      <w:bCs/>
                      <w:color w:val="auto"/>
                      <w:kern w:val="0"/>
                      <w:szCs w:val="21"/>
                    </w:rPr>
                    <w:t>0.</w:t>
                  </w:r>
                  <w:r>
                    <w:rPr>
                      <w:rFonts w:hint="eastAsia"/>
                      <w:bCs/>
                      <w:color w:val="auto"/>
                      <w:kern w:val="0"/>
                      <w:szCs w:val="21"/>
                    </w:rPr>
                    <w:t>50</w:t>
                  </w:r>
                </w:p>
              </w:tc>
              <w:tc>
                <w:tcPr>
                  <w:tcW w:w="376" w:type="pct"/>
                  <w:vAlign w:val="center"/>
                </w:tcPr>
                <w:p w14:paraId="1809DD17">
                  <w:pPr>
                    <w:keepNext w:val="0"/>
                    <w:keepLines w:val="0"/>
                    <w:pageBreakBefore w:val="0"/>
                    <w:widowControl w:val="0"/>
                    <w:kinsoku/>
                    <w:wordWrap/>
                    <w:overflowPunct/>
                    <w:topLinePunct w:val="0"/>
                    <w:autoSpaceDE/>
                    <w:autoSpaceDN/>
                    <w:bidi w:val="0"/>
                    <w:snapToGrid/>
                    <w:spacing w:line="240" w:lineRule="auto"/>
                    <w:jc w:val="center"/>
                    <w:rPr>
                      <w:bCs/>
                      <w:color w:val="auto"/>
                      <w:szCs w:val="21"/>
                    </w:rPr>
                  </w:pPr>
                  <w:r>
                    <w:rPr>
                      <w:bCs/>
                      <w:color w:val="auto"/>
                      <w:szCs w:val="21"/>
                    </w:rPr>
                    <w:t>0.</w:t>
                  </w:r>
                  <w:r>
                    <w:rPr>
                      <w:rFonts w:hint="eastAsia"/>
                      <w:bCs/>
                      <w:color w:val="auto"/>
                      <w:szCs w:val="21"/>
                    </w:rPr>
                    <w:t>20</w:t>
                  </w:r>
                </w:p>
              </w:tc>
              <w:tc>
                <w:tcPr>
                  <w:tcW w:w="376" w:type="pct"/>
                  <w:vAlign w:val="center"/>
                </w:tcPr>
                <w:p w14:paraId="194F1582">
                  <w:pPr>
                    <w:keepNext w:val="0"/>
                    <w:keepLines w:val="0"/>
                    <w:pageBreakBefore w:val="0"/>
                    <w:widowControl w:val="0"/>
                    <w:kinsoku/>
                    <w:wordWrap/>
                    <w:overflowPunct/>
                    <w:topLinePunct w:val="0"/>
                    <w:autoSpaceDE/>
                    <w:autoSpaceDN/>
                    <w:bidi w:val="0"/>
                    <w:snapToGrid/>
                    <w:spacing w:line="240" w:lineRule="auto"/>
                    <w:jc w:val="center"/>
                    <w:rPr>
                      <w:bCs/>
                      <w:color w:val="auto"/>
                      <w:szCs w:val="21"/>
                    </w:rPr>
                  </w:pPr>
                  <w:r>
                    <w:rPr>
                      <w:bCs/>
                      <w:color w:val="auto"/>
                      <w:szCs w:val="21"/>
                    </w:rPr>
                    <w:t>10</w:t>
                  </w:r>
                </w:p>
              </w:tc>
              <w:tc>
                <w:tcPr>
                  <w:tcW w:w="376" w:type="pct"/>
                  <w:vAlign w:val="center"/>
                </w:tcPr>
                <w:p w14:paraId="0C07AD64">
                  <w:pPr>
                    <w:keepNext w:val="0"/>
                    <w:keepLines w:val="0"/>
                    <w:pageBreakBefore w:val="0"/>
                    <w:widowControl w:val="0"/>
                    <w:kinsoku/>
                    <w:wordWrap/>
                    <w:overflowPunct/>
                    <w:topLinePunct w:val="0"/>
                    <w:autoSpaceDE/>
                    <w:autoSpaceDN/>
                    <w:bidi w:val="0"/>
                    <w:snapToGrid/>
                    <w:spacing w:line="240" w:lineRule="auto"/>
                    <w:jc w:val="center"/>
                    <w:rPr>
                      <w:bCs/>
                      <w:color w:val="auto"/>
                      <w:szCs w:val="21"/>
                    </w:rPr>
                  </w:pPr>
                  <w:r>
                    <w:rPr>
                      <w:bCs/>
                      <w:color w:val="auto"/>
                      <w:szCs w:val="21"/>
                    </w:rPr>
                    <w:t>0.20</w:t>
                  </w:r>
                </w:p>
              </w:tc>
              <w:tc>
                <w:tcPr>
                  <w:tcW w:w="376" w:type="pct"/>
                  <w:vAlign w:val="center"/>
                </w:tcPr>
                <w:p w14:paraId="2926C48A">
                  <w:pPr>
                    <w:keepNext w:val="0"/>
                    <w:keepLines w:val="0"/>
                    <w:pageBreakBefore w:val="0"/>
                    <w:widowControl w:val="0"/>
                    <w:kinsoku/>
                    <w:wordWrap/>
                    <w:overflowPunct/>
                    <w:topLinePunct w:val="0"/>
                    <w:autoSpaceDE/>
                    <w:autoSpaceDN/>
                    <w:bidi w:val="0"/>
                    <w:snapToGrid/>
                    <w:spacing w:line="240" w:lineRule="auto"/>
                    <w:jc w:val="center"/>
                    <w:rPr>
                      <w:bCs/>
                      <w:color w:val="auto"/>
                      <w:szCs w:val="21"/>
                    </w:rPr>
                  </w:pPr>
                  <w:r>
                    <w:rPr>
                      <w:bCs/>
                      <w:color w:val="auto"/>
                      <w:szCs w:val="21"/>
                    </w:rPr>
                    <w:t>/</w:t>
                  </w:r>
                </w:p>
              </w:tc>
              <w:tc>
                <w:tcPr>
                  <w:tcW w:w="376" w:type="pct"/>
                  <w:vAlign w:val="center"/>
                </w:tcPr>
                <w:p w14:paraId="3106A104">
                  <w:pPr>
                    <w:keepNext w:val="0"/>
                    <w:keepLines w:val="0"/>
                    <w:pageBreakBefore w:val="0"/>
                    <w:widowControl w:val="0"/>
                    <w:kinsoku/>
                    <w:wordWrap/>
                    <w:overflowPunct/>
                    <w:topLinePunct w:val="0"/>
                    <w:autoSpaceDE/>
                    <w:autoSpaceDN/>
                    <w:bidi w:val="0"/>
                    <w:snapToGrid/>
                    <w:spacing w:line="240" w:lineRule="auto"/>
                    <w:jc w:val="center"/>
                    <w:rPr>
                      <w:bCs/>
                      <w:color w:val="auto"/>
                      <w:szCs w:val="21"/>
                    </w:rPr>
                  </w:pPr>
                  <w:r>
                    <w:rPr>
                      <w:bCs/>
                      <w:color w:val="auto"/>
                      <w:szCs w:val="21"/>
                    </w:rPr>
                    <w:t>/</w:t>
                  </w:r>
                </w:p>
              </w:tc>
              <w:tc>
                <w:tcPr>
                  <w:tcW w:w="376" w:type="pct"/>
                  <w:vAlign w:val="center"/>
                </w:tcPr>
                <w:p w14:paraId="71CD008C">
                  <w:pPr>
                    <w:keepNext w:val="0"/>
                    <w:keepLines w:val="0"/>
                    <w:pageBreakBefore w:val="0"/>
                    <w:widowControl w:val="0"/>
                    <w:kinsoku/>
                    <w:wordWrap/>
                    <w:overflowPunct/>
                    <w:topLinePunct w:val="0"/>
                    <w:autoSpaceDE/>
                    <w:autoSpaceDN/>
                    <w:bidi w:val="0"/>
                    <w:snapToGrid/>
                    <w:spacing w:line="240" w:lineRule="auto"/>
                    <w:jc w:val="center"/>
                    <w:rPr>
                      <w:bCs/>
                      <w:color w:val="auto"/>
                      <w:szCs w:val="21"/>
                    </w:rPr>
                  </w:pPr>
                  <w:r>
                    <w:rPr>
                      <w:bCs/>
                      <w:color w:val="auto"/>
                      <w:szCs w:val="21"/>
                    </w:rPr>
                    <w:t>/</w:t>
                  </w:r>
                </w:p>
              </w:tc>
            </w:tr>
            <w:tr w14:paraId="2FE3503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283" w:hRule="atLeast"/>
                <w:jc w:val="center"/>
              </w:trPr>
              <w:tc>
                <w:tcPr>
                  <w:tcW w:w="1286" w:type="pct"/>
                  <w:vMerge w:val="restart"/>
                  <w:vAlign w:val="center"/>
                </w:tcPr>
                <w:p w14:paraId="13C97F8F">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bCs/>
                      <w:color w:val="auto"/>
                      <w:kern w:val="0"/>
                      <w:szCs w:val="21"/>
                    </w:rPr>
                  </w:pPr>
                  <w:r>
                    <w:rPr>
                      <w:bCs/>
                      <w:color w:val="auto"/>
                      <w:kern w:val="0"/>
                      <w:szCs w:val="21"/>
                    </w:rPr>
                    <w:t>《环境空气质量标准》</w:t>
                  </w:r>
                </w:p>
                <w:p w14:paraId="6A23AAEA">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bCs/>
                      <w:color w:val="auto"/>
                      <w:kern w:val="0"/>
                      <w:szCs w:val="21"/>
                    </w:rPr>
                  </w:pPr>
                  <w:r>
                    <w:rPr>
                      <w:bCs/>
                      <w:color w:val="auto"/>
                      <w:kern w:val="0"/>
                      <w:szCs w:val="21"/>
                    </w:rPr>
                    <w:t>（GB3095-20</w:t>
                  </w:r>
                  <w:r>
                    <w:rPr>
                      <w:rFonts w:hint="eastAsia"/>
                      <w:bCs/>
                      <w:color w:val="auto"/>
                      <w:kern w:val="0"/>
                      <w:szCs w:val="21"/>
                    </w:rPr>
                    <w:t>26</w:t>
                  </w:r>
                  <w:r>
                    <w:rPr>
                      <w:bCs/>
                      <w:color w:val="auto"/>
                      <w:kern w:val="0"/>
                      <w:szCs w:val="21"/>
                    </w:rPr>
                    <w:t>）</w:t>
                  </w:r>
                </w:p>
                <w:p w14:paraId="3723C10E">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bCs/>
                      <w:color w:val="auto"/>
                      <w:kern w:val="0"/>
                      <w:szCs w:val="21"/>
                    </w:rPr>
                  </w:pPr>
                  <w:r>
                    <w:rPr>
                      <w:bCs/>
                      <w:color w:val="auto"/>
                      <w:kern w:val="0"/>
                      <w:szCs w:val="21"/>
                    </w:rPr>
                    <w:t>（浓度限值）</w:t>
                  </w:r>
                </w:p>
              </w:tc>
              <w:tc>
                <w:tcPr>
                  <w:tcW w:w="338" w:type="pct"/>
                  <w:vMerge w:val="restart"/>
                  <w:vAlign w:val="center"/>
                </w:tcPr>
                <w:p w14:paraId="38C40408">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bCs/>
                      <w:color w:val="auto"/>
                      <w:kern w:val="0"/>
                      <w:szCs w:val="21"/>
                    </w:rPr>
                  </w:pPr>
                  <w:r>
                    <w:rPr>
                      <w:bCs/>
                      <w:color w:val="auto"/>
                      <w:kern w:val="0"/>
                      <w:szCs w:val="21"/>
                    </w:rPr>
                    <w:t>二级</w:t>
                  </w:r>
                </w:p>
              </w:tc>
              <w:tc>
                <w:tcPr>
                  <w:tcW w:w="741" w:type="pct"/>
                  <w:vAlign w:val="center"/>
                </w:tcPr>
                <w:p w14:paraId="42A3EB8C">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bCs/>
                      <w:color w:val="auto"/>
                      <w:kern w:val="0"/>
                      <w:szCs w:val="21"/>
                    </w:rPr>
                  </w:pPr>
                  <w:r>
                    <w:rPr>
                      <w:rFonts w:hint="eastAsia" w:ascii="宋体"/>
                      <w:bCs/>
                      <w:color w:val="auto"/>
                      <w:kern w:val="0"/>
                      <w:sz w:val="24"/>
                      <w:szCs w:val="20"/>
                    </w:rPr>
                    <w:t>日</w:t>
                  </w:r>
                  <w:r>
                    <w:rPr>
                      <w:bCs/>
                      <w:color w:val="auto"/>
                      <w:kern w:val="0"/>
                      <w:szCs w:val="21"/>
                    </w:rPr>
                    <w:t>平均</w:t>
                  </w:r>
                </w:p>
              </w:tc>
              <w:tc>
                <w:tcPr>
                  <w:tcW w:w="380" w:type="pct"/>
                  <w:vAlign w:val="center"/>
                </w:tcPr>
                <w:p w14:paraId="0F6D331A">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bCs/>
                      <w:color w:val="auto"/>
                      <w:kern w:val="0"/>
                      <w:szCs w:val="21"/>
                    </w:rPr>
                  </w:pPr>
                  <w:r>
                    <w:rPr>
                      <w:bCs/>
                      <w:color w:val="auto"/>
                      <w:kern w:val="0"/>
                      <w:szCs w:val="21"/>
                    </w:rPr>
                    <w:t>0.</w:t>
                  </w:r>
                  <w:r>
                    <w:rPr>
                      <w:rFonts w:hint="eastAsia"/>
                      <w:bCs/>
                      <w:color w:val="auto"/>
                      <w:kern w:val="0"/>
                      <w:szCs w:val="21"/>
                    </w:rPr>
                    <w:t>05</w:t>
                  </w:r>
                </w:p>
              </w:tc>
              <w:tc>
                <w:tcPr>
                  <w:tcW w:w="376" w:type="pct"/>
                  <w:vAlign w:val="center"/>
                </w:tcPr>
                <w:p w14:paraId="5063CD44">
                  <w:pPr>
                    <w:keepNext w:val="0"/>
                    <w:keepLines w:val="0"/>
                    <w:pageBreakBefore w:val="0"/>
                    <w:widowControl w:val="0"/>
                    <w:kinsoku/>
                    <w:wordWrap/>
                    <w:overflowPunct/>
                    <w:topLinePunct w:val="0"/>
                    <w:autoSpaceDE/>
                    <w:autoSpaceDN/>
                    <w:bidi w:val="0"/>
                    <w:snapToGrid/>
                    <w:spacing w:line="240" w:lineRule="auto"/>
                    <w:jc w:val="center"/>
                    <w:rPr>
                      <w:bCs/>
                      <w:color w:val="auto"/>
                      <w:szCs w:val="21"/>
                    </w:rPr>
                  </w:pPr>
                  <w:r>
                    <w:rPr>
                      <w:bCs/>
                      <w:color w:val="auto"/>
                      <w:szCs w:val="21"/>
                    </w:rPr>
                    <w:t>0.</w:t>
                  </w:r>
                  <w:r>
                    <w:rPr>
                      <w:rFonts w:hint="eastAsia"/>
                      <w:bCs/>
                      <w:color w:val="auto"/>
                      <w:szCs w:val="21"/>
                    </w:rPr>
                    <w:t>05</w:t>
                  </w:r>
                </w:p>
              </w:tc>
              <w:tc>
                <w:tcPr>
                  <w:tcW w:w="376" w:type="pct"/>
                  <w:vAlign w:val="center"/>
                </w:tcPr>
                <w:p w14:paraId="341579BC">
                  <w:pPr>
                    <w:keepNext w:val="0"/>
                    <w:keepLines w:val="0"/>
                    <w:pageBreakBefore w:val="0"/>
                    <w:widowControl w:val="0"/>
                    <w:kinsoku/>
                    <w:wordWrap/>
                    <w:overflowPunct/>
                    <w:topLinePunct w:val="0"/>
                    <w:autoSpaceDE/>
                    <w:autoSpaceDN/>
                    <w:bidi w:val="0"/>
                    <w:snapToGrid/>
                    <w:spacing w:line="240" w:lineRule="auto"/>
                    <w:jc w:val="center"/>
                    <w:rPr>
                      <w:bCs/>
                      <w:color w:val="auto"/>
                      <w:szCs w:val="21"/>
                    </w:rPr>
                  </w:pPr>
                  <w:r>
                    <w:rPr>
                      <w:bCs/>
                      <w:color w:val="auto"/>
                      <w:szCs w:val="21"/>
                    </w:rPr>
                    <w:t>4</w:t>
                  </w:r>
                </w:p>
              </w:tc>
              <w:tc>
                <w:tcPr>
                  <w:tcW w:w="376" w:type="pct"/>
                  <w:vAlign w:val="center"/>
                </w:tcPr>
                <w:p w14:paraId="31E88761">
                  <w:pPr>
                    <w:keepNext w:val="0"/>
                    <w:keepLines w:val="0"/>
                    <w:pageBreakBefore w:val="0"/>
                    <w:widowControl w:val="0"/>
                    <w:kinsoku/>
                    <w:wordWrap/>
                    <w:overflowPunct/>
                    <w:topLinePunct w:val="0"/>
                    <w:autoSpaceDE/>
                    <w:autoSpaceDN/>
                    <w:bidi w:val="0"/>
                    <w:snapToGrid/>
                    <w:spacing w:line="240" w:lineRule="auto"/>
                    <w:jc w:val="center"/>
                    <w:rPr>
                      <w:bCs/>
                      <w:color w:val="auto"/>
                      <w:szCs w:val="21"/>
                    </w:rPr>
                  </w:pPr>
                  <w:r>
                    <w:rPr>
                      <w:color w:val="auto"/>
                      <w:szCs w:val="21"/>
                    </w:rPr>
                    <w:t>0.16</w:t>
                  </w:r>
                  <w:r>
                    <w:rPr>
                      <w:b/>
                      <w:color w:val="auto"/>
                      <w:szCs w:val="21"/>
                    </w:rPr>
                    <w:t>*</w:t>
                  </w:r>
                </w:p>
              </w:tc>
              <w:tc>
                <w:tcPr>
                  <w:tcW w:w="376" w:type="pct"/>
                  <w:vAlign w:val="center"/>
                </w:tcPr>
                <w:p w14:paraId="35F175CB">
                  <w:pPr>
                    <w:keepNext w:val="0"/>
                    <w:keepLines w:val="0"/>
                    <w:pageBreakBefore w:val="0"/>
                    <w:widowControl w:val="0"/>
                    <w:kinsoku/>
                    <w:wordWrap/>
                    <w:overflowPunct/>
                    <w:topLinePunct w:val="0"/>
                    <w:autoSpaceDE/>
                    <w:autoSpaceDN/>
                    <w:bidi w:val="0"/>
                    <w:snapToGrid/>
                    <w:spacing w:line="240" w:lineRule="auto"/>
                    <w:jc w:val="center"/>
                    <w:rPr>
                      <w:bCs/>
                      <w:color w:val="auto"/>
                      <w:szCs w:val="21"/>
                    </w:rPr>
                  </w:pPr>
                  <w:r>
                    <w:rPr>
                      <w:bCs/>
                      <w:color w:val="auto"/>
                      <w:szCs w:val="21"/>
                    </w:rPr>
                    <w:t>0.1</w:t>
                  </w:r>
                  <w:r>
                    <w:rPr>
                      <w:rFonts w:hint="eastAsia"/>
                      <w:bCs/>
                      <w:color w:val="auto"/>
                      <w:szCs w:val="21"/>
                    </w:rPr>
                    <w:t>0</w:t>
                  </w:r>
                </w:p>
              </w:tc>
              <w:tc>
                <w:tcPr>
                  <w:tcW w:w="376" w:type="pct"/>
                  <w:vAlign w:val="center"/>
                </w:tcPr>
                <w:p w14:paraId="3EF38B81">
                  <w:pPr>
                    <w:keepNext w:val="0"/>
                    <w:keepLines w:val="0"/>
                    <w:pageBreakBefore w:val="0"/>
                    <w:widowControl w:val="0"/>
                    <w:kinsoku/>
                    <w:wordWrap/>
                    <w:overflowPunct/>
                    <w:topLinePunct w:val="0"/>
                    <w:autoSpaceDE/>
                    <w:autoSpaceDN/>
                    <w:bidi w:val="0"/>
                    <w:snapToGrid/>
                    <w:spacing w:line="240" w:lineRule="auto"/>
                    <w:jc w:val="center"/>
                    <w:rPr>
                      <w:bCs/>
                      <w:color w:val="auto"/>
                      <w:szCs w:val="21"/>
                    </w:rPr>
                  </w:pPr>
                  <w:r>
                    <w:rPr>
                      <w:bCs/>
                      <w:color w:val="auto"/>
                      <w:szCs w:val="21"/>
                    </w:rPr>
                    <w:t>0.0</w:t>
                  </w:r>
                  <w:r>
                    <w:rPr>
                      <w:rFonts w:hint="eastAsia"/>
                      <w:bCs/>
                      <w:color w:val="auto"/>
                      <w:szCs w:val="21"/>
                    </w:rPr>
                    <w:t>50</w:t>
                  </w:r>
                </w:p>
              </w:tc>
              <w:tc>
                <w:tcPr>
                  <w:tcW w:w="376" w:type="pct"/>
                  <w:vAlign w:val="center"/>
                </w:tcPr>
                <w:p w14:paraId="38D975B4">
                  <w:pPr>
                    <w:keepNext w:val="0"/>
                    <w:keepLines w:val="0"/>
                    <w:pageBreakBefore w:val="0"/>
                    <w:widowControl w:val="0"/>
                    <w:kinsoku/>
                    <w:wordWrap/>
                    <w:overflowPunct/>
                    <w:topLinePunct w:val="0"/>
                    <w:autoSpaceDE/>
                    <w:autoSpaceDN/>
                    <w:bidi w:val="0"/>
                    <w:snapToGrid/>
                    <w:spacing w:line="240" w:lineRule="auto"/>
                    <w:jc w:val="center"/>
                    <w:rPr>
                      <w:bCs/>
                      <w:color w:val="auto"/>
                      <w:szCs w:val="21"/>
                    </w:rPr>
                  </w:pPr>
                  <w:r>
                    <w:rPr>
                      <w:bCs/>
                      <w:color w:val="auto"/>
                      <w:szCs w:val="21"/>
                    </w:rPr>
                    <w:t>0.30</w:t>
                  </w:r>
                </w:p>
              </w:tc>
            </w:tr>
            <w:tr w14:paraId="20E011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283" w:hRule="atLeast"/>
                <w:jc w:val="center"/>
              </w:trPr>
              <w:tc>
                <w:tcPr>
                  <w:tcW w:w="1286" w:type="pct"/>
                  <w:vMerge w:val="continue"/>
                  <w:vAlign w:val="center"/>
                </w:tcPr>
                <w:p w14:paraId="64BB2951">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bCs/>
                      <w:color w:val="auto"/>
                      <w:kern w:val="0"/>
                      <w:szCs w:val="21"/>
                    </w:rPr>
                  </w:pPr>
                </w:p>
              </w:tc>
              <w:tc>
                <w:tcPr>
                  <w:tcW w:w="338" w:type="pct"/>
                  <w:vMerge w:val="continue"/>
                  <w:vAlign w:val="center"/>
                </w:tcPr>
                <w:p w14:paraId="742B660F">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bCs/>
                      <w:color w:val="auto"/>
                      <w:kern w:val="0"/>
                      <w:szCs w:val="21"/>
                    </w:rPr>
                  </w:pPr>
                </w:p>
              </w:tc>
              <w:tc>
                <w:tcPr>
                  <w:tcW w:w="741" w:type="pct"/>
                  <w:vAlign w:val="center"/>
                </w:tcPr>
                <w:p w14:paraId="7D75E5D9">
                  <w:pPr>
                    <w:keepNext w:val="0"/>
                    <w:keepLines w:val="0"/>
                    <w:pageBreakBefore w:val="0"/>
                    <w:widowControl w:val="0"/>
                    <w:kinsoku/>
                    <w:wordWrap/>
                    <w:overflowPunct/>
                    <w:topLinePunct w:val="0"/>
                    <w:autoSpaceDE/>
                    <w:autoSpaceDN/>
                    <w:bidi w:val="0"/>
                    <w:snapToGrid/>
                    <w:spacing w:line="240" w:lineRule="auto"/>
                    <w:jc w:val="center"/>
                    <w:rPr>
                      <w:bCs/>
                      <w:color w:val="auto"/>
                      <w:szCs w:val="21"/>
                    </w:rPr>
                  </w:pPr>
                  <w:r>
                    <w:rPr>
                      <w:bCs/>
                      <w:color w:val="auto"/>
                      <w:kern w:val="0"/>
                      <w:szCs w:val="21"/>
                    </w:rPr>
                    <w:t>1小时平均</w:t>
                  </w:r>
                </w:p>
              </w:tc>
              <w:tc>
                <w:tcPr>
                  <w:tcW w:w="380" w:type="pct"/>
                  <w:vAlign w:val="center"/>
                </w:tcPr>
                <w:p w14:paraId="3CF94636">
                  <w:pPr>
                    <w:keepNext w:val="0"/>
                    <w:keepLines w:val="0"/>
                    <w:pageBreakBefore w:val="0"/>
                    <w:widowControl w:val="0"/>
                    <w:kinsoku/>
                    <w:wordWrap/>
                    <w:overflowPunct/>
                    <w:topLinePunct w:val="0"/>
                    <w:autoSpaceDE/>
                    <w:autoSpaceDN/>
                    <w:bidi w:val="0"/>
                    <w:snapToGrid/>
                    <w:spacing w:line="240" w:lineRule="auto"/>
                    <w:jc w:val="center"/>
                    <w:rPr>
                      <w:bCs/>
                      <w:color w:val="auto"/>
                      <w:szCs w:val="21"/>
                    </w:rPr>
                  </w:pPr>
                  <w:r>
                    <w:rPr>
                      <w:bCs/>
                      <w:color w:val="auto"/>
                      <w:kern w:val="0"/>
                      <w:szCs w:val="21"/>
                    </w:rPr>
                    <w:t>0.</w:t>
                  </w:r>
                  <w:r>
                    <w:rPr>
                      <w:rFonts w:hint="eastAsia"/>
                      <w:bCs/>
                      <w:color w:val="auto"/>
                      <w:kern w:val="0"/>
                      <w:szCs w:val="21"/>
                    </w:rPr>
                    <w:t>15</w:t>
                  </w:r>
                </w:p>
              </w:tc>
              <w:tc>
                <w:tcPr>
                  <w:tcW w:w="376" w:type="pct"/>
                  <w:vAlign w:val="center"/>
                </w:tcPr>
                <w:p w14:paraId="2196A807">
                  <w:pPr>
                    <w:keepNext w:val="0"/>
                    <w:keepLines w:val="0"/>
                    <w:pageBreakBefore w:val="0"/>
                    <w:widowControl w:val="0"/>
                    <w:kinsoku/>
                    <w:wordWrap/>
                    <w:overflowPunct/>
                    <w:topLinePunct w:val="0"/>
                    <w:autoSpaceDE/>
                    <w:autoSpaceDN/>
                    <w:bidi w:val="0"/>
                    <w:snapToGrid/>
                    <w:spacing w:line="240" w:lineRule="auto"/>
                    <w:jc w:val="center"/>
                    <w:rPr>
                      <w:bCs/>
                      <w:color w:val="auto"/>
                      <w:szCs w:val="21"/>
                    </w:rPr>
                  </w:pPr>
                  <w:r>
                    <w:rPr>
                      <w:bCs/>
                      <w:color w:val="auto"/>
                      <w:szCs w:val="21"/>
                    </w:rPr>
                    <w:t>0.</w:t>
                  </w:r>
                  <w:r>
                    <w:rPr>
                      <w:rFonts w:hint="eastAsia"/>
                      <w:bCs/>
                      <w:color w:val="auto"/>
                      <w:szCs w:val="21"/>
                    </w:rPr>
                    <w:t>20</w:t>
                  </w:r>
                </w:p>
              </w:tc>
              <w:tc>
                <w:tcPr>
                  <w:tcW w:w="376" w:type="pct"/>
                  <w:vAlign w:val="center"/>
                </w:tcPr>
                <w:p w14:paraId="4266F91E">
                  <w:pPr>
                    <w:keepNext w:val="0"/>
                    <w:keepLines w:val="0"/>
                    <w:pageBreakBefore w:val="0"/>
                    <w:widowControl w:val="0"/>
                    <w:kinsoku/>
                    <w:wordWrap/>
                    <w:overflowPunct/>
                    <w:topLinePunct w:val="0"/>
                    <w:autoSpaceDE/>
                    <w:autoSpaceDN/>
                    <w:bidi w:val="0"/>
                    <w:snapToGrid/>
                    <w:spacing w:line="240" w:lineRule="auto"/>
                    <w:jc w:val="center"/>
                    <w:rPr>
                      <w:bCs/>
                      <w:color w:val="auto"/>
                      <w:szCs w:val="21"/>
                    </w:rPr>
                  </w:pPr>
                  <w:r>
                    <w:rPr>
                      <w:bCs/>
                      <w:color w:val="auto"/>
                      <w:szCs w:val="21"/>
                    </w:rPr>
                    <w:t>10</w:t>
                  </w:r>
                </w:p>
              </w:tc>
              <w:tc>
                <w:tcPr>
                  <w:tcW w:w="376" w:type="pct"/>
                  <w:vAlign w:val="center"/>
                </w:tcPr>
                <w:p w14:paraId="4E998EC9">
                  <w:pPr>
                    <w:keepNext w:val="0"/>
                    <w:keepLines w:val="0"/>
                    <w:pageBreakBefore w:val="0"/>
                    <w:widowControl w:val="0"/>
                    <w:kinsoku/>
                    <w:wordWrap/>
                    <w:overflowPunct/>
                    <w:topLinePunct w:val="0"/>
                    <w:autoSpaceDE/>
                    <w:autoSpaceDN/>
                    <w:bidi w:val="0"/>
                    <w:snapToGrid/>
                    <w:spacing w:line="240" w:lineRule="auto"/>
                    <w:jc w:val="center"/>
                    <w:rPr>
                      <w:bCs/>
                      <w:color w:val="auto"/>
                      <w:szCs w:val="21"/>
                    </w:rPr>
                  </w:pPr>
                  <w:r>
                    <w:rPr>
                      <w:bCs/>
                      <w:color w:val="auto"/>
                      <w:szCs w:val="21"/>
                    </w:rPr>
                    <w:t>0.20</w:t>
                  </w:r>
                </w:p>
              </w:tc>
              <w:tc>
                <w:tcPr>
                  <w:tcW w:w="376" w:type="pct"/>
                  <w:vAlign w:val="center"/>
                </w:tcPr>
                <w:p w14:paraId="0955B7D8">
                  <w:pPr>
                    <w:keepNext w:val="0"/>
                    <w:keepLines w:val="0"/>
                    <w:pageBreakBefore w:val="0"/>
                    <w:widowControl w:val="0"/>
                    <w:kinsoku/>
                    <w:wordWrap/>
                    <w:overflowPunct/>
                    <w:topLinePunct w:val="0"/>
                    <w:autoSpaceDE/>
                    <w:autoSpaceDN/>
                    <w:bidi w:val="0"/>
                    <w:snapToGrid/>
                    <w:spacing w:line="240" w:lineRule="auto"/>
                    <w:jc w:val="center"/>
                    <w:rPr>
                      <w:bCs/>
                      <w:color w:val="auto"/>
                      <w:szCs w:val="21"/>
                    </w:rPr>
                  </w:pPr>
                  <w:r>
                    <w:rPr>
                      <w:bCs/>
                      <w:color w:val="auto"/>
                      <w:szCs w:val="21"/>
                    </w:rPr>
                    <w:t>/</w:t>
                  </w:r>
                </w:p>
              </w:tc>
              <w:tc>
                <w:tcPr>
                  <w:tcW w:w="376" w:type="pct"/>
                  <w:vAlign w:val="center"/>
                </w:tcPr>
                <w:p w14:paraId="1D267D92">
                  <w:pPr>
                    <w:keepNext w:val="0"/>
                    <w:keepLines w:val="0"/>
                    <w:pageBreakBefore w:val="0"/>
                    <w:widowControl w:val="0"/>
                    <w:kinsoku/>
                    <w:wordWrap/>
                    <w:overflowPunct/>
                    <w:topLinePunct w:val="0"/>
                    <w:autoSpaceDE/>
                    <w:autoSpaceDN/>
                    <w:bidi w:val="0"/>
                    <w:snapToGrid/>
                    <w:spacing w:line="240" w:lineRule="auto"/>
                    <w:jc w:val="center"/>
                    <w:rPr>
                      <w:bCs/>
                      <w:color w:val="auto"/>
                      <w:szCs w:val="21"/>
                    </w:rPr>
                  </w:pPr>
                  <w:r>
                    <w:rPr>
                      <w:bCs/>
                      <w:color w:val="auto"/>
                      <w:szCs w:val="21"/>
                    </w:rPr>
                    <w:t>/</w:t>
                  </w:r>
                </w:p>
              </w:tc>
              <w:tc>
                <w:tcPr>
                  <w:tcW w:w="376" w:type="pct"/>
                  <w:vAlign w:val="center"/>
                </w:tcPr>
                <w:p w14:paraId="49F3CBD7">
                  <w:pPr>
                    <w:keepNext w:val="0"/>
                    <w:keepLines w:val="0"/>
                    <w:pageBreakBefore w:val="0"/>
                    <w:widowControl w:val="0"/>
                    <w:kinsoku/>
                    <w:wordWrap/>
                    <w:overflowPunct/>
                    <w:topLinePunct w:val="0"/>
                    <w:autoSpaceDE/>
                    <w:autoSpaceDN/>
                    <w:bidi w:val="0"/>
                    <w:snapToGrid/>
                    <w:spacing w:line="240" w:lineRule="auto"/>
                    <w:jc w:val="center"/>
                    <w:rPr>
                      <w:bCs/>
                      <w:color w:val="auto"/>
                      <w:szCs w:val="21"/>
                    </w:rPr>
                  </w:pPr>
                  <w:r>
                    <w:rPr>
                      <w:bCs/>
                      <w:color w:val="auto"/>
                      <w:szCs w:val="21"/>
                    </w:rPr>
                    <w:t>/</w:t>
                  </w:r>
                </w:p>
              </w:tc>
            </w:tr>
          </w:tbl>
          <w:p w14:paraId="564AE067">
            <w:pPr>
              <w:rPr>
                <w:rFonts w:hint="eastAsia" w:eastAsia="宋体"/>
                <w:b/>
                <w:color w:val="auto"/>
                <w:szCs w:val="21"/>
                <w:vertAlign w:val="superscript"/>
                <w:lang w:eastAsia="zh-CN"/>
              </w:rPr>
            </w:pPr>
            <w:r>
              <w:rPr>
                <w:rFonts w:hint="eastAsia"/>
                <w:color w:val="auto"/>
                <w:szCs w:val="21"/>
              </w:rPr>
              <w:t>注：O</w:t>
            </w:r>
            <w:r>
              <w:rPr>
                <w:color w:val="auto"/>
                <w:szCs w:val="21"/>
                <w:vertAlign w:val="subscript"/>
              </w:rPr>
              <w:t>3</w:t>
            </w:r>
            <w:r>
              <w:rPr>
                <w:color w:val="auto"/>
                <w:szCs w:val="21"/>
              </w:rPr>
              <w:t>为</w:t>
            </w:r>
            <w:r>
              <w:rPr>
                <w:rFonts w:hint="eastAsia"/>
                <w:color w:val="auto"/>
                <w:szCs w:val="21"/>
              </w:rPr>
              <w:t>日最大8小时平均浓度</w:t>
            </w:r>
            <w:r>
              <w:rPr>
                <w:rFonts w:hint="eastAsia"/>
                <w:color w:val="auto"/>
                <w:szCs w:val="21"/>
                <w:lang w:eastAsia="zh-CN"/>
              </w:rPr>
              <w:t>。</w:t>
            </w:r>
          </w:p>
          <w:p w14:paraId="6711D0ED">
            <w:pPr>
              <w:autoSpaceDE w:val="0"/>
              <w:autoSpaceDN w:val="0"/>
              <w:adjustRightInd w:val="0"/>
              <w:spacing w:before="240" w:beforeLines="100" w:line="300" w:lineRule="auto"/>
              <w:ind w:firstLine="480" w:firstLineChars="200"/>
              <w:rPr>
                <w:kern w:val="0"/>
                <w:sz w:val="24"/>
              </w:rPr>
            </w:pPr>
            <w:r>
              <w:rPr>
                <w:kern w:val="0"/>
                <w:sz w:val="24"/>
              </w:rPr>
              <w:t>(2) 地表水环境</w:t>
            </w:r>
          </w:p>
          <w:p w14:paraId="72E25F62">
            <w:pPr>
              <w:pStyle w:val="11"/>
              <w:keepNext w:val="0"/>
              <w:keepLines w:val="0"/>
              <w:pageBreakBefore w:val="0"/>
              <w:widowControl w:val="0"/>
              <w:kinsoku/>
              <w:wordWrap/>
              <w:overflowPunct/>
              <w:topLinePunct w:val="0"/>
              <w:autoSpaceDE/>
              <w:autoSpaceDN/>
              <w:bidi w:val="0"/>
              <w:adjustRightInd w:val="0"/>
              <w:snapToGrid/>
              <w:spacing w:after="157" w:afterLines="50" w:line="300" w:lineRule="auto"/>
              <w:ind w:left="0" w:leftChars="0" w:firstLine="480" w:firstLineChars="200"/>
              <w:textAlignment w:val="auto"/>
              <w:rPr>
                <w:sz w:val="24"/>
              </w:rPr>
            </w:pPr>
            <w:r>
              <w:rPr>
                <w:sz w:val="24"/>
              </w:rPr>
              <w:t>拟建公路跨越的</w:t>
            </w:r>
            <w:r>
              <w:rPr>
                <w:rFonts w:hint="eastAsia"/>
                <w:sz w:val="24"/>
                <w:lang w:eastAsia="zh-CN"/>
              </w:rPr>
              <w:t>水体1</w:t>
            </w:r>
            <w:r>
              <w:rPr>
                <w:sz w:val="24"/>
              </w:rPr>
              <w:t>全河段执行《地表水环境质量标准》（GB3838-2002）Ⅲ类标准，</w:t>
            </w:r>
            <w:r>
              <w:rPr>
                <w:rFonts w:hint="eastAsia"/>
                <w:sz w:val="24"/>
                <w:lang w:eastAsia="zh-CN"/>
              </w:rPr>
              <w:t>水体2</w:t>
            </w:r>
            <w:r>
              <w:rPr>
                <w:sz w:val="24"/>
              </w:rPr>
              <w:t>参照</w:t>
            </w:r>
            <w:r>
              <w:rPr>
                <w:rFonts w:hint="eastAsia"/>
                <w:sz w:val="24"/>
                <w:lang w:val="en-US" w:eastAsia="zh-CN"/>
              </w:rPr>
              <w:t>执行</w:t>
            </w:r>
            <w:r>
              <w:rPr>
                <w:sz w:val="24"/>
              </w:rPr>
              <w:t>《地表水环境质量标准》（GB3838-2002）Ⅲ类标准。具体标准限值见表3-</w:t>
            </w:r>
            <w:r>
              <w:rPr>
                <w:rFonts w:hint="eastAsia"/>
                <w:sz w:val="24"/>
                <w:lang w:val="en-US" w:eastAsia="zh-CN"/>
              </w:rPr>
              <w:t>18</w:t>
            </w:r>
            <w:r>
              <w:rPr>
                <w:sz w:val="24"/>
              </w:rPr>
              <w:t>。</w:t>
            </w:r>
          </w:p>
          <w:p w14:paraId="188B8DA1">
            <w:pPr>
              <w:keepNext w:val="0"/>
              <w:keepLines w:val="0"/>
              <w:pageBreakBefore w:val="0"/>
              <w:widowControl w:val="0"/>
              <w:kinsoku/>
              <w:wordWrap/>
              <w:overflowPunct/>
              <w:topLinePunct w:val="0"/>
              <w:autoSpaceDE/>
              <w:autoSpaceDN/>
              <w:bidi w:val="0"/>
              <w:adjustRightInd/>
              <w:snapToGrid/>
              <w:spacing w:before="313" w:beforeLines="100"/>
              <w:jc w:val="center"/>
              <w:textAlignment w:val="auto"/>
              <w:rPr>
                <w:rFonts w:eastAsiaTheme="minorEastAsia"/>
                <w:b/>
                <w:bCs/>
              </w:rPr>
            </w:pPr>
            <w:r>
              <w:rPr>
                <w:rFonts w:eastAsiaTheme="minorEastAsia"/>
                <w:b/>
                <w:bCs/>
              </w:rPr>
              <w:t>表</w:t>
            </w:r>
            <w:r>
              <w:rPr>
                <w:rFonts w:hint="eastAsia" w:eastAsiaTheme="minorEastAsia"/>
                <w:b/>
                <w:bCs/>
                <w:lang w:val="en-US" w:eastAsia="zh-CN"/>
              </w:rPr>
              <w:t>3-18</w:t>
            </w:r>
            <w:r>
              <w:rPr>
                <w:rFonts w:eastAsiaTheme="minorEastAsia"/>
                <w:b/>
                <w:bCs/>
              </w:rPr>
              <w:t xml:space="preserve">  </w:t>
            </w:r>
            <w:r>
              <w:rPr>
                <w:rFonts w:eastAsiaTheme="minorEastAsia"/>
                <w:b/>
              </w:rPr>
              <w:t>地表水环境质量标准（GB3838-2002）</w:t>
            </w:r>
            <w:r>
              <w:rPr>
                <w:rFonts w:eastAsiaTheme="minorEastAsia"/>
                <w:b/>
                <w:bCs/>
              </w:rPr>
              <w:t>（摘录）单位：mg/L，pH值除外</w:t>
            </w:r>
          </w:p>
          <w:tbl>
            <w:tblPr>
              <w:tblStyle w:val="22"/>
              <w:tblW w:w="507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425"/>
              <w:gridCol w:w="948"/>
              <w:gridCol w:w="948"/>
              <w:gridCol w:w="948"/>
              <w:gridCol w:w="948"/>
              <w:gridCol w:w="948"/>
              <w:gridCol w:w="948"/>
              <w:gridCol w:w="1408"/>
            </w:tblGrid>
            <w:tr w14:paraId="0B931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jc w:val="center"/>
              </w:trPr>
              <w:tc>
                <w:tcPr>
                  <w:tcW w:w="836" w:type="pct"/>
                  <w:vAlign w:val="center"/>
                </w:tcPr>
                <w:p w14:paraId="3CC506A2">
                  <w:pPr>
                    <w:jc w:val="center"/>
                    <w:rPr>
                      <w:rFonts w:eastAsiaTheme="minorEastAsia"/>
                      <w:b/>
                    </w:rPr>
                  </w:pPr>
                  <w:r>
                    <w:rPr>
                      <w:rFonts w:eastAsiaTheme="minorEastAsia"/>
                      <w:b/>
                    </w:rPr>
                    <w:t>评价标准</w:t>
                  </w:r>
                </w:p>
              </w:tc>
              <w:tc>
                <w:tcPr>
                  <w:tcW w:w="556" w:type="pct"/>
                  <w:vAlign w:val="center"/>
                </w:tcPr>
                <w:p w14:paraId="6D9C4C54">
                  <w:pPr>
                    <w:jc w:val="center"/>
                    <w:rPr>
                      <w:rFonts w:eastAsiaTheme="minorEastAsia"/>
                      <w:b/>
                    </w:rPr>
                  </w:pPr>
                  <w:r>
                    <w:rPr>
                      <w:rFonts w:eastAsiaTheme="minorEastAsia"/>
                      <w:b/>
                    </w:rPr>
                    <w:t>pH</w:t>
                  </w:r>
                </w:p>
              </w:tc>
              <w:tc>
                <w:tcPr>
                  <w:tcW w:w="556" w:type="pct"/>
                  <w:vAlign w:val="center"/>
                </w:tcPr>
                <w:p w14:paraId="20292203">
                  <w:pPr>
                    <w:jc w:val="center"/>
                    <w:rPr>
                      <w:rFonts w:eastAsiaTheme="minorEastAsia"/>
                      <w:b/>
                    </w:rPr>
                  </w:pPr>
                  <w:r>
                    <w:rPr>
                      <w:rFonts w:eastAsiaTheme="minorEastAsia"/>
                      <w:b/>
                    </w:rPr>
                    <w:t>BOD</w:t>
                  </w:r>
                  <w:r>
                    <w:rPr>
                      <w:rFonts w:eastAsiaTheme="minorEastAsia"/>
                      <w:b/>
                      <w:vertAlign w:val="subscript"/>
                    </w:rPr>
                    <w:t>5</w:t>
                  </w:r>
                </w:p>
              </w:tc>
              <w:tc>
                <w:tcPr>
                  <w:tcW w:w="556" w:type="pct"/>
                  <w:vAlign w:val="center"/>
                </w:tcPr>
                <w:p w14:paraId="650A8B5A">
                  <w:pPr>
                    <w:jc w:val="center"/>
                    <w:rPr>
                      <w:rFonts w:eastAsiaTheme="minorEastAsia"/>
                      <w:b/>
                    </w:rPr>
                  </w:pPr>
                  <w:r>
                    <w:rPr>
                      <w:rFonts w:eastAsiaTheme="minorEastAsia"/>
                      <w:b/>
                    </w:rPr>
                    <w:t>COD</w:t>
                  </w:r>
                </w:p>
              </w:tc>
              <w:tc>
                <w:tcPr>
                  <w:tcW w:w="556" w:type="pct"/>
                  <w:vAlign w:val="center"/>
                </w:tcPr>
                <w:p w14:paraId="6090F9B9">
                  <w:pPr>
                    <w:jc w:val="center"/>
                    <w:rPr>
                      <w:rFonts w:eastAsiaTheme="minorEastAsia"/>
                      <w:b/>
                    </w:rPr>
                  </w:pPr>
                  <w:r>
                    <w:rPr>
                      <w:rFonts w:eastAsiaTheme="minorEastAsia"/>
                      <w:b/>
                    </w:rPr>
                    <w:t>总磷</w:t>
                  </w:r>
                </w:p>
              </w:tc>
              <w:tc>
                <w:tcPr>
                  <w:tcW w:w="556" w:type="pct"/>
                  <w:vAlign w:val="center"/>
                </w:tcPr>
                <w:p w14:paraId="34C91BFA">
                  <w:pPr>
                    <w:jc w:val="center"/>
                    <w:rPr>
                      <w:rFonts w:eastAsiaTheme="minorEastAsia"/>
                      <w:b/>
                    </w:rPr>
                  </w:pPr>
                  <w:r>
                    <w:rPr>
                      <w:rFonts w:eastAsiaTheme="minorEastAsia"/>
                      <w:b/>
                    </w:rPr>
                    <w:t>NH</w:t>
                  </w:r>
                  <w:r>
                    <w:rPr>
                      <w:rFonts w:eastAsiaTheme="minorEastAsia"/>
                      <w:b/>
                      <w:vertAlign w:val="subscript"/>
                    </w:rPr>
                    <w:t>3</w:t>
                  </w:r>
                  <w:r>
                    <w:rPr>
                      <w:rFonts w:eastAsiaTheme="minorEastAsia"/>
                      <w:b/>
                    </w:rPr>
                    <w:t>-N</w:t>
                  </w:r>
                </w:p>
              </w:tc>
              <w:tc>
                <w:tcPr>
                  <w:tcW w:w="556" w:type="pct"/>
                  <w:vAlign w:val="center"/>
                </w:tcPr>
                <w:p w14:paraId="224323A2">
                  <w:pPr>
                    <w:jc w:val="center"/>
                    <w:rPr>
                      <w:rFonts w:eastAsiaTheme="minorEastAsia"/>
                      <w:b/>
                    </w:rPr>
                  </w:pPr>
                  <w:r>
                    <w:rPr>
                      <w:rFonts w:eastAsiaTheme="minorEastAsia"/>
                      <w:b/>
                    </w:rPr>
                    <w:t>石油类</w:t>
                  </w:r>
                </w:p>
              </w:tc>
              <w:tc>
                <w:tcPr>
                  <w:tcW w:w="826" w:type="pct"/>
                  <w:vAlign w:val="center"/>
                </w:tcPr>
                <w:p w14:paraId="04BAC137">
                  <w:pPr>
                    <w:jc w:val="center"/>
                    <w:rPr>
                      <w:rFonts w:eastAsiaTheme="minorEastAsia"/>
                      <w:b/>
                    </w:rPr>
                  </w:pPr>
                  <w:r>
                    <w:rPr>
                      <w:rFonts w:eastAsiaTheme="minorEastAsia"/>
                      <w:b/>
                    </w:rPr>
                    <w:t>高锰酸盐指数</w:t>
                  </w:r>
                </w:p>
              </w:tc>
            </w:tr>
            <w:tr w14:paraId="57072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jc w:val="center"/>
              </w:trPr>
              <w:tc>
                <w:tcPr>
                  <w:tcW w:w="836" w:type="pct"/>
                  <w:vAlign w:val="center"/>
                </w:tcPr>
                <w:p w14:paraId="0A74877F">
                  <w:pPr>
                    <w:jc w:val="center"/>
                    <w:rPr>
                      <w:rFonts w:eastAsiaTheme="minorEastAsia"/>
                    </w:rPr>
                  </w:pPr>
                  <w:r>
                    <w:rPr>
                      <w:rFonts w:eastAsiaTheme="minorEastAsia"/>
                    </w:rPr>
                    <w:t>Ⅲ类</w:t>
                  </w:r>
                </w:p>
              </w:tc>
              <w:tc>
                <w:tcPr>
                  <w:tcW w:w="556" w:type="pct"/>
                  <w:vAlign w:val="center"/>
                </w:tcPr>
                <w:p w14:paraId="337ED3F3">
                  <w:pPr>
                    <w:jc w:val="center"/>
                    <w:rPr>
                      <w:rFonts w:eastAsiaTheme="minorEastAsia"/>
                    </w:rPr>
                  </w:pPr>
                  <w:r>
                    <w:rPr>
                      <w:rFonts w:eastAsiaTheme="minorEastAsia"/>
                    </w:rPr>
                    <w:t>6～9</w:t>
                  </w:r>
                </w:p>
              </w:tc>
              <w:tc>
                <w:tcPr>
                  <w:tcW w:w="556" w:type="pct"/>
                  <w:vAlign w:val="center"/>
                </w:tcPr>
                <w:p w14:paraId="2395EFB0">
                  <w:pPr>
                    <w:jc w:val="center"/>
                    <w:rPr>
                      <w:rFonts w:eastAsiaTheme="minorEastAsia"/>
                    </w:rPr>
                  </w:pPr>
                  <w:r>
                    <w:rPr>
                      <w:rFonts w:eastAsiaTheme="minorEastAsia"/>
                    </w:rPr>
                    <w:t>≤4</w:t>
                  </w:r>
                </w:p>
              </w:tc>
              <w:tc>
                <w:tcPr>
                  <w:tcW w:w="556" w:type="pct"/>
                  <w:vAlign w:val="center"/>
                </w:tcPr>
                <w:p w14:paraId="4A1907AE">
                  <w:pPr>
                    <w:jc w:val="center"/>
                    <w:rPr>
                      <w:rFonts w:eastAsiaTheme="minorEastAsia"/>
                    </w:rPr>
                  </w:pPr>
                  <w:r>
                    <w:rPr>
                      <w:rFonts w:eastAsiaTheme="minorEastAsia"/>
                    </w:rPr>
                    <w:t>≤20</w:t>
                  </w:r>
                </w:p>
              </w:tc>
              <w:tc>
                <w:tcPr>
                  <w:tcW w:w="556" w:type="pct"/>
                  <w:vAlign w:val="center"/>
                </w:tcPr>
                <w:p w14:paraId="3D4888C2">
                  <w:pPr>
                    <w:jc w:val="center"/>
                    <w:rPr>
                      <w:rFonts w:eastAsiaTheme="minorEastAsia"/>
                    </w:rPr>
                  </w:pPr>
                  <w:r>
                    <w:rPr>
                      <w:rFonts w:eastAsiaTheme="minorEastAsia"/>
                    </w:rPr>
                    <w:t>≤0.2</w:t>
                  </w:r>
                </w:p>
              </w:tc>
              <w:tc>
                <w:tcPr>
                  <w:tcW w:w="556" w:type="pct"/>
                  <w:vAlign w:val="center"/>
                </w:tcPr>
                <w:p w14:paraId="22B35F8F">
                  <w:pPr>
                    <w:jc w:val="center"/>
                    <w:rPr>
                      <w:rFonts w:eastAsiaTheme="minorEastAsia"/>
                    </w:rPr>
                  </w:pPr>
                  <w:r>
                    <w:rPr>
                      <w:rFonts w:eastAsiaTheme="minorEastAsia"/>
                    </w:rPr>
                    <w:t>≤1.0</w:t>
                  </w:r>
                </w:p>
              </w:tc>
              <w:tc>
                <w:tcPr>
                  <w:tcW w:w="556" w:type="pct"/>
                  <w:vAlign w:val="center"/>
                </w:tcPr>
                <w:p w14:paraId="5665A5B3">
                  <w:pPr>
                    <w:jc w:val="center"/>
                    <w:rPr>
                      <w:rFonts w:eastAsiaTheme="minorEastAsia"/>
                    </w:rPr>
                  </w:pPr>
                  <w:r>
                    <w:rPr>
                      <w:rFonts w:eastAsiaTheme="minorEastAsia"/>
                    </w:rPr>
                    <w:t>≤0.05</w:t>
                  </w:r>
                </w:p>
              </w:tc>
              <w:tc>
                <w:tcPr>
                  <w:tcW w:w="826" w:type="pct"/>
                  <w:vAlign w:val="center"/>
                </w:tcPr>
                <w:p w14:paraId="14929913">
                  <w:pPr>
                    <w:jc w:val="center"/>
                    <w:rPr>
                      <w:rFonts w:eastAsiaTheme="minorEastAsia"/>
                    </w:rPr>
                  </w:pPr>
                  <w:r>
                    <w:rPr>
                      <w:rFonts w:eastAsiaTheme="minorEastAsia"/>
                    </w:rPr>
                    <w:t>≤6</w:t>
                  </w:r>
                </w:p>
              </w:tc>
            </w:tr>
          </w:tbl>
          <w:p w14:paraId="6F25B125">
            <w:pPr>
              <w:autoSpaceDE w:val="0"/>
              <w:autoSpaceDN w:val="0"/>
              <w:adjustRightInd w:val="0"/>
              <w:spacing w:before="240" w:beforeLines="100" w:line="300" w:lineRule="auto"/>
              <w:ind w:firstLine="480" w:firstLineChars="200"/>
              <w:rPr>
                <w:kern w:val="0"/>
                <w:sz w:val="24"/>
              </w:rPr>
            </w:pPr>
            <w:r>
              <w:rPr>
                <w:rFonts w:hint="eastAsia"/>
                <w:kern w:val="0"/>
                <w:sz w:val="24"/>
              </w:rPr>
              <w:t>(3) 地下水环境</w:t>
            </w:r>
          </w:p>
          <w:p w14:paraId="551A327A">
            <w:pPr>
              <w:keepNext w:val="0"/>
              <w:keepLines w:val="0"/>
              <w:pageBreakBefore w:val="0"/>
              <w:widowControl w:val="0"/>
              <w:kinsoku/>
              <w:wordWrap/>
              <w:overflowPunct/>
              <w:topLinePunct w:val="0"/>
              <w:autoSpaceDE/>
              <w:autoSpaceDN/>
              <w:bidi w:val="0"/>
              <w:adjustRightInd/>
              <w:snapToGrid/>
              <w:spacing w:after="157" w:afterLines="50" w:line="300" w:lineRule="auto"/>
              <w:ind w:firstLine="480" w:firstLineChars="200"/>
              <w:textAlignment w:val="auto"/>
              <w:rPr>
                <w:sz w:val="24"/>
              </w:rPr>
            </w:pPr>
            <w:r>
              <w:rPr>
                <w:sz w:val="24"/>
              </w:rPr>
              <w:t>执行《地下水质量标准》（GB/T14848-2017）的Ⅲ类标准，各评价因子标准限值参见表</w:t>
            </w:r>
            <w:r>
              <w:rPr>
                <w:rFonts w:hint="eastAsia"/>
                <w:sz w:val="24"/>
                <w:lang w:val="en-US" w:eastAsia="zh-CN"/>
              </w:rPr>
              <w:t>3-19</w:t>
            </w:r>
            <w:r>
              <w:rPr>
                <w:sz w:val="24"/>
              </w:rPr>
              <w:t>。</w:t>
            </w:r>
          </w:p>
          <w:p w14:paraId="690F64BC">
            <w:pPr>
              <w:keepNext w:val="0"/>
              <w:keepLines w:val="0"/>
              <w:pageBreakBefore w:val="0"/>
              <w:widowControl w:val="0"/>
              <w:kinsoku/>
              <w:wordWrap/>
              <w:overflowPunct/>
              <w:topLinePunct w:val="0"/>
              <w:autoSpaceDE/>
              <w:autoSpaceDN/>
              <w:bidi w:val="0"/>
              <w:adjustRightInd/>
              <w:snapToGrid/>
              <w:spacing w:before="157" w:beforeLines="50"/>
              <w:jc w:val="center"/>
              <w:textAlignment w:val="auto"/>
              <w:rPr>
                <w:b/>
                <w:bCs/>
              </w:rPr>
            </w:pPr>
            <w:r>
              <w:rPr>
                <w:b/>
                <w:bCs/>
              </w:rPr>
              <w:t>表</w:t>
            </w:r>
            <w:r>
              <w:rPr>
                <w:rFonts w:hint="eastAsia"/>
                <w:b/>
                <w:bCs/>
                <w:lang w:val="en-US" w:eastAsia="zh-CN"/>
              </w:rPr>
              <w:t>3-19</w:t>
            </w:r>
            <w:r>
              <w:rPr>
                <w:b/>
                <w:bCs/>
              </w:rPr>
              <w:t xml:space="preserve">  地下水质量标准（摘录）</w:t>
            </w:r>
          </w:p>
          <w:tbl>
            <w:tblPr>
              <w:tblStyle w:val="22"/>
              <w:tblW w:w="8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717"/>
              <w:gridCol w:w="1461"/>
              <w:gridCol w:w="1517"/>
              <w:gridCol w:w="1115"/>
              <w:gridCol w:w="1279"/>
              <w:gridCol w:w="1571"/>
              <w:gridCol w:w="880"/>
            </w:tblGrid>
            <w:tr w14:paraId="0D887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3" w:hRule="atLeast"/>
                <w:jc w:val="center"/>
              </w:trPr>
              <w:tc>
                <w:tcPr>
                  <w:tcW w:w="419" w:type="pct"/>
                  <w:vAlign w:val="center"/>
                </w:tcPr>
                <w:p w14:paraId="0E986827">
                  <w:pPr>
                    <w:jc w:val="center"/>
                    <w:rPr>
                      <w:b/>
                    </w:rPr>
                  </w:pPr>
                  <w:r>
                    <w:rPr>
                      <w:b/>
                    </w:rPr>
                    <w:t>项目</w:t>
                  </w:r>
                </w:p>
              </w:tc>
              <w:tc>
                <w:tcPr>
                  <w:tcW w:w="855" w:type="pct"/>
                  <w:vAlign w:val="center"/>
                </w:tcPr>
                <w:p w14:paraId="07E04A35">
                  <w:pPr>
                    <w:jc w:val="center"/>
                    <w:rPr>
                      <w:b/>
                      <w:bCs/>
                    </w:rPr>
                  </w:pPr>
                  <w:r>
                    <w:rPr>
                      <w:b/>
                      <w:bCs/>
                    </w:rPr>
                    <w:t>pH</w:t>
                  </w:r>
                </w:p>
              </w:tc>
              <w:tc>
                <w:tcPr>
                  <w:tcW w:w="888" w:type="pct"/>
                  <w:vAlign w:val="center"/>
                </w:tcPr>
                <w:p w14:paraId="428B82E9">
                  <w:pPr>
                    <w:jc w:val="center"/>
                    <w:rPr>
                      <w:b/>
                      <w:bCs/>
                    </w:rPr>
                  </w:pPr>
                  <w:r>
                    <w:rPr>
                      <w:b/>
                      <w:bCs/>
                    </w:rPr>
                    <w:t>色度</w:t>
                  </w:r>
                </w:p>
              </w:tc>
              <w:tc>
                <w:tcPr>
                  <w:tcW w:w="653" w:type="pct"/>
                  <w:vAlign w:val="center"/>
                </w:tcPr>
                <w:p w14:paraId="7D29EC33">
                  <w:pPr>
                    <w:jc w:val="center"/>
                    <w:rPr>
                      <w:b/>
                      <w:bCs/>
                    </w:rPr>
                  </w:pPr>
                  <w:r>
                    <w:rPr>
                      <w:b/>
                      <w:bCs/>
                    </w:rPr>
                    <w:t>浑浊度</w:t>
                  </w:r>
                </w:p>
              </w:tc>
              <w:tc>
                <w:tcPr>
                  <w:tcW w:w="749" w:type="pct"/>
                  <w:vAlign w:val="center"/>
                </w:tcPr>
                <w:p w14:paraId="4C574C46">
                  <w:pPr>
                    <w:jc w:val="center"/>
                    <w:rPr>
                      <w:b/>
                      <w:bCs/>
                    </w:rPr>
                  </w:pPr>
                  <w:r>
                    <w:rPr>
                      <w:b/>
                      <w:bCs/>
                    </w:rPr>
                    <w:t>总硬度</w:t>
                  </w:r>
                </w:p>
                <w:p w14:paraId="4C15FB10">
                  <w:pPr>
                    <w:jc w:val="center"/>
                    <w:rPr>
                      <w:b/>
                      <w:bCs/>
                    </w:rPr>
                  </w:pPr>
                  <w:r>
                    <w:rPr>
                      <w:b/>
                      <w:bCs/>
                    </w:rPr>
                    <w:t>(mg/L)</w:t>
                  </w:r>
                </w:p>
              </w:tc>
              <w:tc>
                <w:tcPr>
                  <w:tcW w:w="920" w:type="pct"/>
                  <w:vAlign w:val="center"/>
                </w:tcPr>
                <w:p w14:paraId="024D624B">
                  <w:pPr>
                    <w:jc w:val="center"/>
                    <w:rPr>
                      <w:b/>
                      <w:bCs/>
                    </w:rPr>
                  </w:pPr>
                  <w:r>
                    <w:rPr>
                      <w:b/>
                      <w:bCs/>
                    </w:rPr>
                    <w:t>硫酸盐(mg/L)</w:t>
                  </w:r>
                </w:p>
              </w:tc>
              <w:tc>
                <w:tcPr>
                  <w:tcW w:w="515" w:type="pct"/>
                  <w:vAlign w:val="center"/>
                </w:tcPr>
                <w:p w14:paraId="6DC083AD">
                  <w:pPr>
                    <w:jc w:val="center"/>
                    <w:rPr>
                      <w:b/>
                      <w:bCs/>
                    </w:rPr>
                  </w:pPr>
                  <w:r>
                    <w:rPr>
                      <w:b/>
                      <w:bCs/>
                    </w:rPr>
                    <w:t>氯化物(mg/L)</w:t>
                  </w:r>
                </w:p>
              </w:tc>
            </w:tr>
            <w:tr w14:paraId="6D59E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419" w:type="pct"/>
                  <w:vAlign w:val="center"/>
                </w:tcPr>
                <w:p w14:paraId="4798427C">
                  <w:pPr>
                    <w:jc w:val="center"/>
                    <w:rPr>
                      <w:bCs/>
                    </w:rPr>
                  </w:pPr>
                  <w:r>
                    <w:rPr>
                      <w:bCs/>
                    </w:rPr>
                    <w:t>III类</w:t>
                  </w:r>
                </w:p>
              </w:tc>
              <w:tc>
                <w:tcPr>
                  <w:tcW w:w="855" w:type="pct"/>
                  <w:vAlign w:val="center"/>
                </w:tcPr>
                <w:p w14:paraId="373B5E52">
                  <w:pPr>
                    <w:jc w:val="center"/>
                    <w:rPr>
                      <w:bCs/>
                    </w:rPr>
                  </w:pPr>
                  <w:r>
                    <w:rPr>
                      <w:bCs/>
                    </w:rPr>
                    <w:t>6.5~8.5</w:t>
                  </w:r>
                </w:p>
              </w:tc>
              <w:tc>
                <w:tcPr>
                  <w:tcW w:w="888" w:type="pct"/>
                  <w:vAlign w:val="center"/>
                </w:tcPr>
                <w:p w14:paraId="7B9E505E">
                  <w:pPr>
                    <w:jc w:val="center"/>
                    <w:rPr>
                      <w:bCs/>
                    </w:rPr>
                  </w:pPr>
                  <w:r>
                    <w:rPr>
                      <w:bCs/>
                    </w:rPr>
                    <w:t>≤15</w:t>
                  </w:r>
                </w:p>
              </w:tc>
              <w:tc>
                <w:tcPr>
                  <w:tcW w:w="653" w:type="pct"/>
                  <w:vAlign w:val="center"/>
                </w:tcPr>
                <w:p w14:paraId="037E2B86">
                  <w:pPr>
                    <w:jc w:val="center"/>
                    <w:rPr>
                      <w:bCs/>
                    </w:rPr>
                  </w:pPr>
                  <w:r>
                    <w:rPr>
                      <w:bCs/>
                    </w:rPr>
                    <w:t>≤3</w:t>
                  </w:r>
                </w:p>
              </w:tc>
              <w:tc>
                <w:tcPr>
                  <w:tcW w:w="749" w:type="pct"/>
                  <w:vAlign w:val="center"/>
                </w:tcPr>
                <w:p w14:paraId="1A587372">
                  <w:pPr>
                    <w:jc w:val="center"/>
                    <w:rPr>
                      <w:bCs/>
                    </w:rPr>
                  </w:pPr>
                  <w:r>
                    <w:rPr>
                      <w:bCs/>
                    </w:rPr>
                    <w:t>≤450</w:t>
                  </w:r>
                </w:p>
              </w:tc>
              <w:tc>
                <w:tcPr>
                  <w:tcW w:w="920" w:type="pct"/>
                  <w:vAlign w:val="center"/>
                </w:tcPr>
                <w:p w14:paraId="4E51A5FE">
                  <w:pPr>
                    <w:jc w:val="center"/>
                    <w:rPr>
                      <w:bCs/>
                    </w:rPr>
                  </w:pPr>
                  <w:r>
                    <w:rPr>
                      <w:bCs/>
                    </w:rPr>
                    <w:t>≤250</w:t>
                  </w:r>
                </w:p>
              </w:tc>
              <w:tc>
                <w:tcPr>
                  <w:tcW w:w="515" w:type="pct"/>
                  <w:vAlign w:val="center"/>
                </w:tcPr>
                <w:p w14:paraId="2D59E95A">
                  <w:pPr>
                    <w:jc w:val="center"/>
                    <w:rPr>
                      <w:bCs/>
                    </w:rPr>
                  </w:pPr>
                  <w:r>
                    <w:rPr>
                      <w:bCs/>
                    </w:rPr>
                    <w:t>≤250</w:t>
                  </w:r>
                </w:p>
              </w:tc>
            </w:tr>
            <w:tr w14:paraId="3FD5C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73" w:hRule="atLeast"/>
                <w:jc w:val="center"/>
              </w:trPr>
              <w:tc>
                <w:tcPr>
                  <w:tcW w:w="419" w:type="pct"/>
                  <w:vAlign w:val="center"/>
                </w:tcPr>
                <w:p w14:paraId="2C0B96DF">
                  <w:pPr>
                    <w:jc w:val="center"/>
                    <w:rPr>
                      <w:b/>
                    </w:rPr>
                  </w:pPr>
                  <w:r>
                    <w:rPr>
                      <w:b/>
                    </w:rPr>
                    <w:t>项目</w:t>
                  </w:r>
                </w:p>
              </w:tc>
              <w:tc>
                <w:tcPr>
                  <w:tcW w:w="855" w:type="pct"/>
                  <w:vAlign w:val="center"/>
                </w:tcPr>
                <w:p w14:paraId="53A7B1C4">
                  <w:pPr>
                    <w:jc w:val="center"/>
                    <w:rPr>
                      <w:b/>
                      <w:bCs/>
                    </w:rPr>
                  </w:pPr>
                  <w:r>
                    <w:rPr>
                      <w:b/>
                      <w:bCs/>
                    </w:rPr>
                    <w:t>溶解性总固体(mg/L)</w:t>
                  </w:r>
                </w:p>
              </w:tc>
              <w:tc>
                <w:tcPr>
                  <w:tcW w:w="888" w:type="pct"/>
                  <w:vAlign w:val="center"/>
                </w:tcPr>
                <w:p w14:paraId="635B945A">
                  <w:pPr>
                    <w:jc w:val="center"/>
                    <w:rPr>
                      <w:b/>
                      <w:bCs/>
                    </w:rPr>
                  </w:pPr>
                  <w:r>
                    <w:rPr>
                      <w:b/>
                      <w:bCs/>
                    </w:rPr>
                    <w:t>硝酸盐(mg/L)</w:t>
                  </w:r>
                </w:p>
              </w:tc>
              <w:tc>
                <w:tcPr>
                  <w:tcW w:w="653" w:type="pct"/>
                  <w:vAlign w:val="center"/>
                </w:tcPr>
                <w:p w14:paraId="4B572CF7">
                  <w:pPr>
                    <w:jc w:val="center"/>
                    <w:rPr>
                      <w:b/>
                      <w:bCs/>
                    </w:rPr>
                  </w:pPr>
                  <w:r>
                    <w:rPr>
                      <w:b/>
                      <w:bCs/>
                    </w:rPr>
                    <w:t>亚硝酸盐</w:t>
                  </w:r>
                </w:p>
                <w:p w14:paraId="6A64EBA0">
                  <w:pPr>
                    <w:jc w:val="center"/>
                    <w:rPr>
                      <w:b/>
                      <w:bCs/>
                    </w:rPr>
                  </w:pPr>
                  <w:r>
                    <w:rPr>
                      <w:b/>
                      <w:bCs/>
                    </w:rPr>
                    <w:t>(mg/ L)</w:t>
                  </w:r>
                </w:p>
              </w:tc>
              <w:tc>
                <w:tcPr>
                  <w:tcW w:w="749" w:type="pct"/>
                  <w:vAlign w:val="center"/>
                </w:tcPr>
                <w:p w14:paraId="3CB0488B">
                  <w:pPr>
                    <w:jc w:val="center"/>
                    <w:rPr>
                      <w:b/>
                      <w:bCs/>
                    </w:rPr>
                  </w:pPr>
                  <w:r>
                    <w:rPr>
                      <w:b/>
                      <w:bCs/>
                    </w:rPr>
                    <w:t>菌落总数</w:t>
                  </w:r>
                </w:p>
                <w:p w14:paraId="51DBDA28">
                  <w:pPr>
                    <w:jc w:val="center"/>
                    <w:rPr>
                      <w:b/>
                      <w:bCs/>
                    </w:rPr>
                  </w:pPr>
                  <w:r>
                    <w:rPr>
                      <w:b/>
                      <w:bCs/>
                    </w:rPr>
                    <w:t>(CFU/mL)</w:t>
                  </w:r>
                </w:p>
              </w:tc>
              <w:tc>
                <w:tcPr>
                  <w:tcW w:w="920" w:type="pct"/>
                  <w:vAlign w:val="center"/>
                </w:tcPr>
                <w:p w14:paraId="7A4D0C51">
                  <w:pPr>
                    <w:jc w:val="center"/>
                    <w:rPr>
                      <w:b/>
                      <w:bCs/>
                    </w:rPr>
                  </w:pPr>
                  <w:r>
                    <w:rPr>
                      <w:b/>
                      <w:bCs/>
                    </w:rPr>
                    <w:t>总大肠杆菌(MPN</w:t>
                  </w:r>
                  <w:r>
                    <w:rPr>
                      <w:b/>
                      <w:bCs/>
                      <w:vertAlign w:val="superscript"/>
                    </w:rPr>
                    <w:t>b</w:t>
                  </w:r>
                  <w:r>
                    <w:rPr>
                      <w:b/>
                      <w:bCs/>
                    </w:rPr>
                    <w:t>/100mL)</w:t>
                  </w:r>
                </w:p>
              </w:tc>
              <w:tc>
                <w:tcPr>
                  <w:tcW w:w="515" w:type="pct"/>
                  <w:vAlign w:val="center"/>
                </w:tcPr>
                <w:p w14:paraId="78DE6CD1">
                  <w:pPr>
                    <w:jc w:val="center"/>
                    <w:rPr>
                      <w:b/>
                      <w:bCs/>
                    </w:rPr>
                  </w:pPr>
                  <w:r>
                    <w:rPr>
                      <w:b/>
                      <w:bCs/>
                    </w:rPr>
                    <w:t>耗氧量</w:t>
                  </w:r>
                </w:p>
                <w:p w14:paraId="080195A0">
                  <w:pPr>
                    <w:jc w:val="center"/>
                    <w:rPr>
                      <w:b/>
                      <w:bCs/>
                    </w:rPr>
                  </w:pPr>
                  <w:r>
                    <w:rPr>
                      <w:b/>
                      <w:bCs/>
                    </w:rPr>
                    <w:t>(mg/L)</w:t>
                  </w:r>
                </w:p>
              </w:tc>
            </w:tr>
            <w:tr w14:paraId="2AA81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419" w:type="pct"/>
                  <w:vAlign w:val="center"/>
                </w:tcPr>
                <w:p w14:paraId="081EBEBA">
                  <w:pPr>
                    <w:jc w:val="center"/>
                    <w:rPr>
                      <w:bCs/>
                    </w:rPr>
                  </w:pPr>
                  <w:r>
                    <w:rPr>
                      <w:bCs/>
                    </w:rPr>
                    <w:t>III类</w:t>
                  </w:r>
                </w:p>
              </w:tc>
              <w:tc>
                <w:tcPr>
                  <w:tcW w:w="855" w:type="pct"/>
                  <w:vAlign w:val="center"/>
                </w:tcPr>
                <w:p w14:paraId="1E87886A">
                  <w:pPr>
                    <w:jc w:val="center"/>
                    <w:rPr>
                      <w:bCs/>
                    </w:rPr>
                  </w:pPr>
                  <w:r>
                    <w:rPr>
                      <w:bCs/>
                    </w:rPr>
                    <w:t>≤1000</w:t>
                  </w:r>
                </w:p>
              </w:tc>
              <w:tc>
                <w:tcPr>
                  <w:tcW w:w="888" w:type="pct"/>
                  <w:vAlign w:val="center"/>
                </w:tcPr>
                <w:p w14:paraId="50890FBE">
                  <w:pPr>
                    <w:jc w:val="center"/>
                    <w:rPr>
                      <w:bCs/>
                    </w:rPr>
                  </w:pPr>
                  <w:r>
                    <w:rPr>
                      <w:bCs/>
                    </w:rPr>
                    <w:t>≤20</w:t>
                  </w:r>
                </w:p>
              </w:tc>
              <w:tc>
                <w:tcPr>
                  <w:tcW w:w="653" w:type="pct"/>
                  <w:vAlign w:val="center"/>
                </w:tcPr>
                <w:p w14:paraId="352DBF92">
                  <w:pPr>
                    <w:jc w:val="center"/>
                    <w:rPr>
                      <w:bCs/>
                    </w:rPr>
                  </w:pPr>
                  <w:r>
                    <w:rPr>
                      <w:bCs/>
                    </w:rPr>
                    <w:t>≤1.00</w:t>
                  </w:r>
                </w:p>
              </w:tc>
              <w:tc>
                <w:tcPr>
                  <w:tcW w:w="749" w:type="pct"/>
                  <w:vAlign w:val="center"/>
                </w:tcPr>
                <w:p w14:paraId="371B0BD2">
                  <w:pPr>
                    <w:jc w:val="center"/>
                    <w:rPr>
                      <w:bCs/>
                    </w:rPr>
                  </w:pPr>
                  <w:r>
                    <w:rPr>
                      <w:bCs/>
                    </w:rPr>
                    <w:t>≤100</w:t>
                  </w:r>
                </w:p>
              </w:tc>
              <w:tc>
                <w:tcPr>
                  <w:tcW w:w="920" w:type="pct"/>
                  <w:vAlign w:val="center"/>
                </w:tcPr>
                <w:p w14:paraId="23A15194">
                  <w:pPr>
                    <w:jc w:val="center"/>
                    <w:rPr>
                      <w:bCs/>
                    </w:rPr>
                  </w:pPr>
                  <w:r>
                    <w:rPr>
                      <w:bCs/>
                    </w:rPr>
                    <w:t>≤3.0</w:t>
                  </w:r>
                </w:p>
              </w:tc>
              <w:tc>
                <w:tcPr>
                  <w:tcW w:w="515" w:type="pct"/>
                  <w:vAlign w:val="center"/>
                </w:tcPr>
                <w:p w14:paraId="7EC36FE1">
                  <w:pPr>
                    <w:jc w:val="center"/>
                    <w:rPr>
                      <w:bCs/>
                    </w:rPr>
                  </w:pPr>
                  <w:r>
                    <w:rPr>
                      <w:bCs/>
                    </w:rPr>
                    <w:t>≤3.0</w:t>
                  </w:r>
                </w:p>
              </w:tc>
            </w:tr>
            <w:tr w14:paraId="12ABA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18" w:hRule="atLeast"/>
                <w:jc w:val="center"/>
              </w:trPr>
              <w:tc>
                <w:tcPr>
                  <w:tcW w:w="419" w:type="pct"/>
                  <w:vAlign w:val="center"/>
                </w:tcPr>
                <w:p w14:paraId="0DB27A8A">
                  <w:pPr>
                    <w:jc w:val="center"/>
                    <w:rPr>
                      <w:b/>
                    </w:rPr>
                  </w:pPr>
                  <w:r>
                    <w:rPr>
                      <w:b/>
                    </w:rPr>
                    <w:t>项目</w:t>
                  </w:r>
                </w:p>
              </w:tc>
              <w:tc>
                <w:tcPr>
                  <w:tcW w:w="855" w:type="pct"/>
                  <w:vAlign w:val="center"/>
                </w:tcPr>
                <w:p w14:paraId="1313BDBA">
                  <w:pPr>
                    <w:jc w:val="center"/>
                    <w:rPr>
                      <w:b/>
                      <w:bCs/>
                    </w:rPr>
                  </w:pPr>
                  <w:r>
                    <w:rPr>
                      <w:b/>
                      <w:bCs/>
                    </w:rPr>
                    <w:t>铁(mg/L)</w:t>
                  </w:r>
                </w:p>
              </w:tc>
              <w:tc>
                <w:tcPr>
                  <w:tcW w:w="888" w:type="pct"/>
                  <w:vAlign w:val="center"/>
                </w:tcPr>
                <w:p w14:paraId="776247E2">
                  <w:pPr>
                    <w:jc w:val="center"/>
                    <w:rPr>
                      <w:b/>
                      <w:bCs/>
                    </w:rPr>
                  </w:pPr>
                  <w:r>
                    <w:rPr>
                      <w:b/>
                      <w:bCs/>
                    </w:rPr>
                    <w:t>铅(mg/L)</w:t>
                  </w:r>
                </w:p>
              </w:tc>
              <w:tc>
                <w:tcPr>
                  <w:tcW w:w="653" w:type="pct"/>
                  <w:vAlign w:val="center"/>
                </w:tcPr>
                <w:p w14:paraId="106C959A">
                  <w:pPr>
                    <w:jc w:val="center"/>
                    <w:rPr>
                      <w:b/>
                      <w:bCs/>
                    </w:rPr>
                  </w:pPr>
                  <w:r>
                    <w:rPr>
                      <w:b/>
                      <w:bCs/>
                    </w:rPr>
                    <w:t>镉(mg/L)</w:t>
                  </w:r>
                </w:p>
              </w:tc>
              <w:tc>
                <w:tcPr>
                  <w:tcW w:w="749" w:type="pct"/>
                  <w:vAlign w:val="center"/>
                </w:tcPr>
                <w:p w14:paraId="30B3E906">
                  <w:pPr>
                    <w:jc w:val="center"/>
                    <w:rPr>
                      <w:b/>
                      <w:bCs/>
                    </w:rPr>
                  </w:pPr>
                  <w:r>
                    <w:rPr>
                      <w:b/>
                      <w:bCs/>
                    </w:rPr>
                    <w:t>汞(mg/L)</w:t>
                  </w:r>
                </w:p>
              </w:tc>
              <w:tc>
                <w:tcPr>
                  <w:tcW w:w="920" w:type="pct"/>
                  <w:vAlign w:val="center"/>
                </w:tcPr>
                <w:p w14:paraId="00FF47E0">
                  <w:pPr>
                    <w:jc w:val="center"/>
                    <w:rPr>
                      <w:b/>
                      <w:bCs/>
                    </w:rPr>
                  </w:pPr>
                  <w:r>
                    <w:rPr>
                      <w:b/>
                      <w:bCs/>
                    </w:rPr>
                    <w:t>氨氮(mg/ L)</w:t>
                  </w:r>
                </w:p>
              </w:tc>
              <w:tc>
                <w:tcPr>
                  <w:tcW w:w="515" w:type="pct"/>
                  <w:vAlign w:val="center"/>
                </w:tcPr>
                <w:p w14:paraId="5C7514CB">
                  <w:pPr>
                    <w:jc w:val="center"/>
                    <w:rPr>
                      <w:b/>
                      <w:bCs/>
                    </w:rPr>
                  </w:pPr>
                  <w:r>
                    <w:rPr>
                      <w:b/>
                      <w:bCs/>
                    </w:rPr>
                    <w:t>锰(mg/L)</w:t>
                  </w:r>
                </w:p>
              </w:tc>
            </w:tr>
            <w:tr w14:paraId="0B9A7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419" w:type="pct"/>
                  <w:vAlign w:val="center"/>
                </w:tcPr>
                <w:p w14:paraId="5E3F4949">
                  <w:pPr>
                    <w:jc w:val="center"/>
                    <w:rPr>
                      <w:bCs/>
                    </w:rPr>
                  </w:pPr>
                  <w:r>
                    <w:rPr>
                      <w:bCs/>
                    </w:rPr>
                    <w:t>III类</w:t>
                  </w:r>
                </w:p>
              </w:tc>
              <w:tc>
                <w:tcPr>
                  <w:tcW w:w="855" w:type="pct"/>
                  <w:vAlign w:val="center"/>
                </w:tcPr>
                <w:p w14:paraId="3CEB5474">
                  <w:pPr>
                    <w:jc w:val="center"/>
                    <w:rPr>
                      <w:bCs/>
                    </w:rPr>
                  </w:pPr>
                  <w:r>
                    <w:rPr>
                      <w:bCs/>
                    </w:rPr>
                    <w:t>≤0.30</w:t>
                  </w:r>
                </w:p>
              </w:tc>
              <w:tc>
                <w:tcPr>
                  <w:tcW w:w="888" w:type="pct"/>
                  <w:vAlign w:val="center"/>
                </w:tcPr>
                <w:p w14:paraId="2B13C54D">
                  <w:pPr>
                    <w:jc w:val="center"/>
                    <w:rPr>
                      <w:bCs/>
                    </w:rPr>
                  </w:pPr>
                  <w:r>
                    <w:rPr>
                      <w:bCs/>
                    </w:rPr>
                    <w:t>≤0.01</w:t>
                  </w:r>
                </w:p>
              </w:tc>
              <w:tc>
                <w:tcPr>
                  <w:tcW w:w="653" w:type="pct"/>
                  <w:vAlign w:val="center"/>
                </w:tcPr>
                <w:p w14:paraId="3084E8AD">
                  <w:pPr>
                    <w:jc w:val="center"/>
                    <w:rPr>
                      <w:bCs/>
                    </w:rPr>
                  </w:pPr>
                  <w:r>
                    <w:rPr>
                      <w:bCs/>
                    </w:rPr>
                    <w:t>≤0.005</w:t>
                  </w:r>
                </w:p>
              </w:tc>
              <w:tc>
                <w:tcPr>
                  <w:tcW w:w="749" w:type="pct"/>
                  <w:vAlign w:val="center"/>
                </w:tcPr>
                <w:p w14:paraId="75DEF62F">
                  <w:pPr>
                    <w:jc w:val="center"/>
                    <w:rPr>
                      <w:bCs/>
                    </w:rPr>
                  </w:pPr>
                  <w:r>
                    <w:rPr>
                      <w:bCs/>
                    </w:rPr>
                    <w:t>≤0.001</w:t>
                  </w:r>
                </w:p>
              </w:tc>
              <w:tc>
                <w:tcPr>
                  <w:tcW w:w="920" w:type="pct"/>
                  <w:vAlign w:val="center"/>
                </w:tcPr>
                <w:p w14:paraId="059751E7">
                  <w:pPr>
                    <w:jc w:val="center"/>
                    <w:rPr>
                      <w:bCs/>
                    </w:rPr>
                  </w:pPr>
                  <w:r>
                    <w:rPr>
                      <w:bCs/>
                    </w:rPr>
                    <w:t>≤0.50</w:t>
                  </w:r>
                </w:p>
              </w:tc>
              <w:tc>
                <w:tcPr>
                  <w:tcW w:w="515" w:type="pct"/>
                  <w:vAlign w:val="center"/>
                </w:tcPr>
                <w:p w14:paraId="192DC2E4">
                  <w:pPr>
                    <w:jc w:val="center"/>
                    <w:rPr>
                      <w:bCs/>
                    </w:rPr>
                  </w:pPr>
                  <w:r>
                    <w:rPr>
                      <w:bCs/>
                    </w:rPr>
                    <w:t>≤0.10</w:t>
                  </w:r>
                </w:p>
              </w:tc>
            </w:tr>
          </w:tbl>
          <w:p w14:paraId="2CE8F39E">
            <w:pPr>
              <w:autoSpaceDE w:val="0"/>
              <w:autoSpaceDN w:val="0"/>
              <w:adjustRightInd w:val="0"/>
              <w:spacing w:before="240" w:beforeLines="100" w:line="300" w:lineRule="auto"/>
              <w:ind w:firstLine="480" w:firstLineChars="200"/>
              <w:rPr>
                <w:color w:val="auto"/>
                <w:kern w:val="0"/>
                <w:sz w:val="24"/>
              </w:rPr>
            </w:pPr>
            <w:r>
              <w:rPr>
                <w:color w:val="auto"/>
                <w:kern w:val="0"/>
                <w:sz w:val="24"/>
              </w:rPr>
              <w:t>(</w:t>
            </w:r>
            <w:r>
              <w:rPr>
                <w:rFonts w:hint="eastAsia"/>
                <w:color w:val="auto"/>
                <w:kern w:val="0"/>
                <w:sz w:val="24"/>
              </w:rPr>
              <w:t>4</w:t>
            </w:r>
            <w:r>
              <w:rPr>
                <w:color w:val="auto"/>
                <w:kern w:val="0"/>
                <w:sz w:val="24"/>
              </w:rPr>
              <w:t>) 声环境</w:t>
            </w:r>
          </w:p>
          <w:p w14:paraId="7FD6CF95">
            <w:pPr>
              <w:widowControl/>
              <w:adjustRightInd w:val="0"/>
              <w:spacing w:after="120" w:afterLines="50" w:line="300" w:lineRule="auto"/>
              <w:ind w:firstLine="480" w:firstLineChars="200"/>
              <w:rPr>
                <w:color w:val="auto"/>
                <w:sz w:val="24"/>
                <w:szCs w:val="20"/>
              </w:rPr>
            </w:pPr>
            <w:r>
              <w:rPr>
                <w:rFonts w:hint="eastAsia"/>
                <w:color w:val="auto"/>
                <w:sz w:val="24"/>
                <w:szCs w:val="20"/>
              </w:rPr>
              <w:t>评价范围内拟建</w:t>
            </w:r>
            <w:r>
              <w:rPr>
                <w:color w:val="auto"/>
                <w:sz w:val="24"/>
                <w:szCs w:val="20"/>
              </w:rPr>
              <w:t>公路、</w:t>
            </w:r>
            <w:r>
              <w:rPr>
                <w:rFonts w:hint="eastAsia"/>
                <w:color w:val="auto"/>
                <w:kern w:val="0"/>
                <w:sz w:val="24"/>
              </w:rPr>
              <w:t>G3012</w:t>
            </w:r>
            <w:r>
              <w:rPr>
                <w:rFonts w:hint="eastAsia"/>
                <w:color w:val="auto"/>
                <w:sz w:val="24"/>
                <w:szCs w:val="20"/>
              </w:rPr>
              <w:t>、S311及南疆铁路等</w:t>
            </w:r>
            <w:r>
              <w:rPr>
                <w:color w:val="auto"/>
                <w:sz w:val="24"/>
                <w:szCs w:val="20"/>
              </w:rPr>
              <w:t>交通干线边界外35m以内区域执行《声环境质量标准》</w:t>
            </w:r>
            <w:r>
              <w:rPr>
                <w:rFonts w:hint="eastAsia"/>
                <w:color w:val="auto"/>
                <w:sz w:val="24"/>
                <w:szCs w:val="20"/>
              </w:rPr>
              <w:t>（</w:t>
            </w:r>
            <w:r>
              <w:rPr>
                <w:color w:val="auto"/>
                <w:sz w:val="24"/>
                <w:szCs w:val="20"/>
              </w:rPr>
              <w:t>GB3096-2008</w:t>
            </w:r>
            <w:r>
              <w:rPr>
                <w:rFonts w:hint="eastAsia"/>
                <w:color w:val="auto"/>
                <w:sz w:val="24"/>
                <w:szCs w:val="20"/>
              </w:rPr>
              <w:t>）</w:t>
            </w:r>
            <w:r>
              <w:rPr>
                <w:color w:val="auto"/>
                <w:sz w:val="24"/>
                <w:szCs w:val="20"/>
              </w:rPr>
              <w:t>4a类标准，35m以外区域执行2类标准</w:t>
            </w:r>
            <w:r>
              <w:rPr>
                <w:rFonts w:hint="eastAsia"/>
                <w:color w:val="auto"/>
                <w:sz w:val="24"/>
                <w:szCs w:val="20"/>
              </w:rPr>
              <w:t>，</w:t>
            </w:r>
            <w:r>
              <w:rPr>
                <w:color w:val="auto"/>
                <w:sz w:val="24"/>
                <w:szCs w:val="20"/>
              </w:rPr>
              <w:t>学校、</w:t>
            </w:r>
            <w:r>
              <w:rPr>
                <w:rFonts w:hint="eastAsia"/>
                <w:color w:val="auto"/>
                <w:sz w:val="24"/>
                <w:szCs w:val="20"/>
              </w:rPr>
              <w:t>卫生院</w:t>
            </w:r>
            <w:r>
              <w:rPr>
                <w:color w:val="auto"/>
                <w:sz w:val="24"/>
                <w:szCs w:val="20"/>
              </w:rPr>
              <w:t>等特殊敏感区执行</w:t>
            </w:r>
            <w:r>
              <w:rPr>
                <w:rFonts w:hint="eastAsia"/>
                <w:color w:val="auto"/>
                <w:sz w:val="24"/>
                <w:szCs w:val="20"/>
              </w:rPr>
              <w:t>昼间60dB(A)、夜间50dB(A)。具体见表</w:t>
            </w:r>
            <w:r>
              <w:rPr>
                <w:color w:val="auto"/>
                <w:sz w:val="24"/>
                <w:szCs w:val="20"/>
              </w:rPr>
              <w:t>3-</w:t>
            </w:r>
            <w:r>
              <w:rPr>
                <w:rFonts w:hint="eastAsia"/>
                <w:color w:val="auto"/>
                <w:sz w:val="24"/>
                <w:szCs w:val="20"/>
                <w:lang w:val="en-US" w:eastAsia="zh-CN"/>
              </w:rPr>
              <w:t>20</w:t>
            </w:r>
            <w:r>
              <w:rPr>
                <w:rFonts w:hint="eastAsia"/>
                <w:color w:val="auto"/>
                <w:sz w:val="24"/>
                <w:szCs w:val="20"/>
              </w:rPr>
              <w:t>。</w:t>
            </w:r>
          </w:p>
          <w:p w14:paraId="6EE68980">
            <w:pPr>
              <w:spacing w:before="120" w:beforeLines="50"/>
              <w:jc w:val="center"/>
              <w:rPr>
                <w:rFonts w:hint="eastAsia" w:hAnsi="黑体"/>
                <w:b/>
                <w:color w:val="auto"/>
                <w:kern w:val="0"/>
                <w:szCs w:val="20"/>
              </w:rPr>
            </w:pPr>
            <w:r>
              <w:rPr>
                <w:rFonts w:hint="eastAsia" w:hAnsi="黑体"/>
                <w:b/>
                <w:color w:val="auto"/>
                <w:kern w:val="0"/>
                <w:szCs w:val="20"/>
              </w:rPr>
              <w:t>表</w:t>
            </w:r>
            <w:r>
              <w:rPr>
                <w:rFonts w:hAnsi="黑体"/>
                <w:b/>
                <w:color w:val="auto"/>
                <w:kern w:val="0"/>
                <w:szCs w:val="20"/>
              </w:rPr>
              <w:t>3-</w:t>
            </w:r>
            <w:r>
              <w:rPr>
                <w:rFonts w:hint="eastAsia" w:hAnsi="黑体"/>
                <w:b/>
                <w:color w:val="auto"/>
                <w:kern w:val="0"/>
                <w:szCs w:val="20"/>
                <w:lang w:val="en-US" w:eastAsia="zh-CN"/>
              </w:rPr>
              <w:t>20</w:t>
            </w:r>
            <w:r>
              <w:rPr>
                <w:rFonts w:hAnsi="黑体"/>
                <w:b/>
                <w:color w:val="auto"/>
                <w:kern w:val="0"/>
                <w:szCs w:val="20"/>
              </w:rPr>
              <w:t xml:space="preserve">  </w:t>
            </w:r>
            <w:r>
              <w:rPr>
                <w:rFonts w:hint="eastAsia" w:hAnsi="黑体"/>
                <w:b/>
                <w:color w:val="auto"/>
                <w:kern w:val="0"/>
                <w:szCs w:val="20"/>
              </w:rPr>
              <w:t>声环境评价执行标准</w:t>
            </w:r>
            <w:r>
              <w:rPr>
                <w:rFonts w:hAnsi="黑体"/>
                <w:b/>
                <w:color w:val="auto"/>
                <w:kern w:val="0"/>
                <w:szCs w:val="20"/>
              </w:rPr>
              <w:t xml:space="preserve"> </w:t>
            </w:r>
          </w:p>
          <w:tbl>
            <w:tblPr>
              <w:tblStyle w:val="22"/>
              <w:tblW w:w="5022"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099"/>
              <w:gridCol w:w="3069"/>
              <w:gridCol w:w="3260"/>
            </w:tblGrid>
            <w:tr w14:paraId="011F3E0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245" w:type="pct"/>
                  <w:vMerge w:val="restart"/>
                  <w:vAlign w:val="center"/>
                </w:tcPr>
                <w:p w14:paraId="1D35F5CE">
                  <w:pPr>
                    <w:jc w:val="center"/>
                    <w:rPr>
                      <w:b/>
                      <w:bCs/>
                      <w:color w:val="auto"/>
                      <w:spacing w:val="5"/>
                      <w:szCs w:val="21"/>
                    </w:rPr>
                  </w:pPr>
                  <w:r>
                    <w:rPr>
                      <w:rFonts w:hint="eastAsia"/>
                      <w:b/>
                      <w:bCs/>
                      <w:color w:val="auto"/>
                      <w:spacing w:val="5"/>
                      <w:szCs w:val="21"/>
                    </w:rPr>
                    <w:t>类别</w:t>
                  </w:r>
                </w:p>
              </w:tc>
              <w:tc>
                <w:tcPr>
                  <w:tcW w:w="3754" w:type="pct"/>
                  <w:gridSpan w:val="2"/>
                  <w:vAlign w:val="center"/>
                </w:tcPr>
                <w:p w14:paraId="3A238E84">
                  <w:pPr>
                    <w:jc w:val="center"/>
                    <w:rPr>
                      <w:b/>
                      <w:bCs/>
                      <w:color w:val="auto"/>
                      <w:spacing w:val="5"/>
                      <w:szCs w:val="21"/>
                    </w:rPr>
                  </w:pPr>
                  <w:r>
                    <w:rPr>
                      <w:rFonts w:hint="eastAsia"/>
                      <w:b/>
                      <w:bCs/>
                      <w:color w:val="auto"/>
                      <w:spacing w:val="5"/>
                      <w:szCs w:val="21"/>
                    </w:rPr>
                    <w:t>等效声级</w:t>
                  </w:r>
                  <w:r>
                    <w:rPr>
                      <w:b/>
                      <w:bCs/>
                      <w:color w:val="auto"/>
                      <w:spacing w:val="5"/>
                      <w:szCs w:val="21"/>
                    </w:rPr>
                    <w:t>L</w:t>
                  </w:r>
                  <w:r>
                    <w:rPr>
                      <w:b/>
                      <w:bCs/>
                      <w:color w:val="auto"/>
                      <w:spacing w:val="5"/>
                      <w:szCs w:val="21"/>
                      <w:vertAlign w:val="subscript"/>
                    </w:rPr>
                    <w:t>Aeq</w:t>
                  </w:r>
                  <w:r>
                    <w:rPr>
                      <w:b/>
                      <w:bCs/>
                      <w:color w:val="auto"/>
                      <w:spacing w:val="5"/>
                      <w:szCs w:val="21"/>
                    </w:rPr>
                    <w:t>(dB)</w:t>
                  </w:r>
                </w:p>
              </w:tc>
            </w:tr>
            <w:tr w14:paraId="2902983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245" w:type="pct"/>
                  <w:vMerge w:val="continue"/>
                  <w:vAlign w:val="center"/>
                </w:tcPr>
                <w:p w14:paraId="269ACDB0">
                  <w:pPr>
                    <w:widowControl/>
                    <w:jc w:val="left"/>
                    <w:rPr>
                      <w:b/>
                      <w:bCs/>
                      <w:color w:val="auto"/>
                      <w:spacing w:val="5"/>
                      <w:szCs w:val="21"/>
                    </w:rPr>
                  </w:pPr>
                </w:p>
              </w:tc>
              <w:tc>
                <w:tcPr>
                  <w:tcW w:w="1820" w:type="pct"/>
                  <w:vAlign w:val="center"/>
                </w:tcPr>
                <w:p w14:paraId="1BD18F30">
                  <w:pPr>
                    <w:jc w:val="center"/>
                    <w:rPr>
                      <w:b/>
                      <w:bCs/>
                      <w:color w:val="auto"/>
                      <w:spacing w:val="5"/>
                      <w:szCs w:val="21"/>
                    </w:rPr>
                  </w:pPr>
                  <w:r>
                    <w:rPr>
                      <w:rFonts w:hint="eastAsia"/>
                      <w:b/>
                      <w:bCs/>
                      <w:color w:val="auto"/>
                      <w:spacing w:val="5"/>
                      <w:szCs w:val="21"/>
                    </w:rPr>
                    <w:t>昼</w:t>
                  </w:r>
                  <w:r>
                    <w:rPr>
                      <w:b/>
                      <w:bCs/>
                      <w:color w:val="auto"/>
                      <w:spacing w:val="5"/>
                      <w:szCs w:val="21"/>
                    </w:rPr>
                    <w:t xml:space="preserve"> </w:t>
                  </w:r>
                  <w:r>
                    <w:rPr>
                      <w:rFonts w:hint="eastAsia"/>
                      <w:b/>
                      <w:bCs/>
                      <w:color w:val="auto"/>
                      <w:spacing w:val="5"/>
                      <w:szCs w:val="21"/>
                    </w:rPr>
                    <w:t>间</w:t>
                  </w:r>
                </w:p>
              </w:tc>
              <w:tc>
                <w:tcPr>
                  <w:tcW w:w="1934" w:type="pct"/>
                  <w:vAlign w:val="center"/>
                </w:tcPr>
                <w:p w14:paraId="516EF6E5">
                  <w:pPr>
                    <w:jc w:val="center"/>
                    <w:rPr>
                      <w:b/>
                      <w:bCs/>
                      <w:color w:val="auto"/>
                      <w:spacing w:val="5"/>
                      <w:szCs w:val="21"/>
                    </w:rPr>
                  </w:pPr>
                  <w:r>
                    <w:rPr>
                      <w:rFonts w:hint="eastAsia"/>
                      <w:b/>
                      <w:bCs/>
                      <w:color w:val="auto"/>
                      <w:spacing w:val="5"/>
                      <w:szCs w:val="21"/>
                    </w:rPr>
                    <w:t>夜</w:t>
                  </w:r>
                  <w:r>
                    <w:rPr>
                      <w:b/>
                      <w:bCs/>
                      <w:color w:val="auto"/>
                      <w:spacing w:val="5"/>
                      <w:szCs w:val="21"/>
                    </w:rPr>
                    <w:t xml:space="preserve"> </w:t>
                  </w:r>
                  <w:r>
                    <w:rPr>
                      <w:rFonts w:hint="eastAsia"/>
                      <w:b/>
                      <w:bCs/>
                      <w:color w:val="auto"/>
                      <w:spacing w:val="5"/>
                      <w:szCs w:val="21"/>
                    </w:rPr>
                    <w:t>间</w:t>
                  </w:r>
                </w:p>
              </w:tc>
            </w:tr>
            <w:tr w14:paraId="021C9A5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245" w:type="pct"/>
                  <w:vAlign w:val="center"/>
                </w:tcPr>
                <w:p w14:paraId="6395DF5A">
                  <w:pPr>
                    <w:tabs>
                      <w:tab w:val="left" w:pos="420"/>
                      <w:tab w:val="center" w:pos="4153"/>
                      <w:tab w:val="right" w:pos="8306"/>
                    </w:tabs>
                    <w:snapToGrid w:val="0"/>
                    <w:jc w:val="center"/>
                    <w:rPr>
                      <w:color w:val="auto"/>
                      <w:spacing w:val="5"/>
                      <w:szCs w:val="21"/>
                    </w:rPr>
                  </w:pPr>
                  <w:r>
                    <w:rPr>
                      <w:color w:val="auto"/>
                      <w:spacing w:val="5"/>
                      <w:szCs w:val="21"/>
                    </w:rPr>
                    <w:t>4a</w:t>
                  </w:r>
                  <w:r>
                    <w:rPr>
                      <w:rFonts w:hint="eastAsia"/>
                      <w:color w:val="auto"/>
                      <w:spacing w:val="5"/>
                      <w:szCs w:val="21"/>
                    </w:rPr>
                    <w:t>类</w:t>
                  </w:r>
                </w:p>
              </w:tc>
              <w:tc>
                <w:tcPr>
                  <w:tcW w:w="1820" w:type="pct"/>
                  <w:vAlign w:val="center"/>
                </w:tcPr>
                <w:p w14:paraId="07A65F15">
                  <w:pPr>
                    <w:jc w:val="center"/>
                    <w:rPr>
                      <w:color w:val="auto"/>
                      <w:spacing w:val="5"/>
                      <w:szCs w:val="21"/>
                    </w:rPr>
                  </w:pPr>
                  <w:r>
                    <w:rPr>
                      <w:color w:val="auto"/>
                      <w:spacing w:val="5"/>
                      <w:szCs w:val="21"/>
                    </w:rPr>
                    <w:t>70</w:t>
                  </w:r>
                </w:p>
              </w:tc>
              <w:tc>
                <w:tcPr>
                  <w:tcW w:w="1934" w:type="pct"/>
                  <w:vAlign w:val="center"/>
                </w:tcPr>
                <w:p w14:paraId="149A64E0">
                  <w:pPr>
                    <w:jc w:val="center"/>
                    <w:rPr>
                      <w:color w:val="auto"/>
                      <w:spacing w:val="5"/>
                      <w:szCs w:val="21"/>
                    </w:rPr>
                  </w:pPr>
                  <w:r>
                    <w:rPr>
                      <w:color w:val="auto"/>
                      <w:spacing w:val="5"/>
                      <w:szCs w:val="21"/>
                    </w:rPr>
                    <w:t>55</w:t>
                  </w:r>
                </w:p>
              </w:tc>
            </w:tr>
            <w:tr w14:paraId="26AD05C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245" w:type="pct"/>
                  <w:vAlign w:val="center"/>
                </w:tcPr>
                <w:p w14:paraId="76AFC562">
                  <w:pPr>
                    <w:tabs>
                      <w:tab w:val="left" w:pos="420"/>
                      <w:tab w:val="center" w:pos="4153"/>
                      <w:tab w:val="right" w:pos="8306"/>
                    </w:tabs>
                    <w:snapToGrid w:val="0"/>
                    <w:jc w:val="center"/>
                    <w:rPr>
                      <w:color w:val="auto"/>
                      <w:spacing w:val="5"/>
                      <w:szCs w:val="21"/>
                    </w:rPr>
                  </w:pPr>
                  <w:r>
                    <w:rPr>
                      <w:color w:val="auto"/>
                      <w:spacing w:val="5"/>
                      <w:szCs w:val="21"/>
                    </w:rPr>
                    <w:t>2</w:t>
                  </w:r>
                  <w:r>
                    <w:rPr>
                      <w:rFonts w:hint="eastAsia"/>
                      <w:color w:val="auto"/>
                      <w:spacing w:val="5"/>
                      <w:szCs w:val="21"/>
                    </w:rPr>
                    <w:t>类</w:t>
                  </w:r>
                </w:p>
              </w:tc>
              <w:tc>
                <w:tcPr>
                  <w:tcW w:w="1820" w:type="pct"/>
                  <w:vAlign w:val="center"/>
                </w:tcPr>
                <w:p w14:paraId="503446DF">
                  <w:pPr>
                    <w:jc w:val="center"/>
                    <w:rPr>
                      <w:color w:val="auto"/>
                      <w:spacing w:val="5"/>
                      <w:szCs w:val="21"/>
                    </w:rPr>
                  </w:pPr>
                  <w:r>
                    <w:rPr>
                      <w:color w:val="auto"/>
                      <w:spacing w:val="5"/>
                      <w:szCs w:val="21"/>
                    </w:rPr>
                    <w:t>60</w:t>
                  </w:r>
                </w:p>
              </w:tc>
              <w:tc>
                <w:tcPr>
                  <w:tcW w:w="1934" w:type="pct"/>
                  <w:vAlign w:val="center"/>
                </w:tcPr>
                <w:p w14:paraId="008FC609">
                  <w:pPr>
                    <w:jc w:val="center"/>
                    <w:rPr>
                      <w:color w:val="auto"/>
                      <w:spacing w:val="5"/>
                      <w:szCs w:val="21"/>
                    </w:rPr>
                  </w:pPr>
                  <w:r>
                    <w:rPr>
                      <w:color w:val="auto"/>
                      <w:spacing w:val="5"/>
                      <w:szCs w:val="21"/>
                    </w:rPr>
                    <w:t>50</w:t>
                  </w:r>
                </w:p>
              </w:tc>
            </w:tr>
            <w:tr w14:paraId="5962972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245" w:type="pct"/>
                  <w:vAlign w:val="center"/>
                </w:tcPr>
                <w:p w14:paraId="56C2D00C">
                  <w:pPr>
                    <w:jc w:val="center"/>
                    <w:rPr>
                      <w:rFonts w:hint="default" w:eastAsia="宋体"/>
                      <w:color w:val="auto"/>
                      <w:spacing w:val="5"/>
                      <w:szCs w:val="21"/>
                      <w:lang w:val="en-US" w:eastAsia="zh-CN"/>
                    </w:rPr>
                  </w:pPr>
                  <w:r>
                    <w:rPr>
                      <w:rFonts w:hint="eastAsia"/>
                      <w:color w:val="auto"/>
                      <w:spacing w:val="5"/>
                      <w:szCs w:val="21"/>
                      <w:lang w:val="en-US" w:eastAsia="zh-CN"/>
                    </w:rPr>
                    <w:t>学校、卫生院</w:t>
                  </w:r>
                </w:p>
              </w:tc>
              <w:tc>
                <w:tcPr>
                  <w:tcW w:w="1820" w:type="pct"/>
                  <w:vAlign w:val="center"/>
                </w:tcPr>
                <w:p w14:paraId="0AB44945">
                  <w:pPr>
                    <w:jc w:val="center"/>
                    <w:rPr>
                      <w:rFonts w:hint="default" w:eastAsia="宋体"/>
                      <w:color w:val="auto"/>
                      <w:spacing w:val="5"/>
                      <w:szCs w:val="21"/>
                      <w:lang w:val="en-US" w:eastAsia="zh-CN"/>
                    </w:rPr>
                  </w:pPr>
                  <w:r>
                    <w:rPr>
                      <w:rFonts w:hint="eastAsia"/>
                      <w:color w:val="auto"/>
                      <w:spacing w:val="5"/>
                      <w:szCs w:val="21"/>
                      <w:lang w:val="en-US" w:eastAsia="zh-CN"/>
                    </w:rPr>
                    <w:t>60</w:t>
                  </w:r>
                </w:p>
              </w:tc>
              <w:tc>
                <w:tcPr>
                  <w:tcW w:w="1934" w:type="pct"/>
                  <w:vAlign w:val="center"/>
                </w:tcPr>
                <w:p w14:paraId="416BA340">
                  <w:pPr>
                    <w:tabs>
                      <w:tab w:val="left" w:pos="420"/>
                      <w:tab w:val="center" w:pos="4153"/>
                      <w:tab w:val="right" w:pos="8306"/>
                    </w:tabs>
                    <w:snapToGrid w:val="0"/>
                    <w:jc w:val="center"/>
                    <w:rPr>
                      <w:rFonts w:hint="default" w:eastAsia="宋体"/>
                      <w:color w:val="auto"/>
                      <w:spacing w:val="5"/>
                      <w:szCs w:val="21"/>
                      <w:lang w:val="en-US" w:eastAsia="zh-CN"/>
                    </w:rPr>
                  </w:pPr>
                  <w:r>
                    <w:rPr>
                      <w:rFonts w:hint="eastAsia"/>
                      <w:color w:val="auto"/>
                      <w:spacing w:val="5"/>
                      <w:szCs w:val="21"/>
                      <w:lang w:val="en-US" w:eastAsia="zh-CN"/>
                    </w:rPr>
                    <w:t>50</w:t>
                  </w:r>
                </w:p>
              </w:tc>
            </w:tr>
          </w:tbl>
          <w:p w14:paraId="364DA942">
            <w:pPr>
              <w:adjustRightInd w:val="0"/>
              <w:spacing w:before="240" w:beforeLines="100" w:line="300" w:lineRule="auto"/>
              <w:rPr>
                <w:b/>
                <w:kern w:val="0"/>
                <w:sz w:val="24"/>
              </w:rPr>
            </w:pPr>
            <w:r>
              <w:rPr>
                <w:b/>
                <w:color w:val="0070C0"/>
                <w:kern w:val="0"/>
                <w:sz w:val="24"/>
              </w:rPr>
              <w:t xml:space="preserve"> </w:t>
            </w:r>
            <w:r>
              <w:rPr>
                <w:b/>
                <w:kern w:val="0"/>
                <w:sz w:val="24"/>
              </w:rPr>
              <w:t>2. 污染物排放标准</w:t>
            </w:r>
          </w:p>
          <w:p w14:paraId="2B2C73A7">
            <w:pPr>
              <w:adjustRightInd w:val="0"/>
              <w:spacing w:line="300" w:lineRule="auto"/>
              <w:ind w:firstLine="480" w:firstLineChars="200"/>
              <w:rPr>
                <w:bCs/>
                <w:kern w:val="0"/>
                <w:sz w:val="24"/>
              </w:rPr>
            </w:pPr>
            <w:r>
              <w:rPr>
                <w:rFonts w:hint="eastAsia"/>
                <w:bCs/>
                <w:kern w:val="0"/>
                <w:sz w:val="24"/>
              </w:rPr>
              <w:t>(1) 废气</w:t>
            </w:r>
          </w:p>
          <w:p w14:paraId="4CA5A75A">
            <w:pPr>
              <w:pStyle w:val="58"/>
              <w:rPr>
                <w:color w:val="auto"/>
              </w:rPr>
            </w:pPr>
            <w:r>
              <w:rPr>
                <w:color w:val="auto"/>
                <w:kern w:val="0"/>
              </w:rPr>
              <w:t>施工期扬尘及沥青烟排放执行</w:t>
            </w:r>
            <w:r>
              <w:rPr>
                <w:color w:val="auto"/>
              </w:rPr>
              <w:t>《大气污染物综合排放标准》（GB16297-1996）</w:t>
            </w:r>
            <w:r>
              <w:rPr>
                <w:color w:val="auto"/>
                <w:kern w:val="0"/>
              </w:rPr>
              <w:t>中表</w:t>
            </w:r>
            <w:r>
              <w:rPr>
                <w:rFonts w:eastAsia="TimesNewRomanPSMT"/>
                <w:color w:val="auto"/>
                <w:kern w:val="0"/>
              </w:rPr>
              <w:t>2</w:t>
            </w:r>
            <w:r>
              <w:rPr>
                <w:color w:val="auto"/>
                <w:kern w:val="0"/>
              </w:rPr>
              <w:t>新污染源大气污染物排放浓度限值</w:t>
            </w:r>
            <w:r>
              <w:rPr>
                <w:rFonts w:hint="eastAsia"/>
                <w:color w:val="auto"/>
              </w:rPr>
              <w:t>。</w:t>
            </w:r>
            <w:r>
              <w:rPr>
                <w:rFonts w:hAnsi="宋体"/>
                <w:color w:val="auto"/>
                <w:kern w:val="0"/>
              </w:rPr>
              <w:t>沥青拌合站导热油炉产生的烟尘、二氧化硫、氮氧化物、烟气黑度等燃油废气污染物执行《锅炉大气污染物排放标准》（</w:t>
            </w:r>
            <w:r>
              <w:rPr>
                <w:color w:val="auto"/>
                <w:kern w:val="0"/>
              </w:rPr>
              <w:t>GB13271-2014</w:t>
            </w:r>
            <w:r>
              <w:rPr>
                <w:rFonts w:hAnsi="宋体"/>
                <w:color w:val="auto"/>
                <w:kern w:val="0"/>
              </w:rPr>
              <w:t>）表</w:t>
            </w:r>
            <w:r>
              <w:rPr>
                <w:color w:val="auto"/>
                <w:kern w:val="0"/>
              </w:rPr>
              <w:t>2</w:t>
            </w:r>
            <w:r>
              <w:rPr>
                <w:rFonts w:hAnsi="宋体"/>
                <w:color w:val="auto"/>
                <w:kern w:val="0"/>
              </w:rPr>
              <w:t>中燃油锅炉大气污染物排放限值要求。沥青拌合站骨料烘干、拌和产生的颗粒物、二氧化硫、氮氧化物、苯并</w:t>
            </w:r>
            <w:r>
              <w:rPr>
                <w:color w:val="auto"/>
                <w:kern w:val="0"/>
              </w:rPr>
              <w:t>[a]</w:t>
            </w:r>
            <w:r>
              <w:rPr>
                <w:rFonts w:hAnsi="宋体"/>
                <w:color w:val="auto"/>
                <w:kern w:val="0"/>
              </w:rPr>
              <w:t>芘、沥青烟等执行《大气污染物综合排放标准》（</w:t>
            </w:r>
            <w:r>
              <w:rPr>
                <w:color w:val="auto"/>
                <w:kern w:val="0"/>
              </w:rPr>
              <w:t>GB16297-1996</w:t>
            </w:r>
            <w:r>
              <w:rPr>
                <w:rFonts w:hAnsi="宋体"/>
                <w:color w:val="auto"/>
                <w:kern w:val="0"/>
              </w:rPr>
              <w:t>）的二级标准。拟建公路施工期混凝土拌和站产生的颗粒物执行《水泥工业大气污染物排放标准》（</w:t>
            </w:r>
            <w:r>
              <w:rPr>
                <w:color w:val="auto"/>
                <w:kern w:val="0"/>
              </w:rPr>
              <w:t>GB4915-2013</w:t>
            </w:r>
            <w:r>
              <w:rPr>
                <w:rFonts w:hAnsi="宋体"/>
                <w:color w:val="auto"/>
                <w:kern w:val="0"/>
              </w:rPr>
              <w:t>）（含</w:t>
            </w:r>
            <w:r>
              <w:rPr>
                <w:color w:val="auto"/>
                <w:kern w:val="0"/>
              </w:rPr>
              <w:t>2025</w:t>
            </w:r>
            <w:r>
              <w:rPr>
                <w:rFonts w:hAnsi="宋体"/>
                <w:color w:val="auto"/>
                <w:kern w:val="0"/>
              </w:rPr>
              <w:t>年修改单）中的水泥制品颗粒物排放标准。</w:t>
            </w:r>
            <w:r>
              <w:rPr>
                <w:rFonts w:hint="eastAsia"/>
                <w:color w:val="auto"/>
              </w:rPr>
              <w:t>沿线设施</w:t>
            </w:r>
            <w:r>
              <w:rPr>
                <w:color w:val="auto"/>
              </w:rPr>
              <w:t>餐饮油烟排放执行《饮食业油烟排放标准（试行）》（GB18483-2001）。</w:t>
            </w:r>
            <w:r>
              <w:rPr>
                <w:color w:val="auto"/>
                <w:kern w:val="0"/>
              </w:rPr>
              <w:t>具体排放限值见表3-</w:t>
            </w:r>
            <w:r>
              <w:rPr>
                <w:rFonts w:hint="eastAsia"/>
                <w:color w:val="auto"/>
                <w:kern w:val="0"/>
              </w:rPr>
              <w:t>2</w:t>
            </w:r>
            <w:r>
              <w:rPr>
                <w:rFonts w:hint="eastAsia"/>
                <w:color w:val="auto"/>
                <w:kern w:val="0"/>
                <w:lang w:val="en-US" w:eastAsia="zh-CN"/>
              </w:rPr>
              <w:t>1</w:t>
            </w:r>
            <w:r>
              <w:rPr>
                <w:rFonts w:hint="eastAsia"/>
                <w:color w:val="auto"/>
                <w:kern w:val="0"/>
              </w:rPr>
              <w:t>～表3-2</w:t>
            </w:r>
            <w:r>
              <w:rPr>
                <w:rFonts w:hint="eastAsia"/>
                <w:color w:val="auto"/>
                <w:kern w:val="0"/>
                <w:lang w:val="en-US" w:eastAsia="zh-CN"/>
              </w:rPr>
              <w:t>4</w:t>
            </w:r>
            <w:r>
              <w:rPr>
                <w:color w:val="auto"/>
              </w:rPr>
              <w:t>。</w:t>
            </w:r>
          </w:p>
          <w:p w14:paraId="2F3C99F7">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b/>
                <w:color w:val="auto"/>
                <w:vertAlign w:val="superscript"/>
              </w:rPr>
            </w:pPr>
            <w:r>
              <w:rPr>
                <w:rFonts w:hint="eastAsia" w:ascii="宋体" w:hAnsi="宋体"/>
                <w:b/>
                <w:color w:val="FF0000"/>
                <w:lang w:val="en-US" w:eastAsia="zh-CN"/>
              </w:rPr>
              <w:t xml:space="preserve">     </w:t>
            </w:r>
            <w:r>
              <w:rPr>
                <w:rFonts w:hint="eastAsia" w:ascii="宋体" w:hAnsi="宋体"/>
                <w:b/>
                <w:color w:val="auto"/>
                <w:lang w:val="en-US" w:eastAsia="zh-CN"/>
              </w:rPr>
              <w:t xml:space="preserve">      </w:t>
            </w:r>
            <w:r>
              <w:rPr>
                <w:rFonts w:ascii="宋体" w:hAnsi="宋体"/>
                <w:b/>
                <w:color w:val="auto"/>
              </w:rPr>
              <w:t>表</w:t>
            </w:r>
            <w:r>
              <w:rPr>
                <w:rFonts w:hint="eastAsia"/>
                <w:b/>
                <w:color w:val="auto"/>
              </w:rPr>
              <w:t>3-2</w:t>
            </w:r>
            <w:r>
              <w:rPr>
                <w:rFonts w:hint="eastAsia"/>
                <w:b/>
                <w:color w:val="auto"/>
                <w:lang w:val="en-US" w:eastAsia="zh-CN"/>
              </w:rPr>
              <w:t>1</w:t>
            </w:r>
            <w:r>
              <w:rPr>
                <w:b/>
                <w:color w:val="auto"/>
              </w:rPr>
              <w:t xml:space="preserve">  </w:t>
            </w:r>
            <w:r>
              <w:rPr>
                <w:rFonts w:hint="eastAsia"/>
                <w:b/>
                <w:color w:val="auto"/>
                <w:lang w:eastAsia="zh-CN"/>
              </w:rPr>
              <w:t>《</w:t>
            </w:r>
            <w:r>
              <w:rPr>
                <w:rFonts w:ascii="宋体" w:hAnsi="宋体"/>
                <w:b/>
                <w:color w:val="auto"/>
              </w:rPr>
              <w:t>大气污染物综合排放标准</w:t>
            </w:r>
            <w:r>
              <w:rPr>
                <w:rFonts w:hint="eastAsia"/>
                <w:b/>
                <w:color w:val="auto"/>
                <w:lang w:eastAsia="zh-CN"/>
              </w:rPr>
              <w:t>》（GB16297-1996）</w:t>
            </w:r>
            <w:r>
              <w:rPr>
                <w:rFonts w:ascii="宋体" w:hAnsi="宋体"/>
                <w:b/>
                <w:color w:val="auto"/>
              </w:rPr>
              <w:t>（摘录）</w:t>
            </w:r>
            <w:r>
              <w:rPr>
                <w:b/>
                <w:color w:val="auto"/>
              </w:rPr>
              <w:t xml:space="preserve">  </w:t>
            </w:r>
            <w:r>
              <w:rPr>
                <w:rFonts w:ascii="宋体" w:hAnsi="宋体"/>
                <w:b/>
                <w:color w:val="auto"/>
              </w:rPr>
              <w:t>单位：</w:t>
            </w:r>
            <w:r>
              <w:rPr>
                <w:b/>
                <w:color w:val="auto"/>
              </w:rPr>
              <w:t>mg/m</w:t>
            </w:r>
            <w:r>
              <w:rPr>
                <w:b/>
                <w:color w:val="auto"/>
                <w:vertAlign w:val="superscript"/>
              </w:rPr>
              <w:t>3</w:t>
            </w:r>
          </w:p>
          <w:tbl>
            <w:tblPr>
              <w:tblStyle w:val="22"/>
              <w:tblW w:w="8471"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1139"/>
              <w:gridCol w:w="1528"/>
              <w:gridCol w:w="1669"/>
              <w:gridCol w:w="1253"/>
              <w:gridCol w:w="1392"/>
              <w:gridCol w:w="1490"/>
            </w:tblGrid>
            <w:tr w14:paraId="49A1B0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jc w:val="center"/>
              </w:trPr>
              <w:tc>
                <w:tcPr>
                  <w:tcW w:w="672" w:type="pct"/>
                  <w:vMerge w:val="restart"/>
                  <w:vAlign w:val="center"/>
                </w:tcPr>
                <w:p w14:paraId="60465754">
                  <w:pPr>
                    <w:kinsoku w:val="0"/>
                    <w:autoSpaceDE w:val="0"/>
                    <w:autoSpaceDN w:val="0"/>
                    <w:adjustRightInd w:val="0"/>
                    <w:snapToGrid w:val="0"/>
                    <w:jc w:val="center"/>
                    <w:textAlignment w:val="baseline"/>
                    <w:rPr>
                      <w:b/>
                      <w:color w:val="auto"/>
                      <w:szCs w:val="21"/>
                    </w:rPr>
                  </w:pPr>
                  <w:r>
                    <w:rPr>
                      <w:rFonts w:ascii="宋体" w:hAnsi="宋体"/>
                      <w:b/>
                      <w:color w:val="auto"/>
                      <w:spacing w:val="6"/>
                    </w:rPr>
                    <w:t>污染物</w:t>
                  </w:r>
                </w:p>
              </w:tc>
              <w:tc>
                <w:tcPr>
                  <w:tcW w:w="901" w:type="pct"/>
                  <w:vMerge w:val="restart"/>
                  <w:vAlign w:val="center"/>
                </w:tcPr>
                <w:p w14:paraId="091B9180">
                  <w:pPr>
                    <w:jc w:val="center"/>
                    <w:rPr>
                      <w:b/>
                      <w:color w:val="auto"/>
                      <w:spacing w:val="6"/>
                      <w:szCs w:val="21"/>
                    </w:rPr>
                  </w:pPr>
                  <w:r>
                    <w:rPr>
                      <w:rFonts w:ascii="宋体" w:hAnsi="宋体"/>
                      <w:b/>
                      <w:color w:val="auto"/>
                      <w:spacing w:val="8"/>
                    </w:rPr>
                    <w:t>最高容许排放浓度</w:t>
                  </w:r>
                  <w:r>
                    <w:rPr>
                      <w:b/>
                      <w:color w:val="auto"/>
                      <w:spacing w:val="8"/>
                    </w:rPr>
                    <w:t>(</w:t>
                  </w:r>
                  <w:r>
                    <w:rPr>
                      <w:b/>
                      <w:color w:val="auto"/>
                      <w:spacing w:val="6"/>
                    </w:rPr>
                    <w:t>mg/m</w:t>
                  </w:r>
                  <w:r>
                    <w:rPr>
                      <w:b/>
                      <w:color w:val="auto"/>
                      <w:spacing w:val="6"/>
                      <w:vertAlign w:val="superscript"/>
                    </w:rPr>
                    <w:t>3</w:t>
                  </w:r>
                  <w:r>
                    <w:rPr>
                      <w:b/>
                      <w:color w:val="auto"/>
                      <w:spacing w:val="6"/>
                    </w:rPr>
                    <w:t>)</w:t>
                  </w:r>
                </w:p>
              </w:tc>
              <w:tc>
                <w:tcPr>
                  <w:tcW w:w="1724" w:type="pct"/>
                  <w:gridSpan w:val="2"/>
                  <w:vAlign w:val="center"/>
                </w:tcPr>
                <w:p w14:paraId="470650D5">
                  <w:pPr>
                    <w:jc w:val="center"/>
                    <w:rPr>
                      <w:b/>
                      <w:color w:val="auto"/>
                      <w:spacing w:val="6"/>
                      <w:szCs w:val="21"/>
                    </w:rPr>
                  </w:pPr>
                  <w:r>
                    <w:rPr>
                      <w:rFonts w:ascii="宋体" w:hAnsi="宋体"/>
                      <w:b/>
                      <w:color w:val="auto"/>
                      <w:spacing w:val="8"/>
                    </w:rPr>
                    <w:t>最高容许排放速率</w:t>
                  </w:r>
                  <w:r>
                    <w:rPr>
                      <w:b/>
                      <w:color w:val="auto"/>
                      <w:spacing w:val="8"/>
                    </w:rPr>
                    <w:t>(</w:t>
                  </w:r>
                  <w:r>
                    <w:rPr>
                      <w:b/>
                      <w:color w:val="auto"/>
                      <w:spacing w:val="-44"/>
                    </w:rPr>
                    <w:t xml:space="preserve"> </w:t>
                  </w:r>
                  <w:r>
                    <w:rPr>
                      <w:b/>
                      <w:color w:val="auto"/>
                      <w:spacing w:val="6"/>
                    </w:rPr>
                    <w:t>kg</w:t>
                  </w:r>
                  <w:r>
                    <w:rPr>
                      <w:b/>
                      <w:color w:val="auto"/>
                      <w:spacing w:val="8"/>
                    </w:rPr>
                    <w:t>/h)</w:t>
                  </w:r>
                </w:p>
              </w:tc>
              <w:tc>
                <w:tcPr>
                  <w:tcW w:w="1701" w:type="pct"/>
                  <w:gridSpan w:val="2"/>
                  <w:vAlign w:val="center"/>
                </w:tcPr>
                <w:p w14:paraId="3A85D9FC">
                  <w:pPr>
                    <w:kinsoku w:val="0"/>
                    <w:autoSpaceDE w:val="0"/>
                    <w:autoSpaceDN w:val="0"/>
                    <w:adjustRightInd w:val="0"/>
                    <w:snapToGrid w:val="0"/>
                    <w:jc w:val="center"/>
                    <w:textAlignment w:val="baseline"/>
                    <w:rPr>
                      <w:b/>
                      <w:color w:val="auto"/>
                      <w:szCs w:val="21"/>
                    </w:rPr>
                  </w:pPr>
                  <w:r>
                    <w:rPr>
                      <w:rFonts w:ascii="宋体" w:hAnsi="宋体"/>
                      <w:b/>
                      <w:color w:val="auto"/>
                      <w:spacing w:val="9"/>
                    </w:rPr>
                    <w:t>无组织排放监控浓度限制</w:t>
                  </w:r>
                </w:p>
              </w:tc>
            </w:tr>
            <w:tr w14:paraId="54EE2E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jc w:val="center"/>
              </w:trPr>
              <w:tc>
                <w:tcPr>
                  <w:tcW w:w="672" w:type="pct"/>
                  <w:vMerge w:val="continue"/>
                  <w:vAlign w:val="center"/>
                </w:tcPr>
                <w:p w14:paraId="75BDDB7C">
                  <w:pPr>
                    <w:rPr>
                      <w:b/>
                      <w:color w:val="auto"/>
                      <w:szCs w:val="21"/>
                    </w:rPr>
                  </w:pPr>
                </w:p>
              </w:tc>
              <w:tc>
                <w:tcPr>
                  <w:tcW w:w="901" w:type="pct"/>
                  <w:vMerge w:val="continue"/>
                  <w:vAlign w:val="center"/>
                </w:tcPr>
                <w:p w14:paraId="624CBED6">
                  <w:pPr>
                    <w:rPr>
                      <w:b/>
                      <w:color w:val="auto"/>
                      <w:spacing w:val="6"/>
                      <w:szCs w:val="21"/>
                    </w:rPr>
                  </w:pPr>
                </w:p>
              </w:tc>
              <w:tc>
                <w:tcPr>
                  <w:tcW w:w="985" w:type="pct"/>
                  <w:vAlign w:val="center"/>
                </w:tcPr>
                <w:p w14:paraId="324B0287">
                  <w:pPr>
                    <w:jc w:val="center"/>
                    <w:rPr>
                      <w:b/>
                      <w:color w:val="auto"/>
                      <w:spacing w:val="6"/>
                      <w:szCs w:val="21"/>
                    </w:rPr>
                  </w:pPr>
                  <w:r>
                    <w:rPr>
                      <w:rFonts w:ascii="宋体" w:hAnsi="宋体"/>
                      <w:b/>
                      <w:color w:val="auto"/>
                      <w:spacing w:val="7"/>
                    </w:rPr>
                    <w:t>排气筒高度</w:t>
                  </w:r>
                  <w:r>
                    <w:rPr>
                      <w:b/>
                      <w:color w:val="auto"/>
                      <w:spacing w:val="7"/>
                    </w:rPr>
                    <w:t>(m)</w:t>
                  </w:r>
                </w:p>
              </w:tc>
              <w:tc>
                <w:tcPr>
                  <w:tcW w:w="739" w:type="pct"/>
                  <w:vAlign w:val="center"/>
                </w:tcPr>
                <w:p w14:paraId="6D53E1E4">
                  <w:pPr>
                    <w:kinsoku w:val="0"/>
                    <w:autoSpaceDE w:val="0"/>
                    <w:autoSpaceDN w:val="0"/>
                    <w:adjustRightInd w:val="0"/>
                    <w:snapToGrid w:val="0"/>
                    <w:jc w:val="center"/>
                    <w:textAlignment w:val="baseline"/>
                    <w:rPr>
                      <w:b/>
                      <w:color w:val="auto"/>
                      <w:szCs w:val="21"/>
                    </w:rPr>
                  </w:pPr>
                  <w:r>
                    <w:rPr>
                      <w:rFonts w:ascii="宋体" w:hAnsi="宋体"/>
                      <w:b/>
                      <w:color w:val="auto"/>
                      <w:spacing w:val="7"/>
                    </w:rPr>
                    <w:t>排放速率</w:t>
                  </w:r>
                </w:p>
              </w:tc>
              <w:tc>
                <w:tcPr>
                  <w:tcW w:w="821" w:type="pct"/>
                  <w:vAlign w:val="center"/>
                </w:tcPr>
                <w:p w14:paraId="3F69D92E">
                  <w:pPr>
                    <w:kinsoku w:val="0"/>
                    <w:autoSpaceDE w:val="0"/>
                    <w:autoSpaceDN w:val="0"/>
                    <w:adjustRightInd w:val="0"/>
                    <w:snapToGrid w:val="0"/>
                    <w:jc w:val="center"/>
                    <w:textAlignment w:val="baseline"/>
                    <w:rPr>
                      <w:b/>
                      <w:color w:val="auto"/>
                      <w:szCs w:val="21"/>
                    </w:rPr>
                  </w:pPr>
                  <w:r>
                    <w:rPr>
                      <w:rFonts w:ascii="宋体" w:hAnsi="宋体"/>
                      <w:b/>
                      <w:color w:val="auto"/>
                      <w:spacing w:val="6"/>
                    </w:rPr>
                    <w:t>监控点</w:t>
                  </w:r>
                </w:p>
              </w:tc>
              <w:tc>
                <w:tcPr>
                  <w:tcW w:w="879" w:type="pct"/>
                  <w:vAlign w:val="center"/>
                </w:tcPr>
                <w:p w14:paraId="662470D5">
                  <w:pPr>
                    <w:jc w:val="center"/>
                    <w:rPr>
                      <w:b/>
                      <w:color w:val="auto"/>
                      <w:spacing w:val="6"/>
                      <w:szCs w:val="21"/>
                    </w:rPr>
                  </w:pPr>
                  <w:r>
                    <w:rPr>
                      <w:rFonts w:ascii="宋体" w:hAnsi="宋体"/>
                      <w:b/>
                      <w:color w:val="auto"/>
                      <w:spacing w:val="6"/>
                    </w:rPr>
                    <w:t>浓度</w:t>
                  </w:r>
                  <w:r>
                    <w:rPr>
                      <w:b/>
                      <w:color w:val="auto"/>
                      <w:spacing w:val="8"/>
                    </w:rPr>
                    <w:t>(</w:t>
                  </w:r>
                  <w:r>
                    <w:rPr>
                      <w:b/>
                      <w:color w:val="auto"/>
                      <w:spacing w:val="6"/>
                    </w:rPr>
                    <w:t>mg/m</w:t>
                  </w:r>
                  <w:r>
                    <w:rPr>
                      <w:b/>
                      <w:color w:val="auto"/>
                      <w:spacing w:val="6"/>
                      <w:vertAlign w:val="superscript"/>
                    </w:rPr>
                    <w:t>3</w:t>
                  </w:r>
                  <w:r>
                    <w:rPr>
                      <w:b/>
                      <w:color w:val="auto"/>
                      <w:spacing w:val="6"/>
                    </w:rPr>
                    <w:t>)</w:t>
                  </w:r>
                </w:p>
              </w:tc>
            </w:tr>
            <w:tr w14:paraId="3AF64D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jc w:val="center"/>
              </w:trPr>
              <w:tc>
                <w:tcPr>
                  <w:tcW w:w="672" w:type="pct"/>
                  <w:vAlign w:val="center"/>
                </w:tcPr>
                <w:p w14:paraId="11BA2CDA">
                  <w:pPr>
                    <w:kinsoku w:val="0"/>
                    <w:autoSpaceDE w:val="0"/>
                    <w:autoSpaceDN w:val="0"/>
                    <w:adjustRightInd w:val="0"/>
                    <w:snapToGrid w:val="0"/>
                    <w:jc w:val="center"/>
                    <w:textAlignment w:val="baseline"/>
                    <w:rPr>
                      <w:color w:val="auto"/>
                      <w:szCs w:val="21"/>
                    </w:rPr>
                  </w:pPr>
                  <w:r>
                    <w:rPr>
                      <w:rFonts w:ascii="宋体" w:hAnsi="宋体"/>
                      <w:color w:val="auto"/>
                      <w:spacing w:val="7"/>
                    </w:rPr>
                    <w:t>颗粒物</w:t>
                  </w:r>
                </w:p>
              </w:tc>
              <w:tc>
                <w:tcPr>
                  <w:tcW w:w="901" w:type="pct"/>
                  <w:vAlign w:val="center"/>
                </w:tcPr>
                <w:p w14:paraId="2BB0B79A">
                  <w:pPr>
                    <w:jc w:val="center"/>
                    <w:rPr>
                      <w:color w:val="auto"/>
                      <w:spacing w:val="6"/>
                      <w:szCs w:val="21"/>
                    </w:rPr>
                  </w:pPr>
                  <w:r>
                    <w:rPr>
                      <w:color w:val="auto"/>
                      <w:spacing w:val="-3"/>
                    </w:rPr>
                    <w:t>120</w:t>
                  </w:r>
                </w:p>
              </w:tc>
              <w:tc>
                <w:tcPr>
                  <w:tcW w:w="985" w:type="pct"/>
                  <w:vAlign w:val="center"/>
                </w:tcPr>
                <w:p w14:paraId="26FBE0AD">
                  <w:pPr>
                    <w:jc w:val="center"/>
                    <w:rPr>
                      <w:color w:val="auto"/>
                      <w:spacing w:val="6"/>
                      <w:szCs w:val="21"/>
                    </w:rPr>
                  </w:pPr>
                  <w:r>
                    <w:rPr>
                      <w:color w:val="auto"/>
                      <w:spacing w:val="-8"/>
                    </w:rPr>
                    <w:t>15</w:t>
                  </w:r>
                </w:p>
              </w:tc>
              <w:tc>
                <w:tcPr>
                  <w:tcW w:w="739" w:type="pct"/>
                  <w:vAlign w:val="center"/>
                </w:tcPr>
                <w:p w14:paraId="2FEA782E">
                  <w:pPr>
                    <w:jc w:val="center"/>
                    <w:rPr>
                      <w:color w:val="auto"/>
                      <w:spacing w:val="6"/>
                      <w:szCs w:val="21"/>
                    </w:rPr>
                  </w:pPr>
                  <w:r>
                    <w:rPr>
                      <w:color w:val="auto"/>
                      <w:spacing w:val="1"/>
                    </w:rPr>
                    <w:t>3.5</w:t>
                  </w:r>
                </w:p>
              </w:tc>
              <w:tc>
                <w:tcPr>
                  <w:tcW w:w="821" w:type="pct"/>
                  <w:vMerge w:val="restart"/>
                  <w:vAlign w:val="center"/>
                </w:tcPr>
                <w:p w14:paraId="60BE6407">
                  <w:pPr>
                    <w:jc w:val="center"/>
                    <w:rPr>
                      <w:color w:val="auto"/>
                      <w:szCs w:val="21"/>
                    </w:rPr>
                  </w:pPr>
                  <w:r>
                    <w:rPr>
                      <w:rFonts w:ascii="宋体" w:hAnsi="宋体"/>
                      <w:color w:val="auto"/>
                      <w:spacing w:val="8"/>
                    </w:rPr>
                    <w:t>周界外浓度最</w:t>
                  </w:r>
                </w:p>
                <w:p w14:paraId="448E9275">
                  <w:pPr>
                    <w:kinsoku w:val="0"/>
                    <w:autoSpaceDE w:val="0"/>
                    <w:autoSpaceDN w:val="0"/>
                    <w:adjustRightInd w:val="0"/>
                    <w:snapToGrid w:val="0"/>
                    <w:jc w:val="center"/>
                    <w:textAlignment w:val="baseline"/>
                    <w:rPr>
                      <w:color w:val="auto"/>
                      <w:szCs w:val="21"/>
                    </w:rPr>
                  </w:pPr>
                  <w:r>
                    <w:rPr>
                      <w:rFonts w:ascii="宋体" w:hAnsi="宋体"/>
                      <w:color w:val="auto"/>
                      <w:spacing w:val="2"/>
                    </w:rPr>
                    <w:t>高点</w:t>
                  </w:r>
                </w:p>
              </w:tc>
              <w:tc>
                <w:tcPr>
                  <w:tcW w:w="879" w:type="pct"/>
                  <w:vAlign w:val="center"/>
                </w:tcPr>
                <w:p w14:paraId="7338846B">
                  <w:pPr>
                    <w:jc w:val="center"/>
                    <w:rPr>
                      <w:color w:val="auto"/>
                      <w:spacing w:val="6"/>
                      <w:szCs w:val="21"/>
                    </w:rPr>
                  </w:pPr>
                  <w:r>
                    <w:rPr>
                      <w:color w:val="auto"/>
                      <w:spacing w:val="-4"/>
                    </w:rPr>
                    <w:t>1.0</w:t>
                  </w:r>
                </w:p>
              </w:tc>
            </w:tr>
            <w:tr w14:paraId="5FC146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jc w:val="center"/>
              </w:trPr>
              <w:tc>
                <w:tcPr>
                  <w:tcW w:w="672" w:type="pct"/>
                  <w:vAlign w:val="center"/>
                </w:tcPr>
                <w:p w14:paraId="21AE72CD">
                  <w:pPr>
                    <w:jc w:val="center"/>
                    <w:rPr>
                      <w:color w:val="auto"/>
                      <w:spacing w:val="6"/>
                      <w:szCs w:val="21"/>
                    </w:rPr>
                  </w:pPr>
                  <w:r>
                    <w:rPr>
                      <w:color w:val="auto"/>
                      <w:spacing w:val="6"/>
                    </w:rPr>
                    <w:t>SO</w:t>
                  </w:r>
                  <w:r>
                    <w:rPr>
                      <w:color w:val="auto"/>
                      <w:spacing w:val="3"/>
                      <w:position w:val="-1"/>
                      <w:vertAlign w:val="subscript"/>
                    </w:rPr>
                    <w:t>2</w:t>
                  </w:r>
                </w:p>
              </w:tc>
              <w:tc>
                <w:tcPr>
                  <w:tcW w:w="901" w:type="pct"/>
                  <w:vAlign w:val="center"/>
                </w:tcPr>
                <w:p w14:paraId="736AE4C9">
                  <w:pPr>
                    <w:jc w:val="center"/>
                    <w:rPr>
                      <w:color w:val="auto"/>
                      <w:spacing w:val="6"/>
                      <w:szCs w:val="21"/>
                    </w:rPr>
                  </w:pPr>
                  <w:r>
                    <w:rPr>
                      <w:color w:val="auto"/>
                      <w:spacing w:val="1"/>
                    </w:rPr>
                    <w:t>550</w:t>
                  </w:r>
                </w:p>
              </w:tc>
              <w:tc>
                <w:tcPr>
                  <w:tcW w:w="985" w:type="pct"/>
                  <w:vAlign w:val="center"/>
                </w:tcPr>
                <w:p w14:paraId="5B63FAB6">
                  <w:pPr>
                    <w:jc w:val="center"/>
                    <w:rPr>
                      <w:color w:val="auto"/>
                      <w:spacing w:val="6"/>
                      <w:szCs w:val="21"/>
                    </w:rPr>
                  </w:pPr>
                  <w:r>
                    <w:rPr>
                      <w:color w:val="auto"/>
                      <w:spacing w:val="-8"/>
                    </w:rPr>
                    <w:t>15</w:t>
                  </w:r>
                </w:p>
              </w:tc>
              <w:tc>
                <w:tcPr>
                  <w:tcW w:w="739" w:type="pct"/>
                  <w:vAlign w:val="center"/>
                </w:tcPr>
                <w:p w14:paraId="4B30A51A">
                  <w:pPr>
                    <w:jc w:val="center"/>
                    <w:rPr>
                      <w:color w:val="auto"/>
                      <w:spacing w:val="6"/>
                      <w:szCs w:val="21"/>
                    </w:rPr>
                  </w:pPr>
                  <w:r>
                    <w:rPr>
                      <w:color w:val="auto"/>
                      <w:spacing w:val="2"/>
                    </w:rPr>
                    <w:t>2.6</w:t>
                  </w:r>
                </w:p>
              </w:tc>
              <w:tc>
                <w:tcPr>
                  <w:tcW w:w="821" w:type="pct"/>
                  <w:vMerge w:val="continue"/>
                  <w:vAlign w:val="center"/>
                </w:tcPr>
                <w:p w14:paraId="3C032797">
                  <w:pPr>
                    <w:rPr>
                      <w:color w:val="auto"/>
                      <w:szCs w:val="21"/>
                    </w:rPr>
                  </w:pPr>
                </w:p>
              </w:tc>
              <w:tc>
                <w:tcPr>
                  <w:tcW w:w="879" w:type="pct"/>
                  <w:vAlign w:val="center"/>
                </w:tcPr>
                <w:p w14:paraId="10C571CA">
                  <w:pPr>
                    <w:jc w:val="center"/>
                    <w:rPr>
                      <w:color w:val="auto"/>
                      <w:spacing w:val="6"/>
                      <w:szCs w:val="21"/>
                    </w:rPr>
                  </w:pPr>
                  <w:r>
                    <w:rPr>
                      <w:color w:val="auto"/>
                      <w:spacing w:val="1"/>
                    </w:rPr>
                    <w:t>0.4</w:t>
                  </w:r>
                </w:p>
              </w:tc>
            </w:tr>
            <w:tr w14:paraId="1D4AE96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jc w:val="center"/>
              </w:trPr>
              <w:tc>
                <w:tcPr>
                  <w:tcW w:w="672" w:type="pct"/>
                  <w:vAlign w:val="center"/>
                </w:tcPr>
                <w:p w14:paraId="2C465A9C">
                  <w:pPr>
                    <w:jc w:val="center"/>
                    <w:rPr>
                      <w:color w:val="auto"/>
                      <w:spacing w:val="6"/>
                      <w:szCs w:val="21"/>
                    </w:rPr>
                  </w:pPr>
                  <w:r>
                    <w:rPr>
                      <w:color w:val="auto"/>
                      <w:spacing w:val="6"/>
                    </w:rPr>
                    <w:t>NO</w:t>
                  </w:r>
                  <w:r>
                    <w:rPr>
                      <w:color w:val="auto"/>
                      <w:spacing w:val="6"/>
                      <w:position w:val="-1"/>
                      <w:vertAlign w:val="subscript"/>
                    </w:rPr>
                    <w:t>x</w:t>
                  </w:r>
                </w:p>
              </w:tc>
              <w:tc>
                <w:tcPr>
                  <w:tcW w:w="901" w:type="pct"/>
                  <w:vAlign w:val="center"/>
                </w:tcPr>
                <w:p w14:paraId="657CEE70">
                  <w:pPr>
                    <w:jc w:val="center"/>
                    <w:rPr>
                      <w:color w:val="auto"/>
                      <w:spacing w:val="6"/>
                      <w:szCs w:val="21"/>
                    </w:rPr>
                  </w:pPr>
                  <w:r>
                    <w:rPr>
                      <w:color w:val="auto"/>
                      <w:spacing w:val="3"/>
                    </w:rPr>
                    <w:t>240</w:t>
                  </w:r>
                </w:p>
              </w:tc>
              <w:tc>
                <w:tcPr>
                  <w:tcW w:w="985" w:type="pct"/>
                  <w:vAlign w:val="center"/>
                </w:tcPr>
                <w:p w14:paraId="3B134E36">
                  <w:pPr>
                    <w:jc w:val="center"/>
                    <w:rPr>
                      <w:color w:val="auto"/>
                      <w:spacing w:val="6"/>
                      <w:szCs w:val="21"/>
                    </w:rPr>
                  </w:pPr>
                  <w:r>
                    <w:rPr>
                      <w:color w:val="auto"/>
                      <w:spacing w:val="-8"/>
                    </w:rPr>
                    <w:t>15</w:t>
                  </w:r>
                </w:p>
              </w:tc>
              <w:tc>
                <w:tcPr>
                  <w:tcW w:w="739" w:type="pct"/>
                  <w:vAlign w:val="center"/>
                </w:tcPr>
                <w:p w14:paraId="7B2185C2">
                  <w:pPr>
                    <w:jc w:val="center"/>
                    <w:rPr>
                      <w:color w:val="auto"/>
                      <w:spacing w:val="6"/>
                      <w:szCs w:val="21"/>
                    </w:rPr>
                  </w:pPr>
                  <w:r>
                    <w:rPr>
                      <w:color w:val="auto"/>
                      <w:spacing w:val="2"/>
                    </w:rPr>
                    <w:t>0.77</w:t>
                  </w:r>
                </w:p>
              </w:tc>
              <w:tc>
                <w:tcPr>
                  <w:tcW w:w="821" w:type="pct"/>
                  <w:vMerge w:val="continue"/>
                  <w:vAlign w:val="center"/>
                </w:tcPr>
                <w:p w14:paraId="6F71FA6C">
                  <w:pPr>
                    <w:rPr>
                      <w:color w:val="auto"/>
                      <w:szCs w:val="21"/>
                    </w:rPr>
                  </w:pPr>
                </w:p>
              </w:tc>
              <w:tc>
                <w:tcPr>
                  <w:tcW w:w="879" w:type="pct"/>
                  <w:vAlign w:val="center"/>
                </w:tcPr>
                <w:p w14:paraId="510192B5">
                  <w:pPr>
                    <w:jc w:val="center"/>
                    <w:rPr>
                      <w:color w:val="auto"/>
                      <w:spacing w:val="6"/>
                      <w:szCs w:val="21"/>
                    </w:rPr>
                  </w:pPr>
                  <w:r>
                    <w:rPr>
                      <w:color w:val="auto"/>
                      <w:spacing w:val="-4"/>
                    </w:rPr>
                    <w:t>0.</w:t>
                  </w:r>
                  <w:r>
                    <w:rPr>
                      <w:color w:val="auto"/>
                      <w:spacing w:val="-25"/>
                    </w:rPr>
                    <w:t xml:space="preserve"> </w:t>
                  </w:r>
                  <w:r>
                    <w:rPr>
                      <w:color w:val="auto"/>
                      <w:spacing w:val="-4"/>
                    </w:rPr>
                    <w:t>12</w:t>
                  </w:r>
                </w:p>
              </w:tc>
            </w:tr>
            <w:tr w14:paraId="4422F3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jc w:val="center"/>
              </w:trPr>
              <w:tc>
                <w:tcPr>
                  <w:tcW w:w="672" w:type="pct"/>
                  <w:vAlign w:val="center"/>
                </w:tcPr>
                <w:p w14:paraId="796BBB49">
                  <w:pPr>
                    <w:jc w:val="center"/>
                    <w:rPr>
                      <w:color w:val="auto"/>
                      <w:spacing w:val="6"/>
                      <w:szCs w:val="21"/>
                    </w:rPr>
                  </w:pPr>
                  <w:r>
                    <w:rPr>
                      <w:rFonts w:ascii="宋体" w:hAnsi="宋体"/>
                      <w:color w:val="auto"/>
                      <w:spacing w:val="4"/>
                    </w:rPr>
                    <w:t>苯并</w:t>
                  </w:r>
                  <w:r>
                    <w:rPr>
                      <w:color w:val="auto"/>
                      <w:spacing w:val="4"/>
                    </w:rPr>
                    <w:t>[a]</w:t>
                  </w:r>
                  <w:r>
                    <w:rPr>
                      <w:rFonts w:ascii="宋体" w:hAnsi="宋体"/>
                      <w:color w:val="auto"/>
                      <w:spacing w:val="4"/>
                    </w:rPr>
                    <w:t>芘</w:t>
                  </w:r>
                </w:p>
              </w:tc>
              <w:tc>
                <w:tcPr>
                  <w:tcW w:w="901" w:type="pct"/>
                  <w:vAlign w:val="center"/>
                </w:tcPr>
                <w:p w14:paraId="3E2EFDF0">
                  <w:pPr>
                    <w:jc w:val="center"/>
                    <w:rPr>
                      <w:color w:val="auto"/>
                      <w:spacing w:val="6"/>
                      <w:szCs w:val="21"/>
                    </w:rPr>
                  </w:pPr>
                  <w:r>
                    <w:rPr>
                      <w:color w:val="auto"/>
                      <w:spacing w:val="3"/>
                    </w:rPr>
                    <w:t>0.0003</w:t>
                  </w:r>
                </w:p>
              </w:tc>
              <w:tc>
                <w:tcPr>
                  <w:tcW w:w="985" w:type="pct"/>
                  <w:vAlign w:val="center"/>
                </w:tcPr>
                <w:p w14:paraId="41253C86">
                  <w:pPr>
                    <w:jc w:val="center"/>
                    <w:rPr>
                      <w:color w:val="auto"/>
                      <w:spacing w:val="6"/>
                      <w:szCs w:val="21"/>
                    </w:rPr>
                  </w:pPr>
                  <w:r>
                    <w:rPr>
                      <w:color w:val="auto"/>
                      <w:spacing w:val="-8"/>
                    </w:rPr>
                    <w:t>15</w:t>
                  </w:r>
                </w:p>
              </w:tc>
              <w:tc>
                <w:tcPr>
                  <w:tcW w:w="739" w:type="pct"/>
                  <w:vAlign w:val="center"/>
                </w:tcPr>
                <w:p w14:paraId="2367A20C">
                  <w:pPr>
                    <w:jc w:val="center"/>
                    <w:rPr>
                      <w:color w:val="auto"/>
                      <w:spacing w:val="6"/>
                      <w:szCs w:val="21"/>
                    </w:rPr>
                  </w:pPr>
                  <w:r>
                    <w:rPr>
                      <w:color w:val="auto"/>
                      <w:spacing w:val="3"/>
                    </w:rPr>
                    <w:t>0.050×10</w:t>
                  </w:r>
                  <w:r>
                    <w:rPr>
                      <w:color w:val="auto"/>
                      <w:spacing w:val="3"/>
                      <w:position w:val="6"/>
                      <w:vertAlign w:val="superscript"/>
                    </w:rPr>
                    <w:t>-3</w:t>
                  </w:r>
                </w:p>
              </w:tc>
              <w:tc>
                <w:tcPr>
                  <w:tcW w:w="821" w:type="pct"/>
                  <w:vMerge w:val="continue"/>
                  <w:vAlign w:val="center"/>
                </w:tcPr>
                <w:p w14:paraId="7CBA8B13">
                  <w:pPr>
                    <w:rPr>
                      <w:color w:val="auto"/>
                      <w:szCs w:val="21"/>
                    </w:rPr>
                  </w:pPr>
                </w:p>
              </w:tc>
              <w:tc>
                <w:tcPr>
                  <w:tcW w:w="879" w:type="pct"/>
                  <w:vAlign w:val="center"/>
                </w:tcPr>
                <w:p w14:paraId="661EB261">
                  <w:pPr>
                    <w:jc w:val="center"/>
                    <w:rPr>
                      <w:color w:val="auto"/>
                      <w:spacing w:val="6"/>
                      <w:szCs w:val="21"/>
                    </w:rPr>
                  </w:pPr>
                  <w:r>
                    <w:rPr>
                      <w:color w:val="auto"/>
                      <w:spacing w:val="3"/>
                    </w:rPr>
                    <w:t>0.008μg/m</w:t>
                  </w:r>
                  <w:r>
                    <w:rPr>
                      <w:color w:val="auto"/>
                      <w:spacing w:val="3"/>
                      <w:position w:val="6"/>
                      <w:vertAlign w:val="superscript"/>
                    </w:rPr>
                    <w:t>3</w:t>
                  </w:r>
                </w:p>
              </w:tc>
            </w:tr>
            <w:tr w14:paraId="01E64B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56" w:hRule="atLeast"/>
                <w:jc w:val="center"/>
              </w:trPr>
              <w:tc>
                <w:tcPr>
                  <w:tcW w:w="672" w:type="pct"/>
                  <w:vAlign w:val="center"/>
                </w:tcPr>
                <w:p w14:paraId="4F4929CB">
                  <w:pPr>
                    <w:kinsoku w:val="0"/>
                    <w:autoSpaceDE w:val="0"/>
                    <w:autoSpaceDN w:val="0"/>
                    <w:adjustRightInd w:val="0"/>
                    <w:snapToGrid w:val="0"/>
                    <w:jc w:val="center"/>
                    <w:textAlignment w:val="baseline"/>
                    <w:rPr>
                      <w:bCs/>
                      <w:color w:val="auto"/>
                      <w:szCs w:val="21"/>
                    </w:rPr>
                  </w:pPr>
                  <w:r>
                    <w:rPr>
                      <w:rFonts w:ascii="宋体" w:hAnsi="宋体"/>
                      <w:bCs/>
                      <w:color w:val="auto"/>
                      <w:spacing w:val="6"/>
                    </w:rPr>
                    <w:t>沥青烟</w:t>
                  </w:r>
                </w:p>
              </w:tc>
              <w:tc>
                <w:tcPr>
                  <w:tcW w:w="901" w:type="pct"/>
                  <w:vAlign w:val="center"/>
                </w:tcPr>
                <w:p w14:paraId="38DC6002">
                  <w:pPr>
                    <w:jc w:val="center"/>
                    <w:rPr>
                      <w:bCs/>
                      <w:color w:val="auto"/>
                      <w:spacing w:val="6"/>
                      <w:szCs w:val="21"/>
                    </w:rPr>
                  </w:pPr>
                  <w:r>
                    <w:rPr>
                      <w:rFonts w:ascii="宋体" w:hAnsi="宋体"/>
                      <w:bCs/>
                      <w:color w:val="auto"/>
                    </w:rPr>
                    <w:t>建筑搅拌：</w:t>
                  </w:r>
                  <w:r>
                    <w:rPr>
                      <w:bCs/>
                      <w:color w:val="auto"/>
                    </w:rPr>
                    <w:t>75</w:t>
                  </w:r>
                  <w:r>
                    <w:rPr>
                      <w:rFonts w:ascii="宋体" w:hAnsi="宋体"/>
                      <w:bCs/>
                      <w:color w:val="auto"/>
                    </w:rPr>
                    <w:t>，熔炼、浸涂：</w:t>
                  </w:r>
                  <w:r>
                    <w:rPr>
                      <w:bCs/>
                      <w:color w:val="auto"/>
                    </w:rPr>
                    <w:t>40</w:t>
                  </w:r>
                </w:p>
              </w:tc>
              <w:tc>
                <w:tcPr>
                  <w:tcW w:w="985" w:type="pct"/>
                  <w:vAlign w:val="center"/>
                </w:tcPr>
                <w:p w14:paraId="1766460C">
                  <w:pPr>
                    <w:jc w:val="center"/>
                    <w:rPr>
                      <w:bCs/>
                      <w:color w:val="auto"/>
                      <w:spacing w:val="6"/>
                      <w:szCs w:val="21"/>
                    </w:rPr>
                  </w:pPr>
                  <w:r>
                    <w:rPr>
                      <w:bCs/>
                      <w:color w:val="auto"/>
                      <w:spacing w:val="-8"/>
                    </w:rPr>
                    <w:t>15</w:t>
                  </w:r>
                </w:p>
              </w:tc>
              <w:tc>
                <w:tcPr>
                  <w:tcW w:w="739" w:type="pct"/>
                  <w:vAlign w:val="center"/>
                </w:tcPr>
                <w:p w14:paraId="1E85E318">
                  <w:pPr>
                    <w:jc w:val="center"/>
                    <w:rPr>
                      <w:bCs/>
                      <w:color w:val="auto"/>
                      <w:spacing w:val="6"/>
                      <w:szCs w:val="21"/>
                    </w:rPr>
                  </w:pPr>
                  <w:r>
                    <w:rPr>
                      <w:bCs/>
                      <w:color w:val="auto"/>
                      <w:spacing w:val="2"/>
                    </w:rPr>
                    <w:t>0.18</w:t>
                  </w:r>
                </w:p>
              </w:tc>
              <w:tc>
                <w:tcPr>
                  <w:tcW w:w="1701" w:type="pct"/>
                  <w:gridSpan w:val="2"/>
                  <w:vAlign w:val="center"/>
                </w:tcPr>
                <w:p w14:paraId="3622F6D2">
                  <w:pPr>
                    <w:jc w:val="center"/>
                    <w:rPr>
                      <w:bCs/>
                      <w:color w:val="auto"/>
                      <w:szCs w:val="21"/>
                    </w:rPr>
                  </w:pPr>
                  <w:r>
                    <w:rPr>
                      <w:rFonts w:ascii="宋体" w:hAnsi="宋体"/>
                      <w:bCs/>
                      <w:color w:val="auto"/>
                      <w:spacing w:val="9"/>
                    </w:rPr>
                    <w:t>生产设备不得有明显的无组织排</w:t>
                  </w:r>
                  <w:r>
                    <w:rPr>
                      <w:rFonts w:ascii="宋体" w:hAnsi="宋体"/>
                      <w:bCs/>
                      <w:color w:val="auto"/>
                      <w:spacing w:val="6"/>
                    </w:rPr>
                    <w:t>放</w:t>
                  </w:r>
                </w:p>
              </w:tc>
            </w:tr>
          </w:tbl>
          <w:p w14:paraId="3D606E5A">
            <w:pPr>
              <w:keepNext w:val="0"/>
              <w:keepLines w:val="0"/>
              <w:pageBreakBefore w:val="0"/>
              <w:widowControl w:val="0"/>
              <w:kinsoku/>
              <w:wordWrap/>
              <w:overflowPunct/>
              <w:topLinePunct w:val="0"/>
              <w:autoSpaceDE/>
              <w:autoSpaceDN/>
              <w:bidi w:val="0"/>
              <w:adjustRightInd/>
              <w:snapToGrid/>
              <w:spacing w:before="313" w:beforeLines="100"/>
              <w:jc w:val="center"/>
              <w:textAlignment w:val="auto"/>
              <w:rPr>
                <w:rFonts w:hint="eastAsia" w:ascii="宋体" w:hAnsi="宋体"/>
                <w:b/>
                <w:color w:val="auto"/>
                <w:szCs w:val="21"/>
              </w:rPr>
            </w:pPr>
            <w:r>
              <w:rPr>
                <w:rFonts w:hint="eastAsia" w:ascii="宋体" w:hAnsi="宋体"/>
                <w:b/>
                <w:color w:val="auto"/>
                <w:lang w:val="en-US" w:eastAsia="zh-CN"/>
              </w:rPr>
              <w:t xml:space="preserve">    </w:t>
            </w:r>
            <w:r>
              <w:rPr>
                <w:rFonts w:ascii="宋体" w:hAnsi="宋体"/>
                <w:b/>
                <w:color w:val="auto"/>
              </w:rPr>
              <w:t>表</w:t>
            </w:r>
            <w:r>
              <w:rPr>
                <w:rFonts w:hint="eastAsia"/>
                <w:b/>
                <w:color w:val="auto"/>
              </w:rPr>
              <w:t>3-2</w:t>
            </w:r>
            <w:r>
              <w:rPr>
                <w:rFonts w:hint="eastAsia"/>
                <w:b/>
                <w:color w:val="auto"/>
                <w:lang w:val="en-US" w:eastAsia="zh-CN"/>
              </w:rPr>
              <w:t>2</w:t>
            </w:r>
            <w:r>
              <w:rPr>
                <w:b/>
                <w:color w:val="auto"/>
              </w:rPr>
              <w:t xml:space="preserve"> </w:t>
            </w:r>
            <w:r>
              <w:rPr>
                <w:rFonts w:hint="eastAsia" w:ascii="宋体" w:hAnsi="宋体"/>
                <w:b/>
                <w:color w:val="auto"/>
              </w:rPr>
              <w:t>《锅炉大气污染物排放标准》（</w:t>
            </w:r>
            <w:r>
              <w:rPr>
                <w:b/>
                <w:color w:val="auto"/>
              </w:rPr>
              <w:t>GB13271-2014</w:t>
            </w:r>
            <w:r>
              <w:rPr>
                <w:rFonts w:hint="eastAsia" w:ascii="宋体" w:hAnsi="宋体"/>
                <w:b/>
                <w:color w:val="auto"/>
              </w:rPr>
              <w:t>）</w:t>
            </w:r>
            <w:r>
              <w:rPr>
                <w:rFonts w:ascii="宋体" w:hAnsi="宋体"/>
                <w:b/>
                <w:color w:val="auto"/>
              </w:rPr>
              <w:t>（摘录）</w:t>
            </w:r>
          </w:p>
          <w:tbl>
            <w:tblPr>
              <w:tblStyle w:val="22"/>
              <w:tblW w:w="848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2046"/>
              <w:gridCol w:w="2390"/>
              <w:gridCol w:w="4048"/>
            </w:tblGrid>
            <w:tr w14:paraId="4B291F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jc w:val="center"/>
              </w:trPr>
              <w:tc>
                <w:tcPr>
                  <w:tcW w:w="1205" w:type="pct"/>
                  <w:vAlign w:val="center"/>
                </w:tcPr>
                <w:p w14:paraId="11A519D3">
                  <w:pPr>
                    <w:kinsoku w:val="0"/>
                    <w:autoSpaceDE w:val="0"/>
                    <w:autoSpaceDN w:val="0"/>
                    <w:adjustRightInd w:val="0"/>
                    <w:snapToGrid w:val="0"/>
                    <w:jc w:val="center"/>
                    <w:textAlignment w:val="baseline"/>
                    <w:rPr>
                      <w:b/>
                      <w:color w:val="auto"/>
                      <w:szCs w:val="21"/>
                    </w:rPr>
                  </w:pPr>
                  <w:r>
                    <w:rPr>
                      <w:rFonts w:ascii="宋体" w:hAnsi="宋体"/>
                      <w:b/>
                      <w:color w:val="auto"/>
                      <w:spacing w:val="3"/>
                    </w:rPr>
                    <w:t>设备</w:t>
                  </w:r>
                </w:p>
              </w:tc>
              <w:tc>
                <w:tcPr>
                  <w:tcW w:w="1408" w:type="pct"/>
                  <w:vAlign w:val="center"/>
                </w:tcPr>
                <w:p w14:paraId="1AE4DE8A">
                  <w:pPr>
                    <w:kinsoku w:val="0"/>
                    <w:autoSpaceDE w:val="0"/>
                    <w:autoSpaceDN w:val="0"/>
                    <w:adjustRightInd w:val="0"/>
                    <w:snapToGrid w:val="0"/>
                    <w:jc w:val="center"/>
                    <w:textAlignment w:val="baseline"/>
                    <w:rPr>
                      <w:b/>
                      <w:color w:val="auto"/>
                      <w:szCs w:val="21"/>
                    </w:rPr>
                  </w:pPr>
                  <w:r>
                    <w:rPr>
                      <w:rFonts w:ascii="宋体" w:hAnsi="宋体"/>
                      <w:b/>
                      <w:color w:val="auto"/>
                      <w:spacing w:val="6"/>
                    </w:rPr>
                    <w:t>污染物</w:t>
                  </w:r>
                </w:p>
              </w:tc>
              <w:tc>
                <w:tcPr>
                  <w:tcW w:w="2385" w:type="pct"/>
                  <w:vAlign w:val="center"/>
                </w:tcPr>
                <w:p w14:paraId="35DF09FA">
                  <w:pPr>
                    <w:kinsoku w:val="0"/>
                    <w:autoSpaceDE w:val="0"/>
                    <w:autoSpaceDN w:val="0"/>
                    <w:adjustRightInd w:val="0"/>
                    <w:snapToGrid w:val="0"/>
                    <w:jc w:val="center"/>
                    <w:textAlignment w:val="baseline"/>
                    <w:rPr>
                      <w:b/>
                      <w:color w:val="auto"/>
                      <w:szCs w:val="21"/>
                    </w:rPr>
                  </w:pPr>
                  <w:r>
                    <w:rPr>
                      <w:rFonts w:ascii="宋体" w:hAnsi="宋体"/>
                      <w:b/>
                      <w:color w:val="auto"/>
                      <w:spacing w:val="8"/>
                    </w:rPr>
                    <w:t>最高允许排放浓度</w:t>
                  </w:r>
                  <w:r>
                    <w:rPr>
                      <w:b/>
                      <w:color w:val="auto"/>
                      <w:spacing w:val="8"/>
                    </w:rPr>
                    <w:t>(</w:t>
                  </w:r>
                  <w:r>
                    <w:rPr>
                      <w:b/>
                      <w:color w:val="auto"/>
                    </w:rPr>
                    <w:t>mg/m</w:t>
                  </w:r>
                  <w:r>
                    <w:rPr>
                      <w:b/>
                      <w:color w:val="auto"/>
                      <w:vertAlign w:val="superscript"/>
                    </w:rPr>
                    <w:t>3</w:t>
                  </w:r>
                  <w:r>
                    <w:rPr>
                      <w:b/>
                      <w:color w:val="auto"/>
                      <w:spacing w:val="8"/>
                    </w:rPr>
                    <w:t>)</w:t>
                  </w:r>
                </w:p>
              </w:tc>
            </w:tr>
            <w:tr w14:paraId="591803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jc w:val="center"/>
              </w:trPr>
              <w:tc>
                <w:tcPr>
                  <w:tcW w:w="1205" w:type="pct"/>
                  <w:vMerge w:val="restart"/>
                  <w:vAlign w:val="center"/>
                </w:tcPr>
                <w:p w14:paraId="4BDF841C">
                  <w:pPr>
                    <w:kinsoku w:val="0"/>
                    <w:autoSpaceDE w:val="0"/>
                    <w:autoSpaceDN w:val="0"/>
                    <w:adjustRightInd w:val="0"/>
                    <w:snapToGrid w:val="0"/>
                    <w:jc w:val="center"/>
                    <w:textAlignment w:val="baseline"/>
                    <w:rPr>
                      <w:color w:val="auto"/>
                      <w:szCs w:val="21"/>
                    </w:rPr>
                  </w:pPr>
                  <w:r>
                    <w:rPr>
                      <w:rFonts w:ascii="宋体" w:hAnsi="宋体"/>
                      <w:color w:val="auto"/>
                      <w:spacing w:val="4"/>
                    </w:rPr>
                    <w:t>锅炉</w:t>
                  </w:r>
                </w:p>
              </w:tc>
              <w:tc>
                <w:tcPr>
                  <w:tcW w:w="1408" w:type="pct"/>
                  <w:vAlign w:val="center"/>
                </w:tcPr>
                <w:p w14:paraId="6B667057">
                  <w:pPr>
                    <w:kinsoku w:val="0"/>
                    <w:autoSpaceDE w:val="0"/>
                    <w:autoSpaceDN w:val="0"/>
                    <w:adjustRightInd w:val="0"/>
                    <w:snapToGrid w:val="0"/>
                    <w:jc w:val="center"/>
                    <w:textAlignment w:val="baseline"/>
                    <w:rPr>
                      <w:color w:val="auto"/>
                      <w:szCs w:val="21"/>
                    </w:rPr>
                  </w:pPr>
                  <w:r>
                    <w:rPr>
                      <w:rFonts w:ascii="宋体" w:hAnsi="宋体"/>
                      <w:color w:val="auto"/>
                      <w:spacing w:val="4"/>
                    </w:rPr>
                    <w:t>烟尘</w:t>
                  </w:r>
                </w:p>
              </w:tc>
              <w:tc>
                <w:tcPr>
                  <w:tcW w:w="2385" w:type="pct"/>
                  <w:vAlign w:val="center"/>
                </w:tcPr>
                <w:p w14:paraId="51337A97">
                  <w:pPr>
                    <w:jc w:val="center"/>
                    <w:rPr>
                      <w:color w:val="auto"/>
                      <w:spacing w:val="6"/>
                      <w:kern w:val="0"/>
                      <w:szCs w:val="21"/>
                    </w:rPr>
                  </w:pPr>
                  <w:r>
                    <w:rPr>
                      <w:color w:val="auto"/>
                      <w:spacing w:val="5"/>
                      <w:kern w:val="0"/>
                    </w:rPr>
                    <w:t>30</w:t>
                  </w:r>
                </w:p>
              </w:tc>
            </w:tr>
            <w:tr w14:paraId="0D1E61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jc w:val="center"/>
              </w:trPr>
              <w:tc>
                <w:tcPr>
                  <w:tcW w:w="1205" w:type="pct"/>
                  <w:vMerge w:val="continue"/>
                  <w:vAlign w:val="center"/>
                </w:tcPr>
                <w:p w14:paraId="5175BB2C">
                  <w:pPr>
                    <w:rPr>
                      <w:color w:val="auto"/>
                      <w:szCs w:val="21"/>
                    </w:rPr>
                  </w:pPr>
                </w:p>
              </w:tc>
              <w:tc>
                <w:tcPr>
                  <w:tcW w:w="1408" w:type="pct"/>
                  <w:vAlign w:val="center"/>
                </w:tcPr>
                <w:p w14:paraId="1989444C">
                  <w:pPr>
                    <w:jc w:val="center"/>
                    <w:rPr>
                      <w:color w:val="auto"/>
                      <w:spacing w:val="6"/>
                      <w:kern w:val="0"/>
                      <w:szCs w:val="21"/>
                    </w:rPr>
                  </w:pPr>
                  <w:r>
                    <w:rPr>
                      <w:color w:val="auto"/>
                      <w:spacing w:val="6"/>
                      <w:kern w:val="0"/>
                    </w:rPr>
                    <w:t>SO</w:t>
                  </w:r>
                  <w:r>
                    <w:rPr>
                      <w:color w:val="auto"/>
                      <w:spacing w:val="3"/>
                      <w:kern w:val="0"/>
                      <w:position w:val="-1"/>
                      <w:vertAlign w:val="subscript"/>
                    </w:rPr>
                    <w:t>2</w:t>
                  </w:r>
                </w:p>
              </w:tc>
              <w:tc>
                <w:tcPr>
                  <w:tcW w:w="2385" w:type="pct"/>
                  <w:vAlign w:val="center"/>
                </w:tcPr>
                <w:p w14:paraId="6CF64EF3">
                  <w:pPr>
                    <w:jc w:val="center"/>
                    <w:rPr>
                      <w:color w:val="auto"/>
                      <w:spacing w:val="6"/>
                      <w:kern w:val="0"/>
                      <w:szCs w:val="21"/>
                    </w:rPr>
                  </w:pPr>
                  <w:r>
                    <w:rPr>
                      <w:color w:val="auto"/>
                      <w:spacing w:val="6"/>
                      <w:kern w:val="0"/>
                    </w:rPr>
                    <w:t>200</w:t>
                  </w:r>
                </w:p>
              </w:tc>
            </w:tr>
            <w:tr w14:paraId="7323F2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jc w:val="center"/>
              </w:trPr>
              <w:tc>
                <w:tcPr>
                  <w:tcW w:w="1205" w:type="pct"/>
                  <w:vMerge w:val="continue"/>
                  <w:vAlign w:val="center"/>
                </w:tcPr>
                <w:p w14:paraId="0F165F28">
                  <w:pPr>
                    <w:rPr>
                      <w:color w:val="auto"/>
                      <w:szCs w:val="21"/>
                    </w:rPr>
                  </w:pPr>
                </w:p>
              </w:tc>
              <w:tc>
                <w:tcPr>
                  <w:tcW w:w="1408" w:type="pct"/>
                  <w:vAlign w:val="center"/>
                </w:tcPr>
                <w:p w14:paraId="49CBBEA6">
                  <w:pPr>
                    <w:kinsoku w:val="0"/>
                    <w:autoSpaceDE w:val="0"/>
                    <w:autoSpaceDN w:val="0"/>
                    <w:adjustRightInd w:val="0"/>
                    <w:snapToGrid w:val="0"/>
                    <w:jc w:val="center"/>
                    <w:textAlignment w:val="baseline"/>
                    <w:rPr>
                      <w:color w:val="auto"/>
                      <w:szCs w:val="21"/>
                    </w:rPr>
                  </w:pPr>
                  <w:r>
                    <w:rPr>
                      <w:rFonts w:ascii="宋体" w:hAnsi="宋体"/>
                      <w:color w:val="auto"/>
                      <w:spacing w:val="7"/>
                    </w:rPr>
                    <w:t>氮氧化物</w:t>
                  </w:r>
                </w:p>
              </w:tc>
              <w:tc>
                <w:tcPr>
                  <w:tcW w:w="2385" w:type="pct"/>
                  <w:vAlign w:val="center"/>
                </w:tcPr>
                <w:p w14:paraId="61CB11D8">
                  <w:pPr>
                    <w:jc w:val="center"/>
                    <w:rPr>
                      <w:color w:val="auto"/>
                      <w:spacing w:val="6"/>
                      <w:kern w:val="0"/>
                      <w:szCs w:val="21"/>
                    </w:rPr>
                  </w:pPr>
                  <w:r>
                    <w:rPr>
                      <w:color w:val="auto"/>
                      <w:spacing w:val="6"/>
                      <w:kern w:val="0"/>
                    </w:rPr>
                    <w:t>250</w:t>
                  </w:r>
                </w:p>
              </w:tc>
            </w:tr>
            <w:tr w14:paraId="73A3D2E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jc w:val="center"/>
              </w:trPr>
              <w:tc>
                <w:tcPr>
                  <w:tcW w:w="1205" w:type="pct"/>
                  <w:vMerge w:val="continue"/>
                  <w:vAlign w:val="center"/>
                </w:tcPr>
                <w:p w14:paraId="0975A224">
                  <w:pPr>
                    <w:rPr>
                      <w:color w:val="auto"/>
                      <w:szCs w:val="21"/>
                    </w:rPr>
                  </w:pPr>
                </w:p>
              </w:tc>
              <w:tc>
                <w:tcPr>
                  <w:tcW w:w="1408" w:type="pct"/>
                  <w:vAlign w:val="center"/>
                </w:tcPr>
                <w:p w14:paraId="11E2D03A">
                  <w:pPr>
                    <w:kinsoku w:val="0"/>
                    <w:autoSpaceDE w:val="0"/>
                    <w:autoSpaceDN w:val="0"/>
                    <w:adjustRightInd w:val="0"/>
                    <w:snapToGrid w:val="0"/>
                    <w:jc w:val="center"/>
                    <w:textAlignment w:val="baseline"/>
                    <w:rPr>
                      <w:color w:val="auto"/>
                      <w:szCs w:val="21"/>
                    </w:rPr>
                  </w:pPr>
                  <w:r>
                    <w:rPr>
                      <w:rFonts w:ascii="宋体" w:hAnsi="宋体"/>
                      <w:color w:val="auto"/>
                      <w:spacing w:val="7"/>
                    </w:rPr>
                    <w:t>烟气黑度</w:t>
                  </w:r>
                </w:p>
              </w:tc>
              <w:tc>
                <w:tcPr>
                  <w:tcW w:w="2385" w:type="pct"/>
                  <w:vAlign w:val="center"/>
                </w:tcPr>
                <w:p w14:paraId="0C4800C5">
                  <w:pPr>
                    <w:jc w:val="center"/>
                    <w:rPr>
                      <w:color w:val="auto"/>
                      <w:spacing w:val="6"/>
                      <w:kern w:val="0"/>
                      <w:szCs w:val="21"/>
                    </w:rPr>
                  </w:pPr>
                  <w:r>
                    <w:rPr>
                      <w:color w:val="auto"/>
                      <w:spacing w:val="-4"/>
                      <w:kern w:val="0"/>
                    </w:rPr>
                    <w:t>≤1</w:t>
                  </w:r>
                </w:p>
              </w:tc>
            </w:tr>
            <w:tr w14:paraId="43BC98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jc w:val="center"/>
              </w:trPr>
              <w:tc>
                <w:tcPr>
                  <w:tcW w:w="1205" w:type="pct"/>
                  <w:vAlign w:val="center"/>
                </w:tcPr>
                <w:p w14:paraId="28FAE5C7">
                  <w:pPr>
                    <w:kinsoku w:val="0"/>
                    <w:autoSpaceDE w:val="0"/>
                    <w:autoSpaceDN w:val="0"/>
                    <w:adjustRightInd w:val="0"/>
                    <w:snapToGrid w:val="0"/>
                    <w:jc w:val="center"/>
                    <w:textAlignment w:val="baseline"/>
                    <w:rPr>
                      <w:color w:val="auto"/>
                      <w:szCs w:val="21"/>
                    </w:rPr>
                  </w:pPr>
                  <w:r>
                    <w:rPr>
                      <w:rFonts w:ascii="宋体" w:hAnsi="宋体"/>
                      <w:color w:val="auto"/>
                      <w:spacing w:val="4"/>
                    </w:rPr>
                    <w:t>烟囱</w:t>
                  </w:r>
                </w:p>
              </w:tc>
              <w:tc>
                <w:tcPr>
                  <w:tcW w:w="3794" w:type="pct"/>
                  <w:gridSpan w:val="2"/>
                  <w:vAlign w:val="center"/>
                </w:tcPr>
                <w:p w14:paraId="354AE949">
                  <w:pPr>
                    <w:jc w:val="center"/>
                    <w:rPr>
                      <w:color w:val="auto"/>
                      <w:spacing w:val="6"/>
                      <w:kern w:val="0"/>
                      <w:szCs w:val="21"/>
                    </w:rPr>
                  </w:pPr>
                  <w:r>
                    <w:rPr>
                      <w:rFonts w:ascii="宋体" w:hAnsi="宋体"/>
                      <w:color w:val="auto"/>
                      <w:spacing w:val="3"/>
                      <w:kern w:val="0"/>
                    </w:rPr>
                    <w:t>不低于</w:t>
                  </w:r>
                  <w:r>
                    <w:rPr>
                      <w:color w:val="auto"/>
                      <w:spacing w:val="3"/>
                      <w:kern w:val="0"/>
                    </w:rPr>
                    <w:t>8m</w:t>
                  </w:r>
                </w:p>
              </w:tc>
            </w:tr>
          </w:tbl>
          <w:p w14:paraId="56F37990">
            <w:pPr>
              <w:keepNext w:val="0"/>
              <w:keepLines w:val="0"/>
              <w:pageBreakBefore w:val="0"/>
              <w:widowControl w:val="0"/>
              <w:kinsoku/>
              <w:wordWrap/>
              <w:overflowPunct/>
              <w:topLinePunct w:val="0"/>
              <w:autoSpaceDE/>
              <w:autoSpaceDN/>
              <w:bidi w:val="0"/>
              <w:adjustRightInd/>
              <w:snapToGrid/>
              <w:spacing w:before="313" w:beforeLines="100"/>
              <w:jc w:val="center"/>
              <w:textAlignment w:val="auto"/>
              <w:rPr>
                <w:rFonts w:hint="eastAsia" w:ascii="宋体" w:hAnsi="宋体"/>
                <w:b/>
                <w:color w:val="auto"/>
                <w:lang w:val="en-US" w:eastAsia="zh-CN"/>
              </w:rPr>
            </w:pPr>
            <w:r>
              <w:rPr>
                <w:rFonts w:hint="eastAsia" w:ascii="宋体" w:hAnsi="宋体"/>
                <w:b/>
                <w:color w:val="auto"/>
                <w:lang w:val="en-US" w:eastAsia="zh-CN"/>
              </w:rPr>
              <w:t xml:space="preserve">       </w:t>
            </w:r>
          </w:p>
          <w:p w14:paraId="24CF8F10">
            <w:pPr>
              <w:keepNext w:val="0"/>
              <w:keepLines w:val="0"/>
              <w:pageBreakBefore w:val="0"/>
              <w:widowControl w:val="0"/>
              <w:kinsoku/>
              <w:wordWrap/>
              <w:overflowPunct/>
              <w:topLinePunct w:val="0"/>
              <w:autoSpaceDE/>
              <w:autoSpaceDN/>
              <w:bidi w:val="0"/>
              <w:adjustRightInd/>
              <w:snapToGrid/>
              <w:spacing w:before="313" w:beforeLines="100"/>
              <w:jc w:val="center"/>
              <w:textAlignment w:val="auto"/>
              <w:rPr>
                <w:rFonts w:hint="eastAsia" w:ascii="宋体" w:hAnsi="宋体"/>
                <w:b/>
                <w:color w:val="auto"/>
                <w:lang w:val="en-US" w:eastAsia="zh-CN"/>
              </w:rPr>
            </w:pPr>
          </w:p>
          <w:p w14:paraId="62FA59B6">
            <w:pPr>
              <w:keepNext w:val="0"/>
              <w:keepLines w:val="0"/>
              <w:pageBreakBefore w:val="0"/>
              <w:widowControl w:val="0"/>
              <w:kinsoku/>
              <w:wordWrap/>
              <w:overflowPunct/>
              <w:topLinePunct w:val="0"/>
              <w:autoSpaceDE/>
              <w:autoSpaceDN/>
              <w:bidi w:val="0"/>
              <w:adjustRightInd/>
              <w:snapToGrid/>
              <w:spacing w:before="157" w:beforeLines="50"/>
              <w:jc w:val="center"/>
              <w:textAlignment w:val="auto"/>
              <w:rPr>
                <w:rFonts w:hint="eastAsia"/>
                <w:b/>
                <w:color w:val="auto"/>
                <w:szCs w:val="21"/>
              </w:rPr>
            </w:pPr>
            <w:r>
              <w:rPr>
                <w:rFonts w:hint="eastAsia" w:ascii="宋体" w:hAnsi="宋体"/>
                <w:b/>
                <w:color w:val="auto"/>
                <w:lang w:val="en-US" w:eastAsia="zh-CN"/>
              </w:rPr>
              <w:t xml:space="preserve">  </w:t>
            </w:r>
            <w:r>
              <w:rPr>
                <w:rFonts w:ascii="宋体" w:hAnsi="宋体"/>
                <w:b/>
                <w:color w:val="auto"/>
              </w:rPr>
              <w:t>表</w:t>
            </w:r>
            <w:r>
              <w:rPr>
                <w:rFonts w:hint="eastAsia"/>
                <w:b/>
                <w:color w:val="auto"/>
              </w:rPr>
              <w:t>3-2</w:t>
            </w:r>
            <w:r>
              <w:rPr>
                <w:rFonts w:hint="eastAsia"/>
                <w:b/>
                <w:color w:val="auto"/>
                <w:lang w:val="en-US" w:eastAsia="zh-CN"/>
              </w:rPr>
              <w:t>3</w:t>
            </w:r>
            <w:r>
              <w:rPr>
                <w:b/>
                <w:color w:val="auto"/>
              </w:rPr>
              <w:t xml:space="preserve"> </w:t>
            </w:r>
            <w:r>
              <w:rPr>
                <w:rFonts w:hint="eastAsia" w:ascii="宋体" w:hAnsi="宋体"/>
                <w:b/>
                <w:color w:val="auto"/>
              </w:rPr>
              <w:t>《水泥工业大气污染物排放标准》（</w:t>
            </w:r>
            <w:r>
              <w:rPr>
                <w:b/>
                <w:color w:val="auto"/>
              </w:rPr>
              <w:t>GB4915-2013</w:t>
            </w:r>
            <w:r>
              <w:rPr>
                <w:rFonts w:hint="eastAsia" w:ascii="宋体" w:hAnsi="宋体"/>
                <w:b/>
                <w:color w:val="auto"/>
              </w:rPr>
              <w:t>）</w:t>
            </w:r>
            <w:r>
              <w:rPr>
                <w:rFonts w:ascii="宋体" w:hAnsi="宋体"/>
                <w:b/>
                <w:color w:val="auto"/>
              </w:rPr>
              <w:t>（摘录）</w:t>
            </w:r>
            <w:r>
              <w:rPr>
                <w:b/>
                <w:color w:val="auto"/>
              </w:rPr>
              <w:t xml:space="preserve">  </w:t>
            </w:r>
            <w:r>
              <w:rPr>
                <w:rFonts w:ascii="宋体" w:hAnsi="宋体"/>
                <w:b/>
                <w:color w:val="auto"/>
              </w:rPr>
              <w:t>单位：</w:t>
            </w:r>
            <w:r>
              <w:rPr>
                <w:b/>
                <w:color w:val="auto"/>
              </w:rPr>
              <w:t>mg/m</w:t>
            </w:r>
            <w:r>
              <w:rPr>
                <w:b/>
                <w:color w:val="auto"/>
                <w:vertAlign w:val="superscript"/>
              </w:rPr>
              <w:t>3</w:t>
            </w:r>
          </w:p>
          <w:tbl>
            <w:tblPr>
              <w:tblStyle w:val="22"/>
              <w:tblW w:w="8446"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760"/>
              <w:gridCol w:w="1020"/>
              <w:gridCol w:w="1156"/>
              <w:gridCol w:w="1902"/>
              <w:gridCol w:w="2487"/>
              <w:gridCol w:w="1121"/>
            </w:tblGrid>
            <w:tr w14:paraId="0A4EF4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jc w:val="center"/>
              </w:trPr>
              <w:tc>
                <w:tcPr>
                  <w:tcW w:w="449" w:type="pct"/>
                  <w:vMerge w:val="restart"/>
                  <w:vAlign w:val="center"/>
                </w:tcPr>
                <w:p w14:paraId="4F8E8447">
                  <w:pPr>
                    <w:kinsoku w:val="0"/>
                    <w:autoSpaceDE w:val="0"/>
                    <w:autoSpaceDN w:val="0"/>
                    <w:adjustRightInd w:val="0"/>
                    <w:snapToGrid w:val="0"/>
                    <w:jc w:val="center"/>
                    <w:textAlignment w:val="baseline"/>
                    <w:rPr>
                      <w:b/>
                      <w:color w:val="auto"/>
                      <w:szCs w:val="21"/>
                    </w:rPr>
                  </w:pPr>
                  <w:r>
                    <w:rPr>
                      <w:rFonts w:ascii="宋体" w:hAnsi="宋体"/>
                      <w:b/>
                      <w:color w:val="auto"/>
                      <w:spacing w:val="6"/>
                    </w:rPr>
                    <w:t>污染物</w:t>
                  </w:r>
                </w:p>
              </w:tc>
              <w:tc>
                <w:tcPr>
                  <w:tcW w:w="2414" w:type="pct"/>
                  <w:gridSpan w:val="3"/>
                  <w:vAlign w:val="center"/>
                </w:tcPr>
                <w:p w14:paraId="35D14D36">
                  <w:pPr>
                    <w:kinsoku w:val="0"/>
                    <w:autoSpaceDE w:val="0"/>
                    <w:autoSpaceDN w:val="0"/>
                    <w:adjustRightInd w:val="0"/>
                    <w:snapToGrid w:val="0"/>
                    <w:jc w:val="center"/>
                    <w:textAlignment w:val="baseline"/>
                    <w:rPr>
                      <w:b/>
                      <w:color w:val="auto"/>
                      <w:szCs w:val="21"/>
                    </w:rPr>
                  </w:pPr>
                  <w:r>
                    <w:rPr>
                      <w:rFonts w:ascii="宋体" w:hAnsi="宋体"/>
                      <w:b/>
                      <w:color w:val="auto"/>
                      <w:spacing w:val="8"/>
                    </w:rPr>
                    <w:t>有组织排放浓度限值</w:t>
                  </w:r>
                </w:p>
              </w:tc>
              <w:tc>
                <w:tcPr>
                  <w:tcW w:w="2135" w:type="pct"/>
                  <w:gridSpan w:val="2"/>
                  <w:vAlign w:val="center"/>
                </w:tcPr>
                <w:p w14:paraId="46E34230">
                  <w:pPr>
                    <w:kinsoku w:val="0"/>
                    <w:autoSpaceDE w:val="0"/>
                    <w:autoSpaceDN w:val="0"/>
                    <w:adjustRightInd w:val="0"/>
                    <w:snapToGrid w:val="0"/>
                    <w:jc w:val="center"/>
                    <w:textAlignment w:val="baseline"/>
                    <w:rPr>
                      <w:b/>
                      <w:color w:val="auto"/>
                      <w:szCs w:val="21"/>
                    </w:rPr>
                  </w:pPr>
                  <w:r>
                    <w:rPr>
                      <w:rFonts w:ascii="宋体" w:hAnsi="宋体"/>
                      <w:b/>
                      <w:color w:val="auto"/>
                      <w:spacing w:val="9"/>
                    </w:rPr>
                    <w:t>无组织排放监控浓度</w:t>
                  </w:r>
                  <w:r>
                    <w:rPr>
                      <w:rFonts w:ascii="宋体" w:hAnsi="宋体"/>
                      <w:b/>
                      <w:color w:val="auto"/>
                      <w:spacing w:val="8"/>
                    </w:rPr>
                    <w:t>限值</w:t>
                  </w:r>
                </w:p>
              </w:tc>
            </w:tr>
            <w:tr w14:paraId="6211F3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jc w:val="center"/>
              </w:trPr>
              <w:tc>
                <w:tcPr>
                  <w:tcW w:w="449" w:type="pct"/>
                  <w:vMerge w:val="continue"/>
                  <w:vAlign w:val="center"/>
                </w:tcPr>
                <w:p w14:paraId="092A0423">
                  <w:pPr>
                    <w:jc w:val="center"/>
                    <w:rPr>
                      <w:b/>
                      <w:color w:val="auto"/>
                      <w:szCs w:val="21"/>
                    </w:rPr>
                  </w:pPr>
                </w:p>
              </w:tc>
              <w:tc>
                <w:tcPr>
                  <w:tcW w:w="603" w:type="pct"/>
                  <w:vAlign w:val="center"/>
                </w:tcPr>
                <w:p w14:paraId="6443AE4C">
                  <w:pPr>
                    <w:kinsoku w:val="0"/>
                    <w:autoSpaceDE w:val="0"/>
                    <w:autoSpaceDN w:val="0"/>
                    <w:adjustRightInd w:val="0"/>
                    <w:snapToGrid w:val="0"/>
                    <w:jc w:val="center"/>
                    <w:textAlignment w:val="baseline"/>
                    <w:rPr>
                      <w:b/>
                      <w:color w:val="auto"/>
                      <w:szCs w:val="21"/>
                    </w:rPr>
                  </w:pPr>
                  <w:r>
                    <w:rPr>
                      <w:rFonts w:ascii="宋体" w:hAnsi="宋体"/>
                      <w:b/>
                      <w:color w:val="auto"/>
                      <w:spacing w:val="6"/>
                    </w:rPr>
                    <w:t>生产过程</w:t>
                  </w:r>
                </w:p>
              </w:tc>
              <w:tc>
                <w:tcPr>
                  <w:tcW w:w="684" w:type="pct"/>
                  <w:vAlign w:val="center"/>
                </w:tcPr>
                <w:p w14:paraId="71F22E5A">
                  <w:pPr>
                    <w:kinsoku w:val="0"/>
                    <w:autoSpaceDE w:val="0"/>
                    <w:autoSpaceDN w:val="0"/>
                    <w:adjustRightInd w:val="0"/>
                    <w:snapToGrid w:val="0"/>
                    <w:jc w:val="center"/>
                    <w:textAlignment w:val="baseline"/>
                    <w:rPr>
                      <w:b/>
                      <w:color w:val="auto"/>
                      <w:szCs w:val="21"/>
                    </w:rPr>
                  </w:pPr>
                  <w:r>
                    <w:rPr>
                      <w:rFonts w:ascii="宋体" w:hAnsi="宋体"/>
                      <w:b/>
                      <w:color w:val="auto"/>
                      <w:spacing w:val="6"/>
                    </w:rPr>
                    <w:t>生产设备</w:t>
                  </w:r>
                </w:p>
              </w:tc>
              <w:tc>
                <w:tcPr>
                  <w:tcW w:w="1125" w:type="pct"/>
                  <w:vAlign w:val="center"/>
                </w:tcPr>
                <w:p w14:paraId="154AA174">
                  <w:pPr>
                    <w:jc w:val="center"/>
                    <w:rPr>
                      <w:b/>
                      <w:color w:val="auto"/>
                      <w:spacing w:val="6"/>
                      <w:szCs w:val="21"/>
                    </w:rPr>
                  </w:pPr>
                  <w:r>
                    <w:rPr>
                      <w:rFonts w:ascii="宋体" w:hAnsi="宋体"/>
                      <w:b/>
                      <w:color w:val="auto"/>
                      <w:spacing w:val="8"/>
                    </w:rPr>
                    <w:t>最高容许排放浓</w:t>
                  </w:r>
                  <w:r>
                    <w:rPr>
                      <w:rFonts w:ascii="宋体" w:hAnsi="宋体"/>
                      <w:b/>
                      <w:color w:val="auto"/>
                      <w:spacing w:val="6"/>
                    </w:rPr>
                    <w:t>度</w:t>
                  </w:r>
                </w:p>
              </w:tc>
              <w:tc>
                <w:tcPr>
                  <w:tcW w:w="1472" w:type="pct"/>
                  <w:vAlign w:val="center"/>
                </w:tcPr>
                <w:p w14:paraId="08EA4F1F">
                  <w:pPr>
                    <w:kinsoku w:val="0"/>
                    <w:autoSpaceDE w:val="0"/>
                    <w:autoSpaceDN w:val="0"/>
                    <w:adjustRightInd w:val="0"/>
                    <w:snapToGrid w:val="0"/>
                    <w:jc w:val="center"/>
                    <w:textAlignment w:val="baseline"/>
                    <w:rPr>
                      <w:b/>
                      <w:color w:val="auto"/>
                      <w:szCs w:val="21"/>
                    </w:rPr>
                  </w:pPr>
                  <w:r>
                    <w:rPr>
                      <w:rFonts w:ascii="宋体" w:hAnsi="宋体"/>
                      <w:b/>
                      <w:color w:val="auto"/>
                      <w:spacing w:val="6"/>
                    </w:rPr>
                    <w:t>监控点</w:t>
                  </w:r>
                </w:p>
              </w:tc>
              <w:tc>
                <w:tcPr>
                  <w:tcW w:w="663" w:type="pct"/>
                  <w:vAlign w:val="center"/>
                </w:tcPr>
                <w:p w14:paraId="19B0B7CD">
                  <w:pPr>
                    <w:jc w:val="center"/>
                    <w:rPr>
                      <w:b/>
                      <w:color w:val="auto"/>
                      <w:spacing w:val="6"/>
                      <w:szCs w:val="21"/>
                    </w:rPr>
                  </w:pPr>
                  <w:r>
                    <w:rPr>
                      <w:rFonts w:ascii="宋体" w:hAnsi="宋体"/>
                      <w:b/>
                      <w:color w:val="auto"/>
                      <w:spacing w:val="6"/>
                    </w:rPr>
                    <w:t>浓度</w:t>
                  </w:r>
                </w:p>
              </w:tc>
            </w:tr>
            <w:tr w14:paraId="32A5DE6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jc w:val="center"/>
              </w:trPr>
              <w:tc>
                <w:tcPr>
                  <w:tcW w:w="449" w:type="pct"/>
                  <w:vAlign w:val="center"/>
                </w:tcPr>
                <w:p w14:paraId="3458518F">
                  <w:pPr>
                    <w:kinsoku w:val="0"/>
                    <w:autoSpaceDE w:val="0"/>
                    <w:autoSpaceDN w:val="0"/>
                    <w:adjustRightInd w:val="0"/>
                    <w:snapToGrid w:val="0"/>
                    <w:jc w:val="center"/>
                    <w:textAlignment w:val="baseline"/>
                    <w:rPr>
                      <w:color w:val="auto"/>
                      <w:szCs w:val="21"/>
                    </w:rPr>
                  </w:pPr>
                  <w:r>
                    <w:rPr>
                      <w:rFonts w:ascii="宋体" w:hAnsi="宋体"/>
                      <w:color w:val="auto"/>
                      <w:spacing w:val="7"/>
                    </w:rPr>
                    <w:t>颗粒物</w:t>
                  </w:r>
                </w:p>
              </w:tc>
              <w:tc>
                <w:tcPr>
                  <w:tcW w:w="603" w:type="pct"/>
                  <w:vAlign w:val="center"/>
                </w:tcPr>
                <w:p w14:paraId="71DE8B50">
                  <w:pPr>
                    <w:jc w:val="center"/>
                    <w:rPr>
                      <w:color w:val="auto"/>
                      <w:szCs w:val="21"/>
                    </w:rPr>
                  </w:pPr>
                  <w:r>
                    <w:rPr>
                      <w:rFonts w:ascii="宋体" w:hAnsi="宋体"/>
                      <w:color w:val="auto"/>
                      <w:spacing w:val="6"/>
                    </w:rPr>
                    <w:t>水泥制品</w:t>
                  </w:r>
                  <w:r>
                    <w:rPr>
                      <w:rFonts w:ascii="宋体" w:hAnsi="宋体"/>
                      <w:color w:val="auto"/>
                      <w:spacing w:val="3"/>
                    </w:rPr>
                    <w:t>生产</w:t>
                  </w:r>
                </w:p>
              </w:tc>
              <w:tc>
                <w:tcPr>
                  <w:tcW w:w="684" w:type="pct"/>
                  <w:vAlign w:val="center"/>
                </w:tcPr>
                <w:p w14:paraId="3E381E16">
                  <w:pPr>
                    <w:kinsoku w:val="0"/>
                    <w:autoSpaceDE w:val="0"/>
                    <w:autoSpaceDN w:val="0"/>
                    <w:adjustRightInd w:val="0"/>
                    <w:snapToGrid w:val="0"/>
                    <w:jc w:val="center"/>
                    <w:textAlignment w:val="baseline"/>
                    <w:rPr>
                      <w:color w:val="auto"/>
                      <w:szCs w:val="21"/>
                    </w:rPr>
                  </w:pPr>
                  <w:r>
                    <w:rPr>
                      <w:rFonts w:ascii="宋体" w:hAnsi="宋体"/>
                      <w:color w:val="auto"/>
                      <w:spacing w:val="6"/>
                    </w:rPr>
                    <w:t>水泥仓及其他通风生产设备</w:t>
                  </w:r>
                </w:p>
              </w:tc>
              <w:tc>
                <w:tcPr>
                  <w:tcW w:w="1125" w:type="pct"/>
                  <w:vAlign w:val="center"/>
                </w:tcPr>
                <w:p w14:paraId="61155F5E">
                  <w:pPr>
                    <w:jc w:val="center"/>
                    <w:rPr>
                      <w:color w:val="auto"/>
                      <w:spacing w:val="6"/>
                      <w:szCs w:val="21"/>
                    </w:rPr>
                  </w:pPr>
                  <w:r>
                    <w:rPr>
                      <w:color w:val="auto"/>
                      <w:spacing w:val="2"/>
                    </w:rPr>
                    <w:t>20</w:t>
                  </w:r>
                </w:p>
              </w:tc>
              <w:tc>
                <w:tcPr>
                  <w:tcW w:w="1472" w:type="pct"/>
                  <w:vAlign w:val="center"/>
                </w:tcPr>
                <w:p w14:paraId="68E651E2">
                  <w:pPr>
                    <w:jc w:val="center"/>
                    <w:rPr>
                      <w:color w:val="auto"/>
                      <w:spacing w:val="6"/>
                      <w:szCs w:val="21"/>
                    </w:rPr>
                  </w:pPr>
                  <w:r>
                    <w:rPr>
                      <w:rFonts w:ascii="宋体" w:hAnsi="宋体"/>
                      <w:color w:val="auto"/>
                      <w:spacing w:val="7"/>
                    </w:rPr>
                    <w:t>厂界外</w:t>
                  </w:r>
                  <w:r>
                    <w:rPr>
                      <w:color w:val="auto"/>
                      <w:spacing w:val="-40"/>
                    </w:rPr>
                    <w:t xml:space="preserve"> </w:t>
                  </w:r>
                  <w:r>
                    <w:rPr>
                      <w:color w:val="auto"/>
                      <w:spacing w:val="7"/>
                    </w:rPr>
                    <w:t>20m</w:t>
                  </w:r>
                  <w:r>
                    <w:rPr>
                      <w:rFonts w:ascii="宋体" w:hAnsi="宋体"/>
                      <w:color w:val="auto"/>
                      <w:spacing w:val="7"/>
                    </w:rPr>
                    <w:t>处上风向设参照点，下风向设监控点</w:t>
                  </w:r>
                </w:p>
              </w:tc>
              <w:tc>
                <w:tcPr>
                  <w:tcW w:w="663" w:type="pct"/>
                  <w:vAlign w:val="center"/>
                </w:tcPr>
                <w:p w14:paraId="580212AE">
                  <w:pPr>
                    <w:jc w:val="center"/>
                    <w:rPr>
                      <w:color w:val="auto"/>
                      <w:spacing w:val="6"/>
                      <w:szCs w:val="21"/>
                    </w:rPr>
                  </w:pPr>
                  <w:r>
                    <w:rPr>
                      <w:color w:val="auto"/>
                      <w:spacing w:val="1"/>
                    </w:rPr>
                    <w:t>0.5</w:t>
                  </w:r>
                </w:p>
              </w:tc>
            </w:tr>
          </w:tbl>
          <w:p w14:paraId="19431AD2">
            <w:pPr>
              <w:keepNext w:val="0"/>
              <w:keepLines w:val="0"/>
              <w:pageBreakBefore w:val="0"/>
              <w:widowControl w:val="0"/>
              <w:kinsoku/>
              <w:wordWrap/>
              <w:overflowPunct/>
              <w:topLinePunct w:val="0"/>
              <w:autoSpaceDE/>
              <w:autoSpaceDN/>
              <w:bidi w:val="0"/>
              <w:adjustRightInd/>
              <w:snapToGrid/>
              <w:spacing w:before="313" w:beforeLines="100"/>
              <w:jc w:val="center"/>
              <w:textAlignment w:val="auto"/>
              <w:rPr>
                <w:b/>
                <w:color w:val="auto"/>
                <w:szCs w:val="21"/>
              </w:rPr>
            </w:pPr>
            <w:r>
              <w:rPr>
                <w:rFonts w:ascii="宋体" w:hAnsi="宋体"/>
                <w:b/>
                <w:color w:val="auto"/>
              </w:rPr>
              <w:t>表</w:t>
            </w:r>
            <w:r>
              <w:rPr>
                <w:rFonts w:hint="eastAsia"/>
                <w:b/>
                <w:color w:val="auto"/>
              </w:rPr>
              <w:t>3-2</w:t>
            </w:r>
            <w:r>
              <w:rPr>
                <w:rFonts w:hint="eastAsia"/>
                <w:b/>
                <w:color w:val="auto"/>
                <w:lang w:val="en-US" w:eastAsia="zh-CN"/>
              </w:rPr>
              <w:t>4</w:t>
            </w:r>
            <w:r>
              <w:rPr>
                <w:b/>
                <w:color w:val="auto"/>
              </w:rPr>
              <w:t xml:space="preserve"> </w:t>
            </w:r>
            <w:r>
              <w:rPr>
                <w:rFonts w:ascii="宋体" w:hAnsi="宋体"/>
                <w:b/>
                <w:color w:val="auto"/>
              </w:rPr>
              <w:t>《饮食业油烟排放标准》（</w:t>
            </w:r>
            <w:r>
              <w:rPr>
                <w:b/>
                <w:color w:val="auto"/>
              </w:rPr>
              <w:t>GB18483-2001</w:t>
            </w:r>
            <w:r>
              <w:rPr>
                <w:rFonts w:ascii="宋体" w:hAnsi="宋体"/>
                <w:b/>
                <w:color w:val="auto"/>
              </w:rPr>
              <w:t>）（摘录）</w:t>
            </w:r>
          </w:p>
          <w:tbl>
            <w:tblPr>
              <w:tblStyle w:val="22"/>
              <w:tblW w:w="8432"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4699"/>
              <w:gridCol w:w="1244"/>
              <w:gridCol w:w="1244"/>
              <w:gridCol w:w="1245"/>
            </w:tblGrid>
            <w:tr w14:paraId="07F8C7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2786" w:type="pct"/>
                </w:tcPr>
                <w:p w14:paraId="62AE7784">
                  <w:pPr>
                    <w:spacing w:line="240" w:lineRule="exact"/>
                    <w:jc w:val="center"/>
                    <w:rPr>
                      <w:b/>
                      <w:color w:val="auto"/>
                      <w:szCs w:val="21"/>
                    </w:rPr>
                  </w:pPr>
                  <w:r>
                    <w:rPr>
                      <w:rFonts w:ascii="宋体" w:hAnsi="宋体"/>
                      <w:b/>
                      <w:color w:val="auto"/>
                    </w:rPr>
                    <w:t>规模</w:t>
                  </w:r>
                </w:p>
              </w:tc>
              <w:tc>
                <w:tcPr>
                  <w:tcW w:w="737" w:type="pct"/>
                </w:tcPr>
                <w:p w14:paraId="79DD416D">
                  <w:pPr>
                    <w:spacing w:line="240" w:lineRule="exact"/>
                    <w:jc w:val="center"/>
                    <w:rPr>
                      <w:b/>
                      <w:color w:val="auto"/>
                      <w:szCs w:val="21"/>
                    </w:rPr>
                  </w:pPr>
                  <w:r>
                    <w:rPr>
                      <w:rFonts w:ascii="宋体" w:hAnsi="宋体"/>
                      <w:b/>
                      <w:color w:val="auto"/>
                    </w:rPr>
                    <w:t>小型</w:t>
                  </w:r>
                </w:p>
              </w:tc>
              <w:tc>
                <w:tcPr>
                  <w:tcW w:w="737" w:type="pct"/>
                </w:tcPr>
                <w:p w14:paraId="22F8EAD3">
                  <w:pPr>
                    <w:spacing w:line="240" w:lineRule="exact"/>
                    <w:jc w:val="center"/>
                    <w:rPr>
                      <w:b/>
                      <w:color w:val="auto"/>
                      <w:szCs w:val="21"/>
                    </w:rPr>
                  </w:pPr>
                  <w:r>
                    <w:rPr>
                      <w:rFonts w:ascii="宋体" w:hAnsi="宋体"/>
                      <w:b/>
                      <w:color w:val="auto"/>
                    </w:rPr>
                    <w:t>中型</w:t>
                  </w:r>
                </w:p>
              </w:tc>
              <w:tc>
                <w:tcPr>
                  <w:tcW w:w="738" w:type="pct"/>
                </w:tcPr>
                <w:p w14:paraId="17C6F4E9">
                  <w:pPr>
                    <w:spacing w:line="240" w:lineRule="exact"/>
                    <w:jc w:val="center"/>
                    <w:rPr>
                      <w:b/>
                      <w:color w:val="auto"/>
                      <w:szCs w:val="21"/>
                    </w:rPr>
                  </w:pPr>
                  <w:r>
                    <w:rPr>
                      <w:rFonts w:ascii="宋体" w:hAnsi="宋体"/>
                      <w:b/>
                      <w:color w:val="auto"/>
                    </w:rPr>
                    <w:t>大型</w:t>
                  </w:r>
                </w:p>
              </w:tc>
            </w:tr>
            <w:tr w14:paraId="18986CC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2786" w:type="pct"/>
                </w:tcPr>
                <w:p w14:paraId="07405067">
                  <w:pPr>
                    <w:spacing w:line="240" w:lineRule="exact"/>
                    <w:jc w:val="center"/>
                    <w:rPr>
                      <w:color w:val="auto"/>
                      <w:szCs w:val="21"/>
                    </w:rPr>
                  </w:pPr>
                  <w:r>
                    <w:rPr>
                      <w:rFonts w:ascii="宋体" w:hAnsi="宋体"/>
                      <w:color w:val="auto"/>
                    </w:rPr>
                    <w:t>基准灶头数</w:t>
                  </w:r>
                </w:p>
              </w:tc>
              <w:tc>
                <w:tcPr>
                  <w:tcW w:w="737" w:type="pct"/>
                </w:tcPr>
                <w:p w14:paraId="5AB84FEA">
                  <w:pPr>
                    <w:spacing w:line="240" w:lineRule="exact"/>
                    <w:jc w:val="center"/>
                    <w:rPr>
                      <w:color w:val="auto"/>
                      <w:szCs w:val="21"/>
                    </w:rPr>
                  </w:pPr>
                  <w:r>
                    <w:rPr>
                      <w:color w:val="auto"/>
                    </w:rPr>
                    <w:t>≥1</w:t>
                  </w:r>
                  <w:r>
                    <w:rPr>
                      <w:rFonts w:ascii="宋体" w:hAnsi="宋体"/>
                      <w:color w:val="auto"/>
                    </w:rPr>
                    <w:t>，</w:t>
                  </w:r>
                  <w:r>
                    <w:rPr>
                      <w:color w:val="auto"/>
                    </w:rPr>
                    <w:t>&lt;3</w:t>
                  </w:r>
                </w:p>
              </w:tc>
              <w:tc>
                <w:tcPr>
                  <w:tcW w:w="737" w:type="pct"/>
                </w:tcPr>
                <w:p w14:paraId="22221F64">
                  <w:pPr>
                    <w:spacing w:line="240" w:lineRule="exact"/>
                    <w:jc w:val="center"/>
                    <w:rPr>
                      <w:color w:val="auto"/>
                      <w:szCs w:val="21"/>
                    </w:rPr>
                  </w:pPr>
                  <w:r>
                    <w:rPr>
                      <w:color w:val="auto"/>
                    </w:rPr>
                    <w:t>≥3</w:t>
                  </w:r>
                  <w:r>
                    <w:rPr>
                      <w:rFonts w:ascii="宋体" w:hAnsi="宋体"/>
                      <w:color w:val="auto"/>
                    </w:rPr>
                    <w:t>，</w:t>
                  </w:r>
                  <w:r>
                    <w:rPr>
                      <w:color w:val="auto"/>
                    </w:rPr>
                    <w:t>&lt;6</w:t>
                  </w:r>
                </w:p>
              </w:tc>
              <w:tc>
                <w:tcPr>
                  <w:tcW w:w="738" w:type="pct"/>
                </w:tcPr>
                <w:p w14:paraId="3441D796">
                  <w:pPr>
                    <w:spacing w:line="240" w:lineRule="exact"/>
                    <w:jc w:val="center"/>
                    <w:rPr>
                      <w:color w:val="auto"/>
                      <w:szCs w:val="21"/>
                    </w:rPr>
                  </w:pPr>
                  <w:r>
                    <w:rPr>
                      <w:color w:val="auto"/>
                    </w:rPr>
                    <w:t>≥6</w:t>
                  </w:r>
                </w:p>
              </w:tc>
            </w:tr>
            <w:tr w14:paraId="41C546B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2786" w:type="pct"/>
                </w:tcPr>
                <w:p w14:paraId="68884542">
                  <w:pPr>
                    <w:spacing w:line="240" w:lineRule="exact"/>
                    <w:jc w:val="center"/>
                    <w:rPr>
                      <w:color w:val="auto"/>
                      <w:szCs w:val="21"/>
                    </w:rPr>
                  </w:pPr>
                  <w:r>
                    <w:rPr>
                      <w:rFonts w:ascii="宋体" w:hAnsi="宋体"/>
                      <w:color w:val="auto"/>
                    </w:rPr>
                    <w:t>最高允许排放浓度</w:t>
                  </w:r>
                  <w:r>
                    <w:rPr>
                      <w:color w:val="auto"/>
                    </w:rPr>
                    <w:t>(mg/m</w:t>
                  </w:r>
                  <w:r>
                    <w:rPr>
                      <w:color w:val="auto"/>
                      <w:vertAlign w:val="superscript"/>
                    </w:rPr>
                    <w:t>3</w:t>
                  </w:r>
                  <w:r>
                    <w:rPr>
                      <w:color w:val="auto"/>
                    </w:rPr>
                    <w:t>)</w:t>
                  </w:r>
                </w:p>
              </w:tc>
              <w:tc>
                <w:tcPr>
                  <w:tcW w:w="2213" w:type="pct"/>
                  <w:gridSpan w:val="3"/>
                </w:tcPr>
                <w:p w14:paraId="5B8EBE9E">
                  <w:pPr>
                    <w:spacing w:line="240" w:lineRule="exact"/>
                    <w:jc w:val="center"/>
                    <w:rPr>
                      <w:color w:val="auto"/>
                      <w:szCs w:val="21"/>
                    </w:rPr>
                  </w:pPr>
                  <w:r>
                    <w:rPr>
                      <w:color w:val="auto"/>
                    </w:rPr>
                    <w:t>2.0</w:t>
                  </w:r>
                </w:p>
              </w:tc>
            </w:tr>
            <w:tr w14:paraId="3F4BE8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2786" w:type="pct"/>
                </w:tcPr>
                <w:p w14:paraId="696E8647">
                  <w:pPr>
                    <w:spacing w:line="240" w:lineRule="exact"/>
                    <w:jc w:val="center"/>
                    <w:rPr>
                      <w:color w:val="auto"/>
                      <w:szCs w:val="21"/>
                    </w:rPr>
                  </w:pPr>
                  <w:r>
                    <w:rPr>
                      <w:rFonts w:ascii="宋体" w:hAnsi="宋体"/>
                      <w:color w:val="auto"/>
                    </w:rPr>
                    <w:t>净化设施最低去除效率</w:t>
                  </w:r>
                  <w:r>
                    <w:rPr>
                      <w:color w:val="auto"/>
                    </w:rPr>
                    <w:t>(%)</w:t>
                  </w:r>
                </w:p>
              </w:tc>
              <w:tc>
                <w:tcPr>
                  <w:tcW w:w="737" w:type="pct"/>
                </w:tcPr>
                <w:p w14:paraId="381AD15A">
                  <w:pPr>
                    <w:spacing w:line="240" w:lineRule="exact"/>
                    <w:jc w:val="center"/>
                    <w:rPr>
                      <w:color w:val="auto"/>
                      <w:szCs w:val="21"/>
                    </w:rPr>
                  </w:pPr>
                  <w:r>
                    <w:rPr>
                      <w:color w:val="auto"/>
                    </w:rPr>
                    <w:t>60</w:t>
                  </w:r>
                </w:p>
              </w:tc>
              <w:tc>
                <w:tcPr>
                  <w:tcW w:w="737" w:type="pct"/>
                </w:tcPr>
                <w:p w14:paraId="13AE8CB2">
                  <w:pPr>
                    <w:spacing w:line="240" w:lineRule="exact"/>
                    <w:jc w:val="center"/>
                    <w:rPr>
                      <w:color w:val="auto"/>
                      <w:szCs w:val="21"/>
                    </w:rPr>
                  </w:pPr>
                  <w:r>
                    <w:rPr>
                      <w:color w:val="auto"/>
                    </w:rPr>
                    <w:t>75</w:t>
                  </w:r>
                </w:p>
              </w:tc>
              <w:tc>
                <w:tcPr>
                  <w:tcW w:w="738" w:type="pct"/>
                </w:tcPr>
                <w:p w14:paraId="480B3C18">
                  <w:pPr>
                    <w:spacing w:line="240" w:lineRule="exact"/>
                    <w:jc w:val="center"/>
                    <w:rPr>
                      <w:color w:val="auto"/>
                      <w:szCs w:val="21"/>
                    </w:rPr>
                  </w:pPr>
                  <w:r>
                    <w:rPr>
                      <w:color w:val="auto"/>
                    </w:rPr>
                    <w:t>85</w:t>
                  </w:r>
                </w:p>
              </w:tc>
            </w:tr>
          </w:tbl>
          <w:p w14:paraId="12CDB1B2">
            <w:pPr>
              <w:autoSpaceDE w:val="0"/>
              <w:autoSpaceDN w:val="0"/>
              <w:adjustRightInd w:val="0"/>
              <w:spacing w:before="240" w:beforeLines="100" w:line="300" w:lineRule="auto"/>
              <w:ind w:firstLine="480" w:firstLineChars="200"/>
              <w:rPr>
                <w:kern w:val="0"/>
                <w:sz w:val="24"/>
              </w:rPr>
            </w:pPr>
            <w:r>
              <w:rPr>
                <w:kern w:val="0"/>
                <w:sz w:val="24"/>
              </w:rPr>
              <w:t>(2) 废水</w:t>
            </w:r>
          </w:p>
          <w:p w14:paraId="7826BE85">
            <w:pPr>
              <w:autoSpaceDE w:val="0"/>
              <w:autoSpaceDN w:val="0"/>
              <w:adjustRightInd w:val="0"/>
              <w:spacing w:line="300" w:lineRule="auto"/>
              <w:ind w:firstLine="480" w:firstLineChars="200"/>
              <w:rPr>
                <w:sz w:val="24"/>
              </w:rPr>
            </w:pPr>
            <w:r>
              <w:rPr>
                <w:sz w:val="24"/>
              </w:rPr>
              <w:t>施工期生产废水经絮凝沉淀、隔油除渣等处理后</w:t>
            </w:r>
            <w:r>
              <w:rPr>
                <w:rFonts w:hint="eastAsia"/>
                <w:sz w:val="24"/>
                <w:lang w:val="en-US" w:eastAsia="zh-CN"/>
              </w:rPr>
              <w:t>循环回用于生产及场地洒水降尘</w:t>
            </w:r>
            <w:r>
              <w:rPr>
                <w:sz w:val="24"/>
              </w:rPr>
              <w:t>，生活污水</w:t>
            </w:r>
            <w:r>
              <w:rPr>
                <w:rFonts w:hint="eastAsia"/>
                <w:sz w:val="24"/>
              </w:rPr>
              <w:t>经</w:t>
            </w:r>
            <w:r>
              <w:rPr>
                <w:rFonts w:hint="eastAsia"/>
                <w:sz w:val="24"/>
                <w:lang w:val="en-US" w:eastAsia="zh-CN"/>
              </w:rPr>
              <w:t>隔油池、</w:t>
            </w:r>
            <w:r>
              <w:rPr>
                <w:rFonts w:hint="eastAsia"/>
                <w:sz w:val="24"/>
              </w:rPr>
              <w:t>化粪池</w:t>
            </w:r>
            <w:r>
              <w:rPr>
                <w:rFonts w:hint="eastAsia"/>
                <w:sz w:val="24"/>
                <w:lang w:val="en-US" w:eastAsia="zh-CN"/>
              </w:rPr>
              <w:t>处理</w:t>
            </w:r>
            <w:r>
              <w:rPr>
                <w:rFonts w:hint="eastAsia"/>
                <w:sz w:val="24"/>
              </w:rPr>
              <w:t>后</w:t>
            </w:r>
            <w:r>
              <w:rPr>
                <w:rFonts w:hint="eastAsia"/>
                <w:sz w:val="24"/>
                <w:lang w:val="en-US" w:eastAsia="zh-CN"/>
              </w:rPr>
              <w:t>定期清运，均不外排</w:t>
            </w:r>
            <w:r>
              <w:rPr>
                <w:sz w:val="24"/>
                <w:highlight w:val="none"/>
              </w:rPr>
              <w:t>。</w:t>
            </w:r>
            <w:r>
              <w:rPr>
                <w:rFonts w:hint="eastAsia"/>
                <w:sz w:val="24"/>
                <w:highlight w:val="none"/>
              </w:rPr>
              <w:t xml:space="preserve"> </w:t>
            </w:r>
          </w:p>
          <w:p w14:paraId="0167F1C0">
            <w:pPr>
              <w:keepNext w:val="0"/>
              <w:keepLines w:val="0"/>
              <w:pageBreakBefore w:val="0"/>
              <w:widowControl w:val="0"/>
              <w:kinsoku/>
              <w:wordWrap/>
              <w:overflowPunct/>
              <w:topLinePunct w:val="0"/>
              <w:autoSpaceDE w:val="0"/>
              <w:autoSpaceDN w:val="0"/>
              <w:bidi w:val="0"/>
              <w:adjustRightInd w:val="0"/>
              <w:snapToGrid/>
              <w:spacing w:after="120" w:afterLines="50" w:line="300" w:lineRule="auto"/>
              <w:ind w:firstLine="480" w:firstLineChars="200"/>
              <w:textAlignment w:val="auto"/>
              <w:rPr>
                <w:sz w:val="24"/>
              </w:rPr>
            </w:pPr>
            <w:r>
              <w:rPr>
                <w:rFonts w:hint="eastAsia"/>
                <w:sz w:val="24"/>
              </w:rPr>
              <w:t>运营期沿线设施生活污水采用二级生化工艺处理后，达到《城市污水再生利用 城市杂用水水质》(GB/T 18920-2020)</w:t>
            </w:r>
            <w:r>
              <w:rPr>
                <w:rFonts w:hint="eastAsia"/>
                <w:sz w:val="24"/>
                <w:lang w:val="en-US" w:eastAsia="zh-CN"/>
              </w:rPr>
              <w:t>绿化用水</w:t>
            </w:r>
            <w:r>
              <w:rPr>
                <w:rFonts w:hint="eastAsia"/>
                <w:sz w:val="24"/>
              </w:rPr>
              <w:t>标准后用于场地绿化，夏灌冬储不外排</w:t>
            </w:r>
            <w:r>
              <w:rPr>
                <w:rFonts w:hint="eastAsia"/>
                <w:kern w:val="0"/>
                <w:sz w:val="24"/>
              </w:rPr>
              <w:t>。</w:t>
            </w:r>
            <w:r>
              <w:rPr>
                <w:kern w:val="0"/>
                <w:sz w:val="24"/>
              </w:rPr>
              <w:t>具体排放限值见表3-</w:t>
            </w:r>
            <w:r>
              <w:rPr>
                <w:rFonts w:hint="eastAsia"/>
                <w:kern w:val="0"/>
                <w:sz w:val="24"/>
                <w:lang w:val="en-US" w:eastAsia="zh-CN"/>
              </w:rPr>
              <w:t>22</w:t>
            </w:r>
            <w:r>
              <w:rPr>
                <w:sz w:val="24"/>
              </w:rPr>
              <w:t>。</w:t>
            </w:r>
          </w:p>
          <w:p w14:paraId="1473620C">
            <w:pPr>
              <w:keepNext w:val="0"/>
              <w:keepLines w:val="0"/>
              <w:pageBreakBefore w:val="0"/>
              <w:widowControl w:val="0"/>
              <w:kinsoku/>
              <w:wordWrap/>
              <w:overflowPunct/>
              <w:topLinePunct w:val="0"/>
              <w:autoSpaceDE w:val="0"/>
              <w:autoSpaceDN w:val="0"/>
              <w:bidi w:val="0"/>
              <w:adjustRightInd w:val="0"/>
              <w:snapToGrid/>
              <w:spacing w:before="157" w:beforeLines="50"/>
              <w:jc w:val="center"/>
              <w:textAlignment w:val="auto"/>
              <w:rPr>
                <w:b/>
                <w:spacing w:val="-12"/>
                <w:sz w:val="21"/>
                <w:szCs w:val="21"/>
              </w:rPr>
            </w:pPr>
            <w:r>
              <w:rPr>
                <w:rFonts w:hAnsi="宋体"/>
                <w:b/>
                <w:sz w:val="21"/>
                <w:szCs w:val="21"/>
              </w:rPr>
              <w:t>表</w:t>
            </w:r>
            <w:r>
              <w:rPr>
                <w:rFonts w:hint="eastAsia"/>
                <w:b/>
                <w:sz w:val="21"/>
                <w:szCs w:val="21"/>
                <w:lang w:val="en-US" w:eastAsia="zh-CN"/>
              </w:rPr>
              <w:t>3-22</w:t>
            </w:r>
            <w:r>
              <w:rPr>
                <w:rFonts w:hint="eastAsia"/>
                <w:b/>
                <w:sz w:val="21"/>
                <w:szCs w:val="21"/>
              </w:rPr>
              <w:t xml:space="preserve">  废水执行标准限值</w:t>
            </w:r>
            <w:r>
              <w:rPr>
                <w:b/>
                <w:sz w:val="21"/>
                <w:szCs w:val="21"/>
              </w:rPr>
              <w:t>（摘录）</w:t>
            </w:r>
          </w:p>
          <w:tbl>
            <w:tblPr>
              <w:tblStyle w:val="22"/>
              <w:tblW w:w="504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2190"/>
              <w:gridCol w:w="569"/>
              <w:gridCol w:w="959"/>
              <w:gridCol w:w="959"/>
              <w:gridCol w:w="941"/>
              <w:gridCol w:w="924"/>
              <w:gridCol w:w="959"/>
              <w:gridCol w:w="967"/>
            </w:tblGrid>
            <w:tr w14:paraId="47922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 w:hRule="atLeast"/>
                <w:jc w:val="center"/>
              </w:trPr>
              <w:tc>
                <w:tcPr>
                  <w:tcW w:w="1293" w:type="pct"/>
                  <w:tcBorders>
                    <w:tl2br w:val="nil"/>
                    <w:tr2bl w:val="nil"/>
                  </w:tcBorders>
                  <w:noWrap w:val="0"/>
                  <w:vAlign w:val="center"/>
                </w:tcPr>
                <w:p w14:paraId="4DF09BE8">
                  <w:pPr>
                    <w:widowControl/>
                    <w:adjustRightInd w:val="0"/>
                    <w:jc w:val="center"/>
                    <w:rPr>
                      <w:b/>
                      <w:kern w:val="0"/>
                      <w:sz w:val="21"/>
                      <w:szCs w:val="21"/>
                    </w:rPr>
                  </w:pPr>
                  <w:r>
                    <w:rPr>
                      <w:b/>
                      <w:kern w:val="0"/>
                      <w:sz w:val="21"/>
                      <w:szCs w:val="21"/>
                    </w:rPr>
                    <w:t>标准</w:t>
                  </w:r>
                </w:p>
              </w:tc>
              <w:tc>
                <w:tcPr>
                  <w:tcW w:w="336" w:type="pct"/>
                  <w:tcBorders>
                    <w:tl2br w:val="nil"/>
                    <w:tr2bl w:val="nil"/>
                  </w:tcBorders>
                  <w:noWrap w:val="0"/>
                  <w:vAlign w:val="center"/>
                </w:tcPr>
                <w:p w14:paraId="2FAB374D">
                  <w:pPr>
                    <w:widowControl/>
                    <w:adjustRightInd w:val="0"/>
                    <w:jc w:val="center"/>
                    <w:rPr>
                      <w:b/>
                      <w:kern w:val="0"/>
                      <w:sz w:val="21"/>
                      <w:szCs w:val="21"/>
                    </w:rPr>
                  </w:pPr>
                  <w:r>
                    <w:rPr>
                      <w:b/>
                      <w:kern w:val="0"/>
                      <w:sz w:val="21"/>
                      <w:szCs w:val="21"/>
                    </w:rPr>
                    <w:t>pH</w:t>
                  </w:r>
                </w:p>
              </w:tc>
              <w:tc>
                <w:tcPr>
                  <w:tcW w:w="566" w:type="pct"/>
                  <w:tcBorders>
                    <w:tl2br w:val="nil"/>
                    <w:tr2bl w:val="nil"/>
                  </w:tcBorders>
                  <w:noWrap w:val="0"/>
                  <w:vAlign w:val="center"/>
                </w:tcPr>
                <w:p w14:paraId="2D48CDD7">
                  <w:pPr>
                    <w:widowControl/>
                    <w:adjustRightInd w:val="0"/>
                    <w:jc w:val="center"/>
                    <w:rPr>
                      <w:b/>
                      <w:kern w:val="0"/>
                      <w:sz w:val="21"/>
                      <w:szCs w:val="21"/>
                    </w:rPr>
                  </w:pPr>
                  <w:r>
                    <w:rPr>
                      <w:b/>
                      <w:kern w:val="0"/>
                      <w:sz w:val="21"/>
                      <w:szCs w:val="21"/>
                    </w:rPr>
                    <w:t>BOD</w:t>
                  </w:r>
                  <w:r>
                    <w:rPr>
                      <w:b/>
                      <w:kern w:val="0"/>
                      <w:sz w:val="21"/>
                      <w:szCs w:val="21"/>
                      <w:vertAlign w:val="subscript"/>
                    </w:rPr>
                    <w:t>5</w:t>
                  </w:r>
                </w:p>
                <w:p w14:paraId="3AF61E12">
                  <w:pPr>
                    <w:widowControl/>
                    <w:adjustRightInd w:val="0"/>
                    <w:jc w:val="center"/>
                    <w:rPr>
                      <w:b/>
                      <w:kern w:val="0"/>
                      <w:sz w:val="21"/>
                      <w:szCs w:val="21"/>
                    </w:rPr>
                  </w:pPr>
                  <w:r>
                    <w:rPr>
                      <w:rFonts w:hint="eastAsia"/>
                      <w:b/>
                      <w:color w:val="000000"/>
                      <w:sz w:val="21"/>
                      <w:szCs w:val="21"/>
                    </w:rPr>
                    <w:t>（</w:t>
                  </w:r>
                  <w:r>
                    <w:rPr>
                      <w:b/>
                      <w:bCs/>
                      <w:color w:val="000000"/>
                      <w:sz w:val="21"/>
                      <w:szCs w:val="21"/>
                    </w:rPr>
                    <w:t>mg/L</w:t>
                  </w:r>
                  <w:r>
                    <w:rPr>
                      <w:rFonts w:hint="eastAsia"/>
                      <w:b/>
                      <w:color w:val="000000"/>
                      <w:sz w:val="21"/>
                      <w:szCs w:val="21"/>
                    </w:rPr>
                    <w:t>）</w:t>
                  </w:r>
                </w:p>
              </w:tc>
              <w:tc>
                <w:tcPr>
                  <w:tcW w:w="566" w:type="pct"/>
                  <w:tcBorders>
                    <w:tl2br w:val="nil"/>
                    <w:tr2bl w:val="nil"/>
                  </w:tcBorders>
                  <w:noWrap w:val="0"/>
                  <w:vAlign w:val="center"/>
                </w:tcPr>
                <w:p w14:paraId="16372073">
                  <w:pPr>
                    <w:widowControl/>
                    <w:adjustRightInd w:val="0"/>
                    <w:jc w:val="center"/>
                    <w:rPr>
                      <w:b/>
                      <w:kern w:val="0"/>
                      <w:sz w:val="21"/>
                      <w:szCs w:val="21"/>
                    </w:rPr>
                  </w:pPr>
                  <w:r>
                    <w:rPr>
                      <w:b/>
                      <w:kern w:val="0"/>
                      <w:sz w:val="21"/>
                      <w:szCs w:val="21"/>
                    </w:rPr>
                    <w:t>氨氮</w:t>
                  </w:r>
                  <w:r>
                    <w:rPr>
                      <w:rFonts w:hint="eastAsia"/>
                      <w:b/>
                      <w:color w:val="000000"/>
                      <w:sz w:val="21"/>
                      <w:szCs w:val="21"/>
                    </w:rPr>
                    <w:t>（</w:t>
                  </w:r>
                  <w:r>
                    <w:rPr>
                      <w:b/>
                      <w:bCs/>
                      <w:color w:val="000000"/>
                      <w:sz w:val="21"/>
                      <w:szCs w:val="21"/>
                    </w:rPr>
                    <w:t>mg/L</w:t>
                  </w:r>
                  <w:r>
                    <w:rPr>
                      <w:rFonts w:hint="eastAsia"/>
                      <w:b/>
                      <w:color w:val="000000"/>
                      <w:sz w:val="21"/>
                      <w:szCs w:val="21"/>
                    </w:rPr>
                    <w:t>）</w:t>
                  </w:r>
                </w:p>
              </w:tc>
              <w:tc>
                <w:tcPr>
                  <w:tcW w:w="555" w:type="pct"/>
                  <w:tcBorders>
                    <w:tl2br w:val="nil"/>
                    <w:tr2bl w:val="nil"/>
                  </w:tcBorders>
                  <w:noWrap w:val="0"/>
                  <w:vAlign w:val="center"/>
                </w:tcPr>
                <w:p w14:paraId="7AA8D3AA">
                  <w:pPr>
                    <w:widowControl/>
                    <w:adjustRightInd w:val="0"/>
                    <w:jc w:val="center"/>
                    <w:rPr>
                      <w:b/>
                      <w:kern w:val="0"/>
                      <w:sz w:val="21"/>
                      <w:szCs w:val="21"/>
                    </w:rPr>
                  </w:pPr>
                  <w:r>
                    <w:rPr>
                      <w:rFonts w:hint="eastAsia"/>
                      <w:b/>
                      <w:kern w:val="0"/>
                      <w:sz w:val="21"/>
                      <w:szCs w:val="21"/>
                    </w:rPr>
                    <w:t>溶解氧</w:t>
                  </w:r>
                  <w:r>
                    <w:rPr>
                      <w:rFonts w:hint="eastAsia"/>
                      <w:b/>
                      <w:color w:val="000000"/>
                      <w:sz w:val="21"/>
                      <w:szCs w:val="21"/>
                    </w:rPr>
                    <w:t>（</w:t>
                  </w:r>
                  <w:r>
                    <w:rPr>
                      <w:b/>
                      <w:bCs/>
                      <w:color w:val="000000"/>
                      <w:sz w:val="21"/>
                      <w:szCs w:val="21"/>
                    </w:rPr>
                    <w:t>mg/L</w:t>
                  </w:r>
                  <w:r>
                    <w:rPr>
                      <w:rFonts w:hint="eastAsia"/>
                      <w:b/>
                      <w:color w:val="000000"/>
                      <w:sz w:val="21"/>
                      <w:szCs w:val="21"/>
                    </w:rPr>
                    <w:t>）</w:t>
                  </w:r>
                </w:p>
              </w:tc>
              <w:tc>
                <w:tcPr>
                  <w:tcW w:w="545" w:type="pct"/>
                  <w:tcBorders>
                    <w:tl2br w:val="nil"/>
                    <w:tr2bl w:val="nil"/>
                  </w:tcBorders>
                  <w:noWrap w:val="0"/>
                  <w:vAlign w:val="center"/>
                </w:tcPr>
                <w:p w14:paraId="07EF999F">
                  <w:pPr>
                    <w:widowControl/>
                    <w:adjustRightInd w:val="0"/>
                    <w:jc w:val="center"/>
                    <w:rPr>
                      <w:b/>
                      <w:kern w:val="0"/>
                      <w:sz w:val="21"/>
                      <w:szCs w:val="21"/>
                      <w:highlight w:val="yellow"/>
                    </w:rPr>
                  </w:pPr>
                  <w:r>
                    <w:rPr>
                      <w:b/>
                      <w:color w:val="000000"/>
                      <w:sz w:val="21"/>
                      <w:szCs w:val="21"/>
                    </w:rPr>
                    <w:t>浊度/</w:t>
                  </w:r>
                  <w:r>
                    <w:rPr>
                      <w:rFonts w:hint="eastAsia"/>
                      <w:b/>
                      <w:color w:val="000000"/>
                      <w:sz w:val="21"/>
                      <w:szCs w:val="21"/>
                    </w:rPr>
                    <w:t>（</w:t>
                  </w:r>
                  <w:r>
                    <w:rPr>
                      <w:b/>
                      <w:color w:val="000000"/>
                      <w:sz w:val="21"/>
                      <w:szCs w:val="21"/>
                    </w:rPr>
                    <w:t>NTU</w:t>
                  </w:r>
                  <w:r>
                    <w:rPr>
                      <w:rFonts w:hint="eastAsia"/>
                      <w:b/>
                      <w:color w:val="000000"/>
                      <w:sz w:val="21"/>
                      <w:szCs w:val="21"/>
                    </w:rPr>
                    <w:t>）</w:t>
                  </w:r>
                </w:p>
              </w:tc>
              <w:tc>
                <w:tcPr>
                  <w:tcW w:w="566" w:type="pct"/>
                  <w:tcBorders>
                    <w:tl2br w:val="nil"/>
                    <w:tr2bl w:val="nil"/>
                  </w:tcBorders>
                  <w:noWrap w:val="0"/>
                  <w:vAlign w:val="center"/>
                </w:tcPr>
                <w:p w14:paraId="64EEA093">
                  <w:pPr>
                    <w:widowControl/>
                    <w:adjustRightInd w:val="0"/>
                    <w:jc w:val="center"/>
                    <w:rPr>
                      <w:b/>
                      <w:kern w:val="0"/>
                      <w:sz w:val="21"/>
                      <w:szCs w:val="21"/>
                      <w:highlight w:val="yellow"/>
                    </w:rPr>
                  </w:pPr>
                  <w:r>
                    <w:rPr>
                      <w:b/>
                      <w:color w:val="000000"/>
                      <w:sz w:val="21"/>
                      <w:szCs w:val="21"/>
                    </w:rPr>
                    <w:t>阴离子</w:t>
                  </w:r>
                  <w:r>
                    <w:rPr>
                      <w:rFonts w:hint="eastAsia"/>
                      <w:b/>
                      <w:color w:val="000000"/>
                      <w:sz w:val="21"/>
                      <w:szCs w:val="21"/>
                    </w:rPr>
                    <w:t>表面活性剂（</w:t>
                  </w:r>
                  <w:r>
                    <w:rPr>
                      <w:b/>
                      <w:bCs/>
                      <w:color w:val="000000"/>
                      <w:sz w:val="21"/>
                      <w:szCs w:val="21"/>
                    </w:rPr>
                    <w:t>mg/L</w:t>
                  </w:r>
                  <w:r>
                    <w:rPr>
                      <w:rFonts w:hint="eastAsia"/>
                      <w:b/>
                      <w:color w:val="000000"/>
                      <w:sz w:val="21"/>
                      <w:szCs w:val="21"/>
                    </w:rPr>
                    <w:t>）</w:t>
                  </w:r>
                </w:p>
              </w:tc>
              <w:tc>
                <w:tcPr>
                  <w:tcW w:w="570" w:type="pct"/>
                  <w:tcBorders>
                    <w:tl2br w:val="nil"/>
                    <w:tr2bl w:val="nil"/>
                  </w:tcBorders>
                  <w:noWrap w:val="0"/>
                  <w:vAlign w:val="center"/>
                </w:tcPr>
                <w:p w14:paraId="5F868201">
                  <w:pPr>
                    <w:widowControl/>
                    <w:adjustRightInd w:val="0"/>
                    <w:jc w:val="center"/>
                    <w:rPr>
                      <w:b/>
                      <w:color w:val="000000"/>
                      <w:sz w:val="21"/>
                      <w:szCs w:val="21"/>
                    </w:rPr>
                  </w:pPr>
                  <w:r>
                    <w:rPr>
                      <w:rFonts w:hint="eastAsia"/>
                      <w:b/>
                      <w:kern w:val="0"/>
                      <w:sz w:val="21"/>
                      <w:szCs w:val="21"/>
                    </w:rPr>
                    <w:t>溶解性总固体</w:t>
                  </w:r>
                </w:p>
                <w:p w14:paraId="0B3CB730">
                  <w:pPr>
                    <w:widowControl/>
                    <w:adjustRightInd w:val="0"/>
                    <w:jc w:val="center"/>
                    <w:rPr>
                      <w:b/>
                      <w:kern w:val="0"/>
                      <w:sz w:val="21"/>
                      <w:szCs w:val="21"/>
                      <w:highlight w:val="yellow"/>
                    </w:rPr>
                  </w:pPr>
                  <w:r>
                    <w:rPr>
                      <w:b/>
                      <w:color w:val="000000"/>
                      <w:sz w:val="21"/>
                      <w:szCs w:val="21"/>
                    </w:rPr>
                    <w:t>（</w:t>
                  </w:r>
                  <w:r>
                    <w:rPr>
                      <w:b/>
                      <w:bCs/>
                      <w:color w:val="000000"/>
                      <w:sz w:val="21"/>
                      <w:szCs w:val="21"/>
                    </w:rPr>
                    <w:t>mg/L</w:t>
                  </w:r>
                  <w:r>
                    <w:rPr>
                      <w:b/>
                      <w:color w:val="000000"/>
                      <w:sz w:val="21"/>
                      <w:szCs w:val="21"/>
                    </w:rPr>
                    <w:t>）</w:t>
                  </w:r>
                </w:p>
              </w:tc>
            </w:tr>
            <w:tr w14:paraId="42C1A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74" w:hRule="atLeast"/>
                <w:jc w:val="center"/>
              </w:trPr>
              <w:tc>
                <w:tcPr>
                  <w:tcW w:w="1293" w:type="pct"/>
                  <w:tcBorders>
                    <w:tl2br w:val="nil"/>
                    <w:tr2bl w:val="nil"/>
                  </w:tcBorders>
                  <w:noWrap w:val="0"/>
                  <w:vAlign w:val="center"/>
                </w:tcPr>
                <w:p w14:paraId="3EC0B990">
                  <w:pPr>
                    <w:adjustRightInd w:val="0"/>
                    <w:jc w:val="center"/>
                    <w:rPr>
                      <w:sz w:val="21"/>
                      <w:szCs w:val="21"/>
                    </w:rPr>
                  </w:pPr>
                  <w:r>
                    <w:rPr>
                      <w:rFonts w:hint="eastAsia"/>
                      <w:sz w:val="21"/>
                      <w:szCs w:val="21"/>
                    </w:rPr>
                    <w:t>《</w:t>
                  </w:r>
                  <w:r>
                    <w:rPr>
                      <w:sz w:val="21"/>
                      <w:szCs w:val="21"/>
                    </w:rPr>
                    <w:t>城市污水再生利用</w:t>
                  </w:r>
                  <w:r>
                    <w:rPr>
                      <w:rFonts w:hint="eastAsia"/>
                      <w:sz w:val="21"/>
                      <w:szCs w:val="21"/>
                    </w:rPr>
                    <w:t xml:space="preserve"> </w:t>
                  </w:r>
                  <w:r>
                    <w:rPr>
                      <w:sz w:val="21"/>
                      <w:szCs w:val="21"/>
                    </w:rPr>
                    <w:t>城市杂用水水质</w:t>
                  </w:r>
                  <w:r>
                    <w:rPr>
                      <w:rFonts w:hint="eastAsia"/>
                      <w:sz w:val="21"/>
                      <w:szCs w:val="21"/>
                    </w:rPr>
                    <w:t>》(</w:t>
                  </w:r>
                  <w:r>
                    <w:rPr>
                      <w:sz w:val="21"/>
                      <w:szCs w:val="21"/>
                    </w:rPr>
                    <w:t>GB/T 18920-2020</w:t>
                  </w:r>
                  <w:r>
                    <w:rPr>
                      <w:rFonts w:hint="eastAsia"/>
                      <w:sz w:val="21"/>
                      <w:szCs w:val="21"/>
                    </w:rPr>
                    <w:t>)绿化</w:t>
                  </w:r>
                </w:p>
              </w:tc>
              <w:tc>
                <w:tcPr>
                  <w:tcW w:w="336" w:type="pct"/>
                  <w:tcBorders>
                    <w:tl2br w:val="nil"/>
                    <w:tr2bl w:val="nil"/>
                  </w:tcBorders>
                  <w:noWrap w:val="0"/>
                  <w:vAlign w:val="center"/>
                </w:tcPr>
                <w:p w14:paraId="75DA28C7">
                  <w:pPr>
                    <w:widowControl/>
                    <w:adjustRightInd w:val="0"/>
                    <w:jc w:val="center"/>
                    <w:rPr>
                      <w:kern w:val="0"/>
                      <w:sz w:val="21"/>
                      <w:szCs w:val="21"/>
                    </w:rPr>
                  </w:pPr>
                  <w:r>
                    <w:rPr>
                      <w:kern w:val="0"/>
                      <w:sz w:val="21"/>
                      <w:szCs w:val="21"/>
                    </w:rPr>
                    <w:t>6～9</w:t>
                  </w:r>
                </w:p>
              </w:tc>
              <w:tc>
                <w:tcPr>
                  <w:tcW w:w="566" w:type="pct"/>
                  <w:tcBorders>
                    <w:tl2br w:val="nil"/>
                    <w:tr2bl w:val="nil"/>
                  </w:tcBorders>
                  <w:noWrap w:val="0"/>
                  <w:vAlign w:val="center"/>
                </w:tcPr>
                <w:p w14:paraId="7EACF630">
                  <w:pPr>
                    <w:widowControl/>
                    <w:adjustRightInd w:val="0"/>
                    <w:jc w:val="center"/>
                    <w:rPr>
                      <w:kern w:val="0"/>
                      <w:sz w:val="21"/>
                      <w:szCs w:val="21"/>
                    </w:rPr>
                  </w:pPr>
                  <w:r>
                    <w:rPr>
                      <w:kern w:val="0"/>
                      <w:sz w:val="21"/>
                      <w:szCs w:val="21"/>
                    </w:rPr>
                    <w:t>10</w:t>
                  </w:r>
                </w:p>
              </w:tc>
              <w:tc>
                <w:tcPr>
                  <w:tcW w:w="566" w:type="pct"/>
                  <w:tcBorders>
                    <w:tl2br w:val="nil"/>
                    <w:tr2bl w:val="nil"/>
                  </w:tcBorders>
                  <w:noWrap w:val="0"/>
                  <w:vAlign w:val="center"/>
                </w:tcPr>
                <w:p w14:paraId="722BA818">
                  <w:pPr>
                    <w:widowControl/>
                    <w:adjustRightInd w:val="0"/>
                    <w:jc w:val="center"/>
                    <w:rPr>
                      <w:kern w:val="0"/>
                      <w:sz w:val="21"/>
                      <w:szCs w:val="21"/>
                    </w:rPr>
                  </w:pPr>
                  <w:r>
                    <w:rPr>
                      <w:kern w:val="0"/>
                      <w:sz w:val="21"/>
                      <w:szCs w:val="21"/>
                    </w:rPr>
                    <w:t>8</w:t>
                  </w:r>
                </w:p>
              </w:tc>
              <w:tc>
                <w:tcPr>
                  <w:tcW w:w="555" w:type="pct"/>
                  <w:tcBorders>
                    <w:tl2br w:val="nil"/>
                    <w:tr2bl w:val="nil"/>
                  </w:tcBorders>
                  <w:noWrap w:val="0"/>
                  <w:vAlign w:val="center"/>
                </w:tcPr>
                <w:p w14:paraId="5BF895CE">
                  <w:pPr>
                    <w:widowControl/>
                    <w:adjustRightInd w:val="0"/>
                    <w:jc w:val="center"/>
                    <w:rPr>
                      <w:kern w:val="0"/>
                      <w:sz w:val="21"/>
                      <w:szCs w:val="21"/>
                    </w:rPr>
                  </w:pPr>
                  <w:r>
                    <w:rPr>
                      <w:kern w:val="0"/>
                      <w:sz w:val="21"/>
                      <w:szCs w:val="21"/>
                    </w:rPr>
                    <w:t>2</w:t>
                  </w:r>
                  <w:r>
                    <w:rPr>
                      <w:rFonts w:hint="eastAsia"/>
                      <w:kern w:val="0"/>
                      <w:sz w:val="21"/>
                      <w:szCs w:val="21"/>
                    </w:rPr>
                    <w:t>.0</w:t>
                  </w:r>
                </w:p>
              </w:tc>
              <w:tc>
                <w:tcPr>
                  <w:tcW w:w="545" w:type="pct"/>
                  <w:tcBorders>
                    <w:tl2br w:val="nil"/>
                    <w:tr2bl w:val="nil"/>
                  </w:tcBorders>
                  <w:noWrap w:val="0"/>
                  <w:vAlign w:val="center"/>
                </w:tcPr>
                <w:p w14:paraId="1F942EA9">
                  <w:pPr>
                    <w:widowControl/>
                    <w:adjustRightInd w:val="0"/>
                    <w:jc w:val="center"/>
                    <w:rPr>
                      <w:kern w:val="0"/>
                      <w:sz w:val="21"/>
                      <w:szCs w:val="21"/>
                    </w:rPr>
                  </w:pPr>
                  <w:r>
                    <w:rPr>
                      <w:rFonts w:hint="eastAsia"/>
                      <w:kern w:val="0"/>
                      <w:sz w:val="21"/>
                      <w:szCs w:val="21"/>
                    </w:rPr>
                    <w:t>10</w:t>
                  </w:r>
                </w:p>
              </w:tc>
              <w:tc>
                <w:tcPr>
                  <w:tcW w:w="566" w:type="pct"/>
                  <w:tcBorders>
                    <w:tl2br w:val="nil"/>
                    <w:tr2bl w:val="nil"/>
                  </w:tcBorders>
                  <w:noWrap w:val="0"/>
                  <w:vAlign w:val="center"/>
                </w:tcPr>
                <w:p w14:paraId="6AB2D086">
                  <w:pPr>
                    <w:widowControl/>
                    <w:adjustRightInd w:val="0"/>
                    <w:jc w:val="center"/>
                    <w:rPr>
                      <w:kern w:val="0"/>
                      <w:sz w:val="21"/>
                      <w:szCs w:val="21"/>
                    </w:rPr>
                  </w:pPr>
                  <w:r>
                    <w:rPr>
                      <w:rFonts w:hint="eastAsia"/>
                      <w:kern w:val="0"/>
                      <w:sz w:val="21"/>
                      <w:szCs w:val="21"/>
                    </w:rPr>
                    <w:t>0.5</w:t>
                  </w:r>
                </w:p>
              </w:tc>
              <w:tc>
                <w:tcPr>
                  <w:tcW w:w="570" w:type="pct"/>
                  <w:tcBorders>
                    <w:tl2br w:val="nil"/>
                    <w:tr2bl w:val="nil"/>
                  </w:tcBorders>
                  <w:noWrap w:val="0"/>
                  <w:vAlign w:val="center"/>
                </w:tcPr>
                <w:p w14:paraId="648E7157">
                  <w:pPr>
                    <w:widowControl/>
                    <w:adjustRightInd w:val="0"/>
                    <w:jc w:val="center"/>
                    <w:rPr>
                      <w:kern w:val="0"/>
                      <w:sz w:val="21"/>
                      <w:szCs w:val="21"/>
                    </w:rPr>
                  </w:pPr>
                  <w:r>
                    <w:rPr>
                      <w:rFonts w:hint="eastAsia"/>
                      <w:kern w:val="0"/>
                      <w:sz w:val="21"/>
                      <w:szCs w:val="21"/>
                    </w:rPr>
                    <w:t>1000</w:t>
                  </w:r>
                </w:p>
              </w:tc>
            </w:tr>
          </w:tbl>
          <w:p w14:paraId="59815E1B">
            <w:pPr>
              <w:jc w:val="center"/>
              <w:rPr>
                <w:b/>
                <w:bCs/>
                <w:color w:val="0070C0"/>
                <w:szCs w:val="21"/>
              </w:rPr>
            </w:pPr>
            <w:r>
              <w:rPr>
                <w:rFonts w:hint="eastAsia"/>
                <w:b/>
                <w:bCs/>
                <w:color w:val="0070C0"/>
                <w:szCs w:val="21"/>
              </w:rPr>
              <w:t xml:space="preserve">           </w:t>
            </w:r>
          </w:p>
          <w:p w14:paraId="53042A11">
            <w:pPr>
              <w:spacing w:line="300" w:lineRule="auto"/>
              <w:ind w:firstLine="480" w:firstLineChars="200"/>
              <w:rPr>
                <w:color w:val="auto"/>
                <w:kern w:val="0"/>
                <w:sz w:val="24"/>
              </w:rPr>
            </w:pPr>
            <w:r>
              <w:rPr>
                <w:color w:val="auto"/>
                <w:kern w:val="0"/>
                <w:sz w:val="24"/>
              </w:rPr>
              <w:t>(3) 噪声</w:t>
            </w:r>
          </w:p>
          <w:p w14:paraId="61CEBC78">
            <w:pPr>
              <w:spacing w:line="300" w:lineRule="auto"/>
              <w:ind w:firstLine="480" w:firstLineChars="200"/>
              <w:rPr>
                <w:color w:val="auto"/>
                <w:kern w:val="0"/>
                <w:sz w:val="24"/>
              </w:rPr>
            </w:pPr>
            <w:r>
              <w:rPr>
                <w:color w:val="auto"/>
                <w:kern w:val="0"/>
                <w:sz w:val="24"/>
              </w:rPr>
              <w:t>施工噪声影响评价执行《建筑施工噪声排放标准》(GB12523-20</w:t>
            </w:r>
            <w:r>
              <w:rPr>
                <w:rFonts w:hint="eastAsia"/>
                <w:color w:val="auto"/>
                <w:kern w:val="0"/>
                <w:sz w:val="24"/>
                <w:lang w:val="en-US" w:eastAsia="zh-CN"/>
              </w:rPr>
              <w:t>25</w:t>
            </w:r>
            <w:r>
              <w:rPr>
                <w:color w:val="auto"/>
                <w:kern w:val="0"/>
                <w:sz w:val="24"/>
              </w:rPr>
              <w:t>)，具体见表</w:t>
            </w:r>
            <w:r>
              <w:rPr>
                <w:rFonts w:hint="eastAsia"/>
                <w:color w:val="auto"/>
                <w:kern w:val="0"/>
                <w:sz w:val="24"/>
              </w:rPr>
              <w:t>3-</w:t>
            </w:r>
            <w:r>
              <w:rPr>
                <w:rFonts w:hint="eastAsia"/>
                <w:color w:val="auto"/>
                <w:kern w:val="0"/>
                <w:sz w:val="24"/>
                <w:lang w:val="en-US" w:eastAsia="zh-CN"/>
              </w:rPr>
              <w:t>23</w:t>
            </w:r>
            <w:r>
              <w:rPr>
                <w:color w:val="auto"/>
                <w:kern w:val="0"/>
                <w:sz w:val="24"/>
              </w:rPr>
              <w:t>。</w:t>
            </w:r>
          </w:p>
          <w:p w14:paraId="36ECD030">
            <w:pPr>
              <w:spacing w:before="120" w:beforeLines="50"/>
              <w:jc w:val="center"/>
              <w:rPr>
                <w:rFonts w:hint="eastAsia"/>
                <w:b/>
                <w:color w:val="auto"/>
                <w:lang w:val="en-US" w:eastAsia="zh-CN"/>
              </w:rPr>
            </w:pPr>
            <w:r>
              <w:rPr>
                <w:b/>
                <w:color w:val="auto"/>
              </w:rPr>
              <w:t xml:space="preserve">               </w:t>
            </w:r>
            <w:r>
              <w:rPr>
                <w:rFonts w:hint="eastAsia"/>
                <w:b/>
                <w:color w:val="auto"/>
              </w:rPr>
              <w:t xml:space="preserve"> </w:t>
            </w:r>
            <w:r>
              <w:rPr>
                <w:b/>
                <w:color w:val="auto"/>
              </w:rPr>
              <w:t xml:space="preserve">    </w:t>
            </w:r>
            <w:r>
              <w:rPr>
                <w:rFonts w:hint="eastAsia"/>
                <w:b/>
                <w:color w:val="auto"/>
                <w:lang w:val="en-US" w:eastAsia="zh-CN"/>
              </w:rPr>
              <w:t xml:space="preserve"> </w:t>
            </w:r>
          </w:p>
          <w:p w14:paraId="3B34582B">
            <w:pPr>
              <w:spacing w:before="120" w:beforeLines="50"/>
              <w:jc w:val="center"/>
              <w:rPr>
                <w:rFonts w:hint="eastAsia" w:eastAsia="宋体"/>
                <w:b/>
                <w:color w:val="auto"/>
                <w:lang w:val="en-US" w:eastAsia="zh-CN"/>
              </w:rPr>
            </w:pPr>
            <w:r>
              <w:rPr>
                <w:rFonts w:hint="eastAsia"/>
                <w:b/>
                <w:color w:val="auto"/>
                <w:lang w:val="en-US" w:eastAsia="zh-CN"/>
              </w:rPr>
              <w:t xml:space="preserve">  </w:t>
            </w:r>
            <w:r>
              <w:rPr>
                <w:b/>
                <w:color w:val="auto"/>
              </w:rPr>
              <w:t>表</w:t>
            </w:r>
            <w:r>
              <w:rPr>
                <w:rFonts w:hint="eastAsia"/>
                <w:b/>
                <w:color w:val="auto"/>
              </w:rPr>
              <w:t>3</w:t>
            </w:r>
            <w:r>
              <w:rPr>
                <w:b/>
                <w:color w:val="auto"/>
              </w:rPr>
              <w:t>-</w:t>
            </w:r>
            <w:r>
              <w:rPr>
                <w:rFonts w:hint="eastAsia"/>
                <w:b/>
                <w:color w:val="auto"/>
                <w:lang w:val="en-US" w:eastAsia="zh-CN"/>
              </w:rPr>
              <w:t>23</w:t>
            </w:r>
            <w:r>
              <w:rPr>
                <w:b/>
                <w:color w:val="auto"/>
              </w:rPr>
              <w:t xml:space="preserve">  </w:t>
            </w:r>
            <w:r>
              <w:rPr>
                <w:rFonts w:hint="eastAsia"/>
                <w:b/>
                <w:color w:val="auto"/>
                <w:lang w:val="en-US" w:eastAsia="zh-CN"/>
              </w:rPr>
              <w:t>建筑施工</w:t>
            </w:r>
            <w:r>
              <w:rPr>
                <w:b/>
                <w:color w:val="auto"/>
              </w:rPr>
              <w:t>噪声排放标准</w:t>
            </w:r>
            <w:r>
              <w:rPr>
                <w:rFonts w:hint="eastAsia"/>
                <w:b/>
                <w:color w:val="auto"/>
                <w:lang w:eastAsia="zh-CN"/>
              </w:rPr>
              <w:t>（</w:t>
            </w:r>
            <w:r>
              <w:rPr>
                <w:rFonts w:hint="eastAsia"/>
                <w:b/>
                <w:color w:val="auto"/>
                <w:lang w:val="en-US" w:eastAsia="zh-CN"/>
              </w:rPr>
              <w:t>摘录</w:t>
            </w:r>
            <w:r>
              <w:rPr>
                <w:rFonts w:hint="eastAsia"/>
                <w:b/>
                <w:color w:val="auto"/>
                <w:lang w:eastAsia="zh-CN"/>
              </w:rPr>
              <w:t>）</w:t>
            </w:r>
            <w:r>
              <w:rPr>
                <w:b/>
                <w:color w:val="auto"/>
              </w:rPr>
              <w:t xml:space="preserve"> </w:t>
            </w:r>
            <w:r>
              <w:rPr>
                <w:rFonts w:hint="eastAsia"/>
                <w:b/>
                <w:color w:val="auto"/>
                <w:lang w:val="en-US" w:eastAsia="zh-CN"/>
              </w:rPr>
              <w:t xml:space="preserve">     </w:t>
            </w:r>
            <w:r>
              <w:rPr>
                <w:b/>
                <w:color w:val="auto"/>
              </w:rPr>
              <w:t xml:space="preserve"> </w:t>
            </w:r>
            <w:r>
              <w:rPr>
                <w:rFonts w:hint="eastAsia"/>
                <w:b/>
                <w:color w:val="auto"/>
              </w:rPr>
              <w:t xml:space="preserve">  </w:t>
            </w:r>
            <w:r>
              <w:rPr>
                <w:b/>
                <w:bCs/>
                <w:color w:val="auto"/>
              </w:rPr>
              <w:t>单位：dB</w:t>
            </w:r>
            <w:r>
              <w:rPr>
                <w:rFonts w:hint="eastAsia"/>
                <w:b/>
                <w:color w:val="auto"/>
                <w:lang w:val="en-US" w:eastAsia="zh-CN"/>
              </w:rPr>
              <w:t>(</w:t>
            </w:r>
            <w:r>
              <w:rPr>
                <w:b/>
                <w:color w:val="auto"/>
              </w:rPr>
              <w:t>A</w:t>
            </w:r>
            <w:r>
              <w:rPr>
                <w:rFonts w:hint="eastAsia"/>
                <w:b/>
                <w:color w:val="auto"/>
                <w:lang w:val="en-US" w:eastAsia="zh-CN"/>
              </w:rPr>
              <w:t>)</w:t>
            </w:r>
          </w:p>
          <w:tbl>
            <w:tblPr>
              <w:tblStyle w:val="22"/>
              <w:tblW w:w="84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84"/>
              <w:gridCol w:w="4130"/>
            </w:tblGrid>
            <w:tr w14:paraId="18D5C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blHeader/>
                <w:jc w:val="center"/>
              </w:trPr>
              <w:tc>
                <w:tcPr>
                  <w:tcW w:w="2545" w:type="pct"/>
                  <w:vAlign w:val="center"/>
                </w:tcPr>
                <w:p w14:paraId="62272B08">
                  <w:pPr>
                    <w:jc w:val="center"/>
                    <w:rPr>
                      <w:b/>
                      <w:color w:val="auto"/>
                    </w:rPr>
                  </w:pPr>
                  <w:r>
                    <w:rPr>
                      <w:b/>
                      <w:color w:val="auto"/>
                    </w:rPr>
                    <w:t>昼  间</w:t>
                  </w:r>
                </w:p>
              </w:tc>
              <w:tc>
                <w:tcPr>
                  <w:tcW w:w="2454" w:type="pct"/>
                  <w:vAlign w:val="center"/>
                </w:tcPr>
                <w:p w14:paraId="13AAC1B4">
                  <w:pPr>
                    <w:jc w:val="center"/>
                    <w:rPr>
                      <w:b/>
                      <w:color w:val="auto"/>
                    </w:rPr>
                  </w:pPr>
                  <w:r>
                    <w:rPr>
                      <w:b/>
                      <w:color w:val="auto"/>
                    </w:rPr>
                    <w:t>夜  间</w:t>
                  </w:r>
                </w:p>
              </w:tc>
            </w:tr>
            <w:tr w14:paraId="2F3AD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545" w:type="pct"/>
                  <w:vAlign w:val="center"/>
                </w:tcPr>
                <w:p w14:paraId="5CB99ACD">
                  <w:pPr>
                    <w:jc w:val="center"/>
                    <w:rPr>
                      <w:color w:val="auto"/>
                      <w:szCs w:val="21"/>
                    </w:rPr>
                  </w:pPr>
                  <w:r>
                    <w:rPr>
                      <w:color w:val="auto"/>
                      <w:szCs w:val="21"/>
                    </w:rPr>
                    <w:t>70</w:t>
                  </w:r>
                </w:p>
              </w:tc>
              <w:tc>
                <w:tcPr>
                  <w:tcW w:w="2454" w:type="pct"/>
                  <w:vAlign w:val="center"/>
                </w:tcPr>
                <w:p w14:paraId="577499BD">
                  <w:pPr>
                    <w:jc w:val="center"/>
                    <w:rPr>
                      <w:color w:val="auto"/>
                      <w:szCs w:val="21"/>
                    </w:rPr>
                  </w:pPr>
                  <w:r>
                    <w:rPr>
                      <w:color w:val="auto"/>
                      <w:szCs w:val="21"/>
                    </w:rPr>
                    <w:t>55</w:t>
                  </w:r>
                </w:p>
              </w:tc>
            </w:tr>
          </w:tbl>
          <w:p w14:paraId="0059CC6C">
            <w:pPr>
              <w:rPr>
                <w:rFonts w:eastAsiaTheme="minorEastAsia"/>
                <w:color w:val="0070C0"/>
              </w:rPr>
            </w:pPr>
            <w:r>
              <w:rPr>
                <w:rFonts w:eastAsiaTheme="minorEastAsia"/>
                <w:color w:val="auto"/>
              </w:rPr>
              <w:t>注：夜间噪声最大声级超过限值的幅度不得高于15dB。</w:t>
            </w:r>
          </w:p>
          <w:p w14:paraId="1003EB28">
            <w:pPr>
              <w:autoSpaceDE w:val="0"/>
              <w:autoSpaceDN w:val="0"/>
              <w:adjustRightInd w:val="0"/>
              <w:spacing w:before="240" w:beforeLines="100" w:line="300" w:lineRule="auto"/>
              <w:ind w:firstLine="480" w:firstLineChars="200"/>
              <w:rPr>
                <w:kern w:val="0"/>
                <w:sz w:val="24"/>
              </w:rPr>
            </w:pPr>
            <w:r>
              <w:rPr>
                <w:kern w:val="0"/>
                <w:sz w:val="24"/>
              </w:rPr>
              <w:t>(4) 固体废物</w:t>
            </w:r>
          </w:p>
          <w:p w14:paraId="01611F8C">
            <w:pPr>
              <w:autoSpaceDE w:val="0"/>
              <w:autoSpaceDN w:val="0"/>
              <w:adjustRightInd w:val="0"/>
              <w:spacing w:line="300" w:lineRule="auto"/>
              <w:ind w:firstLine="480" w:firstLineChars="200"/>
              <w:rPr>
                <w:sz w:val="24"/>
              </w:rPr>
            </w:pPr>
            <w:r>
              <w:rPr>
                <w:sz w:val="24"/>
              </w:rPr>
              <w:t>一般工业固体废物处置执行《一般工业固体废物贮存和填埋污染控制标准》</w:t>
            </w:r>
          </w:p>
          <w:p w14:paraId="71D1788D">
            <w:pPr>
              <w:pStyle w:val="4"/>
              <w:shd w:val="clear" w:color="auto" w:fill="FFFFFF"/>
              <w:spacing w:before="0" w:after="0" w:line="300" w:lineRule="auto"/>
              <w:rPr>
                <w:rFonts w:hint="eastAsia"/>
                <w:b w:val="0"/>
                <w:bCs w:val="0"/>
                <w:sz w:val="24"/>
                <w:szCs w:val="24"/>
              </w:rPr>
            </w:pPr>
            <w:r>
              <w:rPr>
                <w:b w:val="0"/>
                <w:bCs w:val="0"/>
                <w:sz w:val="24"/>
                <w:szCs w:val="24"/>
              </w:rPr>
              <w:t>（GB18599-2020）。危险废物处置执行《危险废物贮存污染控制标准》（</w:t>
            </w:r>
            <w:r>
              <w:rPr>
                <w:rFonts w:hint="eastAsia"/>
                <w:b w:val="0"/>
                <w:bCs w:val="0"/>
                <w:sz w:val="24"/>
                <w:szCs w:val="24"/>
              </w:rPr>
              <w:t>GB18597-2023</w:t>
            </w:r>
            <w:r>
              <w:rPr>
                <w:b w:val="0"/>
                <w:bCs w:val="0"/>
                <w:sz w:val="24"/>
                <w:szCs w:val="24"/>
              </w:rPr>
              <w:t>）</w:t>
            </w:r>
            <w:r>
              <w:rPr>
                <w:rFonts w:hint="eastAsia"/>
                <w:b w:val="0"/>
                <w:bCs w:val="0"/>
                <w:sz w:val="24"/>
                <w:szCs w:val="24"/>
              </w:rPr>
              <w:t>。</w:t>
            </w:r>
          </w:p>
          <w:p w14:paraId="1F5F6B8C"/>
        </w:tc>
      </w:tr>
      <w:tr w14:paraId="1938E07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7" w:hRule="atLeast"/>
        </w:trPr>
        <w:tc>
          <w:tcPr>
            <w:tcW w:w="456" w:type="dxa"/>
            <w:vAlign w:val="center"/>
          </w:tcPr>
          <w:p w14:paraId="6814C401">
            <w:pPr>
              <w:adjustRightInd w:val="0"/>
              <w:snapToGrid w:val="0"/>
              <w:jc w:val="center"/>
              <w:rPr>
                <w:color w:val="0070C0"/>
                <w:kern w:val="0"/>
                <w:szCs w:val="21"/>
              </w:rPr>
            </w:pPr>
            <w:r>
              <w:rPr>
                <w:color w:val="auto"/>
                <w:kern w:val="0"/>
                <w:sz w:val="24"/>
                <w:szCs w:val="24"/>
              </w:rPr>
              <w:t>其他</w:t>
            </w:r>
          </w:p>
        </w:tc>
        <w:tc>
          <w:tcPr>
            <w:tcW w:w="8616" w:type="dxa"/>
            <w:vAlign w:val="center"/>
          </w:tcPr>
          <w:p w14:paraId="7FB055EB">
            <w:pPr>
              <w:autoSpaceDE w:val="0"/>
              <w:autoSpaceDN w:val="0"/>
              <w:adjustRightInd w:val="0"/>
              <w:spacing w:line="300" w:lineRule="auto"/>
              <w:ind w:firstLine="480" w:firstLineChars="200"/>
              <w:rPr>
                <w:kern w:val="0"/>
                <w:sz w:val="24"/>
              </w:rPr>
            </w:pPr>
            <w:r>
              <w:rPr>
                <w:kern w:val="0"/>
                <w:sz w:val="24"/>
              </w:rPr>
              <w:t>结合拟建公路的排污特征，具体情况如下：</w:t>
            </w:r>
          </w:p>
          <w:p w14:paraId="2ADD065E">
            <w:pPr>
              <w:autoSpaceDE w:val="0"/>
              <w:autoSpaceDN w:val="0"/>
              <w:adjustRightInd w:val="0"/>
              <w:spacing w:line="300" w:lineRule="auto"/>
              <w:ind w:firstLine="480" w:firstLineChars="200"/>
              <w:rPr>
                <w:kern w:val="0"/>
                <w:sz w:val="24"/>
              </w:rPr>
            </w:pPr>
            <w:r>
              <w:rPr>
                <w:kern w:val="0"/>
                <w:sz w:val="24"/>
              </w:rPr>
              <w:t>(1) 废水</w:t>
            </w:r>
          </w:p>
          <w:p w14:paraId="7C4A107F">
            <w:pPr>
              <w:autoSpaceDE w:val="0"/>
              <w:autoSpaceDN w:val="0"/>
              <w:adjustRightInd w:val="0"/>
              <w:spacing w:line="300" w:lineRule="auto"/>
              <w:ind w:firstLine="480" w:firstLineChars="200"/>
              <w:rPr>
                <w:kern w:val="0"/>
                <w:sz w:val="24"/>
              </w:rPr>
            </w:pPr>
            <w:r>
              <w:rPr>
                <w:rFonts w:hint="eastAsia"/>
                <w:kern w:val="0"/>
                <w:sz w:val="24"/>
              </w:rPr>
              <w:t>拟建公路</w:t>
            </w:r>
            <w:r>
              <w:rPr>
                <w:kern w:val="0"/>
                <w:sz w:val="24"/>
              </w:rPr>
              <w:t>废水全部回用不外排，无需设水污染总量控制指标。</w:t>
            </w:r>
          </w:p>
          <w:p w14:paraId="4067DBDC">
            <w:pPr>
              <w:autoSpaceDE w:val="0"/>
              <w:autoSpaceDN w:val="0"/>
              <w:adjustRightInd w:val="0"/>
              <w:spacing w:line="300" w:lineRule="auto"/>
              <w:ind w:firstLine="480" w:firstLineChars="200"/>
              <w:rPr>
                <w:kern w:val="0"/>
                <w:sz w:val="24"/>
              </w:rPr>
            </w:pPr>
            <w:r>
              <w:rPr>
                <w:kern w:val="0"/>
                <w:sz w:val="24"/>
              </w:rPr>
              <w:t>(2) 废气</w:t>
            </w:r>
          </w:p>
          <w:p w14:paraId="6B6A6D59">
            <w:pPr>
              <w:autoSpaceDE w:val="0"/>
              <w:autoSpaceDN w:val="0"/>
              <w:adjustRightInd w:val="0"/>
              <w:spacing w:line="300" w:lineRule="auto"/>
              <w:ind w:firstLine="480" w:firstLineChars="200"/>
              <w:rPr>
                <w:kern w:val="0"/>
                <w:sz w:val="24"/>
              </w:rPr>
            </w:pPr>
            <w:r>
              <w:rPr>
                <w:rFonts w:hint="eastAsia"/>
                <w:kern w:val="0"/>
                <w:sz w:val="24"/>
              </w:rPr>
              <w:t>拟建公路</w:t>
            </w:r>
            <w:r>
              <w:rPr>
                <w:kern w:val="0"/>
                <w:sz w:val="24"/>
              </w:rPr>
              <w:t>施工期主要大气污染物为施工场地产生的扬尘、施工机械和车辆排</w:t>
            </w:r>
          </w:p>
          <w:p w14:paraId="6CF1D4C8">
            <w:pPr>
              <w:autoSpaceDE w:val="0"/>
              <w:autoSpaceDN w:val="0"/>
              <w:adjustRightInd w:val="0"/>
              <w:spacing w:line="300" w:lineRule="auto"/>
              <w:rPr>
                <w:kern w:val="0"/>
                <w:sz w:val="24"/>
              </w:rPr>
            </w:pPr>
            <w:r>
              <w:rPr>
                <w:kern w:val="0"/>
                <w:sz w:val="24"/>
              </w:rPr>
              <w:t>放的尾气，运行期大气污染物为车辆行驶产生的少量扬尘和汽车尾气，无需设</w:t>
            </w:r>
          </w:p>
          <w:p w14:paraId="147CFAC3">
            <w:pPr>
              <w:autoSpaceDE w:val="0"/>
              <w:autoSpaceDN w:val="0"/>
              <w:adjustRightInd w:val="0"/>
              <w:spacing w:line="300" w:lineRule="auto"/>
              <w:rPr>
                <w:kern w:val="0"/>
                <w:sz w:val="24"/>
              </w:rPr>
            </w:pPr>
            <w:r>
              <w:rPr>
                <w:kern w:val="0"/>
                <w:sz w:val="24"/>
              </w:rPr>
              <w:t>置大气污染物总量控制指标。</w:t>
            </w:r>
          </w:p>
          <w:p w14:paraId="617FC25E">
            <w:pPr>
              <w:autoSpaceDE w:val="0"/>
              <w:autoSpaceDN w:val="0"/>
              <w:adjustRightInd w:val="0"/>
              <w:spacing w:line="300" w:lineRule="auto"/>
              <w:ind w:firstLine="480" w:firstLineChars="200"/>
              <w:rPr>
                <w:color w:val="0070C0"/>
                <w:kern w:val="0"/>
                <w:sz w:val="24"/>
              </w:rPr>
            </w:pPr>
            <w:r>
              <w:rPr>
                <w:kern w:val="0"/>
                <w:sz w:val="24"/>
              </w:rPr>
              <w:t>综上，拟建公路</w:t>
            </w:r>
            <w:r>
              <w:rPr>
                <w:rFonts w:hint="eastAsia"/>
                <w:kern w:val="0"/>
                <w:sz w:val="24"/>
                <w:lang w:eastAsia="zh-CN"/>
              </w:rPr>
              <w:t>无须设置</w:t>
            </w:r>
            <w:r>
              <w:rPr>
                <w:kern w:val="0"/>
                <w:sz w:val="24"/>
              </w:rPr>
              <w:t>总量控制指标。</w:t>
            </w:r>
          </w:p>
          <w:p w14:paraId="2B0B95D4">
            <w:pPr>
              <w:autoSpaceDE w:val="0"/>
              <w:autoSpaceDN w:val="0"/>
              <w:adjustRightInd w:val="0"/>
              <w:spacing w:line="300" w:lineRule="auto"/>
              <w:ind w:firstLine="480" w:firstLineChars="200"/>
              <w:rPr>
                <w:color w:val="0070C0"/>
                <w:kern w:val="0"/>
                <w:sz w:val="24"/>
              </w:rPr>
            </w:pPr>
          </w:p>
          <w:p w14:paraId="393AC1A9">
            <w:pPr>
              <w:autoSpaceDE w:val="0"/>
              <w:autoSpaceDN w:val="0"/>
              <w:adjustRightInd w:val="0"/>
              <w:spacing w:line="300" w:lineRule="auto"/>
              <w:rPr>
                <w:color w:val="0070C0"/>
                <w:kern w:val="0"/>
                <w:sz w:val="24"/>
              </w:rPr>
            </w:pPr>
          </w:p>
          <w:p w14:paraId="48DCD87A">
            <w:pPr>
              <w:autoSpaceDE w:val="0"/>
              <w:autoSpaceDN w:val="0"/>
              <w:adjustRightInd w:val="0"/>
              <w:spacing w:line="300" w:lineRule="auto"/>
              <w:ind w:firstLine="480" w:firstLineChars="200"/>
              <w:rPr>
                <w:color w:val="0070C0"/>
                <w:kern w:val="0"/>
                <w:sz w:val="24"/>
              </w:rPr>
            </w:pPr>
          </w:p>
          <w:p w14:paraId="5F7B3B3A">
            <w:pPr>
              <w:autoSpaceDE w:val="0"/>
              <w:autoSpaceDN w:val="0"/>
              <w:adjustRightInd w:val="0"/>
              <w:spacing w:line="300" w:lineRule="auto"/>
              <w:ind w:firstLine="480" w:firstLineChars="200"/>
              <w:rPr>
                <w:color w:val="0070C0"/>
                <w:kern w:val="0"/>
                <w:sz w:val="24"/>
              </w:rPr>
            </w:pPr>
          </w:p>
          <w:p w14:paraId="30E9F325">
            <w:pPr>
              <w:autoSpaceDE w:val="0"/>
              <w:autoSpaceDN w:val="0"/>
              <w:adjustRightInd w:val="0"/>
              <w:spacing w:line="300" w:lineRule="auto"/>
              <w:ind w:firstLine="480" w:firstLineChars="200"/>
              <w:rPr>
                <w:color w:val="0070C0"/>
                <w:kern w:val="0"/>
                <w:sz w:val="24"/>
              </w:rPr>
            </w:pPr>
          </w:p>
          <w:p w14:paraId="1FDD2AF3">
            <w:pPr>
              <w:autoSpaceDE w:val="0"/>
              <w:autoSpaceDN w:val="0"/>
              <w:adjustRightInd w:val="0"/>
              <w:spacing w:line="300" w:lineRule="auto"/>
              <w:ind w:firstLine="480" w:firstLineChars="200"/>
              <w:rPr>
                <w:color w:val="0070C0"/>
                <w:kern w:val="0"/>
                <w:sz w:val="24"/>
              </w:rPr>
            </w:pPr>
          </w:p>
          <w:p w14:paraId="39E7B850">
            <w:pPr>
              <w:autoSpaceDE w:val="0"/>
              <w:autoSpaceDN w:val="0"/>
              <w:adjustRightInd w:val="0"/>
              <w:spacing w:line="300" w:lineRule="auto"/>
              <w:rPr>
                <w:color w:val="0070C0"/>
                <w:kern w:val="0"/>
                <w:sz w:val="24"/>
              </w:rPr>
            </w:pPr>
          </w:p>
          <w:p w14:paraId="0996A5EA">
            <w:pPr>
              <w:autoSpaceDE w:val="0"/>
              <w:autoSpaceDN w:val="0"/>
              <w:adjustRightInd w:val="0"/>
              <w:spacing w:line="300" w:lineRule="auto"/>
              <w:ind w:firstLine="480" w:firstLineChars="200"/>
              <w:rPr>
                <w:color w:val="0070C0"/>
                <w:kern w:val="0"/>
                <w:sz w:val="24"/>
              </w:rPr>
            </w:pPr>
          </w:p>
          <w:p w14:paraId="26DBBA79">
            <w:pPr>
              <w:autoSpaceDE w:val="0"/>
              <w:autoSpaceDN w:val="0"/>
              <w:adjustRightInd w:val="0"/>
              <w:spacing w:line="300" w:lineRule="auto"/>
              <w:ind w:firstLine="480" w:firstLineChars="200"/>
              <w:rPr>
                <w:color w:val="0070C0"/>
                <w:kern w:val="0"/>
                <w:sz w:val="24"/>
              </w:rPr>
            </w:pPr>
          </w:p>
          <w:p w14:paraId="1EB8BBBD">
            <w:pPr>
              <w:autoSpaceDE w:val="0"/>
              <w:autoSpaceDN w:val="0"/>
              <w:adjustRightInd w:val="0"/>
              <w:spacing w:line="300" w:lineRule="auto"/>
              <w:ind w:firstLine="480" w:firstLineChars="200"/>
              <w:rPr>
                <w:color w:val="0070C0"/>
                <w:kern w:val="0"/>
                <w:sz w:val="24"/>
              </w:rPr>
            </w:pPr>
          </w:p>
          <w:p w14:paraId="4E8DB306">
            <w:pPr>
              <w:autoSpaceDE w:val="0"/>
              <w:autoSpaceDN w:val="0"/>
              <w:adjustRightInd w:val="0"/>
              <w:spacing w:line="300" w:lineRule="auto"/>
              <w:ind w:firstLine="480" w:firstLineChars="200"/>
              <w:rPr>
                <w:color w:val="0070C0"/>
                <w:kern w:val="0"/>
                <w:sz w:val="24"/>
              </w:rPr>
            </w:pPr>
          </w:p>
          <w:p w14:paraId="3E958B95">
            <w:pPr>
              <w:autoSpaceDE w:val="0"/>
              <w:autoSpaceDN w:val="0"/>
              <w:adjustRightInd w:val="0"/>
              <w:spacing w:line="300" w:lineRule="auto"/>
              <w:ind w:firstLine="480" w:firstLineChars="200"/>
              <w:rPr>
                <w:color w:val="0070C0"/>
                <w:kern w:val="0"/>
                <w:sz w:val="24"/>
              </w:rPr>
            </w:pPr>
          </w:p>
          <w:p w14:paraId="0C0C7404">
            <w:pPr>
              <w:autoSpaceDE w:val="0"/>
              <w:autoSpaceDN w:val="0"/>
              <w:adjustRightInd w:val="0"/>
              <w:spacing w:line="300" w:lineRule="auto"/>
              <w:ind w:firstLine="480" w:firstLineChars="200"/>
              <w:rPr>
                <w:color w:val="0070C0"/>
                <w:kern w:val="0"/>
                <w:sz w:val="24"/>
              </w:rPr>
            </w:pPr>
          </w:p>
          <w:p w14:paraId="33E7BA93">
            <w:pPr>
              <w:autoSpaceDE w:val="0"/>
              <w:autoSpaceDN w:val="0"/>
              <w:adjustRightInd w:val="0"/>
              <w:spacing w:line="300" w:lineRule="auto"/>
              <w:ind w:firstLine="480" w:firstLineChars="200"/>
              <w:rPr>
                <w:color w:val="0070C0"/>
                <w:kern w:val="0"/>
                <w:sz w:val="24"/>
              </w:rPr>
            </w:pPr>
          </w:p>
          <w:p w14:paraId="40483641">
            <w:pPr>
              <w:autoSpaceDE w:val="0"/>
              <w:autoSpaceDN w:val="0"/>
              <w:adjustRightInd w:val="0"/>
              <w:spacing w:line="300" w:lineRule="auto"/>
              <w:ind w:firstLine="480" w:firstLineChars="200"/>
              <w:rPr>
                <w:color w:val="0070C0"/>
                <w:kern w:val="0"/>
                <w:sz w:val="24"/>
              </w:rPr>
            </w:pPr>
          </w:p>
          <w:p w14:paraId="6EB5C86E">
            <w:pPr>
              <w:autoSpaceDE w:val="0"/>
              <w:autoSpaceDN w:val="0"/>
              <w:adjustRightInd w:val="0"/>
              <w:spacing w:line="300" w:lineRule="auto"/>
              <w:ind w:firstLine="480" w:firstLineChars="200"/>
              <w:rPr>
                <w:color w:val="0070C0"/>
                <w:kern w:val="0"/>
                <w:sz w:val="24"/>
              </w:rPr>
            </w:pPr>
          </w:p>
          <w:p w14:paraId="000EF81F">
            <w:pPr>
              <w:autoSpaceDE w:val="0"/>
              <w:autoSpaceDN w:val="0"/>
              <w:adjustRightInd w:val="0"/>
              <w:spacing w:line="300" w:lineRule="auto"/>
              <w:ind w:firstLine="480" w:firstLineChars="200"/>
              <w:rPr>
                <w:color w:val="0070C0"/>
                <w:kern w:val="0"/>
                <w:sz w:val="24"/>
              </w:rPr>
            </w:pPr>
          </w:p>
          <w:p w14:paraId="15BE4EE7">
            <w:pPr>
              <w:autoSpaceDE w:val="0"/>
              <w:autoSpaceDN w:val="0"/>
              <w:adjustRightInd w:val="0"/>
              <w:spacing w:line="300" w:lineRule="auto"/>
              <w:ind w:firstLine="480" w:firstLineChars="200"/>
              <w:rPr>
                <w:color w:val="0070C0"/>
                <w:kern w:val="0"/>
                <w:sz w:val="24"/>
              </w:rPr>
            </w:pPr>
          </w:p>
          <w:p w14:paraId="5161AF8C">
            <w:pPr>
              <w:autoSpaceDE w:val="0"/>
              <w:autoSpaceDN w:val="0"/>
              <w:adjustRightInd w:val="0"/>
              <w:spacing w:line="300" w:lineRule="auto"/>
              <w:ind w:firstLine="480" w:firstLineChars="200"/>
              <w:rPr>
                <w:color w:val="0070C0"/>
                <w:kern w:val="0"/>
                <w:sz w:val="24"/>
              </w:rPr>
            </w:pPr>
          </w:p>
          <w:p w14:paraId="045FBE53">
            <w:pPr>
              <w:autoSpaceDE w:val="0"/>
              <w:autoSpaceDN w:val="0"/>
              <w:adjustRightInd w:val="0"/>
              <w:spacing w:line="300" w:lineRule="auto"/>
              <w:ind w:firstLine="480" w:firstLineChars="200"/>
              <w:rPr>
                <w:color w:val="0070C0"/>
                <w:kern w:val="0"/>
                <w:sz w:val="24"/>
              </w:rPr>
            </w:pPr>
          </w:p>
          <w:p w14:paraId="0F967405">
            <w:pPr>
              <w:autoSpaceDE w:val="0"/>
              <w:autoSpaceDN w:val="0"/>
              <w:adjustRightInd w:val="0"/>
              <w:spacing w:line="300" w:lineRule="auto"/>
              <w:ind w:firstLine="480" w:firstLineChars="200"/>
              <w:rPr>
                <w:color w:val="0070C0"/>
                <w:kern w:val="0"/>
                <w:sz w:val="24"/>
              </w:rPr>
            </w:pPr>
          </w:p>
          <w:p w14:paraId="03FD70D3">
            <w:pPr>
              <w:autoSpaceDE w:val="0"/>
              <w:autoSpaceDN w:val="0"/>
              <w:adjustRightInd w:val="0"/>
              <w:spacing w:line="300" w:lineRule="auto"/>
              <w:ind w:firstLine="480" w:firstLineChars="200"/>
              <w:rPr>
                <w:color w:val="0070C0"/>
                <w:kern w:val="0"/>
                <w:sz w:val="24"/>
              </w:rPr>
            </w:pPr>
          </w:p>
          <w:p w14:paraId="37B44146">
            <w:pPr>
              <w:autoSpaceDE w:val="0"/>
              <w:autoSpaceDN w:val="0"/>
              <w:adjustRightInd w:val="0"/>
              <w:spacing w:line="300" w:lineRule="auto"/>
              <w:rPr>
                <w:color w:val="0070C0"/>
                <w:kern w:val="0"/>
                <w:sz w:val="24"/>
              </w:rPr>
            </w:pPr>
          </w:p>
        </w:tc>
      </w:tr>
    </w:tbl>
    <w:p w14:paraId="2484E33C">
      <w:pPr>
        <w:pStyle w:val="20"/>
        <w:jc w:val="center"/>
        <w:outlineLvl w:val="0"/>
        <w:rPr>
          <w:rFonts w:ascii="Times New Roman" w:hAnsi="Times New Roman" w:eastAsia="黑体"/>
          <w:snapToGrid w:val="0"/>
          <w:color w:val="0070C0"/>
          <w:sz w:val="30"/>
          <w:szCs w:val="30"/>
        </w:rPr>
        <w:sectPr>
          <w:headerReference r:id="rId9" w:type="default"/>
          <w:pgSz w:w="11906" w:h="16838"/>
          <w:pgMar w:top="1701" w:right="1531" w:bottom="1701" w:left="1531" w:header="1134" w:footer="1134" w:gutter="0"/>
          <w:pgBorders>
            <w:top w:val="none" w:sz="0" w:space="0"/>
            <w:left w:val="none" w:sz="0" w:space="0"/>
            <w:bottom w:val="none" w:sz="0" w:space="0"/>
            <w:right w:val="none" w:sz="0" w:space="0"/>
          </w:pgBorders>
          <w:cols w:space="425" w:num="1"/>
          <w:docGrid w:linePitch="312" w:charSpace="0"/>
        </w:sectPr>
      </w:pPr>
    </w:p>
    <w:p w14:paraId="0FC114EB">
      <w:pPr>
        <w:pStyle w:val="20"/>
        <w:spacing w:before="600" w:beforeLines="250" w:beforeAutospacing="0"/>
        <w:jc w:val="center"/>
        <w:outlineLvl w:val="0"/>
        <w:rPr>
          <w:rFonts w:ascii="Times New Roman" w:hAnsi="Times New Roman" w:eastAsia="黑体"/>
          <w:snapToGrid w:val="0"/>
          <w:color w:val="auto"/>
          <w:sz w:val="30"/>
          <w:szCs w:val="30"/>
        </w:rPr>
      </w:pPr>
      <w:r>
        <w:rPr>
          <w:rFonts w:ascii="Times New Roman" w:hAnsi="Times New Roman" w:eastAsia="黑体"/>
          <w:snapToGrid w:val="0"/>
          <w:color w:val="auto"/>
          <w:sz w:val="30"/>
          <w:szCs w:val="30"/>
        </w:rPr>
        <w:t>四、生态环境影响分析</w:t>
      </w:r>
    </w:p>
    <w:tbl>
      <w:tblPr>
        <w:tblStyle w:val="22"/>
        <w:tblW w:w="910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79"/>
        <w:gridCol w:w="8221"/>
      </w:tblGrid>
      <w:tr w14:paraId="293505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6" w:hRule="atLeast"/>
        </w:trPr>
        <w:tc>
          <w:tcPr>
            <w:tcW w:w="879" w:type="dxa"/>
            <w:tcMar>
              <w:left w:w="28" w:type="dxa"/>
              <w:right w:w="28" w:type="dxa"/>
            </w:tcMar>
            <w:vAlign w:val="center"/>
          </w:tcPr>
          <w:p w14:paraId="7D4C336A">
            <w:pPr>
              <w:pStyle w:val="20"/>
              <w:adjustRightInd w:val="0"/>
              <w:snapToGrid w:val="0"/>
              <w:spacing w:before="0" w:beforeAutospacing="0" w:after="0" w:afterAutospacing="0"/>
              <w:jc w:val="center"/>
              <w:rPr>
                <w:rFonts w:ascii="Times New Roman" w:hAnsi="Times New Roman"/>
                <w:bCs/>
                <w:color w:val="0070C0"/>
                <w:kern w:val="2"/>
                <w:szCs w:val="24"/>
              </w:rPr>
            </w:pPr>
            <w:bookmarkStart w:id="25" w:name="_Hlk49796138"/>
            <w:r>
              <w:rPr>
                <w:rFonts w:ascii="Times New Roman" w:hAnsi="Times New Roman"/>
                <w:bCs/>
                <w:color w:val="auto"/>
                <w:spacing w:val="10"/>
                <w:kern w:val="2"/>
                <w:szCs w:val="24"/>
              </w:rPr>
              <w:t>施工期生态环境影响分析</w:t>
            </w:r>
            <w:bookmarkEnd w:id="25"/>
          </w:p>
        </w:tc>
        <w:tc>
          <w:tcPr>
            <w:tcW w:w="8221" w:type="dxa"/>
          </w:tcPr>
          <w:p w14:paraId="6F5D649D">
            <w:pPr>
              <w:adjustRightInd w:val="0"/>
              <w:spacing w:line="300" w:lineRule="auto"/>
              <w:rPr>
                <w:b/>
                <w:color w:val="auto"/>
                <w:sz w:val="24"/>
                <w:szCs w:val="20"/>
              </w:rPr>
            </w:pPr>
            <w:r>
              <w:rPr>
                <w:rFonts w:hint="eastAsia"/>
                <w:b/>
                <w:color w:val="auto"/>
                <w:sz w:val="24"/>
                <w:szCs w:val="20"/>
              </w:rPr>
              <w:t>1</w:t>
            </w:r>
            <w:r>
              <w:rPr>
                <w:b/>
                <w:color w:val="auto"/>
                <w:sz w:val="24"/>
                <w:szCs w:val="20"/>
              </w:rPr>
              <w:t>. 施工期生态影响分析</w:t>
            </w:r>
          </w:p>
          <w:p w14:paraId="436FC6B0">
            <w:pPr>
              <w:spacing w:line="300" w:lineRule="auto"/>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szCs w:val="20"/>
              </w:rPr>
              <w:t xml:space="preserve">(1) </w:t>
            </w:r>
            <w:r>
              <w:rPr>
                <w:rFonts w:hint="default" w:ascii="Times New Roman" w:hAnsi="Times New Roman" w:cs="Times New Roman"/>
                <w:color w:val="auto"/>
                <w:sz w:val="24"/>
              </w:rPr>
              <w:t>项目沿线区域分布的植物均为评价范围内广布种、常见种，以荒漠草本、盐生植物及绿洲伴生植物为主，无国家</w:t>
            </w:r>
            <w:r>
              <w:rPr>
                <w:rFonts w:hint="eastAsia" w:ascii="Times New Roman" w:hAnsi="Times New Roman" w:cs="Times New Roman"/>
                <w:color w:val="auto"/>
                <w:sz w:val="24"/>
                <w:lang w:val="en-US" w:eastAsia="zh-CN"/>
              </w:rPr>
              <w:t>及自治区</w:t>
            </w:r>
            <w:r>
              <w:rPr>
                <w:rFonts w:hint="default" w:ascii="Times New Roman" w:hAnsi="Times New Roman" w:cs="Times New Roman"/>
                <w:color w:val="auto"/>
                <w:sz w:val="24"/>
              </w:rPr>
              <w:t>重点保护野生植物及珍稀濒危特有植物分布。工程施工，永久和临时占地不可避免的占压部分植物，但拟建公路永久占用林地、草地面积占评价范围内林地、草地面积比例较小，不会改变区域植物群落组成，对区域整体植物种类、种群数量及分布格局无明显影响，也不会导致任何植物物种明显减少。</w:t>
            </w:r>
          </w:p>
          <w:p w14:paraId="4057AFB7">
            <w:pPr>
              <w:spacing w:line="300" w:lineRule="auto"/>
              <w:ind w:firstLine="480" w:firstLineChars="200"/>
              <w:rPr>
                <w:rFonts w:hint="default" w:ascii="Times New Roman" w:hAnsi="Times New Roman" w:cs="Times New Roman"/>
                <w:color w:val="auto"/>
                <w:sz w:val="24"/>
                <w:szCs w:val="20"/>
              </w:rPr>
            </w:pPr>
            <w:bookmarkStart w:id="26" w:name="OLE_LINK10"/>
            <w:r>
              <w:rPr>
                <w:rFonts w:hint="default" w:ascii="Times New Roman" w:hAnsi="Times New Roman" w:cs="Times New Roman"/>
                <w:color w:val="auto"/>
                <w:sz w:val="24"/>
                <w:szCs w:val="20"/>
                <w:lang w:val="en-US" w:eastAsia="zh-CN"/>
              </w:rPr>
              <w:t xml:space="preserve">(2) </w:t>
            </w:r>
            <w:r>
              <w:rPr>
                <w:rFonts w:hint="default" w:ascii="Times New Roman" w:hAnsi="Times New Roman" w:cs="Times New Roman"/>
                <w:color w:val="auto"/>
                <w:sz w:val="24"/>
                <w:szCs w:val="20"/>
              </w:rPr>
              <w:t>拟建公路作为线状工程，虽会形成一定的通行阻隔，可能对沿线兽类、爬行类、两栖类的移动、觅食及迁徙路径产生轻微分割效应，但根据资料收集与现场调查结果，项目沿线无大规模野生动物迁徙通道、无集中繁殖场、无关键生态廊道；加之项目为既有道路改扩建，野生动物已基本适应道路环境，阻隔效应显著弱于新建公路，对种群交流的影响轻微且有限。</w:t>
            </w:r>
          </w:p>
          <w:p w14:paraId="37AC8862">
            <w:pPr>
              <w:spacing w:line="300" w:lineRule="auto"/>
              <w:ind w:firstLine="480" w:firstLineChars="200"/>
              <w:rPr>
                <w:rFonts w:hint="default" w:ascii="Times New Roman" w:hAnsi="Times New Roman" w:eastAsia="宋体" w:cs="Times New Roman"/>
                <w:color w:val="auto"/>
                <w:sz w:val="24"/>
                <w:szCs w:val="20"/>
                <w:lang w:eastAsia="zh-CN"/>
              </w:rPr>
            </w:pPr>
            <w:r>
              <w:rPr>
                <w:rFonts w:hint="default" w:ascii="Times New Roman" w:hAnsi="Times New Roman" w:cs="Times New Roman"/>
                <w:color w:val="auto"/>
                <w:kern w:val="0"/>
                <w:sz w:val="24"/>
                <w:szCs w:val="20"/>
              </w:rPr>
              <w:t>(3) 评价范围内无国家级、自治区级保护鱼类，无鱼类产卵场、索饵场、越冬场等重要生境，且</w:t>
            </w:r>
            <w:r>
              <w:rPr>
                <w:rFonts w:hint="default" w:ascii="Times New Roman" w:hAnsi="Times New Roman" w:cs="Times New Roman"/>
                <w:color w:val="auto"/>
                <w:kern w:val="0"/>
                <w:sz w:val="24"/>
                <w:szCs w:val="20"/>
                <w:lang w:val="en-US" w:eastAsia="zh-CN"/>
              </w:rPr>
              <w:t>拟建公路</w:t>
            </w:r>
            <w:r>
              <w:rPr>
                <w:rFonts w:hint="default" w:ascii="Times New Roman" w:hAnsi="Times New Roman" w:cs="Times New Roman"/>
                <w:color w:val="auto"/>
                <w:kern w:val="0"/>
                <w:sz w:val="24"/>
                <w:szCs w:val="20"/>
              </w:rPr>
              <w:t>为改扩建工程，在桥梁建设以单侧拼宽、双侧拼宽、修复利用为主，新建桥梁较少，涉水桥墩有限，因此施工期对水生生物的影响是局部、可逆的，施工结束后可逐步恢复</w:t>
            </w:r>
            <w:r>
              <w:rPr>
                <w:rFonts w:hint="default" w:ascii="Times New Roman" w:hAnsi="Times New Roman" w:cs="Times New Roman"/>
                <w:color w:val="auto"/>
                <w:kern w:val="0"/>
                <w:sz w:val="24"/>
                <w:szCs w:val="20"/>
                <w:lang w:eastAsia="zh-CN"/>
              </w:rPr>
              <w:t>。</w:t>
            </w:r>
          </w:p>
          <w:bookmarkEnd w:id="26"/>
          <w:p w14:paraId="01DE5EC5">
            <w:pPr>
              <w:spacing w:line="300" w:lineRule="auto"/>
              <w:ind w:firstLine="480" w:firstLineChars="200"/>
              <w:rPr>
                <w:rFonts w:hint="default" w:ascii="Times New Roman" w:hAnsi="Times New Roman" w:cs="Times New Roman"/>
                <w:color w:val="auto"/>
                <w:kern w:val="0"/>
                <w:sz w:val="24"/>
                <w:szCs w:val="24"/>
                <w:lang w:bidi="ar"/>
              </w:rPr>
            </w:pPr>
            <w:r>
              <w:rPr>
                <w:rFonts w:hint="default" w:ascii="Times New Roman" w:hAnsi="Times New Roman" w:cs="Times New Roman"/>
                <w:color w:val="auto"/>
                <w:kern w:val="0"/>
                <w:sz w:val="24"/>
                <w:szCs w:val="20"/>
              </w:rPr>
              <w:t>(</w:t>
            </w:r>
            <w:r>
              <w:rPr>
                <w:rFonts w:hint="default" w:ascii="Times New Roman" w:hAnsi="Times New Roman" w:cs="Times New Roman"/>
                <w:color w:val="auto"/>
                <w:kern w:val="0"/>
                <w:sz w:val="24"/>
                <w:szCs w:val="20"/>
                <w:lang w:val="en-US" w:eastAsia="zh-CN"/>
              </w:rPr>
              <w:t>4</w:t>
            </w:r>
            <w:r>
              <w:rPr>
                <w:rFonts w:hint="default" w:ascii="Times New Roman" w:hAnsi="Times New Roman" w:cs="Times New Roman"/>
                <w:color w:val="auto"/>
                <w:kern w:val="0"/>
                <w:sz w:val="24"/>
                <w:szCs w:val="20"/>
              </w:rPr>
              <w:t xml:space="preserve">) </w:t>
            </w:r>
            <w:r>
              <w:rPr>
                <w:rFonts w:hint="default" w:ascii="Times New Roman" w:hAnsi="Times New Roman" w:cs="Times New Roman"/>
                <w:color w:val="auto"/>
                <w:kern w:val="0"/>
                <w:sz w:val="24"/>
                <w:lang w:bidi="ar"/>
              </w:rPr>
              <w:t>通过严格落实施工期环境保护措施和施工后的生态恢复与补偿措施，项目建设不会对沿线湿地生态系统的整体功能产生显著不利影响</w:t>
            </w:r>
            <w:r>
              <w:rPr>
                <w:rFonts w:hint="default" w:ascii="Times New Roman" w:hAnsi="Times New Roman" w:cs="Times New Roman"/>
                <w:color w:val="auto"/>
                <w:kern w:val="0"/>
                <w:sz w:val="24"/>
                <w:szCs w:val="24"/>
                <w:lang w:bidi="ar"/>
              </w:rPr>
              <w:t>。</w:t>
            </w:r>
          </w:p>
          <w:p w14:paraId="2B2A785E">
            <w:pPr>
              <w:pStyle w:val="20"/>
              <w:widowControl w:val="0"/>
              <w:spacing w:before="0" w:beforeAutospacing="0" w:after="0" w:afterAutospacing="0" w:line="300" w:lineRule="auto"/>
              <w:ind w:firstLine="496" w:firstLineChars="200"/>
              <w:rPr>
                <w:rFonts w:hint="default" w:ascii="Times New Roman" w:hAnsi="Times New Roman" w:cs="Times New Roman"/>
                <w:color w:val="auto"/>
                <w:szCs w:val="24"/>
                <w:lang w:eastAsia="zh-CN" w:bidi="ar"/>
              </w:rPr>
            </w:pPr>
            <w:r>
              <w:rPr>
                <w:rFonts w:hint="default" w:ascii="Times New Roman" w:hAnsi="Times New Roman" w:cs="Times New Roman"/>
                <w:color w:val="auto"/>
                <w:spacing w:val="4"/>
                <w:sz w:val="24"/>
                <w:szCs w:val="24"/>
                <w:lang w:bidi="ar"/>
              </w:rPr>
              <w:t>(</w:t>
            </w:r>
            <w:r>
              <w:rPr>
                <w:rFonts w:hint="default" w:ascii="Times New Roman" w:hAnsi="Times New Roman" w:cs="Times New Roman"/>
                <w:color w:val="auto"/>
                <w:spacing w:val="4"/>
                <w:sz w:val="24"/>
                <w:szCs w:val="24"/>
                <w:lang w:val="en-US" w:eastAsia="zh-CN" w:bidi="ar"/>
              </w:rPr>
              <w:t>5</w:t>
            </w:r>
            <w:r>
              <w:rPr>
                <w:rFonts w:hint="default" w:ascii="Times New Roman" w:hAnsi="Times New Roman" w:cs="Times New Roman"/>
                <w:color w:val="auto"/>
                <w:spacing w:val="4"/>
                <w:sz w:val="24"/>
                <w:szCs w:val="24"/>
                <w:lang w:bidi="ar"/>
              </w:rPr>
              <w:t xml:space="preserve">) </w:t>
            </w:r>
            <w:r>
              <w:rPr>
                <w:rFonts w:hint="default" w:ascii="Times New Roman" w:hAnsi="Times New Roman" w:cs="Times New Roman"/>
                <w:color w:val="auto"/>
                <w:szCs w:val="24"/>
                <w:lang w:val="en-US" w:eastAsia="zh-CN" w:bidi="ar"/>
              </w:rPr>
              <w:t>拟建公路</w:t>
            </w:r>
            <w:r>
              <w:rPr>
                <w:rFonts w:hint="default" w:ascii="Times New Roman" w:hAnsi="Times New Roman" w:cs="Times New Roman"/>
                <w:color w:val="auto"/>
                <w:szCs w:val="24"/>
                <w:lang w:bidi="ar"/>
              </w:rPr>
              <w:t>施工中要严格控制施工活动范围，尽可能减少对地表植被和砾幕层的扰动。随着公路完工，公路防风沙工程的实施与发挥效应，公路施工期对沙地植被的破坏和扰动影响将逐步减轻和消除。项目建设不会因本项目建设加重项目区域土地沙化程度</w:t>
            </w:r>
            <w:r>
              <w:rPr>
                <w:rFonts w:hint="default" w:ascii="Times New Roman" w:hAnsi="Times New Roman" w:cs="Times New Roman"/>
                <w:color w:val="auto"/>
                <w:szCs w:val="24"/>
                <w:lang w:eastAsia="zh-CN" w:bidi="ar"/>
              </w:rPr>
              <w:t>。</w:t>
            </w:r>
          </w:p>
          <w:p w14:paraId="4ED70A26">
            <w:pPr>
              <w:pStyle w:val="20"/>
              <w:widowControl w:val="0"/>
              <w:spacing w:before="0" w:beforeAutospacing="0" w:after="0" w:afterAutospacing="0" w:line="300" w:lineRule="auto"/>
              <w:ind w:firstLine="480" w:firstLineChars="200"/>
              <w:rPr>
                <w:rFonts w:hint="eastAsia" w:ascii="Times New Roman" w:hAnsi="Times New Roman" w:eastAsia="宋体" w:cs="Times New Roman"/>
                <w:color w:val="auto"/>
                <w:szCs w:val="24"/>
                <w:lang w:eastAsia="zh-CN" w:bidi="ar"/>
              </w:rPr>
            </w:pPr>
            <w:r>
              <w:rPr>
                <w:rFonts w:cs="Times New Roman"/>
                <w:kern w:val="2"/>
                <w:szCs w:val="24"/>
              </w:rPr>
              <w:t>施工期生态影响分析具体见生态专项评价</w:t>
            </w:r>
            <w:r>
              <w:rPr>
                <w:rFonts w:hint="eastAsia" w:cs="Times New Roman"/>
                <w:kern w:val="2"/>
                <w:szCs w:val="24"/>
                <w:lang w:eastAsia="zh-CN"/>
              </w:rPr>
              <w:t>。</w:t>
            </w:r>
          </w:p>
          <w:p w14:paraId="3A3C554B">
            <w:pPr>
              <w:adjustRightInd w:val="0"/>
              <w:spacing w:before="120" w:beforeLines="50" w:line="300" w:lineRule="auto"/>
              <w:rPr>
                <w:b/>
                <w:sz w:val="24"/>
                <w:szCs w:val="20"/>
              </w:rPr>
            </w:pPr>
            <w:r>
              <w:rPr>
                <w:rFonts w:hint="eastAsia"/>
                <w:b/>
                <w:sz w:val="24"/>
                <w:szCs w:val="20"/>
              </w:rPr>
              <w:t>2</w:t>
            </w:r>
            <w:r>
              <w:rPr>
                <w:b/>
                <w:sz w:val="24"/>
                <w:szCs w:val="20"/>
              </w:rPr>
              <w:t>. 施工期废气影响分析</w:t>
            </w:r>
          </w:p>
          <w:p w14:paraId="18671EF7">
            <w:pPr>
              <w:autoSpaceDE w:val="0"/>
              <w:autoSpaceDN w:val="0"/>
              <w:adjustRightInd w:val="0"/>
              <w:spacing w:line="300" w:lineRule="auto"/>
              <w:ind w:firstLine="480" w:firstLineChars="200"/>
              <w:rPr>
                <w:rFonts w:hint="eastAsia"/>
                <w:color w:val="auto"/>
                <w:sz w:val="24"/>
              </w:rPr>
            </w:pPr>
            <w:r>
              <w:rPr>
                <w:color w:val="auto"/>
                <w:sz w:val="24"/>
                <w:szCs w:val="20"/>
              </w:rPr>
              <w:t>拟建公路</w:t>
            </w:r>
            <w:r>
              <w:rPr>
                <w:color w:val="auto"/>
                <w:sz w:val="24"/>
              </w:rPr>
              <w:t>施工期对沿线环境空气造成的污染，主要是筑路材料搅拌、运输过程中形成的扬尘，土方的挖、运、倒等产生的扬尘和车辆</w:t>
            </w:r>
            <w:r>
              <w:rPr>
                <w:rFonts w:hint="eastAsia"/>
                <w:color w:val="auto"/>
                <w:sz w:val="24"/>
              </w:rPr>
              <w:t>碾压</w:t>
            </w:r>
            <w:r>
              <w:rPr>
                <w:color w:val="auto"/>
                <w:sz w:val="24"/>
              </w:rPr>
              <w:t>土路带起的扬尘，混凝土拌合站产生的粉尘，沥青拌合站产生的废气</w:t>
            </w:r>
            <w:r>
              <w:rPr>
                <w:rFonts w:hint="eastAsia"/>
                <w:color w:val="auto"/>
                <w:sz w:val="24"/>
              </w:rPr>
              <w:t>，</w:t>
            </w:r>
            <w:r>
              <w:rPr>
                <w:color w:val="auto"/>
                <w:sz w:val="24"/>
              </w:rPr>
              <w:t>沥青摊铺时产生的沥青烟，动力机械排出的尾气污染，其中以扬尘污染和沥青烟对周围环境的影响较为突出。</w:t>
            </w:r>
          </w:p>
          <w:p w14:paraId="571EBBF2">
            <w:pPr>
              <w:spacing w:line="300" w:lineRule="auto"/>
              <w:ind w:firstLine="480" w:firstLineChars="200"/>
              <w:rPr>
                <w:color w:val="auto"/>
                <w:sz w:val="24"/>
              </w:rPr>
            </w:pPr>
            <w:r>
              <w:rPr>
                <w:rFonts w:hint="eastAsia"/>
                <w:color w:val="auto"/>
                <w:sz w:val="24"/>
                <w:szCs w:val="20"/>
              </w:rPr>
              <w:t>(1)</w:t>
            </w:r>
            <w:r>
              <w:rPr>
                <w:rFonts w:hint="eastAsia"/>
                <w:color w:val="auto"/>
                <w:sz w:val="24"/>
              </w:rPr>
              <w:t xml:space="preserve"> </w:t>
            </w:r>
            <w:r>
              <w:rPr>
                <w:color w:val="auto"/>
                <w:sz w:val="24"/>
              </w:rPr>
              <w:t>施工堆场扬尘和装卸扬尘</w:t>
            </w:r>
          </w:p>
          <w:p w14:paraId="6965DD43">
            <w:pPr>
              <w:spacing w:line="300" w:lineRule="auto"/>
              <w:ind w:firstLine="480" w:firstLineChars="200"/>
              <w:rPr>
                <w:rFonts w:hint="eastAsia"/>
                <w:color w:val="auto"/>
                <w:sz w:val="24"/>
              </w:rPr>
            </w:pPr>
            <w:r>
              <w:rPr>
                <w:color w:val="auto"/>
                <w:sz w:val="24"/>
              </w:rPr>
              <w:t>施工期开挖、回填、开挖料及弃方堆存等过程中，均会产生一定的粉尘等污染，粉尘的排放方式均为无组织排放。扬尘量的大小与施工现场条件、管理水平、机械化程度及施工季节、土质及天气条件等诸多因素有关。在干燥天气情况下，特</w:t>
            </w:r>
            <w:r>
              <w:rPr>
                <w:rFonts w:hint="eastAsia"/>
                <w:color w:val="auto"/>
                <w:sz w:val="24"/>
                <w:lang w:eastAsia="zh-CN"/>
              </w:rPr>
              <w:t>别是</w:t>
            </w:r>
            <w:r>
              <w:rPr>
                <w:color w:val="auto"/>
                <w:sz w:val="24"/>
              </w:rPr>
              <w:t>在大风时容易产生扬尘。其总排放量估算参考《扬尘源颗粒物排放清单编制技术指南（试行）》中的施工扬尘源排放量总体计算方法。</w:t>
            </w:r>
            <w:r>
              <w:rPr>
                <w:rFonts w:hint="eastAsia"/>
                <w:color w:val="auto"/>
                <w:sz w:val="24"/>
              </w:rPr>
              <w:t>拟建</w:t>
            </w:r>
            <w:r>
              <w:rPr>
                <w:color w:val="auto"/>
                <w:sz w:val="24"/>
              </w:rPr>
              <w:t>公路施工作业面扬尘排放量参照建筑工地施工粉尘排放速率为0.002mg/s·m</w:t>
            </w:r>
            <w:r>
              <w:rPr>
                <w:color w:val="auto"/>
                <w:sz w:val="24"/>
                <w:vertAlign w:val="superscript"/>
              </w:rPr>
              <w:t>2</w:t>
            </w:r>
            <w:r>
              <w:rPr>
                <w:color w:val="auto"/>
                <w:sz w:val="24"/>
              </w:rPr>
              <w:t>，项目施工期总施工作业面面积约为</w:t>
            </w:r>
            <w:r>
              <w:rPr>
                <w:rFonts w:hint="eastAsia"/>
                <w:color w:val="auto"/>
                <w:sz w:val="24"/>
              </w:rPr>
              <w:t>1786989</w:t>
            </w:r>
            <w:r>
              <w:rPr>
                <w:color w:val="auto"/>
                <w:sz w:val="24"/>
              </w:rPr>
              <w:t>m</w:t>
            </w:r>
            <w:r>
              <w:rPr>
                <w:color w:val="auto"/>
                <w:sz w:val="24"/>
                <w:vertAlign w:val="superscript"/>
              </w:rPr>
              <w:t>2</w:t>
            </w:r>
            <w:r>
              <w:rPr>
                <w:color w:val="auto"/>
                <w:sz w:val="24"/>
              </w:rPr>
              <w:t>，则施工阶段扬尘产生量为</w:t>
            </w:r>
            <w:r>
              <w:rPr>
                <w:rFonts w:hint="eastAsia"/>
                <w:color w:val="auto"/>
                <w:sz w:val="24"/>
              </w:rPr>
              <w:t>112.71</w:t>
            </w:r>
            <w:r>
              <w:rPr>
                <w:color w:val="auto"/>
                <w:sz w:val="24"/>
              </w:rPr>
              <w:t>t/a，采用洒水降尘，抑尘效率取70%，则工程施工阶段扬尘排放量为</w:t>
            </w:r>
            <w:r>
              <w:rPr>
                <w:rFonts w:hint="eastAsia"/>
                <w:color w:val="auto"/>
                <w:sz w:val="24"/>
              </w:rPr>
              <w:t>33.81</w:t>
            </w:r>
            <w:r>
              <w:rPr>
                <w:color w:val="auto"/>
                <w:sz w:val="24"/>
              </w:rPr>
              <w:t>t/a。</w:t>
            </w:r>
          </w:p>
          <w:p w14:paraId="09E4507B">
            <w:pPr>
              <w:pStyle w:val="56"/>
              <w:jc w:val="both"/>
              <w:rPr>
                <w:rFonts w:ascii="Times New Roman" w:hAnsi="Times New Roman" w:cs="Times New Roman"/>
                <w:color w:val="auto"/>
              </w:rPr>
            </w:pPr>
            <w:r>
              <w:rPr>
                <w:rFonts w:hint="eastAsia" w:cs="Times New Roman"/>
                <w:color w:val="auto"/>
              </w:rPr>
              <w:t>①</w:t>
            </w:r>
            <w:r>
              <w:rPr>
                <w:rFonts w:ascii="Times New Roman" w:hAnsi="Times New Roman" w:cs="Times New Roman"/>
                <w:color w:val="auto"/>
              </w:rPr>
              <w:t xml:space="preserve"> </w:t>
            </w:r>
            <w:r>
              <w:rPr>
                <w:rFonts w:ascii="Times New Roman" w:cs="Times New Roman"/>
                <w:color w:val="auto"/>
              </w:rPr>
              <w:t>土石方填挖施工作业扬尘</w:t>
            </w:r>
          </w:p>
          <w:p w14:paraId="7E995557">
            <w:pPr>
              <w:pStyle w:val="56"/>
              <w:jc w:val="both"/>
              <w:rPr>
                <w:rFonts w:ascii="Times New Roman" w:hAnsi="Times New Roman" w:cs="Times New Roman"/>
                <w:color w:val="auto"/>
              </w:rPr>
            </w:pPr>
            <w:r>
              <w:rPr>
                <w:rFonts w:ascii="Times New Roman" w:cs="Times New Roman"/>
                <w:color w:val="auto"/>
                <w:lang w:bidi="en-US"/>
              </w:rPr>
              <w:t>拟建公路</w:t>
            </w:r>
            <w:r>
              <w:rPr>
                <w:rFonts w:ascii="Times New Roman" w:cs="Times New Roman"/>
                <w:color w:val="auto"/>
              </w:rPr>
              <w:t>土石方填挖将产生大量的粉尘，类比同类型项目，其影响范围可达下风向</w:t>
            </w:r>
            <w:r>
              <w:rPr>
                <w:rFonts w:ascii="Times New Roman" w:hAnsi="Times New Roman" w:cs="Times New Roman"/>
                <w:color w:val="auto"/>
              </w:rPr>
              <w:t>150m</w:t>
            </w:r>
            <w:r>
              <w:rPr>
                <w:rFonts w:ascii="Times New Roman" w:cs="Times New Roman"/>
                <w:color w:val="auto"/>
              </w:rPr>
              <w:t>。由于</w:t>
            </w:r>
            <w:r>
              <w:rPr>
                <w:rFonts w:hint="eastAsia" w:ascii="Times New Roman" w:cs="Times New Roman"/>
                <w:color w:val="auto"/>
                <w:lang w:val="en-US" w:eastAsia="zh-CN"/>
              </w:rPr>
              <w:t>拟建公路</w:t>
            </w:r>
            <w:r>
              <w:rPr>
                <w:rFonts w:ascii="Times New Roman" w:cs="Times New Roman"/>
                <w:color w:val="auto"/>
              </w:rPr>
              <w:t>沿线</w:t>
            </w:r>
            <w:r>
              <w:rPr>
                <w:rFonts w:ascii="Times New Roman" w:hAnsi="Times New Roman" w:cs="Times New Roman"/>
                <w:color w:val="auto"/>
              </w:rPr>
              <w:t>200m</w:t>
            </w:r>
            <w:r>
              <w:rPr>
                <w:rFonts w:ascii="Times New Roman" w:cs="Times New Roman"/>
                <w:color w:val="auto"/>
              </w:rPr>
              <w:t>范围内分布有村庄环境保护目标，因此，在不采取措施的情况下，土石方挖填以及取弃土施工作业扬尘对环境空气质量以及附近环境保护目标影响较大。</w:t>
            </w:r>
          </w:p>
          <w:p w14:paraId="7E2F8279">
            <w:pPr>
              <w:pStyle w:val="56"/>
              <w:jc w:val="both"/>
              <w:rPr>
                <w:rFonts w:ascii="Times New Roman" w:hAnsi="Times New Roman" w:cs="Times New Roman"/>
                <w:color w:val="auto"/>
              </w:rPr>
            </w:pPr>
            <w:r>
              <w:rPr>
                <w:rFonts w:cs="Times New Roman"/>
                <w:color w:val="auto"/>
              </w:rPr>
              <w:t>②</w:t>
            </w:r>
            <w:r>
              <w:rPr>
                <w:rFonts w:ascii="Times New Roman" w:hAnsi="Times New Roman" w:cs="Times New Roman"/>
                <w:color w:val="auto"/>
              </w:rPr>
              <w:t xml:space="preserve"> 散体材料储料场</w:t>
            </w:r>
          </w:p>
          <w:p w14:paraId="777EE540">
            <w:pPr>
              <w:pStyle w:val="56"/>
              <w:jc w:val="both"/>
              <w:rPr>
                <w:rFonts w:ascii="Times New Roman" w:hAnsi="Times New Roman" w:cs="Times New Roman"/>
                <w:color w:val="auto"/>
                <w:lang w:bidi="zh-CN"/>
              </w:rPr>
            </w:pPr>
            <w:r>
              <w:rPr>
                <w:rFonts w:ascii="Times New Roman" w:cs="Times New Roman"/>
                <w:color w:val="auto"/>
                <w:lang w:bidi="zh-CN"/>
              </w:rPr>
              <w:t>砂卵砾石、水泥等散体材料储料场在风力作用下也易发生扬尘。其扬尘基本上集中在下风向</w:t>
            </w:r>
            <w:r>
              <w:rPr>
                <w:rFonts w:ascii="Times New Roman" w:hAnsi="Times New Roman" w:cs="Times New Roman"/>
                <w:color w:val="auto"/>
                <w:lang w:bidi="zh-CN"/>
              </w:rPr>
              <w:t>50m</w:t>
            </w:r>
            <w:r>
              <w:rPr>
                <w:rFonts w:ascii="Times New Roman" w:cs="Times New Roman"/>
                <w:color w:val="auto"/>
                <w:lang w:bidi="zh-CN"/>
              </w:rPr>
              <w:t>条带范围内，故考虑到其对人体和植物的有害作用，堆料场选择远离村庄敏感点，同时对存放应做好防护工作。通过洒水、篷布遮挡等措施，并</w:t>
            </w:r>
            <w:r>
              <w:rPr>
                <w:rFonts w:ascii="Times New Roman" w:cs="Times New Roman"/>
                <w:color w:val="auto"/>
              </w:rPr>
              <w:t>加强施工计划和管理手段，</w:t>
            </w:r>
            <w:r>
              <w:rPr>
                <w:rFonts w:ascii="Times New Roman" w:cs="Times New Roman"/>
                <w:color w:val="auto"/>
                <w:lang w:bidi="zh-CN"/>
              </w:rPr>
              <w:t>可有效地防止风吹扬尘。</w:t>
            </w:r>
          </w:p>
          <w:p w14:paraId="18FA377C">
            <w:pPr>
              <w:pStyle w:val="56"/>
              <w:jc w:val="both"/>
              <w:rPr>
                <w:color w:val="auto"/>
              </w:rPr>
            </w:pPr>
            <w:r>
              <w:rPr>
                <w:rFonts w:hint="eastAsia"/>
                <w:color w:val="auto"/>
              </w:rPr>
              <w:t xml:space="preserve">③ </w:t>
            </w:r>
            <w:r>
              <w:rPr>
                <w:color w:val="auto"/>
              </w:rPr>
              <w:t>散体材料运输</w:t>
            </w:r>
          </w:p>
          <w:p w14:paraId="3B81B456">
            <w:pPr>
              <w:pStyle w:val="58"/>
              <w:ind w:firstLine="480"/>
              <w:rPr>
                <w:color w:val="auto"/>
              </w:rPr>
            </w:pPr>
            <w:r>
              <w:rPr>
                <w:color w:val="auto"/>
              </w:rPr>
              <w:t>在施工中，材料的运输也将给沿线环境空气造成尘污染，施工期车辆运输扬尘在施工沿线地区所造成的污染较重，且影响范围较大，石灰和粉煤灰等散体物质运输极易引起粉尘污染，其影响范围可达下风向150m（在下风向150m，TSP污染仍可能超过环境空气质量二级标准）。临时道路、施工便道和正在施工的道路极易起尘。为减少起尘量，建议在人口稠密集中的地区采取经常洒水降尘措施</w:t>
            </w:r>
            <w:r>
              <w:rPr>
                <w:color w:val="auto"/>
                <w:kern w:val="0"/>
                <w:szCs w:val="24"/>
              </w:rPr>
              <w:t>，粉煤灰、水泥运输应选择封闭式罐车运输至拌合站场，有效减少粉状物料运输过程产生的扬尘。</w:t>
            </w:r>
          </w:p>
          <w:p w14:paraId="4855A209">
            <w:pPr>
              <w:pStyle w:val="58"/>
              <w:ind w:firstLine="480"/>
              <w:rPr>
                <w:color w:val="auto"/>
              </w:rPr>
            </w:pPr>
            <w:r>
              <w:rPr>
                <w:rFonts w:hint="eastAsia" w:ascii="宋体" w:hAnsi="宋体" w:cs="宋体"/>
                <w:color w:val="auto"/>
              </w:rPr>
              <w:t>④</w:t>
            </w:r>
            <w:r>
              <w:rPr>
                <w:rFonts w:hint="eastAsia"/>
                <w:color w:val="auto"/>
              </w:rPr>
              <w:t xml:space="preserve"> </w:t>
            </w:r>
            <w:r>
              <w:rPr>
                <w:color w:val="auto"/>
              </w:rPr>
              <w:t>施工</w:t>
            </w:r>
            <w:r>
              <w:rPr>
                <w:rFonts w:hint="eastAsia"/>
                <w:color w:val="auto"/>
              </w:rPr>
              <w:t>便道</w:t>
            </w:r>
            <w:r>
              <w:rPr>
                <w:color w:val="auto"/>
              </w:rPr>
              <w:t>扬尘</w:t>
            </w:r>
          </w:p>
          <w:p w14:paraId="2C487E6E">
            <w:pPr>
              <w:pStyle w:val="58"/>
              <w:ind w:firstLine="480"/>
              <w:rPr>
                <w:color w:val="auto"/>
              </w:rPr>
            </w:pPr>
            <w:r>
              <w:rPr>
                <w:color w:val="auto"/>
              </w:rPr>
              <w:t>施工</w:t>
            </w:r>
            <w:r>
              <w:rPr>
                <w:rFonts w:hint="eastAsia"/>
                <w:color w:val="auto"/>
              </w:rPr>
              <w:t>便道</w:t>
            </w:r>
            <w:r>
              <w:rPr>
                <w:color w:val="auto"/>
              </w:rPr>
              <w:t>扬尘主要是由于施工车辆在施工道路上运输施工材料而引起的，道路表面诸如临时道路、施工便道、施工辅路、未压实的在建道路等由于其表面土层松散、车辆碾压频繁，也易形成尘源。引起道路扬尘的因素较多，主要跟车辆行驶速度、风速、路面积尘量和路面湿度有关，可以采取硬化路面，或采取洒水措施来减少扬尘。此外，风速、风力还直接影响到扬尘的传输距离。</w:t>
            </w:r>
          </w:p>
          <w:p w14:paraId="45DAE0A4">
            <w:pPr>
              <w:pStyle w:val="58"/>
              <w:ind w:firstLine="480"/>
              <w:rPr>
                <w:color w:val="auto"/>
              </w:rPr>
            </w:pPr>
            <w:r>
              <w:rPr>
                <w:rFonts w:hint="eastAsia"/>
                <w:color w:val="auto"/>
              </w:rPr>
              <w:t>拟建公路</w:t>
            </w:r>
            <w:r>
              <w:rPr>
                <w:color w:val="auto"/>
              </w:rPr>
              <w:t>施工便道可充分利用既有公路，不但可以减少土地征用和水土保持设施破坏面积，也可减少路面硬化等防尘措施，同时满足降低路面扬尘的要求。对于新建的施工便道，为减少起尘量，有效地降低其对周围居民正常生活产生的不利影响，应在穿越人口稠密集中地区的施工道路采取经常洒水降尘，并对运输车辆进行覆盖，防止砂土的散落。类比公路施工项目施工道路扬尘监测数据，洒水的降尘效果较好</w:t>
            </w:r>
            <w:r>
              <w:rPr>
                <w:rFonts w:hint="eastAsia"/>
                <w:color w:val="auto"/>
                <w:lang w:eastAsia="zh-CN"/>
              </w:rPr>
              <w:t>，</w:t>
            </w:r>
            <w:r>
              <w:rPr>
                <w:rFonts w:hint="eastAsia"/>
                <w:color w:val="auto"/>
                <w:lang w:val="en-US" w:eastAsia="zh-CN"/>
              </w:rPr>
              <w:t>见表4-1</w:t>
            </w:r>
            <w:r>
              <w:rPr>
                <w:color w:val="auto"/>
              </w:rPr>
              <w:t>。因此，通过对路面定时洒水，可以有效抑制扬尘。</w:t>
            </w:r>
          </w:p>
          <w:p w14:paraId="5C79644E">
            <w:pPr>
              <w:overflowPunct w:val="0"/>
              <w:adjustRightInd w:val="0"/>
              <w:snapToGrid w:val="0"/>
              <w:spacing w:beforeLines="50"/>
              <w:jc w:val="center"/>
              <w:textAlignment w:val="baseline"/>
              <w:rPr>
                <w:color w:val="auto"/>
              </w:rPr>
            </w:pPr>
            <w:r>
              <w:rPr>
                <w:b/>
                <w:bCs/>
                <w:color w:val="auto"/>
                <w:kern w:val="0"/>
              </w:rPr>
              <w:t>表</w:t>
            </w:r>
            <w:r>
              <w:rPr>
                <w:rFonts w:hint="eastAsia"/>
                <w:b/>
                <w:bCs/>
                <w:color w:val="auto"/>
                <w:kern w:val="0"/>
              </w:rPr>
              <w:t>4</w:t>
            </w:r>
            <w:r>
              <w:rPr>
                <w:b/>
                <w:bCs/>
                <w:color w:val="auto"/>
                <w:kern w:val="0"/>
              </w:rPr>
              <w:t>-</w:t>
            </w:r>
            <w:r>
              <w:rPr>
                <w:rFonts w:hint="eastAsia"/>
                <w:b/>
                <w:bCs/>
                <w:color w:val="auto"/>
                <w:kern w:val="0"/>
                <w:lang w:val="en-US" w:eastAsia="zh-CN"/>
              </w:rPr>
              <w:t>1</w:t>
            </w:r>
            <w:r>
              <w:rPr>
                <w:rFonts w:hint="eastAsia"/>
                <w:b/>
                <w:bCs/>
                <w:color w:val="auto"/>
                <w:kern w:val="0"/>
              </w:rPr>
              <w:t xml:space="preserve">  </w:t>
            </w:r>
            <w:r>
              <w:rPr>
                <w:b/>
                <w:bCs/>
                <w:color w:val="auto"/>
                <w:kern w:val="0"/>
              </w:rPr>
              <w:t>施工路段洒水降尘试验结果</w:t>
            </w:r>
          </w:p>
          <w:p w14:paraId="10403DC6">
            <w:pPr>
              <w:overflowPunct w:val="0"/>
              <w:adjustRightInd w:val="0"/>
              <w:snapToGrid w:val="0"/>
              <w:spacing w:line="24" w:lineRule="auto"/>
              <w:textAlignment w:val="baseline"/>
              <w:rPr>
                <w:color w:val="auto"/>
                <w:sz w:val="2"/>
              </w:rPr>
            </w:pPr>
          </w:p>
          <w:tbl>
            <w:tblPr>
              <w:tblStyle w:val="22"/>
              <w:tblW w:w="8053"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1212"/>
              <w:gridCol w:w="1214"/>
              <w:gridCol w:w="1125"/>
              <w:gridCol w:w="1125"/>
              <w:gridCol w:w="1125"/>
              <w:gridCol w:w="1125"/>
              <w:gridCol w:w="1127"/>
            </w:tblGrid>
            <w:tr w14:paraId="1152442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jc w:val="center"/>
              </w:trPr>
              <w:tc>
                <w:tcPr>
                  <w:tcW w:w="2426" w:type="dxa"/>
                  <w:gridSpan w:val="2"/>
                  <w:vAlign w:val="center"/>
                </w:tcPr>
                <w:p w14:paraId="309E67AD">
                  <w:pPr>
                    <w:overflowPunct w:val="0"/>
                    <w:adjustRightInd w:val="0"/>
                    <w:snapToGrid w:val="0"/>
                    <w:jc w:val="center"/>
                    <w:textAlignment w:val="baseline"/>
                    <w:rPr>
                      <w:b/>
                      <w:bCs/>
                      <w:color w:val="auto"/>
                    </w:rPr>
                  </w:pPr>
                  <w:r>
                    <w:rPr>
                      <w:rFonts w:hAnsi="宋体"/>
                      <w:b/>
                      <w:bCs/>
                      <w:color w:val="auto"/>
                      <w:kern w:val="0"/>
                    </w:rPr>
                    <w:t>距路边距离</w:t>
                  </w:r>
                  <w:r>
                    <w:rPr>
                      <w:b/>
                      <w:bCs/>
                      <w:color w:val="auto"/>
                      <w:kern w:val="0"/>
                    </w:rPr>
                    <w:t>(m)</w:t>
                  </w:r>
                </w:p>
              </w:tc>
              <w:tc>
                <w:tcPr>
                  <w:tcW w:w="1125" w:type="dxa"/>
                  <w:vAlign w:val="center"/>
                </w:tcPr>
                <w:p w14:paraId="2A93FD59">
                  <w:pPr>
                    <w:overflowPunct w:val="0"/>
                    <w:adjustRightInd w:val="0"/>
                    <w:snapToGrid w:val="0"/>
                    <w:jc w:val="center"/>
                    <w:textAlignment w:val="baseline"/>
                    <w:rPr>
                      <w:b/>
                      <w:bCs/>
                      <w:color w:val="auto"/>
                    </w:rPr>
                  </w:pPr>
                  <w:r>
                    <w:rPr>
                      <w:b/>
                      <w:bCs/>
                      <w:color w:val="auto"/>
                      <w:kern w:val="0"/>
                    </w:rPr>
                    <w:t>0</w:t>
                  </w:r>
                </w:p>
              </w:tc>
              <w:tc>
                <w:tcPr>
                  <w:tcW w:w="1125" w:type="dxa"/>
                  <w:vAlign w:val="center"/>
                </w:tcPr>
                <w:p w14:paraId="07FE5A02">
                  <w:pPr>
                    <w:overflowPunct w:val="0"/>
                    <w:adjustRightInd w:val="0"/>
                    <w:snapToGrid w:val="0"/>
                    <w:jc w:val="center"/>
                    <w:textAlignment w:val="baseline"/>
                    <w:rPr>
                      <w:b/>
                      <w:bCs/>
                      <w:color w:val="auto"/>
                    </w:rPr>
                  </w:pPr>
                  <w:r>
                    <w:rPr>
                      <w:b/>
                      <w:bCs/>
                      <w:color w:val="auto"/>
                      <w:kern w:val="0"/>
                    </w:rPr>
                    <w:t>20</w:t>
                  </w:r>
                </w:p>
              </w:tc>
              <w:tc>
                <w:tcPr>
                  <w:tcW w:w="1125" w:type="dxa"/>
                  <w:vAlign w:val="center"/>
                </w:tcPr>
                <w:p w14:paraId="2105DA2B">
                  <w:pPr>
                    <w:overflowPunct w:val="0"/>
                    <w:adjustRightInd w:val="0"/>
                    <w:snapToGrid w:val="0"/>
                    <w:jc w:val="center"/>
                    <w:textAlignment w:val="baseline"/>
                    <w:rPr>
                      <w:b/>
                      <w:bCs/>
                      <w:color w:val="auto"/>
                    </w:rPr>
                  </w:pPr>
                  <w:r>
                    <w:rPr>
                      <w:b/>
                      <w:bCs/>
                      <w:color w:val="auto"/>
                      <w:kern w:val="0"/>
                    </w:rPr>
                    <w:t>50</w:t>
                  </w:r>
                </w:p>
              </w:tc>
              <w:tc>
                <w:tcPr>
                  <w:tcW w:w="1125" w:type="dxa"/>
                  <w:vAlign w:val="center"/>
                </w:tcPr>
                <w:p w14:paraId="5AACCD29">
                  <w:pPr>
                    <w:overflowPunct w:val="0"/>
                    <w:adjustRightInd w:val="0"/>
                    <w:snapToGrid w:val="0"/>
                    <w:jc w:val="center"/>
                    <w:textAlignment w:val="baseline"/>
                    <w:rPr>
                      <w:b/>
                      <w:bCs/>
                      <w:color w:val="auto"/>
                    </w:rPr>
                  </w:pPr>
                  <w:r>
                    <w:rPr>
                      <w:b/>
                      <w:bCs/>
                      <w:color w:val="auto"/>
                      <w:kern w:val="0"/>
                    </w:rPr>
                    <w:t>100</w:t>
                  </w:r>
                </w:p>
              </w:tc>
              <w:tc>
                <w:tcPr>
                  <w:tcW w:w="1127" w:type="dxa"/>
                  <w:vAlign w:val="center"/>
                </w:tcPr>
                <w:p w14:paraId="6FBA502D">
                  <w:pPr>
                    <w:overflowPunct w:val="0"/>
                    <w:adjustRightInd w:val="0"/>
                    <w:snapToGrid w:val="0"/>
                    <w:jc w:val="center"/>
                    <w:textAlignment w:val="baseline"/>
                    <w:rPr>
                      <w:b/>
                      <w:bCs/>
                      <w:color w:val="auto"/>
                    </w:rPr>
                  </w:pPr>
                  <w:r>
                    <w:rPr>
                      <w:b/>
                      <w:bCs/>
                      <w:color w:val="auto"/>
                      <w:kern w:val="0"/>
                    </w:rPr>
                    <w:t>200</w:t>
                  </w:r>
                </w:p>
              </w:tc>
            </w:tr>
            <w:tr w14:paraId="15C8D5C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jc w:val="center"/>
              </w:trPr>
              <w:tc>
                <w:tcPr>
                  <w:tcW w:w="1212" w:type="dxa"/>
                  <w:vMerge w:val="restart"/>
                  <w:vAlign w:val="center"/>
                </w:tcPr>
                <w:p w14:paraId="260C11F3">
                  <w:pPr>
                    <w:overflowPunct w:val="0"/>
                    <w:adjustRightInd w:val="0"/>
                    <w:snapToGrid w:val="0"/>
                    <w:jc w:val="center"/>
                    <w:textAlignment w:val="baseline"/>
                    <w:rPr>
                      <w:color w:val="auto"/>
                    </w:rPr>
                  </w:pPr>
                  <w:r>
                    <w:rPr>
                      <w:color w:val="auto"/>
                      <w:kern w:val="0"/>
                    </w:rPr>
                    <w:t>TSP</w:t>
                  </w:r>
                </w:p>
                <w:p w14:paraId="040071AF">
                  <w:pPr>
                    <w:overflowPunct w:val="0"/>
                    <w:adjustRightInd w:val="0"/>
                    <w:snapToGrid w:val="0"/>
                    <w:jc w:val="center"/>
                    <w:textAlignment w:val="baseline"/>
                    <w:rPr>
                      <w:color w:val="auto"/>
                    </w:rPr>
                  </w:pPr>
                  <w:r>
                    <w:rPr>
                      <w:color w:val="auto"/>
                      <w:kern w:val="0"/>
                    </w:rPr>
                    <w:t>(mg/m</w:t>
                  </w:r>
                  <w:r>
                    <w:rPr>
                      <w:color w:val="auto"/>
                      <w:kern w:val="0"/>
                      <w:vertAlign w:val="superscript"/>
                    </w:rPr>
                    <w:t>3</w:t>
                  </w:r>
                  <w:r>
                    <w:rPr>
                      <w:color w:val="auto"/>
                      <w:kern w:val="0"/>
                    </w:rPr>
                    <w:t>)</w:t>
                  </w:r>
                </w:p>
              </w:tc>
              <w:tc>
                <w:tcPr>
                  <w:tcW w:w="1214" w:type="dxa"/>
                  <w:vAlign w:val="center"/>
                </w:tcPr>
                <w:p w14:paraId="0412529A">
                  <w:pPr>
                    <w:overflowPunct w:val="0"/>
                    <w:adjustRightInd w:val="0"/>
                    <w:snapToGrid w:val="0"/>
                    <w:jc w:val="center"/>
                    <w:textAlignment w:val="baseline"/>
                    <w:rPr>
                      <w:color w:val="auto"/>
                    </w:rPr>
                  </w:pPr>
                  <w:r>
                    <w:rPr>
                      <w:rFonts w:hAnsi="宋体"/>
                      <w:color w:val="auto"/>
                      <w:kern w:val="0"/>
                    </w:rPr>
                    <w:t>不洒水</w:t>
                  </w:r>
                </w:p>
              </w:tc>
              <w:tc>
                <w:tcPr>
                  <w:tcW w:w="1125" w:type="dxa"/>
                  <w:vAlign w:val="center"/>
                </w:tcPr>
                <w:p w14:paraId="5FFB5BB7">
                  <w:pPr>
                    <w:overflowPunct w:val="0"/>
                    <w:adjustRightInd w:val="0"/>
                    <w:snapToGrid w:val="0"/>
                    <w:jc w:val="center"/>
                    <w:textAlignment w:val="baseline"/>
                    <w:rPr>
                      <w:color w:val="auto"/>
                    </w:rPr>
                  </w:pPr>
                  <w:r>
                    <w:rPr>
                      <w:color w:val="auto"/>
                      <w:kern w:val="0"/>
                    </w:rPr>
                    <w:t>11.03</w:t>
                  </w:r>
                </w:p>
              </w:tc>
              <w:tc>
                <w:tcPr>
                  <w:tcW w:w="1125" w:type="dxa"/>
                  <w:vAlign w:val="center"/>
                </w:tcPr>
                <w:p w14:paraId="1E004D6A">
                  <w:pPr>
                    <w:overflowPunct w:val="0"/>
                    <w:adjustRightInd w:val="0"/>
                    <w:snapToGrid w:val="0"/>
                    <w:jc w:val="center"/>
                    <w:textAlignment w:val="baseline"/>
                    <w:rPr>
                      <w:color w:val="auto"/>
                    </w:rPr>
                  </w:pPr>
                  <w:r>
                    <w:rPr>
                      <w:color w:val="auto"/>
                      <w:kern w:val="0"/>
                    </w:rPr>
                    <w:t>2.89</w:t>
                  </w:r>
                </w:p>
              </w:tc>
              <w:tc>
                <w:tcPr>
                  <w:tcW w:w="1125" w:type="dxa"/>
                  <w:vAlign w:val="center"/>
                </w:tcPr>
                <w:p w14:paraId="05023AA6">
                  <w:pPr>
                    <w:overflowPunct w:val="0"/>
                    <w:adjustRightInd w:val="0"/>
                    <w:snapToGrid w:val="0"/>
                    <w:jc w:val="center"/>
                    <w:textAlignment w:val="baseline"/>
                    <w:rPr>
                      <w:color w:val="auto"/>
                    </w:rPr>
                  </w:pPr>
                  <w:r>
                    <w:rPr>
                      <w:color w:val="auto"/>
                      <w:kern w:val="0"/>
                    </w:rPr>
                    <w:t>1.15</w:t>
                  </w:r>
                </w:p>
              </w:tc>
              <w:tc>
                <w:tcPr>
                  <w:tcW w:w="1125" w:type="dxa"/>
                  <w:vAlign w:val="center"/>
                </w:tcPr>
                <w:p w14:paraId="3D8DFC56">
                  <w:pPr>
                    <w:overflowPunct w:val="0"/>
                    <w:adjustRightInd w:val="0"/>
                    <w:snapToGrid w:val="0"/>
                    <w:jc w:val="center"/>
                    <w:textAlignment w:val="baseline"/>
                    <w:rPr>
                      <w:color w:val="auto"/>
                    </w:rPr>
                  </w:pPr>
                  <w:r>
                    <w:rPr>
                      <w:color w:val="auto"/>
                      <w:kern w:val="0"/>
                    </w:rPr>
                    <w:t>0.86</w:t>
                  </w:r>
                </w:p>
              </w:tc>
              <w:tc>
                <w:tcPr>
                  <w:tcW w:w="1127" w:type="dxa"/>
                  <w:vAlign w:val="center"/>
                </w:tcPr>
                <w:p w14:paraId="74211BE0">
                  <w:pPr>
                    <w:overflowPunct w:val="0"/>
                    <w:adjustRightInd w:val="0"/>
                    <w:snapToGrid w:val="0"/>
                    <w:jc w:val="center"/>
                    <w:textAlignment w:val="baseline"/>
                    <w:rPr>
                      <w:color w:val="auto"/>
                    </w:rPr>
                  </w:pPr>
                  <w:r>
                    <w:rPr>
                      <w:color w:val="auto"/>
                      <w:kern w:val="0"/>
                    </w:rPr>
                    <w:t>0.56</w:t>
                  </w:r>
                </w:p>
              </w:tc>
            </w:tr>
            <w:tr w14:paraId="6F2153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jc w:val="center"/>
              </w:trPr>
              <w:tc>
                <w:tcPr>
                  <w:tcW w:w="1212" w:type="dxa"/>
                  <w:vMerge w:val="continue"/>
                  <w:vAlign w:val="center"/>
                </w:tcPr>
                <w:p w14:paraId="0B210922">
                  <w:pPr>
                    <w:overflowPunct w:val="0"/>
                    <w:adjustRightInd w:val="0"/>
                    <w:snapToGrid w:val="0"/>
                    <w:jc w:val="center"/>
                    <w:textAlignment w:val="baseline"/>
                    <w:rPr>
                      <w:color w:val="auto"/>
                    </w:rPr>
                  </w:pPr>
                </w:p>
              </w:tc>
              <w:tc>
                <w:tcPr>
                  <w:tcW w:w="1214" w:type="dxa"/>
                  <w:vAlign w:val="center"/>
                </w:tcPr>
                <w:p w14:paraId="67F1507B">
                  <w:pPr>
                    <w:overflowPunct w:val="0"/>
                    <w:adjustRightInd w:val="0"/>
                    <w:snapToGrid w:val="0"/>
                    <w:jc w:val="center"/>
                    <w:textAlignment w:val="baseline"/>
                    <w:rPr>
                      <w:color w:val="auto"/>
                    </w:rPr>
                  </w:pPr>
                  <w:r>
                    <w:rPr>
                      <w:rFonts w:hAnsi="宋体"/>
                      <w:color w:val="auto"/>
                      <w:kern w:val="0"/>
                    </w:rPr>
                    <w:t>洒水</w:t>
                  </w:r>
                </w:p>
              </w:tc>
              <w:tc>
                <w:tcPr>
                  <w:tcW w:w="1125" w:type="dxa"/>
                  <w:vAlign w:val="center"/>
                </w:tcPr>
                <w:p w14:paraId="21EE9998">
                  <w:pPr>
                    <w:overflowPunct w:val="0"/>
                    <w:adjustRightInd w:val="0"/>
                    <w:snapToGrid w:val="0"/>
                    <w:jc w:val="center"/>
                    <w:textAlignment w:val="baseline"/>
                    <w:rPr>
                      <w:color w:val="auto"/>
                    </w:rPr>
                  </w:pPr>
                  <w:r>
                    <w:rPr>
                      <w:color w:val="auto"/>
                      <w:kern w:val="0"/>
                    </w:rPr>
                    <w:t>2.11</w:t>
                  </w:r>
                </w:p>
              </w:tc>
              <w:tc>
                <w:tcPr>
                  <w:tcW w:w="1125" w:type="dxa"/>
                  <w:vAlign w:val="center"/>
                </w:tcPr>
                <w:p w14:paraId="643A168E">
                  <w:pPr>
                    <w:overflowPunct w:val="0"/>
                    <w:adjustRightInd w:val="0"/>
                    <w:snapToGrid w:val="0"/>
                    <w:jc w:val="center"/>
                    <w:textAlignment w:val="baseline"/>
                    <w:rPr>
                      <w:color w:val="auto"/>
                    </w:rPr>
                  </w:pPr>
                  <w:r>
                    <w:rPr>
                      <w:color w:val="auto"/>
                      <w:kern w:val="0"/>
                    </w:rPr>
                    <w:t>1.40</w:t>
                  </w:r>
                </w:p>
              </w:tc>
              <w:tc>
                <w:tcPr>
                  <w:tcW w:w="1125" w:type="dxa"/>
                  <w:vAlign w:val="center"/>
                </w:tcPr>
                <w:p w14:paraId="12A32C6D">
                  <w:pPr>
                    <w:overflowPunct w:val="0"/>
                    <w:adjustRightInd w:val="0"/>
                    <w:snapToGrid w:val="0"/>
                    <w:jc w:val="center"/>
                    <w:textAlignment w:val="baseline"/>
                    <w:rPr>
                      <w:color w:val="auto"/>
                    </w:rPr>
                  </w:pPr>
                  <w:r>
                    <w:rPr>
                      <w:color w:val="auto"/>
                      <w:kern w:val="0"/>
                    </w:rPr>
                    <w:t>0.68</w:t>
                  </w:r>
                </w:p>
              </w:tc>
              <w:tc>
                <w:tcPr>
                  <w:tcW w:w="1125" w:type="dxa"/>
                  <w:vAlign w:val="center"/>
                </w:tcPr>
                <w:p w14:paraId="786539F8">
                  <w:pPr>
                    <w:overflowPunct w:val="0"/>
                    <w:adjustRightInd w:val="0"/>
                    <w:snapToGrid w:val="0"/>
                    <w:jc w:val="center"/>
                    <w:textAlignment w:val="baseline"/>
                    <w:rPr>
                      <w:color w:val="auto"/>
                    </w:rPr>
                  </w:pPr>
                  <w:r>
                    <w:rPr>
                      <w:color w:val="auto"/>
                      <w:kern w:val="0"/>
                    </w:rPr>
                    <w:t>0.60</w:t>
                  </w:r>
                </w:p>
              </w:tc>
              <w:tc>
                <w:tcPr>
                  <w:tcW w:w="1127" w:type="dxa"/>
                  <w:vAlign w:val="center"/>
                </w:tcPr>
                <w:p w14:paraId="2DA0A1EC">
                  <w:pPr>
                    <w:overflowPunct w:val="0"/>
                    <w:adjustRightInd w:val="0"/>
                    <w:snapToGrid w:val="0"/>
                    <w:jc w:val="center"/>
                    <w:textAlignment w:val="baseline"/>
                    <w:rPr>
                      <w:color w:val="auto"/>
                    </w:rPr>
                  </w:pPr>
                  <w:r>
                    <w:rPr>
                      <w:color w:val="auto"/>
                      <w:kern w:val="0"/>
                    </w:rPr>
                    <w:t>0.29</w:t>
                  </w:r>
                </w:p>
              </w:tc>
            </w:tr>
          </w:tbl>
          <w:p w14:paraId="1FD74A15">
            <w:pPr>
              <w:rPr>
                <w:rFonts w:hint="eastAsia"/>
                <w:color w:val="auto"/>
              </w:rPr>
            </w:pPr>
          </w:p>
          <w:p w14:paraId="01769371">
            <w:pPr>
              <w:pStyle w:val="58"/>
              <w:ind w:firstLine="480"/>
              <w:rPr>
                <w:rFonts w:hint="eastAsia"/>
                <w:color w:val="auto"/>
              </w:rPr>
            </w:pPr>
            <w:r>
              <w:rPr>
                <w:color w:val="auto"/>
              </w:rPr>
              <w:t>施工单位采取场地洒水、运输物料遮盖、开挖物料遮盖等抑尘措施减少扬尘污染。道路扬尘对空气质量的影响主要局限于施工场地50m以内，并且影响时段较短，影响将随施工期结束而停止。</w:t>
            </w:r>
          </w:p>
          <w:p w14:paraId="27C6050B">
            <w:pPr>
              <w:snapToGrid w:val="0"/>
              <w:spacing w:line="300" w:lineRule="auto"/>
              <w:ind w:firstLine="480" w:firstLineChars="200"/>
              <w:rPr>
                <w:color w:val="auto"/>
                <w:kern w:val="0"/>
                <w:sz w:val="24"/>
              </w:rPr>
            </w:pPr>
            <w:r>
              <w:rPr>
                <w:rFonts w:hint="eastAsia"/>
                <w:color w:val="auto"/>
                <w:sz w:val="24"/>
                <w:szCs w:val="20"/>
              </w:rPr>
              <w:t>(2)</w:t>
            </w:r>
            <w:r>
              <w:rPr>
                <w:color w:val="auto"/>
                <w:sz w:val="24"/>
              </w:rPr>
              <w:t xml:space="preserve"> </w:t>
            </w:r>
            <w:r>
              <w:rPr>
                <w:color w:val="auto"/>
                <w:kern w:val="0"/>
                <w:sz w:val="24"/>
              </w:rPr>
              <w:t>水稳拌合站</w:t>
            </w:r>
            <w:r>
              <w:rPr>
                <w:rFonts w:hint="eastAsia"/>
                <w:color w:val="auto"/>
                <w:kern w:val="0"/>
                <w:sz w:val="24"/>
              </w:rPr>
              <w:t>、</w:t>
            </w:r>
            <w:r>
              <w:rPr>
                <w:color w:val="auto"/>
                <w:sz w:val="24"/>
              </w:rPr>
              <w:t>混凝土拌合站粉尘</w:t>
            </w:r>
          </w:p>
          <w:p w14:paraId="6EF05A9F">
            <w:pPr>
              <w:spacing w:line="300" w:lineRule="auto"/>
              <w:ind w:firstLine="480" w:firstLineChars="200"/>
              <w:rPr>
                <w:rFonts w:hint="eastAsia"/>
                <w:color w:val="auto"/>
                <w:sz w:val="24"/>
              </w:rPr>
            </w:pPr>
            <w:r>
              <w:rPr>
                <w:color w:val="auto"/>
                <w:kern w:val="0"/>
                <w:sz w:val="24"/>
              </w:rPr>
              <w:t>水稳料通常包括水泥、粉煤灰、碎石以及稳定土层料等，</w:t>
            </w:r>
            <w:r>
              <w:rPr>
                <w:rFonts w:hint="eastAsia"/>
                <w:color w:val="auto"/>
                <w:kern w:val="0"/>
                <w:sz w:val="24"/>
                <w:lang w:val="en-US" w:eastAsia="zh-CN"/>
              </w:rPr>
              <w:t>拟建公路</w:t>
            </w:r>
            <w:r>
              <w:rPr>
                <w:color w:val="auto"/>
                <w:kern w:val="0"/>
                <w:sz w:val="24"/>
              </w:rPr>
              <w:t>共设置有</w:t>
            </w:r>
            <w:r>
              <w:rPr>
                <w:rFonts w:hint="eastAsia"/>
                <w:color w:val="auto"/>
                <w:kern w:val="0"/>
                <w:sz w:val="24"/>
              </w:rPr>
              <w:t>2</w:t>
            </w:r>
            <w:r>
              <w:rPr>
                <w:color w:val="auto"/>
                <w:kern w:val="0"/>
                <w:sz w:val="24"/>
              </w:rPr>
              <w:t>处水稳拌合站，其预计使用水稳料总量为</w:t>
            </w:r>
            <w:r>
              <w:rPr>
                <w:rFonts w:hint="eastAsia"/>
                <w:color w:val="auto"/>
                <w:kern w:val="0"/>
                <w:sz w:val="24"/>
              </w:rPr>
              <w:t>151.18</w:t>
            </w:r>
            <w:r>
              <w:rPr>
                <w:color w:val="auto"/>
                <w:sz w:val="24"/>
              </w:rPr>
              <w:t>万吨。</w:t>
            </w:r>
            <w:r>
              <w:rPr>
                <w:color w:val="auto"/>
                <w:kern w:val="0"/>
                <w:sz w:val="24"/>
              </w:rPr>
              <w:t>水稳拌合站粉尘参照</w:t>
            </w:r>
            <w:r>
              <w:rPr>
                <w:color w:val="auto"/>
                <w:sz w:val="24"/>
              </w:rPr>
              <w:t>《工业源产排污核算方法和系数手册》中的水泥制品制造行业系数表中的产污系数进行计算，物料储存和物料混合搅拌的产污系数分别为0.1</w:t>
            </w:r>
            <w:r>
              <w:rPr>
                <w:rFonts w:hint="eastAsia"/>
                <w:color w:val="auto"/>
                <w:sz w:val="24"/>
              </w:rPr>
              <w:t>2</w:t>
            </w:r>
            <w:r>
              <w:rPr>
                <w:color w:val="auto"/>
                <w:sz w:val="24"/>
              </w:rPr>
              <w:t>kg/t·产品、0.</w:t>
            </w:r>
            <w:r>
              <w:rPr>
                <w:rFonts w:hint="eastAsia"/>
                <w:color w:val="auto"/>
                <w:sz w:val="24"/>
              </w:rPr>
              <w:t>13</w:t>
            </w:r>
            <w:r>
              <w:rPr>
                <w:color w:val="auto"/>
                <w:sz w:val="24"/>
              </w:rPr>
              <w:t>kg/t·产品，经计算项目拌合站粉尘的产生量为</w:t>
            </w:r>
            <w:r>
              <w:rPr>
                <w:rFonts w:hint="eastAsia"/>
                <w:color w:val="auto"/>
                <w:sz w:val="24"/>
              </w:rPr>
              <w:t>37.80</w:t>
            </w:r>
            <w:r>
              <w:rPr>
                <w:color w:val="auto"/>
                <w:sz w:val="24"/>
              </w:rPr>
              <w:t>t，物料储存和物料混合搅拌产生的粉尘统一收集后通过袋式除尘器处置后通过15m高的排气筒排放，</w:t>
            </w:r>
            <w:r>
              <w:rPr>
                <w:color w:val="auto"/>
                <w:kern w:val="0"/>
                <w:sz w:val="24"/>
              </w:rPr>
              <w:t>水稳</w:t>
            </w:r>
            <w:r>
              <w:rPr>
                <w:color w:val="auto"/>
                <w:sz w:val="24"/>
              </w:rPr>
              <w:t>拌合站粉尘均采用袋式除尘器处置除尘效率可达99%以上，粉尘排放量</w:t>
            </w:r>
            <w:r>
              <w:rPr>
                <w:rFonts w:hint="eastAsia"/>
                <w:color w:val="auto"/>
                <w:sz w:val="24"/>
              </w:rPr>
              <w:t>约0.38</w:t>
            </w:r>
            <w:r>
              <w:rPr>
                <w:color w:val="auto"/>
                <w:sz w:val="24"/>
              </w:rPr>
              <w:t>t/a，收集的粉尘回用于生产。</w:t>
            </w:r>
          </w:p>
          <w:p w14:paraId="56E22D5C">
            <w:pPr>
              <w:spacing w:line="300" w:lineRule="auto"/>
              <w:ind w:firstLine="480" w:firstLineChars="200"/>
              <w:rPr>
                <w:rFonts w:hint="eastAsia"/>
                <w:color w:val="auto"/>
                <w:sz w:val="24"/>
              </w:rPr>
            </w:pPr>
            <w:r>
              <w:rPr>
                <w:color w:val="auto"/>
                <w:sz w:val="24"/>
              </w:rPr>
              <w:t>拟建</w:t>
            </w:r>
            <w:r>
              <w:rPr>
                <w:rFonts w:hint="eastAsia"/>
                <w:color w:val="auto"/>
                <w:sz w:val="24"/>
                <w:lang w:val="en-US" w:eastAsia="zh-CN"/>
              </w:rPr>
              <w:t>公路</w:t>
            </w:r>
            <w:r>
              <w:rPr>
                <w:color w:val="auto"/>
                <w:sz w:val="24"/>
              </w:rPr>
              <w:t>施工期设置混凝土拌合站</w:t>
            </w:r>
            <w:r>
              <w:rPr>
                <w:rFonts w:hint="eastAsia"/>
                <w:color w:val="auto"/>
                <w:sz w:val="24"/>
              </w:rPr>
              <w:t>2</w:t>
            </w:r>
            <w:r>
              <w:rPr>
                <w:color w:val="auto"/>
                <w:sz w:val="24"/>
              </w:rPr>
              <w:t>处，施工</w:t>
            </w:r>
            <w:r>
              <w:rPr>
                <w:rFonts w:hint="eastAsia"/>
                <w:color w:val="auto"/>
                <w:sz w:val="24"/>
              </w:rPr>
              <w:t>期间</w:t>
            </w:r>
            <w:r>
              <w:rPr>
                <w:color w:val="auto"/>
                <w:sz w:val="24"/>
              </w:rPr>
              <w:t>按照混凝土拌合站标准和规范进行安装，水泥和粉煤灰筒仓设配套过滤式袋式除尘器，封闭式的物料皮带输送廊道。根据《工业源产排污核算方法和系数手册》，物料输送储存和物料混合搅拌的产污系数分别为0.1</w:t>
            </w:r>
            <w:r>
              <w:rPr>
                <w:rFonts w:hint="eastAsia"/>
                <w:color w:val="auto"/>
                <w:sz w:val="24"/>
              </w:rPr>
              <w:t>2</w:t>
            </w:r>
            <w:r>
              <w:rPr>
                <w:color w:val="auto"/>
                <w:sz w:val="24"/>
              </w:rPr>
              <w:t>kg/t·产品、0.</w:t>
            </w:r>
            <w:r>
              <w:rPr>
                <w:rFonts w:hint="eastAsia"/>
                <w:color w:val="auto"/>
                <w:sz w:val="24"/>
              </w:rPr>
              <w:t>13</w:t>
            </w:r>
            <w:r>
              <w:rPr>
                <w:color w:val="auto"/>
                <w:sz w:val="24"/>
              </w:rPr>
              <w:t>kg/t·产品，根据</w:t>
            </w:r>
            <w:r>
              <w:rPr>
                <w:rFonts w:hint="eastAsia"/>
                <w:color w:val="auto"/>
                <w:sz w:val="24"/>
              </w:rPr>
              <w:t>估算</w:t>
            </w:r>
            <w:r>
              <w:rPr>
                <w:color w:val="auto"/>
                <w:sz w:val="24"/>
              </w:rPr>
              <w:t>，项目水泥使用量约为</w:t>
            </w:r>
            <w:r>
              <w:rPr>
                <w:rFonts w:hint="eastAsia"/>
                <w:color w:val="auto"/>
                <w:sz w:val="24"/>
              </w:rPr>
              <w:t>7.56</w:t>
            </w:r>
            <w:r>
              <w:rPr>
                <w:color w:val="auto"/>
                <w:sz w:val="24"/>
              </w:rPr>
              <w:t>万吨，则项目拌合站粉尘的产生量为</w:t>
            </w:r>
            <w:r>
              <w:rPr>
                <w:rFonts w:hint="eastAsia"/>
                <w:color w:val="auto"/>
                <w:sz w:val="24"/>
              </w:rPr>
              <w:t>1.89</w:t>
            </w:r>
            <w:r>
              <w:rPr>
                <w:color w:val="auto"/>
                <w:sz w:val="24"/>
              </w:rPr>
              <w:t>t，拌合站上料、拌合粉尘均采用袋式除尘器处理，除尘效率可达99%以上，粉尘排放量在</w:t>
            </w:r>
            <w:r>
              <w:rPr>
                <w:rFonts w:hint="eastAsia"/>
                <w:color w:val="auto"/>
                <w:sz w:val="24"/>
              </w:rPr>
              <w:t>0.19</w:t>
            </w:r>
            <w:r>
              <w:rPr>
                <w:color w:val="auto"/>
                <w:sz w:val="24"/>
              </w:rPr>
              <w:t>t/a左右，收集的粉尘回用于生产。</w:t>
            </w:r>
          </w:p>
          <w:p w14:paraId="2E7B499E">
            <w:pPr>
              <w:pStyle w:val="56"/>
              <w:jc w:val="both"/>
              <w:rPr>
                <w:rFonts w:ascii="Times New Roman" w:hAnsi="Times New Roman" w:cs="Times New Roman"/>
                <w:color w:val="auto"/>
              </w:rPr>
            </w:pPr>
            <w:r>
              <w:rPr>
                <w:rFonts w:ascii="Times New Roman" w:cs="Times New Roman"/>
                <w:color w:val="auto"/>
              </w:rPr>
              <w:t>目前施工中一般用湿法搅拌混凝土，采用混凝土搅拌机（楼）厂拌方式，选用具有二次除尘含密封装置的搅拌机，可有效减小混凝土搅拌过程中的扬尘。而石灰和粉煤灰等散体材料进行堆放安置时，如不做任何防护措施，在风力作用下易发生扬尘，对其存放应做好防护工作。通过洒水、</w:t>
            </w:r>
            <w:r>
              <w:rPr>
                <w:rFonts w:hint="eastAsia" w:ascii="Times New Roman" w:cs="Times New Roman"/>
                <w:color w:val="auto"/>
                <w:lang w:eastAsia="zh-CN"/>
              </w:rPr>
              <w:t>篷布</w:t>
            </w:r>
            <w:r>
              <w:rPr>
                <w:rFonts w:ascii="Times New Roman" w:cs="Times New Roman"/>
                <w:color w:val="auto"/>
              </w:rPr>
              <w:t>遮挡等措施，可有效地防止风吹扬尘。根据有关测试成果，在水泥混凝土拌合站下风向</w:t>
            </w:r>
            <w:r>
              <w:rPr>
                <w:rFonts w:ascii="Times New Roman" w:hAnsi="Times New Roman" w:cs="Times New Roman"/>
                <w:color w:val="auto"/>
              </w:rPr>
              <w:t>50m</w:t>
            </w:r>
            <w:r>
              <w:rPr>
                <w:rFonts w:ascii="Times New Roman" w:cs="Times New Roman"/>
                <w:color w:val="auto"/>
              </w:rPr>
              <w:t>处大气中</w:t>
            </w:r>
            <w:r>
              <w:rPr>
                <w:rFonts w:ascii="Times New Roman" w:hAnsi="Times New Roman" w:cs="Times New Roman"/>
                <w:color w:val="auto"/>
              </w:rPr>
              <w:t>TSP</w:t>
            </w:r>
            <w:r>
              <w:rPr>
                <w:rFonts w:ascii="Times New Roman" w:cs="Times New Roman"/>
                <w:color w:val="auto"/>
              </w:rPr>
              <w:t>浓度</w:t>
            </w:r>
            <w:r>
              <w:rPr>
                <w:rFonts w:ascii="Times New Roman" w:hAnsi="Times New Roman" w:cs="Times New Roman"/>
                <w:color w:val="auto"/>
              </w:rPr>
              <w:t>8.849mg/m</w:t>
            </w:r>
            <w:r>
              <w:rPr>
                <w:rFonts w:ascii="Times New Roman" w:hAnsi="Times New Roman" w:cs="Times New Roman"/>
                <w:color w:val="auto"/>
                <w:vertAlign w:val="superscript"/>
              </w:rPr>
              <w:t>3</w:t>
            </w:r>
            <w:r>
              <w:rPr>
                <w:rFonts w:ascii="Times New Roman" w:cs="Times New Roman"/>
                <w:color w:val="auto"/>
              </w:rPr>
              <w:t>，</w:t>
            </w:r>
            <w:r>
              <w:rPr>
                <w:rFonts w:ascii="Times New Roman" w:hAnsi="Times New Roman" w:cs="Times New Roman"/>
                <w:color w:val="auto"/>
              </w:rPr>
              <w:t>100m</w:t>
            </w:r>
            <w:r>
              <w:rPr>
                <w:rFonts w:ascii="Times New Roman" w:cs="Times New Roman"/>
                <w:color w:val="auto"/>
              </w:rPr>
              <w:t>处</w:t>
            </w:r>
            <w:r>
              <w:rPr>
                <w:rFonts w:ascii="Times New Roman" w:hAnsi="Times New Roman" w:cs="Times New Roman"/>
                <w:color w:val="auto"/>
              </w:rPr>
              <w:t>1.703mg/m</w:t>
            </w:r>
            <w:r>
              <w:rPr>
                <w:rFonts w:ascii="Times New Roman" w:hAnsi="Times New Roman" w:cs="Times New Roman"/>
                <w:color w:val="auto"/>
                <w:vertAlign w:val="superscript"/>
              </w:rPr>
              <w:t>3</w:t>
            </w:r>
            <w:r>
              <w:rPr>
                <w:rFonts w:ascii="Times New Roman" w:cs="Times New Roman"/>
                <w:color w:val="auto"/>
              </w:rPr>
              <w:t>，</w:t>
            </w:r>
            <w:r>
              <w:rPr>
                <w:rFonts w:ascii="Times New Roman" w:hAnsi="Times New Roman" w:cs="Times New Roman"/>
                <w:color w:val="auto"/>
              </w:rPr>
              <w:t>150m</w:t>
            </w:r>
            <w:r>
              <w:rPr>
                <w:rFonts w:ascii="Times New Roman" w:cs="Times New Roman"/>
                <w:color w:val="auto"/>
              </w:rPr>
              <w:t>处</w:t>
            </w:r>
            <w:r>
              <w:rPr>
                <w:rFonts w:ascii="Times New Roman" w:hAnsi="Times New Roman" w:cs="Times New Roman"/>
                <w:color w:val="auto"/>
              </w:rPr>
              <w:t>0.483mg/m</w:t>
            </w:r>
            <w:r>
              <w:rPr>
                <w:rFonts w:ascii="Times New Roman" w:hAnsi="Times New Roman" w:cs="Times New Roman"/>
                <w:color w:val="auto"/>
                <w:vertAlign w:val="superscript"/>
              </w:rPr>
              <w:t>3</w:t>
            </w:r>
            <w:r>
              <w:rPr>
                <w:rFonts w:ascii="Times New Roman" w:cs="Times New Roman"/>
                <w:color w:val="auto"/>
              </w:rPr>
              <w:t>，在</w:t>
            </w:r>
            <w:r>
              <w:rPr>
                <w:rFonts w:ascii="Times New Roman" w:hAnsi="Times New Roman" w:cs="Times New Roman"/>
                <w:color w:val="auto"/>
              </w:rPr>
              <w:t>200m</w:t>
            </w:r>
            <w:r>
              <w:rPr>
                <w:rFonts w:ascii="Times New Roman" w:cs="Times New Roman"/>
                <w:color w:val="auto"/>
              </w:rPr>
              <w:t>外基本上能达到环境空气质量二级标准的要求。</w:t>
            </w:r>
          </w:p>
          <w:p w14:paraId="46F0351A">
            <w:pPr>
              <w:pStyle w:val="56"/>
              <w:jc w:val="both"/>
              <w:rPr>
                <w:rFonts w:ascii="Times New Roman" w:hAnsi="Times New Roman" w:cs="Times New Roman"/>
                <w:color w:val="auto"/>
              </w:rPr>
            </w:pPr>
            <w:r>
              <w:rPr>
                <w:rFonts w:ascii="Times New Roman" w:cs="Times New Roman"/>
                <w:color w:val="auto"/>
              </w:rPr>
              <w:t>拟建公路混凝土拌合站和水稳拌合站均设置有全封闭式储料棚进行堆放，起尘量较小，对周边环境影响较小。物料输送过程设置为封闭式输送廊道，输送过程的粉尘经统一收集后与拌合站粉尘一起采用布袋除尘处理后通过</w:t>
            </w:r>
            <w:r>
              <w:rPr>
                <w:rFonts w:ascii="Times New Roman" w:hAnsi="Times New Roman" w:cs="Times New Roman"/>
                <w:color w:val="auto"/>
              </w:rPr>
              <w:t>15m</w:t>
            </w:r>
            <w:r>
              <w:rPr>
                <w:rFonts w:ascii="Times New Roman" w:cs="Times New Roman"/>
                <w:color w:val="auto"/>
              </w:rPr>
              <w:t>排气筒排放，治理措施属于可行技术，颗粒物排放满足《水泥工业大气污染物排放标准》（</w:t>
            </w:r>
            <w:r>
              <w:rPr>
                <w:rFonts w:ascii="Times New Roman" w:hAnsi="Times New Roman" w:cs="Times New Roman"/>
                <w:color w:val="auto"/>
              </w:rPr>
              <w:t>GB4915-2013</w:t>
            </w:r>
            <w:r>
              <w:rPr>
                <w:rFonts w:ascii="Times New Roman" w:cs="Times New Roman"/>
                <w:color w:val="auto"/>
              </w:rPr>
              <w:t>）表</w:t>
            </w:r>
            <w:r>
              <w:rPr>
                <w:rFonts w:ascii="Times New Roman" w:hAnsi="Times New Roman" w:cs="Times New Roman"/>
                <w:color w:val="auto"/>
              </w:rPr>
              <w:t>1</w:t>
            </w:r>
            <w:r>
              <w:rPr>
                <w:rFonts w:ascii="Times New Roman" w:cs="Times New Roman"/>
                <w:color w:val="auto"/>
              </w:rPr>
              <w:t>水泥制品生产排放标准。混凝土拌合站和水稳拌合站粉尘拌合过程产生的颗粒物采用布袋除尘处理后通过</w:t>
            </w:r>
            <w:r>
              <w:rPr>
                <w:rFonts w:ascii="Times New Roman" w:hAnsi="Times New Roman" w:cs="Times New Roman"/>
                <w:color w:val="auto"/>
              </w:rPr>
              <w:t>15m</w:t>
            </w:r>
            <w:r>
              <w:rPr>
                <w:rFonts w:ascii="Times New Roman" w:cs="Times New Roman"/>
                <w:color w:val="auto"/>
              </w:rPr>
              <w:t>排气筒排放，颗粒物排放满足《水泥工业大气污染物排放标准》（</w:t>
            </w:r>
            <w:r>
              <w:rPr>
                <w:rFonts w:ascii="Times New Roman" w:hAnsi="Times New Roman" w:cs="Times New Roman"/>
                <w:color w:val="auto"/>
              </w:rPr>
              <w:t>GB4915-2013</w:t>
            </w:r>
            <w:r>
              <w:rPr>
                <w:rFonts w:ascii="Times New Roman" w:cs="Times New Roman"/>
                <w:color w:val="auto"/>
              </w:rPr>
              <w:t>）表</w:t>
            </w:r>
            <w:r>
              <w:rPr>
                <w:rFonts w:ascii="Times New Roman" w:hAnsi="Times New Roman" w:cs="Times New Roman"/>
                <w:color w:val="auto"/>
              </w:rPr>
              <w:t>1</w:t>
            </w:r>
            <w:r>
              <w:rPr>
                <w:rFonts w:ascii="Times New Roman" w:cs="Times New Roman"/>
                <w:color w:val="auto"/>
              </w:rPr>
              <w:t>水泥制品生产排放标准，治理措施属于可行技术，污染物均达标排放，对周边环境影响较小。</w:t>
            </w:r>
          </w:p>
          <w:p w14:paraId="6F87C814">
            <w:pPr>
              <w:snapToGrid w:val="0"/>
              <w:spacing w:line="300" w:lineRule="auto"/>
              <w:ind w:firstLine="480" w:firstLineChars="200"/>
              <w:rPr>
                <w:rFonts w:ascii="宋体" w:hAnsi="宋体"/>
                <w:color w:val="auto"/>
                <w:kern w:val="0"/>
                <w:sz w:val="24"/>
              </w:rPr>
            </w:pPr>
            <w:r>
              <w:rPr>
                <w:rFonts w:hint="eastAsia"/>
                <w:color w:val="auto"/>
                <w:sz w:val="24"/>
                <w:szCs w:val="20"/>
              </w:rPr>
              <w:t xml:space="preserve">(3) </w:t>
            </w:r>
            <w:r>
              <w:rPr>
                <w:rFonts w:ascii="宋体" w:hAnsi="宋体"/>
                <w:color w:val="auto"/>
                <w:kern w:val="0"/>
                <w:sz w:val="24"/>
              </w:rPr>
              <w:t>沥青拌合站</w:t>
            </w:r>
            <w:r>
              <w:rPr>
                <w:rFonts w:hint="eastAsia" w:ascii="宋体" w:hAnsi="宋体"/>
                <w:color w:val="auto"/>
                <w:kern w:val="0"/>
                <w:sz w:val="24"/>
              </w:rPr>
              <w:t>烘干炉废气、导热油炉废气、沥青加热搅拌废气</w:t>
            </w:r>
          </w:p>
          <w:p w14:paraId="4178B503">
            <w:pPr>
              <w:adjustRightInd w:val="0"/>
              <w:snapToGrid w:val="0"/>
              <w:spacing w:line="300" w:lineRule="auto"/>
              <w:ind w:firstLine="480" w:firstLineChars="200"/>
              <w:rPr>
                <w:color w:val="auto"/>
                <w:sz w:val="24"/>
              </w:rPr>
            </w:pPr>
            <w:r>
              <w:rPr>
                <w:rFonts w:hint="eastAsia"/>
                <w:color w:val="auto"/>
                <w:sz w:val="24"/>
              </w:rPr>
              <w:t>拟建</w:t>
            </w:r>
            <w:r>
              <w:rPr>
                <w:color w:val="auto"/>
                <w:sz w:val="24"/>
              </w:rPr>
              <w:t>公路全线共</w:t>
            </w:r>
            <w:r>
              <w:rPr>
                <w:rFonts w:hint="eastAsia"/>
                <w:color w:val="auto"/>
                <w:sz w:val="24"/>
              </w:rPr>
              <w:t>设置</w:t>
            </w:r>
            <w:r>
              <w:rPr>
                <w:color w:val="auto"/>
                <w:sz w:val="24"/>
              </w:rPr>
              <w:t>2处沥青混凝土拌合站，沥青拌合站场地</w:t>
            </w:r>
            <w:r>
              <w:rPr>
                <w:rFonts w:hint="eastAsia"/>
                <w:color w:val="auto"/>
                <w:sz w:val="24"/>
                <w:lang w:eastAsia="zh-CN"/>
              </w:rPr>
              <w:t>由</w:t>
            </w:r>
            <w:r>
              <w:rPr>
                <w:color w:val="auto"/>
                <w:sz w:val="24"/>
              </w:rPr>
              <w:t>物料烘干炉系统、导热油炉加热系统、沥青储罐系统及沥青混凝土拌合系统组成。</w:t>
            </w:r>
          </w:p>
          <w:p w14:paraId="57CCB663">
            <w:pPr>
              <w:adjustRightInd w:val="0"/>
              <w:snapToGrid w:val="0"/>
              <w:spacing w:line="300" w:lineRule="auto"/>
              <w:ind w:firstLine="480" w:firstLineChars="200"/>
              <w:rPr>
                <w:rFonts w:hint="eastAsia"/>
                <w:color w:val="auto"/>
                <w:sz w:val="24"/>
              </w:rPr>
            </w:pPr>
            <w:r>
              <w:rPr>
                <w:rFonts w:hint="eastAsia"/>
                <w:color w:val="auto"/>
                <w:sz w:val="24"/>
              </w:rPr>
              <w:t>有组织废气源强选取《养护工区沥青拌合站技改项目竣工环境保护验收监测报告表》中实测数据进行类比分析，类比条件分析见表</w:t>
            </w:r>
            <w:r>
              <w:rPr>
                <w:rFonts w:hint="eastAsia"/>
                <w:color w:val="auto"/>
                <w:sz w:val="24"/>
                <w:lang w:val="en-US" w:eastAsia="zh-CN"/>
              </w:rPr>
              <w:t>4-2</w:t>
            </w:r>
            <w:r>
              <w:rPr>
                <w:rFonts w:hint="eastAsia"/>
                <w:color w:val="auto"/>
                <w:sz w:val="24"/>
              </w:rPr>
              <w:t>。</w:t>
            </w:r>
          </w:p>
          <w:p w14:paraId="6A093CD3">
            <w:pPr>
              <w:spacing w:beforeLines="50"/>
              <w:jc w:val="center"/>
              <w:rPr>
                <w:rFonts w:hint="eastAsia"/>
                <w:b/>
                <w:bCs/>
                <w:color w:val="auto"/>
                <w:kern w:val="0"/>
              </w:rPr>
            </w:pPr>
            <w:r>
              <w:rPr>
                <w:rFonts w:hint="eastAsia"/>
                <w:b/>
                <w:bCs/>
                <w:color w:val="auto"/>
                <w:kern w:val="0"/>
              </w:rPr>
              <w:t>表4-</w:t>
            </w:r>
            <w:r>
              <w:rPr>
                <w:rFonts w:hint="eastAsia"/>
                <w:b/>
                <w:bCs/>
                <w:color w:val="auto"/>
                <w:kern w:val="0"/>
                <w:lang w:val="en-US" w:eastAsia="zh-CN"/>
              </w:rPr>
              <w:t>2</w:t>
            </w:r>
            <w:r>
              <w:rPr>
                <w:rFonts w:hint="eastAsia"/>
                <w:b/>
                <w:bCs/>
                <w:color w:val="auto"/>
                <w:kern w:val="0"/>
              </w:rPr>
              <w:t xml:space="preserve">  类比情况一览表</w:t>
            </w:r>
          </w:p>
          <w:tbl>
            <w:tblPr>
              <w:tblStyle w:val="22"/>
              <w:tblW w:w="5000"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492"/>
              <w:gridCol w:w="885"/>
              <w:gridCol w:w="2934"/>
              <w:gridCol w:w="2618"/>
              <w:gridCol w:w="1061"/>
            </w:tblGrid>
            <w:tr w14:paraId="7B41B3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283" w:hRule="atLeast"/>
                <w:tblHeader/>
                <w:jc w:val="center"/>
              </w:trPr>
              <w:tc>
                <w:tcPr>
                  <w:tcW w:w="308" w:type="pct"/>
                  <w:vAlign w:val="center"/>
                </w:tcPr>
                <w:p w14:paraId="1307BED3">
                  <w:pPr>
                    <w:pStyle w:val="94"/>
                    <w:rPr>
                      <w:b/>
                      <w:bCs/>
                      <w:color w:val="auto"/>
                      <w:szCs w:val="21"/>
                    </w:rPr>
                  </w:pPr>
                  <w:r>
                    <w:rPr>
                      <w:b/>
                      <w:bCs/>
                      <w:color w:val="auto"/>
                      <w:szCs w:val="21"/>
                    </w:rPr>
                    <w:t>项目</w:t>
                  </w:r>
                </w:p>
              </w:tc>
              <w:tc>
                <w:tcPr>
                  <w:tcW w:w="554" w:type="pct"/>
                  <w:vAlign w:val="center"/>
                </w:tcPr>
                <w:p w14:paraId="690D48A4">
                  <w:pPr>
                    <w:pStyle w:val="94"/>
                    <w:rPr>
                      <w:b/>
                      <w:bCs/>
                      <w:color w:val="auto"/>
                      <w:szCs w:val="21"/>
                    </w:rPr>
                  </w:pPr>
                  <w:r>
                    <w:rPr>
                      <w:b/>
                      <w:bCs/>
                      <w:color w:val="auto"/>
                      <w:szCs w:val="21"/>
                    </w:rPr>
                    <w:t>类比条件</w:t>
                  </w:r>
                </w:p>
              </w:tc>
              <w:tc>
                <w:tcPr>
                  <w:tcW w:w="1836" w:type="pct"/>
                  <w:vAlign w:val="center"/>
                </w:tcPr>
                <w:p w14:paraId="011C7081">
                  <w:pPr>
                    <w:pStyle w:val="94"/>
                    <w:rPr>
                      <w:b/>
                      <w:bCs/>
                      <w:color w:val="auto"/>
                      <w:szCs w:val="21"/>
                    </w:rPr>
                  </w:pPr>
                  <w:r>
                    <w:rPr>
                      <w:b/>
                      <w:bCs/>
                      <w:color w:val="auto"/>
                      <w:szCs w:val="21"/>
                    </w:rPr>
                    <w:t>类比对象</w:t>
                  </w:r>
                </w:p>
              </w:tc>
              <w:tc>
                <w:tcPr>
                  <w:tcW w:w="1638" w:type="pct"/>
                  <w:vAlign w:val="center"/>
                </w:tcPr>
                <w:p w14:paraId="3C553BA6">
                  <w:pPr>
                    <w:pStyle w:val="94"/>
                    <w:rPr>
                      <w:b/>
                      <w:bCs/>
                      <w:color w:val="auto"/>
                      <w:szCs w:val="21"/>
                    </w:rPr>
                  </w:pPr>
                  <w:r>
                    <w:rPr>
                      <w:b/>
                      <w:bCs/>
                      <w:color w:val="auto"/>
                      <w:szCs w:val="21"/>
                    </w:rPr>
                    <w:t>本项目</w:t>
                  </w:r>
                </w:p>
              </w:tc>
              <w:tc>
                <w:tcPr>
                  <w:tcW w:w="664" w:type="pct"/>
                  <w:vAlign w:val="center"/>
                </w:tcPr>
                <w:p w14:paraId="4D31AD22">
                  <w:pPr>
                    <w:pStyle w:val="94"/>
                    <w:rPr>
                      <w:b/>
                      <w:bCs/>
                      <w:color w:val="auto"/>
                      <w:szCs w:val="21"/>
                    </w:rPr>
                  </w:pPr>
                  <w:r>
                    <w:rPr>
                      <w:b/>
                      <w:bCs/>
                      <w:color w:val="auto"/>
                      <w:szCs w:val="21"/>
                    </w:rPr>
                    <w:t>是否符合</w:t>
                  </w:r>
                </w:p>
              </w:tc>
            </w:tr>
            <w:tr w14:paraId="369270E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283" w:hRule="atLeast"/>
                <w:jc w:val="center"/>
              </w:trPr>
              <w:tc>
                <w:tcPr>
                  <w:tcW w:w="308" w:type="pct"/>
                  <w:vAlign w:val="center"/>
                </w:tcPr>
                <w:p w14:paraId="2CFAC07C">
                  <w:pPr>
                    <w:pStyle w:val="94"/>
                    <w:rPr>
                      <w:color w:val="auto"/>
                      <w:szCs w:val="21"/>
                    </w:rPr>
                  </w:pPr>
                  <w:r>
                    <w:rPr>
                      <w:color w:val="auto"/>
                      <w:szCs w:val="21"/>
                    </w:rPr>
                    <w:t>1</w:t>
                  </w:r>
                </w:p>
              </w:tc>
              <w:tc>
                <w:tcPr>
                  <w:tcW w:w="554" w:type="pct"/>
                  <w:vAlign w:val="center"/>
                </w:tcPr>
                <w:p w14:paraId="640A46DE">
                  <w:pPr>
                    <w:pStyle w:val="94"/>
                    <w:rPr>
                      <w:color w:val="auto"/>
                      <w:szCs w:val="21"/>
                    </w:rPr>
                  </w:pPr>
                  <w:r>
                    <w:rPr>
                      <w:color w:val="auto"/>
                      <w:szCs w:val="21"/>
                    </w:rPr>
                    <w:t>原辅材料</w:t>
                  </w:r>
                </w:p>
              </w:tc>
              <w:tc>
                <w:tcPr>
                  <w:tcW w:w="1836" w:type="pct"/>
                  <w:vAlign w:val="center"/>
                </w:tcPr>
                <w:p w14:paraId="3F32C789">
                  <w:pPr>
                    <w:pStyle w:val="94"/>
                    <w:rPr>
                      <w:color w:val="auto"/>
                      <w:szCs w:val="21"/>
                    </w:rPr>
                  </w:pPr>
                  <w:r>
                    <w:rPr>
                      <w:color w:val="auto"/>
                      <w:szCs w:val="21"/>
                    </w:rPr>
                    <w:t>原料：沥青、矿粉、骨料</w:t>
                  </w:r>
                </w:p>
                <w:p w14:paraId="3DD3E779">
                  <w:pPr>
                    <w:pStyle w:val="94"/>
                    <w:rPr>
                      <w:color w:val="auto"/>
                      <w:szCs w:val="21"/>
                    </w:rPr>
                  </w:pPr>
                  <w:r>
                    <w:rPr>
                      <w:color w:val="auto"/>
                      <w:szCs w:val="21"/>
                    </w:rPr>
                    <w:t>污染物：SO</w:t>
                  </w:r>
                  <w:r>
                    <w:rPr>
                      <w:color w:val="auto"/>
                      <w:szCs w:val="21"/>
                      <w:vertAlign w:val="subscript"/>
                    </w:rPr>
                    <w:t>2</w:t>
                  </w:r>
                  <w:r>
                    <w:rPr>
                      <w:color w:val="auto"/>
                      <w:szCs w:val="21"/>
                    </w:rPr>
                    <w:t>、NO</w:t>
                  </w:r>
                  <w:r>
                    <w:rPr>
                      <w:color w:val="auto"/>
                      <w:szCs w:val="21"/>
                      <w:vertAlign w:val="subscript"/>
                    </w:rPr>
                    <w:t>x</w:t>
                  </w:r>
                  <w:r>
                    <w:rPr>
                      <w:color w:val="auto"/>
                      <w:szCs w:val="21"/>
                    </w:rPr>
                    <w:t>、颗粒物、沥青烟、苯并[a]芘</w:t>
                  </w:r>
                </w:p>
              </w:tc>
              <w:tc>
                <w:tcPr>
                  <w:tcW w:w="1638" w:type="pct"/>
                  <w:vAlign w:val="center"/>
                </w:tcPr>
                <w:p w14:paraId="079D97A3">
                  <w:pPr>
                    <w:pStyle w:val="94"/>
                    <w:rPr>
                      <w:color w:val="auto"/>
                      <w:szCs w:val="21"/>
                    </w:rPr>
                  </w:pPr>
                  <w:r>
                    <w:rPr>
                      <w:color w:val="auto"/>
                      <w:szCs w:val="21"/>
                    </w:rPr>
                    <w:t>原料：沥青、矿粉、骨料</w:t>
                  </w:r>
                </w:p>
                <w:p w14:paraId="23D6D92F">
                  <w:pPr>
                    <w:pStyle w:val="94"/>
                    <w:rPr>
                      <w:color w:val="auto"/>
                      <w:szCs w:val="21"/>
                    </w:rPr>
                  </w:pPr>
                  <w:r>
                    <w:rPr>
                      <w:color w:val="auto"/>
                      <w:szCs w:val="21"/>
                    </w:rPr>
                    <w:t>污染物：SO</w:t>
                  </w:r>
                  <w:r>
                    <w:rPr>
                      <w:color w:val="auto"/>
                      <w:szCs w:val="21"/>
                      <w:vertAlign w:val="subscript"/>
                    </w:rPr>
                    <w:t>2</w:t>
                  </w:r>
                  <w:r>
                    <w:rPr>
                      <w:color w:val="auto"/>
                      <w:szCs w:val="21"/>
                    </w:rPr>
                    <w:t>、NO</w:t>
                  </w:r>
                  <w:r>
                    <w:rPr>
                      <w:color w:val="auto"/>
                      <w:szCs w:val="21"/>
                      <w:vertAlign w:val="subscript"/>
                    </w:rPr>
                    <w:t>x</w:t>
                  </w:r>
                  <w:r>
                    <w:rPr>
                      <w:color w:val="auto"/>
                      <w:szCs w:val="21"/>
                    </w:rPr>
                    <w:t>、颗粒物、沥青烟、苯并[a]芘</w:t>
                  </w:r>
                </w:p>
              </w:tc>
              <w:tc>
                <w:tcPr>
                  <w:tcW w:w="664" w:type="pct"/>
                  <w:vAlign w:val="center"/>
                </w:tcPr>
                <w:p w14:paraId="4AF18067">
                  <w:pPr>
                    <w:pStyle w:val="94"/>
                    <w:rPr>
                      <w:color w:val="auto"/>
                      <w:szCs w:val="21"/>
                    </w:rPr>
                  </w:pPr>
                  <w:r>
                    <w:rPr>
                      <w:color w:val="auto"/>
                      <w:szCs w:val="21"/>
                    </w:rPr>
                    <w:t>符合</w:t>
                  </w:r>
                </w:p>
              </w:tc>
            </w:tr>
            <w:tr w14:paraId="467BF7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283" w:hRule="atLeast"/>
                <w:jc w:val="center"/>
              </w:trPr>
              <w:tc>
                <w:tcPr>
                  <w:tcW w:w="308" w:type="pct"/>
                  <w:vAlign w:val="center"/>
                </w:tcPr>
                <w:p w14:paraId="0CFF3A41">
                  <w:pPr>
                    <w:pStyle w:val="94"/>
                    <w:rPr>
                      <w:color w:val="auto"/>
                      <w:szCs w:val="21"/>
                    </w:rPr>
                  </w:pPr>
                  <w:r>
                    <w:rPr>
                      <w:color w:val="auto"/>
                      <w:szCs w:val="21"/>
                    </w:rPr>
                    <w:t>2</w:t>
                  </w:r>
                </w:p>
              </w:tc>
              <w:tc>
                <w:tcPr>
                  <w:tcW w:w="554" w:type="pct"/>
                  <w:vAlign w:val="center"/>
                </w:tcPr>
                <w:p w14:paraId="318A7603">
                  <w:pPr>
                    <w:pStyle w:val="94"/>
                    <w:rPr>
                      <w:color w:val="auto"/>
                      <w:szCs w:val="21"/>
                    </w:rPr>
                  </w:pPr>
                  <w:r>
                    <w:rPr>
                      <w:color w:val="auto"/>
                      <w:szCs w:val="21"/>
                    </w:rPr>
                    <w:t>生产工艺</w:t>
                  </w:r>
                </w:p>
              </w:tc>
              <w:tc>
                <w:tcPr>
                  <w:tcW w:w="1836" w:type="pct"/>
                  <w:vAlign w:val="center"/>
                </w:tcPr>
                <w:p w14:paraId="01CEAE1E">
                  <w:pPr>
                    <w:pStyle w:val="94"/>
                    <w:rPr>
                      <w:color w:val="auto"/>
                      <w:szCs w:val="21"/>
                    </w:rPr>
                  </w:pPr>
                  <w:r>
                    <w:rPr>
                      <w:color w:val="auto"/>
                      <w:szCs w:val="21"/>
                    </w:rPr>
                    <w:t>骨料经干燥加热后与沥青、矿粉等原辅料混合拌合得到沥青混凝土料。</w:t>
                  </w:r>
                </w:p>
              </w:tc>
              <w:tc>
                <w:tcPr>
                  <w:tcW w:w="1638" w:type="pct"/>
                  <w:vAlign w:val="center"/>
                </w:tcPr>
                <w:p w14:paraId="24A59596">
                  <w:pPr>
                    <w:pStyle w:val="94"/>
                    <w:rPr>
                      <w:color w:val="auto"/>
                      <w:szCs w:val="21"/>
                    </w:rPr>
                  </w:pPr>
                  <w:r>
                    <w:rPr>
                      <w:color w:val="auto"/>
                      <w:szCs w:val="21"/>
                    </w:rPr>
                    <w:t>骨料经干燥加热后与沥青、矿粉等原辅料混合拌合得到沥青混凝土料。</w:t>
                  </w:r>
                </w:p>
              </w:tc>
              <w:tc>
                <w:tcPr>
                  <w:tcW w:w="664" w:type="pct"/>
                  <w:vAlign w:val="center"/>
                </w:tcPr>
                <w:p w14:paraId="76F07272">
                  <w:pPr>
                    <w:pStyle w:val="94"/>
                    <w:rPr>
                      <w:color w:val="auto"/>
                      <w:szCs w:val="21"/>
                    </w:rPr>
                  </w:pPr>
                  <w:r>
                    <w:rPr>
                      <w:color w:val="auto"/>
                      <w:szCs w:val="21"/>
                    </w:rPr>
                    <w:t>符合</w:t>
                  </w:r>
                </w:p>
              </w:tc>
            </w:tr>
            <w:tr w14:paraId="42CEDD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283" w:hRule="atLeast"/>
                <w:jc w:val="center"/>
              </w:trPr>
              <w:tc>
                <w:tcPr>
                  <w:tcW w:w="308" w:type="pct"/>
                  <w:vAlign w:val="center"/>
                </w:tcPr>
                <w:p w14:paraId="200BDD10">
                  <w:pPr>
                    <w:pStyle w:val="94"/>
                    <w:rPr>
                      <w:color w:val="auto"/>
                      <w:szCs w:val="21"/>
                    </w:rPr>
                  </w:pPr>
                  <w:r>
                    <w:rPr>
                      <w:color w:val="auto"/>
                      <w:szCs w:val="21"/>
                    </w:rPr>
                    <w:t>3</w:t>
                  </w:r>
                </w:p>
              </w:tc>
              <w:tc>
                <w:tcPr>
                  <w:tcW w:w="554" w:type="pct"/>
                  <w:vAlign w:val="center"/>
                </w:tcPr>
                <w:p w14:paraId="3BC19D19">
                  <w:pPr>
                    <w:pStyle w:val="94"/>
                    <w:rPr>
                      <w:color w:val="auto"/>
                      <w:szCs w:val="21"/>
                    </w:rPr>
                  </w:pPr>
                  <w:r>
                    <w:rPr>
                      <w:color w:val="auto"/>
                      <w:szCs w:val="21"/>
                    </w:rPr>
                    <w:t>产品类型</w:t>
                  </w:r>
                </w:p>
              </w:tc>
              <w:tc>
                <w:tcPr>
                  <w:tcW w:w="1836" w:type="pct"/>
                  <w:vAlign w:val="center"/>
                </w:tcPr>
                <w:p w14:paraId="401E3F8B">
                  <w:pPr>
                    <w:pStyle w:val="94"/>
                    <w:rPr>
                      <w:color w:val="auto"/>
                      <w:szCs w:val="21"/>
                    </w:rPr>
                  </w:pPr>
                  <w:r>
                    <w:rPr>
                      <w:color w:val="auto"/>
                      <w:szCs w:val="21"/>
                    </w:rPr>
                    <w:t>沥青混凝土</w:t>
                  </w:r>
                </w:p>
              </w:tc>
              <w:tc>
                <w:tcPr>
                  <w:tcW w:w="1638" w:type="pct"/>
                  <w:vAlign w:val="center"/>
                </w:tcPr>
                <w:p w14:paraId="6B0B80F8">
                  <w:pPr>
                    <w:pStyle w:val="94"/>
                    <w:rPr>
                      <w:color w:val="auto"/>
                      <w:szCs w:val="21"/>
                    </w:rPr>
                  </w:pPr>
                  <w:r>
                    <w:rPr>
                      <w:color w:val="auto"/>
                      <w:szCs w:val="21"/>
                    </w:rPr>
                    <w:t>沥青混凝土</w:t>
                  </w:r>
                </w:p>
              </w:tc>
              <w:tc>
                <w:tcPr>
                  <w:tcW w:w="664" w:type="pct"/>
                  <w:vAlign w:val="center"/>
                </w:tcPr>
                <w:p w14:paraId="53B0C86F">
                  <w:pPr>
                    <w:pStyle w:val="94"/>
                    <w:rPr>
                      <w:color w:val="auto"/>
                      <w:szCs w:val="21"/>
                    </w:rPr>
                  </w:pPr>
                  <w:r>
                    <w:rPr>
                      <w:color w:val="auto"/>
                      <w:szCs w:val="21"/>
                    </w:rPr>
                    <w:t>符合</w:t>
                  </w:r>
                </w:p>
              </w:tc>
            </w:tr>
            <w:tr w14:paraId="17A46B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283" w:hRule="atLeast"/>
                <w:jc w:val="center"/>
              </w:trPr>
              <w:tc>
                <w:tcPr>
                  <w:tcW w:w="308" w:type="pct"/>
                  <w:vAlign w:val="center"/>
                </w:tcPr>
                <w:p w14:paraId="73E4106D">
                  <w:pPr>
                    <w:pStyle w:val="94"/>
                    <w:rPr>
                      <w:color w:val="auto"/>
                      <w:szCs w:val="21"/>
                    </w:rPr>
                  </w:pPr>
                  <w:r>
                    <w:rPr>
                      <w:color w:val="auto"/>
                      <w:szCs w:val="21"/>
                    </w:rPr>
                    <w:t>4</w:t>
                  </w:r>
                </w:p>
              </w:tc>
              <w:tc>
                <w:tcPr>
                  <w:tcW w:w="554" w:type="pct"/>
                  <w:vAlign w:val="center"/>
                </w:tcPr>
                <w:p w14:paraId="48D5260E">
                  <w:pPr>
                    <w:pStyle w:val="94"/>
                    <w:rPr>
                      <w:color w:val="auto"/>
                      <w:szCs w:val="21"/>
                    </w:rPr>
                  </w:pPr>
                  <w:r>
                    <w:rPr>
                      <w:color w:val="auto"/>
                      <w:szCs w:val="21"/>
                    </w:rPr>
                    <w:t>生产规模</w:t>
                  </w:r>
                </w:p>
              </w:tc>
              <w:tc>
                <w:tcPr>
                  <w:tcW w:w="1836" w:type="pct"/>
                  <w:vAlign w:val="center"/>
                </w:tcPr>
                <w:p w14:paraId="2AFF626D">
                  <w:pPr>
                    <w:pStyle w:val="94"/>
                    <w:rPr>
                      <w:color w:val="auto"/>
                      <w:szCs w:val="21"/>
                    </w:rPr>
                  </w:pPr>
                  <w:r>
                    <w:rPr>
                      <w:rFonts w:hint="eastAsia"/>
                      <w:color w:val="auto"/>
                      <w:szCs w:val="21"/>
                    </w:rPr>
                    <w:t>320</w:t>
                  </w:r>
                  <w:r>
                    <w:rPr>
                      <w:color w:val="auto"/>
                      <w:szCs w:val="21"/>
                    </w:rPr>
                    <w:t>t/d（监测期间实际工况）</w:t>
                  </w:r>
                </w:p>
              </w:tc>
              <w:tc>
                <w:tcPr>
                  <w:tcW w:w="1638" w:type="pct"/>
                  <w:vAlign w:val="center"/>
                </w:tcPr>
                <w:p w14:paraId="09E4124A">
                  <w:pPr>
                    <w:pStyle w:val="94"/>
                    <w:rPr>
                      <w:color w:val="auto"/>
                      <w:szCs w:val="21"/>
                    </w:rPr>
                  </w:pPr>
                  <w:r>
                    <w:rPr>
                      <w:rFonts w:hint="eastAsia"/>
                      <w:color w:val="auto"/>
                      <w:szCs w:val="21"/>
                    </w:rPr>
                    <w:t>360</w:t>
                  </w:r>
                  <w:r>
                    <w:rPr>
                      <w:color w:val="auto"/>
                      <w:szCs w:val="21"/>
                    </w:rPr>
                    <w:t>t/d</w:t>
                  </w:r>
                </w:p>
              </w:tc>
              <w:tc>
                <w:tcPr>
                  <w:tcW w:w="664" w:type="pct"/>
                  <w:vAlign w:val="center"/>
                </w:tcPr>
                <w:p w14:paraId="61E2B0D9">
                  <w:pPr>
                    <w:pStyle w:val="94"/>
                    <w:rPr>
                      <w:color w:val="auto"/>
                      <w:szCs w:val="21"/>
                    </w:rPr>
                  </w:pPr>
                  <w:r>
                    <w:rPr>
                      <w:color w:val="auto"/>
                      <w:szCs w:val="21"/>
                    </w:rPr>
                    <w:t>相近</w:t>
                  </w:r>
                </w:p>
              </w:tc>
            </w:tr>
            <w:tr w14:paraId="08F06D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2574" w:hRule="atLeast"/>
                <w:jc w:val="center"/>
              </w:trPr>
              <w:tc>
                <w:tcPr>
                  <w:tcW w:w="308" w:type="pct"/>
                  <w:vAlign w:val="center"/>
                </w:tcPr>
                <w:p w14:paraId="2B3E3F44">
                  <w:pPr>
                    <w:pStyle w:val="94"/>
                    <w:rPr>
                      <w:color w:val="auto"/>
                      <w:szCs w:val="21"/>
                    </w:rPr>
                  </w:pPr>
                  <w:r>
                    <w:rPr>
                      <w:color w:val="auto"/>
                      <w:szCs w:val="21"/>
                    </w:rPr>
                    <w:t>4</w:t>
                  </w:r>
                </w:p>
              </w:tc>
              <w:tc>
                <w:tcPr>
                  <w:tcW w:w="554" w:type="pct"/>
                  <w:vAlign w:val="center"/>
                </w:tcPr>
                <w:p w14:paraId="6F364078">
                  <w:pPr>
                    <w:pStyle w:val="94"/>
                    <w:rPr>
                      <w:color w:val="auto"/>
                      <w:szCs w:val="21"/>
                    </w:rPr>
                  </w:pPr>
                  <w:r>
                    <w:rPr>
                      <w:color w:val="auto"/>
                      <w:szCs w:val="21"/>
                    </w:rPr>
                    <w:t>污染控制措施</w:t>
                  </w:r>
                </w:p>
              </w:tc>
              <w:tc>
                <w:tcPr>
                  <w:tcW w:w="1836" w:type="pct"/>
                  <w:vAlign w:val="center"/>
                </w:tcPr>
                <w:p w14:paraId="0541EBD3">
                  <w:pPr>
                    <w:pStyle w:val="94"/>
                    <w:rPr>
                      <w:color w:val="auto"/>
                      <w:szCs w:val="21"/>
                    </w:rPr>
                  </w:pPr>
                  <w:r>
                    <w:rPr>
                      <w:color w:val="auto"/>
                      <w:szCs w:val="21"/>
                    </w:rPr>
                    <w:t>沥青拌合区设置全封闭原料堆棚并洒水降尘；骨料加热产生的粉尘和燃油烟气经旋风除尘器+布袋除尘器处理后由15m排气筒排放；沥青储罐呼吸废气通过管道引至“水喷淋+电焦油铺集器+活性炭吸附装置”，沥青出料废气设置集气罩收集后引至“水喷淋+电焦油铺集器+活性炭吸附装置”处理后经引风机引至15m排气筒排放；导热油炉废气经引风机引入一根高15m排气筒排放。</w:t>
                  </w:r>
                </w:p>
              </w:tc>
              <w:tc>
                <w:tcPr>
                  <w:tcW w:w="1638" w:type="pct"/>
                  <w:vAlign w:val="center"/>
                </w:tcPr>
                <w:p w14:paraId="4B92FF1A">
                  <w:pPr>
                    <w:pStyle w:val="94"/>
                    <w:rPr>
                      <w:color w:val="auto"/>
                      <w:szCs w:val="21"/>
                    </w:rPr>
                  </w:pPr>
                  <w:r>
                    <w:rPr>
                      <w:color w:val="auto"/>
                      <w:szCs w:val="21"/>
                    </w:rPr>
                    <w:t>沥青拌合区设置全封闭原料堆棚并洒水降尘；烘干、筛分废气设置布袋除尘器，处理效率不低于99.5%，处理后通过15m高排气筒排放；沥青配料过程产生的废气收集后经燃烧器燃烧后，同烘干废气一起经排气筒排放；导热油炉废气经引风机引至8m高排气筒排放；沥青加热搅拌过程产生的废气经集气罩收集后经一套电捕焦油器+活性炭吸附系统处理后，通过15m高排气筒排放。</w:t>
                  </w:r>
                </w:p>
              </w:tc>
              <w:tc>
                <w:tcPr>
                  <w:tcW w:w="664" w:type="pct"/>
                  <w:vAlign w:val="center"/>
                </w:tcPr>
                <w:p w14:paraId="15585C31">
                  <w:pPr>
                    <w:pStyle w:val="94"/>
                    <w:rPr>
                      <w:color w:val="auto"/>
                      <w:szCs w:val="21"/>
                    </w:rPr>
                  </w:pPr>
                  <w:r>
                    <w:rPr>
                      <w:color w:val="auto"/>
                      <w:szCs w:val="21"/>
                    </w:rPr>
                    <w:t>符合</w:t>
                  </w:r>
                </w:p>
              </w:tc>
            </w:tr>
          </w:tbl>
          <w:p w14:paraId="37B1ADF3">
            <w:pPr>
              <w:rPr>
                <w:rFonts w:hint="eastAsia"/>
                <w:color w:val="auto"/>
              </w:rPr>
            </w:pPr>
          </w:p>
          <w:p w14:paraId="4FD42174">
            <w:pPr>
              <w:adjustRightInd w:val="0"/>
              <w:snapToGrid w:val="0"/>
              <w:spacing w:line="300" w:lineRule="auto"/>
              <w:ind w:firstLine="480" w:firstLineChars="200"/>
              <w:rPr>
                <w:rFonts w:hint="eastAsia"/>
                <w:color w:val="auto"/>
                <w:sz w:val="24"/>
              </w:rPr>
            </w:pPr>
            <w:r>
              <w:rPr>
                <w:color w:val="auto"/>
                <w:sz w:val="24"/>
              </w:rPr>
              <w:t>从表中可以看出，本项目</w:t>
            </w:r>
            <w:r>
              <w:rPr>
                <w:rFonts w:hint="eastAsia"/>
                <w:color w:val="auto"/>
                <w:sz w:val="24"/>
              </w:rPr>
              <w:t>沥青混凝土从</w:t>
            </w:r>
            <w:r>
              <w:rPr>
                <w:color w:val="auto"/>
                <w:sz w:val="24"/>
              </w:rPr>
              <w:t>原辅材料</w:t>
            </w:r>
            <w:r>
              <w:rPr>
                <w:rFonts w:hint="eastAsia"/>
                <w:color w:val="auto"/>
                <w:sz w:val="24"/>
              </w:rPr>
              <w:t>、</w:t>
            </w:r>
            <w:r>
              <w:rPr>
                <w:color w:val="auto"/>
                <w:sz w:val="24"/>
              </w:rPr>
              <w:t>生产</w:t>
            </w:r>
            <w:r>
              <w:rPr>
                <w:rFonts w:hint="eastAsia"/>
                <w:color w:val="auto"/>
                <w:sz w:val="24"/>
              </w:rPr>
              <w:t>工艺、</w:t>
            </w:r>
            <w:r>
              <w:rPr>
                <w:color w:val="auto"/>
                <w:sz w:val="24"/>
              </w:rPr>
              <w:t>产品类型</w:t>
            </w:r>
            <w:r>
              <w:rPr>
                <w:rFonts w:hint="eastAsia"/>
                <w:color w:val="auto"/>
                <w:sz w:val="24"/>
              </w:rPr>
              <w:t>、生产规模、</w:t>
            </w:r>
            <w:r>
              <w:rPr>
                <w:color w:val="auto"/>
                <w:sz w:val="24"/>
              </w:rPr>
              <w:t>污染控制措施</w:t>
            </w:r>
            <w:r>
              <w:rPr>
                <w:rFonts w:hint="eastAsia"/>
                <w:color w:val="auto"/>
                <w:sz w:val="24"/>
              </w:rPr>
              <w:t>等方面符合类比要求，生产过程中产生的</w:t>
            </w:r>
            <w:r>
              <w:rPr>
                <w:color w:val="auto"/>
                <w:sz w:val="24"/>
              </w:rPr>
              <w:t>SO</w:t>
            </w:r>
            <w:r>
              <w:rPr>
                <w:color w:val="auto"/>
                <w:sz w:val="24"/>
                <w:vertAlign w:val="subscript"/>
              </w:rPr>
              <w:t>2</w:t>
            </w:r>
            <w:r>
              <w:rPr>
                <w:color w:val="auto"/>
                <w:sz w:val="24"/>
              </w:rPr>
              <w:t>、NO</w:t>
            </w:r>
            <w:r>
              <w:rPr>
                <w:color w:val="auto"/>
                <w:sz w:val="24"/>
                <w:vertAlign w:val="subscript"/>
              </w:rPr>
              <w:t>x</w:t>
            </w:r>
            <w:r>
              <w:rPr>
                <w:color w:val="auto"/>
                <w:sz w:val="24"/>
              </w:rPr>
              <w:t>、颗粒物</w:t>
            </w:r>
            <w:r>
              <w:rPr>
                <w:rFonts w:hint="eastAsia"/>
                <w:color w:val="auto"/>
                <w:sz w:val="24"/>
              </w:rPr>
              <w:t>、沥青烟、</w:t>
            </w:r>
            <w:r>
              <w:rPr>
                <w:color w:val="auto"/>
                <w:sz w:val="24"/>
              </w:rPr>
              <w:t>苯并[a]芘</w:t>
            </w:r>
            <w:r>
              <w:rPr>
                <w:rFonts w:hint="eastAsia"/>
                <w:color w:val="auto"/>
                <w:sz w:val="24"/>
              </w:rPr>
              <w:t>等</w:t>
            </w:r>
            <w:r>
              <w:rPr>
                <w:color w:val="auto"/>
                <w:sz w:val="24"/>
              </w:rPr>
              <w:t>排放浓度类比可行</w:t>
            </w:r>
            <w:r>
              <w:rPr>
                <w:rFonts w:hint="eastAsia"/>
                <w:color w:val="auto"/>
                <w:sz w:val="24"/>
              </w:rPr>
              <w:t>，为保证类比数据的最大可信度，本次将类比源强作为</w:t>
            </w:r>
            <w:r>
              <w:rPr>
                <w:rFonts w:hint="eastAsia"/>
                <w:color w:val="auto"/>
                <w:sz w:val="24"/>
                <w:lang w:val="en-US" w:eastAsia="zh-CN"/>
              </w:rPr>
              <w:t>拟建公路</w:t>
            </w:r>
            <w:r>
              <w:rPr>
                <w:rFonts w:hint="eastAsia"/>
                <w:color w:val="auto"/>
                <w:sz w:val="24"/>
              </w:rPr>
              <w:t>沥青拌合站源强。</w:t>
            </w:r>
          </w:p>
          <w:p w14:paraId="7DC6F68C">
            <w:pPr>
              <w:adjustRightInd w:val="0"/>
              <w:snapToGrid w:val="0"/>
              <w:spacing w:line="300" w:lineRule="auto"/>
              <w:ind w:firstLine="480" w:firstLineChars="200"/>
              <w:rPr>
                <w:rFonts w:hint="eastAsia"/>
                <w:color w:val="auto"/>
                <w:sz w:val="24"/>
              </w:rPr>
            </w:pPr>
            <w:r>
              <w:rPr>
                <w:rFonts w:hint="eastAsia"/>
                <w:color w:val="auto"/>
                <w:sz w:val="24"/>
              </w:rPr>
              <w:t>根据类比分析，拟建公路施工期沥青拌合站有组织废气</w:t>
            </w:r>
            <w:r>
              <w:rPr>
                <w:color w:val="auto"/>
                <w:sz w:val="24"/>
              </w:rPr>
              <w:t>产生</w:t>
            </w:r>
            <w:r>
              <w:rPr>
                <w:rFonts w:hint="eastAsia"/>
                <w:color w:val="auto"/>
                <w:sz w:val="24"/>
              </w:rPr>
              <w:t>及排放</w:t>
            </w:r>
            <w:r>
              <w:rPr>
                <w:color w:val="auto"/>
                <w:sz w:val="24"/>
              </w:rPr>
              <w:t>情况</w:t>
            </w:r>
            <w:r>
              <w:rPr>
                <w:rFonts w:hint="eastAsia"/>
                <w:color w:val="auto"/>
                <w:sz w:val="24"/>
              </w:rPr>
              <w:t>见表</w:t>
            </w:r>
            <w:r>
              <w:rPr>
                <w:rFonts w:hint="eastAsia"/>
                <w:color w:val="auto"/>
                <w:sz w:val="24"/>
                <w:lang w:val="en-US" w:eastAsia="zh-CN"/>
              </w:rPr>
              <w:t>4-3</w:t>
            </w:r>
            <w:r>
              <w:rPr>
                <w:rFonts w:hint="eastAsia"/>
                <w:color w:val="auto"/>
                <w:sz w:val="24"/>
              </w:rPr>
              <w:t>。</w:t>
            </w:r>
          </w:p>
          <w:p w14:paraId="375B9DCF">
            <w:pPr>
              <w:spacing w:beforeLines="50"/>
              <w:jc w:val="center"/>
              <w:rPr>
                <w:rFonts w:hint="eastAsia"/>
                <w:b/>
                <w:bCs/>
                <w:color w:val="auto"/>
                <w:kern w:val="0"/>
              </w:rPr>
            </w:pPr>
            <w:r>
              <w:rPr>
                <w:rFonts w:hint="eastAsia"/>
                <w:b/>
                <w:bCs/>
                <w:color w:val="auto"/>
                <w:kern w:val="0"/>
              </w:rPr>
              <w:t>表4-</w:t>
            </w:r>
            <w:r>
              <w:rPr>
                <w:rFonts w:hint="eastAsia"/>
                <w:b/>
                <w:bCs/>
                <w:color w:val="auto"/>
                <w:kern w:val="0"/>
                <w:lang w:val="en-US" w:eastAsia="zh-CN"/>
              </w:rPr>
              <w:t>3</w:t>
            </w:r>
            <w:r>
              <w:rPr>
                <w:rFonts w:hint="eastAsia"/>
                <w:b/>
                <w:bCs/>
                <w:color w:val="auto"/>
                <w:kern w:val="0"/>
              </w:rPr>
              <w:t xml:space="preserve">  沥青拌合站烟气产排情况</w:t>
            </w:r>
          </w:p>
          <w:tbl>
            <w:tblPr>
              <w:tblStyle w:val="22"/>
              <w:tblW w:w="8070"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697"/>
              <w:gridCol w:w="1088"/>
              <w:gridCol w:w="1018"/>
              <w:gridCol w:w="1181"/>
              <w:gridCol w:w="1823"/>
              <w:gridCol w:w="1263"/>
            </w:tblGrid>
            <w:tr w14:paraId="7F195F8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55" w:hRule="atLeast"/>
                <w:jc w:val="center"/>
              </w:trPr>
              <w:tc>
                <w:tcPr>
                  <w:tcW w:w="1051" w:type="pct"/>
                  <w:shd w:val="clear" w:color="auto" w:fill="auto"/>
                  <w:vAlign w:val="center"/>
                </w:tcPr>
                <w:p w14:paraId="76B3590D">
                  <w:pPr>
                    <w:pStyle w:val="94"/>
                    <w:rPr>
                      <w:b/>
                      <w:bCs/>
                      <w:color w:val="auto"/>
                      <w:szCs w:val="21"/>
                    </w:rPr>
                  </w:pPr>
                  <w:bookmarkStart w:id="27" w:name="OLE_LINK164"/>
                  <w:r>
                    <w:rPr>
                      <w:b/>
                      <w:bCs/>
                      <w:color w:val="auto"/>
                      <w:szCs w:val="21"/>
                    </w:rPr>
                    <w:t>污染源</w:t>
                  </w:r>
                </w:p>
              </w:tc>
              <w:tc>
                <w:tcPr>
                  <w:tcW w:w="674" w:type="pct"/>
                  <w:shd w:val="clear" w:color="auto" w:fill="auto"/>
                  <w:vAlign w:val="center"/>
                </w:tcPr>
                <w:p w14:paraId="6D202DEC">
                  <w:pPr>
                    <w:pStyle w:val="94"/>
                    <w:rPr>
                      <w:b/>
                      <w:bCs/>
                      <w:color w:val="auto"/>
                      <w:szCs w:val="21"/>
                    </w:rPr>
                  </w:pPr>
                  <w:r>
                    <w:rPr>
                      <w:b/>
                      <w:bCs/>
                      <w:color w:val="auto"/>
                      <w:szCs w:val="21"/>
                    </w:rPr>
                    <w:t>污染物</w:t>
                  </w:r>
                </w:p>
              </w:tc>
              <w:tc>
                <w:tcPr>
                  <w:tcW w:w="630" w:type="pct"/>
                  <w:shd w:val="clear" w:color="auto" w:fill="auto"/>
                  <w:vAlign w:val="center"/>
                </w:tcPr>
                <w:p w14:paraId="65811782">
                  <w:pPr>
                    <w:pStyle w:val="94"/>
                    <w:rPr>
                      <w:b/>
                      <w:bCs/>
                      <w:color w:val="auto"/>
                      <w:szCs w:val="21"/>
                    </w:rPr>
                  </w:pPr>
                  <w:r>
                    <w:rPr>
                      <w:b/>
                      <w:bCs/>
                      <w:color w:val="auto"/>
                      <w:szCs w:val="21"/>
                    </w:rPr>
                    <w:t>废气（m</w:t>
                  </w:r>
                  <w:r>
                    <w:rPr>
                      <w:b/>
                      <w:bCs/>
                      <w:color w:val="auto"/>
                      <w:szCs w:val="21"/>
                      <w:vertAlign w:val="superscript"/>
                    </w:rPr>
                    <w:t>3</w:t>
                  </w:r>
                  <w:r>
                    <w:rPr>
                      <w:b/>
                      <w:bCs/>
                      <w:color w:val="auto"/>
                      <w:szCs w:val="21"/>
                    </w:rPr>
                    <w:t>/h）</w:t>
                  </w:r>
                </w:p>
              </w:tc>
              <w:tc>
                <w:tcPr>
                  <w:tcW w:w="731" w:type="pct"/>
                  <w:shd w:val="clear" w:color="auto" w:fill="auto"/>
                  <w:vAlign w:val="center"/>
                </w:tcPr>
                <w:p w14:paraId="5742B23E">
                  <w:pPr>
                    <w:pStyle w:val="94"/>
                    <w:rPr>
                      <w:b/>
                      <w:bCs/>
                      <w:color w:val="auto"/>
                      <w:szCs w:val="21"/>
                    </w:rPr>
                  </w:pPr>
                  <w:r>
                    <w:rPr>
                      <w:b/>
                      <w:bCs/>
                      <w:color w:val="auto"/>
                      <w:szCs w:val="21"/>
                    </w:rPr>
                    <w:t>排放浓度（mg/m</w:t>
                  </w:r>
                  <w:r>
                    <w:rPr>
                      <w:b/>
                      <w:bCs/>
                      <w:color w:val="auto"/>
                      <w:szCs w:val="21"/>
                      <w:vertAlign w:val="superscript"/>
                    </w:rPr>
                    <w:t>3</w:t>
                  </w:r>
                  <w:r>
                    <w:rPr>
                      <w:b/>
                      <w:bCs/>
                      <w:color w:val="auto"/>
                      <w:szCs w:val="21"/>
                    </w:rPr>
                    <w:t>）</w:t>
                  </w:r>
                </w:p>
              </w:tc>
              <w:tc>
                <w:tcPr>
                  <w:tcW w:w="1129" w:type="pct"/>
                  <w:shd w:val="clear" w:color="auto" w:fill="auto"/>
                  <w:noWrap/>
                  <w:vAlign w:val="center"/>
                </w:tcPr>
                <w:p w14:paraId="1CC06B1C">
                  <w:pPr>
                    <w:pStyle w:val="94"/>
                    <w:rPr>
                      <w:b/>
                      <w:bCs/>
                      <w:color w:val="auto"/>
                      <w:szCs w:val="21"/>
                    </w:rPr>
                  </w:pPr>
                  <w:r>
                    <w:rPr>
                      <w:b/>
                      <w:bCs/>
                      <w:color w:val="auto"/>
                      <w:szCs w:val="21"/>
                    </w:rPr>
                    <w:t>排放速率（kg/h）</w:t>
                  </w:r>
                </w:p>
              </w:tc>
              <w:tc>
                <w:tcPr>
                  <w:tcW w:w="782" w:type="pct"/>
                  <w:shd w:val="clear" w:color="auto" w:fill="auto"/>
                  <w:vAlign w:val="center"/>
                </w:tcPr>
                <w:p w14:paraId="237AFFF8">
                  <w:pPr>
                    <w:pStyle w:val="94"/>
                    <w:rPr>
                      <w:b/>
                      <w:bCs/>
                      <w:color w:val="auto"/>
                      <w:szCs w:val="21"/>
                    </w:rPr>
                  </w:pPr>
                  <w:r>
                    <w:rPr>
                      <w:b/>
                      <w:bCs/>
                      <w:color w:val="auto"/>
                      <w:szCs w:val="21"/>
                    </w:rPr>
                    <w:t>排放量（t/a）</w:t>
                  </w:r>
                </w:p>
              </w:tc>
            </w:tr>
            <w:tr w14:paraId="66BA34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1051" w:type="pct"/>
                  <w:vMerge w:val="restart"/>
                  <w:shd w:val="clear" w:color="auto" w:fill="auto"/>
                  <w:vAlign w:val="center"/>
                </w:tcPr>
                <w:p w14:paraId="53D38A8D">
                  <w:pPr>
                    <w:jc w:val="center"/>
                    <w:rPr>
                      <w:color w:val="auto"/>
                      <w:kern w:val="0"/>
                      <w:szCs w:val="21"/>
                    </w:rPr>
                  </w:pPr>
                  <w:r>
                    <w:rPr>
                      <w:rFonts w:hAnsi="宋体"/>
                      <w:color w:val="auto"/>
                      <w:kern w:val="0"/>
                      <w:szCs w:val="21"/>
                    </w:rPr>
                    <w:t>烘干炉燃烧废气</w:t>
                  </w:r>
                </w:p>
              </w:tc>
              <w:tc>
                <w:tcPr>
                  <w:tcW w:w="674" w:type="pct"/>
                  <w:shd w:val="clear" w:color="auto" w:fill="auto"/>
                  <w:vAlign w:val="center"/>
                </w:tcPr>
                <w:p w14:paraId="77AFCCC2">
                  <w:pPr>
                    <w:jc w:val="center"/>
                    <w:rPr>
                      <w:color w:val="auto"/>
                      <w:kern w:val="0"/>
                      <w:szCs w:val="21"/>
                    </w:rPr>
                  </w:pPr>
                  <w:r>
                    <w:rPr>
                      <w:rFonts w:hAnsi="宋体"/>
                      <w:color w:val="auto"/>
                      <w:kern w:val="0"/>
                      <w:szCs w:val="21"/>
                    </w:rPr>
                    <w:t>颗粒物</w:t>
                  </w:r>
                </w:p>
              </w:tc>
              <w:tc>
                <w:tcPr>
                  <w:tcW w:w="630" w:type="pct"/>
                  <w:vMerge w:val="restart"/>
                  <w:shd w:val="clear" w:color="auto" w:fill="auto"/>
                  <w:vAlign w:val="center"/>
                </w:tcPr>
                <w:p w14:paraId="4C66AD01">
                  <w:pPr>
                    <w:jc w:val="center"/>
                    <w:rPr>
                      <w:color w:val="auto"/>
                      <w:kern w:val="0"/>
                      <w:szCs w:val="21"/>
                    </w:rPr>
                  </w:pPr>
                  <w:r>
                    <w:rPr>
                      <w:color w:val="auto"/>
                      <w:kern w:val="0"/>
                      <w:szCs w:val="21"/>
                    </w:rPr>
                    <w:t>60000</w:t>
                  </w:r>
                </w:p>
              </w:tc>
              <w:tc>
                <w:tcPr>
                  <w:tcW w:w="731" w:type="pct"/>
                  <w:shd w:val="clear" w:color="auto" w:fill="auto"/>
                  <w:vAlign w:val="center"/>
                </w:tcPr>
                <w:p w14:paraId="57D0DB1B">
                  <w:pPr>
                    <w:jc w:val="center"/>
                    <w:rPr>
                      <w:color w:val="auto"/>
                      <w:kern w:val="0"/>
                      <w:szCs w:val="21"/>
                    </w:rPr>
                  </w:pPr>
                  <w:r>
                    <w:rPr>
                      <w:color w:val="auto"/>
                      <w:kern w:val="0"/>
                      <w:szCs w:val="21"/>
                    </w:rPr>
                    <w:t>5.55</w:t>
                  </w:r>
                </w:p>
              </w:tc>
              <w:tc>
                <w:tcPr>
                  <w:tcW w:w="1129" w:type="pct"/>
                  <w:shd w:val="clear" w:color="auto" w:fill="auto"/>
                  <w:vAlign w:val="center"/>
                </w:tcPr>
                <w:p w14:paraId="7192BC47">
                  <w:pPr>
                    <w:jc w:val="center"/>
                    <w:rPr>
                      <w:color w:val="auto"/>
                      <w:kern w:val="0"/>
                      <w:szCs w:val="21"/>
                    </w:rPr>
                  </w:pPr>
                  <w:r>
                    <w:rPr>
                      <w:color w:val="auto"/>
                      <w:kern w:val="0"/>
                      <w:szCs w:val="21"/>
                    </w:rPr>
                    <w:t xml:space="preserve">0.33 </w:t>
                  </w:r>
                </w:p>
              </w:tc>
              <w:tc>
                <w:tcPr>
                  <w:tcW w:w="782" w:type="pct"/>
                  <w:shd w:val="clear" w:color="auto" w:fill="auto"/>
                  <w:vAlign w:val="center"/>
                </w:tcPr>
                <w:p w14:paraId="77D1D111">
                  <w:pPr>
                    <w:jc w:val="center"/>
                    <w:rPr>
                      <w:color w:val="auto"/>
                      <w:kern w:val="0"/>
                      <w:szCs w:val="21"/>
                    </w:rPr>
                  </w:pPr>
                  <w:r>
                    <w:rPr>
                      <w:color w:val="auto"/>
                      <w:kern w:val="0"/>
                      <w:szCs w:val="21"/>
                    </w:rPr>
                    <w:t xml:space="preserve">1.32 </w:t>
                  </w:r>
                </w:p>
              </w:tc>
            </w:tr>
            <w:tr w14:paraId="289ED4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1051" w:type="pct"/>
                  <w:vMerge w:val="continue"/>
                  <w:shd w:val="clear" w:color="auto" w:fill="auto"/>
                  <w:vAlign w:val="center"/>
                </w:tcPr>
                <w:p w14:paraId="048C0BA0">
                  <w:pPr>
                    <w:pStyle w:val="94"/>
                    <w:rPr>
                      <w:color w:val="auto"/>
                      <w:szCs w:val="21"/>
                    </w:rPr>
                  </w:pPr>
                </w:p>
              </w:tc>
              <w:tc>
                <w:tcPr>
                  <w:tcW w:w="674" w:type="pct"/>
                  <w:shd w:val="clear" w:color="auto" w:fill="auto"/>
                  <w:vAlign w:val="center"/>
                </w:tcPr>
                <w:p w14:paraId="36601555">
                  <w:pPr>
                    <w:pStyle w:val="94"/>
                    <w:rPr>
                      <w:color w:val="auto"/>
                      <w:szCs w:val="21"/>
                    </w:rPr>
                  </w:pPr>
                  <w:r>
                    <w:rPr>
                      <w:color w:val="auto"/>
                      <w:kern w:val="0"/>
                      <w:szCs w:val="21"/>
                    </w:rPr>
                    <w:t>二氧化硫</w:t>
                  </w:r>
                </w:p>
              </w:tc>
              <w:tc>
                <w:tcPr>
                  <w:tcW w:w="630" w:type="pct"/>
                  <w:vMerge w:val="continue"/>
                  <w:shd w:val="clear" w:color="auto" w:fill="auto"/>
                  <w:vAlign w:val="center"/>
                </w:tcPr>
                <w:p w14:paraId="0B348886">
                  <w:pPr>
                    <w:pStyle w:val="94"/>
                    <w:rPr>
                      <w:color w:val="auto"/>
                      <w:szCs w:val="21"/>
                    </w:rPr>
                  </w:pPr>
                </w:p>
              </w:tc>
              <w:tc>
                <w:tcPr>
                  <w:tcW w:w="731" w:type="pct"/>
                  <w:shd w:val="clear" w:color="auto" w:fill="auto"/>
                  <w:vAlign w:val="center"/>
                </w:tcPr>
                <w:p w14:paraId="61429647">
                  <w:pPr>
                    <w:pStyle w:val="94"/>
                    <w:rPr>
                      <w:color w:val="auto"/>
                      <w:szCs w:val="21"/>
                    </w:rPr>
                  </w:pPr>
                  <w:r>
                    <w:rPr>
                      <w:color w:val="auto"/>
                      <w:kern w:val="0"/>
                      <w:szCs w:val="21"/>
                    </w:rPr>
                    <w:t>6</w:t>
                  </w:r>
                </w:p>
              </w:tc>
              <w:tc>
                <w:tcPr>
                  <w:tcW w:w="1129" w:type="pct"/>
                  <w:shd w:val="clear" w:color="auto" w:fill="auto"/>
                  <w:vAlign w:val="center"/>
                </w:tcPr>
                <w:p w14:paraId="5A5D369A">
                  <w:pPr>
                    <w:pStyle w:val="94"/>
                    <w:rPr>
                      <w:color w:val="auto"/>
                      <w:szCs w:val="21"/>
                    </w:rPr>
                  </w:pPr>
                  <w:r>
                    <w:rPr>
                      <w:color w:val="auto"/>
                      <w:kern w:val="0"/>
                      <w:szCs w:val="21"/>
                    </w:rPr>
                    <w:t>0.36</w:t>
                  </w:r>
                </w:p>
              </w:tc>
              <w:tc>
                <w:tcPr>
                  <w:tcW w:w="782" w:type="pct"/>
                  <w:shd w:val="clear" w:color="auto" w:fill="auto"/>
                  <w:vAlign w:val="center"/>
                </w:tcPr>
                <w:p w14:paraId="6181D93D">
                  <w:pPr>
                    <w:pStyle w:val="94"/>
                    <w:rPr>
                      <w:color w:val="auto"/>
                      <w:szCs w:val="21"/>
                    </w:rPr>
                  </w:pPr>
                  <w:r>
                    <w:rPr>
                      <w:color w:val="auto"/>
                      <w:kern w:val="0"/>
                      <w:szCs w:val="21"/>
                    </w:rPr>
                    <w:t>1.43</w:t>
                  </w:r>
                </w:p>
              </w:tc>
            </w:tr>
            <w:tr w14:paraId="0176B5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1051" w:type="pct"/>
                  <w:vMerge w:val="continue"/>
                  <w:shd w:val="clear" w:color="auto" w:fill="auto"/>
                  <w:vAlign w:val="center"/>
                </w:tcPr>
                <w:p w14:paraId="73B1C4A0">
                  <w:pPr>
                    <w:pStyle w:val="94"/>
                    <w:rPr>
                      <w:color w:val="auto"/>
                      <w:szCs w:val="21"/>
                    </w:rPr>
                  </w:pPr>
                </w:p>
              </w:tc>
              <w:tc>
                <w:tcPr>
                  <w:tcW w:w="674" w:type="pct"/>
                  <w:shd w:val="clear" w:color="auto" w:fill="auto"/>
                  <w:vAlign w:val="center"/>
                </w:tcPr>
                <w:p w14:paraId="770FCE62">
                  <w:pPr>
                    <w:pStyle w:val="94"/>
                    <w:rPr>
                      <w:color w:val="auto"/>
                      <w:szCs w:val="21"/>
                    </w:rPr>
                  </w:pPr>
                  <w:r>
                    <w:rPr>
                      <w:color w:val="auto"/>
                      <w:kern w:val="0"/>
                      <w:szCs w:val="21"/>
                    </w:rPr>
                    <w:t>氮氧化物</w:t>
                  </w:r>
                </w:p>
              </w:tc>
              <w:tc>
                <w:tcPr>
                  <w:tcW w:w="630" w:type="pct"/>
                  <w:vMerge w:val="continue"/>
                  <w:shd w:val="clear" w:color="auto" w:fill="auto"/>
                  <w:vAlign w:val="center"/>
                </w:tcPr>
                <w:p w14:paraId="4BE280DB">
                  <w:pPr>
                    <w:pStyle w:val="94"/>
                    <w:rPr>
                      <w:color w:val="auto"/>
                      <w:szCs w:val="21"/>
                    </w:rPr>
                  </w:pPr>
                </w:p>
              </w:tc>
              <w:tc>
                <w:tcPr>
                  <w:tcW w:w="731" w:type="pct"/>
                  <w:shd w:val="clear" w:color="auto" w:fill="auto"/>
                  <w:vAlign w:val="center"/>
                </w:tcPr>
                <w:p w14:paraId="2A1ADAAC">
                  <w:pPr>
                    <w:pStyle w:val="94"/>
                    <w:rPr>
                      <w:color w:val="auto"/>
                      <w:szCs w:val="21"/>
                    </w:rPr>
                  </w:pPr>
                  <w:r>
                    <w:rPr>
                      <w:color w:val="auto"/>
                      <w:kern w:val="0"/>
                      <w:szCs w:val="21"/>
                    </w:rPr>
                    <w:t>26</w:t>
                  </w:r>
                </w:p>
              </w:tc>
              <w:tc>
                <w:tcPr>
                  <w:tcW w:w="1129" w:type="pct"/>
                  <w:shd w:val="clear" w:color="auto" w:fill="auto"/>
                  <w:vAlign w:val="center"/>
                </w:tcPr>
                <w:p w14:paraId="2157BE42">
                  <w:pPr>
                    <w:pStyle w:val="94"/>
                    <w:rPr>
                      <w:color w:val="auto"/>
                      <w:szCs w:val="21"/>
                    </w:rPr>
                  </w:pPr>
                  <w:r>
                    <w:rPr>
                      <w:color w:val="auto"/>
                      <w:kern w:val="0"/>
                      <w:szCs w:val="21"/>
                    </w:rPr>
                    <w:t>1.56</w:t>
                  </w:r>
                </w:p>
              </w:tc>
              <w:tc>
                <w:tcPr>
                  <w:tcW w:w="782" w:type="pct"/>
                  <w:shd w:val="clear" w:color="auto" w:fill="auto"/>
                  <w:vAlign w:val="center"/>
                </w:tcPr>
                <w:p w14:paraId="61714CD1">
                  <w:pPr>
                    <w:pStyle w:val="94"/>
                    <w:rPr>
                      <w:color w:val="auto"/>
                      <w:szCs w:val="21"/>
                    </w:rPr>
                  </w:pPr>
                  <w:r>
                    <w:rPr>
                      <w:color w:val="auto"/>
                      <w:kern w:val="0"/>
                      <w:szCs w:val="21"/>
                    </w:rPr>
                    <w:t>6.18</w:t>
                  </w:r>
                </w:p>
              </w:tc>
            </w:tr>
            <w:tr w14:paraId="4FEB35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1051" w:type="pct"/>
                  <w:vMerge w:val="restart"/>
                  <w:shd w:val="clear" w:color="auto" w:fill="auto"/>
                  <w:vAlign w:val="center"/>
                </w:tcPr>
                <w:p w14:paraId="1EC37F5D">
                  <w:pPr>
                    <w:jc w:val="center"/>
                    <w:rPr>
                      <w:color w:val="auto"/>
                      <w:kern w:val="0"/>
                      <w:szCs w:val="21"/>
                    </w:rPr>
                  </w:pPr>
                  <w:r>
                    <w:rPr>
                      <w:rFonts w:hAnsi="宋体"/>
                      <w:color w:val="auto"/>
                      <w:kern w:val="0"/>
                      <w:szCs w:val="21"/>
                    </w:rPr>
                    <w:t>导热油炉废气</w:t>
                  </w:r>
                </w:p>
              </w:tc>
              <w:tc>
                <w:tcPr>
                  <w:tcW w:w="674" w:type="pct"/>
                  <w:shd w:val="clear" w:color="auto" w:fill="auto"/>
                  <w:vAlign w:val="center"/>
                </w:tcPr>
                <w:p w14:paraId="28606D75">
                  <w:pPr>
                    <w:jc w:val="center"/>
                    <w:rPr>
                      <w:color w:val="auto"/>
                      <w:kern w:val="0"/>
                      <w:szCs w:val="21"/>
                    </w:rPr>
                  </w:pPr>
                  <w:r>
                    <w:rPr>
                      <w:rFonts w:hAnsi="宋体"/>
                      <w:color w:val="auto"/>
                      <w:kern w:val="0"/>
                      <w:szCs w:val="21"/>
                    </w:rPr>
                    <w:t>颗粒物</w:t>
                  </w:r>
                </w:p>
              </w:tc>
              <w:tc>
                <w:tcPr>
                  <w:tcW w:w="630" w:type="pct"/>
                  <w:vMerge w:val="restart"/>
                  <w:shd w:val="clear" w:color="auto" w:fill="auto"/>
                  <w:vAlign w:val="center"/>
                </w:tcPr>
                <w:p w14:paraId="38A89E6D">
                  <w:pPr>
                    <w:jc w:val="center"/>
                    <w:rPr>
                      <w:color w:val="auto"/>
                      <w:kern w:val="0"/>
                      <w:szCs w:val="21"/>
                    </w:rPr>
                  </w:pPr>
                  <w:r>
                    <w:rPr>
                      <w:color w:val="auto"/>
                      <w:kern w:val="0"/>
                      <w:szCs w:val="21"/>
                    </w:rPr>
                    <w:t>3500</w:t>
                  </w:r>
                </w:p>
              </w:tc>
              <w:tc>
                <w:tcPr>
                  <w:tcW w:w="731" w:type="pct"/>
                  <w:shd w:val="clear" w:color="auto" w:fill="auto"/>
                  <w:vAlign w:val="center"/>
                </w:tcPr>
                <w:p w14:paraId="195D494C">
                  <w:pPr>
                    <w:jc w:val="center"/>
                    <w:rPr>
                      <w:color w:val="auto"/>
                      <w:kern w:val="0"/>
                      <w:szCs w:val="21"/>
                    </w:rPr>
                  </w:pPr>
                  <w:r>
                    <w:rPr>
                      <w:color w:val="auto"/>
                      <w:kern w:val="0"/>
                      <w:szCs w:val="21"/>
                    </w:rPr>
                    <w:t>5.4</w:t>
                  </w:r>
                </w:p>
              </w:tc>
              <w:tc>
                <w:tcPr>
                  <w:tcW w:w="1129" w:type="pct"/>
                  <w:shd w:val="clear" w:color="auto" w:fill="auto"/>
                  <w:vAlign w:val="center"/>
                </w:tcPr>
                <w:p w14:paraId="68CA1D52">
                  <w:pPr>
                    <w:jc w:val="center"/>
                    <w:rPr>
                      <w:color w:val="auto"/>
                      <w:kern w:val="0"/>
                      <w:szCs w:val="21"/>
                    </w:rPr>
                  </w:pPr>
                  <w:r>
                    <w:rPr>
                      <w:color w:val="auto"/>
                      <w:kern w:val="0"/>
                      <w:szCs w:val="21"/>
                    </w:rPr>
                    <w:t>5.4</w:t>
                  </w:r>
                </w:p>
              </w:tc>
              <w:tc>
                <w:tcPr>
                  <w:tcW w:w="782" w:type="pct"/>
                  <w:shd w:val="clear" w:color="auto" w:fill="auto"/>
                  <w:vAlign w:val="center"/>
                </w:tcPr>
                <w:p w14:paraId="79278471">
                  <w:pPr>
                    <w:jc w:val="center"/>
                    <w:rPr>
                      <w:color w:val="auto"/>
                      <w:kern w:val="0"/>
                      <w:szCs w:val="21"/>
                    </w:rPr>
                  </w:pPr>
                  <w:r>
                    <w:rPr>
                      <w:color w:val="auto"/>
                      <w:kern w:val="0"/>
                      <w:szCs w:val="21"/>
                    </w:rPr>
                    <w:t>0.07</w:t>
                  </w:r>
                </w:p>
              </w:tc>
            </w:tr>
            <w:tr w14:paraId="3F723FC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1051" w:type="pct"/>
                  <w:vMerge w:val="continue"/>
                  <w:shd w:val="clear" w:color="auto" w:fill="auto"/>
                  <w:vAlign w:val="center"/>
                </w:tcPr>
                <w:p w14:paraId="2B4EBAE2">
                  <w:pPr>
                    <w:pStyle w:val="94"/>
                    <w:rPr>
                      <w:color w:val="auto"/>
                      <w:szCs w:val="21"/>
                    </w:rPr>
                  </w:pPr>
                </w:p>
              </w:tc>
              <w:tc>
                <w:tcPr>
                  <w:tcW w:w="674" w:type="pct"/>
                  <w:shd w:val="clear" w:color="auto" w:fill="auto"/>
                  <w:vAlign w:val="center"/>
                </w:tcPr>
                <w:p w14:paraId="41917521">
                  <w:pPr>
                    <w:pStyle w:val="94"/>
                    <w:rPr>
                      <w:color w:val="auto"/>
                      <w:szCs w:val="21"/>
                    </w:rPr>
                  </w:pPr>
                  <w:r>
                    <w:rPr>
                      <w:color w:val="auto"/>
                      <w:kern w:val="0"/>
                      <w:szCs w:val="21"/>
                    </w:rPr>
                    <w:t>二氧化硫</w:t>
                  </w:r>
                </w:p>
              </w:tc>
              <w:tc>
                <w:tcPr>
                  <w:tcW w:w="630" w:type="pct"/>
                  <w:vMerge w:val="continue"/>
                  <w:shd w:val="clear" w:color="auto" w:fill="auto"/>
                  <w:vAlign w:val="center"/>
                </w:tcPr>
                <w:p w14:paraId="171AC310">
                  <w:pPr>
                    <w:pStyle w:val="94"/>
                    <w:rPr>
                      <w:color w:val="auto"/>
                      <w:szCs w:val="21"/>
                    </w:rPr>
                  </w:pPr>
                </w:p>
              </w:tc>
              <w:tc>
                <w:tcPr>
                  <w:tcW w:w="731" w:type="pct"/>
                  <w:shd w:val="clear" w:color="auto" w:fill="auto"/>
                  <w:vAlign w:val="center"/>
                </w:tcPr>
                <w:p w14:paraId="600BD6A3">
                  <w:pPr>
                    <w:pStyle w:val="94"/>
                    <w:rPr>
                      <w:color w:val="auto"/>
                      <w:szCs w:val="21"/>
                    </w:rPr>
                  </w:pPr>
                  <w:r>
                    <w:rPr>
                      <w:color w:val="auto"/>
                      <w:kern w:val="0"/>
                      <w:szCs w:val="21"/>
                    </w:rPr>
                    <w:t>3L</w:t>
                  </w:r>
                </w:p>
              </w:tc>
              <w:tc>
                <w:tcPr>
                  <w:tcW w:w="1129" w:type="pct"/>
                  <w:shd w:val="clear" w:color="auto" w:fill="auto"/>
                  <w:vAlign w:val="center"/>
                </w:tcPr>
                <w:p w14:paraId="5700F244">
                  <w:pPr>
                    <w:pStyle w:val="94"/>
                    <w:rPr>
                      <w:color w:val="auto"/>
                      <w:szCs w:val="21"/>
                    </w:rPr>
                  </w:pPr>
                  <w:r>
                    <w:rPr>
                      <w:color w:val="auto"/>
                      <w:kern w:val="0"/>
                      <w:szCs w:val="21"/>
                    </w:rPr>
                    <w:t>/</w:t>
                  </w:r>
                </w:p>
              </w:tc>
              <w:tc>
                <w:tcPr>
                  <w:tcW w:w="782" w:type="pct"/>
                  <w:shd w:val="clear" w:color="auto" w:fill="auto"/>
                  <w:vAlign w:val="center"/>
                </w:tcPr>
                <w:p w14:paraId="4FC8364F">
                  <w:pPr>
                    <w:pStyle w:val="94"/>
                    <w:rPr>
                      <w:color w:val="auto"/>
                      <w:szCs w:val="21"/>
                    </w:rPr>
                  </w:pPr>
                  <w:r>
                    <w:rPr>
                      <w:color w:val="auto"/>
                      <w:kern w:val="0"/>
                      <w:szCs w:val="21"/>
                    </w:rPr>
                    <w:t>/</w:t>
                  </w:r>
                </w:p>
              </w:tc>
            </w:tr>
            <w:tr w14:paraId="59CB75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1051" w:type="pct"/>
                  <w:vMerge w:val="continue"/>
                  <w:shd w:val="clear" w:color="auto" w:fill="auto"/>
                  <w:vAlign w:val="center"/>
                </w:tcPr>
                <w:p w14:paraId="0A01B03C">
                  <w:pPr>
                    <w:pStyle w:val="94"/>
                    <w:rPr>
                      <w:color w:val="auto"/>
                      <w:szCs w:val="21"/>
                    </w:rPr>
                  </w:pPr>
                </w:p>
              </w:tc>
              <w:tc>
                <w:tcPr>
                  <w:tcW w:w="674" w:type="pct"/>
                  <w:shd w:val="clear" w:color="auto" w:fill="auto"/>
                  <w:vAlign w:val="center"/>
                </w:tcPr>
                <w:p w14:paraId="4AE230C3">
                  <w:pPr>
                    <w:pStyle w:val="94"/>
                    <w:rPr>
                      <w:color w:val="auto"/>
                      <w:szCs w:val="21"/>
                    </w:rPr>
                  </w:pPr>
                  <w:r>
                    <w:rPr>
                      <w:color w:val="auto"/>
                      <w:kern w:val="0"/>
                      <w:szCs w:val="21"/>
                    </w:rPr>
                    <w:t>氮氧化物</w:t>
                  </w:r>
                </w:p>
              </w:tc>
              <w:tc>
                <w:tcPr>
                  <w:tcW w:w="630" w:type="pct"/>
                  <w:vMerge w:val="continue"/>
                  <w:shd w:val="clear" w:color="auto" w:fill="auto"/>
                  <w:vAlign w:val="center"/>
                </w:tcPr>
                <w:p w14:paraId="3824B844">
                  <w:pPr>
                    <w:pStyle w:val="94"/>
                    <w:rPr>
                      <w:color w:val="auto"/>
                      <w:szCs w:val="21"/>
                    </w:rPr>
                  </w:pPr>
                </w:p>
              </w:tc>
              <w:tc>
                <w:tcPr>
                  <w:tcW w:w="731" w:type="pct"/>
                  <w:shd w:val="clear" w:color="auto" w:fill="auto"/>
                  <w:vAlign w:val="center"/>
                </w:tcPr>
                <w:p w14:paraId="1E6C654D">
                  <w:pPr>
                    <w:pStyle w:val="94"/>
                    <w:rPr>
                      <w:color w:val="auto"/>
                      <w:szCs w:val="21"/>
                    </w:rPr>
                  </w:pPr>
                  <w:r>
                    <w:rPr>
                      <w:color w:val="auto"/>
                      <w:kern w:val="0"/>
                      <w:szCs w:val="21"/>
                    </w:rPr>
                    <w:t>42</w:t>
                  </w:r>
                </w:p>
              </w:tc>
              <w:tc>
                <w:tcPr>
                  <w:tcW w:w="1129" w:type="pct"/>
                  <w:shd w:val="clear" w:color="auto" w:fill="auto"/>
                  <w:vAlign w:val="center"/>
                </w:tcPr>
                <w:p w14:paraId="3751478D">
                  <w:pPr>
                    <w:pStyle w:val="94"/>
                    <w:rPr>
                      <w:color w:val="auto"/>
                      <w:szCs w:val="21"/>
                    </w:rPr>
                  </w:pPr>
                  <w:r>
                    <w:rPr>
                      <w:color w:val="auto"/>
                      <w:kern w:val="0"/>
                      <w:szCs w:val="21"/>
                    </w:rPr>
                    <w:t>42</w:t>
                  </w:r>
                </w:p>
              </w:tc>
              <w:tc>
                <w:tcPr>
                  <w:tcW w:w="782" w:type="pct"/>
                  <w:shd w:val="clear" w:color="auto" w:fill="auto"/>
                  <w:vAlign w:val="center"/>
                </w:tcPr>
                <w:p w14:paraId="2745E81D">
                  <w:pPr>
                    <w:pStyle w:val="94"/>
                    <w:rPr>
                      <w:color w:val="auto"/>
                      <w:szCs w:val="21"/>
                    </w:rPr>
                  </w:pPr>
                  <w:r>
                    <w:rPr>
                      <w:color w:val="auto"/>
                      <w:kern w:val="0"/>
                      <w:szCs w:val="21"/>
                    </w:rPr>
                    <w:t>0.58</w:t>
                  </w:r>
                </w:p>
              </w:tc>
            </w:tr>
            <w:tr w14:paraId="4CCAEA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1051" w:type="pct"/>
                  <w:vMerge w:val="restart"/>
                  <w:shd w:val="clear" w:color="auto" w:fill="auto"/>
                  <w:vAlign w:val="center"/>
                </w:tcPr>
                <w:p w14:paraId="36ADE948">
                  <w:pPr>
                    <w:jc w:val="center"/>
                    <w:rPr>
                      <w:color w:val="auto"/>
                      <w:kern w:val="0"/>
                      <w:szCs w:val="21"/>
                    </w:rPr>
                  </w:pPr>
                  <w:r>
                    <w:rPr>
                      <w:rFonts w:hAnsi="宋体"/>
                      <w:color w:val="auto"/>
                      <w:kern w:val="0"/>
                      <w:szCs w:val="21"/>
                    </w:rPr>
                    <w:t>拌合站沥青烟气</w:t>
                  </w:r>
                </w:p>
              </w:tc>
              <w:tc>
                <w:tcPr>
                  <w:tcW w:w="674" w:type="pct"/>
                  <w:shd w:val="clear" w:color="auto" w:fill="auto"/>
                  <w:vAlign w:val="center"/>
                </w:tcPr>
                <w:p w14:paraId="4692FB74">
                  <w:pPr>
                    <w:jc w:val="center"/>
                    <w:rPr>
                      <w:color w:val="auto"/>
                      <w:kern w:val="0"/>
                      <w:szCs w:val="21"/>
                    </w:rPr>
                  </w:pPr>
                  <w:r>
                    <w:rPr>
                      <w:rFonts w:hAnsi="宋体"/>
                      <w:color w:val="auto"/>
                      <w:kern w:val="0"/>
                      <w:szCs w:val="21"/>
                    </w:rPr>
                    <w:t>沥青烟</w:t>
                  </w:r>
                </w:p>
              </w:tc>
              <w:tc>
                <w:tcPr>
                  <w:tcW w:w="630" w:type="pct"/>
                  <w:vMerge w:val="restart"/>
                  <w:shd w:val="clear" w:color="auto" w:fill="auto"/>
                  <w:vAlign w:val="center"/>
                </w:tcPr>
                <w:p w14:paraId="172237FF">
                  <w:pPr>
                    <w:jc w:val="center"/>
                    <w:rPr>
                      <w:color w:val="auto"/>
                      <w:kern w:val="0"/>
                      <w:szCs w:val="21"/>
                    </w:rPr>
                  </w:pPr>
                  <w:r>
                    <w:rPr>
                      <w:color w:val="auto"/>
                      <w:kern w:val="0"/>
                      <w:szCs w:val="21"/>
                    </w:rPr>
                    <w:t>20000</w:t>
                  </w:r>
                </w:p>
              </w:tc>
              <w:tc>
                <w:tcPr>
                  <w:tcW w:w="731" w:type="pct"/>
                  <w:shd w:val="clear" w:color="auto" w:fill="auto"/>
                  <w:vAlign w:val="center"/>
                </w:tcPr>
                <w:p w14:paraId="6882CA5A">
                  <w:pPr>
                    <w:jc w:val="center"/>
                    <w:rPr>
                      <w:color w:val="auto"/>
                      <w:kern w:val="0"/>
                      <w:szCs w:val="21"/>
                    </w:rPr>
                  </w:pPr>
                  <w:r>
                    <w:rPr>
                      <w:color w:val="auto"/>
                      <w:kern w:val="0"/>
                      <w:szCs w:val="21"/>
                    </w:rPr>
                    <w:t>1.05</w:t>
                  </w:r>
                </w:p>
              </w:tc>
              <w:tc>
                <w:tcPr>
                  <w:tcW w:w="1129" w:type="pct"/>
                  <w:shd w:val="clear" w:color="auto" w:fill="auto"/>
                  <w:vAlign w:val="center"/>
                </w:tcPr>
                <w:p w14:paraId="22CCFEC8">
                  <w:pPr>
                    <w:jc w:val="center"/>
                    <w:rPr>
                      <w:color w:val="auto"/>
                      <w:kern w:val="0"/>
                      <w:szCs w:val="21"/>
                    </w:rPr>
                  </w:pPr>
                  <w:r>
                    <w:rPr>
                      <w:color w:val="auto"/>
                      <w:kern w:val="0"/>
                      <w:szCs w:val="21"/>
                    </w:rPr>
                    <w:t>0.02</w:t>
                  </w:r>
                </w:p>
              </w:tc>
              <w:tc>
                <w:tcPr>
                  <w:tcW w:w="782" w:type="pct"/>
                  <w:shd w:val="clear" w:color="auto" w:fill="auto"/>
                  <w:vAlign w:val="center"/>
                </w:tcPr>
                <w:p w14:paraId="30B5D813">
                  <w:pPr>
                    <w:jc w:val="center"/>
                    <w:rPr>
                      <w:color w:val="auto"/>
                      <w:kern w:val="0"/>
                      <w:szCs w:val="21"/>
                    </w:rPr>
                  </w:pPr>
                  <w:r>
                    <w:rPr>
                      <w:color w:val="auto"/>
                      <w:kern w:val="0"/>
                      <w:szCs w:val="21"/>
                    </w:rPr>
                    <w:t>0.083</w:t>
                  </w:r>
                </w:p>
              </w:tc>
            </w:tr>
            <w:tr w14:paraId="625B1A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1051" w:type="pct"/>
                  <w:vMerge w:val="continue"/>
                  <w:shd w:val="clear" w:color="auto" w:fill="auto"/>
                  <w:vAlign w:val="center"/>
                </w:tcPr>
                <w:p w14:paraId="06D86A4A">
                  <w:pPr>
                    <w:pStyle w:val="94"/>
                    <w:rPr>
                      <w:color w:val="auto"/>
                      <w:szCs w:val="21"/>
                    </w:rPr>
                  </w:pPr>
                </w:p>
              </w:tc>
              <w:tc>
                <w:tcPr>
                  <w:tcW w:w="674" w:type="pct"/>
                  <w:shd w:val="clear" w:color="auto" w:fill="auto"/>
                  <w:vAlign w:val="center"/>
                </w:tcPr>
                <w:p w14:paraId="1853DD39">
                  <w:pPr>
                    <w:pStyle w:val="94"/>
                    <w:rPr>
                      <w:color w:val="auto"/>
                      <w:szCs w:val="21"/>
                    </w:rPr>
                  </w:pPr>
                  <w:r>
                    <w:rPr>
                      <w:color w:val="auto"/>
                      <w:kern w:val="0"/>
                      <w:szCs w:val="21"/>
                    </w:rPr>
                    <w:t>苯并[a]芘</w:t>
                  </w:r>
                </w:p>
              </w:tc>
              <w:tc>
                <w:tcPr>
                  <w:tcW w:w="630" w:type="pct"/>
                  <w:vMerge w:val="continue"/>
                  <w:shd w:val="clear" w:color="auto" w:fill="auto"/>
                  <w:vAlign w:val="center"/>
                </w:tcPr>
                <w:p w14:paraId="47E5CDA6">
                  <w:pPr>
                    <w:pStyle w:val="94"/>
                    <w:rPr>
                      <w:color w:val="auto"/>
                      <w:szCs w:val="21"/>
                    </w:rPr>
                  </w:pPr>
                </w:p>
              </w:tc>
              <w:tc>
                <w:tcPr>
                  <w:tcW w:w="731" w:type="pct"/>
                  <w:shd w:val="clear" w:color="auto" w:fill="auto"/>
                  <w:vAlign w:val="center"/>
                </w:tcPr>
                <w:p w14:paraId="5AEDDB90">
                  <w:pPr>
                    <w:pStyle w:val="94"/>
                    <w:rPr>
                      <w:color w:val="auto"/>
                      <w:szCs w:val="21"/>
                    </w:rPr>
                  </w:pPr>
                  <w:r>
                    <w:rPr>
                      <w:color w:val="auto"/>
                      <w:kern w:val="0"/>
                      <w:szCs w:val="21"/>
                    </w:rPr>
                    <w:t>0.00004</w:t>
                  </w:r>
                </w:p>
              </w:tc>
              <w:tc>
                <w:tcPr>
                  <w:tcW w:w="1129" w:type="pct"/>
                  <w:shd w:val="clear" w:color="auto" w:fill="auto"/>
                  <w:vAlign w:val="center"/>
                </w:tcPr>
                <w:p w14:paraId="607F17FB">
                  <w:pPr>
                    <w:pStyle w:val="94"/>
                    <w:rPr>
                      <w:color w:val="auto"/>
                      <w:szCs w:val="21"/>
                    </w:rPr>
                  </w:pPr>
                  <w:r>
                    <w:rPr>
                      <w:color w:val="auto"/>
                      <w:kern w:val="0"/>
                      <w:szCs w:val="21"/>
                    </w:rPr>
                    <w:t xml:space="preserve">0.0000008 </w:t>
                  </w:r>
                </w:p>
              </w:tc>
              <w:tc>
                <w:tcPr>
                  <w:tcW w:w="782" w:type="pct"/>
                  <w:shd w:val="clear" w:color="auto" w:fill="auto"/>
                  <w:vAlign w:val="center"/>
                </w:tcPr>
                <w:p w14:paraId="2421C28E">
                  <w:pPr>
                    <w:pStyle w:val="94"/>
                    <w:rPr>
                      <w:color w:val="auto"/>
                      <w:szCs w:val="21"/>
                    </w:rPr>
                  </w:pPr>
                  <w:r>
                    <w:rPr>
                      <w:color w:val="auto"/>
                      <w:kern w:val="0"/>
                      <w:szCs w:val="21"/>
                    </w:rPr>
                    <w:t xml:space="preserve">0.00000317 </w:t>
                  </w:r>
                </w:p>
              </w:tc>
            </w:tr>
            <w:bookmarkEnd w:id="27"/>
          </w:tbl>
          <w:p w14:paraId="5325D1CC">
            <w:pPr>
              <w:pStyle w:val="56"/>
              <w:keepNext w:val="0"/>
              <w:keepLines w:val="0"/>
              <w:pageBreakBefore w:val="0"/>
              <w:widowControl/>
              <w:kinsoku/>
              <w:wordWrap/>
              <w:overflowPunct/>
              <w:topLinePunct w:val="0"/>
              <w:autoSpaceDE/>
              <w:autoSpaceDN/>
              <w:bidi w:val="0"/>
              <w:adjustRightInd/>
              <w:snapToGrid/>
              <w:spacing w:before="313" w:beforeLines="100"/>
              <w:jc w:val="both"/>
              <w:textAlignment w:val="auto"/>
              <w:rPr>
                <w:rFonts w:hint="eastAsia" w:ascii="Times New Roman" w:cs="Times New Roman"/>
                <w:color w:val="auto"/>
              </w:rPr>
            </w:pPr>
            <w:r>
              <w:rPr>
                <w:rFonts w:hint="eastAsia" w:cs="Times New Roman"/>
                <w:color w:val="auto"/>
              </w:rPr>
              <w:t>①</w:t>
            </w:r>
            <w:r>
              <w:rPr>
                <w:rFonts w:hint="eastAsia" w:ascii="Times New Roman" w:cs="Times New Roman"/>
                <w:color w:val="auto"/>
              </w:rPr>
              <w:t xml:space="preserve"> </w:t>
            </w:r>
            <w:r>
              <w:rPr>
                <w:color w:val="auto"/>
              </w:rPr>
              <w:t>粉尘</w:t>
            </w:r>
          </w:p>
          <w:p w14:paraId="3C909EB9">
            <w:pPr>
              <w:pStyle w:val="56"/>
              <w:jc w:val="both"/>
              <w:rPr>
                <w:rFonts w:ascii="Times New Roman" w:hAnsi="Times New Roman" w:cs="Times New Roman"/>
                <w:color w:val="auto"/>
              </w:rPr>
            </w:pPr>
            <w:r>
              <w:rPr>
                <w:rFonts w:hint="eastAsia" w:ascii="Times New Roman" w:cs="Times New Roman"/>
                <w:color w:val="auto"/>
              </w:rPr>
              <w:t>沥青拌合站烘干炉燃烧产生的污染物主要有颗粒物、二氧化硫、氮氧化物，采用布袋除尘处理后通过15m高的排气筒排放，颗粒物、二氧化硫及氮氧化物等指标均能满足《大气污染物综合排放标准》（GB16297-1996）表2要求，从而实现污染物均达标排放，降低对周边环境影响。</w:t>
            </w:r>
          </w:p>
          <w:p w14:paraId="383B3DA8">
            <w:pPr>
              <w:pStyle w:val="56"/>
              <w:jc w:val="both"/>
              <w:rPr>
                <w:rFonts w:hint="eastAsia" w:ascii="Times New Roman" w:cs="Times New Roman"/>
                <w:color w:val="auto"/>
              </w:rPr>
            </w:pPr>
            <w:r>
              <w:rPr>
                <w:rFonts w:hint="eastAsia" w:ascii="Times New Roman" w:cs="Times New Roman"/>
                <w:color w:val="auto"/>
              </w:rPr>
              <w:t>沥青加热用导热油炉废气主要为颗粒物、二氧化硫、氮氧化物，经不低于8m高的排气筒排放，污染物满足</w:t>
            </w:r>
            <w:r>
              <w:rPr>
                <w:rFonts w:ascii="Times New Roman" w:cs="Times New Roman"/>
                <w:color w:val="auto"/>
              </w:rPr>
              <w:t>《锅炉大气污染物排放标准》（GB13271-2014）表2中燃油锅炉</w:t>
            </w:r>
            <w:r>
              <w:rPr>
                <w:rFonts w:hint="eastAsia" w:ascii="Times New Roman" w:cs="Times New Roman"/>
                <w:color w:val="auto"/>
              </w:rPr>
              <w:t>排放</w:t>
            </w:r>
            <w:r>
              <w:rPr>
                <w:rFonts w:ascii="Times New Roman" w:cs="Times New Roman"/>
                <w:color w:val="auto"/>
              </w:rPr>
              <w:t>标准</w:t>
            </w:r>
            <w:r>
              <w:rPr>
                <w:rFonts w:hint="eastAsia" w:ascii="Times New Roman" w:cs="Times New Roman"/>
                <w:color w:val="auto"/>
              </w:rPr>
              <w:t>，从而实现污染物达标排放，降低对周边环境影响。</w:t>
            </w:r>
          </w:p>
          <w:p w14:paraId="76B8CFF2">
            <w:pPr>
              <w:pStyle w:val="56"/>
              <w:jc w:val="both"/>
              <w:rPr>
                <w:rFonts w:hint="eastAsia"/>
                <w:color w:val="auto"/>
              </w:rPr>
            </w:pPr>
            <w:r>
              <w:rPr>
                <w:rFonts w:ascii="Times New Roman" w:cs="Times New Roman"/>
                <w:color w:val="auto"/>
              </w:rPr>
              <w:t>②</w:t>
            </w:r>
            <w:r>
              <w:rPr>
                <w:rFonts w:hint="eastAsia" w:ascii="Times New Roman" w:cs="Times New Roman"/>
                <w:color w:val="auto"/>
              </w:rPr>
              <w:t xml:space="preserve"> </w:t>
            </w:r>
            <w:r>
              <w:rPr>
                <w:rFonts w:ascii="Times New Roman" w:cs="Times New Roman"/>
                <w:color w:val="auto"/>
              </w:rPr>
              <w:t>沥青</w:t>
            </w:r>
            <w:r>
              <w:rPr>
                <w:color w:val="auto"/>
              </w:rPr>
              <w:t>烟和苯并[</w:t>
            </w:r>
            <w:r>
              <w:rPr>
                <w:rFonts w:ascii="Symbol" w:hAnsi="Symbol"/>
                <w:color w:val="auto"/>
              </w:rPr>
              <w:t></w:t>
            </w:r>
            <w:r>
              <w:rPr>
                <w:color w:val="auto"/>
              </w:rPr>
              <w:t>]芘</w:t>
            </w:r>
          </w:p>
          <w:p w14:paraId="4BE01BB7">
            <w:pPr>
              <w:pStyle w:val="56"/>
              <w:jc w:val="both"/>
              <w:rPr>
                <w:rFonts w:hint="eastAsia"/>
                <w:color w:val="auto"/>
              </w:rPr>
            </w:pPr>
            <w:r>
              <w:rPr>
                <w:rFonts w:ascii="Times New Roman" w:cs="Times New Roman"/>
                <w:color w:val="auto"/>
              </w:rPr>
              <w:t>拟建公路设置的沥青拌合站避开了沿线环境敏感区，场站周边</w:t>
            </w:r>
            <w:r>
              <w:rPr>
                <w:rFonts w:ascii="Times New Roman" w:hAnsi="Times New Roman" w:cs="Times New Roman"/>
                <w:color w:val="auto"/>
              </w:rPr>
              <w:t>500m</w:t>
            </w:r>
            <w:r>
              <w:rPr>
                <w:rFonts w:ascii="Times New Roman" w:cs="Times New Roman"/>
                <w:color w:val="auto"/>
              </w:rPr>
              <w:t>内均无村庄、学校、医院等环境敏感点，可满足拌合站选址要求。</w:t>
            </w:r>
            <w:r>
              <w:rPr>
                <w:color w:val="auto"/>
              </w:rPr>
              <w:t>拌合站内沥青的存放、加热、使用均应在密闭环境下完成，并设置除尘设备，外排沥青烟很少</w:t>
            </w:r>
            <w:r>
              <w:rPr>
                <w:rFonts w:hint="eastAsia"/>
                <w:color w:val="auto"/>
              </w:rPr>
              <w:t>。</w:t>
            </w:r>
            <w:r>
              <w:rPr>
                <w:color w:val="auto"/>
              </w:rPr>
              <w:t>拌和后的沥青混凝土采用无热源或高温容器的密闭沥青运输车辆将沥青运至铺浇工地进行摊铺，沿途基本不会产生沥青烟气逸散。</w:t>
            </w:r>
            <w:r>
              <w:rPr>
                <w:rFonts w:hint="eastAsia"/>
                <w:color w:val="auto"/>
              </w:rPr>
              <w:t>同时</w:t>
            </w:r>
            <w:r>
              <w:rPr>
                <w:color w:val="auto"/>
              </w:rPr>
              <w:t>为减少沥青烟气对施工操作人员及周边居民的影响，施工操作人员应注意加强自身的安全健康防护；当公路建设工地靠近村庄居民点时，应尽量避免风向面对环境敏感点的时段，避开居民出入高峰期，采取设置警告标识要求避让等相应防护措施，并尽量在保证质量的前提下缩短施工时间，以免对人群健康产生影响。总的来说，沥青摊铺对大气环境影响较小，且时间较短，这种短期影响随着施工的结束而结束。</w:t>
            </w:r>
          </w:p>
          <w:p w14:paraId="268495A4">
            <w:pPr>
              <w:pStyle w:val="56"/>
              <w:jc w:val="both"/>
              <w:rPr>
                <w:rFonts w:ascii="Times New Roman" w:hAnsi="Times New Roman" w:cs="Times New Roman"/>
                <w:color w:val="auto"/>
              </w:rPr>
            </w:pPr>
            <w:r>
              <w:rPr>
                <w:rFonts w:ascii="Times New Roman" w:cs="Times New Roman"/>
                <w:color w:val="auto"/>
              </w:rPr>
              <w:t>沥青拌合站废气主要为产生的苯并</w:t>
            </w:r>
            <w:r>
              <w:rPr>
                <w:rFonts w:ascii="Times New Roman" w:hAnsi="Times New Roman" w:cs="Times New Roman"/>
                <w:color w:val="auto"/>
              </w:rPr>
              <w:t>[a]</w:t>
            </w:r>
            <w:r>
              <w:rPr>
                <w:rFonts w:ascii="Times New Roman" w:cs="Times New Roman"/>
                <w:color w:val="auto"/>
              </w:rPr>
              <w:t>芘、沥青烟等污染物，采用电捕焦油</w:t>
            </w:r>
            <w:r>
              <w:rPr>
                <w:rFonts w:ascii="Times New Roman" w:hAnsi="Times New Roman" w:cs="Times New Roman"/>
                <w:color w:val="auto"/>
              </w:rPr>
              <w:t>+</w:t>
            </w:r>
            <w:r>
              <w:rPr>
                <w:rFonts w:ascii="Times New Roman" w:cs="Times New Roman"/>
                <w:color w:val="auto"/>
              </w:rPr>
              <w:t>活性炭吸附处置后，苯并</w:t>
            </w:r>
            <w:r>
              <w:rPr>
                <w:rFonts w:ascii="Times New Roman" w:hAnsi="Times New Roman" w:cs="Times New Roman"/>
                <w:color w:val="auto"/>
              </w:rPr>
              <w:t>[a]</w:t>
            </w:r>
            <w:r>
              <w:rPr>
                <w:rFonts w:ascii="Times New Roman" w:cs="Times New Roman"/>
                <w:color w:val="auto"/>
              </w:rPr>
              <w:t>芘、沥青烟满足</w:t>
            </w:r>
            <w:r>
              <w:rPr>
                <w:rFonts w:hint="eastAsia" w:ascii="Times New Roman" w:cs="Times New Roman"/>
                <w:color w:val="auto"/>
              </w:rPr>
              <w:t>《大气污染物综合排放标准》（</w:t>
            </w:r>
            <w:r>
              <w:rPr>
                <w:rFonts w:ascii="Times New Roman" w:cs="Times New Roman"/>
                <w:color w:val="auto"/>
              </w:rPr>
              <w:t>GB16297-1996</w:t>
            </w:r>
            <w:r>
              <w:rPr>
                <w:rFonts w:hint="eastAsia" w:ascii="Times New Roman" w:cs="Times New Roman"/>
                <w:color w:val="auto"/>
              </w:rPr>
              <w:t>）的二级标准后通过一根15m排气筒排放</w:t>
            </w:r>
            <w:r>
              <w:rPr>
                <w:rFonts w:ascii="Times New Roman" w:cs="Times New Roman"/>
                <w:color w:val="auto"/>
              </w:rPr>
              <w:t>，污染物可达标排放，对周边环境影响较小。</w:t>
            </w:r>
          </w:p>
          <w:p w14:paraId="20BB8D24">
            <w:pPr>
              <w:adjustRightInd w:val="0"/>
              <w:snapToGrid w:val="0"/>
              <w:spacing w:line="300" w:lineRule="auto"/>
              <w:ind w:firstLine="480" w:firstLineChars="200"/>
              <w:rPr>
                <w:color w:val="auto"/>
                <w:sz w:val="24"/>
              </w:rPr>
            </w:pPr>
            <w:r>
              <w:rPr>
                <w:rFonts w:hint="eastAsia"/>
                <w:color w:val="auto"/>
                <w:sz w:val="24"/>
                <w:szCs w:val="20"/>
              </w:rPr>
              <w:t>(4)</w:t>
            </w:r>
            <w:r>
              <w:rPr>
                <w:rFonts w:hint="eastAsia"/>
                <w:color w:val="auto"/>
                <w:sz w:val="24"/>
              </w:rPr>
              <w:t xml:space="preserve"> </w:t>
            </w:r>
            <w:r>
              <w:rPr>
                <w:color w:val="auto"/>
                <w:sz w:val="24"/>
              </w:rPr>
              <w:t>道路铺设沥青烟</w:t>
            </w:r>
          </w:p>
          <w:p w14:paraId="1CEB9C02">
            <w:pPr>
              <w:adjustRightInd w:val="0"/>
              <w:snapToGrid w:val="0"/>
              <w:spacing w:line="300" w:lineRule="auto"/>
              <w:ind w:firstLine="480" w:firstLineChars="200"/>
              <w:rPr>
                <w:color w:val="auto"/>
                <w:sz w:val="24"/>
              </w:rPr>
            </w:pPr>
            <w:r>
              <w:rPr>
                <w:rFonts w:hint="eastAsia"/>
                <w:color w:val="auto"/>
                <w:sz w:val="24"/>
              </w:rPr>
              <w:t>拟建</w:t>
            </w:r>
            <w:r>
              <w:rPr>
                <w:color w:val="auto"/>
                <w:sz w:val="24"/>
              </w:rPr>
              <w:t>公路在沥青摊铺等作业过程中会有沥青烟排出。根据</w:t>
            </w:r>
            <w:r>
              <w:rPr>
                <w:rFonts w:hint="eastAsia"/>
                <w:color w:val="auto"/>
                <w:sz w:val="24"/>
              </w:rPr>
              <w:t>交通运输部</w:t>
            </w:r>
            <w:r>
              <w:rPr>
                <w:color w:val="auto"/>
                <w:sz w:val="24"/>
              </w:rPr>
              <w:t>公路所</w:t>
            </w:r>
            <w:r>
              <w:rPr>
                <w:rFonts w:hint="eastAsia"/>
                <w:color w:val="auto"/>
                <w:sz w:val="24"/>
              </w:rPr>
              <w:t>对</w:t>
            </w:r>
            <w:r>
              <w:rPr>
                <w:color w:val="auto"/>
                <w:sz w:val="24"/>
              </w:rPr>
              <w:t>大洋坊沥青摊铺施工过程测定结果，不同型号的摊铺设备沥青烟产生浓度见表</w:t>
            </w:r>
            <w:r>
              <w:rPr>
                <w:rFonts w:hint="eastAsia"/>
                <w:color w:val="auto"/>
                <w:sz w:val="24"/>
                <w:lang w:val="en-US" w:eastAsia="zh-CN"/>
              </w:rPr>
              <w:t>4-4</w:t>
            </w:r>
            <w:r>
              <w:rPr>
                <w:color w:val="auto"/>
                <w:sz w:val="24"/>
              </w:rPr>
              <w:t>。</w:t>
            </w:r>
          </w:p>
          <w:p w14:paraId="4EDE39DB">
            <w:pPr>
              <w:spacing w:beforeLines="50"/>
              <w:jc w:val="center"/>
              <w:rPr>
                <w:b/>
                <w:bCs/>
                <w:color w:val="auto"/>
                <w:kern w:val="0"/>
              </w:rPr>
            </w:pPr>
            <w:r>
              <w:rPr>
                <w:b/>
                <w:bCs/>
                <w:color w:val="auto"/>
                <w:kern w:val="0"/>
              </w:rPr>
              <w:t>表</w:t>
            </w:r>
            <w:r>
              <w:rPr>
                <w:rFonts w:hint="eastAsia"/>
                <w:b/>
                <w:bCs/>
                <w:color w:val="auto"/>
                <w:kern w:val="0"/>
              </w:rPr>
              <w:t>4-</w:t>
            </w:r>
            <w:r>
              <w:rPr>
                <w:rFonts w:hint="eastAsia"/>
                <w:b/>
                <w:bCs/>
                <w:color w:val="auto"/>
                <w:kern w:val="0"/>
                <w:lang w:val="en-US" w:eastAsia="zh-CN"/>
              </w:rPr>
              <w:t>4</w:t>
            </w:r>
            <w:r>
              <w:rPr>
                <w:rFonts w:hint="eastAsia"/>
                <w:b/>
                <w:bCs/>
                <w:color w:val="auto"/>
                <w:kern w:val="0"/>
              </w:rPr>
              <w:t xml:space="preserve">  </w:t>
            </w:r>
            <w:r>
              <w:rPr>
                <w:b/>
                <w:bCs/>
                <w:color w:val="auto"/>
                <w:kern w:val="0"/>
              </w:rPr>
              <w:t>不同型号的摊铺设备沥青烟产生浓度</w:t>
            </w:r>
          </w:p>
          <w:tbl>
            <w:tblPr>
              <w:tblStyle w:val="22"/>
              <w:tblW w:w="8040"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060"/>
              <w:gridCol w:w="3422"/>
              <w:gridCol w:w="3558"/>
            </w:tblGrid>
            <w:tr w14:paraId="262E09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060" w:type="dxa"/>
                  <w:tcMar>
                    <w:left w:w="57" w:type="dxa"/>
                    <w:right w:w="57" w:type="dxa"/>
                  </w:tcMar>
                  <w:vAlign w:val="center"/>
                </w:tcPr>
                <w:p w14:paraId="51A365B7">
                  <w:pPr>
                    <w:jc w:val="center"/>
                    <w:rPr>
                      <w:b/>
                      <w:bCs/>
                      <w:color w:val="auto"/>
                      <w:kern w:val="0"/>
                    </w:rPr>
                  </w:pPr>
                  <w:r>
                    <w:rPr>
                      <w:b/>
                      <w:bCs/>
                      <w:color w:val="auto"/>
                      <w:kern w:val="0"/>
                    </w:rPr>
                    <w:t>序号</w:t>
                  </w:r>
                </w:p>
              </w:tc>
              <w:tc>
                <w:tcPr>
                  <w:tcW w:w="3422" w:type="dxa"/>
                  <w:tcMar>
                    <w:left w:w="57" w:type="dxa"/>
                    <w:right w:w="57" w:type="dxa"/>
                  </w:tcMar>
                  <w:vAlign w:val="center"/>
                </w:tcPr>
                <w:p w14:paraId="1FB50971">
                  <w:pPr>
                    <w:jc w:val="center"/>
                    <w:rPr>
                      <w:b/>
                      <w:bCs/>
                      <w:color w:val="auto"/>
                      <w:kern w:val="0"/>
                    </w:rPr>
                  </w:pPr>
                  <w:r>
                    <w:rPr>
                      <w:b/>
                      <w:bCs/>
                      <w:color w:val="auto"/>
                      <w:kern w:val="0"/>
                    </w:rPr>
                    <w:t>采用设备类型</w:t>
                  </w:r>
                </w:p>
              </w:tc>
              <w:tc>
                <w:tcPr>
                  <w:tcW w:w="3558" w:type="dxa"/>
                  <w:tcMar>
                    <w:left w:w="57" w:type="dxa"/>
                    <w:right w:w="57" w:type="dxa"/>
                  </w:tcMar>
                  <w:vAlign w:val="center"/>
                </w:tcPr>
                <w:p w14:paraId="01842444">
                  <w:pPr>
                    <w:jc w:val="center"/>
                    <w:rPr>
                      <w:b/>
                      <w:bCs/>
                      <w:color w:val="auto"/>
                      <w:kern w:val="0"/>
                    </w:rPr>
                  </w:pPr>
                  <w:r>
                    <w:rPr>
                      <w:b/>
                      <w:bCs/>
                      <w:color w:val="auto"/>
                      <w:kern w:val="0"/>
                    </w:rPr>
                    <w:t>沥青烟排放浓度范围（mg/m</w:t>
                  </w:r>
                  <w:r>
                    <w:rPr>
                      <w:b/>
                      <w:bCs/>
                      <w:color w:val="auto"/>
                      <w:kern w:val="0"/>
                      <w:vertAlign w:val="superscript"/>
                    </w:rPr>
                    <w:t>3</w:t>
                  </w:r>
                  <w:r>
                    <w:rPr>
                      <w:b/>
                      <w:bCs/>
                      <w:color w:val="auto"/>
                      <w:kern w:val="0"/>
                    </w:rPr>
                    <w:t>）</w:t>
                  </w:r>
                </w:p>
              </w:tc>
            </w:tr>
            <w:tr w14:paraId="6FFDF8A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060" w:type="dxa"/>
                  <w:tcMar>
                    <w:left w:w="57" w:type="dxa"/>
                    <w:right w:w="57" w:type="dxa"/>
                  </w:tcMar>
                  <w:vAlign w:val="center"/>
                </w:tcPr>
                <w:p w14:paraId="61D88CC8">
                  <w:pPr>
                    <w:jc w:val="center"/>
                    <w:rPr>
                      <w:color w:val="auto"/>
                      <w:kern w:val="0"/>
                    </w:rPr>
                  </w:pPr>
                  <w:r>
                    <w:rPr>
                      <w:color w:val="auto"/>
                      <w:kern w:val="0"/>
                    </w:rPr>
                    <w:t>1</w:t>
                  </w:r>
                </w:p>
              </w:tc>
              <w:tc>
                <w:tcPr>
                  <w:tcW w:w="3422" w:type="dxa"/>
                  <w:tcMar>
                    <w:left w:w="57" w:type="dxa"/>
                    <w:right w:w="57" w:type="dxa"/>
                  </w:tcMar>
                  <w:vAlign w:val="center"/>
                </w:tcPr>
                <w:p w14:paraId="221E7307">
                  <w:pPr>
                    <w:jc w:val="center"/>
                    <w:rPr>
                      <w:color w:val="auto"/>
                      <w:kern w:val="0"/>
                    </w:rPr>
                  </w:pPr>
                  <w:r>
                    <w:rPr>
                      <w:color w:val="auto"/>
                      <w:kern w:val="0"/>
                    </w:rPr>
                    <w:t>西安筑路机械厂M3000型</w:t>
                  </w:r>
                </w:p>
              </w:tc>
              <w:tc>
                <w:tcPr>
                  <w:tcW w:w="3558" w:type="dxa"/>
                  <w:tcMar>
                    <w:left w:w="57" w:type="dxa"/>
                    <w:right w:w="57" w:type="dxa"/>
                  </w:tcMar>
                  <w:vAlign w:val="center"/>
                </w:tcPr>
                <w:p w14:paraId="2E1BB7F7">
                  <w:pPr>
                    <w:jc w:val="center"/>
                    <w:rPr>
                      <w:color w:val="auto"/>
                      <w:kern w:val="0"/>
                    </w:rPr>
                  </w:pPr>
                  <w:r>
                    <w:rPr>
                      <w:color w:val="auto"/>
                      <w:kern w:val="0"/>
                    </w:rPr>
                    <w:t>12.5～15.5</w:t>
                  </w:r>
                </w:p>
              </w:tc>
            </w:tr>
            <w:tr w14:paraId="74B01B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060" w:type="dxa"/>
                  <w:tcMar>
                    <w:left w:w="57" w:type="dxa"/>
                    <w:right w:w="57" w:type="dxa"/>
                  </w:tcMar>
                  <w:vAlign w:val="center"/>
                </w:tcPr>
                <w:p w14:paraId="2A1B5B0B">
                  <w:pPr>
                    <w:jc w:val="center"/>
                    <w:rPr>
                      <w:color w:val="auto"/>
                      <w:kern w:val="0"/>
                    </w:rPr>
                  </w:pPr>
                  <w:r>
                    <w:rPr>
                      <w:color w:val="auto"/>
                      <w:kern w:val="0"/>
                    </w:rPr>
                    <w:t>2</w:t>
                  </w:r>
                </w:p>
              </w:tc>
              <w:tc>
                <w:tcPr>
                  <w:tcW w:w="3422" w:type="dxa"/>
                  <w:tcMar>
                    <w:left w:w="57" w:type="dxa"/>
                    <w:right w:w="57" w:type="dxa"/>
                  </w:tcMar>
                  <w:vAlign w:val="center"/>
                </w:tcPr>
                <w:p w14:paraId="4AA654BC">
                  <w:pPr>
                    <w:jc w:val="center"/>
                    <w:rPr>
                      <w:color w:val="auto"/>
                      <w:kern w:val="0"/>
                    </w:rPr>
                  </w:pPr>
                  <w:r>
                    <w:rPr>
                      <w:color w:val="auto"/>
                      <w:kern w:val="0"/>
                    </w:rPr>
                    <w:t>德国维宝WKC100型</w:t>
                  </w:r>
                </w:p>
              </w:tc>
              <w:tc>
                <w:tcPr>
                  <w:tcW w:w="3558" w:type="dxa"/>
                  <w:tcMar>
                    <w:left w:w="57" w:type="dxa"/>
                    <w:right w:w="57" w:type="dxa"/>
                  </w:tcMar>
                  <w:vAlign w:val="center"/>
                </w:tcPr>
                <w:p w14:paraId="7AE55E23">
                  <w:pPr>
                    <w:jc w:val="center"/>
                    <w:rPr>
                      <w:color w:val="auto"/>
                      <w:kern w:val="0"/>
                    </w:rPr>
                  </w:pPr>
                  <w:r>
                    <w:rPr>
                      <w:color w:val="auto"/>
                      <w:kern w:val="0"/>
                    </w:rPr>
                    <w:t>12.0～16.8</w:t>
                  </w:r>
                </w:p>
              </w:tc>
            </w:tr>
            <w:tr w14:paraId="72B695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060" w:type="dxa"/>
                  <w:tcMar>
                    <w:left w:w="57" w:type="dxa"/>
                    <w:right w:w="57" w:type="dxa"/>
                  </w:tcMar>
                  <w:vAlign w:val="center"/>
                </w:tcPr>
                <w:p w14:paraId="3041B23C">
                  <w:pPr>
                    <w:jc w:val="center"/>
                    <w:rPr>
                      <w:color w:val="auto"/>
                      <w:kern w:val="0"/>
                    </w:rPr>
                  </w:pPr>
                  <w:r>
                    <w:rPr>
                      <w:color w:val="auto"/>
                      <w:kern w:val="0"/>
                    </w:rPr>
                    <w:t>3</w:t>
                  </w:r>
                </w:p>
              </w:tc>
              <w:tc>
                <w:tcPr>
                  <w:tcW w:w="3422" w:type="dxa"/>
                  <w:tcMar>
                    <w:left w:w="57" w:type="dxa"/>
                    <w:right w:w="57" w:type="dxa"/>
                  </w:tcMar>
                  <w:vAlign w:val="center"/>
                </w:tcPr>
                <w:p w14:paraId="51DF63B2">
                  <w:pPr>
                    <w:jc w:val="center"/>
                    <w:rPr>
                      <w:color w:val="auto"/>
                      <w:kern w:val="0"/>
                    </w:rPr>
                  </w:pPr>
                  <w:r>
                    <w:rPr>
                      <w:color w:val="auto"/>
                      <w:kern w:val="0"/>
                    </w:rPr>
                    <w:t>英国派克公司M356型</w:t>
                  </w:r>
                </w:p>
              </w:tc>
              <w:tc>
                <w:tcPr>
                  <w:tcW w:w="3558" w:type="dxa"/>
                  <w:tcMar>
                    <w:left w:w="57" w:type="dxa"/>
                    <w:right w:w="57" w:type="dxa"/>
                  </w:tcMar>
                  <w:vAlign w:val="center"/>
                </w:tcPr>
                <w:p w14:paraId="5D2DF9C6">
                  <w:pPr>
                    <w:jc w:val="center"/>
                    <w:rPr>
                      <w:color w:val="auto"/>
                      <w:kern w:val="0"/>
                    </w:rPr>
                  </w:pPr>
                  <w:r>
                    <w:rPr>
                      <w:color w:val="auto"/>
                      <w:kern w:val="0"/>
                    </w:rPr>
                    <w:t>13.4～17.0</w:t>
                  </w:r>
                </w:p>
              </w:tc>
            </w:tr>
            <w:tr w14:paraId="7C5B62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060" w:type="dxa"/>
                  <w:tcMar>
                    <w:left w:w="57" w:type="dxa"/>
                    <w:right w:w="57" w:type="dxa"/>
                  </w:tcMar>
                  <w:vAlign w:val="center"/>
                </w:tcPr>
                <w:p w14:paraId="3AB39474">
                  <w:pPr>
                    <w:jc w:val="center"/>
                    <w:rPr>
                      <w:color w:val="auto"/>
                      <w:kern w:val="0"/>
                    </w:rPr>
                  </w:pPr>
                  <w:r>
                    <w:rPr>
                      <w:color w:val="auto"/>
                      <w:kern w:val="0"/>
                    </w:rPr>
                    <w:t>4</w:t>
                  </w:r>
                </w:p>
              </w:tc>
              <w:tc>
                <w:tcPr>
                  <w:tcW w:w="3422" w:type="dxa"/>
                  <w:tcMar>
                    <w:left w:w="57" w:type="dxa"/>
                    <w:right w:w="57" w:type="dxa"/>
                  </w:tcMar>
                  <w:vAlign w:val="center"/>
                </w:tcPr>
                <w:p w14:paraId="1A532383">
                  <w:pPr>
                    <w:jc w:val="center"/>
                    <w:rPr>
                      <w:color w:val="auto"/>
                      <w:kern w:val="0"/>
                    </w:rPr>
                  </w:pPr>
                  <w:r>
                    <w:rPr>
                      <w:color w:val="auto"/>
                      <w:kern w:val="0"/>
                    </w:rPr>
                    <w:t>意大利MV2A型</w:t>
                  </w:r>
                </w:p>
              </w:tc>
              <w:tc>
                <w:tcPr>
                  <w:tcW w:w="3558" w:type="dxa"/>
                  <w:tcMar>
                    <w:left w:w="57" w:type="dxa"/>
                    <w:right w:w="57" w:type="dxa"/>
                  </w:tcMar>
                  <w:vAlign w:val="center"/>
                </w:tcPr>
                <w:p w14:paraId="51536E55">
                  <w:pPr>
                    <w:jc w:val="center"/>
                    <w:rPr>
                      <w:color w:val="auto"/>
                      <w:kern w:val="0"/>
                    </w:rPr>
                  </w:pPr>
                  <w:r>
                    <w:rPr>
                      <w:color w:val="auto"/>
                      <w:kern w:val="0"/>
                    </w:rPr>
                    <w:t>12.0~17.0</w:t>
                  </w:r>
                </w:p>
              </w:tc>
            </w:tr>
          </w:tbl>
          <w:p w14:paraId="09EEB16B">
            <w:pPr>
              <w:keepNext w:val="0"/>
              <w:keepLines w:val="0"/>
              <w:pageBreakBefore w:val="0"/>
              <w:widowControl w:val="0"/>
              <w:kinsoku/>
              <w:wordWrap/>
              <w:overflowPunct/>
              <w:topLinePunct w:val="0"/>
              <w:autoSpaceDE/>
              <w:autoSpaceDN/>
              <w:bidi w:val="0"/>
              <w:adjustRightInd w:val="0"/>
              <w:snapToGrid w:val="0"/>
              <w:spacing w:before="313" w:beforeLines="100" w:line="300" w:lineRule="auto"/>
              <w:ind w:firstLine="480" w:firstLineChars="200"/>
              <w:textAlignment w:val="auto"/>
              <w:rPr>
                <w:color w:val="auto"/>
                <w:sz w:val="24"/>
              </w:rPr>
            </w:pPr>
            <w:r>
              <w:rPr>
                <w:color w:val="auto"/>
                <w:sz w:val="24"/>
              </w:rPr>
              <w:t>由</w:t>
            </w:r>
            <w:r>
              <w:rPr>
                <w:rFonts w:hint="eastAsia"/>
                <w:color w:val="auto"/>
                <w:sz w:val="24"/>
              </w:rPr>
              <w:t>上表</w:t>
            </w:r>
            <w:r>
              <w:rPr>
                <w:color w:val="auto"/>
                <w:sz w:val="24"/>
              </w:rPr>
              <w:t>可知，如采用先进的沥青混凝土摊铺设备（如意大利MV2A型），在设备正常运行时，沥青烟排放浓度范围在12.0~17.0mg/m</w:t>
            </w:r>
            <w:r>
              <w:rPr>
                <w:color w:val="auto"/>
                <w:sz w:val="24"/>
                <w:vertAlign w:val="superscript"/>
              </w:rPr>
              <w:t>3</w:t>
            </w:r>
            <w:r>
              <w:rPr>
                <w:color w:val="auto"/>
                <w:kern w:val="0"/>
                <w:sz w:val="24"/>
              </w:rPr>
              <w:t>，</w:t>
            </w:r>
            <w:r>
              <w:rPr>
                <w:rFonts w:hint="eastAsia" w:hAnsi="宋体"/>
                <w:color w:val="auto"/>
                <w:kern w:val="0"/>
                <w:sz w:val="24"/>
              </w:rPr>
              <w:t>完全符合</w:t>
            </w:r>
            <w:r>
              <w:rPr>
                <w:rFonts w:hAnsi="宋体"/>
                <w:color w:val="auto"/>
                <w:kern w:val="0"/>
                <w:sz w:val="24"/>
              </w:rPr>
              <w:t>《大气污染物综合排放标准》（GB16297-1996）无组织排放标准</w:t>
            </w:r>
            <w:r>
              <w:rPr>
                <w:rFonts w:hAnsi="宋体"/>
                <w:color w:val="auto"/>
                <w:sz w:val="24"/>
              </w:rPr>
              <w:t>。根据京郊大羊坊沥青混凝土搅拌站周边环境空气质量类比监测结果表明，沥青摊铺烟气在下风向</w:t>
            </w:r>
            <w:r>
              <w:rPr>
                <w:color w:val="auto"/>
                <w:sz w:val="24"/>
              </w:rPr>
              <w:t>50m</w:t>
            </w:r>
            <w:r>
              <w:rPr>
                <w:rFonts w:hAnsi="宋体"/>
                <w:color w:val="auto"/>
                <w:sz w:val="24"/>
              </w:rPr>
              <w:t>外苯并</w:t>
            </w:r>
            <w:r>
              <w:rPr>
                <w:rFonts w:hint="eastAsia" w:hAnsi="宋体"/>
                <w:color w:val="auto"/>
                <w:sz w:val="24"/>
                <w:lang w:val="en-US" w:eastAsia="zh-CN"/>
              </w:rPr>
              <w:t>[</w:t>
            </w:r>
            <w:r>
              <w:rPr>
                <w:color w:val="auto"/>
                <w:sz w:val="24"/>
              </w:rPr>
              <w:t>a</w:t>
            </w:r>
            <w:r>
              <w:rPr>
                <w:rFonts w:hint="eastAsia" w:hAnsi="宋体"/>
                <w:color w:val="auto"/>
                <w:sz w:val="24"/>
                <w:lang w:val="en-US" w:eastAsia="zh-CN"/>
              </w:rPr>
              <w:t>]</w:t>
            </w:r>
            <w:r>
              <w:rPr>
                <w:rFonts w:hAnsi="宋体"/>
                <w:color w:val="auto"/>
                <w:sz w:val="24"/>
              </w:rPr>
              <w:t>芘低于</w:t>
            </w:r>
            <w:r>
              <w:rPr>
                <w:color w:val="auto"/>
                <w:sz w:val="24"/>
              </w:rPr>
              <w:t>0.00001mg/m</w:t>
            </w:r>
            <w:r>
              <w:rPr>
                <w:color w:val="auto"/>
                <w:sz w:val="24"/>
                <w:vertAlign w:val="superscript"/>
              </w:rPr>
              <w:t>3</w:t>
            </w:r>
            <w:r>
              <w:rPr>
                <w:rFonts w:hAnsi="宋体"/>
                <w:color w:val="auto"/>
                <w:sz w:val="24"/>
              </w:rPr>
              <w:t>（标准值为</w:t>
            </w:r>
            <w:r>
              <w:rPr>
                <w:color w:val="auto"/>
                <w:sz w:val="24"/>
              </w:rPr>
              <w:t>0.008μg/m</w:t>
            </w:r>
            <w:r>
              <w:rPr>
                <w:color w:val="auto"/>
                <w:sz w:val="24"/>
                <w:vertAlign w:val="superscript"/>
              </w:rPr>
              <w:t>3</w:t>
            </w:r>
            <w:r>
              <w:rPr>
                <w:rFonts w:hAnsi="宋体"/>
                <w:color w:val="auto"/>
                <w:sz w:val="24"/>
              </w:rPr>
              <w:t>）。</w:t>
            </w:r>
          </w:p>
          <w:p w14:paraId="4DF33F48">
            <w:pPr>
              <w:adjustRightInd w:val="0"/>
              <w:snapToGrid w:val="0"/>
              <w:spacing w:line="300" w:lineRule="auto"/>
              <w:ind w:firstLine="480" w:firstLineChars="200"/>
              <w:rPr>
                <w:color w:val="auto"/>
                <w:kern w:val="0"/>
                <w:sz w:val="24"/>
              </w:rPr>
            </w:pPr>
            <w:r>
              <w:rPr>
                <w:rFonts w:hint="eastAsia"/>
                <w:color w:val="auto"/>
                <w:sz w:val="24"/>
                <w:szCs w:val="20"/>
              </w:rPr>
              <w:t>(5)</w:t>
            </w:r>
            <w:r>
              <w:rPr>
                <w:rFonts w:hint="eastAsia" w:ascii="宋体" w:hAnsi="宋体" w:cs="宋体"/>
                <w:color w:val="auto"/>
                <w:kern w:val="0"/>
                <w:sz w:val="24"/>
              </w:rPr>
              <w:t xml:space="preserve"> </w:t>
            </w:r>
            <w:r>
              <w:rPr>
                <w:color w:val="auto"/>
                <w:kern w:val="0"/>
                <w:sz w:val="24"/>
              </w:rPr>
              <w:t>施工机械废气及车辆尾气</w:t>
            </w:r>
          </w:p>
          <w:p w14:paraId="5A945CB0">
            <w:pPr>
              <w:pStyle w:val="58"/>
              <w:ind w:firstLine="480"/>
              <w:rPr>
                <w:color w:val="auto"/>
                <w:szCs w:val="24"/>
              </w:rPr>
            </w:pPr>
            <w:r>
              <w:rPr>
                <w:rFonts w:hAnsi="宋体"/>
                <w:color w:val="auto"/>
                <w:szCs w:val="24"/>
              </w:rPr>
              <w:t>施工废气主要来源于施工机械、施工车辆尾气排放，其影响范围仅局限于施工场地</w:t>
            </w:r>
            <w:r>
              <w:rPr>
                <w:color w:val="auto"/>
                <w:szCs w:val="24"/>
              </w:rPr>
              <w:t>100m</w:t>
            </w:r>
            <w:r>
              <w:rPr>
                <w:rFonts w:hAnsi="宋体"/>
                <w:color w:val="auto"/>
                <w:szCs w:val="24"/>
              </w:rPr>
              <w:t>范围以内。机动车尾气主要从三个部位排出，一是从汽车排气管排出的内燃机燃烧废气，主要污染因子为</w:t>
            </w:r>
            <w:r>
              <w:rPr>
                <w:color w:val="auto"/>
                <w:szCs w:val="24"/>
              </w:rPr>
              <w:t>CO</w:t>
            </w:r>
            <w:r>
              <w:rPr>
                <w:rFonts w:hAnsi="宋体"/>
                <w:color w:val="auto"/>
                <w:szCs w:val="24"/>
              </w:rPr>
              <w:t>、</w:t>
            </w:r>
            <w:r>
              <w:rPr>
                <w:color w:val="auto"/>
                <w:szCs w:val="24"/>
              </w:rPr>
              <w:t>NOx</w:t>
            </w:r>
            <w:r>
              <w:rPr>
                <w:rFonts w:hAnsi="宋体"/>
                <w:color w:val="auto"/>
                <w:szCs w:val="24"/>
              </w:rPr>
              <w:t>、</w:t>
            </w:r>
            <w:r>
              <w:rPr>
                <w:color w:val="auto"/>
                <w:szCs w:val="24"/>
              </w:rPr>
              <w:t>THC</w:t>
            </w:r>
            <w:r>
              <w:rPr>
                <w:rFonts w:hAnsi="宋体"/>
                <w:color w:val="auto"/>
                <w:szCs w:val="24"/>
              </w:rPr>
              <w:t>等，占排放物的</w:t>
            </w:r>
            <w:r>
              <w:rPr>
                <w:color w:val="auto"/>
                <w:szCs w:val="24"/>
              </w:rPr>
              <w:t>60%</w:t>
            </w:r>
            <w:r>
              <w:rPr>
                <w:rFonts w:hAnsi="宋体"/>
                <w:color w:val="auto"/>
                <w:szCs w:val="24"/>
              </w:rPr>
              <w:t>；二是曲轴箱排出的气体，主要污染因子为</w:t>
            </w:r>
            <w:r>
              <w:rPr>
                <w:color w:val="auto"/>
                <w:szCs w:val="24"/>
              </w:rPr>
              <w:t>CO</w:t>
            </w:r>
            <w:r>
              <w:rPr>
                <w:rFonts w:hAnsi="宋体"/>
                <w:color w:val="auto"/>
                <w:szCs w:val="24"/>
              </w:rPr>
              <w:t>、</w:t>
            </w:r>
            <w:r>
              <w:rPr>
                <w:color w:val="auto"/>
                <w:szCs w:val="24"/>
              </w:rPr>
              <w:t>CO</w:t>
            </w:r>
            <w:r>
              <w:rPr>
                <w:color w:val="auto"/>
                <w:szCs w:val="24"/>
                <w:vertAlign w:val="subscript"/>
              </w:rPr>
              <w:t>2</w:t>
            </w:r>
            <w:r>
              <w:rPr>
                <w:rFonts w:hAnsi="宋体"/>
                <w:color w:val="auto"/>
                <w:szCs w:val="24"/>
              </w:rPr>
              <w:t>等，占排放物的</w:t>
            </w:r>
            <w:r>
              <w:rPr>
                <w:color w:val="auto"/>
                <w:szCs w:val="24"/>
              </w:rPr>
              <w:t>20%</w:t>
            </w:r>
            <w:r>
              <w:rPr>
                <w:rFonts w:hAnsi="宋体"/>
                <w:color w:val="auto"/>
                <w:szCs w:val="24"/>
              </w:rPr>
              <w:t>；三是从油箱、汽化器燃烧系统蒸发出来的</w:t>
            </w:r>
            <w:r>
              <w:rPr>
                <w:color w:val="auto"/>
                <w:szCs w:val="24"/>
              </w:rPr>
              <w:t>THC</w:t>
            </w:r>
            <w:r>
              <w:rPr>
                <w:rFonts w:hAnsi="宋体"/>
                <w:color w:val="auto"/>
                <w:szCs w:val="24"/>
              </w:rPr>
              <w:t>等气体，这部分约占排放物的</w:t>
            </w:r>
            <w:r>
              <w:rPr>
                <w:color w:val="auto"/>
                <w:szCs w:val="24"/>
              </w:rPr>
              <w:t>20%</w:t>
            </w:r>
            <w:r>
              <w:rPr>
                <w:rFonts w:hAnsi="宋体"/>
                <w:color w:val="auto"/>
                <w:szCs w:val="24"/>
              </w:rPr>
              <w:t>。机动车尾气很复杂，所含</w:t>
            </w:r>
            <w:r>
              <w:rPr>
                <w:rFonts w:hint="eastAsia" w:hAnsi="宋体"/>
                <w:color w:val="auto"/>
                <w:szCs w:val="24"/>
              </w:rPr>
              <w:t>成分</w:t>
            </w:r>
            <w:r>
              <w:rPr>
                <w:rFonts w:hAnsi="宋体"/>
                <w:color w:val="auto"/>
                <w:szCs w:val="24"/>
              </w:rPr>
              <w:t>有</w:t>
            </w:r>
            <w:r>
              <w:rPr>
                <w:color w:val="auto"/>
                <w:szCs w:val="24"/>
              </w:rPr>
              <w:t>120</w:t>
            </w:r>
            <w:r>
              <w:rPr>
                <w:rFonts w:hAnsi="宋体"/>
                <w:color w:val="auto"/>
                <w:szCs w:val="24"/>
              </w:rPr>
              <w:t>～</w:t>
            </w:r>
            <w:r>
              <w:rPr>
                <w:color w:val="auto"/>
                <w:szCs w:val="24"/>
              </w:rPr>
              <w:t>200</w:t>
            </w:r>
            <w:r>
              <w:rPr>
                <w:rFonts w:hAnsi="宋体"/>
                <w:color w:val="auto"/>
                <w:szCs w:val="24"/>
              </w:rPr>
              <w:t>种化合物，但主要为</w:t>
            </w:r>
            <w:r>
              <w:rPr>
                <w:color w:val="auto"/>
                <w:szCs w:val="24"/>
              </w:rPr>
              <w:t>CO</w:t>
            </w:r>
            <w:r>
              <w:rPr>
                <w:rFonts w:hAnsi="宋体"/>
                <w:color w:val="auto"/>
                <w:szCs w:val="24"/>
              </w:rPr>
              <w:t>、</w:t>
            </w:r>
            <w:r>
              <w:rPr>
                <w:color w:val="auto"/>
                <w:szCs w:val="24"/>
              </w:rPr>
              <w:t>NOx</w:t>
            </w:r>
            <w:r>
              <w:rPr>
                <w:rFonts w:hAnsi="宋体"/>
                <w:color w:val="auto"/>
                <w:szCs w:val="24"/>
              </w:rPr>
              <w:t>、</w:t>
            </w:r>
            <w:r>
              <w:rPr>
                <w:color w:val="auto"/>
                <w:szCs w:val="24"/>
              </w:rPr>
              <w:t>THC</w:t>
            </w:r>
            <w:r>
              <w:rPr>
                <w:rFonts w:hAnsi="宋体"/>
                <w:color w:val="auto"/>
                <w:szCs w:val="24"/>
              </w:rPr>
              <w:t>三种污染物。根据相应项目成果，燃油排放的主要污染物有</w:t>
            </w:r>
            <w:r>
              <w:rPr>
                <w:color w:val="auto"/>
                <w:szCs w:val="24"/>
              </w:rPr>
              <w:t>CO</w:t>
            </w:r>
            <w:r>
              <w:rPr>
                <w:rFonts w:hAnsi="宋体"/>
                <w:color w:val="auto"/>
                <w:szCs w:val="24"/>
              </w:rPr>
              <w:t>、</w:t>
            </w:r>
            <w:r>
              <w:rPr>
                <w:color w:val="auto"/>
                <w:szCs w:val="24"/>
              </w:rPr>
              <w:t>NOx</w:t>
            </w:r>
            <w:r>
              <w:rPr>
                <w:rFonts w:hAnsi="宋体"/>
                <w:color w:val="auto"/>
                <w:szCs w:val="24"/>
              </w:rPr>
              <w:t>、</w:t>
            </w:r>
            <w:r>
              <w:rPr>
                <w:color w:val="auto"/>
                <w:szCs w:val="24"/>
              </w:rPr>
              <w:t>THC</w:t>
            </w:r>
            <w:r>
              <w:rPr>
                <w:rFonts w:hAnsi="宋体"/>
                <w:color w:val="auto"/>
                <w:szCs w:val="24"/>
              </w:rPr>
              <w:t>，燃油</w:t>
            </w:r>
            <w:r>
              <w:rPr>
                <w:color w:val="auto"/>
                <w:szCs w:val="24"/>
              </w:rPr>
              <w:t>1t</w:t>
            </w:r>
            <w:r>
              <w:rPr>
                <w:rFonts w:hAnsi="宋体"/>
                <w:color w:val="auto"/>
                <w:szCs w:val="24"/>
              </w:rPr>
              <w:t>排放</w:t>
            </w:r>
            <w:r>
              <w:rPr>
                <w:color w:val="auto"/>
                <w:szCs w:val="24"/>
              </w:rPr>
              <w:t>CO</w:t>
            </w:r>
            <w:r>
              <w:rPr>
                <w:rFonts w:hAnsi="宋体"/>
                <w:color w:val="auto"/>
                <w:szCs w:val="24"/>
              </w:rPr>
              <w:t>、</w:t>
            </w:r>
            <w:r>
              <w:rPr>
                <w:color w:val="auto"/>
                <w:szCs w:val="24"/>
              </w:rPr>
              <w:t>NOx</w:t>
            </w:r>
            <w:r>
              <w:rPr>
                <w:rFonts w:hAnsi="宋体"/>
                <w:color w:val="auto"/>
                <w:szCs w:val="24"/>
              </w:rPr>
              <w:t>、</w:t>
            </w:r>
            <w:r>
              <w:rPr>
                <w:color w:val="auto"/>
                <w:szCs w:val="24"/>
              </w:rPr>
              <w:t>THC</w:t>
            </w:r>
            <w:r>
              <w:rPr>
                <w:rFonts w:hAnsi="宋体"/>
                <w:color w:val="auto"/>
                <w:szCs w:val="24"/>
              </w:rPr>
              <w:t>污染物量分别为</w:t>
            </w:r>
            <w:r>
              <w:rPr>
                <w:color w:val="auto"/>
                <w:szCs w:val="24"/>
              </w:rPr>
              <w:t>0.078t</w:t>
            </w:r>
            <w:r>
              <w:rPr>
                <w:rFonts w:hAnsi="宋体"/>
                <w:color w:val="auto"/>
                <w:szCs w:val="24"/>
              </w:rPr>
              <w:t>、</w:t>
            </w:r>
            <w:r>
              <w:rPr>
                <w:color w:val="auto"/>
                <w:szCs w:val="24"/>
              </w:rPr>
              <w:t>0.047t</w:t>
            </w:r>
            <w:r>
              <w:rPr>
                <w:rFonts w:hAnsi="宋体"/>
                <w:color w:val="auto"/>
                <w:szCs w:val="24"/>
              </w:rPr>
              <w:t>、</w:t>
            </w:r>
            <w:r>
              <w:rPr>
                <w:color w:val="auto"/>
                <w:szCs w:val="24"/>
              </w:rPr>
              <w:t>0.003t</w:t>
            </w:r>
            <w:r>
              <w:rPr>
                <w:rFonts w:hAnsi="宋体"/>
                <w:color w:val="auto"/>
                <w:szCs w:val="24"/>
              </w:rPr>
              <w:t>。</w:t>
            </w:r>
          </w:p>
          <w:p w14:paraId="74229190">
            <w:pPr>
              <w:pStyle w:val="56"/>
              <w:rPr>
                <w:rFonts w:ascii="Times New Roman" w:hAnsi="Times New Roman" w:cs="Times New Roman"/>
                <w:color w:val="auto"/>
              </w:rPr>
            </w:pPr>
            <w:r>
              <w:rPr>
                <w:rFonts w:ascii="Times New Roman" w:cs="Times New Roman"/>
                <w:color w:val="auto"/>
              </w:rPr>
              <w:t>拟建公路在施工过程中会使用大量的施工机械如：运输车辆、挖掘机、装载机、发电机、强夯机等，这些机械在运行过程中大多以柴油为燃料，会产生大量机械尾气，其主要污染因子为</w:t>
            </w:r>
            <w:r>
              <w:rPr>
                <w:rFonts w:ascii="Times New Roman" w:hAnsi="Times New Roman" w:cs="Times New Roman"/>
                <w:color w:val="auto"/>
              </w:rPr>
              <w:t>CO</w:t>
            </w:r>
            <w:r>
              <w:rPr>
                <w:rFonts w:ascii="Times New Roman" w:cs="Times New Roman"/>
                <w:color w:val="auto"/>
              </w:rPr>
              <w:t>、</w:t>
            </w:r>
            <w:r>
              <w:rPr>
                <w:rFonts w:ascii="Times New Roman" w:hAnsi="Times New Roman" w:cs="Times New Roman"/>
                <w:color w:val="auto"/>
              </w:rPr>
              <w:t>THC</w:t>
            </w:r>
            <w:r>
              <w:rPr>
                <w:rFonts w:ascii="Times New Roman" w:cs="Times New Roman"/>
                <w:color w:val="auto"/>
              </w:rPr>
              <w:t>、</w:t>
            </w:r>
            <w:r>
              <w:rPr>
                <w:rFonts w:ascii="Times New Roman" w:hAnsi="Times New Roman" w:cs="Times New Roman"/>
                <w:color w:val="auto"/>
              </w:rPr>
              <w:t>NOx</w:t>
            </w:r>
            <w:r>
              <w:rPr>
                <w:rFonts w:ascii="Times New Roman" w:cs="Times New Roman"/>
                <w:color w:val="auto"/>
              </w:rPr>
              <w:t>等，会对周围环境空气造成一定的影响。根据同类工程比较，施工机械废气影响范围仅局限于施工场地</w:t>
            </w:r>
            <w:r>
              <w:rPr>
                <w:rFonts w:ascii="Times New Roman" w:hAnsi="Times New Roman" w:cs="Times New Roman"/>
                <w:color w:val="auto"/>
              </w:rPr>
              <w:t>100m</w:t>
            </w:r>
            <w:r>
              <w:rPr>
                <w:rFonts w:ascii="Times New Roman" w:cs="Times New Roman"/>
                <w:color w:val="auto"/>
              </w:rPr>
              <w:t>范围以内。</w:t>
            </w:r>
          </w:p>
          <w:p w14:paraId="6195DF62">
            <w:pPr>
              <w:autoSpaceDE w:val="0"/>
              <w:autoSpaceDN w:val="0"/>
              <w:adjustRightInd w:val="0"/>
              <w:spacing w:line="300" w:lineRule="auto"/>
              <w:ind w:firstLine="480" w:firstLineChars="200"/>
              <w:rPr>
                <w:color w:val="auto"/>
                <w:sz w:val="24"/>
                <w:szCs w:val="24"/>
              </w:rPr>
            </w:pPr>
            <w:r>
              <w:rPr>
                <w:rFonts w:ascii="Times New Roman" w:cs="Times New Roman"/>
                <w:color w:val="auto"/>
                <w:sz w:val="24"/>
                <w:szCs w:val="24"/>
              </w:rPr>
              <w:t>拟建公路施工区域场地开阔，环境空气质量较好，项目施工机械废气污染物产生后能快速扩散，施工过程中机械尾气对当地环境的影响可以忽略。要求项目施工期要对施工机械、运输车辆定期检修，减少尾气排放量。根据工程特点，属于移动式污染源，扩散条件好，对环境空气影响较小</w:t>
            </w:r>
            <w:r>
              <w:rPr>
                <w:color w:val="auto"/>
                <w:sz w:val="24"/>
                <w:szCs w:val="24"/>
              </w:rPr>
              <w:t>。</w:t>
            </w:r>
          </w:p>
          <w:p w14:paraId="4DA7AF95">
            <w:pPr>
              <w:adjustRightInd w:val="0"/>
              <w:spacing w:before="120" w:beforeLines="50" w:line="300" w:lineRule="auto"/>
              <w:rPr>
                <w:b/>
                <w:color w:val="auto"/>
                <w:sz w:val="24"/>
                <w:szCs w:val="20"/>
              </w:rPr>
            </w:pPr>
            <w:r>
              <w:rPr>
                <w:rFonts w:hint="eastAsia"/>
                <w:b/>
                <w:color w:val="auto"/>
                <w:sz w:val="24"/>
                <w:szCs w:val="20"/>
              </w:rPr>
              <w:t>3</w:t>
            </w:r>
            <w:r>
              <w:rPr>
                <w:b/>
                <w:color w:val="auto"/>
                <w:sz w:val="24"/>
                <w:szCs w:val="20"/>
              </w:rPr>
              <w:t>. 施工期声环境影响分析</w:t>
            </w:r>
          </w:p>
          <w:p w14:paraId="0C551BAB">
            <w:pPr>
              <w:spacing w:line="300" w:lineRule="auto"/>
              <w:ind w:firstLine="480" w:firstLineChars="200"/>
              <w:rPr>
                <w:color w:val="auto"/>
                <w:sz w:val="24"/>
                <w:szCs w:val="20"/>
              </w:rPr>
            </w:pPr>
            <w:r>
              <w:rPr>
                <w:rFonts w:hint="eastAsia"/>
                <w:color w:val="auto"/>
                <w:sz w:val="24"/>
                <w:szCs w:val="20"/>
              </w:rPr>
              <w:t>根据《G219八盘水磨至伽师沿边通道工程声环境专项评价》，</w:t>
            </w:r>
            <w:r>
              <w:rPr>
                <w:color w:val="auto"/>
                <w:sz w:val="24"/>
                <w:szCs w:val="20"/>
              </w:rPr>
              <w:t>拟建公路施工期主要</w:t>
            </w:r>
            <w:r>
              <w:rPr>
                <w:rFonts w:hint="eastAsia"/>
                <w:color w:val="auto"/>
                <w:sz w:val="24"/>
                <w:szCs w:val="20"/>
              </w:rPr>
              <w:t>声</w:t>
            </w:r>
            <w:r>
              <w:rPr>
                <w:color w:val="auto"/>
                <w:sz w:val="24"/>
                <w:szCs w:val="20"/>
              </w:rPr>
              <w:t>环境影响</w:t>
            </w:r>
            <w:r>
              <w:rPr>
                <w:rFonts w:hint="eastAsia"/>
                <w:color w:val="auto"/>
                <w:sz w:val="24"/>
                <w:szCs w:val="20"/>
              </w:rPr>
              <w:t>结论概述</w:t>
            </w:r>
            <w:r>
              <w:rPr>
                <w:color w:val="auto"/>
                <w:sz w:val="24"/>
                <w:szCs w:val="20"/>
              </w:rPr>
              <w:t>如下</w:t>
            </w:r>
            <w:r>
              <w:rPr>
                <w:rFonts w:hint="eastAsia"/>
                <w:color w:val="auto"/>
                <w:sz w:val="24"/>
                <w:szCs w:val="20"/>
              </w:rPr>
              <w:t>：</w:t>
            </w:r>
          </w:p>
          <w:p w14:paraId="36C51A61">
            <w:pPr>
              <w:spacing w:line="300" w:lineRule="auto"/>
              <w:ind w:firstLine="480" w:firstLineChars="200"/>
              <w:rPr>
                <w:color w:val="auto"/>
                <w:sz w:val="24"/>
                <w:szCs w:val="20"/>
              </w:rPr>
            </w:pPr>
            <w:r>
              <w:rPr>
                <w:color w:val="auto"/>
                <w:sz w:val="24"/>
                <w:szCs w:val="20"/>
              </w:rPr>
              <w:t>施工噪声将对沿线声环境质量产生一定的影响，这种噪声影响白天将主要出现在距施工场地115m范围内，夜间将主要出现在距施工场地642m范围内。从推算的结果看，</w:t>
            </w:r>
            <w:r>
              <w:rPr>
                <w:rFonts w:hint="eastAsia"/>
                <w:color w:val="auto"/>
                <w:sz w:val="24"/>
                <w:szCs w:val="20"/>
              </w:rPr>
              <w:t>噪声</w:t>
            </w:r>
            <w:r>
              <w:rPr>
                <w:color w:val="auto"/>
                <w:sz w:val="24"/>
                <w:szCs w:val="20"/>
              </w:rPr>
              <w:t>污染最严重的是前期拆迁</w:t>
            </w:r>
            <w:r>
              <w:rPr>
                <w:rFonts w:hint="eastAsia"/>
                <w:color w:val="auto"/>
                <w:sz w:val="24"/>
                <w:szCs w:val="20"/>
              </w:rPr>
              <w:t>、</w:t>
            </w:r>
            <w:r>
              <w:rPr>
                <w:color w:val="auto"/>
                <w:sz w:val="24"/>
                <w:szCs w:val="20"/>
              </w:rPr>
              <w:t>大临场地施工</w:t>
            </w:r>
            <w:r>
              <w:rPr>
                <w:rFonts w:hint="eastAsia"/>
                <w:color w:val="auto"/>
                <w:sz w:val="24"/>
                <w:szCs w:val="20"/>
              </w:rPr>
              <w:t>、</w:t>
            </w:r>
            <w:r>
              <w:rPr>
                <w:color w:val="auto"/>
                <w:sz w:val="24"/>
                <w:szCs w:val="20"/>
              </w:rPr>
              <w:t>路基施工环节。因此，做好上述时期施工期的噪声防护和治理工作十分重要。</w:t>
            </w:r>
          </w:p>
          <w:p w14:paraId="4FD50412">
            <w:pPr>
              <w:spacing w:line="300" w:lineRule="auto"/>
              <w:ind w:firstLine="480" w:firstLineChars="200"/>
              <w:rPr>
                <w:color w:val="auto"/>
                <w:sz w:val="24"/>
                <w:szCs w:val="20"/>
              </w:rPr>
            </w:pPr>
            <w:r>
              <w:rPr>
                <w:rFonts w:hint="eastAsia"/>
                <w:color w:val="auto"/>
                <w:sz w:val="24"/>
                <w:szCs w:val="20"/>
              </w:rPr>
              <w:t>根据</w:t>
            </w:r>
            <w:r>
              <w:rPr>
                <w:color w:val="auto"/>
                <w:sz w:val="24"/>
                <w:szCs w:val="20"/>
              </w:rPr>
              <w:t>沿线敏感点分布情况和施工</w:t>
            </w:r>
            <w:r>
              <w:rPr>
                <w:rFonts w:hint="eastAsia"/>
                <w:color w:val="auto"/>
                <w:sz w:val="24"/>
                <w:szCs w:val="20"/>
              </w:rPr>
              <w:t>噪声</w:t>
            </w:r>
            <w:r>
              <w:rPr>
                <w:color w:val="auto"/>
                <w:sz w:val="24"/>
                <w:szCs w:val="20"/>
              </w:rPr>
              <w:t>影响预测结果</w:t>
            </w:r>
            <w:r>
              <w:rPr>
                <w:rFonts w:hint="eastAsia"/>
                <w:color w:val="auto"/>
                <w:sz w:val="24"/>
                <w:szCs w:val="20"/>
              </w:rPr>
              <w:t>，</w:t>
            </w:r>
            <w:r>
              <w:rPr>
                <w:rFonts w:hAnsi="宋体"/>
                <w:color w:val="auto"/>
                <w:sz w:val="24"/>
                <w:szCs w:val="20"/>
              </w:rPr>
              <w:t>公路沿线两侧评价范围内昼、夜间</w:t>
            </w:r>
            <w:r>
              <w:rPr>
                <w:rFonts w:hint="eastAsia"/>
                <w:color w:val="auto"/>
                <w:sz w:val="24"/>
                <w:szCs w:val="20"/>
              </w:rPr>
              <w:t>29</w:t>
            </w:r>
            <w:r>
              <w:rPr>
                <w:rFonts w:hAnsi="宋体"/>
                <w:color w:val="auto"/>
                <w:sz w:val="24"/>
                <w:szCs w:val="20"/>
              </w:rPr>
              <w:t>处声环境保护目标均超标。其中，路基施工阶段机械设备施工时，声环境保护目标昼间最大超标</w:t>
            </w:r>
            <w:r>
              <w:rPr>
                <w:rFonts w:hint="eastAsia" w:hAnsi="宋体"/>
                <w:color w:val="auto"/>
                <w:sz w:val="24"/>
                <w:szCs w:val="20"/>
              </w:rPr>
              <w:t>18.9</w:t>
            </w:r>
            <w:r>
              <w:rPr>
                <w:rFonts w:hAnsi="宋体"/>
                <w:color w:val="auto"/>
                <w:sz w:val="24"/>
                <w:szCs w:val="20"/>
              </w:rPr>
              <w:t>dB，夜间最大超标</w:t>
            </w:r>
            <w:r>
              <w:rPr>
                <w:rFonts w:hint="eastAsia" w:hAnsi="宋体"/>
                <w:color w:val="auto"/>
                <w:sz w:val="24"/>
                <w:szCs w:val="20"/>
              </w:rPr>
              <w:t>31.4</w:t>
            </w:r>
            <w:r>
              <w:rPr>
                <w:rFonts w:hAnsi="宋体"/>
                <w:color w:val="auto"/>
                <w:sz w:val="24"/>
                <w:szCs w:val="20"/>
              </w:rPr>
              <w:t>dB；路面施工时，声环境保护目标昼间最大超标</w:t>
            </w:r>
            <w:r>
              <w:rPr>
                <w:rFonts w:hint="eastAsia" w:hAnsi="宋体"/>
                <w:color w:val="auto"/>
                <w:sz w:val="24"/>
                <w:szCs w:val="20"/>
              </w:rPr>
              <w:t>13.9</w:t>
            </w:r>
            <w:r>
              <w:rPr>
                <w:rFonts w:hAnsi="宋体"/>
                <w:color w:val="auto"/>
                <w:sz w:val="24"/>
                <w:szCs w:val="20"/>
              </w:rPr>
              <w:t>dB，夜间最大超标</w:t>
            </w:r>
            <w:r>
              <w:rPr>
                <w:rFonts w:hint="eastAsia" w:hAnsi="宋体"/>
                <w:color w:val="auto"/>
                <w:sz w:val="24"/>
                <w:szCs w:val="20"/>
              </w:rPr>
              <w:t>26.5</w:t>
            </w:r>
            <w:r>
              <w:rPr>
                <w:rFonts w:hAnsi="宋体"/>
                <w:color w:val="auto"/>
                <w:sz w:val="24"/>
                <w:szCs w:val="20"/>
              </w:rPr>
              <w:t>dB。</w:t>
            </w:r>
            <w:r>
              <w:rPr>
                <w:rFonts w:hint="eastAsia"/>
                <w:color w:val="auto"/>
                <w:sz w:val="24"/>
                <w:szCs w:val="20"/>
              </w:rPr>
              <w:t>沿线2</w:t>
            </w:r>
            <w:r>
              <w:rPr>
                <w:color w:val="auto"/>
                <w:sz w:val="24"/>
                <w:szCs w:val="20"/>
              </w:rPr>
              <w:t>处施工</w:t>
            </w:r>
            <w:r>
              <w:rPr>
                <w:rFonts w:hint="eastAsia"/>
                <w:color w:val="auto"/>
                <w:sz w:val="24"/>
                <w:szCs w:val="20"/>
              </w:rPr>
              <w:t>生产</w:t>
            </w:r>
            <w:r>
              <w:rPr>
                <w:color w:val="auto"/>
                <w:sz w:val="24"/>
                <w:szCs w:val="20"/>
              </w:rPr>
              <w:t>生活区评价范围内无声环境</w:t>
            </w:r>
            <w:r>
              <w:rPr>
                <w:rFonts w:hint="eastAsia"/>
                <w:color w:val="auto"/>
                <w:sz w:val="24"/>
                <w:szCs w:val="20"/>
              </w:rPr>
              <w:t>保护</w:t>
            </w:r>
            <w:r>
              <w:rPr>
                <w:color w:val="auto"/>
                <w:sz w:val="24"/>
                <w:szCs w:val="20"/>
              </w:rPr>
              <w:t>目标分布</w:t>
            </w:r>
            <w:r>
              <w:rPr>
                <w:rFonts w:hint="eastAsia"/>
                <w:color w:val="auto"/>
                <w:sz w:val="24"/>
                <w:szCs w:val="20"/>
              </w:rPr>
              <w:t>。</w:t>
            </w:r>
          </w:p>
          <w:p w14:paraId="162FF146">
            <w:pPr>
              <w:spacing w:line="300" w:lineRule="auto"/>
              <w:ind w:firstLine="480" w:firstLineChars="200"/>
              <w:rPr>
                <w:color w:val="auto"/>
                <w:sz w:val="24"/>
                <w:szCs w:val="20"/>
              </w:rPr>
            </w:pPr>
            <w:r>
              <w:rPr>
                <w:color w:val="auto"/>
                <w:sz w:val="24"/>
                <w:szCs w:val="20"/>
              </w:rPr>
              <w:t>拟建项目建设时间虽然较长，但对固定路段而言施工时间要短得多；另外，前面的受影响</w:t>
            </w:r>
            <w:r>
              <w:rPr>
                <w:rFonts w:hint="eastAsia"/>
                <w:color w:val="auto"/>
                <w:sz w:val="24"/>
                <w:szCs w:val="20"/>
              </w:rPr>
              <w:t>范围</w:t>
            </w:r>
            <w:r>
              <w:rPr>
                <w:color w:val="auto"/>
                <w:sz w:val="24"/>
                <w:szCs w:val="20"/>
              </w:rPr>
              <w:t>是以施工机械高负荷噪声并考虑施工机械叠加进行推算的，因此实际施工噪声的影响程度应比推算值低一些。</w:t>
            </w:r>
            <w:r>
              <w:rPr>
                <w:color w:val="auto"/>
                <w:sz w:val="24"/>
              </w:rPr>
              <w:t>在采取相应的施工期噪声污染防治措施后</w:t>
            </w:r>
            <w:r>
              <w:rPr>
                <w:rFonts w:hint="eastAsia"/>
                <w:color w:val="auto"/>
                <w:sz w:val="24"/>
              </w:rPr>
              <w:t>，对沿线声环境影响是可控的。</w:t>
            </w:r>
          </w:p>
          <w:p w14:paraId="53CB6EBE">
            <w:pPr>
              <w:pStyle w:val="56"/>
              <w:adjustRightInd w:val="0"/>
              <w:jc w:val="both"/>
              <w:rPr>
                <w:rFonts w:ascii="Times New Roman" w:hAnsi="Times New Roman" w:cs="Times New Roman"/>
                <w:color w:val="auto"/>
                <w:kern w:val="2"/>
                <w:szCs w:val="20"/>
              </w:rPr>
            </w:pPr>
            <w:r>
              <w:rPr>
                <w:color w:val="auto"/>
                <w:szCs w:val="20"/>
              </w:rPr>
              <w:t>总体上看</w:t>
            </w:r>
            <w:r>
              <w:rPr>
                <w:rFonts w:hint="eastAsia"/>
                <w:color w:val="auto"/>
                <w:szCs w:val="20"/>
              </w:rPr>
              <w:t>，</w:t>
            </w:r>
            <w:r>
              <w:rPr>
                <w:color w:val="auto"/>
                <w:szCs w:val="20"/>
              </w:rPr>
              <w:t>公路施工噪声是社会发展过程中的短期污染行为，</w:t>
            </w:r>
            <w:r>
              <w:rPr>
                <w:rFonts w:hint="eastAsia"/>
                <w:color w:val="auto"/>
                <w:szCs w:val="20"/>
              </w:rPr>
              <w:t>影响时间短，</w:t>
            </w:r>
            <w:r>
              <w:rPr>
                <w:color w:val="auto"/>
                <w:szCs w:val="20"/>
              </w:rPr>
              <w:t>但是作为建设施工单位为保护沿线居民的正常生活和休息，应合理地安排施工进度和时间，文明施工、环保施工，并采取必要的噪声控制措施，降低施工噪声对环境的影响</w:t>
            </w:r>
            <w:r>
              <w:rPr>
                <w:rFonts w:ascii="Times New Roman" w:hAnsi="Times New Roman" w:cs="Times New Roman"/>
                <w:color w:val="auto"/>
                <w:kern w:val="2"/>
                <w:szCs w:val="20"/>
              </w:rPr>
              <w:t>。</w:t>
            </w:r>
          </w:p>
          <w:p w14:paraId="42403E7B">
            <w:pPr>
              <w:pStyle w:val="56"/>
              <w:adjustRightInd w:val="0"/>
              <w:jc w:val="both"/>
              <w:rPr>
                <w:rFonts w:ascii="Times New Roman" w:hAnsi="Times New Roman" w:cs="Times New Roman"/>
                <w:color w:val="auto"/>
                <w:kern w:val="2"/>
                <w:szCs w:val="20"/>
              </w:rPr>
            </w:pPr>
            <w:r>
              <w:rPr>
                <w:rFonts w:ascii="Times New Roman" w:hAnsi="Times New Roman" w:cs="Times New Roman"/>
                <w:color w:val="auto"/>
                <w:kern w:val="2"/>
                <w:szCs w:val="20"/>
              </w:rPr>
              <w:t>施工期噪声影响分析详见声环境专项评价。</w:t>
            </w:r>
          </w:p>
          <w:p w14:paraId="35A9D890">
            <w:pPr>
              <w:keepNext w:val="0"/>
              <w:keepLines w:val="0"/>
              <w:pageBreakBefore w:val="0"/>
              <w:widowControl w:val="0"/>
              <w:kinsoku/>
              <w:wordWrap/>
              <w:overflowPunct/>
              <w:topLinePunct w:val="0"/>
              <w:autoSpaceDE/>
              <w:autoSpaceDN/>
              <w:bidi w:val="0"/>
              <w:adjustRightInd w:val="0"/>
              <w:snapToGrid/>
              <w:spacing w:line="300" w:lineRule="auto"/>
              <w:textAlignment w:val="auto"/>
              <w:rPr>
                <w:b/>
                <w:sz w:val="24"/>
                <w:szCs w:val="20"/>
              </w:rPr>
            </w:pPr>
            <w:r>
              <w:rPr>
                <w:rFonts w:hint="eastAsia"/>
                <w:b/>
                <w:sz w:val="24"/>
                <w:szCs w:val="20"/>
              </w:rPr>
              <w:t>4</w:t>
            </w:r>
            <w:r>
              <w:rPr>
                <w:b/>
                <w:sz w:val="24"/>
                <w:szCs w:val="20"/>
              </w:rPr>
              <w:t>. 施工期</w:t>
            </w:r>
            <w:r>
              <w:rPr>
                <w:rFonts w:hint="eastAsia"/>
                <w:b/>
                <w:sz w:val="24"/>
                <w:szCs w:val="20"/>
                <w:lang w:val="en-US" w:eastAsia="zh-CN"/>
              </w:rPr>
              <w:t>地表</w:t>
            </w:r>
            <w:r>
              <w:rPr>
                <w:b/>
                <w:sz w:val="24"/>
                <w:szCs w:val="20"/>
              </w:rPr>
              <w:t>水环境影响分析</w:t>
            </w:r>
          </w:p>
          <w:p w14:paraId="4FE5EB05">
            <w:pPr>
              <w:pStyle w:val="58"/>
              <w:ind w:firstLine="480"/>
            </w:pPr>
            <w:r>
              <w:t>拟建公路施工期对沿线地表水体的影响主要包括跨河桥梁基础施工中河床扰动对水体水质的影响，施工营地生活污水排放对周边环境的影响，预制厂及拌合站生产废水排放以及建筑材料运输与堆放对水体的影响等。</w:t>
            </w:r>
          </w:p>
          <w:p w14:paraId="42760F6F">
            <w:pPr>
              <w:pStyle w:val="58"/>
              <w:ind w:firstLine="480"/>
            </w:pPr>
            <w:r>
              <w:rPr>
                <w:rFonts w:hint="eastAsia"/>
              </w:rPr>
              <w:t xml:space="preserve">(1) </w:t>
            </w:r>
            <w:r>
              <w:t>桥梁施工对水环境的影响分析</w:t>
            </w:r>
          </w:p>
          <w:p w14:paraId="106055B1">
            <w:pPr>
              <w:pStyle w:val="58"/>
              <w:adjustRightInd w:val="0"/>
              <w:ind w:firstLine="480"/>
            </w:pPr>
            <w:r>
              <w:rPr>
                <w:rFonts w:eastAsiaTheme="minorEastAsia"/>
              </w:rPr>
              <w:t>拟建公路跨越的水体</w:t>
            </w:r>
            <w:r>
              <w:rPr>
                <w:rFonts w:hint="eastAsia" w:eastAsiaTheme="minorEastAsia"/>
              </w:rPr>
              <w:t>主要</w:t>
            </w:r>
            <w:r>
              <w:rPr>
                <w:rFonts w:eastAsiaTheme="minorEastAsia"/>
              </w:rPr>
              <w:t>有</w:t>
            </w:r>
            <w:r>
              <w:rPr>
                <w:rFonts w:hint="eastAsia" w:eastAsiaTheme="minorEastAsia"/>
                <w:lang w:eastAsia="zh-CN"/>
              </w:rPr>
              <w:t>水体1</w:t>
            </w:r>
            <w:r>
              <w:rPr>
                <w:rFonts w:hint="eastAsia" w:eastAsiaTheme="minorEastAsia"/>
              </w:rPr>
              <w:t>、</w:t>
            </w:r>
            <w:r>
              <w:rPr>
                <w:rFonts w:hint="eastAsia" w:eastAsiaTheme="minorEastAsia"/>
                <w:lang w:eastAsia="zh-CN"/>
              </w:rPr>
              <w:t>水体2</w:t>
            </w:r>
            <w:r>
              <w:rPr>
                <w:rFonts w:eastAsiaTheme="minorEastAsia"/>
              </w:rPr>
              <w:t>，</w:t>
            </w:r>
            <w:r>
              <w:rPr>
                <w:rFonts w:hint="eastAsia" w:eastAsiaTheme="minorEastAsia"/>
                <w:lang w:val="en-US" w:eastAsia="zh-CN"/>
              </w:rPr>
              <w:t>其中跨水体1的克孜勒苏大桥有6组涉水桥墩，跨水体2的新栏杆一桥有1组</w:t>
            </w:r>
            <w:r>
              <w:rPr>
                <w:rFonts w:eastAsiaTheme="minorEastAsia"/>
              </w:rPr>
              <w:t>涉水桥墩</w:t>
            </w:r>
            <w:r>
              <w:rPr>
                <w:rFonts w:hint="eastAsia" w:eastAsiaTheme="minorEastAsia"/>
              </w:rPr>
              <w:t>，</w:t>
            </w:r>
            <w:r>
              <w:t>水中桥墩采用钻孔灌注桩施工工艺。水上桥梁施工工序为：搭建施工平台→基础施工→桥梁上部构造施工。桥梁施工过程中，对地表水体水质可能造成影响的环节主要包括：施工扰动河床引起局部水体中泥砂等悬浮物的增加，钻孔作业中钻渣（或泥浆）的泄漏、水上施工船舶影响。</w:t>
            </w:r>
          </w:p>
          <w:p w14:paraId="5AC41395">
            <w:pPr>
              <w:adjustRightInd w:val="0"/>
              <w:spacing w:line="300" w:lineRule="auto"/>
              <w:ind w:left="480"/>
              <w:rPr>
                <w:sz w:val="24"/>
                <w:szCs w:val="20"/>
              </w:rPr>
            </w:pPr>
            <w:r>
              <w:rPr>
                <w:rFonts w:hint="eastAsia"/>
                <w:sz w:val="24"/>
                <w:szCs w:val="20"/>
              </w:rPr>
              <w:t xml:space="preserve">① </w:t>
            </w:r>
            <w:r>
              <w:rPr>
                <w:sz w:val="24"/>
                <w:szCs w:val="20"/>
              </w:rPr>
              <w:t>河床扰动的影响</w:t>
            </w:r>
          </w:p>
          <w:p w14:paraId="2F302262">
            <w:pPr>
              <w:adjustRightInd w:val="0"/>
              <w:spacing w:line="300" w:lineRule="auto"/>
              <w:ind w:firstLine="472" w:firstLineChars="200"/>
              <w:rPr>
                <w:spacing w:val="-2"/>
                <w:sz w:val="24"/>
                <w:szCs w:val="20"/>
              </w:rPr>
            </w:pPr>
            <w:r>
              <w:rPr>
                <w:spacing w:val="-2"/>
                <w:sz w:val="24"/>
                <w:szCs w:val="20"/>
              </w:rPr>
              <w:t>拟建公路桥梁水下基础的施工采用钻孔灌注桩施工，通常采用钢管桩施工平台、双壁钢围堰平台等固定式平台。按照公路桥梁施工规范，水中围堰高度要求高出施工期间可能出现的最高水位0.5~0.7m。围堰外形考虑河流断面被压缩后，流速增大引起水流对围堰、河床的集中冲刷等因素，并满足堰身强度和稳定的要求。围堰要求防水严密，减少渗漏。在围堰沉水、着床的几个小时内，可能会扰动河床，使少量底泥发生悬浮，悬浮的底泥物质在水流扩散等因素的作用下，在一定范围内将导致水质泥沙含量增大，水体</w:t>
            </w:r>
            <w:r>
              <w:rPr>
                <w:rFonts w:hint="eastAsia"/>
                <w:spacing w:val="-2"/>
                <w:sz w:val="24"/>
                <w:szCs w:val="20"/>
                <w:lang w:eastAsia="zh-CN"/>
              </w:rPr>
              <w:t>浑浊度</w:t>
            </w:r>
            <w:r>
              <w:rPr>
                <w:spacing w:val="-2"/>
                <w:sz w:val="24"/>
                <w:szCs w:val="20"/>
              </w:rPr>
              <w:t>相应增加。根据对多个类似工程围堰的监测资料进行类比分析，预测围堰或钢套筒着床可能造成SS最大增量约2000mg/L，在施工期水文条件下，悬浮物沉降速度较快，一般悬浮物随流扩散100~200m即接近水域悬浮物背景浓度。</w:t>
            </w:r>
          </w:p>
          <w:p w14:paraId="64A3C89D">
            <w:pPr>
              <w:adjustRightInd w:val="0"/>
              <w:spacing w:line="300" w:lineRule="auto"/>
              <w:ind w:firstLine="200"/>
              <w:rPr>
                <w:sz w:val="24"/>
                <w:szCs w:val="20"/>
              </w:rPr>
            </w:pPr>
            <w:r>
              <w:rPr>
                <w:sz w:val="24"/>
                <w:szCs w:val="20"/>
              </w:rPr>
              <w:t xml:space="preserve">  </w:t>
            </w:r>
            <w:r>
              <w:rPr>
                <w:rFonts w:hint="eastAsia"/>
                <w:sz w:val="24"/>
                <w:szCs w:val="20"/>
              </w:rPr>
              <w:t>考虑到</w:t>
            </w:r>
            <w:r>
              <w:rPr>
                <w:rFonts w:hint="eastAsia"/>
                <w:sz w:val="24"/>
                <w:szCs w:val="20"/>
                <w:lang w:val="en-US" w:eastAsia="zh-CN"/>
              </w:rPr>
              <w:t>拟建公路</w:t>
            </w:r>
            <w:r>
              <w:rPr>
                <w:rFonts w:hint="eastAsia"/>
                <w:sz w:val="24"/>
                <w:szCs w:val="20"/>
              </w:rPr>
              <w:t>各跨河桥位上下游 1km 范围内均无取水口分布，且其为短期影响，所以这一影响是可以接受的</w:t>
            </w:r>
            <w:r>
              <w:rPr>
                <w:rFonts w:hint="eastAsia"/>
                <w:sz w:val="24"/>
                <w:szCs w:val="20"/>
                <w:lang w:eastAsia="zh-CN"/>
              </w:rPr>
              <w:t>。</w:t>
            </w:r>
            <w:r>
              <w:rPr>
                <w:sz w:val="24"/>
                <w:szCs w:val="20"/>
              </w:rPr>
              <w:t>除此之外，其余钻孔、</w:t>
            </w:r>
            <w:r>
              <w:rPr>
                <w:rFonts w:hint="eastAsia"/>
                <w:sz w:val="24"/>
                <w:szCs w:val="20"/>
              </w:rPr>
              <w:t>清孔、下放钢筋笼和浇筑混凝土</w:t>
            </w:r>
            <w:r>
              <w:rPr>
                <w:sz w:val="24"/>
                <w:szCs w:val="20"/>
              </w:rPr>
              <w:t>等工序均是在围堰中施工，与河流隔开，钻孔时不再扰动围堰（钢套筒）外河床，也基本不会引起围堰外底层泥沙的悬浮。</w:t>
            </w:r>
            <w:r>
              <w:rPr>
                <w:rFonts w:hint="eastAsia"/>
                <w:sz w:val="24"/>
                <w:szCs w:val="20"/>
              </w:rPr>
              <w:t>桥梁基础施工</w:t>
            </w:r>
            <w:r>
              <w:rPr>
                <w:rFonts w:hint="eastAsia"/>
                <w:sz w:val="24"/>
                <w:szCs w:val="20"/>
                <w:lang w:val="en-US" w:eastAsia="zh-CN"/>
              </w:rPr>
              <w:t>应</w:t>
            </w:r>
            <w:r>
              <w:rPr>
                <w:rFonts w:hint="eastAsia"/>
                <w:sz w:val="24"/>
                <w:szCs w:val="20"/>
              </w:rPr>
              <w:t>在河流枯水期进行</w:t>
            </w:r>
            <w:r>
              <w:rPr>
                <w:rFonts w:hint="eastAsia"/>
                <w:sz w:val="24"/>
                <w:szCs w:val="20"/>
                <w:lang w:eastAsia="zh-CN"/>
              </w:rPr>
              <w:t>，</w:t>
            </w:r>
            <w:r>
              <w:rPr>
                <w:rFonts w:hint="eastAsia"/>
                <w:sz w:val="24"/>
                <w:szCs w:val="20"/>
              </w:rPr>
              <w:t>以</w:t>
            </w:r>
            <w:r>
              <w:rPr>
                <w:rFonts w:hint="eastAsia"/>
                <w:sz w:val="24"/>
                <w:szCs w:val="20"/>
                <w:lang w:val="en-US" w:eastAsia="zh-CN"/>
              </w:rPr>
              <w:t>进一步</w:t>
            </w:r>
            <w:r>
              <w:rPr>
                <w:rFonts w:hint="eastAsia"/>
                <w:sz w:val="24"/>
                <w:szCs w:val="20"/>
              </w:rPr>
              <w:t>减轻对沿线地表水体的影响。</w:t>
            </w:r>
          </w:p>
          <w:p w14:paraId="7A542605">
            <w:pPr>
              <w:adjustRightInd w:val="0"/>
              <w:spacing w:line="300" w:lineRule="auto"/>
              <w:ind w:firstLine="480" w:firstLineChars="200"/>
              <w:rPr>
                <w:sz w:val="24"/>
                <w:szCs w:val="20"/>
              </w:rPr>
            </w:pPr>
            <w:r>
              <w:rPr>
                <w:rFonts w:hint="eastAsia"/>
                <w:sz w:val="24"/>
                <w:szCs w:val="20"/>
              </w:rPr>
              <w:t xml:space="preserve">② </w:t>
            </w:r>
            <w:r>
              <w:rPr>
                <w:sz w:val="24"/>
                <w:szCs w:val="20"/>
              </w:rPr>
              <w:t>钻渣（泥浆）、弃土弃渣对水体影响分析</w:t>
            </w:r>
          </w:p>
          <w:p w14:paraId="7C7BCC4A">
            <w:pPr>
              <w:pStyle w:val="58"/>
              <w:ind w:firstLine="480"/>
            </w:pPr>
            <w:r>
              <w:t>桥梁基础施工对水体影响最大的潜在污染物是钻渣，为避免钻渣对水环境的影响，</w:t>
            </w:r>
            <w:r>
              <w:rPr>
                <w:rFonts w:hint="eastAsia"/>
              </w:rPr>
              <w:t>水下</w:t>
            </w:r>
            <w:r>
              <w:t>基础施工采用钻孔灌注桩的施工形式。拟建公路沿线河流基本为浅水位河流，钻孔灌注桩基础可采用钢管桩施工平台。根据相关观测成果，</w:t>
            </w:r>
            <w:r>
              <w:rPr>
                <w:rFonts w:hint="eastAsia"/>
              </w:rPr>
              <w:t>桥梁</w:t>
            </w:r>
            <w:r>
              <w:t>施工中，在没有防护措施的情况下，</w:t>
            </w:r>
            <w:r>
              <w:rPr>
                <w:rFonts w:hint="eastAsia"/>
              </w:rPr>
              <w:t>钻孔</w:t>
            </w:r>
            <w:r>
              <w:t>施工产生的钻渣对施工点下游500m范围内局部水质将产生影响。在采取围堰等防护措施的情况下，进入环境水体中的SS量将大大的削减，因钻孔施工产生的SS在下游均匀混合断面处50m范围附近可达到标准要求。</w:t>
            </w:r>
          </w:p>
          <w:p w14:paraId="345926B9">
            <w:pPr>
              <w:keepNext w:val="0"/>
              <w:keepLines w:val="0"/>
              <w:pageBreakBefore w:val="0"/>
              <w:widowControl w:val="0"/>
              <w:kinsoku/>
              <w:wordWrap/>
              <w:overflowPunct/>
              <w:topLinePunct w:val="0"/>
              <w:autoSpaceDE/>
              <w:autoSpaceDN/>
              <w:bidi w:val="0"/>
              <w:adjustRightInd w:val="0"/>
              <w:snapToGrid/>
              <w:spacing w:line="300" w:lineRule="auto"/>
              <w:ind w:firstLine="480" w:firstLineChars="200"/>
              <w:textAlignment w:val="auto"/>
              <w:rPr>
                <w:rFonts w:hint="default" w:ascii="Times New Roman" w:hAnsi="Times New Roman" w:cs="Times New Roman"/>
                <w:sz w:val="24"/>
                <w:szCs w:val="20"/>
              </w:rPr>
            </w:pPr>
            <w:r>
              <w:rPr>
                <w:rFonts w:hint="default" w:ascii="Times New Roman" w:hAnsi="Times New Roman" w:cs="Times New Roman"/>
                <w:sz w:val="24"/>
                <w:szCs w:val="20"/>
              </w:rPr>
              <w:t>③ 基坑废水影响分析</w:t>
            </w:r>
          </w:p>
          <w:p w14:paraId="5B2F5A27">
            <w:pPr>
              <w:pStyle w:val="58"/>
              <w:keepNext w:val="0"/>
              <w:keepLines w:val="0"/>
              <w:pageBreakBefore w:val="0"/>
              <w:widowControl w:val="0"/>
              <w:kinsoku/>
              <w:wordWrap/>
              <w:overflowPunct/>
              <w:topLinePunct w:val="0"/>
              <w:autoSpaceDE/>
              <w:autoSpaceDN/>
              <w:bidi w:val="0"/>
              <w:adjustRightInd w:val="0"/>
              <w:snapToGrid/>
              <w:ind w:firstLine="480"/>
              <w:textAlignment w:val="auto"/>
              <w:rPr>
                <w:rFonts w:hint="default" w:ascii="Times New Roman" w:hAnsi="Times New Roman" w:cs="Times New Roman"/>
              </w:rPr>
            </w:pPr>
            <w:r>
              <w:rPr>
                <w:rFonts w:hint="default" w:ascii="Times New Roman" w:hAnsi="Times New Roman" w:cs="Times New Roman"/>
              </w:rPr>
              <w:t>在进行跨河桥梁施工时，基坑会产生大量废水，应首先利用潜水泵进行抽取，运至岸上设置的临时存储池进行充分静置、沉淀，上清液用作施工场地洒水抑尘，底部泥浆进行干化脱水处理，运至最近的临时堆土场堆存。通过采取以上措施，基坑废水对水环境影响较小。</w:t>
            </w:r>
          </w:p>
          <w:p w14:paraId="3D8E208F">
            <w:pPr>
              <w:pStyle w:val="58"/>
              <w:keepNext w:val="0"/>
              <w:keepLines w:val="0"/>
              <w:pageBreakBefore w:val="0"/>
              <w:widowControl w:val="0"/>
              <w:kinsoku/>
              <w:wordWrap/>
              <w:overflowPunct/>
              <w:topLinePunct w:val="0"/>
              <w:autoSpaceDE/>
              <w:autoSpaceDN/>
              <w:bidi w:val="0"/>
              <w:adjustRightInd w:val="0"/>
              <w:snapToGrid/>
              <w:ind w:firstLine="480"/>
              <w:textAlignment w:val="auto"/>
              <w:rPr>
                <w:rFonts w:hint="default" w:ascii="Times New Roman" w:hAnsi="Times New Roman" w:cs="Times New Roman"/>
              </w:rPr>
            </w:pPr>
            <w:r>
              <w:rPr>
                <w:rFonts w:hint="default" w:ascii="Times New Roman" w:hAnsi="Times New Roman" w:cs="Times New Roman"/>
              </w:rPr>
              <w:t>④</w:t>
            </w:r>
            <w:r>
              <w:rPr>
                <w:rFonts w:hint="default" w:ascii="Times New Roman" w:hAnsi="Times New Roman" w:cs="Times New Roman"/>
                <w:lang w:val="en-US" w:eastAsia="zh-CN"/>
              </w:rPr>
              <w:t xml:space="preserve"> </w:t>
            </w:r>
            <w:r>
              <w:rPr>
                <w:rFonts w:hint="default" w:ascii="Times New Roman" w:hAnsi="Times New Roman" w:cs="Times New Roman"/>
              </w:rPr>
              <w:t>桥梁上部结构施工</w:t>
            </w:r>
          </w:p>
          <w:p w14:paraId="75A694BD">
            <w:pPr>
              <w:pStyle w:val="58"/>
              <w:keepNext w:val="0"/>
              <w:keepLines w:val="0"/>
              <w:pageBreakBefore w:val="0"/>
              <w:widowControl w:val="0"/>
              <w:kinsoku/>
              <w:wordWrap/>
              <w:overflowPunct/>
              <w:topLinePunct w:val="0"/>
              <w:autoSpaceDE/>
              <w:autoSpaceDN/>
              <w:bidi w:val="0"/>
              <w:adjustRightInd w:val="0"/>
              <w:snapToGrid/>
              <w:ind w:firstLine="480"/>
              <w:textAlignment w:val="auto"/>
              <w:rPr>
                <w:rFonts w:hint="default" w:ascii="Times New Roman" w:hAnsi="Times New Roman" w:cs="Times New Roman"/>
              </w:rPr>
            </w:pPr>
            <w:r>
              <w:rPr>
                <w:rFonts w:hint="default" w:ascii="Times New Roman" w:hAnsi="Times New Roman" w:cs="Times New Roman"/>
                <w:lang w:val="en-US" w:eastAsia="zh-CN"/>
              </w:rPr>
              <w:t xml:space="preserve">a. </w:t>
            </w:r>
            <w:r>
              <w:rPr>
                <w:rFonts w:hint="default" w:ascii="Times New Roman" w:hAnsi="Times New Roman" w:cs="Times New Roman"/>
              </w:rPr>
              <w:t>在进行桥梁防撞护栏以及部分现浇梁的浇筑施工过程中，可能导致一定数量的机械废油、水泥混凝土、沥青混凝土、涂料等物质进入水体，导致短时间内局部水域内SS、pH、石油类等指标升高，施工期</w:t>
            </w:r>
            <w:r>
              <w:rPr>
                <w:rFonts w:hint="eastAsia" w:ascii="Times New Roman" w:hAnsi="Times New Roman" w:cs="Times New Roman"/>
                <w:lang w:val="en-US" w:eastAsia="zh-CN"/>
              </w:rPr>
              <w:t>应</w:t>
            </w:r>
            <w:r>
              <w:rPr>
                <w:rFonts w:hint="default" w:ascii="Times New Roman" w:hAnsi="Times New Roman" w:cs="Times New Roman"/>
              </w:rPr>
              <w:t>做好施工材料管理可大大防止此类情况发生。</w:t>
            </w:r>
          </w:p>
          <w:p w14:paraId="17F8C862">
            <w:pPr>
              <w:pStyle w:val="58"/>
              <w:keepNext w:val="0"/>
              <w:keepLines w:val="0"/>
              <w:pageBreakBefore w:val="0"/>
              <w:widowControl w:val="0"/>
              <w:kinsoku/>
              <w:wordWrap/>
              <w:overflowPunct/>
              <w:topLinePunct w:val="0"/>
              <w:autoSpaceDE/>
              <w:autoSpaceDN/>
              <w:bidi w:val="0"/>
              <w:adjustRightInd w:val="0"/>
              <w:snapToGrid/>
              <w:ind w:firstLine="480"/>
              <w:textAlignment w:val="auto"/>
              <w:rPr>
                <w:rFonts w:hint="default" w:ascii="Times New Roman" w:hAnsi="Times New Roman" w:cs="Times New Roman"/>
              </w:rPr>
            </w:pPr>
            <w:r>
              <w:rPr>
                <w:rFonts w:hint="default" w:ascii="Times New Roman" w:hAnsi="Times New Roman" w:cs="Times New Roman"/>
                <w:lang w:val="en-US" w:eastAsia="zh-CN"/>
              </w:rPr>
              <w:t xml:space="preserve">b. </w:t>
            </w:r>
            <w:r>
              <w:rPr>
                <w:rFonts w:hint="default" w:ascii="Times New Roman" w:hAnsi="Times New Roman" w:cs="Times New Roman"/>
              </w:rPr>
              <w:t>在桥梁上部结构施工，由于混凝土浇筑和预制板的架设过程中产生的溢料将会对桥梁水体造成污染。</w:t>
            </w:r>
          </w:p>
          <w:p w14:paraId="4359061D">
            <w:pPr>
              <w:pStyle w:val="58"/>
              <w:keepNext w:val="0"/>
              <w:keepLines w:val="0"/>
              <w:pageBreakBefore w:val="0"/>
              <w:widowControl w:val="0"/>
              <w:kinsoku/>
              <w:wordWrap/>
              <w:overflowPunct/>
              <w:topLinePunct w:val="0"/>
              <w:autoSpaceDE/>
              <w:autoSpaceDN/>
              <w:bidi w:val="0"/>
              <w:adjustRightInd w:val="0"/>
              <w:snapToGrid/>
              <w:ind w:firstLine="480"/>
              <w:textAlignment w:val="auto"/>
              <w:rPr>
                <w:rFonts w:hint="eastAsia" w:eastAsia="宋体"/>
                <w:lang w:eastAsia="zh-CN"/>
              </w:rPr>
            </w:pPr>
            <w:r>
              <w:rPr>
                <w:rFonts w:hint="default" w:ascii="Times New Roman" w:hAnsi="Times New Roman" w:cs="Times New Roman"/>
                <w:lang w:val="en-US" w:eastAsia="zh-CN"/>
              </w:rPr>
              <w:t xml:space="preserve">c. </w:t>
            </w:r>
            <w:r>
              <w:rPr>
                <w:rFonts w:hint="default" w:ascii="Times New Roman" w:hAnsi="Times New Roman" w:cs="Times New Roman"/>
              </w:rPr>
              <w:t>混凝土预制养护过程中废水排放，会造成水体污染。另外桥梁施工中钻渣等固体废物管理不善将对水体造成污染，应对固体废物进行收集处理，禁止</w:t>
            </w:r>
            <w:r>
              <w:rPr>
                <w:rFonts w:hint="eastAsia"/>
              </w:rPr>
              <w:t>排入水中，污染水体</w:t>
            </w:r>
            <w:r>
              <w:rPr>
                <w:rFonts w:hint="eastAsia"/>
                <w:lang w:eastAsia="zh-CN"/>
              </w:rPr>
              <w:t>。</w:t>
            </w:r>
          </w:p>
          <w:p w14:paraId="7F62AE2D">
            <w:pPr>
              <w:pStyle w:val="58"/>
              <w:ind w:left="480" w:firstLine="0" w:firstLineChars="0"/>
            </w:pPr>
            <w:r>
              <w:rPr>
                <w:rFonts w:hint="eastAsia"/>
              </w:rPr>
              <w:t xml:space="preserve">(2) </w:t>
            </w:r>
            <w:r>
              <w:t>建筑材料运输与堆放对水体环境的影响</w:t>
            </w:r>
          </w:p>
          <w:p w14:paraId="10E591CD">
            <w:pPr>
              <w:pStyle w:val="58"/>
              <w:spacing w:line="288" w:lineRule="auto"/>
              <w:ind w:firstLine="480"/>
            </w:pPr>
            <w:r>
              <w:t>路基的填筑以及各种筑路材料的运输等，均会引起扬尘，施工产生的粉尘影响是难免的。而这些尘埃会随风飘落到路侧的水体中，尤其是靠路较近的水体，将会对水体产生一定的影响。</w:t>
            </w:r>
          </w:p>
          <w:p w14:paraId="52171414">
            <w:pPr>
              <w:pStyle w:val="58"/>
              <w:ind w:left="480" w:firstLine="0" w:firstLineChars="0"/>
            </w:pPr>
            <w:r>
              <w:rPr>
                <w:rFonts w:hint="eastAsia"/>
              </w:rPr>
              <w:t xml:space="preserve">(3) </w:t>
            </w:r>
            <w:r>
              <w:t>预制厂及、拌合站生产废水对水环境的影响分析</w:t>
            </w:r>
          </w:p>
          <w:p w14:paraId="5A6A1C5B">
            <w:pPr>
              <w:spacing w:line="300" w:lineRule="auto"/>
              <w:ind w:firstLine="480" w:firstLineChars="200"/>
              <w:rPr>
                <w:sz w:val="24"/>
                <w:szCs w:val="20"/>
              </w:rPr>
            </w:pPr>
            <w:r>
              <w:rPr>
                <w:sz w:val="24"/>
                <w:szCs w:val="20"/>
              </w:rPr>
              <w:t>混凝土拌和站、预制厂的生产废水主要来源于混凝土转筒和料罐的冲洗，具有悬浮物浓度高、水量小、间歇集中排放等特点。根据有关资料，混凝土转筒和料罐每次冲洗生产的污水量0.5m</w:t>
            </w:r>
            <w:r>
              <w:rPr>
                <w:sz w:val="24"/>
                <w:szCs w:val="20"/>
                <w:vertAlign w:val="superscript"/>
              </w:rPr>
              <w:t>3</w:t>
            </w:r>
            <w:r>
              <w:rPr>
                <w:sz w:val="24"/>
                <w:szCs w:val="20"/>
              </w:rPr>
              <w:t>，浓度5000mg/L，pH值在12左右，废水污染物浓度远超过了《污水综合排放标准》一级排放标准相应限值的要求。因此，混凝土拌合站与预制厂应设置沉淀池，施工生产废水</w:t>
            </w:r>
            <w:r>
              <w:rPr>
                <w:rFonts w:hint="eastAsia"/>
                <w:sz w:val="24"/>
                <w:szCs w:val="20"/>
                <w:lang w:eastAsia="zh-CN"/>
              </w:rPr>
              <w:t>经</w:t>
            </w:r>
            <w:r>
              <w:rPr>
                <w:sz w:val="24"/>
                <w:szCs w:val="20"/>
              </w:rPr>
              <w:t>絮凝沉淀、隔油除渣等处理后</w:t>
            </w:r>
            <w:r>
              <w:rPr>
                <w:rFonts w:hint="eastAsia"/>
                <w:sz w:val="24"/>
                <w:szCs w:val="20"/>
                <w:lang w:val="en-US" w:eastAsia="zh-CN"/>
              </w:rPr>
              <w:t>循环回用于生产及场地洒水降尘</w:t>
            </w:r>
            <w:r>
              <w:rPr>
                <w:sz w:val="24"/>
                <w:szCs w:val="20"/>
              </w:rPr>
              <w:t>，对周围水环境影响较小。</w:t>
            </w:r>
          </w:p>
          <w:p w14:paraId="33CEA7C6">
            <w:pPr>
              <w:pStyle w:val="58"/>
              <w:ind w:left="480" w:firstLine="0" w:firstLineChars="0"/>
            </w:pPr>
            <w:r>
              <w:rPr>
                <w:rFonts w:hint="eastAsia"/>
              </w:rPr>
              <w:t xml:space="preserve">(4) </w:t>
            </w:r>
            <w:r>
              <w:t>施工营地生活污水影响分析</w:t>
            </w:r>
          </w:p>
          <w:p w14:paraId="1A07332B">
            <w:pPr>
              <w:pStyle w:val="58"/>
              <w:spacing w:line="288" w:lineRule="auto"/>
              <w:ind w:firstLine="480"/>
            </w:pPr>
            <w:r>
              <w:t>拟建公路生活污水主要来源于各施工营地，其中主要是施工人员就餐和洗涤产生的污水及粪便污水，主要含动、植物油脂、洗涤剂等各种有机物。</w:t>
            </w:r>
          </w:p>
          <w:p w14:paraId="2142C31A">
            <w:pPr>
              <w:pStyle w:val="58"/>
              <w:adjustRightInd w:val="0"/>
              <w:ind w:firstLine="0" w:firstLineChars="0"/>
              <w:rPr>
                <w:highlight w:val="none"/>
              </w:rPr>
            </w:pPr>
            <w:r>
              <w:t>拟建公路拟设</w:t>
            </w:r>
            <w:r>
              <w:rPr>
                <w:rFonts w:hint="eastAsia"/>
                <w:highlight w:val="none"/>
                <w:lang w:val="en-US" w:eastAsia="zh-CN"/>
              </w:rPr>
              <w:t>2</w:t>
            </w:r>
            <w:r>
              <w:rPr>
                <w:highlight w:val="none"/>
              </w:rPr>
              <w:t>处施工营地，</w:t>
            </w:r>
            <w:r>
              <w:rPr>
                <w:rFonts w:hint="eastAsia"/>
                <w:highlight w:val="none"/>
                <w:lang w:val="en-US" w:eastAsia="zh-CN"/>
              </w:rPr>
              <w:t>按施工人数500人计，</w:t>
            </w:r>
            <w:r>
              <w:rPr>
                <w:highlight w:val="none"/>
              </w:rPr>
              <w:t>整个工程施工营地每天产生的生活污水量为</w:t>
            </w:r>
            <w:r>
              <w:rPr>
                <w:rFonts w:hint="eastAsia"/>
                <w:highlight w:val="none"/>
                <w:lang w:val="en-US" w:eastAsia="zh-CN"/>
              </w:rPr>
              <w:t>40.5t</w:t>
            </w:r>
            <w:r>
              <w:rPr>
                <w:highlight w:val="none"/>
              </w:rPr>
              <w:t>。</w:t>
            </w:r>
          </w:p>
          <w:p w14:paraId="11C89816">
            <w:pPr>
              <w:keepNext w:val="0"/>
              <w:keepLines w:val="0"/>
              <w:pageBreakBefore w:val="0"/>
              <w:widowControl w:val="0"/>
              <w:kinsoku/>
              <w:wordWrap/>
              <w:overflowPunct/>
              <w:topLinePunct w:val="0"/>
              <w:autoSpaceDE/>
              <w:autoSpaceDN/>
              <w:bidi w:val="0"/>
              <w:adjustRightInd w:val="0"/>
              <w:snapToGrid/>
              <w:spacing w:after="157" w:afterLines="50" w:line="300" w:lineRule="auto"/>
              <w:ind w:firstLine="480" w:firstLineChars="200"/>
              <w:textAlignment w:val="auto"/>
              <w:rPr>
                <w:rFonts w:hint="eastAsia" w:hAnsi="宋体" w:eastAsia="宋体"/>
                <w:sz w:val="24"/>
                <w:szCs w:val="20"/>
                <w:lang w:eastAsia="zh-CN"/>
              </w:rPr>
            </w:pPr>
            <w:r>
              <w:rPr>
                <w:sz w:val="24"/>
                <w:szCs w:val="20"/>
              </w:rPr>
              <w:t>施工营地的污水如果未经处理直接排入附近水体，将会对其功能产生不利影响，因此必须对生活污水进行处理。</w:t>
            </w:r>
            <w:r>
              <w:rPr>
                <w:rFonts w:hint="eastAsia"/>
                <w:sz w:val="24"/>
                <w:szCs w:val="20"/>
                <w:lang w:val="en-US" w:eastAsia="zh-CN"/>
              </w:rPr>
              <w:t>施工营地应</w:t>
            </w:r>
            <w:r>
              <w:rPr>
                <w:rFonts w:hint="eastAsia"/>
                <w:sz w:val="24"/>
                <w:szCs w:val="20"/>
              </w:rPr>
              <w:t>配套</w:t>
            </w:r>
            <w:r>
              <w:rPr>
                <w:rFonts w:hint="eastAsia"/>
                <w:sz w:val="24"/>
                <w:szCs w:val="20"/>
                <w:lang w:val="en-US" w:eastAsia="zh-CN"/>
              </w:rPr>
              <w:t>设置</w:t>
            </w:r>
            <w:r>
              <w:rPr>
                <w:rFonts w:hint="eastAsia"/>
                <w:sz w:val="24"/>
                <w:szCs w:val="20"/>
              </w:rPr>
              <w:t>隔油池、化粪池，餐饮废水经隔油除油后与其余生活污水共同进入化粪池处理，化粪池定期委托专业单位清运处置，同步做好转运台账管理，禁止污水直排地表水体</w:t>
            </w:r>
            <w:r>
              <w:rPr>
                <w:rFonts w:hAnsi="宋体"/>
                <w:sz w:val="24"/>
                <w:szCs w:val="20"/>
              </w:rPr>
              <w:t>。</w:t>
            </w:r>
            <w:r>
              <w:rPr>
                <w:rFonts w:hint="eastAsia" w:hAnsi="宋体"/>
                <w:sz w:val="24"/>
                <w:szCs w:val="20"/>
                <w:lang w:val="en-US" w:eastAsia="zh-CN"/>
              </w:rPr>
              <w:t>通过</w:t>
            </w:r>
            <w:r>
              <w:rPr>
                <w:rFonts w:hint="eastAsia" w:hAnsi="宋体"/>
                <w:sz w:val="24"/>
                <w:szCs w:val="20"/>
              </w:rPr>
              <w:t>采取以上措施，施工</w:t>
            </w:r>
            <w:r>
              <w:rPr>
                <w:rFonts w:hint="eastAsia" w:hAnsi="宋体"/>
                <w:sz w:val="24"/>
                <w:szCs w:val="20"/>
                <w:lang w:val="en-US" w:eastAsia="zh-CN"/>
              </w:rPr>
              <w:t>营地</w:t>
            </w:r>
            <w:r>
              <w:rPr>
                <w:rFonts w:hint="eastAsia" w:hAnsi="宋体"/>
                <w:sz w:val="24"/>
                <w:szCs w:val="20"/>
              </w:rPr>
              <w:t>生活污水对周边影响较小</w:t>
            </w:r>
            <w:r>
              <w:rPr>
                <w:rFonts w:hint="eastAsia" w:hAnsi="宋体"/>
                <w:sz w:val="24"/>
                <w:szCs w:val="20"/>
                <w:lang w:eastAsia="zh-CN"/>
              </w:rPr>
              <w:t>。</w:t>
            </w:r>
          </w:p>
          <w:p w14:paraId="472A7D63">
            <w:pPr>
              <w:adjustRightInd w:val="0"/>
              <w:spacing w:line="300" w:lineRule="auto"/>
              <w:rPr>
                <w:rFonts w:hint="eastAsia" w:hAnsi="宋体"/>
                <w:b/>
                <w:bCs/>
                <w:sz w:val="24"/>
                <w:szCs w:val="20"/>
                <w:lang w:val="en-US" w:eastAsia="zh-CN"/>
              </w:rPr>
            </w:pPr>
            <w:r>
              <w:rPr>
                <w:rFonts w:hint="eastAsia" w:hAnsi="宋体"/>
                <w:b/>
                <w:bCs/>
                <w:sz w:val="24"/>
                <w:szCs w:val="20"/>
                <w:lang w:val="en-US" w:eastAsia="zh-CN"/>
              </w:rPr>
              <w:t>5. 施工期地下水环境影响分析</w:t>
            </w:r>
          </w:p>
          <w:p w14:paraId="064E3657">
            <w:pPr>
              <w:adjustRightInd w:val="0"/>
              <w:spacing w:line="300" w:lineRule="auto"/>
              <w:ind w:firstLine="480" w:firstLineChars="200"/>
              <w:outlineLvl w:val="4"/>
              <w:rPr>
                <w:rFonts w:hint="eastAsia" w:eastAsia="宋体"/>
                <w:sz w:val="24"/>
                <w:szCs w:val="20"/>
                <w:lang w:val="en-US" w:eastAsia="zh-CN"/>
              </w:rPr>
            </w:pPr>
            <w:r>
              <w:rPr>
                <w:sz w:val="24"/>
                <w:szCs w:val="20"/>
              </w:rPr>
              <w:t>(1) 路基施工对地下水影响</w:t>
            </w:r>
            <w:r>
              <w:rPr>
                <w:rFonts w:hint="eastAsia"/>
                <w:sz w:val="24"/>
                <w:szCs w:val="20"/>
                <w:lang w:val="en-US" w:eastAsia="zh-CN"/>
              </w:rPr>
              <w:t>分析</w:t>
            </w:r>
          </w:p>
          <w:p w14:paraId="6B6E53A7">
            <w:pPr>
              <w:adjustRightInd w:val="0"/>
              <w:spacing w:line="300" w:lineRule="auto"/>
              <w:ind w:firstLine="480" w:firstLineChars="200"/>
              <w:rPr>
                <w:rFonts w:hint="default" w:hAnsi="宋体"/>
                <w:sz w:val="24"/>
                <w:szCs w:val="20"/>
                <w:lang w:val="en-US" w:eastAsia="zh-CN"/>
              </w:rPr>
            </w:pPr>
            <w:r>
              <w:rPr>
                <w:rFonts w:hint="eastAsia" w:hAnsi="宋体"/>
                <w:sz w:val="24"/>
                <w:szCs w:val="20"/>
                <w:lang w:val="en-US" w:eastAsia="zh-CN"/>
              </w:rPr>
              <w:t>项目沿线</w:t>
            </w:r>
            <w:r>
              <w:rPr>
                <w:rFonts w:hint="default" w:hAnsi="宋体"/>
                <w:sz w:val="24"/>
                <w:szCs w:val="20"/>
                <w:lang w:val="en-US" w:eastAsia="zh-CN"/>
              </w:rPr>
              <w:t>地层以第四系冲洪积细砂、粉土、粉质黏土、砂砾石为主</w:t>
            </w:r>
            <w:r>
              <w:rPr>
                <w:rFonts w:hint="eastAsia" w:hAnsi="宋体"/>
                <w:sz w:val="24"/>
                <w:szCs w:val="20"/>
                <w:lang w:val="en-US" w:eastAsia="zh-CN"/>
              </w:rPr>
              <w:t>。经查阅相关资料，</w:t>
            </w:r>
            <w:r>
              <w:rPr>
                <w:rFonts w:hint="default" w:hAnsi="宋体"/>
                <w:sz w:val="24"/>
                <w:szCs w:val="20"/>
                <w:lang w:val="en-US" w:eastAsia="zh-CN"/>
              </w:rPr>
              <w:t>区域浅层隔水黏土层厚度</w:t>
            </w:r>
            <w:r>
              <w:rPr>
                <w:rFonts w:hint="eastAsia" w:hAnsi="宋体"/>
                <w:sz w:val="24"/>
                <w:szCs w:val="20"/>
                <w:lang w:val="en-US" w:eastAsia="zh-CN"/>
              </w:rPr>
              <w:t>多为</w:t>
            </w:r>
            <w:r>
              <w:rPr>
                <w:rFonts w:hint="default" w:hAnsi="宋体"/>
                <w:sz w:val="24"/>
                <w:szCs w:val="20"/>
                <w:lang w:val="en-US" w:eastAsia="zh-CN"/>
              </w:rPr>
              <w:t>3~10m、连续性良好，</w:t>
            </w:r>
            <w:r>
              <w:rPr>
                <w:rFonts w:hint="eastAsia" w:hAnsi="宋体"/>
                <w:sz w:val="24"/>
                <w:szCs w:val="20"/>
                <w:lang w:val="en-US" w:eastAsia="zh-CN"/>
              </w:rPr>
              <w:t>渗透系数在10</w:t>
            </w:r>
            <w:r>
              <w:rPr>
                <w:rFonts w:hint="eastAsia" w:hAnsi="宋体"/>
                <w:sz w:val="24"/>
                <w:szCs w:val="20"/>
                <w:vertAlign w:val="superscript"/>
                <w:lang w:val="en-US" w:eastAsia="zh-CN"/>
              </w:rPr>
              <w:t>-6</w:t>
            </w:r>
            <w:r>
              <w:rPr>
                <w:rFonts w:hint="eastAsia" w:hAnsi="宋体"/>
                <w:sz w:val="24"/>
                <w:szCs w:val="20"/>
                <w:lang w:val="en-US" w:eastAsia="zh-CN"/>
              </w:rPr>
              <w:t>~10</w:t>
            </w:r>
            <w:r>
              <w:rPr>
                <w:rFonts w:hint="eastAsia" w:hAnsi="宋体"/>
                <w:sz w:val="24"/>
                <w:szCs w:val="20"/>
                <w:vertAlign w:val="superscript"/>
                <w:lang w:val="en-US" w:eastAsia="zh-CN"/>
              </w:rPr>
              <w:t>-5</w:t>
            </w:r>
            <w:r>
              <w:rPr>
                <w:rFonts w:hint="eastAsia" w:hAnsi="宋体"/>
                <w:sz w:val="24"/>
                <w:szCs w:val="20"/>
                <w:lang w:val="en-US" w:eastAsia="zh-CN"/>
              </w:rPr>
              <w:t>cm/s之间，</w:t>
            </w:r>
            <w:r>
              <w:rPr>
                <w:rFonts w:hint="default" w:hAnsi="宋体"/>
                <w:sz w:val="24"/>
                <w:szCs w:val="20"/>
                <w:lang w:val="en-US" w:eastAsia="zh-CN"/>
              </w:rPr>
              <w:t>地下水整体防污性能较好</w:t>
            </w:r>
            <w:r>
              <w:rPr>
                <w:rFonts w:hint="eastAsia" w:hAnsi="宋体"/>
                <w:sz w:val="24"/>
                <w:szCs w:val="20"/>
                <w:lang w:val="en-US" w:eastAsia="zh-CN"/>
              </w:rPr>
              <w:t>。</w:t>
            </w:r>
            <w:r>
              <w:rPr>
                <w:sz w:val="24"/>
              </w:rPr>
              <w:t>据研究资料（刘长礼，2006），天然粘性土渗透系数在10</w:t>
            </w:r>
            <w:r>
              <w:rPr>
                <w:sz w:val="24"/>
                <w:vertAlign w:val="superscript"/>
              </w:rPr>
              <w:t>-4</w:t>
            </w:r>
            <w:r>
              <w:rPr>
                <w:sz w:val="24"/>
              </w:rPr>
              <w:t>量级左右，且当粘土层厚度</w:t>
            </w:r>
            <w:r>
              <w:rPr>
                <w:rFonts w:hint="eastAsia"/>
                <w:sz w:val="24"/>
                <w:lang w:eastAsia="zh-CN"/>
              </w:rPr>
              <w:t>达到</w:t>
            </w:r>
            <w:r>
              <w:rPr>
                <w:sz w:val="24"/>
              </w:rPr>
              <w:t>1.5m时，</w:t>
            </w:r>
            <w:r>
              <w:rPr>
                <w:rFonts w:hint="eastAsia" w:hAnsi="宋体"/>
                <w:sz w:val="24"/>
                <w:szCs w:val="20"/>
                <w:lang w:val="en-US" w:eastAsia="zh-CN"/>
              </w:rPr>
              <w:t>COD等有机污染便能被吸附过滤到安全水平。因此，</w:t>
            </w:r>
            <w:r>
              <w:rPr>
                <w:rFonts w:hint="default" w:hAnsi="宋体"/>
                <w:sz w:val="24"/>
                <w:szCs w:val="20"/>
                <w:lang w:val="en-US" w:eastAsia="zh-CN"/>
              </w:rPr>
              <w:t>在施工过程中，只要</w:t>
            </w:r>
            <w:r>
              <w:rPr>
                <w:rFonts w:hint="eastAsia" w:hAnsi="宋体"/>
                <w:sz w:val="24"/>
                <w:szCs w:val="20"/>
                <w:lang w:val="en-US" w:eastAsia="zh-CN"/>
              </w:rPr>
              <w:t>做好</w:t>
            </w:r>
            <w:r>
              <w:rPr>
                <w:rFonts w:hint="default" w:hAnsi="宋体"/>
                <w:sz w:val="24"/>
                <w:szCs w:val="20"/>
                <w:lang w:val="en-US" w:eastAsia="zh-CN"/>
              </w:rPr>
              <w:t>废污水</w:t>
            </w:r>
            <w:r>
              <w:rPr>
                <w:rFonts w:hint="eastAsia" w:hAnsi="宋体"/>
                <w:sz w:val="24"/>
                <w:szCs w:val="20"/>
                <w:lang w:val="en-US" w:eastAsia="zh-CN"/>
              </w:rPr>
              <w:t>的收集，对孔隙水现状水质影响较小。另拟建公路全线以填方路基形式为主，无深挖作业，施工不会扰动地下含水层，对区域地下水环境影响较小。</w:t>
            </w:r>
          </w:p>
          <w:p w14:paraId="41DD795E">
            <w:pPr>
              <w:adjustRightInd w:val="0"/>
              <w:spacing w:line="300" w:lineRule="auto"/>
              <w:ind w:firstLine="480" w:firstLineChars="200"/>
              <w:outlineLvl w:val="4"/>
              <w:rPr>
                <w:rFonts w:hint="eastAsia" w:eastAsia="宋体"/>
                <w:sz w:val="24"/>
                <w:szCs w:val="20"/>
                <w:lang w:val="en-US" w:eastAsia="zh-CN"/>
              </w:rPr>
            </w:pPr>
            <w:r>
              <w:rPr>
                <w:sz w:val="24"/>
                <w:szCs w:val="20"/>
              </w:rPr>
              <w:t>(2) 桥梁施工对地下水影响</w:t>
            </w:r>
            <w:r>
              <w:rPr>
                <w:rFonts w:hint="eastAsia"/>
                <w:sz w:val="24"/>
                <w:szCs w:val="20"/>
                <w:lang w:val="en-US" w:eastAsia="zh-CN"/>
              </w:rPr>
              <w:t>分析</w:t>
            </w:r>
          </w:p>
          <w:p w14:paraId="6885EE6D">
            <w:pPr>
              <w:pStyle w:val="58"/>
              <w:adjustRightInd w:val="0"/>
              <w:ind w:firstLine="480"/>
              <w:rPr>
                <w:sz w:val="24"/>
                <w:szCs w:val="24"/>
              </w:rPr>
            </w:pPr>
            <w:r>
              <w:t>桥梁施</w:t>
            </w:r>
            <w:r>
              <w:rPr>
                <w:sz w:val="24"/>
                <w:szCs w:val="24"/>
              </w:rPr>
              <w:t>工对地下水的影响主要来自桥墩钻孔灌注桩基础时用于护壁的泥浆。泥浆接触地下环境可能通过深层岩溶水补给孔隙污染岩溶水。因此，桥梁桩基钻孔施工过程中工应尽量采取环保泥浆护壁，或采取封闭施工，尽量减小钻孔施工与周围地下环境的接触面积，减少泥浆等污染物进入地下环境污染地下水。</w:t>
            </w:r>
          </w:p>
          <w:p w14:paraId="7518CAC0">
            <w:pPr>
              <w:adjustRightInd w:val="0"/>
              <w:spacing w:line="300" w:lineRule="auto"/>
              <w:ind w:firstLine="480" w:firstLineChars="200"/>
              <w:outlineLvl w:val="4"/>
              <w:rPr>
                <w:sz w:val="24"/>
                <w:szCs w:val="24"/>
              </w:rPr>
            </w:pPr>
            <w:r>
              <w:rPr>
                <w:sz w:val="24"/>
                <w:szCs w:val="24"/>
              </w:rPr>
              <w:t>(3) 淋渗水对地下水影响分析</w:t>
            </w:r>
          </w:p>
          <w:p w14:paraId="4AB24B66">
            <w:pPr>
              <w:adjustRightInd w:val="0"/>
              <w:spacing w:line="300" w:lineRule="auto"/>
              <w:ind w:firstLine="480" w:firstLineChars="200"/>
              <w:rPr>
                <w:rFonts w:hint="eastAsia"/>
                <w:sz w:val="24"/>
                <w:szCs w:val="24"/>
                <w:lang w:eastAsia="zh-CN"/>
              </w:rPr>
            </w:pPr>
            <w:r>
              <w:rPr>
                <w:sz w:val="24"/>
                <w:szCs w:val="24"/>
              </w:rPr>
              <w:t>施工过程中若桥梁钻渣处置不当，物料、油料、化学品堆放管理不严，施工机械设备漏油、机械维修过程中的残油等可能污染地下水。</w:t>
            </w:r>
            <w:r>
              <w:rPr>
                <w:rFonts w:hint="eastAsia"/>
                <w:sz w:val="24"/>
                <w:szCs w:val="24"/>
              </w:rPr>
              <w:t>建筑材料堆放场地产生的少量淋渗水，下渗过程中经土层吸附、过滤及自净作用后，污染物浓度大幅衰减，因此对区域地下水含水层水质影响较小</w:t>
            </w:r>
            <w:r>
              <w:rPr>
                <w:sz w:val="24"/>
                <w:szCs w:val="24"/>
              </w:rPr>
              <w:t>。尽管如此，为防止油料等物质不慎</w:t>
            </w:r>
            <w:r>
              <w:rPr>
                <w:rFonts w:hint="eastAsia"/>
                <w:sz w:val="24"/>
                <w:szCs w:val="24"/>
                <w:lang w:eastAsia="zh-CN"/>
              </w:rPr>
              <w:t>泄漏</w:t>
            </w:r>
            <w:r>
              <w:rPr>
                <w:sz w:val="24"/>
                <w:szCs w:val="24"/>
              </w:rPr>
              <w:t>对堆放场地附近的地下水环境带来影响，可在建筑材料堆放地设置一定的防渗区域，专门存放油料及化学品物质</w:t>
            </w:r>
            <w:r>
              <w:rPr>
                <w:rFonts w:hint="eastAsia"/>
                <w:sz w:val="24"/>
                <w:szCs w:val="24"/>
                <w:lang w:eastAsia="zh-CN"/>
              </w:rPr>
              <w:t>。</w:t>
            </w:r>
          </w:p>
          <w:p w14:paraId="44C44589">
            <w:pPr>
              <w:adjustRightInd w:val="0"/>
              <w:spacing w:line="300" w:lineRule="auto"/>
              <w:ind w:firstLine="480" w:firstLineChars="200"/>
              <w:rPr>
                <w:rFonts w:hint="eastAsia"/>
                <w:sz w:val="24"/>
                <w:szCs w:val="24"/>
                <w:lang w:val="en-US" w:eastAsia="zh-CN"/>
              </w:rPr>
            </w:pPr>
            <w:r>
              <w:rPr>
                <w:rFonts w:hint="eastAsia"/>
                <w:sz w:val="24"/>
                <w:szCs w:val="24"/>
                <w:lang w:val="en-US" w:eastAsia="zh-CN"/>
              </w:rPr>
              <w:t>(4) 对水源保护区影响分析</w:t>
            </w:r>
          </w:p>
          <w:p w14:paraId="3E80665A">
            <w:pPr>
              <w:adjustRightInd w:val="0"/>
              <w:spacing w:line="300" w:lineRule="auto"/>
              <w:ind w:firstLine="480" w:firstLineChars="200"/>
              <w:rPr>
                <w:rFonts w:hint="eastAsia"/>
                <w:sz w:val="24"/>
                <w:szCs w:val="24"/>
                <w:lang w:val="en-US" w:eastAsia="zh-CN"/>
              </w:rPr>
            </w:pPr>
            <w:r>
              <w:rPr>
                <w:rFonts w:hint="default"/>
                <w:sz w:val="24"/>
                <w:szCs w:val="24"/>
                <w:lang w:val="en-US" w:eastAsia="zh-CN"/>
              </w:rPr>
              <w:fldChar w:fldCharType="begin"/>
            </w:r>
            <w:r>
              <w:rPr>
                <w:rFonts w:hint="default"/>
                <w:sz w:val="24"/>
                <w:szCs w:val="24"/>
                <w:lang w:val="en-US" w:eastAsia="zh-CN"/>
              </w:rPr>
              <w:instrText xml:space="preserve"> = 1 \* GB3 \* MERGEFORMAT </w:instrText>
            </w:r>
            <w:r>
              <w:rPr>
                <w:rFonts w:hint="default"/>
                <w:sz w:val="24"/>
                <w:szCs w:val="24"/>
                <w:lang w:val="en-US" w:eastAsia="zh-CN"/>
              </w:rPr>
              <w:fldChar w:fldCharType="separate"/>
            </w:r>
            <w:r>
              <w:t>①</w:t>
            </w:r>
            <w:r>
              <w:rPr>
                <w:rFonts w:hint="default"/>
                <w:sz w:val="24"/>
                <w:szCs w:val="24"/>
                <w:lang w:val="en-US" w:eastAsia="zh-CN"/>
              </w:rPr>
              <w:fldChar w:fldCharType="end"/>
            </w:r>
            <w:r>
              <w:rPr>
                <w:rFonts w:hint="eastAsia"/>
                <w:sz w:val="24"/>
                <w:szCs w:val="24"/>
                <w:lang w:val="en-US" w:eastAsia="zh-CN"/>
              </w:rPr>
              <w:t xml:space="preserve"> 拟建公路与水源保护区位置关系</w:t>
            </w:r>
          </w:p>
          <w:p w14:paraId="7C1657B0">
            <w:pPr>
              <w:adjustRightInd w:val="0"/>
              <w:spacing w:line="300" w:lineRule="auto"/>
              <w:ind w:firstLine="480" w:firstLineChars="200"/>
              <w:rPr>
                <w:rFonts w:hint="default"/>
                <w:sz w:val="24"/>
                <w:szCs w:val="24"/>
                <w:lang w:val="en-US" w:eastAsia="zh-CN"/>
              </w:rPr>
            </w:pPr>
            <w:r>
              <w:rPr>
                <w:rFonts w:hint="eastAsia"/>
                <w:sz w:val="24"/>
                <w:szCs w:val="24"/>
                <w:lang w:val="en-US" w:eastAsia="zh-CN"/>
              </w:rPr>
              <w:t>根据《伽师县城饮用水水源保护区划分技术报告》中明确的水源保护区拐点坐标：</w:t>
            </w:r>
          </w:p>
          <w:p w14:paraId="2A05272F">
            <w:pPr>
              <w:adjustRightInd w:val="0"/>
              <w:spacing w:line="300" w:lineRule="auto"/>
              <w:ind w:firstLine="480" w:firstLineChars="200"/>
              <w:rPr>
                <w:rFonts w:hint="default"/>
                <w:sz w:val="24"/>
                <w:szCs w:val="24"/>
                <w:lang w:val="en-US" w:eastAsia="zh-CN"/>
              </w:rPr>
            </w:pPr>
            <w:r>
              <w:rPr>
                <w:rFonts w:hint="eastAsia"/>
                <w:sz w:val="24"/>
                <w:szCs w:val="24"/>
                <w:lang w:val="en-US" w:eastAsia="zh-CN"/>
              </w:rPr>
              <w:t>拟建公路</w:t>
            </w:r>
            <w:r>
              <w:rPr>
                <w:rFonts w:hint="default"/>
                <w:sz w:val="24"/>
                <w:szCs w:val="24"/>
                <w:lang w:val="en-US" w:eastAsia="zh-CN"/>
              </w:rPr>
              <w:t>K27+120-K27+260路段</w:t>
            </w:r>
            <w:r>
              <w:rPr>
                <w:rFonts w:hint="eastAsia"/>
                <w:sz w:val="24"/>
                <w:szCs w:val="24"/>
                <w:lang w:val="en-US" w:eastAsia="zh-CN"/>
              </w:rPr>
              <w:t>在1#水井一级水源保护区（不设二级保护区）东侧经过</w:t>
            </w:r>
            <w:r>
              <w:rPr>
                <w:rFonts w:hint="default"/>
                <w:sz w:val="24"/>
                <w:szCs w:val="24"/>
                <w:lang w:val="en-US" w:eastAsia="zh-CN"/>
              </w:rPr>
              <w:t>，公路边界距保护区最近距离约25m</w:t>
            </w:r>
            <w:r>
              <w:rPr>
                <w:rFonts w:hint="eastAsia"/>
                <w:sz w:val="24"/>
                <w:szCs w:val="24"/>
                <w:lang w:val="en-US" w:eastAsia="zh-CN"/>
              </w:rPr>
              <w:t>；</w:t>
            </w:r>
          </w:p>
          <w:p w14:paraId="127F1F41">
            <w:pPr>
              <w:adjustRightInd w:val="0"/>
              <w:spacing w:line="300" w:lineRule="auto"/>
              <w:ind w:firstLine="480" w:firstLineChars="200"/>
              <w:rPr>
                <w:rFonts w:hint="default"/>
                <w:sz w:val="24"/>
                <w:szCs w:val="24"/>
                <w:lang w:val="en-US" w:eastAsia="zh-CN"/>
              </w:rPr>
            </w:pPr>
            <w:r>
              <w:rPr>
                <w:rFonts w:hint="eastAsia"/>
                <w:sz w:val="24"/>
                <w:szCs w:val="24"/>
                <w:lang w:val="en-US" w:eastAsia="zh-CN"/>
              </w:rPr>
              <w:t>拟建公路</w:t>
            </w:r>
            <w:r>
              <w:rPr>
                <w:rFonts w:hint="default"/>
                <w:sz w:val="24"/>
                <w:szCs w:val="24"/>
                <w:lang w:val="en-US" w:eastAsia="zh-CN"/>
              </w:rPr>
              <w:t>K24+780-K24+8</w:t>
            </w:r>
            <w:r>
              <w:rPr>
                <w:rFonts w:hint="eastAsia"/>
                <w:sz w:val="24"/>
                <w:szCs w:val="24"/>
                <w:lang w:val="en-US" w:eastAsia="zh-CN"/>
              </w:rPr>
              <w:t>6</w:t>
            </w:r>
            <w:r>
              <w:rPr>
                <w:rFonts w:hint="default"/>
                <w:sz w:val="24"/>
                <w:szCs w:val="24"/>
                <w:lang w:val="en-US" w:eastAsia="zh-CN"/>
              </w:rPr>
              <w:t>0路段</w:t>
            </w:r>
            <w:r>
              <w:rPr>
                <w:rFonts w:hint="eastAsia"/>
                <w:sz w:val="24"/>
                <w:szCs w:val="24"/>
                <w:lang w:val="en-US" w:eastAsia="zh-CN"/>
              </w:rPr>
              <w:t>在2</w:t>
            </w:r>
            <w:r>
              <w:rPr>
                <w:rFonts w:hint="default"/>
                <w:sz w:val="24"/>
                <w:szCs w:val="24"/>
                <w:lang w:val="en-US" w:eastAsia="zh-CN"/>
              </w:rPr>
              <w:t>#水井一级水源保护区</w:t>
            </w:r>
            <w:r>
              <w:rPr>
                <w:rFonts w:hint="eastAsia"/>
                <w:sz w:val="24"/>
                <w:szCs w:val="24"/>
                <w:lang w:val="en-US" w:eastAsia="zh-CN"/>
              </w:rPr>
              <w:t>（不设二级保护区）</w:t>
            </w:r>
            <w:r>
              <w:rPr>
                <w:rFonts w:hint="default"/>
                <w:sz w:val="24"/>
                <w:szCs w:val="24"/>
                <w:lang w:val="en-US" w:eastAsia="zh-CN"/>
              </w:rPr>
              <w:t>东侧经过，公路边界距保护区最近距离约15m</w:t>
            </w:r>
            <w:r>
              <w:rPr>
                <w:rFonts w:hint="eastAsia"/>
                <w:sz w:val="24"/>
                <w:szCs w:val="24"/>
                <w:lang w:val="en-US" w:eastAsia="zh-CN"/>
              </w:rPr>
              <w:t>；</w:t>
            </w:r>
          </w:p>
          <w:p w14:paraId="1FEAFA18">
            <w:pPr>
              <w:adjustRightInd w:val="0"/>
              <w:spacing w:line="300" w:lineRule="auto"/>
              <w:ind w:firstLine="480" w:firstLineChars="200"/>
              <w:rPr>
                <w:rFonts w:hint="default"/>
                <w:sz w:val="24"/>
                <w:szCs w:val="24"/>
                <w:lang w:val="en-US" w:eastAsia="zh-CN"/>
              </w:rPr>
            </w:pPr>
            <w:r>
              <w:rPr>
                <w:rFonts w:hint="eastAsia"/>
                <w:sz w:val="24"/>
                <w:szCs w:val="24"/>
                <w:lang w:val="en-US" w:eastAsia="zh-CN"/>
              </w:rPr>
              <w:t>拟建公路</w:t>
            </w:r>
            <w:r>
              <w:rPr>
                <w:rFonts w:hint="default"/>
                <w:sz w:val="24"/>
                <w:szCs w:val="24"/>
                <w:lang w:val="en-US" w:eastAsia="zh-CN"/>
              </w:rPr>
              <w:t>K24+070-K24+170路段</w:t>
            </w:r>
            <w:r>
              <w:rPr>
                <w:rFonts w:hint="eastAsia"/>
                <w:sz w:val="24"/>
                <w:szCs w:val="24"/>
                <w:lang w:val="en-US" w:eastAsia="zh-CN"/>
              </w:rPr>
              <w:t>在3</w:t>
            </w:r>
            <w:r>
              <w:rPr>
                <w:rFonts w:hint="default"/>
                <w:sz w:val="24"/>
                <w:szCs w:val="24"/>
                <w:lang w:val="en-US" w:eastAsia="zh-CN"/>
              </w:rPr>
              <w:t>#水井一级水源保护区</w:t>
            </w:r>
            <w:r>
              <w:rPr>
                <w:rFonts w:hint="eastAsia"/>
                <w:sz w:val="24"/>
                <w:szCs w:val="24"/>
                <w:lang w:val="en-US" w:eastAsia="zh-CN"/>
              </w:rPr>
              <w:t>（不设二级保护区）</w:t>
            </w:r>
            <w:r>
              <w:rPr>
                <w:rFonts w:hint="default"/>
                <w:sz w:val="24"/>
                <w:szCs w:val="24"/>
                <w:lang w:val="en-US" w:eastAsia="zh-CN"/>
              </w:rPr>
              <w:t>东侧经过，公路边界距保护区最近距离约15m</w:t>
            </w:r>
            <w:r>
              <w:rPr>
                <w:rFonts w:hint="eastAsia"/>
                <w:sz w:val="24"/>
                <w:szCs w:val="24"/>
                <w:lang w:val="en-US" w:eastAsia="zh-CN"/>
              </w:rPr>
              <w:t>；</w:t>
            </w:r>
          </w:p>
          <w:p w14:paraId="0C32BA09">
            <w:pPr>
              <w:adjustRightInd w:val="0"/>
              <w:spacing w:line="300" w:lineRule="auto"/>
              <w:ind w:firstLine="480" w:firstLineChars="200"/>
              <w:rPr>
                <w:rFonts w:hint="eastAsia"/>
                <w:sz w:val="24"/>
                <w:szCs w:val="24"/>
                <w:lang w:val="en-US" w:eastAsia="zh-CN"/>
              </w:rPr>
            </w:pPr>
            <w:r>
              <w:rPr>
                <w:rFonts w:hint="eastAsia"/>
                <w:sz w:val="24"/>
                <w:szCs w:val="24"/>
                <w:lang w:val="en-US" w:eastAsia="zh-CN"/>
              </w:rPr>
              <w:t>拟建公路</w:t>
            </w:r>
            <w:r>
              <w:rPr>
                <w:rFonts w:hint="default"/>
                <w:sz w:val="24"/>
                <w:szCs w:val="24"/>
                <w:lang w:val="en-US" w:eastAsia="zh-CN"/>
              </w:rPr>
              <w:t>K23+350-K23+450路段</w:t>
            </w:r>
            <w:r>
              <w:rPr>
                <w:rFonts w:hint="eastAsia"/>
                <w:sz w:val="24"/>
                <w:szCs w:val="24"/>
                <w:lang w:val="en-US" w:eastAsia="zh-CN"/>
              </w:rPr>
              <w:t>在4</w:t>
            </w:r>
            <w:r>
              <w:rPr>
                <w:rFonts w:hint="default"/>
                <w:sz w:val="24"/>
                <w:szCs w:val="24"/>
                <w:lang w:val="en-US" w:eastAsia="zh-CN"/>
              </w:rPr>
              <w:t>#水井一级水源保护区</w:t>
            </w:r>
            <w:r>
              <w:rPr>
                <w:rFonts w:hint="eastAsia"/>
                <w:sz w:val="24"/>
                <w:szCs w:val="24"/>
                <w:lang w:val="en-US" w:eastAsia="zh-CN"/>
              </w:rPr>
              <w:t>（不设二级保护区）</w:t>
            </w:r>
            <w:r>
              <w:rPr>
                <w:rFonts w:hint="default"/>
                <w:sz w:val="24"/>
                <w:szCs w:val="24"/>
                <w:lang w:val="en-US" w:eastAsia="zh-CN"/>
              </w:rPr>
              <w:t>东侧经过，公路边界距保护区最近距离约30m</w:t>
            </w:r>
            <w:r>
              <w:rPr>
                <w:rFonts w:hint="eastAsia"/>
                <w:sz w:val="24"/>
                <w:szCs w:val="24"/>
                <w:lang w:val="en-US" w:eastAsia="zh-CN"/>
              </w:rPr>
              <w:t>。</w:t>
            </w:r>
          </w:p>
          <w:p w14:paraId="4E9C99F0">
            <w:pPr>
              <w:adjustRightInd w:val="0"/>
              <w:spacing w:line="300" w:lineRule="auto"/>
              <w:ind w:firstLine="480" w:firstLineChars="200"/>
              <w:rPr>
                <w:rFonts w:hint="eastAsia"/>
                <w:sz w:val="24"/>
                <w:szCs w:val="24"/>
                <w:lang w:val="en-US" w:eastAsia="zh-CN"/>
              </w:rPr>
            </w:pPr>
            <w:r>
              <w:rPr>
                <w:rFonts w:hint="eastAsia"/>
                <w:sz w:val="24"/>
                <w:szCs w:val="24"/>
                <w:lang w:val="en-US" w:eastAsia="zh-CN"/>
              </w:rPr>
              <w:t>拟建公路与水源保护区的位置关系</w:t>
            </w:r>
            <w:r>
              <w:rPr>
                <w:rFonts w:hint="eastAsia"/>
                <w:sz w:val="24"/>
                <w:szCs w:val="24"/>
                <w:highlight w:val="none"/>
                <w:lang w:val="en-US" w:eastAsia="zh-CN"/>
              </w:rPr>
              <w:t>见附图9。</w:t>
            </w:r>
          </w:p>
          <w:p w14:paraId="48622773">
            <w:pPr>
              <w:adjustRightInd w:val="0"/>
              <w:spacing w:line="300" w:lineRule="auto"/>
              <w:ind w:firstLine="480" w:firstLineChars="200"/>
              <w:rPr>
                <w:rFonts w:hint="default"/>
                <w:sz w:val="24"/>
                <w:szCs w:val="24"/>
                <w:lang w:val="en-US" w:eastAsia="zh-CN"/>
              </w:rPr>
            </w:pPr>
            <w:r>
              <w:rPr>
                <w:rFonts w:hint="default"/>
                <w:sz w:val="24"/>
                <w:szCs w:val="24"/>
                <w:lang w:val="en-US" w:eastAsia="zh-CN"/>
              </w:rPr>
              <w:fldChar w:fldCharType="begin"/>
            </w:r>
            <w:r>
              <w:rPr>
                <w:rFonts w:hint="default"/>
                <w:sz w:val="24"/>
                <w:szCs w:val="24"/>
                <w:lang w:val="en-US" w:eastAsia="zh-CN"/>
              </w:rPr>
              <w:instrText xml:space="preserve"> = 2 \* GB3 \* MERGEFORMAT </w:instrText>
            </w:r>
            <w:r>
              <w:rPr>
                <w:rFonts w:hint="default"/>
                <w:sz w:val="24"/>
                <w:szCs w:val="24"/>
                <w:lang w:val="en-US" w:eastAsia="zh-CN"/>
              </w:rPr>
              <w:fldChar w:fldCharType="separate"/>
            </w:r>
            <w:r>
              <w:t>②</w:t>
            </w:r>
            <w:r>
              <w:rPr>
                <w:rFonts w:hint="default"/>
                <w:sz w:val="24"/>
                <w:szCs w:val="24"/>
                <w:lang w:val="en-US" w:eastAsia="zh-CN"/>
              </w:rPr>
              <w:fldChar w:fldCharType="end"/>
            </w:r>
            <w:r>
              <w:rPr>
                <w:rFonts w:hint="eastAsia"/>
                <w:sz w:val="24"/>
                <w:szCs w:val="24"/>
                <w:lang w:val="en-US" w:eastAsia="zh-CN"/>
              </w:rPr>
              <w:t xml:space="preserve"> 水源保护区影响分析</w:t>
            </w:r>
          </w:p>
          <w:p w14:paraId="3481B1F8">
            <w:pPr>
              <w:adjustRightInd w:val="0"/>
              <w:spacing w:line="300" w:lineRule="auto"/>
              <w:ind w:firstLine="480" w:firstLineChars="200"/>
              <w:rPr>
                <w:rFonts w:hint="eastAsia"/>
                <w:sz w:val="24"/>
                <w:szCs w:val="24"/>
                <w:lang w:val="en-US" w:eastAsia="zh-CN"/>
              </w:rPr>
            </w:pPr>
            <w:r>
              <w:rPr>
                <w:rFonts w:hint="eastAsia"/>
                <w:sz w:val="24"/>
                <w:szCs w:val="24"/>
                <w:lang w:val="en-US" w:eastAsia="zh-CN"/>
              </w:rPr>
              <w:t>项目施工期对水源地的环境影响主要有两个方面：一是施工生产废水、生活污水无序排放，以及固体废物经降雨淋滤形成渗滤液入渗后对水源地的影响；二是路基填筑施工带来的局部水文扰动影响。</w:t>
            </w:r>
          </w:p>
          <w:p w14:paraId="3F615FE2">
            <w:pPr>
              <w:adjustRightInd w:val="0"/>
              <w:spacing w:line="300" w:lineRule="auto"/>
              <w:ind w:firstLine="480" w:firstLineChars="200"/>
              <w:rPr>
                <w:rFonts w:hint="eastAsia"/>
                <w:sz w:val="24"/>
                <w:szCs w:val="24"/>
                <w:lang w:val="en-US" w:eastAsia="zh-CN"/>
              </w:rPr>
            </w:pPr>
            <w:r>
              <w:rPr>
                <w:rFonts w:hint="eastAsia"/>
                <w:sz w:val="24"/>
                <w:szCs w:val="24"/>
                <w:lang w:val="en-US" w:eastAsia="zh-CN"/>
              </w:rPr>
              <w:t>伽师县城饮用水水源地位于冲积平原下游细土平原区，水源地水文地质特征与区域整体水文地质环境基本一致。结合区域水文地质资料分析，场地浅层土体防污条件较好，各类废水下渗过程中，经上部黏土层吸附、过滤、阻滞作用，COD 等有机污染物可有效削减至安全水平。同时，水源取水水井井深在180～230m，取用深层承压水，上下含水层间分布连续稳定隔水层，施工活动难以越层扰动深层含水系统，因此工程施工对水源地水质基本无不利影响。</w:t>
            </w:r>
          </w:p>
          <w:p w14:paraId="202BC1A4">
            <w:pPr>
              <w:adjustRightInd w:val="0"/>
              <w:spacing w:line="300" w:lineRule="auto"/>
              <w:ind w:firstLine="480" w:firstLineChars="200"/>
              <w:rPr>
                <w:rFonts w:hint="eastAsia"/>
                <w:sz w:val="24"/>
                <w:szCs w:val="24"/>
                <w:lang w:val="en-US" w:eastAsia="zh-CN"/>
              </w:rPr>
            </w:pPr>
            <w:r>
              <w:rPr>
                <w:rFonts w:hint="eastAsia"/>
                <w:sz w:val="24"/>
                <w:szCs w:val="24"/>
                <w:lang w:val="en-US" w:eastAsia="zh-CN"/>
              </w:rPr>
              <w:t>考虑到浅层潜水存在一定的污染风险，施工阶段需加强各类废污水收集管理，固体废物临时堆放场地合理布设，远离饮用水水源保护区范围。</w:t>
            </w:r>
          </w:p>
          <w:p w14:paraId="52AE007C">
            <w:pPr>
              <w:adjustRightInd w:val="0"/>
              <w:spacing w:line="300" w:lineRule="auto"/>
              <w:ind w:firstLine="480" w:firstLineChars="200"/>
              <w:rPr>
                <w:rFonts w:hint="default"/>
                <w:sz w:val="24"/>
                <w:szCs w:val="24"/>
                <w:lang w:val="en-US" w:eastAsia="zh-CN"/>
              </w:rPr>
            </w:pPr>
            <w:r>
              <w:rPr>
                <w:rFonts w:hint="eastAsia"/>
                <w:sz w:val="24"/>
                <w:szCs w:val="24"/>
                <w:lang w:val="en-US" w:eastAsia="zh-CN"/>
              </w:rPr>
              <w:t>拟建公路途经水源保护区路段均采用填方路基形式，无深挖、含水层揭露及地下水疏干作业，不会破坏地层结构、扰动含水层稳定，对水源地供水水量、水质均无明显负面影响。</w:t>
            </w:r>
          </w:p>
          <w:p w14:paraId="577F4CAC">
            <w:pPr>
              <w:adjustRightInd w:val="0"/>
              <w:spacing w:before="120" w:beforeLines="50" w:line="300" w:lineRule="auto"/>
              <w:rPr>
                <w:b/>
                <w:sz w:val="24"/>
                <w:szCs w:val="20"/>
              </w:rPr>
            </w:pPr>
            <w:r>
              <w:rPr>
                <w:rFonts w:hint="eastAsia"/>
                <w:b/>
                <w:sz w:val="24"/>
                <w:szCs w:val="20"/>
              </w:rPr>
              <w:t>5</w:t>
            </w:r>
            <w:r>
              <w:rPr>
                <w:b/>
                <w:sz w:val="24"/>
                <w:szCs w:val="20"/>
              </w:rPr>
              <w:t>. 施工期固废影响分析</w:t>
            </w:r>
          </w:p>
          <w:p w14:paraId="49AD43AB">
            <w:pPr>
              <w:autoSpaceDE w:val="0"/>
              <w:autoSpaceDN w:val="0"/>
              <w:adjustRightInd w:val="0"/>
              <w:spacing w:line="300" w:lineRule="auto"/>
              <w:ind w:firstLine="480" w:firstLineChars="200"/>
              <w:rPr>
                <w:sz w:val="24"/>
                <w:szCs w:val="20"/>
              </w:rPr>
            </w:pPr>
            <w:r>
              <w:rPr>
                <w:sz w:val="24"/>
                <w:szCs w:val="20"/>
              </w:rPr>
              <w:t>施工期固体废物主要为</w:t>
            </w:r>
            <w:r>
              <w:rPr>
                <w:rFonts w:hint="eastAsia"/>
                <w:sz w:val="24"/>
                <w:szCs w:val="20"/>
                <w:lang w:val="en-US" w:eastAsia="zh-CN"/>
              </w:rPr>
              <w:t>土石方开挖产生的弃方、</w:t>
            </w:r>
            <w:r>
              <w:rPr>
                <w:sz w:val="24"/>
                <w:szCs w:val="20"/>
              </w:rPr>
              <w:t>建筑拆除产生的建筑垃圾</w:t>
            </w:r>
            <w:r>
              <w:rPr>
                <w:rFonts w:hint="eastAsia"/>
                <w:sz w:val="24"/>
                <w:szCs w:val="20"/>
              </w:rPr>
              <w:t>、施工机械维修产生的危险废物以及</w:t>
            </w:r>
            <w:r>
              <w:rPr>
                <w:sz w:val="24"/>
                <w:szCs w:val="20"/>
              </w:rPr>
              <w:t>施工人员产生的生活垃圾。</w:t>
            </w:r>
          </w:p>
          <w:p w14:paraId="0B3F3F20">
            <w:pPr>
              <w:autoSpaceDE w:val="0"/>
              <w:autoSpaceDN w:val="0"/>
              <w:adjustRightInd w:val="0"/>
              <w:spacing w:line="300" w:lineRule="auto"/>
              <w:ind w:firstLine="480" w:firstLineChars="200"/>
              <w:rPr>
                <w:rFonts w:hint="default" w:eastAsia="宋体"/>
                <w:sz w:val="24"/>
                <w:szCs w:val="20"/>
                <w:lang w:val="en-US" w:eastAsia="zh-CN"/>
              </w:rPr>
            </w:pPr>
            <w:r>
              <w:rPr>
                <w:rFonts w:hint="eastAsia"/>
                <w:sz w:val="24"/>
                <w:szCs w:val="20"/>
                <w:lang w:val="en-US" w:eastAsia="zh-CN"/>
              </w:rPr>
              <w:t>(1) 废弃土石方</w:t>
            </w:r>
          </w:p>
          <w:p w14:paraId="1F5740FC">
            <w:pPr>
              <w:autoSpaceDE w:val="0"/>
              <w:autoSpaceDN w:val="0"/>
              <w:adjustRightInd w:val="0"/>
              <w:spacing w:line="300" w:lineRule="auto"/>
              <w:ind w:firstLine="480" w:firstLineChars="200"/>
              <w:rPr>
                <w:rFonts w:hint="eastAsia" w:eastAsia="宋体"/>
                <w:sz w:val="24"/>
                <w:szCs w:val="20"/>
                <w:lang w:eastAsia="zh-CN"/>
              </w:rPr>
            </w:pPr>
            <w:r>
              <w:rPr>
                <w:rFonts w:hint="eastAsia"/>
                <w:sz w:val="24"/>
                <w:szCs w:val="20"/>
                <w:lang w:val="en-US" w:eastAsia="zh-CN"/>
              </w:rPr>
              <w:t>拟建公路</w:t>
            </w:r>
            <w:r>
              <w:rPr>
                <w:rFonts w:hint="eastAsia"/>
                <w:sz w:val="24"/>
                <w:szCs w:val="20"/>
              </w:rPr>
              <w:t>在桥墩建设时会有泥浆产生，钻孔泥浆配置过程使用膨润土等环保型材料，不产生危废。施工期设置泥浆池，对泥浆循环使用，废弃泥浆在泥浆池中沉淀，上清液用于绿化，干化后的泥浆填埋处理。因此，施工期泥浆能够得到有效处置，对环境影响较小</w:t>
            </w:r>
            <w:r>
              <w:rPr>
                <w:rFonts w:hint="eastAsia"/>
                <w:sz w:val="24"/>
                <w:szCs w:val="20"/>
                <w:lang w:eastAsia="zh-CN"/>
              </w:rPr>
              <w:t>。</w:t>
            </w:r>
          </w:p>
          <w:p w14:paraId="1709C127">
            <w:pPr>
              <w:autoSpaceDE w:val="0"/>
              <w:autoSpaceDN w:val="0"/>
              <w:adjustRightInd w:val="0"/>
              <w:spacing w:line="300" w:lineRule="auto"/>
              <w:ind w:firstLine="480" w:firstLineChars="200"/>
              <w:rPr>
                <w:sz w:val="24"/>
                <w:szCs w:val="20"/>
              </w:rPr>
            </w:pPr>
            <w:r>
              <w:rPr>
                <w:sz w:val="24"/>
                <w:szCs w:val="20"/>
              </w:rPr>
              <w:t>(</w:t>
            </w:r>
            <w:r>
              <w:rPr>
                <w:rFonts w:hint="eastAsia"/>
                <w:sz w:val="24"/>
                <w:szCs w:val="20"/>
                <w:lang w:val="en-US" w:eastAsia="zh-CN"/>
              </w:rPr>
              <w:t>2</w:t>
            </w:r>
            <w:r>
              <w:rPr>
                <w:sz w:val="24"/>
                <w:szCs w:val="20"/>
              </w:rPr>
              <w:t>)</w:t>
            </w:r>
            <w:r>
              <w:rPr>
                <w:rFonts w:hint="eastAsia"/>
                <w:sz w:val="24"/>
                <w:szCs w:val="20"/>
              </w:rPr>
              <w:t xml:space="preserve"> </w:t>
            </w:r>
            <w:r>
              <w:rPr>
                <w:sz w:val="24"/>
                <w:szCs w:val="20"/>
              </w:rPr>
              <w:t>建筑垃圾</w:t>
            </w:r>
          </w:p>
          <w:p w14:paraId="6C43BA53">
            <w:pPr>
              <w:autoSpaceDE w:val="0"/>
              <w:autoSpaceDN w:val="0"/>
              <w:adjustRightInd w:val="0"/>
              <w:spacing w:line="300" w:lineRule="auto"/>
              <w:ind w:firstLine="480" w:firstLineChars="200"/>
              <w:rPr>
                <w:rFonts w:hint="default" w:eastAsia="宋体"/>
                <w:sz w:val="24"/>
                <w:szCs w:val="20"/>
                <w:lang w:val="en-US" w:eastAsia="zh-CN"/>
              </w:rPr>
            </w:pPr>
            <w:r>
              <w:rPr>
                <w:rFonts w:hint="eastAsia"/>
                <w:sz w:val="24"/>
                <w:szCs w:val="20"/>
              </w:rPr>
              <w:t>拟建公路</w:t>
            </w:r>
            <w:r>
              <w:rPr>
                <w:rFonts w:hint="eastAsia"/>
                <w:sz w:val="24"/>
                <w:szCs w:val="20"/>
                <w:lang w:val="en-US" w:eastAsia="zh-CN"/>
              </w:rPr>
              <w:t>建筑垃圾（</w:t>
            </w:r>
            <w:r>
              <w:rPr>
                <w:sz w:val="24"/>
                <w:szCs w:val="20"/>
              </w:rPr>
              <w:t>含桥梁</w:t>
            </w:r>
            <w:r>
              <w:rPr>
                <w:rFonts w:hint="eastAsia"/>
                <w:sz w:val="24"/>
                <w:szCs w:val="20"/>
                <w:lang w:val="en-US" w:eastAsia="zh-CN"/>
              </w:rPr>
              <w:t>及施工生产生活区拆除）</w:t>
            </w:r>
            <w:r>
              <w:rPr>
                <w:rFonts w:hint="eastAsia"/>
                <w:sz w:val="24"/>
                <w:szCs w:val="20"/>
              </w:rPr>
              <w:t>部分就地资源化回收再利用，剩余废料转运至</w:t>
            </w:r>
            <w:r>
              <w:rPr>
                <w:rFonts w:hint="eastAsia"/>
                <w:sz w:val="24"/>
                <w:szCs w:val="20"/>
                <w:lang w:val="en-US" w:eastAsia="zh-CN"/>
              </w:rPr>
              <w:t>政府部门</w:t>
            </w:r>
            <w:r>
              <w:rPr>
                <w:rFonts w:hint="eastAsia"/>
                <w:sz w:val="24"/>
                <w:szCs w:val="20"/>
              </w:rPr>
              <w:t>指定建筑垃圾专用堆存点集中处置，正常工况下不会对周边区域环境产生不利影响；建筑垃圾在堆存、密闭转运、资源化加工全流程</w:t>
            </w:r>
            <w:r>
              <w:rPr>
                <w:rFonts w:hint="eastAsia"/>
                <w:sz w:val="24"/>
                <w:szCs w:val="20"/>
                <w:lang w:val="en-US" w:eastAsia="zh-CN"/>
              </w:rPr>
              <w:t>过程中</w:t>
            </w:r>
            <w:r>
              <w:rPr>
                <w:rFonts w:hint="eastAsia"/>
                <w:sz w:val="24"/>
                <w:szCs w:val="20"/>
              </w:rPr>
              <w:t>需配套洒水抑尘、隔声降噪等污染防控措施，有效避免扬尘、噪声等二次污染问题</w:t>
            </w:r>
            <w:r>
              <w:rPr>
                <w:rFonts w:hint="eastAsia"/>
                <w:sz w:val="24"/>
                <w:szCs w:val="20"/>
                <w:lang w:val="en-US" w:eastAsia="zh-CN"/>
              </w:rPr>
              <w:t>。</w:t>
            </w:r>
          </w:p>
          <w:p w14:paraId="159F1E7F">
            <w:pPr>
              <w:autoSpaceDE w:val="0"/>
              <w:autoSpaceDN w:val="0"/>
              <w:adjustRightInd w:val="0"/>
              <w:spacing w:line="300" w:lineRule="auto"/>
              <w:ind w:firstLine="480" w:firstLineChars="200"/>
              <w:rPr>
                <w:sz w:val="24"/>
                <w:szCs w:val="20"/>
              </w:rPr>
            </w:pPr>
            <w:r>
              <w:rPr>
                <w:rFonts w:hint="eastAsia"/>
                <w:sz w:val="24"/>
                <w:szCs w:val="20"/>
              </w:rPr>
              <w:t>(</w:t>
            </w:r>
            <w:r>
              <w:rPr>
                <w:rFonts w:hint="eastAsia"/>
                <w:sz w:val="24"/>
                <w:szCs w:val="20"/>
                <w:lang w:val="en-US" w:eastAsia="zh-CN"/>
              </w:rPr>
              <w:t>3</w:t>
            </w:r>
            <w:r>
              <w:rPr>
                <w:rFonts w:hint="eastAsia"/>
                <w:sz w:val="24"/>
                <w:szCs w:val="20"/>
              </w:rPr>
              <w:t>) 危险废物</w:t>
            </w:r>
          </w:p>
          <w:p w14:paraId="14619F38">
            <w:pPr>
              <w:spacing w:line="300" w:lineRule="auto"/>
              <w:ind w:firstLine="480" w:firstLineChars="200"/>
              <w:rPr>
                <w:sz w:val="24"/>
                <w:szCs w:val="20"/>
              </w:rPr>
            </w:pPr>
            <w:r>
              <w:rPr>
                <w:rFonts w:hint="eastAsia"/>
                <w:sz w:val="24"/>
                <w:szCs w:val="20"/>
              </w:rPr>
              <w:t>拟建</w:t>
            </w:r>
            <w:r>
              <w:rPr>
                <w:sz w:val="24"/>
                <w:szCs w:val="20"/>
              </w:rPr>
              <w:t>公路施工期机械设备的维修期间会产生少量的废机油、柴油及含油抹布等含油危险废物，应在维修间附近设置危险废物暂存间，委托有资质的单位定期清运处置。</w:t>
            </w:r>
          </w:p>
          <w:p w14:paraId="0025D9DA">
            <w:pPr>
              <w:autoSpaceDE w:val="0"/>
              <w:autoSpaceDN w:val="0"/>
              <w:adjustRightInd w:val="0"/>
              <w:spacing w:line="300" w:lineRule="auto"/>
              <w:ind w:firstLine="480" w:firstLineChars="200"/>
              <w:rPr>
                <w:sz w:val="24"/>
                <w:szCs w:val="20"/>
              </w:rPr>
            </w:pPr>
            <w:r>
              <w:rPr>
                <w:sz w:val="24"/>
                <w:szCs w:val="20"/>
              </w:rPr>
              <w:t>(</w:t>
            </w:r>
            <w:r>
              <w:rPr>
                <w:rFonts w:hint="eastAsia"/>
                <w:sz w:val="24"/>
                <w:szCs w:val="20"/>
                <w:lang w:val="en-US" w:eastAsia="zh-CN"/>
              </w:rPr>
              <w:t>4</w:t>
            </w:r>
            <w:r>
              <w:rPr>
                <w:sz w:val="24"/>
                <w:szCs w:val="20"/>
              </w:rPr>
              <w:t>) 生活垃圾</w:t>
            </w:r>
          </w:p>
          <w:p w14:paraId="47231DA4">
            <w:pPr>
              <w:autoSpaceDE w:val="0"/>
              <w:autoSpaceDN w:val="0"/>
              <w:adjustRightInd w:val="0"/>
              <w:spacing w:line="300" w:lineRule="auto"/>
              <w:ind w:firstLine="480" w:firstLineChars="200"/>
              <w:rPr>
                <w:color w:val="0070C0"/>
                <w:sz w:val="24"/>
                <w:szCs w:val="20"/>
              </w:rPr>
            </w:pPr>
            <w:r>
              <w:rPr>
                <w:sz w:val="24"/>
                <w:szCs w:val="20"/>
                <w:highlight w:val="none"/>
              </w:rPr>
              <w:t>根据经验数据，施工人员生活垃圾</w:t>
            </w:r>
            <w:r>
              <w:rPr>
                <w:rFonts w:hint="eastAsia"/>
                <w:sz w:val="24"/>
                <w:szCs w:val="20"/>
                <w:highlight w:val="none"/>
                <w:lang w:val="en-US" w:eastAsia="zh-CN"/>
              </w:rPr>
              <w:t>产</w:t>
            </w:r>
            <w:r>
              <w:rPr>
                <w:sz w:val="24"/>
                <w:szCs w:val="20"/>
                <w:highlight w:val="none"/>
              </w:rPr>
              <w:t>生量按0.5kg/人d 计，施工人员按</w:t>
            </w:r>
            <w:r>
              <w:rPr>
                <w:rFonts w:hint="eastAsia"/>
                <w:sz w:val="24"/>
                <w:szCs w:val="20"/>
                <w:highlight w:val="none"/>
                <w:lang w:val="en-US" w:eastAsia="zh-CN"/>
              </w:rPr>
              <w:t>5</w:t>
            </w:r>
            <w:r>
              <w:rPr>
                <w:rFonts w:hint="eastAsia"/>
                <w:sz w:val="24"/>
                <w:szCs w:val="20"/>
                <w:highlight w:val="none"/>
              </w:rPr>
              <w:t>00</w:t>
            </w:r>
            <w:r>
              <w:rPr>
                <w:sz w:val="24"/>
                <w:szCs w:val="20"/>
                <w:highlight w:val="none"/>
              </w:rPr>
              <w:t>人计，则生活垃圾</w:t>
            </w:r>
            <w:r>
              <w:rPr>
                <w:rFonts w:hint="eastAsia"/>
                <w:sz w:val="24"/>
                <w:szCs w:val="20"/>
                <w:highlight w:val="none"/>
              </w:rPr>
              <w:t>产生</w:t>
            </w:r>
            <w:r>
              <w:rPr>
                <w:sz w:val="24"/>
                <w:szCs w:val="20"/>
                <w:highlight w:val="none"/>
              </w:rPr>
              <w:t>量为</w:t>
            </w:r>
            <w:r>
              <w:rPr>
                <w:rFonts w:hint="eastAsia"/>
                <w:sz w:val="24"/>
                <w:szCs w:val="20"/>
                <w:highlight w:val="none"/>
              </w:rPr>
              <w:t>0.</w:t>
            </w:r>
            <w:r>
              <w:rPr>
                <w:rFonts w:hint="eastAsia"/>
                <w:sz w:val="24"/>
                <w:szCs w:val="20"/>
                <w:highlight w:val="none"/>
                <w:lang w:val="en-US" w:eastAsia="zh-CN"/>
              </w:rPr>
              <w:t>25</w:t>
            </w:r>
            <w:r>
              <w:rPr>
                <w:rFonts w:hint="eastAsia"/>
                <w:sz w:val="24"/>
                <w:szCs w:val="20"/>
                <w:highlight w:val="none"/>
              </w:rPr>
              <w:t>t</w:t>
            </w:r>
            <w:r>
              <w:rPr>
                <w:sz w:val="24"/>
                <w:szCs w:val="20"/>
                <w:highlight w:val="none"/>
              </w:rPr>
              <w:t>/d。</w:t>
            </w:r>
            <w:r>
              <w:rPr>
                <w:sz w:val="24"/>
                <w:szCs w:val="20"/>
              </w:rPr>
              <w:t>生活垃圾由环卫部门统一清运处理。</w:t>
            </w:r>
          </w:p>
        </w:tc>
      </w:tr>
      <w:tr w14:paraId="4038A9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79" w:type="dxa"/>
            <w:tcMar>
              <w:left w:w="28" w:type="dxa"/>
              <w:right w:w="28" w:type="dxa"/>
            </w:tcMar>
            <w:vAlign w:val="center"/>
          </w:tcPr>
          <w:p w14:paraId="72148D73">
            <w:pPr>
              <w:pStyle w:val="20"/>
              <w:adjustRightInd w:val="0"/>
              <w:snapToGrid w:val="0"/>
              <w:spacing w:before="0" w:beforeAutospacing="0" w:after="0" w:afterAutospacing="0"/>
              <w:jc w:val="center"/>
              <w:rPr>
                <w:rFonts w:ascii="Times New Roman" w:hAnsi="Times New Roman"/>
                <w:bCs/>
                <w:color w:val="0070C0"/>
                <w:kern w:val="2"/>
                <w:szCs w:val="24"/>
              </w:rPr>
            </w:pPr>
            <w:r>
              <w:rPr>
                <w:rFonts w:ascii="Times New Roman" w:hAnsi="Times New Roman"/>
                <w:bCs/>
                <w:color w:val="auto"/>
                <w:spacing w:val="10"/>
                <w:kern w:val="2"/>
                <w:szCs w:val="24"/>
              </w:rPr>
              <w:t>运营期生态环境影响分析</w:t>
            </w:r>
          </w:p>
        </w:tc>
        <w:tc>
          <w:tcPr>
            <w:tcW w:w="8221" w:type="dxa"/>
          </w:tcPr>
          <w:p w14:paraId="19836985">
            <w:pPr>
              <w:adjustRightInd w:val="0"/>
              <w:spacing w:line="300" w:lineRule="auto"/>
              <w:rPr>
                <w:b/>
                <w:bCs/>
                <w:color w:val="auto"/>
                <w:sz w:val="24"/>
              </w:rPr>
            </w:pPr>
            <w:r>
              <w:rPr>
                <w:rFonts w:hint="eastAsia"/>
                <w:b/>
                <w:bCs/>
                <w:color w:val="auto"/>
                <w:sz w:val="24"/>
              </w:rPr>
              <w:t>1</w:t>
            </w:r>
            <w:r>
              <w:rPr>
                <w:b/>
                <w:bCs/>
                <w:color w:val="auto"/>
                <w:sz w:val="24"/>
              </w:rPr>
              <w:t>. 运营期生态影响分析</w:t>
            </w:r>
          </w:p>
          <w:p w14:paraId="65529F46">
            <w:pPr>
              <w:widowControl/>
              <w:spacing w:line="300" w:lineRule="auto"/>
              <w:ind w:firstLine="480" w:firstLineChars="200"/>
              <w:rPr>
                <w:color w:val="auto"/>
                <w:spacing w:val="5"/>
                <w:sz w:val="24"/>
              </w:rPr>
            </w:pPr>
            <w:r>
              <w:rPr>
                <w:color w:val="auto"/>
                <w:sz w:val="24"/>
              </w:rPr>
              <w:t xml:space="preserve">(1) </w:t>
            </w:r>
            <w:r>
              <w:rPr>
                <w:rFonts w:hint="eastAsia"/>
                <w:color w:val="auto"/>
                <w:spacing w:val="5"/>
                <w:sz w:val="24"/>
              </w:rPr>
              <w:t>运营期影响主要为交通扬尘轻微沉降、路面径流扩散、车辆尾气沉降，仅对道路两侧近距离范围内植物产生微弱影响，不会抑制植物正常生长，更不会造成植物物种数量下降或物种消失。项目沿线无保护植物物种，运营期不会改变区域植物群落结构，对植物物种多样性无明显不利影响。</w:t>
            </w:r>
          </w:p>
          <w:p w14:paraId="0F963571">
            <w:pPr>
              <w:widowControl/>
              <w:spacing w:line="300" w:lineRule="auto"/>
              <w:ind w:firstLine="480" w:firstLineChars="200"/>
              <w:rPr>
                <w:color w:val="auto"/>
                <w:spacing w:val="5"/>
                <w:sz w:val="24"/>
              </w:rPr>
            </w:pPr>
            <w:bookmarkStart w:id="28" w:name="OLE_LINK13"/>
            <w:r>
              <w:rPr>
                <w:color w:val="auto"/>
                <w:kern w:val="0"/>
                <w:sz w:val="24"/>
              </w:rPr>
              <w:t>(2)</w:t>
            </w:r>
            <w:bookmarkEnd w:id="28"/>
            <w:r>
              <w:rPr>
                <w:rFonts w:hint="eastAsia"/>
                <w:color w:val="auto"/>
                <w:kern w:val="0"/>
                <w:sz w:val="24"/>
                <w:lang w:val="en-US" w:eastAsia="zh-CN"/>
              </w:rPr>
              <w:t xml:space="preserve"> </w:t>
            </w:r>
            <w:r>
              <w:rPr>
                <w:rFonts w:hint="eastAsia"/>
                <w:color w:val="auto"/>
                <w:spacing w:val="5"/>
                <w:sz w:val="24"/>
              </w:rPr>
              <w:t>施工结束后采取植被恢复措施可降低对原有景观资源的影响，</w:t>
            </w:r>
            <w:r>
              <w:rPr>
                <w:color w:val="auto"/>
                <w:spacing w:val="5"/>
                <w:sz w:val="24"/>
              </w:rPr>
              <w:t>运营期对森林景观和草地景观资源影响较小。综上，工程建设对景观资源影响很小</w:t>
            </w:r>
            <w:r>
              <w:rPr>
                <w:rFonts w:hint="eastAsia"/>
                <w:color w:val="auto"/>
                <w:spacing w:val="5"/>
                <w:sz w:val="24"/>
              </w:rPr>
              <w:t>。</w:t>
            </w:r>
          </w:p>
          <w:p w14:paraId="23ABDF2F">
            <w:pPr>
              <w:widowControl/>
              <w:spacing w:line="300" w:lineRule="auto"/>
              <w:ind w:firstLine="480" w:firstLineChars="200"/>
              <w:rPr>
                <w:color w:val="auto"/>
                <w:spacing w:val="5"/>
                <w:sz w:val="24"/>
              </w:rPr>
            </w:pPr>
            <w:r>
              <w:rPr>
                <w:color w:val="auto"/>
                <w:kern w:val="0"/>
                <w:sz w:val="24"/>
              </w:rPr>
              <w:t>(</w:t>
            </w:r>
            <w:r>
              <w:rPr>
                <w:rFonts w:hint="eastAsia"/>
                <w:color w:val="auto"/>
                <w:kern w:val="0"/>
                <w:sz w:val="24"/>
              </w:rPr>
              <w:t>3</w:t>
            </w:r>
            <w:r>
              <w:rPr>
                <w:color w:val="auto"/>
                <w:kern w:val="0"/>
                <w:sz w:val="24"/>
              </w:rPr>
              <w:t>)</w:t>
            </w:r>
            <w:r>
              <w:rPr>
                <w:rFonts w:hint="eastAsia"/>
                <w:color w:val="auto"/>
                <w:kern w:val="0"/>
                <w:sz w:val="24"/>
              </w:rPr>
              <w:t xml:space="preserve"> </w:t>
            </w:r>
            <w:r>
              <w:rPr>
                <w:rFonts w:hint="eastAsia"/>
                <w:color w:val="auto"/>
                <w:spacing w:val="5"/>
                <w:sz w:val="24"/>
              </w:rPr>
              <w:t>评价范围内无重点保护野生动物及其核心栖息地，因此运营期不会对区域野生动物生存、繁衍及物种多样性造成明显不利影响。</w:t>
            </w:r>
          </w:p>
          <w:p w14:paraId="4D1D6212">
            <w:pPr>
              <w:pStyle w:val="62"/>
              <w:rPr>
                <w:rFonts w:cs="Times New Roman"/>
                <w:color w:val="auto"/>
                <w:szCs w:val="24"/>
              </w:rPr>
            </w:pPr>
            <w:r>
              <w:rPr>
                <w:rFonts w:hint="eastAsia"/>
                <w:color w:val="auto"/>
                <w:spacing w:val="5"/>
                <w:sz w:val="24"/>
              </w:rPr>
              <w:t xml:space="preserve">(4) </w:t>
            </w:r>
            <w:r>
              <w:rPr>
                <w:color w:val="auto"/>
              </w:rPr>
              <w:t>拟建</w:t>
            </w:r>
            <w:r>
              <w:rPr>
                <w:rFonts w:hint="eastAsia"/>
                <w:color w:val="auto"/>
              </w:rPr>
              <w:t>公路占用</w:t>
            </w:r>
            <w:r>
              <w:rPr>
                <w:rFonts w:hint="eastAsia"/>
                <w:color w:val="auto"/>
                <w:lang w:val="en-US" w:eastAsia="zh-CN"/>
              </w:rPr>
              <w:t>的</w:t>
            </w:r>
            <w:r>
              <w:rPr>
                <w:color w:val="auto"/>
              </w:rPr>
              <w:t>耕地</w:t>
            </w:r>
            <w:r>
              <w:rPr>
                <w:rFonts w:hint="eastAsia"/>
                <w:color w:val="auto"/>
                <w:lang w:val="en-US" w:eastAsia="zh-CN"/>
              </w:rPr>
              <w:t>面积</w:t>
            </w:r>
            <w:r>
              <w:rPr>
                <w:color w:val="auto"/>
                <w:kern w:val="0"/>
                <w:sz w:val="24"/>
              </w:rPr>
              <w:t>占</w:t>
            </w:r>
            <w:r>
              <w:rPr>
                <w:rFonts w:hint="eastAsia"/>
                <w:color w:val="auto"/>
                <w:kern w:val="0"/>
                <w:sz w:val="24"/>
              </w:rPr>
              <w:t>评价范围内耕地</w:t>
            </w:r>
            <w:r>
              <w:rPr>
                <w:color w:val="auto"/>
                <w:kern w:val="0"/>
                <w:sz w:val="24"/>
              </w:rPr>
              <w:t>总面积比重较小，考虑到</w:t>
            </w:r>
            <w:r>
              <w:rPr>
                <w:rFonts w:hint="eastAsia"/>
                <w:color w:val="auto"/>
                <w:kern w:val="0"/>
                <w:sz w:val="24"/>
                <w:lang w:eastAsia="zh-CN"/>
              </w:rPr>
              <w:t>耕地占补平衡</w:t>
            </w:r>
            <w:r>
              <w:rPr>
                <w:color w:val="auto"/>
                <w:kern w:val="0"/>
                <w:sz w:val="24"/>
              </w:rPr>
              <w:t>调整等，</w:t>
            </w:r>
            <w:r>
              <w:rPr>
                <w:rFonts w:hint="eastAsia"/>
                <w:color w:val="auto"/>
                <w:kern w:val="0"/>
                <w:sz w:val="24"/>
              </w:rPr>
              <w:t>运营期拟建项目</w:t>
            </w:r>
            <w:r>
              <w:rPr>
                <w:rFonts w:hint="eastAsia"/>
                <w:color w:val="auto"/>
                <w:spacing w:val="5"/>
                <w:sz w:val="24"/>
              </w:rPr>
              <w:t>对沿线</w:t>
            </w:r>
            <w:bookmarkStart w:id="29" w:name="OLE_LINK14"/>
            <w:r>
              <w:rPr>
                <w:rFonts w:hint="eastAsia"/>
                <w:color w:val="auto"/>
                <w:spacing w:val="5"/>
                <w:sz w:val="24"/>
              </w:rPr>
              <w:t>耕地及农业生产</w:t>
            </w:r>
            <w:bookmarkEnd w:id="29"/>
            <w:r>
              <w:rPr>
                <w:rFonts w:hint="eastAsia"/>
                <w:color w:val="auto"/>
                <w:spacing w:val="5"/>
                <w:sz w:val="24"/>
              </w:rPr>
              <w:t>影响极小</w:t>
            </w:r>
            <w:r>
              <w:rPr>
                <w:rFonts w:cs="Times New Roman"/>
                <w:color w:val="auto"/>
                <w:szCs w:val="24"/>
              </w:rPr>
              <w:t>。</w:t>
            </w:r>
          </w:p>
          <w:p w14:paraId="16369254">
            <w:pPr>
              <w:pStyle w:val="62"/>
              <w:rPr>
                <w:rFonts w:hint="eastAsia" w:eastAsia="宋体" w:cs="Times New Roman"/>
                <w:color w:val="auto"/>
                <w:szCs w:val="24"/>
                <w:lang w:eastAsia="zh-CN"/>
              </w:rPr>
            </w:pPr>
            <w:r>
              <w:rPr>
                <w:rFonts w:hint="eastAsia"/>
              </w:rPr>
              <w:t>营运期生态影响分析具体见生态专项评价</w:t>
            </w:r>
            <w:r>
              <w:rPr>
                <w:rFonts w:hint="eastAsia"/>
                <w:lang w:eastAsia="zh-CN"/>
              </w:rPr>
              <w:t>。</w:t>
            </w:r>
          </w:p>
          <w:p w14:paraId="7B48210E">
            <w:pPr>
              <w:adjustRightInd w:val="0"/>
              <w:spacing w:before="120" w:beforeLines="50" w:line="300" w:lineRule="auto"/>
              <w:rPr>
                <w:b/>
                <w:bCs/>
                <w:color w:val="auto"/>
                <w:sz w:val="24"/>
              </w:rPr>
            </w:pPr>
            <w:r>
              <w:rPr>
                <w:rFonts w:hint="eastAsia"/>
                <w:b/>
                <w:bCs/>
                <w:color w:val="auto"/>
                <w:sz w:val="24"/>
              </w:rPr>
              <w:t>2</w:t>
            </w:r>
            <w:r>
              <w:rPr>
                <w:b/>
                <w:bCs/>
                <w:color w:val="auto"/>
                <w:sz w:val="24"/>
              </w:rPr>
              <w:t>. 运营期声环境影响分析</w:t>
            </w:r>
          </w:p>
          <w:p w14:paraId="5E6D7322">
            <w:pPr>
              <w:spacing w:line="300" w:lineRule="auto"/>
              <w:ind w:firstLine="480" w:firstLineChars="200"/>
              <w:rPr>
                <w:color w:val="auto"/>
                <w:sz w:val="24"/>
              </w:rPr>
            </w:pPr>
            <w:r>
              <w:rPr>
                <w:rFonts w:hint="eastAsia"/>
                <w:color w:val="auto"/>
                <w:sz w:val="24"/>
              </w:rPr>
              <w:t>根据</w:t>
            </w:r>
            <w:r>
              <w:rPr>
                <w:rFonts w:hint="eastAsia"/>
                <w:color w:val="auto"/>
                <w:sz w:val="24"/>
                <w:szCs w:val="20"/>
              </w:rPr>
              <w:t>《G219八盘水磨至伽师沿边通道工程声环境专项评价》</w:t>
            </w:r>
            <w:r>
              <w:rPr>
                <w:rFonts w:hint="eastAsia"/>
                <w:color w:val="auto"/>
                <w:sz w:val="24"/>
              </w:rPr>
              <w:t>，</w:t>
            </w:r>
            <w:r>
              <w:rPr>
                <w:color w:val="auto"/>
                <w:sz w:val="24"/>
              </w:rPr>
              <w:t>拟建公路</w:t>
            </w:r>
            <w:r>
              <w:rPr>
                <w:rFonts w:hint="eastAsia"/>
                <w:color w:val="auto"/>
                <w:sz w:val="24"/>
              </w:rPr>
              <w:t>营运</w:t>
            </w:r>
            <w:r>
              <w:rPr>
                <w:rFonts w:hint="eastAsia"/>
                <w:color w:val="auto"/>
                <w:sz w:val="24"/>
                <w:lang w:eastAsia="zh-CN"/>
              </w:rPr>
              <w:t>期</w:t>
            </w:r>
            <w:r>
              <w:rPr>
                <w:color w:val="auto"/>
                <w:sz w:val="24"/>
              </w:rPr>
              <w:t>主要</w:t>
            </w:r>
            <w:r>
              <w:rPr>
                <w:rFonts w:hint="eastAsia"/>
                <w:color w:val="auto"/>
                <w:sz w:val="24"/>
              </w:rPr>
              <w:t>声</w:t>
            </w:r>
            <w:r>
              <w:rPr>
                <w:color w:val="auto"/>
                <w:sz w:val="24"/>
              </w:rPr>
              <w:t>环境影响</w:t>
            </w:r>
            <w:r>
              <w:rPr>
                <w:rFonts w:hint="eastAsia"/>
                <w:color w:val="auto"/>
                <w:sz w:val="24"/>
              </w:rPr>
              <w:t>结论概述</w:t>
            </w:r>
            <w:r>
              <w:rPr>
                <w:color w:val="auto"/>
                <w:sz w:val="24"/>
              </w:rPr>
              <w:t>如下</w:t>
            </w:r>
            <w:r>
              <w:rPr>
                <w:rFonts w:hint="eastAsia"/>
                <w:color w:val="auto"/>
                <w:sz w:val="24"/>
              </w:rPr>
              <w:t>：</w:t>
            </w:r>
          </w:p>
          <w:p w14:paraId="5D702AA3">
            <w:pPr>
              <w:spacing w:line="300" w:lineRule="auto"/>
              <w:ind w:firstLine="480" w:firstLineChars="200"/>
              <w:rPr>
                <w:rFonts w:hint="eastAsia"/>
                <w:color w:val="auto"/>
                <w:sz w:val="24"/>
              </w:rPr>
            </w:pPr>
            <w:r>
              <w:rPr>
                <w:bCs/>
                <w:color w:val="auto"/>
                <w:sz w:val="24"/>
              </w:rPr>
              <w:t>拟建</w:t>
            </w:r>
            <w:r>
              <w:rPr>
                <w:rFonts w:hint="eastAsia"/>
                <w:bCs/>
                <w:color w:val="auto"/>
                <w:sz w:val="24"/>
              </w:rPr>
              <w:t>公路</w:t>
            </w:r>
            <w:r>
              <w:rPr>
                <w:bCs/>
                <w:color w:val="auto"/>
                <w:sz w:val="24"/>
              </w:rPr>
              <w:t>沿线声环境敏感点营运期环境噪声预测结果</w:t>
            </w:r>
            <w:r>
              <w:rPr>
                <w:rFonts w:hint="eastAsia"/>
                <w:bCs/>
                <w:color w:val="auto"/>
                <w:sz w:val="24"/>
              </w:rPr>
              <w:t>表明：</w:t>
            </w:r>
            <w:r>
              <w:rPr>
                <w:bCs/>
                <w:color w:val="auto"/>
                <w:sz w:val="24"/>
              </w:rPr>
              <w:t>拟建</w:t>
            </w:r>
            <w:r>
              <w:rPr>
                <w:rFonts w:hint="eastAsia"/>
                <w:bCs/>
                <w:color w:val="auto"/>
                <w:sz w:val="24"/>
              </w:rPr>
              <w:t>公路</w:t>
            </w:r>
            <w:r>
              <w:rPr>
                <w:bCs/>
                <w:color w:val="auto"/>
                <w:sz w:val="24"/>
              </w:rPr>
              <w:t>沿线</w:t>
            </w:r>
            <w:r>
              <w:rPr>
                <w:rFonts w:hint="eastAsia"/>
                <w:color w:val="auto"/>
                <w:sz w:val="24"/>
              </w:rPr>
              <w:t>22</w:t>
            </w:r>
            <w:r>
              <w:rPr>
                <w:color w:val="auto"/>
                <w:sz w:val="24"/>
              </w:rPr>
              <w:t>处村庄</w:t>
            </w:r>
            <w:r>
              <w:rPr>
                <w:rFonts w:hint="eastAsia"/>
                <w:color w:val="auto"/>
                <w:sz w:val="24"/>
              </w:rPr>
              <w:t>居民点</w:t>
            </w:r>
            <w:r>
              <w:rPr>
                <w:color w:val="auto"/>
                <w:sz w:val="24"/>
              </w:rPr>
              <w:t>中，运营近、中、远期昼间</w:t>
            </w:r>
            <w:r>
              <w:rPr>
                <w:rFonts w:hint="eastAsia"/>
                <w:color w:val="auto"/>
                <w:sz w:val="24"/>
              </w:rPr>
              <w:t>分别</w:t>
            </w:r>
            <w:r>
              <w:rPr>
                <w:color w:val="auto"/>
                <w:sz w:val="24"/>
              </w:rPr>
              <w:t>有</w:t>
            </w:r>
            <w:r>
              <w:rPr>
                <w:rFonts w:hint="eastAsia"/>
                <w:color w:val="auto"/>
                <w:sz w:val="24"/>
              </w:rPr>
              <w:t>1</w:t>
            </w:r>
            <w:r>
              <w:rPr>
                <w:color w:val="auto"/>
                <w:sz w:val="24"/>
              </w:rPr>
              <w:t>处、</w:t>
            </w:r>
            <w:r>
              <w:rPr>
                <w:rFonts w:hint="eastAsia"/>
                <w:color w:val="auto"/>
                <w:sz w:val="24"/>
              </w:rPr>
              <w:t>3处和3处</w:t>
            </w:r>
            <w:r>
              <w:rPr>
                <w:color w:val="auto"/>
                <w:sz w:val="24"/>
              </w:rPr>
              <w:t>超标，超标量分别为：</w:t>
            </w:r>
            <w:r>
              <w:rPr>
                <w:rFonts w:hint="eastAsia"/>
                <w:color w:val="auto"/>
                <w:sz w:val="24"/>
              </w:rPr>
              <w:t>1.2</w:t>
            </w:r>
            <w:r>
              <w:rPr>
                <w:color w:val="auto"/>
                <w:sz w:val="24"/>
              </w:rPr>
              <w:t>dB、</w:t>
            </w:r>
            <w:r>
              <w:rPr>
                <w:rFonts w:hint="eastAsia"/>
                <w:color w:val="auto"/>
                <w:sz w:val="24"/>
              </w:rPr>
              <w:t>0.3</w:t>
            </w:r>
            <w:r>
              <w:rPr>
                <w:color w:val="auto"/>
                <w:sz w:val="24"/>
              </w:rPr>
              <w:t>~</w:t>
            </w:r>
            <w:r>
              <w:rPr>
                <w:rFonts w:hint="eastAsia"/>
                <w:color w:val="auto"/>
                <w:sz w:val="24"/>
              </w:rPr>
              <w:t>2.0</w:t>
            </w:r>
            <w:r>
              <w:rPr>
                <w:color w:val="auto"/>
                <w:sz w:val="24"/>
              </w:rPr>
              <w:t>dB、</w:t>
            </w:r>
            <w:r>
              <w:rPr>
                <w:rFonts w:hint="eastAsia"/>
                <w:color w:val="auto"/>
                <w:sz w:val="24"/>
              </w:rPr>
              <w:t>0.9</w:t>
            </w:r>
            <w:r>
              <w:rPr>
                <w:color w:val="auto"/>
                <w:sz w:val="24"/>
              </w:rPr>
              <w:t>~</w:t>
            </w:r>
            <w:r>
              <w:rPr>
                <w:rFonts w:hint="eastAsia"/>
                <w:color w:val="auto"/>
                <w:sz w:val="24"/>
              </w:rPr>
              <w:t>1.2</w:t>
            </w:r>
            <w:r>
              <w:rPr>
                <w:color w:val="auto"/>
                <w:sz w:val="24"/>
              </w:rPr>
              <w:t>dB；运营近、中、远期夜间</w:t>
            </w:r>
            <w:r>
              <w:rPr>
                <w:rFonts w:hint="eastAsia"/>
                <w:color w:val="auto"/>
                <w:sz w:val="24"/>
              </w:rPr>
              <w:t>22</w:t>
            </w:r>
            <w:r>
              <w:rPr>
                <w:color w:val="auto"/>
                <w:sz w:val="24"/>
              </w:rPr>
              <w:t>处均超标，超标量分别为：</w:t>
            </w:r>
            <w:r>
              <w:rPr>
                <w:rFonts w:hint="eastAsia"/>
                <w:color w:val="auto"/>
                <w:sz w:val="24"/>
              </w:rPr>
              <w:t>1.3</w:t>
            </w:r>
            <w:r>
              <w:rPr>
                <w:color w:val="auto"/>
                <w:sz w:val="24"/>
              </w:rPr>
              <w:t>~</w:t>
            </w:r>
            <w:r>
              <w:rPr>
                <w:rFonts w:hint="eastAsia"/>
                <w:color w:val="auto"/>
                <w:sz w:val="24"/>
              </w:rPr>
              <w:t>8.7</w:t>
            </w:r>
            <w:r>
              <w:rPr>
                <w:color w:val="auto"/>
                <w:sz w:val="24"/>
              </w:rPr>
              <w:t>dB、</w:t>
            </w:r>
            <w:r>
              <w:rPr>
                <w:rFonts w:hint="eastAsia"/>
                <w:color w:val="auto"/>
                <w:sz w:val="24"/>
              </w:rPr>
              <w:t>2.1</w:t>
            </w:r>
            <w:r>
              <w:rPr>
                <w:color w:val="auto"/>
                <w:sz w:val="24"/>
              </w:rPr>
              <w:t>~</w:t>
            </w:r>
            <w:r>
              <w:rPr>
                <w:rFonts w:hint="eastAsia"/>
                <w:color w:val="auto"/>
                <w:sz w:val="24"/>
              </w:rPr>
              <w:t>9.5</w:t>
            </w:r>
            <w:r>
              <w:rPr>
                <w:color w:val="auto"/>
                <w:sz w:val="24"/>
              </w:rPr>
              <w:t>dB、</w:t>
            </w:r>
            <w:r>
              <w:rPr>
                <w:rFonts w:hint="eastAsia"/>
                <w:color w:val="auto"/>
                <w:sz w:val="24"/>
              </w:rPr>
              <w:t>2.8</w:t>
            </w:r>
            <w:r>
              <w:rPr>
                <w:color w:val="auto"/>
                <w:sz w:val="24"/>
              </w:rPr>
              <w:t>~</w:t>
            </w:r>
            <w:r>
              <w:rPr>
                <w:rFonts w:hint="eastAsia"/>
                <w:color w:val="auto"/>
                <w:sz w:val="24"/>
              </w:rPr>
              <w:t>10.2</w:t>
            </w:r>
            <w:r>
              <w:rPr>
                <w:color w:val="auto"/>
                <w:sz w:val="24"/>
              </w:rPr>
              <w:t>dB。沿线</w:t>
            </w:r>
            <w:r>
              <w:rPr>
                <w:rFonts w:hint="eastAsia"/>
                <w:color w:val="auto"/>
                <w:sz w:val="24"/>
              </w:rPr>
              <w:t>6</w:t>
            </w:r>
            <w:r>
              <w:rPr>
                <w:rFonts w:hint="eastAsia"/>
                <w:color w:val="auto"/>
                <w:sz w:val="24"/>
                <w:lang w:eastAsia="zh-CN"/>
              </w:rPr>
              <w:t>所</w:t>
            </w:r>
            <w:r>
              <w:rPr>
                <w:rFonts w:hint="eastAsia"/>
                <w:color w:val="auto"/>
                <w:sz w:val="24"/>
              </w:rPr>
              <w:t>学校</w:t>
            </w:r>
            <w:r>
              <w:rPr>
                <w:color w:val="auto"/>
                <w:sz w:val="24"/>
              </w:rPr>
              <w:t>，</w:t>
            </w:r>
            <w:r>
              <w:rPr>
                <w:rFonts w:hint="eastAsia"/>
                <w:color w:val="auto"/>
                <w:sz w:val="24"/>
              </w:rPr>
              <w:t>英兰干村幼儿园和夏合亚迪村小学等2处</w:t>
            </w:r>
            <w:r>
              <w:rPr>
                <w:color w:val="auto"/>
                <w:sz w:val="24"/>
              </w:rPr>
              <w:t>昼间营运近、中、远期噪声预测值均达标，学校夜间无住宿，不评价</w:t>
            </w:r>
            <w:r>
              <w:rPr>
                <w:rFonts w:hint="eastAsia"/>
                <w:color w:val="auto"/>
                <w:sz w:val="24"/>
              </w:rPr>
              <w:t>；格达良乡中心小学、阿亚格勒格勒德玛小学和伽师县和夏阿瓦提镇夏合亚迪村幼儿园等3</w:t>
            </w:r>
            <w:r>
              <w:rPr>
                <w:color w:val="auto"/>
                <w:sz w:val="24"/>
              </w:rPr>
              <w:t>处昼间营运近、中、远期噪声预测值均</w:t>
            </w:r>
            <w:r>
              <w:rPr>
                <w:rFonts w:hint="eastAsia"/>
                <w:color w:val="auto"/>
                <w:sz w:val="24"/>
              </w:rPr>
              <w:t>超标</w:t>
            </w:r>
            <w:r>
              <w:rPr>
                <w:color w:val="auto"/>
                <w:sz w:val="24"/>
              </w:rPr>
              <w:t>，超标量分别为：</w:t>
            </w:r>
            <w:r>
              <w:rPr>
                <w:rFonts w:hint="eastAsia"/>
                <w:color w:val="auto"/>
                <w:sz w:val="24"/>
              </w:rPr>
              <w:t>1.4</w:t>
            </w:r>
            <w:r>
              <w:rPr>
                <w:color w:val="auto"/>
                <w:sz w:val="24"/>
              </w:rPr>
              <w:t>～</w:t>
            </w:r>
            <w:r>
              <w:rPr>
                <w:rFonts w:hint="eastAsia"/>
                <w:color w:val="auto"/>
                <w:sz w:val="24"/>
              </w:rPr>
              <w:t>6.0</w:t>
            </w:r>
            <w:r>
              <w:rPr>
                <w:color w:val="auto"/>
                <w:sz w:val="24"/>
              </w:rPr>
              <w:t>dB</w:t>
            </w:r>
            <w:r>
              <w:rPr>
                <w:rFonts w:hint="eastAsia"/>
                <w:color w:val="auto"/>
                <w:sz w:val="24"/>
              </w:rPr>
              <w:t>、2.2</w:t>
            </w:r>
            <w:r>
              <w:rPr>
                <w:color w:val="auto"/>
                <w:sz w:val="24"/>
              </w:rPr>
              <w:t>～</w:t>
            </w:r>
            <w:r>
              <w:rPr>
                <w:rFonts w:hint="eastAsia"/>
                <w:color w:val="auto"/>
                <w:sz w:val="24"/>
              </w:rPr>
              <w:t>6.8</w:t>
            </w:r>
            <w:r>
              <w:rPr>
                <w:color w:val="auto"/>
                <w:sz w:val="24"/>
              </w:rPr>
              <w:t>dB</w:t>
            </w:r>
            <w:r>
              <w:rPr>
                <w:rFonts w:hint="eastAsia"/>
                <w:color w:val="auto"/>
                <w:sz w:val="24"/>
              </w:rPr>
              <w:t>和1.1</w:t>
            </w:r>
            <w:r>
              <w:rPr>
                <w:color w:val="auto"/>
                <w:sz w:val="24"/>
              </w:rPr>
              <w:t>～</w:t>
            </w:r>
            <w:r>
              <w:rPr>
                <w:rFonts w:hint="eastAsia"/>
                <w:color w:val="auto"/>
                <w:sz w:val="24"/>
              </w:rPr>
              <w:t>5.7</w:t>
            </w:r>
            <w:r>
              <w:rPr>
                <w:color w:val="auto"/>
                <w:sz w:val="24"/>
              </w:rPr>
              <w:t>dB</w:t>
            </w:r>
            <w:r>
              <w:rPr>
                <w:rFonts w:hint="eastAsia"/>
                <w:color w:val="auto"/>
                <w:sz w:val="24"/>
              </w:rPr>
              <w:t>，</w:t>
            </w:r>
            <w:r>
              <w:rPr>
                <w:color w:val="auto"/>
                <w:sz w:val="24"/>
              </w:rPr>
              <w:t>学校夜间无住宿，不评价；</w:t>
            </w:r>
            <w:r>
              <w:rPr>
                <w:rFonts w:hint="eastAsia"/>
                <w:color w:val="auto"/>
                <w:sz w:val="24"/>
              </w:rPr>
              <w:t>伽师县中等职业技术学校</w:t>
            </w:r>
            <w:r>
              <w:rPr>
                <w:color w:val="auto"/>
                <w:sz w:val="24"/>
              </w:rPr>
              <w:t>营运近、中、远期昼间和夜间均</w:t>
            </w:r>
            <w:r>
              <w:rPr>
                <w:rFonts w:hint="eastAsia"/>
                <w:color w:val="auto"/>
                <w:sz w:val="24"/>
              </w:rPr>
              <w:t>超标，昼间</w:t>
            </w:r>
            <w:r>
              <w:rPr>
                <w:color w:val="auto"/>
                <w:sz w:val="24"/>
              </w:rPr>
              <w:t>超标量分别为：</w:t>
            </w:r>
            <w:r>
              <w:rPr>
                <w:rFonts w:hint="eastAsia"/>
                <w:color w:val="auto"/>
                <w:sz w:val="24"/>
              </w:rPr>
              <w:t>2.7</w:t>
            </w:r>
            <w:r>
              <w:rPr>
                <w:color w:val="auto"/>
                <w:sz w:val="24"/>
              </w:rPr>
              <w:t>dB、</w:t>
            </w:r>
            <w:r>
              <w:rPr>
                <w:rFonts w:hint="eastAsia"/>
                <w:color w:val="auto"/>
                <w:sz w:val="24"/>
              </w:rPr>
              <w:t>3.5</w:t>
            </w:r>
            <w:r>
              <w:rPr>
                <w:color w:val="auto"/>
                <w:sz w:val="24"/>
              </w:rPr>
              <w:t>dB、</w:t>
            </w:r>
            <w:r>
              <w:rPr>
                <w:rFonts w:hint="eastAsia"/>
                <w:color w:val="auto"/>
                <w:sz w:val="24"/>
              </w:rPr>
              <w:t>4.2</w:t>
            </w:r>
            <w:r>
              <w:rPr>
                <w:color w:val="auto"/>
                <w:sz w:val="24"/>
              </w:rPr>
              <w:t>dB</w:t>
            </w:r>
            <w:r>
              <w:rPr>
                <w:rFonts w:hint="eastAsia"/>
                <w:color w:val="auto"/>
                <w:sz w:val="24"/>
              </w:rPr>
              <w:t>，夜间</w:t>
            </w:r>
            <w:r>
              <w:rPr>
                <w:color w:val="auto"/>
                <w:sz w:val="24"/>
              </w:rPr>
              <w:t>超标量分别为：</w:t>
            </w:r>
            <w:r>
              <w:rPr>
                <w:rFonts w:hint="eastAsia"/>
                <w:color w:val="auto"/>
                <w:sz w:val="24"/>
              </w:rPr>
              <w:t>3.4</w:t>
            </w:r>
            <w:r>
              <w:rPr>
                <w:color w:val="auto"/>
                <w:sz w:val="24"/>
              </w:rPr>
              <w:t>dB、</w:t>
            </w:r>
            <w:r>
              <w:rPr>
                <w:rFonts w:hint="eastAsia"/>
                <w:color w:val="auto"/>
                <w:sz w:val="24"/>
              </w:rPr>
              <w:t>4.2</w:t>
            </w:r>
            <w:r>
              <w:rPr>
                <w:color w:val="auto"/>
                <w:sz w:val="24"/>
              </w:rPr>
              <w:t>dB、</w:t>
            </w:r>
            <w:r>
              <w:rPr>
                <w:rFonts w:hint="eastAsia"/>
                <w:color w:val="auto"/>
                <w:sz w:val="24"/>
              </w:rPr>
              <w:t>4.9</w:t>
            </w:r>
            <w:r>
              <w:rPr>
                <w:color w:val="auto"/>
                <w:sz w:val="24"/>
              </w:rPr>
              <w:t>dB。</w:t>
            </w:r>
            <w:r>
              <w:rPr>
                <w:rFonts w:hint="eastAsia"/>
                <w:color w:val="auto"/>
                <w:sz w:val="24"/>
              </w:rPr>
              <w:t>格达良乡卫生院</w:t>
            </w:r>
            <w:r>
              <w:rPr>
                <w:color w:val="auto"/>
                <w:sz w:val="24"/>
              </w:rPr>
              <w:t>营运近、中、远期昼</w:t>
            </w:r>
            <w:r>
              <w:rPr>
                <w:rFonts w:hint="eastAsia"/>
                <w:color w:val="auto"/>
                <w:sz w:val="24"/>
              </w:rPr>
              <w:t>间</w:t>
            </w:r>
            <w:r>
              <w:rPr>
                <w:color w:val="auto"/>
                <w:sz w:val="24"/>
              </w:rPr>
              <w:t>噪声预测值均达标，夜间噪声预测值均</w:t>
            </w:r>
            <w:r>
              <w:rPr>
                <w:rFonts w:hint="eastAsia"/>
                <w:color w:val="auto"/>
                <w:sz w:val="24"/>
              </w:rPr>
              <w:t>超标</w:t>
            </w:r>
            <w:r>
              <w:rPr>
                <w:color w:val="auto"/>
                <w:sz w:val="24"/>
              </w:rPr>
              <w:t>，超标量分别为：</w:t>
            </w:r>
            <w:r>
              <w:rPr>
                <w:rFonts w:hint="eastAsia"/>
                <w:color w:val="auto"/>
                <w:sz w:val="24"/>
              </w:rPr>
              <w:t>5.3</w:t>
            </w:r>
            <w:r>
              <w:rPr>
                <w:color w:val="auto"/>
                <w:sz w:val="24"/>
              </w:rPr>
              <w:t>dB</w:t>
            </w:r>
            <w:r>
              <w:rPr>
                <w:rFonts w:hint="eastAsia"/>
                <w:color w:val="auto"/>
                <w:sz w:val="24"/>
              </w:rPr>
              <w:t>、6.1</w:t>
            </w:r>
            <w:r>
              <w:rPr>
                <w:color w:val="auto"/>
                <w:sz w:val="24"/>
              </w:rPr>
              <w:t>dB</w:t>
            </w:r>
            <w:r>
              <w:rPr>
                <w:rFonts w:hint="eastAsia"/>
                <w:color w:val="auto"/>
                <w:sz w:val="24"/>
              </w:rPr>
              <w:t>和6.8</w:t>
            </w:r>
            <w:r>
              <w:rPr>
                <w:color w:val="auto"/>
                <w:sz w:val="24"/>
              </w:rPr>
              <w:t>dB。</w:t>
            </w:r>
          </w:p>
          <w:p w14:paraId="605D64F8">
            <w:pPr>
              <w:pStyle w:val="62"/>
              <w:spacing w:after="120" w:afterLines="50"/>
              <w:rPr>
                <w:rFonts w:cs="Times New Roman"/>
                <w:color w:val="auto"/>
                <w:szCs w:val="24"/>
              </w:rPr>
            </w:pPr>
            <w:r>
              <w:rPr>
                <w:rFonts w:cs="Times New Roman"/>
                <w:color w:val="auto"/>
                <w:szCs w:val="24"/>
              </w:rPr>
              <w:t>营运期声环境影响分析具体见声环境专项评价。</w:t>
            </w:r>
          </w:p>
          <w:p w14:paraId="79F75994">
            <w:pPr>
              <w:adjustRightInd w:val="0"/>
              <w:spacing w:line="300" w:lineRule="auto"/>
              <w:rPr>
                <w:b/>
                <w:bCs/>
                <w:sz w:val="24"/>
              </w:rPr>
            </w:pPr>
            <w:r>
              <w:rPr>
                <w:rFonts w:hint="eastAsia"/>
                <w:b/>
                <w:bCs/>
                <w:sz w:val="24"/>
              </w:rPr>
              <w:t>3</w:t>
            </w:r>
            <w:r>
              <w:rPr>
                <w:b/>
                <w:bCs/>
                <w:sz w:val="24"/>
              </w:rPr>
              <w:t>. 运营期大气环境影响分析</w:t>
            </w:r>
          </w:p>
          <w:p w14:paraId="21347AA7">
            <w:pPr>
              <w:pStyle w:val="58"/>
              <w:ind w:firstLine="480"/>
            </w:pPr>
            <w:r>
              <w:t xml:space="preserve">(1) </w:t>
            </w:r>
            <w:r>
              <w:rPr>
                <w:rFonts w:hAnsi="宋体"/>
              </w:rPr>
              <w:t>一般路段敏感点环境空气影响评价</w:t>
            </w:r>
          </w:p>
          <w:p w14:paraId="7552241E">
            <w:pPr>
              <w:pStyle w:val="58"/>
              <w:ind w:firstLine="472"/>
              <w:rPr>
                <w:spacing w:val="-2"/>
              </w:rPr>
            </w:pPr>
            <w:r>
              <w:rPr>
                <w:rFonts w:hAnsi="宋体"/>
                <w:spacing w:val="-2"/>
              </w:rPr>
              <w:t>一般来讲，敏感点受汽车尾气中的</w:t>
            </w:r>
            <w:r>
              <w:rPr>
                <w:spacing w:val="-2"/>
              </w:rPr>
              <w:t>NO</w:t>
            </w:r>
            <w:r>
              <w:rPr>
                <w:spacing w:val="-2"/>
                <w:vertAlign w:val="subscript"/>
              </w:rPr>
              <w:t>2</w:t>
            </w:r>
            <w:r>
              <w:rPr>
                <w:rFonts w:hAnsi="宋体"/>
                <w:spacing w:val="-2"/>
              </w:rPr>
              <w:t>污染的程度与汽车尾气排放量、气象条件有关，同时还与敏感点同</w:t>
            </w:r>
            <w:r>
              <w:rPr>
                <w:rFonts w:hint="eastAsia" w:hAnsi="宋体"/>
                <w:spacing w:val="-2"/>
                <w:lang w:val="en-US" w:eastAsia="zh-CN"/>
              </w:rPr>
              <w:t>公</w:t>
            </w:r>
            <w:r>
              <w:rPr>
                <w:rFonts w:hAnsi="宋体"/>
                <w:spacing w:val="-2"/>
              </w:rPr>
              <w:t>路</w:t>
            </w:r>
            <w:r>
              <w:rPr>
                <w:rFonts w:hint="eastAsia" w:hAnsi="宋体"/>
                <w:spacing w:val="-2"/>
                <w:lang w:val="en-US" w:eastAsia="zh-CN"/>
              </w:rPr>
              <w:t>的</w:t>
            </w:r>
            <w:r>
              <w:rPr>
                <w:rFonts w:hAnsi="宋体"/>
                <w:spacing w:val="-2"/>
              </w:rPr>
              <w:t>水平距离有较大关系，即交通量越大，污染物排放量越大；相对距路越近，污染物浓度越高；风速越小，越不利于扩散，污染物浓度越高；敏感建筑处在道路下风向时，其影响程度越大。</w:t>
            </w:r>
          </w:p>
          <w:p w14:paraId="6B408FBA">
            <w:pPr>
              <w:pStyle w:val="58"/>
              <w:ind w:firstLine="480"/>
            </w:pPr>
            <w:r>
              <w:rPr>
                <w:rFonts w:hAnsi="宋体"/>
              </w:rPr>
              <w:t>公路为开放式的广域扩散空间，且单辆汽车为移动式污染源，整个公路可看作很长路段的线状污染源，汽车尾气相对于长路段来说，扩散至公路两侧一定距离的敏感点处的</w:t>
            </w:r>
            <w:r>
              <w:t>NO</w:t>
            </w:r>
            <w:r>
              <w:rPr>
                <w:vertAlign w:val="subscript"/>
              </w:rPr>
              <w:t>2</w:t>
            </w:r>
            <w:r>
              <w:rPr>
                <w:rFonts w:hAnsi="宋体"/>
              </w:rPr>
              <w:t>浓度较低，一般在公路两侧</w:t>
            </w:r>
            <w:r>
              <w:t>20m</w:t>
            </w:r>
            <w:r>
              <w:rPr>
                <w:rFonts w:hAnsi="宋体"/>
              </w:rPr>
              <w:t>处均可达到</w:t>
            </w:r>
            <w:r>
              <w:rPr>
                <w:rFonts w:hint="eastAsia" w:hAnsi="宋体"/>
              </w:rPr>
              <w:t>《环境空气质量标准》（GB3095-2026）（</w:t>
            </w:r>
            <w:r>
              <w:rPr>
                <w:rFonts w:hint="eastAsia" w:hAnsi="宋体"/>
                <w:lang w:eastAsia="zh-CN"/>
              </w:rPr>
              <w:t>过渡阶段</w:t>
            </w:r>
            <w:r>
              <w:rPr>
                <w:rFonts w:hint="eastAsia" w:hAnsi="宋体"/>
              </w:rPr>
              <w:t>浓度限值）</w:t>
            </w:r>
            <w:r>
              <w:rPr>
                <w:rFonts w:hAnsi="宋体"/>
              </w:rPr>
              <w:t>一级标准浓度，汽车尾气对路侧敏感点的影响很小。拟建公路评价范围内各敏感点一般位于路侧</w:t>
            </w:r>
            <w:r>
              <w:t>20m</w:t>
            </w:r>
            <w:r>
              <w:rPr>
                <w:rFonts w:hAnsi="宋体"/>
              </w:rPr>
              <w:t>以外，</w:t>
            </w:r>
            <w:r>
              <w:rPr>
                <w:rFonts w:hint="eastAsia" w:hAnsi="宋体"/>
                <w:lang w:val="en-US" w:eastAsia="zh-CN"/>
              </w:rPr>
              <w:t>且项目位于平原区，污染物扩散快，</w:t>
            </w:r>
            <w:r>
              <w:rPr>
                <w:rFonts w:hAnsi="宋体"/>
              </w:rPr>
              <w:t>因此拟建公路运营期汽车尾气</w:t>
            </w:r>
            <w:r>
              <w:t>NO</w:t>
            </w:r>
            <w:r>
              <w:rPr>
                <w:vertAlign w:val="subscript"/>
              </w:rPr>
              <w:t>2</w:t>
            </w:r>
            <w:r>
              <w:rPr>
                <w:rFonts w:hAnsi="宋体"/>
              </w:rPr>
              <w:t>对沿线敏感点的环境空气质量影响较小。</w:t>
            </w:r>
          </w:p>
          <w:p w14:paraId="26D6C417">
            <w:pPr>
              <w:pStyle w:val="58"/>
              <w:ind w:firstLine="480"/>
            </w:pPr>
            <w:r>
              <w:t xml:space="preserve">(2) </w:t>
            </w:r>
            <w:r>
              <w:rPr>
                <w:rFonts w:hAnsi="宋体"/>
              </w:rPr>
              <w:t>沿线设施废气排放影响分析</w:t>
            </w:r>
          </w:p>
          <w:p w14:paraId="182D6107">
            <w:pPr>
              <w:adjustRightInd w:val="0"/>
              <w:spacing w:line="300" w:lineRule="auto"/>
              <w:ind w:firstLine="480" w:firstLineChars="200"/>
              <w:textAlignment w:val="baseline"/>
              <w:rPr>
                <w:kern w:val="0"/>
                <w:sz w:val="24"/>
              </w:rPr>
            </w:pPr>
            <w:r>
              <w:rPr>
                <w:rFonts w:hint="eastAsia" w:hAnsi="宋体"/>
                <w:sz w:val="24"/>
              </w:rPr>
              <w:t>拟建公路收费站</w:t>
            </w:r>
            <w:r>
              <w:rPr>
                <w:rFonts w:hint="eastAsia" w:hAnsi="宋体"/>
                <w:sz w:val="24"/>
                <w:lang w:eastAsia="zh-CN"/>
              </w:rPr>
              <w:t>、</w:t>
            </w:r>
            <w:r>
              <w:rPr>
                <w:rFonts w:hint="eastAsia" w:hAnsi="宋体"/>
                <w:sz w:val="24"/>
                <w:lang w:val="en-US" w:eastAsia="zh-CN"/>
              </w:rPr>
              <w:t>养护工区</w:t>
            </w:r>
            <w:r>
              <w:rPr>
                <w:rFonts w:hint="eastAsia" w:hAnsi="宋体"/>
                <w:sz w:val="24"/>
              </w:rPr>
              <w:t>等沿线设施采用电锅炉进行供暖，饮水、洗澡等生活用水采用电热水器，对沿线大气环境基本无影响。因此，沿线服务设施的主要空气污染物是餐饮油烟</w:t>
            </w:r>
            <w:r>
              <w:rPr>
                <w:rFonts w:hAnsi="宋体"/>
                <w:kern w:val="0"/>
                <w:sz w:val="24"/>
              </w:rPr>
              <w:t>。</w:t>
            </w:r>
          </w:p>
          <w:p w14:paraId="1FF005A3">
            <w:pPr>
              <w:keepNext w:val="0"/>
              <w:keepLines w:val="0"/>
              <w:pageBreakBefore w:val="0"/>
              <w:widowControl w:val="0"/>
              <w:kinsoku/>
              <w:wordWrap/>
              <w:overflowPunct/>
              <w:topLinePunct w:val="0"/>
              <w:autoSpaceDE/>
              <w:autoSpaceDN/>
              <w:bidi w:val="0"/>
              <w:adjustRightInd w:val="0"/>
              <w:snapToGrid/>
              <w:spacing w:after="157" w:afterLines="50" w:line="300" w:lineRule="auto"/>
              <w:ind w:firstLine="480" w:firstLineChars="200"/>
              <w:textAlignment w:val="auto"/>
              <w:rPr>
                <w:sz w:val="24"/>
              </w:rPr>
            </w:pPr>
            <w:r>
              <w:rPr>
                <w:rFonts w:hint="eastAsia" w:hAnsi="宋体"/>
                <w:sz w:val="24"/>
              </w:rPr>
              <w:t>收费站</w:t>
            </w:r>
            <w:r>
              <w:rPr>
                <w:rFonts w:hint="eastAsia" w:hAnsi="宋体"/>
                <w:sz w:val="24"/>
                <w:lang w:eastAsia="zh-CN"/>
              </w:rPr>
              <w:t>、</w:t>
            </w:r>
            <w:r>
              <w:rPr>
                <w:rFonts w:hint="eastAsia" w:hAnsi="宋体"/>
                <w:sz w:val="24"/>
                <w:lang w:val="en-US" w:eastAsia="zh-CN"/>
              </w:rPr>
              <w:t>养护工区等沿线设施</w:t>
            </w:r>
            <w:r>
              <w:rPr>
                <w:rFonts w:hint="eastAsia" w:hAnsi="宋体"/>
                <w:sz w:val="24"/>
              </w:rPr>
              <w:t>按</w:t>
            </w:r>
            <w:r>
              <w:rPr>
                <w:rFonts w:hAnsi="宋体"/>
                <w:sz w:val="24"/>
              </w:rPr>
              <w:t>人员数量确定餐厅的规模均为中型，餐饮油烟在无处理设施时浓度可达</w:t>
            </w:r>
            <w:r>
              <w:rPr>
                <w:sz w:val="24"/>
              </w:rPr>
              <w:t>6.5mg/m</w:t>
            </w:r>
            <w:r>
              <w:rPr>
                <w:sz w:val="24"/>
                <w:vertAlign w:val="superscript"/>
              </w:rPr>
              <w:t>3</w:t>
            </w:r>
            <w:r>
              <w:rPr>
                <w:rFonts w:hAnsi="宋体"/>
                <w:sz w:val="24"/>
              </w:rPr>
              <w:t>，为使油烟达标排放，</w:t>
            </w:r>
            <w:r>
              <w:rPr>
                <w:rFonts w:hint="eastAsia" w:hAnsi="宋体"/>
                <w:sz w:val="24"/>
              </w:rPr>
              <w:t>收费站</w:t>
            </w:r>
            <w:r>
              <w:rPr>
                <w:rFonts w:hint="eastAsia" w:hAnsi="宋体"/>
                <w:sz w:val="24"/>
                <w:lang w:val="en-US" w:eastAsia="zh-CN"/>
              </w:rPr>
              <w:t>等沿线设施</w:t>
            </w:r>
            <w:r>
              <w:rPr>
                <w:rFonts w:hAnsi="宋体"/>
                <w:sz w:val="24"/>
              </w:rPr>
              <w:t>餐厅须加装油烟净化设施，确保达到《国家饮食业油烟排放标准（试行）》规定的最高允许排放浓度为</w:t>
            </w:r>
            <w:r>
              <w:rPr>
                <w:sz w:val="24"/>
              </w:rPr>
              <w:t>2.0mg/m</w:t>
            </w:r>
            <w:r>
              <w:rPr>
                <w:sz w:val="24"/>
                <w:vertAlign w:val="superscript"/>
              </w:rPr>
              <w:t>3</w:t>
            </w:r>
            <w:r>
              <w:rPr>
                <w:rFonts w:hAnsi="宋体"/>
                <w:sz w:val="24"/>
              </w:rPr>
              <w:t>、净化设施最低去除效率为</w:t>
            </w:r>
            <w:r>
              <w:rPr>
                <w:sz w:val="24"/>
              </w:rPr>
              <w:t>75%</w:t>
            </w:r>
            <w:r>
              <w:rPr>
                <w:rFonts w:hAnsi="宋体"/>
                <w:sz w:val="24"/>
              </w:rPr>
              <w:t>的基本要求</w:t>
            </w:r>
            <w:r>
              <w:rPr>
                <w:sz w:val="24"/>
              </w:rPr>
              <w:t>。</w:t>
            </w:r>
          </w:p>
          <w:p w14:paraId="56150B9D">
            <w:pPr>
              <w:keepNext w:val="0"/>
              <w:keepLines w:val="0"/>
              <w:pageBreakBefore w:val="0"/>
              <w:widowControl w:val="0"/>
              <w:kinsoku/>
              <w:wordWrap/>
              <w:overflowPunct/>
              <w:topLinePunct w:val="0"/>
              <w:autoSpaceDE/>
              <w:autoSpaceDN/>
              <w:bidi w:val="0"/>
              <w:adjustRightInd w:val="0"/>
              <w:snapToGrid/>
              <w:spacing w:line="300" w:lineRule="auto"/>
              <w:textAlignment w:val="auto"/>
              <w:rPr>
                <w:b/>
                <w:bCs/>
                <w:sz w:val="24"/>
              </w:rPr>
            </w:pPr>
            <w:r>
              <w:rPr>
                <w:rFonts w:hint="eastAsia"/>
                <w:b/>
                <w:bCs/>
                <w:sz w:val="24"/>
                <w:lang w:val="en-US" w:eastAsia="zh-CN"/>
              </w:rPr>
              <w:t>4</w:t>
            </w:r>
            <w:r>
              <w:rPr>
                <w:b/>
                <w:bCs/>
                <w:sz w:val="24"/>
              </w:rPr>
              <w:t>. 运营期地表水环境影响分析</w:t>
            </w:r>
          </w:p>
          <w:p w14:paraId="006B783B">
            <w:pPr>
              <w:keepNext w:val="0"/>
              <w:keepLines w:val="0"/>
              <w:pageBreakBefore w:val="0"/>
              <w:widowControl w:val="0"/>
              <w:kinsoku/>
              <w:wordWrap/>
              <w:overflowPunct/>
              <w:topLinePunct w:val="0"/>
              <w:autoSpaceDE/>
              <w:autoSpaceDN/>
              <w:bidi w:val="0"/>
              <w:snapToGrid/>
              <w:spacing w:line="300" w:lineRule="auto"/>
              <w:ind w:firstLine="480" w:firstLineChars="200"/>
              <w:textAlignment w:val="auto"/>
              <w:rPr>
                <w:snapToGrid w:val="0"/>
                <w:sz w:val="24"/>
              </w:rPr>
            </w:pPr>
            <w:r>
              <w:rPr>
                <w:rFonts w:hint="eastAsia"/>
                <w:snapToGrid w:val="0"/>
                <w:sz w:val="24"/>
              </w:rPr>
              <w:t xml:space="preserve">(1) </w:t>
            </w:r>
            <w:r>
              <w:rPr>
                <w:rFonts w:hAnsi="宋体"/>
                <w:snapToGrid w:val="0"/>
                <w:sz w:val="24"/>
              </w:rPr>
              <w:t>桥面径流影响分析</w:t>
            </w:r>
          </w:p>
          <w:p w14:paraId="35F01C04">
            <w:pPr>
              <w:keepNext w:val="0"/>
              <w:keepLines w:val="0"/>
              <w:pageBreakBefore w:val="0"/>
              <w:widowControl w:val="0"/>
              <w:kinsoku/>
              <w:wordWrap/>
              <w:overflowPunct/>
              <w:topLinePunct w:val="0"/>
              <w:autoSpaceDE/>
              <w:autoSpaceDN/>
              <w:bidi w:val="0"/>
              <w:snapToGrid/>
              <w:spacing w:line="300" w:lineRule="auto"/>
              <w:ind w:firstLine="480" w:firstLineChars="200"/>
              <w:textAlignment w:val="auto"/>
              <w:rPr>
                <w:snapToGrid w:val="0"/>
                <w:sz w:val="24"/>
              </w:rPr>
            </w:pPr>
            <w:r>
              <w:rPr>
                <w:rFonts w:hAnsi="宋体"/>
                <w:snapToGrid w:val="0"/>
                <w:sz w:val="24"/>
              </w:rPr>
              <w:t>公路建成运营后，对地表水环境的污染物主要来自汽车运行车辆所泄漏的石油类物质等路面残留物随降雨产生的路面径流进入地表水体。影响路面径流污染的因素很多，主要为降雨量、降雨时间、与车流量有关的路面及大气污染程度、两场降雨之间的间隔时间、路面宽度、长度等。路面径流受各种因素影响的随机性强，偶然性大，所以路面径流污染物浓度较难确定。在实际中，路面径流在通过路面横坡自然散排，漫流到排水沟或边沟中，或通过边坡急流槽集中排入边沟的过程中伴随着降水稀释、泥沙对污染物的吸附、径流水自净等才进入水体，从而使污染物浓度变得很低，并且这种影响随着降雨历时的延长而降低或随着降雨的消失而消失。</w:t>
            </w:r>
          </w:p>
          <w:p w14:paraId="576FA237">
            <w:pPr>
              <w:spacing w:line="300" w:lineRule="auto"/>
              <w:ind w:firstLine="480" w:firstLineChars="200"/>
              <w:rPr>
                <w:snapToGrid w:val="0"/>
                <w:sz w:val="24"/>
              </w:rPr>
            </w:pPr>
            <w:r>
              <w:rPr>
                <w:rFonts w:hint="eastAsia"/>
                <w:snapToGrid w:val="0"/>
                <w:sz w:val="24"/>
              </w:rPr>
              <w:t xml:space="preserve">(2) </w:t>
            </w:r>
            <w:r>
              <w:rPr>
                <w:rFonts w:hAnsi="宋体"/>
                <w:snapToGrid w:val="0"/>
                <w:sz w:val="24"/>
              </w:rPr>
              <w:t>沿线设施污水排放影响分析</w:t>
            </w:r>
          </w:p>
          <w:p w14:paraId="70AEF856">
            <w:pPr>
              <w:spacing w:after="120" w:afterLines="50" w:line="300" w:lineRule="auto"/>
              <w:ind w:firstLine="480" w:firstLineChars="200"/>
              <w:rPr>
                <w:rFonts w:hAnsi="宋体"/>
                <w:sz w:val="24"/>
              </w:rPr>
            </w:pPr>
            <w:r>
              <w:rPr>
                <w:rFonts w:hAnsi="宋体"/>
                <w:sz w:val="24"/>
              </w:rPr>
              <w:t>拟建公路共设置</w:t>
            </w:r>
            <w:r>
              <w:rPr>
                <w:rFonts w:hint="eastAsia" w:hAnsi="宋体"/>
                <w:sz w:val="24"/>
              </w:rPr>
              <w:t>收费站1处、养护</w:t>
            </w:r>
            <w:r>
              <w:rPr>
                <w:rFonts w:hAnsi="宋体"/>
                <w:sz w:val="24"/>
              </w:rPr>
              <w:t>工区</w:t>
            </w:r>
            <w:r>
              <w:rPr>
                <w:rFonts w:hint="eastAsia" w:hAnsi="宋体"/>
                <w:sz w:val="24"/>
              </w:rPr>
              <w:t>1</w:t>
            </w:r>
            <w:r>
              <w:rPr>
                <w:rFonts w:hAnsi="宋体"/>
                <w:sz w:val="24"/>
              </w:rPr>
              <w:t>处、</w:t>
            </w:r>
            <w:r>
              <w:rPr>
                <w:rFonts w:hint="eastAsia" w:hAnsi="宋体"/>
                <w:sz w:val="24"/>
                <w:lang w:val="en-US" w:eastAsia="zh-CN"/>
              </w:rPr>
              <w:t>监控</w:t>
            </w:r>
            <w:r>
              <w:rPr>
                <w:rFonts w:hint="eastAsia" w:hAnsi="宋体"/>
                <w:sz w:val="24"/>
              </w:rPr>
              <w:t>管理分中心1处</w:t>
            </w:r>
            <w:r>
              <w:rPr>
                <w:rFonts w:hint="eastAsia" w:hAnsi="宋体"/>
                <w:sz w:val="24"/>
                <w:lang w:eastAsia="zh-CN"/>
              </w:rPr>
              <w:t>、</w:t>
            </w:r>
            <w:r>
              <w:rPr>
                <w:rFonts w:hint="eastAsia" w:hAnsi="宋体"/>
                <w:sz w:val="24"/>
                <w:lang w:val="en-US" w:eastAsia="zh-CN"/>
              </w:rPr>
              <w:t>路政执法用房1处</w:t>
            </w:r>
            <w:r>
              <w:rPr>
                <w:rFonts w:hint="eastAsia" w:hAnsi="宋体"/>
                <w:sz w:val="24"/>
              </w:rPr>
              <w:t>，均在收费站同址建设</w:t>
            </w:r>
            <w:r>
              <w:rPr>
                <w:rFonts w:hAnsi="宋体"/>
                <w:snapToGrid w:val="0"/>
                <w:sz w:val="24"/>
              </w:rPr>
              <w:t>。</w:t>
            </w:r>
            <w:r>
              <w:rPr>
                <w:rFonts w:hint="eastAsia" w:hAnsi="宋体"/>
                <w:sz w:val="24"/>
              </w:rPr>
              <w:t>沿线设施</w:t>
            </w:r>
            <w:r>
              <w:rPr>
                <w:rFonts w:hAnsi="宋体"/>
                <w:sz w:val="24"/>
              </w:rPr>
              <w:t>污水排放量具体见表</w:t>
            </w:r>
            <w:r>
              <w:rPr>
                <w:rFonts w:hint="eastAsia"/>
                <w:sz w:val="24"/>
                <w:lang w:val="en-US" w:eastAsia="zh-CN"/>
              </w:rPr>
              <w:t>4-5</w:t>
            </w:r>
            <w:r>
              <w:rPr>
                <w:rFonts w:hAnsi="宋体"/>
                <w:sz w:val="24"/>
              </w:rPr>
              <w:t>。</w:t>
            </w:r>
          </w:p>
          <w:p w14:paraId="62E3C3D3">
            <w:pPr>
              <w:spacing w:after="120" w:afterLines="50" w:line="300" w:lineRule="auto"/>
              <w:ind w:firstLine="480" w:firstLineChars="200"/>
              <w:rPr>
                <w:rFonts w:hAnsi="宋体"/>
                <w:sz w:val="24"/>
              </w:rPr>
            </w:pPr>
          </w:p>
          <w:p w14:paraId="0379EBB7">
            <w:pPr>
              <w:keepNext w:val="0"/>
              <w:keepLines w:val="0"/>
              <w:pageBreakBefore w:val="0"/>
              <w:widowControl w:val="0"/>
              <w:kinsoku/>
              <w:wordWrap/>
              <w:overflowPunct/>
              <w:topLinePunct w:val="0"/>
              <w:autoSpaceDE/>
              <w:autoSpaceDN/>
              <w:bidi w:val="0"/>
              <w:adjustRightInd/>
              <w:snapToGrid/>
              <w:spacing w:before="313" w:beforeLines="100"/>
              <w:jc w:val="center"/>
              <w:textAlignment w:val="auto"/>
              <w:rPr>
                <w:b/>
              </w:rPr>
            </w:pPr>
            <w:r>
              <w:rPr>
                <w:rFonts w:hAnsi="宋体"/>
                <w:b/>
              </w:rPr>
              <w:t>表</w:t>
            </w:r>
            <w:r>
              <w:rPr>
                <w:b/>
              </w:rPr>
              <w:t>4-</w:t>
            </w:r>
            <w:r>
              <w:rPr>
                <w:rFonts w:hint="eastAsia"/>
                <w:b/>
                <w:lang w:val="en-US" w:eastAsia="zh-CN"/>
              </w:rPr>
              <w:t>5</w:t>
            </w:r>
            <w:r>
              <w:rPr>
                <w:b/>
              </w:rPr>
              <w:t xml:space="preserve">  </w:t>
            </w:r>
            <w:r>
              <w:rPr>
                <w:rFonts w:hAnsi="宋体"/>
                <w:b/>
              </w:rPr>
              <w:t>拟建公路沿线设施污</w:t>
            </w:r>
            <w:r>
              <w:rPr>
                <w:rFonts w:hint="eastAsia" w:hAnsi="宋体"/>
                <w:b/>
              </w:rPr>
              <w:t>水</w:t>
            </w:r>
            <w:r>
              <w:rPr>
                <w:rFonts w:hAnsi="宋体"/>
                <w:b/>
              </w:rPr>
              <w:t>排放估算表</w:t>
            </w:r>
          </w:p>
          <w:tbl>
            <w:tblPr>
              <w:tblStyle w:val="22"/>
              <w:tblW w:w="5046"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1495"/>
              <w:gridCol w:w="3144"/>
              <w:gridCol w:w="1051"/>
              <w:gridCol w:w="994"/>
              <w:gridCol w:w="1386"/>
            </w:tblGrid>
            <w:tr w14:paraId="58EA42E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283" w:hRule="atLeast"/>
                <w:jc w:val="center"/>
              </w:trPr>
              <w:tc>
                <w:tcPr>
                  <w:tcW w:w="926" w:type="pct"/>
                  <w:vAlign w:val="center"/>
                </w:tcPr>
                <w:p w14:paraId="77547151">
                  <w:pPr>
                    <w:jc w:val="center"/>
                    <w:rPr>
                      <w:b/>
                      <w:szCs w:val="21"/>
                    </w:rPr>
                  </w:pPr>
                  <w:r>
                    <w:rPr>
                      <w:rFonts w:hAnsi="宋体"/>
                      <w:b/>
                      <w:szCs w:val="21"/>
                    </w:rPr>
                    <w:t>桩号</w:t>
                  </w:r>
                </w:p>
              </w:tc>
              <w:tc>
                <w:tcPr>
                  <w:tcW w:w="1947" w:type="pct"/>
                  <w:vAlign w:val="center"/>
                </w:tcPr>
                <w:p w14:paraId="7D8C2636">
                  <w:pPr>
                    <w:jc w:val="center"/>
                    <w:rPr>
                      <w:b/>
                      <w:szCs w:val="21"/>
                    </w:rPr>
                  </w:pPr>
                  <w:r>
                    <w:rPr>
                      <w:rFonts w:hint="eastAsia" w:hAnsi="宋体"/>
                      <w:b/>
                      <w:szCs w:val="21"/>
                    </w:rPr>
                    <w:t>服务设施</w:t>
                  </w:r>
                </w:p>
              </w:tc>
              <w:tc>
                <w:tcPr>
                  <w:tcW w:w="651" w:type="pct"/>
                  <w:vAlign w:val="center"/>
                </w:tcPr>
                <w:p w14:paraId="04A2D424">
                  <w:pPr>
                    <w:pStyle w:val="58"/>
                    <w:spacing w:line="240" w:lineRule="auto"/>
                    <w:ind w:firstLine="0" w:firstLineChars="0"/>
                    <w:jc w:val="center"/>
                    <w:rPr>
                      <w:b/>
                      <w:sz w:val="21"/>
                      <w:szCs w:val="21"/>
                    </w:rPr>
                  </w:pPr>
                  <w:r>
                    <w:rPr>
                      <w:rFonts w:hint="eastAsia" w:hAnsi="宋体"/>
                      <w:b/>
                      <w:sz w:val="21"/>
                      <w:szCs w:val="21"/>
                    </w:rPr>
                    <w:t>定员</w:t>
                  </w:r>
                  <w:r>
                    <w:rPr>
                      <w:b/>
                      <w:sz w:val="21"/>
                      <w:szCs w:val="21"/>
                    </w:rPr>
                    <w:t>(</w:t>
                  </w:r>
                  <w:r>
                    <w:rPr>
                      <w:rFonts w:hAnsi="宋体"/>
                      <w:b/>
                      <w:sz w:val="21"/>
                      <w:szCs w:val="21"/>
                    </w:rPr>
                    <w:t>人</w:t>
                  </w:r>
                  <w:r>
                    <w:rPr>
                      <w:b/>
                      <w:sz w:val="21"/>
                      <w:szCs w:val="21"/>
                    </w:rPr>
                    <w:t>)</w:t>
                  </w:r>
                </w:p>
              </w:tc>
              <w:tc>
                <w:tcPr>
                  <w:tcW w:w="615" w:type="pct"/>
                  <w:vAlign w:val="center"/>
                </w:tcPr>
                <w:p w14:paraId="75B1198E">
                  <w:pPr>
                    <w:pStyle w:val="58"/>
                    <w:spacing w:line="240" w:lineRule="auto"/>
                    <w:ind w:firstLine="0" w:firstLineChars="0"/>
                    <w:jc w:val="center"/>
                    <w:rPr>
                      <w:b/>
                      <w:sz w:val="21"/>
                      <w:szCs w:val="21"/>
                    </w:rPr>
                  </w:pPr>
                  <w:r>
                    <w:rPr>
                      <w:rFonts w:hAnsi="宋体"/>
                      <w:b/>
                      <w:sz w:val="21"/>
                      <w:szCs w:val="21"/>
                    </w:rPr>
                    <w:t>污水类型</w:t>
                  </w:r>
                </w:p>
              </w:tc>
              <w:tc>
                <w:tcPr>
                  <w:tcW w:w="858" w:type="pct"/>
                  <w:vAlign w:val="center"/>
                </w:tcPr>
                <w:p w14:paraId="262E4A6F">
                  <w:pPr>
                    <w:pStyle w:val="58"/>
                    <w:spacing w:line="240" w:lineRule="auto"/>
                    <w:ind w:firstLine="0" w:firstLineChars="0"/>
                    <w:jc w:val="center"/>
                    <w:rPr>
                      <w:b/>
                      <w:sz w:val="21"/>
                      <w:szCs w:val="21"/>
                    </w:rPr>
                  </w:pPr>
                  <w:r>
                    <w:rPr>
                      <w:rFonts w:hAnsi="宋体"/>
                      <w:b/>
                      <w:sz w:val="21"/>
                      <w:szCs w:val="21"/>
                    </w:rPr>
                    <w:t>排放量</w:t>
                  </w:r>
                  <w:r>
                    <w:rPr>
                      <w:b/>
                      <w:sz w:val="21"/>
                      <w:szCs w:val="21"/>
                    </w:rPr>
                    <w:t>(t/d)</w:t>
                  </w:r>
                </w:p>
              </w:tc>
            </w:tr>
            <w:tr w14:paraId="2989222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283" w:hRule="atLeast"/>
                <w:jc w:val="center"/>
              </w:trPr>
              <w:tc>
                <w:tcPr>
                  <w:tcW w:w="926" w:type="pct"/>
                  <w:vAlign w:val="center"/>
                </w:tcPr>
                <w:p w14:paraId="2E14F201">
                  <w:pPr>
                    <w:jc w:val="center"/>
                    <w:rPr>
                      <w:szCs w:val="21"/>
                    </w:rPr>
                  </w:pPr>
                  <w:bookmarkStart w:id="30" w:name="_Hlk187506032"/>
                  <w:r>
                    <w:rPr>
                      <w:szCs w:val="21"/>
                    </w:rPr>
                    <w:t>K</w:t>
                  </w:r>
                  <w:r>
                    <w:rPr>
                      <w:rFonts w:hint="eastAsia"/>
                      <w:szCs w:val="21"/>
                    </w:rPr>
                    <w:t>18</w:t>
                  </w:r>
                  <w:r>
                    <w:rPr>
                      <w:szCs w:val="21"/>
                    </w:rPr>
                    <w:t>+</w:t>
                  </w:r>
                  <w:r>
                    <w:rPr>
                      <w:rFonts w:hint="eastAsia"/>
                      <w:szCs w:val="21"/>
                    </w:rPr>
                    <w:t>1</w:t>
                  </w:r>
                  <w:r>
                    <w:rPr>
                      <w:szCs w:val="21"/>
                    </w:rPr>
                    <w:t>00</w:t>
                  </w:r>
                </w:p>
              </w:tc>
              <w:tc>
                <w:tcPr>
                  <w:tcW w:w="1947" w:type="pct"/>
                  <w:vAlign w:val="center"/>
                </w:tcPr>
                <w:p w14:paraId="7494EDA5">
                  <w:pPr>
                    <w:jc w:val="center"/>
                    <w:rPr>
                      <w:rFonts w:hint="default" w:eastAsia="宋体"/>
                      <w:szCs w:val="21"/>
                      <w:lang w:val="en-US" w:eastAsia="zh-CN"/>
                    </w:rPr>
                  </w:pPr>
                  <w:r>
                    <w:rPr>
                      <w:rFonts w:hint="eastAsia" w:hAnsi="宋体"/>
                      <w:szCs w:val="21"/>
                    </w:rPr>
                    <w:t>收费站、养护工区、</w:t>
                  </w:r>
                  <w:r>
                    <w:rPr>
                      <w:rFonts w:hint="eastAsia" w:hAnsi="宋体"/>
                      <w:szCs w:val="21"/>
                      <w:lang w:val="en-US" w:eastAsia="zh-CN"/>
                    </w:rPr>
                    <w:t>监控</w:t>
                  </w:r>
                  <w:r>
                    <w:rPr>
                      <w:rFonts w:hint="eastAsia" w:hAnsi="宋体"/>
                      <w:szCs w:val="21"/>
                    </w:rPr>
                    <w:t>管理分中心</w:t>
                  </w:r>
                  <w:r>
                    <w:rPr>
                      <w:rFonts w:hint="eastAsia" w:hAnsi="宋体"/>
                      <w:szCs w:val="21"/>
                      <w:lang w:eastAsia="zh-CN"/>
                    </w:rPr>
                    <w:t>、</w:t>
                  </w:r>
                  <w:r>
                    <w:rPr>
                      <w:rFonts w:hint="eastAsia" w:hAnsi="宋体"/>
                      <w:szCs w:val="21"/>
                      <w:lang w:val="en-US" w:eastAsia="zh-CN"/>
                    </w:rPr>
                    <w:t>路政执法用房</w:t>
                  </w:r>
                </w:p>
              </w:tc>
              <w:tc>
                <w:tcPr>
                  <w:tcW w:w="651" w:type="pct"/>
                  <w:vAlign w:val="center"/>
                </w:tcPr>
                <w:p w14:paraId="106DD89E">
                  <w:pPr>
                    <w:jc w:val="center"/>
                    <w:rPr>
                      <w:rFonts w:hint="default" w:eastAsia="宋体"/>
                      <w:szCs w:val="21"/>
                      <w:lang w:val="en-US" w:eastAsia="zh-CN"/>
                    </w:rPr>
                  </w:pPr>
                  <w:r>
                    <w:rPr>
                      <w:rFonts w:hint="eastAsia"/>
                      <w:szCs w:val="21"/>
                      <w:lang w:val="en-US" w:eastAsia="zh-CN"/>
                    </w:rPr>
                    <w:t>60</w:t>
                  </w:r>
                </w:p>
              </w:tc>
              <w:tc>
                <w:tcPr>
                  <w:tcW w:w="615" w:type="pct"/>
                  <w:vAlign w:val="center"/>
                </w:tcPr>
                <w:p w14:paraId="611BDAAC">
                  <w:pPr>
                    <w:jc w:val="center"/>
                    <w:rPr>
                      <w:sz w:val="22"/>
                      <w:szCs w:val="22"/>
                    </w:rPr>
                  </w:pPr>
                  <w:r>
                    <w:rPr>
                      <w:rFonts w:hAnsi="宋体"/>
                      <w:sz w:val="22"/>
                      <w:szCs w:val="22"/>
                    </w:rPr>
                    <w:t>生活污水</w:t>
                  </w:r>
                </w:p>
              </w:tc>
              <w:tc>
                <w:tcPr>
                  <w:tcW w:w="858" w:type="pct"/>
                  <w:vAlign w:val="center"/>
                </w:tcPr>
                <w:p w14:paraId="04A0D7F2">
                  <w:pPr>
                    <w:jc w:val="center"/>
                    <w:rPr>
                      <w:rFonts w:hint="default" w:eastAsia="宋体"/>
                      <w:sz w:val="22"/>
                      <w:szCs w:val="22"/>
                      <w:lang w:val="en-US" w:eastAsia="zh-CN"/>
                    </w:rPr>
                  </w:pPr>
                  <w:r>
                    <w:rPr>
                      <w:rFonts w:hint="eastAsia"/>
                      <w:sz w:val="22"/>
                      <w:szCs w:val="22"/>
                      <w:lang w:val="en-US" w:eastAsia="zh-CN"/>
                    </w:rPr>
                    <w:t>5.4</w:t>
                  </w:r>
                </w:p>
              </w:tc>
            </w:tr>
            <w:bookmarkEnd w:id="30"/>
          </w:tbl>
          <w:p w14:paraId="12107087">
            <w:pPr>
              <w:keepNext w:val="0"/>
              <w:keepLines w:val="0"/>
              <w:pageBreakBefore w:val="0"/>
              <w:widowControl w:val="0"/>
              <w:kinsoku/>
              <w:wordWrap/>
              <w:overflowPunct/>
              <w:topLinePunct w:val="0"/>
              <w:autoSpaceDE/>
              <w:autoSpaceDN/>
              <w:bidi w:val="0"/>
              <w:adjustRightInd w:val="0"/>
              <w:snapToGrid/>
              <w:spacing w:before="313" w:beforeLines="100" w:after="157" w:afterLines="50" w:line="300" w:lineRule="auto"/>
              <w:ind w:firstLine="472" w:firstLineChars="200"/>
              <w:textAlignment w:val="auto"/>
              <w:rPr>
                <w:snapToGrid w:val="0"/>
                <w:spacing w:val="-2"/>
                <w:sz w:val="24"/>
              </w:rPr>
            </w:pPr>
            <w:r>
              <w:rPr>
                <w:rFonts w:hAnsi="宋体"/>
                <w:snapToGrid w:val="0"/>
                <w:spacing w:val="-2"/>
                <w:sz w:val="24"/>
              </w:rPr>
              <w:t>从表</w:t>
            </w:r>
            <w:r>
              <w:rPr>
                <w:snapToGrid w:val="0"/>
                <w:spacing w:val="-2"/>
                <w:sz w:val="24"/>
              </w:rPr>
              <w:t>4-</w:t>
            </w:r>
            <w:r>
              <w:rPr>
                <w:rFonts w:hint="eastAsia"/>
                <w:snapToGrid w:val="0"/>
                <w:spacing w:val="-2"/>
                <w:sz w:val="24"/>
                <w:lang w:val="en-US" w:eastAsia="zh-CN"/>
              </w:rPr>
              <w:t>5</w:t>
            </w:r>
            <w:r>
              <w:rPr>
                <w:rFonts w:hAnsi="宋体"/>
                <w:snapToGrid w:val="0"/>
                <w:spacing w:val="-2"/>
                <w:sz w:val="24"/>
              </w:rPr>
              <w:t>中可以看出</w:t>
            </w:r>
            <w:r>
              <w:rPr>
                <w:rFonts w:hint="eastAsia" w:hAnsi="宋体"/>
                <w:snapToGrid w:val="0"/>
                <w:spacing w:val="-2"/>
                <w:sz w:val="24"/>
              </w:rPr>
              <w:t>，</w:t>
            </w:r>
            <w:r>
              <w:rPr>
                <w:rFonts w:hAnsi="宋体"/>
                <w:snapToGrid w:val="0"/>
                <w:spacing w:val="-2"/>
                <w:sz w:val="24"/>
              </w:rPr>
              <w:t>服务设施每天的污水量为</w:t>
            </w:r>
            <w:r>
              <w:rPr>
                <w:rFonts w:hint="eastAsia"/>
                <w:snapToGrid w:val="0"/>
                <w:spacing w:val="-2"/>
                <w:sz w:val="24"/>
                <w:lang w:val="en-US" w:eastAsia="zh-CN"/>
              </w:rPr>
              <w:t>5.4</w:t>
            </w:r>
            <w:r>
              <w:rPr>
                <w:rFonts w:hint="eastAsia"/>
                <w:snapToGrid w:val="0"/>
                <w:spacing w:val="-2"/>
                <w:sz w:val="24"/>
              </w:rPr>
              <w:t>t</w:t>
            </w:r>
            <w:r>
              <w:rPr>
                <w:rFonts w:hAnsi="宋体"/>
                <w:snapToGrid w:val="0"/>
                <w:spacing w:val="-2"/>
                <w:sz w:val="24"/>
              </w:rPr>
              <w:t>。这些污水若不经处理就实施排放，将对周围环境，尤其是附近水体产生明显的污染影响。本次环评提出在站内设置</w:t>
            </w:r>
            <w:r>
              <w:rPr>
                <w:rFonts w:hint="eastAsia" w:hAnsi="宋体"/>
                <w:snapToGrid w:val="0"/>
                <w:spacing w:val="-2"/>
                <w:sz w:val="24"/>
              </w:rPr>
              <w:t>一体化污水处理设施，生活污水经处理达标后绿化回用，冬储夏灌不外排</w:t>
            </w:r>
            <w:r>
              <w:rPr>
                <w:rFonts w:hAnsi="宋体"/>
                <w:snapToGrid w:val="0"/>
                <w:spacing w:val="-2"/>
                <w:sz w:val="24"/>
              </w:rPr>
              <w:t>。经采取措施后，营运期生活污水排放对水环境影响较小</w:t>
            </w:r>
            <w:r>
              <w:rPr>
                <w:snapToGrid w:val="0"/>
                <w:spacing w:val="-2"/>
                <w:sz w:val="24"/>
              </w:rPr>
              <w:t>。</w:t>
            </w:r>
          </w:p>
          <w:p w14:paraId="473F6270">
            <w:pPr>
              <w:keepNext w:val="0"/>
              <w:keepLines w:val="0"/>
              <w:pageBreakBefore w:val="0"/>
              <w:widowControl w:val="0"/>
              <w:kinsoku/>
              <w:wordWrap/>
              <w:overflowPunct/>
              <w:topLinePunct w:val="0"/>
              <w:autoSpaceDE/>
              <w:autoSpaceDN/>
              <w:bidi w:val="0"/>
              <w:adjustRightInd w:val="0"/>
              <w:snapToGrid/>
              <w:spacing w:line="300" w:lineRule="auto"/>
              <w:textAlignment w:val="auto"/>
              <w:rPr>
                <w:rFonts w:hint="eastAsia"/>
                <w:b/>
                <w:bCs/>
                <w:snapToGrid w:val="0"/>
                <w:sz w:val="24"/>
                <w:lang w:val="en-US" w:eastAsia="zh-CN"/>
              </w:rPr>
            </w:pPr>
            <w:r>
              <w:rPr>
                <w:rFonts w:hint="eastAsia"/>
                <w:b/>
                <w:bCs/>
                <w:snapToGrid w:val="0"/>
                <w:sz w:val="24"/>
                <w:lang w:val="en-US" w:eastAsia="zh-CN"/>
              </w:rPr>
              <w:t>5. 运营期地下水环境影响分析</w:t>
            </w:r>
          </w:p>
          <w:p w14:paraId="73F92403">
            <w:pPr>
              <w:keepNext w:val="0"/>
              <w:keepLines w:val="0"/>
              <w:pageBreakBefore w:val="0"/>
              <w:widowControl w:val="0"/>
              <w:kinsoku/>
              <w:wordWrap/>
              <w:overflowPunct/>
              <w:topLinePunct w:val="0"/>
              <w:autoSpaceDE/>
              <w:autoSpaceDN/>
              <w:bidi w:val="0"/>
              <w:adjustRightInd w:val="0"/>
              <w:snapToGrid/>
              <w:spacing w:line="380" w:lineRule="exact"/>
              <w:textAlignment w:val="auto"/>
              <w:rPr>
                <w:rFonts w:hint="default"/>
                <w:b w:val="0"/>
                <w:bCs w:val="0"/>
                <w:snapToGrid w:val="0"/>
                <w:sz w:val="24"/>
                <w:lang w:val="en-US" w:eastAsia="zh-CN"/>
              </w:rPr>
            </w:pPr>
            <w:r>
              <w:rPr>
                <w:rFonts w:hint="eastAsia"/>
                <w:b/>
                <w:bCs/>
                <w:snapToGrid w:val="0"/>
                <w:sz w:val="24"/>
                <w:lang w:val="en-US" w:eastAsia="zh-CN"/>
              </w:rPr>
              <w:t xml:space="preserve">   </w:t>
            </w:r>
            <w:r>
              <w:rPr>
                <w:rFonts w:hint="eastAsia"/>
                <w:b w:val="0"/>
                <w:bCs w:val="0"/>
                <w:snapToGrid w:val="0"/>
                <w:sz w:val="24"/>
                <w:lang w:val="en-US" w:eastAsia="zh-CN"/>
              </w:rPr>
              <w:t xml:space="preserve"> (1) 一般路段影响分析</w:t>
            </w:r>
          </w:p>
          <w:p w14:paraId="6D046392">
            <w:pPr>
              <w:keepNext w:val="0"/>
              <w:keepLines w:val="0"/>
              <w:pageBreakBefore w:val="0"/>
              <w:widowControl w:val="0"/>
              <w:kinsoku/>
              <w:wordWrap/>
              <w:overflowPunct/>
              <w:topLinePunct w:val="0"/>
              <w:autoSpaceDE/>
              <w:autoSpaceDN/>
              <w:bidi w:val="0"/>
              <w:adjustRightInd w:val="0"/>
              <w:snapToGrid/>
              <w:spacing w:line="380" w:lineRule="exact"/>
              <w:ind w:firstLine="480" w:firstLineChars="200"/>
              <w:textAlignment w:val="auto"/>
              <w:rPr>
                <w:rFonts w:hint="eastAsia"/>
                <w:b w:val="0"/>
                <w:bCs w:val="0"/>
                <w:snapToGrid w:val="0"/>
                <w:sz w:val="24"/>
                <w:lang w:val="en-US" w:eastAsia="zh-CN"/>
              </w:rPr>
            </w:pPr>
            <w:r>
              <w:rPr>
                <w:rFonts w:hint="eastAsia"/>
                <w:b w:val="0"/>
                <w:bCs w:val="0"/>
                <w:snapToGrid w:val="0"/>
                <w:sz w:val="24"/>
                <w:lang w:val="en-US" w:eastAsia="zh-CN"/>
              </w:rPr>
              <w:t>拟建公路通车运营后，路面径流对地下水水质的影响主要是路面径流中的污染物如SS、石油类等，这些污染物一旦随降水径流进入周围水体，对地下水的水质将会产生一定的影响。路面径流中上述污染物一般是在降雨近期浓度较高，在降雨一般时期后污染物浓度逐渐降低。由于SS本身为泥沙类物质，污染较小，土壤层对其的天然阻滞作用较强，对地下水含水层的影响很小。根据相关研究，由于土壤层的吸附作用，污染物在土壤中的运移过程中一般被吸附净化，石油类污染物主要积聚在土壤表层80cm以内，对表层土壤影响较大，但对地下水含水层影响较小。</w:t>
            </w:r>
          </w:p>
          <w:p w14:paraId="1FF507BB">
            <w:pPr>
              <w:keepNext w:val="0"/>
              <w:keepLines w:val="0"/>
              <w:pageBreakBefore w:val="0"/>
              <w:widowControl w:val="0"/>
              <w:kinsoku/>
              <w:wordWrap/>
              <w:overflowPunct/>
              <w:topLinePunct w:val="0"/>
              <w:autoSpaceDE/>
              <w:autoSpaceDN/>
              <w:bidi w:val="0"/>
              <w:adjustRightInd w:val="0"/>
              <w:snapToGrid/>
              <w:spacing w:line="380" w:lineRule="exact"/>
              <w:ind w:firstLine="480" w:firstLineChars="200"/>
              <w:textAlignment w:val="auto"/>
              <w:rPr>
                <w:rFonts w:hint="eastAsia"/>
                <w:b w:val="0"/>
                <w:bCs w:val="0"/>
                <w:snapToGrid w:val="0"/>
                <w:sz w:val="24"/>
                <w:lang w:val="en-US" w:eastAsia="zh-CN"/>
              </w:rPr>
            </w:pPr>
            <w:r>
              <w:rPr>
                <w:rFonts w:hint="eastAsia"/>
                <w:b w:val="0"/>
                <w:bCs w:val="0"/>
                <w:snapToGrid w:val="0"/>
                <w:sz w:val="24"/>
                <w:lang w:val="en-US" w:eastAsia="zh-CN"/>
              </w:rPr>
              <w:t>(2) 对水源保护区影响分析</w:t>
            </w:r>
          </w:p>
          <w:p w14:paraId="6A36E7ED">
            <w:pPr>
              <w:keepNext w:val="0"/>
              <w:keepLines w:val="0"/>
              <w:pageBreakBefore w:val="0"/>
              <w:widowControl w:val="0"/>
              <w:kinsoku/>
              <w:wordWrap/>
              <w:overflowPunct/>
              <w:topLinePunct w:val="0"/>
              <w:autoSpaceDE/>
              <w:autoSpaceDN/>
              <w:bidi w:val="0"/>
              <w:adjustRightInd w:val="0"/>
              <w:snapToGrid/>
              <w:spacing w:line="380" w:lineRule="exact"/>
              <w:ind w:firstLine="480" w:firstLineChars="200"/>
              <w:textAlignment w:val="auto"/>
              <w:rPr>
                <w:rFonts w:hint="default"/>
                <w:b w:val="0"/>
                <w:bCs w:val="0"/>
                <w:snapToGrid w:val="0"/>
                <w:sz w:val="24"/>
                <w:lang w:val="en-US" w:eastAsia="zh-CN"/>
              </w:rPr>
            </w:pPr>
            <w:r>
              <w:rPr>
                <w:rFonts w:hint="default"/>
                <w:b w:val="0"/>
                <w:bCs w:val="0"/>
                <w:snapToGrid w:val="0"/>
                <w:sz w:val="24"/>
                <w:lang w:val="en-US" w:eastAsia="zh-CN"/>
              </w:rPr>
              <w:t>经调查，伽师县城饮用水水源保护区地下水整体径流方向为自西向东偏北，拟建公路地处水源地地下水径流下游地段，</w:t>
            </w:r>
            <w:r>
              <w:rPr>
                <w:rFonts w:hint="eastAsia"/>
                <w:b w:val="0"/>
                <w:bCs w:val="0"/>
                <w:snapToGrid w:val="0"/>
                <w:sz w:val="24"/>
                <w:lang w:val="en-US" w:eastAsia="zh-CN"/>
              </w:rPr>
              <w:t>由于</w:t>
            </w:r>
            <w:r>
              <w:rPr>
                <w:rFonts w:hint="default"/>
                <w:b w:val="0"/>
                <w:bCs w:val="0"/>
                <w:snapToGrid w:val="0"/>
                <w:sz w:val="24"/>
                <w:lang w:val="en-US" w:eastAsia="zh-CN"/>
              </w:rPr>
              <w:t>线路与水源保护区横向距离较近，区域地形整体平缓，水源地与拟建公路海拔基本持平，无明显地势落差。营运期项目对水源保护区的影响主要</w:t>
            </w:r>
            <w:r>
              <w:rPr>
                <w:rFonts w:hint="eastAsia"/>
                <w:b w:val="0"/>
                <w:bCs w:val="0"/>
                <w:snapToGrid w:val="0"/>
                <w:sz w:val="24"/>
                <w:lang w:val="en-US" w:eastAsia="zh-CN"/>
              </w:rPr>
              <w:t>有</w:t>
            </w:r>
            <w:r>
              <w:rPr>
                <w:rFonts w:hint="default"/>
                <w:b w:val="0"/>
                <w:bCs w:val="0"/>
                <w:snapToGrid w:val="0"/>
                <w:sz w:val="24"/>
                <w:lang w:val="en-US" w:eastAsia="zh-CN"/>
              </w:rPr>
              <w:t>两方面：</w:t>
            </w:r>
          </w:p>
          <w:p w14:paraId="6974CAE2">
            <w:pPr>
              <w:keepNext w:val="0"/>
              <w:keepLines w:val="0"/>
              <w:pageBreakBefore w:val="0"/>
              <w:widowControl w:val="0"/>
              <w:kinsoku/>
              <w:wordWrap/>
              <w:overflowPunct/>
              <w:topLinePunct w:val="0"/>
              <w:autoSpaceDE/>
              <w:autoSpaceDN/>
              <w:bidi w:val="0"/>
              <w:adjustRightInd w:val="0"/>
              <w:snapToGrid/>
              <w:spacing w:line="380" w:lineRule="exact"/>
              <w:ind w:firstLine="480" w:firstLineChars="200"/>
              <w:textAlignment w:val="auto"/>
              <w:rPr>
                <w:rFonts w:hint="default"/>
                <w:b w:val="0"/>
                <w:bCs w:val="0"/>
                <w:snapToGrid w:val="0"/>
                <w:sz w:val="24"/>
                <w:lang w:val="en-US" w:eastAsia="zh-CN"/>
              </w:rPr>
            </w:pPr>
            <w:r>
              <w:rPr>
                <w:rFonts w:hint="default"/>
                <w:b w:val="0"/>
                <w:bCs w:val="0"/>
                <w:snapToGrid w:val="0"/>
                <w:sz w:val="24"/>
                <w:lang w:val="en-US" w:eastAsia="zh-CN"/>
              </w:rPr>
              <w:t>一是降雨工况下路面径流带来的影响。</w:t>
            </w:r>
            <w:r>
              <w:rPr>
                <w:rFonts w:hint="eastAsia"/>
                <w:b w:val="0"/>
                <w:bCs w:val="0"/>
                <w:snapToGrid w:val="0"/>
                <w:sz w:val="24"/>
                <w:lang w:val="en-US" w:eastAsia="zh-CN"/>
              </w:rPr>
              <w:t>拟建公路</w:t>
            </w:r>
            <w:r>
              <w:rPr>
                <w:rFonts w:hint="default"/>
                <w:b w:val="0"/>
                <w:bCs w:val="0"/>
                <w:snapToGrid w:val="0"/>
                <w:sz w:val="24"/>
                <w:lang w:val="en-US" w:eastAsia="zh-CN"/>
              </w:rPr>
              <w:t>路面采用沥青混凝土铺装，为不透水硬化路面，具有一定径流汇积作用。项目区域属大陆性干旱气候，降水稀少、蒸发作用强烈，多年平均降雨量30～60mm，区域蒸发量远大于降水量，常规降雨条件下路面积水范围有限。虽</w:t>
            </w:r>
            <w:r>
              <w:rPr>
                <w:rFonts w:hint="eastAsia"/>
                <w:b w:val="0"/>
                <w:bCs w:val="0"/>
                <w:snapToGrid w:val="0"/>
                <w:sz w:val="24"/>
                <w:lang w:val="en-US" w:eastAsia="zh-CN"/>
              </w:rPr>
              <w:t>然</w:t>
            </w:r>
            <w:r>
              <w:rPr>
                <w:rFonts w:hint="default"/>
                <w:b w:val="0"/>
                <w:bCs w:val="0"/>
                <w:snapToGrid w:val="0"/>
                <w:sz w:val="24"/>
                <w:lang w:val="en-US" w:eastAsia="zh-CN"/>
              </w:rPr>
              <w:t>项目位于地下水径流下游，但路段</w:t>
            </w:r>
            <w:r>
              <w:rPr>
                <w:rFonts w:hint="eastAsia"/>
                <w:b w:val="0"/>
                <w:bCs w:val="0"/>
                <w:snapToGrid w:val="0"/>
                <w:sz w:val="24"/>
                <w:lang w:val="en-US" w:eastAsia="zh-CN"/>
              </w:rPr>
              <w:t>临近</w:t>
            </w:r>
            <w:r>
              <w:rPr>
                <w:rFonts w:hint="default"/>
                <w:b w:val="0"/>
                <w:bCs w:val="0"/>
                <w:snapToGrid w:val="0"/>
                <w:sz w:val="24"/>
                <w:lang w:val="en-US" w:eastAsia="zh-CN"/>
              </w:rPr>
              <w:t>水源保护区，地形高程基本一致，若雨水无序漫流，仍存在汇入水源保护区的</w:t>
            </w:r>
            <w:r>
              <w:rPr>
                <w:rFonts w:hint="eastAsia"/>
                <w:b w:val="0"/>
                <w:bCs w:val="0"/>
                <w:snapToGrid w:val="0"/>
                <w:sz w:val="24"/>
                <w:lang w:val="en-US" w:eastAsia="zh-CN"/>
              </w:rPr>
              <w:t>可能</w:t>
            </w:r>
            <w:r>
              <w:rPr>
                <w:rFonts w:hint="default"/>
                <w:b w:val="0"/>
                <w:bCs w:val="0"/>
                <w:snapToGrid w:val="0"/>
                <w:sz w:val="24"/>
                <w:lang w:val="en-US" w:eastAsia="zh-CN"/>
              </w:rPr>
              <w:t>。</w:t>
            </w:r>
          </w:p>
          <w:p w14:paraId="4140DF96">
            <w:pPr>
              <w:keepNext w:val="0"/>
              <w:keepLines w:val="0"/>
              <w:pageBreakBefore w:val="0"/>
              <w:widowControl w:val="0"/>
              <w:kinsoku/>
              <w:wordWrap/>
              <w:overflowPunct/>
              <w:topLinePunct w:val="0"/>
              <w:autoSpaceDE/>
              <w:autoSpaceDN/>
              <w:bidi w:val="0"/>
              <w:adjustRightInd w:val="0"/>
              <w:snapToGrid/>
              <w:spacing w:line="380" w:lineRule="exact"/>
              <w:ind w:firstLine="480" w:firstLineChars="200"/>
              <w:textAlignment w:val="auto"/>
              <w:rPr>
                <w:rFonts w:hint="default"/>
                <w:b w:val="0"/>
                <w:bCs w:val="0"/>
                <w:snapToGrid w:val="0"/>
                <w:sz w:val="24"/>
                <w:lang w:val="en-US" w:eastAsia="zh-CN"/>
              </w:rPr>
            </w:pPr>
            <w:r>
              <w:rPr>
                <w:rFonts w:hint="default"/>
                <w:b w:val="0"/>
                <w:bCs w:val="0"/>
                <w:snapToGrid w:val="0"/>
                <w:sz w:val="24"/>
                <w:lang w:val="en-US" w:eastAsia="zh-CN"/>
              </w:rPr>
              <w:t>二是危险品运输车辆事故环境风险。路段通行危险品运输车辆，若发生交通事故易引发危险物质泄漏；极端暴雨叠加事故工况时，泄漏污染物易随地表漫流扩散。</w:t>
            </w:r>
            <w:r>
              <w:rPr>
                <w:rFonts w:hint="eastAsia"/>
                <w:b w:val="0"/>
                <w:bCs w:val="0"/>
                <w:snapToGrid w:val="0"/>
                <w:sz w:val="24"/>
                <w:lang w:val="en-US" w:eastAsia="zh-CN"/>
              </w:rPr>
              <w:t>沿线水源保护区</w:t>
            </w:r>
            <w:r>
              <w:rPr>
                <w:rFonts w:hint="default"/>
                <w:b w:val="0"/>
                <w:bCs w:val="0"/>
                <w:snapToGrid w:val="0"/>
                <w:sz w:val="24"/>
                <w:lang w:val="en-US" w:eastAsia="zh-CN"/>
              </w:rPr>
              <w:t>水井深度</w:t>
            </w:r>
            <w:r>
              <w:rPr>
                <w:rFonts w:hint="eastAsia"/>
                <w:b w:val="0"/>
                <w:bCs w:val="0"/>
                <w:snapToGrid w:val="0"/>
                <w:sz w:val="24"/>
                <w:lang w:val="en-US" w:eastAsia="zh-CN"/>
              </w:rPr>
              <w:t>在</w:t>
            </w:r>
            <w:r>
              <w:rPr>
                <w:rFonts w:hint="default"/>
                <w:b w:val="0"/>
                <w:bCs w:val="0"/>
                <w:snapToGrid w:val="0"/>
                <w:sz w:val="24"/>
                <w:lang w:val="en-US" w:eastAsia="zh-CN"/>
              </w:rPr>
              <w:t>180～230m</w:t>
            </w:r>
            <w:r>
              <w:rPr>
                <w:rFonts w:hint="eastAsia"/>
                <w:b w:val="0"/>
                <w:bCs w:val="0"/>
                <w:snapToGrid w:val="0"/>
                <w:sz w:val="24"/>
                <w:lang w:val="en-US" w:eastAsia="zh-CN"/>
              </w:rPr>
              <w:t>之间</w:t>
            </w:r>
            <w:r>
              <w:rPr>
                <w:rFonts w:hint="default"/>
                <w:b w:val="0"/>
                <w:bCs w:val="0"/>
                <w:snapToGrid w:val="0"/>
                <w:sz w:val="24"/>
                <w:lang w:val="en-US" w:eastAsia="zh-CN"/>
              </w:rPr>
              <w:t>，取用深层承压水，上覆连续稳定隔水地层，污染物越层下渗污染承压</w:t>
            </w:r>
            <w:r>
              <w:rPr>
                <w:rFonts w:hint="eastAsia"/>
                <w:b w:val="0"/>
                <w:bCs w:val="0"/>
                <w:snapToGrid w:val="0"/>
                <w:sz w:val="24"/>
                <w:lang w:val="en-US" w:eastAsia="zh-CN"/>
              </w:rPr>
              <w:t>潜水含水层</w:t>
            </w:r>
            <w:r>
              <w:rPr>
                <w:rFonts w:hint="default"/>
                <w:b w:val="0"/>
                <w:bCs w:val="0"/>
                <w:snapToGrid w:val="0"/>
                <w:sz w:val="24"/>
                <w:lang w:val="en-US" w:eastAsia="zh-CN"/>
              </w:rPr>
              <w:t>的概率</w:t>
            </w:r>
            <w:r>
              <w:rPr>
                <w:rFonts w:hint="eastAsia"/>
                <w:b w:val="0"/>
                <w:bCs w:val="0"/>
                <w:snapToGrid w:val="0"/>
                <w:sz w:val="24"/>
                <w:lang w:val="en-US" w:eastAsia="zh-CN"/>
              </w:rPr>
              <w:t>很</w:t>
            </w:r>
            <w:r>
              <w:rPr>
                <w:rFonts w:hint="default"/>
                <w:b w:val="0"/>
                <w:bCs w:val="0"/>
                <w:snapToGrid w:val="0"/>
                <w:sz w:val="24"/>
                <w:lang w:val="en-US" w:eastAsia="zh-CN"/>
              </w:rPr>
              <w:t>低，但浅层潜水易受到事故污染物影响。</w:t>
            </w:r>
          </w:p>
          <w:p w14:paraId="1811A55F">
            <w:pPr>
              <w:keepNext w:val="0"/>
              <w:keepLines w:val="0"/>
              <w:pageBreakBefore w:val="0"/>
              <w:widowControl w:val="0"/>
              <w:kinsoku/>
              <w:wordWrap/>
              <w:overflowPunct/>
              <w:topLinePunct w:val="0"/>
              <w:autoSpaceDE/>
              <w:autoSpaceDN/>
              <w:bidi w:val="0"/>
              <w:adjustRightInd w:val="0"/>
              <w:snapToGrid/>
              <w:spacing w:line="380" w:lineRule="exact"/>
              <w:ind w:firstLine="480" w:firstLineChars="200"/>
              <w:textAlignment w:val="auto"/>
              <w:rPr>
                <w:rFonts w:hint="default"/>
                <w:b w:val="0"/>
                <w:bCs w:val="0"/>
                <w:snapToGrid w:val="0"/>
                <w:sz w:val="24"/>
                <w:lang w:val="en-US" w:eastAsia="zh-CN"/>
              </w:rPr>
            </w:pPr>
            <w:r>
              <w:rPr>
                <w:rFonts w:hint="default"/>
                <w:b w:val="0"/>
                <w:bCs w:val="0"/>
                <w:snapToGrid w:val="0"/>
                <w:sz w:val="24"/>
                <w:lang w:val="en-US" w:eastAsia="zh-CN"/>
              </w:rPr>
              <w:t>结合路段</w:t>
            </w:r>
            <w:r>
              <w:rPr>
                <w:rFonts w:hint="eastAsia"/>
                <w:b w:val="0"/>
                <w:bCs w:val="0"/>
                <w:snapToGrid w:val="0"/>
                <w:sz w:val="24"/>
                <w:lang w:val="en-US" w:eastAsia="zh-CN"/>
              </w:rPr>
              <w:t>临近</w:t>
            </w:r>
            <w:r>
              <w:rPr>
                <w:rFonts w:hint="default"/>
                <w:b w:val="0"/>
                <w:bCs w:val="0"/>
                <w:snapToGrid w:val="0"/>
                <w:sz w:val="24"/>
                <w:lang w:val="en-US" w:eastAsia="zh-CN"/>
              </w:rPr>
              <w:t>水源保护区、地形平缓无高差阻隔、存在事故废水漫流风险，本次环评</w:t>
            </w:r>
            <w:r>
              <w:rPr>
                <w:rFonts w:hint="eastAsia"/>
                <w:b w:val="0"/>
                <w:bCs w:val="0"/>
                <w:snapToGrid w:val="0"/>
                <w:sz w:val="24"/>
                <w:lang w:val="en-US" w:eastAsia="zh-CN"/>
              </w:rPr>
              <w:t>提出临近水源保护区路段加强</w:t>
            </w:r>
            <w:r>
              <w:rPr>
                <w:rFonts w:hint="default"/>
                <w:b w:val="0"/>
                <w:bCs w:val="0"/>
                <w:snapToGrid w:val="0"/>
                <w:sz w:val="24"/>
                <w:lang w:val="en-US" w:eastAsia="zh-CN"/>
              </w:rPr>
              <w:t>路面径流收集、防撞护栏</w:t>
            </w:r>
            <w:r>
              <w:rPr>
                <w:rFonts w:hint="eastAsia"/>
                <w:b w:val="0"/>
                <w:bCs w:val="0"/>
                <w:snapToGrid w:val="0"/>
                <w:sz w:val="24"/>
                <w:lang w:val="en-US" w:eastAsia="zh-CN"/>
              </w:rPr>
              <w:t>设计</w:t>
            </w:r>
            <w:r>
              <w:rPr>
                <w:rFonts w:hint="default"/>
                <w:b w:val="0"/>
                <w:bCs w:val="0"/>
                <w:snapToGrid w:val="0"/>
                <w:sz w:val="24"/>
                <w:lang w:val="en-US" w:eastAsia="zh-CN"/>
              </w:rPr>
              <w:t>等措施，可有效收集初期雨水、事故废水，最大限度降低营运期对水源保护区及局部浅层地下水的不利影响，保障饮用水水源安全。</w:t>
            </w:r>
          </w:p>
          <w:p w14:paraId="3C0DF8F8">
            <w:pPr>
              <w:adjustRightInd w:val="0"/>
              <w:spacing w:before="120" w:beforeLines="50" w:line="300" w:lineRule="auto"/>
              <w:rPr>
                <w:b/>
                <w:snapToGrid w:val="0"/>
                <w:sz w:val="24"/>
              </w:rPr>
            </w:pPr>
            <w:r>
              <w:rPr>
                <w:rFonts w:hint="eastAsia"/>
                <w:b/>
                <w:snapToGrid w:val="0"/>
                <w:sz w:val="24"/>
              </w:rPr>
              <w:t>6</w:t>
            </w:r>
            <w:r>
              <w:rPr>
                <w:b/>
                <w:snapToGrid w:val="0"/>
                <w:sz w:val="24"/>
              </w:rPr>
              <w:t xml:space="preserve">. </w:t>
            </w:r>
            <w:r>
              <w:rPr>
                <w:rFonts w:hint="eastAsia"/>
                <w:b/>
                <w:snapToGrid w:val="0"/>
                <w:sz w:val="24"/>
                <w:lang w:val="en-US" w:eastAsia="zh-CN"/>
              </w:rPr>
              <w:t>运营期</w:t>
            </w:r>
            <w:r>
              <w:rPr>
                <w:b/>
                <w:snapToGrid w:val="0"/>
                <w:sz w:val="24"/>
              </w:rPr>
              <w:t>固体废物影响分析</w:t>
            </w:r>
          </w:p>
          <w:p w14:paraId="7F151FD3">
            <w:pPr>
              <w:autoSpaceDE w:val="0"/>
              <w:autoSpaceDN w:val="0"/>
              <w:adjustRightInd w:val="0"/>
              <w:spacing w:line="300" w:lineRule="auto"/>
              <w:ind w:firstLine="480" w:firstLineChars="200"/>
              <w:rPr>
                <w:kern w:val="0"/>
                <w:sz w:val="24"/>
              </w:rPr>
            </w:pPr>
            <w:r>
              <w:rPr>
                <w:kern w:val="0"/>
                <w:sz w:val="24"/>
              </w:rPr>
              <w:t>运营期固体废物主要为</w:t>
            </w:r>
            <w:r>
              <w:rPr>
                <w:rFonts w:hint="eastAsia"/>
                <w:kern w:val="0"/>
                <w:sz w:val="24"/>
              </w:rPr>
              <w:t>沿线设施</w:t>
            </w:r>
            <w:r>
              <w:rPr>
                <w:kern w:val="0"/>
                <w:sz w:val="24"/>
              </w:rPr>
              <w:t>的生活垃圾。</w:t>
            </w:r>
          </w:p>
          <w:p w14:paraId="6872EAC5">
            <w:pPr>
              <w:autoSpaceDE w:val="0"/>
              <w:autoSpaceDN w:val="0"/>
              <w:adjustRightInd w:val="0"/>
              <w:spacing w:line="300" w:lineRule="auto"/>
              <w:ind w:firstLine="480" w:firstLineChars="200"/>
              <w:rPr>
                <w:kern w:val="0"/>
                <w:sz w:val="24"/>
              </w:rPr>
            </w:pPr>
            <w:r>
              <w:rPr>
                <w:kern w:val="0"/>
                <w:sz w:val="24"/>
              </w:rPr>
              <w:t>人均垃圾产量按1kg/人</w:t>
            </w:r>
            <w:r>
              <w:rPr>
                <w:rFonts w:eastAsia="TimesNewRomanPSMT"/>
                <w:kern w:val="0"/>
                <w:sz w:val="24"/>
              </w:rPr>
              <w:t xml:space="preserve">•d </w:t>
            </w:r>
            <w:r>
              <w:rPr>
                <w:kern w:val="0"/>
                <w:sz w:val="24"/>
              </w:rPr>
              <w:t>计，运营期沿线服务设施垃圾产生量</w:t>
            </w:r>
            <w:r>
              <w:rPr>
                <w:kern w:val="0"/>
                <w:sz w:val="24"/>
                <w:highlight w:val="none"/>
              </w:rPr>
              <w:t>为0.</w:t>
            </w:r>
            <w:r>
              <w:rPr>
                <w:rFonts w:hint="eastAsia"/>
                <w:kern w:val="0"/>
                <w:sz w:val="24"/>
                <w:highlight w:val="none"/>
              </w:rPr>
              <w:t>0</w:t>
            </w:r>
            <w:r>
              <w:rPr>
                <w:rFonts w:hint="eastAsia"/>
                <w:kern w:val="0"/>
                <w:sz w:val="24"/>
                <w:highlight w:val="none"/>
                <w:lang w:val="en-US" w:eastAsia="zh-CN"/>
              </w:rPr>
              <w:t>6</w:t>
            </w:r>
            <w:r>
              <w:rPr>
                <w:kern w:val="0"/>
                <w:sz w:val="24"/>
                <w:highlight w:val="none"/>
              </w:rPr>
              <w:t>t/</w:t>
            </w:r>
            <w:r>
              <w:rPr>
                <w:rFonts w:eastAsia="TimesNewRomanPSMT"/>
                <w:kern w:val="0"/>
                <w:sz w:val="24"/>
                <w:highlight w:val="none"/>
              </w:rPr>
              <w:t>d，</w:t>
            </w:r>
            <w:r>
              <w:rPr>
                <w:rFonts w:eastAsia="TimesNewRomanPSMT"/>
                <w:kern w:val="0"/>
                <w:sz w:val="24"/>
              </w:rPr>
              <w:t xml:space="preserve"> </w:t>
            </w:r>
          </w:p>
          <w:p w14:paraId="1BA570FE">
            <w:pPr>
              <w:autoSpaceDE w:val="0"/>
              <w:autoSpaceDN w:val="0"/>
              <w:adjustRightInd w:val="0"/>
              <w:spacing w:line="300" w:lineRule="auto"/>
              <w:ind w:firstLine="33" w:firstLineChars="14"/>
              <w:rPr>
                <w:kern w:val="0"/>
                <w:sz w:val="24"/>
              </w:rPr>
            </w:pPr>
            <w:r>
              <w:rPr>
                <w:kern w:val="0"/>
                <w:sz w:val="24"/>
              </w:rPr>
              <w:t>生活垃圾收集后由环卫定期清运，不会对周边环境产生污染影响</w:t>
            </w:r>
            <w:r>
              <w:rPr>
                <w:sz w:val="24"/>
              </w:rPr>
              <w:t>。</w:t>
            </w:r>
          </w:p>
          <w:p w14:paraId="34EC898E">
            <w:pPr>
              <w:adjustRightInd w:val="0"/>
              <w:spacing w:before="120" w:beforeLines="50" w:line="300" w:lineRule="auto"/>
              <w:rPr>
                <w:b/>
                <w:snapToGrid w:val="0"/>
                <w:sz w:val="24"/>
              </w:rPr>
            </w:pPr>
            <w:r>
              <w:rPr>
                <w:rFonts w:hint="eastAsia"/>
                <w:b/>
                <w:snapToGrid w:val="0"/>
                <w:sz w:val="24"/>
              </w:rPr>
              <w:t>7</w:t>
            </w:r>
            <w:r>
              <w:rPr>
                <w:b/>
                <w:snapToGrid w:val="0"/>
                <w:sz w:val="24"/>
              </w:rPr>
              <w:t>. 环境风险</w:t>
            </w:r>
          </w:p>
          <w:p w14:paraId="7165D8C9">
            <w:pPr>
              <w:autoSpaceDE w:val="0"/>
              <w:autoSpaceDN w:val="0"/>
              <w:adjustRightInd w:val="0"/>
              <w:spacing w:line="300" w:lineRule="auto"/>
              <w:ind w:firstLine="472" w:firstLineChars="200"/>
              <w:rPr>
                <w:rFonts w:hint="default" w:ascii="Times New Roman" w:hAnsi="Times New Roman" w:cs="Times New Roman"/>
                <w:spacing w:val="-2"/>
                <w:kern w:val="0"/>
                <w:sz w:val="24"/>
              </w:rPr>
            </w:pPr>
            <w:r>
              <w:rPr>
                <w:rFonts w:hint="default" w:ascii="Times New Roman" w:hAnsi="Times New Roman" w:cs="Times New Roman"/>
                <w:spacing w:val="-2"/>
                <w:sz w:val="24"/>
              </w:rPr>
              <w:t>拟建公路沿线区域资源丰富，通过公路运输的危险品运输种类较多，主要包括石油、天然气、炸药以及其它有毒有害物质，项目</w:t>
            </w:r>
            <w:r>
              <w:rPr>
                <w:rFonts w:hint="eastAsia" w:cs="Times New Roman"/>
                <w:spacing w:val="-2"/>
                <w:sz w:val="24"/>
                <w:lang w:val="en-US" w:eastAsia="zh-CN"/>
              </w:rPr>
              <w:t>跨越水体1、水体2以及</w:t>
            </w:r>
            <w:r>
              <w:rPr>
                <w:rFonts w:hint="eastAsia" w:cs="Times New Roman"/>
                <w:spacing w:val="-2"/>
                <w:sz w:val="24"/>
                <w:lang w:eastAsia="zh-CN"/>
              </w:rPr>
              <w:t>临近</w:t>
            </w:r>
            <w:r>
              <w:rPr>
                <w:rFonts w:hint="default" w:ascii="Times New Roman" w:hAnsi="Times New Roman" w:cs="Times New Roman"/>
                <w:spacing w:val="-2"/>
                <w:sz w:val="24"/>
              </w:rPr>
              <w:t>伽师县城饮用水水源保护区</w:t>
            </w:r>
            <w:r>
              <w:rPr>
                <w:rFonts w:hint="eastAsia" w:cs="Times New Roman"/>
                <w:spacing w:val="-2"/>
                <w:sz w:val="24"/>
                <w:lang w:eastAsia="zh-CN"/>
              </w:rPr>
              <w:t>，</w:t>
            </w:r>
            <w:r>
              <w:rPr>
                <w:rFonts w:hint="eastAsia" w:cs="Times New Roman"/>
                <w:spacing w:val="-2"/>
                <w:sz w:val="24"/>
                <w:lang w:val="en-US" w:eastAsia="zh-CN"/>
              </w:rPr>
              <w:t>此外路线两侧分布有大片农田</w:t>
            </w:r>
            <w:r>
              <w:rPr>
                <w:rFonts w:hint="default" w:ascii="Times New Roman" w:hAnsi="Times New Roman" w:cs="Times New Roman"/>
                <w:spacing w:val="-2"/>
                <w:sz w:val="24"/>
              </w:rPr>
              <w:t>。因此，拟建公路的环境风险主要来自危险化学品运输车辆事故对沿线水体</w:t>
            </w:r>
            <w:r>
              <w:rPr>
                <w:rFonts w:hint="eastAsia" w:cs="Times New Roman"/>
                <w:spacing w:val="-2"/>
                <w:sz w:val="24"/>
                <w:lang w:eastAsia="zh-CN"/>
              </w:rPr>
              <w:t>、</w:t>
            </w:r>
            <w:r>
              <w:rPr>
                <w:rFonts w:hint="default" w:ascii="Times New Roman" w:hAnsi="Times New Roman" w:cs="Times New Roman"/>
                <w:spacing w:val="-2"/>
                <w:sz w:val="24"/>
              </w:rPr>
              <w:t>水源保护区</w:t>
            </w:r>
            <w:r>
              <w:rPr>
                <w:rFonts w:hint="eastAsia" w:cs="Times New Roman"/>
                <w:spacing w:val="-2"/>
                <w:sz w:val="24"/>
                <w:lang w:val="en-US" w:eastAsia="zh-CN"/>
              </w:rPr>
              <w:t>以及农业灌溉</w:t>
            </w:r>
            <w:r>
              <w:rPr>
                <w:rFonts w:hint="default" w:ascii="Times New Roman" w:hAnsi="Times New Roman" w:cs="Times New Roman"/>
                <w:spacing w:val="-2"/>
                <w:sz w:val="24"/>
              </w:rPr>
              <w:t>影响。</w:t>
            </w:r>
            <w:r>
              <w:rPr>
                <w:rFonts w:hint="default" w:ascii="Times New Roman" w:hAnsi="Times New Roman" w:cs="Times New Roman"/>
                <w:spacing w:val="-2"/>
                <w:kern w:val="0"/>
                <w:sz w:val="24"/>
              </w:rPr>
              <w:t>一般来说，交通事故中一般事故所占比重较大，重大事故次之，特大事故发生的</w:t>
            </w:r>
            <w:r>
              <w:rPr>
                <w:rFonts w:hint="eastAsia" w:cs="Times New Roman"/>
                <w:spacing w:val="-2"/>
                <w:kern w:val="0"/>
                <w:sz w:val="24"/>
                <w:lang w:eastAsia="zh-CN"/>
              </w:rPr>
              <w:t>概率</w:t>
            </w:r>
            <w:r>
              <w:rPr>
                <w:rFonts w:hint="default" w:ascii="Times New Roman" w:hAnsi="Times New Roman" w:cs="Times New Roman"/>
                <w:spacing w:val="-2"/>
                <w:kern w:val="0"/>
                <w:sz w:val="24"/>
              </w:rPr>
              <w:t>最小。一旦发生危险品运输事故会对环境造成严重污染。</w:t>
            </w:r>
          </w:p>
          <w:p w14:paraId="79237B62">
            <w:pPr>
              <w:autoSpaceDE w:val="0"/>
              <w:autoSpaceDN w:val="0"/>
              <w:adjustRightInd w:val="0"/>
              <w:spacing w:line="300" w:lineRule="auto"/>
              <w:ind w:firstLine="472" w:firstLineChars="200"/>
              <w:rPr>
                <w:rFonts w:hint="default" w:ascii="Times New Roman" w:hAnsi="Times New Roman" w:cs="Times New Roman"/>
                <w:color w:val="auto"/>
                <w:spacing w:val="-2"/>
                <w:kern w:val="0"/>
                <w:sz w:val="24"/>
              </w:rPr>
            </w:pPr>
            <w:r>
              <w:rPr>
                <w:rFonts w:hint="default" w:ascii="Times New Roman" w:hAnsi="Times New Roman" w:cs="Times New Roman"/>
                <w:color w:val="auto"/>
                <w:spacing w:val="-2"/>
                <w:kern w:val="0"/>
                <w:sz w:val="24"/>
                <w:lang w:val="en-US" w:eastAsia="zh-CN"/>
              </w:rPr>
              <w:t xml:space="preserve">(1) </w:t>
            </w:r>
            <w:r>
              <w:rPr>
                <w:rFonts w:hint="eastAsia" w:ascii="Times New Roman" w:hAnsi="Times New Roman" w:cs="Times New Roman"/>
                <w:color w:val="auto"/>
                <w:spacing w:val="-2"/>
                <w:kern w:val="0"/>
                <w:sz w:val="24"/>
                <w:lang w:val="en-US" w:eastAsia="zh-CN"/>
              </w:rPr>
              <w:t>临近</w:t>
            </w:r>
            <w:r>
              <w:rPr>
                <w:rFonts w:hint="default" w:ascii="Times New Roman" w:hAnsi="Times New Roman" w:cs="Times New Roman"/>
                <w:color w:val="auto"/>
                <w:spacing w:val="-2"/>
                <w:kern w:val="0"/>
                <w:sz w:val="24"/>
              </w:rPr>
              <w:t>饮用水源保护区路段环境风险预测与分析</w:t>
            </w:r>
          </w:p>
          <w:p w14:paraId="686E77B4">
            <w:pPr>
              <w:autoSpaceDE w:val="0"/>
              <w:autoSpaceDN w:val="0"/>
              <w:adjustRightInd w:val="0"/>
              <w:spacing w:line="300" w:lineRule="auto"/>
              <w:ind w:firstLine="472" w:firstLineChars="200"/>
              <w:rPr>
                <w:rFonts w:hint="default" w:ascii="Times New Roman" w:hAnsi="Times New Roman" w:cs="Times New Roman"/>
                <w:sz w:val="24"/>
                <w:szCs w:val="24"/>
                <w:lang w:val="en-US" w:eastAsia="zh-CN"/>
              </w:rPr>
            </w:pPr>
            <w:r>
              <w:rPr>
                <w:rFonts w:hint="default" w:ascii="Times New Roman" w:hAnsi="Times New Roman" w:cs="Times New Roman"/>
                <w:color w:val="auto"/>
                <w:spacing w:val="-2"/>
                <w:sz w:val="24"/>
                <w:lang w:val="en-US" w:eastAsia="zh-CN"/>
              </w:rPr>
              <w:t>拟建公路在K23+350~K23+450</w:t>
            </w:r>
            <w:r>
              <w:rPr>
                <w:rFonts w:hint="eastAsia" w:ascii="Times New Roman" w:hAnsi="Times New Roman" w:cs="Times New Roman"/>
                <w:color w:val="auto"/>
                <w:spacing w:val="-2"/>
                <w:sz w:val="24"/>
                <w:lang w:val="en-US" w:eastAsia="zh-CN"/>
              </w:rPr>
              <w:t>、</w:t>
            </w:r>
            <w:r>
              <w:rPr>
                <w:rFonts w:hint="default" w:ascii="Times New Roman" w:hAnsi="Times New Roman" w:cs="Times New Roman"/>
                <w:color w:val="auto"/>
                <w:spacing w:val="-2"/>
                <w:sz w:val="24"/>
                <w:lang w:val="en-US" w:eastAsia="zh-CN"/>
              </w:rPr>
              <w:t>K24+070~K24+170</w:t>
            </w:r>
            <w:r>
              <w:rPr>
                <w:rFonts w:hint="eastAsia" w:ascii="Times New Roman" w:hAnsi="Times New Roman" w:cs="Times New Roman"/>
                <w:color w:val="auto"/>
                <w:spacing w:val="-2"/>
                <w:sz w:val="24"/>
                <w:lang w:val="en-US" w:eastAsia="zh-CN"/>
              </w:rPr>
              <w:t>、</w:t>
            </w:r>
            <w:r>
              <w:rPr>
                <w:rFonts w:hint="default" w:ascii="Times New Roman" w:hAnsi="Times New Roman" w:cs="Times New Roman"/>
                <w:color w:val="auto"/>
                <w:spacing w:val="-2"/>
                <w:sz w:val="24"/>
                <w:lang w:val="en-US" w:eastAsia="zh-CN"/>
              </w:rPr>
              <w:t>K24+780~K24+860</w:t>
            </w:r>
            <w:r>
              <w:rPr>
                <w:rFonts w:hint="eastAsia" w:ascii="Times New Roman" w:hAnsi="Times New Roman" w:cs="Times New Roman"/>
                <w:color w:val="auto"/>
                <w:spacing w:val="-2"/>
                <w:sz w:val="24"/>
                <w:lang w:val="en-US" w:eastAsia="zh-CN"/>
              </w:rPr>
              <w:t>、</w:t>
            </w:r>
            <w:r>
              <w:rPr>
                <w:rFonts w:hint="default" w:ascii="Times New Roman" w:hAnsi="Times New Roman" w:cs="Times New Roman"/>
                <w:color w:val="auto"/>
                <w:spacing w:val="-2"/>
                <w:sz w:val="24"/>
                <w:lang w:val="en-US" w:eastAsia="zh-CN"/>
              </w:rPr>
              <w:t>K27+120~K27+260</w:t>
            </w:r>
            <w:r>
              <w:rPr>
                <w:rFonts w:hint="default" w:ascii="Times New Roman" w:hAnsi="Times New Roman" w:cs="Times New Roman"/>
                <w:sz w:val="24"/>
                <w:szCs w:val="24"/>
                <w:lang w:val="en-US" w:eastAsia="zh-CN"/>
              </w:rPr>
              <w:t>路段</w:t>
            </w:r>
            <w:r>
              <w:rPr>
                <w:rFonts w:hint="eastAsia" w:ascii="Times New Roman" w:hAnsi="Times New Roman" w:cs="Times New Roman"/>
                <w:color w:val="auto"/>
                <w:spacing w:val="-2"/>
                <w:sz w:val="24"/>
                <w:lang w:val="en-US" w:eastAsia="zh-CN"/>
              </w:rPr>
              <w:t>临近</w:t>
            </w:r>
            <w:r>
              <w:rPr>
                <w:rFonts w:hint="default" w:ascii="Times New Roman" w:hAnsi="Times New Roman" w:cs="Times New Roman"/>
                <w:spacing w:val="-2"/>
                <w:sz w:val="24"/>
              </w:rPr>
              <w:t>伽师县城饮用水水源保护区</w:t>
            </w:r>
            <w:r>
              <w:rPr>
                <w:rFonts w:hint="default" w:ascii="Times New Roman" w:hAnsi="Times New Roman" w:cs="Times New Roman"/>
                <w:sz w:val="24"/>
                <w:szCs w:val="24"/>
                <w:lang w:val="en-US" w:eastAsia="zh-CN"/>
              </w:rPr>
              <w:t>。</w:t>
            </w:r>
          </w:p>
          <w:p w14:paraId="22DDA178">
            <w:pPr>
              <w:autoSpaceDE w:val="0"/>
              <w:autoSpaceDN w:val="0"/>
              <w:adjustRightInd w:val="0"/>
              <w:spacing w:line="30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危险品运输事故污染概率分析采用如下估算公式：</w:t>
            </w:r>
          </w:p>
          <w:p w14:paraId="5E2158DD">
            <w:pPr>
              <w:keepNext w:val="0"/>
              <w:keepLines w:val="0"/>
              <w:pageBreakBefore w:val="0"/>
              <w:widowControl w:val="0"/>
              <w:kinsoku/>
              <w:wordWrap/>
              <w:overflowPunct/>
              <w:topLinePunct w:val="0"/>
              <w:autoSpaceDE w:val="0"/>
              <w:autoSpaceDN w:val="0"/>
              <w:bidi w:val="0"/>
              <w:adjustRightInd w:val="0"/>
              <w:snapToGrid/>
              <w:spacing w:line="300" w:lineRule="auto"/>
              <w:ind w:firstLine="2160" w:firstLineChars="900"/>
              <w:textAlignment w:val="auto"/>
              <w:rPr>
                <w:rFonts w:hint="default" w:ascii="Times New Roman" w:hAnsi="Times New Roman" w:eastAsia="宋体" w:cs="Times New Roman"/>
                <w:i/>
                <w:sz w:val="24"/>
                <w:szCs w:val="24"/>
                <w:vertAlign w:val="subscript"/>
                <w:lang w:val="en-US" w:eastAsia="zh-CN"/>
              </w:rPr>
            </w:pPr>
            <w:r>
              <w:rPr>
                <w:rFonts w:hint="default" w:ascii="Times New Roman" w:hAnsi="Times New Roman" w:eastAsia="Times New Roman" w:cs="Times New Roman"/>
                <w:i/>
                <w:sz w:val="24"/>
                <w:szCs w:val="24"/>
              </w:rPr>
              <w:t>P</w:t>
            </w:r>
            <w:r>
              <w:rPr>
                <w:rFonts w:hint="default" w:ascii="Times New Roman" w:hAnsi="Times New Roman" w:eastAsia="宋体" w:cs="Times New Roman"/>
                <w:i/>
                <w:sz w:val="24"/>
                <w:szCs w:val="24"/>
                <w:lang w:val="en-US" w:eastAsia="zh-CN"/>
              </w:rPr>
              <w:t xml:space="preserve"> </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Times New Roman" w:cs="Times New Roman"/>
                <w:i/>
                <w:sz w:val="24"/>
                <w:szCs w:val="24"/>
              </w:rPr>
              <w:t>R×</w:t>
            </w:r>
            <w:r>
              <w:rPr>
                <w:rFonts w:hint="default" w:ascii="Times New Roman" w:hAnsi="Times New Roman" w:eastAsia="宋体" w:cs="Times New Roman"/>
                <w:i/>
                <w:sz w:val="24"/>
                <w:szCs w:val="24"/>
                <w:lang w:val="en-US" w:eastAsia="zh-CN"/>
              </w:rPr>
              <w:t xml:space="preserve"> </w:t>
            </w:r>
            <w:r>
              <w:rPr>
                <w:rFonts w:hint="default" w:ascii="Times New Roman" w:hAnsi="Times New Roman" w:eastAsia="Times New Roman" w:cs="Times New Roman"/>
                <w:i/>
                <w:sz w:val="24"/>
                <w:szCs w:val="24"/>
              </w:rPr>
              <w:t>Q× L×</w:t>
            </w:r>
            <w:r>
              <w:rPr>
                <w:rFonts w:hint="default" w:ascii="Times New Roman" w:hAnsi="Times New Roman" w:eastAsia="宋体" w:cs="Times New Roman"/>
                <w:i/>
                <w:sz w:val="24"/>
                <w:szCs w:val="24"/>
                <w:lang w:val="en-US" w:eastAsia="zh-CN"/>
              </w:rPr>
              <w:t xml:space="preserve"> </w:t>
            </w:r>
            <w:r>
              <w:rPr>
                <w:rFonts w:hint="default" w:ascii="Times New Roman" w:hAnsi="Times New Roman" w:eastAsia="Times New Roman" w:cs="Times New Roman"/>
                <w:i/>
                <w:sz w:val="24"/>
                <w:szCs w:val="24"/>
              </w:rPr>
              <w:t>K</w:t>
            </w:r>
            <w:r>
              <w:rPr>
                <w:rFonts w:hint="default" w:ascii="Times New Roman" w:hAnsi="Times New Roman" w:eastAsia="宋体" w:cs="Times New Roman"/>
                <w:i/>
                <w:sz w:val="24"/>
                <w:szCs w:val="24"/>
                <w:vertAlign w:val="subscript"/>
                <w:lang w:val="en-US" w:eastAsia="zh-CN"/>
              </w:rPr>
              <w:t>1</w:t>
            </w:r>
            <w:r>
              <w:rPr>
                <w:rFonts w:hint="default" w:ascii="Times New Roman" w:hAnsi="Times New Roman" w:eastAsia="宋体" w:cs="Times New Roman"/>
                <w:i/>
                <w:sz w:val="24"/>
                <w:szCs w:val="24"/>
                <w:vertAlign w:val="baseline"/>
                <w:lang w:val="en-US" w:eastAsia="zh-CN"/>
              </w:rPr>
              <w:t xml:space="preserve">× </w:t>
            </w:r>
            <w:r>
              <w:rPr>
                <w:rFonts w:hint="default" w:ascii="Times New Roman" w:hAnsi="Times New Roman" w:eastAsia="Times New Roman" w:cs="Times New Roman"/>
                <w:i/>
                <w:sz w:val="24"/>
                <w:szCs w:val="24"/>
              </w:rPr>
              <w:t>K</w:t>
            </w:r>
            <w:r>
              <w:rPr>
                <w:rFonts w:hint="default" w:ascii="Times New Roman" w:hAnsi="Times New Roman" w:eastAsia="宋体" w:cs="Times New Roman"/>
                <w:i/>
                <w:sz w:val="24"/>
                <w:szCs w:val="24"/>
                <w:vertAlign w:val="subscript"/>
                <w:lang w:val="en-US" w:eastAsia="zh-CN"/>
              </w:rPr>
              <w:t>2</w:t>
            </w:r>
          </w:p>
          <w:p w14:paraId="0F98DF68">
            <w:pPr>
              <w:keepNext w:val="0"/>
              <w:keepLines w:val="0"/>
              <w:pageBreakBefore w:val="0"/>
              <w:widowControl w:val="0"/>
              <w:kinsoku/>
              <w:wordWrap/>
              <w:overflowPunct/>
              <w:topLinePunct w:val="0"/>
              <w:autoSpaceDE w:val="0"/>
              <w:autoSpaceDN w:val="0"/>
              <w:bidi w:val="0"/>
              <w:adjustRightInd w:val="0"/>
              <w:snapToGrid/>
              <w:spacing w:line="300" w:lineRule="auto"/>
              <w:ind w:firstLine="480" w:firstLineChars="200"/>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i w:val="0"/>
                <w:iCs/>
                <w:sz w:val="24"/>
                <w:szCs w:val="24"/>
                <w:vertAlign w:val="baseline"/>
                <w:lang w:val="en-US" w:eastAsia="zh-CN"/>
              </w:rPr>
              <w:t>式中：</w:t>
            </w:r>
            <w:r>
              <w:rPr>
                <w:rFonts w:hint="default" w:ascii="Times New Roman" w:hAnsi="Times New Roman" w:eastAsia="Times New Roman" w:cs="Times New Roman"/>
                <w:i/>
                <w:sz w:val="24"/>
                <w:szCs w:val="24"/>
              </w:rPr>
              <w:t>P</w:t>
            </w:r>
            <w:r>
              <w:rPr>
                <w:rFonts w:hint="default" w:ascii="Times New Roman" w:hAnsi="Times New Roman" w:eastAsia="宋体" w:cs="Times New Roman"/>
                <w:i w:val="0"/>
                <w:iCs/>
                <w:sz w:val="24"/>
                <w:szCs w:val="24"/>
                <w:lang w:val="en-US" w:eastAsia="zh-CN"/>
              </w:rPr>
              <w:t>—</w:t>
            </w:r>
            <w:r>
              <w:rPr>
                <w:rFonts w:hint="default" w:ascii="Times New Roman" w:hAnsi="Times New Roman" w:eastAsia="宋体" w:cs="Times New Roman"/>
                <w:sz w:val="24"/>
                <w:szCs w:val="24"/>
              </w:rPr>
              <w:t>主要路段危险品运输事故污染概率（次</w:t>
            </w:r>
            <w:r>
              <w:rPr>
                <w:rFonts w:hint="default" w:ascii="Times New Roman" w:hAnsi="Times New Roman" w:eastAsia="宋体" w:cs="Times New Roman"/>
                <w:sz w:val="24"/>
                <w:szCs w:val="21"/>
              </w:rPr>
              <w:t>/年）</w:t>
            </w:r>
            <w:r>
              <w:rPr>
                <w:rFonts w:hint="eastAsia" w:ascii="Times New Roman" w:hAnsi="Times New Roman" w:eastAsia="宋体" w:cs="Times New Roman"/>
                <w:sz w:val="24"/>
                <w:szCs w:val="21"/>
                <w:lang w:eastAsia="zh-CN"/>
              </w:rPr>
              <w:t>；</w:t>
            </w:r>
          </w:p>
          <w:p w14:paraId="31C26D31">
            <w:pPr>
              <w:keepNext w:val="0"/>
              <w:keepLines w:val="0"/>
              <w:pageBreakBefore w:val="0"/>
              <w:widowControl w:val="0"/>
              <w:kinsoku/>
              <w:wordWrap/>
              <w:overflowPunct/>
              <w:topLinePunct w:val="0"/>
              <w:bidi w:val="0"/>
              <w:snapToGrid/>
              <w:spacing w:beforeLines="0" w:afterLines="0" w:line="300" w:lineRule="auto"/>
              <w:ind w:firstLine="1200" w:firstLineChars="500"/>
              <w:jc w:val="left"/>
              <w:textAlignment w:val="auto"/>
              <w:rPr>
                <w:rFonts w:hint="default" w:ascii="Times New Roman" w:hAnsi="Times New Roman" w:eastAsia="宋体" w:cs="Times New Roman"/>
                <w:sz w:val="24"/>
                <w:szCs w:val="24"/>
              </w:rPr>
            </w:pPr>
            <w:r>
              <w:rPr>
                <w:rFonts w:hint="default" w:ascii="Times New Roman" w:hAnsi="Times New Roman" w:eastAsia="Times New Roman" w:cs="Times New Roman"/>
                <w:i/>
                <w:sz w:val="24"/>
                <w:szCs w:val="24"/>
              </w:rPr>
              <w:t>R</w:t>
            </w:r>
            <w:r>
              <w:rPr>
                <w:rFonts w:hint="default" w:ascii="Times New Roman" w:hAnsi="Times New Roman" w:eastAsia="宋体" w:cs="Times New Roman"/>
                <w:sz w:val="24"/>
                <w:szCs w:val="24"/>
              </w:rPr>
              <w:t>—新疆公路重特大交通事故平均发生率（次</w:t>
            </w:r>
            <w:r>
              <w:rPr>
                <w:rFonts w:hint="default" w:ascii="Times New Roman" w:hAnsi="Times New Roman" w:eastAsia="TimesNewRomanPSMT" w:cs="Times New Roman"/>
                <w:sz w:val="24"/>
                <w:szCs w:val="24"/>
              </w:rPr>
              <w:t>/</w:t>
            </w:r>
            <w:r>
              <w:rPr>
                <w:rFonts w:hint="default" w:ascii="Times New Roman" w:hAnsi="Times New Roman" w:eastAsia="宋体" w:cs="Times New Roman"/>
                <w:sz w:val="24"/>
                <w:szCs w:val="24"/>
              </w:rPr>
              <w:t>百万车公里）</w:t>
            </w:r>
            <w:r>
              <w:rPr>
                <w:rFonts w:hint="default" w:ascii="Times New Roman" w:hAnsi="Times New Roman" w:eastAsia="宋体" w:cs="Times New Roman"/>
                <w:sz w:val="24"/>
                <w:szCs w:val="21"/>
              </w:rPr>
              <w:t>；</w:t>
            </w:r>
          </w:p>
          <w:p w14:paraId="44F8139D">
            <w:pPr>
              <w:keepNext w:val="0"/>
              <w:keepLines w:val="0"/>
              <w:pageBreakBefore w:val="0"/>
              <w:widowControl w:val="0"/>
              <w:kinsoku/>
              <w:wordWrap/>
              <w:overflowPunct/>
              <w:topLinePunct w:val="0"/>
              <w:bidi w:val="0"/>
              <w:snapToGrid/>
              <w:spacing w:beforeLines="0" w:afterLines="0" w:line="300" w:lineRule="auto"/>
              <w:ind w:firstLine="1200" w:firstLineChars="500"/>
              <w:jc w:val="left"/>
              <w:textAlignment w:val="auto"/>
              <w:rPr>
                <w:rFonts w:hint="default" w:ascii="Times New Roman" w:hAnsi="Times New Roman" w:eastAsia="宋体" w:cs="Times New Roman"/>
                <w:sz w:val="24"/>
                <w:szCs w:val="24"/>
              </w:rPr>
            </w:pPr>
            <w:r>
              <w:rPr>
                <w:rFonts w:hint="default" w:ascii="Times New Roman" w:hAnsi="Times New Roman" w:eastAsia="Times New Roman" w:cs="Times New Roman"/>
                <w:i/>
                <w:sz w:val="24"/>
                <w:szCs w:val="24"/>
              </w:rPr>
              <w:t>Q</w:t>
            </w:r>
            <w:r>
              <w:rPr>
                <w:rFonts w:hint="default" w:ascii="Times New Roman" w:hAnsi="Times New Roman" w:eastAsia="宋体" w:cs="Times New Roman"/>
                <w:sz w:val="24"/>
                <w:szCs w:val="24"/>
              </w:rPr>
              <w:t>—预测交通量（百万辆</w:t>
            </w:r>
            <w:r>
              <w:rPr>
                <w:rFonts w:hint="default" w:ascii="Times New Roman" w:hAnsi="Times New Roman" w:eastAsia="TimesNewRomanPSMT" w:cs="Times New Roman"/>
                <w:sz w:val="24"/>
                <w:szCs w:val="24"/>
              </w:rPr>
              <w:t>/</w:t>
            </w:r>
            <w:r>
              <w:rPr>
                <w:rFonts w:hint="default" w:ascii="Times New Roman" w:hAnsi="Times New Roman" w:eastAsia="宋体" w:cs="Times New Roman"/>
                <w:sz w:val="24"/>
                <w:szCs w:val="24"/>
              </w:rPr>
              <w:t>日）；</w:t>
            </w:r>
          </w:p>
          <w:p w14:paraId="43E4E632">
            <w:pPr>
              <w:keepNext w:val="0"/>
              <w:keepLines w:val="0"/>
              <w:pageBreakBefore w:val="0"/>
              <w:widowControl w:val="0"/>
              <w:kinsoku/>
              <w:wordWrap/>
              <w:overflowPunct/>
              <w:topLinePunct w:val="0"/>
              <w:bidi w:val="0"/>
              <w:snapToGrid/>
              <w:spacing w:beforeLines="0" w:afterLines="0" w:line="300" w:lineRule="auto"/>
              <w:ind w:firstLine="1200" w:firstLineChars="500"/>
              <w:jc w:val="left"/>
              <w:textAlignment w:val="auto"/>
              <w:rPr>
                <w:rFonts w:hint="default" w:ascii="Times New Roman" w:hAnsi="Times New Roman" w:eastAsia="宋体" w:cs="Times New Roman"/>
                <w:sz w:val="24"/>
                <w:szCs w:val="24"/>
              </w:rPr>
            </w:pPr>
            <w:r>
              <w:rPr>
                <w:rFonts w:hint="default" w:ascii="Times New Roman" w:hAnsi="Times New Roman" w:eastAsia="Times New Roman" w:cs="Times New Roman"/>
                <w:i/>
                <w:sz w:val="24"/>
                <w:szCs w:val="24"/>
              </w:rPr>
              <w:t>L</w:t>
            </w:r>
            <w:r>
              <w:rPr>
                <w:rFonts w:hint="default" w:ascii="Times New Roman" w:hAnsi="Times New Roman" w:eastAsia="宋体" w:cs="Times New Roman"/>
                <w:sz w:val="24"/>
                <w:szCs w:val="24"/>
              </w:rPr>
              <w:t>—敏感路段里程（公里）；</w:t>
            </w:r>
          </w:p>
          <w:p w14:paraId="4A2A83B4">
            <w:pPr>
              <w:keepNext w:val="0"/>
              <w:keepLines w:val="0"/>
              <w:pageBreakBefore w:val="0"/>
              <w:widowControl w:val="0"/>
              <w:kinsoku/>
              <w:wordWrap/>
              <w:overflowPunct/>
              <w:topLinePunct w:val="0"/>
              <w:bidi w:val="0"/>
              <w:snapToGrid/>
              <w:spacing w:beforeLines="0" w:afterLines="0" w:line="300" w:lineRule="auto"/>
              <w:ind w:firstLine="1200" w:firstLineChars="500"/>
              <w:jc w:val="both"/>
              <w:textAlignment w:val="auto"/>
              <w:rPr>
                <w:rFonts w:hint="default" w:ascii="Times New Roman" w:hAnsi="Times New Roman" w:eastAsia="宋体" w:cs="Times New Roman"/>
                <w:sz w:val="24"/>
                <w:szCs w:val="24"/>
              </w:rPr>
            </w:pPr>
            <w:r>
              <w:rPr>
                <w:rFonts w:hint="default" w:ascii="Times New Roman" w:hAnsi="Times New Roman" w:eastAsia="Times New Roman" w:cs="Times New Roman"/>
                <w:i/>
                <w:sz w:val="24"/>
                <w:szCs w:val="24"/>
              </w:rPr>
              <w:t>K</w:t>
            </w:r>
            <w:r>
              <w:rPr>
                <w:rFonts w:hint="default" w:ascii="Times New Roman" w:hAnsi="Times New Roman" w:eastAsia="宋体" w:cs="Times New Roman"/>
                <w:i/>
                <w:sz w:val="24"/>
                <w:szCs w:val="24"/>
                <w:vertAlign w:val="subscript"/>
                <w:lang w:val="en-US" w:eastAsia="zh-CN"/>
              </w:rPr>
              <w:t>1</w:t>
            </w:r>
            <w:r>
              <w:rPr>
                <w:rFonts w:hint="default" w:ascii="Times New Roman" w:hAnsi="Times New Roman" w:eastAsia="宋体" w:cs="Times New Roman"/>
                <w:sz w:val="24"/>
                <w:szCs w:val="24"/>
              </w:rPr>
              <w:t>—运输危险品占货运量的比率（</w:t>
            </w:r>
            <w:r>
              <w:rPr>
                <w:rFonts w:hint="default" w:ascii="Times New Roman" w:hAnsi="Times New Roman" w:eastAsia="宋体" w:cs="Times New Roman"/>
                <w:sz w:val="24"/>
                <w:szCs w:val="24"/>
                <w:lang w:val="en-US" w:eastAsia="zh-CN"/>
              </w:rPr>
              <w:t>%</w:t>
            </w:r>
            <w:r>
              <w:rPr>
                <w:rFonts w:hint="default" w:ascii="Times New Roman" w:hAnsi="Times New Roman" w:eastAsia="宋体" w:cs="Times New Roman"/>
                <w:sz w:val="24"/>
                <w:szCs w:val="24"/>
              </w:rPr>
              <w:t>）；</w:t>
            </w:r>
          </w:p>
          <w:p w14:paraId="43EF123B">
            <w:pPr>
              <w:keepNext w:val="0"/>
              <w:keepLines w:val="0"/>
              <w:pageBreakBefore w:val="0"/>
              <w:widowControl w:val="0"/>
              <w:kinsoku/>
              <w:wordWrap/>
              <w:overflowPunct/>
              <w:topLinePunct w:val="0"/>
              <w:autoSpaceDE w:val="0"/>
              <w:autoSpaceDN w:val="0"/>
              <w:bidi w:val="0"/>
              <w:adjustRightInd w:val="0"/>
              <w:snapToGrid/>
              <w:spacing w:line="30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TimesNewRomanPSMT" w:cs="Times New Roman"/>
                <w:sz w:val="24"/>
                <w:szCs w:val="24"/>
              </w:rPr>
              <w:t xml:space="preserve"> </w:t>
            </w:r>
            <w:r>
              <w:rPr>
                <w:rFonts w:hint="default" w:ascii="Times New Roman" w:hAnsi="Times New Roman" w:eastAsia="TimesNewRomanPSMT" w:cs="Times New Roman"/>
                <w:sz w:val="24"/>
                <w:szCs w:val="24"/>
                <w:lang w:val="en-US" w:eastAsia="zh-CN"/>
              </w:rPr>
              <w:t xml:space="preserve">     </w:t>
            </w:r>
            <w:r>
              <w:rPr>
                <w:rFonts w:hint="default" w:ascii="Times New Roman" w:hAnsi="Times New Roman" w:eastAsia="Times New Roman" w:cs="Times New Roman"/>
                <w:i/>
                <w:sz w:val="24"/>
                <w:szCs w:val="24"/>
              </w:rPr>
              <w:t>K</w:t>
            </w:r>
            <w:r>
              <w:rPr>
                <w:rFonts w:hint="default" w:ascii="Times New Roman" w:hAnsi="Times New Roman" w:eastAsia="宋体" w:cs="Times New Roman"/>
                <w:i/>
                <w:sz w:val="24"/>
                <w:szCs w:val="24"/>
                <w:vertAlign w:val="subscript"/>
                <w:lang w:val="en-US" w:eastAsia="zh-CN"/>
              </w:rPr>
              <w:t>2</w:t>
            </w:r>
            <w:r>
              <w:rPr>
                <w:rFonts w:hint="default" w:ascii="Times New Roman" w:hAnsi="Times New Roman" w:eastAsia="宋体" w:cs="Times New Roman"/>
                <w:sz w:val="24"/>
                <w:szCs w:val="24"/>
              </w:rPr>
              <w:t>—货运占总交通量的比率（</w:t>
            </w:r>
            <w:r>
              <w:rPr>
                <w:rFonts w:hint="default" w:ascii="Times New Roman" w:hAnsi="Times New Roman" w:eastAsia="宋体" w:cs="Times New Roman"/>
                <w:sz w:val="24"/>
                <w:szCs w:val="24"/>
                <w:lang w:val="en-US" w:eastAsia="zh-CN"/>
              </w:rPr>
              <w:t>%</w:t>
            </w:r>
            <w:r>
              <w:rPr>
                <w:rFonts w:hint="default" w:ascii="Times New Roman" w:hAnsi="Times New Roman" w:eastAsia="宋体" w:cs="Times New Roman"/>
                <w:sz w:val="24"/>
                <w:szCs w:val="24"/>
              </w:rPr>
              <w:t>）。</w:t>
            </w:r>
          </w:p>
          <w:p w14:paraId="11FEB14A">
            <w:pPr>
              <w:keepNext w:val="0"/>
              <w:keepLines w:val="0"/>
              <w:pageBreakBefore w:val="0"/>
              <w:widowControl w:val="0"/>
              <w:kinsoku/>
              <w:wordWrap/>
              <w:overflowPunct/>
              <w:topLinePunct w:val="0"/>
              <w:autoSpaceDE w:val="0"/>
              <w:autoSpaceDN w:val="0"/>
              <w:bidi w:val="0"/>
              <w:adjustRightInd w:val="0"/>
              <w:snapToGrid/>
              <w:spacing w:after="157" w:afterLines="50" w:line="300" w:lineRule="auto"/>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通过对新疆维吾尔自治区公路交通事故的调查，其近年的平均交通事故率约为0.185次/百万车公里，并根据工程可行性研究报告和现有统计资料，计算出拟建公路交通走廊带的化学危险品比率</w:t>
            </w:r>
            <w:r>
              <w:rPr>
                <w:rFonts w:hint="default" w:ascii="Times New Roman" w:hAnsi="Times New Roman" w:eastAsia="Times New Roman" w:cs="Times New Roman"/>
                <w:i/>
                <w:sz w:val="24"/>
                <w:szCs w:val="24"/>
              </w:rPr>
              <w:t>K</w:t>
            </w:r>
            <w:r>
              <w:rPr>
                <w:rFonts w:hint="default" w:ascii="Times New Roman" w:hAnsi="Times New Roman" w:eastAsia="宋体" w:cs="Times New Roman"/>
                <w:i/>
                <w:sz w:val="24"/>
                <w:szCs w:val="24"/>
                <w:vertAlign w:val="subscript"/>
                <w:lang w:val="en-US" w:eastAsia="zh-CN"/>
              </w:rPr>
              <w:t>1</w:t>
            </w:r>
            <w:r>
              <w:rPr>
                <w:rFonts w:hint="default" w:ascii="Times New Roman" w:hAnsi="Times New Roman" w:eastAsia="宋体" w:cs="Times New Roman"/>
                <w:sz w:val="24"/>
                <w:szCs w:val="24"/>
                <w:lang w:val="en-US" w:eastAsia="zh-CN"/>
              </w:rPr>
              <w:t>及不同路段货车比率</w:t>
            </w:r>
            <w:r>
              <w:rPr>
                <w:rFonts w:hint="default" w:ascii="Times New Roman" w:hAnsi="Times New Roman" w:eastAsia="Times New Roman" w:cs="Times New Roman"/>
                <w:i/>
                <w:sz w:val="24"/>
                <w:szCs w:val="24"/>
              </w:rPr>
              <w:t>K</w:t>
            </w:r>
            <w:r>
              <w:rPr>
                <w:rFonts w:hint="default" w:ascii="Times New Roman" w:hAnsi="Times New Roman" w:eastAsia="宋体" w:cs="Times New Roman"/>
                <w:i/>
                <w:sz w:val="24"/>
                <w:szCs w:val="24"/>
                <w:vertAlign w:val="subscript"/>
                <w:lang w:val="en-US" w:eastAsia="zh-CN"/>
              </w:rPr>
              <w:t>2</w:t>
            </w:r>
            <w:r>
              <w:rPr>
                <w:rFonts w:hint="default" w:ascii="Times New Roman" w:hAnsi="Times New Roman" w:eastAsia="宋体" w:cs="Times New Roman"/>
                <w:sz w:val="24"/>
                <w:szCs w:val="24"/>
                <w:lang w:val="en-US" w:eastAsia="zh-CN"/>
              </w:rPr>
              <w:t>，对拟建</w:t>
            </w:r>
            <w:r>
              <w:rPr>
                <w:rFonts w:hint="eastAsia" w:ascii="Times New Roman" w:hAnsi="Times New Roman" w:eastAsia="宋体" w:cs="Times New Roman"/>
                <w:sz w:val="24"/>
                <w:szCs w:val="24"/>
                <w:lang w:val="en-US" w:eastAsia="zh-CN"/>
              </w:rPr>
              <w:t>公路临近</w:t>
            </w:r>
            <w:r>
              <w:rPr>
                <w:rFonts w:hint="default" w:ascii="Times New Roman" w:hAnsi="Times New Roman" w:eastAsia="宋体" w:cs="Times New Roman"/>
                <w:sz w:val="24"/>
                <w:szCs w:val="24"/>
                <w:lang w:val="en-US" w:eastAsia="zh-CN"/>
              </w:rPr>
              <w:t>水源保护区路段进行事故概率计算，结果见表</w:t>
            </w:r>
            <w:r>
              <w:rPr>
                <w:rFonts w:hint="eastAsia" w:ascii="Times New Roman" w:hAnsi="Times New Roman" w:eastAsia="宋体" w:cs="Times New Roman"/>
                <w:sz w:val="24"/>
                <w:szCs w:val="24"/>
                <w:lang w:val="en-US" w:eastAsia="zh-CN"/>
              </w:rPr>
              <w:t>4</w:t>
            </w:r>
            <w:r>
              <w:rPr>
                <w:rFonts w:hint="default" w:ascii="Times New Roman" w:hAnsi="Times New Roman" w:eastAsia="宋体" w:cs="Times New Roman"/>
                <w:sz w:val="24"/>
                <w:szCs w:val="24"/>
                <w:lang w:val="en-US" w:eastAsia="zh-CN"/>
              </w:rPr>
              <w:t>-</w:t>
            </w:r>
            <w:r>
              <w:rPr>
                <w:rFonts w:hint="eastAsia" w:cs="Times New Roman"/>
                <w:sz w:val="24"/>
                <w:szCs w:val="24"/>
                <w:lang w:val="en-US" w:eastAsia="zh-CN"/>
              </w:rPr>
              <w:t>6</w:t>
            </w:r>
            <w:r>
              <w:rPr>
                <w:rFonts w:hint="default" w:ascii="Times New Roman" w:hAnsi="Times New Roman" w:eastAsia="宋体" w:cs="Times New Roman"/>
                <w:sz w:val="24"/>
                <w:szCs w:val="24"/>
                <w:lang w:val="en-US" w:eastAsia="zh-CN"/>
              </w:rPr>
              <w:t>。</w:t>
            </w:r>
          </w:p>
          <w:p w14:paraId="6CA44F27">
            <w:pPr>
              <w:keepNext w:val="0"/>
              <w:keepLines w:val="0"/>
              <w:pageBreakBefore w:val="0"/>
              <w:widowControl w:val="0"/>
              <w:kinsoku/>
              <w:wordWrap/>
              <w:overflowPunct/>
              <w:topLinePunct w:val="0"/>
              <w:autoSpaceDE w:val="0"/>
              <w:autoSpaceDN w:val="0"/>
              <w:bidi w:val="0"/>
              <w:adjustRightInd w:val="0"/>
              <w:snapToGrid/>
              <w:spacing w:after="157" w:afterLines="50" w:line="300" w:lineRule="auto"/>
              <w:ind w:firstLine="480" w:firstLineChars="200"/>
              <w:textAlignment w:val="auto"/>
              <w:rPr>
                <w:rFonts w:hint="default" w:ascii="Times New Roman" w:hAnsi="Times New Roman" w:eastAsia="宋体" w:cs="Times New Roman"/>
                <w:sz w:val="24"/>
                <w:szCs w:val="24"/>
                <w:lang w:val="en-US" w:eastAsia="zh-CN"/>
              </w:rPr>
            </w:pPr>
          </w:p>
          <w:p w14:paraId="6525E4AD">
            <w:pPr>
              <w:keepNext w:val="0"/>
              <w:keepLines w:val="0"/>
              <w:pageBreakBefore w:val="0"/>
              <w:widowControl w:val="0"/>
              <w:kinsoku/>
              <w:wordWrap/>
              <w:overflowPunct/>
              <w:topLinePunct w:val="0"/>
              <w:autoSpaceDE w:val="0"/>
              <w:autoSpaceDN w:val="0"/>
              <w:bidi w:val="0"/>
              <w:adjustRightInd w:val="0"/>
              <w:snapToGrid/>
              <w:spacing w:after="157" w:afterLines="50" w:line="300" w:lineRule="auto"/>
              <w:ind w:firstLine="480" w:firstLineChars="200"/>
              <w:textAlignment w:val="auto"/>
              <w:rPr>
                <w:rFonts w:hint="default" w:ascii="Times New Roman" w:hAnsi="Times New Roman" w:eastAsia="宋体" w:cs="Times New Roman"/>
                <w:sz w:val="24"/>
                <w:szCs w:val="24"/>
                <w:lang w:val="en-US" w:eastAsia="zh-CN"/>
              </w:rPr>
            </w:pPr>
          </w:p>
          <w:p w14:paraId="7D18863A">
            <w:pPr>
              <w:keepNext w:val="0"/>
              <w:keepLines w:val="0"/>
              <w:pageBreakBefore w:val="0"/>
              <w:widowControl w:val="0"/>
              <w:kinsoku/>
              <w:wordWrap/>
              <w:overflowPunct/>
              <w:topLinePunct w:val="0"/>
              <w:autoSpaceDE w:val="0"/>
              <w:autoSpaceDN w:val="0"/>
              <w:bidi w:val="0"/>
              <w:adjustRightInd w:val="0"/>
              <w:snapToGrid/>
              <w:spacing w:before="313" w:beforeLines="100" w:line="240" w:lineRule="auto"/>
              <w:jc w:val="center"/>
              <w:textAlignment w:val="auto"/>
              <w:rPr>
                <w:rFonts w:hint="eastAsia" w:ascii="Times New Roman" w:hAnsi="Times New Roman" w:eastAsia="宋体" w:cs="Times New Roman"/>
                <w:b/>
                <w:bCs/>
                <w:sz w:val="21"/>
                <w:szCs w:val="21"/>
                <w:lang w:val="en-US" w:eastAsia="zh-CN"/>
              </w:rPr>
            </w:pPr>
            <w:r>
              <w:rPr>
                <w:rFonts w:hint="eastAsia" w:ascii="Times New Roman" w:hAnsi="Times New Roman" w:eastAsia="宋体" w:cs="Times New Roman"/>
                <w:b/>
                <w:bCs/>
                <w:sz w:val="21"/>
                <w:szCs w:val="21"/>
                <w:lang w:val="en-US" w:eastAsia="zh-CN"/>
              </w:rPr>
              <w:t>表4-</w:t>
            </w:r>
            <w:r>
              <w:rPr>
                <w:rFonts w:hint="eastAsia" w:cs="Times New Roman"/>
                <w:b/>
                <w:bCs/>
                <w:sz w:val="21"/>
                <w:szCs w:val="21"/>
                <w:lang w:val="en-US" w:eastAsia="zh-CN"/>
              </w:rPr>
              <w:t>6</w:t>
            </w:r>
            <w:r>
              <w:rPr>
                <w:rFonts w:hint="eastAsia" w:ascii="Times New Roman" w:hAnsi="Times New Roman" w:eastAsia="宋体" w:cs="Times New Roman"/>
                <w:b/>
                <w:bCs/>
                <w:sz w:val="21"/>
                <w:szCs w:val="21"/>
                <w:lang w:val="en-US" w:eastAsia="zh-CN"/>
              </w:rPr>
              <w:t xml:space="preserve">  水源保护区路段危化品事故概率表</w:t>
            </w:r>
          </w:p>
          <w:tbl>
            <w:tblPr>
              <w:tblStyle w:val="23"/>
              <w:tblW w:w="80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0"/>
              <w:gridCol w:w="1983"/>
              <w:gridCol w:w="1066"/>
              <w:gridCol w:w="1144"/>
              <w:gridCol w:w="1144"/>
              <w:gridCol w:w="1144"/>
            </w:tblGrid>
            <w:tr w14:paraId="2EB79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503" w:type="dxa"/>
                  <w:gridSpan w:val="2"/>
                  <w:vMerge w:val="restart"/>
                  <w:vAlign w:val="center"/>
                </w:tcPr>
                <w:p w14:paraId="009DADE8">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b/>
                      <w:bCs/>
                      <w:sz w:val="21"/>
                      <w:szCs w:val="21"/>
                      <w:vertAlign w:val="baseline"/>
                      <w:lang w:val="en-US" w:eastAsia="zh-CN"/>
                    </w:rPr>
                  </w:pPr>
                  <w:r>
                    <w:rPr>
                      <w:rFonts w:hint="default" w:ascii="Times New Roman" w:hAnsi="Times New Roman" w:eastAsia="宋体" w:cs="Times New Roman"/>
                      <w:b/>
                      <w:bCs/>
                      <w:sz w:val="21"/>
                      <w:szCs w:val="21"/>
                      <w:vertAlign w:val="baseline"/>
                      <w:lang w:val="en-US" w:eastAsia="zh-CN"/>
                    </w:rPr>
                    <w:t>敏感点</w:t>
                  </w:r>
                </w:p>
              </w:tc>
              <w:tc>
                <w:tcPr>
                  <w:tcW w:w="1066" w:type="dxa"/>
                  <w:vMerge w:val="restart"/>
                  <w:vAlign w:val="center"/>
                </w:tcPr>
                <w:p w14:paraId="7BBA4006">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b/>
                      <w:bCs/>
                      <w:sz w:val="21"/>
                      <w:szCs w:val="21"/>
                      <w:vertAlign w:val="baseline"/>
                      <w:lang w:val="en-US" w:eastAsia="zh-CN"/>
                    </w:rPr>
                  </w:pPr>
                  <w:r>
                    <w:rPr>
                      <w:rFonts w:hint="default" w:ascii="Times New Roman" w:hAnsi="Times New Roman" w:eastAsia="宋体" w:cs="Times New Roman"/>
                      <w:b/>
                      <w:bCs/>
                      <w:sz w:val="21"/>
                      <w:szCs w:val="21"/>
                      <w:vertAlign w:val="baseline"/>
                      <w:lang w:val="en-US" w:eastAsia="zh-CN"/>
                    </w:rPr>
                    <w:t>长度(m)</w:t>
                  </w:r>
                </w:p>
              </w:tc>
              <w:tc>
                <w:tcPr>
                  <w:tcW w:w="3432" w:type="dxa"/>
                  <w:gridSpan w:val="3"/>
                  <w:vAlign w:val="center"/>
                </w:tcPr>
                <w:p w14:paraId="4A2A3E6D">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b/>
                      <w:bCs/>
                      <w:sz w:val="21"/>
                      <w:szCs w:val="21"/>
                      <w:vertAlign w:val="baseline"/>
                      <w:lang w:val="en-US" w:eastAsia="zh-CN"/>
                    </w:rPr>
                  </w:pPr>
                  <w:r>
                    <w:rPr>
                      <w:rFonts w:hint="default" w:ascii="Times New Roman" w:hAnsi="Times New Roman" w:eastAsia="宋体" w:cs="Times New Roman"/>
                      <w:b/>
                      <w:bCs/>
                      <w:sz w:val="21"/>
                      <w:szCs w:val="21"/>
                    </w:rPr>
                    <w:t>危险品运输事故概率（次</w:t>
                  </w:r>
                  <w:r>
                    <w:rPr>
                      <w:rFonts w:hint="default" w:ascii="Times New Roman" w:hAnsi="Times New Roman" w:eastAsia="TimesNewRomanPSMT" w:cs="Times New Roman"/>
                      <w:b/>
                      <w:bCs/>
                      <w:sz w:val="21"/>
                      <w:szCs w:val="21"/>
                    </w:rPr>
                    <w:t>/</w:t>
                  </w:r>
                  <w:r>
                    <w:rPr>
                      <w:rFonts w:hint="default" w:ascii="Times New Roman" w:hAnsi="Times New Roman" w:eastAsia="宋体" w:cs="Times New Roman"/>
                      <w:b/>
                      <w:bCs/>
                      <w:sz w:val="21"/>
                      <w:szCs w:val="21"/>
                    </w:rPr>
                    <w:t>年）</w:t>
                  </w:r>
                </w:p>
              </w:tc>
            </w:tr>
            <w:tr w14:paraId="49998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503" w:type="dxa"/>
                  <w:gridSpan w:val="2"/>
                  <w:vMerge w:val="continue"/>
                  <w:vAlign w:val="center"/>
                </w:tcPr>
                <w:p w14:paraId="58656042">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b/>
                      <w:bCs/>
                      <w:sz w:val="21"/>
                      <w:szCs w:val="21"/>
                      <w:vertAlign w:val="baseline"/>
                      <w:lang w:val="en-US" w:eastAsia="zh-CN"/>
                    </w:rPr>
                  </w:pPr>
                </w:p>
              </w:tc>
              <w:tc>
                <w:tcPr>
                  <w:tcW w:w="1066" w:type="dxa"/>
                  <w:vMerge w:val="continue"/>
                  <w:vAlign w:val="center"/>
                </w:tcPr>
                <w:p w14:paraId="4D8C7787">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b/>
                      <w:bCs/>
                      <w:sz w:val="21"/>
                      <w:szCs w:val="21"/>
                      <w:vertAlign w:val="baseline"/>
                      <w:lang w:val="en-US" w:eastAsia="zh-CN"/>
                    </w:rPr>
                  </w:pPr>
                </w:p>
              </w:tc>
              <w:tc>
                <w:tcPr>
                  <w:tcW w:w="1144" w:type="dxa"/>
                  <w:vAlign w:val="center"/>
                </w:tcPr>
                <w:p w14:paraId="5556CD72">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2028</w:t>
                  </w:r>
                </w:p>
              </w:tc>
              <w:tc>
                <w:tcPr>
                  <w:tcW w:w="1144" w:type="dxa"/>
                  <w:vAlign w:val="center"/>
                </w:tcPr>
                <w:p w14:paraId="3BAD5699">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2034</w:t>
                  </w:r>
                </w:p>
              </w:tc>
              <w:tc>
                <w:tcPr>
                  <w:tcW w:w="1144" w:type="dxa"/>
                  <w:vAlign w:val="center"/>
                </w:tcPr>
                <w:p w14:paraId="665F242A">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2042</w:t>
                  </w:r>
                </w:p>
              </w:tc>
            </w:tr>
            <w:tr w14:paraId="7E76E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20" w:type="dxa"/>
                  <w:vMerge w:val="restart"/>
                  <w:vAlign w:val="center"/>
                </w:tcPr>
                <w:p w14:paraId="2DD65034">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cs="Times New Roman"/>
                      <w:spacing w:val="-2"/>
                      <w:sz w:val="21"/>
                      <w:szCs w:val="21"/>
                    </w:rPr>
                    <w:t>伽师县城饮用水水源保护区</w:t>
                  </w:r>
                </w:p>
              </w:tc>
              <w:tc>
                <w:tcPr>
                  <w:tcW w:w="1983" w:type="dxa"/>
                  <w:vAlign w:val="center"/>
                </w:tcPr>
                <w:p w14:paraId="2F7033A6">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cs="Times New Roman"/>
                      <w:sz w:val="21"/>
                      <w:szCs w:val="21"/>
                      <w:lang w:val="en-US" w:eastAsia="zh-CN"/>
                    </w:rPr>
                    <w:t>K23+350~K23+450</w:t>
                  </w:r>
                </w:p>
              </w:tc>
              <w:tc>
                <w:tcPr>
                  <w:tcW w:w="1066" w:type="dxa"/>
                  <w:vAlign w:val="center"/>
                </w:tcPr>
                <w:p w14:paraId="59A322DE">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100</w:t>
                  </w:r>
                </w:p>
              </w:tc>
              <w:tc>
                <w:tcPr>
                  <w:tcW w:w="1144" w:type="dxa"/>
                  <w:vAlign w:val="center"/>
                </w:tcPr>
                <w:p w14:paraId="1FC1B638">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0.0002</w:t>
                  </w:r>
                </w:p>
              </w:tc>
              <w:tc>
                <w:tcPr>
                  <w:tcW w:w="1144" w:type="dxa"/>
                  <w:vAlign w:val="center"/>
                </w:tcPr>
                <w:p w14:paraId="316A4130">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0.0003</w:t>
                  </w:r>
                </w:p>
              </w:tc>
              <w:tc>
                <w:tcPr>
                  <w:tcW w:w="1144" w:type="dxa"/>
                  <w:vAlign w:val="center"/>
                </w:tcPr>
                <w:p w14:paraId="43F2C108">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0.0008</w:t>
                  </w:r>
                </w:p>
              </w:tc>
            </w:tr>
            <w:tr w14:paraId="7E59C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20" w:type="dxa"/>
                  <w:vMerge w:val="continue"/>
                  <w:vAlign w:val="center"/>
                </w:tcPr>
                <w:p w14:paraId="241DB173">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cs="Times New Roman"/>
                      <w:color w:val="auto"/>
                      <w:spacing w:val="-2"/>
                      <w:sz w:val="21"/>
                      <w:szCs w:val="21"/>
                      <w:lang w:val="en-US" w:eastAsia="zh-CN"/>
                    </w:rPr>
                  </w:pPr>
                </w:p>
              </w:tc>
              <w:tc>
                <w:tcPr>
                  <w:tcW w:w="1983" w:type="dxa"/>
                  <w:vAlign w:val="center"/>
                </w:tcPr>
                <w:p w14:paraId="6DC825CC">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K24+070~K24+170</w:t>
                  </w:r>
                </w:p>
              </w:tc>
              <w:tc>
                <w:tcPr>
                  <w:tcW w:w="1066" w:type="dxa"/>
                  <w:vAlign w:val="center"/>
                </w:tcPr>
                <w:p w14:paraId="72D766F0">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100</w:t>
                  </w:r>
                </w:p>
              </w:tc>
              <w:tc>
                <w:tcPr>
                  <w:tcW w:w="1144" w:type="dxa"/>
                  <w:vAlign w:val="center"/>
                </w:tcPr>
                <w:p w14:paraId="2C5ABD28">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0.0002</w:t>
                  </w:r>
                </w:p>
              </w:tc>
              <w:tc>
                <w:tcPr>
                  <w:tcW w:w="1144" w:type="dxa"/>
                  <w:vAlign w:val="center"/>
                </w:tcPr>
                <w:p w14:paraId="7E3E9A93">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0.0003</w:t>
                  </w:r>
                </w:p>
              </w:tc>
              <w:tc>
                <w:tcPr>
                  <w:tcW w:w="1144" w:type="dxa"/>
                  <w:vAlign w:val="center"/>
                </w:tcPr>
                <w:p w14:paraId="27D6A83C">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0.0008</w:t>
                  </w:r>
                </w:p>
              </w:tc>
            </w:tr>
            <w:tr w14:paraId="1982A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20" w:type="dxa"/>
                  <w:vMerge w:val="continue"/>
                  <w:vAlign w:val="center"/>
                </w:tcPr>
                <w:p w14:paraId="58D63CF8">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cs="Times New Roman"/>
                      <w:color w:val="auto"/>
                      <w:spacing w:val="-2"/>
                      <w:sz w:val="21"/>
                      <w:szCs w:val="21"/>
                      <w:lang w:val="en-US" w:eastAsia="zh-CN"/>
                    </w:rPr>
                  </w:pPr>
                </w:p>
              </w:tc>
              <w:tc>
                <w:tcPr>
                  <w:tcW w:w="1983" w:type="dxa"/>
                  <w:vAlign w:val="center"/>
                </w:tcPr>
                <w:p w14:paraId="76A223A6">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K24+780~K24+860</w:t>
                  </w:r>
                </w:p>
              </w:tc>
              <w:tc>
                <w:tcPr>
                  <w:tcW w:w="1066" w:type="dxa"/>
                  <w:vAlign w:val="center"/>
                </w:tcPr>
                <w:p w14:paraId="2D27AF3E">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80</w:t>
                  </w:r>
                </w:p>
              </w:tc>
              <w:tc>
                <w:tcPr>
                  <w:tcW w:w="1144" w:type="dxa"/>
                  <w:vAlign w:val="center"/>
                </w:tcPr>
                <w:p w14:paraId="22CE73E3">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0.0002</w:t>
                  </w:r>
                </w:p>
              </w:tc>
              <w:tc>
                <w:tcPr>
                  <w:tcW w:w="1144" w:type="dxa"/>
                  <w:vAlign w:val="center"/>
                </w:tcPr>
                <w:p w14:paraId="2578F42A">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0.0002</w:t>
                  </w:r>
                </w:p>
              </w:tc>
              <w:tc>
                <w:tcPr>
                  <w:tcW w:w="1144" w:type="dxa"/>
                  <w:vAlign w:val="center"/>
                </w:tcPr>
                <w:p w14:paraId="09AD6582">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00006</w:t>
                  </w:r>
                </w:p>
              </w:tc>
            </w:tr>
            <w:tr w14:paraId="7DB3A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20" w:type="dxa"/>
                  <w:vMerge w:val="continue"/>
                  <w:vAlign w:val="center"/>
                </w:tcPr>
                <w:p w14:paraId="415B0F27">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cs="Times New Roman"/>
                      <w:color w:val="auto"/>
                      <w:spacing w:val="-2"/>
                      <w:sz w:val="21"/>
                      <w:szCs w:val="21"/>
                      <w:lang w:val="en-US" w:eastAsia="zh-CN"/>
                    </w:rPr>
                  </w:pPr>
                </w:p>
              </w:tc>
              <w:tc>
                <w:tcPr>
                  <w:tcW w:w="1983" w:type="dxa"/>
                  <w:vAlign w:val="center"/>
                </w:tcPr>
                <w:p w14:paraId="0032CC70">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K27+120~K27+260</w:t>
                  </w:r>
                </w:p>
              </w:tc>
              <w:tc>
                <w:tcPr>
                  <w:tcW w:w="1066" w:type="dxa"/>
                  <w:vAlign w:val="center"/>
                </w:tcPr>
                <w:p w14:paraId="16402129">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140</w:t>
                  </w:r>
                </w:p>
              </w:tc>
              <w:tc>
                <w:tcPr>
                  <w:tcW w:w="1144" w:type="dxa"/>
                  <w:vAlign w:val="center"/>
                </w:tcPr>
                <w:p w14:paraId="06D64AD1">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0.0003</w:t>
                  </w:r>
                </w:p>
              </w:tc>
              <w:tc>
                <w:tcPr>
                  <w:tcW w:w="1144" w:type="dxa"/>
                  <w:vAlign w:val="center"/>
                </w:tcPr>
                <w:p w14:paraId="48CF9086">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0.0004</w:t>
                  </w:r>
                </w:p>
              </w:tc>
              <w:tc>
                <w:tcPr>
                  <w:tcW w:w="1144" w:type="dxa"/>
                  <w:vAlign w:val="center"/>
                </w:tcPr>
                <w:p w14:paraId="7EAF0DA5">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0.0011</w:t>
                  </w:r>
                </w:p>
              </w:tc>
            </w:tr>
          </w:tbl>
          <w:p w14:paraId="2F4F8A18">
            <w:pPr>
              <w:keepNext w:val="0"/>
              <w:keepLines w:val="0"/>
              <w:pageBreakBefore w:val="0"/>
              <w:widowControl w:val="0"/>
              <w:kinsoku/>
              <w:wordWrap/>
              <w:overflowPunct/>
              <w:topLinePunct w:val="0"/>
              <w:autoSpaceDE w:val="0"/>
              <w:autoSpaceDN w:val="0"/>
              <w:bidi w:val="0"/>
              <w:adjustRightInd w:val="0"/>
              <w:snapToGrid/>
              <w:spacing w:before="313" w:beforeLines="100" w:line="300" w:lineRule="auto"/>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从表4-</w:t>
            </w:r>
            <w:r>
              <w:rPr>
                <w:rFonts w:hint="eastAsia" w:cs="Times New Roman"/>
                <w:sz w:val="24"/>
                <w:szCs w:val="24"/>
                <w:lang w:val="en-US" w:eastAsia="zh-CN"/>
              </w:rPr>
              <w:t>6</w:t>
            </w:r>
            <w:r>
              <w:rPr>
                <w:rFonts w:hint="default" w:ascii="Times New Roman" w:hAnsi="Times New Roman" w:eastAsia="宋体" w:cs="Times New Roman"/>
                <w:sz w:val="24"/>
                <w:szCs w:val="24"/>
                <w:lang w:val="en-US" w:eastAsia="zh-CN"/>
              </w:rPr>
              <w:t>中的计算结果可以看出，拟建公路通车后交通流量达到预测远期交通流量时，</w:t>
            </w:r>
            <w:r>
              <w:rPr>
                <w:rFonts w:hint="eastAsia" w:ascii="Times New Roman" w:hAnsi="Times New Roman" w:cs="Times New Roman"/>
                <w:color w:val="auto"/>
                <w:spacing w:val="-2"/>
                <w:sz w:val="24"/>
                <w:lang w:val="en-US" w:eastAsia="zh-CN"/>
              </w:rPr>
              <w:t>临近</w:t>
            </w:r>
            <w:r>
              <w:rPr>
                <w:rFonts w:hint="default" w:ascii="Times New Roman" w:hAnsi="Times New Roman" w:cs="Times New Roman"/>
                <w:spacing w:val="-2"/>
                <w:sz w:val="24"/>
              </w:rPr>
              <w:t>伽师县城饮用水水源保护区</w:t>
            </w:r>
            <w:r>
              <w:rPr>
                <w:rFonts w:hint="default" w:ascii="Times New Roman" w:hAnsi="Times New Roman" w:eastAsia="宋体" w:cs="Times New Roman"/>
                <w:sz w:val="24"/>
                <w:szCs w:val="24"/>
                <w:lang w:val="en-US" w:eastAsia="zh-CN"/>
              </w:rPr>
              <w:t>发生事故的最大概率为0.0</w:t>
            </w:r>
            <w:r>
              <w:rPr>
                <w:rFonts w:hint="eastAsia" w:ascii="Times New Roman" w:hAnsi="Times New Roman" w:eastAsia="宋体" w:cs="Times New Roman"/>
                <w:sz w:val="24"/>
                <w:szCs w:val="24"/>
                <w:lang w:val="en-US" w:eastAsia="zh-CN"/>
              </w:rPr>
              <w:t>033</w:t>
            </w:r>
            <w:r>
              <w:rPr>
                <w:rFonts w:hint="default" w:ascii="Times New Roman" w:hAnsi="Times New Roman" w:eastAsia="宋体" w:cs="Times New Roman"/>
                <w:sz w:val="24"/>
                <w:szCs w:val="24"/>
                <w:lang w:val="en-US" w:eastAsia="zh-CN"/>
              </w:rPr>
              <w:t>次/年。</w:t>
            </w:r>
          </w:p>
          <w:p w14:paraId="05CE2CCC">
            <w:pPr>
              <w:keepNext w:val="0"/>
              <w:keepLines w:val="0"/>
              <w:pageBreakBefore w:val="0"/>
              <w:widowControl w:val="0"/>
              <w:kinsoku/>
              <w:wordWrap/>
              <w:overflowPunct/>
              <w:topLinePunct w:val="0"/>
              <w:autoSpaceDE w:val="0"/>
              <w:autoSpaceDN w:val="0"/>
              <w:bidi w:val="0"/>
              <w:adjustRightInd w:val="0"/>
              <w:snapToGrid/>
              <w:spacing w:line="300" w:lineRule="auto"/>
              <w:ind w:firstLine="476" w:firstLineChars="200"/>
              <w:textAlignment w:val="auto"/>
              <w:rPr>
                <w:rFonts w:hint="eastAsia" w:ascii="Times New Roman" w:hAnsi="Times New Roman" w:eastAsia="宋体" w:cs="Times New Roman"/>
                <w:spacing w:val="-1"/>
                <w:sz w:val="24"/>
                <w:szCs w:val="24"/>
                <w:lang w:val="en-US" w:eastAsia="zh-CN"/>
              </w:rPr>
            </w:pPr>
            <w:r>
              <w:rPr>
                <w:rFonts w:hint="default" w:ascii="Times New Roman" w:hAnsi="Times New Roman" w:eastAsia="宋体" w:cs="Times New Roman"/>
                <w:spacing w:val="-1"/>
                <w:sz w:val="24"/>
                <w:szCs w:val="24"/>
                <w:lang w:val="en-US" w:eastAsia="zh-CN"/>
              </w:rPr>
              <w:t>虽然概率很低，但不能排除重大交通事故等意外事件的发生。</w:t>
            </w:r>
            <w:r>
              <w:rPr>
                <w:rFonts w:hint="eastAsia" w:ascii="Times New Roman" w:hAnsi="Times New Roman" w:eastAsia="宋体" w:cs="Times New Roman"/>
                <w:spacing w:val="-1"/>
                <w:sz w:val="24"/>
                <w:szCs w:val="24"/>
                <w:lang w:val="en-US" w:eastAsia="zh-CN"/>
              </w:rPr>
              <w:t>因此</w:t>
            </w:r>
            <w:r>
              <w:rPr>
                <w:rFonts w:hint="default" w:ascii="Times New Roman" w:hAnsi="Times New Roman" w:eastAsia="宋体" w:cs="Times New Roman"/>
                <w:spacing w:val="-1"/>
                <w:sz w:val="24"/>
                <w:szCs w:val="24"/>
                <w:lang w:val="en-US" w:eastAsia="zh-CN"/>
              </w:rPr>
              <w:t>，为防止危险品运输</w:t>
            </w:r>
            <w:r>
              <w:rPr>
                <w:rFonts w:hint="eastAsia" w:ascii="Times New Roman" w:hAnsi="Times New Roman" w:eastAsia="宋体" w:cs="Times New Roman"/>
                <w:spacing w:val="-1"/>
                <w:sz w:val="24"/>
                <w:szCs w:val="24"/>
                <w:lang w:val="en-US" w:eastAsia="zh-CN"/>
              </w:rPr>
              <w:t>对水源保护区产生</w:t>
            </w:r>
            <w:r>
              <w:rPr>
                <w:rFonts w:hint="default" w:ascii="Times New Roman" w:hAnsi="Times New Roman" w:eastAsia="宋体" w:cs="Times New Roman"/>
                <w:spacing w:val="-1"/>
                <w:sz w:val="24"/>
                <w:szCs w:val="24"/>
                <w:lang w:val="en-US" w:eastAsia="zh-CN"/>
              </w:rPr>
              <w:t>污染风险，必须采取有效的预防和应急措施</w:t>
            </w:r>
            <w:r>
              <w:rPr>
                <w:rFonts w:hint="eastAsia" w:ascii="Times New Roman" w:hAnsi="Times New Roman" w:eastAsia="宋体" w:cs="Times New Roman"/>
                <w:spacing w:val="-1"/>
                <w:sz w:val="24"/>
                <w:szCs w:val="24"/>
                <w:lang w:val="en-US" w:eastAsia="zh-CN"/>
              </w:rPr>
              <w:t>。</w:t>
            </w:r>
          </w:p>
          <w:p w14:paraId="72D6C037">
            <w:pPr>
              <w:keepNext w:val="0"/>
              <w:keepLines w:val="0"/>
              <w:pageBreakBefore w:val="0"/>
              <w:widowControl w:val="0"/>
              <w:kinsoku/>
              <w:wordWrap/>
              <w:overflowPunct/>
              <w:topLinePunct w:val="0"/>
              <w:autoSpaceDE w:val="0"/>
              <w:autoSpaceDN w:val="0"/>
              <w:bidi w:val="0"/>
              <w:adjustRightInd w:val="0"/>
              <w:snapToGrid/>
              <w:spacing w:line="300" w:lineRule="auto"/>
              <w:ind w:firstLine="480" w:firstLineChars="200"/>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(2) </w:t>
            </w:r>
            <w:r>
              <w:rPr>
                <w:rFonts w:hint="eastAsia" w:ascii="Times New Roman" w:hAnsi="Times New Roman" w:cs="Times New Roman"/>
                <w:sz w:val="24"/>
                <w:szCs w:val="24"/>
                <w:lang w:val="en-US" w:eastAsia="zh-CN"/>
              </w:rPr>
              <w:t>跨河流及灌渠桥梁路段</w:t>
            </w:r>
          </w:p>
          <w:p w14:paraId="6CE6B6C3">
            <w:pPr>
              <w:keepNext w:val="0"/>
              <w:keepLines w:val="0"/>
              <w:pageBreakBefore w:val="0"/>
              <w:widowControl w:val="0"/>
              <w:kinsoku/>
              <w:wordWrap/>
              <w:overflowPunct/>
              <w:topLinePunct w:val="0"/>
              <w:autoSpaceDE w:val="0"/>
              <w:autoSpaceDN w:val="0"/>
              <w:bidi w:val="0"/>
              <w:adjustRightInd w:val="0"/>
              <w:snapToGrid/>
              <w:spacing w:after="157" w:afterLines="50" w:line="300" w:lineRule="auto"/>
              <w:ind w:firstLine="472" w:firstLineChars="200"/>
              <w:textAlignment w:val="auto"/>
              <w:rPr>
                <w:rFonts w:hint="default" w:ascii="Times New Roman" w:hAnsi="Times New Roman" w:cs="Times New Roman"/>
                <w:sz w:val="24"/>
                <w:szCs w:val="24"/>
                <w:lang w:val="en-US" w:eastAsia="zh-CN"/>
              </w:rPr>
            </w:pPr>
            <w:r>
              <w:rPr>
                <w:rFonts w:hint="eastAsia" w:hAnsi="宋体"/>
                <w:color w:val="auto"/>
                <w:spacing w:val="-2"/>
                <w:sz w:val="24"/>
                <w:lang w:val="en-US" w:eastAsia="zh-CN"/>
              </w:rPr>
              <w:t>拟建公路多次穿越沿线河流及灌渠，如发生危化品车辆交通事故，将可能对沿线的河流水质、农业灌溉带来一定的威胁。</w:t>
            </w:r>
            <w:r>
              <w:rPr>
                <w:rFonts w:hint="default" w:ascii="Times New Roman" w:hAnsi="Times New Roman" w:cs="Times New Roman"/>
                <w:color w:val="auto"/>
                <w:spacing w:val="-2"/>
                <w:sz w:val="24"/>
                <w:lang w:val="en-US" w:eastAsia="zh-CN"/>
              </w:rPr>
              <w:t>按照危险品运输事故污染概率估算公式，</w:t>
            </w:r>
            <w:r>
              <w:rPr>
                <w:rFonts w:hint="eastAsia" w:cs="Times New Roman"/>
                <w:color w:val="auto"/>
                <w:spacing w:val="-2"/>
                <w:sz w:val="24"/>
                <w:lang w:val="en-US" w:eastAsia="zh-CN"/>
              </w:rPr>
              <w:t>对拟建公路沿线跨越河流及灌渠的桥梁路段进行事故概率计算，结果见表4-7。</w:t>
            </w:r>
          </w:p>
          <w:p w14:paraId="7D6FF288">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Times New Roman" w:hAnsi="Times New Roman" w:eastAsia="宋体" w:cs="Times New Roman"/>
                <w:b/>
                <w:bCs/>
                <w:sz w:val="21"/>
                <w:szCs w:val="21"/>
                <w:lang w:val="en-US" w:eastAsia="zh-CN"/>
              </w:rPr>
            </w:pPr>
            <w:r>
              <w:rPr>
                <w:rFonts w:hint="eastAsia" w:ascii="Times New Roman" w:hAnsi="Times New Roman" w:eastAsia="宋体" w:cs="Times New Roman"/>
                <w:b/>
                <w:bCs/>
                <w:sz w:val="21"/>
                <w:szCs w:val="21"/>
                <w:lang w:val="en-US" w:eastAsia="zh-CN"/>
              </w:rPr>
              <w:t>表4-</w:t>
            </w:r>
            <w:r>
              <w:rPr>
                <w:rFonts w:hint="eastAsia" w:cs="Times New Roman"/>
                <w:b/>
                <w:bCs/>
                <w:sz w:val="21"/>
                <w:szCs w:val="21"/>
                <w:lang w:val="en-US" w:eastAsia="zh-CN"/>
              </w:rPr>
              <w:t>7</w:t>
            </w:r>
            <w:r>
              <w:rPr>
                <w:rFonts w:hint="eastAsia" w:ascii="Times New Roman" w:hAnsi="Times New Roman" w:eastAsia="宋体" w:cs="Times New Roman"/>
                <w:b/>
                <w:bCs/>
                <w:sz w:val="21"/>
                <w:szCs w:val="21"/>
                <w:lang w:val="en-US" w:eastAsia="zh-CN"/>
              </w:rPr>
              <w:t xml:space="preserve">  </w:t>
            </w:r>
            <w:r>
              <w:rPr>
                <w:rFonts w:hint="eastAsia" w:cs="Times New Roman"/>
                <w:b/>
                <w:bCs/>
                <w:sz w:val="21"/>
                <w:szCs w:val="21"/>
                <w:lang w:val="en-US" w:eastAsia="zh-CN"/>
              </w:rPr>
              <w:t>跨越河流和灌渠桥梁</w:t>
            </w:r>
            <w:r>
              <w:rPr>
                <w:rFonts w:hint="eastAsia" w:ascii="Times New Roman" w:hAnsi="Times New Roman" w:eastAsia="宋体" w:cs="Times New Roman"/>
                <w:b/>
                <w:bCs/>
                <w:sz w:val="21"/>
                <w:szCs w:val="21"/>
                <w:lang w:val="en-US" w:eastAsia="zh-CN"/>
              </w:rPr>
              <w:t>路段危化品事故概率表</w:t>
            </w:r>
          </w:p>
          <w:tbl>
            <w:tblPr>
              <w:tblStyle w:val="23"/>
              <w:tblW w:w="81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1"/>
              <w:gridCol w:w="1407"/>
              <w:gridCol w:w="1186"/>
              <w:gridCol w:w="1447"/>
              <w:gridCol w:w="690"/>
              <w:gridCol w:w="853"/>
              <w:gridCol w:w="902"/>
              <w:gridCol w:w="1085"/>
            </w:tblGrid>
            <w:tr w14:paraId="2CA5A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41" w:type="dxa"/>
                  <w:vMerge w:val="restart"/>
                  <w:vAlign w:val="center"/>
                </w:tcPr>
                <w:p w14:paraId="1E961047">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b/>
                      <w:bCs/>
                      <w:sz w:val="21"/>
                      <w:szCs w:val="21"/>
                      <w:vertAlign w:val="baseline"/>
                      <w:lang w:val="en-US" w:eastAsia="zh-CN"/>
                    </w:rPr>
                  </w:pPr>
                  <w:r>
                    <w:rPr>
                      <w:rFonts w:hint="default" w:ascii="Times New Roman" w:hAnsi="Times New Roman" w:eastAsia="宋体" w:cs="Times New Roman"/>
                      <w:b/>
                      <w:bCs/>
                      <w:sz w:val="21"/>
                      <w:szCs w:val="21"/>
                      <w:vertAlign w:val="baseline"/>
                      <w:lang w:val="en-US" w:eastAsia="zh-CN"/>
                    </w:rPr>
                    <w:t>序号</w:t>
                  </w:r>
                </w:p>
              </w:tc>
              <w:tc>
                <w:tcPr>
                  <w:tcW w:w="1407" w:type="dxa"/>
                  <w:vMerge w:val="restart"/>
                  <w:vAlign w:val="center"/>
                </w:tcPr>
                <w:p w14:paraId="1BAECEAA">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b/>
                      <w:bCs/>
                      <w:sz w:val="21"/>
                      <w:szCs w:val="21"/>
                      <w:vertAlign w:val="baseline"/>
                      <w:lang w:val="en-US" w:eastAsia="zh-CN"/>
                    </w:rPr>
                  </w:pPr>
                  <w:r>
                    <w:rPr>
                      <w:rFonts w:hint="eastAsia" w:cs="Times New Roman"/>
                      <w:b/>
                      <w:bCs/>
                      <w:sz w:val="21"/>
                      <w:szCs w:val="21"/>
                      <w:vertAlign w:val="baseline"/>
                      <w:lang w:val="en-US" w:eastAsia="zh-CN"/>
                    </w:rPr>
                    <w:t>桥梁名称</w:t>
                  </w:r>
                </w:p>
              </w:tc>
              <w:tc>
                <w:tcPr>
                  <w:tcW w:w="1186" w:type="dxa"/>
                  <w:vMerge w:val="restart"/>
                  <w:vAlign w:val="center"/>
                </w:tcPr>
                <w:p w14:paraId="6E4BB5A1">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cs="Times New Roman"/>
                      <w:b/>
                      <w:bCs/>
                      <w:sz w:val="21"/>
                      <w:szCs w:val="21"/>
                      <w:vertAlign w:val="baseline"/>
                      <w:lang w:val="en-US" w:eastAsia="zh-CN"/>
                    </w:rPr>
                  </w:pPr>
                  <w:r>
                    <w:rPr>
                      <w:rFonts w:hint="eastAsia" w:cs="Times New Roman"/>
                      <w:b/>
                      <w:bCs/>
                      <w:sz w:val="21"/>
                      <w:szCs w:val="21"/>
                      <w:vertAlign w:val="baseline"/>
                      <w:lang w:val="en-US" w:eastAsia="zh-CN"/>
                    </w:rPr>
                    <w:t>跨越对象</w:t>
                  </w:r>
                </w:p>
              </w:tc>
              <w:tc>
                <w:tcPr>
                  <w:tcW w:w="1447" w:type="dxa"/>
                  <w:vMerge w:val="restart"/>
                  <w:vAlign w:val="center"/>
                </w:tcPr>
                <w:p w14:paraId="723D76F8">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b/>
                      <w:bCs/>
                      <w:sz w:val="21"/>
                      <w:szCs w:val="21"/>
                      <w:vertAlign w:val="baseline"/>
                      <w:lang w:val="en-US" w:eastAsia="zh-CN"/>
                    </w:rPr>
                  </w:pPr>
                  <w:r>
                    <w:rPr>
                      <w:rFonts w:hint="eastAsia" w:cs="Times New Roman"/>
                      <w:b/>
                      <w:bCs/>
                      <w:sz w:val="21"/>
                      <w:szCs w:val="21"/>
                      <w:vertAlign w:val="baseline"/>
                      <w:lang w:val="en-US" w:eastAsia="zh-CN"/>
                    </w:rPr>
                    <w:t>桩号</w:t>
                  </w:r>
                </w:p>
              </w:tc>
              <w:tc>
                <w:tcPr>
                  <w:tcW w:w="690" w:type="dxa"/>
                  <w:vMerge w:val="restart"/>
                  <w:vAlign w:val="center"/>
                </w:tcPr>
                <w:p w14:paraId="214B177C">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b/>
                      <w:bCs/>
                      <w:sz w:val="21"/>
                      <w:szCs w:val="21"/>
                      <w:vertAlign w:val="baseline"/>
                      <w:lang w:val="en-US" w:eastAsia="zh-CN"/>
                    </w:rPr>
                  </w:pPr>
                  <w:r>
                    <w:rPr>
                      <w:rFonts w:hint="default" w:ascii="Times New Roman" w:hAnsi="Times New Roman" w:eastAsia="宋体" w:cs="Times New Roman"/>
                      <w:b/>
                      <w:bCs/>
                      <w:sz w:val="21"/>
                      <w:szCs w:val="21"/>
                      <w:vertAlign w:val="baseline"/>
                      <w:lang w:val="en-US" w:eastAsia="zh-CN"/>
                    </w:rPr>
                    <w:t>长度(m)</w:t>
                  </w:r>
                </w:p>
              </w:tc>
              <w:tc>
                <w:tcPr>
                  <w:tcW w:w="2840" w:type="dxa"/>
                  <w:gridSpan w:val="3"/>
                  <w:vAlign w:val="center"/>
                </w:tcPr>
                <w:p w14:paraId="2729BCD6">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b/>
                      <w:bCs/>
                      <w:sz w:val="21"/>
                      <w:szCs w:val="21"/>
                      <w:vertAlign w:val="baseline"/>
                      <w:lang w:val="en-US" w:eastAsia="zh-CN"/>
                    </w:rPr>
                  </w:pPr>
                  <w:r>
                    <w:rPr>
                      <w:rFonts w:hint="default" w:ascii="Times New Roman" w:hAnsi="Times New Roman" w:eastAsia="宋体" w:cs="Times New Roman"/>
                      <w:b/>
                      <w:bCs/>
                      <w:sz w:val="21"/>
                      <w:szCs w:val="21"/>
                    </w:rPr>
                    <w:t>危险品运输事故概率（次</w:t>
                  </w:r>
                  <w:r>
                    <w:rPr>
                      <w:rFonts w:hint="default" w:ascii="Times New Roman" w:hAnsi="Times New Roman" w:eastAsia="TimesNewRomanPSMT" w:cs="Times New Roman"/>
                      <w:b/>
                      <w:bCs/>
                      <w:sz w:val="21"/>
                      <w:szCs w:val="21"/>
                    </w:rPr>
                    <w:t>/</w:t>
                  </w:r>
                  <w:r>
                    <w:rPr>
                      <w:rFonts w:hint="default" w:ascii="Times New Roman" w:hAnsi="Times New Roman" w:eastAsia="宋体" w:cs="Times New Roman"/>
                      <w:b/>
                      <w:bCs/>
                      <w:sz w:val="21"/>
                      <w:szCs w:val="21"/>
                    </w:rPr>
                    <w:t>年）</w:t>
                  </w:r>
                </w:p>
              </w:tc>
            </w:tr>
            <w:tr w14:paraId="2F3C4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41" w:type="dxa"/>
                  <w:vMerge w:val="continue"/>
                  <w:vAlign w:val="center"/>
                </w:tcPr>
                <w:p w14:paraId="0B5769E3">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b/>
                      <w:bCs/>
                      <w:sz w:val="21"/>
                      <w:szCs w:val="21"/>
                      <w:vertAlign w:val="baseline"/>
                      <w:lang w:val="en-US" w:eastAsia="zh-CN"/>
                    </w:rPr>
                  </w:pPr>
                </w:p>
              </w:tc>
              <w:tc>
                <w:tcPr>
                  <w:tcW w:w="1407" w:type="dxa"/>
                  <w:vMerge w:val="continue"/>
                  <w:vAlign w:val="center"/>
                </w:tcPr>
                <w:p w14:paraId="4EAC3E38">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b/>
                      <w:bCs/>
                      <w:sz w:val="21"/>
                      <w:szCs w:val="21"/>
                      <w:vertAlign w:val="baseline"/>
                      <w:lang w:val="en-US" w:eastAsia="zh-CN"/>
                    </w:rPr>
                  </w:pPr>
                </w:p>
              </w:tc>
              <w:tc>
                <w:tcPr>
                  <w:tcW w:w="1186" w:type="dxa"/>
                  <w:vMerge w:val="continue"/>
                  <w:vAlign w:val="center"/>
                </w:tcPr>
                <w:p w14:paraId="35E0402D">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b/>
                      <w:bCs/>
                      <w:sz w:val="21"/>
                      <w:szCs w:val="21"/>
                      <w:vertAlign w:val="baseline"/>
                      <w:lang w:val="en-US" w:eastAsia="zh-CN"/>
                    </w:rPr>
                  </w:pPr>
                </w:p>
              </w:tc>
              <w:tc>
                <w:tcPr>
                  <w:tcW w:w="1447" w:type="dxa"/>
                  <w:vMerge w:val="continue"/>
                  <w:vAlign w:val="center"/>
                </w:tcPr>
                <w:p w14:paraId="5829182E">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b/>
                      <w:bCs/>
                      <w:sz w:val="21"/>
                      <w:szCs w:val="21"/>
                      <w:vertAlign w:val="baseline"/>
                      <w:lang w:val="en-US" w:eastAsia="zh-CN"/>
                    </w:rPr>
                  </w:pPr>
                </w:p>
              </w:tc>
              <w:tc>
                <w:tcPr>
                  <w:tcW w:w="690" w:type="dxa"/>
                  <w:vMerge w:val="continue"/>
                  <w:vAlign w:val="center"/>
                </w:tcPr>
                <w:p w14:paraId="63A4D64B">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b/>
                      <w:bCs/>
                      <w:sz w:val="21"/>
                      <w:szCs w:val="21"/>
                      <w:vertAlign w:val="baseline"/>
                      <w:lang w:val="en-US" w:eastAsia="zh-CN"/>
                    </w:rPr>
                  </w:pPr>
                </w:p>
              </w:tc>
              <w:tc>
                <w:tcPr>
                  <w:tcW w:w="853" w:type="dxa"/>
                  <w:vAlign w:val="center"/>
                </w:tcPr>
                <w:p w14:paraId="21950091">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2028</w:t>
                  </w:r>
                </w:p>
              </w:tc>
              <w:tc>
                <w:tcPr>
                  <w:tcW w:w="902" w:type="dxa"/>
                  <w:vAlign w:val="center"/>
                </w:tcPr>
                <w:p w14:paraId="7A42F646">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2034</w:t>
                  </w:r>
                </w:p>
              </w:tc>
              <w:tc>
                <w:tcPr>
                  <w:tcW w:w="1085" w:type="dxa"/>
                  <w:vAlign w:val="center"/>
                </w:tcPr>
                <w:p w14:paraId="24449E7B">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2042</w:t>
                  </w:r>
                </w:p>
              </w:tc>
            </w:tr>
            <w:tr w14:paraId="20374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41" w:type="dxa"/>
                  <w:vAlign w:val="center"/>
                </w:tcPr>
                <w:p w14:paraId="43B6D39F">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1</w:t>
                  </w:r>
                </w:p>
              </w:tc>
              <w:tc>
                <w:tcPr>
                  <w:tcW w:w="1407" w:type="dxa"/>
                  <w:vAlign w:val="center"/>
                </w:tcPr>
                <w:p w14:paraId="182EC0EE">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sz w:val="21"/>
                      <w:szCs w:val="21"/>
                      <w:vertAlign w:val="baseline"/>
                      <w:lang w:val="en-US" w:eastAsia="zh-CN"/>
                    </w:rPr>
                  </w:pPr>
                  <w:r>
                    <w:rPr>
                      <w:rFonts w:hint="eastAsia"/>
                      <w:lang w:val="en-US" w:eastAsia="zh-CN"/>
                    </w:rPr>
                    <w:t>古力牙提桥</w:t>
                  </w:r>
                </w:p>
              </w:tc>
              <w:tc>
                <w:tcPr>
                  <w:tcW w:w="1186" w:type="dxa"/>
                  <w:vAlign w:val="center"/>
                </w:tcPr>
                <w:p w14:paraId="4276E67F">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lang w:val="en-US" w:eastAsia="zh-CN"/>
                    </w:rPr>
                  </w:pPr>
                  <w:r>
                    <w:rPr>
                      <w:rFonts w:hint="eastAsia"/>
                      <w:lang w:val="en-US" w:eastAsia="zh-CN"/>
                    </w:rPr>
                    <w:t>灌渠</w:t>
                  </w:r>
                </w:p>
              </w:tc>
              <w:tc>
                <w:tcPr>
                  <w:tcW w:w="1447" w:type="dxa"/>
                  <w:vAlign w:val="center"/>
                </w:tcPr>
                <w:p w14:paraId="1671DE2F">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sz w:val="21"/>
                      <w:szCs w:val="21"/>
                      <w:vertAlign w:val="baseline"/>
                      <w:lang w:val="en-US" w:eastAsia="zh-CN"/>
                    </w:rPr>
                  </w:pPr>
                  <w:r>
                    <w:rPr>
                      <w:rFonts w:hint="eastAsia"/>
                      <w:lang w:val="en-US" w:eastAsia="zh-CN"/>
                    </w:rPr>
                    <w:t>K18+530.871</w:t>
                  </w:r>
                </w:p>
              </w:tc>
              <w:tc>
                <w:tcPr>
                  <w:tcW w:w="690" w:type="dxa"/>
                  <w:vAlign w:val="center"/>
                </w:tcPr>
                <w:p w14:paraId="3C1E4552">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21.5</w:t>
                  </w:r>
                </w:p>
              </w:tc>
              <w:tc>
                <w:tcPr>
                  <w:tcW w:w="853" w:type="dxa"/>
                  <w:vAlign w:val="center"/>
                </w:tcPr>
                <w:p w14:paraId="0FF066AD">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0.0000</w:t>
                  </w:r>
                </w:p>
              </w:tc>
              <w:tc>
                <w:tcPr>
                  <w:tcW w:w="902" w:type="dxa"/>
                  <w:vAlign w:val="center"/>
                </w:tcPr>
                <w:p w14:paraId="05017D90">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0.0001</w:t>
                  </w:r>
                </w:p>
              </w:tc>
              <w:tc>
                <w:tcPr>
                  <w:tcW w:w="1085" w:type="dxa"/>
                  <w:vAlign w:val="center"/>
                </w:tcPr>
                <w:p w14:paraId="669E0E18">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0.0002</w:t>
                  </w:r>
                </w:p>
              </w:tc>
            </w:tr>
            <w:tr w14:paraId="19D41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41" w:type="dxa"/>
                  <w:vAlign w:val="center"/>
                </w:tcPr>
                <w:p w14:paraId="5018C0DE">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2</w:t>
                  </w:r>
                </w:p>
              </w:tc>
              <w:tc>
                <w:tcPr>
                  <w:tcW w:w="1407" w:type="dxa"/>
                  <w:vAlign w:val="center"/>
                </w:tcPr>
                <w:p w14:paraId="2D696689">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新栏杆一桥</w:t>
                  </w:r>
                </w:p>
              </w:tc>
              <w:tc>
                <w:tcPr>
                  <w:tcW w:w="1186" w:type="dxa"/>
                  <w:vAlign w:val="center"/>
                </w:tcPr>
                <w:p w14:paraId="2C75AD36">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pacing w:val="-11"/>
                      <w:sz w:val="21"/>
                      <w:szCs w:val="21"/>
                      <w:vertAlign w:val="baseline"/>
                      <w:lang w:val="en-US" w:eastAsia="zh-CN"/>
                    </w:rPr>
                    <w:t>水体2</w:t>
                  </w:r>
                </w:p>
              </w:tc>
              <w:tc>
                <w:tcPr>
                  <w:tcW w:w="1447" w:type="dxa"/>
                  <w:vAlign w:val="center"/>
                </w:tcPr>
                <w:p w14:paraId="02A5709F">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K21+573.539</w:t>
                  </w:r>
                </w:p>
              </w:tc>
              <w:tc>
                <w:tcPr>
                  <w:tcW w:w="690" w:type="dxa"/>
                  <w:vAlign w:val="center"/>
                </w:tcPr>
                <w:p w14:paraId="62D8047A">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31.5</w:t>
                  </w:r>
                </w:p>
              </w:tc>
              <w:tc>
                <w:tcPr>
                  <w:tcW w:w="853" w:type="dxa"/>
                  <w:vAlign w:val="center"/>
                </w:tcPr>
                <w:p w14:paraId="0E3C1335">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0.0000</w:t>
                  </w:r>
                </w:p>
              </w:tc>
              <w:tc>
                <w:tcPr>
                  <w:tcW w:w="902" w:type="dxa"/>
                  <w:vAlign w:val="center"/>
                </w:tcPr>
                <w:p w14:paraId="00127914">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0.0001</w:t>
                  </w:r>
                </w:p>
              </w:tc>
              <w:tc>
                <w:tcPr>
                  <w:tcW w:w="1085" w:type="dxa"/>
                  <w:vAlign w:val="center"/>
                </w:tcPr>
                <w:p w14:paraId="128AAA8D">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0.0003</w:t>
                  </w:r>
                </w:p>
              </w:tc>
            </w:tr>
            <w:tr w14:paraId="1E896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41" w:type="dxa"/>
                  <w:vAlign w:val="center"/>
                </w:tcPr>
                <w:p w14:paraId="6291FB8B">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3</w:t>
                  </w:r>
                </w:p>
              </w:tc>
              <w:tc>
                <w:tcPr>
                  <w:tcW w:w="1407" w:type="dxa"/>
                  <w:vAlign w:val="center"/>
                </w:tcPr>
                <w:p w14:paraId="426D2E2B">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cs="Times New Roman"/>
                      <w:color w:val="auto"/>
                      <w:spacing w:val="-2"/>
                      <w:sz w:val="21"/>
                      <w:szCs w:val="21"/>
                      <w:lang w:val="en-US" w:eastAsia="zh-CN"/>
                    </w:rPr>
                  </w:pPr>
                  <w:r>
                    <w:rPr>
                      <w:rFonts w:hint="eastAsia"/>
                      <w:lang w:val="en-US" w:eastAsia="zh-CN"/>
                    </w:rPr>
                    <w:t>新栏杆二桥</w:t>
                  </w:r>
                </w:p>
              </w:tc>
              <w:tc>
                <w:tcPr>
                  <w:tcW w:w="1186" w:type="dxa"/>
                  <w:vAlign w:val="center"/>
                </w:tcPr>
                <w:p w14:paraId="77702E1D">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lang w:val="en-US" w:eastAsia="zh-CN"/>
                    </w:rPr>
                  </w:pPr>
                  <w:r>
                    <w:rPr>
                      <w:rFonts w:hint="eastAsia"/>
                      <w:lang w:val="en-US" w:eastAsia="zh-CN"/>
                    </w:rPr>
                    <w:t>灌渠</w:t>
                  </w:r>
                </w:p>
              </w:tc>
              <w:tc>
                <w:tcPr>
                  <w:tcW w:w="1447" w:type="dxa"/>
                  <w:vAlign w:val="center"/>
                </w:tcPr>
                <w:p w14:paraId="2874FFF5">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b w:val="0"/>
                      <w:bCs w:val="0"/>
                      <w:color w:val="auto"/>
                      <w:sz w:val="21"/>
                      <w:szCs w:val="21"/>
                      <w:lang w:val="en-US" w:eastAsia="zh-CN"/>
                    </w:rPr>
                  </w:pPr>
                  <w:r>
                    <w:rPr>
                      <w:rFonts w:hint="eastAsia"/>
                      <w:lang w:val="en-US" w:eastAsia="zh-CN"/>
                    </w:rPr>
                    <w:t>K21+818.179</w:t>
                  </w:r>
                </w:p>
              </w:tc>
              <w:tc>
                <w:tcPr>
                  <w:tcW w:w="690" w:type="dxa"/>
                  <w:vAlign w:val="center"/>
                </w:tcPr>
                <w:p w14:paraId="214E904C">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cs="Times New Roman"/>
                      <w:sz w:val="21"/>
                      <w:szCs w:val="21"/>
                      <w:vertAlign w:val="baseline"/>
                      <w:lang w:val="en-US" w:eastAsia="zh-CN"/>
                    </w:rPr>
                  </w:pPr>
                  <w:r>
                    <w:rPr>
                      <w:rFonts w:hint="eastAsia"/>
                      <w:lang w:val="en-US" w:eastAsia="zh-CN"/>
                    </w:rPr>
                    <w:t>31.5</w:t>
                  </w:r>
                </w:p>
              </w:tc>
              <w:tc>
                <w:tcPr>
                  <w:tcW w:w="853" w:type="dxa"/>
                  <w:vAlign w:val="center"/>
                </w:tcPr>
                <w:p w14:paraId="78153E68">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0.0000</w:t>
                  </w:r>
                </w:p>
              </w:tc>
              <w:tc>
                <w:tcPr>
                  <w:tcW w:w="902" w:type="dxa"/>
                  <w:vAlign w:val="center"/>
                </w:tcPr>
                <w:p w14:paraId="5B87906E">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0.0001</w:t>
                  </w:r>
                </w:p>
              </w:tc>
              <w:tc>
                <w:tcPr>
                  <w:tcW w:w="1085" w:type="dxa"/>
                  <w:vAlign w:val="center"/>
                </w:tcPr>
                <w:p w14:paraId="680B5399">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0.0003</w:t>
                  </w:r>
                </w:p>
              </w:tc>
            </w:tr>
            <w:tr w14:paraId="31DCA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41" w:type="dxa"/>
                  <w:vAlign w:val="center"/>
                </w:tcPr>
                <w:p w14:paraId="559F405E">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cs="Times New Roman"/>
                      <w:sz w:val="21"/>
                      <w:szCs w:val="21"/>
                      <w:vertAlign w:val="baseline"/>
                      <w:lang w:val="en-US" w:eastAsia="zh-CN"/>
                    </w:rPr>
                  </w:pPr>
                  <w:r>
                    <w:rPr>
                      <w:rFonts w:hint="eastAsia" w:cs="Times New Roman"/>
                      <w:sz w:val="21"/>
                      <w:szCs w:val="21"/>
                      <w:vertAlign w:val="baseline"/>
                      <w:lang w:val="en-US" w:eastAsia="zh-CN"/>
                    </w:rPr>
                    <w:t>4</w:t>
                  </w:r>
                </w:p>
              </w:tc>
              <w:tc>
                <w:tcPr>
                  <w:tcW w:w="1407" w:type="dxa"/>
                  <w:vAlign w:val="center"/>
                </w:tcPr>
                <w:p w14:paraId="7649720A">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spacing w:val="-6"/>
                      <w:sz w:val="21"/>
                      <w:lang w:val="en-US" w:eastAsia="zh-CN"/>
                    </w:rPr>
                  </w:pPr>
                  <w:r>
                    <w:rPr>
                      <w:rFonts w:hint="eastAsia"/>
                      <w:spacing w:val="-6"/>
                      <w:sz w:val="21"/>
                      <w:lang w:val="en-US" w:eastAsia="zh-CN"/>
                    </w:rPr>
                    <w:t>克孜勒苏大桥</w:t>
                  </w:r>
                </w:p>
              </w:tc>
              <w:tc>
                <w:tcPr>
                  <w:tcW w:w="1186" w:type="dxa"/>
                  <w:vAlign w:val="center"/>
                </w:tcPr>
                <w:p w14:paraId="6C0E4A5F">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spacing w:val="-6"/>
                      <w:sz w:val="21"/>
                      <w:lang w:val="en-US" w:eastAsia="zh-CN"/>
                    </w:rPr>
                  </w:pPr>
                  <w:r>
                    <w:rPr>
                      <w:rFonts w:hint="eastAsia"/>
                      <w:spacing w:val="-11"/>
                      <w:sz w:val="21"/>
                      <w:lang w:val="en-US" w:eastAsia="zh-CN"/>
                    </w:rPr>
                    <w:t>水体1</w:t>
                  </w:r>
                </w:p>
              </w:tc>
              <w:tc>
                <w:tcPr>
                  <w:tcW w:w="1447" w:type="dxa"/>
                  <w:vAlign w:val="center"/>
                </w:tcPr>
                <w:p w14:paraId="2B46780B">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lang w:val="en-US" w:eastAsia="zh-CN"/>
                    </w:rPr>
                  </w:pPr>
                  <w:r>
                    <w:rPr>
                      <w:rFonts w:hint="eastAsia"/>
                      <w:lang w:val="en-US" w:eastAsia="zh-CN"/>
                    </w:rPr>
                    <w:t>K25+300.582</w:t>
                  </w:r>
                </w:p>
              </w:tc>
              <w:tc>
                <w:tcPr>
                  <w:tcW w:w="690" w:type="dxa"/>
                  <w:vAlign w:val="center"/>
                </w:tcPr>
                <w:p w14:paraId="20FA0169">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lang w:val="en-US" w:eastAsia="zh-CN"/>
                    </w:rPr>
                  </w:pPr>
                  <w:r>
                    <w:rPr>
                      <w:rFonts w:hint="eastAsia"/>
                      <w:lang w:val="en-US" w:eastAsia="zh-CN"/>
                    </w:rPr>
                    <w:t>342</w:t>
                  </w:r>
                </w:p>
              </w:tc>
              <w:tc>
                <w:tcPr>
                  <w:tcW w:w="853" w:type="dxa"/>
                  <w:vAlign w:val="center"/>
                </w:tcPr>
                <w:p w14:paraId="1291889E">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cs="Times New Roman"/>
                      <w:sz w:val="21"/>
                      <w:szCs w:val="21"/>
                      <w:vertAlign w:val="baseline"/>
                      <w:lang w:val="en-US" w:eastAsia="zh-CN"/>
                    </w:rPr>
                  </w:pPr>
                  <w:r>
                    <w:rPr>
                      <w:rFonts w:hint="eastAsia" w:cs="Times New Roman"/>
                      <w:sz w:val="21"/>
                      <w:szCs w:val="21"/>
                      <w:vertAlign w:val="baseline"/>
                      <w:lang w:val="en-US" w:eastAsia="zh-CN"/>
                    </w:rPr>
                    <w:t>0.0005</w:t>
                  </w:r>
                </w:p>
              </w:tc>
              <w:tc>
                <w:tcPr>
                  <w:tcW w:w="902" w:type="dxa"/>
                  <w:vAlign w:val="center"/>
                </w:tcPr>
                <w:p w14:paraId="181629FB">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cs="Times New Roman"/>
                      <w:sz w:val="21"/>
                      <w:szCs w:val="21"/>
                      <w:vertAlign w:val="baseline"/>
                      <w:lang w:val="en-US" w:eastAsia="zh-CN"/>
                    </w:rPr>
                  </w:pPr>
                  <w:r>
                    <w:rPr>
                      <w:rFonts w:hint="eastAsia" w:cs="Times New Roman"/>
                      <w:sz w:val="21"/>
                      <w:szCs w:val="21"/>
                      <w:vertAlign w:val="baseline"/>
                      <w:lang w:val="en-US" w:eastAsia="zh-CN"/>
                    </w:rPr>
                    <w:t>0.0010</w:t>
                  </w:r>
                </w:p>
              </w:tc>
              <w:tc>
                <w:tcPr>
                  <w:tcW w:w="1085" w:type="dxa"/>
                  <w:vAlign w:val="center"/>
                </w:tcPr>
                <w:p w14:paraId="6B77AF8A">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cs="Times New Roman"/>
                      <w:sz w:val="21"/>
                      <w:szCs w:val="21"/>
                      <w:vertAlign w:val="baseline"/>
                      <w:lang w:val="en-US" w:eastAsia="zh-CN"/>
                    </w:rPr>
                  </w:pPr>
                  <w:r>
                    <w:rPr>
                      <w:rFonts w:hint="eastAsia" w:cs="Times New Roman"/>
                      <w:sz w:val="21"/>
                      <w:szCs w:val="21"/>
                      <w:vertAlign w:val="baseline"/>
                      <w:lang w:val="en-US" w:eastAsia="zh-CN"/>
                    </w:rPr>
                    <w:t>0.0027</w:t>
                  </w:r>
                </w:p>
              </w:tc>
            </w:tr>
            <w:tr w14:paraId="7E396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41" w:type="dxa"/>
                  <w:vAlign w:val="center"/>
                </w:tcPr>
                <w:p w14:paraId="215FC691">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5</w:t>
                  </w:r>
                </w:p>
              </w:tc>
              <w:tc>
                <w:tcPr>
                  <w:tcW w:w="1407" w:type="dxa"/>
                  <w:vAlign w:val="center"/>
                </w:tcPr>
                <w:p w14:paraId="16232127">
                  <w:pPr>
                    <w:jc w:val="center"/>
                    <w:rPr>
                      <w:rFonts w:hint="default" w:ascii="Times New Roman" w:hAnsi="Times New Roman" w:cs="Times New Roman"/>
                      <w:color w:val="auto"/>
                      <w:spacing w:val="-2"/>
                      <w:sz w:val="21"/>
                      <w:szCs w:val="21"/>
                      <w:lang w:val="en-US" w:eastAsia="zh-CN"/>
                    </w:rPr>
                  </w:pPr>
                  <w:r>
                    <w:rPr>
                      <w:rFonts w:hint="eastAsia"/>
                      <w:spacing w:val="-6"/>
                      <w:sz w:val="21"/>
                      <w:lang w:val="en-US" w:eastAsia="zh-CN"/>
                    </w:rPr>
                    <w:t>和夏阿瓦提桥</w:t>
                  </w:r>
                </w:p>
              </w:tc>
              <w:tc>
                <w:tcPr>
                  <w:tcW w:w="1186" w:type="dxa"/>
                  <w:vAlign w:val="center"/>
                </w:tcPr>
                <w:p w14:paraId="569E9E47">
                  <w:pPr>
                    <w:jc w:val="center"/>
                    <w:rPr>
                      <w:rFonts w:hint="eastAsia"/>
                      <w:lang w:val="en-US" w:eastAsia="zh-CN"/>
                    </w:rPr>
                  </w:pPr>
                  <w:r>
                    <w:rPr>
                      <w:rFonts w:hint="eastAsia"/>
                      <w:lang w:val="en-US" w:eastAsia="zh-CN"/>
                    </w:rPr>
                    <w:t>灌渠</w:t>
                  </w:r>
                </w:p>
              </w:tc>
              <w:tc>
                <w:tcPr>
                  <w:tcW w:w="1447" w:type="dxa"/>
                  <w:vAlign w:val="center"/>
                </w:tcPr>
                <w:p w14:paraId="7EE98511">
                  <w:pPr>
                    <w:jc w:val="center"/>
                    <w:rPr>
                      <w:rFonts w:hint="eastAsia"/>
                      <w:b w:val="0"/>
                      <w:bCs w:val="0"/>
                      <w:color w:val="auto"/>
                      <w:sz w:val="21"/>
                      <w:szCs w:val="21"/>
                      <w:lang w:val="en-US" w:eastAsia="zh-CN"/>
                    </w:rPr>
                  </w:pPr>
                  <w:r>
                    <w:rPr>
                      <w:rFonts w:hint="eastAsia"/>
                      <w:lang w:val="en-US" w:eastAsia="zh-CN"/>
                    </w:rPr>
                    <w:t>K29+655.132</w:t>
                  </w:r>
                </w:p>
              </w:tc>
              <w:tc>
                <w:tcPr>
                  <w:tcW w:w="690" w:type="dxa"/>
                  <w:vAlign w:val="center"/>
                </w:tcPr>
                <w:p w14:paraId="47583740">
                  <w:pPr>
                    <w:jc w:val="center"/>
                    <w:rPr>
                      <w:rFonts w:hint="default" w:cs="Times New Roman"/>
                      <w:sz w:val="21"/>
                      <w:szCs w:val="21"/>
                      <w:vertAlign w:val="baseline"/>
                      <w:lang w:val="en-US" w:eastAsia="zh-CN"/>
                    </w:rPr>
                  </w:pPr>
                  <w:r>
                    <w:rPr>
                      <w:rFonts w:hint="eastAsia"/>
                      <w:lang w:val="en-US" w:eastAsia="zh-CN"/>
                    </w:rPr>
                    <w:t>21.5</w:t>
                  </w:r>
                </w:p>
              </w:tc>
              <w:tc>
                <w:tcPr>
                  <w:tcW w:w="853" w:type="dxa"/>
                  <w:vAlign w:val="center"/>
                </w:tcPr>
                <w:p w14:paraId="3E93B4FC">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0.0000</w:t>
                  </w:r>
                </w:p>
              </w:tc>
              <w:tc>
                <w:tcPr>
                  <w:tcW w:w="902" w:type="dxa"/>
                  <w:vAlign w:val="center"/>
                </w:tcPr>
                <w:p w14:paraId="04085592">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0.0001</w:t>
                  </w:r>
                </w:p>
              </w:tc>
              <w:tc>
                <w:tcPr>
                  <w:tcW w:w="1085" w:type="dxa"/>
                  <w:vAlign w:val="center"/>
                </w:tcPr>
                <w:p w14:paraId="2056C7C1">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0.0002</w:t>
                  </w:r>
                </w:p>
              </w:tc>
            </w:tr>
            <w:tr w14:paraId="0B7EA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41" w:type="dxa"/>
                  <w:vAlign w:val="center"/>
                </w:tcPr>
                <w:p w14:paraId="02FC01EB">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cs="Times New Roman"/>
                      <w:sz w:val="21"/>
                      <w:szCs w:val="21"/>
                      <w:vertAlign w:val="baseline"/>
                      <w:lang w:val="en-US" w:eastAsia="zh-CN"/>
                    </w:rPr>
                  </w:pPr>
                  <w:r>
                    <w:rPr>
                      <w:rFonts w:hint="eastAsia" w:cs="Times New Roman"/>
                      <w:sz w:val="21"/>
                      <w:szCs w:val="21"/>
                      <w:vertAlign w:val="baseline"/>
                      <w:lang w:val="en-US" w:eastAsia="zh-CN"/>
                    </w:rPr>
                    <w:t>6</w:t>
                  </w:r>
                </w:p>
              </w:tc>
              <w:tc>
                <w:tcPr>
                  <w:tcW w:w="1407" w:type="dxa"/>
                  <w:vAlign w:val="center"/>
                </w:tcPr>
                <w:p w14:paraId="25912BDD">
                  <w:pPr>
                    <w:jc w:val="center"/>
                    <w:rPr>
                      <w:rFonts w:hint="eastAsia"/>
                      <w:color w:val="auto"/>
                      <w:lang w:val="en-US" w:eastAsia="zh-CN"/>
                    </w:rPr>
                  </w:pPr>
                  <w:r>
                    <w:rPr>
                      <w:rFonts w:hint="eastAsia"/>
                      <w:lang w:val="en-US" w:eastAsia="zh-CN"/>
                    </w:rPr>
                    <w:t>调节渠桥</w:t>
                  </w:r>
                </w:p>
              </w:tc>
              <w:tc>
                <w:tcPr>
                  <w:tcW w:w="1186" w:type="dxa"/>
                  <w:vAlign w:val="center"/>
                </w:tcPr>
                <w:p w14:paraId="6C39F535">
                  <w:pPr>
                    <w:jc w:val="center"/>
                    <w:rPr>
                      <w:rFonts w:hint="eastAsia"/>
                      <w:lang w:val="en-US" w:eastAsia="zh-CN"/>
                    </w:rPr>
                  </w:pPr>
                  <w:r>
                    <w:rPr>
                      <w:rFonts w:hint="eastAsia"/>
                      <w:lang w:val="en-US" w:eastAsia="zh-CN"/>
                    </w:rPr>
                    <w:t>灌渠</w:t>
                  </w:r>
                </w:p>
              </w:tc>
              <w:tc>
                <w:tcPr>
                  <w:tcW w:w="1447" w:type="dxa"/>
                  <w:vAlign w:val="center"/>
                </w:tcPr>
                <w:p w14:paraId="65280F47">
                  <w:pPr>
                    <w:jc w:val="center"/>
                    <w:rPr>
                      <w:rFonts w:hint="eastAsia"/>
                      <w:color w:val="auto"/>
                    </w:rPr>
                  </w:pPr>
                  <w:r>
                    <w:rPr>
                      <w:rFonts w:hint="eastAsia"/>
                      <w:lang w:val="en-US" w:eastAsia="zh-CN"/>
                    </w:rPr>
                    <w:t>K41+340.822</w:t>
                  </w:r>
                </w:p>
              </w:tc>
              <w:tc>
                <w:tcPr>
                  <w:tcW w:w="690" w:type="dxa"/>
                  <w:vAlign w:val="center"/>
                </w:tcPr>
                <w:p w14:paraId="0745AA75">
                  <w:pPr>
                    <w:jc w:val="center"/>
                    <w:rPr>
                      <w:rFonts w:hint="eastAsia" w:cs="Times New Roman"/>
                      <w:sz w:val="21"/>
                      <w:szCs w:val="21"/>
                      <w:vertAlign w:val="baseline"/>
                      <w:lang w:val="en-US" w:eastAsia="zh-CN"/>
                    </w:rPr>
                  </w:pPr>
                  <w:r>
                    <w:rPr>
                      <w:rFonts w:hint="eastAsia"/>
                      <w:lang w:val="en-US" w:eastAsia="zh-CN"/>
                    </w:rPr>
                    <w:t>18.5</w:t>
                  </w:r>
                </w:p>
              </w:tc>
              <w:tc>
                <w:tcPr>
                  <w:tcW w:w="853" w:type="dxa"/>
                  <w:vAlign w:val="center"/>
                </w:tcPr>
                <w:p w14:paraId="14EED07F">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0.0000</w:t>
                  </w:r>
                </w:p>
              </w:tc>
              <w:tc>
                <w:tcPr>
                  <w:tcW w:w="902" w:type="dxa"/>
                  <w:vAlign w:val="center"/>
                </w:tcPr>
                <w:p w14:paraId="69AB67E1">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0.0001</w:t>
                  </w:r>
                </w:p>
              </w:tc>
              <w:tc>
                <w:tcPr>
                  <w:tcW w:w="1085" w:type="dxa"/>
                  <w:vAlign w:val="center"/>
                </w:tcPr>
                <w:p w14:paraId="113B5CDB">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0.0002</w:t>
                  </w:r>
                </w:p>
              </w:tc>
            </w:tr>
            <w:tr w14:paraId="4FEB8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41" w:type="dxa"/>
                  <w:vAlign w:val="center"/>
                </w:tcPr>
                <w:p w14:paraId="146B931E">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cs="Times New Roman"/>
                      <w:sz w:val="21"/>
                      <w:szCs w:val="21"/>
                      <w:vertAlign w:val="baseline"/>
                      <w:lang w:val="en-US" w:eastAsia="zh-CN"/>
                    </w:rPr>
                  </w:pPr>
                  <w:r>
                    <w:rPr>
                      <w:rFonts w:hint="eastAsia" w:cs="Times New Roman"/>
                      <w:sz w:val="21"/>
                      <w:szCs w:val="21"/>
                      <w:vertAlign w:val="baseline"/>
                      <w:lang w:val="en-US" w:eastAsia="zh-CN"/>
                    </w:rPr>
                    <w:t>7</w:t>
                  </w:r>
                </w:p>
              </w:tc>
              <w:tc>
                <w:tcPr>
                  <w:tcW w:w="1407" w:type="dxa"/>
                  <w:vAlign w:val="center"/>
                </w:tcPr>
                <w:p w14:paraId="095E020B">
                  <w:pPr>
                    <w:jc w:val="center"/>
                    <w:rPr>
                      <w:rFonts w:hint="eastAsia"/>
                      <w:color w:val="auto"/>
                      <w:lang w:val="en-US" w:eastAsia="zh-CN"/>
                    </w:rPr>
                  </w:pPr>
                  <w:r>
                    <w:rPr>
                      <w:rFonts w:hint="eastAsia"/>
                      <w:lang w:val="en-US" w:eastAsia="zh-CN"/>
                    </w:rPr>
                    <w:t>青年渠桥</w:t>
                  </w:r>
                </w:p>
              </w:tc>
              <w:tc>
                <w:tcPr>
                  <w:tcW w:w="1186" w:type="dxa"/>
                  <w:vAlign w:val="center"/>
                </w:tcPr>
                <w:p w14:paraId="679862F8">
                  <w:pPr>
                    <w:jc w:val="center"/>
                    <w:rPr>
                      <w:rFonts w:hint="eastAsia"/>
                      <w:lang w:val="en-US" w:eastAsia="zh-CN"/>
                    </w:rPr>
                  </w:pPr>
                  <w:r>
                    <w:rPr>
                      <w:rFonts w:hint="eastAsia"/>
                      <w:lang w:val="en-US" w:eastAsia="zh-CN"/>
                    </w:rPr>
                    <w:t>灌渠</w:t>
                  </w:r>
                </w:p>
              </w:tc>
              <w:tc>
                <w:tcPr>
                  <w:tcW w:w="1447" w:type="dxa"/>
                  <w:vAlign w:val="center"/>
                </w:tcPr>
                <w:p w14:paraId="3030D3B2">
                  <w:pPr>
                    <w:jc w:val="center"/>
                    <w:rPr>
                      <w:rFonts w:hint="eastAsia"/>
                      <w:color w:val="auto"/>
                    </w:rPr>
                  </w:pPr>
                  <w:r>
                    <w:rPr>
                      <w:rFonts w:hint="eastAsia"/>
                      <w:lang w:val="en-US" w:eastAsia="zh-CN"/>
                    </w:rPr>
                    <w:t>K44+179.938</w:t>
                  </w:r>
                </w:p>
              </w:tc>
              <w:tc>
                <w:tcPr>
                  <w:tcW w:w="690" w:type="dxa"/>
                  <w:vAlign w:val="center"/>
                </w:tcPr>
                <w:p w14:paraId="016FE46D">
                  <w:pPr>
                    <w:jc w:val="center"/>
                    <w:rPr>
                      <w:rFonts w:hint="eastAsia" w:cs="Times New Roman"/>
                      <w:sz w:val="21"/>
                      <w:szCs w:val="21"/>
                      <w:vertAlign w:val="baseline"/>
                      <w:lang w:val="en-US" w:eastAsia="zh-CN"/>
                    </w:rPr>
                  </w:pPr>
                  <w:r>
                    <w:rPr>
                      <w:rFonts w:hint="eastAsia"/>
                      <w:lang w:val="en-US" w:eastAsia="zh-CN"/>
                    </w:rPr>
                    <w:t>28</w:t>
                  </w:r>
                </w:p>
              </w:tc>
              <w:tc>
                <w:tcPr>
                  <w:tcW w:w="853" w:type="dxa"/>
                  <w:vAlign w:val="center"/>
                </w:tcPr>
                <w:p w14:paraId="484A1626">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0.0000</w:t>
                  </w:r>
                </w:p>
              </w:tc>
              <w:tc>
                <w:tcPr>
                  <w:tcW w:w="902" w:type="dxa"/>
                  <w:vAlign w:val="center"/>
                </w:tcPr>
                <w:p w14:paraId="5A9EB676">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0.0001</w:t>
                  </w:r>
                </w:p>
              </w:tc>
              <w:tc>
                <w:tcPr>
                  <w:tcW w:w="1085" w:type="dxa"/>
                  <w:vAlign w:val="center"/>
                </w:tcPr>
                <w:p w14:paraId="481CA466">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0.0003</w:t>
                  </w:r>
                </w:p>
              </w:tc>
            </w:tr>
            <w:tr w14:paraId="74256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41" w:type="dxa"/>
                  <w:vAlign w:val="center"/>
                </w:tcPr>
                <w:p w14:paraId="03E46108">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cs="Times New Roman"/>
                      <w:sz w:val="21"/>
                      <w:szCs w:val="21"/>
                      <w:vertAlign w:val="baseline"/>
                      <w:lang w:val="en-US" w:eastAsia="zh-CN"/>
                    </w:rPr>
                  </w:pPr>
                  <w:r>
                    <w:rPr>
                      <w:rFonts w:hint="eastAsia" w:cs="Times New Roman"/>
                      <w:sz w:val="21"/>
                      <w:szCs w:val="21"/>
                      <w:vertAlign w:val="baseline"/>
                      <w:lang w:val="en-US" w:eastAsia="zh-CN"/>
                    </w:rPr>
                    <w:t>8</w:t>
                  </w:r>
                </w:p>
              </w:tc>
              <w:tc>
                <w:tcPr>
                  <w:tcW w:w="1407" w:type="dxa"/>
                  <w:vAlign w:val="center"/>
                </w:tcPr>
                <w:p w14:paraId="64997CFF">
                  <w:pPr>
                    <w:jc w:val="center"/>
                    <w:rPr>
                      <w:rFonts w:hint="eastAsia"/>
                      <w:color w:val="auto"/>
                      <w:lang w:val="en-US" w:eastAsia="zh-CN"/>
                    </w:rPr>
                  </w:pPr>
                  <w:r>
                    <w:rPr>
                      <w:rFonts w:hint="eastAsia"/>
                      <w:lang w:val="en-US" w:eastAsia="zh-CN"/>
                    </w:rPr>
                    <w:t>红旗渠桥</w:t>
                  </w:r>
                </w:p>
              </w:tc>
              <w:tc>
                <w:tcPr>
                  <w:tcW w:w="1186" w:type="dxa"/>
                  <w:vAlign w:val="center"/>
                </w:tcPr>
                <w:p w14:paraId="0CE6310D">
                  <w:pPr>
                    <w:jc w:val="center"/>
                    <w:rPr>
                      <w:rFonts w:hint="eastAsia"/>
                      <w:lang w:val="en-US" w:eastAsia="zh-CN"/>
                    </w:rPr>
                  </w:pPr>
                  <w:r>
                    <w:rPr>
                      <w:rFonts w:hint="eastAsia"/>
                      <w:lang w:val="en-US" w:eastAsia="zh-CN"/>
                    </w:rPr>
                    <w:t>灌渠</w:t>
                  </w:r>
                </w:p>
              </w:tc>
              <w:tc>
                <w:tcPr>
                  <w:tcW w:w="1447" w:type="dxa"/>
                  <w:vAlign w:val="center"/>
                </w:tcPr>
                <w:p w14:paraId="799AE086">
                  <w:pPr>
                    <w:jc w:val="center"/>
                    <w:rPr>
                      <w:rFonts w:hint="eastAsia"/>
                      <w:color w:val="auto"/>
                    </w:rPr>
                  </w:pPr>
                  <w:r>
                    <w:rPr>
                      <w:rFonts w:hint="eastAsia"/>
                      <w:lang w:val="en-US" w:eastAsia="zh-CN"/>
                    </w:rPr>
                    <w:t>K47+445.967</w:t>
                  </w:r>
                </w:p>
              </w:tc>
              <w:tc>
                <w:tcPr>
                  <w:tcW w:w="690" w:type="dxa"/>
                  <w:vAlign w:val="center"/>
                </w:tcPr>
                <w:p w14:paraId="1F48AF67">
                  <w:pPr>
                    <w:jc w:val="center"/>
                    <w:rPr>
                      <w:rFonts w:hint="eastAsia" w:cs="Times New Roman"/>
                      <w:sz w:val="21"/>
                      <w:szCs w:val="21"/>
                      <w:vertAlign w:val="baseline"/>
                      <w:lang w:val="en-US" w:eastAsia="zh-CN"/>
                    </w:rPr>
                  </w:pPr>
                  <w:r>
                    <w:rPr>
                      <w:rFonts w:hint="eastAsia"/>
                      <w:lang w:val="en-US" w:eastAsia="zh-CN"/>
                    </w:rPr>
                    <w:t>21.5</w:t>
                  </w:r>
                </w:p>
              </w:tc>
              <w:tc>
                <w:tcPr>
                  <w:tcW w:w="853" w:type="dxa"/>
                  <w:vAlign w:val="center"/>
                </w:tcPr>
                <w:p w14:paraId="5DAF9311">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0.0000</w:t>
                  </w:r>
                </w:p>
              </w:tc>
              <w:tc>
                <w:tcPr>
                  <w:tcW w:w="902" w:type="dxa"/>
                  <w:vAlign w:val="center"/>
                </w:tcPr>
                <w:p w14:paraId="3CBBC2AD">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0.0001</w:t>
                  </w:r>
                </w:p>
              </w:tc>
              <w:tc>
                <w:tcPr>
                  <w:tcW w:w="1085" w:type="dxa"/>
                  <w:vAlign w:val="center"/>
                </w:tcPr>
                <w:p w14:paraId="44A889CE">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0.0002</w:t>
                  </w:r>
                </w:p>
              </w:tc>
            </w:tr>
          </w:tbl>
          <w:p w14:paraId="700013EA">
            <w:pPr>
              <w:keepNext w:val="0"/>
              <w:keepLines w:val="0"/>
              <w:pageBreakBefore w:val="0"/>
              <w:widowControl w:val="0"/>
              <w:kinsoku/>
              <w:wordWrap/>
              <w:overflowPunct/>
              <w:topLinePunct w:val="0"/>
              <w:autoSpaceDE w:val="0"/>
              <w:autoSpaceDN w:val="0"/>
              <w:bidi w:val="0"/>
              <w:adjustRightInd w:val="0"/>
              <w:snapToGrid/>
              <w:spacing w:before="313" w:beforeLines="100" w:line="300" w:lineRule="auto"/>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从表4-</w:t>
            </w:r>
            <w:r>
              <w:rPr>
                <w:rFonts w:hint="eastAsia" w:cs="Times New Roman"/>
                <w:sz w:val="24"/>
                <w:szCs w:val="24"/>
                <w:lang w:val="en-US" w:eastAsia="zh-CN"/>
              </w:rPr>
              <w:t>7</w:t>
            </w:r>
            <w:r>
              <w:rPr>
                <w:rFonts w:hint="default" w:ascii="Times New Roman" w:hAnsi="Times New Roman" w:eastAsia="宋体" w:cs="Times New Roman"/>
                <w:sz w:val="24"/>
                <w:szCs w:val="24"/>
                <w:lang w:val="en-US" w:eastAsia="zh-CN"/>
              </w:rPr>
              <w:t>中的计算结果可以看出，</w:t>
            </w:r>
            <w:r>
              <w:rPr>
                <w:rFonts w:hint="eastAsia" w:cs="Times New Roman"/>
                <w:color w:val="auto"/>
                <w:spacing w:val="-2"/>
                <w:sz w:val="24"/>
                <w:lang w:val="en-US" w:eastAsia="zh-CN"/>
              </w:rPr>
              <w:t>拟建公路沿线跨越河流及灌渠的桥梁路段</w:t>
            </w:r>
            <w:r>
              <w:rPr>
                <w:rFonts w:hint="default" w:ascii="Times New Roman" w:hAnsi="Times New Roman" w:eastAsia="宋体" w:cs="Times New Roman"/>
                <w:sz w:val="24"/>
                <w:szCs w:val="24"/>
                <w:lang w:val="en-US" w:eastAsia="zh-CN"/>
              </w:rPr>
              <w:t>发生事故的最大概率</w:t>
            </w:r>
            <w:r>
              <w:rPr>
                <w:rFonts w:hint="eastAsia" w:ascii="Times New Roman" w:hAnsi="Times New Roman" w:eastAsia="宋体" w:cs="Times New Roman"/>
                <w:sz w:val="24"/>
                <w:szCs w:val="24"/>
                <w:lang w:val="en-US" w:eastAsia="zh-CN"/>
              </w:rPr>
              <w:t>分别</w:t>
            </w:r>
            <w:r>
              <w:rPr>
                <w:rFonts w:hint="default" w:ascii="Times New Roman" w:hAnsi="Times New Roman" w:eastAsia="宋体" w:cs="Times New Roman"/>
                <w:sz w:val="24"/>
                <w:szCs w:val="24"/>
                <w:lang w:val="en-US" w:eastAsia="zh-CN"/>
              </w:rPr>
              <w:t>为0.0</w:t>
            </w:r>
            <w:r>
              <w:rPr>
                <w:rFonts w:hint="eastAsia" w:cs="Times New Roman"/>
                <w:sz w:val="24"/>
                <w:szCs w:val="24"/>
                <w:lang w:val="en-US" w:eastAsia="zh-CN"/>
              </w:rPr>
              <w:t>027</w:t>
            </w:r>
            <w:r>
              <w:rPr>
                <w:rFonts w:hint="default" w:ascii="Times New Roman" w:hAnsi="Times New Roman" w:eastAsia="宋体" w:cs="Times New Roman"/>
                <w:sz w:val="24"/>
                <w:szCs w:val="24"/>
                <w:lang w:val="en-US" w:eastAsia="zh-CN"/>
              </w:rPr>
              <w:t>次/年</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0.0</w:t>
            </w:r>
            <w:r>
              <w:rPr>
                <w:rFonts w:hint="eastAsia" w:cs="Times New Roman"/>
                <w:sz w:val="24"/>
                <w:szCs w:val="24"/>
                <w:lang w:val="en-US" w:eastAsia="zh-CN"/>
              </w:rPr>
              <w:t>003</w:t>
            </w:r>
            <w:r>
              <w:rPr>
                <w:rFonts w:hint="default" w:ascii="Times New Roman" w:hAnsi="Times New Roman" w:eastAsia="宋体" w:cs="Times New Roman"/>
                <w:sz w:val="24"/>
                <w:szCs w:val="24"/>
                <w:lang w:val="en-US" w:eastAsia="zh-CN"/>
              </w:rPr>
              <w:t>次/年。</w:t>
            </w:r>
          </w:p>
          <w:p w14:paraId="48FB03E1">
            <w:pPr>
              <w:keepNext w:val="0"/>
              <w:keepLines w:val="0"/>
              <w:pageBreakBefore w:val="0"/>
              <w:widowControl w:val="0"/>
              <w:kinsoku/>
              <w:wordWrap/>
              <w:overflowPunct/>
              <w:topLinePunct w:val="0"/>
              <w:autoSpaceDE w:val="0"/>
              <w:autoSpaceDN w:val="0"/>
              <w:bidi w:val="0"/>
              <w:adjustRightInd w:val="0"/>
              <w:snapToGrid/>
              <w:spacing w:line="300" w:lineRule="auto"/>
              <w:ind w:firstLine="480" w:firstLineChars="200"/>
              <w:textAlignment w:val="auto"/>
              <w:rPr>
                <w:rFonts w:hint="default" w:ascii="Times New Roman" w:hAnsi="Times New Roman" w:cs="Times New Roman"/>
                <w:color w:val="auto"/>
                <w:spacing w:val="-2"/>
                <w:kern w:val="0"/>
                <w:sz w:val="24"/>
              </w:rPr>
            </w:pPr>
            <w:r>
              <w:rPr>
                <w:rFonts w:hint="default" w:ascii="Times New Roman" w:hAnsi="Times New Roman" w:eastAsia="宋体" w:cs="Times New Roman"/>
                <w:sz w:val="24"/>
                <w:szCs w:val="24"/>
                <w:lang w:val="en-US" w:eastAsia="zh-CN"/>
              </w:rPr>
              <w:t>虽然概率很低，但不能排除重大交通事故等意外事件的发生。</w:t>
            </w:r>
            <w:r>
              <w:rPr>
                <w:rFonts w:hint="eastAsia" w:ascii="Times New Roman" w:hAnsi="Times New Roman" w:eastAsia="宋体" w:cs="Times New Roman"/>
                <w:sz w:val="24"/>
                <w:szCs w:val="24"/>
                <w:lang w:val="en-US" w:eastAsia="zh-CN"/>
              </w:rPr>
              <w:t>因此</w:t>
            </w:r>
            <w:r>
              <w:rPr>
                <w:rFonts w:hint="default" w:ascii="Times New Roman" w:hAnsi="Times New Roman" w:eastAsia="宋体" w:cs="Times New Roman"/>
                <w:sz w:val="24"/>
                <w:szCs w:val="24"/>
                <w:lang w:val="en-US" w:eastAsia="zh-CN"/>
              </w:rPr>
              <w:t>，为防止危险品运输</w:t>
            </w:r>
            <w:r>
              <w:rPr>
                <w:rFonts w:hint="eastAsia" w:ascii="Times New Roman" w:hAnsi="Times New Roman" w:eastAsia="宋体" w:cs="Times New Roman"/>
                <w:sz w:val="24"/>
                <w:szCs w:val="24"/>
                <w:lang w:val="en-US" w:eastAsia="zh-CN"/>
              </w:rPr>
              <w:t>对</w:t>
            </w:r>
            <w:r>
              <w:rPr>
                <w:rFonts w:hint="eastAsia" w:cs="Times New Roman"/>
                <w:sz w:val="24"/>
                <w:szCs w:val="24"/>
                <w:lang w:val="en-US" w:eastAsia="zh-CN"/>
              </w:rPr>
              <w:t>河流水质以及农业灌溉</w:t>
            </w:r>
            <w:r>
              <w:rPr>
                <w:rFonts w:hint="eastAsia" w:ascii="Times New Roman" w:hAnsi="Times New Roman" w:eastAsia="宋体" w:cs="Times New Roman"/>
                <w:sz w:val="24"/>
                <w:szCs w:val="24"/>
                <w:lang w:val="en-US" w:eastAsia="zh-CN"/>
              </w:rPr>
              <w:t>产生</w:t>
            </w:r>
            <w:r>
              <w:rPr>
                <w:rFonts w:hint="default" w:ascii="Times New Roman" w:hAnsi="Times New Roman" w:eastAsia="宋体" w:cs="Times New Roman"/>
                <w:sz w:val="24"/>
                <w:szCs w:val="24"/>
                <w:lang w:val="en-US" w:eastAsia="zh-CN"/>
              </w:rPr>
              <w:t>污染风险，必须采取有效的预防和应急措施</w:t>
            </w:r>
            <w:r>
              <w:rPr>
                <w:rFonts w:hint="eastAsia" w:cs="Times New Roman"/>
                <w:sz w:val="24"/>
                <w:szCs w:val="24"/>
                <w:lang w:val="en-US" w:eastAsia="zh-CN"/>
              </w:rPr>
              <w:t>。</w:t>
            </w:r>
          </w:p>
          <w:p w14:paraId="5B34AE6F">
            <w:pPr>
              <w:autoSpaceDE w:val="0"/>
              <w:autoSpaceDN w:val="0"/>
              <w:adjustRightInd w:val="0"/>
              <w:spacing w:line="300" w:lineRule="auto"/>
              <w:ind w:firstLine="472" w:firstLineChars="200"/>
              <w:rPr>
                <w:rFonts w:hint="default" w:ascii="Times New Roman" w:hAnsi="Times New Roman" w:cs="Times New Roman"/>
                <w:spacing w:val="-2"/>
                <w:kern w:val="0"/>
                <w:sz w:val="24"/>
              </w:rPr>
            </w:pPr>
            <w:r>
              <w:rPr>
                <w:rFonts w:hint="default" w:ascii="Times New Roman" w:hAnsi="Times New Roman" w:cs="Times New Roman"/>
                <w:spacing w:val="-2"/>
                <w:kern w:val="0"/>
                <w:sz w:val="24"/>
              </w:rPr>
              <w:t>拟建公路针对不</w:t>
            </w:r>
            <w:r>
              <w:rPr>
                <w:rFonts w:hint="eastAsia" w:cs="Times New Roman"/>
                <w:spacing w:val="-2"/>
                <w:kern w:val="0"/>
                <w:sz w:val="24"/>
                <w:lang w:val="en-US" w:eastAsia="zh-CN"/>
              </w:rPr>
              <w:t>同</w:t>
            </w:r>
            <w:r>
              <w:rPr>
                <w:rFonts w:hint="default" w:ascii="Times New Roman" w:hAnsi="Times New Roman" w:cs="Times New Roman"/>
                <w:spacing w:val="-2"/>
                <w:kern w:val="0"/>
                <w:sz w:val="24"/>
              </w:rPr>
              <w:t>路段采取了设置路（桥）面径流收集系统</w:t>
            </w:r>
            <w:r>
              <w:rPr>
                <w:rFonts w:hint="eastAsia" w:cs="Times New Roman"/>
                <w:spacing w:val="-2"/>
                <w:kern w:val="0"/>
                <w:sz w:val="24"/>
                <w:lang w:eastAsia="zh-CN"/>
              </w:rPr>
              <w:t>、</w:t>
            </w:r>
            <w:r>
              <w:rPr>
                <w:rFonts w:hint="default" w:ascii="Times New Roman" w:hAnsi="Times New Roman" w:cs="Times New Roman"/>
                <w:spacing w:val="-2"/>
                <w:kern w:val="0"/>
                <w:sz w:val="24"/>
              </w:rPr>
              <w:t>强化防撞护栏</w:t>
            </w:r>
            <w:r>
              <w:rPr>
                <w:rFonts w:hint="eastAsia" w:cs="Times New Roman"/>
                <w:spacing w:val="-2"/>
                <w:kern w:val="0"/>
                <w:sz w:val="24"/>
                <w:lang w:val="en-US" w:eastAsia="zh-CN"/>
              </w:rPr>
              <w:t>设计、安装</w:t>
            </w:r>
            <w:r>
              <w:rPr>
                <w:rFonts w:hint="default" w:ascii="Times New Roman" w:hAnsi="Times New Roman" w:cs="Times New Roman"/>
                <w:spacing w:val="-2"/>
                <w:kern w:val="0"/>
                <w:sz w:val="24"/>
              </w:rPr>
              <w:t>警示标志、储备应急物资等措施，进一步减缓环境风险后果。具体见环境风险防范措施一节。</w:t>
            </w:r>
          </w:p>
          <w:p w14:paraId="1F6EA79A">
            <w:pPr>
              <w:autoSpaceDE w:val="0"/>
              <w:autoSpaceDN w:val="0"/>
              <w:adjustRightInd w:val="0"/>
              <w:spacing w:line="300" w:lineRule="auto"/>
              <w:rPr>
                <w:rFonts w:hint="default" w:ascii="Times New Roman" w:hAnsi="Times New Roman" w:cs="Times New Roman"/>
                <w:spacing w:val="-2"/>
                <w:kern w:val="0"/>
                <w:sz w:val="24"/>
              </w:rPr>
            </w:pPr>
          </w:p>
        </w:tc>
      </w:tr>
      <w:tr w14:paraId="4E3CEE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55" w:hRule="atLeast"/>
        </w:trPr>
        <w:tc>
          <w:tcPr>
            <w:tcW w:w="879" w:type="dxa"/>
            <w:vAlign w:val="center"/>
          </w:tcPr>
          <w:p w14:paraId="58C5DEE6">
            <w:pPr>
              <w:pStyle w:val="20"/>
              <w:adjustRightInd w:val="0"/>
              <w:snapToGrid w:val="0"/>
              <w:spacing w:before="0" w:beforeAutospacing="0" w:after="0" w:afterAutospacing="0"/>
              <w:jc w:val="center"/>
              <w:rPr>
                <w:rFonts w:ascii="Times New Roman" w:hAnsi="Times New Roman"/>
                <w:bCs/>
                <w:color w:val="0070C0"/>
                <w:kern w:val="2"/>
                <w:szCs w:val="24"/>
              </w:rPr>
            </w:pPr>
            <w:r>
              <w:rPr>
                <w:rFonts w:ascii="Times New Roman" w:hAnsi="Times New Roman"/>
                <w:bCs/>
                <w:color w:val="auto"/>
                <w:kern w:val="2"/>
                <w:szCs w:val="24"/>
              </w:rPr>
              <w:t>选址选线环境合理性分析</w:t>
            </w:r>
          </w:p>
        </w:tc>
        <w:tc>
          <w:tcPr>
            <w:tcW w:w="8221" w:type="dxa"/>
          </w:tcPr>
          <w:p w14:paraId="1C44E299">
            <w:pPr>
              <w:autoSpaceDE w:val="0"/>
              <w:autoSpaceDN w:val="0"/>
              <w:adjustRightInd w:val="0"/>
              <w:spacing w:line="300" w:lineRule="auto"/>
              <w:rPr>
                <w:rFonts w:hint="eastAsia" w:hAnsiTheme="minorEastAsia" w:eastAsiaTheme="minorEastAsia"/>
                <w:color w:val="auto"/>
                <w:kern w:val="0"/>
                <w:sz w:val="24"/>
              </w:rPr>
            </w:pPr>
            <w:r>
              <w:rPr>
                <w:b/>
                <w:bCs/>
                <w:color w:val="auto"/>
                <w:kern w:val="0"/>
                <w:sz w:val="24"/>
              </w:rPr>
              <w:t xml:space="preserve">1. </w:t>
            </w:r>
            <w:r>
              <w:rPr>
                <w:b/>
                <w:color w:val="auto"/>
                <w:kern w:val="0"/>
                <w:sz w:val="24"/>
              </w:rPr>
              <w:t>主体工程选址选线环境合理性分析</w:t>
            </w:r>
          </w:p>
          <w:p w14:paraId="6E639EB5">
            <w:pPr>
              <w:autoSpaceDE w:val="0"/>
              <w:autoSpaceDN w:val="0"/>
              <w:adjustRightInd w:val="0"/>
              <w:spacing w:line="300" w:lineRule="auto"/>
              <w:ind w:firstLine="480" w:firstLineChars="200"/>
              <w:rPr>
                <w:rFonts w:hint="eastAsia" w:hAnsiTheme="minorEastAsia" w:eastAsiaTheme="minorEastAsia"/>
                <w:color w:val="0070C0"/>
                <w:kern w:val="0"/>
                <w:sz w:val="24"/>
              </w:rPr>
            </w:pPr>
            <w:r>
              <w:rPr>
                <w:rFonts w:hint="eastAsia" w:hAnsiTheme="minorEastAsia" w:eastAsiaTheme="minorEastAsia"/>
                <w:color w:val="auto"/>
                <w:kern w:val="0"/>
                <w:sz w:val="24"/>
                <w:lang w:val="en-US" w:eastAsia="zh-CN"/>
              </w:rPr>
              <w:t>拟建公路</w:t>
            </w:r>
            <w:r>
              <w:rPr>
                <w:rFonts w:hint="eastAsia" w:hAnsiTheme="minorEastAsia" w:eastAsiaTheme="minorEastAsia"/>
                <w:color w:val="auto"/>
                <w:kern w:val="0"/>
                <w:sz w:val="24"/>
              </w:rPr>
              <w:t>为G219线新疆克州及喀什</w:t>
            </w:r>
            <w:r>
              <w:rPr>
                <w:rFonts w:hint="eastAsia" w:hAnsiTheme="minorEastAsia" w:eastAsiaTheme="minorEastAsia"/>
                <w:color w:val="auto"/>
                <w:kern w:val="0"/>
                <w:sz w:val="24"/>
                <w:lang w:val="en-US" w:eastAsia="zh-CN"/>
              </w:rPr>
              <w:t>地区</w:t>
            </w:r>
            <w:r>
              <w:rPr>
                <w:rFonts w:hint="eastAsia" w:hAnsiTheme="minorEastAsia" w:eastAsiaTheme="minorEastAsia"/>
                <w:color w:val="auto"/>
                <w:kern w:val="0"/>
                <w:sz w:val="24"/>
              </w:rPr>
              <w:t>境内关键路段，是克州、喀什地区中部重要通道</w:t>
            </w:r>
            <w:r>
              <w:rPr>
                <w:rFonts w:hint="eastAsia" w:hAnsiTheme="minorEastAsia" w:eastAsiaTheme="minorEastAsia"/>
                <w:color w:val="auto"/>
                <w:kern w:val="0"/>
                <w:sz w:val="24"/>
                <w:lang w:eastAsia="zh-CN"/>
              </w:rPr>
              <w:t>。</w:t>
            </w:r>
            <w:r>
              <w:rPr>
                <w:rFonts w:hint="eastAsia" w:hAnsiTheme="minorEastAsia" w:eastAsiaTheme="minorEastAsia"/>
                <w:color w:val="auto"/>
                <w:kern w:val="0"/>
                <w:sz w:val="24"/>
                <w:lang w:val="en-US" w:eastAsia="zh-CN"/>
              </w:rPr>
              <w:t>项目</w:t>
            </w:r>
            <w:r>
              <w:rPr>
                <w:rFonts w:hint="eastAsia" w:hAnsiTheme="minorEastAsia" w:eastAsiaTheme="minorEastAsia"/>
                <w:color w:val="auto"/>
                <w:kern w:val="0"/>
                <w:sz w:val="24"/>
              </w:rPr>
              <w:t>建成后可有效提升国防公路通达深度与通行能力，为推进国防现代化、维护边境稳定与国家安全、提升区域反恐维稳能力、促进社会大局稳定具有重要战略意义。</w:t>
            </w:r>
            <w:r>
              <w:rPr>
                <w:rFonts w:hint="eastAsia" w:hAnsiTheme="minorEastAsia" w:eastAsiaTheme="minorEastAsia"/>
                <w:color w:val="auto"/>
                <w:kern w:val="0"/>
                <w:sz w:val="24"/>
                <w:lang w:val="en-US" w:eastAsia="zh-CN"/>
              </w:rPr>
              <w:t>此外，</w:t>
            </w:r>
            <w:r>
              <w:rPr>
                <w:rFonts w:hint="eastAsia" w:hAnsiTheme="minorEastAsia" w:eastAsiaTheme="minorEastAsia"/>
                <w:color w:val="auto"/>
                <w:kern w:val="0"/>
                <w:sz w:val="24"/>
              </w:rPr>
              <w:t>当前</w:t>
            </w:r>
            <w:r>
              <w:rPr>
                <w:rFonts w:hint="eastAsia" w:hAnsiTheme="minorEastAsia" w:eastAsiaTheme="minorEastAsia"/>
                <w:color w:val="auto"/>
                <w:kern w:val="0"/>
                <w:sz w:val="24"/>
                <w:lang w:val="en-US" w:eastAsia="zh-CN"/>
              </w:rPr>
              <w:t>项目</w:t>
            </w:r>
            <w:r>
              <w:rPr>
                <w:rFonts w:hint="eastAsia" w:hAnsiTheme="minorEastAsia" w:eastAsiaTheme="minorEastAsia"/>
                <w:color w:val="auto"/>
                <w:kern w:val="0"/>
                <w:sz w:val="24"/>
              </w:rPr>
              <w:t>沿线城镇在推动国民经济高质量发展过程中仍面临交通基础设施支撑不足等问题</w:t>
            </w:r>
            <w:r>
              <w:rPr>
                <w:rFonts w:hint="eastAsia" w:hAnsiTheme="minorEastAsia" w:eastAsiaTheme="minorEastAsia"/>
                <w:color w:val="auto"/>
                <w:kern w:val="0"/>
                <w:sz w:val="24"/>
                <w:lang w:eastAsia="zh-CN"/>
              </w:rPr>
              <w:t>，</w:t>
            </w:r>
            <w:r>
              <w:rPr>
                <w:rFonts w:hint="eastAsia" w:hAnsiTheme="minorEastAsia" w:eastAsiaTheme="minorEastAsia"/>
                <w:color w:val="auto"/>
                <w:kern w:val="0"/>
                <w:sz w:val="24"/>
              </w:rPr>
              <w:t>项目建设可进一步完善区域公路网结构，缓解区间交通压力，加快沿线城镇新型工业化、信息化、城镇化和农业现代化发展步伐，促进沿线地区经济社会高质量发展。</w:t>
            </w:r>
          </w:p>
          <w:p w14:paraId="7ECC8AAC">
            <w:pPr>
              <w:autoSpaceDE w:val="0"/>
              <w:autoSpaceDN w:val="0"/>
              <w:adjustRightInd w:val="0"/>
              <w:spacing w:after="120" w:afterLines="50" w:line="300" w:lineRule="auto"/>
              <w:ind w:firstLine="480" w:firstLineChars="200"/>
              <w:rPr>
                <w:color w:val="auto"/>
                <w:kern w:val="0"/>
                <w:sz w:val="24"/>
              </w:rPr>
            </w:pPr>
            <w:r>
              <w:rPr>
                <w:color w:val="auto"/>
                <w:kern w:val="0"/>
                <w:sz w:val="24"/>
              </w:rPr>
              <w:t>拟建公路</w:t>
            </w:r>
            <w:r>
              <w:rPr>
                <w:rFonts w:hint="eastAsia"/>
                <w:color w:val="auto"/>
                <w:kern w:val="0"/>
                <w:sz w:val="24"/>
                <w:lang w:val="en-US" w:eastAsia="zh-CN"/>
              </w:rPr>
              <w:t>沿既有公路进行改扩建，沿线不涉及自然保护区、风景名胜区、湿地公园、生态保护红线以及水源保护区等环境敏感区，也不占用基本农田，对环境影响较小</w:t>
            </w:r>
            <w:r>
              <w:rPr>
                <w:rFonts w:hint="eastAsia"/>
                <w:color w:val="auto"/>
                <w:kern w:val="0"/>
                <w:sz w:val="24"/>
                <w:lang w:eastAsia="zh-CN"/>
              </w:rPr>
              <w:t>。</w:t>
            </w:r>
            <w:r>
              <w:rPr>
                <w:rFonts w:hint="eastAsia"/>
                <w:color w:val="auto"/>
                <w:kern w:val="0"/>
                <w:sz w:val="24"/>
              </w:rPr>
              <w:t>另</w:t>
            </w:r>
            <w:r>
              <w:rPr>
                <w:color w:val="auto"/>
                <w:kern w:val="0"/>
                <w:sz w:val="24"/>
              </w:rPr>
              <w:t>据前述分析，拟建公路</w:t>
            </w:r>
            <w:r>
              <w:rPr>
                <w:rFonts w:hint="eastAsia"/>
                <w:color w:val="auto"/>
                <w:kern w:val="0"/>
                <w:sz w:val="24"/>
                <w:lang w:val="en-US" w:eastAsia="zh-CN"/>
              </w:rPr>
              <w:t>符合沿线相关路网规划及国土空间规划，</w:t>
            </w:r>
            <w:r>
              <w:rPr>
                <w:color w:val="auto"/>
                <w:kern w:val="0"/>
                <w:sz w:val="24"/>
              </w:rPr>
              <w:t>符合</w:t>
            </w:r>
            <w:r>
              <w:rPr>
                <w:rFonts w:hint="eastAsia" w:hAnsi="宋体"/>
                <w:color w:val="auto"/>
                <w:kern w:val="0"/>
                <w:sz w:val="24"/>
              </w:rPr>
              <w:t>新疆生产建设兵团</w:t>
            </w:r>
            <w:r>
              <w:rPr>
                <w:rFonts w:hint="eastAsia" w:hAnsi="宋体"/>
                <w:color w:val="auto"/>
                <w:kern w:val="0"/>
                <w:sz w:val="24"/>
                <w:lang w:eastAsia="zh-CN"/>
              </w:rPr>
              <w:t>、</w:t>
            </w:r>
            <w:r>
              <w:rPr>
                <w:rFonts w:hint="eastAsia" w:hAnsi="宋体"/>
                <w:color w:val="auto"/>
                <w:kern w:val="0"/>
                <w:sz w:val="24"/>
              </w:rPr>
              <w:t>克孜勒苏柯尔克孜自治州</w:t>
            </w:r>
            <w:r>
              <w:rPr>
                <w:rFonts w:hint="eastAsia" w:hAnsi="宋体"/>
                <w:color w:val="auto"/>
                <w:kern w:val="0"/>
                <w:sz w:val="24"/>
                <w:lang w:val="en-US" w:eastAsia="zh-CN"/>
              </w:rPr>
              <w:t>以及</w:t>
            </w:r>
            <w:r>
              <w:rPr>
                <w:rFonts w:hint="eastAsia" w:hAnsi="宋体"/>
                <w:color w:val="auto"/>
                <w:kern w:val="0"/>
                <w:sz w:val="24"/>
              </w:rPr>
              <w:t>喀什地区</w:t>
            </w:r>
            <w:r>
              <w:rPr>
                <w:rFonts w:hint="eastAsia"/>
                <w:color w:val="auto"/>
                <w:kern w:val="0"/>
                <w:sz w:val="24"/>
                <w:lang w:val="en-US" w:eastAsia="zh-CN"/>
              </w:rPr>
              <w:t>生态</w:t>
            </w:r>
            <w:r>
              <w:rPr>
                <w:color w:val="auto"/>
                <w:kern w:val="0"/>
                <w:sz w:val="24"/>
              </w:rPr>
              <w:t>环境管控要求。综上，拟建公路主体工程选址选线从环境角度合理。</w:t>
            </w:r>
          </w:p>
          <w:p w14:paraId="07F0F1AF">
            <w:pPr>
              <w:autoSpaceDE w:val="0"/>
              <w:autoSpaceDN w:val="0"/>
              <w:adjustRightInd w:val="0"/>
              <w:spacing w:line="300" w:lineRule="auto"/>
              <w:rPr>
                <w:color w:val="auto"/>
                <w:kern w:val="0"/>
                <w:sz w:val="24"/>
              </w:rPr>
            </w:pPr>
            <w:r>
              <w:rPr>
                <w:b/>
                <w:bCs/>
                <w:color w:val="auto"/>
                <w:kern w:val="0"/>
                <w:sz w:val="24"/>
              </w:rPr>
              <w:t>2</w:t>
            </w:r>
            <w:r>
              <w:rPr>
                <w:b/>
                <w:color w:val="auto"/>
                <w:kern w:val="0"/>
                <w:sz w:val="24"/>
              </w:rPr>
              <w:t>. 临时工程选址环境合理性分析</w:t>
            </w:r>
          </w:p>
          <w:p w14:paraId="02FCA352">
            <w:pPr>
              <w:keepNext w:val="0"/>
              <w:keepLines w:val="0"/>
              <w:pageBreakBefore w:val="0"/>
              <w:widowControl w:val="0"/>
              <w:kinsoku/>
              <w:wordWrap/>
              <w:overflowPunct/>
              <w:topLinePunct w:val="0"/>
              <w:autoSpaceDE w:val="0"/>
              <w:autoSpaceDN w:val="0"/>
              <w:bidi w:val="0"/>
              <w:adjustRightInd w:val="0"/>
              <w:snapToGrid/>
              <w:spacing w:line="300" w:lineRule="auto"/>
              <w:ind w:left="482"/>
              <w:textAlignment w:val="auto"/>
              <w:rPr>
                <w:color w:val="auto"/>
                <w:kern w:val="0"/>
                <w:sz w:val="24"/>
              </w:rPr>
            </w:pPr>
            <w:r>
              <w:rPr>
                <w:color w:val="auto"/>
                <w:kern w:val="0"/>
                <w:sz w:val="24"/>
              </w:rPr>
              <w:t>(</w:t>
            </w:r>
            <w:r>
              <w:rPr>
                <w:rFonts w:hint="eastAsia"/>
                <w:color w:val="auto"/>
                <w:kern w:val="0"/>
                <w:sz w:val="24"/>
                <w:lang w:val="en-US" w:eastAsia="zh-CN"/>
              </w:rPr>
              <w:t>1</w:t>
            </w:r>
            <w:r>
              <w:rPr>
                <w:color w:val="auto"/>
                <w:kern w:val="0"/>
                <w:sz w:val="24"/>
              </w:rPr>
              <w:t>) 施工场地</w:t>
            </w:r>
          </w:p>
          <w:p w14:paraId="31122BF3">
            <w:pPr>
              <w:keepNext w:val="0"/>
              <w:keepLines w:val="0"/>
              <w:pageBreakBefore w:val="0"/>
              <w:widowControl w:val="0"/>
              <w:kinsoku/>
              <w:wordWrap/>
              <w:overflowPunct/>
              <w:topLinePunct w:val="0"/>
              <w:autoSpaceDE w:val="0"/>
              <w:autoSpaceDN w:val="0"/>
              <w:bidi w:val="0"/>
              <w:adjustRightInd w:val="0"/>
              <w:snapToGrid/>
              <w:spacing w:after="157" w:afterLines="50" w:line="300" w:lineRule="auto"/>
              <w:ind w:left="34" w:firstLine="445" w:firstLineChars="178"/>
              <w:textAlignment w:val="auto"/>
              <w:rPr>
                <w:color w:val="auto"/>
                <w:spacing w:val="5"/>
                <w:sz w:val="24"/>
              </w:rPr>
            </w:pPr>
            <w:r>
              <w:rPr>
                <w:rFonts w:hint="eastAsia"/>
                <w:color w:val="auto"/>
                <w:spacing w:val="5"/>
                <w:sz w:val="24"/>
                <w:lang w:val="en-US" w:eastAsia="zh-CN"/>
              </w:rPr>
              <w:t>拟建公路共设置2处施工场地</w:t>
            </w:r>
            <w:r>
              <w:rPr>
                <w:rFonts w:hint="eastAsia"/>
                <w:color w:val="auto"/>
                <w:spacing w:val="5"/>
                <w:sz w:val="24"/>
              </w:rPr>
              <w:t>，</w:t>
            </w:r>
            <w:r>
              <w:rPr>
                <w:color w:val="auto"/>
                <w:spacing w:val="5"/>
                <w:sz w:val="24"/>
              </w:rPr>
              <w:t>均</w:t>
            </w:r>
            <w:r>
              <w:rPr>
                <w:rFonts w:hint="eastAsia"/>
                <w:color w:val="auto"/>
                <w:spacing w:val="5"/>
                <w:sz w:val="24"/>
                <w:lang w:val="en-US" w:eastAsia="zh-CN"/>
              </w:rPr>
              <w:t>不涉及环境敏感区，也不占用基本农田</w:t>
            </w:r>
            <w:r>
              <w:rPr>
                <w:rFonts w:hint="eastAsia"/>
                <w:color w:val="auto"/>
                <w:spacing w:val="5"/>
                <w:sz w:val="24"/>
                <w:lang w:eastAsia="zh-CN"/>
              </w:rPr>
              <w:t>，</w:t>
            </w:r>
            <w:r>
              <w:rPr>
                <w:rFonts w:hint="eastAsia"/>
                <w:color w:val="auto"/>
                <w:spacing w:val="5"/>
                <w:sz w:val="24"/>
                <w:lang w:val="en-US" w:eastAsia="zh-CN"/>
              </w:rPr>
              <w:t>场</w:t>
            </w:r>
            <w:r>
              <w:rPr>
                <w:rFonts w:hint="eastAsia"/>
                <w:color w:val="auto"/>
                <w:spacing w:val="5"/>
                <w:sz w:val="24"/>
              </w:rPr>
              <w:t>地</w:t>
            </w:r>
            <w:r>
              <w:rPr>
                <w:color w:val="auto"/>
                <w:spacing w:val="5"/>
                <w:sz w:val="24"/>
              </w:rPr>
              <w:t>选址合理。施工场地选取及相关说明情况见表</w:t>
            </w:r>
            <w:r>
              <w:rPr>
                <w:rFonts w:hint="eastAsia"/>
                <w:color w:val="auto"/>
                <w:spacing w:val="5"/>
                <w:sz w:val="24"/>
              </w:rPr>
              <w:t>4-</w:t>
            </w:r>
            <w:r>
              <w:rPr>
                <w:rFonts w:hint="eastAsia"/>
                <w:color w:val="auto"/>
                <w:spacing w:val="5"/>
                <w:sz w:val="24"/>
                <w:lang w:val="en-US" w:eastAsia="zh-CN"/>
              </w:rPr>
              <w:t>8</w:t>
            </w:r>
            <w:r>
              <w:rPr>
                <w:rFonts w:hint="eastAsia"/>
                <w:color w:val="auto"/>
                <w:spacing w:val="5"/>
                <w:sz w:val="24"/>
              </w:rPr>
              <w:t>。</w:t>
            </w:r>
          </w:p>
          <w:p w14:paraId="212CD4BC">
            <w:pPr>
              <w:pStyle w:val="68"/>
              <w:keepNext w:val="0"/>
              <w:keepLines w:val="0"/>
              <w:pageBreakBefore w:val="0"/>
              <w:widowControl w:val="0"/>
              <w:kinsoku/>
              <w:wordWrap/>
              <w:overflowPunct/>
              <w:topLinePunct w:val="0"/>
              <w:autoSpaceDE/>
              <w:autoSpaceDN/>
              <w:bidi w:val="0"/>
              <w:adjustRightInd/>
              <w:snapToGrid/>
              <w:spacing w:line="240" w:lineRule="auto"/>
              <w:ind w:firstLine="422"/>
              <w:jc w:val="center"/>
              <w:textAlignment w:val="auto"/>
              <w:rPr>
                <w:b/>
                <w:color w:val="auto"/>
                <w:sz w:val="21"/>
                <w:szCs w:val="21"/>
              </w:rPr>
            </w:pPr>
            <w:r>
              <w:rPr>
                <w:rFonts w:hAnsi="宋体"/>
                <w:b/>
                <w:color w:val="auto"/>
                <w:sz w:val="21"/>
                <w:szCs w:val="21"/>
              </w:rPr>
              <w:t>表</w:t>
            </w:r>
            <w:r>
              <w:rPr>
                <w:rFonts w:hint="eastAsia"/>
                <w:b/>
                <w:color w:val="auto"/>
                <w:sz w:val="21"/>
                <w:szCs w:val="21"/>
              </w:rPr>
              <w:t>4-</w:t>
            </w:r>
            <w:r>
              <w:rPr>
                <w:rFonts w:hint="eastAsia"/>
                <w:b/>
                <w:color w:val="auto"/>
                <w:sz w:val="21"/>
                <w:szCs w:val="21"/>
                <w:lang w:val="en-US" w:eastAsia="zh-CN"/>
              </w:rPr>
              <w:t>8</w:t>
            </w:r>
            <w:r>
              <w:rPr>
                <w:b/>
                <w:color w:val="auto"/>
                <w:sz w:val="21"/>
                <w:szCs w:val="21"/>
              </w:rPr>
              <w:t xml:space="preserve">  </w:t>
            </w:r>
            <w:r>
              <w:rPr>
                <w:rFonts w:hint="eastAsia" w:hAnsi="宋体"/>
                <w:b/>
                <w:color w:val="auto"/>
                <w:sz w:val="21"/>
                <w:szCs w:val="21"/>
              </w:rPr>
              <w:t>施工</w:t>
            </w:r>
            <w:r>
              <w:rPr>
                <w:rFonts w:hAnsi="宋体"/>
                <w:b/>
                <w:color w:val="auto"/>
                <w:sz w:val="21"/>
                <w:szCs w:val="21"/>
              </w:rPr>
              <w:t>场地选取及相关说明情况一览表</w:t>
            </w:r>
          </w:p>
          <w:tbl>
            <w:tblPr>
              <w:tblStyle w:val="22"/>
              <w:tblW w:w="8075"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0" w:type="dxa"/>
                <w:bottom w:w="0" w:type="dxa"/>
                <w:right w:w="0" w:type="dxa"/>
              </w:tblCellMar>
            </w:tblPr>
            <w:tblGrid>
              <w:gridCol w:w="1624"/>
              <w:gridCol w:w="2761"/>
              <w:gridCol w:w="2522"/>
              <w:gridCol w:w="1168"/>
            </w:tblGrid>
            <w:tr w14:paraId="2D48582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283" w:hRule="atLeast"/>
                <w:tblHeader/>
                <w:jc w:val="center"/>
              </w:trPr>
              <w:tc>
                <w:tcPr>
                  <w:tcW w:w="1005" w:type="pct"/>
                  <w:vAlign w:val="center"/>
                </w:tcPr>
                <w:p w14:paraId="4FE9F767">
                  <w:pPr>
                    <w:pStyle w:val="77"/>
                    <w:jc w:val="center"/>
                    <w:rPr>
                      <w:rFonts w:ascii="Times New Roman" w:hAnsi="Times New Roman"/>
                      <w:b/>
                      <w:color w:val="auto"/>
                      <w:sz w:val="21"/>
                      <w:szCs w:val="21"/>
                      <w:lang w:eastAsia="zh-CN"/>
                    </w:rPr>
                  </w:pPr>
                  <w:r>
                    <w:rPr>
                      <w:rFonts w:ascii="Times New Roman" w:hAnsi="Times New Roman"/>
                      <w:b/>
                      <w:color w:val="auto"/>
                      <w:sz w:val="21"/>
                      <w:szCs w:val="21"/>
                      <w:lang w:eastAsia="zh-CN"/>
                    </w:rPr>
                    <w:t>桩号及</w:t>
                  </w:r>
                  <w:r>
                    <w:rPr>
                      <w:rFonts w:hint="eastAsia" w:ascii="Times New Roman" w:hAnsi="Times New Roman"/>
                      <w:b/>
                      <w:color w:val="auto"/>
                      <w:sz w:val="21"/>
                      <w:szCs w:val="21"/>
                      <w:lang w:eastAsia="zh-CN"/>
                    </w:rPr>
                    <w:t>距离</w:t>
                  </w:r>
                  <w:r>
                    <w:rPr>
                      <w:rFonts w:ascii="Times New Roman" w:hAnsi="Times New Roman"/>
                      <w:b/>
                      <w:color w:val="auto"/>
                      <w:sz w:val="21"/>
                      <w:szCs w:val="21"/>
                      <w:lang w:eastAsia="zh-CN"/>
                    </w:rPr>
                    <w:t>(m)</w:t>
                  </w:r>
                </w:p>
              </w:tc>
              <w:tc>
                <w:tcPr>
                  <w:tcW w:w="1709" w:type="pct"/>
                  <w:vAlign w:val="center"/>
                </w:tcPr>
                <w:p w14:paraId="5DC512B7">
                  <w:pPr>
                    <w:pStyle w:val="77"/>
                    <w:jc w:val="center"/>
                    <w:rPr>
                      <w:rFonts w:ascii="Times New Roman" w:hAnsi="Times New Roman"/>
                      <w:b/>
                      <w:color w:val="auto"/>
                      <w:sz w:val="21"/>
                      <w:szCs w:val="21"/>
                      <w:lang w:eastAsia="zh-CN"/>
                    </w:rPr>
                  </w:pPr>
                  <w:r>
                    <w:rPr>
                      <w:rFonts w:ascii="Times New Roman" w:hAnsi="Times New Roman"/>
                      <w:b/>
                      <w:color w:val="auto"/>
                      <w:sz w:val="21"/>
                      <w:szCs w:val="21"/>
                      <w:lang w:eastAsia="zh-CN"/>
                    </w:rPr>
                    <w:t>名称</w:t>
                  </w:r>
                </w:p>
              </w:tc>
              <w:tc>
                <w:tcPr>
                  <w:tcW w:w="1561" w:type="pct"/>
                  <w:tcBorders>
                    <w:right w:val="single" w:color="auto" w:sz="4" w:space="0"/>
                  </w:tcBorders>
                  <w:vAlign w:val="center"/>
                </w:tcPr>
                <w:p w14:paraId="6C6BF0B0">
                  <w:pPr>
                    <w:autoSpaceDE w:val="0"/>
                    <w:autoSpaceDN w:val="0"/>
                    <w:adjustRightInd w:val="0"/>
                    <w:ind w:left="-250" w:leftChars="-119" w:firstLine="249" w:firstLineChars="118"/>
                    <w:jc w:val="center"/>
                    <w:rPr>
                      <w:b/>
                      <w:color w:val="auto"/>
                      <w:szCs w:val="21"/>
                    </w:rPr>
                  </w:pPr>
                  <w:r>
                    <w:rPr>
                      <w:b/>
                      <w:color w:val="auto"/>
                      <w:szCs w:val="21"/>
                    </w:rPr>
                    <w:t>选取理由</w:t>
                  </w:r>
                </w:p>
              </w:tc>
              <w:tc>
                <w:tcPr>
                  <w:tcW w:w="723" w:type="pct"/>
                  <w:tcBorders>
                    <w:left w:val="single" w:color="auto" w:sz="4" w:space="0"/>
                  </w:tcBorders>
                  <w:vAlign w:val="center"/>
                </w:tcPr>
                <w:p w14:paraId="10F24955">
                  <w:pPr>
                    <w:autoSpaceDE w:val="0"/>
                    <w:autoSpaceDN w:val="0"/>
                    <w:adjustRightInd w:val="0"/>
                    <w:ind w:left="-250" w:leftChars="-119" w:firstLine="249" w:firstLineChars="118"/>
                    <w:jc w:val="center"/>
                    <w:rPr>
                      <w:rFonts w:hint="default" w:eastAsia="宋体"/>
                      <w:b/>
                      <w:color w:val="auto"/>
                      <w:szCs w:val="21"/>
                      <w:lang w:val="en-US" w:eastAsia="zh-CN"/>
                    </w:rPr>
                  </w:pPr>
                  <w:r>
                    <w:rPr>
                      <w:rFonts w:hint="eastAsia"/>
                      <w:b/>
                      <w:color w:val="auto"/>
                      <w:szCs w:val="21"/>
                      <w:lang w:val="en-US" w:eastAsia="zh-CN"/>
                    </w:rPr>
                    <w:t>行政区域</w:t>
                  </w:r>
                </w:p>
              </w:tc>
            </w:tr>
            <w:tr w14:paraId="0A51E6B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283" w:hRule="atLeast"/>
                <w:jc w:val="center"/>
              </w:trPr>
              <w:tc>
                <w:tcPr>
                  <w:tcW w:w="1005" w:type="pct"/>
                  <w:vAlign w:val="center"/>
                </w:tcPr>
                <w:p w14:paraId="4B6B748A">
                  <w:pPr>
                    <w:jc w:val="center"/>
                    <w:rPr>
                      <w:color w:val="auto"/>
                      <w:szCs w:val="21"/>
                    </w:rPr>
                  </w:pPr>
                  <w:r>
                    <w:rPr>
                      <w:color w:val="auto"/>
                      <w:szCs w:val="21"/>
                    </w:rPr>
                    <w:t>K0+</w:t>
                  </w:r>
                  <w:r>
                    <w:rPr>
                      <w:rFonts w:hint="eastAsia"/>
                      <w:color w:val="auto"/>
                      <w:szCs w:val="21"/>
                      <w:lang w:val="en-US" w:eastAsia="zh-CN"/>
                    </w:rPr>
                    <w:t>4</w:t>
                  </w:r>
                  <w:r>
                    <w:rPr>
                      <w:color w:val="auto"/>
                      <w:szCs w:val="21"/>
                    </w:rPr>
                    <w:t>00左</w:t>
                  </w:r>
                  <w:r>
                    <w:rPr>
                      <w:rFonts w:hint="eastAsia"/>
                      <w:color w:val="auto"/>
                      <w:szCs w:val="21"/>
                      <w:lang w:val="en-US" w:eastAsia="zh-CN"/>
                    </w:rPr>
                    <w:t>25</w:t>
                  </w:r>
                  <w:r>
                    <w:rPr>
                      <w:color w:val="auto"/>
                      <w:szCs w:val="21"/>
                    </w:rPr>
                    <w:t>m</w:t>
                  </w:r>
                </w:p>
              </w:tc>
              <w:tc>
                <w:tcPr>
                  <w:tcW w:w="1709" w:type="pct"/>
                  <w:vAlign w:val="center"/>
                </w:tcPr>
                <w:p w14:paraId="7462A2D4">
                  <w:pPr>
                    <w:autoSpaceDE w:val="0"/>
                    <w:autoSpaceDN w:val="0"/>
                    <w:adjustRightInd w:val="0"/>
                    <w:jc w:val="center"/>
                    <w:rPr>
                      <w:color w:val="auto"/>
                      <w:kern w:val="0"/>
                      <w:szCs w:val="21"/>
                    </w:rPr>
                  </w:pPr>
                  <w:r>
                    <w:rPr>
                      <w:rFonts w:hint="eastAsia"/>
                      <w:color w:val="auto"/>
                      <w:kern w:val="0"/>
                      <w:szCs w:val="21"/>
                    </w:rPr>
                    <w:t>预制场、沥青拌合站、混凝土拌合站、水稳拌合站</w:t>
                  </w:r>
                </w:p>
              </w:tc>
              <w:tc>
                <w:tcPr>
                  <w:tcW w:w="1561" w:type="pct"/>
                  <w:tcBorders>
                    <w:right w:val="single" w:color="auto" w:sz="4" w:space="0"/>
                  </w:tcBorders>
                  <w:vAlign w:val="center"/>
                </w:tcPr>
                <w:p w14:paraId="070D90E9">
                  <w:pPr>
                    <w:jc w:val="center"/>
                    <w:rPr>
                      <w:color w:val="auto"/>
                      <w:sz w:val="21"/>
                      <w:szCs w:val="21"/>
                    </w:rPr>
                  </w:pPr>
                  <w:r>
                    <w:rPr>
                      <w:rFonts w:hint="eastAsia"/>
                      <w:color w:val="auto"/>
                      <w:sz w:val="21"/>
                      <w:szCs w:val="21"/>
                      <w:lang w:val="en-US" w:eastAsia="zh-CN"/>
                    </w:rPr>
                    <w:t>避开村庄、基本农田及植被</w:t>
                  </w:r>
                  <w:r>
                    <w:rPr>
                      <w:color w:val="auto"/>
                      <w:sz w:val="21"/>
                      <w:szCs w:val="21"/>
                    </w:rPr>
                    <w:t>较好区域，减少环境破坏</w:t>
                  </w:r>
                </w:p>
              </w:tc>
              <w:tc>
                <w:tcPr>
                  <w:tcW w:w="723" w:type="pct"/>
                  <w:tcBorders>
                    <w:left w:val="single" w:color="auto" w:sz="4" w:space="0"/>
                  </w:tcBorders>
                  <w:vAlign w:val="center"/>
                </w:tcPr>
                <w:p w14:paraId="033DC42E">
                  <w:pPr>
                    <w:jc w:val="center"/>
                    <w:rPr>
                      <w:rFonts w:hint="default"/>
                      <w:color w:val="auto"/>
                      <w:sz w:val="21"/>
                      <w:szCs w:val="21"/>
                      <w:lang w:val="en-US" w:eastAsia="zh-CN"/>
                    </w:rPr>
                  </w:pPr>
                  <w:r>
                    <w:rPr>
                      <w:rFonts w:hint="eastAsia"/>
                      <w:color w:val="auto"/>
                      <w:sz w:val="21"/>
                      <w:szCs w:val="21"/>
                      <w:lang w:val="en-US" w:eastAsia="zh-CN"/>
                    </w:rPr>
                    <w:t>红旗农场</w:t>
                  </w:r>
                </w:p>
              </w:tc>
            </w:tr>
            <w:tr w14:paraId="38F0F8F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283" w:hRule="atLeast"/>
                <w:jc w:val="center"/>
              </w:trPr>
              <w:tc>
                <w:tcPr>
                  <w:tcW w:w="1005" w:type="pct"/>
                  <w:vAlign w:val="center"/>
                </w:tcPr>
                <w:p w14:paraId="030D40F8">
                  <w:pPr>
                    <w:jc w:val="center"/>
                    <w:rPr>
                      <w:color w:val="auto"/>
                      <w:kern w:val="0"/>
                      <w:szCs w:val="21"/>
                    </w:rPr>
                  </w:pPr>
                  <w:r>
                    <w:rPr>
                      <w:color w:val="auto"/>
                      <w:kern w:val="0"/>
                      <w:szCs w:val="21"/>
                    </w:rPr>
                    <w:t>K</w:t>
                  </w:r>
                  <w:r>
                    <w:rPr>
                      <w:rFonts w:hint="eastAsia"/>
                      <w:color w:val="auto"/>
                      <w:kern w:val="0"/>
                      <w:szCs w:val="21"/>
                      <w:lang w:val="en-US" w:eastAsia="zh-CN"/>
                    </w:rPr>
                    <w:t>33</w:t>
                  </w:r>
                  <w:r>
                    <w:rPr>
                      <w:color w:val="auto"/>
                      <w:kern w:val="0"/>
                      <w:szCs w:val="21"/>
                    </w:rPr>
                    <w:t>+</w:t>
                  </w:r>
                  <w:r>
                    <w:rPr>
                      <w:rFonts w:hint="eastAsia"/>
                      <w:color w:val="auto"/>
                      <w:kern w:val="0"/>
                      <w:szCs w:val="21"/>
                      <w:lang w:val="en-US" w:eastAsia="zh-CN"/>
                    </w:rPr>
                    <w:t>4</w:t>
                  </w:r>
                  <w:r>
                    <w:rPr>
                      <w:color w:val="auto"/>
                      <w:kern w:val="0"/>
                      <w:szCs w:val="21"/>
                    </w:rPr>
                    <w:t>00</w:t>
                  </w:r>
                  <w:r>
                    <w:rPr>
                      <w:rFonts w:hint="eastAsia"/>
                      <w:color w:val="auto"/>
                      <w:kern w:val="0"/>
                      <w:szCs w:val="21"/>
                      <w:lang w:val="en-US" w:eastAsia="zh-CN"/>
                    </w:rPr>
                    <w:t>右55</w:t>
                  </w:r>
                  <w:r>
                    <w:rPr>
                      <w:color w:val="auto"/>
                      <w:kern w:val="0"/>
                      <w:szCs w:val="21"/>
                    </w:rPr>
                    <w:t>m</w:t>
                  </w:r>
                </w:p>
              </w:tc>
              <w:tc>
                <w:tcPr>
                  <w:tcW w:w="1709" w:type="pct"/>
                  <w:vAlign w:val="center"/>
                </w:tcPr>
                <w:p w14:paraId="2E8223F1">
                  <w:pPr>
                    <w:jc w:val="center"/>
                    <w:rPr>
                      <w:color w:val="auto"/>
                      <w:szCs w:val="21"/>
                    </w:rPr>
                  </w:pPr>
                  <w:r>
                    <w:rPr>
                      <w:rFonts w:hint="eastAsia"/>
                      <w:color w:val="auto"/>
                      <w:szCs w:val="21"/>
                    </w:rPr>
                    <w:t>预制场、沥青拌合站、混凝土拌合站、水稳拌合站</w:t>
                  </w:r>
                </w:p>
              </w:tc>
              <w:tc>
                <w:tcPr>
                  <w:tcW w:w="1561" w:type="pct"/>
                  <w:tcBorders>
                    <w:right w:val="single" w:color="auto" w:sz="4" w:space="0"/>
                  </w:tcBorders>
                  <w:vAlign w:val="center"/>
                </w:tcPr>
                <w:p w14:paraId="51A990B8">
                  <w:pPr>
                    <w:jc w:val="center"/>
                    <w:rPr>
                      <w:color w:val="auto"/>
                      <w:sz w:val="21"/>
                      <w:szCs w:val="21"/>
                    </w:rPr>
                  </w:pPr>
                  <w:r>
                    <w:rPr>
                      <w:rFonts w:hint="eastAsia"/>
                      <w:color w:val="auto"/>
                      <w:sz w:val="21"/>
                      <w:szCs w:val="21"/>
                      <w:lang w:val="en-US" w:eastAsia="zh-CN"/>
                    </w:rPr>
                    <w:t>避开村庄、基本农田及植被</w:t>
                  </w:r>
                  <w:r>
                    <w:rPr>
                      <w:color w:val="auto"/>
                      <w:sz w:val="21"/>
                      <w:szCs w:val="21"/>
                    </w:rPr>
                    <w:t>较好区域，减少环境破坏</w:t>
                  </w:r>
                </w:p>
              </w:tc>
              <w:tc>
                <w:tcPr>
                  <w:tcW w:w="723" w:type="pct"/>
                  <w:tcBorders>
                    <w:left w:val="single" w:color="auto" w:sz="4" w:space="0"/>
                  </w:tcBorders>
                  <w:vAlign w:val="center"/>
                </w:tcPr>
                <w:p w14:paraId="0B5D12BB">
                  <w:pPr>
                    <w:jc w:val="center"/>
                    <w:rPr>
                      <w:rFonts w:hint="default"/>
                      <w:color w:val="auto"/>
                      <w:sz w:val="21"/>
                      <w:szCs w:val="21"/>
                      <w:lang w:val="en-US" w:eastAsia="zh-CN"/>
                    </w:rPr>
                  </w:pPr>
                  <w:r>
                    <w:rPr>
                      <w:rFonts w:hint="eastAsia"/>
                      <w:color w:val="auto"/>
                      <w:sz w:val="21"/>
                      <w:szCs w:val="21"/>
                      <w:lang w:val="en-US" w:eastAsia="zh-CN"/>
                    </w:rPr>
                    <w:t>伽师县</w:t>
                  </w:r>
                </w:p>
              </w:tc>
            </w:tr>
          </w:tbl>
          <w:p w14:paraId="1AB190D5">
            <w:pPr>
              <w:autoSpaceDE w:val="0"/>
              <w:autoSpaceDN w:val="0"/>
              <w:adjustRightInd w:val="0"/>
              <w:spacing w:before="240" w:beforeLines="100" w:line="300" w:lineRule="auto"/>
              <w:ind w:left="482"/>
              <w:rPr>
                <w:rFonts w:hint="default" w:eastAsia="宋体"/>
                <w:color w:val="auto"/>
                <w:kern w:val="0"/>
                <w:sz w:val="24"/>
                <w:lang w:val="en-US" w:eastAsia="zh-CN"/>
              </w:rPr>
            </w:pPr>
            <w:r>
              <w:rPr>
                <w:color w:val="auto"/>
                <w:kern w:val="0"/>
                <w:sz w:val="24"/>
              </w:rPr>
              <w:t>(</w:t>
            </w:r>
            <w:r>
              <w:rPr>
                <w:rFonts w:hint="eastAsia"/>
                <w:color w:val="auto"/>
                <w:kern w:val="0"/>
                <w:sz w:val="24"/>
                <w:lang w:val="en-US" w:eastAsia="zh-CN"/>
              </w:rPr>
              <w:t>2</w:t>
            </w:r>
            <w:r>
              <w:rPr>
                <w:color w:val="auto"/>
                <w:kern w:val="0"/>
                <w:sz w:val="24"/>
              </w:rPr>
              <w:t>) 施工便道</w:t>
            </w:r>
          </w:p>
          <w:p w14:paraId="5E8277DB">
            <w:pPr>
              <w:autoSpaceDE w:val="0"/>
              <w:autoSpaceDN w:val="0"/>
              <w:adjustRightInd w:val="0"/>
              <w:spacing w:line="300" w:lineRule="auto"/>
              <w:ind w:firstLine="480" w:firstLineChars="200"/>
              <w:rPr>
                <w:color w:val="auto"/>
                <w:sz w:val="24"/>
              </w:rPr>
            </w:pPr>
            <w:r>
              <w:rPr>
                <w:color w:val="auto"/>
                <w:sz w:val="24"/>
              </w:rPr>
              <w:t>拟建公路施工便道尽量依托现有道路，新建施工便道占用</w:t>
            </w:r>
            <w:r>
              <w:rPr>
                <w:rFonts w:hint="eastAsia"/>
                <w:color w:val="auto"/>
                <w:sz w:val="24"/>
                <w:lang w:val="en-US" w:eastAsia="zh-CN"/>
              </w:rPr>
              <w:t>草地</w:t>
            </w:r>
            <w:r>
              <w:rPr>
                <w:color w:val="auto"/>
                <w:sz w:val="24"/>
              </w:rPr>
              <w:t>，</w:t>
            </w:r>
            <w:r>
              <w:rPr>
                <w:rFonts w:hint="eastAsia"/>
                <w:color w:val="auto"/>
                <w:sz w:val="24"/>
                <w:lang w:val="en-US" w:eastAsia="zh-CN"/>
              </w:rPr>
              <w:t>未</w:t>
            </w:r>
            <w:r>
              <w:rPr>
                <w:color w:val="auto"/>
                <w:sz w:val="24"/>
              </w:rPr>
              <w:t>设置于相关法律法规规定的禁止建设的区域；施工便道远离学校等环境敏感点，严格规定便道施工范围，避免施工车辆随意行驶，施工期的不利影响可以被环境所接受。</w:t>
            </w:r>
          </w:p>
          <w:p w14:paraId="1E906EE7">
            <w:pPr>
              <w:autoSpaceDE w:val="0"/>
              <w:autoSpaceDN w:val="0"/>
              <w:adjustRightInd w:val="0"/>
              <w:spacing w:line="300" w:lineRule="auto"/>
              <w:ind w:firstLine="480" w:firstLineChars="200"/>
              <w:rPr>
                <w:color w:val="auto"/>
                <w:sz w:val="24"/>
              </w:rPr>
            </w:pPr>
          </w:p>
          <w:p w14:paraId="51036B2D">
            <w:pPr>
              <w:autoSpaceDE w:val="0"/>
              <w:autoSpaceDN w:val="0"/>
              <w:adjustRightInd w:val="0"/>
              <w:spacing w:line="300" w:lineRule="auto"/>
              <w:ind w:firstLine="480" w:firstLineChars="200"/>
              <w:rPr>
                <w:color w:val="auto"/>
                <w:sz w:val="24"/>
              </w:rPr>
            </w:pPr>
          </w:p>
          <w:p w14:paraId="4916D8E1">
            <w:pPr>
              <w:autoSpaceDE w:val="0"/>
              <w:autoSpaceDN w:val="0"/>
              <w:adjustRightInd w:val="0"/>
              <w:spacing w:line="300" w:lineRule="auto"/>
              <w:ind w:firstLine="480" w:firstLineChars="200"/>
              <w:rPr>
                <w:color w:val="auto"/>
                <w:sz w:val="24"/>
              </w:rPr>
            </w:pPr>
          </w:p>
          <w:p w14:paraId="3F3898A1">
            <w:pPr>
              <w:autoSpaceDE w:val="0"/>
              <w:autoSpaceDN w:val="0"/>
              <w:adjustRightInd w:val="0"/>
              <w:spacing w:line="300" w:lineRule="auto"/>
              <w:ind w:firstLine="480" w:firstLineChars="200"/>
              <w:rPr>
                <w:color w:val="auto"/>
                <w:sz w:val="24"/>
              </w:rPr>
            </w:pPr>
          </w:p>
          <w:p w14:paraId="4A92E132">
            <w:pPr>
              <w:autoSpaceDE w:val="0"/>
              <w:autoSpaceDN w:val="0"/>
              <w:adjustRightInd w:val="0"/>
              <w:spacing w:line="300" w:lineRule="auto"/>
              <w:ind w:firstLine="480" w:firstLineChars="200"/>
              <w:rPr>
                <w:color w:val="auto"/>
                <w:sz w:val="24"/>
              </w:rPr>
            </w:pPr>
          </w:p>
          <w:p w14:paraId="0BA5F130">
            <w:pPr>
              <w:autoSpaceDE w:val="0"/>
              <w:autoSpaceDN w:val="0"/>
              <w:adjustRightInd w:val="0"/>
              <w:spacing w:line="300" w:lineRule="auto"/>
              <w:rPr>
                <w:color w:val="auto"/>
                <w:sz w:val="24"/>
              </w:rPr>
            </w:pPr>
          </w:p>
        </w:tc>
      </w:tr>
    </w:tbl>
    <w:p w14:paraId="1298FAA2">
      <w:pPr>
        <w:pStyle w:val="20"/>
        <w:jc w:val="center"/>
        <w:rPr>
          <w:rFonts w:ascii="Times New Roman" w:hAnsi="Times New Roman" w:eastAsia="黑体"/>
          <w:snapToGrid w:val="0"/>
          <w:color w:val="0070C0"/>
          <w:sz w:val="36"/>
          <w:szCs w:val="36"/>
        </w:rPr>
        <w:sectPr>
          <w:headerReference r:id="rId10" w:type="default"/>
          <w:pgSz w:w="11906" w:h="16838"/>
          <w:pgMar w:top="1701" w:right="1531" w:bottom="1701" w:left="1531" w:header="1134" w:footer="1134" w:gutter="0"/>
          <w:pgBorders>
            <w:top w:val="none" w:sz="0" w:space="0"/>
            <w:left w:val="none" w:sz="0" w:space="0"/>
            <w:bottom w:val="none" w:sz="0" w:space="0"/>
            <w:right w:val="none" w:sz="0" w:space="0"/>
          </w:pgBorders>
          <w:cols w:space="425" w:num="1"/>
          <w:docGrid w:linePitch="312" w:charSpace="0"/>
        </w:sectPr>
      </w:pPr>
    </w:p>
    <w:p w14:paraId="11D3D70C">
      <w:pPr>
        <w:pStyle w:val="20"/>
        <w:spacing w:before="600" w:beforeLines="250" w:beforeAutospacing="0"/>
        <w:jc w:val="center"/>
        <w:outlineLvl w:val="0"/>
        <w:rPr>
          <w:rFonts w:ascii="Times New Roman" w:hAnsi="Times New Roman" w:eastAsia="黑体"/>
          <w:snapToGrid w:val="0"/>
          <w:color w:val="0070C0"/>
          <w:sz w:val="30"/>
          <w:szCs w:val="30"/>
        </w:rPr>
      </w:pPr>
      <w:r>
        <w:rPr>
          <w:rFonts w:ascii="Times New Roman" w:hAnsi="Times New Roman" w:eastAsia="黑体"/>
          <w:snapToGrid w:val="0"/>
          <w:color w:val="auto"/>
          <w:sz w:val="30"/>
          <w:szCs w:val="30"/>
        </w:rPr>
        <w:t>五、主要生态环境保护措施</w:t>
      </w:r>
    </w:p>
    <w:tbl>
      <w:tblPr>
        <w:tblStyle w:val="22"/>
        <w:tblW w:w="910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53"/>
        <w:gridCol w:w="8347"/>
      </w:tblGrid>
      <w:tr w14:paraId="32B241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3" w:type="dxa"/>
            <w:tcMar>
              <w:left w:w="28" w:type="dxa"/>
              <w:right w:w="28" w:type="dxa"/>
            </w:tcMar>
            <w:vAlign w:val="center"/>
          </w:tcPr>
          <w:p w14:paraId="06ED91B3">
            <w:pPr>
              <w:adjustRightInd w:val="0"/>
              <w:snapToGrid w:val="0"/>
              <w:jc w:val="center"/>
              <w:rPr>
                <w:bCs/>
                <w:color w:val="0070C0"/>
                <w:sz w:val="24"/>
              </w:rPr>
            </w:pPr>
            <w:r>
              <w:rPr>
                <w:bCs/>
                <w:color w:val="auto"/>
                <w:spacing w:val="10"/>
                <w:sz w:val="24"/>
              </w:rPr>
              <w:t>施工期生态环境保护措施</w:t>
            </w:r>
          </w:p>
        </w:tc>
        <w:tc>
          <w:tcPr>
            <w:tcW w:w="8347" w:type="dxa"/>
          </w:tcPr>
          <w:p w14:paraId="62FB2531">
            <w:pPr>
              <w:autoSpaceDE w:val="0"/>
              <w:autoSpaceDN w:val="0"/>
              <w:adjustRightInd w:val="0"/>
              <w:spacing w:line="300" w:lineRule="auto"/>
              <w:rPr>
                <w:b/>
                <w:kern w:val="0"/>
                <w:sz w:val="24"/>
              </w:rPr>
            </w:pPr>
            <w:r>
              <w:rPr>
                <w:rFonts w:eastAsia="TimesNewRomanPS-BoldMT"/>
                <w:b/>
                <w:bCs/>
                <w:kern w:val="0"/>
                <w:sz w:val="24"/>
              </w:rPr>
              <w:t>1</w:t>
            </w:r>
            <w:r>
              <w:rPr>
                <w:kern w:val="0"/>
                <w:sz w:val="24"/>
              </w:rPr>
              <w:t xml:space="preserve">. </w:t>
            </w:r>
            <w:r>
              <w:rPr>
                <w:b/>
                <w:kern w:val="0"/>
                <w:sz w:val="24"/>
              </w:rPr>
              <w:t>环境空气保护措施</w:t>
            </w:r>
          </w:p>
          <w:p w14:paraId="14E19D7D">
            <w:pPr>
              <w:spacing w:line="300" w:lineRule="auto"/>
              <w:ind w:firstLine="480" w:firstLineChars="200"/>
              <w:rPr>
                <w:color w:val="auto"/>
                <w:sz w:val="24"/>
              </w:rPr>
            </w:pPr>
            <w:r>
              <w:rPr>
                <w:color w:val="auto"/>
                <w:sz w:val="24"/>
              </w:rPr>
              <w:t xml:space="preserve">1. </w:t>
            </w:r>
            <w:r>
              <w:rPr>
                <w:rFonts w:hAnsi="宋体"/>
                <w:color w:val="auto"/>
                <w:sz w:val="24"/>
              </w:rPr>
              <w:t>扬尘防治措施</w:t>
            </w:r>
          </w:p>
          <w:p w14:paraId="643D840F">
            <w:pPr>
              <w:spacing w:line="300" w:lineRule="auto"/>
              <w:ind w:firstLine="480"/>
              <w:rPr>
                <w:color w:val="auto"/>
                <w:sz w:val="24"/>
              </w:rPr>
            </w:pPr>
            <w:r>
              <w:rPr>
                <w:rFonts w:hAnsi="宋体"/>
                <w:color w:val="auto"/>
                <w:sz w:val="24"/>
              </w:rPr>
              <w:t>为减少施工扬尘对环境空气质量的影响，根据《中华人民共和国大气污染防治法》《空气质量持续改善行动计划》《建设工程施工现场管理规定》等相关要求，提出措施如下：</w:t>
            </w:r>
          </w:p>
          <w:p w14:paraId="46DA1E47">
            <w:pPr>
              <w:spacing w:line="300" w:lineRule="auto"/>
              <w:ind w:firstLine="480" w:firstLineChars="200"/>
              <w:rPr>
                <w:color w:val="auto"/>
                <w:sz w:val="24"/>
              </w:rPr>
            </w:pPr>
            <w:r>
              <w:rPr>
                <w:color w:val="auto"/>
                <w:sz w:val="24"/>
              </w:rPr>
              <w:t>(</w:t>
            </w:r>
            <w:r>
              <w:rPr>
                <w:rFonts w:hint="eastAsia"/>
                <w:color w:val="auto"/>
                <w:sz w:val="24"/>
              </w:rPr>
              <w:t>1</w:t>
            </w:r>
            <w:r>
              <w:rPr>
                <w:color w:val="auto"/>
                <w:sz w:val="24"/>
              </w:rPr>
              <w:t xml:space="preserve">) </w:t>
            </w:r>
            <w:r>
              <w:rPr>
                <w:rFonts w:hAnsi="宋体"/>
                <w:color w:val="auto"/>
                <w:sz w:val="24"/>
              </w:rPr>
              <w:t>对于工程新建施工便道要求施工单位对此路段施工便道进行砾石覆盖，并进行定期洒水抑尘，做好扬尘管控；对于已有施工便道路段，考虑到路况较好，且有个别路段可以进行砾石覆盖，施工单位只需按照实际情况定期洒水抑尘，减少扬尘产生。</w:t>
            </w:r>
          </w:p>
          <w:p w14:paraId="1A85C43E">
            <w:pPr>
              <w:spacing w:line="300" w:lineRule="auto"/>
              <w:ind w:firstLine="480" w:firstLineChars="200"/>
              <w:rPr>
                <w:color w:val="auto"/>
                <w:sz w:val="24"/>
              </w:rPr>
            </w:pPr>
            <w:r>
              <w:rPr>
                <w:color w:val="auto"/>
                <w:sz w:val="24"/>
              </w:rPr>
              <w:t>(</w:t>
            </w:r>
            <w:r>
              <w:rPr>
                <w:rFonts w:hint="eastAsia"/>
                <w:color w:val="auto"/>
                <w:sz w:val="24"/>
              </w:rPr>
              <w:t>2</w:t>
            </w:r>
            <w:r>
              <w:rPr>
                <w:color w:val="auto"/>
                <w:sz w:val="24"/>
              </w:rPr>
              <w:t xml:space="preserve">) </w:t>
            </w:r>
            <w:r>
              <w:rPr>
                <w:rFonts w:hAnsi="宋体"/>
                <w:color w:val="auto"/>
                <w:sz w:val="24"/>
              </w:rPr>
              <w:t>施工单位应当在施工场地设置硬质围挡，并采取覆盖、分段作业、择时施工、洒水抑尘、冲洗地面和车辆等有效防尘降尘措施。场地内车行路径应铺设钢板、混凝土或其他功能相当的材料进行硬化并保持清洁，出入口处应设置冲洗设施（同废水处理措施），运输车辆驶出现场前应将槽帮和车轮冲洗干净，严禁带泥出场，冲洗设施同废水处理设施；建筑土方、工程渣土、建筑垃圾应当及时清运，在场地内堆存的，应当采用密闭式防尘网遮盖；工程渣土、建筑垃圾应当进行资源化处理。</w:t>
            </w:r>
          </w:p>
          <w:p w14:paraId="3B76857D">
            <w:pPr>
              <w:spacing w:line="300" w:lineRule="auto"/>
              <w:ind w:firstLine="480" w:firstLineChars="200"/>
              <w:rPr>
                <w:color w:val="auto"/>
                <w:kern w:val="0"/>
                <w:sz w:val="24"/>
              </w:rPr>
            </w:pPr>
            <w:r>
              <w:rPr>
                <w:color w:val="auto"/>
                <w:sz w:val="24"/>
              </w:rPr>
              <w:t>(</w:t>
            </w:r>
            <w:r>
              <w:rPr>
                <w:rFonts w:hint="eastAsia"/>
                <w:color w:val="auto"/>
                <w:sz w:val="24"/>
              </w:rPr>
              <w:t>3</w:t>
            </w:r>
            <w:r>
              <w:rPr>
                <w:color w:val="auto"/>
                <w:sz w:val="24"/>
              </w:rPr>
              <w:t xml:space="preserve">) </w:t>
            </w:r>
            <w:r>
              <w:rPr>
                <w:rFonts w:hAnsi="宋体"/>
                <w:color w:val="auto"/>
                <w:kern w:val="0"/>
                <w:sz w:val="24"/>
              </w:rPr>
              <w:t>合理布置施工营地，施工场地四周设置连续封闭围挡，围挡高度不低于</w:t>
            </w:r>
            <w:r>
              <w:rPr>
                <w:color w:val="auto"/>
                <w:kern w:val="0"/>
                <w:sz w:val="24"/>
              </w:rPr>
              <w:t>1.8m</w:t>
            </w:r>
            <w:r>
              <w:rPr>
                <w:rFonts w:hAnsi="宋体"/>
                <w:color w:val="auto"/>
                <w:kern w:val="0"/>
                <w:sz w:val="24"/>
              </w:rPr>
              <w:t>；围挡底端应设置不低于</w:t>
            </w:r>
            <w:r>
              <w:rPr>
                <w:color w:val="auto"/>
                <w:kern w:val="0"/>
                <w:sz w:val="24"/>
              </w:rPr>
              <w:t>0.2m</w:t>
            </w:r>
            <w:r>
              <w:rPr>
                <w:rFonts w:hAnsi="宋体"/>
                <w:color w:val="auto"/>
                <w:kern w:val="0"/>
                <w:sz w:val="24"/>
              </w:rPr>
              <w:t>的防溢座，围挡之间以及围挡与防溢座之间无缝隙。</w:t>
            </w:r>
          </w:p>
          <w:p w14:paraId="0E471D60">
            <w:pPr>
              <w:spacing w:line="300" w:lineRule="auto"/>
              <w:ind w:firstLine="480" w:firstLineChars="200"/>
              <w:rPr>
                <w:color w:val="auto"/>
                <w:sz w:val="24"/>
              </w:rPr>
            </w:pPr>
            <w:r>
              <w:rPr>
                <w:color w:val="auto"/>
                <w:sz w:val="24"/>
              </w:rPr>
              <w:t>(</w:t>
            </w:r>
            <w:r>
              <w:rPr>
                <w:rFonts w:hint="eastAsia"/>
                <w:color w:val="auto"/>
                <w:sz w:val="24"/>
              </w:rPr>
              <w:t>4</w:t>
            </w:r>
            <w:r>
              <w:rPr>
                <w:color w:val="auto"/>
                <w:sz w:val="24"/>
              </w:rPr>
              <w:t xml:space="preserve">) </w:t>
            </w:r>
            <w:r>
              <w:rPr>
                <w:rFonts w:hAnsi="宋体"/>
                <w:color w:val="auto"/>
                <w:sz w:val="24"/>
              </w:rPr>
              <w:t>工程开挖土方集中堆放，以缩小扬尘影响范围，及时回填，减小扬尘影响时间，对于距离线路较近的居民点、学校、医院及敏感河流水体，应在临时场站周边设置施工围挡，严格控制作业带宽度。</w:t>
            </w:r>
          </w:p>
          <w:p w14:paraId="0F51FA8F">
            <w:pPr>
              <w:spacing w:line="300" w:lineRule="auto"/>
              <w:ind w:firstLine="480" w:firstLineChars="200"/>
              <w:rPr>
                <w:color w:val="auto"/>
                <w:sz w:val="24"/>
              </w:rPr>
            </w:pPr>
            <w:r>
              <w:rPr>
                <w:color w:val="auto"/>
                <w:sz w:val="24"/>
              </w:rPr>
              <w:t>(</w:t>
            </w:r>
            <w:r>
              <w:rPr>
                <w:rFonts w:hint="eastAsia"/>
                <w:color w:val="auto"/>
                <w:sz w:val="24"/>
              </w:rPr>
              <w:t>5</w:t>
            </w:r>
            <w:r>
              <w:rPr>
                <w:color w:val="auto"/>
                <w:sz w:val="24"/>
              </w:rPr>
              <w:t xml:space="preserve">) </w:t>
            </w:r>
            <w:r>
              <w:rPr>
                <w:rFonts w:hAnsi="宋体"/>
                <w:color w:val="auto"/>
                <w:sz w:val="24"/>
              </w:rPr>
              <w:t>开挖和拆迁过程中，土方工程作业应辅以洒水压尘，尽量缩短起尘操作时间，同时作业处覆盖防尘网。不需要的建筑材料应及时运走，不宜长时间堆积。</w:t>
            </w:r>
          </w:p>
          <w:p w14:paraId="766444FC">
            <w:pPr>
              <w:spacing w:line="300" w:lineRule="auto"/>
              <w:ind w:firstLine="480" w:firstLineChars="200"/>
              <w:rPr>
                <w:color w:val="auto"/>
                <w:sz w:val="24"/>
              </w:rPr>
            </w:pPr>
            <w:r>
              <w:rPr>
                <w:color w:val="auto"/>
                <w:sz w:val="24"/>
              </w:rPr>
              <w:t>(</w:t>
            </w:r>
            <w:r>
              <w:rPr>
                <w:rFonts w:hint="eastAsia"/>
                <w:color w:val="auto"/>
                <w:sz w:val="24"/>
              </w:rPr>
              <w:t>6</w:t>
            </w:r>
            <w:r>
              <w:rPr>
                <w:color w:val="auto"/>
                <w:sz w:val="24"/>
              </w:rPr>
              <w:t xml:space="preserve">) </w:t>
            </w:r>
            <w:r>
              <w:rPr>
                <w:rFonts w:hAnsi="宋体"/>
                <w:color w:val="auto"/>
                <w:sz w:val="24"/>
              </w:rPr>
              <w:t>尽量避免在大风季节施工，遇有大风天气时，禁止进行挖掘、回填等大土方量作业。</w:t>
            </w:r>
          </w:p>
          <w:p w14:paraId="3655A70B">
            <w:pPr>
              <w:spacing w:line="300" w:lineRule="auto"/>
              <w:ind w:firstLine="480" w:firstLineChars="200"/>
              <w:rPr>
                <w:color w:val="auto"/>
                <w:sz w:val="24"/>
              </w:rPr>
            </w:pPr>
            <w:r>
              <w:rPr>
                <w:color w:val="auto"/>
                <w:sz w:val="24"/>
              </w:rPr>
              <w:t>(</w:t>
            </w:r>
            <w:r>
              <w:rPr>
                <w:rFonts w:hint="eastAsia"/>
                <w:color w:val="auto"/>
                <w:sz w:val="24"/>
              </w:rPr>
              <w:t>7</w:t>
            </w:r>
            <w:r>
              <w:rPr>
                <w:color w:val="auto"/>
                <w:sz w:val="24"/>
              </w:rPr>
              <w:t xml:space="preserve">) </w:t>
            </w:r>
            <w:r>
              <w:rPr>
                <w:rFonts w:hAnsi="宋体"/>
                <w:color w:val="auto"/>
                <w:sz w:val="24"/>
              </w:rPr>
              <w:t>土方、水泥、碎石、石灰等易产生扬尘污染的料堆应采取防风遮挡措施或在库房内存放。建筑材料如砂石料应封闭或全封闭堆存，定期采取洒水抑尘、加盖篷布等防扬尘措施，以减少大风天气下的建筑材料在堆放过程中的粉尘</w:t>
            </w:r>
            <w:r>
              <w:rPr>
                <w:rFonts w:hint="eastAsia" w:hAnsi="宋体"/>
                <w:color w:val="auto"/>
                <w:sz w:val="24"/>
                <w:lang w:eastAsia="zh-CN"/>
              </w:rPr>
              <w:t>外溢</w:t>
            </w:r>
            <w:r>
              <w:rPr>
                <w:rFonts w:hAnsi="宋体"/>
                <w:color w:val="auto"/>
                <w:sz w:val="24"/>
              </w:rPr>
              <w:t>。</w:t>
            </w:r>
          </w:p>
          <w:p w14:paraId="0380FAFB">
            <w:pPr>
              <w:spacing w:line="300" w:lineRule="auto"/>
              <w:ind w:firstLine="480" w:firstLineChars="200"/>
              <w:rPr>
                <w:color w:val="auto"/>
                <w:kern w:val="0"/>
                <w:sz w:val="24"/>
              </w:rPr>
            </w:pPr>
            <w:r>
              <w:rPr>
                <w:color w:val="auto"/>
                <w:sz w:val="24"/>
              </w:rPr>
              <w:t>(</w:t>
            </w:r>
            <w:r>
              <w:rPr>
                <w:rFonts w:hint="eastAsia"/>
                <w:color w:val="auto"/>
                <w:sz w:val="24"/>
              </w:rPr>
              <w:t>8</w:t>
            </w:r>
            <w:r>
              <w:rPr>
                <w:color w:val="auto"/>
                <w:sz w:val="24"/>
              </w:rPr>
              <w:t xml:space="preserve">) </w:t>
            </w:r>
            <w:r>
              <w:rPr>
                <w:rFonts w:hAnsi="宋体"/>
                <w:color w:val="auto"/>
                <w:kern w:val="0"/>
                <w:sz w:val="24"/>
              </w:rPr>
              <w:t>粉状材料如水泥、石灰等应罐装或袋装，禁止散装运输；运输泥土及施工材料的车辆应配置防散落装备，装载不宜过满，防止被大风吹起，严禁运输途中扬尘、散落，必须加盖毡布，保证运输过程中不散落；并规划好运输路线与时间，尽量减少对敏感区的影响。施工期间，应在工地建筑结构脚手架外侧设置有效抑尘的密目防尘网或防尘布。</w:t>
            </w:r>
          </w:p>
          <w:p w14:paraId="6960778B">
            <w:pPr>
              <w:spacing w:line="300" w:lineRule="auto"/>
              <w:ind w:firstLine="480" w:firstLineChars="200"/>
              <w:rPr>
                <w:color w:val="auto"/>
                <w:sz w:val="24"/>
              </w:rPr>
            </w:pPr>
            <w:r>
              <w:rPr>
                <w:color w:val="auto"/>
                <w:sz w:val="24"/>
              </w:rPr>
              <w:t>(</w:t>
            </w:r>
            <w:r>
              <w:rPr>
                <w:rFonts w:hint="eastAsia"/>
                <w:color w:val="auto"/>
                <w:sz w:val="24"/>
              </w:rPr>
              <w:t>9</w:t>
            </w:r>
            <w:r>
              <w:rPr>
                <w:color w:val="auto"/>
                <w:sz w:val="24"/>
              </w:rPr>
              <w:t xml:space="preserve">) </w:t>
            </w:r>
            <w:r>
              <w:rPr>
                <w:rFonts w:hAnsi="宋体"/>
                <w:color w:val="auto"/>
                <w:sz w:val="24"/>
              </w:rPr>
              <w:t>渣土、建筑垃圾运输车辆应加盖，完全密闭运输。进出工地的物料运输车辆装载高度不得超过车辆槽帮上沿，车斗应用苫布遮盖严实。苫布边缘至少要遮住槽帮上沿以下</w:t>
            </w:r>
            <w:r>
              <w:rPr>
                <w:color w:val="auto"/>
                <w:sz w:val="24"/>
              </w:rPr>
              <w:t>15cm</w:t>
            </w:r>
            <w:r>
              <w:rPr>
                <w:rFonts w:hAnsi="宋体"/>
                <w:color w:val="auto"/>
                <w:sz w:val="24"/>
              </w:rPr>
              <w:t>，保证物料不露出，不遗撒</w:t>
            </w:r>
            <w:r>
              <w:rPr>
                <w:rFonts w:hint="eastAsia" w:hAnsi="宋体"/>
                <w:color w:val="auto"/>
                <w:sz w:val="24"/>
                <w:lang w:eastAsia="zh-CN"/>
              </w:rPr>
              <w:t>外露</w:t>
            </w:r>
            <w:r>
              <w:rPr>
                <w:rFonts w:hAnsi="宋体"/>
                <w:color w:val="auto"/>
                <w:sz w:val="24"/>
              </w:rPr>
              <w:t>。同时，物料、渣土、建筑垃圾运输车辆应按照批准的路线和时间运输。</w:t>
            </w:r>
          </w:p>
          <w:p w14:paraId="37756202">
            <w:pPr>
              <w:spacing w:line="300" w:lineRule="auto"/>
              <w:ind w:firstLine="480" w:firstLineChars="200"/>
              <w:rPr>
                <w:color w:val="auto"/>
                <w:sz w:val="24"/>
              </w:rPr>
            </w:pPr>
            <w:r>
              <w:rPr>
                <w:color w:val="auto"/>
                <w:sz w:val="24"/>
              </w:rPr>
              <w:t>(1</w:t>
            </w:r>
            <w:r>
              <w:rPr>
                <w:rFonts w:hint="eastAsia"/>
                <w:color w:val="auto"/>
                <w:sz w:val="24"/>
              </w:rPr>
              <w:t>0</w:t>
            </w:r>
            <w:r>
              <w:rPr>
                <w:color w:val="auto"/>
                <w:sz w:val="24"/>
              </w:rPr>
              <w:t xml:space="preserve">) </w:t>
            </w:r>
            <w:r>
              <w:rPr>
                <w:rFonts w:hAnsi="宋体"/>
                <w:color w:val="auto"/>
                <w:sz w:val="24"/>
              </w:rPr>
              <w:t>运输车辆应当在除泥、冲洗干净后方可驶出作业场所，不得使用空气压缩机等易产生扬尘污染的设备清理车辆、设备和物料的尘埃。施工车辆必须定期检查，破损的车厢应及时修补，减少车辆在行驶中沿途散落建筑材料及建筑废料。</w:t>
            </w:r>
          </w:p>
          <w:p w14:paraId="1C36F6CF">
            <w:pPr>
              <w:spacing w:line="300" w:lineRule="auto"/>
              <w:ind w:firstLine="480" w:firstLineChars="200"/>
              <w:rPr>
                <w:color w:val="auto"/>
                <w:sz w:val="24"/>
              </w:rPr>
            </w:pPr>
            <w:r>
              <w:rPr>
                <w:color w:val="auto"/>
                <w:sz w:val="24"/>
              </w:rPr>
              <w:t>(1</w:t>
            </w:r>
            <w:r>
              <w:rPr>
                <w:rFonts w:hint="eastAsia"/>
                <w:color w:val="auto"/>
                <w:sz w:val="24"/>
              </w:rPr>
              <w:t>1</w:t>
            </w:r>
            <w:r>
              <w:rPr>
                <w:color w:val="auto"/>
                <w:sz w:val="24"/>
              </w:rPr>
              <w:t xml:space="preserve">) </w:t>
            </w:r>
            <w:r>
              <w:rPr>
                <w:rFonts w:hAnsi="宋体"/>
                <w:color w:val="auto"/>
                <w:sz w:val="24"/>
              </w:rPr>
              <w:t>在施工场地出口附近经常会有较多的建筑废料洒落并造成污染，施工单位应及时清理干净。</w:t>
            </w:r>
          </w:p>
          <w:p w14:paraId="2C58ECA4">
            <w:pPr>
              <w:spacing w:line="300" w:lineRule="auto"/>
              <w:ind w:firstLine="480" w:firstLineChars="200"/>
              <w:rPr>
                <w:color w:val="auto"/>
                <w:sz w:val="24"/>
              </w:rPr>
            </w:pPr>
            <w:r>
              <w:rPr>
                <w:color w:val="auto"/>
                <w:sz w:val="24"/>
              </w:rPr>
              <w:t>(1</w:t>
            </w:r>
            <w:r>
              <w:rPr>
                <w:rFonts w:hint="eastAsia"/>
                <w:color w:val="auto"/>
                <w:sz w:val="24"/>
              </w:rPr>
              <w:t>2</w:t>
            </w:r>
            <w:r>
              <w:rPr>
                <w:color w:val="auto"/>
                <w:sz w:val="24"/>
              </w:rPr>
              <w:t xml:space="preserve">) </w:t>
            </w:r>
            <w:r>
              <w:rPr>
                <w:rFonts w:hAnsi="宋体"/>
                <w:color w:val="auto"/>
                <w:sz w:val="24"/>
              </w:rPr>
              <w:t>施工单位应当在施工工地公示扬尘污染防治措施、负责人、扬尘监督管理部门等信息，建立工作台账，记录每日扬尘污染防治措施落实情况、覆盖面积、出入洗车洒水次数和持续时间等信息。</w:t>
            </w:r>
          </w:p>
          <w:p w14:paraId="1C3583CF">
            <w:pPr>
              <w:spacing w:line="300" w:lineRule="auto"/>
              <w:ind w:firstLine="480" w:firstLineChars="200"/>
              <w:rPr>
                <w:color w:val="auto"/>
                <w:sz w:val="24"/>
              </w:rPr>
            </w:pPr>
            <w:r>
              <w:rPr>
                <w:color w:val="auto"/>
                <w:sz w:val="24"/>
              </w:rPr>
              <w:t>(</w:t>
            </w:r>
            <w:r>
              <w:rPr>
                <w:rFonts w:hint="eastAsia"/>
                <w:color w:val="auto"/>
                <w:sz w:val="24"/>
              </w:rPr>
              <w:t>13</w:t>
            </w:r>
            <w:r>
              <w:rPr>
                <w:color w:val="auto"/>
                <w:sz w:val="24"/>
              </w:rPr>
              <w:t xml:space="preserve">) </w:t>
            </w:r>
            <w:r>
              <w:rPr>
                <w:rFonts w:hAnsi="宋体"/>
                <w:color w:val="auto"/>
                <w:sz w:val="24"/>
              </w:rPr>
              <w:t>建设单位应当将防治扬尘污染所需费用列入工程造价，并在工程承包合同中明确施工单位防治扬尘污染的责任。施工单位应当在施工前向负责监督管理扬尘污染防治的主管部门提交工地扬尘污染防治方案，将扬尘污染防治纳入工程管理范围。</w:t>
            </w:r>
          </w:p>
          <w:p w14:paraId="09461C2F">
            <w:pPr>
              <w:spacing w:line="300" w:lineRule="auto"/>
              <w:ind w:firstLine="480"/>
              <w:rPr>
                <w:color w:val="auto"/>
                <w:sz w:val="24"/>
              </w:rPr>
            </w:pPr>
            <w:r>
              <w:rPr>
                <w:color w:val="auto"/>
                <w:sz w:val="24"/>
              </w:rPr>
              <w:t>(</w:t>
            </w:r>
            <w:r>
              <w:rPr>
                <w:rFonts w:hint="eastAsia"/>
                <w:color w:val="auto"/>
                <w:sz w:val="24"/>
              </w:rPr>
              <w:t>14</w:t>
            </w:r>
            <w:r>
              <w:rPr>
                <w:color w:val="auto"/>
                <w:sz w:val="24"/>
              </w:rPr>
              <w:t xml:space="preserve">) </w:t>
            </w:r>
            <w:r>
              <w:rPr>
                <w:rFonts w:hAnsi="宋体"/>
                <w:color w:val="auto"/>
                <w:sz w:val="24"/>
              </w:rPr>
              <w:t>施工堆场（如石灰、粉煤灰的堆场）应尽量远离居民区，加强堆场管理，合理安排堆垛位置，并采取</w:t>
            </w:r>
            <w:r>
              <w:rPr>
                <w:rFonts w:hint="eastAsia" w:hAnsi="宋体"/>
                <w:color w:val="auto"/>
                <w:sz w:val="24"/>
                <w:lang w:eastAsia="zh-CN"/>
              </w:rPr>
              <w:t>加盖篷布等</w:t>
            </w:r>
            <w:r>
              <w:rPr>
                <w:rFonts w:hAnsi="宋体"/>
                <w:color w:val="auto"/>
                <w:sz w:val="24"/>
              </w:rPr>
              <w:t>遮挡措施对堆场加强管理，在物料堆场四周设置挡风墙（网），必要时在堆垛表面掺和外加剂或喷洒润滑剂使材料稳定，减少起尘量。</w:t>
            </w:r>
          </w:p>
          <w:p w14:paraId="65C58623">
            <w:pPr>
              <w:spacing w:line="300" w:lineRule="auto"/>
              <w:ind w:firstLine="480" w:firstLineChars="200"/>
              <w:rPr>
                <w:rFonts w:hint="eastAsia" w:hAnsi="宋体"/>
                <w:color w:val="auto"/>
                <w:sz w:val="24"/>
              </w:rPr>
            </w:pPr>
            <w:r>
              <w:rPr>
                <w:color w:val="auto"/>
                <w:sz w:val="24"/>
              </w:rPr>
              <w:t>(</w:t>
            </w:r>
            <w:r>
              <w:rPr>
                <w:rFonts w:hint="eastAsia"/>
                <w:color w:val="auto"/>
                <w:sz w:val="24"/>
              </w:rPr>
              <w:t>15</w:t>
            </w:r>
            <w:r>
              <w:rPr>
                <w:color w:val="auto"/>
                <w:sz w:val="24"/>
              </w:rPr>
              <w:t xml:space="preserve">) </w:t>
            </w:r>
            <w:r>
              <w:rPr>
                <w:rFonts w:hAnsi="宋体"/>
                <w:color w:val="auto"/>
                <w:sz w:val="24"/>
              </w:rPr>
              <w:t>穿越</w:t>
            </w:r>
            <w:r>
              <w:rPr>
                <w:rFonts w:hint="eastAsia" w:hAnsi="宋体"/>
                <w:color w:val="auto"/>
                <w:sz w:val="24"/>
              </w:rPr>
              <w:t>沿线</w:t>
            </w:r>
            <w:r>
              <w:rPr>
                <w:rFonts w:hAnsi="宋体"/>
                <w:color w:val="auto"/>
                <w:sz w:val="24"/>
              </w:rPr>
              <w:t>乡镇、居民集中区、学校及卫生院等路段道路施工两侧连续设置硬质围挡，围挡高度不小于</w:t>
            </w:r>
            <w:r>
              <w:rPr>
                <w:color w:val="auto"/>
                <w:sz w:val="24"/>
              </w:rPr>
              <w:t>2.0m</w:t>
            </w:r>
            <w:r>
              <w:rPr>
                <w:rFonts w:hAnsi="宋体"/>
                <w:color w:val="auto"/>
                <w:sz w:val="24"/>
              </w:rPr>
              <w:t>，底部砌防水底座（大于</w:t>
            </w:r>
            <w:r>
              <w:rPr>
                <w:color w:val="auto"/>
                <w:sz w:val="24"/>
              </w:rPr>
              <w:t>30cm</w:t>
            </w:r>
            <w:r>
              <w:rPr>
                <w:rFonts w:hAnsi="宋体"/>
                <w:color w:val="auto"/>
                <w:sz w:val="24"/>
              </w:rPr>
              <w:t>），顶部安装自动喷淋系统</w:t>
            </w:r>
            <w:r>
              <w:rPr>
                <w:color w:val="auto"/>
                <w:sz w:val="24"/>
              </w:rPr>
              <w:t>‌</w:t>
            </w:r>
            <w:r>
              <w:rPr>
                <w:rFonts w:hAnsi="宋体"/>
                <w:color w:val="auto"/>
                <w:sz w:val="24"/>
              </w:rPr>
              <w:t>；施工场地设置采取分段作业、洒水抑尘等防尘降尘措施；施工主通道和材料堆场需全部混凝土硬化，裸露地面超过</w:t>
            </w:r>
            <w:r>
              <w:rPr>
                <w:color w:val="auto"/>
                <w:sz w:val="24"/>
              </w:rPr>
              <w:t>24</w:t>
            </w:r>
            <w:r>
              <w:rPr>
                <w:rFonts w:hAnsi="宋体"/>
                <w:color w:val="auto"/>
                <w:sz w:val="24"/>
              </w:rPr>
              <w:t>小时未作业时应覆盖防尘网或绿化；易扬尘材料入库或密闭存放，散装物料罐体设置隔离装置，砂石堆场用密目网覆盖；场地出入口处设置三级沉淀冲洗池，运输车辆驶出现场前应将槽帮和车轮冲洗干净；采用</w:t>
            </w:r>
            <w:r>
              <w:rPr>
                <w:color w:val="auto"/>
                <w:sz w:val="24"/>
              </w:rPr>
              <w:t>“</w:t>
            </w:r>
            <w:r>
              <w:rPr>
                <w:rFonts w:hAnsi="宋体"/>
                <w:color w:val="auto"/>
                <w:sz w:val="24"/>
              </w:rPr>
              <w:t>冲扫洗收</w:t>
            </w:r>
            <w:r>
              <w:rPr>
                <w:color w:val="auto"/>
                <w:sz w:val="24"/>
              </w:rPr>
              <w:t>”</w:t>
            </w:r>
            <w:r>
              <w:rPr>
                <w:rFonts w:hAnsi="宋体"/>
                <w:color w:val="auto"/>
                <w:sz w:val="24"/>
              </w:rPr>
              <w:t>组合工艺，增加清扫频次，减少二次扬尘；施工道路应保持平整，设立施工道路养护、维修和清扫专职人员，保持道路清洁和运行状态良好，定期对运输道路进行洒水抑尘；运输土方、渣土及</w:t>
            </w:r>
            <w:r>
              <w:rPr>
                <w:rFonts w:hAnsi="宋体"/>
                <w:color w:val="auto"/>
                <w:kern w:val="0"/>
                <w:sz w:val="24"/>
              </w:rPr>
              <w:t>粉状</w:t>
            </w:r>
            <w:r>
              <w:rPr>
                <w:rFonts w:hAnsi="宋体"/>
                <w:color w:val="auto"/>
                <w:sz w:val="24"/>
              </w:rPr>
              <w:t>建筑</w:t>
            </w:r>
            <w:r>
              <w:rPr>
                <w:rFonts w:hAnsi="宋体"/>
                <w:color w:val="auto"/>
                <w:kern w:val="0"/>
                <w:sz w:val="24"/>
              </w:rPr>
              <w:t>材料</w:t>
            </w:r>
            <w:r>
              <w:rPr>
                <w:rFonts w:hAnsi="宋体"/>
                <w:color w:val="auto"/>
                <w:sz w:val="24"/>
              </w:rPr>
              <w:t>等车辆应当采用密闭式防尘网遮盖；土方开挖、破碎等工序同步使用雾炮机降尘，大风天气停止土石方作业；设置专职安全员，每日检查并记录扬尘治理情况；项目部与作业班组签订扬尘治理目标责任书。</w:t>
            </w:r>
          </w:p>
          <w:p w14:paraId="49667145">
            <w:pPr>
              <w:spacing w:line="300" w:lineRule="auto"/>
              <w:ind w:firstLine="480" w:firstLineChars="200"/>
              <w:rPr>
                <w:rFonts w:hint="eastAsia"/>
                <w:color w:val="auto"/>
                <w:sz w:val="24"/>
              </w:rPr>
            </w:pPr>
            <w:r>
              <w:rPr>
                <w:color w:val="auto"/>
                <w:sz w:val="24"/>
              </w:rPr>
              <w:t>(</w:t>
            </w:r>
            <w:r>
              <w:rPr>
                <w:rFonts w:hint="eastAsia"/>
                <w:color w:val="auto"/>
                <w:sz w:val="24"/>
              </w:rPr>
              <w:t>16</w:t>
            </w:r>
            <w:r>
              <w:rPr>
                <w:color w:val="auto"/>
                <w:sz w:val="24"/>
              </w:rPr>
              <w:t>) 拟建公路K</w:t>
            </w:r>
            <w:r>
              <w:rPr>
                <w:rFonts w:hint="eastAsia"/>
                <w:color w:val="auto"/>
                <w:sz w:val="24"/>
              </w:rPr>
              <w:t>1</w:t>
            </w:r>
            <w:r>
              <w:rPr>
                <w:color w:val="auto"/>
                <w:sz w:val="24"/>
              </w:rPr>
              <w:t>+100~K</w:t>
            </w:r>
            <w:r>
              <w:rPr>
                <w:rFonts w:hint="eastAsia"/>
                <w:color w:val="auto"/>
                <w:sz w:val="24"/>
              </w:rPr>
              <w:t>4</w:t>
            </w:r>
            <w:r>
              <w:rPr>
                <w:color w:val="auto"/>
                <w:sz w:val="24"/>
              </w:rPr>
              <w:t>+</w:t>
            </w:r>
            <w:r>
              <w:rPr>
                <w:rFonts w:hint="eastAsia"/>
                <w:color w:val="auto"/>
                <w:sz w:val="24"/>
              </w:rPr>
              <w:t>1</w:t>
            </w:r>
            <w:r>
              <w:rPr>
                <w:color w:val="auto"/>
                <w:sz w:val="24"/>
              </w:rPr>
              <w:t>00</w:t>
            </w:r>
            <w:r>
              <w:rPr>
                <w:rFonts w:hint="eastAsia"/>
                <w:color w:val="auto"/>
                <w:sz w:val="24"/>
              </w:rPr>
              <w:t>、</w:t>
            </w:r>
            <w:r>
              <w:rPr>
                <w:color w:val="auto"/>
                <w:sz w:val="24"/>
              </w:rPr>
              <w:t>K</w:t>
            </w:r>
            <w:r>
              <w:rPr>
                <w:rFonts w:hint="eastAsia"/>
                <w:color w:val="auto"/>
                <w:sz w:val="24"/>
              </w:rPr>
              <w:t>6</w:t>
            </w:r>
            <w:r>
              <w:rPr>
                <w:color w:val="auto"/>
                <w:sz w:val="24"/>
              </w:rPr>
              <w:t>+</w:t>
            </w:r>
            <w:r>
              <w:rPr>
                <w:rFonts w:hint="eastAsia"/>
                <w:color w:val="auto"/>
                <w:sz w:val="24"/>
              </w:rPr>
              <w:t>5</w:t>
            </w:r>
            <w:r>
              <w:rPr>
                <w:color w:val="auto"/>
                <w:sz w:val="24"/>
              </w:rPr>
              <w:t>00~K</w:t>
            </w:r>
            <w:r>
              <w:rPr>
                <w:rFonts w:hint="eastAsia"/>
                <w:color w:val="auto"/>
                <w:sz w:val="24"/>
              </w:rPr>
              <w:t>11</w:t>
            </w:r>
            <w:r>
              <w:rPr>
                <w:color w:val="auto"/>
                <w:sz w:val="24"/>
              </w:rPr>
              <w:t>+000</w:t>
            </w:r>
            <w:r>
              <w:rPr>
                <w:rFonts w:hint="eastAsia"/>
                <w:color w:val="auto"/>
                <w:sz w:val="24"/>
              </w:rPr>
              <w:t>、</w:t>
            </w:r>
            <w:r>
              <w:rPr>
                <w:color w:val="auto"/>
                <w:sz w:val="24"/>
              </w:rPr>
              <w:t>K19+000~K24+900</w:t>
            </w:r>
            <w:r>
              <w:rPr>
                <w:rFonts w:hint="eastAsia"/>
                <w:color w:val="auto"/>
                <w:sz w:val="24"/>
              </w:rPr>
              <w:t>及</w:t>
            </w:r>
            <w:r>
              <w:rPr>
                <w:color w:val="auto"/>
                <w:sz w:val="24"/>
              </w:rPr>
              <w:t>K25+200~</w:t>
            </w:r>
            <w:r>
              <w:rPr>
                <w:rFonts w:hint="eastAsia"/>
                <w:color w:val="auto"/>
                <w:sz w:val="24"/>
              </w:rPr>
              <w:t>终点</w:t>
            </w:r>
            <w:r>
              <w:rPr>
                <w:color w:val="auto"/>
                <w:sz w:val="24"/>
              </w:rPr>
              <w:t>路段主要为农田区，</w:t>
            </w:r>
            <w:r>
              <w:rPr>
                <w:rFonts w:hint="eastAsia"/>
                <w:color w:val="auto"/>
                <w:sz w:val="24"/>
              </w:rPr>
              <w:t>K4+100~K6+500路段主要为</w:t>
            </w:r>
            <w:r>
              <w:rPr>
                <w:rFonts w:hint="eastAsia" w:hAnsi="宋体"/>
                <w:color w:val="auto"/>
                <w:sz w:val="24"/>
              </w:rPr>
              <w:t>草地，</w:t>
            </w:r>
            <w:r>
              <w:rPr>
                <w:color w:val="auto"/>
                <w:sz w:val="24"/>
              </w:rPr>
              <w:t>该路段施工时，严格划定施工红线，采用彩钢板围挡、铁丝网边界，严禁车辆、机械碾压红线外耕地、草地，减少原生地表破坏及扬尘产生</w:t>
            </w:r>
            <w:r>
              <w:rPr>
                <w:rFonts w:hint="eastAsia"/>
                <w:color w:val="auto"/>
                <w:sz w:val="24"/>
              </w:rPr>
              <w:t>；</w:t>
            </w:r>
            <w:r>
              <w:rPr>
                <w:color w:val="auto"/>
                <w:sz w:val="24"/>
              </w:rPr>
              <w:t>路基土方全部湿法作业，大风天气停止土石方施工；耕地</w:t>
            </w:r>
            <w:r>
              <w:rPr>
                <w:rFonts w:hint="eastAsia"/>
                <w:color w:val="auto"/>
                <w:sz w:val="24"/>
              </w:rPr>
              <w:t>和</w:t>
            </w:r>
            <w:r>
              <w:rPr>
                <w:color w:val="auto"/>
                <w:sz w:val="24"/>
              </w:rPr>
              <w:t>草场段</w:t>
            </w:r>
            <w:r>
              <w:rPr>
                <w:bCs/>
                <w:color w:val="auto"/>
                <w:sz w:val="24"/>
              </w:rPr>
              <w:t>分段、分区、薄层开挖</w:t>
            </w:r>
            <w:r>
              <w:rPr>
                <w:color w:val="auto"/>
                <w:sz w:val="24"/>
              </w:rPr>
              <w:t>，禁止大面积连片裸露作业，</w:t>
            </w:r>
            <w:r>
              <w:rPr>
                <w:rFonts w:hint="eastAsia"/>
                <w:color w:val="auto"/>
                <w:sz w:val="24"/>
              </w:rPr>
              <w:t>及时</w:t>
            </w:r>
            <w:r>
              <w:rPr>
                <w:color w:val="auto"/>
                <w:sz w:val="24"/>
              </w:rPr>
              <w:t>进行碾压或覆盖，缩短裸露时间；剥离的表土层应在永久用地范围内适当位置进行集中堆放，堆体边坡放缓、压实，顶部及坡面全覆盖</w:t>
            </w:r>
            <w:r>
              <w:rPr>
                <w:bCs/>
                <w:color w:val="auto"/>
                <w:sz w:val="24"/>
              </w:rPr>
              <w:t>防尘网</w:t>
            </w:r>
            <w:r>
              <w:rPr>
                <w:rFonts w:hint="eastAsia"/>
                <w:bCs/>
                <w:color w:val="auto"/>
                <w:sz w:val="24"/>
              </w:rPr>
              <w:t>，</w:t>
            </w:r>
            <w:r>
              <w:rPr>
                <w:color w:val="auto"/>
                <w:sz w:val="24"/>
              </w:rPr>
              <w:t>定期洒水抑尘；土石方、砂石料密闭篷布运输，出入口设置车辆冲洗装置；物料堆场设置防风围挡、喷淋抑尘系统；扰动迹地施工后及时进行复耕</w:t>
            </w:r>
            <w:r>
              <w:rPr>
                <w:rFonts w:hint="eastAsia"/>
                <w:color w:val="auto"/>
                <w:sz w:val="24"/>
              </w:rPr>
              <w:t>或</w:t>
            </w:r>
            <w:r>
              <w:rPr>
                <w:color w:val="auto"/>
                <w:sz w:val="24"/>
              </w:rPr>
              <w:t>绿化，最大限度降低施工扬尘对沿线</w:t>
            </w:r>
            <w:r>
              <w:rPr>
                <w:rFonts w:hint="eastAsia"/>
                <w:color w:val="auto"/>
                <w:sz w:val="24"/>
              </w:rPr>
              <w:t>农作物</w:t>
            </w:r>
            <w:r>
              <w:rPr>
                <w:color w:val="auto"/>
                <w:sz w:val="24"/>
              </w:rPr>
              <w:t>和</w:t>
            </w:r>
            <w:r>
              <w:rPr>
                <w:rFonts w:hint="eastAsia"/>
                <w:color w:val="auto"/>
                <w:sz w:val="24"/>
              </w:rPr>
              <w:t>草地的</w:t>
            </w:r>
            <w:r>
              <w:rPr>
                <w:color w:val="auto"/>
                <w:sz w:val="24"/>
              </w:rPr>
              <w:t>影响。</w:t>
            </w:r>
          </w:p>
          <w:p w14:paraId="6AB7AFBA">
            <w:pPr>
              <w:spacing w:line="300" w:lineRule="auto"/>
              <w:ind w:firstLine="480" w:firstLineChars="200"/>
              <w:rPr>
                <w:color w:val="auto"/>
                <w:kern w:val="0"/>
                <w:sz w:val="24"/>
              </w:rPr>
            </w:pPr>
            <w:r>
              <w:rPr>
                <w:color w:val="auto"/>
                <w:sz w:val="24"/>
              </w:rPr>
              <w:t xml:space="preserve">2. </w:t>
            </w:r>
            <w:r>
              <w:rPr>
                <w:rFonts w:hAnsi="宋体"/>
                <w:color w:val="auto"/>
                <w:kern w:val="0"/>
                <w:sz w:val="24"/>
              </w:rPr>
              <w:t>施工机械废气及车辆尾气防治措施</w:t>
            </w:r>
          </w:p>
          <w:p w14:paraId="4AB89873">
            <w:pPr>
              <w:spacing w:line="300" w:lineRule="auto"/>
              <w:ind w:firstLine="480" w:firstLineChars="200"/>
              <w:rPr>
                <w:color w:val="auto"/>
                <w:sz w:val="24"/>
              </w:rPr>
            </w:pPr>
            <w:r>
              <w:rPr>
                <w:color w:val="auto"/>
                <w:sz w:val="24"/>
              </w:rPr>
              <w:t xml:space="preserve">(1) </w:t>
            </w:r>
            <w:r>
              <w:rPr>
                <w:rFonts w:hAnsi="宋体"/>
                <w:color w:val="auto"/>
                <w:sz w:val="24"/>
              </w:rPr>
              <w:t>优化施工方法、施工技术。施工现场的机械及运输车辆使用国家规定的标准燃油。</w:t>
            </w:r>
          </w:p>
          <w:p w14:paraId="19D098EA">
            <w:pPr>
              <w:spacing w:line="300" w:lineRule="auto"/>
              <w:ind w:firstLine="480" w:firstLineChars="200"/>
              <w:rPr>
                <w:color w:val="auto"/>
                <w:sz w:val="24"/>
              </w:rPr>
            </w:pPr>
            <w:r>
              <w:rPr>
                <w:color w:val="auto"/>
                <w:sz w:val="24"/>
              </w:rPr>
              <w:t xml:space="preserve">(2) </w:t>
            </w:r>
            <w:r>
              <w:rPr>
                <w:rFonts w:hAnsi="宋体"/>
                <w:color w:val="auto"/>
                <w:sz w:val="24"/>
              </w:rPr>
              <w:t>加强施工机械和车辆管理，施工过程中要求运输车辆及施工机械按照各自荷载进行运输，减少汽车尾气的产生量；运输车辆推行强制更新报废制度，对于发动机耗油多、效率低、排放尾气超标的老、旧车辆，及时更新。</w:t>
            </w:r>
          </w:p>
          <w:p w14:paraId="71D178A2">
            <w:pPr>
              <w:spacing w:line="300" w:lineRule="auto"/>
              <w:ind w:firstLine="480" w:firstLineChars="200"/>
              <w:rPr>
                <w:color w:val="auto"/>
                <w:sz w:val="24"/>
              </w:rPr>
            </w:pPr>
            <w:r>
              <w:rPr>
                <w:color w:val="auto"/>
                <w:sz w:val="24"/>
              </w:rPr>
              <w:t xml:space="preserve">(3) </w:t>
            </w:r>
            <w:r>
              <w:rPr>
                <w:rFonts w:hAnsi="宋体"/>
                <w:color w:val="auto"/>
                <w:sz w:val="24"/>
              </w:rPr>
              <w:t>对施工机械和运输车辆进行定期检查、维修，确保施工机械和车辆尾气排放符合环保标准。</w:t>
            </w:r>
          </w:p>
          <w:p w14:paraId="72BDDFA7">
            <w:pPr>
              <w:spacing w:line="300" w:lineRule="auto"/>
              <w:ind w:firstLine="480" w:firstLineChars="200"/>
              <w:rPr>
                <w:color w:val="auto"/>
                <w:sz w:val="24"/>
              </w:rPr>
            </w:pPr>
            <w:r>
              <w:rPr>
                <w:color w:val="auto"/>
                <w:sz w:val="24"/>
              </w:rPr>
              <w:t xml:space="preserve">(4) </w:t>
            </w:r>
            <w:r>
              <w:rPr>
                <w:rFonts w:hAnsi="宋体"/>
                <w:color w:val="auto"/>
                <w:sz w:val="24"/>
              </w:rPr>
              <w:t>运输车辆按《汽车排污监管办法》和《汽车排放监测制度》要求进行监督管理，不定期对运输车辆排放的尾气进行监测。</w:t>
            </w:r>
          </w:p>
          <w:p w14:paraId="19D2F663">
            <w:pPr>
              <w:spacing w:line="300" w:lineRule="auto"/>
              <w:ind w:firstLine="480" w:firstLineChars="200"/>
              <w:rPr>
                <w:color w:val="auto"/>
                <w:kern w:val="0"/>
                <w:sz w:val="24"/>
              </w:rPr>
            </w:pPr>
            <w:r>
              <w:rPr>
                <w:color w:val="auto"/>
                <w:sz w:val="24"/>
              </w:rPr>
              <w:t xml:space="preserve">3. </w:t>
            </w:r>
            <w:r>
              <w:rPr>
                <w:rFonts w:hAnsi="宋体"/>
                <w:color w:val="auto"/>
                <w:kern w:val="0"/>
                <w:sz w:val="24"/>
              </w:rPr>
              <w:t>混凝土、水稳拌合站粉尘防治</w:t>
            </w:r>
            <w:r>
              <w:rPr>
                <w:rFonts w:hAnsi="宋体"/>
                <w:color w:val="auto"/>
                <w:sz w:val="24"/>
              </w:rPr>
              <w:t>措施</w:t>
            </w:r>
          </w:p>
          <w:p w14:paraId="14CEB05C">
            <w:pPr>
              <w:spacing w:line="300" w:lineRule="auto"/>
              <w:ind w:firstLine="482"/>
              <w:rPr>
                <w:color w:val="auto"/>
                <w:sz w:val="24"/>
              </w:rPr>
            </w:pPr>
            <w:r>
              <w:rPr>
                <w:color w:val="auto"/>
                <w:sz w:val="24"/>
              </w:rPr>
              <w:t>(</w:t>
            </w:r>
            <w:r>
              <w:rPr>
                <w:rFonts w:hint="eastAsia"/>
                <w:color w:val="auto"/>
                <w:sz w:val="24"/>
              </w:rPr>
              <w:t>1</w:t>
            </w:r>
            <w:r>
              <w:rPr>
                <w:color w:val="auto"/>
                <w:sz w:val="24"/>
              </w:rPr>
              <w:t xml:space="preserve">) </w:t>
            </w:r>
            <w:r>
              <w:rPr>
                <w:rFonts w:hAnsi="宋体"/>
                <w:color w:val="auto"/>
                <w:sz w:val="24"/>
              </w:rPr>
              <w:t>严格按照混凝土拌合站工艺设备配套要求进行建设，水泥采用罐车运输、筒仓储存。筒仓自带滤芯式除尘器，确保进料过程粉尘达标排放。</w:t>
            </w:r>
          </w:p>
          <w:p w14:paraId="381C79AD">
            <w:pPr>
              <w:spacing w:line="300" w:lineRule="auto"/>
              <w:ind w:firstLine="482"/>
              <w:rPr>
                <w:color w:val="auto"/>
                <w:sz w:val="24"/>
              </w:rPr>
            </w:pPr>
            <w:r>
              <w:rPr>
                <w:color w:val="auto"/>
                <w:sz w:val="24"/>
              </w:rPr>
              <w:t>(</w:t>
            </w:r>
            <w:r>
              <w:rPr>
                <w:rFonts w:hint="eastAsia"/>
                <w:color w:val="auto"/>
                <w:sz w:val="24"/>
              </w:rPr>
              <w:t>2</w:t>
            </w:r>
            <w:r>
              <w:rPr>
                <w:color w:val="auto"/>
                <w:sz w:val="24"/>
              </w:rPr>
              <w:t xml:space="preserve">) </w:t>
            </w:r>
            <w:r>
              <w:rPr>
                <w:rFonts w:hAnsi="宋体"/>
                <w:color w:val="auto"/>
                <w:sz w:val="24"/>
              </w:rPr>
              <w:t>拌合站物料储存采用全封闭式储料棚，临时性货场应采取严格的篷盖和围挡措施；拟建公路</w:t>
            </w:r>
            <w:r>
              <w:rPr>
                <w:rFonts w:hint="eastAsia"/>
                <w:color w:val="auto"/>
                <w:sz w:val="24"/>
              </w:rPr>
              <w:t>2</w:t>
            </w:r>
            <w:r>
              <w:rPr>
                <w:rFonts w:hAnsi="宋体"/>
                <w:color w:val="auto"/>
                <w:sz w:val="24"/>
              </w:rPr>
              <w:t>处混凝土拌合站和水稳拌合站拌合过程产生的颗粒物一起采用布袋除尘器处理后再由</w:t>
            </w:r>
            <w:r>
              <w:rPr>
                <w:color w:val="auto"/>
                <w:sz w:val="24"/>
              </w:rPr>
              <w:t>15m</w:t>
            </w:r>
            <w:r>
              <w:rPr>
                <w:rFonts w:hAnsi="宋体"/>
                <w:color w:val="auto"/>
                <w:sz w:val="24"/>
              </w:rPr>
              <w:t>高排气筒排放，物料输送廊道等设置成封闭式输送廊道，输送过程的粉尘经统一收集后与拌合站粉尘一起采用布袋除尘器处理后由</w:t>
            </w:r>
            <w:r>
              <w:rPr>
                <w:color w:val="auto"/>
                <w:sz w:val="24"/>
              </w:rPr>
              <w:t>15m</w:t>
            </w:r>
            <w:r>
              <w:rPr>
                <w:rFonts w:hAnsi="宋体"/>
                <w:color w:val="auto"/>
                <w:sz w:val="24"/>
              </w:rPr>
              <w:t>高排气筒排放，颗粒物排放满足《水泥工业大气污染物排放标准》中水泥制品生产排放标准；上料仓应三面围挡，上料作业面周边应设置喷淋设施，避免作业起尘和风蚀起尘。</w:t>
            </w:r>
          </w:p>
          <w:p w14:paraId="33718D42">
            <w:pPr>
              <w:spacing w:line="300" w:lineRule="auto"/>
              <w:ind w:firstLine="482"/>
              <w:rPr>
                <w:color w:val="auto"/>
                <w:sz w:val="24"/>
              </w:rPr>
            </w:pPr>
            <w:r>
              <w:rPr>
                <w:color w:val="auto"/>
                <w:sz w:val="24"/>
              </w:rPr>
              <w:t>(</w:t>
            </w:r>
            <w:r>
              <w:rPr>
                <w:rFonts w:hint="eastAsia"/>
                <w:color w:val="auto"/>
                <w:sz w:val="24"/>
              </w:rPr>
              <w:t>3</w:t>
            </w:r>
            <w:r>
              <w:rPr>
                <w:color w:val="auto"/>
                <w:sz w:val="24"/>
              </w:rPr>
              <w:t xml:space="preserve">) </w:t>
            </w:r>
            <w:r>
              <w:rPr>
                <w:rFonts w:hAnsi="宋体"/>
                <w:color w:val="auto"/>
                <w:sz w:val="24"/>
              </w:rPr>
              <w:t>水泥、粉煤灰储罐须在罐顶设置布袋除尘器，除尘器收集的粉尘回用生产。原料堆场采用三面封闭，并加盖顶棚的厂房形式，并安装喷淋装置对堆场定期喷水降尘。</w:t>
            </w:r>
          </w:p>
          <w:p w14:paraId="7FD4C480">
            <w:pPr>
              <w:spacing w:line="300" w:lineRule="auto"/>
              <w:ind w:firstLine="482"/>
              <w:rPr>
                <w:color w:val="auto"/>
                <w:sz w:val="24"/>
              </w:rPr>
            </w:pPr>
            <w:r>
              <w:rPr>
                <w:color w:val="auto"/>
                <w:sz w:val="24"/>
              </w:rPr>
              <w:t>(</w:t>
            </w:r>
            <w:r>
              <w:rPr>
                <w:rFonts w:hint="eastAsia"/>
                <w:color w:val="auto"/>
                <w:sz w:val="24"/>
              </w:rPr>
              <w:t>4</w:t>
            </w:r>
            <w:r>
              <w:rPr>
                <w:color w:val="auto"/>
                <w:sz w:val="24"/>
              </w:rPr>
              <w:t xml:space="preserve">) </w:t>
            </w:r>
            <w:r>
              <w:rPr>
                <w:rFonts w:hAnsi="宋体"/>
                <w:color w:val="auto"/>
                <w:sz w:val="24"/>
              </w:rPr>
              <w:t>搅拌站的配料机、上料仓、搅拌设备及输送设施等，必须配备降尘防尘装备。搅拌站内搅拌砂浆、混凝土及其他易产生扬尘的作业，须搭设操作防护棚罩和采取除、吸尘措施。防护棚除进出口外，里面必须用防尘网和其他材料封闭。拌和完毕后，砂石料池重新堆放后应覆盖，道路应洒水清扫。</w:t>
            </w:r>
          </w:p>
          <w:p w14:paraId="06F6462A">
            <w:pPr>
              <w:spacing w:line="300" w:lineRule="auto"/>
              <w:ind w:firstLine="482"/>
              <w:rPr>
                <w:color w:val="auto"/>
                <w:sz w:val="24"/>
              </w:rPr>
            </w:pPr>
            <w:r>
              <w:rPr>
                <w:color w:val="auto"/>
                <w:sz w:val="24"/>
              </w:rPr>
              <w:t>(</w:t>
            </w:r>
            <w:r>
              <w:rPr>
                <w:rFonts w:hint="eastAsia"/>
                <w:color w:val="auto"/>
                <w:sz w:val="24"/>
              </w:rPr>
              <w:t>5</w:t>
            </w:r>
            <w:r>
              <w:rPr>
                <w:color w:val="auto"/>
                <w:sz w:val="24"/>
              </w:rPr>
              <w:t xml:space="preserve">) </w:t>
            </w:r>
            <w:r>
              <w:rPr>
                <w:rFonts w:hAnsi="宋体"/>
                <w:color w:val="auto"/>
                <w:sz w:val="24"/>
              </w:rPr>
              <w:t>混凝土拌合站临时场站周围按照规范设置密闭围挡。工期在</w:t>
            </w:r>
            <w:r>
              <w:rPr>
                <w:color w:val="auto"/>
                <w:sz w:val="24"/>
              </w:rPr>
              <w:t>30d</w:t>
            </w:r>
            <w:r>
              <w:rPr>
                <w:rFonts w:hAnsi="宋体"/>
                <w:color w:val="auto"/>
                <w:sz w:val="24"/>
              </w:rPr>
              <w:t>以上的设置围墙，工期在</w:t>
            </w:r>
            <w:r>
              <w:rPr>
                <w:color w:val="auto"/>
                <w:sz w:val="24"/>
              </w:rPr>
              <w:t>30d</w:t>
            </w:r>
            <w:r>
              <w:rPr>
                <w:rFonts w:hAnsi="宋体"/>
                <w:color w:val="auto"/>
                <w:sz w:val="24"/>
              </w:rPr>
              <w:t>以内的可设置彩钢围挡，在施工区设置围挡的，其高度不得低于</w:t>
            </w:r>
            <w:r>
              <w:rPr>
                <w:color w:val="auto"/>
                <w:sz w:val="24"/>
              </w:rPr>
              <w:t>2.5m</w:t>
            </w:r>
            <w:r>
              <w:rPr>
                <w:rFonts w:hAnsi="宋体"/>
                <w:color w:val="auto"/>
                <w:sz w:val="24"/>
              </w:rPr>
              <w:t>。</w:t>
            </w:r>
          </w:p>
          <w:p w14:paraId="51B520C5">
            <w:pPr>
              <w:spacing w:line="300" w:lineRule="auto"/>
              <w:ind w:firstLine="480" w:firstLineChars="200"/>
              <w:rPr>
                <w:color w:val="auto"/>
                <w:sz w:val="24"/>
              </w:rPr>
            </w:pPr>
            <w:r>
              <w:rPr>
                <w:color w:val="auto"/>
                <w:sz w:val="24"/>
              </w:rPr>
              <w:t xml:space="preserve">4. </w:t>
            </w:r>
            <w:r>
              <w:rPr>
                <w:rFonts w:hAnsi="宋体"/>
                <w:color w:val="auto"/>
                <w:sz w:val="24"/>
              </w:rPr>
              <w:t>沥青拌合站大气污染防治措施</w:t>
            </w:r>
          </w:p>
          <w:p w14:paraId="764EF3E0">
            <w:pPr>
              <w:spacing w:line="300" w:lineRule="auto"/>
              <w:ind w:firstLine="482"/>
              <w:rPr>
                <w:color w:val="auto"/>
                <w:sz w:val="24"/>
              </w:rPr>
            </w:pPr>
            <w:r>
              <w:rPr>
                <w:color w:val="auto"/>
                <w:sz w:val="24"/>
              </w:rPr>
              <w:t>(</w:t>
            </w:r>
            <w:r>
              <w:rPr>
                <w:rFonts w:hint="eastAsia"/>
                <w:color w:val="auto"/>
                <w:sz w:val="24"/>
              </w:rPr>
              <w:t>1</w:t>
            </w:r>
            <w:r>
              <w:rPr>
                <w:color w:val="auto"/>
                <w:sz w:val="24"/>
              </w:rPr>
              <w:t xml:space="preserve">) </w:t>
            </w:r>
            <w:r>
              <w:rPr>
                <w:rFonts w:hAnsi="宋体"/>
                <w:color w:val="auto"/>
                <w:sz w:val="24"/>
              </w:rPr>
              <w:t>拟建公路沿线设置的</w:t>
            </w:r>
            <w:r>
              <w:rPr>
                <w:color w:val="auto"/>
                <w:sz w:val="24"/>
              </w:rPr>
              <w:t>2</w:t>
            </w:r>
            <w:r>
              <w:rPr>
                <w:rFonts w:hAnsi="宋体"/>
                <w:color w:val="auto"/>
                <w:sz w:val="24"/>
              </w:rPr>
              <w:t>处沥青拌合站避开了沿线环境敏感区，场站周边</w:t>
            </w:r>
            <w:r>
              <w:rPr>
                <w:rFonts w:hint="eastAsia"/>
                <w:color w:val="auto"/>
                <w:sz w:val="24"/>
              </w:rPr>
              <w:t>5</w:t>
            </w:r>
            <w:r>
              <w:rPr>
                <w:color w:val="auto"/>
                <w:sz w:val="24"/>
              </w:rPr>
              <w:t>00m</w:t>
            </w:r>
            <w:r>
              <w:rPr>
                <w:rFonts w:hAnsi="宋体"/>
                <w:color w:val="auto"/>
                <w:sz w:val="24"/>
              </w:rPr>
              <w:t>内均无村庄、学校、医院等环境敏感点，可满足拌合站选址要求。</w:t>
            </w:r>
          </w:p>
          <w:p w14:paraId="1EA0566B">
            <w:pPr>
              <w:spacing w:line="300" w:lineRule="auto"/>
              <w:ind w:firstLine="482"/>
              <w:rPr>
                <w:color w:val="auto"/>
                <w:sz w:val="24"/>
              </w:rPr>
            </w:pPr>
            <w:r>
              <w:rPr>
                <w:color w:val="auto"/>
                <w:sz w:val="24"/>
              </w:rPr>
              <w:t>(</w:t>
            </w:r>
            <w:r>
              <w:rPr>
                <w:rFonts w:hint="eastAsia"/>
                <w:color w:val="auto"/>
                <w:sz w:val="24"/>
              </w:rPr>
              <w:t>2</w:t>
            </w:r>
            <w:r>
              <w:rPr>
                <w:color w:val="auto"/>
                <w:sz w:val="24"/>
              </w:rPr>
              <w:t xml:space="preserve">) </w:t>
            </w:r>
            <w:r>
              <w:rPr>
                <w:rFonts w:hAnsi="宋体"/>
                <w:color w:val="auto"/>
                <w:sz w:val="24"/>
              </w:rPr>
              <w:t>本项目采用先进的沥青混凝土拌合装置，配备除尘设备和沥青烟净化和排放设施。沥青的</w:t>
            </w:r>
            <w:r>
              <w:rPr>
                <w:rFonts w:hint="eastAsia" w:hAnsi="宋体"/>
                <w:color w:val="auto"/>
                <w:sz w:val="24"/>
                <w:lang w:eastAsia="zh-CN"/>
              </w:rPr>
              <w:t>溶化</w:t>
            </w:r>
            <w:r>
              <w:rPr>
                <w:rFonts w:hAnsi="宋体"/>
                <w:color w:val="auto"/>
                <w:sz w:val="24"/>
              </w:rPr>
              <w:t>、搅拌均在密封的容器中作业，不得使用敞开式简易方法加热沥青。</w:t>
            </w:r>
          </w:p>
          <w:p w14:paraId="168EB6FC">
            <w:pPr>
              <w:pStyle w:val="56"/>
              <w:jc w:val="both"/>
              <w:rPr>
                <w:rFonts w:ascii="Times New Roman" w:hAnsi="Times New Roman" w:cs="Times New Roman"/>
                <w:color w:val="auto"/>
              </w:rPr>
            </w:pPr>
            <w:r>
              <w:rPr>
                <w:rFonts w:ascii="Times New Roman" w:hAnsi="Times New Roman" w:cs="Times New Roman"/>
                <w:color w:val="auto"/>
              </w:rPr>
              <w:t>(</w:t>
            </w:r>
            <w:r>
              <w:rPr>
                <w:rFonts w:hint="eastAsia" w:ascii="Times New Roman" w:hAnsi="Times New Roman" w:cs="Times New Roman"/>
                <w:color w:val="auto"/>
              </w:rPr>
              <w:t>3</w:t>
            </w:r>
            <w:r>
              <w:rPr>
                <w:rFonts w:ascii="Times New Roman" w:hAnsi="Times New Roman" w:cs="Times New Roman"/>
                <w:color w:val="auto"/>
              </w:rPr>
              <w:t xml:space="preserve">) </w:t>
            </w:r>
            <w:r>
              <w:rPr>
                <w:rFonts w:ascii="Times New Roman" w:cs="Times New Roman"/>
                <w:color w:val="auto"/>
              </w:rPr>
              <w:t>沥青拌合站烘干炉燃烧产生的废气采用布袋除尘器处理后通过</w:t>
            </w:r>
            <w:r>
              <w:rPr>
                <w:rFonts w:ascii="Times New Roman" w:hAnsi="Times New Roman" w:cs="Times New Roman"/>
                <w:color w:val="auto"/>
              </w:rPr>
              <w:t>15m</w:t>
            </w:r>
            <w:r>
              <w:rPr>
                <w:rFonts w:ascii="Times New Roman" w:cs="Times New Roman"/>
                <w:color w:val="auto"/>
              </w:rPr>
              <w:t>高的排气筒排放，颗粒物、二氧化硫及氮氧化物等指标均能满足《大气污染物综合排放标准》相应标准要求，从而实现污染物均达标排放。</w:t>
            </w:r>
          </w:p>
          <w:p w14:paraId="0A8C276B">
            <w:pPr>
              <w:pStyle w:val="56"/>
              <w:jc w:val="both"/>
              <w:rPr>
                <w:rFonts w:ascii="Times New Roman" w:hAnsi="Times New Roman" w:cs="Times New Roman"/>
                <w:color w:val="auto"/>
              </w:rPr>
            </w:pPr>
            <w:r>
              <w:rPr>
                <w:rFonts w:ascii="Times New Roman" w:hAnsi="Times New Roman" w:cs="Times New Roman"/>
                <w:color w:val="auto"/>
              </w:rPr>
              <w:t>(</w:t>
            </w:r>
            <w:r>
              <w:rPr>
                <w:rFonts w:hint="eastAsia" w:ascii="Times New Roman" w:hAnsi="Times New Roman" w:cs="Times New Roman"/>
                <w:color w:val="auto"/>
              </w:rPr>
              <w:t>4</w:t>
            </w:r>
            <w:r>
              <w:rPr>
                <w:rFonts w:ascii="Times New Roman" w:hAnsi="Times New Roman" w:cs="Times New Roman"/>
                <w:color w:val="auto"/>
              </w:rPr>
              <w:t xml:space="preserve">) </w:t>
            </w:r>
            <w:r>
              <w:rPr>
                <w:rFonts w:ascii="Times New Roman" w:cs="Times New Roman"/>
                <w:color w:val="auto"/>
              </w:rPr>
              <w:t>沥青加热用导热油炉废气经不低于</w:t>
            </w:r>
            <w:r>
              <w:rPr>
                <w:rFonts w:ascii="Times New Roman" w:hAnsi="Times New Roman" w:cs="Times New Roman"/>
                <w:color w:val="auto"/>
              </w:rPr>
              <w:t>8m</w:t>
            </w:r>
            <w:r>
              <w:rPr>
                <w:rFonts w:ascii="Times New Roman" w:cs="Times New Roman"/>
                <w:color w:val="auto"/>
              </w:rPr>
              <w:t>高的排气筒排放，污染物满足《锅炉大气污染物排放标准》（</w:t>
            </w:r>
            <w:r>
              <w:rPr>
                <w:rFonts w:ascii="Times New Roman" w:hAnsi="Times New Roman" w:cs="Times New Roman"/>
                <w:color w:val="auto"/>
              </w:rPr>
              <w:t>GB13271-2014</w:t>
            </w:r>
            <w:r>
              <w:rPr>
                <w:rFonts w:ascii="Times New Roman" w:cs="Times New Roman"/>
                <w:color w:val="auto"/>
              </w:rPr>
              <w:t>）中燃油锅炉排放标准，从而实现污染物均达标排放。</w:t>
            </w:r>
          </w:p>
          <w:p w14:paraId="4769E892">
            <w:pPr>
              <w:spacing w:line="300" w:lineRule="auto"/>
              <w:ind w:firstLine="482"/>
              <w:rPr>
                <w:color w:val="auto"/>
                <w:kern w:val="0"/>
                <w:sz w:val="24"/>
              </w:rPr>
            </w:pPr>
            <w:r>
              <w:rPr>
                <w:color w:val="auto"/>
                <w:sz w:val="24"/>
              </w:rPr>
              <w:t>(</w:t>
            </w:r>
            <w:r>
              <w:rPr>
                <w:rFonts w:hint="eastAsia"/>
                <w:color w:val="auto"/>
                <w:sz w:val="24"/>
              </w:rPr>
              <w:t>5</w:t>
            </w:r>
            <w:r>
              <w:rPr>
                <w:color w:val="auto"/>
                <w:sz w:val="24"/>
              </w:rPr>
              <w:t xml:space="preserve">) </w:t>
            </w:r>
            <w:r>
              <w:rPr>
                <w:rFonts w:hAnsi="宋体"/>
                <w:color w:val="auto"/>
                <w:sz w:val="24"/>
              </w:rPr>
              <w:t>沥青拌合站内沥青的存放、加热、使用均应在密闭环境下完成，并设置除尘设备，外排沥青烟很少。沥青储罐呼吸口及搅拌机、出料口产生的沥青烟气经吸风管道</w:t>
            </w:r>
            <w:r>
              <w:rPr>
                <w:color w:val="auto"/>
                <w:sz w:val="24"/>
              </w:rPr>
              <w:t>/</w:t>
            </w:r>
            <w:r>
              <w:rPr>
                <w:rFonts w:hAnsi="宋体"/>
                <w:color w:val="auto"/>
                <w:sz w:val="24"/>
              </w:rPr>
              <w:t>负压收集后引入主燃烧器燃烧处理装置进行处理，处理后的沥青烟气与主燃烧器产生的燃烧废气一起</w:t>
            </w:r>
            <w:r>
              <w:rPr>
                <w:rFonts w:hAnsi="宋体"/>
                <w:color w:val="auto"/>
                <w:kern w:val="0"/>
                <w:sz w:val="24"/>
              </w:rPr>
              <w:t>采用电捕焦油</w:t>
            </w:r>
            <w:r>
              <w:rPr>
                <w:color w:val="auto"/>
                <w:kern w:val="0"/>
                <w:sz w:val="24"/>
              </w:rPr>
              <w:t>+</w:t>
            </w:r>
            <w:r>
              <w:rPr>
                <w:rFonts w:hAnsi="宋体"/>
                <w:color w:val="auto"/>
                <w:kern w:val="0"/>
                <w:sz w:val="24"/>
              </w:rPr>
              <w:t>活性炭吸附处置后通过</w:t>
            </w:r>
            <w:r>
              <w:rPr>
                <w:color w:val="auto"/>
                <w:kern w:val="0"/>
                <w:sz w:val="24"/>
              </w:rPr>
              <w:t>15m</w:t>
            </w:r>
            <w:r>
              <w:rPr>
                <w:rFonts w:hAnsi="宋体"/>
                <w:color w:val="auto"/>
                <w:kern w:val="0"/>
                <w:sz w:val="24"/>
              </w:rPr>
              <w:t>高排气筒排放，</w:t>
            </w:r>
            <w:r>
              <w:rPr>
                <w:rFonts w:hAnsi="宋体"/>
                <w:color w:val="auto"/>
                <w:sz w:val="24"/>
              </w:rPr>
              <w:t>对沥青烟、苯并</w:t>
            </w:r>
            <w:r>
              <w:rPr>
                <w:color w:val="auto"/>
                <w:sz w:val="24"/>
              </w:rPr>
              <w:t>[a]</w:t>
            </w:r>
            <w:r>
              <w:rPr>
                <w:rFonts w:hAnsi="宋体"/>
                <w:color w:val="auto"/>
                <w:sz w:val="24"/>
              </w:rPr>
              <w:t>芘的去除效率均在</w:t>
            </w:r>
            <w:r>
              <w:rPr>
                <w:color w:val="auto"/>
                <w:sz w:val="24"/>
              </w:rPr>
              <w:t>96%</w:t>
            </w:r>
            <w:r>
              <w:rPr>
                <w:rFonts w:hAnsi="宋体"/>
                <w:color w:val="auto"/>
                <w:sz w:val="24"/>
              </w:rPr>
              <w:t>以上，</w:t>
            </w:r>
            <w:r>
              <w:rPr>
                <w:rFonts w:hAnsi="宋体"/>
                <w:color w:val="auto"/>
                <w:kern w:val="0"/>
                <w:sz w:val="24"/>
              </w:rPr>
              <w:t>沥青烟和</w:t>
            </w:r>
            <w:r>
              <w:rPr>
                <w:rFonts w:hAnsi="宋体"/>
                <w:color w:val="auto"/>
                <w:sz w:val="24"/>
              </w:rPr>
              <w:t>苯并</w:t>
            </w:r>
            <w:r>
              <w:rPr>
                <w:color w:val="auto"/>
                <w:sz w:val="24"/>
              </w:rPr>
              <w:t>[a]</w:t>
            </w:r>
            <w:r>
              <w:rPr>
                <w:rFonts w:hAnsi="宋体"/>
                <w:color w:val="auto"/>
                <w:sz w:val="24"/>
              </w:rPr>
              <w:t>芘</w:t>
            </w:r>
            <w:r>
              <w:rPr>
                <w:rFonts w:hAnsi="宋体"/>
                <w:color w:val="auto"/>
                <w:kern w:val="0"/>
                <w:sz w:val="24"/>
              </w:rPr>
              <w:t>排放满足《大气污染物综合排放标准》（</w:t>
            </w:r>
            <w:r>
              <w:rPr>
                <w:color w:val="auto"/>
                <w:kern w:val="0"/>
                <w:sz w:val="24"/>
              </w:rPr>
              <w:t>GB16297-1996</w:t>
            </w:r>
            <w:r>
              <w:rPr>
                <w:rFonts w:hAnsi="宋体"/>
                <w:color w:val="auto"/>
                <w:kern w:val="0"/>
                <w:sz w:val="24"/>
              </w:rPr>
              <w:t>）的二级标准要求。</w:t>
            </w:r>
            <w:r>
              <w:rPr>
                <w:rFonts w:hAnsi="宋体"/>
                <w:color w:val="auto"/>
                <w:sz w:val="24"/>
              </w:rPr>
              <w:t>电捕焦油器对沥青烟和苯并</w:t>
            </w:r>
            <w:r>
              <w:rPr>
                <w:color w:val="auto"/>
                <w:sz w:val="24"/>
              </w:rPr>
              <w:t>[a]</w:t>
            </w:r>
            <w:r>
              <w:rPr>
                <w:rFonts w:hAnsi="宋体"/>
                <w:color w:val="auto"/>
                <w:sz w:val="24"/>
              </w:rPr>
              <w:t>芘的处理作用依据高压静电场的物理原理，可使沥青烟中的焦油与沥青液滴带电，进而将其捕集，对沥青烟有明显的净化效果。虽然其对苯并</w:t>
            </w:r>
            <w:r>
              <w:rPr>
                <w:color w:val="auto"/>
                <w:sz w:val="24"/>
              </w:rPr>
              <w:t>[a]</w:t>
            </w:r>
            <w:r>
              <w:rPr>
                <w:rFonts w:hAnsi="宋体"/>
                <w:color w:val="auto"/>
                <w:sz w:val="24"/>
              </w:rPr>
              <w:t>芘的净化效率相对有限，但仍可使排放浓度有所降低，经电捕焦油器处理后，苯并</w:t>
            </w:r>
            <w:r>
              <w:rPr>
                <w:color w:val="auto"/>
                <w:sz w:val="24"/>
              </w:rPr>
              <w:t>[a]</w:t>
            </w:r>
            <w:r>
              <w:rPr>
                <w:rFonts w:hAnsi="宋体"/>
                <w:color w:val="auto"/>
                <w:sz w:val="24"/>
              </w:rPr>
              <w:t>芘排放浓度可降至</w:t>
            </w:r>
            <w:r>
              <w:rPr>
                <w:color w:val="auto"/>
                <w:sz w:val="24"/>
              </w:rPr>
              <w:t>0.03-0.1mg/Nm</w:t>
            </w:r>
            <w:r>
              <w:rPr>
                <w:color w:val="auto"/>
                <w:sz w:val="24"/>
                <w:vertAlign w:val="superscript"/>
              </w:rPr>
              <w:t>3</w:t>
            </w:r>
            <w:r>
              <w:rPr>
                <w:rFonts w:hAnsi="宋体"/>
                <w:color w:val="auto"/>
                <w:sz w:val="24"/>
              </w:rPr>
              <w:t>。活性炭吸附对沥青烟和苯并</w:t>
            </w:r>
            <w:r>
              <w:rPr>
                <w:color w:val="auto"/>
                <w:sz w:val="24"/>
              </w:rPr>
              <w:t>[a]</w:t>
            </w:r>
            <w:r>
              <w:rPr>
                <w:rFonts w:hAnsi="宋体"/>
                <w:color w:val="auto"/>
                <w:sz w:val="24"/>
              </w:rPr>
              <w:t>芘的处理作用为活性炭具有巨大的比表面积和发达的孔隙结构，依靠分子间范德华力可吸附污染物，对于非极性或弱极性有机物，如沥青烟气中的多环芳烃（包括苯并</w:t>
            </w:r>
            <w:r>
              <w:rPr>
                <w:color w:val="auto"/>
                <w:sz w:val="24"/>
              </w:rPr>
              <w:t>[a]</w:t>
            </w:r>
            <w:r>
              <w:rPr>
                <w:rFonts w:hAnsi="宋体"/>
                <w:color w:val="auto"/>
                <w:sz w:val="24"/>
              </w:rPr>
              <w:t>芘）有良好的吸附效果。同时活性炭表面含氧官能团可与污染物发生化学反应，进一步增强对苯并</w:t>
            </w:r>
            <w:r>
              <w:rPr>
                <w:color w:val="auto"/>
                <w:sz w:val="24"/>
              </w:rPr>
              <w:t>[a]</w:t>
            </w:r>
            <w:r>
              <w:rPr>
                <w:rFonts w:hAnsi="宋体"/>
                <w:color w:val="auto"/>
                <w:sz w:val="24"/>
              </w:rPr>
              <w:t>芘等的吸附与降解能力。实际应用中，可将活性炭作为二级净化单元与电捕焦油器联用，有效降低了沥青烟等污染物浓度。</w:t>
            </w:r>
          </w:p>
          <w:p w14:paraId="634E2C95">
            <w:pPr>
              <w:spacing w:line="300" w:lineRule="auto"/>
              <w:ind w:firstLine="482"/>
              <w:rPr>
                <w:color w:val="auto"/>
                <w:sz w:val="24"/>
              </w:rPr>
            </w:pPr>
            <w:r>
              <w:rPr>
                <w:color w:val="auto"/>
                <w:sz w:val="24"/>
              </w:rPr>
              <w:t>(</w:t>
            </w:r>
            <w:r>
              <w:rPr>
                <w:rFonts w:hint="eastAsia"/>
                <w:color w:val="auto"/>
                <w:sz w:val="24"/>
              </w:rPr>
              <w:t>6</w:t>
            </w:r>
            <w:r>
              <w:rPr>
                <w:color w:val="auto"/>
                <w:sz w:val="24"/>
              </w:rPr>
              <w:t xml:space="preserve">) </w:t>
            </w:r>
            <w:r>
              <w:rPr>
                <w:rFonts w:hAnsi="宋体"/>
                <w:color w:val="auto"/>
                <w:sz w:val="24"/>
              </w:rPr>
              <w:t>沥青拌合站临时场站四周必须设置封闭围挡，围挡材料应选用砌体等硬性材料，并做到坚固、稳定、整洁、美观。</w:t>
            </w:r>
          </w:p>
          <w:p w14:paraId="5F51E05D">
            <w:pPr>
              <w:spacing w:line="300" w:lineRule="auto"/>
              <w:ind w:firstLine="482"/>
              <w:rPr>
                <w:rFonts w:hint="eastAsia" w:hAnsi="宋体"/>
                <w:color w:val="auto"/>
                <w:sz w:val="24"/>
              </w:rPr>
            </w:pPr>
            <w:r>
              <w:rPr>
                <w:color w:val="auto"/>
                <w:sz w:val="24"/>
              </w:rPr>
              <w:t>(</w:t>
            </w:r>
            <w:r>
              <w:rPr>
                <w:rFonts w:hint="eastAsia"/>
                <w:color w:val="auto"/>
                <w:sz w:val="24"/>
              </w:rPr>
              <w:t>7</w:t>
            </w:r>
            <w:r>
              <w:rPr>
                <w:color w:val="auto"/>
                <w:sz w:val="24"/>
              </w:rPr>
              <w:t xml:space="preserve">) </w:t>
            </w:r>
            <w:r>
              <w:rPr>
                <w:rFonts w:hAnsi="宋体"/>
                <w:color w:val="auto"/>
                <w:sz w:val="24"/>
              </w:rPr>
              <w:t>骨料堆场采取防风防雨防泄漏的全封闭式堆棚，并在物料堆场定期喷淋洒水，增加物料表面湿度。</w:t>
            </w:r>
          </w:p>
          <w:p w14:paraId="13D25EF1">
            <w:pPr>
              <w:spacing w:line="300" w:lineRule="auto"/>
              <w:ind w:firstLine="480" w:firstLineChars="200"/>
              <w:rPr>
                <w:color w:val="auto"/>
                <w:sz w:val="24"/>
              </w:rPr>
            </w:pPr>
            <w:r>
              <w:rPr>
                <w:rFonts w:hint="eastAsia"/>
                <w:color w:val="auto"/>
                <w:sz w:val="24"/>
              </w:rPr>
              <w:t>5</w:t>
            </w:r>
            <w:r>
              <w:rPr>
                <w:color w:val="auto"/>
                <w:sz w:val="24"/>
              </w:rPr>
              <w:t xml:space="preserve">. </w:t>
            </w:r>
            <w:r>
              <w:rPr>
                <w:rFonts w:hAnsi="宋体"/>
                <w:color w:val="auto"/>
                <w:sz w:val="24"/>
              </w:rPr>
              <w:t>沥青摊铺大气污染防治措施</w:t>
            </w:r>
          </w:p>
          <w:p w14:paraId="220A51E7">
            <w:pPr>
              <w:spacing w:line="300" w:lineRule="auto"/>
              <w:ind w:firstLine="482"/>
              <w:rPr>
                <w:color w:val="auto"/>
                <w:sz w:val="24"/>
              </w:rPr>
            </w:pPr>
            <w:r>
              <w:rPr>
                <w:color w:val="auto"/>
                <w:sz w:val="24"/>
              </w:rPr>
              <w:t>(</w:t>
            </w:r>
            <w:r>
              <w:rPr>
                <w:rFonts w:hint="eastAsia"/>
                <w:color w:val="auto"/>
                <w:sz w:val="24"/>
              </w:rPr>
              <w:t>1</w:t>
            </w:r>
            <w:r>
              <w:rPr>
                <w:color w:val="auto"/>
                <w:sz w:val="24"/>
              </w:rPr>
              <w:t xml:space="preserve">) </w:t>
            </w:r>
            <w:r>
              <w:rPr>
                <w:rFonts w:hAnsi="宋体"/>
                <w:color w:val="auto"/>
                <w:sz w:val="24"/>
              </w:rPr>
              <w:t>沥青摊铺作业机械有良好的密封性，沥青摊铺时选择大气扩散条件好的时段，减轻摊铺时烟气对沿线敏感点的影响。</w:t>
            </w:r>
          </w:p>
          <w:p w14:paraId="3D247C2D">
            <w:pPr>
              <w:spacing w:line="300" w:lineRule="auto"/>
              <w:ind w:firstLine="482"/>
              <w:rPr>
                <w:color w:val="auto"/>
                <w:sz w:val="24"/>
              </w:rPr>
            </w:pPr>
            <w:r>
              <w:rPr>
                <w:color w:val="auto"/>
                <w:sz w:val="24"/>
              </w:rPr>
              <w:t>(</w:t>
            </w:r>
            <w:r>
              <w:rPr>
                <w:rFonts w:hint="eastAsia"/>
                <w:color w:val="auto"/>
                <w:sz w:val="24"/>
              </w:rPr>
              <w:t>2</w:t>
            </w:r>
            <w:r>
              <w:rPr>
                <w:color w:val="auto"/>
                <w:sz w:val="24"/>
              </w:rPr>
              <w:t xml:space="preserve">) </w:t>
            </w:r>
            <w:r>
              <w:rPr>
                <w:rFonts w:hAnsi="宋体"/>
                <w:color w:val="auto"/>
                <w:sz w:val="24"/>
              </w:rPr>
              <w:t>对沥青摊铺的操作人员实行卫生防护，为其配备口罩、风镜等，加强劳动保护，使其身体伤害减至</w:t>
            </w:r>
            <w:r>
              <w:rPr>
                <w:rFonts w:hint="eastAsia" w:hAnsi="宋体"/>
                <w:color w:val="auto"/>
                <w:sz w:val="24"/>
                <w:lang w:eastAsia="zh-CN"/>
              </w:rPr>
              <w:t>最低</w:t>
            </w:r>
            <w:r>
              <w:rPr>
                <w:rFonts w:hAnsi="宋体"/>
                <w:color w:val="auto"/>
                <w:sz w:val="24"/>
              </w:rPr>
              <w:t>程度。</w:t>
            </w:r>
          </w:p>
          <w:p w14:paraId="2677E8AE">
            <w:pPr>
              <w:spacing w:line="300" w:lineRule="auto"/>
              <w:ind w:firstLine="480" w:firstLineChars="200"/>
              <w:rPr>
                <w:color w:val="auto"/>
                <w:sz w:val="24"/>
              </w:rPr>
            </w:pPr>
            <w:r>
              <w:rPr>
                <w:color w:val="auto"/>
                <w:sz w:val="24"/>
              </w:rPr>
              <w:t>(</w:t>
            </w:r>
            <w:r>
              <w:rPr>
                <w:rFonts w:hint="eastAsia"/>
                <w:color w:val="auto"/>
                <w:sz w:val="24"/>
              </w:rPr>
              <w:t>3</w:t>
            </w:r>
            <w:r>
              <w:rPr>
                <w:color w:val="auto"/>
                <w:sz w:val="24"/>
              </w:rPr>
              <w:t xml:space="preserve">) </w:t>
            </w:r>
            <w:r>
              <w:rPr>
                <w:rFonts w:hAnsi="宋体"/>
                <w:color w:val="auto"/>
                <w:sz w:val="24"/>
              </w:rPr>
              <w:t>沥青摊铺时应尽量避免风向面对环境敏感点的时段，避开居民出入高峰期，采取设置警告标识要求避让等相应防护措施，并尽量在保证质量的前提下缩短施工时间。</w:t>
            </w:r>
          </w:p>
          <w:p w14:paraId="207D1ACD">
            <w:pPr>
              <w:spacing w:line="300" w:lineRule="auto"/>
              <w:ind w:firstLine="480" w:firstLineChars="200"/>
              <w:rPr>
                <w:color w:val="auto"/>
                <w:sz w:val="24"/>
              </w:rPr>
            </w:pPr>
            <w:r>
              <w:rPr>
                <w:rFonts w:hint="eastAsia"/>
                <w:bCs/>
                <w:color w:val="auto"/>
                <w:sz w:val="24"/>
              </w:rPr>
              <w:t>6</w:t>
            </w:r>
            <w:r>
              <w:rPr>
                <w:bCs/>
                <w:color w:val="auto"/>
                <w:sz w:val="24"/>
              </w:rPr>
              <w:t xml:space="preserve">. </w:t>
            </w:r>
            <w:r>
              <w:rPr>
                <w:rFonts w:hAnsi="宋体"/>
                <w:color w:val="auto"/>
                <w:sz w:val="24"/>
              </w:rPr>
              <w:t>其它管理措施</w:t>
            </w:r>
          </w:p>
          <w:p w14:paraId="16C00CA6">
            <w:pPr>
              <w:spacing w:line="300" w:lineRule="auto"/>
              <w:ind w:firstLine="480"/>
              <w:rPr>
                <w:color w:val="auto"/>
                <w:sz w:val="24"/>
              </w:rPr>
            </w:pPr>
            <w:r>
              <w:rPr>
                <w:color w:val="auto"/>
                <w:sz w:val="24"/>
              </w:rPr>
              <w:t xml:space="preserve">(1) </w:t>
            </w:r>
            <w:r>
              <w:rPr>
                <w:rFonts w:hAnsi="宋体"/>
                <w:color w:val="auto"/>
                <w:sz w:val="24"/>
              </w:rPr>
              <w:t>施工期间，当地生态环境局应加大监管力度，督促建设单位、施工单位严格落实各项降尘措施，减轻扬尘污染，减少各种环境纠纷。设单位应责成施工单位在施工现场标明张布通告和投诉电话，建设单位在接到报案后应及时与当地环保部门取得联系，以便及时处理由扬尘引起的扰民事件。</w:t>
            </w:r>
          </w:p>
          <w:p w14:paraId="73D775A5">
            <w:pPr>
              <w:autoSpaceDE w:val="0"/>
              <w:autoSpaceDN w:val="0"/>
              <w:adjustRightInd w:val="0"/>
              <w:spacing w:after="120" w:afterLines="50" w:line="300" w:lineRule="auto"/>
              <w:ind w:firstLine="480" w:firstLineChars="200"/>
              <w:rPr>
                <w:color w:val="auto"/>
                <w:kern w:val="0"/>
                <w:sz w:val="24"/>
              </w:rPr>
            </w:pPr>
            <w:r>
              <w:rPr>
                <w:color w:val="auto"/>
                <w:sz w:val="24"/>
              </w:rPr>
              <w:t>(</w:t>
            </w:r>
            <w:r>
              <w:rPr>
                <w:rFonts w:hint="eastAsia"/>
                <w:color w:val="auto"/>
                <w:sz w:val="24"/>
              </w:rPr>
              <w:t>2</w:t>
            </w:r>
            <w:r>
              <w:rPr>
                <w:color w:val="auto"/>
                <w:sz w:val="24"/>
              </w:rPr>
              <w:t xml:space="preserve">) </w:t>
            </w:r>
            <w:r>
              <w:rPr>
                <w:rFonts w:hAnsi="宋体"/>
                <w:color w:val="auto"/>
                <w:sz w:val="24"/>
              </w:rPr>
              <w:t>施工期间，实施施工期环境空气监测计划，距离施工场地较近的保护目标的环境空气质量抽样监测，视监测结果采取加强洒水强度（主要是洒水次数）等降尘措施。地方生态环境主管部门应加大监管力度，及时发现、制止因施工不当、环保措施不落实等原因引起的环境问题，促使施工单位文明施工、严格执行环保措施，降低施工期间对沿线村民生活生产的不利影响</w:t>
            </w:r>
            <w:r>
              <w:rPr>
                <w:color w:val="auto"/>
                <w:kern w:val="0"/>
                <w:sz w:val="24"/>
              </w:rPr>
              <w:t>。</w:t>
            </w:r>
          </w:p>
          <w:p w14:paraId="2BC93C58">
            <w:pPr>
              <w:adjustRightInd w:val="0"/>
              <w:spacing w:line="300" w:lineRule="auto"/>
              <w:rPr>
                <w:b/>
                <w:bCs/>
                <w:color w:val="auto"/>
                <w:spacing w:val="10"/>
                <w:sz w:val="24"/>
              </w:rPr>
            </w:pPr>
            <w:r>
              <w:rPr>
                <w:b/>
                <w:bCs/>
                <w:color w:val="auto"/>
                <w:spacing w:val="10"/>
                <w:sz w:val="24"/>
              </w:rPr>
              <w:t>2. 声环境保护措施</w:t>
            </w:r>
          </w:p>
          <w:p w14:paraId="2FAF0E90">
            <w:pPr>
              <w:spacing w:line="300" w:lineRule="auto"/>
              <w:ind w:firstLine="480" w:firstLineChars="200"/>
              <w:rPr>
                <w:color w:val="auto"/>
                <w:sz w:val="24"/>
              </w:rPr>
            </w:pPr>
            <w:r>
              <w:rPr>
                <w:rFonts w:hint="eastAsia"/>
                <w:color w:val="auto"/>
                <w:sz w:val="24"/>
              </w:rPr>
              <w:t xml:space="preserve">(1) </w:t>
            </w:r>
            <w:r>
              <w:rPr>
                <w:color w:val="auto"/>
                <w:sz w:val="24"/>
              </w:rPr>
              <w:t>施工期应尽量选用低噪声的施工机械和工艺，并加强各类施工设备的维护和保养，降低噪声源强。</w:t>
            </w:r>
            <w:r>
              <w:rPr>
                <w:rFonts w:hint="eastAsia"/>
                <w:color w:val="auto"/>
                <w:sz w:val="24"/>
                <w:szCs w:val="22"/>
              </w:rPr>
              <w:t>对振动较大的固定设备应加装减振基座，对发电机等强固定噪声源应加装隔声罩或可移动全封闭隔声罩。同时，必须加强所有施工设备和车辆的维护保养，确保其良好运行状态。</w:t>
            </w:r>
          </w:p>
          <w:p w14:paraId="2EFEA0C3">
            <w:pPr>
              <w:spacing w:line="300" w:lineRule="auto"/>
              <w:ind w:firstLine="480" w:firstLineChars="200"/>
              <w:rPr>
                <w:color w:val="auto"/>
                <w:sz w:val="24"/>
              </w:rPr>
            </w:pPr>
            <w:r>
              <w:rPr>
                <w:rFonts w:hint="eastAsia"/>
                <w:color w:val="auto"/>
                <w:sz w:val="24"/>
              </w:rPr>
              <w:t>(2) 建设单位应在沿线各施工标段设置公众投诉电话，对投诉问题业主应及时会同当地生态环境</w:t>
            </w:r>
            <w:r>
              <w:rPr>
                <w:rFonts w:hint="eastAsia"/>
                <w:color w:val="auto"/>
                <w:sz w:val="24"/>
                <w:lang w:val="en-US" w:eastAsia="zh-CN"/>
              </w:rPr>
              <w:t>主管</w:t>
            </w:r>
            <w:r>
              <w:rPr>
                <w:rFonts w:hint="eastAsia"/>
                <w:color w:val="auto"/>
                <w:sz w:val="24"/>
              </w:rPr>
              <w:t>部门给予解决，以免产生环保纠纷</w:t>
            </w:r>
            <w:r>
              <w:rPr>
                <w:color w:val="auto"/>
                <w:sz w:val="24"/>
              </w:rPr>
              <w:t>。</w:t>
            </w:r>
          </w:p>
          <w:p w14:paraId="5A78640E">
            <w:pPr>
              <w:spacing w:line="300" w:lineRule="auto"/>
              <w:ind w:firstLine="480" w:firstLineChars="200"/>
              <w:rPr>
                <w:color w:val="auto"/>
                <w:sz w:val="24"/>
              </w:rPr>
            </w:pPr>
            <w:r>
              <w:rPr>
                <w:rFonts w:hint="eastAsia"/>
                <w:color w:val="auto"/>
                <w:sz w:val="24"/>
              </w:rPr>
              <w:t xml:space="preserve">(3) </w:t>
            </w:r>
            <w:r>
              <w:rPr>
                <w:color w:val="auto"/>
                <w:sz w:val="24"/>
                <w:szCs w:val="22"/>
              </w:rPr>
              <w:t>充分利用清晨课前、放学后及周末、节假日等非教学窗口期，统筹安排</w:t>
            </w:r>
            <w:r>
              <w:rPr>
                <w:rFonts w:hint="eastAsia"/>
                <w:color w:val="auto"/>
                <w:sz w:val="24"/>
                <w:szCs w:val="22"/>
              </w:rPr>
              <w:t>路基开挖、</w:t>
            </w:r>
            <w:r>
              <w:rPr>
                <w:color w:val="auto"/>
                <w:sz w:val="24"/>
                <w:szCs w:val="22"/>
              </w:rPr>
              <w:t>路面碾压、</w:t>
            </w:r>
            <w:r>
              <w:rPr>
                <w:rFonts w:hint="eastAsia"/>
                <w:color w:val="auto"/>
                <w:sz w:val="24"/>
                <w:szCs w:val="22"/>
              </w:rPr>
              <w:t>破碎等强振动、高噪声</w:t>
            </w:r>
            <w:r>
              <w:rPr>
                <w:color w:val="auto"/>
                <w:sz w:val="24"/>
                <w:szCs w:val="22"/>
              </w:rPr>
              <w:t>施工工序，最大化降低施工工期与教学时段的冲突。</w:t>
            </w:r>
            <w:r>
              <w:rPr>
                <w:rFonts w:hint="eastAsia"/>
                <w:color w:val="auto"/>
                <w:sz w:val="24"/>
                <w:szCs w:val="22"/>
              </w:rPr>
              <w:t>教学日期间，严禁在上课（</w:t>
            </w:r>
            <w:r>
              <w:rPr>
                <w:color w:val="auto"/>
                <w:sz w:val="24"/>
                <w:szCs w:val="22"/>
              </w:rPr>
              <w:t>常规09:00-1</w:t>
            </w:r>
            <w:r>
              <w:rPr>
                <w:rFonts w:hint="eastAsia"/>
                <w:color w:val="auto"/>
                <w:sz w:val="24"/>
                <w:szCs w:val="22"/>
              </w:rPr>
              <w:t>3</w:t>
            </w:r>
            <w:r>
              <w:rPr>
                <w:color w:val="auto"/>
                <w:sz w:val="24"/>
                <w:szCs w:val="22"/>
              </w:rPr>
              <w:t>:00、1</w:t>
            </w:r>
            <w:r>
              <w:rPr>
                <w:rFonts w:hint="eastAsia"/>
                <w:color w:val="auto"/>
                <w:sz w:val="24"/>
                <w:szCs w:val="22"/>
              </w:rPr>
              <w:t>5</w:t>
            </w:r>
            <w:r>
              <w:rPr>
                <w:color w:val="auto"/>
                <w:sz w:val="24"/>
                <w:szCs w:val="22"/>
              </w:rPr>
              <w:t>:00-1</w:t>
            </w:r>
            <w:r>
              <w:rPr>
                <w:rFonts w:hint="eastAsia"/>
                <w:color w:val="auto"/>
                <w:sz w:val="24"/>
                <w:szCs w:val="22"/>
              </w:rPr>
              <w:t>9</w:t>
            </w:r>
            <w:r>
              <w:rPr>
                <w:color w:val="auto"/>
                <w:sz w:val="24"/>
                <w:szCs w:val="22"/>
              </w:rPr>
              <w:t>:00，</w:t>
            </w:r>
            <w:r>
              <w:rPr>
                <w:rFonts w:hint="eastAsia"/>
                <w:color w:val="auto"/>
                <w:sz w:val="24"/>
                <w:szCs w:val="22"/>
              </w:rPr>
              <w:t>尤其考试）时段进行打桩、</w:t>
            </w:r>
            <w:r>
              <w:rPr>
                <w:color w:val="auto"/>
                <w:sz w:val="24"/>
                <w:szCs w:val="22"/>
              </w:rPr>
              <w:t>破碎、振捣、切割、桩基施工、大型机械碾压</w:t>
            </w:r>
            <w:r>
              <w:rPr>
                <w:rFonts w:hint="eastAsia"/>
                <w:color w:val="auto"/>
                <w:sz w:val="24"/>
                <w:szCs w:val="22"/>
              </w:rPr>
              <w:t>等作业。</w:t>
            </w:r>
            <w:r>
              <w:rPr>
                <w:color w:val="auto"/>
                <w:sz w:val="24"/>
                <w:szCs w:val="22"/>
              </w:rPr>
              <w:t>学校课间休息时段，严控施工噪声强度，禁止突发式、冲击式高噪声作业，避免噪声骤变干扰学生休息。</w:t>
            </w:r>
            <w:r>
              <w:rPr>
                <w:rFonts w:hint="eastAsia"/>
                <w:color w:val="auto"/>
                <w:sz w:val="24"/>
                <w:szCs w:val="22"/>
              </w:rPr>
              <w:t>物料运输应避开学生上下学高峰。</w:t>
            </w:r>
          </w:p>
          <w:p w14:paraId="4F2FC3AD">
            <w:pPr>
              <w:spacing w:line="300" w:lineRule="auto"/>
              <w:ind w:firstLine="480" w:firstLineChars="200"/>
              <w:rPr>
                <w:color w:val="auto"/>
                <w:sz w:val="24"/>
              </w:rPr>
            </w:pPr>
            <w:r>
              <w:rPr>
                <w:rFonts w:hint="eastAsia"/>
                <w:color w:val="auto"/>
                <w:sz w:val="24"/>
              </w:rPr>
              <w:t>(</w:t>
            </w:r>
            <w:r>
              <w:rPr>
                <w:color w:val="auto"/>
                <w:sz w:val="24"/>
              </w:rPr>
              <w:t xml:space="preserve">4) </w:t>
            </w:r>
            <w:r>
              <w:rPr>
                <w:rFonts w:hint="eastAsia"/>
                <w:color w:val="auto"/>
                <w:sz w:val="24"/>
                <w:szCs w:val="22"/>
              </w:rPr>
              <w:t>集中居民区、卫生院等路段，严禁在夜间（24:00至次日08:00）及午间（13:00至15:00）进行产生环境噪声污染的</w:t>
            </w:r>
            <w:r>
              <w:rPr>
                <w:color w:val="auto"/>
                <w:sz w:val="24"/>
                <w:szCs w:val="22"/>
              </w:rPr>
              <w:t>振捣、破碎、切割等高噪声作业</w:t>
            </w:r>
            <w:r>
              <w:rPr>
                <w:rFonts w:hint="eastAsia"/>
                <w:color w:val="auto"/>
                <w:sz w:val="24"/>
                <w:szCs w:val="22"/>
              </w:rPr>
              <w:t>。</w:t>
            </w:r>
            <w:r>
              <w:rPr>
                <w:color w:val="auto"/>
                <w:sz w:val="24"/>
                <w:szCs w:val="22"/>
              </w:rPr>
              <w:t>除抢险、抢修等特殊应急工况，以及</w:t>
            </w:r>
            <w:r>
              <w:rPr>
                <w:rFonts w:hint="eastAsia"/>
                <w:color w:val="auto"/>
                <w:sz w:val="24"/>
                <w:szCs w:val="22"/>
              </w:rPr>
              <w:t>因工艺需要必须连续夜间施工的，须按规定提前公告并取得许可。</w:t>
            </w:r>
          </w:p>
          <w:p w14:paraId="1151FC36">
            <w:pPr>
              <w:spacing w:line="300" w:lineRule="auto"/>
              <w:ind w:firstLine="480" w:firstLineChars="200"/>
              <w:rPr>
                <w:color w:val="auto"/>
                <w:sz w:val="24"/>
              </w:rPr>
            </w:pPr>
            <w:r>
              <w:rPr>
                <w:rFonts w:hint="eastAsia"/>
                <w:color w:val="auto"/>
                <w:sz w:val="24"/>
              </w:rPr>
              <w:t>(5</w:t>
            </w:r>
            <w:r>
              <w:rPr>
                <w:color w:val="auto"/>
                <w:sz w:val="24"/>
              </w:rPr>
              <w:t>)</w:t>
            </w:r>
            <w:r>
              <w:rPr>
                <w:rFonts w:hint="eastAsia"/>
                <w:color w:val="auto"/>
                <w:sz w:val="24"/>
              </w:rPr>
              <w:t xml:space="preserve"> </w:t>
            </w:r>
            <w:r>
              <w:rPr>
                <w:rFonts w:hint="eastAsia"/>
                <w:color w:val="auto"/>
                <w:sz w:val="24"/>
                <w:szCs w:val="22"/>
              </w:rPr>
              <w:t>在施工场界邻近敏感目标一侧，设置连续硬质围或挡移动式/固定式隔声屏障。</w:t>
            </w:r>
            <w:r>
              <w:rPr>
                <w:color w:val="auto"/>
                <w:sz w:val="24"/>
                <w:szCs w:val="22"/>
              </w:rPr>
              <w:t>临近学校施工路段增设双层隔声围挡及专用移动式声屏障，重点朝向教学楼、宿舍楼方向布设，强化噪声阻隔效果。临近居民区、卫生院的施工段落，设置连续、密闭、隔声性能优良的施工围挡，</w:t>
            </w:r>
            <w:r>
              <w:rPr>
                <w:rFonts w:hint="eastAsia"/>
                <w:color w:val="auto"/>
                <w:sz w:val="24"/>
                <w:szCs w:val="22"/>
              </w:rPr>
              <w:t>围挡</w:t>
            </w:r>
            <w:r>
              <w:rPr>
                <w:color w:val="auto"/>
                <w:sz w:val="24"/>
                <w:szCs w:val="22"/>
              </w:rPr>
              <w:t>采用双层隔声板材+吸音棉填充结构，施工区边界设移动式声屏障，重点覆盖靠近卫生院病房楼、居民区住宅集中分布区域，阻断噪声传播路径。</w:t>
            </w:r>
          </w:p>
          <w:p w14:paraId="4395C5FB">
            <w:pPr>
              <w:spacing w:line="300" w:lineRule="auto"/>
              <w:ind w:firstLine="480" w:firstLineChars="200"/>
              <w:rPr>
                <w:color w:val="auto"/>
                <w:sz w:val="24"/>
              </w:rPr>
            </w:pPr>
            <w:r>
              <w:rPr>
                <w:rFonts w:hint="eastAsia"/>
                <w:color w:val="auto"/>
                <w:sz w:val="24"/>
              </w:rPr>
              <w:t>(6</w:t>
            </w:r>
            <w:r>
              <w:rPr>
                <w:color w:val="auto"/>
                <w:sz w:val="24"/>
              </w:rPr>
              <w:t>)</w:t>
            </w:r>
            <w:r>
              <w:rPr>
                <w:rFonts w:hint="eastAsia"/>
                <w:color w:val="auto"/>
                <w:sz w:val="24"/>
              </w:rPr>
              <w:t xml:space="preserve"> </w:t>
            </w:r>
            <w:r>
              <w:rPr>
                <w:rFonts w:hint="eastAsia"/>
                <w:color w:val="auto"/>
                <w:sz w:val="24"/>
                <w:szCs w:val="22"/>
              </w:rPr>
              <w:t>合理规划运输路线，应主动避让学校、卫生院、居民密集区等敏感路段，尽量利用现有道路，避免穿越敏感区核心路段。在居民点、卫生院附近设置限速、禁鸣标志，加强监管确保车辆低速平稳通过。</w:t>
            </w:r>
            <w:r>
              <w:rPr>
                <w:color w:val="auto"/>
                <w:sz w:val="24"/>
                <w:szCs w:val="22"/>
              </w:rPr>
              <w:t>施工运输车辆途经校园周边道路时，全程限速、禁鸣、减速通行，避开学生上下学高峰时段。</w:t>
            </w:r>
          </w:p>
          <w:p w14:paraId="118DA73A">
            <w:pPr>
              <w:spacing w:line="300" w:lineRule="auto"/>
              <w:ind w:firstLine="480" w:firstLineChars="200"/>
              <w:rPr>
                <w:color w:val="auto"/>
                <w:sz w:val="24"/>
              </w:rPr>
            </w:pPr>
            <w:r>
              <w:rPr>
                <w:rFonts w:hint="eastAsia"/>
                <w:color w:val="auto"/>
                <w:sz w:val="24"/>
              </w:rPr>
              <w:t>(7</w:t>
            </w:r>
            <w:r>
              <w:rPr>
                <w:color w:val="auto"/>
                <w:sz w:val="24"/>
              </w:rPr>
              <w:t>)</w:t>
            </w:r>
            <w:r>
              <w:rPr>
                <w:rFonts w:hint="eastAsia"/>
                <w:color w:val="auto"/>
                <w:sz w:val="24"/>
              </w:rPr>
              <w:t xml:space="preserve"> 为保护施工人员的健康，施工单位要合理安排工作人员轮流操作辐射</w:t>
            </w:r>
            <w:r>
              <w:rPr>
                <w:rFonts w:hint="eastAsia"/>
                <w:color w:val="auto"/>
                <w:sz w:val="24"/>
                <w:lang w:eastAsia="zh-CN"/>
              </w:rPr>
              <w:t>高</w:t>
            </w:r>
            <w:r>
              <w:rPr>
                <w:rFonts w:hint="eastAsia"/>
                <w:color w:val="auto"/>
                <w:sz w:val="24"/>
              </w:rPr>
              <w:t>噪声的施工机械，减少接触高噪声的时间。</w:t>
            </w:r>
          </w:p>
          <w:p w14:paraId="5341E821">
            <w:pPr>
              <w:autoSpaceDE w:val="0"/>
              <w:autoSpaceDN w:val="0"/>
              <w:adjustRightInd w:val="0"/>
              <w:spacing w:after="120" w:afterLines="50" w:line="300" w:lineRule="auto"/>
              <w:ind w:firstLine="480" w:firstLineChars="200"/>
              <w:rPr>
                <w:color w:val="auto"/>
                <w:spacing w:val="0"/>
                <w:sz w:val="24"/>
              </w:rPr>
            </w:pPr>
            <w:r>
              <w:rPr>
                <w:color w:val="auto"/>
                <w:sz w:val="24"/>
              </w:rPr>
              <w:t>施工期声环境保护措施具体见声环境专项评价</w:t>
            </w:r>
            <w:r>
              <w:rPr>
                <w:color w:val="auto"/>
                <w:spacing w:val="0"/>
                <w:sz w:val="24"/>
              </w:rPr>
              <w:t>。</w:t>
            </w:r>
          </w:p>
          <w:p w14:paraId="2273243D">
            <w:pPr>
              <w:adjustRightInd w:val="0"/>
              <w:spacing w:line="300" w:lineRule="auto"/>
              <w:rPr>
                <w:b/>
                <w:bCs/>
                <w:spacing w:val="0"/>
                <w:sz w:val="24"/>
              </w:rPr>
            </w:pPr>
            <w:r>
              <w:rPr>
                <w:b/>
                <w:bCs/>
                <w:spacing w:val="0"/>
                <w:sz w:val="24"/>
              </w:rPr>
              <w:t>3. 地表水环境保护措施</w:t>
            </w:r>
          </w:p>
          <w:p w14:paraId="1ECB45F1">
            <w:pPr>
              <w:spacing w:line="300" w:lineRule="auto"/>
              <w:ind w:left="420" w:firstLine="120" w:firstLineChars="50"/>
              <w:rPr>
                <w:rFonts w:hint="eastAsia" w:hAnsi="宋体"/>
                <w:spacing w:val="0"/>
                <w:sz w:val="24"/>
              </w:rPr>
            </w:pPr>
            <w:r>
              <w:rPr>
                <w:rFonts w:hint="eastAsia" w:hAnsi="宋体"/>
                <w:spacing w:val="0"/>
                <w:sz w:val="24"/>
              </w:rPr>
              <w:t>(1) 施工管理措施</w:t>
            </w:r>
          </w:p>
          <w:p w14:paraId="10546B23">
            <w:pPr>
              <w:widowControl/>
              <w:spacing w:line="300" w:lineRule="auto"/>
              <w:ind w:firstLine="480" w:firstLineChars="200"/>
              <w:jc w:val="left"/>
              <w:rPr>
                <w:rFonts w:hint="default" w:ascii="Times New Roman" w:hAnsi="Times New Roman" w:cs="Times New Roman" w:eastAsiaTheme="minorEastAsia"/>
                <w:spacing w:val="0"/>
                <w:kern w:val="0"/>
                <w:sz w:val="24"/>
              </w:rPr>
            </w:pPr>
            <w:r>
              <w:rPr>
                <w:rFonts w:hint="eastAsia" w:ascii="宋体" w:hAnsi="宋体"/>
                <w:spacing w:val="0"/>
                <w:sz w:val="24"/>
              </w:rPr>
              <w:t>①</w:t>
            </w:r>
            <w:r>
              <w:rPr>
                <w:rFonts w:hint="eastAsia" w:eastAsiaTheme="minorEastAsia"/>
                <w:spacing w:val="0"/>
                <w:sz w:val="24"/>
              </w:rPr>
              <w:t xml:space="preserve"> </w:t>
            </w:r>
            <w:r>
              <w:rPr>
                <w:rFonts w:eastAsiaTheme="minorEastAsia"/>
                <w:spacing w:val="0"/>
                <w:kern w:val="0"/>
                <w:sz w:val="24"/>
              </w:rPr>
              <w:t>开展施工场所和营地的水环境保护教育，</w:t>
            </w:r>
            <w:r>
              <w:rPr>
                <w:rFonts w:hint="default" w:ascii="Times New Roman" w:hAnsi="Times New Roman" w:cs="Times New Roman" w:eastAsiaTheme="minorEastAsia"/>
                <w:spacing w:val="0"/>
                <w:kern w:val="0"/>
                <w:sz w:val="24"/>
              </w:rPr>
              <w:t>提倡文明施工，保护水环境。</w:t>
            </w:r>
          </w:p>
          <w:p w14:paraId="166226E1">
            <w:pPr>
              <w:spacing w:line="300" w:lineRule="auto"/>
              <w:ind w:firstLine="480" w:firstLineChars="200"/>
              <w:rPr>
                <w:rFonts w:hint="default" w:ascii="Times New Roman" w:hAnsi="Times New Roman" w:cs="Times New Roman" w:eastAsiaTheme="minorEastAsia"/>
                <w:spacing w:val="0"/>
                <w:sz w:val="24"/>
              </w:rPr>
            </w:pPr>
            <w:r>
              <w:rPr>
                <w:rFonts w:hint="default" w:ascii="Times New Roman" w:hAnsi="Times New Roman" w:cs="Times New Roman"/>
                <w:spacing w:val="0"/>
                <w:sz w:val="24"/>
              </w:rPr>
              <w:t>② 工程承包合同中应明确筑路材料（如沥青、油料、化学品等）的运输过程中防止洒漏条款，堆放场地不得设在河道或灌溉水渠100m范围内，以免随雨水冲入水体，造成地表水污染</w:t>
            </w:r>
            <w:r>
              <w:rPr>
                <w:rFonts w:hint="default" w:ascii="Times New Roman" w:hAnsi="Times New Roman" w:cs="Times New Roman" w:eastAsiaTheme="minorEastAsia"/>
                <w:spacing w:val="0"/>
                <w:sz w:val="24"/>
              </w:rPr>
              <w:t>。</w:t>
            </w:r>
          </w:p>
          <w:p w14:paraId="41E6452B">
            <w:pPr>
              <w:spacing w:line="300" w:lineRule="auto"/>
              <w:ind w:firstLine="480" w:firstLineChars="200"/>
              <w:rPr>
                <w:rFonts w:eastAsiaTheme="minorEastAsia"/>
                <w:spacing w:val="0"/>
                <w:sz w:val="24"/>
              </w:rPr>
            </w:pPr>
            <w:r>
              <w:rPr>
                <w:rFonts w:hint="eastAsia" w:ascii="宋体" w:hAnsi="宋体"/>
                <w:spacing w:val="0"/>
                <w:sz w:val="24"/>
              </w:rPr>
              <w:t>③</w:t>
            </w:r>
            <w:r>
              <w:rPr>
                <w:rFonts w:hint="eastAsia" w:eastAsiaTheme="minorEastAsia"/>
                <w:spacing w:val="0"/>
                <w:sz w:val="24"/>
              </w:rPr>
              <w:t xml:space="preserve"> </w:t>
            </w:r>
            <w:r>
              <w:rPr>
                <w:rFonts w:eastAsiaTheme="minorEastAsia"/>
                <w:spacing w:val="0"/>
                <w:kern w:val="0"/>
                <w:sz w:val="24"/>
              </w:rPr>
              <w:t>施工生产生活区等临时设施应尽量远离</w:t>
            </w:r>
            <w:r>
              <w:rPr>
                <w:rFonts w:eastAsiaTheme="minorEastAsia"/>
                <w:spacing w:val="0"/>
                <w:sz w:val="24"/>
              </w:rPr>
              <w:t>地表水体，并</w:t>
            </w:r>
            <w:r>
              <w:rPr>
                <w:rFonts w:eastAsiaTheme="minorEastAsia"/>
                <w:spacing w:val="0"/>
                <w:kern w:val="0"/>
                <w:sz w:val="24"/>
              </w:rPr>
              <w:t>加强管理，其生产废水、生活污水及各类固体废物等严禁排入沿线</w:t>
            </w:r>
            <w:r>
              <w:rPr>
                <w:rFonts w:eastAsiaTheme="minorEastAsia"/>
                <w:spacing w:val="0"/>
                <w:sz w:val="24"/>
              </w:rPr>
              <w:t>河流水体</w:t>
            </w:r>
            <w:r>
              <w:rPr>
                <w:rFonts w:eastAsiaTheme="minorEastAsia"/>
                <w:spacing w:val="0"/>
                <w:kern w:val="0"/>
                <w:sz w:val="24"/>
              </w:rPr>
              <w:t>。</w:t>
            </w:r>
          </w:p>
          <w:p w14:paraId="39F86C7F">
            <w:pPr>
              <w:widowControl/>
              <w:spacing w:line="300" w:lineRule="auto"/>
              <w:ind w:firstLine="480"/>
              <w:jc w:val="left"/>
              <w:rPr>
                <w:rFonts w:eastAsiaTheme="minorEastAsia"/>
                <w:snapToGrid w:val="0"/>
                <w:spacing w:val="0"/>
                <w:kern w:val="0"/>
                <w:sz w:val="24"/>
              </w:rPr>
            </w:pPr>
            <w:r>
              <w:rPr>
                <w:rFonts w:hint="eastAsia" w:ascii="宋体" w:hAnsi="宋体"/>
                <w:spacing w:val="0"/>
                <w:sz w:val="24"/>
              </w:rPr>
              <w:t>④</w:t>
            </w:r>
            <w:r>
              <w:rPr>
                <w:rFonts w:hint="eastAsia" w:eastAsiaTheme="minorEastAsia"/>
                <w:spacing w:val="0"/>
                <w:sz w:val="24"/>
              </w:rPr>
              <w:t xml:space="preserve"> </w:t>
            </w:r>
            <w:r>
              <w:rPr>
                <w:rFonts w:eastAsiaTheme="minorEastAsia"/>
                <w:spacing w:val="0"/>
                <w:kern w:val="0"/>
                <w:sz w:val="24"/>
              </w:rPr>
              <w:t>施工建筑材料运输应尽量远离沿线水体，并采用密闭运输；</w:t>
            </w:r>
            <w:r>
              <w:rPr>
                <w:rFonts w:eastAsiaTheme="minorEastAsia"/>
                <w:snapToGrid w:val="0"/>
                <w:spacing w:val="0"/>
                <w:kern w:val="0"/>
                <w:sz w:val="24"/>
              </w:rPr>
              <w:t>禁止在河道两岸及地表水体清洗含油机械，防止含油废水进入河流。</w:t>
            </w:r>
          </w:p>
          <w:p w14:paraId="4023E40C">
            <w:pPr>
              <w:spacing w:line="300" w:lineRule="auto"/>
              <w:ind w:firstLine="480" w:firstLineChars="200"/>
              <w:rPr>
                <w:rFonts w:hint="eastAsia" w:hAnsi="宋体"/>
                <w:spacing w:val="0"/>
                <w:sz w:val="24"/>
              </w:rPr>
            </w:pPr>
            <w:r>
              <w:rPr>
                <w:rFonts w:hint="eastAsia" w:ascii="宋体" w:hAnsi="宋体"/>
                <w:spacing w:val="0"/>
                <w:sz w:val="24"/>
              </w:rPr>
              <w:t>⑤</w:t>
            </w:r>
            <w:r>
              <w:rPr>
                <w:rFonts w:hint="eastAsia" w:eastAsiaTheme="minorEastAsia"/>
                <w:spacing w:val="0"/>
                <w:sz w:val="24"/>
              </w:rPr>
              <w:t xml:space="preserve"> </w:t>
            </w:r>
            <w:r>
              <w:rPr>
                <w:rFonts w:eastAsiaTheme="minorEastAsia"/>
                <w:spacing w:val="0"/>
                <w:kern w:val="0"/>
                <w:sz w:val="24"/>
              </w:rPr>
              <w:t>保持施工场地整洁，对施工机械和设备进行定期检修，避免油类、泥浆等进入水环境</w:t>
            </w:r>
            <w:r>
              <w:rPr>
                <w:rFonts w:hint="eastAsia" w:eastAsiaTheme="minorEastAsia"/>
                <w:spacing w:val="0"/>
                <w:kern w:val="0"/>
                <w:sz w:val="24"/>
              </w:rPr>
              <w:t>。</w:t>
            </w:r>
          </w:p>
          <w:p w14:paraId="3642015E">
            <w:pPr>
              <w:spacing w:line="300" w:lineRule="auto"/>
              <w:ind w:left="420" w:firstLine="120" w:firstLineChars="50"/>
              <w:rPr>
                <w:spacing w:val="0"/>
                <w:sz w:val="24"/>
              </w:rPr>
            </w:pPr>
            <w:r>
              <w:rPr>
                <w:rFonts w:hint="eastAsia" w:hAnsi="宋体"/>
                <w:spacing w:val="0"/>
                <w:sz w:val="24"/>
              </w:rPr>
              <w:t>(2) 涉水</w:t>
            </w:r>
            <w:r>
              <w:rPr>
                <w:rFonts w:hAnsi="宋体"/>
                <w:spacing w:val="0"/>
                <w:sz w:val="24"/>
              </w:rPr>
              <w:t>桥梁基础施工</w:t>
            </w:r>
            <w:r>
              <w:rPr>
                <w:rFonts w:hint="eastAsia" w:hAnsi="宋体"/>
                <w:spacing w:val="0"/>
                <w:sz w:val="24"/>
              </w:rPr>
              <w:t>控制措施</w:t>
            </w:r>
          </w:p>
          <w:p w14:paraId="1D3B3862">
            <w:pPr>
              <w:pStyle w:val="58"/>
              <w:ind w:firstLine="480"/>
              <w:rPr>
                <w:rFonts w:hint="eastAsia" w:hAnsi="宋体"/>
                <w:spacing w:val="0"/>
                <w:szCs w:val="24"/>
              </w:rPr>
            </w:pPr>
            <w:r>
              <w:rPr>
                <w:spacing w:val="0"/>
              </w:rPr>
              <w:t>拟建公路以桥梁形式跨越河流，其中</w:t>
            </w:r>
            <w:r>
              <w:rPr>
                <w:rFonts w:eastAsiaTheme="minorEastAsia"/>
                <w:spacing w:val="0"/>
              </w:rPr>
              <w:t>K25+</w:t>
            </w:r>
            <w:r>
              <w:rPr>
                <w:rFonts w:hint="eastAsia" w:eastAsiaTheme="minorEastAsia"/>
                <w:spacing w:val="0"/>
                <w:lang w:val="en-US" w:eastAsia="zh-CN"/>
              </w:rPr>
              <w:t>300.582</w:t>
            </w:r>
            <w:r>
              <w:rPr>
                <w:rFonts w:eastAsiaTheme="minorEastAsia"/>
                <w:spacing w:val="0"/>
              </w:rPr>
              <w:t>克孜勒苏大桥</w:t>
            </w:r>
            <w:r>
              <w:rPr>
                <w:rFonts w:hint="eastAsia" w:eastAsiaTheme="minorEastAsia"/>
                <w:spacing w:val="0"/>
                <w:lang w:eastAsia="zh-CN"/>
              </w:rPr>
              <w:t>、</w:t>
            </w:r>
            <w:r>
              <w:rPr>
                <w:rFonts w:hint="eastAsia"/>
                <w:spacing w:val="0"/>
              </w:rPr>
              <w:t>K21+573.539</w:t>
            </w:r>
            <w:r>
              <w:rPr>
                <w:rFonts w:hint="eastAsia"/>
                <w:spacing w:val="0"/>
                <w:lang w:val="en-US" w:eastAsia="zh-CN"/>
              </w:rPr>
              <w:t>新栏杆一桥</w:t>
            </w:r>
            <w:r>
              <w:rPr>
                <w:rFonts w:hAnsi="宋体"/>
                <w:spacing w:val="0"/>
                <w:szCs w:val="24"/>
              </w:rPr>
              <w:t>需要进行水中桥墩施工。</w:t>
            </w:r>
          </w:p>
          <w:p w14:paraId="4E49D6B6">
            <w:pPr>
              <w:pStyle w:val="58"/>
              <w:ind w:firstLine="480"/>
              <w:rPr>
                <w:rFonts w:hint="eastAsia" w:hAnsi="宋体"/>
                <w:spacing w:val="0"/>
                <w:szCs w:val="24"/>
              </w:rPr>
            </w:pPr>
            <w:r>
              <w:rPr>
                <w:rFonts w:hint="eastAsia" w:ascii="宋体" w:hAnsi="宋体"/>
                <w:spacing w:val="0"/>
                <w:szCs w:val="24"/>
              </w:rPr>
              <w:t>①</w:t>
            </w:r>
            <w:r>
              <w:rPr>
                <w:rFonts w:hint="eastAsia" w:hAnsi="宋体"/>
                <w:spacing w:val="0"/>
                <w:szCs w:val="24"/>
              </w:rPr>
              <w:t xml:space="preserve"> 桥梁基础施工采用钻孔灌注桩的形式，施工围堰要高出最高水位0.5m以上。</w:t>
            </w:r>
          </w:p>
          <w:p w14:paraId="3A99BC25">
            <w:pPr>
              <w:pStyle w:val="58"/>
              <w:ind w:firstLine="480"/>
              <w:rPr>
                <w:rFonts w:hint="eastAsia" w:hAnsi="宋体" w:eastAsiaTheme="minorEastAsia"/>
                <w:spacing w:val="0"/>
                <w:szCs w:val="24"/>
                <w:lang w:eastAsia="zh-CN"/>
              </w:rPr>
            </w:pPr>
            <w:r>
              <w:rPr>
                <w:rFonts w:hint="eastAsia" w:ascii="宋体" w:hAnsi="宋体"/>
                <w:spacing w:val="0"/>
                <w:sz w:val="24"/>
              </w:rPr>
              <w:t>②</w:t>
            </w:r>
            <w:r>
              <w:rPr>
                <w:rFonts w:hint="eastAsia" w:ascii="宋体" w:hAnsi="宋体"/>
                <w:spacing w:val="0"/>
                <w:sz w:val="24"/>
                <w:lang w:val="en-US" w:eastAsia="zh-CN"/>
              </w:rPr>
              <w:t xml:space="preserve"> 水体1</w:t>
            </w:r>
            <w:r>
              <w:rPr>
                <w:rFonts w:hint="default" w:ascii="Times New Roman" w:hAnsi="Times New Roman" w:cs="Times New Roman" w:eastAsiaTheme="minorEastAsia"/>
                <w:color w:val="auto"/>
              </w:rPr>
              <w:t>中施工便道、便桥规模根据桥址处的水力学特性确定，并应保持一定的富余；</w:t>
            </w:r>
            <w:r>
              <w:rPr>
                <w:rFonts w:hint="default" w:ascii="Times New Roman" w:hAnsi="Times New Roman" w:cs="Times New Roman" w:eastAsiaTheme="minorEastAsia"/>
                <w:color w:val="auto"/>
                <w:kern w:val="0"/>
                <w:szCs w:val="24"/>
              </w:rPr>
              <w:t>桥墩施工区附近设置必要的排水沟用以疏导施工废水，排水沟土质边坡及时夯实</w:t>
            </w:r>
            <w:r>
              <w:rPr>
                <w:rFonts w:hint="eastAsia" w:ascii="Times New Roman" w:hAnsi="Times New Roman" w:cs="Times New Roman" w:eastAsiaTheme="minorEastAsia"/>
                <w:color w:val="auto"/>
                <w:kern w:val="0"/>
                <w:szCs w:val="24"/>
                <w:lang w:eastAsia="zh-CN"/>
              </w:rPr>
              <w:t>。</w:t>
            </w:r>
          </w:p>
          <w:p w14:paraId="517F9389">
            <w:pPr>
              <w:spacing w:line="300" w:lineRule="auto"/>
              <w:ind w:firstLine="480" w:firstLineChars="200"/>
              <w:rPr>
                <w:rFonts w:hint="eastAsia" w:hAnsi="宋体"/>
                <w:spacing w:val="0"/>
                <w:sz w:val="24"/>
              </w:rPr>
            </w:pPr>
            <w:r>
              <w:rPr>
                <w:rFonts w:hint="eastAsia" w:ascii="宋体" w:hAnsi="宋体"/>
                <w:spacing w:val="0"/>
                <w:sz w:val="24"/>
              </w:rPr>
              <w:t>③</w:t>
            </w:r>
            <w:r>
              <w:rPr>
                <w:rFonts w:hint="eastAsia" w:ascii="宋体" w:hAnsi="宋体"/>
                <w:spacing w:val="0"/>
                <w:sz w:val="24"/>
                <w:lang w:val="en-US" w:eastAsia="zh-CN"/>
              </w:rPr>
              <w:t xml:space="preserve"> </w:t>
            </w:r>
            <w:r>
              <w:rPr>
                <w:rFonts w:hAnsi="宋体"/>
                <w:spacing w:val="0"/>
                <w:sz w:val="24"/>
              </w:rPr>
              <w:t>涉水桥梁基础施工应避开丰水期</w:t>
            </w:r>
            <w:r>
              <w:rPr>
                <w:spacing w:val="0"/>
                <w:sz w:val="24"/>
              </w:rPr>
              <w:t>5</w:t>
            </w:r>
            <w:r>
              <w:rPr>
                <w:rFonts w:hAnsi="宋体"/>
                <w:spacing w:val="0"/>
                <w:sz w:val="24"/>
              </w:rPr>
              <w:t>～</w:t>
            </w:r>
            <w:r>
              <w:rPr>
                <w:spacing w:val="0"/>
                <w:sz w:val="24"/>
              </w:rPr>
              <w:t>8</w:t>
            </w:r>
            <w:r>
              <w:rPr>
                <w:rFonts w:hAnsi="宋体"/>
                <w:spacing w:val="0"/>
                <w:sz w:val="24"/>
              </w:rPr>
              <w:t>月，选在河流水量小的时期施工。</w:t>
            </w:r>
          </w:p>
          <w:p w14:paraId="03EEDB27">
            <w:pPr>
              <w:spacing w:line="300" w:lineRule="auto"/>
              <w:ind w:firstLine="480" w:firstLineChars="200"/>
              <w:rPr>
                <w:rFonts w:hint="default" w:ascii="Times New Roman" w:hAnsi="Times New Roman" w:cs="Times New Roman"/>
                <w:spacing w:val="0"/>
                <w:sz w:val="24"/>
              </w:rPr>
            </w:pPr>
            <w:r>
              <w:rPr>
                <w:rFonts w:hint="default" w:ascii="Times New Roman" w:hAnsi="Times New Roman" w:cs="Times New Roman"/>
                <w:spacing w:val="0"/>
                <w:sz w:val="24"/>
              </w:rPr>
              <w:t>④</w:t>
            </w:r>
            <w:r>
              <w:rPr>
                <w:rFonts w:hint="eastAsia" w:ascii="Times New Roman" w:hAnsi="Times New Roman" w:cs="Times New Roman"/>
                <w:spacing w:val="0"/>
                <w:sz w:val="24"/>
                <w:lang w:val="en-US" w:eastAsia="zh-CN"/>
              </w:rPr>
              <w:t xml:space="preserve"> </w:t>
            </w:r>
            <w:r>
              <w:rPr>
                <w:rFonts w:hint="default" w:ascii="Times New Roman" w:hAnsi="Times New Roman" w:cs="Times New Roman"/>
                <w:spacing w:val="0"/>
                <w:sz w:val="24"/>
              </w:rPr>
              <w:t>严禁将桩基钻孔出渣及施工废弃物排入地表水体，桥墩施工区附近设置必要的排水沟用以疏导施工废水，排水沟土质边坡及时夯实。</w:t>
            </w:r>
          </w:p>
          <w:p w14:paraId="44EB07D4">
            <w:pPr>
              <w:spacing w:line="300" w:lineRule="auto"/>
              <w:ind w:firstLine="480" w:firstLineChars="200"/>
              <w:rPr>
                <w:spacing w:val="0"/>
                <w:sz w:val="24"/>
              </w:rPr>
            </w:pPr>
            <w:r>
              <w:rPr>
                <w:rFonts w:hint="eastAsia"/>
                <w:spacing w:val="0"/>
                <w:sz w:val="24"/>
              </w:rPr>
              <w:t>(</w:t>
            </w:r>
            <w:r>
              <w:rPr>
                <w:rFonts w:hint="eastAsia"/>
                <w:spacing w:val="0"/>
                <w:sz w:val="24"/>
                <w:lang w:val="en-US" w:eastAsia="zh-CN"/>
              </w:rPr>
              <w:t>3</w:t>
            </w:r>
            <w:r>
              <w:rPr>
                <w:rFonts w:hint="eastAsia"/>
                <w:spacing w:val="0"/>
                <w:sz w:val="24"/>
              </w:rPr>
              <w:t xml:space="preserve">) </w:t>
            </w:r>
            <w:r>
              <w:rPr>
                <w:rFonts w:hAnsi="宋体"/>
                <w:spacing w:val="0"/>
                <w:sz w:val="24"/>
              </w:rPr>
              <w:t>含油污水控制措施</w:t>
            </w:r>
          </w:p>
          <w:p w14:paraId="07983360">
            <w:pPr>
              <w:spacing w:line="300" w:lineRule="auto"/>
              <w:ind w:firstLine="480" w:firstLineChars="200"/>
              <w:rPr>
                <w:spacing w:val="0"/>
                <w:sz w:val="24"/>
              </w:rPr>
            </w:pPr>
            <w:r>
              <w:rPr>
                <w:rFonts w:hint="eastAsia" w:ascii="宋体" w:hAnsi="宋体"/>
                <w:spacing w:val="0"/>
                <w:sz w:val="24"/>
              </w:rPr>
              <w:t>①</w:t>
            </w:r>
            <w:r>
              <w:rPr>
                <w:spacing w:val="0"/>
                <w:sz w:val="24"/>
              </w:rPr>
              <w:t xml:space="preserve"> </w:t>
            </w:r>
            <w:r>
              <w:rPr>
                <w:rFonts w:hAnsi="宋体"/>
                <w:spacing w:val="0"/>
                <w:sz w:val="24"/>
              </w:rPr>
              <w:t>尽量选用先进的设备、机械、以有效地减少跑、冒、滴、漏的数量及机械维修次数，从而减少含油污水的产生量。在不可避免的跑、冒、滴、漏过程中尽量采用固态吸油材料（如棉纱、木屑、吸油纸等），将废油收集转化到固态物质中，避免产生过多的含油污水，对渗漏到土壤的油污应及时利用刮削装置收集封存，运至有资质的处理场集中处理。</w:t>
            </w:r>
          </w:p>
          <w:p w14:paraId="74F797CE">
            <w:pPr>
              <w:spacing w:line="300" w:lineRule="auto"/>
              <w:ind w:firstLine="480" w:firstLineChars="200"/>
              <w:rPr>
                <w:spacing w:val="0"/>
                <w:sz w:val="24"/>
              </w:rPr>
            </w:pPr>
            <w:r>
              <w:rPr>
                <w:rFonts w:hint="eastAsia" w:ascii="宋体" w:hAnsi="宋体"/>
                <w:spacing w:val="0"/>
                <w:sz w:val="24"/>
              </w:rPr>
              <w:t>②</w:t>
            </w:r>
            <w:r>
              <w:rPr>
                <w:spacing w:val="0"/>
                <w:sz w:val="24"/>
              </w:rPr>
              <w:t xml:space="preserve"> </w:t>
            </w:r>
            <w:r>
              <w:rPr>
                <w:rFonts w:hAnsi="宋体"/>
                <w:spacing w:val="0"/>
                <w:sz w:val="24"/>
              </w:rPr>
              <w:t>在施工场地及机械维修场所设沉淀池，含油污水由沉淀池收集，经酸碱中和、沉淀、隔油、除渣等简单处理后，油类等其它污染物浓度减小，施工结束后将沉淀池内的污水和固废清理完全后覆土掩埋。含油污水不得排入沿线水体。</w:t>
            </w:r>
          </w:p>
          <w:p w14:paraId="1C8CB9DF">
            <w:pPr>
              <w:spacing w:line="300" w:lineRule="auto"/>
              <w:ind w:firstLine="480" w:firstLineChars="200"/>
              <w:rPr>
                <w:rFonts w:hint="eastAsia" w:hAnsi="宋体"/>
                <w:spacing w:val="0"/>
                <w:sz w:val="24"/>
              </w:rPr>
            </w:pPr>
            <w:r>
              <w:rPr>
                <w:rFonts w:hint="eastAsia"/>
                <w:spacing w:val="0"/>
                <w:sz w:val="24"/>
              </w:rPr>
              <w:t>(4) 施工生产、</w:t>
            </w:r>
            <w:r>
              <w:rPr>
                <w:rFonts w:hAnsi="宋体"/>
                <w:spacing w:val="0"/>
                <w:sz w:val="24"/>
              </w:rPr>
              <w:t>生活污水控制措施</w:t>
            </w:r>
          </w:p>
          <w:p w14:paraId="37FE6ECB">
            <w:pPr>
              <w:spacing w:line="300" w:lineRule="auto"/>
              <w:ind w:firstLine="480" w:firstLineChars="200"/>
              <w:rPr>
                <w:spacing w:val="0"/>
                <w:sz w:val="24"/>
              </w:rPr>
            </w:pPr>
            <w:r>
              <w:rPr>
                <w:rFonts w:hint="eastAsia" w:ascii="宋体" w:hAnsi="宋体"/>
                <w:spacing w:val="0"/>
                <w:sz w:val="24"/>
              </w:rPr>
              <w:t>①</w:t>
            </w:r>
            <w:r>
              <w:rPr>
                <w:rFonts w:hint="eastAsia"/>
                <w:spacing w:val="0"/>
                <w:sz w:val="24"/>
              </w:rPr>
              <w:t xml:space="preserve"> 生产废水采用自然沉降法进行处理，由沉淀池收集，经酸碱中和沉淀、隔油除渣等处理后循环</w:t>
            </w:r>
            <w:r>
              <w:rPr>
                <w:rFonts w:hint="eastAsia"/>
                <w:color w:val="auto"/>
                <w:sz w:val="24"/>
              </w:rPr>
              <w:t>回用</w:t>
            </w:r>
            <w:r>
              <w:rPr>
                <w:rFonts w:hint="eastAsia"/>
                <w:color w:val="auto"/>
                <w:sz w:val="24"/>
                <w:lang w:val="en-US" w:eastAsia="zh-CN"/>
              </w:rPr>
              <w:t>于生产及场地</w:t>
            </w:r>
            <w:r>
              <w:rPr>
                <w:rFonts w:hint="eastAsia"/>
                <w:color w:val="auto"/>
                <w:sz w:val="24"/>
              </w:rPr>
              <w:t>洒水降尘</w:t>
            </w:r>
            <w:r>
              <w:rPr>
                <w:rFonts w:hint="eastAsia"/>
                <w:spacing w:val="0"/>
                <w:sz w:val="24"/>
              </w:rPr>
              <w:t>，不外排。</w:t>
            </w:r>
          </w:p>
          <w:p w14:paraId="5DC3623F">
            <w:pPr>
              <w:keepNext w:val="0"/>
              <w:keepLines w:val="0"/>
              <w:pageBreakBefore w:val="0"/>
              <w:widowControl w:val="0"/>
              <w:kinsoku/>
              <w:wordWrap/>
              <w:overflowPunct/>
              <w:topLinePunct w:val="0"/>
              <w:autoSpaceDE/>
              <w:autoSpaceDN/>
              <w:bidi w:val="0"/>
              <w:adjustRightInd/>
              <w:snapToGrid/>
              <w:spacing w:after="157" w:afterLines="50" w:line="300" w:lineRule="auto"/>
              <w:ind w:firstLine="480" w:firstLineChars="200"/>
              <w:textAlignment w:val="auto"/>
              <w:rPr>
                <w:rFonts w:hAnsi="宋体"/>
                <w:spacing w:val="0"/>
                <w:sz w:val="24"/>
              </w:rPr>
            </w:pPr>
            <w:r>
              <w:rPr>
                <w:rFonts w:hint="eastAsia" w:ascii="宋体" w:hAnsi="宋体"/>
                <w:spacing w:val="0"/>
                <w:sz w:val="24"/>
              </w:rPr>
              <w:t>②</w:t>
            </w:r>
            <w:r>
              <w:rPr>
                <w:rFonts w:hint="eastAsia" w:hAnsi="宋体"/>
                <w:spacing w:val="0"/>
                <w:sz w:val="24"/>
              </w:rPr>
              <w:t xml:space="preserve"> </w:t>
            </w:r>
            <w:r>
              <w:rPr>
                <w:rFonts w:hAnsi="宋体"/>
                <w:spacing w:val="0"/>
                <w:sz w:val="24"/>
              </w:rPr>
              <w:t>施工人员的生活污水</w:t>
            </w:r>
            <w:r>
              <w:rPr>
                <w:rFonts w:hint="eastAsia" w:hAnsi="宋体"/>
                <w:spacing w:val="0"/>
                <w:sz w:val="24"/>
              </w:rPr>
              <w:t>经</w:t>
            </w:r>
            <w:r>
              <w:rPr>
                <w:rFonts w:hint="eastAsia" w:hAnsi="宋体"/>
                <w:spacing w:val="0"/>
                <w:sz w:val="24"/>
                <w:lang w:val="en-US" w:eastAsia="zh-CN"/>
              </w:rPr>
              <w:t>隔油池、</w:t>
            </w:r>
            <w:r>
              <w:rPr>
                <w:rFonts w:hint="eastAsia" w:hAnsi="宋体"/>
                <w:spacing w:val="0"/>
                <w:sz w:val="24"/>
              </w:rPr>
              <w:t>化粪池</w:t>
            </w:r>
            <w:r>
              <w:rPr>
                <w:rFonts w:hint="eastAsia" w:hAnsi="宋体"/>
                <w:spacing w:val="0"/>
                <w:sz w:val="24"/>
                <w:lang w:val="en-US" w:eastAsia="zh-CN"/>
              </w:rPr>
              <w:t>处理后定期清运</w:t>
            </w:r>
            <w:r>
              <w:rPr>
                <w:rFonts w:hAnsi="宋体"/>
                <w:spacing w:val="0"/>
                <w:sz w:val="24"/>
              </w:rPr>
              <w:t>。</w:t>
            </w:r>
          </w:p>
          <w:p w14:paraId="35893940">
            <w:pPr>
              <w:spacing w:line="300" w:lineRule="auto"/>
              <w:rPr>
                <w:rFonts w:hint="eastAsia" w:hAnsi="宋体"/>
                <w:b/>
                <w:bCs/>
                <w:spacing w:val="0"/>
                <w:sz w:val="24"/>
                <w:lang w:val="en-US" w:eastAsia="zh-CN"/>
              </w:rPr>
            </w:pPr>
            <w:r>
              <w:rPr>
                <w:rFonts w:hint="eastAsia" w:hAnsi="宋体"/>
                <w:b/>
                <w:bCs/>
                <w:spacing w:val="0"/>
                <w:sz w:val="24"/>
                <w:lang w:val="en-US" w:eastAsia="zh-CN"/>
              </w:rPr>
              <w:t>4. 地下水环境保护措施</w:t>
            </w:r>
          </w:p>
          <w:p w14:paraId="530F31D8">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hAnsi="宋体"/>
                <w:b w:val="0"/>
                <w:bCs w:val="0"/>
                <w:spacing w:val="0"/>
                <w:sz w:val="24"/>
                <w:lang w:val="en-US" w:eastAsia="zh-CN"/>
              </w:rPr>
            </w:pPr>
            <w:r>
              <w:rPr>
                <w:rFonts w:hint="eastAsia" w:hAnsi="宋体"/>
                <w:b w:val="0"/>
                <w:bCs w:val="0"/>
                <w:spacing w:val="0"/>
                <w:sz w:val="24"/>
                <w:lang w:val="en-US" w:eastAsia="zh-CN"/>
              </w:rPr>
              <w:t>(1) 临近伽师县城饮用水水源保护区路段禁止设置取（弃）土场、施工营地、拌合站、预制场等临时工程。</w:t>
            </w:r>
          </w:p>
          <w:p w14:paraId="192F06CC">
            <w:pPr>
              <w:keepNext w:val="0"/>
              <w:keepLines w:val="0"/>
              <w:pageBreakBefore w:val="0"/>
              <w:widowControl w:val="0"/>
              <w:kinsoku/>
              <w:wordWrap/>
              <w:overflowPunct/>
              <w:topLinePunct w:val="0"/>
              <w:autoSpaceDE/>
              <w:autoSpaceDN/>
              <w:bidi w:val="0"/>
              <w:adjustRightInd/>
              <w:snapToGrid/>
              <w:spacing w:line="300" w:lineRule="auto"/>
              <w:ind w:firstLine="456" w:firstLineChars="200"/>
              <w:textAlignment w:val="auto"/>
              <w:rPr>
                <w:rFonts w:hint="eastAsia" w:hAnsi="宋体"/>
                <w:b w:val="0"/>
                <w:bCs w:val="0"/>
                <w:spacing w:val="-6"/>
                <w:sz w:val="24"/>
                <w:lang w:val="en-US" w:eastAsia="zh-CN"/>
              </w:rPr>
            </w:pPr>
            <w:r>
              <w:rPr>
                <w:rFonts w:hint="eastAsia" w:hAnsi="宋体"/>
                <w:b w:val="0"/>
                <w:bCs w:val="0"/>
                <w:spacing w:val="-6"/>
                <w:sz w:val="24"/>
                <w:lang w:val="en-US" w:eastAsia="zh-CN"/>
              </w:rPr>
              <w:t>(2) 临近伽师县城饮用水水源保护区路段，加强施工期生产废水、生活污水及各类固体废物等的管理，严禁各类废污水及施工固废排入水源保护区范围。</w:t>
            </w:r>
          </w:p>
          <w:p w14:paraId="662D3110">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hAnsi="宋体"/>
                <w:b w:val="0"/>
                <w:bCs w:val="0"/>
                <w:spacing w:val="0"/>
                <w:sz w:val="24"/>
                <w:lang w:val="en-US" w:eastAsia="zh-CN"/>
              </w:rPr>
            </w:pPr>
            <w:r>
              <w:rPr>
                <w:rFonts w:hint="eastAsia" w:hAnsi="宋体"/>
                <w:b w:val="0"/>
                <w:bCs w:val="0"/>
                <w:spacing w:val="0"/>
                <w:sz w:val="24"/>
                <w:lang w:val="en-US" w:eastAsia="zh-CN"/>
              </w:rPr>
              <w:t>(3) 桥梁桩基钻孔施工过程中工应尽量采取环保泥浆护壁，或采取封闭施工，尽量减小钻孔施工与周围地下环境的接触面积，减少泥浆等污染物进入地下环境污染地下水。</w:t>
            </w:r>
          </w:p>
          <w:p w14:paraId="43D0F8F1">
            <w:pPr>
              <w:keepNext w:val="0"/>
              <w:keepLines w:val="0"/>
              <w:pageBreakBefore w:val="0"/>
              <w:widowControl w:val="0"/>
              <w:kinsoku/>
              <w:wordWrap/>
              <w:overflowPunct/>
              <w:topLinePunct w:val="0"/>
              <w:autoSpaceDE/>
              <w:autoSpaceDN/>
              <w:bidi w:val="0"/>
              <w:adjustRightInd/>
              <w:snapToGrid/>
              <w:spacing w:after="157" w:afterLines="50" w:line="300" w:lineRule="auto"/>
              <w:ind w:firstLine="480" w:firstLineChars="200"/>
              <w:textAlignment w:val="auto"/>
              <w:rPr>
                <w:rFonts w:hint="eastAsia" w:hAnsi="宋体"/>
                <w:b w:val="0"/>
                <w:bCs w:val="0"/>
                <w:spacing w:val="0"/>
                <w:sz w:val="24"/>
                <w:lang w:val="en-US" w:eastAsia="zh-CN"/>
              </w:rPr>
            </w:pPr>
            <w:r>
              <w:rPr>
                <w:rFonts w:hint="eastAsia" w:hAnsi="宋体"/>
                <w:b w:val="0"/>
                <w:bCs w:val="0"/>
                <w:spacing w:val="0"/>
                <w:sz w:val="24"/>
                <w:lang w:val="en-US" w:eastAsia="zh-CN"/>
              </w:rPr>
              <w:t>(4) 为防止油料等物质不慎泄漏对堆放场地附近的地下水环境带来影响，可在建筑材料堆放地设置一定的防渗区域，专门存放油料及化学品物质。</w:t>
            </w:r>
          </w:p>
          <w:p w14:paraId="35E3D0E0">
            <w:pPr>
              <w:adjustRightInd w:val="0"/>
              <w:spacing w:line="300" w:lineRule="auto"/>
              <w:rPr>
                <w:b/>
                <w:bCs/>
                <w:color w:val="auto"/>
                <w:spacing w:val="0"/>
                <w:sz w:val="24"/>
              </w:rPr>
            </w:pPr>
            <w:r>
              <w:rPr>
                <w:b/>
                <w:bCs/>
                <w:color w:val="auto"/>
                <w:spacing w:val="0"/>
                <w:sz w:val="24"/>
              </w:rPr>
              <w:t>5. 生态保护措施</w:t>
            </w:r>
          </w:p>
          <w:p w14:paraId="2717608A">
            <w:pPr>
              <w:autoSpaceDE w:val="0"/>
              <w:autoSpaceDN w:val="0"/>
              <w:adjustRightInd w:val="0"/>
              <w:spacing w:line="300" w:lineRule="auto"/>
              <w:ind w:firstLine="480" w:firstLineChars="200"/>
              <w:rPr>
                <w:color w:val="auto"/>
                <w:spacing w:val="0"/>
                <w:kern w:val="0"/>
                <w:sz w:val="24"/>
              </w:rPr>
            </w:pPr>
            <w:r>
              <w:rPr>
                <w:rFonts w:hint="eastAsia"/>
                <w:color w:val="auto"/>
                <w:spacing w:val="0"/>
                <w:kern w:val="0"/>
                <w:sz w:val="24"/>
                <w:lang w:val="en-US" w:eastAsia="zh-CN"/>
              </w:rPr>
              <w:t xml:space="preserve">(1) </w:t>
            </w:r>
            <w:r>
              <w:rPr>
                <w:rFonts w:hint="eastAsia"/>
                <w:color w:val="auto"/>
                <w:spacing w:val="0"/>
                <w:kern w:val="0"/>
                <w:sz w:val="24"/>
              </w:rPr>
              <w:t>在工地及周边区域设立生态保护科普宣传牌，</w:t>
            </w:r>
            <w:r>
              <w:rPr>
                <w:color w:val="auto"/>
                <w:spacing w:val="0"/>
                <w:kern w:val="0"/>
                <w:sz w:val="24"/>
              </w:rPr>
              <w:t>涉水工程开工前，对所有施工人员进行鱼类保护知识培训，明确禁止捕捞、伤害鱼类，禁止向河道丢弃任何废弃物</w:t>
            </w:r>
            <w:r>
              <w:rPr>
                <w:rFonts w:hint="eastAsia"/>
                <w:color w:val="auto"/>
                <w:spacing w:val="0"/>
                <w:kern w:val="0"/>
                <w:sz w:val="24"/>
              </w:rPr>
              <w:t>。</w:t>
            </w:r>
          </w:p>
          <w:p w14:paraId="01E9E10D">
            <w:pPr>
              <w:autoSpaceDE w:val="0"/>
              <w:autoSpaceDN w:val="0"/>
              <w:adjustRightInd w:val="0"/>
              <w:spacing w:line="300" w:lineRule="auto"/>
              <w:ind w:firstLine="480" w:firstLineChars="200"/>
              <w:rPr>
                <w:color w:val="auto"/>
                <w:spacing w:val="0"/>
                <w:kern w:val="0"/>
                <w:sz w:val="24"/>
              </w:rPr>
            </w:pPr>
            <w:r>
              <w:rPr>
                <w:rFonts w:hint="eastAsia"/>
                <w:color w:val="auto"/>
                <w:spacing w:val="0"/>
                <w:kern w:val="0"/>
                <w:sz w:val="24"/>
              </w:rPr>
              <w:t>② 将绿色施工、环境保护、水土保持相关要求纳入招标文件及施工合同，明确施工单位的生态保护责任。</w:t>
            </w:r>
          </w:p>
          <w:p w14:paraId="034D8734">
            <w:pPr>
              <w:autoSpaceDE w:val="0"/>
              <w:autoSpaceDN w:val="0"/>
              <w:adjustRightInd w:val="0"/>
              <w:spacing w:line="300" w:lineRule="auto"/>
              <w:ind w:firstLine="480" w:firstLineChars="200"/>
              <w:rPr>
                <w:color w:val="auto"/>
                <w:spacing w:val="0"/>
                <w:kern w:val="0"/>
                <w:sz w:val="24"/>
              </w:rPr>
            </w:pPr>
            <w:r>
              <w:rPr>
                <w:rFonts w:hint="eastAsia"/>
                <w:color w:val="auto"/>
                <w:spacing w:val="0"/>
                <w:kern w:val="0"/>
                <w:sz w:val="24"/>
                <w:lang w:val="en-US" w:eastAsia="zh-CN"/>
              </w:rPr>
              <w:t xml:space="preserve">(2) </w:t>
            </w:r>
            <w:r>
              <w:rPr>
                <w:rFonts w:hint="eastAsia"/>
                <w:color w:val="auto"/>
                <w:spacing w:val="0"/>
                <w:kern w:val="0"/>
                <w:sz w:val="24"/>
              </w:rPr>
              <w:t>禁止超界施工破坏征地范围外的原生植被。路基及临时工程施工前，对占用土地的耕作层进行剥离，采取临时拦挡和防尘网覆盖措施，全部用于后期植被恢复和土地复垦。</w:t>
            </w:r>
          </w:p>
          <w:p w14:paraId="08ED56C9">
            <w:pPr>
              <w:autoSpaceDE w:val="0"/>
              <w:autoSpaceDN w:val="0"/>
              <w:adjustRightInd w:val="0"/>
              <w:spacing w:line="300" w:lineRule="auto"/>
              <w:ind w:firstLine="480" w:firstLineChars="200"/>
              <w:rPr>
                <w:color w:val="auto"/>
                <w:spacing w:val="0"/>
                <w:kern w:val="0"/>
                <w:sz w:val="24"/>
              </w:rPr>
            </w:pPr>
            <w:r>
              <w:rPr>
                <w:rFonts w:hint="eastAsia"/>
                <w:color w:val="auto"/>
                <w:spacing w:val="0"/>
                <w:kern w:val="0"/>
                <w:sz w:val="24"/>
                <w:lang w:val="en-US" w:eastAsia="zh-CN"/>
              </w:rPr>
              <w:t xml:space="preserve">(3) </w:t>
            </w:r>
            <w:r>
              <w:rPr>
                <w:rFonts w:hint="eastAsia"/>
                <w:color w:val="auto"/>
                <w:spacing w:val="0"/>
                <w:kern w:val="0"/>
                <w:sz w:val="24"/>
              </w:rPr>
              <w:t>合理安排施工时段，避开鸟类集中繁殖期进行林地清理作业；高噪声施工避开晨昏及夜间野生动物活动频繁时段。</w:t>
            </w:r>
          </w:p>
          <w:p w14:paraId="32BAB22A">
            <w:pPr>
              <w:autoSpaceDE w:val="0"/>
              <w:autoSpaceDN w:val="0"/>
              <w:adjustRightInd w:val="0"/>
              <w:spacing w:line="300" w:lineRule="auto"/>
              <w:ind w:firstLine="480" w:firstLineChars="200"/>
              <w:rPr>
                <w:rFonts w:hint="eastAsia"/>
                <w:color w:val="auto"/>
                <w:spacing w:val="0"/>
                <w:kern w:val="0"/>
                <w:sz w:val="24"/>
              </w:rPr>
            </w:pPr>
            <w:r>
              <w:rPr>
                <w:rFonts w:hint="eastAsia"/>
                <w:color w:val="auto"/>
                <w:spacing w:val="0"/>
                <w:kern w:val="0"/>
                <w:sz w:val="24"/>
                <w:lang w:val="en-US" w:eastAsia="zh-CN"/>
              </w:rPr>
              <w:t xml:space="preserve">(4) </w:t>
            </w:r>
            <w:r>
              <w:rPr>
                <w:rFonts w:hint="eastAsia"/>
                <w:color w:val="auto"/>
                <w:spacing w:val="0"/>
                <w:kern w:val="0"/>
                <w:sz w:val="24"/>
              </w:rPr>
              <w:t>施工便道优先依托现有道路，尽量利用征地红线范围内用地，减少新建便道长度</w:t>
            </w:r>
            <w:r>
              <w:rPr>
                <w:rFonts w:hint="eastAsia"/>
                <w:color w:val="auto"/>
                <w:spacing w:val="0"/>
                <w:kern w:val="0"/>
                <w:sz w:val="24"/>
                <w:lang w:eastAsia="zh-CN"/>
              </w:rPr>
              <w:t>，</w:t>
            </w:r>
            <w:r>
              <w:rPr>
                <w:rFonts w:hint="eastAsia"/>
                <w:color w:val="auto"/>
                <w:spacing w:val="0"/>
                <w:kern w:val="0"/>
                <w:sz w:val="24"/>
              </w:rPr>
              <w:t>避开植被良好区域、耕地集中区、生态公益林和基本农田。</w:t>
            </w:r>
          </w:p>
          <w:p w14:paraId="538DAADA">
            <w:pPr>
              <w:autoSpaceDE w:val="0"/>
              <w:autoSpaceDN w:val="0"/>
              <w:adjustRightInd w:val="0"/>
              <w:spacing w:line="300" w:lineRule="auto"/>
              <w:ind w:firstLine="480" w:firstLineChars="200"/>
              <w:rPr>
                <w:color w:val="auto"/>
                <w:spacing w:val="0"/>
                <w:kern w:val="0"/>
                <w:sz w:val="24"/>
              </w:rPr>
            </w:pPr>
            <w:r>
              <w:rPr>
                <w:rFonts w:hint="eastAsia"/>
                <w:color w:val="auto"/>
                <w:spacing w:val="0"/>
                <w:kern w:val="0"/>
                <w:sz w:val="24"/>
                <w:lang w:val="en-US" w:eastAsia="zh-CN"/>
              </w:rPr>
              <w:t xml:space="preserve">(5) </w:t>
            </w:r>
            <w:r>
              <w:rPr>
                <w:rFonts w:hint="eastAsia"/>
                <w:color w:val="auto"/>
                <w:spacing w:val="0"/>
                <w:kern w:val="0"/>
                <w:sz w:val="24"/>
              </w:rPr>
              <w:t>植被恢复全部选用当地乡土物种，优先选择对土壤要求低、适应性强、根系发达、固土效果好、抗逆性强且便于养护的植物。</w:t>
            </w:r>
          </w:p>
          <w:p w14:paraId="524ED3F0">
            <w:pPr>
              <w:autoSpaceDE w:val="0"/>
              <w:autoSpaceDN w:val="0"/>
              <w:adjustRightInd w:val="0"/>
              <w:spacing w:line="300" w:lineRule="auto"/>
              <w:ind w:firstLine="480" w:firstLineChars="200"/>
              <w:rPr>
                <w:rFonts w:hint="eastAsia"/>
                <w:color w:val="auto"/>
                <w:spacing w:val="0"/>
                <w:kern w:val="0"/>
                <w:sz w:val="24"/>
              </w:rPr>
            </w:pPr>
            <w:r>
              <w:rPr>
                <w:rFonts w:hint="eastAsia"/>
                <w:color w:val="auto"/>
                <w:spacing w:val="0"/>
                <w:kern w:val="0"/>
                <w:sz w:val="24"/>
                <w:lang w:val="en-US" w:eastAsia="zh-CN"/>
              </w:rPr>
              <w:t xml:space="preserve">(6) </w:t>
            </w:r>
            <w:r>
              <w:rPr>
                <w:rFonts w:hint="eastAsia"/>
                <w:color w:val="auto"/>
                <w:spacing w:val="0"/>
                <w:kern w:val="0"/>
                <w:sz w:val="24"/>
              </w:rPr>
              <w:t>坚持</w:t>
            </w:r>
            <w:r>
              <w:rPr>
                <w:color w:val="auto"/>
                <w:spacing w:val="0"/>
                <w:kern w:val="0"/>
                <w:sz w:val="24"/>
              </w:rPr>
              <w:t>"</w:t>
            </w:r>
            <w:r>
              <w:rPr>
                <w:rFonts w:hint="eastAsia"/>
                <w:color w:val="auto"/>
                <w:spacing w:val="0"/>
                <w:kern w:val="0"/>
                <w:sz w:val="24"/>
              </w:rPr>
              <w:t>因地制宜、因害设防、保护优先、综合治理</w:t>
            </w:r>
            <w:r>
              <w:rPr>
                <w:color w:val="auto"/>
                <w:spacing w:val="0"/>
                <w:kern w:val="0"/>
                <w:sz w:val="24"/>
              </w:rPr>
              <w:t>"</w:t>
            </w:r>
            <w:r>
              <w:rPr>
                <w:rFonts w:hint="eastAsia"/>
                <w:color w:val="auto"/>
                <w:spacing w:val="0"/>
                <w:kern w:val="0"/>
                <w:sz w:val="24"/>
              </w:rPr>
              <w:t>的原则，宜乔则乔、宜灌则灌、宜草则草，采取以林草植被恢复为主的综合防沙治沙措施。</w:t>
            </w:r>
          </w:p>
          <w:p w14:paraId="4F024393">
            <w:pPr>
              <w:keepNext w:val="0"/>
              <w:keepLines w:val="0"/>
              <w:pageBreakBefore w:val="0"/>
              <w:widowControl w:val="0"/>
              <w:kinsoku/>
              <w:wordWrap/>
              <w:overflowPunct/>
              <w:topLinePunct w:val="0"/>
              <w:autoSpaceDE w:val="0"/>
              <w:autoSpaceDN w:val="0"/>
              <w:bidi w:val="0"/>
              <w:adjustRightInd w:val="0"/>
              <w:snapToGrid/>
              <w:spacing w:after="157" w:afterLines="50" w:line="300" w:lineRule="auto"/>
              <w:ind w:firstLine="480" w:firstLineChars="200"/>
              <w:textAlignment w:val="auto"/>
              <w:rPr>
                <w:rFonts w:hint="eastAsia" w:eastAsia="宋体"/>
                <w:color w:val="auto"/>
                <w:spacing w:val="0"/>
                <w:kern w:val="0"/>
                <w:sz w:val="24"/>
                <w:lang w:eastAsia="zh-CN"/>
              </w:rPr>
            </w:pPr>
            <w:r>
              <w:rPr>
                <w:rFonts w:hint="eastAsia"/>
                <w:sz w:val="24"/>
                <w:lang w:val="en-US" w:eastAsia="zh-CN"/>
              </w:rPr>
              <w:t>施工期</w:t>
            </w:r>
            <w:r>
              <w:rPr>
                <w:rFonts w:hint="eastAsia"/>
                <w:sz w:val="24"/>
              </w:rPr>
              <w:t>生态保护措施具体见生态专项评价</w:t>
            </w:r>
            <w:r>
              <w:rPr>
                <w:rFonts w:hint="eastAsia"/>
                <w:sz w:val="24"/>
                <w:lang w:eastAsia="zh-CN"/>
              </w:rPr>
              <w:t>。</w:t>
            </w:r>
          </w:p>
          <w:p w14:paraId="425C33AE">
            <w:pPr>
              <w:adjustRightInd w:val="0"/>
              <w:spacing w:line="300" w:lineRule="auto"/>
              <w:rPr>
                <w:b/>
                <w:bCs/>
                <w:spacing w:val="0"/>
                <w:sz w:val="24"/>
              </w:rPr>
            </w:pPr>
            <w:r>
              <w:rPr>
                <w:b/>
                <w:bCs/>
                <w:spacing w:val="0"/>
                <w:sz w:val="24"/>
              </w:rPr>
              <w:t>6. 固废</w:t>
            </w:r>
            <w:r>
              <w:rPr>
                <w:rFonts w:hint="eastAsia"/>
                <w:b/>
                <w:bCs/>
                <w:spacing w:val="0"/>
                <w:sz w:val="24"/>
              </w:rPr>
              <w:t>管理</w:t>
            </w:r>
            <w:r>
              <w:rPr>
                <w:b/>
                <w:bCs/>
                <w:spacing w:val="0"/>
                <w:sz w:val="24"/>
              </w:rPr>
              <w:t>措施</w:t>
            </w:r>
          </w:p>
          <w:p w14:paraId="72763381">
            <w:pPr>
              <w:autoSpaceDE w:val="0"/>
              <w:autoSpaceDN w:val="0"/>
              <w:adjustRightInd w:val="0"/>
              <w:spacing w:line="300" w:lineRule="auto"/>
              <w:ind w:firstLine="480" w:firstLineChars="200"/>
              <w:rPr>
                <w:rFonts w:hint="eastAsia"/>
                <w:spacing w:val="0"/>
                <w:sz w:val="24"/>
                <w:szCs w:val="20"/>
                <w:lang w:val="en-US" w:eastAsia="zh-CN"/>
              </w:rPr>
            </w:pPr>
            <w:r>
              <w:rPr>
                <w:spacing w:val="0"/>
                <w:sz w:val="24"/>
                <w:szCs w:val="20"/>
              </w:rPr>
              <w:t>(</w:t>
            </w:r>
            <w:r>
              <w:rPr>
                <w:rFonts w:hint="eastAsia"/>
                <w:spacing w:val="0"/>
                <w:sz w:val="24"/>
                <w:szCs w:val="20"/>
              </w:rPr>
              <w:t>1</w:t>
            </w:r>
            <w:r>
              <w:rPr>
                <w:spacing w:val="0"/>
                <w:sz w:val="24"/>
                <w:szCs w:val="20"/>
              </w:rPr>
              <w:t>)</w:t>
            </w:r>
            <w:r>
              <w:rPr>
                <w:rFonts w:hint="eastAsia"/>
                <w:spacing w:val="0"/>
                <w:sz w:val="24"/>
                <w:szCs w:val="20"/>
              </w:rPr>
              <w:t xml:space="preserve"> </w:t>
            </w:r>
            <w:r>
              <w:rPr>
                <w:rFonts w:hint="eastAsia"/>
                <w:spacing w:val="0"/>
                <w:sz w:val="24"/>
                <w:szCs w:val="20"/>
                <w:lang w:val="en-US" w:eastAsia="zh-CN"/>
              </w:rPr>
              <w:t>建筑垃圾</w:t>
            </w:r>
            <w:r>
              <w:rPr>
                <w:spacing w:val="0"/>
                <w:sz w:val="24"/>
                <w:szCs w:val="20"/>
              </w:rPr>
              <w:t>（含桥梁拆除）</w:t>
            </w:r>
            <w:r>
              <w:rPr>
                <w:rFonts w:hint="eastAsia"/>
                <w:spacing w:val="0"/>
                <w:sz w:val="24"/>
                <w:szCs w:val="20"/>
                <w:lang w:val="en-US" w:eastAsia="zh-CN"/>
              </w:rPr>
              <w:t>在存贮、运输以及资源化利用的过程中应采取以下措施：</w:t>
            </w:r>
          </w:p>
          <w:p w14:paraId="29C1AC27">
            <w:pPr>
              <w:autoSpaceDE w:val="0"/>
              <w:autoSpaceDN w:val="0"/>
              <w:adjustRightInd w:val="0"/>
              <w:spacing w:line="300" w:lineRule="auto"/>
              <w:ind w:firstLine="480" w:firstLineChars="200"/>
              <w:rPr>
                <w:rFonts w:hint="eastAsia" w:eastAsia="宋体"/>
                <w:spacing w:val="0"/>
                <w:sz w:val="24"/>
                <w:szCs w:val="20"/>
                <w:lang w:eastAsia="zh-CN"/>
              </w:rPr>
            </w:pPr>
            <w:r>
              <w:rPr>
                <w:rFonts w:hint="eastAsia"/>
                <w:spacing w:val="0"/>
                <w:sz w:val="24"/>
                <w:szCs w:val="20"/>
                <w:lang w:val="en-US" w:eastAsia="zh-CN"/>
              </w:rPr>
              <w:fldChar w:fldCharType="begin"/>
            </w:r>
            <w:r>
              <w:rPr>
                <w:rFonts w:hint="eastAsia"/>
                <w:spacing w:val="0"/>
                <w:sz w:val="24"/>
                <w:szCs w:val="20"/>
                <w:lang w:val="en-US" w:eastAsia="zh-CN"/>
              </w:rPr>
              <w:instrText xml:space="preserve"> = 1 \* GB3 \* MERGEFORMAT </w:instrText>
            </w:r>
            <w:r>
              <w:rPr>
                <w:rFonts w:hint="eastAsia"/>
                <w:spacing w:val="0"/>
                <w:sz w:val="24"/>
                <w:szCs w:val="20"/>
                <w:lang w:val="en-US" w:eastAsia="zh-CN"/>
              </w:rPr>
              <w:fldChar w:fldCharType="separate"/>
            </w:r>
            <w:r>
              <w:rPr>
                <w:spacing w:val="0"/>
              </w:rPr>
              <w:t>①</w:t>
            </w:r>
            <w:r>
              <w:rPr>
                <w:rFonts w:hint="eastAsia"/>
                <w:spacing w:val="0"/>
                <w:sz w:val="24"/>
                <w:szCs w:val="20"/>
                <w:lang w:val="en-US" w:eastAsia="zh-CN"/>
              </w:rPr>
              <w:fldChar w:fldCharType="end"/>
            </w:r>
            <w:r>
              <w:rPr>
                <w:rFonts w:hint="eastAsia"/>
                <w:spacing w:val="0"/>
                <w:sz w:val="24"/>
                <w:szCs w:val="20"/>
                <w:lang w:val="en-US" w:eastAsia="zh-CN"/>
              </w:rPr>
              <w:t xml:space="preserve"> 按废弃建材和废弃材料</w:t>
            </w:r>
            <w:r>
              <w:rPr>
                <w:rFonts w:hint="eastAsia"/>
                <w:spacing w:val="0"/>
                <w:sz w:val="24"/>
                <w:szCs w:val="20"/>
              </w:rPr>
              <w:t>分类堆放</w:t>
            </w:r>
            <w:r>
              <w:rPr>
                <w:rFonts w:hint="eastAsia"/>
                <w:spacing w:val="0"/>
                <w:sz w:val="24"/>
                <w:szCs w:val="20"/>
                <w:lang w:eastAsia="zh-CN"/>
              </w:rPr>
              <w:t>，</w:t>
            </w:r>
            <w:r>
              <w:rPr>
                <w:rFonts w:hint="eastAsia"/>
                <w:spacing w:val="0"/>
                <w:sz w:val="24"/>
                <w:szCs w:val="20"/>
                <w:lang w:val="en-US" w:eastAsia="zh-CN"/>
              </w:rPr>
              <w:t>贮存设施或场所应对场内物料倒运、上料、卸料等环节采取防尘、降噪措施</w:t>
            </w:r>
            <w:r>
              <w:rPr>
                <w:rFonts w:hint="eastAsia"/>
                <w:spacing w:val="0"/>
                <w:sz w:val="24"/>
                <w:szCs w:val="20"/>
                <w:lang w:eastAsia="zh-CN"/>
              </w:rPr>
              <w:t>。</w:t>
            </w:r>
          </w:p>
          <w:p w14:paraId="6700A90B">
            <w:pPr>
              <w:autoSpaceDE w:val="0"/>
              <w:autoSpaceDN w:val="0"/>
              <w:adjustRightInd w:val="0"/>
              <w:spacing w:line="300" w:lineRule="auto"/>
              <w:ind w:firstLine="480" w:firstLineChars="200"/>
              <w:rPr>
                <w:rFonts w:hint="eastAsia"/>
                <w:spacing w:val="0"/>
                <w:sz w:val="24"/>
                <w:szCs w:val="20"/>
                <w:lang w:val="en-US" w:eastAsia="zh-CN"/>
              </w:rPr>
            </w:pPr>
            <w:r>
              <w:rPr>
                <w:rFonts w:hint="eastAsia"/>
                <w:spacing w:val="0"/>
                <w:sz w:val="24"/>
                <w:szCs w:val="20"/>
                <w:lang w:val="en-US" w:eastAsia="zh-CN"/>
              </w:rPr>
              <w:fldChar w:fldCharType="begin"/>
            </w:r>
            <w:r>
              <w:rPr>
                <w:rFonts w:hint="eastAsia"/>
                <w:spacing w:val="0"/>
                <w:sz w:val="24"/>
                <w:szCs w:val="20"/>
                <w:lang w:val="en-US" w:eastAsia="zh-CN"/>
              </w:rPr>
              <w:instrText xml:space="preserve"> = 2 \* GB3 \* MERGEFORMAT </w:instrText>
            </w:r>
            <w:r>
              <w:rPr>
                <w:rFonts w:hint="eastAsia"/>
                <w:spacing w:val="0"/>
                <w:sz w:val="24"/>
                <w:szCs w:val="20"/>
                <w:lang w:val="en-US" w:eastAsia="zh-CN"/>
              </w:rPr>
              <w:fldChar w:fldCharType="separate"/>
            </w:r>
            <w:r>
              <w:rPr>
                <w:spacing w:val="0"/>
              </w:rPr>
              <w:t>②</w:t>
            </w:r>
            <w:r>
              <w:rPr>
                <w:rFonts w:hint="eastAsia"/>
                <w:spacing w:val="0"/>
                <w:sz w:val="24"/>
                <w:szCs w:val="20"/>
                <w:lang w:val="en-US" w:eastAsia="zh-CN"/>
              </w:rPr>
              <w:fldChar w:fldCharType="end"/>
            </w:r>
            <w:r>
              <w:rPr>
                <w:rFonts w:hint="eastAsia"/>
                <w:spacing w:val="0"/>
                <w:sz w:val="24"/>
                <w:szCs w:val="20"/>
                <w:lang w:val="en-US" w:eastAsia="zh-CN"/>
              </w:rPr>
              <w:t xml:space="preserve"> 装运过程中应避免混合，运输过程中应采取必要的防扬散、防遗撒、防渗漏、防噪声措施。</w:t>
            </w:r>
          </w:p>
          <w:p w14:paraId="78A845AD">
            <w:pPr>
              <w:autoSpaceDE w:val="0"/>
              <w:autoSpaceDN w:val="0"/>
              <w:adjustRightInd w:val="0"/>
              <w:spacing w:line="300" w:lineRule="auto"/>
              <w:ind w:firstLine="480" w:firstLineChars="200"/>
              <w:rPr>
                <w:rFonts w:hint="default" w:eastAsia="宋体"/>
                <w:spacing w:val="0"/>
                <w:sz w:val="24"/>
                <w:szCs w:val="20"/>
                <w:lang w:val="en-US" w:eastAsia="zh-CN"/>
              </w:rPr>
            </w:pPr>
            <w:r>
              <w:rPr>
                <w:rFonts w:hint="eastAsia"/>
                <w:spacing w:val="0"/>
                <w:sz w:val="24"/>
                <w:szCs w:val="20"/>
                <w:lang w:val="en-US" w:eastAsia="zh-CN"/>
              </w:rPr>
              <w:fldChar w:fldCharType="begin"/>
            </w:r>
            <w:r>
              <w:rPr>
                <w:rFonts w:hint="eastAsia"/>
                <w:spacing w:val="0"/>
                <w:sz w:val="24"/>
                <w:szCs w:val="20"/>
                <w:lang w:val="en-US" w:eastAsia="zh-CN"/>
              </w:rPr>
              <w:instrText xml:space="preserve"> = 3 \* GB3 \* MERGEFORMAT </w:instrText>
            </w:r>
            <w:r>
              <w:rPr>
                <w:rFonts w:hint="eastAsia"/>
                <w:spacing w:val="0"/>
                <w:sz w:val="24"/>
                <w:szCs w:val="20"/>
                <w:lang w:val="en-US" w:eastAsia="zh-CN"/>
              </w:rPr>
              <w:fldChar w:fldCharType="separate"/>
            </w:r>
            <w:r>
              <w:rPr>
                <w:spacing w:val="0"/>
              </w:rPr>
              <w:t>③</w:t>
            </w:r>
            <w:r>
              <w:rPr>
                <w:rFonts w:hint="eastAsia"/>
                <w:spacing w:val="0"/>
                <w:sz w:val="24"/>
                <w:szCs w:val="20"/>
                <w:lang w:val="en-US" w:eastAsia="zh-CN"/>
              </w:rPr>
              <w:fldChar w:fldCharType="end"/>
            </w:r>
            <w:r>
              <w:rPr>
                <w:rFonts w:hint="eastAsia"/>
                <w:spacing w:val="0"/>
                <w:sz w:val="24"/>
                <w:szCs w:val="20"/>
                <w:lang w:val="en-US" w:eastAsia="zh-CN"/>
              </w:rPr>
              <w:t xml:space="preserve"> 应根据建筑垃圾的成分和当地需求因地制宜选择资源化利用技术，并对资源化过程中产生的废物进行妥善处置，防止二次污染</w:t>
            </w:r>
            <w:r>
              <w:rPr>
                <w:spacing w:val="0"/>
                <w:sz w:val="24"/>
                <w:szCs w:val="20"/>
              </w:rPr>
              <w:t>。</w:t>
            </w:r>
            <w:r>
              <w:rPr>
                <w:rFonts w:hint="eastAsia"/>
                <w:spacing w:val="0"/>
                <w:sz w:val="24"/>
                <w:szCs w:val="20"/>
                <w:lang w:val="en-US" w:eastAsia="zh-CN"/>
              </w:rPr>
              <w:t>无法回收利用的，应运至弃渣场填埋处理。</w:t>
            </w:r>
          </w:p>
          <w:p w14:paraId="2FE63C43">
            <w:pPr>
              <w:autoSpaceDE w:val="0"/>
              <w:autoSpaceDN w:val="0"/>
              <w:adjustRightInd w:val="0"/>
              <w:spacing w:line="300" w:lineRule="auto"/>
              <w:ind w:firstLine="480" w:firstLineChars="200"/>
              <w:rPr>
                <w:spacing w:val="0"/>
                <w:sz w:val="24"/>
                <w:szCs w:val="20"/>
              </w:rPr>
            </w:pPr>
            <w:r>
              <w:rPr>
                <w:rFonts w:hint="eastAsia"/>
                <w:spacing w:val="0"/>
                <w:sz w:val="24"/>
                <w:szCs w:val="20"/>
              </w:rPr>
              <w:t>(</w:t>
            </w:r>
            <w:r>
              <w:rPr>
                <w:rFonts w:hint="eastAsia"/>
                <w:spacing w:val="0"/>
                <w:sz w:val="24"/>
                <w:szCs w:val="20"/>
                <w:lang w:val="en-US" w:eastAsia="zh-CN"/>
              </w:rPr>
              <w:t>2</w:t>
            </w:r>
            <w:r>
              <w:rPr>
                <w:rFonts w:hint="eastAsia"/>
                <w:spacing w:val="0"/>
                <w:sz w:val="24"/>
                <w:szCs w:val="20"/>
              </w:rPr>
              <w:t xml:space="preserve">) </w:t>
            </w:r>
            <w:r>
              <w:rPr>
                <w:spacing w:val="0"/>
                <w:sz w:val="24"/>
                <w:szCs w:val="20"/>
              </w:rPr>
              <w:t>施工期机械维修期间产生的少量的废机油、柴油及含油抹布等含油危险废物，在维修间附近设置危险废物暂存间，委托有资质的单位定期清运处置。</w:t>
            </w:r>
          </w:p>
          <w:p w14:paraId="01239B23">
            <w:pPr>
              <w:autoSpaceDE w:val="0"/>
              <w:autoSpaceDN w:val="0"/>
              <w:adjustRightInd w:val="0"/>
              <w:spacing w:line="300" w:lineRule="auto"/>
              <w:ind w:firstLine="480" w:firstLineChars="200"/>
              <w:rPr>
                <w:lang w:val="en-US" w:eastAsia="zh-CN"/>
              </w:rPr>
            </w:pPr>
            <w:r>
              <w:rPr>
                <w:spacing w:val="0"/>
                <w:sz w:val="24"/>
                <w:szCs w:val="20"/>
              </w:rPr>
              <w:t>(</w:t>
            </w:r>
            <w:r>
              <w:rPr>
                <w:rFonts w:hint="eastAsia"/>
                <w:spacing w:val="0"/>
                <w:sz w:val="24"/>
                <w:szCs w:val="20"/>
                <w:lang w:val="en-US" w:eastAsia="zh-CN"/>
              </w:rPr>
              <w:t>3</w:t>
            </w:r>
            <w:r>
              <w:rPr>
                <w:spacing w:val="0"/>
                <w:sz w:val="24"/>
                <w:szCs w:val="20"/>
              </w:rPr>
              <w:t xml:space="preserve">) </w:t>
            </w:r>
            <w:r>
              <w:rPr>
                <w:snapToGrid w:val="0"/>
                <w:spacing w:val="0"/>
                <w:sz w:val="24"/>
              </w:rPr>
              <w:t>施工生活垃圾定期送至当地生活垃圾填埋场处置。</w:t>
            </w:r>
            <w:r>
              <w:rPr>
                <w:rFonts w:hint="eastAsia"/>
                <w:spacing w:val="0"/>
                <w:lang w:val="en-US" w:eastAsia="zh-CN"/>
              </w:rPr>
              <w:tab/>
            </w:r>
          </w:p>
        </w:tc>
      </w:tr>
      <w:tr w14:paraId="7CFCED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86" w:hRule="atLeast"/>
        </w:trPr>
        <w:tc>
          <w:tcPr>
            <w:tcW w:w="753" w:type="dxa"/>
            <w:tcMar>
              <w:left w:w="28" w:type="dxa"/>
              <w:right w:w="28" w:type="dxa"/>
            </w:tcMar>
            <w:vAlign w:val="center"/>
          </w:tcPr>
          <w:p w14:paraId="2938CEF2">
            <w:pPr>
              <w:adjustRightInd w:val="0"/>
              <w:snapToGrid w:val="0"/>
              <w:jc w:val="center"/>
              <w:rPr>
                <w:bCs/>
                <w:color w:val="auto"/>
                <w:spacing w:val="10"/>
                <w:sz w:val="24"/>
              </w:rPr>
            </w:pPr>
            <w:r>
              <w:rPr>
                <w:bCs/>
                <w:color w:val="auto"/>
                <w:spacing w:val="10"/>
                <w:sz w:val="24"/>
              </w:rPr>
              <w:t>运营期生态环境保护措施</w:t>
            </w:r>
          </w:p>
        </w:tc>
        <w:tc>
          <w:tcPr>
            <w:tcW w:w="8347" w:type="dxa"/>
            <w:tcBorders>
              <w:right w:val="single" w:color="auto" w:sz="4" w:space="0"/>
            </w:tcBorders>
          </w:tcPr>
          <w:p w14:paraId="74912193">
            <w:pPr>
              <w:autoSpaceDE w:val="0"/>
              <w:autoSpaceDN w:val="0"/>
              <w:adjustRightInd w:val="0"/>
              <w:spacing w:line="300" w:lineRule="auto"/>
              <w:rPr>
                <w:kern w:val="0"/>
                <w:sz w:val="24"/>
              </w:rPr>
            </w:pPr>
            <w:r>
              <w:rPr>
                <w:rFonts w:hint="eastAsia"/>
                <w:b/>
                <w:bCs/>
                <w:kern w:val="0"/>
                <w:sz w:val="24"/>
              </w:rPr>
              <w:t xml:space="preserve">1. </w:t>
            </w:r>
            <w:r>
              <w:rPr>
                <w:b/>
                <w:kern w:val="0"/>
                <w:sz w:val="24"/>
              </w:rPr>
              <w:t>大气环境保护措施</w:t>
            </w:r>
          </w:p>
          <w:p w14:paraId="094B98D6">
            <w:pPr>
              <w:adjustRightInd w:val="0"/>
              <w:spacing w:line="300" w:lineRule="auto"/>
              <w:ind w:firstLine="482"/>
              <w:rPr>
                <w:color w:val="auto"/>
                <w:sz w:val="24"/>
              </w:rPr>
            </w:pPr>
            <w:r>
              <w:rPr>
                <w:color w:val="auto"/>
                <w:sz w:val="24"/>
              </w:rPr>
              <w:t>(1) 营运期加强公路管理及路面养护，保持公路良好运营状态，有效减少路面扬尘和机动车怠速时间。</w:t>
            </w:r>
          </w:p>
          <w:p w14:paraId="12C190B5">
            <w:pPr>
              <w:pStyle w:val="58"/>
              <w:adjustRightInd w:val="0"/>
              <w:ind w:firstLine="480"/>
              <w:rPr>
                <w:color w:val="auto"/>
                <w:spacing w:val="-6"/>
                <w:sz w:val="24"/>
                <w:szCs w:val="24"/>
              </w:rPr>
            </w:pPr>
            <w:r>
              <w:rPr>
                <w:color w:val="auto"/>
                <w:spacing w:val="-6"/>
                <w:sz w:val="24"/>
                <w:szCs w:val="24"/>
              </w:rPr>
              <w:t>(2) 建议结合当地生态建设等规划，在靠近</w:t>
            </w:r>
            <w:r>
              <w:rPr>
                <w:rFonts w:hint="eastAsia"/>
                <w:color w:val="auto"/>
                <w:spacing w:val="-6"/>
                <w:sz w:val="24"/>
                <w:szCs w:val="24"/>
                <w:lang w:val="en-US" w:eastAsia="zh-CN"/>
              </w:rPr>
              <w:t>拟建</w:t>
            </w:r>
            <w:r>
              <w:rPr>
                <w:color w:val="auto"/>
                <w:spacing w:val="-6"/>
                <w:sz w:val="24"/>
                <w:szCs w:val="24"/>
              </w:rPr>
              <w:t>公路两侧多种植乔、灌木。这样</w:t>
            </w:r>
            <w:r>
              <w:rPr>
                <w:rFonts w:hint="eastAsia"/>
                <w:color w:val="auto"/>
                <w:spacing w:val="-6"/>
                <w:sz w:val="24"/>
                <w:szCs w:val="24"/>
                <w:lang w:eastAsia="zh-CN"/>
              </w:rPr>
              <w:t>既</w:t>
            </w:r>
            <w:r>
              <w:rPr>
                <w:color w:val="auto"/>
                <w:spacing w:val="-6"/>
                <w:sz w:val="24"/>
                <w:szCs w:val="24"/>
              </w:rPr>
              <w:t>可以净化空气，又可以美化环境，改善路容，减轻机动车尾气污染的影响。</w:t>
            </w:r>
          </w:p>
          <w:p w14:paraId="68A60E97">
            <w:pPr>
              <w:adjustRightInd w:val="0"/>
              <w:spacing w:line="300" w:lineRule="auto"/>
              <w:ind w:firstLine="482"/>
              <w:rPr>
                <w:color w:val="auto"/>
                <w:sz w:val="24"/>
              </w:rPr>
            </w:pPr>
            <w:r>
              <w:rPr>
                <w:color w:val="auto"/>
                <w:sz w:val="24"/>
              </w:rPr>
              <w:t>(3) 建议规划部门在制定和审批城镇建设规划时，对在公路附近建设住宅、学校、医院等加以限制。</w:t>
            </w:r>
          </w:p>
          <w:p w14:paraId="59BD552D">
            <w:pPr>
              <w:adjustRightInd w:val="0"/>
              <w:spacing w:line="300" w:lineRule="auto"/>
              <w:ind w:firstLine="482"/>
              <w:rPr>
                <w:color w:val="auto"/>
                <w:sz w:val="24"/>
              </w:rPr>
            </w:pPr>
            <w:r>
              <w:rPr>
                <w:color w:val="auto"/>
                <w:sz w:val="24"/>
              </w:rPr>
              <w:t>(4) 实施上路车辆的达标管理制度，对于排放不达标的车辆不允许其上路。</w:t>
            </w:r>
          </w:p>
          <w:p w14:paraId="0EEBF600">
            <w:pPr>
              <w:autoSpaceDE w:val="0"/>
              <w:autoSpaceDN w:val="0"/>
              <w:adjustRightInd w:val="0"/>
              <w:spacing w:after="120" w:afterLines="50" w:line="300" w:lineRule="auto"/>
              <w:ind w:firstLine="480" w:firstLineChars="200"/>
              <w:rPr>
                <w:color w:val="auto"/>
                <w:sz w:val="24"/>
              </w:rPr>
            </w:pPr>
            <w:r>
              <w:rPr>
                <w:color w:val="auto"/>
                <w:sz w:val="24"/>
              </w:rPr>
              <w:t>(</w:t>
            </w:r>
            <w:r>
              <w:rPr>
                <w:rFonts w:hint="eastAsia"/>
                <w:color w:val="auto"/>
                <w:sz w:val="24"/>
              </w:rPr>
              <w:t>5</w:t>
            </w:r>
            <w:r>
              <w:rPr>
                <w:color w:val="auto"/>
                <w:sz w:val="24"/>
              </w:rPr>
              <w:t xml:space="preserve">) </w:t>
            </w:r>
            <w:r>
              <w:rPr>
                <w:rFonts w:hint="eastAsia"/>
                <w:color w:val="auto"/>
                <w:sz w:val="24"/>
              </w:rPr>
              <w:t>收费站</w:t>
            </w:r>
            <w:r>
              <w:rPr>
                <w:rFonts w:hint="eastAsia"/>
                <w:color w:val="auto"/>
                <w:sz w:val="24"/>
                <w:lang w:eastAsia="zh-CN"/>
              </w:rPr>
              <w:t>、</w:t>
            </w:r>
            <w:r>
              <w:rPr>
                <w:rFonts w:hint="eastAsia"/>
                <w:color w:val="auto"/>
                <w:sz w:val="24"/>
                <w:lang w:val="en-US" w:eastAsia="zh-CN"/>
              </w:rPr>
              <w:t>养护工区等沿线设施</w:t>
            </w:r>
            <w:r>
              <w:rPr>
                <w:color w:val="auto"/>
                <w:sz w:val="24"/>
              </w:rPr>
              <w:t>采用电</w:t>
            </w:r>
            <w:r>
              <w:rPr>
                <w:rFonts w:hint="eastAsia"/>
                <w:color w:val="auto"/>
                <w:sz w:val="24"/>
              </w:rPr>
              <w:t>源</w:t>
            </w:r>
            <w:r>
              <w:rPr>
                <w:color w:val="auto"/>
                <w:sz w:val="24"/>
              </w:rPr>
              <w:t>供暖供热</w:t>
            </w:r>
            <w:r>
              <w:rPr>
                <w:rFonts w:hint="eastAsia"/>
                <w:color w:val="auto"/>
                <w:sz w:val="24"/>
                <w:lang w:eastAsia="zh-CN"/>
              </w:rPr>
              <w:t>，</w:t>
            </w:r>
            <w:r>
              <w:rPr>
                <w:rFonts w:hint="eastAsia"/>
                <w:color w:val="auto"/>
                <w:sz w:val="24"/>
              </w:rPr>
              <w:t>厨房</w:t>
            </w:r>
            <w:r>
              <w:rPr>
                <w:color w:val="auto"/>
                <w:sz w:val="24"/>
              </w:rPr>
              <w:t>加装油烟</w:t>
            </w:r>
            <w:r>
              <w:rPr>
                <w:rFonts w:hint="eastAsia"/>
                <w:color w:val="auto"/>
                <w:sz w:val="24"/>
              </w:rPr>
              <w:t>净化</w:t>
            </w:r>
            <w:r>
              <w:rPr>
                <w:color w:val="auto"/>
                <w:sz w:val="24"/>
              </w:rPr>
              <w:t>装置，排放废气的管道应有一定的高度，以利废气扩散。同时，排气筒出口朝向应避开易受影响的建筑物。</w:t>
            </w:r>
          </w:p>
          <w:p w14:paraId="4D140602">
            <w:pPr>
              <w:autoSpaceDE w:val="0"/>
              <w:autoSpaceDN w:val="0"/>
              <w:adjustRightInd w:val="0"/>
              <w:spacing w:line="300" w:lineRule="auto"/>
              <w:rPr>
                <w:b/>
                <w:kern w:val="0"/>
                <w:sz w:val="24"/>
              </w:rPr>
            </w:pPr>
            <w:r>
              <w:rPr>
                <w:rFonts w:hint="eastAsia"/>
                <w:b/>
                <w:bCs/>
                <w:kern w:val="0"/>
                <w:sz w:val="24"/>
              </w:rPr>
              <w:t xml:space="preserve">2. </w:t>
            </w:r>
            <w:r>
              <w:rPr>
                <w:b/>
                <w:kern w:val="0"/>
                <w:sz w:val="24"/>
              </w:rPr>
              <w:t>水环境保护措施</w:t>
            </w:r>
          </w:p>
          <w:p w14:paraId="7F4D6A3D">
            <w:pPr>
              <w:pStyle w:val="58"/>
              <w:ind w:firstLine="480"/>
            </w:pPr>
            <w:r>
              <w:t>(</w:t>
            </w:r>
            <w:r>
              <w:rPr>
                <w:rFonts w:hint="eastAsia"/>
              </w:rPr>
              <w:t>1</w:t>
            </w:r>
            <w:r>
              <w:t>) 沿线设施生活污水处理措施</w:t>
            </w:r>
          </w:p>
          <w:p w14:paraId="7B55407B">
            <w:pPr>
              <w:pStyle w:val="58"/>
              <w:spacing w:after="120" w:afterLines="50"/>
              <w:ind w:firstLine="480"/>
            </w:pPr>
            <w:r>
              <w:t>拟建公路</w:t>
            </w:r>
            <w:r>
              <w:rPr>
                <w:rFonts w:hint="eastAsia"/>
              </w:rPr>
              <w:t>沿线设施</w:t>
            </w:r>
            <w:r>
              <w:t>生活污水采用</w:t>
            </w:r>
            <w:r>
              <w:rPr>
                <w:rFonts w:hint="eastAsia"/>
                <w:lang w:val="en-US" w:eastAsia="zh-CN"/>
              </w:rPr>
              <w:t>一体化</w:t>
            </w:r>
            <w:r>
              <w:t>污水处理设施处理，达到</w:t>
            </w:r>
            <w:r>
              <w:rPr>
                <w:rFonts w:hint="eastAsia"/>
              </w:rPr>
              <w:t>《城市污水再生利用 城市杂用水水质》(GB/T 18920-2020)绿化用水标准后</w:t>
            </w:r>
            <w:r>
              <w:t>排入站内设置的蓄水池，用于场地绿化，夏灌冬储不外排。沿线设施污水处理措施见表</w:t>
            </w:r>
            <w:r>
              <w:rPr>
                <w:rFonts w:hint="eastAsia"/>
                <w:lang w:val="en-US" w:eastAsia="zh-CN"/>
              </w:rPr>
              <w:t>5</w:t>
            </w:r>
            <w:r>
              <w:t>-1。</w:t>
            </w:r>
          </w:p>
          <w:p w14:paraId="171B955F">
            <w:pPr>
              <w:pStyle w:val="58"/>
              <w:keepNext w:val="0"/>
              <w:keepLines w:val="0"/>
              <w:pageBreakBefore w:val="0"/>
              <w:widowControl w:val="0"/>
              <w:kinsoku/>
              <w:wordWrap/>
              <w:overflowPunct/>
              <w:topLinePunct w:val="0"/>
              <w:autoSpaceDE/>
              <w:autoSpaceDN/>
              <w:bidi w:val="0"/>
              <w:adjustRightInd/>
              <w:snapToGrid/>
              <w:spacing w:before="157" w:beforeLines="50" w:line="240" w:lineRule="auto"/>
              <w:ind w:firstLine="0" w:firstLineChars="0"/>
              <w:jc w:val="center"/>
              <w:textAlignment w:val="auto"/>
              <w:rPr>
                <w:b/>
                <w:sz w:val="21"/>
                <w:szCs w:val="21"/>
              </w:rPr>
            </w:pPr>
            <w:r>
              <w:rPr>
                <w:b/>
                <w:sz w:val="21"/>
                <w:szCs w:val="21"/>
              </w:rPr>
              <w:t>表</w:t>
            </w:r>
            <w:r>
              <w:rPr>
                <w:rFonts w:hint="eastAsia"/>
                <w:b/>
                <w:sz w:val="21"/>
                <w:szCs w:val="21"/>
                <w:lang w:val="en-US" w:eastAsia="zh-CN"/>
              </w:rPr>
              <w:t>5</w:t>
            </w:r>
            <w:r>
              <w:rPr>
                <w:b/>
                <w:sz w:val="21"/>
                <w:szCs w:val="21"/>
              </w:rPr>
              <w:t>-1  沿线设施污水处理措施及污水排放去向</w:t>
            </w:r>
          </w:p>
          <w:tbl>
            <w:tblPr>
              <w:tblStyle w:val="22"/>
              <w:tblW w:w="507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748"/>
              <w:gridCol w:w="949"/>
              <w:gridCol w:w="1095"/>
              <w:gridCol w:w="1456"/>
              <w:gridCol w:w="873"/>
              <w:gridCol w:w="2115"/>
            </w:tblGrid>
            <w:tr w14:paraId="032B7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061" w:type="pct"/>
                  <w:vAlign w:val="center"/>
                </w:tcPr>
                <w:p w14:paraId="586734E7">
                  <w:pPr>
                    <w:jc w:val="center"/>
                    <w:rPr>
                      <w:b/>
                      <w:bCs/>
                    </w:rPr>
                  </w:pPr>
                  <w:r>
                    <w:rPr>
                      <w:b/>
                      <w:bCs/>
                    </w:rPr>
                    <w:t>名称</w:t>
                  </w:r>
                </w:p>
              </w:tc>
              <w:tc>
                <w:tcPr>
                  <w:tcW w:w="576" w:type="pct"/>
                  <w:vAlign w:val="center"/>
                </w:tcPr>
                <w:p w14:paraId="050CC4D6">
                  <w:pPr>
                    <w:jc w:val="center"/>
                    <w:rPr>
                      <w:b/>
                      <w:bCs/>
                    </w:rPr>
                  </w:pPr>
                  <w:r>
                    <w:rPr>
                      <w:b/>
                      <w:bCs/>
                    </w:rPr>
                    <w:t>人数(人)</w:t>
                  </w:r>
                </w:p>
              </w:tc>
              <w:tc>
                <w:tcPr>
                  <w:tcW w:w="664" w:type="pct"/>
                  <w:vAlign w:val="center"/>
                </w:tcPr>
                <w:p w14:paraId="6533BF80">
                  <w:pPr>
                    <w:jc w:val="center"/>
                    <w:rPr>
                      <w:b/>
                      <w:bCs/>
                    </w:rPr>
                  </w:pPr>
                  <w:r>
                    <w:rPr>
                      <w:b/>
                      <w:bCs/>
                    </w:rPr>
                    <w:t>污水排放量（t/d）</w:t>
                  </w:r>
                </w:p>
              </w:tc>
              <w:tc>
                <w:tcPr>
                  <w:tcW w:w="883" w:type="pct"/>
                  <w:vAlign w:val="center"/>
                </w:tcPr>
                <w:p w14:paraId="3AC05D2F">
                  <w:pPr>
                    <w:jc w:val="center"/>
                    <w:rPr>
                      <w:b/>
                      <w:bCs/>
                    </w:rPr>
                  </w:pPr>
                  <w:r>
                    <w:rPr>
                      <w:b/>
                      <w:bCs/>
                    </w:rPr>
                    <w:t>处理工艺</w:t>
                  </w:r>
                </w:p>
              </w:tc>
              <w:tc>
                <w:tcPr>
                  <w:tcW w:w="529" w:type="pct"/>
                  <w:vAlign w:val="center"/>
                </w:tcPr>
                <w:p w14:paraId="1F7738E2">
                  <w:pPr>
                    <w:jc w:val="center"/>
                    <w:rPr>
                      <w:b/>
                      <w:bCs/>
                    </w:rPr>
                  </w:pPr>
                  <w:r>
                    <w:rPr>
                      <w:b/>
                      <w:bCs/>
                    </w:rPr>
                    <w:t>处理能力</w:t>
                  </w:r>
                  <w:r>
                    <w:rPr>
                      <w:rFonts w:hint="eastAsia"/>
                      <w:b/>
                      <w:bCs/>
                    </w:rPr>
                    <w:t>（t/d）</w:t>
                  </w:r>
                </w:p>
              </w:tc>
              <w:tc>
                <w:tcPr>
                  <w:tcW w:w="1283" w:type="pct"/>
                  <w:vAlign w:val="center"/>
                </w:tcPr>
                <w:p w14:paraId="79109CF8">
                  <w:pPr>
                    <w:jc w:val="center"/>
                    <w:rPr>
                      <w:b/>
                      <w:bCs/>
                    </w:rPr>
                  </w:pPr>
                  <w:r>
                    <w:rPr>
                      <w:b/>
                      <w:bCs/>
                    </w:rPr>
                    <w:t>排放去向</w:t>
                  </w:r>
                </w:p>
              </w:tc>
            </w:tr>
            <w:tr w14:paraId="08F7D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061" w:type="pct"/>
                  <w:vAlign w:val="center"/>
                </w:tcPr>
                <w:p w14:paraId="36A0CDDF">
                  <w:r>
                    <w:rPr>
                      <w:rFonts w:hint="eastAsia"/>
                    </w:rPr>
                    <w:t>收费站（含养护工区、</w:t>
                  </w:r>
                  <w:r>
                    <w:rPr>
                      <w:rFonts w:hint="eastAsia"/>
                      <w:lang w:val="en-US" w:eastAsia="zh-CN"/>
                    </w:rPr>
                    <w:t>监控</w:t>
                  </w:r>
                  <w:r>
                    <w:rPr>
                      <w:rFonts w:hint="eastAsia"/>
                    </w:rPr>
                    <w:t>管理分中心</w:t>
                  </w:r>
                  <w:r>
                    <w:rPr>
                      <w:rFonts w:hint="eastAsia"/>
                      <w:lang w:eastAsia="zh-CN"/>
                    </w:rPr>
                    <w:t>、</w:t>
                  </w:r>
                  <w:r>
                    <w:rPr>
                      <w:rFonts w:hint="eastAsia"/>
                      <w:lang w:val="en-US" w:eastAsia="zh-CN"/>
                    </w:rPr>
                    <w:t>路政执法用房</w:t>
                  </w:r>
                  <w:r>
                    <w:rPr>
                      <w:rFonts w:hint="eastAsia"/>
                    </w:rPr>
                    <w:t>）</w:t>
                  </w:r>
                </w:p>
              </w:tc>
              <w:tc>
                <w:tcPr>
                  <w:tcW w:w="576" w:type="pct"/>
                  <w:vAlign w:val="center"/>
                </w:tcPr>
                <w:p w14:paraId="476CFF97">
                  <w:pPr>
                    <w:jc w:val="center"/>
                    <w:rPr>
                      <w:rFonts w:hint="default"/>
                      <w:lang w:val="en-US"/>
                    </w:rPr>
                  </w:pPr>
                  <w:r>
                    <w:rPr>
                      <w:rFonts w:hint="eastAsia"/>
                      <w:lang w:val="en-US" w:eastAsia="zh-CN"/>
                    </w:rPr>
                    <w:t>60</w:t>
                  </w:r>
                </w:p>
              </w:tc>
              <w:tc>
                <w:tcPr>
                  <w:tcW w:w="664" w:type="pct"/>
                  <w:vAlign w:val="center"/>
                </w:tcPr>
                <w:p w14:paraId="3CE1623B">
                  <w:pPr>
                    <w:jc w:val="center"/>
                    <w:rPr>
                      <w:rFonts w:hint="default" w:eastAsia="宋体"/>
                      <w:lang w:val="en-US" w:eastAsia="zh-CN"/>
                    </w:rPr>
                  </w:pPr>
                  <w:r>
                    <w:rPr>
                      <w:rFonts w:hint="eastAsia"/>
                      <w:lang w:val="en-US" w:eastAsia="zh-CN"/>
                    </w:rPr>
                    <w:t>5.4</w:t>
                  </w:r>
                </w:p>
              </w:tc>
              <w:tc>
                <w:tcPr>
                  <w:tcW w:w="883" w:type="pct"/>
                  <w:vAlign w:val="center"/>
                </w:tcPr>
                <w:p w14:paraId="0FC84C5D">
                  <w:r>
                    <w:t>二级生物接触氧化法污水处理工艺</w:t>
                  </w:r>
                </w:p>
              </w:tc>
              <w:tc>
                <w:tcPr>
                  <w:tcW w:w="529" w:type="pct"/>
                  <w:vAlign w:val="center"/>
                </w:tcPr>
                <w:p w14:paraId="103AAAFE">
                  <w:pPr>
                    <w:jc w:val="center"/>
                  </w:pPr>
                  <w:r>
                    <w:t>10</w:t>
                  </w:r>
                </w:p>
              </w:tc>
              <w:tc>
                <w:tcPr>
                  <w:tcW w:w="1283" w:type="pct"/>
                  <w:vAlign w:val="center"/>
                </w:tcPr>
                <w:p w14:paraId="54D7E3D3">
                  <w:r>
                    <w:t>处理达标后排入蓄水池，用于场地绿化，夏灌冬储不外排</w:t>
                  </w:r>
                </w:p>
              </w:tc>
            </w:tr>
          </w:tbl>
          <w:p w14:paraId="78FFE06B">
            <w:pPr>
              <w:pStyle w:val="58"/>
              <w:keepNext w:val="0"/>
              <w:keepLines w:val="0"/>
              <w:pageBreakBefore w:val="0"/>
              <w:widowControl w:val="0"/>
              <w:kinsoku/>
              <w:wordWrap/>
              <w:overflowPunct/>
              <w:topLinePunct w:val="0"/>
              <w:autoSpaceDE/>
              <w:autoSpaceDN/>
              <w:bidi w:val="0"/>
              <w:adjustRightInd/>
              <w:snapToGrid/>
              <w:spacing w:before="313" w:beforeLines="100" w:after="120" w:afterLines="50"/>
              <w:ind w:firstLine="480"/>
              <w:textAlignment w:val="auto"/>
              <w:rPr>
                <w:rFonts w:hint="eastAsia"/>
              </w:rPr>
            </w:pPr>
            <w:r>
              <w:t>二级生物接触氧化法污水处理工艺如图</w:t>
            </w:r>
            <w:r>
              <w:rPr>
                <w:rFonts w:hint="eastAsia"/>
                <w:lang w:val="en-US" w:eastAsia="zh-CN"/>
              </w:rPr>
              <w:t>5</w:t>
            </w:r>
            <w:r>
              <w:t>-1。具体工艺由专业设计单位进行设计。</w:t>
            </w:r>
          </w:p>
          <w:p w14:paraId="5A417C3E">
            <w:pPr>
              <w:pStyle w:val="58"/>
              <w:ind w:left="0" w:leftChars="0" w:firstLine="0" w:firstLineChars="0"/>
              <w:jc w:val="center"/>
            </w:pPr>
            <w:r>
              <w:drawing>
                <wp:inline distT="0" distB="0" distL="0" distR="0">
                  <wp:extent cx="4985385" cy="1572895"/>
                  <wp:effectExtent l="0" t="0" r="5715" b="8255"/>
                  <wp:docPr id="100344673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446730" name="图片 4"/>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a:xfrm>
                            <a:off x="0" y="0"/>
                            <a:ext cx="4985385" cy="1572895"/>
                          </a:xfrm>
                          <a:prstGeom prst="rect">
                            <a:avLst/>
                          </a:prstGeom>
                          <a:noFill/>
                          <a:ln>
                            <a:noFill/>
                          </a:ln>
                        </pic:spPr>
                      </pic:pic>
                    </a:graphicData>
                  </a:graphic>
                </wp:inline>
              </w:drawing>
            </w:r>
          </w:p>
          <w:p w14:paraId="7F2EC2A4">
            <w:pPr>
              <w:pStyle w:val="58"/>
              <w:spacing w:before="120" w:beforeLines="50" w:after="120" w:afterLines="50"/>
              <w:ind w:firstLine="0" w:firstLineChars="0"/>
              <w:jc w:val="center"/>
              <w:rPr>
                <w:b/>
                <w:sz w:val="21"/>
                <w:szCs w:val="21"/>
              </w:rPr>
            </w:pPr>
            <w:r>
              <w:rPr>
                <w:b/>
                <w:sz w:val="21"/>
                <w:szCs w:val="21"/>
              </w:rPr>
              <w:t>图</w:t>
            </w:r>
            <w:r>
              <w:rPr>
                <w:rFonts w:hint="eastAsia"/>
                <w:b/>
                <w:sz w:val="21"/>
                <w:szCs w:val="21"/>
                <w:lang w:val="en-US" w:eastAsia="zh-CN"/>
              </w:rPr>
              <w:t>5</w:t>
            </w:r>
            <w:r>
              <w:rPr>
                <w:b/>
                <w:sz w:val="21"/>
                <w:szCs w:val="21"/>
              </w:rPr>
              <w:t xml:space="preserve">-1  </w:t>
            </w:r>
            <w:r>
              <w:rPr>
                <w:b/>
                <w:bCs/>
                <w:sz w:val="21"/>
                <w:szCs w:val="21"/>
              </w:rPr>
              <w:t>二级生物接触氧化法污水处理工艺流程图</w:t>
            </w:r>
          </w:p>
          <w:p w14:paraId="65A85A30">
            <w:pPr>
              <w:pStyle w:val="58"/>
              <w:spacing w:after="120" w:afterLines="50"/>
              <w:ind w:firstLine="480"/>
            </w:pPr>
            <w:r>
              <w:rPr>
                <w:rFonts w:hint="eastAsia"/>
              </w:rPr>
              <w:t>收费站</w:t>
            </w:r>
            <w:r>
              <w:rPr>
                <w:rFonts w:hint="eastAsia"/>
                <w:lang w:eastAsia="zh-CN"/>
              </w:rPr>
              <w:t>、</w:t>
            </w:r>
            <w:r>
              <w:rPr>
                <w:rFonts w:hint="eastAsia"/>
                <w:lang w:val="en-US" w:eastAsia="zh-CN"/>
              </w:rPr>
              <w:t>养护工区</w:t>
            </w:r>
            <w:r>
              <w:t>等沿线设施进行绿化时，其绿化面积应大于总面积的30%。根据绿化浇洒用水和道路洒水定额标准，绿化区用水量为1.0～3.0L/m</w:t>
            </w:r>
            <w:r>
              <w:rPr>
                <w:vertAlign w:val="superscript"/>
              </w:rPr>
              <w:t>2</w:t>
            </w:r>
            <w:r>
              <w:t>·d，本报告取平均值2.0L/m</w:t>
            </w:r>
            <w:r>
              <w:rPr>
                <w:vertAlign w:val="superscript"/>
              </w:rPr>
              <w:t>2</w:t>
            </w:r>
            <w:r>
              <w:t>·d，拟建公路沿线设施绿化回用水量见表</w:t>
            </w:r>
            <w:r>
              <w:rPr>
                <w:rFonts w:hint="eastAsia"/>
                <w:lang w:val="en-US" w:eastAsia="zh-CN"/>
              </w:rPr>
              <w:t>5</w:t>
            </w:r>
            <w:r>
              <w:t>-2。由表可见服务设施绿化用水大于污水产生量，从而可保证污水不外排。</w:t>
            </w:r>
          </w:p>
          <w:p w14:paraId="4F4F5B42">
            <w:pPr>
              <w:pStyle w:val="5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sz w:val="21"/>
                <w:szCs w:val="21"/>
              </w:rPr>
            </w:pPr>
            <w:r>
              <w:rPr>
                <w:b/>
              </w:rPr>
              <w:br w:type="page"/>
            </w:r>
            <w:r>
              <w:rPr>
                <w:b/>
                <w:sz w:val="21"/>
                <w:szCs w:val="21"/>
              </w:rPr>
              <w:t>表</w:t>
            </w:r>
            <w:r>
              <w:rPr>
                <w:rFonts w:hint="eastAsia"/>
                <w:b/>
                <w:sz w:val="21"/>
                <w:szCs w:val="21"/>
                <w:lang w:val="en-US" w:eastAsia="zh-CN"/>
              </w:rPr>
              <w:t>5</w:t>
            </w:r>
            <w:r>
              <w:rPr>
                <w:b/>
                <w:sz w:val="21"/>
                <w:szCs w:val="21"/>
              </w:rPr>
              <w:t>-2  沿线设施区污水处理后绿化回用情况</w:t>
            </w:r>
          </w:p>
          <w:tbl>
            <w:tblPr>
              <w:tblStyle w:val="22"/>
              <w:tblW w:w="82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7"/>
              <w:gridCol w:w="851"/>
              <w:gridCol w:w="1082"/>
              <w:gridCol w:w="1186"/>
              <w:gridCol w:w="1187"/>
              <w:gridCol w:w="920"/>
              <w:gridCol w:w="1019"/>
            </w:tblGrid>
            <w:tr w14:paraId="16709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57" w:type="dxa"/>
                  <w:noWrap/>
                  <w:vAlign w:val="center"/>
                </w:tcPr>
                <w:p w14:paraId="3AD68E82">
                  <w:pPr>
                    <w:jc w:val="center"/>
                    <w:rPr>
                      <w:b/>
                      <w:bCs/>
                    </w:rPr>
                  </w:pPr>
                  <w:r>
                    <w:rPr>
                      <w:rFonts w:hint="eastAsia"/>
                      <w:b/>
                      <w:bCs/>
                    </w:rPr>
                    <w:t>名称</w:t>
                  </w:r>
                </w:p>
              </w:tc>
              <w:tc>
                <w:tcPr>
                  <w:tcW w:w="851" w:type="dxa"/>
                  <w:noWrap/>
                  <w:vAlign w:val="center"/>
                </w:tcPr>
                <w:p w14:paraId="22A3AB10">
                  <w:pPr>
                    <w:jc w:val="center"/>
                    <w:rPr>
                      <w:b/>
                      <w:bCs/>
                    </w:rPr>
                  </w:pPr>
                  <w:r>
                    <w:rPr>
                      <w:b/>
                      <w:bCs/>
                    </w:rPr>
                    <w:t>面积</w:t>
                  </w:r>
                </w:p>
                <w:p w14:paraId="58598E51">
                  <w:pPr>
                    <w:jc w:val="center"/>
                    <w:rPr>
                      <w:b/>
                      <w:bCs/>
                    </w:rPr>
                  </w:pPr>
                  <w:r>
                    <w:rPr>
                      <w:b/>
                      <w:bCs/>
                    </w:rPr>
                    <w:t>hm</w:t>
                  </w:r>
                  <w:r>
                    <w:rPr>
                      <w:b/>
                      <w:bCs/>
                      <w:vertAlign w:val="superscript"/>
                    </w:rPr>
                    <w:t>2</w:t>
                  </w:r>
                </w:p>
              </w:tc>
              <w:tc>
                <w:tcPr>
                  <w:tcW w:w="1082" w:type="dxa"/>
                  <w:noWrap/>
                  <w:vAlign w:val="center"/>
                </w:tcPr>
                <w:p w14:paraId="034E47A6">
                  <w:pPr>
                    <w:jc w:val="center"/>
                    <w:rPr>
                      <w:b/>
                      <w:bCs/>
                    </w:rPr>
                  </w:pPr>
                  <w:r>
                    <w:rPr>
                      <w:b/>
                      <w:bCs/>
                    </w:rPr>
                    <w:t>绿化比例</w:t>
                  </w:r>
                </w:p>
              </w:tc>
              <w:tc>
                <w:tcPr>
                  <w:tcW w:w="1186" w:type="dxa"/>
                  <w:noWrap/>
                  <w:vAlign w:val="center"/>
                </w:tcPr>
                <w:p w14:paraId="306A98AF">
                  <w:pPr>
                    <w:jc w:val="center"/>
                    <w:rPr>
                      <w:b/>
                      <w:bCs/>
                    </w:rPr>
                  </w:pPr>
                  <w:r>
                    <w:rPr>
                      <w:b/>
                      <w:bCs/>
                    </w:rPr>
                    <w:t>绿化面积hm</w:t>
                  </w:r>
                  <w:r>
                    <w:rPr>
                      <w:b/>
                      <w:bCs/>
                      <w:vertAlign w:val="superscript"/>
                    </w:rPr>
                    <w:t>2</w:t>
                  </w:r>
                </w:p>
              </w:tc>
              <w:tc>
                <w:tcPr>
                  <w:tcW w:w="1187" w:type="dxa"/>
                  <w:noWrap/>
                  <w:vAlign w:val="center"/>
                </w:tcPr>
                <w:p w14:paraId="70ABB057">
                  <w:pPr>
                    <w:jc w:val="center"/>
                    <w:rPr>
                      <w:b/>
                      <w:bCs/>
                    </w:rPr>
                  </w:pPr>
                  <w:r>
                    <w:rPr>
                      <w:b/>
                      <w:bCs/>
                    </w:rPr>
                    <w:t>用水定额m</w:t>
                  </w:r>
                  <w:r>
                    <w:rPr>
                      <w:b/>
                      <w:bCs/>
                      <w:vertAlign w:val="superscript"/>
                    </w:rPr>
                    <w:t>3</w:t>
                  </w:r>
                  <w:r>
                    <w:rPr>
                      <w:b/>
                      <w:bCs/>
                    </w:rPr>
                    <w:t>/m</w:t>
                  </w:r>
                  <w:r>
                    <w:rPr>
                      <w:b/>
                      <w:bCs/>
                      <w:vertAlign w:val="superscript"/>
                    </w:rPr>
                    <w:t>2</w:t>
                  </w:r>
                  <w:r>
                    <w:rPr>
                      <w:b/>
                      <w:bCs/>
                    </w:rPr>
                    <w:t>.d</w:t>
                  </w:r>
                </w:p>
              </w:tc>
              <w:tc>
                <w:tcPr>
                  <w:tcW w:w="920" w:type="dxa"/>
                  <w:noWrap/>
                  <w:vAlign w:val="center"/>
                </w:tcPr>
                <w:p w14:paraId="4E0D5006">
                  <w:pPr>
                    <w:jc w:val="center"/>
                    <w:rPr>
                      <w:b/>
                      <w:bCs/>
                    </w:rPr>
                  </w:pPr>
                  <w:r>
                    <w:rPr>
                      <w:b/>
                      <w:bCs/>
                    </w:rPr>
                    <w:t>用水量t/d</w:t>
                  </w:r>
                </w:p>
              </w:tc>
              <w:tc>
                <w:tcPr>
                  <w:tcW w:w="1019" w:type="dxa"/>
                  <w:noWrap/>
                  <w:vAlign w:val="center"/>
                </w:tcPr>
                <w:p w14:paraId="397AD669">
                  <w:pPr>
                    <w:jc w:val="center"/>
                    <w:rPr>
                      <w:b/>
                      <w:bCs/>
                    </w:rPr>
                  </w:pPr>
                  <w:r>
                    <w:rPr>
                      <w:b/>
                      <w:bCs/>
                    </w:rPr>
                    <w:t>污水量t/d</w:t>
                  </w:r>
                </w:p>
              </w:tc>
            </w:tr>
            <w:tr w14:paraId="1C286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57" w:type="dxa"/>
                  <w:vAlign w:val="center"/>
                </w:tcPr>
                <w:p w14:paraId="092ED67F">
                  <w:r>
                    <w:rPr>
                      <w:rFonts w:hint="eastAsia"/>
                    </w:rPr>
                    <w:t>收费站（含养护工区、</w:t>
                  </w:r>
                  <w:r>
                    <w:rPr>
                      <w:rFonts w:hint="eastAsia"/>
                      <w:lang w:val="en-US" w:eastAsia="zh-CN"/>
                    </w:rPr>
                    <w:t>监控</w:t>
                  </w:r>
                  <w:r>
                    <w:rPr>
                      <w:rFonts w:hint="eastAsia"/>
                    </w:rPr>
                    <w:t>管理分中心</w:t>
                  </w:r>
                  <w:r>
                    <w:rPr>
                      <w:rFonts w:hint="eastAsia"/>
                      <w:lang w:eastAsia="zh-CN"/>
                    </w:rPr>
                    <w:t>、</w:t>
                  </w:r>
                  <w:r>
                    <w:rPr>
                      <w:rFonts w:hint="eastAsia"/>
                      <w:lang w:val="en-US" w:eastAsia="zh-CN"/>
                    </w:rPr>
                    <w:t>路政执法用房</w:t>
                  </w:r>
                  <w:r>
                    <w:rPr>
                      <w:rFonts w:hint="eastAsia"/>
                    </w:rPr>
                    <w:t>）</w:t>
                  </w:r>
                </w:p>
              </w:tc>
              <w:tc>
                <w:tcPr>
                  <w:tcW w:w="851" w:type="dxa"/>
                  <w:noWrap/>
                  <w:vAlign w:val="center"/>
                </w:tcPr>
                <w:p w14:paraId="6235DF93">
                  <w:pPr>
                    <w:jc w:val="center"/>
                    <w:rPr>
                      <w:rFonts w:hint="default" w:eastAsia="宋体"/>
                      <w:lang w:val="en-US" w:eastAsia="zh-CN"/>
                    </w:rPr>
                  </w:pPr>
                  <w:r>
                    <w:rPr>
                      <w:rFonts w:hint="eastAsia"/>
                      <w:lang w:val="en-US" w:eastAsia="zh-CN"/>
                    </w:rPr>
                    <w:t>4.67</w:t>
                  </w:r>
                </w:p>
              </w:tc>
              <w:tc>
                <w:tcPr>
                  <w:tcW w:w="1082" w:type="dxa"/>
                  <w:noWrap/>
                  <w:vAlign w:val="center"/>
                </w:tcPr>
                <w:p w14:paraId="65EA1D25">
                  <w:pPr>
                    <w:jc w:val="center"/>
                  </w:pPr>
                  <w:r>
                    <w:t>30%</w:t>
                  </w:r>
                </w:p>
              </w:tc>
              <w:tc>
                <w:tcPr>
                  <w:tcW w:w="1186" w:type="dxa"/>
                  <w:noWrap/>
                  <w:vAlign w:val="center"/>
                </w:tcPr>
                <w:p w14:paraId="749884B0">
                  <w:pPr>
                    <w:jc w:val="center"/>
                    <w:rPr>
                      <w:rFonts w:hint="eastAsia" w:eastAsia="宋体"/>
                      <w:lang w:val="en-US" w:eastAsia="zh-CN"/>
                    </w:rPr>
                  </w:pPr>
                  <w:r>
                    <w:rPr>
                      <w:rFonts w:hint="eastAsia"/>
                    </w:rPr>
                    <w:t>1.</w:t>
                  </w:r>
                  <w:r>
                    <w:rPr>
                      <w:rFonts w:hint="eastAsia"/>
                      <w:lang w:val="en-US" w:eastAsia="zh-CN"/>
                    </w:rPr>
                    <w:t>4</w:t>
                  </w:r>
                </w:p>
              </w:tc>
              <w:tc>
                <w:tcPr>
                  <w:tcW w:w="1187" w:type="dxa"/>
                  <w:noWrap/>
                  <w:vAlign w:val="center"/>
                </w:tcPr>
                <w:p w14:paraId="4C719224">
                  <w:pPr>
                    <w:jc w:val="center"/>
                  </w:pPr>
                  <w:r>
                    <w:t>0.002</w:t>
                  </w:r>
                </w:p>
              </w:tc>
              <w:tc>
                <w:tcPr>
                  <w:tcW w:w="920" w:type="dxa"/>
                  <w:noWrap/>
                  <w:vAlign w:val="center"/>
                </w:tcPr>
                <w:p w14:paraId="736DE357">
                  <w:pPr>
                    <w:jc w:val="center"/>
                    <w:rPr>
                      <w:rFonts w:hint="default" w:eastAsia="宋体"/>
                      <w:lang w:val="en-US" w:eastAsia="zh-CN"/>
                    </w:rPr>
                  </w:pPr>
                  <w:r>
                    <w:rPr>
                      <w:rFonts w:hint="eastAsia"/>
                      <w:lang w:val="en-US" w:eastAsia="zh-CN"/>
                    </w:rPr>
                    <w:t>28</w:t>
                  </w:r>
                </w:p>
              </w:tc>
              <w:tc>
                <w:tcPr>
                  <w:tcW w:w="1019" w:type="dxa"/>
                  <w:noWrap/>
                  <w:vAlign w:val="center"/>
                </w:tcPr>
                <w:p w14:paraId="55A5EC98">
                  <w:pPr>
                    <w:jc w:val="center"/>
                    <w:rPr>
                      <w:rFonts w:hint="default" w:eastAsia="宋体"/>
                      <w:lang w:val="en-US" w:eastAsia="zh-CN"/>
                    </w:rPr>
                  </w:pPr>
                  <w:r>
                    <w:rPr>
                      <w:rFonts w:hint="eastAsia"/>
                      <w:lang w:val="en-US" w:eastAsia="zh-CN"/>
                    </w:rPr>
                    <w:t>5.4</w:t>
                  </w:r>
                </w:p>
              </w:tc>
            </w:tr>
          </w:tbl>
          <w:p w14:paraId="7ABBA8C2">
            <w:pPr>
              <w:pStyle w:val="58"/>
              <w:keepNext w:val="0"/>
              <w:keepLines w:val="0"/>
              <w:pageBreakBefore w:val="0"/>
              <w:widowControl w:val="0"/>
              <w:kinsoku/>
              <w:wordWrap/>
              <w:overflowPunct/>
              <w:topLinePunct w:val="0"/>
              <w:autoSpaceDE/>
              <w:autoSpaceDN/>
              <w:bidi w:val="0"/>
              <w:adjustRightInd/>
              <w:snapToGrid/>
              <w:ind w:firstLine="480"/>
              <w:textAlignment w:val="auto"/>
            </w:pPr>
            <w:r>
              <w:t>沿线设施区蓄水池容积考虑</w:t>
            </w:r>
            <w:r>
              <w:rPr>
                <w:rFonts w:hint="eastAsia"/>
              </w:rPr>
              <w:t>喀什地区</w:t>
            </w:r>
            <w:r>
              <w:t>冬季3个月生活污水的产生量进行设置，</w:t>
            </w:r>
            <w:r>
              <w:rPr>
                <w:rFonts w:hint="eastAsia"/>
                <w:lang w:val="en-US" w:eastAsia="zh-CN"/>
              </w:rPr>
              <w:t>故拟建公路收费站内设置1座</w:t>
            </w:r>
            <w:r>
              <w:t>容积</w:t>
            </w:r>
            <w:r>
              <w:rPr>
                <w:rFonts w:hint="eastAsia"/>
              </w:rPr>
              <w:t>为</w:t>
            </w:r>
            <w:r>
              <w:rPr>
                <w:rFonts w:hint="eastAsia"/>
                <w:lang w:val="en-US" w:eastAsia="zh-CN"/>
              </w:rPr>
              <w:t>486</w:t>
            </w:r>
            <w:r>
              <w:rPr>
                <w:rFonts w:hint="eastAsia"/>
              </w:rPr>
              <w:t>m</w:t>
            </w:r>
            <w:r>
              <w:rPr>
                <w:rFonts w:hint="eastAsia"/>
                <w:vertAlign w:val="superscript"/>
              </w:rPr>
              <w:t>3</w:t>
            </w:r>
            <w:r>
              <w:rPr>
                <w:rFonts w:hint="eastAsia"/>
                <w:vertAlign w:val="baseline"/>
                <w:lang w:val="en-US" w:eastAsia="zh-CN"/>
              </w:rPr>
              <w:t>的</w:t>
            </w:r>
            <w:r>
              <w:rPr>
                <w:rFonts w:hint="eastAsia"/>
                <w:lang w:val="en-US" w:eastAsia="zh-CN"/>
              </w:rPr>
              <w:t>蓄水池</w:t>
            </w:r>
            <w:r>
              <w:t>，</w:t>
            </w:r>
            <w:r>
              <w:rPr>
                <w:rFonts w:hint="eastAsia"/>
                <w:lang w:val="en-US" w:eastAsia="zh-CN"/>
              </w:rPr>
              <w:t>并做防渗处理，</w:t>
            </w:r>
            <w:r>
              <w:t>满足冬季设施区的污水储存量，确保污水不外排。</w:t>
            </w:r>
          </w:p>
          <w:p w14:paraId="2B776AB1">
            <w:pPr>
              <w:pStyle w:val="58"/>
              <w:spacing w:after="120" w:afterLines="50"/>
              <w:ind w:firstLine="480"/>
              <w:rPr>
                <w:rFonts w:hint="default" w:hAnsi="宋体"/>
                <w:b/>
                <w:bCs/>
                <w:lang w:val="en-US" w:eastAsia="zh-CN"/>
              </w:rPr>
            </w:pPr>
            <w:r>
              <w:t>(</w:t>
            </w:r>
            <w:r>
              <w:rPr>
                <w:rFonts w:hint="eastAsia"/>
              </w:rPr>
              <w:t>2</w:t>
            </w:r>
            <w:r>
              <w:t xml:space="preserve">) </w:t>
            </w:r>
            <w:r>
              <w:rPr>
                <w:rFonts w:hAnsi="宋体"/>
              </w:rPr>
              <w:t>营运期应做好公路车辆的规范管理，严禁各种泄漏、散装超载车辆上路，防止散失的货物对沿线水体造成污染。</w:t>
            </w:r>
          </w:p>
          <w:p w14:paraId="2477D5AC">
            <w:pPr>
              <w:autoSpaceDE w:val="0"/>
              <w:autoSpaceDN w:val="0"/>
              <w:adjustRightInd w:val="0"/>
              <w:spacing w:line="300" w:lineRule="auto"/>
              <w:rPr>
                <w:b/>
                <w:color w:val="auto"/>
                <w:kern w:val="0"/>
                <w:sz w:val="24"/>
              </w:rPr>
            </w:pPr>
            <w:r>
              <w:rPr>
                <w:rFonts w:hint="eastAsia"/>
                <w:b/>
                <w:bCs/>
                <w:color w:val="auto"/>
                <w:kern w:val="0"/>
                <w:sz w:val="24"/>
                <w:lang w:val="en-US" w:eastAsia="zh-CN"/>
              </w:rPr>
              <w:t>3</w:t>
            </w:r>
            <w:r>
              <w:rPr>
                <w:b/>
                <w:bCs/>
                <w:color w:val="auto"/>
                <w:kern w:val="0"/>
                <w:sz w:val="24"/>
              </w:rPr>
              <w:t xml:space="preserve">. </w:t>
            </w:r>
            <w:r>
              <w:rPr>
                <w:b/>
                <w:color w:val="auto"/>
                <w:kern w:val="0"/>
                <w:sz w:val="24"/>
              </w:rPr>
              <w:t>声环境保护措施</w:t>
            </w:r>
          </w:p>
          <w:p w14:paraId="65D00AF1">
            <w:pPr>
              <w:spacing w:line="300" w:lineRule="auto"/>
              <w:ind w:firstLine="480" w:firstLineChars="200"/>
              <w:rPr>
                <w:color w:val="auto"/>
                <w:sz w:val="24"/>
                <w:szCs w:val="20"/>
              </w:rPr>
            </w:pPr>
            <w:r>
              <w:rPr>
                <w:color w:val="auto"/>
                <w:sz w:val="24"/>
              </w:rPr>
              <w:t>本评价对拟建</w:t>
            </w:r>
            <w:r>
              <w:rPr>
                <w:rFonts w:hint="eastAsia"/>
                <w:color w:val="auto"/>
                <w:sz w:val="24"/>
              </w:rPr>
              <w:t>公路</w:t>
            </w:r>
            <w:r>
              <w:rPr>
                <w:color w:val="auto"/>
                <w:sz w:val="24"/>
              </w:rPr>
              <w:t>沿线营运中期噪声预测结果超标的</w:t>
            </w:r>
            <w:r>
              <w:rPr>
                <w:rFonts w:hint="eastAsia"/>
                <w:color w:val="auto"/>
                <w:sz w:val="24"/>
              </w:rPr>
              <w:t>27</w:t>
            </w:r>
            <w:r>
              <w:rPr>
                <w:color w:val="auto"/>
                <w:sz w:val="24"/>
              </w:rPr>
              <w:t>敏感点提出了降噪措施，本评价对拟建</w:t>
            </w:r>
            <w:r>
              <w:rPr>
                <w:rFonts w:hint="eastAsia"/>
                <w:color w:val="auto"/>
                <w:sz w:val="24"/>
              </w:rPr>
              <w:t>公路</w:t>
            </w:r>
            <w:r>
              <w:rPr>
                <w:color w:val="auto"/>
                <w:sz w:val="24"/>
              </w:rPr>
              <w:t>沿线营运中期噪声预测结果超标的</w:t>
            </w:r>
            <w:r>
              <w:rPr>
                <w:rFonts w:hint="eastAsia"/>
                <w:color w:val="auto"/>
                <w:sz w:val="24"/>
              </w:rPr>
              <w:t>27</w:t>
            </w:r>
            <w:r>
              <w:rPr>
                <w:color w:val="auto"/>
                <w:sz w:val="24"/>
              </w:rPr>
              <w:t>敏感点提出了降噪措施，</w:t>
            </w:r>
            <w:r>
              <w:rPr>
                <w:rFonts w:eastAsiaTheme="minorEastAsia"/>
                <w:color w:val="auto"/>
                <w:sz w:val="24"/>
              </w:rPr>
              <w:t>降噪措施投资共</w:t>
            </w:r>
            <w:r>
              <w:rPr>
                <w:rFonts w:hint="eastAsia" w:eastAsiaTheme="minorEastAsia"/>
                <w:color w:val="auto"/>
                <w:sz w:val="24"/>
              </w:rPr>
              <w:t>4332</w:t>
            </w:r>
            <w:r>
              <w:rPr>
                <w:rFonts w:eastAsiaTheme="minorEastAsia"/>
                <w:color w:val="auto"/>
                <w:sz w:val="24"/>
              </w:rPr>
              <w:t>万元，包括：声屏障（3m高</w:t>
            </w:r>
            <w:r>
              <w:rPr>
                <w:rFonts w:hint="eastAsia" w:eastAsiaTheme="minorEastAsia"/>
                <w:color w:val="auto"/>
                <w:sz w:val="24"/>
              </w:rPr>
              <w:t>13990</w:t>
            </w:r>
            <w:r>
              <w:rPr>
                <w:rFonts w:eastAsiaTheme="minorEastAsia"/>
                <w:color w:val="auto"/>
                <w:sz w:val="24"/>
              </w:rPr>
              <w:t>m）</w:t>
            </w:r>
            <w:r>
              <w:rPr>
                <w:rFonts w:hint="eastAsia" w:eastAsiaTheme="minorEastAsia"/>
                <w:color w:val="auto"/>
                <w:sz w:val="24"/>
              </w:rPr>
              <w:t>+隔声窗（</w:t>
            </w:r>
            <w:r>
              <w:rPr>
                <w:rFonts w:eastAsiaTheme="minorEastAsia"/>
                <w:color w:val="auto"/>
                <w:sz w:val="24"/>
              </w:rPr>
              <w:t>居民</w:t>
            </w:r>
            <w:r>
              <w:rPr>
                <w:rFonts w:hint="eastAsia" w:eastAsiaTheme="minorEastAsia"/>
                <w:color w:val="auto"/>
                <w:sz w:val="24"/>
              </w:rPr>
              <w:t>459户、卫生院1处、学校2处）15</w:t>
            </w:r>
            <w:r>
              <w:rPr>
                <w:rFonts w:eastAsiaTheme="minorEastAsia"/>
                <w:color w:val="auto"/>
                <w:sz w:val="24"/>
              </w:rPr>
              <w:t>处，费用</w:t>
            </w:r>
            <w:r>
              <w:rPr>
                <w:rFonts w:hint="eastAsia" w:eastAsiaTheme="minorEastAsia"/>
                <w:color w:val="auto"/>
                <w:sz w:val="24"/>
              </w:rPr>
              <w:t>3662</w:t>
            </w:r>
            <w:r>
              <w:rPr>
                <w:rFonts w:eastAsiaTheme="minorEastAsia"/>
                <w:color w:val="auto"/>
                <w:sz w:val="24"/>
              </w:rPr>
              <w:t>万元；声屏障（3m高</w:t>
            </w:r>
            <w:r>
              <w:rPr>
                <w:rFonts w:hint="eastAsia" w:eastAsiaTheme="minorEastAsia"/>
                <w:color w:val="auto"/>
                <w:sz w:val="24"/>
              </w:rPr>
              <w:t>500</w:t>
            </w:r>
            <w:r>
              <w:rPr>
                <w:rFonts w:eastAsiaTheme="minorEastAsia"/>
                <w:color w:val="auto"/>
                <w:sz w:val="24"/>
              </w:rPr>
              <w:t>m）</w:t>
            </w:r>
            <w:r>
              <w:rPr>
                <w:rFonts w:hint="eastAsia" w:eastAsiaTheme="minorEastAsia"/>
                <w:color w:val="auto"/>
                <w:sz w:val="24"/>
              </w:rPr>
              <w:t>2</w:t>
            </w:r>
            <w:r>
              <w:rPr>
                <w:rFonts w:eastAsiaTheme="minorEastAsia"/>
                <w:color w:val="auto"/>
                <w:sz w:val="24"/>
              </w:rPr>
              <w:t>处，费用</w:t>
            </w:r>
            <w:r>
              <w:rPr>
                <w:rFonts w:hint="eastAsia" w:eastAsiaTheme="minorEastAsia"/>
                <w:color w:val="auto"/>
                <w:sz w:val="24"/>
              </w:rPr>
              <w:t>100</w:t>
            </w:r>
            <w:r>
              <w:rPr>
                <w:rFonts w:eastAsiaTheme="minorEastAsia"/>
                <w:color w:val="auto"/>
                <w:sz w:val="24"/>
              </w:rPr>
              <w:t>万元；隔声窗（居民</w:t>
            </w:r>
            <w:r>
              <w:rPr>
                <w:rFonts w:hint="eastAsia" w:eastAsiaTheme="minorEastAsia"/>
                <w:color w:val="auto"/>
                <w:sz w:val="24"/>
              </w:rPr>
              <w:t>480</w:t>
            </w:r>
            <w:r>
              <w:rPr>
                <w:rFonts w:eastAsiaTheme="minorEastAsia"/>
                <w:color w:val="auto"/>
                <w:sz w:val="24"/>
              </w:rPr>
              <w:t>户、学校</w:t>
            </w:r>
            <w:r>
              <w:rPr>
                <w:rFonts w:hint="eastAsia" w:eastAsiaTheme="minorEastAsia"/>
                <w:color w:val="auto"/>
                <w:sz w:val="24"/>
              </w:rPr>
              <w:t>1处</w:t>
            </w:r>
            <w:r>
              <w:rPr>
                <w:rFonts w:eastAsiaTheme="minorEastAsia"/>
                <w:color w:val="auto"/>
                <w:sz w:val="24"/>
              </w:rPr>
              <w:t>）</w:t>
            </w:r>
            <w:r>
              <w:rPr>
                <w:rFonts w:hint="eastAsia" w:eastAsiaTheme="minorEastAsia"/>
                <w:color w:val="auto"/>
                <w:sz w:val="24"/>
              </w:rPr>
              <w:t>11</w:t>
            </w:r>
            <w:r>
              <w:rPr>
                <w:rFonts w:eastAsiaTheme="minorEastAsia"/>
                <w:color w:val="auto"/>
                <w:sz w:val="24"/>
              </w:rPr>
              <w:t>处，费用</w:t>
            </w:r>
            <w:r>
              <w:rPr>
                <w:rFonts w:hint="eastAsia" w:eastAsiaTheme="minorEastAsia"/>
                <w:color w:val="auto"/>
                <w:sz w:val="24"/>
              </w:rPr>
              <w:t>570</w:t>
            </w:r>
            <w:r>
              <w:rPr>
                <w:rFonts w:eastAsiaTheme="minorEastAsia"/>
                <w:color w:val="auto"/>
                <w:sz w:val="24"/>
              </w:rPr>
              <w:t>万元。</w:t>
            </w:r>
          </w:p>
          <w:p w14:paraId="136CA352">
            <w:pPr>
              <w:adjustRightInd w:val="0"/>
              <w:spacing w:line="300" w:lineRule="auto"/>
              <w:ind w:firstLine="480" w:firstLineChars="200"/>
              <w:textAlignment w:val="baseline"/>
              <w:rPr>
                <w:color w:val="auto"/>
                <w:kern w:val="0"/>
                <w:sz w:val="28"/>
              </w:rPr>
            </w:pPr>
            <w:bookmarkStart w:id="31" w:name="_Hlk191213033"/>
            <w:r>
              <w:rPr>
                <w:rFonts w:hint="eastAsia"/>
                <w:color w:val="auto"/>
                <w:sz w:val="24"/>
              </w:rPr>
              <w:t>拟建</w:t>
            </w:r>
            <w:r>
              <w:rPr>
                <w:color w:val="auto"/>
                <w:sz w:val="24"/>
              </w:rPr>
              <w:t>公路沿线区域在未采取降噪措施的情况下，建议格达良乡在后期规划时，对于本项目两侧距路中心线</w:t>
            </w:r>
            <w:r>
              <w:rPr>
                <w:rFonts w:hint="eastAsia"/>
                <w:color w:val="auto"/>
                <w:sz w:val="24"/>
              </w:rPr>
              <w:t>190</w:t>
            </w:r>
            <w:r>
              <w:rPr>
                <w:color w:val="auto"/>
                <w:sz w:val="24"/>
              </w:rPr>
              <w:t>m以内区域的临路第一排房屋不宜居住用地，特别是学校、医院、敬老院等特殊敏感建筑规划建设用地。如确需建设上述噪声敏感建筑物时，应自行采取降噪措施。</w:t>
            </w:r>
            <w:bookmarkEnd w:id="31"/>
          </w:p>
          <w:p w14:paraId="1C632504">
            <w:pPr>
              <w:autoSpaceDE w:val="0"/>
              <w:autoSpaceDN w:val="0"/>
              <w:adjustRightInd w:val="0"/>
              <w:spacing w:after="120" w:afterLines="50" w:line="300" w:lineRule="auto"/>
              <w:ind w:firstLine="480" w:firstLineChars="200"/>
              <w:rPr>
                <w:snapToGrid w:val="0"/>
                <w:color w:val="auto"/>
                <w:sz w:val="24"/>
              </w:rPr>
            </w:pPr>
            <w:r>
              <w:rPr>
                <w:snapToGrid w:val="0"/>
                <w:color w:val="auto"/>
                <w:sz w:val="24"/>
              </w:rPr>
              <w:t>营运期声环境保护措施具体见声环境专项评价。</w:t>
            </w:r>
          </w:p>
          <w:p w14:paraId="7CEECEC8">
            <w:pPr>
              <w:autoSpaceDE w:val="0"/>
              <w:autoSpaceDN w:val="0"/>
              <w:adjustRightInd w:val="0"/>
              <w:spacing w:line="300" w:lineRule="auto"/>
              <w:rPr>
                <w:color w:val="auto"/>
                <w:kern w:val="0"/>
                <w:sz w:val="24"/>
              </w:rPr>
            </w:pPr>
            <w:r>
              <w:rPr>
                <w:b/>
                <w:bCs/>
                <w:color w:val="auto"/>
                <w:kern w:val="0"/>
                <w:sz w:val="24"/>
              </w:rPr>
              <w:t>4</w:t>
            </w:r>
            <w:r>
              <w:rPr>
                <w:rFonts w:hint="eastAsia"/>
                <w:b/>
                <w:bCs/>
                <w:color w:val="auto"/>
                <w:kern w:val="0"/>
                <w:sz w:val="24"/>
              </w:rPr>
              <w:t>.</w:t>
            </w:r>
            <w:r>
              <w:rPr>
                <w:b/>
                <w:bCs/>
                <w:color w:val="auto"/>
                <w:kern w:val="0"/>
                <w:sz w:val="24"/>
              </w:rPr>
              <w:t xml:space="preserve"> </w:t>
            </w:r>
            <w:r>
              <w:rPr>
                <w:b/>
                <w:color w:val="auto"/>
                <w:kern w:val="0"/>
                <w:sz w:val="24"/>
              </w:rPr>
              <w:t>生态保护措施</w:t>
            </w:r>
          </w:p>
          <w:p w14:paraId="4B06F6D9">
            <w:pPr>
              <w:spacing w:line="300" w:lineRule="auto"/>
              <w:ind w:firstLine="482"/>
              <w:rPr>
                <w:color w:val="auto"/>
                <w:sz w:val="24"/>
              </w:rPr>
            </w:pPr>
            <w:r>
              <w:rPr>
                <w:color w:val="auto"/>
                <w:sz w:val="24"/>
              </w:rPr>
              <w:t>(1)</w:t>
            </w:r>
            <w:r>
              <w:rPr>
                <w:rFonts w:hint="eastAsia"/>
                <w:color w:val="auto"/>
                <w:sz w:val="24"/>
              </w:rPr>
              <w:t xml:space="preserve"> 施工后期应按公路绿化设计的要求，完成拟建公路征地范围内绿化工作，并加强对绿化植物的管理与养护，使之保证成活，以达到恢复植被、保护路基，以及减少土壤侵蚀的目的。</w:t>
            </w:r>
          </w:p>
          <w:p w14:paraId="1253D574">
            <w:pPr>
              <w:keepNext w:val="0"/>
              <w:keepLines w:val="0"/>
              <w:pageBreakBefore w:val="0"/>
              <w:widowControl w:val="0"/>
              <w:kinsoku/>
              <w:wordWrap/>
              <w:overflowPunct/>
              <w:topLinePunct w:val="0"/>
              <w:autoSpaceDE w:val="0"/>
              <w:autoSpaceDN w:val="0"/>
              <w:bidi w:val="0"/>
              <w:adjustRightInd w:val="0"/>
              <w:snapToGrid/>
              <w:spacing w:line="300" w:lineRule="auto"/>
              <w:ind w:firstLine="480" w:firstLineChars="200"/>
              <w:textAlignment w:val="auto"/>
              <w:rPr>
                <w:color w:val="auto"/>
                <w:kern w:val="0"/>
                <w:sz w:val="24"/>
              </w:rPr>
            </w:pPr>
            <w:r>
              <w:rPr>
                <w:color w:val="auto"/>
                <w:sz w:val="24"/>
              </w:rPr>
              <w:t>(2)</w:t>
            </w:r>
            <w:r>
              <w:rPr>
                <w:rFonts w:hint="eastAsia"/>
                <w:color w:val="auto"/>
                <w:sz w:val="24"/>
              </w:rPr>
              <w:t xml:space="preserve"> 主体工程完成后，优先采用乡土植物品种进行植被恢复。加强道路沿线绿化养护，保障植被成活率，逐步恢复区域植被覆盖度与生态功能。不随意引入外来物种，避免造成生物入侵风险</w:t>
            </w:r>
            <w:r>
              <w:rPr>
                <w:color w:val="auto"/>
                <w:kern w:val="0"/>
                <w:sz w:val="24"/>
              </w:rPr>
              <w:t>。</w:t>
            </w:r>
          </w:p>
          <w:p w14:paraId="19C63789">
            <w:pPr>
              <w:autoSpaceDE w:val="0"/>
              <w:autoSpaceDN w:val="0"/>
              <w:adjustRightInd w:val="0"/>
              <w:spacing w:after="120" w:afterLines="50" w:line="300" w:lineRule="auto"/>
              <w:ind w:firstLine="480" w:firstLineChars="200"/>
              <w:rPr>
                <w:rFonts w:hint="eastAsia" w:eastAsia="宋体"/>
                <w:color w:val="auto"/>
                <w:kern w:val="0"/>
                <w:sz w:val="24"/>
                <w:lang w:eastAsia="zh-CN"/>
              </w:rPr>
            </w:pPr>
            <w:r>
              <w:rPr>
                <w:kern w:val="0"/>
                <w:sz w:val="24"/>
              </w:rPr>
              <w:t>营运期生态保护措施具体见生态专项评价</w:t>
            </w:r>
            <w:r>
              <w:rPr>
                <w:rFonts w:hint="eastAsia"/>
                <w:kern w:val="0"/>
                <w:sz w:val="24"/>
                <w:lang w:eastAsia="zh-CN"/>
              </w:rPr>
              <w:t>。</w:t>
            </w:r>
          </w:p>
          <w:p w14:paraId="3B55B7B8">
            <w:pPr>
              <w:autoSpaceDE w:val="0"/>
              <w:autoSpaceDN w:val="0"/>
              <w:adjustRightInd w:val="0"/>
              <w:spacing w:line="300" w:lineRule="auto"/>
              <w:rPr>
                <w:b/>
                <w:kern w:val="0"/>
                <w:sz w:val="24"/>
              </w:rPr>
            </w:pPr>
            <w:r>
              <w:rPr>
                <w:b/>
                <w:bCs/>
                <w:kern w:val="0"/>
                <w:sz w:val="24"/>
              </w:rPr>
              <w:t>5</w:t>
            </w:r>
            <w:r>
              <w:rPr>
                <w:rFonts w:hint="eastAsia"/>
                <w:b/>
                <w:bCs/>
                <w:kern w:val="0"/>
                <w:sz w:val="24"/>
              </w:rPr>
              <w:t xml:space="preserve">. </w:t>
            </w:r>
            <w:r>
              <w:rPr>
                <w:b/>
                <w:kern w:val="0"/>
                <w:sz w:val="24"/>
              </w:rPr>
              <w:t>固废环境保护措施</w:t>
            </w:r>
          </w:p>
          <w:p w14:paraId="70731ED4">
            <w:pPr>
              <w:autoSpaceDE w:val="0"/>
              <w:autoSpaceDN w:val="0"/>
              <w:adjustRightInd w:val="0"/>
              <w:spacing w:line="300" w:lineRule="auto"/>
              <w:ind w:firstLine="480" w:firstLineChars="200"/>
              <w:rPr>
                <w:rFonts w:ascii="宋体" w:cs="宋体"/>
                <w:kern w:val="0"/>
                <w:sz w:val="24"/>
              </w:rPr>
            </w:pPr>
            <w:r>
              <w:rPr>
                <w:rFonts w:hint="eastAsia" w:ascii="宋体" w:cs="宋体"/>
                <w:kern w:val="0"/>
                <w:sz w:val="24"/>
              </w:rPr>
              <w:t>运营期的固体废弃物主要是运输车辆散落的运载物、乘客丢弃的物品以及</w:t>
            </w:r>
            <w:r>
              <w:rPr>
                <w:rFonts w:hint="eastAsia" w:ascii="宋体" w:cs="宋体"/>
                <w:kern w:val="0"/>
                <w:sz w:val="24"/>
                <w:lang w:val="en-US" w:eastAsia="zh-CN"/>
              </w:rPr>
              <w:t>收费站</w:t>
            </w:r>
            <w:r>
              <w:rPr>
                <w:rFonts w:hint="eastAsia" w:ascii="宋体" w:cs="宋体"/>
                <w:kern w:val="0"/>
                <w:sz w:val="24"/>
              </w:rPr>
              <w:t>、</w:t>
            </w:r>
            <w:r>
              <w:rPr>
                <w:rFonts w:hint="eastAsia" w:ascii="宋体" w:cs="宋体"/>
                <w:kern w:val="0"/>
                <w:sz w:val="24"/>
                <w:lang w:val="en-US" w:eastAsia="zh-CN"/>
              </w:rPr>
              <w:t>养护工区</w:t>
            </w:r>
            <w:r>
              <w:rPr>
                <w:rFonts w:hint="eastAsia" w:ascii="宋体" w:cs="宋体"/>
                <w:kern w:val="0"/>
                <w:sz w:val="24"/>
              </w:rPr>
              <w:t>等沿线设施的生活垃圾等。</w:t>
            </w:r>
          </w:p>
          <w:p w14:paraId="138E17B6">
            <w:pPr>
              <w:autoSpaceDE w:val="0"/>
              <w:autoSpaceDN w:val="0"/>
              <w:adjustRightInd w:val="0"/>
              <w:spacing w:after="120" w:afterLines="50" w:line="300" w:lineRule="auto"/>
              <w:ind w:firstLine="480" w:firstLineChars="200"/>
              <w:rPr>
                <w:rFonts w:ascii="宋体" w:cs="宋体"/>
                <w:kern w:val="0"/>
                <w:sz w:val="24"/>
              </w:rPr>
            </w:pPr>
            <w:r>
              <w:rPr>
                <w:rFonts w:hint="eastAsia" w:ascii="宋体" w:cs="宋体"/>
                <w:kern w:val="0"/>
                <w:sz w:val="24"/>
              </w:rPr>
              <w:t>公路建成后养护工人</w:t>
            </w:r>
            <w:r>
              <w:rPr>
                <w:rFonts w:hint="eastAsia" w:ascii="宋体" w:cs="宋体"/>
                <w:kern w:val="0"/>
                <w:sz w:val="24"/>
                <w:lang w:val="en-US" w:eastAsia="zh-CN"/>
              </w:rPr>
              <w:t>定期</w:t>
            </w:r>
            <w:r>
              <w:rPr>
                <w:rFonts w:hint="eastAsia" w:ascii="宋体" w:cs="宋体"/>
                <w:kern w:val="0"/>
                <w:sz w:val="24"/>
              </w:rPr>
              <w:t>对公路进行养护的同时，也对沿线垃圾进行收集，清扫、集中处理。收费站</w:t>
            </w:r>
            <w:r>
              <w:rPr>
                <w:rFonts w:hint="eastAsia" w:ascii="宋体" w:cs="宋体"/>
                <w:kern w:val="0"/>
                <w:sz w:val="24"/>
                <w:lang w:eastAsia="zh-CN"/>
              </w:rPr>
              <w:t>、</w:t>
            </w:r>
            <w:r>
              <w:rPr>
                <w:rFonts w:hint="eastAsia" w:ascii="宋体" w:cs="宋体"/>
                <w:kern w:val="0"/>
                <w:sz w:val="24"/>
                <w:lang w:val="en-US" w:eastAsia="zh-CN"/>
              </w:rPr>
              <w:t>养护工区</w:t>
            </w:r>
            <w:r>
              <w:rPr>
                <w:rFonts w:hint="eastAsia" w:ascii="宋体" w:cs="宋体"/>
                <w:kern w:val="0"/>
                <w:sz w:val="24"/>
              </w:rPr>
              <w:t>等沿线设施</w:t>
            </w:r>
            <w:r>
              <w:rPr>
                <w:rFonts w:hint="eastAsia" w:ascii="宋体" w:cs="宋体"/>
                <w:kern w:val="0"/>
                <w:sz w:val="24"/>
                <w:lang w:val="en-US" w:eastAsia="zh-CN"/>
              </w:rPr>
              <w:t>内设置垃圾临时存放设施，对</w:t>
            </w:r>
            <w:r>
              <w:rPr>
                <w:rFonts w:hint="eastAsia" w:ascii="宋体" w:cs="宋体"/>
                <w:kern w:val="0"/>
                <w:sz w:val="24"/>
              </w:rPr>
              <w:t>生活垃圾</w:t>
            </w:r>
            <w:r>
              <w:rPr>
                <w:rFonts w:hint="eastAsia" w:ascii="宋体" w:cs="宋体"/>
                <w:kern w:val="0"/>
                <w:sz w:val="24"/>
                <w:lang w:val="en-US" w:eastAsia="zh-CN"/>
              </w:rPr>
              <w:t>进行集中收集，</w:t>
            </w:r>
            <w:r>
              <w:rPr>
                <w:rFonts w:hint="eastAsia" w:ascii="宋体" w:cs="宋体"/>
                <w:kern w:val="0"/>
                <w:sz w:val="24"/>
              </w:rPr>
              <w:t>由环卫部门定期清运。</w:t>
            </w:r>
          </w:p>
          <w:p w14:paraId="05E12195">
            <w:pPr>
              <w:autoSpaceDE w:val="0"/>
              <w:autoSpaceDN w:val="0"/>
              <w:adjustRightInd w:val="0"/>
              <w:spacing w:line="300" w:lineRule="auto"/>
              <w:rPr>
                <w:b/>
                <w:kern w:val="0"/>
                <w:sz w:val="24"/>
              </w:rPr>
            </w:pPr>
            <w:r>
              <w:rPr>
                <w:b/>
                <w:kern w:val="0"/>
                <w:sz w:val="24"/>
              </w:rPr>
              <w:t>6</w:t>
            </w:r>
            <w:r>
              <w:rPr>
                <w:rFonts w:hint="eastAsia"/>
                <w:b/>
                <w:kern w:val="0"/>
                <w:sz w:val="24"/>
              </w:rPr>
              <w:t xml:space="preserve">. </w:t>
            </w:r>
            <w:r>
              <w:rPr>
                <w:b/>
                <w:kern w:val="0"/>
                <w:sz w:val="24"/>
              </w:rPr>
              <w:t>环境风险防范措施及应急预案</w:t>
            </w:r>
          </w:p>
          <w:p w14:paraId="55FD705E">
            <w:pPr>
              <w:pStyle w:val="4"/>
              <w:adjustRightInd w:val="0"/>
              <w:spacing w:before="0" w:after="0" w:line="300" w:lineRule="auto"/>
              <w:ind w:firstLine="482" w:firstLineChars="200"/>
              <w:textAlignment w:val="baseline"/>
              <w:rPr>
                <w:rFonts w:hAnsi="宋体"/>
                <w:bCs w:val="0"/>
                <w:kern w:val="0"/>
                <w:sz w:val="24"/>
              </w:rPr>
            </w:pPr>
            <w:bookmarkStart w:id="32" w:name="_Toc203544028"/>
            <w:bookmarkStart w:id="33" w:name="_Toc163892429"/>
            <w:bookmarkStart w:id="34" w:name="_Toc207768497"/>
            <w:r>
              <w:rPr>
                <w:rFonts w:hint="eastAsia"/>
                <w:bCs w:val="0"/>
                <w:kern w:val="0"/>
                <w:sz w:val="24"/>
              </w:rPr>
              <w:t xml:space="preserve">(1) </w:t>
            </w:r>
            <w:r>
              <w:rPr>
                <w:rFonts w:hAnsi="宋体"/>
                <w:bCs w:val="0"/>
                <w:kern w:val="0"/>
                <w:sz w:val="24"/>
              </w:rPr>
              <w:t>工程措施</w:t>
            </w:r>
          </w:p>
          <w:p w14:paraId="27F42E82">
            <w:pPr>
              <w:keepNext w:val="0"/>
              <w:keepLines w:val="0"/>
              <w:pageBreakBefore w:val="0"/>
              <w:widowControl w:val="0"/>
              <w:kinsoku/>
              <w:wordWrap/>
              <w:overflowPunct/>
              <w:topLinePunct w:val="0"/>
              <w:autoSpaceDE/>
              <w:autoSpaceDN/>
              <w:bidi w:val="0"/>
              <w:adjustRightInd w:val="0"/>
              <w:snapToGrid/>
              <w:spacing w:line="300" w:lineRule="auto"/>
              <w:ind w:firstLine="480" w:firstLineChars="200"/>
              <w:textAlignment w:val="auto"/>
              <w:rPr>
                <w:rFonts w:hint="default" w:ascii="Times New Roman" w:hAnsi="Times New Roman" w:cs="Times New Roman"/>
                <w:kern w:val="0"/>
                <w:sz w:val="24"/>
                <w:szCs w:val="20"/>
              </w:rPr>
            </w:pPr>
            <w:r>
              <w:rPr>
                <w:rFonts w:hint="default" w:ascii="Times New Roman" w:hAnsi="Times New Roman" w:cs="Times New Roman"/>
                <w:kern w:val="0"/>
                <w:sz w:val="24"/>
                <w:szCs w:val="20"/>
              </w:rPr>
              <w:t xml:space="preserve">① </w:t>
            </w:r>
            <w:r>
              <w:rPr>
                <w:rFonts w:hint="default" w:ascii="Times New Roman" w:hAnsi="Times New Roman" w:cs="Times New Roman"/>
                <w:kern w:val="0"/>
                <w:sz w:val="24"/>
                <w:szCs w:val="20"/>
                <w:lang w:eastAsia="zh-CN"/>
              </w:rPr>
              <w:t>临近</w:t>
            </w:r>
            <w:r>
              <w:rPr>
                <w:rFonts w:hint="default" w:ascii="Times New Roman" w:hAnsi="Times New Roman" w:cs="Times New Roman"/>
                <w:kern w:val="0"/>
                <w:sz w:val="24"/>
                <w:szCs w:val="20"/>
              </w:rPr>
              <w:t>水源保护区路段</w:t>
            </w:r>
          </w:p>
          <w:p w14:paraId="12CCCB17">
            <w:pPr>
              <w:adjustRightInd w:val="0"/>
              <w:spacing w:after="120" w:afterLines="50" w:line="300" w:lineRule="auto"/>
              <w:ind w:firstLine="472" w:firstLineChars="200"/>
              <w:rPr>
                <w:rFonts w:hAnsi="宋体"/>
                <w:spacing w:val="-2"/>
                <w:kern w:val="0"/>
                <w:sz w:val="24"/>
                <w:szCs w:val="20"/>
              </w:rPr>
            </w:pPr>
            <w:r>
              <w:rPr>
                <w:rFonts w:hint="eastAsia" w:hAnsi="宋体"/>
                <w:spacing w:val="-2"/>
                <w:kern w:val="0"/>
                <w:sz w:val="24"/>
                <w:szCs w:val="20"/>
                <w:lang w:val="en-US" w:eastAsia="zh-CN"/>
              </w:rPr>
              <w:t>拟建公路</w:t>
            </w:r>
            <w:r>
              <w:rPr>
                <w:rFonts w:hint="eastAsia" w:hAnsi="宋体"/>
                <w:spacing w:val="-2"/>
                <w:kern w:val="0"/>
                <w:sz w:val="24"/>
                <w:szCs w:val="20"/>
                <w:lang w:eastAsia="zh-CN"/>
              </w:rPr>
              <w:t>临近</w:t>
            </w:r>
            <w:r>
              <w:rPr>
                <w:rFonts w:hint="eastAsia" w:hAnsi="宋体"/>
                <w:spacing w:val="-2"/>
                <w:kern w:val="0"/>
                <w:sz w:val="24"/>
                <w:szCs w:val="20"/>
              </w:rPr>
              <w:t>伽师县城饮用水</w:t>
            </w:r>
            <w:r>
              <w:rPr>
                <w:rFonts w:hAnsi="宋体"/>
                <w:spacing w:val="-2"/>
                <w:kern w:val="0"/>
                <w:sz w:val="24"/>
                <w:szCs w:val="20"/>
              </w:rPr>
              <w:t>水源保护区段工程形式为路基，为避免或减轻危险化学品车辆事故对水源保护区的影响，路基</w:t>
            </w:r>
            <w:r>
              <w:rPr>
                <w:rFonts w:hint="eastAsia" w:hAnsi="宋体"/>
                <w:spacing w:val="-2"/>
                <w:kern w:val="0"/>
                <w:sz w:val="24"/>
                <w:szCs w:val="20"/>
                <w:lang w:val="en-US" w:eastAsia="zh-CN"/>
              </w:rPr>
              <w:t>两</w:t>
            </w:r>
            <w:r>
              <w:rPr>
                <w:rFonts w:hAnsi="宋体"/>
                <w:spacing w:val="-2"/>
                <w:kern w:val="0"/>
                <w:sz w:val="24"/>
                <w:szCs w:val="20"/>
              </w:rPr>
              <w:t>侧应加强防撞护栏</w:t>
            </w:r>
            <w:r>
              <w:rPr>
                <w:rFonts w:hint="eastAsia" w:hAnsi="宋体"/>
                <w:spacing w:val="-2"/>
                <w:kern w:val="0"/>
                <w:sz w:val="24"/>
                <w:szCs w:val="20"/>
              </w:rPr>
              <w:t>设计</w:t>
            </w:r>
            <w:r>
              <w:rPr>
                <w:rFonts w:hint="eastAsia" w:hAnsi="宋体"/>
                <w:spacing w:val="-2"/>
                <w:kern w:val="0"/>
                <w:sz w:val="24"/>
                <w:szCs w:val="20"/>
                <w:lang w:eastAsia="zh-CN"/>
              </w:rPr>
              <w:t>、</w:t>
            </w:r>
            <w:r>
              <w:rPr>
                <w:rFonts w:hint="eastAsia" w:hAnsi="宋体"/>
                <w:spacing w:val="-2"/>
                <w:kern w:val="0"/>
                <w:sz w:val="24"/>
                <w:szCs w:val="20"/>
              </w:rPr>
              <w:t>设置</w:t>
            </w:r>
            <w:r>
              <w:rPr>
                <w:rFonts w:hAnsi="宋体"/>
                <w:spacing w:val="-2"/>
                <w:kern w:val="0"/>
                <w:sz w:val="24"/>
                <w:szCs w:val="20"/>
              </w:rPr>
              <w:t>防渗边沟</w:t>
            </w:r>
            <w:r>
              <w:rPr>
                <w:rFonts w:hint="eastAsia" w:hAnsi="宋体"/>
                <w:spacing w:val="-2"/>
                <w:kern w:val="0"/>
                <w:sz w:val="24"/>
                <w:szCs w:val="20"/>
              </w:rPr>
              <w:t>及</w:t>
            </w:r>
            <w:r>
              <w:rPr>
                <w:rFonts w:hAnsi="宋体"/>
                <w:spacing w:val="-2"/>
                <w:kern w:val="0"/>
                <w:sz w:val="24"/>
                <w:szCs w:val="20"/>
              </w:rPr>
              <w:t>事故应急池</w:t>
            </w:r>
            <w:r>
              <w:rPr>
                <w:rFonts w:hint="eastAsia" w:hAnsi="宋体"/>
                <w:spacing w:val="-2"/>
                <w:kern w:val="0"/>
                <w:sz w:val="24"/>
                <w:szCs w:val="20"/>
              </w:rPr>
              <w:t>，</w:t>
            </w:r>
            <w:r>
              <w:rPr>
                <w:rFonts w:hint="eastAsia" w:hAnsi="宋体"/>
                <w:spacing w:val="-2"/>
                <w:kern w:val="0"/>
                <w:sz w:val="24"/>
                <w:szCs w:val="20"/>
                <w:lang w:val="en-US" w:eastAsia="zh-CN"/>
              </w:rPr>
              <w:t>路段</w:t>
            </w:r>
            <w:r>
              <w:rPr>
                <w:rFonts w:hAnsi="宋体"/>
                <w:spacing w:val="-2"/>
                <w:kern w:val="0"/>
                <w:sz w:val="24"/>
                <w:szCs w:val="20"/>
              </w:rPr>
              <w:t>两端设置警示标志</w:t>
            </w:r>
            <w:r>
              <w:rPr>
                <w:rFonts w:hint="eastAsia" w:hAnsi="宋体"/>
                <w:spacing w:val="-2"/>
                <w:kern w:val="0"/>
                <w:sz w:val="24"/>
                <w:szCs w:val="20"/>
                <w:lang w:eastAsia="zh-CN"/>
              </w:rPr>
              <w:t>，</w:t>
            </w:r>
            <w:r>
              <w:rPr>
                <w:rFonts w:hint="eastAsia" w:hAnsi="宋体"/>
                <w:spacing w:val="-2"/>
                <w:kern w:val="0"/>
                <w:sz w:val="24"/>
                <w:szCs w:val="20"/>
                <w:lang w:val="en-US" w:eastAsia="zh-CN"/>
              </w:rPr>
              <w:t>配套视频监控</w:t>
            </w:r>
            <w:r>
              <w:rPr>
                <w:rFonts w:hAnsi="宋体"/>
                <w:spacing w:val="-2"/>
                <w:kern w:val="0"/>
                <w:sz w:val="24"/>
                <w:szCs w:val="20"/>
              </w:rPr>
              <w:t>。具体见表</w:t>
            </w:r>
            <w:r>
              <w:rPr>
                <w:spacing w:val="-2"/>
                <w:kern w:val="0"/>
                <w:sz w:val="24"/>
                <w:szCs w:val="20"/>
              </w:rPr>
              <w:t>5-</w:t>
            </w:r>
            <w:r>
              <w:rPr>
                <w:rFonts w:hint="eastAsia"/>
                <w:spacing w:val="-2"/>
                <w:kern w:val="0"/>
                <w:sz w:val="24"/>
                <w:szCs w:val="20"/>
                <w:lang w:val="en-US" w:eastAsia="zh-CN"/>
              </w:rPr>
              <w:t>3</w:t>
            </w:r>
            <w:r>
              <w:rPr>
                <w:rFonts w:hAnsi="宋体"/>
                <w:spacing w:val="-2"/>
                <w:kern w:val="0"/>
                <w:sz w:val="24"/>
                <w:szCs w:val="20"/>
              </w:rPr>
              <w:t>。</w:t>
            </w:r>
          </w:p>
          <w:p w14:paraId="4AC8C2DF">
            <w:pPr>
              <w:keepNext w:val="0"/>
              <w:keepLines w:val="0"/>
              <w:pageBreakBefore w:val="0"/>
              <w:widowControl w:val="0"/>
              <w:kinsoku/>
              <w:wordWrap/>
              <w:overflowPunct/>
              <w:topLinePunct w:val="0"/>
              <w:autoSpaceDE/>
              <w:autoSpaceDN/>
              <w:bidi w:val="0"/>
              <w:adjustRightInd/>
              <w:snapToGrid/>
              <w:jc w:val="center"/>
              <w:textAlignment w:val="auto"/>
              <w:rPr>
                <w:b/>
              </w:rPr>
            </w:pPr>
            <w:r>
              <w:rPr>
                <w:rFonts w:hAnsi="宋体"/>
                <w:b/>
              </w:rPr>
              <w:t>表</w:t>
            </w:r>
            <w:r>
              <w:rPr>
                <w:b/>
              </w:rPr>
              <w:t>5-</w:t>
            </w:r>
            <w:r>
              <w:rPr>
                <w:rFonts w:hint="eastAsia"/>
                <w:b/>
                <w:lang w:val="en-US" w:eastAsia="zh-CN"/>
              </w:rPr>
              <w:t>3</w:t>
            </w:r>
            <w:r>
              <w:rPr>
                <w:b/>
              </w:rPr>
              <w:t xml:space="preserve">  </w:t>
            </w:r>
            <w:r>
              <w:rPr>
                <w:rFonts w:hint="eastAsia" w:hAnsi="宋体"/>
                <w:b/>
                <w:lang w:eastAsia="zh-CN"/>
              </w:rPr>
              <w:t>临近</w:t>
            </w:r>
            <w:r>
              <w:rPr>
                <w:rFonts w:hAnsi="宋体"/>
                <w:b/>
              </w:rPr>
              <w:t>水源保护区路段环境风险措施表</w:t>
            </w:r>
          </w:p>
          <w:tbl>
            <w:tblPr>
              <w:tblStyle w:val="22"/>
              <w:tblW w:w="8245"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1" w:type="dxa"/>
                <w:bottom w:w="0" w:type="dxa"/>
                <w:right w:w="11" w:type="dxa"/>
              </w:tblCellMar>
            </w:tblPr>
            <w:tblGrid>
              <w:gridCol w:w="1774"/>
              <w:gridCol w:w="999"/>
              <w:gridCol w:w="500"/>
              <w:gridCol w:w="1128"/>
              <w:gridCol w:w="1083"/>
              <w:gridCol w:w="666"/>
              <w:gridCol w:w="1008"/>
              <w:gridCol w:w="1087"/>
            </w:tblGrid>
            <w:tr w14:paraId="6D1F213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1" w:type="dxa"/>
                  <w:bottom w:w="0" w:type="dxa"/>
                  <w:right w:w="11" w:type="dxa"/>
                </w:tblCellMar>
              </w:tblPrEx>
              <w:trPr>
                <w:trHeight w:val="255" w:hRule="atLeast"/>
                <w:tblHeader/>
                <w:jc w:val="center"/>
              </w:trPr>
              <w:tc>
                <w:tcPr>
                  <w:tcW w:w="1681" w:type="pct"/>
                  <w:gridSpan w:val="2"/>
                  <w:vAlign w:val="center"/>
                </w:tcPr>
                <w:p w14:paraId="31F9B285">
                  <w:pPr>
                    <w:jc w:val="center"/>
                    <w:rPr>
                      <w:b/>
                    </w:rPr>
                  </w:pPr>
                  <w:r>
                    <w:rPr>
                      <w:rFonts w:hAnsi="宋体"/>
                      <w:b/>
                    </w:rPr>
                    <w:t>敏感路段及工程</w:t>
                  </w:r>
                  <w:r>
                    <w:rPr>
                      <w:rFonts w:hAnsi="宋体"/>
                      <w:b/>
                      <w:kern w:val="0"/>
                    </w:rPr>
                    <w:t>形</w:t>
                  </w:r>
                  <w:r>
                    <w:rPr>
                      <w:rFonts w:hAnsi="宋体"/>
                      <w:b/>
                    </w:rPr>
                    <w:t>式</w:t>
                  </w:r>
                </w:p>
              </w:tc>
              <w:tc>
                <w:tcPr>
                  <w:tcW w:w="303" w:type="pct"/>
                  <w:vMerge w:val="restart"/>
                  <w:vAlign w:val="center"/>
                </w:tcPr>
                <w:p w14:paraId="59178292">
                  <w:pPr>
                    <w:jc w:val="center"/>
                    <w:rPr>
                      <w:b/>
                    </w:rPr>
                  </w:pPr>
                  <w:r>
                    <w:rPr>
                      <w:rFonts w:hAnsi="宋体"/>
                      <w:b/>
                    </w:rPr>
                    <w:t>长度</w:t>
                  </w:r>
                </w:p>
                <w:p w14:paraId="0A11F0CC">
                  <w:pPr>
                    <w:jc w:val="center"/>
                    <w:rPr>
                      <w:b/>
                    </w:rPr>
                  </w:pPr>
                  <w:r>
                    <w:rPr>
                      <w:b/>
                    </w:rPr>
                    <w:t>(m)</w:t>
                  </w:r>
                </w:p>
              </w:tc>
              <w:tc>
                <w:tcPr>
                  <w:tcW w:w="684" w:type="pct"/>
                  <w:vMerge w:val="restart"/>
                  <w:vAlign w:val="center"/>
                </w:tcPr>
                <w:p w14:paraId="7F2A2449">
                  <w:pPr>
                    <w:jc w:val="center"/>
                    <w:rPr>
                      <w:b/>
                    </w:rPr>
                  </w:pPr>
                  <w:r>
                    <w:rPr>
                      <w:rFonts w:hAnsi="宋体"/>
                      <w:b/>
                    </w:rPr>
                    <w:t>护栏</w:t>
                  </w:r>
                  <w:r>
                    <w:rPr>
                      <w:rFonts w:hint="eastAsia" w:hAnsi="宋体"/>
                      <w:b/>
                    </w:rPr>
                    <w:t>(m)</w:t>
                  </w:r>
                </w:p>
              </w:tc>
              <w:tc>
                <w:tcPr>
                  <w:tcW w:w="656" w:type="pct"/>
                  <w:vMerge w:val="restart"/>
                  <w:vAlign w:val="center"/>
                </w:tcPr>
                <w:p w14:paraId="31FAEB04">
                  <w:pPr>
                    <w:jc w:val="center"/>
                    <w:rPr>
                      <w:b/>
                    </w:rPr>
                  </w:pPr>
                  <w:r>
                    <w:rPr>
                      <w:rFonts w:hint="eastAsia" w:hAnsi="宋体"/>
                      <w:b/>
                      <w:lang w:val="en-US" w:eastAsia="zh-CN"/>
                    </w:rPr>
                    <w:t>路</w:t>
                  </w:r>
                  <w:r>
                    <w:rPr>
                      <w:rFonts w:hAnsi="宋体"/>
                      <w:b/>
                    </w:rPr>
                    <w:t>面径流</w:t>
                  </w:r>
                  <w:r>
                    <w:rPr>
                      <w:b/>
                    </w:rPr>
                    <w:t>/</w:t>
                  </w:r>
                </w:p>
                <w:p w14:paraId="2ED0CB53">
                  <w:pPr>
                    <w:jc w:val="center"/>
                    <w:rPr>
                      <w:b/>
                    </w:rPr>
                  </w:pPr>
                  <w:r>
                    <w:rPr>
                      <w:rFonts w:hAnsi="宋体"/>
                      <w:b/>
                    </w:rPr>
                    <w:t>边沟</w:t>
                  </w:r>
                  <w:r>
                    <w:rPr>
                      <w:rFonts w:hint="eastAsia" w:hAnsi="宋体"/>
                      <w:b/>
                    </w:rPr>
                    <w:t>(m)_</w:t>
                  </w:r>
                </w:p>
              </w:tc>
              <w:tc>
                <w:tcPr>
                  <w:tcW w:w="403" w:type="pct"/>
                  <w:vMerge w:val="restart"/>
                  <w:vAlign w:val="center"/>
                </w:tcPr>
                <w:p w14:paraId="52BD9B7E">
                  <w:pPr>
                    <w:jc w:val="center"/>
                    <w:rPr>
                      <w:b/>
                    </w:rPr>
                  </w:pPr>
                  <w:r>
                    <w:rPr>
                      <w:rFonts w:hAnsi="宋体"/>
                      <w:b/>
                    </w:rPr>
                    <w:t>警示牌</w:t>
                  </w:r>
                </w:p>
                <w:p w14:paraId="71F8F30B">
                  <w:pPr>
                    <w:jc w:val="center"/>
                    <w:rPr>
                      <w:b/>
                    </w:rPr>
                  </w:pPr>
                  <w:r>
                    <w:rPr>
                      <w:b/>
                    </w:rPr>
                    <w:t>(</w:t>
                  </w:r>
                  <w:r>
                    <w:rPr>
                      <w:rFonts w:hAnsi="宋体"/>
                      <w:b/>
                    </w:rPr>
                    <w:t>块</w:t>
                  </w:r>
                  <w:r>
                    <w:rPr>
                      <w:b/>
                    </w:rPr>
                    <w:t>)</w:t>
                  </w:r>
                </w:p>
              </w:tc>
              <w:tc>
                <w:tcPr>
                  <w:tcW w:w="611" w:type="pct"/>
                  <w:vMerge w:val="restart"/>
                  <w:vAlign w:val="center"/>
                </w:tcPr>
                <w:p w14:paraId="5D1F7E8A">
                  <w:pPr>
                    <w:jc w:val="center"/>
                    <w:rPr>
                      <w:b/>
                    </w:rPr>
                  </w:pPr>
                  <w:r>
                    <w:rPr>
                      <w:rFonts w:hAnsi="宋体"/>
                      <w:b/>
                    </w:rPr>
                    <w:t>事故应急池数量</w:t>
                  </w:r>
                  <w:r>
                    <w:rPr>
                      <w:b/>
                    </w:rPr>
                    <w:t>(</w:t>
                  </w:r>
                  <w:r>
                    <w:rPr>
                      <w:rFonts w:hAnsi="宋体"/>
                      <w:b/>
                    </w:rPr>
                    <w:t>个</w:t>
                  </w:r>
                  <w:r>
                    <w:rPr>
                      <w:b/>
                    </w:rPr>
                    <w:t>)</w:t>
                  </w:r>
                </w:p>
              </w:tc>
              <w:tc>
                <w:tcPr>
                  <w:tcW w:w="659" w:type="pct"/>
                  <w:vMerge w:val="restart"/>
                </w:tcPr>
                <w:p w14:paraId="2F38D0DE">
                  <w:pPr>
                    <w:jc w:val="center"/>
                    <w:rPr>
                      <w:b/>
                    </w:rPr>
                  </w:pPr>
                  <w:r>
                    <w:rPr>
                      <w:rFonts w:hAnsi="宋体"/>
                      <w:b/>
                    </w:rPr>
                    <w:t>事故应急池总容积</w:t>
                  </w:r>
                  <w:r>
                    <w:rPr>
                      <w:b/>
                    </w:rPr>
                    <w:t>(m</w:t>
                  </w:r>
                  <w:r>
                    <w:rPr>
                      <w:b/>
                      <w:vertAlign w:val="superscript"/>
                    </w:rPr>
                    <w:t>3</w:t>
                  </w:r>
                  <w:r>
                    <w:rPr>
                      <w:b/>
                    </w:rPr>
                    <w:t>)</w:t>
                  </w:r>
                </w:p>
              </w:tc>
            </w:tr>
            <w:tr w14:paraId="2E08686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1" w:type="dxa"/>
                  <w:bottom w:w="0" w:type="dxa"/>
                  <w:right w:w="11" w:type="dxa"/>
                </w:tblCellMar>
              </w:tblPrEx>
              <w:trPr>
                <w:trHeight w:val="255" w:hRule="atLeast"/>
                <w:tblHeader/>
                <w:jc w:val="center"/>
              </w:trPr>
              <w:tc>
                <w:tcPr>
                  <w:tcW w:w="1075" w:type="pct"/>
                  <w:vAlign w:val="center"/>
                </w:tcPr>
                <w:p w14:paraId="0FEE8281">
                  <w:pPr>
                    <w:jc w:val="center"/>
                    <w:rPr>
                      <w:b/>
                    </w:rPr>
                  </w:pPr>
                  <w:r>
                    <w:rPr>
                      <w:rFonts w:hAnsi="宋体"/>
                      <w:b/>
                    </w:rPr>
                    <w:t>桩号</w:t>
                  </w:r>
                </w:p>
              </w:tc>
              <w:tc>
                <w:tcPr>
                  <w:tcW w:w="605" w:type="pct"/>
                  <w:vAlign w:val="center"/>
                </w:tcPr>
                <w:p w14:paraId="380C96CF">
                  <w:pPr>
                    <w:jc w:val="center"/>
                    <w:rPr>
                      <w:b/>
                      <w:kern w:val="0"/>
                    </w:rPr>
                  </w:pPr>
                  <w:r>
                    <w:rPr>
                      <w:rFonts w:hAnsi="宋体"/>
                      <w:b/>
                      <w:kern w:val="0"/>
                    </w:rPr>
                    <w:t>工程形式</w:t>
                  </w:r>
                </w:p>
              </w:tc>
              <w:tc>
                <w:tcPr>
                  <w:tcW w:w="303" w:type="pct"/>
                  <w:vMerge w:val="continue"/>
                  <w:vAlign w:val="center"/>
                </w:tcPr>
                <w:p w14:paraId="485E4D53">
                  <w:pPr>
                    <w:jc w:val="center"/>
                    <w:rPr>
                      <w:b/>
                      <w:kern w:val="0"/>
                    </w:rPr>
                  </w:pPr>
                </w:p>
              </w:tc>
              <w:tc>
                <w:tcPr>
                  <w:tcW w:w="684" w:type="pct"/>
                  <w:vMerge w:val="continue"/>
                  <w:vAlign w:val="center"/>
                </w:tcPr>
                <w:p w14:paraId="4D466EE9">
                  <w:pPr>
                    <w:jc w:val="center"/>
                    <w:rPr>
                      <w:kern w:val="0"/>
                    </w:rPr>
                  </w:pPr>
                </w:p>
              </w:tc>
              <w:tc>
                <w:tcPr>
                  <w:tcW w:w="656" w:type="pct"/>
                  <w:vMerge w:val="continue"/>
                  <w:vAlign w:val="center"/>
                </w:tcPr>
                <w:p w14:paraId="476278C0">
                  <w:pPr>
                    <w:jc w:val="center"/>
                    <w:rPr>
                      <w:kern w:val="0"/>
                    </w:rPr>
                  </w:pPr>
                </w:p>
              </w:tc>
              <w:tc>
                <w:tcPr>
                  <w:tcW w:w="403" w:type="pct"/>
                  <w:vMerge w:val="continue"/>
                  <w:vAlign w:val="center"/>
                </w:tcPr>
                <w:p w14:paraId="053140D7">
                  <w:pPr>
                    <w:jc w:val="center"/>
                    <w:rPr>
                      <w:kern w:val="0"/>
                    </w:rPr>
                  </w:pPr>
                </w:p>
              </w:tc>
              <w:tc>
                <w:tcPr>
                  <w:tcW w:w="611" w:type="pct"/>
                  <w:vMerge w:val="continue"/>
                  <w:vAlign w:val="center"/>
                </w:tcPr>
                <w:p w14:paraId="7967CB0B">
                  <w:pPr>
                    <w:jc w:val="center"/>
                    <w:rPr>
                      <w:kern w:val="0"/>
                    </w:rPr>
                  </w:pPr>
                </w:p>
              </w:tc>
              <w:tc>
                <w:tcPr>
                  <w:tcW w:w="659" w:type="pct"/>
                  <w:vMerge w:val="continue"/>
                </w:tcPr>
                <w:p w14:paraId="5A21F733">
                  <w:pPr>
                    <w:jc w:val="center"/>
                    <w:rPr>
                      <w:kern w:val="0"/>
                    </w:rPr>
                  </w:pPr>
                </w:p>
              </w:tc>
            </w:tr>
            <w:tr w14:paraId="352F206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1" w:type="dxa"/>
                  <w:bottom w:w="0" w:type="dxa"/>
                  <w:right w:w="11" w:type="dxa"/>
                </w:tblCellMar>
              </w:tblPrEx>
              <w:trPr>
                <w:trHeight w:val="255" w:hRule="atLeast"/>
                <w:jc w:val="center"/>
              </w:trPr>
              <w:tc>
                <w:tcPr>
                  <w:tcW w:w="1075" w:type="pct"/>
                  <w:vAlign w:val="center"/>
                </w:tcPr>
                <w:p w14:paraId="133D87E3">
                  <w:pPr>
                    <w:jc w:val="center"/>
                  </w:pPr>
                  <w:r>
                    <w:t>K23+350-K23+450</w:t>
                  </w:r>
                </w:p>
              </w:tc>
              <w:tc>
                <w:tcPr>
                  <w:tcW w:w="605" w:type="pct"/>
                  <w:vAlign w:val="center"/>
                </w:tcPr>
                <w:p w14:paraId="2E9E44F7">
                  <w:pPr>
                    <w:jc w:val="center"/>
                    <w:rPr>
                      <w:kern w:val="0"/>
                    </w:rPr>
                  </w:pPr>
                  <w:r>
                    <w:rPr>
                      <w:rFonts w:hint="eastAsia"/>
                      <w:kern w:val="0"/>
                    </w:rPr>
                    <w:t>路基</w:t>
                  </w:r>
                </w:p>
              </w:tc>
              <w:tc>
                <w:tcPr>
                  <w:tcW w:w="303" w:type="pct"/>
                  <w:vAlign w:val="center"/>
                </w:tcPr>
                <w:p w14:paraId="4C79F7F4">
                  <w:pPr>
                    <w:jc w:val="center"/>
                  </w:pPr>
                  <w:r>
                    <w:rPr>
                      <w:rFonts w:hint="eastAsia"/>
                    </w:rPr>
                    <w:t>100</w:t>
                  </w:r>
                </w:p>
              </w:tc>
              <w:tc>
                <w:tcPr>
                  <w:tcW w:w="684" w:type="pct"/>
                  <w:vAlign w:val="center"/>
                </w:tcPr>
                <w:p w14:paraId="5A461CF6">
                  <w:pPr>
                    <w:jc w:val="center"/>
                  </w:pPr>
                  <w:r>
                    <w:rPr>
                      <w:rFonts w:hint="eastAsia" w:hAnsi="宋体"/>
                    </w:rPr>
                    <w:t>加强型防撞护栏</w:t>
                  </w:r>
                  <w:r>
                    <w:rPr>
                      <w:rFonts w:hint="eastAsia" w:hAnsi="宋体"/>
                      <w:lang w:val="en-US" w:eastAsia="zh-CN"/>
                    </w:rPr>
                    <w:t>2</w:t>
                  </w:r>
                  <w:r>
                    <w:rPr>
                      <w:rFonts w:hint="eastAsia" w:hAnsi="宋体"/>
                    </w:rPr>
                    <w:t>00</w:t>
                  </w:r>
                </w:p>
              </w:tc>
              <w:tc>
                <w:tcPr>
                  <w:tcW w:w="656" w:type="pct"/>
                  <w:vAlign w:val="center"/>
                </w:tcPr>
                <w:p w14:paraId="049FCDD6">
                  <w:pPr>
                    <w:jc w:val="center"/>
                  </w:pPr>
                  <w:r>
                    <w:rPr>
                      <w:rFonts w:hint="eastAsia"/>
                    </w:rPr>
                    <w:t>防渗边沟</w:t>
                  </w:r>
                </w:p>
                <w:p w14:paraId="17B87AF7">
                  <w:pPr>
                    <w:jc w:val="center"/>
                  </w:pPr>
                  <w:r>
                    <w:rPr>
                      <w:rFonts w:hint="eastAsia"/>
                    </w:rPr>
                    <w:t>200</w:t>
                  </w:r>
                </w:p>
              </w:tc>
              <w:tc>
                <w:tcPr>
                  <w:tcW w:w="403" w:type="pct"/>
                  <w:vAlign w:val="center"/>
                </w:tcPr>
                <w:p w14:paraId="7C6235CA">
                  <w:pPr>
                    <w:jc w:val="center"/>
                  </w:pPr>
                  <w:r>
                    <w:rPr>
                      <w:rFonts w:hint="eastAsia"/>
                      <w:kern w:val="0"/>
                    </w:rPr>
                    <w:t>2</w:t>
                  </w:r>
                </w:p>
              </w:tc>
              <w:tc>
                <w:tcPr>
                  <w:tcW w:w="611" w:type="pct"/>
                  <w:vAlign w:val="center"/>
                </w:tcPr>
                <w:p w14:paraId="0CD2A230">
                  <w:pPr>
                    <w:jc w:val="center"/>
                    <w:rPr>
                      <w:rFonts w:hint="eastAsia" w:eastAsia="宋体"/>
                      <w:kern w:val="0"/>
                      <w:lang w:eastAsia="zh-CN"/>
                    </w:rPr>
                  </w:pPr>
                  <w:r>
                    <w:rPr>
                      <w:rFonts w:hint="eastAsia"/>
                      <w:lang w:val="en-US" w:eastAsia="zh-CN"/>
                    </w:rPr>
                    <w:t>4</w:t>
                  </w:r>
                </w:p>
              </w:tc>
              <w:tc>
                <w:tcPr>
                  <w:tcW w:w="659" w:type="pct"/>
                  <w:vAlign w:val="center"/>
                </w:tcPr>
                <w:p w14:paraId="6A7899DC">
                  <w:pPr>
                    <w:jc w:val="center"/>
                    <w:rPr>
                      <w:rFonts w:hint="default" w:eastAsia="宋体"/>
                      <w:lang w:val="en-US" w:eastAsia="zh-CN"/>
                    </w:rPr>
                  </w:pPr>
                  <w:r>
                    <w:rPr>
                      <w:rFonts w:hint="eastAsia"/>
                      <w:lang w:val="en-US" w:eastAsia="zh-CN"/>
                    </w:rPr>
                    <w:t>80</w:t>
                  </w:r>
                </w:p>
              </w:tc>
            </w:tr>
            <w:tr w14:paraId="2FC5782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1" w:type="dxa"/>
                  <w:bottom w:w="0" w:type="dxa"/>
                  <w:right w:w="11" w:type="dxa"/>
                </w:tblCellMar>
              </w:tblPrEx>
              <w:trPr>
                <w:trHeight w:val="255" w:hRule="atLeast"/>
                <w:jc w:val="center"/>
              </w:trPr>
              <w:tc>
                <w:tcPr>
                  <w:tcW w:w="1075" w:type="pct"/>
                  <w:vAlign w:val="center"/>
                </w:tcPr>
                <w:p w14:paraId="59CAF14A">
                  <w:pPr>
                    <w:jc w:val="center"/>
                    <w:rPr>
                      <w:bCs/>
                    </w:rPr>
                  </w:pPr>
                  <w:r>
                    <w:rPr>
                      <w:bCs/>
                    </w:rPr>
                    <w:t>K24+070-K24+170</w:t>
                  </w:r>
                </w:p>
              </w:tc>
              <w:tc>
                <w:tcPr>
                  <w:tcW w:w="605" w:type="pct"/>
                  <w:vAlign w:val="center"/>
                </w:tcPr>
                <w:p w14:paraId="5704CFAB">
                  <w:pPr>
                    <w:jc w:val="center"/>
                    <w:rPr>
                      <w:kern w:val="0"/>
                    </w:rPr>
                  </w:pPr>
                  <w:r>
                    <w:rPr>
                      <w:rFonts w:hAnsi="宋体"/>
                      <w:kern w:val="0"/>
                    </w:rPr>
                    <w:t>路基</w:t>
                  </w:r>
                </w:p>
              </w:tc>
              <w:tc>
                <w:tcPr>
                  <w:tcW w:w="303" w:type="pct"/>
                  <w:vAlign w:val="center"/>
                </w:tcPr>
                <w:p w14:paraId="6C008389">
                  <w:pPr>
                    <w:jc w:val="center"/>
                  </w:pPr>
                  <w:r>
                    <w:rPr>
                      <w:rFonts w:hint="eastAsia"/>
                    </w:rPr>
                    <w:t>100</w:t>
                  </w:r>
                </w:p>
              </w:tc>
              <w:tc>
                <w:tcPr>
                  <w:tcW w:w="684" w:type="pct"/>
                  <w:vAlign w:val="center"/>
                </w:tcPr>
                <w:p w14:paraId="24B361D1">
                  <w:pPr>
                    <w:jc w:val="center"/>
                  </w:pPr>
                  <w:r>
                    <w:rPr>
                      <w:rFonts w:hint="eastAsia" w:hAnsi="宋体"/>
                    </w:rPr>
                    <w:t>加强型防撞护栏</w:t>
                  </w:r>
                  <w:r>
                    <w:rPr>
                      <w:rFonts w:hint="eastAsia" w:hAnsi="宋体"/>
                      <w:lang w:val="en-US" w:eastAsia="zh-CN"/>
                    </w:rPr>
                    <w:t>2</w:t>
                  </w:r>
                  <w:r>
                    <w:rPr>
                      <w:rFonts w:hint="eastAsia" w:hAnsi="宋体"/>
                    </w:rPr>
                    <w:t>00</w:t>
                  </w:r>
                </w:p>
              </w:tc>
              <w:tc>
                <w:tcPr>
                  <w:tcW w:w="656" w:type="pct"/>
                  <w:vAlign w:val="center"/>
                </w:tcPr>
                <w:p w14:paraId="3CD977D7">
                  <w:pPr>
                    <w:jc w:val="center"/>
                    <w:rPr>
                      <w:kern w:val="0"/>
                    </w:rPr>
                  </w:pPr>
                  <w:r>
                    <w:rPr>
                      <w:rFonts w:hAnsi="宋体"/>
                      <w:kern w:val="0"/>
                    </w:rPr>
                    <w:t>防渗边沟</w:t>
                  </w:r>
                </w:p>
                <w:p w14:paraId="74256D07">
                  <w:pPr>
                    <w:jc w:val="center"/>
                  </w:pPr>
                  <w:r>
                    <w:rPr>
                      <w:rFonts w:hint="eastAsia"/>
                      <w:kern w:val="0"/>
                    </w:rPr>
                    <w:t>200</w:t>
                  </w:r>
                </w:p>
              </w:tc>
              <w:tc>
                <w:tcPr>
                  <w:tcW w:w="403" w:type="pct"/>
                  <w:vAlign w:val="center"/>
                </w:tcPr>
                <w:p w14:paraId="5A9FB60F">
                  <w:pPr>
                    <w:jc w:val="center"/>
                  </w:pPr>
                  <w:r>
                    <w:rPr>
                      <w:rFonts w:hint="eastAsia"/>
                      <w:kern w:val="0"/>
                    </w:rPr>
                    <w:t>2</w:t>
                  </w:r>
                </w:p>
              </w:tc>
              <w:tc>
                <w:tcPr>
                  <w:tcW w:w="611" w:type="pct"/>
                  <w:vAlign w:val="center"/>
                </w:tcPr>
                <w:p w14:paraId="25FA20AF">
                  <w:pPr>
                    <w:jc w:val="center"/>
                    <w:rPr>
                      <w:rFonts w:hint="eastAsia" w:eastAsia="宋体"/>
                      <w:kern w:val="0"/>
                      <w:lang w:eastAsia="zh-CN"/>
                    </w:rPr>
                  </w:pPr>
                  <w:r>
                    <w:rPr>
                      <w:rFonts w:hint="eastAsia"/>
                      <w:lang w:val="en-US" w:eastAsia="zh-CN"/>
                    </w:rPr>
                    <w:t>4</w:t>
                  </w:r>
                </w:p>
              </w:tc>
              <w:tc>
                <w:tcPr>
                  <w:tcW w:w="659" w:type="pct"/>
                  <w:vAlign w:val="center"/>
                </w:tcPr>
                <w:p w14:paraId="6B4BD5F7">
                  <w:pPr>
                    <w:jc w:val="center"/>
                    <w:rPr>
                      <w:rFonts w:hint="default" w:eastAsia="宋体"/>
                      <w:lang w:val="en-US" w:eastAsia="zh-CN"/>
                    </w:rPr>
                  </w:pPr>
                  <w:r>
                    <w:rPr>
                      <w:rFonts w:hint="eastAsia"/>
                      <w:lang w:val="en-US" w:eastAsia="zh-CN"/>
                    </w:rPr>
                    <w:t>80</w:t>
                  </w:r>
                </w:p>
              </w:tc>
            </w:tr>
            <w:tr w14:paraId="5F97DA1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1" w:type="dxa"/>
                  <w:bottom w:w="0" w:type="dxa"/>
                  <w:right w:w="11" w:type="dxa"/>
                </w:tblCellMar>
              </w:tblPrEx>
              <w:trPr>
                <w:trHeight w:val="255" w:hRule="atLeast"/>
                <w:jc w:val="center"/>
              </w:trPr>
              <w:tc>
                <w:tcPr>
                  <w:tcW w:w="1075" w:type="pct"/>
                  <w:vAlign w:val="center"/>
                </w:tcPr>
                <w:p w14:paraId="6DB3AB93">
                  <w:pPr>
                    <w:jc w:val="center"/>
                    <w:rPr>
                      <w:kern w:val="0"/>
                    </w:rPr>
                  </w:pPr>
                  <w:r>
                    <w:rPr>
                      <w:kern w:val="0"/>
                    </w:rPr>
                    <w:t>K24+780-K24+8</w:t>
                  </w:r>
                  <w:r>
                    <w:rPr>
                      <w:rFonts w:hint="eastAsia"/>
                      <w:kern w:val="0"/>
                      <w:lang w:val="en-US" w:eastAsia="zh-CN"/>
                    </w:rPr>
                    <w:t>6</w:t>
                  </w:r>
                  <w:r>
                    <w:rPr>
                      <w:kern w:val="0"/>
                    </w:rPr>
                    <w:t>0</w:t>
                  </w:r>
                </w:p>
              </w:tc>
              <w:tc>
                <w:tcPr>
                  <w:tcW w:w="605" w:type="pct"/>
                  <w:vAlign w:val="center"/>
                </w:tcPr>
                <w:p w14:paraId="3F6923A0">
                  <w:pPr>
                    <w:jc w:val="center"/>
                    <w:rPr>
                      <w:rFonts w:hint="eastAsia" w:hAnsi="宋体"/>
                      <w:kern w:val="0"/>
                    </w:rPr>
                  </w:pPr>
                  <w:r>
                    <w:rPr>
                      <w:rFonts w:hint="eastAsia" w:hAnsi="宋体"/>
                      <w:kern w:val="0"/>
                    </w:rPr>
                    <w:t>路基</w:t>
                  </w:r>
                </w:p>
              </w:tc>
              <w:tc>
                <w:tcPr>
                  <w:tcW w:w="303" w:type="pct"/>
                  <w:vAlign w:val="center"/>
                </w:tcPr>
                <w:p w14:paraId="4C188658">
                  <w:pPr>
                    <w:jc w:val="center"/>
                  </w:pPr>
                  <w:r>
                    <w:rPr>
                      <w:rFonts w:hint="eastAsia"/>
                      <w:lang w:val="en-US" w:eastAsia="zh-CN"/>
                    </w:rPr>
                    <w:t>8</w:t>
                  </w:r>
                  <w:r>
                    <w:rPr>
                      <w:rFonts w:hint="eastAsia"/>
                    </w:rPr>
                    <w:t>0</w:t>
                  </w:r>
                </w:p>
              </w:tc>
              <w:tc>
                <w:tcPr>
                  <w:tcW w:w="684" w:type="pct"/>
                </w:tcPr>
                <w:p w14:paraId="110E55F0">
                  <w:pPr>
                    <w:jc w:val="center"/>
                    <w:rPr>
                      <w:rFonts w:hint="eastAsia" w:hAnsi="宋体"/>
                    </w:rPr>
                  </w:pPr>
                  <w:r>
                    <w:rPr>
                      <w:rFonts w:hint="eastAsia"/>
                    </w:rPr>
                    <w:t>加强型防撞护栏</w:t>
                  </w:r>
                  <w:r>
                    <w:rPr>
                      <w:rFonts w:hint="eastAsia"/>
                      <w:lang w:val="en-US" w:eastAsia="zh-CN"/>
                    </w:rPr>
                    <w:t>16</w:t>
                  </w:r>
                  <w:r>
                    <w:rPr>
                      <w:rFonts w:hint="eastAsia"/>
                    </w:rPr>
                    <w:t>0</w:t>
                  </w:r>
                </w:p>
              </w:tc>
              <w:tc>
                <w:tcPr>
                  <w:tcW w:w="656" w:type="pct"/>
                  <w:vAlign w:val="center"/>
                </w:tcPr>
                <w:p w14:paraId="31F1D257">
                  <w:pPr>
                    <w:jc w:val="center"/>
                    <w:rPr>
                      <w:rFonts w:hint="eastAsia" w:hAnsi="宋体"/>
                      <w:kern w:val="0"/>
                    </w:rPr>
                  </w:pPr>
                  <w:r>
                    <w:rPr>
                      <w:rFonts w:hint="eastAsia" w:hAnsi="宋体"/>
                      <w:kern w:val="0"/>
                    </w:rPr>
                    <w:t>防渗边沟</w:t>
                  </w:r>
                  <w:r>
                    <w:rPr>
                      <w:rFonts w:hint="eastAsia" w:hAnsi="宋体"/>
                      <w:kern w:val="0"/>
                      <w:lang w:val="en-US" w:eastAsia="zh-CN"/>
                    </w:rPr>
                    <w:t>16</w:t>
                  </w:r>
                  <w:r>
                    <w:rPr>
                      <w:rFonts w:hint="eastAsia" w:hAnsi="宋体"/>
                      <w:kern w:val="0"/>
                    </w:rPr>
                    <w:t>0</w:t>
                  </w:r>
                </w:p>
              </w:tc>
              <w:tc>
                <w:tcPr>
                  <w:tcW w:w="403" w:type="pct"/>
                  <w:vAlign w:val="center"/>
                </w:tcPr>
                <w:p w14:paraId="32AA6CCD">
                  <w:pPr>
                    <w:jc w:val="center"/>
                    <w:rPr>
                      <w:kern w:val="0"/>
                    </w:rPr>
                  </w:pPr>
                  <w:r>
                    <w:rPr>
                      <w:rFonts w:hint="eastAsia"/>
                      <w:kern w:val="0"/>
                    </w:rPr>
                    <w:t>2</w:t>
                  </w:r>
                </w:p>
              </w:tc>
              <w:tc>
                <w:tcPr>
                  <w:tcW w:w="611" w:type="pct"/>
                  <w:vAlign w:val="center"/>
                </w:tcPr>
                <w:p w14:paraId="32B387DC">
                  <w:pPr>
                    <w:jc w:val="center"/>
                    <w:rPr>
                      <w:rFonts w:hint="eastAsia" w:eastAsia="宋体"/>
                      <w:lang w:eastAsia="zh-CN"/>
                    </w:rPr>
                  </w:pPr>
                  <w:r>
                    <w:rPr>
                      <w:rFonts w:hint="eastAsia"/>
                      <w:lang w:val="en-US" w:eastAsia="zh-CN"/>
                    </w:rPr>
                    <w:t>4</w:t>
                  </w:r>
                </w:p>
              </w:tc>
              <w:tc>
                <w:tcPr>
                  <w:tcW w:w="659" w:type="pct"/>
                  <w:vAlign w:val="center"/>
                </w:tcPr>
                <w:p w14:paraId="4752C381">
                  <w:pPr>
                    <w:jc w:val="center"/>
                    <w:rPr>
                      <w:rFonts w:hint="default" w:eastAsia="宋体"/>
                      <w:lang w:val="en-US" w:eastAsia="zh-CN"/>
                    </w:rPr>
                  </w:pPr>
                  <w:r>
                    <w:rPr>
                      <w:rFonts w:hint="eastAsia"/>
                      <w:lang w:val="en-US" w:eastAsia="zh-CN"/>
                    </w:rPr>
                    <w:t>70</w:t>
                  </w:r>
                </w:p>
              </w:tc>
            </w:tr>
            <w:tr w14:paraId="63DD28D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1" w:type="dxa"/>
                  <w:bottom w:w="0" w:type="dxa"/>
                  <w:right w:w="11" w:type="dxa"/>
                </w:tblCellMar>
              </w:tblPrEx>
              <w:trPr>
                <w:trHeight w:val="255" w:hRule="atLeast"/>
                <w:jc w:val="center"/>
              </w:trPr>
              <w:tc>
                <w:tcPr>
                  <w:tcW w:w="1075" w:type="pct"/>
                  <w:vAlign w:val="center"/>
                </w:tcPr>
                <w:p w14:paraId="093BDDC4">
                  <w:pPr>
                    <w:jc w:val="center"/>
                    <w:rPr>
                      <w:kern w:val="0"/>
                    </w:rPr>
                  </w:pPr>
                  <w:r>
                    <w:rPr>
                      <w:kern w:val="0"/>
                    </w:rPr>
                    <w:t>K27+120-K27+260</w:t>
                  </w:r>
                </w:p>
              </w:tc>
              <w:tc>
                <w:tcPr>
                  <w:tcW w:w="605" w:type="pct"/>
                  <w:vAlign w:val="center"/>
                </w:tcPr>
                <w:p w14:paraId="27102E32">
                  <w:pPr>
                    <w:jc w:val="center"/>
                    <w:rPr>
                      <w:rFonts w:hint="eastAsia" w:hAnsi="宋体"/>
                      <w:kern w:val="0"/>
                    </w:rPr>
                  </w:pPr>
                  <w:r>
                    <w:rPr>
                      <w:rFonts w:hint="eastAsia" w:hAnsi="宋体"/>
                      <w:kern w:val="0"/>
                    </w:rPr>
                    <w:t>路基</w:t>
                  </w:r>
                </w:p>
              </w:tc>
              <w:tc>
                <w:tcPr>
                  <w:tcW w:w="303" w:type="pct"/>
                  <w:vAlign w:val="center"/>
                </w:tcPr>
                <w:p w14:paraId="1150F16B">
                  <w:pPr>
                    <w:jc w:val="center"/>
                  </w:pPr>
                  <w:r>
                    <w:rPr>
                      <w:rFonts w:hint="eastAsia"/>
                    </w:rPr>
                    <w:t>1</w:t>
                  </w:r>
                  <w:r>
                    <w:rPr>
                      <w:rFonts w:hint="eastAsia"/>
                      <w:lang w:val="en-US" w:eastAsia="zh-CN"/>
                    </w:rPr>
                    <w:t>4</w:t>
                  </w:r>
                  <w:r>
                    <w:rPr>
                      <w:rFonts w:hint="eastAsia"/>
                    </w:rPr>
                    <w:t>0</w:t>
                  </w:r>
                </w:p>
              </w:tc>
              <w:tc>
                <w:tcPr>
                  <w:tcW w:w="684" w:type="pct"/>
                </w:tcPr>
                <w:p w14:paraId="29A6D944">
                  <w:pPr>
                    <w:jc w:val="center"/>
                    <w:rPr>
                      <w:rFonts w:hint="eastAsia" w:hAnsi="宋体"/>
                    </w:rPr>
                  </w:pPr>
                  <w:r>
                    <w:rPr>
                      <w:rFonts w:hint="eastAsia"/>
                    </w:rPr>
                    <w:t>加强型防撞护栏</w:t>
                  </w:r>
                  <w:r>
                    <w:rPr>
                      <w:rFonts w:hint="eastAsia"/>
                      <w:lang w:val="en-US" w:eastAsia="zh-CN"/>
                    </w:rPr>
                    <w:t>28</w:t>
                  </w:r>
                  <w:r>
                    <w:rPr>
                      <w:rFonts w:hint="eastAsia"/>
                    </w:rPr>
                    <w:t>0</w:t>
                  </w:r>
                </w:p>
              </w:tc>
              <w:tc>
                <w:tcPr>
                  <w:tcW w:w="656" w:type="pct"/>
                  <w:vAlign w:val="center"/>
                </w:tcPr>
                <w:p w14:paraId="15573F84">
                  <w:pPr>
                    <w:jc w:val="center"/>
                    <w:rPr>
                      <w:rFonts w:hint="eastAsia" w:hAnsi="宋体"/>
                      <w:kern w:val="0"/>
                    </w:rPr>
                  </w:pPr>
                  <w:r>
                    <w:rPr>
                      <w:rFonts w:hint="eastAsia" w:hAnsi="宋体"/>
                      <w:kern w:val="0"/>
                    </w:rPr>
                    <w:t>防渗边沟2</w:t>
                  </w:r>
                  <w:r>
                    <w:rPr>
                      <w:rFonts w:hint="eastAsia" w:hAnsi="宋体"/>
                      <w:kern w:val="0"/>
                      <w:lang w:val="en-US" w:eastAsia="zh-CN"/>
                    </w:rPr>
                    <w:t>8</w:t>
                  </w:r>
                  <w:r>
                    <w:rPr>
                      <w:rFonts w:hint="eastAsia" w:hAnsi="宋体"/>
                      <w:kern w:val="0"/>
                    </w:rPr>
                    <w:t>0</w:t>
                  </w:r>
                </w:p>
              </w:tc>
              <w:tc>
                <w:tcPr>
                  <w:tcW w:w="403" w:type="pct"/>
                  <w:vAlign w:val="center"/>
                </w:tcPr>
                <w:p w14:paraId="1DC99BCC">
                  <w:pPr>
                    <w:jc w:val="center"/>
                    <w:rPr>
                      <w:kern w:val="0"/>
                    </w:rPr>
                  </w:pPr>
                  <w:r>
                    <w:rPr>
                      <w:rFonts w:hint="eastAsia"/>
                      <w:kern w:val="0"/>
                    </w:rPr>
                    <w:t>2</w:t>
                  </w:r>
                </w:p>
              </w:tc>
              <w:tc>
                <w:tcPr>
                  <w:tcW w:w="611" w:type="pct"/>
                  <w:vAlign w:val="center"/>
                </w:tcPr>
                <w:p w14:paraId="7FDF5E2F">
                  <w:pPr>
                    <w:jc w:val="center"/>
                    <w:rPr>
                      <w:rFonts w:hint="eastAsia" w:eastAsia="宋体"/>
                      <w:lang w:eastAsia="zh-CN"/>
                    </w:rPr>
                  </w:pPr>
                  <w:r>
                    <w:rPr>
                      <w:rFonts w:hint="eastAsia"/>
                      <w:lang w:val="en-US" w:eastAsia="zh-CN"/>
                    </w:rPr>
                    <w:t>4</w:t>
                  </w:r>
                </w:p>
              </w:tc>
              <w:tc>
                <w:tcPr>
                  <w:tcW w:w="659" w:type="pct"/>
                  <w:vAlign w:val="center"/>
                </w:tcPr>
                <w:p w14:paraId="74B1FF5D">
                  <w:pPr>
                    <w:jc w:val="center"/>
                    <w:rPr>
                      <w:rFonts w:hint="default" w:eastAsia="宋体"/>
                      <w:lang w:val="en-US" w:eastAsia="zh-CN"/>
                    </w:rPr>
                  </w:pPr>
                  <w:r>
                    <w:rPr>
                      <w:rFonts w:hint="eastAsia"/>
                      <w:lang w:val="en-US" w:eastAsia="zh-CN"/>
                    </w:rPr>
                    <w:t>96</w:t>
                  </w:r>
                </w:p>
              </w:tc>
            </w:tr>
            <w:tr w14:paraId="1723525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1" w:type="dxa"/>
                  <w:bottom w:w="0" w:type="dxa"/>
                  <w:right w:w="11" w:type="dxa"/>
                </w:tblCellMar>
              </w:tblPrEx>
              <w:trPr>
                <w:trHeight w:val="255" w:hRule="atLeast"/>
                <w:jc w:val="center"/>
              </w:trPr>
              <w:tc>
                <w:tcPr>
                  <w:tcW w:w="1681" w:type="pct"/>
                  <w:gridSpan w:val="2"/>
                  <w:vAlign w:val="center"/>
                </w:tcPr>
                <w:p w14:paraId="5B2E4E5A">
                  <w:pPr>
                    <w:jc w:val="center"/>
                    <w:rPr>
                      <w:kern w:val="0"/>
                    </w:rPr>
                  </w:pPr>
                  <w:r>
                    <w:rPr>
                      <w:rFonts w:hAnsi="宋体"/>
                    </w:rPr>
                    <w:t>合计</w:t>
                  </w:r>
                </w:p>
              </w:tc>
              <w:tc>
                <w:tcPr>
                  <w:tcW w:w="303" w:type="pct"/>
                  <w:vAlign w:val="center"/>
                </w:tcPr>
                <w:p w14:paraId="42ECD02A">
                  <w:pPr>
                    <w:jc w:val="center"/>
                  </w:pPr>
                  <w:r>
                    <w:rPr>
                      <w:rFonts w:hint="eastAsia"/>
                    </w:rPr>
                    <w:t>4</w:t>
                  </w:r>
                  <w:r>
                    <w:rPr>
                      <w:rFonts w:hint="eastAsia"/>
                      <w:lang w:val="en-US" w:eastAsia="zh-CN"/>
                    </w:rPr>
                    <w:t>2</w:t>
                  </w:r>
                  <w:r>
                    <w:rPr>
                      <w:rFonts w:hint="eastAsia"/>
                    </w:rPr>
                    <w:t>0</w:t>
                  </w:r>
                </w:p>
              </w:tc>
              <w:tc>
                <w:tcPr>
                  <w:tcW w:w="684" w:type="pct"/>
                  <w:vAlign w:val="center"/>
                </w:tcPr>
                <w:p w14:paraId="1B842A8C">
                  <w:pPr>
                    <w:jc w:val="center"/>
                    <w:rPr>
                      <w:rFonts w:hint="default" w:eastAsia="宋体"/>
                      <w:kern w:val="0"/>
                      <w:lang w:val="en-US" w:eastAsia="zh-CN"/>
                    </w:rPr>
                  </w:pPr>
                  <w:r>
                    <w:rPr>
                      <w:rFonts w:hint="eastAsia"/>
                      <w:kern w:val="0"/>
                      <w:lang w:val="en-US" w:eastAsia="zh-CN"/>
                    </w:rPr>
                    <w:t>840</w:t>
                  </w:r>
                </w:p>
              </w:tc>
              <w:tc>
                <w:tcPr>
                  <w:tcW w:w="656" w:type="pct"/>
                  <w:vAlign w:val="center"/>
                </w:tcPr>
                <w:p w14:paraId="76A3BD74">
                  <w:pPr>
                    <w:jc w:val="center"/>
                    <w:rPr>
                      <w:kern w:val="0"/>
                    </w:rPr>
                  </w:pPr>
                  <w:r>
                    <w:rPr>
                      <w:rFonts w:hint="eastAsia"/>
                      <w:kern w:val="0"/>
                    </w:rPr>
                    <w:t>8</w:t>
                  </w:r>
                  <w:r>
                    <w:rPr>
                      <w:rFonts w:hint="eastAsia"/>
                      <w:kern w:val="0"/>
                      <w:lang w:val="en-US" w:eastAsia="zh-CN"/>
                    </w:rPr>
                    <w:t>4</w:t>
                  </w:r>
                  <w:r>
                    <w:rPr>
                      <w:rFonts w:hint="eastAsia"/>
                      <w:kern w:val="0"/>
                    </w:rPr>
                    <w:t>0</w:t>
                  </w:r>
                </w:p>
              </w:tc>
              <w:tc>
                <w:tcPr>
                  <w:tcW w:w="403" w:type="pct"/>
                  <w:vAlign w:val="center"/>
                </w:tcPr>
                <w:p w14:paraId="587CDA3A">
                  <w:pPr>
                    <w:jc w:val="center"/>
                    <w:rPr>
                      <w:kern w:val="0"/>
                    </w:rPr>
                  </w:pPr>
                  <w:r>
                    <w:rPr>
                      <w:rFonts w:hint="eastAsia"/>
                      <w:kern w:val="0"/>
                    </w:rPr>
                    <w:t>8</w:t>
                  </w:r>
                </w:p>
              </w:tc>
              <w:tc>
                <w:tcPr>
                  <w:tcW w:w="611" w:type="pct"/>
                  <w:vAlign w:val="center"/>
                </w:tcPr>
                <w:p w14:paraId="6B655C1D">
                  <w:pPr>
                    <w:jc w:val="center"/>
                    <w:rPr>
                      <w:rFonts w:hint="default" w:eastAsia="宋体"/>
                      <w:lang w:val="en-US" w:eastAsia="zh-CN"/>
                    </w:rPr>
                  </w:pPr>
                  <w:r>
                    <w:rPr>
                      <w:rFonts w:hint="eastAsia"/>
                      <w:lang w:val="en-US" w:eastAsia="zh-CN"/>
                    </w:rPr>
                    <w:t>16</w:t>
                  </w:r>
                </w:p>
              </w:tc>
              <w:tc>
                <w:tcPr>
                  <w:tcW w:w="659" w:type="pct"/>
                  <w:vAlign w:val="center"/>
                </w:tcPr>
                <w:p w14:paraId="6593C9F0">
                  <w:pPr>
                    <w:jc w:val="center"/>
                    <w:rPr>
                      <w:rFonts w:hint="default" w:eastAsia="宋体"/>
                      <w:lang w:val="en-US" w:eastAsia="zh-CN"/>
                    </w:rPr>
                  </w:pPr>
                  <w:r>
                    <w:rPr>
                      <w:rFonts w:hint="eastAsia"/>
                      <w:lang w:val="en-US" w:eastAsia="zh-CN"/>
                    </w:rPr>
                    <w:t>326</w:t>
                  </w:r>
                </w:p>
              </w:tc>
            </w:tr>
          </w:tbl>
          <w:p w14:paraId="68FA91AC"/>
          <w:p w14:paraId="7FF74A13">
            <w:pPr>
              <w:spacing w:line="300" w:lineRule="auto"/>
              <w:ind w:firstLine="480" w:firstLineChars="200"/>
              <w:rPr>
                <w:rFonts w:hint="default" w:ascii="Times New Roman" w:hAnsi="Times New Roman" w:cs="Times New Roman"/>
                <w:kern w:val="0"/>
                <w:sz w:val="24"/>
                <w:szCs w:val="20"/>
              </w:rPr>
            </w:pPr>
            <w:r>
              <w:rPr>
                <w:rFonts w:hint="default" w:ascii="Times New Roman" w:hAnsi="Times New Roman" w:cs="Times New Roman"/>
                <w:kern w:val="0"/>
                <w:sz w:val="24"/>
                <w:szCs w:val="20"/>
              </w:rPr>
              <w:t>② 跨</w:t>
            </w:r>
            <w:r>
              <w:rPr>
                <w:rFonts w:hint="eastAsia" w:ascii="Times New Roman" w:hAnsi="Times New Roman" w:cs="Times New Roman"/>
                <w:kern w:val="0"/>
                <w:sz w:val="24"/>
                <w:szCs w:val="20"/>
                <w:lang w:val="en-US" w:eastAsia="zh-CN"/>
              </w:rPr>
              <w:t>河</w:t>
            </w:r>
            <w:r>
              <w:rPr>
                <w:rFonts w:hint="default" w:ascii="Times New Roman" w:hAnsi="Times New Roman" w:cs="Times New Roman"/>
                <w:kern w:val="0"/>
                <w:sz w:val="24"/>
                <w:szCs w:val="20"/>
              </w:rPr>
              <w:t>桥梁路段</w:t>
            </w:r>
          </w:p>
          <w:p w14:paraId="7B830FE5">
            <w:pPr>
              <w:spacing w:line="300" w:lineRule="auto"/>
              <w:ind w:firstLine="480" w:firstLineChars="200"/>
              <w:rPr>
                <w:rFonts w:hAnsi="宋体"/>
                <w:kern w:val="0"/>
                <w:sz w:val="24"/>
                <w:szCs w:val="20"/>
              </w:rPr>
            </w:pPr>
            <w:r>
              <w:rPr>
                <w:rFonts w:hint="eastAsia"/>
                <w:kern w:val="0"/>
                <w:sz w:val="24"/>
                <w:szCs w:val="20"/>
                <w:lang w:val="en-US" w:eastAsia="zh-CN"/>
              </w:rPr>
              <w:t>为减轻风险事故对沿线河流水质的影响，</w:t>
            </w:r>
            <w:r>
              <w:rPr>
                <w:rFonts w:hAnsi="宋体"/>
                <w:kern w:val="0"/>
                <w:sz w:val="24"/>
                <w:szCs w:val="20"/>
              </w:rPr>
              <w:t>沿线</w:t>
            </w:r>
            <w:r>
              <w:rPr>
                <w:rFonts w:hint="eastAsia" w:hAnsi="宋体"/>
                <w:kern w:val="0"/>
                <w:sz w:val="24"/>
                <w:szCs w:val="20"/>
                <w:lang w:val="en-US" w:eastAsia="zh-CN"/>
              </w:rPr>
              <w:t>所有跨河</w:t>
            </w:r>
            <w:r>
              <w:rPr>
                <w:rFonts w:hAnsi="宋体"/>
                <w:kern w:val="0"/>
                <w:sz w:val="24"/>
                <w:szCs w:val="20"/>
              </w:rPr>
              <w:t>桥梁两侧应</w:t>
            </w:r>
            <w:r>
              <w:rPr>
                <w:rFonts w:hint="eastAsia" w:hAnsi="宋体"/>
                <w:kern w:val="0"/>
                <w:sz w:val="24"/>
                <w:szCs w:val="20"/>
                <w:lang w:val="en-US" w:eastAsia="zh-CN"/>
              </w:rPr>
              <w:t>加强防撞护栏设计，其中</w:t>
            </w:r>
            <w:r>
              <w:rPr>
                <w:kern w:val="0"/>
                <w:sz w:val="24"/>
                <w:szCs w:val="20"/>
              </w:rPr>
              <w:t>跨</w:t>
            </w:r>
            <w:r>
              <w:rPr>
                <w:rFonts w:hint="eastAsia"/>
                <w:kern w:val="0"/>
                <w:sz w:val="24"/>
                <w:szCs w:val="20"/>
                <w:lang w:val="en-US" w:eastAsia="zh-CN"/>
              </w:rPr>
              <w:t>水体1</w:t>
            </w:r>
            <w:r>
              <w:rPr>
                <w:kern w:val="0"/>
                <w:sz w:val="24"/>
                <w:szCs w:val="20"/>
              </w:rPr>
              <w:t>的</w:t>
            </w:r>
            <w:r>
              <w:rPr>
                <w:rFonts w:hint="eastAsia"/>
                <w:kern w:val="0"/>
                <w:sz w:val="24"/>
                <w:szCs w:val="20"/>
                <w:lang w:val="en-US" w:eastAsia="zh-CN"/>
              </w:rPr>
              <w:t>大</w:t>
            </w:r>
            <w:r>
              <w:rPr>
                <w:rFonts w:hAnsi="宋体"/>
                <w:kern w:val="0"/>
                <w:sz w:val="24"/>
                <w:szCs w:val="20"/>
              </w:rPr>
              <w:t>桥</w:t>
            </w:r>
            <w:r>
              <w:rPr>
                <w:rFonts w:hint="eastAsia" w:hAnsi="宋体"/>
                <w:kern w:val="0"/>
                <w:sz w:val="24"/>
                <w:szCs w:val="20"/>
                <w:lang w:val="en-US" w:eastAsia="zh-CN"/>
              </w:rPr>
              <w:t>以及跨水体2的新栏杆一桥</w:t>
            </w:r>
            <w:r>
              <w:rPr>
                <w:rFonts w:hAnsi="宋体"/>
                <w:kern w:val="0"/>
                <w:sz w:val="24"/>
                <w:szCs w:val="20"/>
              </w:rPr>
              <w:t>需设置桥面径流收集系统及事故应急池</w:t>
            </w:r>
            <w:r>
              <w:rPr>
                <w:rFonts w:hint="eastAsia" w:hAnsi="宋体"/>
                <w:kern w:val="0"/>
                <w:sz w:val="24"/>
                <w:szCs w:val="20"/>
                <w:lang w:eastAsia="zh-CN"/>
              </w:rPr>
              <w:t>，</w:t>
            </w:r>
            <w:r>
              <w:rPr>
                <w:rFonts w:hint="eastAsia" w:hAnsi="宋体"/>
                <w:kern w:val="0"/>
                <w:sz w:val="24"/>
                <w:szCs w:val="20"/>
                <w:lang w:val="en-US" w:eastAsia="zh-CN"/>
              </w:rPr>
              <w:t>同时加强防撞护栏设计，</w:t>
            </w:r>
            <w:r>
              <w:rPr>
                <w:rFonts w:hAnsi="宋体"/>
                <w:kern w:val="0"/>
                <w:sz w:val="24"/>
                <w:szCs w:val="20"/>
              </w:rPr>
              <w:t>桥梁两端设置警示标志</w:t>
            </w:r>
            <w:r>
              <w:rPr>
                <w:rFonts w:hint="eastAsia" w:hAnsi="宋体"/>
                <w:kern w:val="0"/>
                <w:sz w:val="24"/>
                <w:szCs w:val="20"/>
                <w:lang w:eastAsia="zh-CN"/>
              </w:rPr>
              <w:t>，</w:t>
            </w:r>
            <w:r>
              <w:rPr>
                <w:rFonts w:hint="eastAsia" w:hAnsi="宋体"/>
                <w:kern w:val="0"/>
                <w:sz w:val="24"/>
                <w:szCs w:val="20"/>
                <w:lang w:val="en-US" w:eastAsia="zh-CN"/>
              </w:rPr>
              <w:t>此外，在桥梁两侧加装防抛网，配套安装视频监控设施</w:t>
            </w:r>
            <w:r>
              <w:rPr>
                <w:rFonts w:hAnsi="宋体"/>
                <w:kern w:val="0"/>
                <w:sz w:val="24"/>
                <w:szCs w:val="20"/>
              </w:rPr>
              <w:t>。具体见表</w:t>
            </w:r>
            <w:r>
              <w:rPr>
                <w:kern w:val="0"/>
                <w:sz w:val="24"/>
                <w:szCs w:val="20"/>
              </w:rPr>
              <w:t>5-</w:t>
            </w:r>
            <w:r>
              <w:rPr>
                <w:rFonts w:hint="eastAsia"/>
                <w:kern w:val="0"/>
                <w:sz w:val="24"/>
                <w:szCs w:val="20"/>
                <w:lang w:val="en-US" w:eastAsia="zh-CN"/>
              </w:rPr>
              <w:t>4</w:t>
            </w:r>
            <w:r>
              <w:rPr>
                <w:rFonts w:hAnsi="宋体"/>
                <w:kern w:val="0"/>
                <w:sz w:val="24"/>
                <w:szCs w:val="20"/>
              </w:rPr>
              <w:t>。</w:t>
            </w:r>
          </w:p>
          <w:p w14:paraId="7E24BF73">
            <w:pPr>
              <w:spacing w:before="120" w:beforeLines="50"/>
              <w:jc w:val="center"/>
              <w:rPr>
                <w:b/>
              </w:rPr>
            </w:pPr>
            <w:r>
              <w:rPr>
                <w:rFonts w:hAnsi="宋体"/>
                <w:b/>
              </w:rPr>
              <w:t>表</w:t>
            </w:r>
            <w:r>
              <w:rPr>
                <w:b/>
              </w:rPr>
              <w:t>5-</w:t>
            </w:r>
            <w:r>
              <w:rPr>
                <w:rFonts w:hint="eastAsia"/>
                <w:b/>
                <w:lang w:val="en-US" w:eastAsia="zh-CN"/>
              </w:rPr>
              <w:t>4</w:t>
            </w:r>
            <w:r>
              <w:rPr>
                <w:b/>
              </w:rPr>
              <w:t xml:space="preserve">  </w:t>
            </w:r>
            <w:r>
              <w:rPr>
                <w:rFonts w:hAnsi="宋体"/>
                <w:b/>
              </w:rPr>
              <w:t>跨</w:t>
            </w:r>
            <w:r>
              <w:rPr>
                <w:rFonts w:hint="eastAsia" w:ascii="宋体" w:hAnsi="宋体"/>
                <w:b/>
                <w:lang w:val="en-US" w:eastAsia="zh-CN"/>
              </w:rPr>
              <w:t>敏感河流</w:t>
            </w:r>
            <w:r>
              <w:rPr>
                <w:rFonts w:hAnsi="宋体"/>
                <w:b/>
              </w:rPr>
              <w:t>桥梁路段环境风险措施表</w:t>
            </w:r>
          </w:p>
          <w:tbl>
            <w:tblPr>
              <w:tblStyle w:val="22"/>
              <w:tblW w:w="8247"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1" w:type="dxa"/>
                <w:bottom w:w="0" w:type="dxa"/>
                <w:right w:w="11" w:type="dxa"/>
              </w:tblCellMar>
            </w:tblPr>
            <w:tblGrid>
              <w:gridCol w:w="1196"/>
              <w:gridCol w:w="1442"/>
              <w:gridCol w:w="605"/>
              <w:gridCol w:w="955"/>
              <w:gridCol w:w="1095"/>
              <w:gridCol w:w="724"/>
              <w:gridCol w:w="1095"/>
              <w:gridCol w:w="1135"/>
            </w:tblGrid>
            <w:tr w14:paraId="190611E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1" w:type="dxa"/>
                  <w:bottom w:w="0" w:type="dxa"/>
                  <w:right w:w="11" w:type="dxa"/>
                </w:tblCellMar>
              </w:tblPrEx>
              <w:trPr>
                <w:trHeight w:val="340" w:hRule="atLeast"/>
                <w:tblHeader/>
                <w:jc w:val="center"/>
              </w:trPr>
              <w:tc>
                <w:tcPr>
                  <w:tcW w:w="1599" w:type="pct"/>
                  <w:gridSpan w:val="2"/>
                  <w:vAlign w:val="center"/>
                </w:tcPr>
                <w:p w14:paraId="654F3F4B">
                  <w:pPr>
                    <w:spacing w:line="260" w:lineRule="exact"/>
                    <w:jc w:val="center"/>
                    <w:rPr>
                      <w:b/>
                    </w:rPr>
                  </w:pPr>
                  <w:r>
                    <w:rPr>
                      <w:rFonts w:hAnsi="宋体"/>
                      <w:b/>
                    </w:rPr>
                    <w:t>敏感路段及工程</w:t>
                  </w:r>
                  <w:r>
                    <w:rPr>
                      <w:rFonts w:hAnsi="宋体"/>
                      <w:b/>
                      <w:kern w:val="0"/>
                    </w:rPr>
                    <w:t>形</w:t>
                  </w:r>
                  <w:r>
                    <w:rPr>
                      <w:rFonts w:hAnsi="宋体"/>
                      <w:b/>
                    </w:rPr>
                    <w:t>式</w:t>
                  </w:r>
                </w:p>
              </w:tc>
              <w:tc>
                <w:tcPr>
                  <w:tcW w:w="366" w:type="pct"/>
                  <w:vMerge w:val="restart"/>
                  <w:vAlign w:val="center"/>
                </w:tcPr>
                <w:p w14:paraId="3B5CA28E">
                  <w:pPr>
                    <w:spacing w:line="260" w:lineRule="exact"/>
                    <w:jc w:val="center"/>
                    <w:rPr>
                      <w:b/>
                    </w:rPr>
                  </w:pPr>
                  <w:r>
                    <w:rPr>
                      <w:rFonts w:hAnsi="宋体"/>
                      <w:b/>
                    </w:rPr>
                    <w:t>长度</w:t>
                  </w:r>
                </w:p>
                <w:p w14:paraId="5AAA001D">
                  <w:pPr>
                    <w:spacing w:line="260" w:lineRule="exact"/>
                    <w:jc w:val="center"/>
                    <w:rPr>
                      <w:b/>
                    </w:rPr>
                  </w:pPr>
                  <w:r>
                    <w:rPr>
                      <w:b/>
                    </w:rPr>
                    <w:t>(m)</w:t>
                  </w:r>
                </w:p>
              </w:tc>
              <w:tc>
                <w:tcPr>
                  <w:tcW w:w="578" w:type="pct"/>
                  <w:vMerge w:val="restart"/>
                  <w:vAlign w:val="center"/>
                </w:tcPr>
                <w:p w14:paraId="146DB385">
                  <w:pPr>
                    <w:spacing w:line="260" w:lineRule="exact"/>
                    <w:jc w:val="center"/>
                    <w:rPr>
                      <w:b/>
                    </w:rPr>
                  </w:pPr>
                  <w:r>
                    <w:rPr>
                      <w:rFonts w:hAnsi="宋体"/>
                      <w:b/>
                    </w:rPr>
                    <w:t>护栏</w:t>
                  </w:r>
                </w:p>
              </w:tc>
              <w:tc>
                <w:tcPr>
                  <w:tcW w:w="663" w:type="pct"/>
                  <w:vMerge w:val="restart"/>
                  <w:vAlign w:val="center"/>
                </w:tcPr>
                <w:p w14:paraId="36AA8DEA">
                  <w:pPr>
                    <w:spacing w:line="260" w:lineRule="exact"/>
                    <w:jc w:val="center"/>
                    <w:rPr>
                      <w:b/>
                    </w:rPr>
                  </w:pPr>
                  <w:r>
                    <w:rPr>
                      <w:rFonts w:hAnsi="宋体"/>
                      <w:b/>
                    </w:rPr>
                    <w:t>桥面径流</w:t>
                  </w:r>
                </w:p>
              </w:tc>
              <w:tc>
                <w:tcPr>
                  <w:tcW w:w="438" w:type="pct"/>
                  <w:vMerge w:val="restart"/>
                  <w:vAlign w:val="center"/>
                </w:tcPr>
                <w:p w14:paraId="3C011EBB">
                  <w:pPr>
                    <w:spacing w:line="260" w:lineRule="exact"/>
                    <w:jc w:val="center"/>
                    <w:rPr>
                      <w:b/>
                    </w:rPr>
                  </w:pPr>
                  <w:r>
                    <w:rPr>
                      <w:rFonts w:hAnsi="宋体"/>
                      <w:b/>
                    </w:rPr>
                    <w:t>警示牌</w:t>
                  </w:r>
                </w:p>
                <w:p w14:paraId="0C1172FC">
                  <w:pPr>
                    <w:spacing w:line="260" w:lineRule="exact"/>
                    <w:jc w:val="center"/>
                    <w:rPr>
                      <w:b/>
                    </w:rPr>
                  </w:pPr>
                  <w:r>
                    <w:rPr>
                      <w:b/>
                    </w:rPr>
                    <w:t>(</w:t>
                  </w:r>
                  <w:r>
                    <w:rPr>
                      <w:rFonts w:hAnsi="宋体"/>
                      <w:b/>
                    </w:rPr>
                    <w:t>块</w:t>
                  </w:r>
                  <w:r>
                    <w:rPr>
                      <w:b/>
                    </w:rPr>
                    <w:t>)</w:t>
                  </w:r>
                </w:p>
              </w:tc>
              <w:tc>
                <w:tcPr>
                  <w:tcW w:w="663" w:type="pct"/>
                  <w:vMerge w:val="restart"/>
                  <w:vAlign w:val="center"/>
                </w:tcPr>
                <w:p w14:paraId="7EEBD26B">
                  <w:pPr>
                    <w:spacing w:line="260" w:lineRule="exact"/>
                    <w:jc w:val="center"/>
                    <w:rPr>
                      <w:b/>
                    </w:rPr>
                  </w:pPr>
                  <w:r>
                    <w:rPr>
                      <w:rFonts w:hAnsi="宋体"/>
                      <w:b/>
                    </w:rPr>
                    <w:t>事故应急池数量</w:t>
                  </w:r>
                  <w:r>
                    <w:rPr>
                      <w:b/>
                    </w:rPr>
                    <w:t>(</w:t>
                  </w:r>
                  <w:r>
                    <w:rPr>
                      <w:rFonts w:hAnsi="宋体"/>
                      <w:b/>
                    </w:rPr>
                    <w:t>个</w:t>
                  </w:r>
                  <w:r>
                    <w:rPr>
                      <w:b/>
                    </w:rPr>
                    <w:t>)</w:t>
                  </w:r>
                </w:p>
              </w:tc>
              <w:tc>
                <w:tcPr>
                  <w:tcW w:w="688" w:type="pct"/>
                  <w:vMerge w:val="restart"/>
                </w:tcPr>
                <w:p w14:paraId="53916E43">
                  <w:pPr>
                    <w:spacing w:line="260" w:lineRule="exact"/>
                    <w:jc w:val="center"/>
                    <w:rPr>
                      <w:b/>
                    </w:rPr>
                  </w:pPr>
                  <w:r>
                    <w:rPr>
                      <w:rFonts w:hAnsi="宋体"/>
                      <w:b/>
                    </w:rPr>
                    <w:t>事故应急池总容积</w:t>
                  </w:r>
                  <w:r>
                    <w:rPr>
                      <w:b/>
                    </w:rPr>
                    <w:t>(m</w:t>
                  </w:r>
                  <w:r>
                    <w:rPr>
                      <w:b/>
                      <w:vertAlign w:val="superscript"/>
                    </w:rPr>
                    <w:t>3</w:t>
                  </w:r>
                  <w:r>
                    <w:rPr>
                      <w:b/>
                    </w:rPr>
                    <w:t>)</w:t>
                  </w:r>
                </w:p>
              </w:tc>
            </w:tr>
            <w:tr w14:paraId="349899F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1" w:type="dxa"/>
                  <w:bottom w:w="0" w:type="dxa"/>
                  <w:right w:w="11" w:type="dxa"/>
                </w:tblCellMar>
              </w:tblPrEx>
              <w:trPr>
                <w:trHeight w:val="340" w:hRule="atLeast"/>
                <w:tblHeader/>
                <w:jc w:val="center"/>
              </w:trPr>
              <w:tc>
                <w:tcPr>
                  <w:tcW w:w="725" w:type="pct"/>
                  <w:vAlign w:val="center"/>
                </w:tcPr>
                <w:p w14:paraId="144272AA">
                  <w:pPr>
                    <w:spacing w:line="260" w:lineRule="exact"/>
                    <w:jc w:val="center"/>
                    <w:rPr>
                      <w:b/>
                    </w:rPr>
                  </w:pPr>
                  <w:r>
                    <w:rPr>
                      <w:rFonts w:hAnsi="宋体"/>
                      <w:b/>
                    </w:rPr>
                    <w:t>中心桩号</w:t>
                  </w:r>
                </w:p>
              </w:tc>
              <w:tc>
                <w:tcPr>
                  <w:tcW w:w="874" w:type="pct"/>
                  <w:vAlign w:val="center"/>
                </w:tcPr>
                <w:p w14:paraId="58E40C1F">
                  <w:pPr>
                    <w:spacing w:line="260" w:lineRule="exact"/>
                    <w:jc w:val="center"/>
                    <w:rPr>
                      <w:b/>
                      <w:kern w:val="0"/>
                    </w:rPr>
                  </w:pPr>
                  <w:r>
                    <w:rPr>
                      <w:rFonts w:hAnsi="宋体"/>
                      <w:b/>
                      <w:kern w:val="0"/>
                    </w:rPr>
                    <w:t>工程形式</w:t>
                  </w:r>
                </w:p>
              </w:tc>
              <w:tc>
                <w:tcPr>
                  <w:tcW w:w="366" w:type="pct"/>
                  <w:vMerge w:val="continue"/>
                  <w:vAlign w:val="center"/>
                </w:tcPr>
                <w:p w14:paraId="03B22132">
                  <w:pPr>
                    <w:spacing w:line="260" w:lineRule="exact"/>
                    <w:jc w:val="center"/>
                    <w:rPr>
                      <w:b/>
                      <w:kern w:val="0"/>
                    </w:rPr>
                  </w:pPr>
                </w:p>
              </w:tc>
              <w:tc>
                <w:tcPr>
                  <w:tcW w:w="578" w:type="pct"/>
                  <w:vMerge w:val="continue"/>
                  <w:vAlign w:val="center"/>
                </w:tcPr>
                <w:p w14:paraId="31F2B471">
                  <w:pPr>
                    <w:spacing w:line="260" w:lineRule="exact"/>
                    <w:jc w:val="center"/>
                    <w:rPr>
                      <w:kern w:val="0"/>
                    </w:rPr>
                  </w:pPr>
                </w:p>
              </w:tc>
              <w:tc>
                <w:tcPr>
                  <w:tcW w:w="663" w:type="pct"/>
                  <w:vMerge w:val="continue"/>
                  <w:vAlign w:val="center"/>
                </w:tcPr>
                <w:p w14:paraId="08B74D22">
                  <w:pPr>
                    <w:spacing w:line="260" w:lineRule="exact"/>
                    <w:jc w:val="center"/>
                    <w:rPr>
                      <w:kern w:val="0"/>
                    </w:rPr>
                  </w:pPr>
                </w:p>
              </w:tc>
              <w:tc>
                <w:tcPr>
                  <w:tcW w:w="438" w:type="pct"/>
                  <w:vMerge w:val="continue"/>
                  <w:vAlign w:val="center"/>
                </w:tcPr>
                <w:p w14:paraId="0FD46892">
                  <w:pPr>
                    <w:spacing w:line="260" w:lineRule="exact"/>
                    <w:jc w:val="center"/>
                    <w:rPr>
                      <w:kern w:val="0"/>
                    </w:rPr>
                  </w:pPr>
                </w:p>
              </w:tc>
              <w:tc>
                <w:tcPr>
                  <w:tcW w:w="663" w:type="pct"/>
                  <w:vMerge w:val="continue"/>
                  <w:vAlign w:val="center"/>
                </w:tcPr>
                <w:p w14:paraId="38CBEE11">
                  <w:pPr>
                    <w:spacing w:line="260" w:lineRule="exact"/>
                    <w:jc w:val="center"/>
                    <w:rPr>
                      <w:kern w:val="0"/>
                    </w:rPr>
                  </w:pPr>
                </w:p>
              </w:tc>
              <w:tc>
                <w:tcPr>
                  <w:tcW w:w="688" w:type="pct"/>
                  <w:vMerge w:val="continue"/>
                </w:tcPr>
                <w:p w14:paraId="53D3C2E4">
                  <w:pPr>
                    <w:spacing w:line="260" w:lineRule="exact"/>
                    <w:jc w:val="center"/>
                    <w:rPr>
                      <w:kern w:val="0"/>
                    </w:rPr>
                  </w:pPr>
                </w:p>
              </w:tc>
            </w:tr>
            <w:tr w14:paraId="0624FF0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1" w:type="dxa"/>
                  <w:bottom w:w="0" w:type="dxa"/>
                  <w:right w:w="11" w:type="dxa"/>
                </w:tblCellMar>
              </w:tblPrEx>
              <w:trPr>
                <w:trHeight w:val="340" w:hRule="atLeast"/>
                <w:jc w:val="center"/>
              </w:trPr>
              <w:tc>
                <w:tcPr>
                  <w:tcW w:w="725" w:type="pct"/>
                  <w:vAlign w:val="center"/>
                </w:tcPr>
                <w:p w14:paraId="71CE521A">
                  <w:pPr>
                    <w:spacing w:line="260" w:lineRule="exact"/>
                    <w:jc w:val="center"/>
                    <w:rPr>
                      <w:szCs w:val="21"/>
                    </w:rPr>
                  </w:pPr>
                  <w:r>
                    <w:rPr>
                      <w:szCs w:val="21"/>
                    </w:rPr>
                    <w:t>K</w:t>
                  </w:r>
                  <w:r>
                    <w:rPr>
                      <w:rFonts w:hint="eastAsia"/>
                      <w:szCs w:val="21"/>
                    </w:rPr>
                    <w:t>21</w:t>
                  </w:r>
                  <w:r>
                    <w:rPr>
                      <w:szCs w:val="21"/>
                    </w:rPr>
                    <w:t>+</w:t>
                  </w:r>
                  <w:r>
                    <w:rPr>
                      <w:rFonts w:hint="eastAsia"/>
                    </w:rPr>
                    <w:t>573.539</w:t>
                  </w:r>
                </w:p>
              </w:tc>
              <w:tc>
                <w:tcPr>
                  <w:tcW w:w="874" w:type="pct"/>
                  <w:vAlign w:val="center"/>
                </w:tcPr>
                <w:p w14:paraId="676E3F48">
                  <w:pPr>
                    <w:spacing w:line="260" w:lineRule="exact"/>
                    <w:jc w:val="center"/>
                    <w:rPr>
                      <w:szCs w:val="21"/>
                    </w:rPr>
                  </w:pPr>
                  <w:r>
                    <w:rPr>
                      <w:rFonts w:hint="eastAsia" w:hAnsi="宋体"/>
                      <w:szCs w:val="21"/>
                    </w:rPr>
                    <w:t>新栏杆一桥</w:t>
                  </w:r>
                </w:p>
              </w:tc>
              <w:tc>
                <w:tcPr>
                  <w:tcW w:w="366" w:type="pct"/>
                  <w:vAlign w:val="center"/>
                </w:tcPr>
                <w:p w14:paraId="6BBA6214">
                  <w:pPr>
                    <w:spacing w:line="260" w:lineRule="exact"/>
                    <w:jc w:val="center"/>
                    <w:rPr>
                      <w:rFonts w:hint="default" w:eastAsia="宋体"/>
                      <w:highlight w:val="none"/>
                      <w:lang w:val="en-US" w:eastAsia="zh-CN"/>
                    </w:rPr>
                  </w:pPr>
                  <w:r>
                    <w:rPr>
                      <w:rFonts w:hint="eastAsia"/>
                      <w:highlight w:val="none"/>
                    </w:rPr>
                    <w:t>3</w:t>
                  </w:r>
                  <w:r>
                    <w:rPr>
                      <w:rFonts w:hint="eastAsia"/>
                      <w:highlight w:val="none"/>
                      <w:lang w:val="en-US" w:eastAsia="zh-CN"/>
                    </w:rPr>
                    <w:t>1.5</w:t>
                  </w:r>
                </w:p>
              </w:tc>
              <w:tc>
                <w:tcPr>
                  <w:tcW w:w="578" w:type="pct"/>
                  <w:vMerge w:val="restart"/>
                  <w:tcBorders>
                    <w:top w:val="single" w:color="auto" w:sz="4" w:space="0"/>
                  </w:tcBorders>
                  <w:vAlign w:val="center"/>
                </w:tcPr>
                <w:p w14:paraId="41FC315B">
                  <w:pPr>
                    <w:spacing w:line="260" w:lineRule="exact"/>
                    <w:jc w:val="center"/>
                    <w:rPr>
                      <w:rFonts w:hint="eastAsia" w:hAnsi="宋体"/>
                      <w:kern w:val="0"/>
                    </w:rPr>
                  </w:pPr>
                  <w:r>
                    <w:rPr>
                      <w:rFonts w:hint="eastAsia" w:hAnsi="宋体"/>
                      <w:kern w:val="0"/>
                    </w:rPr>
                    <w:t>加强型防撞护栏</w:t>
                  </w:r>
                </w:p>
              </w:tc>
              <w:tc>
                <w:tcPr>
                  <w:tcW w:w="663" w:type="pct"/>
                  <w:vMerge w:val="restart"/>
                  <w:tcBorders>
                    <w:top w:val="single" w:color="auto" w:sz="4" w:space="0"/>
                  </w:tcBorders>
                  <w:vAlign w:val="center"/>
                </w:tcPr>
                <w:p w14:paraId="0705FF72">
                  <w:pPr>
                    <w:spacing w:line="260" w:lineRule="exact"/>
                    <w:jc w:val="center"/>
                    <w:rPr>
                      <w:rFonts w:hint="eastAsia" w:hAnsi="宋体"/>
                      <w:kern w:val="0"/>
                    </w:rPr>
                  </w:pPr>
                  <w:r>
                    <w:rPr>
                      <w:rFonts w:hAnsi="宋体"/>
                      <w:kern w:val="0"/>
                    </w:rPr>
                    <w:t>桥面径流收集系统</w:t>
                  </w:r>
                </w:p>
              </w:tc>
              <w:tc>
                <w:tcPr>
                  <w:tcW w:w="438" w:type="pct"/>
                  <w:vAlign w:val="center"/>
                </w:tcPr>
                <w:p w14:paraId="7DFC533B">
                  <w:pPr>
                    <w:spacing w:line="260" w:lineRule="exact"/>
                    <w:jc w:val="center"/>
                    <w:rPr>
                      <w:kern w:val="0"/>
                    </w:rPr>
                  </w:pPr>
                  <w:r>
                    <w:rPr>
                      <w:kern w:val="0"/>
                    </w:rPr>
                    <w:t>2</w:t>
                  </w:r>
                </w:p>
              </w:tc>
              <w:tc>
                <w:tcPr>
                  <w:tcW w:w="663" w:type="pct"/>
                  <w:vAlign w:val="center"/>
                </w:tcPr>
                <w:p w14:paraId="062EBF5B">
                  <w:pPr>
                    <w:spacing w:line="260" w:lineRule="exact"/>
                    <w:jc w:val="center"/>
                    <w:rPr>
                      <w:kern w:val="0"/>
                    </w:rPr>
                  </w:pPr>
                  <w:r>
                    <w:rPr>
                      <w:rFonts w:hint="eastAsia"/>
                    </w:rPr>
                    <w:t>1</w:t>
                  </w:r>
                </w:p>
              </w:tc>
              <w:tc>
                <w:tcPr>
                  <w:tcW w:w="688" w:type="pct"/>
                  <w:vAlign w:val="center"/>
                </w:tcPr>
                <w:p w14:paraId="3145031B">
                  <w:pPr>
                    <w:spacing w:line="260" w:lineRule="exact"/>
                    <w:jc w:val="center"/>
                    <w:rPr>
                      <w:rFonts w:hint="default" w:eastAsia="宋体"/>
                      <w:kern w:val="0"/>
                      <w:lang w:val="en-US" w:eastAsia="zh-CN"/>
                    </w:rPr>
                  </w:pPr>
                  <w:r>
                    <w:rPr>
                      <w:rFonts w:hint="eastAsia"/>
                      <w:kern w:val="0"/>
                      <w:lang w:val="en-US" w:eastAsia="zh-CN"/>
                    </w:rPr>
                    <w:t>50</w:t>
                  </w:r>
                </w:p>
              </w:tc>
            </w:tr>
            <w:tr w14:paraId="7CD92F7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1" w:type="dxa"/>
                  <w:bottom w:w="0" w:type="dxa"/>
                  <w:right w:w="11" w:type="dxa"/>
                </w:tblCellMar>
              </w:tblPrEx>
              <w:trPr>
                <w:trHeight w:val="340" w:hRule="atLeast"/>
                <w:jc w:val="center"/>
              </w:trPr>
              <w:tc>
                <w:tcPr>
                  <w:tcW w:w="725" w:type="pct"/>
                  <w:vAlign w:val="center"/>
                </w:tcPr>
                <w:p w14:paraId="5A3A0346">
                  <w:pPr>
                    <w:spacing w:line="260" w:lineRule="exact"/>
                    <w:jc w:val="center"/>
                    <w:rPr>
                      <w:rFonts w:hint="default" w:eastAsia="宋体"/>
                      <w:szCs w:val="21"/>
                      <w:lang w:val="en-US" w:eastAsia="zh-CN"/>
                    </w:rPr>
                  </w:pPr>
                  <w:r>
                    <w:rPr>
                      <w:szCs w:val="21"/>
                    </w:rPr>
                    <w:t>K2</w:t>
                  </w:r>
                  <w:r>
                    <w:rPr>
                      <w:rFonts w:hint="eastAsia"/>
                      <w:szCs w:val="21"/>
                    </w:rPr>
                    <w:t>5</w:t>
                  </w:r>
                  <w:r>
                    <w:rPr>
                      <w:szCs w:val="21"/>
                    </w:rPr>
                    <w:t>+</w:t>
                  </w:r>
                  <w:r>
                    <w:rPr>
                      <w:rFonts w:hint="eastAsia"/>
                      <w:szCs w:val="21"/>
                      <w:lang w:val="en-US" w:eastAsia="zh-CN"/>
                    </w:rPr>
                    <w:t>300.582</w:t>
                  </w:r>
                </w:p>
              </w:tc>
              <w:tc>
                <w:tcPr>
                  <w:tcW w:w="874" w:type="pct"/>
                  <w:vAlign w:val="center"/>
                </w:tcPr>
                <w:p w14:paraId="19A10EBD">
                  <w:pPr>
                    <w:spacing w:line="260" w:lineRule="exact"/>
                    <w:jc w:val="center"/>
                    <w:rPr>
                      <w:szCs w:val="21"/>
                    </w:rPr>
                  </w:pPr>
                  <w:r>
                    <w:rPr>
                      <w:rFonts w:hint="eastAsia" w:hAnsi="宋体"/>
                      <w:szCs w:val="21"/>
                    </w:rPr>
                    <w:t>克孜勒苏大桥</w:t>
                  </w:r>
                </w:p>
              </w:tc>
              <w:tc>
                <w:tcPr>
                  <w:tcW w:w="366" w:type="pct"/>
                  <w:vAlign w:val="center"/>
                </w:tcPr>
                <w:p w14:paraId="7DC5C813">
                  <w:pPr>
                    <w:spacing w:line="260" w:lineRule="exact"/>
                    <w:jc w:val="center"/>
                    <w:rPr>
                      <w:rFonts w:hint="default" w:eastAsia="宋体"/>
                      <w:highlight w:val="none"/>
                      <w:lang w:val="en-US" w:eastAsia="zh-CN"/>
                    </w:rPr>
                  </w:pPr>
                  <w:r>
                    <w:rPr>
                      <w:rFonts w:hint="eastAsia"/>
                      <w:highlight w:val="none"/>
                    </w:rPr>
                    <w:t>3</w:t>
                  </w:r>
                  <w:r>
                    <w:rPr>
                      <w:rFonts w:hint="eastAsia"/>
                      <w:highlight w:val="none"/>
                      <w:lang w:val="en-US" w:eastAsia="zh-CN"/>
                    </w:rPr>
                    <w:t>42</w:t>
                  </w:r>
                </w:p>
              </w:tc>
              <w:tc>
                <w:tcPr>
                  <w:tcW w:w="578" w:type="pct"/>
                  <w:vMerge w:val="continue"/>
                  <w:vAlign w:val="center"/>
                </w:tcPr>
                <w:p w14:paraId="131FD319">
                  <w:pPr>
                    <w:spacing w:line="260" w:lineRule="exact"/>
                    <w:jc w:val="center"/>
                  </w:pPr>
                </w:p>
              </w:tc>
              <w:tc>
                <w:tcPr>
                  <w:tcW w:w="663" w:type="pct"/>
                  <w:vMerge w:val="continue"/>
                  <w:vAlign w:val="center"/>
                </w:tcPr>
                <w:p w14:paraId="44253020">
                  <w:pPr>
                    <w:spacing w:line="260" w:lineRule="exact"/>
                    <w:jc w:val="center"/>
                  </w:pPr>
                </w:p>
              </w:tc>
              <w:tc>
                <w:tcPr>
                  <w:tcW w:w="438" w:type="pct"/>
                  <w:vAlign w:val="center"/>
                </w:tcPr>
                <w:p w14:paraId="71C7A68D">
                  <w:pPr>
                    <w:spacing w:line="260" w:lineRule="exact"/>
                    <w:jc w:val="center"/>
                  </w:pPr>
                  <w:r>
                    <w:rPr>
                      <w:kern w:val="0"/>
                    </w:rPr>
                    <w:t>2</w:t>
                  </w:r>
                </w:p>
              </w:tc>
              <w:tc>
                <w:tcPr>
                  <w:tcW w:w="663" w:type="pct"/>
                  <w:vAlign w:val="center"/>
                </w:tcPr>
                <w:p w14:paraId="30283B1B">
                  <w:pPr>
                    <w:spacing w:line="260" w:lineRule="exact"/>
                    <w:jc w:val="center"/>
                    <w:rPr>
                      <w:kern w:val="0"/>
                    </w:rPr>
                  </w:pPr>
                  <w:r>
                    <w:rPr>
                      <w:rFonts w:hint="eastAsia"/>
                    </w:rPr>
                    <w:t>4</w:t>
                  </w:r>
                </w:p>
              </w:tc>
              <w:tc>
                <w:tcPr>
                  <w:tcW w:w="688" w:type="pct"/>
                  <w:vAlign w:val="center"/>
                </w:tcPr>
                <w:p w14:paraId="2298D7BB">
                  <w:pPr>
                    <w:spacing w:line="260" w:lineRule="exact"/>
                    <w:jc w:val="center"/>
                    <w:rPr>
                      <w:rFonts w:hint="default" w:eastAsia="宋体"/>
                      <w:kern w:val="0"/>
                      <w:lang w:val="en-US" w:eastAsia="zh-CN"/>
                    </w:rPr>
                  </w:pPr>
                  <w:r>
                    <w:rPr>
                      <w:rFonts w:hint="eastAsia"/>
                      <w:kern w:val="0"/>
                      <w:lang w:val="en-US" w:eastAsia="zh-CN"/>
                    </w:rPr>
                    <w:t>185</w:t>
                  </w:r>
                </w:p>
              </w:tc>
            </w:tr>
            <w:tr w14:paraId="028BC78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1" w:type="dxa"/>
                  <w:bottom w:w="0" w:type="dxa"/>
                  <w:right w:w="11" w:type="dxa"/>
                </w:tblCellMar>
              </w:tblPrEx>
              <w:trPr>
                <w:trHeight w:val="340" w:hRule="atLeast"/>
                <w:jc w:val="center"/>
              </w:trPr>
              <w:tc>
                <w:tcPr>
                  <w:tcW w:w="1599" w:type="pct"/>
                  <w:gridSpan w:val="2"/>
                  <w:vAlign w:val="center"/>
                </w:tcPr>
                <w:p w14:paraId="53BB7299">
                  <w:pPr>
                    <w:spacing w:line="260" w:lineRule="exact"/>
                    <w:jc w:val="center"/>
                  </w:pPr>
                  <w:r>
                    <w:rPr>
                      <w:rFonts w:hAnsi="宋体"/>
                    </w:rPr>
                    <w:t>合计</w:t>
                  </w:r>
                </w:p>
              </w:tc>
              <w:tc>
                <w:tcPr>
                  <w:tcW w:w="366" w:type="pct"/>
                  <w:vAlign w:val="center"/>
                </w:tcPr>
                <w:p w14:paraId="1295CC02">
                  <w:pPr>
                    <w:spacing w:line="260" w:lineRule="exact"/>
                    <w:jc w:val="center"/>
                    <w:rPr>
                      <w:rFonts w:hint="default" w:eastAsia="宋体"/>
                      <w:lang w:val="en-US" w:eastAsia="zh-CN"/>
                    </w:rPr>
                  </w:pPr>
                  <w:r>
                    <w:rPr>
                      <w:rFonts w:hint="eastAsia"/>
                      <w:lang w:val="en-US" w:eastAsia="zh-CN"/>
                    </w:rPr>
                    <w:t>373.5</w:t>
                  </w:r>
                </w:p>
              </w:tc>
              <w:tc>
                <w:tcPr>
                  <w:tcW w:w="578" w:type="pct"/>
                  <w:vAlign w:val="center"/>
                </w:tcPr>
                <w:p w14:paraId="2DF73DF6">
                  <w:pPr>
                    <w:spacing w:line="260" w:lineRule="exact"/>
                    <w:jc w:val="center"/>
                  </w:pPr>
                  <w:r>
                    <w:rPr>
                      <w:rFonts w:hint="eastAsia"/>
                      <w:lang w:val="en-US" w:eastAsia="zh-CN"/>
                    </w:rPr>
                    <w:t>747</w:t>
                  </w:r>
                  <w:r>
                    <w:t>m</w:t>
                  </w:r>
                </w:p>
              </w:tc>
              <w:tc>
                <w:tcPr>
                  <w:tcW w:w="663" w:type="pct"/>
                  <w:vAlign w:val="center"/>
                </w:tcPr>
                <w:p w14:paraId="37ECA08D">
                  <w:pPr>
                    <w:spacing w:line="260" w:lineRule="exact"/>
                    <w:jc w:val="center"/>
                  </w:pPr>
                  <w:r>
                    <w:t>PVC</w:t>
                  </w:r>
                  <w:r>
                    <w:rPr>
                      <w:rFonts w:hAnsi="宋体"/>
                    </w:rPr>
                    <w:t>收集管道</w:t>
                  </w:r>
                  <w:r>
                    <w:rPr>
                      <w:rFonts w:hint="eastAsia"/>
                      <w:lang w:val="en-US" w:eastAsia="zh-CN"/>
                    </w:rPr>
                    <w:t>747</w:t>
                  </w:r>
                  <w:r>
                    <w:t>m</w:t>
                  </w:r>
                </w:p>
              </w:tc>
              <w:tc>
                <w:tcPr>
                  <w:tcW w:w="438" w:type="pct"/>
                  <w:vAlign w:val="center"/>
                </w:tcPr>
                <w:p w14:paraId="07493BD0">
                  <w:pPr>
                    <w:spacing w:line="260" w:lineRule="exact"/>
                    <w:jc w:val="center"/>
                    <w:rPr>
                      <w:rFonts w:hint="eastAsia" w:eastAsia="宋体"/>
                      <w:kern w:val="0"/>
                      <w:lang w:eastAsia="zh-CN"/>
                    </w:rPr>
                  </w:pPr>
                  <w:r>
                    <w:rPr>
                      <w:rFonts w:hint="eastAsia"/>
                      <w:kern w:val="0"/>
                      <w:lang w:val="en-US" w:eastAsia="zh-CN"/>
                    </w:rPr>
                    <w:t>4</w:t>
                  </w:r>
                </w:p>
              </w:tc>
              <w:tc>
                <w:tcPr>
                  <w:tcW w:w="663" w:type="pct"/>
                  <w:vAlign w:val="center"/>
                </w:tcPr>
                <w:p w14:paraId="31739F3E">
                  <w:pPr>
                    <w:spacing w:line="260" w:lineRule="exact"/>
                    <w:jc w:val="center"/>
                    <w:rPr>
                      <w:rFonts w:hint="eastAsia" w:eastAsia="宋体"/>
                      <w:kern w:val="0"/>
                      <w:lang w:eastAsia="zh-CN"/>
                    </w:rPr>
                  </w:pPr>
                  <w:r>
                    <w:rPr>
                      <w:rFonts w:hint="eastAsia"/>
                      <w:kern w:val="0"/>
                      <w:lang w:val="en-US" w:eastAsia="zh-CN"/>
                    </w:rPr>
                    <w:t>5</w:t>
                  </w:r>
                </w:p>
              </w:tc>
              <w:tc>
                <w:tcPr>
                  <w:tcW w:w="688" w:type="pct"/>
                  <w:vAlign w:val="center"/>
                </w:tcPr>
                <w:p w14:paraId="1EB60F8E">
                  <w:pPr>
                    <w:spacing w:line="260" w:lineRule="exact"/>
                    <w:jc w:val="center"/>
                    <w:rPr>
                      <w:rFonts w:hint="default" w:eastAsia="宋体"/>
                      <w:kern w:val="0"/>
                      <w:lang w:val="en-US" w:eastAsia="zh-CN"/>
                    </w:rPr>
                  </w:pPr>
                  <w:r>
                    <w:rPr>
                      <w:rFonts w:hint="eastAsia"/>
                      <w:kern w:val="0"/>
                      <w:lang w:val="en-US" w:eastAsia="zh-CN"/>
                    </w:rPr>
                    <w:t>235</w:t>
                  </w:r>
                </w:p>
              </w:tc>
            </w:tr>
          </w:tbl>
          <w:p w14:paraId="00E1E855">
            <w:pPr>
              <w:keepNext w:val="0"/>
              <w:keepLines w:val="0"/>
              <w:pageBreakBefore w:val="0"/>
              <w:widowControl w:val="0"/>
              <w:kinsoku/>
              <w:wordWrap/>
              <w:overflowPunct/>
              <w:topLinePunct w:val="0"/>
              <w:autoSpaceDE/>
              <w:autoSpaceDN/>
              <w:bidi w:val="0"/>
              <w:adjustRightInd/>
              <w:snapToGrid/>
              <w:spacing w:line="300" w:lineRule="auto"/>
              <w:textAlignment w:val="auto"/>
              <w:rPr>
                <w:rFonts w:hint="eastAsia" w:ascii="宋体" w:hAnsi="宋体"/>
                <w:kern w:val="0"/>
                <w:sz w:val="21"/>
                <w:szCs w:val="21"/>
                <w:lang w:val="en-US" w:eastAsia="zh-CN"/>
              </w:rPr>
            </w:pPr>
            <w:r>
              <w:rPr>
                <w:rFonts w:hint="eastAsia" w:ascii="宋体" w:hAnsi="宋体"/>
                <w:kern w:val="0"/>
                <w:sz w:val="21"/>
                <w:szCs w:val="21"/>
                <w:lang w:val="en-US" w:eastAsia="zh-CN"/>
              </w:rPr>
              <w:t>注：</w:t>
            </w:r>
            <w:r>
              <w:rPr>
                <w:rFonts w:hint="default" w:ascii="Times New Roman" w:hAnsi="Times New Roman" w:cs="Times New Roman"/>
                <w:kern w:val="0"/>
                <w:sz w:val="21"/>
                <w:szCs w:val="21"/>
                <w:lang w:val="en-US" w:eastAsia="zh-CN"/>
              </w:rPr>
              <w:t>考虑到要预留竖向接管安装余量，</w:t>
            </w:r>
            <w:r>
              <w:rPr>
                <w:rFonts w:hint="eastAsia" w:ascii="Times New Roman" w:hAnsi="Times New Roman" w:cs="Times New Roman"/>
                <w:kern w:val="0"/>
                <w:sz w:val="21"/>
                <w:szCs w:val="21"/>
                <w:lang w:val="en-US" w:eastAsia="zh-CN"/>
              </w:rPr>
              <w:t>实际</w:t>
            </w:r>
            <w:r>
              <w:rPr>
                <w:rFonts w:hint="default" w:ascii="Times New Roman" w:hAnsi="Times New Roman" w:cs="Times New Roman"/>
                <w:kern w:val="0"/>
                <w:sz w:val="21"/>
                <w:szCs w:val="21"/>
                <w:lang w:val="en-US" w:eastAsia="zh-CN"/>
              </w:rPr>
              <w:t>径流收集系统 PVC管材长度应适当增加。</w:t>
            </w:r>
          </w:p>
          <w:p w14:paraId="6546A334">
            <w:pPr>
              <w:keepNext w:val="0"/>
              <w:keepLines w:val="0"/>
              <w:pageBreakBefore w:val="0"/>
              <w:widowControl w:val="0"/>
              <w:kinsoku/>
              <w:wordWrap/>
              <w:overflowPunct/>
              <w:topLinePunct w:val="0"/>
              <w:autoSpaceDE/>
              <w:autoSpaceDN/>
              <w:bidi w:val="0"/>
              <w:adjustRightInd/>
              <w:snapToGrid/>
              <w:spacing w:before="313" w:beforeLines="100" w:line="300" w:lineRule="auto"/>
              <w:ind w:firstLine="480" w:firstLineChars="200"/>
              <w:textAlignment w:val="auto"/>
              <w:rPr>
                <w:rFonts w:hint="eastAsia" w:ascii="宋体" w:hAnsi="宋体"/>
                <w:kern w:val="0"/>
                <w:sz w:val="24"/>
                <w:szCs w:val="20"/>
                <w:lang w:val="en-US" w:eastAsia="zh-CN"/>
              </w:rPr>
            </w:pPr>
            <w:r>
              <w:rPr>
                <w:rFonts w:hint="eastAsia" w:ascii="宋体" w:hAnsi="宋体"/>
                <w:kern w:val="0"/>
                <w:sz w:val="24"/>
                <w:szCs w:val="20"/>
              </w:rPr>
              <w:fldChar w:fldCharType="begin"/>
            </w:r>
            <w:r>
              <w:rPr>
                <w:rFonts w:hint="eastAsia" w:ascii="宋体" w:hAnsi="宋体"/>
                <w:kern w:val="0"/>
                <w:sz w:val="24"/>
                <w:szCs w:val="20"/>
              </w:rPr>
              <w:instrText xml:space="preserve"> = 3 \* GB3 \* MERGEFORMAT </w:instrText>
            </w:r>
            <w:r>
              <w:rPr>
                <w:rFonts w:hint="eastAsia" w:ascii="宋体" w:hAnsi="宋体"/>
                <w:kern w:val="0"/>
                <w:sz w:val="24"/>
                <w:szCs w:val="20"/>
              </w:rPr>
              <w:fldChar w:fldCharType="separate"/>
            </w:r>
            <w:r>
              <w:t>③</w:t>
            </w:r>
            <w:r>
              <w:rPr>
                <w:rFonts w:hint="eastAsia" w:ascii="宋体" w:hAnsi="宋体"/>
                <w:kern w:val="0"/>
                <w:sz w:val="24"/>
                <w:szCs w:val="20"/>
              </w:rPr>
              <w:fldChar w:fldCharType="end"/>
            </w:r>
            <w:r>
              <w:rPr>
                <w:rFonts w:hint="eastAsia" w:ascii="宋体" w:hAnsi="宋体"/>
                <w:kern w:val="0"/>
                <w:sz w:val="24"/>
                <w:szCs w:val="20"/>
                <w:lang w:val="en-US" w:eastAsia="zh-CN"/>
              </w:rPr>
              <w:t xml:space="preserve"> 跨干渠路段</w:t>
            </w:r>
          </w:p>
          <w:p w14:paraId="7CDD7723">
            <w:pPr>
              <w:keepNext w:val="0"/>
              <w:keepLines w:val="0"/>
              <w:pageBreakBefore w:val="0"/>
              <w:widowControl w:val="0"/>
              <w:kinsoku/>
              <w:wordWrap/>
              <w:overflowPunct/>
              <w:topLinePunct w:val="0"/>
              <w:autoSpaceDE/>
              <w:autoSpaceDN/>
              <w:bidi w:val="0"/>
              <w:adjustRightInd/>
              <w:snapToGrid/>
              <w:spacing w:after="157" w:afterLines="50" w:line="300" w:lineRule="auto"/>
              <w:ind w:firstLine="480" w:firstLineChars="200"/>
              <w:textAlignment w:val="auto"/>
              <w:rPr>
                <w:rFonts w:hint="default" w:ascii="Times New Roman" w:hAnsi="Times New Roman" w:cs="Times New Roman"/>
                <w:kern w:val="0"/>
                <w:sz w:val="24"/>
                <w:szCs w:val="20"/>
                <w:highlight w:val="yellow"/>
                <w:lang w:val="en-US" w:eastAsia="zh-CN"/>
              </w:rPr>
            </w:pPr>
            <w:r>
              <w:rPr>
                <w:rFonts w:hint="eastAsia" w:ascii="宋体" w:hAnsi="宋体"/>
                <w:kern w:val="0"/>
                <w:sz w:val="24"/>
                <w:szCs w:val="20"/>
                <w:lang w:val="en-US" w:eastAsia="zh-CN"/>
              </w:rPr>
              <w:t>考虑到路线多次跨越干渠，为保护农田灌溉安全，除加强跨干渠桥梁两侧防撞护栏设计外，还应在桥梁两端设置警示标志，提醒司机注意安全驾驶，具体见</w:t>
            </w:r>
            <w:r>
              <w:rPr>
                <w:rFonts w:hint="default" w:ascii="Times New Roman" w:hAnsi="Times New Roman" w:cs="Times New Roman"/>
                <w:kern w:val="0"/>
                <w:sz w:val="24"/>
                <w:szCs w:val="20"/>
                <w:highlight w:val="none"/>
                <w:lang w:val="en-US" w:eastAsia="zh-CN"/>
              </w:rPr>
              <w:t>表5-</w:t>
            </w:r>
            <w:r>
              <w:rPr>
                <w:rFonts w:hint="eastAsia" w:cs="Times New Roman"/>
                <w:kern w:val="0"/>
                <w:sz w:val="24"/>
                <w:szCs w:val="20"/>
                <w:highlight w:val="none"/>
                <w:lang w:val="en-US" w:eastAsia="zh-CN"/>
              </w:rPr>
              <w:t>5</w:t>
            </w:r>
            <w:r>
              <w:rPr>
                <w:rFonts w:hint="default" w:ascii="Times New Roman" w:hAnsi="Times New Roman" w:cs="Times New Roman"/>
                <w:kern w:val="0"/>
                <w:sz w:val="24"/>
                <w:szCs w:val="20"/>
                <w:highlight w:val="none"/>
                <w:lang w:val="en-US" w:eastAsia="zh-CN"/>
              </w:rPr>
              <w:t>。</w:t>
            </w:r>
          </w:p>
          <w:p w14:paraId="15ED5D23">
            <w:pPr>
              <w:pStyle w:val="58"/>
              <w:spacing w:line="240" w:lineRule="auto"/>
              <w:ind w:firstLine="0" w:firstLineChars="0"/>
              <w:jc w:val="center"/>
              <w:rPr>
                <w:b/>
              </w:rPr>
            </w:pPr>
          </w:p>
          <w:p w14:paraId="14141772">
            <w:pPr>
              <w:pStyle w:val="58"/>
              <w:spacing w:line="240" w:lineRule="auto"/>
              <w:ind w:firstLine="0" w:firstLineChars="0"/>
              <w:jc w:val="center"/>
              <w:rPr>
                <w:b/>
              </w:rPr>
            </w:pPr>
          </w:p>
          <w:p w14:paraId="77619469">
            <w:pPr>
              <w:pStyle w:val="58"/>
              <w:spacing w:line="240" w:lineRule="auto"/>
              <w:ind w:firstLine="0" w:firstLineChars="0"/>
              <w:jc w:val="center"/>
              <w:rPr>
                <w:b/>
              </w:rPr>
            </w:pPr>
          </w:p>
          <w:p w14:paraId="3423EAE6">
            <w:pPr>
              <w:pStyle w:val="58"/>
              <w:spacing w:line="240" w:lineRule="auto"/>
              <w:ind w:firstLine="0" w:firstLineChars="0"/>
              <w:jc w:val="center"/>
              <w:rPr>
                <w:b/>
              </w:rPr>
            </w:pPr>
          </w:p>
          <w:p w14:paraId="095989D2">
            <w:pPr>
              <w:pStyle w:val="58"/>
              <w:keepNext w:val="0"/>
              <w:keepLines w:val="0"/>
              <w:pageBreakBefore w:val="0"/>
              <w:widowControl w:val="0"/>
              <w:kinsoku/>
              <w:wordWrap/>
              <w:overflowPunct/>
              <w:topLinePunct w:val="0"/>
              <w:autoSpaceDE/>
              <w:autoSpaceDN/>
              <w:bidi w:val="0"/>
              <w:adjustRightInd/>
              <w:snapToGrid/>
              <w:spacing w:before="157" w:beforeLines="50" w:line="240" w:lineRule="auto"/>
              <w:ind w:firstLine="0" w:firstLineChars="0"/>
              <w:jc w:val="center"/>
              <w:textAlignment w:val="auto"/>
              <w:rPr>
                <w:rFonts w:hint="default" w:eastAsia="宋体"/>
                <w:b/>
                <w:sz w:val="21"/>
                <w:szCs w:val="21"/>
                <w:lang w:val="en-US" w:eastAsia="zh-CN"/>
              </w:rPr>
            </w:pPr>
            <w:r>
              <w:rPr>
                <w:b/>
              </w:rPr>
              <w:br w:type="page"/>
            </w:r>
            <w:r>
              <w:rPr>
                <w:b/>
                <w:sz w:val="21"/>
                <w:szCs w:val="21"/>
              </w:rPr>
              <w:t>表</w:t>
            </w:r>
            <w:r>
              <w:rPr>
                <w:rFonts w:hint="eastAsia"/>
                <w:b/>
                <w:sz w:val="21"/>
                <w:szCs w:val="21"/>
                <w:lang w:val="en-US" w:eastAsia="zh-CN"/>
              </w:rPr>
              <w:t>5</w:t>
            </w:r>
            <w:r>
              <w:rPr>
                <w:b/>
                <w:sz w:val="21"/>
                <w:szCs w:val="21"/>
              </w:rPr>
              <w:t>-</w:t>
            </w:r>
            <w:r>
              <w:rPr>
                <w:rFonts w:hint="eastAsia"/>
                <w:b/>
                <w:sz w:val="21"/>
                <w:szCs w:val="21"/>
                <w:lang w:val="en-US" w:eastAsia="zh-CN"/>
              </w:rPr>
              <w:t>5</w:t>
            </w:r>
            <w:r>
              <w:rPr>
                <w:b/>
                <w:sz w:val="21"/>
                <w:szCs w:val="21"/>
              </w:rPr>
              <w:t xml:space="preserve">  沿线</w:t>
            </w:r>
            <w:r>
              <w:rPr>
                <w:rFonts w:hint="eastAsia"/>
                <w:b/>
                <w:sz w:val="21"/>
                <w:szCs w:val="21"/>
                <w:lang w:val="en-US" w:eastAsia="zh-CN"/>
              </w:rPr>
              <w:t>跨干渠桥梁环境风险措施表</w:t>
            </w:r>
          </w:p>
          <w:tbl>
            <w:tblPr>
              <w:tblStyle w:val="22"/>
              <w:tblW w:w="82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2"/>
              <w:gridCol w:w="2014"/>
              <w:gridCol w:w="1123"/>
              <w:gridCol w:w="2317"/>
              <w:gridCol w:w="1334"/>
            </w:tblGrid>
            <w:tr w14:paraId="724F1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 w:hRule="atLeast"/>
                <w:jc w:val="center"/>
              </w:trPr>
              <w:tc>
                <w:tcPr>
                  <w:tcW w:w="1412" w:type="dxa"/>
                  <w:noWrap/>
                  <w:vAlign w:val="center"/>
                </w:tcPr>
                <w:p w14:paraId="36BB919E">
                  <w:pPr>
                    <w:jc w:val="center"/>
                    <w:rPr>
                      <w:rFonts w:hint="eastAsia" w:eastAsia="宋体"/>
                      <w:b/>
                      <w:bCs/>
                      <w:lang w:val="en-US" w:eastAsia="zh-CN"/>
                    </w:rPr>
                  </w:pPr>
                  <w:r>
                    <w:rPr>
                      <w:rFonts w:hint="eastAsia"/>
                      <w:b/>
                      <w:bCs/>
                      <w:lang w:val="en-US" w:eastAsia="zh-CN"/>
                    </w:rPr>
                    <w:t>桩号</w:t>
                  </w:r>
                </w:p>
              </w:tc>
              <w:tc>
                <w:tcPr>
                  <w:tcW w:w="2014" w:type="dxa"/>
                  <w:noWrap/>
                  <w:vAlign w:val="center"/>
                </w:tcPr>
                <w:p w14:paraId="2BD6C330">
                  <w:pPr>
                    <w:jc w:val="center"/>
                    <w:rPr>
                      <w:rFonts w:hint="default" w:eastAsia="宋体"/>
                      <w:b/>
                      <w:bCs/>
                      <w:lang w:val="en-US" w:eastAsia="zh-CN"/>
                    </w:rPr>
                  </w:pPr>
                  <w:r>
                    <w:rPr>
                      <w:rFonts w:hint="eastAsia"/>
                      <w:b/>
                      <w:bCs/>
                      <w:lang w:val="en-US" w:eastAsia="zh-CN"/>
                    </w:rPr>
                    <w:t>桥梁名称</w:t>
                  </w:r>
                </w:p>
              </w:tc>
              <w:tc>
                <w:tcPr>
                  <w:tcW w:w="1123" w:type="dxa"/>
                  <w:noWrap/>
                  <w:vAlign w:val="center"/>
                </w:tcPr>
                <w:p w14:paraId="5224B770">
                  <w:pPr>
                    <w:jc w:val="center"/>
                    <w:rPr>
                      <w:rFonts w:hint="eastAsia" w:eastAsia="宋体"/>
                      <w:b/>
                      <w:bCs/>
                      <w:lang w:val="en-US" w:eastAsia="zh-CN"/>
                    </w:rPr>
                  </w:pPr>
                  <w:r>
                    <w:rPr>
                      <w:rFonts w:hint="eastAsia"/>
                      <w:b/>
                      <w:bCs/>
                      <w:lang w:val="en-US" w:eastAsia="zh-CN"/>
                    </w:rPr>
                    <w:t>长度(m)</w:t>
                  </w:r>
                </w:p>
              </w:tc>
              <w:tc>
                <w:tcPr>
                  <w:tcW w:w="2317" w:type="dxa"/>
                  <w:noWrap/>
                  <w:vAlign w:val="center"/>
                </w:tcPr>
                <w:p w14:paraId="1EE851DE">
                  <w:pPr>
                    <w:jc w:val="center"/>
                    <w:rPr>
                      <w:rFonts w:hint="default" w:eastAsia="宋体"/>
                      <w:b/>
                      <w:bCs/>
                      <w:lang w:val="en-US" w:eastAsia="zh-CN"/>
                    </w:rPr>
                  </w:pPr>
                  <w:r>
                    <w:rPr>
                      <w:rFonts w:hint="eastAsia"/>
                      <w:b/>
                      <w:bCs/>
                      <w:lang w:val="en-US" w:eastAsia="zh-CN"/>
                    </w:rPr>
                    <w:t>护栏(m)</w:t>
                  </w:r>
                </w:p>
              </w:tc>
              <w:tc>
                <w:tcPr>
                  <w:tcW w:w="1334" w:type="dxa"/>
                  <w:noWrap/>
                  <w:vAlign w:val="center"/>
                </w:tcPr>
                <w:p w14:paraId="45CFC19D">
                  <w:pPr>
                    <w:jc w:val="center"/>
                    <w:rPr>
                      <w:rFonts w:hint="default" w:eastAsia="宋体"/>
                      <w:b/>
                      <w:bCs/>
                      <w:lang w:val="en-US" w:eastAsia="zh-CN"/>
                    </w:rPr>
                  </w:pPr>
                  <w:r>
                    <w:rPr>
                      <w:rFonts w:hint="eastAsia"/>
                      <w:b/>
                      <w:bCs/>
                      <w:lang w:val="en-US" w:eastAsia="zh-CN"/>
                    </w:rPr>
                    <w:t>警示牌（块）</w:t>
                  </w:r>
                </w:p>
              </w:tc>
            </w:tr>
            <w:tr w14:paraId="7DE63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412" w:type="dxa"/>
                  <w:vAlign w:val="center"/>
                </w:tcPr>
                <w:p w14:paraId="263DEAFF">
                  <w:pPr>
                    <w:jc w:val="center"/>
                    <w:rPr>
                      <w:rFonts w:hint="default" w:eastAsia="宋体"/>
                      <w:lang w:val="en-US" w:eastAsia="zh-CN"/>
                    </w:rPr>
                  </w:pPr>
                  <w:r>
                    <w:rPr>
                      <w:rFonts w:hint="eastAsia"/>
                      <w:lang w:val="en-US" w:eastAsia="zh-CN"/>
                    </w:rPr>
                    <w:t>K18+530.871</w:t>
                  </w:r>
                </w:p>
              </w:tc>
              <w:tc>
                <w:tcPr>
                  <w:tcW w:w="2014" w:type="dxa"/>
                  <w:noWrap/>
                  <w:vAlign w:val="center"/>
                </w:tcPr>
                <w:p w14:paraId="58A6310D">
                  <w:pPr>
                    <w:jc w:val="center"/>
                    <w:rPr>
                      <w:rFonts w:hint="default" w:eastAsia="宋体"/>
                      <w:lang w:val="en-US" w:eastAsia="zh-CN"/>
                    </w:rPr>
                  </w:pPr>
                  <w:r>
                    <w:rPr>
                      <w:rFonts w:hint="eastAsia"/>
                      <w:lang w:val="en-US" w:eastAsia="zh-CN"/>
                    </w:rPr>
                    <w:t>古力牙提桥</w:t>
                  </w:r>
                </w:p>
              </w:tc>
              <w:tc>
                <w:tcPr>
                  <w:tcW w:w="1123" w:type="dxa"/>
                  <w:noWrap/>
                  <w:vAlign w:val="center"/>
                </w:tcPr>
                <w:p w14:paraId="591B67E3">
                  <w:pPr>
                    <w:jc w:val="center"/>
                    <w:rPr>
                      <w:rFonts w:hint="default" w:eastAsia="宋体"/>
                      <w:lang w:val="en-US" w:eastAsia="zh-CN"/>
                    </w:rPr>
                  </w:pPr>
                  <w:r>
                    <w:rPr>
                      <w:rFonts w:hint="eastAsia"/>
                      <w:lang w:val="en-US" w:eastAsia="zh-CN"/>
                    </w:rPr>
                    <w:t>21.5</w:t>
                  </w:r>
                </w:p>
              </w:tc>
              <w:tc>
                <w:tcPr>
                  <w:tcW w:w="2317" w:type="dxa"/>
                  <w:noWrap/>
                  <w:vAlign w:val="center"/>
                </w:tcPr>
                <w:p w14:paraId="1C81CC76">
                  <w:pPr>
                    <w:jc w:val="center"/>
                    <w:rPr>
                      <w:rFonts w:hint="default" w:eastAsia="宋体"/>
                      <w:lang w:val="en-US" w:eastAsia="zh-CN"/>
                    </w:rPr>
                  </w:pPr>
                  <w:r>
                    <w:rPr>
                      <w:rFonts w:hint="eastAsia" w:hAnsi="宋体"/>
                    </w:rPr>
                    <w:t>加强型防撞护栏</w:t>
                  </w:r>
                  <w:r>
                    <w:rPr>
                      <w:rFonts w:hint="eastAsia" w:hAnsi="宋体"/>
                      <w:lang w:val="en-US" w:eastAsia="zh-CN"/>
                    </w:rPr>
                    <w:t>43</w:t>
                  </w:r>
                </w:p>
              </w:tc>
              <w:tc>
                <w:tcPr>
                  <w:tcW w:w="1334" w:type="dxa"/>
                  <w:noWrap/>
                  <w:vAlign w:val="center"/>
                </w:tcPr>
                <w:p w14:paraId="3C299DF3">
                  <w:pPr>
                    <w:jc w:val="center"/>
                    <w:rPr>
                      <w:rFonts w:hint="default" w:eastAsia="宋体"/>
                      <w:lang w:val="en-US" w:eastAsia="zh-CN"/>
                    </w:rPr>
                  </w:pPr>
                  <w:r>
                    <w:rPr>
                      <w:rFonts w:hint="eastAsia"/>
                      <w:lang w:val="en-US" w:eastAsia="zh-CN"/>
                    </w:rPr>
                    <w:t>2</w:t>
                  </w:r>
                </w:p>
              </w:tc>
            </w:tr>
            <w:tr w14:paraId="75662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412" w:type="dxa"/>
                  <w:vAlign w:val="center"/>
                </w:tcPr>
                <w:p w14:paraId="566CDA51">
                  <w:pPr>
                    <w:jc w:val="center"/>
                    <w:rPr>
                      <w:rFonts w:hint="default" w:eastAsia="宋体"/>
                      <w:lang w:val="en-US" w:eastAsia="zh-CN"/>
                    </w:rPr>
                  </w:pPr>
                  <w:r>
                    <w:rPr>
                      <w:rFonts w:hint="eastAsia"/>
                      <w:lang w:val="en-US" w:eastAsia="zh-CN"/>
                    </w:rPr>
                    <w:t>K21+818.179</w:t>
                  </w:r>
                </w:p>
              </w:tc>
              <w:tc>
                <w:tcPr>
                  <w:tcW w:w="2014" w:type="dxa"/>
                  <w:noWrap/>
                  <w:vAlign w:val="center"/>
                </w:tcPr>
                <w:p w14:paraId="2C1575BA">
                  <w:pPr>
                    <w:jc w:val="center"/>
                    <w:rPr>
                      <w:rFonts w:hint="eastAsia" w:eastAsia="宋体"/>
                      <w:lang w:val="en-US" w:eastAsia="zh-CN"/>
                    </w:rPr>
                  </w:pPr>
                  <w:r>
                    <w:rPr>
                      <w:rFonts w:hint="eastAsia"/>
                      <w:lang w:val="en-US" w:eastAsia="zh-CN"/>
                    </w:rPr>
                    <w:t>新栏杆二桥</w:t>
                  </w:r>
                </w:p>
              </w:tc>
              <w:tc>
                <w:tcPr>
                  <w:tcW w:w="1123" w:type="dxa"/>
                  <w:noWrap/>
                  <w:vAlign w:val="center"/>
                </w:tcPr>
                <w:p w14:paraId="2E694C89">
                  <w:pPr>
                    <w:jc w:val="center"/>
                    <w:rPr>
                      <w:rFonts w:hint="default" w:eastAsia="宋体"/>
                      <w:lang w:val="en-US" w:eastAsia="zh-CN"/>
                    </w:rPr>
                  </w:pPr>
                  <w:r>
                    <w:rPr>
                      <w:rFonts w:hint="eastAsia"/>
                      <w:lang w:val="en-US" w:eastAsia="zh-CN"/>
                    </w:rPr>
                    <w:t>31.5</w:t>
                  </w:r>
                </w:p>
              </w:tc>
              <w:tc>
                <w:tcPr>
                  <w:tcW w:w="2317" w:type="dxa"/>
                  <w:noWrap/>
                  <w:vAlign w:val="center"/>
                </w:tcPr>
                <w:p w14:paraId="69BF572B">
                  <w:pPr>
                    <w:jc w:val="center"/>
                    <w:rPr>
                      <w:rFonts w:hint="default" w:eastAsia="宋体"/>
                      <w:lang w:val="en-US" w:eastAsia="zh-CN"/>
                    </w:rPr>
                  </w:pPr>
                  <w:r>
                    <w:rPr>
                      <w:rFonts w:hint="eastAsia" w:hAnsi="宋体"/>
                    </w:rPr>
                    <w:t>加强型防撞护栏</w:t>
                  </w:r>
                  <w:r>
                    <w:rPr>
                      <w:rFonts w:hint="eastAsia" w:hAnsi="宋体"/>
                      <w:lang w:val="en-US" w:eastAsia="zh-CN"/>
                    </w:rPr>
                    <w:t>63</w:t>
                  </w:r>
                </w:p>
              </w:tc>
              <w:tc>
                <w:tcPr>
                  <w:tcW w:w="1334" w:type="dxa"/>
                  <w:noWrap/>
                  <w:vAlign w:val="center"/>
                </w:tcPr>
                <w:p w14:paraId="32B89D5A">
                  <w:pPr>
                    <w:jc w:val="center"/>
                  </w:pPr>
                  <w:r>
                    <w:rPr>
                      <w:rFonts w:hint="eastAsia"/>
                      <w:lang w:val="en-US" w:eastAsia="zh-CN"/>
                    </w:rPr>
                    <w:t>2</w:t>
                  </w:r>
                </w:p>
              </w:tc>
            </w:tr>
            <w:tr w14:paraId="6AA08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412" w:type="dxa"/>
                  <w:vAlign w:val="center"/>
                </w:tcPr>
                <w:p w14:paraId="6A7E4378">
                  <w:pPr>
                    <w:jc w:val="center"/>
                    <w:rPr>
                      <w:rFonts w:hint="default" w:eastAsia="宋体"/>
                      <w:lang w:val="en-US" w:eastAsia="zh-CN"/>
                    </w:rPr>
                  </w:pPr>
                  <w:r>
                    <w:rPr>
                      <w:rFonts w:hint="eastAsia"/>
                      <w:lang w:val="en-US" w:eastAsia="zh-CN"/>
                    </w:rPr>
                    <w:t>K29+655.132</w:t>
                  </w:r>
                </w:p>
              </w:tc>
              <w:tc>
                <w:tcPr>
                  <w:tcW w:w="2014" w:type="dxa"/>
                  <w:noWrap/>
                  <w:vAlign w:val="center"/>
                </w:tcPr>
                <w:p w14:paraId="03362414">
                  <w:pPr>
                    <w:jc w:val="center"/>
                    <w:rPr>
                      <w:rFonts w:hint="default" w:eastAsia="宋体"/>
                      <w:lang w:val="en-US" w:eastAsia="zh-CN"/>
                    </w:rPr>
                  </w:pPr>
                  <w:r>
                    <w:rPr>
                      <w:rFonts w:hint="eastAsia"/>
                      <w:lang w:val="en-US" w:eastAsia="zh-CN"/>
                    </w:rPr>
                    <w:t>和夏阿瓦提桥</w:t>
                  </w:r>
                </w:p>
              </w:tc>
              <w:tc>
                <w:tcPr>
                  <w:tcW w:w="1123" w:type="dxa"/>
                  <w:noWrap/>
                  <w:vAlign w:val="center"/>
                </w:tcPr>
                <w:p w14:paraId="4B7A353E">
                  <w:pPr>
                    <w:jc w:val="center"/>
                    <w:rPr>
                      <w:rFonts w:hint="default" w:eastAsia="宋体"/>
                      <w:lang w:val="en-US" w:eastAsia="zh-CN"/>
                    </w:rPr>
                  </w:pPr>
                  <w:r>
                    <w:rPr>
                      <w:rFonts w:hint="eastAsia"/>
                      <w:lang w:val="en-US" w:eastAsia="zh-CN"/>
                    </w:rPr>
                    <w:t>21.5</w:t>
                  </w:r>
                </w:p>
              </w:tc>
              <w:tc>
                <w:tcPr>
                  <w:tcW w:w="2317" w:type="dxa"/>
                  <w:noWrap/>
                  <w:vAlign w:val="center"/>
                </w:tcPr>
                <w:p w14:paraId="2B4C448C">
                  <w:pPr>
                    <w:jc w:val="center"/>
                    <w:rPr>
                      <w:rFonts w:hint="default" w:eastAsia="宋体"/>
                      <w:lang w:val="en-US" w:eastAsia="zh-CN"/>
                    </w:rPr>
                  </w:pPr>
                  <w:r>
                    <w:rPr>
                      <w:rFonts w:hint="eastAsia" w:hAnsi="宋体"/>
                    </w:rPr>
                    <w:t>加强型防撞护栏</w:t>
                  </w:r>
                  <w:r>
                    <w:rPr>
                      <w:rFonts w:hint="eastAsia" w:hAnsi="宋体"/>
                      <w:lang w:val="en-US" w:eastAsia="zh-CN"/>
                    </w:rPr>
                    <w:t>43</w:t>
                  </w:r>
                </w:p>
              </w:tc>
              <w:tc>
                <w:tcPr>
                  <w:tcW w:w="1334" w:type="dxa"/>
                  <w:noWrap/>
                  <w:vAlign w:val="center"/>
                </w:tcPr>
                <w:p w14:paraId="6548CF3D">
                  <w:pPr>
                    <w:jc w:val="center"/>
                  </w:pPr>
                  <w:r>
                    <w:rPr>
                      <w:rFonts w:hint="eastAsia"/>
                      <w:lang w:val="en-US" w:eastAsia="zh-CN"/>
                    </w:rPr>
                    <w:t>2</w:t>
                  </w:r>
                </w:p>
              </w:tc>
            </w:tr>
            <w:tr w14:paraId="26EC9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412" w:type="dxa"/>
                  <w:vAlign w:val="center"/>
                </w:tcPr>
                <w:p w14:paraId="00E43343">
                  <w:pPr>
                    <w:jc w:val="center"/>
                    <w:rPr>
                      <w:rFonts w:hint="default" w:eastAsia="宋体"/>
                      <w:lang w:val="en-US" w:eastAsia="zh-CN"/>
                    </w:rPr>
                  </w:pPr>
                  <w:r>
                    <w:rPr>
                      <w:rFonts w:hint="eastAsia"/>
                      <w:lang w:val="en-US" w:eastAsia="zh-CN"/>
                    </w:rPr>
                    <w:t>K41+340.822</w:t>
                  </w:r>
                </w:p>
              </w:tc>
              <w:tc>
                <w:tcPr>
                  <w:tcW w:w="2014" w:type="dxa"/>
                  <w:noWrap/>
                  <w:vAlign w:val="center"/>
                </w:tcPr>
                <w:p w14:paraId="323BB064">
                  <w:pPr>
                    <w:jc w:val="center"/>
                    <w:rPr>
                      <w:rFonts w:hint="default" w:eastAsia="宋体"/>
                      <w:lang w:val="en-US" w:eastAsia="zh-CN"/>
                    </w:rPr>
                  </w:pPr>
                  <w:r>
                    <w:rPr>
                      <w:rFonts w:hint="eastAsia"/>
                      <w:lang w:val="en-US" w:eastAsia="zh-CN"/>
                    </w:rPr>
                    <w:t>调节渠桥</w:t>
                  </w:r>
                </w:p>
              </w:tc>
              <w:tc>
                <w:tcPr>
                  <w:tcW w:w="1123" w:type="dxa"/>
                  <w:noWrap/>
                  <w:vAlign w:val="center"/>
                </w:tcPr>
                <w:p w14:paraId="673F912E">
                  <w:pPr>
                    <w:jc w:val="center"/>
                    <w:rPr>
                      <w:rFonts w:hint="default" w:eastAsia="宋体"/>
                      <w:lang w:val="en-US" w:eastAsia="zh-CN"/>
                    </w:rPr>
                  </w:pPr>
                  <w:r>
                    <w:rPr>
                      <w:rFonts w:hint="eastAsia"/>
                      <w:lang w:val="en-US" w:eastAsia="zh-CN"/>
                    </w:rPr>
                    <w:t>18.5</w:t>
                  </w:r>
                </w:p>
              </w:tc>
              <w:tc>
                <w:tcPr>
                  <w:tcW w:w="2317" w:type="dxa"/>
                  <w:noWrap/>
                  <w:vAlign w:val="center"/>
                </w:tcPr>
                <w:p w14:paraId="659FD5E0">
                  <w:pPr>
                    <w:jc w:val="center"/>
                    <w:rPr>
                      <w:rFonts w:hint="default" w:eastAsia="宋体"/>
                      <w:lang w:val="en-US" w:eastAsia="zh-CN"/>
                    </w:rPr>
                  </w:pPr>
                  <w:r>
                    <w:rPr>
                      <w:rFonts w:hint="eastAsia" w:hAnsi="宋体"/>
                    </w:rPr>
                    <w:t>加强型防撞护栏</w:t>
                  </w:r>
                  <w:r>
                    <w:rPr>
                      <w:rFonts w:hint="eastAsia" w:hAnsi="宋体"/>
                      <w:lang w:val="en-US" w:eastAsia="zh-CN"/>
                    </w:rPr>
                    <w:t>37</w:t>
                  </w:r>
                </w:p>
              </w:tc>
              <w:tc>
                <w:tcPr>
                  <w:tcW w:w="1334" w:type="dxa"/>
                  <w:noWrap/>
                  <w:vAlign w:val="center"/>
                </w:tcPr>
                <w:p w14:paraId="2247D35C">
                  <w:pPr>
                    <w:jc w:val="center"/>
                  </w:pPr>
                  <w:r>
                    <w:rPr>
                      <w:rFonts w:hint="eastAsia"/>
                      <w:lang w:val="en-US" w:eastAsia="zh-CN"/>
                    </w:rPr>
                    <w:t>2</w:t>
                  </w:r>
                </w:p>
              </w:tc>
            </w:tr>
            <w:tr w14:paraId="1B537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412" w:type="dxa"/>
                  <w:vAlign w:val="center"/>
                </w:tcPr>
                <w:p w14:paraId="3921BD2A">
                  <w:pPr>
                    <w:jc w:val="center"/>
                    <w:rPr>
                      <w:rFonts w:hint="default" w:eastAsia="宋体"/>
                      <w:lang w:val="en-US" w:eastAsia="zh-CN"/>
                    </w:rPr>
                  </w:pPr>
                  <w:r>
                    <w:rPr>
                      <w:rFonts w:hint="eastAsia"/>
                      <w:lang w:val="en-US" w:eastAsia="zh-CN"/>
                    </w:rPr>
                    <w:t>K44+179.938</w:t>
                  </w:r>
                </w:p>
              </w:tc>
              <w:tc>
                <w:tcPr>
                  <w:tcW w:w="2014" w:type="dxa"/>
                  <w:noWrap/>
                  <w:vAlign w:val="center"/>
                </w:tcPr>
                <w:p w14:paraId="53E2D5CA">
                  <w:pPr>
                    <w:jc w:val="center"/>
                    <w:rPr>
                      <w:rFonts w:hint="default" w:eastAsia="宋体"/>
                      <w:lang w:val="en-US" w:eastAsia="zh-CN"/>
                    </w:rPr>
                  </w:pPr>
                  <w:r>
                    <w:rPr>
                      <w:rFonts w:hint="eastAsia"/>
                      <w:lang w:val="en-US" w:eastAsia="zh-CN"/>
                    </w:rPr>
                    <w:t>青年渠桥</w:t>
                  </w:r>
                </w:p>
              </w:tc>
              <w:tc>
                <w:tcPr>
                  <w:tcW w:w="1123" w:type="dxa"/>
                  <w:noWrap/>
                  <w:vAlign w:val="center"/>
                </w:tcPr>
                <w:p w14:paraId="2D34DC16">
                  <w:pPr>
                    <w:jc w:val="center"/>
                    <w:rPr>
                      <w:rFonts w:hint="default" w:eastAsia="宋体"/>
                      <w:lang w:val="en-US" w:eastAsia="zh-CN"/>
                    </w:rPr>
                  </w:pPr>
                  <w:r>
                    <w:rPr>
                      <w:rFonts w:hint="eastAsia"/>
                      <w:lang w:val="en-US" w:eastAsia="zh-CN"/>
                    </w:rPr>
                    <w:t>28</w:t>
                  </w:r>
                </w:p>
              </w:tc>
              <w:tc>
                <w:tcPr>
                  <w:tcW w:w="2317" w:type="dxa"/>
                  <w:noWrap/>
                  <w:vAlign w:val="center"/>
                </w:tcPr>
                <w:p w14:paraId="4F055D29">
                  <w:pPr>
                    <w:jc w:val="center"/>
                    <w:rPr>
                      <w:rFonts w:hint="default" w:eastAsia="宋体"/>
                      <w:lang w:val="en-US" w:eastAsia="zh-CN"/>
                    </w:rPr>
                  </w:pPr>
                  <w:r>
                    <w:rPr>
                      <w:rFonts w:hint="eastAsia" w:hAnsi="宋体"/>
                    </w:rPr>
                    <w:t>加强型防撞护栏</w:t>
                  </w:r>
                  <w:r>
                    <w:rPr>
                      <w:rFonts w:hint="eastAsia" w:hAnsi="宋体"/>
                      <w:lang w:val="en-US" w:eastAsia="zh-CN"/>
                    </w:rPr>
                    <w:t>56</w:t>
                  </w:r>
                </w:p>
              </w:tc>
              <w:tc>
                <w:tcPr>
                  <w:tcW w:w="1334" w:type="dxa"/>
                  <w:noWrap/>
                  <w:vAlign w:val="center"/>
                </w:tcPr>
                <w:p w14:paraId="144A44C8">
                  <w:pPr>
                    <w:jc w:val="center"/>
                  </w:pPr>
                  <w:r>
                    <w:rPr>
                      <w:rFonts w:hint="eastAsia"/>
                      <w:lang w:val="en-US" w:eastAsia="zh-CN"/>
                    </w:rPr>
                    <w:t>2</w:t>
                  </w:r>
                </w:p>
              </w:tc>
            </w:tr>
            <w:tr w14:paraId="333A0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412" w:type="dxa"/>
                  <w:vAlign w:val="center"/>
                </w:tcPr>
                <w:p w14:paraId="6600F019">
                  <w:pPr>
                    <w:jc w:val="center"/>
                    <w:rPr>
                      <w:rFonts w:hint="default" w:eastAsia="宋体"/>
                      <w:lang w:val="en-US" w:eastAsia="zh-CN"/>
                    </w:rPr>
                  </w:pPr>
                  <w:r>
                    <w:rPr>
                      <w:rFonts w:hint="eastAsia"/>
                      <w:lang w:val="en-US" w:eastAsia="zh-CN"/>
                    </w:rPr>
                    <w:t>K47+445.967</w:t>
                  </w:r>
                </w:p>
              </w:tc>
              <w:tc>
                <w:tcPr>
                  <w:tcW w:w="2014" w:type="dxa"/>
                  <w:noWrap/>
                  <w:vAlign w:val="center"/>
                </w:tcPr>
                <w:p w14:paraId="582A4CDF">
                  <w:pPr>
                    <w:jc w:val="center"/>
                    <w:rPr>
                      <w:rFonts w:hint="default" w:eastAsia="宋体"/>
                      <w:lang w:val="en-US" w:eastAsia="zh-CN"/>
                    </w:rPr>
                  </w:pPr>
                  <w:r>
                    <w:rPr>
                      <w:rFonts w:hint="eastAsia"/>
                      <w:lang w:val="en-US" w:eastAsia="zh-CN"/>
                    </w:rPr>
                    <w:t>红旗渠桥</w:t>
                  </w:r>
                </w:p>
              </w:tc>
              <w:tc>
                <w:tcPr>
                  <w:tcW w:w="1123" w:type="dxa"/>
                  <w:noWrap/>
                  <w:vAlign w:val="center"/>
                </w:tcPr>
                <w:p w14:paraId="3E437D88">
                  <w:pPr>
                    <w:jc w:val="center"/>
                    <w:rPr>
                      <w:rFonts w:hint="default" w:eastAsia="宋体"/>
                      <w:lang w:val="en-US" w:eastAsia="zh-CN"/>
                    </w:rPr>
                  </w:pPr>
                  <w:r>
                    <w:rPr>
                      <w:rFonts w:hint="eastAsia"/>
                      <w:lang w:val="en-US" w:eastAsia="zh-CN"/>
                    </w:rPr>
                    <w:t>21.5</w:t>
                  </w:r>
                </w:p>
              </w:tc>
              <w:tc>
                <w:tcPr>
                  <w:tcW w:w="2317" w:type="dxa"/>
                  <w:noWrap/>
                  <w:vAlign w:val="center"/>
                </w:tcPr>
                <w:p w14:paraId="62EFFBCB">
                  <w:pPr>
                    <w:jc w:val="center"/>
                    <w:rPr>
                      <w:rFonts w:hint="default" w:eastAsia="宋体"/>
                      <w:lang w:val="en-US" w:eastAsia="zh-CN"/>
                    </w:rPr>
                  </w:pPr>
                  <w:r>
                    <w:rPr>
                      <w:rFonts w:hint="eastAsia" w:hAnsi="宋体"/>
                    </w:rPr>
                    <w:t>加强型防撞护栏</w:t>
                  </w:r>
                  <w:r>
                    <w:rPr>
                      <w:rFonts w:hint="eastAsia" w:hAnsi="宋体"/>
                      <w:lang w:val="en-US" w:eastAsia="zh-CN"/>
                    </w:rPr>
                    <w:t>43</w:t>
                  </w:r>
                </w:p>
              </w:tc>
              <w:tc>
                <w:tcPr>
                  <w:tcW w:w="1334" w:type="dxa"/>
                  <w:noWrap/>
                  <w:vAlign w:val="center"/>
                </w:tcPr>
                <w:p w14:paraId="2C8DB108">
                  <w:pPr>
                    <w:jc w:val="center"/>
                  </w:pPr>
                  <w:r>
                    <w:rPr>
                      <w:rFonts w:hint="eastAsia"/>
                      <w:lang w:val="en-US" w:eastAsia="zh-CN"/>
                    </w:rPr>
                    <w:t>2</w:t>
                  </w:r>
                </w:p>
              </w:tc>
            </w:tr>
            <w:tr w14:paraId="17B54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3426" w:type="dxa"/>
                  <w:gridSpan w:val="2"/>
                  <w:vAlign w:val="center"/>
                </w:tcPr>
                <w:p w14:paraId="1FD5A9A5">
                  <w:pPr>
                    <w:jc w:val="center"/>
                    <w:rPr>
                      <w:rFonts w:hint="default"/>
                      <w:lang w:val="en-US" w:eastAsia="zh-CN"/>
                    </w:rPr>
                  </w:pPr>
                  <w:r>
                    <w:rPr>
                      <w:rFonts w:hint="eastAsia"/>
                      <w:lang w:val="en-US" w:eastAsia="zh-CN"/>
                    </w:rPr>
                    <w:t>合计</w:t>
                  </w:r>
                </w:p>
              </w:tc>
              <w:tc>
                <w:tcPr>
                  <w:tcW w:w="1123" w:type="dxa"/>
                  <w:noWrap/>
                  <w:vAlign w:val="center"/>
                </w:tcPr>
                <w:p w14:paraId="68615C58">
                  <w:pPr>
                    <w:jc w:val="center"/>
                    <w:rPr>
                      <w:rFonts w:hint="default" w:eastAsia="宋体"/>
                      <w:lang w:val="en-US" w:eastAsia="zh-CN"/>
                    </w:rPr>
                  </w:pPr>
                  <w:r>
                    <w:rPr>
                      <w:rFonts w:hint="eastAsia"/>
                      <w:lang w:val="en-US" w:eastAsia="zh-CN"/>
                    </w:rPr>
                    <w:t>142.5</w:t>
                  </w:r>
                </w:p>
              </w:tc>
              <w:tc>
                <w:tcPr>
                  <w:tcW w:w="2317" w:type="dxa"/>
                  <w:noWrap/>
                  <w:vAlign w:val="center"/>
                </w:tcPr>
                <w:p w14:paraId="2A43C80F">
                  <w:pPr>
                    <w:jc w:val="center"/>
                    <w:rPr>
                      <w:rFonts w:hint="default" w:hAnsi="宋体" w:eastAsia="宋体"/>
                      <w:lang w:val="en-US" w:eastAsia="zh-CN"/>
                    </w:rPr>
                  </w:pPr>
                  <w:r>
                    <w:rPr>
                      <w:rFonts w:hint="eastAsia" w:hAnsi="宋体"/>
                      <w:lang w:val="en-US" w:eastAsia="zh-CN"/>
                    </w:rPr>
                    <w:t>285</w:t>
                  </w:r>
                </w:p>
              </w:tc>
              <w:tc>
                <w:tcPr>
                  <w:tcW w:w="1334" w:type="dxa"/>
                  <w:noWrap/>
                  <w:vAlign w:val="center"/>
                </w:tcPr>
                <w:p w14:paraId="1F5C6575">
                  <w:pPr>
                    <w:jc w:val="center"/>
                    <w:rPr>
                      <w:rFonts w:hint="default"/>
                      <w:lang w:val="en-US" w:eastAsia="zh-CN"/>
                    </w:rPr>
                  </w:pPr>
                  <w:r>
                    <w:rPr>
                      <w:rFonts w:hint="eastAsia"/>
                      <w:lang w:val="en-US" w:eastAsia="zh-CN"/>
                    </w:rPr>
                    <w:t>12</w:t>
                  </w:r>
                </w:p>
              </w:tc>
            </w:tr>
          </w:tbl>
          <w:p w14:paraId="1AF544A3">
            <w:pPr>
              <w:keepNext w:val="0"/>
              <w:keepLines w:val="0"/>
              <w:pageBreakBefore w:val="0"/>
              <w:widowControl w:val="0"/>
              <w:kinsoku/>
              <w:wordWrap/>
              <w:overflowPunct/>
              <w:topLinePunct w:val="0"/>
              <w:autoSpaceDE/>
              <w:autoSpaceDN/>
              <w:bidi w:val="0"/>
              <w:adjustRightInd/>
              <w:snapToGrid/>
              <w:spacing w:before="313" w:beforeLines="100" w:line="300" w:lineRule="auto"/>
              <w:ind w:firstLine="480" w:firstLineChars="200"/>
              <w:textAlignment w:val="auto"/>
              <w:rPr>
                <w:rFonts w:hint="default" w:hAnsi="宋体" w:eastAsia="宋体"/>
                <w:kern w:val="0"/>
                <w:sz w:val="24"/>
                <w:szCs w:val="20"/>
                <w:lang w:val="en-US" w:eastAsia="zh-CN"/>
              </w:rPr>
            </w:pPr>
            <w:r>
              <w:rPr>
                <w:rFonts w:hint="eastAsia" w:ascii="宋体" w:hAnsi="宋体"/>
                <w:kern w:val="0"/>
                <w:sz w:val="24"/>
                <w:szCs w:val="20"/>
              </w:rPr>
              <w:t>④</w:t>
            </w:r>
            <w:r>
              <w:rPr>
                <w:rFonts w:hint="eastAsia"/>
                <w:kern w:val="0"/>
                <w:sz w:val="24"/>
                <w:szCs w:val="20"/>
              </w:rPr>
              <w:t xml:space="preserve"> </w:t>
            </w:r>
            <w:r>
              <w:rPr>
                <w:rFonts w:hAnsi="宋体"/>
                <w:kern w:val="0"/>
                <w:sz w:val="24"/>
                <w:szCs w:val="20"/>
              </w:rPr>
              <w:t>事故应急池</w:t>
            </w:r>
            <w:r>
              <w:rPr>
                <w:rFonts w:hint="eastAsia" w:hAnsi="宋体"/>
                <w:kern w:val="0"/>
                <w:sz w:val="24"/>
                <w:szCs w:val="20"/>
                <w:lang w:val="en-US" w:eastAsia="zh-CN"/>
              </w:rPr>
              <w:t>设置原则</w:t>
            </w:r>
          </w:p>
          <w:p w14:paraId="276E67BB">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hAnsi="宋体"/>
                <w:kern w:val="0"/>
                <w:sz w:val="24"/>
                <w:szCs w:val="20"/>
                <w:lang w:val="en-US" w:eastAsia="zh-CN"/>
              </w:rPr>
            </w:pPr>
            <w:r>
              <w:rPr>
                <w:rFonts w:hint="eastAsia" w:hAnsi="宋体"/>
                <w:kern w:val="0"/>
                <w:sz w:val="24"/>
                <w:szCs w:val="20"/>
                <w:lang w:val="en-US" w:eastAsia="zh-CN"/>
              </w:rPr>
              <w:t>a. 事故应急池容积计算</w:t>
            </w:r>
          </w:p>
          <w:p w14:paraId="10431A66">
            <w:pPr>
              <w:pStyle w:val="58"/>
              <w:ind w:firstLine="480"/>
              <w:rPr>
                <w:color w:val="auto"/>
                <w:spacing w:val="6"/>
              </w:rPr>
            </w:pPr>
            <w:r>
              <w:rPr>
                <w:rFonts w:hAnsi="宋体"/>
                <w:spacing w:val="2"/>
                <w:kern w:val="0"/>
                <w:sz w:val="24"/>
                <w:szCs w:val="20"/>
              </w:rPr>
              <w:t>桥梁或路</w:t>
            </w:r>
            <w:r>
              <w:rPr>
                <w:rFonts w:hint="eastAsia" w:hAnsi="宋体"/>
                <w:spacing w:val="2"/>
                <w:kern w:val="0"/>
                <w:sz w:val="24"/>
                <w:szCs w:val="20"/>
              </w:rPr>
              <w:t>基</w:t>
            </w:r>
            <w:r>
              <w:rPr>
                <w:rFonts w:hAnsi="宋体"/>
                <w:spacing w:val="2"/>
                <w:kern w:val="0"/>
                <w:sz w:val="24"/>
                <w:szCs w:val="20"/>
              </w:rPr>
              <w:t>段事故应急池总容积按照</w:t>
            </w:r>
            <w:r>
              <w:rPr>
                <w:rFonts w:hint="eastAsia" w:hAnsi="宋体"/>
                <w:spacing w:val="2"/>
                <w:kern w:val="0"/>
                <w:sz w:val="24"/>
                <w:szCs w:val="20"/>
                <w:lang w:val="en-US" w:eastAsia="zh-CN"/>
              </w:rPr>
              <w:t>20年一遇</w:t>
            </w:r>
            <w:r>
              <w:rPr>
                <w:rFonts w:hAnsi="宋体"/>
                <w:spacing w:val="2"/>
                <w:kern w:val="0"/>
                <w:sz w:val="24"/>
                <w:szCs w:val="20"/>
              </w:rPr>
              <w:t>小时最大</w:t>
            </w:r>
            <w:r>
              <w:rPr>
                <w:rFonts w:hint="eastAsia" w:hAnsi="宋体"/>
                <w:spacing w:val="2"/>
                <w:kern w:val="0"/>
                <w:sz w:val="24"/>
                <w:szCs w:val="20"/>
                <w:lang w:val="en-US" w:eastAsia="zh-CN"/>
              </w:rPr>
              <w:t>暴雨强度</w:t>
            </w:r>
            <w:r>
              <w:rPr>
                <w:rFonts w:hAnsi="宋体"/>
                <w:spacing w:val="2"/>
                <w:kern w:val="0"/>
                <w:sz w:val="24"/>
                <w:szCs w:val="20"/>
              </w:rPr>
              <w:t>状态下桥（路）面径流量（按降雨历时</w:t>
            </w:r>
            <w:r>
              <w:rPr>
                <w:spacing w:val="2"/>
                <w:kern w:val="0"/>
                <w:sz w:val="24"/>
                <w:szCs w:val="20"/>
              </w:rPr>
              <w:t>20min</w:t>
            </w:r>
            <w:r>
              <w:rPr>
                <w:rFonts w:hAnsi="宋体"/>
                <w:spacing w:val="2"/>
                <w:kern w:val="0"/>
                <w:sz w:val="24"/>
                <w:szCs w:val="20"/>
              </w:rPr>
              <w:t>计）</w:t>
            </w:r>
            <w:r>
              <w:rPr>
                <w:rFonts w:hint="eastAsia" w:hAnsi="宋体"/>
                <w:spacing w:val="2"/>
                <w:kern w:val="0"/>
                <w:sz w:val="24"/>
                <w:szCs w:val="20"/>
              </w:rPr>
              <w:t>及</w:t>
            </w:r>
            <w:r>
              <w:rPr>
                <w:rFonts w:hAnsi="宋体"/>
                <w:spacing w:val="2"/>
                <w:kern w:val="0"/>
                <w:sz w:val="24"/>
                <w:szCs w:val="20"/>
              </w:rPr>
              <w:t>常规危化品槽罐车容积（</w:t>
            </w:r>
            <w:r>
              <w:rPr>
                <w:rFonts w:hint="eastAsia"/>
                <w:spacing w:val="2"/>
                <w:kern w:val="0"/>
                <w:sz w:val="24"/>
                <w:szCs w:val="20"/>
              </w:rPr>
              <w:t>3</w:t>
            </w:r>
            <w:r>
              <w:rPr>
                <w:rFonts w:hint="eastAsia"/>
                <w:spacing w:val="2"/>
                <w:kern w:val="0"/>
                <w:sz w:val="24"/>
                <w:szCs w:val="20"/>
                <w:lang w:val="en-US" w:eastAsia="zh-CN"/>
              </w:rPr>
              <w:t>5</w:t>
            </w:r>
            <w:r>
              <w:rPr>
                <w:spacing w:val="2"/>
                <w:kern w:val="0"/>
                <w:sz w:val="24"/>
                <w:szCs w:val="20"/>
              </w:rPr>
              <w:t>m</w:t>
            </w:r>
            <w:r>
              <w:rPr>
                <w:spacing w:val="2"/>
                <w:kern w:val="0"/>
                <w:sz w:val="24"/>
                <w:szCs w:val="20"/>
                <w:vertAlign w:val="superscript"/>
              </w:rPr>
              <w:t>3</w:t>
            </w:r>
            <w:r>
              <w:rPr>
                <w:rFonts w:hAnsi="宋体"/>
                <w:spacing w:val="2"/>
                <w:kern w:val="0"/>
                <w:sz w:val="24"/>
                <w:szCs w:val="20"/>
              </w:rPr>
              <w:t>）之和计</w:t>
            </w:r>
            <w:r>
              <w:rPr>
                <w:rFonts w:hAnsi="宋体"/>
                <w:color w:val="auto"/>
                <w:spacing w:val="2"/>
                <w:kern w:val="0"/>
                <w:sz w:val="24"/>
                <w:szCs w:val="20"/>
              </w:rPr>
              <w:t>。</w:t>
            </w:r>
            <w:r>
              <w:rPr>
                <w:color w:val="auto"/>
              </w:rPr>
              <w:t>径流</w:t>
            </w:r>
            <w:r>
              <w:rPr>
                <w:rFonts w:hint="eastAsia"/>
                <w:color w:val="auto"/>
                <w:lang w:val="en-US" w:eastAsia="zh-CN"/>
              </w:rPr>
              <w:t>量计算</w:t>
            </w:r>
            <w:r>
              <w:rPr>
                <w:color w:val="auto"/>
              </w:rPr>
              <w:t>如下：</w:t>
            </w:r>
          </w:p>
          <w:p w14:paraId="70BEE71A">
            <w:pPr>
              <w:spacing w:line="300" w:lineRule="auto"/>
              <w:jc w:val="center"/>
              <w:rPr>
                <w:color w:val="auto"/>
                <w:sz w:val="24"/>
                <w:szCs w:val="24"/>
              </w:rPr>
            </w:pPr>
            <w:r>
              <w:rPr>
                <w:color w:val="auto"/>
                <w:sz w:val="24"/>
                <w:szCs w:val="24"/>
              </w:rPr>
              <w:t>Q=A×H×φ×10</w:t>
            </w:r>
            <w:r>
              <w:rPr>
                <w:color w:val="auto"/>
                <w:sz w:val="24"/>
                <w:szCs w:val="24"/>
                <w:vertAlign w:val="superscript"/>
              </w:rPr>
              <w:t>-3</w:t>
            </w:r>
          </w:p>
          <w:p w14:paraId="7185FC6C">
            <w:pPr>
              <w:spacing w:line="300" w:lineRule="auto"/>
              <w:ind w:firstLine="1080" w:firstLineChars="450"/>
              <w:rPr>
                <w:color w:val="auto"/>
                <w:sz w:val="24"/>
                <w:szCs w:val="24"/>
              </w:rPr>
            </w:pPr>
            <w:r>
              <w:rPr>
                <w:color w:val="auto"/>
                <w:sz w:val="24"/>
                <w:szCs w:val="24"/>
              </w:rPr>
              <w:t>式中：Q——</w:t>
            </w:r>
            <w:r>
              <w:rPr>
                <w:rFonts w:hint="eastAsia"/>
                <w:color w:val="auto"/>
                <w:sz w:val="24"/>
                <w:szCs w:val="24"/>
                <w:lang w:val="en-US" w:eastAsia="zh-CN"/>
              </w:rPr>
              <w:t>径流量</w:t>
            </w:r>
            <w:r>
              <w:rPr>
                <w:color w:val="auto"/>
                <w:sz w:val="24"/>
                <w:szCs w:val="24"/>
              </w:rPr>
              <w:t>（m</w:t>
            </w:r>
            <w:r>
              <w:rPr>
                <w:color w:val="auto"/>
                <w:sz w:val="24"/>
                <w:szCs w:val="24"/>
                <w:vertAlign w:val="superscript"/>
              </w:rPr>
              <w:t>3</w:t>
            </w:r>
            <w:r>
              <w:rPr>
                <w:color w:val="auto"/>
                <w:sz w:val="24"/>
                <w:szCs w:val="24"/>
              </w:rPr>
              <w:t>）；</w:t>
            </w:r>
          </w:p>
          <w:p w14:paraId="2B375C66">
            <w:pPr>
              <w:snapToGrid w:val="0"/>
              <w:spacing w:line="300" w:lineRule="auto"/>
              <w:ind w:firstLine="1800" w:firstLineChars="750"/>
              <w:rPr>
                <w:color w:val="auto"/>
                <w:sz w:val="24"/>
                <w:szCs w:val="24"/>
              </w:rPr>
            </w:pPr>
            <w:r>
              <w:rPr>
                <w:color w:val="auto"/>
                <w:sz w:val="24"/>
                <w:szCs w:val="24"/>
              </w:rPr>
              <w:t>A——汇水面积（m</w:t>
            </w:r>
            <w:r>
              <w:rPr>
                <w:color w:val="auto"/>
                <w:sz w:val="24"/>
                <w:szCs w:val="24"/>
                <w:vertAlign w:val="superscript"/>
              </w:rPr>
              <w:t>2</w:t>
            </w:r>
            <w:r>
              <w:rPr>
                <w:color w:val="auto"/>
                <w:sz w:val="24"/>
                <w:szCs w:val="24"/>
              </w:rPr>
              <w:t>）</w:t>
            </w:r>
            <w:r>
              <w:rPr>
                <w:rFonts w:hint="eastAsia"/>
                <w:color w:val="auto"/>
                <w:sz w:val="24"/>
                <w:szCs w:val="24"/>
              </w:rPr>
              <w:t>，径流收集路段长度</w:t>
            </w:r>
            <w:r>
              <w:rPr>
                <w:color w:val="auto"/>
                <w:sz w:val="24"/>
                <w:szCs w:val="24"/>
              </w:rPr>
              <w:t>×路</w:t>
            </w:r>
            <w:r>
              <w:rPr>
                <w:rFonts w:hint="eastAsia"/>
                <w:color w:val="auto"/>
                <w:sz w:val="24"/>
                <w:szCs w:val="24"/>
              </w:rPr>
              <w:t>面宽度；</w:t>
            </w:r>
          </w:p>
          <w:p w14:paraId="726871E7">
            <w:pPr>
              <w:spacing w:line="300" w:lineRule="auto"/>
              <w:ind w:firstLine="1800" w:firstLineChars="750"/>
              <w:rPr>
                <w:color w:val="auto"/>
                <w:sz w:val="24"/>
                <w:szCs w:val="24"/>
              </w:rPr>
            </w:pPr>
            <w:r>
              <w:rPr>
                <w:color w:val="auto"/>
                <w:sz w:val="24"/>
                <w:szCs w:val="24"/>
              </w:rPr>
              <w:t>H——</w:t>
            </w:r>
            <w:r>
              <w:rPr>
                <w:color w:val="auto"/>
                <w:spacing w:val="1"/>
                <w:sz w:val="24"/>
                <w:szCs w:val="24"/>
              </w:rPr>
              <w:t>径流收集期间</w:t>
            </w:r>
            <w:r>
              <w:rPr>
                <w:color w:val="auto"/>
                <w:sz w:val="24"/>
                <w:szCs w:val="24"/>
              </w:rPr>
              <w:t>降雨量，</w:t>
            </w:r>
            <w:r>
              <w:rPr>
                <w:rFonts w:hint="eastAsia"/>
                <w:color w:val="auto"/>
                <w:sz w:val="24"/>
                <w:szCs w:val="24"/>
              </w:rPr>
              <w:t>按区域20年一遇1h最大暴雨强度下20min径流量计（mm）</w:t>
            </w:r>
            <w:r>
              <w:rPr>
                <w:color w:val="auto"/>
                <w:sz w:val="24"/>
                <w:szCs w:val="24"/>
              </w:rPr>
              <w:t>；根据气象资料，</w:t>
            </w:r>
            <w:r>
              <w:rPr>
                <w:rFonts w:hint="eastAsia"/>
                <w:color w:val="auto"/>
                <w:sz w:val="24"/>
                <w:szCs w:val="24"/>
              </w:rPr>
              <w:t>沿线</w:t>
            </w:r>
            <w:r>
              <w:rPr>
                <w:color w:val="auto"/>
                <w:sz w:val="24"/>
                <w:szCs w:val="24"/>
              </w:rPr>
              <w:t>1h最大</w:t>
            </w:r>
            <w:r>
              <w:rPr>
                <w:rFonts w:hint="eastAsia"/>
                <w:color w:val="auto"/>
                <w:sz w:val="24"/>
                <w:szCs w:val="24"/>
              </w:rPr>
              <w:t>暴雨强度</w:t>
            </w:r>
            <w:r>
              <w:rPr>
                <w:color w:val="auto"/>
                <w:sz w:val="24"/>
                <w:szCs w:val="24"/>
              </w:rPr>
              <w:t>为</w:t>
            </w:r>
            <w:r>
              <w:rPr>
                <w:rFonts w:hint="eastAsia"/>
                <w:color w:val="auto"/>
                <w:sz w:val="24"/>
                <w:szCs w:val="24"/>
                <w:lang w:val="en-US" w:eastAsia="zh-CN"/>
              </w:rPr>
              <w:t>35</w:t>
            </w:r>
            <w:r>
              <w:rPr>
                <w:color w:val="auto"/>
                <w:sz w:val="24"/>
                <w:szCs w:val="24"/>
              </w:rPr>
              <w:t>mm</w:t>
            </w:r>
          </w:p>
          <w:p w14:paraId="6AAD4CC1">
            <w:pPr>
              <w:spacing w:line="300" w:lineRule="auto"/>
              <w:ind w:firstLine="1800" w:firstLineChars="750"/>
              <w:rPr>
                <w:color w:val="auto"/>
                <w:sz w:val="24"/>
                <w:szCs w:val="24"/>
              </w:rPr>
            </w:pPr>
            <w:r>
              <w:rPr>
                <w:color w:val="auto"/>
                <w:sz w:val="24"/>
                <w:szCs w:val="24"/>
              </w:rPr>
              <w:t>φ——径流系数，取0.9。</w:t>
            </w:r>
          </w:p>
          <w:p w14:paraId="69FDC6FA">
            <w:pPr>
              <w:spacing w:line="300" w:lineRule="auto"/>
              <w:ind w:firstLine="480" w:firstLineChars="200"/>
              <w:rPr>
                <w:kern w:val="0"/>
                <w:sz w:val="24"/>
                <w:szCs w:val="20"/>
              </w:rPr>
            </w:pPr>
            <w:r>
              <w:rPr>
                <w:rFonts w:hint="eastAsia"/>
                <w:kern w:val="0"/>
                <w:sz w:val="24"/>
                <w:szCs w:val="20"/>
                <w:lang w:val="en-US" w:eastAsia="zh-CN"/>
              </w:rPr>
              <w:t>b</w:t>
            </w:r>
            <w:r>
              <w:rPr>
                <w:rFonts w:hint="eastAsia"/>
                <w:kern w:val="0"/>
                <w:sz w:val="24"/>
                <w:szCs w:val="20"/>
              </w:rPr>
              <w:t xml:space="preserve">. </w:t>
            </w:r>
            <w:r>
              <w:rPr>
                <w:rFonts w:hAnsi="宋体"/>
                <w:kern w:val="0"/>
                <w:sz w:val="24"/>
                <w:szCs w:val="20"/>
              </w:rPr>
              <w:t>事故应急池</w:t>
            </w:r>
            <w:r>
              <w:rPr>
                <w:rFonts w:hint="eastAsia" w:hAnsi="宋体"/>
                <w:kern w:val="0"/>
                <w:sz w:val="24"/>
                <w:szCs w:val="20"/>
                <w:lang w:val="en-US" w:eastAsia="zh-CN"/>
              </w:rPr>
              <w:t>布置</w:t>
            </w:r>
            <w:r>
              <w:rPr>
                <w:rFonts w:hAnsi="宋体"/>
                <w:kern w:val="0"/>
                <w:sz w:val="24"/>
                <w:szCs w:val="20"/>
              </w:rPr>
              <w:t>原则</w:t>
            </w:r>
          </w:p>
          <w:p w14:paraId="3801CD9E">
            <w:pPr>
              <w:spacing w:line="300" w:lineRule="auto"/>
              <w:ind w:firstLine="480" w:firstLineChars="200"/>
              <w:rPr>
                <w:rFonts w:hAnsi="宋体"/>
                <w:spacing w:val="2"/>
                <w:kern w:val="0"/>
                <w:sz w:val="24"/>
                <w:szCs w:val="20"/>
              </w:rPr>
            </w:pPr>
            <w:r>
              <w:rPr>
                <w:rFonts w:hint="eastAsia" w:hAnsi="宋体"/>
                <w:sz w:val="24"/>
                <w:lang w:val="en-US" w:eastAsia="zh-CN"/>
              </w:rPr>
              <w:t>事故应急</w:t>
            </w:r>
            <w:r>
              <w:rPr>
                <w:rFonts w:hint="eastAsia" w:hAnsi="宋体"/>
                <w:sz w:val="24"/>
              </w:rPr>
              <w:t>池布置于桥梁下方或路基两侧永久用地范围内</w:t>
            </w:r>
            <w:r>
              <w:rPr>
                <w:rFonts w:hint="eastAsia" w:hAnsi="宋体"/>
                <w:sz w:val="24"/>
                <w:lang w:eastAsia="zh-CN"/>
              </w:rPr>
              <w:t>。</w:t>
            </w:r>
            <w:r>
              <w:rPr>
                <w:rFonts w:hAnsi="宋体"/>
                <w:spacing w:val="2"/>
                <w:kern w:val="0"/>
                <w:sz w:val="24"/>
                <w:szCs w:val="20"/>
              </w:rPr>
              <w:t>一般来说，大桥桥头两端各设置</w:t>
            </w:r>
            <w:r>
              <w:rPr>
                <w:spacing w:val="2"/>
                <w:kern w:val="0"/>
                <w:sz w:val="24"/>
                <w:szCs w:val="20"/>
              </w:rPr>
              <w:t>2</w:t>
            </w:r>
            <w:r>
              <w:rPr>
                <w:rFonts w:hAnsi="宋体"/>
                <w:spacing w:val="2"/>
                <w:kern w:val="0"/>
                <w:sz w:val="24"/>
                <w:szCs w:val="20"/>
              </w:rPr>
              <w:t>个事故应急池</w:t>
            </w:r>
            <w:r>
              <w:rPr>
                <w:rFonts w:hint="eastAsia" w:hAnsi="宋体"/>
                <w:spacing w:val="2"/>
                <w:kern w:val="0"/>
                <w:sz w:val="24"/>
                <w:szCs w:val="20"/>
                <w:lang w:eastAsia="zh-CN"/>
              </w:rPr>
              <w:t>，</w:t>
            </w:r>
            <w:r>
              <w:rPr>
                <w:rFonts w:hAnsi="宋体"/>
                <w:spacing w:val="2"/>
                <w:kern w:val="0"/>
                <w:sz w:val="24"/>
                <w:szCs w:val="20"/>
              </w:rPr>
              <w:t>中</w:t>
            </w:r>
            <w:r>
              <w:rPr>
                <w:rFonts w:hint="eastAsia" w:hAnsi="宋体"/>
                <w:spacing w:val="2"/>
                <w:kern w:val="0"/>
                <w:sz w:val="24"/>
                <w:szCs w:val="20"/>
                <w:lang w:eastAsia="zh-CN"/>
              </w:rPr>
              <w:t>、</w:t>
            </w:r>
            <w:r>
              <w:rPr>
                <w:rFonts w:hint="eastAsia" w:hAnsi="宋体"/>
                <w:spacing w:val="2"/>
                <w:kern w:val="0"/>
                <w:sz w:val="24"/>
                <w:szCs w:val="20"/>
                <w:lang w:val="en-US" w:eastAsia="zh-CN"/>
              </w:rPr>
              <w:t>小</w:t>
            </w:r>
            <w:r>
              <w:rPr>
                <w:rFonts w:hAnsi="宋体"/>
                <w:spacing w:val="2"/>
                <w:kern w:val="0"/>
                <w:sz w:val="24"/>
                <w:szCs w:val="20"/>
              </w:rPr>
              <w:t>桥两端各设置</w:t>
            </w:r>
            <w:r>
              <w:rPr>
                <w:spacing w:val="2"/>
                <w:kern w:val="0"/>
                <w:sz w:val="24"/>
                <w:szCs w:val="20"/>
              </w:rPr>
              <w:t>1</w:t>
            </w:r>
            <w:r>
              <w:rPr>
                <w:rFonts w:hAnsi="宋体"/>
                <w:spacing w:val="2"/>
                <w:kern w:val="0"/>
                <w:sz w:val="24"/>
                <w:szCs w:val="20"/>
              </w:rPr>
              <w:t>个事故应急池，</w:t>
            </w:r>
            <w:r>
              <w:rPr>
                <w:rFonts w:hint="eastAsia" w:hAnsi="宋体"/>
                <w:spacing w:val="2"/>
                <w:kern w:val="0"/>
                <w:sz w:val="24"/>
                <w:szCs w:val="20"/>
              </w:rPr>
              <w:t>路基段在排水末端设置，</w:t>
            </w:r>
            <w:r>
              <w:rPr>
                <w:rFonts w:hAnsi="宋体"/>
                <w:spacing w:val="2"/>
                <w:kern w:val="0"/>
                <w:sz w:val="24"/>
                <w:szCs w:val="20"/>
              </w:rPr>
              <w:t>实际应急池个数可根据排水情况调整</w:t>
            </w:r>
            <w:r>
              <w:rPr>
                <w:rFonts w:hint="eastAsia" w:hAnsi="宋体"/>
                <w:sz w:val="24"/>
              </w:rPr>
              <w:t>。</w:t>
            </w:r>
          </w:p>
          <w:p w14:paraId="4B8A048A">
            <w:pPr>
              <w:spacing w:line="300" w:lineRule="auto"/>
              <w:ind w:firstLine="480" w:firstLineChars="200"/>
              <w:jc w:val="left"/>
              <w:rPr>
                <w:sz w:val="24"/>
                <w:szCs w:val="20"/>
              </w:rPr>
            </w:pPr>
            <w:r>
              <w:rPr>
                <w:rFonts w:hint="eastAsia"/>
                <w:sz w:val="24"/>
                <w:szCs w:val="20"/>
                <w:lang w:val="en-US" w:eastAsia="zh-CN"/>
              </w:rPr>
              <w:t>c</w:t>
            </w:r>
            <w:r>
              <w:rPr>
                <w:rFonts w:hint="eastAsia"/>
                <w:sz w:val="24"/>
                <w:szCs w:val="20"/>
              </w:rPr>
              <w:t xml:space="preserve">. </w:t>
            </w:r>
            <w:r>
              <w:rPr>
                <w:rFonts w:hAnsi="宋体"/>
                <w:sz w:val="24"/>
                <w:szCs w:val="20"/>
              </w:rPr>
              <w:t>事故应急池环保及安全要求</w:t>
            </w:r>
          </w:p>
          <w:p w14:paraId="37E37239">
            <w:pPr>
              <w:spacing w:line="300" w:lineRule="auto"/>
              <w:ind w:firstLine="480" w:firstLineChars="200"/>
              <w:rPr>
                <w:sz w:val="24"/>
              </w:rPr>
            </w:pPr>
            <w:r>
              <w:rPr>
                <w:rFonts w:hint="eastAsia" w:hAnsi="宋体"/>
                <w:sz w:val="24"/>
                <w:lang w:val="en-US" w:eastAsia="zh-CN"/>
              </w:rPr>
              <w:t>应急池</w:t>
            </w:r>
            <w:r>
              <w:rPr>
                <w:rFonts w:hint="eastAsia" w:hAnsi="宋体"/>
                <w:sz w:val="24"/>
              </w:rPr>
              <w:t>均应做防渗处理，兼具沉淀、储存事故废水作用</w:t>
            </w:r>
            <w:r>
              <w:rPr>
                <w:rFonts w:hint="eastAsia" w:hAnsi="宋体"/>
                <w:sz w:val="24"/>
                <w:lang w:eastAsia="zh-CN"/>
              </w:rPr>
              <w:t>，</w:t>
            </w:r>
            <w:r>
              <w:rPr>
                <w:rFonts w:hAnsi="宋体"/>
                <w:sz w:val="24"/>
              </w:rPr>
              <w:t>四周应采用铁丝网进行防护，并进行安全标识。</w:t>
            </w:r>
            <w:r>
              <w:rPr>
                <w:rFonts w:hint="eastAsia" w:hAnsi="宋体"/>
                <w:sz w:val="24"/>
              </w:rPr>
              <w:t>常规情况下，路面雨水仅含少量泥沙、微量石油类，经</w:t>
            </w:r>
            <w:r>
              <w:rPr>
                <w:rFonts w:hint="eastAsia" w:hAnsi="宋体"/>
                <w:sz w:val="24"/>
                <w:lang w:val="en-US" w:eastAsia="zh-CN"/>
              </w:rPr>
              <w:t>应急</w:t>
            </w:r>
            <w:r>
              <w:rPr>
                <w:rFonts w:hint="eastAsia" w:hAnsi="宋体"/>
                <w:sz w:val="24"/>
              </w:rPr>
              <w:t>池沉淀除油、截留悬浮物后出水污染负荷低，尾水可回用公路绿化、道路养护，或经排水沟排入周边沟渠；危险化学品泄漏事故产生的污染废水收集贮存后，须及时委托具备相应资质单位清运处置。运行期间，加强路（桥）面径流系统的管理养护，</w:t>
            </w:r>
            <w:r>
              <w:rPr>
                <w:rFonts w:hint="eastAsia" w:hAnsi="宋体"/>
                <w:sz w:val="24"/>
                <w:lang w:val="en-US" w:eastAsia="zh-CN"/>
              </w:rPr>
              <w:t>应急</w:t>
            </w:r>
            <w:r>
              <w:rPr>
                <w:rFonts w:hint="eastAsia" w:hAnsi="宋体"/>
                <w:sz w:val="24"/>
              </w:rPr>
              <w:t>池保持空池状态，确保事故情形下有足够的容积容纳事故废水，杜绝事故废水</w:t>
            </w:r>
            <w:r>
              <w:rPr>
                <w:rFonts w:hint="eastAsia" w:hAnsi="宋体"/>
                <w:sz w:val="24"/>
                <w:lang w:val="en-US" w:eastAsia="zh-CN"/>
              </w:rPr>
              <w:t>直接向周边</w:t>
            </w:r>
            <w:r>
              <w:rPr>
                <w:rFonts w:hint="eastAsia" w:hAnsi="宋体"/>
                <w:sz w:val="24"/>
              </w:rPr>
              <w:t>溢流</w:t>
            </w:r>
            <w:r>
              <w:rPr>
                <w:rFonts w:hAnsi="宋体"/>
                <w:sz w:val="24"/>
              </w:rPr>
              <w:t>。</w:t>
            </w:r>
          </w:p>
          <w:p w14:paraId="2A072B83">
            <w:pPr>
              <w:spacing w:line="300" w:lineRule="auto"/>
              <w:ind w:firstLine="480" w:firstLineChars="200"/>
              <w:rPr>
                <w:kern w:val="0"/>
                <w:sz w:val="24"/>
                <w:szCs w:val="20"/>
              </w:rPr>
            </w:pPr>
            <w:bookmarkStart w:id="35" w:name="_Toc480988747"/>
            <w:r>
              <w:rPr>
                <w:rFonts w:hint="eastAsia" w:ascii="宋体" w:hAnsi="宋体"/>
                <w:kern w:val="0"/>
                <w:sz w:val="24"/>
                <w:szCs w:val="20"/>
              </w:rPr>
              <w:t>⑤</w:t>
            </w:r>
            <w:r>
              <w:rPr>
                <w:rFonts w:hint="eastAsia"/>
                <w:kern w:val="0"/>
                <w:sz w:val="24"/>
                <w:szCs w:val="20"/>
              </w:rPr>
              <w:t xml:space="preserve"> </w:t>
            </w:r>
            <w:r>
              <w:rPr>
                <w:rFonts w:hAnsi="宋体"/>
                <w:kern w:val="0"/>
                <w:sz w:val="24"/>
                <w:szCs w:val="20"/>
              </w:rPr>
              <w:t>应急器材配备</w:t>
            </w:r>
            <w:bookmarkEnd w:id="35"/>
          </w:p>
          <w:p w14:paraId="361DB145">
            <w:pPr>
              <w:spacing w:after="120" w:afterLines="50" w:line="300" w:lineRule="auto"/>
              <w:ind w:firstLine="480" w:firstLineChars="200"/>
              <w:rPr>
                <w:rFonts w:hAnsi="宋体"/>
                <w:kern w:val="0"/>
                <w:sz w:val="24"/>
                <w:szCs w:val="20"/>
              </w:rPr>
            </w:pPr>
            <w:r>
              <w:rPr>
                <w:rFonts w:hAnsi="宋体"/>
                <w:kern w:val="0"/>
                <w:sz w:val="24"/>
                <w:szCs w:val="20"/>
              </w:rPr>
              <w:t>在</w:t>
            </w:r>
            <w:r>
              <w:rPr>
                <w:rFonts w:hint="eastAsia" w:hAnsi="宋体"/>
                <w:kern w:val="0"/>
                <w:sz w:val="24"/>
                <w:szCs w:val="20"/>
              </w:rPr>
              <w:t>养护工区</w:t>
            </w:r>
            <w:r>
              <w:rPr>
                <w:rFonts w:hAnsi="宋体"/>
                <w:kern w:val="0"/>
                <w:sz w:val="24"/>
                <w:szCs w:val="20"/>
              </w:rPr>
              <w:t>设置应急器材库，储备足够的危险化学品事故应急物资、设备及药剂，主要包括抽水设备，清扫设备，牵引设备，油类、化学物质吸附剂，中和剂等。一旦发生危险品泄漏事故，可以在最短的时间内运至事故地点，并根据事故风险应急处置应立即响应应急措施，对事故车辆进行处理，对路面采取封闭、隔离、有害物质吸附清洗，减少有害物质渗入地下或扩散入大气、水体。应急抢险设备、物资如下表</w:t>
            </w:r>
            <w:r>
              <w:rPr>
                <w:kern w:val="0"/>
                <w:sz w:val="24"/>
                <w:szCs w:val="20"/>
              </w:rPr>
              <w:t>5-</w:t>
            </w:r>
            <w:r>
              <w:rPr>
                <w:rFonts w:hint="eastAsia"/>
                <w:kern w:val="0"/>
                <w:sz w:val="24"/>
                <w:szCs w:val="20"/>
                <w:lang w:val="en-US" w:eastAsia="zh-CN"/>
              </w:rPr>
              <w:t>6</w:t>
            </w:r>
            <w:r>
              <w:rPr>
                <w:rFonts w:hAnsi="宋体"/>
                <w:kern w:val="0"/>
                <w:sz w:val="24"/>
                <w:szCs w:val="20"/>
              </w:rPr>
              <w:t>。</w:t>
            </w:r>
          </w:p>
          <w:p w14:paraId="67E383BB">
            <w:pPr>
              <w:keepNext w:val="0"/>
              <w:keepLines w:val="0"/>
              <w:pageBreakBefore w:val="0"/>
              <w:widowControl w:val="0"/>
              <w:kinsoku/>
              <w:wordWrap/>
              <w:overflowPunct/>
              <w:topLinePunct w:val="0"/>
              <w:autoSpaceDE/>
              <w:autoSpaceDN/>
              <w:bidi w:val="0"/>
              <w:adjustRightInd/>
              <w:snapToGrid/>
              <w:jc w:val="center"/>
              <w:textAlignment w:val="auto"/>
              <w:rPr>
                <w:b/>
                <w:bCs/>
                <w:szCs w:val="21"/>
              </w:rPr>
            </w:pPr>
            <w:r>
              <w:rPr>
                <w:b/>
                <w:bCs/>
                <w:szCs w:val="21"/>
              </w:rPr>
              <w:t>表5-</w:t>
            </w:r>
            <w:r>
              <w:rPr>
                <w:rFonts w:hint="eastAsia"/>
                <w:b/>
                <w:bCs/>
                <w:szCs w:val="21"/>
                <w:lang w:val="en-US" w:eastAsia="zh-CN"/>
              </w:rPr>
              <w:t>6</w:t>
            </w:r>
            <w:r>
              <w:rPr>
                <w:b/>
                <w:bCs/>
                <w:szCs w:val="21"/>
              </w:rPr>
              <w:t xml:space="preserve">  应急物资与设备种类</w:t>
            </w:r>
          </w:p>
          <w:tbl>
            <w:tblPr>
              <w:tblStyle w:val="22"/>
              <w:tblW w:w="8235"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913"/>
              <w:gridCol w:w="6322"/>
            </w:tblGrid>
            <w:tr w14:paraId="00579B5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4" w:hRule="atLeast"/>
                <w:jc w:val="center"/>
              </w:trPr>
              <w:tc>
                <w:tcPr>
                  <w:tcW w:w="1913" w:type="dxa"/>
                  <w:vAlign w:val="center"/>
                </w:tcPr>
                <w:p w14:paraId="00C6923D">
                  <w:pPr>
                    <w:snapToGrid w:val="0"/>
                    <w:spacing w:line="260" w:lineRule="exact"/>
                    <w:jc w:val="center"/>
                    <w:rPr>
                      <w:b/>
                      <w:szCs w:val="21"/>
                    </w:rPr>
                  </w:pPr>
                  <w:r>
                    <w:rPr>
                      <w:b/>
                      <w:szCs w:val="21"/>
                    </w:rPr>
                    <w:t>类别</w:t>
                  </w:r>
                </w:p>
              </w:tc>
              <w:tc>
                <w:tcPr>
                  <w:tcW w:w="6322" w:type="dxa"/>
                  <w:vAlign w:val="center"/>
                </w:tcPr>
                <w:p w14:paraId="1AE3F856">
                  <w:pPr>
                    <w:snapToGrid w:val="0"/>
                    <w:spacing w:line="260" w:lineRule="exact"/>
                    <w:jc w:val="center"/>
                    <w:rPr>
                      <w:b/>
                      <w:szCs w:val="21"/>
                    </w:rPr>
                  </w:pPr>
                  <w:r>
                    <w:rPr>
                      <w:b/>
                      <w:szCs w:val="21"/>
                    </w:rPr>
                    <w:t>名称</w:t>
                  </w:r>
                </w:p>
              </w:tc>
            </w:tr>
            <w:tr w14:paraId="2EEB7DB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9" w:hRule="atLeast"/>
                <w:jc w:val="center"/>
              </w:trPr>
              <w:tc>
                <w:tcPr>
                  <w:tcW w:w="1913" w:type="dxa"/>
                  <w:vAlign w:val="center"/>
                </w:tcPr>
                <w:p w14:paraId="45D7F469">
                  <w:pPr>
                    <w:snapToGrid w:val="0"/>
                    <w:spacing w:line="260" w:lineRule="exact"/>
                    <w:jc w:val="center"/>
                    <w:rPr>
                      <w:szCs w:val="21"/>
                    </w:rPr>
                  </w:pPr>
                  <w:r>
                    <w:rPr>
                      <w:szCs w:val="21"/>
                    </w:rPr>
                    <w:t>抢通物资</w:t>
                  </w:r>
                </w:p>
              </w:tc>
              <w:tc>
                <w:tcPr>
                  <w:tcW w:w="6322" w:type="dxa"/>
                  <w:vAlign w:val="center"/>
                </w:tcPr>
                <w:p w14:paraId="0DF6B6EC">
                  <w:pPr>
                    <w:snapToGrid w:val="0"/>
                    <w:spacing w:line="260" w:lineRule="exact"/>
                    <w:rPr>
                      <w:szCs w:val="21"/>
                    </w:rPr>
                  </w:pPr>
                  <w:r>
                    <w:rPr>
                      <w:szCs w:val="21"/>
                    </w:rPr>
                    <w:t>碎石、砂石、水泥、钢桥、钢板、木材等。</w:t>
                  </w:r>
                </w:p>
              </w:tc>
            </w:tr>
            <w:tr w14:paraId="599AB41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9" w:hRule="atLeast"/>
                <w:jc w:val="center"/>
              </w:trPr>
              <w:tc>
                <w:tcPr>
                  <w:tcW w:w="1913" w:type="dxa"/>
                  <w:vAlign w:val="center"/>
                </w:tcPr>
                <w:p w14:paraId="342A003D">
                  <w:pPr>
                    <w:snapToGrid w:val="0"/>
                    <w:spacing w:line="260" w:lineRule="exact"/>
                    <w:jc w:val="center"/>
                    <w:rPr>
                      <w:szCs w:val="21"/>
                    </w:rPr>
                  </w:pPr>
                  <w:r>
                    <w:rPr>
                      <w:szCs w:val="21"/>
                    </w:rPr>
                    <w:t>抢通设备</w:t>
                  </w:r>
                </w:p>
              </w:tc>
              <w:tc>
                <w:tcPr>
                  <w:tcW w:w="6322" w:type="dxa"/>
                  <w:vAlign w:val="center"/>
                </w:tcPr>
                <w:p w14:paraId="7B034655">
                  <w:pPr>
                    <w:snapToGrid w:val="0"/>
                    <w:spacing w:line="260" w:lineRule="exact"/>
                    <w:rPr>
                      <w:szCs w:val="21"/>
                    </w:rPr>
                  </w:pPr>
                  <w:r>
                    <w:rPr>
                      <w:szCs w:val="21"/>
                    </w:rPr>
                    <w:t>挖掘机、装载机、平地机、铁锹、镐头、大锤等。</w:t>
                  </w:r>
                </w:p>
              </w:tc>
            </w:tr>
            <w:tr w14:paraId="565419B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9" w:hRule="atLeast"/>
                <w:jc w:val="center"/>
              </w:trPr>
              <w:tc>
                <w:tcPr>
                  <w:tcW w:w="1913" w:type="dxa"/>
                  <w:vAlign w:val="center"/>
                </w:tcPr>
                <w:p w14:paraId="002FB173">
                  <w:pPr>
                    <w:snapToGrid w:val="0"/>
                    <w:spacing w:line="260" w:lineRule="exact"/>
                    <w:jc w:val="center"/>
                    <w:rPr>
                      <w:szCs w:val="21"/>
                    </w:rPr>
                  </w:pPr>
                  <w:r>
                    <w:rPr>
                      <w:szCs w:val="21"/>
                    </w:rPr>
                    <w:t>救援物资</w:t>
                  </w:r>
                </w:p>
              </w:tc>
              <w:tc>
                <w:tcPr>
                  <w:tcW w:w="6322" w:type="dxa"/>
                  <w:vAlign w:val="center"/>
                </w:tcPr>
                <w:p w14:paraId="5F1C03C7">
                  <w:pPr>
                    <w:snapToGrid w:val="0"/>
                    <w:spacing w:line="260" w:lineRule="exact"/>
                    <w:rPr>
                      <w:szCs w:val="21"/>
                    </w:rPr>
                  </w:pPr>
                  <w:r>
                    <w:rPr>
                      <w:szCs w:val="21"/>
                    </w:rPr>
                    <w:t>方便食品、饮水、防护衣物及装备、医药、照明、燃料、安全标志，油类/化学物质吸附剂、中和制剂等。</w:t>
                  </w:r>
                </w:p>
              </w:tc>
            </w:tr>
            <w:tr w14:paraId="74866EA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9" w:hRule="atLeast"/>
                <w:jc w:val="center"/>
              </w:trPr>
              <w:tc>
                <w:tcPr>
                  <w:tcW w:w="1913" w:type="dxa"/>
                  <w:vAlign w:val="center"/>
                </w:tcPr>
                <w:p w14:paraId="55E78F26">
                  <w:pPr>
                    <w:snapToGrid w:val="0"/>
                    <w:spacing w:line="260" w:lineRule="exact"/>
                    <w:jc w:val="center"/>
                    <w:rPr>
                      <w:szCs w:val="21"/>
                    </w:rPr>
                  </w:pPr>
                  <w:r>
                    <w:rPr>
                      <w:szCs w:val="21"/>
                    </w:rPr>
                    <w:t>救援设备</w:t>
                  </w:r>
                </w:p>
              </w:tc>
              <w:tc>
                <w:tcPr>
                  <w:tcW w:w="6322" w:type="dxa"/>
                  <w:vAlign w:val="center"/>
                </w:tcPr>
                <w:p w14:paraId="6B522FDD">
                  <w:pPr>
                    <w:snapToGrid w:val="0"/>
                    <w:spacing w:line="260" w:lineRule="exact"/>
                    <w:rPr>
                      <w:szCs w:val="21"/>
                    </w:rPr>
                  </w:pPr>
                  <w:r>
                    <w:rPr>
                      <w:szCs w:val="21"/>
                    </w:rPr>
                    <w:t>运输车辆、清障救援拖车、汽车起重机、易燃易爆气（液）体泄漏自动检测系统等。</w:t>
                  </w:r>
                </w:p>
              </w:tc>
            </w:tr>
            <w:tr w14:paraId="07CAA96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9" w:hRule="atLeast"/>
                <w:jc w:val="center"/>
              </w:trPr>
              <w:tc>
                <w:tcPr>
                  <w:tcW w:w="1913" w:type="dxa"/>
                  <w:vAlign w:val="center"/>
                </w:tcPr>
                <w:p w14:paraId="77611E34">
                  <w:pPr>
                    <w:snapToGrid w:val="0"/>
                    <w:spacing w:line="260" w:lineRule="exact"/>
                    <w:jc w:val="center"/>
                    <w:rPr>
                      <w:szCs w:val="21"/>
                    </w:rPr>
                  </w:pPr>
                  <w:r>
                    <w:rPr>
                      <w:szCs w:val="21"/>
                    </w:rPr>
                    <w:t>消防设备</w:t>
                  </w:r>
                </w:p>
              </w:tc>
              <w:tc>
                <w:tcPr>
                  <w:tcW w:w="6322" w:type="dxa"/>
                  <w:vAlign w:val="center"/>
                </w:tcPr>
                <w:p w14:paraId="79E902DE">
                  <w:pPr>
                    <w:snapToGrid w:val="0"/>
                    <w:spacing w:line="260" w:lineRule="exact"/>
                    <w:rPr>
                      <w:szCs w:val="21"/>
                    </w:rPr>
                  </w:pPr>
                  <w:r>
                    <w:rPr>
                      <w:szCs w:val="21"/>
                    </w:rPr>
                    <w:t>灭火器。</w:t>
                  </w:r>
                </w:p>
              </w:tc>
            </w:tr>
          </w:tbl>
          <w:p w14:paraId="0248498A">
            <w:pPr>
              <w:pStyle w:val="4"/>
              <w:adjustRightInd w:val="0"/>
              <w:spacing w:before="240" w:beforeLines="100" w:after="0" w:line="300" w:lineRule="auto"/>
              <w:ind w:firstLine="482" w:firstLineChars="200"/>
              <w:textAlignment w:val="baseline"/>
              <w:rPr>
                <w:bCs w:val="0"/>
                <w:kern w:val="0"/>
                <w:sz w:val="24"/>
              </w:rPr>
            </w:pPr>
            <w:r>
              <w:rPr>
                <w:rFonts w:hint="eastAsia"/>
                <w:bCs w:val="0"/>
                <w:kern w:val="0"/>
                <w:sz w:val="24"/>
              </w:rPr>
              <w:t xml:space="preserve">(2) </w:t>
            </w:r>
            <w:r>
              <w:rPr>
                <w:rFonts w:hAnsi="宋体"/>
                <w:bCs w:val="0"/>
                <w:kern w:val="0"/>
                <w:sz w:val="24"/>
              </w:rPr>
              <w:t>预防管理措施</w:t>
            </w:r>
            <w:bookmarkEnd w:id="32"/>
            <w:bookmarkEnd w:id="33"/>
            <w:bookmarkEnd w:id="34"/>
          </w:p>
          <w:p w14:paraId="3FB3B32A">
            <w:pPr>
              <w:pStyle w:val="58"/>
              <w:ind w:firstLine="480"/>
            </w:pPr>
            <w:r>
              <w:rPr>
                <w:rFonts w:hint="eastAsia" w:ascii="宋体" w:hAnsi="宋体"/>
              </w:rPr>
              <w:t>①</w:t>
            </w:r>
            <w:r>
              <w:t xml:space="preserve"> </w:t>
            </w:r>
            <w:r>
              <w:rPr>
                <w:rFonts w:hAnsi="宋体"/>
              </w:rPr>
              <w:t>加强对从事危险货物运输业主、驾驶员及押运员的安全教育和运输车辆的安全检查，使从业人员具有高度责任感，使车辆处于完好的技术状态。</w:t>
            </w:r>
          </w:p>
          <w:p w14:paraId="0094D5AE">
            <w:pPr>
              <w:pStyle w:val="58"/>
              <w:ind w:firstLine="480"/>
              <w:rPr>
                <w:rFonts w:hint="eastAsia" w:hAnsi="宋体"/>
              </w:rPr>
            </w:pPr>
            <w:r>
              <w:rPr>
                <w:rFonts w:hint="eastAsia" w:ascii="宋体" w:hAnsi="宋体"/>
              </w:rPr>
              <w:t>②</w:t>
            </w:r>
            <w:r>
              <w:t xml:space="preserve"> </w:t>
            </w:r>
            <w:r>
              <w:rPr>
                <w:rFonts w:hAnsi="宋体"/>
              </w:rPr>
              <w:t>危险品运输车辆在进入公路前，应向当地公路运输管理部门领取申报表，接受公安或交通管理部门的抽查，并提交申报表。申报表主要报告项目有危险货物运输执照号码、货物品种、等级和编号、收发货人姓名、装卸地点、货物特性等。</w:t>
            </w:r>
          </w:p>
          <w:p w14:paraId="128D17DA">
            <w:pPr>
              <w:pStyle w:val="58"/>
              <w:adjustRightInd w:val="0"/>
              <w:ind w:firstLine="480"/>
              <w:rPr>
                <w:rFonts w:hint="eastAsia" w:hAnsi="宋体"/>
                <w:szCs w:val="24"/>
              </w:rPr>
            </w:pPr>
            <w:r>
              <w:rPr>
                <w:rFonts w:hint="eastAsia" w:ascii="宋体" w:hAnsi="宋体"/>
                <w:szCs w:val="24"/>
              </w:rPr>
              <w:t>③</w:t>
            </w:r>
            <w:r>
              <w:rPr>
                <w:rFonts w:hint="eastAsia"/>
                <w:szCs w:val="24"/>
              </w:rPr>
              <w:t xml:space="preserve"> </w:t>
            </w:r>
            <w:r>
              <w:rPr>
                <w:szCs w:val="24"/>
              </w:rPr>
              <w:t>密切关注气象预报，在暴雨、洪水等气象灾害来临前，做好施工现场的防范工作。例如，加固施工围堰、疏通临时排水设施，对施工设备和材料进行妥善安置，必要时将其转移</w:t>
            </w:r>
            <w:r>
              <w:rPr>
                <w:rFonts w:hint="eastAsia"/>
                <w:szCs w:val="24"/>
                <w:lang w:eastAsia="zh-CN"/>
              </w:rPr>
              <w:t>至</w:t>
            </w:r>
            <w:r>
              <w:rPr>
                <w:szCs w:val="24"/>
              </w:rPr>
              <w:t>安全地带。</w:t>
            </w:r>
          </w:p>
          <w:p w14:paraId="05142016">
            <w:pPr>
              <w:adjustRightInd w:val="0"/>
              <w:spacing w:line="300" w:lineRule="auto"/>
              <w:ind w:firstLine="482" w:firstLineChars="200"/>
              <w:outlineLvl w:val="0"/>
              <w:rPr>
                <w:b/>
                <w:sz w:val="24"/>
              </w:rPr>
            </w:pPr>
            <w:r>
              <w:rPr>
                <w:rFonts w:hint="eastAsia"/>
                <w:b/>
                <w:sz w:val="24"/>
              </w:rPr>
              <w:t>(3)</w:t>
            </w:r>
            <w:r>
              <w:rPr>
                <w:b/>
                <w:sz w:val="24"/>
              </w:rPr>
              <w:t xml:space="preserve"> 风险事故应急预案 </w:t>
            </w:r>
          </w:p>
          <w:p w14:paraId="3CB9D6B7">
            <w:pPr>
              <w:keepNext w:val="0"/>
              <w:keepLines w:val="0"/>
              <w:pageBreakBefore w:val="0"/>
              <w:widowControl w:val="0"/>
              <w:kinsoku/>
              <w:wordWrap/>
              <w:overflowPunct/>
              <w:topLinePunct w:val="0"/>
              <w:autoSpaceDE w:val="0"/>
              <w:autoSpaceDN w:val="0"/>
              <w:bidi w:val="0"/>
              <w:adjustRightInd w:val="0"/>
              <w:snapToGrid/>
              <w:spacing w:line="300" w:lineRule="auto"/>
              <w:ind w:firstLine="480" w:firstLineChars="200"/>
              <w:textAlignment w:val="auto"/>
              <w:rPr>
                <w:sz w:val="24"/>
              </w:rPr>
            </w:pPr>
            <w:r>
              <w:rPr>
                <w:rFonts w:hint="eastAsia"/>
                <w:sz w:val="24"/>
                <w:lang w:val="en-US" w:eastAsia="zh-CN"/>
              </w:rPr>
              <w:t>拟建公路</w:t>
            </w:r>
            <w:r>
              <w:rPr>
                <w:sz w:val="24"/>
              </w:rPr>
              <w:t>可以参照</w:t>
            </w:r>
            <w:r>
              <w:rPr>
                <w:rFonts w:hint="eastAsia"/>
                <w:sz w:val="24"/>
              </w:rPr>
              <w:t>新疆</w:t>
            </w:r>
            <w:r>
              <w:rPr>
                <w:sz w:val="24"/>
              </w:rPr>
              <w:t>已建公路执行的危险品事故应急预案，同时建议在原有危险品安全运输管理体系的基础上，联合相关部门，建立更加完善通畅的信息网络，将</w:t>
            </w:r>
            <w:r>
              <w:rPr>
                <w:rFonts w:hint="eastAsia"/>
                <w:sz w:val="24"/>
              </w:rPr>
              <w:t>州（地区）</w:t>
            </w:r>
            <w:r>
              <w:rPr>
                <w:sz w:val="24"/>
              </w:rPr>
              <w:t>、</w:t>
            </w:r>
            <w:r>
              <w:rPr>
                <w:rFonts w:hint="eastAsia"/>
                <w:sz w:val="24"/>
              </w:rPr>
              <w:t>市（</w:t>
            </w:r>
            <w:r>
              <w:rPr>
                <w:sz w:val="24"/>
              </w:rPr>
              <w:t>县</w:t>
            </w:r>
            <w:r>
              <w:rPr>
                <w:rFonts w:hint="eastAsia"/>
                <w:sz w:val="24"/>
              </w:rPr>
              <w:t>）</w:t>
            </w:r>
            <w:r>
              <w:rPr>
                <w:sz w:val="24"/>
              </w:rPr>
              <w:t>、乡</w:t>
            </w:r>
            <w:r>
              <w:rPr>
                <w:rFonts w:hint="eastAsia"/>
                <w:sz w:val="24"/>
                <w:lang w:eastAsia="zh-CN"/>
              </w:rPr>
              <w:t>（</w:t>
            </w:r>
            <w:r>
              <w:rPr>
                <w:sz w:val="24"/>
              </w:rPr>
              <w:t>镇</w:t>
            </w:r>
            <w:r>
              <w:rPr>
                <w:rFonts w:hint="eastAsia"/>
                <w:sz w:val="24"/>
                <w:lang w:eastAsia="zh-CN"/>
              </w:rPr>
              <w:t>）</w:t>
            </w:r>
            <w:r>
              <w:rPr>
                <w:sz w:val="24"/>
              </w:rPr>
              <w:t>的事故应急预案、企业危险品事故应急预案和公路事故应急预案相衔接，完善地区公路事故应急预案和监测体系，在危险品突发事故发生后及时扑救，减小或避免危险品事故发生时对周围环境和居民造成的不利影响。建议在已有的公路监控通信系统的基础上，增加环境保护的指挥功能。</w:t>
            </w:r>
          </w:p>
          <w:p w14:paraId="5B67A512">
            <w:pPr>
              <w:pStyle w:val="58"/>
              <w:keepNext w:val="0"/>
              <w:keepLines w:val="0"/>
              <w:pageBreakBefore w:val="0"/>
              <w:widowControl w:val="0"/>
              <w:kinsoku/>
              <w:wordWrap/>
              <w:overflowPunct/>
              <w:topLinePunct w:val="0"/>
              <w:autoSpaceDE/>
              <w:autoSpaceDN/>
              <w:bidi w:val="0"/>
              <w:adjustRightInd w:val="0"/>
              <w:snapToGrid/>
              <w:spacing w:line="300" w:lineRule="auto"/>
              <w:ind w:firstLine="480"/>
              <w:textAlignment w:val="auto"/>
              <w:rPr>
                <w:szCs w:val="24"/>
              </w:rPr>
            </w:pPr>
            <w:r>
              <w:rPr>
                <w:rFonts w:hint="eastAsia"/>
                <w:szCs w:val="24"/>
                <w:lang w:val="en-US" w:eastAsia="zh-CN"/>
              </w:rPr>
              <w:t>拟建公路</w:t>
            </w:r>
            <w:r>
              <w:rPr>
                <w:szCs w:val="24"/>
              </w:rPr>
              <w:t>应急预案包括组织机构、工作职责和制度、应急工作规程和处置原则等。组织机构由沿线</w:t>
            </w:r>
            <w:r>
              <w:rPr>
                <w:rFonts w:hint="eastAsia"/>
                <w:szCs w:val="24"/>
              </w:rPr>
              <w:t>克州</w:t>
            </w:r>
            <w:r>
              <w:rPr>
                <w:szCs w:val="24"/>
              </w:rPr>
              <w:t>和</w:t>
            </w:r>
            <w:r>
              <w:rPr>
                <w:rFonts w:hint="eastAsia"/>
                <w:szCs w:val="24"/>
              </w:rPr>
              <w:t>喀什地区</w:t>
            </w:r>
            <w:r>
              <w:rPr>
                <w:szCs w:val="24"/>
              </w:rPr>
              <w:t>及下辖</w:t>
            </w:r>
            <w:r>
              <w:rPr>
                <w:rFonts w:hint="eastAsia"/>
                <w:szCs w:val="24"/>
              </w:rPr>
              <w:t>市（</w:t>
            </w:r>
            <w:r>
              <w:rPr>
                <w:szCs w:val="24"/>
              </w:rPr>
              <w:t>县</w:t>
            </w:r>
            <w:r>
              <w:rPr>
                <w:rFonts w:hint="eastAsia"/>
                <w:szCs w:val="24"/>
              </w:rPr>
              <w:t>）</w:t>
            </w:r>
            <w:r>
              <w:rPr>
                <w:szCs w:val="24"/>
              </w:rPr>
              <w:t>交通运输局、公安局和生态环境局分管领导分别联合成立道路化学危险品运输事故协调小组，负责组织协调道路危险品运输事故的抢救和处理工作。工作职责主要有研究制订</w:t>
            </w:r>
            <w:r>
              <w:rPr>
                <w:rFonts w:hint="eastAsia"/>
                <w:szCs w:val="24"/>
              </w:rPr>
              <w:t>本项目</w:t>
            </w:r>
            <w:r>
              <w:rPr>
                <w:szCs w:val="24"/>
              </w:rPr>
              <w:t>道路化学危险品运输安全措施和政策，建立辖区内化学危险品运输业户和车辆、人员档案，定期开展对道路化学危险品运输业户的安全检查，并定期召开协调领导小组成员会议，通报道路化学品运输事故情况，定期组织道路化学品运输业户负责人、驾驶员、押运员、装卸人员进行业务培训和开展</w:t>
            </w:r>
            <w:r>
              <w:rPr>
                <w:rFonts w:hint="eastAsia"/>
                <w:szCs w:val="24"/>
                <w:lang w:eastAsia="zh-CN"/>
              </w:rPr>
              <w:t>应急预案演练</w:t>
            </w:r>
            <w:r>
              <w:rPr>
                <w:szCs w:val="24"/>
              </w:rPr>
              <w:t>，积极开展各种形式的宣传活动，提高沿线群众和从业人员的安全生产意识，做好道路化学危险品运输事故的统计与上报工作等。</w:t>
            </w:r>
          </w:p>
          <w:p w14:paraId="306B8185">
            <w:pPr>
              <w:pStyle w:val="58"/>
              <w:keepNext w:val="0"/>
              <w:keepLines w:val="0"/>
              <w:pageBreakBefore w:val="0"/>
              <w:widowControl w:val="0"/>
              <w:kinsoku/>
              <w:wordWrap/>
              <w:overflowPunct/>
              <w:topLinePunct w:val="0"/>
              <w:autoSpaceDE/>
              <w:autoSpaceDN/>
              <w:bidi w:val="0"/>
              <w:adjustRightInd w:val="0"/>
              <w:snapToGrid/>
              <w:spacing w:line="384" w:lineRule="exact"/>
              <w:ind w:firstLine="480"/>
              <w:textAlignment w:val="auto"/>
              <w:rPr>
                <w:szCs w:val="24"/>
              </w:rPr>
            </w:pPr>
            <w:r>
              <w:rPr>
                <w:rFonts w:hint="eastAsia" w:ascii="宋体" w:hAnsi="宋体" w:cs="宋体"/>
                <w:szCs w:val="24"/>
              </w:rPr>
              <w:t>①</w:t>
            </w:r>
            <w:r>
              <w:rPr>
                <w:szCs w:val="24"/>
              </w:rPr>
              <w:t xml:space="preserve"> 应急工作规程及处置原则</w:t>
            </w:r>
          </w:p>
          <w:p w14:paraId="67DA8B44">
            <w:pPr>
              <w:pStyle w:val="58"/>
              <w:keepNext w:val="0"/>
              <w:keepLines w:val="0"/>
              <w:pageBreakBefore w:val="0"/>
              <w:widowControl w:val="0"/>
              <w:numPr>
                <w:ilvl w:val="1"/>
                <w:numId w:val="8"/>
              </w:numPr>
              <w:kinsoku/>
              <w:wordWrap/>
              <w:overflowPunct/>
              <w:topLinePunct w:val="0"/>
              <w:autoSpaceDE/>
              <w:autoSpaceDN/>
              <w:bidi w:val="0"/>
              <w:adjustRightInd w:val="0"/>
              <w:snapToGrid/>
              <w:spacing w:line="384" w:lineRule="exact"/>
              <w:ind w:left="0" w:firstLine="480"/>
              <w:textAlignment w:val="auto"/>
              <w:rPr>
                <w:szCs w:val="24"/>
              </w:rPr>
            </w:pPr>
            <w:r>
              <w:rPr>
                <w:szCs w:val="24"/>
              </w:rPr>
              <w:t>一旦事故发生，任何发现人员应及时向道路化学危险品运输事故协调小组报告。</w:t>
            </w:r>
          </w:p>
          <w:p w14:paraId="3D4A9FC5">
            <w:pPr>
              <w:pStyle w:val="58"/>
              <w:keepNext w:val="0"/>
              <w:keepLines w:val="0"/>
              <w:pageBreakBefore w:val="0"/>
              <w:widowControl w:val="0"/>
              <w:numPr>
                <w:ilvl w:val="1"/>
                <w:numId w:val="8"/>
              </w:numPr>
              <w:kinsoku/>
              <w:wordWrap/>
              <w:overflowPunct/>
              <w:topLinePunct w:val="0"/>
              <w:autoSpaceDE/>
              <w:autoSpaceDN/>
              <w:bidi w:val="0"/>
              <w:adjustRightInd w:val="0"/>
              <w:snapToGrid/>
              <w:spacing w:line="384" w:lineRule="exact"/>
              <w:ind w:left="0" w:firstLine="480"/>
              <w:textAlignment w:val="auto"/>
              <w:rPr>
                <w:szCs w:val="24"/>
              </w:rPr>
            </w:pPr>
            <w:r>
              <w:rPr>
                <w:szCs w:val="24"/>
              </w:rPr>
              <w:t>协调小组接到事故报告后，应立即通知就近的公路巡警前往事故地点控制现场。同时，通知就近的地方消防部门派消防车辆和人员前往救援。</w:t>
            </w:r>
          </w:p>
          <w:p w14:paraId="0122F6AC">
            <w:pPr>
              <w:pStyle w:val="58"/>
              <w:keepNext w:val="0"/>
              <w:keepLines w:val="0"/>
              <w:pageBreakBefore w:val="0"/>
              <w:widowControl w:val="0"/>
              <w:numPr>
                <w:ilvl w:val="1"/>
                <w:numId w:val="8"/>
              </w:numPr>
              <w:kinsoku/>
              <w:wordWrap/>
              <w:overflowPunct/>
              <w:topLinePunct w:val="0"/>
              <w:autoSpaceDE/>
              <w:autoSpaceDN/>
              <w:bidi w:val="0"/>
              <w:adjustRightInd w:val="0"/>
              <w:snapToGrid/>
              <w:spacing w:line="384" w:lineRule="exact"/>
              <w:ind w:left="0" w:firstLine="480"/>
              <w:textAlignment w:val="auto"/>
              <w:rPr>
                <w:szCs w:val="24"/>
              </w:rPr>
            </w:pPr>
            <w:r>
              <w:rPr>
                <w:szCs w:val="24"/>
              </w:rPr>
              <w:t>如果危险品为固态，可清扫处置，并对事故记录备案。</w:t>
            </w:r>
          </w:p>
          <w:p w14:paraId="4DAA96E1">
            <w:pPr>
              <w:pStyle w:val="58"/>
              <w:keepNext w:val="0"/>
              <w:keepLines w:val="0"/>
              <w:pageBreakBefore w:val="0"/>
              <w:widowControl w:val="0"/>
              <w:numPr>
                <w:ilvl w:val="1"/>
                <w:numId w:val="8"/>
              </w:numPr>
              <w:kinsoku/>
              <w:wordWrap/>
              <w:overflowPunct/>
              <w:topLinePunct w:val="0"/>
              <w:autoSpaceDE/>
              <w:autoSpaceDN/>
              <w:bidi w:val="0"/>
              <w:adjustRightInd w:val="0"/>
              <w:snapToGrid/>
              <w:spacing w:line="384" w:lineRule="exact"/>
              <w:ind w:left="0" w:firstLine="480"/>
              <w:textAlignment w:val="auto"/>
              <w:rPr>
                <w:szCs w:val="24"/>
              </w:rPr>
            </w:pPr>
            <w:r>
              <w:rPr>
                <w:szCs w:val="24"/>
              </w:rPr>
              <w:t>如果危险品为气态且有剧毒，消防人员应戴防毒面具进行处理；在危险品逸漏无法避免的情况下，需立即通知生态环境部门、公安部门，必要时对沿线处于污染范围内的人员进行疏离，避免发生人员中毒伤亡。</w:t>
            </w:r>
          </w:p>
          <w:p w14:paraId="22719E22">
            <w:pPr>
              <w:pStyle w:val="58"/>
              <w:keepNext w:val="0"/>
              <w:keepLines w:val="0"/>
              <w:pageBreakBefore w:val="0"/>
              <w:widowControl w:val="0"/>
              <w:kinsoku/>
              <w:wordWrap/>
              <w:overflowPunct/>
              <w:topLinePunct w:val="0"/>
              <w:autoSpaceDE/>
              <w:autoSpaceDN/>
              <w:bidi w:val="0"/>
              <w:adjustRightInd w:val="0"/>
              <w:snapToGrid/>
              <w:spacing w:line="384" w:lineRule="exact"/>
              <w:ind w:firstLine="480"/>
              <w:textAlignment w:val="auto"/>
              <w:rPr>
                <w:szCs w:val="24"/>
              </w:rPr>
            </w:pPr>
            <w:r>
              <w:rPr>
                <w:rFonts w:hint="eastAsia" w:ascii="宋体" w:hAnsi="宋体" w:cs="宋体"/>
                <w:szCs w:val="24"/>
              </w:rPr>
              <w:t>②</w:t>
            </w:r>
            <w:r>
              <w:rPr>
                <w:szCs w:val="24"/>
              </w:rPr>
              <w:t xml:space="preserve"> 应急处理意见</w:t>
            </w:r>
          </w:p>
          <w:p w14:paraId="3364249A">
            <w:pPr>
              <w:pStyle w:val="58"/>
              <w:keepNext w:val="0"/>
              <w:keepLines w:val="0"/>
              <w:pageBreakBefore w:val="0"/>
              <w:widowControl w:val="0"/>
              <w:kinsoku/>
              <w:wordWrap/>
              <w:overflowPunct/>
              <w:topLinePunct w:val="0"/>
              <w:autoSpaceDE/>
              <w:autoSpaceDN/>
              <w:bidi w:val="0"/>
              <w:adjustRightInd w:val="0"/>
              <w:snapToGrid/>
              <w:spacing w:line="384" w:lineRule="exact"/>
              <w:ind w:firstLine="480"/>
              <w:textAlignment w:val="auto"/>
              <w:rPr>
                <w:szCs w:val="24"/>
              </w:rPr>
            </w:pPr>
            <w:r>
              <w:rPr>
                <w:rFonts w:hint="eastAsia"/>
                <w:szCs w:val="24"/>
              </w:rPr>
              <w:t>拟建公路</w:t>
            </w:r>
            <w:r>
              <w:rPr>
                <w:szCs w:val="24"/>
              </w:rPr>
              <w:t>危险化学品车辆事故应急处置措施应包括以下几个部分：</w:t>
            </w:r>
          </w:p>
          <w:p w14:paraId="4E76EFDF">
            <w:pPr>
              <w:pStyle w:val="58"/>
              <w:keepNext w:val="0"/>
              <w:keepLines w:val="0"/>
              <w:pageBreakBefore w:val="0"/>
              <w:widowControl w:val="0"/>
              <w:numPr>
                <w:ilvl w:val="1"/>
                <w:numId w:val="9"/>
              </w:numPr>
              <w:kinsoku/>
              <w:wordWrap/>
              <w:overflowPunct/>
              <w:topLinePunct w:val="0"/>
              <w:autoSpaceDE/>
              <w:autoSpaceDN/>
              <w:bidi w:val="0"/>
              <w:adjustRightInd w:val="0"/>
              <w:snapToGrid/>
              <w:spacing w:line="384" w:lineRule="exact"/>
              <w:ind w:left="0" w:firstLine="480"/>
              <w:textAlignment w:val="auto"/>
              <w:rPr>
                <w:szCs w:val="24"/>
              </w:rPr>
            </w:pPr>
            <w:r>
              <w:rPr>
                <w:szCs w:val="24"/>
              </w:rPr>
              <w:t>指导思想和原则</w:t>
            </w:r>
          </w:p>
          <w:p w14:paraId="56B15343">
            <w:pPr>
              <w:pStyle w:val="58"/>
              <w:keepNext w:val="0"/>
              <w:keepLines w:val="0"/>
              <w:pageBreakBefore w:val="0"/>
              <w:widowControl w:val="0"/>
              <w:kinsoku/>
              <w:wordWrap/>
              <w:overflowPunct/>
              <w:topLinePunct w:val="0"/>
              <w:autoSpaceDE/>
              <w:autoSpaceDN/>
              <w:bidi w:val="0"/>
              <w:adjustRightInd w:val="0"/>
              <w:snapToGrid/>
              <w:spacing w:line="384" w:lineRule="exact"/>
              <w:ind w:firstLine="480"/>
              <w:textAlignment w:val="auto"/>
              <w:rPr>
                <w:szCs w:val="24"/>
              </w:rPr>
            </w:pPr>
            <w:r>
              <w:rPr>
                <w:szCs w:val="24"/>
              </w:rPr>
              <w:t>应充分贯彻“预防为主，安全第一”的指导思想和方针，树立“预防为主、快速反应、统一指挥、分工负责”的处置原则。</w:t>
            </w:r>
          </w:p>
          <w:p w14:paraId="2E87AFB0">
            <w:pPr>
              <w:pStyle w:val="58"/>
              <w:keepNext w:val="0"/>
              <w:keepLines w:val="0"/>
              <w:pageBreakBefore w:val="0"/>
              <w:widowControl w:val="0"/>
              <w:numPr>
                <w:ilvl w:val="1"/>
                <w:numId w:val="9"/>
              </w:numPr>
              <w:kinsoku/>
              <w:wordWrap/>
              <w:overflowPunct/>
              <w:topLinePunct w:val="0"/>
              <w:autoSpaceDE/>
              <w:autoSpaceDN/>
              <w:bidi w:val="0"/>
              <w:adjustRightInd w:val="0"/>
              <w:snapToGrid/>
              <w:spacing w:line="384" w:lineRule="exact"/>
              <w:ind w:left="0" w:firstLine="480"/>
              <w:textAlignment w:val="auto"/>
              <w:rPr>
                <w:szCs w:val="24"/>
              </w:rPr>
            </w:pPr>
            <w:r>
              <w:rPr>
                <w:szCs w:val="24"/>
              </w:rPr>
              <w:t>危险目标</w:t>
            </w:r>
          </w:p>
          <w:p w14:paraId="7433BF77">
            <w:pPr>
              <w:pStyle w:val="58"/>
              <w:keepNext w:val="0"/>
              <w:keepLines w:val="0"/>
              <w:pageBreakBefore w:val="0"/>
              <w:widowControl w:val="0"/>
              <w:kinsoku/>
              <w:wordWrap/>
              <w:overflowPunct/>
              <w:topLinePunct w:val="0"/>
              <w:autoSpaceDE/>
              <w:autoSpaceDN/>
              <w:bidi w:val="0"/>
              <w:adjustRightInd w:val="0"/>
              <w:snapToGrid/>
              <w:spacing w:line="384" w:lineRule="exact"/>
              <w:ind w:left="480" w:firstLine="0" w:firstLineChars="0"/>
              <w:textAlignment w:val="auto"/>
              <w:rPr>
                <w:szCs w:val="24"/>
              </w:rPr>
            </w:pPr>
            <w:r>
              <w:rPr>
                <w:szCs w:val="24"/>
              </w:rPr>
              <w:t>明确</w:t>
            </w:r>
            <w:r>
              <w:rPr>
                <w:rFonts w:hint="eastAsia"/>
                <w:szCs w:val="24"/>
                <w:lang w:val="en-US" w:eastAsia="zh-CN"/>
              </w:rPr>
              <w:t>拟建公路</w:t>
            </w:r>
            <w:r>
              <w:rPr>
                <w:szCs w:val="24"/>
              </w:rPr>
              <w:t>危险化学品运输种类、特性及污染的特点。</w:t>
            </w:r>
          </w:p>
          <w:p w14:paraId="48591244">
            <w:pPr>
              <w:pStyle w:val="58"/>
              <w:keepNext w:val="0"/>
              <w:keepLines w:val="0"/>
              <w:pageBreakBefore w:val="0"/>
              <w:widowControl w:val="0"/>
              <w:numPr>
                <w:ilvl w:val="1"/>
                <w:numId w:val="9"/>
              </w:numPr>
              <w:kinsoku/>
              <w:wordWrap/>
              <w:overflowPunct/>
              <w:topLinePunct w:val="0"/>
              <w:autoSpaceDE/>
              <w:autoSpaceDN/>
              <w:bidi w:val="0"/>
              <w:adjustRightInd w:val="0"/>
              <w:snapToGrid/>
              <w:spacing w:line="384" w:lineRule="exact"/>
              <w:ind w:left="0" w:firstLine="480"/>
              <w:textAlignment w:val="auto"/>
              <w:rPr>
                <w:szCs w:val="24"/>
              </w:rPr>
            </w:pPr>
            <w:r>
              <w:rPr>
                <w:szCs w:val="24"/>
              </w:rPr>
              <w:t>组织机构、人员及职责</w:t>
            </w:r>
          </w:p>
          <w:p w14:paraId="7D6424BA">
            <w:pPr>
              <w:pStyle w:val="58"/>
              <w:keepNext w:val="0"/>
              <w:keepLines w:val="0"/>
              <w:pageBreakBefore w:val="0"/>
              <w:widowControl w:val="0"/>
              <w:kinsoku/>
              <w:wordWrap/>
              <w:overflowPunct/>
              <w:topLinePunct w:val="0"/>
              <w:autoSpaceDE/>
              <w:autoSpaceDN/>
              <w:bidi w:val="0"/>
              <w:adjustRightInd w:val="0"/>
              <w:snapToGrid/>
              <w:spacing w:line="384" w:lineRule="exact"/>
              <w:ind w:firstLine="480"/>
              <w:textAlignment w:val="auto"/>
              <w:rPr>
                <w:szCs w:val="24"/>
              </w:rPr>
            </w:pPr>
            <w:r>
              <w:rPr>
                <w:szCs w:val="24"/>
              </w:rPr>
              <w:t>建立以公路运营管理部门为主体，各</w:t>
            </w:r>
            <w:r>
              <w:rPr>
                <w:rFonts w:hint="eastAsia"/>
                <w:szCs w:val="24"/>
              </w:rPr>
              <w:t>市（</w:t>
            </w:r>
            <w:r>
              <w:rPr>
                <w:szCs w:val="24"/>
              </w:rPr>
              <w:t>县</w:t>
            </w:r>
            <w:r>
              <w:rPr>
                <w:rFonts w:hint="eastAsia"/>
                <w:szCs w:val="24"/>
              </w:rPr>
              <w:t>）</w:t>
            </w:r>
            <w:r>
              <w:rPr>
                <w:szCs w:val="24"/>
              </w:rPr>
              <w:t>交警、消防、生态环境、气象等部门，以及交通局、安监局等有关部门参加的危险化学品车辆事故应急处置组织机构，明确各有关人员的分工与职责，并确定有效的联系方式。其中：</w:t>
            </w:r>
          </w:p>
          <w:p w14:paraId="33CD7A59">
            <w:pPr>
              <w:pStyle w:val="58"/>
              <w:keepNext w:val="0"/>
              <w:keepLines w:val="0"/>
              <w:pageBreakBefore w:val="0"/>
              <w:widowControl w:val="0"/>
              <w:numPr>
                <w:ilvl w:val="0"/>
                <w:numId w:val="10"/>
              </w:numPr>
              <w:kinsoku/>
              <w:wordWrap/>
              <w:overflowPunct/>
              <w:topLinePunct w:val="0"/>
              <w:autoSpaceDE/>
              <w:autoSpaceDN/>
              <w:bidi w:val="0"/>
              <w:adjustRightInd w:val="0"/>
              <w:snapToGrid/>
              <w:spacing w:line="384" w:lineRule="exact"/>
              <w:ind w:left="0" w:firstLine="480"/>
              <w:textAlignment w:val="auto"/>
              <w:rPr>
                <w:snapToGrid w:val="0"/>
                <w:szCs w:val="24"/>
              </w:rPr>
            </w:pPr>
            <w:r>
              <w:rPr>
                <w:snapToGrid w:val="0"/>
                <w:szCs w:val="24"/>
              </w:rPr>
              <w:t>路政部门：承接事故报告，负责事故现场区域周边道路的交通管制工作，禁止无关车辆进入危险区域，保障救援道路的畅通。负责制定人员疏散和事故现场警戒预案。组织事故可能危及区域内的人员、车辆疏散撤离，对人员撤离区域进行治安管理，参与事故调查处理。</w:t>
            </w:r>
          </w:p>
          <w:p w14:paraId="37EFB756">
            <w:pPr>
              <w:pStyle w:val="58"/>
              <w:keepNext w:val="0"/>
              <w:keepLines w:val="0"/>
              <w:pageBreakBefore w:val="0"/>
              <w:widowControl w:val="0"/>
              <w:numPr>
                <w:ilvl w:val="0"/>
                <w:numId w:val="10"/>
              </w:numPr>
              <w:kinsoku/>
              <w:wordWrap/>
              <w:overflowPunct/>
              <w:topLinePunct w:val="0"/>
              <w:autoSpaceDE/>
              <w:autoSpaceDN/>
              <w:bidi w:val="0"/>
              <w:adjustRightInd w:val="0"/>
              <w:snapToGrid/>
              <w:spacing w:line="384" w:lineRule="exact"/>
              <w:ind w:left="0" w:firstLine="480"/>
              <w:textAlignment w:val="auto"/>
              <w:rPr>
                <w:snapToGrid w:val="0"/>
                <w:szCs w:val="24"/>
              </w:rPr>
            </w:pPr>
            <w:r>
              <w:rPr>
                <w:rFonts w:hint="eastAsia"/>
                <w:szCs w:val="24"/>
              </w:rPr>
              <w:t>克州</w:t>
            </w:r>
            <w:r>
              <w:rPr>
                <w:szCs w:val="24"/>
              </w:rPr>
              <w:t>和</w:t>
            </w:r>
            <w:r>
              <w:rPr>
                <w:rFonts w:hint="eastAsia"/>
                <w:szCs w:val="24"/>
              </w:rPr>
              <w:t>喀什地区</w:t>
            </w:r>
            <w:r>
              <w:rPr>
                <w:szCs w:val="24"/>
              </w:rPr>
              <w:t>及下辖</w:t>
            </w:r>
            <w:r>
              <w:rPr>
                <w:rFonts w:hint="eastAsia"/>
                <w:szCs w:val="24"/>
                <w:lang w:val="en-US" w:eastAsia="zh-CN"/>
              </w:rPr>
              <w:t>市（</w:t>
            </w:r>
            <w:r>
              <w:rPr>
                <w:szCs w:val="24"/>
              </w:rPr>
              <w:t>县</w:t>
            </w:r>
            <w:r>
              <w:rPr>
                <w:rFonts w:hint="eastAsia"/>
                <w:szCs w:val="24"/>
                <w:lang w:val="en-US" w:eastAsia="zh-CN"/>
              </w:rPr>
              <w:t>）</w:t>
            </w:r>
            <w:r>
              <w:rPr>
                <w:szCs w:val="24"/>
              </w:rPr>
              <w:t>消防大队</w:t>
            </w:r>
            <w:r>
              <w:rPr>
                <w:snapToGrid w:val="0"/>
                <w:szCs w:val="24"/>
              </w:rPr>
              <w:t>：负责事故现场扑灭火灾，控制易燃、易爆、有毒物质泄漏和有关设备容器的冷却。事故得到控制后负责洗消工作；组织伤员的搜救。</w:t>
            </w:r>
          </w:p>
          <w:p w14:paraId="3A2C735E">
            <w:pPr>
              <w:pStyle w:val="58"/>
              <w:keepNext w:val="0"/>
              <w:keepLines w:val="0"/>
              <w:pageBreakBefore w:val="0"/>
              <w:widowControl w:val="0"/>
              <w:numPr>
                <w:ilvl w:val="0"/>
                <w:numId w:val="10"/>
              </w:numPr>
              <w:kinsoku/>
              <w:wordWrap/>
              <w:overflowPunct/>
              <w:topLinePunct w:val="0"/>
              <w:autoSpaceDE/>
              <w:autoSpaceDN/>
              <w:bidi w:val="0"/>
              <w:adjustRightInd w:val="0"/>
              <w:snapToGrid/>
              <w:spacing w:line="384" w:lineRule="exact"/>
              <w:ind w:left="0" w:firstLine="480"/>
              <w:textAlignment w:val="auto"/>
              <w:rPr>
                <w:snapToGrid w:val="0"/>
                <w:szCs w:val="24"/>
              </w:rPr>
            </w:pPr>
            <w:r>
              <w:rPr>
                <w:rFonts w:hint="eastAsia"/>
                <w:szCs w:val="24"/>
              </w:rPr>
              <w:t>克州</w:t>
            </w:r>
            <w:r>
              <w:rPr>
                <w:szCs w:val="24"/>
              </w:rPr>
              <w:t>生态环境局、</w:t>
            </w:r>
            <w:r>
              <w:rPr>
                <w:rFonts w:hint="eastAsia"/>
                <w:szCs w:val="24"/>
              </w:rPr>
              <w:t>喀什地区</w:t>
            </w:r>
            <w:r>
              <w:rPr>
                <w:snapToGrid w:val="0"/>
                <w:szCs w:val="24"/>
              </w:rPr>
              <w:t>生态环境局</w:t>
            </w:r>
            <w:r>
              <w:rPr>
                <w:szCs w:val="24"/>
              </w:rPr>
              <w:t>及下辖</w:t>
            </w:r>
            <w:r>
              <w:rPr>
                <w:rFonts w:hint="eastAsia"/>
                <w:szCs w:val="24"/>
              </w:rPr>
              <w:t>市（</w:t>
            </w:r>
            <w:r>
              <w:rPr>
                <w:szCs w:val="24"/>
              </w:rPr>
              <w:t>县</w:t>
            </w:r>
            <w:r>
              <w:rPr>
                <w:rFonts w:hint="eastAsia"/>
                <w:szCs w:val="24"/>
              </w:rPr>
              <w:t>）</w:t>
            </w:r>
            <w:r>
              <w:rPr>
                <w:rFonts w:hint="eastAsia"/>
                <w:szCs w:val="24"/>
                <w:lang w:val="en-US" w:eastAsia="zh-CN"/>
              </w:rPr>
              <w:t>分</w:t>
            </w:r>
            <w:r>
              <w:rPr>
                <w:snapToGrid w:val="0"/>
                <w:szCs w:val="24"/>
              </w:rPr>
              <w:t>局：负责污染事故监测与环境危害控制。负责事故现场及测定环境危害的成分和程度；对可能存在较长时间环境影响的区域发出警告，提出控制措施并进行监测；事故得到控制后指导现场遗留危险物质对环境产生污染的消除。负责调查重大危险化学品污染事故和生态破坏事件。</w:t>
            </w:r>
          </w:p>
          <w:p w14:paraId="78E0D4C7">
            <w:pPr>
              <w:pStyle w:val="58"/>
              <w:keepNext w:val="0"/>
              <w:keepLines w:val="0"/>
              <w:pageBreakBefore w:val="0"/>
              <w:widowControl w:val="0"/>
              <w:numPr>
                <w:ilvl w:val="0"/>
                <w:numId w:val="10"/>
              </w:numPr>
              <w:kinsoku/>
              <w:wordWrap/>
              <w:overflowPunct/>
              <w:topLinePunct w:val="0"/>
              <w:autoSpaceDE/>
              <w:autoSpaceDN/>
              <w:bidi w:val="0"/>
              <w:adjustRightInd w:val="0"/>
              <w:snapToGrid/>
              <w:spacing w:line="384" w:lineRule="exact"/>
              <w:ind w:left="0" w:firstLine="480"/>
              <w:textAlignment w:val="auto"/>
              <w:rPr>
                <w:snapToGrid w:val="0"/>
                <w:szCs w:val="24"/>
              </w:rPr>
            </w:pPr>
            <w:r>
              <w:rPr>
                <w:rFonts w:hint="eastAsia"/>
                <w:szCs w:val="24"/>
              </w:rPr>
              <w:t>克州</w:t>
            </w:r>
            <w:r>
              <w:rPr>
                <w:szCs w:val="24"/>
              </w:rPr>
              <w:t>和</w:t>
            </w:r>
            <w:r>
              <w:rPr>
                <w:rFonts w:hint="eastAsia"/>
                <w:szCs w:val="24"/>
              </w:rPr>
              <w:t>喀什地区</w:t>
            </w:r>
            <w:r>
              <w:rPr>
                <w:szCs w:val="24"/>
              </w:rPr>
              <w:t>及下辖</w:t>
            </w:r>
            <w:r>
              <w:rPr>
                <w:rFonts w:hint="eastAsia"/>
                <w:szCs w:val="24"/>
                <w:lang w:val="en-US" w:eastAsia="zh-CN"/>
              </w:rPr>
              <w:t>市（</w:t>
            </w:r>
            <w:r>
              <w:rPr>
                <w:szCs w:val="24"/>
              </w:rPr>
              <w:t>县</w:t>
            </w:r>
            <w:r>
              <w:rPr>
                <w:rFonts w:hint="eastAsia"/>
                <w:szCs w:val="24"/>
                <w:lang w:val="en-US" w:eastAsia="zh-CN"/>
              </w:rPr>
              <w:t>）</w:t>
            </w:r>
            <w:r>
              <w:rPr>
                <w:snapToGrid w:val="0"/>
                <w:szCs w:val="24"/>
              </w:rPr>
              <w:t>气象局：负责为事故现场提供风向、风速、温度、气压、湿度、雨量等气象资料。</w:t>
            </w:r>
          </w:p>
          <w:p w14:paraId="1D47DD79">
            <w:pPr>
              <w:pStyle w:val="58"/>
              <w:keepNext w:val="0"/>
              <w:keepLines w:val="0"/>
              <w:pageBreakBefore w:val="0"/>
              <w:widowControl w:val="0"/>
              <w:numPr>
                <w:ilvl w:val="1"/>
                <w:numId w:val="9"/>
              </w:numPr>
              <w:kinsoku/>
              <w:wordWrap/>
              <w:overflowPunct/>
              <w:topLinePunct w:val="0"/>
              <w:autoSpaceDE/>
              <w:autoSpaceDN/>
              <w:bidi w:val="0"/>
              <w:adjustRightInd w:val="0"/>
              <w:snapToGrid/>
              <w:spacing w:line="384" w:lineRule="exact"/>
              <w:ind w:left="0" w:firstLine="480"/>
              <w:textAlignment w:val="auto"/>
              <w:rPr>
                <w:szCs w:val="24"/>
              </w:rPr>
            </w:pPr>
            <w:r>
              <w:rPr>
                <w:szCs w:val="24"/>
              </w:rPr>
              <w:t>现场处置专业组的建立及职责</w:t>
            </w:r>
          </w:p>
          <w:p w14:paraId="7465D2F0">
            <w:pPr>
              <w:pStyle w:val="58"/>
              <w:keepNext w:val="0"/>
              <w:keepLines w:val="0"/>
              <w:pageBreakBefore w:val="0"/>
              <w:widowControl w:val="0"/>
              <w:kinsoku/>
              <w:wordWrap/>
              <w:overflowPunct/>
              <w:topLinePunct w:val="0"/>
              <w:autoSpaceDE/>
              <w:autoSpaceDN/>
              <w:bidi w:val="0"/>
              <w:adjustRightInd w:val="0"/>
              <w:snapToGrid/>
              <w:spacing w:line="384" w:lineRule="exact"/>
              <w:ind w:firstLine="480"/>
              <w:textAlignment w:val="auto"/>
              <w:rPr>
                <w:szCs w:val="24"/>
              </w:rPr>
            </w:pPr>
            <w:r>
              <w:rPr>
                <w:szCs w:val="24"/>
              </w:rPr>
              <w:t>根据事故实际情况，成立危险源控制组、伤员抢救组、灭火救援组、安全疏散组、安全警戒组、物资供应组、环境监测组以及专家咨询组等处置专业组，并明确相应职责。其中：</w:t>
            </w:r>
          </w:p>
          <w:p w14:paraId="6B9C10B6">
            <w:pPr>
              <w:pStyle w:val="58"/>
              <w:keepNext w:val="0"/>
              <w:keepLines w:val="0"/>
              <w:pageBreakBefore w:val="0"/>
              <w:widowControl w:val="0"/>
              <w:numPr>
                <w:ilvl w:val="0"/>
                <w:numId w:val="11"/>
              </w:numPr>
              <w:kinsoku/>
              <w:wordWrap/>
              <w:overflowPunct/>
              <w:topLinePunct w:val="0"/>
              <w:autoSpaceDE/>
              <w:autoSpaceDN/>
              <w:bidi w:val="0"/>
              <w:adjustRightInd w:val="0"/>
              <w:snapToGrid/>
              <w:spacing w:line="384" w:lineRule="exact"/>
              <w:ind w:left="0" w:firstLine="480"/>
              <w:textAlignment w:val="auto"/>
              <w:rPr>
                <w:snapToGrid w:val="0"/>
                <w:szCs w:val="24"/>
              </w:rPr>
            </w:pPr>
            <w:r>
              <w:rPr>
                <w:snapToGrid w:val="0"/>
                <w:szCs w:val="24"/>
              </w:rPr>
              <w:t>危险源控制组：负责在紧急状态下的现场抢险作业，及时控制危险源，并根据危险化学品的性质立即组织专用的防护用品及专用工具等。该组由消防支队组成，人员由消防队伍、企业义务消防抢险队伍和专家组成。</w:t>
            </w:r>
          </w:p>
          <w:p w14:paraId="5E423673">
            <w:pPr>
              <w:pStyle w:val="58"/>
              <w:keepNext w:val="0"/>
              <w:keepLines w:val="0"/>
              <w:pageBreakBefore w:val="0"/>
              <w:widowControl w:val="0"/>
              <w:numPr>
                <w:ilvl w:val="0"/>
                <w:numId w:val="11"/>
              </w:numPr>
              <w:kinsoku/>
              <w:wordWrap/>
              <w:overflowPunct/>
              <w:topLinePunct w:val="0"/>
              <w:autoSpaceDE/>
              <w:autoSpaceDN/>
              <w:bidi w:val="0"/>
              <w:adjustRightInd w:val="0"/>
              <w:snapToGrid/>
              <w:spacing w:line="384" w:lineRule="exact"/>
              <w:ind w:left="0" w:firstLine="480"/>
              <w:textAlignment w:val="auto"/>
              <w:rPr>
                <w:snapToGrid w:val="0"/>
                <w:szCs w:val="24"/>
              </w:rPr>
            </w:pPr>
            <w:r>
              <w:rPr>
                <w:snapToGrid w:val="0"/>
                <w:szCs w:val="24"/>
              </w:rPr>
              <w:t>伤员抢救组：负责在现场附近的安全区域内设立临时医疗救护点，对受伤人员进行紧急救治并护送重伤人员至医院进一步治疗。</w:t>
            </w:r>
          </w:p>
          <w:p w14:paraId="774E3888">
            <w:pPr>
              <w:pStyle w:val="58"/>
              <w:keepNext w:val="0"/>
              <w:keepLines w:val="0"/>
              <w:pageBreakBefore w:val="0"/>
              <w:widowControl w:val="0"/>
              <w:numPr>
                <w:ilvl w:val="0"/>
                <w:numId w:val="11"/>
              </w:numPr>
              <w:kinsoku/>
              <w:wordWrap/>
              <w:overflowPunct/>
              <w:topLinePunct w:val="0"/>
              <w:autoSpaceDE/>
              <w:autoSpaceDN/>
              <w:bidi w:val="0"/>
              <w:adjustRightInd w:val="0"/>
              <w:snapToGrid/>
              <w:spacing w:line="384" w:lineRule="exact"/>
              <w:ind w:left="0" w:firstLine="480"/>
              <w:textAlignment w:val="auto"/>
              <w:rPr>
                <w:snapToGrid w:val="0"/>
                <w:szCs w:val="24"/>
              </w:rPr>
            </w:pPr>
            <w:r>
              <w:rPr>
                <w:snapToGrid w:val="0"/>
                <w:szCs w:val="24"/>
              </w:rPr>
              <w:t>灭火救援组：负责现场灭火、现场伤员的搜救、设备容器的冷却、抢救伤员及事故后对被污染区域的洗消工作。</w:t>
            </w:r>
          </w:p>
          <w:p w14:paraId="20E3AF6C">
            <w:pPr>
              <w:pStyle w:val="58"/>
              <w:keepNext w:val="0"/>
              <w:keepLines w:val="0"/>
              <w:pageBreakBefore w:val="0"/>
              <w:widowControl w:val="0"/>
              <w:numPr>
                <w:ilvl w:val="0"/>
                <w:numId w:val="11"/>
              </w:numPr>
              <w:kinsoku/>
              <w:wordWrap/>
              <w:overflowPunct/>
              <w:topLinePunct w:val="0"/>
              <w:autoSpaceDE/>
              <w:autoSpaceDN/>
              <w:bidi w:val="0"/>
              <w:adjustRightInd w:val="0"/>
              <w:snapToGrid/>
              <w:spacing w:line="384" w:lineRule="exact"/>
              <w:ind w:left="0" w:firstLine="480"/>
              <w:textAlignment w:val="auto"/>
              <w:rPr>
                <w:snapToGrid w:val="0"/>
                <w:szCs w:val="24"/>
              </w:rPr>
            </w:pPr>
            <w:r>
              <w:rPr>
                <w:snapToGrid w:val="0"/>
                <w:szCs w:val="24"/>
              </w:rPr>
              <w:t>安全疏散组：负责对现场及周围人员进行防护指导、人员疏散及周围物资转移等工作。</w:t>
            </w:r>
          </w:p>
          <w:p w14:paraId="22F3DD4F">
            <w:pPr>
              <w:pStyle w:val="58"/>
              <w:keepNext w:val="0"/>
              <w:keepLines w:val="0"/>
              <w:pageBreakBefore w:val="0"/>
              <w:widowControl w:val="0"/>
              <w:numPr>
                <w:ilvl w:val="0"/>
                <w:numId w:val="11"/>
              </w:numPr>
              <w:kinsoku/>
              <w:wordWrap/>
              <w:overflowPunct/>
              <w:topLinePunct w:val="0"/>
              <w:autoSpaceDE/>
              <w:autoSpaceDN/>
              <w:bidi w:val="0"/>
              <w:adjustRightInd w:val="0"/>
              <w:snapToGrid/>
              <w:spacing w:line="384" w:lineRule="exact"/>
              <w:ind w:left="0" w:firstLine="480"/>
              <w:textAlignment w:val="auto"/>
              <w:rPr>
                <w:snapToGrid w:val="0"/>
                <w:szCs w:val="24"/>
              </w:rPr>
            </w:pPr>
            <w:r>
              <w:rPr>
                <w:snapToGrid w:val="0"/>
                <w:szCs w:val="24"/>
              </w:rPr>
              <w:t>安全警戒组：负责布置安全警戒，禁止无关人员和车辆进入危险区域，在人员疏散区域进行治安巡逻。</w:t>
            </w:r>
          </w:p>
          <w:p w14:paraId="3F02C167">
            <w:pPr>
              <w:pStyle w:val="58"/>
              <w:keepNext w:val="0"/>
              <w:keepLines w:val="0"/>
              <w:pageBreakBefore w:val="0"/>
              <w:widowControl w:val="0"/>
              <w:numPr>
                <w:ilvl w:val="0"/>
                <w:numId w:val="11"/>
              </w:numPr>
              <w:kinsoku/>
              <w:wordWrap/>
              <w:overflowPunct/>
              <w:topLinePunct w:val="0"/>
              <w:autoSpaceDE/>
              <w:autoSpaceDN/>
              <w:bidi w:val="0"/>
              <w:adjustRightInd w:val="0"/>
              <w:snapToGrid/>
              <w:spacing w:line="384" w:lineRule="exact"/>
              <w:ind w:left="0" w:firstLine="480"/>
              <w:textAlignment w:val="auto"/>
              <w:rPr>
                <w:snapToGrid w:val="0"/>
                <w:szCs w:val="24"/>
              </w:rPr>
            </w:pPr>
            <w:r>
              <w:rPr>
                <w:snapToGrid w:val="0"/>
                <w:szCs w:val="24"/>
              </w:rPr>
              <w:t>物资供应组：负责组织抢险物资的供应，组织车辆运送抢险物资。</w:t>
            </w:r>
          </w:p>
          <w:p w14:paraId="3EB9897A">
            <w:pPr>
              <w:pStyle w:val="58"/>
              <w:keepNext w:val="0"/>
              <w:keepLines w:val="0"/>
              <w:pageBreakBefore w:val="0"/>
              <w:widowControl w:val="0"/>
              <w:numPr>
                <w:ilvl w:val="0"/>
                <w:numId w:val="11"/>
              </w:numPr>
              <w:kinsoku/>
              <w:wordWrap/>
              <w:overflowPunct/>
              <w:topLinePunct w:val="0"/>
              <w:autoSpaceDE/>
              <w:autoSpaceDN/>
              <w:bidi w:val="0"/>
              <w:adjustRightInd w:val="0"/>
              <w:snapToGrid/>
              <w:spacing w:line="384" w:lineRule="exact"/>
              <w:ind w:left="0" w:firstLine="480"/>
              <w:textAlignment w:val="auto"/>
              <w:rPr>
                <w:snapToGrid w:val="0"/>
                <w:szCs w:val="24"/>
              </w:rPr>
            </w:pPr>
            <w:r>
              <w:rPr>
                <w:snapToGrid w:val="0"/>
                <w:szCs w:val="24"/>
              </w:rPr>
              <w:t>环境监测组：负责对大气、土壤</w:t>
            </w:r>
            <w:r>
              <w:rPr>
                <w:rFonts w:hint="eastAsia"/>
                <w:snapToGrid w:val="0"/>
                <w:szCs w:val="24"/>
                <w:lang w:eastAsia="zh-CN"/>
              </w:rPr>
              <w:t>、</w:t>
            </w:r>
            <w:r>
              <w:rPr>
                <w:rFonts w:hint="eastAsia"/>
                <w:snapToGrid w:val="0"/>
                <w:szCs w:val="24"/>
                <w:lang w:val="en-US" w:eastAsia="zh-CN"/>
              </w:rPr>
              <w:t>地下水</w:t>
            </w:r>
            <w:r>
              <w:rPr>
                <w:snapToGrid w:val="0"/>
                <w:szCs w:val="24"/>
              </w:rPr>
              <w:t>等进行环境即时监测，确定危险物质的成分及浓度，确定污染区域范围，对事故造成的环境影响进行评估，制定环境修复方案并组织实施。由环境监测及化学品检测机构组成。</w:t>
            </w:r>
          </w:p>
          <w:p w14:paraId="287DA795">
            <w:pPr>
              <w:pStyle w:val="58"/>
              <w:keepNext w:val="0"/>
              <w:keepLines w:val="0"/>
              <w:pageBreakBefore w:val="0"/>
              <w:widowControl w:val="0"/>
              <w:numPr>
                <w:ilvl w:val="0"/>
                <w:numId w:val="11"/>
              </w:numPr>
              <w:kinsoku/>
              <w:wordWrap/>
              <w:overflowPunct/>
              <w:topLinePunct w:val="0"/>
              <w:autoSpaceDE/>
              <w:autoSpaceDN/>
              <w:bidi w:val="0"/>
              <w:adjustRightInd w:val="0"/>
              <w:snapToGrid/>
              <w:spacing w:line="384" w:lineRule="exact"/>
              <w:ind w:left="0" w:firstLine="480"/>
              <w:textAlignment w:val="auto"/>
              <w:rPr>
                <w:snapToGrid w:val="0"/>
                <w:szCs w:val="24"/>
              </w:rPr>
            </w:pPr>
            <w:r>
              <w:rPr>
                <w:snapToGrid w:val="0"/>
                <w:szCs w:val="24"/>
              </w:rPr>
              <w:t>专家咨询组：负责对事故应急救援提出应急救援方案和安全措施，为现场指挥救援工作提供技术咨询。</w:t>
            </w:r>
          </w:p>
          <w:p w14:paraId="739057E5">
            <w:pPr>
              <w:pStyle w:val="58"/>
              <w:keepNext w:val="0"/>
              <w:keepLines w:val="0"/>
              <w:pageBreakBefore w:val="0"/>
              <w:widowControl w:val="0"/>
              <w:numPr>
                <w:ilvl w:val="1"/>
                <w:numId w:val="9"/>
              </w:numPr>
              <w:kinsoku/>
              <w:wordWrap/>
              <w:overflowPunct/>
              <w:topLinePunct w:val="0"/>
              <w:autoSpaceDE/>
              <w:autoSpaceDN/>
              <w:bidi w:val="0"/>
              <w:adjustRightInd w:val="0"/>
              <w:snapToGrid/>
              <w:spacing w:line="384" w:lineRule="exact"/>
              <w:ind w:left="0" w:firstLine="480"/>
              <w:textAlignment w:val="auto"/>
              <w:rPr>
                <w:szCs w:val="24"/>
              </w:rPr>
            </w:pPr>
            <w:r>
              <w:rPr>
                <w:szCs w:val="24"/>
              </w:rPr>
              <w:t>危险化学品事故处置措施</w:t>
            </w:r>
          </w:p>
          <w:p w14:paraId="27A6EF0E">
            <w:pPr>
              <w:pStyle w:val="58"/>
              <w:keepNext w:val="0"/>
              <w:keepLines w:val="0"/>
              <w:pageBreakBefore w:val="0"/>
              <w:widowControl w:val="0"/>
              <w:kinsoku/>
              <w:wordWrap/>
              <w:overflowPunct/>
              <w:topLinePunct w:val="0"/>
              <w:autoSpaceDE/>
              <w:autoSpaceDN/>
              <w:bidi w:val="0"/>
              <w:adjustRightInd w:val="0"/>
              <w:snapToGrid/>
              <w:spacing w:line="384" w:lineRule="exact"/>
              <w:ind w:firstLine="480"/>
              <w:textAlignment w:val="auto"/>
              <w:rPr>
                <w:szCs w:val="24"/>
              </w:rPr>
            </w:pPr>
            <w:r>
              <w:rPr>
                <w:szCs w:val="24"/>
              </w:rPr>
              <w:t>针对本项目运输的各种危险化学品的危险性，制定相应的事故处置措施。</w:t>
            </w:r>
          </w:p>
          <w:p w14:paraId="3872DB2C">
            <w:pPr>
              <w:pStyle w:val="58"/>
              <w:keepNext w:val="0"/>
              <w:keepLines w:val="0"/>
              <w:pageBreakBefore w:val="0"/>
              <w:widowControl w:val="0"/>
              <w:numPr>
                <w:ilvl w:val="1"/>
                <w:numId w:val="9"/>
              </w:numPr>
              <w:kinsoku/>
              <w:wordWrap/>
              <w:overflowPunct/>
              <w:topLinePunct w:val="0"/>
              <w:autoSpaceDE/>
              <w:autoSpaceDN/>
              <w:bidi w:val="0"/>
              <w:adjustRightInd w:val="0"/>
              <w:snapToGrid/>
              <w:spacing w:line="384" w:lineRule="exact"/>
              <w:ind w:left="0" w:firstLine="480"/>
              <w:textAlignment w:val="auto"/>
              <w:rPr>
                <w:szCs w:val="24"/>
              </w:rPr>
            </w:pPr>
            <w:r>
              <w:rPr>
                <w:szCs w:val="24"/>
              </w:rPr>
              <w:t>危险化学品事故现场区域划分</w:t>
            </w:r>
          </w:p>
          <w:p w14:paraId="72F63DC0">
            <w:pPr>
              <w:pStyle w:val="58"/>
              <w:keepNext w:val="0"/>
              <w:keepLines w:val="0"/>
              <w:pageBreakBefore w:val="0"/>
              <w:widowControl w:val="0"/>
              <w:kinsoku/>
              <w:wordWrap/>
              <w:overflowPunct/>
              <w:topLinePunct w:val="0"/>
              <w:autoSpaceDE/>
              <w:autoSpaceDN/>
              <w:bidi w:val="0"/>
              <w:adjustRightInd w:val="0"/>
              <w:snapToGrid/>
              <w:spacing w:line="384" w:lineRule="exact"/>
              <w:ind w:firstLine="480"/>
              <w:textAlignment w:val="auto"/>
              <w:rPr>
                <w:szCs w:val="24"/>
              </w:rPr>
            </w:pPr>
            <w:r>
              <w:rPr>
                <w:szCs w:val="24"/>
              </w:rPr>
              <w:t>针对本项目运输的各种危险化学品的危险性和污染特性，明确事故现场危险区域、保护区域、安全区域的划分，并以挂图的形式张贴于醒目位置。</w:t>
            </w:r>
          </w:p>
          <w:p w14:paraId="42DE2D34">
            <w:pPr>
              <w:pStyle w:val="58"/>
              <w:keepNext w:val="0"/>
              <w:keepLines w:val="0"/>
              <w:pageBreakBefore w:val="0"/>
              <w:widowControl w:val="0"/>
              <w:numPr>
                <w:ilvl w:val="1"/>
                <w:numId w:val="9"/>
              </w:numPr>
              <w:kinsoku/>
              <w:wordWrap/>
              <w:overflowPunct/>
              <w:topLinePunct w:val="0"/>
              <w:autoSpaceDE/>
              <w:autoSpaceDN/>
              <w:bidi w:val="0"/>
              <w:adjustRightInd w:val="0"/>
              <w:snapToGrid/>
              <w:spacing w:line="384" w:lineRule="exact"/>
              <w:ind w:left="0" w:firstLine="480"/>
              <w:textAlignment w:val="auto"/>
              <w:rPr>
                <w:szCs w:val="24"/>
              </w:rPr>
            </w:pPr>
            <w:r>
              <w:rPr>
                <w:szCs w:val="24"/>
              </w:rPr>
              <w:t>事故应急设施、设备及药剂</w:t>
            </w:r>
          </w:p>
          <w:p w14:paraId="4CAC939E">
            <w:pPr>
              <w:pStyle w:val="58"/>
              <w:keepNext w:val="0"/>
              <w:keepLines w:val="0"/>
              <w:pageBreakBefore w:val="0"/>
              <w:widowControl w:val="0"/>
              <w:kinsoku/>
              <w:wordWrap/>
              <w:overflowPunct/>
              <w:topLinePunct w:val="0"/>
              <w:autoSpaceDE/>
              <w:autoSpaceDN/>
              <w:bidi w:val="0"/>
              <w:adjustRightInd w:val="0"/>
              <w:snapToGrid/>
              <w:spacing w:line="384" w:lineRule="exact"/>
              <w:ind w:firstLine="480"/>
              <w:textAlignment w:val="auto"/>
              <w:rPr>
                <w:szCs w:val="24"/>
              </w:rPr>
            </w:pPr>
            <w:r>
              <w:rPr>
                <w:szCs w:val="24"/>
              </w:rPr>
              <w:t>针对本项目运输的各种危险化学品的危险性和污染特性，配备应急</w:t>
            </w:r>
            <w:r>
              <w:rPr>
                <w:rFonts w:hint="eastAsia"/>
                <w:szCs w:val="24"/>
                <w:lang w:eastAsia="zh-CN"/>
              </w:rPr>
              <w:t>处置</w:t>
            </w:r>
            <w:r>
              <w:rPr>
                <w:szCs w:val="24"/>
              </w:rPr>
              <w:t>设施、设备和药剂。</w:t>
            </w:r>
          </w:p>
          <w:p w14:paraId="41D401FF">
            <w:pPr>
              <w:pStyle w:val="58"/>
              <w:keepNext w:val="0"/>
              <w:keepLines w:val="0"/>
              <w:pageBreakBefore w:val="0"/>
              <w:widowControl w:val="0"/>
              <w:numPr>
                <w:ilvl w:val="1"/>
                <w:numId w:val="9"/>
              </w:numPr>
              <w:kinsoku/>
              <w:wordWrap/>
              <w:overflowPunct/>
              <w:topLinePunct w:val="0"/>
              <w:autoSpaceDE/>
              <w:autoSpaceDN/>
              <w:bidi w:val="0"/>
              <w:adjustRightInd w:val="0"/>
              <w:snapToGrid/>
              <w:spacing w:line="384" w:lineRule="exact"/>
              <w:ind w:left="0" w:firstLine="480"/>
              <w:textAlignment w:val="auto"/>
              <w:rPr>
                <w:szCs w:val="24"/>
              </w:rPr>
            </w:pPr>
            <w:r>
              <w:rPr>
                <w:szCs w:val="24"/>
              </w:rPr>
              <w:t>应急处置单位、人员名单及联系方式</w:t>
            </w:r>
          </w:p>
          <w:p w14:paraId="0E336B73">
            <w:pPr>
              <w:keepNext w:val="0"/>
              <w:keepLines w:val="0"/>
              <w:pageBreakBefore w:val="0"/>
              <w:widowControl w:val="0"/>
              <w:kinsoku/>
              <w:wordWrap/>
              <w:overflowPunct/>
              <w:topLinePunct w:val="0"/>
              <w:autoSpaceDE/>
              <w:autoSpaceDN/>
              <w:bidi w:val="0"/>
              <w:adjustRightInd w:val="0"/>
              <w:snapToGrid/>
              <w:spacing w:line="384" w:lineRule="exact"/>
              <w:ind w:firstLine="480" w:firstLineChars="200"/>
              <w:textAlignment w:val="auto"/>
              <w:rPr>
                <w:sz w:val="24"/>
              </w:rPr>
            </w:pPr>
            <w:r>
              <w:rPr>
                <w:sz w:val="24"/>
              </w:rPr>
              <w:t>明确危险化学品应急处置单位、人员名单和有效联系方式，以便事故发生时及时处置。</w:t>
            </w:r>
          </w:p>
          <w:p w14:paraId="49D9FA4E">
            <w:pPr>
              <w:autoSpaceDE w:val="0"/>
              <w:autoSpaceDN w:val="0"/>
              <w:adjustRightInd w:val="0"/>
              <w:spacing w:before="120" w:beforeLines="50" w:line="300" w:lineRule="auto"/>
              <w:rPr>
                <w:b/>
                <w:color w:val="auto"/>
                <w:kern w:val="0"/>
                <w:sz w:val="24"/>
              </w:rPr>
            </w:pPr>
            <w:r>
              <w:rPr>
                <w:rFonts w:hint="eastAsia"/>
                <w:b/>
                <w:color w:val="auto"/>
                <w:kern w:val="0"/>
                <w:sz w:val="24"/>
              </w:rPr>
              <w:t>7</w:t>
            </w:r>
            <w:r>
              <w:rPr>
                <w:b/>
                <w:color w:val="auto"/>
                <w:kern w:val="0"/>
                <w:sz w:val="24"/>
              </w:rPr>
              <w:t>. 监测计划</w:t>
            </w:r>
          </w:p>
          <w:p w14:paraId="6ACAE9CD">
            <w:pPr>
              <w:adjustRightInd w:val="0"/>
              <w:spacing w:after="120" w:afterLines="50" w:line="300" w:lineRule="auto"/>
              <w:ind w:firstLine="480" w:firstLineChars="200"/>
              <w:rPr>
                <w:color w:val="auto"/>
                <w:kern w:val="0"/>
                <w:sz w:val="24"/>
              </w:rPr>
            </w:pPr>
            <w:r>
              <w:rPr>
                <w:color w:val="auto"/>
                <w:kern w:val="0"/>
                <w:sz w:val="24"/>
              </w:rPr>
              <w:t>拟建公路监测计划见表5-</w:t>
            </w:r>
            <w:r>
              <w:rPr>
                <w:rFonts w:hint="eastAsia"/>
                <w:color w:val="auto"/>
                <w:kern w:val="0"/>
                <w:sz w:val="24"/>
                <w:lang w:val="en-US" w:eastAsia="zh-CN"/>
              </w:rPr>
              <w:t>7</w:t>
            </w:r>
            <w:r>
              <w:rPr>
                <w:color w:val="auto"/>
                <w:kern w:val="0"/>
                <w:sz w:val="24"/>
              </w:rPr>
              <w:t>。</w:t>
            </w:r>
          </w:p>
          <w:p w14:paraId="4F9FFC67">
            <w:pPr>
              <w:keepNext w:val="0"/>
              <w:keepLines w:val="0"/>
              <w:pageBreakBefore w:val="0"/>
              <w:widowControl w:val="0"/>
              <w:kinsoku/>
              <w:wordWrap/>
              <w:overflowPunct/>
              <w:topLinePunct w:val="0"/>
              <w:autoSpaceDE/>
              <w:autoSpaceDN/>
              <w:bidi w:val="0"/>
              <w:adjustRightInd w:val="0"/>
              <w:snapToGrid w:val="0"/>
              <w:jc w:val="center"/>
              <w:textAlignment w:val="auto"/>
              <w:rPr>
                <w:b/>
                <w:color w:val="auto"/>
                <w:kern w:val="0"/>
                <w:szCs w:val="21"/>
              </w:rPr>
            </w:pPr>
            <w:r>
              <w:rPr>
                <w:b/>
                <w:color w:val="auto"/>
                <w:kern w:val="0"/>
                <w:szCs w:val="21"/>
              </w:rPr>
              <w:t>表5-</w:t>
            </w:r>
            <w:r>
              <w:rPr>
                <w:rFonts w:hint="eastAsia"/>
                <w:b/>
                <w:color w:val="auto"/>
                <w:kern w:val="0"/>
                <w:szCs w:val="21"/>
                <w:lang w:val="en-US" w:eastAsia="zh-CN"/>
              </w:rPr>
              <w:t>7</w:t>
            </w:r>
            <w:r>
              <w:rPr>
                <w:b/>
                <w:color w:val="auto"/>
                <w:kern w:val="0"/>
                <w:szCs w:val="21"/>
              </w:rPr>
              <w:t xml:space="preserve">  拟建公路监测计划一览表</w:t>
            </w:r>
          </w:p>
          <w:tbl>
            <w:tblPr>
              <w:tblStyle w:val="22"/>
              <w:tblW w:w="8221"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580"/>
              <w:gridCol w:w="524"/>
              <w:gridCol w:w="1289"/>
              <w:gridCol w:w="1410"/>
              <w:gridCol w:w="1310"/>
              <w:gridCol w:w="1467"/>
              <w:gridCol w:w="538"/>
              <w:gridCol w:w="538"/>
              <w:gridCol w:w="565"/>
            </w:tblGrid>
            <w:tr w14:paraId="0E3D70A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blHeader/>
                <w:jc w:val="center"/>
              </w:trPr>
              <w:tc>
                <w:tcPr>
                  <w:tcW w:w="352" w:type="pct"/>
                  <w:vAlign w:val="center"/>
                </w:tcPr>
                <w:p w14:paraId="108D813E">
                  <w:pPr>
                    <w:jc w:val="center"/>
                    <w:rPr>
                      <w:b/>
                      <w:color w:val="auto"/>
                      <w:szCs w:val="21"/>
                    </w:rPr>
                  </w:pPr>
                  <w:r>
                    <w:rPr>
                      <w:b/>
                      <w:color w:val="auto"/>
                      <w:szCs w:val="21"/>
                    </w:rPr>
                    <w:t>环境因子</w:t>
                  </w:r>
                </w:p>
              </w:tc>
              <w:tc>
                <w:tcPr>
                  <w:tcW w:w="318" w:type="pct"/>
                  <w:vAlign w:val="center"/>
                </w:tcPr>
                <w:p w14:paraId="20E672EB">
                  <w:pPr>
                    <w:jc w:val="center"/>
                    <w:rPr>
                      <w:b/>
                      <w:color w:val="auto"/>
                      <w:szCs w:val="21"/>
                    </w:rPr>
                  </w:pPr>
                  <w:r>
                    <w:rPr>
                      <w:b/>
                      <w:color w:val="auto"/>
                      <w:szCs w:val="21"/>
                    </w:rPr>
                    <w:t>阶段</w:t>
                  </w:r>
                </w:p>
              </w:tc>
              <w:tc>
                <w:tcPr>
                  <w:tcW w:w="783" w:type="pct"/>
                  <w:vAlign w:val="center"/>
                </w:tcPr>
                <w:p w14:paraId="116F6CFD">
                  <w:pPr>
                    <w:jc w:val="center"/>
                    <w:rPr>
                      <w:b/>
                      <w:color w:val="auto"/>
                      <w:szCs w:val="21"/>
                    </w:rPr>
                  </w:pPr>
                  <w:r>
                    <w:rPr>
                      <w:b/>
                      <w:color w:val="auto"/>
                      <w:szCs w:val="21"/>
                    </w:rPr>
                    <w:t>监测</w:t>
                  </w:r>
                </w:p>
                <w:p w14:paraId="5048C307">
                  <w:pPr>
                    <w:jc w:val="center"/>
                    <w:rPr>
                      <w:b/>
                      <w:color w:val="auto"/>
                      <w:szCs w:val="21"/>
                    </w:rPr>
                  </w:pPr>
                  <w:r>
                    <w:rPr>
                      <w:b/>
                      <w:color w:val="auto"/>
                      <w:szCs w:val="21"/>
                    </w:rPr>
                    <w:t>地点</w:t>
                  </w:r>
                </w:p>
              </w:tc>
              <w:tc>
                <w:tcPr>
                  <w:tcW w:w="857" w:type="pct"/>
                  <w:vAlign w:val="center"/>
                </w:tcPr>
                <w:p w14:paraId="778E95E6">
                  <w:pPr>
                    <w:jc w:val="center"/>
                    <w:rPr>
                      <w:b/>
                      <w:color w:val="auto"/>
                      <w:szCs w:val="21"/>
                    </w:rPr>
                  </w:pPr>
                  <w:r>
                    <w:rPr>
                      <w:b/>
                      <w:color w:val="auto"/>
                      <w:szCs w:val="21"/>
                    </w:rPr>
                    <w:t>监测项目</w:t>
                  </w:r>
                </w:p>
              </w:tc>
              <w:tc>
                <w:tcPr>
                  <w:tcW w:w="796" w:type="pct"/>
                  <w:vAlign w:val="center"/>
                </w:tcPr>
                <w:p w14:paraId="3CF6C2B7">
                  <w:pPr>
                    <w:jc w:val="center"/>
                    <w:rPr>
                      <w:b/>
                      <w:color w:val="auto"/>
                      <w:szCs w:val="21"/>
                    </w:rPr>
                  </w:pPr>
                  <w:r>
                    <w:rPr>
                      <w:b/>
                      <w:color w:val="auto"/>
                      <w:szCs w:val="21"/>
                    </w:rPr>
                    <w:t>监测频次</w:t>
                  </w:r>
                </w:p>
              </w:tc>
              <w:tc>
                <w:tcPr>
                  <w:tcW w:w="892" w:type="pct"/>
                  <w:vAlign w:val="center"/>
                </w:tcPr>
                <w:p w14:paraId="5BF5FE01">
                  <w:pPr>
                    <w:jc w:val="center"/>
                    <w:rPr>
                      <w:b/>
                      <w:color w:val="auto"/>
                      <w:szCs w:val="21"/>
                    </w:rPr>
                  </w:pPr>
                  <w:r>
                    <w:rPr>
                      <w:b/>
                      <w:color w:val="auto"/>
                      <w:szCs w:val="21"/>
                    </w:rPr>
                    <w:t>监测时间</w:t>
                  </w:r>
                </w:p>
              </w:tc>
              <w:tc>
                <w:tcPr>
                  <w:tcW w:w="327" w:type="pct"/>
                  <w:vAlign w:val="center"/>
                </w:tcPr>
                <w:p w14:paraId="5791441D">
                  <w:pPr>
                    <w:jc w:val="center"/>
                    <w:rPr>
                      <w:b/>
                      <w:color w:val="auto"/>
                      <w:szCs w:val="21"/>
                    </w:rPr>
                  </w:pPr>
                  <w:r>
                    <w:rPr>
                      <w:b/>
                      <w:color w:val="auto"/>
                      <w:szCs w:val="21"/>
                    </w:rPr>
                    <w:t>实施机构</w:t>
                  </w:r>
                </w:p>
              </w:tc>
              <w:tc>
                <w:tcPr>
                  <w:tcW w:w="327" w:type="pct"/>
                  <w:vAlign w:val="center"/>
                </w:tcPr>
                <w:p w14:paraId="5CA99B59">
                  <w:pPr>
                    <w:jc w:val="center"/>
                    <w:rPr>
                      <w:b/>
                      <w:color w:val="auto"/>
                      <w:szCs w:val="21"/>
                    </w:rPr>
                  </w:pPr>
                  <w:r>
                    <w:rPr>
                      <w:b/>
                      <w:color w:val="auto"/>
                      <w:szCs w:val="21"/>
                    </w:rPr>
                    <w:t>负责机构</w:t>
                  </w:r>
                </w:p>
              </w:tc>
              <w:tc>
                <w:tcPr>
                  <w:tcW w:w="343" w:type="pct"/>
                  <w:vAlign w:val="center"/>
                </w:tcPr>
                <w:p w14:paraId="3C6D34A0">
                  <w:pPr>
                    <w:jc w:val="center"/>
                    <w:rPr>
                      <w:b/>
                      <w:color w:val="auto"/>
                      <w:szCs w:val="21"/>
                    </w:rPr>
                  </w:pPr>
                  <w:r>
                    <w:rPr>
                      <w:b/>
                      <w:color w:val="auto"/>
                      <w:szCs w:val="21"/>
                    </w:rPr>
                    <w:t>监督机构</w:t>
                  </w:r>
                </w:p>
              </w:tc>
            </w:tr>
            <w:tr w14:paraId="6697F74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jc w:val="center"/>
              </w:trPr>
              <w:tc>
                <w:tcPr>
                  <w:tcW w:w="352" w:type="pct"/>
                  <w:vAlign w:val="center"/>
                </w:tcPr>
                <w:p w14:paraId="37754059">
                  <w:pPr>
                    <w:jc w:val="center"/>
                    <w:rPr>
                      <w:color w:val="auto"/>
                      <w:szCs w:val="21"/>
                    </w:rPr>
                  </w:pPr>
                  <w:r>
                    <w:rPr>
                      <w:color w:val="auto"/>
                      <w:szCs w:val="21"/>
                    </w:rPr>
                    <w:br w:type="page"/>
                  </w:r>
                  <w:r>
                    <w:rPr>
                      <w:color w:val="auto"/>
                      <w:szCs w:val="21"/>
                    </w:rPr>
                    <w:t>环境空气</w:t>
                  </w:r>
                </w:p>
              </w:tc>
              <w:tc>
                <w:tcPr>
                  <w:tcW w:w="318" w:type="pct"/>
                  <w:vAlign w:val="center"/>
                </w:tcPr>
                <w:p w14:paraId="0C2F0264">
                  <w:pPr>
                    <w:jc w:val="center"/>
                    <w:rPr>
                      <w:color w:val="auto"/>
                      <w:szCs w:val="21"/>
                    </w:rPr>
                  </w:pPr>
                  <w:r>
                    <w:rPr>
                      <w:color w:val="auto"/>
                      <w:szCs w:val="21"/>
                    </w:rPr>
                    <w:t>施工期</w:t>
                  </w:r>
                </w:p>
              </w:tc>
              <w:tc>
                <w:tcPr>
                  <w:tcW w:w="783" w:type="pct"/>
                  <w:vAlign w:val="center"/>
                </w:tcPr>
                <w:p w14:paraId="345E8B25">
                  <w:pPr>
                    <w:jc w:val="center"/>
                    <w:rPr>
                      <w:color w:val="auto"/>
                      <w:szCs w:val="21"/>
                    </w:rPr>
                  </w:pPr>
                  <w:r>
                    <w:rPr>
                      <w:rFonts w:hint="eastAsia"/>
                      <w:color w:val="auto"/>
                      <w:szCs w:val="21"/>
                    </w:rPr>
                    <w:t>格达良乡</w:t>
                  </w:r>
                  <w:r>
                    <w:rPr>
                      <w:color w:val="auto"/>
                      <w:szCs w:val="21"/>
                    </w:rPr>
                    <w:t>、阿亚格乔拉克村</w:t>
                  </w:r>
                </w:p>
              </w:tc>
              <w:tc>
                <w:tcPr>
                  <w:tcW w:w="857" w:type="pct"/>
                  <w:vAlign w:val="center"/>
                </w:tcPr>
                <w:p w14:paraId="498212F8">
                  <w:pPr>
                    <w:jc w:val="center"/>
                    <w:rPr>
                      <w:color w:val="auto"/>
                      <w:szCs w:val="21"/>
                    </w:rPr>
                  </w:pPr>
                  <w:r>
                    <w:rPr>
                      <w:color w:val="auto"/>
                      <w:szCs w:val="21"/>
                    </w:rPr>
                    <w:t>TSP</w:t>
                  </w:r>
                </w:p>
              </w:tc>
              <w:tc>
                <w:tcPr>
                  <w:tcW w:w="796" w:type="pct"/>
                  <w:vAlign w:val="center"/>
                </w:tcPr>
                <w:p w14:paraId="4F41E063">
                  <w:pPr>
                    <w:jc w:val="center"/>
                    <w:rPr>
                      <w:color w:val="auto"/>
                      <w:szCs w:val="21"/>
                    </w:rPr>
                  </w:pPr>
                  <w:r>
                    <w:rPr>
                      <w:color w:val="auto"/>
                      <w:szCs w:val="21"/>
                    </w:rPr>
                    <w:t>2次/年或随机抽样监测</w:t>
                  </w:r>
                </w:p>
              </w:tc>
              <w:tc>
                <w:tcPr>
                  <w:tcW w:w="892" w:type="pct"/>
                  <w:vAlign w:val="center"/>
                </w:tcPr>
                <w:p w14:paraId="567F37BF">
                  <w:pPr>
                    <w:jc w:val="center"/>
                    <w:rPr>
                      <w:color w:val="auto"/>
                      <w:szCs w:val="21"/>
                    </w:rPr>
                  </w:pPr>
                  <w:r>
                    <w:rPr>
                      <w:color w:val="auto"/>
                      <w:szCs w:val="21"/>
                    </w:rPr>
                    <w:t>3天/次，每天保证12小时采样时间</w:t>
                  </w:r>
                </w:p>
              </w:tc>
              <w:tc>
                <w:tcPr>
                  <w:tcW w:w="327" w:type="pct"/>
                  <w:vMerge w:val="restart"/>
                  <w:vAlign w:val="center"/>
                </w:tcPr>
                <w:p w14:paraId="354EB899">
                  <w:pPr>
                    <w:jc w:val="center"/>
                    <w:rPr>
                      <w:color w:val="auto"/>
                      <w:szCs w:val="21"/>
                    </w:rPr>
                  </w:pPr>
                  <w:r>
                    <w:rPr>
                      <w:color w:val="auto"/>
                      <w:szCs w:val="21"/>
                    </w:rPr>
                    <w:t>有监测资质的监测单位</w:t>
                  </w:r>
                </w:p>
              </w:tc>
              <w:tc>
                <w:tcPr>
                  <w:tcW w:w="327" w:type="pct"/>
                  <w:vMerge w:val="restart"/>
                  <w:vAlign w:val="center"/>
                </w:tcPr>
                <w:p w14:paraId="14AE1F9D">
                  <w:pPr>
                    <w:jc w:val="center"/>
                    <w:rPr>
                      <w:color w:val="auto"/>
                      <w:szCs w:val="21"/>
                    </w:rPr>
                  </w:pPr>
                  <w:r>
                    <w:rPr>
                      <w:color w:val="auto"/>
                      <w:szCs w:val="21"/>
                    </w:rPr>
                    <w:t>建设单位</w:t>
                  </w:r>
                </w:p>
              </w:tc>
              <w:tc>
                <w:tcPr>
                  <w:tcW w:w="343" w:type="pct"/>
                  <w:vMerge w:val="restart"/>
                  <w:vAlign w:val="center"/>
                </w:tcPr>
                <w:p w14:paraId="46889F2A">
                  <w:pPr>
                    <w:jc w:val="center"/>
                    <w:rPr>
                      <w:color w:val="auto"/>
                      <w:szCs w:val="21"/>
                    </w:rPr>
                  </w:pPr>
                  <w:r>
                    <w:rPr>
                      <w:rFonts w:hint="eastAsia"/>
                      <w:color w:val="auto"/>
                      <w:szCs w:val="21"/>
                      <w:lang w:val="en-US" w:eastAsia="zh-CN"/>
                    </w:rPr>
                    <w:t>自治区</w:t>
                  </w:r>
                  <w:r>
                    <w:rPr>
                      <w:color w:val="auto"/>
                      <w:szCs w:val="21"/>
                    </w:rPr>
                    <w:t>生态环境厅、</w:t>
                  </w:r>
                  <w:r>
                    <w:rPr>
                      <w:rFonts w:hint="eastAsia"/>
                      <w:color w:val="auto"/>
                      <w:szCs w:val="21"/>
                      <w:lang w:val="en-US" w:eastAsia="zh-CN"/>
                    </w:rPr>
                    <w:t>克</w:t>
                  </w:r>
                  <w:r>
                    <w:rPr>
                      <w:color w:val="auto"/>
                      <w:szCs w:val="21"/>
                    </w:rPr>
                    <w:t>州、</w:t>
                  </w:r>
                  <w:r>
                    <w:rPr>
                      <w:rFonts w:hint="eastAsia"/>
                      <w:color w:val="auto"/>
                      <w:szCs w:val="21"/>
                      <w:lang w:val="en-US" w:eastAsia="zh-CN"/>
                    </w:rPr>
                    <w:t>喀什地区</w:t>
                  </w:r>
                  <w:r>
                    <w:rPr>
                      <w:color w:val="auto"/>
                      <w:szCs w:val="21"/>
                    </w:rPr>
                    <w:t>生态环境局</w:t>
                  </w:r>
                </w:p>
              </w:tc>
            </w:tr>
            <w:tr w14:paraId="5344C83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jc w:val="center"/>
              </w:trPr>
              <w:tc>
                <w:tcPr>
                  <w:tcW w:w="352" w:type="pct"/>
                  <w:vAlign w:val="center"/>
                </w:tcPr>
                <w:p w14:paraId="559D3C49">
                  <w:pPr>
                    <w:jc w:val="center"/>
                    <w:rPr>
                      <w:color w:val="auto"/>
                      <w:szCs w:val="21"/>
                    </w:rPr>
                  </w:pPr>
                  <w:r>
                    <w:rPr>
                      <w:color w:val="auto"/>
                      <w:szCs w:val="21"/>
                    </w:rPr>
                    <w:t>环境噪声</w:t>
                  </w:r>
                </w:p>
              </w:tc>
              <w:tc>
                <w:tcPr>
                  <w:tcW w:w="318" w:type="pct"/>
                  <w:vAlign w:val="center"/>
                </w:tcPr>
                <w:p w14:paraId="1B4C29C3">
                  <w:pPr>
                    <w:jc w:val="center"/>
                    <w:rPr>
                      <w:color w:val="auto"/>
                      <w:szCs w:val="21"/>
                    </w:rPr>
                  </w:pPr>
                  <w:r>
                    <w:rPr>
                      <w:color w:val="auto"/>
                      <w:szCs w:val="21"/>
                    </w:rPr>
                    <w:t>施工期</w:t>
                  </w:r>
                </w:p>
              </w:tc>
              <w:tc>
                <w:tcPr>
                  <w:tcW w:w="783" w:type="pct"/>
                  <w:vAlign w:val="center"/>
                </w:tcPr>
                <w:p w14:paraId="49284DED">
                  <w:pPr>
                    <w:jc w:val="center"/>
                    <w:rPr>
                      <w:color w:val="auto"/>
                      <w:szCs w:val="21"/>
                    </w:rPr>
                  </w:pPr>
                  <w:r>
                    <w:rPr>
                      <w:rFonts w:hint="eastAsia"/>
                      <w:color w:val="auto"/>
                      <w:szCs w:val="21"/>
                    </w:rPr>
                    <w:t>库尔干村、格达良乡中心小学、阿亚格勒格勒德玛小学、伽师县中等职业技术学校、</w:t>
                  </w:r>
                  <w:r>
                    <w:rPr>
                      <w:color w:val="auto"/>
                      <w:szCs w:val="21"/>
                    </w:rPr>
                    <w:t>阿亚格乔拉克村</w:t>
                  </w:r>
                </w:p>
              </w:tc>
              <w:tc>
                <w:tcPr>
                  <w:tcW w:w="857" w:type="pct"/>
                  <w:vAlign w:val="center"/>
                </w:tcPr>
                <w:p w14:paraId="5AB81C93">
                  <w:pPr>
                    <w:jc w:val="center"/>
                    <w:rPr>
                      <w:color w:val="auto"/>
                      <w:szCs w:val="21"/>
                    </w:rPr>
                  </w:pPr>
                  <w:r>
                    <w:rPr>
                      <w:color w:val="auto"/>
                      <w:szCs w:val="21"/>
                    </w:rPr>
                    <w:t>施工场界噪声</w:t>
                  </w:r>
                </w:p>
              </w:tc>
              <w:tc>
                <w:tcPr>
                  <w:tcW w:w="796" w:type="pct"/>
                  <w:vAlign w:val="center"/>
                </w:tcPr>
                <w:p w14:paraId="53D461EF">
                  <w:pPr>
                    <w:jc w:val="center"/>
                    <w:rPr>
                      <w:color w:val="auto"/>
                      <w:szCs w:val="21"/>
                    </w:rPr>
                  </w:pPr>
                  <w:r>
                    <w:rPr>
                      <w:color w:val="auto"/>
                      <w:szCs w:val="21"/>
                    </w:rPr>
                    <w:t>1次/季度，必要时随机抽样监测</w:t>
                  </w:r>
                </w:p>
              </w:tc>
              <w:tc>
                <w:tcPr>
                  <w:tcW w:w="892" w:type="pct"/>
                  <w:vAlign w:val="center"/>
                </w:tcPr>
                <w:p w14:paraId="2D732F6A">
                  <w:pPr>
                    <w:jc w:val="center"/>
                    <w:rPr>
                      <w:color w:val="auto"/>
                      <w:szCs w:val="21"/>
                    </w:rPr>
                  </w:pPr>
                  <w:r>
                    <w:rPr>
                      <w:color w:val="auto"/>
                      <w:szCs w:val="21"/>
                    </w:rPr>
                    <w:t>2天/次，每天昼间、夜间各监测1次</w:t>
                  </w:r>
                </w:p>
              </w:tc>
              <w:tc>
                <w:tcPr>
                  <w:tcW w:w="327" w:type="pct"/>
                  <w:vMerge w:val="continue"/>
                  <w:vAlign w:val="center"/>
                </w:tcPr>
                <w:p w14:paraId="6C5F5149">
                  <w:pPr>
                    <w:jc w:val="center"/>
                    <w:rPr>
                      <w:color w:val="0070C0"/>
                      <w:szCs w:val="21"/>
                    </w:rPr>
                  </w:pPr>
                </w:p>
              </w:tc>
              <w:tc>
                <w:tcPr>
                  <w:tcW w:w="327" w:type="pct"/>
                  <w:vMerge w:val="continue"/>
                  <w:vAlign w:val="center"/>
                </w:tcPr>
                <w:p w14:paraId="50BA8EA9">
                  <w:pPr>
                    <w:jc w:val="center"/>
                    <w:rPr>
                      <w:color w:val="0070C0"/>
                      <w:szCs w:val="21"/>
                    </w:rPr>
                  </w:pPr>
                </w:p>
              </w:tc>
              <w:tc>
                <w:tcPr>
                  <w:tcW w:w="343" w:type="pct"/>
                  <w:vMerge w:val="continue"/>
                  <w:vAlign w:val="center"/>
                </w:tcPr>
                <w:p w14:paraId="0C5B8725">
                  <w:pPr>
                    <w:jc w:val="center"/>
                    <w:rPr>
                      <w:color w:val="0070C0"/>
                      <w:szCs w:val="21"/>
                    </w:rPr>
                  </w:pPr>
                </w:p>
              </w:tc>
            </w:tr>
            <w:tr w14:paraId="309C8B0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jc w:val="center"/>
              </w:trPr>
              <w:tc>
                <w:tcPr>
                  <w:tcW w:w="352" w:type="pct"/>
                  <w:vMerge w:val="restart"/>
                  <w:vAlign w:val="center"/>
                </w:tcPr>
                <w:p w14:paraId="0B71E293">
                  <w:pPr>
                    <w:jc w:val="center"/>
                    <w:rPr>
                      <w:color w:val="auto"/>
                      <w:szCs w:val="21"/>
                    </w:rPr>
                  </w:pPr>
                  <w:r>
                    <w:rPr>
                      <w:color w:val="auto"/>
                      <w:szCs w:val="21"/>
                    </w:rPr>
                    <w:t>地表水环境</w:t>
                  </w:r>
                </w:p>
              </w:tc>
              <w:tc>
                <w:tcPr>
                  <w:tcW w:w="318" w:type="pct"/>
                  <w:vAlign w:val="center"/>
                </w:tcPr>
                <w:p w14:paraId="0EFF961B">
                  <w:pPr>
                    <w:jc w:val="center"/>
                    <w:rPr>
                      <w:color w:val="auto"/>
                      <w:szCs w:val="21"/>
                    </w:rPr>
                  </w:pPr>
                  <w:r>
                    <w:rPr>
                      <w:color w:val="auto"/>
                      <w:szCs w:val="21"/>
                    </w:rPr>
                    <w:t>施工期</w:t>
                  </w:r>
                </w:p>
              </w:tc>
              <w:tc>
                <w:tcPr>
                  <w:tcW w:w="783" w:type="pct"/>
                  <w:vAlign w:val="center"/>
                </w:tcPr>
                <w:p w14:paraId="480A4151">
                  <w:pPr>
                    <w:jc w:val="center"/>
                    <w:rPr>
                      <w:color w:val="auto"/>
                      <w:szCs w:val="21"/>
                    </w:rPr>
                  </w:pPr>
                  <w:r>
                    <w:rPr>
                      <w:rFonts w:hint="eastAsia"/>
                      <w:color w:val="auto"/>
                      <w:szCs w:val="21"/>
                      <w:lang w:val="en-US" w:eastAsia="zh-CN"/>
                    </w:rPr>
                    <w:t>新栏杆一桥、</w:t>
                  </w:r>
                  <w:r>
                    <w:rPr>
                      <w:rFonts w:eastAsiaTheme="minorEastAsia"/>
                      <w:color w:val="auto"/>
                    </w:rPr>
                    <w:t>大桥</w:t>
                  </w:r>
                  <w:r>
                    <w:rPr>
                      <w:color w:val="auto"/>
                      <w:szCs w:val="21"/>
                    </w:rPr>
                    <w:t>桥位下游200m</w:t>
                  </w:r>
                </w:p>
              </w:tc>
              <w:tc>
                <w:tcPr>
                  <w:tcW w:w="857" w:type="pct"/>
                  <w:vAlign w:val="center"/>
                </w:tcPr>
                <w:p w14:paraId="7B40D915">
                  <w:pPr>
                    <w:jc w:val="center"/>
                    <w:rPr>
                      <w:color w:val="auto"/>
                      <w:szCs w:val="21"/>
                    </w:rPr>
                  </w:pPr>
                  <w:r>
                    <w:rPr>
                      <w:color w:val="auto"/>
                      <w:szCs w:val="21"/>
                    </w:rPr>
                    <w:t>pH、COD、石油类、</w:t>
                  </w:r>
                  <w:r>
                    <w:rPr>
                      <w:rFonts w:hint="eastAsia"/>
                      <w:color w:val="auto"/>
                      <w:szCs w:val="21"/>
                    </w:rPr>
                    <w:t>SS</w:t>
                  </w:r>
                </w:p>
              </w:tc>
              <w:tc>
                <w:tcPr>
                  <w:tcW w:w="796" w:type="pct"/>
                  <w:vAlign w:val="center"/>
                </w:tcPr>
                <w:p w14:paraId="1D4F21D1">
                  <w:pPr>
                    <w:jc w:val="center"/>
                    <w:rPr>
                      <w:color w:val="auto"/>
                      <w:szCs w:val="21"/>
                    </w:rPr>
                  </w:pPr>
                  <w:r>
                    <w:rPr>
                      <w:color w:val="auto"/>
                      <w:szCs w:val="21"/>
                    </w:rPr>
                    <w:t>桩基础施工期间，</w:t>
                  </w:r>
                  <w:r>
                    <w:rPr>
                      <w:rFonts w:hint="eastAsia"/>
                      <w:color w:val="auto"/>
                      <w:szCs w:val="21"/>
                    </w:rPr>
                    <w:t>1</w:t>
                  </w:r>
                  <w:r>
                    <w:rPr>
                      <w:color w:val="auto"/>
                      <w:szCs w:val="21"/>
                    </w:rPr>
                    <w:t>次/</w:t>
                  </w:r>
                  <w:r>
                    <w:rPr>
                      <w:rFonts w:hint="eastAsia"/>
                      <w:color w:val="auto"/>
                      <w:szCs w:val="21"/>
                    </w:rPr>
                    <w:t>月</w:t>
                  </w:r>
                </w:p>
              </w:tc>
              <w:tc>
                <w:tcPr>
                  <w:tcW w:w="892" w:type="pct"/>
                  <w:vAlign w:val="center"/>
                </w:tcPr>
                <w:p w14:paraId="38C9472E">
                  <w:pPr>
                    <w:jc w:val="center"/>
                    <w:rPr>
                      <w:color w:val="auto"/>
                      <w:szCs w:val="21"/>
                    </w:rPr>
                  </w:pPr>
                  <w:r>
                    <w:rPr>
                      <w:color w:val="auto"/>
                      <w:szCs w:val="21"/>
                    </w:rPr>
                    <w:t>采水样3天/次</w:t>
                  </w:r>
                </w:p>
              </w:tc>
              <w:tc>
                <w:tcPr>
                  <w:tcW w:w="327" w:type="pct"/>
                  <w:vMerge w:val="continue"/>
                  <w:vAlign w:val="center"/>
                </w:tcPr>
                <w:p w14:paraId="0C0E97D6">
                  <w:pPr>
                    <w:jc w:val="center"/>
                    <w:rPr>
                      <w:color w:val="0070C0"/>
                      <w:szCs w:val="21"/>
                    </w:rPr>
                  </w:pPr>
                </w:p>
              </w:tc>
              <w:tc>
                <w:tcPr>
                  <w:tcW w:w="327" w:type="pct"/>
                  <w:vMerge w:val="continue"/>
                  <w:vAlign w:val="center"/>
                </w:tcPr>
                <w:p w14:paraId="20ADE6D4">
                  <w:pPr>
                    <w:jc w:val="center"/>
                    <w:rPr>
                      <w:color w:val="0070C0"/>
                      <w:szCs w:val="21"/>
                    </w:rPr>
                  </w:pPr>
                </w:p>
              </w:tc>
              <w:tc>
                <w:tcPr>
                  <w:tcW w:w="343" w:type="pct"/>
                  <w:vMerge w:val="continue"/>
                  <w:vAlign w:val="center"/>
                </w:tcPr>
                <w:p w14:paraId="3C7BC13F">
                  <w:pPr>
                    <w:jc w:val="center"/>
                    <w:rPr>
                      <w:color w:val="0070C0"/>
                      <w:szCs w:val="21"/>
                    </w:rPr>
                  </w:pPr>
                </w:p>
              </w:tc>
            </w:tr>
            <w:tr w14:paraId="421D2C7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jc w:val="center"/>
              </w:trPr>
              <w:tc>
                <w:tcPr>
                  <w:tcW w:w="352" w:type="pct"/>
                  <w:vMerge w:val="continue"/>
                  <w:vAlign w:val="center"/>
                </w:tcPr>
                <w:p w14:paraId="0629A0A5">
                  <w:pPr>
                    <w:jc w:val="center"/>
                    <w:rPr>
                      <w:color w:val="auto"/>
                      <w:szCs w:val="21"/>
                    </w:rPr>
                  </w:pPr>
                </w:p>
              </w:tc>
              <w:tc>
                <w:tcPr>
                  <w:tcW w:w="318" w:type="pct"/>
                  <w:vMerge w:val="restart"/>
                  <w:vAlign w:val="center"/>
                </w:tcPr>
                <w:p w14:paraId="2873DCEF">
                  <w:pPr>
                    <w:jc w:val="center"/>
                    <w:rPr>
                      <w:color w:val="auto"/>
                      <w:szCs w:val="21"/>
                    </w:rPr>
                  </w:pPr>
                  <w:r>
                    <w:rPr>
                      <w:color w:val="auto"/>
                      <w:szCs w:val="21"/>
                    </w:rPr>
                    <w:t>运营期</w:t>
                  </w:r>
                </w:p>
              </w:tc>
              <w:tc>
                <w:tcPr>
                  <w:tcW w:w="783" w:type="pct"/>
                  <w:vAlign w:val="center"/>
                </w:tcPr>
                <w:p w14:paraId="778EA726">
                  <w:pPr>
                    <w:jc w:val="center"/>
                    <w:rPr>
                      <w:rFonts w:hint="default" w:eastAsia="宋体"/>
                      <w:color w:val="auto"/>
                      <w:szCs w:val="21"/>
                      <w:lang w:val="en-US" w:eastAsia="zh-CN"/>
                    </w:rPr>
                  </w:pPr>
                  <w:r>
                    <w:rPr>
                      <w:rFonts w:hint="eastAsia"/>
                      <w:color w:val="auto"/>
                      <w:szCs w:val="21"/>
                      <w:lang w:val="en-US" w:eastAsia="zh-CN"/>
                    </w:rPr>
                    <w:t>收费站</w:t>
                  </w:r>
                </w:p>
              </w:tc>
              <w:tc>
                <w:tcPr>
                  <w:tcW w:w="857" w:type="pct"/>
                  <w:vAlign w:val="center"/>
                </w:tcPr>
                <w:p w14:paraId="7A9636BB">
                  <w:pPr>
                    <w:jc w:val="center"/>
                    <w:rPr>
                      <w:color w:val="auto"/>
                      <w:szCs w:val="21"/>
                    </w:rPr>
                  </w:pPr>
                  <w:r>
                    <w:rPr>
                      <w:color w:val="auto"/>
                      <w:szCs w:val="21"/>
                    </w:rPr>
                    <w:t>pH值、BOD</w:t>
                  </w:r>
                  <w:r>
                    <w:rPr>
                      <w:color w:val="auto"/>
                      <w:szCs w:val="21"/>
                      <w:vertAlign w:val="subscript"/>
                    </w:rPr>
                    <w:t>5</w:t>
                  </w:r>
                  <w:r>
                    <w:rPr>
                      <w:color w:val="auto"/>
                      <w:szCs w:val="21"/>
                    </w:rPr>
                    <w:t>、油脂、COD、氨氮、SS</w:t>
                  </w:r>
                </w:p>
              </w:tc>
              <w:tc>
                <w:tcPr>
                  <w:tcW w:w="796" w:type="pct"/>
                  <w:vAlign w:val="center"/>
                </w:tcPr>
                <w:p w14:paraId="4B7A2C89">
                  <w:pPr>
                    <w:jc w:val="center"/>
                    <w:rPr>
                      <w:color w:val="auto"/>
                      <w:szCs w:val="21"/>
                    </w:rPr>
                  </w:pPr>
                  <w:r>
                    <w:rPr>
                      <w:color w:val="auto"/>
                      <w:szCs w:val="21"/>
                    </w:rPr>
                    <w:t>达标排放，每年随机抽查监测 2次</w:t>
                  </w:r>
                </w:p>
              </w:tc>
              <w:tc>
                <w:tcPr>
                  <w:tcW w:w="892" w:type="pct"/>
                  <w:vAlign w:val="center"/>
                </w:tcPr>
                <w:p w14:paraId="07D26643">
                  <w:pPr>
                    <w:jc w:val="center"/>
                    <w:rPr>
                      <w:color w:val="auto"/>
                      <w:szCs w:val="21"/>
                    </w:rPr>
                  </w:pPr>
                  <w:r>
                    <w:rPr>
                      <w:color w:val="auto"/>
                      <w:szCs w:val="21"/>
                    </w:rPr>
                    <w:t>采水样2天/次</w:t>
                  </w:r>
                </w:p>
              </w:tc>
              <w:tc>
                <w:tcPr>
                  <w:tcW w:w="327" w:type="pct"/>
                  <w:vMerge w:val="continue"/>
                  <w:vAlign w:val="center"/>
                </w:tcPr>
                <w:p w14:paraId="56397ED6">
                  <w:pPr>
                    <w:jc w:val="center"/>
                    <w:rPr>
                      <w:color w:val="0070C0"/>
                      <w:szCs w:val="21"/>
                    </w:rPr>
                  </w:pPr>
                </w:p>
              </w:tc>
              <w:tc>
                <w:tcPr>
                  <w:tcW w:w="327" w:type="pct"/>
                  <w:vMerge w:val="continue"/>
                  <w:vAlign w:val="center"/>
                </w:tcPr>
                <w:p w14:paraId="4BC52955">
                  <w:pPr>
                    <w:jc w:val="center"/>
                    <w:rPr>
                      <w:color w:val="0070C0"/>
                      <w:szCs w:val="21"/>
                    </w:rPr>
                  </w:pPr>
                </w:p>
              </w:tc>
              <w:tc>
                <w:tcPr>
                  <w:tcW w:w="343" w:type="pct"/>
                  <w:vMerge w:val="continue"/>
                  <w:vAlign w:val="center"/>
                </w:tcPr>
                <w:p w14:paraId="1A40D023">
                  <w:pPr>
                    <w:jc w:val="center"/>
                    <w:rPr>
                      <w:color w:val="0070C0"/>
                      <w:szCs w:val="21"/>
                    </w:rPr>
                  </w:pPr>
                </w:p>
              </w:tc>
            </w:tr>
            <w:tr w14:paraId="79B81AE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jc w:val="center"/>
              </w:trPr>
              <w:tc>
                <w:tcPr>
                  <w:tcW w:w="352" w:type="pct"/>
                  <w:vMerge w:val="continue"/>
                  <w:vAlign w:val="center"/>
                </w:tcPr>
                <w:p w14:paraId="32BB4F5E">
                  <w:pPr>
                    <w:jc w:val="center"/>
                    <w:rPr>
                      <w:color w:val="auto"/>
                      <w:szCs w:val="21"/>
                    </w:rPr>
                  </w:pPr>
                </w:p>
              </w:tc>
              <w:tc>
                <w:tcPr>
                  <w:tcW w:w="318" w:type="pct"/>
                  <w:vMerge w:val="continue"/>
                  <w:vAlign w:val="center"/>
                </w:tcPr>
                <w:p w14:paraId="68FA8F51">
                  <w:pPr>
                    <w:jc w:val="center"/>
                    <w:rPr>
                      <w:color w:val="auto"/>
                      <w:szCs w:val="21"/>
                    </w:rPr>
                  </w:pPr>
                </w:p>
              </w:tc>
              <w:tc>
                <w:tcPr>
                  <w:tcW w:w="783" w:type="pct"/>
                  <w:vAlign w:val="center"/>
                </w:tcPr>
                <w:p w14:paraId="698C951D">
                  <w:pPr>
                    <w:jc w:val="center"/>
                    <w:rPr>
                      <w:rFonts w:hint="default" w:eastAsia="宋体"/>
                      <w:color w:val="auto"/>
                      <w:szCs w:val="21"/>
                      <w:lang w:val="en-US" w:eastAsia="zh-CN"/>
                    </w:rPr>
                  </w:pPr>
                  <w:r>
                    <w:rPr>
                      <w:rFonts w:hint="eastAsia"/>
                      <w:color w:val="auto"/>
                      <w:szCs w:val="21"/>
                      <w:lang w:val="en-US" w:eastAsia="zh-CN"/>
                    </w:rPr>
                    <w:t>新栏杆一桥、</w:t>
                  </w:r>
                  <w:r>
                    <w:rPr>
                      <w:rFonts w:eastAsiaTheme="minorEastAsia"/>
                      <w:color w:val="auto"/>
                    </w:rPr>
                    <w:t>大桥</w:t>
                  </w:r>
                  <w:r>
                    <w:rPr>
                      <w:color w:val="auto"/>
                      <w:szCs w:val="21"/>
                    </w:rPr>
                    <w:t>桥位下游</w:t>
                  </w:r>
                  <w:r>
                    <w:rPr>
                      <w:rFonts w:hint="eastAsia"/>
                      <w:color w:val="auto"/>
                      <w:szCs w:val="21"/>
                      <w:lang w:val="en-US" w:eastAsia="zh-CN"/>
                    </w:rPr>
                    <w:t>200m</w:t>
                  </w:r>
                </w:p>
              </w:tc>
              <w:tc>
                <w:tcPr>
                  <w:tcW w:w="857" w:type="pct"/>
                  <w:vAlign w:val="center"/>
                </w:tcPr>
                <w:p w14:paraId="258F89B0">
                  <w:pPr>
                    <w:jc w:val="center"/>
                    <w:rPr>
                      <w:color w:val="auto"/>
                      <w:szCs w:val="21"/>
                    </w:rPr>
                  </w:pPr>
                  <w:r>
                    <w:rPr>
                      <w:color w:val="auto"/>
                    </w:rPr>
                    <w:t>pH值、BOD</w:t>
                  </w:r>
                  <w:r>
                    <w:rPr>
                      <w:color w:val="auto"/>
                      <w:vertAlign w:val="subscript"/>
                    </w:rPr>
                    <w:t>5</w:t>
                  </w:r>
                  <w:r>
                    <w:rPr>
                      <w:color w:val="auto"/>
                    </w:rPr>
                    <w:t>、</w:t>
                  </w:r>
                  <w:r>
                    <w:rPr>
                      <w:rFonts w:hint="eastAsia"/>
                      <w:color w:val="auto"/>
                    </w:rPr>
                    <w:t>石油类</w:t>
                  </w:r>
                </w:p>
              </w:tc>
              <w:tc>
                <w:tcPr>
                  <w:tcW w:w="796" w:type="pct"/>
                  <w:vAlign w:val="center"/>
                </w:tcPr>
                <w:p w14:paraId="1DB573FA">
                  <w:pPr>
                    <w:jc w:val="center"/>
                    <w:rPr>
                      <w:color w:val="auto"/>
                      <w:szCs w:val="21"/>
                    </w:rPr>
                  </w:pPr>
                  <w:r>
                    <w:rPr>
                      <w:color w:val="auto"/>
                      <w:spacing w:val="-6"/>
                    </w:rPr>
                    <w:t xml:space="preserve">每年随机抽查监测 </w:t>
                  </w:r>
                  <w:r>
                    <w:rPr>
                      <w:rFonts w:hint="eastAsia"/>
                      <w:color w:val="auto"/>
                      <w:spacing w:val="-6"/>
                    </w:rPr>
                    <w:t>2</w:t>
                  </w:r>
                  <w:r>
                    <w:rPr>
                      <w:color w:val="auto"/>
                      <w:spacing w:val="-6"/>
                    </w:rPr>
                    <w:t>次</w:t>
                  </w:r>
                </w:p>
              </w:tc>
              <w:tc>
                <w:tcPr>
                  <w:tcW w:w="892" w:type="pct"/>
                  <w:vAlign w:val="center"/>
                </w:tcPr>
                <w:p w14:paraId="7935D9E9">
                  <w:pPr>
                    <w:jc w:val="center"/>
                    <w:rPr>
                      <w:color w:val="auto"/>
                      <w:szCs w:val="21"/>
                    </w:rPr>
                  </w:pPr>
                  <w:r>
                    <w:rPr>
                      <w:color w:val="auto"/>
                    </w:rPr>
                    <w:t>采水样3天/次</w:t>
                  </w:r>
                </w:p>
              </w:tc>
              <w:tc>
                <w:tcPr>
                  <w:tcW w:w="327" w:type="pct"/>
                  <w:vMerge w:val="continue"/>
                  <w:vAlign w:val="center"/>
                </w:tcPr>
                <w:p w14:paraId="22B36C69">
                  <w:pPr>
                    <w:jc w:val="center"/>
                    <w:rPr>
                      <w:color w:val="0070C0"/>
                      <w:szCs w:val="21"/>
                    </w:rPr>
                  </w:pPr>
                </w:p>
              </w:tc>
              <w:tc>
                <w:tcPr>
                  <w:tcW w:w="327" w:type="pct"/>
                  <w:vMerge w:val="continue"/>
                  <w:vAlign w:val="center"/>
                </w:tcPr>
                <w:p w14:paraId="2A6256CC">
                  <w:pPr>
                    <w:jc w:val="center"/>
                    <w:rPr>
                      <w:color w:val="0070C0"/>
                      <w:szCs w:val="21"/>
                    </w:rPr>
                  </w:pPr>
                </w:p>
              </w:tc>
              <w:tc>
                <w:tcPr>
                  <w:tcW w:w="343" w:type="pct"/>
                  <w:vMerge w:val="continue"/>
                  <w:vAlign w:val="center"/>
                </w:tcPr>
                <w:p w14:paraId="1DEA8C6A">
                  <w:pPr>
                    <w:jc w:val="center"/>
                    <w:rPr>
                      <w:color w:val="0070C0"/>
                      <w:szCs w:val="21"/>
                    </w:rPr>
                  </w:pPr>
                </w:p>
              </w:tc>
            </w:tr>
          </w:tbl>
          <w:p w14:paraId="31639F94">
            <w:pPr>
              <w:adjustRightInd w:val="0"/>
              <w:snapToGrid w:val="0"/>
              <w:rPr>
                <w:rFonts w:hint="eastAsia"/>
                <w:color w:val="0070C0"/>
                <w:kern w:val="0"/>
                <w:sz w:val="24"/>
                <w:lang w:val="en-US" w:eastAsia="zh-CN"/>
              </w:rPr>
            </w:pPr>
          </w:p>
          <w:p w14:paraId="0C9311F6">
            <w:pPr>
              <w:keepNext w:val="0"/>
              <w:keepLines w:val="0"/>
              <w:pageBreakBefore w:val="0"/>
              <w:widowControl w:val="0"/>
              <w:kinsoku/>
              <w:wordWrap/>
              <w:overflowPunct/>
              <w:topLinePunct w:val="0"/>
              <w:autoSpaceDE/>
              <w:autoSpaceDN/>
              <w:bidi w:val="0"/>
              <w:adjustRightInd w:val="0"/>
              <w:snapToGrid w:val="0"/>
              <w:spacing w:line="300" w:lineRule="auto"/>
              <w:textAlignment w:val="auto"/>
              <w:rPr>
                <w:rFonts w:hint="eastAsia"/>
                <w:b/>
                <w:bCs/>
                <w:color w:val="auto"/>
                <w:kern w:val="0"/>
                <w:sz w:val="24"/>
                <w:lang w:val="en-US" w:eastAsia="zh-CN"/>
              </w:rPr>
            </w:pPr>
            <w:r>
              <w:rPr>
                <w:rFonts w:hint="eastAsia"/>
                <w:b/>
                <w:bCs/>
                <w:color w:val="auto"/>
                <w:kern w:val="0"/>
                <w:sz w:val="24"/>
                <w:lang w:val="en-US" w:eastAsia="zh-CN"/>
              </w:rPr>
              <w:t>8. 竣工环境保护验收</w:t>
            </w:r>
          </w:p>
          <w:p w14:paraId="1F14236C">
            <w:pPr>
              <w:keepNext w:val="0"/>
              <w:keepLines w:val="0"/>
              <w:pageBreakBefore w:val="0"/>
              <w:widowControl w:val="0"/>
              <w:kinsoku/>
              <w:wordWrap/>
              <w:overflowPunct/>
              <w:topLinePunct w:val="0"/>
              <w:autoSpaceDE/>
              <w:autoSpaceDN/>
              <w:bidi w:val="0"/>
              <w:adjustRightInd w:val="0"/>
              <w:snapToGrid w:val="0"/>
              <w:spacing w:line="300" w:lineRule="auto"/>
              <w:ind w:firstLine="480" w:firstLineChars="200"/>
              <w:textAlignment w:val="auto"/>
              <w:rPr>
                <w:rFonts w:hint="default"/>
                <w:color w:val="0070C0"/>
                <w:kern w:val="0"/>
                <w:sz w:val="24"/>
                <w:lang w:val="en-US" w:eastAsia="zh-CN"/>
              </w:rPr>
            </w:pPr>
            <w:r>
              <w:rPr>
                <w:rFonts w:hint="eastAsia"/>
                <w:color w:val="auto"/>
                <w:kern w:val="0"/>
                <w:sz w:val="24"/>
                <w:lang w:val="en-US" w:eastAsia="zh-CN"/>
              </w:rPr>
              <w:t>拟建公路</w:t>
            </w:r>
            <w:r>
              <w:rPr>
                <w:rFonts w:hint="default"/>
                <w:color w:val="auto"/>
                <w:kern w:val="0"/>
                <w:sz w:val="24"/>
                <w:lang w:val="en-US" w:eastAsia="zh-CN"/>
              </w:rPr>
              <w:t>建设应当严格执行环境保护设施与主体工程同时设计、同时施工、同时投产使用的环境保护“三同时”制度，落实各项生态保护和生态恢复措施以及污染防治措施。根据《建设项目环境保护管理条例》和《建设项目竣工环境保护验收暂行办法》等法律法规的有关规定，项目通车运营后建设单位应及时开展自主环保验收，建设单位不具备编制验收监测（调查）报告能力的，可委托有能力的技术机构编制。针对本项目开展竣工环境保护验收工作，建议建设单位在项目建设后期及时委托技术服务单位进场开展竣工环境保护验收调查工作，确保环评报告及批复中提出的措施能够及时落地或及时进行整改</w:t>
            </w:r>
            <w:r>
              <w:rPr>
                <w:rFonts w:hint="eastAsia"/>
                <w:color w:val="auto"/>
                <w:kern w:val="0"/>
                <w:sz w:val="24"/>
                <w:lang w:val="en-US" w:eastAsia="zh-CN"/>
              </w:rPr>
              <w:t>。</w:t>
            </w:r>
          </w:p>
        </w:tc>
      </w:tr>
      <w:tr w14:paraId="4A72F2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3" w:type="dxa"/>
            <w:tcMar>
              <w:left w:w="28" w:type="dxa"/>
              <w:right w:w="28" w:type="dxa"/>
            </w:tcMar>
            <w:vAlign w:val="center"/>
          </w:tcPr>
          <w:p w14:paraId="33AC6FC8">
            <w:pPr>
              <w:adjustRightInd w:val="0"/>
              <w:snapToGrid w:val="0"/>
              <w:jc w:val="center"/>
              <w:rPr>
                <w:rFonts w:hint="eastAsia"/>
                <w:bCs/>
                <w:color w:val="auto"/>
                <w:spacing w:val="10"/>
                <w:sz w:val="24"/>
                <w:lang w:val="en-US" w:eastAsia="zh-CN"/>
              </w:rPr>
            </w:pPr>
          </w:p>
          <w:p w14:paraId="429E9256">
            <w:pPr>
              <w:adjustRightInd w:val="0"/>
              <w:snapToGrid w:val="0"/>
              <w:jc w:val="center"/>
              <w:rPr>
                <w:rFonts w:hint="eastAsia"/>
                <w:bCs/>
                <w:color w:val="auto"/>
                <w:spacing w:val="10"/>
                <w:sz w:val="24"/>
                <w:lang w:val="en-US" w:eastAsia="zh-CN"/>
              </w:rPr>
            </w:pPr>
          </w:p>
          <w:p w14:paraId="1C220355">
            <w:pPr>
              <w:adjustRightInd w:val="0"/>
              <w:snapToGrid w:val="0"/>
              <w:jc w:val="center"/>
              <w:rPr>
                <w:rFonts w:hint="eastAsia"/>
                <w:bCs/>
                <w:color w:val="auto"/>
                <w:spacing w:val="10"/>
                <w:sz w:val="24"/>
                <w:lang w:val="en-US" w:eastAsia="zh-CN"/>
              </w:rPr>
            </w:pPr>
            <w:r>
              <w:rPr>
                <w:rFonts w:hint="eastAsia"/>
                <w:bCs/>
                <w:color w:val="auto"/>
                <w:spacing w:val="10"/>
                <w:sz w:val="24"/>
                <w:lang w:val="en-US" w:eastAsia="zh-CN"/>
              </w:rPr>
              <w:t>其他</w:t>
            </w:r>
          </w:p>
          <w:p w14:paraId="36FDAA44">
            <w:pPr>
              <w:adjustRightInd w:val="0"/>
              <w:snapToGrid w:val="0"/>
              <w:jc w:val="center"/>
              <w:rPr>
                <w:rFonts w:hint="eastAsia"/>
                <w:bCs/>
                <w:color w:val="auto"/>
                <w:spacing w:val="10"/>
                <w:sz w:val="24"/>
                <w:lang w:val="en-US" w:eastAsia="zh-CN"/>
              </w:rPr>
            </w:pPr>
          </w:p>
        </w:tc>
        <w:tc>
          <w:tcPr>
            <w:tcW w:w="8347" w:type="dxa"/>
            <w:vAlign w:val="center"/>
          </w:tcPr>
          <w:p w14:paraId="6A884FDA">
            <w:pPr>
              <w:adjustRightInd w:val="0"/>
              <w:snapToGrid w:val="0"/>
              <w:jc w:val="center"/>
              <w:rPr>
                <w:rFonts w:hint="eastAsia"/>
                <w:color w:val="auto"/>
                <w:kern w:val="0"/>
                <w:sz w:val="24"/>
                <w:lang w:val="en-US" w:eastAsia="zh-CN"/>
              </w:rPr>
            </w:pPr>
          </w:p>
          <w:p w14:paraId="22C19A71">
            <w:pPr>
              <w:adjustRightInd w:val="0"/>
              <w:snapToGrid w:val="0"/>
              <w:jc w:val="center"/>
              <w:rPr>
                <w:rFonts w:hint="eastAsia"/>
                <w:color w:val="auto"/>
                <w:kern w:val="0"/>
                <w:sz w:val="24"/>
                <w:lang w:val="en-US" w:eastAsia="zh-CN"/>
              </w:rPr>
            </w:pPr>
          </w:p>
          <w:p w14:paraId="75F89665">
            <w:pPr>
              <w:adjustRightInd w:val="0"/>
              <w:snapToGrid w:val="0"/>
              <w:jc w:val="center"/>
              <w:rPr>
                <w:rFonts w:hint="eastAsia"/>
                <w:color w:val="auto"/>
                <w:kern w:val="0"/>
                <w:sz w:val="24"/>
                <w:lang w:val="en-US" w:eastAsia="zh-CN"/>
              </w:rPr>
            </w:pPr>
          </w:p>
          <w:p w14:paraId="1FB4E3C9">
            <w:pPr>
              <w:adjustRightInd w:val="0"/>
              <w:snapToGrid w:val="0"/>
              <w:jc w:val="center"/>
              <w:rPr>
                <w:rFonts w:hint="eastAsia"/>
                <w:color w:val="auto"/>
                <w:kern w:val="0"/>
                <w:sz w:val="24"/>
                <w:lang w:val="en-US" w:eastAsia="zh-CN"/>
              </w:rPr>
            </w:pPr>
            <w:r>
              <w:rPr>
                <w:rFonts w:hint="eastAsia"/>
                <w:color w:val="auto"/>
                <w:kern w:val="0"/>
                <w:sz w:val="24"/>
                <w:lang w:val="en-US" w:eastAsia="zh-CN"/>
              </w:rPr>
              <w:t>无。</w:t>
            </w:r>
          </w:p>
          <w:p w14:paraId="06703AAC">
            <w:pPr>
              <w:adjustRightInd w:val="0"/>
              <w:snapToGrid w:val="0"/>
              <w:jc w:val="center"/>
              <w:rPr>
                <w:rFonts w:hint="eastAsia"/>
                <w:color w:val="auto"/>
                <w:kern w:val="0"/>
                <w:sz w:val="24"/>
                <w:lang w:val="en-US" w:eastAsia="zh-CN"/>
              </w:rPr>
            </w:pPr>
          </w:p>
          <w:p w14:paraId="1AB03C25">
            <w:pPr>
              <w:adjustRightInd w:val="0"/>
              <w:snapToGrid w:val="0"/>
              <w:jc w:val="center"/>
              <w:rPr>
                <w:rFonts w:hint="eastAsia"/>
                <w:color w:val="auto"/>
                <w:kern w:val="0"/>
                <w:sz w:val="24"/>
                <w:lang w:val="en-US" w:eastAsia="zh-CN"/>
              </w:rPr>
            </w:pPr>
          </w:p>
          <w:p w14:paraId="46B7AF4A">
            <w:pPr>
              <w:adjustRightInd w:val="0"/>
              <w:snapToGrid w:val="0"/>
              <w:jc w:val="both"/>
              <w:rPr>
                <w:rFonts w:hint="default"/>
                <w:color w:val="auto"/>
                <w:kern w:val="0"/>
                <w:sz w:val="24"/>
                <w:lang w:val="en-US" w:eastAsia="zh-CN"/>
              </w:rPr>
            </w:pPr>
          </w:p>
        </w:tc>
      </w:tr>
      <w:tr w14:paraId="6186A1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753" w:type="dxa"/>
            <w:vAlign w:val="center"/>
          </w:tcPr>
          <w:p w14:paraId="03A70677">
            <w:pPr>
              <w:adjustRightInd w:val="0"/>
              <w:snapToGrid w:val="0"/>
              <w:jc w:val="center"/>
              <w:rPr>
                <w:bCs/>
                <w:color w:val="0070C0"/>
                <w:spacing w:val="10"/>
                <w:sz w:val="24"/>
              </w:rPr>
            </w:pPr>
            <w:r>
              <w:rPr>
                <w:bCs/>
                <w:color w:val="auto"/>
                <w:sz w:val="24"/>
              </w:rPr>
              <w:t>环保投资</w:t>
            </w:r>
          </w:p>
        </w:tc>
        <w:tc>
          <w:tcPr>
            <w:tcW w:w="8347" w:type="dxa"/>
          </w:tcPr>
          <w:p w14:paraId="39AFB343">
            <w:pPr>
              <w:autoSpaceDE w:val="0"/>
              <w:autoSpaceDN w:val="0"/>
              <w:adjustRightInd w:val="0"/>
              <w:spacing w:after="120" w:afterLines="50" w:line="300" w:lineRule="auto"/>
              <w:ind w:firstLine="480" w:firstLineChars="200"/>
              <w:rPr>
                <w:color w:val="auto"/>
                <w:kern w:val="0"/>
                <w:sz w:val="24"/>
              </w:rPr>
            </w:pPr>
            <w:r>
              <w:rPr>
                <w:color w:val="auto"/>
                <w:kern w:val="0"/>
                <w:sz w:val="24"/>
              </w:rPr>
              <w:t>拟建公路总投资为</w:t>
            </w:r>
            <w:r>
              <w:rPr>
                <w:rFonts w:hint="eastAsia"/>
                <w:color w:val="auto"/>
                <w:kern w:val="0"/>
                <w:sz w:val="24"/>
                <w:lang w:val="en-US" w:eastAsia="zh-CN"/>
              </w:rPr>
              <w:t>18.98</w:t>
            </w:r>
            <w:r>
              <w:rPr>
                <w:rFonts w:hint="eastAsia"/>
                <w:color w:val="auto"/>
                <w:kern w:val="0"/>
                <w:sz w:val="24"/>
              </w:rPr>
              <w:t>亿元</w:t>
            </w:r>
            <w:r>
              <w:rPr>
                <w:color w:val="auto"/>
                <w:kern w:val="0"/>
                <w:sz w:val="24"/>
              </w:rPr>
              <w:t>，环保投资为</w:t>
            </w:r>
            <w:r>
              <w:rPr>
                <w:rFonts w:hint="eastAsia"/>
                <w:color w:val="auto"/>
                <w:kern w:val="0"/>
                <w:sz w:val="24"/>
                <w:lang w:val="en-US" w:eastAsia="zh-CN"/>
              </w:rPr>
              <w:t>5197</w:t>
            </w:r>
            <w:r>
              <w:rPr>
                <w:color w:val="auto"/>
                <w:kern w:val="0"/>
                <w:sz w:val="24"/>
              </w:rPr>
              <w:t>万元，占项目总投资的比例为</w:t>
            </w:r>
            <w:r>
              <w:rPr>
                <w:rFonts w:hint="eastAsia"/>
                <w:color w:val="auto"/>
                <w:kern w:val="0"/>
                <w:sz w:val="24"/>
                <w:lang w:val="en-US" w:eastAsia="zh-CN"/>
              </w:rPr>
              <w:t>2.74</w:t>
            </w:r>
            <w:r>
              <w:rPr>
                <w:color w:val="auto"/>
                <w:kern w:val="0"/>
                <w:sz w:val="24"/>
              </w:rPr>
              <w:t>%。各项环保治理措施及其投资估算见表5-</w:t>
            </w:r>
            <w:r>
              <w:rPr>
                <w:rFonts w:hint="eastAsia"/>
                <w:color w:val="auto"/>
                <w:kern w:val="0"/>
                <w:sz w:val="24"/>
                <w:lang w:val="en-US" w:eastAsia="zh-CN"/>
              </w:rPr>
              <w:t>8</w:t>
            </w:r>
            <w:r>
              <w:rPr>
                <w:color w:val="auto"/>
                <w:kern w:val="0"/>
                <w:sz w:val="24"/>
              </w:rPr>
              <w:t>。</w:t>
            </w:r>
          </w:p>
          <w:p w14:paraId="247CD560">
            <w:pPr>
              <w:keepNext w:val="0"/>
              <w:keepLines w:val="0"/>
              <w:pageBreakBefore w:val="0"/>
              <w:widowControl w:val="0"/>
              <w:kinsoku/>
              <w:wordWrap/>
              <w:overflowPunct/>
              <w:topLinePunct w:val="0"/>
              <w:autoSpaceDE/>
              <w:autoSpaceDN/>
              <w:bidi w:val="0"/>
              <w:adjustRightInd w:val="0"/>
              <w:snapToGrid w:val="0"/>
              <w:jc w:val="center"/>
              <w:textAlignment w:val="auto"/>
              <w:rPr>
                <w:b/>
                <w:color w:val="auto"/>
                <w:kern w:val="0"/>
                <w:szCs w:val="21"/>
              </w:rPr>
            </w:pPr>
            <w:r>
              <w:rPr>
                <w:b/>
                <w:color w:val="auto"/>
                <w:kern w:val="0"/>
                <w:szCs w:val="21"/>
              </w:rPr>
              <w:t>表5-</w:t>
            </w:r>
            <w:r>
              <w:rPr>
                <w:rFonts w:hint="eastAsia"/>
                <w:b/>
                <w:color w:val="auto"/>
                <w:kern w:val="0"/>
                <w:szCs w:val="21"/>
                <w:lang w:val="en-US" w:eastAsia="zh-CN"/>
              </w:rPr>
              <w:t>8</w:t>
            </w:r>
            <w:r>
              <w:rPr>
                <w:b/>
                <w:color w:val="auto"/>
                <w:kern w:val="0"/>
                <w:szCs w:val="21"/>
              </w:rPr>
              <w:t xml:space="preserve">  拟建公路环保治理措施及投资估算一览表</w:t>
            </w:r>
          </w:p>
          <w:tbl>
            <w:tblPr>
              <w:tblStyle w:val="22"/>
              <w:tblW w:w="505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497"/>
              <w:gridCol w:w="1368"/>
              <w:gridCol w:w="1274"/>
              <w:gridCol w:w="555"/>
              <w:gridCol w:w="568"/>
              <w:gridCol w:w="1123"/>
              <w:gridCol w:w="1772"/>
              <w:gridCol w:w="1054"/>
            </w:tblGrid>
            <w:tr w14:paraId="46C55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302" w:type="pct"/>
                  <w:tcBorders>
                    <w:top w:val="single" w:color="auto" w:sz="4" w:space="0"/>
                    <w:left w:val="single" w:color="auto" w:sz="4" w:space="0"/>
                    <w:bottom w:val="single" w:color="auto" w:sz="4" w:space="0"/>
                    <w:right w:val="single" w:color="auto" w:sz="4" w:space="0"/>
                  </w:tcBorders>
                  <w:vAlign w:val="center"/>
                </w:tcPr>
                <w:p w14:paraId="64129B04">
                  <w:pPr>
                    <w:widowControl/>
                    <w:jc w:val="center"/>
                    <w:rPr>
                      <w:b/>
                      <w:color w:val="auto"/>
                      <w:kern w:val="0"/>
                      <w:sz w:val="21"/>
                      <w:szCs w:val="21"/>
                    </w:rPr>
                  </w:pPr>
                  <w:bookmarkStart w:id="36" w:name="OLE_LINK21"/>
                  <w:bookmarkStart w:id="37" w:name="OLE_LINK11"/>
                  <w:r>
                    <w:rPr>
                      <w:rFonts w:hint="eastAsia"/>
                      <w:b/>
                      <w:color w:val="auto"/>
                      <w:kern w:val="0"/>
                      <w:sz w:val="21"/>
                      <w:szCs w:val="21"/>
                    </w:rPr>
                    <w:t>序号</w:t>
                  </w:r>
                </w:p>
              </w:tc>
              <w:tc>
                <w:tcPr>
                  <w:tcW w:w="1608" w:type="pct"/>
                  <w:gridSpan w:val="2"/>
                  <w:tcBorders>
                    <w:top w:val="single" w:color="auto" w:sz="4" w:space="0"/>
                    <w:left w:val="single" w:color="auto" w:sz="4" w:space="0"/>
                    <w:bottom w:val="single" w:color="auto" w:sz="4" w:space="0"/>
                    <w:right w:val="single" w:color="auto" w:sz="4" w:space="0"/>
                  </w:tcBorders>
                  <w:vAlign w:val="center"/>
                </w:tcPr>
                <w:p w14:paraId="38D1CBCF">
                  <w:pPr>
                    <w:widowControl/>
                    <w:jc w:val="center"/>
                    <w:rPr>
                      <w:b/>
                      <w:color w:val="auto"/>
                      <w:kern w:val="0"/>
                      <w:sz w:val="21"/>
                      <w:szCs w:val="21"/>
                    </w:rPr>
                  </w:pPr>
                  <w:r>
                    <w:rPr>
                      <w:rFonts w:hint="eastAsia"/>
                      <w:b/>
                      <w:color w:val="auto"/>
                      <w:kern w:val="0"/>
                      <w:sz w:val="21"/>
                      <w:szCs w:val="21"/>
                    </w:rPr>
                    <w:t>投资项目</w:t>
                  </w:r>
                  <w:r>
                    <w:rPr>
                      <w:b/>
                      <w:color w:val="auto"/>
                      <w:kern w:val="0"/>
                      <w:sz w:val="21"/>
                      <w:szCs w:val="21"/>
                    </w:rPr>
                    <w:t>(</w:t>
                  </w:r>
                  <w:r>
                    <w:rPr>
                      <w:rFonts w:hint="eastAsia"/>
                      <w:b/>
                      <w:color w:val="auto"/>
                      <w:kern w:val="0"/>
                      <w:sz w:val="21"/>
                      <w:szCs w:val="21"/>
                    </w:rPr>
                    <w:t>工程措施</w:t>
                  </w:r>
                  <w:r>
                    <w:rPr>
                      <w:b/>
                      <w:color w:val="auto"/>
                      <w:kern w:val="0"/>
                      <w:sz w:val="21"/>
                      <w:szCs w:val="21"/>
                    </w:rPr>
                    <w:t>)</w:t>
                  </w:r>
                </w:p>
              </w:tc>
              <w:tc>
                <w:tcPr>
                  <w:tcW w:w="337" w:type="pct"/>
                  <w:tcBorders>
                    <w:top w:val="single" w:color="auto" w:sz="4" w:space="0"/>
                    <w:left w:val="single" w:color="auto" w:sz="4" w:space="0"/>
                    <w:bottom w:val="single" w:color="auto" w:sz="4" w:space="0"/>
                    <w:right w:val="single" w:color="auto" w:sz="4" w:space="0"/>
                  </w:tcBorders>
                  <w:vAlign w:val="center"/>
                </w:tcPr>
                <w:p w14:paraId="6384987E">
                  <w:pPr>
                    <w:widowControl/>
                    <w:jc w:val="center"/>
                    <w:rPr>
                      <w:b/>
                      <w:color w:val="auto"/>
                      <w:kern w:val="0"/>
                      <w:sz w:val="21"/>
                      <w:szCs w:val="21"/>
                    </w:rPr>
                  </w:pPr>
                  <w:r>
                    <w:rPr>
                      <w:rFonts w:hint="eastAsia"/>
                      <w:b/>
                      <w:color w:val="auto"/>
                      <w:kern w:val="0"/>
                      <w:sz w:val="21"/>
                      <w:szCs w:val="21"/>
                    </w:rPr>
                    <w:t>单位</w:t>
                  </w:r>
                </w:p>
              </w:tc>
              <w:tc>
                <w:tcPr>
                  <w:tcW w:w="345" w:type="pct"/>
                  <w:tcBorders>
                    <w:top w:val="single" w:color="auto" w:sz="4" w:space="0"/>
                    <w:left w:val="single" w:color="auto" w:sz="4" w:space="0"/>
                    <w:bottom w:val="single" w:color="auto" w:sz="4" w:space="0"/>
                    <w:right w:val="single" w:color="auto" w:sz="4" w:space="0"/>
                  </w:tcBorders>
                  <w:vAlign w:val="center"/>
                </w:tcPr>
                <w:p w14:paraId="70DB00DF">
                  <w:pPr>
                    <w:widowControl/>
                    <w:jc w:val="center"/>
                    <w:rPr>
                      <w:b/>
                      <w:color w:val="auto"/>
                      <w:kern w:val="0"/>
                      <w:sz w:val="21"/>
                      <w:szCs w:val="21"/>
                    </w:rPr>
                  </w:pPr>
                  <w:r>
                    <w:rPr>
                      <w:rFonts w:hint="eastAsia"/>
                      <w:b/>
                      <w:color w:val="auto"/>
                      <w:kern w:val="0"/>
                      <w:sz w:val="21"/>
                      <w:szCs w:val="21"/>
                    </w:rPr>
                    <w:t>数量</w:t>
                  </w:r>
                </w:p>
              </w:tc>
              <w:tc>
                <w:tcPr>
                  <w:tcW w:w="683" w:type="pct"/>
                  <w:tcBorders>
                    <w:top w:val="single" w:color="auto" w:sz="4" w:space="0"/>
                    <w:left w:val="single" w:color="auto" w:sz="4" w:space="0"/>
                    <w:bottom w:val="single" w:color="auto" w:sz="4" w:space="0"/>
                    <w:right w:val="single" w:color="auto" w:sz="4" w:space="0"/>
                  </w:tcBorders>
                  <w:vAlign w:val="center"/>
                </w:tcPr>
                <w:p w14:paraId="1CBD68D2">
                  <w:pPr>
                    <w:widowControl/>
                    <w:jc w:val="center"/>
                    <w:rPr>
                      <w:b/>
                      <w:color w:val="auto"/>
                      <w:kern w:val="0"/>
                      <w:sz w:val="21"/>
                      <w:szCs w:val="21"/>
                    </w:rPr>
                  </w:pPr>
                  <w:r>
                    <w:rPr>
                      <w:rFonts w:hint="eastAsia"/>
                      <w:b/>
                      <w:color w:val="auto"/>
                      <w:kern w:val="0"/>
                      <w:sz w:val="21"/>
                      <w:szCs w:val="21"/>
                    </w:rPr>
                    <w:t>投资（万元）</w:t>
                  </w:r>
                </w:p>
              </w:tc>
              <w:tc>
                <w:tcPr>
                  <w:tcW w:w="1079" w:type="pct"/>
                  <w:tcBorders>
                    <w:top w:val="single" w:color="auto" w:sz="4" w:space="0"/>
                    <w:left w:val="single" w:color="auto" w:sz="4" w:space="0"/>
                    <w:bottom w:val="single" w:color="auto" w:sz="4" w:space="0"/>
                    <w:right w:val="single" w:color="auto" w:sz="4" w:space="0"/>
                  </w:tcBorders>
                  <w:vAlign w:val="center"/>
                </w:tcPr>
                <w:p w14:paraId="296AF2DE">
                  <w:pPr>
                    <w:widowControl/>
                    <w:jc w:val="center"/>
                    <w:rPr>
                      <w:b/>
                      <w:color w:val="auto"/>
                      <w:kern w:val="0"/>
                      <w:sz w:val="21"/>
                      <w:szCs w:val="21"/>
                    </w:rPr>
                  </w:pPr>
                  <w:r>
                    <w:rPr>
                      <w:rFonts w:hint="eastAsia"/>
                      <w:b/>
                      <w:color w:val="auto"/>
                      <w:kern w:val="0"/>
                      <w:sz w:val="21"/>
                      <w:szCs w:val="21"/>
                    </w:rPr>
                    <w:t>备</w:t>
                  </w:r>
                  <w:r>
                    <w:rPr>
                      <w:b/>
                      <w:color w:val="auto"/>
                      <w:kern w:val="0"/>
                      <w:sz w:val="21"/>
                      <w:szCs w:val="21"/>
                    </w:rPr>
                    <w:t xml:space="preserve">  </w:t>
                  </w:r>
                  <w:r>
                    <w:rPr>
                      <w:rFonts w:hint="eastAsia"/>
                      <w:b/>
                      <w:color w:val="auto"/>
                      <w:kern w:val="0"/>
                      <w:sz w:val="21"/>
                      <w:szCs w:val="21"/>
                    </w:rPr>
                    <w:t>注</w:t>
                  </w:r>
                </w:p>
              </w:tc>
              <w:tc>
                <w:tcPr>
                  <w:tcW w:w="641" w:type="pct"/>
                  <w:tcBorders>
                    <w:top w:val="single" w:color="auto" w:sz="4" w:space="0"/>
                    <w:left w:val="single" w:color="auto" w:sz="4" w:space="0"/>
                    <w:bottom w:val="single" w:color="auto" w:sz="4" w:space="0"/>
                    <w:right w:val="single" w:color="auto" w:sz="4" w:space="0"/>
                  </w:tcBorders>
                  <w:vAlign w:val="center"/>
                </w:tcPr>
                <w:p w14:paraId="0FDDE0B3">
                  <w:pPr>
                    <w:widowControl/>
                    <w:jc w:val="center"/>
                    <w:rPr>
                      <w:rFonts w:hint="default" w:eastAsia="宋体"/>
                      <w:b/>
                      <w:color w:val="auto"/>
                      <w:kern w:val="0"/>
                      <w:sz w:val="21"/>
                      <w:szCs w:val="21"/>
                      <w:lang w:val="en-US" w:eastAsia="zh-CN"/>
                    </w:rPr>
                  </w:pPr>
                  <w:r>
                    <w:rPr>
                      <w:rFonts w:hint="eastAsia"/>
                      <w:b/>
                      <w:color w:val="auto"/>
                      <w:kern w:val="0"/>
                      <w:sz w:val="21"/>
                      <w:szCs w:val="21"/>
                      <w:lang w:val="en-US" w:eastAsia="zh-CN"/>
                    </w:rPr>
                    <w:t>实施时间</w:t>
                  </w:r>
                </w:p>
              </w:tc>
            </w:tr>
            <w:tr w14:paraId="593FE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302" w:type="pct"/>
                  <w:tcBorders>
                    <w:top w:val="single" w:color="auto" w:sz="4" w:space="0"/>
                    <w:left w:val="single" w:color="auto" w:sz="4" w:space="0"/>
                    <w:bottom w:val="single" w:color="auto" w:sz="4" w:space="0"/>
                    <w:right w:val="single" w:color="auto" w:sz="4" w:space="0"/>
                  </w:tcBorders>
                  <w:vAlign w:val="center"/>
                </w:tcPr>
                <w:p w14:paraId="58B4AF13">
                  <w:pPr>
                    <w:widowControl/>
                    <w:jc w:val="center"/>
                    <w:rPr>
                      <w:color w:val="auto"/>
                      <w:kern w:val="0"/>
                      <w:sz w:val="21"/>
                      <w:szCs w:val="21"/>
                    </w:rPr>
                  </w:pPr>
                  <w:r>
                    <w:rPr>
                      <w:rFonts w:hint="eastAsia"/>
                      <w:color w:val="auto"/>
                      <w:kern w:val="0"/>
                      <w:sz w:val="21"/>
                      <w:szCs w:val="21"/>
                    </w:rPr>
                    <w:t>一</w:t>
                  </w:r>
                </w:p>
              </w:tc>
              <w:tc>
                <w:tcPr>
                  <w:tcW w:w="4055" w:type="pct"/>
                  <w:gridSpan w:val="6"/>
                  <w:tcBorders>
                    <w:top w:val="single" w:color="auto" w:sz="4" w:space="0"/>
                    <w:left w:val="single" w:color="auto" w:sz="4" w:space="0"/>
                    <w:bottom w:val="single" w:color="auto" w:sz="4" w:space="0"/>
                    <w:right w:val="single" w:color="auto" w:sz="4" w:space="0"/>
                  </w:tcBorders>
                  <w:vAlign w:val="center"/>
                </w:tcPr>
                <w:p w14:paraId="26AD5BFF">
                  <w:pPr>
                    <w:widowControl/>
                    <w:rPr>
                      <w:color w:val="auto"/>
                      <w:kern w:val="0"/>
                      <w:sz w:val="21"/>
                      <w:szCs w:val="21"/>
                    </w:rPr>
                  </w:pPr>
                  <w:r>
                    <w:rPr>
                      <w:rFonts w:hint="eastAsia"/>
                      <w:color w:val="auto"/>
                      <w:kern w:val="0"/>
                      <w:sz w:val="21"/>
                      <w:szCs w:val="21"/>
                    </w:rPr>
                    <w:t>环境污染治理投资</w:t>
                  </w:r>
                </w:p>
              </w:tc>
              <w:tc>
                <w:tcPr>
                  <w:tcW w:w="641" w:type="pct"/>
                  <w:tcBorders>
                    <w:top w:val="single" w:color="auto" w:sz="4" w:space="0"/>
                    <w:left w:val="single" w:color="auto" w:sz="4" w:space="0"/>
                    <w:bottom w:val="single" w:color="auto" w:sz="4" w:space="0"/>
                    <w:right w:val="single" w:color="auto" w:sz="4" w:space="0"/>
                  </w:tcBorders>
                  <w:vAlign w:val="center"/>
                </w:tcPr>
                <w:p w14:paraId="2CD94AE3">
                  <w:pPr>
                    <w:widowControl/>
                    <w:rPr>
                      <w:rFonts w:hint="eastAsia"/>
                      <w:color w:val="auto"/>
                      <w:kern w:val="0"/>
                      <w:sz w:val="21"/>
                      <w:szCs w:val="21"/>
                    </w:rPr>
                  </w:pPr>
                </w:p>
              </w:tc>
            </w:tr>
            <w:tr w14:paraId="48A14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302" w:type="pct"/>
                  <w:tcBorders>
                    <w:top w:val="single" w:color="auto" w:sz="4" w:space="0"/>
                    <w:left w:val="single" w:color="auto" w:sz="4" w:space="0"/>
                    <w:bottom w:val="single" w:color="auto" w:sz="4" w:space="0"/>
                    <w:right w:val="single" w:color="auto" w:sz="4" w:space="0"/>
                  </w:tcBorders>
                  <w:vAlign w:val="center"/>
                </w:tcPr>
                <w:p w14:paraId="4ED06E94">
                  <w:pPr>
                    <w:widowControl/>
                    <w:jc w:val="center"/>
                    <w:rPr>
                      <w:color w:val="auto"/>
                      <w:kern w:val="0"/>
                      <w:sz w:val="21"/>
                      <w:szCs w:val="21"/>
                    </w:rPr>
                  </w:pPr>
                  <w:r>
                    <w:rPr>
                      <w:color w:val="auto"/>
                      <w:kern w:val="0"/>
                      <w:sz w:val="21"/>
                      <w:szCs w:val="21"/>
                    </w:rPr>
                    <w:t>1</w:t>
                  </w:r>
                </w:p>
              </w:tc>
              <w:tc>
                <w:tcPr>
                  <w:tcW w:w="1608" w:type="pct"/>
                  <w:gridSpan w:val="2"/>
                  <w:tcBorders>
                    <w:top w:val="single" w:color="auto" w:sz="4" w:space="0"/>
                    <w:left w:val="single" w:color="auto" w:sz="4" w:space="0"/>
                    <w:bottom w:val="single" w:color="auto" w:sz="4" w:space="0"/>
                    <w:right w:val="single" w:color="auto" w:sz="4" w:space="0"/>
                  </w:tcBorders>
                  <w:vAlign w:val="center"/>
                </w:tcPr>
                <w:p w14:paraId="2D2F1489">
                  <w:pPr>
                    <w:widowControl/>
                    <w:rPr>
                      <w:rFonts w:hint="eastAsia" w:eastAsia="宋体"/>
                      <w:color w:val="auto"/>
                      <w:kern w:val="0"/>
                      <w:sz w:val="21"/>
                      <w:szCs w:val="21"/>
                      <w:lang w:eastAsia="zh-CN"/>
                    </w:rPr>
                  </w:pPr>
                  <w:r>
                    <w:rPr>
                      <w:rFonts w:hint="eastAsia"/>
                      <w:color w:val="auto"/>
                      <w:kern w:val="0"/>
                      <w:sz w:val="21"/>
                      <w:szCs w:val="21"/>
                      <w:lang w:val="en-US" w:eastAsia="zh-CN"/>
                    </w:rPr>
                    <w:t>废水</w:t>
                  </w:r>
                </w:p>
              </w:tc>
              <w:tc>
                <w:tcPr>
                  <w:tcW w:w="337" w:type="pct"/>
                  <w:tcBorders>
                    <w:top w:val="single" w:color="auto" w:sz="4" w:space="0"/>
                    <w:left w:val="single" w:color="auto" w:sz="4" w:space="0"/>
                    <w:bottom w:val="single" w:color="auto" w:sz="4" w:space="0"/>
                    <w:right w:val="single" w:color="auto" w:sz="4" w:space="0"/>
                  </w:tcBorders>
                  <w:vAlign w:val="center"/>
                </w:tcPr>
                <w:p w14:paraId="02338D69">
                  <w:pPr>
                    <w:widowControl/>
                    <w:jc w:val="center"/>
                    <w:rPr>
                      <w:color w:val="auto"/>
                      <w:kern w:val="0"/>
                      <w:sz w:val="21"/>
                      <w:szCs w:val="21"/>
                    </w:rPr>
                  </w:pPr>
                </w:p>
              </w:tc>
              <w:tc>
                <w:tcPr>
                  <w:tcW w:w="345" w:type="pct"/>
                  <w:tcBorders>
                    <w:top w:val="single" w:color="auto" w:sz="4" w:space="0"/>
                    <w:left w:val="single" w:color="auto" w:sz="4" w:space="0"/>
                    <w:bottom w:val="single" w:color="auto" w:sz="4" w:space="0"/>
                    <w:right w:val="single" w:color="auto" w:sz="4" w:space="0"/>
                  </w:tcBorders>
                  <w:vAlign w:val="center"/>
                </w:tcPr>
                <w:p w14:paraId="0EC4AD1F">
                  <w:pPr>
                    <w:widowControl/>
                    <w:jc w:val="center"/>
                    <w:rPr>
                      <w:color w:val="auto"/>
                      <w:kern w:val="0"/>
                      <w:sz w:val="21"/>
                      <w:szCs w:val="21"/>
                    </w:rPr>
                  </w:pPr>
                </w:p>
              </w:tc>
              <w:tc>
                <w:tcPr>
                  <w:tcW w:w="683" w:type="pct"/>
                  <w:tcBorders>
                    <w:top w:val="single" w:color="auto" w:sz="4" w:space="0"/>
                    <w:left w:val="single" w:color="auto" w:sz="4" w:space="0"/>
                    <w:bottom w:val="single" w:color="auto" w:sz="4" w:space="0"/>
                    <w:right w:val="single" w:color="auto" w:sz="4" w:space="0"/>
                  </w:tcBorders>
                  <w:vAlign w:val="center"/>
                </w:tcPr>
                <w:p w14:paraId="2A3225AE">
                  <w:pPr>
                    <w:widowControl/>
                    <w:jc w:val="center"/>
                    <w:rPr>
                      <w:rFonts w:hint="default" w:eastAsia="宋体"/>
                      <w:color w:val="auto"/>
                      <w:kern w:val="0"/>
                      <w:sz w:val="21"/>
                      <w:szCs w:val="21"/>
                      <w:lang w:val="en-US" w:eastAsia="zh-CN"/>
                    </w:rPr>
                  </w:pPr>
                  <w:r>
                    <w:rPr>
                      <w:rFonts w:hint="eastAsia"/>
                      <w:color w:val="auto"/>
                      <w:kern w:val="0"/>
                      <w:sz w:val="21"/>
                      <w:szCs w:val="21"/>
                      <w:lang w:val="en-US" w:eastAsia="zh-CN"/>
                    </w:rPr>
                    <w:t>290</w:t>
                  </w:r>
                </w:p>
              </w:tc>
              <w:tc>
                <w:tcPr>
                  <w:tcW w:w="1079" w:type="pct"/>
                  <w:tcBorders>
                    <w:top w:val="single" w:color="auto" w:sz="4" w:space="0"/>
                    <w:left w:val="single" w:color="auto" w:sz="4" w:space="0"/>
                    <w:bottom w:val="single" w:color="auto" w:sz="4" w:space="0"/>
                    <w:right w:val="single" w:color="auto" w:sz="4" w:space="0"/>
                  </w:tcBorders>
                  <w:vAlign w:val="center"/>
                </w:tcPr>
                <w:p w14:paraId="60DC3D28">
                  <w:pPr>
                    <w:widowControl/>
                    <w:jc w:val="left"/>
                    <w:rPr>
                      <w:color w:val="auto"/>
                      <w:kern w:val="0"/>
                      <w:sz w:val="21"/>
                      <w:szCs w:val="21"/>
                    </w:rPr>
                  </w:pPr>
                </w:p>
              </w:tc>
              <w:tc>
                <w:tcPr>
                  <w:tcW w:w="641" w:type="pct"/>
                  <w:tcBorders>
                    <w:top w:val="single" w:color="auto" w:sz="4" w:space="0"/>
                    <w:left w:val="single" w:color="auto" w:sz="4" w:space="0"/>
                    <w:bottom w:val="single" w:color="auto" w:sz="4" w:space="0"/>
                    <w:right w:val="single" w:color="auto" w:sz="4" w:space="0"/>
                  </w:tcBorders>
                  <w:vAlign w:val="center"/>
                </w:tcPr>
                <w:p w14:paraId="354C7F82">
                  <w:pPr>
                    <w:widowControl/>
                    <w:jc w:val="left"/>
                    <w:rPr>
                      <w:color w:val="auto"/>
                      <w:kern w:val="0"/>
                      <w:sz w:val="21"/>
                      <w:szCs w:val="21"/>
                    </w:rPr>
                  </w:pPr>
                </w:p>
              </w:tc>
            </w:tr>
            <w:tr w14:paraId="05854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302" w:type="pct"/>
                  <w:tcBorders>
                    <w:top w:val="single" w:color="auto" w:sz="4" w:space="0"/>
                    <w:left w:val="single" w:color="auto" w:sz="4" w:space="0"/>
                    <w:bottom w:val="single" w:color="auto" w:sz="4" w:space="0"/>
                    <w:right w:val="single" w:color="auto" w:sz="4" w:space="0"/>
                  </w:tcBorders>
                  <w:vAlign w:val="center"/>
                </w:tcPr>
                <w:p w14:paraId="663D6814">
                  <w:pPr>
                    <w:widowControl/>
                    <w:jc w:val="center"/>
                    <w:rPr>
                      <w:color w:val="auto"/>
                      <w:kern w:val="0"/>
                      <w:sz w:val="21"/>
                      <w:szCs w:val="21"/>
                    </w:rPr>
                  </w:pPr>
                </w:p>
              </w:tc>
              <w:tc>
                <w:tcPr>
                  <w:tcW w:w="1608" w:type="pct"/>
                  <w:gridSpan w:val="2"/>
                  <w:tcBorders>
                    <w:top w:val="single" w:color="auto" w:sz="4" w:space="0"/>
                    <w:left w:val="single" w:color="auto" w:sz="4" w:space="0"/>
                    <w:bottom w:val="single" w:color="auto" w:sz="4" w:space="0"/>
                    <w:right w:val="single" w:color="auto" w:sz="4" w:space="0"/>
                  </w:tcBorders>
                  <w:vAlign w:val="center"/>
                </w:tcPr>
                <w:p w14:paraId="5CCEB0FD">
                  <w:pPr>
                    <w:widowControl/>
                    <w:rPr>
                      <w:color w:val="auto"/>
                      <w:kern w:val="0"/>
                      <w:sz w:val="21"/>
                      <w:szCs w:val="21"/>
                    </w:rPr>
                  </w:pPr>
                  <w:r>
                    <w:rPr>
                      <w:rFonts w:hint="eastAsia"/>
                      <w:color w:val="auto"/>
                      <w:kern w:val="0"/>
                      <w:sz w:val="21"/>
                      <w:szCs w:val="21"/>
                    </w:rPr>
                    <w:t>施工生产生活区</w:t>
                  </w:r>
                  <w:r>
                    <w:rPr>
                      <w:rFonts w:hint="eastAsia"/>
                      <w:color w:val="auto"/>
                      <w:kern w:val="0"/>
                      <w:sz w:val="21"/>
                      <w:szCs w:val="21"/>
                      <w:lang w:val="en-US" w:eastAsia="zh-CN"/>
                    </w:rPr>
                    <w:t>隔油池、</w:t>
                  </w:r>
                  <w:r>
                    <w:rPr>
                      <w:rFonts w:hint="eastAsia"/>
                      <w:color w:val="auto"/>
                      <w:kern w:val="0"/>
                      <w:sz w:val="21"/>
                      <w:szCs w:val="21"/>
                    </w:rPr>
                    <w:t>化粪池</w:t>
                  </w:r>
                </w:p>
              </w:tc>
              <w:tc>
                <w:tcPr>
                  <w:tcW w:w="337" w:type="pct"/>
                  <w:tcBorders>
                    <w:top w:val="single" w:color="auto" w:sz="4" w:space="0"/>
                    <w:left w:val="single" w:color="auto" w:sz="4" w:space="0"/>
                    <w:bottom w:val="single" w:color="auto" w:sz="4" w:space="0"/>
                    <w:right w:val="single" w:color="auto" w:sz="4" w:space="0"/>
                  </w:tcBorders>
                  <w:vAlign w:val="center"/>
                </w:tcPr>
                <w:p w14:paraId="0068BF11">
                  <w:pPr>
                    <w:widowControl/>
                    <w:jc w:val="center"/>
                    <w:rPr>
                      <w:rFonts w:hint="eastAsia" w:eastAsia="宋体"/>
                      <w:color w:val="auto"/>
                      <w:kern w:val="0"/>
                      <w:sz w:val="21"/>
                      <w:szCs w:val="21"/>
                      <w:lang w:eastAsia="zh-CN"/>
                    </w:rPr>
                  </w:pPr>
                  <w:r>
                    <w:rPr>
                      <w:rFonts w:hint="eastAsia"/>
                      <w:color w:val="auto"/>
                      <w:kern w:val="0"/>
                      <w:sz w:val="21"/>
                      <w:szCs w:val="21"/>
                      <w:lang w:val="en-US" w:eastAsia="zh-CN"/>
                    </w:rPr>
                    <w:t>套</w:t>
                  </w:r>
                </w:p>
              </w:tc>
              <w:tc>
                <w:tcPr>
                  <w:tcW w:w="345" w:type="pct"/>
                  <w:tcBorders>
                    <w:top w:val="single" w:color="auto" w:sz="4" w:space="0"/>
                    <w:left w:val="single" w:color="auto" w:sz="4" w:space="0"/>
                    <w:bottom w:val="single" w:color="auto" w:sz="4" w:space="0"/>
                    <w:right w:val="single" w:color="auto" w:sz="4" w:space="0"/>
                  </w:tcBorders>
                  <w:vAlign w:val="center"/>
                </w:tcPr>
                <w:p w14:paraId="4D76AAE5">
                  <w:pPr>
                    <w:widowControl/>
                    <w:jc w:val="center"/>
                    <w:rPr>
                      <w:rFonts w:hint="eastAsia" w:eastAsia="宋体"/>
                      <w:color w:val="auto"/>
                      <w:kern w:val="0"/>
                      <w:sz w:val="21"/>
                      <w:szCs w:val="21"/>
                      <w:lang w:eastAsia="zh-CN"/>
                    </w:rPr>
                  </w:pPr>
                  <w:r>
                    <w:rPr>
                      <w:rFonts w:hint="eastAsia"/>
                      <w:color w:val="auto"/>
                      <w:kern w:val="0"/>
                      <w:sz w:val="21"/>
                      <w:szCs w:val="21"/>
                      <w:lang w:val="en-US" w:eastAsia="zh-CN"/>
                    </w:rPr>
                    <w:t>2</w:t>
                  </w:r>
                </w:p>
              </w:tc>
              <w:tc>
                <w:tcPr>
                  <w:tcW w:w="683" w:type="pct"/>
                  <w:tcBorders>
                    <w:top w:val="single" w:color="auto" w:sz="4" w:space="0"/>
                    <w:left w:val="single" w:color="auto" w:sz="4" w:space="0"/>
                    <w:bottom w:val="single" w:color="auto" w:sz="4" w:space="0"/>
                    <w:right w:val="single" w:color="auto" w:sz="4" w:space="0"/>
                  </w:tcBorders>
                  <w:vAlign w:val="center"/>
                </w:tcPr>
                <w:p w14:paraId="5C86E41D">
                  <w:pPr>
                    <w:widowControl/>
                    <w:jc w:val="center"/>
                    <w:rPr>
                      <w:rFonts w:hint="default" w:eastAsia="宋体"/>
                      <w:color w:val="auto"/>
                      <w:kern w:val="0"/>
                      <w:sz w:val="21"/>
                      <w:szCs w:val="21"/>
                      <w:lang w:val="en-US" w:eastAsia="zh-CN"/>
                    </w:rPr>
                  </w:pPr>
                  <w:r>
                    <w:rPr>
                      <w:rFonts w:hint="eastAsia"/>
                      <w:color w:val="auto"/>
                      <w:kern w:val="0"/>
                      <w:sz w:val="21"/>
                      <w:szCs w:val="21"/>
                      <w:lang w:val="en-US" w:eastAsia="zh-CN"/>
                    </w:rPr>
                    <w:t>10</w:t>
                  </w:r>
                </w:p>
              </w:tc>
              <w:tc>
                <w:tcPr>
                  <w:tcW w:w="1079" w:type="pct"/>
                  <w:tcBorders>
                    <w:top w:val="single" w:color="auto" w:sz="4" w:space="0"/>
                    <w:left w:val="single" w:color="auto" w:sz="4" w:space="0"/>
                    <w:bottom w:val="single" w:color="auto" w:sz="4" w:space="0"/>
                    <w:right w:val="single" w:color="auto" w:sz="4" w:space="0"/>
                  </w:tcBorders>
                  <w:vAlign w:val="center"/>
                </w:tcPr>
                <w:p w14:paraId="3DEA1B5B">
                  <w:pPr>
                    <w:widowControl/>
                    <w:jc w:val="center"/>
                    <w:rPr>
                      <w:color w:val="auto"/>
                      <w:kern w:val="0"/>
                      <w:sz w:val="21"/>
                      <w:szCs w:val="21"/>
                    </w:rPr>
                  </w:pPr>
                  <w:r>
                    <w:rPr>
                      <w:rFonts w:hint="eastAsia"/>
                      <w:color w:val="auto"/>
                      <w:kern w:val="0"/>
                      <w:sz w:val="21"/>
                      <w:szCs w:val="21"/>
                    </w:rPr>
                    <w:t>每</w:t>
                  </w:r>
                  <w:r>
                    <w:rPr>
                      <w:rFonts w:hint="eastAsia"/>
                      <w:color w:val="auto"/>
                      <w:kern w:val="0"/>
                      <w:sz w:val="21"/>
                      <w:szCs w:val="21"/>
                      <w:lang w:val="en-US" w:eastAsia="zh-CN"/>
                    </w:rPr>
                    <w:t>套5</w:t>
                  </w:r>
                  <w:r>
                    <w:rPr>
                      <w:rFonts w:hint="eastAsia"/>
                      <w:color w:val="auto"/>
                      <w:kern w:val="0"/>
                      <w:sz w:val="21"/>
                      <w:szCs w:val="21"/>
                    </w:rPr>
                    <w:t>万元</w:t>
                  </w:r>
                </w:p>
              </w:tc>
              <w:tc>
                <w:tcPr>
                  <w:tcW w:w="641" w:type="pct"/>
                  <w:tcBorders>
                    <w:top w:val="single" w:color="auto" w:sz="4" w:space="0"/>
                    <w:left w:val="single" w:color="auto" w:sz="4" w:space="0"/>
                    <w:bottom w:val="single" w:color="auto" w:sz="4" w:space="0"/>
                    <w:right w:val="single" w:color="auto" w:sz="4" w:space="0"/>
                  </w:tcBorders>
                  <w:vAlign w:val="center"/>
                </w:tcPr>
                <w:p w14:paraId="4F0A85AD">
                  <w:pPr>
                    <w:widowControl/>
                    <w:jc w:val="center"/>
                    <w:rPr>
                      <w:rFonts w:hint="eastAsia" w:eastAsia="宋体"/>
                      <w:color w:val="auto"/>
                      <w:kern w:val="0"/>
                      <w:sz w:val="21"/>
                      <w:szCs w:val="21"/>
                      <w:lang w:val="en-US" w:eastAsia="zh-CN"/>
                    </w:rPr>
                  </w:pPr>
                  <w:r>
                    <w:rPr>
                      <w:rFonts w:hint="eastAsia"/>
                      <w:color w:val="auto"/>
                      <w:kern w:val="0"/>
                      <w:sz w:val="21"/>
                      <w:szCs w:val="21"/>
                      <w:lang w:val="en-US" w:eastAsia="zh-CN"/>
                    </w:rPr>
                    <w:t>施工期</w:t>
                  </w:r>
                </w:p>
              </w:tc>
            </w:tr>
            <w:tr w14:paraId="55D6E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302" w:type="pct"/>
                  <w:tcBorders>
                    <w:top w:val="single" w:color="auto" w:sz="4" w:space="0"/>
                    <w:left w:val="single" w:color="auto" w:sz="4" w:space="0"/>
                    <w:bottom w:val="single" w:color="auto" w:sz="4" w:space="0"/>
                    <w:right w:val="single" w:color="auto" w:sz="4" w:space="0"/>
                  </w:tcBorders>
                  <w:vAlign w:val="center"/>
                </w:tcPr>
                <w:p w14:paraId="77EC3FA2">
                  <w:pPr>
                    <w:widowControl/>
                    <w:jc w:val="center"/>
                    <w:rPr>
                      <w:color w:val="auto"/>
                      <w:kern w:val="0"/>
                      <w:sz w:val="21"/>
                      <w:szCs w:val="21"/>
                    </w:rPr>
                  </w:pPr>
                </w:p>
              </w:tc>
              <w:tc>
                <w:tcPr>
                  <w:tcW w:w="1608" w:type="pct"/>
                  <w:gridSpan w:val="2"/>
                  <w:tcBorders>
                    <w:top w:val="single" w:color="auto" w:sz="4" w:space="0"/>
                    <w:left w:val="single" w:color="auto" w:sz="4" w:space="0"/>
                    <w:bottom w:val="single" w:color="auto" w:sz="4" w:space="0"/>
                    <w:right w:val="single" w:color="auto" w:sz="4" w:space="0"/>
                  </w:tcBorders>
                  <w:vAlign w:val="center"/>
                </w:tcPr>
                <w:p w14:paraId="3D521440">
                  <w:pPr>
                    <w:widowControl/>
                    <w:rPr>
                      <w:color w:val="auto"/>
                      <w:kern w:val="0"/>
                      <w:sz w:val="21"/>
                      <w:szCs w:val="21"/>
                    </w:rPr>
                  </w:pPr>
                  <w:r>
                    <w:rPr>
                      <w:rFonts w:hint="eastAsia"/>
                      <w:color w:val="auto"/>
                      <w:kern w:val="0"/>
                      <w:sz w:val="21"/>
                      <w:szCs w:val="21"/>
                    </w:rPr>
                    <w:t>施工场地三级沉淀池</w:t>
                  </w:r>
                </w:p>
              </w:tc>
              <w:tc>
                <w:tcPr>
                  <w:tcW w:w="337" w:type="pct"/>
                  <w:tcBorders>
                    <w:top w:val="single" w:color="auto" w:sz="4" w:space="0"/>
                    <w:left w:val="single" w:color="auto" w:sz="4" w:space="0"/>
                    <w:bottom w:val="single" w:color="auto" w:sz="4" w:space="0"/>
                    <w:right w:val="single" w:color="auto" w:sz="4" w:space="0"/>
                  </w:tcBorders>
                  <w:vAlign w:val="center"/>
                </w:tcPr>
                <w:p w14:paraId="10DFB265">
                  <w:pPr>
                    <w:widowControl/>
                    <w:jc w:val="center"/>
                    <w:rPr>
                      <w:color w:val="auto"/>
                      <w:kern w:val="0"/>
                      <w:sz w:val="21"/>
                      <w:szCs w:val="21"/>
                    </w:rPr>
                  </w:pPr>
                  <w:r>
                    <w:rPr>
                      <w:rFonts w:hint="eastAsia"/>
                      <w:color w:val="auto"/>
                      <w:kern w:val="0"/>
                      <w:sz w:val="21"/>
                      <w:szCs w:val="21"/>
                    </w:rPr>
                    <w:t>套</w:t>
                  </w:r>
                </w:p>
              </w:tc>
              <w:tc>
                <w:tcPr>
                  <w:tcW w:w="345" w:type="pct"/>
                  <w:tcBorders>
                    <w:top w:val="single" w:color="auto" w:sz="4" w:space="0"/>
                    <w:left w:val="single" w:color="auto" w:sz="4" w:space="0"/>
                    <w:bottom w:val="single" w:color="auto" w:sz="4" w:space="0"/>
                    <w:right w:val="single" w:color="auto" w:sz="4" w:space="0"/>
                  </w:tcBorders>
                  <w:vAlign w:val="center"/>
                </w:tcPr>
                <w:p w14:paraId="70CB89AE">
                  <w:pPr>
                    <w:widowControl/>
                    <w:jc w:val="center"/>
                    <w:rPr>
                      <w:rFonts w:hint="eastAsia" w:eastAsia="宋体"/>
                      <w:color w:val="auto"/>
                      <w:kern w:val="0"/>
                      <w:sz w:val="21"/>
                      <w:szCs w:val="21"/>
                      <w:lang w:eastAsia="zh-CN"/>
                    </w:rPr>
                  </w:pPr>
                  <w:r>
                    <w:rPr>
                      <w:rFonts w:hint="eastAsia"/>
                      <w:color w:val="auto"/>
                      <w:kern w:val="0"/>
                      <w:sz w:val="21"/>
                      <w:szCs w:val="21"/>
                      <w:lang w:val="en-US" w:eastAsia="zh-CN"/>
                    </w:rPr>
                    <w:t>2</w:t>
                  </w:r>
                </w:p>
              </w:tc>
              <w:tc>
                <w:tcPr>
                  <w:tcW w:w="683" w:type="pct"/>
                  <w:tcBorders>
                    <w:top w:val="single" w:color="auto" w:sz="4" w:space="0"/>
                    <w:left w:val="single" w:color="auto" w:sz="4" w:space="0"/>
                    <w:bottom w:val="single" w:color="auto" w:sz="4" w:space="0"/>
                    <w:right w:val="single" w:color="auto" w:sz="4" w:space="0"/>
                  </w:tcBorders>
                  <w:vAlign w:val="center"/>
                </w:tcPr>
                <w:p w14:paraId="4B6DD2DE">
                  <w:pPr>
                    <w:widowControl/>
                    <w:jc w:val="center"/>
                    <w:rPr>
                      <w:rFonts w:hint="default" w:eastAsia="宋体"/>
                      <w:color w:val="auto"/>
                      <w:kern w:val="0"/>
                      <w:sz w:val="21"/>
                      <w:szCs w:val="21"/>
                      <w:lang w:val="en-US" w:eastAsia="zh-CN"/>
                    </w:rPr>
                  </w:pPr>
                  <w:r>
                    <w:rPr>
                      <w:rFonts w:hint="eastAsia"/>
                      <w:color w:val="auto"/>
                      <w:kern w:val="0"/>
                      <w:sz w:val="21"/>
                      <w:szCs w:val="21"/>
                      <w:lang w:val="en-US" w:eastAsia="zh-CN"/>
                    </w:rPr>
                    <w:t>20</w:t>
                  </w:r>
                </w:p>
              </w:tc>
              <w:tc>
                <w:tcPr>
                  <w:tcW w:w="1079" w:type="pct"/>
                  <w:tcBorders>
                    <w:top w:val="single" w:color="auto" w:sz="4" w:space="0"/>
                    <w:left w:val="single" w:color="auto" w:sz="4" w:space="0"/>
                    <w:bottom w:val="single" w:color="auto" w:sz="4" w:space="0"/>
                    <w:right w:val="single" w:color="auto" w:sz="4" w:space="0"/>
                  </w:tcBorders>
                  <w:vAlign w:val="center"/>
                </w:tcPr>
                <w:p w14:paraId="4F3F75D3">
                  <w:pPr>
                    <w:widowControl/>
                    <w:jc w:val="center"/>
                    <w:rPr>
                      <w:color w:val="auto"/>
                      <w:spacing w:val="6"/>
                      <w:sz w:val="21"/>
                      <w:szCs w:val="21"/>
                    </w:rPr>
                  </w:pPr>
                  <w:r>
                    <w:rPr>
                      <w:rFonts w:hint="eastAsia"/>
                      <w:color w:val="auto"/>
                      <w:kern w:val="0"/>
                      <w:sz w:val="21"/>
                      <w:szCs w:val="21"/>
                    </w:rPr>
                    <w:t>每套</w:t>
                  </w:r>
                  <w:r>
                    <w:rPr>
                      <w:rFonts w:hint="eastAsia"/>
                      <w:color w:val="auto"/>
                      <w:kern w:val="0"/>
                      <w:sz w:val="21"/>
                      <w:szCs w:val="21"/>
                      <w:lang w:val="en-US" w:eastAsia="zh-CN"/>
                    </w:rPr>
                    <w:t>10</w:t>
                  </w:r>
                  <w:r>
                    <w:rPr>
                      <w:rFonts w:hint="eastAsia"/>
                      <w:color w:val="auto"/>
                      <w:kern w:val="0"/>
                      <w:sz w:val="21"/>
                      <w:szCs w:val="21"/>
                    </w:rPr>
                    <w:t>万元</w:t>
                  </w:r>
                </w:p>
                <w:bookmarkEnd w:id="36"/>
                <w:bookmarkEnd w:id="37"/>
              </w:tc>
              <w:tc>
                <w:tcPr>
                  <w:tcW w:w="641" w:type="pct"/>
                  <w:tcBorders>
                    <w:top w:val="single" w:color="auto" w:sz="4" w:space="0"/>
                    <w:left w:val="single" w:color="auto" w:sz="4" w:space="0"/>
                    <w:bottom w:val="single" w:color="auto" w:sz="4" w:space="0"/>
                    <w:right w:val="single" w:color="auto" w:sz="4" w:space="0"/>
                  </w:tcBorders>
                  <w:vAlign w:val="center"/>
                </w:tcPr>
                <w:p w14:paraId="0757DC3F">
                  <w:pPr>
                    <w:widowControl/>
                    <w:jc w:val="center"/>
                    <w:rPr>
                      <w:rFonts w:hint="eastAsia" w:eastAsia="宋体"/>
                      <w:color w:val="auto"/>
                      <w:kern w:val="0"/>
                      <w:sz w:val="21"/>
                      <w:szCs w:val="21"/>
                      <w:lang w:val="en-US" w:eastAsia="zh-CN"/>
                    </w:rPr>
                  </w:pPr>
                  <w:r>
                    <w:rPr>
                      <w:rFonts w:hint="eastAsia"/>
                      <w:color w:val="auto"/>
                      <w:kern w:val="0"/>
                      <w:sz w:val="21"/>
                      <w:szCs w:val="21"/>
                      <w:lang w:val="en-US" w:eastAsia="zh-CN"/>
                    </w:rPr>
                    <w:t>施工期</w:t>
                  </w:r>
                </w:p>
              </w:tc>
            </w:tr>
            <w:tr w14:paraId="32C55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302" w:type="pct"/>
                  <w:tcBorders>
                    <w:top w:val="single" w:color="auto" w:sz="4" w:space="0"/>
                    <w:left w:val="single" w:color="auto" w:sz="4" w:space="0"/>
                    <w:bottom w:val="single" w:color="auto" w:sz="4" w:space="0"/>
                    <w:right w:val="single" w:color="auto" w:sz="4" w:space="0"/>
                  </w:tcBorders>
                  <w:vAlign w:val="center"/>
                </w:tcPr>
                <w:p w14:paraId="3C76E48E">
                  <w:pPr>
                    <w:widowControl/>
                    <w:jc w:val="center"/>
                    <w:rPr>
                      <w:color w:val="auto"/>
                      <w:kern w:val="0"/>
                      <w:sz w:val="21"/>
                      <w:szCs w:val="21"/>
                    </w:rPr>
                  </w:pPr>
                </w:p>
              </w:tc>
              <w:tc>
                <w:tcPr>
                  <w:tcW w:w="1608" w:type="pct"/>
                  <w:gridSpan w:val="2"/>
                  <w:tcBorders>
                    <w:top w:val="single" w:color="auto" w:sz="4" w:space="0"/>
                    <w:left w:val="single" w:color="auto" w:sz="4" w:space="0"/>
                    <w:bottom w:val="single" w:color="auto" w:sz="4" w:space="0"/>
                    <w:right w:val="single" w:color="auto" w:sz="4" w:space="0"/>
                  </w:tcBorders>
                  <w:vAlign w:val="center"/>
                </w:tcPr>
                <w:p w14:paraId="382ADF3F">
                  <w:pPr>
                    <w:widowControl/>
                    <w:rPr>
                      <w:rFonts w:hint="default" w:eastAsia="宋体"/>
                      <w:color w:val="auto"/>
                      <w:kern w:val="0"/>
                      <w:sz w:val="21"/>
                      <w:szCs w:val="21"/>
                      <w:lang w:val="en-US" w:eastAsia="zh-CN"/>
                    </w:rPr>
                  </w:pPr>
                  <w:r>
                    <w:rPr>
                      <w:rFonts w:hint="eastAsia"/>
                      <w:color w:val="auto"/>
                      <w:kern w:val="0"/>
                      <w:sz w:val="21"/>
                      <w:szCs w:val="21"/>
                    </w:rPr>
                    <w:t>服务设施污水处理设施</w:t>
                  </w:r>
                  <w:r>
                    <w:rPr>
                      <w:rFonts w:hint="eastAsia"/>
                      <w:color w:val="auto"/>
                      <w:kern w:val="0"/>
                      <w:sz w:val="21"/>
                      <w:szCs w:val="21"/>
                      <w:lang w:eastAsia="zh-CN"/>
                    </w:rPr>
                    <w:t>、</w:t>
                  </w:r>
                  <w:r>
                    <w:rPr>
                      <w:rFonts w:hint="eastAsia"/>
                      <w:color w:val="auto"/>
                      <w:kern w:val="0"/>
                      <w:sz w:val="21"/>
                      <w:szCs w:val="21"/>
                      <w:lang w:val="en-US" w:eastAsia="zh-CN"/>
                    </w:rPr>
                    <w:t>蓄水池</w:t>
                  </w:r>
                </w:p>
              </w:tc>
              <w:tc>
                <w:tcPr>
                  <w:tcW w:w="337" w:type="pct"/>
                  <w:tcBorders>
                    <w:top w:val="single" w:color="auto" w:sz="4" w:space="0"/>
                    <w:left w:val="single" w:color="auto" w:sz="4" w:space="0"/>
                    <w:bottom w:val="single" w:color="auto" w:sz="4" w:space="0"/>
                    <w:right w:val="single" w:color="auto" w:sz="4" w:space="0"/>
                  </w:tcBorders>
                  <w:vAlign w:val="center"/>
                </w:tcPr>
                <w:p w14:paraId="5FC34E8C">
                  <w:pPr>
                    <w:widowControl/>
                    <w:jc w:val="center"/>
                    <w:rPr>
                      <w:color w:val="auto"/>
                      <w:kern w:val="0"/>
                      <w:sz w:val="21"/>
                      <w:szCs w:val="21"/>
                    </w:rPr>
                  </w:pPr>
                  <w:r>
                    <w:rPr>
                      <w:rFonts w:hint="eastAsia"/>
                      <w:color w:val="auto"/>
                      <w:kern w:val="0"/>
                      <w:sz w:val="21"/>
                      <w:szCs w:val="21"/>
                    </w:rPr>
                    <w:t>套</w:t>
                  </w:r>
                </w:p>
              </w:tc>
              <w:tc>
                <w:tcPr>
                  <w:tcW w:w="345" w:type="pct"/>
                  <w:tcBorders>
                    <w:top w:val="single" w:color="auto" w:sz="4" w:space="0"/>
                    <w:left w:val="single" w:color="auto" w:sz="4" w:space="0"/>
                    <w:bottom w:val="single" w:color="auto" w:sz="4" w:space="0"/>
                    <w:right w:val="single" w:color="auto" w:sz="4" w:space="0"/>
                  </w:tcBorders>
                  <w:vAlign w:val="center"/>
                </w:tcPr>
                <w:p w14:paraId="62A948D1">
                  <w:pPr>
                    <w:widowControl/>
                    <w:jc w:val="center"/>
                    <w:rPr>
                      <w:rFonts w:hint="eastAsia" w:eastAsia="宋体"/>
                      <w:color w:val="auto"/>
                      <w:kern w:val="0"/>
                      <w:sz w:val="21"/>
                      <w:szCs w:val="21"/>
                      <w:lang w:eastAsia="zh-CN"/>
                    </w:rPr>
                  </w:pPr>
                  <w:r>
                    <w:rPr>
                      <w:rFonts w:hint="eastAsia"/>
                      <w:color w:val="auto"/>
                      <w:kern w:val="0"/>
                      <w:sz w:val="21"/>
                      <w:szCs w:val="21"/>
                      <w:lang w:val="en-US" w:eastAsia="zh-CN"/>
                    </w:rPr>
                    <w:t>2</w:t>
                  </w:r>
                </w:p>
              </w:tc>
              <w:tc>
                <w:tcPr>
                  <w:tcW w:w="683" w:type="pct"/>
                  <w:tcBorders>
                    <w:top w:val="single" w:color="auto" w:sz="4" w:space="0"/>
                    <w:left w:val="single" w:color="auto" w:sz="4" w:space="0"/>
                    <w:bottom w:val="single" w:color="auto" w:sz="4" w:space="0"/>
                    <w:right w:val="single" w:color="auto" w:sz="4" w:space="0"/>
                  </w:tcBorders>
                  <w:vAlign w:val="center"/>
                </w:tcPr>
                <w:p w14:paraId="135B72B7">
                  <w:pPr>
                    <w:widowControl/>
                    <w:jc w:val="center"/>
                    <w:rPr>
                      <w:rFonts w:hint="default"/>
                      <w:color w:val="auto"/>
                      <w:kern w:val="0"/>
                      <w:sz w:val="21"/>
                      <w:szCs w:val="21"/>
                      <w:lang w:val="en-US"/>
                    </w:rPr>
                  </w:pPr>
                  <w:r>
                    <w:rPr>
                      <w:rFonts w:hint="eastAsia"/>
                      <w:color w:val="auto"/>
                      <w:kern w:val="0"/>
                      <w:sz w:val="21"/>
                      <w:szCs w:val="21"/>
                      <w:lang w:val="en-US" w:eastAsia="zh-CN"/>
                    </w:rPr>
                    <w:t>60</w:t>
                  </w:r>
                </w:p>
              </w:tc>
              <w:tc>
                <w:tcPr>
                  <w:tcW w:w="1079" w:type="pct"/>
                  <w:tcBorders>
                    <w:top w:val="single" w:color="auto" w:sz="4" w:space="0"/>
                    <w:left w:val="single" w:color="auto" w:sz="4" w:space="0"/>
                    <w:bottom w:val="single" w:color="auto" w:sz="4" w:space="0"/>
                    <w:right w:val="single" w:color="auto" w:sz="4" w:space="0"/>
                  </w:tcBorders>
                  <w:vAlign w:val="center"/>
                </w:tcPr>
                <w:p w14:paraId="364C8277">
                  <w:pPr>
                    <w:widowControl/>
                    <w:jc w:val="center"/>
                    <w:rPr>
                      <w:color w:val="auto"/>
                      <w:sz w:val="21"/>
                      <w:szCs w:val="21"/>
                    </w:rPr>
                  </w:pPr>
                  <w:r>
                    <w:rPr>
                      <w:rFonts w:hint="eastAsia"/>
                      <w:color w:val="auto"/>
                      <w:kern w:val="0"/>
                      <w:sz w:val="21"/>
                      <w:szCs w:val="21"/>
                    </w:rPr>
                    <w:t>每套</w:t>
                  </w:r>
                  <w:r>
                    <w:rPr>
                      <w:rFonts w:hint="eastAsia"/>
                      <w:color w:val="auto"/>
                      <w:kern w:val="0"/>
                      <w:sz w:val="21"/>
                      <w:szCs w:val="21"/>
                      <w:lang w:val="en-US" w:eastAsia="zh-CN"/>
                    </w:rPr>
                    <w:t>30</w:t>
                  </w:r>
                  <w:r>
                    <w:rPr>
                      <w:rFonts w:hint="eastAsia"/>
                      <w:color w:val="auto"/>
                      <w:kern w:val="0"/>
                      <w:sz w:val="21"/>
                      <w:szCs w:val="21"/>
                    </w:rPr>
                    <w:t>万元</w:t>
                  </w:r>
                </w:p>
              </w:tc>
              <w:tc>
                <w:tcPr>
                  <w:tcW w:w="641" w:type="pct"/>
                  <w:tcBorders>
                    <w:top w:val="single" w:color="auto" w:sz="4" w:space="0"/>
                    <w:left w:val="single" w:color="auto" w:sz="4" w:space="0"/>
                    <w:bottom w:val="single" w:color="auto" w:sz="4" w:space="0"/>
                    <w:right w:val="single" w:color="auto" w:sz="4" w:space="0"/>
                  </w:tcBorders>
                  <w:vAlign w:val="center"/>
                </w:tcPr>
                <w:p w14:paraId="24A47196">
                  <w:pPr>
                    <w:widowControl/>
                    <w:jc w:val="center"/>
                    <w:rPr>
                      <w:rFonts w:hint="eastAsia" w:eastAsia="宋体"/>
                      <w:color w:val="auto"/>
                      <w:kern w:val="0"/>
                      <w:sz w:val="21"/>
                      <w:szCs w:val="21"/>
                      <w:lang w:val="en-US" w:eastAsia="zh-CN"/>
                    </w:rPr>
                  </w:pPr>
                  <w:r>
                    <w:rPr>
                      <w:rFonts w:hint="eastAsia"/>
                      <w:color w:val="auto"/>
                      <w:kern w:val="0"/>
                      <w:sz w:val="21"/>
                      <w:szCs w:val="21"/>
                      <w:lang w:val="en-US" w:eastAsia="zh-CN"/>
                    </w:rPr>
                    <w:t>运营期</w:t>
                  </w:r>
                </w:p>
              </w:tc>
            </w:tr>
            <w:tr w14:paraId="47A72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302" w:type="pct"/>
                  <w:tcBorders>
                    <w:top w:val="single" w:color="auto" w:sz="4" w:space="0"/>
                    <w:left w:val="single" w:color="auto" w:sz="4" w:space="0"/>
                    <w:bottom w:val="single" w:color="auto" w:sz="4" w:space="0"/>
                    <w:right w:val="single" w:color="auto" w:sz="4" w:space="0"/>
                  </w:tcBorders>
                  <w:vAlign w:val="center"/>
                </w:tcPr>
                <w:p w14:paraId="1D10622C">
                  <w:pPr>
                    <w:widowControl/>
                    <w:jc w:val="center"/>
                    <w:rPr>
                      <w:color w:val="auto"/>
                      <w:kern w:val="0"/>
                      <w:sz w:val="21"/>
                      <w:szCs w:val="21"/>
                    </w:rPr>
                  </w:pPr>
                </w:p>
              </w:tc>
              <w:tc>
                <w:tcPr>
                  <w:tcW w:w="1608" w:type="pct"/>
                  <w:gridSpan w:val="2"/>
                  <w:tcBorders>
                    <w:top w:val="single" w:color="auto" w:sz="4" w:space="0"/>
                    <w:left w:val="single" w:color="auto" w:sz="4" w:space="0"/>
                    <w:bottom w:val="single" w:color="auto" w:sz="4" w:space="0"/>
                    <w:right w:val="single" w:color="auto" w:sz="4" w:space="0"/>
                  </w:tcBorders>
                  <w:vAlign w:val="center"/>
                </w:tcPr>
                <w:p w14:paraId="1893011D">
                  <w:pPr>
                    <w:widowControl/>
                    <w:rPr>
                      <w:color w:val="auto"/>
                      <w:kern w:val="0"/>
                      <w:sz w:val="21"/>
                      <w:szCs w:val="21"/>
                    </w:rPr>
                  </w:pPr>
                  <w:r>
                    <w:rPr>
                      <w:rFonts w:hint="eastAsia"/>
                      <w:color w:val="auto"/>
                      <w:kern w:val="0"/>
                      <w:sz w:val="21"/>
                      <w:szCs w:val="21"/>
                    </w:rPr>
                    <w:t>径流收集系统、</w:t>
                  </w:r>
                  <w:r>
                    <w:rPr>
                      <w:rFonts w:hint="eastAsia"/>
                      <w:color w:val="auto"/>
                      <w:kern w:val="0"/>
                      <w:sz w:val="21"/>
                      <w:szCs w:val="21"/>
                      <w:lang w:val="en-US" w:eastAsia="zh-CN"/>
                    </w:rPr>
                    <w:t>应急池、</w:t>
                  </w:r>
                  <w:r>
                    <w:rPr>
                      <w:rFonts w:hint="eastAsia"/>
                      <w:color w:val="auto"/>
                      <w:kern w:val="0"/>
                      <w:sz w:val="21"/>
                      <w:szCs w:val="21"/>
                    </w:rPr>
                    <w:t>防渗边沟、警示牌、</w:t>
                  </w:r>
                  <w:r>
                    <w:rPr>
                      <w:rFonts w:hint="eastAsia"/>
                      <w:color w:val="auto"/>
                      <w:kern w:val="0"/>
                      <w:sz w:val="21"/>
                      <w:szCs w:val="21"/>
                      <w:lang w:val="en-US" w:eastAsia="zh-CN"/>
                    </w:rPr>
                    <w:t>防抛网、视频监控系统</w:t>
                  </w:r>
                  <w:r>
                    <w:rPr>
                      <w:rFonts w:hint="eastAsia"/>
                      <w:color w:val="auto"/>
                      <w:kern w:val="0"/>
                      <w:sz w:val="21"/>
                      <w:szCs w:val="21"/>
                    </w:rPr>
                    <w:t>等</w:t>
                  </w:r>
                </w:p>
              </w:tc>
              <w:tc>
                <w:tcPr>
                  <w:tcW w:w="337" w:type="pct"/>
                  <w:tcBorders>
                    <w:top w:val="single" w:color="auto" w:sz="4" w:space="0"/>
                    <w:left w:val="single" w:color="auto" w:sz="4" w:space="0"/>
                    <w:bottom w:val="single" w:color="auto" w:sz="4" w:space="0"/>
                    <w:right w:val="single" w:color="auto" w:sz="4" w:space="0"/>
                  </w:tcBorders>
                  <w:vAlign w:val="center"/>
                </w:tcPr>
                <w:p w14:paraId="5A9E61D1">
                  <w:pPr>
                    <w:widowControl/>
                    <w:jc w:val="center"/>
                    <w:rPr>
                      <w:color w:val="auto"/>
                      <w:kern w:val="0"/>
                      <w:sz w:val="21"/>
                      <w:szCs w:val="21"/>
                    </w:rPr>
                  </w:pPr>
                </w:p>
              </w:tc>
              <w:tc>
                <w:tcPr>
                  <w:tcW w:w="345" w:type="pct"/>
                  <w:tcBorders>
                    <w:top w:val="single" w:color="auto" w:sz="4" w:space="0"/>
                    <w:left w:val="single" w:color="auto" w:sz="4" w:space="0"/>
                    <w:bottom w:val="single" w:color="auto" w:sz="4" w:space="0"/>
                    <w:right w:val="single" w:color="auto" w:sz="4" w:space="0"/>
                  </w:tcBorders>
                  <w:vAlign w:val="center"/>
                </w:tcPr>
                <w:p w14:paraId="091B762E">
                  <w:pPr>
                    <w:widowControl/>
                    <w:jc w:val="center"/>
                    <w:rPr>
                      <w:color w:val="auto"/>
                      <w:kern w:val="0"/>
                      <w:sz w:val="21"/>
                      <w:szCs w:val="21"/>
                    </w:rPr>
                  </w:pPr>
                </w:p>
              </w:tc>
              <w:tc>
                <w:tcPr>
                  <w:tcW w:w="683" w:type="pct"/>
                  <w:tcBorders>
                    <w:top w:val="single" w:color="auto" w:sz="4" w:space="0"/>
                    <w:left w:val="single" w:color="auto" w:sz="4" w:space="0"/>
                    <w:bottom w:val="single" w:color="auto" w:sz="4" w:space="0"/>
                    <w:right w:val="single" w:color="auto" w:sz="4" w:space="0"/>
                  </w:tcBorders>
                  <w:vAlign w:val="center"/>
                </w:tcPr>
                <w:p w14:paraId="7D9181B9">
                  <w:pPr>
                    <w:widowControl/>
                    <w:jc w:val="center"/>
                    <w:rPr>
                      <w:rFonts w:hint="default" w:eastAsia="宋体"/>
                      <w:color w:val="auto"/>
                      <w:kern w:val="0"/>
                      <w:sz w:val="21"/>
                      <w:szCs w:val="21"/>
                      <w:lang w:val="en-US" w:eastAsia="zh-CN"/>
                    </w:rPr>
                  </w:pPr>
                  <w:r>
                    <w:rPr>
                      <w:rFonts w:hint="eastAsia"/>
                      <w:color w:val="auto"/>
                      <w:kern w:val="0"/>
                      <w:sz w:val="21"/>
                      <w:szCs w:val="21"/>
                      <w:lang w:val="en-US" w:eastAsia="zh-CN"/>
                    </w:rPr>
                    <w:t>200</w:t>
                  </w:r>
                </w:p>
              </w:tc>
              <w:tc>
                <w:tcPr>
                  <w:tcW w:w="1079" w:type="pct"/>
                  <w:tcBorders>
                    <w:top w:val="single" w:color="auto" w:sz="4" w:space="0"/>
                    <w:left w:val="single" w:color="auto" w:sz="4" w:space="0"/>
                    <w:bottom w:val="single" w:color="auto" w:sz="4" w:space="0"/>
                    <w:right w:val="single" w:color="auto" w:sz="4" w:space="0"/>
                  </w:tcBorders>
                  <w:vAlign w:val="center"/>
                </w:tcPr>
                <w:p w14:paraId="522A8D31">
                  <w:pPr>
                    <w:widowControl/>
                    <w:jc w:val="left"/>
                    <w:rPr>
                      <w:color w:val="auto"/>
                      <w:kern w:val="0"/>
                      <w:sz w:val="21"/>
                      <w:szCs w:val="21"/>
                    </w:rPr>
                  </w:pPr>
                </w:p>
              </w:tc>
              <w:tc>
                <w:tcPr>
                  <w:tcW w:w="641" w:type="pct"/>
                  <w:tcBorders>
                    <w:top w:val="single" w:color="auto" w:sz="4" w:space="0"/>
                    <w:left w:val="single" w:color="auto" w:sz="4" w:space="0"/>
                    <w:bottom w:val="single" w:color="auto" w:sz="4" w:space="0"/>
                    <w:right w:val="single" w:color="auto" w:sz="4" w:space="0"/>
                  </w:tcBorders>
                  <w:vAlign w:val="center"/>
                </w:tcPr>
                <w:p w14:paraId="5D7E18D4">
                  <w:pPr>
                    <w:widowControl/>
                    <w:jc w:val="center"/>
                    <w:rPr>
                      <w:rFonts w:hint="eastAsia" w:eastAsia="宋体"/>
                      <w:color w:val="auto"/>
                      <w:kern w:val="0"/>
                      <w:sz w:val="21"/>
                      <w:szCs w:val="21"/>
                      <w:lang w:val="en-US" w:eastAsia="zh-CN"/>
                    </w:rPr>
                  </w:pPr>
                  <w:r>
                    <w:rPr>
                      <w:rFonts w:hint="eastAsia"/>
                      <w:color w:val="auto"/>
                      <w:kern w:val="0"/>
                      <w:sz w:val="21"/>
                      <w:szCs w:val="21"/>
                      <w:lang w:val="en-US" w:eastAsia="zh-CN"/>
                    </w:rPr>
                    <w:t>运营期</w:t>
                  </w:r>
                </w:p>
              </w:tc>
            </w:tr>
            <w:tr w14:paraId="0E89A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302" w:type="pct"/>
                  <w:tcBorders>
                    <w:top w:val="single" w:color="auto" w:sz="4" w:space="0"/>
                    <w:left w:val="single" w:color="auto" w:sz="4" w:space="0"/>
                    <w:bottom w:val="single" w:color="auto" w:sz="4" w:space="0"/>
                    <w:right w:val="single" w:color="auto" w:sz="4" w:space="0"/>
                  </w:tcBorders>
                  <w:vAlign w:val="center"/>
                </w:tcPr>
                <w:p w14:paraId="13D249C4">
                  <w:pPr>
                    <w:widowControl/>
                    <w:jc w:val="center"/>
                    <w:rPr>
                      <w:color w:val="auto"/>
                      <w:kern w:val="0"/>
                      <w:sz w:val="21"/>
                      <w:szCs w:val="21"/>
                    </w:rPr>
                  </w:pPr>
                  <w:r>
                    <w:rPr>
                      <w:color w:val="auto"/>
                      <w:kern w:val="0"/>
                      <w:sz w:val="21"/>
                      <w:szCs w:val="21"/>
                    </w:rPr>
                    <w:t>2</w:t>
                  </w:r>
                </w:p>
              </w:tc>
              <w:tc>
                <w:tcPr>
                  <w:tcW w:w="1608" w:type="pct"/>
                  <w:gridSpan w:val="2"/>
                  <w:tcBorders>
                    <w:top w:val="single" w:color="auto" w:sz="4" w:space="0"/>
                    <w:left w:val="single" w:color="auto" w:sz="4" w:space="0"/>
                    <w:bottom w:val="single" w:color="auto" w:sz="4" w:space="0"/>
                    <w:right w:val="single" w:color="auto" w:sz="4" w:space="0"/>
                  </w:tcBorders>
                  <w:vAlign w:val="center"/>
                </w:tcPr>
                <w:p w14:paraId="0564AAB7">
                  <w:pPr>
                    <w:widowControl/>
                    <w:rPr>
                      <w:rFonts w:hint="eastAsia" w:eastAsia="宋体"/>
                      <w:color w:val="auto"/>
                      <w:kern w:val="0"/>
                      <w:sz w:val="21"/>
                      <w:szCs w:val="21"/>
                      <w:lang w:eastAsia="zh-CN"/>
                    </w:rPr>
                  </w:pPr>
                  <w:r>
                    <w:rPr>
                      <w:rFonts w:hint="eastAsia"/>
                      <w:color w:val="auto"/>
                      <w:kern w:val="0"/>
                      <w:szCs w:val="21"/>
                      <w:lang w:val="en-US" w:eastAsia="zh-CN"/>
                    </w:rPr>
                    <w:t>噪声</w:t>
                  </w:r>
                </w:p>
              </w:tc>
              <w:tc>
                <w:tcPr>
                  <w:tcW w:w="337" w:type="pct"/>
                  <w:tcBorders>
                    <w:top w:val="single" w:color="auto" w:sz="4" w:space="0"/>
                    <w:left w:val="single" w:color="auto" w:sz="4" w:space="0"/>
                    <w:bottom w:val="single" w:color="auto" w:sz="4" w:space="0"/>
                    <w:right w:val="single" w:color="auto" w:sz="4" w:space="0"/>
                  </w:tcBorders>
                  <w:vAlign w:val="center"/>
                </w:tcPr>
                <w:p w14:paraId="01F5DF0A">
                  <w:pPr>
                    <w:widowControl/>
                    <w:jc w:val="center"/>
                    <w:rPr>
                      <w:color w:val="auto"/>
                      <w:kern w:val="0"/>
                      <w:sz w:val="21"/>
                      <w:szCs w:val="21"/>
                    </w:rPr>
                  </w:pPr>
                </w:p>
              </w:tc>
              <w:tc>
                <w:tcPr>
                  <w:tcW w:w="345" w:type="pct"/>
                  <w:tcBorders>
                    <w:top w:val="single" w:color="auto" w:sz="4" w:space="0"/>
                    <w:left w:val="single" w:color="auto" w:sz="4" w:space="0"/>
                    <w:bottom w:val="single" w:color="auto" w:sz="4" w:space="0"/>
                    <w:right w:val="single" w:color="auto" w:sz="4" w:space="0"/>
                  </w:tcBorders>
                  <w:vAlign w:val="center"/>
                </w:tcPr>
                <w:p w14:paraId="507A2AB8">
                  <w:pPr>
                    <w:widowControl/>
                    <w:jc w:val="center"/>
                    <w:rPr>
                      <w:color w:val="auto"/>
                      <w:kern w:val="0"/>
                      <w:sz w:val="21"/>
                      <w:szCs w:val="21"/>
                    </w:rPr>
                  </w:pPr>
                </w:p>
              </w:tc>
              <w:tc>
                <w:tcPr>
                  <w:tcW w:w="683" w:type="pct"/>
                  <w:tcBorders>
                    <w:top w:val="single" w:color="auto" w:sz="4" w:space="0"/>
                    <w:left w:val="single" w:color="auto" w:sz="4" w:space="0"/>
                    <w:bottom w:val="single" w:color="auto" w:sz="4" w:space="0"/>
                    <w:right w:val="single" w:color="auto" w:sz="4" w:space="0"/>
                  </w:tcBorders>
                  <w:vAlign w:val="center"/>
                </w:tcPr>
                <w:p w14:paraId="79C5B580">
                  <w:pPr>
                    <w:widowControl/>
                    <w:jc w:val="center"/>
                    <w:rPr>
                      <w:rFonts w:hint="default" w:eastAsia="宋体"/>
                      <w:color w:val="auto"/>
                      <w:kern w:val="0"/>
                      <w:sz w:val="21"/>
                      <w:szCs w:val="21"/>
                      <w:lang w:val="en-US" w:eastAsia="zh-CN"/>
                    </w:rPr>
                  </w:pPr>
                  <w:r>
                    <w:rPr>
                      <w:rFonts w:hint="eastAsia"/>
                      <w:color w:val="auto"/>
                      <w:kern w:val="0"/>
                      <w:szCs w:val="21"/>
                    </w:rPr>
                    <w:t>4</w:t>
                  </w:r>
                  <w:r>
                    <w:rPr>
                      <w:rFonts w:hint="eastAsia"/>
                      <w:color w:val="auto"/>
                      <w:kern w:val="0"/>
                      <w:szCs w:val="21"/>
                      <w:lang w:val="en-US" w:eastAsia="zh-CN"/>
                    </w:rPr>
                    <w:t>3</w:t>
                  </w:r>
                  <w:r>
                    <w:rPr>
                      <w:rFonts w:hint="eastAsia"/>
                      <w:color w:val="auto"/>
                      <w:kern w:val="0"/>
                      <w:szCs w:val="21"/>
                    </w:rPr>
                    <w:t>32</w:t>
                  </w:r>
                </w:p>
              </w:tc>
              <w:tc>
                <w:tcPr>
                  <w:tcW w:w="1079" w:type="pct"/>
                  <w:tcBorders>
                    <w:top w:val="single" w:color="auto" w:sz="4" w:space="0"/>
                    <w:left w:val="single" w:color="auto" w:sz="4" w:space="0"/>
                    <w:bottom w:val="single" w:color="auto" w:sz="4" w:space="0"/>
                    <w:right w:val="single" w:color="auto" w:sz="4" w:space="0"/>
                  </w:tcBorders>
                  <w:vAlign w:val="center"/>
                </w:tcPr>
                <w:p w14:paraId="30D0EC7B">
                  <w:pPr>
                    <w:jc w:val="center"/>
                    <w:rPr>
                      <w:color w:val="auto"/>
                      <w:sz w:val="21"/>
                      <w:szCs w:val="21"/>
                    </w:rPr>
                  </w:pPr>
                </w:p>
              </w:tc>
              <w:tc>
                <w:tcPr>
                  <w:tcW w:w="641" w:type="pct"/>
                  <w:tcBorders>
                    <w:top w:val="single" w:color="auto" w:sz="4" w:space="0"/>
                    <w:left w:val="single" w:color="auto" w:sz="4" w:space="0"/>
                    <w:bottom w:val="single" w:color="auto" w:sz="4" w:space="0"/>
                    <w:right w:val="single" w:color="auto" w:sz="4" w:space="0"/>
                  </w:tcBorders>
                  <w:vAlign w:val="center"/>
                </w:tcPr>
                <w:p w14:paraId="5E0CEF73">
                  <w:pPr>
                    <w:jc w:val="center"/>
                    <w:rPr>
                      <w:color w:val="auto"/>
                      <w:sz w:val="21"/>
                      <w:szCs w:val="21"/>
                    </w:rPr>
                  </w:pPr>
                </w:p>
              </w:tc>
            </w:tr>
            <w:tr w14:paraId="111F1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302" w:type="pct"/>
                  <w:tcBorders>
                    <w:top w:val="single" w:color="auto" w:sz="4" w:space="0"/>
                    <w:left w:val="single" w:color="auto" w:sz="4" w:space="0"/>
                    <w:bottom w:val="single" w:color="auto" w:sz="4" w:space="0"/>
                    <w:right w:val="single" w:color="auto" w:sz="4" w:space="0"/>
                  </w:tcBorders>
                  <w:vAlign w:val="center"/>
                </w:tcPr>
                <w:p w14:paraId="4050DBE7">
                  <w:pPr>
                    <w:widowControl/>
                    <w:jc w:val="center"/>
                    <w:rPr>
                      <w:color w:val="auto"/>
                      <w:kern w:val="0"/>
                      <w:sz w:val="21"/>
                      <w:szCs w:val="21"/>
                    </w:rPr>
                  </w:pPr>
                </w:p>
              </w:tc>
              <w:tc>
                <w:tcPr>
                  <w:tcW w:w="1608" w:type="pct"/>
                  <w:gridSpan w:val="2"/>
                  <w:tcBorders>
                    <w:top w:val="single" w:color="auto" w:sz="4" w:space="0"/>
                    <w:left w:val="single" w:color="auto" w:sz="4" w:space="0"/>
                    <w:bottom w:val="single" w:color="auto" w:sz="4" w:space="0"/>
                    <w:right w:val="single" w:color="auto" w:sz="4" w:space="0"/>
                  </w:tcBorders>
                  <w:vAlign w:val="center"/>
                </w:tcPr>
                <w:p w14:paraId="79111165">
                  <w:pPr>
                    <w:widowControl/>
                    <w:rPr>
                      <w:color w:val="auto"/>
                      <w:kern w:val="0"/>
                      <w:sz w:val="21"/>
                      <w:szCs w:val="21"/>
                    </w:rPr>
                  </w:pPr>
                  <w:r>
                    <w:rPr>
                      <w:rFonts w:hint="eastAsia"/>
                      <w:color w:val="auto"/>
                      <w:kern w:val="0"/>
                      <w:szCs w:val="21"/>
                    </w:rPr>
                    <w:t>声屏障+隔声窗</w:t>
                  </w:r>
                </w:p>
              </w:tc>
              <w:tc>
                <w:tcPr>
                  <w:tcW w:w="337" w:type="pct"/>
                  <w:tcBorders>
                    <w:top w:val="single" w:color="auto" w:sz="4" w:space="0"/>
                    <w:left w:val="single" w:color="auto" w:sz="4" w:space="0"/>
                    <w:bottom w:val="single" w:color="auto" w:sz="4" w:space="0"/>
                    <w:right w:val="single" w:color="auto" w:sz="4" w:space="0"/>
                  </w:tcBorders>
                  <w:vAlign w:val="center"/>
                </w:tcPr>
                <w:p w14:paraId="1ED53FC9">
                  <w:pPr>
                    <w:widowControl/>
                    <w:jc w:val="center"/>
                    <w:rPr>
                      <w:color w:val="auto"/>
                      <w:kern w:val="0"/>
                      <w:sz w:val="21"/>
                      <w:szCs w:val="21"/>
                    </w:rPr>
                  </w:pPr>
                  <w:r>
                    <w:rPr>
                      <w:rFonts w:hint="eastAsia"/>
                      <w:color w:val="auto"/>
                      <w:kern w:val="0"/>
                      <w:szCs w:val="21"/>
                    </w:rPr>
                    <w:t>处</w:t>
                  </w:r>
                </w:p>
              </w:tc>
              <w:tc>
                <w:tcPr>
                  <w:tcW w:w="345" w:type="pct"/>
                  <w:tcBorders>
                    <w:top w:val="single" w:color="auto" w:sz="4" w:space="0"/>
                    <w:left w:val="single" w:color="auto" w:sz="4" w:space="0"/>
                    <w:bottom w:val="single" w:color="auto" w:sz="4" w:space="0"/>
                    <w:right w:val="single" w:color="auto" w:sz="4" w:space="0"/>
                  </w:tcBorders>
                  <w:vAlign w:val="center"/>
                </w:tcPr>
                <w:p w14:paraId="75FCD1AA">
                  <w:pPr>
                    <w:widowControl/>
                    <w:jc w:val="center"/>
                    <w:rPr>
                      <w:rFonts w:hint="eastAsia" w:eastAsia="宋体"/>
                      <w:color w:val="auto"/>
                      <w:kern w:val="0"/>
                      <w:sz w:val="21"/>
                      <w:szCs w:val="21"/>
                      <w:lang w:eastAsia="zh-CN"/>
                    </w:rPr>
                  </w:pPr>
                  <w:r>
                    <w:rPr>
                      <w:rFonts w:hint="eastAsia"/>
                      <w:color w:val="auto"/>
                      <w:kern w:val="0"/>
                      <w:szCs w:val="21"/>
                    </w:rPr>
                    <w:t>1</w:t>
                  </w:r>
                  <w:r>
                    <w:rPr>
                      <w:rFonts w:hint="eastAsia"/>
                      <w:color w:val="auto"/>
                      <w:kern w:val="0"/>
                      <w:szCs w:val="21"/>
                      <w:lang w:val="en-US" w:eastAsia="zh-CN"/>
                    </w:rPr>
                    <w:t>5</w:t>
                  </w:r>
                </w:p>
              </w:tc>
              <w:tc>
                <w:tcPr>
                  <w:tcW w:w="683" w:type="pct"/>
                  <w:tcBorders>
                    <w:top w:val="single" w:color="auto" w:sz="4" w:space="0"/>
                    <w:left w:val="single" w:color="auto" w:sz="4" w:space="0"/>
                    <w:right w:val="single" w:color="auto" w:sz="4" w:space="0"/>
                  </w:tcBorders>
                  <w:vAlign w:val="center"/>
                </w:tcPr>
                <w:p w14:paraId="7F046A2E">
                  <w:pPr>
                    <w:widowControl/>
                    <w:jc w:val="center"/>
                    <w:rPr>
                      <w:rFonts w:hint="default" w:eastAsia="宋体"/>
                      <w:color w:val="auto"/>
                      <w:kern w:val="0"/>
                      <w:sz w:val="21"/>
                      <w:szCs w:val="21"/>
                      <w:lang w:val="en-US" w:eastAsia="zh-CN"/>
                    </w:rPr>
                  </w:pPr>
                  <w:r>
                    <w:rPr>
                      <w:rFonts w:hint="eastAsia"/>
                      <w:color w:val="auto"/>
                      <w:kern w:val="0"/>
                      <w:szCs w:val="21"/>
                    </w:rPr>
                    <w:t>3</w:t>
                  </w:r>
                  <w:r>
                    <w:rPr>
                      <w:rFonts w:hint="eastAsia"/>
                      <w:color w:val="auto"/>
                      <w:kern w:val="0"/>
                      <w:szCs w:val="21"/>
                      <w:lang w:val="en-US" w:eastAsia="zh-CN"/>
                    </w:rPr>
                    <w:t>662</w:t>
                  </w:r>
                </w:p>
              </w:tc>
              <w:tc>
                <w:tcPr>
                  <w:tcW w:w="1772" w:type="dxa"/>
                  <w:tcBorders>
                    <w:top w:val="single" w:color="auto" w:sz="4" w:space="0"/>
                    <w:left w:val="single" w:color="auto" w:sz="4" w:space="0"/>
                    <w:bottom w:val="single" w:color="auto" w:sz="4" w:space="0"/>
                    <w:right w:val="single" w:color="auto" w:sz="4" w:space="0"/>
                  </w:tcBorders>
                  <w:vAlign w:val="center"/>
                </w:tcPr>
                <w:p w14:paraId="676A57A0">
                  <w:pPr>
                    <w:jc w:val="center"/>
                    <w:rPr>
                      <w:color w:val="auto"/>
                      <w:sz w:val="21"/>
                      <w:szCs w:val="21"/>
                      <w:u w:val="none"/>
                    </w:rPr>
                  </w:pPr>
                  <w:r>
                    <w:rPr>
                      <w:rFonts w:hint="eastAsia"/>
                      <w:color w:val="auto"/>
                      <w:kern w:val="0"/>
                      <w:szCs w:val="21"/>
                      <w:u w:val="none"/>
                    </w:rPr>
                    <w:t>声屏障：</w:t>
                  </w:r>
                  <w:r>
                    <w:rPr>
                      <w:color w:val="auto"/>
                      <w:szCs w:val="21"/>
                      <w:u w:val="none"/>
                    </w:rPr>
                    <w:t>3m高</w:t>
                  </w:r>
                  <w:r>
                    <w:rPr>
                      <w:rFonts w:hint="eastAsia"/>
                      <w:color w:val="auto"/>
                      <w:szCs w:val="21"/>
                      <w:u w:val="none"/>
                    </w:rPr>
                    <w:t>13990</w:t>
                  </w:r>
                  <w:r>
                    <w:rPr>
                      <w:color w:val="auto"/>
                      <w:szCs w:val="21"/>
                      <w:u w:val="none"/>
                    </w:rPr>
                    <w:t>m，</w:t>
                  </w:r>
                  <w:r>
                    <w:rPr>
                      <w:rFonts w:hint="eastAsia"/>
                      <w:color w:val="auto"/>
                      <w:szCs w:val="21"/>
                      <w:u w:val="none"/>
                    </w:rPr>
                    <w:t>隔声窗：</w:t>
                  </w:r>
                  <w:r>
                    <w:rPr>
                      <w:color w:val="auto"/>
                      <w:szCs w:val="21"/>
                      <w:u w:val="none"/>
                    </w:rPr>
                    <w:t>居民</w:t>
                  </w:r>
                  <w:r>
                    <w:rPr>
                      <w:rFonts w:hint="eastAsia"/>
                      <w:color w:val="auto"/>
                      <w:szCs w:val="21"/>
                      <w:u w:val="none"/>
                    </w:rPr>
                    <w:t>459户、卫生院1处、学校2处</w:t>
                  </w:r>
                </w:p>
              </w:tc>
              <w:tc>
                <w:tcPr>
                  <w:tcW w:w="641" w:type="pct"/>
                  <w:tcBorders>
                    <w:top w:val="single" w:color="auto" w:sz="4" w:space="0"/>
                    <w:left w:val="single" w:color="auto" w:sz="4" w:space="0"/>
                    <w:bottom w:val="single" w:color="auto" w:sz="4" w:space="0"/>
                    <w:right w:val="single" w:color="auto" w:sz="4" w:space="0"/>
                  </w:tcBorders>
                  <w:vAlign w:val="center"/>
                </w:tcPr>
                <w:p w14:paraId="167928EE">
                  <w:pPr>
                    <w:jc w:val="center"/>
                    <w:rPr>
                      <w:rFonts w:hint="eastAsia" w:eastAsia="宋体"/>
                      <w:color w:val="auto"/>
                      <w:kern w:val="0"/>
                      <w:szCs w:val="21"/>
                      <w:lang w:val="en-US" w:eastAsia="zh-CN"/>
                    </w:rPr>
                  </w:pPr>
                  <w:r>
                    <w:rPr>
                      <w:rFonts w:hint="eastAsia"/>
                      <w:color w:val="auto"/>
                      <w:kern w:val="0"/>
                      <w:szCs w:val="21"/>
                      <w:lang w:val="en-US" w:eastAsia="zh-CN"/>
                    </w:rPr>
                    <w:t>运营期</w:t>
                  </w:r>
                </w:p>
              </w:tc>
            </w:tr>
            <w:tr w14:paraId="145CE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302" w:type="pct"/>
                  <w:tcBorders>
                    <w:top w:val="single" w:color="auto" w:sz="4" w:space="0"/>
                    <w:left w:val="single" w:color="auto" w:sz="4" w:space="0"/>
                    <w:bottom w:val="single" w:color="auto" w:sz="4" w:space="0"/>
                    <w:right w:val="single" w:color="auto" w:sz="4" w:space="0"/>
                  </w:tcBorders>
                  <w:vAlign w:val="center"/>
                </w:tcPr>
                <w:p w14:paraId="10D69AC7">
                  <w:pPr>
                    <w:widowControl/>
                    <w:jc w:val="center"/>
                    <w:rPr>
                      <w:color w:val="auto"/>
                      <w:kern w:val="0"/>
                      <w:sz w:val="21"/>
                      <w:szCs w:val="21"/>
                    </w:rPr>
                  </w:pPr>
                </w:p>
              </w:tc>
              <w:tc>
                <w:tcPr>
                  <w:tcW w:w="1608" w:type="pct"/>
                  <w:gridSpan w:val="2"/>
                  <w:tcBorders>
                    <w:top w:val="single" w:color="auto" w:sz="4" w:space="0"/>
                    <w:left w:val="single" w:color="auto" w:sz="4" w:space="0"/>
                    <w:bottom w:val="single" w:color="auto" w:sz="4" w:space="0"/>
                    <w:right w:val="single" w:color="auto" w:sz="4" w:space="0"/>
                  </w:tcBorders>
                  <w:vAlign w:val="center"/>
                </w:tcPr>
                <w:p w14:paraId="13FC8EDA">
                  <w:pPr>
                    <w:widowControl/>
                    <w:rPr>
                      <w:color w:val="auto"/>
                      <w:kern w:val="0"/>
                      <w:sz w:val="21"/>
                      <w:szCs w:val="21"/>
                    </w:rPr>
                  </w:pPr>
                  <w:r>
                    <w:rPr>
                      <w:rFonts w:hint="eastAsia"/>
                      <w:color w:val="auto"/>
                      <w:kern w:val="0"/>
                      <w:szCs w:val="21"/>
                    </w:rPr>
                    <w:t>声屏障</w:t>
                  </w:r>
                </w:p>
              </w:tc>
              <w:tc>
                <w:tcPr>
                  <w:tcW w:w="337" w:type="pct"/>
                  <w:tcBorders>
                    <w:top w:val="single" w:color="auto" w:sz="4" w:space="0"/>
                    <w:left w:val="single" w:color="auto" w:sz="4" w:space="0"/>
                    <w:bottom w:val="single" w:color="auto" w:sz="4" w:space="0"/>
                    <w:right w:val="single" w:color="auto" w:sz="4" w:space="0"/>
                  </w:tcBorders>
                  <w:vAlign w:val="center"/>
                </w:tcPr>
                <w:p w14:paraId="5B00EA68">
                  <w:pPr>
                    <w:widowControl/>
                    <w:jc w:val="center"/>
                    <w:rPr>
                      <w:color w:val="auto"/>
                      <w:kern w:val="0"/>
                      <w:sz w:val="21"/>
                      <w:szCs w:val="21"/>
                    </w:rPr>
                  </w:pPr>
                  <w:r>
                    <w:rPr>
                      <w:rFonts w:hint="eastAsia"/>
                      <w:color w:val="auto"/>
                      <w:kern w:val="0"/>
                      <w:szCs w:val="21"/>
                    </w:rPr>
                    <w:t>处</w:t>
                  </w:r>
                </w:p>
              </w:tc>
              <w:tc>
                <w:tcPr>
                  <w:tcW w:w="345" w:type="pct"/>
                  <w:tcBorders>
                    <w:top w:val="single" w:color="auto" w:sz="4" w:space="0"/>
                    <w:left w:val="single" w:color="auto" w:sz="4" w:space="0"/>
                    <w:bottom w:val="single" w:color="auto" w:sz="4" w:space="0"/>
                    <w:right w:val="single" w:color="auto" w:sz="4" w:space="0"/>
                  </w:tcBorders>
                  <w:vAlign w:val="center"/>
                </w:tcPr>
                <w:p w14:paraId="4D2D6DE0">
                  <w:pPr>
                    <w:widowControl/>
                    <w:jc w:val="center"/>
                    <w:rPr>
                      <w:rFonts w:hint="eastAsia" w:eastAsia="宋体"/>
                      <w:color w:val="auto"/>
                      <w:kern w:val="0"/>
                      <w:sz w:val="21"/>
                      <w:szCs w:val="21"/>
                      <w:lang w:eastAsia="zh-CN"/>
                    </w:rPr>
                  </w:pPr>
                  <w:r>
                    <w:rPr>
                      <w:rFonts w:hint="eastAsia"/>
                      <w:color w:val="auto"/>
                      <w:kern w:val="0"/>
                      <w:szCs w:val="21"/>
                      <w:lang w:val="en-US" w:eastAsia="zh-CN"/>
                    </w:rPr>
                    <w:t>2</w:t>
                  </w:r>
                </w:p>
              </w:tc>
              <w:tc>
                <w:tcPr>
                  <w:tcW w:w="683" w:type="pct"/>
                  <w:tcBorders>
                    <w:top w:val="single" w:color="auto" w:sz="4" w:space="0"/>
                    <w:left w:val="single" w:color="auto" w:sz="4" w:space="0"/>
                    <w:right w:val="single" w:color="auto" w:sz="4" w:space="0"/>
                  </w:tcBorders>
                  <w:vAlign w:val="center"/>
                </w:tcPr>
                <w:p w14:paraId="62DCF8E6">
                  <w:pPr>
                    <w:jc w:val="center"/>
                    <w:rPr>
                      <w:rFonts w:hint="default" w:eastAsia="宋体"/>
                      <w:color w:val="auto"/>
                      <w:kern w:val="0"/>
                      <w:sz w:val="21"/>
                      <w:szCs w:val="21"/>
                      <w:lang w:val="en-US" w:eastAsia="zh-CN"/>
                    </w:rPr>
                  </w:pPr>
                  <w:r>
                    <w:rPr>
                      <w:rFonts w:hint="eastAsia"/>
                      <w:color w:val="auto"/>
                      <w:kern w:val="0"/>
                      <w:szCs w:val="21"/>
                    </w:rPr>
                    <w:t>1</w:t>
                  </w:r>
                  <w:r>
                    <w:rPr>
                      <w:rFonts w:hint="eastAsia"/>
                      <w:color w:val="auto"/>
                      <w:kern w:val="0"/>
                      <w:szCs w:val="21"/>
                      <w:lang w:val="en-US" w:eastAsia="zh-CN"/>
                    </w:rPr>
                    <w:t>00</w:t>
                  </w:r>
                </w:p>
              </w:tc>
              <w:tc>
                <w:tcPr>
                  <w:tcW w:w="1772" w:type="dxa"/>
                  <w:tcBorders>
                    <w:top w:val="single" w:color="auto" w:sz="4" w:space="0"/>
                    <w:left w:val="single" w:color="auto" w:sz="4" w:space="0"/>
                    <w:bottom w:val="single" w:color="auto" w:sz="4" w:space="0"/>
                    <w:right w:val="single" w:color="auto" w:sz="4" w:space="0"/>
                  </w:tcBorders>
                  <w:vAlign w:val="center"/>
                </w:tcPr>
                <w:p w14:paraId="5245772E">
                  <w:pPr>
                    <w:jc w:val="center"/>
                    <w:rPr>
                      <w:color w:val="auto"/>
                      <w:sz w:val="21"/>
                      <w:szCs w:val="21"/>
                      <w:u w:val="none"/>
                    </w:rPr>
                  </w:pPr>
                  <w:r>
                    <w:rPr>
                      <w:rFonts w:hint="eastAsia"/>
                      <w:color w:val="auto"/>
                      <w:kern w:val="0"/>
                      <w:szCs w:val="21"/>
                      <w:u w:val="none"/>
                    </w:rPr>
                    <w:t>声屏障：</w:t>
                  </w:r>
                  <w:r>
                    <w:rPr>
                      <w:color w:val="auto"/>
                      <w:kern w:val="0"/>
                      <w:szCs w:val="21"/>
                      <w:u w:val="none"/>
                    </w:rPr>
                    <w:t>3m高</w:t>
                  </w:r>
                  <w:r>
                    <w:rPr>
                      <w:rFonts w:hint="eastAsia"/>
                      <w:color w:val="auto"/>
                      <w:kern w:val="0"/>
                      <w:szCs w:val="21"/>
                      <w:u w:val="none"/>
                    </w:rPr>
                    <w:t>500</w:t>
                  </w:r>
                  <w:r>
                    <w:rPr>
                      <w:color w:val="auto"/>
                      <w:kern w:val="0"/>
                      <w:szCs w:val="21"/>
                      <w:u w:val="none"/>
                    </w:rPr>
                    <w:t>m</w:t>
                  </w:r>
                </w:p>
              </w:tc>
              <w:tc>
                <w:tcPr>
                  <w:tcW w:w="641" w:type="pct"/>
                  <w:tcBorders>
                    <w:top w:val="single" w:color="auto" w:sz="4" w:space="0"/>
                    <w:left w:val="single" w:color="auto" w:sz="4" w:space="0"/>
                    <w:bottom w:val="single" w:color="auto" w:sz="4" w:space="0"/>
                    <w:right w:val="single" w:color="auto" w:sz="4" w:space="0"/>
                  </w:tcBorders>
                  <w:vAlign w:val="center"/>
                </w:tcPr>
                <w:p w14:paraId="47319C4D">
                  <w:pPr>
                    <w:jc w:val="center"/>
                    <w:rPr>
                      <w:rFonts w:hint="eastAsia" w:eastAsia="宋体"/>
                      <w:color w:val="auto"/>
                      <w:kern w:val="0"/>
                      <w:szCs w:val="21"/>
                      <w:lang w:val="en-US" w:eastAsia="zh-CN"/>
                    </w:rPr>
                  </w:pPr>
                  <w:r>
                    <w:rPr>
                      <w:rFonts w:hint="eastAsia"/>
                      <w:color w:val="auto"/>
                      <w:kern w:val="0"/>
                      <w:szCs w:val="21"/>
                      <w:lang w:val="en-US" w:eastAsia="zh-CN"/>
                    </w:rPr>
                    <w:t>运营期</w:t>
                  </w:r>
                </w:p>
              </w:tc>
            </w:tr>
            <w:tr w14:paraId="53BD6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302" w:type="pct"/>
                  <w:tcBorders>
                    <w:top w:val="single" w:color="auto" w:sz="4" w:space="0"/>
                    <w:left w:val="single" w:color="auto" w:sz="4" w:space="0"/>
                    <w:bottom w:val="single" w:color="auto" w:sz="4" w:space="0"/>
                    <w:right w:val="single" w:color="auto" w:sz="4" w:space="0"/>
                  </w:tcBorders>
                  <w:vAlign w:val="center"/>
                </w:tcPr>
                <w:p w14:paraId="0B1AFA0F">
                  <w:pPr>
                    <w:widowControl/>
                    <w:jc w:val="center"/>
                    <w:rPr>
                      <w:color w:val="auto"/>
                      <w:kern w:val="0"/>
                      <w:sz w:val="21"/>
                      <w:szCs w:val="21"/>
                    </w:rPr>
                  </w:pPr>
                </w:p>
              </w:tc>
              <w:tc>
                <w:tcPr>
                  <w:tcW w:w="1608" w:type="pct"/>
                  <w:gridSpan w:val="2"/>
                  <w:tcBorders>
                    <w:top w:val="single" w:color="auto" w:sz="4" w:space="0"/>
                    <w:left w:val="single" w:color="auto" w:sz="4" w:space="0"/>
                    <w:bottom w:val="single" w:color="auto" w:sz="4" w:space="0"/>
                    <w:right w:val="single" w:color="auto" w:sz="4" w:space="0"/>
                  </w:tcBorders>
                  <w:vAlign w:val="center"/>
                </w:tcPr>
                <w:p w14:paraId="24F7D7E2">
                  <w:pPr>
                    <w:widowControl/>
                    <w:rPr>
                      <w:color w:val="auto"/>
                      <w:kern w:val="0"/>
                      <w:sz w:val="21"/>
                      <w:szCs w:val="21"/>
                    </w:rPr>
                  </w:pPr>
                  <w:r>
                    <w:rPr>
                      <w:rFonts w:hint="eastAsia"/>
                      <w:color w:val="auto"/>
                      <w:kern w:val="0"/>
                      <w:szCs w:val="21"/>
                    </w:rPr>
                    <w:t>隔声窗</w:t>
                  </w:r>
                </w:p>
              </w:tc>
              <w:tc>
                <w:tcPr>
                  <w:tcW w:w="337" w:type="pct"/>
                  <w:tcBorders>
                    <w:top w:val="single" w:color="auto" w:sz="4" w:space="0"/>
                    <w:left w:val="single" w:color="auto" w:sz="4" w:space="0"/>
                    <w:bottom w:val="single" w:color="auto" w:sz="4" w:space="0"/>
                    <w:right w:val="single" w:color="auto" w:sz="4" w:space="0"/>
                  </w:tcBorders>
                  <w:vAlign w:val="center"/>
                </w:tcPr>
                <w:p w14:paraId="5321C90D">
                  <w:pPr>
                    <w:widowControl/>
                    <w:jc w:val="center"/>
                    <w:rPr>
                      <w:color w:val="auto"/>
                      <w:kern w:val="0"/>
                      <w:sz w:val="21"/>
                      <w:szCs w:val="21"/>
                    </w:rPr>
                  </w:pPr>
                  <w:r>
                    <w:rPr>
                      <w:rFonts w:hint="eastAsia"/>
                      <w:color w:val="auto"/>
                      <w:kern w:val="0"/>
                      <w:szCs w:val="21"/>
                    </w:rPr>
                    <w:t>处</w:t>
                  </w:r>
                </w:p>
              </w:tc>
              <w:tc>
                <w:tcPr>
                  <w:tcW w:w="345" w:type="pct"/>
                  <w:tcBorders>
                    <w:top w:val="single" w:color="auto" w:sz="4" w:space="0"/>
                    <w:left w:val="single" w:color="auto" w:sz="4" w:space="0"/>
                    <w:bottom w:val="single" w:color="auto" w:sz="4" w:space="0"/>
                    <w:right w:val="single" w:color="auto" w:sz="4" w:space="0"/>
                  </w:tcBorders>
                  <w:vAlign w:val="center"/>
                </w:tcPr>
                <w:p w14:paraId="522ACA4B">
                  <w:pPr>
                    <w:widowControl/>
                    <w:jc w:val="center"/>
                    <w:rPr>
                      <w:color w:val="auto"/>
                      <w:kern w:val="0"/>
                      <w:sz w:val="21"/>
                      <w:szCs w:val="21"/>
                    </w:rPr>
                  </w:pPr>
                  <w:r>
                    <w:rPr>
                      <w:rFonts w:hint="eastAsia"/>
                      <w:color w:val="auto"/>
                      <w:kern w:val="0"/>
                      <w:szCs w:val="21"/>
                    </w:rPr>
                    <w:t>11</w:t>
                  </w:r>
                </w:p>
              </w:tc>
              <w:tc>
                <w:tcPr>
                  <w:tcW w:w="683" w:type="pct"/>
                  <w:tcBorders>
                    <w:left w:val="single" w:color="auto" w:sz="4" w:space="0"/>
                    <w:right w:val="single" w:color="auto" w:sz="4" w:space="0"/>
                  </w:tcBorders>
                  <w:vAlign w:val="center"/>
                </w:tcPr>
                <w:p w14:paraId="4E9F7F87">
                  <w:pPr>
                    <w:jc w:val="center"/>
                    <w:rPr>
                      <w:color w:val="auto"/>
                      <w:kern w:val="0"/>
                      <w:sz w:val="21"/>
                      <w:szCs w:val="21"/>
                    </w:rPr>
                  </w:pPr>
                  <w:r>
                    <w:rPr>
                      <w:rFonts w:hint="eastAsia"/>
                      <w:color w:val="auto"/>
                      <w:kern w:val="0"/>
                      <w:szCs w:val="21"/>
                    </w:rPr>
                    <w:t>570</w:t>
                  </w:r>
                </w:p>
              </w:tc>
              <w:tc>
                <w:tcPr>
                  <w:tcW w:w="1079" w:type="pct"/>
                  <w:tcBorders>
                    <w:top w:val="single" w:color="auto" w:sz="4" w:space="0"/>
                    <w:left w:val="single" w:color="auto" w:sz="4" w:space="0"/>
                    <w:bottom w:val="single" w:color="auto" w:sz="4" w:space="0"/>
                    <w:right w:val="single" w:color="auto" w:sz="4" w:space="0"/>
                  </w:tcBorders>
                  <w:vAlign w:val="center"/>
                </w:tcPr>
                <w:p w14:paraId="57EC478A">
                  <w:pPr>
                    <w:jc w:val="center"/>
                    <w:rPr>
                      <w:color w:val="auto"/>
                      <w:sz w:val="21"/>
                      <w:szCs w:val="21"/>
                    </w:rPr>
                  </w:pPr>
                  <w:r>
                    <w:rPr>
                      <w:rFonts w:hint="eastAsia"/>
                      <w:color w:val="auto"/>
                      <w:szCs w:val="21"/>
                    </w:rPr>
                    <w:t>隔声窗：</w:t>
                  </w:r>
                  <w:r>
                    <w:rPr>
                      <w:color w:val="auto"/>
                      <w:szCs w:val="21"/>
                    </w:rPr>
                    <w:t>居民</w:t>
                  </w:r>
                  <w:r>
                    <w:rPr>
                      <w:rFonts w:hint="eastAsia"/>
                      <w:color w:val="auto"/>
                      <w:szCs w:val="21"/>
                    </w:rPr>
                    <w:t>480</w:t>
                  </w:r>
                  <w:r>
                    <w:rPr>
                      <w:color w:val="auto"/>
                      <w:szCs w:val="21"/>
                    </w:rPr>
                    <w:t>户、学校</w:t>
                  </w:r>
                  <w:r>
                    <w:rPr>
                      <w:rFonts w:hint="eastAsia"/>
                      <w:color w:val="auto"/>
                      <w:szCs w:val="21"/>
                    </w:rPr>
                    <w:t>1处</w:t>
                  </w:r>
                </w:p>
              </w:tc>
              <w:tc>
                <w:tcPr>
                  <w:tcW w:w="641" w:type="pct"/>
                  <w:tcBorders>
                    <w:top w:val="single" w:color="auto" w:sz="4" w:space="0"/>
                    <w:left w:val="single" w:color="auto" w:sz="4" w:space="0"/>
                    <w:bottom w:val="single" w:color="auto" w:sz="4" w:space="0"/>
                    <w:right w:val="single" w:color="auto" w:sz="4" w:space="0"/>
                  </w:tcBorders>
                  <w:vAlign w:val="center"/>
                </w:tcPr>
                <w:p w14:paraId="30105C7D">
                  <w:pPr>
                    <w:jc w:val="center"/>
                    <w:rPr>
                      <w:rFonts w:hint="eastAsia" w:eastAsia="宋体"/>
                      <w:color w:val="auto"/>
                      <w:szCs w:val="21"/>
                      <w:lang w:val="en-US" w:eastAsia="zh-CN"/>
                    </w:rPr>
                  </w:pPr>
                  <w:r>
                    <w:rPr>
                      <w:rFonts w:hint="eastAsia"/>
                      <w:color w:val="auto"/>
                      <w:szCs w:val="21"/>
                      <w:lang w:val="en-US" w:eastAsia="zh-CN"/>
                    </w:rPr>
                    <w:t>运营期</w:t>
                  </w:r>
                </w:p>
              </w:tc>
            </w:tr>
            <w:tr w14:paraId="43C6C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302" w:type="pct"/>
                  <w:tcBorders>
                    <w:top w:val="single" w:color="auto" w:sz="4" w:space="0"/>
                    <w:left w:val="single" w:color="auto" w:sz="4" w:space="0"/>
                    <w:bottom w:val="single" w:color="auto" w:sz="4" w:space="0"/>
                    <w:right w:val="single" w:color="auto" w:sz="4" w:space="0"/>
                  </w:tcBorders>
                  <w:vAlign w:val="center"/>
                </w:tcPr>
                <w:p w14:paraId="5D750F82">
                  <w:pPr>
                    <w:widowControl/>
                    <w:jc w:val="center"/>
                    <w:rPr>
                      <w:rFonts w:hint="eastAsia" w:eastAsia="宋体"/>
                      <w:color w:val="auto"/>
                      <w:kern w:val="0"/>
                      <w:sz w:val="21"/>
                      <w:szCs w:val="21"/>
                      <w:lang w:val="en-US" w:eastAsia="zh-CN"/>
                    </w:rPr>
                  </w:pPr>
                  <w:r>
                    <w:rPr>
                      <w:rFonts w:hint="eastAsia"/>
                      <w:color w:val="auto"/>
                      <w:kern w:val="0"/>
                      <w:sz w:val="21"/>
                      <w:szCs w:val="21"/>
                      <w:lang w:val="en-US" w:eastAsia="zh-CN"/>
                    </w:rPr>
                    <w:t>3</w:t>
                  </w:r>
                </w:p>
              </w:tc>
              <w:tc>
                <w:tcPr>
                  <w:tcW w:w="1608" w:type="pct"/>
                  <w:gridSpan w:val="2"/>
                  <w:tcBorders>
                    <w:top w:val="single" w:color="auto" w:sz="4" w:space="0"/>
                    <w:left w:val="single" w:color="auto" w:sz="4" w:space="0"/>
                    <w:bottom w:val="single" w:color="auto" w:sz="4" w:space="0"/>
                    <w:right w:val="single" w:color="auto" w:sz="4" w:space="0"/>
                  </w:tcBorders>
                  <w:vAlign w:val="center"/>
                </w:tcPr>
                <w:p w14:paraId="0557ABF9">
                  <w:pPr>
                    <w:widowControl/>
                    <w:rPr>
                      <w:rFonts w:hint="eastAsia" w:eastAsia="宋体"/>
                      <w:color w:val="auto"/>
                      <w:kern w:val="0"/>
                      <w:szCs w:val="21"/>
                      <w:lang w:val="en-US" w:eastAsia="zh-CN"/>
                    </w:rPr>
                  </w:pPr>
                  <w:r>
                    <w:rPr>
                      <w:rFonts w:hint="eastAsia"/>
                      <w:color w:val="auto"/>
                      <w:kern w:val="0"/>
                      <w:szCs w:val="21"/>
                      <w:lang w:val="en-US" w:eastAsia="zh-CN"/>
                    </w:rPr>
                    <w:t>废气</w:t>
                  </w:r>
                </w:p>
              </w:tc>
              <w:tc>
                <w:tcPr>
                  <w:tcW w:w="337" w:type="pct"/>
                  <w:tcBorders>
                    <w:top w:val="single" w:color="auto" w:sz="4" w:space="0"/>
                    <w:left w:val="single" w:color="auto" w:sz="4" w:space="0"/>
                    <w:bottom w:val="single" w:color="auto" w:sz="4" w:space="0"/>
                    <w:right w:val="single" w:color="auto" w:sz="4" w:space="0"/>
                  </w:tcBorders>
                  <w:vAlign w:val="center"/>
                </w:tcPr>
                <w:p w14:paraId="468093BB">
                  <w:pPr>
                    <w:widowControl/>
                    <w:jc w:val="center"/>
                    <w:rPr>
                      <w:rFonts w:hint="eastAsia"/>
                      <w:color w:val="auto"/>
                      <w:kern w:val="0"/>
                      <w:szCs w:val="21"/>
                    </w:rPr>
                  </w:pPr>
                </w:p>
              </w:tc>
              <w:tc>
                <w:tcPr>
                  <w:tcW w:w="345" w:type="pct"/>
                  <w:tcBorders>
                    <w:top w:val="single" w:color="auto" w:sz="4" w:space="0"/>
                    <w:left w:val="single" w:color="auto" w:sz="4" w:space="0"/>
                    <w:bottom w:val="single" w:color="auto" w:sz="4" w:space="0"/>
                    <w:right w:val="single" w:color="auto" w:sz="4" w:space="0"/>
                  </w:tcBorders>
                  <w:vAlign w:val="center"/>
                </w:tcPr>
                <w:p w14:paraId="77D47EBD">
                  <w:pPr>
                    <w:widowControl/>
                    <w:jc w:val="center"/>
                    <w:rPr>
                      <w:rFonts w:hint="eastAsia"/>
                      <w:color w:val="auto"/>
                      <w:kern w:val="0"/>
                      <w:szCs w:val="21"/>
                    </w:rPr>
                  </w:pPr>
                </w:p>
              </w:tc>
              <w:tc>
                <w:tcPr>
                  <w:tcW w:w="683" w:type="pct"/>
                  <w:tcBorders>
                    <w:left w:val="single" w:color="auto" w:sz="4" w:space="0"/>
                    <w:right w:val="single" w:color="auto" w:sz="4" w:space="0"/>
                  </w:tcBorders>
                  <w:vAlign w:val="center"/>
                </w:tcPr>
                <w:p w14:paraId="66543393">
                  <w:pPr>
                    <w:jc w:val="center"/>
                    <w:rPr>
                      <w:rFonts w:hint="default" w:eastAsia="宋体"/>
                      <w:color w:val="auto"/>
                      <w:kern w:val="0"/>
                      <w:szCs w:val="21"/>
                      <w:lang w:val="en-US" w:eastAsia="zh-CN"/>
                    </w:rPr>
                  </w:pPr>
                  <w:r>
                    <w:rPr>
                      <w:rFonts w:hint="eastAsia"/>
                      <w:color w:val="auto"/>
                      <w:kern w:val="0"/>
                      <w:szCs w:val="21"/>
                      <w:lang w:val="en-US" w:eastAsia="zh-CN"/>
                    </w:rPr>
                    <w:t>110</w:t>
                  </w:r>
                </w:p>
              </w:tc>
              <w:tc>
                <w:tcPr>
                  <w:tcW w:w="1079" w:type="pct"/>
                  <w:tcBorders>
                    <w:top w:val="single" w:color="auto" w:sz="4" w:space="0"/>
                    <w:left w:val="single" w:color="auto" w:sz="4" w:space="0"/>
                    <w:bottom w:val="single" w:color="auto" w:sz="4" w:space="0"/>
                    <w:right w:val="single" w:color="auto" w:sz="4" w:space="0"/>
                  </w:tcBorders>
                  <w:vAlign w:val="center"/>
                </w:tcPr>
                <w:p w14:paraId="0FD3BC23">
                  <w:pPr>
                    <w:jc w:val="center"/>
                    <w:rPr>
                      <w:rFonts w:hint="eastAsia"/>
                      <w:color w:val="auto"/>
                      <w:szCs w:val="21"/>
                    </w:rPr>
                  </w:pPr>
                </w:p>
              </w:tc>
              <w:tc>
                <w:tcPr>
                  <w:tcW w:w="641" w:type="pct"/>
                  <w:tcBorders>
                    <w:top w:val="single" w:color="auto" w:sz="4" w:space="0"/>
                    <w:left w:val="single" w:color="auto" w:sz="4" w:space="0"/>
                    <w:bottom w:val="single" w:color="auto" w:sz="4" w:space="0"/>
                    <w:right w:val="single" w:color="auto" w:sz="4" w:space="0"/>
                  </w:tcBorders>
                  <w:vAlign w:val="center"/>
                </w:tcPr>
                <w:p w14:paraId="489FC58D">
                  <w:pPr>
                    <w:jc w:val="center"/>
                    <w:rPr>
                      <w:rFonts w:hint="eastAsia"/>
                      <w:color w:val="auto"/>
                      <w:szCs w:val="21"/>
                      <w:lang w:val="en-US" w:eastAsia="zh-CN"/>
                    </w:rPr>
                  </w:pPr>
                </w:p>
              </w:tc>
            </w:tr>
            <w:tr w14:paraId="545F0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302" w:type="pct"/>
                  <w:tcBorders>
                    <w:top w:val="single" w:color="auto" w:sz="4" w:space="0"/>
                    <w:left w:val="single" w:color="auto" w:sz="4" w:space="0"/>
                    <w:bottom w:val="single" w:color="auto" w:sz="4" w:space="0"/>
                    <w:right w:val="single" w:color="auto" w:sz="4" w:space="0"/>
                  </w:tcBorders>
                  <w:vAlign w:val="center"/>
                </w:tcPr>
                <w:p w14:paraId="7A3923BC">
                  <w:pPr>
                    <w:widowControl/>
                    <w:jc w:val="center"/>
                    <w:rPr>
                      <w:color w:val="auto"/>
                      <w:kern w:val="0"/>
                      <w:sz w:val="21"/>
                      <w:szCs w:val="21"/>
                    </w:rPr>
                  </w:pPr>
                </w:p>
              </w:tc>
              <w:tc>
                <w:tcPr>
                  <w:tcW w:w="1608"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05A837D1">
                  <w:pPr>
                    <w:widowControl/>
                    <w:jc w:val="left"/>
                    <w:rPr>
                      <w:rFonts w:hint="eastAsia" w:ascii="Times New Roman" w:hAnsi="Times New Roman" w:eastAsia="宋体" w:cs="Times New Roman"/>
                      <w:color w:val="auto"/>
                      <w:kern w:val="0"/>
                      <w:sz w:val="21"/>
                      <w:szCs w:val="21"/>
                      <w:lang w:val="en-US" w:eastAsia="zh-CN" w:bidi="ar-SA"/>
                    </w:rPr>
                  </w:pPr>
                  <w:r>
                    <w:rPr>
                      <w:rFonts w:hint="eastAsia"/>
                      <w:color w:val="auto"/>
                      <w:kern w:val="0"/>
                      <w:sz w:val="21"/>
                      <w:szCs w:val="21"/>
                    </w:rPr>
                    <w:t>施工期扬尘、废气治理费</w:t>
                  </w:r>
                </w:p>
              </w:tc>
              <w:tc>
                <w:tcPr>
                  <w:tcW w:w="337" w:type="pct"/>
                  <w:tcBorders>
                    <w:top w:val="single" w:color="auto" w:sz="4" w:space="0"/>
                    <w:left w:val="single" w:color="auto" w:sz="4" w:space="0"/>
                    <w:bottom w:val="single" w:color="auto" w:sz="4" w:space="0"/>
                    <w:right w:val="single" w:color="auto" w:sz="4" w:space="0"/>
                  </w:tcBorders>
                  <w:shd w:val="clear" w:color="auto" w:fill="auto"/>
                  <w:vAlign w:val="center"/>
                </w:tcPr>
                <w:p w14:paraId="2BF7DA66">
                  <w:pPr>
                    <w:widowControl/>
                    <w:jc w:val="center"/>
                    <w:rPr>
                      <w:rFonts w:hint="eastAsia" w:ascii="Times New Roman" w:hAnsi="Times New Roman" w:eastAsia="宋体" w:cs="Times New Roman"/>
                      <w:color w:val="auto"/>
                      <w:kern w:val="0"/>
                      <w:sz w:val="21"/>
                      <w:szCs w:val="21"/>
                      <w:lang w:val="en-US" w:eastAsia="zh-CN" w:bidi="ar-SA"/>
                    </w:rPr>
                  </w:pPr>
                </w:p>
              </w:tc>
              <w:tc>
                <w:tcPr>
                  <w:tcW w:w="345" w:type="pct"/>
                  <w:tcBorders>
                    <w:top w:val="single" w:color="auto" w:sz="4" w:space="0"/>
                    <w:left w:val="single" w:color="auto" w:sz="4" w:space="0"/>
                    <w:bottom w:val="single" w:color="auto" w:sz="4" w:space="0"/>
                    <w:right w:val="single" w:color="auto" w:sz="4" w:space="0"/>
                  </w:tcBorders>
                  <w:shd w:val="clear" w:color="auto" w:fill="auto"/>
                  <w:vAlign w:val="center"/>
                </w:tcPr>
                <w:p w14:paraId="5BFAB44A">
                  <w:pPr>
                    <w:widowControl/>
                    <w:jc w:val="center"/>
                    <w:rPr>
                      <w:rFonts w:hint="eastAsia" w:ascii="Times New Roman" w:hAnsi="Times New Roman" w:eastAsia="宋体" w:cs="Times New Roman"/>
                      <w:color w:val="auto"/>
                      <w:kern w:val="0"/>
                      <w:sz w:val="21"/>
                      <w:szCs w:val="21"/>
                      <w:lang w:val="en-US" w:eastAsia="zh-CN" w:bidi="ar-SA"/>
                    </w:rPr>
                  </w:pPr>
                </w:p>
              </w:tc>
              <w:tc>
                <w:tcPr>
                  <w:tcW w:w="683" w:type="pct"/>
                  <w:tcBorders>
                    <w:left w:val="single" w:color="auto" w:sz="4" w:space="0"/>
                    <w:right w:val="single" w:color="auto" w:sz="4" w:space="0"/>
                  </w:tcBorders>
                  <w:shd w:val="clear" w:color="auto" w:fill="auto"/>
                  <w:vAlign w:val="center"/>
                </w:tcPr>
                <w:p w14:paraId="290C9EE9">
                  <w:pPr>
                    <w:widowControl/>
                    <w:jc w:val="center"/>
                    <w:rPr>
                      <w:rFonts w:hint="eastAsia" w:ascii="Times New Roman" w:hAnsi="Times New Roman" w:eastAsia="宋体" w:cs="Times New Roman"/>
                      <w:color w:val="auto"/>
                      <w:kern w:val="0"/>
                      <w:sz w:val="21"/>
                      <w:szCs w:val="21"/>
                      <w:lang w:val="en-US" w:eastAsia="zh-CN" w:bidi="ar-SA"/>
                    </w:rPr>
                  </w:pPr>
                  <w:r>
                    <w:rPr>
                      <w:rFonts w:hint="eastAsia"/>
                      <w:color w:val="auto"/>
                      <w:kern w:val="0"/>
                      <w:sz w:val="21"/>
                      <w:szCs w:val="21"/>
                      <w:lang w:val="en-US" w:eastAsia="zh-CN"/>
                    </w:rPr>
                    <w:t>1</w:t>
                  </w:r>
                  <w:r>
                    <w:rPr>
                      <w:color w:val="auto"/>
                      <w:kern w:val="0"/>
                      <w:sz w:val="21"/>
                      <w:szCs w:val="21"/>
                    </w:rPr>
                    <w:t>00</w:t>
                  </w:r>
                </w:p>
              </w:tc>
              <w:tc>
                <w:tcPr>
                  <w:tcW w:w="1079" w:type="pct"/>
                  <w:tcBorders>
                    <w:top w:val="single" w:color="auto" w:sz="4" w:space="0"/>
                    <w:left w:val="single" w:color="auto" w:sz="4" w:space="0"/>
                    <w:bottom w:val="single" w:color="auto" w:sz="4" w:space="0"/>
                    <w:right w:val="single" w:color="auto" w:sz="4" w:space="0"/>
                  </w:tcBorders>
                  <w:shd w:val="clear" w:color="auto" w:fill="auto"/>
                  <w:vAlign w:val="center"/>
                </w:tcPr>
                <w:p w14:paraId="71DA12B3">
                  <w:pPr>
                    <w:widowControl/>
                    <w:jc w:val="center"/>
                    <w:rPr>
                      <w:rFonts w:hint="eastAsia" w:ascii="Times New Roman" w:hAnsi="Times New Roman" w:eastAsia="宋体" w:cs="Times New Roman"/>
                      <w:color w:val="auto"/>
                      <w:kern w:val="0"/>
                      <w:sz w:val="21"/>
                      <w:szCs w:val="21"/>
                      <w:lang w:val="en-US" w:eastAsia="zh-CN" w:bidi="ar-SA"/>
                    </w:rPr>
                  </w:pPr>
                  <w:r>
                    <w:rPr>
                      <w:color w:val="auto"/>
                      <w:kern w:val="0"/>
                      <w:sz w:val="21"/>
                      <w:szCs w:val="21"/>
                    </w:rPr>
                    <w:t>洒水车、防尘网等</w:t>
                  </w:r>
                </w:p>
              </w:tc>
              <w:tc>
                <w:tcPr>
                  <w:tcW w:w="641" w:type="pct"/>
                  <w:tcBorders>
                    <w:top w:val="single" w:color="auto" w:sz="4" w:space="0"/>
                    <w:left w:val="single" w:color="auto" w:sz="4" w:space="0"/>
                    <w:bottom w:val="single" w:color="auto" w:sz="4" w:space="0"/>
                    <w:right w:val="single" w:color="auto" w:sz="4" w:space="0"/>
                  </w:tcBorders>
                  <w:shd w:val="clear" w:color="auto" w:fill="auto"/>
                  <w:vAlign w:val="center"/>
                </w:tcPr>
                <w:p w14:paraId="3A035729">
                  <w:pPr>
                    <w:widowControl/>
                    <w:jc w:val="center"/>
                    <w:rPr>
                      <w:rFonts w:hint="eastAsia" w:ascii="Times New Roman" w:hAnsi="Times New Roman" w:eastAsia="宋体" w:cs="Times New Roman"/>
                      <w:color w:val="auto"/>
                      <w:kern w:val="0"/>
                      <w:sz w:val="21"/>
                      <w:szCs w:val="21"/>
                      <w:lang w:val="en-US" w:eastAsia="zh-CN" w:bidi="ar-SA"/>
                    </w:rPr>
                  </w:pPr>
                  <w:r>
                    <w:rPr>
                      <w:rFonts w:hint="eastAsia"/>
                      <w:color w:val="auto"/>
                      <w:kern w:val="0"/>
                      <w:sz w:val="21"/>
                      <w:szCs w:val="21"/>
                      <w:lang w:val="en-US" w:eastAsia="zh-CN"/>
                    </w:rPr>
                    <w:t>施工期</w:t>
                  </w:r>
                </w:p>
              </w:tc>
            </w:tr>
            <w:tr w14:paraId="7E995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302" w:type="pct"/>
                  <w:tcBorders>
                    <w:top w:val="single" w:color="auto" w:sz="4" w:space="0"/>
                    <w:left w:val="single" w:color="auto" w:sz="4" w:space="0"/>
                    <w:bottom w:val="single" w:color="auto" w:sz="4" w:space="0"/>
                    <w:right w:val="single" w:color="auto" w:sz="4" w:space="0"/>
                  </w:tcBorders>
                  <w:vAlign w:val="center"/>
                </w:tcPr>
                <w:p w14:paraId="7C693628">
                  <w:pPr>
                    <w:widowControl/>
                    <w:jc w:val="center"/>
                    <w:rPr>
                      <w:color w:val="auto"/>
                      <w:kern w:val="0"/>
                      <w:sz w:val="21"/>
                      <w:szCs w:val="21"/>
                    </w:rPr>
                  </w:pPr>
                </w:p>
              </w:tc>
              <w:tc>
                <w:tcPr>
                  <w:tcW w:w="1608" w:type="pct"/>
                  <w:gridSpan w:val="2"/>
                  <w:tcBorders>
                    <w:top w:val="single" w:color="auto" w:sz="4" w:space="0"/>
                    <w:left w:val="single" w:color="auto" w:sz="4" w:space="0"/>
                    <w:bottom w:val="single" w:color="auto" w:sz="4" w:space="0"/>
                    <w:right w:val="single" w:color="auto" w:sz="4" w:space="0"/>
                  </w:tcBorders>
                  <w:vAlign w:val="center"/>
                </w:tcPr>
                <w:p w14:paraId="5C6C6B63">
                  <w:pPr>
                    <w:widowControl/>
                    <w:rPr>
                      <w:rFonts w:hint="default" w:eastAsia="宋体"/>
                      <w:color w:val="auto"/>
                      <w:kern w:val="0"/>
                      <w:szCs w:val="21"/>
                      <w:lang w:val="en-US" w:eastAsia="zh-CN"/>
                    </w:rPr>
                  </w:pPr>
                  <w:r>
                    <w:rPr>
                      <w:rFonts w:hint="eastAsia"/>
                      <w:color w:val="auto"/>
                      <w:kern w:val="0"/>
                      <w:szCs w:val="21"/>
                      <w:lang w:val="en-US" w:eastAsia="zh-CN"/>
                    </w:rPr>
                    <w:t>油烟净化器</w:t>
                  </w:r>
                </w:p>
              </w:tc>
              <w:tc>
                <w:tcPr>
                  <w:tcW w:w="337" w:type="pct"/>
                  <w:tcBorders>
                    <w:top w:val="single" w:color="auto" w:sz="4" w:space="0"/>
                    <w:left w:val="single" w:color="auto" w:sz="4" w:space="0"/>
                    <w:bottom w:val="single" w:color="auto" w:sz="4" w:space="0"/>
                    <w:right w:val="single" w:color="auto" w:sz="4" w:space="0"/>
                  </w:tcBorders>
                  <w:vAlign w:val="center"/>
                </w:tcPr>
                <w:p w14:paraId="020FEC69">
                  <w:pPr>
                    <w:widowControl/>
                    <w:jc w:val="center"/>
                    <w:rPr>
                      <w:rFonts w:hint="default" w:eastAsia="宋体"/>
                      <w:color w:val="auto"/>
                      <w:kern w:val="0"/>
                      <w:szCs w:val="21"/>
                      <w:lang w:val="en-US" w:eastAsia="zh-CN"/>
                    </w:rPr>
                  </w:pPr>
                  <w:r>
                    <w:rPr>
                      <w:rFonts w:hint="eastAsia"/>
                      <w:color w:val="auto"/>
                      <w:kern w:val="0"/>
                      <w:szCs w:val="21"/>
                      <w:lang w:val="en-US" w:eastAsia="zh-CN"/>
                    </w:rPr>
                    <w:t>台</w:t>
                  </w:r>
                </w:p>
              </w:tc>
              <w:tc>
                <w:tcPr>
                  <w:tcW w:w="345" w:type="pct"/>
                  <w:tcBorders>
                    <w:top w:val="single" w:color="auto" w:sz="4" w:space="0"/>
                    <w:left w:val="single" w:color="auto" w:sz="4" w:space="0"/>
                    <w:bottom w:val="single" w:color="auto" w:sz="4" w:space="0"/>
                    <w:right w:val="single" w:color="auto" w:sz="4" w:space="0"/>
                  </w:tcBorders>
                  <w:vAlign w:val="center"/>
                </w:tcPr>
                <w:p w14:paraId="5D59D38F">
                  <w:pPr>
                    <w:widowControl/>
                    <w:jc w:val="center"/>
                    <w:rPr>
                      <w:rFonts w:hint="eastAsia" w:eastAsia="宋体"/>
                      <w:color w:val="auto"/>
                      <w:kern w:val="0"/>
                      <w:szCs w:val="21"/>
                      <w:lang w:val="en-US" w:eastAsia="zh-CN"/>
                    </w:rPr>
                  </w:pPr>
                  <w:r>
                    <w:rPr>
                      <w:rFonts w:hint="eastAsia"/>
                      <w:color w:val="auto"/>
                      <w:kern w:val="0"/>
                      <w:szCs w:val="21"/>
                      <w:lang w:val="en-US" w:eastAsia="zh-CN"/>
                    </w:rPr>
                    <w:t>2</w:t>
                  </w:r>
                </w:p>
              </w:tc>
              <w:tc>
                <w:tcPr>
                  <w:tcW w:w="683" w:type="pct"/>
                  <w:tcBorders>
                    <w:left w:val="single" w:color="auto" w:sz="4" w:space="0"/>
                    <w:right w:val="single" w:color="auto" w:sz="4" w:space="0"/>
                  </w:tcBorders>
                  <w:vAlign w:val="center"/>
                </w:tcPr>
                <w:p w14:paraId="76D6BEB5">
                  <w:pPr>
                    <w:jc w:val="center"/>
                    <w:rPr>
                      <w:rFonts w:hint="default" w:eastAsia="宋体"/>
                      <w:color w:val="auto"/>
                      <w:kern w:val="0"/>
                      <w:szCs w:val="21"/>
                      <w:lang w:val="en-US" w:eastAsia="zh-CN"/>
                    </w:rPr>
                  </w:pPr>
                  <w:r>
                    <w:rPr>
                      <w:rFonts w:hint="eastAsia"/>
                      <w:color w:val="auto"/>
                      <w:kern w:val="0"/>
                      <w:szCs w:val="21"/>
                      <w:lang w:val="en-US" w:eastAsia="zh-CN"/>
                    </w:rPr>
                    <w:t>10</w:t>
                  </w:r>
                </w:p>
              </w:tc>
              <w:tc>
                <w:tcPr>
                  <w:tcW w:w="1079" w:type="pct"/>
                  <w:tcBorders>
                    <w:top w:val="single" w:color="auto" w:sz="4" w:space="0"/>
                    <w:left w:val="single" w:color="auto" w:sz="4" w:space="0"/>
                    <w:bottom w:val="single" w:color="auto" w:sz="4" w:space="0"/>
                    <w:right w:val="single" w:color="auto" w:sz="4" w:space="0"/>
                  </w:tcBorders>
                  <w:vAlign w:val="center"/>
                </w:tcPr>
                <w:p w14:paraId="7374C83B">
                  <w:pPr>
                    <w:jc w:val="center"/>
                    <w:rPr>
                      <w:rFonts w:hint="default" w:eastAsia="宋体"/>
                      <w:color w:val="auto"/>
                      <w:szCs w:val="21"/>
                      <w:lang w:val="en-US" w:eastAsia="zh-CN"/>
                    </w:rPr>
                  </w:pPr>
                  <w:r>
                    <w:rPr>
                      <w:rFonts w:hint="eastAsia"/>
                      <w:color w:val="auto"/>
                      <w:szCs w:val="21"/>
                      <w:lang w:val="en-US" w:eastAsia="zh-CN"/>
                    </w:rPr>
                    <w:t>油烟净化</w:t>
                  </w:r>
                </w:p>
              </w:tc>
              <w:tc>
                <w:tcPr>
                  <w:tcW w:w="641" w:type="pct"/>
                  <w:tcBorders>
                    <w:top w:val="single" w:color="auto" w:sz="4" w:space="0"/>
                    <w:left w:val="single" w:color="auto" w:sz="4" w:space="0"/>
                    <w:bottom w:val="single" w:color="auto" w:sz="4" w:space="0"/>
                    <w:right w:val="single" w:color="auto" w:sz="4" w:space="0"/>
                  </w:tcBorders>
                  <w:vAlign w:val="center"/>
                </w:tcPr>
                <w:p w14:paraId="28B8965F">
                  <w:pPr>
                    <w:jc w:val="center"/>
                    <w:rPr>
                      <w:rFonts w:hint="default"/>
                      <w:color w:val="auto"/>
                      <w:szCs w:val="21"/>
                      <w:lang w:val="en-US" w:eastAsia="zh-CN"/>
                    </w:rPr>
                  </w:pPr>
                  <w:r>
                    <w:rPr>
                      <w:rFonts w:hint="eastAsia"/>
                      <w:color w:val="auto"/>
                      <w:szCs w:val="21"/>
                      <w:lang w:val="en-US" w:eastAsia="zh-CN"/>
                    </w:rPr>
                    <w:t>运营期</w:t>
                  </w:r>
                </w:p>
              </w:tc>
            </w:tr>
            <w:tr w14:paraId="15849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302" w:type="pct"/>
                  <w:tcBorders>
                    <w:top w:val="single" w:color="auto" w:sz="4" w:space="0"/>
                    <w:left w:val="single" w:color="auto" w:sz="4" w:space="0"/>
                    <w:bottom w:val="single" w:color="auto" w:sz="4" w:space="0"/>
                    <w:right w:val="single" w:color="auto" w:sz="4" w:space="0"/>
                  </w:tcBorders>
                  <w:vAlign w:val="center"/>
                </w:tcPr>
                <w:p w14:paraId="53B247CD">
                  <w:pPr>
                    <w:widowControl/>
                    <w:jc w:val="center"/>
                    <w:rPr>
                      <w:rFonts w:hint="eastAsia" w:eastAsia="宋体"/>
                      <w:color w:val="auto"/>
                      <w:kern w:val="0"/>
                      <w:sz w:val="21"/>
                      <w:szCs w:val="21"/>
                      <w:lang w:val="en-US" w:eastAsia="zh-CN"/>
                    </w:rPr>
                  </w:pPr>
                  <w:r>
                    <w:rPr>
                      <w:rFonts w:hint="eastAsia"/>
                      <w:color w:val="auto"/>
                      <w:kern w:val="0"/>
                      <w:sz w:val="21"/>
                      <w:szCs w:val="21"/>
                      <w:lang w:val="en-US" w:eastAsia="zh-CN"/>
                    </w:rPr>
                    <w:t>4</w:t>
                  </w:r>
                </w:p>
              </w:tc>
              <w:tc>
                <w:tcPr>
                  <w:tcW w:w="1608" w:type="pct"/>
                  <w:gridSpan w:val="2"/>
                  <w:tcBorders>
                    <w:top w:val="single" w:color="auto" w:sz="4" w:space="0"/>
                    <w:left w:val="single" w:color="auto" w:sz="4" w:space="0"/>
                    <w:bottom w:val="single" w:color="auto" w:sz="4" w:space="0"/>
                    <w:right w:val="single" w:color="auto" w:sz="4" w:space="0"/>
                  </w:tcBorders>
                  <w:vAlign w:val="center"/>
                </w:tcPr>
                <w:p w14:paraId="261F04F8">
                  <w:pPr>
                    <w:widowControl/>
                    <w:rPr>
                      <w:rFonts w:hint="default"/>
                      <w:color w:val="auto"/>
                      <w:kern w:val="0"/>
                      <w:szCs w:val="21"/>
                      <w:lang w:val="en-US" w:eastAsia="zh-CN"/>
                    </w:rPr>
                  </w:pPr>
                  <w:r>
                    <w:rPr>
                      <w:rFonts w:hint="eastAsia"/>
                      <w:color w:val="auto"/>
                      <w:kern w:val="0"/>
                      <w:szCs w:val="21"/>
                      <w:lang w:val="en-US" w:eastAsia="zh-CN"/>
                    </w:rPr>
                    <w:t>固废</w:t>
                  </w:r>
                </w:p>
              </w:tc>
              <w:tc>
                <w:tcPr>
                  <w:tcW w:w="337" w:type="pct"/>
                  <w:tcBorders>
                    <w:top w:val="single" w:color="auto" w:sz="4" w:space="0"/>
                    <w:left w:val="single" w:color="auto" w:sz="4" w:space="0"/>
                    <w:bottom w:val="single" w:color="auto" w:sz="4" w:space="0"/>
                    <w:right w:val="single" w:color="auto" w:sz="4" w:space="0"/>
                  </w:tcBorders>
                  <w:vAlign w:val="center"/>
                </w:tcPr>
                <w:p w14:paraId="2EC239E2">
                  <w:pPr>
                    <w:widowControl/>
                    <w:jc w:val="center"/>
                    <w:rPr>
                      <w:rFonts w:hint="eastAsia"/>
                      <w:color w:val="auto"/>
                      <w:kern w:val="0"/>
                      <w:szCs w:val="21"/>
                      <w:lang w:val="en-US" w:eastAsia="zh-CN"/>
                    </w:rPr>
                  </w:pPr>
                </w:p>
              </w:tc>
              <w:tc>
                <w:tcPr>
                  <w:tcW w:w="345" w:type="pct"/>
                  <w:tcBorders>
                    <w:top w:val="single" w:color="auto" w:sz="4" w:space="0"/>
                    <w:left w:val="single" w:color="auto" w:sz="4" w:space="0"/>
                    <w:bottom w:val="single" w:color="auto" w:sz="4" w:space="0"/>
                    <w:right w:val="single" w:color="auto" w:sz="4" w:space="0"/>
                  </w:tcBorders>
                  <w:vAlign w:val="center"/>
                </w:tcPr>
                <w:p w14:paraId="00762BE8">
                  <w:pPr>
                    <w:widowControl/>
                    <w:jc w:val="center"/>
                    <w:rPr>
                      <w:rFonts w:hint="eastAsia"/>
                      <w:color w:val="auto"/>
                      <w:kern w:val="0"/>
                      <w:szCs w:val="21"/>
                      <w:lang w:val="en-US" w:eastAsia="zh-CN"/>
                    </w:rPr>
                  </w:pPr>
                </w:p>
              </w:tc>
              <w:tc>
                <w:tcPr>
                  <w:tcW w:w="683" w:type="pct"/>
                  <w:tcBorders>
                    <w:left w:val="single" w:color="auto" w:sz="4" w:space="0"/>
                    <w:right w:val="single" w:color="auto" w:sz="4" w:space="0"/>
                  </w:tcBorders>
                  <w:vAlign w:val="center"/>
                </w:tcPr>
                <w:p w14:paraId="30B5DA5F">
                  <w:pPr>
                    <w:jc w:val="center"/>
                    <w:rPr>
                      <w:rFonts w:hint="default"/>
                      <w:color w:val="auto"/>
                      <w:kern w:val="0"/>
                      <w:szCs w:val="21"/>
                      <w:lang w:val="en-US" w:eastAsia="zh-CN"/>
                    </w:rPr>
                  </w:pPr>
                  <w:r>
                    <w:rPr>
                      <w:rFonts w:hint="eastAsia"/>
                      <w:color w:val="auto"/>
                      <w:kern w:val="0"/>
                      <w:szCs w:val="21"/>
                      <w:lang w:val="en-US" w:eastAsia="zh-CN"/>
                    </w:rPr>
                    <w:t>20</w:t>
                  </w:r>
                </w:p>
              </w:tc>
              <w:tc>
                <w:tcPr>
                  <w:tcW w:w="1079" w:type="pct"/>
                  <w:tcBorders>
                    <w:top w:val="single" w:color="auto" w:sz="4" w:space="0"/>
                    <w:left w:val="single" w:color="auto" w:sz="4" w:space="0"/>
                    <w:bottom w:val="single" w:color="auto" w:sz="4" w:space="0"/>
                    <w:right w:val="single" w:color="auto" w:sz="4" w:space="0"/>
                  </w:tcBorders>
                  <w:vAlign w:val="center"/>
                </w:tcPr>
                <w:p w14:paraId="5B340FFC">
                  <w:pPr>
                    <w:jc w:val="center"/>
                    <w:rPr>
                      <w:rFonts w:hint="eastAsia"/>
                      <w:color w:val="auto"/>
                      <w:szCs w:val="21"/>
                      <w:lang w:val="en-US" w:eastAsia="zh-CN"/>
                    </w:rPr>
                  </w:pPr>
                </w:p>
              </w:tc>
              <w:tc>
                <w:tcPr>
                  <w:tcW w:w="641" w:type="pct"/>
                  <w:tcBorders>
                    <w:top w:val="single" w:color="auto" w:sz="4" w:space="0"/>
                    <w:left w:val="single" w:color="auto" w:sz="4" w:space="0"/>
                    <w:bottom w:val="single" w:color="auto" w:sz="4" w:space="0"/>
                    <w:right w:val="single" w:color="auto" w:sz="4" w:space="0"/>
                  </w:tcBorders>
                  <w:vAlign w:val="center"/>
                </w:tcPr>
                <w:p w14:paraId="464013A5">
                  <w:pPr>
                    <w:jc w:val="center"/>
                    <w:rPr>
                      <w:rFonts w:hint="eastAsia"/>
                      <w:color w:val="auto"/>
                      <w:szCs w:val="21"/>
                      <w:lang w:val="en-US" w:eastAsia="zh-CN"/>
                    </w:rPr>
                  </w:pPr>
                </w:p>
              </w:tc>
            </w:tr>
            <w:tr w14:paraId="7F279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302" w:type="pct"/>
                  <w:tcBorders>
                    <w:top w:val="single" w:color="auto" w:sz="4" w:space="0"/>
                    <w:left w:val="single" w:color="auto" w:sz="4" w:space="0"/>
                    <w:bottom w:val="single" w:color="auto" w:sz="4" w:space="0"/>
                    <w:right w:val="single" w:color="auto" w:sz="4" w:space="0"/>
                  </w:tcBorders>
                  <w:vAlign w:val="center"/>
                </w:tcPr>
                <w:p w14:paraId="557079A1">
                  <w:pPr>
                    <w:widowControl/>
                    <w:jc w:val="center"/>
                    <w:rPr>
                      <w:color w:val="auto"/>
                      <w:kern w:val="0"/>
                      <w:sz w:val="21"/>
                      <w:szCs w:val="21"/>
                    </w:rPr>
                  </w:pPr>
                </w:p>
              </w:tc>
              <w:tc>
                <w:tcPr>
                  <w:tcW w:w="1608" w:type="pct"/>
                  <w:gridSpan w:val="2"/>
                  <w:tcBorders>
                    <w:top w:val="single" w:color="auto" w:sz="4" w:space="0"/>
                    <w:left w:val="single" w:color="auto" w:sz="4" w:space="0"/>
                    <w:bottom w:val="single" w:color="auto" w:sz="4" w:space="0"/>
                    <w:right w:val="single" w:color="auto" w:sz="4" w:space="0"/>
                  </w:tcBorders>
                  <w:vAlign w:val="center"/>
                </w:tcPr>
                <w:p w14:paraId="00B17942">
                  <w:pPr>
                    <w:widowControl/>
                    <w:rPr>
                      <w:rFonts w:hint="default"/>
                      <w:color w:val="auto"/>
                      <w:kern w:val="0"/>
                      <w:szCs w:val="21"/>
                      <w:lang w:val="en-US" w:eastAsia="zh-CN"/>
                    </w:rPr>
                  </w:pPr>
                  <w:r>
                    <w:rPr>
                      <w:rFonts w:hint="eastAsia"/>
                      <w:color w:val="auto"/>
                      <w:kern w:val="0"/>
                      <w:sz w:val="21"/>
                      <w:szCs w:val="21"/>
                      <w:lang w:val="en-US" w:eastAsia="zh-CN"/>
                    </w:rPr>
                    <w:t>生活垃圾</w:t>
                  </w:r>
                  <w:r>
                    <w:rPr>
                      <w:rFonts w:hint="eastAsia"/>
                      <w:color w:val="auto"/>
                      <w:kern w:val="0"/>
                      <w:sz w:val="21"/>
                      <w:szCs w:val="21"/>
                    </w:rPr>
                    <w:t>污染防治</w:t>
                  </w:r>
                </w:p>
              </w:tc>
              <w:tc>
                <w:tcPr>
                  <w:tcW w:w="337" w:type="pct"/>
                  <w:tcBorders>
                    <w:top w:val="single" w:color="auto" w:sz="4" w:space="0"/>
                    <w:left w:val="single" w:color="auto" w:sz="4" w:space="0"/>
                    <w:bottom w:val="single" w:color="auto" w:sz="4" w:space="0"/>
                    <w:right w:val="single" w:color="auto" w:sz="4" w:space="0"/>
                  </w:tcBorders>
                  <w:vAlign w:val="center"/>
                </w:tcPr>
                <w:p w14:paraId="0D359192">
                  <w:pPr>
                    <w:widowControl/>
                    <w:jc w:val="center"/>
                    <w:rPr>
                      <w:rFonts w:hint="eastAsia"/>
                      <w:color w:val="auto"/>
                      <w:kern w:val="0"/>
                      <w:szCs w:val="21"/>
                      <w:lang w:val="en-US" w:eastAsia="zh-CN"/>
                    </w:rPr>
                  </w:pPr>
                </w:p>
              </w:tc>
              <w:tc>
                <w:tcPr>
                  <w:tcW w:w="345" w:type="pct"/>
                  <w:tcBorders>
                    <w:top w:val="single" w:color="auto" w:sz="4" w:space="0"/>
                    <w:left w:val="single" w:color="auto" w:sz="4" w:space="0"/>
                    <w:bottom w:val="single" w:color="auto" w:sz="4" w:space="0"/>
                    <w:right w:val="single" w:color="auto" w:sz="4" w:space="0"/>
                  </w:tcBorders>
                  <w:vAlign w:val="center"/>
                </w:tcPr>
                <w:p w14:paraId="4AE45409">
                  <w:pPr>
                    <w:widowControl/>
                    <w:jc w:val="center"/>
                    <w:rPr>
                      <w:rFonts w:hint="default"/>
                      <w:color w:val="auto"/>
                      <w:kern w:val="0"/>
                      <w:szCs w:val="21"/>
                      <w:lang w:val="en-US" w:eastAsia="zh-CN"/>
                    </w:rPr>
                  </w:pPr>
                </w:p>
              </w:tc>
              <w:tc>
                <w:tcPr>
                  <w:tcW w:w="683" w:type="pct"/>
                  <w:tcBorders>
                    <w:left w:val="single" w:color="auto" w:sz="4" w:space="0"/>
                    <w:right w:val="single" w:color="auto" w:sz="4" w:space="0"/>
                  </w:tcBorders>
                  <w:vAlign w:val="center"/>
                </w:tcPr>
                <w:p w14:paraId="2AC9AAC4">
                  <w:pPr>
                    <w:jc w:val="center"/>
                    <w:rPr>
                      <w:rFonts w:hint="eastAsia"/>
                      <w:color w:val="auto"/>
                      <w:kern w:val="0"/>
                      <w:szCs w:val="21"/>
                      <w:lang w:val="en-US" w:eastAsia="zh-CN"/>
                    </w:rPr>
                  </w:pPr>
                  <w:r>
                    <w:rPr>
                      <w:rFonts w:hint="eastAsia"/>
                      <w:color w:val="auto"/>
                      <w:kern w:val="0"/>
                      <w:szCs w:val="21"/>
                      <w:lang w:val="en-US" w:eastAsia="zh-CN"/>
                    </w:rPr>
                    <w:t>20</w:t>
                  </w:r>
                </w:p>
              </w:tc>
              <w:tc>
                <w:tcPr>
                  <w:tcW w:w="1079" w:type="pct"/>
                  <w:tcBorders>
                    <w:top w:val="single" w:color="auto" w:sz="4" w:space="0"/>
                    <w:left w:val="single" w:color="auto" w:sz="4" w:space="0"/>
                    <w:bottom w:val="single" w:color="auto" w:sz="4" w:space="0"/>
                    <w:right w:val="single" w:color="auto" w:sz="4" w:space="0"/>
                  </w:tcBorders>
                  <w:vAlign w:val="center"/>
                </w:tcPr>
                <w:p w14:paraId="30DA6FEF">
                  <w:pPr>
                    <w:jc w:val="center"/>
                    <w:rPr>
                      <w:rFonts w:hint="eastAsia"/>
                      <w:color w:val="auto"/>
                      <w:szCs w:val="21"/>
                      <w:lang w:val="en-US" w:eastAsia="zh-CN"/>
                    </w:rPr>
                  </w:pPr>
                  <w:r>
                    <w:rPr>
                      <w:color w:val="auto"/>
                      <w:kern w:val="0"/>
                      <w:sz w:val="21"/>
                      <w:szCs w:val="21"/>
                    </w:rPr>
                    <w:t>垃圾</w:t>
                  </w:r>
                  <w:r>
                    <w:rPr>
                      <w:rFonts w:hint="eastAsia"/>
                      <w:color w:val="auto"/>
                      <w:kern w:val="0"/>
                      <w:sz w:val="21"/>
                      <w:szCs w:val="21"/>
                    </w:rPr>
                    <w:t>收集装置</w:t>
                  </w:r>
                  <w:r>
                    <w:rPr>
                      <w:color w:val="auto"/>
                      <w:kern w:val="0"/>
                      <w:sz w:val="21"/>
                      <w:szCs w:val="21"/>
                    </w:rPr>
                    <w:t>、委托清运、危废处理</w:t>
                  </w:r>
                </w:p>
              </w:tc>
              <w:tc>
                <w:tcPr>
                  <w:tcW w:w="641" w:type="pct"/>
                  <w:tcBorders>
                    <w:top w:val="single" w:color="auto" w:sz="4" w:space="0"/>
                    <w:left w:val="single" w:color="auto" w:sz="4" w:space="0"/>
                    <w:bottom w:val="single" w:color="auto" w:sz="4" w:space="0"/>
                    <w:right w:val="single" w:color="auto" w:sz="4" w:space="0"/>
                  </w:tcBorders>
                  <w:vAlign w:val="center"/>
                </w:tcPr>
                <w:p w14:paraId="48067DF6">
                  <w:pPr>
                    <w:jc w:val="center"/>
                    <w:rPr>
                      <w:rFonts w:hint="default"/>
                      <w:color w:val="auto"/>
                      <w:szCs w:val="21"/>
                      <w:lang w:val="en-US" w:eastAsia="zh-CN"/>
                    </w:rPr>
                  </w:pPr>
                  <w:r>
                    <w:rPr>
                      <w:rFonts w:hint="eastAsia"/>
                      <w:color w:val="auto"/>
                      <w:szCs w:val="21"/>
                      <w:lang w:val="en-US" w:eastAsia="zh-CN"/>
                    </w:rPr>
                    <w:t>施工期、运营期</w:t>
                  </w:r>
                </w:p>
              </w:tc>
            </w:tr>
            <w:tr w14:paraId="5A862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302" w:type="pct"/>
                  <w:tcBorders>
                    <w:top w:val="single" w:color="auto" w:sz="4" w:space="0"/>
                    <w:left w:val="single" w:color="auto" w:sz="4" w:space="0"/>
                    <w:bottom w:val="single" w:color="auto" w:sz="4" w:space="0"/>
                    <w:right w:val="single" w:color="auto" w:sz="4" w:space="0"/>
                  </w:tcBorders>
                  <w:vAlign w:val="center"/>
                </w:tcPr>
                <w:p w14:paraId="38543FD6">
                  <w:pPr>
                    <w:widowControl/>
                    <w:jc w:val="center"/>
                    <w:rPr>
                      <w:rFonts w:hint="eastAsia" w:eastAsia="宋体"/>
                      <w:color w:val="auto"/>
                      <w:kern w:val="0"/>
                      <w:sz w:val="21"/>
                      <w:szCs w:val="21"/>
                      <w:lang w:eastAsia="zh-CN"/>
                    </w:rPr>
                  </w:pPr>
                  <w:r>
                    <w:rPr>
                      <w:rFonts w:hint="eastAsia"/>
                      <w:color w:val="auto"/>
                      <w:kern w:val="0"/>
                      <w:sz w:val="21"/>
                      <w:szCs w:val="21"/>
                      <w:lang w:val="en-US" w:eastAsia="zh-CN"/>
                    </w:rPr>
                    <w:t>5</w:t>
                  </w:r>
                </w:p>
              </w:tc>
              <w:tc>
                <w:tcPr>
                  <w:tcW w:w="1608" w:type="pct"/>
                  <w:gridSpan w:val="2"/>
                  <w:tcBorders>
                    <w:top w:val="single" w:color="auto" w:sz="4" w:space="0"/>
                    <w:left w:val="single" w:color="auto" w:sz="4" w:space="0"/>
                    <w:bottom w:val="single" w:color="auto" w:sz="4" w:space="0"/>
                    <w:right w:val="single" w:color="auto" w:sz="4" w:space="0"/>
                  </w:tcBorders>
                  <w:vAlign w:val="center"/>
                </w:tcPr>
                <w:p w14:paraId="4ED0E6CD">
                  <w:pPr>
                    <w:widowControl/>
                    <w:rPr>
                      <w:rFonts w:hint="eastAsia" w:eastAsia="宋体"/>
                      <w:color w:val="auto"/>
                      <w:kern w:val="0"/>
                      <w:szCs w:val="21"/>
                      <w:lang w:val="en-US" w:eastAsia="zh-CN"/>
                    </w:rPr>
                  </w:pPr>
                  <w:r>
                    <w:rPr>
                      <w:rFonts w:hint="eastAsia"/>
                      <w:color w:val="auto"/>
                      <w:kern w:val="0"/>
                      <w:szCs w:val="21"/>
                      <w:lang w:val="en-US" w:eastAsia="zh-CN"/>
                    </w:rPr>
                    <w:t>生态</w:t>
                  </w:r>
                </w:p>
              </w:tc>
              <w:tc>
                <w:tcPr>
                  <w:tcW w:w="337" w:type="pct"/>
                  <w:tcBorders>
                    <w:top w:val="single" w:color="auto" w:sz="4" w:space="0"/>
                    <w:left w:val="single" w:color="auto" w:sz="4" w:space="0"/>
                    <w:bottom w:val="single" w:color="auto" w:sz="4" w:space="0"/>
                    <w:right w:val="single" w:color="auto" w:sz="4" w:space="0"/>
                  </w:tcBorders>
                  <w:vAlign w:val="center"/>
                </w:tcPr>
                <w:p w14:paraId="13BD08D3">
                  <w:pPr>
                    <w:widowControl/>
                    <w:jc w:val="center"/>
                    <w:rPr>
                      <w:rFonts w:hint="eastAsia"/>
                      <w:color w:val="auto"/>
                      <w:kern w:val="0"/>
                      <w:szCs w:val="21"/>
                    </w:rPr>
                  </w:pPr>
                </w:p>
              </w:tc>
              <w:tc>
                <w:tcPr>
                  <w:tcW w:w="345" w:type="pct"/>
                  <w:tcBorders>
                    <w:top w:val="single" w:color="auto" w:sz="4" w:space="0"/>
                    <w:left w:val="single" w:color="auto" w:sz="4" w:space="0"/>
                    <w:bottom w:val="single" w:color="auto" w:sz="4" w:space="0"/>
                    <w:right w:val="single" w:color="auto" w:sz="4" w:space="0"/>
                  </w:tcBorders>
                  <w:vAlign w:val="center"/>
                </w:tcPr>
                <w:p w14:paraId="22F11838">
                  <w:pPr>
                    <w:widowControl/>
                    <w:jc w:val="center"/>
                    <w:rPr>
                      <w:rFonts w:hint="eastAsia"/>
                      <w:color w:val="auto"/>
                      <w:kern w:val="0"/>
                      <w:szCs w:val="21"/>
                    </w:rPr>
                  </w:pPr>
                </w:p>
              </w:tc>
              <w:tc>
                <w:tcPr>
                  <w:tcW w:w="683" w:type="pct"/>
                  <w:tcBorders>
                    <w:left w:val="single" w:color="auto" w:sz="4" w:space="0"/>
                    <w:right w:val="single" w:color="auto" w:sz="4" w:space="0"/>
                  </w:tcBorders>
                  <w:vAlign w:val="center"/>
                </w:tcPr>
                <w:p w14:paraId="03568F3C">
                  <w:pPr>
                    <w:jc w:val="center"/>
                    <w:rPr>
                      <w:rFonts w:hint="eastAsia"/>
                      <w:color w:val="auto"/>
                      <w:kern w:val="0"/>
                      <w:szCs w:val="21"/>
                    </w:rPr>
                  </w:pPr>
                </w:p>
              </w:tc>
              <w:tc>
                <w:tcPr>
                  <w:tcW w:w="1079" w:type="pct"/>
                  <w:tcBorders>
                    <w:top w:val="single" w:color="auto" w:sz="4" w:space="0"/>
                    <w:left w:val="single" w:color="auto" w:sz="4" w:space="0"/>
                    <w:bottom w:val="single" w:color="auto" w:sz="4" w:space="0"/>
                    <w:right w:val="single" w:color="auto" w:sz="4" w:space="0"/>
                  </w:tcBorders>
                  <w:vAlign w:val="center"/>
                </w:tcPr>
                <w:p w14:paraId="486152A8">
                  <w:pPr>
                    <w:jc w:val="center"/>
                    <w:rPr>
                      <w:rFonts w:hint="eastAsia"/>
                      <w:color w:val="auto"/>
                      <w:szCs w:val="21"/>
                    </w:rPr>
                  </w:pPr>
                </w:p>
              </w:tc>
              <w:tc>
                <w:tcPr>
                  <w:tcW w:w="641" w:type="pct"/>
                  <w:tcBorders>
                    <w:top w:val="single" w:color="auto" w:sz="4" w:space="0"/>
                    <w:left w:val="single" w:color="auto" w:sz="4" w:space="0"/>
                    <w:bottom w:val="single" w:color="auto" w:sz="4" w:space="0"/>
                    <w:right w:val="single" w:color="auto" w:sz="4" w:space="0"/>
                  </w:tcBorders>
                  <w:vAlign w:val="center"/>
                </w:tcPr>
                <w:p w14:paraId="1117EB1C">
                  <w:pPr>
                    <w:jc w:val="center"/>
                    <w:rPr>
                      <w:rFonts w:hint="eastAsia"/>
                      <w:color w:val="auto"/>
                      <w:szCs w:val="21"/>
                      <w:lang w:val="en-US" w:eastAsia="zh-CN"/>
                    </w:rPr>
                  </w:pPr>
                </w:p>
              </w:tc>
            </w:tr>
            <w:tr w14:paraId="579B1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302" w:type="pct"/>
                  <w:tcBorders>
                    <w:top w:val="single" w:color="auto" w:sz="4" w:space="0"/>
                    <w:left w:val="single" w:color="auto" w:sz="4" w:space="0"/>
                    <w:bottom w:val="single" w:color="auto" w:sz="4" w:space="0"/>
                    <w:right w:val="single" w:color="auto" w:sz="4" w:space="0"/>
                  </w:tcBorders>
                  <w:vAlign w:val="center"/>
                </w:tcPr>
                <w:p w14:paraId="49980D97">
                  <w:pPr>
                    <w:widowControl/>
                    <w:jc w:val="center"/>
                    <w:rPr>
                      <w:color w:val="auto"/>
                      <w:kern w:val="0"/>
                      <w:sz w:val="21"/>
                      <w:szCs w:val="21"/>
                    </w:rPr>
                  </w:pPr>
                </w:p>
              </w:tc>
              <w:tc>
                <w:tcPr>
                  <w:tcW w:w="1608" w:type="pct"/>
                  <w:gridSpan w:val="2"/>
                  <w:tcBorders>
                    <w:top w:val="single" w:color="auto" w:sz="4" w:space="0"/>
                    <w:left w:val="single" w:color="auto" w:sz="4" w:space="0"/>
                    <w:bottom w:val="single" w:color="auto" w:sz="4" w:space="0"/>
                    <w:right w:val="single" w:color="auto" w:sz="4" w:space="0"/>
                  </w:tcBorders>
                  <w:vAlign w:val="center"/>
                </w:tcPr>
                <w:p w14:paraId="694E3E2F">
                  <w:pPr>
                    <w:widowControl/>
                    <w:rPr>
                      <w:rFonts w:hint="default" w:eastAsia="宋体"/>
                      <w:color w:val="auto"/>
                      <w:kern w:val="0"/>
                      <w:sz w:val="21"/>
                      <w:szCs w:val="21"/>
                      <w:lang w:val="en-US" w:eastAsia="zh-CN"/>
                    </w:rPr>
                  </w:pPr>
                  <w:r>
                    <w:rPr>
                      <w:rFonts w:hint="eastAsia"/>
                      <w:color w:val="auto"/>
                      <w:kern w:val="0"/>
                      <w:sz w:val="21"/>
                      <w:szCs w:val="21"/>
                    </w:rPr>
                    <w:t>生态</w:t>
                  </w:r>
                  <w:r>
                    <w:rPr>
                      <w:rFonts w:hint="eastAsia"/>
                      <w:color w:val="auto"/>
                      <w:kern w:val="0"/>
                      <w:sz w:val="21"/>
                      <w:szCs w:val="21"/>
                      <w:lang w:val="en-US" w:eastAsia="zh-CN"/>
                    </w:rPr>
                    <w:t>恢复与绿化工程</w:t>
                  </w:r>
                </w:p>
              </w:tc>
              <w:tc>
                <w:tcPr>
                  <w:tcW w:w="337" w:type="pct"/>
                  <w:tcBorders>
                    <w:top w:val="single" w:color="auto" w:sz="4" w:space="0"/>
                    <w:left w:val="single" w:color="auto" w:sz="4" w:space="0"/>
                    <w:bottom w:val="single" w:color="auto" w:sz="4" w:space="0"/>
                    <w:right w:val="single" w:color="auto" w:sz="4" w:space="0"/>
                  </w:tcBorders>
                  <w:vAlign w:val="center"/>
                </w:tcPr>
                <w:p w14:paraId="79B4733A">
                  <w:pPr>
                    <w:widowControl/>
                    <w:jc w:val="center"/>
                    <w:rPr>
                      <w:color w:val="auto"/>
                      <w:kern w:val="0"/>
                      <w:sz w:val="21"/>
                      <w:szCs w:val="21"/>
                    </w:rPr>
                  </w:pPr>
                </w:p>
              </w:tc>
              <w:tc>
                <w:tcPr>
                  <w:tcW w:w="345" w:type="pct"/>
                  <w:tcBorders>
                    <w:top w:val="single" w:color="auto" w:sz="4" w:space="0"/>
                    <w:left w:val="single" w:color="auto" w:sz="4" w:space="0"/>
                    <w:bottom w:val="single" w:color="auto" w:sz="4" w:space="0"/>
                    <w:right w:val="single" w:color="auto" w:sz="4" w:space="0"/>
                  </w:tcBorders>
                  <w:vAlign w:val="center"/>
                </w:tcPr>
                <w:p w14:paraId="1AB57654">
                  <w:pPr>
                    <w:widowControl/>
                    <w:jc w:val="center"/>
                    <w:rPr>
                      <w:color w:val="auto"/>
                      <w:kern w:val="0"/>
                      <w:sz w:val="21"/>
                      <w:szCs w:val="21"/>
                    </w:rPr>
                  </w:pPr>
                </w:p>
              </w:tc>
              <w:tc>
                <w:tcPr>
                  <w:tcW w:w="683" w:type="pct"/>
                  <w:tcBorders>
                    <w:top w:val="single" w:color="auto" w:sz="4" w:space="0"/>
                    <w:left w:val="single" w:color="auto" w:sz="4" w:space="0"/>
                    <w:bottom w:val="single" w:color="auto" w:sz="4" w:space="0"/>
                    <w:right w:val="single" w:color="auto" w:sz="4" w:space="0"/>
                  </w:tcBorders>
                  <w:vAlign w:val="center"/>
                </w:tcPr>
                <w:p w14:paraId="3E892A8A">
                  <w:pPr>
                    <w:widowControl/>
                    <w:jc w:val="center"/>
                    <w:rPr>
                      <w:color w:val="auto"/>
                      <w:kern w:val="0"/>
                      <w:sz w:val="21"/>
                      <w:szCs w:val="21"/>
                    </w:rPr>
                  </w:pPr>
                </w:p>
              </w:tc>
              <w:tc>
                <w:tcPr>
                  <w:tcW w:w="1079" w:type="pct"/>
                  <w:tcBorders>
                    <w:top w:val="single" w:color="auto" w:sz="4" w:space="0"/>
                    <w:left w:val="single" w:color="auto" w:sz="4" w:space="0"/>
                    <w:bottom w:val="single" w:color="auto" w:sz="4" w:space="0"/>
                    <w:right w:val="single" w:color="auto" w:sz="4" w:space="0"/>
                  </w:tcBorders>
                  <w:vAlign w:val="center"/>
                </w:tcPr>
                <w:p w14:paraId="2F31C88D">
                  <w:pPr>
                    <w:widowControl/>
                    <w:jc w:val="center"/>
                    <w:rPr>
                      <w:rFonts w:hint="default" w:eastAsia="宋体"/>
                      <w:color w:val="auto"/>
                      <w:kern w:val="0"/>
                      <w:sz w:val="21"/>
                      <w:szCs w:val="21"/>
                      <w:lang w:val="en-US" w:eastAsia="zh-CN"/>
                    </w:rPr>
                  </w:pPr>
                  <w:r>
                    <w:rPr>
                      <w:rFonts w:hint="eastAsia"/>
                      <w:color w:val="auto"/>
                      <w:kern w:val="0"/>
                      <w:sz w:val="21"/>
                      <w:szCs w:val="21"/>
                      <w:lang w:val="en-US" w:eastAsia="zh-CN"/>
                    </w:rPr>
                    <w:t>计入水保投资</w:t>
                  </w:r>
                </w:p>
              </w:tc>
              <w:tc>
                <w:tcPr>
                  <w:tcW w:w="641" w:type="pct"/>
                  <w:tcBorders>
                    <w:top w:val="single" w:color="auto" w:sz="4" w:space="0"/>
                    <w:left w:val="single" w:color="auto" w:sz="4" w:space="0"/>
                    <w:bottom w:val="single" w:color="auto" w:sz="4" w:space="0"/>
                    <w:right w:val="single" w:color="auto" w:sz="4" w:space="0"/>
                  </w:tcBorders>
                  <w:vAlign w:val="center"/>
                </w:tcPr>
                <w:p w14:paraId="377823E5">
                  <w:pPr>
                    <w:widowControl/>
                    <w:jc w:val="center"/>
                    <w:rPr>
                      <w:rFonts w:hint="default"/>
                      <w:color w:val="auto"/>
                      <w:kern w:val="0"/>
                      <w:sz w:val="21"/>
                      <w:szCs w:val="21"/>
                      <w:lang w:val="en-US" w:eastAsia="zh-CN"/>
                    </w:rPr>
                  </w:pPr>
                  <w:r>
                    <w:rPr>
                      <w:rFonts w:hint="eastAsia"/>
                      <w:color w:val="auto"/>
                      <w:kern w:val="0"/>
                      <w:sz w:val="21"/>
                      <w:szCs w:val="21"/>
                      <w:lang w:val="en-US" w:eastAsia="zh-CN"/>
                    </w:rPr>
                    <w:t>施工后期</w:t>
                  </w:r>
                </w:p>
              </w:tc>
            </w:tr>
            <w:tr w14:paraId="473D6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302" w:type="pct"/>
                  <w:tcBorders>
                    <w:top w:val="single" w:color="auto" w:sz="4" w:space="0"/>
                    <w:left w:val="single" w:color="auto" w:sz="4" w:space="0"/>
                    <w:bottom w:val="single" w:color="auto" w:sz="4" w:space="0"/>
                    <w:right w:val="single" w:color="auto" w:sz="4" w:space="0"/>
                  </w:tcBorders>
                  <w:vAlign w:val="center"/>
                </w:tcPr>
                <w:p w14:paraId="0185EA94">
                  <w:pPr>
                    <w:widowControl/>
                    <w:jc w:val="center"/>
                    <w:rPr>
                      <w:rFonts w:hint="eastAsia" w:eastAsia="宋体"/>
                      <w:color w:val="auto"/>
                      <w:kern w:val="0"/>
                      <w:sz w:val="21"/>
                      <w:szCs w:val="21"/>
                      <w:lang w:val="en-US" w:eastAsia="zh-CN"/>
                    </w:rPr>
                  </w:pPr>
                  <w:r>
                    <w:rPr>
                      <w:rFonts w:hint="eastAsia"/>
                      <w:color w:val="auto"/>
                      <w:kern w:val="0"/>
                      <w:sz w:val="21"/>
                      <w:szCs w:val="21"/>
                      <w:lang w:val="en-US" w:eastAsia="zh-CN"/>
                    </w:rPr>
                    <w:t>6</w:t>
                  </w:r>
                </w:p>
              </w:tc>
              <w:tc>
                <w:tcPr>
                  <w:tcW w:w="1608" w:type="pct"/>
                  <w:gridSpan w:val="2"/>
                  <w:tcBorders>
                    <w:top w:val="single" w:color="auto" w:sz="4" w:space="0"/>
                    <w:left w:val="single" w:color="auto" w:sz="4" w:space="0"/>
                    <w:bottom w:val="single" w:color="auto" w:sz="4" w:space="0"/>
                    <w:right w:val="single" w:color="auto" w:sz="4" w:space="0"/>
                  </w:tcBorders>
                  <w:vAlign w:val="center"/>
                </w:tcPr>
                <w:p w14:paraId="0984DFB9">
                  <w:pPr>
                    <w:widowControl/>
                    <w:jc w:val="left"/>
                    <w:rPr>
                      <w:color w:val="auto"/>
                      <w:kern w:val="0"/>
                      <w:sz w:val="21"/>
                      <w:szCs w:val="21"/>
                    </w:rPr>
                  </w:pPr>
                  <w:r>
                    <w:rPr>
                      <w:rFonts w:hint="eastAsia"/>
                      <w:color w:val="auto"/>
                      <w:kern w:val="0"/>
                      <w:sz w:val="21"/>
                      <w:szCs w:val="21"/>
                    </w:rPr>
                    <w:t>小计</w:t>
                  </w:r>
                </w:p>
              </w:tc>
              <w:tc>
                <w:tcPr>
                  <w:tcW w:w="337" w:type="pct"/>
                  <w:tcBorders>
                    <w:top w:val="single" w:color="auto" w:sz="4" w:space="0"/>
                    <w:left w:val="single" w:color="auto" w:sz="4" w:space="0"/>
                    <w:bottom w:val="single" w:color="auto" w:sz="4" w:space="0"/>
                    <w:right w:val="single" w:color="auto" w:sz="4" w:space="0"/>
                  </w:tcBorders>
                  <w:vAlign w:val="center"/>
                </w:tcPr>
                <w:p w14:paraId="49877946">
                  <w:pPr>
                    <w:widowControl/>
                    <w:jc w:val="center"/>
                    <w:rPr>
                      <w:color w:val="auto"/>
                      <w:kern w:val="0"/>
                      <w:sz w:val="21"/>
                      <w:szCs w:val="21"/>
                    </w:rPr>
                  </w:pPr>
                </w:p>
              </w:tc>
              <w:tc>
                <w:tcPr>
                  <w:tcW w:w="345" w:type="pct"/>
                  <w:tcBorders>
                    <w:top w:val="single" w:color="auto" w:sz="4" w:space="0"/>
                    <w:left w:val="single" w:color="auto" w:sz="4" w:space="0"/>
                    <w:bottom w:val="single" w:color="auto" w:sz="4" w:space="0"/>
                    <w:right w:val="single" w:color="auto" w:sz="4" w:space="0"/>
                  </w:tcBorders>
                  <w:vAlign w:val="center"/>
                </w:tcPr>
                <w:p w14:paraId="6D445931">
                  <w:pPr>
                    <w:widowControl/>
                    <w:jc w:val="center"/>
                    <w:rPr>
                      <w:color w:val="auto"/>
                      <w:kern w:val="0"/>
                      <w:sz w:val="21"/>
                      <w:szCs w:val="21"/>
                    </w:rPr>
                  </w:pPr>
                </w:p>
              </w:tc>
              <w:tc>
                <w:tcPr>
                  <w:tcW w:w="683" w:type="pct"/>
                  <w:tcBorders>
                    <w:top w:val="single" w:color="auto" w:sz="4" w:space="0"/>
                    <w:left w:val="single" w:color="auto" w:sz="4" w:space="0"/>
                    <w:bottom w:val="single" w:color="auto" w:sz="4" w:space="0"/>
                    <w:right w:val="single" w:color="auto" w:sz="4" w:space="0"/>
                  </w:tcBorders>
                  <w:vAlign w:val="center"/>
                </w:tcPr>
                <w:p w14:paraId="721E9E64">
                  <w:pPr>
                    <w:widowControl/>
                    <w:jc w:val="center"/>
                    <w:rPr>
                      <w:color w:val="auto"/>
                      <w:kern w:val="0"/>
                      <w:sz w:val="21"/>
                      <w:szCs w:val="21"/>
                    </w:rPr>
                  </w:pPr>
                  <w:r>
                    <w:rPr>
                      <w:rFonts w:hint="eastAsia"/>
                      <w:color w:val="auto"/>
                      <w:kern w:val="0"/>
                      <w:sz w:val="21"/>
                      <w:szCs w:val="21"/>
                      <w:lang w:val="en-US" w:eastAsia="zh-CN"/>
                    </w:rPr>
                    <w:t>4752</w:t>
                  </w:r>
                </w:p>
              </w:tc>
              <w:tc>
                <w:tcPr>
                  <w:tcW w:w="1079" w:type="pct"/>
                  <w:tcBorders>
                    <w:top w:val="single" w:color="auto" w:sz="4" w:space="0"/>
                    <w:left w:val="single" w:color="auto" w:sz="4" w:space="0"/>
                    <w:bottom w:val="single" w:color="auto" w:sz="4" w:space="0"/>
                    <w:right w:val="single" w:color="auto" w:sz="4" w:space="0"/>
                  </w:tcBorders>
                  <w:vAlign w:val="center"/>
                </w:tcPr>
                <w:p w14:paraId="1BAF4A42">
                  <w:pPr>
                    <w:widowControl/>
                    <w:jc w:val="center"/>
                    <w:rPr>
                      <w:color w:val="auto"/>
                      <w:kern w:val="0"/>
                      <w:sz w:val="21"/>
                      <w:szCs w:val="21"/>
                    </w:rPr>
                  </w:pPr>
                </w:p>
              </w:tc>
              <w:tc>
                <w:tcPr>
                  <w:tcW w:w="641" w:type="pct"/>
                  <w:tcBorders>
                    <w:top w:val="single" w:color="auto" w:sz="4" w:space="0"/>
                    <w:left w:val="single" w:color="auto" w:sz="4" w:space="0"/>
                    <w:bottom w:val="single" w:color="auto" w:sz="4" w:space="0"/>
                    <w:right w:val="single" w:color="auto" w:sz="4" w:space="0"/>
                  </w:tcBorders>
                  <w:vAlign w:val="center"/>
                </w:tcPr>
                <w:p w14:paraId="10003142">
                  <w:pPr>
                    <w:widowControl/>
                    <w:jc w:val="center"/>
                    <w:rPr>
                      <w:rFonts w:hint="eastAsia" w:eastAsia="宋体"/>
                      <w:color w:val="auto"/>
                      <w:kern w:val="0"/>
                      <w:sz w:val="21"/>
                      <w:szCs w:val="21"/>
                      <w:lang w:val="en-US" w:eastAsia="zh-CN"/>
                    </w:rPr>
                  </w:pPr>
                </w:p>
              </w:tc>
            </w:tr>
            <w:tr w14:paraId="112F3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302" w:type="pct"/>
                  <w:tcBorders>
                    <w:top w:val="single" w:color="auto" w:sz="4" w:space="0"/>
                    <w:left w:val="single" w:color="auto" w:sz="4" w:space="0"/>
                    <w:bottom w:val="single" w:color="auto" w:sz="4" w:space="0"/>
                    <w:right w:val="single" w:color="auto" w:sz="4" w:space="0"/>
                  </w:tcBorders>
                  <w:vAlign w:val="center"/>
                </w:tcPr>
                <w:p w14:paraId="2A5725D0">
                  <w:pPr>
                    <w:widowControl/>
                    <w:jc w:val="center"/>
                    <w:rPr>
                      <w:color w:val="auto"/>
                      <w:kern w:val="0"/>
                      <w:sz w:val="21"/>
                      <w:szCs w:val="21"/>
                    </w:rPr>
                  </w:pPr>
                  <w:r>
                    <w:rPr>
                      <w:rFonts w:hint="eastAsia"/>
                      <w:color w:val="auto"/>
                      <w:kern w:val="0"/>
                      <w:sz w:val="21"/>
                      <w:szCs w:val="21"/>
                    </w:rPr>
                    <w:t>二</w:t>
                  </w:r>
                </w:p>
              </w:tc>
              <w:tc>
                <w:tcPr>
                  <w:tcW w:w="4055" w:type="pct"/>
                  <w:gridSpan w:val="6"/>
                  <w:tcBorders>
                    <w:top w:val="single" w:color="auto" w:sz="4" w:space="0"/>
                    <w:left w:val="single" w:color="auto" w:sz="4" w:space="0"/>
                    <w:bottom w:val="single" w:color="auto" w:sz="4" w:space="0"/>
                    <w:right w:val="single" w:color="auto" w:sz="4" w:space="0"/>
                  </w:tcBorders>
                  <w:vAlign w:val="center"/>
                </w:tcPr>
                <w:p w14:paraId="6C5276A0">
                  <w:pPr>
                    <w:widowControl/>
                    <w:rPr>
                      <w:color w:val="auto"/>
                      <w:kern w:val="0"/>
                      <w:sz w:val="21"/>
                      <w:szCs w:val="21"/>
                    </w:rPr>
                  </w:pPr>
                  <w:r>
                    <w:rPr>
                      <w:rFonts w:hint="eastAsia"/>
                      <w:color w:val="auto"/>
                      <w:kern w:val="0"/>
                      <w:sz w:val="21"/>
                      <w:szCs w:val="21"/>
                    </w:rPr>
                    <w:t>环境管理投资</w:t>
                  </w:r>
                </w:p>
              </w:tc>
              <w:tc>
                <w:tcPr>
                  <w:tcW w:w="641" w:type="pct"/>
                  <w:tcBorders>
                    <w:top w:val="single" w:color="auto" w:sz="4" w:space="0"/>
                    <w:left w:val="single" w:color="auto" w:sz="4" w:space="0"/>
                    <w:bottom w:val="single" w:color="auto" w:sz="4" w:space="0"/>
                    <w:right w:val="single" w:color="auto" w:sz="4" w:space="0"/>
                  </w:tcBorders>
                  <w:vAlign w:val="center"/>
                </w:tcPr>
                <w:p w14:paraId="7F7479D5">
                  <w:pPr>
                    <w:widowControl/>
                    <w:rPr>
                      <w:rFonts w:hint="eastAsia"/>
                      <w:color w:val="auto"/>
                      <w:kern w:val="0"/>
                      <w:sz w:val="21"/>
                      <w:szCs w:val="21"/>
                    </w:rPr>
                  </w:pPr>
                </w:p>
              </w:tc>
            </w:tr>
            <w:tr w14:paraId="22A1F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302" w:type="pct"/>
                  <w:vMerge w:val="restart"/>
                  <w:tcBorders>
                    <w:top w:val="single" w:color="auto" w:sz="4" w:space="0"/>
                    <w:left w:val="single" w:color="auto" w:sz="4" w:space="0"/>
                    <w:bottom w:val="single" w:color="auto" w:sz="4" w:space="0"/>
                    <w:right w:val="single" w:color="auto" w:sz="4" w:space="0"/>
                  </w:tcBorders>
                  <w:vAlign w:val="center"/>
                </w:tcPr>
                <w:p w14:paraId="68A9CC7D">
                  <w:pPr>
                    <w:widowControl/>
                    <w:jc w:val="center"/>
                    <w:rPr>
                      <w:color w:val="auto"/>
                      <w:kern w:val="0"/>
                      <w:sz w:val="21"/>
                      <w:szCs w:val="21"/>
                    </w:rPr>
                  </w:pPr>
                  <w:r>
                    <w:rPr>
                      <w:color w:val="auto"/>
                      <w:kern w:val="0"/>
                      <w:sz w:val="21"/>
                      <w:szCs w:val="21"/>
                    </w:rPr>
                    <w:t>1</w:t>
                  </w:r>
                </w:p>
              </w:tc>
              <w:tc>
                <w:tcPr>
                  <w:tcW w:w="833" w:type="pct"/>
                  <w:vMerge w:val="restart"/>
                  <w:tcBorders>
                    <w:top w:val="single" w:color="auto" w:sz="4" w:space="0"/>
                    <w:left w:val="single" w:color="auto" w:sz="4" w:space="0"/>
                    <w:bottom w:val="single" w:color="auto" w:sz="4" w:space="0"/>
                    <w:right w:val="single" w:color="auto" w:sz="4" w:space="0"/>
                  </w:tcBorders>
                  <w:vAlign w:val="center"/>
                </w:tcPr>
                <w:p w14:paraId="5516D417">
                  <w:pPr>
                    <w:widowControl/>
                    <w:rPr>
                      <w:color w:val="auto"/>
                      <w:kern w:val="0"/>
                      <w:sz w:val="21"/>
                      <w:szCs w:val="21"/>
                    </w:rPr>
                  </w:pPr>
                  <w:r>
                    <w:rPr>
                      <w:rFonts w:hint="eastAsia"/>
                      <w:color w:val="auto"/>
                      <w:kern w:val="0"/>
                      <w:sz w:val="21"/>
                      <w:szCs w:val="21"/>
                    </w:rPr>
                    <w:t>环境监测费用</w:t>
                  </w:r>
                </w:p>
              </w:tc>
              <w:tc>
                <w:tcPr>
                  <w:tcW w:w="775" w:type="pct"/>
                  <w:tcBorders>
                    <w:top w:val="single" w:color="auto" w:sz="4" w:space="0"/>
                    <w:left w:val="single" w:color="auto" w:sz="4" w:space="0"/>
                    <w:bottom w:val="single" w:color="auto" w:sz="4" w:space="0"/>
                    <w:right w:val="single" w:color="auto" w:sz="4" w:space="0"/>
                  </w:tcBorders>
                  <w:vAlign w:val="center"/>
                </w:tcPr>
                <w:p w14:paraId="67D359C9">
                  <w:pPr>
                    <w:widowControl/>
                    <w:rPr>
                      <w:color w:val="auto"/>
                      <w:kern w:val="0"/>
                      <w:sz w:val="21"/>
                      <w:szCs w:val="21"/>
                    </w:rPr>
                  </w:pPr>
                  <w:r>
                    <w:rPr>
                      <w:rFonts w:hint="eastAsia"/>
                      <w:color w:val="auto"/>
                      <w:kern w:val="0"/>
                      <w:sz w:val="21"/>
                      <w:szCs w:val="21"/>
                    </w:rPr>
                    <w:t>施工期</w:t>
                  </w:r>
                </w:p>
              </w:tc>
              <w:tc>
                <w:tcPr>
                  <w:tcW w:w="337" w:type="pct"/>
                  <w:tcBorders>
                    <w:top w:val="single" w:color="auto" w:sz="4" w:space="0"/>
                    <w:left w:val="single" w:color="auto" w:sz="4" w:space="0"/>
                    <w:bottom w:val="single" w:color="auto" w:sz="4" w:space="0"/>
                    <w:right w:val="single" w:color="auto" w:sz="4" w:space="0"/>
                  </w:tcBorders>
                  <w:vAlign w:val="center"/>
                </w:tcPr>
                <w:p w14:paraId="32284F49">
                  <w:pPr>
                    <w:widowControl/>
                    <w:jc w:val="center"/>
                    <w:rPr>
                      <w:color w:val="auto"/>
                      <w:kern w:val="0"/>
                      <w:sz w:val="21"/>
                      <w:szCs w:val="21"/>
                    </w:rPr>
                  </w:pPr>
                  <w:r>
                    <w:rPr>
                      <w:rFonts w:hint="eastAsia"/>
                      <w:color w:val="auto"/>
                      <w:kern w:val="0"/>
                      <w:sz w:val="21"/>
                      <w:szCs w:val="21"/>
                    </w:rPr>
                    <w:t>年</w:t>
                  </w:r>
                </w:p>
              </w:tc>
              <w:tc>
                <w:tcPr>
                  <w:tcW w:w="345" w:type="pct"/>
                  <w:tcBorders>
                    <w:top w:val="single" w:color="auto" w:sz="4" w:space="0"/>
                    <w:left w:val="single" w:color="auto" w:sz="4" w:space="0"/>
                    <w:bottom w:val="single" w:color="auto" w:sz="4" w:space="0"/>
                    <w:right w:val="single" w:color="auto" w:sz="4" w:space="0"/>
                  </w:tcBorders>
                  <w:vAlign w:val="center"/>
                </w:tcPr>
                <w:p w14:paraId="4F766023">
                  <w:pPr>
                    <w:widowControl/>
                    <w:jc w:val="center"/>
                    <w:rPr>
                      <w:color w:val="auto"/>
                      <w:kern w:val="0"/>
                      <w:sz w:val="21"/>
                      <w:szCs w:val="21"/>
                    </w:rPr>
                  </w:pPr>
                  <w:r>
                    <w:rPr>
                      <w:rFonts w:hint="eastAsia"/>
                      <w:color w:val="auto"/>
                      <w:kern w:val="0"/>
                      <w:sz w:val="21"/>
                      <w:szCs w:val="21"/>
                      <w:lang w:val="en-US" w:eastAsia="zh-CN"/>
                    </w:rPr>
                    <w:t>2</w:t>
                  </w:r>
                  <w:r>
                    <w:rPr>
                      <w:rFonts w:hint="eastAsia"/>
                      <w:color w:val="auto"/>
                      <w:kern w:val="0"/>
                      <w:sz w:val="21"/>
                      <w:szCs w:val="21"/>
                    </w:rPr>
                    <w:t>年</w:t>
                  </w:r>
                </w:p>
              </w:tc>
              <w:tc>
                <w:tcPr>
                  <w:tcW w:w="683" w:type="pct"/>
                  <w:tcBorders>
                    <w:top w:val="single" w:color="auto" w:sz="4" w:space="0"/>
                    <w:left w:val="single" w:color="auto" w:sz="4" w:space="0"/>
                    <w:bottom w:val="single" w:color="auto" w:sz="4" w:space="0"/>
                    <w:right w:val="single" w:color="auto" w:sz="4" w:space="0"/>
                  </w:tcBorders>
                  <w:vAlign w:val="center"/>
                </w:tcPr>
                <w:p w14:paraId="0B52F689">
                  <w:pPr>
                    <w:widowControl/>
                    <w:jc w:val="center"/>
                    <w:rPr>
                      <w:color w:val="auto"/>
                      <w:kern w:val="0"/>
                      <w:sz w:val="21"/>
                      <w:szCs w:val="21"/>
                    </w:rPr>
                  </w:pPr>
                  <w:r>
                    <w:rPr>
                      <w:rFonts w:hint="eastAsia"/>
                      <w:color w:val="auto"/>
                      <w:sz w:val="21"/>
                      <w:szCs w:val="21"/>
                      <w:lang w:val="en-US" w:eastAsia="zh-CN"/>
                    </w:rPr>
                    <w:t>5</w:t>
                  </w:r>
                  <w:r>
                    <w:rPr>
                      <w:color w:val="auto"/>
                      <w:sz w:val="21"/>
                      <w:szCs w:val="21"/>
                    </w:rPr>
                    <w:t>0</w:t>
                  </w:r>
                </w:p>
              </w:tc>
              <w:tc>
                <w:tcPr>
                  <w:tcW w:w="1079" w:type="pct"/>
                  <w:vMerge w:val="restart"/>
                  <w:tcBorders>
                    <w:top w:val="single" w:color="auto" w:sz="4" w:space="0"/>
                    <w:left w:val="single" w:color="auto" w:sz="4" w:space="0"/>
                    <w:bottom w:val="single" w:color="auto" w:sz="4" w:space="0"/>
                    <w:right w:val="single" w:color="auto" w:sz="4" w:space="0"/>
                  </w:tcBorders>
                  <w:vAlign w:val="center"/>
                </w:tcPr>
                <w:p w14:paraId="08C894C1">
                  <w:pPr>
                    <w:widowControl/>
                    <w:jc w:val="left"/>
                    <w:rPr>
                      <w:color w:val="auto"/>
                      <w:kern w:val="0"/>
                      <w:sz w:val="21"/>
                      <w:szCs w:val="21"/>
                    </w:rPr>
                  </w:pPr>
                  <w:r>
                    <w:rPr>
                      <w:rFonts w:hint="eastAsia"/>
                      <w:color w:val="auto"/>
                      <w:kern w:val="0"/>
                      <w:sz w:val="21"/>
                      <w:szCs w:val="21"/>
                    </w:rPr>
                    <w:t>项目环境监测计划</w:t>
                  </w:r>
                </w:p>
              </w:tc>
              <w:tc>
                <w:tcPr>
                  <w:tcW w:w="641" w:type="pct"/>
                  <w:tcBorders>
                    <w:top w:val="single" w:color="auto" w:sz="4" w:space="0"/>
                    <w:left w:val="single" w:color="auto" w:sz="4" w:space="0"/>
                    <w:bottom w:val="single" w:color="auto" w:sz="4" w:space="0"/>
                    <w:right w:val="single" w:color="auto" w:sz="4" w:space="0"/>
                  </w:tcBorders>
                  <w:vAlign w:val="center"/>
                </w:tcPr>
                <w:p w14:paraId="4A6E6136">
                  <w:pPr>
                    <w:widowControl/>
                    <w:jc w:val="center"/>
                    <w:rPr>
                      <w:rFonts w:hint="eastAsia" w:eastAsia="宋体"/>
                      <w:color w:val="auto"/>
                      <w:kern w:val="0"/>
                      <w:sz w:val="21"/>
                      <w:szCs w:val="21"/>
                      <w:lang w:val="en-US" w:eastAsia="zh-CN"/>
                    </w:rPr>
                  </w:pPr>
                  <w:r>
                    <w:rPr>
                      <w:rFonts w:hint="eastAsia"/>
                      <w:color w:val="auto"/>
                      <w:kern w:val="0"/>
                      <w:sz w:val="21"/>
                      <w:szCs w:val="21"/>
                      <w:lang w:val="en-US" w:eastAsia="zh-CN"/>
                    </w:rPr>
                    <w:t>施工期</w:t>
                  </w:r>
                </w:p>
              </w:tc>
            </w:tr>
            <w:tr w14:paraId="06C6D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302" w:type="pct"/>
                  <w:vMerge w:val="continue"/>
                  <w:tcBorders>
                    <w:top w:val="single" w:color="auto" w:sz="4" w:space="0"/>
                    <w:left w:val="single" w:color="auto" w:sz="4" w:space="0"/>
                    <w:bottom w:val="single" w:color="auto" w:sz="4" w:space="0"/>
                    <w:right w:val="single" w:color="auto" w:sz="4" w:space="0"/>
                  </w:tcBorders>
                  <w:vAlign w:val="center"/>
                </w:tcPr>
                <w:p w14:paraId="0CF890E7">
                  <w:pPr>
                    <w:widowControl/>
                    <w:jc w:val="left"/>
                    <w:rPr>
                      <w:color w:val="auto"/>
                      <w:kern w:val="0"/>
                      <w:sz w:val="21"/>
                      <w:szCs w:val="21"/>
                    </w:rPr>
                  </w:pPr>
                </w:p>
              </w:tc>
              <w:tc>
                <w:tcPr>
                  <w:tcW w:w="833" w:type="pct"/>
                  <w:vMerge w:val="continue"/>
                  <w:tcBorders>
                    <w:top w:val="single" w:color="auto" w:sz="4" w:space="0"/>
                    <w:left w:val="single" w:color="auto" w:sz="4" w:space="0"/>
                    <w:bottom w:val="single" w:color="auto" w:sz="4" w:space="0"/>
                    <w:right w:val="single" w:color="auto" w:sz="4" w:space="0"/>
                  </w:tcBorders>
                  <w:vAlign w:val="center"/>
                </w:tcPr>
                <w:p w14:paraId="36DBA5AA">
                  <w:pPr>
                    <w:widowControl/>
                    <w:jc w:val="left"/>
                    <w:rPr>
                      <w:color w:val="auto"/>
                      <w:kern w:val="0"/>
                      <w:sz w:val="21"/>
                      <w:szCs w:val="21"/>
                    </w:rPr>
                  </w:pPr>
                </w:p>
              </w:tc>
              <w:tc>
                <w:tcPr>
                  <w:tcW w:w="775" w:type="pct"/>
                  <w:tcBorders>
                    <w:top w:val="single" w:color="auto" w:sz="4" w:space="0"/>
                    <w:left w:val="single" w:color="auto" w:sz="4" w:space="0"/>
                    <w:bottom w:val="single" w:color="auto" w:sz="4" w:space="0"/>
                    <w:right w:val="single" w:color="auto" w:sz="4" w:space="0"/>
                  </w:tcBorders>
                  <w:vAlign w:val="center"/>
                </w:tcPr>
                <w:p w14:paraId="236F49FE">
                  <w:pPr>
                    <w:widowControl/>
                    <w:rPr>
                      <w:color w:val="auto"/>
                      <w:kern w:val="0"/>
                      <w:sz w:val="21"/>
                      <w:szCs w:val="21"/>
                    </w:rPr>
                  </w:pPr>
                  <w:r>
                    <w:rPr>
                      <w:rFonts w:hint="eastAsia"/>
                      <w:color w:val="auto"/>
                      <w:kern w:val="0"/>
                      <w:sz w:val="21"/>
                      <w:szCs w:val="21"/>
                    </w:rPr>
                    <w:t>营运期</w:t>
                  </w:r>
                </w:p>
              </w:tc>
              <w:tc>
                <w:tcPr>
                  <w:tcW w:w="337" w:type="pct"/>
                  <w:tcBorders>
                    <w:top w:val="single" w:color="auto" w:sz="4" w:space="0"/>
                    <w:left w:val="single" w:color="auto" w:sz="4" w:space="0"/>
                    <w:bottom w:val="single" w:color="auto" w:sz="4" w:space="0"/>
                    <w:right w:val="single" w:color="auto" w:sz="4" w:space="0"/>
                  </w:tcBorders>
                  <w:vAlign w:val="center"/>
                </w:tcPr>
                <w:p w14:paraId="7F7669F0">
                  <w:pPr>
                    <w:widowControl/>
                    <w:jc w:val="center"/>
                    <w:rPr>
                      <w:color w:val="auto"/>
                      <w:kern w:val="0"/>
                      <w:sz w:val="21"/>
                      <w:szCs w:val="21"/>
                    </w:rPr>
                  </w:pPr>
                  <w:r>
                    <w:rPr>
                      <w:rFonts w:hint="eastAsia"/>
                      <w:color w:val="auto"/>
                      <w:kern w:val="0"/>
                      <w:sz w:val="21"/>
                      <w:szCs w:val="21"/>
                    </w:rPr>
                    <w:t>年</w:t>
                  </w:r>
                </w:p>
              </w:tc>
              <w:tc>
                <w:tcPr>
                  <w:tcW w:w="345" w:type="pct"/>
                  <w:tcBorders>
                    <w:top w:val="single" w:color="auto" w:sz="4" w:space="0"/>
                    <w:left w:val="single" w:color="auto" w:sz="4" w:space="0"/>
                    <w:bottom w:val="single" w:color="auto" w:sz="4" w:space="0"/>
                    <w:right w:val="single" w:color="auto" w:sz="4" w:space="0"/>
                  </w:tcBorders>
                  <w:vAlign w:val="center"/>
                </w:tcPr>
                <w:p w14:paraId="7CCB2621">
                  <w:pPr>
                    <w:widowControl/>
                    <w:jc w:val="center"/>
                    <w:rPr>
                      <w:color w:val="auto"/>
                      <w:kern w:val="0"/>
                      <w:sz w:val="21"/>
                      <w:szCs w:val="21"/>
                    </w:rPr>
                  </w:pPr>
                  <w:r>
                    <w:rPr>
                      <w:color w:val="auto"/>
                      <w:kern w:val="0"/>
                      <w:sz w:val="21"/>
                      <w:szCs w:val="21"/>
                    </w:rPr>
                    <w:t>15</w:t>
                  </w:r>
                  <w:r>
                    <w:rPr>
                      <w:rFonts w:hint="eastAsia"/>
                      <w:color w:val="auto"/>
                      <w:kern w:val="0"/>
                      <w:sz w:val="21"/>
                      <w:szCs w:val="21"/>
                    </w:rPr>
                    <w:t>年</w:t>
                  </w:r>
                </w:p>
              </w:tc>
              <w:tc>
                <w:tcPr>
                  <w:tcW w:w="683" w:type="pct"/>
                  <w:tcBorders>
                    <w:top w:val="single" w:color="auto" w:sz="4" w:space="0"/>
                    <w:left w:val="single" w:color="auto" w:sz="4" w:space="0"/>
                    <w:bottom w:val="single" w:color="auto" w:sz="4" w:space="0"/>
                    <w:right w:val="single" w:color="auto" w:sz="4" w:space="0"/>
                  </w:tcBorders>
                  <w:vAlign w:val="center"/>
                </w:tcPr>
                <w:p w14:paraId="1882A944">
                  <w:pPr>
                    <w:widowControl/>
                    <w:jc w:val="center"/>
                    <w:rPr>
                      <w:color w:val="auto"/>
                      <w:kern w:val="0"/>
                      <w:sz w:val="21"/>
                      <w:szCs w:val="21"/>
                    </w:rPr>
                  </w:pPr>
                  <w:r>
                    <w:rPr>
                      <w:rFonts w:hint="eastAsia"/>
                      <w:color w:val="auto"/>
                      <w:kern w:val="0"/>
                      <w:sz w:val="21"/>
                      <w:szCs w:val="21"/>
                    </w:rPr>
                    <w:t>150</w:t>
                  </w:r>
                </w:p>
              </w:tc>
              <w:tc>
                <w:tcPr>
                  <w:tcW w:w="1079" w:type="pct"/>
                  <w:vMerge w:val="continue"/>
                  <w:tcBorders>
                    <w:top w:val="single" w:color="auto" w:sz="4" w:space="0"/>
                    <w:left w:val="single" w:color="auto" w:sz="4" w:space="0"/>
                    <w:bottom w:val="single" w:color="auto" w:sz="4" w:space="0"/>
                    <w:right w:val="single" w:color="auto" w:sz="4" w:space="0"/>
                  </w:tcBorders>
                  <w:vAlign w:val="center"/>
                </w:tcPr>
                <w:p w14:paraId="67A4511F">
                  <w:pPr>
                    <w:widowControl/>
                    <w:jc w:val="left"/>
                    <w:rPr>
                      <w:color w:val="auto"/>
                      <w:kern w:val="0"/>
                      <w:sz w:val="21"/>
                      <w:szCs w:val="21"/>
                    </w:rPr>
                  </w:pPr>
                </w:p>
              </w:tc>
              <w:tc>
                <w:tcPr>
                  <w:tcW w:w="641" w:type="pct"/>
                  <w:tcBorders>
                    <w:top w:val="single" w:color="auto" w:sz="4" w:space="0"/>
                    <w:left w:val="single" w:color="auto" w:sz="4" w:space="0"/>
                    <w:bottom w:val="single" w:color="auto" w:sz="4" w:space="0"/>
                    <w:right w:val="single" w:color="auto" w:sz="4" w:space="0"/>
                  </w:tcBorders>
                  <w:vAlign w:val="center"/>
                </w:tcPr>
                <w:p w14:paraId="140DCA70">
                  <w:pPr>
                    <w:widowControl/>
                    <w:jc w:val="center"/>
                    <w:rPr>
                      <w:rFonts w:hint="eastAsia" w:eastAsia="宋体"/>
                      <w:color w:val="auto"/>
                      <w:kern w:val="0"/>
                      <w:sz w:val="21"/>
                      <w:szCs w:val="21"/>
                      <w:lang w:val="en-US" w:eastAsia="zh-CN"/>
                    </w:rPr>
                  </w:pPr>
                  <w:r>
                    <w:rPr>
                      <w:rFonts w:hint="eastAsia"/>
                      <w:color w:val="auto"/>
                      <w:kern w:val="0"/>
                      <w:sz w:val="21"/>
                      <w:szCs w:val="21"/>
                      <w:lang w:val="en-US" w:eastAsia="zh-CN"/>
                    </w:rPr>
                    <w:t>运营期</w:t>
                  </w:r>
                </w:p>
              </w:tc>
            </w:tr>
            <w:tr w14:paraId="45321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302" w:type="pct"/>
                  <w:tcBorders>
                    <w:top w:val="single" w:color="auto" w:sz="4" w:space="0"/>
                    <w:left w:val="single" w:color="auto" w:sz="4" w:space="0"/>
                    <w:bottom w:val="single" w:color="auto" w:sz="4" w:space="0"/>
                    <w:right w:val="single" w:color="auto" w:sz="4" w:space="0"/>
                  </w:tcBorders>
                  <w:vAlign w:val="center"/>
                </w:tcPr>
                <w:p w14:paraId="2852D067">
                  <w:pPr>
                    <w:widowControl/>
                    <w:jc w:val="center"/>
                    <w:rPr>
                      <w:color w:val="auto"/>
                      <w:kern w:val="0"/>
                      <w:sz w:val="21"/>
                      <w:szCs w:val="21"/>
                    </w:rPr>
                  </w:pPr>
                  <w:r>
                    <w:rPr>
                      <w:color w:val="auto"/>
                      <w:kern w:val="0"/>
                      <w:sz w:val="21"/>
                      <w:szCs w:val="21"/>
                    </w:rPr>
                    <w:t>2</w:t>
                  </w:r>
                </w:p>
              </w:tc>
              <w:tc>
                <w:tcPr>
                  <w:tcW w:w="1608" w:type="pct"/>
                  <w:gridSpan w:val="2"/>
                  <w:tcBorders>
                    <w:top w:val="single" w:color="auto" w:sz="4" w:space="0"/>
                    <w:left w:val="single" w:color="auto" w:sz="4" w:space="0"/>
                    <w:bottom w:val="single" w:color="auto" w:sz="4" w:space="0"/>
                    <w:right w:val="single" w:color="auto" w:sz="4" w:space="0"/>
                  </w:tcBorders>
                  <w:vAlign w:val="center"/>
                </w:tcPr>
                <w:p w14:paraId="0C11CEFF">
                  <w:pPr>
                    <w:widowControl/>
                    <w:rPr>
                      <w:color w:val="auto"/>
                      <w:kern w:val="0"/>
                      <w:sz w:val="21"/>
                      <w:szCs w:val="21"/>
                    </w:rPr>
                  </w:pPr>
                  <w:r>
                    <w:rPr>
                      <w:rFonts w:hint="eastAsia"/>
                      <w:color w:val="auto"/>
                      <w:kern w:val="0"/>
                      <w:sz w:val="21"/>
                      <w:szCs w:val="21"/>
                    </w:rPr>
                    <w:t>环境培训</w:t>
                  </w:r>
                </w:p>
              </w:tc>
              <w:tc>
                <w:tcPr>
                  <w:tcW w:w="337" w:type="pct"/>
                  <w:tcBorders>
                    <w:top w:val="single" w:color="auto" w:sz="4" w:space="0"/>
                    <w:left w:val="single" w:color="auto" w:sz="4" w:space="0"/>
                    <w:bottom w:val="single" w:color="auto" w:sz="4" w:space="0"/>
                    <w:right w:val="single" w:color="auto" w:sz="4" w:space="0"/>
                  </w:tcBorders>
                  <w:vAlign w:val="center"/>
                </w:tcPr>
                <w:p w14:paraId="223EBC5E">
                  <w:pPr>
                    <w:widowControl/>
                    <w:jc w:val="center"/>
                    <w:rPr>
                      <w:color w:val="auto"/>
                      <w:kern w:val="0"/>
                      <w:sz w:val="21"/>
                      <w:szCs w:val="21"/>
                    </w:rPr>
                  </w:pPr>
                  <w:r>
                    <w:rPr>
                      <w:rFonts w:hint="eastAsia"/>
                      <w:color w:val="auto"/>
                      <w:kern w:val="0"/>
                      <w:sz w:val="21"/>
                      <w:szCs w:val="21"/>
                    </w:rPr>
                    <w:t>次</w:t>
                  </w:r>
                </w:p>
              </w:tc>
              <w:tc>
                <w:tcPr>
                  <w:tcW w:w="345" w:type="pct"/>
                  <w:tcBorders>
                    <w:top w:val="single" w:color="auto" w:sz="4" w:space="0"/>
                    <w:left w:val="single" w:color="auto" w:sz="4" w:space="0"/>
                    <w:bottom w:val="single" w:color="auto" w:sz="4" w:space="0"/>
                    <w:right w:val="single" w:color="auto" w:sz="4" w:space="0"/>
                  </w:tcBorders>
                  <w:vAlign w:val="center"/>
                </w:tcPr>
                <w:p w14:paraId="5BCD30AC">
                  <w:pPr>
                    <w:widowControl/>
                    <w:jc w:val="center"/>
                    <w:rPr>
                      <w:rFonts w:hint="eastAsia" w:eastAsia="宋体"/>
                      <w:color w:val="auto"/>
                      <w:kern w:val="0"/>
                      <w:sz w:val="21"/>
                      <w:szCs w:val="21"/>
                      <w:lang w:eastAsia="zh-CN"/>
                    </w:rPr>
                  </w:pPr>
                  <w:r>
                    <w:rPr>
                      <w:rFonts w:hint="eastAsia"/>
                      <w:color w:val="auto"/>
                      <w:kern w:val="0"/>
                      <w:sz w:val="21"/>
                      <w:szCs w:val="21"/>
                      <w:lang w:val="en-US" w:eastAsia="zh-CN"/>
                    </w:rPr>
                    <w:t>2</w:t>
                  </w:r>
                </w:p>
              </w:tc>
              <w:tc>
                <w:tcPr>
                  <w:tcW w:w="683" w:type="pct"/>
                  <w:tcBorders>
                    <w:top w:val="single" w:color="auto" w:sz="4" w:space="0"/>
                    <w:left w:val="single" w:color="auto" w:sz="4" w:space="0"/>
                    <w:bottom w:val="single" w:color="auto" w:sz="4" w:space="0"/>
                    <w:right w:val="single" w:color="auto" w:sz="4" w:space="0"/>
                  </w:tcBorders>
                  <w:vAlign w:val="center"/>
                </w:tcPr>
                <w:p w14:paraId="69D11E1C">
                  <w:pPr>
                    <w:widowControl/>
                    <w:jc w:val="center"/>
                    <w:rPr>
                      <w:color w:val="auto"/>
                      <w:kern w:val="0"/>
                      <w:sz w:val="21"/>
                      <w:szCs w:val="21"/>
                    </w:rPr>
                  </w:pPr>
                  <w:r>
                    <w:rPr>
                      <w:rFonts w:hint="eastAsia"/>
                      <w:color w:val="auto"/>
                      <w:kern w:val="0"/>
                      <w:sz w:val="21"/>
                      <w:szCs w:val="21"/>
                      <w:lang w:val="en-US" w:eastAsia="zh-CN"/>
                    </w:rPr>
                    <w:t>1</w:t>
                  </w:r>
                  <w:r>
                    <w:rPr>
                      <w:color w:val="auto"/>
                      <w:kern w:val="0"/>
                      <w:sz w:val="21"/>
                      <w:szCs w:val="21"/>
                    </w:rPr>
                    <w:t>0</w:t>
                  </w:r>
                </w:p>
              </w:tc>
              <w:tc>
                <w:tcPr>
                  <w:tcW w:w="1079" w:type="pct"/>
                  <w:tcBorders>
                    <w:top w:val="single" w:color="auto" w:sz="4" w:space="0"/>
                    <w:left w:val="single" w:color="auto" w:sz="4" w:space="0"/>
                    <w:bottom w:val="single" w:color="auto" w:sz="4" w:space="0"/>
                    <w:right w:val="single" w:color="auto" w:sz="4" w:space="0"/>
                  </w:tcBorders>
                  <w:vAlign w:val="center"/>
                </w:tcPr>
                <w:p w14:paraId="167CFA08">
                  <w:pPr>
                    <w:widowControl/>
                    <w:jc w:val="center"/>
                    <w:rPr>
                      <w:color w:val="auto"/>
                      <w:kern w:val="0"/>
                      <w:sz w:val="21"/>
                      <w:szCs w:val="21"/>
                    </w:rPr>
                  </w:pPr>
                  <w:r>
                    <w:rPr>
                      <w:color w:val="auto"/>
                      <w:kern w:val="0"/>
                      <w:sz w:val="21"/>
                      <w:szCs w:val="21"/>
                    </w:rPr>
                    <w:t>5</w:t>
                  </w:r>
                  <w:r>
                    <w:rPr>
                      <w:rFonts w:hint="eastAsia"/>
                      <w:color w:val="auto"/>
                      <w:kern w:val="0"/>
                      <w:sz w:val="21"/>
                      <w:szCs w:val="21"/>
                    </w:rPr>
                    <w:t>万元</w:t>
                  </w:r>
                  <w:r>
                    <w:rPr>
                      <w:color w:val="auto"/>
                      <w:kern w:val="0"/>
                      <w:sz w:val="21"/>
                      <w:szCs w:val="21"/>
                    </w:rPr>
                    <w:t>/</w:t>
                  </w:r>
                  <w:r>
                    <w:rPr>
                      <w:rFonts w:hint="eastAsia"/>
                      <w:color w:val="auto"/>
                      <w:kern w:val="0"/>
                      <w:sz w:val="21"/>
                      <w:szCs w:val="21"/>
                    </w:rPr>
                    <w:t>次</w:t>
                  </w:r>
                </w:p>
              </w:tc>
              <w:tc>
                <w:tcPr>
                  <w:tcW w:w="641" w:type="pct"/>
                  <w:tcBorders>
                    <w:top w:val="single" w:color="auto" w:sz="4" w:space="0"/>
                    <w:left w:val="single" w:color="auto" w:sz="4" w:space="0"/>
                    <w:bottom w:val="single" w:color="auto" w:sz="4" w:space="0"/>
                    <w:right w:val="single" w:color="auto" w:sz="4" w:space="0"/>
                  </w:tcBorders>
                  <w:vAlign w:val="center"/>
                </w:tcPr>
                <w:p w14:paraId="2CBB4471">
                  <w:pPr>
                    <w:widowControl/>
                    <w:jc w:val="center"/>
                    <w:rPr>
                      <w:rFonts w:hint="eastAsia" w:eastAsia="宋体"/>
                      <w:color w:val="auto"/>
                      <w:kern w:val="0"/>
                      <w:sz w:val="21"/>
                      <w:szCs w:val="21"/>
                      <w:lang w:val="en-US" w:eastAsia="zh-CN"/>
                    </w:rPr>
                  </w:pPr>
                  <w:r>
                    <w:rPr>
                      <w:rFonts w:hint="eastAsia"/>
                      <w:color w:val="auto"/>
                      <w:kern w:val="0"/>
                      <w:sz w:val="21"/>
                      <w:szCs w:val="21"/>
                      <w:lang w:val="en-US" w:eastAsia="zh-CN"/>
                    </w:rPr>
                    <w:t>施工期</w:t>
                  </w:r>
                </w:p>
              </w:tc>
            </w:tr>
            <w:tr w14:paraId="614DA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302" w:type="pct"/>
                  <w:tcBorders>
                    <w:top w:val="single" w:color="auto" w:sz="4" w:space="0"/>
                    <w:left w:val="single" w:color="auto" w:sz="4" w:space="0"/>
                    <w:bottom w:val="single" w:color="auto" w:sz="4" w:space="0"/>
                    <w:right w:val="single" w:color="auto" w:sz="4" w:space="0"/>
                  </w:tcBorders>
                  <w:vAlign w:val="center"/>
                </w:tcPr>
                <w:p w14:paraId="73460A87">
                  <w:pPr>
                    <w:widowControl/>
                    <w:jc w:val="center"/>
                    <w:rPr>
                      <w:color w:val="auto"/>
                      <w:kern w:val="0"/>
                      <w:sz w:val="21"/>
                      <w:szCs w:val="21"/>
                    </w:rPr>
                  </w:pPr>
                  <w:r>
                    <w:rPr>
                      <w:color w:val="auto"/>
                      <w:kern w:val="0"/>
                      <w:sz w:val="21"/>
                      <w:szCs w:val="21"/>
                    </w:rPr>
                    <w:t>3</w:t>
                  </w:r>
                </w:p>
              </w:tc>
              <w:tc>
                <w:tcPr>
                  <w:tcW w:w="1608" w:type="pct"/>
                  <w:gridSpan w:val="2"/>
                  <w:tcBorders>
                    <w:top w:val="single" w:color="auto" w:sz="4" w:space="0"/>
                    <w:left w:val="single" w:color="auto" w:sz="4" w:space="0"/>
                    <w:bottom w:val="single" w:color="auto" w:sz="4" w:space="0"/>
                    <w:right w:val="single" w:color="auto" w:sz="4" w:space="0"/>
                  </w:tcBorders>
                  <w:vAlign w:val="center"/>
                </w:tcPr>
                <w:p w14:paraId="610ED35A">
                  <w:pPr>
                    <w:widowControl/>
                    <w:rPr>
                      <w:color w:val="auto"/>
                      <w:kern w:val="0"/>
                      <w:sz w:val="21"/>
                      <w:szCs w:val="21"/>
                    </w:rPr>
                  </w:pPr>
                  <w:r>
                    <w:rPr>
                      <w:rFonts w:hint="eastAsia"/>
                      <w:color w:val="auto"/>
                      <w:kern w:val="0"/>
                      <w:sz w:val="21"/>
                      <w:szCs w:val="21"/>
                    </w:rPr>
                    <w:t>环境监理</w:t>
                  </w:r>
                </w:p>
              </w:tc>
              <w:tc>
                <w:tcPr>
                  <w:tcW w:w="337" w:type="pct"/>
                  <w:tcBorders>
                    <w:top w:val="single" w:color="auto" w:sz="4" w:space="0"/>
                    <w:left w:val="single" w:color="auto" w:sz="4" w:space="0"/>
                    <w:bottom w:val="single" w:color="auto" w:sz="4" w:space="0"/>
                    <w:right w:val="single" w:color="auto" w:sz="4" w:space="0"/>
                  </w:tcBorders>
                  <w:vAlign w:val="center"/>
                </w:tcPr>
                <w:p w14:paraId="10CF1CB5">
                  <w:pPr>
                    <w:widowControl/>
                    <w:jc w:val="center"/>
                    <w:rPr>
                      <w:color w:val="auto"/>
                      <w:kern w:val="0"/>
                      <w:sz w:val="21"/>
                      <w:szCs w:val="21"/>
                    </w:rPr>
                  </w:pPr>
                  <w:r>
                    <w:rPr>
                      <w:rFonts w:hint="eastAsia"/>
                      <w:color w:val="auto"/>
                      <w:kern w:val="0"/>
                      <w:sz w:val="21"/>
                      <w:szCs w:val="21"/>
                    </w:rPr>
                    <w:t>年</w:t>
                  </w:r>
                </w:p>
              </w:tc>
              <w:tc>
                <w:tcPr>
                  <w:tcW w:w="345" w:type="pct"/>
                  <w:tcBorders>
                    <w:top w:val="single" w:color="auto" w:sz="4" w:space="0"/>
                    <w:left w:val="single" w:color="auto" w:sz="4" w:space="0"/>
                    <w:bottom w:val="single" w:color="auto" w:sz="4" w:space="0"/>
                    <w:right w:val="single" w:color="auto" w:sz="4" w:space="0"/>
                  </w:tcBorders>
                  <w:vAlign w:val="center"/>
                </w:tcPr>
                <w:p w14:paraId="748D0CA4">
                  <w:pPr>
                    <w:widowControl/>
                    <w:jc w:val="center"/>
                    <w:rPr>
                      <w:rFonts w:hint="eastAsia" w:eastAsia="宋体"/>
                      <w:color w:val="auto"/>
                      <w:kern w:val="0"/>
                      <w:sz w:val="21"/>
                      <w:szCs w:val="21"/>
                      <w:lang w:eastAsia="zh-CN"/>
                    </w:rPr>
                  </w:pPr>
                  <w:r>
                    <w:rPr>
                      <w:rFonts w:hint="eastAsia"/>
                      <w:color w:val="auto"/>
                      <w:kern w:val="0"/>
                      <w:sz w:val="21"/>
                      <w:szCs w:val="21"/>
                      <w:lang w:val="en-US" w:eastAsia="zh-CN"/>
                    </w:rPr>
                    <w:t>2</w:t>
                  </w:r>
                </w:p>
              </w:tc>
              <w:tc>
                <w:tcPr>
                  <w:tcW w:w="683" w:type="pct"/>
                  <w:tcBorders>
                    <w:top w:val="single" w:color="auto" w:sz="4" w:space="0"/>
                    <w:left w:val="single" w:color="auto" w:sz="4" w:space="0"/>
                    <w:bottom w:val="single" w:color="auto" w:sz="4" w:space="0"/>
                    <w:right w:val="single" w:color="auto" w:sz="4" w:space="0"/>
                  </w:tcBorders>
                  <w:vAlign w:val="center"/>
                </w:tcPr>
                <w:p w14:paraId="622AD4F4">
                  <w:pPr>
                    <w:widowControl/>
                    <w:jc w:val="center"/>
                    <w:rPr>
                      <w:color w:val="auto"/>
                      <w:kern w:val="0"/>
                      <w:sz w:val="21"/>
                      <w:szCs w:val="21"/>
                    </w:rPr>
                  </w:pPr>
                  <w:r>
                    <w:rPr>
                      <w:rFonts w:hint="eastAsia"/>
                      <w:color w:val="auto"/>
                      <w:kern w:val="0"/>
                      <w:sz w:val="21"/>
                      <w:szCs w:val="21"/>
                      <w:lang w:val="en-US" w:eastAsia="zh-CN"/>
                    </w:rPr>
                    <w:t>1</w:t>
                  </w:r>
                  <w:r>
                    <w:rPr>
                      <w:color w:val="auto"/>
                      <w:kern w:val="0"/>
                      <w:sz w:val="21"/>
                      <w:szCs w:val="21"/>
                    </w:rPr>
                    <w:t>00</w:t>
                  </w:r>
                </w:p>
              </w:tc>
              <w:tc>
                <w:tcPr>
                  <w:tcW w:w="1079" w:type="pct"/>
                  <w:tcBorders>
                    <w:top w:val="single" w:color="auto" w:sz="4" w:space="0"/>
                    <w:left w:val="single" w:color="auto" w:sz="4" w:space="0"/>
                    <w:bottom w:val="single" w:color="auto" w:sz="4" w:space="0"/>
                    <w:right w:val="single" w:color="auto" w:sz="4" w:space="0"/>
                  </w:tcBorders>
                  <w:vAlign w:val="center"/>
                </w:tcPr>
                <w:p w14:paraId="20388BB4">
                  <w:pPr>
                    <w:widowControl/>
                    <w:jc w:val="center"/>
                    <w:rPr>
                      <w:color w:val="auto"/>
                      <w:kern w:val="0"/>
                      <w:sz w:val="21"/>
                      <w:szCs w:val="21"/>
                    </w:rPr>
                  </w:pPr>
                  <w:r>
                    <w:rPr>
                      <w:color w:val="auto"/>
                      <w:kern w:val="0"/>
                      <w:sz w:val="21"/>
                      <w:szCs w:val="21"/>
                    </w:rPr>
                    <w:t>50</w:t>
                  </w:r>
                  <w:r>
                    <w:rPr>
                      <w:rFonts w:hint="eastAsia"/>
                      <w:color w:val="auto"/>
                      <w:kern w:val="0"/>
                      <w:sz w:val="21"/>
                      <w:szCs w:val="21"/>
                    </w:rPr>
                    <w:t>万元</w:t>
                  </w:r>
                  <w:r>
                    <w:rPr>
                      <w:color w:val="auto"/>
                      <w:kern w:val="0"/>
                      <w:sz w:val="21"/>
                      <w:szCs w:val="21"/>
                    </w:rPr>
                    <w:t>/</w:t>
                  </w:r>
                  <w:r>
                    <w:rPr>
                      <w:rFonts w:hint="eastAsia"/>
                      <w:color w:val="auto"/>
                      <w:kern w:val="0"/>
                      <w:sz w:val="21"/>
                      <w:szCs w:val="21"/>
                    </w:rPr>
                    <w:t>年</w:t>
                  </w:r>
                </w:p>
              </w:tc>
              <w:tc>
                <w:tcPr>
                  <w:tcW w:w="641" w:type="pct"/>
                  <w:tcBorders>
                    <w:top w:val="single" w:color="auto" w:sz="4" w:space="0"/>
                    <w:left w:val="single" w:color="auto" w:sz="4" w:space="0"/>
                    <w:bottom w:val="single" w:color="auto" w:sz="4" w:space="0"/>
                    <w:right w:val="single" w:color="auto" w:sz="4" w:space="0"/>
                  </w:tcBorders>
                  <w:vAlign w:val="center"/>
                </w:tcPr>
                <w:p w14:paraId="35FA382D">
                  <w:pPr>
                    <w:widowControl/>
                    <w:jc w:val="center"/>
                    <w:rPr>
                      <w:rFonts w:hint="eastAsia" w:eastAsia="宋体"/>
                      <w:color w:val="auto"/>
                      <w:kern w:val="0"/>
                      <w:sz w:val="21"/>
                      <w:szCs w:val="21"/>
                      <w:lang w:val="en-US" w:eastAsia="zh-CN"/>
                    </w:rPr>
                  </w:pPr>
                  <w:r>
                    <w:rPr>
                      <w:rFonts w:hint="eastAsia"/>
                      <w:color w:val="auto"/>
                      <w:kern w:val="0"/>
                      <w:sz w:val="21"/>
                      <w:szCs w:val="21"/>
                      <w:lang w:val="en-US" w:eastAsia="zh-CN"/>
                    </w:rPr>
                    <w:t>施工期</w:t>
                  </w:r>
                </w:p>
              </w:tc>
            </w:tr>
            <w:tr w14:paraId="6F736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302" w:type="pct"/>
                  <w:tcBorders>
                    <w:top w:val="single" w:color="auto" w:sz="4" w:space="0"/>
                    <w:left w:val="single" w:color="auto" w:sz="4" w:space="0"/>
                    <w:bottom w:val="single" w:color="auto" w:sz="4" w:space="0"/>
                    <w:right w:val="single" w:color="auto" w:sz="4" w:space="0"/>
                  </w:tcBorders>
                  <w:vAlign w:val="center"/>
                </w:tcPr>
                <w:p w14:paraId="1FBE6BCF">
                  <w:pPr>
                    <w:widowControl/>
                    <w:jc w:val="center"/>
                    <w:rPr>
                      <w:color w:val="auto"/>
                      <w:kern w:val="0"/>
                      <w:sz w:val="21"/>
                      <w:szCs w:val="21"/>
                    </w:rPr>
                  </w:pPr>
                  <w:r>
                    <w:rPr>
                      <w:color w:val="auto"/>
                      <w:kern w:val="0"/>
                      <w:sz w:val="21"/>
                      <w:szCs w:val="21"/>
                    </w:rPr>
                    <w:t>4</w:t>
                  </w:r>
                </w:p>
              </w:tc>
              <w:tc>
                <w:tcPr>
                  <w:tcW w:w="1608" w:type="pct"/>
                  <w:gridSpan w:val="2"/>
                  <w:tcBorders>
                    <w:top w:val="single" w:color="auto" w:sz="4" w:space="0"/>
                    <w:left w:val="single" w:color="auto" w:sz="4" w:space="0"/>
                    <w:bottom w:val="single" w:color="auto" w:sz="4" w:space="0"/>
                    <w:right w:val="single" w:color="auto" w:sz="4" w:space="0"/>
                  </w:tcBorders>
                  <w:vAlign w:val="center"/>
                </w:tcPr>
                <w:p w14:paraId="673AAB14">
                  <w:pPr>
                    <w:widowControl/>
                    <w:rPr>
                      <w:color w:val="auto"/>
                      <w:kern w:val="0"/>
                      <w:sz w:val="21"/>
                      <w:szCs w:val="21"/>
                    </w:rPr>
                  </w:pPr>
                  <w:r>
                    <w:rPr>
                      <w:rFonts w:hint="eastAsia"/>
                      <w:color w:val="auto"/>
                      <w:kern w:val="0"/>
                      <w:sz w:val="21"/>
                      <w:szCs w:val="21"/>
                    </w:rPr>
                    <w:t>环保设计费</w:t>
                  </w:r>
                </w:p>
              </w:tc>
              <w:tc>
                <w:tcPr>
                  <w:tcW w:w="337" w:type="pct"/>
                  <w:tcBorders>
                    <w:top w:val="single" w:color="auto" w:sz="4" w:space="0"/>
                    <w:left w:val="single" w:color="auto" w:sz="4" w:space="0"/>
                    <w:bottom w:val="single" w:color="auto" w:sz="4" w:space="0"/>
                    <w:right w:val="single" w:color="auto" w:sz="4" w:space="0"/>
                  </w:tcBorders>
                  <w:vAlign w:val="center"/>
                </w:tcPr>
                <w:p w14:paraId="50C21806">
                  <w:pPr>
                    <w:widowControl/>
                    <w:jc w:val="center"/>
                    <w:rPr>
                      <w:color w:val="auto"/>
                      <w:kern w:val="0"/>
                      <w:sz w:val="21"/>
                      <w:szCs w:val="21"/>
                    </w:rPr>
                  </w:pPr>
                </w:p>
              </w:tc>
              <w:tc>
                <w:tcPr>
                  <w:tcW w:w="345" w:type="pct"/>
                  <w:tcBorders>
                    <w:top w:val="single" w:color="auto" w:sz="4" w:space="0"/>
                    <w:left w:val="single" w:color="auto" w:sz="4" w:space="0"/>
                    <w:bottom w:val="single" w:color="auto" w:sz="4" w:space="0"/>
                    <w:right w:val="single" w:color="auto" w:sz="4" w:space="0"/>
                  </w:tcBorders>
                  <w:vAlign w:val="center"/>
                </w:tcPr>
                <w:p w14:paraId="41207E63">
                  <w:pPr>
                    <w:widowControl/>
                    <w:jc w:val="center"/>
                    <w:rPr>
                      <w:color w:val="auto"/>
                      <w:kern w:val="0"/>
                      <w:sz w:val="21"/>
                      <w:szCs w:val="21"/>
                    </w:rPr>
                  </w:pPr>
                </w:p>
              </w:tc>
              <w:tc>
                <w:tcPr>
                  <w:tcW w:w="683" w:type="pct"/>
                  <w:tcBorders>
                    <w:top w:val="single" w:color="auto" w:sz="4" w:space="0"/>
                    <w:left w:val="single" w:color="auto" w:sz="4" w:space="0"/>
                    <w:bottom w:val="single" w:color="auto" w:sz="4" w:space="0"/>
                    <w:right w:val="single" w:color="auto" w:sz="4" w:space="0"/>
                  </w:tcBorders>
                  <w:vAlign w:val="center"/>
                </w:tcPr>
                <w:p w14:paraId="169D7E80">
                  <w:pPr>
                    <w:widowControl/>
                    <w:jc w:val="center"/>
                    <w:rPr>
                      <w:color w:val="auto"/>
                      <w:kern w:val="0"/>
                      <w:sz w:val="21"/>
                      <w:szCs w:val="21"/>
                    </w:rPr>
                  </w:pPr>
                  <w:r>
                    <w:rPr>
                      <w:rFonts w:hint="eastAsia"/>
                      <w:color w:val="auto"/>
                      <w:kern w:val="0"/>
                      <w:sz w:val="21"/>
                      <w:szCs w:val="21"/>
                      <w:lang w:val="en-US" w:eastAsia="zh-CN"/>
                    </w:rPr>
                    <w:t>5</w:t>
                  </w:r>
                  <w:r>
                    <w:rPr>
                      <w:color w:val="auto"/>
                      <w:kern w:val="0"/>
                      <w:sz w:val="21"/>
                      <w:szCs w:val="21"/>
                    </w:rPr>
                    <w:t>0</w:t>
                  </w:r>
                </w:p>
              </w:tc>
              <w:tc>
                <w:tcPr>
                  <w:tcW w:w="1079" w:type="pct"/>
                  <w:tcBorders>
                    <w:top w:val="single" w:color="auto" w:sz="4" w:space="0"/>
                    <w:left w:val="single" w:color="auto" w:sz="4" w:space="0"/>
                    <w:bottom w:val="single" w:color="auto" w:sz="4" w:space="0"/>
                    <w:right w:val="single" w:color="auto" w:sz="4" w:space="0"/>
                  </w:tcBorders>
                  <w:vAlign w:val="center"/>
                </w:tcPr>
                <w:p w14:paraId="330AA282">
                  <w:pPr>
                    <w:widowControl/>
                    <w:jc w:val="left"/>
                    <w:rPr>
                      <w:color w:val="auto"/>
                      <w:kern w:val="0"/>
                      <w:sz w:val="21"/>
                      <w:szCs w:val="21"/>
                    </w:rPr>
                  </w:pPr>
                </w:p>
              </w:tc>
              <w:tc>
                <w:tcPr>
                  <w:tcW w:w="641" w:type="pct"/>
                  <w:tcBorders>
                    <w:top w:val="single" w:color="auto" w:sz="4" w:space="0"/>
                    <w:left w:val="single" w:color="auto" w:sz="4" w:space="0"/>
                    <w:bottom w:val="single" w:color="auto" w:sz="4" w:space="0"/>
                    <w:right w:val="single" w:color="auto" w:sz="4" w:space="0"/>
                  </w:tcBorders>
                  <w:vAlign w:val="center"/>
                </w:tcPr>
                <w:p w14:paraId="28E0776C">
                  <w:pPr>
                    <w:widowControl/>
                    <w:jc w:val="center"/>
                    <w:rPr>
                      <w:rFonts w:hint="eastAsia" w:eastAsia="宋体"/>
                      <w:color w:val="auto"/>
                      <w:kern w:val="0"/>
                      <w:sz w:val="21"/>
                      <w:szCs w:val="21"/>
                      <w:lang w:val="en-US" w:eastAsia="zh-CN"/>
                    </w:rPr>
                  </w:pPr>
                  <w:r>
                    <w:rPr>
                      <w:rFonts w:hint="eastAsia"/>
                      <w:color w:val="auto"/>
                      <w:kern w:val="0"/>
                      <w:sz w:val="21"/>
                      <w:szCs w:val="21"/>
                      <w:lang w:val="en-US" w:eastAsia="zh-CN"/>
                    </w:rPr>
                    <w:t>开工前</w:t>
                  </w:r>
                </w:p>
              </w:tc>
            </w:tr>
            <w:tr w14:paraId="73356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302" w:type="pct"/>
                  <w:tcBorders>
                    <w:top w:val="single" w:color="auto" w:sz="4" w:space="0"/>
                    <w:left w:val="single" w:color="auto" w:sz="4" w:space="0"/>
                    <w:bottom w:val="single" w:color="auto" w:sz="4" w:space="0"/>
                    <w:right w:val="single" w:color="auto" w:sz="4" w:space="0"/>
                  </w:tcBorders>
                  <w:vAlign w:val="center"/>
                </w:tcPr>
                <w:p w14:paraId="0AA7D026">
                  <w:pPr>
                    <w:widowControl/>
                    <w:jc w:val="center"/>
                    <w:rPr>
                      <w:color w:val="auto"/>
                      <w:kern w:val="0"/>
                      <w:sz w:val="21"/>
                      <w:szCs w:val="21"/>
                    </w:rPr>
                  </w:pPr>
                  <w:r>
                    <w:rPr>
                      <w:color w:val="auto"/>
                      <w:kern w:val="0"/>
                      <w:sz w:val="21"/>
                      <w:szCs w:val="21"/>
                    </w:rPr>
                    <w:t>5</w:t>
                  </w:r>
                </w:p>
              </w:tc>
              <w:tc>
                <w:tcPr>
                  <w:tcW w:w="1608" w:type="pct"/>
                  <w:gridSpan w:val="2"/>
                  <w:tcBorders>
                    <w:top w:val="single" w:color="auto" w:sz="4" w:space="0"/>
                    <w:left w:val="single" w:color="auto" w:sz="4" w:space="0"/>
                    <w:bottom w:val="single" w:color="auto" w:sz="4" w:space="0"/>
                    <w:right w:val="single" w:color="auto" w:sz="4" w:space="0"/>
                  </w:tcBorders>
                  <w:vAlign w:val="center"/>
                </w:tcPr>
                <w:p w14:paraId="62E8F4AE">
                  <w:pPr>
                    <w:widowControl/>
                    <w:rPr>
                      <w:color w:val="auto"/>
                      <w:kern w:val="0"/>
                      <w:sz w:val="21"/>
                      <w:szCs w:val="21"/>
                    </w:rPr>
                  </w:pPr>
                  <w:r>
                    <w:rPr>
                      <w:rFonts w:hint="eastAsia"/>
                      <w:color w:val="auto"/>
                      <w:kern w:val="0"/>
                      <w:sz w:val="21"/>
                      <w:szCs w:val="21"/>
                    </w:rPr>
                    <w:t>环境影响评价</w:t>
                  </w:r>
                </w:p>
              </w:tc>
              <w:tc>
                <w:tcPr>
                  <w:tcW w:w="337" w:type="pct"/>
                  <w:tcBorders>
                    <w:top w:val="single" w:color="auto" w:sz="4" w:space="0"/>
                    <w:left w:val="single" w:color="auto" w:sz="4" w:space="0"/>
                    <w:bottom w:val="single" w:color="auto" w:sz="4" w:space="0"/>
                    <w:right w:val="single" w:color="auto" w:sz="4" w:space="0"/>
                  </w:tcBorders>
                  <w:vAlign w:val="center"/>
                </w:tcPr>
                <w:p w14:paraId="1DFF9DDD">
                  <w:pPr>
                    <w:widowControl/>
                    <w:jc w:val="center"/>
                    <w:rPr>
                      <w:color w:val="auto"/>
                      <w:kern w:val="0"/>
                      <w:sz w:val="21"/>
                      <w:szCs w:val="21"/>
                    </w:rPr>
                  </w:pPr>
                </w:p>
              </w:tc>
              <w:tc>
                <w:tcPr>
                  <w:tcW w:w="345" w:type="pct"/>
                  <w:tcBorders>
                    <w:top w:val="single" w:color="auto" w:sz="4" w:space="0"/>
                    <w:left w:val="single" w:color="auto" w:sz="4" w:space="0"/>
                    <w:bottom w:val="single" w:color="auto" w:sz="4" w:space="0"/>
                    <w:right w:val="single" w:color="auto" w:sz="4" w:space="0"/>
                  </w:tcBorders>
                  <w:vAlign w:val="center"/>
                </w:tcPr>
                <w:p w14:paraId="7257FB47">
                  <w:pPr>
                    <w:widowControl/>
                    <w:jc w:val="center"/>
                    <w:rPr>
                      <w:color w:val="auto"/>
                      <w:kern w:val="0"/>
                      <w:sz w:val="21"/>
                      <w:szCs w:val="21"/>
                    </w:rPr>
                  </w:pPr>
                </w:p>
              </w:tc>
              <w:tc>
                <w:tcPr>
                  <w:tcW w:w="683" w:type="pct"/>
                  <w:tcBorders>
                    <w:top w:val="single" w:color="auto" w:sz="4" w:space="0"/>
                    <w:left w:val="single" w:color="auto" w:sz="4" w:space="0"/>
                    <w:bottom w:val="single" w:color="auto" w:sz="4" w:space="0"/>
                    <w:right w:val="single" w:color="auto" w:sz="4" w:space="0"/>
                  </w:tcBorders>
                  <w:vAlign w:val="center"/>
                </w:tcPr>
                <w:p w14:paraId="344FC463">
                  <w:pPr>
                    <w:widowControl/>
                    <w:jc w:val="center"/>
                    <w:rPr>
                      <w:rFonts w:hint="default" w:eastAsia="宋体"/>
                      <w:color w:val="auto"/>
                      <w:kern w:val="0"/>
                      <w:sz w:val="21"/>
                      <w:szCs w:val="21"/>
                      <w:lang w:val="en-US" w:eastAsia="zh-CN"/>
                    </w:rPr>
                  </w:pPr>
                  <w:r>
                    <w:rPr>
                      <w:rFonts w:hint="eastAsia"/>
                      <w:color w:val="auto"/>
                      <w:kern w:val="0"/>
                      <w:sz w:val="21"/>
                      <w:szCs w:val="21"/>
                      <w:lang w:val="en-US" w:eastAsia="zh-CN"/>
                    </w:rPr>
                    <w:t>45</w:t>
                  </w:r>
                </w:p>
              </w:tc>
              <w:tc>
                <w:tcPr>
                  <w:tcW w:w="1079" w:type="pct"/>
                  <w:tcBorders>
                    <w:top w:val="single" w:color="auto" w:sz="4" w:space="0"/>
                    <w:left w:val="single" w:color="auto" w:sz="4" w:space="0"/>
                    <w:bottom w:val="single" w:color="auto" w:sz="4" w:space="0"/>
                    <w:right w:val="single" w:color="auto" w:sz="4" w:space="0"/>
                  </w:tcBorders>
                  <w:vAlign w:val="center"/>
                </w:tcPr>
                <w:p w14:paraId="732DCB86">
                  <w:pPr>
                    <w:widowControl/>
                    <w:jc w:val="left"/>
                    <w:rPr>
                      <w:color w:val="auto"/>
                      <w:kern w:val="0"/>
                      <w:sz w:val="21"/>
                      <w:szCs w:val="21"/>
                    </w:rPr>
                  </w:pPr>
                </w:p>
              </w:tc>
              <w:tc>
                <w:tcPr>
                  <w:tcW w:w="641" w:type="pct"/>
                  <w:tcBorders>
                    <w:top w:val="single" w:color="auto" w:sz="4" w:space="0"/>
                    <w:left w:val="single" w:color="auto" w:sz="4" w:space="0"/>
                    <w:bottom w:val="single" w:color="auto" w:sz="4" w:space="0"/>
                    <w:right w:val="single" w:color="auto" w:sz="4" w:space="0"/>
                  </w:tcBorders>
                  <w:vAlign w:val="center"/>
                </w:tcPr>
                <w:p w14:paraId="1B2B0222">
                  <w:pPr>
                    <w:widowControl/>
                    <w:jc w:val="center"/>
                    <w:rPr>
                      <w:rFonts w:hint="eastAsia" w:eastAsia="宋体"/>
                      <w:color w:val="auto"/>
                      <w:kern w:val="0"/>
                      <w:sz w:val="21"/>
                      <w:szCs w:val="21"/>
                      <w:lang w:val="en-US" w:eastAsia="zh-CN"/>
                    </w:rPr>
                  </w:pPr>
                  <w:r>
                    <w:rPr>
                      <w:rFonts w:hint="eastAsia"/>
                      <w:color w:val="auto"/>
                      <w:kern w:val="0"/>
                      <w:sz w:val="21"/>
                      <w:szCs w:val="21"/>
                      <w:lang w:val="en-US" w:eastAsia="zh-CN"/>
                    </w:rPr>
                    <w:t>开工前</w:t>
                  </w:r>
                </w:p>
              </w:tc>
            </w:tr>
            <w:tr w14:paraId="1A5E1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302" w:type="pct"/>
                  <w:tcBorders>
                    <w:top w:val="single" w:color="auto" w:sz="4" w:space="0"/>
                    <w:left w:val="single" w:color="auto" w:sz="4" w:space="0"/>
                    <w:bottom w:val="single" w:color="auto" w:sz="4" w:space="0"/>
                    <w:right w:val="single" w:color="auto" w:sz="4" w:space="0"/>
                  </w:tcBorders>
                  <w:vAlign w:val="center"/>
                </w:tcPr>
                <w:p w14:paraId="119F7B32">
                  <w:pPr>
                    <w:widowControl/>
                    <w:jc w:val="center"/>
                    <w:rPr>
                      <w:color w:val="auto"/>
                      <w:kern w:val="0"/>
                      <w:sz w:val="21"/>
                      <w:szCs w:val="21"/>
                    </w:rPr>
                  </w:pPr>
                  <w:r>
                    <w:rPr>
                      <w:color w:val="auto"/>
                      <w:kern w:val="0"/>
                      <w:sz w:val="21"/>
                      <w:szCs w:val="21"/>
                    </w:rPr>
                    <w:t>6</w:t>
                  </w:r>
                </w:p>
              </w:tc>
              <w:tc>
                <w:tcPr>
                  <w:tcW w:w="1608" w:type="pct"/>
                  <w:gridSpan w:val="2"/>
                  <w:tcBorders>
                    <w:top w:val="single" w:color="auto" w:sz="4" w:space="0"/>
                    <w:left w:val="single" w:color="auto" w:sz="4" w:space="0"/>
                    <w:bottom w:val="single" w:color="auto" w:sz="4" w:space="0"/>
                    <w:right w:val="single" w:color="auto" w:sz="4" w:space="0"/>
                  </w:tcBorders>
                  <w:vAlign w:val="center"/>
                </w:tcPr>
                <w:p w14:paraId="2E45DCAC">
                  <w:pPr>
                    <w:widowControl/>
                    <w:rPr>
                      <w:color w:val="auto"/>
                      <w:kern w:val="0"/>
                      <w:sz w:val="21"/>
                      <w:szCs w:val="21"/>
                    </w:rPr>
                  </w:pPr>
                  <w:r>
                    <w:rPr>
                      <w:rFonts w:hint="eastAsia"/>
                      <w:color w:val="auto"/>
                      <w:kern w:val="0"/>
                      <w:sz w:val="21"/>
                      <w:szCs w:val="21"/>
                    </w:rPr>
                    <w:t>竣工环境保护验收调查</w:t>
                  </w:r>
                </w:p>
              </w:tc>
              <w:tc>
                <w:tcPr>
                  <w:tcW w:w="337" w:type="pct"/>
                  <w:tcBorders>
                    <w:top w:val="single" w:color="auto" w:sz="4" w:space="0"/>
                    <w:left w:val="single" w:color="auto" w:sz="4" w:space="0"/>
                    <w:bottom w:val="single" w:color="auto" w:sz="4" w:space="0"/>
                    <w:right w:val="single" w:color="auto" w:sz="4" w:space="0"/>
                  </w:tcBorders>
                  <w:vAlign w:val="center"/>
                </w:tcPr>
                <w:p w14:paraId="492F6C1B">
                  <w:pPr>
                    <w:widowControl/>
                    <w:jc w:val="center"/>
                    <w:rPr>
                      <w:color w:val="auto"/>
                      <w:kern w:val="0"/>
                      <w:sz w:val="21"/>
                      <w:szCs w:val="21"/>
                    </w:rPr>
                  </w:pPr>
                </w:p>
              </w:tc>
              <w:tc>
                <w:tcPr>
                  <w:tcW w:w="345" w:type="pct"/>
                  <w:tcBorders>
                    <w:top w:val="single" w:color="auto" w:sz="4" w:space="0"/>
                    <w:left w:val="single" w:color="auto" w:sz="4" w:space="0"/>
                    <w:bottom w:val="single" w:color="auto" w:sz="4" w:space="0"/>
                    <w:right w:val="single" w:color="auto" w:sz="4" w:space="0"/>
                  </w:tcBorders>
                  <w:vAlign w:val="center"/>
                </w:tcPr>
                <w:p w14:paraId="3B53156F">
                  <w:pPr>
                    <w:widowControl/>
                    <w:jc w:val="center"/>
                    <w:rPr>
                      <w:color w:val="auto"/>
                      <w:kern w:val="0"/>
                      <w:sz w:val="21"/>
                      <w:szCs w:val="21"/>
                    </w:rPr>
                  </w:pPr>
                </w:p>
              </w:tc>
              <w:tc>
                <w:tcPr>
                  <w:tcW w:w="683" w:type="pct"/>
                  <w:tcBorders>
                    <w:top w:val="single" w:color="auto" w:sz="4" w:space="0"/>
                    <w:left w:val="single" w:color="auto" w:sz="4" w:space="0"/>
                    <w:bottom w:val="single" w:color="auto" w:sz="4" w:space="0"/>
                    <w:right w:val="single" w:color="auto" w:sz="4" w:space="0"/>
                  </w:tcBorders>
                  <w:vAlign w:val="center"/>
                </w:tcPr>
                <w:p w14:paraId="7D6A240E">
                  <w:pPr>
                    <w:widowControl/>
                    <w:jc w:val="center"/>
                    <w:rPr>
                      <w:rFonts w:hint="default" w:eastAsia="宋体"/>
                      <w:color w:val="auto"/>
                      <w:kern w:val="0"/>
                      <w:sz w:val="21"/>
                      <w:szCs w:val="21"/>
                      <w:lang w:val="en-US" w:eastAsia="zh-CN"/>
                    </w:rPr>
                  </w:pPr>
                  <w:r>
                    <w:rPr>
                      <w:rFonts w:hint="eastAsia"/>
                      <w:color w:val="auto"/>
                      <w:kern w:val="0"/>
                      <w:sz w:val="21"/>
                      <w:szCs w:val="21"/>
                      <w:lang w:val="en-US" w:eastAsia="zh-CN"/>
                    </w:rPr>
                    <w:t>40</w:t>
                  </w:r>
                </w:p>
              </w:tc>
              <w:tc>
                <w:tcPr>
                  <w:tcW w:w="1079" w:type="pct"/>
                  <w:tcBorders>
                    <w:top w:val="single" w:color="auto" w:sz="4" w:space="0"/>
                    <w:left w:val="single" w:color="auto" w:sz="4" w:space="0"/>
                    <w:bottom w:val="single" w:color="auto" w:sz="4" w:space="0"/>
                    <w:right w:val="single" w:color="auto" w:sz="4" w:space="0"/>
                  </w:tcBorders>
                  <w:vAlign w:val="center"/>
                </w:tcPr>
                <w:p w14:paraId="6BF61A08">
                  <w:pPr>
                    <w:widowControl/>
                    <w:jc w:val="left"/>
                    <w:rPr>
                      <w:color w:val="auto"/>
                      <w:kern w:val="0"/>
                      <w:sz w:val="21"/>
                      <w:szCs w:val="21"/>
                    </w:rPr>
                  </w:pPr>
                </w:p>
              </w:tc>
              <w:tc>
                <w:tcPr>
                  <w:tcW w:w="641" w:type="pct"/>
                  <w:tcBorders>
                    <w:top w:val="single" w:color="auto" w:sz="4" w:space="0"/>
                    <w:left w:val="single" w:color="auto" w:sz="4" w:space="0"/>
                    <w:bottom w:val="single" w:color="auto" w:sz="4" w:space="0"/>
                    <w:right w:val="single" w:color="auto" w:sz="4" w:space="0"/>
                  </w:tcBorders>
                  <w:vAlign w:val="center"/>
                </w:tcPr>
                <w:p w14:paraId="0F2A05B7">
                  <w:pPr>
                    <w:widowControl/>
                    <w:jc w:val="center"/>
                    <w:rPr>
                      <w:rFonts w:hint="eastAsia" w:eastAsia="宋体"/>
                      <w:color w:val="auto"/>
                      <w:kern w:val="0"/>
                      <w:sz w:val="21"/>
                      <w:szCs w:val="21"/>
                      <w:lang w:val="en-US" w:eastAsia="zh-CN"/>
                    </w:rPr>
                  </w:pPr>
                  <w:r>
                    <w:rPr>
                      <w:rFonts w:hint="eastAsia"/>
                      <w:color w:val="auto"/>
                      <w:kern w:val="0"/>
                      <w:sz w:val="21"/>
                      <w:szCs w:val="21"/>
                      <w:lang w:val="en-US" w:eastAsia="zh-CN"/>
                    </w:rPr>
                    <w:t>营运期</w:t>
                  </w:r>
                </w:p>
              </w:tc>
            </w:tr>
            <w:tr w14:paraId="54794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302" w:type="pct"/>
                  <w:tcBorders>
                    <w:top w:val="single" w:color="auto" w:sz="4" w:space="0"/>
                    <w:left w:val="single" w:color="auto" w:sz="4" w:space="0"/>
                    <w:bottom w:val="single" w:color="auto" w:sz="4" w:space="0"/>
                    <w:right w:val="single" w:color="auto" w:sz="4" w:space="0"/>
                  </w:tcBorders>
                  <w:vAlign w:val="center"/>
                </w:tcPr>
                <w:p w14:paraId="61192FE4">
                  <w:pPr>
                    <w:widowControl/>
                    <w:jc w:val="center"/>
                    <w:rPr>
                      <w:color w:val="auto"/>
                      <w:kern w:val="0"/>
                      <w:sz w:val="21"/>
                      <w:szCs w:val="21"/>
                    </w:rPr>
                  </w:pPr>
                  <w:r>
                    <w:rPr>
                      <w:color w:val="auto"/>
                      <w:kern w:val="0"/>
                      <w:sz w:val="21"/>
                      <w:szCs w:val="21"/>
                    </w:rPr>
                    <w:t>7</w:t>
                  </w:r>
                </w:p>
              </w:tc>
              <w:tc>
                <w:tcPr>
                  <w:tcW w:w="1608" w:type="pct"/>
                  <w:gridSpan w:val="2"/>
                  <w:tcBorders>
                    <w:top w:val="single" w:color="auto" w:sz="4" w:space="0"/>
                    <w:left w:val="single" w:color="auto" w:sz="4" w:space="0"/>
                    <w:bottom w:val="single" w:color="auto" w:sz="4" w:space="0"/>
                    <w:right w:val="single" w:color="auto" w:sz="4" w:space="0"/>
                  </w:tcBorders>
                  <w:vAlign w:val="center"/>
                </w:tcPr>
                <w:p w14:paraId="1E4F1D97">
                  <w:pPr>
                    <w:widowControl/>
                    <w:rPr>
                      <w:color w:val="auto"/>
                      <w:kern w:val="0"/>
                      <w:sz w:val="21"/>
                      <w:szCs w:val="21"/>
                    </w:rPr>
                  </w:pPr>
                  <w:r>
                    <w:rPr>
                      <w:rFonts w:hint="eastAsia"/>
                      <w:color w:val="auto"/>
                      <w:kern w:val="0"/>
                      <w:sz w:val="21"/>
                      <w:szCs w:val="21"/>
                    </w:rPr>
                    <w:t>小计</w:t>
                  </w:r>
                </w:p>
              </w:tc>
              <w:tc>
                <w:tcPr>
                  <w:tcW w:w="337" w:type="pct"/>
                  <w:tcBorders>
                    <w:top w:val="single" w:color="auto" w:sz="4" w:space="0"/>
                    <w:left w:val="single" w:color="auto" w:sz="4" w:space="0"/>
                    <w:bottom w:val="single" w:color="auto" w:sz="4" w:space="0"/>
                    <w:right w:val="single" w:color="auto" w:sz="4" w:space="0"/>
                  </w:tcBorders>
                  <w:vAlign w:val="center"/>
                </w:tcPr>
                <w:p w14:paraId="5C2EE293">
                  <w:pPr>
                    <w:widowControl/>
                    <w:jc w:val="center"/>
                    <w:rPr>
                      <w:color w:val="auto"/>
                      <w:kern w:val="0"/>
                      <w:sz w:val="21"/>
                      <w:szCs w:val="21"/>
                    </w:rPr>
                  </w:pPr>
                </w:p>
              </w:tc>
              <w:tc>
                <w:tcPr>
                  <w:tcW w:w="345" w:type="pct"/>
                  <w:tcBorders>
                    <w:top w:val="single" w:color="auto" w:sz="4" w:space="0"/>
                    <w:left w:val="single" w:color="auto" w:sz="4" w:space="0"/>
                    <w:bottom w:val="single" w:color="auto" w:sz="4" w:space="0"/>
                    <w:right w:val="single" w:color="auto" w:sz="4" w:space="0"/>
                  </w:tcBorders>
                  <w:vAlign w:val="center"/>
                </w:tcPr>
                <w:p w14:paraId="0DB70E80">
                  <w:pPr>
                    <w:widowControl/>
                    <w:jc w:val="center"/>
                    <w:rPr>
                      <w:color w:val="auto"/>
                      <w:kern w:val="0"/>
                      <w:sz w:val="21"/>
                      <w:szCs w:val="21"/>
                    </w:rPr>
                  </w:pPr>
                </w:p>
              </w:tc>
              <w:tc>
                <w:tcPr>
                  <w:tcW w:w="683" w:type="pct"/>
                  <w:tcBorders>
                    <w:top w:val="single" w:color="auto" w:sz="4" w:space="0"/>
                    <w:left w:val="single" w:color="auto" w:sz="4" w:space="0"/>
                    <w:bottom w:val="single" w:color="auto" w:sz="4" w:space="0"/>
                    <w:right w:val="single" w:color="auto" w:sz="4" w:space="0"/>
                  </w:tcBorders>
                  <w:vAlign w:val="center"/>
                </w:tcPr>
                <w:p w14:paraId="42B409F5">
                  <w:pPr>
                    <w:widowControl/>
                    <w:jc w:val="center"/>
                    <w:rPr>
                      <w:rFonts w:hint="default" w:eastAsia="宋体"/>
                      <w:color w:val="auto"/>
                      <w:kern w:val="0"/>
                      <w:sz w:val="21"/>
                      <w:szCs w:val="21"/>
                      <w:lang w:val="en-US" w:eastAsia="zh-CN"/>
                    </w:rPr>
                  </w:pPr>
                  <w:r>
                    <w:rPr>
                      <w:rFonts w:hint="eastAsia"/>
                      <w:color w:val="auto"/>
                      <w:kern w:val="0"/>
                      <w:sz w:val="21"/>
                      <w:szCs w:val="21"/>
                      <w:lang w:val="en-US" w:eastAsia="zh-CN"/>
                    </w:rPr>
                    <w:t>445</w:t>
                  </w:r>
                </w:p>
              </w:tc>
              <w:tc>
                <w:tcPr>
                  <w:tcW w:w="1079" w:type="pct"/>
                  <w:tcBorders>
                    <w:top w:val="single" w:color="auto" w:sz="4" w:space="0"/>
                    <w:left w:val="single" w:color="auto" w:sz="4" w:space="0"/>
                    <w:bottom w:val="single" w:color="auto" w:sz="4" w:space="0"/>
                    <w:right w:val="single" w:color="auto" w:sz="4" w:space="0"/>
                  </w:tcBorders>
                  <w:vAlign w:val="center"/>
                </w:tcPr>
                <w:p w14:paraId="0FEEE475">
                  <w:pPr>
                    <w:widowControl/>
                    <w:jc w:val="left"/>
                    <w:rPr>
                      <w:color w:val="0070C0"/>
                      <w:kern w:val="0"/>
                      <w:sz w:val="21"/>
                      <w:szCs w:val="21"/>
                    </w:rPr>
                  </w:pPr>
                </w:p>
              </w:tc>
              <w:tc>
                <w:tcPr>
                  <w:tcW w:w="641" w:type="pct"/>
                  <w:tcBorders>
                    <w:top w:val="single" w:color="auto" w:sz="4" w:space="0"/>
                    <w:left w:val="single" w:color="auto" w:sz="4" w:space="0"/>
                    <w:bottom w:val="single" w:color="auto" w:sz="4" w:space="0"/>
                    <w:right w:val="single" w:color="auto" w:sz="4" w:space="0"/>
                  </w:tcBorders>
                  <w:vAlign w:val="center"/>
                </w:tcPr>
                <w:p w14:paraId="4C87EAB4">
                  <w:pPr>
                    <w:widowControl/>
                    <w:jc w:val="left"/>
                    <w:rPr>
                      <w:color w:val="0070C0"/>
                      <w:kern w:val="0"/>
                      <w:sz w:val="21"/>
                      <w:szCs w:val="21"/>
                    </w:rPr>
                  </w:pPr>
                </w:p>
              </w:tc>
            </w:tr>
            <w:tr w14:paraId="108B8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302" w:type="pct"/>
                  <w:tcBorders>
                    <w:top w:val="single" w:color="auto" w:sz="4" w:space="0"/>
                    <w:left w:val="single" w:color="auto" w:sz="4" w:space="0"/>
                    <w:bottom w:val="single" w:color="auto" w:sz="4" w:space="0"/>
                    <w:right w:val="single" w:color="auto" w:sz="4" w:space="0"/>
                  </w:tcBorders>
                  <w:vAlign w:val="center"/>
                </w:tcPr>
                <w:p w14:paraId="70059425">
                  <w:pPr>
                    <w:widowControl/>
                    <w:jc w:val="center"/>
                    <w:rPr>
                      <w:color w:val="auto"/>
                      <w:kern w:val="0"/>
                      <w:sz w:val="21"/>
                      <w:szCs w:val="21"/>
                    </w:rPr>
                  </w:pPr>
                  <w:r>
                    <w:rPr>
                      <w:rFonts w:hint="eastAsia"/>
                      <w:color w:val="auto"/>
                      <w:kern w:val="0"/>
                      <w:sz w:val="21"/>
                      <w:szCs w:val="21"/>
                    </w:rPr>
                    <w:t>三</w:t>
                  </w:r>
                </w:p>
              </w:tc>
              <w:tc>
                <w:tcPr>
                  <w:tcW w:w="1608" w:type="pct"/>
                  <w:gridSpan w:val="2"/>
                  <w:tcBorders>
                    <w:top w:val="single" w:color="auto" w:sz="4" w:space="0"/>
                    <w:left w:val="single" w:color="auto" w:sz="4" w:space="0"/>
                    <w:bottom w:val="single" w:color="auto" w:sz="4" w:space="0"/>
                    <w:right w:val="single" w:color="auto" w:sz="4" w:space="0"/>
                  </w:tcBorders>
                  <w:vAlign w:val="center"/>
                </w:tcPr>
                <w:p w14:paraId="2111405C">
                  <w:pPr>
                    <w:widowControl/>
                    <w:rPr>
                      <w:color w:val="auto"/>
                      <w:kern w:val="0"/>
                      <w:sz w:val="21"/>
                      <w:szCs w:val="21"/>
                    </w:rPr>
                  </w:pPr>
                  <w:r>
                    <w:rPr>
                      <w:rFonts w:hint="eastAsia"/>
                      <w:color w:val="auto"/>
                      <w:kern w:val="0"/>
                      <w:sz w:val="21"/>
                      <w:szCs w:val="21"/>
                    </w:rPr>
                    <w:t>总计</w:t>
                  </w:r>
                </w:p>
              </w:tc>
              <w:tc>
                <w:tcPr>
                  <w:tcW w:w="337" w:type="pct"/>
                  <w:tcBorders>
                    <w:top w:val="single" w:color="auto" w:sz="4" w:space="0"/>
                    <w:left w:val="single" w:color="auto" w:sz="4" w:space="0"/>
                    <w:bottom w:val="single" w:color="auto" w:sz="4" w:space="0"/>
                    <w:right w:val="single" w:color="auto" w:sz="4" w:space="0"/>
                  </w:tcBorders>
                  <w:vAlign w:val="center"/>
                </w:tcPr>
                <w:p w14:paraId="2DDED912">
                  <w:pPr>
                    <w:widowControl/>
                    <w:jc w:val="center"/>
                    <w:rPr>
                      <w:color w:val="auto"/>
                      <w:kern w:val="0"/>
                      <w:sz w:val="21"/>
                      <w:szCs w:val="21"/>
                    </w:rPr>
                  </w:pPr>
                </w:p>
              </w:tc>
              <w:tc>
                <w:tcPr>
                  <w:tcW w:w="345" w:type="pct"/>
                  <w:tcBorders>
                    <w:top w:val="single" w:color="auto" w:sz="4" w:space="0"/>
                    <w:left w:val="single" w:color="auto" w:sz="4" w:space="0"/>
                    <w:bottom w:val="single" w:color="auto" w:sz="4" w:space="0"/>
                    <w:right w:val="single" w:color="auto" w:sz="4" w:space="0"/>
                  </w:tcBorders>
                  <w:vAlign w:val="center"/>
                </w:tcPr>
                <w:p w14:paraId="593A6499">
                  <w:pPr>
                    <w:widowControl/>
                    <w:jc w:val="center"/>
                    <w:rPr>
                      <w:color w:val="auto"/>
                      <w:kern w:val="0"/>
                      <w:sz w:val="21"/>
                      <w:szCs w:val="21"/>
                    </w:rPr>
                  </w:pPr>
                </w:p>
              </w:tc>
              <w:tc>
                <w:tcPr>
                  <w:tcW w:w="683" w:type="pct"/>
                  <w:tcBorders>
                    <w:top w:val="single" w:color="auto" w:sz="4" w:space="0"/>
                    <w:left w:val="single" w:color="auto" w:sz="4" w:space="0"/>
                    <w:bottom w:val="single" w:color="auto" w:sz="4" w:space="0"/>
                    <w:right w:val="single" w:color="auto" w:sz="4" w:space="0"/>
                  </w:tcBorders>
                  <w:vAlign w:val="center"/>
                </w:tcPr>
                <w:p w14:paraId="3032325A">
                  <w:pPr>
                    <w:widowControl/>
                    <w:jc w:val="center"/>
                    <w:rPr>
                      <w:rFonts w:hint="default" w:eastAsia="宋体"/>
                      <w:color w:val="auto"/>
                      <w:kern w:val="0"/>
                      <w:sz w:val="21"/>
                      <w:szCs w:val="21"/>
                      <w:lang w:val="en-US" w:eastAsia="zh-CN"/>
                    </w:rPr>
                  </w:pPr>
                  <w:r>
                    <w:rPr>
                      <w:rFonts w:hint="eastAsia"/>
                      <w:color w:val="auto"/>
                      <w:kern w:val="0"/>
                      <w:sz w:val="21"/>
                      <w:szCs w:val="21"/>
                      <w:lang w:val="en-US" w:eastAsia="zh-CN"/>
                    </w:rPr>
                    <w:t>5197</w:t>
                  </w:r>
                </w:p>
              </w:tc>
              <w:tc>
                <w:tcPr>
                  <w:tcW w:w="1079" w:type="pct"/>
                  <w:tcBorders>
                    <w:top w:val="single" w:color="auto" w:sz="4" w:space="0"/>
                    <w:left w:val="single" w:color="auto" w:sz="4" w:space="0"/>
                    <w:bottom w:val="single" w:color="auto" w:sz="4" w:space="0"/>
                    <w:right w:val="single" w:color="auto" w:sz="4" w:space="0"/>
                  </w:tcBorders>
                  <w:vAlign w:val="center"/>
                </w:tcPr>
                <w:p w14:paraId="10C26856">
                  <w:pPr>
                    <w:widowControl/>
                    <w:jc w:val="left"/>
                    <w:rPr>
                      <w:color w:val="0070C0"/>
                      <w:kern w:val="0"/>
                      <w:sz w:val="21"/>
                      <w:szCs w:val="21"/>
                    </w:rPr>
                  </w:pPr>
                </w:p>
              </w:tc>
              <w:tc>
                <w:tcPr>
                  <w:tcW w:w="641" w:type="pct"/>
                  <w:tcBorders>
                    <w:top w:val="single" w:color="auto" w:sz="4" w:space="0"/>
                    <w:left w:val="single" w:color="auto" w:sz="4" w:space="0"/>
                    <w:bottom w:val="single" w:color="auto" w:sz="4" w:space="0"/>
                    <w:right w:val="single" w:color="auto" w:sz="4" w:space="0"/>
                  </w:tcBorders>
                  <w:vAlign w:val="center"/>
                </w:tcPr>
                <w:p w14:paraId="74C82F59">
                  <w:pPr>
                    <w:widowControl/>
                    <w:jc w:val="left"/>
                    <w:rPr>
                      <w:color w:val="0070C0"/>
                      <w:kern w:val="0"/>
                      <w:sz w:val="21"/>
                      <w:szCs w:val="21"/>
                    </w:rPr>
                  </w:pPr>
                </w:p>
              </w:tc>
            </w:tr>
          </w:tbl>
          <w:p w14:paraId="244EE9FD">
            <w:pPr>
              <w:adjustRightInd w:val="0"/>
              <w:snapToGrid w:val="0"/>
              <w:rPr>
                <w:bCs/>
                <w:color w:val="0070C0"/>
                <w:spacing w:val="10"/>
                <w:szCs w:val="21"/>
              </w:rPr>
            </w:pPr>
          </w:p>
          <w:p w14:paraId="520694C8">
            <w:pPr>
              <w:adjustRightInd w:val="0"/>
              <w:snapToGrid w:val="0"/>
              <w:rPr>
                <w:bCs/>
                <w:color w:val="0070C0"/>
                <w:spacing w:val="10"/>
                <w:szCs w:val="21"/>
              </w:rPr>
            </w:pPr>
          </w:p>
          <w:p w14:paraId="4131E797">
            <w:pPr>
              <w:adjustRightInd w:val="0"/>
              <w:snapToGrid w:val="0"/>
              <w:rPr>
                <w:bCs/>
                <w:color w:val="0070C0"/>
                <w:spacing w:val="10"/>
                <w:szCs w:val="21"/>
              </w:rPr>
            </w:pPr>
          </w:p>
          <w:p w14:paraId="2AB1855A">
            <w:pPr>
              <w:adjustRightInd w:val="0"/>
              <w:snapToGrid w:val="0"/>
              <w:rPr>
                <w:bCs/>
                <w:color w:val="0070C0"/>
                <w:spacing w:val="10"/>
                <w:szCs w:val="21"/>
              </w:rPr>
            </w:pPr>
          </w:p>
          <w:p w14:paraId="71E6DB8D">
            <w:pPr>
              <w:adjustRightInd w:val="0"/>
              <w:snapToGrid w:val="0"/>
              <w:rPr>
                <w:bCs/>
                <w:color w:val="0070C0"/>
                <w:spacing w:val="10"/>
                <w:szCs w:val="21"/>
              </w:rPr>
            </w:pPr>
          </w:p>
          <w:p w14:paraId="67DD8169">
            <w:pPr>
              <w:adjustRightInd w:val="0"/>
              <w:snapToGrid w:val="0"/>
              <w:rPr>
                <w:bCs/>
                <w:color w:val="0070C0"/>
                <w:spacing w:val="10"/>
                <w:szCs w:val="21"/>
              </w:rPr>
            </w:pPr>
          </w:p>
        </w:tc>
      </w:tr>
    </w:tbl>
    <w:p w14:paraId="04E9250F">
      <w:pPr>
        <w:rPr>
          <w:color w:val="0070C0"/>
        </w:rPr>
        <w:sectPr>
          <w:headerReference r:id="rId11" w:type="default"/>
          <w:pgSz w:w="11907" w:h="16840"/>
          <w:pgMar w:top="1418" w:right="1531" w:bottom="1701" w:left="1531" w:header="851" w:footer="1077" w:gutter="0"/>
          <w:pgBorders>
            <w:top w:val="none" w:sz="0" w:space="0"/>
            <w:left w:val="none" w:sz="0" w:space="0"/>
            <w:bottom w:val="none" w:sz="0" w:space="0"/>
            <w:right w:val="none" w:sz="0" w:space="0"/>
          </w:pgBorders>
          <w:cols w:space="425" w:num="1"/>
          <w:docGrid w:linePitch="312" w:charSpace="0"/>
        </w:sectPr>
      </w:pPr>
    </w:p>
    <w:p w14:paraId="7F3F73BB">
      <w:pPr>
        <w:pStyle w:val="20"/>
        <w:jc w:val="center"/>
        <w:outlineLvl w:val="0"/>
        <w:rPr>
          <w:rFonts w:ascii="Times New Roman" w:hAnsi="Times New Roman" w:eastAsia="黑体"/>
          <w:snapToGrid w:val="0"/>
          <w:color w:val="auto"/>
          <w:sz w:val="30"/>
          <w:szCs w:val="30"/>
        </w:rPr>
      </w:pPr>
      <w:r>
        <w:rPr>
          <w:rFonts w:ascii="Times New Roman" w:hAnsi="Times New Roman" w:eastAsia="黑体"/>
          <w:snapToGrid w:val="0"/>
          <w:color w:val="auto"/>
          <w:sz w:val="30"/>
          <w:szCs w:val="30"/>
        </w:rPr>
        <w:t>六、生态环境保护措施监督检查清单</w:t>
      </w:r>
    </w:p>
    <w:tbl>
      <w:tblPr>
        <w:tblStyle w:val="22"/>
        <w:tblW w:w="5000" w:type="pct"/>
        <w:tblInd w:w="108"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923"/>
        <w:gridCol w:w="1884"/>
        <w:gridCol w:w="1696"/>
        <w:gridCol w:w="1796"/>
        <w:gridCol w:w="1761"/>
      </w:tblGrid>
      <w:tr w14:paraId="6BCB4C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61" w:type="pct"/>
            <w:vMerge w:val="restart"/>
            <w:tcBorders>
              <w:tl2br w:val="single" w:color="auto" w:sz="4" w:space="0"/>
            </w:tcBorders>
          </w:tcPr>
          <w:p w14:paraId="4047D17B">
            <w:pPr>
              <w:pStyle w:val="20"/>
              <w:adjustRightInd w:val="0"/>
              <w:spacing w:before="72" w:beforeLines="30" w:beforeAutospacing="0" w:after="0" w:afterAutospacing="0"/>
              <w:jc w:val="center"/>
              <w:outlineLvl w:val="0"/>
              <w:rPr>
                <w:rFonts w:ascii="Times New Roman" w:hAnsi="Times New Roman" w:eastAsiaTheme="minorEastAsia"/>
                <w:color w:val="auto"/>
                <w:kern w:val="2"/>
                <w:sz w:val="21"/>
                <w:szCs w:val="21"/>
              </w:rPr>
            </w:pPr>
            <w:r>
              <w:rPr>
                <w:rFonts w:ascii="Times New Roman" w:hAnsi="Times New Roman" w:eastAsiaTheme="minorEastAsia"/>
                <w:color w:val="auto"/>
                <w:kern w:val="2"/>
                <w:sz w:val="21"/>
                <w:szCs w:val="21"/>
              </w:rPr>
              <w:t xml:space="preserve">       </w:t>
            </w:r>
          </w:p>
          <w:p w14:paraId="1E3C41F7">
            <w:pPr>
              <w:pStyle w:val="20"/>
              <w:adjustRightInd w:val="0"/>
              <w:spacing w:before="72" w:beforeLines="30" w:beforeAutospacing="0" w:after="0" w:afterAutospacing="0"/>
              <w:jc w:val="center"/>
              <w:outlineLvl w:val="0"/>
              <w:rPr>
                <w:rFonts w:ascii="Times New Roman" w:hAnsi="Times New Roman" w:eastAsiaTheme="minorEastAsia"/>
                <w:color w:val="auto"/>
                <w:kern w:val="2"/>
                <w:sz w:val="21"/>
                <w:szCs w:val="21"/>
              </w:rPr>
            </w:pPr>
            <w:r>
              <w:rPr>
                <w:rFonts w:ascii="Times New Roman" w:hAnsi="Times New Roman" w:eastAsiaTheme="minorEastAsia"/>
                <w:color w:val="auto"/>
                <w:kern w:val="2"/>
                <w:sz w:val="21"/>
                <w:szCs w:val="21"/>
              </w:rPr>
              <w:t xml:space="preserve">           </w:t>
            </w:r>
            <w:r>
              <w:rPr>
                <w:rFonts w:ascii="Times New Roman" w:hAnsiTheme="minorEastAsia" w:eastAsiaTheme="minorEastAsia"/>
                <w:color w:val="auto"/>
                <w:kern w:val="2"/>
                <w:sz w:val="21"/>
                <w:szCs w:val="21"/>
              </w:rPr>
              <w:t>内容</w:t>
            </w:r>
          </w:p>
          <w:p w14:paraId="08BB51E3">
            <w:pPr>
              <w:pStyle w:val="20"/>
              <w:adjustRightInd w:val="0"/>
              <w:spacing w:before="0" w:beforeAutospacing="0" w:after="0" w:afterAutospacing="0"/>
              <w:outlineLvl w:val="0"/>
              <w:rPr>
                <w:rFonts w:ascii="Times New Roman" w:hAnsi="Times New Roman" w:eastAsiaTheme="minorEastAsia"/>
                <w:color w:val="auto"/>
                <w:kern w:val="2"/>
                <w:sz w:val="21"/>
                <w:szCs w:val="21"/>
              </w:rPr>
            </w:pPr>
            <w:r>
              <w:rPr>
                <w:rFonts w:ascii="Times New Roman" w:hAnsi="Times New Roman" w:eastAsiaTheme="minorEastAsia"/>
                <w:color w:val="auto"/>
                <w:kern w:val="2"/>
                <w:sz w:val="21"/>
                <w:szCs w:val="21"/>
              </w:rPr>
              <w:t xml:space="preserve">  </w:t>
            </w:r>
          </w:p>
          <w:p w14:paraId="15412AF0">
            <w:pPr>
              <w:pStyle w:val="20"/>
              <w:adjustRightInd w:val="0"/>
              <w:spacing w:before="0" w:beforeAutospacing="0" w:after="0" w:afterAutospacing="0"/>
              <w:outlineLvl w:val="0"/>
              <w:rPr>
                <w:rFonts w:ascii="Times New Roman" w:hAnsi="Times New Roman" w:eastAsiaTheme="minorEastAsia"/>
                <w:color w:val="auto"/>
                <w:kern w:val="2"/>
                <w:sz w:val="21"/>
                <w:szCs w:val="21"/>
              </w:rPr>
            </w:pPr>
            <w:r>
              <w:rPr>
                <w:rFonts w:ascii="Times New Roman" w:hAnsiTheme="minorEastAsia" w:eastAsiaTheme="minorEastAsia"/>
                <w:color w:val="auto"/>
                <w:kern w:val="2"/>
                <w:sz w:val="21"/>
                <w:szCs w:val="21"/>
              </w:rPr>
              <w:t>要素</w:t>
            </w:r>
          </w:p>
        </w:tc>
        <w:tc>
          <w:tcPr>
            <w:tcW w:w="1976" w:type="pct"/>
            <w:gridSpan w:val="2"/>
            <w:vAlign w:val="center"/>
          </w:tcPr>
          <w:p w14:paraId="0018F8E1">
            <w:pPr>
              <w:pStyle w:val="20"/>
              <w:adjustRightInd w:val="0"/>
              <w:spacing w:before="0" w:beforeAutospacing="0" w:after="0" w:afterAutospacing="0"/>
              <w:jc w:val="center"/>
              <w:outlineLvl w:val="0"/>
              <w:rPr>
                <w:rFonts w:ascii="Times New Roman" w:hAnsi="Times New Roman" w:eastAsiaTheme="minorEastAsia"/>
                <w:color w:val="auto"/>
                <w:kern w:val="2"/>
                <w:sz w:val="21"/>
                <w:szCs w:val="21"/>
              </w:rPr>
            </w:pPr>
            <w:r>
              <w:rPr>
                <w:rFonts w:ascii="Times New Roman" w:hAnsiTheme="minorEastAsia" w:eastAsiaTheme="minorEastAsia"/>
                <w:color w:val="auto"/>
                <w:kern w:val="2"/>
                <w:sz w:val="21"/>
                <w:szCs w:val="21"/>
              </w:rPr>
              <w:t>施工期</w:t>
            </w:r>
          </w:p>
        </w:tc>
        <w:tc>
          <w:tcPr>
            <w:tcW w:w="1963" w:type="pct"/>
            <w:gridSpan w:val="2"/>
            <w:vAlign w:val="center"/>
          </w:tcPr>
          <w:p w14:paraId="59109259">
            <w:pPr>
              <w:pStyle w:val="20"/>
              <w:adjustRightInd w:val="0"/>
              <w:spacing w:before="0" w:beforeAutospacing="0" w:after="0" w:afterAutospacing="0"/>
              <w:jc w:val="center"/>
              <w:outlineLvl w:val="0"/>
              <w:rPr>
                <w:rFonts w:ascii="Times New Roman" w:hAnsi="Times New Roman" w:eastAsiaTheme="minorEastAsia"/>
                <w:color w:val="auto"/>
                <w:kern w:val="2"/>
                <w:sz w:val="21"/>
                <w:szCs w:val="21"/>
              </w:rPr>
            </w:pPr>
            <w:r>
              <w:rPr>
                <w:rFonts w:ascii="Times New Roman" w:hAnsiTheme="minorEastAsia" w:eastAsiaTheme="minorEastAsia"/>
                <w:color w:val="auto"/>
                <w:kern w:val="2"/>
                <w:sz w:val="21"/>
                <w:szCs w:val="21"/>
              </w:rPr>
              <w:t>运营期</w:t>
            </w:r>
          </w:p>
        </w:tc>
      </w:tr>
      <w:tr w14:paraId="684815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1061" w:type="pct"/>
            <w:vMerge w:val="continue"/>
          </w:tcPr>
          <w:p w14:paraId="7143C99B">
            <w:pPr>
              <w:pStyle w:val="20"/>
              <w:adjustRightInd w:val="0"/>
              <w:spacing w:before="0" w:beforeAutospacing="0" w:after="0" w:afterAutospacing="0"/>
              <w:ind w:firstLine="840"/>
              <w:jc w:val="center"/>
              <w:outlineLvl w:val="0"/>
              <w:rPr>
                <w:rFonts w:ascii="Times New Roman" w:hAnsi="Times New Roman" w:eastAsiaTheme="minorEastAsia"/>
                <w:color w:val="auto"/>
                <w:kern w:val="2"/>
                <w:sz w:val="21"/>
                <w:szCs w:val="21"/>
              </w:rPr>
            </w:pPr>
          </w:p>
        </w:tc>
        <w:tc>
          <w:tcPr>
            <w:tcW w:w="1040" w:type="pct"/>
            <w:vAlign w:val="center"/>
          </w:tcPr>
          <w:p w14:paraId="509A352C">
            <w:pPr>
              <w:pStyle w:val="20"/>
              <w:adjustRightInd w:val="0"/>
              <w:spacing w:before="0" w:beforeAutospacing="0" w:after="0" w:afterAutospacing="0"/>
              <w:jc w:val="center"/>
              <w:outlineLvl w:val="0"/>
              <w:rPr>
                <w:rFonts w:ascii="Times New Roman" w:hAnsi="Times New Roman" w:eastAsiaTheme="minorEastAsia"/>
                <w:color w:val="auto"/>
                <w:kern w:val="2"/>
                <w:sz w:val="21"/>
                <w:szCs w:val="21"/>
              </w:rPr>
            </w:pPr>
            <w:r>
              <w:rPr>
                <w:rFonts w:ascii="Times New Roman" w:hAnsiTheme="minorEastAsia" w:eastAsiaTheme="minorEastAsia"/>
                <w:color w:val="auto"/>
                <w:kern w:val="2"/>
                <w:sz w:val="21"/>
                <w:szCs w:val="21"/>
              </w:rPr>
              <w:t>环境保护措施</w:t>
            </w:r>
          </w:p>
        </w:tc>
        <w:tc>
          <w:tcPr>
            <w:tcW w:w="935" w:type="pct"/>
            <w:vAlign w:val="center"/>
          </w:tcPr>
          <w:p w14:paraId="46F6A82F">
            <w:pPr>
              <w:pStyle w:val="20"/>
              <w:adjustRightInd w:val="0"/>
              <w:spacing w:before="0" w:beforeAutospacing="0" w:after="0" w:afterAutospacing="0"/>
              <w:jc w:val="center"/>
              <w:outlineLvl w:val="0"/>
              <w:rPr>
                <w:rFonts w:ascii="Times New Roman" w:hAnsi="Times New Roman" w:eastAsiaTheme="minorEastAsia"/>
                <w:color w:val="auto"/>
                <w:kern w:val="2"/>
                <w:sz w:val="21"/>
                <w:szCs w:val="21"/>
              </w:rPr>
            </w:pPr>
            <w:r>
              <w:rPr>
                <w:rFonts w:ascii="Times New Roman" w:hAnsiTheme="minorEastAsia" w:eastAsiaTheme="minorEastAsia"/>
                <w:color w:val="auto"/>
                <w:kern w:val="2"/>
                <w:sz w:val="21"/>
                <w:szCs w:val="21"/>
              </w:rPr>
              <w:t>验收要求</w:t>
            </w:r>
          </w:p>
        </w:tc>
        <w:tc>
          <w:tcPr>
            <w:tcW w:w="991" w:type="pct"/>
            <w:vAlign w:val="center"/>
          </w:tcPr>
          <w:p w14:paraId="7F9EECAF">
            <w:pPr>
              <w:pStyle w:val="20"/>
              <w:adjustRightInd w:val="0"/>
              <w:spacing w:before="0" w:beforeAutospacing="0" w:after="0" w:afterAutospacing="0"/>
              <w:jc w:val="center"/>
              <w:outlineLvl w:val="0"/>
              <w:rPr>
                <w:rFonts w:ascii="Times New Roman" w:hAnsi="Times New Roman" w:eastAsiaTheme="minorEastAsia"/>
                <w:color w:val="auto"/>
                <w:kern w:val="2"/>
                <w:sz w:val="21"/>
                <w:szCs w:val="21"/>
              </w:rPr>
            </w:pPr>
            <w:r>
              <w:rPr>
                <w:rFonts w:ascii="Times New Roman" w:hAnsiTheme="minorEastAsia" w:eastAsiaTheme="minorEastAsia"/>
                <w:color w:val="auto"/>
                <w:kern w:val="2"/>
                <w:sz w:val="21"/>
                <w:szCs w:val="21"/>
              </w:rPr>
              <w:t>环境保护措施</w:t>
            </w:r>
          </w:p>
        </w:tc>
        <w:tc>
          <w:tcPr>
            <w:tcW w:w="972" w:type="pct"/>
            <w:vAlign w:val="center"/>
          </w:tcPr>
          <w:p w14:paraId="0EEAFF12">
            <w:pPr>
              <w:pStyle w:val="20"/>
              <w:adjustRightInd w:val="0"/>
              <w:spacing w:before="0" w:beforeAutospacing="0" w:after="0" w:afterAutospacing="0"/>
              <w:jc w:val="center"/>
              <w:outlineLvl w:val="0"/>
              <w:rPr>
                <w:rFonts w:ascii="Times New Roman" w:hAnsi="Times New Roman" w:eastAsiaTheme="minorEastAsia"/>
                <w:color w:val="auto"/>
                <w:kern w:val="2"/>
                <w:sz w:val="21"/>
                <w:szCs w:val="21"/>
              </w:rPr>
            </w:pPr>
            <w:r>
              <w:rPr>
                <w:rFonts w:ascii="Times New Roman" w:hAnsiTheme="minorEastAsia" w:eastAsiaTheme="minorEastAsia"/>
                <w:color w:val="auto"/>
                <w:kern w:val="2"/>
                <w:sz w:val="21"/>
                <w:szCs w:val="21"/>
              </w:rPr>
              <w:t>验收要求</w:t>
            </w:r>
          </w:p>
        </w:tc>
      </w:tr>
      <w:tr w14:paraId="2E3B42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61" w:type="pct"/>
            <w:vAlign w:val="center"/>
          </w:tcPr>
          <w:p w14:paraId="305A9B6F">
            <w:pPr>
              <w:adjustRightInd w:val="0"/>
              <w:jc w:val="center"/>
              <w:rPr>
                <w:rFonts w:eastAsiaTheme="minorEastAsia"/>
                <w:color w:val="0070C0"/>
                <w:szCs w:val="21"/>
              </w:rPr>
            </w:pPr>
            <w:r>
              <w:rPr>
                <w:rFonts w:hAnsiTheme="minorEastAsia" w:eastAsiaTheme="minorEastAsia"/>
                <w:color w:val="auto"/>
                <w:szCs w:val="21"/>
              </w:rPr>
              <w:t>陆生生态</w:t>
            </w:r>
          </w:p>
        </w:tc>
        <w:tc>
          <w:tcPr>
            <w:tcW w:w="1040" w:type="pct"/>
            <w:vAlign w:val="center"/>
          </w:tcPr>
          <w:p w14:paraId="1F09C386">
            <w:pPr>
              <w:autoSpaceDE w:val="0"/>
              <w:autoSpaceDN w:val="0"/>
              <w:adjustRightInd w:val="0"/>
              <w:spacing w:line="260" w:lineRule="exact"/>
              <w:rPr>
                <w:rFonts w:eastAsiaTheme="minorEastAsia"/>
                <w:color w:val="auto"/>
                <w:spacing w:val="-2"/>
                <w:kern w:val="0"/>
                <w:szCs w:val="21"/>
              </w:rPr>
            </w:pPr>
            <w:r>
              <w:rPr>
                <w:rFonts w:hAnsiTheme="minorEastAsia" w:eastAsiaTheme="minorEastAsia"/>
                <w:color w:val="auto"/>
                <w:spacing w:val="-2"/>
                <w:kern w:val="0"/>
                <w:szCs w:val="21"/>
              </w:rPr>
              <w:t>加强施工管理，严格按照划定的道路红线施工并采取防护措施，不得超</w:t>
            </w:r>
            <w:r>
              <w:rPr>
                <w:rFonts w:hint="eastAsia" w:hAnsiTheme="minorEastAsia" w:eastAsiaTheme="minorEastAsia"/>
                <w:color w:val="auto"/>
                <w:spacing w:val="-2"/>
                <w:kern w:val="0"/>
                <w:szCs w:val="21"/>
                <w:lang w:val="en-US" w:eastAsia="zh-CN"/>
              </w:rPr>
              <w:t>越</w:t>
            </w:r>
            <w:r>
              <w:rPr>
                <w:rFonts w:hAnsiTheme="minorEastAsia" w:eastAsiaTheme="minorEastAsia"/>
                <w:color w:val="auto"/>
                <w:spacing w:val="-2"/>
                <w:kern w:val="0"/>
                <w:szCs w:val="21"/>
              </w:rPr>
              <w:t>界线；分段施工</w:t>
            </w:r>
            <w:r>
              <w:rPr>
                <w:rFonts w:hint="eastAsia" w:hAnsiTheme="minorEastAsia" w:eastAsiaTheme="minorEastAsia"/>
                <w:color w:val="auto"/>
                <w:spacing w:val="-2"/>
                <w:kern w:val="0"/>
                <w:szCs w:val="21"/>
                <w:lang w:val="en-US" w:eastAsia="zh-CN"/>
              </w:rPr>
              <w:t>并</w:t>
            </w:r>
            <w:r>
              <w:rPr>
                <w:rFonts w:hAnsiTheme="minorEastAsia" w:eastAsiaTheme="minorEastAsia"/>
                <w:color w:val="auto"/>
                <w:spacing w:val="-2"/>
                <w:kern w:val="0"/>
                <w:szCs w:val="21"/>
              </w:rPr>
              <w:t>及时回填，临时堆土表面及时采用临时防护措施，防止水土流失；施工结束后做好施工占地的生态恢复，进行道路的绿化恢复工作，进行生态补偿</w:t>
            </w:r>
            <w:r>
              <w:rPr>
                <w:rFonts w:hAnsiTheme="minorEastAsia" w:eastAsiaTheme="minorEastAsia"/>
                <w:color w:val="auto"/>
                <w:spacing w:val="-2"/>
                <w:szCs w:val="21"/>
              </w:rPr>
              <w:t>；</w:t>
            </w:r>
            <w:r>
              <w:rPr>
                <w:rFonts w:hint="eastAsia" w:hAnsiTheme="minorEastAsia" w:eastAsiaTheme="minorEastAsia"/>
                <w:color w:val="auto"/>
                <w:spacing w:val="-2"/>
                <w:szCs w:val="21"/>
                <w:lang w:val="en-US" w:eastAsia="zh-CN"/>
              </w:rPr>
              <w:t>耕地及基本农田内严禁</w:t>
            </w:r>
            <w:r>
              <w:rPr>
                <w:rFonts w:hAnsiTheme="minorEastAsia" w:eastAsiaTheme="minorEastAsia"/>
                <w:color w:val="auto"/>
                <w:spacing w:val="-2"/>
                <w:szCs w:val="21"/>
              </w:rPr>
              <w:t>设置取土场、弃渣场、预制场、拌合站、施工营地等临时工程。</w:t>
            </w:r>
          </w:p>
        </w:tc>
        <w:tc>
          <w:tcPr>
            <w:tcW w:w="935" w:type="pct"/>
            <w:vAlign w:val="center"/>
          </w:tcPr>
          <w:p w14:paraId="549EA91F">
            <w:pPr>
              <w:autoSpaceDE w:val="0"/>
              <w:autoSpaceDN w:val="0"/>
              <w:adjustRightInd w:val="0"/>
              <w:spacing w:line="260" w:lineRule="exact"/>
              <w:rPr>
                <w:rFonts w:hint="default" w:eastAsiaTheme="minorEastAsia"/>
                <w:color w:val="auto"/>
                <w:kern w:val="0"/>
                <w:szCs w:val="21"/>
                <w:lang w:val="en-US" w:eastAsia="zh-CN"/>
              </w:rPr>
            </w:pPr>
            <w:r>
              <w:rPr>
                <w:rFonts w:hint="eastAsia" w:hAnsiTheme="minorEastAsia" w:eastAsiaTheme="minorEastAsia"/>
                <w:color w:val="auto"/>
                <w:kern w:val="0"/>
                <w:szCs w:val="21"/>
              </w:rPr>
              <w:t>施工边界严格按红线管控，无超占农田、防风固沙植被；6.5km 沙化路段原生砾幕层完整留存，无大面积破坏</w:t>
            </w:r>
            <w:r>
              <w:rPr>
                <w:rFonts w:hAnsiTheme="minorEastAsia" w:eastAsiaTheme="minorEastAsia"/>
                <w:color w:val="auto"/>
                <w:szCs w:val="21"/>
              </w:rPr>
              <w:t>。</w:t>
            </w:r>
            <w:r>
              <w:rPr>
                <w:rFonts w:hint="eastAsia" w:hAnsiTheme="minorEastAsia" w:eastAsiaTheme="minorEastAsia"/>
                <w:color w:val="auto"/>
                <w:szCs w:val="21"/>
              </w:rPr>
              <w:t>耕地表层土剥离≥30cm、集中堆存并采取拦挡、防尘覆盖措施，全部用于后期复垦绿化，无随意弃置表土</w:t>
            </w:r>
            <w:r>
              <w:rPr>
                <w:rFonts w:hint="eastAsia" w:hAnsiTheme="minorEastAsia" w:eastAsiaTheme="minorEastAsia"/>
                <w:color w:val="auto"/>
                <w:szCs w:val="21"/>
                <w:lang w:eastAsia="zh-CN"/>
              </w:rPr>
              <w:t>。</w:t>
            </w:r>
            <w:r>
              <w:rPr>
                <w:rFonts w:hint="eastAsia" w:hAnsiTheme="minorEastAsia" w:eastAsiaTheme="minorEastAsia"/>
                <w:color w:val="auto"/>
                <w:szCs w:val="21"/>
                <w:lang w:val="en-US" w:eastAsia="zh-CN"/>
              </w:rPr>
              <w:t>施工避开鸟类、鱼类繁殖季节；沿线生态保护宣传标识设置到位；临时用地均已完成生态恢复。</w:t>
            </w:r>
          </w:p>
        </w:tc>
        <w:tc>
          <w:tcPr>
            <w:tcW w:w="991" w:type="pct"/>
            <w:vAlign w:val="center"/>
          </w:tcPr>
          <w:p w14:paraId="65CAE200">
            <w:pPr>
              <w:adjustRightInd w:val="0"/>
              <w:spacing w:line="260" w:lineRule="exact"/>
              <w:rPr>
                <w:rFonts w:eastAsiaTheme="minorEastAsia"/>
                <w:color w:val="0070C0"/>
                <w:szCs w:val="21"/>
              </w:rPr>
            </w:pPr>
            <w:r>
              <w:rPr>
                <w:rFonts w:hAnsiTheme="minorEastAsia" w:eastAsiaTheme="minorEastAsia"/>
                <w:color w:val="auto"/>
                <w:spacing w:val="4"/>
                <w:szCs w:val="21"/>
              </w:rPr>
              <w:t>加强对绿化植物的管理与养护。</w:t>
            </w:r>
          </w:p>
        </w:tc>
        <w:tc>
          <w:tcPr>
            <w:tcW w:w="972" w:type="pct"/>
            <w:vAlign w:val="center"/>
          </w:tcPr>
          <w:p w14:paraId="334D0EBD">
            <w:pPr>
              <w:autoSpaceDE w:val="0"/>
              <w:autoSpaceDN w:val="0"/>
              <w:adjustRightInd w:val="0"/>
              <w:rPr>
                <w:rFonts w:eastAsiaTheme="minorEastAsia"/>
                <w:color w:val="auto"/>
                <w:kern w:val="0"/>
                <w:szCs w:val="21"/>
              </w:rPr>
            </w:pPr>
            <w:r>
              <w:rPr>
                <w:rFonts w:hAnsiTheme="minorEastAsia" w:eastAsiaTheme="minorEastAsia"/>
                <w:color w:val="auto"/>
                <w:kern w:val="0"/>
                <w:szCs w:val="21"/>
              </w:rPr>
              <w:t>道路两侧景观绿化带及行道树等已</w:t>
            </w:r>
            <w:r>
              <w:rPr>
                <w:rFonts w:hint="eastAsia" w:hAnsiTheme="minorEastAsia" w:eastAsiaTheme="minorEastAsia"/>
                <w:color w:val="auto"/>
                <w:kern w:val="0"/>
                <w:szCs w:val="21"/>
                <w:lang w:val="en-US" w:eastAsia="zh-CN"/>
              </w:rPr>
              <w:t>种植且</w:t>
            </w:r>
            <w:r>
              <w:rPr>
                <w:rFonts w:hAnsiTheme="minorEastAsia" w:eastAsiaTheme="minorEastAsia"/>
                <w:color w:val="auto"/>
                <w:kern w:val="0"/>
                <w:szCs w:val="21"/>
              </w:rPr>
              <w:t>植物生长</w:t>
            </w:r>
            <w:r>
              <w:rPr>
                <w:rFonts w:hint="eastAsia" w:hAnsiTheme="minorEastAsia" w:eastAsiaTheme="minorEastAsia"/>
                <w:color w:val="auto"/>
                <w:kern w:val="0"/>
                <w:szCs w:val="21"/>
                <w:lang w:val="en-US" w:eastAsia="zh-CN"/>
              </w:rPr>
              <w:t>状态</w:t>
            </w:r>
            <w:r>
              <w:rPr>
                <w:rFonts w:hAnsiTheme="minorEastAsia" w:eastAsiaTheme="minorEastAsia"/>
                <w:color w:val="auto"/>
                <w:kern w:val="0"/>
                <w:szCs w:val="21"/>
              </w:rPr>
              <w:t>良好；临时施工占地已复绿；各水土流失设施如路基排水系统等已按设计要求完善；道路两侧护坡、边坡已进行防护处理、绿化恢复植被</w:t>
            </w:r>
            <w:r>
              <w:rPr>
                <w:rFonts w:hAnsiTheme="minorEastAsia" w:eastAsiaTheme="minorEastAsia"/>
                <w:color w:val="auto"/>
                <w:spacing w:val="4"/>
                <w:szCs w:val="21"/>
              </w:rPr>
              <w:t>。</w:t>
            </w:r>
            <w:r>
              <w:rPr>
                <w:rFonts w:hint="eastAsia" w:hAnsiTheme="minorEastAsia" w:eastAsiaTheme="minorEastAsia"/>
                <w:color w:val="auto"/>
                <w:spacing w:val="4"/>
                <w:szCs w:val="21"/>
              </w:rPr>
              <w:t>填方路段方格网护坡落实；沙化区域完成砾幕回铺与防风林建设，无新增风蚀沙化地块。</w:t>
            </w:r>
          </w:p>
        </w:tc>
      </w:tr>
      <w:tr w14:paraId="6BFB06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61" w:type="pct"/>
            <w:vAlign w:val="center"/>
          </w:tcPr>
          <w:p w14:paraId="326D3A6F">
            <w:pPr>
              <w:adjustRightInd w:val="0"/>
              <w:jc w:val="center"/>
              <w:rPr>
                <w:rFonts w:eastAsiaTheme="minorEastAsia"/>
                <w:color w:val="auto"/>
                <w:szCs w:val="21"/>
              </w:rPr>
            </w:pPr>
            <w:r>
              <w:rPr>
                <w:rFonts w:hAnsiTheme="minorEastAsia" w:eastAsiaTheme="minorEastAsia"/>
                <w:color w:val="auto"/>
                <w:szCs w:val="21"/>
              </w:rPr>
              <w:t>水生生态</w:t>
            </w:r>
          </w:p>
        </w:tc>
        <w:tc>
          <w:tcPr>
            <w:tcW w:w="1040" w:type="pct"/>
            <w:vAlign w:val="center"/>
          </w:tcPr>
          <w:p w14:paraId="23676F98">
            <w:pPr>
              <w:adjustRightInd w:val="0"/>
              <w:spacing w:line="260" w:lineRule="exact"/>
              <w:rPr>
                <w:rFonts w:eastAsiaTheme="minorEastAsia"/>
                <w:color w:val="auto"/>
                <w:szCs w:val="21"/>
              </w:rPr>
            </w:pPr>
            <w:r>
              <w:rPr>
                <w:rFonts w:hAnsiTheme="minorEastAsia" w:eastAsiaTheme="minorEastAsia"/>
                <w:color w:val="auto"/>
                <w:szCs w:val="21"/>
              </w:rPr>
              <w:t>涉水工程采用围堰施工；施工各类废污水禁止排入沿线水体。</w:t>
            </w:r>
          </w:p>
        </w:tc>
        <w:tc>
          <w:tcPr>
            <w:tcW w:w="935" w:type="pct"/>
            <w:vAlign w:val="center"/>
          </w:tcPr>
          <w:p w14:paraId="5230E7B2">
            <w:pPr>
              <w:adjustRightInd w:val="0"/>
              <w:spacing w:line="260" w:lineRule="exact"/>
              <w:rPr>
                <w:rFonts w:hint="eastAsia" w:eastAsiaTheme="minorEastAsia"/>
                <w:color w:val="auto"/>
                <w:szCs w:val="21"/>
                <w:lang w:eastAsia="zh-CN"/>
              </w:rPr>
            </w:pPr>
            <w:r>
              <w:rPr>
                <w:rFonts w:hAnsiTheme="minorEastAsia" w:eastAsiaTheme="minorEastAsia"/>
                <w:color w:val="auto"/>
                <w:szCs w:val="21"/>
              </w:rPr>
              <w:t>采用围堰施工；</w:t>
            </w:r>
            <w:r>
              <w:rPr>
                <w:rFonts w:hint="eastAsia" w:hAnsiTheme="minorEastAsia" w:eastAsiaTheme="minorEastAsia"/>
                <w:color w:val="auto"/>
                <w:szCs w:val="21"/>
              </w:rPr>
              <w:t>鱼类繁殖期禁止水下高噪声作业</w:t>
            </w:r>
            <w:r>
              <w:rPr>
                <w:rFonts w:hint="eastAsia" w:hAnsiTheme="minorEastAsia" w:eastAsiaTheme="minorEastAsia"/>
                <w:color w:val="auto"/>
                <w:szCs w:val="21"/>
                <w:lang w:eastAsia="zh-CN"/>
              </w:rPr>
              <w:t>，</w:t>
            </w:r>
            <w:r>
              <w:rPr>
                <w:rFonts w:hint="eastAsia" w:hAnsiTheme="minorEastAsia" w:eastAsiaTheme="minorEastAsia"/>
                <w:color w:val="auto"/>
                <w:szCs w:val="21"/>
              </w:rPr>
              <w:t>桩基钻渣、废弃泥浆全部干化处置，严禁直接排入</w:t>
            </w:r>
            <w:r>
              <w:rPr>
                <w:rFonts w:hint="eastAsia" w:hAnsiTheme="minorEastAsia" w:eastAsiaTheme="minorEastAsia"/>
                <w:color w:val="auto"/>
                <w:szCs w:val="21"/>
                <w:lang w:eastAsia="zh-CN"/>
              </w:rPr>
              <w:t>水体1</w:t>
            </w:r>
            <w:r>
              <w:rPr>
                <w:rFonts w:hint="eastAsia" w:hAnsiTheme="minorEastAsia" w:eastAsiaTheme="minorEastAsia"/>
                <w:color w:val="auto"/>
                <w:szCs w:val="21"/>
              </w:rPr>
              <w:t>、</w:t>
            </w:r>
            <w:r>
              <w:rPr>
                <w:rFonts w:hint="eastAsia" w:hAnsiTheme="minorEastAsia" w:eastAsiaTheme="minorEastAsia"/>
                <w:color w:val="auto"/>
                <w:szCs w:val="21"/>
                <w:lang w:eastAsia="zh-CN"/>
              </w:rPr>
              <w:t>水体2</w:t>
            </w:r>
            <w:r>
              <w:rPr>
                <w:rFonts w:hint="eastAsia" w:hAnsiTheme="minorEastAsia" w:eastAsiaTheme="minorEastAsia"/>
                <w:color w:val="auto"/>
                <w:szCs w:val="21"/>
              </w:rPr>
              <w:t>，河道无弃渣、建筑垃圾堆积</w:t>
            </w:r>
            <w:r>
              <w:rPr>
                <w:rFonts w:hAnsiTheme="minorEastAsia" w:eastAsiaTheme="minorEastAsia"/>
                <w:color w:val="auto"/>
                <w:szCs w:val="21"/>
              </w:rPr>
              <w:t>。</w:t>
            </w:r>
            <w:r>
              <w:rPr>
                <w:rFonts w:hint="eastAsia" w:hAnsiTheme="minorEastAsia" w:eastAsiaTheme="minorEastAsia"/>
                <w:color w:val="auto"/>
                <w:szCs w:val="21"/>
              </w:rPr>
              <w:t>临时施工便桥、施工围堰完工全部拆除，河床原貌恢复，不压缩河道行洪断面</w:t>
            </w:r>
            <w:r>
              <w:rPr>
                <w:rFonts w:hint="eastAsia" w:hAnsiTheme="minorEastAsia" w:eastAsiaTheme="minorEastAsia"/>
                <w:color w:val="auto"/>
                <w:szCs w:val="21"/>
                <w:lang w:eastAsia="zh-CN"/>
              </w:rPr>
              <w:t>。</w:t>
            </w:r>
          </w:p>
        </w:tc>
        <w:tc>
          <w:tcPr>
            <w:tcW w:w="991" w:type="pct"/>
            <w:vAlign w:val="center"/>
          </w:tcPr>
          <w:p w14:paraId="39356A76">
            <w:pPr>
              <w:adjustRightInd w:val="0"/>
              <w:spacing w:line="260" w:lineRule="exact"/>
              <w:rPr>
                <w:rFonts w:eastAsiaTheme="minorEastAsia"/>
                <w:color w:val="auto"/>
                <w:szCs w:val="21"/>
              </w:rPr>
            </w:pPr>
            <w:r>
              <w:rPr>
                <w:rFonts w:eastAsiaTheme="minorEastAsia"/>
                <w:color w:val="auto"/>
                <w:spacing w:val="-4"/>
                <w:kern w:val="0"/>
                <w:szCs w:val="21"/>
              </w:rPr>
              <w:t>/</w:t>
            </w:r>
          </w:p>
        </w:tc>
        <w:tc>
          <w:tcPr>
            <w:tcW w:w="972" w:type="pct"/>
            <w:vAlign w:val="center"/>
          </w:tcPr>
          <w:p w14:paraId="5141FFB1">
            <w:pPr>
              <w:adjustRightInd w:val="0"/>
              <w:rPr>
                <w:rFonts w:hint="default" w:eastAsiaTheme="minorEastAsia"/>
                <w:color w:val="auto"/>
                <w:szCs w:val="21"/>
                <w:lang w:val="en-US" w:eastAsia="zh-CN"/>
              </w:rPr>
            </w:pPr>
            <w:r>
              <w:rPr>
                <w:rFonts w:hint="eastAsia" w:eastAsiaTheme="minorEastAsia"/>
                <w:color w:val="auto"/>
                <w:szCs w:val="21"/>
                <w:lang w:val="en-US" w:eastAsia="zh-CN"/>
              </w:rPr>
              <w:t>跨河桥梁配套防抛网、强化防撞护栏，桥面径流收集系统通畅完好。</w:t>
            </w:r>
          </w:p>
        </w:tc>
      </w:tr>
      <w:tr w14:paraId="0CF720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61" w:type="pct"/>
            <w:vAlign w:val="center"/>
          </w:tcPr>
          <w:p w14:paraId="1832C810">
            <w:pPr>
              <w:adjustRightInd w:val="0"/>
              <w:jc w:val="center"/>
              <w:rPr>
                <w:rFonts w:eastAsiaTheme="minorEastAsia"/>
                <w:color w:val="auto"/>
                <w:szCs w:val="21"/>
              </w:rPr>
            </w:pPr>
            <w:r>
              <w:rPr>
                <w:rFonts w:hAnsiTheme="minorEastAsia" w:eastAsiaTheme="minorEastAsia"/>
                <w:color w:val="auto"/>
                <w:szCs w:val="21"/>
              </w:rPr>
              <w:t>地表水环境</w:t>
            </w:r>
          </w:p>
        </w:tc>
        <w:tc>
          <w:tcPr>
            <w:tcW w:w="1040" w:type="pct"/>
            <w:vAlign w:val="center"/>
          </w:tcPr>
          <w:p w14:paraId="6F31CB7A">
            <w:pPr>
              <w:autoSpaceDE w:val="0"/>
              <w:autoSpaceDN w:val="0"/>
              <w:adjustRightInd w:val="0"/>
              <w:spacing w:line="260" w:lineRule="exact"/>
              <w:rPr>
                <w:rFonts w:eastAsiaTheme="minorEastAsia"/>
                <w:color w:val="auto"/>
                <w:spacing w:val="-2"/>
                <w:kern w:val="0"/>
                <w:szCs w:val="21"/>
              </w:rPr>
            </w:pPr>
            <w:r>
              <w:rPr>
                <w:rFonts w:hAnsiTheme="minorEastAsia" w:eastAsiaTheme="minorEastAsia"/>
                <w:color w:val="auto"/>
                <w:spacing w:val="-2"/>
                <w:kern w:val="0"/>
                <w:szCs w:val="21"/>
              </w:rPr>
              <w:t>施工废水经沉淀处理后</w:t>
            </w:r>
            <w:r>
              <w:rPr>
                <w:rFonts w:hint="eastAsia" w:hAnsiTheme="minorEastAsia" w:eastAsiaTheme="minorEastAsia"/>
                <w:color w:val="auto"/>
                <w:spacing w:val="-2"/>
                <w:kern w:val="0"/>
                <w:szCs w:val="21"/>
                <w:lang w:val="en-US" w:eastAsia="zh-CN"/>
              </w:rPr>
              <w:t>回用于生产及场地洒水降尘</w:t>
            </w:r>
            <w:r>
              <w:rPr>
                <w:rFonts w:hAnsiTheme="minorEastAsia" w:eastAsiaTheme="minorEastAsia"/>
                <w:color w:val="auto"/>
                <w:spacing w:val="-2"/>
                <w:kern w:val="0"/>
                <w:szCs w:val="21"/>
              </w:rPr>
              <w:t>，不外排</w:t>
            </w:r>
            <w:r>
              <w:rPr>
                <w:rFonts w:hint="eastAsia" w:hAnsiTheme="minorEastAsia" w:eastAsiaTheme="minorEastAsia"/>
                <w:color w:val="auto"/>
                <w:spacing w:val="-2"/>
                <w:kern w:val="0"/>
                <w:szCs w:val="21"/>
              </w:rPr>
              <w:t>；</w:t>
            </w:r>
            <w:r>
              <w:rPr>
                <w:rFonts w:hAnsiTheme="minorEastAsia" w:eastAsiaTheme="minorEastAsia"/>
                <w:color w:val="auto"/>
                <w:spacing w:val="-2"/>
                <w:kern w:val="0"/>
                <w:szCs w:val="21"/>
              </w:rPr>
              <w:t>生活污水</w:t>
            </w:r>
            <w:r>
              <w:rPr>
                <w:rFonts w:hint="eastAsia" w:hAnsiTheme="minorEastAsia" w:eastAsiaTheme="minorEastAsia"/>
                <w:color w:val="auto"/>
                <w:spacing w:val="-2"/>
                <w:kern w:val="0"/>
                <w:szCs w:val="21"/>
              </w:rPr>
              <w:t>经</w:t>
            </w:r>
            <w:r>
              <w:rPr>
                <w:rFonts w:hint="eastAsia" w:hAnsiTheme="minorEastAsia" w:eastAsiaTheme="minorEastAsia"/>
                <w:color w:val="auto"/>
                <w:spacing w:val="-2"/>
                <w:kern w:val="0"/>
                <w:szCs w:val="21"/>
                <w:lang w:val="en-US" w:eastAsia="zh-CN"/>
              </w:rPr>
              <w:t>隔油池、</w:t>
            </w:r>
            <w:r>
              <w:rPr>
                <w:rFonts w:hint="eastAsia" w:hAnsiTheme="minorEastAsia" w:eastAsiaTheme="minorEastAsia"/>
                <w:color w:val="auto"/>
                <w:spacing w:val="-2"/>
                <w:kern w:val="0"/>
                <w:szCs w:val="21"/>
              </w:rPr>
              <w:t>化粪池收集</w:t>
            </w:r>
            <w:r>
              <w:rPr>
                <w:rFonts w:hint="eastAsia" w:hAnsiTheme="minorEastAsia" w:eastAsiaTheme="minorEastAsia"/>
                <w:color w:val="auto"/>
                <w:spacing w:val="-2"/>
                <w:kern w:val="0"/>
                <w:szCs w:val="21"/>
                <w:lang w:val="en-US" w:eastAsia="zh-CN"/>
              </w:rPr>
              <w:t>处理</w:t>
            </w:r>
            <w:r>
              <w:rPr>
                <w:rFonts w:hint="eastAsia" w:hAnsiTheme="minorEastAsia" w:eastAsiaTheme="minorEastAsia"/>
                <w:color w:val="auto"/>
                <w:spacing w:val="-2"/>
                <w:kern w:val="0"/>
                <w:szCs w:val="21"/>
              </w:rPr>
              <w:t>后</w:t>
            </w:r>
            <w:r>
              <w:rPr>
                <w:rFonts w:hint="eastAsia" w:hAnsiTheme="minorEastAsia" w:eastAsiaTheme="minorEastAsia"/>
                <w:color w:val="auto"/>
                <w:spacing w:val="-2"/>
                <w:kern w:val="0"/>
                <w:szCs w:val="21"/>
                <w:lang w:val="en-US" w:eastAsia="zh-CN"/>
              </w:rPr>
              <w:t>定期清运</w:t>
            </w:r>
            <w:r>
              <w:rPr>
                <w:rFonts w:hAnsiTheme="minorEastAsia" w:eastAsiaTheme="minorEastAsia"/>
                <w:color w:val="auto"/>
                <w:spacing w:val="-2"/>
                <w:kern w:val="0"/>
                <w:szCs w:val="21"/>
              </w:rPr>
              <w:t>。</w:t>
            </w:r>
          </w:p>
        </w:tc>
        <w:tc>
          <w:tcPr>
            <w:tcW w:w="935" w:type="pct"/>
            <w:vAlign w:val="center"/>
          </w:tcPr>
          <w:p w14:paraId="6457F3F7">
            <w:pPr>
              <w:adjustRightInd w:val="0"/>
              <w:spacing w:line="260" w:lineRule="exact"/>
              <w:rPr>
                <w:rFonts w:hint="default" w:eastAsiaTheme="minorEastAsia"/>
                <w:color w:val="auto"/>
                <w:szCs w:val="21"/>
                <w:lang w:val="en-US" w:eastAsia="zh-CN"/>
              </w:rPr>
            </w:pPr>
            <w:r>
              <w:rPr>
                <w:rFonts w:hint="eastAsia" w:hAnsiTheme="minorEastAsia" w:eastAsiaTheme="minorEastAsia"/>
                <w:color w:val="auto"/>
                <w:szCs w:val="21"/>
                <w:lang w:val="en-US" w:eastAsia="zh-CN"/>
              </w:rPr>
              <w:t>施工阶段无生产、生活污水外排，生产废水全部回用，化粪池清运台账完整。</w:t>
            </w:r>
          </w:p>
        </w:tc>
        <w:tc>
          <w:tcPr>
            <w:tcW w:w="991" w:type="pct"/>
            <w:vAlign w:val="center"/>
          </w:tcPr>
          <w:p w14:paraId="1D373342">
            <w:pPr>
              <w:autoSpaceDE w:val="0"/>
              <w:autoSpaceDN w:val="0"/>
              <w:adjustRightInd w:val="0"/>
              <w:spacing w:line="260" w:lineRule="exact"/>
              <w:rPr>
                <w:rFonts w:hint="default" w:eastAsiaTheme="minorEastAsia"/>
                <w:color w:val="auto"/>
                <w:spacing w:val="-4"/>
                <w:kern w:val="0"/>
                <w:szCs w:val="21"/>
                <w:lang w:val="en-US" w:eastAsia="zh-CN"/>
              </w:rPr>
            </w:pPr>
            <w:r>
              <w:rPr>
                <w:rFonts w:hint="eastAsia" w:eastAsiaTheme="minorEastAsia"/>
                <w:color w:val="auto"/>
                <w:spacing w:val="-4"/>
                <w:kern w:val="0"/>
                <w:szCs w:val="21"/>
                <w:lang w:val="en-US" w:eastAsia="zh-CN"/>
              </w:rPr>
              <w:t>沿线服务设施设置一体化污水处理设备，污水经处理后冬储夏灌，不外排。</w:t>
            </w:r>
          </w:p>
        </w:tc>
        <w:tc>
          <w:tcPr>
            <w:tcW w:w="972" w:type="pct"/>
            <w:vAlign w:val="center"/>
          </w:tcPr>
          <w:p w14:paraId="69B62D5C">
            <w:pPr>
              <w:adjustRightInd w:val="0"/>
              <w:rPr>
                <w:rFonts w:hint="default" w:eastAsiaTheme="minorEastAsia"/>
                <w:color w:val="auto"/>
                <w:szCs w:val="21"/>
                <w:lang w:val="en-US" w:eastAsia="zh-CN"/>
              </w:rPr>
            </w:pPr>
            <w:r>
              <w:rPr>
                <w:rFonts w:hint="eastAsia" w:hAnsiTheme="minorEastAsia" w:eastAsiaTheme="minorEastAsia"/>
                <w:color w:val="auto"/>
                <w:szCs w:val="21"/>
                <w:lang w:val="en-US" w:eastAsia="zh-CN"/>
              </w:rPr>
              <w:t>收费站污水处理设备稳定运行，蓄水池防渗完好，污水全部绿化回用、无外排。</w:t>
            </w:r>
          </w:p>
        </w:tc>
      </w:tr>
      <w:tr w14:paraId="63C234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61" w:type="pct"/>
            <w:vAlign w:val="center"/>
          </w:tcPr>
          <w:p w14:paraId="7F966A31">
            <w:pPr>
              <w:keepNext w:val="0"/>
              <w:keepLines w:val="0"/>
              <w:pageBreakBefore w:val="0"/>
              <w:widowControl w:val="0"/>
              <w:kinsoku/>
              <w:wordWrap/>
              <w:overflowPunct/>
              <w:topLinePunct w:val="0"/>
              <w:bidi w:val="0"/>
              <w:adjustRightInd w:val="0"/>
              <w:snapToGrid/>
              <w:spacing w:line="250" w:lineRule="exact"/>
              <w:jc w:val="center"/>
              <w:textAlignment w:val="auto"/>
              <w:rPr>
                <w:rFonts w:eastAsiaTheme="minorEastAsia"/>
                <w:color w:val="auto"/>
                <w:szCs w:val="21"/>
              </w:rPr>
            </w:pPr>
            <w:r>
              <w:rPr>
                <w:rFonts w:hAnsiTheme="minorEastAsia" w:eastAsiaTheme="minorEastAsia"/>
                <w:color w:val="auto"/>
                <w:szCs w:val="21"/>
              </w:rPr>
              <w:t>地下水及土壤环境</w:t>
            </w:r>
          </w:p>
        </w:tc>
        <w:tc>
          <w:tcPr>
            <w:tcW w:w="1040" w:type="pct"/>
            <w:vAlign w:val="center"/>
          </w:tcPr>
          <w:p w14:paraId="4874CC37">
            <w:pPr>
              <w:keepNext w:val="0"/>
              <w:keepLines w:val="0"/>
              <w:pageBreakBefore w:val="0"/>
              <w:widowControl w:val="0"/>
              <w:kinsoku/>
              <w:wordWrap/>
              <w:overflowPunct/>
              <w:topLinePunct w:val="0"/>
              <w:bidi w:val="0"/>
              <w:adjustRightInd w:val="0"/>
              <w:snapToGrid/>
              <w:spacing w:line="250" w:lineRule="exact"/>
              <w:textAlignment w:val="auto"/>
              <w:rPr>
                <w:rFonts w:hint="default" w:eastAsiaTheme="minorEastAsia"/>
                <w:color w:val="auto"/>
                <w:szCs w:val="21"/>
                <w:lang w:val="en-US" w:eastAsia="zh-CN"/>
              </w:rPr>
            </w:pPr>
            <w:r>
              <w:rPr>
                <w:rFonts w:hint="eastAsia" w:hAnsiTheme="minorEastAsia" w:eastAsiaTheme="minorEastAsia"/>
                <w:color w:val="auto"/>
                <w:szCs w:val="21"/>
                <w:lang w:val="en-US" w:eastAsia="zh-CN"/>
              </w:rPr>
              <w:t>水源保护区内</w:t>
            </w:r>
            <w:r>
              <w:rPr>
                <w:rFonts w:hint="eastAsia" w:hAnsiTheme="minorEastAsia" w:eastAsiaTheme="minorEastAsia"/>
                <w:color w:val="auto"/>
                <w:szCs w:val="21"/>
              </w:rPr>
              <w:t>禁止布设拌合站、营地、取弃土场、油料堆场</w:t>
            </w:r>
            <w:r>
              <w:rPr>
                <w:rFonts w:hint="eastAsia" w:hAnsiTheme="minorEastAsia" w:eastAsiaTheme="minorEastAsia"/>
                <w:color w:val="auto"/>
                <w:szCs w:val="21"/>
                <w:lang w:eastAsia="zh-CN"/>
              </w:rPr>
              <w:t>，</w:t>
            </w:r>
            <w:r>
              <w:rPr>
                <w:rFonts w:hint="eastAsia" w:eastAsiaTheme="minorEastAsia"/>
                <w:color w:val="auto"/>
                <w:szCs w:val="21"/>
                <w:lang w:val="en-US" w:eastAsia="zh-CN"/>
              </w:rPr>
              <w:t>施工各类废污水均不得排入水源保护区。</w:t>
            </w:r>
          </w:p>
        </w:tc>
        <w:tc>
          <w:tcPr>
            <w:tcW w:w="935" w:type="pct"/>
            <w:vAlign w:val="center"/>
          </w:tcPr>
          <w:p w14:paraId="43CB41E8">
            <w:pPr>
              <w:keepNext w:val="0"/>
              <w:keepLines w:val="0"/>
              <w:pageBreakBefore w:val="0"/>
              <w:widowControl w:val="0"/>
              <w:kinsoku/>
              <w:wordWrap/>
              <w:overflowPunct/>
              <w:topLinePunct w:val="0"/>
              <w:bidi w:val="0"/>
              <w:adjustRightInd w:val="0"/>
              <w:snapToGrid/>
              <w:spacing w:line="250" w:lineRule="exact"/>
              <w:textAlignment w:val="auto"/>
              <w:rPr>
                <w:rFonts w:hint="eastAsia" w:eastAsiaTheme="minorEastAsia"/>
                <w:color w:val="auto"/>
                <w:szCs w:val="21"/>
                <w:lang w:eastAsia="zh-CN"/>
              </w:rPr>
            </w:pPr>
            <w:r>
              <w:rPr>
                <w:rFonts w:hint="eastAsia" w:hAnsiTheme="minorEastAsia" w:eastAsiaTheme="minorEastAsia"/>
                <w:color w:val="auto"/>
                <w:szCs w:val="21"/>
                <w:lang w:val="en-US" w:eastAsia="zh-CN"/>
              </w:rPr>
              <w:t>水源保护区范围内无拌合站、营地、油料堆场等临时设施</w:t>
            </w:r>
            <w:r>
              <w:rPr>
                <w:rFonts w:hAnsiTheme="minorEastAsia" w:eastAsiaTheme="minorEastAsia"/>
                <w:color w:val="auto"/>
                <w:szCs w:val="21"/>
              </w:rPr>
              <w:t>。</w:t>
            </w:r>
            <w:r>
              <w:rPr>
                <w:rFonts w:hint="eastAsia" w:hAnsiTheme="minorEastAsia" w:eastAsiaTheme="minorEastAsia"/>
                <w:color w:val="auto"/>
                <w:szCs w:val="21"/>
              </w:rPr>
              <w:t>油料、化学品库房硬化防渗，无淋溶水下渗风险</w:t>
            </w:r>
            <w:r>
              <w:rPr>
                <w:rFonts w:hint="eastAsia" w:hAnsiTheme="minorEastAsia" w:eastAsiaTheme="minorEastAsia"/>
                <w:color w:val="auto"/>
                <w:szCs w:val="21"/>
                <w:lang w:eastAsia="zh-CN"/>
              </w:rPr>
              <w:t>。</w:t>
            </w:r>
          </w:p>
        </w:tc>
        <w:tc>
          <w:tcPr>
            <w:tcW w:w="991" w:type="pct"/>
            <w:vAlign w:val="center"/>
          </w:tcPr>
          <w:p w14:paraId="67AC38A5">
            <w:pPr>
              <w:keepNext w:val="0"/>
              <w:keepLines w:val="0"/>
              <w:pageBreakBefore w:val="0"/>
              <w:widowControl w:val="0"/>
              <w:kinsoku/>
              <w:wordWrap/>
              <w:overflowPunct/>
              <w:topLinePunct w:val="0"/>
              <w:autoSpaceDE w:val="0"/>
              <w:autoSpaceDN w:val="0"/>
              <w:bidi w:val="0"/>
              <w:adjustRightInd w:val="0"/>
              <w:snapToGrid/>
              <w:spacing w:line="250" w:lineRule="exact"/>
              <w:textAlignment w:val="auto"/>
              <w:rPr>
                <w:rFonts w:hint="default" w:eastAsiaTheme="minorEastAsia"/>
                <w:color w:val="auto"/>
                <w:spacing w:val="-4"/>
                <w:kern w:val="0"/>
                <w:szCs w:val="21"/>
                <w:lang w:val="en-US" w:eastAsia="zh-CN"/>
              </w:rPr>
            </w:pPr>
            <w:r>
              <w:rPr>
                <w:rFonts w:hint="eastAsia" w:eastAsiaTheme="minorEastAsia"/>
                <w:color w:val="auto"/>
                <w:spacing w:val="-4"/>
                <w:kern w:val="0"/>
                <w:szCs w:val="21"/>
                <w:lang w:val="en-US" w:eastAsia="zh-CN"/>
              </w:rPr>
              <w:t>临近水源保护区路段设置路面径流收集设施，服务设施污水处理设施采取防渗措施</w:t>
            </w:r>
          </w:p>
        </w:tc>
        <w:tc>
          <w:tcPr>
            <w:tcW w:w="972" w:type="pct"/>
            <w:vAlign w:val="center"/>
          </w:tcPr>
          <w:p w14:paraId="55060A33">
            <w:pPr>
              <w:keepNext w:val="0"/>
              <w:keepLines w:val="0"/>
              <w:pageBreakBefore w:val="0"/>
              <w:widowControl w:val="0"/>
              <w:kinsoku/>
              <w:wordWrap/>
              <w:overflowPunct/>
              <w:topLinePunct w:val="0"/>
              <w:bidi w:val="0"/>
              <w:adjustRightInd w:val="0"/>
              <w:snapToGrid/>
              <w:spacing w:line="250" w:lineRule="exact"/>
              <w:textAlignment w:val="auto"/>
              <w:rPr>
                <w:rFonts w:hint="default" w:eastAsiaTheme="minorEastAsia"/>
                <w:color w:val="auto"/>
                <w:szCs w:val="21"/>
                <w:lang w:val="en-US"/>
              </w:rPr>
            </w:pPr>
            <w:r>
              <w:rPr>
                <w:rFonts w:hint="eastAsia" w:eastAsiaTheme="minorEastAsia"/>
                <w:color w:val="auto"/>
                <w:spacing w:val="-4"/>
                <w:kern w:val="0"/>
                <w:szCs w:val="21"/>
                <w:lang w:val="en-US" w:eastAsia="zh-CN"/>
              </w:rPr>
              <w:t>临近水源路基防渗边沟、事故应急池完整、防渗无破损。服务设施污水处理设施、蓄水池防渗情况良好。</w:t>
            </w:r>
          </w:p>
        </w:tc>
      </w:tr>
      <w:tr w14:paraId="1E0B7B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61" w:type="pct"/>
            <w:vAlign w:val="center"/>
          </w:tcPr>
          <w:p w14:paraId="2C714484">
            <w:pPr>
              <w:keepNext w:val="0"/>
              <w:keepLines w:val="0"/>
              <w:pageBreakBefore w:val="0"/>
              <w:widowControl w:val="0"/>
              <w:kinsoku/>
              <w:wordWrap/>
              <w:overflowPunct/>
              <w:topLinePunct w:val="0"/>
              <w:bidi w:val="0"/>
              <w:adjustRightInd w:val="0"/>
              <w:snapToGrid/>
              <w:spacing w:line="250" w:lineRule="exact"/>
              <w:jc w:val="center"/>
              <w:textAlignment w:val="auto"/>
              <w:rPr>
                <w:rFonts w:eastAsiaTheme="minorEastAsia"/>
                <w:color w:val="auto"/>
                <w:szCs w:val="21"/>
              </w:rPr>
            </w:pPr>
            <w:r>
              <w:rPr>
                <w:rFonts w:hAnsiTheme="minorEastAsia" w:eastAsiaTheme="minorEastAsia"/>
                <w:color w:val="auto"/>
                <w:szCs w:val="21"/>
              </w:rPr>
              <w:t>声环境</w:t>
            </w:r>
          </w:p>
        </w:tc>
        <w:tc>
          <w:tcPr>
            <w:tcW w:w="1884" w:type="dxa"/>
            <w:vAlign w:val="center"/>
          </w:tcPr>
          <w:p w14:paraId="105E48D5">
            <w:pPr>
              <w:autoSpaceDE w:val="0"/>
              <w:autoSpaceDN w:val="0"/>
              <w:adjustRightInd w:val="0"/>
              <w:spacing w:line="250" w:lineRule="exact"/>
              <w:rPr>
                <w:rFonts w:eastAsiaTheme="minorEastAsia"/>
                <w:color w:val="auto"/>
                <w:kern w:val="0"/>
                <w:szCs w:val="21"/>
              </w:rPr>
            </w:pPr>
            <w:r>
              <w:rPr>
                <w:rFonts w:hAnsiTheme="minorEastAsia" w:eastAsiaTheme="minorEastAsia"/>
                <w:color w:val="auto"/>
                <w:kern w:val="0"/>
                <w:szCs w:val="21"/>
              </w:rPr>
              <w:t>合理安排施工布局</w:t>
            </w:r>
            <w:r>
              <w:rPr>
                <w:rFonts w:hint="eastAsia" w:hAnsiTheme="minorEastAsia" w:eastAsiaTheme="minorEastAsia"/>
                <w:color w:val="auto"/>
                <w:kern w:val="0"/>
                <w:szCs w:val="21"/>
              </w:rPr>
              <w:t>及</w:t>
            </w:r>
            <w:r>
              <w:rPr>
                <w:rFonts w:hAnsiTheme="minorEastAsia" w:eastAsiaTheme="minorEastAsia"/>
                <w:color w:val="auto"/>
                <w:kern w:val="0"/>
                <w:szCs w:val="21"/>
              </w:rPr>
              <w:t>施工计划，加强施工管理，禁止夜间高噪声施工，靠近敏感点路段设置施工围挡和禁鸣</w:t>
            </w:r>
            <w:r>
              <w:rPr>
                <w:rFonts w:hint="eastAsia" w:hAnsiTheme="minorEastAsia" w:eastAsiaTheme="minorEastAsia"/>
                <w:color w:val="auto"/>
                <w:kern w:val="0"/>
                <w:szCs w:val="21"/>
                <w:lang w:eastAsia="zh-CN"/>
              </w:rPr>
              <w:t>标识</w:t>
            </w:r>
            <w:r>
              <w:rPr>
                <w:rFonts w:hAnsiTheme="minorEastAsia" w:eastAsiaTheme="minorEastAsia"/>
                <w:color w:val="auto"/>
                <w:szCs w:val="21"/>
              </w:rPr>
              <w:t>。</w:t>
            </w:r>
          </w:p>
        </w:tc>
        <w:tc>
          <w:tcPr>
            <w:tcW w:w="1696" w:type="dxa"/>
            <w:vAlign w:val="center"/>
          </w:tcPr>
          <w:p w14:paraId="0C1CD4CB">
            <w:pPr>
              <w:adjustRightInd w:val="0"/>
              <w:spacing w:line="250" w:lineRule="exact"/>
              <w:rPr>
                <w:rFonts w:hint="eastAsia" w:eastAsiaTheme="minorEastAsia"/>
                <w:color w:val="auto"/>
                <w:szCs w:val="21"/>
                <w:lang w:eastAsia="zh-CN"/>
              </w:rPr>
            </w:pPr>
            <w:r>
              <w:rPr>
                <w:rFonts w:hint="eastAsia" w:hAnsiTheme="minorEastAsia" w:eastAsiaTheme="minorEastAsia"/>
                <w:color w:val="auto"/>
                <w:szCs w:val="21"/>
              </w:rPr>
              <w:t>施工台账显示 24:00-8:00 无重型、高噪声作业，噪声投诉闭环处理；村庄、学校施工隔声围挡按点位全部搭设。</w:t>
            </w:r>
          </w:p>
        </w:tc>
        <w:tc>
          <w:tcPr>
            <w:tcW w:w="1796" w:type="dxa"/>
            <w:vAlign w:val="center"/>
          </w:tcPr>
          <w:p w14:paraId="491C392D">
            <w:pPr>
              <w:adjustRightInd w:val="0"/>
              <w:spacing w:line="250" w:lineRule="exact"/>
              <w:rPr>
                <w:rFonts w:eastAsiaTheme="minorEastAsia"/>
                <w:color w:val="auto"/>
                <w:szCs w:val="21"/>
              </w:rPr>
            </w:pPr>
            <w:r>
              <w:rPr>
                <w:rFonts w:hint="eastAsia"/>
                <w:color w:val="auto"/>
                <w:szCs w:val="21"/>
              </w:rPr>
              <w:t>营运中期噪声预测值超标的15处</w:t>
            </w:r>
            <w:r>
              <w:rPr>
                <w:color w:val="auto"/>
                <w:szCs w:val="21"/>
              </w:rPr>
              <w:t>敏感点</w:t>
            </w:r>
            <w:r>
              <w:rPr>
                <w:rFonts w:hint="eastAsia"/>
                <w:color w:val="auto"/>
                <w:szCs w:val="21"/>
              </w:rPr>
              <w:t>设置声屏障+隔声窗、2处设置声屏障、11处设置隔声窗措施。</w:t>
            </w:r>
          </w:p>
        </w:tc>
        <w:tc>
          <w:tcPr>
            <w:tcW w:w="1761" w:type="dxa"/>
            <w:vAlign w:val="center"/>
          </w:tcPr>
          <w:p w14:paraId="5ACA4D7C">
            <w:pPr>
              <w:adjustRightInd w:val="0"/>
              <w:spacing w:line="250" w:lineRule="exact"/>
              <w:rPr>
                <w:rFonts w:eastAsiaTheme="minorEastAsia"/>
                <w:color w:val="auto"/>
                <w:szCs w:val="21"/>
              </w:rPr>
            </w:pPr>
            <w:r>
              <w:rPr>
                <w:rFonts w:hint="eastAsia" w:hAnsiTheme="minorEastAsia" w:eastAsiaTheme="minorEastAsia"/>
                <w:color w:val="auto"/>
                <w:szCs w:val="21"/>
              </w:rPr>
              <w:t>环评要求设置的声屏障、隔声窗全部完工，验收期间</w:t>
            </w:r>
            <w:r>
              <w:rPr>
                <w:rFonts w:hAnsiTheme="minorEastAsia" w:eastAsiaTheme="minorEastAsia"/>
                <w:color w:val="auto"/>
                <w:szCs w:val="21"/>
              </w:rPr>
              <w:t>公路噪声达标。</w:t>
            </w:r>
          </w:p>
        </w:tc>
      </w:tr>
      <w:tr w14:paraId="2E9EC5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1061" w:type="pct"/>
            <w:vAlign w:val="center"/>
          </w:tcPr>
          <w:p w14:paraId="39913F20">
            <w:pPr>
              <w:keepNext w:val="0"/>
              <w:keepLines w:val="0"/>
              <w:pageBreakBefore w:val="0"/>
              <w:widowControl w:val="0"/>
              <w:kinsoku/>
              <w:wordWrap/>
              <w:overflowPunct/>
              <w:topLinePunct w:val="0"/>
              <w:bidi w:val="0"/>
              <w:adjustRightInd w:val="0"/>
              <w:snapToGrid/>
              <w:spacing w:line="250" w:lineRule="exact"/>
              <w:jc w:val="center"/>
              <w:textAlignment w:val="auto"/>
              <w:rPr>
                <w:rFonts w:eastAsiaTheme="minorEastAsia"/>
                <w:color w:val="auto"/>
                <w:szCs w:val="21"/>
              </w:rPr>
            </w:pPr>
            <w:r>
              <w:rPr>
                <w:rFonts w:hAnsiTheme="minorEastAsia" w:eastAsiaTheme="minorEastAsia"/>
                <w:color w:val="auto"/>
                <w:szCs w:val="21"/>
              </w:rPr>
              <w:t>振动</w:t>
            </w:r>
          </w:p>
        </w:tc>
        <w:tc>
          <w:tcPr>
            <w:tcW w:w="1040" w:type="pct"/>
            <w:vAlign w:val="center"/>
          </w:tcPr>
          <w:p w14:paraId="142F7E5A">
            <w:pPr>
              <w:keepNext w:val="0"/>
              <w:keepLines w:val="0"/>
              <w:pageBreakBefore w:val="0"/>
              <w:widowControl w:val="0"/>
              <w:kinsoku/>
              <w:wordWrap/>
              <w:overflowPunct/>
              <w:topLinePunct w:val="0"/>
              <w:bidi w:val="0"/>
              <w:adjustRightInd w:val="0"/>
              <w:snapToGrid/>
              <w:spacing w:line="250" w:lineRule="exact"/>
              <w:textAlignment w:val="auto"/>
              <w:rPr>
                <w:rFonts w:eastAsiaTheme="minorEastAsia"/>
                <w:color w:val="auto"/>
                <w:szCs w:val="21"/>
              </w:rPr>
            </w:pPr>
            <w:r>
              <w:rPr>
                <w:rFonts w:eastAsiaTheme="minorEastAsia"/>
                <w:color w:val="auto"/>
                <w:szCs w:val="21"/>
              </w:rPr>
              <w:t>/</w:t>
            </w:r>
          </w:p>
        </w:tc>
        <w:tc>
          <w:tcPr>
            <w:tcW w:w="935" w:type="pct"/>
            <w:vAlign w:val="center"/>
          </w:tcPr>
          <w:p w14:paraId="7D0F005C">
            <w:pPr>
              <w:keepNext w:val="0"/>
              <w:keepLines w:val="0"/>
              <w:pageBreakBefore w:val="0"/>
              <w:widowControl w:val="0"/>
              <w:kinsoku/>
              <w:wordWrap/>
              <w:overflowPunct/>
              <w:topLinePunct w:val="0"/>
              <w:bidi w:val="0"/>
              <w:adjustRightInd w:val="0"/>
              <w:snapToGrid/>
              <w:spacing w:line="250" w:lineRule="exact"/>
              <w:textAlignment w:val="auto"/>
              <w:rPr>
                <w:rFonts w:eastAsiaTheme="minorEastAsia"/>
                <w:color w:val="auto"/>
                <w:szCs w:val="21"/>
              </w:rPr>
            </w:pPr>
            <w:r>
              <w:rPr>
                <w:rFonts w:eastAsiaTheme="minorEastAsia"/>
                <w:color w:val="auto"/>
                <w:szCs w:val="21"/>
              </w:rPr>
              <w:t>/</w:t>
            </w:r>
          </w:p>
        </w:tc>
        <w:tc>
          <w:tcPr>
            <w:tcW w:w="991" w:type="pct"/>
            <w:vAlign w:val="center"/>
          </w:tcPr>
          <w:p w14:paraId="438DB611">
            <w:pPr>
              <w:keepNext w:val="0"/>
              <w:keepLines w:val="0"/>
              <w:pageBreakBefore w:val="0"/>
              <w:widowControl w:val="0"/>
              <w:kinsoku/>
              <w:wordWrap/>
              <w:overflowPunct/>
              <w:topLinePunct w:val="0"/>
              <w:bidi w:val="0"/>
              <w:adjustRightInd w:val="0"/>
              <w:snapToGrid/>
              <w:spacing w:line="250" w:lineRule="exact"/>
              <w:textAlignment w:val="auto"/>
              <w:rPr>
                <w:rFonts w:eastAsiaTheme="minorEastAsia"/>
                <w:color w:val="auto"/>
                <w:szCs w:val="21"/>
              </w:rPr>
            </w:pPr>
            <w:r>
              <w:rPr>
                <w:rFonts w:eastAsiaTheme="minorEastAsia"/>
                <w:color w:val="auto"/>
                <w:szCs w:val="21"/>
              </w:rPr>
              <w:t>/</w:t>
            </w:r>
          </w:p>
        </w:tc>
        <w:tc>
          <w:tcPr>
            <w:tcW w:w="972" w:type="pct"/>
            <w:vAlign w:val="center"/>
          </w:tcPr>
          <w:p w14:paraId="2E8E92B4">
            <w:pPr>
              <w:keepNext w:val="0"/>
              <w:keepLines w:val="0"/>
              <w:pageBreakBefore w:val="0"/>
              <w:widowControl w:val="0"/>
              <w:kinsoku/>
              <w:wordWrap/>
              <w:overflowPunct/>
              <w:topLinePunct w:val="0"/>
              <w:bidi w:val="0"/>
              <w:adjustRightInd w:val="0"/>
              <w:snapToGrid/>
              <w:spacing w:line="250" w:lineRule="exact"/>
              <w:textAlignment w:val="auto"/>
              <w:rPr>
                <w:rFonts w:eastAsiaTheme="minorEastAsia"/>
                <w:color w:val="auto"/>
                <w:szCs w:val="21"/>
              </w:rPr>
            </w:pPr>
            <w:r>
              <w:rPr>
                <w:rFonts w:eastAsiaTheme="minorEastAsia"/>
                <w:color w:val="auto"/>
                <w:szCs w:val="21"/>
              </w:rPr>
              <w:t>/</w:t>
            </w:r>
          </w:p>
        </w:tc>
      </w:tr>
      <w:tr w14:paraId="446462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61" w:type="pct"/>
            <w:vAlign w:val="center"/>
          </w:tcPr>
          <w:p w14:paraId="1C163A96">
            <w:pPr>
              <w:keepNext w:val="0"/>
              <w:keepLines w:val="0"/>
              <w:pageBreakBefore w:val="0"/>
              <w:widowControl w:val="0"/>
              <w:kinsoku/>
              <w:wordWrap/>
              <w:overflowPunct/>
              <w:topLinePunct w:val="0"/>
              <w:bidi w:val="0"/>
              <w:adjustRightInd w:val="0"/>
              <w:snapToGrid/>
              <w:spacing w:line="250" w:lineRule="exact"/>
              <w:jc w:val="center"/>
              <w:textAlignment w:val="auto"/>
              <w:rPr>
                <w:rFonts w:eastAsiaTheme="minorEastAsia"/>
                <w:color w:val="auto"/>
                <w:szCs w:val="21"/>
              </w:rPr>
            </w:pPr>
            <w:r>
              <w:rPr>
                <w:rFonts w:hAnsiTheme="minorEastAsia" w:eastAsiaTheme="minorEastAsia"/>
                <w:color w:val="auto"/>
                <w:szCs w:val="21"/>
              </w:rPr>
              <w:t>大气环境</w:t>
            </w:r>
          </w:p>
        </w:tc>
        <w:tc>
          <w:tcPr>
            <w:tcW w:w="1884" w:type="dxa"/>
            <w:vAlign w:val="center"/>
          </w:tcPr>
          <w:p w14:paraId="1BD2576C">
            <w:pPr>
              <w:autoSpaceDE w:val="0"/>
              <w:autoSpaceDN w:val="0"/>
              <w:adjustRightInd w:val="0"/>
              <w:spacing w:line="250" w:lineRule="exact"/>
              <w:rPr>
                <w:rFonts w:eastAsiaTheme="minorEastAsia"/>
                <w:color w:val="auto"/>
                <w:kern w:val="0"/>
                <w:szCs w:val="21"/>
              </w:rPr>
            </w:pPr>
            <w:r>
              <w:rPr>
                <w:rFonts w:hAnsiTheme="minorEastAsia" w:eastAsiaTheme="minorEastAsia"/>
                <w:color w:val="auto"/>
                <w:kern w:val="0"/>
                <w:szCs w:val="21"/>
              </w:rPr>
              <w:t>设置施工围挡、封闭运输、加强施工现场路面清扫和洒水抑尘等措施</w:t>
            </w:r>
            <w:r>
              <w:rPr>
                <w:rFonts w:hint="eastAsia" w:hAnsiTheme="minorEastAsia" w:eastAsiaTheme="minorEastAsia"/>
                <w:color w:val="auto"/>
                <w:kern w:val="0"/>
                <w:szCs w:val="21"/>
              </w:rPr>
              <w:t>；</w:t>
            </w:r>
            <w:r>
              <w:rPr>
                <w:rFonts w:hAnsiTheme="minorEastAsia" w:eastAsiaTheme="minorEastAsia"/>
                <w:color w:val="auto"/>
                <w:kern w:val="0"/>
                <w:szCs w:val="21"/>
              </w:rPr>
              <w:t>采用封闭式搅拌铺设设备</w:t>
            </w:r>
            <w:r>
              <w:rPr>
                <w:rFonts w:hint="eastAsia" w:hAnsiTheme="minorEastAsia" w:eastAsiaTheme="minorEastAsia"/>
                <w:color w:val="auto"/>
                <w:kern w:val="0"/>
                <w:szCs w:val="21"/>
              </w:rPr>
              <w:t>；</w:t>
            </w:r>
            <w:r>
              <w:rPr>
                <w:rFonts w:hAnsiTheme="minorEastAsia" w:eastAsiaTheme="minorEastAsia"/>
                <w:color w:val="auto"/>
                <w:kern w:val="0"/>
                <w:szCs w:val="21"/>
              </w:rPr>
              <w:t>对原辅材料、运输车辆采取密闭措施，加盖篷布等措施。</w:t>
            </w:r>
          </w:p>
        </w:tc>
        <w:tc>
          <w:tcPr>
            <w:tcW w:w="1696" w:type="dxa"/>
            <w:vAlign w:val="center"/>
          </w:tcPr>
          <w:p w14:paraId="6F709649">
            <w:pPr>
              <w:adjustRightInd w:val="0"/>
              <w:spacing w:line="250" w:lineRule="exact"/>
              <w:rPr>
                <w:rFonts w:hint="eastAsia" w:eastAsiaTheme="minorEastAsia"/>
                <w:color w:val="auto"/>
                <w:szCs w:val="21"/>
                <w:lang w:eastAsia="zh-CN"/>
              </w:rPr>
            </w:pPr>
            <w:r>
              <w:rPr>
                <w:rFonts w:hint="eastAsia" w:hAnsiTheme="minorEastAsia" w:eastAsiaTheme="minorEastAsia"/>
                <w:color w:val="auto"/>
                <w:szCs w:val="21"/>
              </w:rPr>
              <w:t>施工全过程满足六个百分百管控要求，无长期裸土、渣土遗撒扬尘问题；沥青、混凝土拌合站选址距离村庄≥500m，除尘设施齐全。</w:t>
            </w:r>
          </w:p>
        </w:tc>
        <w:tc>
          <w:tcPr>
            <w:tcW w:w="1796" w:type="dxa"/>
            <w:vAlign w:val="center"/>
          </w:tcPr>
          <w:p w14:paraId="4D42565F">
            <w:pPr>
              <w:autoSpaceDE w:val="0"/>
              <w:autoSpaceDN w:val="0"/>
              <w:adjustRightInd w:val="0"/>
              <w:spacing w:line="250" w:lineRule="exact"/>
              <w:rPr>
                <w:rFonts w:eastAsiaTheme="minorEastAsia"/>
                <w:color w:val="auto"/>
                <w:kern w:val="0"/>
                <w:szCs w:val="21"/>
              </w:rPr>
            </w:pPr>
            <w:r>
              <w:rPr>
                <w:rFonts w:hAnsiTheme="minorEastAsia" w:eastAsiaTheme="minorEastAsia"/>
                <w:color w:val="auto"/>
                <w:kern w:val="0"/>
                <w:szCs w:val="21"/>
              </w:rPr>
              <w:t>加强道路两侧的绿化，加强公路管理及路面养护，保持公路良好营运状态</w:t>
            </w:r>
            <w:r>
              <w:rPr>
                <w:rFonts w:hint="eastAsia" w:hAnsiTheme="minorEastAsia" w:eastAsiaTheme="minorEastAsia"/>
                <w:color w:val="auto"/>
                <w:kern w:val="0"/>
                <w:szCs w:val="21"/>
              </w:rPr>
              <w:t>；收费站</w:t>
            </w:r>
            <w:r>
              <w:rPr>
                <w:rFonts w:hint="eastAsia" w:hAnsiTheme="minorEastAsia" w:eastAsiaTheme="minorEastAsia"/>
                <w:color w:val="auto"/>
                <w:kern w:val="0"/>
                <w:szCs w:val="21"/>
                <w:lang w:eastAsia="zh-CN"/>
              </w:rPr>
              <w:t>、</w:t>
            </w:r>
            <w:r>
              <w:rPr>
                <w:rFonts w:hint="eastAsia" w:hAnsiTheme="minorEastAsia" w:eastAsiaTheme="minorEastAsia"/>
                <w:color w:val="auto"/>
                <w:kern w:val="0"/>
                <w:szCs w:val="21"/>
                <w:lang w:val="en-US" w:eastAsia="zh-CN"/>
              </w:rPr>
              <w:t>养护工区等</w:t>
            </w:r>
            <w:r>
              <w:rPr>
                <w:rFonts w:hAnsiTheme="minorEastAsia" w:eastAsiaTheme="minorEastAsia"/>
                <w:color w:val="auto"/>
                <w:kern w:val="0"/>
                <w:szCs w:val="21"/>
              </w:rPr>
              <w:t>食堂安装油烟净化和排放装置。</w:t>
            </w:r>
          </w:p>
        </w:tc>
        <w:tc>
          <w:tcPr>
            <w:tcW w:w="1761" w:type="dxa"/>
            <w:vAlign w:val="center"/>
          </w:tcPr>
          <w:p w14:paraId="04F84B10">
            <w:pPr>
              <w:adjustRightInd w:val="0"/>
              <w:spacing w:line="250" w:lineRule="exact"/>
              <w:rPr>
                <w:rFonts w:hint="eastAsia" w:eastAsiaTheme="minorEastAsia"/>
                <w:color w:val="auto"/>
                <w:szCs w:val="21"/>
                <w:lang w:eastAsia="zh-CN"/>
              </w:rPr>
            </w:pPr>
            <w:r>
              <w:rPr>
                <w:rFonts w:hint="eastAsia" w:hAnsiTheme="minorEastAsia" w:eastAsiaTheme="minorEastAsia"/>
                <w:color w:val="auto"/>
                <w:szCs w:val="21"/>
              </w:rPr>
              <w:t>沿线设施油烟净化装置正常投用，</w:t>
            </w:r>
            <w:r>
              <w:rPr>
                <w:rFonts w:hAnsiTheme="minorEastAsia" w:eastAsiaTheme="minorEastAsia"/>
                <w:color w:val="auto"/>
                <w:szCs w:val="21"/>
              </w:rPr>
              <w:t>满足大气污染物相关排放标准</w:t>
            </w:r>
            <w:r>
              <w:rPr>
                <w:rFonts w:hint="eastAsia" w:hAnsiTheme="minorEastAsia" w:eastAsiaTheme="minorEastAsia"/>
                <w:color w:val="auto"/>
                <w:szCs w:val="21"/>
              </w:rPr>
              <w:t>；无燃煤燃油供热设施；道路两侧绿化林带建成，具备抑尘效果。</w:t>
            </w:r>
          </w:p>
        </w:tc>
      </w:tr>
      <w:tr w14:paraId="1FBF1C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61" w:type="pct"/>
            <w:vAlign w:val="center"/>
          </w:tcPr>
          <w:p w14:paraId="5A1FEF18">
            <w:pPr>
              <w:keepNext w:val="0"/>
              <w:keepLines w:val="0"/>
              <w:pageBreakBefore w:val="0"/>
              <w:widowControl w:val="0"/>
              <w:kinsoku/>
              <w:wordWrap/>
              <w:overflowPunct/>
              <w:topLinePunct w:val="0"/>
              <w:bidi w:val="0"/>
              <w:adjustRightInd w:val="0"/>
              <w:snapToGrid/>
              <w:spacing w:line="250" w:lineRule="exact"/>
              <w:jc w:val="center"/>
              <w:textAlignment w:val="auto"/>
              <w:rPr>
                <w:rFonts w:eastAsiaTheme="minorEastAsia"/>
                <w:color w:val="auto"/>
                <w:szCs w:val="21"/>
              </w:rPr>
            </w:pPr>
            <w:r>
              <w:rPr>
                <w:rFonts w:hAnsiTheme="minorEastAsia" w:eastAsiaTheme="minorEastAsia"/>
                <w:color w:val="auto"/>
                <w:szCs w:val="21"/>
              </w:rPr>
              <w:t>固体废物</w:t>
            </w:r>
          </w:p>
        </w:tc>
        <w:tc>
          <w:tcPr>
            <w:tcW w:w="1040" w:type="pct"/>
            <w:vAlign w:val="center"/>
          </w:tcPr>
          <w:p w14:paraId="16245838">
            <w:pPr>
              <w:keepNext w:val="0"/>
              <w:keepLines w:val="0"/>
              <w:pageBreakBefore w:val="0"/>
              <w:widowControl w:val="0"/>
              <w:kinsoku/>
              <w:wordWrap/>
              <w:overflowPunct/>
              <w:topLinePunct w:val="0"/>
              <w:autoSpaceDE w:val="0"/>
              <w:autoSpaceDN w:val="0"/>
              <w:bidi w:val="0"/>
              <w:adjustRightInd w:val="0"/>
              <w:snapToGrid/>
              <w:spacing w:line="250" w:lineRule="exact"/>
              <w:textAlignment w:val="auto"/>
              <w:rPr>
                <w:rFonts w:eastAsiaTheme="minorEastAsia"/>
                <w:color w:val="auto"/>
                <w:kern w:val="0"/>
                <w:szCs w:val="21"/>
              </w:rPr>
            </w:pPr>
            <w:r>
              <w:rPr>
                <w:rFonts w:hAnsiTheme="minorEastAsia" w:eastAsiaTheme="minorEastAsia"/>
                <w:color w:val="auto"/>
                <w:kern w:val="0"/>
                <w:szCs w:val="21"/>
              </w:rPr>
              <w:t>生活垃圾进行统一定点收集，由环卫部门定期清运</w:t>
            </w:r>
            <w:r>
              <w:rPr>
                <w:rFonts w:hint="eastAsia" w:hAnsiTheme="minorEastAsia" w:eastAsiaTheme="minorEastAsia"/>
                <w:color w:val="auto"/>
                <w:kern w:val="0"/>
                <w:szCs w:val="21"/>
              </w:rPr>
              <w:t>；</w:t>
            </w:r>
            <w:r>
              <w:rPr>
                <w:rFonts w:hAnsiTheme="minorEastAsia" w:eastAsiaTheme="minorEastAsia"/>
                <w:color w:val="auto"/>
                <w:kern w:val="0"/>
                <w:szCs w:val="21"/>
              </w:rPr>
              <w:t>拆迁建筑垃圾运至</w:t>
            </w:r>
            <w:r>
              <w:rPr>
                <w:rFonts w:hint="eastAsia" w:hAnsiTheme="minorEastAsia" w:eastAsiaTheme="minorEastAsia"/>
                <w:color w:val="auto"/>
                <w:kern w:val="0"/>
                <w:szCs w:val="21"/>
                <w:lang w:eastAsia="zh-CN"/>
              </w:rPr>
              <w:t>当地</w:t>
            </w:r>
            <w:r>
              <w:rPr>
                <w:rFonts w:hAnsiTheme="minorEastAsia" w:eastAsiaTheme="minorEastAsia"/>
                <w:color w:val="auto"/>
                <w:kern w:val="0"/>
                <w:szCs w:val="21"/>
              </w:rPr>
              <w:t>城管部门指定的场所处置。</w:t>
            </w:r>
          </w:p>
        </w:tc>
        <w:tc>
          <w:tcPr>
            <w:tcW w:w="935" w:type="pct"/>
            <w:vAlign w:val="center"/>
          </w:tcPr>
          <w:p w14:paraId="0B59106C">
            <w:pPr>
              <w:keepNext w:val="0"/>
              <w:keepLines w:val="0"/>
              <w:pageBreakBefore w:val="0"/>
              <w:widowControl w:val="0"/>
              <w:kinsoku/>
              <w:wordWrap/>
              <w:overflowPunct/>
              <w:topLinePunct w:val="0"/>
              <w:autoSpaceDE w:val="0"/>
              <w:autoSpaceDN w:val="0"/>
              <w:bidi w:val="0"/>
              <w:adjustRightInd w:val="0"/>
              <w:snapToGrid/>
              <w:spacing w:line="250" w:lineRule="exact"/>
              <w:textAlignment w:val="auto"/>
              <w:rPr>
                <w:rFonts w:hint="eastAsia" w:eastAsiaTheme="minorEastAsia"/>
                <w:color w:val="auto"/>
                <w:kern w:val="0"/>
                <w:szCs w:val="21"/>
                <w:lang w:eastAsia="zh-CN"/>
              </w:rPr>
            </w:pPr>
            <w:r>
              <w:rPr>
                <w:rFonts w:hint="eastAsia" w:hAnsiTheme="minorEastAsia" w:eastAsiaTheme="minorEastAsia"/>
                <w:color w:val="auto"/>
                <w:kern w:val="0"/>
                <w:szCs w:val="21"/>
                <w:lang w:val="en-US" w:eastAsia="zh-CN"/>
              </w:rPr>
              <w:t>全线无建筑垃圾、弃渣、生活垃圾随意堆放在耕地、河道旁</w:t>
            </w:r>
            <w:r>
              <w:rPr>
                <w:rFonts w:hAnsiTheme="minorEastAsia" w:eastAsiaTheme="minorEastAsia"/>
                <w:color w:val="auto"/>
                <w:szCs w:val="21"/>
              </w:rPr>
              <w:t>。</w:t>
            </w:r>
            <w:r>
              <w:rPr>
                <w:rFonts w:hint="eastAsia" w:hAnsiTheme="minorEastAsia" w:eastAsiaTheme="minorEastAsia"/>
                <w:color w:val="auto"/>
                <w:szCs w:val="21"/>
              </w:rPr>
              <w:t>危废暂存间防渗、标识齐全，转移联单完整无缺失</w:t>
            </w:r>
            <w:r>
              <w:rPr>
                <w:rFonts w:hint="eastAsia" w:hAnsiTheme="minorEastAsia" w:eastAsiaTheme="minorEastAsia"/>
                <w:color w:val="auto"/>
                <w:szCs w:val="21"/>
                <w:lang w:eastAsia="zh-CN"/>
              </w:rPr>
              <w:t>。</w:t>
            </w:r>
          </w:p>
        </w:tc>
        <w:tc>
          <w:tcPr>
            <w:tcW w:w="991" w:type="pct"/>
            <w:vAlign w:val="center"/>
          </w:tcPr>
          <w:p w14:paraId="72D7BBEC">
            <w:pPr>
              <w:keepNext w:val="0"/>
              <w:keepLines w:val="0"/>
              <w:pageBreakBefore w:val="0"/>
              <w:widowControl w:val="0"/>
              <w:kinsoku/>
              <w:wordWrap/>
              <w:overflowPunct/>
              <w:topLinePunct w:val="0"/>
              <w:autoSpaceDE w:val="0"/>
              <w:autoSpaceDN w:val="0"/>
              <w:bidi w:val="0"/>
              <w:adjustRightInd w:val="0"/>
              <w:snapToGrid/>
              <w:spacing w:line="250" w:lineRule="exact"/>
              <w:textAlignment w:val="auto"/>
              <w:rPr>
                <w:rFonts w:eastAsiaTheme="minorEastAsia"/>
                <w:color w:val="auto"/>
                <w:kern w:val="0"/>
                <w:szCs w:val="21"/>
              </w:rPr>
            </w:pPr>
            <w:r>
              <w:rPr>
                <w:rFonts w:hAnsiTheme="minorEastAsia" w:eastAsiaTheme="minorEastAsia"/>
                <w:color w:val="auto"/>
                <w:kern w:val="0"/>
                <w:szCs w:val="21"/>
              </w:rPr>
              <w:t>应对道路垃圾进行收集，清扫、集中处理</w:t>
            </w:r>
            <w:r>
              <w:rPr>
                <w:rFonts w:hint="eastAsia" w:hAnsiTheme="minorEastAsia" w:eastAsiaTheme="minorEastAsia"/>
                <w:color w:val="auto"/>
                <w:kern w:val="0"/>
                <w:szCs w:val="21"/>
              </w:rPr>
              <w:t>；</w:t>
            </w:r>
            <w:r>
              <w:rPr>
                <w:rFonts w:hAnsiTheme="minorEastAsia" w:eastAsiaTheme="minorEastAsia"/>
                <w:color w:val="auto"/>
                <w:kern w:val="0"/>
                <w:szCs w:val="21"/>
              </w:rPr>
              <w:t>在</w:t>
            </w:r>
            <w:r>
              <w:rPr>
                <w:rFonts w:hint="eastAsia" w:hAnsiTheme="minorEastAsia" w:eastAsiaTheme="minorEastAsia"/>
                <w:color w:val="auto"/>
                <w:kern w:val="0"/>
                <w:szCs w:val="21"/>
                <w:lang w:val="en-US" w:eastAsia="zh-CN"/>
              </w:rPr>
              <w:t>沿线设施内</w:t>
            </w:r>
            <w:r>
              <w:rPr>
                <w:rFonts w:hAnsiTheme="minorEastAsia" w:eastAsiaTheme="minorEastAsia"/>
                <w:color w:val="auto"/>
                <w:kern w:val="0"/>
                <w:szCs w:val="21"/>
              </w:rPr>
              <w:t>设置生活垃圾临时存储设施，定期由环卫部门统一清运处理。</w:t>
            </w:r>
          </w:p>
        </w:tc>
        <w:tc>
          <w:tcPr>
            <w:tcW w:w="972" w:type="pct"/>
            <w:vAlign w:val="center"/>
          </w:tcPr>
          <w:p w14:paraId="595151E1">
            <w:pPr>
              <w:keepNext w:val="0"/>
              <w:keepLines w:val="0"/>
              <w:pageBreakBefore w:val="0"/>
              <w:widowControl w:val="0"/>
              <w:kinsoku/>
              <w:wordWrap/>
              <w:overflowPunct/>
              <w:topLinePunct w:val="0"/>
              <w:autoSpaceDE w:val="0"/>
              <w:autoSpaceDN w:val="0"/>
              <w:bidi w:val="0"/>
              <w:adjustRightInd w:val="0"/>
              <w:snapToGrid/>
              <w:spacing w:line="250" w:lineRule="exact"/>
              <w:textAlignment w:val="auto"/>
              <w:rPr>
                <w:rFonts w:eastAsiaTheme="minorEastAsia"/>
                <w:color w:val="auto"/>
                <w:kern w:val="0"/>
                <w:szCs w:val="21"/>
              </w:rPr>
            </w:pPr>
            <w:r>
              <w:rPr>
                <w:rFonts w:hint="eastAsia" w:hAnsiTheme="minorEastAsia" w:eastAsiaTheme="minorEastAsia"/>
                <w:color w:val="auto"/>
                <w:kern w:val="0"/>
                <w:szCs w:val="21"/>
                <w:lang w:val="en-US" w:eastAsia="zh-CN"/>
              </w:rPr>
              <w:t>沿线设施生活垃圾</w:t>
            </w:r>
            <w:r>
              <w:rPr>
                <w:rFonts w:hint="eastAsia" w:hAnsiTheme="minorEastAsia" w:eastAsiaTheme="minorEastAsia"/>
                <w:color w:val="auto"/>
                <w:kern w:val="0"/>
                <w:szCs w:val="21"/>
              </w:rPr>
              <w:t>收集设施齐全，清运记录连续完整</w:t>
            </w:r>
            <w:r>
              <w:rPr>
                <w:rFonts w:hAnsiTheme="minorEastAsia" w:eastAsiaTheme="minorEastAsia"/>
                <w:color w:val="auto"/>
                <w:szCs w:val="21"/>
              </w:rPr>
              <w:t>。</w:t>
            </w:r>
          </w:p>
        </w:tc>
      </w:tr>
      <w:tr w14:paraId="32216D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061" w:type="pct"/>
            <w:vAlign w:val="center"/>
          </w:tcPr>
          <w:p w14:paraId="01B151F8">
            <w:pPr>
              <w:keepNext w:val="0"/>
              <w:keepLines w:val="0"/>
              <w:pageBreakBefore w:val="0"/>
              <w:widowControl w:val="0"/>
              <w:kinsoku/>
              <w:wordWrap/>
              <w:overflowPunct/>
              <w:topLinePunct w:val="0"/>
              <w:bidi w:val="0"/>
              <w:adjustRightInd w:val="0"/>
              <w:snapToGrid/>
              <w:spacing w:line="250" w:lineRule="exact"/>
              <w:jc w:val="center"/>
              <w:textAlignment w:val="auto"/>
              <w:rPr>
                <w:rFonts w:eastAsiaTheme="minorEastAsia"/>
                <w:color w:val="auto"/>
                <w:szCs w:val="21"/>
              </w:rPr>
            </w:pPr>
            <w:r>
              <w:rPr>
                <w:rFonts w:hAnsiTheme="minorEastAsia" w:eastAsiaTheme="minorEastAsia"/>
                <w:color w:val="auto"/>
                <w:szCs w:val="21"/>
              </w:rPr>
              <w:t>电磁环境</w:t>
            </w:r>
          </w:p>
        </w:tc>
        <w:tc>
          <w:tcPr>
            <w:tcW w:w="1040" w:type="pct"/>
            <w:vAlign w:val="center"/>
          </w:tcPr>
          <w:p w14:paraId="0AA25391">
            <w:pPr>
              <w:keepNext w:val="0"/>
              <w:keepLines w:val="0"/>
              <w:pageBreakBefore w:val="0"/>
              <w:widowControl w:val="0"/>
              <w:kinsoku/>
              <w:wordWrap/>
              <w:overflowPunct/>
              <w:topLinePunct w:val="0"/>
              <w:bidi w:val="0"/>
              <w:adjustRightInd w:val="0"/>
              <w:snapToGrid/>
              <w:spacing w:line="250" w:lineRule="exact"/>
              <w:textAlignment w:val="auto"/>
              <w:rPr>
                <w:rFonts w:eastAsiaTheme="minorEastAsia"/>
                <w:color w:val="auto"/>
                <w:szCs w:val="21"/>
              </w:rPr>
            </w:pPr>
            <w:r>
              <w:rPr>
                <w:rFonts w:eastAsiaTheme="minorEastAsia"/>
                <w:color w:val="auto"/>
                <w:szCs w:val="21"/>
              </w:rPr>
              <w:t>/</w:t>
            </w:r>
          </w:p>
        </w:tc>
        <w:tc>
          <w:tcPr>
            <w:tcW w:w="935" w:type="pct"/>
            <w:vAlign w:val="center"/>
          </w:tcPr>
          <w:p w14:paraId="106C8533">
            <w:pPr>
              <w:keepNext w:val="0"/>
              <w:keepLines w:val="0"/>
              <w:pageBreakBefore w:val="0"/>
              <w:widowControl w:val="0"/>
              <w:kinsoku/>
              <w:wordWrap/>
              <w:overflowPunct/>
              <w:topLinePunct w:val="0"/>
              <w:bidi w:val="0"/>
              <w:adjustRightInd w:val="0"/>
              <w:snapToGrid/>
              <w:spacing w:line="250" w:lineRule="exact"/>
              <w:textAlignment w:val="auto"/>
              <w:rPr>
                <w:rFonts w:eastAsiaTheme="minorEastAsia"/>
                <w:color w:val="auto"/>
                <w:szCs w:val="21"/>
              </w:rPr>
            </w:pPr>
            <w:r>
              <w:rPr>
                <w:rFonts w:eastAsiaTheme="minorEastAsia"/>
                <w:color w:val="auto"/>
                <w:szCs w:val="21"/>
              </w:rPr>
              <w:t>/</w:t>
            </w:r>
          </w:p>
        </w:tc>
        <w:tc>
          <w:tcPr>
            <w:tcW w:w="991" w:type="pct"/>
            <w:vAlign w:val="center"/>
          </w:tcPr>
          <w:p w14:paraId="2E3E9D62">
            <w:pPr>
              <w:keepNext w:val="0"/>
              <w:keepLines w:val="0"/>
              <w:pageBreakBefore w:val="0"/>
              <w:widowControl w:val="0"/>
              <w:kinsoku/>
              <w:wordWrap/>
              <w:overflowPunct/>
              <w:topLinePunct w:val="0"/>
              <w:bidi w:val="0"/>
              <w:adjustRightInd w:val="0"/>
              <w:snapToGrid/>
              <w:spacing w:line="250" w:lineRule="exact"/>
              <w:textAlignment w:val="auto"/>
              <w:rPr>
                <w:rFonts w:eastAsiaTheme="minorEastAsia"/>
                <w:color w:val="auto"/>
                <w:szCs w:val="21"/>
              </w:rPr>
            </w:pPr>
            <w:r>
              <w:rPr>
                <w:rFonts w:eastAsiaTheme="minorEastAsia"/>
                <w:color w:val="auto"/>
                <w:szCs w:val="21"/>
              </w:rPr>
              <w:t>/</w:t>
            </w:r>
          </w:p>
        </w:tc>
        <w:tc>
          <w:tcPr>
            <w:tcW w:w="972" w:type="pct"/>
            <w:vAlign w:val="center"/>
          </w:tcPr>
          <w:p w14:paraId="3328751B">
            <w:pPr>
              <w:keepNext w:val="0"/>
              <w:keepLines w:val="0"/>
              <w:pageBreakBefore w:val="0"/>
              <w:widowControl w:val="0"/>
              <w:kinsoku/>
              <w:wordWrap/>
              <w:overflowPunct/>
              <w:topLinePunct w:val="0"/>
              <w:bidi w:val="0"/>
              <w:adjustRightInd w:val="0"/>
              <w:snapToGrid/>
              <w:spacing w:line="250" w:lineRule="exact"/>
              <w:textAlignment w:val="auto"/>
              <w:rPr>
                <w:rFonts w:eastAsiaTheme="minorEastAsia"/>
                <w:color w:val="auto"/>
                <w:szCs w:val="21"/>
              </w:rPr>
            </w:pPr>
            <w:r>
              <w:rPr>
                <w:rFonts w:eastAsiaTheme="minorEastAsia"/>
                <w:color w:val="auto"/>
                <w:szCs w:val="21"/>
              </w:rPr>
              <w:t>/</w:t>
            </w:r>
          </w:p>
        </w:tc>
      </w:tr>
      <w:tr w14:paraId="1A2244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61" w:type="pct"/>
            <w:vAlign w:val="center"/>
          </w:tcPr>
          <w:p w14:paraId="476D0467">
            <w:pPr>
              <w:keepNext w:val="0"/>
              <w:keepLines w:val="0"/>
              <w:pageBreakBefore w:val="0"/>
              <w:widowControl w:val="0"/>
              <w:kinsoku/>
              <w:wordWrap/>
              <w:overflowPunct/>
              <w:topLinePunct w:val="0"/>
              <w:bidi w:val="0"/>
              <w:adjustRightInd w:val="0"/>
              <w:snapToGrid/>
              <w:spacing w:line="250" w:lineRule="exact"/>
              <w:jc w:val="center"/>
              <w:textAlignment w:val="auto"/>
              <w:rPr>
                <w:rFonts w:eastAsiaTheme="minorEastAsia"/>
                <w:color w:val="auto"/>
                <w:szCs w:val="21"/>
              </w:rPr>
            </w:pPr>
            <w:r>
              <w:rPr>
                <w:rFonts w:hAnsiTheme="minorEastAsia" w:eastAsiaTheme="minorEastAsia"/>
                <w:color w:val="auto"/>
                <w:szCs w:val="21"/>
              </w:rPr>
              <w:t>环境风险</w:t>
            </w:r>
          </w:p>
        </w:tc>
        <w:tc>
          <w:tcPr>
            <w:tcW w:w="1040" w:type="pct"/>
            <w:vAlign w:val="center"/>
          </w:tcPr>
          <w:p w14:paraId="3C4EB86D">
            <w:pPr>
              <w:keepNext w:val="0"/>
              <w:keepLines w:val="0"/>
              <w:pageBreakBefore w:val="0"/>
              <w:widowControl w:val="0"/>
              <w:kinsoku/>
              <w:wordWrap/>
              <w:overflowPunct/>
              <w:topLinePunct w:val="0"/>
              <w:bidi w:val="0"/>
              <w:adjustRightInd w:val="0"/>
              <w:snapToGrid/>
              <w:spacing w:line="250" w:lineRule="exact"/>
              <w:textAlignment w:val="auto"/>
              <w:rPr>
                <w:rFonts w:hint="eastAsia" w:eastAsiaTheme="minorEastAsia"/>
                <w:color w:val="auto"/>
                <w:szCs w:val="21"/>
                <w:lang w:eastAsia="zh-CN"/>
              </w:rPr>
            </w:pPr>
            <w:r>
              <w:rPr>
                <w:rFonts w:hint="eastAsia" w:eastAsiaTheme="minorEastAsia"/>
                <w:color w:val="auto"/>
                <w:szCs w:val="21"/>
              </w:rPr>
              <w:t>施工泥浆、拌合</w:t>
            </w:r>
            <w:r>
              <w:rPr>
                <w:rFonts w:hint="default" w:eastAsiaTheme="minorEastAsia"/>
                <w:color w:val="auto"/>
                <w:szCs w:val="21"/>
              </w:rPr>
              <w:t>站</w:t>
            </w:r>
            <w:r>
              <w:rPr>
                <w:rFonts w:hint="eastAsia" w:eastAsiaTheme="minorEastAsia"/>
                <w:color w:val="auto"/>
                <w:szCs w:val="21"/>
              </w:rPr>
              <w:t>废水直排淤积河道；机械漏油、化学品随雨水冲刷，污染地表水、地下水及饮用水源</w:t>
            </w:r>
            <w:r>
              <w:rPr>
                <w:rFonts w:hint="eastAsia" w:eastAsiaTheme="minorEastAsia"/>
                <w:color w:val="auto"/>
                <w:szCs w:val="21"/>
                <w:lang w:eastAsia="zh-CN"/>
              </w:rPr>
              <w:t>。</w:t>
            </w:r>
          </w:p>
        </w:tc>
        <w:tc>
          <w:tcPr>
            <w:tcW w:w="935" w:type="pct"/>
            <w:vAlign w:val="center"/>
          </w:tcPr>
          <w:p w14:paraId="3305F707">
            <w:pPr>
              <w:keepNext w:val="0"/>
              <w:keepLines w:val="0"/>
              <w:pageBreakBefore w:val="0"/>
              <w:widowControl w:val="0"/>
              <w:kinsoku/>
              <w:wordWrap/>
              <w:overflowPunct/>
              <w:topLinePunct w:val="0"/>
              <w:bidi w:val="0"/>
              <w:adjustRightInd w:val="0"/>
              <w:snapToGrid/>
              <w:spacing w:line="250" w:lineRule="exact"/>
              <w:textAlignment w:val="auto"/>
              <w:rPr>
                <w:rFonts w:hint="eastAsia" w:eastAsiaTheme="minorEastAsia"/>
                <w:color w:val="auto"/>
                <w:szCs w:val="21"/>
                <w:lang w:eastAsia="zh-CN"/>
              </w:rPr>
            </w:pPr>
            <w:r>
              <w:rPr>
                <w:rFonts w:hint="eastAsia" w:eastAsiaTheme="minorEastAsia"/>
                <w:color w:val="auto"/>
                <w:szCs w:val="21"/>
              </w:rPr>
              <w:t>设置沉淀池集中处理施工废水、泥浆，达标回用或</w:t>
            </w:r>
            <w:r>
              <w:rPr>
                <w:rFonts w:hint="eastAsia" w:eastAsiaTheme="minorEastAsia"/>
                <w:color w:val="auto"/>
                <w:szCs w:val="21"/>
                <w:lang w:val="en-US" w:eastAsia="zh-CN"/>
              </w:rPr>
              <w:t>妥善处置</w:t>
            </w:r>
            <w:r>
              <w:rPr>
                <w:rFonts w:hint="eastAsia" w:eastAsiaTheme="minorEastAsia"/>
                <w:color w:val="auto"/>
                <w:szCs w:val="21"/>
              </w:rPr>
              <w:t>；机械设备做好防渗防漏措施，定期检查保养；施工现场设置排水沟、截水沟，遮挡防护物料，防止雨水冲刷夹带污水入水体，严禁污水直排河道</w:t>
            </w:r>
            <w:r>
              <w:rPr>
                <w:rFonts w:hint="eastAsia" w:eastAsiaTheme="minorEastAsia"/>
                <w:color w:val="auto"/>
                <w:szCs w:val="21"/>
                <w:lang w:eastAsia="zh-CN"/>
              </w:rPr>
              <w:t>。</w:t>
            </w:r>
          </w:p>
        </w:tc>
        <w:tc>
          <w:tcPr>
            <w:tcW w:w="991" w:type="pct"/>
            <w:vAlign w:val="center"/>
          </w:tcPr>
          <w:p w14:paraId="06E2A1AF">
            <w:pPr>
              <w:keepNext w:val="0"/>
              <w:keepLines w:val="0"/>
              <w:pageBreakBefore w:val="0"/>
              <w:widowControl w:val="0"/>
              <w:kinsoku/>
              <w:wordWrap/>
              <w:overflowPunct/>
              <w:topLinePunct w:val="0"/>
              <w:autoSpaceDE w:val="0"/>
              <w:autoSpaceDN w:val="0"/>
              <w:bidi w:val="0"/>
              <w:adjustRightInd w:val="0"/>
              <w:snapToGrid/>
              <w:spacing w:line="250" w:lineRule="exact"/>
              <w:textAlignment w:val="auto"/>
              <w:rPr>
                <w:rFonts w:eastAsiaTheme="minorEastAsia"/>
                <w:color w:val="auto"/>
                <w:kern w:val="0"/>
                <w:szCs w:val="21"/>
              </w:rPr>
            </w:pPr>
            <w:r>
              <w:rPr>
                <w:rFonts w:hAnsiTheme="minorEastAsia" w:eastAsiaTheme="minorEastAsia"/>
                <w:color w:val="auto"/>
                <w:kern w:val="0"/>
                <w:szCs w:val="21"/>
              </w:rPr>
              <w:t>强化</w:t>
            </w:r>
            <w:r>
              <w:rPr>
                <w:rFonts w:eastAsiaTheme="minorEastAsia"/>
                <w:color w:val="auto"/>
              </w:rPr>
              <w:t>跨越</w:t>
            </w:r>
            <w:r>
              <w:rPr>
                <w:rFonts w:hint="eastAsia" w:eastAsiaTheme="minorEastAsia"/>
                <w:color w:val="auto"/>
                <w:lang w:val="en-US" w:eastAsia="zh-CN"/>
              </w:rPr>
              <w:t>敏感</w:t>
            </w:r>
            <w:r>
              <w:rPr>
                <w:rFonts w:eastAsiaTheme="minorEastAsia"/>
                <w:color w:val="auto"/>
              </w:rPr>
              <w:t>水体桥梁路段、</w:t>
            </w:r>
            <w:r>
              <w:rPr>
                <w:rFonts w:hint="eastAsia" w:eastAsiaTheme="minorEastAsia"/>
                <w:color w:val="auto"/>
                <w:lang w:val="en-US" w:eastAsia="zh-CN"/>
              </w:rPr>
              <w:t>临近</w:t>
            </w:r>
            <w:r>
              <w:rPr>
                <w:rFonts w:eastAsiaTheme="minorEastAsia"/>
                <w:color w:val="auto"/>
              </w:rPr>
              <w:t>水源保护区路段</w:t>
            </w:r>
            <w:r>
              <w:rPr>
                <w:rFonts w:hAnsiTheme="minorEastAsia" w:eastAsiaTheme="minorEastAsia"/>
                <w:color w:val="auto"/>
                <w:kern w:val="0"/>
                <w:szCs w:val="21"/>
              </w:rPr>
              <w:t>桥（路）面径流收集装置、事故</w:t>
            </w:r>
            <w:r>
              <w:rPr>
                <w:rFonts w:hint="eastAsia" w:hAnsiTheme="minorEastAsia" w:eastAsiaTheme="minorEastAsia"/>
                <w:color w:val="auto"/>
                <w:kern w:val="0"/>
                <w:szCs w:val="21"/>
                <w:lang w:val="en-US" w:eastAsia="zh-CN"/>
              </w:rPr>
              <w:t>应急</w:t>
            </w:r>
            <w:r>
              <w:rPr>
                <w:rFonts w:hAnsiTheme="minorEastAsia" w:eastAsiaTheme="minorEastAsia"/>
                <w:color w:val="auto"/>
                <w:kern w:val="0"/>
                <w:szCs w:val="21"/>
              </w:rPr>
              <w:t>池</w:t>
            </w:r>
            <w:r>
              <w:rPr>
                <w:rFonts w:hint="eastAsia" w:hAnsiTheme="minorEastAsia" w:eastAsiaTheme="minorEastAsia"/>
                <w:color w:val="auto"/>
                <w:kern w:val="0"/>
                <w:szCs w:val="21"/>
                <w:lang w:eastAsia="zh-CN"/>
              </w:rPr>
              <w:t>、</w:t>
            </w:r>
            <w:r>
              <w:rPr>
                <w:rFonts w:hint="eastAsia" w:hAnsiTheme="minorEastAsia" w:eastAsiaTheme="minorEastAsia"/>
                <w:color w:val="auto"/>
                <w:kern w:val="0"/>
                <w:szCs w:val="21"/>
                <w:lang w:val="en-US" w:eastAsia="zh-CN"/>
              </w:rPr>
              <w:t>防撞护栏设计，增加警示标志，强化跨干渠防撞护栏设计，增加警示标志</w:t>
            </w:r>
            <w:r>
              <w:rPr>
                <w:rFonts w:hAnsiTheme="minorEastAsia" w:eastAsiaTheme="minorEastAsia"/>
                <w:color w:val="auto"/>
                <w:kern w:val="0"/>
                <w:szCs w:val="21"/>
              </w:rPr>
              <w:t>；加强对车辆的管理；编制事故应急预案，防范突发性风险事故措施的情况。</w:t>
            </w:r>
          </w:p>
        </w:tc>
        <w:tc>
          <w:tcPr>
            <w:tcW w:w="972" w:type="pct"/>
            <w:vAlign w:val="center"/>
          </w:tcPr>
          <w:p w14:paraId="3F617DC2">
            <w:pPr>
              <w:keepNext w:val="0"/>
              <w:keepLines w:val="0"/>
              <w:pageBreakBefore w:val="0"/>
              <w:widowControl w:val="0"/>
              <w:kinsoku/>
              <w:wordWrap/>
              <w:overflowPunct/>
              <w:topLinePunct w:val="0"/>
              <w:bidi w:val="0"/>
              <w:adjustRightInd w:val="0"/>
              <w:snapToGrid/>
              <w:spacing w:line="250" w:lineRule="exact"/>
              <w:textAlignment w:val="auto"/>
              <w:rPr>
                <w:rFonts w:hint="eastAsia" w:eastAsiaTheme="minorEastAsia"/>
                <w:color w:val="auto"/>
                <w:szCs w:val="21"/>
                <w:lang w:eastAsia="zh-CN"/>
              </w:rPr>
            </w:pPr>
            <w:r>
              <w:rPr>
                <w:rFonts w:hint="eastAsia" w:hAnsiTheme="minorEastAsia" w:eastAsiaTheme="minorEastAsia"/>
                <w:color w:val="auto"/>
                <w:szCs w:val="21"/>
              </w:rPr>
              <w:t>临近水源</w:t>
            </w:r>
            <w:r>
              <w:rPr>
                <w:rFonts w:hint="eastAsia" w:hAnsiTheme="minorEastAsia" w:eastAsiaTheme="minorEastAsia"/>
                <w:color w:val="auto"/>
                <w:szCs w:val="21"/>
                <w:lang w:eastAsia="zh-CN"/>
              </w:rPr>
              <w:t>、</w:t>
            </w:r>
            <w:r>
              <w:rPr>
                <w:rFonts w:hint="eastAsia" w:hAnsiTheme="minorEastAsia" w:eastAsiaTheme="minorEastAsia"/>
                <w:color w:val="auto"/>
                <w:szCs w:val="21"/>
                <w:lang w:val="en-US" w:eastAsia="zh-CN"/>
              </w:rPr>
              <w:t>跨敏感水体和干渠桥梁路段相应的</w:t>
            </w:r>
            <w:r>
              <w:rPr>
                <w:rFonts w:hint="eastAsia" w:hAnsiTheme="minorEastAsia" w:eastAsiaTheme="minorEastAsia"/>
                <w:color w:val="auto"/>
                <w:szCs w:val="21"/>
              </w:rPr>
              <w:t>应急池、防渗、防撞护栏、</w:t>
            </w:r>
            <w:r>
              <w:rPr>
                <w:rFonts w:hint="eastAsia" w:hAnsiTheme="minorEastAsia" w:eastAsiaTheme="minorEastAsia"/>
                <w:color w:val="auto"/>
                <w:szCs w:val="21"/>
                <w:lang w:eastAsia="zh-CN"/>
              </w:rPr>
              <w:t>警示</w:t>
            </w:r>
            <w:r>
              <w:rPr>
                <w:rFonts w:hint="eastAsia" w:hAnsiTheme="minorEastAsia" w:eastAsiaTheme="minorEastAsia"/>
                <w:color w:val="auto"/>
                <w:szCs w:val="21"/>
              </w:rPr>
              <w:t>、</w:t>
            </w:r>
            <w:r>
              <w:rPr>
                <w:rFonts w:hint="eastAsia" w:hAnsiTheme="minorEastAsia" w:eastAsiaTheme="minorEastAsia"/>
                <w:color w:val="auto"/>
                <w:szCs w:val="21"/>
                <w:lang w:val="en-US" w:eastAsia="zh-CN"/>
              </w:rPr>
              <w:t>防抛网、</w:t>
            </w:r>
            <w:r>
              <w:rPr>
                <w:rFonts w:hint="eastAsia" w:hAnsiTheme="minorEastAsia" w:eastAsiaTheme="minorEastAsia"/>
                <w:color w:val="auto"/>
                <w:szCs w:val="21"/>
              </w:rPr>
              <w:t>视频监控全部安装到位；养护工区应急物资库物资足额、定期补充；应急预案完成生态</w:t>
            </w:r>
            <w:r>
              <w:rPr>
                <w:rFonts w:hint="eastAsia" w:hAnsiTheme="minorEastAsia" w:eastAsiaTheme="minorEastAsia"/>
                <w:color w:val="auto"/>
                <w:szCs w:val="21"/>
                <w:lang w:val="en-US" w:eastAsia="zh-CN"/>
              </w:rPr>
              <w:t>环境主管</w:t>
            </w:r>
            <w:r>
              <w:rPr>
                <w:rFonts w:hint="eastAsia" w:hAnsiTheme="minorEastAsia" w:eastAsiaTheme="minorEastAsia"/>
                <w:color w:val="auto"/>
                <w:szCs w:val="21"/>
              </w:rPr>
              <w:t>部门备案，应急演练台账齐全</w:t>
            </w:r>
            <w:r>
              <w:rPr>
                <w:rFonts w:hint="eastAsia" w:hAnsiTheme="minorEastAsia" w:eastAsiaTheme="minorEastAsia"/>
                <w:color w:val="auto"/>
                <w:szCs w:val="21"/>
                <w:lang w:eastAsia="zh-CN"/>
              </w:rPr>
              <w:t>。</w:t>
            </w:r>
          </w:p>
        </w:tc>
      </w:tr>
      <w:tr w14:paraId="55428A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5" w:hRule="atLeast"/>
        </w:trPr>
        <w:tc>
          <w:tcPr>
            <w:tcW w:w="1061" w:type="pct"/>
            <w:vAlign w:val="center"/>
          </w:tcPr>
          <w:p w14:paraId="2FA63354">
            <w:pPr>
              <w:keepNext w:val="0"/>
              <w:keepLines w:val="0"/>
              <w:pageBreakBefore w:val="0"/>
              <w:widowControl w:val="0"/>
              <w:kinsoku/>
              <w:wordWrap/>
              <w:overflowPunct/>
              <w:topLinePunct w:val="0"/>
              <w:bidi w:val="0"/>
              <w:adjustRightInd w:val="0"/>
              <w:snapToGrid/>
              <w:spacing w:line="250" w:lineRule="exact"/>
              <w:jc w:val="center"/>
              <w:textAlignment w:val="auto"/>
              <w:rPr>
                <w:rFonts w:eastAsiaTheme="minorEastAsia"/>
                <w:color w:val="auto"/>
                <w:szCs w:val="21"/>
              </w:rPr>
            </w:pPr>
            <w:r>
              <w:rPr>
                <w:rFonts w:hAnsiTheme="minorEastAsia" w:eastAsiaTheme="minorEastAsia"/>
                <w:color w:val="auto"/>
                <w:szCs w:val="21"/>
              </w:rPr>
              <w:t>环境监测</w:t>
            </w:r>
          </w:p>
        </w:tc>
        <w:tc>
          <w:tcPr>
            <w:tcW w:w="1040" w:type="pct"/>
            <w:vAlign w:val="center"/>
          </w:tcPr>
          <w:p w14:paraId="160BDB2F">
            <w:pPr>
              <w:keepNext w:val="0"/>
              <w:keepLines w:val="0"/>
              <w:pageBreakBefore w:val="0"/>
              <w:widowControl w:val="0"/>
              <w:kinsoku/>
              <w:wordWrap/>
              <w:overflowPunct/>
              <w:topLinePunct w:val="0"/>
              <w:bidi w:val="0"/>
              <w:adjustRightInd w:val="0"/>
              <w:snapToGrid/>
              <w:spacing w:line="250" w:lineRule="exact"/>
              <w:textAlignment w:val="auto"/>
              <w:rPr>
                <w:rFonts w:hint="eastAsia" w:eastAsiaTheme="minorEastAsia"/>
                <w:color w:val="auto"/>
                <w:szCs w:val="21"/>
                <w:lang w:eastAsia="zh-CN"/>
              </w:rPr>
            </w:pPr>
            <w:r>
              <w:rPr>
                <w:rFonts w:hAnsiTheme="minorEastAsia" w:eastAsiaTheme="minorEastAsia"/>
                <w:color w:val="auto"/>
                <w:kern w:val="0"/>
                <w:szCs w:val="21"/>
              </w:rPr>
              <w:t>按计划</w:t>
            </w:r>
            <w:r>
              <w:rPr>
                <w:rFonts w:hint="eastAsia" w:hAnsiTheme="minorEastAsia" w:eastAsiaTheme="minorEastAsia"/>
                <w:color w:val="auto"/>
                <w:kern w:val="0"/>
                <w:szCs w:val="21"/>
                <w:lang w:val="en-US" w:eastAsia="zh-CN"/>
              </w:rPr>
              <w:t>开展水、气、噪声</w:t>
            </w:r>
            <w:r>
              <w:rPr>
                <w:rFonts w:hAnsiTheme="minorEastAsia" w:eastAsiaTheme="minorEastAsia"/>
                <w:color w:val="auto"/>
                <w:kern w:val="0"/>
                <w:szCs w:val="21"/>
              </w:rPr>
              <w:t>环境监测</w:t>
            </w:r>
            <w:r>
              <w:rPr>
                <w:rFonts w:hint="eastAsia" w:hAnsiTheme="minorEastAsia" w:eastAsiaTheme="minorEastAsia"/>
                <w:color w:val="auto"/>
                <w:kern w:val="0"/>
                <w:szCs w:val="21"/>
                <w:lang w:eastAsia="zh-CN"/>
              </w:rPr>
              <w:t>。</w:t>
            </w:r>
          </w:p>
        </w:tc>
        <w:tc>
          <w:tcPr>
            <w:tcW w:w="935" w:type="pct"/>
            <w:vAlign w:val="center"/>
          </w:tcPr>
          <w:p w14:paraId="5FE4605B">
            <w:pPr>
              <w:keepNext w:val="0"/>
              <w:keepLines w:val="0"/>
              <w:pageBreakBefore w:val="0"/>
              <w:widowControl w:val="0"/>
              <w:kinsoku/>
              <w:wordWrap/>
              <w:overflowPunct/>
              <w:topLinePunct w:val="0"/>
              <w:bidi w:val="0"/>
              <w:adjustRightInd w:val="0"/>
              <w:snapToGrid/>
              <w:spacing w:line="250" w:lineRule="exact"/>
              <w:textAlignment w:val="auto"/>
              <w:rPr>
                <w:rFonts w:hint="eastAsia" w:eastAsiaTheme="minorEastAsia"/>
                <w:color w:val="auto"/>
                <w:szCs w:val="21"/>
                <w:lang w:eastAsia="zh-CN"/>
              </w:rPr>
            </w:pPr>
            <w:r>
              <w:rPr>
                <w:rFonts w:hint="eastAsia" w:hAnsiTheme="minorEastAsia" w:eastAsiaTheme="minorEastAsia"/>
                <w:color w:val="auto"/>
                <w:szCs w:val="21"/>
              </w:rPr>
              <w:t>施工各阶段监测报告齐全，超标点位配套完整整改资料</w:t>
            </w:r>
            <w:r>
              <w:rPr>
                <w:rFonts w:hint="eastAsia" w:hAnsiTheme="minorEastAsia" w:eastAsiaTheme="minorEastAsia"/>
                <w:color w:val="auto"/>
                <w:szCs w:val="21"/>
                <w:lang w:eastAsia="zh-CN"/>
              </w:rPr>
              <w:t>。</w:t>
            </w:r>
          </w:p>
        </w:tc>
        <w:tc>
          <w:tcPr>
            <w:tcW w:w="991" w:type="pct"/>
            <w:vAlign w:val="center"/>
          </w:tcPr>
          <w:p w14:paraId="57516B6F">
            <w:pPr>
              <w:keepNext w:val="0"/>
              <w:keepLines w:val="0"/>
              <w:pageBreakBefore w:val="0"/>
              <w:widowControl w:val="0"/>
              <w:kinsoku/>
              <w:wordWrap/>
              <w:overflowPunct/>
              <w:topLinePunct w:val="0"/>
              <w:bidi w:val="0"/>
              <w:adjustRightInd w:val="0"/>
              <w:snapToGrid/>
              <w:spacing w:line="250" w:lineRule="exact"/>
              <w:textAlignment w:val="auto"/>
              <w:rPr>
                <w:rFonts w:hint="eastAsia" w:eastAsiaTheme="minorEastAsia"/>
                <w:color w:val="auto"/>
                <w:szCs w:val="21"/>
                <w:lang w:eastAsia="zh-CN"/>
              </w:rPr>
            </w:pPr>
            <w:r>
              <w:rPr>
                <w:rFonts w:hint="eastAsia" w:hAnsiTheme="minorEastAsia" w:eastAsiaTheme="minorEastAsia"/>
                <w:color w:val="auto"/>
                <w:kern w:val="0"/>
                <w:szCs w:val="21"/>
              </w:rPr>
              <w:t>按计划开展水、气、噪声环境监测</w:t>
            </w:r>
            <w:r>
              <w:rPr>
                <w:rFonts w:hint="eastAsia" w:hAnsiTheme="minorEastAsia" w:eastAsiaTheme="minorEastAsia"/>
                <w:color w:val="auto"/>
                <w:kern w:val="0"/>
                <w:szCs w:val="21"/>
                <w:lang w:eastAsia="zh-CN"/>
              </w:rPr>
              <w:t>。</w:t>
            </w:r>
          </w:p>
        </w:tc>
        <w:tc>
          <w:tcPr>
            <w:tcW w:w="972" w:type="pct"/>
            <w:vAlign w:val="center"/>
          </w:tcPr>
          <w:p w14:paraId="69935C23">
            <w:pPr>
              <w:keepNext w:val="0"/>
              <w:keepLines w:val="0"/>
              <w:pageBreakBefore w:val="0"/>
              <w:widowControl w:val="0"/>
              <w:kinsoku/>
              <w:wordWrap/>
              <w:overflowPunct/>
              <w:topLinePunct w:val="0"/>
              <w:bidi w:val="0"/>
              <w:adjustRightInd w:val="0"/>
              <w:snapToGrid/>
              <w:spacing w:line="250" w:lineRule="exact"/>
              <w:textAlignment w:val="auto"/>
              <w:rPr>
                <w:rFonts w:hint="eastAsia" w:eastAsiaTheme="minorEastAsia"/>
                <w:color w:val="auto"/>
                <w:szCs w:val="21"/>
                <w:lang w:eastAsia="zh-CN"/>
              </w:rPr>
            </w:pPr>
            <w:r>
              <w:rPr>
                <w:rFonts w:hint="eastAsia" w:hAnsiTheme="minorEastAsia" w:eastAsiaTheme="minorEastAsia"/>
                <w:color w:val="auto"/>
                <w:szCs w:val="21"/>
              </w:rPr>
              <w:t>运营监测点位、监测频次完全匹配环评方案，监测档案可完整调取</w:t>
            </w:r>
            <w:r>
              <w:rPr>
                <w:rFonts w:hint="eastAsia" w:hAnsiTheme="minorEastAsia" w:eastAsiaTheme="minorEastAsia"/>
                <w:color w:val="auto"/>
                <w:szCs w:val="21"/>
                <w:lang w:eastAsia="zh-CN"/>
              </w:rPr>
              <w:t>。</w:t>
            </w:r>
          </w:p>
        </w:tc>
      </w:tr>
      <w:tr w14:paraId="1E40B6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61" w:type="pct"/>
            <w:vAlign w:val="center"/>
          </w:tcPr>
          <w:p w14:paraId="74BE836D">
            <w:pPr>
              <w:keepNext w:val="0"/>
              <w:keepLines w:val="0"/>
              <w:pageBreakBefore w:val="0"/>
              <w:widowControl w:val="0"/>
              <w:kinsoku/>
              <w:wordWrap/>
              <w:overflowPunct/>
              <w:topLinePunct w:val="0"/>
              <w:bidi w:val="0"/>
              <w:adjustRightInd w:val="0"/>
              <w:snapToGrid/>
              <w:spacing w:line="250" w:lineRule="exact"/>
              <w:jc w:val="center"/>
              <w:textAlignment w:val="auto"/>
              <w:rPr>
                <w:rFonts w:eastAsiaTheme="minorEastAsia"/>
                <w:color w:val="auto"/>
                <w:szCs w:val="21"/>
              </w:rPr>
            </w:pPr>
            <w:r>
              <w:rPr>
                <w:rFonts w:hAnsiTheme="minorEastAsia" w:eastAsiaTheme="minorEastAsia"/>
                <w:color w:val="auto"/>
                <w:szCs w:val="21"/>
              </w:rPr>
              <w:t>其他</w:t>
            </w:r>
          </w:p>
        </w:tc>
        <w:tc>
          <w:tcPr>
            <w:tcW w:w="1040" w:type="pct"/>
            <w:vAlign w:val="center"/>
          </w:tcPr>
          <w:p w14:paraId="4BC4E60E">
            <w:pPr>
              <w:keepNext w:val="0"/>
              <w:keepLines w:val="0"/>
              <w:pageBreakBefore w:val="0"/>
              <w:widowControl w:val="0"/>
              <w:kinsoku/>
              <w:wordWrap/>
              <w:overflowPunct/>
              <w:topLinePunct w:val="0"/>
              <w:bidi w:val="0"/>
              <w:adjustRightInd w:val="0"/>
              <w:snapToGrid/>
              <w:spacing w:line="250" w:lineRule="exact"/>
              <w:textAlignment w:val="auto"/>
              <w:rPr>
                <w:rFonts w:eastAsiaTheme="minorEastAsia"/>
                <w:color w:val="auto"/>
                <w:szCs w:val="21"/>
              </w:rPr>
            </w:pPr>
            <w:r>
              <w:rPr>
                <w:rFonts w:eastAsiaTheme="minorEastAsia"/>
                <w:color w:val="auto"/>
                <w:szCs w:val="21"/>
              </w:rPr>
              <w:t>/</w:t>
            </w:r>
          </w:p>
        </w:tc>
        <w:tc>
          <w:tcPr>
            <w:tcW w:w="935" w:type="pct"/>
            <w:vAlign w:val="center"/>
          </w:tcPr>
          <w:p w14:paraId="5BBA91DB">
            <w:pPr>
              <w:keepNext w:val="0"/>
              <w:keepLines w:val="0"/>
              <w:pageBreakBefore w:val="0"/>
              <w:widowControl w:val="0"/>
              <w:kinsoku/>
              <w:wordWrap/>
              <w:overflowPunct/>
              <w:topLinePunct w:val="0"/>
              <w:bidi w:val="0"/>
              <w:adjustRightInd w:val="0"/>
              <w:snapToGrid/>
              <w:spacing w:line="250" w:lineRule="exact"/>
              <w:textAlignment w:val="auto"/>
              <w:rPr>
                <w:rFonts w:eastAsiaTheme="minorEastAsia"/>
                <w:color w:val="auto"/>
                <w:szCs w:val="21"/>
              </w:rPr>
            </w:pPr>
            <w:r>
              <w:rPr>
                <w:rFonts w:eastAsiaTheme="minorEastAsia"/>
                <w:color w:val="auto"/>
                <w:szCs w:val="21"/>
              </w:rPr>
              <w:t>/</w:t>
            </w:r>
          </w:p>
        </w:tc>
        <w:tc>
          <w:tcPr>
            <w:tcW w:w="991" w:type="pct"/>
            <w:vAlign w:val="center"/>
          </w:tcPr>
          <w:p w14:paraId="1F7A788B">
            <w:pPr>
              <w:keepNext w:val="0"/>
              <w:keepLines w:val="0"/>
              <w:pageBreakBefore w:val="0"/>
              <w:widowControl w:val="0"/>
              <w:kinsoku/>
              <w:wordWrap/>
              <w:overflowPunct/>
              <w:topLinePunct w:val="0"/>
              <w:bidi w:val="0"/>
              <w:adjustRightInd w:val="0"/>
              <w:snapToGrid/>
              <w:spacing w:line="250" w:lineRule="exact"/>
              <w:textAlignment w:val="auto"/>
              <w:rPr>
                <w:rFonts w:eastAsiaTheme="minorEastAsia"/>
                <w:color w:val="auto"/>
                <w:szCs w:val="21"/>
              </w:rPr>
            </w:pPr>
            <w:r>
              <w:rPr>
                <w:rFonts w:eastAsiaTheme="minorEastAsia"/>
                <w:color w:val="auto"/>
                <w:szCs w:val="21"/>
              </w:rPr>
              <w:t>/</w:t>
            </w:r>
          </w:p>
        </w:tc>
        <w:tc>
          <w:tcPr>
            <w:tcW w:w="972" w:type="pct"/>
            <w:vAlign w:val="center"/>
          </w:tcPr>
          <w:p w14:paraId="386F3B3F">
            <w:pPr>
              <w:keepNext w:val="0"/>
              <w:keepLines w:val="0"/>
              <w:pageBreakBefore w:val="0"/>
              <w:widowControl w:val="0"/>
              <w:kinsoku/>
              <w:wordWrap/>
              <w:overflowPunct/>
              <w:topLinePunct w:val="0"/>
              <w:bidi w:val="0"/>
              <w:adjustRightInd w:val="0"/>
              <w:snapToGrid/>
              <w:spacing w:line="250" w:lineRule="exact"/>
              <w:textAlignment w:val="auto"/>
              <w:rPr>
                <w:rFonts w:eastAsiaTheme="minorEastAsia"/>
                <w:color w:val="auto"/>
                <w:szCs w:val="21"/>
              </w:rPr>
            </w:pPr>
            <w:r>
              <w:rPr>
                <w:rFonts w:eastAsiaTheme="minorEastAsia"/>
                <w:color w:val="auto"/>
                <w:szCs w:val="21"/>
              </w:rPr>
              <w:t>/</w:t>
            </w:r>
          </w:p>
        </w:tc>
      </w:tr>
    </w:tbl>
    <w:p w14:paraId="0C72E76F">
      <w:pPr>
        <w:pStyle w:val="20"/>
        <w:outlineLvl w:val="0"/>
        <w:rPr>
          <w:rFonts w:ascii="Times New Roman" w:hAnsi="Times New Roman" w:eastAsia="黑体"/>
          <w:snapToGrid w:val="0"/>
          <w:color w:val="0070C0"/>
          <w:sz w:val="30"/>
          <w:szCs w:val="30"/>
        </w:rPr>
        <w:sectPr>
          <w:headerReference r:id="rId12" w:type="default"/>
          <w:pgSz w:w="11906" w:h="16838"/>
          <w:pgMar w:top="1418" w:right="1531" w:bottom="1701" w:left="1531" w:header="851" w:footer="1077" w:gutter="0"/>
          <w:pgBorders>
            <w:top w:val="none" w:sz="0" w:space="0"/>
            <w:left w:val="none" w:sz="0" w:space="0"/>
            <w:bottom w:val="none" w:sz="0" w:space="0"/>
            <w:right w:val="none" w:sz="0" w:space="0"/>
          </w:pgBorders>
          <w:cols w:space="425" w:num="1"/>
          <w:docGrid w:linePitch="312" w:charSpace="0"/>
        </w:sectPr>
      </w:pPr>
    </w:p>
    <w:p w14:paraId="78106D44">
      <w:pPr>
        <w:pStyle w:val="20"/>
        <w:spacing w:before="600" w:beforeLines="250" w:beforeAutospacing="0"/>
        <w:jc w:val="center"/>
        <w:outlineLvl w:val="0"/>
        <w:rPr>
          <w:rFonts w:ascii="Times New Roman" w:hAnsi="Times New Roman" w:eastAsia="黑体"/>
          <w:snapToGrid w:val="0"/>
          <w:color w:val="0070C0"/>
          <w:sz w:val="30"/>
          <w:szCs w:val="30"/>
        </w:rPr>
      </w:pPr>
      <w:r>
        <w:rPr>
          <w:rFonts w:ascii="Times New Roman" w:hAnsi="Times New Roman" w:eastAsia="黑体"/>
          <w:snapToGrid w:val="0"/>
          <w:color w:val="auto"/>
          <w:sz w:val="30"/>
          <w:szCs w:val="30"/>
        </w:rPr>
        <w:t>七、结论</w:t>
      </w:r>
    </w:p>
    <w:tbl>
      <w:tblPr>
        <w:tblStyle w:val="22"/>
        <w:tblW w:w="9072" w:type="dxa"/>
        <w:tblInd w:w="108"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14:paraId="1D5C8C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349" w:hRule="atLeast"/>
        </w:trPr>
        <w:tc>
          <w:tcPr>
            <w:tcW w:w="9072" w:type="dxa"/>
          </w:tcPr>
          <w:p w14:paraId="293CD24D">
            <w:pPr>
              <w:autoSpaceDE w:val="0"/>
              <w:autoSpaceDN w:val="0"/>
              <w:adjustRightInd w:val="0"/>
              <w:spacing w:line="300" w:lineRule="auto"/>
              <w:ind w:firstLine="480" w:firstLineChars="200"/>
              <w:rPr>
                <w:rFonts w:eastAsiaTheme="minorEastAsia"/>
                <w:color w:val="0070C0"/>
                <w:kern w:val="0"/>
                <w:sz w:val="24"/>
              </w:rPr>
            </w:pPr>
            <w:r>
              <w:rPr>
                <w:rFonts w:hAnsiTheme="minorEastAsia" w:eastAsiaTheme="minorEastAsia"/>
                <w:color w:val="auto"/>
                <w:kern w:val="0"/>
                <w:sz w:val="24"/>
              </w:rPr>
              <w:t>拟建公路符合国家产业政策及相关规划，选址选线合理，在执行环保</w:t>
            </w:r>
            <w:r>
              <w:rPr>
                <w:rFonts w:eastAsiaTheme="minorEastAsia"/>
                <w:color w:val="auto"/>
                <w:kern w:val="0"/>
                <w:sz w:val="24"/>
              </w:rPr>
              <w:t>“</w:t>
            </w:r>
            <w:r>
              <w:rPr>
                <w:rFonts w:hAnsiTheme="minorEastAsia" w:eastAsiaTheme="minorEastAsia"/>
                <w:color w:val="auto"/>
                <w:kern w:val="0"/>
                <w:sz w:val="24"/>
              </w:rPr>
              <w:t>三同时</w:t>
            </w:r>
            <w:r>
              <w:rPr>
                <w:rFonts w:eastAsiaTheme="minorEastAsia"/>
                <w:color w:val="auto"/>
                <w:kern w:val="0"/>
                <w:sz w:val="24"/>
              </w:rPr>
              <w:t>”</w:t>
            </w:r>
            <w:r>
              <w:rPr>
                <w:rFonts w:hAnsiTheme="minorEastAsia" w:eastAsiaTheme="minorEastAsia"/>
                <w:color w:val="auto"/>
                <w:kern w:val="0"/>
                <w:sz w:val="24"/>
              </w:rPr>
              <w:t>制度和认真落实报告表提出的各项污染防治及生态保护措施后，可实现污染物达标排放。从环境保护角度分析，项目建设可行。</w:t>
            </w:r>
          </w:p>
        </w:tc>
      </w:tr>
    </w:tbl>
    <w:p w14:paraId="02888FA9">
      <w:pPr>
        <w:pStyle w:val="20"/>
        <w:spacing w:before="192" w:beforeLines="80" w:beforeAutospacing="0"/>
        <w:outlineLvl w:val="0"/>
        <w:rPr>
          <w:rFonts w:ascii="Times New Roman" w:hAnsi="Times New Roman" w:eastAsia="黑体"/>
          <w:snapToGrid w:val="0"/>
          <w:color w:val="0070C0"/>
          <w:sz w:val="30"/>
          <w:szCs w:val="30"/>
        </w:rPr>
      </w:pPr>
    </w:p>
    <w:tbl>
      <w:tblPr>
        <w:tblStyle w:val="22"/>
        <w:tblW w:w="928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289"/>
      </w:tblGrid>
      <w:tr w14:paraId="431B8E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349" w:hRule="atLeast"/>
          <w:jc w:val="center"/>
        </w:trPr>
        <w:tc>
          <w:tcPr>
            <w:tcW w:w="9289" w:type="dxa"/>
          </w:tcPr>
          <w:p w14:paraId="4BFBEDBB">
            <w:pPr>
              <w:pStyle w:val="20"/>
              <w:spacing w:before="192" w:beforeLines="80" w:beforeAutospacing="0"/>
              <w:jc w:val="center"/>
              <w:outlineLvl w:val="0"/>
              <w:rPr>
                <w:rFonts w:ascii="Times New Roman" w:hAnsi="Times New Roman" w:eastAsia="黑体"/>
                <w:snapToGrid w:val="0"/>
                <w:color w:val="auto"/>
                <w:sz w:val="30"/>
                <w:szCs w:val="30"/>
              </w:rPr>
            </w:pPr>
            <w:r>
              <w:rPr>
                <w:rFonts w:ascii="Times New Roman" w:hAnsi="Times New Roman" w:eastAsia="黑体"/>
                <w:snapToGrid w:val="0"/>
                <w:color w:val="auto"/>
                <w:sz w:val="30"/>
                <w:szCs w:val="30"/>
              </w:rPr>
              <w:t>附 图</w:t>
            </w:r>
          </w:p>
          <w:p w14:paraId="1ADC06A4">
            <w:pPr>
              <w:numPr>
                <w:ilvl w:val="0"/>
                <w:numId w:val="12"/>
              </w:numPr>
              <w:spacing w:line="300" w:lineRule="auto"/>
              <w:ind w:left="0" w:firstLine="480" w:firstLineChars="200"/>
              <w:rPr>
                <w:color w:val="auto"/>
                <w:sz w:val="24"/>
                <w:szCs w:val="20"/>
              </w:rPr>
            </w:pPr>
            <w:r>
              <w:rPr>
                <w:color w:val="auto"/>
                <w:sz w:val="24"/>
                <w:szCs w:val="20"/>
              </w:rPr>
              <w:t>G</w:t>
            </w:r>
            <w:r>
              <w:rPr>
                <w:rFonts w:hint="eastAsia"/>
                <w:color w:val="auto"/>
                <w:sz w:val="24"/>
                <w:szCs w:val="20"/>
                <w:lang w:val="en-US" w:eastAsia="zh-CN"/>
              </w:rPr>
              <w:t>219八盘水磨至伽师沿边通道工程</w:t>
            </w:r>
            <w:r>
              <w:rPr>
                <w:rFonts w:hint="eastAsia" w:hAnsi="宋体"/>
                <w:color w:val="auto"/>
                <w:sz w:val="24"/>
                <w:szCs w:val="20"/>
              </w:rPr>
              <w:t>地理位置图</w:t>
            </w:r>
          </w:p>
          <w:p w14:paraId="05F774AF">
            <w:pPr>
              <w:numPr>
                <w:ilvl w:val="0"/>
                <w:numId w:val="12"/>
              </w:numPr>
              <w:spacing w:line="300" w:lineRule="auto"/>
              <w:ind w:left="0" w:firstLine="480" w:firstLineChars="200"/>
              <w:rPr>
                <w:color w:val="auto"/>
                <w:sz w:val="24"/>
                <w:szCs w:val="20"/>
              </w:rPr>
            </w:pPr>
            <w:r>
              <w:rPr>
                <w:color w:val="auto"/>
                <w:sz w:val="24"/>
                <w:szCs w:val="20"/>
              </w:rPr>
              <w:t>G</w:t>
            </w:r>
            <w:r>
              <w:rPr>
                <w:rFonts w:hint="eastAsia"/>
                <w:color w:val="auto"/>
                <w:sz w:val="24"/>
                <w:szCs w:val="20"/>
                <w:lang w:val="en-US" w:eastAsia="zh-CN"/>
              </w:rPr>
              <w:t>219八盘水磨至伽师沿边通道工程</w:t>
            </w:r>
            <w:r>
              <w:rPr>
                <w:rFonts w:hint="eastAsia" w:hAnsi="宋体"/>
                <w:color w:val="auto"/>
                <w:sz w:val="24"/>
                <w:szCs w:val="20"/>
              </w:rPr>
              <w:t>路线走向</w:t>
            </w:r>
            <w:r>
              <w:rPr>
                <w:rFonts w:hint="eastAsia" w:hAnsi="宋体"/>
                <w:color w:val="auto"/>
                <w:sz w:val="24"/>
                <w:szCs w:val="20"/>
                <w:lang w:val="en-US" w:eastAsia="zh-CN"/>
              </w:rPr>
              <w:t>及监测点位</w:t>
            </w:r>
            <w:r>
              <w:rPr>
                <w:rFonts w:hint="eastAsia" w:hAnsi="宋体"/>
                <w:color w:val="auto"/>
                <w:sz w:val="24"/>
                <w:szCs w:val="20"/>
              </w:rPr>
              <w:t>图</w:t>
            </w:r>
          </w:p>
          <w:p w14:paraId="01440C69">
            <w:pPr>
              <w:numPr>
                <w:ilvl w:val="0"/>
                <w:numId w:val="12"/>
              </w:numPr>
              <w:spacing w:line="300" w:lineRule="auto"/>
              <w:ind w:left="0" w:firstLine="480" w:firstLineChars="200"/>
              <w:rPr>
                <w:color w:val="auto"/>
                <w:sz w:val="24"/>
                <w:szCs w:val="20"/>
              </w:rPr>
            </w:pPr>
            <w:r>
              <w:rPr>
                <w:rFonts w:hint="eastAsia"/>
                <w:color w:val="auto"/>
                <w:sz w:val="24"/>
                <w:szCs w:val="20"/>
              </w:rPr>
              <w:t>G219</w:t>
            </w:r>
            <w:r>
              <w:rPr>
                <w:rFonts w:hint="eastAsia"/>
                <w:color w:val="auto"/>
                <w:sz w:val="24"/>
                <w:szCs w:val="20"/>
                <w:lang w:eastAsia="zh-CN"/>
              </w:rPr>
              <w:t>八盘水磨至伽师沿边通道工程</w:t>
            </w:r>
            <w:r>
              <w:rPr>
                <w:rFonts w:hint="eastAsia" w:hAnsi="宋体"/>
                <w:color w:val="auto"/>
                <w:sz w:val="24"/>
                <w:szCs w:val="20"/>
                <w:lang w:val="en-US" w:eastAsia="zh-CN"/>
              </w:rPr>
              <w:t>在新疆</w:t>
            </w:r>
            <w:r>
              <w:rPr>
                <w:rFonts w:hint="eastAsia" w:hAnsi="宋体"/>
                <w:color w:val="auto"/>
                <w:sz w:val="24"/>
                <w:szCs w:val="20"/>
              </w:rPr>
              <w:t>公路网规划</w:t>
            </w:r>
            <w:r>
              <w:rPr>
                <w:rFonts w:hint="eastAsia" w:hAnsi="宋体"/>
                <w:color w:val="auto"/>
                <w:sz w:val="24"/>
                <w:szCs w:val="20"/>
                <w:lang w:val="en-US" w:eastAsia="zh-CN"/>
              </w:rPr>
              <w:t>中的位置</w:t>
            </w:r>
            <w:r>
              <w:rPr>
                <w:rFonts w:hint="eastAsia" w:hAnsi="宋体"/>
                <w:color w:val="auto"/>
                <w:sz w:val="24"/>
                <w:szCs w:val="20"/>
              </w:rPr>
              <w:t>图</w:t>
            </w:r>
          </w:p>
          <w:p w14:paraId="3B4ABD21">
            <w:pPr>
              <w:numPr>
                <w:ilvl w:val="0"/>
                <w:numId w:val="12"/>
              </w:numPr>
              <w:spacing w:line="300" w:lineRule="auto"/>
              <w:ind w:left="0" w:firstLine="480" w:firstLineChars="200"/>
              <w:rPr>
                <w:color w:val="auto"/>
                <w:sz w:val="24"/>
                <w:szCs w:val="20"/>
              </w:rPr>
            </w:pPr>
            <w:r>
              <w:rPr>
                <w:rFonts w:hint="eastAsia"/>
                <w:color w:val="auto"/>
                <w:sz w:val="24"/>
                <w:szCs w:val="20"/>
              </w:rPr>
              <w:t>G</w:t>
            </w:r>
            <w:r>
              <w:rPr>
                <w:rFonts w:hint="eastAsia"/>
                <w:color w:val="auto"/>
                <w:sz w:val="24"/>
                <w:szCs w:val="24"/>
              </w:rPr>
              <w:t>219</w:t>
            </w:r>
            <w:r>
              <w:rPr>
                <w:rFonts w:hint="eastAsia"/>
                <w:color w:val="auto"/>
                <w:sz w:val="24"/>
                <w:szCs w:val="24"/>
                <w:lang w:eastAsia="zh-CN"/>
              </w:rPr>
              <w:t>八盘水磨至伽师沿边通道工程</w:t>
            </w:r>
            <w:r>
              <w:rPr>
                <w:rFonts w:hint="eastAsia"/>
                <w:color w:val="auto"/>
                <w:sz w:val="24"/>
                <w:szCs w:val="24"/>
                <w:lang w:val="en-US" w:eastAsia="zh-CN"/>
              </w:rPr>
              <w:t>与新疆维吾尔自治区生态环境分区管控关系图</w:t>
            </w:r>
          </w:p>
          <w:p w14:paraId="460E8510">
            <w:pPr>
              <w:numPr>
                <w:ilvl w:val="0"/>
                <w:numId w:val="12"/>
              </w:numPr>
              <w:spacing w:line="300" w:lineRule="auto"/>
              <w:ind w:left="0" w:firstLine="480" w:firstLineChars="200"/>
              <w:rPr>
                <w:color w:val="auto"/>
                <w:sz w:val="24"/>
                <w:szCs w:val="20"/>
              </w:rPr>
            </w:pPr>
            <w:r>
              <w:rPr>
                <w:rFonts w:hint="eastAsia"/>
                <w:color w:val="auto"/>
                <w:sz w:val="24"/>
                <w:szCs w:val="20"/>
              </w:rPr>
              <w:t>G</w:t>
            </w:r>
            <w:r>
              <w:rPr>
                <w:rFonts w:hint="eastAsia"/>
                <w:color w:val="auto"/>
                <w:sz w:val="24"/>
                <w:szCs w:val="24"/>
              </w:rPr>
              <w:t>219</w:t>
            </w:r>
            <w:r>
              <w:rPr>
                <w:rFonts w:hint="eastAsia"/>
                <w:color w:val="auto"/>
                <w:sz w:val="24"/>
                <w:szCs w:val="24"/>
                <w:lang w:eastAsia="zh-CN"/>
              </w:rPr>
              <w:t>八盘水磨至伽师沿边通道工程</w:t>
            </w:r>
            <w:r>
              <w:rPr>
                <w:rFonts w:hint="eastAsia"/>
                <w:color w:val="auto"/>
                <w:sz w:val="24"/>
                <w:szCs w:val="24"/>
                <w:lang w:val="en-US" w:eastAsia="zh-CN"/>
              </w:rPr>
              <w:t>与新疆生产建设兵团</w:t>
            </w:r>
            <w:r>
              <w:rPr>
                <w:rFonts w:hint="eastAsia"/>
                <w:color w:val="auto"/>
                <w:sz w:val="24"/>
                <w:szCs w:val="24"/>
              </w:rPr>
              <w:t>生态环境分区管控关系</w:t>
            </w:r>
            <w:r>
              <w:rPr>
                <w:rFonts w:hint="eastAsia"/>
                <w:color w:val="auto"/>
                <w:sz w:val="24"/>
                <w:szCs w:val="24"/>
                <w:lang w:val="en-US" w:eastAsia="zh-CN"/>
              </w:rPr>
              <w:t>图</w:t>
            </w:r>
          </w:p>
          <w:p w14:paraId="0293CCD9">
            <w:pPr>
              <w:numPr>
                <w:ilvl w:val="0"/>
                <w:numId w:val="12"/>
              </w:numPr>
              <w:spacing w:line="300" w:lineRule="auto"/>
              <w:ind w:left="0" w:firstLine="480" w:firstLineChars="200"/>
              <w:rPr>
                <w:color w:val="auto"/>
                <w:sz w:val="24"/>
                <w:szCs w:val="20"/>
              </w:rPr>
            </w:pPr>
            <w:r>
              <w:rPr>
                <w:rFonts w:hint="eastAsia"/>
                <w:color w:val="auto"/>
                <w:sz w:val="24"/>
                <w:szCs w:val="20"/>
              </w:rPr>
              <w:t>G</w:t>
            </w:r>
            <w:r>
              <w:rPr>
                <w:rFonts w:hint="eastAsia"/>
                <w:color w:val="auto"/>
                <w:sz w:val="24"/>
                <w:szCs w:val="24"/>
              </w:rPr>
              <w:t>219</w:t>
            </w:r>
            <w:r>
              <w:rPr>
                <w:rFonts w:hint="eastAsia"/>
                <w:color w:val="auto"/>
                <w:sz w:val="24"/>
                <w:szCs w:val="24"/>
                <w:lang w:eastAsia="zh-CN"/>
              </w:rPr>
              <w:t>八盘水磨至伽师沿边通道工程</w:t>
            </w:r>
            <w:r>
              <w:rPr>
                <w:rFonts w:hint="eastAsia"/>
                <w:color w:val="auto"/>
                <w:sz w:val="24"/>
                <w:szCs w:val="24"/>
                <w:lang w:val="en-US" w:eastAsia="zh-CN"/>
              </w:rPr>
              <w:t>与</w:t>
            </w:r>
            <w:r>
              <w:rPr>
                <w:rFonts w:hint="eastAsia" w:cs="Times New Roman" w:eastAsiaTheme="minorEastAsia"/>
                <w:color w:val="auto"/>
                <w:sz w:val="24"/>
                <w:szCs w:val="24"/>
                <w:lang w:eastAsia="zh-CN"/>
              </w:rPr>
              <w:t>克孜勒苏柯尔克孜自治州</w:t>
            </w:r>
            <w:r>
              <w:rPr>
                <w:rFonts w:hint="eastAsia"/>
                <w:color w:val="auto"/>
                <w:sz w:val="24"/>
                <w:szCs w:val="24"/>
              </w:rPr>
              <w:t>生态环境分区管控关系</w:t>
            </w:r>
            <w:r>
              <w:rPr>
                <w:rFonts w:hint="eastAsia"/>
                <w:color w:val="auto"/>
                <w:sz w:val="24"/>
                <w:szCs w:val="24"/>
                <w:lang w:val="en-US" w:eastAsia="zh-CN"/>
              </w:rPr>
              <w:t>图</w:t>
            </w:r>
          </w:p>
          <w:p w14:paraId="3959D924">
            <w:pPr>
              <w:numPr>
                <w:ilvl w:val="0"/>
                <w:numId w:val="12"/>
              </w:numPr>
              <w:spacing w:line="300" w:lineRule="auto"/>
              <w:ind w:left="0" w:firstLine="480" w:firstLineChars="200"/>
              <w:rPr>
                <w:color w:val="auto"/>
                <w:sz w:val="24"/>
                <w:szCs w:val="20"/>
              </w:rPr>
            </w:pPr>
            <w:r>
              <w:rPr>
                <w:rFonts w:hint="eastAsia"/>
                <w:color w:val="auto"/>
                <w:sz w:val="24"/>
                <w:szCs w:val="20"/>
              </w:rPr>
              <w:t>G219</w:t>
            </w:r>
            <w:r>
              <w:rPr>
                <w:rFonts w:hint="eastAsia"/>
                <w:color w:val="auto"/>
                <w:sz w:val="24"/>
                <w:szCs w:val="20"/>
                <w:lang w:eastAsia="zh-CN"/>
              </w:rPr>
              <w:t>八盘水磨至伽师沿边通道工程</w:t>
            </w:r>
            <w:r>
              <w:rPr>
                <w:rFonts w:hint="eastAsia"/>
                <w:color w:val="auto"/>
                <w:sz w:val="24"/>
                <w:szCs w:val="20"/>
                <w:lang w:val="en-US" w:eastAsia="zh-CN"/>
              </w:rPr>
              <w:t>与</w:t>
            </w:r>
            <w:r>
              <w:rPr>
                <w:rFonts w:hint="eastAsia"/>
                <w:color w:val="auto"/>
                <w:sz w:val="24"/>
                <w:szCs w:val="20"/>
              </w:rPr>
              <w:t>喀什地区生态环境分区管控关系</w:t>
            </w:r>
            <w:r>
              <w:rPr>
                <w:rFonts w:hint="eastAsia"/>
                <w:color w:val="auto"/>
                <w:sz w:val="24"/>
                <w:szCs w:val="20"/>
                <w:lang w:val="en-US" w:eastAsia="zh-CN"/>
              </w:rPr>
              <w:t>图</w:t>
            </w:r>
          </w:p>
          <w:p w14:paraId="5981E3DC">
            <w:pPr>
              <w:numPr>
                <w:ilvl w:val="0"/>
                <w:numId w:val="12"/>
              </w:numPr>
              <w:spacing w:line="300" w:lineRule="auto"/>
              <w:ind w:left="0" w:firstLine="480" w:firstLineChars="200"/>
              <w:rPr>
                <w:color w:val="auto"/>
                <w:sz w:val="24"/>
                <w:szCs w:val="20"/>
              </w:rPr>
            </w:pPr>
            <w:r>
              <w:rPr>
                <w:rFonts w:hint="eastAsia"/>
                <w:color w:val="auto"/>
                <w:sz w:val="24"/>
                <w:szCs w:val="20"/>
              </w:rPr>
              <w:t>G219</w:t>
            </w:r>
            <w:r>
              <w:rPr>
                <w:rFonts w:hint="eastAsia"/>
                <w:color w:val="auto"/>
                <w:sz w:val="24"/>
                <w:szCs w:val="20"/>
                <w:lang w:eastAsia="zh-CN"/>
              </w:rPr>
              <w:t>八盘水磨至伽师沿边通道工程</w:t>
            </w:r>
            <w:r>
              <w:rPr>
                <w:rFonts w:hint="eastAsia" w:hAnsi="宋体"/>
                <w:color w:val="auto"/>
                <w:sz w:val="24"/>
                <w:szCs w:val="20"/>
              </w:rPr>
              <w:t>沿线水系分布图</w:t>
            </w:r>
          </w:p>
          <w:p w14:paraId="670F57C8">
            <w:pPr>
              <w:numPr>
                <w:ilvl w:val="0"/>
                <w:numId w:val="12"/>
              </w:numPr>
              <w:spacing w:line="300" w:lineRule="auto"/>
              <w:ind w:left="0" w:firstLine="480" w:firstLineChars="200"/>
              <w:rPr>
                <w:color w:val="auto"/>
                <w:sz w:val="24"/>
                <w:szCs w:val="20"/>
              </w:rPr>
            </w:pPr>
            <w:r>
              <w:rPr>
                <w:rFonts w:hint="eastAsia"/>
                <w:color w:val="auto"/>
                <w:sz w:val="24"/>
                <w:szCs w:val="20"/>
              </w:rPr>
              <w:t>G219</w:t>
            </w:r>
            <w:r>
              <w:rPr>
                <w:rFonts w:hint="eastAsia"/>
                <w:color w:val="auto"/>
                <w:sz w:val="24"/>
                <w:szCs w:val="20"/>
                <w:lang w:eastAsia="zh-CN"/>
              </w:rPr>
              <w:t>八盘水磨至伽师沿边通道工程</w:t>
            </w:r>
            <w:r>
              <w:rPr>
                <w:rFonts w:hint="eastAsia" w:hAnsi="宋体"/>
                <w:color w:val="auto"/>
                <w:sz w:val="24"/>
                <w:szCs w:val="20"/>
              </w:rPr>
              <w:t>与</w:t>
            </w:r>
            <w:r>
              <w:rPr>
                <w:rFonts w:hint="eastAsia" w:hAnsi="宋体"/>
                <w:color w:val="auto"/>
                <w:sz w:val="24"/>
                <w:szCs w:val="20"/>
                <w:lang w:val="en-US" w:eastAsia="zh-CN"/>
              </w:rPr>
              <w:t>伽师县城镇</w:t>
            </w:r>
            <w:r>
              <w:rPr>
                <w:rFonts w:hint="eastAsia" w:hAnsi="宋体"/>
                <w:color w:val="auto"/>
                <w:sz w:val="24"/>
                <w:szCs w:val="20"/>
              </w:rPr>
              <w:t>饮用水水源保护区</w:t>
            </w:r>
            <w:r>
              <w:rPr>
                <w:rFonts w:hint="eastAsia" w:hAnsi="宋体"/>
                <w:color w:val="auto"/>
                <w:sz w:val="24"/>
                <w:szCs w:val="20"/>
                <w:lang w:val="en-US" w:eastAsia="zh-CN"/>
              </w:rPr>
              <w:t>位置</w:t>
            </w:r>
            <w:r>
              <w:rPr>
                <w:rFonts w:hint="eastAsia" w:hAnsi="宋体"/>
                <w:color w:val="auto"/>
                <w:sz w:val="24"/>
                <w:szCs w:val="20"/>
              </w:rPr>
              <w:t>关系图</w:t>
            </w:r>
          </w:p>
          <w:p w14:paraId="10068B37">
            <w:pPr>
              <w:numPr>
                <w:ilvl w:val="0"/>
                <w:numId w:val="12"/>
              </w:numPr>
              <w:spacing w:line="300" w:lineRule="auto"/>
              <w:ind w:left="0" w:firstLine="480" w:firstLineChars="200"/>
              <w:rPr>
                <w:rFonts w:hint="eastAsia"/>
                <w:color w:val="auto"/>
                <w:sz w:val="24"/>
                <w:szCs w:val="20"/>
              </w:rPr>
            </w:pPr>
            <w:r>
              <w:rPr>
                <w:rFonts w:hint="eastAsia"/>
                <w:color w:val="auto"/>
                <w:sz w:val="24"/>
                <w:szCs w:val="20"/>
              </w:rPr>
              <w:t>G219</w:t>
            </w:r>
            <w:r>
              <w:rPr>
                <w:rFonts w:hint="eastAsia"/>
                <w:color w:val="auto"/>
                <w:sz w:val="24"/>
                <w:szCs w:val="20"/>
                <w:lang w:eastAsia="zh-CN"/>
              </w:rPr>
              <w:t>八盘水磨至伽师沿边通道工程</w:t>
            </w:r>
            <w:r>
              <w:rPr>
                <w:rFonts w:hint="eastAsia"/>
                <w:color w:val="auto"/>
                <w:sz w:val="24"/>
                <w:szCs w:val="20"/>
              </w:rPr>
              <w:t>沿线样方分布图</w:t>
            </w:r>
          </w:p>
          <w:p w14:paraId="2AB83BE5">
            <w:pPr>
              <w:numPr>
                <w:ilvl w:val="0"/>
                <w:numId w:val="12"/>
              </w:numPr>
              <w:spacing w:line="300" w:lineRule="auto"/>
              <w:ind w:left="0" w:firstLine="480" w:firstLineChars="200"/>
              <w:rPr>
                <w:rFonts w:hint="eastAsia"/>
                <w:color w:val="auto"/>
                <w:sz w:val="24"/>
                <w:szCs w:val="20"/>
              </w:rPr>
            </w:pPr>
            <w:r>
              <w:rPr>
                <w:rFonts w:hint="eastAsia"/>
                <w:color w:val="auto"/>
                <w:sz w:val="24"/>
                <w:szCs w:val="20"/>
              </w:rPr>
              <w:t>G219</w:t>
            </w:r>
            <w:r>
              <w:rPr>
                <w:rFonts w:hint="eastAsia"/>
                <w:color w:val="auto"/>
                <w:sz w:val="24"/>
                <w:szCs w:val="20"/>
                <w:lang w:eastAsia="zh-CN"/>
              </w:rPr>
              <w:t>八盘水磨至伽师沿边通道工程</w:t>
            </w:r>
            <w:r>
              <w:rPr>
                <w:rFonts w:hint="eastAsia"/>
                <w:color w:val="auto"/>
                <w:sz w:val="24"/>
                <w:szCs w:val="20"/>
              </w:rPr>
              <w:t>沿线植被类型分布图</w:t>
            </w:r>
          </w:p>
          <w:p w14:paraId="78DE8EB7">
            <w:pPr>
              <w:numPr>
                <w:ilvl w:val="0"/>
                <w:numId w:val="12"/>
              </w:numPr>
              <w:spacing w:line="300" w:lineRule="auto"/>
              <w:ind w:left="0" w:firstLine="480" w:firstLineChars="200"/>
              <w:rPr>
                <w:rFonts w:hint="eastAsia"/>
                <w:color w:val="auto"/>
                <w:sz w:val="24"/>
                <w:szCs w:val="20"/>
              </w:rPr>
            </w:pPr>
            <w:r>
              <w:rPr>
                <w:rFonts w:hint="eastAsia"/>
                <w:color w:val="auto"/>
                <w:sz w:val="24"/>
                <w:szCs w:val="20"/>
              </w:rPr>
              <w:t>G219</w:t>
            </w:r>
            <w:r>
              <w:rPr>
                <w:rFonts w:hint="eastAsia"/>
                <w:color w:val="auto"/>
                <w:sz w:val="24"/>
                <w:szCs w:val="20"/>
                <w:lang w:eastAsia="zh-CN"/>
              </w:rPr>
              <w:t>八盘水磨至伽师沿边通道工程</w:t>
            </w:r>
            <w:r>
              <w:rPr>
                <w:rFonts w:hint="eastAsia"/>
                <w:color w:val="auto"/>
                <w:sz w:val="24"/>
                <w:szCs w:val="20"/>
              </w:rPr>
              <w:t>沿线土地利用现状图</w:t>
            </w:r>
          </w:p>
          <w:p w14:paraId="2CD8A7AE">
            <w:pPr>
              <w:numPr>
                <w:ilvl w:val="0"/>
                <w:numId w:val="12"/>
              </w:numPr>
              <w:spacing w:line="300" w:lineRule="auto"/>
              <w:ind w:left="0" w:firstLine="480" w:firstLineChars="200"/>
              <w:rPr>
                <w:rFonts w:hint="eastAsia"/>
                <w:color w:val="auto"/>
                <w:sz w:val="24"/>
                <w:szCs w:val="20"/>
              </w:rPr>
            </w:pPr>
            <w:r>
              <w:rPr>
                <w:rFonts w:hint="eastAsia"/>
                <w:color w:val="auto"/>
                <w:sz w:val="24"/>
                <w:szCs w:val="20"/>
              </w:rPr>
              <w:t>G219</w:t>
            </w:r>
            <w:r>
              <w:rPr>
                <w:rFonts w:hint="eastAsia"/>
                <w:color w:val="auto"/>
                <w:sz w:val="24"/>
                <w:szCs w:val="20"/>
                <w:lang w:eastAsia="zh-CN"/>
              </w:rPr>
              <w:t>八盘水磨至伽师沿边通道工程</w:t>
            </w:r>
            <w:r>
              <w:rPr>
                <w:rFonts w:hint="eastAsia"/>
                <w:color w:val="auto"/>
                <w:sz w:val="24"/>
                <w:szCs w:val="20"/>
                <w:lang w:val="en-US" w:eastAsia="zh-CN"/>
              </w:rPr>
              <w:t>沿线基本农田分布图</w:t>
            </w:r>
          </w:p>
          <w:p w14:paraId="1CC2EFBE">
            <w:pPr>
              <w:numPr>
                <w:ilvl w:val="0"/>
                <w:numId w:val="12"/>
              </w:numPr>
              <w:spacing w:line="300" w:lineRule="auto"/>
              <w:ind w:left="0" w:firstLine="480" w:firstLineChars="200"/>
              <w:rPr>
                <w:rFonts w:hint="eastAsia"/>
                <w:color w:val="auto"/>
                <w:sz w:val="24"/>
                <w:szCs w:val="20"/>
              </w:rPr>
            </w:pPr>
            <w:r>
              <w:rPr>
                <w:rFonts w:hint="eastAsia"/>
                <w:color w:val="auto"/>
                <w:sz w:val="24"/>
                <w:szCs w:val="20"/>
              </w:rPr>
              <w:t>G219</w:t>
            </w:r>
            <w:r>
              <w:rPr>
                <w:rFonts w:hint="eastAsia"/>
                <w:color w:val="auto"/>
                <w:sz w:val="24"/>
                <w:szCs w:val="20"/>
                <w:lang w:eastAsia="zh-CN"/>
              </w:rPr>
              <w:t>八盘水磨至伽师沿边通道工程</w:t>
            </w:r>
            <w:r>
              <w:rPr>
                <w:rFonts w:hint="eastAsia"/>
                <w:color w:val="auto"/>
                <w:sz w:val="24"/>
                <w:szCs w:val="20"/>
              </w:rPr>
              <w:t>沿线生态系统类型图</w:t>
            </w:r>
          </w:p>
          <w:p w14:paraId="72330180">
            <w:pPr>
              <w:numPr>
                <w:ilvl w:val="0"/>
                <w:numId w:val="12"/>
              </w:numPr>
              <w:spacing w:line="300" w:lineRule="auto"/>
              <w:ind w:left="0" w:firstLine="480" w:firstLineChars="200"/>
              <w:rPr>
                <w:rFonts w:hint="eastAsia"/>
                <w:color w:val="auto"/>
                <w:sz w:val="24"/>
                <w:szCs w:val="24"/>
              </w:rPr>
            </w:pPr>
            <w:r>
              <w:rPr>
                <w:rFonts w:hint="eastAsia"/>
                <w:color w:val="auto"/>
                <w:sz w:val="24"/>
                <w:szCs w:val="24"/>
              </w:rPr>
              <w:t>G219</w:t>
            </w:r>
            <w:r>
              <w:rPr>
                <w:rFonts w:hint="eastAsia"/>
                <w:color w:val="auto"/>
                <w:sz w:val="24"/>
                <w:szCs w:val="24"/>
                <w:lang w:eastAsia="zh-CN"/>
              </w:rPr>
              <w:t>八盘水磨至伽师沿边通道工程</w:t>
            </w:r>
            <w:r>
              <w:rPr>
                <w:rFonts w:hint="eastAsia"/>
                <w:color w:val="auto"/>
                <w:sz w:val="24"/>
                <w:szCs w:val="24"/>
                <w:lang w:val="en-US" w:eastAsia="zh-CN"/>
              </w:rPr>
              <w:t>施工场地平面布置</w:t>
            </w:r>
            <w:r>
              <w:rPr>
                <w:rFonts w:hint="eastAsia" w:hAnsi="宋体"/>
                <w:color w:val="auto"/>
                <w:spacing w:val="4"/>
                <w:sz w:val="24"/>
                <w:szCs w:val="24"/>
                <w:lang w:val="en-US" w:eastAsia="zh-CN"/>
              </w:rPr>
              <w:t>图</w:t>
            </w:r>
          </w:p>
          <w:p w14:paraId="6A2DE860">
            <w:pPr>
              <w:numPr>
                <w:ilvl w:val="0"/>
                <w:numId w:val="0"/>
              </w:numPr>
              <w:spacing w:line="300" w:lineRule="auto"/>
              <w:ind w:leftChars="200"/>
              <w:rPr>
                <w:rFonts w:hint="eastAsia" w:hAnsi="宋体"/>
                <w:color w:val="auto"/>
                <w:spacing w:val="4"/>
                <w:sz w:val="24"/>
                <w:szCs w:val="24"/>
                <w:lang w:val="en-US" w:eastAsia="zh-CN"/>
              </w:rPr>
            </w:pPr>
          </w:p>
          <w:p w14:paraId="333EEE83">
            <w:pPr>
              <w:pStyle w:val="20"/>
              <w:spacing w:before="192" w:beforeLines="80" w:beforeAutospacing="0"/>
              <w:jc w:val="center"/>
              <w:outlineLvl w:val="0"/>
              <w:rPr>
                <w:rFonts w:hint="eastAsia" w:ascii="Times New Roman" w:hAnsi="Times New Roman" w:eastAsia="黑体"/>
                <w:snapToGrid w:val="0"/>
                <w:color w:val="auto"/>
                <w:sz w:val="30"/>
                <w:szCs w:val="30"/>
                <w:lang w:val="en-US" w:eastAsia="zh-CN"/>
              </w:rPr>
            </w:pPr>
            <w:r>
              <w:rPr>
                <w:rFonts w:hint="eastAsia" w:ascii="Times New Roman" w:hAnsi="Times New Roman" w:eastAsia="黑体"/>
                <w:snapToGrid w:val="0"/>
                <w:color w:val="auto"/>
                <w:sz w:val="30"/>
                <w:szCs w:val="30"/>
                <w:lang w:val="en-US" w:eastAsia="zh-CN"/>
              </w:rPr>
              <w:t>附件</w:t>
            </w:r>
          </w:p>
          <w:p w14:paraId="4F6BD9E5">
            <w:pPr>
              <w:numPr>
                <w:ilvl w:val="0"/>
                <w:numId w:val="0"/>
              </w:numPr>
              <w:spacing w:line="300" w:lineRule="auto"/>
              <w:ind w:firstLine="480" w:firstLineChars="200"/>
              <w:rPr>
                <w:rFonts w:hint="eastAsia"/>
                <w:color w:val="auto"/>
                <w:sz w:val="24"/>
                <w:szCs w:val="20"/>
                <w:lang w:val="en-US" w:eastAsia="zh-CN"/>
              </w:rPr>
            </w:pPr>
            <w:r>
              <w:rPr>
                <w:rFonts w:hint="eastAsia"/>
                <w:color w:val="auto"/>
                <w:sz w:val="24"/>
                <w:szCs w:val="20"/>
                <w:lang w:val="en-US" w:eastAsia="zh-CN"/>
              </w:rPr>
              <w:t>1. 关于对《关于征求G219八盘水磨至伽师公路建设项目路线方案意见的函》的复函，克孜勒苏柯尔克孜自治州自然资源局</w:t>
            </w:r>
          </w:p>
          <w:p w14:paraId="668BC766">
            <w:pPr>
              <w:numPr>
                <w:ilvl w:val="0"/>
                <w:numId w:val="0"/>
              </w:numPr>
              <w:spacing w:line="300" w:lineRule="auto"/>
              <w:ind w:firstLine="480" w:firstLineChars="200"/>
              <w:rPr>
                <w:rFonts w:hint="default"/>
                <w:color w:val="auto"/>
                <w:sz w:val="24"/>
                <w:szCs w:val="20"/>
                <w:lang w:val="en-US" w:eastAsia="zh-CN"/>
              </w:rPr>
            </w:pPr>
            <w:r>
              <w:rPr>
                <w:rFonts w:hint="eastAsia"/>
                <w:color w:val="auto"/>
                <w:sz w:val="24"/>
                <w:szCs w:val="20"/>
                <w:lang w:val="en-US" w:eastAsia="zh-CN"/>
              </w:rPr>
              <w:t>2.  关于对《关于征求G219八盘水磨至伽师公路建设项目路线方案意见的函》的复函，喀什地区自然资源局</w:t>
            </w:r>
          </w:p>
          <w:p w14:paraId="037E57F7">
            <w:pPr>
              <w:pStyle w:val="20"/>
              <w:spacing w:before="192" w:beforeLines="80" w:beforeAutospacing="0"/>
              <w:jc w:val="both"/>
              <w:outlineLvl w:val="0"/>
              <w:rPr>
                <w:rFonts w:hint="default" w:ascii="Times New Roman" w:hAnsi="Times New Roman" w:eastAsia="黑体"/>
                <w:snapToGrid w:val="0"/>
                <w:color w:val="auto"/>
                <w:sz w:val="30"/>
                <w:szCs w:val="30"/>
                <w:lang w:val="en-US" w:eastAsia="zh-CN"/>
              </w:rPr>
            </w:pPr>
          </w:p>
          <w:p w14:paraId="773B904B">
            <w:pPr>
              <w:autoSpaceDE w:val="0"/>
              <w:autoSpaceDN w:val="0"/>
              <w:adjustRightInd w:val="0"/>
              <w:spacing w:line="300" w:lineRule="auto"/>
              <w:rPr>
                <w:color w:val="0070C0"/>
                <w:kern w:val="0"/>
                <w:szCs w:val="21"/>
              </w:rPr>
            </w:pPr>
          </w:p>
        </w:tc>
      </w:tr>
    </w:tbl>
    <w:p w14:paraId="06628A50">
      <w:pPr>
        <w:adjustRightInd w:val="0"/>
        <w:snapToGrid w:val="0"/>
        <w:spacing w:before="192" w:beforeLines="80"/>
        <w:rPr>
          <w:color w:val="0070C0"/>
          <w:szCs w:val="21"/>
        </w:rPr>
        <w:sectPr>
          <w:headerReference r:id="rId13" w:type="default"/>
          <w:pgSz w:w="11906" w:h="16838"/>
          <w:pgMar w:top="1418" w:right="1531" w:bottom="1701" w:left="1531" w:header="851" w:footer="1077" w:gutter="0"/>
          <w:pgBorders>
            <w:top w:val="none" w:sz="0" w:space="0"/>
            <w:left w:val="none" w:sz="0" w:space="0"/>
            <w:bottom w:val="none" w:sz="0" w:space="0"/>
            <w:right w:val="none" w:sz="0" w:space="0"/>
          </w:pgBorders>
          <w:cols w:space="425" w:num="1"/>
          <w:docGrid w:linePitch="312" w:charSpace="0"/>
        </w:sectPr>
      </w:pPr>
    </w:p>
    <w:p w14:paraId="00B73B69">
      <w:pPr>
        <w:adjustRightInd w:val="0"/>
        <w:spacing w:line="300" w:lineRule="auto"/>
        <w:rPr>
          <w:rFonts w:ascii="Times New Roman" w:hAnsi="Times New Roman" w:eastAsia="宋体" w:cs="Times New Roman"/>
          <w:sz w:val="24"/>
        </w:rPr>
      </w:pPr>
      <w:bookmarkStart w:id="38" w:name="_Toc298750534"/>
      <w:bookmarkStart w:id="39" w:name="_Toc193513581"/>
      <w:bookmarkStart w:id="40" w:name="_Toc237075111"/>
      <w:bookmarkStart w:id="41" w:name="_Toc450811172"/>
      <w:bookmarkStart w:id="42" w:name="_Toc187830021"/>
      <w:bookmarkStart w:id="43" w:name="_Toc132099627"/>
      <w:bookmarkStart w:id="44" w:name="_Toc298750298"/>
      <w:bookmarkStart w:id="45" w:name="_Toc286754854"/>
      <w:bookmarkStart w:id="46" w:name="_Toc198447139"/>
      <w:bookmarkStart w:id="47" w:name="_Toc292191902"/>
    </w:p>
    <w:p w14:paraId="4708AC77">
      <w:pPr>
        <w:spacing w:line="300" w:lineRule="auto"/>
        <w:rPr>
          <w:rFonts w:ascii="Times New Roman" w:hAnsi="Times New Roman" w:eastAsia="宋体" w:cs="Times New Roman"/>
          <w:sz w:val="24"/>
        </w:rPr>
      </w:pPr>
    </w:p>
    <w:p w14:paraId="70873448">
      <w:pPr>
        <w:rPr>
          <w:rFonts w:ascii="Times New Roman" w:hAnsi="Times New Roman" w:eastAsia="宋体" w:cs="Times New Roman"/>
          <w:sz w:val="28"/>
          <w:szCs w:val="22"/>
        </w:rPr>
      </w:pPr>
    </w:p>
    <w:p w14:paraId="58294D27">
      <w:pPr>
        <w:rPr>
          <w:rFonts w:ascii="Times New Roman" w:hAnsi="Times New Roman" w:eastAsia="宋体" w:cs="Times New Roman"/>
          <w:sz w:val="28"/>
          <w:szCs w:val="22"/>
        </w:rPr>
      </w:pPr>
    </w:p>
    <w:tbl>
      <w:tblPr>
        <w:tblStyle w:val="22"/>
        <w:tblW w:w="0" w:type="auto"/>
        <w:jc w:val="center"/>
        <w:tblLayout w:type="fixed"/>
        <w:tblCellMar>
          <w:top w:w="0" w:type="dxa"/>
          <w:left w:w="108" w:type="dxa"/>
          <w:bottom w:w="0" w:type="dxa"/>
          <w:right w:w="108" w:type="dxa"/>
        </w:tblCellMar>
      </w:tblPr>
      <w:tblGrid>
        <w:gridCol w:w="8011"/>
      </w:tblGrid>
      <w:tr w14:paraId="0D080C11">
        <w:tblPrEx>
          <w:tblCellMar>
            <w:top w:w="0" w:type="dxa"/>
            <w:left w:w="108" w:type="dxa"/>
            <w:bottom w:w="0" w:type="dxa"/>
            <w:right w:w="108" w:type="dxa"/>
          </w:tblCellMar>
        </w:tblPrEx>
        <w:trPr>
          <w:cantSplit/>
          <w:trHeight w:val="1880" w:hRule="atLeast"/>
          <w:jc w:val="center"/>
        </w:trPr>
        <w:tc>
          <w:tcPr>
            <w:tcW w:w="8011" w:type="dxa"/>
            <w:vAlign w:val="center"/>
          </w:tcPr>
          <w:p w14:paraId="77C7DB16">
            <w:pPr>
              <w:adjustRightInd w:val="0"/>
              <w:snapToGrid w:val="0"/>
              <w:spacing w:line="360" w:lineRule="auto"/>
              <w:jc w:val="center"/>
              <w:rPr>
                <w:rFonts w:hint="eastAsia" w:ascii="Times New Roman" w:hAnsi="Times New Roman" w:eastAsia="宋体" w:cs="Times New Roman"/>
                <w:b/>
                <w:sz w:val="36"/>
                <w:szCs w:val="20"/>
                <w:lang w:eastAsia="zh-CN"/>
              </w:rPr>
            </w:pPr>
            <w:r>
              <w:rPr>
                <w:rFonts w:hint="eastAsia" w:ascii="Times New Roman" w:hAnsi="Times New Roman" w:eastAsia="宋体" w:cs="Times New Roman"/>
                <w:b/>
                <w:sz w:val="36"/>
                <w:szCs w:val="20"/>
              </w:rPr>
              <w:t>G219</w:t>
            </w:r>
            <w:r>
              <w:rPr>
                <w:rFonts w:hint="eastAsia" w:ascii="Times New Roman" w:hAnsi="Times New Roman" w:eastAsia="宋体" w:cs="Times New Roman"/>
                <w:b/>
                <w:sz w:val="36"/>
                <w:szCs w:val="20"/>
                <w:lang w:eastAsia="zh-CN"/>
              </w:rPr>
              <w:t>八盘水磨至伽师沿边通道工程</w:t>
            </w:r>
          </w:p>
        </w:tc>
      </w:tr>
    </w:tbl>
    <w:p w14:paraId="1315F958">
      <w:pPr>
        <w:rPr>
          <w:rFonts w:ascii="Times New Roman" w:hAnsi="Times New Roman" w:eastAsia="宋体" w:cs="Times New Roman"/>
          <w:szCs w:val="22"/>
        </w:rPr>
      </w:pPr>
    </w:p>
    <w:tbl>
      <w:tblPr>
        <w:tblStyle w:val="22"/>
        <w:tblW w:w="0" w:type="auto"/>
        <w:jc w:val="center"/>
        <w:tblLayout w:type="fixed"/>
        <w:tblCellMar>
          <w:top w:w="0" w:type="dxa"/>
          <w:left w:w="108" w:type="dxa"/>
          <w:bottom w:w="0" w:type="dxa"/>
          <w:right w:w="108" w:type="dxa"/>
        </w:tblCellMar>
      </w:tblPr>
      <w:tblGrid>
        <w:gridCol w:w="7517"/>
      </w:tblGrid>
      <w:tr w14:paraId="4E7F0C70">
        <w:tblPrEx>
          <w:tblCellMar>
            <w:top w:w="0" w:type="dxa"/>
            <w:left w:w="108" w:type="dxa"/>
            <w:bottom w:w="0" w:type="dxa"/>
            <w:right w:w="108" w:type="dxa"/>
          </w:tblCellMar>
        </w:tblPrEx>
        <w:trPr>
          <w:cantSplit/>
          <w:jc w:val="center"/>
        </w:trPr>
        <w:tc>
          <w:tcPr>
            <w:tcW w:w="7517" w:type="dxa"/>
          </w:tcPr>
          <w:p w14:paraId="0EE076DC">
            <w:pPr>
              <w:spacing w:beforeLines="100" w:afterLines="50"/>
              <w:jc w:val="distribute"/>
              <w:rPr>
                <w:rFonts w:ascii="Times New Roman" w:hAnsi="Times New Roman" w:eastAsia="黑体" w:cs="Times New Roman"/>
                <w:b/>
                <w:sz w:val="72"/>
                <w:szCs w:val="20"/>
              </w:rPr>
            </w:pPr>
            <w:r>
              <w:rPr>
                <w:rFonts w:hint="eastAsia" w:ascii="Times New Roman" w:hAnsi="Times New Roman" w:eastAsia="黑体" w:cs="Times New Roman"/>
                <w:b/>
                <w:sz w:val="72"/>
                <w:szCs w:val="20"/>
              </w:rPr>
              <w:t>声环境</w:t>
            </w:r>
            <w:r>
              <w:rPr>
                <w:rFonts w:ascii="Times New Roman" w:hAnsi="Times New Roman" w:eastAsia="黑体" w:cs="Times New Roman"/>
                <w:b/>
                <w:sz w:val="72"/>
                <w:szCs w:val="20"/>
              </w:rPr>
              <w:t>专项评价</w:t>
            </w:r>
          </w:p>
          <w:p w14:paraId="49A771D7">
            <w:pPr>
              <w:spacing w:line="360" w:lineRule="auto"/>
              <w:jc w:val="left"/>
              <w:rPr>
                <w:rFonts w:ascii="Times New Roman" w:hAnsi="Times New Roman" w:eastAsia="宋体" w:cs="Times New Roman"/>
                <w:sz w:val="24"/>
                <w:szCs w:val="20"/>
              </w:rPr>
            </w:pPr>
          </w:p>
        </w:tc>
      </w:tr>
    </w:tbl>
    <w:p w14:paraId="50D4B8E3">
      <w:pPr>
        <w:jc w:val="left"/>
        <w:rPr>
          <w:rFonts w:ascii="Times New Roman" w:hAnsi="Times New Roman" w:eastAsia="宋体" w:cs="Times New Roman"/>
          <w:sz w:val="28"/>
          <w:szCs w:val="22"/>
        </w:rPr>
      </w:pPr>
    </w:p>
    <w:p w14:paraId="628E6E4C">
      <w:pPr>
        <w:jc w:val="left"/>
        <w:rPr>
          <w:rFonts w:ascii="Times New Roman" w:hAnsi="Times New Roman" w:eastAsia="宋体" w:cs="Times New Roman"/>
          <w:sz w:val="28"/>
          <w:szCs w:val="22"/>
        </w:rPr>
      </w:pPr>
    </w:p>
    <w:p w14:paraId="53469C38">
      <w:pPr>
        <w:jc w:val="left"/>
        <w:rPr>
          <w:rFonts w:ascii="Times New Roman" w:hAnsi="Times New Roman" w:eastAsia="宋体" w:cs="Times New Roman"/>
          <w:sz w:val="28"/>
          <w:szCs w:val="22"/>
        </w:rPr>
      </w:pPr>
    </w:p>
    <w:p w14:paraId="720A97E0">
      <w:pPr>
        <w:jc w:val="left"/>
        <w:rPr>
          <w:rFonts w:ascii="Times New Roman" w:hAnsi="Times New Roman" w:eastAsia="宋体" w:cs="Times New Roman"/>
          <w:sz w:val="28"/>
          <w:szCs w:val="22"/>
        </w:rPr>
      </w:pPr>
    </w:p>
    <w:p w14:paraId="7FB7C8A8">
      <w:pPr>
        <w:jc w:val="left"/>
        <w:rPr>
          <w:rFonts w:ascii="Times New Roman" w:hAnsi="Times New Roman" w:eastAsia="宋体" w:cs="Times New Roman"/>
          <w:sz w:val="28"/>
          <w:szCs w:val="22"/>
        </w:rPr>
      </w:pPr>
    </w:p>
    <w:p w14:paraId="6165FF76">
      <w:pPr>
        <w:spacing w:afterLines="250" w:line="480" w:lineRule="auto"/>
        <w:rPr>
          <w:rFonts w:ascii="Times New Roman" w:hAnsi="Times New Roman" w:eastAsia="宋体" w:cs="Times New Roman"/>
          <w:sz w:val="28"/>
          <w:szCs w:val="22"/>
        </w:rPr>
      </w:pPr>
    </w:p>
    <w:p w14:paraId="5761D301">
      <w:pPr>
        <w:spacing w:afterLines="250" w:line="480" w:lineRule="auto"/>
        <w:rPr>
          <w:rFonts w:ascii="Times New Roman" w:hAnsi="Times New Roman" w:eastAsia="宋体" w:cs="Times New Roman"/>
          <w:sz w:val="28"/>
          <w:szCs w:val="22"/>
        </w:rPr>
      </w:pPr>
    </w:p>
    <w:tbl>
      <w:tblPr>
        <w:tblStyle w:val="22"/>
        <w:tblW w:w="0" w:type="auto"/>
        <w:jc w:val="center"/>
        <w:tblLayout w:type="fixed"/>
        <w:tblCellMar>
          <w:top w:w="0" w:type="dxa"/>
          <w:left w:w="108" w:type="dxa"/>
          <w:bottom w:w="0" w:type="dxa"/>
          <w:right w:w="108" w:type="dxa"/>
        </w:tblCellMar>
      </w:tblPr>
      <w:tblGrid>
        <w:gridCol w:w="2297"/>
        <w:gridCol w:w="6088"/>
      </w:tblGrid>
      <w:tr w14:paraId="7B5AE7A8">
        <w:tblPrEx>
          <w:tblCellMar>
            <w:top w:w="0" w:type="dxa"/>
            <w:left w:w="108" w:type="dxa"/>
            <w:bottom w:w="0" w:type="dxa"/>
            <w:right w:w="108" w:type="dxa"/>
          </w:tblCellMar>
        </w:tblPrEx>
        <w:trPr>
          <w:trHeight w:val="256" w:hRule="atLeast"/>
          <w:jc w:val="center"/>
        </w:trPr>
        <w:tc>
          <w:tcPr>
            <w:tcW w:w="2297" w:type="dxa"/>
          </w:tcPr>
          <w:p w14:paraId="65370B56">
            <w:pPr>
              <w:spacing w:afterLines="100" w:line="480" w:lineRule="auto"/>
              <w:jc w:val="distribute"/>
              <w:rPr>
                <w:rFonts w:ascii="Times New Roman" w:hAnsi="Times New Roman" w:eastAsia="宋体" w:cs="Times New Roman"/>
                <w:b/>
                <w:spacing w:val="-10"/>
                <w:sz w:val="36"/>
                <w:szCs w:val="22"/>
              </w:rPr>
            </w:pPr>
            <w:r>
              <w:rPr>
                <w:rFonts w:ascii="Times New Roman" w:hAnsi="Times New Roman" w:eastAsia="宋体" w:cs="Times New Roman"/>
                <w:b/>
                <w:spacing w:val="-10"/>
                <w:sz w:val="36"/>
                <w:szCs w:val="22"/>
              </w:rPr>
              <w:t>建设单位：</w:t>
            </w:r>
          </w:p>
        </w:tc>
        <w:tc>
          <w:tcPr>
            <w:tcW w:w="6088" w:type="dxa"/>
          </w:tcPr>
          <w:p w14:paraId="74C04A7E">
            <w:pPr>
              <w:spacing w:afterLines="100" w:line="480" w:lineRule="auto"/>
              <w:rPr>
                <w:rFonts w:ascii="Times New Roman" w:hAnsi="Times New Roman" w:eastAsia="宋体" w:cs="Times New Roman"/>
                <w:b/>
                <w:spacing w:val="-10"/>
                <w:sz w:val="36"/>
                <w:szCs w:val="22"/>
              </w:rPr>
            </w:pPr>
            <w:r>
              <w:rPr>
                <w:rFonts w:hint="eastAsia" w:ascii="Times New Roman" w:hAnsi="Times New Roman" w:eastAsia="宋体" w:cs="Times New Roman"/>
                <w:b/>
                <w:spacing w:val="-10"/>
                <w:sz w:val="36"/>
                <w:szCs w:val="22"/>
              </w:rPr>
              <w:t>新疆维吾尔自治区交通建设事务中心</w:t>
            </w:r>
          </w:p>
        </w:tc>
      </w:tr>
      <w:tr w14:paraId="76778543">
        <w:tblPrEx>
          <w:tblCellMar>
            <w:top w:w="0" w:type="dxa"/>
            <w:left w:w="108" w:type="dxa"/>
            <w:bottom w:w="0" w:type="dxa"/>
            <w:right w:w="108" w:type="dxa"/>
          </w:tblCellMar>
        </w:tblPrEx>
        <w:trPr>
          <w:trHeight w:val="545" w:hRule="atLeast"/>
          <w:jc w:val="center"/>
        </w:trPr>
        <w:tc>
          <w:tcPr>
            <w:tcW w:w="2297" w:type="dxa"/>
          </w:tcPr>
          <w:p w14:paraId="259DCC29">
            <w:pPr>
              <w:spacing w:afterLines="100" w:line="480" w:lineRule="auto"/>
              <w:jc w:val="distribute"/>
              <w:rPr>
                <w:rFonts w:ascii="Times New Roman" w:hAnsi="Times New Roman" w:eastAsia="宋体" w:cs="Times New Roman"/>
                <w:b/>
                <w:spacing w:val="-10"/>
                <w:sz w:val="36"/>
                <w:szCs w:val="22"/>
              </w:rPr>
            </w:pPr>
            <w:r>
              <w:rPr>
                <w:rFonts w:ascii="Times New Roman" w:hAnsi="Times New Roman" w:eastAsia="宋体" w:cs="Times New Roman"/>
                <w:b/>
                <w:spacing w:val="-10"/>
                <w:sz w:val="36"/>
                <w:szCs w:val="22"/>
              </w:rPr>
              <w:t>编制单位：</w:t>
            </w:r>
          </w:p>
        </w:tc>
        <w:tc>
          <w:tcPr>
            <w:tcW w:w="6088" w:type="dxa"/>
          </w:tcPr>
          <w:p w14:paraId="7C0A7E27">
            <w:pPr>
              <w:spacing w:afterLines="100" w:line="480" w:lineRule="auto"/>
              <w:rPr>
                <w:rFonts w:hint="eastAsia" w:ascii="Times New Roman" w:hAnsi="Times New Roman" w:eastAsia="宋体" w:cs="Times New Roman"/>
                <w:b/>
                <w:spacing w:val="-10"/>
                <w:sz w:val="36"/>
                <w:szCs w:val="22"/>
                <w:lang w:eastAsia="zh-CN"/>
              </w:rPr>
            </w:pPr>
            <w:r>
              <w:rPr>
                <w:rFonts w:hint="eastAsia" w:ascii="Times New Roman" w:hAnsi="Times New Roman" w:eastAsia="宋体" w:cs="Times New Roman"/>
                <w:b/>
                <w:spacing w:val="-10"/>
                <w:sz w:val="36"/>
                <w:szCs w:val="22"/>
                <w:lang w:eastAsia="zh-CN"/>
              </w:rPr>
              <w:t>北京交科公路勘察设计研究院有限公司</w:t>
            </w:r>
          </w:p>
        </w:tc>
      </w:tr>
    </w:tbl>
    <w:p w14:paraId="2A4511E4">
      <w:pPr>
        <w:spacing w:afterLines="100" w:line="480" w:lineRule="auto"/>
        <w:jc w:val="center"/>
        <w:rPr>
          <w:rFonts w:ascii="Times New Roman" w:hAnsi="Times New Roman" w:eastAsia="宋体" w:cs="Times New Roman"/>
          <w:b/>
          <w:spacing w:val="-10"/>
          <w:sz w:val="36"/>
          <w:szCs w:val="22"/>
        </w:rPr>
      </w:pPr>
      <w:r>
        <w:rPr>
          <w:rFonts w:ascii="Times New Roman" w:hAnsi="Times New Roman" w:eastAsia="宋体" w:cs="Times New Roman"/>
          <w:b/>
          <w:spacing w:val="-10"/>
          <w:sz w:val="36"/>
          <w:szCs w:val="22"/>
        </w:rPr>
        <w:t>二</w:t>
      </w:r>
      <w:r>
        <w:rPr>
          <w:rFonts w:ascii="宋体" w:hAnsi="宋体" w:eastAsia="宋体" w:cs="Times New Roman"/>
          <w:b/>
          <w:spacing w:val="-10"/>
          <w:sz w:val="36"/>
          <w:szCs w:val="22"/>
        </w:rPr>
        <w:t>○</w:t>
      </w:r>
      <w:r>
        <w:rPr>
          <w:rFonts w:ascii="Times New Roman" w:hAnsi="Times New Roman" w:eastAsia="宋体" w:cs="Times New Roman"/>
          <w:b/>
          <w:spacing w:val="-10"/>
          <w:sz w:val="36"/>
          <w:szCs w:val="22"/>
        </w:rPr>
        <w:t>二</w:t>
      </w:r>
      <w:r>
        <w:rPr>
          <w:rFonts w:hint="eastAsia" w:ascii="Times New Roman" w:hAnsi="Times New Roman" w:eastAsia="宋体" w:cs="Times New Roman"/>
          <w:b/>
          <w:spacing w:val="-10"/>
          <w:sz w:val="36"/>
          <w:szCs w:val="22"/>
        </w:rPr>
        <w:t>六</w:t>
      </w:r>
      <w:r>
        <w:rPr>
          <w:rFonts w:ascii="Times New Roman" w:hAnsi="Times New Roman" w:eastAsia="宋体" w:cs="Times New Roman"/>
          <w:b/>
          <w:spacing w:val="-10"/>
          <w:sz w:val="36"/>
          <w:szCs w:val="22"/>
        </w:rPr>
        <w:t>年</w:t>
      </w:r>
      <w:r>
        <w:rPr>
          <w:rFonts w:hint="eastAsia" w:ascii="Times New Roman" w:hAnsi="Times New Roman" w:eastAsia="宋体" w:cs="Times New Roman"/>
          <w:b/>
          <w:spacing w:val="-10"/>
          <w:sz w:val="36"/>
          <w:szCs w:val="22"/>
          <w:lang w:val="en-US" w:eastAsia="zh-CN"/>
        </w:rPr>
        <w:t>八</w:t>
      </w:r>
      <w:r>
        <w:rPr>
          <w:rFonts w:ascii="Times New Roman" w:hAnsi="Times New Roman" w:eastAsia="宋体" w:cs="Times New Roman"/>
          <w:b/>
          <w:spacing w:val="-10"/>
          <w:sz w:val="36"/>
          <w:szCs w:val="22"/>
        </w:rPr>
        <w:t>月</w:t>
      </w:r>
    </w:p>
    <w:p w14:paraId="622676CB">
      <w:pPr>
        <w:spacing w:line="300" w:lineRule="auto"/>
        <w:ind w:firstLine="480" w:firstLineChars="200"/>
        <w:rPr>
          <w:sz w:val="24"/>
        </w:rPr>
        <w:sectPr>
          <w:footerReference r:id="rId15" w:type="default"/>
          <w:headerReference r:id="rId14" w:type="even"/>
          <w:footerReference r:id="rId16" w:type="even"/>
          <w:pgSz w:w="11906" w:h="16838"/>
          <w:pgMar w:top="1440" w:right="1800" w:bottom="1440" w:left="1800" w:header="1134" w:footer="1021" w:gutter="0"/>
          <w:pgBorders>
            <w:top w:val="none" w:sz="0" w:space="0"/>
            <w:left w:val="none" w:sz="0" w:space="0"/>
            <w:bottom w:val="none" w:sz="0" w:space="0"/>
            <w:right w:val="none" w:sz="0" w:space="0"/>
          </w:pgBorders>
          <w:cols w:space="720" w:num="1"/>
          <w:docGrid w:linePitch="312" w:charSpace="0"/>
        </w:sectPr>
      </w:pPr>
    </w:p>
    <w:sdt>
      <w:sdtPr>
        <w:rPr>
          <w:rFonts w:ascii="Times New Roman" w:hAnsi="Times New Roman" w:eastAsia="宋体" w:cs="Times New Roman"/>
          <w:b w:val="0"/>
          <w:bCs w:val="0"/>
          <w:color w:val="auto"/>
          <w:kern w:val="2"/>
          <w:sz w:val="21"/>
          <w:szCs w:val="24"/>
          <w:lang w:val="zh-CN" w:eastAsia="zh-CN" w:bidi="ar-SA"/>
        </w:rPr>
        <w:id w:val="-1128392046"/>
        <w:docPartObj>
          <w:docPartGallery w:val="Table of Contents"/>
          <w:docPartUnique/>
        </w:docPartObj>
      </w:sdtPr>
      <w:sdtEndPr>
        <w:rPr>
          <w:rFonts w:ascii="Times New Roman" w:hAnsi="Times New Roman" w:eastAsia="宋体" w:cs="Times New Roman"/>
          <w:b w:val="0"/>
          <w:bCs w:val="0"/>
          <w:color w:val="auto"/>
          <w:kern w:val="2"/>
          <w:sz w:val="21"/>
          <w:szCs w:val="24"/>
          <w:lang w:val="zh-CN" w:eastAsia="zh-CN" w:bidi="ar-SA"/>
        </w:rPr>
      </w:sdtEndPr>
      <w:sdtContent>
        <w:p w14:paraId="2F27DDDE">
          <w:pPr>
            <w:pStyle w:val="97"/>
            <w:overflowPunct/>
            <w:snapToGrid/>
            <w:ind w:left="0" w:firstLine="0"/>
            <w:jc w:val="center"/>
            <w:rPr>
              <w:rFonts w:ascii="Times New Roman" w:hAnsi="Times New Roman" w:eastAsia="黑体"/>
              <w:b w:val="0"/>
              <w:bCs w:val="0"/>
              <w:snapToGrid w:val="0"/>
              <w:color w:val="auto"/>
              <w:sz w:val="32"/>
              <w:szCs w:val="32"/>
            </w:rPr>
          </w:pPr>
          <w:r>
            <w:rPr>
              <w:rFonts w:ascii="Times New Roman" w:hAnsi="Times New Roman" w:eastAsia="黑体"/>
              <w:b w:val="0"/>
              <w:bCs w:val="0"/>
              <w:snapToGrid w:val="0"/>
              <w:color w:val="auto"/>
              <w:sz w:val="32"/>
              <w:szCs w:val="32"/>
            </w:rPr>
            <w:t>目录</w:t>
          </w:r>
        </w:p>
        <w:p w14:paraId="7745D074">
          <w:pPr>
            <w:pStyle w:val="18"/>
            <w:spacing w:beforeLines="0" w:line="440" w:lineRule="exact"/>
            <w:rPr>
              <w:rFonts w:asciiTheme="minorHAnsi" w:hAnsiTheme="minorHAnsi" w:eastAsiaTheme="minorEastAsia" w:cstheme="minorBidi"/>
              <w:b/>
              <w:bCs/>
              <w:snapToGrid/>
              <w:kern w:val="2"/>
            </w:rPr>
          </w:pPr>
          <w:r>
            <w:rPr>
              <w:rFonts w:eastAsiaTheme="minorEastAsia"/>
              <w:b/>
              <w:bCs/>
              <w:lang w:val="zh-CN"/>
            </w:rPr>
            <w:fldChar w:fldCharType="begin"/>
          </w:r>
          <w:r>
            <w:rPr>
              <w:rFonts w:eastAsiaTheme="minorEastAsia"/>
              <w:b/>
              <w:bCs/>
              <w:lang w:val="zh-CN"/>
            </w:rPr>
            <w:instrText xml:space="preserve"> TOC \o "1-3" \h \z \u </w:instrText>
          </w:r>
          <w:r>
            <w:rPr>
              <w:rFonts w:eastAsiaTheme="minorEastAsia"/>
              <w:b/>
              <w:bCs/>
              <w:lang w:val="zh-CN"/>
            </w:rPr>
            <w:fldChar w:fldCharType="separate"/>
          </w:r>
          <w:r>
            <w:fldChar w:fldCharType="begin"/>
          </w:r>
          <w:r>
            <w:instrText xml:space="preserve"> HYPERLINK \l "_Toc187528223" </w:instrText>
          </w:r>
          <w:r>
            <w:fldChar w:fldCharType="separate"/>
          </w:r>
          <w:r>
            <w:rPr>
              <w:rStyle w:val="28"/>
              <w:rFonts w:hint="eastAsia"/>
              <w:b/>
              <w:bCs/>
              <w:color w:val="auto"/>
              <w:kern w:val="2"/>
              <w:sz w:val="21"/>
              <w:u w:val="none"/>
            </w:rPr>
            <w:t>1 总则</w:t>
          </w:r>
          <w:r>
            <w:rPr>
              <w:rFonts w:hint="eastAsia"/>
              <w:b/>
              <w:bCs/>
            </w:rPr>
            <w:tab/>
          </w:r>
          <w:r>
            <w:rPr>
              <w:rFonts w:hint="eastAsia"/>
              <w:b/>
              <w:bCs/>
            </w:rPr>
            <w:fldChar w:fldCharType="begin"/>
          </w:r>
          <w:r>
            <w:rPr>
              <w:rFonts w:hint="eastAsia"/>
              <w:b/>
              <w:bCs/>
            </w:rPr>
            <w:instrText xml:space="preserve"> </w:instrText>
          </w:r>
          <w:r>
            <w:rPr>
              <w:b/>
              <w:bCs/>
            </w:rPr>
            <w:instrText xml:space="preserve">PAGEREF _Toc187528223 \h</w:instrText>
          </w:r>
          <w:r>
            <w:rPr>
              <w:rFonts w:hint="eastAsia"/>
              <w:b/>
              <w:bCs/>
            </w:rPr>
            <w:instrText xml:space="preserve"> </w:instrText>
          </w:r>
          <w:r>
            <w:rPr>
              <w:rFonts w:hint="eastAsia"/>
              <w:b/>
              <w:bCs/>
            </w:rPr>
            <w:fldChar w:fldCharType="separate"/>
          </w:r>
          <w:r>
            <w:rPr>
              <w:b/>
              <w:bCs/>
            </w:rPr>
            <w:t>1</w:t>
          </w:r>
          <w:r>
            <w:rPr>
              <w:rFonts w:hint="eastAsia"/>
              <w:b/>
              <w:bCs/>
            </w:rPr>
            <w:fldChar w:fldCharType="end"/>
          </w:r>
          <w:r>
            <w:rPr>
              <w:rFonts w:hint="eastAsia"/>
              <w:b/>
              <w:bCs/>
            </w:rPr>
            <w:fldChar w:fldCharType="end"/>
          </w:r>
        </w:p>
        <w:p w14:paraId="09B34D73">
          <w:pPr>
            <w:pStyle w:val="19"/>
            <w:spacing w:line="440" w:lineRule="exact"/>
            <w:rPr>
              <w:rFonts w:asciiTheme="minorHAnsi" w:hAnsiTheme="minorHAnsi" w:eastAsiaTheme="minorEastAsia" w:cstheme="minorBidi"/>
              <w:sz w:val="24"/>
            </w:rPr>
          </w:pPr>
          <w:r>
            <w:fldChar w:fldCharType="begin"/>
          </w:r>
          <w:r>
            <w:instrText xml:space="preserve"> HYPERLINK \l "_Toc187528224" </w:instrText>
          </w:r>
          <w:r>
            <w:fldChar w:fldCharType="separate"/>
          </w:r>
          <w:r>
            <w:rPr>
              <w:rStyle w:val="28"/>
              <w:rFonts w:hint="eastAsia"/>
              <w:color w:val="auto"/>
              <w:kern w:val="0"/>
              <w:sz w:val="24"/>
              <w:u w:val="none"/>
            </w:rPr>
            <w:t>1.1 建设项目特点</w:t>
          </w:r>
          <w:r>
            <w:rPr>
              <w:rFonts w:hint="eastAsia"/>
              <w:sz w:val="24"/>
            </w:rPr>
            <w:tab/>
          </w:r>
          <w:r>
            <w:rPr>
              <w:rFonts w:hint="eastAsia"/>
              <w:sz w:val="24"/>
            </w:rPr>
            <w:fldChar w:fldCharType="begin"/>
          </w:r>
          <w:r>
            <w:rPr>
              <w:rFonts w:hint="eastAsia"/>
              <w:sz w:val="24"/>
            </w:rPr>
            <w:instrText xml:space="preserve"> </w:instrText>
          </w:r>
          <w:r>
            <w:rPr>
              <w:sz w:val="24"/>
            </w:rPr>
            <w:instrText xml:space="preserve">PAGEREF _Toc187528224 \h</w:instrText>
          </w:r>
          <w:r>
            <w:rPr>
              <w:rFonts w:hint="eastAsia"/>
              <w:sz w:val="24"/>
            </w:rPr>
            <w:instrText xml:space="preserve"> </w:instrText>
          </w:r>
          <w:r>
            <w:rPr>
              <w:rFonts w:hint="eastAsia"/>
              <w:sz w:val="24"/>
            </w:rPr>
            <w:fldChar w:fldCharType="separate"/>
          </w:r>
          <w:r>
            <w:rPr>
              <w:sz w:val="24"/>
            </w:rPr>
            <w:t>1</w:t>
          </w:r>
          <w:r>
            <w:rPr>
              <w:rFonts w:hint="eastAsia"/>
              <w:sz w:val="24"/>
            </w:rPr>
            <w:fldChar w:fldCharType="end"/>
          </w:r>
          <w:r>
            <w:rPr>
              <w:rFonts w:hint="eastAsia"/>
              <w:sz w:val="24"/>
            </w:rPr>
            <w:fldChar w:fldCharType="end"/>
          </w:r>
        </w:p>
        <w:p w14:paraId="19332C4F">
          <w:pPr>
            <w:pStyle w:val="19"/>
            <w:spacing w:line="440" w:lineRule="exact"/>
            <w:rPr>
              <w:rFonts w:asciiTheme="minorHAnsi" w:hAnsiTheme="minorHAnsi" w:eastAsiaTheme="minorEastAsia" w:cstheme="minorBidi"/>
              <w:sz w:val="24"/>
            </w:rPr>
          </w:pPr>
          <w:r>
            <w:fldChar w:fldCharType="begin"/>
          </w:r>
          <w:r>
            <w:instrText xml:space="preserve"> HYPERLINK \l "_Toc187528227" </w:instrText>
          </w:r>
          <w:r>
            <w:fldChar w:fldCharType="separate"/>
          </w:r>
          <w:r>
            <w:rPr>
              <w:rStyle w:val="28"/>
              <w:rFonts w:hint="eastAsia"/>
              <w:color w:val="auto"/>
              <w:kern w:val="0"/>
              <w:sz w:val="24"/>
              <w:u w:val="none"/>
            </w:rPr>
            <w:t>1.2 编制依据</w:t>
          </w:r>
          <w:r>
            <w:rPr>
              <w:rFonts w:hint="eastAsia"/>
              <w:sz w:val="24"/>
            </w:rPr>
            <w:tab/>
          </w:r>
          <w:r>
            <w:rPr>
              <w:rFonts w:hint="eastAsia"/>
              <w:sz w:val="24"/>
            </w:rPr>
            <w:fldChar w:fldCharType="begin"/>
          </w:r>
          <w:r>
            <w:rPr>
              <w:rFonts w:hint="eastAsia"/>
              <w:sz w:val="24"/>
            </w:rPr>
            <w:instrText xml:space="preserve"> </w:instrText>
          </w:r>
          <w:r>
            <w:rPr>
              <w:sz w:val="24"/>
            </w:rPr>
            <w:instrText xml:space="preserve">PAGEREF _Toc187528227 \h</w:instrText>
          </w:r>
          <w:r>
            <w:rPr>
              <w:rFonts w:hint="eastAsia"/>
              <w:sz w:val="24"/>
            </w:rPr>
            <w:instrText xml:space="preserve"> </w:instrText>
          </w:r>
          <w:r>
            <w:rPr>
              <w:rFonts w:hint="eastAsia"/>
              <w:sz w:val="24"/>
            </w:rPr>
            <w:fldChar w:fldCharType="separate"/>
          </w:r>
          <w:r>
            <w:rPr>
              <w:sz w:val="24"/>
            </w:rPr>
            <w:t>1</w:t>
          </w:r>
          <w:r>
            <w:rPr>
              <w:rFonts w:hint="eastAsia"/>
              <w:sz w:val="24"/>
            </w:rPr>
            <w:fldChar w:fldCharType="end"/>
          </w:r>
          <w:r>
            <w:rPr>
              <w:rFonts w:hint="eastAsia"/>
              <w:sz w:val="24"/>
            </w:rPr>
            <w:fldChar w:fldCharType="end"/>
          </w:r>
        </w:p>
        <w:p w14:paraId="01A7E369">
          <w:pPr>
            <w:pStyle w:val="19"/>
            <w:spacing w:line="440" w:lineRule="exact"/>
            <w:rPr>
              <w:rFonts w:asciiTheme="minorHAnsi" w:hAnsiTheme="minorHAnsi" w:eastAsiaTheme="minorEastAsia" w:cstheme="minorBidi"/>
              <w:sz w:val="24"/>
            </w:rPr>
          </w:pPr>
          <w:r>
            <w:fldChar w:fldCharType="begin"/>
          </w:r>
          <w:r>
            <w:instrText xml:space="preserve"> HYPERLINK \l "_Toc187528230" </w:instrText>
          </w:r>
          <w:r>
            <w:fldChar w:fldCharType="separate"/>
          </w:r>
          <w:r>
            <w:rPr>
              <w:rStyle w:val="28"/>
              <w:rFonts w:hint="eastAsia"/>
              <w:color w:val="auto"/>
              <w:kern w:val="0"/>
              <w:sz w:val="24"/>
              <w:u w:val="none"/>
            </w:rPr>
            <w:t>1.3 评价内容及评价工作重点</w:t>
          </w:r>
          <w:r>
            <w:rPr>
              <w:rFonts w:hint="eastAsia"/>
              <w:sz w:val="24"/>
            </w:rPr>
            <w:tab/>
          </w:r>
          <w:r>
            <w:rPr>
              <w:rFonts w:hint="eastAsia"/>
              <w:sz w:val="24"/>
            </w:rPr>
            <w:fldChar w:fldCharType="begin"/>
          </w:r>
          <w:r>
            <w:rPr>
              <w:rFonts w:hint="eastAsia"/>
              <w:sz w:val="24"/>
            </w:rPr>
            <w:instrText xml:space="preserve"> </w:instrText>
          </w:r>
          <w:r>
            <w:rPr>
              <w:sz w:val="24"/>
            </w:rPr>
            <w:instrText xml:space="preserve">PAGEREF _Toc187528230 \h</w:instrText>
          </w:r>
          <w:r>
            <w:rPr>
              <w:rFonts w:hint="eastAsia"/>
              <w:sz w:val="24"/>
            </w:rPr>
            <w:instrText xml:space="preserve"> </w:instrText>
          </w:r>
          <w:r>
            <w:rPr>
              <w:rFonts w:hint="eastAsia"/>
              <w:sz w:val="24"/>
            </w:rPr>
            <w:fldChar w:fldCharType="separate"/>
          </w:r>
          <w:r>
            <w:rPr>
              <w:sz w:val="24"/>
            </w:rPr>
            <w:t>2</w:t>
          </w:r>
          <w:r>
            <w:rPr>
              <w:rFonts w:hint="eastAsia"/>
              <w:sz w:val="24"/>
            </w:rPr>
            <w:fldChar w:fldCharType="end"/>
          </w:r>
          <w:r>
            <w:rPr>
              <w:rFonts w:hint="eastAsia"/>
              <w:sz w:val="24"/>
            </w:rPr>
            <w:fldChar w:fldCharType="end"/>
          </w:r>
        </w:p>
        <w:p w14:paraId="14E21BF5">
          <w:pPr>
            <w:pStyle w:val="19"/>
            <w:spacing w:line="440" w:lineRule="exact"/>
            <w:rPr>
              <w:rFonts w:asciiTheme="minorHAnsi" w:hAnsiTheme="minorHAnsi" w:eastAsiaTheme="minorEastAsia" w:cstheme="minorBidi"/>
              <w:sz w:val="24"/>
            </w:rPr>
          </w:pPr>
          <w:r>
            <w:fldChar w:fldCharType="begin"/>
          </w:r>
          <w:r>
            <w:instrText xml:space="preserve"> HYPERLINK \l "_Toc187528233" </w:instrText>
          </w:r>
          <w:r>
            <w:fldChar w:fldCharType="separate"/>
          </w:r>
          <w:r>
            <w:rPr>
              <w:rStyle w:val="28"/>
              <w:rFonts w:hint="eastAsia"/>
              <w:color w:val="auto"/>
              <w:kern w:val="0"/>
              <w:sz w:val="24"/>
              <w:u w:val="none"/>
            </w:rPr>
            <w:t>1.4 环境影响因素识别及评价因子筛选</w:t>
          </w:r>
          <w:r>
            <w:rPr>
              <w:rFonts w:hint="eastAsia"/>
              <w:sz w:val="24"/>
            </w:rPr>
            <w:tab/>
          </w:r>
          <w:r>
            <w:rPr>
              <w:rFonts w:hint="eastAsia"/>
              <w:sz w:val="24"/>
            </w:rPr>
            <w:fldChar w:fldCharType="begin"/>
          </w:r>
          <w:r>
            <w:rPr>
              <w:rFonts w:hint="eastAsia"/>
              <w:sz w:val="24"/>
            </w:rPr>
            <w:instrText xml:space="preserve"> </w:instrText>
          </w:r>
          <w:r>
            <w:rPr>
              <w:sz w:val="24"/>
            </w:rPr>
            <w:instrText xml:space="preserve">PAGEREF _Toc187528233 \h</w:instrText>
          </w:r>
          <w:r>
            <w:rPr>
              <w:rFonts w:hint="eastAsia"/>
              <w:sz w:val="24"/>
            </w:rPr>
            <w:instrText xml:space="preserve"> </w:instrText>
          </w:r>
          <w:r>
            <w:rPr>
              <w:rFonts w:hint="eastAsia"/>
              <w:sz w:val="24"/>
            </w:rPr>
            <w:fldChar w:fldCharType="separate"/>
          </w:r>
          <w:r>
            <w:rPr>
              <w:sz w:val="24"/>
            </w:rPr>
            <w:t>4</w:t>
          </w:r>
          <w:r>
            <w:rPr>
              <w:rFonts w:hint="eastAsia"/>
              <w:sz w:val="24"/>
            </w:rPr>
            <w:fldChar w:fldCharType="end"/>
          </w:r>
          <w:r>
            <w:rPr>
              <w:rFonts w:hint="eastAsia"/>
              <w:sz w:val="24"/>
            </w:rPr>
            <w:fldChar w:fldCharType="end"/>
          </w:r>
        </w:p>
        <w:p w14:paraId="415175A7">
          <w:pPr>
            <w:pStyle w:val="19"/>
            <w:spacing w:line="440" w:lineRule="exact"/>
            <w:rPr>
              <w:rFonts w:asciiTheme="minorHAnsi" w:hAnsiTheme="minorHAnsi" w:eastAsiaTheme="minorEastAsia" w:cstheme="minorBidi"/>
              <w:sz w:val="24"/>
            </w:rPr>
          </w:pPr>
          <w:r>
            <w:fldChar w:fldCharType="begin"/>
          </w:r>
          <w:r>
            <w:instrText xml:space="preserve"> HYPERLINK \l "_Toc187528233" </w:instrText>
          </w:r>
          <w:r>
            <w:fldChar w:fldCharType="separate"/>
          </w:r>
          <w:r>
            <w:rPr>
              <w:rStyle w:val="28"/>
              <w:rFonts w:hint="eastAsia"/>
              <w:color w:val="auto"/>
              <w:kern w:val="0"/>
              <w:sz w:val="24"/>
              <w:u w:val="none"/>
            </w:rPr>
            <w:t>1.5 评价工作等级及评价范围</w:t>
          </w:r>
          <w:r>
            <w:rPr>
              <w:rFonts w:hint="eastAsia"/>
              <w:sz w:val="24"/>
            </w:rPr>
            <w:tab/>
          </w:r>
          <w:r>
            <w:rPr>
              <w:rFonts w:hint="eastAsia"/>
              <w:sz w:val="24"/>
            </w:rPr>
            <w:fldChar w:fldCharType="begin"/>
          </w:r>
          <w:r>
            <w:rPr>
              <w:rFonts w:hint="eastAsia"/>
              <w:sz w:val="24"/>
            </w:rPr>
            <w:instrText xml:space="preserve"> </w:instrText>
          </w:r>
          <w:r>
            <w:rPr>
              <w:sz w:val="24"/>
            </w:rPr>
            <w:instrText xml:space="preserve">PAGEREF _Toc187528233 \h</w:instrText>
          </w:r>
          <w:r>
            <w:rPr>
              <w:rFonts w:hint="eastAsia"/>
              <w:sz w:val="24"/>
            </w:rPr>
            <w:instrText xml:space="preserve"> </w:instrText>
          </w:r>
          <w:r>
            <w:rPr>
              <w:rFonts w:hint="eastAsia"/>
              <w:sz w:val="24"/>
            </w:rPr>
            <w:fldChar w:fldCharType="separate"/>
          </w:r>
          <w:r>
            <w:rPr>
              <w:sz w:val="24"/>
            </w:rPr>
            <w:t>4</w:t>
          </w:r>
          <w:r>
            <w:rPr>
              <w:rFonts w:hint="eastAsia"/>
              <w:sz w:val="24"/>
            </w:rPr>
            <w:fldChar w:fldCharType="end"/>
          </w:r>
          <w:r>
            <w:rPr>
              <w:rFonts w:hint="eastAsia"/>
              <w:sz w:val="24"/>
            </w:rPr>
            <w:fldChar w:fldCharType="end"/>
          </w:r>
        </w:p>
        <w:p w14:paraId="686D36A0">
          <w:pPr>
            <w:pStyle w:val="19"/>
            <w:spacing w:line="440" w:lineRule="exact"/>
            <w:rPr>
              <w:rFonts w:asciiTheme="minorHAnsi" w:hAnsiTheme="minorHAnsi" w:eastAsiaTheme="minorEastAsia" w:cstheme="minorBidi"/>
              <w:sz w:val="24"/>
            </w:rPr>
          </w:pPr>
          <w:r>
            <w:fldChar w:fldCharType="begin"/>
          </w:r>
          <w:r>
            <w:instrText xml:space="preserve"> HYPERLINK \l "_Toc187528236" </w:instrText>
          </w:r>
          <w:r>
            <w:fldChar w:fldCharType="separate"/>
          </w:r>
          <w:r>
            <w:rPr>
              <w:rStyle w:val="28"/>
              <w:rFonts w:hint="eastAsia"/>
              <w:color w:val="auto"/>
              <w:kern w:val="0"/>
              <w:sz w:val="24"/>
              <w:u w:val="none"/>
            </w:rPr>
            <w:t>1.6 声环境保护目标</w:t>
          </w:r>
          <w:r>
            <w:rPr>
              <w:rFonts w:hint="eastAsia"/>
              <w:sz w:val="24"/>
            </w:rPr>
            <w:tab/>
          </w:r>
          <w:r>
            <w:rPr>
              <w:rFonts w:hint="eastAsia"/>
              <w:sz w:val="24"/>
            </w:rPr>
            <w:fldChar w:fldCharType="begin"/>
          </w:r>
          <w:r>
            <w:rPr>
              <w:rFonts w:hint="eastAsia"/>
              <w:sz w:val="24"/>
            </w:rPr>
            <w:instrText xml:space="preserve"> </w:instrText>
          </w:r>
          <w:r>
            <w:rPr>
              <w:sz w:val="24"/>
            </w:rPr>
            <w:instrText xml:space="preserve">PAGEREF _Toc187528236 \h</w:instrText>
          </w:r>
          <w:r>
            <w:rPr>
              <w:rFonts w:hint="eastAsia"/>
              <w:sz w:val="24"/>
            </w:rPr>
            <w:instrText xml:space="preserve"> </w:instrText>
          </w:r>
          <w:r>
            <w:rPr>
              <w:rFonts w:hint="eastAsia"/>
              <w:sz w:val="24"/>
            </w:rPr>
            <w:fldChar w:fldCharType="separate"/>
          </w:r>
          <w:r>
            <w:rPr>
              <w:sz w:val="24"/>
            </w:rPr>
            <w:t>4</w:t>
          </w:r>
          <w:r>
            <w:rPr>
              <w:rFonts w:hint="eastAsia"/>
              <w:sz w:val="24"/>
            </w:rPr>
            <w:fldChar w:fldCharType="end"/>
          </w:r>
          <w:r>
            <w:rPr>
              <w:rFonts w:hint="eastAsia"/>
              <w:sz w:val="24"/>
            </w:rPr>
            <w:fldChar w:fldCharType="end"/>
          </w:r>
        </w:p>
        <w:p w14:paraId="0B283BB2">
          <w:pPr>
            <w:pStyle w:val="19"/>
            <w:spacing w:line="440" w:lineRule="exact"/>
            <w:rPr>
              <w:rFonts w:asciiTheme="minorHAnsi" w:hAnsiTheme="minorHAnsi" w:eastAsiaTheme="minorEastAsia" w:cstheme="minorBidi"/>
              <w:sz w:val="24"/>
            </w:rPr>
          </w:pPr>
          <w:r>
            <w:fldChar w:fldCharType="begin"/>
          </w:r>
          <w:r>
            <w:instrText xml:space="preserve"> HYPERLINK \l "_Toc187528237" </w:instrText>
          </w:r>
          <w:r>
            <w:fldChar w:fldCharType="separate"/>
          </w:r>
          <w:r>
            <w:rPr>
              <w:rStyle w:val="28"/>
              <w:rFonts w:hint="eastAsia"/>
              <w:color w:val="auto"/>
              <w:kern w:val="0"/>
              <w:sz w:val="24"/>
              <w:u w:val="none"/>
            </w:rPr>
            <w:t>1.7 声环境评价标准</w:t>
          </w:r>
          <w:r>
            <w:rPr>
              <w:rFonts w:hint="eastAsia"/>
              <w:sz w:val="24"/>
            </w:rPr>
            <w:tab/>
          </w:r>
          <w:r>
            <w:rPr>
              <w:rFonts w:hint="eastAsia"/>
              <w:sz w:val="24"/>
            </w:rPr>
            <w:fldChar w:fldCharType="begin"/>
          </w:r>
          <w:r>
            <w:rPr>
              <w:rFonts w:hint="eastAsia"/>
              <w:sz w:val="24"/>
            </w:rPr>
            <w:instrText xml:space="preserve"> </w:instrText>
          </w:r>
          <w:r>
            <w:rPr>
              <w:sz w:val="24"/>
            </w:rPr>
            <w:instrText xml:space="preserve">PAGEREF _Toc187528237 \h</w:instrText>
          </w:r>
          <w:r>
            <w:rPr>
              <w:rFonts w:hint="eastAsia"/>
              <w:sz w:val="24"/>
            </w:rPr>
            <w:instrText xml:space="preserve"> </w:instrText>
          </w:r>
          <w:r>
            <w:rPr>
              <w:rFonts w:hint="eastAsia"/>
              <w:sz w:val="24"/>
            </w:rPr>
            <w:fldChar w:fldCharType="separate"/>
          </w:r>
          <w:r>
            <w:rPr>
              <w:sz w:val="24"/>
            </w:rPr>
            <w:t>6</w:t>
          </w:r>
          <w:r>
            <w:rPr>
              <w:rFonts w:hint="eastAsia"/>
              <w:sz w:val="24"/>
            </w:rPr>
            <w:fldChar w:fldCharType="end"/>
          </w:r>
          <w:r>
            <w:rPr>
              <w:rFonts w:hint="eastAsia"/>
              <w:sz w:val="24"/>
            </w:rPr>
            <w:fldChar w:fldCharType="end"/>
          </w:r>
        </w:p>
        <w:p w14:paraId="13F66EE7">
          <w:pPr>
            <w:pStyle w:val="19"/>
            <w:spacing w:line="440" w:lineRule="exact"/>
            <w:rPr>
              <w:rFonts w:asciiTheme="minorHAnsi" w:hAnsiTheme="minorHAnsi" w:eastAsiaTheme="minorEastAsia" w:cstheme="minorBidi"/>
              <w:sz w:val="24"/>
            </w:rPr>
          </w:pPr>
          <w:r>
            <w:fldChar w:fldCharType="begin"/>
          </w:r>
          <w:r>
            <w:instrText xml:space="preserve"> HYPERLINK \l "_Toc187528240" </w:instrText>
          </w:r>
          <w:r>
            <w:fldChar w:fldCharType="separate"/>
          </w:r>
          <w:r>
            <w:rPr>
              <w:rStyle w:val="28"/>
              <w:rFonts w:hint="eastAsia"/>
              <w:color w:val="auto"/>
              <w:kern w:val="0"/>
              <w:sz w:val="24"/>
              <w:u w:val="none"/>
            </w:rPr>
            <w:t>1.8 评价预测年限</w:t>
          </w:r>
          <w:r>
            <w:rPr>
              <w:rFonts w:hint="eastAsia"/>
              <w:sz w:val="24"/>
            </w:rPr>
            <w:tab/>
          </w:r>
          <w:r>
            <w:rPr>
              <w:rFonts w:hint="eastAsia"/>
              <w:sz w:val="24"/>
            </w:rPr>
            <w:fldChar w:fldCharType="begin"/>
          </w:r>
          <w:r>
            <w:rPr>
              <w:rFonts w:hint="eastAsia"/>
              <w:sz w:val="24"/>
            </w:rPr>
            <w:instrText xml:space="preserve"> </w:instrText>
          </w:r>
          <w:r>
            <w:rPr>
              <w:sz w:val="24"/>
            </w:rPr>
            <w:instrText xml:space="preserve">PAGEREF _Toc187528240 \h</w:instrText>
          </w:r>
          <w:r>
            <w:rPr>
              <w:rFonts w:hint="eastAsia"/>
              <w:sz w:val="24"/>
            </w:rPr>
            <w:instrText xml:space="preserve"> </w:instrText>
          </w:r>
          <w:r>
            <w:rPr>
              <w:rFonts w:hint="eastAsia"/>
              <w:sz w:val="24"/>
            </w:rPr>
            <w:fldChar w:fldCharType="separate"/>
          </w:r>
          <w:r>
            <w:rPr>
              <w:sz w:val="24"/>
            </w:rPr>
            <w:t>13</w:t>
          </w:r>
          <w:r>
            <w:rPr>
              <w:rFonts w:hint="eastAsia"/>
              <w:sz w:val="24"/>
            </w:rPr>
            <w:fldChar w:fldCharType="end"/>
          </w:r>
          <w:r>
            <w:rPr>
              <w:rFonts w:hint="eastAsia"/>
              <w:sz w:val="24"/>
            </w:rPr>
            <w:fldChar w:fldCharType="end"/>
          </w:r>
        </w:p>
        <w:p w14:paraId="7F416271">
          <w:pPr>
            <w:pStyle w:val="19"/>
            <w:spacing w:line="440" w:lineRule="exact"/>
            <w:rPr>
              <w:rFonts w:asciiTheme="minorHAnsi" w:hAnsiTheme="minorHAnsi" w:eastAsiaTheme="minorEastAsia" w:cstheme="minorBidi"/>
              <w:sz w:val="24"/>
            </w:rPr>
          </w:pPr>
          <w:r>
            <w:fldChar w:fldCharType="begin"/>
          </w:r>
          <w:r>
            <w:instrText xml:space="preserve"> HYPERLINK \l "_Toc187528241" </w:instrText>
          </w:r>
          <w:r>
            <w:fldChar w:fldCharType="separate"/>
          </w:r>
          <w:r>
            <w:rPr>
              <w:rStyle w:val="28"/>
              <w:rFonts w:hint="eastAsia"/>
              <w:color w:val="auto"/>
              <w:kern w:val="0"/>
              <w:sz w:val="24"/>
              <w:u w:val="none"/>
            </w:rPr>
            <w:t>1.9 评价方法</w:t>
          </w:r>
          <w:r>
            <w:rPr>
              <w:rFonts w:hint="eastAsia"/>
              <w:sz w:val="24"/>
            </w:rPr>
            <w:tab/>
          </w:r>
          <w:r>
            <w:rPr>
              <w:rFonts w:hint="eastAsia"/>
              <w:sz w:val="24"/>
            </w:rPr>
            <w:fldChar w:fldCharType="begin"/>
          </w:r>
          <w:r>
            <w:rPr>
              <w:rFonts w:hint="eastAsia"/>
              <w:sz w:val="24"/>
            </w:rPr>
            <w:instrText xml:space="preserve"> </w:instrText>
          </w:r>
          <w:r>
            <w:rPr>
              <w:sz w:val="24"/>
            </w:rPr>
            <w:instrText xml:space="preserve">PAGEREF _Toc187528241 \h</w:instrText>
          </w:r>
          <w:r>
            <w:rPr>
              <w:rFonts w:hint="eastAsia"/>
              <w:sz w:val="24"/>
            </w:rPr>
            <w:instrText xml:space="preserve"> </w:instrText>
          </w:r>
          <w:r>
            <w:rPr>
              <w:rFonts w:hint="eastAsia"/>
              <w:sz w:val="24"/>
            </w:rPr>
            <w:fldChar w:fldCharType="separate"/>
          </w:r>
          <w:r>
            <w:rPr>
              <w:sz w:val="24"/>
            </w:rPr>
            <w:t>14</w:t>
          </w:r>
          <w:r>
            <w:rPr>
              <w:rFonts w:hint="eastAsia"/>
              <w:sz w:val="24"/>
            </w:rPr>
            <w:fldChar w:fldCharType="end"/>
          </w:r>
          <w:r>
            <w:rPr>
              <w:rFonts w:hint="eastAsia"/>
              <w:sz w:val="24"/>
            </w:rPr>
            <w:fldChar w:fldCharType="end"/>
          </w:r>
        </w:p>
        <w:p w14:paraId="114C874F">
          <w:pPr>
            <w:pStyle w:val="19"/>
            <w:spacing w:line="440" w:lineRule="exact"/>
            <w:rPr>
              <w:rFonts w:asciiTheme="minorHAnsi" w:hAnsiTheme="minorHAnsi" w:eastAsiaTheme="minorEastAsia" w:cstheme="minorBidi"/>
              <w:sz w:val="24"/>
            </w:rPr>
          </w:pPr>
          <w:r>
            <w:fldChar w:fldCharType="begin"/>
          </w:r>
          <w:r>
            <w:instrText xml:space="preserve"> HYPERLINK \l "_Toc187528242" </w:instrText>
          </w:r>
          <w:r>
            <w:fldChar w:fldCharType="separate"/>
          </w:r>
          <w:r>
            <w:rPr>
              <w:rStyle w:val="28"/>
              <w:rFonts w:hint="eastAsia"/>
              <w:color w:val="auto"/>
              <w:kern w:val="0"/>
              <w:sz w:val="24"/>
              <w:u w:val="none"/>
            </w:rPr>
            <w:t>1.10 评价工作程序</w:t>
          </w:r>
          <w:r>
            <w:rPr>
              <w:rFonts w:hint="eastAsia"/>
              <w:sz w:val="24"/>
            </w:rPr>
            <w:tab/>
          </w:r>
          <w:r>
            <w:rPr>
              <w:rFonts w:hint="eastAsia"/>
              <w:sz w:val="24"/>
            </w:rPr>
            <w:fldChar w:fldCharType="begin"/>
          </w:r>
          <w:r>
            <w:rPr>
              <w:rFonts w:hint="eastAsia"/>
              <w:sz w:val="24"/>
            </w:rPr>
            <w:instrText xml:space="preserve"> </w:instrText>
          </w:r>
          <w:r>
            <w:rPr>
              <w:sz w:val="24"/>
            </w:rPr>
            <w:instrText xml:space="preserve">PAGEREF _Toc187528242 \h</w:instrText>
          </w:r>
          <w:r>
            <w:rPr>
              <w:rFonts w:hint="eastAsia"/>
              <w:sz w:val="24"/>
            </w:rPr>
            <w:instrText xml:space="preserve"> </w:instrText>
          </w:r>
          <w:r>
            <w:rPr>
              <w:rFonts w:hint="eastAsia"/>
              <w:sz w:val="24"/>
            </w:rPr>
            <w:fldChar w:fldCharType="separate"/>
          </w:r>
          <w:r>
            <w:rPr>
              <w:sz w:val="24"/>
            </w:rPr>
            <w:t>14</w:t>
          </w:r>
          <w:r>
            <w:rPr>
              <w:rFonts w:hint="eastAsia"/>
              <w:sz w:val="24"/>
            </w:rPr>
            <w:fldChar w:fldCharType="end"/>
          </w:r>
          <w:r>
            <w:rPr>
              <w:rFonts w:hint="eastAsia"/>
              <w:sz w:val="24"/>
            </w:rPr>
            <w:fldChar w:fldCharType="end"/>
          </w:r>
        </w:p>
        <w:p w14:paraId="6643E021">
          <w:pPr>
            <w:pStyle w:val="18"/>
            <w:spacing w:beforeLines="0" w:line="440" w:lineRule="exact"/>
            <w:rPr>
              <w:rFonts w:asciiTheme="minorHAnsi" w:hAnsiTheme="minorHAnsi" w:eastAsiaTheme="minorEastAsia" w:cstheme="minorBidi"/>
              <w:b/>
              <w:bCs/>
              <w:snapToGrid/>
              <w:kern w:val="2"/>
            </w:rPr>
          </w:pPr>
          <w:r>
            <w:fldChar w:fldCharType="begin"/>
          </w:r>
          <w:r>
            <w:instrText xml:space="preserve"> HYPERLINK \l "_Toc187528243" </w:instrText>
          </w:r>
          <w:r>
            <w:fldChar w:fldCharType="separate"/>
          </w:r>
          <w:r>
            <w:rPr>
              <w:rStyle w:val="28"/>
              <w:rFonts w:hint="eastAsia"/>
              <w:b/>
              <w:bCs/>
              <w:color w:val="auto"/>
              <w:kern w:val="2"/>
              <w:sz w:val="21"/>
              <w:u w:val="none"/>
            </w:rPr>
            <w:t>2 工程概况</w:t>
          </w:r>
          <w:r>
            <w:rPr>
              <w:rFonts w:hint="eastAsia"/>
              <w:b/>
              <w:bCs/>
            </w:rPr>
            <w:tab/>
          </w:r>
          <w:r>
            <w:rPr>
              <w:rFonts w:hint="eastAsia"/>
              <w:b/>
              <w:bCs/>
            </w:rPr>
            <w:fldChar w:fldCharType="begin"/>
          </w:r>
          <w:r>
            <w:rPr>
              <w:rFonts w:hint="eastAsia"/>
              <w:b/>
              <w:bCs/>
            </w:rPr>
            <w:instrText xml:space="preserve"> </w:instrText>
          </w:r>
          <w:r>
            <w:rPr>
              <w:b/>
              <w:bCs/>
            </w:rPr>
            <w:instrText xml:space="preserve">PAGEREF _Toc187528243 \h</w:instrText>
          </w:r>
          <w:r>
            <w:rPr>
              <w:rFonts w:hint="eastAsia"/>
              <w:b/>
              <w:bCs/>
            </w:rPr>
            <w:instrText xml:space="preserve"> </w:instrText>
          </w:r>
          <w:r>
            <w:rPr>
              <w:rFonts w:hint="eastAsia"/>
              <w:b/>
              <w:bCs/>
            </w:rPr>
            <w:fldChar w:fldCharType="separate"/>
          </w:r>
          <w:r>
            <w:rPr>
              <w:b/>
              <w:bCs/>
            </w:rPr>
            <w:t>16</w:t>
          </w:r>
          <w:r>
            <w:rPr>
              <w:rFonts w:hint="eastAsia"/>
              <w:b/>
              <w:bCs/>
            </w:rPr>
            <w:fldChar w:fldCharType="end"/>
          </w:r>
          <w:r>
            <w:rPr>
              <w:rFonts w:hint="eastAsia"/>
              <w:b/>
              <w:bCs/>
            </w:rPr>
            <w:fldChar w:fldCharType="end"/>
          </w:r>
        </w:p>
        <w:p w14:paraId="3D11C252">
          <w:pPr>
            <w:pStyle w:val="19"/>
            <w:spacing w:line="440" w:lineRule="exact"/>
            <w:rPr>
              <w:rFonts w:asciiTheme="minorHAnsi" w:hAnsiTheme="minorHAnsi" w:eastAsiaTheme="minorEastAsia" w:cstheme="minorBidi"/>
              <w:sz w:val="24"/>
            </w:rPr>
          </w:pPr>
          <w:r>
            <w:fldChar w:fldCharType="begin"/>
          </w:r>
          <w:r>
            <w:instrText xml:space="preserve"> HYPERLINK \l "_Toc187528244" </w:instrText>
          </w:r>
          <w:r>
            <w:fldChar w:fldCharType="separate"/>
          </w:r>
          <w:r>
            <w:rPr>
              <w:rStyle w:val="28"/>
              <w:rFonts w:hint="eastAsia"/>
              <w:color w:val="auto"/>
              <w:kern w:val="0"/>
              <w:sz w:val="24"/>
              <w:u w:val="none"/>
            </w:rPr>
            <w:t>2.1 工程方案</w:t>
          </w:r>
          <w:r>
            <w:rPr>
              <w:rFonts w:hint="eastAsia"/>
              <w:sz w:val="24"/>
            </w:rPr>
            <w:tab/>
          </w:r>
          <w:r>
            <w:rPr>
              <w:rFonts w:hint="eastAsia"/>
              <w:sz w:val="24"/>
            </w:rPr>
            <w:fldChar w:fldCharType="begin"/>
          </w:r>
          <w:r>
            <w:rPr>
              <w:rFonts w:hint="eastAsia"/>
              <w:sz w:val="24"/>
            </w:rPr>
            <w:instrText xml:space="preserve"> </w:instrText>
          </w:r>
          <w:r>
            <w:rPr>
              <w:sz w:val="24"/>
            </w:rPr>
            <w:instrText xml:space="preserve">PAGEREF _Toc187528244 \h</w:instrText>
          </w:r>
          <w:r>
            <w:rPr>
              <w:rFonts w:hint="eastAsia"/>
              <w:sz w:val="24"/>
            </w:rPr>
            <w:instrText xml:space="preserve"> </w:instrText>
          </w:r>
          <w:r>
            <w:rPr>
              <w:rFonts w:hint="eastAsia"/>
              <w:sz w:val="24"/>
            </w:rPr>
            <w:fldChar w:fldCharType="separate"/>
          </w:r>
          <w:r>
            <w:rPr>
              <w:sz w:val="24"/>
            </w:rPr>
            <w:t>16</w:t>
          </w:r>
          <w:r>
            <w:rPr>
              <w:rFonts w:hint="eastAsia"/>
              <w:sz w:val="24"/>
            </w:rPr>
            <w:fldChar w:fldCharType="end"/>
          </w:r>
          <w:r>
            <w:rPr>
              <w:rFonts w:hint="eastAsia"/>
              <w:sz w:val="24"/>
            </w:rPr>
            <w:fldChar w:fldCharType="end"/>
          </w:r>
        </w:p>
        <w:p w14:paraId="7FDB8AA5">
          <w:pPr>
            <w:pStyle w:val="19"/>
            <w:spacing w:line="440" w:lineRule="exact"/>
            <w:rPr>
              <w:rFonts w:asciiTheme="minorHAnsi" w:hAnsiTheme="minorHAnsi" w:eastAsiaTheme="minorEastAsia" w:cstheme="minorBidi"/>
              <w:sz w:val="24"/>
            </w:rPr>
          </w:pPr>
          <w:r>
            <w:fldChar w:fldCharType="begin"/>
          </w:r>
          <w:r>
            <w:instrText xml:space="preserve"> HYPERLINK \l "_Toc187528248" </w:instrText>
          </w:r>
          <w:r>
            <w:fldChar w:fldCharType="separate"/>
          </w:r>
          <w:r>
            <w:rPr>
              <w:rStyle w:val="28"/>
              <w:rFonts w:hint="eastAsia"/>
              <w:color w:val="auto"/>
              <w:kern w:val="0"/>
              <w:sz w:val="24"/>
              <w:u w:val="none"/>
            </w:rPr>
            <w:t>2.2 路基工程</w:t>
          </w:r>
          <w:r>
            <w:rPr>
              <w:rFonts w:hint="eastAsia"/>
              <w:sz w:val="24"/>
            </w:rPr>
            <w:tab/>
          </w:r>
          <w:r>
            <w:rPr>
              <w:rFonts w:hint="eastAsia"/>
              <w:sz w:val="24"/>
            </w:rPr>
            <w:fldChar w:fldCharType="begin"/>
          </w:r>
          <w:r>
            <w:rPr>
              <w:rFonts w:hint="eastAsia"/>
              <w:sz w:val="24"/>
            </w:rPr>
            <w:instrText xml:space="preserve"> </w:instrText>
          </w:r>
          <w:r>
            <w:rPr>
              <w:sz w:val="24"/>
            </w:rPr>
            <w:instrText xml:space="preserve">PAGEREF _Toc187528248 \h</w:instrText>
          </w:r>
          <w:r>
            <w:rPr>
              <w:rFonts w:hint="eastAsia"/>
              <w:sz w:val="24"/>
            </w:rPr>
            <w:instrText xml:space="preserve"> </w:instrText>
          </w:r>
          <w:r>
            <w:rPr>
              <w:rFonts w:hint="eastAsia"/>
              <w:sz w:val="24"/>
            </w:rPr>
            <w:fldChar w:fldCharType="separate"/>
          </w:r>
          <w:r>
            <w:rPr>
              <w:sz w:val="24"/>
            </w:rPr>
            <w:t>17</w:t>
          </w:r>
          <w:r>
            <w:rPr>
              <w:rFonts w:hint="eastAsia"/>
              <w:sz w:val="24"/>
            </w:rPr>
            <w:fldChar w:fldCharType="end"/>
          </w:r>
          <w:r>
            <w:rPr>
              <w:rFonts w:hint="eastAsia"/>
              <w:sz w:val="24"/>
            </w:rPr>
            <w:fldChar w:fldCharType="end"/>
          </w:r>
        </w:p>
        <w:p w14:paraId="75FC9C99">
          <w:pPr>
            <w:pStyle w:val="19"/>
            <w:spacing w:line="440" w:lineRule="exact"/>
            <w:rPr>
              <w:rFonts w:asciiTheme="minorHAnsi" w:hAnsiTheme="minorHAnsi" w:eastAsiaTheme="minorEastAsia" w:cstheme="minorBidi"/>
              <w:sz w:val="24"/>
            </w:rPr>
          </w:pPr>
          <w:r>
            <w:fldChar w:fldCharType="begin"/>
          </w:r>
          <w:r>
            <w:instrText xml:space="preserve"> HYPERLINK \l "_Toc187528248" </w:instrText>
          </w:r>
          <w:r>
            <w:fldChar w:fldCharType="separate"/>
          </w:r>
          <w:r>
            <w:rPr>
              <w:rStyle w:val="28"/>
              <w:rFonts w:hint="eastAsia"/>
              <w:color w:val="auto"/>
              <w:kern w:val="0"/>
              <w:sz w:val="24"/>
              <w:u w:val="none"/>
            </w:rPr>
            <w:t>2.3 路面工程</w:t>
          </w:r>
          <w:r>
            <w:rPr>
              <w:rFonts w:hint="eastAsia"/>
              <w:sz w:val="24"/>
            </w:rPr>
            <w:tab/>
          </w:r>
          <w:r>
            <w:rPr>
              <w:rFonts w:hint="eastAsia"/>
              <w:sz w:val="24"/>
            </w:rPr>
            <w:fldChar w:fldCharType="begin"/>
          </w:r>
          <w:r>
            <w:rPr>
              <w:rFonts w:hint="eastAsia"/>
              <w:sz w:val="24"/>
            </w:rPr>
            <w:instrText xml:space="preserve"> </w:instrText>
          </w:r>
          <w:r>
            <w:rPr>
              <w:sz w:val="24"/>
            </w:rPr>
            <w:instrText xml:space="preserve">PAGEREF _Toc187528248 \h</w:instrText>
          </w:r>
          <w:r>
            <w:rPr>
              <w:rFonts w:hint="eastAsia"/>
              <w:sz w:val="24"/>
            </w:rPr>
            <w:instrText xml:space="preserve"> </w:instrText>
          </w:r>
          <w:r>
            <w:rPr>
              <w:rFonts w:hint="eastAsia"/>
              <w:sz w:val="24"/>
            </w:rPr>
            <w:fldChar w:fldCharType="separate"/>
          </w:r>
          <w:r>
            <w:rPr>
              <w:sz w:val="24"/>
            </w:rPr>
            <w:t>17</w:t>
          </w:r>
          <w:r>
            <w:rPr>
              <w:rFonts w:hint="eastAsia"/>
              <w:sz w:val="24"/>
            </w:rPr>
            <w:fldChar w:fldCharType="end"/>
          </w:r>
          <w:r>
            <w:rPr>
              <w:rFonts w:hint="eastAsia"/>
              <w:sz w:val="24"/>
            </w:rPr>
            <w:fldChar w:fldCharType="end"/>
          </w:r>
        </w:p>
        <w:p w14:paraId="0BFDA1B9">
          <w:pPr>
            <w:pStyle w:val="19"/>
            <w:spacing w:line="440" w:lineRule="exact"/>
            <w:rPr>
              <w:rFonts w:asciiTheme="minorHAnsi" w:hAnsiTheme="minorHAnsi" w:eastAsiaTheme="minorEastAsia" w:cstheme="minorBidi"/>
              <w:sz w:val="24"/>
            </w:rPr>
          </w:pPr>
          <w:r>
            <w:fldChar w:fldCharType="begin"/>
          </w:r>
          <w:r>
            <w:instrText xml:space="preserve"> HYPERLINK \l "_Toc187528249" </w:instrText>
          </w:r>
          <w:r>
            <w:fldChar w:fldCharType="separate"/>
          </w:r>
          <w:r>
            <w:rPr>
              <w:rStyle w:val="28"/>
              <w:rFonts w:hint="eastAsia"/>
              <w:color w:val="auto"/>
              <w:kern w:val="0"/>
              <w:sz w:val="24"/>
              <w:u w:val="none"/>
            </w:rPr>
            <w:t>2.4 交通量预测</w:t>
          </w:r>
          <w:r>
            <w:rPr>
              <w:rFonts w:hint="eastAsia"/>
              <w:sz w:val="24"/>
            </w:rPr>
            <w:tab/>
          </w:r>
          <w:r>
            <w:rPr>
              <w:rFonts w:hint="eastAsia"/>
              <w:sz w:val="24"/>
            </w:rPr>
            <w:fldChar w:fldCharType="begin"/>
          </w:r>
          <w:r>
            <w:rPr>
              <w:rFonts w:hint="eastAsia"/>
              <w:sz w:val="24"/>
            </w:rPr>
            <w:instrText xml:space="preserve"> </w:instrText>
          </w:r>
          <w:r>
            <w:rPr>
              <w:sz w:val="24"/>
            </w:rPr>
            <w:instrText xml:space="preserve">PAGEREF _Toc187528249 \h</w:instrText>
          </w:r>
          <w:r>
            <w:rPr>
              <w:rFonts w:hint="eastAsia"/>
              <w:sz w:val="24"/>
            </w:rPr>
            <w:instrText xml:space="preserve"> </w:instrText>
          </w:r>
          <w:r>
            <w:rPr>
              <w:rFonts w:hint="eastAsia"/>
              <w:sz w:val="24"/>
            </w:rPr>
            <w:fldChar w:fldCharType="separate"/>
          </w:r>
          <w:r>
            <w:rPr>
              <w:sz w:val="24"/>
            </w:rPr>
            <w:t>19</w:t>
          </w:r>
          <w:r>
            <w:rPr>
              <w:rFonts w:hint="eastAsia"/>
              <w:sz w:val="24"/>
            </w:rPr>
            <w:fldChar w:fldCharType="end"/>
          </w:r>
          <w:r>
            <w:rPr>
              <w:rFonts w:hint="eastAsia"/>
              <w:sz w:val="24"/>
            </w:rPr>
            <w:fldChar w:fldCharType="end"/>
          </w:r>
        </w:p>
        <w:p w14:paraId="4F2EDC65">
          <w:pPr>
            <w:pStyle w:val="19"/>
            <w:spacing w:line="440" w:lineRule="exact"/>
            <w:rPr>
              <w:rFonts w:asciiTheme="minorHAnsi" w:hAnsiTheme="minorHAnsi" w:eastAsiaTheme="minorEastAsia" w:cstheme="minorBidi"/>
              <w:sz w:val="24"/>
            </w:rPr>
          </w:pPr>
          <w:r>
            <w:fldChar w:fldCharType="begin"/>
          </w:r>
          <w:r>
            <w:instrText xml:space="preserve"> HYPERLINK \l "_Toc187528252" </w:instrText>
          </w:r>
          <w:r>
            <w:fldChar w:fldCharType="separate"/>
          </w:r>
          <w:r>
            <w:rPr>
              <w:rStyle w:val="28"/>
              <w:rFonts w:hint="eastAsia"/>
              <w:color w:val="auto"/>
              <w:kern w:val="0"/>
              <w:sz w:val="24"/>
              <w:u w:val="none"/>
            </w:rPr>
            <w:t>2.5 噪声污染源强分析</w:t>
          </w:r>
          <w:r>
            <w:rPr>
              <w:rFonts w:hint="eastAsia"/>
              <w:sz w:val="24"/>
            </w:rPr>
            <w:tab/>
          </w:r>
          <w:r>
            <w:rPr>
              <w:rFonts w:hint="eastAsia"/>
              <w:sz w:val="24"/>
            </w:rPr>
            <w:fldChar w:fldCharType="begin"/>
          </w:r>
          <w:r>
            <w:rPr>
              <w:rFonts w:hint="eastAsia"/>
              <w:sz w:val="24"/>
            </w:rPr>
            <w:instrText xml:space="preserve"> </w:instrText>
          </w:r>
          <w:r>
            <w:rPr>
              <w:sz w:val="24"/>
            </w:rPr>
            <w:instrText xml:space="preserve">PAGEREF _Toc187528252 \h</w:instrText>
          </w:r>
          <w:r>
            <w:rPr>
              <w:rFonts w:hint="eastAsia"/>
              <w:sz w:val="24"/>
            </w:rPr>
            <w:instrText xml:space="preserve"> </w:instrText>
          </w:r>
          <w:r>
            <w:rPr>
              <w:rFonts w:hint="eastAsia"/>
              <w:sz w:val="24"/>
            </w:rPr>
            <w:fldChar w:fldCharType="separate"/>
          </w:r>
          <w:r>
            <w:rPr>
              <w:sz w:val="24"/>
            </w:rPr>
            <w:t>20</w:t>
          </w:r>
          <w:r>
            <w:rPr>
              <w:rFonts w:hint="eastAsia"/>
              <w:sz w:val="24"/>
            </w:rPr>
            <w:fldChar w:fldCharType="end"/>
          </w:r>
          <w:r>
            <w:rPr>
              <w:rFonts w:hint="eastAsia"/>
              <w:sz w:val="24"/>
            </w:rPr>
            <w:fldChar w:fldCharType="end"/>
          </w:r>
        </w:p>
        <w:p w14:paraId="2A34C333">
          <w:pPr>
            <w:pStyle w:val="18"/>
            <w:spacing w:beforeLines="0" w:line="440" w:lineRule="exact"/>
            <w:rPr>
              <w:rFonts w:asciiTheme="minorHAnsi" w:hAnsiTheme="minorHAnsi" w:eastAsiaTheme="minorEastAsia" w:cstheme="minorBidi"/>
              <w:b/>
              <w:bCs/>
              <w:snapToGrid/>
              <w:kern w:val="2"/>
            </w:rPr>
          </w:pPr>
          <w:r>
            <w:fldChar w:fldCharType="begin"/>
          </w:r>
          <w:r>
            <w:instrText xml:space="preserve"> HYPERLINK \l "_Toc187528255" </w:instrText>
          </w:r>
          <w:r>
            <w:fldChar w:fldCharType="separate"/>
          </w:r>
          <w:r>
            <w:rPr>
              <w:rStyle w:val="28"/>
              <w:rFonts w:hint="eastAsia"/>
              <w:b/>
              <w:bCs/>
              <w:color w:val="auto"/>
              <w:kern w:val="2"/>
              <w:sz w:val="21"/>
              <w:u w:val="none"/>
            </w:rPr>
            <w:t>3 声环境现状调查与评价</w:t>
          </w:r>
          <w:r>
            <w:rPr>
              <w:rFonts w:hint="eastAsia"/>
              <w:b/>
              <w:bCs/>
            </w:rPr>
            <w:tab/>
          </w:r>
          <w:r>
            <w:rPr>
              <w:rFonts w:hint="eastAsia"/>
              <w:b/>
              <w:bCs/>
            </w:rPr>
            <w:fldChar w:fldCharType="begin"/>
          </w:r>
          <w:r>
            <w:rPr>
              <w:rFonts w:hint="eastAsia"/>
              <w:b/>
              <w:bCs/>
            </w:rPr>
            <w:instrText xml:space="preserve"> </w:instrText>
          </w:r>
          <w:r>
            <w:rPr>
              <w:b/>
              <w:bCs/>
            </w:rPr>
            <w:instrText xml:space="preserve">PAGEREF _Toc187528255 \h</w:instrText>
          </w:r>
          <w:r>
            <w:rPr>
              <w:rFonts w:hint="eastAsia"/>
              <w:b/>
              <w:bCs/>
            </w:rPr>
            <w:instrText xml:space="preserve"> </w:instrText>
          </w:r>
          <w:r>
            <w:rPr>
              <w:rFonts w:hint="eastAsia"/>
              <w:b/>
              <w:bCs/>
            </w:rPr>
            <w:fldChar w:fldCharType="separate"/>
          </w:r>
          <w:r>
            <w:rPr>
              <w:b/>
              <w:bCs/>
            </w:rPr>
            <w:t>28</w:t>
          </w:r>
          <w:r>
            <w:rPr>
              <w:rFonts w:hint="eastAsia"/>
              <w:b/>
              <w:bCs/>
            </w:rPr>
            <w:fldChar w:fldCharType="end"/>
          </w:r>
          <w:r>
            <w:rPr>
              <w:rFonts w:hint="eastAsia"/>
              <w:b/>
              <w:bCs/>
            </w:rPr>
            <w:fldChar w:fldCharType="end"/>
          </w:r>
        </w:p>
        <w:p w14:paraId="5F3EB312">
          <w:pPr>
            <w:pStyle w:val="19"/>
            <w:spacing w:line="440" w:lineRule="exact"/>
            <w:rPr>
              <w:rFonts w:asciiTheme="minorHAnsi" w:hAnsiTheme="minorHAnsi" w:eastAsiaTheme="minorEastAsia" w:cstheme="minorBidi"/>
              <w:sz w:val="24"/>
            </w:rPr>
          </w:pPr>
          <w:r>
            <w:fldChar w:fldCharType="begin"/>
          </w:r>
          <w:r>
            <w:instrText xml:space="preserve"> HYPERLINK \l "_Toc187528256" </w:instrText>
          </w:r>
          <w:r>
            <w:fldChar w:fldCharType="separate"/>
          </w:r>
          <w:r>
            <w:rPr>
              <w:rStyle w:val="28"/>
              <w:rFonts w:hint="eastAsia"/>
              <w:color w:val="auto"/>
              <w:kern w:val="0"/>
              <w:sz w:val="24"/>
              <w:u w:val="none"/>
            </w:rPr>
            <w:t>3.1 声环境现状调查</w:t>
          </w:r>
          <w:r>
            <w:rPr>
              <w:rFonts w:hint="eastAsia"/>
              <w:sz w:val="24"/>
            </w:rPr>
            <w:tab/>
          </w:r>
          <w:r>
            <w:rPr>
              <w:rFonts w:hint="eastAsia"/>
              <w:sz w:val="24"/>
            </w:rPr>
            <w:fldChar w:fldCharType="begin"/>
          </w:r>
          <w:r>
            <w:rPr>
              <w:rFonts w:hint="eastAsia"/>
              <w:sz w:val="24"/>
            </w:rPr>
            <w:instrText xml:space="preserve"> </w:instrText>
          </w:r>
          <w:r>
            <w:rPr>
              <w:sz w:val="24"/>
            </w:rPr>
            <w:instrText xml:space="preserve">PAGEREF _Toc187528256 \h</w:instrText>
          </w:r>
          <w:r>
            <w:rPr>
              <w:rFonts w:hint="eastAsia"/>
              <w:sz w:val="24"/>
            </w:rPr>
            <w:instrText xml:space="preserve"> </w:instrText>
          </w:r>
          <w:r>
            <w:rPr>
              <w:rFonts w:hint="eastAsia"/>
              <w:sz w:val="24"/>
            </w:rPr>
            <w:fldChar w:fldCharType="separate"/>
          </w:r>
          <w:r>
            <w:rPr>
              <w:sz w:val="24"/>
            </w:rPr>
            <w:t>28</w:t>
          </w:r>
          <w:r>
            <w:rPr>
              <w:rFonts w:hint="eastAsia"/>
              <w:sz w:val="24"/>
            </w:rPr>
            <w:fldChar w:fldCharType="end"/>
          </w:r>
          <w:r>
            <w:rPr>
              <w:rFonts w:hint="eastAsia"/>
              <w:sz w:val="24"/>
            </w:rPr>
            <w:fldChar w:fldCharType="end"/>
          </w:r>
        </w:p>
        <w:p w14:paraId="561CBD95">
          <w:pPr>
            <w:pStyle w:val="19"/>
            <w:spacing w:line="440" w:lineRule="exact"/>
            <w:rPr>
              <w:rFonts w:asciiTheme="minorHAnsi" w:hAnsiTheme="minorHAnsi" w:eastAsiaTheme="minorEastAsia" w:cstheme="minorBidi"/>
              <w:sz w:val="24"/>
            </w:rPr>
          </w:pPr>
          <w:r>
            <w:fldChar w:fldCharType="begin"/>
          </w:r>
          <w:r>
            <w:instrText xml:space="preserve"> HYPERLINK \l "_Toc187528257" </w:instrText>
          </w:r>
          <w:r>
            <w:fldChar w:fldCharType="separate"/>
          </w:r>
          <w:r>
            <w:rPr>
              <w:rStyle w:val="28"/>
              <w:rFonts w:hint="eastAsia"/>
              <w:color w:val="auto"/>
              <w:kern w:val="0"/>
              <w:sz w:val="24"/>
              <w:u w:val="none"/>
            </w:rPr>
            <w:t>3.2 声环境现状监测</w:t>
          </w:r>
          <w:r>
            <w:rPr>
              <w:rFonts w:hint="eastAsia"/>
              <w:sz w:val="24"/>
            </w:rPr>
            <w:tab/>
          </w:r>
          <w:r>
            <w:rPr>
              <w:rFonts w:hint="eastAsia"/>
              <w:sz w:val="24"/>
            </w:rPr>
            <w:fldChar w:fldCharType="begin"/>
          </w:r>
          <w:r>
            <w:rPr>
              <w:rFonts w:hint="eastAsia"/>
              <w:sz w:val="24"/>
            </w:rPr>
            <w:instrText xml:space="preserve"> </w:instrText>
          </w:r>
          <w:r>
            <w:rPr>
              <w:sz w:val="24"/>
            </w:rPr>
            <w:instrText xml:space="preserve">PAGEREF _Toc187528257 \h</w:instrText>
          </w:r>
          <w:r>
            <w:rPr>
              <w:rFonts w:hint="eastAsia"/>
              <w:sz w:val="24"/>
            </w:rPr>
            <w:instrText xml:space="preserve"> </w:instrText>
          </w:r>
          <w:r>
            <w:rPr>
              <w:rFonts w:hint="eastAsia"/>
              <w:sz w:val="24"/>
            </w:rPr>
            <w:fldChar w:fldCharType="separate"/>
          </w:r>
          <w:r>
            <w:rPr>
              <w:sz w:val="24"/>
            </w:rPr>
            <w:t>28</w:t>
          </w:r>
          <w:r>
            <w:rPr>
              <w:rFonts w:hint="eastAsia"/>
              <w:sz w:val="24"/>
            </w:rPr>
            <w:fldChar w:fldCharType="end"/>
          </w:r>
          <w:r>
            <w:rPr>
              <w:rFonts w:hint="eastAsia"/>
              <w:sz w:val="24"/>
            </w:rPr>
            <w:fldChar w:fldCharType="end"/>
          </w:r>
        </w:p>
        <w:p w14:paraId="730E292E">
          <w:pPr>
            <w:pStyle w:val="18"/>
            <w:spacing w:beforeLines="0" w:line="440" w:lineRule="exact"/>
            <w:rPr>
              <w:rFonts w:asciiTheme="minorHAnsi" w:hAnsiTheme="minorHAnsi" w:eastAsiaTheme="minorEastAsia" w:cstheme="minorBidi"/>
              <w:b/>
              <w:bCs/>
              <w:snapToGrid/>
              <w:kern w:val="2"/>
            </w:rPr>
          </w:pPr>
          <w:r>
            <w:fldChar w:fldCharType="begin"/>
          </w:r>
          <w:r>
            <w:instrText xml:space="preserve"> HYPERLINK \l "_Toc187528260" </w:instrText>
          </w:r>
          <w:r>
            <w:fldChar w:fldCharType="separate"/>
          </w:r>
          <w:r>
            <w:rPr>
              <w:rStyle w:val="28"/>
              <w:rFonts w:hint="eastAsia"/>
              <w:b/>
              <w:bCs/>
              <w:color w:val="auto"/>
              <w:kern w:val="2"/>
              <w:sz w:val="21"/>
              <w:u w:val="none"/>
            </w:rPr>
            <w:t>4 声环境影响预测评价</w:t>
          </w:r>
          <w:r>
            <w:rPr>
              <w:rFonts w:hint="eastAsia"/>
              <w:b/>
              <w:bCs/>
            </w:rPr>
            <w:tab/>
          </w:r>
          <w:r>
            <w:rPr>
              <w:rFonts w:hint="eastAsia"/>
              <w:b/>
              <w:bCs/>
            </w:rPr>
            <w:fldChar w:fldCharType="begin"/>
          </w:r>
          <w:r>
            <w:rPr>
              <w:rFonts w:hint="eastAsia"/>
              <w:b/>
              <w:bCs/>
            </w:rPr>
            <w:instrText xml:space="preserve"> </w:instrText>
          </w:r>
          <w:r>
            <w:rPr>
              <w:b/>
              <w:bCs/>
            </w:rPr>
            <w:instrText xml:space="preserve">PAGEREF _Toc187528260 \h</w:instrText>
          </w:r>
          <w:r>
            <w:rPr>
              <w:rFonts w:hint="eastAsia"/>
              <w:b/>
              <w:bCs/>
            </w:rPr>
            <w:instrText xml:space="preserve"> </w:instrText>
          </w:r>
          <w:r>
            <w:rPr>
              <w:rFonts w:hint="eastAsia"/>
              <w:b/>
              <w:bCs/>
            </w:rPr>
            <w:fldChar w:fldCharType="separate"/>
          </w:r>
          <w:r>
            <w:rPr>
              <w:b/>
              <w:bCs/>
            </w:rPr>
            <w:t>44</w:t>
          </w:r>
          <w:r>
            <w:rPr>
              <w:rFonts w:hint="eastAsia"/>
              <w:b/>
              <w:bCs/>
            </w:rPr>
            <w:fldChar w:fldCharType="end"/>
          </w:r>
          <w:r>
            <w:rPr>
              <w:rFonts w:hint="eastAsia"/>
              <w:b/>
              <w:bCs/>
            </w:rPr>
            <w:fldChar w:fldCharType="end"/>
          </w:r>
        </w:p>
        <w:p w14:paraId="68358942">
          <w:pPr>
            <w:pStyle w:val="19"/>
            <w:spacing w:line="440" w:lineRule="exact"/>
            <w:rPr>
              <w:rFonts w:asciiTheme="minorHAnsi" w:hAnsiTheme="minorHAnsi" w:eastAsiaTheme="minorEastAsia" w:cstheme="minorBidi"/>
              <w:sz w:val="24"/>
            </w:rPr>
          </w:pPr>
          <w:r>
            <w:fldChar w:fldCharType="begin"/>
          </w:r>
          <w:r>
            <w:instrText xml:space="preserve"> HYPERLINK \l "_Toc187528261" </w:instrText>
          </w:r>
          <w:r>
            <w:fldChar w:fldCharType="separate"/>
          </w:r>
          <w:r>
            <w:rPr>
              <w:rStyle w:val="28"/>
              <w:rFonts w:hint="eastAsia"/>
              <w:color w:val="auto"/>
              <w:kern w:val="0"/>
              <w:sz w:val="24"/>
              <w:u w:val="none"/>
            </w:rPr>
            <w:t>4.1 施工期声环境影响评价</w:t>
          </w:r>
          <w:r>
            <w:rPr>
              <w:rFonts w:hint="eastAsia"/>
              <w:sz w:val="24"/>
            </w:rPr>
            <w:tab/>
          </w:r>
          <w:r>
            <w:rPr>
              <w:rFonts w:hint="eastAsia"/>
              <w:sz w:val="24"/>
            </w:rPr>
            <w:fldChar w:fldCharType="begin"/>
          </w:r>
          <w:r>
            <w:rPr>
              <w:rFonts w:hint="eastAsia"/>
              <w:sz w:val="24"/>
            </w:rPr>
            <w:instrText xml:space="preserve"> </w:instrText>
          </w:r>
          <w:r>
            <w:rPr>
              <w:sz w:val="24"/>
            </w:rPr>
            <w:instrText xml:space="preserve">PAGEREF _Toc187528261 \h</w:instrText>
          </w:r>
          <w:r>
            <w:rPr>
              <w:rFonts w:hint="eastAsia"/>
              <w:sz w:val="24"/>
            </w:rPr>
            <w:instrText xml:space="preserve"> </w:instrText>
          </w:r>
          <w:r>
            <w:rPr>
              <w:rFonts w:hint="eastAsia"/>
              <w:sz w:val="24"/>
            </w:rPr>
            <w:fldChar w:fldCharType="separate"/>
          </w:r>
          <w:r>
            <w:rPr>
              <w:sz w:val="24"/>
            </w:rPr>
            <w:t>44</w:t>
          </w:r>
          <w:r>
            <w:rPr>
              <w:rFonts w:hint="eastAsia"/>
              <w:sz w:val="24"/>
            </w:rPr>
            <w:fldChar w:fldCharType="end"/>
          </w:r>
          <w:r>
            <w:rPr>
              <w:rFonts w:hint="eastAsia"/>
              <w:sz w:val="24"/>
            </w:rPr>
            <w:fldChar w:fldCharType="end"/>
          </w:r>
        </w:p>
        <w:p w14:paraId="37A06167">
          <w:pPr>
            <w:pStyle w:val="19"/>
            <w:spacing w:line="440" w:lineRule="exact"/>
            <w:rPr>
              <w:rFonts w:asciiTheme="minorHAnsi" w:hAnsiTheme="minorHAnsi" w:eastAsiaTheme="minorEastAsia" w:cstheme="minorBidi"/>
              <w:sz w:val="24"/>
            </w:rPr>
          </w:pPr>
          <w:r>
            <w:fldChar w:fldCharType="begin"/>
          </w:r>
          <w:r>
            <w:instrText xml:space="preserve"> HYPERLINK \l "_Toc187528262" </w:instrText>
          </w:r>
          <w:r>
            <w:fldChar w:fldCharType="separate"/>
          </w:r>
          <w:r>
            <w:rPr>
              <w:rStyle w:val="28"/>
              <w:rFonts w:hint="eastAsia"/>
              <w:color w:val="auto"/>
              <w:kern w:val="0"/>
              <w:sz w:val="24"/>
              <w:u w:val="none"/>
            </w:rPr>
            <w:t>4.2 营运期声环境影响评价</w:t>
          </w:r>
          <w:r>
            <w:rPr>
              <w:rFonts w:hint="eastAsia"/>
              <w:sz w:val="24"/>
            </w:rPr>
            <w:tab/>
          </w:r>
          <w:r>
            <w:rPr>
              <w:rFonts w:hint="eastAsia"/>
              <w:sz w:val="24"/>
            </w:rPr>
            <w:fldChar w:fldCharType="begin"/>
          </w:r>
          <w:r>
            <w:rPr>
              <w:rFonts w:hint="eastAsia"/>
              <w:sz w:val="24"/>
            </w:rPr>
            <w:instrText xml:space="preserve"> </w:instrText>
          </w:r>
          <w:r>
            <w:rPr>
              <w:sz w:val="24"/>
            </w:rPr>
            <w:instrText xml:space="preserve">PAGEREF _Toc187528262 \h</w:instrText>
          </w:r>
          <w:r>
            <w:rPr>
              <w:rFonts w:hint="eastAsia"/>
              <w:sz w:val="24"/>
            </w:rPr>
            <w:instrText xml:space="preserve"> </w:instrText>
          </w:r>
          <w:r>
            <w:rPr>
              <w:rFonts w:hint="eastAsia"/>
              <w:sz w:val="24"/>
            </w:rPr>
            <w:fldChar w:fldCharType="separate"/>
          </w:r>
          <w:r>
            <w:rPr>
              <w:sz w:val="24"/>
            </w:rPr>
            <w:t>46</w:t>
          </w:r>
          <w:r>
            <w:rPr>
              <w:rFonts w:hint="eastAsia"/>
              <w:sz w:val="24"/>
            </w:rPr>
            <w:fldChar w:fldCharType="end"/>
          </w:r>
          <w:r>
            <w:rPr>
              <w:rFonts w:hint="eastAsia"/>
              <w:sz w:val="24"/>
            </w:rPr>
            <w:fldChar w:fldCharType="end"/>
          </w:r>
        </w:p>
        <w:p w14:paraId="105288AE">
          <w:pPr>
            <w:pStyle w:val="18"/>
            <w:spacing w:beforeLines="0" w:line="440" w:lineRule="exact"/>
            <w:rPr>
              <w:rFonts w:asciiTheme="minorHAnsi" w:hAnsiTheme="minorHAnsi" w:eastAsiaTheme="minorEastAsia" w:cstheme="minorBidi"/>
              <w:b/>
              <w:bCs/>
              <w:snapToGrid/>
              <w:kern w:val="2"/>
            </w:rPr>
          </w:pPr>
          <w:r>
            <w:fldChar w:fldCharType="begin"/>
          </w:r>
          <w:r>
            <w:instrText xml:space="preserve"> HYPERLINK \l "_Toc187528263" </w:instrText>
          </w:r>
          <w:r>
            <w:fldChar w:fldCharType="separate"/>
          </w:r>
          <w:r>
            <w:rPr>
              <w:rStyle w:val="28"/>
              <w:rFonts w:hint="eastAsia"/>
              <w:b/>
              <w:bCs/>
              <w:color w:val="auto"/>
              <w:kern w:val="2"/>
              <w:sz w:val="21"/>
              <w:u w:val="none"/>
            </w:rPr>
            <w:t>5 声环境保护措施</w:t>
          </w:r>
          <w:r>
            <w:rPr>
              <w:rFonts w:hint="eastAsia"/>
              <w:b/>
              <w:bCs/>
            </w:rPr>
            <w:tab/>
          </w:r>
          <w:r>
            <w:rPr>
              <w:rFonts w:hint="eastAsia"/>
              <w:b/>
              <w:bCs/>
            </w:rPr>
            <w:fldChar w:fldCharType="begin"/>
          </w:r>
          <w:r>
            <w:rPr>
              <w:rFonts w:hint="eastAsia"/>
              <w:b/>
              <w:bCs/>
            </w:rPr>
            <w:instrText xml:space="preserve"> </w:instrText>
          </w:r>
          <w:r>
            <w:rPr>
              <w:b/>
              <w:bCs/>
            </w:rPr>
            <w:instrText xml:space="preserve">PAGEREF _Toc187528263 \h</w:instrText>
          </w:r>
          <w:r>
            <w:rPr>
              <w:rFonts w:hint="eastAsia"/>
              <w:b/>
              <w:bCs/>
            </w:rPr>
            <w:instrText xml:space="preserve"> </w:instrText>
          </w:r>
          <w:r>
            <w:rPr>
              <w:rFonts w:hint="eastAsia"/>
              <w:b/>
              <w:bCs/>
            </w:rPr>
            <w:fldChar w:fldCharType="separate"/>
          </w:r>
          <w:r>
            <w:rPr>
              <w:b/>
              <w:bCs/>
            </w:rPr>
            <w:t>67</w:t>
          </w:r>
          <w:r>
            <w:rPr>
              <w:rFonts w:hint="eastAsia"/>
              <w:b/>
              <w:bCs/>
            </w:rPr>
            <w:fldChar w:fldCharType="end"/>
          </w:r>
          <w:r>
            <w:rPr>
              <w:rFonts w:hint="eastAsia"/>
              <w:b/>
              <w:bCs/>
            </w:rPr>
            <w:fldChar w:fldCharType="end"/>
          </w:r>
        </w:p>
        <w:p w14:paraId="3F8DDE8D">
          <w:pPr>
            <w:pStyle w:val="19"/>
            <w:spacing w:line="440" w:lineRule="exact"/>
            <w:rPr>
              <w:rFonts w:asciiTheme="minorHAnsi" w:hAnsiTheme="minorHAnsi" w:eastAsiaTheme="minorEastAsia" w:cstheme="minorBidi"/>
              <w:sz w:val="24"/>
            </w:rPr>
          </w:pPr>
          <w:r>
            <w:fldChar w:fldCharType="begin"/>
          </w:r>
          <w:r>
            <w:instrText xml:space="preserve"> HYPERLINK \l "_Toc187528264" </w:instrText>
          </w:r>
          <w:r>
            <w:fldChar w:fldCharType="separate"/>
          </w:r>
          <w:r>
            <w:rPr>
              <w:rStyle w:val="28"/>
              <w:rFonts w:hint="eastAsia"/>
              <w:color w:val="auto"/>
              <w:kern w:val="0"/>
              <w:sz w:val="24"/>
              <w:u w:val="none"/>
            </w:rPr>
            <w:t>5.1 设计期声污染防治措施</w:t>
          </w:r>
          <w:r>
            <w:rPr>
              <w:rFonts w:hint="eastAsia"/>
              <w:sz w:val="24"/>
            </w:rPr>
            <w:tab/>
          </w:r>
          <w:r>
            <w:rPr>
              <w:rFonts w:hint="eastAsia"/>
              <w:sz w:val="24"/>
            </w:rPr>
            <w:fldChar w:fldCharType="begin"/>
          </w:r>
          <w:r>
            <w:rPr>
              <w:rFonts w:hint="eastAsia"/>
              <w:sz w:val="24"/>
            </w:rPr>
            <w:instrText xml:space="preserve"> </w:instrText>
          </w:r>
          <w:r>
            <w:rPr>
              <w:sz w:val="24"/>
            </w:rPr>
            <w:instrText xml:space="preserve">PAGEREF _Toc187528264 \h</w:instrText>
          </w:r>
          <w:r>
            <w:rPr>
              <w:rFonts w:hint="eastAsia"/>
              <w:sz w:val="24"/>
            </w:rPr>
            <w:instrText xml:space="preserve"> </w:instrText>
          </w:r>
          <w:r>
            <w:rPr>
              <w:rFonts w:hint="eastAsia"/>
              <w:sz w:val="24"/>
            </w:rPr>
            <w:fldChar w:fldCharType="separate"/>
          </w:r>
          <w:r>
            <w:rPr>
              <w:sz w:val="24"/>
            </w:rPr>
            <w:t>74</w:t>
          </w:r>
          <w:r>
            <w:rPr>
              <w:rFonts w:hint="eastAsia"/>
              <w:sz w:val="24"/>
            </w:rPr>
            <w:fldChar w:fldCharType="end"/>
          </w:r>
          <w:r>
            <w:rPr>
              <w:rFonts w:hint="eastAsia"/>
              <w:sz w:val="24"/>
            </w:rPr>
            <w:fldChar w:fldCharType="end"/>
          </w:r>
        </w:p>
        <w:p w14:paraId="0C0D2A0E">
          <w:pPr>
            <w:pStyle w:val="19"/>
            <w:spacing w:line="440" w:lineRule="exact"/>
            <w:rPr>
              <w:rFonts w:asciiTheme="minorHAnsi" w:hAnsiTheme="minorHAnsi" w:eastAsiaTheme="minorEastAsia" w:cstheme="minorBidi"/>
              <w:sz w:val="24"/>
            </w:rPr>
          </w:pPr>
          <w:r>
            <w:fldChar w:fldCharType="begin"/>
          </w:r>
          <w:r>
            <w:instrText xml:space="preserve"> HYPERLINK \l "_Toc187528265" </w:instrText>
          </w:r>
          <w:r>
            <w:fldChar w:fldCharType="separate"/>
          </w:r>
          <w:r>
            <w:rPr>
              <w:rStyle w:val="28"/>
              <w:rFonts w:hint="eastAsia"/>
              <w:color w:val="auto"/>
              <w:kern w:val="0"/>
              <w:sz w:val="24"/>
              <w:u w:val="none"/>
            </w:rPr>
            <w:t>5.2 施工期声污染防治措施</w:t>
          </w:r>
          <w:r>
            <w:rPr>
              <w:rFonts w:hint="eastAsia"/>
              <w:sz w:val="24"/>
            </w:rPr>
            <w:tab/>
          </w:r>
          <w:r>
            <w:rPr>
              <w:rFonts w:hint="eastAsia"/>
              <w:sz w:val="24"/>
            </w:rPr>
            <w:fldChar w:fldCharType="begin"/>
          </w:r>
          <w:r>
            <w:rPr>
              <w:rFonts w:hint="eastAsia"/>
              <w:sz w:val="24"/>
            </w:rPr>
            <w:instrText xml:space="preserve"> </w:instrText>
          </w:r>
          <w:r>
            <w:rPr>
              <w:sz w:val="24"/>
            </w:rPr>
            <w:instrText xml:space="preserve">PAGEREF _Toc187528265 \h</w:instrText>
          </w:r>
          <w:r>
            <w:rPr>
              <w:rFonts w:hint="eastAsia"/>
              <w:sz w:val="24"/>
            </w:rPr>
            <w:instrText xml:space="preserve"> </w:instrText>
          </w:r>
          <w:r>
            <w:rPr>
              <w:rFonts w:hint="eastAsia"/>
              <w:sz w:val="24"/>
            </w:rPr>
            <w:fldChar w:fldCharType="separate"/>
          </w:r>
          <w:r>
            <w:rPr>
              <w:sz w:val="24"/>
            </w:rPr>
            <w:t>74</w:t>
          </w:r>
          <w:r>
            <w:rPr>
              <w:rFonts w:hint="eastAsia"/>
              <w:sz w:val="24"/>
            </w:rPr>
            <w:fldChar w:fldCharType="end"/>
          </w:r>
          <w:r>
            <w:rPr>
              <w:rFonts w:hint="eastAsia"/>
              <w:sz w:val="24"/>
            </w:rPr>
            <w:fldChar w:fldCharType="end"/>
          </w:r>
        </w:p>
        <w:p w14:paraId="7941849B">
          <w:pPr>
            <w:pStyle w:val="19"/>
            <w:spacing w:line="440" w:lineRule="exact"/>
            <w:rPr>
              <w:rFonts w:asciiTheme="minorHAnsi" w:hAnsiTheme="minorHAnsi" w:eastAsiaTheme="minorEastAsia" w:cstheme="minorBidi"/>
              <w:sz w:val="24"/>
            </w:rPr>
          </w:pPr>
          <w:r>
            <w:fldChar w:fldCharType="begin"/>
          </w:r>
          <w:r>
            <w:instrText xml:space="preserve"> HYPERLINK \l "_Toc187528266" </w:instrText>
          </w:r>
          <w:r>
            <w:fldChar w:fldCharType="separate"/>
          </w:r>
          <w:r>
            <w:rPr>
              <w:rStyle w:val="28"/>
              <w:rFonts w:hint="eastAsia"/>
              <w:color w:val="auto"/>
              <w:kern w:val="0"/>
              <w:sz w:val="24"/>
              <w:u w:val="none"/>
            </w:rPr>
            <w:t>5.3 运营期声污染防治措施</w:t>
          </w:r>
          <w:r>
            <w:rPr>
              <w:rFonts w:hint="eastAsia"/>
              <w:sz w:val="24"/>
            </w:rPr>
            <w:tab/>
          </w:r>
          <w:r>
            <w:rPr>
              <w:rFonts w:hint="eastAsia"/>
              <w:sz w:val="24"/>
            </w:rPr>
            <w:fldChar w:fldCharType="begin"/>
          </w:r>
          <w:r>
            <w:rPr>
              <w:rFonts w:hint="eastAsia"/>
              <w:sz w:val="24"/>
            </w:rPr>
            <w:instrText xml:space="preserve"> </w:instrText>
          </w:r>
          <w:r>
            <w:rPr>
              <w:sz w:val="24"/>
            </w:rPr>
            <w:instrText xml:space="preserve">PAGEREF _Toc187528266 \h</w:instrText>
          </w:r>
          <w:r>
            <w:rPr>
              <w:rFonts w:hint="eastAsia"/>
              <w:sz w:val="24"/>
            </w:rPr>
            <w:instrText xml:space="preserve"> </w:instrText>
          </w:r>
          <w:r>
            <w:rPr>
              <w:rFonts w:hint="eastAsia"/>
              <w:sz w:val="24"/>
            </w:rPr>
            <w:fldChar w:fldCharType="separate"/>
          </w:r>
          <w:r>
            <w:rPr>
              <w:sz w:val="24"/>
            </w:rPr>
            <w:t>74</w:t>
          </w:r>
          <w:r>
            <w:rPr>
              <w:rFonts w:hint="eastAsia"/>
              <w:sz w:val="24"/>
            </w:rPr>
            <w:fldChar w:fldCharType="end"/>
          </w:r>
          <w:r>
            <w:rPr>
              <w:rFonts w:hint="eastAsia"/>
              <w:sz w:val="24"/>
            </w:rPr>
            <w:fldChar w:fldCharType="end"/>
          </w:r>
        </w:p>
        <w:p w14:paraId="52C75DCA">
          <w:pPr>
            <w:pStyle w:val="18"/>
            <w:spacing w:beforeLines="0" w:line="440" w:lineRule="exact"/>
            <w:rPr>
              <w:rFonts w:asciiTheme="minorHAnsi" w:hAnsiTheme="minorHAnsi" w:eastAsiaTheme="minorEastAsia" w:cstheme="minorBidi"/>
              <w:b/>
              <w:bCs/>
              <w:snapToGrid/>
              <w:kern w:val="2"/>
            </w:rPr>
          </w:pPr>
          <w:r>
            <w:fldChar w:fldCharType="begin"/>
          </w:r>
          <w:r>
            <w:instrText xml:space="preserve"> HYPERLINK \l "_Toc187528267" </w:instrText>
          </w:r>
          <w:r>
            <w:fldChar w:fldCharType="separate"/>
          </w:r>
          <w:r>
            <w:rPr>
              <w:rStyle w:val="28"/>
              <w:rFonts w:hint="eastAsia"/>
              <w:b/>
              <w:bCs/>
              <w:color w:val="auto"/>
              <w:kern w:val="2"/>
              <w:sz w:val="21"/>
              <w:u w:val="none"/>
            </w:rPr>
            <w:t>6 声环境影响评价结论</w:t>
          </w:r>
          <w:r>
            <w:rPr>
              <w:rFonts w:hint="eastAsia"/>
              <w:b/>
              <w:bCs/>
            </w:rPr>
            <w:tab/>
          </w:r>
          <w:r>
            <w:rPr>
              <w:rFonts w:hint="eastAsia"/>
              <w:b/>
              <w:bCs/>
            </w:rPr>
            <w:fldChar w:fldCharType="begin"/>
          </w:r>
          <w:r>
            <w:rPr>
              <w:rFonts w:hint="eastAsia"/>
              <w:b/>
              <w:bCs/>
            </w:rPr>
            <w:instrText xml:space="preserve"> </w:instrText>
          </w:r>
          <w:r>
            <w:rPr>
              <w:b/>
              <w:bCs/>
            </w:rPr>
            <w:instrText xml:space="preserve">PAGEREF _Toc187528267 \h</w:instrText>
          </w:r>
          <w:r>
            <w:rPr>
              <w:rFonts w:hint="eastAsia"/>
              <w:b/>
              <w:bCs/>
            </w:rPr>
            <w:instrText xml:space="preserve"> </w:instrText>
          </w:r>
          <w:r>
            <w:rPr>
              <w:rFonts w:hint="eastAsia"/>
              <w:b/>
              <w:bCs/>
            </w:rPr>
            <w:fldChar w:fldCharType="separate"/>
          </w:r>
          <w:r>
            <w:rPr>
              <w:b/>
              <w:bCs/>
            </w:rPr>
            <w:t>86</w:t>
          </w:r>
          <w:r>
            <w:rPr>
              <w:rFonts w:hint="eastAsia"/>
              <w:b/>
              <w:bCs/>
            </w:rPr>
            <w:fldChar w:fldCharType="end"/>
          </w:r>
          <w:r>
            <w:rPr>
              <w:rFonts w:hint="eastAsia"/>
              <w:b/>
              <w:bCs/>
            </w:rPr>
            <w:fldChar w:fldCharType="end"/>
          </w:r>
        </w:p>
        <w:p w14:paraId="32EA8F4F">
          <w:pPr>
            <w:spacing w:line="360" w:lineRule="auto"/>
            <w:rPr>
              <w:lang w:val="zh-CN"/>
            </w:rPr>
            <w:sectPr>
              <w:headerReference r:id="rId17" w:type="default"/>
              <w:footerReference r:id="rId18" w:type="default"/>
              <w:footerReference r:id="rId19" w:type="even"/>
              <w:pgSz w:w="11906" w:h="16838"/>
              <w:pgMar w:top="1440" w:right="1800" w:bottom="1560" w:left="1800" w:header="851" w:footer="992" w:gutter="0"/>
              <w:pgBorders>
                <w:top w:val="none" w:sz="0" w:space="0"/>
                <w:left w:val="none" w:sz="0" w:space="0"/>
                <w:bottom w:val="none" w:sz="0" w:space="0"/>
                <w:right w:val="none" w:sz="0" w:space="0"/>
              </w:pgBorders>
              <w:pgNumType w:fmt="lowerRoman" w:start="1"/>
              <w:cols w:space="720" w:num="1"/>
              <w:docGrid w:type="lines" w:linePitch="312" w:charSpace="0"/>
            </w:sectPr>
          </w:pPr>
          <w:r>
            <w:rPr>
              <w:rFonts w:ascii="Times New Roman" w:hAnsi="Times New Roman" w:cs="Times New Roman" w:eastAsiaTheme="minorEastAsia"/>
              <w:b/>
              <w:bCs/>
              <w:sz w:val="24"/>
              <w:lang w:val="zh-CN"/>
            </w:rPr>
            <w:fldChar w:fldCharType="end"/>
          </w:r>
        </w:p>
      </w:sdtContent>
    </w:sdt>
    <w:p w14:paraId="4588BFB0">
      <w:pPr>
        <w:keepNext/>
        <w:keepLines/>
        <w:widowControl w:val="0"/>
        <w:tabs>
          <w:tab w:val="center" w:pos="4252"/>
          <w:tab w:val="left" w:pos="6855"/>
        </w:tabs>
        <w:spacing w:before="480" w:after="480"/>
        <w:jc w:val="center"/>
        <w:outlineLvl w:val="0"/>
        <w:rPr>
          <w:rFonts w:ascii="Times New Roman" w:hAnsi="Times New Roman" w:eastAsia="黑体" w:cs="Times New Roman"/>
          <w:snapToGrid w:val="0"/>
          <w:kern w:val="0"/>
          <w:sz w:val="32"/>
          <w:szCs w:val="32"/>
          <w:lang w:val="en-US" w:eastAsia="zh-CN" w:bidi="ar-SA"/>
        </w:rPr>
      </w:pPr>
      <w:bookmarkStart w:id="48" w:name="_Toc187528223"/>
      <w:bookmarkStart w:id="49" w:name="_Toc114245878"/>
      <w:bookmarkStart w:id="50" w:name="_Toc486240356"/>
      <w:bookmarkStart w:id="51" w:name="_Toc75346427"/>
      <w:bookmarkStart w:id="52" w:name="_Toc114380175"/>
      <w:bookmarkStart w:id="53" w:name="_Toc514130090"/>
      <w:bookmarkStart w:id="54" w:name="_Toc533797447"/>
      <w:bookmarkStart w:id="55" w:name="_Toc292191903"/>
      <w:bookmarkStart w:id="56" w:name="_Toc114308285"/>
      <w:bookmarkStart w:id="57" w:name="_Toc298750299"/>
      <w:bookmarkStart w:id="58" w:name="_Toc103214670"/>
      <w:bookmarkStart w:id="59" w:name="_Toc501441533"/>
      <w:bookmarkStart w:id="60" w:name="_Toc65582220"/>
      <w:bookmarkStart w:id="61" w:name="_Toc106965838"/>
      <w:bookmarkStart w:id="62" w:name="_Toc286754855"/>
      <w:bookmarkStart w:id="63" w:name="_Toc22716311"/>
      <w:bookmarkStart w:id="64" w:name="_Toc51482786"/>
      <w:bookmarkStart w:id="65" w:name="_Toc114245976"/>
      <w:bookmarkStart w:id="66" w:name="_Toc516646362"/>
      <w:bookmarkStart w:id="67" w:name="_Toc187830022"/>
      <w:bookmarkStart w:id="68" w:name="_Toc516882480"/>
      <w:bookmarkStart w:id="69" w:name="_Toc511395673"/>
      <w:bookmarkStart w:id="70" w:name="_Toc132099628"/>
      <w:bookmarkStart w:id="71" w:name="_Toc237075112"/>
      <w:bookmarkStart w:id="72" w:name="_Toc66000255"/>
      <w:bookmarkStart w:id="73" w:name="_Toc22716438"/>
      <w:bookmarkStart w:id="74" w:name="_Toc503927704"/>
      <w:bookmarkStart w:id="75" w:name="_Toc298750535"/>
      <w:bookmarkStart w:id="76" w:name="_Toc51421556"/>
      <w:bookmarkStart w:id="77" w:name="_Toc54065337"/>
      <w:bookmarkStart w:id="78" w:name="_Toc198447140"/>
      <w:r>
        <w:rPr>
          <w:rFonts w:hint="eastAsia" w:ascii="Times New Roman" w:hAnsi="Times New Roman" w:eastAsia="黑体" w:cs="Times New Roman"/>
          <w:snapToGrid w:val="0"/>
          <w:kern w:val="0"/>
          <w:sz w:val="32"/>
          <w:szCs w:val="32"/>
          <w:lang w:val="en-US" w:eastAsia="zh-CN" w:bidi="ar-SA"/>
        </w:rPr>
        <w:t>1</w:t>
      </w:r>
      <w:r>
        <w:rPr>
          <w:rFonts w:ascii="Times New Roman" w:hAnsi="Times New Roman" w:eastAsia="黑体" w:cs="Times New Roman"/>
          <w:snapToGrid w:val="0"/>
          <w:kern w:val="0"/>
          <w:sz w:val="32"/>
          <w:szCs w:val="32"/>
          <w:lang w:val="en-US" w:eastAsia="zh-CN" w:bidi="ar-SA"/>
        </w:rPr>
        <w:t xml:space="preserve"> </w:t>
      </w:r>
      <w:r>
        <w:rPr>
          <w:rFonts w:hint="eastAsia" w:ascii="Times New Roman" w:hAnsi="Times New Roman" w:eastAsia="黑体" w:cs="Times New Roman"/>
          <w:snapToGrid w:val="0"/>
          <w:kern w:val="0"/>
          <w:sz w:val="32"/>
          <w:szCs w:val="32"/>
          <w:lang w:val="en-US" w:eastAsia="zh-CN" w:bidi="ar-SA"/>
        </w:rPr>
        <w:t>总则</w:t>
      </w:r>
      <w:bookmarkEnd w:id="48"/>
    </w:p>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14:paraId="7385C068">
      <w:pPr>
        <w:keepNext/>
        <w:keepLines/>
        <w:widowControl w:val="0"/>
        <w:adjustRightInd w:val="0"/>
        <w:spacing w:before="240" w:after="240" w:line="240" w:lineRule="auto"/>
        <w:jc w:val="both"/>
        <w:textAlignment w:val="baseline"/>
        <w:outlineLvl w:val="1"/>
        <w:rPr>
          <w:rFonts w:ascii="Times New Roman" w:hAnsi="Times New Roman" w:eastAsia="宋体" w:cs="Times New Roman"/>
          <w:b/>
          <w:bCs/>
          <w:kern w:val="0"/>
          <w:sz w:val="28"/>
          <w:szCs w:val="32"/>
          <w:lang w:val="en-US" w:eastAsia="zh-CN" w:bidi="ar-SA"/>
        </w:rPr>
      </w:pPr>
      <w:bookmarkStart w:id="79" w:name="_Toc187528224"/>
      <w:r>
        <w:rPr>
          <w:rFonts w:hint="eastAsia" w:ascii="Times New Roman" w:hAnsi="Times New Roman" w:eastAsia="宋体" w:cs="Times New Roman"/>
          <w:b/>
          <w:bCs/>
          <w:kern w:val="0"/>
          <w:sz w:val="28"/>
          <w:szCs w:val="32"/>
          <w:lang w:val="en-US" w:eastAsia="zh-CN" w:bidi="ar-SA"/>
        </w:rPr>
        <w:t>1.1</w:t>
      </w:r>
      <w:r>
        <w:rPr>
          <w:rFonts w:ascii="Times New Roman" w:hAnsi="Times New Roman" w:eastAsia="宋体" w:cs="Times New Roman"/>
          <w:b/>
          <w:bCs/>
          <w:kern w:val="0"/>
          <w:sz w:val="28"/>
          <w:szCs w:val="32"/>
          <w:lang w:val="en-US" w:eastAsia="zh-CN" w:bidi="ar-SA"/>
        </w:rPr>
        <w:t xml:space="preserve"> </w:t>
      </w:r>
      <w:r>
        <w:rPr>
          <w:rFonts w:hint="eastAsia" w:ascii="Times New Roman" w:hAnsi="Times New Roman" w:eastAsia="宋体" w:cs="Times New Roman"/>
          <w:b/>
          <w:bCs/>
          <w:kern w:val="0"/>
          <w:sz w:val="28"/>
          <w:szCs w:val="32"/>
          <w:lang w:val="en-US" w:eastAsia="zh-CN" w:bidi="ar-SA"/>
        </w:rPr>
        <w:t>建设项目特点</w:t>
      </w:r>
      <w:bookmarkEnd w:id="79"/>
    </w:p>
    <w:p w14:paraId="5ACB1DCF">
      <w:pPr>
        <w:keepNext/>
        <w:keepLines/>
        <w:widowControl w:val="0"/>
        <w:adjustRightInd w:val="0"/>
        <w:spacing w:before="120" w:after="120" w:line="300" w:lineRule="auto"/>
        <w:jc w:val="both"/>
        <w:textAlignment w:val="baseline"/>
        <w:outlineLvl w:val="2"/>
        <w:rPr>
          <w:rFonts w:ascii="Times New Roman" w:hAnsi="Times New Roman" w:eastAsia="宋体" w:cs="Times New Roman"/>
          <w:b/>
          <w:bCs/>
          <w:kern w:val="0"/>
          <w:sz w:val="24"/>
          <w:szCs w:val="32"/>
          <w:lang w:val="en-US" w:eastAsia="zh-CN" w:bidi="ar-SA"/>
        </w:rPr>
      </w:pPr>
      <w:bookmarkStart w:id="80" w:name="_Toc175213180"/>
      <w:bookmarkStart w:id="81" w:name="_Toc187528225"/>
      <w:r>
        <w:rPr>
          <w:rFonts w:ascii="Times New Roman" w:hAnsi="Times New Roman" w:eastAsia="宋体" w:cs="Times New Roman"/>
          <w:b/>
          <w:bCs w:val="0"/>
          <w:kern w:val="0"/>
          <w:sz w:val="24"/>
          <w:szCs w:val="32"/>
          <w:lang w:val="en-US" w:eastAsia="zh-CN" w:bidi="ar-SA"/>
        </w:rPr>
        <w:t xml:space="preserve">1.1.1 </w:t>
      </w:r>
      <w:r>
        <w:rPr>
          <w:rFonts w:hint="eastAsia" w:ascii="Times New Roman" w:hAnsi="Times New Roman" w:eastAsia="宋体" w:cs="Times New Roman"/>
          <w:b/>
          <w:bCs w:val="0"/>
          <w:kern w:val="0"/>
          <w:sz w:val="24"/>
          <w:szCs w:val="32"/>
          <w:lang w:val="en-US" w:eastAsia="zh-CN" w:bidi="ar-SA"/>
        </w:rPr>
        <w:t>地理位置</w:t>
      </w:r>
      <w:bookmarkEnd w:id="80"/>
      <w:bookmarkEnd w:id="81"/>
    </w:p>
    <w:p w14:paraId="7B4BF111">
      <w:pPr>
        <w:autoSpaceDE w:val="0"/>
        <w:autoSpaceDN w:val="0"/>
        <w:adjustRightInd w:val="0"/>
        <w:spacing w:line="300" w:lineRule="auto"/>
        <w:ind w:firstLine="480" w:firstLineChars="200"/>
        <w:rPr>
          <w:rFonts w:ascii="Times New Roman" w:hAnsi="Times New Roman" w:eastAsia="宋体" w:cs="Times New Roman"/>
          <w:kern w:val="0"/>
          <w:sz w:val="24"/>
        </w:rPr>
      </w:pPr>
      <w:r>
        <w:rPr>
          <w:rFonts w:hint="eastAsia" w:ascii="Times New Roman" w:hAnsi="Times New Roman" w:eastAsia="宋体" w:cs="Times New Roman"/>
          <w:kern w:val="0"/>
          <w:sz w:val="24"/>
        </w:rPr>
        <w:t>拟建公路起点位于阿图什市八盘水磨西侧G219线与G314平面交叉处，沿既有道路进行拼宽扩建，路线总体呈由北向南走向，经过格达良乡、克孜勒苏乡、和夏阿瓦提镇达到伽师县北侧物流园附近，随后路线向西南绕行伽师县城，经过铁日木乡、居仁镇、克孜勒博依镇等，终点位于岳普湖县北侧，顺接G219岳普湖过境段起点</w:t>
      </w:r>
      <w:r>
        <w:rPr>
          <w:rFonts w:ascii="Times New Roman" w:hAnsi="Times New Roman" w:eastAsia="宋体" w:cs="Times New Roman"/>
          <w:kern w:val="0"/>
          <w:sz w:val="24"/>
        </w:rPr>
        <w:t>。</w:t>
      </w:r>
    </w:p>
    <w:p w14:paraId="6A017D68">
      <w:pPr>
        <w:keepNext/>
        <w:keepLines/>
        <w:widowControl w:val="0"/>
        <w:adjustRightInd w:val="0"/>
        <w:spacing w:before="120" w:after="120" w:line="300" w:lineRule="auto"/>
        <w:jc w:val="both"/>
        <w:textAlignment w:val="baseline"/>
        <w:outlineLvl w:val="2"/>
        <w:rPr>
          <w:rFonts w:ascii="Times New Roman" w:hAnsi="Times New Roman" w:eastAsia="宋体" w:cs="Times New Roman"/>
          <w:b/>
          <w:bCs/>
          <w:kern w:val="0"/>
          <w:sz w:val="24"/>
          <w:szCs w:val="32"/>
          <w:lang w:val="en-US" w:eastAsia="zh-CN" w:bidi="ar-SA"/>
        </w:rPr>
      </w:pPr>
      <w:bookmarkStart w:id="82" w:name="_Toc175213181"/>
      <w:bookmarkStart w:id="83" w:name="_Toc187528226"/>
      <w:r>
        <w:rPr>
          <w:rFonts w:ascii="Times New Roman" w:hAnsi="Times New Roman" w:eastAsia="宋体" w:cs="Times New Roman"/>
          <w:b/>
          <w:bCs w:val="0"/>
          <w:kern w:val="0"/>
          <w:sz w:val="24"/>
          <w:szCs w:val="32"/>
          <w:lang w:val="en-US" w:eastAsia="zh-CN" w:bidi="ar-SA"/>
        </w:rPr>
        <w:t xml:space="preserve">1.1.2 </w:t>
      </w:r>
      <w:r>
        <w:rPr>
          <w:rFonts w:hint="eastAsia" w:ascii="Times New Roman" w:hAnsi="Times New Roman" w:eastAsia="宋体" w:cs="Times New Roman"/>
          <w:b/>
          <w:bCs w:val="0"/>
          <w:kern w:val="0"/>
          <w:sz w:val="24"/>
          <w:szCs w:val="32"/>
          <w:lang w:val="en-US" w:eastAsia="zh-CN" w:bidi="ar-SA"/>
        </w:rPr>
        <w:t>主要工程特性</w:t>
      </w:r>
      <w:bookmarkEnd w:id="82"/>
      <w:bookmarkEnd w:id="83"/>
    </w:p>
    <w:p w14:paraId="3CC4237A">
      <w:pPr>
        <w:spacing w:afterLines="50" w:line="300" w:lineRule="auto"/>
        <w:ind w:firstLine="480" w:firstLineChars="200"/>
        <w:jc w:val="left"/>
        <w:rPr>
          <w:rFonts w:ascii="Times New Roman" w:hAnsi="Times New Roman" w:eastAsia="宋体" w:cs="Times New Roman"/>
          <w:sz w:val="24"/>
        </w:rPr>
      </w:pPr>
      <w:r>
        <w:rPr>
          <w:rFonts w:ascii="Times New Roman" w:hAnsi="Times New Roman" w:eastAsia="宋体" w:cs="Times New Roman"/>
          <w:sz w:val="24"/>
        </w:rPr>
        <w:t>拟建</w:t>
      </w:r>
      <w:r>
        <w:rPr>
          <w:rFonts w:hint="eastAsia" w:ascii="Times New Roman" w:hAnsi="Times New Roman" w:eastAsia="宋体" w:cs="Times New Roman"/>
          <w:sz w:val="24"/>
        </w:rPr>
        <w:t>公路</w:t>
      </w:r>
      <w:r>
        <w:rPr>
          <w:rFonts w:ascii="Times New Roman" w:hAnsi="Times New Roman" w:eastAsia="宋体" w:cs="Times New Roman"/>
          <w:sz w:val="24"/>
        </w:rPr>
        <w:t>主要工程特性见表1.1-1。</w:t>
      </w:r>
    </w:p>
    <w:p w14:paraId="5A5B6554">
      <w:pPr>
        <w:adjustRightInd w:val="0"/>
        <w:jc w:val="center"/>
        <w:textAlignment w:val="baseline"/>
        <w:rPr>
          <w:rFonts w:ascii="Times New Roman" w:hAnsi="Times New Roman" w:eastAsia="宋体" w:cs="Times New Roman"/>
          <w:b/>
        </w:rPr>
      </w:pPr>
      <w:r>
        <w:rPr>
          <w:rFonts w:ascii="Times New Roman" w:hAnsi="Times New Roman" w:eastAsia="宋体" w:cs="Times New Roman"/>
          <w:b/>
        </w:rPr>
        <w:t>表1.1-1  拟建</w:t>
      </w:r>
      <w:r>
        <w:rPr>
          <w:rFonts w:hint="eastAsia" w:ascii="Times New Roman" w:hAnsi="Times New Roman" w:eastAsia="宋体" w:cs="Times New Roman"/>
          <w:b/>
        </w:rPr>
        <w:t>公路</w:t>
      </w:r>
      <w:r>
        <w:rPr>
          <w:rFonts w:ascii="Times New Roman" w:hAnsi="Times New Roman" w:eastAsia="宋体" w:cs="Times New Roman"/>
          <w:b/>
        </w:rPr>
        <w:t>主要工程特性表</w:t>
      </w:r>
    </w:p>
    <w:tbl>
      <w:tblPr>
        <w:tblStyle w:val="22"/>
        <w:tblW w:w="5000" w:type="pct"/>
        <w:jc w:val="center"/>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1590"/>
        <w:gridCol w:w="6776"/>
      </w:tblGrid>
      <w:tr w14:paraId="0CD7EFED">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950" w:type="pct"/>
            <w:vAlign w:val="center"/>
          </w:tcPr>
          <w:p w14:paraId="2F567F5C">
            <w:pPr>
              <w:jc w:val="center"/>
              <w:rPr>
                <w:rFonts w:ascii="Times New Roman" w:hAnsi="Times New Roman" w:eastAsia="宋体" w:cs="Times New Roman"/>
                <w:b/>
                <w:szCs w:val="21"/>
              </w:rPr>
            </w:pPr>
            <w:r>
              <w:rPr>
                <w:rFonts w:ascii="Times New Roman" w:hAnsi="Times New Roman" w:eastAsia="宋体" w:cs="Times New Roman"/>
                <w:b/>
                <w:szCs w:val="21"/>
              </w:rPr>
              <w:t>项目名称</w:t>
            </w:r>
          </w:p>
        </w:tc>
        <w:tc>
          <w:tcPr>
            <w:tcW w:w="4050" w:type="pct"/>
            <w:vAlign w:val="center"/>
          </w:tcPr>
          <w:p w14:paraId="120EC5BA">
            <w:pPr>
              <w:jc w:val="center"/>
              <w:rPr>
                <w:rFonts w:hint="eastAsia" w:ascii="Times New Roman" w:hAnsi="Times New Roman" w:eastAsia="宋体" w:cs="Times New Roman"/>
                <w:szCs w:val="21"/>
                <w:lang w:eastAsia="zh-CN"/>
              </w:rPr>
            </w:pPr>
            <w:r>
              <w:rPr>
                <w:rFonts w:hint="eastAsia" w:ascii="Times New Roman" w:hAnsi="宋体" w:eastAsia="宋体" w:cs="Times New Roman"/>
                <w:szCs w:val="21"/>
              </w:rPr>
              <w:t>G219</w:t>
            </w:r>
            <w:r>
              <w:rPr>
                <w:rFonts w:hint="eastAsia" w:ascii="Times New Roman" w:hAnsi="宋体" w:eastAsia="宋体" w:cs="Times New Roman"/>
                <w:szCs w:val="21"/>
                <w:lang w:eastAsia="zh-CN"/>
              </w:rPr>
              <w:t>八盘水磨至伽师沿边通道工程</w:t>
            </w:r>
          </w:p>
        </w:tc>
      </w:tr>
      <w:tr w14:paraId="56B85605">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950" w:type="pct"/>
            <w:vAlign w:val="center"/>
          </w:tcPr>
          <w:p w14:paraId="74F996F7">
            <w:pPr>
              <w:jc w:val="center"/>
              <w:rPr>
                <w:rFonts w:ascii="Times New Roman" w:hAnsi="Times New Roman" w:eastAsia="宋体" w:cs="Times New Roman"/>
                <w:b/>
                <w:szCs w:val="21"/>
              </w:rPr>
            </w:pPr>
            <w:r>
              <w:rPr>
                <w:rFonts w:ascii="Times New Roman" w:hAnsi="Times New Roman" w:eastAsia="宋体" w:cs="Times New Roman"/>
                <w:b/>
                <w:szCs w:val="21"/>
              </w:rPr>
              <w:t>建设地点</w:t>
            </w:r>
          </w:p>
        </w:tc>
        <w:tc>
          <w:tcPr>
            <w:tcW w:w="4050" w:type="pct"/>
            <w:vAlign w:val="center"/>
          </w:tcPr>
          <w:p w14:paraId="26F7BBE6">
            <w:pPr>
              <w:jc w:val="center"/>
              <w:rPr>
                <w:rFonts w:ascii="Times New Roman" w:hAnsi="Times New Roman" w:eastAsia="宋体" w:cs="Times New Roman"/>
                <w:szCs w:val="21"/>
              </w:rPr>
            </w:pPr>
            <w:r>
              <w:rPr>
                <w:rFonts w:hint="eastAsia" w:ascii="Times New Roman" w:hAnsi="宋体" w:eastAsia="宋体" w:cs="Times New Roman"/>
                <w:szCs w:val="21"/>
              </w:rPr>
              <w:t>新疆生产建设兵团草湖项目区红旗农场，新疆维吾尔自治区克孜勒苏柯尔克孜自治州阿图什市，喀什地区伽师县和岳普湖县</w:t>
            </w:r>
          </w:p>
        </w:tc>
      </w:tr>
      <w:tr w14:paraId="1B8515F2">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950" w:type="pct"/>
            <w:vAlign w:val="center"/>
          </w:tcPr>
          <w:p w14:paraId="2CEE4B99">
            <w:pPr>
              <w:jc w:val="center"/>
              <w:rPr>
                <w:rFonts w:ascii="Times New Roman" w:hAnsi="Times New Roman" w:eastAsia="宋体" w:cs="Times New Roman"/>
                <w:b/>
                <w:szCs w:val="21"/>
              </w:rPr>
            </w:pPr>
            <w:r>
              <w:rPr>
                <w:rFonts w:ascii="Times New Roman" w:hAnsi="Times New Roman" w:eastAsia="宋体" w:cs="Times New Roman"/>
                <w:b/>
                <w:szCs w:val="21"/>
              </w:rPr>
              <w:t>建设内容及规模</w:t>
            </w:r>
          </w:p>
        </w:tc>
        <w:tc>
          <w:tcPr>
            <w:tcW w:w="4050" w:type="pct"/>
            <w:vAlign w:val="center"/>
          </w:tcPr>
          <w:p w14:paraId="23878D12">
            <w:pPr>
              <w:jc w:val="center"/>
              <w:rPr>
                <w:rFonts w:ascii="Times New Roman" w:hAnsi="Times New Roman" w:eastAsia="宋体" w:cs="Times New Roman"/>
                <w:szCs w:val="21"/>
              </w:rPr>
            </w:pPr>
            <w:r>
              <w:rPr>
                <w:rFonts w:hint="eastAsia" w:ascii="Times New Roman" w:hAnsi="Times New Roman" w:eastAsia="宋体" w:cs="Times New Roman"/>
                <w:szCs w:val="21"/>
              </w:rPr>
              <w:t>拟建公路为现有</w:t>
            </w:r>
            <w:r>
              <w:rPr>
                <w:rFonts w:hint="eastAsia" w:ascii="Times New Roman" w:hAnsi="宋体" w:eastAsia="宋体" w:cs="Times New Roman"/>
                <w:szCs w:val="21"/>
              </w:rPr>
              <w:t>G219线八盘水磨至伽师公路改扩建项目，总</w:t>
            </w:r>
            <w:r>
              <w:rPr>
                <w:rFonts w:hint="eastAsia" w:ascii="Times New Roman" w:hAnsi="Times New Roman" w:eastAsia="宋体" w:cs="Times New Roman"/>
                <w:szCs w:val="21"/>
              </w:rPr>
              <w:t>长70.078km，采用双向四车道一级公路标准建设，设计速度60</w:t>
            </w:r>
            <w:r>
              <w:rPr>
                <w:rFonts w:ascii="Times New Roman" w:hAnsi="Times New Roman" w:eastAsia="宋体" w:cs="Times New Roman"/>
                <w:szCs w:val="21"/>
              </w:rPr>
              <w:t>km/h</w:t>
            </w:r>
            <w:r>
              <w:rPr>
                <w:rFonts w:hint="eastAsia" w:ascii="Times New Roman" w:hAnsi="Times New Roman" w:eastAsia="宋体" w:cs="Times New Roman"/>
                <w:szCs w:val="21"/>
              </w:rPr>
              <w:t>和80km/h，一般路段</w:t>
            </w:r>
            <w:r>
              <w:rPr>
                <w:rFonts w:ascii="Times New Roman" w:hAnsi="宋体" w:eastAsia="宋体" w:cs="Times New Roman"/>
                <w:kern w:val="0"/>
                <w:szCs w:val="21"/>
              </w:rPr>
              <w:t>路基</w:t>
            </w:r>
            <w:r>
              <w:rPr>
                <w:rFonts w:hint="eastAsia" w:ascii="Times New Roman" w:hAnsi="宋体" w:eastAsia="宋体" w:cs="Times New Roman"/>
                <w:kern w:val="0"/>
                <w:szCs w:val="21"/>
              </w:rPr>
              <w:t>整体</w:t>
            </w:r>
            <w:r>
              <w:rPr>
                <w:rFonts w:ascii="Times New Roman" w:hAnsi="宋体" w:eastAsia="宋体" w:cs="Times New Roman"/>
                <w:kern w:val="0"/>
                <w:szCs w:val="21"/>
              </w:rPr>
              <w:t>宽度</w:t>
            </w:r>
            <w:r>
              <w:rPr>
                <w:rFonts w:hint="eastAsia" w:ascii="Times New Roman" w:hAnsi="宋体" w:eastAsia="宋体" w:cs="Times New Roman"/>
                <w:kern w:val="0"/>
                <w:szCs w:val="21"/>
              </w:rPr>
              <w:t>为</w:t>
            </w:r>
            <w:r>
              <w:rPr>
                <w:rFonts w:hint="eastAsia" w:ascii="Times New Roman" w:hAnsi="Times New Roman" w:eastAsia="宋体" w:cs="Times New Roman"/>
                <w:kern w:val="0"/>
                <w:szCs w:val="21"/>
              </w:rPr>
              <w:t>25.5</w:t>
            </w:r>
            <w:r>
              <w:rPr>
                <w:rFonts w:hint="eastAsia" w:ascii="Times New Roman" w:hAnsi="宋体" w:eastAsia="宋体" w:cs="Times New Roman"/>
                <w:kern w:val="0"/>
                <w:szCs w:val="21"/>
              </w:rPr>
              <w:t>m，</w:t>
            </w:r>
            <w:r>
              <w:rPr>
                <w:rFonts w:ascii="Times New Roman" w:hAnsi="宋体" w:eastAsia="宋体" w:cs="Times New Roman"/>
                <w:kern w:val="0"/>
                <w:szCs w:val="21"/>
              </w:rPr>
              <w:t>分离式路基</w:t>
            </w:r>
            <w:r>
              <w:rPr>
                <w:rFonts w:hint="eastAsia" w:ascii="Times New Roman" w:hAnsi="Times New Roman" w:eastAsia="宋体" w:cs="Times New Roman"/>
                <w:kern w:val="0"/>
                <w:szCs w:val="21"/>
              </w:rPr>
              <w:t>12.75</w:t>
            </w:r>
            <w:r>
              <w:rPr>
                <w:rFonts w:hint="eastAsia" w:ascii="Times New Roman" w:hAnsi="宋体" w:eastAsia="宋体" w:cs="Times New Roman"/>
                <w:kern w:val="0"/>
                <w:szCs w:val="21"/>
              </w:rPr>
              <w:t>m</w:t>
            </w:r>
            <w:r>
              <w:rPr>
                <w:rFonts w:ascii="Times New Roman" w:hAnsi="宋体" w:eastAsia="宋体" w:cs="Times New Roman"/>
                <w:kern w:val="0"/>
                <w:szCs w:val="21"/>
              </w:rPr>
              <w:t>，</w:t>
            </w:r>
            <w:r>
              <w:rPr>
                <w:rFonts w:ascii="Times New Roman" w:hAnsi="Times New Roman" w:eastAsia="宋体" w:cs="Times New Roman"/>
                <w:szCs w:val="21"/>
              </w:rPr>
              <w:t>格达良乡</w:t>
            </w:r>
            <w:r>
              <w:rPr>
                <w:rFonts w:ascii="Times New Roman" w:hAnsi="宋体" w:eastAsia="宋体" w:cs="Times New Roman"/>
                <w:kern w:val="0"/>
                <w:szCs w:val="21"/>
              </w:rPr>
              <w:t>过境段路基宽度</w:t>
            </w:r>
            <w:r>
              <w:rPr>
                <w:rFonts w:hint="eastAsia" w:ascii="Times New Roman" w:hAnsi="宋体" w:eastAsia="宋体" w:cs="Times New Roman"/>
                <w:kern w:val="0"/>
                <w:szCs w:val="21"/>
              </w:rPr>
              <w:t>为28.5m</w:t>
            </w:r>
            <w:r>
              <w:rPr>
                <w:rFonts w:ascii="Times New Roman" w:hAnsi="宋体" w:eastAsia="宋体" w:cs="Times New Roman"/>
                <w:kern w:val="0"/>
                <w:szCs w:val="21"/>
              </w:rPr>
              <w:t>，</w:t>
            </w:r>
            <w:r>
              <w:rPr>
                <w:rFonts w:hint="eastAsia" w:ascii="Times New Roman" w:hAnsi="宋体" w:eastAsia="宋体" w:cs="Times New Roman"/>
                <w:kern w:val="0"/>
                <w:szCs w:val="21"/>
                <w:lang w:val="en-US" w:eastAsia="zh-CN"/>
              </w:rPr>
              <w:t>受</w:t>
            </w:r>
            <w:r>
              <w:rPr>
                <w:rFonts w:ascii="Times New Roman" w:hAnsi="宋体" w:eastAsia="宋体" w:cs="Times New Roman"/>
                <w:kern w:val="0"/>
                <w:szCs w:val="21"/>
              </w:rPr>
              <w:t>基本农田</w:t>
            </w:r>
            <w:r>
              <w:rPr>
                <w:rFonts w:hint="eastAsia" w:ascii="Times New Roman" w:hAnsi="宋体" w:eastAsia="宋体" w:cs="Times New Roman"/>
                <w:kern w:val="0"/>
                <w:szCs w:val="21"/>
                <w:lang w:val="en-US" w:eastAsia="zh-CN"/>
              </w:rPr>
              <w:t>制约</w:t>
            </w:r>
            <w:r>
              <w:rPr>
                <w:rFonts w:ascii="Times New Roman" w:hAnsi="宋体" w:eastAsia="宋体" w:cs="Times New Roman"/>
                <w:kern w:val="0"/>
                <w:szCs w:val="21"/>
              </w:rPr>
              <w:t>段路基宽度</w:t>
            </w:r>
            <w:r>
              <w:rPr>
                <w:rFonts w:hint="eastAsia" w:ascii="Times New Roman" w:hAnsi="宋体" w:eastAsia="宋体" w:cs="Times New Roman"/>
                <w:kern w:val="0"/>
                <w:szCs w:val="21"/>
              </w:rPr>
              <w:t>为</w:t>
            </w:r>
            <w:r>
              <w:rPr>
                <w:rFonts w:ascii="Times New Roman" w:hAnsi="宋体" w:eastAsia="宋体" w:cs="Times New Roman"/>
                <w:kern w:val="0"/>
                <w:szCs w:val="21"/>
              </w:rPr>
              <w:t>19.0</w:t>
            </w:r>
            <w:r>
              <w:rPr>
                <w:rFonts w:hint="eastAsia" w:ascii="Times New Roman" w:hAnsi="宋体" w:eastAsia="宋体" w:cs="Times New Roman"/>
                <w:kern w:val="0"/>
                <w:szCs w:val="21"/>
              </w:rPr>
              <w:t>m</w:t>
            </w:r>
            <w:r>
              <w:rPr>
                <w:rFonts w:ascii="Times New Roman" w:hAnsi="宋体" w:eastAsia="宋体" w:cs="Times New Roman"/>
                <w:kern w:val="0"/>
                <w:szCs w:val="21"/>
              </w:rPr>
              <w:t>～23.5m</w:t>
            </w:r>
            <w:r>
              <w:rPr>
                <w:rFonts w:hint="eastAsia" w:ascii="Times New Roman" w:hAnsi="宋体" w:eastAsia="宋体" w:cs="Times New Roman"/>
                <w:kern w:val="0"/>
                <w:szCs w:val="21"/>
              </w:rPr>
              <w:t>。</w:t>
            </w:r>
          </w:p>
        </w:tc>
      </w:tr>
      <w:tr w14:paraId="08187517">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cantSplit/>
          <w:trHeight w:val="104" w:hRule="atLeast"/>
          <w:jc w:val="center"/>
        </w:trPr>
        <w:tc>
          <w:tcPr>
            <w:tcW w:w="950" w:type="pct"/>
            <w:vAlign w:val="center"/>
          </w:tcPr>
          <w:p w14:paraId="695EEDC5">
            <w:pPr>
              <w:jc w:val="center"/>
              <w:rPr>
                <w:rFonts w:ascii="Times New Roman" w:hAnsi="Times New Roman" w:eastAsia="宋体" w:cs="Times New Roman"/>
                <w:b/>
                <w:szCs w:val="21"/>
              </w:rPr>
            </w:pPr>
            <w:r>
              <w:rPr>
                <w:rFonts w:ascii="Times New Roman" w:hAnsi="Times New Roman" w:eastAsia="宋体" w:cs="Times New Roman"/>
                <w:b/>
                <w:bCs/>
                <w:szCs w:val="21"/>
              </w:rPr>
              <w:t>建设性质</w:t>
            </w:r>
          </w:p>
        </w:tc>
        <w:tc>
          <w:tcPr>
            <w:tcW w:w="4050" w:type="pct"/>
            <w:vAlign w:val="center"/>
          </w:tcPr>
          <w:p w14:paraId="686810B3">
            <w:pPr>
              <w:jc w:val="center"/>
              <w:rPr>
                <w:rFonts w:ascii="Times New Roman" w:hAnsi="Times New Roman" w:eastAsia="宋体" w:cs="Times New Roman"/>
                <w:bCs/>
                <w:szCs w:val="21"/>
              </w:rPr>
            </w:pPr>
            <w:r>
              <w:rPr>
                <w:rFonts w:ascii="Times New Roman" w:hAnsi="Times New Roman" w:eastAsia="宋体" w:cs="Times New Roman"/>
                <w:bCs/>
                <w:szCs w:val="21"/>
              </w:rPr>
              <w:t>改扩建</w:t>
            </w:r>
          </w:p>
        </w:tc>
      </w:tr>
      <w:tr w14:paraId="79F541DA">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950" w:type="pct"/>
            <w:vAlign w:val="center"/>
          </w:tcPr>
          <w:p w14:paraId="2E8878E2">
            <w:pPr>
              <w:jc w:val="center"/>
              <w:rPr>
                <w:rFonts w:ascii="Times New Roman" w:hAnsi="Times New Roman" w:eastAsia="宋体" w:cs="Times New Roman"/>
                <w:b/>
                <w:szCs w:val="21"/>
              </w:rPr>
            </w:pPr>
            <w:r>
              <w:rPr>
                <w:rFonts w:ascii="Times New Roman" w:hAnsi="Times New Roman" w:eastAsia="宋体" w:cs="Times New Roman"/>
                <w:b/>
                <w:szCs w:val="21"/>
              </w:rPr>
              <w:t>永久占地</w:t>
            </w:r>
          </w:p>
        </w:tc>
        <w:tc>
          <w:tcPr>
            <w:tcW w:w="4050" w:type="pct"/>
            <w:vAlign w:val="center"/>
          </w:tcPr>
          <w:p w14:paraId="4EA1D829">
            <w:pPr>
              <w:jc w:val="center"/>
              <w:rPr>
                <w:rFonts w:ascii="Times New Roman" w:hAnsi="Times New Roman" w:eastAsia="宋体" w:cs="Times New Roman"/>
                <w:bCs/>
                <w:szCs w:val="21"/>
              </w:rPr>
            </w:pPr>
            <w:r>
              <w:rPr>
                <w:rFonts w:hint="eastAsia" w:ascii="Times New Roman" w:hAnsi="Times New Roman" w:eastAsia="宋体" w:cs="Times New Roman"/>
                <w:szCs w:val="21"/>
              </w:rPr>
              <w:t>306.32</w:t>
            </w:r>
            <w:r>
              <w:rPr>
                <w:rFonts w:ascii="Times New Roman" w:hAnsi="Times New Roman" w:eastAsia="宋体" w:cs="Times New Roman"/>
                <w:szCs w:val="21"/>
              </w:rPr>
              <w:t>hm</w:t>
            </w:r>
            <w:r>
              <w:rPr>
                <w:rFonts w:ascii="Times New Roman" w:hAnsi="Times New Roman" w:eastAsia="宋体" w:cs="Times New Roman"/>
                <w:szCs w:val="21"/>
                <w:vertAlign w:val="superscript"/>
              </w:rPr>
              <w:t>2</w:t>
            </w:r>
          </w:p>
        </w:tc>
      </w:tr>
      <w:tr w14:paraId="7397731D">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950" w:type="pct"/>
            <w:vAlign w:val="center"/>
          </w:tcPr>
          <w:p w14:paraId="4A59AEC5">
            <w:pPr>
              <w:jc w:val="center"/>
              <w:rPr>
                <w:rFonts w:ascii="Times New Roman" w:hAnsi="Times New Roman" w:eastAsia="宋体" w:cs="Times New Roman"/>
                <w:b/>
                <w:szCs w:val="21"/>
              </w:rPr>
            </w:pPr>
            <w:r>
              <w:rPr>
                <w:rFonts w:ascii="Times New Roman" w:hAnsi="Times New Roman" w:eastAsia="宋体" w:cs="Times New Roman"/>
                <w:b/>
                <w:szCs w:val="21"/>
              </w:rPr>
              <w:t>工程估算总投资</w:t>
            </w:r>
          </w:p>
        </w:tc>
        <w:tc>
          <w:tcPr>
            <w:tcW w:w="4050" w:type="pct"/>
            <w:vAlign w:val="center"/>
          </w:tcPr>
          <w:p w14:paraId="2B142D08">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18.98</w:t>
            </w:r>
            <w:r>
              <w:rPr>
                <w:rFonts w:hint="eastAsia" w:ascii="Times New Roman" w:hAnsi="Times New Roman" w:eastAsia="宋体" w:cs="Times New Roman"/>
                <w:szCs w:val="21"/>
              </w:rPr>
              <w:t>亿元</w:t>
            </w:r>
          </w:p>
        </w:tc>
      </w:tr>
      <w:tr w14:paraId="3403F517">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950" w:type="pct"/>
            <w:vAlign w:val="center"/>
          </w:tcPr>
          <w:p w14:paraId="6DDB9A20">
            <w:pPr>
              <w:jc w:val="center"/>
              <w:rPr>
                <w:rFonts w:ascii="Times New Roman" w:hAnsi="Times New Roman" w:eastAsia="宋体" w:cs="Times New Roman"/>
                <w:b/>
                <w:szCs w:val="21"/>
              </w:rPr>
            </w:pPr>
            <w:r>
              <w:rPr>
                <w:rFonts w:ascii="Times New Roman" w:hAnsi="Times New Roman" w:eastAsia="宋体" w:cs="Times New Roman"/>
                <w:b/>
                <w:szCs w:val="21"/>
              </w:rPr>
              <w:t>建设工期</w:t>
            </w:r>
          </w:p>
        </w:tc>
        <w:tc>
          <w:tcPr>
            <w:tcW w:w="4050" w:type="pct"/>
            <w:vAlign w:val="center"/>
          </w:tcPr>
          <w:p w14:paraId="2954A09B">
            <w:pPr>
              <w:jc w:val="center"/>
              <w:rPr>
                <w:rFonts w:ascii="Times New Roman" w:hAnsi="Times New Roman" w:eastAsia="宋体" w:cs="Times New Roman"/>
                <w:szCs w:val="21"/>
              </w:rPr>
            </w:pPr>
            <w:r>
              <w:rPr>
                <w:rFonts w:ascii="Times New Roman" w:hAnsi="Times New Roman" w:eastAsia="宋体" w:cs="Times New Roman"/>
                <w:kern w:val="0"/>
                <w:szCs w:val="21"/>
              </w:rPr>
              <w:t>2026年～2028年，建设工期2年</w:t>
            </w:r>
          </w:p>
        </w:tc>
      </w:tr>
      <w:tr w14:paraId="4B65036E">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950" w:type="pct"/>
            <w:vAlign w:val="center"/>
          </w:tcPr>
          <w:p w14:paraId="5880A1DB">
            <w:pPr>
              <w:jc w:val="center"/>
              <w:rPr>
                <w:rFonts w:ascii="Times New Roman" w:hAnsi="Times New Roman" w:eastAsia="宋体" w:cs="Times New Roman"/>
                <w:b/>
                <w:szCs w:val="21"/>
              </w:rPr>
            </w:pPr>
            <w:r>
              <w:rPr>
                <w:rFonts w:ascii="Times New Roman" w:hAnsi="Times New Roman" w:eastAsia="宋体" w:cs="Times New Roman"/>
                <w:b/>
                <w:szCs w:val="21"/>
              </w:rPr>
              <w:t>建设单位</w:t>
            </w:r>
          </w:p>
        </w:tc>
        <w:tc>
          <w:tcPr>
            <w:tcW w:w="4050" w:type="pct"/>
            <w:vAlign w:val="center"/>
          </w:tcPr>
          <w:p w14:paraId="0E15A5AA">
            <w:pPr>
              <w:jc w:val="center"/>
              <w:rPr>
                <w:rFonts w:ascii="Times New Roman" w:hAnsi="Times New Roman" w:eastAsia="宋体" w:cs="Times New Roman"/>
                <w:kern w:val="0"/>
                <w:szCs w:val="21"/>
              </w:rPr>
            </w:pPr>
            <w:r>
              <w:rPr>
                <w:rFonts w:hint="eastAsia" w:ascii="Times New Roman" w:hAnsi="Times New Roman" w:eastAsia="宋体" w:cs="Times New Roman"/>
                <w:szCs w:val="21"/>
              </w:rPr>
              <w:t>新疆维吾尔自治区交通建设事务中心</w:t>
            </w:r>
          </w:p>
        </w:tc>
      </w:tr>
    </w:tbl>
    <w:p w14:paraId="483100C9">
      <w:pPr>
        <w:keepNext/>
        <w:keepLines/>
        <w:widowControl w:val="0"/>
        <w:adjustRightInd w:val="0"/>
        <w:spacing w:before="240" w:after="240" w:line="240" w:lineRule="auto"/>
        <w:jc w:val="both"/>
        <w:textAlignment w:val="baseline"/>
        <w:outlineLvl w:val="1"/>
        <w:rPr>
          <w:rFonts w:ascii="Arial" w:hAnsi="Arial" w:eastAsia="黑体" w:cs="Times New Roman"/>
          <w:b/>
          <w:bCs/>
          <w:kern w:val="0"/>
          <w:sz w:val="28"/>
          <w:szCs w:val="32"/>
          <w:lang w:val="en-US" w:eastAsia="zh-CN" w:bidi="ar-SA"/>
        </w:rPr>
      </w:pPr>
      <w:bookmarkStart w:id="84" w:name="_Toc187528227"/>
      <w:r>
        <w:rPr>
          <w:rFonts w:ascii="Times New Roman" w:hAnsi="Times New Roman" w:eastAsia="宋体" w:cs="Times New Roman"/>
          <w:b/>
          <w:bCs/>
          <w:kern w:val="0"/>
          <w:sz w:val="28"/>
          <w:szCs w:val="32"/>
          <w:lang w:val="en-US" w:eastAsia="zh-CN" w:bidi="ar-SA"/>
        </w:rPr>
        <w:t xml:space="preserve">1.2 </w:t>
      </w:r>
      <w:r>
        <w:rPr>
          <w:rFonts w:hint="eastAsia" w:ascii="Times New Roman" w:hAnsi="Times New Roman" w:eastAsia="宋体" w:cs="Times New Roman"/>
          <w:b/>
          <w:bCs/>
          <w:kern w:val="0"/>
          <w:sz w:val="28"/>
          <w:szCs w:val="32"/>
          <w:lang w:val="en-US" w:eastAsia="zh-CN" w:bidi="ar-SA"/>
        </w:rPr>
        <w:t>编制依据</w:t>
      </w:r>
      <w:bookmarkEnd w:id="84"/>
    </w:p>
    <w:p w14:paraId="494FAB08">
      <w:pPr>
        <w:keepNext/>
        <w:keepLines/>
        <w:widowControl w:val="0"/>
        <w:adjustRightInd w:val="0"/>
        <w:spacing w:before="120" w:after="120" w:line="300" w:lineRule="auto"/>
        <w:jc w:val="both"/>
        <w:textAlignment w:val="baseline"/>
        <w:outlineLvl w:val="2"/>
        <w:rPr>
          <w:rFonts w:ascii="Times New Roman" w:hAnsi="Times New Roman" w:eastAsia="宋体" w:cs="Times New Roman"/>
          <w:b/>
          <w:bCs/>
          <w:kern w:val="0"/>
          <w:sz w:val="24"/>
          <w:szCs w:val="32"/>
          <w:lang w:val="en-US" w:eastAsia="zh-CN" w:bidi="ar-SA"/>
        </w:rPr>
      </w:pPr>
      <w:bookmarkStart w:id="85" w:name="_Toc187528228"/>
      <w:bookmarkStart w:id="86" w:name="_Toc175213183"/>
      <w:r>
        <w:rPr>
          <w:rFonts w:ascii="Times New Roman" w:hAnsi="Times New Roman" w:eastAsia="宋体" w:cs="Times New Roman"/>
          <w:b/>
          <w:bCs w:val="0"/>
          <w:kern w:val="0"/>
          <w:sz w:val="24"/>
          <w:szCs w:val="32"/>
          <w:lang w:val="en-US" w:eastAsia="zh-CN" w:bidi="ar-SA"/>
        </w:rPr>
        <w:t xml:space="preserve">1.2.1 </w:t>
      </w:r>
      <w:r>
        <w:rPr>
          <w:rFonts w:hint="eastAsia" w:ascii="Times New Roman" w:hAnsi="Times New Roman" w:eastAsia="宋体" w:cs="Times New Roman"/>
          <w:b/>
          <w:bCs w:val="0"/>
          <w:kern w:val="0"/>
          <w:sz w:val="24"/>
          <w:szCs w:val="32"/>
          <w:lang w:val="en-US" w:eastAsia="zh-CN" w:bidi="ar-SA"/>
        </w:rPr>
        <w:t>法律法规及规章</w:t>
      </w:r>
      <w:bookmarkEnd w:id="85"/>
      <w:bookmarkEnd w:id="86"/>
    </w:p>
    <w:p w14:paraId="06D19268">
      <w:pPr>
        <w:spacing w:line="300" w:lineRule="auto"/>
        <w:ind w:firstLine="480" w:firstLineChars="200"/>
        <w:rPr>
          <w:rFonts w:ascii="Times New Roman" w:hAnsi="Times New Roman" w:eastAsia="宋体" w:cs="Times New Roman"/>
          <w:sz w:val="24"/>
        </w:rPr>
      </w:pPr>
      <w:bookmarkStart w:id="87" w:name="_Hlk175472480"/>
      <w:r>
        <w:rPr>
          <w:rFonts w:hint="eastAsia" w:ascii="Times New Roman" w:hAnsi="Times New Roman" w:eastAsia="宋体" w:cs="Times New Roman"/>
          <w:sz w:val="24"/>
        </w:rPr>
        <w:t>1</w:t>
      </w:r>
      <w:r>
        <w:rPr>
          <w:rFonts w:ascii="Times New Roman" w:hAnsi="Times New Roman" w:eastAsia="宋体" w:cs="Times New Roman"/>
          <w:sz w:val="24"/>
        </w:rPr>
        <w:t>.</w:t>
      </w:r>
      <w:r>
        <w:rPr>
          <w:rFonts w:hint="eastAsia" w:ascii="Times New Roman" w:hAnsi="Times New Roman" w:eastAsia="宋体" w:cs="Times New Roman"/>
          <w:sz w:val="24"/>
        </w:rPr>
        <w:t>《中华人民共和国生态环境法典》</w:t>
      </w:r>
      <w:r>
        <w:rPr>
          <w:rFonts w:ascii="Times New Roman" w:hAnsi="Times New Roman" w:eastAsia="宋体" w:cs="Times New Roman"/>
          <w:sz w:val="24"/>
        </w:rPr>
        <w:t>（实施时间20</w:t>
      </w:r>
      <w:r>
        <w:rPr>
          <w:rFonts w:hint="eastAsia" w:ascii="Times New Roman" w:hAnsi="Times New Roman" w:eastAsia="宋体" w:cs="Times New Roman"/>
          <w:sz w:val="24"/>
          <w:lang w:val="en-US" w:eastAsia="zh-CN"/>
        </w:rPr>
        <w:t>26.</w:t>
      </w:r>
      <w:r>
        <w:rPr>
          <w:rFonts w:ascii="Times New Roman" w:hAnsi="Times New Roman" w:eastAsia="宋体" w:cs="Times New Roman"/>
          <w:sz w:val="24"/>
        </w:rPr>
        <w:t>0</w:t>
      </w:r>
      <w:r>
        <w:rPr>
          <w:rFonts w:hint="eastAsia" w:ascii="Times New Roman" w:hAnsi="Times New Roman" w:eastAsia="宋体" w:cs="Times New Roman"/>
          <w:sz w:val="24"/>
          <w:lang w:val="en-US" w:eastAsia="zh-CN"/>
        </w:rPr>
        <w:t>8</w:t>
      </w:r>
      <w:r>
        <w:rPr>
          <w:rFonts w:ascii="Times New Roman" w:hAnsi="Times New Roman" w:eastAsia="宋体" w:cs="Times New Roman"/>
          <w:sz w:val="24"/>
        </w:rPr>
        <w:t>.</w:t>
      </w:r>
      <w:r>
        <w:rPr>
          <w:rFonts w:hint="eastAsia" w:ascii="Times New Roman" w:hAnsi="Times New Roman" w:eastAsia="宋体" w:cs="Times New Roman"/>
          <w:sz w:val="24"/>
          <w:lang w:val="en-US" w:eastAsia="zh-CN"/>
        </w:rPr>
        <w:t>15</w:t>
      </w:r>
      <w:r>
        <w:rPr>
          <w:rFonts w:ascii="Times New Roman" w:hAnsi="Times New Roman" w:eastAsia="宋体" w:cs="Times New Roman"/>
          <w:sz w:val="24"/>
        </w:rPr>
        <w:t>）；</w:t>
      </w:r>
    </w:p>
    <w:p w14:paraId="496E2CD1">
      <w:pPr>
        <w:spacing w:line="300"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lang w:val="en-US" w:eastAsia="zh-CN"/>
        </w:rPr>
        <w:t>2</w:t>
      </w:r>
      <w:r>
        <w:rPr>
          <w:rFonts w:hint="eastAsia" w:ascii="Times New Roman" w:hAnsi="Times New Roman" w:eastAsia="宋体" w:cs="Times New Roman"/>
          <w:sz w:val="24"/>
        </w:rPr>
        <w:t>.《建设项目环境保护管理条例》（修订实施时间</w:t>
      </w:r>
      <w:r>
        <w:rPr>
          <w:rFonts w:ascii="Times New Roman" w:hAnsi="Times New Roman" w:eastAsia="宋体" w:cs="Times New Roman"/>
          <w:sz w:val="24"/>
        </w:rPr>
        <w:t>2017.07.16</w:t>
      </w:r>
      <w:r>
        <w:rPr>
          <w:rFonts w:hint="eastAsia" w:ascii="Times New Roman" w:hAnsi="Times New Roman" w:eastAsia="宋体" w:cs="Times New Roman"/>
          <w:sz w:val="24"/>
        </w:rPr>
        <w:t>）；</w:t>
      </w:r>
    </w:p>
    <w:p w14:paraId="27387946">
      <w:pPr>
        <w:spacing w:line="300"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lang w:val="en-US" w:eastAsia="zh-CN"/>
        </w:rPr>
        <w:t>3</w:t>
      </w:r>
      <w:r>
        <w:rPr>
          <w:rFonts w:hint="eastAsia" w:ascii="Times New Roman" w:hAnsi="Times New Roman" w:eastAsia="宋体" w:cs="Times New Roman"/>
          <w:sz w:val="24"/>
        </w:rPr>
        <w:t>.</w:t>
      </w:r>
      <w:r>
        <w:rPr>
          <w:rFonts w:ascii="Times New Roman" w:hAnsi="Times New Roman" w:eastAsia="宋体" w:cs="Times New Roman"/>
          <w:sz w:val="24"/>
        </w:rPr>
        <w:t>《新疆维吾尔自治区环境保护条例》（</w:t>
      </w:r>
      <w:r>
        <w:rPr>
          <w:rFonts w:hint="eastAsia" w:ascii="Times New Roman" w:hAnsi="Times New Roman" w:eastAsia="宋体" w:cs="Times New Roman"/>
          <w:sz w:val="24"/>
        </w:rPr>
        <w:t>修订实施时间</w:t>
      </w:r>
      <w:r>
        <w:rPr>
          <w:rFonts w:ascii="Times New Roman" w:hAnsi="Times New Roman" w:eastAsia="宋体" w:cs="Times New Roman"/>
          <w:sz w:val="24"/>
        </w:rPr>
        <w:t>201</w:t>
      </w:r>
      <w:r>
        <w:rPr>
          <w:rFonts w:hint="eastAsia" w:ascii="Times New Roman" w:hAnsi="Times New Roman" w:eastAsia="宋体" w:cs="Times New Roman"/>
          <w:sz w:val="24"/>
        </w:rPr>
        <w:t>8</w:t>
      </w:r>
      <w:r>
        <w:rPr>
          <w:rFonts w:ascii="Times New Roman" w:hAnsi="Times New Roman" w:eastAsia="宋体" w:cs="Times New Roman"/>
          <w:sz w:val="24"/>
        </w:rPr>
        <w:t>.0</w:t>
      </w:r>
      <w:r>
        <w:rPr>
          <w:rFonts w:hint="eastAsia" w:ascii="Times New Roman" w:hAnsi="Times New Roman" w:eastAsia="宋体" w:cs="Times New Roman"/>
          <w:sz w:val="24"/>
        </w:rPr>
        <w:t>9</w:t>
      </w:r>
      <w:r>
        <w:rPr>
          <w:rFonts w:ascii="Times New Roman" w:hAnsi="Times New Roman" w:eastAsia="宋体" w:cs="Times New Roman"/>
          <w:sz w:val="24"/>
        </w:rPr>
        <w:t>.</w:t>
      </w:r>
      <w:r>
        <w:rPr>
          <w:rFonts w:hint="eastAsia" w:ascii="Times New Roman" w:hAnsi="Times New Roman" w:eastAsia="宋体" w:cs="Times New Roman"/>
          <w:sz w:val="24"/>
        </w:rPr>
        <w:t>21</w:t>
      </w:r>
      <w:r>
        <w:rPr>
          <w:rFonts w:ascii="Times New Roman" w:hAnsi="Times New Roman" w:eastAsia="宋体" w:cs="Times New Roman"/>
          <w:sz w:val="24"/>
        </w:rPr>
        <w:t>）</w:t>
      </w:r>
      <w:r>
        <w:rPr>
          <w:rFonts w:hint="eastAsia" w:ascii="Times New Roman" w:hAnsi="Times New Roman" w:eastAsia="宋体" w:cs="Times New Roman"/>
          <w:sz w:val="24"/>
        </w:rPr>
        <w:t>；</w:t>
      </w:r>
    </w:p>
    <w:bookmarkEnd w:id="87"/>
    <w:p w14:paraId="11B92CAD">
      <w:pPr>
        <w:spacing w:line="300"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lang w:val="en-US" w:eastAsia="zh-CN"/>
        </w:rPr>
        <w:t>4</w:t>
      </w:r>
      <w:r>
        <w:rPr>
          <w:rFonts w:ascii="Times New Roman" w:hAnsi="Times New Roman" w:eastAsia="宋体" w:cs="Times New Roman"/>
          <w:sz w:val="24"/>
        </w:rPr>
        <w:t>.</w:t>
      </w:r>
      <w:r>
        <w:rPr>
          <w:rFonts w:hint="eastAsia" w:ascii="Times New Roman" w:hAnsi="Times New Roman" w:eastAsia="宋体" w:cs="Times New Roman"/>
          <w:sz w:val="24"/>
        </w:rPr>
        <w:t>《关于公路、铁路（含轻轨）等建设项目环境影响评价中环境噪声有关问题的通知》（国家环境保护总局，环发[2003]94号，2003.05.27）；</w:t>
      </w:r>
    </w:p>
    <w:p w14:paraId="632D8D87">
      <w:pPr>
        <w:spacing w:line="300"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lang w:val="en-US" w:eastAsia="zh-CN"/>
        </w:rPr>
        <w:t>5</w:t>
      </w:r>
      <w:r>
        <w:rPr>
          <w:rFonts w:ascii="Times New Roman" w:hAnsi="Times New Roman" w:eastAsia="宋体" w:cs="Times New Roman"/>
          <w:sz w:val="24"/>
        </w:rPr>
        <w:t>.</w:t>
      </w:r>
      <w:r>
        <w:rPr>
          <w:rFonts w:hint="eastAsia" w:ascii="Times New Roman" w:hAnsi="Times New Roman" w:eastAsia="宋体" w:cs="Times New Roman"/>
          <w:sz w:val="24"/>
        </w:rPr>
        <w:t>《关于发布</w:t>
      </w:r>
      <w:r>
        <w:rPr>
          <w:rFonts w:hint="eastAsia" w:ascii="Times New Roman" w:hAnsi="Times New Roman" w:eastAsia="宋体" w:cs="Times New Roman"/>
          <w:sz w:val="24"/>
          <w:lang w:eastAsia="zh-CN"/>
        </w:rPr>
        <w:t>〈</w:t>
      </w:r>
      <w:r>
        <w:rPr>
          <w:rFonts w:hint="eastAsia" w:ascii="Times New Roman" w:hAnsi="Times New Roman" w:eastAsia="宋体" w:cs="Times New Roman"/>
          <w:sz w:val="24"/>
        </w:rPr>
        <w:t>地面交通噪声污染防治技术政策</w:t>
      </w:r>
      <w:r>
        <w:rPr>
          <w:rFonts w:hint="eastAsia" w:ascii="Times New Roman" w:hAnsi="Times New Roman" w:eastAsia="宋体" w:cs="Times New Roman"/>
          <w:sz w:val="24"/>
          <w:lang w:eastAsia="zh-CN"/>
        </w:rPr>
        <w:t>〉的通知》</w:t>
      </w:r>
      <w:r>
        <w:rPr>
          <w:rFonts w:hint="eastAsia" w:ascii="Times New Roman" w:hAnsi="Times New Roman" w:eastAsia="宋体" w:cs="Times New Roman"/>
          <w:sz w:val="24"/>
        </w:rPr>
        <w:t>（环发[2010]7号，2010.01.11）；</w:t>
      </w:r>
    </w:p>
    <w:p w14:paraId="7C2A7921">
      <w:pPr>
        <w:spacing w:line="300"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lang w:val="en-US" w:eastAsia="zh-CN"/>
        </w:rPr>
        <w:t>6</w:t>
      </w:r>
      <w:r>
        <w:rPr>
          <w:rFonts w:hint="eastAsia" w:ascii="Times New Roman" w:hAnsi="Times New Roman" w:eastAsia="宋体" w:cs="Times New Roman"/>
          <w:sz w:val="24"/>
        </w:rPr>
        <w:t>.</w:t>
      </w:r>
      <w:r>
        <w:rPr>
          <w:rFonts w:ascii="Times New Roman" w:hAnsi="Times New Roman" w:eastAsia="宋体" w:cs="Times New Roman"/>
          <w:sz w:val="24"/>
        </w:rPr>
        <w:t>《关于加强环境噪声污染防治工作改善城乡声环境质量的指导意见》（环</w:t>
      </w:r>
    </w:p>
    <w:p w14:paraId="4CB0AB18">
      <w:pPr>
        <w:spacing w:line="300" w:lineRule="auto"/>
        <w:rPr>
          <w:rFonts w:ascii="Times New Roman" w:hAnsi="Times New Roman" w:eastAsia="宋体" w:cs="Times New Roman"/>
          <w:sz w:val="24"/>
        </w:rPr>
      </w:pPr>
      <w:r>
        <w:rPr>
          <w:rFonts w:ascii="Times New Roman" w:hAnsi="Times New Roman" w:eastAsia="宋体" w:cs="Times New Roman"/>
          <w:sz w:val="24"/>
        </w:rPr>
        <w:t>发[2010]144 号，2010.12.15）；</w:t>
      </w:r>
    </w:p>
    <w:p w14:paraId="2334B981">
      <w:pPr>
        <w:spacing w:line="300"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lang w:val="en-US" w:eastAsia="zh-CN"/>
        </w:rPr>
        <w:t>7</w:t>
      </w:r>
      <w:r>
        <w:rPr>
          <w:rFonts w:ascii="Times New Roman" w:hAnsi="Times New Roman" w:eastAsia="宋体" w:cs="Times New Roman"/>
          <w:sz w:val="24"/>
        </w:rPr>
        <w:t>.</w:t>
      </w:r>
      <w:bookmarkStart w:id="88" w:name="_Hlk175472678"/>
      <w:r>
        <w:rPr>
          <w:rFonts w:ascii="Times New Roman" w:hAnsi="Times New Roman" w:eastAsia="宋体" w:cs="Times New Roman"/>
          <w:sz w:val="24"/>
        </w:rPr>
        <w:t>《关于规范火电等七个行业建设项目环境影响评价文件审批的通知》（环办[2015]112号，2015.12.22）</w:t>
      </w:r>
      <w:bookmarkEnd w:id="88"/>
      <w:r>
        <w:rPr>
          <w:rFonts w:ascii="Times New Roman" w:hAnsi="Times New Roman" w:eastAsia="宋体" w:cs="Times New Roman"/>
          <w:sz w:val="24"/>
        </w:rPr>
        <w:t>；</w:t>
      </w:r>
    </w:p>
    <w:p w14:paraId="4D2DB57D">
      <w:pPr>
        <w:spacing w:line="300" w:lineRule="auto"/>
        <w:ind w:firstLine="480" w:firstLineChars="200"/>
        <w:rPr>
          <w:rFonts w:hint="eastAsia" w:ascii="Times New Roman" w:hAnsi="Times New Roman" w:eastAsia="宋体" w:cs="Times New Roman"/>
          <w:sz w:val="24"/>
          <w:lang w:eastAsia="zh-CN"/>
        </w:rPr>
      </w:pPr>
      <w:r>
        <w:rPr>
          <w:rFonts w:hint="eastAsia" w:ascii="Times New Roman" w:hAnsi="Times New Roman" w:eastAsia="宋体" w:cs="Times New Roman"/>
          <w:sz w:val="24"/>
          <w:lang w:val="en-US" w:eastAsia="zh-CN"/>
        </w:rPr>
        <w:t>8</w:t>
      </w:r>
      <w:r>
        <w:rPr>
          <w:rFonts w:ascii="Times New Roman" w:hAnsi="Times New Roman" w:eastAsia="宋体" w:cs="Times New Roman"/>
          <w:sz w:val="24"/>
        </w:rPr>
        <w:t>.《关于</w:t>
      </w:r>
      <w:r>
        <w:rPr>
          <w:rFonts w:hint="eastAsia" w:ascii="Times New Roman" w:hAnsi="Times New Roman" w:eastAsia="宋体" w:cs="Times New Roman"/>
          <w:sz w:val="24"/>
        </w:rPr>
        <w:t>进一步加强公路规划建设和环评工作推动绿色低碳转型发展的通知</w:t>
      </w:r>
      <w:r>
        <w:rPr>
          <w:rFonts w:ascii="Times New Roman" w:hAnsi="Times New Roman" w:eastAsia="宋体" w:cs="Times New Roman"/>
          <w:sz w:val="24"/>
        </w:rPr>
        <w:t>》</w:t>
      </w:r>
      <w:r>
        <w:rPr>
          <w:rFonts w:hint="eastAsia" w:ascii="Times New Roman" w:hAnsi="Times New Roman" w:eastAsia="宋体" w:cs="Times New Roman"/>
          <w:sz w:val="24"/>
        </w:rPr>
        <w:t>（交办规划函</w:t>
      </w:r>
      <w:r>
        <w:rPr>
          <w:rFonts w:ascii="Times New Roman" w:hAnsi="Times New Roman" w:eastAsia="宋体" w:cs="Times New Roman"/>
          <w:sz w:val="24"/>
        </w:rPr>
        <w:t>[2025]227号</w:t>
      </w:r>
      <w:r>
        <w:rPr>
          <w:rFonts w:hint="eastAsia" w:ascii="Times New Roman" w:hAnsi="Times New Roman" w:eastAsia="宋体" w:cs="Times New Roman"/>
          <w:sz w:val="24"/>
        </w:rPr>
        <w:t>，</w:t>
      </w:r>
      <w:r>
        <w:rPr>
          <w:rFonts w:ascii="Times New Roman" w:hAnsi="Times New Roman" w:eastAsia="宋体" w:cs="Times New Roman"/>
          <w:sz w:val="24"/>
        </w:rPr>
        <w:t>2025.01.26</w:t>
      </w:r>
      <w:r>
        <w:rPr>
          <w:rFonts w:hint="eastAsia" w:ascii="Times New Roman" w:hAnsi="Times New Roman" w:eastAsia="宋体" w:cs="Times New Roman"/>
          <w:sz w:val="24"/>
        </w:rPr>
        <w:t>）</w:t>
      </w:r>
      <w:r>
        <w:rPr>
          <w:rFonts w:hint="eastAsia" w:ascii="Times New Roman" w:hAnsi="Times New Roman" w:eastAsia="宋体" w:cs="Times New Roman"/>
          <w:sz w:val="24"/>
          <w:lang w:eastAsia="zh-CN"/>
        </w:rPr>
        <w:t>；</w:t>
      </w:r>
    </w:p>
    <w:p w14:paraId="3180ED18">
      <w:pPr>
        <w:spacing w:line="300" w:lineRule="auto"/>
        <w:ind w:firstLine="480" w:firstLineChars="200"/>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9.《关于印发〈“十四五”噪声污染防治行动计划〉的通知》（环大气[2023]1 号，2013.01.03）”。</w:t>
      </w:r>
    </w:p>
    <w:p w14:paraId="3AF64138">
      <w:pPr>
        <w:keepNext/>
        <w:keepLines/>
        <w:widowControl w:val="0"/>
        <w:adjustRightInd w:val="0"/>
        <w:spacing w:before="120" w:after="120" w:line="300" w:lineRule="auto"/>
        <w:jc w:val="both"/>
        <w:textAlignment w:val="baseline"/>
        <w:outlineLvl w:val="2"/>
        <w:rPr>
          <w:rFonts w:ascii="Times New Roman" w:hAnsi="Times New Roman" w:eastAsia="宋体" w:cs="Times New Roman"/>
          <w:b/>
          <w:bCs w:val="0"/>
          <w:kern w:val="0"/>
          <w:sz w:val="24"/>
          <w:szCs w:val="32"/>
          <w:lang w:val="en-US" w:eastAsia="zh-CN" w:bidi="ar-SA"/>
        </w:rPr>
      </w:pPr>
      <w:bookmarkStart w:id="89" w:name="_Toc175213184"/>
      <w:bookmarkStart w:id="90" w:name="_Toc187528229"/>
      <w:r>
        <w:rPr>
          <w:rFonts w:ascii="Times New Roman" w:hAnsi="Times New Roman" w:eastAsia="宋体" w:cs="Times New Roman"/>
          <w:b/>
          <w:bCs w:val="0"/>
          <w:kern w:val="0"/>
          <w:sz w:val="24"/>
          <w:szCs w:val="32"/>
          <w:lang w:val="en-US" w:eastAsia="zh-CN" w:bidi="ar-SA"/>
        </w:rPr>
        <w:t xml:space="preserve">1.2.2 </w:t>
      </w:r>
      <w:r>
        <w:rPr>
          <w:rFonts w:hint="eastAsia" w:ascii="Times New Roman" w:hAnsi="Times New Roman" w:eastAsia="宋体" w:cs="Times New Roman"/>
          <w:b/>
          <w:bCs w:val="0"/>
          <w:kern w:val="0"/>
          <w:sz w:val="24"/>
          <w:szCs w:val="32"/>
          <w:lang w:val="en-US" w:eastAsia="zh-CN" w:bidi="ar-SA"/>
        </w:rPr>
        <w:t>技术标准</w:t>
      </w:r>
      <w:bookmarkEnd w:id="89"/>
      <w:bookmarkEnd w:id="90"/>
    </w:p>
    <w:p w14:paraId="492C37A2">
      <w:pPr>
        <w:spacing w:line="300" w:lineRule="auto"/>
        <w:ind w:firstLine="480" w:firstLineChars="200"/>
        <w:rPr>
          <w:rFonts w:ascii="Times New Roman" w:hAnsi="Times New Roman" w:eastAsia="宋体" w:cs="Times New Roman"/>
          <w:sz w:val="24"/>
        </w:rPr>
      </w:pPr>
      <w:bookmarkStart w:id="91" w:name="_Hlk175475267"/>
      <w:r>
        <w:rPr>
          <w:rFonts w:hint="eastAsia" w:ascii="Times New Roman" w:hAnsi="Times New Roman" w:eastAsia="宋体" w:cs="Times New Roman"/>
          <w:sz w:val="24"/>
        </w:rPr>
        <w:t>1</w:t>
      </w:r>
      <w:r>
        <w:rPr>
          <w:rFonts w:ascii="Times New Roman" w:hAnsi="Times New Roman" w:eastAsia="宋体" w:cs="Times New Roman"/>
          <w:sz w:val="24"/>
        </w:rPr>
        <w:t>.</w:t>
      </w:r>
      <w:r>
        <w:rPr>
          <w:rFonts w:hint="eastAsia" w:ascii="Times New Roman" w:hAnsi="Times New Roman" w:eastAsia="宋体" w:cs="Times New Roman"/>
          <w:sz w:val="24"/>
        </w:rPr>
        <w:t>《环境影响评价技术导则 总纲》（HJ 2.1-2016）；</w:t>
      </w:r>
    </w:p>
    <w:bookmarkEnd w:id="91"/>
    <w:p w14:paraId="1F6A4EF8">
      <w:pPr>
        <w:spacing w:line="300"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2</w:t>
      </w:r>
      <w:r>
        <w:rPr>
          <w:rFonts w:ascii="Times New Roman" w:hAnsi="Times New Roman" w:eastAsia="宋体" w:cs="Times New Roman"/>
          <w:sz w:val="24"/>
        </w:rPr>
        <w:t>.</w:t>
      </w:r>
      <w:r>
        <w:rPr>
          <w:rFonts w:hint="eastAsia" w:ascii="Times New Roman" w:hAnsi="Times New Roman" w:eastAsia="宋体" w:cs="Times New Roman"/>
          <w:sz w:val="24"/>
        </w:rPr>
        <w:t>《环境影响评价技术导则 声环境》（HJ 2.4-2021）；</w:t>
      </w:r>
    </w:p>
    <w:p w14:paraId="59089672">
      <w:pPr>
        <w:spacing w:line="300"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3</w:t>
      </w:r>
      <w:r>
        <w:rPr>
          <w:rFonts w:ascii="Times New Roman" w:hAnsi="Times New Roman" w:eastAsia="宋体" w:cs="Times New Roman"/>
          <w:sz w:val="24"/>
        </w:rPr>
        <w:t>.</w:t>
      </w:r>
      <w:bookmarkStart w:id="92" w:name="_Hlk175475725"/>
      <w:r>
        <w:rPr>
          <w:rFonts w:hint="eastAsia" w:ascii="Times New Roman" w:hAnsi="Times New Roman" w:eastAsia="宋体" w:cs="Times New Roman"/>
          <w:sz w:val="24"/>
        </w:rPr>
        <w:t>《环境影响评价技术导则 公路建设项目》（H</w:t>
      </w:r>
      <w:r>
        <w:rPr>
          <w:rFonts w:ascii="Times New Roman" w:hAnsi="Times New Roman" w:eastAsia="宋体" w:cs="Times New Roman"/>
          <w:sz w:val="24"/>
        </w:rPr>
        <w:t>J1358-2024</w:t>
      </w:r>
      <w:r>
        <w:rPr>
          <w:rFonts w:hint="eastAsia" w:ascii="Times New Roman" w:hAnsi="Times New Roman" w:eastAsia="宋体" w:cs="Times New Roman"/>
          <w:sz w:val="24"/>
        </w:rPr>
        <w:t>）</w:t>
      </w:r>
      <w:bookmarkEnd w:id="92"/>
      <w:r>
        <w:rPr>
          <w:rFonts w:hint="eastAsia" w:ascii="Times New Roman" w:hAnsi="Times New Roman" w:eastAsia="宋体" w:cs="Times New Roman"/>
          <w:sz w:val="24"/>
        </w:rPr>
        <w:t>；</w:t>
      </w:r>
    </w:p>
    <w:p w14:paraId="304FD994">
      <w:pPr>
        <w:spacing w:line="300"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4</w:t>
      </w:r>
      <w:r>
        <w:rPr>
          <w:rFonts w:ascii="Times New Roman" w:hAnsi="Times New Roman" w:eastAsia="宋体" w:cs="Times New Roman"/>
          <w:sz w:val="24"/>
        </w:rPr>
        <w:t>.</w:t>
      </w:r>
      <w:r>
        <w:rPr>
          <w:rFonts w:hint="eastAsia" w:ascii="Times New Roman" w:hAnsi="Times New Roman" w:eastAsia="宋体" w:cs="Times New Roman"/>
          <w:sz w:val="24"/>
        </w:rPr>
        <w:t>《声环境功能区划分技术规范》（GB/T 15190-2014）；</w:t>
      </w:r>
    </w:p>
    <w:p w14:paraId="5997CA4C">
      <w:pPr>
        <w:spacing w:line="300"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5.《环境噪声与振动控制工程技术导则》（HJ2034-2013）；</w:t>
      </w:r>
    </w:p>
    <w:p w14:paraId="2F32C323">
      <w:pPr>
        <w:spacing w:line="300"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6.《公路环境保护设计规范》（JTG B04-2010）。</w:t>
      </w:r>
    </w:p>
    <w:p w14:paraId="6CEC3722">
      <w:pPr>
        <w:keepNext/>
        <w:keepLines/>
        <w:widowControl w:val="0"/>
        <w:adjustRightInd w:val="0"/>
        <w:spacing w:before="240" w:after="240" w:line="240" w:lineRule="auto"/>
        <w:jc w:val="both"/>
        <w:textAlignment w:val="baseline"/>
        <w:outlineLvl w:val="1"/>
        <w:rPr>
          <w:rFonts w:ascii="Arial" w:hAnsi="Arial" w:eastAsia="黑体" w:cs="Times New Roman"/>
          <w:b/>
          <w:bCs/>
          <w:kern w:val="0"/>
          <w:sz w:val="28"/>
          <w:szCs w:val="32"/>
          <w:lang w:val="en-US" w:eastAsia="zh-CN" w:bidi="ar-SA"/>
        </w:rPr>
      </w:pPr>
      <w:bookmarkStart w:id="93" w:name="_Toc187528230"/>
      <w:r>
        <w:rPr>
          <w:rFonts w:ascii="Times New Roman" w:hAnsi="Times New Roman" w:eastAsia="宋体" w:cs="Times New Roman"/>
          <w:b/>
          <w:bCs/>
          <w:kern w:val="0"/>
          <w:sz w:val="28"/>
          <w:szCs w:val="32"/>
          <w:lang w:val="en-US" w:eastAsia="zh-CN" w:bidi="ar-SA"/>
        </w:rPr>
        <w:t xml:space="preserve">1.3 </w:t>
      </w:r>
      <w:r>
        <w:rPr>
          <w:rFonts w:hint="eastAsia" w:ascii="Times New Roman" w:hAnsi="Times New Roman" w:eastAsia="宋体" w:cs="Times New Roman"/>
          <w:b/>
          <w:bCs/>
          <w:kern w:val="0"/>
          <w:sz w:val="28"/>
          <w:szCs w:val="32"/>
          <w:lang w:val="en-US" w:eastAsia="zh-CN" w:bidi="ar-SA"/>
        </w:rPr>
        <w:t>评价内容及评价工作重点</w:t>
      </w:r>
      <w:bookmarkEnd w:id="93"/>
    </w:p>
    <w:p w14:paraId="7AF49105">
      <w:pPr>
        <w:keepNext/>
        <w:keepLines/>
        <w:widowControl w:val="0"/>
        <w:adjustRightInd w:val="0"/>
        <w:spacing w:before="120" w:after="120" w:line="300" w:lineRule="auto"/>
        <w:jc w:val="both"/>
        <w:textAlignment w:val="baseline"/>
        <w:outlineLvl w:val="2"/>
        <w:rPr>
          <w:rFonts w:ascii="Times New Roman" w:hAnsi="Times New Roman" w:eastAsia="宋体" w:cs="Times New Roman"/>
          <w:b/>
          <w:bCs/>
          <w:kern w:val="0"/>
          <w:sz w:val="24"/>
          <w:szCs w:val="32"/>
          <w:lang w:val="en-US" w:eastAsia="zh-CN" w:bidi="ar-SA"/>
        </w:rPr>
      </w:pPr>
      <w:bookmarkStart w:id="94" w:name="_Toc175213186"/>
      <w:bookmarkStart w:id="95" w:name="_Toc187528231"/>
      <w:r>
        <w:rPr>
          <w:rFonts w:ascii="Times New Roman" w:hAnsi="Times New Roman" w:eastAsia="宋体" w:cs="Times New Roman"/>
          <w:b/>
          <w:bCs w:val="0"/>
          <w:kern w:val="0"/>
          <w:sz w:val="24"/>
          <w:szCs w:val="32"/>
          <w:lang w:val="en-US" w:eastAsia="zh-CN" w:bidi="ar-SA"/>
        </w:rPr>
        <w:t xml:space="preserve">1.3.1 </w:t>
      </w:r>
      <w:r>
        <w:rPr>
          <w:rFonts w:hint="eastAsia" w:ascii="Times New Roman" w:hAnsi="Times New Roman" w:eastAsia="宋体" w:cs="Times New Roman"/>
          <w:b/>
          <w:bCs w:val="0"/>
          <w:kern w:val="0"/>
          <w:sz w:val="24"/>
          <w:szCs w:val="32"/>
          <w:lang w:val="en-US" w:eastAsia="zh-CN" w:bidi="ar-SA"/>
        </w:rPr>
        <w:t>评价工作内容</w:t>
      </w:r>
      <w:bookmarkEnd w:id="94"/>
      <w:bookmarkEnd w:id="95"/>
    </w:p>
    <w:p w14:paraId="48C318D2">
      <w:pPr>
        <w:spacing w:line="300"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根据拟建项目路线布设情况及外业踏勘、调研成果，确定本次声环境影响评价工作的主要内容如下：</w:t>
      </w:r>
    </w:p>
    <w:p w14:paraId="282D8900">
      <w:pPr>
        <w:spacing w:line="30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1.</w:t>
      </w:r>
      <w:r>
        <w:rPr>
          <w:rFonts w:hint="eastAsia" w:ascii="Times New Roman" w:hAnsi="Times New Roman" w:eastAsia="宋体" w:cs="Times New Roman"/>
          <w:sz w:val="24"/>
        </w:rPr>
        <w:t xml:space="preserve"> 工程分析</w:t>
      </w:r>
    </w:p>
    <w:p w14:paraId="4B04F8E9">
      <w:pPr>
        <w:spacing w:line="30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根据设计成果综述工程概况，</w:t>
      </w:r>
      <w:r>
        <w:rPr>
          <w:rFonts w:hint="eastAsia" w:ascii="Times New Roman" w:hAnsi="Times New Roman" w:eastAsia="宋体" w:cs="Times New Roman"/>
          <w:sz w:val="24"/>
        </w:rPr>
        <w:t>进行工程噪声污染源分析，并对施工期及营运期主要噪声污染排放源强进行分析。</w:t>
      </w:r>
    </w:p>
    <w:p w14:paraId="4B280CEF">
      <w:pPr>
        <w:spacing w:line="30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2.</w:t>
      </w:r>
      <w:r>
        <w:rPr>
          <w:rFonts w:hint="eastAsia" w:ascii="Times New Roman" w:hAnsi="Times New Roman" w:eastAsia="宋体" w:cs="Times New Roman"/>
          <w:sz w:val="24"/>
        </w:rPr>
        <w:t xml:space="preserve"> 声环境影响评价</w:t>
      </w:r>
    </w:p>
    <w:p w14:paraId="3ED33CC6">
      <w:pPr>
        <w:spacing w:line="300"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在现状监测和评价的基础上，按相应的声环境质量标准对拟建公路声环境质量现状进行评价，分析、预测工程对沿线声环境质量造成的影响，并提出防治和减缓措施，为施工期和营运期噪声治理工程和环境管理提供依据。</w:t>
      </w:r>
    </w:p>
    <w:p w14:paraId="03A9E2E7">
      <w:pPr>
        <w:keepNext/>
        <w:keepLines/>
        <w:widowControl w:val="0"/>
        <w:adjustRightInd w:val="0"/>
        <w:spacing w:before="120" w:after="120" w:line="300" w:lineRule="auto"/>
        <w:jc w:val="both"/>
        <w:textAlignment w:val="baseline"/>
        <w:outlineLvl w:val="2"/>
        <w:rPr>
          <w:rFonts w:ascii="Times New Roman" w:hAnsi="Times New Roman" w:eastAsia="宋体" w:cs="Times New Roman"/>
          <w:b/>
          <w:bCs/>
          <w:kern w:val="0"/>
          <w:sz w:val="24"/>
          <w:szCs w:val="32"/>
          <w:lang w:val="en-US" w:eastAsia="zh-CN" w:bidi="ar-SA"/>
        </w:rPr>
      </w:pPr>
      <w:bookmarkStart w:id="96" w:name="_Toc224237274"/>
      <w:bookmarkStart w:id="97" w:name="_Toc224061132"/>
      <w:bookmarkStart w:id="98" w:name="_Toc224061131"/>
      <w:r>
        <w:rPr>
          <w:rFonts w:ascii="Times New Roman" w:hAnsi="Times New Roman" w:eastAsia="宋体" w:cs="Times New Roman"/>
          <w:b/>
          <w:bCs w:val="0"/>
          <w:kern w:val="0"/>
          <w:sz w:val="24"/>
          <w:szCs w:val="32"/>
          <w:lang w:val="en-US" w:eastAsia="zh-CN" w:bidi="ar-SA"/>
        </w:rPr>
        <w:t>1.3.</w:t>
      </w:r>
      <w:r>
        <w:rPr>
          <w:rFonts w:hint="eastAsia" w:ascii="Times New Roman" w:hAnsi="Times New Roman" w:eastAsia="宋体" w:cs="Times New Roman"/>
          <w:b/>
          <w:bCs w:val="0"/>
          <w:kern w:val="0"/>
          <w:sz w:val="24"/>
          <w:szCs w:val="32"/>
          <w:lang w:val="en-US" w:eastAsia="zh-CN" w:bidi="ar-SA"/>
        </w:rPr>
        <w:t>2</w:t>
      </w:r>
      <w:r>
        <w:rPr>
          <w:rFonts w:ascii="Times New Roman" w:hAnsi="Times New Roman" w:eastAsia="宋体" w:cs="Times New Roman"/>
          <w:b/>
          <w:bCs w:val="0"/>
          <w:kern w:val="0"/>
          <w:sz w:val="24"/>
          <w:szCs w:val="32"/>
          <w:lang w:val="en-US" w:eastAsia="zh-CN" w:bidi="ar-SA"/>
        </w:rPr>
        <w:t xml:space="preserve"> </w:t>
      </w:r>
      <w:r>
        <w:rPr>
          <w:rFonts w:hint="eastAsia" w:ascii="Times New Roman" w:hAnsi="Times New Roman" w:eastAsia="宋体" w:cs="Times New Roman"/>
          <w:b/>
          <w:bCs w:val="0"/>
          <w:kern w:val="0"/>
          <w:sz w:val="24"/>
          <w:szCs w:val="32"/>
          <w:lang w:val="en-US" w:eastAsia="zh-CN" w:bidi="ar-SA"/>
        </w:rPr>
        <w:t>评价工作重点</w:t>
      </w:r>
      <w:bookmarkEnd w:id="96"/>
      <w:bookmarkEnd w:id="97"/>
    </w:p>
    <w:p w14:paraId="41C18B20">
      <w:pPr>
        <w:spacing w:line="300"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以营运期交通噪声影响评价为重点的声环境影响评价。</w:t>
      </w:r>
    </w:p>
    <w:p w14:paraId="159859D3">
      <w:pPr>
        <w:keepNext/>
        <w:keepLines/>
        <w:widowControl w:val="0"/>
        <w:adjustRightInd w:val="0"/>
        <w:spacing w:before="240" w:after="240" w:line="240" w:lineRule="auto"/>
        <w:jc w:val="both"/>
        <w:textAlignment w:val="baseline"/>
        <w:outlineLvl w:val="1"/>
        <w:rPr>
          <w:rFonts w:ascii="Times New Roman" w:hAnsi="Times New Roman" w:eastAsia="宋体" w:cs="Times New Roman"/>
          <w:b/>
          <w:bCs/>
          <w:kern w:val="0"/>
          <w:sz w:val="28"/>
          <w:szCs w:val="32"/>
          <w:lang w:val="en-US" w:eastAsia="zh-CN" w:bidi="ar-SA"/>
        </w:rPr>
      </w:pPr>
      <w:bookmarkStart w:id="99" w:name="_Toc217466230"/>
      <w:bookmarkStart w:id="100" w:name="_Toc93650322"/>
      <w:bookmarkStart w:id="101" w:name="_Toc163738652"/>
      <w:bookmarkStart w:id="102" w:name="_Toc224237275"/>
      <w:r>
        <w:rPr>
          <w:rFonts w:ascii="Times New Roman" w:hAnsi="Times New Roman" w:eastAsia="宋体" w:cs="Times New Roman"/>
          <w:b/>
          <w:bCs/>
          <w:kern w:val="0"/>
          <w:sz w:val="28"/>
          <w:szCs w:val="32"/>
          <w:lang w:val="en-US" w:eastAsia="zh-CN" w:bidi="ar-SA"/>
        </w:rPr>
        <w:t>1.</w:t>
      </w:r>
      <w:r>
        <w:rPr>
          <w:rFonts w:hint="eastAsia" w:ascii="Times New Roman" w:hAnsi="Times New Roman" w:eastAsia="宋体" w:cs="Times New Roman"/>
          <w:b/>
          <w:bCs/>
          <w:kern w:val="0"/>
          <w:sz w:val="28"/>
          <w:szCs w:val="32"/>
          <w:lang w:val="en-US" w:eastAsia="zh-CN" w:bidi="ar-SA"/>
        </w:rPr>
        <w:t>4</w:t>
      </w:r>
      <w:r>
        <w:rPr>
          <w:rFonts w:ascii="Times New Roman" w:hAnsi="Times New Roman" w:eastAsia="宋体" w:cs="Times New Roman"/>
          <w:b/>
          <w:bCs/>
          <w:kern w:val="0"/>
          <w:sz w:val="28"/>
          <w:szCs w:val="32"/>
          <w:lang w:val="en-US" w:eastAsia="zh-CN" w:bidi="ar-SA"/>
        </w:rPr>
        <w:t xml:space="preserve"> 环境影响因素识别及评价因子筛选</w:t>
      </w:r>
      <w:bookmarkEnd w:id="99"/>
      <w:bookmarkEnd w:id="100"/>
      <w:bookmarkEnd w:id="101"/>
      <w:bookmarkEnd w:id="102"/>
    </w:p>
    <w:p w14:paraId="7F74B154">
      <w:pPr>
        <w:keepNext/>
        <w:keepLines/>
        <w:widowControl w:val="0"/>
        <w:adjustRightInd w:val="0"/>
        <w:spacing w:before="120" w:after="120" w:line="300" w:lineRule="auto"/>
        <w:jc w:val="both"/>
        <w:textAlignment w:val="baseline"/>
        <w:outlineLvl w:val="2"/>
        <w:rPr>
          <w:rFonts w:ascii="Times New Roman" w:hAnsi="Times New Roman" w:eastAsia="宋体" w:cs="Times New Roman"/>
          <w:b/>
          <w:bCs w:val="0"/>
          <w:kern w:val="0"/>
          <w:sz w:val="24"/>
          <w:szCs w:val="32"/>
          <w:lang w:val="en-US" w:eastAsia="zh-CN" w:bidi="ar-SA"/>
        </w:rPr>
      </w:pPr>
      <w:bookmarkStart w:id="103" w:name="_Toc224237276"/>
      <w:r>
        <w:rPr>
          <w:rFonts w:ascii="Times New Roman" w:hAnsi="Times New Roman" w:eastAsia="宋体" w:cs="Times New Roman"/>
          <w:b/>
          <w:bCs w:val="0"/>
          <w:kern w:val="0"/>
          <w:sz w:val="24"/>
          <w:szCs w:val="32"/>
          <w:lang w:val="en-US" w:eastAsia="zh-CN" w:bidi="ar-SA"/>
        </w:rPr>
        <w:t>1.</w:t>
      </w:r>
      <w:r>
        <w:rPr>
          <w:rFonts w:hint="eastAsia" w:ascii="Times New Roman" w:hAnsi="Times New Roman" w:eastAsia="宋体" w:cs="Times New Roman"/>
          <w:b/>
          <w:bCs w:val="0"/>
          <w:kern w:val="0"/>
          <w:sz w:val="24"/>
          <w:szCs w:val="32"/>
          <w:lang w:val="en-US" w:eastAsia="zh-CN" w:bidi="ar-SA"/>
        </w:rPr>
        <w:t>4</w:t>
      </w:r>
      <w:r>
        <w:rPr>
          <w:rFonts w:ascii="Times New Roman" w:hAnsi="Times New Roman" w:eastAsia="宋体" w:cs="Times New Roman"/>
          <w:b/>
          <w:bCs w:val="0"/>
          <w:kern w:val="0"/>
          <w:sz w:val="24"/>
          <w:szCs w:val="32"/>
          <w:lang w:val="en-US" w:eastAsia="zh-CN" w:bidi="ar-SA"/>
        </w:rPr>
        <w:t>.</w:t>
      </w:r>
      <w:r>
        <w:rPr>
          <w:rFonts w:hint="eastAsia" w:ascii="Times New Roman" w:hAnsi="Times New Roman" w:eastAsia="宋体" w:cs="Times New Roman"/>
          <w:b/>
          <w:bCs w:val="0"/>
          <w:kern w:val="0"/>
          <w:sz w:val="24"/>
          <w:szCs w:val="32"/>
          <w:lang w:val="en-US" w:eastAsia="zh-CN" w:bidi="ar-SA"/>
        </w:rPr>
        <w:t>1</w:t>
      </w:r>
      <w:r>
        <w:rPr>
          <w:rFonts w:ascii="Times New Roman" w:hAnsi="Times New Roman" w:eastAsia="宋体" w:cs="Times New Roman"/>
          <w:b/>
          <w:bCs w:val="0"/>
          <w:kern w:val="0"/>
          <w:sz w:val="24"/>
          <w:szCs w:val="32"/>
          <w:lang w:val="en-US" w:eastAsia="zh-CN" w:bidi="ar-SA"/>
        </w:rPr>
        <w:t xml:space="preserve"> </w:t>
      </w:r>
      <w:r>
        <w:rPr>
          <w:rFonts w:hint="eastAsia" w:ascii="Times New Roman" w:hAnsi="Times New Roman" w:eastAsia="宋体" w:cs="Times New Roman"/>
          <w:b/>
          <w:bCs w:val="0"/>
          <w:kern w:val="0"/>
          <w:sz w:val="24"/>
          <w:szCs w:val="32"/>
          <w:lang w:val="en-US" w:eastAsia="zh-CN" w:bidi="ar-SA"/>
        </w:rPr>
        <w:t>环境</w:t>
      </w:r>
      <w:r>
        <w:rPr>
          <w:rFonts w:ascii="Times New Roman" w:hAnsi="Times New Roman" w:eastAsia="宋体" w:cs="Times New Roman"/>
          <w:b/>
          <w:bCs w:val="0"/>
          <w:kern w:val="0"/>
          <w:sz w:val="24"/>
          <w:szCs w:val="32"/>
          <w:lang w:val="en-US" w:eastAsia="zh-CN" w:bidi="ar-SA"/>
        </w:rPr>
        <w:t>影响因素识别</w:t>
      </w:r>
      <w:bookmarkEnd w:id="103"/>
    </w:p>
    <w:p w14:paraId="68B24513">
      <w:pPr>
        <w:widowControl w:val="0"/>
        <w:spacing w:line="300" w:lineRule="auto"/>
        <w:ind w:firstLine="480" w:firstLineChars="200"/>
        <w:jc w:val="both"/>
        <w:rPr>
          <w:rFonts w:ascii="Times New Roman" w:hAnsi="Times New Roman" w:eastAsia="宋体" w:cs="Times New Roman"/>
          <w:kern w:val="2"/>
          <w:sz w:val="24"/>
          <w:szCs w:val="20"/>
          <w:lang w:val="en-US" w:eastAsia="zh-CN" w:bidi="ar-SA"/>
        </w:rPr>
      </w:pPr>
      <w:r>
        <w:rPr>
          <w:rFonts w:hint="eastAsia" w:ascii="Times New Roman" w:hAnsi="Times New Roman" w:eastAsia="宋体" w:cs="Times New Roman"/>
          <w:kern w:val="2"/>
          <w:sz w:val="24"/>
          <w:szCs w:val="20"/>
          <w:lang w:val="en-US" w:eastAsia="zh-CN" w:bidi="ar-SA"/>
        </w:rPr>
        <w:t>1. 环境影响识别原则</w:t>
      </w:r>
    </w:p>
    <w:p w14:paraId="593AE268">
      <w:pPr>
        <w:widowControl w:val="0"/>
        <w:spacing w:line="300" w:lineRule="auto"/>
        <w:ind w:firstLine="480" w:firstLineChars="200"/>
        <w:jc w:val="both"/>
        <w:rPr>
          <w:rFonts w:ascii="Times New Roman" w:hAnsi="Times New Roman" w:eastAsia="宋体" w:cs="Times New Roman"/>
          <w:kern w:val="2"/>
          <w:sz w:val="24"/>
          <w:szCs w:val="20"/>
          <w:lang w:val="en-US" w:eastAsia="zh-CN" w:bidi="ar-SA"/>
        </w:rPr>
      </w:pPr>
      <w:r>
        <w:rPr>
          <w:rFonts w:hint="eastAsia" w:ascii="Times New Roman" w:hAnsi="Times New Roman" w:eastAsia="宋体" w:cs="Times New Roman"/>
          <w:kern w:val="2"/>
          <w:sz w:val="24"/>
          <w:szCs w:val="20"/>
          <w:lang w:val="en-US" w:eastAsia="zh-CN" w:bidi="ar-SA"/>
        </w:rPr>
        <w:t>综合考虑拟建公路的性质、工程特点、施工阶段及其所处区域的环境特征，识别出可能对自然环境产生影响的因子，并确定其影响性质、类型、时间、范围和影响程度，为筛选评价因子及确定评价重点提供依据。</w:t>
      </w:r>
    </w:p>
    <w:p w14:paraId="790439E7">
      <w:pPr>
        <w:widowControl w:val="0"/>
        <w:spacing w:line="300" w:lineRule="auto"/>
        <w:ind w:firstLine="480" w:firstLineChars="200"/>
        <w:jc w:val="both"/>
        <w:rPr>
          <w:rFonts w:ascii="Times New Roman" w:hAnsi="Times New Roman" w:eastAsia="宋体" w:cs="Times New Roman"/>
          <w:kern w:val="2"/>
          <w:sz w:val="24"/>
          <w:szCs w:val="20"/>
          <w:lang w:val="en-US" w:eastAsia="zh-CN" w:bidi="ar-SA"/>
        </w:rPr>
      </w:pPr>
      <w:r>
        <w:rPr>
          <w:rFonts w:hint="eastAsia" w:ascii="Times New Roman" w:hAnsi="Times New Roman" w:eastAsia="宋体" w:cs="Times New Roman"/>
          <w:kern w:val="2"/>
          <w:sz w:val="24"/>
          <w:szCs w:val="20"/>
          <w:lang w:val="en-US" w:eastAsia="zh-CN" w:bidi="ar-SA"/>
        </w:rPr>
        <w:t>2. 环境影响识别</w:t>
      </w:r>
    </w:p>
    <w:p w14:paraId="6643D96F">
      <w:pPr>
        <w:widowControl w:val="0"/>
        <w:spacing w:line="300" w:lineRule="auto"/>
        <w:ind w:firstLine="480" w:firstLineChars="200"/>
        <w:jc w:val="both"/>
        <w:rPr>
          <w:rFonts w:ascii="Times New Roman" w:hAnsi="Times New Roman" w:eastAsia="宋体" w:cs="Times New Roman"/>
          <w:kern w:val="2"/>
          <w:sz w:val="24"/>
          <w:szCs w:val="20"/>
          <w:lang w:val="en-US" w:eastAsia="zh-CN" w:bidi="ar-SA"/>
        </w:rPr>
      </w:pPr>
      <w:r>
        <w:rPr>
          <w:rFonts w:hint="eastAsia" w:ascii="Times New Roman" w:hAnsi="Times New Roman" w:eastAsia="宋体" w:cs="Times New Roman"/>
          <w:kern w:val="2"/>
          <w:sz w:val="24"/>
          <w:szCs w:val="20"/>
          <w:lang w:val="en-US" w:eastAsia="zh-CN" w:bidi="ar-SA"/>
        </w:rPr>
        <w:t>(1) 施工期</w:t>
      </w:r>
    </w:p>
    <w:p w14:paraId="46F6D42F">
      <w:pPr>
        <w:widowControl w:val="0"/>
        <w:spacing w:line="300" w:lineRule="auto"/>
        <w:ind w:firstLine="480" w:firstLineChars="200"/>
        <w:jc w:val="both"/>
        <w:rPr>
          <w:rFonts w:ascii="Times New Roman" w:hAnsi="Times New Roman" w:eastAsia="宋体" w:cs="Times New Roman"/>
          <w:kern w:val="2"/>
          <w:sz w:val="24"/>
          <w:szCs w:val="20"/>
          <w:lang w:val="en-US" w:eastAsia="zh-CN" w:bidi="ar-SA"/>
        </w:rPr>
      </w:pPr>
      <w:r>
        <w:rPr>
          <w:rFonts w:hint="eastAsia" w:ascii="Times New Roman" w:hAnsi="Times New Roman" w:eastAsia="宋体" w:cs="Times New Roman"/>
          <w:kern w:val="2"/>
          <w:sz w:val="24"/>
          <w:szCs w:val="20"/>
          <w:lang w:val="en-US" w:eastAsia="zh-CN" w:bidi="ar-SA"/>
        </w:rPr>
        <w:t>工程施工期声环境的影响主要为施工机械作业、车辆运输等噪声，对施工人员及声环境保护目标产生影响。</w:t>
      </w:r>
    </w:p>
    <w:p w14:paraId="19CE0256">
      <w:pPr>
        <w:widowControl w:val="0"/>
        <w:spacing w:line="300" w:lineRule="auto"/>
        <w:ind w:firstLine="480" w:firstLineChars="200"/>
        <w:jc w:val="both"/>
        <w:rPr>
          <w:rFonts w:ascii="Times New Roman" w:hAnsi="Times New Roman" w:eastAsia="宋体" w:cs="Times New Roman"/>
          <w:kern w:val="2"/>
          <w:sz w:val="24"/>
          <w:szCs w:val="20"/>
          <w:lang w:val="en-US" w:eastAsia="zh-CN" w:bidi="ar-SA"/>
        </w:rPr>
      </w:pPr>
      <w:r>
        <w:rPr>
          <w:rFonts w:hint="eastAsia" w:ascii="Times New Roman" w:hAnsi="Times New Roman" w:eastAsia="宋体" w:cs="Times New Roman"/>
          <w:kern w:val="2"/>
          <w:sz w:val="24"/>
          <w:szCs w:val="20"/>
          <w:lang w:val="en-US" w:eastAsia="zh-CN" w:bidi="ar-SA"/>
        </w:rPr>
        <w:t>(2) 运营期</w:t>
      </w:r>
    </w:p>
    <w:p w14:paraId="03F60684">
      <w:pPr>
        <w:widowControl w:val="0"/>
        <w:spacing w:line="300" w:lineRule="auto"/>
        <w:ind w:firstLine="480" w:firstLineChars="200"/>
        <w:jc w:val="both"/>
        <w:rPr>
          <w:rFonts w:ascii="Times New Roman" w:hAnsi="Times New Roman" w:eastAsia="宋体" w:cs="Times New Roman"/>
          <w:kern w:val="2"/>
          <w:sz w:val="24"/>
          <w:szCs w:val="20"/>
          <w:lang w:val="en-US" w:eastAsia="zh-CN" w:bidi="ar-SA"/>
        </w:rPr>
      </w:pPr>
      <w:r>
        <w:rPr>
          <w:rFonts w:hint="eastAsia" w:ascii="Times New Roman" w:hAnsi="Times New Roman" w:eastAsia="宋体" w:cs="Times New Roman"/>
          <w:kern w:val="2"/>
          <w:sz w:val="24"/>
          <w:szCs w:val="20"/>
          <w:lang w:val="en-US" w:eastAsia="zh-CN" w:bidi="ar-SA"/>
        </w:rPr>
        <w:t>随着公路的运营，区域交通量增加，交通噪声对沿线声环境保护目标</w:t>
      </w:r>
      <w:r>
        <w:rPr>
          <w:rFonts w:ascii="Times New Roman" w:hAnsi="Times New Roman" w:eastAsia="宋体" w:cs="Times New Roman"/>
          <w:spacing w:val="5"/>
          <w:kern w:val="2"/>
          <w:sz w:val="24"/>
          <w:szCs w:val="20"/>
          <w:lang w:val="en-US" w:eastAsia="zh-CN" w:bidi="ar-SA"/>
        </w:rPr>
        <w:t>产生一定</w:t>
      </w:r>
      <w:r>
        <w:rPr>
          <w:rFonts w:ascii="Times New Roman" w:hAnsi="Times New Roman" w:eastAsia="宋体" w:cs="Times New Roman"/>
          <w:kern w:val="2"/>
          <w:sz w:val="24"/>
          <w:szCs w:val="20"/>
          <w:lang w:val="en-US" w:eastAsia="zh-CN" w:bidi="ar-SA"/>
        </w:rPr>
        <w:t>影响。</w:t>
      </w:r>
    </w:p>
    <w:p w14:paraId="3F89AABE">
      <w:pPr>
        <w:widowControl w:val="0"/>
        <w:spacing w:line="300" w:lineRule="auto"/>
        <w:ind w:firstLine="480" w:firstLineChars="200"/>
        <w:jc w:val="both"/>
        <w:rPr>
          <w:rFonts w:ascii="Times New Roman" w:hAnsi="Times New Roman" w:eastAsia="宋体" w:cs="Times New Roman"/>
          <w:kern w:val="2"/>
          <w:sz w:val="24"/>
          <w:szCs w:val="20"/>
          <w:lang w:val="en-US" w:eastAsia="zh-CN" w:bidi="ar-SA"/>
        </w:rPr>
      </w:pPr>
      <w:r>
        <w:rPr>
          <w:rFonts w:hint="eastAsia" w:ascii="Times New Roman" w:hAnsi="Times New Roman" w:eastAsia="宋体" w:cs="Times New Roman"/>
          <w:kern w:val="2"/>
          <w:sz w:val="24"/>
          <w:szCs w:val="20"/>
          <w:lang w:val="en-US" w:eastAsia="zh-CN" w:bidi="ar-SA"/>
        </w:rPr>
        <w:t>拟建公路各阶段环境影响因素识别情况见</w:t>
      </w:r>
      <w:r>
        <w:rPr>
          <w:rFonts w:ascii="Times New Roman" w:hAnsi="Times New Roman" w:eastAsia="宋体" w:cs="Times New Roman"/>
          <w:kern w:val="2"/>
          <w:sz w:val="24"/>
          <w:szCs w:val="20"/>
          <w:lang w:val="en-US" w:eastAsia="zh-CN" w:bidi="ar-SA"/>
        </w:rPr>
        <w:fldChar w:fldCharType="begin"/>
      </w:r>
      <w:r>
        <w:rPr>
          <w:rFonts w:ascii="Times New Roman" w:hAnsi="Times New Roman" w:eastAsia="宋体" w:cs="Times New Roman"/>
          <w:kern w:val="2"/>
          <w:sz w:val="24"/>
          <w:szCs w:val="20"/>
          <w:lang w:val="en-US" w:eastAsia="zh-CN" w:bidi="ar-SA"/>
        </w:rPr>
        <w:instrText xml:space="preserve"> REF _Ref219907993 \h  \* MERGEFORMAT </w:instrText>
      </w:r>
      <w:r>
        <w:rPr>
          <w:rFonts w:ascii="Times New Roman" w:hAnsi="Times New Roman" w:eastAsia="宋体" w:cs="Times New Roman"/>
          <w:kern w:val="2"/>
          <w:sz w:val="24"/>
          <w:szCs w:val="20"/>
          <w:lang w:val="en-US" w:eastAsia="zh-CN" w:bidi="ar-SA"/>
        </w:rPr>
        <w:fldChar w:fldCharType="separate"/>
      </w:r>
      <w:r>
        <w:rPr>
          <w:rFonts w:hint="eastAsia" w:ascii="Times New Roman" w:hAnsi="Times New Roman" w:eastAsia="宋体" w:cs="Times New Roman"/>
          <w:kern w:val="2"/>
          <w:sz w:val="24"/>
          <w:szCs w:val="20"/>
          <w:lang w:val="en-US" w:eastAsia="zh-CN" w:bidi="ar-SA"/>
        </w:rPr>
        <w:t>表1.4</w:t>
      </w:r>
      <w:r>
        <w:rPr>
          <w:rFonts w:ascii="Times New Roman" w:hAnsi="Times New Roman" w:eastAsia="宋体" w:cs="Times New Roman"/>
          <w:kern w:val="2"/>
          <w:sz w:val="24"/>
          <w:szCs w:val="20"/>
          <w:lang w:val="en-US" w:eastAsia="zh-CN" w:bidi="ar-SA"/>
        </w:rPr>
        <w:noBreakHyphen/>
      </w:r>
      <w:r>
        <w:rPr>
          <w:rFonts w:ascii="Times New Roman" w:hAnsi="Times New Roman" w:eastAsia="宋体" w:cs="Times New Roman"/>
          <w:kern w:val="2"/>
          <w:sz w:val="24"/>
          <w:szCs w:val="20"/>
          <w:lang w:val="en-US" w:eastAsia="zh-CN" w:bidi="ar-SA"/>
        </w:rPr>
        <w:t>1</w:t>
      </w:r>
      <w:r>
        <w:rPr>
          <w:rFonts w:ascii="Times New Roman" w:hAnsi="Times New Roman" w:eastAsia="宋体" w:cs="Times New Roman"/>
          <w:kern w:val="2"/>
          <w:sz w:val="24"/>
          <w:szCs w:val="20"/>
          <w:lang w:val="en-US" w:eastAsia="zh-CN" w:bidi="ar-SA"/>
        </w:rPr>
        <w:fldChar w:fldCharType="end"/>
      </w:r>
      <w:r>
        <w:rPr>
          <w:rFonts w:hint="eastAsia" w:ascii="Times New Roman" w:hAnsi="Times New Roman" w:eastAsia="宋体" w:cs="Times New Roman"/>
          <w:kern w:val="2"/>
          <w:sz w:val="24"/>
          <w:szCs w:val="20"/>
          <w:lang w:val="en-US" w:eastAsia="zh-CN" w:bidi="ar-SA"/>
        </w:rPr>
        <w:t>。</w:t>
      </w:r>
    </w:p>
    <w:p w14:paraId="304B0439">
      <w:pPr>
        <w:widowControl w:val="0"/>
        <w:adjustRightInd w:val="0"/>
        <w:spacing w:beforeLines="50" w:line="240" w:lineRule="auto"/>
        <w:jc w:val="center"/>
        <w:textAlignment w:val="baseline"/>
        <w:rPr>
          <w:rFonts w:ascii="Times New Roman" w:hAnsi="Times New Roman" w:eastAsia="宋体" w:cs="Times New Roman"/>
          <w:b/>
          <w:spacing w:val="5"/>
          <w:kern w:val="0"/>
          <w:sz w:val="21"/>
          <w:szCs w:val="20"/>
          <w:lang w:val="en-US" w:eastAsia="zh-CN" w:bidi="ar-SA"/>
        </w:rPr>
      </w:pPr>
      <w:bookmarkStart w:id="104" w:name="_Ref219907993"/>
      <w:r>
        <w:rPr>
          <w:rFonts w:hint="eastAsia" w:ascii="Times New Roman" w:hAnsi="Times New Roman" w:eastAsia="宋体" w:cs="Times New Roman"/>
          <w:b/>
          <w:spacing w:val="5"/>
          <w:kern w:val="0"/>
          <w:sz w:val="21"/>
          <w:szCs w:val="20"/>
          <w:lang w:val="en-US" w:eastAsia="zh-CN" w:bidi="ar-SA"/>
        </w:rPr>
        <w:t>表1.4</w:t>
      </w:r>
      <w:r>
        <w:rPr>
          <w:rFonts w:ascii="Times New Roman" w:hAnsi="Times New Roman" w:eastAsia="宋体" w:cs="Times New Roman"/>
          <w:b/>
          <w:spacing w:val="5"/>
          <w:kern w:val="0"/>
          <w:sz w:val="21"/>
          <w:szCs w:val="20"/>
          <w:lang w:val="en-US" w:eastAsia="zh-CN" w:bidi="ar-SA"/>
        </w:rPr>
        <w:noBreakHyphen/>
      </w:r>
      <w:r>
        <w:rPr>
          <w:rFonts w:ascii="Times New Roman" w:hAnsi="Times New Roman" w:eastAsia="宋体" w:cs="Times New Roman"/>
          <w:b/>
          <w:spacing w:val="5"/>
          <w:kern w:val="0"/>
          <w:sz w:val="21"/>
          <w:szCs w:val="20"/>
          <w:lang w:val="en-US" w:eastAsia="zh-CN" w:bidi="ar-SA"/>
        </w:rPr>
        <w:fldChar w:fldCharType="begin"/>
      </w:r>
      <w:r>
        <w:rPr>
          <w:rFonts w:ascii="Times New Roman" w:hAnsi="Times New Roman" w:eastAsia="宋体" w:cs="Times New Roman"/>
          <w:b/>
          <w:spacing w:val="5"/>
          <w:kern w:val="0"/>
          <w:sz w:val="21"/>
          <w:szCs w:val="20"/>
          <w:lang w:val="en-US" w:eastAsia="zh-CN" w:bidi="ar-SA"/>
        </w:rPr>
        <w:instrText xml:space="preserve"> </w:instrText>
      </w:r>
      <w:r>
        <w:rPr>
          <w:rFonts w:hint="eastAsia" w:ascii="Times New Roman" w:hAnsi="Times New Roman" w:eastAsia="宋体" w:cs="Times New Roman"/>
          <w:b/>
          <w:spacing w:val="5"/>
          <w:kern w:val="0"/>
          <w:sz w:val="21"/>
          <w:szCs w:val="20"/>
          <w:lang w:val="en-US" w:eastAsia="zh-CN" w:bidi="ar-SA"/>
        </w:rPr>
        <w:instrText xml:space="preserve">SEQ 表 \* ARABIC \s 2</w:instrText>
      </w:r>
      <w:r>
        <w:rPr>
          <w:rFonts w:ascii="Times New Roman" w:hAnsi="Times New Roman" w:eastAsia="宋体" w:cs="Times New Roman"/>
          <w:b/>
          <w:spacing w:val="5"/>
          <w:kern w:val="0"/>
          <w:sz w:val="21"/>
          <w:szCs w:val="20"/>
          <w:lang w:val="en-US" w:eastAsia="zh-CN" w:bidi="ar-SA"/>
        </w:rPr>
        <w:instrText xml:space="preserve"> </w:instrText>
      </w:r>
      <w:r>
        <w:rPr>
          <w:rFonts w:ascii="Times New Roman" w:hAnsi="Times New Roman" w:eastAsia="宋体" w:cs="Times New Roman"/>
          <w:b/>
          <w:spacing w:val="5"/>
          <w:kern w:val="0"/>
          <w:sz w:val="21"/>
          <w:szCs w:val="20"/>
          <w:lang w:val="en-US" w:eastAsia="zh-CN" w:bidi="ar-SA"/>
        </w:rPr>
        <w:fldChar w:fldCharType="separate"/>
      </w:r>
      <w:r>
        <w:rPr>
          <w:rFonts w:ascii="Times New Roman" w:hAnsi="Times New Roman" w:eastAsia="宋体" w:cs="Times New Roman"/>
          <w:b/>
          <w:spacing w:val="5"/>
          <w:kern w:val="0"/>
          <w:sz w:val="21"/>
          <w:szCs w:val="20"/>
          <w:lang w:val="en-US" w:eastAsia="zh-CN" w:bidi="ar-SA"/>
        </w:rPr>
        <w:t>1</w:t>
      </w:r>
      <w:r>
        <w:rPr>
          <w:rFonts w:ascii="Times New Roman" w:hAnsi="Times New Roman" w:eastAsia="宋体" w:cs="Times New Roman"/>
          <w:b/>
          <w:spacing w:val="5"/>
          <w:kern w:val="0"/>
          <w:sz w:val="21"/>
          <w:szCs w:val="20"/>
          <w:lang w:val="en-US" w:eastAsia="zh-CN" w:bidi="ar-SA"/>
        </w:rPr>
        <w:fldChar w:fldCharType="end"/>
      </w:r>
      <w:bookmarkEnd w:id="104"/>
      <w:r>
        <w:rPr>
          <w:rFonts w:ascii="Times New Roman" w:hAnsi="Times New Roman" w:eastAsia="宋体" w:cs="Times New Roman"/>
          <w:b/>
          <w:spacing w:val="5"/>
          <w:kern w:val="0"/>
          <w:sz w:val="21"/>
          <w:szCs w:val="20"/>
          <w:lang w:val="en-US" w:eastAsia="zh-CN" w:bidi="ar-SA"/>
        </w:rPr>
        <w:t xml:space="preserve">  </w:t>
      </w:r>
      <w:r>
        <w:rPr>
          <w:rFonts w:hint="eastAsia" w:ascii="Times New Roman" w:hAnsi="Times New Roman" w:eastAsia="宋体" w:cs="Times New Roman"/>
          <w:b/>
          <w:spacing w:val="5"/>
          <w:kern w:val="0"/>
          <w:sz w:val="21"/>
          <w:szCs w:val="20"/>
          <w:lang w:val="en-US" w:eastAsia="zh-CN" w:bidi="ar-SA"/>
        </w:rPr>
        <w:t>拟建公路环境影响要素识别矩阵</w:t>
      </w:r>
    </w:p>
    <w:tbl>
      <w:tblPr>
        <w:tblStyle w:val="22"/>
        <w:tblW w:w="5000" w:type="pct"/>
        <w:jc w:val="center"/>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autofit"/>
        <w:tblCellMar>
          <w:top w:w="0" w:type="dxa"/>
          <w:left w:w="0" w:type="dxa"/>
          <w:bottom w:w="0" w:type="dxa"/>
          <w:right w:w="0" w:type="dxa"/>
        </w:tblCellMar>
      </w:tblPr>
      <w:tblGrid>
        <w:gridCol w:w="1050"/>
        <w:gridCol w:w="687"/>
        <w:gridCol w:w="687"/>
        <w:gridCol w:w="688"/>
        <w:gridCol w:w="688"/>
        <w:gridCol w:w="688"/>
        <w:gridCol w:w="688"/>
        <w:gridCol w:w="688"/>
        <w:gridCol w:w="688"/>
        <w:gridCol w:w="604"/>
        <w:gridCol w:w="606"/>
        <w:gridCol w:w="604"/>
      </w:tblGrid>
      <w:tr w14:paraId="5BEDE45F">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0" w:type="dxa"/>
            <w:bottom w:w="0" w:type="dxa"/>
            <w:right w:w="0" w:type="dxa"/>
          </w:tblCellMar>
        </w:tblPrEx>
        <w:trPr>
          <w:trHeight w:val="127" w:hRule="atLeast"/>
          <w:jc w:val="center"/>
        </w:trPr>
        <w:tc>
          <w:tcPr>
            <w:tcW w:w="628" w:type="pct"/>
            <w:vMerge w:val="restart"/>
            <w:tcBorders>
              <w:tl2br w:val="thinThickSmallGap" w:color="auto" w:sz="12" w:space="0"/>
            </w:tcBorders>
            <w:tcMar>
              <w:top w:w="15" w:type="dxa"/>
              <w:left w:w="27" w:type="dxa"/>
              <w:bottom w:w="0" w:type="dxa"/>
              <w:right w:w="27" w:type="dxa"/>
            </w:tcMar>
            <w:vAlign w:val="center"/>
          </w:tcPr>
          <w:p w14:paraId="76C6679E">
            <w:pPr>
              <w:widowControl w:val="0"/>
              <w:adjustRightInd w:val="0"/>
              <w:snapToGrid w:val="0"/>
              <w:jc w:val="right"/>
              <w:rPr>
                <w:rFonts w:ascii="宋体" w:hAnsi="宋体" w:eastAsia="宋体" w:cs="Times New Roman"/>
                <w:kern w:val="2"/>
                <w:sz w:val="21"/>
                <w:szCs w:val="21"/>
                <w:lang w:val="en-US" w:eastAsia="zh-CN" w:bidi="ar-SA"/>
              </w:rPr>
            </w:pPr>
            <w:r>
              <w:rPr>
                <w:rFonts w:ascii="宋体" w:hAnsi="宋体" w:eastAsia="宋体" w:cs="Times New Roman"/>
                <w:kern w:val="2"/>
                <w:sz w:val="21"/>
                <w:szCs w:val="21"/>
                <w:lang w:val="en-US" w:eastAsia="zh-CN" w:bidi="ar-SA"/>
              </w:rPr>
              <w:t>施工</w:t>
            </w:r>
          </w:p>
          <w:p w14:paraId="102C6F99">
            <w:pPr>
              <w:widowControl w:val="0"/>
              <w:adjustRightInd w:val="0"/>
              <w:snapToGrid w:val="0"/>
              <w:jc w:val="right"/>
              <w:rPr>
                <w:rFonts w:ascii="宋体" w:hAnsi="宋体" w:eastAsia="宋体" w:cs="Times New Roman"/>
                <w:kern w:val="2"/>
                <w:sz w:val="21"/>
                <w:szCs w:val="21"/>
                <w:lang w:val="en-US" w:eastAsia="zh-CN" w:bidi="ar-SA"/>
              </w:rPr>
            </w:pPr>
            <w:r>
              <w:rPr>
                <w:rFonts w:ascii="宋体" w:hAnsi="宋体" w:eastAsia="宋体" w:cs="Times New Roman"/>
                <w:kern w:val="2"/>
                <w:sz w:val="21"/>
                <w:szCs w:val="21"/>
                <w:lang w:val="en-US" w:eastAsia="zh-CN" w:bidi="ar-SA"/>
              </w:rPr>
              <w:t>行为</w:t>
            </w:r>
          </w:p>
          <w:p w14:paraId="30901049">
            <w:pPr>
              <w:widowControl w:val="0"/>
              <w:adjustRightInd w:val="0"/>
              <w:snapToGrid w:val="0"/>
              <w:jc w:val="left"/>
              <w:rPr>
                <w:rFonts w:ascii="宋体" w:hAnsi="宋体" w:eastAsia="宋体" w:cs="Times New Roman"/>
                <w:kern w:val="2"/>
                <w:sz w:val="21"/>
                <w:szCs w:val="21"/>
                <w:lang w:val="en-US" w:eastAsia="zh-CN" w:bidi="ar-SA"/>
              </w:rPr>
            </w:pPr>
            <w:r>
              <w:rPr>
                <w:rFonts w:ascii="宋体" w:hAnsi="宋体" w:eastAsia="宋体" w:cs="Times New Roman"/>
                <w:kern w:val="2"/>
                <w:sz w:val="21"/>
                <w:szCs w:val="21"/>
                <w:lang w:val="en-US" w:eastAsia="zh-CN" w:bidi="ar-SA"/>
              </w:rPr>
              <w:t>环境</w:t>
            </w:r>
          </w:p>
          <w:p w14:paraId="1ECEC39E">
            <w:pPr>
              <w:widowControl w:val="0"/>
              <w:adjustRightInd w:val="0"/>
              <w:snapToGrid w:val="0"/>
              <w:jc w:val="left"/>
              <w:rPr>
                <w:rFonts w:ascii="宋体" w:hAnsi="宋体" w:eastAsia="宋体" w:cs="Times New Roman"/>
                <w:kern w:val="2"/>
                <w:sz w:val="21"/>
                <w:szCs w:val="21"/>
                <w:lang w:val="en-US" w:eastAsia="zh-CN" w:bidi="ar-SA"/>
              </w:rPr>
            </w:pPr>
            <w:r>
              <w:rPr>
                <w:rFonts w:ascii="宋体" w:hAnsi="宋体" w:eastAsia="宋体" w:cs="Times New Roman"/>
                <w:kern w:val="2"/>
                <w:sz w:val="21"/>
                <w:szCs w:val="21"/>
                <w:lang w:val="en-US" w:eastAsia="zh-CN" w:bidi="ar-SA"/>
              </w:rPr>
              <w:t>要素</w:t>
            </w:r>
          </w:p>
        </w:tc>
        <w:tc>
          <w:tcPr>
            <w:tcW w:w="3288" w:type="pct"/>
            <w:gridSpan w:val="8"/>
            <w:tcMar>
              <w:top w:w="15" w:type="dxa"/>
              <w:left w:w="27" w:type="dxa"/>
              <w:bottom w:w="0" w:type="dxa"/>
              <w:right w:w="27" w:type="dxa"/>
            </w:tcMar>
            <w:vAlign w:val="center"/>
          </w:tcPr>
          <w:p w14:paraId="5AD8F52A">
            <w:pPr>
              <w:widowControl w:val="0"/>
              <w:adjustRightInd w:val="0"/>
              <w:snapToGrid w:val="0"/>
              <w:jc w:val="center"/>
              <w:rPr>
                <w:rFonts w:ascii="宋体" w:hAnsi="宋体" w:eastAsia="宋体" w:cs="Times New Roman"/>
                <w:kern w:val="2"/>
                <w:sz w:val="21"/>
                <w:szCs w:val="21"/>
                <w:lang w:val="en-US" w:eastAsia="zh-CN" w:bidi="ar-SA"/>
              </w:rPr>
            </w:pPr>
            <w:r>
              <w:rPr>
                <w:rFonts w:ascii="宋体" w:hAnsi="宋体" w:eastAsia="宋体" w:cs="Times New Roman"/>
                <w:kern w:val="2"/>
                <w:sz w:val="21"/>
                <w:szCs w:val="21"/>
                <w:lang w:val="en-US" w:eastAsia="zh-CN" w:bidi="ar-SA"/>
              </w:rPr>
              <w:t>施工期</w:t>
            </w:r>
          </w:p>
        </w:tc>
        <w:tc>
          <w:tcPr>
            <w:tcW w:w="1084" w:type="pct"/>
            <w:gridSpan w:val="3"/>
            <w:tcMar>
              <w:top w:w="15" w:type="dxa"/>
              <w:left w:w="27" w:type="dxa"/>
              <w:bottom w:w="0" w:type="dxa"/>
              <w:right w:w="27" w:type="dxa"/>
            </w:tcMar>
            <w:vAlign w:val="center"/>
          </w:tcPr>
          <w:p w14:paraId="538C29ED">
            <w:pPr>
              <w:widowControl w:val="0"/>
              <w:adjustRightInd w:val="0"/>
              <w:snapToGrid w:val="0"/>
              <w:jc w:val="center"/>
              <w:rPr>
                <w:rFonts w:ascii="宋体" w:hAnsi="宋体" w:eastAsia="宋体" w:cs="Times New Roman"/>
                <w:kern w:val="2"/>
                <w:sz w:val="21"/>
                <w:szCs w:val="21"/>
                <w:lang w:val="en-US" w:eastAsia="zh-CN" w:bidi="ar-SA"/>
              </w:rPr>
            </w:pPr>
            <w:r>
              <w:rPr>
                <w:rFonts w:ascii="宋体" w:hAnsi="宋体" w:eastAsia="宋体" w:cs="Times New Roman"/>
                <w:kern w:val="2"/>
                <w:sz w:val="21"/>
                <w:szCs w:val="21"/>
                <w:lang w:val="en-US" w:eastAsia="zh-CN" w:bidi="ar-SA"/>
              </w:rPr>
              <w:t>运营期</w:t>
            </w:r>
          </w:p>
        </w:tc>
      </w:tr>
      <w:tr w14:paraId="4C060D18">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0" w:type="dxa"/>
            <w:bottom w:w="0" w:type="dxa"/>
            <w:right w:w="0" w:type="dxa"/>
          </w:tblCellMar>
        </w:tblPrEx>
        <w:trPr>
          <w:trHeight w:val="806" w:hRule="atLeast"/>
          <w:jc w:val="center"/>
        </w:trPr>
        <w:tc>
          <w:tcPr>
            <w:tcW w:w="628" w:type="pct"/>
            <w:vMerge w:val="continue"/>
            <w:vAlign w:val="center"/>
          </w:tcPr>
          <w:p w14:paraId="6E213F48">
            <w:pPr>
              <w:widowControl w:val="0"/>
              <w:adjustRightInd w:val="0"/>
              <w:snapToGrid w:val="0"/>
              <w:jc w:val="center"/>
              <w:rPr>
                <w:rFonts w:ascii="宋体" w:hAnsi="宋体" w:eastAsia="宋体" w:cs="Times New Roman"/>
                <w:kern w:val="2"/>
                <w:sz w:val="21"/>
                <w:szCs w:val="21"/>
                <w:lang w:val="en-US" w:eastAsia="zh-CN" w:bidi="ar-SA"/>
              </w:rPr>
            </w:pPr>
          </w:p>
        </w:tc>
        <w:tc>
          <w:tcPr>
            <w:tcW w:w="411" w:type="pct"/>
            <w:tcMar>
              <w:top w:w="15" w:type="dxa"/>
              <w:left w:w="27" w:type="dxa"/>
              <w:bottom w:w="0" w:type="dxa"/>
              <w:right w:w="27" w:type="dxa"/>
            </w:tcMar>
            <w:vAlign w:val="center"/>
          </w:tcPr>
          <w:p w14:paraId="46C32DD9">
            <w:pPr>
              <w:widowControl w:val="0"/>
              <w:adjustRightInd w:val="0"/>
              <w:snapToGrid w:val="0"/>
              <w:jc w:val="center"/>
              <w:rPr>
                <w:rFonts w:ascii="宋体" w:hAnsi="宋体" w:eastAsia="宋体" w:cs="Times New Roman"/>
                <w:kern w:val="2"/>
                <w:sz w:val="21"/>
                <w:szCs w:val="21"/>
                <w:lang w:val="en-US" w:eastAsia="zh-CN" w:bidi="ar-SA"/>
              </w:rPr>
            </w:pPr>
            <w:r>
              <w:rPr>
                <w:rFonts w:ascii="宋体" w:hAnsi="宋体" w:eastAsia="宋体" w:cs="Times New Roman"/>
                <w:kern w:val="2"/>
                <w:sz w:val="21"/>
                <w:szCs w:val="21"/>
                <w:lang w:val="en-US" w:eastAsia="zh-CN" w:bidi="ar-SA"/>
              </w:rPr>
              <w:t>占地</w:t>
            </w:r>
          </w:p>
        </w:tc>
        <w:tc>
          <w:tcPr>
            <w:tcW w:w="411" w:type="pct"/>
            <w:tcMar>
              <w:top w:w="15" w:type="dxa"/>
              <w:left w:w="27" w:type="dxa"/>
              <w:bottom w:w="0" w:type="dxa"/>
              <w:right w:w="27" w:type="dxa"/>
            </w:tcMar>
            <w:vAlign w:val="center"/>
          </w:tcPr>
          <w:p w14:paraId="4A6F7F98">
            <w:pPr>
              <w:widowControl w:val="0"/>
              <w:adjustRightInd w:val="0"/>
              <w:snapToGrid w:val="0"/>
              <w:jc w:val="center"/>
              <w:rPr>
                <w:rFonts w:ascii="宋体" w:hAnsi="宋体" w:eastAsia="宋体" w:cs="Times New Roman"/>
                <w:kern w:val="2"/>
                <w:sz w:val="21"/>
                <w:szCs w:val="21"/>
                <w:lang w:val="en-US" w:eastAsia="zh-CN" w:bidi="ar-SA"/>
              </w:rPr>
            </w:pPr>
            <w:r>
              <w:rPr>
                <w:rFonts w:ascii="宋体" w:hAnsi="宋体" w:eastAsia="宋体" w:cs="Times New Roman"/>
                <w:kern w:val="2"/>
                <w:sz w:val="21"/>
                <w:szCs w:val="21"/>
                <w:lang w:val="en-US" w:eastAsia="zh-CN" w:bidi="ar-SA"/>
              </w:rPr>
              <w:t>拆迁安置</w:t>
            </w:r>
          </w:p>
        </w:tc>
        <w:tc>
          <w:tcPr>
            <w:tcW w:w="411" w:type="pct"/>
            <w:tcMar>
              <w:top w:w="15" w:type="dxa"/>
              <w:left w:w="27" w:type="dxa"/>
              <w:bottom w:w="0" w:type="dxa"/>
              <w:right w:w="27" w:type="dxa"/>
            </w:tcMar>
            <w:vAlign w:val="center"/>
          </w:tcPr>
          <w:p w14:paraId="0C1E5560">
            <w:pPr>
              <w:widowControl w:val="0"/>
              <w:adjustRightInd w:val="0"/>
              <w:snapToGrid w:val="0"/>
              <w:jc w:val="center"/>
              <w:rPr>
                <w:rFonts w:ascii="宋体" w:hAnsi="宋体" w:eastAsia="宋体" w:cs="Times New Roman"/>
                <w:kern w:val="2"/>
                <w:sz w:val="21"/>
                <w:szCs w:val="21"/>
                <w:lang w:val="en-US" w:eastAsia="zh-CN" w:bidi="ar-SA"/>
              </w:rPr>
            </w:pPr>
            <w:r>
              <w:rPr>
                <w:rFonts w:ascii="宋体" w:hAnsi="宋体" w:eastAsia="宋体" w:cs="Times New Roman"/>
                <w:kern w:val="2"/>
                <w:sz w:val="21"/>
                <w:szCs w:val="21"/>
                <w:lang w:val="en-US" w:eastAsia="zh-CN" w:bidi="ar-SA"/>
              </w:rPr>
              <w:t>土石方</w:t>
            </w:r>
          </w:p>
        </w:tc>
        <w:tc>
          <w:tcPr>
            <w:tcW w:w="411" w:type="pct"/>
            <w:tcMar>
              <w:top w:w="15" w:type="dxa"/>
              <w:left w:w="27" w:type="dxa"/>
              <w:bottom w:w="0" w:type="dxa"/>
              <w:right w:w="27" w:type="dxa"/>
            </w:tcMar>
            <w:vAlign w:val="center"/>
          </w:tcPr>
          <w:p w14:paraId="366F873E">
            <w:pPr>
              <w:widowControl w:val="0"/>
              <w:adjustRightInd w:val="0"/>
              <w:snapToGrid w:val="0"/>
              <w:jc w:val="center"/>
              <w:rPr>
                <w:rFonts w:ascii="宋体" w:hAnsi="宋体" w:eastAsia="宋体" w:cs="Times New Roman"/>
                <w:kern w:val="2"/>
                <w:sz w:val="21"/>
                <w:szCs w:val="21"/>
                <w:lang w:val="en-US" w:eastAsia="zh-CN" w:bidi="ar-SA"/>
              </w:rPr>
            </w:pPr>
            <w:r>
              <w:rPr>
                <w:rFonts w:ascii="宋体" w:hAnsi="宋体" w:eastAsia="宋体" w:cs="Times New Roman"/>
                <w:kern w:val="2"/>
                <w:sz w:val="21"/>
                <w:szCs w:val="21"/>
                <w:lang w:val="en-US" w:eastAsia="zh-CN" w:bidi="ar-SA"/>
              </w:rPr>
              <w:t>路基路面</w:t>
            </w:r>
          </w:p>
        </w:tc>
        <w:tc>
          <w:tcPr>
            <w:tcW w:w="411" w:type="pct"/>
            <w:tcMar>
              <w:top w:w="15" w:type="dxa"/>
              <w:left w:w="27" w:type="dxa"/>
              <w:bottom w:w="0" w:type="dxa"/>
              <w:right w:w="27" w:type="dxa"/>
            </w:tcMar>
            <w:vAlign w:val="center"/>
          </w:tcPr>
          <w:p w14:paraId="426108B9">
            <w:pPr>
              <w:widowControl w:val="0"/>
              <w:adjustRightInd w:val="0"/>
              <w:snapToGrid w:val="0"/>
              <w:jc w:val="center"/>
              <w:rPr>
                <w:rFonts w:ascii="宋体" w:hAnsi="宋体" w:eastAsia="宋体" w:cs="Times New Roman"/>
                <w:kern w:val="2"/>
                <w:sz w:val="21"/>
                <w:szCs w:val="21"/>
                <w:lang w:val="en-US" w:eastAsia="zh-CN" w:bidi="ar-SA"/>
              </w:rPr>
            </w:pPr>
            <w:r>
              <w:rPr>
                <w:rFonts w:ascii="宋体" w:hAnsi="宋体" w:eastAsia="宋体" w:cs="Times New Roman"/>
                <w:kern w:val="2"/>
                <w:sz w:val="21"/>
                <w:szCs w:val="21"/>
                <w:lang w:val="en-US" w:eastAsia="zh-CN" w:bidi="ar-SA"/>
              </w:rPr>
              <w:t>桥涵工程</w:t>
            </w:r>
          </w:p>
        </w:tc>
        <w:tc>
          <w:tcPr>
            <w:tcW w:w="411" w:type="pct"/>
            <w:tcMar>
              <w:top w:w="15" w:type="dxa"/>
              <w:left w:w="27" w:type="dxa"/>
              <w:bottom w:w="0" w:type="dxa"/>
              <w:right w:w="27" w:type="dxa"/>
            </w:tcMar>
            <w:vAlign w:val="center"/>
          </w:tcPr>
          <w:p w14:paraId="5FC08293">
            <w:pPr>
              <w:widowControl w:val="0"/>
              <w:adjustRightInd w:val="0"/>
              <w:snapToGrid w:val="0"/>
              <w:jc w:val="center"/>
              <w:rPr>
                <w:rFonts w:ascii="宋体" w:hAnsi="宋体" w:eastAsia="宋体" w:cs="Times New Roman"/>
                <w:kern w:val="2"/>
                <w:sz w:val="21"/>
                <w:szCs w:val="21"/>
                <w:lang w:val="en-US" w:eastAsia="zh-CN" w:bidi="ar-SA"/>
              </w:rPr>
            </w:pPr>
            <w:r>
              <w:rPr>
                <w:rFonts w:ascii="宋体" w:hAnsi="宋体" w:eastAsia="宋体" w:cs="Times New Roman"/>
                <w:kern w:val="2"/>
                <w:sz w:val="21"/>
                <w:szCs w:val="21"/>
                <w:lang w:val="en-US" w:eastAsia="zh-CN" w:bidi="ar-SA"/>
              </w:rPr>
              <w:t>材料运输</w:t>
            </w:r>
          </w:p>
        </w:tc>
        <w:tc>
          <w:tcPr>
            <w:tcW w:w="411" w:type="pct"/>
            <w:tcMar>
              <w:top w:w="15" w:type="dxa"/>
              <w:left w:w="27" w:type="dxa"/>
              <w:bottom w:w="0" w:type="dxa"/>
              <w:right w:w="27" w:type="dxa"/>
            </w:tcMar>
            <w:vAlign w:val="center"/>
          </w:tcPr>
          <w:p w14:paraId="6AB2E06D">
            <w:pPr>
              <w:widowControl w:val="0"/>
              <w:adjustRightInd w:val="0"/>
              <w:snapToGrid w:val="0"/>
              <w:jc w:val="center"/>
              <w:rPr>
                <w:rFonts w:ascii="宋体" w:hAnsi="宋体" w:eastAsia="宋体" w:cs="Times New Roman"/>
                <w:kern w:val="2"/>
                <w:sz w:val="21"/>
                <w:szCs w:val="21"/>
                <w:lang w:val="en-US" w:eastAsia="zh-CN" w:bidi="ar-SA"/>
              </w:rPr>
            </w:pPr>
            <w:r>
              <w:rPr>
                <w:rFonts w:ascii="宋体" w:hAnsi="宋体" w:eastAsia="宋体" w:cs="Times New Roman"/>
                <w:kern w:val="2"/>
                <w:sz w:val="21"/>
                <w:szCs w:val="21"/>
                <w:lang w:val="en-US" w:eastAsia="zh-CN" w:bidi="ar-SA"/>
              </w:rPr>
              <w:t>机械作业</w:t>
            </w:r>
          </w:p>
        </w:tc>
        <w:tc>
          <w:tcPr>
            <w:tcW w:w="411" w:type="pct"/>
            <w:tcMar>
              <w:top w:w="15" w:type="dxa"/>
              <w:left w:w="27" w:type="dxa"/>
              <w:bottom w:w="0" w:type="dxa"/>
              <w:right w:w="27" w:type="dxa"/>
            </w:tcMar>
            <w:vAlign w:val="center"/>
          </w:tcPr>
          <w:p w14:paraId="2FFB55A1">
            <w:pPr>
              <w:widowControl w:val="0"/>
              <w:adjustRightInd w:val="0"/>
              <w:snapToGrid w:val="0"/>
              <w:jc w:val="center"/>
              <w:rPr>
                <w:rFonts w:ascii="宋体" w:hAnsi="宋体" w:eastAsia="宋体" w:cs="Times New Roman"/>
                <w:kern w:val="2"/>
                <w:sz w:val="21"/>
                <w:szCs w:val="21"/>
                <w:lang w:val="en-US" w:eastAsia="zh-CN" w:bidi="ar-SA"/>
              </w:rPr>
            </w:pPr>
            <w:r>
              <w:rPr>
                <w:rFonts w:ascii="宋体" w:hAnsi="宋体" w:eastAsia="宋体" w:cs="Times New Roman"/>
                <w:kern w:val="2"/>
                <w:sz w:val="21"/>
                <w:szCs w:val="21"/>
                <w:lang w:val="en-US" w:eastAsia="zh-CN" w:bidi="ar-SA"/>
              </w:rPr>
              <w:t>施工场地</w:t>
            </w:r>
          </w:p>
        </w:tc>
        <w:tc>
          <w:tcPr>
            <w:tcW w:w="361" w:type="pct"/>
            <w:tcMar>
              <w:top w:w="15" w:type="dxa"/>
              <w:left w:w="27" w:type="dxa"/>
              <w:bottom w:w="0" w:type="dxa"/>
              <w:right w:w="27" w:type="dxa"/>
            </w:tcMar>
            <w:vAlign w:val="center"/>
          </w:tcPr>
          <w:p w14:paraId="260F7EEA">
            <w:pPr>
              <w:widowControl w:val="0"/>
              <w:adjustRightInd w:val="0"/>
              <w:snapToGrid w:val="0"/>
              <w:jc w:val="center"/>
              <w:rPr>
                <w:rFonts w:ascii="宋体" w:hAnsi="宋体" w:eastAsia="宋体" w:cs="Times New Roman"/>
                <w:kern w:val="2"/>
                <w:sz w:val="21"/>
                <w:szCs w:val="21"/>
                <w:lang w:val="en-US" w:eastAsia="zh-CN" w:bidi="ar-SA"/>
              </w:rPr>
            </w:pPr>
            <w:r>
              <w:rPr>
                <w:rFonts w:ascii="宋体" w:hAnsi="宋体" w:eastAsia="宋体" w:cs="Times New Roman"/>
                <w:kern w:val="2"/>
                <w:sz w:val="21"/>
                <w:szCs w:val="21"/>
                <w:lang w:val="en-US" w:eastAsia="zh-CN" w:bidi="ar-SA"/>
              </w:rPr>
              <w:t>环保工程</w:t>
            </w:r>
          </w:p>
        </w:tc>
        <w:tc>
          <w:tcPr>
            <w:tcW w:w="362" w:type="pct"/>
            <w:tcMar>
              <w:top w:w="15" w:type="dxa"/>
              <w:left w:w="27" w:type="dxa"/>
              <w:bottom w:w="0" w:type="dxa"/>
              <w:right w:w="27" w:type="dxa"/>
            </w:tcMar>
            <w:vAlign w:val="center"/>
          </w:tcPr>
          <w:p w14:paraId="0CEB01D0">
            <w:pPr>
              <w:widowControl w:val="0"/>
              <w:adjustRightInd w:val="0"/>
              <w:snapToGrid w:val="0"/>
              <w:jc w:val="center"/>
              <w:rPr>
                <w:rFonts w:ascii="宋体" w:hAnsi="宋体" w:eastAsia="宋体" w:cs="Times New Roman"/>
                <w:kern w:val="2"/>
                <w:sz w:val="21"/>
                <w:szCs w:val="21"/>
                <w:lang w:val="en-US" w:eastAsia="zh-CN" w:bidi="ar-SA"/>
              </w:rPr>
            </w:pPr>
            <w:r>
              <w:rPr>
                <w:rFonts w:ascii="宋体" w:hAnsi="宋体" w:eastAsia="宋体" w:cs="Times New Roman"/>
                <w:kern w:val="2"/>
                <w:sz w:val="21"/>
                <w:szCs w:val="21"/>
                <w:lang w:val="en-US" w:eastAsia="zh-CN" w:bidi="ar-SA"/>
              </w:rPr>
              <w:t>运输行驶</w:t>
            </w:r>
          </w:p>
        </w:tc>
        <w:tc>
          <w:tcPr>
            <w:tcW w:w="361" w:type="pct"/>
            <w:tcMar>
              <w:top w:w="15" w:type="dxa"/>
              <w:left w:w="27" w:type="dxa"/>
              <w:bottom w:w="0" w:type="dxa"/>
              <w:right w:w="27" w:type="dxa"/>
            </w:tcMar>
            <w:vAlign w:val="center"/>
          </w:tcPr>
          <w:p w14:paraId="7EE0D33B">
            <w:pPr>
              <w:widowControl w:val="0"/>
              <w:adjustRightInd w:val="0"/>
              <w:snapToGrid w:val="0"/>
              <w:jc w:val="center"/>
              <w:rPr>
                <w:rFonts w:ascii="宋体" w:hAnsi="宋体" w:eastAsia="宋体" w:cs="Times New Roman"/>
                <w:kern w:val="2"/>
                <w:sz w:val="21"/>
                <w:szCs w:val="21"/>
                <w:lang w:val="en-US" w:eastAsia="zh-CN" w:bidi="ar-SA"/>
              </w:rPr>
            </w:pPr>
            <w:r>
              <w:rPr>
                <w:rFonts w:ascii="宋体" w:hAnsi="宋体" w:eastAsia="宋体" w:cs="Times New Roman"/>
                <w:kern w:val="2"/>
                <w:sz w:val="21"/>
                <w:szCs w:val="21"/>
                <w:lang w:val="en-US" w:eastAsia="zh-CN" w:bidi="ar-SA"/>
              </w:rPr>
              <w:t>养护</w:t>
            </w:r>
          </w:p>
        </w:tc>
      </w:tr>
      <w:tr w14:paraId="5A46DB0B">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0" w:type="dxa"/>
            <w:bottom w:w="0" w:type="dxa"/>
            <w:right w:w="0" w:type="dxa"/>
          </w:tblCellMar>
        </w:tblPrEx>
        <w:trPr>
          <w:trHeight w:val="31" w:hRule="atLeast"/>
          <w:jc w:val="center"/>
        </w:trPr>
        <w:tc>
          <w:tcPr>
            <w:tcW w:w="628" w:type="pct"/>
            <w:tcMar>
              <w:top w:w="15" w:type="dxa"/>
              <w:left w:w="27" w:type="dxa"/>
              <w:bottom w:w="0" w:type="dxa"/>
              <w:right w:w="27" w:type="dxa"/>
            </w:tcMar>
            <w:vAlign w:val="center"/>
          </w:tcPr>
          <w:p w14:paraId="58A2C23D">
            <w:pPr>
              <w:widowControl w:val="0"/>
              <w:adjustRightInd w:val="0"/>
              <w:snapToGrid w:val="0"/>
              <w:jc w:val="center"/>
              <w:rPr>
                <w:rFonts w:ascii="宋体" w:hAnsi="宋体" w:eastAsia="宋体" w:cs="Times New Roman"/>
                <w:kern w:val="2"/>
                <w:sz w:val="21"/>
                <w:szCs w:val="21"/>
                <w:lang w:val="en-US" w:eastAsia="zh-CN" w:bidi="ar-SA"/>
              </w:rPr>
            </w:pPr>
            <w:r>
              <w:rPr>
                <w:rFonts w:ascii="宋体" w:hAnsi="宋体" w:eastAsia="宋体" w:cs="Times New Roman"/>
                <w:kern w:val="2"/>
                <w:sz w:val="21"/>
                <w:szCs w:val="21"/>
                <w:lang w:val="en-US" w:eastAsia="zh-CN" w:bidi="ar-SA"/>
              </w:rPr>
              <w:t>声环境</w:t>
            </w:r>
          </w:p>
        </w:tc>
        <w:tc>
          <w:tcPr>
            <w:tcW w:w="411" w:type="pct"/>
            <w:tcMar>
              <w:top w:w="15" w:type="dxa"/>
              <w:left w:w="27" w:type="dxa"/>
              <w:bottom w:w="0" w:type="dxa"/>
              <w:right w:w="27" w:type="dxa"/>
            </w:tcMar>
            <w:vAlign w:val="center"/>
          </w:tcPr>
          <w:p w14:paraId="16001E14">
            <w:pPr>
              <w:widowControl w:val="0"/>
              <w:adjustRightInd w:val="0"/>
              <w:snapToGrid w:val="0"/>
              <w:jc w:val="center"/>
              <w:rPr>
                <w:rFonts w:ascii="宋体" w:hAnsi="宋体" w:eastAsia="宋体" w:cs="Times New Roman"/>
                <w:kern w:val="2"/>
                <w:sz w:val="21"/>
                <w:szCs w:val="21"/>
                <w:lang w:val="en-US" w:eastAsia="zh-CN" w:bidi="ar-SA"/>
              </w:rPr>
            </w:pPr>
          </w:p>
        </w:tc>
        <w:tc>
          <w:tcPr>
            <w:tcW w:w="411" w:type="pct"/>
            <w:tcMar>
              <w:top w:w="15" w:type="dxa"/>
              <w:left w:w="27" w:type="dxa"/>
              <w:bottom w:w="0" w:type="dxa"/>
              <w:right w:w="27" w:type="dxa"/>
            </w:tcMar>
            <w:vAlign w:val="center"/>
          </w:tcPr>
          <w:p w14:paraId="3ACA2B8D">
            <w:pPr>
              <w:widowControl w:val="0"/>
              <w:adjustRightInd w:val="0"/>
              <w:snapToGrid w:val="0"/>
              <w:jc w:val="center"/>
              <w:rPr>
                <w:rFonts w:ascii="宋体" w:hAnsi="宋体" w:eastAsia="宋体" w:cs="Times New Roman"/>
                <w:kern w:val="2"/>
                <w:sz w:val="21"/>
                <w:szCs w:val="21"/>
                <w:lang w:val="en-US" w:eastAsia="zh-CN" w:bidi="ar-SA"/>
              </w:rPr>
            </w:pPr>
            <w:r>
              <w:rPr>
                <w:rFonts w:ascii="宋体" w:hAnsi="宋体" w:eastAsia="宋体" w:cs="Times New Roman"/>
                <w:kern w:val="2"/>
                <w:sz w:val="21"/>
                <w:szCs w:val="21"/>
                <w:lang w:val="en-US" w:eastAsia="zh-CN" w:bidi="ar-SA"/>
              </w:rPr>
              <w:sym w:font="Wingdings" w:char="F06C"/>
            </w:r>
          </w:p>
        </w:tc>
        <w:tc>
          <w:tcPr>
            <w:tcW w:w="411" w:type="pct"/>
            <w:tcMar>
              <w:top w:w="15" w:type="dxa"/>
              <w:left w:w="27" w:type="dxa"/>
              <w:bottom w:w="0" w:type="dxa"/>
              <w:right w:w="27" w:type="dxa"/>
            </w:tcMar>
            <w:vAlign w:val="center"/>
          </w:tcPr>
          <w:p w14:paraId="23A684AD">
            <w:pPr>
              <w:widowControl w:val="0"/>
              <w:adjustRightInd w:val="0"/>
              <w:snapToGrid w:val="0"/>
              <w:jc w:val="center"/>
              <w:rPr>
                <w:rFonts w:ascii="宋体" w:hAnsi="宋体" w:eastAsia="宋体" w:cs="Times New Roman"/>
                <w:kern w:val="2"/>
                <w:sz w:val="21"/>
                <w:szCs w:val="21"/>
                <w:lang w:val="en-US" w:eastAsia="zh-CN" w:bidi="ar-SA"/>
              </w:rPr>
            </w:pPr>
            <w:r>
              <w:rPr>
                <w:rFonts w:ascii="宋体" w:hAnsi="宋体" w:eastAsia="宋体" w:cs="Times New Roman"/>
                <w:kern w:val="2"/>
                <w:sz w:val="21"/>
                <w:szCs w:val="21"/>
                <w:lang w:val="en-US" w:eastAsia="zh-CN" w:bidi="ar-SA"/>
              </w:rPr>
              <w:sym w:font="Wingdings" w:char="F06C"/>
            </w:r>
          </w:p>
        </w:tc>
        <w:tc>
          <w:tcPr>
            <w:tcW w:w="411" w:type="pct"/>
            <w:tcMar>
              <w:top w:w="15" w:type="dxa"/>
              <w:left w:w="27" w:type="dxa"/>
              <w:bottom w:w="0" w:type="dxa"/>
              <w:right w:w="27" w:type="dxa"/>
            </w:tcMar>
            <w:vAlign w:val="center"/>
          </w:tcPr>
          <w:p w14:paraId="0F9B6F0C">
            <w:pPr>
              <w:widowControl w:val="0"/>
              <w:adjustRightInd w:val="0"/>
              <w:snapToGrid w:val="0"/>
              <w:jc w:val="center"/>
              <w:rPr>
                <w:rFonts w:ascii="宋体" w:hAnsi="宋体" w:eastAsia="宋体" w:cs="Times New Roman"/>
                <w:kern w:val="2"/>
                <w:sz w:val="21"/>
                <w:szCs w:val="21"/>
                <w:lang w:val="en-US" w:eastAsia="zh-CN" w:bidi="ar-SA"/>
              </w:rPr>
            </w:pPr>
            <w:r>
              <w:rPr>
                <w:rFonts w:ascii="宋体" w:hAnsi="宋体" w:eastAsia="宋体" w:cs="Times New Roman"/>
                <w:kern w:val="2"/>
                <w:sz w:val="21"/>
                <w:szCs w:val="21"/>
                <w:lang w:val="en-US" w:eastAsia="zh-CN" w:bidi="ar-SA"/>
              </w:rPr>
              <w:sym w:font="Wingdings" w:char="F06C"/>
            </w:r>
          </w:p>
        </w:tc>
        <w:tc>
          <w:tcPr>
            <w:tcW w:w="411" w:type="pct"/>
            <w:tcMar>
              <w:top w:w="15" w:type="dxa"/>
              <w:left w:w="27" w:type="dxa"/>
              <w:bottom w:w="0" w:type="dxa"/>
              <w:right w:w="27" w:type="dxa"/>
            </w:tcMar>
            <w:vAlign w:val="center"/>
          </w:tcPr>
          <w:p w14:paraId="4DA71282">
            <w:pPr>
              <w:widowControl w:val="0"/>
              <w:adjustRightInd w:val="0"/>
              <w:snapToGrid w:val="0"/>
              <w:jc w:val="center"/>
              <w:rPr>
                <w:rFonts w:ascii="宋体" w:hAnsi="宋体" w:eastAsia="宋体" w:cs="Times New Roman"/>
                <w:kern w:val="2"/>
                <w:sz w:val="21"/>
                <w:szCs w:val="21"/>
                <w:lang w:val="en-US" w:eastAsia="zh-CN" w:bidi="ar-SA"/>
              </w:rPr>
            </w:pPr>
            <w:r>
              <w:rPr>
                <w:rFonts w:ascii="宋体" w:hAnsi="宋体" w:eastAsia="宋体" w:cs="Times New Roman"/>
                <w:kern w:val="2"/>
                <w:sz w:val="21"/>
                <w:szCs w:val="21"/>
                <w:lang w:val="en-US" w:eastAsia="zh-CN" w:bidi="ar-SA"/>
              </w:rPr>
              <w:sym w:font="Wingdings" w:char="F06C"/>
            </w:r>
          </w:p>
        </w:tc>
        <w:tc>
          <w:tcPr>
            <w:tcW w:w="411" w:type="pct"/>
            <w:tcMar>
              <w:top w:w="15" w:type="dxa"/>
              <w:left w:w="27" w:type="dxa"/>
              <w:bottom w:w="0" w:type="dxa"/>
              <w:right w:w="27" w:type="dxa"/>
            </w:tcMar>
            <w:vAlign w:val="center"/>
          </w:tcPr>
          <w:p w14:paraId="364060A0">
            <w:pPr>
              <w:widowControl w:val="0"/>
              <w:adjustRightInd w:val="0"/>
              <w:snapToGrid w:val="0"/>
              <w:jc w:val="center"/>
              <w:rPr>
                <w:rFonts w:ascii="宋体" w:hAnsi="宋体" w:eastAsia="宋体" w:cs="Times New Roman"/>
                <w:kern w:val="2"/>
                <w:sz w:val="21"/>
                <w:szCs w:val="21"/>
                <w:lang w:val="en-US" w:eastAsia="zh-CN" w:bidi="ar-SA"/>
              </w:rPr>
            </w:pPr>
            <w:r>
              <w:rPr>
                <w:rFonts w:ascii="宋体" w:hAnsi="宋体" w:eastAsia="宋体" w:cs="Times New Roman"/>
                <w:kern w:val="2"/>
                <w:sz w:val="21"/>
                <w:szCs w:val="21"/>
                <w:lang w:val="en-US" w:eastAsia="zh-CN" w:bidi="ar-SA"/>
              </w:rPr>
              <w:sym w:font="Wingdings" w:char="F06C"/>
            </w:r>
          </w:p>
        </w:tc>
        <w:tc>
          <w:tcPr>
            <w:tcW w:w="411" w:type="pct"/>
            <w:tcMar>
              <w:top w:w="15" w:type="dxa"/>
              <w:left w:w="27" w:type="dxa"/>
              <w:bottom w:w="0" w:type="dxa"/>
              <w:right w:w="27" w:type="dxa"/>
            </w:tcMar>
            <w:vAlign w:val="center"/>
          </w:tcPr>
          <w:p w14:paraId="009DF0EF">
            <w:pPr>
              <w:widowControl w:val="0"/>
              <w:adjustRightInd w:val="0"/>
              <w:snapToGrid w:val="0"/>
              <w:jc w:val="center"/>
              <w:rPr>
                <w:rFonts w:ascii="宋体" w:hAnsi="宋体" w:eastAsia="宋体" w:cs="Times New Roman"/>
                <w:kern w:val="2"/>
                <w:sz w:val="21"/>
                <w:szCs w:val="21"/>
                <w:lang w:val="en-US" w:eastAsia="zh-CN" w:bidi="ar-SA"/>
              </w:rPr>
            </w:pPr>
            <w:r>
              <w:rPr>
                <w:rFonts w:ascii="宋体" w:hAnsi="宋体" w:eastAsia="宋体" w:cs="Times New Roman"/>
                <w:kern w:val="2"/>
                <w:sz w:val="21"/>
                <w:szCs w:val="21"/>
                <w:lang w:val="en-US" w:eastAsia="zh-CN" w:bidi="ar-SA"/>
              </w:rPr>
              <w:sym w:font="Wingdings" w:char="F06C"/>
            </w:r>
          </w:p>
        </w:tc>
        <w:tc>
          <w:tcPr>
            <w:tcW w:w="411" w:type="pct"/>
            <w:tcMar>
              <w:top w:w="15" w:type="dxa"/>
              <w:left w:w="27" w:type="dxa"/>
              <w:bottom w:w="0" w:type="dxa"/>
              <w:right w:w="27" w:type="dxa"/>
            </w:tcMar>
            <w:vAlign w:val="center"/>
          </w:tcPr>
          <w:p w14:paraId="0323BB5C">
            <w:pPr>
              <w:widowControl w:val="0"/>
              <w:adjustRightInd w:val="0"/>
              <w:snapToGrid w:val="0"/>
              <w:jc w:val="center"/>
              <w:rPr>
                <w:rFonts w:ascii="宋体" w:hAnsi="宋体" w:eastAsia="宋体" w:cs="Times New Roman"/>
                <w:kern w:val="2"/>
                <w:sz w:val="21"/>
                <w:szCs w:val="21"/>
                <w:lang w:val="en-US" w:eastAsia="zh-CN" w:bidi="ar-SA"/>
              </w:rPr>
            </w:pPr>
            <w:r>
              <w:rPr>
                <w:rFonts w:ascii="宋体" w:hAnsi="宋体" w:eastAsia="宋体" w:cs="Times New Roman"/>
                <w:kern w:val="2"/>
                <w:sz w:val="21"/>
                <w:szCs w:val="21"/>
                <w:lang w:val="en-US" w:eastAsia="zh-CN" w:bidi="ar-SA"/>
              </w:rPr>
              <w:sym w:font="Wingdings" w:char="F06C"/>
            </w:r>
          </w:p>
        </w:tc>
        <w:tc>
          <w:tcPr>
            <w:tcW w:w="361" w:type="pct"/>
            <w:tcMar>
              <w:top w:w="15" w:type="dxa"/>
              <w:left w:w="27" w:type="dxa"/>
              <w:bottom w:w="0" w:type="dxa"/>
              <w:right w:w="27" w:type="dxa"/>
            </w:tcMar>
            <w:vAlign w:val="center"/>
          </w:tcPr>
          <w:p w14:paraId="4B6230C9">
            <w:pPr>
              <w:widowControl w:val="0"/>
              <w:adjustRightInd w:val="0"/>
              <w:snapToGrid w:val="0"/>
              <w:jc w:val="center"/>
              <w:rPr>
                <w:rFonts w:ascii="宋体" w:hAnsi="宋体" w:eastAsia="宋体" w:cs="Times New Roman"/>
                <w:kern w:val="2"/>
                <w:sz w:val="21"/>
                <w:szCs w:val="21"/>
                <w:lang w:val="en-US" w:eastAsia="zh-CN" w:bidi="ar-SA"/>
              </w:rPr>
            </w:pPr>
            <w:r>
              <w:rPr>
                <w:rFonts w:ascii="宋体" w:hAnsi="宋体" w:eastAsia="宋体" w:cs="Times New Roman"/>
                <w:kern w:val="2"/>
                <w:sz w:val="21"/>
                <w:szCs w:val="21"/>
                <w:lang w:val="en-US" w:eastAsia="zh-CN" w:bidi="ar-SA"/>
              </w:rPr>
              <w:t>□</w:t>
            </w:r>
          </w:p>
        </w:tc>
        <w:tc>
          <w:tcPr>
            <w:tcW w:w="362" w:type="pct"/>
            <w:tcMar>
              <w:top w:w="15" w:type="dxa"/>
              <w:left w:w="27" w:type="dxa"/>
              <w:bottom w:w="0" w:type="dxa"/>
              <w:right w:w="27" w:type="dxa"/>
            </w:tcMar>
            <w:vAlign w:val="center"/>
          </w:tcPr>
          <w:p w14:paraId="76A0452F">
            <w:pPr>
              <w:widowControl w:val="0"/>
              <w:adjustRightInd w:val="0"/>
              <w:snapToGrid w:val="0"/>
              <w:jc w:val="center"/>
              <w:rPr>
                <w:rFonts w:ascii="宋体" w:hAnsi="宋体" w:eastAsia="宋体" w:cs="Times New Roman"/>
                <w:kern w:val="2"/>
                <w:sz w:val="21"/>
                <w:szCs w:val="21"/>
                <w:lang w:val="en-US" w:eastAsia="zh-CN" w:bidi="ar-SA"/>
              </w:rPr>
            </w:pPr>
            <w:r>
              <w:rPr>
                <w:rFonts w:ascii="宋体" w:hAnsi="宋体" w:eastAsia="宋体" w:cs="Times New Roman"/>
                <w:kern w:val="2"/>
                <w:sz w:val="21"/>
                <w:szCs w:val="21"/>
                <w:lang w:val="en-US" w:eastAsia="zh-CN" w:bidi="ar-SA"/>
              </w:rPr>
              <w:sym w:font="Wingdings" w:char="F06E"/>
            </w:r>
          </w:p>
        </w:tc>
        <w:tc>
          <w:tcPr>
            <w:tcW w:w="361" w:type="pct"/>
            <w:tcMar>
              <w:top w:w="15" w:type="dxa"/>
              <w:left w:w="27" w:type="dxa"/>
              <w:bottom w:w="0" w:type="dxa"/>
              <w:right w:w="27" w:type="dxa"/>
            </w:tcMar>
            <w:vAlign w:val="center"/>
          </w:tcPr>
          <w:p w14:paraId="26BA2F69">
            <w:pPr>
              <w:widowControl w:val="0"/>
              <w:adjustRightInd w:val="0"/>
              <w:snapToGrid w:val="0"/>
              <w:jc w:val="center"/>
              <w:rPr>
                <w:rFonts w:ascii="宋体" w:hAnsi="宋体" w:eastAsia="宋体" w:cs="Times New Roman"/>
                <w:kern w:val="2"/>
                <w:sz w:val="21"/>
                <w:szCs w:val="21"/>
                <w:lang w:val="en-US" w:eastAsia="zh-CN" w:bidi="ar-SA"/>
              </w:rPr>
            </w:pPr>
            <w:r>
              <w:rPr>
                <w:rFonts w:ascii="宋体" w:hAnsi="宋体" w:eastAsia="宋体" w:cs="Times New Roman"/>
                <w:kern w:val="2"/>
                <w:sz w:val="21"/>
                <w:szCs w:val="21"/>
                <w:lang w:val="en-US" w:eastAsia="zh-CN" w:bidi="ar-SA"/>
              </w:rPr>
              <w:t>□</w:t>
            </w:r>
          </w:p>
        </w:tc>
      </w:tr>
    </w:tbl>
    <w:p w14:paraId="784730C5">
      <w:pPr>
        <w:widowControl w:val="0"/>
        <w:adjustRightInd w:val="0"/>
        <w:snapToGrid w:val="0"/>
        <w:jc w:val="both"/>
        <w:rPr>
          <w:rFonts w:ascii="宋体" w:hAnsi="宋体" w:eastAsia="宋体" w:cs="Times New Roman"/>
          <w:kern w:val="2"/>
          <w:sz w:val="18"/>
          <w:szCs w:val="18"/>
          <w:lang w:val="en-US" w:eastAsia="zh-CN" w:bidi="ar-SA"/>
        </w:rPr>
      </w:pPr>
      <w:r>
        <w:rPr>
          <w:rFonts w:ascii="宋体" w:hAnsi="宋体" w:eastAsia="宋体" w:cs="Times New Roman"/>
          <w:kern w:val="2"/>
          <w:sz w:val="18"/>
          <w:szCs w:val="18"/>
          <w:lang w:val="en-US" w:eastAsia="zh-CN" w:bidi="ar-SA"/>
        </w:rPr>
        <w:t>注：□/○：长期/短期有利影响；■/●：长期/短期不利影响；空白：相互作用不明显。</w:t>
      </w:r>
    </w:p>
    <w:p w14:paraId="1561E2E8">
      <w:pPr>
        <w:keepNext/>
        <w:keepLines/>
        <w:widowControl w:val="0"/>
        <w:adjustRightInd w:val="0"/>
        <w:spacing w:before="120" w:after="120" w:line="300" w:lineRule="auto"/>
        <w:jc w:val="both"/>
        <w:textAlignment w:val="baseline"/>
        <w:outlineLvl w:val="2"/>
        <w:rPr>
          <w:rFonts w:ascii="Times New Roman" w:hAnsi="Times New Roman" w:eastAsia="宋体" w:cs="Times New Roman"/>
          <w:b/>
          <w:bCs w:val="0"/>
          <w:kern w:val="0"/>
          <w:sz w:val="24"/>
          <w:szCs w:val="32"/>
          <w:lang w:val="en-US" w:eastAsia="zh-CN" w:bidi="ar-SA"/>
        </w:rPr>
      </w:pPr>
      <w:bookmarkStart w:id="105" w:name="_Toc224237277"/>
      <w:r>
        <w:rPr>
          <w:rFonts w:ascii="Times New Roman" w:hAnsi="Times New Roman" w:eastAsia="宋体" w:cs="Times New Roman"/>
          <w:b/>
          <w:bCs w:val="0"/>
          <w:kern w:val="0"/>
          <w:sz w:val="24"/>
          <w:szCs w:val="32"/>
          <w:lang w:val="en-US" w:eastAsia="zh-CN" w:bidi="ar-SA"/>
        </w:rPr>
        <w:t>1.</w:t>
      </w:r>
      <w:r>
        <w:rPr>
          <w:rFonts w:hint="eastAsia" w:ascii="Times New Roman" w:hAnsi="Times New Roman" w:eastAsia="宋体" w:cs="Times New Roman"/>
          <w:b/>
          <w:bCs w:val="0"/>
          <w:kern w:val="0"/>
          <w:sz w:val="24"/>
          <w:szCs w:val="32"/>
          <w:lang w:val="en-US" w:eastAsia="zh-CN" w:bidi="ar-SA"/>
        </w:rPr>
        <w:t>4</w:t>
      </w:r>
      <w:r>
        <w:rPr>
          <w:rFonts w:ascii="Times New Roman" w:hAnsi="Times New Roman" w:eastAsia="宋体" w:cs="Times New Roman"/>
          <w:b/>
          <w:bCs w:val="0"/>
          <w:kern w:val="0"/>
          <w:sz w:val="24"/>
          <w:szCs w:val="32"/>
          <w:lang w:val="en-US" w:eastAsia="zh-CN" w:bidi="ar-SA"/>
        </w:rPr>
        <w:t>.</w:t>
      </w:r>
      <w:r>
        <w:rPr>
          <w:rFonts w:hint="eastAsia" w:ascii="Times New Roman" w:hAnsi="Times New Roman" w:eastAsia="宋体" w:cs="Times New Roman"/>
          <w:b/>
          <w:bCs w:val="0"/>
          <w:kern w:val="0"/>
          <w:sz w:val="24"/>
          <w:szCs w:val="32"/>
          <w:lang w:val="en-US" w:eastAsia="zh-CN" w:bidi="ar-SA"/>
        </w:rPr>
        <w:t>2</w:t>
      </w:r>
      <w:r>
        <w:rPr>
          <w:rFonts w:ascii="Times New Roman" w:hAnsi="Times New Roman" w:eastAsia="宋体" w:cs="Times New Roman"/>
          <w:b/>
          <w:bCs w:val="0"/>
          <w:kern w:val="0"/>
          <w:sz w:val="24"/>
          <w:szCs w:val="32"/>
          <w:lang w:val="en-US" w:eastAsia="zh-CN" w:bidi="ar-SA"/>
        </w:rPr>
        <w:t xml:space="preserve"> 评价因子</w:t>
      </w:r>
      <w:bookmarkEnd w:id="98"/>
      <w:bookmarkEnd w:id="105"/>
    </w:p>
    <w:p w14:paraId="037FCB22">
      <w:pPr>
        <w:spacing w:line="30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根据对拟建公路的特点、沿线环境特征、工程的环境影响要素分析和识别，结合</w:t>
      </w:r>
      <w:r>
        <w:rPr>
          <w:rFonts w:hint="eastAsia" w:ascii="Times New Roman" w:hAnsi="Times New Roman" w:eastAsia="宋体" w:cs="Times New Roman"/>
          <w:sz w:val="24"/>
        </w:rPr>
        <w:t>《环境影响评价技术导则 声环境》(HJ 2.4-2021)和《环境影响评价技术导则 公路建设项目》（HJ1358-2024），</w:t>
      </w:r>
      <w:r>
        <w:rPr>
          <w:rFonts w:ascii="Times New Roman" w:hAnsi="Times New Roman" w:eastAsia="宋体" w:cs="Times New Roman"/>
          <w:sz w:val="24"/>
        </w:rPr>
        <w:t>筛选出</w:t>
      </w:r>
      <w:r>
        <w:rPr>
          <w:rFonts w:hint="eastAsia" w:ascii="Times New Roman" w:hAnsi="Times New Roman" w:eastAsia="宋体" w:cs="Times New Roman"/>
          <w:sz w:val="24"/>
        </w:rPr>
        <w:t>声环境</w:t>
      </w:r>
      <w:r>
        <w:rPr>
          <w:rFonts w:ascii="Times New Roman" w:hAnsi="Times New Roman" w:eastAsia="宋体" w:cs="Times New Roman"/>
          <w:sz w:val="24"/>
        </w:rPr>
        <w:t>影响评价因子，见表1.</w:t>
      </w:r>
      <w:r>
        <w:rPr>
          <w:rFonts w:hint="eastAsia" w:ascii="Times New Roman" w:hAnsi="Times New Roman" w:eastAsia="宋体" w:cs="Times New Roman"/>
          <w:sz w:val="24"/>
        </w:rPr>
        <w:t>4</w:t>
      </w:r>
      <w:r>
        <w:rPr>
          <w:rFonts w:ascii="Times New Roman" w:hAnsi="Times New Roman" w:eastAsia="宋体" w:cs="Times New Roman"/>
          <w:sz w:val="24"/>
        </w:rPr>
        <w:t>-</w:t>
      </w:r>
      <w:r>
        <w:rPr>
          <w:rFonts w:hint="eastAsia" w:ascii="Times New Roman" w:hAnsi="Times New Roman" w:eastAsia="宋体" w:cs="Times New Roman"/>
          <w:sz w:val="24"/>
        </w:rPr>
        <w:t>2</w:t>
      </w:r>
      <w:r>
        <w:rPr>
          <w:rFonts w:ascii="Times New Roman" w:hAnsi="Times New Roman" w:eastAsia="宋体" w:cs="Times New Roman"/>
          <w:sz w:val="24"/>
        </w:rPr>
        <w:t>。</w:t>
      </w:r>
    </w:p>
    <w:p w14:paraId="26E441A4">
      <w:pPr>
        <w:widowControl w:val="0"/>
        <w:adjustRightInd w:val="0"/>
        <w:spacing w:beforeLines="50" w:line="240" w:lineRule="auto"/>
        <w:jc w:val="center"/>
        <w:textAlignment w:val="baseline"/>
        <w:rPr>
          <w:rFonts w:ascii="Times New Roman" w:hAnsi="Times New Roman" w:eastAsia="宋体" w:cs="Times New Roman"/>
          <w:b/>
          <w:spacing w:val="5"/>
          <w:kern w:val="0"/>
          <w:sz w:val="21"/>
          <w:szCs w:val="20"/>
          <w:lang w:val="en-US" w:eastAsia="zh-CN" w:bidi="ar-SA"/>
        </w:rPr>
      </w:pPr>
      <w:r>
        <w:rPr>
          <w:rFonts w:ascii="Times New Roman" w:hAnsi="Times New Roman" w:eastAsia="宋体" w:cs="Times New Roman"/>
          <w:b/>
          <w:spacing w:val="5"/>
          <w:kern w:val="0"/>
          <w:sz w:val="21"/>
          <w:szCs w:val="20"/>
          <w:lang w:val="en-US" w:eastAsia="zh-CN" w:bidi="ar-SA"/>
        </w:rPr>
        <w:t>表1.</w:t>
      </w:r>
      <w:r>
        <w:rPr>
          <w:rFonts w:hint="eastAsia" w:ascii="Times New Roman" w:hAnsi="Times New Roman" w:eastAsia="宋体" w:cs="Times New Roman"/>
          <w:b/>
          <w:spacing w:val="5"/>
          <w:kern w:val="0"/>
          <w:sz w:val="21"/>
          <w:szCs w:val="20"/>
          <w:lang w:val="en-US" w:eastAsia="zh-CN" w:bidi="ar-SA"/>
        </w:rPr>
        <w:t>4</w:t>
      </w:r>
      <w:r>
        <w:rPr>
          <w:rFonts w:ascii="Times New Roman" w:hAnsi="Times New Roman" w:eastAsia="宋体" w:cs="Times New Roman"/>
          <w:b/>
          <w:spacing w:val="5"/>
          <w:kern w:val="0"/>
          <w:sz w:val="21"/>
          <w:szCs w:val="20"/>
          <w:lang w:val="en-US" w:eastAsia="zh-CN" w:bidi="ar-SA"/>
        </w:rPr>
        <w:t>-</w:t>
      </w:r>
      <w:r>
        <w:rPr>
          <w:rFonts w:hint="eastAsia" w:ascii="Times New Roman" w:hAnsi="Times New Roman" w:eastAsia="宋体" w:cs="Times New Roman"/>
          <w:b/>
          <w:spacing w:val="5"/>
          <w:kern w:val="0"/>
          <w:sz w:val="21"/>
          <w:szCs w:val="20"/>
          <w:lang w:val="en-US" w:eastAsia="zh-CN" w:bidi="ar-SA"/>
        </w:rPr>
        <w:t>2</w:t>
      </w:r>
      <w:r>
        <w:rPr>
          <w:rFonts w:ascii="Times New Roman" w:hAnsi="Times New Roman" w:eastAsia="宋体" w:cs="Times New Roman"/>
          <w:b/>
          <w:spacing w:val="5"/>
          <w:kern w:val="0"/>
          <w:sz w:val="21"/>
          <w:szCs w:val="20"/>
          <w:lang w:val="en-US" w:eastAsia="zh-CN" w:bidi="ar-SA"/>
        </w:rPr>
        <w:t xml:space="preserve">  拟建公路环境影响评价因子筛选表</w:t>
      </w:r>
    </w:p>
    <w:tbl>
      <w:tblPr>
        <w:tblStyle w:val="22"/>
        <w:tblW w:w="5000" w:type="pct"/>
        <w:jc w:val="center"/>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999"/>
        <w:gridCol w:w="2354"/>
        <w:gridCol w:w="2769"/>
        <w:gridCol w:w="2244"/>
      </w:tblGrid>
      <w:tr w14:paraId="1836E8BC">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597" w:type="pct"/>
            <w:vAlign w:val="center"/>
          </w:tcPr>
          <w:p w14:paraId="70B12324">
            <w:pPr>
              <w:jc w:val="center"/>
              <w:rPr>
                <w:rFonts w:ascii="Times New Roman" w:hAnsi="Times New Roman" w:eastAsia="宋体" w:cs="Times New Roman"/>
                <w:b/>
              </w:rPr>
            </w:pPr>
            <w:r>
              <w:rPr>
                <w:rFonts w:ascii="Times New Roman" w:hAnsi="Times New Roman" w:eastAsia="宋体" w:cs="Times New Roman"/>
                <w:b/>
              </w:rPr>
              <w:t>环境要素</w:t>
            </w:r>
          </w:p>
        </w:tc>
        <w:tc>
          <w:tcPr>
            <w:tcW w:w="1407" w:type="pct"/>
            <w:vAlign w:val="center"/>
          </w:tcPr>
          <w:p w14:paraId="58EB8DC1">
            <w:pPr>
              <w:jc w:val="center"/>
              <w:rPr>
                <w:rFonts w:ascii="Times New Roman" w:hAnsi="Times New Roman" w:eastAsia="宋体" w:cs="Times New Roman"/>
                <w:b/>
              </w:rPr>
            </w:pPr>
            <w:r>
              <w:rPr>
                <w:rFonts w:ascii="Times New Roman" w:hAnsi="Times New Roman" w:eastAsia="宋体" w:cs="Times New Roman"/>
                <w:b/>
              </w:rPr>
              <w:t>现状评价</w:t>
            </w:r>
          </w:p>
        </w:tc>
        <w:tc>
          <w:tcPr>
            <w:tcW w:w="1655" w:type="pct"/>
            <w:vAlign w:val="center"/>
          </w:tcPr>
          <w:p w14:paraId="47541953">
            <w:pPr>
              <w:jc w:val="center"/>
              <w:rPr>
                <w:rFonts w:ascii="Times New Roman" w:hAnsi="Times New Roman" w:eastAsia="宋体" w:cs="Times New Roman"/>
                <w:b/>
              </w:rPr>
            </w:pPr>
            <w:r>
              <w:rPr>
                <w:rFonts w:ascii="Times New Roman" w:hAnsi="Times New Roman" w:eastAsia="宋体" w:cs="Times New Roman"/>
                <w:b/>
              </w:rPr>
              <w:t>施工期</w:t>
            </w:r>
          </w:p>
        </w:tc>
        <w:tc>
          <w:tcPr>
            <w:tcW w:w="1341" w:type="pct"/>
            <w:vAlign w:val="center"/>
          </w:tcPr>
          <w:p w14:paraId="696D6AD2">
            <w:pPr>
              <w:jc w:val="center"/>
              <w:rPr>
                <w:rFonts w:ascii="Times New Roman" w:hAnsi="Times New Roman" w:eastAsia="宋体" w:cs="Times New Roman"/>
                <w:b/>
              </w:rPr>
            </w:pPr>
            <w:r>
              <w:rPr>
                <w:rFonts w:ascii="Times New Roman" w:hAnsi="Times New Roman" w:eastAsia="宋体" w:cs="Times New Roman"/>
                <w:b/>
              </w:rPr>
              <w:t>运营期</w:t>
            </w:r>
          </w:p>
        </w:tc>
      </w:tr>
      <w:tr w14:paraId="6FDEF1B7">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597" w:type="pct"/>
            <w:vAlign w:val="center"/>
          </w:tcPr>
          <w:p w14:paraId="12C8854C">
            <w:pPr>
              <w:jc w:val="center"/>
              <w:rPr>
                <w:rFonts w:ascii="Times New Roman" w:hAnsi="Times New Roman" w:eastAsia="宋体" w:cs="Times New Roman"/>
              </w:rPr>
            </w:pPr>
            <w:r>
              <w:rPr>
                <w:rFonts w:ascii="Times New Roman" w:hAnsi="Times New Roman" w:eastAsia="宋体" w:cs="Times New Roman"/>
              </w:rPr>
              <w:t>声环境</w:t>
            </w:r>
          </w:p>
        </w:tc>
        <w:tc>
          <w:tcPr>
            <w:tcW w:w="1407" w:type="pct"/>
            <w:vAlign w:val="center"/>
          </w:tcPr>
          <w:p w14:paraId="5838AD05">
            <w:pPr>
              <w:jc w:val="center"/>
              <w:rPr>
                <w:rFonts w:ascii="Times New Roman" w:hAnsi="Times New Roman" w:eastAsia="宋体" w:cs="Times New Roman"/>
              </w:rPr>
            </w:pPr>
            <w:r>
              <w:rPr>
                <w:rFonts w:hint="eastAsia" w:ascii="Times New Roman" w:hAnsi="Times New Roman" w:eastAsia="宋体" w:cs="Times New Roman"/>
              </w:rPr>
              <w:t>昼间等效连续A声级</w:t>
            </w:r>
            <w:r>
              <w:rPr>
                <w:rFonts w:ascii="Times New Roman" w:hAnsi="Times New Roman" w:eastAsia="宋体" w:cs="Times New Roman"/>
              </w:rPr>
              <w:t>L</w:t>
            </w:r>
            <w:r>
              <w:rPr>
                <w:rFonts w:hint="eastAsia" w:ascii="Times New Roman" w:hAnsi="Times New Roman" w:eastAsia="宋体" w:cs="Times New Roman"/>
              </w:rPr>
              <w:t>d</w:t>
            </w:r>
          </w:p>
          <w:p w14:paraId="432BA11D">
            <w:pPr>
              <w:jc w:val="center"/>
              <w:rPr>
                <w:rFonts w:ascii="宋体" w:hAnsi="Times New Roman" w:eastAsia="宋体" w:cs="宋体"/>
              </w:rPr>
            </w:pPr>
            <w:r>
              <w:rPr>
                <w:rFonts w:hint="eastAsia" w:ascii="Times New Roman" w:hAnsi="Times New Roman" w:eastAsia="宋体" w:cs="Times New Roman"/>
              </w:rPr>
              <w:t>夜间等效连续A声级Ln</w:t>
            </w:r>
          </w:p>
          <w:p w14:paraId="65D44BC5">
            <w:pPr>
              <w:jc w:val="center"/>
              <w:rPr>
                <w:rFonts w:ascii="Times New Roman" w:hAnsi="Times New Roman" w:eastAsia="宋体" w:cs="Times New Roman"/>
                <w:vertAlign w:val="subscript"/>
              </w:rPr>
            </w:pPr>
            <w:r>
              <w:rPr>
                <w:rFonts w:hint="eastAsia" w:ascii="Times New Roman" w:hAnsi="Times New Roman" w:eastAsia="宋体" w:cs="Times New Roman"/>
              </w:rPr>
              <w:t>夜间</w:t>
            </w:r>
            <w:r>
              <w:rPr>
                <w:rFonts w:ascii="Times New Roman" w:hAnsi="Times New Roman" w:eastAsia="宋体" w:cs="Times New Roman"/>
              </w:rPr>
              <w:t>最大</w:t>
            </w:r>
            <w:r>
              <w:rPr>
                <w:rFonts w:hint="eastAsia" w:ascii="Times New Roman" w:hAnsi="Times New Roman" w:eastAsia="宋体" w:cs="Times New Roman"/>
              </w:rPr>
              <w:t>A声级</w:t>
            </w:r>
            <w:r>
              <w:rPr>
                <w:rFonts w:ascii="Times New Roman" w:hAnsi="Times New Roman" w:eastAsia="宋体" w:cs="Times New Roman"/>
              </w:rPr>
              <w:t>L</w:t>
            </w:r>
            <w:r>
              <w:rPr>
                <w:rFonts w:hint="eastAsia" w:ascii="Times New Roman" w:hAnsi="Times New Roman" w:eastAsia="宋体" w:cs="Times New Roman"/>
                <w:vertAlign w:val="subscript"/>
              </w:rPr>
              <w:t>A</w:t>
            </w:r>
            <w:r>
              <w:rPr>
                <w:rFonts w:ascii="Times New Roman" w:hAnsi="Times New Roman" w:eastAsia="宋体" w:cs="Times New Roman"/>
                <w:vertAlign w:val="subscript"/>
              </w:rPr>
              <w:t>max</w:t>
            </w:r>
          </w:p>
        </w:tc>
        <w:tc>
          <w:tcPr>
            <w:tcW w:w="1655" w:type="pct"/>
            <w:vAlign w:val="center"/>
          </w:tcPr>
          <w:p w14:paraId="46DCA357">
            <w:pPr>
              <w:jc w:val="center"/>
              <w:rPr>
                <w:rFonts w:ascii="Times New Roman" w:hAnsi="Times New Roman" w:eastAsia="宋体" w:cs="Times New Roman"/>
              </w:rPr>
            </w:pPr>
            <w:r>
              <w:rPr>
                <w:rFonts w:hint="eastAsia" w:ascii="Times New Roman" w:hAnsi="Times New Roman" w:eastAsia="宋体" w:cs="Times New Roman"/>
              </w:rPr>
              <w:t>昼间等效连续A声级</w:t>
            </w:r>
            <w:r>
              <w:rPr>
                <w:rFonts w:ascii="Times New Roman" w:hAnsi="Times New Roman" w:eastAsia="宋体" w:cs="Times New Roman"/>
              </w:rPr>
              <w:t>L</w:t>
            </w:r>
            <w:r>
              <w:rPr>
                <w:rFonts w:hint="eastAsia" w:ascii="Times New Roman" w:hAnsi="Times New Roman" w:eastAsia="宋体" w:cs="Times New Roman"/>
              </w:rPr>
              <w:t>d</w:t>
            </w:r>
          </w:p>
          <w:p w14:paraId="4178815B">
            <w:pPr>
              <w:jc w:val="center"/>
              <w:rPr>
                <w:rFonts w:ascii="宋体" w:hAnsi="Times New Roman" w:eastAsia="宋体" w:cs="宋体"/>
              </w:rPr>
            </w:pPr>
            <w:r>
              <w:rPr>
                <w:rFonts w:hint="eastAsia" w:ascii="Times New Roman" w:hAnsi="Times New Roman" w:eastAsia="宋体" w:cs="Times New Roman"/>
              </w:rPr>
              <w:t>夜间等效连续A声级Ln</w:t>
            </w:r>
          </w:p>
          <w:p w14:paraId="496B22D2">
            <w:pPr>
              <w:jc w:val="center"/>
              <w:rPr>
                <w:rFonts w:ascii="Times New Roman" w:hAnsi="Times New Roman" w:eastAsia="宋体" w:cs="Times New Roman"/>
                <w:vertAlign w:val="subscript"/>
              </w:rPr>
            </w:pPr>
            <w:r>
              <w:rPr>
                <w:rFonts w:hint="eastAsia" w:ascii="Times New Roman" w:hAnsi="Times New Roman" w:eastAsia="宋体" w:cs="Times New Roman"/>
              </w:rPr>
              <w:t>夜间</w:t>
            </w:r>
            <w:r>
              <w:rPr>
                <w:rFonts w:ascii="Times New Roman" w:hAnsi="Times New Roman" w:eastAsia="宋体" w:cs="Times New Roman"/>
              </w:rPr>
              <w:t>最大</w:t>
            </w:r>
            <w:r>
              <w:rPr>
                <w:rFonts w:hint="eastAsia" w:ascii="Times New Roman" w:hAnsi="Times New Roman" w:eastAsia="宋体" w:cs="Times New Roman"/>
              </w:rPr>
              <w:t>A声级</w:t>
            </w:r>
            <w:r>
              <w:rPr>
                <w:rFonts w:ascii="Times New Roman" w:hAnsi="Times New Roman" w:eastAsia="宋体" w:cs="Times New Roman"/>
              </w:rPr>
              <w:t>L</w:t>
            </w:r>
            <w:r>
              <w:rPr>
                <w:rFonts w:hint="eastAsia" w:ascii="Times New Roman" w:hAnsi="Times New Roman" w:eastAsia="宋体" w:cs="Times New Roman"/>
                <w:vertAlign w:val="subscript"/>
              </w:rPr>
              <w:t>A</w:t>
            </w:r>
            <w:r>
              <w:rPr>
                <w:rFonts w:ascii="Times New Roman" w:hAnsi="Times New Roman" w:eastAsia="宋体" w:cs="Times New Roman"/>
                <w:vertAlign w:val="subscript"/>
              </w:rPr>
              <w:t>max</w:t>
            </w:r>
          </w:p>
        </w:tc>
        <w:tc>
          <w:tcPr>
            <w:tcW w:w="1341" w:type="pct"/>
            <w:vAlign w:val="center"/>
          </w:tcPr>
          <w:p w14:paraId="445E10C3">
            <w:pPr>
              <w:jc w:val="center"/>
              <w:rPr>
                <w:rFonts w:ascii="Times New Roman" w:hAnsi="Times New Roman" w:eastAsia="宋体" w:cs="Times New Roman"/>
              </w:rPr>
            </w:pPr>
            <w:r>
              <w:rPr>
                <w:rFonts w:hint="eastAsia" w:ascii="Times New Roman" w:hAnsi="Times New Roman" w:eastAsia="宋体" w:cs="Times New Roman"/>
              </w:rPr>
              <w:t>昼间等效连续A声级</w:t>
            </w:r>
            <w:r>
              <w:rPr>
                <w:rFonts w:ascii="Times New Roman" w:hAnsi="Times New Roman" w:eastAsia="宋体" w:cs="Times New Roman"/>
              </w:rPr>
              <w:t>L</w:t>
            </w:r>
            <w:r>
              <w:rPr>
                <w:rFonts w:hint="eastAsia" w:ascii="Times New Roman" w:hAnsi="Times New Roman" w:eastAsia="宋体" w:cs="Times New Roman"/>
              </w:rPr>
              <w:t>d</w:t>
            </w:r>
          </w:p>
          <w:p w14:paraId="53BAA3A7">
            <w:pPr>
              <w:jc w:val="center"/>
              <w:rPr>
                <w:rFonts w:ascii="宋体" w:hAnsi="Times New Roman" w:eastAsia="宋体" w:cs="宋体"/>
              </w:rPr>
            </w:pPr>
            <w:r>
              <w:rPr>
                <w:rFonts w:hint="eastAsia" w:ascii="Times New Roman" w:hAnsi="Times New Roman" w:eastAsia="宋体" w:cs="Times New Roman"/>
              </w:rPr>
              <w:t>夜间等效连续A声级Ln</w:t>
            </w:r>
          </w:p>
          <w:p w14:paraId="1ED9588C">
            <w:pPr>
              <w:jc w:val="center"/>
              <w:rPr>
                <w:rFonts w:ascii="Times New Roman" w:hAnsi="Times New Roman" w:eastAsia="宋体" w:cs="Times New Roman"/>
              </w:rPr>
            </w:pPr>
            <w:r>
              <w:rPr>
                <w:rFonts w:hint="eastAsia" w:ascii="Times New Roman" w:hAnsi="Times New Roman" w:eastAsia="宋体" w:cs="Times New Roman"/>
              </w:rPr>
              <w:t>夜间</w:t>
            </w:r>
            <w:r>
              <w:rPr>
                <w:rFonts w:ascii="Times New Roman" w:hAnsi="Times New Roman" w:eastAsia="宋体" w:cs="Times New Roman"/>
              </w:rPr>
              <w:t>最大</w:t>
            </w:r>
            <w:r>
              <w:rPr>
                <w:rFonts w:hint="eastAsia" w:ascii="Times New Roman" w:hAnsi="Times New Roman" w:eastAsia="宋体" w:cs="Times New Roman"/>
              </w:rPr>
              <w:t>A声级</w:t>
            </w:r>
            <w:r>
              <w:rPr>
                <w:rFonts w:ascii="Times New Roman" w:hAnsi="Times New Roman" w:eastAsia="宋体" w:cs="Times New Roman"/>
              </w:rPr>
              <w:t>L</w:t>
            </w:r>
            <w:r>
              <w:rPr>
                <w:rFonts w:hint="eastAsia" w:ascii="Times New Roman" w:hAnsi="Times New Roman" w:eastAsia="宋体" w:cs="Times New Roman"/>
                <w:vertAlign w:val="subscript"/>
              </w:rPr>
              <w:t>A</w:t>
            </w:r>
            <w:r>
              <w:rPr>
                <w:rFonts w:ascii="Times New Roman" w:hAnsi="Times New Roman" w:eastAsia="宋体" w:cs="Times New Roman"/>
                <w:vertAlign w:val="subscript"/>
              </w:rPr>
              <w:t>max</w:t>
            </w:r>
          </w:p>
        </w:tc>
      </w:tr>
    </w:tbl>
    <w:p w14:paraId="2DA5EBA2">
      <w:pPr>
        <w:keepNext/>
        <w:keepLines/>
        <w:widowControl w:val="0"/>
        <w:adjustRightInd w:val="0"/>
        <w:spacing w:before="240" w:after="240" w:line="240" w:lineRule="auto"/>
        <w:jc w:val="both"/>
        <w:textAlignment w:val="baseline"/>
        <w:outlineLvl w:val="1"/>
        <w:rPr>
          <w:rFonts w:ascii="Arial" w:hAnsi="Arial" w:eastAsia="黑体" w:cs="Times New Roman"/>
          <w:b/>
          <w:bCs/>
          <w:kern w:val="0"/>
          <w:sz w:val="28"/>
          <w:szCs w:val="32"/>
          <w:lang w:val="en-US" w:eastAsia="zh-CN" w:bidi="ar-SA"/>
        </w:rPr>
      </w:pPr>
      <w:bookmarkStart w:id="106" w:name="_Toc187528233"/>
      <w:r>
        <w:rPr>
          <w:rFonts w:ascii="Times New Roman" w:hAnsi="Times New Roman" w:eastAsia="宋体" w:cs="Times New Roman"/>
          <w:b/>
          <w:bCs/>
          <w:kern w:val="0"/>
          <w:sz w:val="28"/>
          <w:szCs w:val="32"/>
          <w:lang w:val="en-US" w:eastAsia="zh-CN" w:bidi="ar-SA"/>
        </w:rPr>
        <w:t>1.</w:t>
      </w:r>
      <w:r>
        <w:rPr>
          <w:rFonts w:hint="eastAsia" w:ascii="Times New Roman" w:hAnsi="Times New Roman" w:eastAsia="宋体" w:cs="Times New Roman"/>
          <w:b/>
          <w:bCs/>
          <w:kern w:val="0"/>
          <w:sz w:val="28"/>
          <w:szCs w:val="32"/>
          <w:lang w:val="en-US" w:eastAsia="zh-CN" w:bidi="ar-SA"/>
        </w:rPr>
        <w:t>5</w:t>
      </w:r>
      <w:r>
        <w:rPr>
          <w:rFonts w:ascii="Times New Roman" w:hAnsi="Times New Roman" w:eastAsia="宋体" w:cs="Times New Roman"/>
          <w:b/>
          <w:bCs/>
          <w:kern w:val="0"/>
          <w:sz w:val="28"/>
          <w:szCs w:val="32"/>
          <w:lang w:val="en-US" w:eastAsia="zh-CN" w:bidi="ar-SA"/>
        </w:rPr>
        <w:t xml:space="preserve"> </w:t>
      </w:r>
      <w:r>
        <w:rPr>
          <w:rFonts w:hint="eastAsia" w:ascii="Times New Roman" w:hAnsi="Times New Roman" w:eastAsia="宋体" w:cs="Times New Roman"/>
          <w:b/>
          <w:bCs/>
          <w:kern w:val="0"/>
          <w:sz w:val="28"/>
          <w:szCs w:val="32"/>
          <w:lang w:val="en-US" w:eastAsia="zh-CN" w:bidi="ar-SA"/>
        </w:rPr>
        <w:t>评价工作等级及评价范围</w:t>
      </w:r>
      <w:bookmarkEnd w:id="106"/>
    </w:p>
    <w:p w14:paraId="03AB3E9E">
      <w:pPr>
        <w:keepNext/>
        <w:keepLines/>
        <w:widowControl w:val="0"/>
        <w:adjustRightInd w:val="0"/>
        <w:spacing w:before="120" w:after="120" w:line="300" w:lineRule="auto"/>
        <w:jc w:val="both"/>
        <w:textAlignment w:val="baseline"/>
        <w:outlineLvl w:val="2"/>
        <w:rPr>
          <w:rFonts w:ascii="Times New Roman" w:hAnsi="Times New Roman" w:eastAsia="宋体" w:cs="Times New Roman"/>
          <w:b/>
          <w:bCs/>
          <w:kern w:val="0"/>
          <w:sz w:val="24"/>
          <w:szCs w:val="32"/>
          <w:lang w:val="en-US" w:eastAsia="zh-CN" w:bidi="ar-SA"/>
        </w:rPr>
      </w:pPr>
      <w:bookmarkStart w:id="107" w:name="_Toc175213189"/>
      <w:bookmarkStart w:id="108" w:name="_Toc224237279"/>
      <w:bookmarkStart w:id="109" w:name="_Toc187528234"/>
      <w:bookmarkStart w:id="110" w:name="_Toc224061134"/>
      <w:bookmarkStart w:id="111" w:name="_Toc187528236"/>
      <w:r>
        <w:rPr>
          <w:rFonts w:ascii="Times New Roman" w:hAnsi="Times New Roman" w:eastAsia="宋体" w:cs="Times New Roman"/>
          <w:b/>
          <w:bCs w:val="0"/>
          <w:kern w:val="0"/>
          <w:sz w:val="24"/>
          <w:szCs w:val="32"/>
          <w:lang w:val="en-US" w:eastAsia="zh-CN" w:bidi="ar-SA"/>
        </w:rPr>
        <w:t>1.</w:t>
      </w:r>
      <w:r>
        <w:rPr>
          <w:rFonts w:hint="eastAsia" w:ascii="Times New Roman" w:hAnsi="Times New Roman" w:eastAsia="宋体" w:cs="Times New Roman"/>
          <w:b/>
          <w:bCs w:val="0"/>
          <w:kern w:val="0"/>
          <w:sz w:val="24"/>
          <w:szCs w:val="32"/>
          <w:lang w:val="en-US" w:eastAsia="zh-CN" w:bidi="ar-SA"/>
        </w:rPr>
        <w:t>5</w:t>
      </w:r>
      <w:r>
        <w:rPr>
          <w:rFonts w:ascii="Times New Roman" w:hAnsi="Times New Roman" w:eastAsia="宋体" w:cs="Times New Roman"/>
          <w:b/>
          <w:bCs w:val="0"/>
          <w:kern w:val="0"/>
          <w:sz w:val="24"/>
          <w:szCs w:val="32"/>
          <w:lang w:val="en-US" w:eastAsia="zh-CN" w:bidi="ar-SA"/>
        </w:rPr>
        <w:t xml:space="preserve">.1 </w:t>
      </w:r>
      <w:r>
        <w:rPr>
          <w:rFonts w:hint="eastAsia" w:ascii="Times New Roman" w:hAnsi="Times New Roman" w:eastAsia="宋体" w:cs="Times New Roman"/>
          <w:b/>
          <w:bCs w:val="0"/>
          <w:kern w:val="0"/>
          <w:sz w:val="24"/>
          <w:szCs w:val="32"/>
          <w:lang w:val="en-US" w:eastAsia="zh-CN" w:bidi="ar-SA"/>
        </w:rPr>
        <w:t>评价工作等级</w:t>
      </w:r>
      <w:bookmarkEnd w:id="107"/>
      <w:bookmarkEnd w:id="108"/>
      <w:bookmarkEnd w:id="109"/>
      <w:bookmarkEnd w:id="110"/>
    </w:p>
    <w:p w14:paraId="43FA68F0">
      <w:pPr>
        <w:spacing w:line="300"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根据《环境影响评价技术导则公路建设项目》（</w:t>
      </w:r>
      <w:r>
        <w:rPr>
          <w:rFonts w:ascii="Times New Roman" w:hAnsi="Times New Roman" w:eastAsia="宋体" w:cs="Times New Roman"/>
          <w:sz w:val="24"/>
        </w:rPr>
        <w:t>HJ1358</w:t>
      </w:r>
      <w:r>
        <w:rPr>
          <w:rFonts w:hint="eastAsia" w:ascii="Times New Roman" w:hAnsi="Times New Roman" w:eastAsia="宋体" w:cs="Times New Roman"/>
          <w:sz w:val="24"/>
        </w:rPr>
        <w:t>—</w:t>
      </w:r>
      <w:r>
        <w:rPr>
          <w:rFonts w:ascii="Times New Roman" w:hAnsi="Times New Roman" w:eastAsia="宋体" w:cs="Times New Roman"/>
          <w:sz w:val="24"/>
        </w:rPr>
        <w:t>2024</w:t>
      </w:r>
      <w:r>
        <w:rPr>
          <w:rFonts w:hint="eastAsia" w:ascii="Times New Roman" w:hAnsi="Times New Roman" w:eastAsia="宋体" w:cs="Times New Roman"/>
          <w:sz w:val="24"/>
        </w:rPr>
        <w:t>）：</w:t>
      </w:r>
      <w:r>
        <w:rPr>
          <w:rFonts w:ascii="Times New Roman" w:hAnsi="Times New Roman" w:eastAsia="宋体" w:cs="Times New Roman"/>
          <w:sz w:val="24"/>
        </w:rPr>
        <w:t>7.1.2</w:t>
      </w:r>
      <w:r>
        <w:rPr>
          <w:rFonts w:hint="eastAsia" w:ascii="Times New Roman" w:hAnsi="Times New Roman" w:eastAsia="宋体" w:cs="Times New Roman"/>
          <w:sz w:val="24"/>
        </w:rPr>
        <w:t>声环境影响评价等级依据</w:t>
      </w:r>
      <w:r>
        <w:rPr>
          <w:rFonts w:ascii="Times New Roman" w:hAnsi="Times New Roman" w:eastAsia="宋体" w:cs="Times New Roman"/>
          <w:sz w:val="24"/>
        </w:rPr>
        <w:t xml:space="preserve">HJ2.4 </w:t>
      </w:r>
      <w:r>
        <w:rPr>
          <w:rFonts w:hint="eastAsia" w:ascii="Times New Roman" w:hAnsi="Times New Roman" w:eastAsia="宋体" w:cs="Times New Roman"/>
          <w:sz w:val="24"/>
        </w:rPr>
        <w:t>判定：</w:t>
      </w:r>
    </w:p>
    <w:p w14:paraId="2E0533C9">
      <w:pPr>
        <w:spacing w:line="30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a</w:t>
      </w:r>
      <w:r>
        <w:rPr>
          <w:rFonts w:hint="eastAsia" w:ascii="Times New Roman" w:hAnsi="Times New Roman" w:eastAsia="宋体" w:cs="Times New Roman"/>
          <w:sz w:val="24"/>
        </w:rPr>
        <w:t>）评价范围内有适用于</w:t>
      </w:r>
      <w:r>
        <w:rPr>
          <w:rFonts w:ascii="Times New Roman" w:hAnsi="Times New Roman" w:eastAsia="宋体" w:cs="Times New Roman"/>
          <w:sz w:val="24"/>
        </w:rPr>
        <w:t>GB3096</w:t>
      </w:r>
      <w:r>
        <w:rPr>
          <w:rFonts w:hint="eastAsia" w:ascii="Times New Roman" w:hAnsi="Times New Roman" w:eastAsia="宋体" w:cs="Times New Roman"/>
          <w:sz w:val="24"/>
        </w:rPr>
        <w:t>规定的</w:t>
      </w:r>
      <w:r>
        <w:rPr>
          <w:rFonts w:ascii="Times New Roman" w:hAnsi="Times New Roman" w:eastAsia="宋体" w:cs="Times New Roman"/>
          <w:sz w:val="24"/>
        </w:rPr>
        <w:t>0</w:t>
      </w:r>
      <w:r>
        <w:rPr>
          <w:rFonts w:hint="eastAsia" w:ascii="Times New Roman" w:hAnsi="Times New Roman" w:eastAsia="宋体" w:cs="Times New Roman"/>
          <w:sz w:val="24"/>
        </w:rPr>
        <w:t>类声环境功能区域，或项目建设前后评价范围内声环境保护目标噪声级增量达</w:t>
      </w:r>
      <w:r>
        <w:rPr>
          <w:rFonts w:ascii="Times New Roman" w:hAnsi="Times New Roman" w:eastAsia="宋体" w:cs="Times New Roman"/>
          <w:sz w:val="24"/>
        </w:rPr>
        <w:t>5dB(A)</w:t>
      </w:r>
      <w:r>
        <w:rPr>
          <w:rFonts w:hint="eastAsia" w:ascii="Times New Roman" w:hAnsi="Times New Roman" w:eastAsia="宋体" w:cs="Times New Roman"/>
          <w:sz w:val="24"/>
        </w:rPr>
        <w:t>以上（不含</w:t>
      </w:r>
      <w:r>
        <w:rPr>
          <w:rFonts w:ascii="Times New Roman" w:hAnsi="Times New Roman" w:eastAsia="宋体" w:cs="Times New Roman"/>
          <w:sz w:val="24"/>
        </w:rPr>
        <w:t>5dB(A)</w:t>
      </w:r>
      <w:r>
        <w:rPr>
          <w:rFonts w:hint="eastAsia" w:ascii="Times New Roman" w:hAnsi="Times New Roman" w:eastAsia="宋体" w:cs="Times New Roman"/>
          <w:sz w:val="24"/>
        </w:rPr>
        <w:t>），或受噪声影响人口数量显著增加时，按一级评价；</w:t>
      </w:r>
    </w:p>
    <w:p w14:paraId="2CAD0B21">
      <w:pPr>
        <w:spacing w:line="30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b</w:t>
      </w:r>
      <w:r>
        <w:rPr>
          <w:rFonts w:hint="eastAsia" w:ascii="Times New Roman" w:hAnsi="Times New Roman" w:eastAsia="宋体" w:cs="Times New Roman"/>
          <w:sz w:val="24"/>
        </w:rPr>
        <w:t>）项目所处的声环境功能区为</w:t>
      </w:r>
      <w:r>
        <w:rPr>
          <w:rFonts w:ascii="Times New Roman" w:hAnsi="Times New Roman" w:eastAsia="宋体" w:cs="Times New Roman"/>
          <w:sz w:val="24"/>
        </w:rPr>
        <w:t>GB3096</w:t>
      </w:r>
      <w:r>
        <w:rPr>
          <w:rFonts w:hint="eastAsia" w:ascii="Times New Roman" w:hAnsi="Times New Roman" w:eastAsia="宋体" w:cs="Times New Roman"/>
          <w:sz w:val="24"/>
        </w:rPr>
        <w:t>规定的</w:t>
      </w:r>
      <w:r>
        <w:rPr>
          <w:rFonts w:ascii="Times New Roman" w:hAnsi="Times New Roman" w:eastAsia="宋体" w:cs="Times New Roman"/>
          <w:sz w:val="24"/>
        </w:rPr>
        <w:t>1</w:t>
      </w:r>
      <w:r>
        <w:rPr>
          <w:rFonts w:hint="eastAsia" w:ascii="Times New Roman" w:hAnsi="Times New Roman" w:eastAsia="宋体" w:cs="Times New Roman"/>
          <w:sz w:val="24"/>
        </w:rPr>
        <w:t>类、</w:t>
      </w:r>
      <w:r>
        <w:rPr>
          <w:rFonts w:ascii="Times New Roman" w:hAnsi="Times New Roman" w:eastAsia="宋体" w:cs="Times New Roman"/>
          <w:sz w:val="24"/>
        </w:rPr>
        <w:t>2</w:t>
      </w:r>
      <w:r>
        <w:rPr>
          <w:rFonts w:hint="eastAsia" w:ascii="Times New Roman" w:hAnsi="Times New Roman" w:eastAsia="宋体" w:cs="Times New Roman"/>
          <w:sz w:val="24"/>
        </w:rPr>
        <w:t>类地区，或项目建设前后评价范围内声环境保护目标噪声级增量达</w:t>
      </w:r>
      <w:r>
        <w:rPr>
          <w:rFonts w:ascii="Times New Roman" w:hAnsi="Times New Roman" w:eastAsia="宋体" w:cs="Times New Roman"/>
          <w:sz w:val="24"/>
        </w:rPr>
        <w:t>3dB(A)</w:t>
      </w:r>
      <w:r>
        <w:rPr>
          <w:rFonts w:hint="eastAsia" w:ascii="Times New Roman" w:hAnsi="Times New Roman" w:eastAsia="宋体" w:cs="Times New Roman"/>
          <w:sz w:val="24"/>
        </w:rPr>
        <w:t>～</w:t>
      </w:r>
      <w:r>
        <w:rPr>
          <w:rFonts w:ascii="Times New Roman" w:hAnsi="Times New Roman" w:eastAsia="宋体" w:cs="Times New Roman"/>
          <w:sz w:val="24"/>
        </w:rPr>
        <w:t>5dB(A)</w:t>
      </w:r>
      <w:r>
        <w:rPr>
          <w:rFonts w:hint="eastAsia" w:ascii="Times New Roman" w:hAnsi="Times New Roman" w:eastAsia="宋体" w:cs="Times New Roman"/>
          <w:sz w:val="24"/>
        </w:rPr>
        <w:t>，或受噪声影响人口数量增加较多时，按二级评价；</w:t>
      </w:r>
    </w:p>
    <w:p w14:paraId="6F6522DB">
      <w:pPr>
        <w:spacing w:line="30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c</w:t>
      </w:r>
      <w:r>
        <w:rPr>
          <w:rFonts w:hint="eastAsia" w:ascii="Times New Roman" w:hAnsi="Times New Roman" w:eastAsia="宋体" w:cs="Times New Roman"/>
          <w:sz w:val="24"/>
        </w:rPr>
        <w:t>）项目所处的声环境功能区为</w:t>
      </w:r>
      <w:r>
        <w:rPr>
          <w:rFonts w:ascii="Times New Roman" w:hAnsi="Times New Roman" w:eastAsia="宋体" w:cs="Times New Roman"/>
          <w:sz w:val="24"/>
        </w:rPr>
        <w:t>GB3096</w:t>
      </w:r>
      <w:r>
        <w:rPr>
          <w:rFonts w:hint="eastAsia" w:ascii="Times New Roman" w:hAnsi="Times New Roman" w:eastAsia="宋体" w:cs="Times New Roman"/>
          <w:sz w:val="24"/>
        </w:rPr>
        <w:t>规定的</w:t>
      </w:r>
      <w:r>
        <w:rPr>
          <w:rFonts w:ascii="Times New Roman" w:hAnsi="Times New Roman" w:eastAsia="宋体" w:cs="Times New Roman"/>
          <w:sz w:val="24"/>
        </w:rPr>
        <w:t>3</w:t>
      </w:r>
      <w:r>
        <w:rPr>
          <w:rFonts w:hint="eastAsia" w:ascii="Times New Roman" w:hAnsi="Times New Roman" w:eastAsia="宋体" w:cs="Times New Roman"/>
          <w:sz w:val="24"/>
        </w:rPr>
        <w:t>类、</w:t>
      </w:r>
      <w:r>
        <w:rPr>
          <w:rFonts w:ascii="Times New Roman" w:hAnsi="Times New Roman" w:eastAsia="宋体" w:cs="Times New Roman"/>
          <w:sz w:val="24"/>
        </w:rPr>
        <w:t>4</w:t>
      </w:r>
      <w:r>
        <w:rPr>
          <w:rFonts w:hint="eastAsia" w:ascii="Times New Roman" w:hAnsi="Times New Roman" w:eastAsia="宋体" w:cs="Times New Roman"/>
          <w:sz w:val="24"/>
        </w:rPr>
        <w:t>类地区，或项目建设前后评价范围内声环境保护目标噪声级增量在</w:t>
      </w:r>
      <w:r>
        <w:rPr>
          <w:rFonts w:ascii="Times New Roman" w:hAnsi="Times New Roman" w:eastAsia="宋体" w:cs="Times New Roman"/>
          <w:sz w:val="24"/>
        </w:rPr>
        <w:t>3dB(A)</w:t>
      </w:r>
      <w:r>
        <w:rPr>
          <w:rFonts w:hint="eastAsia" w:ascii="Times New Roman" w:hAnsi="Times New Roman" w:eastAsia="宋体" w:cs="Times New Roman"/>
          <w:sz w:val="24"/>
        </w:rPr>
        <w:t>以下（不含</w:t>
      </w:r>
      <w:r>
        <w:rPr>
          <w:rFonts w:ascii="Times New Roman" w:hAnsi="Times New Roman" w:eastAsia="宋体" w:cs="Times New Roman"/>
          <w:sz w:val="24"/>
        </w:rPr>
        <w:t>3dB(A)</w:t>
      </w:r>
      <w:r>
        <w:rPr>
          <w:rFonts w:hint="eastAsia" w:ascii="Times New Roman" w:hAnsi="Times New Roman" w:eastAsia="宋体" w:cs="Times New Roman"/>
          <w:sz w:val="24"/>
        </w:rPr>
        <w:t>），且受噪声影响人口数量变化不大时，按三级评价；</w:t>
      </w:r>
    </w:p>
    <w:p w14:paraId="700B5A6F">
      <w:pPr>
        <w:spacing w:line="30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d</w:t>
      </w:r>
      <w:r>
        <w:rPr>
          <w:rFonts w:hint="eastAsia" w:ascii="Times New Roman" w:hAnsi="Times New Roman" w:eastAsia="宋体" w:cs="Times New Roman"/>
          <w:sz w:val="24"/>
        </w:rPr>
        <w:t>）当项目符合两个等级的划分原则时，按较高等级评价。</w:t>
      </w:r>
    </w:p>
    <w:p w14:paraId="66A11BEC">
      <w:pPr>
        <w:spacing w:line="300"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项目施工期噪声来自建筑物的土石方开挖、夯实、运输车辆流动噪声源等。工程施工时机械设备运行和车辆运输的噪声对周围声环境有一定的影响，施工期噪声的影响是暂时的。</w:t>
      </w:r>
    </w:p>
    <w:p w14:paraId="22D9B694">
      <w:pPr>
        <w:spacing w:line="300"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根据公路运营期噪声预测，拟建公路交通噪声导致评价范围内声环境保护目标噪声级增量大于5dB（A），按照评价范围内敏感目标噪声级增加量评价等级为一级；评价范围内受影响人口数量显著增加，按照受影响人口数量增加情况评价等级为一级。</w:t>
      </w:r>
    </w:p>
    <w:p w14:paraId="3B8F187F">
      <w:pPr>
        <w:spacing w:line="300"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综上所述，拟建</w:t>
      </w:r>
      <w:r>
        <w:rPr>
          <w:rFonts w:ascii="Times New Roman" w:hAnsi="Times New Roman" w:eastAsia="宋体" w:cs="Times New Roman"/>
          <w:sz w:val="24"/>
        </w:rPr>
        <w:t>公路声环境影响评价工作等级确定为一级。</w:t>
      </w:r>
    </w:p>
    <w:p w14:paraId="3B8E662C">
      <w:pPr>
        <w:spacing w:afterLines="50" w:line="300"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拟建公路声</w:t>
      </w:r>
      <w:r>
        <w:rPr>
          <w:rFonts w:ascii="Times New Roman" w:hAnsi="Times New Roman" w:eastAsia="宋体" w:cs="Times New Roman"/>
          <w:sz w:val="24"/>
        </w:rPr>
        <w:t>环境影响评价等级确定</w:t>
      </w:r>
      <w:r>
        <w:rPr>
          <w:rFonts w:hint="eastAsia" w:ascii="Times New Roman" w:hAnsi="Times New Roman" w:eastAsia="宋体" w:cs="Times New Roman"/>
          <w:sz w:val="24"/>
        </w:rPr>
        <w:t>见</w:t>
      </w:r>
      <w:r>
        <w:rPr>
          <w:rFonts w:ascii="Times New Roman" w:hAnsi="Times New Roman" w:eastAsia="宋体" w:cs="Times New Roman"/>
          <w:sz w:val="24"/>
        </w:rPr>
        <w:t>表1.</w:t>
      </w:r>
      <w:r>
        <w:rPr>
          <w:rFonts w:hint="eastAsia" w:ascii="Times New Roman" w:hAnsi="Times New Roman" w:eastAsia="宋体" w:cs="Times New Roman"/>
          <w:sz w:val="24"/>
        </w:rPr>
        <w:t>5</w:t>
      </w:r>
      <w:r>
        <w:rPr>
          <w:rFonts w:ascii="Times New Roman" w:hAnsi="Times New Roman" w:eastAsia="宋体" w:cs="Times New Roman"/>
          <w:sz w:val="24"/>
        </w:rPr>
        <w:t>-1。</w:t>
      </w:r>
    </w:p>
    <w:p w14:paraId="536AF726">
      <w:pPr>
        <w:widowControl w:val="0"/>
        <w:adjustRightInd w:val="0"/>
        <w:spacing w:line="240" w:lineRule="auto"/>
        <w:jc w:val="center"/>
        <w:textAlignment w:val="baseline"/>
        <w:rPr>
          <w:rFonts w:ascii="Times New Roman" w:hAnsi="Times New Roman" w:eastAsia="宋体" w:cs="Times New Roman"/>
          <w:b/>
          <w:spacing w:val="0"/>
          <w:kern w:val="0"/>
          <w:sz w:val="21"/>
          <w:szCs w:val="20"/>
          <w:lang w:val="en-US" w:eastAsia="zh-CN" w:bidi="ar-SA"/>
        </w:rPr>
      </w:pPr>
      <w:r>
        <w:rPr>
          <w:rFonts w:ascii="Times New Roman" w:hAnsi="Times New Roman" w:eastAsia="宋体" w:cs="Times New Roman"/>
          <w:b/>
          <w:spacing w:val="0"/>
          <w:kern w:val="0"/>
          <w:sz w:val="21"/>
          <w:szCs w:val="20"/>
          <w:lang w:val="en-US" w:eastAsia="zh-CN" w:bidi="ar-SA"/>
        </w:rPr>
        <w:t>表1.</w:t>
      </w:r>
      <w:r>
        <w:rPr>
          <w:rFonts w:hint="eastAsia" w:ascii="Times New Roman" w:hAnsi="Times New Roman" w:eastAsia="宋体" w:cs="Times New Roman"/>
          <w:b/>
          <w:spacing w:val="0"/>
          <w:kern w:val="0"/>
          <w:sz w:val="21"/>
          <w:szCs w:val="20"/>
          <w:lang w:val="en-US" w:eastAsia="zh-CN" w:bidi="ar-SA"/>
        </w:rPr>
        <w:t>5</w:t>
      </w:r>
      <w:r>
        <w:rPr>
          <w:rFonts w:ascii="Times New Roman" w:hAnsi="Times New Roman" w:eastAsia="宋体" w:cs="Times New Roman"/>
          <w:b/>
          <w:spacing w:val="0"/>
          <w:kern w:val="0"/>
          <w:sz w:val="21"/>
          <w:szCs w:val="20"/>
          <w:lang w:val="en-US" w:eastAsia="zh-CN" w:bidi="ar-SA"/>
        </w:rPr>
        <w:t xml:space="preserve">-1  </w:t>
      </w:r>
      <w:r>
        <w:rPr>
          <w:rFonts w:hint="eastAsia" w:ascii="Times New Roman" w:hAnsi="Times New Roman" w:eastAsia="宋体" w:cs="Times New Roman"/>
          <w:b/>
          <w:spacing w:val="0"/>
          <w:kern w:val="0"/>
          <w:sz w:val="21"/>
          <w:szCs w:val="20"/>
          <w:lang w:val="en-US" w:eastAsia="zh-CN" w:bidi="ar-SA"/>
        </w:rPr>
        <w:t>声环境</w:t>
      </w:r>
      <w:r>
        <w:rPr>
          <w:rFonts w:ascii="Times New Roman" w:hAnsi="Times New Roman" w:eastAsia="宋体" w:cs="Times New Roman"/>
          <w:b/>
          <w:spacing w:val="0"/>
          <w:kern w:val="0"/>
          <w:sz w:val="21"/>
          <w:szCs w:val="20"/>
          <w:lang w:val="en-US" w:eastAsia="zh-CN" w:bidi="ar-SA"/>
        </w:rPr>
        <w:t>专题评价等级及依据</w:t>
      </w:r>
    </w:p>
    <w:tbl>
      <w:tblPr>
        <w:tblStyle w:val="22"/>
        <w:tblW w:w="4881" w:type="pct"/>
        <w:jc w:val="center"/>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139"/>
        <w:gridCol w:w="6391"/>
        <w:gridCol w:w="789"/>
      </w:tblGrid>
      <w:tr w14:paraId="412FE797">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37" w:hRule="atLeast"/>
          <w:jc w:val="center"/>
        </w:trPr>
        <w:tc>
          <w:tcPr>
            <w:tcW w:w="685" w:type="pct"/>
            <w:vAlign w:val="center"/>
          </w:tcPr>
          <w:p w14:paraId="58385160">
            <w:pPr>
              <w:spacing w:line="300" w:lineRule="exact"/>
              <w:jc w:val="center"/>
              <w:rPr>
                <w:rFonts w:ascii="Times New Roman" w:hAnsi="Times New Roman" w:eastAsia="宋体" w:cs="Times New Roman"/>
                <w:b/>
                <w:szCs w:val="21"/>
              </w:rPr>
            </w:pPr>
            <w:r>
              <w:rPr>
                <w:rFonts w:hint="eastAsia" w:ascii="Times New Roman" w:hAnsi="Times New Roman" w:eastAsia="宋体" w:cs="Times New Roman"/>
                <w:b/>
                <w:szCs w:val="21"/>
              </w:rPr>
              <w:t>环境要素</w:t>
            </w:r>
          </w:p>
        </w:tc>
        <w:tc>
          <w:tcPr>
            <w:tcW w:w="3840" w:type="pct"/>
            <w:vAlign w:val="center"/>
          </w:tcPr>
          <w:p w14:paraId="059C2D6D">
            <w:pPr>
              <w:spacing w:line="300" w:lineRule="exact"/>
              <w:jc w:val="center"/>
              <w:rPr>
                <w:rFonts w:ascii="Times New Roman" w:hAnsi="Times New Roman" w:eastAsia="宋体" w:cs="Times New Roman"/>
                <w:b/>
                <w:szCs w:val="21"/>
              </w:rPr>
            </w:pPr>
            <w:r>
              <w:rPr>
                <w:rFonts w:ascii="Times New Roman" w:hAnsi="Times New Roman" w:eastAsia="宋体" w:cs="Times New Roman"/>
                <w:b/>
                <w:szCs w:val="21"/>
              </w:rPr>
              <w:t>依据</w:t>
            </w:r>
          </w:p>
        </w:tc>
        <w:tc>
          <w:tcPr>
            <w:tcW w:w="474" w:type="pct"/>
            <w:vAlign w:val="center"/>
          </w:tcPr>
          <w:p w14:paraId="73066FEB">
            <w:pPr>
              <w:spacing w:line="300" w:lineRule="exact"/>
              <w:jc w:val="center"/>
              <w:rPr>
                <w:rFonts w:ascii="Times New Roman" w:hAnsi="Times New Roman" w:eastAsia="宋体" w:cs="Times New Roman"/>
                <w:b/>
                <w:szCs w:val="21"/>
              </w:rPr>
            </w:pPr>
            <w:r>
              <w:rPr>
                <w:rFonts w:ascii="Times New Roman" w:hAnsi="Times New Roman" w:eastAsia="宋体" w:cs="Times New Roman"/>
                <w:b/>
                <w:szCs w:val="21"/>
              </w:rPr>
              <w:t>等级</w:t>
            </w:r>
          </w:p>
        </w:tc>
      </w:tr>
      <w:tr w14:paraId="7B2A0B16">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85" w:type="pct"/>
            <w:vAlign w:val="center"/>
          </w:tcPr>
          <w:p w14:paraId="27138611">
            <w:pPr>
              <w:widowControl w:val="0"/>
              <w:spacing w:line="300" w:lineRule="exact"/>
              <w:ind w:firstLine="0" w:firstLineChars="0"/>
              <w:jc w:val="center"/>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声环境</w:t>
            </w:r>
          </w:p>
        </w:tc>
        <w:tc>
          <w:tcPr>
            <w:tcW w:w="3840" w:type="pct"/>
            <w:vAlign w:val="center"/>
          </w:tcPr>
          <w:p w14:paraId="38EB1877">
            <w:pPr>
              <w:spacing w:line="300" w:lineRule="exact"/>
              <w:rPr>
                <w:rFonts w:ascii="Times New Roman" w:hAnsi="Times New Roman" w:eastAsia="宋体" w:cs="Times New Roman"/>
              </w:rPr>
            </w:pPr>
            <w:r>
              <w:rPr>
                <w:rFonts w:ascii="Times New Roman" w:hAnsi="Times New Roman" w:eastAsia="宋体" w:cs="Times New Roman"/>
              </w:rPr>
              <w:t>根据</w:t>
            </w:r>
            <w:r>
              <w:rPr>
                <w:rFonts w:hint="eastAsia" w:ascii="Times New Roman" w:hAnsi="Times New Roman" w:eastAsia="宋体" w:cs="Times New Roman"/>
              </w:rPr>
              <w:t>《环境影响评价技术导则 公路建设项目》（HJ1358-2024）</w:t>
            </w:r>
            <w:r>
              <w:rPr>
                <w:rFonts w:ascii="Times New Roman" w:hAnsi="Times New Roman" w:eastAsia="宋体" w:cs="Times New Roman"/>
              </w:rPr>
              <w:t>，拟建公路建设前后评价范围内</w:t>
            </w:r>
            <w:r>
              <w:rPr>
                <w:rFonts w:hint="eastAsia" w:ascii="Times New Roman" w:hAnsi="Times New Roman" w:eastAsia="宋体" w:cs="Times New Roman"/>
              </w:rPr>
              <w:t>声环境</w:t>
            </w:r>
            <w:r>
              <w:rPr>
                <w:rFonts w:ascii="Times New Roman" w:hAnsi="Times New Roman" w:eastAsia="宋体" w:cs="Times New Roman"/>
              </w:rPr>
              <w:t>保护目标噪声级增</w:t>
            </w:r>
            <w:r>
              <w:rPr>
                <w:rFonts w:hint="eastAsia" w:ascii="Times New Roman" w:hAnsi="Times New Roman" w:eastAsia="宋体" w:cs="Times New Roman"/>
              </w:rPr>
              <w:t>量</w:t>
            </w:r>
            <w:r>
              <w:rPr>
                <w:rFonts w:ascii="Times New Roman" w:hAnsi="Times New Roman" w:eastAsia="宋体" w:cs="Times New Roman"/>
              </w:rPr>
              <w:t>达5dB(A)以上，确定评价等级为一级。</w:t>
            </w:r>
          </w:p>
        </w:tc>
        <w:tc>
          <w:tcPr>
            <w:tcW w:w="474" w:type="pct"/>
            <w:vAlign w:val="center"/>
          </w:tcPr>
          <w:p w14:paraId="1C2C104C">
            <w:pPr>
              <w:spacing w:line="300" w:lineRule="exact"/>
              <w:jc w:val="center"/>
              <w:rPr>
                <w:rFonts w:ascii="Times New Roman" w:hAnsi="Times New Roman" w:eastAsia="宋体" w:cs="Times New Roman"/>
              </w:rPr>
            </w:pPr>
            <w:r>
              <w:rPr>
                <w:rFonts w:hint="eastAsia" w:ascii="Times New Roman" w:hAnsi="Times New Roman" w:eastAsia="宋体" w:cs="Times New Roman"/>
              </w:rPr>
              <w:t>一级</w:t>
            </w:r>
          </w:p>
        </w:tc>
      </w:tr>
    </w:tbl>
    <w:p w14:paraId="5C52CAE3">
      <w:pPr>
        <w:rPr>
          <w:rFonts w:ascii="Times New Roman" w:hAnsi="Times New Roman" w:eastAsia="宋体" w:cs="Times New Roman"/>
        </w:rPr>
      </w:pPr>
      <w:bookmarkStart w:id="112" w:name="_Toc224061135"/>
      <w:bookmarkStart w:id="113" w:name="_Toc187528235"/>
      <w:bookmarkStart w:id="114" w:name="_Toc175213190"/>
    </w:p>
    <w:p w14:paraId="4C1060EC">
      <w:pPr>
        <w:keepNext/>
        <w:keepLines/>
        <w:widowControl w:val="0"/>
        <w:adjustRightInd w:val="0"/>
        <w:spacing w:before="120" w:after="120" w:line="300" w:lineRule="auto"/>
        <w:jc w:val="both"/>
        <w:textAlignment w:val="baseline"/>
        <w:outlineLvl w:val="2"/>
        <w:rPr>
          <w:rFonts w:ascii="Times New Roman" w:hAnsi="Times New Roman" w:eastAsia="宋体" w:cs="Times New Roman"/>
          <w:b/>
          <w:bCs/>
          <w:kern w:val="0"/>
          <w:sz w:val="24"/>
          <w:szCs w:val="32"/>
          <w:lang w:val="en-US" w:eastAsia="zh-CN" w:bidi="ar-SA"/>
        </w:rPr>
      </w:pPr>
      <w:bookmarkStart w:id="115" w:name="_Toc224237280"/>
      <w:r>
        <w:rPr>
          <w:rFonts w:ascii="Times New Roman" w:hAnsi="Times New Roman" w:eastAsia="宋体" w:cs="Times New Roman"/>
          <w:b/>
          <w:bCs w:val="0"/>
          <w:kern w:val="0"/>
          <w:sz w:val="24"/>
          <w:szCs w:val="32"/>
          <w:lang w:val="en-US" w:eastAsia="zh-CN" w:bidi="ar-SA"/>
        </w:rPr>
        <w:t>1.</w:t>
      </w:r>
      <w:r>
        <w:rPr>
          <w:rFonts w:hint="eastAsia" w:ascii="Times New Roman" w:hAnsi="Times New Roman" w:eastAsia="宋体" w:cs="Times New Roman"/>
          <w:b/>
          <w:bCs w:val="0"/>
          <w:kern w:val="0"/>
          <w:sz w:val="24"/>
          <w:szCs w:val="32"/>
          <w:lang w:val="en-US" w:eastAsia="zh-CN" w:bidi="ar-SA"/>
        </w:rPr>
        <w:t>5</w:t>
      </w:r>
      <w:r>
        <w:rPr>
          <w:rFonts w:ascii="Times New Roman" w:hAnsi="Times New Roman" w:eastAsia="宋体" w:cs="Times New Roman"/>
          <w:b/>
          <w:bCs w:val="0"/>
          <w:kern w:val="0"/>
          <w:sz w:val="24"/>
          <w:szCs w:val="32"/>
          <w:lang w:val="en-US" w:eastAsia="zh-CN" w:bidi="ar-SA"/>
        </w:rPr>
        <w:t xml:space="preserve">.2 </w:t>
      </w:r>
      <w:r>
        <w:rPr>
          <w:rFonts w:hint="eastAsia" w:ascii="Times New Roman" w:hAnsi="Times New Roman" w:eastAsia="宋体" w:cs="Times New Roman"/>
          <w:b/>
          <w:bCs w:val="0"/>
          <w:kern w:val="0"/>
          <w:sz w:val="24"/>
          <w:szCs w:val="32"/>
          <w:lang w:val="en-US" w:eastAsia="zh-CN" w:bidi="ar-SA"/>
        </w:rPr>
        <w:t>评价范围</w:t>
      </w:r>
      <w:bookmarkEnd w:id="112"/>
      <w:bookmarkEnd w:id="113"/>
      <w:bookmarkEnd w:id="114"/>
      <w:bookmarkEnd w:id="115"/>
    </w:p>
    <w:p w14:paraId="68DE0C8D">
      <w:pPr>
        <w:spacing w:afterLines="50" w:line="30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根据</w:t>
      </w:r>
      <w:r>
        <w:rPr>
          <w:rFonts w:hint="eastAsia" w:ascii="Times New Roman" w:hAnsi="Times New Roman" w:eastAsia="宋体" w:cs="Times New Roman"/>
          <w:sz w:val="24"/>
        </w:rPr>
        <w:t>拟建公路</w:t>
      </w:r>
      <w:r>
        <w:rPr>
          <w:rFonts w:ascii="Times New Roman" w:hAnsi="Times New Roman" w:eastAsia="宋体" w:cs="Times New Roman"/>
          <w:sz w:val="24"/>
        </w:rPr>
        <w:t>设计期、施工期和营运期对环境的影响特点和各路段的自然环境特征，</w:t>
      </w:r>
      <w:r>
        <w:rPr>
          <w:rFonts w:hint="eastAsia" w:ascii="Times New Roman" w:hAnsi="Times New Roman" w:eastAsia="宋体" w:cs="Times New Roman"/>
          <w:sz w:val="24"/>
        </w:rPr>
        <w:t>结合</w:t>
      </w:r>
      <w:r>
        <w:rPr>
          <w:rFonts w:ascii="Times New Roman" w:hAnsi="Times New Roman" w:eastAsia="宋体" w:cs="Times New Roman"/>
          <w:sz w:val="24"/>
        </w:rPr>
        <w:t>《环境影响评价技术导则 声环境》</w:t>
      </w:r>
      <w:r>
        <w:rPr>
          <w:rFonts w:hint="eastAsia" w:ascii="Times New Roman" w:hAnsi="Times New Roman" w:eastAsia="宋体" w:cs="Times New Roman"/>
          <w:sz w:val="24"/>
        </w:rPr>
        <w:t>（</w:t>
      </w:r>
      <w:r>
        <w:rPr>
          <w:rFonts w:ascii="Times New Roman" w:hAnsi="Times New Roman" w:eastAsia="宋体" w:cs="Times New Roman"/>
          <w:sz w:val="24"/>
        </w:rPr>
        <w:t>HJ2.4-2021</w:t>
      </w:r>
      <w:r>
        <w:rPr>
          <w:rFonts w:hint="eastAsia" w:ascii="Times New Roman" w:hAnsi="Times New Roman" w:eastAsia="宋体" w:cs="Times New Roman"/>
          <w:sz w:val="24"/>
        </w:rPr>
        <w:t>）和《环境影响评价技术导则 公路建设项目》（HJ1358-2024），拟建公路</w:t>
      </w:r>
      <w:r>
        <w:rPr>
          <w:rFonts w:ascii="Times New Roman" w:hAnsi="Times New Roman" w:eastAsia="宋体" w:cs="Times New Roman"/>
          <w:sz w:val="24"/>
        </w:rPr>
        <w:t>的</w:t>
      </w:r>
      <w:r>
        <w:rPr>
          <w:rFonts w:hint="eastAsia" w:ascii="Times New Roman" w:hAnsi="Times New Roman" w:eastAsia="宋体" w:cs="Times New Roman"/>
          <w:sz w:val="24"/>
        </w:rPr>
        <w:t>声</w:t>
      </w:r>
      <w:r>
        <w:rPr>
          <w:rFonts w:ascii="Times New Roman" w:hAnsi="Times New Roman" w:eastAsia="宋体" w:cs="Times New Roman"/>
          <w:sz w:val="24"/>
        </w:rPr>
        <w:t>环境影响评价范围见表1.</w:t>
      </w:r>
      <w:r>
        <w:rPr>
          <w:rFonts w:hint="eastAsia" w:ascii="Times New Roman" w:hAnsi="Times New Roman" w:eastAsia="宋体" w:cs="Times New Roman"/>
          <w:sz w:val="24"/>
        </w:rPr>
        <w:t>5</w:t>
      </w:r>
      <w:r>
        <w:rPr>
          <w:rFonts w:ascii="Times New Roman" w:hAnsi="Times New Roman" w:eastAsia="宋体" w:cs="Times New Roman"/>
          <w:sz w:val="24"/>
        </w:rPr>
        <w:t>-2。</w:t>
      </w:r>
    </w:p>
    <w:p w14:paraId="75E2358A">
      <w:pPr>
        <w:widowControl/>
        <w:spacing w:beforeLines="50"/>
        <w:jc w:val="center"/>
        <w:rPr>
          <w:rFonts w:ascii="Times New Roman" w:hAnsi="Times New Roman" w:eastAsia="宋体" w:cs="Times New Roman"/>
          <w:b/>
        </w:rPr>
      </w:pPr>
      <w:bookmarkStart w:id="116" w:name="_Toc516883542"/>
      <w:bookmarkStart w:id="117" w:name="_Toc516884178"/>
      <w:r>
        <w:rPr>
          <w:rFonts w:ascii="Times New Roman" w:hAnsi="Times New Roman" w:eastAsia="宋体" w:cs="Times New Roman"/>
          <w:b/>
        </w:rPr>
        <w:t>表1.</w:t>
      </w:r>
      <w:r>
        <w:rPr>
          <w:rFonts w:hint="eastAsia" w:ascii="Times New Roman" w:hAnsi="Times New Roman" w:eastAsia="宋体" w:cs="Times New Roman"/>
          <w:b/>
        </w:rPr>
        <w:t>5</w:t>
      </w:r>
      <w:r>
        <w:rPr>
          <w:rFonts w:ascii="Times New Roman" w:hAnsi="Times New Roman" w:eastAsia="宋体" w:cs="Times New Roman"/>
          <w:b/>
        </w:rPr>
        <w:t>-2  环境影响评价范围一览表</w:t>
      </w:r>
      <w:bookmarkEnd w:id="116"/>
      <w:bookmarkEnd w:id="117"/>
    </w:p>
    <w:tbl>
      <w:tblPr>
        <w:tblStyle w:val="22"/>
        <w:tblW w:w="4911" w:type="pct"/>
        <w:jc w:val="center"/>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420"/>
        <w:gridCol w:w="6950"/>
      </w:tblGrid>
      <w:tr w14:paraId="683F2878">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848" w:type="pct"/>
            <w:vAlign w:val="center"/>
          </w:tcPr>
          <w:p w14:paraId="7BC8FAB0">
            <w:pPr>
              <w:spacing w:line="300" w:lineRule="exact"/>
              <w:jc w:val="center"/>
              <w:rPr>
                <w:rFonts w:ascii="Times New Roman" w:hAnsi="Times New Roman" w:eastAsia="宋体" w:cs="Times New Roman"/>
                <w:b/>
                <w:szCs w:val="21"/>
              </w:rPr>
            </w:pPr>
            <w:r>
              <w:rPr>
                <w:rFonts w:ascii="Times New Roman" w:hAnsi="Times New Roman" w:eastAsia="宋体" w:cs="Times New Roman"/>
                <w:b/>
                <w:szCs w:val="21"/>
              </w:rPr>
              <w:t>环境要素</w:t>
            </w:r>
          </w:p>
        </w:tc>
        <w:tc>
          <w:tcPr>
            <w:tcW w:w="4151" w:type="pct"/>
            <w:vAlign w:val="center"/>
          </w:tcPr>
          <w:p w14:paraId="6B58679E">
            <w:pPr>
              <w:spacing w:line="300" w:lineRule="exact"/>
              <w:jc w:val="center"/>
              <w:rPr>
                <w:rFonts w:ascii="Times New Roman" w:hAnsi="Times New Roman" w:eastAsia="宋体" w:cs="Times New Roman"/>
                <w:b/>
                <w:szCs w:val="21"/>
              </w:rPr>
            </w:pPr>
            <w:r>
              <w:rPr>
                <w:rFonts w:ascii="Times New Roman" w:hAnsi="Times New Roman" w:eastAsia="宋体" w:cs="Times New Roman"/>
                <w:b/>
                <w:szCs w:val="21"/>
              </w:rPr>
              <w:t>评价范围</w:t>
            </w:r>
          </w:p>
        </w:tc>
      </w:tr>
      <w:tr w14:paraId="2D7FD8BD">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848" w:type="pct"/>
            <w:vAlign w:val="center"/>
          </w:tcPr>
          <w:p w14:paraId="29CCDE90">
            <w:pPr>
              <w:spacing w:line="300" w:lineRule="exact"/>
              <w:jc w:val="center"/>
              <w:rPr>
                <w:rFonts w:ascii="Times New Roman" w:hAnsi="Times New Roman" w:eastAsia="宋体" w:cs="Times New Roman"/>
                <w:szCs w:val="21"/>
              </w:rPr>
            </w:pPr>
            <w:r>
              <w:rPr>
                <w:rFonts w:hint="eastAsia" w:ascii="Times New Roman" w:hAnsi="Times New Roman" w:eastAsia="宋体" w:cs="Times New Roman"/>
                <w:szCs w:val="21"/>
              </w:rPr>
              <w:t>声</w:t>
            </w:r>
            <w:r>
              <w:rPr>
                <w:rFonts w:ascii="Times New Roman" w:hAnsi="Times New Roman" w:eastAsia="宋体" w:cs="Times New Roman"/>
                <w:szCs w:val="21"/>
              </w:rPr>
              <w:t>环境</w:t>
            </w:r>
          </w:p>
        </w:tc>
        <w:tc>
          <w:tcPr>
            <w:tcW w:w="4151" w:type="pct"/>
            <w:vAlign w:val="center"/>
          </w:tcPr>
          <w:p w14:paraId="420E443A">
            <w:pPr>
              <w:rPr>
                <w:rFonts w:ascii="Times New Roman" w:hAnsi="Times New Roman" w:eastAsia="宋体" w:cs="Times New Roman"/>
              </w:rPr>
            </w:pPr>
            <w:r>
              <w:rPr>
                <w:rFonts w:ascii="Times New Roman" w:hAnsi="Times New Roman" w:eastAsia="宋体" w:cs="Times New Roman"/>
              </w:rPr>
              <w:t>施工期评价范围为施工场界外扩200m；运营期一般为公路中心线两侧各200m以内的区域，当噪声达标距离超过200m时，扩大到运营中期噪声贡献值达标范围。项目起点～</w:t>
            </w:r>
            <w:r>
              <w:rPr>
                <w:rFonts w:hint="eastAsia" w:ascii="Times New Roman" w:hAnsi="Times New Roman" w:eastAsia="宋体" w:cs="Times New Roman"/>
              </w:rPr>
              <w:t>胜利路中期夜间达标距离为206.4</w:t>
            </w:r>
            <w:r>
              <w:rPr>
                <w:rFonts w:ascii="Times New Roman" w:hAnsi="Times New Roman" w:eastAsia="宋体" w:cs="Times New Roman"/>
              </w:rPr>
              <w:t>m，故评价范围扩大到距公路中心线两侧各</w:t>
            </w:r>
            <w:r>
              <w:rPr>
                <w:rFonts w:hint="eastAsia" w:ascii="Times New Roman" w:hAnsi="Times New Roman" w:eastAsia="宋体" w:cs="Times New Roman"/>
              </w:rPr>
              <w:t>210</w:t>
            </w:r>
            <w:r>
              <w:rPr>
                <w:rFonts w:ascii="Times New Roman" w:hAnsi="Times New Roman" w:eastAsia="宋体" w:cs="Times New Roman"/>
              </w:rPr>
              <w:t>m，</w:t>
            </w:r>
            <w:r>
              <w:rPr>
                <w:rFonts w:hint="eastAsia" w:ascii="Times New Roman" w:hAnsi="Times New Roman" w:eastAsia="宋体" w:cs="Times New Roman"/>
              </w:rPr>
              <w:t>胜利路～S311、S311～高速口及高速口～岳普湖</w:t>
            </w:r>
            <w:r>
              <w:rPr>
                <w:rFonts w:ascii="Times New Roman" w:hAnsi="Times New Roman" w:eastAsia="宋体" w:cs="Times New Roman"/>
              </w:rPr>
              <w:t>各路段评价范围为距公路中心线两侧各200m。</w:t>
            </w:r>
          </w:p>
        </w:tc>
      </w:tr>
    </w:tbl>
    <w:p w14:paraId="6EBE196E">
      <w:pPr>
        <w:keepNext/>
        <w:keepLines/>
        <w:widowControl w:val="0"/>
        <w:adjustRightInd w:val="0"/>
        <w:spacing w:before="240" w:after="240" w:line="240" w:lineRule="auto"/>
        <w:jc w:val="both"/>
        <w:textAlignment w:val="baseline"/>
        <w:outlineLvl w:val="1"/>
        <w:rPr>
          <w:rFonts w:ascii="Times New Roman" w:hAnsi="Times New Roman" w:eastAsia="宋体" w:cs="Times New Roman"/>
          <w:b/>
          <w:bCs/>
          <w:kern w:val="0"/>
          <w:sz w:val="28"/>
          <w:szCs w:val="32"/>
          <w:lang w:val="en-US" w:eastAsia="zh-CN" w:bidi="ar-SA"/>
        </w:rPr>
      </w:pPr>
      <w:r>
        <w:rPr>
          <w:rFonts w:hint="eastAsia" w:ascii="Times New Roman" w:hAnsi="Times New Roman" w:eastAsia="宋体" w:cs="Times New Roman"/>
          <w:b/>
          <w:bCs/>
          <w:kern w:val="0"/>
          <w:sz w:val="28"/>
          <w:szCs w:val="32"/>
          <w:lang w:val="en-US" w:eastAsia="zh-CN" w:bidi="ar-SA"/>
        </w:rPr>
        <w:t>1</w:t>
      </w:r>
      <w:r>
        <w:rPr>
          <w:rFonts w:ascii="Times New Roman" w:hAnsi="Times New Roman" w:eastAsia="宋体" w:cs="Times New Roman"/>
          <w:b/>
          <w:bCs/>
          <w:kern w:val="0"/>
          <w:sz w:val="28"/>
          <w:szCs w:val="32"/>
          <w:lang w:val="en-US" w:eastAsia="zh-CN" w:bidi="ar-SA"/>
        </w:rPr>
        <w:t>.</w:t>
      </w:r>
      <w:r>
        <w:rPr>
          <w:rFonts w:hint="eastAsia" w:ascii="Times New Roman" w:hAnsi="Times New Roman" w:eastAsia="宋体" w:cs="Times New Roman"/>
          <w:b/>
          <w:bCs/>
          <w:kern w:val="0"/>
          <w:sz w:val="28"/>
          <w:szCs w:val="32"/>
          <w:lang w:val="en-US" w:eastAsia="zh-CN" w:bidi="ar-SA"/>
        </w:rPr>
        <w:t>6</w:t>
      </w:r>
      <w:r>
        <w:rPr>
          <w:rFonts w:ascii="Times New Roman" w:hAnsi="Times New Roman" w:eastAsia="宋体" w:cs="Times New Roman"/>
          <w:b/>
          <w:bCs/>
          <w:kern w:val="0"/>
          <w:sz w:val="28"/>
          <w:szCs w:val="32"/>
          <w:lang w:val="en-US" w:eastAsia="zh-CN" w:bidi="ar-SA"/>
        </w:rPr>
        <w:t xml:space="preserve"> </w:t>
      </w:r>
      <w:r>
        <w:rPr>
          <w:rFonts w:hint="eastAsia" w:ascii="Times New Roman" w:hAnsi="Times New Roman" w:eastAsia="宋体" w:cs="Times New Roman"/>
          <w:b/>
          <w:bCs/>
          <w:kern w:val="0"/>
          <w:sz w:val="28"/>
          <w:szCs w:val="32"/>
          <w:lang w:val="en-US" w:eastAsia="zh-CN" w:bidi="ar-SA"/>
        </w:rPr>
        <w:t>声环境保护目标</w:t>
      </w:r>
      <w:bookmarkEnd w:id="111"/>
    </w:p>
    <w:p w14:paraId="43417FA6">
      <w:pPr>
        <w:keepNext/>
        <w:keepLines/>
        <w:widowControl w:val="0"/>
        <w:adjustRightInd w:val="0"/>
        <w:spacing w:before="120" w:after="120" w:line="300" w:lineRule="auto"/>
        <w:jc w:val="both"/>
        <w:textAlignment w:val="baseline"/>
        <w:outlineLvl w:val="2"/>
        <w:rPr>
          <w:rFonts w:ascii="Times New Roman" w:hAnsi="Times New Roman" w:eastAsia="宋体" w:cs="Times New Roman"/>
          <w:b/>
          <w:bCs/>
          <w:kern w:val="0"/>
          <w:sz w:val="32"/>
          <w:szCs w:val="32"/>
          <w:lang w:val="en-US" w:eastAsia="zh-CN" w:bidi="ar-SA"/>
        </w:rPr>
      </w:pPr>
      <w:r>
        <w:rPr>
          <w:rFonts w:ascii="Times New Roman" w:hAnsi="Times New Roman" w:eastAsia="宋体" w:cs="Times New Roman"/>
          <w:b/>
          <w:bCs w:val="0"/>
          <w:kern w:val="0"/>
          <w:sz w:val="24"/>
          <w:szCs w:val="32"/>
          <w:lang w:val="en-US" w:eastAsia="zh-CN" w:bidi="ar-SA"/>
        </w:rPr>
        <w:t>1.</w:t>
      </w:r>
      <w:r>
        <w:rPr>
          <w:rFonts w:hint="eastAsia" w:ascii="Times New Roman" w:hAnsi="Times New Roman" w:eastAsia="宋体" w:cs="Times New Roman"/>
          <w:b/>
          <w:bCs w:val="0"/>
          <w:kern w:val="0"/>
          <w:sz w:val="24"/>
          <w:szCs w:val="32"/>
          <w:lang w:val="en-US" w:eastAsia="zh-CN" w:bidi="ar-SA"/>
        </w:rPr>
        <w:t>6</w:t>
      </w:r>
      <w:r>
        <w:rPr>
          <w:rFonts w:ascii="Times New Roman" w:hAnsi="Times New Roman" w:eastAsia="宋体" w:cs="Times New Roman"/>
          <w:b/>
          <w:bCs w:val="0"/>
          <w:kern w:val="0"/>
          <w:sz w:val="24"/>
          <w:szCs w:val="32"/>
          <w:lang w:val="en-US" w:eastAsia="zh-CN" w:bidi="ar-SA"/>
        </w:rPr>
        <w:t>.</w:t>
      </w:r>
      <w:r>
        <w:rPr>
          <w:rFonts w:hint="eastAsia" w:ascii="Times New Roman" w:hAnsi="Times New Roman" w:eastAsia="宋体" w:cs="Times New Roman"/>
          <w:b/>
          <w:bCs w:val="0"/>
          <w:kern w:val="0"/>
          <w:sz w:val="24"/>
          <w:szCs w:val="32"/>
          <w:lang w:val="en-US" w:eastAsia="zh-CN" w:bidi="ar-SA"/>
        </w:rPr>
        <w:t>1</w:t>
      </w:r>
      <w:r>
        <w:rPr>
          <w:rFonts w:ascii="Times New Roman" w:hAnsi="Times New Roman" w:eastAsia="宋体" w:cs="Times New Roman"/>
          <w:b/>
          <w:bCs w:val="0"/>
          <w:kern w:val="0"/>
          <w:sz w:val="24"/>
          <w:szCs w:val="32"/>
          <w:lang w:val="en-US" w:eastAsia="zh-CN" w:bidi="ar-SA"/>
        </w:rPr>
        <w:t xml:space="preserve"> 临时工程周边</w:t>
      </w:r>
      <w:r>
        <w:rPr>
          <w:rFonts w:hint="eastAsia" w:ascii="Times New Roman" w:hAnsi="Times New Roman" w:eastAsia="宋体" w:cs="Times New Roman"/>
          <w:b/>
          <w:bCs w:val="0"/>
          <w:kern w:val="0"/>
          <w:sz w:val="24"/>
          <w:szCs w:val="32"/>
          <w:lang w:val="en-US" w:eastAsia="zh-CN" w:bidi="ar-SA"/>
        </w:rPr>
        <w:t>声环境保护目标</w:t>
      </w:r>
    </w:p>
    <w:p w14:paraId="39012F70">
      <w:pPr>
        <w:spacing w:line="300"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拟建公路沿线主要位于乡村地区，沿线人烟稀少。经核实，拟建公路沿线临时工程周边评价范围内无声环境保护目标分布，详见</w:t>
      </w:r>
      <w:r>
        <w:rPr>
          <w:rFonts w:ascii="Times New Roman" w:hAnsi="Times New Roman" w:eastAsia="宋体" w:cs="Times New Roman"/>
        </w:rPr>
        <w:fldChar w:fldCharType="begin"/>
      </w:r>
      <w:r>
        <w:rPr>
          <w:rFonts w:ascii="Times New Roman" w:hAnsi="Times New Roman" w:eastAsia="宋体" w:cs="Times New Roman"/>
        </w:rPr>
        <w:instrText xml:space="preserve"> REF _Ref225151187 \h  \* MERGEFORMAT </w:instrText>
      </w:r>
      <w:r>
        <w:rPr>
          <w:rFonts w:ascii="Times New Roman" w:hAnsi="Times New Roman" w:eastAsia="宋体" w:cs="Times New Roman"/>
        </w:rPr>
        <w:fldChar w:fldCharType="separate"/>
      </w:r>
      <w:r>
        <w:rPr>
          <w:rFonts w:hint="eastAsia" w:ascii="Times New Roman" w:hAnsi="Times New Roman" w:eastAsia="宋体" w:cs="Times New Roman"/>
          <w:sz w:val="24"/>
        </w:rPr>
        <w:t>表1.6</w:t>
      </w:r>
      <w:r>
        <w:rPr>
          <w:rFonts w:ascii="Times New Roman" w:hAnsi="Times New Roman" w:eastAsia="宋体" w:cs="Times New Roman"/>
          <w:sz w:val="24"/>
        </w:rPr>
        <w:noBreakHyphen/>
      </w:r>
      <w:r>
        <w:rPr>
          <w:rFonts w:ascii="Times New Roman" w:hAnsi="Times New Roman" w:eastAsia="宋体" w:cs="Times New Roman"/>
          <w:sz w:val="24"/>
        </w:rPr>
        <w:t>1</w:t>
      </w:r>
      <w:r>
        <w:rPr>
          <w:rFonts w:ascii="Times New Roman" w:hAnsi="Times New Roman" w:eastAsia="宋体" w:cs="Times New Roman"/>
          <w:sz w:val="24"/>
        </w:rPr>
        <w:fldChar w:fldCharType="end"/>
      </w:r>
      <w:r>
        <w:rPr>
          <w:rFonts w:hint="eastAsia" w:ascii="Times New Roman" w:hAnsi="Times New Roman" w:eastAsia="宋体" w:cs="Times New Roman"/>
          <w:sz w:val="24"/>
        </w:rPr>
        <w:t>。</w:t>
      </w:r>
    </w:p>
    <w:p w14:paraId="5841B519">
      <w:pPr>
        <w:widowControl w:val="0"/>
        <w:adjustRightInd w:val="0"/>
        <w:spacing w:beforeLines="50" w:line="240" w:lineRule="auto"/>
        <w:jc w:val="center"/>
        <w:textAlignment w:val="baseline"/>
        <w:rPr>
          <w:rFonts w:ascii="Times New Roman" w:hAnsi="Times New Roman" w:eastAsia="宋体" w:cs="Times New Roman"/>
          <w:b/>
          <w:spacing w:val="0"/>
          <w:kern w:val="0"/>
          <w:sz w:val="21"/>
          <w:szCs w:val="20"/>
          <w:lang w:val="en-US" w:eastAsia="zh-CN" w:bidi="ar-SA"/>
        </w:rPr>
      </w:pPr>
      <w:bookmarkStart w:id="118" w:name="_Ref225151187"/>
      <w:r>
        <w:rPr>
          <w:rFonts w:hint="eastAsia" w:ascii="Times New Roman" w:hAnsi="Times New Roman" w:eastAsia="宋体" w:cs="Times New Roman"/>
          <w:b/>
          <w:spacing w:val="0"/>
          <w:kern w:val="0"/>
          <w:sz w:val="21"/>
          <w:szCs w:val="20"/>
          <w:lang w:val="en-US" w:eastAsia="zh-CN" w:bidi="ar-SA"/>
        </w:rPr>
        <w:t>表1.6</w:t>
      </w:r>
      <w:r>
        <w:rPr>
          <w:rFonts w:ascii="Times New Roman" w:hAnsi="Times New Roman" w:eastAsia="宋体" w:cs="Times New Roman"/>
          <w:b/>
          <w:spacing w:val="0"/>
          <w:kern w:val="0"/>
          <w:sz w:val="21"/>
          <w:szCs w:val="20"/>
          <w:lang w:val="en-US" w:eastAsia="zh-CN" w:bidi="ar-SA"/>
        </w:rPr>
        <w:noBreakHyphen/>
      </w:r>
      <w:r>
        <w:rPr>
          <w:rFonts w:ascii="Times New Roman" w:hAnsi="Times New Roman" w:eastAsia="宋体" w:cs="Times New Roman"/>
          <w:b/>
          <w:spacing w:val="0"/>
          <w:kern w:val="0"/>
          <w:sz w:val="21"/>
          <w:szCs w:val="20"/>
          <w:lang w:val="en-US" w:eastAsia="zh-CN" w:bidi="ar-SA"/>
        </w:rPr>
        <w:fldChar w:fldCharType="begin"/>
      </w:r>
      <w:r>
        <w:rPr>
          <w:rFonts w:ascii="Times New Roman" w:hAnsi="Times New Roman" w:eastAsia="宋体" w:cs="Times New Roman"/>
          <w:b/>
          <w:spacing w:val="0"/>
          <w:kern w:val="0"/>
          <w:sz w:val="21"/>
          <w:szCs w:val="20"/>
          <w:lang w:val="en-US" w:eastAsia="zh-CN" w:bidi="ar-SA"/>
        </w:rPr>
        <w:instrText xml:space="preserve"> </w:instrText>
      </w:r>
      <w:r>
        <w:rPr>
          <w:rFonts w:hint="eastAsia" w:ascii="Times New Roman" w:hAnsi="Times New Roman" w:eastAsia="宋体" w:cs="Times New Roman"/>
          <w:b/>
          <w:spacing w:val="0"/>
          <w:kern w:val="0"/>
          <w:sz w:val="21"/>
          <w:szCs w:val="20"/>
          <w:lang w:val="en-US" w:eastAsia="zh-CN" w:bidi="ar-SA"/>
        </w:rPr>
        <w:instrText xml:space="preserve">SEQ 表 \* ARABIC \s 2</w:instrText>
      </w:r>
      <w:r>
        <w:rPr>
          <w:rFonts w:ascii="Times New Roman" w:hAnsi="Times New Roman" w:eastAsia="宋体" w:cs="Times New Roman"/>
          <w:b/>
          <w:spacing w:val="0"/>
          <w:kern w:val="0"/>
          <w:sz w:val="21"/>
          <w:szCs w:val="20"/>
          <w:lang w:val="en-US" w:eastAsia="zh-CN" w:bidi="ar-SA"/>
        </w:rPr>
        <w:instrText xml:space="preserve"> </w:instrText>
      </w:r>
      <w:r>
        <w:rPr>
          <w:rFonts w:ascii="Times New Roman" w:hAnsi="Times New Roman" w:eastAsia="宋体" w:cs="Times New Roman"/>
          <w:b/>
          <w:spacing w:val="0"/>
          <w:kern w:val="0"/>
          <w:sz w:val="21"/>
          <w:szCs w:val="20"/>
          <w:lang w:val="en-US" w:eastAsia="zh-CN" w:bidi="ar-SA"/>
        </w:rPr>
        <w:fldChar w:fldCharType="separate"/>
      </w:r>
      <w:r>
        <w:rPr>
          <w:rFonts w:ascii="Times New Roman" w:hAnsi="Times New Roman" w:eastAsia="宋体" w:cs="Times New Roman"/>
          <w:b/>
          <w:spacing w:val="0"/>
          <w:kern w:val="0"/>
          <w:sz w:val="21"/>
          <w:szCs w:val="20"/>
          <w:lang w:val="en-US" w:eastAsia="zh-CN" w:bidi="ar-SA"/>
        </w:rPr>
        <w:t>1</w:t>
      </w:r>
      <w:r>
        <w:rPr>
          <w:rFonts w:ascii="Times New Roman" w:hAnsi="Times New Roman" w:eastAsia="宋体" w:cs="Times New Roman"/>
          <w:b/>
          <w:spacing w:val="0"/>
          <w:kern w:val="0"/>
          <w:sz w:val="21"/>
          <w:szCs w:val="20"/>
          <w:lang w:val="en-US" w:eastAsia="zh-CN" w:bidi="ar-SA"/>
        </w:rPr>
        <w:fldChar w:fldCharType="end"/>
      </w:r>
      <w:bookmarkEnd w:id="118"/>
      <w:r>
        <w:rPr>
          <w:rFonts w:ascii="Times New Roman" w:hAnsi="Times New Roman" w:eastAsia="宋体" w:cs="Times New Roman"/>
          <w:b/>
          <w:spacing w:val="0"/>
          <w:kern w:val="0"/>
          <w:sz w:val="21"/>
          <w:szCs w:val="20"/>
          <w:lang w:val="en-US" w:eastAsia="zh-CN" w:bidi="ar-SA"/>
        </w:rPr>
        <w:t xml:space="preserve">  </w:t>
      </w:r>
      <w:r>
        <w:rPr>
          <w:rFonts w:hint="eastAsia" w:ascii="Times New Roman" w:hAnsi="Times New Roman" w:eastAsia="宋体" w:cs="Times New Roman"/>
          <w:b/>
          <w:spacing w:val="0"/>
          <w:kern w:val="0"/>
          <w:sz w:val="21"/>
          <w:szCs w:val="20"/>
          <w:lang w:val="en-US" w:eastAsia="zh-CN" w:bidi="ar-SA"/>
        </w:rPr>
        <w:t>拟建公路沿线临时工程周边声环境保护目标</w:t>
      </w:r>
    </w:p>
    <w:tbl>
      <w:tblPr>
        <w:tblStyle w:val="22"/>
        <w:tblW w:w="8295" w:type="dxa"/>
        <w:jc w:val="center"/>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560"/>
        <w:gridCol w:w="4338"/>
        <w:gridCol w:w="1722"/>
      </w:tblGrid>
      <w:tr w14:paraId="11588206">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Align w:val="center"/>
          </w:tcPr>
          <w:p w14:paraId="73C22C0E">
            <w:pPr>
              <w:jc w:val="center"/>
              <w:rPr>
                <w:rFonts w:ascii="Times New Roman" w:hAnsi="Times New Roman" w:eastAsia="宋体" w:cs="Times New Roman"/>
                <w:b/>
                <w:bCs/>
                <w:szCs w:val="22"/>
              </w:rPr>
            </w:pPr>
            <w:r>
              <w:rPr>
                <w:rFonts w:hint="eastAsia" w:ascii="Times New Roman" w:hAnsi="Times New Roman" w:eastAsia="宋体" w:cs="Times New Roman"/>
                <w:b/>
                <w:bCs/>
                <w:szCs w:val="22"/>
              </w:rPr>
              <w:t>序号</w:t>
            </w:r>
          </w:p>
        </w:tc>
        <w:tc>
          <w:tcPr>
            <w:tcW w:w="1560" w:type="dxa"/>
            <w:vAlign w:val="center"/>
          </w:tcPr>
          <w:p w14:paraId="29189D90">
            <w:pPr>
              <w:jc w:val="center"/>
              <w:rPr>
                <w:rFonts w:ascii="Times New Roman" w:hAnsi="Times New Roman" w:eastAsia="宋体" w:cs="Times New Roman"/>
                <w:b/>
                <w:bCs/>
                <w:szCs w:val="22"/>
              </w:rPr>
            </w:pPr>
            <w:r>
              <w:rPr>
                <w:rFonts w:hint="eastAsia" w:ascii="Times New Roman" w:hAnsi="Times New Roman" w:eastAsia="宋体" w:cs="Times New Roman"/>
                <w:b/>
                <w:bCs/>
                <w:szCs w:val="22"/>
              </w:rPr>
              <w:t>桩号</w:t>
            </w:r>
          </w:p>
        </w:tc>
        <w:tc>
          <w:tcPr>
            <w:tcW w:w="4338" w:type="dxa"/>
            <w:vAlign w:val="center"/>
          </w:tcPr>
          <w:p w14:paraId="1CB7967C">
            <w:pPr>
              <w:jc w:val="center"/>
              <w:rPr>
                <w:rFonts w:ascii="Times New Roman" w:hAnsi="Times New Roman" w:eastAsia="宋体" w:cs="Times New Roman"/>
                <w:b/>
                <w:bCs/>
                <w:szCs w:val="22"/>
              </w:rPr>
            </w:pPr>
            <w:r>
              <w:rPr>
                <w:rFonts w:hint="eastAsia" w:ascii="Times New Roman" w:hAnsi="Times New Roman" w:eastAsia="宋体" w:cs="Times New Roman"/>
                <w:b/>
                <w:bCs/>
                <w:szCs w:val="22"/>
              </w:rPr>
              <w:t>临时工程</w:t>
            </w:r>
          </w:p>
        </w:tc>
        <w:tc>
          <w:tcPr>
            <w:tcW w:w="1722" w:type="dxa"/>
            <w:vAlign w:val="center"/>
          </w:tcPr>
          <w:p w14:paraId="7685DECC">
            <w:pPr>
              <w:jc w:val="center"/>
              <w:rPr>
                <w:rFonts w:ascii="Times New Roman" w:hAnsi="Times New Roman" w:eastAsia="宋体" w:cs="Times New Roman"/>
                <w:b/>
                <w:bCs/>
                <w:szCs w:val="22"/>
              </w:rPr>
            </w:pPr>
            <w:r>
              <w:rPr>
                <w:rFonts w:hint="eastAsia" w:ascii="Times New Roman" w:hAnsi="Times New Roman" w:eastAsia="宋体" w:cs="Times New Roman"/>
                <w:b/>
                <w:bCs/>
                <w:szCs w:val="22"/>
              </w:rPr>
              <w:t>声环境保护目标</w:t>
            </w:r>
          </w:p>
        </w:tc>
      </w:tr>
      <w:tr w14:paraId="5EEEAB1D">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Align w:val="center"/>
          </w:tcPr>
          <w:p w14:paraId="5C383017">
            <w:pPr>
              <w:jc w:val="center"/>
              <w:rPr>
                <w:rFonts w:ascii="Times New Roman" w:hAnsi="Times New Roman" w:eastAsia="宋体" w:cs="Times New Roman"/>
                <w:szCs w:val="22"/>
              </w:rPr>
            </w:pPr>
            <w:r>
              <w:rPr>
                <w:rFonts w:hint="eastAsia" w:ascii="Times New Roman" w:hAnsi="Times New Roman" w:eastAsia="宋体" w:cs="Times New Roman"/>
                <w:szCs w:val="22"/>
              </w:rPr>
              <w:t>1</w:t>
            </w:r>
          </w:p>
        </w:tc>
        <w:tc>
          <w:tcPr>
            <w:tcW w:w="1560" w:type="dxa"/>
            <w:vAlign w:val="center"/>
          </w:tcPr>
          <w:p w14:paraId="3BAB44E8">
            <w:pPr>
              <w:jc w:val="center"/>
              <w:rPr>
                <w:rFonts w:ascii="Times New Roman" w:hAnsi="Times New Roman" w:eastAsia="宋体" w:cs="Times New Roman"/>
                <w:szCs w:val="21"/>
              </w:rPr>
            </w:pPr>
            <w:r>
              <w:rPr>
                <w:rFonts w:ascii="Times New Roman" w:hAnsi="Times New Roman" w:eastAsia="宋体" w:cs="Times New Roman"/>
                <w:szCs w:val="21"/>
              </w:rPr>
              <w:t>K</w:t>
            </w:r>
            <w:r>
              <w:rPr>
                <w:rFonts w:hint="eastAsia" w:ascii="Times New Roman" w:hAnsi="Times New Roman" w:eastAsia="宋体" w:cs="Times New Roman"/>
                <w:szCs w:val="21"/>
              </w:rPr>
              <w:t>0</w:t>
            </w:r>
            <w:r>
              <w:rPr>
                <w:rFonts w:ascii="Times New Roman" w:hAnsi="Times New Roman" w:eastAsia="宋体" w:cs="Times New Roman"/>
                <w:szCs w:val="21"/>
              </w:rPr>
              <w:t>+</w:t>
            </w:r>
            <w:r>
              <w:rPr>
                <w:rFonts w:hint="eastAsia" w:ascii="Times New Roman" w:hAnsi="Times New Roman" w:eastAsia="宋体" w:cs="Times New Roman"/>
                <w:szCs w:val="21"/>
              </w:rPr>
              <w:t>4</w:t>
            </w:r>
            <w:r>
              <w:rPr>
                <w:rFonts w:ascii="Times New Roman" w:hAnsi="Times New Roman" w:eastAsia="宋体" w:cs="Times New Roman"/>
                <w:szCs w:val="21"/>
              </w:rPr>
              <w:t>00左</w:t>
            </w:r>
            <w:r>
              <w:rPr>
                <w:rFonts w:hint="eastAsia" w:ascii="Times New Roman" w:hAnsi="Times New Roman" w:eastAsia="宋体" w:cs="Times New Roman"/>
                <w:szCs w:val="21"/>
              </w:rPr>
              <w:t>30m</w:t>
            </w:r>
          </w:p>
        </w:tc>
        <w:tc>
          <w:tcPr>
            <w:tcW w:w="4338" w:type="dxa"/>
            <w:vAlign w:val="center"/>
          </w:tcPr>
          <w:p w14:paraId="554C2416">
            <w:pPr>
              <w:autoSpaceDE w:val="0"/>
              <w:autoSpaceDN w:val="0"/>
              <w:adjustRightInd w:val="0"/>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预制场、沥青拌合站、混凝土拌合站、水稳拌合站</w:t>
            </w:r>
          </w:p>
        </w:tc>
        <w:tc>
          <w:tcPr>
            <w:tcW w:w="1722" w:type="dxa"/>
            <w:vAlign w:val="center"/>
          </w:tcPr>
          <w:p w14:paraId="3251E974">
            <w:pPr>
              <w:jc w:val="center"/>
              <w:rPr>
                <w:rFonts w:ascii="Times New Roman" w:hAnsi="Times New Roman" w:eastAsia="宋体" w:cs="Times New Roman"/>
                <w:szCs w:val="21"/>
              </w:rPr>
            </w:pPr>
            <w:r>
              <w:rPr>
                <w:rFonts w:ascii="Times New Roman" w:hAnsi="Times New Roman" w:eastAsia="宋体" w:cs="Times New Roman"/>
                <w:szCs w:val="21"/>
              </w:rPr>
              <w:t>无</w:t>
            </w:r>
          </w:p>
        </w:tc>
      </w:tr>
      <w:tr w14:paraId="2C511A20">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Align w:val="center"/>
          </w:tcPr>
          <w:p w14:paraId="0747226A">
            <w:pPr>
              <w:jc w:val="center"/>
              <w:rPr>
                <w:rFonts w:ascii="Times New Roman" w:hAnsi="Times New Roman" w:eastAsia="宋体" w:cs="Times New Roman"/>
                <w:szCs w:val="22"/>
              </w:rPr>
            </w:pPr>
            <w:r>
              <w:rPr>
                <w:rFonts w:hint="eastAsia" w:ascii="Times New Roman" w:hAnsi="Times New Roman" w:eastAsia="宋体" w:cs="Times New Roman"/>
                <w:szCs w:val="22"/>
              </w:rPr>
              <w:t>2</w:t>
            </w:r>
          </w:p>
        </w:tc>
        <w:tc>
          <w:tcPr>
            <w:tcW w:w="1560" w:type="dxa"/>
            <w:vAlign w:val="center"/>
          </w:tcPr>
          <w:p w14:paraId="042B483F">
            <w:pPr>
              <w:jc w:val="center"/>
              <w:rPr>
                <w:rFonts w:ascii="Times New Roman" w:hAnsi="Times New Roman" w:eastAsia="宋体" w:cs="Times New Roman"/>
                <w:szCs w:val="21"/>
              </w:rPr>
            </w:pPr>
            <w:r>
              <w:rPr>
                <w:rFonts w:ascii="Times New Roman" w:hAnsi="Times New Roman" w:eastAsia="宋体" w:cs="Times New Roman"/>
                <w:kern w:val="0"/>
                <w:szCs w:val="21"/>
              </w:rPr>
              <w:t>K</w:t>
            </w:r>
            <w:r>
              <w:rPr>
                <w:rFonts w:hint="eastAsia" w:ascii="Times New Roman" w:hAnsi="Times New Roman" w:eastAsia="宋体" w:cs="Times New Roman"/>
                <w:kern w:val="0"/>
                <w:szCs w:val="21"/>
              </w:rPr>
              <w:t>33</w:t>
            </w:r>
            <w:r>
              <w:rPr>
                <w:rFonts w:ascii="Times New Roman" w:hAnsi="Times New Roman" w:eastAsia="宋体" w:cs="Times New Roman"/>
                <w:kern w:val="0"/>
                <w:szCs w:val="21"/>
              </w:rPr>
              <w:t>+</w:t>
            </w:r>
            <w:r>
              <w:rPr>
                <w:rFonts w:hint="eastAsia" w:ascii="Times New Roman" w:hAnsi="Times New Roman" w:eastAsia="宋体" w:cs="Times New Roman"/>
                <w:kern w:val="0"/>
                <w:szCs w:val="21"/>
              </w:rPr>
              <w:t>4</w:t>
            </w:r>
            <w:r>
              <w:rPr>
                <w:rFonts w:ascii="Times New Roman" w:hAnsi="Times New Roman" w:eastAsia="宋体" w:cs="Times New Roman"/>
                <w:kern w:val="0"/>
                <w:szCs w:val="21"/>
              </w:rPr>
              <w:t>00</w:t>
            </w:r>
            <w:r>
              <w:rPr>
                <w:rFonts w:hint="eastAsia" w:ascii="Times New Roman" w:hAnsi="Times New Roman" w:eastAsia="宋体" w:cs="Times New Roman"/>
                <w:kern w:val="0"/>
                <w:szCs w:val="21"/>
              </w:rPr>
              <w:t>右50m</w:t>
            </w:r>
          </w:p>
        </w:tc>
        <w:tc>
          <w:tcPr>
            <w:tcW w:w="4338" w:type="dxa"/>
            <w:vAlign w:val="center"/>
          </w:tcPr>
          <w:p w14:paraId="041176E2">
            <w:pPr>
              <w:jc w:val="center"/>
              <w:rPr>
                <w:rFonts w:ascii="Times New Roman" w:hAnsi="Times New Roman" w:eastAsia="宋体" w:cs="Times New Roman"/>
                <w:szCs w:val="21"/>
              </w:rPr>
            </w:pPr>
            <w:r>
              <w:rPr>
                <w:rFonts w:hint="eastAsia" w:ascii="Times New Roman" w:hAnsi="Times New Roman" w:eastAsia="宋体" w:cs="Times New Roman"/>
                <w:szCs w:val="21"/>
              </w:rPr>
              <w:t>预制场、沥青拌合站、混凝土拌合站、水稳拌合站</w:t>
            </w:r>
          </w:p>
        </w:tc>
        <w:tc>
          <w:tcPr>
            <w:tcW w:w="1722" w:type="dxa"/>
            <w:vAlign w:val="center"/>
          </w:tcPr>
          <w:p w14:paraId="089325BB">
            <w:pPr>
              <w:jc w:val="center"/>
              <w:rPr>
                <w:rFonts w:ascii="Times New Roman" w:hAnsi="Times New Roman" w:eastAsia="宋体" w:cs="Times New Roman"/>
                <w:szCs w:val="21"/>
              </w:rPr>
            </w:pPr>
            <w:r>
              <w:rPr>
                <w:rFonts w:ascii="Times New Roman" w:hAnsi="Times New Roman" w:eastAsia="宋体" w:cs="Times New Roman"/>
                <w:szCs w:val="21"/>
              </w:rPr>
              <w:t>无</w:t>
            </w:r>
          </w:p>
        </w:tc>
      </w:tr>
    </w:tbl>
    <w:p w14:paraId="678196E5">
      <w:pPr>
        <w:rPr>
          <w:rFonts w:ascii="Times New Roman" w:hAnsi="Times New Roman" w:eastAsia="宋体" w:cs="Times New Roman"/>
        </w:rPr>
      </w:pPr>
    </w:p>
    <w:p w14:paraId="329B4201">
      <w:pPr>
        <w:keepNext/>
        <w:keepLines/>
        <w:widowControl w:val="0"/>
        <w:adjustRightInd w:val="0"/>
        <w:spacing w:before="120" w:after="120" w:line="300" w:lineRule="auto"/>
        <w:jc w:val="both"/>
        <w:textAlignment w:val="baseline"/>
        <w:outlineLvl w:val="2"/>
        <w:rPr>
          <w:rFonts w:ascii="Times New Roman" w:hAnsi="Times New Roman" w:eastAsia="宋体" w:cs="Times New Roman"/>
          <w:b/>
          <w:bCs/>
          <w:kern w:val="0"/>
          <w:sz w:val="32"/>
          <w:szCs w:val="32"/>
          <w:lang w:val="en-US" w:eastAsia="zh-CN" w:bidi="ar-SA"/>
        </w:rPr>
      </w:pPr>
      <w:r>
        <w:rPr>
          <w:rFonts w:ascii="Times New Roman" w:hAnsi="Times New Roman" w:eastAsia="宋体" w:cs="Times New Roman"/>
          <w:b/>
          <w:bCs w:val="0"/>
          <w:kern w:val="0"/>
          <w:sz w:val="24"/>
          <w:szCs w:val="32"/>
          <w:lang w:val="en-US" w:eastAsia="zh-CN" w:bidi="ar-SA"/>
        </w:rPr>
        <w:t>1.</w:t>
      </w:r>
      <w:r>
        <w:rPr>
          <w:rFonts w:hint="eastAsia" w:ascii="Times New Roman" w:hAnsi="Times New Roman" w:eastAsia="宋体" w:cs="Times New Roman"/>
          <w:b/>
          <w:bCs w:val="0"/>
          <w:kern w:val="0"/>
          <w:sz w:val="24"/>
          <w:szCs w:val="32"/>
          <w:lang w:val="en-US" w:eastAsia="zh-CN" w:bidi="ar-SA"/>
        </w:rPr>
        <w:t>6</w:t>
      </w:r>
      <w:r>
        <w:rPr>
          <w:rFonts w:ascii="Times New Roman" w:hAnsi="Times New Roman" w:eastAsia="宋体" w:cs="Times New Roman"/>
          <w:b/>
          <w:bCs w:val="0"/>
          <w:kern w:val="0"/>
          <w:sz w:val="24"/>
          <w:szCs w:val="32"/>
          <w:lang w:val="en-US" w:eastAsia="zh-CN" w:bidi="ar-SA"/>
        </w:rPr>
        <w:t>.</w:t>
      </w:r>
      <w:r>
        <w:rPr>
          <w:rFonts w:hint="eastAsia" w:ascii="Times New Roman" w:hAnsi="Times New Roman" w:eastAsia="宋体" w:cs="Times New Roman"/>
          <w:b/>
          <w:bCs w:val="0"/>
          <w:kern w:val="0"/>
          <w:sz w:val="24"/>
          <w:szCs w:val="32"/>
          <w:lang w:val="en-US" w:eastAsia="zh-CN" w:bidi="ar-SA"/>
        </w:rPr>
        <w:t>2</w:t>
      </w:r>
      <w:r>
        <w:rPr>
          <w:rFonts w:ascii="Times New Roman" w:hAnsi="Times New Roman" w:eastAsia="宋体" w:cs="Times New Roman"/>
          <w:b/>
          <w:bCs w:val="0"/>
          <w:kern w:val="0"/>
          <w:sz w:val="24"/>
          <w:szCs w:val="32"/>
          <w:lang w:val="en-US" w:eastAsia="zh-CN" w:bidi="ar-SA"/>
        </w:rPr>
        <w:t xml:space="preserve"> </w:t>
      </w:r>
      <w:r>
        <w:rPr>
          <w:rFonts w:hint="eastAsia" w:ascii="Times New Roman" w:hAnsi="Times New Roman" w:eastAsia="宋体" w:cs="Times New Roman"/>
          <w:b/>
          <w:bCs w:val="0"/>
          <w:kern w:val="0"/>
          <w:sz w:val="24"/>
          <w:szCs w:val="32"/>
          <w:lang w:val="en-US" w:eastAsia="zh-CN" w:bidi="ar-SA"/>
        </w:rPr>
        <w:t>拟建公路沿线声环境保护目标</w:t>
      </w:r>
    </w:p>
    <w:p w14:paraId="5FFA2340">
      <w:pPr>
        <w:spacing w:line="300" w:lineRule="auto"/>
        <w:ind w:firstLine="480" w:firstLineChars="200"/>
        <w:rPr>
          <w:rFonts w:ascii="Times New Roman" w:hAnsi="Times New Roman" w:eastAsia="宋体" w:cs="Times New Roman"/>
          <w:color w:val="auto"/>
          <w:sz w:val="24"/>
        </w:rPr>
      </w:pPr>
      <w:bookmarkStart w:id="119" w:name="OLE_LINK154"/>
      <w:r>
        <w:rPr>
          <w:rFonts w:ascii="Times New Roman" w:hAnsi="Times New Roman" w:eastAsia="宋体" w:cs="Times New Roman"/>
          <w:color w:val="auto"/>
          <w:sz w:val="24"/>
        </w:rPr>
        <w:t>拟建公路沿线评价范围内共有声环境保护目标</w:t>
      </w:r>
      <w:r>
        <w:rPr>
          <w:rFonts w:hint="eastAsia" w:ascii="Times New Roman" w:hAnsi="Times New Roman" w:eastAsia="宋体" w:cs="Times New Roman"/>
          <w:color w:val="auto"/>
          <w:sz w:val="24"/>
        </w:rPr>
        <w:t>29</w:t>
      </w:r>
      <w:r>
        <w:rPr>
          <w:rFonts w:ascii="Times New Roman" w:hAnsi="Times New Roman" w:eastAsia="宋体" w:cs="Times New Roman"/>
          <w:color w:val="auto"/>
          <w:sz w:val="24"/>
        </w:rPr>
        <w:t>处，包括：6处学校（</w:t>
      </w:r>
      <w:r>
        <w:rPr>
          <w:rFonts w:hint="eastAsia" w:ascii="Times New Roman" w:hAnsi="Times New Roman" w:eastAsia="宋体" w:cs="Times New Roman"/>
          <w:color w:val="auto"/>
          <w:sz w:val="24"/>
        </w:rPr>
        <w:t>1处技校（宿舍楼位于评价范围外）、3</w:t>
      </w:r>
      <w:r>
        <w:rPr>
          <w:rFonts w:ascii="Times New Roman" w:hAnsi="Times New Roman" w:eastAsia="宋体" w:cs="Times New Roman"/>
          <w:color w:val="auto"/>
          <w:sz w:val="24"/>
        </w:rPr>
        <w:t>处小学</w:t>
      </w:r>
      <w:r>
        <w:rPr>
          <w:rFonts w:hint="eastAsia" w:ascii="Times New Roman" w:hAnsi="Times New Roman" w:eastAsia="宋体" w:cs="Times New Roman"/>
          <w:color w:val="auto"/>
          <w:sz w:val="24"/>
        </w:rPr>
        <w:t>和2</w:t>
      </w:r>
      <w:r>
        <w:rPr>
          <w:rFonts w:ascii="Times New Roman" w:hAnsi="Times New Roman" w:eastAsia="宋体" w:cs="Times New Roman"/>
          <w:color w:val="auto"/>
          <w:sz w:val="24"/>
        </w:rPr>
        <w:t>处幼儿园</w:t>
      </w:r>
      <w:r>
        <w:rPr>
          <w:rFonts w:hint="eastAsia" w:ascii="Times New Roman" w:hAnsi="Times New Roman" w:eastAsia="宋体" w:cs="Times New Roman"/>
          <w:color w:val="auto"/>
          <w:sz w:val="24"/>
        </w:rPr>
        <w:t>（</w:t>
      </w:r>
      <w:r>
        <w:rPr>
          <w:rFonts w:ascii="Times New Roman" w:hAnsi="Times New Roman" w:eastAsia="宋体" w:cs="Times New Roman"/>
          <w:color w:val="auto"/>
          <w:sz w:val="24"/>
        </w:rPr>
        <w:t>夜间均无住宿</w:t>
      </w:r>
      <w:r>
        <w:rPr>
          <w:rFonts w:hint="eastAsia" w:ascii="Times New Roman" w:hAnsi="Times New Roman" w:eastAsia="宋体" w:cs="Times New Roman"/>
          <w:color w:val="auto"/>
          <w:sz w:val="24"/>
        </w:rPr>
        <w:t>）</w:t>
      </w:r>
      <w:r>
        <w:rPr>
          <w:rFonts w:ascii="Times New Roman" w:hAnsi="Times New Roman" w:eastAsia="宋体" w:cs="Times New Roman"/>
          <w:color w:val="auto"/>
          <w:sz w:val="24"/>
        </w:rPr>
        <w:t>）</w:t>
      </w:r>
      <w:r>
        <w:rPr>
          <w:rFonts w:hint="eastAsia" w:ascii="Times New Roman" w:hAnsi="Times New Roman" w:eastAsia="宋体" w:cs="Times New Roman"/>
          <w:color w:val="auto"/>
          <w:sz w:val="24"/>
        </w:rPr>
        <w:t>、1处卫生院（住院部夜间有住宿）</w:t>
      </w:r>
      <w:r>
        <w:rPr>
          <w:rFonts w:ascii="Times New Roman" w:hAnsi="Times New Roman" w:eastAsia="宋体" w:cs="Times New Roman"/>
          <w:color w:val="auto"/>
          <w:sz w:val="24"/>
        </w:rPr>
        <w:t>和</w:t>
      </w:r>
      <w:r>
        <w:rPr>
          <w:rFonts w:hint="eastAsia" w:ascii="Times New Roman" w:hAnsi="Times New Roman" w:eastAsia="宋体" w:cs="Times New Roman"/>
          <w:color w:val="auto"/>
          <w:sz w:val="24"/>
        </w:rPr>
        <w:t>22</w:t>
      </w:r>
      <w:r>
        <w:rPr>
          <w:rFonts w:ascii="Times New Roman" w:hAnsi="Times New Roman" w:eastAsia="宋体" w:cs="Times New Roman"/>
          <w:color w:val="auto"/>
          <w:sz w:val="24"/>
        </w:rPr>
        <w:t>处村庄</w:t>
      </w:r>
      <w:r>
        <w:rPr>
          <w:rFonts w:hint="eastAsia" w:ascii="Times New Roman" w:hAnsi="Times New Roman" w:eastAsia="宋体" w:cs="Times New Roman"/>
          <w:color w:val="auto"/>
          <w:sz w:val="24"/>
        </w:rPr>
        <w:t>居民点</w:t>
      </w:r>
      <w:r>
        <w:rPr>
          <w:rFonts w:ascii="Times New Roman" w:hAnsi="Times New Roman" w:eastAsia="宋体" w:cs="Times New Roman"/>
          <w:color w:val="auto"/>
          <w:sz w:val="24"/>
        </w:rPr>
        <w:t>，</w:t>
      </w:r>
      <w:bookmarkEnd w:id="119"/>
      <w:r>
        <w:rPr>
          <w:rFonts w:ascii="Times New Roman" w:hAnsi="Times New Roman" w:eastAsia="宋体" w:cs="Times New Roman"/>
          <w:color w:val="auto"/>
          <w:sz w:val="24"/>
        </w:rPr>
        <w:t>详见表1.</w:t>
      </w:r>
      <w:r>
        <w:rPr>
          <w:rFonts w:hint="eastAsia" w:ascii="Times New Roman" w:hAnsi="Times New Roman" w:eastAsia="宋体" w:cs="Times New Roman"/>
          <w:color w:val="auto"/>
          <w:sz w:val="24"/>
        </w:rPr>
        <w:t>6-2。</w:t>
      </w:r>
    </w:p>
    <w:p w14:paraId="707BA2B7">
      <w:pPr>
        <w:spacing w:line="300" w:lineRule="auto"/>
        <w:ind w:firstLine="480" w:firstLineChars="200"/>
        <w:rPr>
          <w:color w:val="auto"/>
          <w:sz w:val="24"/>
        </w:rPr>
        <w:sectPr>
          <w:headerReference r:id="rId20" w:type="default"/>
          <w:footerReference r:id="rId22" w:type="default"/>
          <w:headerReference r:id="rId21" w:type="even"/>
          <w:footerReference r:id="rId23" w:type="even"/>
          <w:pgSz w:w="11906" w:h="16838"/>
          <w:pgMar w:top="1440" w:right="1800" w:bottom="1560" w:left="1800" w:header="851" w:footer="992" w:gutter="0"/>
          <w:pgBorders>
            <w:top w:val="none" w:sz="0" w:space="0"/>
            <w:left w:val="none" w:sz="0" w:space="0"/>
            <w:bottom w:val="none" w:sz="0" w:space="0"/>
            <w:right w:val="none" w:sz="0" w:space="0"/>
          </w:pgBorders>
          <w:pgNumType w:start="1"/>
          <w:cols w:space="720" w:num="1"/>
          <w:docGrid w:type="lines" w:linePitch="312" w:charSpace="0"/>
        </w:sectPr>
      </w:pPr>
    </w:p>
    <w:p w14:paraId="200BE1DA">
      <w:pPr>
        <w:spacing w:beforeLines="50"/>
        <w:jc w:val="center"/>
        <w:rPr>
          <w:rFonts w:ascii="Times New Roman" w:hAnsi="Times New Roman" w:cs="Times New Roman" w:eastAsiaTheme="minorEastAsia"/>
          <w:color w:val="auto"/>
          <w:szCs w:val="21"/>
        </w:rPr>
      </w:pPr>
      <w:bookmarkStart w:id="120" w:name="OLE_LINK2"/>
      <w:bookmarkStart w:id="121" w:name="_Toc187528237"/>
      <w:r>
        <w:rPr>
          <w:rFonts w:ascii="Times New Roman" w:cs="Times New Roman" w:hAnsiTheme="minorEastAsia" w:eastAsiaTheme="minorEastAsia"/>
          <w:b/>
          <w:color w:val="auto"/>
          <w:szCs w:val="21"/>
        </w:rPr>
        <w:t>表</w:t>
      </w:r>
      <w:r>
        <w:rPr>
          <w:rFonts w:ascii="Times New Roman" w:hAnsi="Times New Roman" w:cs="Times New Roman" w:eastAsiaTheme="minorEastAsia"/>
          <w:b/>
          <w:color w:val="auto"/>
          <w:szCs w:val="21"/>
        </w:rPr>
        <w:t>1.</w:t>
      </w:r>
      <w:r>
        <w:rPr>
          <w:rFonts w:hint="eastAsia" w:ascii="Times New Roman" w:hAnsi="Times New Roman" w:cs="Times New Roman" w:eastAsiaTheme="minorEastAsia"/>
          <w:b/>
          <w:color w:val="auto"/>
          <w:szCs w:val="21"/>
        </w:rPr>
        <w:t>6</w:t>
      </w:r>
      <w:r>
        <w:rPr>
          <w:rFonts w:ascii="Times New Roman" w:hAnsi="Times New Roman" w:cs="Times New Roman" w:eastAsiaTheme="minorEastAsia"/>
          <w:b/>
          <w:color w:val="auto"/>
          <w:szCs w:val="21"/>
        </w:rPr>
        <w:t>-</w:t>
      </w:r>
      <w:bookmarkEnd w:id="120"/>
      <w:r>
        <w:rPr>
          <w:rFonts w:hint="eastAsia" w:ascii="Times New Roman" w:hAnsi="Times New Roman" w:cs="Times New Roman" w:eastAsiaTheme="minorEastAsia"/>
          <w:b/>
          <w:color w:val="auto"/>
          <w:szCs w:val="21"/>
        </w:rPr>
        <w:t>2</w:t>
      </w:r>
      <w:r>
        <w:rPr>
          <w:rFonts w:ascii="Times New Roman" w:hAnsi="Times New Roman" w:cs="Times New Roman" w:eastAsiaTheme="minorEastAsia"/>
          <w:b/>
          <w:color w:val="auto"/>
          <w:szCs w:val="21"/>
        </w:rPr>
        <w:t xml:space="preserve">  </w:t>
      </w:r>
      <w:r>
        <w:rPr>
          <w:rFonts w:ascii="Times New Roman" w:cs="Times New Roman" w:hAnsiTheme="minorEastAsia" w:eastAsiaTheme="minorEastAsia"/>
          <w:b/>
          <w:color w:val="auto"/>
          <w:szCs w:val="21"/>
        </w:rPr>
        <w:t>拟建公路沿线声环境敏感点一览表</w:t>
      </w:r>
    </w:p>
    <w:tbl>
      <w:tblPr>
        <w:tblStyle w:val="22"/>
        <w:tblW w:w="20338" w:type="dxa"/>
        <w:jc w:val="center"/>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67"/>
        <w:gridCol w:w="694"/>
        <w:gridCol w:w="1134"/>
        <w:gridCol w:w="851"/>
        <w:gridCol w:w="850"/>
        <w:gridCol w:w="661"/>
        <w:gridCol w:w="662"/>
        <w:gridCol w:w="663"/>
        <w:gridCol w:w="566"/>
        <w:gridCol w:w="708"/>
        <w:gridCol w:w="709"/>
        <w:gridCol w:w="992"/>
        <w:gridCol w:w="993"/>
        <w:gridCol w:w="567"/>
        <w:gridCol w:w="992"/>
        <w:gridCol w:w="709"/>
        <w:gridCol w:w="709"/>
        <w:gridCol w:w="4413"/>
        <w:gridCol w:w="2898"/>
      </w:tblGrid>
      <w:tr w14:paraId="289C5229">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460" w:hRule="atLeast"/>
          <w:tblHeader/>
          <w:jc w:val="center"/>
        </w:trPr>
        <w:tc>
          <w:tcPr>
            <w:tcW w:w="567" w:type="dxa"/>
            <w:vMerge w:val="restart"/>
            <w:noWrap/>
            <w:vAlign w:val="center"/>
          </w:tcPr>
          <w:p w14:paraId="21DC8A34">
            <w:pPr>
              <w:widowControl/>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序号</w:t>
            </w:r>
          </w:p>
        </w:tc>
        <w:tc>
          <w:tcPr>
            <w:tcW w:w="694" w:type="dxa"/>
            <w:vMerge w:val="restart"/>
            <w:vAlign w:val="center"/>
          </w:tcPr>
          <w:p w14:paraId="798B42A2">
            <w:pPr>
              <w:widowControl/>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路段</w:t>
            </w:r>
          </w:p>
        </w:tc>
        <w:tc>
          <w:tcPr>
            <w:tcW w:w="1134" w:type="dxa"/>
            <w:vMerge w:val="restart"/>
            <w:vAlign w:val="center"/>
          </w:tcPr>
          <w:p w14:paraId="36BD6FF7">
            <w:pPr>
              <w:widowControl/>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桩号</w:t>
            </w:r>
          </w:p>
        </w:tc>
        <w:tc>
          <w:tcPr>
            <w:tcW w:w="851" w:type="dxa"/>
            <w:vMerge w:val="restart"/>
            <w:vAlign w:val="center"/>
          </w:tcPr>
          <w:p w14:paraId="0D32BA71">
            <w:pPr>
              <w:widowControl/>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敏感点名称</w:t>
            </w:r>
          </w:p>
        </w:tc>
        <w:tc>
          <w:tcPr>
            <w:tcW w:w="850" w:type="dxa"/>
            <w:vMerge w:val="restart"/>
            <w:vAlign w:val="center"/>
          </w:tcPr>
          <w:p w14:paraId="4E1C9410">
            <w:pPr>
              <w:widowControl/>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行政区划</w:t>
            </w:r>
          </w:p>
        </w:tc>
        <w:tc>
          <w:tcPr>
            <w:tcW w:w="1986" w:type="dxa"/>
            <w:gridSpan w:val="3"/>
            <w:vAlign w:val="center"/>
          </w:tcPr>
          <w:p w14:paraId="1A622453">
            <w:pPr>
              <w:widowControl/>
              <w:jc w:val="center"/>
              <w:rPr>
                <w:rFonts w:ascii="Times New Roman" w:hAnsi="Times New Roman" w:cs="Times New Roman" w:eastAsiaTheme="minorEastAsia"/>
                <w:b/>
                <w:bCs/>
                <w:color w:val="auto"/>
                <w:spacing w:val="-20"/>
                <w:kern w:val="0"/>
                <w:szCs w:val="21"/>
              </w:rPr>
            </w:pPr>
            <w:r>
              <w:rPr>
                <w:rFonts w:ascii="Times New Roman" w:hAnsi="Times New Roman" w:cs="Times New Roman" w:eastAsiaTheme="minorEastAsia"/>
                <w:b/>
                <w:bCs/>
                <w:color w:val="auto"/>
                <w:spacing w:val="-20"/>
                <w:kern w:val="0"/>
                <w:szCs w:val="21"/>
              </w:rPr>
              <w:t>改扩建</w:t>
            </w:r>
            <w:r>
              <w:rPr>
                <w:rFonts w:hint="eastAsia" w:ascii="Times New Roman" w:hAnsi="Times New Roman" w:cs="Times New Roman" w:eastAsiaTheme="minorEastAsia"/>
                <w:b/>
                <w:bCs/>
                <w:color w:val="auto"/>
                <w:spacing w:val="-20"/>
                <w:kern w:val="0"/>
                <w:szCs w:val="21"/>
              </w:rPr>
              <w:t>前</w:t>
            </w:r>
            <w:r>
              <w:rPr>
                <w:rFonts w:ascii="Times New Roman" w:hAnsi="Times New Roman" w:cs="Times New Roman" w:eastAsiaTheme="minorEastAsia"/>
                <w:b/>
                <w:bCs/>
                <w:color w:val="auto"/>
                <w:spacing w:val="-20"/>
                <w:kern w:val="0"/>
                <w:szCs w:val="21"/>
              </w:rPr>
              <w:t>位置关系</w:t>
            </w:r>
          </w:p>
        </w:tc>
        <w:tc>
          <w:tcPr>
            <w:tcW w:w="1983" w:type="dxa"/>
            <w:gridSpan w:val="3"/>
            <w:vAlign w:val="center"/>
          </w:tcPr>
          <w:p w14:paraId="55FCD98C">
            <w:pPr>
              <w:widowControl/>
              <w:jc w:val="center"/>
              <w:rPr>
                <w:rFonts w:ascii="Times New Roman" w:hAnsi="Times New Roman" w:cs="Times New Roman" w:eastAsiaTheme="minorEastAsia"/>
                <w:b/>
                <w:bCs/>
                <w:color w:val="auto"/>
                <w:spacing w:val="-20"/>
                <w:kern w:val="0"/>
                <w:szCs w:val="21"/>
              </w:rPr>
            </w:pPr>
            <w:r>
              <w:rPr>
                <w:rFonts w:ascii="Times New Roman" w:hAnsi="Times New Roman" w:cs="Times New Roman" w:eastAsiaTheme="minorEastAsia"/>
                <w:b/>
                <w:bCs/>
                <w:color w:val="auto"/>
                <w:spacing w:val="-20"/>
                <w:kern w:val="0"/>
                <w:szCs w:val="21"/>
              </w:rPr>
              <w:t>改扩建后位置关系</w:t>
            </w:r>
          </w:p>
        </w:tc>
        <w:tc>
          <w:tcPr>
            <w:tcW w:w="992" w:type="dxa"/>
            <w:vMerge w:val="restart"/>
            <w:vAlign w:val="center"/>
          </w:tcPr>
          <w:p w14:paraId="2B7545A8">
            <w:pPr>
              <w:widowControl/>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预测点地面高</w:t>
            </w:r>
            <w:r>
              <w:rPr>
                <w:rFonts w:ascii="Times New Roman" w:hAnsi="Times New Roman" w:cs="Times New Roman" w:eastAsiaTheme="minorEastAsia"/>
                <w:b/>
                <w:bCs/>
                <w:color w:val="auto"/>
                <w:spacing w:val="-20"/>
                <w:kern w:val="0"/>
                <w:szCs w:val="21"/>
              </w:rPr>
              <w:t>-</w:t>
            </w:r>
            <w:r>
              <w:rPr>
                <w:rFonts w:ascii="Times New Roman" w:cs="Times New Roman" w:hAnsiTheme="minorEastAsia" w:eastAsiaTheme="minorEastAsia"/>
                <w:b/>
                <w:bCs/>
                <w:color w:val="auto"/>
                <w:spacing w:val="-20"/>
                <w:kern w:val="0"/>
                <w:szCs w:val="21"/>
              </w:rPr>
              <w:t>路基地面高</w:t>
            </w:r>
            <w:r>
              <w:rPr>
                <w:rFonts w:ascii="Times New Roman" w:hAnsi="Times New Roman" w:cs="Times New Roman" w:eastAsiaTheme="minorEastAsia"/>
                <w:b/>
                <w:bCs/>
                <w:color w:val="auto"/>
                <w:spacing w:val="-20"/>
                <w:kern w:val="0"/>
                <w:szCs w:val="21"/>
              </w:rPr>
              <w:t>(m)</w:t>
            </w:r>
          </w:p>
        </w:tc>
        <w:tc>
          <w:tcPr>
            <w:tcW w:w="993" w:type="dxa"/>
            <w:vMerge w:val="restart"/>
            <w:vAlign w:val="center"/>
          </w:tcPr>
          <w:p w14:paraId="4E504C41">
            <w:pPr>
              <w:widowControl/>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路基填挖高度或桥高</w:t>
            </w:r>
            <w:r>
              <w:rPr>
                <w:rFonts w:ascii="Times New Roman" w:hAnsi="Times New Roman" w:cs="Times New Roman" w:eastAsiaTheme="minorEastAsia"/>
                <w:b/>
                <w:bCs/>
                <w:color w:val="auto"/>
                <w:spacing w:val="-20"/>
                <w:kern w:val="0"/>
                <w:szCs w:val="21"/>
              </w:rPr>
              <w:t>(m)</w:t>
            </w:r>
          </w:p>
        </w:tc>
        <w:tc>
          <w:tcPr>
            <w:tcW w:w="567" w:type="dxa"/>
            <w:vMerge w:val="restart"/>
            <w:noWrap/>
            <w:vAlign w:val="center"/>
          </w:tcPr>
          <w:p w14:paraId="032E5B57">
            <w:pPr>
              <w:widowControl/>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工程形式</w:t>
            </w:r>
          </w:p>
        </w:tc>
        <w:tc>
          <w:tcPr>
            <w:tcW w:w="992" w:type="dxa"/>
            <w:vMerge w:val="restart"/>
            <w:vAlign w:val="center"/>
          </w:tcPr>
          <w:p w14:paraId="09A067AC">
            <w:pPr>
              <w:widowControl/>
              <w:jc w:val="center"/>
              <w:rPr>
                <w:rFonts w:ascii="Times New Roman" w:hAnsi="Times New Roman" w:cs="Times New Roman" w:eastAsiaTheme="minorEastAsia"/>
                <w:b/>
                <w:bCs/>
                <w:color w:val="auto"/>
                <w:spacing w:val="-20"/>
                <w:kern w:val="0"/>
                <w:szCs w:val="21"/>
              </w:rPr>
            </w:pPr>
            <w:r>
              <w:rPr>
                <w:rFonts w:hint="eastAsia" w:ascii="Times New Roman" w:cs="Times New Roman" w:hAnsiTheme="minorEastAsia" w:eastAsiaTheme="minorEastAsia"/>
                <w:b/>
                <w:bCs/>
                <w:color w:val="auto"/>
                <w:spacing w:val="-20"/>
                <w:kern w:val="0"/>
                <w:szCs w:val="21"/>
              </w:rPr>
              <w:t>改扩建</w:t>
            </w:r>
            <w:r>
              <w:rPr>
                <w:rFonts w:ascii="Times New Roman" w:cs="Times New Roman" w:hAnsiTheme="minorEastAsia" w:eastAsiaTheme="minorEastAsia"/>
                <w:b/>
                <w:bCs/>
                <w:color w:val="auto"/>
                <w:spacing w:val="-20"/>
                <w:kern w:val="0"/>
                <w:szCs w:val="21"/>
              </w:rPr>
              <w:t>后功能区分界</w:t>
            </w:r>
            <w:r>
              <w:rPr>
                <w:rFonts w:ascii="Times New Roman" w:hAnsi="Times New Roman" w:cs="Times New Roman" w:eastAsiaTheme="minorEastAsia"/>
                <w:b/>
                <w:bCs/>
                <w:color w:val="auto"/>
                <w:spacing w:val="-20"/>
                <w:kern w:val="0"/>
                <w:szCs w:val="21"/>
              </w:rPr>
              <w:t>(m)</w:t>
            </w:r>
          </w:p>
        </w:tc>
        <w:tc>
          <w:tcPr>
            <w:tcW w:w="1418" w:type="dxa"/>
            <w:gridSpan w:val="2"/>
            <w:vAlign w:val="center"/>
          </w:tcPr>
          <w:p w14:paraId="4B40E153">
            <w:pPr>
              <w:widowControl/>
              <w:jc w:val="center"/>
              <w:rPr>
                <w:rFonts w:ascii="Times New Roman" w:hAnsi="Times New Roman" w:cs="Times New Roman" w:eastAsiaTheme="minorEastAsia"/>
                <w:b/>
                <w:bCs/>
                <w:color w:val="auto"/>
                <w:spacing w:val="-20"/>
                <w:kern w:val="0"/>
                <w:szCs w:val="21"/>
              </w:rPr>
            </w:pPr>
            <w:r>
              <w:rPr>
                <w:rFonts w:hint="eastAsia" w:ascii="Times New Roman" w:cs="Times New Roman" w:hAnsiTheme="minorEastAsia" w:eastAsiaTheme="minorEastAsia"/>
                <w:b/>
                <w:bCs/>
                <w:color w:val="auto"/>
                <w:spacing w:val="-20"/>
                <w:kern w:val="0"/>
                <w:szCs w:val="21"/>
              </w:rPr>
              <w:t>改扩建</w:t>
            </w:r>
            <w:r>
              <w:rPr>
                <w:rFonts w:ascii="Times New Roman" w:cs="Times New Roman" w:hAnsiTheme="minorEastAsia" w:eastAsiaTheme="minorEastAsia"/>
                <w:b/>
                <w:bCs/>
                <w:color w:val="auto"/>
                <w:spacing w:val="-20"/>
                <w:kern w:val="0"/>
                <w:szCs w:val="21"/>
              </w:rPr>
              <w:t>后受影响户数</w:t>
            </w:r>
            <w:r>
              <w:rPr>
                <w:rFonts w:ascii="Times New Roman" w:hAnsi="Times New Roman" w:cs="Times New Roman" w:eastAsiaTheme="minorEastAsia"/>
                <w:b/>
                <w:bCs/>
                <w:color w:val="auto"/>
                <w:spacing w:val="-20"/>
                <w:kern w:val="0"/>
                <w:szCs w:val="21"/>
              </w:rPr>
              <w:t>(</w:t>
            </w:r>
            <w:r>
              <w:rPr>
                <w:rFonts w:ascii="Times New Roman" w:cs="Times New Roman" w:hAnsiTheme="minorEastAsia" w:eastAsiaTheme="minorEastAsia"/>
                <w:b/>
                <w:bCs/>
                <w:color w:val="auto"/>
                <w:spacing w:val="-20"/>
                <w:kern w:val="0"/>
                <w:szCs w:val="21"/>
              </w:rPr>
              <w:t>户</w:t>
            </w:r>
            <w:r>
              <w:rPr>
                <w:rFonts w:ascii="Times New Roman" w:hAnsi="Times New Roman" w:cs="Times New Roman" w:eastAsiaTheme="minorEastAsia"/>
                <w:b/>
                <w:bCs/>
                <w:color w:val="auto"/>
                <w:spacing w:val="-20"/>
                <w:kern w:val="0"/>
                <w:szCs w:val="21"/>
              </w:rPr>
              <w:t>)</w:t>
            </w:r>
          </w:p>
        </w:tc>
        <w:tc>
          <w:tcPr>
            <w:tcW w:w="4413" w:type="dxa"/>
            <w:vMerge w:val="restart"/>
            <w:vAlign w:val="center"/>
          </w:tcPr>
          <w:p w14:paraId="0EBF5828">
            <w:pPr>
              <w:widowControl/>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敏感点及环境特征</w:t>
            </w:r>
          </w:p>
        </w:tc>
        <w:tc>
          <w:tcPr>
            <w:tcW w:w="2898" w:type="dxa"/>
            <w:vMerge w:val="restart"/>
            <w:vAlign w:val="center"/>
          </w:tcPr>
          <w:p w14:paraId="3525FD80">
            <w:pPr>
              <w:widowControl/>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照片</w:t>
            </w:r>
          </w:p>
        </w:tc>
      </w:tr>
      <w:tr w14:paraId="5DD660F9">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461" w:hRule="atLeast"/>
          <w:tblHeader/>
          <w:jc w:val="center"/>
        </w:trPr>
        <w:tc>
          <w:tcPr>
            <w:tcW w:w="567" w:type="dxa"/>
            <w:vMerge w:val="continue"/>
            <w:noWrap/>
            <w:vAlign w:val="center"/>
          </w:tcPr>
          <w:p w14:paraId="10633800">
            <w:pPr>
              <w:widowControl/>
              <w:jc w:val="center"/>
              <w:rPr>
                <w:rFonts w:ascii="Times New Roman" w:hAnsi="Times New Roman" w:cs="Times New Roman" w:eastAsiaTheme="minorEastAsia"/>
                <w:b/>
                <w:bCs/>
                <w:color w:val="auto"/>
                <w:spacing w:val="-20"/>
                <w:kern w:val="0"/>
                <w:szCs w:val="21"/>
              </w:rPr>
            </w:pPr>
          </w:p>
        </w:tc>
        <w:tc>
          <w:tcPr>
            <w:tcW w:w="694" w:type="dxa"/>
            <w:vMerge w:val="continue"/>
            <w:vAlign w:val="center"/>
          </w:tcPr>
          <w:p w14:paraId="01A6879F">
            <w:pPr>
              <w:widowControl/>
              <w:jc w:val="center"/>
              <w:rPr>
                <w:rFonts w:ascii="Times New Roman" w:hAnsi="Times New Roman" w:cs="Times New Roman" w:eastAsiaTheme="minorEastAsia"/>
                <w:b/>
                <w:bCs/>
                <w:color w:val="auto"/>
                <w:spacing w:val="-20"/>
                <w:kern w:val="0"/>
                <w:szCs w:val="21"/>
              </w:rPr>
            </w:pPr>
          </w:p>
        </w:tc>
        <w:tc>
          <w:tcPr>
            <w:tcW w:w="1134" w:type="dxa"/>
            <w:vMerge w:val="continue"/>
            <w:vAlign w:val="center"/>
          </w:tcPr>
          <w:p w14:paraId="5D4A7C0C">
            <w:pPr>
              <w:widowControl/>
              <w:jc w:val="center"/>
              <w:rPr>
                <w:rFonts w:ascii="Times New Roman" w:hAnsi="Times New Roman" w:cs="Times New Roman" w:eastAsiaTheme="minorEastAsia"/>
                <w:b/>
                <w:bCs/>
                <w:color w:val="auto"/>
                <w:spacing w:val="-20"/>
                <w:kern w:val="0"/>
                <w:szCs w:val="21"/>
              </w:rPr>
            </w:pPr>
          </w:p>
        </w:tc>
        <w:tc>
          <w:tcPr>
            <w:tcW w:w="851" w:type="dxa"/>
            <w:vMerge w:val="continue"/>
            <w:vAlign w:val="center"/>
          </w:tcPr>
          <w:p w14:paraId="35966469">
            <w:pPr>
              <w:widowControl/>
              <w:jc w:val="center"/>
              <w:rPr>
                <w:rFonts w:ascii="Times New Roman" w:hAnsi="Times New Roman" w:cs="Times New Roman" w:eastAsiaTheme="minorEastAsia"/>
                <w:b/>
                <w:bCs/>
                <w:color w:val="auto"/>
                <w:spacing w:val="-20"/>
                <w:kern w:val="0"/>
                <w:szCs w:val="21"/>
              </w:rPr>
            </w:pPr>
          </w:p>
        </w:tc>
        <w:tc>
          <w:tcPr>
            <w:tcW w:w="850" w:type="dxa"/>
            <w:vMerge w:val="continue"/>
            <w:vAlign w:val="center"/>
          </w:tcPr>
          <w:p w14:paraId="7D986182">
            <w:pPr>
              <w:widowControl/>
              <w:jc w:val="center"/>
              <w:rPr>
                <w:rFonts w:ascii="Times New Roman" w:hAnsi="Times New Roman" w:cs="Times New Roman" w:eastAsiaTheme="minorEastAsia"/>
                <w:b/>
                <w:bCs/>
                <w:color w:val="auto"/>
                <w:spacing w:val="-20"/>
                <w:kern w:val="0"/>
                <w:szCs w:val="21"/>
              </w:rPr>
            </w:pPr>
          </w:p>
        </w:tc>
        <w:tc>
          <w:tcPr>
            <w:tcW w:w="661" w:type="dxa"/>
            <w:vAlign w:val="center"/>
          </w:tcPr>
          <w:p w14:paraId="0D49B8D9">
            <w:pPr>
              <w:widowControl/>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方位</w:t>
            </w:r>
          </w:p>
        </w:tc>
        <w:tc>
          <w:tcPr>
            <w:tcW w:w="662" w:type="dxa"/>
            <w:vAlign w:val="center"/>
          </w:tcPr>
          <w:p w14:paraId="44242445">
            <w:pPr>
              <w:widowControl/>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距路中</w:t>
            </w:r>
            <w:r>
              <w:rPr>
                <w:rFonts w:ascii="Times New Roman" w:hAnsi="Times New Roman" w:cs="Times New Roman" w:eastAsiaTheme="minorEastAsia"/>
                <w:b/>
                <w:bCs/>
                <w:color w:val="auto"/>
                <w:spacing w:val="-20"/>
                <w:kern w:val="0"/>
                <w:szCs w:val="21"/>
              </w:rPr>
              <w:t>(m)</w:t>
            </w:r>
          </w:p>
        </w:tc>
        <w:tc>
          <w:tcPr>
            <w:tcW w:w="663" w:type="dxa"/>
            <w:vAlign w:val="center"/>
          </w:tcPr>
          <w:p w14:paraId="7FFD8E59">
            <w:pPr>
              <w:widowControl/>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距红线</w:t>
            </w:r>
            <w:r>
              <w:rPr>
                <w:rFonts w:ascii="Times New Roman" w:hAnsi="Times New Roman" w:cs="Times New Roman" w:eastAsiaTheme="minorEastAsia"/>
                <w:b/>
                <w:bCs/>
                <w:color w:val="auto"/>
                <w:spacing w:val="-20"/>
                <w:kern w:val="0"/>
                <w:szCs w:val="21"/>
              </w:rPr>
              <w:t>(m)</w:t>
            </w:r>
          </w:p>
        </w:tc>
        <w:tc>
          <w:tcPr>
            <w:tcW w:w="566" w:type="dxa"/>
            <w:vAlign w:val="center"/>
          </w:tcPr>
          <w:p w14:paraId="0574FFEB">
            <w:pPr>
              <w:widowControl/>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方位</w:t>
            </w:r>
          </w:p>
        </w:tc>
        <w:tc>
          <w:tcPr>
            <w:tcW w:w="708" w:type="dxa"/>
            <w:vAlign w:val="center"/>
          </w:tcPr>
          <w:p w14:paraId="770E5CDB">
            <w:pPr>
              <w:widowControl/>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距路中</w:t>
            </w:r>
            <w:r>
              <w:rPr>
                <w:rFonts w:ascii="Times New Roman" w:hAnsi="Times New Roman" w:cs="Times New Roman" w:eastAsiaTheme="minorEastAsia"/>
                <w:b/>
                <w:bCs/>
                <w:color w:val="auto"/>
                <w:spacing w:val="-20"/>
                <w:kern w:val="0"/>
                <w:szCs w:val="21"/>
              </w:rPr>
              <w:t>(m)</w:t>
            </w:r>
          </w:p>
        </w:tc>
        <w:tc>
          <w:tcPr>
            <w:tcW w:w="709" w:type="dxa"/>
            <w:vAlign w:val="center"/>
          </w:tcPr>
          <w:p w14:paraId="084E6235">
            <w:pPr>
              <w:widowControl/>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距红线</w:t>
            </w:r>
            <w:r>
              <w:rPr>
                <w:rFonts w:ascii="Times New Roman" w:hAnsi="Times New Roman" w:cs="Times New Roman" w:eastAsiaTheme="minorEastAsia"/>
                <w:b/>
                <w:bCs/>
                <w:color w:val="auto"/>
                <w:spacing w:val="-20"/>
                <w:kern w:val="0"/>
                <w:szCs w:val="21"/>
              </w:rPr>
              <w:t>(m)</w:t>
            </w:r>
          </w:p>
        </w:tc>
        <w:tc>
          <w:tcPr>
            <w:tcW w:w="992" w:type="dxa"/>
            <w:vMerge w:val="continue"/>
            <w:vAlign w:val="center"/>
          </w:tcPr>
          <w:p w14:paraId="1D7B11B5">
            <w:pPr>
              <w:widowControl/>
              <w:jc w:val="center"/>
              <w:rPr>
                <w:rFonts w:ascii="Times New Roman" w:hAnsi="Times New Roman" w:cs="Times New Roman" w:eastAsiaTheme="minorEastAsia"/>
                <w:b/>
                <w:bCs/>
                <w:color w:val="auto"/>
                <w:spacing w:val="-20"/>
                <w:kern w:val="0"/>
                <w:szCs w:val="21"/>
              </w:rPr>
            </w:pPr>
          </w:p>
        </w:tc>
        <w:tc>
          <w:tcPr>
            <w:tcW w:w="993" w:type="dxa"/>
            <w:vMerge w:val="continue"/>
            <w:vAlign w:val="center"/>
          </w:tcPr>
          <w:p w14:paraId="7189D1AD">
            <w:pPr>
              <w:widowControl/>
              <w:jc w:val="center"/>
              <w:rPr>
                <w:rFonts w:ascii="Times New Roman" w:hAnsi="Times New Roman" w:cs="Times New Roman" w:eastAsiaTheme="minorEastAsia"/>
                <w:b/>
                <w:bCs/>
                <w:color w:val="auto"/>
                <w:spacing w:val="-20"/>
                <w:kern w:val="0"/>
                <w:szCs w:val="21"/>
              </w:rPr>
            </w:pPr>
          </w:p>
        </w:tc>
        <w:tc>
          <w:tcPr>
            <w:tcW w:w="567" w:type="dxa"/>
            <w:vMerge w:val="continue"/>
            <w:noWrap/>
            <w:vAlign w:val="center"/>
          </w:tcPr>
          <w:p w14:paraId="154BB42A">
            <w:pPr>
              <w:widowControl/>
              <w:jc w:val="center"/>
              <w:rPr>
                <w:rFonts w:ascii="Times New Roman" w:hAnsi="Times New Roman" w:cs="Times New Roman" w:eastAsiaTheme="minorEastAsia"/>
                <w:b/>
                <w:bCs/>
                <w:color w:val="auto"/>
                <w:spacing w:val="-20"/>
                <w:kern w:val="0"/>
                <w:szCs w:val="21"/>
              </w:rPr>
            </w:pPr>
          </w:p>
        </w:tc>
        <w:tc>
          <w:tcPr>
            <w:tcW w:w="992" w:type="dxa"/>
            <w:vMerge w:val="continue"/>
            <w:vAlign w:val="center"/>
          </w:tcPr>
          <w:p w14:paraId="07661A8B">
            <w:pPr>
              <w:widowControl/>
              <w:jc w:val="center"/>
              <w:rPr>
                <w:rFonts w:ascii="Times New Roman" w:hAnsi="Times New Roman" w:cs="Times New Roman" w:eastAsiaTheme="minorEastAsia"/>
                <w:b/>
                <w:bCs/>
                <w:color w:val="auto"/>
                <w:spacing w:val="-20"/>
                <w:kern w:val="0"/>
                <w:szCs w:val="21"/>
              </w:rPr>
            </w:pPr>
          </w:p>
        </w:tc>
        <w:tc>
          <w:tcPr>
            <w:tcW w:w="709" w:type="dxa"/>
            <w:vAlign w:val="center"/>
          </w:tcPr>
          <w:p w14:paraId="77196D42">
            <w:pPr>
              <w:widowControl/>
              <w:jc w:val="center"/>
              <w:rPr>
                <w:rFonts w:ascii="Times New Roman" w:hAnsi="Times New Roman" w:cs="Times New Roman" w:eastAsiaTheme="minorEastAsia"/>
                <w:b/>
                <w:bCs/>
                <w:color w:val="auto"/>
                <w:spacing w:val="-20"/>
                <w:kern w:val="0"/>
                <w:szCs w:val="21"/>
              </w:rPr>
            </w:pPr>
            <w:r>
              <w:rPr>
                <w:rFonts w:ascii="Times New Roman" w:hAnsi="Times New Roman" w:cs="Times New Roman" w:eastAsiaTheme="minorEastAsia"/>
                <w:b/>
                <w:bCs/>
                <w:color w:val="auto"/>
                <w:spacing w:val="-20"/>
                <w:kern w:val="0"/>
                <w:szCs w:val="21"/>
              </w:rPr>
              <w:t>4a</w:t>
            </w:r>
            <w:r>
              <w:rPr>
                <w:rFonts w:ascii="Times New Roman" w:cs="Times New Roman" w:hAnsiTheme="minorEastAsia" w:eastAsiaTheme="minorEastAsia"/>
                <w:b/>
                <w:bCs/>
                <w:color w:val="auto"/>
                <w:spacing w:val="-20"/>
                <w:kern w:val="0"/>
                <w:szCs w:val="21"/>
              </w:rPr>
              <w:t>类</w:t>
            </w:r>
          </w:p>
        </w:tc>
        <w:tc>
          <w:tcPr>
            <w:tcW w:w="709" w:type="dxa"/>
            <w:vAlign w:val="center"/>
          </w:tcPr>
          <w:p w14:paraId="2062FF9C">
            <w:pPr>
              <w:widowControl/>
              <w:jc w:val="center"/>
              <w:rPr>
                <w:rFonts w:ascii="Times New Roman" w:hAnsi="Times New Roman" w:cs="Times New Roman" w:eastAsiaTheme="minorEastAsia"/>
                <w:b/>
                <w:bCs/>
                <w:color w:val="auto"/>
                <w:spacing w:val="-20"/>
                <w:kern w:val="0"/>
                <w:szCs w:val="21"/>
              </w:rPr>
            </w:pPr>
            <w:r>
              <w:rPr>
                <w:rFonts w:ascii="Times New Roman" w:hAnsi="Times New Roman" w:cs="Times New Roman" w:eastAsiaTheme="minorEastAsia"/>
                <w:b/>
                <w:bCs/>
                <w:color w:val="auto"/>
                <w:spacing w:val="-20"/>
                <w:kern w:val="0"/>
                <w:szCs w:val="21"/>
              </w:rPr>
              <w:t>2</w:t>
            </w:r>
            <w:r>
              <w:rPr>
                <w:rFonts w:ascii="Times New Roman" w:cs="Times New Roman" w:hAnsiTheme="minorEastAsia" w:eastAsiaTheme="minorEastAsia"/>
                <w:b/>
                <w:bCs/>
                <w:color w:val="auto"/>
                <w:spacing w:val="-20"/>
                <w:kern w:val="0"/>
                <w:szCs w:val="21"/>
              </w:rPr>
              <w:t>类</w:t>
            </w:r>
          </w:p>
        </w:tc>
        <w:tc>
          <w:tcPr>
            <w:tcW w:w="4413" w:type="dxa"/>
            <w:vMerge w:val="continue"/>
            <w:vAlign w:val="center"/>
          </w:tcPr>
          <w:p w14:paraId="38CD004A">
            <w:pPr>
              <w:widowControl/>
              <w:jc w:val="center"/>
              <w:rPr>
                <w:rFonts w:ascii="Times New Roman" w:hAnsi="Times New Roman" w:cs="Times New Roman" w:eastAsiaTheme="minorEastAsia"/>
                <w:b/>
                <w:bCs/>
                <w:color w:val="auto"/>
                <w:spacing w:val="-20"/>
                <w:kern w:val="0"/>
                <w:szCs w:val="21"/>
              </w:rPr>
            </w:pPr>
          </w:p>
        </w:tc>
        <w:tc>
          <w:tcPr>
            <w:tcW w:w="2898" w:type="dxa"/>
            <w:vMerge w:val="continue"/>
            <w:vAlign w:val="center"/>
          </w:tcPr>
          <w:p w14:paraId="7C1A124C">
            <w:pPr>
              <w:widowControl/>
              <w:jc w:val="center"/>
              <w:rPr>
                <w:rFonts w:ascii="Times New Roman" w:hAnsi="Times New Roman" w:cs="Times New Roman" w:eastAsiaTheme="minorEastAsia"/>
                <w:color w:val="auto"/>
                <w:spacing w:val="-20"/>
                <w:kern w:val="0"/>
                <w:szCs w:val="21"/>
              </w:rPr>
            </w:pPr>
          </w:p>
        </w:tc>
      </w:tr>
      <w:tr w14:paraId="27A47F27">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730" w:hRule="atLeast"/>
          <w:tblHeader/>
          <w:jc w:val="center"/>
        </w:trPr>
        <w:tc>
          <w:tcPr>
            <w:tcW w:w="567" w:type="dxa"/>
            <w:vMerge w:val="restart"/>
            <w:noWrap/>
            <w:vAlign w:val="center"/>
          </w:tcPr>
          <w:p w14:paraId="5FC859C3">
            <w:pPr>
              <w:widowControl/>
              <w:jc w:val="center"/>
              <w:rPr>
                <w:rFonts w:ascii="Times New Roman" w:hAnsi="Times New Roman" w:cs="Times New Roman" w:eastAsiaTheme="minorEastAsia"/>
                <w:color w:val="auto"/>
                <w:spacing w:val="-20"/>
                <w:kern w:val="0"/>
                <w:szCs w:val="21"/>
              </w:rPr>
            </w:pPr>
            <w:r>
              <w:rPr>
                <w:rFonts w:ascii="Times New Roman" w:hAnsi="Times New Roman" w:cs="Times New Roman" w:eastAsiaTheme="minorEastAsia"/>
                <w:color w:val="auto"/>
                <w:spacing w:val="-20"/>
                <w:kern w:val="0"/>
                <w:szCs w:val="21"/>
              </w:rPr>
              <w:t>1</w:t>
            </w:r>
          </w:p>
        </w:tc>
        <w:tc>
          <w:tcPr>
            <w:tcW w:w="694" w:type="dxa"/>
            <w:vMerge w:val="restart"/>
            <w:vAlign w:val="center"/>
          </w:tcPr>
          <w:p w14:paraId="49C22E2B">
            <w:pPr>
              <w:widowControl/>
              <w:jc w:val="center"/>
              <w:rPr>
                <w:rFonts w:ascii="Times New Roman" w:hAnsi="Times New Roman" w:cs="Times New Roman" w:eastAsiaTheme="minorEastAsia"/>
                <w:color w:val="auto"/>
                <w:spacing w:val="-20"/>
                <w:kern w:val="0"/>
                <w:szCs w:val="21"/>
              </w:rPr>
            </w:pPr>
            <w:r>
              <w:rPr>
                <w:rFonts w:hint="eastAsia" w:ascii="Times New Roman" w:cs="Times New Roman" w:hAnsiTheme="minorEastAsia" w:eastAsiaTheme="minorEastAsia"/>
                <w:color w:val="auto"/>
                <w:spacing w:val="-20"/>
                <w:kern w:val="0"/>
                <w:szCs w:val="21"/>
              </w:rPr>
              <w:t>起点～胜利路</w:t>
            </w:r>
          </w:p>
        </w:tc>
        <w:tc>
          <w:tcPr>
            <w:tcW w:w="1134" w:type="dxa"/>
            <w:vAlign w:val="center"/>
          </w:tcPr>
          <w:p w14:paraId="12219BF9">
            <w:pPr>
              <w:jc w:val="center"/>
              <w:rPr>
                <w:rFonts w:ascii="Times New Roman" w:hAnsi="Times New Roman" w:cs="Times New Roman" w:eastAsiaTheme="minorEastAsia"/>
                <w:color w:val="auto"/>
                <w:spacing w:val="-20"/>
                <w:szCs w:val="21"/>
              </w:rPr>
            </w:pPr>
            <w:r>
              <w:rPr>
                <w:rFonts w:ascii="Times New Roman" w:hAnsi="Times New Roman" w:cs="Times New Roman" w:eastAsiaTheme="minorEastAsia"/>
                <w:color w:val="auto"/>
                <w:spacing w:val="-20"/>
                <w:szCs w:val="21"/>
              </w:rPr>
              <w:t>K</w:t>
            </w:r>
            <w:r>
              <w:rPr>
                <w:rFonts w:hint="eastAsia" w:ascii="Times New Roman" w:hAnsi="Times New Roman" w:cs="Times New Roman" w:eastAsiaTheme="minorEastAsia"/>
                <w:color w:val="auto"/>
                <w:spacing w:val="-20"/>
                <w:szCs w:val="21"/>
              </w:rPr>
              <w:t>6</w:t>
            </w:r>
            <w:r>
              <w:rPr>
                <w:rFonts w:ascii="Times New Roman" w:hAnsi="Times New Roman" w:cs="Times New Roman" w:eastAsiaTheme="minorEastAsia"/>
                <w:color w:val="auto"/>
                <w:spacing w:val="-20"/>
                <w:szCs w:val="21"/>
              </w:rPr>
              <w:t>+</w:t>
            </w:r>
            <w:r>
              <w:rPr>
                <w:rFonts w:hint="eastAsia" w:ascii="Times New Roman" w:hAnsi="Times New Roman" w:cs="Times New Roman" w:eastAsiaTheme="minorEastAsia"/>
                <w:color w:val="auto"/>
                <w:spacing w:val="-20"/>
                <w:szCs w:val="21"/>
              </w:rPr>
              <w:t>63</w:t>
            </w:r>
            <w:r>
              <w:rPr>
                <w:rFonts w:ascii="Times New Roman" w:hAnsi="Times New Roman" w:cs="Times New Roman" w:eastAsiaTheme="minorEastAsia"/>
                <w:color w:val="auto"/>
                <w:spacing w:val="-20"/>
                <w:szCs w:val="21"/>
              </w:rPr>
              <w:t>0</w:t>
            </w:r>
            <w:r>
              <w:rPr>
                <w:rFonts w:ascii="Times New Roman" w:cs="Times New Roman" w:hAnsiTheme="minorEastAsia" w:eastAsiaTheme="minorEastAsia"/>
                <w:color w:val="auto"/>
                <w:spacing w:val="-20"/>
                <w:szCs w:val="21"/>
              </w:rPr>
              <w:t>～</w:t>
            </w:r>
            <w:r>
              <w:rPr>
                <w:rFonts w:ascii="Times New Roman" w:hAnsi="Times New Roman" w:cs="Times New Roman" w:eastAsiaTheme="minorEastAsia"/>
                <w:color w:val="auto"/>
                <w:spacing w:val="-20"/>
                <w:szCs w:val="21"/>
              </w:rPr>
              <w:t>K</w:t>
            </w:r>
            <w:r>
              <w:rPr>
                <w:rFonts w:hint="eastAsia" w:ascii="Times New Roman" w:hAnsi="Times New Roman" w:cs="Times New Roman" w:eastAsiaTheme="minorEastAsia"/>
                <w:color w:val="auto"/>
                <w:spacing w:val="-20"/>
                <w:szCs w:val="21"/>
              </w:rPr>
              <w:t>7</w:t>
            </w:r>
            <w:r>
              <w:rPr>
                <w:rFonts w:ascii="Times New Roman" w:hAnsi="Times New Roman" w:cs="Times New Roman" w:eastAsiaTheme="minorEastAsia"/>
                <w:color w:val="auto"/>
                <w:spacing w:val="-20"/>
                <w:szCs w:val="21"/>
              </w:rPr>
              <w:t>+</w:t>
            </w:r>
            <w:r>
              <w:rPr>
                <w:rFonts w:hint="eastAsia" w:ascii="Times New Roman" w:hAnsi="Times New Roman" w:cs="Times New Roman" w:eastAsiaTheme="minorEastAsia"/>
                <w:color w:val="auto"/>
                <w:spacing w:val="-20"/>
                <w:szCs w:val="21"/>
              </w:rPr>
              <w:t>23</w:t>
            </w:r>
            <w:r>
              <w:rPr>
                <w:rFonts w:ascii="Times New Roman" w:hAnsi="Times New Roman" w:cs="Times New Roman" w:eastAsiaTheme="minorEastAsia"/>
                <w:color w:val="auto"/>
                <w:spacing w:val="-20"/>
                <w:szCs w:val="21"/>
              </w:rPr>
              <w:t>0</w:t>
            </w:r>
          </w:p>
        </w:tc>
        <w:tc>
          <w:tcPr>
            <w:tcW w:w="851" w:type="dxa"/>
            <w:vMerge w:val="restart"/>
            <w:vAlign w:val="center"/>
          </w:tcPr>
          <w:p w14:paraId="64719038">
            <w:pPr>
              <w:jc w:val="center"/>
              <w:rPr>
                <w:rFonts w:ascii="Times New Roman" w:hAnsi="Times New Roman" w:cs="Times New Roman" w:eastAsiaTheme="minorEastAsia"/>
                <w:color w:val="auto"/>
                <w:spacing w:val="-20"/>
                <w:szCs w:val="21"/>
              </w:rPr>
            </w:pPr>
            <w:r>
              <w:rPr>
                <w:rFonts w:hint="eastAsia" w:ascii="Times New Roman" w:cs="Times New Roman" w:hAnsiTheme="minorEastAsia" w:eastAsiaTheme="minorEastAsia"/>
                <w:color w:val="auto"/>
                <w:spacing w:val="-20"/>
                <w:szCs w:val="21"/>
              </w:rPr>
              <w:t>库尔干村</w:t>
            </w:r>
          </w:p>
        </w:tc>
        <w:tc>
          <w:tcPr>
            <w:tcW w:w="850" w:type="dxa"/>
            <w:vMerge w:val="restart"/>
            <w:vAlign w:val="center"/>
          </w:tcPr>
          <w:p w14:paraId="48FB00B4">
            <w:pPr>
              <w:jc w:val="center"/>
              <w:rPr>
                <w:rFonts w:ascii="Times New Roman" w:hAnsi="Times New Roman" w:cs="Times New Roman" w:eastAsiaTheme="minorEastAsia"/>
                <w:color w:val="auto"/>
                <w:spacing w:val="-20"/>
                <w:szCs w:val="21"/>
              </w:rPr>
            </w:pPr>
            <w:r>
              <w:rPr>
                <w:rFonts w:hint="eastAsia" w:ascii="Times New Roman" w:cs="Times New Roman" w:hAnsiTheme="minorEastAsia" w:eastAsiaTheme="minorEastAsia"/>
                <w:color w:val="auto"/>
                <w:spacing w:val="-20"/>
                <w:szCs w:val="21"/>
              </w:rPr>
              <w:t>阿图什市</w:t>
            </w:r>
          </w:p>
        </w:tc>
        <w:tc>
          <w:tcPr>
            <w:tcW w:w="661" w:type="dxa"/>
            <w:vMerge w:val="restart"/>
            <w:vAlign w:val="center"/>
          </w:tcPr>
          <w:p w14:paraId="123FA093">
            <w:pPr>
              <w:jc w:val="center"/>
              <w:rPr>
                <w:rFonts w:ascii="Times New Roman" w:hAnsi="Times New Roman" w:cs="Times New Roman" w:eastAsiaTheme="minorEastAsia"/>
                <w:color w:val="auto"/>
                <w:spacing w:val="-20"/>
                <w:szCs w:val="21"/>
              </w:rPr>
            </w:pPr>
            <w:r>
              <w:rPr>
                <w:rFonts w:ascii="Times New Roman" w:cs="Times New Roman" w:hAnsiTheme="minorEastAsia" w:eastAsiaTheme="minorEastAsia"/>
                <w:color w:val="auto"/>
                <w:spacing w:val="-20"/>
                <w:szCs w:val="21"/>
              </w:rPr>
              <w:t>路右</w:t>
            </w:r>
          </w:p>
        </w:tc>
        <w:tc>
          <w:tcPr>
            <w:tcW w:w="662" w:type="dxa"/>
            <w:vMerge w:val="restart"/>
            <w:vAlign w:val="center"/>
          </w:tcPr>
          <w:p w14:paraId="32B52EE5">
            <w:pPr>
              <w:jc w:val="center"/>
              <w:rPr>
                <w:rFonts w:ascii="Times New Roman" w:cs="Times New Roman" w:hAnsiTheme="minorEastAsia" w:eastAsiaTheme="minorEastAsia"/>
                <w:color w:val="auto"/>
                <w:spacing w:val="-20"/>
                <w:szCs w:val="21"/>
              </w:rPr>
            </w:pPr>
            <w:r>
              <w:rPr>
                <w:rFonts w:hint="eastAsia" w:ascii="Times New Roman" w:cs="Times New Roman" w:hAnsiTheme="minorEastAsia" w:eastAsiaTheme="minorEastAsia"/>
                <w:color w:val="auto"/>
                <w:spacing w:val="-20"/>
                <w:szCs w:val="21"/>
              </w:rPr>
              <w:t>24</w:t>
            </w:r>
          </w:p>
        </w:tc>
        <w:tc>
          <w:tcPr>
            <w:tcW w:w="663" w:type="dxa"/>
            <w:vAlign w:val="center"/>
          </w:tcPr>
          <w:p w14:paraId="0A41741D">
            <w:pPr>
              <w:jc w:val="center"/>
              <w:rPr>
                <w:rFonts w:ascii="Times New Roman" w:cs="Times New Roman" w:hAnsiTheme="minorEastAsia" w:eastAsiaTheme="minorEastAsia"/>
                <w:color w:val="auto"/>
                <w:spacing w:val="-20"/>
                <w:szCs w:val="21"/>
              </w:rPr>
            </w:pPr>
            <w:r>
              <w:rPr>
                <w:rFonts w:hint="eastAsia" w:ascii="Times New Roman" w:cs="Times New Roman" w:hAnsiTheme="minorEastAsia" w:eastAsiaTheme="minorEastAsia"/>
                <w:color w:val="auto"/>
                <w:spacing w:val="-20"/>
                <w:szCs w:val="21"/>
              </w:rPr>
              <w:t>13.5</w:t>
            </w:r>
          </w:p>
        </w:tc>
        <w:tc>
          <w:tcPr>
            <w:tcW w:w="566" w:type="dxa"/>
            <w:vMerge w:val="restart"/>
            <w:vAlign w:val="center"/>
          </w:tcPr>
          <w:p w14:paraId="2D937B4D">
            <w:pPr>
              <w:jc w:val="center"/>
              <w:rPr>
                <w:rFonts w:ascii="Times New Roman" w:hAnsi="Times New Roman" w:cs="Times New Roman" w:eastAsiaTheme="minorEastAsia"/>
                <w:color w:val="auto"/>
                <w:spacing w:val="-20"/>
                <w:szCs w:val="21"/>
              </w:rPr>
            </w:pPr>
            <w:r>
              <w:rPr>
                <w:rFonts w:ascii="Times New Roman" w:cs="Times New Roman" w:hAnsiTheme="minorEastAsia" w:eastAsiaTheme="minorEastAsia"/>
                <w:color w:val="auto"/>
                <w:spacing w:val="-20"/>
                <w:szCs w:val="21"/>
              </w:rPr>
              <w:t>路右</w:t>
            </w:r>
          </w:p>
        </w:tc>
        <w:tc>
          <w:tcPr>
            <w:tcW w:w="708" w:type="dxa"/>
            <w:vMerge w:val="restart"/>
            <w:vAlign w:val="center"/>
          </w:tcPr>
          <w:p w14:paraId="6A573ED3">
            <w:pPr>
              <w:jc w:val="center"/>
              <w:rPr>
                <w:rFonts w:ascii="Times New Roman" w:hAnsi="Times New Roman" w:cs="Times New Roman" w:eastAsiaTheme="minorEastAsia"/>
                <w:color w:val="auto"/>
                <w:spacing w:val="-20"/>
                <w:szCs w:val="21"/>
              </w:rPr>
            </w:pPr>
            <w:r>
              <w:rPr>
                <w:rFonts w:hint="eastAsia" w:ascii="Times New Roman" w:hAnsi="Times New Roman" w:cs="Times New Roman" w:eastAsiaTheme="minorEastAsia"/>
                <w:color w:val="auto"/>
                <w:spacing w:val="-20"/>
                <w:szCs w:val="21"/>
              </w:rPr>
              <w:t>36</w:t>
            </w:r>
          </w:p>
        </w:tc>
        <w:tc>
          <w:tcPr>
            <w:tcW w:w="709" w:type="dxa"/>
            <w:vAlign w:val="center"/>
          </w:tcPr>
          <w:p w14:paraId="21D37C7F">
            <w:pPr>
              <w:widowControl/>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18.5</w:t>
            </w:r>
          </w:p>
        </w:tc>
        <w:tc>
          <w:tcPr>
            <w:tcW w:w="992" w:type="dxa"/>
            <w:vMerge w:val="restart"/>
            <w:vAlign w:val="center"/>
          </w:tcPr>
          <w:p w14:paraId="2AB0DE4C">
            <w:pPr>
              <w:widowControl/>
              <w:jc w:val="center"/>
              <w:rPr>
                <w:rFonts w:ascii="Times New Roman" w:hAnsi="Times New Roman" w:cs="Times New Roman" w:eastAsiaTheme="minorEastAsia"/>
                <w:color w:val="auto"/>
                <w:spacing w:val="-20"/>
                <w:kern w:val="0"/>
                <w:szCs w:val="21"/>
              </w:rPr>
            </w:pPr>
            <w:r>
              <w:rPr>
                <w:rFonts w:ascii="Times New Roman" w:hAnsi="Times New Roman" w:cs="Times New Roman" w:eastAsiaTheme="minorEastAsia"/>
                <w:color w:val="auto"/>
                <w:spacing w:val="-20"/>
                <w:kern w:val="0"/>
                <w:szCs w:val="21"/>
              </w:rPr>
              <w:t>0</w:t>
            </w:r>
          </w:p>
        </w:tc>
        <w:tc>
          <w:tcPr>
            <w:tcW w:w="993" w:type="dxa"/>
            <w:vAlign w:val="center"/>
          </w:tcPr>
          <w:p w14:paraId="0F298E9E">
            <w:pPr>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1.0</w:t>
            </w:r>
          </w:p>
        </w:tc>
        <w:tc>
          <w:tcPr>
            <w:tcW w:w="567" w:type="dxa"/>
            <w:vMerge w:val="restart"/>
            <w:vAlign w:val="center"/>
          </w:tcPr>
          <w:p w14:paraId="5AC39B4E">
            <w:pPr>
              <w:widowControl/>
              <w:jc w:val="center"/>
              <w:rPr>
                <w:rFonts w:ascii="Times New Roman" w:hAnsi="Times New Roman" w:cs="Times New Roman" w:eastAsiaTheme="minorEastAsia"/>
                <w:color w:val="auto"/>
                <w:spacing w:val="-20"/>
                <w:kern w:val="0"/>
                <w:szCs w:val="21"/>
              </w:rPr>
            </w:pPr>
            <w:r>
              <w:rPr>
                <w:rFonts w:ascii="Times New Roman" w:cs="Times New Roman" w:hAnsiTheme="minorEastAsia" w:eastAsiaTheme="minorEastAsia"/>
                <w:color w:val="auto"/>
                <w:spacing w:val="-20"/>
                <w:kern w:val="0"/>
                <w:szCs w:val="21"/>
              </w:rPr>
              <w:t>路基</w:t>
            </w:r>
          </w:p>
        </w:tc>
        <w:tc>
          <w:tcPr>
            <w:tcW w:w="992" w:type="dxa"/>
            <w:vAlign w:val="center"/>
          </w:tcPr>
          <w:p w14:paraId="4889B7AC">
            <w:pPr>
              <w:widowControl/>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52.5</w:t>
            </w:r>
          </w:p>
        </w:tc>
        <w:tc>
          <w:tcPr>
            <w:tcW w:w="709" w:type="dxa"/>
            <w:vAlign w:val="center"/>
          </w:tcPr>
          <w:p w14:paraId="59A84545">
            <w:pPr>
              <w:widowControl/>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25</w:t>
            </w:r>
          </w:p>
        </w:tc>
        <w:tc>
          <w:tcPr>
            <w:tcW w:w="709" w:type="dxa"/>
            <w:vAlign w:val="center"/>
          </w:tcPr>
          <w:p w14:paraId="73AA0EB3">
            <w:pPr>
              <w:widowControl/>
              <w:jc w:val="center"/>
              <w:rPr>
                <w:rFonts w:ascii="Times New Roman" w:hAnsi="Times New Roman" w:cs="Times New Roman" w:eastAsiaTheme="minorEastAsia"/>
                <w:color w:val="auto"/>
                <w:spacing w:val="-20"/>
              </w:rPr>
            </w:pPr>
            <w:r>
              <w:rPr>
                <w:rFonts w:hint="eastAsia" w:ascii="Times New Roman" w:hAnsi="Times New Roman" w:cs="Times New Roman" w:eastAsiaTheme="minorEastAsia"/>
                <w:color w:val="auto"/>
                <w:spacing w:val="-20"/>
              </w:rPr>
              <w:t>-</w:t>
            </w:r>
          </w:p>
        </w:tc>
        <w:tc>
          <w:tcPr>
            <w:tcW w:w="4413" w:type="dxa"/>
            <w:vMerge w:val="restart"/>
            <w:vAlign w:val="center"/>
          </w:tcPr>
          <w:p w14:paraId="62CB13E0">
            <w:pPr>
              <w:widowControl/>
              <w:rPr>
                <w:rFonts w:ascii="Times New Roman" w:hAnsi="Times New Roman" w:cs="Times New Roman" w:eastAsiaTheme="minorEastAsia"/>
                <w:color w:val="auto"/>
                <w:spacing w:val="0"/>
                <w:kern w:val="0"/>
                <w:sz w:val="21"/>
                <w:szCs w:val="21"/>
              </w:rPr>
            </w:pPr>
            <w:r>
              <w:rPr>
                <w:rFonts w:ascii="Times New Roman" w:cs="Times New Roman" w:hAnsiTheme="minorEastAsia" w:eastAsiaTheme="minorEastAsia"/>
                <w:color w:val="auto"/>
                <w:spacing w:val="0"/>
                <w:kern w:val="0"/>
                <w:sz w:val="21"/>
                <w:szCs w:val="21"/>
              </w:rPr>
              <w:t>路线以填方路基形式经过村庄。评价范围内现有居民</w:t>
            </w:r>
            <w:r>
              <w:rPr>
                <w:rFonts w:hint="eastAsia" w:ascii="Times New Roman" w:hAnsi="Times New Roman" w:cs="Times New Roman" w:eastAsiaTheme="minorEastAsia"/>
                <w:color w:val="auto"/>
                <w:spacing w:val="0"/>
                <w:kern w:val="0"/>
                <w:sz w:val="21"/>
                <w:szCs w:val="21"/>
              </w:rPr>
              <w:t>140</w:t>
            </w:r>
            <w:r>
              <w:rPr>
                <w:rFonts w:ascii="Times New Roman" w:cs="Times New Roman" w:hAnsiTheme="minorEastAsia" w:eastAsiaTheme="minorEastAsia"/>
                <w:color w:val="auto"/>
                <w:spacing w:val="0"/>
                <w:kern w:val="0"/>
                <w:sz w:val="21"/>
                <w:szCs w:val="21"/>
              </w:rPr>
              <w:t>户，首排</w:t>
            </w:r>
            <w:r>
              <w:rPr>
                <w:rFonts w:hint="eastAsia" w:ascii="Times New Roman" w:hAnsi="Times New Roman" w:cs="Times New Roman" w:eastAsiaTheme="minorEastAsia"/>
                <w:color w:val="auto"/>
                <w:spacing w:val="0"/>
                <w:kern w:val="0"/>
                <w:sz w:val="21"/>
                <w:szCs w:val="21"/>
              </w:rPr>
              <w:t>55</w:t>
            </w:r>
            <w:r>
              <w:rPr>
                <w:rFonts w:ascii="Times New Roman" w:cs="Times New Roman" w:hAnsiTheme="minorEastAsia" w:eastAsiaTheme="minorEastAsia"/>
                <w:color w:val="auto"/>
                <w:spacing w:val="0"/>
                <w:kern w:val="0"/>
                <w:sz w:val="21"/>
                <w:szCs w:val="21"/>
              </w:rPr>
              <w:t>户，</w:t>
            </w:r>
            <w:r>
              <w:rPr>
                <w:rFonts w:hint="eastAsia" w:ascii="Times New Roman" w:cs="Times New Roman" w:hAnsiTheme="minorEastAsia" w:eastAsiaTheme="minorEastAsia"/>
                <w:color w:val="auto"/>
                <w:spacing w:val="0"/>
                <w:kern w:val="0"/>
                <w:sz w:val="21"/>
                <w:szCs w:val="21"/>
              </w:rPr>
              <w:t>主要</w:t>
            </w:r>
            <w:r>
              <w:rPr>
                <w:rFonts w:ascii="Times New Roman" w:cs="Times New Roman" w:hAnsiTheme="minorEastAsia" w:eastAsiaTheme="minorEastAsia"/>
                <w:color w:val="auto"/>
                <w:spacing w:val="0"/>
                <w:kern w:val="0"/>
                <w:sz w:val="21"/>
                <w:szCs w:val="21"/>
              </w:rPr>
              <w:t>为</w:t>
            </w:r>
            <w:r>
              <w:rPr>
                <w:rFonts w:ascii="Times New Roman" w:hAnsi="Times New Roman" w:cs="Times New Roman" w:eastAsiaTheme="minorEastAsia"/>
                <w:color w:val="auto"/>
                <w:spacing w:val="0"/>
                <w:kern w:val="0"/>
                <w:sz w:val="21"/>
                <w:szCs w:val="21"/>
              </w:rPr>
              <w:t>1</w:t>
            </w:r>
            <w:r>
              <w:rPr>
                <w:rFonts w:ascii="Times New Roman" w:cs="Times New Roman" w:hAnsiTheme="minorEastAsia" w:eastAsiaTheme="minorEastAsia"/>
                <w:color w:val="auto"/>
                <w:spacing w:val="0"/>
                <w:kern w:val="0"/>
                <w:sz w:val="21"/>
                <w:szCs w:val="21"/>
              </w:rPr>
              <w:t>层砖混房，房屋正向拟建公路。</w:t>
            </w:r>
            <w:r>
              <w:rPr>
                <w:rFonts w:ascii="Times New Roman" w:hAnsi="Times New Roman" w:eastAsia="宋体" w:cs="Times New Roman"/>
                <w:color w:val="auto"/>
                <w:spacing w:val="0"/>
                <w:kern w:val="0"/>
                <w:sz w:val="21"/>
                <w:szCs w:val="21"/>
              </w:rPr>
              <w:t>该路段利用现有</w:t>
            </w:r>
            <w:r>
              <w:rPr>
                <w:rFonts w:hint="eastAsia" w:ascii="Times New Roman" w:hAnsi="Times New Roman" w:eastAsia="宋体" w:cs="Times New Roman"/>
                <w:color w:val="auto"/>
                <w:spacing w:val="0"/>
                <w:kern w:val="0"/>
                <w:sz w:val="21"/>
                <w:szCs w:val="21"/>
              </w:rPr>
              <w:t>老路左侧加宽</w:t>
            </w:r>
            <w:r>
              <w:rPr>
                <w:rFonts w:ascii="Times New Roman" w:hAnsi="Times New Roman" w:eastAsia="宋体" w:cs="Times New Roman"/>
                <w:color w:val="auto"/>
                <w:spacing w:val="0"/>
                <w:kern w:val="0"/>
                <w:sz w:val="21"/>
                <w:szCs w:val="21"/>
              </w:rPr>
              <w:t>，有平交</w:t>
            </w:r>
            <w:r>
              <w:rPr>
                <w:rFonts w:hint="eastAsia" w:ascii="Times New Roman" w:hAnsi="Times New Roman" w:eastAsia="宋体" w:cs="Times New Roman"/>
                <w:color w:val="auto"/>
                <w:spacing w:val="0"/>
                <w:kern w:val="0"/>
                <w:sz w:val="21"/>
                <w:szCs w:val="21"/>
              </w:rPr>
              <w:t>路口</w:t>
            </w:r>
            <w:r>
              <w:rPr>
                <w:rFonts w:ascii="Times New Roman" w:hAnsi="Times New Roman" w:eastAsia="宋体" w:cs="Times New Roman"/>
                <w:color w:val="auto"/>
                <w:spacing w:val="0"/>
                <w:kern w:val="0"/>
                <w:sz w:val="21"/>
                <w:szCs w:val="21"/>
              </w:rPr>
              <w:t>，</w:t>
            </w:r>
            <w:r>
              <w:rPr>
                <w:rFonts w:ascii="Times New Roman" w:cs="Times New Roman" w:hAnsiTheme="minorEastAsia" w:eastAsiaTheme="minorEastAsia"/>
                <w:color w:val="auto"/>
                <w:spacing w:val="0"/>
                <w:kern w:val="0"/>
                <w:sz w:val="21"/>
                <w:szCs w:val="21"/>
              </w:rPr>
              <w:t>主要噪声源为现有</w:t>
            </w:r>
            <w:r>
              <w:rPr>
                <w:rFonts w:hint="eastAsia" w:ascii="Times New Roman" w:hAnsi="Times New Roman" w:cs="Times New Roman" w:eastAsiaTheme="minorEastAsia"/>
                <w:color w:val="auto"/>
                <w:spacing w:val="0"/>
                <w:kern w:val="0"/>
                <w:sz w:val="21"/>
                <w:szCs w:val="21"/>
              </w:rPr>
              <w:t>G219</w:t>
            </w:r>
            <w:r>
              <w:rPr>
                <w:rFonts w:ascii="Times New Roman" w:cs="Times New Roman" w:hAnsiTheme="minorEastAsia" w:eastAsiaTheme="minorEastAsia"/>
                <w:color w:val="auto"/>
                <w:spacing w:val="0"/>
                <w:kern w:val="0"/>
                <w:sz w:val="21"/>
                <w:szCs w:val="21"/>
              </w:rPr>
              <w:t>交通噪声和社会生活噪声。</w:t>
            </w:r>
          </w:p>
        </w:tc>
        <w:tc>
          <w:tcPr>
            <w:tcW w:w="2898" w:type="dxa"/>
            <w:vMerge w:val="restart"/>
            <w:vAlign w:val="center"/>
          </w:tcPr>
          <w:p w14:paraId="6C92D276">
            <w:pPr>
              <w:widowControl/>
              <w:jc w:val="center"/>
              <w:rPr>
                <w:rFonts w:ascii="Times New Roman" w:hAnsi="Times New Roman" w:cs="Times New Roman" w:eastAsiaTheme="minorEastAsia"/>
                <w:color w:val="auto"/>
                <w:spacing w:val="-20"/>
                <w:kern w:val="0"/>
                <w:szCs w:val="21"/>
              </w:rPr>
            </w:pPr>
            <w:r>
              <w:rPr>
                <w:rFonts w:ascii="Times New Roman" w:hAnsi="Times New Roman" w:cs="Times New Roman" w:eastAsiaTheme="minorEastAsia"/>
                <w:color w:val="auto"/>
                <w:spacing w:val="-20"/>
                <w:kern w:val="0"/>
                <w:szCs w:val="21"/>
              </w:rPr>
              <w:drawing>
                <wp:inline distT="0" distB="0" distL="0" distR="0">
                  <wp:extent cx="1729105" cy="1295400"/>
                  <wp:effectExtent l="0" t="0" r="4445" b="0"/>
                  <wp:docPr id="1564142077" name="图片 3" descr="E:\咨询项目\环评\新疆-G219线八盘水磨至伽师公路\外业踏勘记录及照片\DSC09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142077" name="图片 3" descr="E:\咨询项目\环评\新疆-G219线八盘水磨至伽师公路\外业踏勘记录及照片\DSC09080.JPG"/>
                          <pic:cNvPicPr>
                            <a:picLocks noChangeAspect="1" noChangeArrowheads="1"/>
                          </pic:cNvPicPr>
                        </pic:nvPicPr>
                        <pic:blipFill>
                          <a:blip r:embed="rId156" cstate="print"/>
                          <a:srcRect/>
                          <a:stretch>
                            <a:fillRect/>
                          </a:stretch>
                        </pic:blipFill>
                        <pic:spPr>
                          <a:xfrm>
                            <a:off x="0" y="0"/>
                            <a:ext cx="1729728" cy="1296000"/>
                          </a:xfrm>
                          <a:prstGeom prst="rect">
                            <a:avLst/>
                          </a:prstGeom>
                          <a:noFill/>
                          <a:ln w="9525">
                            <a:noFill/>
                            <a:miter lim="800000"/>
                            <a:headEnd/>
                            <a:tailEnd/>
                          </a:ln>
                        </pic:spPr>
                      </pic:pic>
                    </a:graphicData>
                  </a:graphic>
                </wp:inline>
              </w:drawing>
            </w:r>
          </w:p>
        </w:tc>
      </w:tr>
      <w:tr w14:paraId="50ADA34E">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730" w:hRule="atLeast"/>
          <w:tblHeader/>
          <w:jc w:val="center"/>
        </w:trPr>
        <w:tc>
          <w:tcPr>
            <w:tcW w:w="567" w:type="dxa"/>
            <w:vMerge w:val="continue"/>
            <w:noWrap/>
            <w:vAlign w:val="center"/>
          </w:tcPr>
          <w:p w14:paraId="7242E3CB">
            <w:pPr>
              <w:widowControl/>
              <w:jc w:val="center"/>
              <w:rPr>
                <w:rFonts w:ascii="Times New Roman" w:hAnsi="Times New Roman" w:cs="Times New Roman" w:eastAsiaTheme="minorEastAsia"/>
                <w:color w:val="auto"/>
                <w:spacing w:val="-20"/>
                <w:kern w:val="0"/>
                <w:szCs w:val="21"/>
              </w:rPr>
            </w:pPr>
          </w:p>
        </w:tc>
        <w:tc>
          <w:tcPr>
            <w:tcW w:w="694" w:type="dxa"/>
            <w:vMerge w:val="continue"/>
            <w:vAlign w:val="center"/>
          </w:tcPr>
          <w:p w14:paraId="4BB6E769">
            <w:pPr>
              <w:widowControl/>
              <w:jc w:val="center"/>
              <w:rPr>
                <w:rFonts w:ascii="Times New Roman" w:cs="Times New Roman" w:hAnsiTheme="minorEastAsia" w:eastAsiaTheme="minorEastAsia"/>
                <w:color w:val="auto"/>
                <w:spacing w:val="-20"/>
                <w:kern w:val="0"/>
                <w:szCs w:val="21"/>
              </w:rPr>
            </w:pPr>
          </w:p>
        </w:tc>
        <w:tc>
          <w:tcPr>
            <w:tcW w:w="1134" w:type="dxa"/>
            <w:vAlign w:val="center"/>
          </w:tcPr>
          <w:p w14:paraId="268CF263">
            <w:pPr>
              <w:jc w:val="center"/>
              <w:rPr>
                <w:rFonts w:ascii="Times New Roman" w:hAnsi="Times New Roman" w:cs="Times New Roman" w:eastAsiaTheme="minorEastAsia"/>
                <w:color w:val="auto"/>
                <w:spacing w:val="-20"/>
                <w:szCs w:val="21"/>
              </w:rPr>
            </w:pPr>
            <w:r>
              <w:rPr>
                <w:rFonts w:ascii="Times New Roman" w:hAnsi="Times New Roman" w:cs="Times New Roman" w:eastAsiaTheme="minorEastAsia"/>
                <w:color w:val="auto"/>
                <w:spacing w:val="-20"/>
                <w:szCs w:val="21"/>
              </w:rPr>
              <w:t>K</w:t>
            </w:r>
            <w:r>
              <w:rPr>
                <w:rFonts w:hint="eastAsia" w:ascii="Times New Roman" w:hAnsi="Times New Roman" w:cs="Times New Roman" w:eastAsiaTheme="minorEastAsia"/>
                <w:color w:val="auto"/>
                <w:spacing w:val="-20"/>
                <w:szCs w:val="21"/>
              </w:rPr>
              <w:t>7</w:t>
            </w:r>
            <w:r>
              <w:rPr>
                <w:rFonts w:ascii="Times New Roman" w:hAnsi="Times New Roman" w:cs="Times New Roman" w:eastAsiaTheme="minorEastAsia"/>
                <w:color w:val="auto"/>
                <w:spacing w:val="-20"/>
                <w:szCs w:val="21"/>
              </w:rPr>
              <w:t>+</w:t>
            </w:r>
            <w:r>
              <w:rPr>
                <w:rFonts w:hint="eastAsia" w:ascii="Times New Roman" w:hAnsi="Times New Roman" w:cs="Times New Roman" w:eastAsiaTheme="minorEastAsia"/>
                <w:color w:val="auto"/>
                <w:spacing w:val="-20"/>
                <w:szCs w:val="21"/>
              </w:rPr>
              <w:t>80</w:t>
            </w:r>
            <w:r>
              <w:rPr>
                <w:rFonts w:ascii="Times New Roman" w:hAnsi="Times New Roman" w:cs="Times New Roman" w:eastAsiaTheme="minorEastAsia"/>
                <w:color w:val="auto"/>
                <w:spacing w:val="-20"/>
                <w:szCs w:val="21"/>
              </w:rPr>
              <w:t>0</w:t>
            </w:r>
            <w:r>
              <w:rPr>
                <w:rFonts w:ascii="Times New Roman" w:cs="Times New Roman" w:hAnsiTheme="minorEastAsia" w:eastAsiaTheme="minorEastAsia"/>
                <w:color w:val="auto"/>
                <w:spacing w:val="-20"/>
                <w:szCs w:val="21"/>
              </w:rPr>
              <w:t>～</w:t>
            </w:r>
            <w:r>
              <w:rPr>
                <w:rFonts w:ascii="Times New Roman" w:hAnsi="Times New Roman" w:cs="Times New Roman" w:eastAsiaTheme="minorEastAsia"/>
                <w:color w:val="auto"/>
                <w:spacing w:val="-20"/>
                <w:szCs w:val="21"/>
              </w:rPr>
              <w:t>K</w:t>
            </w:r>
            <w:r>
              <w:rPr>
                <w:rFonts w:hint="eastAsia" w:ascii="Times New Roman" w:hAnsi="Times New Roman" w:cs="Times New Roman" w:eastAsiaTheme="minorEastAsia"/>
                <w:color w:val="auto"/>
                <w:spacing w:val="-20"/>
                <w:szCs w:val="21"/>
              </w:rPr>
              <w:t>8</w:t>
            </w:r>
            <w:r>
              <w:rPr>
                <w:rFonts w:ascii="Times New Roman" w:hAnsi="Times New Roman" w:cs="Times New Roman" w:eastAsiaTheme="minorEastAsia"/>
                <w:color w:val="auto"/>
                <w:spacing w:val="-20"/>
                <w:szCs w:val="21"/>
              </w:rPr>
              <w:t>+</w:t>
            </w:r>
            <w:r>
              <w:rPr>
                <w:rFonts w:hint="eastAsia" w:ascii="Times New Roman" w:hAnsi="Times New Roman" w:cs="Times New Roman" w:eastAsiaTheme="minorEastAsia"/>
                <w:color w:val="auto"/>
                <w:spacing w:val="-20"/>
                <w:szCs w:val="21"/>
              </w:rPr>
              <w:t>60</w:t>
            </w:r>
            <w:r>
              <w:rPr>
                <w:rFonts w:ascii="Times New Roman" w:hAnsi="Times New Roman" w:cs="Times New Roman" w:eastAsiaTheme="minorEastAsia"/>
                <w:color w:val="auto"/>
                <w:spacing w:val="-20"/>
                <w:szCs w:val="21"/>
              </w:rPr>
              <w:t>0</w:t>
            </w:r>
          </w:p>
        </w:tc>
        <w:tc>
          <w:tcPr>
            <w:tcW w:w="851" w:type="dxa"/>
            <w:vMerge w:val="continue"/>
            <w:vAlign w:val="center"/>
          </w:tcPr>
          <w:p w14:paraId="6D6881F0">
            <w:pPr>
              <w:jc w:val="center"/>
              <w:rPr>
                <w:rFonts w:ascii="Times New Roman" w:cs="Times New Roman" w:hAnsiTheme="minorEastAsia" w:eastAsiaTheme="minorEastAsia"/>
                <w:color w:val="auto"/>
                <w:spacing w:val="-20"/>
                <w:szCs w:val="21"/>
              </w:rPr>
            </w:pPr>
          </w:p>
        </w:tc>
        <w:tc>
          <w:tcPr>
            <w:tcW w:w="850" w:type="dxa"/>
            <w:vMerge w:val="continue"/>
            <w:vAlign w:val="center"/>
          </w:tcPr>
          <w:p w14:paraId="11809B75">
            <w:pPr>
              <w:jc w:val="center"/>
              <w:rPr>
                <w:rFonts w:ascii="Times New Roman" w:cs="Times New Roman" w:hAnsiTheme="minorEastAsia" w:eastAsiaTheme="minorEastAsia"/>
                <w:color w:val="auto"/>
                <w:spacing w:val="-20"/>
                <w:szCs w:val="21"/>
              </w:rPr>
            </w:pPr>
          </w:p>
        </w:tc>
        <w:tc>
          <w:tcPr>
            <w:tcW w:w="661" w:type="dxa"/>
            <w:vMerge w:val="continue"/>
            <w:vAlign w:val="center"/>
          </w:tcPr>
          <w:p w14:paraId="3A111541">
            <w:pPr>
              <w:jc w:val="center"/>
              <w:rPr>
                <w:rFonts w:ascii="Times New Roman" w:cs="Times New Roman" w:hAnsiTheme="minorEastAsia" w:eastAsiaTheme="minorEastAsia"/>
                <w:color w:val="auto"/>
                <w:spacing w:val="-20"/>
                <w:szCs w:val="21"/>
              </w:rPr>
            </w:pPr>
          </w:p>
        </w:tc>
        <w:tc>
          <w:tcPr>
            <w:tcW w:w="662" w:type="dxa"/>
            <w:vMerge w:val="continue"/>
            <w:vAlign w:val="center"/>
          </w:tcPr>
          <w:p w14:paraId="7D5DD513">
            <w:pPr>
              <w:jc w:val="center"/>
              <w:rPr>
                <w:rFonts w:ascii="Times New Roman" w:cs="Times New Roman" w:hAnsiTheme="minorEastAsia" w:eastAsiaTheme="minorEastAsia"/>
                <w:color w:val="auto"/>
                <w:spacing w:val="-20"/>
                <w:szCs w:val="21"/>
              </w:rPr>
            </w:pPr>
          </w:p>
        </w:tc>
        <w:tc>
          <w:tcPr>
            <w:tcW w:w="663" w:type="dxa"/>
            <w:vAlign w:val="center"/>
          </w:tcPr>
          <w:p w14:paraId="4B8DADC2">
            <w:pPr>
              <w:jc w:val="center"/>
              <w:rPr>
                <w:rFonts w:ascii="Times New Roman" w:cs="Times New Roman" w:hAnsiTheme="minorEastAsia" w:eastAsiaTheme="minorEastAsia"/>
                <w:color w:val="auto"/>
                <w:spacing w:val="-20"/>
                <w:szCs w:val="21"/>
              </w:rPr>
            </w:pPr>
            <w:r>
              <w:rPr>
                <w:rFonts w:hint="eastAsia" w:ascii="Times New Roman" w:cs="Times New Roman" w:hAnsiTheme="minorEastAsia" w:eastAsiaTheme="minorEastAsia"/>
                <w:color w:val="auto"/>
                <w:spacing w:val="-20"/>
                <w:szCs w:val="21"/>
              </w:rPr>
              <w:t>18</w:t>
            </w:r>
          </w:p>
        </w:tc>
        <w:tc>
          <w:tcPr>
            <w:tcW w:w="566" w:type="dxa"/>
            <w:vMerge w:val="continue"/>
            <w:vAlign w:val="center"/>
          </w:tcPr>
          <w:p w14:paraId="2016F607">
            <w:pPr>
              <w:jc w:val="center"/>
              <w:rPr>
                <w:rFonts w:ascii="Times New Roman" w:cs="Times New Roman" w:hAnsiTheme="minorEastAsia" w:eastAsiaTheme="minorEastAsia"/>
                <w:color w:val="auto"/>
                <w:spacing w:val="-20"/>
                <w:szCs w:val="21"/>
              </w:rPr>
            </w:pPr>
          </w:p>
        </w:tc>
        <w:tc>
          <w:tcPr>
            <w:tcW w:w="708" w:type="dxa"/>
            <w:vMerge w:val="continue"/>
            <w:vAlign w:val="center"/>
          </w:tcPr>
          <w:p w14:paraId="1CA6353F">
            <w:pPr>
              <w:jc w:val="center"/>
              <w:rPr>
                <w:rFonts w:ascii="Times New Roman" w:hAnsi="Times New Roman" w:cs="Times New Roman" w:eastAsiaTheme="minorEastAsia"/>
                <w:color w:val="auto"/>
                <w:spacing w:val="-20"/>
                <w:szCs w:val="21"/>
              </w:rPr>
            </w:pPr>
          </w:p>
        </w:tc>
        <w:tc>
          <w:tcPr>
            <w:tcW w:w="709" w:type="dxa"/>
            <w:vMerge w:val="restart"/>
            <w:vAlign w:val="center"/>
          </w:tcPr>
          <w:p w14:paraId="423D5F9C">
            <w:pPr>
              <w:widowControl/>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14.5</w:t>
            </w:r>
          </w:p>
        </w:tc>
        <w:tc>
          <w:tcPr>
            <w:tcW w:w="992" w:type="dxa"/>
            <w:vMerge w:val="continue"/>
            <w:vAlign w:val="center"/>
          </w:tcPr>
          <w:p w14:paraId="4CB7240D">
            <w:pPr>
              <w:widowControl/>
              <w:jc w:val="center"/>
              <w:rPr>
                <w:rFonts w:ascii="Times New Roman" w:hAnsi="Times New Roman" w:cs="Times New Roman" w:eastAsiaTheme="minorEastAsia"/>
                <w:color w:val="auto"/>
                <w:spacing w:val="-20"/>
                <w:kern w:val="0"/>
                <w:szCs w:val="21"/>
              </w:rPr>
            </w:pPr>
          </w:p>
        </w:tc>
        <w:tc>
          <w:tcPr>
            <w:tcW w:w="993" w:type="dxa"/>
            <w:vMerge w:val="restart"/>
            <w:vAlign w:val="center"/>
          </w:tcPr>
          <w:p w14:paraId="1CC44B4D">
            <w:pPr>
              <w:widowControl/>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0</w:t>
            </w:r>
          </w:p>
        </w:tc>
        <w:tc>
          <w:tcPr>
            <w:tcW w:w="567" w:type="dxa"/>
            <w:vMerge w:val="continue"/>
            <w:vAlign w:val="center"/>
          </w:tcPr>
          <w:p w14:paraId="02D1E690">
            <w:pPr>
              <w:widowControl/>
              <w:jc w:val="center"/>
              <w:rPr>
                <w:rFonts w:ascii="Times New Roman" w:cs="Times New Roman" w:hAnsiTheme="minorEastAsia" w:eastAsiaTheme="minorEastAsia"/>
                <w:color w:val="auto"/>
                <w:spacing w:val="-20"/>
                <w:kern w:val="0"/>
                <w:szCs w:val="21"/>
              </w:rPr>
            </w:pPr>
          </w:p>
        </w:tc>
        <w:tc>
          <w:tcPr>
            <w:tcW w:w="992" w:type="dxa"/>
            <w:vMerge w:val="restart"/>
            <w:vAlign w:val="center"/>
          </w:tcPr>
          <w:p w14:paraId="12DF753E">
            <w:pPr>
              <w:widowControl/>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50.5</w:t>
            </w:r>
          </w:p>
        </w:tc>
        <w:tc>
          <w:tcPr>
            <w:tcW w:w="709" w:type="dxa"/>
            <w:vAlign w:val="center"/>
          </w:tcPr>
          <w:p w14:paraId="5980044C">
            <w:pPr>
              <w:widowControl/>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25</w:t>
            </w:r>
          </w:p>
        </w:tc>
        <w:tc>
          <w:tcPr>
            <w:tcW w:w="709" w:type="dxa"/>
            <w:vAlign w:val="center"/>
          </w:tcPr>
          <w:p w14:paraId="1C4902AB">
            <w:pPr>
              <w:widowControl/>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25</w:t>
            </w:r>
          </w:p>
        </w:tc>
        <w:tc>
          <w:tcPr>
            <w:tcW w:w="4413" w:type="dxa"/>
            <w:vMerge w:val="continue"/>
            <w:vAlign w:val="center"/>
          </w:tcPr>
          <w:p w14:paraId="1B8112EC">
            <w:pPr>
              <w:widowControl/>
              <w:jc w:val="left"/>
              <w:rPr>
                <w:rFonts w:ascii="Times New Roman" w:cs="Times New Roman" w:hAnsiTheme="minorEastAsia" w:eastAsiaTheme="minorEastAsia"/>
                <w:color w:val="auto"/>
                <w:spacing w:val="0"/>
                <w:kern w:val="0"/>
                <w:sz w:val="21"/>
                <w:szCs w:val="21"/>
              </w:rPr>
            </w:pPr>
          </w:p>
        </w:tc>
        <w:tc>
          <w:tcPr>
            <w:tcW w:w="2898" w:type="dxa"/>
            <w:vMerge w:val="continue"/>
            <w:vAlign w:val="center"/>
          </w:tcPr>
          <w:p w14:paraId="6678AE2E">
            <w:pPr>
              <w:widowControl/>
              <w:jc w:val="center"/>
              <w:rPr>
                <w:rFonts w:ascii="Times New Roman" w:hAnsi="Times New Roman" w:cs="Times New Roman" w:eastAsiaTheme="minorEastAsia"/>
                <w:color w:val="auto"/>
                <w:spacing w:val="-20"/>
                <w:kern w:val="0"/>
                <w:szCs w:val="21"/>
              </w:rPr>
            </w:pPr>
          </w:p>
        </w:tc>
      </w:tr>
      <w:tr w14:paraId="3ABB3951">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730" w:hRule="atLeast"/>
          <w:tblHeader/>
          <w:jc w:val="center"/>
        </w:trPr>
        <w:tc>
          <w:tcPr>
            <w:tcW w:w="567" w:type="dxa"/>
            <w:vMerge w:val="continue"/>
            <w:noWrap/>
            <w:vAlign w:val="center"/>
          </w:tcPr>
          <w:p w14:paraId="14884027">
            <w:pPr>
              <w:widowControl/>
              <w:jc w:val="center"/>
              <w:rPr>
                <w:rFonts w:ascii="Times New Roman" w:hAnsi="Times New Roman" w:cs="Times New Roman" w:eastAsiaTheme="minorEastAsia"/>
                <w:color w:val="auto"/>
                <w:spacing w:val="-20"/>
                <w:kern w:val="0"/>
                <w:szCs w:val="21"/>
              </w:rPr>
            </w:pPr>
          </w:p>
        </w:tc>
        <w:tc>
          <w:tcPr>
            <w:tcW w:w="694" w:type="dxa"/>
            <w:vMerge w:val="continue"/>
            <w:vAlign w:val="center"/>
          </w:tcPr>
          <w:p w14:paraId="58023250">
            <w:pPr>
              <w:widowControl/>
              <w:jc w:val="center"/>
              <w:rPr>
                <w:rFonts w:ascii="Times New Roman" w:cs="Times New Roman" w:hAnsiTheme="minorEastAsia" w:eastAsiaTheme="minorEastAsia"/>
                <w:color w:val="auto"/>
                <w:spacing w:val="-20"/>
                <w:kern w:val="0"/>
                <w:szCs w:val="21"/>
              </w:rPr>
            </w:pPr>
          </w:p>
        </w:tc>
        <w:tc>
          <w:tcPr>
            <w:tcW w:w="1134" w:type="dxa"/>
            <w:vAlign w:val="center"/>
          </w:tcPr>
          <w:p w14:paraId="3D74B26B">
            <w:pPr>
              <w:jc w:val="center"/>
              <w:rPr>
                <w:rFonts w:ascii="Times New Roman" w:hAnsi="Times New Roman" w:cs="Times New Roman" w:eastAsiaTheme="minorEastAsia"/>
                <w:color w:val="auto"/>
                <w:spacing w:val="-20"/>
                <w:szCs w:val="21"/>
              </w:rPr>
            </w:pPr>
            <w:r>
              <w:rPr>
                <w:rFonts w:ascii="Times New Roman" w:hAnsi="Times New Roman" w:cs="Times New Roman" w:eastAsiaTheme="minorEastAsia"/>
                <w:color w:val="auto"/>
                <w:spacing w:val="-20"/>
                <w:szCs w:val="21"/>
              </w:rPr>
              <w:t>K</w:t>
            </w:r>
            <w:r>
              <w:rPr>
                <w:rFonts w:hint="eastAsia" w:ascii="Times New Roman" w:hAnsi="Times New Roman" w:cs="Times New Roman" w:eastAsiaTheme="minorEastAsia"/>
                <w:color w:val="auto"/>
                <w:spacing w:val="-20"/>
                <w:szCs w:val="21"/>
              </w:rPr>
              <w:t>7</w:t>
            </w:r>
            <w:r>
              <w:rPr>
                <w:rFonts w:ascii="Times New Roman" w:hAnsi="Times New Roman" w:cs="Times New Roman" w:eastAsiaTheme="minorEastAsia"/>
                <w:color w:val="auto"/>
                <w:spacing w:val="-20"/>
                <w:szCs w:val="21"/>
              </w:rPr>
              <w:t>+</w:t>
            </w:r>
            <w:r>
              <w:rPr>
                <w:rFonts w:hint="eastAsia" w:ascii="Times New Roman" w:hAnsi="Times New Roman" w:cs="Times New Roman" w:eastAsiaTheme="minorEastAsia"/>
                <w:color w:val="auto"/>
                <w:spacing w:val="-20"/>
                <w:szCs w:val="21"/>
              </w:rPr>
              <w:t>65</w:t>
            </w:r>
            <w:r>
              <w:rPr>
                <w:rFonts w:ascii="Times New Roman" w:hAnsi="Times New Roman" w:cs="Times New Roman" w:eastAsiaTheme="minorEastAsia"/>
                <w:color w:val="auto"/>
                <w:spacing w:val="-20"/>
                <w:szCs w:val="21"/>
              </w:rPr>
              <w:t>0</w:t>
            </w:r>
            <w:r>
              <w:rPr>
                <w:rFonts w:ascii="Times New Roman" w:cs="Times New Roman" w:hAnsiTheme="minorEastAsia" w:eastAsiaTheme="minorEastAsia"/>
                <w:color w:val="auto"/>
                <w:spacing w:val="-20"/>
                <w:szCs w:val="21"/>
              </w:rPr>
              <w:t>～</w:t>
            </w:r>
            <w:r>
              <w:rPr>
                <w:rFonts w:ascii="Times New Roman" w:hAnsi="Times New Roman" w:cs="Times New Roman" w:eastAsiaTheme="minorEastAsia"/>
                <w:color w:val="auto"/>
                <w:spacing w:val="-20"/>
                <w:szCs w:val="21"/>
              </w:rPr>
              <w:t>K</w:t>
            </w:r>
            <w:r>
              <w:rPr>
                <w:rFonts w:hint="eastAsia" w:ascii="Times New Roman" w:hAnsi="Times New Roman" w:cs="Times New Roman" w:eastAsiaTheme="minorEastAsia"/>
                <w:color w:val="auto"/>
                <w:spacing w:val="-20"/>
                <w:szCs w:val="21"/>
              </w:rPr>
              <w:t>8</w:t>
            </w:r>
            <w:r>
              <w:rPr>
                <w:rFonts w:ascii="Times New Roman" w:hAnsi="Times New Roman" w:cs="Times New Roman" w:eastAsiaTheme="minorEastAsia"/>
                <w:color w:val="auto"/>
                <w:spacing w:val="-20"/>
                <w:szCs w:val="21"/>
              </w:rPr>
              <w:t>+</w:t>
            </w:r>
            <w:r>
              <w:rPr>
                <w:rFonts w:hint="eastAsia" w:ascii="Times New Roman" w:hAnsi="Times New Roman" w:cs="Times New Roman" w:eastAsiaTheme="minorEastAsia"/>
                <w:color w:val="auto"/>
                <w:spacing w:val="-20"/>
                <w:szCs w:val="21"/>
              </w:rPr>
              <w:t>75</w:t>
            </w:r>
            <w:r>
              <w:rPr>
                <w:rFonts w:ascii="Times New Roman" w:hAnsi="Times New Roman" w:cs="Times New Roman" w:eastAsiaTheme="minorEastAsia"/>
                <w:color w:val="auto"/>
                <w:spacing w:val="-20"/>
                <w:szCs w:val="21"/>
              </w:rPr>
              <w:t>0</w:t>
            </w:r>
          </w:p>
        </w:tc>
        <w:tc>
          <w:tcPr>
            <w:tcW w:w="851" w:type="dxa"/>
            <w:vMerge w:val="continue"/>
            <w:vAlign w:val="center"/>
          </w:tcPr>
          <w:p w14:paraId="667A1AF5">
            <w:pPr>
              <w:jc w:val="center"/>
              <w:rPr>
                <w:rFonts w:ascii="Times New Roman" w:cs="Times New Roman" w:hAnsiTheme="minorEastAsia" w:eastAsiaTheme="minorEastAsia"/>
                <w:color w:val="auto"/>
                <w:spacing w:val="-20"/>
                <w:szCs w:val="21"/>
              </w:rPr>
            </w:pPr>
          </w:p>
        </w:tc>
        <w:tc>
          <w:tcPr>
            <w:tcW w:w="850" w:type="dxa"/>
            <w:vMerge w:val="continue"/>
            <w:vAlign w:val="center"/>
          </w:tcPr>
          <w:p w14:paraId="116C37E6">
            <w:pPr>
              <w:jc w:val="center"/>
              <w:rPr>
                <w:rFonts w:ascii="Times New Roman" w:cs="Times New Roman" w:hAnsiTheme="minorEastAsia" w:eastAsiaTheme="minorEastAsia"/>
                <w:color w:val="auto"/>
                <w:spacing w:val="-20"/>
                <w:szCs w:val="21"/>
              </w:rPr>
            </w:pPr>
          </w:p>
        </w:tc>
        <w:tc>
          <w:tcPr>
            <w:tcW w:w="661" w:type="dxa"/>
            <w:vAlign w:val="center"/>
          </w:tcPr>
          <w:p w14:paraId="7D3EB516">
            <w:pPr>
              <w:jc w:val="center"/>
              <w:rPr>
                <w:rFonts w:ascii="Times New Roman" w:cs="Times New Roman" w:hAnsiTheme="minorEastAsia" w:eastAsiaTheme="minorEastAsia"/>
                <w:color w:val="auto"/>
                <w:spacing w:val="-20"/>
                <w:szCs w:val="21"/>
              </w:rPr>
            </w:pPr>
            <w:r>
              <w:rPr>
                <w:rFonts w:ascii="Times New Roman" w:cs="Times New Roman" w:hAnsiTheme="minorEastAsia" w:eastAsiaTheme="minorEastAsia"/>
                <w:color w:val="auto"/>
                <w:spacing w:val="-20"/>
                <w:szCs w:val="21"/>
              </w:rPr>
              <w:t>路左</w:t>
            </w:r>
          </w:p>
        </w:tc>
        <w:tc>
          <w:tcPr>
            <w:tcW w:w="662" w:type="dxa"/>
            <w:vAlign w:val="center"/>
          </w:tcPr>
          <w:p w14:paraId="6B96FE60">
            <w:pPr>
              <w:jc w:val="center"/>
              <w:rPr>
                <w:rFonts w:ascii="Times New Roman" w:cs="Times New Roman" w:hAnsiTheme="minorEastAsia" w:eastAsiaTheme="minorEastAsia"/>
                <w:color w:val="auto"/>
                <w:spacing w:val="-20"/>
                <w:szCs w:val="21"/>
              </w:rPr>
            </w:pPr>
            <w:r>
              <w:rPr>
                <w:rFonts w:hint="eastAsia" w:ascii="Times New Roman" w:cs="Times New Roman" w:hAnsiTheme="minorEastAsia" w:eastAsiaTheme="minorEastAsia"/>
                <w:color w:val="auto"/>
                <w:spacing w:val="-20"/>
                <w:szCs w:val="21"/>
              </w:rPr>
              <w:t>36</w:t>
            </w:r>
          </w:p>
        </w:tc>
        <w:tc>
          <w:tcPr>
            <w:tcW w:w="663" w:type="dxa"/>
            <w:vAlign w:val="center"/>
          </w:tcPr>
          <w:p w14:paraId="65A3E1BA">
            <w:pPr>
              <w:jc w:val="center"/>
              <w:rPr>
                <w:rFonts w:ascii="Times New Roman" w:cs="Times New Roman" w:hAnsiTheme="minorEastAsia" w:eastAsiaTheme="minorEastAsia"/>
                <w:color w:val="auto"/>
                <w:spacing w:val="-20"/>
                <w:szCs w:val="21"/>
              </w:rPr>
            </w:pPr>
            <w:r>
              <w:rPr>
                <w:rFonts w:hint="eastAsia" w:ascii="Times New Roman" w:cs="Times New Roman" w:hAnsiTheme="minorEastAsia" w:eastAsiaTheme="minorEastAsia"/>
                <w:color w:val="auto"/>
                <w:spacing w:val="-20"/>
                <w:szCs w:val="21"/>
              </w:rPr>
              <w:t>30</w:t>
            </w:r>
          </w:p>
        </w:tc>
        <w:tc>
          <w:tcPr>
            <w:tcW w:w="566" w:type="dxa"/>
            <w:vAlign w:val="center"/>
          </w:tcPr>
          <w:p w14:paraId="12E6D5DC">
            <w:pPr>
              <w:jc w:val="center"/>
              <w:rPr>
                <w:rFonts w:ascii="Times New Roman" w:cs="Times New Roman" w:hAnsiTheme="minorEastAsia" w:eastAsiaTheme="minorEastAsia"/>
                <w:color w:val="auto"/>
                <w:spacing w:val="-20"/>
                <w:szCs w:val="21"/>
              </w:rPr>
            </w:pPr>
            <w:r>
              <w:rPr>
                <w:rFonts w:ascii="Times New Roman" w:cs="Times New Roman" w:hAnsiTheme="minorEastAsia" w:eastAsiaTheme="minorEastAsia"/>
                <w:color w:val="auto"/>
                <w:spacing w:val="-20"/>
                <w:szCs w:val="21"/>
              </w:rPr>
              <w:t>路左</w:t>
            </w:r>
          </w:p>
        </w:tc>
        <w:tc>
          <w:tcPr>
            <w:tcW w:w="708" w:type="dxa"/>
            <w:vAlign w:val="center"/>
          </w:tcPr>
          <w:p w14:paraId="42AE426A">
            <w:pPr>
              <w:jc w:val="center"/>
              <w:rPr>
                <w:rFonts w:ascii="Times New Roman" w:hAnsi="Times New Roman" w:cs="Times New Roman" w:eastAsiaTheme="minorEastAsia"/>
                <w:color w:val="auto"/>
                <w:spacing w:val="-20"/>
                <w:szCs w:val="21"/>
              </w:rPr>
            </w:pPr>
            <w:r>
              <w:rPr>
                <w:rFonts w:hint="eastAsia" w:ascii="Times New Roman" w:hAnsi="Times New Roman" w:cs="Times New Roman" w:eastAsiaTheme="minorEastAsia"/>
                <w:color w:val="auto"/>
                <w:spacing w:val="-20"/>
                <w:szCs w:val="21"/>
              </w:rPr>
              <w:t>30</w:t>
            </w:r>
          </w:p>
        </w:tc>
        <w:tc>
          <w:tcPr>
            <w:tcW w:w="709" w:type="dxa"/>
            <w:vMerge w:val="continue"/>
            <w:vAlign w:val="center"/>
          </w:tcPr>
          <w:p w14:paraId="01856A84">
            <w:pPr>
              <w:widowControl/>
              <w:jc w:val="center"/>
              <w:rPr>
                <w:rFonts w:ascii="Times New Roman" w:hAnsi="Times New Roman" w:cs="Times New Roman" w:eastAsiaTheme="minorEastAsia"/>
                <w:color w:val="auto"/>
                <w:spacing w:val="-20"/>
                <w:kern w:val="0"/>
                <w:szCs w:val="21"/>
              </w:rPr>
            </w:pPr>
          </w:p>
        </w:tc>
        <w:tc>
          <w:tcPr>
            <w:tcW w:w="992" w:type="dxa"/>
            <w:vMerge w:val="continue"/>
            <w:vAlign w:val="center"/>
          </w:tcPr>
          <w:p w14:paraId="4A206BA7">
            <w:pPr>
              <w:widowControl/>
              <w:jc w:val="center"/>
              <w:rPr>
                <w:rFonts w:ascii="Times New Roman" w:hAnsi="Times New Roman" w:cs="Times New Roman" w:eastAsiaTheme="minorEastAsia"/>
                <w:color w:val="auto"/>
                <w:spacing w:val="-20"/>
                <w:kern w:val="0"/>
                <w:szCs w:val="21"/>
              </w:rPr>
            </w:pPr>
          </w:p>
        </w:tc>
        <w:tc>
          <w:tcPr>
            <w:tcW w:w="993" w:type="dxa"/>
            <w:vMerge w:val="continue"/>
            <w:vAlign w:val="center"/>
          </w:tcPr>
          <w:p w14:paraId="03FF795C">
            <w:pPr>
              <w:widowControl/>
              <w:jc w:val="center"/>
              <w:rPr>
                <w:rFonts w:ascii="Times New Roman" w:hAnsi="Times New Roman" w:cs="Times New Roman" w:eastAsiaTheme="minorEastAsia"/>
                <w:color w:val="auto"/>
                <w:spacing w:val="-20"/>
                <w:kern w:val="0"/>
                <w:szCs w:val="21"/>
              </w:rPr>
            </w:pPr>
          </w:p>
        </w:tc>
        <w:tc>
          <w:tcPr>
            <w:tcW w:w="567" w:type="dxa"/>
            <w:vMerge w:val="continue"/>
            <w:vAlign w:val="center"/>
          </w:tcPr>
          <w:p w14:paraId="5ECACAE9">
            <w:pPr>
              <w:widowControl/>
              <w:jc w:val="center"/>
              <w:rPr>
                <w:rFonts w:ascii="Times New Roman" w:cs="Times New Roman" w:hAnsiTheme="minorEastAsia" w:eastAsiaTheme="minorEastAsia"/>
                <w:color w:val="auto"/>
                <w:spacing w:val="-20"/>
                <w:kern w:val="0"/>
                <w:szCs w:val="21"/>
              </w:rPr>
            </w:pPr>
          </w:p>
        </w:tc>
        <w:tc>
          <w:tcPr>
            <w:tcW w:w="992" w:type="dxa"/>
            <w:vMerge w:val="continue"/>
            <w:vAlign w:val="center"/>
          </w:tcPr>
          <w:p w14:paraId="458235FF">
            <w:pPr>
              <w:widowControl/>
              <w:jc w:val="center"/>
              <w:rPr>
                <w:rFonts w:ascii="Times New Roman" w:hAnsi="Times New Roman" w:cs="Times New Roman" w:eastAsiaTheme="minorEastAsia"/>
                <w:color w:val="auto"/>
                <w:spacing w:val="-20"/>
                <w:kern w:val="0"/>
                <w:szCs w:val="21"/>
              </w:rPr>
            </w:pPr>
          </w:p>
        </w:tc>
        <w:tc>
          <w:tcPr>
            <w:tcW w:w="709" w:type="dxa"/>
            <w:vAlign w:val="center"/>
          </w:tcPr>
          <w:p w14:paraId="367368AA">
            <w:pPr>
              <w:widowControl/>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20</w:t>
            </w:r>
          </w:p>
        </w:tc>
        <w:tc>
          <w:tcPr>
            <w:tcW w:w="709" w:type="dxa"/>
            <w:vAlign w:val="center"/>
          </w:tcPr>
          <w:p w14:paraId="3F02D32D">
            <w:pPr>
              <w:widowControl/>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45</w:t>
            </w:r>
          </w:p>
        </w:tc>
        <w:tc>
          <w:tcPr>
            <w:tcW w:w="4413" w:type="dxa"/>
            <w:vMerge w:val="continue"/>
            <w:vAlign w:val="center"/>
          </w:tcPr>
          <w:p w14:paraId="76D395BE">
            <w:pPr>
              <w:widowControl/>
              <w:jc w:val="left"/>
              <w:rPr>
                <w:rFonts w:ascii="Times New Roman" w:cs="Times New Roman" w:hAnsiTheme="minorEastAsia" w:eastAsiaTheme="minorEastAsia"/>
                <w:color w:val="auto"/>
                <w:spacing w:val="0"/>
                <w:kern w:val="0"/>
                <w:sz w:val="21"/>
                <w:szCs w:val="21"/>
              </w:rPr>
            </w:pPr>
          </w:p>
        </w:tc>
        <w:tc>
          <w:tcPr>
            <w:tcW w:w="2898" w:type="dxa"/>
            <w:vMerge w:val="continue"/>
            <w:vAlign w:val="center"/>
          </w:tcPr>
          <w:p w14:paraId="6EAA4CED">
            <w:pPr>
              <w:widowControl/>
              <w:jc w:val="center"/>
              <w:rPr>
                <w:rFonts w:ascii="Times New Roman" w:hAnsi="Times New Roman" w:cs="Times New Roman" w:eastAsiaTheme="minorEastAsia"/>
                <w:color w:val="auto"/>
                <w:spacing w:val="-20"/>
                <w:kern w:val="0"/>
                <w:szCs w:val="21"/>
              </w:rPr>
            </w:pPr>
          </w:p>
        </w:tc>
      </w:tr>
      <w:tr w14:paraId="1F25CEB7">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741" w:hRule="atLeast"/>
          <w:tblHeader/>
          <w:jc w:val="center"/>
        </w:trPr>
        <w:tc>
          <w:tcPr>
            <w:tcW w:w="567" w:type="dxa"/>
            <w:noWrap/>
            <w:vAlign w:val="center"/>
          </w:tcPr>
          <w:p w14:paraId="1C8211FE">
            <w:pPr>
              <w:widowControl/>
              <w:jc w:val="center"/>
              <w:rPr>
                <w:rFonts w:ascii="Times New Roman" w:hAnsi="Times New Roman" w:cs="Times New Roman" w:eastAsiaTheme="minorEastAsia"/>
                <w:color w:val="auto"/>
                <w:spacing w:val="-20"/>
                <w:kern w:val="0"/>
                <w:szCs w:val="21"/>
              </w:rPr>
            </w:pPr>
            <w:r>
              <w:rPr>
                <w:rFonts w:ascii="Times New Roman" w:hAnsi="Times New Roman" w:cs="Times New Roman" w:eastAsiaTheme="minorEastAsia"/>
                <w:color w:val="auto"/>
                <w:spacing w:val="-20"/>
                <w:kern w:val="0"/>
                <w:szCs w:val="21"/>
              </w:rPr>
              <w:t>2</w:t>
            </w:r>
          </w:p>
        </w:tc>
        <w:tc>
          <w:tcPr>
            <w:tcW w:w="694" w:type="dxa"/>
            <w:vMerge w:val="continue"/>
            <w:vAlign w:val="center"/>
          </w:tcPr>
          <w:p w14:paraId="19C93C9C">
            <w:pPr>
              <w:widowControl/>
              <w:jc w:val="center"/>
              <w:rPr>
                <w:rFonts w:ascii="Times New Roman" w:hAnsi="Times New Roman" w:cs="Times New Roman" w:eastAsiaTheme="minorEastAsia"/>
                <w:color w:val="auto"/>
                <w:spacing w:val="-20"/>
                <w:kern w:val="0"/>
                <w:szCs w:val="21"/>
              </w:rPr>
            </w:pPr>
          </w:p>
        </w:tc>
        <w:tc>
          <w:tcPr>
            <w:tcW w:w="1134" w:type="dxa"/>
            <w:vAlign w:val="center"/>
          </w:tcPr>
          <w:p w14:paraId="30E7AB38">
            <w:pPr>
              <w:jc w:val="center"/>
              <w:rPr>
                <w:rFonts w:ascii="Times New Roman" w:hAnsi="Times New Roman" w:cs="Times New Roman" w:eastAsiaTheme="minorEastAsia"/>
                <w:color w:val="auto"/>
                <w:spacing w:val="-20"/>
                <w:szCs w:val="21"/>
              </w:rPr>
            </w:pPr>
            <w:r>
              <w:rPr>
                <w:rFonts w:ascii="Times New Roman" w:hAnsi="Times New Roman" w:cs="Times New Roman" w:eastAsiaTheme="minorEastAsia"/>
                <w:color w:val="auto"/>
                <w:spacing w:val="-20"/>
                <w:szCs w:val="21"/>
              </w:rPr>
              <w:t>K</w:t>
            </w:r>
            <w:r>
              <w:rPr>
                <w:rFonts w:hint="eastAsia" w:ascii="Times New Roman" w:hAnsi="Times New Roman" w:cs="Times New Roman" w:eastAsiaTheme="minorEastAsia"/>
                <w:color w:val="auto"/>
                <w:spacing w:val="-20"/>
                <w:szCs w:val="21"/>
              </w:rPr>
              <w:t>7</w:t>
            </w:r>
            <w:r>
              <w:rPr>
                <w:rFonts w:ascii="Times New Roman" w:hAnsi="Times New Roman" w:cs="Times New Roman" w:eastAsiaTheme="minorEastAsia"/>
                <w:color w:val="auto"/>
                <w:spacing w:val="-20"/>
                <w:szCs w:val="21"/>
              </w:rPr>
              <w:t>+</w:t>
            </w:r>
            <w:r>
              <w:rPr>
                <w:rFonts w:hint="eastAsia" w:ascii="Times New Roman" w:hAnsi="Times New Roman" w:cs="Times New Roman" w:eastAsiaTheme="minorEastAsia"/>
                <w:color w:val="auto"/>
                <w:spacing w:val="-20"/>
                <w:szCs w:val="21"/>
              </w:rPr>
              <w:t>50</w:t>
            </w:r>
            <w:r>
              <w:rPr>
                <w:rFonts w:ascii="Times New Roman" w:hAnsi="Times New Roman" w:cs="Times New Roman" w:eastAsiaTheme="minorEastAsia"/>
                <w:color w:val="auto"/>
                <w:spacing w:val="-20"/>
                <w:szCs w:val="21"/>
              </w:rPr>
              <w:t>0</w:t>
            </w:r>
          </w:p>
        </w:tc>
        <w:tc>
          <w:tcPr>
            <w:tcW w:w="851" w:type="dxa"/>
            <w:vAlign w:val="center"/>
          </w:tcPr>
          <w:p w14:paraId="1D907B0E">
            <w:pPr>
              <w:jc w:val="center"/>
              <w:rPr>
                <w:rFonts w:ascii="Times New Roman" w:hAnsi="Times New Roman" w:cs="Times New Roman" w:eastAsiaTheme="minorEastAsia"/>
                <w:color w:val="auto"/>
                <w:spacing w:val="-20"/>
                <w:szCs w:val="21"/>
              </w:rPr>
            </w:pPr>
            <w:r>
              <w:rPr>
                <w:rFonts w:hint="eastAsia" w:ascii="Times New Roman" w:cs="Times New Roman" w:hAnsiTheme="minorEastAsia" w:eastAsiaTheme="minorEastAsia"/>
                <w:color w:val="auto"/>
                <w:spacing w:val="-20"/>
                <w:szCs w:val="21"/>
              </w:rPr>
              <w:t>格达良乡</w:t>
            </w:r>
            <w:r>
              <w:rPr>
                <w:rFonts w:ascii="Times New Roman" w:cs="Times New Roman" w:hAnsiTheme="minorEastAsia" w:eastAsiaTheme="minorEastAsia"/>
                <w:color w:val="auto"/>
                <w:spacing w:val="-20"/>
                <w:szCs w:val="21"/>
              </w:rPr>
              <w:t>卫生院</w:t>
            </w:r>
          </w:p>
        </w:tc>
        <w:tc>
          <w:tcPr>
            <w:tcW w:w="850" w:type="dxa"/>
            <w:vMerge w:val="continue"/>
            <w:vAlign w:val="center"/>
          </w:tcPr>
          <w:p w14:paraId="4393CA77">
            <w:pPr>
              <w:jc w:val="center"/>
              <w:rPr>
                <w:rFonts w:ascii="Times New Roman" w:hAnsi="Times New Roman" w:cs="Times New Roman" w:eastAsiaTheme="minorEastAsia"/>
                <w:color w:val="auto"/>
                <w:spacing w:val="-20"/>
                <w:szCs w:val="21"/>
              </w:rPr>
            </w:pPr>
          </w:p>
        </w:tc>
        <w:tc>
          <w:tcPr>
            <w:tcW w:w="661" w:type="dxa"/>
            <w:vAlign w:val="center"/>
          </w:tcPr>
          <w:p w14:paraId="25A47171">
            <w:pPr>
              <w:jc w:val="center"/>
              <w:rPr>
                <w:rFonts w:ascii="Times New Roman" w:cs="Times New Roman" w:hAnsiTheme="minorEastAsia" w:eastAsiaTheme="minorEastAsia"/>
                <w:color w:val="auto"/>
                <w:spacing w:val="-20"/>
                <w:szCs w:val="21"/>
              </w:rPr>
            </w:pPr>
            <w:r>
              <w:rPr>
                <w:rFonts w:ascii="Times New Roman" w:cs="Times New Roman" w:hAnsiTheme="minorEastAsia" w:eastAsiaTheme="minorEastAsia"/>
                <w:color w:val="auto"/>
                <w:spacing w:val="-20"/>
                <w:szCs w:val="21"/>
              </w:rPr>
              <w:t>路左</w:t>
            </w:r>
          </w:p>
        </w:tc>
        <w:tc>
          <w:tcPr>
            <w:tcW w:w="662" w:type="dxa"/>
            <w:vAlign w:val="center"/>
          </w:tcPr>
          <w:p w14:paraId="5C34E198">
            <w:pPr>
              <w:jc w:val="center"/>
              <w:rPr>
                <w:rFonts w:ascii="Times New Roman" w:cs="Times New Roman" w:hAnsiTheme="minorEastAsia" w:eastAsiaTheme="minorEastAsia"/>
                <w:color w:val="auto"/>
                <w:spacing w:val="-20"/>
                <w:szCs w:val="21"/>
              </w:rPr>
            </w:pPr>
            <w:r>
              <w:rPr>
                <w:rFonts w:hint="eastAsia" w:ascii="Times New Roman" w:cs="Times New Roman" w:hAnsiTheme="minorEastAsia" w:eastAsiaTheme="minorEastAsia"/>
                <w:color w:val="auto"/>
                <w:spacing w:val="-20"/>
                <w:szCs w:val="21"/>
              </w:rPr>
              <w:t>73</w:t>
            </w:r>
          </w:p>
        </w:tc>
        <w:tc>
          <w:tcPr>
            <w:tcW w:w="663" w:type="dxa"/>
            <w:vAlign w:val="center"/>
          </w:tcPr>
          <w:p w14:paraId="0FD029FA">
            <w:pPr>
              <w:jc w:val="center"/>
              <w:rPr>
                <w:rFonts w:ascii="Times New Roman" w:cs="Times New Roman" w:hAnsiTheme="minorEastAsia" w:eastAsiaTheme="minorEastAsia"/>
                <w:color w:val="auto"/>
                <w:spacing w:val="-20"/>
                <w:szCs w:val="21"/>
              </w:rPr>
            </w:pPr>
            <w:r>
              <w:rPr>
                <w:rFonts w:hint="eastAsia" w:ascii="Times New Roman" w:cs="Times New Roman" w:hAnsiTheme="minorEastAsia" w:eastAsiaTheme="minorEastAsia"/>
                <w:color w:val="auto"/>
                <w:spacing w:val="-20"/>
                <w:szCs w:val="21"/>
              </w:rPr>
              <w:t>60</w:t>
            </w:r>
          </w:p>
        </w:tc>
        <w:tc>
          <w:tcPr>
            <w:tcW w:w="566" w:type="dxa"/>
            <w:vAlign w:val="center"/>
          </w:tcPr>
          <w:p w14:paraId="093AC8C4">
            <w:pPr>
              <w:jc w:val="center"/>
              <w:rPr>
                <w:rFonts w:ascii="Times New Roman" w:hAnsi="Times New Roman" w:cs="Times New Roman" w:eastAsiaTheme="minorEastAsia"/>
                <w:color w:val="auto"/>
                <w:spacing w:val="-20"/>
                <w:szCs w:val="21"/>
              </w:rPr>
            </w:pPr>
            <w:r>
              <w:rPr>
                <w:rFonts w:ascii="Times New Roman" w:cs="Times New Roman" w:hAnsiTheme="minorEastAsia" w:eastAsiaTheme="minorEastAsia"/>
                <w:color w:val="auto"/>
                <w:spacing w:val="-20"/>
                <w:szCs w:val="21"/>
              </w:rPr>
              <w:t>路左</w:t>
            </w:r>
          </w:p>
        </w:tc>
        <w:tc>
          <w:tcPr>
            <w:tcW w:w="708" w:type="dxa"/>
            <w:vAlign w:val="center"/>
          </w:tcPr>
          <w:p w14:paraId="248168F9">
            <w:pPr>
              <w:jc w:val="center"/>
              <w:rPr>
                <w:rFonts w:ascii="Times New Roman" w:hAnsi="Times New Roman" w:cs="Times New Roman" w:eastAsiaTheme="minorEastAsia"/>
                <w:color w:val="auto"/>
                <w:spacing w:val="-20"/>
                <w:szCs w:val="21"/>
              </w:rPr>
            </w:pPr>
            <w:r>
              <w:rPr>
                <w:rFonts w:hint="eastAsia" w:ascii="Times New Roman" w:hAnsi="Times New Roman" w:cs="Times New Roman" w:eastAsiaTheme="minorEastAsia"/>
                <w:color w:val="auto"/>
                <w:spacing w:val="-20"/>
                <w:szCs w:val="21"/>
              </w:rPr>
              <w:t>67</w:t>
            </w:r>
          </w:p>
        </w:tc>
        <w:tc>
          <w:tcPr>
            <w:tcW w:w="709" w:type="dxa"/>
            <w:vAlign w:val="center"/>
          </w:tcPr>
          <w:p w14:paraId="434F1B5D">
            <w:pPr>
              <w:widowControl/>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46.5</w:t>
            </w:r>
          </w:p>
        </w:tc>
        <w:tc>
          <w:tcPr>
            <w:tcW w:w="992" w:type="dxa"/>
            <w:vAlign w:val="center"/>
          </w:tcPr>
          <w:p w14:paraId="3E05DB2D">
            <w:pPr>
              <w:widowControl/>
              <w:jc w:val="center"/>
              <w:rPr>
                <w:rFonts w:ascii="Times New Roman" w:hAnsi="Times New Roman" w:cs="Times New Roman" w:eastAsiaTheme="minorEastAsia"/>
                <w:color w:val="auto"/>
                <w:spacing w:val="-20"/>
                <w:kern w:val="0"/>
                <w:szCs w:val="21"/>
              </w:rPr>
            </w:pPr>
            <w:r>
              <w:rPr>
                <w:rFonts w:ascii="Times New Roman" w:hAnsi="Times New Roman" w:cs="Times New Roman" w:eastAsiaTheme="minorEastAsia"/>
                <w:color w:val="auto"/>
                <w:spacing w:val="-20"/>
                <w:kern w:val="0"/>
                <w:szCs w:val="21"/>
              </w:rPr>
              <w:t>0</w:t>
            </w:r>
          </w:p>
        </w:tc>
        <w:tc>
          <w:tcPr>
            <w:tcW w:w="993" w:type="dxa"/>
            <w:vAlign w:val="center"/>
          </w:tcPr>
          <w:p w14:paraId="3B2A7640">
            <w:pPr>
              <w:widowControl/>
              <w:jc w:val="center"/>
              <w:rPr>
                <w:rFonts w:ascii="Times New Roman" w:hAnsi="Times New Roman" w:cs="Times New Roman" w:eastAsiaTheme="minorEastAsia"/>
                <w:color w:val="auto"/>
                <w:spacing w:val="-20"/>
                <w:kern w:val="0"/>
                <w:szCs w:val="21"/>
              </w:rPr>
            </w:pPr>
            <w:r>
              <w:rPr>
                <w:rFonts w:ascii="Times New Roman" w:hAnsi="Times New Roman" w:cs="Times New Roman" w:eastAsiaTheme="minorEastAsia"/>
                <w:color w:val="auto"/>
                <w:spacing w:val="-20"/>
                <w:kern w:val="0"/>
                <w:szCs w:val="21"/>
              </w:rPr>
              <w:t>3.0</w:t>
            </w:r>
          </w:p>
        </w:tc>
        <w:tc>
          <w:tcPr>
            <w:tcW w:w="567" w:type="dxa"/>
            <w:vAlign w:val="center"/>
          </w:tcPr>
          <w:p w14:paraId="5A2673F9">
            <w:pPr>
              <w:widowControl/>
              <w:jc w:val="center"/>
              <w:rPr>
                <w:rFonts w:ascii="Times New Roman" w:hAnsi="Times New Roman" w:cs="Times New Roman" w:eastAsiaTheme="minorEastAsia"/>
                <w:color w:val="auto"/>
                <w:spacing w:val="-20"/>
                <w:kern w:val="0"/>
                <w:szCs w:val="21"/>
              </w:rPr>
            </w:pPr>
            <w:r>
              <w:rPr>
                <w:rFonts w:ascii="Times New Roman" w:cs="Times New Roman" w:hAnsiTheme="minorEastAsia" w:eastAsiaTheme="minorEastAsia"/>
                <w:color w:val="auto"/>
                <w:spacing w:val="-20"/>
                <w:kern w:val="0"/>
                <w:szCs w:val="21"/>
              </w:rPr>
              <w:t>路基</w:t>
            </w:r>
          </w:p>
        </w:tc>
        <w:tc>
          <w:tcPr>
            <w:tcW w:w="992" w:type="dxa"/>
            <w:vAlign w:val="center"/>
          </w:tcPr>
          <w:p w14:paraId="1C73CD00">
            <w:pPr>
              <w:widowControl/>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55.5</w:t>
            </w:r>
          </w:p>
        </w:tc>
        <w:tc>
          <w:tcPr>
            <w:tcW w:w="709" w:type="dxa"/>
            <w:vAlign w:val="center"/>
          </w:tcPr>
          <w:p w14:paraId="147C4BB9">
            <w:pPr>
              <w:widowControl/>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w:t>
            </w:r>
          </w:p>
        </w:tc>
        <w:tc>
          <w:tcPr>
            <w:tcW w:w="709" w:type="dxa"/>
            <w:vAlign w:val="center"/>
          </w:tcPr>
          <w:p w14:paraId="37A617E4">
            <w:pPr>
              <w:widowControl/>
              <w:jc w:val="center"/>
              <w:rPr>
                <w:rFonts w:ascii="Times New Roman" w:hAnsi="Times New Roman" w:cs="Times New Roman" w:eastAsiaTheme="minorEastAsia"/>
                <w:color w:val="auto"/>
                <w:spacing w:val="-20"/>
                <w:kern w:val="0"/>
                <w:szCs w:val="21"/>
              </w:rPr>
            </w:pPr>
            <w:r>
              <w:rPr>
                <w:rFonts w:hint="eastAsia" w:ascii="Times New Roman" w:hAnsi="Times New Roman" w:eastAsia="宋体" w:cs="Times New Roman"/>
                <w:color w:val="auto"/>
                <w:spacing w:val="-20"/>
                <w:kern w:val="0"/>
                <w:szCs w:val="21"/>
              </w:rPr>
              <w:t>1栋3层和2栋1层楼</w:t>
            </w:r>
          </w:p>
        </w:tc>
        <w:tc>
          <w:tcPr>
            <w:tcW w:w="4413" w:type="dxa"/>
            <w:vAlign w:val="center"/>
          </w:tcPr>
          <w:p w14:paraId="77FD4CAB">
            <w:pPr>
              <w:widowControl/>
              <w:rPr>
                <w:rFonts w:ascii="Times New Roman" w:hAnsi="Times New Roman" w:cs="Times New Roman" w:eastAsiaTheme="minorEastAsia"/>
                <w:color w:val="auto"/>
                <w:spacing w:val="0"/>
                <w:kern w:val="0"/>
                <w:sz w:val="21"/>
                <w:szCs w:val="21"/>
              </w:rPr>
            </w:pPr>
            <w:r>
              <w:rPr>
                <w:rFonts w:ascii="Times New Roman" w:cs="Times New Roman" w:hAnsiTheme="minorEastAsia" w:eastAsiaTheme="minorEastAsia"/>
                <w:color w:val="auto"/>
                <w:spacing w:val="0"/>
                <w:kern w:val="0"/>
                <w:sz w:val="21"/>
                <w:szCs w:val="21"/>
              </w:rPr>
              <w:t>路线以填方路基形式经过</w:t>
            </w:r>
            <w:r>
              <w:rPr>
                <w:rFonts w:hint="eastAsia" w:ascii="Times New Roman" w:cs="Times New Roman" w:hAnsiTheme="minorEastAsia" w:eastAsiaTheme="minorEastAsia"/>
                <w:color w:val="auto"/>
                <w:spacing w:val="0"/>
                <w:kern w:val="0"/>
                <w:sz w:val="21"/>
                <w:szCs w:val="21"/>
              </w:rPr>
              <w:t>卫生院</w:t>
            </w:r>
            <w:r>
              <w:rPr>
                <w:rFonts w:ascii="Times New Roman" w:cs="Times New Roman" w:hAnsiTheme="minorEastAsia" w:eastAsiaTheme="minorEastAsia"/>
                <w:color w:val="auto"/>
                <w:spacing w:val="0"/>
                <w:kern w:val="0"/>
                <w:sz w:val="21"/>
                <w:szCs w:val="21"/>
              </w:rPr>
              <w:t>。</w:t>
            </w:r>
            <w:r>
              <w:rPr>
                <w:rFonts w:ascii="Times New Roman" w:hAnsi="Times New Roman" w:eastAsia="宋体" w:cs="Times New Roman"/>
                <w:color w:val="auto"/>
                <w:spacing w:val="0"/>
                <w:kern w:val="0"/>
                <w:sz w:val="21"/>
                <w:szCs w:val="21"/>
              </w:rPr>
              <w:t>卫生院共有医生</w:t>
            </w:r>
            <w:r>
              <w:rPr>
                <w:rFonts w:hint="eastAsia" w:ascii="Times New Roman" w:hAnsi="Times New Roman" w:eastAsia="宋体" w:cs="Times New Roman"/>
                <w:color w:val="auto"/>
                <w:spacing w:val="0"/>
                <w:kern w:val="0"/>
                <w:sz w:val="21"/>
                <w:szCs w:val="21"/>
              </w:rPr>
              <w:t>15</w:t>
            </w:r>
            <w:r>
              <w:rPr>
                <w:rFonts w:ascii="Times New Roman" w:hAnsi="Times New Roman" w:eastAsia="宋体" w:cs="Times New Roman"/>
                <w:color w:val="auto"/>
                <w:spacing w:val="0"/>
                <w:kern w:val="0"/>
                <w:sz w:val="21"/>
                <w:szCs w:val="21"/>
              </w:rPr>
              <w:t>人，现床位</w:t>
            </w:r>
            <w:r>
              <w:rPr>
                <w:rFonts w:hint="eastAsia" w:ascii="Times New Roman" w:hAnsi="Times New Roman" w:eastAsia="宋体" w:cs="Times New Roman"/>
                <w:color w:val="auto"/>
                <w:spacing w:val="0"/>
                <w:kern w:val="0"/>
                <w:sz w:val="21"/>
                <w:szCs w:val="21"/>
              </w:rPr>
              <w:t>24</w:t>
            </w:r>
            <w:r>
              <w:rPr>
                <w:rFonts w:ascii="Times New Roman" w:hAnsi="Times New Roman" w:eastAsia="宋体" w:cs="Times New Roman"/>
                <w:color w:val="auto"/>
                <w:spacing w:val="0"/>
                <w:kern w:val="0"/>
                <w:sz w:val="21"/>
                <w:szCs w:val="21"/>
              </w:rPr>
              <w:t>张</w:t>
            </w:r>
            <w:r>
              <w:rPr>
                <w:rFonts w:hint="eastAsia" w:ascii="Times New Roman" w:hAnsi="Times New Roman" w:eastAsia="宋体" w:cs="Times New Roman"/>
                <w:color w:val="auto"/>
                <w:spacing w:val="0"/>
                <w:kern w:val="0"/>
                <w:sz w:val="21"/>
                <w:szCs w:val="21"/>
              </w:rPr>
              <w:t>。</w:t>
            </w:r>
            <w:r>
              <w:rPr>
                <w:rFonts w:ascii="Times New Roman" w:hAnsi="Times New Roman" w:eastAsia="宋体" w:cs="Times New Roman"/>
                <w:color w:val="auto"/>
                <w:spacing w:val="0"/>
                <w:kern w:val="0"/>
                <w:sz w:val="21"/>
                <w:szCs w:val="21"/>
              </w:rPr>
              <w:t>1栋</w:t>
            </w:r>
            <w:r>
              <w:rPr>
                <w:rFonts w:hint="eastAsia" w:ascii="Times New Roman" w:hAnsi="Times New Roman" w:eastAsia="宋体" w:cs="Times New Roman"/>
                <w:color w:val="auto"/>
                <w:spacing w:val="0"/>
                <w:kern w:val="0"/>
                <w:sz w:val="21"/>
                <w:szCs w:val="21"/>
              </w:rPr>
              <w:t>1</w:t>
            </w:r>
            <w:r>
              <w:rPr>
                <w:rFonts w:ascii="Times New Roman" w:hAnsi="Times New Roman" w:eastAsia="宋体" w:cs="Times New Roman"/>
                <w:color w:val="auto"/>
                <w:spacing w:val="0"/>
                <w:kern w:val="0"/>
                <w:sz w:val="21"/>
                <w:szCs w:val="21"/>
              </w:rPr>
              <w:t>层门急诊楼，侧向</w:t>
            </w:r>
            <w:r>
              <w:rPr>
                <w:rFonts w:ascii="Times New Roman" w:cs="Times New Roman" w:hAnsiTheme="minorEastAsia" w:eastAsiaTheme="minorEastAsia"/>
                <w:color w:val="auto"/>
                <w:spacing w:val="0"/>
                <w:kern w:val="0"/>
                <w:sz w:val="21"/>
                <w:szCs w:val="21"/>
              </w:rPr>
              <w:t>拟建公路，距路中约</w:t>
            </w:r>
            <w:r>
              <w:rPr>
                <w:rFonts w:hint="eastAsia" w:ascii="Times New Roman" w:cs="Times New Roman" w:hAnsiTheme="minorEastAsia" w:eastAsiaTheme="minorEastAsia"/>
                <w:color w:val="auto"/>
                <w:spacing w:val="0"/>
                <w:kern w:val="0"/>
                <w:sz w:val="21"/>
                <w:szCs w:val="21"/>
              </w:rPr>
              <w:t>67m；</w:t>
            </w:r>
            <w:r>
              <w:rPr>
                <w:rFonts w:hint="eastAsia" w:ascii="Times New Roman" w:hAnsi="Times New Roman" w:eastAsia="宋体" w:cs="Times New Roman"/>
                <w:color w:val="auto"/>
                <w:spacing w:val="0"/>
                <w:kern w:val="0"/>
                <w:sz w:val="21"/>
                <w:szCs w:val="21"/>
              </w:rPr>
              <w:t>1栋3层住院楼，</w:t>
            </w:r>
            <w:r>
              <w:rPr>
                <w:rFonts w:ascii="Times New Roman" w:hAnsi="Times New Roman" w:eastAsia="宋体" w:cs="Times New Roman"/>
                <w:color w:val="auto"/>
                <w:spacing w:val="0"/>
                <w:kern w:val="0"/>
                <w:sz w:val="21"/>
                <w:szCs w:val="21"/>
              </w:rPr>
              <w:t>侧向</w:t>
            </w:r>
            <w:r>
              <w:rPr>
                <w:rFonts w:ascii="Times New Roman" w:cs="Times New Roman" w:hAnsiTheme="minorEastAsia" w:eastAsiaTheme="minorEastAsia"/>
                <w:color w:val="auto"/>
                <w:spacing w:val="0"/>
                <w:kern w:val="0"/>
                <w:sz w:val="21"/>
                <w:szCs w:val="21"/>
              </w:rPr>
              <w:t>拟建公路，距路中约</w:t>
            </w:r>
            <w:r>
              <w:rPr>
                <w:rFonts w:hint="eastAsia" w:ascii="Times New Roman" w:cs="Times New Roman" w:hAnsiTheme="minorEastAsia" w:eastAsiaTheme="minorEastAsia"/>
                <w:color w:val="auto"/>
                <w:spacing w:val="0"/>
                <w:kern w:val="0"/>
                <w:sz w:val="21"/>
                <w:szCs w:val="21"/>
              </w:rPr>
              <w:t>95m；</w:t>
            </w:r>
            <w:r>
              <w:rPr>
                <w:rFonts w:ascii="Times New Roman" w:hAnsi="Times New Roman" w:eastAsia="宋体" w:cs="Times New Roman"/>
                <w:color w:val="auto"/>
                <w:spacing w:val="0"/>
                <w:kern w:val="0"/>
                <w:sz w:val="21"/>
                <w:szCs w:val="21"/>
              </w:rPr>
              <w:t>1栋</w:t>
            </w:r>
            <w:r>
              <w:rPr>
                <w:rFonts w:hint="eastAsia" w:ascii="Times New Roman" w:hAnsi="Times New Roman" w:eastAsia="宋体" w:cs="Times New Roman"/>
                <w:color w:val="auto"/>
                <w:spacing w:val="0"/>
                <w:kern w:val="0"/>
                <w:sz w:val="21"/>
                <w:szCs w:val="21"/>
              </w:rPr>
              <w:t>1</w:t>
            </w:r>
            <w:r>
              <w:rPr>
                <w:rFonts w:ascii="Times New Roman" w:hAnsi="Times New Roman" w:eastAsia="宋体" w:cs="Times New Roman"/>
                <w:color w:val="auto"/>
                <w:spacing w:val="0"/>
                <w:kern w:val="0"/>
                <w:sz w:val="21"/>
                <w:szCs w:val="21"/>
              </w:rPr>
              <w:t>层</w:t>
            </w:r>
            <w:r>
              <w:rPr>
                <w:rFonts w:hint="eastAsia" w:ascii="Times New Roman" w:hAnsi="Times New Roman" w:eastAsia="宋体" w:cs="Times New Roman"/>
                <w:color w:val="auto"/>
                <w:spacing w:val="0"/>
                <w:kern w:val="0"/>
                <w:sz w:val="21"/>
                <w:szCs w:val="21"/>
              </w:rPr>
              <w:t>体检楼</w:t>
            </w:r>
            <w:r>
              <w:rPr>
                <w:rFonts w:ascii="Times New Roman" w:hAnsi="Times New Roman" w:eastAsia="宋体" w:cs="Times New Roman"/>
                <w:color w:val="auto"/>
                <w:spacing w:val="0"/>
                <w:kern w:val="0"/>
                <w:sz w:val="21"/>
                <w:szCs w:val="21"/>
              </w:rPr>
              <w:t>，</w:t>
            </w:r>
            <w:r>
              <w:rPr>
                <w:rFonts w:hint="eastAsia" w:ascii="Times New Roman" w:hAnsi="Times New Roman" w:eastAsia="宋体" w:cs="Times New Roman"/>
                <w:color w:val="auto"/>
                <w:spacing w:val="0"/>
                <w:kern w:val="0"/>
                <w:sz w:val="21"/>
                <w:szCs w:val="21"/>
              </w:rPr>
              <w:t>正</w:t>
            </w:r>
            <w:r>
              <w:rPr>
                <w:rFonts w:ascii="Times New Roman" w:hAnsi="Times New Roman" w:eastAsia="宋体" w:cs="Times New Roman"/>
                <w:color w:val="auto"/>
                <w:spacing w:val="0"/>
                <w:kern w:val="0"/>
                <w:sz w:val="21"/>
                <w:szCs w:val="21"/>
              </w:rPr>
              <w:t>向</w:t>
            </w:r>
            <w:r>
              <w:rPr>
                <w:rFonts w:ascii="Times New Roman" w:cs="Times New Roman" w:hAnsiTheme="minorEastAsia" w:eastAsiaTheme="minorEastAsia"/>
                <w:color w:val="auto"/>
                <w:spacing w:val="0"/>
                <w:kern w:val="0"/>
                <w:sz w:val="21"/>
                <w:szCs w:val="21"/>
              </w:rPr>
              <w:t>拟建公路，距路中约</w:t>
            </w:r>
            <w:r>
              <w:rPr>
                <w:rFonts w:hint="eastAsia" w:ascii="Times New Roman" w:cs="Times New Roman" w:hAnsiTheme="minorEastAsia" w:eastAsiaTheme="minorEastAsia"/>
                <w:color w:val="auto"/>
                <w:spacing w:val="0"/>
                <w:kern w:val="0"/>
                <w:sz w:val="21"/>
                <w:szCs w:val="21"/>
              </w:rPr>
              <w:t>160m</w:t>
            </w:r>
            <w:r>
              <w:rPr>
                <w:rFonts w:ascii="Times New Roman" w:hAnsi="Times New Roman" w:eastAsia="宋体" w:cs="Times New Roman"/>
                <w:color w:val="auto"/>
                <w:spacing w:val="0"/>
                <w:kern w:val="0"/>
                <w:sz w:val="21"/>
                <w:szCs w:val="21"/>
              </w:rPr>
              <w:t>。该路段利用现有</w:t>
            </w:r>
            <w:r>
              <w:rPr>
                <w:rFonts w:hint="eastAsia" w:ascii="Times New Roman" w:hAnsi="Times New Roman" w:eastAsia="宋体" w:cs="Times New Roman"/>
                <w:color w:val="auto"/>
                <w:spacing w:val="0"/>
                <w:kern w:val="0"/>
                <w:sz w:val="21"/>
                <w:szCs w:val="21"/>
              </w:rPr>
              <w:t>老路左侧加宽</w:t>
            </w:r>
            <w:r>
              <w:rPr>
                <w:rFonts w:ascii="Times New Roman" w:hAnsi="Times New Roman" w:eastAsia="宋体" w:cs="Times New Roman"/>
                <w:color w:val="auto"/>
                <w:spacing w:val="0"/>
                <w:kern w:val="0"/>
                <w:sz w:val="21"/>
                <w:szCs w:val="21"/>
              </w:rPr>
              <w:t>，</w:t>
            </w:r>
            <w:r>
              <w:rPr>
                <w:rFonts w:ascii="Times New Roman" w:cs="Times New Roman" w:hAnsiTheme="minorEastAsia" w:eastAsiaTheme="minorEastAsia"/>
                <w:color w:val="auto"/>
                <w:spacing w:val="0"/>
                <w:kern w:val="0"/>
                <w:sz w:val="21"/>
                <w:szCs w:val="21"/>
              </w:rPr>
              <w:t>主要噪声源为现有</w:t>
            </w:r>
            <w:r>
              <w:rPr>
                <w:rFonts w:hint="eastAsia" w:ascii="Times New Roman" w:hAnsi="Times New Roman" w:cs="Times New Roman" w:eastAsiaTheme="minorEastAsia"/>
                <w:color w:val="auto"/>
                <w:spacing w:val="0"/>
                <w:kern w:val="0"/>
                <w:sz w:val="21"/>
                <w:szCs w:val="21"/>
              </w:rPr>
              <w:t>G219</w:t>
            </w:r>
            <w:r>
              <w:rPr>
                <w:rFonts w:ascii="Times New Roman" w:cs="Times New Roman" w:hAnsiTheme="minorEastAsia" w:eastAsiaTheme="minorEastAsia"/>
                <w:color w:val="auto"/>
                <w:spacing w:val="0"/>
                <w:kern w:val="0"/>
                <w:sz w:val="21"/>
                <w:szCs w:val="21"/>
              </w:rPr>
              <w:t>交通噪声和社会生活噪声。</w:t>
            </w:r>
          </w:p>
        </w:tc>
        <w:tc>
          <w:tcPr>
            <w:tcW w:w="2898" w:type="dxa"/>
            <w:vAlign w:val="center"/>
          </w:tcPr>
          <w:p w14:paraId="7CD07F96">
            <w:pPr>
              <w:widowControl/>
              <w:jc w:val="center"/>
              <w:rPr>
                <w:rFonts w:ascii="Times New Roman" w:hAnsi="Times New Roman" w:cs="Times New Roman" w:eastAsiaTheme="minorEastAsia"/>
                <w:color w:val="auto"/>
                <w:spacing w:val="-20"/>
                <w:kern w:val="0"/>
                <w:szCs w:val="21"/>
              </w:rPr>
            </w:pPr>
            <w:r>
              <w:rPr>
                <w:rFonts w:ascii="Times New Roman" w:hAnsi="Times New Roman" w:cs="Times New Roman" w:eastAsiaTheme="minorEastAsia"/>
                <w:color w:val="auto"/>
                <w:spacing w:val="-20"/>
                <w:kern w:val="0"/>
                <w:szCs w:val="21"/>
              </w:rPr>
              <w:drawing>
                <wp:inline distT="0" distB="0" distL="0" distR="0">
                  <wp:extent cx="1729105" cy="1295400"/>
                  <wp:effectExtent l="0" t="0" r="4445" b="0"/>
                  <wp:docPr id="1564142079" name="图片 1" descr="E:\咨询项目\环评\新疆-G219线八盘水磨至伽师公路\外业踏勘记录及照片\DSC09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142079" name="图片 1" descr="E:\咨询项目\环评\新疆-G219线八盘水磨至伽师公路\外业踏勘记录及照片\DSC09085.JPG"/>
                          <pic:cNvPicPr>
                            <a:picLocks noChangeAspect="1" noChangeArrowheads="1"/>
                          </pic:cNvPicPr>
                        </pic:nvPicPr>
                        <pic:blipFill>
                          <a:blip r:embed="rId157" cstate="print"/>
                          <a:srcRect/>
                          <a:stretch>
                            <a:fillRect/>
                          </a:stretch>
                        </pic:blipFill>
                        <pic:spPr>
                          <a:xfrm>
                            <a:off x="0" y="0"/>
                            <a:ext cx="1729728" cy="1296000"/>
                          </a:xfrm>
                          <a:prstGeom prst="rect">
                            <a:avLst/>
                          </a:prstGeom>
                          <a:noFill/>
                          <a:ln w="9525">
                            <a:noFill/>
                            <a:miter lim="800000"/>
                            <a:headEnd/>
                            <a:tailEnd/>
                          </a:ln>
                        </pic:spPr>
                      </pic:pic>
                    </a:graphicData>
                  </a:graphic>
                </wp:inline>
              </w:drawing>
            </w:r>
          </w:p>
        </w:tc>
      </w:tr>
      <w:tr w14:paraId="0F87F4E0">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1099" w:hRule="atLeast"/>
          <w:tblHeader/>
          <w:jc w:val="center"/>
        </w:trPr>
        <w:tc>
          <w:tcPr>
            <w:tcW w:w="567" w:type="dxa"/>
            <w:noWrap/>
            <w:vAlign w:val="center"/>
          </w:tcPr>
          <w:p w14:paraId="6A9D120A">
            <w:pPr>
              <w:widowControl/>
              <w:jc w:val="center"/>
              <w:rPr>
                <w:rFonts w:ascii="Times New Roman" w:hAnsi="Times New Roman" w:cs="Times New Roman" w:eastAsiaTheme="minorEastAsia"/>
                <w:color w:val="auto"/>
                <w:spacing w:val="-20"/>
                <w:kern w:val="0"/>
                <w:szCs w:val="21"/>
              </w:rPr>
            </w:pPr>
            <w:r>
              <w:rPr>
                <w:rFonts w:ascii="Times New Roman" w:hAnsi="Times New Roman" w:cs="Times New Roman" w:eastAsiaTheme="minorEastAsia"/>
                <w:color w:val="auto"/>
                <w:spacing w:val="-20"/>
                <w:kern w:val="0"/>
                <w:szCs w:val="21"/>
              </w:rPr>
              <w:t>3</w:t>
            </w:r>
          </w:p>
        </w:tc>
        <w:tc>
          <w:tcPr>
            <w:tcW w:w="694" w:type="dxa"/>
            <w:vMerge w:val="continue"/>
            <w:vAlign w:val="center"/>
          </w:tcPr>
          <w:p w14:paraId="11E48C47">
            <w:pPr>
              <w:widowControl/>
              <w:jc w:val="center"/>
              <w:rPr>
                <w:rFonts w:ascii="Times New Roman" w:hAnsi="Times New Roman" w:cs="Times New Roman" w:eastAsiaTheme="minorEastAsia"/>
                <w:color w:val="auto"/>
                <w:spacing w:val="-20"/>
                <w:kern w:val="0"/>
                <w:szCs w:val="21"/>
              </w:rPr>
            </w:pPr>
          </w:p>
        </w:tc>
        <w:tc>
          <w:tcPr>
            <w:tcW w:w="1134" w:type="dxa"/>
            <w:vAlign w:val="center"/>
          </w:tcPr>
          <w:p w14:paraId="3CFB7D0A">
            <w:pPr>
              <w:widowControl/>
              <w:jc w:val="center"/>
              <w:rPr>
                <w:rFonts w:ascii="Times New Roman" w:hAnsi="Times New Roman" w:cs="Times New Roman" w:eastAsiaTheme="minorEastAsia"/>
                <w:color w:val="auto"/>
                <w:spacing w:val="-20"/>
                <w:kern w:val="0"/>
                <w:szCs w:val="21"/>
              </w:rPr>
            </w:pPr>
            <w:r>
              <w:rPr>
                <w:rFonts w:ascii="Times New Roman" w:hAnsi="Times New Roman" w:cs="Times New Roman" w:eastAsiaTheme="minorEastAsia"/>
                <w:color w:val="auto"/>
                <w:spacing w:val="-20"/>
                <w:szCs w:val="21"/>
              </w:rPr>
              <w:t>K</w:t>
            </w:r>
            <w:r>
              <w:rPr>
                <w:rFonts w:hint="eastAsia" w:ascii="Times New Roman" w:hAnsi="Times New Roman" w:cs="Times New Roman" w:eastAsiaTheme="minorEastAsia"/>
                <w:color w:val="auto"/>
                <w:spacing w:val="-20"/>
                <w:szCs w:val="21"/>
              </w:rPr>
              <w:t>8</w:t>
            </w:r>
            <w:r>
              <w:rPr>
                <w:rFonts w:ascii="Times New Roman" w:hAnsi="Times New Roman" w:cs="Times New Roman" w:eastAsiaTheme="minorEastAsia"/>
                <w:color w:val="auto"/>
                <w:spacing w:val="-20"/>
                <w:szCs w:val="21"/>
              </w:rPr>
              <w:t>+</w:t>
            </w:r>
            <w:r>
              <w:rPr>
                <w:rFonts w:hint="eastAsia" w:ascii="Times New Roman" w:hAnsi="Times New Roman" w:cs="Times New Roman" w:eastAsiaTheme="minorEastAsia"/>
                <w:color w:val="auto"/>
                <w:spacing w:val="-20"/>
                <w:szCs w:val="21"/>
              </w:rPr>
              <w:t>38</w:t>
            </w:r>
            <w:r>
              <w:rPr>
                <w:rFonts w:ascii="Times New Roman" w:hAnsi="Times New Roman" w:cs="Times New Roman" w:eastAsiaTheme="minorEastAsia"/>
                <w:color w:val="auto"/>
                <w:spacing w:val="-20"/>
                <w:szCs w:val="21"/>
              </w:rPr>
              <w:t>0</w:t>
            </w:r>
          </w:p>
        </w:tc>
        <w:tc>
          <w:tcPr>
            <w:tcW w:w="851" w:type="dxa"/>
            <w:vAlign w:val="center"/>
          </w:tcPr>
          <w:p w14:paraId="3B575956">
            <w:pPr>
              <w:widowControl/>
              <w:jc w:val="center"/>
              <w:rPr>
                <w:rFonts w:ascii="Times New Roman" w:hAnsi="Times New Roman" w:cs="Times New Roman" w:eastAsiaTheme="minorEastAsia"/>
                <w:color w:val="auto"/>
                <w:spacing w:val="-20"/>
                <w:kern w:val="0"/>
                <w:szCs w:val="21"/>
              </w:rPr>
            </w:pPr>
            <w:r>
              <w:rPr>
                <w:rFonts w:ascii="Times New Roman" w:hAnsi="Times New Roman" w:cs="Times New Roman" w:eastAsiaTheme="minorEastAsia"/>
                <w:color w:val="auto"/>
                <w:spacing w:val="-20"/>
                <w:kern w:val="0"/>
                <w:szCs w:val="21"/>
              </w:rPr>
              <w:t>格达良乡中心小学</w:t>
            </w:r>
          </w:p>
        </w:tc>
        <w:tc>
          <w:tcPr>
            <w:tcW w:w="850" w:type="dxa"/>
            <w:vMerge w:val="continue"/>
            <w:vAlign w:val="center"/>
          </w:tcPr>
          <w:p w14:paraId="104E8711">
            <w:pPr>
              <w:widowControl/>
              <w:jc w:val="center"/>
              <w:rPr>
                <w:rFonts w:ascii="Times New Roman" w:hAnsi="Times New Roman" w:cs="Times New Roman" w:eastAsiaTheme="minorEastAsia"/>
                <w:color w:val="auto"/>
                <w:spacing w:val="-20"/>
                <w:kern w:val="0"/>
                <w:szCs w:val="21"/>
              </w:rPr>
            </w:pPr>
          </w:p>
        </w:tc>
        <w:tc>
          <w:tcPr>
            <w:tcW w:w="661" w:type="dxa"/>
            <w:vAlign w:val="center"/>
          </w:tcPr>
          <w:p w14:paraId="3417200D">
            <w:pPr>
              <w:widowControl/>
              <w:jc w:val="center"/>
              <w:rPr>
                <w:rFonts w:ascii="Times New Roman" w:cs="Times New Roman" w:hAnsiTheme="minorEastAsia" w:eastAsiaTheme="minorEastAsia"/>
                <w:color w:val="auto"/>
                <w:spacing w:val="-20"/>
                <w:szCs w:val="21"/>
              </w:rPr>
            </w:pPr>
            <w:r>
              <w:rPr>
                <w:rFonts w:ascii="Times New Roman" w:cs="Times New Roman" w:hAnsiTheme="minorEastAsia" w:eastAsiaTheme="minorEastAsia"/>
                <w:color w:val="auto"/>
                <w:spacing w:val="-20"/>
                <w:szCs w:val="21"/>
              </w:rPr>
              <w:t>路右</w:t>
            </w:r>
          </w:p>
        </w:tc>
        <w:tc>
          <w:tcPr>
            <w:tcW w:w="662" w:type="dxa"/>
            <w:vAlign w:val="center"/>
          </w:tcPr>
          <w:p w14:paraId="5B87F713">
            <w:pPr>
              <w:widowControl/>
              <w:jc w:val="center"/>
              <w:rPr>
                <w:rFonts w:ascii="Times New Roman" w:cs="Times New Roman" w:hAnsiTheme="minorEastAsia" w:eastAsiaTheme="minorEastAsia"/>
                <w:color w:val="auto"/>
                <w:spacing w:val="-20"/>
                <w:szCs w:val="21"/>
              </w:rPr>
            </w:pPr>
            <w:r>
              <w:rPr>
                <w:rFonts w:hint="eastAsia" w:ascii="Times New Roman" w:cs="Times New Roman" w:hAnsiTheme="minorEastAsia" w:eastAsiaTheme="minorEastAsia"/>
                <w:color w:val="auto"/>
                <w:spacing w:val="-20"/>
                <w:szCs w:val="21"/>
              </w:rPr>
              <w:t>49</w:t>
            </w:r>
          </w:p>
        </w:tc>
        <w:tc>
          <w:tcPr>
            <w:tcW w:w="663" w:type="dxa"/>
            <w:vAlign w:val="center"/>
          </w:tcPr>
          <w:p w14:paraId="7814831D">
            <w:pPr>
              <w:widowControl/>
              <w:jc w:val="center"/>
              <w:rPr>
                <w:rFonts w:ascii="Times New Roman" w:cs="Times New Roman" w:hAnsiTheme="minorEastAsia" w:eastAsiaTheme="minorEastAsia"/>
                <w:color w:val="auto"/>
                <w:spacing w:val="-20"/>
                <w:szCs w:val="21"/>
              </w:rPr>
            </w:pPr>
            <w:r>
              <w:rPr>
                <w:rFonts w:hint="eastAsia" w:ascii="Times New Roman" w:cs="Times New Roman" w:hAnsiTheme="minorEastAsia" w:eastAsiaTheme="minorEastAsia"/>
                <w:color w:val="auto"/>
                <w:spacing w:val="-20"/>
                <w:szCs w:val="21"/>
              </w:rPr>
              <w:t>43</w:t>
            </w:r>
          </w:p>
        </w:tc>
        <w:tc>
          <w:tcPr>
            <w:tcW w:w="566" w:type="dxa"/>
            <w:vAlign w:val="center"/>
          </w:tcPr>
          <w:p w14:paraId="09A13DF0">
            <w:pPr>
              <w:widowControl/>
              <w:jc w:val="center"/>
              <w:rPr>
                <w:rFonts w:ascii="Times New Roman" w:hAnsi="Times New Roman" w:cs="Times New Roman" w:eastAsiaTheme="minorEastAsia"/>
                <w:color w:val="auto"/>
                <w:spacing w:val="-20"/>
                <w:kern w:val="0"/>
                <w:szCs w:val="21"/>
              </w:rPr>
            </w:pPr>
            <w:r>
              <w:rPr>
                <w:rFonts w:ascii="Times New Roman" w:cs="Times New Roman" w:hAnsiTheme="minorEastAsia" w:eastAsiaTheme="minorEastAsia"/>
                <w:color w:val="auto"/>
                <w:spacing w:val="-20"/>
                <w:szCs w:val="21"/>
              </w:rPr>
              <w:t>路右</w:t>
            </w:r>
          </w:p>
        </w:tc>
        <w:tc>
          <w:tcPr>
            <w:tcW w:w="708" w:type="dxa"/>
            <w:vAlign w:val="center"/>
          </w:tcPr>
          <w:p w14:paraId="35E4B84D">
            <w:pPr>
              <w:widowControl/>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szCs w:val="21"/>
              </w:rPr>
              <w:t>55</w:t>
            </w:r>
          </w:p>
        </w:tc>
        <w:tc>
          <w:tcPr>
            <w:tcW w:w="709" w:type="dxa"/>
            <w:vAlign w:val="center"/>
          </w:tcPr>
          <w:p w14:paraId="32ABAA3B">
            <w:pPr>
              <w:widowControl/>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39.5</w:t>
            </w:r>
          </w:p>
        </w:tc>
        <w:tc>
          <w:tcPr>
            <w:tcW w:w="992" w:type="dxa"/>
            <w:vAlign w:val="center"/>
          </w:tcPr>
          <w:p w14:paraId="14679A7C">
            <w:pPr>
              <w:widowControl/>
              <w:jc w:val="center"/>
              <w:rPr>
                <w:rFonts w:ascii="Times New Roman" w:hAnsi="Times New Roman" w:cs="Times New Roman" w:eastAsiaTheme="minorEastAsia"/>
                <w:color w:val="auto"/>
                <w:spacing w:val="-20"/>
                <w:kern w:val="0"/>
                <w:szCs w:val="21"/>
              </w:rPr>
            </w:pPr>
            <w:r>
              <w:rPr>
                <w:rFonts w:ascii="Times New Roman" w:hAnsi="Times New Roman" w:cs="Times New Roman" w:eastAsiaTheme="minorEastAsia"/>
                <w:color w:val="auto"/>
                <w:spacing w:val="-20"/>
                <w:kern w:val="0"/>
                <w:szCs w:val="21"/>
              </w:rPr>
              <w:t>0</w:t>
            </w:r>
          </w:p>
        </w:tc>
        <w:tc>
          <w:tcPr>
            <w:tcW w:w="993" w:type="dxa"/>
            <w:vAlign w:val="center"/>
          </w:tcPr>
          <w:p w14:paraId="679B50FD">
            <w:pPr>
              <w:widowControl/>
              <w:jc w:val="center"/>
              <w:rPr>
                <w:rFonts w:ascii="Times New Roman" w:hAnsi="Times New Roman" w:cs="Times New Roman" w:eastAsiaTheme="minorEastAsia"/>
                <w:color w:val="auto"/>
                <w:spacing w:val="-20"/>
                <w:kern w:val="0"/>
                <w:szCs w:val="21"/>
              </w:rPr>
            </w:pPr>
            <w:r>
              <w:rPr>
                <w:rFonts w:ascii="Times New Roman" w:hAnsi="Times New Roman" w:cs="Times New Roman" w:eastAsiaTheme="minorEastAsia"/>
                <w:color w:val="auto"/>
                <w:spacing w:val="-20"/>
                <w:kern w:val="0"/>
                <w:szCs w:val="21"/>
              </w:rPr>
              <w:t>0.0</w:t>
            </w:r>
          </w:p>
        </w:tc>
        <w:tc>
          <w:tcPr>
            <w:tcW w:w="567" w:type="dxa"/>
            <w:vAlign w:val="center"/>
          </w:tcPr>
          <w:p w14:paraId="315C3A40">
            <w:pPr>
              <w:widowControl/>
              <w:jc w:val="center"/>
              <w:rPr>
                <w:rFonts w:ascii="Times New Roman" w:hAnsi="Times New Roman" w:cs="Times New Roman" w:eastAsiaTheme="minorEastAsia"/>
                <w:color w:val="auto"/>
                <w:spacing w:val="-20"/>
                <w:kern w:val="0"/>
                <w:szCs w:val="21"/>
              </w:rPr>
            </w:pPr>
            <w:r>
              <w:rPr>
                <w:rFonts w:ascii="Times New Roman" w:cs="Times New Roman" w:hAnsiTheme="minorEastAsia" w:eastAsiaTheme="minorEastAsia"/>
                <w:color w:val="auto"/>
                <w:spacing w:val="-20"/>
                <w:kern w:val="0"/>
                <w:szCs w:val="21"/>
              </w:rPr>
              <w:t>路基</w:t>
            </w:r>
          </w:p>
        </w:tc>
        <w:tc>
          <w:tcPr>
            <w:tcW w:w="992" w:type="dxa"/>
            <w:vAlign w:val="center"/>
          </w:tcPr>
          <w:p w14:paraId="5B0CC286">
            <w:pPr>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50.5</w:t>
            </w:r>
          </w:p>
        </w:tc>
        <w:tc>
          <w:tcPr>
            <w:tcW w:w="709" w:type="dxa"/>
            <w:vAlign w:val="center"/>
          </w:tcPr>
          <w:p w14:paraId="1B022BF6">
            <w:pPr>
              <w:widowControl/>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w:t>
            </w:r>
          </w:p>
        </w:tc>
        <w:tc>
          <w:tcPr>
            <w:tcW w:w="709" w:type="dxa"/>
            <w:vAlign w:val="center"/>
          </w:tcPr>
          <w:p w14:paraId="6AEE564D">
            <w:pPr>
              <w:widowControl/>
              <w:jc w:val="center"/>
              <w:rPr>
                <w:rFonts w:ascii="Times New Roman" w:hAnsi="Times New Roman" w:cs="Times New Roman" w:eastAsiaTheme="minorEastAsia"/>
                <w:color w:val="auto"/>
                <w:spacing w:val="-20"/>
                <w:kern w:val="0"/>
                <w:szCs w:val="21"/>
              </w:rPr>
            </w:pPr>
            <w:r>
              <w:rPr>
                <w:rFonts w:hint="eastAsia" w:ascii="Times New Roman" w:hAnsi="Times New Roman" w:eastAsia="宋体" w:cs="Times New Roman"/>
                <w:color w:val="auto"/>
                <w:spacing w:val="-20"/>
                <w:kern w:val="0"/>
                <w:szCs w:val="21"/>
              </w:rPr>
              <w:t>2</w:t>
            </w:r>
            <w:r>
              <w:rPr>
                <w:rFonts w:ascii="Times New Roman" w:hAnsi="Times New Roman" w:eastAsia="宋体" w:cs="Times New Roman"/>
                <w:color w:val="auto"/>
                <w:spacing w:val="-20"/>
                <w:kern w:val="0"/>
                <w:szCs w:val="21"/>
              </w:rPr>
              <w:t>栋</w:t>
            </w:r>
            <w:r>
              <w:rPr>
                <w:rFonts w:hint="eastAsia" w:ascii="Times New Roman" w:hAnsi="Times New Roman" w:eastAsia="宋体" w:cs="Times New Roman"/>
                <w:color w:val="auto"/>
                <w:spacing w:val="-20"/>
                <w:kern w:val="0"/>
                <w:szCs w:val="21"/>
              </w:rPr>
              <w:t>3</w:t>
            </w:r>
            <w:r>
              <w:rPr>
                <w:rFonts w:ascii="Times New Roman" w:hAnsi="Times New Roman" w:eastAsia="宋体" w:cs="Times New Roman"/>
                <w:color w:val="auto"/>
                <w:spacing w:val="-20"/>
                <w:kern w:val="0"/>
                <w:szCs w:val="21"/>
              </w:rPr>
              <w:t>层楼</w:t>
            </w:r>
          </w:p>
        </w:tc>
        <w:tc>
          <w:tcPr>
            <w:tcW w:w="4413" w:type="dxa"/>
            <w:vAlign w:val="center"/>
          </w:tcPr>
          <w:p w14:paraId="67754AE2">
            <w:pPr>
              <w:widowControl/>
              <w:rPr>
                <w:rFonts w:ascii="Times New Roman" w:hAnsi="Times New Roman" w:cs="Times New Roman" w:eastAsiaTheme="minorEastAsia"/>
                <w:color w:val="auto"/>
                <w:spacing w:val="0"/>
                <w:kern w:val="0"/>
                <w:sz w:val="21"/>
                <w:szCs w:val="21"/>
              </w:rPr>
            </w:pPr>
            <w:r>
              <w:rPr>
                <w:rFonts w:ascii="Times New Roman" w:hAnsi="Times New Roman" w:eastAsia="宋体" w:cs="Times New Roman"/>
                <w:color w:val="auto"/>
                <w:spacing w:val="0"/>
                <w:kern w:val="0"/>
                <w:sz w:val="21"/>
                <w:szCs w:val="21"/>
              </w:rPr>
              <w:t>路线以填方路基形式经过学校。学校共</w:t>
            </w:r>
            <w:r>
              <w:rPr>
                <w:rFonts w:hint="eastAsia" w:ascii="Times New Roman" w:hAnsi="Times New Roman" w:eastAsia="宋体" w:cs="Times New Roman"/>
                <w:color w:val="auto"/>
                <w:spacing w:val="0"/>
                <w:kern w:val="0"/>
                <w:sz w:val="21"/>
                <w:szCs w:val="21"/>
              </w:rPr>
              <w:t>6个年级，15</w:t>
            </w:r>
            <w:r>
              <w:rPr>
                <w:rFonts w:ascii="Times New Roman" w:hAnsi="Times New Roman" w:eastAsia="宋体" w:cs="Times New Roman"/>
                <w:color w:val="auto"/>
                <w:spacing w:val="0"/>
                <w:kern w:val="0"/>
                <w:sz w:val="21"/>
                <w:szCs w:val="21"/>
              </w:rPr>
              <w:t>个班，教师</w:t>
            </w:r>
            <w:r>
              <w:rPr>
                <w:rFonts w:hint="eastAsia" w:ascii="Times New Roman" w:hAnsi="Times New Roman" w:eastAsia="宋体" w:cs="Times New Roman"/>
                <w:color w:val="auto"/>
                <w:spacing w:val="0"/>
                <w:kern w:val="0"/>
                <w:sz w:val="21"/>
                <w:szCs w:val="21"/>
              </w:rPr>
              <w:t>58</w:t>
            </w:r>
            <w:r>
              <w:rPr>
                <w:rFonts w:ascii="Times New Roman" w:hAnsi="Times New Roman" w:eastAsia="宋体" w:cs="Times New Roman"/>
                <w:color w:val="auto"/>
                <w:spacing w:val="0"/>
                <w:kern w:val="0"/>
                <w:sz w:val="21"/>
                <w:szCs w:val="21"/>
              </w:rPr>
              <w:t>人，学生</w:t>
            </w:r>
            <w:r>
              <w:rPr>
                <w:rFonts w:hint="eastAsia" w:ascii="Times New Roman" w:hAnsi="Times New Roman" w:eastAsia="宋体" w:cs="Times New Roman"/>
                <w:color w:val="auto"/>
                <w:spacing w:val="0"/>
                <w:kern w:val="0"/>
                <w:sz w:val="21"/>
                <w:szCs w:val="21"/>
              </w:rPr>
              <w:t>520</w:t>
            </w:r>
            <w:r>
              <w:rPr>
                <w:rFonts w:ascii="Times New Roman" w:hAnsi="Times New Roman" w:eastAsia="宋体" w:cs="Times New Roman"/>
                <w:color w:val="auto"/>
                <w:spacing w:val="0"/>
                <w:kern w:val="0"/>
                <w:sz w:val="21"/>
                <w:szCs w:val="21"/>
              </w:rPr>
              <w:t>人，夜间</w:t>
            </w:r>
            <w:r>
              <w:rPr>
                <w:rFonts w:hint="eastAsia" w:ascii="Times New Roman" w:hAnsi="Times New Roman" w:eastAsia="宋体" w:cs="Times New Roman"/>
                <w:color w:val="auto"/>
                <w:spacing w:val="0"/>
                <w:kern w:val="0"/>
                <w:sz w:val="21"/>
                <w:szCs w:val="21"/>
              </w:rPr>
              <w:t>无</w:t>
            </w:r>
            <w:r>
              <w:rPr>
                <w:rFonts w:ascii="Times New Roman" w:hAnsi="Times New Roman" w:eastAsia="宋体" w:cs="Times New Roman"/>
                <w:color w:val="auto"/>
                <w:spacing w:val="0"/>
                <w:kern w:val="0"/>
                <w:sz w:val="21"/>
                <w:szCs w:val="21"/>
              </w:rPr>
              <w:t>住宿。现有</w:t>
            </w:r>
            <w:r>
              <w:rPr>
                <w:rFonts w:hint="eastAsia" w:ascii="Times New Roman" w:hAnsi="Times New Roman" w:eastAsia="宋体" w:cs="Times New Roman"/>
                <w:color w:val="auto"/>
                <w:spacing w:val="0"/>
                <w:kern w:val="0"/>
                <w:sz w:val="21"/>
                <w:szCs w:val="21"/>
              </w:rPr>
              <w:t>1栋3层教学楼，正向公路，</w:t>
            </w:r>
            <w:r>
              <w:rPr>
                <w:rFonts w:ascii="Times New Roman" w:cs="Times New Roman" w:hAnsiTheme="minorEastAsia" w:eastAsiaTheme="minorEastAsia"/>
                <w:color w:val="auto"/>
                <w:spacing w:val="0"/>
                <w:kern w:val="0"/>
                <w:sz w:val="21"/>
                <w:szCs w:val="21"/>
              </w:rPr>
              <w:t>距路中约</w:t>
            </w:r>
            <w:r>
              <w:rPr>
                <w:rFonts w:hint="eastAsia" w:ascii="Times New Roman" w:cs="Times New Roman" w:hAnsiTheme="minorEastAsia" w:eastAsiaTheme="minorEastAsia"/>
                <w:color w:val="auto"/>
                <w:spacing w:val="0"/>
                <w:kern w:val="0"/>
                <w:sz w:val="21"/>
                <w:szCs w:val="21"/>
              </w:rPr>
              <w:t>90m；</w:t>
            </w:r>
            <w:r>
              <w:rPr>
                <w:rFonts w:hint="eastAsia" w:ascii="Times New Roman" w:hAnsi="Times New Roman" w:eastAsia="宋体" w:cs="Times New Roman"/>
                <w:color w:val="auto"/>
                <w:spacing w:val="0"/>
                <w:kern w:val="0"/>
                <w:sz w:val="21"/>
                <w:szCs w:val="21"/>
              </w:rPr>
              <w:t>1</w:t>
            </w:r>
            <w:r>
              <w:rPr>
                <w:rFonts w:hint="eastAsia" w:ascii="Times New Roman" w:hAnsi="Times New Roman" w:eastAsia="宋体" w:cs="Times New Roman"/>
                <w:color w:val="auto"/>
                <w:spacing w:val="0"/>
                <w:kern w:val="0"/>
                <w:sz w:val="21"/>
                <w:szCs w:val="21"/>
                <w:lang w:val="en-US" w:eastAsia="zh-CN"/>
              </w:rPr>
              <w:t>栋</w:t>
            </w:r>
            <w:r>
              <w:rPr>
                <w:rFonts w:hint="eastAsia" w:ascii="Times New Roman" w:hAnsi="Times New Roman" w:eastAsia="宋体" w:cs="Times New Roman"/>
                <w:color w:val="auto"/>
                <w:spacing w:val="0"/>
                <w:kern w:val="0"/>
                <w:sz w:val="21"/>
                <w:szCs w:val="21"/>
              </w:rPr>
              <w:t>3层综合楼，侧向公路，</w:t>
            </w:r>
            <w:r>
              <w:rPr>
                <w:rFonts w:ascii="Times New Roman" w:cs="Times New Roman" w:hAnsiTheme="minorEastAsia" w:eastAsiaTheme="minorEastAsia"/>
                <w:color w:val="auto"/>
                <w:spacing w:val="0"/>
                <w:kern w:val="0"/>
                <w:sz w:val="21"/>
                <w:szCs w:val="21"/>
              </w:rPr>
              <w:t>距路中约</w:t>
            </w:r>
            <w:r>
              <w:rPr>
                <w:rFonts w:hint="eastAsia" w:ascii="Times New Roman" w:cs="Times New Roman" w:hAnsiTheme="minorEastAsia" w:eastAsiaTheme="minorEastAsia"/>
                <w:color w:val="auto"/>
                <w:spacing w:val="0"/>
                <w:kern w:val="0"/>
                <w:sz w:val="21"/>
                <w:szCs w:val="21"/>
              </w:rPr>
              <w:t>55m；</w:t>
            </w:r>
            <w:r>
              <w:rPr>
                <w:rFonts w:hint="eastAsia" w:ascii="Times New Roman" w:hAnsi="Times New Roman" w:eastAsia="宋体" w:cs="Times New Roman"/>
                <w:color w:val="auto"/>
                <w:spacing w:val="0"/>
                <w:kern w:val="0"/>
                <w:sz w:val="21"/>
                <w:szCs w:val="21"/>
              </w:rPr>
              <w:t>1栋3层食堂</w:t>
            </w:r>
            <w:r>
              <w:rPr>
                <w:rFonts w:ascii="Times New Roman" w:hAnsi="Times New Roman" w:eastAsia="宋体" w:cs="Times New Roman"/>
                <w:color w:val="auto"/>
                <w:spacing w:val="0"/>
                <w:kern w:val="0"/>
                <w:sz w:val="21"/>
                <w:szCs w:val="21"/>
              </w:rPr>
              <w:t>，</w:t>
            </w:r>
            <w:r>
              <w:rPr>
                <w:rFonts w:hint="eastAsia" w:ascii="Times New Roman" w:hAnsi="Times New Roman" w:eastAsia="宋体" w:cs="Times New Roman"/>
                <w:color w:val="auto"/>
                <w:spacing w:val="0"/>
                <w:kern w:val="0"/>
                <w:sz w:val="21"/>
                <w:szCs w:val="21"/>
              </w:rPr>
              <w:t>正侧</w:t>
            </w:r>
            <w:r>
              <w:rPr>
                <w:rFonts w:ascii="Times New Roman" w:hAnsi="Times New Roman" w:eastAsia="宋体" w:cs="Times New Roman"/>
                <w:color w:val="auto"/>
                <w:spacing w:val="0"/>
                <w:kern w:val="0"/>
                <w:sz w:val="21"/>
                <w:szCs w:val="21"/>
              </w:rPr>
              <w:t>向公路，</w:t>
            </w:r>
            <w:r>
              <w:rPr>
                <w:rFonts w:ascii="Times New Roman" w:cs="Times New Roman" w:hAnsiTheme="minorEastAsia" w:eastAsiaTheme="minorEastAsia"/>
                <w:color w:val="auto"/>
                <w:spacing w:val="0"/>
                <w:kern w:val="0"/>
                <w:sz w:val="21"/>
                <w:szCs w:val="21"/>
              </w:rPr>
              <w:t>距路中约</w:t>
            </w:r>
            <w:r>
              <w:rPr>
                <w:rFonts w:hint="eastAsia" w:ascii="Times New Roman" w:cs="Times New Roman" w:hAnsiTheme="minorEastAsia" w:eastAsiaTheme="minorEastAsia"/>
                <w:color w:val="auto"/>
                <w:spacing w:val="0"/>
                <w:kern w:val="0"/>
                <w:sz w:val="21"/>
                <w:szCs w:val="21"/>
              </w:rPr>
              <w:t>40m</w:t>
            </w:r>
            <w:r>
              <w:rPr>
                <w:rFonts w:ascii="Times New Roman" w:hAnsi="Times New Roman" w:eastAsia="宋体" w:cs="Times New Roman"/>
                <w:color w:val="auto"/>
                <w:spacing w:val="0"/>
                <w:kern w:val="0"/>
                <w:sz w:val="21"/>
                <w:szCs w:val="21"/>
              </w:rPr>
              <w:t>。该路段利用现有</w:t>
            </w:r>
            <w:r>
              <w:rPr>
                <w:rFonts w:hint="eastAsia" w:ascii="Times New Roman" w:hAnsi="Times New Roman" w:eastAsia="宋体" w:cs="Times New Roman"/>
                <w:color w:val="auto"/>
                <w:spacing w:val="0"/>
                <w:kern w:val="0"/>
                <w:sz w:val="21"/>
                <w:szCs w:val="21"/>
              </w:rPr>
              <w:t>老路左侧加宽</w:t>
            </w:r>
            <w:r>
              <w:rPr>
                <w:rFonts w:ascii="Times New Roman" w:hAnsi="Times New Roman" w:eastAsia="宋体" w:cs="Times New Roman"/>
                <w:color w:val="auto"/>
                <w:spacing w:val="0"/>
                <w:kern w:val="0"/>
                <w:sz w:val="21"/>
                <w:szCs w:val="21"/>
              </w:rPr>
              <w:t>，</w:t>
            </w:r>
            <w:r>
              <w:rPr>
                <w:rFonts w:ascii="Times New Roman" w:cs="Times New Roman" w:hAnsiTheme="minorEastAsia" w:eastAsiaTheme="minorEastAsia"/>
                <w:color w:val="auto"/>
                <w:spacing w:val="0"/>
                <w:kern w:val="0"/>
                <w:sz w:val="21"/>
                <w:szCs w:val="21"/>
              </w:rPr>
              <w:t>主要噪声源为现有</w:t>
            </w:r>
            <w:r>
              <w:rPr>
                <w:rFonts w:hint="eastAsia" w:ascii="Times New Roman" w:hAnsi="Times New Roman" w:cs="Times New Roman" w:eastAsiaTheme="minorEastAsia"/>
                <w:color w:val="auto"/>
                <w:spacing w:val="0"/>
                <w:kern w:val="0"/>
                <w:sz w:val="21"/>
                <w:szCs w:val="21"/>
              </w:rPr>
              <w:t>G219</w:t>
            </w:r>
            <w:r>
              <w:rPr>
                <w:rFonts w:ascii="Times New Roman" w:cs="Times New Roman" w:hAnsiTheme="minorEastAsia" w:eastAsiaTheme="minorEastAsia"/>
                <w:color w:val="auto"/>
                <w:spacing w:val="0"/>
                <w:kern w:val="0"/>
                <w:sz w:val="21"/>
                <w:szCs w:val="21"/>
              </w:rPr>
              <w:t>交通噪声和社会生活噪声。</w:t>
            </w:r>
          </w:p>
        </w:tc>
        <w:tc>
          <w:tcPr>
            <w:tcW w:w="2898" w:type="dxa"/>
            <w:vAlign w:val="center"/>
          </w:tcPr>
          <w:p w14:paraId="1F3B779D">
            <w:pPr>
              <w:widowControl/>
              <w:jc w:val="center"/>
              <w:rPr>
                <w:rFonts w:ascii="Times New Roman" w:hAnsi="Times New Roman" w:cs="Times New Roman" w:eastAsiaTheme="minorEastAsia"/>
                <w:color w:val="auto"/>
                <w:spacing w:val="-20"/>
                <w:kern w:val="0"/>
                <w:szCs w:val="21"/>
              </w:rPr>
            </w:pPr>
            <w:r>
              <w:rPr>
                <w:rFonts w:ascii="Times New Roman" w:hAnsi="Times New Roman" w:cs="Times New Roman" w:eastAsiaTheme="minorEastAsia"/>
                <w:color w:val="auto"/>
                <w:spacing w:val="-20"/>
                <w:kern w:val="0"/>
                <w:szCs w:val="21"/>
              </w:rPr>
              <w:drawing>
                <wp:inline distT="0" distB="0" distL="0" distR="0">
                  <wp:extent cx="1729105" cy="1295400"/>
                  <wp:effectExtent l="0" t="0" r="4445" b="0"/>
                  <wp:docPr id="675940239" name="图片 2" descr="E:\咨询项目\环评\新疆-G219线八盘水磨至伽师公路\外业踏勘记录及照片\DSC090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940239" name="图片 2" descr="E:\咨询项目\环评\新疆-G219线八盘水磨至伽师公路\外业踏勘记录及照片\DSC09083.JPG"/>
                          <pic:cNvPicPr>
                            <a:picLocks noChangeAspect="1" noChangeArrowheads="1"/>
                          </pic:cNvPicPr>
                        </pic:nvPicPr>
                        <pic:blipFill>
                          <a:blip r:embed="rId158" cstate="print"/>
                          <a:srcRect/>
                          <a:stretch>
                            <a:fillRect/>
                          </a:stretch>
                        </pic:blipFill>
                        <pic:spPr>
                          <a:xfrm>
                            <a:off x="0" y="0"/>
                            <a:ext cx="1729728" cy="1296000"/>
                          </a:xfrm>
                          <a:prstGeom prst="rect">
                            <a:avLst/>
                          </a:prstGeom>
                          <a:noFill/>
                          <a:ln w="9525">
                            <a:noFill/>
                            <a:miter lim="800000"/>
                            <a:headEnd/>
                            <a:tailEnd/>
                          </a:ln>
                        </pic:spPr>
                      </pic:pic>
                    </a:graphicData>
                  </a:graphic>
                </wp:inline>
              </w:drawing>
            </w:r>
          </w:p>
        </w:tc>
      </w:tr>
      <w:tr w14:paraId="61D4AB7B">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730" w:hRule="atLeast"/>
          <w:tblHeader/>
          <w:jc w:val="center"/>
        </w:trPr>
        <w:tc>
          <w:tcPr>
            <w:tcW w:w="567" w:type="dxa"/>
            <w:vMerge w:val="restart"/>
            <w:noWrap/>
            <w:vAlign w:val="center"/>
          </w:tcPr>
          <w:p w14:paraId="4C458D64">
            <w:pPr>
              <w:widowControl/>
              <w:jc w:val="center"/>
              <w:rPr>
                <w:rFonts w:ascii="Times New Roman" w:hAnsi="Times New Roman" w:cs="Times New Roman" w:eastAsiaTheme="minorEastAsia"/>
                <w:color w:val="auto"/>
                <w:spacing w:val="-20"/>
                <w:kern w:val="0"/>
                <w:szCs w:val="21"/>
              </w:rPr>
            </w:pPr>
            <w:r>
              <w:rPr>
                <w:rFonts w:ascii="Times New Roman" w:hAnsi="Times New Roman" w:cs="Times New Roman" w:eastAsiaTheme="minorEastAsia"/>
                <w:color w:val="auto"/>
                <w:spacing w:val="-20"/>
                <w:kern w:val="0"/>
                <w:szCs w:val="21"/>
              </w:rPr>
              <w:t>4</w:t>
            </w:r>
          </w:p>
        </w:tc>
        <w:tc>
          <w:tcPr>
            <w:tcW w:w="694" w:type="dxa"/>
            <w:vMerge w:val="continue"/>
            <w:vAlign w:val="center"/>
          </w:tcPr>
          <w:p w14:paraId="1DE2E324">
            <w:pPr>
              <w:widowControl/>
              <w:jc w:val="center"/>
              <w:rPr>
                <w:rFonts w:ascii="Times New Roman" w:hAnsi="Times New Roman" w:cs="Times New Roman" w:eastAsiaTheme="minorEastAsia"/>
                <w:color w:val="auto"/>
                <w:spacing w:val="-20"/>
                <w:kern w:val="0"/>
                <w:szCs w:val="21"/>
              </w:rPr>
            </w:pPr>
          </w:p>
        </w:tc>
        <w:tc>
          <w:tcPr>
            <w:tcW w:w="1134" w:type="dxa"/>
            <w:vAlign w:val="center"/>
          </w:tcPr>
          <w:p w14:paraId="419BD58D">
            <w:pPr>
              <w:widowControl/>
              <w:jc w:val="center"/>
              <w:rPr>
                <w:rFonts w:ascii="Times New Roman" w:hAnsi="Times New Roman" w:cs="Times New Roman" w:eastAsiaTheme="minorEastAsia"/>
                <w:color w:val="auto"/>
                <w:spacing w:val="-20"/>
                <w:kern w:val="0"/>
                <w:szCs w:val="21"/>
              </w:rPr>
            </w:pPr>
            <w:r>
              <w:rPr>
                <w:rFonts w:ascii="Times New Roman" w:hAnsi="Times New Roman" w:cs="Times New Roman" w:eastAsiaTheme="minorEastAsia"/>
                <w:color w:val="auto"/>
                <w:spacing w:val="-20"/>
                <w:szCs w:val="21"/>
              </w:rPr>
              <w:t>K</w:t>
            </w:r>
            <w:r>
              <w:rPr>
                <w:rFonts w:hint="eastAsia" w:ascii="Times New Roman" w:hAnsi="Times New Roman" w:cs="Times New Roman" w:eastAsiaTheme="minorEastAsia"/>
                <w:color w:val="auto"/>
                <w:spacing w:val="-20"/>
                <w:szCs w:val="21"/>
              </w:rPr>
              <w:t>9</w:t>
            </w:r>
            <w:r>
              <w:rPr>
                <w:rFonts w:ascii="Times New Roman" w:hAnsi="Times New Roman" w:cs="Times New Roman" w:eastAsiaTheme="minorEastAsia"/>
                <w:color w:val="auto"/>
                <w:spacing w:val="-20"/>
                <w:szCs w:val="21"/>
              </w:rPr>
              <w:t>+</w:t>
            </w:r>
            <w:r>
              <w:rPr>
                <w:rFonts w:hint="eastAsia" w:ascii="Times New Roman" w:hAnsi="Times New Roman" w:cs="Times New Roman" w:eastAsiaTheme="minorEastAsia"/>
                <w:color w:val="auto"/>
                <w:spacing w:val="-20"/>
                <w:szCs w:val="21"/>
              </w:rPr>
              <w:t>20</w:t>
            </w:r>
            <w:r>
              <w:rPr>
                <w:rFonts w:ascii="Times New Roman" w:hAnsi="Times New Roman" w:cs="Times New Roman" w:eastAsiaTheme="minorEastAsia"/>
                <w:color w:val="auto"/>
                <w:spacing w:val="-20"/>
                <w:szCs w:val="21"/>
              </w:rPr>
              <w:t>0</w:t>
            </w:r>
            <w:r>
              <w:rPr>
                <w:rFonts w:ascii="Times New Roman" w:cs="Times New Roman" w:hAnsiTheme="minorEastAsia" w:eastAsiaTheme="minorEastAsia"/>
                <w:color w:val="auto"/>
                <w:spacing w:val="-20"/>
                <w:szCs w:val="21"/>
              </w:rPr>
              <w:t>～</w:t>
            </w:r>
            <w:r>
              <w:rPr>
                <w:rFonts w:ascii="Times New Roman" w:hAnsi="Times New Roman" w:cs="Times New Roman" w:eastAsiaTheme="minorEastAsia"/>
                <w:color w:val="auto"/>
                <w:spacing w:val="-20"/>
                <w:szCs w:val="21"/>
              </w:rPr>
              <w:t>K</w:t>
            </w:r>
            <w:r>
              <w:rPr>
                <w:rFonts w:hint="eastAsia" w:ascii="Times New Roman" w:hAnsi="Times New Roman" w:cs="Times New Roman" w:eastAsiaTheme="minorEastAsia"/>
                <w:color w:val="auto"/>
                <w:spacing w:val="-20"/>
                <w:szCs w:val="21"/>
              </w:rPr>
              <w:t>9</w:t>
            </w:r>
            <w:r>
              <w:rPr>
                <w:rFonts w:ascii="Times New Roman" w:hAnsi="Times New Roman" w:cs="Times New Roman" w:eastAsiaTheme="minorEastAsia"/>
                <w:color w:val="auto"/>
                <w:spacing w:val="-20"/>
                <w:szCs w:val="21"/>
              </w:rPr>
              <w:t>+</w:t>
            </w:r>
            <w:r>
              <w:rPr>
                <w:rFonts w:hint="eastAsia" w:ascii="Times New Roman" w:hAnsi="Times New Roman" w:cs="Times New Roman" w:eastAsiaTheme="minorEastAsia"/>
                <w:color w:val="auto"/>
                <w:spacing w:val="-20"/>
                <w:szCs w:val="21"/>
              </w:rPr>
              <w:t>70</w:t>
            </w:r>
            <w:r>
              <w:rPr>
                <w:rFonts w:ascii="Times New Roman" w:hAnsi="Times New Roman" w:cs="Times New Roman" w:eastAsiaTheme="minorEastAsia"/>
                <w:color w:val="auto"/>
                <w:spacing w:val="-20"/>
                <w:szCs w:val="21"/>
              </w:rPr>
              <w:t>0</w:t>
            </w:r>
          </w:p>
        </w:tc>
        <w:tc>
          <w:tcPr>
            <w:tcW w:w="851" w:type="dxa"/>
            <w:vMerge w:val="restart"/>
            <w:vAlign w:val="center"/>
          </w:tcPr>
          <w:p w14:paraId="48D06785">
            <w:pPr>
              <w:widowControl/>
              <w:jc w:val="center"/>
              <w:rPr>
                <w:rFonts w:ascii="Times New Roman" w:hAnsi="Times New Roman" w:cs="Times New Roman" w:eastAsiaTheme="minorEastAsia"/>
                <w:color w:val="auto"/>
                <w:spacing w:val="-20"/>
                <w:kern w:val="0"/>
                <w:szCs w:val="21"/>
              </w:rPr>
            </w:pPr>
            <w:r>
              <w:rPr>
                <w:rFonts w:hint="eastAsia" w:ascii="Times New Roman" w:cs="Times New Roman" w:hAnsiTheme="minorEastAsia" w:eastAsiaTheme="minorEastAsia"/>
                <w:color w:val="auto"/>
                <w:spacing w:val="-20"/>
                <w:szCs w:val="21"/>
              </w:rPr>
              <w:t>艾拉木艾日克</w:t>
            </w:r>
          </w:p>
        </w:tc>
        <w:tc>
          <w:tcPr>
            <w:tcW w:w="850" w:type="dxa"/>
            <w:vMerge w:val="continue"/>
            <w:vAlign w:val="center"/>
          </w:tcPr>
          <w:p w14:paraId="7045CE43">
            <w:pPr>
              <w:widowControl/>
              <w:jc w:val="center"/>
              <w:rPr>
                <w:rFonts w:ascii="Times New Roman" w:hAnsi="Times New Roman" w:cs="Times New Roman" w:eastAsiaTheme="minorEastAsia"/>
                <w:color w:val="auto"/>
                <w:spacing w:val="-20"/>
                <w:kern w:val="0"/>
                <w:szCs w:val="21"/>
              </w:rPr>
            </w:pPr>
          </w:p>
        </w:tc>
        <w:tc>
          <w:tcPr>
            <w:tcW w:w="661" w:type="dxa"/>
            <w:vMerge w:val="restart"/>
            <w:vAlign w:val="center"/>
          </w:tcPr>
          <w:p w14:paraId="630CE9D3">
            <w:pPr>
              <w:widowControl/>
              <w:jc w:val="center"/>
              <w:rPr>
                <w:rFonts w:ascii="Times New Roman" w:cs="Times New Roman" w:hAnsiTheme="minorEastAsia" w:eastAsiaTheme="minorEastAsia"/>
                <w:color w:val="auto"/>
                <w:spacing w:val="-20"/>
                <w:szCs w:val="21"/>
              </w:rPr>
            </w:pPr>
            <w:r>
              <w:rPr>
                <w:rFonts w:ascii="Times New Roman" w:cs="Times New Roman" w:hAnsiTheme="minorEastAsia" w:eastAsiaTheme="minorEastAsia"/>
                <w:color w:val="auto"/>
                <w:spacing w:val="-20"/>
                <w:szCs w:val="21"/>
              </w:rPr>
              <w:t>路左</w:t>
            </w:r>
          </w:p>
        </w:tc>
        <w:tc>
          <w:tcPr>
            <w:tcW w:w="662" w:type="dxa"/>
            <w:vMerge w:val="restart"/>
            <w:vAlign w:val="center"/>
          </w:tcPr>
          <w:p w14:paraId="7272F0A8">
            <w:pPr>
              <w:widowControl/>
              <w:jc w:val="center"/>
              <w:rPr>
                <w:rFonts w:ascii="Times New Roman" w:cs="Times New Roman" w:hAnsiTheme="minorEastAsia" w:eastAsiaTheme="minorEastAsia"/>
                <w:color w:val="auto"/>
                <w:spacing w:val="-20"/>
                <w:szCs w:val="21"/>
              </w:rPr>
            </w:pPr>
            <w:r>
              <w:rPr>
                <w:rFonts w:hint="eastAsia" w:ascii="Times New Roman" w:cs="Times New Roman" w:hAnsiTheme="minorEastAsia" w:eastAsiaTheme="minorEastAsia"/>
                <w:color w:val="auto"/>
                <w:spacing w:val="-20"/>
                <w:szCs w:val="21"/>
              </w:rPr>
              <w:t>35</w:t>
            </w:r>
          </w:p>
        </w:tc>
        <w:tc>
          <w:tcPr>
            <w:tcW w:w="663" w:type="dxa"/>
            <w:vMerge w:val="restart"/>
            <w:vAlign w:val="center"/>
          </w:tcPr>
          <w:p w14:paraId="4A8E6C38">
            <w:pPr>
              <w:widowControl/>
              <w:jc w:val="center"/>
              <w:rPr>
                <w:rFonts w:ascii="Times New Roman" w:cs="Times New Roman" w:hAnsiTheme="minorEastAsia" w:eastAsiaTheme="minorEastAsia"/>
                <w:color w:val="auto"/>
                <w:spacing w:val="-20"/>
                <w:szCs w:val="21"/>
              </w:rPr>
            </w:pPr>
            <w:r>
              <w:rPr>
                <w:rFonts w:hint="eastAsia" w:ascii="Times New Roman" w:cs="Times New Roman" w:hAnsiTheme="minorEastAsia" w:eastAsiaTheme="minorEastAsia"/>
                <w:color w:val="auto"/>
                <w:spacing w:val="-20"/>
                <w:szCs w:val="21"/>
              </w:rPr>
              <w:t>22</w:t>
            </w:r>
          </w:p>
        </w:tc>
        <w:tc>
          <w:tcPr>
            <w:tcW w:w="566" w:type="dxa"/>
            <w:vMerge w:val="restart"/>
            <w:vAlign w:val="center"/>
          </w:tcPr>
          <w:p w14:paraId="1697A2E1">
            <w:pPr>
              <w:widowControl/>
              <w:jc w:val="center"/>
              <w:rPr>
                <w:rFonts w:ascii="Times New Roman" w:hAnsi="Times New Roman" w:cs="Times New Roman" w:eastAsiaTheme="minorEastAsia"/>
                <w:color w:val="auto"/>
                <w:spacing w:val="-20"/>
                <w:kern w:val="0"/>
                <w:szCs w:val="21"/>
              </w:rPr>
            </w:pPr>
            <w:r>
              <w:rPr>
                <w:rFonts w:ascii="Times New Roman" w:cs="Times New Roman" w:hAnsiTheme="minorEastAsia" w:eastAsiaTheme="minorEastAsia"/>
                <w:color w:val="auto"/>
                <w:spacing w:val="-20"/>
                <w:szCs w:val="21"/>
              </w:rPr>
              <w:t>路左</w:t>
            </w:r>
          </w:p>
        </w:tc>
        <w:tc>
          <w:tcPr>
            <w:tcW w:w="708" w:type="dxa"/>
            <w:vMerge w:val="restart"/>
            <w:vAlign w:val="center"/>
          </w:tcPr>
          <w:p w14:paraId="52C7A29D">
            <w:pPr>
              <w:widowControl/>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szCs w:val="21"/>
              </w:rPr>
              <w:t>35</w:t>
            </w:r>
          </w:p>
        </w:tc>
        <w:tc>
          <w:tcPr>
            <w:tcW w:w="709" w:type="dxa"/>
            <w:vMerge w:val="restart"/>
            <w:vAlign w:val="center"/>
          </w:tcPr>
          <w:p w14:paraId="644C9E5B">
            <w:pPr>
              <w:widowControl/>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14.5</w:t>
            </w:r>
          </w:p>
        </w:tc>
        <w:tc>
          <w:tcPr>
            <w:tcW w:w="992" w:type="dxa"/>
            <w:vMerge w:val="restart"/>
            <w:vAlign w:val="center"/>
          </w:tcPr>
          <w:p w14:paraId="6843F791">
            <w:pPr>
              <w:widowControl/>
              <w:jc w:val="center"/>
              <w:rPr>
                <w:rFonts w:ascii="Times New Roman" w:hAnsi="Times New Roman" w:cs="Times New Roman" w:eastAsiaTheme="minorEastAsia"/>
                <w:color w:val="auto"/>
                <w:spacing w:val="-20"/>
                <w:kern w:val="0"/>
                <w:szCs w:val="21"/>
              </w:rPr>
            </w:pPr>
            <w:r>
              <w:rPr>
                <w:rFonts w:ascii="Times New Roman" w:hAnsi="Times New Roman" w:cs="Times New Roman" w:eastAsiaTheme="minorEastAsia"/>
                <w:color w:val="auto"/>
                <w:spacing w:val="-20"/>
                <w:kern w:val="0"/>
                <w:szCs w:val="21"/>
              </w:rPr>
              <w:t>0</w:t>
            </w:r>
          </w:p>
        </w:tc>
        <w:tc>
          <w:tcPr>
            <w:tcW w:w="993" w:type="dxa"/>
            <w:vMerge w:val="restart"/>
            <w:vAlign w:val="center"/>
          </w:tcPr>
          <w:p w14:paraId="6C1002D4">
            <w:pPr>
              <w:widowControl/>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3.0</w:t>
            </w:r>
          </w:p>
        </w:tc>
        <w:tc>
          <w:tcPr>
            <w:tcW w:w="567" w:type="dxa"/>
            <w:vMerge w:val="restart"/>
            <w:vAlign w:val="center"/>
          </w:tcPr>
          <w:p w14:paraId="313229BE">
            <w:pPr>
              <w:widowControl/>
              <w:jc w:val="center"/>
              <w:rPr>
                <w:rFonts w:ascii="Times New Roman" w:hAnsi="Times New Roman" w:cs="Times New Roman" w:eastAsiaTheme="minorEastAsia"/>
                <w:color w:val="auto"/>
                <w:spacing w:val="-20"/>
                <w:kern w:val="0"/>
                <w:szCs w:val="21"/>
              </w:rPr>
            </w:pPr>
            <w:r>
              <w:rPr>
                <w:rFonts w:ascii="Times New Roman" w:cs="Times New Roman" w:hAnsiTheme="minorEastAsia" w:eastAsiaTheme="minorEastAsia"/>
                <w:color w:val="auto"/>
                <w:spacing w:val="-20"/>
                <w:kern w:val="0"/>
                <w:szCs w:val="21"/>
              </w:rPr>
              <w:t>路基</w:t>
            </w:r>
          </w:p>
        </w:tc>
        <w:tc>
          <w:tcPr>
            <w:tcW w:w="992" w:type="dxa"/>
            <w:vMerge w:val="restart"/>
            <w:vAlign w:val="center"/>
          </w:tcPr>
          <w:p w14:paraId="1D05382F">
            <w:pPr>
              <w:jc w:val="center"/>
              <w:rPr>
                <w:rFonts w:ascii="Times New Roman" w:hAnsi="Times New Roman" w:cs="Times New Roman" w:eastAsiaTheme="minorEastAsia"/>
                <w:color w:val="auto"/>
                <w:spacing w:val="-20"/>
                <w:szCs w:val="21"/>
              </w:rPr>
            </w:pPr>
            <w:r>
              <w:rPr>
                <w:rFonts w:hint="eastAsia" w:ascii="Times New Roman" w:hAnsi="Times New Roman" w:cs="Times New Roman" w:eastAsiaTheme="minorEastAsia"/>
                <w:color w:val="auto"/>
                <w:spacing w:val="-20"/>
                <w:kern w:val="0"/>
                <w:szCs w:val="21"/>
              </w:rPr>
              <w:t>55.5</w:t>
            </w:r>
          </w:p>
        </w:tc>
        <w:tc>
          <w:tcPr>
            <w:tcW w:w="709" w:type="dxa"/>
            <w:vMerge w:val="restart"/>
            <w:vAlign w:val="center"/>
          </w:tcPr>
          <w:p w14:paraId="05530CEB">
            <w:pPr>
              <w:widowControl/>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25</w:t>
            </w:r>
          </w:p>
        </w:tc>
        <w:tc>
          <w:tcPr>
            <w:tcW w:w="709" w:type="dxa"/>
            <w:vMerge w:val="restart"/>
            <w:vAlign w:val="center"/>
          </w:tcPr>
          <w:p w14:paraId="0CCFBE01">
            <w:pPr>
              <w:widowControl/>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5</w:t>
            </w:r>
          </w:p>
        </w:tc>
        <w:tc>
          <w:tcPr>
            <w:tcW w:w="4413" w:type="dxa"/>
            <w:vMerge w:val="restart"/>
            <w:vAlign w:val="center"/>
          </w:tcPr>
          <w:p w14:paraId="70601AEA">
            <w:pPr>
              <w:widowControl/>
              <w:rPr>
                <w:rFonts w:ascii="Times New Roman" w:hAnsi="Times New Roman" w:cs="Times New Roman" w:eastAsiaTheme="minorEastAsia"/>
                <w:color w:val="auto"/>
                <w:spacing w:val="0"/>
                <w:kern w:val="0"/>
                <w:sz w:val="21"/>
                <w:szCs w:val="21"/>
              </w:rPr>
            </w:pPr>
            <w:r>
              <w:rPr>
                <w:rFonts w:ascii="Times New Roman" w:cs="Times New Roman" w:hAnsiTheme="minorEastAsia" w:eastAsiaTheme="minorEastAsia"/>
                <w:color w:val="auto"/>
                <w:spacing w:val="0"/>
                <w:kern w:val="0"/>
                <w:sz w:val="21"/>
                <w:szCs w:val="21"/>
              </w:rPr>
              <w:t>路线以填方路基形式经过村庄。评价范围内现有居民</w:t>
            </w:r>
            <w:r>
              <w:rPr>
                <w:rFonts w:hint="eastAsia" w:ascii="Times New Roman" w:hAnsi="Times New Roman" w:cs="Times New Roman" w:eastAsiaTheme="minorEastAsia"/>
                <w:color w:val="auto"/>
                <w:spacing w:val="0"/>
                <w:kern w:val="0"/>
                <w:sz w:val="21"/>
                <w:szCs w:val="21"/>
              </w:rPr>
              <w:t>45</w:t>
            </w:r>
            <w:r>
              <w:rPr>
                <w:rFonts w:ascii="Times New Roman" w:cs="Times New Roman" w:hAnsiTheme="minorEastAsia" w:eastAsiaTheme="minorEastAsia"/>
                <w:color w:val="auto"/>
                <w:spacing w:val="0"/>
                <w:kern w:val="0"/>
                <w:sz w:val="21"/>
                <w:szCs w:val="21"/>
              </w:rPr>
              <w:t>户，首排</w:t>
            </w:r>
            <w:r>
              <w:rPr>
                <w:rFonts w:hint="eastAsia" w:ascii="Times New Roman" w:hAnsi="Times New Roman" w:cs="Times New Roman" w:eastAsiaTheme="minorEastAsia"/>
                <w:color w:val="auto"/>
                <w:spacing w:val="0"/>
                <w:kern w:val="0"/>
                <w:sz w:val="21"/>
                <w:szCs w:val="21"/>
              </w:rPr>
              <w:t>35</w:t>
            </w:r>
            <w:r>
              <w:rPr>
                <w:rFonts w:ascii="Times New Roman" w:cs="Times New Roman" w:hAnsiTheme="minorEastAsia" w:eastAsiaTheme="minorEastAsia"/>
                <w:color w:val="auto"/>
                <w:spacing w:val="0"/>
                <w:kern w:val="0"/>
                <w:sz w:val="21"/>
                <w:szCs w:val="21"/>
              </w:rPr>
              <w:t>户，</w:t>
            </w:r>
            <w:r>
              <w:rPr>
                <w:rFonts w:hint="eastAsia" w:ascii="Times New Roman" w:cs="Times New Roman" w:hAnsiTheme="minorEastAsia" w:eastAsiaTheme="minorEastAsia"/>
                <w:color w:val="auto"/>
                <w:spacing w:val="0"/>
                <w:kern w:val="0"/>
                <w:sz w:val="21"/>
                <w:szCs w:val="21"/>
              </w:rPr>
              <w:t>主要</w:t>
            </w:r>
            <w:r>
              <w:rPr>
                <w:rFonts w:ascii="Times New Roman" w:cs="Times New Roman" w:hAnsiTheme="minorEastAsia" w:eastAsiaTheme="minorEastAsia"/>
                <w:color w:val="auto"/>
                <w:spacing w:val="0"/>
                <w:kern w:val="0"/>
                <w:sz w:val="21"/>
                <w:szCs w:val="21"/>
              </w:rPr>
              <w:t>为</w:t>
            </w:r>
            <w:r>
              <w:rPr>
                <w:rFonts w:ascii="Times New Roman" w:hAnsi="Times New Roman" w:cs="Times New Roman" w:eastAsiaTheme="minorEastAsia"/>
                <w:color w:val="auto"/>
                <w:spacing w:val="0"/>
                <w:kern w:val="0"/>
                <w:sz w:val="21"/>
                <w:szCs w:val="21"/>
              </w:rPr>
              <w:t>1</w:t>
            </w:r>
            <w:r>
              <w:rPr>
                <w:rFonts w:ascii="Times New Roman" w:cs="Times New Roman" w:hAnsiTheme="minorEastAsia" w:eastAsiaTheme="minorEastAsia"/>
                <w:color w:val="auto"/>
                <w:spacing w:val="0"/>
                <w:kern w:val="0"/>
                <w:sz w:val="21"/>
                <w:szCs w:val="21"/>
              </w:rPr>
              <w:t>层砖混房，房屋正向拟建公路。</w:t>
            </w:r>
            <w:r>
              <w:rPr>
                <w:rFonts w:ascii="Times New Roman" w:hAnsi="Times New Roman" w:eastAsia="宋体" w:cs="Times New Roman"/>
                <w:color w:val="auto"/>
                <w:spacing w:val="0"/>
                <w:kern w:val="0"/>
                <w:sz w:val="21"/>
                <w:szCs w:val="21"/>
              </w:rPr>
              <w:t>该路段利用现有</w:t>
            </w:r>
            <w:r>
              <w:rPr>
                <w:rFonts w:hint="eastAsia" w:ascii="Times New Roman" w:hAnsi="Times New Roman" w:eastAsia="宋体" w:cs="Times New Roman"/>
                <w:color w:val="auto"/>
                <w:spacing w:val="0"/>
                <w:kern w:val="0"/>
                <w:sz w:val="21"/>
                <w:szCs w:val="21"/>
              </w:rPr>
              <w:t>老路</w:t>
            </w:r>
            <w:r>
              <w:rPr>
                <w:rFonts w:hint="eastAsia" w:ascii="宋体" w:hAnsi="宋体" w:eastAsia="宋体" w:cs="宋体"/>
                <w:color w:val="auto"/>
                <w:spacing w:val="0"/>
                <w:sz w:val="21"/>
                <w:szCs w:val="21"/>
              </w:rPr>
              <w:t>渐变拼宽和右侧加宽</w:t>
            </w:r>
            <w:r>
              <w:rPr>
                <w:rFonts w:ascii="Times New Roman" w:hAnsi="Times New Roman" w:eastAsia="宋体" w:cs="Times New Roman"/>
                <w:color w:val="auto"/>
                <w:spacing w:val="0"/>
                <w:kern w:val="0"/>
                <w:sz w:val="21"/>
                <w:szCs w:val="21"/>
              </w:rPr>
              <w:t>，有平交</w:t>
            </w:r>
            <w:r>
              <w:rPr>
                <w:rFonts w:hint="eastAsia" w:ascii="Times New Roman" w:hAnsi="Times New Roman" w:eastAsia="宋体" w:cs="Times New Roman"/>
                <w:color w:val="auto"/>
                <w:spacing w:val="0"/>
                <w:kern w:val="0"/>
                <w:sz w:val="21"/>
                <w:szCs w:val="21"/>
              </w:rPr>
              <w:t>路口</w:t>
            </w:r>
            <w:r>
              <w:rPr>
                <w:rFonts w:ascii="Times New Roman" w:hAnsi="Times New Roman" w:eastAsia="宋体" w:cs="Times New Roman"/>
                <w:color w:val="auto"/>
                <w:spacing w:val="0"/>
                <w:kern w:val="0"/>
                <w:sz w:val="21"/>
                <w:szCs w:val="21"/>
              </w:rPr>
              <w:t>，</w:t>
            </w:r>
            <w:r>
              <w:rPr>
                <w:rFonts w:ascii="Times New Roman" w:cs="Times New Roman" w:hAnsiTheme="minorEastAsia" w:eastAsiaTheme="minorEastAsia"/>
                <w:color w:val="auto"/>
                <w:spacing w:val="0"/>
                <w:kern w:val="0"/>
                <w:sz w:val="21"/>
                <w:szCs w:val="21"/>
              </w:rPr>
              <w:t>主要噪声源为现有</w:t>
            </w:r>
            <w:r>
              <w:rPr>
                <w:rFonts w:hint="eastAsia" w:ascii="Times New Roman" w:hAnsi="Times New Roman" w:cs="Times New Roman" w:eastAsiaTheme="minorEastAsia"/>
                <w:color w:val="auto"/>
                <w:spacing w:val="0"/>
                <w:kern w:val="0"/>
                <w:sz w:val="21"/>
                <w:szCs w:val="21"/>
              </w:rPr>
              <w:t>G219</w:t>
            </w:r>
            <w:r>
              <w:rPr>
                <w:rFonts w:ascii="Times New Roman" w:cs="Times New Roman" w:hAnsiTheme="minorEastAsia" w:eastAsiaTheme="minorEastAsia"/>
                <w:color w:val="auto"/>
                <w:spacing w:val="0"/>
                <w:kern w:val="0"/>
                <w:sz w:val="21"/>
                <w:szCs w:val="21"/>
              </w:rPr>
              <w:t>交通噪声和社会生活噪声。</w:t>
            </w:r>
          </w:p>
        </w:tc>
        <w:tc>
          <w:tcPr>
            <w:tcW w:w="2898" w:type="dxa"/>
            <w:vMerge w:val="restart"/>
            <w:vAlign w:val="center"/>
          </w:tcPr>
          <w:p w14:paraId="0B60785D">
            <w:pPr>
              <w:widowControl/>
              <w:jc w:val="center"/>
              <w:rPr>
                <w:rFonts w:ascii="Times New Roman" w:hAnsi="Times New Roman" w:cs="Times New Roman" w:eastAsiaTheme="minorEastAsia"/>
                <w:color w:val="auto"/>
                <w:spacing w:val="-20"/>
                <w:kern w:val="0"/>
                <w:szCs w:val="21"/>
              </w:rPr>
            </w:pPr>
            <w:r>
              <w:rPr>
                <w:rFonts w:ascii="Times New Roman" w:hAnsi="Times New Roman" w:cs="Times New Roman" w:eastAsiaTheme="minorEastAsia"/>
                <w:color w:val="auto"/>
                <w:spacing w:val="-20"/>
                <w:kern w:val="0"/>
                <w:szCs w:val="21"/>
              </w:rPr>
              <w:drawing>
                <wp:inline distT="0" distB="0" distL="0" distR="0">
                  <wp:extent cx="1729105" cy="1295400"/>
                  <wp:effectExtent l="0" t="0" r="4445" b="0"/>
                  <wp:docPr id="675940243" name="图片 4" descr="E:\咨询项目\环评\新疆-G219线八盘水磨至伽师公路\外业踏勘记录及照片\DSC090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940243" name="图片 4" descr="E:\咨询项目\环评\新疆-G219线八盘水磨至伽师公路\外业踏勘记录及照片\DSC09076.JPG"/>
                          <pic:cNvPicPr>
                            <a:picLocks noChangeAspect="1" noChangeArrowheads="1"/>
                          </pic:cNvPicPr>
                        </pic:nvPicPr>
                        <pic:blipFill>
                          <a:blip r:embed="rId159" cstate="print"/>
                          <a:srcRect/>
                          <a:stretch>
                            <a:fillRect/>
                          </a:stretch>
                        </pic:blipFill>
                        <pic:spPr>
                          <a:xfrm>
                            <a:off x="0" y="0"/>
                            <a:ext cx="1729728" cy="1296000"/>
                          </a:xfrm>
                          <a:prstGeom prst="rect">
                            <a:avLst/>
                          </a:prstGeom>
                          <a:noFill/>
                          <a:ln w="9525">
                            <a:noFill/>
                            <a:miter lim="800000"/>
                            <a:headEnd/>
                            <a:tailEnd/>
                          </a:ln>
                        </pic:spPr>
                      </pic:pic>
                    </a:graphicData>
                  </a:graphic>
                </wp:inline>
              </w:drawing>
            </w:r>
          </w:p>
        </w:tc>
      </w:tr>
      <w:tr w14:paraId="208EF8ED">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730" w:hRule="atLeast"/>
          <w:tblHeader/>
          <w:jc w:val="center"/>
        </w:trPr>
        <w:tc>
          <w:tcPr>
            <w:tcW w:w="567" w:type="dxa"/>
            <w:vMerge w:val="continue"/>
            <w:noWrap/>
            <w:vAlign w:val="center"/>
          </w:tcPr>
          <w:p w14:paraId="0234C2E9">
            <w:pPr>
              <w:widowControl/>
              <w:jc w:val="center"/>
              <w:rPr>
                <w:rFonts w:ascii="Times New Roman" w:hAnsi="Times New Roman" w:cs="Times New Roman" w:eastAsiaTheme="minorEastAsia"/>
                <w:color w:val="auto"/>
                <w:spacing w:val="-20"/>
                <w:kern w:val="0"/>
                <w:szCs w:val="21"/>
              </w:rPr>
            </w:pPr>
          </w:p>
        </w:tc>
        <w:tc>
          <w:tcPr>
            <w:tcW w:w="694" w:type="dxa"/>
            <w:vMerge w:val="continue"/>
            <w:vAlign w:val="center"/>
          </w:tcPr>
          <w:p w14:paraId="485A0A47">
            <w:pPr>
              <w:widowControl/>
              <w:jc w:val="center"/>
              <w:rPr>
                <w:rFonts w:ascii="Times New Roman" w:hAnsi="Times New Roman" w:cs="Times New Roman" w:eastAsiaTheme="minorEastAsia"/>
                <w:color w:val="auto"/>
                <w:spacing w:val="-20"/>
                <w:kern w:val="0"/>
                <w:szCs w:val="21"/>
              </w:rPr>
            </w:pPr>
          </w:p>
        </w:tc>
        <w:tc>
          <w:tcPr>
            <w:tcW w:w="1134" w:type="dxa"/>
            <w:vAlign w:val="center"/>
          </w:tcPr>
          <w:p w14:paraId="277B5DEE">
            <w:pPr>
              <w:widowControl/>
              <w:jc w:val="center"/>
              <w:rPr>
                <w:rFonts w:ascii="Times New Roman" w:hAnsi="Times New Roman" w:cs="Times New Roman" w:eastAsiaTheme="minorEastAsia"/>
                <w:color w:val="auto"/>
                <w:spacing w:val="-20"/>
                <w:szCs w:val="21"/>
              </w:rPr>
            </w:pPr>
            <w:r>
              <w:rPr>
                <w:rFonts w:ascii="Times New Roman" w:hAnsi="Times New Roman" w:cs="Times New Roman" w:eastAsiaTheme="minorEastAsia"/>
                <w:color w:val="auto"/>
                <w:spacing w:val="-20"/>
                <w:szCs w:val="21"/>
              </w:rPr>
              <w:t>K</w:t>
            </w:r>
            <w:r>
              <w:rPr>
                <w:rFonts w:hint="eastAsia" w:ascii="Times New Roman" w:hAnsi="Times New Roman" w:cs="Times New Roman" w:eastAsiaTheme="minorEastAsia"/>
                <w:color w:val="auto"/>
                <w:spacing w:val="-20"/>
                <w:szCs w:val="21"/>
              </w:rPr>
              <w:t>9</w:t>
            </w:r>
            <w:r>
              <w:rPr>
                <w:rFonts w:ascii="Times New Roman" w:hAnsi="Times New Roman" w:cs="Times New Roman" w:eastAsiaTheme="minorEastAsia"/>
                <w:color w:val="auto"/>
                <w:spacing w:val="-20"/>
                <w:szCs w:val="21"/>
              </w:rPr>
              <w:t>+</w:t>
            </w:r>
            <w:r>
              <w:rPr>
                <w:rFonts w:hint="eastAsia" w:ascii="Times New Roman" w:hAnsi="Times New Roman" w:cs="Times New Roman" w:eastAsiaTheme="minorEastAsia"/>
                <w:color w:val="auto"/>
                <w:spacing w:val="-20"/>
                <w:szCs w:val="21"/>
              </w:rPr>
              <w:t>90</w:t>
            </w:r>
            <w:r>
              <w:rPr>
                <w:rFonts w:ascii="Times New Roman" w:hAnsi="Times New Roman" w:cs="Times New Roman" w:eastAsiaTheme="minorEastAsia"/>
                <w:color w:val="auto"/>
                <w:spacing w:val="-20"/>
                <w:szCs w:val="21"/>
              </w:rPr>
              <w:t>0</w:t>
            </w:r>
            <w:r>
              <w:rPr>
                <w:rFonts w:ascii="Times New Roman" w:cs="Times New Roman" w:hAnsiTheme="minorEastAsia" w:eastAsiaTheme="minorEastAsia"/>
                <w:color w:val="auto"/>
                <w:spacing w:val="-20"/>
                <w:szCs w:val="21"/>
              </w:rPr>
              <w:t>～</w:t>
            </w:r>
            <w:r>
              <w:rPr>
                <w:rFonts w:ascii="Times New Roman" w:hAnsi="Times New Roman" w:cs="Times New Roman" w:eastAsiaTheme="minorEastAsia"/>
                <w:color w:val="auto"/>
                <w:spacing w:val="-20"/>
                <w:szCs w:val="21"/>
              </w:rPr>
              <w:t>K</w:t>
            </w:r>
            <w:r>
              <w:rPr>
                <w:rFonts w:hint="eastAsia" w:ascii="Times New Roman" w:hAnsi="Times New Roman" w:cs="Times New Roman" w:eastAsiaTheme="minorEastAsia"/>
                <w:color w:val="auto"/>
                <w:spacing w:val="-20"/>
                <w:szCs w:val="21"/>
              </w:rPr>
              <w:t>10</w:t>
            </w:r>
            <w:r>
              <w:rPr>
                <w:rFonts w:ascii="Times New Roman" w:hAnsi="Times New Roman" w:cs="Times New Roman" w:eastAsiaTheme="minorEastAsia"/>
                <w:color w:val="auto"/>
                <w:spacing w:val="-20"/>
                <w:szCs w:val="21"/>
              </w:rPr>
              <w:t>+</w:t>
            </w:r>
            <w:r>
              <w:rPr>
                <w:rFonts w:hint="eastAsia" w:ascii="Times New Roman" w:hAnsi="Times New Roman" w:cs="Times New Roman" w:eastAsiaTheme="minorEastAsia"/>
                <w:color w:val="auto"/>
                <w:spacing w:val="-20"/>
                <w:szCs w:val="21"/>
              </w:rPr>
              <w:t>05</w:t>
            </w:r>
            <w:r>
              <w:rPr>
                <w:rFonts w:ascii="Times New Roman" w:hAnsi="Times New Roman" w:cs="Times New Roman" w:eastAsiaTheme="minorEastAsia"/>
                <w:color w:val="auto"/>
                <w:spacing w:val="-20"/>
                <w:szCs w:val="21"/>
              </w:rPr>
              <w:t>0</w:t>
            </w:r>
          </w:p>
        </w:tc>
        <w:tc>
          <w:tcPr>
            <w:tcW w:w="851" w:type="dxa"/>
            <w:vMerge w:val="continue"/>
            <w:vAlign w:val="center"/>
          </w:tcPr>
          <w:p w14:paraId="78597FDE">
            <w:pPr>
              <w:widowControl/>
              <w:jc w:val="center"/>
              <w:rPr>
                <w:rFonts w:ascii="Times New Roman" w:cs="Times New Roman" w:hAnsiTheme="minorEastAsia" w:eastAsiaTheme="minorEastAsia"/>
                <w:color w:val="auto"/>
                <w:spacing w:val="-20"/>
                <w:szCs w:val="21"/>
              </w:rPr>
            </w:pPr>
          </w:p>
        </w:tc>
        <w:tc>
          <w:tcPr>
            <w:tcW w:w="850" w:type="dxa"/>
            <w:vMerge w:val="continue"/>
            <w:vAlign w:val="center"/>
          </w:tcPr>
          <w:p w14:paraId="0241AE95">
            <w:pPr>
              <w:widowControl/>
              <w:jc w:val="center"/>
              <w:rPr>
                <w:rFonts w:ascii="Times New Roman" w:hAnsi="Times New Roman" w:cs="Times New Roman" w:eastAsiaTheme="minorEastAsia"/>
                <w:color w:val="auto"/>
                <w:spacing w:val="-20"/>
                <w:kern w:val="0"/>
                <w:szCs w:val="21"/>
              </w:rPr>
            </w:pPr>
          </w:p>
        </w:tc>
        <w:tc>
          <w:tcPr>
            <w:tcW w:w="661" w:type="dxa"/>
            <w:vMerge w:val="continue"/>
            <w:vAlign w:val="center"/>
          </w:tcPr>
          <w:p w14:paraId="5F1206CF">
            <w:pPr>
              <w:widowControl/>
              <w:jc w:val="center"/>
              <w:rPr>
                <w:rFonts w:ascii="Times New Roman" w:cs="Times New Roman" w:hAnsiTheme="minorEastAsia" w:eastAsiaTheme="minorEastAsia"/>
                <w:color w:val="auto"/>
                <w:spacing w:val="-20"/>
                <w:szCs w:val="21"/>
              </w:rPr>
            </w:pPr>
          </w:p>
        </w:tc>
        <w:tc>
          <w:tcPr>
            <w:tcW w:w="662" w:type="dxa"/>
            <w:vMerge w:val="continue"/>
            <w:vAlign w:val="center"/>
          </w:tcPr>
          <w:p w14:paraId="116866F0">
            <w:pPr>
              <w:widowControl/>
              <w:jc w:val="center"/>
              <w:rPr>
                <w:rFonts w:ascii="Times New Roman" w:cs="Times New Roman" w:hAnsiTheme="minorEastAsia" w:eastAsiaTheme="minorEastAsia"/>
                <w:color w:val="auto"/>
                <w:spacing w:val="-20"/>
                <w:szCs w:val="21"/>
              </w:rPr>
            </w:pPr>
          </w:p>
        </w:tc>
        <w:tc>
          <w:tcPr>
            <w:tcW w:w="663" w:type="dxa"/>
            <w:vMerge w:val="continue"/>
            <w:vAlign w:val="center"/>
          </w:tcPr>
          <w:p w14:paraId="4E769728">
            <w:pPr>
              <w:widowControl/>
              <w:jc w:val="center"/>
              <w:rPr>
                <w:rFonts w:ascii="Times New Roman" w:cs="Times New Roman" w:hAnsiTheme="minorEastAsia" w:eastAsiaTheme="minorEastAsia"/>
                <w:color w:val="auto"/>
                <w:spacing w:val="-20"/>
                <w:szCs w:val="21"/>
              </w:rPr>
            </w:pPr>
          </w:p>
        </w:tc>
        <w:tc>
          <w:tcPr>
            <w:tcW w:w="566" w:type="dxa"/>
            <w:vMerge w:val="continue"/>
            <w:vAlign w:val="center"/>
          </w:tcPr>
          <w:p w14:paraId="6467C60B">
            <w:pPr>
              <w:widowControl/>
              <w:jc w:val="center"/>
              <w:rPr>
                <w:rFonts w:ascii="Times New Roman" w:cs="Times New Roman" w:hAnsiTheme="minorEastAsia" w:eastAsiaTheme="minorEastAsia"/>
                <w:color w:val="auto"/>
                <w:spacing w:val="-20"/>
                <w:szCs w:val="21"/>
              </w:rPr>
            </w:pPr>
          </w:p>
        </w:tc>
        <w:tc>
          <w:tcPr>
            <w:tcW w:w="708" w:type="dxa"/>
            <w:vMerge w:val="continue"/>
            <w:vAlign w:val="center"/>
          </w:tcPr>
          <w:p w14:paraId="169682EE">
            <w:pPr>
              <w:widowControl/>
              <w:jc w:val="center"/>
              <w:rPr>
                <w:rFonts w:ascii="Times New Roman" w:hAnsi="Times New Roman" w:cs="Times New Roman" w:eastAsiaTheme="minorEastAsia"/>
                <w:color w:val="auto"/>
                <w:spacing w:val="-20"/>
                <w:szCs w:val="21"/>
              </w:rPr>
            </w:pPr>
          </w:p>
        </w:tc>
        <w:tc>
          <w:tcPr>
            <w:tcW w:w="709" w:type="dxa"/>
            <w:vMerge w:val="continue"/>
            <w:vAlign w:val="center"/>
          </w:tcPr>
          <w:p w14:paraId="339436A9">
            <w:pPr>
              <w:widowControl/>
              <w:jc w:val="center"/>
              <w:rPr>
                <w:rFonts w:ascii="Times New Roman" w:hAnsi="Times New Roman" w:cs="Times New Roman" w:eastAsiaTheme="minorEastAsia"/>
                <w:color w:val="auto"/>
                <w:spacing w:val="-20"/>
                <w:kern w:val="0"/>
                <w:szCs w:val="21"/>
              </w:rPr>
            </w:pPr>
          </w:p>
        </w:tc>
        <w:tc>
          <w:tcPr>
            <w:tcW w:w="992" w:type="dxa"/>
            <w:vMerge w:val="continue"/>
            <w:vAlign w:val="center"/>
          </w:tcPr>
          <w:p w14:paraId="7CD8D542">
            <w:pPr>
              <w:widowControl/>
              <w:jc w:val="center"/>
              <w:rPr>
                <w:rFonts w:ascii="Times New Roman" w:hAnsi="Times New Roman" w:cs="Times New Roman" w:eastAsiaTheme="minorEastAsia"/>
                <w:color w:val="auto"/>
                <w:spacing w:val="-20"/>
                <w:kern w:val="0"/>
                <w:szCs w:val="21"/>
              </w:rPr>
            </w:pPr>
          </w:p>
        </w:tc>
        <w:tc>
          <w:tcPr>
            <w:tcW w:w="993" w:type="dxa"/>
            <w:vMerge w:val="continue"/>
            <w:vAlign w:val="center"/>
          </w:tcPr>
          <w:p w14:paraId="0FC26962">
            <w:pPr>
              <w:widowControl/>
              <w:jc w:val="center"/>
              <w:rPr>
                <w:rFonts w:ascii="Times New Roman" w:hAnsi="Times New Roman" w:cs="Times New Roman" w:eastAsiaTheme="minorEastAsia"/>
                <w:color w:val="auto"/>
                <w:spacing w:val="-20"/>
                <w:kern w:val="0"/>
                <w:szCs w:val="21"/>
              </w:rPr>
            </w:pPr>
          </w:p>
        </w:tc>
        <w:tc>
          <w:tcPr>
            <w:tcW w:w="567" w:type="dxa"/>
            <w:vMerge w:val="continue"/>
            <w:vAlign w:val="center"/>
          </w:tcPr>
          <w:p w14:paraId="263293C6">
            <w:pPr>
              <w:widowControl/>
              <w:jc w:val="center"/>
              <w:rPr>
                <w:rFonts w:ascii="Times New Roman" w:cs="Times New Roman" w:hAnsiTheme="minorEastAsia" w:eastAsiaTheme="minorEastAsia"/>
                <w:color w:val="auto"/>
                <w:spacing w:val="-20"/>
                <w:kern w:val="0"/>
                <w:szCs w:val="21"/>
              </w:rPr>
            </w:pPr>
          </w:p>
        </w:tc>
        <w:tc>
          <w:tcPr>
            <w:tcW w:w="992" w:type="dxa"/>
            <w:vMerge w:val="continue"/>
            <w:vAlign w:val="center"/>
          </w:tcPr>
          <w:p w14:paraId="120C686B">
            <w:pPr>
              <w:jc w:val="center"/>
              <w:rPr>
                <w:rFonts w:ascii="Times New Roman" w:hAnsi="Times New Roman" w:cs="Times New Roman" w:eastAsiaTheme="minorEastAsia"/>
                <w:color w:val="auto"/>
                <w:spacing w:val="-20"/>
                <w:kern w:val="0"/>
                <w:szCs w:val="21"/>
              </w:rPr>
            </w:pPr>
          </w:p>
        </w:tc>
        <w:tc>
          <w:tcPr>
            <w:tcW w:w="709" w:type="dxa"/>
            <w:vMerge w:val="continue"/>
            <w:vAlign w:val="center"/>
          </w:tcPr>
          <w:p w14:paraId="7B3CA230">
            <w:pPr>
              <w:widowControl/>
              <w:jc w:val="center"/>
              <w:rPr>
                <w:rFonts w:ascii="Times New Roman" w:hAnsi="Times New Roman" w:cs="Times New Roman" w:eastAsiaTheme="minorEastAsia"/>
                <w:color w:val="auto"/>
                <w:spacing w:val="-20"/>
                <w:kern w:val="0"/>
                <w:szCs w:val="21"/>
              </w:rPr>
            </w:pPr>
          </w:p>
        </w:tc>
        <w:tc>
          <w:tcPr>
            <w:tcW w:w="709" w:type="dxa"/>
            <w:vMerge w:val="continue"/>
            <w:vAlign w:val="center"/>
          </w:tcPr>
          <w:p w14:paraId="187CE24D">
            <w:pPr>
              <w:widowControl/>
              <w:jc w:val="center"/>
              <w:rPr>
                <w:rFonts w:ascii="Times New Roman" w:hAnsi="Times New Roman" w:cs="Times New Roman" w:eastAsiaTheme="minorEastAsia"/>
                <w:color w:val="auto"/>
                <w:spacing w:val="-20"/>
                <w:kern w:val="0"/>
                <w:szCs w:val="21"/>
              </w:rPr>
            </w:pPr>
          </w:p>
        </w:tc>
        <w:tc>
          <w:tcPr>
            <w:tcW w:w="4413" w:type="dxa"/>
            <w:vMerge w:val="continue"/>
            <w:vAlign w:val="center"/>
          </w:tcPr>
          <w:p w14:paraId="4594497D">
            <w:pPr>
              <w:widowControl/>
              <w:rPr>
                <w:rFonts w:ascii="Times New Roman" w:cs="Times New Roman" w:hAnsiTheme="minorEastAsia" w:eastAsiaTheme="minorEastAsia"/>
                <w:color w:val="auto"/>
                <w:spacing w:val="-20"/>
                <w:kern w:val="0"/>
                <w:szCs w:val="21"/>
              </w:rPr>
            </w:pPr>
          </w:p>
        </w:tc>
        <w:tc>
          <w:tcPr>
            <w:tcW w:w="2898" w:type="dxa"/>
            <w:vMerge w:val="continue"/>
            <w:vAlign w:val="center"/>
          </w:tcPr>
          <w:p w14:paraId="11083E56">
            <w:pPr>
              <w:widowControl/>
              <w:jc w:val="center"/>
              <w:rPr>
                <w:rFonts w:ascii="Times New Roman" w:hAnsi="Times New Roman" w:cs="Times New Roman" w:eastAsiaTheme="minorEastAsia"/>
                <w:color w:val="auto"/>
                <w:spacing w:val="-20"/>
                <w:kern w:val="0"/>
                <w:szCs w:val="21"/>
              </w:rPr>
            </w:pPr>
          </w:p>
        </w:tc>
      </w:tr>
      <w:tr w14:paraId="46EDAF4B">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730" w:hRule="atLeast"/>
          <w:tblHeader/>
          <w:jc w:val="center"/>
        </w:trPr>
        <w:tc>
          <w:tcPr>
            <w:tcW w:w="567" w:type="dxa"/>
            <w:vMerge w:val="continue"/>
            <w:noWrap/>
            <w:vAlign w:val="center"/>
          </w:tcPr>
          <w:p w14:paraId="5CB80233">
            <w:pPr>
              <w:widowControl/>
              <w:jc w:val="center"/>
              <w:rPr>
                <w:rFonts w:ascii="Times New Roman" w:hAnsi="Times New Roman" w:cs="Times New Roman" w:eastAsiaTheme="minorEastAsia"/>
                <w:color w:val="auto"/>
                <w:spacing w:val="-20"/>
                <w:kern w:val="0"/>
                <w:szCs w:val="21"/>
              </w:rPr>
            </w:pPr>
          </w:p>
        </w:tc>
        <w:tc>
          <w:tcPr>
            <w:tcW w:w="694" w:type="dxa"/>
            <w:vMerge w:val="continue"/>
            <w:vAlign w:val="center"/>
          </w:tcPr>
          <w:p w14:paraId="081FDF83">
            <w:pPr>
              <w:widowControl/>
              <w:jc w:val="center"/>
              <w:rPr>
                <w:rFonts w:ascii="Times New Roman" w:hAnsi="Times New Roman" w:cs="Times New Roman" w:eastAsiaTheme="minorEastAsia"/>
                <w:color w:val="auto"/>
                <w:spacing w:val="-20"/>
                <w:kern w:val="0"/>
                <w:szCs w:val="21"/>
              </w:rPr>
            </w:pPr>
          </w:p>
        </w:tc>
        <w:tc>
          <w:tcPr>
            <w:tcW w:w="1134" w:type="dxa"/>
            <w:vAlign w:val="center"/>
          </w:tcPr>
          <w:p w14:paraId="02F92927">
            <w:pPr>
              <w:widowControl/>
              <w:jc w:val="center"/>
              <w:rPr>
                <w:rFonts w:ascii="Times New Roman" w:hAnsi="Times New Roman" w:cs="Times New Roman" w:eastAsiaTheme="minorEastAsia"/>
                <w:color w:val="auto"/>
                <w:spacing w:val="-20"/>
                <w:szCs w:val="21"/>
              </w:rPr>
            </w:pPr>
            <w:r>
              <w:rPr>
                <w:rFonts w:ascii="Times New Roman" w:hAnsi="Times New Roman" w:cs="Times New Roman" w:eastAsiaTheme="minorEastAsia"/>
                <w:color w:val="auto"/>
                <w:spacing w:val="-20"/>
                <w:szCs w:val="21"/>
              </w:rPr>
              <w:t>K</w:t>
            </w:r>
            <w:r>
              <w:rPr>
                <w:rFonts w:hint="eastAsia" w:ascii="Times New Roman" w:hAnsi="Times New Roman" w:cs="Times New Roman" w:eastAsiaTheme="minorEastAsia"/>
                <w:color w:val="auto"/>
                <w:spacing w:val="-20"/>
                <w:szCs w:val="21"/>
              </w:rPr>
              <w:t>10</w:t>
            </w:r>
            <w:r>
              <w:rPr>
                <w:rFonts w:ascii="Times New Roman" w:hAnsi="Times New Roman" w:cs="Times New Roman" w:eastAsiaTheme="minorEastAsia"/>
                <w:color w:val="auto"/>
                <w:spacing w:val="-20"/>
                <w:szCs w:val="21"/>
              </w:rPr>
              <w:t>+</w:t>
            </w:r>
            <w:r>
              <w:rPr>
                <w:rFonts w:hint="eastAsia" w:ascii="Times New Roman" w:hAnsi="Times New Roman" w:cs="Times New Roman" w:eastAsiaTheme="minorEastAsia"/>
                <w:color w:val="auto"/>
                <w:spacing w:val="-20"/>
                <w:szCs w:val="21"/>
              </w:rPr>
              <w:t>30</w:t>
            </w:r>
            <w:r>
              <w:rPr>
                <w:rFonts w:ascii="Times New Roman" w:hAnsi="Times New Roman" w:cs="Times New Roman" w:eastAsiaTheme="minorEastAsia"/>
                <w:color w:val="auto"/>
                <w:spacing w:val="-20"/>
                <w:szCs w:val="21"/>
              </w:rPr>
              <w:t>0</w:t>
            </w:r>
            <w:r>
              <w:rPr>
                <w:rFonts w:ascii="Times New Roman" w:cs="Times New Roman" w:hAnsiTheme="minorEastAsia" w:eastAsiaTheme="minorEastAsia"/>
                <w:color w:val="auto"/>
                <w:spacing w:val="-20"/>
                <w:szCs w:val="21"/>
              </w:rPr>
              <w:t>～</w:t>
            </w:r>
            <w:r>
              <w:rPr>
                <w:rFonts w:ascii="Times New Roman" w:hAnsi="Times New Roman" w:cs="Times New Roman" w:eastAsiaTheme="minorEastAsia"/>
                <w:color w:val="auto"/>
                <w:spacing w:val="-20"/>
                <w:szCs w:val="21"/>
              </w:rPr>
              <w:t>K</w:t>
            </w:r>
            <w:r>
              <w:rPr>
                <w:rFonts w:hint="eastAsia" w:ascii="Times New Roman" w:hAnsi="Times New Roman" w:cs="Times New Roman" w:eastAsiaTheme="minorEastAsia"/>
                <w:color w:val="auto"/>
                <w:spacing w:val="-20"/>
                <w:szCs w:val="21"/>
              </w:rPr>
              <w:t>10</w:t>
            </w:r>
            <w:r>
              <w:rPr>
                <w:rFonts w:ascii="Times New Roman" w:hAnsi="Times New Roman" w:cs="Times New Roman" w:eastAsiaTheme="minorEastAsia"/>
                <w:color w:val="auto"/>
                <w:spacing w:val="-20"/>
                <w:szCs w:val="21"/>
              </w:rPr>
              <w:t>+</w:t>
            </w:r>
            <w:r>
              <w:rPr>
                <w:rFonts w:hint="eastAsia" w:ascii="Times New Roman" w:hAnsi="Times New Roman" w:cs="Times New Roman" w:eastAsiaTheme="minorEastAsia"/>
                <w:color w:val="auto"/>
                <w:spacing w:val="-20"/>
                <w:szCs w:val="21"/>
              </w:rPr>
              <w:t>75</w:t>
            </w:r>
            <w:r>
              <w:rPr>
                <w:rFonts w:ascii="Times New Roman" w:hAnsi="Times New Roman" w:cs="Times New Roman" w:eastAsiaTheme="minorEastAsia"/>
                <w:color w:val="auto"/>
                <w:spacing w:val="-20"/>
                <w:szCs w:val="21"/>
              </w:rPr>
              <w:t>0</w:t>
            </w:r>
          </w:p>
        </w:tc>
        <w:tc>
          <w:tcPr>
            <w:tcW w:w="851" w:type="dxa"/>
            <w:vMerge w:val="continue"/>
            <w:vAlign w:val="center"/>
          </w:tcPr>
          <w:p w14:paraId="3C314ACE">
            <w:pPr>
              <w:widowControl/>
              <w:jc w:val="center"/>
              <w:rPr>
                <w:rFonts w:ascii="Times New Roman" w:cs="Times New Roman" w:hAnsiTheme="minorEastAsia" w:eastAsiaTheme="minorEastAsia"/>
                <w:color w:val="auto"/>
                <w:spacing w:val="-20"/>
                <w:szCs w:val="21"/>
              </w:rPr>
            </w:pPr>
          </w:p>
        </w:tc>
        <w:tc>
          <w:tcPr>
            <w:tcW w:w="850" w:type="dxa"/>
            <w:vMerge w:val="continue"/>
            <w:vAlign w:val="center"/>
          </w:tcPr>
          <w:p w14:paraId="3133B6F5">
            <w:pPr>
              <w:widowControl/>
              <w:jc w:val="center"/>
              <w:rPr>
                <w:rFonts w:ascii="Times New Roman" w:hAnsi="Times New Roman" w:cs="Times New Roman" w:eastAsiaTheme="minorEastAsia"/>
                <w:color w:val="auto"/>
                <w:spacing w:val="-20"/>
                <w:kern w:val="0"/>
                <w:szCs w:val="21"/>
              </w:rPr>
            </w:pPr>
          </w:p>
        </w:tc>
        <w:tc>
          <w:tcPr>
            <w:tcW w:w="661" w:type="dxa"/>
            <w:vMerge w:val="continue"/>
            <w:vAlign w:val="center"/>
          </w:tcPr>
          <w:p w14:paraId="6E936297">
            <w:pPr>
              <w:widowControl/>
              <w:jc w:val="center"/>
              <w:rPr>
                <w:rFonts w:ascii="Times New Roman" w:cs="Times New Roman" w:hAnsiTheme="minorEastAsia" w:eastAsiaTheme="minorEastAsia"/>
                <w:color w:val="auto"/>
                <w:spacing w:val="-20"/>
                <w:szCs w:val="21"/>
              </w:rPr>
            </w:pPr>
          </w:p>
        </w:tc>
        <w:tc>
          <w:tcPr>
            <w:tcW w:w="662" w:type="dxa"/>
            <w:vMerge w:val="continue"/>
            <w:vAlign w:val="center"/>
          </w:tcPr>
          <w:p w14:paraId="0F846E37">
            <w:pPr>
              <w:widowControl/>
              <w:jc w:val="center"/>
              <w:rPr>
                <w:rFonts w:ascii="Times New Roman" w:cs="Times New Roman" w:hAnsiTheme="minorEastAsia" w:eastAsiaTheme="minorEastAsia"/>
                <w:color w:val="auto"/>
                <w:spacing w:val="-20"/>
                <w:szCs w:val="21"/>
              </w:rPr>
            </w:pPr>
          </w:p>
        </w:tc>
        <w:tc>
          <w:tcPr>
            <w:tcW w:w="663" w:type="dxa"/>
            <w:vMerge w:val="continue"/>
            <w:vAlign w:val="center"/>
          </w:tcPr>
          <w:p w14:paraId="1C53CFBE">
            <w:pPr>
              <w:widowControl/>
              <w:jc w:val="center"/>
              <w:rPr>
                <w:rFonts w:ascii="Times New Roman" w:cs="Times New Roman" w:hAnsiTheme="minorEastAsia" w:eastAsiaTheme="minorEastAsia"/>
                <w:color w:val="auto"/>
                <w:spacing w:val="-20"/>
                <w:szCs w:val="21"/>
              </w:rPr>
            </w:pPr>
          </w:p>
        </w:tc>
        <w:tc>
          <w:tcPr>
            <w:tcW w:w="566" w:type="dxa"/>
            <w:vMerge w:val="continue"/>
            <w:vAlign w:val="center"/>
          </w:tcPr>
          <w:p w14:paraId="611B10BA">
            <w:pPr>
              <w:widowControl/>
              <w:jc w:val="center"/>
              <w:rPr>
                <w:rFonts w:ascii="Times New Roman" w:cs="Times New Roman" w:hAnsiTheme="minorEastAsia" w:eastAsiaTheme="minorEastAsia"/>
                <w:color w:val="auto"/>
                <w:spacing w:val="-20"/>
                <w:szCs w:val="21"/>
              </w:rPr>
            </w:pPr>
          </w:p>
        </w:tc>
        <w:tc>
          <w:tcPr>
            <w:tcW w:w="708" w:type="dxa"/>
            <w:vAlign w:val="center"/>
          </w:tcPr>
          <w:p w14:paraId="5A16734B">
            <w:pPr>
              <w:widowControl/>
              <w:jc w:val="center"/>
              <w:rPr>
                <w:rFonts w:ascii="Times New Roman" w:hAnsi="Times New Roman" w:cs="Times New Roman" w:eastAsiaTheme="minorEastAsia"/>
                <w:color w:val="auto"/>
                <w:spacing w:val="-20"/>
                <w:szCs w:val="21"/>
              </w:rPr>
            </w:pPr>
            <w:r>
              <w:rPr>
                <w:rFonts w:hint="eastAsia" w:ascii="Times New Roman" w:hAnsi="Times New Roman" w:cs="Times New Roman" w:eastAsiaTheme="minorEastAsia"/>
                <w:color w:val="auto"/>
                <w:spacing w:val="-20"/>
                <w:szCs w:val="21"/>
              </w:rPr>
              <w:t>41</w:t>
            </w:r>
          </w:p>
        </w:tc>
        <w:tc>
          <w:tcPr>
            <w:tcW w:w="709" w:type="dxa"/>
            <w:vAlign w:val="center"/>
          </w:tcPr>
          <w:p w14:paraId="44BD23B1">
            <w:pPr>
              <w:widowControl/>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20.5</w:t>
            </w:r>
          </w:p>
        </w:tc>
        <w:tc>
          <w:tcPr>
            <w:tcW w:w="992" w:type="dxa"/>
            <w:vMerge w:val="continue"/>
            <w:vAlign w:val="center"/>
          </w:tcPr>
          <w:p w14:paraId="71A75C94">
            <w:pPr>
              <w:widowControl/>
              <w:jc w:val="center"/>
              <w:rPr>
                <w:rFonts w:ascii="Times New Roman" w:hAnsi="Times New Roman" w:cs="Times New Roman" w:eastAsiaTheme="minorEastAsia"/>
                <w:color w:val="auto"/>
                <w:spacing w:val="-20"/>
                <w:kern w:val="0"/>
                <w:szCs w:val="21"/>
              </w:rPr>
            </w:pPr>
          </w:p>
        </w:tc>
        <w:tc>
          <w:tcPr>
            <w:tcW w:w="993" w:type="dxa"/>
            <w:vMerge w:val="continue"/>
            <w:vAlign w:val="center"/>
          </w:tcPr>
          <w:p w14:paraId="1C11DE13">
            <w:pPr>
              <w:widowControl/>
              <w:jc w:val="center"/>
              <w:rPr>
                <w:rFonts w:ascii="Times New Roman" w:hAnsi="Times New Roman" w:cs="Times New Roman" w:eastAsiaTheme="minorEastAsia"/>
                <w:color w:val="auto"/>
                <w:spacing w:val="-20"/>
                <w:kern w:val="0"/>
                <w:szCs w:val="21"/>
              </w:rPr>
            </w:pPr>
          </w:p>
        </w:tc>
        <w:tc>
          <w:tcPr>
            <w:tcW w:w="567" w:type="dxa"/>
            <w:vMerge w:val="continue"/>
            <w:vAlign w:val="center"/>
          </w:tcPr>
          <w:p w14:paraId="5F1F11D8">
            <w:pPr>
              <w:widowControl/>
              <w:jc w:val="center"/>
              <w:rPr>
                <w:rFonts w:ascii="Times New Roman" w:cs="Times New Roman" w:hAnsiTheme="minorEastAsia" w:eastAsiaTheme="minorEastAsia"/>
                <w:color w:val="auto"/>
                <w:spacing w:val="-20"/>
                <w:kern w:val="0"/>
                <w:szCs w:val="21"/>
              </w:rPr>
            </w:pPr>
          </w:p>
        </w:tc>
        <w:tc>
          <w:tcPr>
            <w:tcW w:w="992" w:type="dxa"/>
            <w:vMerge w:val="continue"/>
            <w:vAlign w:val="center"/>
          </w:tcPr>
          <w:p w14:paraId="23426E81">
            <w:pPr>
              <w:jc w:val="center"/>
              <w:rPr>
                <w:rFonts w:ascii="Times New Roman" w:hAnsi="Times New Roman" w:cs="Times New Roman" w:eastAsiaTheme="minorEastAsia"/>
                <w:color w:val="auto"/>
                <w:spacing w:val="-20"/>
                <w:kern w:val="0"/>
                <w:szCs w:val="21"/>
              </w:rPr>
            </w:pPr>
          </w:p>
        </w:tc>
        <w:tc>
          <w:tcPr>
            <w:tcW w:w="709" w:type="dxa"/>
            <w:vAlign w:val="center"/>
          </w:tcPr>
          <w:p w14:paraId="6BDB9568">
            <w:pPr>
              <w:widowControl/>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10</w:t>
            </w:r>
          </w:p>
        </w:tc>
        <w:tc>
          <w:tcPr>
            <w:tcW w:w="709" w:type="dxa"/>
            <w:vAlign w:val="center"/>
          </w:tcPr>
          <w:p w14:paraId="3260A2FB">
            <w:pPr>
              <w:widowControl/>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5</w:t>
            </w:r>
          </w:p>
        </w:tc>
        <w:tc>
          <w:tcPr>
            <w:tcW w:w="4413" w:type="dxa"/>
            <w:vMerge w:val="continue"/>
            <w:vAlign w:val="center"/>
          </w:tcPr>
          <w:p w14:paraId="7372A9DC">
            <w:pPr>
              <w:widowControl/>
              <w:rPr>
                <w:rFonts w:ascii="Times New Roman" w:cs="Times New Roman" w:hAnsiTheme="minorEastAsia" w:eastAsiaTheme="minorEastAsia"/>
                <w:color w:val="auto"/>
                <w:spacing w:val="-20"/>
                <w:kern w:val="0"/>
                <w:szCs w:val="21"/>
              </w:rPr>
            </w:pPr>
          </w:p>
        </w:tc>
        <w:tc>
          <w:tcPr>
            <w:tcW w:w="2898" w:type="dxa"/>
            <w:vMerge w:val="continue"/>
            <w:vAlign w:val="center"/>
          </w:tcPr>
          <w:p w14:paraId="0672198B">
            <w:pPr>
              <w:widowControl/>
              <w:jc w:val="center"/>
              <w:rPr>
                <w:rFonts w:ascii="Times New Roman" w:hAnsi="Times New Roman" w:cs="Times New Roman" w:eastAsiaTheme="minorEastAsia"/>
                <w:color w:val="auto"/>
                <w:spacing w:val="-20"/>
                <w:kern w:val="0"/>
                <w:szCs w:val="21"/>
              </w:rPr>
            </w:pPr>
          </w:p>
        </w:tc>
      </w:tr>
    </w:tbl>
    <w:p w14:paraId="727C3448">
      <w:pPr>
        <w:rPr>
          <w:rFonts w:ascii="Times New Roman" w:hAnsi="Times New Roman" w:eastAsia="宋体" w:cs="Times New Roman"/>
          <w:color w:val="auto"/>
          <w:szCs w:val="21"/>
        </w:rPr>
      </w:pPr>
      <w:r>
        <w:rPr>
          <w:rFonts w:hint="eastAsia" w:ascii="Times New Roman" w:hAnsi="Times New Roman" w:eastAsia="宋体" w:cs="Times New Roman"/>
          <w:color w:val="auto"/>
          <w:szCs w:val="21"/>
        </w:rPr>
        <w:t>（接下页）</w:t>
      </w:r>
    </w:p>
    <w:p w14:paraId="271FADC2">
      <w:pPr>
        <w:widowControl/>
        <w:spacing w:beforeLines="50"/>
        <w:jc w:val="center"/>
        <w:rPr>
          <w:rFonts w:ascii="Times New Roman" w:hAnsi="Times New Roman" w:cs="Times New Roman" w:eastAsiaTheme="minorEastAsia"/>
          <w:color w:val="auto"/>
          <w:szCs w:val="21"/>
        </w:rPr>
      </w:pPr>
      <w:r>
        <w:rPr>
          <w:rFonts w:ascii="Times New Roman" w:cs="Times New Roman" w:hAnsiTheme="minorEastAsia" w:eastAsiaTheme="minorEastAsia"/>
          <w:b/>
          <w:color w:val="auto"/>
          <w:szCs w:val="21"/>
        </w:rPr>
        <w:br w:type="page"/>
      </w:r>
      <w:r>
        <w:rPr>
          <w:rFonts w:ascii="Times New Roman" w:cs="Times New Roman" w:hAnsiTheme="minorEastAsia" w:eastAsiaTheme="minorEastAsia"/>
          <w:b/>
          <w:color w:val="auto"/>
          <w:szCs w:val="21"/>
        </w:rPr>
        <w:t>续</w:t>
      </w:r>
      <w:r>
        <w:rPr>
          <w:rFonts w:hint="eastAsia" w:ascii="Times New Roman" w:cs="Times New Roman" w:hAnsiTheme="minorEastAsia" w:eastAsiaTheme="minorEastAsia"/>
          <w:b/>
          <w:color w:val="auto"/>
          <w:szCs w:val="21"/>
        </w:rPr>
        <w:t xml:space="preserve"> </w:t>
      </w:r>
      <w:r>
        <w:rPr>
          <w:rFonts w:ascii="Times New Roman" w:cs="Times New Roman" w:hAnsiTheme="minorEastAsia" w:eastAsiaTheme="minorEastAsia"/>
          <w:b/>
          <w:color w:val="auto"/>
          <w:szCs w:val="21"/>
        </w:rPr>
        <w:t>表</w:t>
      </w:r>
      <w:r>
        <w:rPr>
          <w:rFonts w:ascii="Times New Roman" w:hAnsi="Times New Roman" w:cs="Times New Roman" w:eastAsiaTheme="minorEastAsia"/>
          <w:b/>
          <w:color w:val="auto"/>
          <w:szCs w:val="21"/>
        </w:rPr>
        <w:t>1.</w:t>
      </w:r>
      <w:r>
        <w:rPr>
          <w:rFonts w:hint="eastAsia" w:ascii="Times New Roman" w:hAnsi="Times New Roman" w:cs="Times New Roman" w:eastAsiaTheme="minorEastAsia"/>
          <w:b/>
          <w:color w:val="auto"/>
          <w:szCs w:val="21"/>
        </w:rPr>
        <w:t>6</w:t>
      </w:r>
      <w:r>
        <w:rPr>
          <w:rFonts w:ascii="Times New Roman" w:hAnsi="Times New Roman" w:cs="Times New Roman" w:eastAsiaTheme="minorEastAsia"/>
          <w:b/>
          <w:color w:val="auto"/>
          <w:szCs w:val="21"/>
        </w:rPr>
        <w:t>-</w:t>
      </w:r>
      <w:r>
        <w:rPr>
          <w:rFonts w:hint="eastAsia" w:ascii="Times New Roman" w:hAnsi="Times New Roman" w:cs="Times New Roman" w:eastAsiaTheme="minorEastAsia"/>
          <w:b/>
          <w:color w:val="auto"/>
          <w:szCs w:val="21"/>
        </w:rPr>
        <w:t>2</w:t>
      </w:r>
      <w:r>
        <w:rPr>
          <w:rFonts w:ascii="Times New Roman" w:hAnsi="Times New Roman" w:cs="Times New Roman" w:eastAsiaTheme="minorEastAsia"/>
          <w:b/>
          <w:color w:val="auto"/>
          <w:szCs w:val="21"/>
        </w:rPr>
        <w:t xml:space="preserve">  </w:t>
      </w:r>
      <w:r>
        <w:rPr>
          <w:rFonts w:ascii="Times New Roman" w:cs="Times New Roman" w:hAnsiTheme="minorEastAsia" w:eastAsiaTheme="minorEastAsia"/>
          <w:b/>
          <w:color w:val="auto"/>
          <w:szCs w:val="21"/>
        </w:rPr>
        <w:t>拟建公路沿线声环境敏感点一览表</w:t>
      </w:r>
    </w:p>
    <w:tbl>
      <w:tblPr>
        <w:tblStyle w:val="22"/>
        <w:tblW w:w="20319" w:type="dxa"/>
        <w:jc w:val="center"/>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68"/>
        <w:gridCol w:w="694"/>
        <w:gridCol w:w="1134"/>
        <w:gridCol w:w="851"/>
        <w:gridCol w:w="850"/>
        <w:gridCol w:w="661"/>
        <w:gridCol w:w="662"/>
        <w:gridCol w:w="662"/>
        <w:gridCol w:w="567"/>
        <w:gridCol w:w="708"/>
        <w:gridCol w:w="709"/>
        <w:gridCol w:w="992"/>
        <w:gridCol w:w="993"/>
        <w:gridCol w:w="567"/>
        <w:gridCol w:w="992"/>
        <w:gridCol w:w="709"/>
        <w:gridCol w:w="708"/>
        <w:gridCol w:w="4394"/>
        <w:gridCol w:w="2898"/>
      </w:tblGrid>
      <w:tr w14:paraId="106859CB">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460" w:hRule="atLeast"/>
          <w:tblHeader/>
          <w:jc w:val="center"/>
        </w:trPr>
        <w:tc>
          <w:tcPr>
            <w:tcW w:w="568" w:type="dxa"/>
            <w:vMerge w:val="restart"/>
            <w:noWrap/>
            <w:vAlign w:val="center"/>
          </w:tcPr>
          <w:p w14:paraId="612BAB14">
            <w:pPr>
              <w:widowControl/>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序号</w:t>
            </w:r>
          </w:p>
        </w:tc>
        <w:tc>
          <w:tcPr>
            <w:tcW w:w="694" w:type="dxa"/>
            <w:vMerge w:val="restart"/>
            <w:vAlign w:val="center"/>
          </w:tcPr>
          <w:p w14:paraId="33BC3C4F">
            <w:pPr>
              <w:widowControl/>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路段</w:t>
            </w:r>
          </w:p>
        </w:tc>
        <w:tc>
          <w:tcPr>
            <w:tcW w:w="1134" w:type="dxa"/>
            <w:vMerge w:val="restart"/>
            <w:vAlign w:val="center"/>
          </w:tcPr>
          <w:p w14:paraId="6A5036BA">
            <w:pPr>
              <w:widowControl/>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桩号</w:t>
            </w:r>
          </w:p>
        </w:tc>
        <w:tc>
          <w:tcPr>
            <w:tcW w:w="851" w:type="dxa"/>
            <w:vMerge w:val="restart"/>
            <w:vAlign w:val="center"/>
          </w:tcPr>
          <w:p w14:paraId="40F2C8E0">
            <w:pPr>
              <w:widowControl/>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敏感点名称</w:t>
            </w:r>
          </w:p>
        </w:tc>
        <w:tc>
          <w:tcPr>
            <w:tcW w:w="850" w:type="dxa"/>
            <w:vMerge w:val="restart"/>
            <w:vAlign w:val="center"/>
          </w:tcPr>
          <w:p w14:paraId="6E64C6F8">
            <w:pPr>
              <w:widowControl/>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行政区划</w:t>
            </w:r>
          </w:p>
        </w:tc>
        <w:tc>
          <w:tcPr>
            <w:tcW w:w="1985" w:type="dxa"/>
            <w:gridSpan w:val="3"/>
            <w:vAlign w:val="center"/>
          </w:tcPr>
          <w:p w14:paraId="5E5FC132">
            <w:pPr>
              <w:widowControl/>
              <w:jc w:val="center"/>
              <w:rPr>
                <w:rFonts w:ascii="Times New Roman" w:hAnsi="Times New Roman" w:cs="Times New Roman" w:eastAsiaTheme="minorEastAsia"/>
                <w:b/>
                <w:bCs/>
                <w:color w:val="auto"/>
                <w:spacing w:val="-20"/>
                <w:kern w:val="0"/>
                <w:szCs w:val="21"/>
              </w:rPr>
            </w:pPr>
            <w:r>
              <w:rPr>
                <w:rFonts w:ascii="Times New Roman" w:hAnsi="Times New Roman" w:cs="Times New Roman" w:eastAsiaTheme="minorEastAsia"/>
                <w:b/>
                <w:bCs/>
                <w:color w:val="auto"/>
                <w:spacing w:val="-20"/>
                <w:kern w:val="0"/>
                <w:szCs w:val="21"/>
              </w:rPr>
              <w:t>改扩建</w:t>
            </w:r>
            <w:r>
              <w:rPr>
                <w:rFonts w:hint="eastAsia" w:ascii="Times New Roman" w:hAnsi="Times New Roman" w:cs="Times New Roman" w:eastAsiaTheme="minorEastAsia"/>
                <w:b/>
                <w:bCs/>
                <w:color w:val="auto"/>
                <w:spacing w:val="-20"/>
                <w:kern w:val="0"/>
                <w:szCs w:val="21"/>
              </w:rPr>
              <w:t>前</w:t>
            </w:r>
            <w:r>
              <w:rPr>
                <w:rFonts w:ascii="Times New Roman" w:hAnsi="Times New Roman" w:cs="Times New Roman" w:eastAsiaTheme="minorEastAsia"/>
                <w:b/>
                <w:bCs/>
                <w:color w:val="auto"/>
                <w:spacing w:val="-20"/>
                <w:kern w:val="0"/>
                <w:szCs w:val="21"/>
              </w:rPr>
              <w:t>位置关系</w:t>
            </w:r>
          </w:p>
        </w:tc>
        <w:tc>
          <w:tcPr>
            <w:tcW w:w="1984" w:type="dxa"/>
            <w:gridSpan w:val="3"/>
            <w:vAlign w:val="center"/>
          </w:tcPr>
          <w:p w14:paraId="5E8173E2">
            <w:pPr>
              <w:widowControl/>
              <w:jc w:val="center"/>
              <w:rPr>
                <w:rFonts w:ascii="Times New Roman" w:hAnsi="Times New Roman" w:cs="Times New Roman" w:eastAsiaTheme="minorEastAsia"/>
                <w:b/>
                <w:bCs/>
                <w:color w:val="auto"/>
                <w:spacing w:val="-20"/>
                <w:kern w:val="0"/>
                <w:szCs w:val="21"/>
              </w:rPr>
            </w:pPr>
            <w:r>
              <w:rPr>
                <w:rFonts w:ascii="Times New Roman" w:hAnsi="Times New Roman" w:cs="Times New Roman" w:eastAsiaTheme="minorEastAsia"/>
                <w:b/>
                <w:bCs/>
                <w:color w:val="auto"/>
                <w:spacing w:val="-20"/>
                <w:kern w:val="0"/>
                <w:szCs w:val="21"/>
              </w:rPr>
              <w:t>改扩建后位置关系</w:t>
            </w:r>
          </w:p>
        </w:tc>
        <w:tc>
          <w:tcPr>
            <w:tcW w:w="992" w:type="dxa"/>
            <w:vMerge w:val="restart"/>
            <w:vAlign w:val="center"/>
          </w:tcPr>
          <w:p w14:paraId="2432C4DB">
            <w:pPr>
              <w:widowControl/>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预测点地面高</w:t>
            </w:r>
            <w:r>
              <w:rPr>
                <w:rFonts w:ascii="Times New Roman" w:hAnsi="Times New Roman" w:cs="Times New Roman" w:eastAsiaTheme="minorEastAsia"/>
                <w:b/>
                <w:bCs/>
                <w:color w:val="auto"/>
                <w:spacing w:val="-20"/>
                <w:kern w:val="0"/>
                <w:szCs w:val="21"/>
              </w:rPr>
              <w:t>-</w:t>
            </w:r>
            <w:r>
              <w:rPr>
                <w:rFonts w:ascii="Times New Roman" w:cs="Times New Roman" w:hAnsiTheme="minorEastAsia" w:eastAsiaTheme="minorEastAsia"/>
                <w:b/>
                <w:bCs/>
                <w:color w:val="auto"/>
                <w:spacing w:val="-20"/>
                <w:kern w:val="0"/>
                <w:szCs w:val="21"/>
              </w:rPr>
              <w:t>路基地面高</w:t>
            </w:r>
            <w:r>
              <w:rPr>
                <w:rFonts w:ascii="Times New Roman" w:hAnsi="Times New Roman" w:cs="Times New Roman" w:eastAsiaTheme="minorEastAsia"/>
                <w:b/>
                <w:bCs/>
                <w:color w:val="auto"/>
                <w:spacing w:val="-20"/>
                <w:kern w:val="0"/>
                <w:szCs w:val="21"/>
              </w:rPr>
              <w:t>(m)</w:t>
            </w:r>
          </w:p>
        </w:tc>
        <w:tc>
          <w:tcPr>
            <w:tcW w:w="993" w:type="dxa"/>
            <w:vMerge w:val="restart"/>
            <w:vAlign w:val="center"/>
          </w:tcPr>
          <w:p w14:paraId="3A8A539E">
            <w:pPr>
              <w:widowControl/>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路基填挖高度或桥高</w:t>
            </w:r>
            <w:r>
              <w:rPr>
                <w:rFonts w:ascii="Times New Roman" w:hAnsi="Times New Roman" w:cs="Times New Roman" w:eastAsiaTheme="minorEastAsia"/>
                <w:b/>
                <w:bCs/>
                <w:color w:val="auto"/>
                <w:spacing w:val="-20"/>
                <w:kern w:val="0"/>
                <w:szCs w:val="21"/>
              </w:rPr>
              <w:t>(m)</w:t>
            </w:r>
          </w:p>
        </w:tc>
        <w:tc>
          <w:tcPr>
            <w:tcW w:w="567" w:type="dxa"/>
            <w:vMerge w:val="restart"/>
            <w:noWrap/>
            <w:vAlign w:val="center"/>
          </w:tcPr>
          <w:p w14:paraId="7116D98C">
            <w:pPr>
              <w:widowControl/>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工程形式</w:t>
            </w:r>
          </w:p>
        </w:tc>
        <w:tc>
          <w:tcPr>
            <w:tcW w:w="992" w:type="dxa"/>
            <w:vMerge w:val="restart"/>
            <w:vAlign w:val="center"/>
          </w:tcPr>
          <w:p w14:paraId="4248A780">
            <w:pPr>
              <w:widowControl/>
              <w:jc w:val="center"/>
              <w:rPr>
                <w:rFonts w:ascii="Times New Roman" w:hAnsi="Times New Roman" w:cs="Times New Roman" w:eastAsiaTheme="minorEastAsia"/>
                <w:b/>
                <w:bCs/>
                <w:color w:val="auto"/>
                <w:spacing w:val="-20"/>
                <w:kern w:val="0"/>
                <w:szCs w:val="21"/>
              </w:rPr>
            </w:pPr>
            <w:r>
              <w:rPr>
                <w:rFonts w:hint="eastAsia" w:ascii="Times New Roman" w:cs="Times New Roman" w:hAnsiTheme="minorEastAsia" w:eastAsiaTheme="minorEastAsia"/>
                <w:b/>
                <w:bCs/>
                <w:color w:val="auto"/>
                <w:spacing w:val="-20"/>
                <w:kern w:val="0"/>
                <w:szCs w:val="21"/>
              </w:rPr>
              <w:t>改扩建</w:t>
            </w:r>
            <w:r>
              <w:rPr>
                <w:rFonts w:ascii="Times New Roman" w:cs="Times New Roman" w:hAnsiTheme="minorEastAsia" w:eastAsiaTheme="minorEastAsia"/>
                <w:b/>
                <w:bCs/>
                <w:color w:val="auto"/>
                <w:spacing w:val="-20"/>
                <w:kern w:val="0"/>
                <w:szCs w:val="21"/>
              </w:rPr>
              <w:t>后功能区分界</w:t>
            </w:r>
            <w:r>
              <w:rPr>
                <w:rFonts w:ascii="Times New Roman" w:hAnsi="Times New Roman" w:cs="Times New Roman" w:eastAsiaTheme="minorEastAsia"/>
                <w:b/>
                <w:bCs/>
                <w:color w:val="auto"/>
                <w:spacing w:val="-20"/>
                <w:kern w:val="0"/>
                <w:szCs w:val="21"/>
              </w:rPr>
              <w:t>(m)</w:t>
            </w:r>
          </w:p>
        </w:tc>
        <w:tc>
          <w:tcPr>
            <w:tcW w:w="1417" w:type="dxa"/>
            <w:gridSpan w:val="2"/>
            <w:vAlign w:val="center"/>
          </w:tcPr>
          <w:p w14:paraId="4B254DA8">
            <w:pPr>
              <w:widowControl/>
              <w:jc w:val="center"/>
              <w:rPr>
                <w:rFonts w:ascii="Times New Roman" w:hAnsi="Times New Roman" w:cs="Times New Roman" w:eastAsiaTheme="minorEastAsia"/>
                <w:b/>
                <w:bCs/>
                <w:color w:val="auto"/>
                <w:spacing w:val="-20"/>
                <w:kern w:val="0"/>
                <w:szCs w:val="21"/>
              </w:rPr>
            </w:pPr>
            <w:r>
              <w:rPr>
                <w:rFonts w:hint="eastAsia" w:ascii="Times New Roman" w:cs="Times New Roman" w:hAnsiTheme="minorEastAsia" w:eastAsiaTheme="minorEastAsia"/>
                <w:b/>
                <w:bCs/>
                <w:color w:val="auto"/>
                <w:spacing w:val="-20"/>
                <w:kern w:val="0"/>
                <w:szCs w:val="21"/>
              </w:rPr>
              <w:t>改扩建</w:t>
            </w:r>
            <w:r>
              <w:rPr>
                <w:rFonts w:ascii="Times New Roman" w:cs="Times New Roman" w:hAnsiTheme="minorEastAsia" w:eastAsiaTheme="minorEastAsia"/>
                <w:b/>
                <w:bCs/>
                <w:color w:val="auto"/>
                <w:spacing w:val="-20"/>
                <w:kern w:val="0"/>
                <w:szCs w:val="21"/>
              </w:rPr>
              <w:t>后受影响户数</w:t>
            </w:r>
            <w:r>
              <w:rPr>
                <w:rFonts w:ascii="Times New Roman" w:hAnsi="Times New Roman" w:cs="Times New Roman" w:eastAsiaTheme="minorEastAsia"/>
                <w:b/>
                <w:bCs/>
                <w:color w:val="auto"/>
                <w:spacing w:val="-20"/>
                <w:kern w:val="0"/>
                <w:szCs w:val="21"/>
              </w:rPr>
              <w:t>(</w:t>
            </w:r>
            <w:r>
              <w:rPr>
                <w:rFonts w:ascii="Times New Roman" w:cs="Times New Roman" w:hAnsiTheme="minorEastAsia" w:eastAsiaTheme="minorEastAsia"/>
                <w:b/>
                <w:bCs/>
                <w:color w:val="auto"/>
                <w:spacing w:val="-20"/>
                <w:kern w:val="0"/>
                <w:szCs w:val="21"/>
              </w:rPr>
              <w:t>户</w:t>
            </w:r>
            <w:r>
              <w:rPr>
                <w:rFonts w:ascii="Times New Roman" w:hAnsi="Times New Roman" w:cs="Times New Roman" w:eastAsiaTheme="minorEastAsia"/>
                <w:b/>
                <w:bCs/>
                <w:color w:val="auto"/>
                <w:spacing w:val="-20"/>
                <w:kern w:val="0"/>
                <w:szCs w:val="21"/>
              </w:rPr>
              <w:t>)</w:t>
            </w:r>
          </w:p>
        </w:tc>
        <w:tc>
          <w:tcPr>
            <w:tcW w:w="4394" w:type="dxa"/>
            <w:vMerge w:val="restart"/>
            <w:vAlign w:val="center"/>
          </w:tcPr>
          <w:p w14:paraId="089C49B2">
            <w:pPr>
              <w:widowControl/>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敏感点及环境特征</w:t>
            </w:r>
          </w:p>
        </w:tc>
        <w:tc>
          <w:tcPr>
            <w:tcW w:w="2898" w:type="dxa"/>
            <w:vMerge w:val="restart"/>
            <w:vAlign w:val="center"/>
          </w:tcPr>
          <w:p w14:paraId="522DC32C">
            <w:pPr>
              <w:widowControl/>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照片</w:t>
            </w:r>
          </w:p>
        </w:tc>
      </w:tr>
      <w:tr w14:paraId="384FC38C">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461" w:hRule="atLeast"/>
          <w:tblHeader/>
          <w:jc w:val="center"/>
        </w:trPr>
        <w:tc>
          <w:tcPr>
            <w:tcW w:w="568" w:type="dxa"/>
            <w:vMerge w:val="continue"/>
            <w:noWrap/>
            <w:vAlign w:val="center"/>
          </w:tcPr>
          <w:p w14:paraId="7D184DEE">
            <w:pPr>
              <w:widowControl/>
              <w:jc w:val="center"/>
              <w:rPr>
                <w:rFonts w:ascii="Times New Roman" w:hAnsi="Times New Roman" w:cs="Times New Roman" w:eastAsiaTheme="minorEastAsia"/>
                <w:b/>
                <w:bCs/>
                <w:color w:val="auto"/>
                <w:spacing w:val="-20"/>
                <w:kern w:val="0"/>
                <w:szCs w:val="21"/>
              </w:rPr>
            </w:pPr>
          </w:p>
        </w:tc>
        <w:tc>
          <w:tcPr>
            <w:tcW w:w="694" w:type="dxa"/>
            <w:vMerge w:val="continue"/>
            <w:vAlign w:val="center"/>
          </w:tcPr>
          <w:p w14:paraId="70594DE3">
            <w:pPr>
              <w:widowControl/>
              <w:jc w:val="center"/>
              <w:rPr>
                <w:rFonts w:ascii="Times New Roman" w:hAnsi="Times New Roman" w:cs="Times New Roman" w:eastAsiaTheme="minorEastAsia"/>
                <w:b/>
                <w:bCs/>
                <w:color w:val="auto"/>
                <w:spacing w:val="-20"/>
                <w:kern w:val="0"/>
                <w:szCs w:val="21"/>
              </w:rPr>
            </w:pPr>
          </w:p>
        </w:tc>
        <w:tc>
          <w:tcPr>
            <w:tcW w:w="1134" w:type="dxa"/>
            <w:vMerge w:val="continue"/>
            <w:vAlign w:val="center"/>
          </w:tcPr>
          <w:p w14:paraId="13841DBB">
            <w:pPr>
              <w:widowControl/>
              <w:jc w:val="center"/>
              <w:rPr>
                <w:rFonts w:ascii="Times New Roman" w:hAnsi="Times New Roman" w:cs="Times New Roman" w:eastAsiaTheme="minorEastAsia"/>
                <w:b/>
                <w:bCs/>
                <w:color w:val="auto"/>
                <w:spacing w:val="-20"/>
                <w:kern w:val="0"/>
                <w:szCs w:val="21"/>
              </w:rPr>
            </w:pPr>
          </w:p>
        </w:tc>
        <w:tc>
          <w:tcPr>
            <w:tcW w:w="851" w:type="dxa"/>
            <w:vMerge w:val="continue"/>
            <w:vAlign w:val="center"/>
          </w:tcPr>
          <w:p w14:paraId="1B7C668A">
            <w:pPr>
              <w:widowControl/>
              <w:jc w:val="center"/>
              <w:rPr>
                <w:rFonts w:ascii="Times New Roman" w:hAnsi="Times New Roman" w:cs="Times New Roman" w:eastAsiaTheme="minorEastAsia"/>
                <w:b/>
                <w:bCs/>
                <w:color w:val="auto"/>
                <w:spacing w:val="-20"/>
                <w:kern w:val="0"/>
                <w:szCs w:val="21"/>
              </w:rPr>
            </w:pPr>
          </w:p>
        </w:tc>
        <w:tc>
          <w:tcPr>
            <w:tcW w:w="850" w:type="dxa"/>
            <w:vMerge w:val="continue"/>
            <w:vAlign w:val="center"/>
          </w:tcPr>
          <w:p w14:paraId="353B91DE">
            <w:pPr>
              <w:widowControl/>
              <w:jc w:val="center"/>
              <w:rPr>
                <w:rFonts w:ascii="Times New Roman" w:hAnsi="Times New Roman" w:cs="Times New Roman" w:eastAsiaTheme="minorEastAsia"/>
                <w:b/>
                <w:bCs/>
                <w:color w:val="auto"/>
                <w:spacing w:val="-20"/>
                <w:kern w:val="0"/>
                <w:szCs w:val="21"/>
              </w:rPr>
            </w:pPr>
          </w:p>
        </w:tc>
        <w:tc>
          <w:tcPr>
            <w:tcW w:w="661" w:type="dxa"/>
            <w:vAlign w:val="center"/>
          </w:tcPr>
          <w:p w14:paraId="6C3F9762">
            <w:pPr>
              <w:widowControl/>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方位</w:t>
            </w:r>
          </w:p>
        </w:tc>
        <w:tc>
          <w:tcPr>
            <w:tcW w:w="662" w:type="dxa"/>
            <w:vAlign w:val="center"/>
          </w:tcPr>
          <w:p w14:paraId="4C79898B">
            <w:pPr>
              <w:widowControl/>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距路中</w:t>
            </w:r>
            <w:r>
              <w:rPr>
                <w:rFonts w:ascii="Times New Roman" w:hAnsi="Times New Roman" w:cs="Times New Roman" w:eastAsiaTheme="minorEastAsia"/>
                <w:b/>
                <w:bCs/>
                <w:color w:val="auto"/>
                <w:spacing w:val="-20"/>
                <w:kern w:val="0"/>
                <w:szCs w:val="21"/>
              </w:rPr>
              <w:t>(m)</w:t>
            </w:r>
          </w:p>
        </w:tc>
        <w:tc>
          <w:tcPr>
            <w:tcW w:w="662" w:type="dxa"/>
            <w:vAlign w:val="center"/>
          </w:tcPr>
          <w:p w14:paraId="6E5C88B2">
            <w:pPr>
              <w:widowControl/>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距红线</w:t>
            </w:r>
            <w:r>
              <w:rPr>
                <w:rFonts w:ascii="Times New Roman" w:hAnsi="Times New Roman" w:cs="Times New Roman" w:eastAsiaTheme="minorEastAsia"/>
                <w:b/>
                <w:bCs/>
                <w:color w:val="auto"/>
                <w:spacing w:val="-20"/>
                <w:kern w:val="0"/>
                <w:szCs w:val="21"/>
              </w:rPr>
              <w:t>(m)</w:t>
            </w:r>
          </w:p>
        </w:tc>
        <w:tc>
          <w:tcPr>
            <w:tcW w:w="567" w:type="dxa"/>
            <w:vAlign w:val="center"/>
          </w:tcPr>
          <w:p w14:paraId="4C5E8CF2">
            <w:pPr>
              <w:widowControl/>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方位</w:t>
            </w:r>
          </w:p>
        </w:tc>
        <w:tc>
          <w:tcPr>
            <w:tcW w:w="708" w:type="dxa"/>
            <w:vAlign w:val="center"/>
          </w:tcPr>
          <w:p w14:paraId="6CAB7F90">
            <w:pPr>
              <w:widowControl/>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距路中</w:t>
            </w:r>
            <w:r>
              <w:rPr>
                <w:rFonts w:ascii="Times New Roman" w:hAnsi="Times New Roman" w:cs="Times New Roman" w:eastAsiaTheme="minorEastAsia"/>
                <w:b/>
                <w:bCs/>
                <w:color w:val="auto"/>
                <w:spacing w:val="-20"/>
                <w:kern w:val="0"/>
                <w:szCs w:val="21"/>
              </w:rPr>
              <w:t>(m)</w:t>
            </w:r>
          </w:p>
        </w:tc>
        <w:tc>
          <w:tcPr>
            <w:tcW w:w="709" w:type="dxa"/>
            <w:vAlign w:val="center"/>
          </w:tcPr>
          <w:p w14:paraId="7130C6AC">
            <w:pPr>
              <w:widowControl/>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距红线</w:t>
            </w:r>
            <w:r>
              <w:rPr>
                <w:rFonts w:ascii="Times New Roman" w:hAnsi="Times New Roman" w:cs="Times New Roman" w:eastAsiaTheme="minorEastAsia"/>
                <w:b/>
                <w:bCs/>
                <w:color w:val="auto"/>
                <w:spacing w:val="-20"/>
                <w:kern w:val="0"/>
                <w:szCs w:val="21"/>
              </w:rPr>
              <w:t>(m)</w:t>
            </w:r>
          </w:p>
        </w:tc>
        <w:tc>
          <w:tcPr>
            <w:tcW w:w="992" w:type="dxa"/>
            <w:vMerge w:val="continue"/>
            <w:vAlign w:val="center"/>
          </w:tcPr>
          <w:p w14:paraId="6A33CCE8">
            <w:pPr>
              <w:widowControl/>
              <w:jc w:val="center"/>
              <w:rPr>
                <w:rFonts w:ascii="Times New Roman" w:hAnsi="Times New Roman" w:cs="Times New Roman" w:eastAsiaTheme="minorEastAsia"/>
                <w:b/>
                <w:bCs/>
                <w:color w:val="auto"/>
                <w:spacing w:val="-20"/>
                <w:kern w:val="0"/>
                <w:szCs w:val="21"/>
              </w:rPr>
            </w:pPr>
          </w:p>
        </w:tc>
        <w:tc>
          <w:tcPr>
            <w:tcW w:w="993" w:type="dxa"/>
            <w:vMerge w:val="continue"/>
            <w:vAlign w:val="center"/>
          </w:tcPr>
          <w:p w14:paraId="434FBD7A">
            <w:pPr>
              <w:widowControl/>
              <w:jc w:val="center"/>
              <w:rPr>
                <w:rFonts w:ascii="Times New Roman" w:hAnsi="Times New Roman" w:cs="Times New Roman" w:eastAsiaTheme="minorEastAsia"/>
                <w:b/>
                <w:bCs/>
                <w:color w:val="auto"/>
                <w:spacing w:val="-20"/>
                <w:kern w:val="0"/>
                <w:szCs w:val="21"/>
              </w:rPr>
            </w:pPr>
          </w:p>
        </w:tc>
        <w:tc>
          <w:tcPr>
            <w:tcW w:w="567" w:type="dxa"/>
            <w:vMerge w:val="continue"/>
            <w:noWrap/>
            <w:vAlign w:val="center"/>
          </w:tcPr>
          <w:p w14:paraId="3E43A42C">
            <w:pPr>
              <w:widowControl/>
              <w:jc w:val="center"/>
              <w:rPr>
                <w:rFonts w:ascii="Times New Roman" w:hAnsi="Times New Roman" w:cs="Times New Roman" w:eastAsiaTheme="minorEastAsia"/>
                <w:b/>
                <w:bCs/>
                <w:color w:val="auto"/>
                <w:spacing w:val="-20"/>
                <w:kern w:val="0"/>
                <w:szCs w:val="21"/>
              </w:rPr>
            </w:pPr>
          </w:p>
        </w:tc>
        <w:tc>
          <w:tcPr>
            <w:tcW w:w="992" w:type="dxa"/>
            <w:vMerge w:val="continue"/>
            <w:vAlign w:val="center"/>
          </w:tcPr>
          <w:p w14:paraId="1AAF7F59">
            <w:pPr>
              <w:widowControl/>
              <w:jc w:val="center"/>
              <w:rPr>
                <w:rFonts w:ascii="Times New Roman" w:hAnsi="Times New Roman" w:cs="Times New Roman" w:eastAsiaTheme="minorEastAsia"/>
                <w:b/>
                <w:bCs/>
                <w:color w:val="auto"/>
                <w:spacing w:val="-20"/>
                <w:kern w:val="0"/>
                <w:szCs w:val="21"/>
              </w:rPr>
            </w:pPr>
          </w:p>
        </w:tc>
        <w:tc>
          <w:tcPr>
            <w:tcW w:w="709" w:type="dxa"/>
            <w:vAlign w:val="center"/>
          </w:tcPr>
          <w:p w14:paraId="42260382">
            <w:pPr>
              <w:widowControl/>
              <w:jc w:val="center"/>
              <w:rPr>
                <w:rFonts w:ascii="Times New Roman" w:hAnsi="Times New Roman" w:cs="Times New Roman" w:eastAsiaTheme="minorEastAsia"/>
                <w:b/>
                <w:bCs/>
                <w:color w:val="auto"/>
                <w:spacing w:val="-20"/>
                <w:kern w:val="0"/>
                <w:szCs w:val="21"/>
              </w:rPr>
            </w:pPr>
            <w:r>
              <w:rPr>
                <w:rFonts w:ascii="Times New Roman" w:hAnsi="Times New Roman" w:cs="Times New Roman" w:eastAsiaTheme="minorEastAsia"/>
                <w:b/>
                <w:bCs/>
                <w:color w:val="auto"/>
                <w:spacing w:val="-20"/>
                <w:kern w:val="0"/>
                <w:szCs w:val="21"/>
              </w:rPr>
              <w:t>4a</w:t>
            </w:r>
            <w:r>
              <w:rPr>
                <w:rFonts w:ascii="Times New Roman" w:cs="Times New Roman" w:hAnsiTheme="minorEastAsia" w:eastAsiaTheme="minorEastAsia"/>
                <w:b/>
                <w:bCs/>
                <w:color w:val="auto"/>
                <w:spacing w:val="-20"/>
                <w:kern w:val="0"/>
                <w:szCs w:val="21"/>
              </w:rPr>
              <w:t>类</w:t>
            </w:r>
          </w:p>
        </w:tc>
        <w:tc>
          <w:tcPr>
            <w:tcW w:w="708" w:type="dxa"/>
            <w:vAlign w:val="center"/>
          </w:tcPr>
          <w:p w14:paraId="645FB49F">
            <w:pPr>
              <w:widowControl/>
              <w:jc w:val="center"/>
              <w:rPr>
                <w:rFonts w:ascii="Times New Roman" w:hAnsi="Times New Roman" w:cs="Times New Roman" w:eastAsiaTheme="minorEastAsia"/>
                <w:b/>
                <w:bCs/>
                <w:color w:val="auto"/>
                <w:spacing w:val="-20"/>
                <w:kern w:val="0"/>
                <w:szCs w:val="21"/>
              </w:rPr>
            </w:pPr>
            <w:r>
              <w:rPr>
                <w:rFonts w:ascii="Times New Roman" w:hAnsi="Times New Roman" w:cs="Times New Roman" w:eastAsiaTheme="minorEastAsia"/>
                <w:b/>
                <w:bCs/>
                <w:color w:val="auto"/>
                <w:spacing w:val="-20"/>
                <w:kern w:val="0"/>
                <w:szCs w:val="21"/>
              </w:rPr>
              <w:t>2</w:t>
            </w:r>
            <w:r>
              <w:rPr>
                <w:rFonts w:ascii="Times New Roman" w:cs="Times New Roman" w:hAnsiTheme="minorEastAsia" w:eastAsiaTheme="minorEastAsia"/>
                <w:b/>
                <w:bCs/>
                <w:color w:val="auto"/>
                <w:spacing w:val="-20"/>
                <w:kern w:val="0"/>
                <w:szCs w:val="21"/>
              </w:rPr>
              <w:t>类</w:t>
            </w:r>
          </w:p>
        </w:tc>
        <w:tc>
          <w:tcPr>
            <w:tcW w:w="4394" w:type="dxa"/>
            <w:vMerge w:val="continue"/>
            <w:vAlign w:val="center"/>
          </w:tcPr>
          <w:p w14:paraId="4F836337">
            <w:pPr>
              <w:widowControl/>
              <w:jc w:val="center"/>
              <w:rPr>
                <w:rFonts w:ascii="Times New Roman" w:hAnsi="Times New Roman" w:cs="Times New Roman" w:eastAsiaTheme="minorEastAsia"/>
                <w:b/>
                <w:bCs/>
                <w:color w:val="auto"/>
                <w:spacing w:val="-20"/>
                <w:kern w:val="0"/>
                <w:szCs w:val="21"/>
              </w:rPr>
            </w:pPr>
          </w:p>
        </w:tc>
        <w:tc>
          <w:tcPr>
            <w:tcW w:w="2898" w:type="dxa"/>
            <w:vMerge w:val="continue"/>
            <w:vAlign w:val="center"/>
          </w:tcPr>
          <w:p w14:paraId="7808C4F7">
            <w:pPr>
              <w:widowControl/>
              <w:jc w:val="center"/>
              <w:rPr>
                <w:rFonts w:ascii="Times New Roman" w:hAnsi="Times New Roman" w:cs="Times New Roman" w:eastAsiaTheme="minorEastAsia"/>
                <w:color w:val="auto"/>
                <w:spacing w:val="-20"/>
                <w:kern w:val="0"/>
                <w:szCs w:val="21"/>
              </w:rPr>
            </w:pPr>
          </w:p>
        </w:tc>
      </w:tr>
      <w:tr w14:paraId="6D264CA9">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tblHeader/>
          <w:jc w:val="center"/>
        </w:trPr>
        <w:tc>
          <w:tcPr>
            <w:tcW w:w="568" w:type="dxa"/>
            <w:vMerge w:val="restart"/>
            <w:noWrap/>
            <w:vAlign w:val="center"/>
          </w:tcPr>
          <w:p w14:paraId="3BD6CE04">
            <w:pPr>
              <w:widowControl/>
              <w:jc w:val="center"/>
              <w:rPr>
                <w:rFonts w:ascii="Times New Roman" w:hAnsi="Times New Roman" w:cs="Times New Roman" w:eastAsiaTheme="minorEastAsia"/>
                <w:color w:val="auto"/>
                <w:spacing w:val="-20"/>
                <w:kern w:val="0"/>
                <w:szCs w:val="21"/>
              </w:rPr>
            </w:pPr>
            <w:r>
              <w:rPr>
                <w:rFonts w:ascii="Times New Roman" w:hAnsi="Times New Roman" w:cs="Times New Roman" w:eastAsiaTheme="minorEastAsia"/>
                <w:color w:val="auto"/>
                <w:spacing w:val="-20"/>
                <w:kern w:val="0"/>
                <w:szCs w:val="21"/>
              </w:rPr>
              <w:t>5</w:t>
            </w:r>
          </w:p>
        </w:tc>
        <w:tc>
          <w:tcPr>
            <w:tcW w:w="694" w:type="dxa"/>
            <w:vMerge w:val="restart"/>
            <w:vAlign w:val="center"/>
          </w:tcPr>
          <w:p w14:paraId="006662AA">
            <w:pPr>
              <w:widowControl/>
              <w:jc w:val="center"/>
              <w:rPr>
                <w:rFonts w:ascii="Times New Roman" w:hAnsi="Times New Roman" w:cs="Times New Roman" w:eastAsiaTheme="minorEastAsia"/>
                <w:color w:val="auto"/>
                <w:spacing w:val="-20"/>
                <w:kern w:val="0"/>
                <w:szCs w:val="21"/>
              </w:rPr>
            </w:pPr>
            <w:r>
              <w:rPr>
                <w:rFonts w:hint="eastAsia" w:ascii="Times New Roman" w:cs="Times New Roman" w:hAnsiTheme="minorEastAsia" w:eastAsiaTheme="minorEastAsia"/>
                <w:color w:val="auto"/>
                <w:spacing w:val="-20"/>
                <w:kern w:val="0"/>
                <w:szCs w:val="21"/>
              </w:rPr>
              <w:t>起点～胜利路</w:t>
            </w:r>
          </w:p>
        </w:tc>
        <w:tc>
          <w:tcPr>
            <w:tcW w:w="1134" w:type="dxa"/>
            <w:vAlign w:val="center"/>
          </w:tcPr>
          <w:p w14:paraId="364A6D2B">
            <w:pPr>
              <w:widowControl/>
              <w:jc w:val="center"/>
              <w:rPr>
                <w:rFonts w:ascii="Times New Roman" w:hAnsi="Times New Roman" w:cs="Times New Roman" w:eastAsiaTheme="minorEastAsia"/>
                <w:color w:val="auto"/>
                <w:spacing w:val="-20"/>
                <w:kern w:val="0"/>
                <w:szCs w:val="21"/>
              </w:rPr>
            </w:pPr>
            <w:r>
              <w:rPr>
                <w:rFonts w:ascii="Times New Roman" w:hAnsi="Times New Roman" w:cs="Times New Roman" w:eastAsiaTheme="minorEastAsia"/>
                <w:color w:val="auto"/>
                <w:spacing w:val="-20"/>
                <w:szCs w:val="21"/>
              </w:rPr>
              <w:t>K</w:t>
            </w:r>
            <w:r>
              <w:rPr>
                <w:rFonts w:hint="eastAsia" w:ascii="Times New Roman" w:hAnsi="Times New Roman" w:cs="Times New Roman" w:eastAsiaTheme="minorEastAsia"/>
                <w:color w:val="auto"/>
                <w:spacing w:val="-20"/>
                <w:szCs w:val="21"/>
              </w:rPr>
              <w:t>20</w:t>
            </w:r>
            <w:r>
              <w:rPr>
                <w:rFonts w:ascii="Times New Roman" w:hAnsi="Times New Roman" w:cs="Times New Roman" w:eastAsiaTheme="minorEastAsia"/>
                <w:color w:val="auto"/>
                <w:spacing w:val="-20"/>
                <w:szCs w:val="21"/>
              </w:rPr>
              <w:t>+</w:t>
            </w:r>
            <w:r>
              <w:rPr>
                <w:rFonts w:hint="eastAsia" w:ascii="Times New Roman" w:hAnsi="Times New Roman" w:cs="Times New Roman" w:eastAsiaTheme="minorEastAsia"/>
                <w:color w:val="auto"/>
                <w:spacing w:val="-20"/>
                <w:szCs w:val="21"/>
              </w:rPr>
              <w:t>15</w:t>
            </w:r>
            <w:r>
              <w:rPr>
                <w:rFonts w:ascii="Times New Roman" w:hAnsi="Times New Roman" w:cs="Times New Roman" w:eastAsiaTheme="minorEastAsia"/>
                <w:color w:val="auto"/>
                <w:spacing w:val="-20"/>
                <w:szCs w:val="21"/>
              </w:rPr>
              <w:t>0</w:t>
            </w:r>
            <w:r>
              <w:rPr>
                <w:rFonts w:ascii="Times New Roman" w:cs="Times New Roman" w:hAnsiTheme="minorEastAsia" w:eastAsiaTheme="minorEastAsia"/>
                <w:color w:val="auto"/>
                <w:spacing w:val="-20"/>
                <w:szCs w:val="21"/>
              </w:rPr>
              <w:t>～</w:t>
            </w:r>
            <w:r>
              <w:rPr>
                <w:rFonts w:ascii="Times New Roman" w:hAnsi="Times New Roman" w:cs="Times New Roman" w:eastAsiaTheme="minorEastAsia"/>
                <w:color w:val="auto"/>
                <w:spacing w:val="-20"/>
                <w:szCs w:val="21"/>
              </w:rPr>
              <w:t>K</w:t>
            </w:r>
            <w:r>
              <w:rPr>
                <w:rFonts w:hint="eastAsia" w:ascii="Times New Roman" w:hAnsi="Times New Roman" w:cs="Times New Roman" w:eastAsiaTheme="minorEastAsia"/>
                <w:color w:val="auto"/>
                <w:spacing w:val="-20"/>
                <w:szCs w:val="21"/>
              </w:rPr>
              <w:t>20</w:t>
            </w:r>
            <w:r>
              <w:rPr>
                <w:rFonts w:ascii="Times New Roman" w:hAnsi="Times New Roman" w:cs="Times New Roman" w:eastAsiaTheme="minorEastAsia"/>
                <w:color w:val="auto"/>
                <w:spacing w:val="-20"/>
                <w:szCs w:val="21"/>
              </w:rPr>
              <w:t>+</w:t>
            </w:r>
            <w:r>
              <w:rPr>
                <w:rFonts w:hint="eastAsia" w:ascii="Times New Roman" w:hAnsi="Times New Roman" w:cs="Times New Roman" w:eastAsiaTheme="minorEastAsia"/>
                <w:color w:val="auto"/>
                <w:spacing w:val="-20"/>
                <w:szCs w:val="21"/>
              </w:rPr>
              <w:t>90</w:t>
            </w:r>
            <w:r>
              <w:rPr>
                <w:rFonts w:ascii="Times New Roman" w:hAnsi="Times New Roman" w:cs="Times New Roman" w:eastAsiaTheme="minorEastAsia"/>
                <w:color w:val="auto"/>
                <w:spacing w:val="-20"/>
                <w:szCs w:val="21"/>
              </w:rPr>
              <w:t>0</w:t>
            </w:r>
          </w:p>
        </w:tc>
        <w:tc>
          <w:tcPr>
            <w:tcW w:w="851" w:type="dxa"/>
            <w:vMerge w:val="restart"/>
            <w:vAlign w:val="center"/>
          </w:tcPr>
          <w:p w14:paraId="745D0451">
            <w:pPr>
              <w:widowControl/>
              <w:jc w:val="center"/>
              <w:rPr>
                <w:rFonts w:ascii="Times New Roman" w:hAnsi="Times New Roman" w:cs="Times New Roman" w:eastAsiaTheme="minorEastAsia"/>
                <w:color w:val="auto"/>
                <w:spacing w:val="-20"/>
                <w:kern w:val="0"/>
                <w:szCs w:val="21"/>
              </w:rPr>
            </w:pPr>
            <w:r>
              <w:rPr>
                <w:rFonts w:hint="eastAsia" w:ascii="Times New Roman" w:cs="Times New Roman" w:hAnsiTheme="minorEastAsia" w:eastAsiaTheme="minorEastAsia"/>
                <w:color w:val="auto"/>
                <w:spacing w:val="-20"/>
                <w:szCs w:val="21"/>
              </w:rPr>
              <w:t>巴什央艾日克村</w:t>
            </w:r>
          </w:p>
        </w:tc>
        <w:tc>
          <w:tcPr>
            <w:tcW w:w="850" w:type="dxa"/>
            <w:vMerge w:val="restart"/>
            <w:vAlign w:val="center"/>
          </w:tcPr>
          <w:p w14:paraId="4C821CE5">
            <w:pPr>
              <w:widowControl/>
              <w:jc w:val="center"/>
              <w:rPr>
                <w:rFonts w:ascii="Times New Roman" w:hAnsi="Times New Roman" w:cs="Times New Roman" w:eastAsiaTheme="minorEastAsia"/>
                <w:color w:val="auto"/>
                <w:spacing w:val="-20"/>
                <w:kern w:val="0"/>
                <w:szCs w:val="21"/>
              </w:rPr>
            </w:pPr>
            <w:r>
              <w:rPr>
                <w:rFonts w:hint="eastAsia" w:ascii="Times New Roman" w:cs="Times New Roman" w:hAnsiTheme="minorEastAsia" w:eastAsiaTheme="minorEastAsia"/>
                <w:color w:val="auto"/>
                <w:spacing w:val="-20"/>
                <w:szCs w:val="21"/>
              </w:rPr>
              <w:t>伽师县</w:t>
            </w:r>
          </w:p>
        </w:tc>
        <w:tc>
          <w:tcPr>
            <w:tcW w:w="661" w:type="dxa"/>
            <w:vMerge w:val="restart"/>
            <w:vAlign w:val="center"/>
          </w:tcPr>
          <w:p w14:paraId="53F04304">
            <w:pPr>
              <w:widowControl/>
              <w:jc w:val="center"/>
              <w:rPr>
                <w:rFonts w:ascii="Times New Roman" w:hAnsi="Times New Roman" w:cs="Times New Roman" w:eastAsiaTheme="minorEastAsia"/>
                <w:color w:val="auto"/>
                <w:spacing w:val="-20"/>
                <w:kern w:val="0"/>
                <w:szCs w:val="21"/>
              </w:rPr>
            </w:pPr>
            <w:r>
              <w:rPr>
                <w:rFonts w:ascii="Times New Roman" w:hAnsi="Times New Roman" w:cs="Times New Roman" w:eastAsiaTheme="minorEastAsia"/>
                <w:color w:val="auto"/>
                <w:spacing w:val="-20"/>
                <w:kern w:val="0"/>
                <w:szCs w:val="21"/>
              </w:rPr>
              <w:t>路右</w:t>
            </w:r>
          </w:p>
        </w:tc>
        <w:tc>
          <w:tcPr>
            <w:tcW w:w="662" w:type="dxa"/>
            <w:vMerge w:val="restart"/>
            <w:vAlign w:val="center"/>
          </w:tcPr>
          <w:p w14:paraId="540E9661">
            <w:pPr>
              <w:widowControl/>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25</w:t>
            </w:r>
          </w:p>
        </w:tc>
        <w:tc>
          <w:tcPr>
            <w:tcW w:w="662" w:type="dxa"/>
            <w:vMerge w:val="restart"/>
            <w:vAlign w:val="center"/>
          </w:tcPr>
          <w:p w14:paraId="7AB29DFC">
            <w:pPr>
              <w:widowControl/>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14</w:t>
            </w:r>
          </w:p>
        </w:tc>
        <w:tc>
          <w:tcPr>
            <w:tcW w:w="567" w:type="dxa"/>
            <w:vMerge w:val="restart"/>
            <w:vAlign w:val="center"/>
          </w:tcPr>
          <w:p w14:paraId="7E8A2CF1">
            <w:pPr>
              <w:widowControl/>
              <w:jc w:val="center"/>
              <w:rPr>
                <w:rFonts w:ascii="Times New Roman" w:hAnsi="Times New Roman" w:cs="Times New Roman" w:eastAsiaTheme="minorEastAsia"/>
                <w:color w:val="auto"/>
                <w:spacing w:val="-20"/>
                <w:kern w:val="0"/>
                <w:szCs w:val="21"/>
              </w:rPr>
            </w:pPr>
            <w:r>
              <w:rPr>
                <w:rFonts w:ascii="Times New Roman" w:hAnsi="Times New Roman" w:cs="Times New Roman" w:eastAsiaTheme="minorEastAsia"/>
                <w:color w:val="auto"/>
                <w:spacing w:val="-20"/>
                <w:kern w:val="0"/>
                <w:szCs w:val="21"/>
              </w:rPr>
              <w:t>路右</w:t>
            </w:r>
          </w:p>
        </w:tc>
        <w:tc>
          <w:tcPr>
            <w:tcW w:w="708" w:type="dxa"/>
            <w:vMerge w:val="restart"/>
            <w:vAlign w:val="center"/>
          </w:tcPr>
          <w:p w14:paraId="34184EE1">
            <w:pPr>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szCs w:val="21"/>
              </w:rPr>
              <w:t>25</w:t>
            </w:r>
          </w:p>
        </w:tc>
        <w:tc>
          <w:tcPr>
            <w:tcW w:w="709" w:type="dxa"/>
            <w:vMerge w:val="restart"/>
            <w:vAlign w:val="center"/>
          </w:tcPr>
          <w:p w14:paraId="378F1C0A">
            <w:pPr>
              <w:widowControl/>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9</w:t>
            </w:r>
          </w:p>
        </w:tc>
        <w:tc>
          <w:tcPr>
            <w:tcW w:w="992" w:type="dxa"/>
            <w:vMerge w:val="restart"/>
            <w:vAlign w:val="center"/>
          </w:tcPr>
          <w:p w14:paraId="7E0459D6">
            <w:pPr>
              <w:widowControl/>
              <w:jc w:val="center"/>
              <w:rPr>
                <w:rFonts w:ascii="Times New Roman" w:hAnsi="Times New Roman" w:cs="Times New Roman" w:eastAsiaTheme="minorEastAsia"/>
                <w:color w:val="auto"/>
                <w:spacing w:val="-20"/>
                <w:kern w:val="0"/>
                <w:szCs w:val="21"/>
              </w:rPr>
            </w:pPr>
            <w:r>
              <w:rPr>
                <w:rFonts w:ascii="Times New Roman" w:hAnsi="Times New Roman" w:cs="Times New Roman" w:eastAsiaTheme="minorEastAsia"/>
                <w:color w:val="auto"/>
                <w:spacing w:val="-20"/>
                <w:kern w:val="0"/>
                <w:szCs w:val="21"/>
              </w:rPr>
              <w:t>0</w:t>
            </w:r>
          </w:p>
        </w:tc>
        <w:tc>
          <w:tcPr>
            <w:tcW w:w="993" w:type="dxa"/>
            <w:vMerge w:val="restart"/>
            <w:vAlign w:val="center"/>
          </w:tcPr>
          <w:p w14:paraId="55CC5B96">
            <w:pPr>
              <w:widowControl/>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1.0</w:t>
            </w:r>
          </w:p>
        </w:tc>
        <w:tc>
          <w:tcPr>
            <w:tcW w:w="567" w:type="dxa"/>
            <w:vMerge w:val="restart"/>
            <w:vAlign w:val="center"/>
          </w:tcPr>
          <w:p w14:paraId="3889B64A">
            <w:pPr>
              <w:widowControl/>
              <w:jc w:val="center"/>
              <w:rPr>
                <w:rFonts w:ascii="Times New Roman" w:hAnsi="Times New Roman" w:cs="Times New Roman" w:eastAsiaTheme="minorEastAsia"/>
                <w:color w:val="auto"/>
                <w:spacing w:val="-20"/>
                <w:kern w:val="0"/>
                <w:szCs w:val="21"/>
              </w:rPr>
            </w:pPr>
            <w:r>
              <w:rPr>
                <w:rFonts w:ascii="Times New Roman" w:cs="Times New Roman" w:hAnsiTheme="minorEastAsia" w:eastAsiaTheme="minorEastAsia"/>
                <w:color w:val="auto"/>
                <w:spacing w:val="-20"/>
                <w:kern w:val="0"/>
                <w:szCs w:val="21"/>
              </w:rPr>
              <w:t>路基</w:t>
            </w:r>
          </w:p>
        </w:tc>
        <w:tc>
          <w:tcPr>
            <w:tcW w:w="992" w:type="dxa"/>
            <w:vMerge w:val="restart"/>
            <w:vAlign w:val="center"/>
          </w:tcPr>
          <w:p w14:paraId="1D9458E8">
            <w:pPr>
              <w:jc w:val="center"/>
              <w:rPr>
                <w:rFonts w:ascii="Times New Roman" w:hAnsi="Times New Roman" w:cs="Times New Roman" w:eastAsiaTheme="minorEastAsia"/>
                <w:color w:val="auto"/>
                <w:spacing w:val="-20"/>
                <w:szCs w:val="21"/>
              </w:rPr>
            </w:pPr>
            <w:r>
              <w:rPr>
                <w:rFonts w:hint="eastAsia" w:ascii="Times New Roman" w:hAnsi="Times New Roman" w:cs="Times New Roman" w:eastAsiaTheme="minorEastAsia"/>
                <w:color w:val="auto"/>
                <w:spacing w:val="-20"/>
                <w:kern w:val="0"/>
                <w:szCs w:val="21"/>
              </w:rPr>
              <w:t>51</w:t>
            </w:r>
          </w:p>
        </w:tc>
        <w:tc>
          <w:tcPr>
            <w:tcW w:w="709" w:type="dxa"/>
            <w:vMerge w:val="restart"/>
            <w:vAlign w:val="center"/>
          </w:tcPr>
          <w:p w14:paraId="365E4D86">
            <w:pPr>
              <w:widowControl/>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40</w:t>
            </w:r>
          </w:p>
        </w:tc>
        <w:tc>
          <w:tcPr>
            <w:tcW w:w="708" w:type="dxa"/>
            <w:vMerge w:val="restart"/>
            <w:vAlign w:val="center"/>
          </w:tcPr>
          <w:p w14:paraId="21D0C834">
            <w:pPr>
              <w:widowControl/>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25</w:t>
            </w:r>
          </w:p>
        </w:tc>
        <w:tc>
          <w:tcPr>
            <w:tcW w:w="4394" w:type="dxa"/>
            <w:vMerge w:val="restart"/>
            <w:vAlign w:val="center"/>
          </w:tcPr>
          <w:p w14:paraId="63CE484E">
            <w:pPr>
              <w:widowControl/>
              <w:rPr>
                <w:rFonts w:ascii="Times New Roman" w:hAnsi="Times New Roman" w:cs="Times New Roman" w:eastAsiaTheme="minorEastAsia"/>
                <w:color w:val="auto"/>
                <w:spacing w:val="0"/>
                <w:kern w:val="0"/>
                <w:sz w:val="21"/>
                <w:szCs w:val="21"/>
              </w:rPr>
            </w:pPr>
            <w:r>
              <w:rPr>
                <w:rFonts w:ascii="Times New Roman" w:cs="Times New Roman" w:hAnsiTheme="minorEastAsia" w:eastAsiaTheme="minorEastAsia"/>
                <w:color w:val="auto"/>
                <w:spacing w:val="0"/>
                <w:kern w:val="0"/>
                <w:sz w:val="21"/>
                <w:szCs w:val="21"/>
              </w:rPr>
              <w:t>路线以填方路基形式经过村庄。评价范围内现有居民</w:t>
            </w:r>
            <w:r>
              <w:rPr>
                <w:rFonts w:hint="eastAsia" w:ascii="Times New Roman" w:hAnsi="Times New Roman" w:cs="Times New Roman" w:eastAsiaTheme="minorEastAsia"/>
                <w:color w:val="auto"/>
                <w:spacing w:val="0"/>
                <w:kern w:val="0"/>
                <w:sz w:val="21"/>
                <w:szCs w:val="21"/>
              </w:rPr>
              <w:t>65</w:t>
            </w:r>
            <w:r>
              <w:rPr>
                <w:rFonts w:ascii="Times New Roman" w:cs="Times New Roman" w:hAnsiTheme="minorEastAsia" w:eastAsiaTheme="minorEastAsia"/>
                <w:color w:val="auto"/>
                <w:spacing w:val="0"/>
                <w:kern w:val="0"/>
                <w:sz w:val="21"/>
                <w:szCs w:val="21"/>
              </w:rPr>
              <w:t>户，首排</w:t>
            </w:r>
            <w:r>
              <w:rPr>
                <w:rFonts w:hint="eastAsia" w:ascii="Times New Roman" w:hAnsi="Times New Roman" w:cs="Times New Roman" w:eastAsiaTheme="minorEastAsia"/>
                <w:color w:val="auto"/>
                <w:spacing w:val="0"/>
                <w:kern w:val="0"/>
                <w:sz w:val="21"/>
                <w:szCs w:val="21"/>
              </w:rPr>
              <w:t>30</w:t>
            </w:r>
            <w:r>
              <w:rPr>
                <w:rFonts w:ascii="Times New Roman" w:cs="Times New Roman" w:hAnsiTheme="minorEastAsia" w:eastAsiaTheme="minorEastAsia"/>
                <w:color w:val="auto"/>
                <w:spacing w:val="0"/>
                <w:kern w:val="0"/>
                <w:sz w:val="21"/>
                <w:szCs w:val="21"/>
              </w:rPr>
              <w:t>户，</w:t>
            </w:r>
            <w:r>
              <w:rPr>
                <w:rFonts w:hint="eastAsia" w:ascii="Times New Roman" w:cs="Times New Roman" w:hAnsiTheme="minorEastAsia" w:eastAsiaTheme="minorEastAsia"/>
                <w:color w:val="auto"/>
                <w:spacing w:val="0"/>
                <w:kern w:val="0"/>
                <w:sz w:val="21"/>
                <w:szCs w:val="21"/>
              </w:rPr>
              <w:t>主要</w:t>
            </w:r>
            <w:r>
              <w:rPr>
                <w:rFonts w:ascii="Times New Roman" w:cs="Times New Roman" w:hAnsiTheme="minorEastAsia" w:eastAsiaTheme="minorEastAsia"/>
                <w:color w:val="auto"/>
                <w:spacing w:val="0"/>
                <w:kern w:val="0"/>
                <w:sz w:val="21"/>
                <w:szCs w:val="21"/>
              </w:rPr>
              <w:t>为</w:t>
            </w:r>
            <w:r>
              <w:rPr>
                <w:rFonts w:ascii="Times New Roman" w:hAnsi="Times New Roman" w:cs="Times New Roman" w:eastAsiaTheme="minorEastAsia"/>
                <w:color w:val="auto"/>
                <w:spacing w:val="0"/>
                <w:kern w:val="0"/>
                <w:sz w:val="21"/>
                <w:szCs w:val="21"/>
              </w:rPr>
              <w:t>1</w:t>
            </w:r>
            <w:r>
              <w:rPr>
                <w:rFonts w:ascii="Times New Roman" w:cs="Times New Roman" w:hAnsiTheme="minorEastAsia" w:eastAsiaTheme="minorEastAsia"/>
                <w:color w:val="auto"/>
                <w:spacing w:val="0"/>
                <w:kern w:val="0"/>
                <w:sz w:val="21"/>
                <w:szCs w:val="21"/>
              </w:rPr>
              <w:t>层砖混房，房屋正向拟建公路。</w:t>
            </w:r>
            <w:r>
              <w:rPr>
                <w:rFonts w:ascii="Times New Roman" w:hAnsi="Times New Roman" w:eastAsia="宋体" w:cs="Times New Roman"/>
                <w:color w:val="auto"/>
                <w:spacing w:val="0"/>
                <w:kern w:val="0"/>
                <w:sz w:val="21"/>
                <w:szCs w:val="21"/>
              </w:rPr>
              <w:t>该路段利用现有</w:t>
            </w:r>
            <w:r>
              <w:rPr>
                <w:rFonts w:hint="eastAsia" w:ascii="Times New Roman" w:hAnsi="Times New Roman" w:eastAsia="宋体" w:cs="Times New Roman"/>
                <w:color w:val="auto"/>
                <w:spacing w:val="0"/>
                <w:kern w:val="0"/>
                <w:sz w:val="21"/>
                <w:szCs w:val="21"/>
              </w:rPr>
              <w:t>老路双侧加宽</w:t>
            </w:r>
            <w:r>
              <w:rPr>
                <w:rFonts w:ascii="Times New Roman" w:hAnsi="Times New Roman" w:eastAsia="宋体" w:cs="Times New Roman"/>
                <w:color w:val="auto"/>
                <w:spacing w:val="0"/>
                <w:kern w:val="0"/>
                <w:sz w:val="21"/>
                <w:szCs w:val="21"/>
              </w:rPr>
              <w:t>，有平交</w:t>
            </w:r>
            <w:r>
              <w:rPr>
                <w:rFonts w:hint="eastAsia" w:ascii="Times New Roman" w:hAnsi="Times New Roman" w:eastAsia="宋体" w:cs="Times New Roman"/>
                <w:color w:val="auto"/>
                <w:spacing w:val="0"/>
                <w:kern w:val="0"/>
                <w:sz w:val="21"/>
                <w:szCs w:val="21"/>
              </w:rPr>
              <w:t>路口</w:t>
            </w:r>
            <w:r>
              <w:rPr>
                <w:rFonts w:ascii="Times New Roman" w:hAnsi="Times New Roman" w:eastAsia="宋体" w:cs="Times New Roman"/>
                <w:color w:val="auto"/>
                <w:spacing w:val="0"/>
                <w:kern w:val="0"/>
                <w:sz w:val="21"/>
                <w:szCs w:val="21"/>
              </w:rPr>
              <w:t>，</w:t>
            </w:r>
            <w:r>
              <w:rPr>
                <w:rFonts w:ascii="Times New Roman" w:cs="Times New Roman" w:hAnsiTheme="minorEastAsia" w:eastAsiaTheme="minorEastAsia"/>
                <w:color w:val="auto"/>
                <w:spacing w:val="0"/>
                <w:kern w:val="0"/>
                <w:sz w:val="21"/>
                <w:szCs w:val="21"/>
              </w:rPr>
              <w:t>主要噪声源为现有</w:t>
            </w:r>
            <w:r>
              <w:rPr>
                <w:rFonts w:hint="eastAsia" w:ascii="Times New Roman" w:hAnsi="Times New Roman" w:cs="Times New Roman" w:eastAsiaTheme="minorEastAsia"/>
                <w:color w:val="auto"/>
                <w:spacing w:val="0"/>
                <w:kern w:val="0"/>
                <w:sz w:val="21"/>
                <w:szCs w:val="21"/>
              </w:rPr>
              <w:t>G219</w:t>
            </w:r>
            <w:r>
              <w:rPr>
                <w:rFonts w:ascii="Times New Roman" w:cs="Times New Roman" w:hAnsiTheme="minorEastAsia" w:eastAsiaTheme="minorEastAsia"/>
                <w:color w:val="auto"/>
                <w:spacing w:val="0"/>
                <w:kern w:val="0"/>
                <w:sz w:val="21"/>
                <w:szCs w:val="21"/>
              </w:rPr>
              <w:t>交通噪声和社会生活噪声。</w:t>
            </w:r>
          </w:p>
        </w:tc>
        <w:tc>
          <w:tcPr>
            <w:tcW w:w="2898" w:type="dxa"/>
            <w:vMerge w:val="restart"/>
            <w:vAlign w:val="center"/>
          </w:tcPr>
          <w:p w14:paraId="489E2DDA">
            <w:pPr>
              <w:widowControl/>
              <w:jc w:val="center"/>
              <w:rPr>
                <w:rFonts w:ascii="Times New Roman" w:hAnsi="Times New Roman" w:cs="Times New Roman" w:eastAsiaTheme="minorEastAsia"/>
                <w:color w:val="auto"/>
                <w:spacing w:val="-20"/>
                <w:kern w:val="0"/>
                <w:szCs w:val="21"/>
              </w:rPr>
            </w:pPr>
            <w:r>
              <w:rPr>
                <w:rFonts w:ascii="Times New Roman" w:hAnsi="Times New Roman" w:cs="Times New Roman" w:eastAsiaTheme="minorEastAsia"/>
                <w:color w:val="auto"/>
                <w:spacing w:val="-20"/>
                <w:kern w:val="0"/>
                <w:szCs w:val="21"/>
              </w:rPr>
              <w:drawing>
                <wp:inline distT="0" distB="0" distL="0" distR="0">
                  <wp:extent cx="1729105" cy="1295400"/>
                  <wp:effectExtent l="0" t="0" r="4445" b="0"/>
                  <wp:docPr id="675940245" name="图片 5" descr="E:\咨询项目\环评\新疆-G219线八盘水磨至伽师公路\外业踏勘记录及照片\DSC09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940245" name="图片 5" descr="E:\咨询项目\环评\新疆-G219线八盘水磨至伽师公路\外业踏勘记录及照片\DSC09056.JPG"/>
                          <pic:cNvPicPr>
                            <a:picLocks noChangeAspect="1" noChangeArrowheads="1"/>
                          </pic:cNvPicPr>
                        </pic:nvPicPr>
                        <pic:blipFill>
                          <a:blip r:embed="rId160" cstate="print"/>
                          <a:srcRect/>
                          <a:stretch>
                            <a:fillRect/>
                          </a:stretch>
                        </pic:blipFill>
                        <pic:spPr>
                          <a:xfrm>
                            <a:off x="0" y="0"/>
                            <a:ext cx="1729728" cy="1296000"/>
                          </a:xfrm>
                          <a:prstGeom prst="rect">
                            <a:avLst/>
                          </a:prstGeom>
                          <a:noFill/>
                          <a:ln w="9525">
                            <a:noFill/>
                            <a:miter lim="800000"/>
                            <a:headEnd/>
                            <a:tailEnd/>
                          </a:ln>
                        </pic:spPr>
                      </pic:pic>
                    </a:graphicData>
                  </a:graphic>
                </wp:inline>
              </w:drawing>
            </w:r>
          </w:p>
        </w:tc>
      </w:tr>
      <w:tr w14:paraId="44FE91A9">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622" w:hRule="atLeast"/>
          <w:tblHeader/>
          <w:jc w:val="center"/>
        </w:trPr>
        <w:tc>
          <w:tcPr>
            <w:tcW w:w="568" w:type="dxa"/>
            <w:vMerge w:val="continue"/>
            <w:noWrap/>
            <w:vAlign w:val="center"/>
          </w:tcPr>
          <w:p w14:paraId="114CD627">
            <w:pPr>
              <w:widowControl/>
              <w:jc w:val="center"/>
              <w:rPr>
                <w:rFonts w:ascii="Times New Roman" w:hAnsi="Times New Roman" w:cs="Times New Roman" w:eastAsiaTheme="minorEastAsia"/>
                <w:color w:val="auto"/>
                <w:spacing w:val="-20"/>
                <w:kern w:val="0"/>
                <w:szCs w:val="21"/>
              </w:rPr>
            </w:pPr>
          </w:p>
        </w:tc>
        <w:tc>
          <w:tcPr>
            <w:tcW w:w="694" w:type="dxa"/>
            <w:vMerge w:val="continue"/>
            <w:vAlign w:val="center"/>
          </w:tcPr>
          <w:p w14:paraId="1B8754AB">
            <w:pPr>
              <w:widowControl/>
              <w:jc w:val="center"/>
              <w:rPr>
                <w:rFonts w:ascii="Times New Roman" w:hAnsi="Times New Roman" w:cs="Times New Roman" w:eastAsiaTheme="minorEastAsia"/>
                <w:color w:val="auto"/>
                <w:spacing w:val="-20"/>
                <w:kern w:val="0"/>
                <w:szCs w:val="21"/>
              </w:rPr>
            </w:pPr>
          </w:p>
        </w:tc>
        <w:tc>
          <w:tcPr>
            <w:tcW w:w="1134" w:type="dxa"/>
            <w:vAlign w:val="center"/>
          </w:tcPr>
          <w:p w14:paraId="0508DE00">
            <w:pPr>
              <w:widowControl/>
              <w:jc w:val="center"/>
              <w:rPr>
                <w:rFonts w:ascii="Times New Roman" w:hAnsi="Times New Roman" w:cs="Times New Roman" w:eastAsiaTheme="minorEastAsia"/>
                <w:color w:val="auto"/>
                <w:spacing w:val="-20"/>
                <w:szCs w:val="21"/>
              </w:rPr>
            </w:pPr>
            <w:r>
              <w:rPr>
                <w:rFonts w:ascii="Times New Roman" w:hAnsi="Times New Roman" w:cs="Times New Roman" w:eastAsiaTheme="minorEastAsia"/>
                <w:color w:val="auto"/>
                <w:spacing w:val="-20"/>
                <w:szCs w:val="21"/>
              </w:rPr>
              <w:t>K</w:t>
            </w:r>
            <w:r>
              <w:rPr>
                <w:rFonts w:hint="eastAsia" w:ascii="Times New Roman" w:hAnsi="Times New Roman" w:cs="Times New Roman" w:eastAsiaTheme="minorEastAsia"/>
                <w:color w:val="auto"/>
                <w:spacing w:val="-20"/>
                <w:szCs w:val="21"/>
              </w:rPr>
              <w:t>21</w:t>
            </w:r>
            <w:r>
              <w:rPr>
                <w:rFonts w:ascii="Times New Roman" w:hAnsi="Times New Roman" w:cs="Times New Roman" w:eastAsiaTheme="minorEastAsia"/>
                <w:color w:val="auto"/>
                <w:spacing w:val="-20"/>
                <w:szCs w:val="21"/>
              </w:rPr>
              <w:t>+</w:t>
            </w:r>
            <w:r>
              <w:rPr>
                <w:rFonts w:hint="eastAsia" w:ascii="Times New Roman" w:hAnsi="Times New Roman" w:cs="Times New Roman" w:eastAsiaTheme="minorEastAsia"/>
                <w:color w:val="auto"/>
                <w:spacing w:val="-20"/>
                <w:szCs w:val="21"/>
              </w:rPr>
              <w:t>10</w:t>
            </w:r>
            <w:r>
              <w:rPr>
                <w:rFonts w:ascii="Times New Roman" w:hAnsi="Times New Roman" w:cs="Times New Roman" w:eastAsiaTheme="minorEastAsia"/>
                <w:color w:val="auto"/>
                <w:spacing w:val="-20"/>
                <w:szCs w:val="21"/>
              </w:rPr>
              <w:t>0</w:t>
            </w:r>
            <w:r>
              <w:rPr>
                <w:rFonts w:ascii="Times New Roman" w:cs="Times New Roman" w:hAnsiTheme="minorEastAsia" w:eastAsiaTheme="minorEastAsia"/>
                <w:color w:val="auto"/>
                <w:spacing w:val="-20"/>
                <w:szCs w:val="21"/>
              </w:rPr>
              <w:t>～</w:t>
            </w:r>
            <w:r>
              <w:rPr>
                <w:rFonts w:ascii="Times New Roman" w:hAnsi="Times New Roman" w:cs="Times New Roman" w:eastAsiaTheme="minorEastAsia"/>
                <w:color w:val="auto"/>
                <w:spacing w:val="-20"/>
                <w:szCs w:val="21"/>
              </w:rPr>
              <w:t>K</w:t>
            </w:r>
            <w:r>
              <w:rPr>
                <w:rFonts w:hint="eastAsia" w:ascii="Times New Roman" w:hAnsi="Times New Roman" w:cs="Times New Roman" w:eastAsiaTheme="minorEastAsia"/>
                <w:color w:val="auto"/>
                <w:spacing w:val="-20"/>
                <w:szCs w:val="21"/>
              </w:rPr>
              <w:t>21</w:t>
            </w:r>
            <w:r>
              <w:rPr>
                <w:rFonts w:ascii="Times New Roman" w:hAnsi="Times New Roman" w:cs="Times New Roman" w:eastAsiaTheme="minorEastAsia"/>
                <w:color w:val="auto"/>
                <w:spacing w:val="-20"/>
                <w:szCs w:val="21"/>
              </w:rPr>
              <w:t>+</w:t>
            </w:r>
            <w:r>
              <w:rPr>
                <w:rFonts w:hint="eastAsia" w:ascii="Times New Roman" w:hAnsi="Times New Roman" w:cs="Times New Roman" w:eastAsiaTheme="minorEastAsia"/>
                <w:color w:val="auto"/>
                <w:spacing w:val="-20"/>
                <w:szCs w:val="21"/>
              </w:rPr>
              <w:t>50</w:t>
            </w:r>
            <w:r>
              <w:rPr>
                <w:rFonts w:ascii="Times New Roman" w:hAnsi="Times New Roman" w:cs="Times New Roman" w:eastAsiaTheme="minorEastAsia"/>
                <w:color w:val="auto"/>
                <w:spacing w:val="-20"/>
                <w:szCs w:val="21"/>
              </w:rPr>
              <w:t>0</w:t>
            </w:r>
          </w:p>
        </w:tc>
        <w:tc>
          <w:tcPr>
            <w:tcW w:w="851" w:type="dxa"/>
            <w:vMerge w:val="continue"/>
            <w:vAlign w:val="center"/>
          </w:tcPr>
          <w:p w14:paraId="729D0B21">
            <w:pPr>
              <w:widowControl/>
              <w:jc w:val="center"/>
              <w:rPr>
                <w:rFonts w:ascii="Times New Roman" w:cs="Times New Roman" w:hAnsiTheme="minorEastAsia" w:eastAsiaTheme="minorEastAsia"/>
                <w:color w:val="auto"/>
                <w:spacing w:val="-20"/>
                <w:szCs w:val="21"/>
              </w:rPr>
            </w:pPr>
          </w:p>
        </w:tc>
        <w:tc>
          <w:tcPr>
            <w:tcW w:w="850" w:type="dxa"/>
            <w:vMerge w:val="continue"/>
            <w:vAlign w:val="center"/>
          </w:tcPr>
          <w:p w14:paraId="4316558C">
            <w:pPr>
              <w:widowControl/>
              <w:jc w:val="center"/>
              <w:rPr>
                <w:rFonts w:ascii="Times New Roman" w:cs="Times New Roman" w:hAnsiTheme="minorEastAsia" w:eastAsiaTheme="minorEastAsia"/>
                <w:color w:val="auto"/>
                <w:spacing w:val="-20"/>
                <w:szCs w:val="21"/>
              </w:rPr>
            </w:pPr>
          </w:p>
        </w:tc>
        <w:tc>
          <w:tcPr>
            <w:tcW w:w="661" w:type="dxa"/>
            <w:vMerge w:val="continue"/>
            <w:vAlign w:val="center"/>
          </w:tcPr>
          <w:p w14:paraId="04AE6818">
            <w:pPr>
              <w:widowControl/>
              <w:jc w:val="center"/>
              <w:rPr>
                <w:rFonts w:ascii="Times New Roman" w:cs="Times New Roman" w:hAnsiTheme="minorEastAsia" w:eastAsiaTheme="minorEastAsia"/>
                <w:color w:val="auto"/>
                <w:spacing w:val="-20"/>
                <w:szCs w:val="21"/>
              </w:rPr>
            </w:pPr>
          </w:p>
        </w:tc>
        <w:tc>
          <w:tcPr>
            <w:tcW w:w="662" w:type="dxa"/>
            <w:vMerge w:val="continue"/>
            <w:vAlign w:val="center"/>
          </w:tcPr>
          <w:p w14:paraId="4B2146CF">
            <w:pPr>
              <w:widowControl/>
              <w:jc w:val="center"/>
              <w:rPr>
                <w:rFonts w:ascii="Times New Roman" w:cs="Times New Roman" w:hAnsiTheme="minorEastAsia" w:eastAsiaTheme="minorEastAsia"/>
                <w:color w:val="auto"/>
                <w:spacing w:val="-20"/>
                <w:szCs w:val="21"/>
              </w:rPr>
            </w:pPr>
          </w:p>
        </w:tc>
        <w:tc>
          <w:tcPr>
            <w:tcW w:w="662" w:type="dxa"/>
            <w:vMerge w:val="continue"/>
            <w:vAlign w:val="center"/>
          </w:tcPr>
          <w:p w14:paraId="5653330D">
            <w:pPr>
              <w:widowControl/>
              <w:jc w:val="center"/>
              <w:rPr>
                <w:rFonts w:ascii="Times New Roman" w:cs="Times New Roman" w:hAnsiTheme="minorEastAsia" w:eastAsiaTheme="minorEastAsia"/>
                <w:color w:val="auto"/>
                <w:spacing w:val="-20"/>
                <w:szCs w:val="21"/>
              </w:rPr>
            </w:pPr>
          </w:p>
        </w:tc>
        <w:tc>
          <w:tcPr>
            <w:tcW w:w="567" w:type="dxa"/>
            <w:vMerge w:val="continue"/>
            <w:vAlign w:val="center"/>
          </w:tcPr>
          <w:p w14:paraId="1D04B691">
            <w:pPr>
              <w:widowControl/>
              <w:jc w:val="center"/>
              <w:rPr>
                <w:rFonts w:ascii="Times New Roman" w:cs="Times New Roman" w:hAnsiTheme="minorEastAsia" w:eastAsiaTheme="minorEastAsia"/>
                <w:color w:val="auto"/>
                <w:spacing w:val="-20"/>
                <w:szCs w:val="21"/>
              </w:rPr>
            </w:pPr>
          </w:p>
        </w:tc>
        <w:tc>
          <w:tcPr>
            <w:tcW w:w="708" w:type="dxa"/>
            <w:vMerge w:val="continue"/>
            <w:vAlign w:val="center"/>
          </w:tcPr>
          <w:p w14:paraId="2CB8AC52">
            <w:pPr>
              <w:jc w:val="center"/>
              <w:rPr>
                <w:rFonts w:ascii="Times New Roman" w:hAnsi="Times New Roman" w:cs="Times New Roman" w:eastAsiaTheme="minorEastAsia"/>
                <w:color w:val="auto"/>
                <w:spacing w:val="-20"/>
                <w:szCs w:val="21"/>
              </w:rPr>
            </w:pPr>
          </w:p>
        </w:tc>
        <w:tc>
          <w:tcPr>
            <w:tcW w:w="709" w:type="dxa"/>
            <w:vMerge w:val="continue"/>
            <w:vAlign w:val="center"/>
          </w:tcPr>
          <w:p w14:paraId="3B877F35">
            <w:pPr>
              <w:widowControl/>
              <w:jc w:val="center"/>
              <w:rPr>
                <w:rFonts w:ascii="Times New Roman" w:hAnsi="Times New Roman" w:cs="Times New Roman" w:eastAsiaTheme="minorEastAsia"/>
                <w:color w:val="auto"/>
                <w:spacing w:val="-20"/>
                <w:kern w:val="0"/>
                <w:szCs w:val="21"/>
              </w:rPr>
            </w:pPr>
          </w:p>
        </w:tc>
        <w:tc>
          <w:tcPr>
            <w:tcW w:w="992" w:type="dxa"/>
            <w:vMerge w:val="continue"/>
            <w:vAlign w:val="center"/>
          </w:tcPr>
          <w:p w14:paraId="04827C24">
            <w:pPr>
              <w:widowControl/>
              <w:jc w:val="center"/>
              <w:rPr>
                <w:rFonts w:ascii="Times New Roman" w:hAnsi="Times New Roman" w:cs="Times New Roman" w:eastAsiaTheme="minorEastAsia"/>
                <w:color w:val="auto"/>
                <w:spacing w:val="-20"/>
                <w:kern w:val="0"/>
                <w:szCs w:val="21"/>
              </w:rPr>
            </w:pPr>
          </w:p>
        </w:tc>
        <w:tc>
          <w:tcPr>
            <w:tcW w:w="993" w:type="dxa"/>
            <w:vMerge w:val="continue"/>
            <w:vAlign w:val="center"/>
          </w:tcPr>
          <w:p w14:paraId="26B318F3">
            <w:pPr>
              <w:widowControl/>
              <w:jc w:val="center"/>
              <w:rPr>
                <w:rFonts w:ascii="Times New Roman" w:hAnsi="Times New Roman" w:cs="Times New Roman" w:eastAsiaTheme="minorEastAsia"/>
                <w:color w:val="auto"/>
                <w:spacing w:val="-20"/>
                <w:kern w:val="0"/>
                <w:szCs w:val="21"/>
              </w:rPr>
            </w:pPr>
          </w:p>
        </w:tc>
        <w:tc>
          <w:tcPr>
            <w:tcW w:w="567" w:type="dxa"/>
            <w:vMerge w:val="continue"/>
            <w:vAlign w:val="center"/>
          </w:tcPr>
          <w:p w14:paraId="269A866B">
            <w:pPr>
              <w:widowControl/>
              <w:jc w:val="center"/>
              <w:rPr>
                <w:rFonts w:ascii="Times New Roman" w:cs="Times New Roman" w:hAnsiTheme="minorEastAsia" w:eastAsiaTheme="minorEastAsia"/>
                <w:color w:val="auto"/>
                <w:spacing w:val="-20"/>
                <w:kern w:val="0"/>
                <w:szCs w:val="21"/>
              </w:rPr>
            </w:pPr>
          </w:p>
        </w:tc>
        <w:tc>
          <w:tcPr>
            <w:tcW w:w="992" w:type="dxa"/>
            <w:vMerge w:val="continue"/>
            <w:vAlign w:val="center"/>
          </w:tcPr>
          <w:p w14:paraId="47FDC4E1">
            <w:pPr>
              <w:jc w:val="center"/>
              <w:rPr>
                <w:rFonts w:ascii="Times New Roman" w:hAnsi="Times New Roman" w:cs="Times New Roman" w:eastAsiaTheme="minorEastAsia"/>
                <w:color w:val="auto"/>
                <w:spacing w:val="-20"/>
                <w:kern w:val="0"/>
                <w:szCs w:val="21"/>
              </w:rPr>
            </w:pPr>
          </w:p>
        </w:tc>
        <w:tc>
          <w:tcPr>
            <w:tcW w:w="709" w:type="dxa"/>
            <w:vMerge w:val="continue"/>
            <w:vAlign w:val="center"/>
          </w:tcPr>
          <w:p w14:paraId="5C11CF06">
            <w:pPr>
              <w:widowControl/>
              <w:jc w:val="center"/>
              <w:rPr>
                <w:rFonts w:ascii="Times New Roman" w:hAnsi="Times New Roman" w:cs="Times New Roman" w:eastAsiaTheme="minorEastAsia"/>
                <w:color w:val="auto"/>
                <w:spacing w:val="-20"/>
                <w:kern w:val="0"/>
                <w:szCs w:val="21"/>
              </w:rPr>
            </w:pPr>
          </w:p>
        </w:tc>
        <w:tc>
          <w:tcPr>
            <w:tcW w:w="708" w:type="dxa"/>
            <w:vMerge w:val="continue"/>
            <w:vAlign w:val="center"/>
          </w:tcPr>
          <w:p w14:paraId="02438278">
            <w:pPr>
              <w:widowControl/>
              <w:jc w:val="center"/>
              <w:rPr>
                <w:rFonts w:ascii="Times New Roman" w:hAnsi="Times New Roman" w:cs="Times New Roman" w:eastAsiaTheme="minorEastAsia"/>
                <w:color w:val="auto"/>
                <w:spacing w:val="-20"/>
                <w:kern w:val="0"/>
                <w:szCs w:val="21"/>
              </w:rPr>
            </w:pPr>
          </w:p>
        </w:tc>
        <w:tc>
          <w:tcPr>
            <w:tcW w:w="4394" w:type="dxa"/>
            <w:vMerge w:val="continue"/>
            <w:vAlign w:val="center"/>
          </w:tcPr>
          <w:p w14:paraId="24B591B1">
            <w:pPr>
              <w:widowControl/>
              <w:rPr>
                <w:rFonts w:ascii="Times New Roman" w:cs="Times New Roman" w:hAnsiTheme="minorEastAsia" w:eastAsiaTheme="minorEastAsia"/>
                <w:color w:val="auto"/>
                <w:spacing w:val="0"/>
                <w:kern w:val="0"/>
                <w:sz w:val="21"/>
                <w:szCs w:val="21"/>
              </w:rPr>
            </w:pPr>
          </w:p>
        </w:tc>
        <w:tc>
          <w:tcPr>
            <w:tcW w:w="2898" w:type="dxa"/>
            <w:vMerge w:val="continue"/>
            <w:vAlign w:val="center"/>
          </w:tcPr>
          <w:p w14:paraId="224FAEEA">
            <w:pPr>
              <w:widowControl/>
              <w:jc w:val="center"/>
              <w:rPr>
                <w:rFonts w:ascii="Times New Roman" w:hAnsi="Times New Roman" w:cs="Times New Roman" w:eastAsiaTheme="minorEastAsia"/>
                <w:color w:val="auto"/>
                <w:spacing w:val="-20"/>
                <w:kern w:val="0"/>
                <w:szCs w:val="21"/>
              </w:rPr>
            </w:pPr>
          </w:p>
        </w:tc>
      </w:tr>
      <w:tr w14:paraId="486DE24C">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622" w:hRule="atLeast"/>
          <w:tblHeader/>
          <w:jc w:val="center"/>
        </w:trPr>
        <w:tc>
          <w:tcPr>
            <w:tcW w:w="568" w:type="dxa"/>
            <w:vMerge w:val="continue"/>
            <w:noWrap/>
            <w:vAlign w:val="center"/>
          </w:tcPr>
          <w:p w14:paraId="5A6D4F18">
            <w:pPr>
              <w:widowControl/>
              <w:jc w:val="center"/>
              <w:rPr>
                <w:rFonts w:ascii="Times New Roman" w:hAnsi="Times New Roman" w:cs="Times New Roman" w:eastAsiaTheme="minorEastAsia"/>
                <w:color w:val="auto"/>
                <w:spacing w:val="-20"/>
                <w:kern w:val="0"/>
                <w:szCs w:val="21"/>
              </w:rPr>
            </w:pPr>
          </w:p>
        </w:tc>
        <w:tc>
          <w:tcPr>
            <w:tcW w:w="694" w:type="dxa"/>
            <w:vMerge w:val="continue"/>
            <w:vAlign w:val="center"/>
          </w:tcPr>
          <w:p w14:paraId="27F63D51">
            <w:pPr>
              <w:widowControl/>
              <w:jc w:val="center"/>
              <w:rPr>
                <w:rFonts w:ascii="Times New Roman" w:hAnsi="Times New Roman" w:cs="Times New Roman" w:eastAsiaTheme="minorEastAsia"/>
                <w:color w:val="auto"/>
                <w:spacing w:val="-20"/>
                <w:kern w:val="0"/>
                <w:szCs w:val="21"/>
              </w:rPr>
            </w:pPr>
          </w:p>
        </w:tc>
        <w:tc>
          <w:tcPr>
            <w:tcW w:w="1134" w:type="dxa"/>
            <w:vAlign w:val="center"/>
          </w:tcPr>
          <w:p w14:paraId="5973A37D">
            <w:pPr>
              <w:widowControl/>
              <w:jc w:val="center"/>
              <w:rPr>
                <w:rFonts w:ascii="Times New Roman" w:hAnsi="Times New Roman" w:cs="Times New Roman" w:eastAsiaTheme="minorEastAsia"/>
                <w:color w:val="auto"/>
                <w:spacing w:val="-20"/>
                <w:szCs w:val="21"/>
              </w:rPr>
            </w:pPr>
            <w:r>
              <w:rPr>
                <w:rFonts w:ascii="Times New Roman" w:hAnsi="Times New Roman" w:cs="Times New Roman" w:eastAsiaTheme="minorEastAsia"/>
                <w:color w:val="auto"/>
                <w:spacing w:val="-20"/>
                <w:szCs w:val="21"/>
              </w:rPr>
              <w:t>K</w:t>
            </w:r>
            <w:r>
              <w:rPr>
                <w:rFonts w:hint="eastAsia" w:ascii="Times New Roman" w:hAnsi="Times New Roman" w:cs="Times New Roman" w:eastAsiaTheme="minorEastAsia"/>
                <w:color w:val="auto"/>
                <w:spacing w:val="-20"/>
                <w:szCs w:val="21"/>
              </w:rPr>
              <w:t>20</w:t>
            </w:r>
            <w:r>
              <w:rPr>
                <w:rFonts w:ascii="Times New Roman" w:hAnsi="Times New Roman" w:cs="Times New Roman" w:eastAsiaTheme="minorEastAsia"/>
                <w:color w:val="auto"/>
                <w:spacing w:val="-20"/>
                <w:szCs w:val="21"/>
              </w:rPr>
              <w:t>+</w:t>
            </w:r>
            <w:r>
              <w:rPr>
                <w:rFonts w:hint="eastAsia" w:ascii="Times New Roman" w:hAnsi="Times New Roman" w:cs="Times New Roman" w:eastAsiaTheme="minorEastAsia"/>
                <w:color w:val="auto"/>
                <w:spacing w:val="-20"/>
                <w:szCs w:val="21"/>
              </w:rPr>
              <w:t>85</w:t>
            </w:r>
            <w:r>
              <w:rPr>
                <w:rFonts w:ascii="Times New Roman" w:hAnsi="Times New Roman" w:cs="Times New Roman" w:eastAsiaTheme="minorEastAsia"/>
                <w:color w:val="auto"/>
                <w:spacing w:val="-20"/>
                <w:szCs w:val="21"/>
              </w:rPr>
              <w:t>0</w:t>
            </w:r>
            <w:r>
              <w:rPr>
                <w:rFonts w:ascii="Times New Roman" w:cs="Times New Roman" w:hAnsiTheme="minorEastAsia" w:eastAsiaTheme="minorEastAsia"/>
                <w:color w:val="auto"/>
                <w:spacing w:val="-20"/>
                <w:szCs w:val="21"/>
              </w:rPr>
              <w:t>～</w:t>
            </w:r>
            <w:r>
              <w:rPr>
                <w:rFonts w:ascii="Times New Roman" w:hAnsi="Times New Roman" w:cs="Times New Roman" w:eastAsiaTheme="minorEastAsia"/>
                <w:color w:val="auto"/>
                <w:spacing w:val="-20"/>
                <w:szCs w:val="21"/>
              </w:rPr>
              <w:t>K</w:t>
            </w:r>
            <w:r>
              <w:rPr>
                <w:rFonts w:hint="eastAsia" w:ascii="Times New Roman" w:hAnsi="Times New Roman" w:cs="Times New Roman" w:eastAsiaTheme="minorEastAsia"/>
                <w:color w:val="auto"/>
                <w:spacing w:val="-20"/>
                <w:szCs w:val="21"/>
              </w:rPr>
              <w:t>21</w:t>
            </w:r>
            <w:r>
              <w:rPr>
                <w:rFonts w:ascii="Times New Roman" w:hAnsi="Times New Roman" w:cs="Times New Roman" w:eastAsiaTheme="minorEastAsia"/>
                <w:color w:val="auto"/>
                <w:spacing w:val="-20"/>
                <w:szCs w:val="21"/>
              </w:rPr>
              <w:t>+</w:t>
            </w:r>
            <w:r>
              <w:rPr>
                <w:rFonts w:hint="eastAsia" w:ascii="Times New Roman" w:hAnsi="Times New Roman" w:cs="Times New Roman" w:eastAsiaTheme="minorEastAsia"/>
                <w:color w:val="auto"/>
                <w:spacing w:val="-20"/>
                <w:szCs w:val="21"/>
              </w:rPr>
              <w:t>05</w:t>
            </w:r>
            <w:r>
              <w:rPr>
                <w:rFonts w:ascii="Times New Roman" w:hAnsi="Times New Roman" w:cs="Times New Roman" w:eastAsiaTheme="minorEastAsia"/>
                <w:color w:val="auto"/>
                <w:spacing w:val="-20"/>
                <w:szCs w:val="21"/>
              </w:rPr>
              <w:t>0</w:t>
            </w:r>
          </w:p>
        </w:tc>
        <w:tc>
          <w:tcPr>
            <w:tcW w:w="851" w:type="dxa"/>
            <w:vMerge w:val="continue"/>
            <w:vAlign w:val="center"/>
          </w:tcPr>
          <w:p w14:paraId="3D8F8A4A">
            <w:pPr>
              <w:widowControl/>
              <w:jc w:val="center"/>
              <w:rPr>
                <w:rFonts w:ascii="Times New Roman" w:cs="Times New Roman" w:hAnsiTheme="minorEastAsia" w:eastAsiaTheme="minorEastAsia"/>
                <w:color w:val="auto"/>
                <w:spacing w:val="-20"/>
                <w:szCs w:val="21"/>
              </w:rPr>
            </w:pPr>
          </w:p>
        </w:tc>
        <w:tc>
          <w:tcPr>
            <w:tcW w:w="850" w:type="dxa"/>
            <w:vMerge w:val="continue"/>
            <w:vAlign w:val="center"/>
          </w:tcPr>
          <w:p w14:paraId="3FD4AE1E">
            <w:pPr>
              <w:widowControl/>
              <w:jc w:val="center"/>
              <w:rPr>
                <w:rFonts w:ascii="Times New Roman" w:cs="Times New Roman" w:hAnsiTheme="minorEastAsia" w:eastAsiaTheme="minorEastAsia"/>
                <w:color w:val="auto"/>
                <w:spacing w:val="-20"/>
                <w:szCs w:val="21"/>
              </w:rPr>
            </w:pPr>
          </w:p>
        </w:tc>
        <w:tc>
          <w:tcPr>
            <w:tcW w:w="661" w:type="dxa"/>
            <w:vMerge w:val="restart"/>
            <w:vAlign w:val="center"/>
          </w:tcPr>
          <w:p w14:paraId="37C61509">
            <w:pPr>
              <w:widowControl/>
              <w:jc w:val="center"/>
              <w:rPr>
                <w:rFonts w:ascii="Times New Roman" w:cs="Times New Roman" w:hAnsiTheme="minorEastAsia" w:eastAsiaTheme="minorEastAsia"/>
                <w:color w:val="auto"/>
                <w:spacing w:val="-20"/>
                <w:szCs w:val="21"/>
              </w:rPr>
            </w:pPr>
            <w:r>
              <w:rPr>
                <w:rFonts w:ascii="Times New Roman" w:cs="Times New Roman" w:hAnsiTheme="minorEastAsia" w:eastAsiaTheme="minorEastAsia"/>
                <w:color w:val="auto"/>
                <w:spacing w:val="-20"/>
                <w:szCs w:val="21"/>
              </w:rPr>
              <w:t>路左</w:t>
            </w:r>
          </w:p>
        </w:tc>
        <w:tc>
          <w:tcPr>
            <w:tcW w:w="662" w:type="dxa"/>
            <w:vMerge w:val="continue"/>
            <w:vAlign w:val="center"/>
          </w:tcPr>
          <w:p w14:paraId="0A4F9BAD">
            <w:pPr>
              <w:widowControl/>
              <w:jc w:val="center"/>
              <w:rPr>
                <w:rFonts w:ascii="Times New Roman" w:cs="Times New Roman" w:hAnsiTheme="minorEastAsia" w:eastAsiaTheme="minorEastAsia"/>
                <w:color w:val="auto"/>
                <w:spacing w:val="-20"/>
                <w:szCs w:val="21"/>
              </w:rPr>
            </w:pPr>
          </w:p>
        </w:tc>
        <w:tc>
          <w:tcPr>
            <w:tcW w:w="662" w:type="dxa"/>
            <w:vMerge w:val="continue"/>
            <w:vAlign w:val="center"/>
          </w:tcPr>
          <w:p w14:paraId="4C5FB0A3">
            <w:pPr>
              <w:widowControl/>
              <w:jc w:val="center"/>
              <w:rPr>
                <w:rFonts w:ascii="Times New Roman" w:cs="Times New Roman" w:hAnsiTheme="minorEastAsia" w:eastAsiaTheme="minorEastAsia"/>
                <w:color w:val="auto"/>
                <w:spacing w:val="-20"/>
                <w:szCs w:val="21"/>
              </w:rPr>
            </w:pPr>
          </w:p>
        </w:tc>
        <w:tc>
          <w:tcPr>
            <w:tcW w:w="567" w:type="dxa"/>
            <w:vMerge w:val="restart"/>
            <w:vAlign w:val="center"/>
          </w:tcPr>
          <w:p w14:paraId="3C166781">
            <w:pPr>
              <w:widowControl/>
              <w:jc w:val="center"/>
              <w:rPr>
                <w:rFonts w:ascii="Times New Roman" w:cs="Times New Roman" w:hAnsiTheme="minorEastAsia" w:eastAsiaTheme="minorEastAsia"/>
                <w:color w:val="auto"/>
                <w:spacing w:val="-20"/>
                <w:szCs w:val="21"/>
              </w:rPr>
            </w:pPr>
            <w:r>
              <w:rPr>
                <w:rFonts w:ascii="Times New Roman" w:cs="Times New Roman" w:hAnsiTheme="minorEastAsia" w:eastAsiaTheme="minorEastAsia"/>
                <w:color w:val="auto"/>
                <w:spacing w:val="-20"/>
                <w:szCs w:val="21"/>
              </w:rPr>
              <w:t>路左</w:t>
            </w:r>
          </w:p>
        </w:tc>
        <w:tc>
          <w:tcPr>
            <w:tcW w:w="708" w:type="dxa"/>
            <w:vMerge w:val="continue"/>
            <w:vAlign w:val="center"/>
          </w:tcPr>
          <w:p w14:paraId="1504EBE7">
            <w:pPr>
              <w:jc w:val="center"/>
              <w:rPr>
                <w:rFonts w:ascii="Times New Roman" w:hAnsi="Times New Roman" w:cs="Times New Roman" w:eastAsiaTheme="minorEastAsia"/>
                <w:color w:val="auto"/>
                <w:spacing w:val="-20"/>
                <w:szCs w:val="21"/>
              </w:rPr>
            </w:pPr>
          </w:p>
        </w:tc>
        <w:tc>
          <w:tcPr>
            <w:tcW w:w="709" w:type="dxa"/>
            <w:vMerge w:val="continue"/>
            <w:vAlign w:val="center"/>
          </w:tcPr>
          <w:p w14:paraId="6E931C42">
            <w:pPr>
              <w:widowControl/>
              <w:jc w:val="center"/>
              <w:rPr>
                <w:rFonts w:ascii="Times New Roman" w:hAnsi="Times New Roman" w:cs="Times New Roman" w:eastAsiaTheme="minorEastAsia"/>
                <w:color w:val="auto"/>
                <w:spacing w:val="-20"/>
                <w:kern w:val="0"/>
                <w:szCs w:val="21"/>
              </w:rPr>
            </w:pPr>
          </w:p>
        </w:tc>
        <w:tc>
          <w:tcPr>
            <w:tcW w:w="992" w:type="dxa"/>
            <w:vMerge w:val="continue"/>
            <w:vAlign w:val="center"/>
          </w:tcPr>
          <w:p w14:paraId="05FC950F">
            <w:pPr>
              <w:widowControl/>
              <w:jc w:val="center"/>
              <w:rPr>
                <w:rFonts w:ascii="Times New Roman" w:hAnsi="Times New Roman" w:cs="Times New Roman" w:eastAsiaTheme="minorEastAsia"/>
                <w:color w:val="auto"/>
                <w:spacing w:val="-20"/>
                <w:kern w:val="0"/>
                <w:szCs w:val="21"/>
              </w:rPr>
            </w:pPr>
          </w:p>
        </w:tc>
        <w:tc>
          <w:tcPr>
            <w:tcW w:w="993" w:type="dxa"/>
            <w:vMerge w:val="continue"/>
            <w:vAlign w:val="center"/>
          </w:tcPr>
          <w:p w14:paraId="0EC80F50">
            <w:pPr>
              <w:widowControl/>
              <w:jc w:val="center"/>
              <w:rPr>
                <w:rFonts w:ascii="Times New Roman" w:hAnsi="Times New Roman" w:cs="Times New Roman" w:eastAsiaTheme="minorEastAsia"/>
                <w:color w:val="auto"/>
                <w:spacing w:val="-20"/>
                <w:kern w:val="0"/>
                <w:szCs w:val="21"/>
              </w:rPr>
            </w:pPr>
          </w:p>
        </w:tc>
        <w:tc>
          <w:tcPr>
            <w:tcW w:w="567" w:type="dxa"/>
            <w:vMerge w:val="continue"/>
            <w:vAlign w:val="center"/>
          </w:tcPr>
          <w:p w14:paraId="299561A3">
            <w:pPr>
              <w:widowControl/>
              <w:jc w:val="center"/>
              <w:rPr>
                <w:rFonts w:ascii="Times New Roman" w:cs="Times New Roman" w:hAnsiTheme="minorEastAsia" w:eastAsiaTheme="minorEastAsia"/>
                <w:color w:val="auto"/>
                <w:spacing w:val="-20"/>
                <w:kern w:val="0"/>
                <w:szCs w:val="21"/>
              </w:rPr>
            </w:pPr>
          </w:p>
        </w:tc>
        <w:tc>
          <w:tcPr>
            <w:tcW w:w="992" w:type="dxa"/>
            <w:vMerge w:val="continue"/>
            <w:vAlign w:val="center"/>
          </w:tcPr>
          <w:p w14:paraId="70601B75">
            <w:pPr>
              <w:jc w:val="center"/>
              <w:rPr>
                <w:rFonts w:ascii="Times New Roman" w:hAnsi="Times New Roman" w:cs="Times New Roman" w:eastAsiaTheme="minorEastAsia"/>
                <w:color w:val="auto"/>
                <w:spacing w:val="-20"/>
                <w:kern w:val="0"/>
                <w:szCs w:val="21"/>
              </w:rPr>
            </w:pPr>
          </w:p>
        </w:tc>
        <w:tc>
          <w:tcPr>
            <w:tcW w:w="709" w:type="dxa"/>
            <w:vMerge w:val="continue"/>
            <w:vAlign w:val="center"/>
          </w:tcPr>
          <w:p w14:paraId="5EA97C9D">
            <w:pPr>
              <w:widowControl/>
              <w:jc w:val="center"/>
              <w:rPr>
                <w:rFonts w:ascii="Times New Roman" w:hAnsi="Times New Roman" w:cs="Times New Roman" w:eastAsiaTheme="minorEastAsia"/>
                <w:color w:val="auto"/>
                <w:spacing w:val="-20"/>
                <w:kern w:val="0"/>
                <w:szCs w:val="21"/>
              </w:rPr>
            </w:pPr>
          </w:p>
        </w:tc>
        <w:tc>
          <w:tcPr>
            <w:tcW w:w="708" w:type="dxa"/>
            <w:vMerge w:val="continue"/>
            <w:vAlign w:val="center"/>
          </w:tcPr>
          <w:p w14:paraId="679D419D">
            <w:pPr>
              <w:widowControl/>
              <w:jc w:val="center"/>
              <w:rPr>
                <w:rFonts w:ascii="Times New Roman" w:hAnsi="Times New Roman" w:cs="Times New Roman" w:eastAsiaTheme="minorEastAsia"/>
                <w:color w:val="auto"/>
                <w:spacing w:val="-20"/>
                <w:kern w:val="0"/>
                <w:szCs w:val="21"/>
              </w:rPr>
            </w:pPr>
          </w:p>
        </w:tc>
        <w:tc>
          <w:tcPr>
            <w:tcW w:w="4394" w:type="dxa"/>
            <w:vMerge w:val="continue"/>
            <w:vAlign w:val="center"/>
          </w:tcPr>
          <w:p w14:paraId="39DAF576">
            <w:pPr>
              <w:widowControl/>
              <w:rPr>
                <w:rFonts w:ascii="Times New Roman" w:cs="Times New Roman" w:hAnsiTheme="minorEastAsia" w:eastAsiaTheme="minorEastAsia"/>
                <w:color w:val="auto"/>
                <w:spacing w:val="0"/>
                <w:kern w:val="0"/>
                <w:sz w:val="21"/>
                <w:szCs w:val="21"/>
              </w:rPr>
            </w:pPr>
          </w:p>
        </w:tc>
        <w:tc>
          <w:tcPr>
            <w:tcW w:w="2898" w:type="dxa"/>
            <w:vMerge w:val="continue"/>
            <w:vAlign w:val="center"/>
          </w:tcPr>
          <w:p w14:paraId="4E191E89">
            <w:pPr>
              <w:widowControl/>
              <w:jc w:val="center"/>
              <w:rPr>
                <w:rFonts w:ascii="Times New Roman" w:hAnsi="Times New Roman" w:cs="Times New Roman" w:eastAsiaTheme="minorEastAsia"/>
                <w:color w:val="auto"/>
                <w:spacing w:val="-20"/>
                <w:kern w:val="0"/>
                <w:szCs w:val="21"/>
              </w:rPr>
            </w:pPr>
          </w:p>
        </w:tc>
      </w:tr>
      <w:tr w14:paraId="70D1A600">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622" w:hRule="atLeast"/>
          <w:tblHeader/>
          <w:jc w:val="center"/>
        </w:trPr>
        <w:tc>
          <w:tcPr>
            <w:tcW w:w="568" w:type="dxa"/>
            <w:vMerge w:val="continue"/>
            <w:noWrap/>
            <w:vAlign w:val="center"/>
          </w:tcPr>
          <w:p w14:paraId="0C479211">
            <w:pPr>
              <w:widowControl/>
              <w:jc w:val="center"/>
              <w:rPr>
                <w:rFonts w:ascii="Times New Roman" w:hAnsi="Times New Roman" w:cs="Times New Roman" w:eastAsiaTheme="minorEastAsia"/>
                <w:color w:val="auto"/>
                <w:spacing w:val="-20"/>
                <w:kern w:val="0"/>
                <w:szCs w:val="21"/>
              </w:rPr>
            </w:pPr>
          </w:p>
        </w:tc>
        <w:tc>
          <w:tcPr>
            <w:tcW w:w="694" w:type="dxa"/>
            <w:vMerge w:val="continue"/>
            <w:vAlign w:val="center"/>
          </w:tcPr>
          <w:p w14:paraId="7DA26E45">
            <w:pPr>
              <w:widowControl/>
              <w:jc w:val="center"/>
              <w:rPr>
                <w:rFonts w:ascii="Times New Roman" w:hAnsi="Times New Roman" w:cs="Times New Roman" w:eastAsiaTheme="minorEastAsia"/>
                <w:color w:val="auto"/>
                <w:spacing w:val="-20"/>
                <w:kern w:val="0"/>
                <w:szCs w:val="21"/>
              </w:rPr>
            </w:pPr>
          </w:p>
        </w:tc>
        <w:tc>
          <w:tcPr>
            <w:tcW w:w="1134" w:type="dxa"/>
            <w:vAlign w:val="center"/>
          </w:tcPr>
          <w:p w14:paraId="7267CE2B">
            <w:pPr>
              <w:widowControl/>
              <w:jc w:val="center"/>
              <w:rPr>
                <w:rFonts w:ascii="Times New Roman" w:hAnsi="Times New Roman" w:cs="Times New Roman" w:eastAsiaTheme="minorEastAsia"/>
                <w:color w:val="auto"/>
                <w:spacing w:val="-20"/>
                <w:szCs w:val="21"/>
              </w:rPr>
            </w:pPr>
            <w:r>
              <w:rPr>
                <w:rFonts w:ascii="Times New Roman" w:hAnsi="Times New Roman" w:cs="Times New Roman" w:eastAsiaTheme="minorEastAsia"/>
                <w:color w:val="auto"/>
                <w:spacing w:val="-20"/>
                <w:szCs w:val="21"/>
              </w:rPr>
              <w:t>K</w:t>
            </w:r>
            <w:r>
              <w:rPr>
                <w:rFonts w:hint="eastAsia" w:ascii="Times New Roman" w:hAnsi="Times New Roman" w:cs="Times New Roman" w:eastAsiaTheme="minorEastAsia"/>
                <w:color w:val="auto"/>
                <w:spacing w:val="-20"/>
                <w:szCs w:val="21"/>
              </w:rPr>
              <w:t>21</w:t>
            </w:r>
            <w:r>
              <w:rPr>
                <w:rFonts w:ascii="Times New Roman" w:hAnsi="Times New Roman" w:cs="Times New Roman" w:eastAsiaTheme="minorEastAsia"/>
                <w:color w:val="auto"/>
                <w:spacing w:val="-20"/>
                <w:szCs w:val="21"/>
              </w:rPr>
              <w:t>+</w:t>
            </w:r>
            <w:r>
              <w:rPr>
                <w:rFonts w:hint="eastAsia" w:ascii="Times New Roman" w:hAnsi="Times New Roman" w:cs="Times New Roman" w:eastAsiaTheme="minorEastAsia"/>
                <w:color w:val="auto"/>
                <w:spacing w:val="-20"/>
                <w:szCs w:val="21"/>
              </w:rPr>
              <w:t>30</w:t>
            </w:r>
            <w:r>
              <w:rPr>
                <w:rFonts w:ascii="Times New Roman" w:hAnsi="Times New Roman" w:cs="Times New Roman" w:eastAsiaTheme="minorEastAsia"/>
                <w:color w:val="auto"/>
                <w:spacing w:val="-20"/>
                <w:szCs w:val="21"/>
              </w:rPr>
              <w:t>0</w:t>
            </w:r>
            <w:r>
              <w:rPr>
                <w:rFonts w:ascii="Times New Roman" w:cs="Times New Roman" w:hAnsiTheme="minorEastAsia" w:eastAsiaTheme="minorEastAsia"/>
                <w:color w:val="auto"/>
                <w:spacing w:val="-20"/>
                <w:szCs w:val="21"/>
              </w:rPr>
              <w:t>～</w:t>
            </w:r>
            <w:r>
              <w:rPr>
                <w:rFonts w:ascii="Times New Roman" w:hAnsi="Times New Roman" w:cs="Times New Roman" w:eastAsiaTheme="minorEastAsia"/>
                <w:color w:val="auto"/>
                <w:spacing w:val="-20"/>
                <w:szCs w:val="21"/>
              </w:rPr>
              <w:t>K</w:t>
            </w:r>
            <w:r>
              <w:rPr>
                <w:rFonts w:hint="eastAsia" w:ascii="Times New Roman" w:hAnsi="Times New Roman" w:cs="Times New Roman" w:eastAsiaTheme="minorEastAsia"/>
                <w:color w:val="auto"/>
                <w:spacing w:val="-20"/>
                <w:szCs w:val="21"/>
              </w:rPr>
              <w:t>21</w:t>
            </w:r>
            <w:r>
              <w:rPr>
                <w:rFonts w:ascii="Times New Roman" w:hAnsi="Times New Roman" w:cs="Times New Roman" w:eastAsiaTheme="minorEastAsia"/>
                <w:color w:val="auto"/>
                <w:spacing w:val="-20"/>
                <w:szCs w:val="21"/>
              </w:rPr>
              <w:t>+</w:t>
            </w:r>
            <w:r>
              <w:rPr>
                <w:rFonts w:hint="eastAsia" w:ascii="Times New Roman" w:hAnsi="Times New Roman" w:cs="Times New Roman" w:eastAsiaTheme="minorEastAsia"/>
                <w:color w:val="auto"/>
                <w:spacing w:val="-20"/>
                <w:szCs w:val="21"/>
              </w:rPr>
              <w:t>70</w:t>
            </w:r>
            <w:r>
              <w:rPr>
                <w:rFonts w:ascii="Times New Roman" w:hAnsi="Times New Roman" w:cs="Times New Roman" w:eastAsiaTheme="minorEastAsia"/>
                <w:color w:val="auto"/>
                <w:spacing w:val="-20"/>
                <w:szCs w:val="21"/>
              </w:rPr>
              <w:t>0</w:t>
            </w:r>
          </w:p>
        </w:tc>
        <w:tc>
          <w:tcPr>
            <w:tcW w:w="851" w:type="dxa"/>
            <w:vMerge w:val="continue"/>
            <w:vAlign w:val="center"/>
          </w:tcPr>
          <w:p w14:paraId="08473142">
            <w:pPr>
              <w:widowControl/>
              <w:jc w:val="center"/>
              <w:rPr>
                <w:rFonts w:ascii="Times New Roman" w:cs="Times New Roman" w:hAnsiTheme="minorEastAsia" w:eastAsiaTheme="minorEastAsia"/>
                <w:color w:val="auto"/>
                <w:spacing w:val="-20"/>
                <w:szCs w:val="21"/>
              </w:rPr>
            </w:pPr>
          </w:p>
        </w:tc>
        <w:tc>
          <w:tcPr>
            <w:tcW w:w="850" w:type="dxa"/>
            <w:vMerge w:val="continue"/>
            <w:vAlign w:val="center"/>
          </w:tcPr>
          <w:p w14:paraId="54E49EFE">
            <w:pPr>
              <w:widowControl/>
              <w:jc w:val="center"/>
              <w:rPr>
                <w:rFonts w:ascii="Times New Roman" w:cs="Times New Roman" w:hAnsiTheme="minorEastAsia" w:eastAsiaTheme="minorEastAsia"/>
                <w:color w:val="auto"/>
                <w:spacing w:val="-20"/>
                <w:szCs w:val="21"/>
              </w:rPr>
            </w:pPr>
          </w:p>
        </w:tc>
        <w:tc>
          <w:tcPr>
            <w:tcW w:w="661" w:type="dxa"/>
            <w:vMerge w:val="continue"/>
            <w:vAlign w:val="center"/>
          </w:tcPr>
          <w:p w14:paraId="00C8FE9C">
            <w:pPr>
              <w:widowControl/>
              <w:jc w:val="center"/>
              <w:rPr>
                <w:rFonts w:ascii="Times New Roman" w:cs="Times New Roman" w:hAnsiTheme="minorEastAsia" w:eastAsiaTheme="minorEastAsia"/>
                <w:color w:val="auto"/>
                <w:spacing w:val="-20"/>
                <w:szCs w:val="21"/>
              </w:rPr>
            </w:pPr>
          </w:p>
        </w:tc>
        <w:tc>
          <w:tcPr>
            <w:tcW w:w="662" w:type="dxa"/>
            <w:vMerge w:val="continue"/>
            <w:vAlign w:val="center"/>
          </w:tcPr>
          <w:p w14:paraId="6ACCD340">
            <w:pPr>
              <w:widowControl/>
              <w:jc w:val="center"/>
              <w:rPr>
                <w:rFonts w:ascii="Times New Roman" w:cs="Times New Roman" w:hAnsiTheme="minorEastAsia" w:eastAsiaTheme="minorEastAsia"/>
                <w:color w:val="auto"/>
                <w:spacing w:val="-20"/>
                <w:szCs w:val="21"/>
              </w:rPr>
            </w:pPr>
          </w:p>
        </w:tc>
        <w:tc>
          <w:tcPr>
            <w:tcW w:w="662" w:type="dxa"/>
            <w:vMerge w:val="continue"/>
            <w:vAlign w:val="center"/>
          </w:tcPr>
          <w:p w14:paraId="18E04A85">
            <w:pPr>
              <w:widowControl/>
              <w:jc w:val="center"/>
              <w:rPr>
                <w:rFonts w:ascii="Times New Roman" w:cs="Times New Roman" w:hAnsiTheme="minorEastAsia" w:eastAsiaTheme="minorEastAsia"/>
                <w:color w:val="auto"/>
                <w:spacing w:val="-20"/>
                <w:szCs w:val="21"/>
              </w:rPr>
            </w:pPr>
          </w:p>
        </w:tc>
        <w:tc>
          <w:tcPr>
            <w:tcW w:w="567" w:type="dxa"/>
            <w:vMerge w:val="continue"/>
            <w:vAlign w:val="center"/>
          </w:tcPr>
          <w:p w14:paraId="6673751B">
            <w:pPr>
              <w:widowControl/>
              <w:jc w:val="center"/>
              <w:rPr>
                <w:rFonts w:ascii="Times New Roman" w:cs="Times New Roman" w:hAnsiTheme="minorEastAsia" w:eastAsiaTheme="minorEastAsia"/>
                <w:color w:val="auto"/>
                <w:spacing w:val="-20"/>
                <w:szCs w:val="21"/>
              </w:rPr>
            </w:pPr>
          </w:p>
        </w:tc>
        <w:tc>
          <w:tcPr>
            <w:tcW w:w="708" w:type="dxa"/>
            <w:vMerge w:val="continue"/>
            <w:vAlign w:val="center"/>
          </w:tcPr>
          <w:p w14:paraId="3E92D092">
            <w:pPr>
              <w:jc w:val="center"/>
              <w:rPr>
                <w:rFonts w:ascii="Times New Roman" w:hAnsi="Times New Roman" w:cs="Times New Roman" w:eastAsiaTheme="minorEastAsia"/>
                <w:color w:val="auto"/>
                <w:spacing w:val="-20"/>
                <w:szCs w:val="21"/>
              </w:rPr>
            </w:pPr>
          </w:p>
        </w:tc>
        <w:tc>
          <w:tcPr>
            <w:tcW w:w="709" w:type="dxa"/>
            <w:vMerge w:val="continue"/>
            <w:vAlign w:val="center"/>
          </w:tcPr>
          <w:p w14:paraId="65B4E0F1">
            <w:pPr>
              <w:widowControl/>
              <w:jc w:val="center"/>
              <w:rPr>
                <w:rFonts w:ascii="Times New Roman" w:hAnsi="Times New Roman" w:cs="Times New Roman" w:eastAsiaTheme="minorEastAsia"/>
                <w:color w:val="auto"/>
                <w:spacing w:val="-20"/>
                <w:kern w:val="0"/>
                <w:szCs w:val="21"/>
              </w:rPr>
            </w:pPr>
          </w:p>
        </w:tc>
        <w:tc>
          <w:tcPr>
            <w:tcW w:w="992" w:type="dxa"/>
            <w:vMerge w:val="continue"/>
            <w:vAlign w:val="center"/>
          </w:tcPr>
          <w:p w14:paraId="295C3850">
            <w:pPr>
              <w:widowControl/>
              <w:jc w:val="center"/>
              <w:rPr>
                <w:rFonts w:ascii="Times New Roman" w:hAnsi="Times New Roman" w:cs="Times New Roman" w:eastAsiaTheme="minorEastAsia"/>
                <w:color w:val="auto"/>
                <w:spacing w:val="-20"/>
                <w:kern w:val="0"/>
                <w:szCs w:val="21"/>
              </w:rPr>
            </w:pPr>
          </w:p>
        </w:tc>
        <w:tc>
          <w:tcPr>
            <w:tcW w:w="993" w:type="dxa"/>
            <w:vMerge w:val="continue"/>
            <w:vAlign w:val="center"/>
          </w:tcPr>
          <w:p w14:paraId="7DF770DA">
            <w:pPr>
              <w:widowControl/>
              <w:jc w:val="center"/>
              <w:rPr>
                <w:rFonts w:ascii="Times New Roman" w:hAnsi="Times New Roman" w:cs="Times New Roman" w:eastAsiaTheme="minorEastAsia"/>
                <w:color w:val="auto"/>
                <w:spacing w:val="-20"/>
                <w:kern w:val="0"/>
                <w:szCs w:val="21"/>
              </w:rPr>
            </w:pPr>
          </w:p>
        </w:tc>
        <w:tc>
          <w:tcPr>
            <w:tcW w:w="567" w:type="dxa"/>
            <w:vMerge w:val="continue"/>
            <w:vAlign w:val="center"/>
          </w:tcPr>
          <w:p w14:paraId="62F222EA">
            <w:pPr>
              <w:widowControl/>
              <w:jc w:val="center"/>
              <w:rPr>
                <w:rFonts w:ascii="Times New Roman" w:cs="Times New Roman" w:hAnsiTheme="minorEastAsia" w:eastAsiaTheme="minorEastAsia"/>
                <w:color w:val="auto"/>
                <w:spacing w:val="-20"/>
                <w:kern w:val="0"/>
                <w:szCs w:val="21"/>
              </w:rPr>
            </w:pPr>
          </w:p>
        </w:tc>
        <w:tc>
          <w:tcPr>
            <w:tcW w:w="992" w:type="dxa"/>
            <w:vMerge w:val="continue"/>
            <w:vAlign w:val="center"/>
          </w:tcPr>
          <w:p w14:paraId="2AA0BA6B">
            <w:pPr>
              <w:jc w:val="center"/>
              <w:rPr>
                <w:rFonts w:ascii="Times New Roman" w:hAnsi="Times New Roman" w:cs="Times New Roman" w:eastAsiaTheme="minorEastAsia"/>
                <w:color w:val="auto"/>
                <w:spacing w:val="-20"/>
                <w:kern w:val="0"/>
                <w:szCs w:val="21"/>
              </w:rPr>
            </w:pPr>
          </w:p>
        </w:tc>
        <w:tc>
          <w:tcPr>
            <w:tcW w:w="709" w:type="dxa"/>
            <w:vMerge w:val="continue"/>
            <w:vAlign w:val="center"/>
          </w:tcPr>
          <w:p w14:paraId="2923CA16">
            <w:pPr>
              <w:widowControl/>
              <w:jc w:val="center"/>
              <w:rPr>
                <w:rFonts w:ascii="Times New Roman" w:hAnsi="Times New Roman" w:cs="Times New Roman" w:eastAsiaTheme="minorEastAsia"/>
                <w:color w:val="auto"/>
                <w:spacing w:val="-20"/>
                <w:kern w:val="0"/>
                <w:szCs w:val="21"/>
              </w:rPr>
            </w:pPr>
          </w:p>
        </w:tc>
        <w:tc>
          <w:tcPr>
            <w:tcW w:w="708" w:type="dxa"/>
            <w:vMerge w:val="continue"/>
            <w:vAlign w:val="center"/>
          </w:tcPr>
          <w:p w14:paraId="6687D094">
            <w:pPr>
              <w:widowControl/>
              <w:jc w:val="center"/>
              <w:rPr>
                <w:rFonts w:ascii="Times New Roman" w:hAnsi="Times New Roman" w:cs="Times New Roman" w:eastAsiaTheme="minorEastAsia"/>
                <w:color w:val="auto"/>
                <w:spacing w:val="-20"/>
                <w:kern w:val="0"/>
                <w:szCs w:val="21"/>
              </w:rPr>
            </w:pPr>
          </w:p>
        </w:tc>
        <w:tc>
          <w:tcPr>
            <w:tcW w:w="4394" w:type="dxa"/>
            <w:vMerge w:val="continue"/>
            <w:vAlign w:val="center"/>
          </w:tcPr>
          <w:p w14:paraId="2AEC59F3">
            <w:pPr>
              <w:widowControl/>
              <w:rPr>
                <w:rFonts w:ascii="Times New Roman" w:cs="Times New Roman" w:hAnsiTheme="minorEastAsia" w:eastAsiaTheme="minorEastAsia"/>
                <w:color w:val="auto"/>
                <w:spacing w:val="0"/>
                <w:kern w:val="0"/>
                <w:sz w:val="21"/>
                <w:szCs w:val="21"/>
              </w:rPr>
            </w:pPr>
          </w:p>
        </w:tc>
        <w:tc>
          <w:tcPr>
            <w:tcW w:w="2898" w:type="dxa"/>
            <w:vMerge w:val="continue"/>
            <w:vAlign w:val="center"/>
          </w:tcPr>
          <w:p w14:paraId="5B0D57CB">
            <w:pPr>
              <w:widowControl/>
              <w:jc w:val="center"/>
              <w:rPr>
                <w:rFonts w:ascii="Times New Roman" w:hAnsi="Times New Roman" w:cs="Times New Roman" w:eastAsiaTheme="minorEastAsia"/>
                <w:color w:val="auto"/>
                <w:spacing w:val="-20"/>
                <w:kern w:val="0"/>
                <w:szCs w:val="21"/>
              </w:rPr>
            </w:pPr>
          </w:p>
        </w:tc>
      </w:tr>
      <w:tr w14:paraId="6EE1F30A">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690" w:hRule="atLeast"/>
          <w:tblHeader/>
          <w:jc w:val="center"/>
        </w:trPr>
        <w:tc>
          <w:tcPr>
            <w:tcW w:w="568" w:type="dxa"/>
            <w:vMerge w:val="restart"/>
            <w:noWrap/>
            <w:vAlign w:val="center"/>
          </w:tcPr>
          <w:p w14:paraId="7F887898">
            <w:pPr>
              <w:widowControl/>
              <w:jc w:val="center"/>
              <w:rPr>
                <w:rFonts w:ascii="Times New Roman" w:hAnsi="Times New Roman" w:cs="Times New Roman" w:eastAsiaTheme="minorEastAsia"/>
                <w:color w:val="auto"/>
                <w:spacing w:val="-20"/>
                <w:kern w:val="0"/>
                <w:szCs w:val="21"/>
              </w:rPr>
            </w:pPr>
            <w:r>
              <w:rPr>
                <w:rFonts w:ascii="Times New Roman" w:hAnsi="Times New Roman" w:cs="Times New Roman" w:eastAsiaTheme="minorEastAsia"/>
                <w:color w:val="auto"/>
                <w:spacing w:val="-20"/>
                <w:kern w:val="0"/>
                <w:szCs w:val="21"/>
              </w:rPr>
              <w:t>6</w:t>
            </w:r>
          </w:p>
        </w:tc>
        <w:tc>
          <w:tcPr>
            <w:tcW w:w="694" w:type="dxa"/>
            <w:vMerge w:val="continue"/>
            <w:vAlign w:val="center"/>
          </w:tcPr>
          <w:p w14:paraId="6DDE17C0">
            <w:pPr>
              <w:widowControl/>
              <w:jc w:val="center"/>
              <w:rPr>
                <w:rFonts w:ascii="Times New Roman" w:hAnsi="Times New Roman" w:cs="Times New Roman" w:eastAsiaTheme="minorEastAsia"/>
                <w:color w:val="auto"/>
                <w:spacing w:val="-20"/>
                <w:kern w:val="0"/>
                <w:szCs w:val="21"/>
              </w:rPr>
            </w:pPr>
          </w:p>
        </w:tc>
        <w:tc>
          <w:tcPr>
            <w:tcW w:w="1134" w:type="dxa"/>
            <w:vAlign w:val="center"/>
          </w:tcPr>
          <w:p w14:paraId="567BB550">
            <w:pPr>
              <w:jc w:val="center"/>
              <w:rPr>
                <w:rFonts w:ascii="Times New Roman" w:hAnsi="Times New Roman" w:cs="Times New Roman" w:eastAsiaTheme="minorEastAsia"/>
                <w:color w:val="auto"/>
                <w:spacing w:val="-20"/>
                <w:szCs w:val="21"/>
              </w:rPr>
            </w:pPr>
            <w:r>
              <w:rPr>
                <w:rFonts w:ascii="Times New Roman" w:hAnsi="Times New Roman" w:cs="Times New Roman" w:eastAsiaTheme="minorEastAsia"/>
                <w:color w:val="auto"/>
                <w:spacing w:val="-20"/>
                <w:szCs w:val="21"/>
              </w:rPr>
              <w:t>K</w:t>
            </w:r>
            <w:r>
              <w:rPr>
                <w:rFonts w:hint="eastAsia" w:ascii="Times New Roman" w:hAnsi="Times New Roman" w:cs="Times New Roman" w:eastAsiaTheme="minorEastAsia"/>
                <w:color w:val="auto"/>
                <w:spacing w:val="-20"/>
                <w:szCs w:val="21"/>
              </w:rPr>
              <w:t>21</w:t>
            </w:r>
            <w:r>
              <w:rPr>
                <w:rFonts w:ascii="Times New Roman" w:hAnsi="Times New Roman" w:cs="Times New Roman" w:eastAsiaTheme="minorEastAsia"/>
                <w:color w:val="auto"/>
                <w:spacing w:val="-20"/>
                <w:szCs w:val="21"/>
              </w:rPr>
              <w:t>+</w:t>
            </w:r>
            <w:r>
              <w:rPr>
                <w:rFonts w:hint="eastAsia" w:ascii="Times New Roman" w:hAnsi="Times New Roman" w:cs="Times New Roman" w:eastAsiaTheme="minorEastAsia"/>
                <w:color w:val="auto"/>
                <w:spacing w:val="-20"/>
                <w:szCs w:val="21"/>
              </w:rPr>
              <w:t>85</w:t>
            </w:r>
            <w:r>
              <w:rPr>
                <w:rFonts w:ascii="Times New Roman" w:hAnsi="Times New Roman" w:cs="Times New Roman" w:eastAsiaTheme="minorEastAsia"/>
                <w:color w:val="auto"/>
                <w:spacing w:val="-20"/>
                <w:szCs w:val="21"/>
              </w:rPr>
              <w:t>0</w:t>
            </w:r>
            <w:r>
              <w:rPr>
                <w:rFonts w:ascii="Times New Roman" w:cs="Times New Roman" w:hAnsiTheme="minorEastAsia" w:eastAsiaTheme="minorEastAsia"/>
                <w:color w:val="auto"/>
                <w:spacing w:val="-20"/>
                <w:szCs w:val="21"/>
              </w:rPr>
              <w:t>～</w:t>
            </w:r>
            <w:r>
              <w:rPr>
                <w:rFonts w:ascii="Times New Roman" w:hAnsi="Times New Roman" w:cs="Times New Roman" w:eastAsiaTheme="minorEastAsia"/>
                <w:color w:val="auto"/>
                <w:spacing w:val="-20"/>
                <w:szCs w:val="21"/>
              </w:rPr>
              <w:t>K</w:t>
            </w:r>
            <w:r>
              <w:rPr>
                <w:rFonts w:hint="eastAsia" w:ascii="Times New Roman" w:hAnsi="Times New Roman" w:cs="Times New Roman" w:eastAsiaTheme="minorEastAsia"/>
                <w:color w:val="auto"/>
                <w:spacing w:val="-20"/>
                <w:szCs w:val="21"/>
              </w:rPr>
              <w:t>22</w:t>
            </w:r>
            <w:r>
              <w:rPr>
                <w:rFonts w:ascii="Times New Roman" w:hAnsi="Times New Roman" w:cs="Times New Roman" w:eastAsiaTheme="minorEastAsia"/>
                <w:color w:val="auto"/>
                <w:spacing w:val="-20"/>
                <w:szCs w:val="21"/>
              </w:rPr>
              <w:t>+</w:t>
            </w:r>
            <w:r>
              <w:rPr>
                <w:rFonts w:hint="eastAsia" w:ascii="Times New Roman" w:hAnsi="Times New Roman" w:cs="Times New Roman" w:eastAsiaTheme="minorEastAsia"/>
                <w:color w:val="auto"/>
                <w:spacing w:val="-20"/>
                <w:szCs w:val="21"/>
              </w:rPr>
              <w:t>350</w:t>
            </w:r>
          </w:p>
        </w:tc>
        <w:tc>
          <w:tcPr>
            <w:tcW w:w="851" w:type="dxa"/>
            <w:vMerge w:val="restart"/>
            <w:vAlign w:val="center"/>
          </w:tcPr>
          <w:p w14:paraId="55948B44">
            <w:pPr>
              <w:jc w:val="center"/>
              <w:rPr>
                <w:rFonts w:ascii="Times New Roman" w:hAnsi="Times New Roman" w:cs="Times New Roman" w:eastAsiaTheme="minorEastAsia"/>
                <w:color w:val="auto"/>
                <w:spacing w:val="-20"/>
                <w:szCs w:val="21"/>
              </w:rPr>
            </w:pPr>
            <w:r>
              <w:rPr>
                <w:rFonts w:hint="eastAsia" w:ascii="Times New Roman" w:hAnsi="Times New Roman" w:cs="Times New Roman" w:eastAsiaTheme="minorEastAsia"/>
                <w:color w:val="auto"/>
                <w:spacing w:val="-20"/>
                <w:szCs w:val="21"/>
              </w:rPr>
              <w:t>英兰干村</w:t>
            </w:r>
          </w:p>
        </w:tc>
        <w:tc>
          <w:tcPr>
            <w:tcW w:w="850" w:type="dxa"/>
            <w:vMerge w:val="continue"/>
            <w:vAlign w:val="center"/>
          </w:tcPr>
          <w:p w14:paraId="0C787E91">
            <w:pPr>
              <w:jc w:val="center"/>
              <w:rPr>
                <w:rFonts w:ascii="Times New Roman" w:hAnsi="Times New Roman" w:cs="Times New Roman" w:eastAsiaTheme="minorEastAsia"/>
                <w:color w:val="auto"/>
                <w:spacing w:val="-20"/>
                <w:szCs w:val="21"/>
              </w:rPr>
            </w:pPr>
          </w:p>
        </w:tc>
        <w:tc>
          <w:tcPr>
            <w:tcW w:w="661" w:type="dxa"/>
            <w:vAlign w:val="center"/>
          </w:tcPr>
          <w:p w14:paraId="2ECF7CB9">
            <w:pPr>
              <w:jc w:val="center"/>
              <w:rPr>
                <w:rFonts w:ascii="Times New Roman" w:hAnsi="Times New Roman" w:cs="Times New Roman" w:eastAsiaTheme="minorEastAsia"/>
                <w:color w:val="auto"/>
                <w:spacing w:val="-20"/>
                <w:szCs w:val="21"/>
              </w:rPr>
            </w:pPr>
            <w:r>
              <w:rPr>
                <w:rFonts w:ascii="Times New Roman" w:cs="Times New Roman" w:hAnsiTheme="minorEastAsia" w:eastAsiaTheme="minorEastAsia"/>
                <w:color w:val="auto"/>
                <w:spacing w:val="-20"/>
                <w:szCs w:val="21"/>
              </w:rPr>
              <w:t>路</w:t>
            </w:r>
            <w:r>
              <w:rPr>
                <w:rFonts w:hint="eastAsia" w:ascii="Times New Roman" w:cs="Times New Roman" w:hAnsiTheme="minorEastAsia" w:eastAsiaTheme="minorEastAsia"/>
                <w:color w:val="auto"/>
                <w:spacing w:val="-20"/>
                <w:szCs w:val="21"/>
              </w:rPr>
              <w:t>右</w:t>
            </w:r>
          </w:p>
        </w:tc>
        <w:tc>
          <w:tcPr>
            <w:tcW w:w="662" w:type="dxa"/>
            <w:vMerge w:val="restart"/>
            <w:vAlign w:val="center"/>
          </w:tcPr>
          <w:p w14:paraId="73F41E42">
            <w:pPr>
              <w:jc w:val="center"/>
              <w:rPr>
                <w:rFonts w:ascii="Times New Roman" w:cs="Times New Roman" w:hAnsiTheme="minorEastAsia" w:eastAsiaTheme="minorEastAsia"/>
                <w:color w:val="auto"/>
                <w:spacing w:val="-20"/>
                <w:szCs w:val="21"/>
              </w:rPr>
            </w:pPr>
            <w:r>
              <w:rPr>
                <w:rFonts w:hint="eastAsia" w:ascii="Times New Roman" w:cs="Times New Roman" w:hAnsiTheme="minorEastAsia" w:eastAsiaTheme="minorEastAsia"/>
                <w:color w:val="auto"/>
                <w:spacing w:val="-20"/>
                <w:szCs w:val="21"/>
              </w:rPr>
              <w:t>15</w:t>
            </w:r>
          </w:p>
        </w:tc>
        <w:tc>
          <w:tcPr>
            <w:tcW w:w="662" w:type="dxa"/>
            <w:vMerge w:val="restart"/>
            <w:vAlign w:val="center"/>
          </w:tcPr>
          <w:p w14:paraId="03340C91">
            <w:pPr>
              <w:jc w:val="center"/>
              <w:rPr>
                <w:rFonts w:ascii="Times New Roman" w:cs="Times New Roman" w:hAnsiTheme="minorEastAsia" w:eastAsiaTheme="minorEastAsia"/>
                <w:color w:val="auto"/>
                <w:spacing w:val="-20"/>
                <w:szCs w:val="21"/>
              </w:rPr>
            </w:pPr>
            <w:r>
              <w:rPr>
                <w:rFonts w:hint="eastAsia" w:ascii="Times New Roman" w:cs="Times New Roman" w:hAnsiTheme="minorEastAsia" w:eastAsiaTheme="minorEastAsia"/>
                <w:color w:val="auto"/>
                <w:spacing w:val="-20"/>
                <w:szCs w:val="21"/>
              </w:rPr>
              <w:t>4</w:t>
            </w:r>
          </w:p>
        </w:tc>
        <w:tc>
          <w:tcPr>
            <w:tcW w:w="567" w:type="dxa"/>
            <w:vAlign w:val="center"/>
          </w:tcPr>
          <w:p w14:paraId="7D3EDC8D">
            <w:pPr>
              <w:jc w:val="center"/>
              <w:rPr>
                <w:rFonts w:ascii="Times New Roman" w:hAnsi="Times New Roman" w:cs="Times New Roman" w:eastAsiaTheme="minorEastAsia"/>
                <w:color w:val="auto"/>
                <w:spacing w:val="-20"/>
                <w:szCs w:val="21"/>
              </w:rPr>
            </w:pPr>
            <w:r>
              <w:rPr>
                <w:rFonts w:ascii="Times New Roman" w:cs="Times New Roman" w:hAnsiTheme="minorEastAsia" w:eastAsiaTheme="minorEastAsia"/>
                <w:color w:val="auto"/>
                <w:spacing w:val="-20"/>
                <w:szCs w:val="21"/>
              </w:rPr>
              <w:t>路</w:t>
            </w:r>
            <w:r>
              <w:rPr>
                <w:rFonts w:hint="eastAsia" w:ascii="Times New Roman" w:cs="Times New Roman" w:hAnsiTheme="minorEastAsia" w:eastAsiaTheme="minorEastAsia"/>
                <w:color w:val="auto"/>
                <w:spacing w:val="-20"/>
                <w:szCs w:val="21"/>
              </w:rPr>
              <w:t>右</w:t>
            </w:r>
          </w:p>
        </w:tc>
        <w:tc>
          <w:tcPr>
            <w:tcW w:w="708" w:type="dxa"/>
            <w:vMerge w:val="restart"/>
            <w:vAlign w:val="center"/>
          </w:tcPr>
          <w:p w14:paraId="45689217">
            <w:pPr>
              <w:jc w:val="center"/>
              <w:rPr>
                <w:rFonts w:ascii="Times New Roman" w:hAnsi="Times New Roman" w:cs="Times New Roman" w:eastAsiaTheme="minorEastAsia"/>
                <w:color w:val="auto"/>
                <w:spacing w:val="-20"/>
                <w:szCs w:val="21"/>
              </w:rPr>
            </w:pPr>
            <w:r>
              <w:rPr>
                <w:rFonts w:hint="eastAsia" w:ascii="Times New Roman" w:hAnsi="Times New Roman" w:cs="Times New Roman" w:eastAsiaTheme="minorEastAsia"/>
                <w:color w:val="auto"/>
                <w:spacing w:val="-20"/>
                <w:szCs w:val="21"/>
              </w:rPr>
              <w:t>20</w:t>
            </w:r>
          </w:p>
        </w:tc>
        <w:tc>
          <w:tcPr>
            <w:tcW w:w="709" w:type="dxa"/>
            <w:vMerge w:val="restart"/>
            <w:vAlign w:val="center"/>
          </w:tcPr>
          <w:p w14:paraId="25C703A3">
            <w:pPr>
              <w:widowControl/>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4</w:t>
            </w:r>
          </w:p>
        </w:tc>
        <w:tc>
          <w:tcPr>
            <w:tcW w:w="992" w:type="dxa"/>
            <w:vMerge w:val="restart"/>
            <w:vAlign w:val="center"/>
          </w:tcPr>
          <w:p w14:paraId="0552E05D">
            <w:pPr>
              <w:widowControl/>
              <w:jc w:val="center"/>
              <w:rPr>
                <w:rFonts w:ascii="Times New Roman" w:hAnsi="Times New Roman" w:cs="Times New Roman" w:eastAsiaTheme="minorEastAsia"/>
                <w:color w:val="auto"/>
                <w:spacing w:val="-20"/>
                <w:kern w:val="0"/>
                <w:szCs w:val="21"/>
              </w:rPr>
            </w:pPr>
            <w:r>
              <w:rPr>
                <w:rFonts w:ascii="Times New Roman" w:hAnsi="Times New Roman" w:cs="Times New Roman" w:eastAsiaTheme="minorEastAsia"/>
                <w:color w:val="auto"/>
                <w:spacing w:val="-20"/>
                <w:kern w:val="0"/>
                <w:szCs w:val="21"/>
              </w:rPr>
              <w:t>0</w:t>
            </w:r>
          </w:p>
        </w:tc>
        <w:tc>
          <w:tcPr>
            <w:tcW w:w="993" w:type="dxa"/>
            <w:vMerge w:val="restart"/>
            <w:vAlign w:val="center"/>
          </w:tcPr>
          <w:p w14:paraId="50008EA7">
            <w:pPr>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1.0</w:t>
            </w:r>
          </w:p>
        </w:tc>
        <w:tc>
          <w:tcPr>
            <w:tcW w:w="567" w:type="dxa"/>
            <w:vMerge w:val="restart"/>
            <w:vAlign w:val="center"/>
          </w:tcPr>
          <w:p w14:paraId="7EB1B9E6">
            <w:pPr>
              <w:widowControl/>
              <w:jc w:val="center"/>
              <w:rPr>
                <w:rFonts w:ascii="Times New Roman" w:hAnsi="Times New Roman" w:cs="Times New Roman" w:eastAsiaTheme="minorEastAsia"/>
                <w:color w:val="auto"/>
                <w:spacing w:val="-20"/>
                <w:kern w:val="0"/>
                <w:szCs w:val="21"/>
              </w:rPr>
            </w:pPr>
            <w:r>
              <w:rPr>
                <w:rFonts w:ascii="Times New Roman" w:cs="Times New Roman" w:hAnsiTheme="minorEastAsia" w:eastAsiaTheme="minorEastAsia"/>
                <w:color w:val="auto"/>
                <w:spacing w:val="-20"/>
                <w:kern w:val="0"/>
                <w:szCs w:val="21"/>
              </w:rPr>
              <w:t>路基</w:t>
            </w:r>
          </w:p>
        </w:tc>
        <w:tc>
          <w:tcPr>
            <w:tcW w:w="992" w:type="dxa"/>
            <w:vMerge w:val="restart"/>
            <w:vAlign w:val="center"/>
          </w:tcPr>
          <w:p w14:paraId="61D98759">
            <w:pPr>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51</w:t>
            </w:r>
          </w:p>
        </w:tc>
        <w:tc>
          <w:tcPr>
            <w:tcW w:w="709" w:type="dxa"/>
            <w:vMerge w:val="restart"/>
            <w:vAlign w:val="center"/>
          </w:tcPr>
          <w:p w14:paraId="136182E8">
            <w:pPr>
              <w:widowControl/>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35</w:t>
            </w:r>
          </w:p>
        </w:tc>
        <w:tc>
          <w:tcPr>
            <w:tcW w:w="708" w:type="dxa"/>
            <w:vMerge w:val="restart"/>
            <w:vAlign w:val="center"/>
          </w:tcPr>
          <w:p w14:paraId="3BBEBBC8">
            <w:pPr>
              <w:widowControl/>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20</w:t>
            </w:r>
          </w:p>
        </w:tc>
        <w:tc>
          <w:tcPr>
            <w:tcW w:w="4394" w:type="dxa"/>
            <w:vMerge w:val="restart"/>
            <w:vAlign w:val="center"/>
          </w:tcPr>
          <w:p w14:paraId="29A2232F">
            <w:pPr>
              <w:widowControl/>
              <w:rPr>
                <w:rFonts w:ascii="Times New Roman" w:hAnsi="Times New Roman" w:cs="Times New Roman" w:eastAsiaTheme="minorEastAsia"/>
                <w:color w:val="auto"/>
                <w:spacing w:val="0"/>
                <w:kern w:val="0"/>
                <w:sz w:val="21"/>
                <w:szCs w:val="21"/>
              </w:rPr>
            </w:pPr>
            <w:r>
              <w:rPr>
                <w:rFonts w:ascii="Times New Roman" w:cs="Times New Roman" w:hAnsiTheme="minorEastAsia" w:eastAsiaTheme="minorEastAsia"/>
                <w:color w:val="auto"/>
                <w:spacing w:val="0"/>
                <w:kern w:val="0"/>
                <w:sz w:val="21"/>
                <w:szCs w:val="21"/>
              </w:rPr>
              <w:t>路线以填方路基形式经过村庄。评价范围内现有居民</w:t>
            </w:r>
            <w:r>
              <w:rPr>
                <w:rFonts w:hint="eastAsia" w:ascii="Times New Roman" w:hAnsi="Times New Roman" w:cs="Times New Roman" w:eastAsiaTheme="minorEastAsia"/>
                <w:color w:val="auto"/>
                <w:spacing w:val="0"/>
                <w:kern w:val="0"/>
                <w:sz w:val="21"/>
                <w:szCs w:val="21"/>
              </w:rPr>
              <w:t>55</w:t>
            </w:r>
            <w:r>
              <w:rPr>
                <w:rFonts w:ascii="Times New Roman" w:cs="Times New Roman" w:hAnsiTheme="minorEastAsia" w:eastAsiaTheme="minorEastAsia"/>
                <w:color w:val="auto"/>
                <w:spacing w:val="0"/>
                <w:kern w:val="0"/>
                <w:sz w:val="21"/>
                <w:szCs w:val="21"/>
              </w:rPr>
              <w:t>户，首排</w:t>
            </w:r>
            <w:r>
              <w:rPr>
                <w:rFonts w:hint="eastAsia" w:ascii="Times New Roman" w:hAnsi="Times New Roman" w:cs="Times New Roman" w:eastAsiaTheme="minorEastAsia"/>
                <w:color w:val="auto"/>
                <w:spacing w:val="0"/>
                <w:kern w:val="0"/>
                <w:sz w:val="21"/>
                <w:szCs w:val="21"/>
              </w:rPr>
              <w:t>24</w:t>
            </w:r>
            <w:r>
              <w:rPr>
                <w:rFonts w:ascii="Times New Roman" w:cs="Times New Roman" w:hAnsiTheme="minorEastAsia" w:eastAsiaTheme="minorEastAsia"/>
                <w:color w:val="auto"/>
                <w:spacing w:val="0"/>
                <w:kern w:val="0"/>
                <w:sz w:val="21"/>
                <w:szCs w:val="21"/>
              </w:rPr>
              <w:t>户，</w:t>
            </w:r>
            <w:r>
              <w:rPr>
                <w:rFonts w:hint="eastAsia" w:ascii="Times New Roman" w:cs="Times New Roman" w:hAnsiTheme="minorEastAsia" w:eastAsiaTheme="minorEastAsia"/>
                <w:color w:val="auto"/>
                <w:spacing w:val="0"/>
                <w:kern w:val="0"/>
                <w:sz w:val="21"/>
                <w:szCs w:val="21"/>
              </w:rPr>
              <w:t>主要</w:t>
            </w:r>
            <w:r>
              <w:rPr>
                <w:rFonts w:ascii="Times New Roman" w:cs="Times New Roman" w:hAnsiTheme="minorEastAsia" w:eastAsiaTheme="minorEastAsia"/>
                <w:color w:val="auto"/>
                <w:spacing w:val="0"/>
                <w:kern w:val="0"/>
                <w:sz w:val="21"/>
                <w:szCs w:val="21"/>
              </w:rPr>
              <w:t>为</w:t>
            </w:r>
            <w:r>
              <w:rPr>
                <w:rFonts w:ascii="Times New Roman" w:hAnsi="Times New Roman" w:cs="Times New Roman" w:eastAsiaTheme="minorEastAsia"/>
                <w:color w:val="auto"/>
                <w:spacing w:val="0"/>
                <w:kern w:val="0"/>
                <w:sz w:val="21"/>
                <w:szCs w:val="21"/>
              </w:rPr>
              <w:t>1</w:t>
            </w:r>
            <w:r>
              <w:rPr>
                <w:rFonts w:ascii="Times New Roman" w:cs="Times New Roman" w:hAnsiTheme="minorEastAsia" w:eastAsiaTheme="minorEastAsia"/>
                <w:color w:val="auto"/>
                <w:spacing w:val="0"/>
                <w:kern w:val="0"/>
                <w:sz w:val="21"/>
                <w:szCs w:val="21"/>
              </w:rPr>
              <w:t>层砖混房，房屋正向拟建公路。</w:t>
            </w:r>
            <w:r>
              <w:rPr>
                <w:rFonts w:ascii="Times New Roman" w:hAnsi="Times New Roman" w:eastAsia="宋体" w:cs="Times New Roman"/>
                <w:color w:val="auto"/>
                <w:spacing w:val="0"/>
                <w:kern w:val="0"/>
                <w:sz w:val="21"/>
                <w:szCs w:val="21"/>
              </w:rPr>
              <w:t>该路段利用现有</w:t>
            </w:r>
            <w:r>
              <w:rPr>
                <w:rFonts w:hint="eastAsia" w:ascii="Times New Roman" w:hAnsi="Times New Roman" w:eastAsia="宋体" w:cs="Times New Roman"/>
                <w:color w:val="auto"/>
                <w:spacing w:val="0"/>
                <w:kern w:val="0"/>
                <w:sz w:val="21"/>
                <w:szCs w:val="21"/>
              </w:rPr>
              <w:t>老路双侧加宽</w:t>
            </w:r>
            <w:r>
              <w:rPr>
                <w:rFonts w:ascii="Times New Roman" w:hAnsi="Times New Roman" w:eastAsia="宋体" w:cs="Times New Roman"/>
                <w:color w:val="auto"/>
                <w:spacing w:val="0"/>
                <w:kern w:val="0"/>
                <w:sz w:val="21"/>
                <w:szCs w:val="21"/>
              </w:rPr>
              <w:t>，有平交</w:t>
            </w:r>
            <w:r>
              <w:rPr>
                <w:rFonts w:hint="eastAsia" w:ascii="Times New Roman" w:hAnsi="Times New Roman" w:eastAsia="宋体" w:cs="Times New Roman"/>
                <w:color w:val="auto"/>
                <w:spacing w:val="0"/>
                <w:kern w:val="0"/>
                <w:sz w:val="21"/>
                <w:szCs w:val="21"/>
              </w:rPr>
              <w:t>路口</w:t>
            </w:r>
            <w:r>
              <w:rPr>
                <w:rFonts w:ascii="Times New Roman" w:hAnsi="Times New Roman" w:eastAsia="宋体" w:cs="Times New Roman"/>
                <w:color w:val="auto"/>
                <w:spacing w:val="0"/>
                <w:kern w:val="0"/>
                <w:sz w:val="21"/>
                <w:szCs w:val="21"/>
              </w:rPr>
              <w:t>，</w:t>
            </w:r>
            <w:r>
              <w:rPr>
                <w:rFonts w:ascii="Times New Roman" w:cs="Times New Roman" w:hAnsiTheme="minorEastAsia" w:eastAsiaTheme="minorEastAsia"/>
                <w:color w:val="auto"/>
                <w:spacing w:val="0"/>
                <w:kern w:val="0"/>
                <w:sz w:val="21"/>
                <w:szCs w:val="21"/>
              </w:rPr>
              <w:t>主要噪声源为现有</w:t>
            </w:r>
            <w:r>
              <w:rPr>
                <w:rFonts w:hint="eastAsia" w:ascii="Times New Roman" w:hAnsi="Times New Roman" w:cs="Times New Roman" w:eastAsiaTheme="minorEastAsia"/>
                <w:color w:val="auto"/>
                <w:spacing w:val="0"/>
                <w:kern w:val="0"/>
                <w:sz w:val="21"/>
                <w:szCs w:val="21"/>
              </w:rPr>
              <w:t>G219</w:t>
            </w:r>
            <w:r>
              <w:rPr>
                <w:rFonts w:ascii="Times New Roman" w:cs="Times New Roman" w:hAnsiTheme="minorEastAsia" w:eastAsiaTheme="minorEastAsia"/>
                <w:color w:val="auto"/>
                <w:spacing w:val="0"/>
                <w:kern w:val="0"/>
                <w:sz w:val="21"/>
                <w:szCs w:val="21"/>
              </w:rPr>
              <w:t>交通噪声和社会生活噪声。</w:t>
            </w:r>
          </w:p>
        </w:tc>
        <w:tc>
          <w:tcPr>
            <w:tcW w:w="2898" w:type="dxa"/>
            <w:vMerge w:val="restart"/>
            <w:vAlign w:val="center"/>
          </w:tcPr>
          <w:p w14:paraId="03F67BD6">
            <w:pPr>
              <w:widowControl/>
              <w:adjustRightInd w:val="0"/>
              <w:snapToGrid w:val="0"/>
              <w:jc w:val="center"/>
              <w:rPr>
                <w:rFonts w:ascii="Times New Roman" w:hAnsi="Times New Roman" w:cs="Times New Roman" w:eastAsiaTheme="minorEastAsia"/>
                <w:snapToGrid w:val="0"/>
                <w:color w:val="auto"/>
                <w:spacing w:val="-20"/>
                <w:kern w:val="0"/>
                <w:szCs w:val="21"/>
              </w:rPr>
            </w:pPr>
            <w:r>
              <w:rPr>
                <w:rFonts w:ascii="Times New Roman" w:hAnsi="Times New Roman" w:cs="Times New Roman" w:eastAsiaTheme="minorEastAsia"/>
                <w:color w:val="auto"/>
                <w:spacing w:val="-20"/>
                <w:kern w:val="0"/>
                <w:szCs w:val="21"/>
              </w:rPr>
              <w:drawing>
                <wp:inline distT="0" distB="0" distL="0" distR="0">
                  <wp:extent cx="1729105" cy="1295400"/>
                  <wp:effectExtent l="0" t="0" r="4445" b="0"/>
                  <wp:docPr id="675940247" name="图片 7" descr="E:\咨询项目\环评\新疆-G219线八盘水磨至伽师公路\外业踏勘记录及照片\DSC09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940247" name="图片 7" descr="E:\咨询项目\环评\新疆-G219线八盘水磨至伽师公路\外业踏勘记录及照片\DSC09048.JPG"/>
                          <pic:cNvPicPr>
                            <a:picLocks noChangeAspect="1" noChangeArrowheads="1"/>
                          </pic:cNvPicPr>
                        </pic:nvPicPr>
                        <pic:blipFill>
                          <a:blip r:embed="rId161" cstate="print"/>
                          <a:srcRect/>
                          <a:stretch>
                            <a:fillRect/>
                          </a:stretch>
                        </pic:blipFill>
                        <pic:spPr>
                          <a:xfrm>
                            <a:off x="0" y="0"/>
                            <a:ext cx="1729728" cy="1296000"/>
                          </a:xfrm>
                          <a:prstGeom prst="rect">
                            <a:avLst/>
                          </a:prstGeom>
                          <a:noFill/>
                          <a:ln w="9525">
                            <a:noFill/>
                            <a:miter lim="800000"/>
                            <a:headEnd/>
                            <a:tailEnd/>
                          </a:ln>
                        </pic:spPr>
                      </pic:pic>
                    </a:graphicData>
                  </a:graphic>
                </wp:inline>
              </w:drawing>
            </w:r>
          </w:p>
        </w:tc>
      </w:tr>
      <w:tr w14:paraId="14AE1A28">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690" w:hRule="atLeast"/>
          <w:tblHeader/>
          <w:jc w:val="center"/>
        </w:trPr>
        <w:tc>
          <w:tcPr>
            <w:tcW w:w="568" w:type="dxa"/>
            <w:vMerge w:val="continue"/>
            <w:noWrap/>
            <w:vAlign w:val="center"/>
          </w:tcPr>
          <w:p w14:paraId="21C96A02">
            <w:pPr>
              <w:widowControl/>
              <w:jc w:val="center"/>
              <w:rPr>
                <w:rFonts w:ascii="Times New Roman" w:hAnsi="Times New Roman" w:cs="Times New Roman" w:eastAsiaTheme="minorEastAsia"/>
                <w:color w:val="auto"/>
                <w:spacing w:val="-20"/>
                <w:kern w:val="0"/>
                <w:szCs w:val="21"/>
              </w:rPr>
            </w:pPr>
          </w:p>
        </w:tc>
        <w:tc>
          <w:tcPr>
            <w:tcW w:w="694" w:type="dxa"/>
            <w:vMerge w:val="continue"/>
            <w:vAlign w:val="center"/>
          </w:tcPr>
          <w:p w14:paraId="5A67B846">
            <w:pPr>
              <w:widowControl/>
              <w:jc w:val="center"/>
              <w:rPr>
                <w:rFonts w:ascii="Times New Roman" w:hAnsi="Times New Roman" w:cs="Times New Roman" w:eastAsiaTheme="minorEastAsia"/>
                <w:color w:val="auto"/>
                <w:spacing w:val="-20"/>
                <w:kern w:val="0"/>
                <w:szCs w:val="21"/>
              </w:rPr>
            </w:pPr>
          </w:p>
        </w:tc>
        <w:tc>
          <w:tcPr>
            <w:tcW w:w="1134" w:type="dxa"/>
            <w:vAlign w:val="center"/>
          </w:tcPr>
          <w:p w14:paraId="44AF1099">
            <w:pPr>
              <w:jc w:val="center"/>
              <w:rPr>
                <w:rFonts w:ascii="Times New Roman" w:hAnsi="Times New Roman" w:cs="Times New Roman" w:eastAsiaTheme="minorEastAsia"/>
                <w:color w:val="auto"/>
                <w:spacing w:val="-20"/>
                <w:szCs w:val="21"/>
              </w:rPr>
            </w:pPr>
            <w:r>
              <w:rPr>
                <w:rFonts w:ascii="Times New Roman" w:hAnsi="Times New Roman" w:cs="Times New Roman" w:eastAsiaTheme="minorEastAsia"/>
                <w:color w:val="auto"/>
                <w:spacing w:val="-20"/>
                <w:szCs w:val="21"/>
              </w:rPr>
              <w:t>K</w:t>
            </w:r>
            <w:r>
              <w:rPr>
                <w:rFonts w:hint="eastAsia" w:ascii="Times New Roman" w:hAnsi="Times New Roman" w:cs="Times New Roman" w:eastAsiaTheme="minorEastAsia"/>
                <w:color w:val="auto"/>
                <w:spacing w:val="-20"/>
                <w:szCs w:val="21"/>
              </w:rPr>
              <w:t>21</w:t>
            </w:r>
            <w:r>
              <w:rPr>
                <w:rFonts w:ascii="Times New Roman" w:hAnsi="Times New Roman" w:cs="Times New Roman" w:eastAsiaTheme="minorEastAsia"/>
                <w:color w:val="auto"/>
                <w:spacing w:val="-20"/>
                <w:szCs w:val="21"/>
              </w:rPr>
              <w:t>+</w:t>
            </w:r>
            <w:r>
              <w:rPr>
                <w:rFonts w:hint="eastAsia" w:ascii="Times New Roman" w:hAnsi="Times New Roman" w:cs="Times New Roman" w:eastAsiaTheme="minorEastAsia"/>
                <w:color w:val="auto"/>
                <w:spacing w:val="-20"/>
                <w:szCs w:val="21"/>
              </w:rPr>
              <w:t>85</w:t>
            </w:r>
            <w:r>
              <w:rPr>
                <w:rFonts w:ascii="Times New Roman" w:hAnsi="Times New Roman" w:cs="Times New Roman" w:eastAsiaTheme="minorEastAsia"/>
                <w:color w:val="auto"/>
                <w:spacing w:val="-20"/>
                <w:szCs w:val="21"/>
              </w:rPr>
              <w:t>0</w:t>
            </w:r>
            <w:r>
              <w:rPr>
                <w:rFonts w:ascii="Times New Roman" w:cs="Times New Roman" w:hAnsiTheme="minorEastAsia" w:eastAsiaTheme="minorEastAsia"/>
                <w:color w:val="auto"/>
                <w:spacing w:val="-20"/>
                <w:szCs w:val="21"/>
              </w:rPr>
              <w:t>～</w:t>
            </w:r>
            <w:r>
              <w:rPr>
                <w:rFonts w:ascii="Times New Roman" w:hAnsi="Times New Roman" w:cs="Times New Roman" w:eastAsiaTheme="minorEastAsia"/>
                <w:color w:val="auto"/>
                <w:spacing w:val="-20"/>
                <w:szCs w:val="21"/>
              </w:rPr>
              <w:t>K</w:t>
            </w:r>
            <w:r>
              <w:rPr>
                <w:rFonts w:hint="eastAsia" w:ascii="Times New Roman" w:hAnsi="Times New Roman" w:cs="Times New Roman" w:eastAsiaTheme="minorEastAsia"/>
                <w:color w:val="auto"/>
                <w:spacing w:val="-20"/>
                <w:szCs w:val="21"/>
              </w:rPr>
              <w:t>21</w:t>
            </w:r>
            <w:r>
              <w:rPr>
                <w:rFonts w:ascii="Times New Roman" w:hAnsi="Times New Roman" w:cs="Times New Roman" w:eastAsiaTheme="minorEastAsia"/>
                <w:color w:val="auto"/>
                <w:spacing w:val="-20"/>
                <w:szCs w:val="21"/>
              </w:rPr>
              <w:t>+</w:t>
            </w:r>
            <w:r>
              <w:rPr>
                <w:rFonts w:hint="eastAsia" w:ascii="Times New Roman" w:hAnsi="Times New Roman" w:cs="Times New Roman" w:eastAsiaTheme="minorEastAsia"/>
                <w:color w:val="auto"/>
                <w:spacing w:val="-20"/>
                <w:szCs w:val="21"/>
              </w:rPr>
              <w:t>95</w:t>
            </w:r>
            <w:r>
              <w:rPr>
                <w:rFonts w:ascii="Times New Roman" w:hAnsi="Times New Roman" w:cs="Times New Roman" w:eastAsiaTheme="minorEastAsia"/>
                <w:color w:val="auto"/>
                <w:spacing w:val="-20"/>
                <w:szCs w:val="21"/>
              </w:rPr>
              <w:t>0</w:t>
            </w:r>
          </w:p>
        </w:tc>
        <w:tc>
          <w:tcPr>
            <w:tcW w:w="851" w:type="dxa"/>
            <w:vMerge w:val="continue"/>
            <w:vAlign w:val="center"/>
          </w:tcPr>
          <w:p w14:paraId="542EA19E">
            <w:pPr>
              <w:jc w:val="center"/>
              <w:rPr>
                <w:rFonts w:ascii="Times New Roman" w:hAnsi="Times New Roman" w:cs="Times New Roman" w:eastAsiaTheme="minorEastAsia"/>
                <w:color w:val="auto"/>
                <w:spacing w:val="-20"/>
                <w:szCs w:val="21"/>
              </w:rPr>
            </w:pPr>
          </w:p>
        </w:tc>
        <w:tc>
          <w:tcPr>
            <w:tcW w:w="850" w:type="dxa"/>
            <w:vMerge w:val="continue"/>
            <w:vAlign w:val="center"/>
          </w:tcPr>
          <w:p w14:paraId="7017B96F">
            <w:pPr>
              <w:jc w:val="center"/>
              <w:rPr>
                <w:rFonts w:ascii="Times New Roman" w:hAnsi="Times New Roman" w:cs="Times New Roman" w:eastAsiaTheme="minorEastAsia"/>
                <w:color w:val="auto"/>
                <w:spacing w:val="-20"/>
                <w:szCs w:val="21"/>
              </w:rPr>
            </w:pPr>
          </w:p>
        </w:tc>
        <w:tc>
          <w:tcPr>
            <w:tcW w:w="661" w:type="dxa"/>
            <w:vMerge w:val="restart"/>
            <w:vAlign w:val="center"/>
          </w:tcPr>
          <w:p w14:paraId="7CABB089">
            <w:pPr>
              <w:jc w:val="center"/>
              <w:rPr>
                <w:rFonts w:ascii="Times New Roman" w:cs="Times New Roman" w:hAnsiTheme="minorEastAsia" w:eastAsiaTheme="minorEastAsia"/>
                <w:color w:val="auto"/>
                <w:spacing w:val="-20"/>
                <w:szCs w:val="21"/>
              </w:rPr>
            </w:pPr>
            <w:r>
              <w:rPr>
                <w:rFonts w:ascii="Times New Roman" w:cs="Times New Roman" w:hAnsiTheme="minorEastAsia" w:eastAsiaTheme="minorEastAsia"/>
                <w:color w:val="auto"/>
                <w:spacing w:val="-20"/>
                <w:szCs w:val="21"/>
              </w:rPr>
              <w:t>路左</w:t>
            </w:r>
          </w:p>
        </w:tc>
        <w:tc>
          <w:tcPr>
            <w:tcW w:w="662" w:type="dxa"/>
            <w:vMerge w:val="continue"/>
            <w:vAlign w:val="center"/>
          </w:tcPr>
          <w:p w14:paraId="7975EDA0">
            <w:pPr>
              <w:jc w:val="center"/>
              <w:rPr>
                <w:rFonts w:ascii="Times New Roman" w:cs="Times New Roman" w:hAnsiTheme="minorEastAsia" w:eastAsiaTheme="minorEastAsia"/>
                <w:color w:val="auto"/>
                <w:spacing w:val="-20"/>
                <w:szCs w:val="21"/>
              </w:rPr>
            </w:pPr>
          </w:p>
        </w:tc>
        <w:tc>
          <w:tcPr>
            <w:tcW w:w="662" w:type="dxa"/>
            <w:vMerge w:val="continue"/>
            <w:vAlign w:val="center"/>
          </w:tcPr>
          <w:p w14:paraId="13444962">
            <w:pPr>
              <w:jc w:val="center"/>
              <w:rPr>
                <w:rFonts w:ascii="Times New Roman" w:cs="Times New Roman" w:hAnsiTheme="minorEastAsia" w:eastAsiaTheme="minorEastAsia"/>
                <w:color w:val="auto"/>
                <w:spacing w:val="-20"/>
                <w:szCs w:val="21"/>
              </w:rPr>
            </w:pPr>
          </w:p>
        </w:tc>
        <w:tc>
          <w:tcPr>
            <w:tcW w:w="567" w:type="dxa"/>
            <w:vMerge w:val="restart"/>
            <w:vAlign w:val="center"/>
          </w:tcPr>
          <w:p w14:paraId="75E0C88D">
            <w:pPr>
              <w:jc w:val="center"/>
              <w:rPr>
                <w:rFonts w:ascii="Times New Roman" w:cs="Times New Roman" w:hAnsiTheme="minorEastAsia" w:eastAsiaTheme="minorEastAsia"/>
                <w:color w:val="auto"/>
                <w:spacing w:val="-20"/>
                <w:szCs w:val="21"/>
              </w:rPr>
            </w:pPr>
            <w:r>
              <w:rPr>
                <w:rFonts w:ascii="Times New Roman" w:cs="Times New Roman" w:hAnsiTheme="minorEastAsia" w:eastAsiaTheme="minorEastAsia"/>
                <w:color w:val="auto"/>
                <w:spacing w:val="-20"/>
                <w:szCs w:val="21"/>
              </w:rPr>
              <w:t>路左</w:t>
            </w:r>
          </w:p>
        </w:tc>
        <w:tc>
          <w:tcPr>
            <w:tcW w:w="708" w:type="dxa"/>
            <w:vMerge w:val="continue"/>
            <w:vAlign w:val="center"/>
          </w:tcPr>
          <w:p w14:paraId="764111DC">
            <w:pPr>
              <w:jc w:val="center"/>
              <w:rPr>
                <w:rFonts w:ascii="Times New Roman" w:hAnsi="Times New Roman" w:cs="Times New Roman" w:eastAsiaTheme="minorEastAsia"/>
                <w:color w:val="auto"/>
                <w:spacing w:val="-20"/>
                <w:szCs w:val="21"/>
              </w:rPr>
            </w:pPr>
          </w:p>
        </w:tc>
        <w:tc>
          <w:tcPr>
            <w:tcW w:w="709" w:type="dxa"/>
            <w:vMerge w:val="continue"/>
            <w:vAlign w:val="center"/>
          </w:tcPr>
          <w:p w14:paraId="7C99079B">
            <w:pPr>
              <w:widowControl/>
              <w:jc w:val="center"/>
              <w:rPr>
                <w:rFonts w:ascii="Times New Roman" w:hAnsi="Times New Roman" w:cs="Times New Roman" w:eastAsiaTheme="minorEastAsia"/>
                <w:color w:val="auto"/>
                <w:spacing w:val="-20"/>
                <w:kern w:val="0"/>
                <w:szCs w:val="21"/>
              </w:rPr>
            </w:pPr>
          </w:p>
        </w:tc>
        <w:tc>
          <w:tcPr>
            <w:tcW w:w="992" w:type="dxa"/>
            <w:vMerge w:val="continue"/>
            <w:vAlign w:val="center"/>
          </w:tcPr>
          <w:p w14:paraId="0F5E45C6">
            <w:pPr>
              <w:widowControl/>
              <w:jc w:val="center"/>
              <w:rPr>
                <w:rFonts w:ascii="Times New Roman" w:hAnsi="Times New Roman" w:cs="Times New Roman" w:eastAsiaTheme="minorEastAsia"/>
                <w:color w:val="auto"/>
                <w:spacing w:val="-20"/>
                <w:kern w:val="0"/>
                <w:szCs w:val="21"/>
              </w:rPr>
            </w:pPr>
          </w:p>
        </w:tc>
        <w:tc>
          <w:tcPr>
            <w:tcW w:w="993" w:type="dxa"/>
            <w:vMerge w:val="continue"/>
            <w:vAlign w:val="center"/>
          </w:tcPr>
          <w:p w14:paraId="072C5CF8">
            <w:pPr>
              <w:jc w:val="center"/>
              <w:rPr>
                <w:rFonts w:ascii="Times New Roman" w:hAnsi="Times New Roman" w:cs="Times New Roman" w:eastAsiaTheme="minorEastAsia"/>
                <w:color w:val="auto"/>
                <w:spacing w:val="-20"/>
                <w:kern w:val="0"/>
                <w:szCs w:val="21"/>
              </w:rPr>
            </w:pPr>
          </w:p>
        </w:tc>
        <w:tc>
          <w:tcPr>
            <w:tcW w:w="567" w:type="dxa"/>
            <w:vMerge w:val="continue"/>
            <w:vAlign w:val="center"/>
          </w:tcPr>
          <w:p w14:paraId="139D4A20">
            <w:pPr>
              <w:widowControl/>
              <w:jc w:val="center"/>
              <w:rPr>
                <w:rFonts w:ascii="Times New Roman" w:cs="Times New Roman" w:hAnsiTheme="minorEastAsia" w:eastAsiaTheme="minorEastAsia"/>
                <w:color w:val="auto"/>
                <w:spacing w:val="-20"/>
                <w:kern w:val="0"/>
                <w:szCs w:val="21"/>
              </w:rPr>
            </w:pPr>
          </w:p>
        </w:tc>
        <w:tc>
          <w:tcPr>
            <w:tcW w:w="992" w:type="dxa"/>
            <w:vMerge w:val="continue"/>
            <w:vAlign w:val="center"/>
          </w:tcPr>
          <w:p w14:paraId="3DAE6A0D">
            <w:pPr>
              <w:jc w:val="center"/>
              <w:rPr>
                <w:rFonts w:ascii="Times New Roman" w:hAnsi="Times New Roman" w:cs="Times New Roman" w:eastAsiaTheme="minorEastAsia"/>
                <w:color w:val="auto"/>
                <w:spacing w:val="-20"/>
                <w:kern w:val="0"/>
                <w:szCs w:val="21"/>
              </w:rPr>
            </w:pPr>
          </w:p>
        </w:tc>
        <w:tc>
          <w:tcPr>
            <w:tcW w:w="709" w:type="dxa"/>
            <w:vMerge w:val="continue"/>
            <w:vAlign w:val="center"/>
          </w:tcPr>
          <w:p w14:paraId="3AE6D5CF">
            <w:pPr>
              <w:widowControl/>
              <w:jc w:val="center"/>
              <w:rPr>
                <w:rFonts w:ascii="Times New Roman" w:hAnsi="Times New Roman" w:cs="Times New Roman" w:eastAsiaTheme="minorEastAsia"/>
                <w:color w:val="auto"/>
                <w:spacing w:val="-20"/>
                <w:kern w:val="0"/>
                <w:szCs w:val="21"/>
              </w:rPr>
            </w:pPr>
          </w:p>
        </w:tc>
        <w:tc>
          <w:tcPr>
            <w:tcW w:w="708" w:type="dxa"/>
            <w:vMerge w:val="continue"/>
            <w:vAlign w:val="center"/>
          </w:tcPr>
          <w:p w14:paraId="5DABF554">
            <w:pPr>
              <w:widowControl/>
              <w:jc w:val="center"/>
              <w:rPr>
                <w:rFonts w:ascii="Times New Roman" w:hAnsi="Times New Roman" w:cs="Times New Roman" w:eastAsiaTheme="minorEastAsia"/>
                <w:color w:val="auto"/>
                <w:spacing w:val="-20"/>
                <w:kern w:val="0"/>
                <w:szCs w:val="21"/>
              </w:rPr>
            </w:pPr>
          </w:p>
        </w:tc>
        <w:tc>
          <w:tcPr>
            <w:tcW w:w="4394" w:type="dxa"/>
            <w:vMerge w:val="continue"/>
            <w:vAlign w:val="center"/>
          </w:tcPr>
          <w:p w14:paraId="7BB85B2B">
            <w:pPr>
              <w:widowControl/>
              <w:rPr>
                <w:rFonts w:ascii="Times New Roman" w:cs="Times New Roman" w:hAnsiTheme="minorEastAsia" w:eastAsiaTheme="minorEastAsia"/>
                <w:color w:val="auto"/>
                <w:spacing w:val="0"/>
                <w:kern w:val="0"/>
                <w:sz w:val="21"/>
                <w:szCs w:val="21"/>
              </w:rPr>
            </w:pPr>
          </w:p>
        </w:tc>
        <w:tc>
          <w:tcPr>
            <w:tcW w:w="2898" w:type="dxa"/>
            <w:vMerge w:val="continue"/>
            <w:vAlign w:val="center"/>
          </w:tcPr>
          <w:p w14:paraId="7402471D">
            <w:pPr>
              <w:widowControl/>
              <w:adjustRightInd w:val="0"/>
              <w:snapToGrid w:val="0"/>
              <w:jc w:val="center"/>
              <w:rPr>
                <w:rFonts w:ascii="Times New Roman" w:hAnsi="Times New Roman" w:cs="Times New Roman" w:eastAsiaTheme="minorEastAsia"/>
                <w:snapToGrid w:val="0"/>
                <w:color w:val="auto"/>
                <w:spacing w:val="-20"/>
                <w:kern w:val="0"/>
                <w:szCs w:val="21"/>
              </w:rPr>
            </w:pPr>
          </w:p>
        </w:tc>
      </w:tr>
      <w:tr w14:paraId="00AD350D">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690" w:hRule="atLeast"/>
          <w:tblHeader/>
          <w:jc w:val="center"/>
        </w:trPr>
        <w:tc>
          <w:tcPr>
            <w:tcW w:w="568" w:type="dxa"/>
            <w:vMerge w:val="continue"/>
            <w:noWrap/>
            <w:vAlign w:val="center"/>
          </w:tcPr>
          <w:p w14:paraId="654DAC52">
            <w:pPr>
              <w:widowControl/>
              <w:jc w:val="center"/>
              <w:rPr>
                <w:rFonts w:ascii="Times New Roman" w:hAnsi="Times New Roman" w:cs="Times New Roman" w:eastAsiaTheme="minorEastAsia"/>
                <w:color w:val="auto"/>
                <w:spacing w:val="-20"/>
                <w:kern w:val="0"/>
                <w:szCs w:val="21"/>
              </w:rPr>
            </w:pPr>
          </w:p>
        </w:tc>
        <w:tc>
          <w:tcPr>
            <w:tcW w:w="694" w:type="dxa"/>
            <w:vMerge w:val="continue"/>
            <w:vAlign w:val="center"/>
          </w:tcPr>
          <w:p w14:paraId="6A59DAE5">
            <w:pPr>
              <w:widowControl/>
              <w:jc w:val="center"/>
              <w:rPr>
                <w:rFonts w:ascii="Times New Roman" w:hAnsi="Times New Roman" w:cs="Times New Roman" w:eastAsiaTheme="minorEastAsia"/>
                <w:color w:val="auto"/>
                <w:spacing w:val="-20"/>
                <w:kern w:val="0"/>
                <w:szCs w:val="21"/>
              </w:rPr>
            </w:pPr>
          </w:p>
        </w:tc>
        <w:tc>
          <w:tcPr>
            <w:tcW w:w="1134" w:type="dxa"/>
            <w:vAlign w:val="center"/>
          </w:tcPr>
          <w:p w14:paraId="6664BDB5">
            <w:pPr>
              <w:jc w:val="center"/>
              <w:rPr>
                <w:rFonts w:ascii="Times New Roman" w:hAnsi="Times New Roman" w:cs="Times New Roman" w:eastAsiaTheme="minorEastAsia"/>
                <w:color w:val="auto"/>
                <w:spacing w:val="-20"/>
                <w:szCs w:val="21"/>
              </w:rPr>
            </w:pPr>
            <w:r>
              <w:rPr>
                <w:rFonts w:ascii="Times New Roman" w:hAnsi="Times New Roman" w:cs="Times New Roman" w:eastAsiaTheme="minorEastAsia"/>
                <w:color w:val="auto"/>
                <w:spacing w:val="-20"/>
                <w:szCs w:val="21"/>
              </w:rPr>
              <w:t>K</w:t>
            </w:r>
            <w:r>
              <w:rPr>
                <w:rFonts w:hint="eastAsia" w:ascii="Times New Roman" w:hAnsi="Times New Roman" w:cs="Times New Roman" w:eastAsiaTheme="minorEastAsia"/>
                <w:color w:val="auto"/>
                <w:spacing w:val="-20"/>
                <w:szCs w:val="21"/>
              </w:rPr>
              <w:t>22</w:t>
            </w:r>
            <w:r>
              <w:rPr>
                <w:rFonts w:ascii="Times New Roman" w:hAnsi="Times New Roman" w:cs="Times New Roman" w:eastAsiaTheme="minorEastAsia"/>
                <w:color w:val="auto"/>
                <w:spacing w:val="-20"/>
                <w:szCs w:val="21"/>
              </w:rPr>
              <w:t>+</w:t>
            </w:r>
            <w:r>
              <w:rPr>
                <w:rFonts w:hint="eastAsia" w:ascii="Times New Roman" w:hAnsi="Times New Roman" w:cs="Times New Roman" w:eastAsiaTheme="minorEastAsia"/>
                <w:color w:val="auto"/>
                <w:spacing w:val="-20"/>
                <w:szCs w:val="21"/>
              </w:rPr>
              <w:t>20</w:t>
            </w:r>
            <w:r>
              <w:rPr>
                <w:rFonts w:ascii="Times New Roman" w:hAnsi="Times New Roman" w:cs="Times New Roman" w:eastAsiaTheme="minorEastAsia"/>
                <w:color w:val="auto"/>
                <w:spacing w:val="-20"/>
                <w:szCs w:val="21"/>
              </w:rPr>
              <w:t>0</w:t>
            </w:r>
            <w:r>
              <w:rPr>
                <w:rFonts w:ascii="Times New Roman" w:cs="Times New Roman" w:hAnsiTheme="minorEastAsia" w:eastAsiaTheme="minorEastAsia"/>
                <w:color w:val="auto"/>
                <w:spacing w:val="-20"/>
                <w:szCs w:val="21"/>
              </w:rPr>
              <w:t>～</w:t>
            </w:r>
            <w:r>
              <w:rPr>
                <w:rFonts w:ascii="Times New Roman" w:hAnsi="Times New Roman" w:cs="Times New Roman" w:eastAsiaTheme="minorEastAsia"/>
                <w:color w:val="auto"/>
                <w:spacing w:val="-20"/>
                <w:szCs w:val="21"/>
              </w:rPr>
              <w:t>K</w:t>
            </w:r>
            <w:r>
              <w:rPr>
                <w:rFonts w:hint="eastAsia" w:ascii="Times New Roman" w:hAnsi="Times New Roman" w:cs="Times New Roman" w:eastAsiaTheme="minorEastAsia"/>
                <w:color w:val="auto"/>
                <w:spacing w:val="-20"/>
                <w:szCs w:val="21"/>
              </w:rPr>
              <w:t>22</w:t>
            </w:r>
            <w:r>
              <w:rPr>
                <w:rFonts w:ascii="Times New Roman" w:hAnsi="Times New Roman" w:cs="Times New Roman" w:eastAsiaTheme="minorEastAsia"/>
                <w:color w:val="auto"/>
                <w:spacing w:val="-20"/>
                <w:szCs w:val="21"/>
              </w:rPr>
              <w:t>+</w:t>
            </w:r>
            <w:r>
              <w:rPr>
                <w:rFonts w:hint="eastAsia" w:ascii="Times New Roman" w:hAnsi="Times New Roman" w:cs="Times New Roman" w:eastAsiaTheme="minorEastAsia"/>
                <w:color w:val="auto"/>
                <w:spacing w:val="-20"/>
                <w:szCs w:val="21"/>
              </w:rPr>
              <w:t>35</w:t>
            </w:r>
            <w:r>
              <w:rPr>
                <w:rFonts w:ascii="Times New Roman" w:hAnsi="Times New Roman" w:cs="Times New Roman" w:eastAsiaTheme="minorEastAsia"/>
                <w:color w:val="auto"/>
                <w:spacing w:val="-20"/>
                <w:szCs w:val="21"/>
              </w:rPr>
              <w:t>0</w:t>
            </w:r>
          </w:p>
        </w:tc>
        <w:tc>
          <w:tcPr>
            <w:tcW w:w="851" w:type="dxa"/>
            <w:vMerge w:val="continue"/>
            <w:vAlign w:val="center"/>
          </w:tcPr>
          <w:p w14:paraId="0FCABFA6">
            <w:pPr>
              <w:jc w:val="center"/>
              <w:rPr>
                <w:rFonts w:ascii="Times New Roman" w:hAnsi="Times New Roman" w:cs="Times New Roman" w:eastAsiaTheme="minorEastAsia"/>
                <w:color w:val="auto"/>
                <w:spacing w:val="-20"/>
                <w:szCs w:val="21"/>
              </w:rPr>
            </w:pPr>
          </w:p>
        </w:tc>
        <w:tc>
          <w:tcPr>
            <w:tcW w:w="850" w:type="dxa"/>
            <w:vMerge w:val="continue"/>
            <w:vAlign w:val="center"/>
          </w:tcPr>
          <w:p w14:paraId="084E6EE2">
            <w:pPr>
              <w:jc w:val="center"/>
              <w:rPr>
                <w:rFonts w:ascii="Times New Roman" w:hAnsi="Times New Roman" w:cs="Times New Roman" w:eastAsiaTheme="minorEastAsia"/>
                <w:color w:val="auto"/>
                <w:spacing w:val="-20"/>
                <w:szCs w:val="21"/>
              </w:rPr>
            </w:pPr>
          </w:p>
        </w:tc>
        <w:tc>
          <w:tcPr>
            <w:tcW w:w="661" w:type="dxa"/>
            <w:vMerge w:val="continue"/>
            <w:vAlign w:val="center"/>
          </w:tcPr>
          <w:p w14:paraId="1E4B2698">
            <w:pPr>
              <w:jc w:val="center"/>
              <w:rPr>
                <w:rFonts w:ascii="Times New Roman" w:cs="Times New Roman" w:hAnsiTheme="minorEastAsia" w:eastAsiaTheme="minorEastAsia"/>
                <w:color w:val="auto"/>
                <w:spacing w:val="-20"/>
                <w:szCs w:val="21"/>
              </w:rPr>
            </w:pPr>
          </w:p>
        </w:tc>
        <w:tc>
          <w:tcPr>
            <w:tcW w:w="662" w:type="dxa"/>
            <w:vMerge w:val="continue"/>
            <w:vAlign w:val="center"/>
          </w:tcPr>
          <w:p w14:paraId="6DFE3046">
            <w:pPr>
              <w:jc w:val="center"/>
              <w:rPr>
                <w:rFonts w:ascii="Times New Roman" w:cs="Times New Roman" w:hAnsiTheme="minorEastAsia" w:eastAsiaTheme="minorEastAsia"/>
                <w:color w:val="auto"/>
                <w:spacing w:val="-20"/>
                <w:szCs w:val="21"/>
              </w:rPr>
            </w:pPr>
          </w:p>
        </w:tc>
        <w:tc>
          <w:tcPr>
            <w:tcW w:w="662" w:type="dxa"/>
            <w:vMerge w:val="continue"/>
            <w:vAlign w:val="center"/>
          </w:tcPr>
          <w:p w14:paraId="44A801C5">
            <w:pPr>
              <w:jc w:val="center"/>
              <w:rPr>
                <w:rFonts w:ascii="Times New Roman" w:cs="Times New Roman" w:hAnsiTheme="minorEastAsia" w:eastAsiaTheme="minorEastAsia"/>
                <w:color w:val="auto"/>
                <w:spacing w:val="-20"/>
                <w:szCs w:val="21"/>
              </w:rPr>
            </w:pPr>
          </w:p>
        </w:tc>
        <w:tc>
          <w:tcPr>
            <w:tcW w:w="567" w:type="dxa"/>
            <w:vMerge w:val="continue"/>
            <w:vAlign w:val="center"/>
          </w:tcPr>
          <w:p w14:paraId="77E45B1A">
            <w:pPr>
              <w:jc w:val="center"/>
              <w:rPr>
                <w:rFonts w:ascii="Times New Roman" w:cs="Times New Roman" w:hAnsiTheme="minorEastAsia" w:eastAsiaTheme="minorEastAsia"/>
                <w:color w:val="auto"/>
                <w:spacing w:val="-20"/>
                <w:szCs w:val="21"/>
              </w:rPr>
            </w:pPr>
          </w:p>
        </w:tc>
        <w:tc>
          <w:tcPr>
            <w:tcW w:w="708" w:type="dxa"/>
            <w:vMerge w:val="continue"/>
            <w:vAlign w:val="center"/>
          </w:tcPr>
          <w:p w14:paraId="15FE2C50">
            <w:pPr>
              <w:jc w:val="center"/>
              <w:rPr>
                <w:rFonts w:ascii="Times New Roman" w:hAnsi="Times New Roman" w:cs="Times New Roman" w:eastAsiaTheme="minorEastAsia"/>
                <w:color w:val="auto"/>
                <w:spacing w:val="-20"/>
                <w:szCs w:val="21"/>
              </w:rPr>
            </w:pPr>
          </w:p>
        </w:tc>
        <w:tc>
          <w:tcPr>
            <w:tcW w:w="709" w:type="dxa"/>
            <w:vMerge w:val="continue"/>
            <w:vAlign w:val="center"/>
          </w:tcPr>
          <w:p w14:paraId="1C0752A2">
            <w:pPr>
              <w:widowControl/>
              <w:jc w:val="center"/>
              <w:rPr>
                <w:rFonts w:ascii="Times New Roman" w:hAnsi="Times New Roman" w:cs="Times New Roman" w:eastAsiaTheme="minorEastAsia"/>
                <w:color w:val="auto"/>
                <w:spacing w:val="-20"/>
                <w:kern w:val="0"/>
                <w:szCs w:val="21"/>
              </w:rPr>
            </w:pPr>
          </w:p>
        </w:tc>
        <w:tc>
          <w:tcPr>
            <w:tcW w:w="992" w:type="dxa"/>
            <w:vMerge w:val="continue"/>
            <w:vAlign w:val="center"/>
          </w:tcPr>
          <w:p w14:paraId="64BA98FA">
            <w:pPr>
              <w:widowControl/>
              <w:jc w:val="center"/>
              <w:rPr>
                <w:rFonts w:ascii="Times New Roman" w:hAnsi="Times New Roman" w:cs="Times New Roman" w:eastAsiaTheme="minorEastAsia"/>
                <w:color w:val="auto"/>
                <w:spacing w:val="-20"/>
                <w:kern w:val="0"/>
                <w:szCs w:val="21"/>
              </w:rPr>
            </w:pPr>
          </w:p>
        </w:tc>
        <w:tc>
          <w:tcPr>
            <w:tcW w:w="993" w:type="dxa"/>
            <w:vMerge w:val="continue"/>
            <w:vAlign w:val="center"/>
          </w:tcPr>
          <w:p w14:paraId="0D83425A">
            <w:pPr>
              <w:jc w:val="center"/>
              <w:rPr>
                <w:rFonts w:ascii="Times New Roman" w:hAnsi="Times New Roman" w:cs="Times New Roman" w:eastAsiaTheme="minorEastAsia"/>
                <w:color w:val="auto"/>
                <w:spacing w:val="-20"/>
                <w:kern w:val="0"/>
                <w:szCs w:val="21"/>
              </w:rPr>
            </w:pPr>
          </w:p>
        </w:tc>
        <w:tc>
          <w:tcPr>
            <w:tcW w:w="567" w:type="dxa"/>
            <w:vMerge w:val="continue"/>
            <w:vAlign w:val="center"/>
          </w:tcPr>
          <w:p w14:paraId="0A8916A8">
            <w:pPr>
              <w:widowControl/>
              <w:jc w:val="center"/>
              <w:rPr>
                <w:rFonts w:ascii="Times New Roman" w:cs="Times New Roman" w:hAnsiTheme="minorEastAsia" w:eastAsiaTheme="minorEastAsia"/>
                <w:color w:val="auto"/>
                <w:spacing w:val="-20"/>
                <w:kern w:val="0"/>
                <w:szCs w:val="21"/>
              </w:rPr>
            </w:pPr>
          </w:p>
        </w:tc>
        <w:tc>
          <w:tcPr>
            <w:tcW w:w="992" w:type="dxa"/>
            <w:vMerge w:val="continue"/>
            <w:vAlign w:val="center"/>
          </w:tcPr>
          <w:p w14:paraId="50E8704C">
            <w:pPr>
              <w:jc w:val="center"/>
              <w:rPr>
                <w:rFonts w:ascii="Times New Roman" w:hAnsi="Times New Roman" w:cs="Times New Roman" w:eastAsiaTheme="minorEastAsia"/>
                <w:color w:val="auto"/>
                <w:spacing w:val="-20"/>
                <w:kern w:val="0"/>
                <w:szCs w:val="21"/>
              </w:rPr>
            </w:pPr>
          </w:p>
        </w:tc>
        <w:tc>
          <w:tcPr>
            <w:tcW w:w="709" w:type="dxa"/>
            <w:vMerge w:val="continue"/>
            <w:vAlign w:val="center"/>
          </w:tcPr>
          <w:p w14:paraId="6D6B1B54">
            <w:pPr>
              <w:widowControl/>
              <w:jc w:val="center"/>
              <w:rPr>
                <w:rFonts w:ascii="Times New Roman" w:hAnsi="Times New Roman" w:cs="Times New Roman" w:eastAsiaTheme="minorEastAsia"/>
                <w:color w:val="auto"/>
                <w:spacing w:val="-20"/>
                <w:kern w:val="0"/>
                <w:szCs w:val="21"/>
              </w:rPr>
            </w:pPr>
          </w:p>
        </w:tc>
        <w:tc>
          <w:tcPr>
            <w:tcW w:w="708" w:type="dxa"/>
            <w:vMerge w:val="continue"/>
            <w:vAlign w:val="center"/>
          </w:tcPr>
          <w:p w14:paraId="4282A759">
            <w:pPr>
              <w:widowControl/>
              <w:jc w:val="center"/>
              <w:rPr>
                <w:rFonts w:ascii="Times New Roman" w:hAnsi="Times New Roman" w:cs="Times New Roman" w:eastAsiaTheme="minorEastAsia"/>
                <w:color w:val="auto"/>
                <w:spacing w:val="-20"/>
                <w:kern w:val="0"/>
                <w:szCs w:val="21"/>
              </w:rPr>
            </w:pPr>
          </w:p>
        </w:tc>
        <w:tc>
          <w:tcPr>
            <w:tcW w:w="4394" w:type="dxa"/>
            <w:vMerge w:val="continue"/>
            <w:vAlign w:val="center"/>
          </w:tcPr>
          <w:p w14:paraId="5A723282">
            <w:pPr>
              <w:widowControl/>
              <w:rPr>
                <w:rFonts w:ascii="Times New Roman" w:cs="Times New Roman" w:hAnsiTheme="minorEastAsia" w:eastAsiaTheme="minorEastAsia"/>
                <w:color w:val="auto"/>
                <w:spacing w:val="0"/>
                <w:kern w:val="0"/>
                <w:sz w:val="21"/>
                <w:szCs w:val="21"/>
              </w:rPr>
            </w:pPr>
          </w:p>
        </w:tc>
        <w:tc>
          <w:tcPr>
            <w:tcW w:w="2898" w:type="dxa"/>
            <w:vMerge w:val="continue"/>
            <w:vAlign w:val="center"/>
          </w:tcPr>
          <w:p w14:paraId="5D9C50C3">
            <w:pPr>
              <w:widowControl/>
              <w:adjustRightInd w:val="0"/>
              <w:snapToGrid w:val="0"/>
              <w:jc w:val="center"/>
              <w:rPr>
                <w:rFonts w:ascii="Times New Roman" w:hAnsi="Times New Roman" w:cs="Times New Roman" w:eastAsiaTheme="minorEastAsia"/>
                <w:snapToGrid w:val="0"/>
                <w:color w:val="auto"/>
                <w:spacing w:val="-20"/>
                <w:kern w:val="0"/>
                <w:szCs w:val="21"/>
              </w:rPr>
            </w:pPr>
          </w:p>
        </w:tc>
      </w:tr>
      <w:tr w14:paraId="1D19E8AB">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1953" w:hRule="atLeast"/>
          <w:tblHeader/>
          <w:jc w:val="center"/>
        </w:trPr>
        <w:tc>
          <w:tcPr>
            <w:tcW w:w="568" w:type="dxa"/>
            <w:noWrap/>
            <w:vAlign w:val="center"/>
          </w:tcPr>
          <w:p w14:paraId="62BC316A">
            <w:pPr>
              <w:widowControl/>
              <w:jc w:val="center"/>
              <w:rPr>
                <w:rFonts w:ascii="Times New Roman" w:hAnsi="Times New Roman" w:cs="Times New Roman" w:eastAsiaTheme="minorEastAsia"/>
                <w:color w:val="auto"/>
                <w:spacing w:val="-20"/>
                <w:kern w:val="0"/>
                <w:szCs w:val="21"/>
              </w:rPr>
            </w:pPr>
            <w:r>
              <w:rPr>
                <w:rFonts w:ascii="Times New Roman" w:hAnsi="Times New Roman" w:cs="Times New Roman" w:eastAsiaTheme="minorEastAsia"/>
                <w:color w:val="auto"/>
                <w:spacing w:val="-20"/>
                <w:kern w:val="0"/>
                <w:szCs w:val="21"/>
              </w:rPr>
              <w:t>7</w:t>
            </w:r>
          </w:p>
        </w:tc>
        <w:tc>
          <w:tcPr>
            <w:tcW w:w="694" w:type="dxa"/>
            <w:vMerge w:val="continue"/>
            <w:vAlign w:val="center"/>
          </w:tcPr>
          <w:p w14:paraId="73B0AC6C">
            <w:pPr>
              <w:widowControl/>
              <w:jc w:val="center"/>
              <w:rPr>
                <w:rFonts w:ascii="Times New Roman" w:hAnsi="Times New Roman" w:cs="Times New Roman" w:eastAsiaTheme="minorEastAsia"/>
                <w:color w:val="auto"/>
                <w:spacing w:val="-20"/>
                <w:kern w:val="0"/>
                <w:szCs w:val="21"/>
              </w:rPr>
            </w:pPr>
          </w:p>
        </w:tc>
        <w:tc>
          <w:tcPr>
            <w:tcW w:w="1134" w:type="dxa"/>
            <w:vAlign w:val="center"/>
          </w:tcPr>
          <w:p w14:paraId="454871E2">
            <w:pPr>
              <w:widowControl/>
              <w:jc w:val="center"/>
              <w:rPr>
                <w:rFonts w:ascii="Times New Roman" w:hAnsi="Times New Roman" w:cs="Times New Roman" w:eastAsiaTheme="minorEastAsia"/>
                <w:color w:val="auto"/>
                <w:spacing w:val="-20"/>
                <w:kern w:val="0"/>
                <w:szCs w:val="21"/>
              </w:rPr>
            </w:pPr>
            <w:r>
              <w:rPr>
                <w:rFonts w:ascii="Times New Roman" w:hAnsi="Times New Roman" w:cs="Times New Roman" w:eastAsiaTheme="minorEastAsia"/>
                <w:color w:val="auto"/>
                <w:spacing w:val="-20"/>
                <w:szCs w:val="21"/>
              </w:rPr>
              <w:t>K</w:t>
            </w:r>
            <w:r>
              <w:rPr>
                <w:rFonts w:hint="eastAsia" w:ascii="Times New Roman" w:hAnsi="Times New Roman" w:cs="Times New Roman" w:eastAsiaTheme="minorEastAsia"/>
                <w:color w:val="auto"/>
                <w:spacing w:val="-20"/>
                <w:szCs w:val="21"/>
              </w:rPr>
              <w:t>22</w:t>
            </w:r>
            <w:r>
              <w:rPr>
                <w:rFonts w:ascii="Times New Roman" w:hAnsi="Times New Roman" w:cs="Times New Roman" w:eastAsiaTheme="minorEastAsia"/>
                <w:color w:val="auto"/>
                <w:spacing w:val="-20"/>
                <w:szCs w:val="21"/>
              </w:rPr>
              <w:t>+</w:t>
            </w:r>
            <w:r>
              <w:rPr>
                <w:rFonts w:hint="eastAsia" w:ascii="Times New Roman" w:hAnsi="Times New Roman" w:cs="Times New Roman" w:eastAsiaTheme="minorEastAsia"/>
                <w:color w:val="auto"/>
                <w:spacing w:val="-20"/>
                <w:szCs w:val="21"/>
              </w:rPr>
              <w:t>150</w:t>
            </w:r>
          </w:p>
        </w:tc>
        <w:tc>
          <w:tcPr>
            <w:tcW w:w="851" w:type="dxa"/>
            <w:vAlign w:val="center"/>
          </w:tcPr>
          <w:p w14:paraId="61CD4113">
            <w:pPr>
              <w:jc w:val="center"/>
              <w:rPr>
                <w:rFonts w:ascii="Times New Roman" w:hAnsi="Times New Roman" w:cs="Times New Roman" w:eastAsiaTheme="minorEastAsia"/>
                <w:color w:val="auto"/>
                <w:spacing w:val="-20"/>
                <w:szCs w:val="21"/>
              </w:rPr>
            </w:pPr>
            <w:r>
              <w:rPr>
                <w:rFonts w:hint="eastAsia" w:ascii="Times New Roman" w:hAnsi="Times New Roman" w:cs="Times New Roman" w:eastAsiaTheme="minorEastAsia"/>
                <w:color w:val="auto"/>
                <w:spacing w:val="-20"/>
                <w:szCs w:val="21"/>
              </w:rPr>
              <w:t>英兰干村幼儿园</w:t>
            </w:r>
          </w:p>
        </w:tc>
        <w:tc>
          <w:tcPr>
            <w:tcW w:w="850" w:type="dxa"/>
            <w:vMerge w:val="continue"/>
            <w:vAlign w:val="center"/>
          </w:tcPr>
          <w:p w14:paraId="20FBA25F">
            <w:pPr>
              <w:widowControl/>
              <w:jc w:val="center"/>
              <w:rPr>
                <w:rFonts w:ascii="Times New Roman" w:hAnsi="Times New Roman" w:cs="Times New Roman" w:eastAsiaTheme="minorEastAsia"/>
                <w:color w:val="auto"/>
                <w:spacing w:val="-20"/>
                <w:kern w:val="0"/>
                <w:szCs w:val="21"/>
              </w:rPr>
            </w:pPr>
          </w:p>
        </w:tc>
        <w:tc>
          <w:tcPr>
            <w:tcW w:w="661" w:type="dxa"/>
            <w:vAlign w:val="center"/>
          </w:tcPr>
          <w:p w14:paraId="2E6B7DC8">
            <w:pPr>
              <w:widowControl/>
              <w:jc w:val="center"/>
              <w:rPr>
                <w:rFonts w:ascii="Times New Roman" w:cs="Times New Roman" w:hAnsiTheme="minorEastAsia" w:eastAsiaTheme="minorEastAsia"/>
                <w:color w:val="auto"/>
                <w:spacing w:val="-20"/>
                <w:szCs w:val="21"/>
              </w:rPr>
            </w:pPr>
            <w:r>
              <w:rPr>
                <w:rFonts w:hint="eastAsia" w:ascii="Times New Roman" w:cs="Times New Roman" w:hAnsiTheme="minorEastAsia" w:eastAsiaTheme="minorEastAsia"/>
                <w:color w:val="auto"/>
                <w:spacing w:val="-20"/>
                <w:szCs w:val="21"/>
              </w:rPr>
              <w:t>路左</w:t>
            </w:r>
          </w:p>
        </w:tc>
        <w:tc>
          <w:tcPr>
            <w:tcW w:w="662" w:type="dxa"/>
            <w:vAlign w:val="center"/>
          </w:tcPr>
          <w:p w14:paraId="081B64D4">
            <w:pPr>
              <w:widowControl/>
              <w:jc w:val="center"/>
              <w:rPr>
                <w:rFonts w:ascii="Times New Roman" w:cs="Times New Roman" w:hAnsiTheme="minorEastAsia" w:eastAsiaTheme="minorEastAsia"/>
                <w:color w:val="auto"/>
                <w:spacing w:val="-20"/>
                <w:szCs w:val="21"/>
              </w:rPr>
            </w:pPr>
            <w:r>
              <w:rPr>
                <w:rFonts w:hint="eastAsia" w:ascii="Times New Roman" w:cs="Times New Roman" w:hAnsiTheme="minorEastAsia" w:eastAsiaTheme="minorEastAsia"/>
                <w:color w:val="auto"/>
                <w:spacing w:val="-20"/>
                <w:szCs w:val="21"/>
              </w:rPr>
              <w:t>70</w:t>
            </w:r>
          </w:p>
        </w:tc>
        <w:tc>
          <w:tcPr>
            <w:tcW w:w="662" w:type="dxa"/>
            <w:vAlign w:val="center"/>
          </w:tcPr>
          <w:p w14:paraId="02D08A2E">
            <w:pPr>
              <w:widowControl/>
              <w:jc w:val="center"/>
              <w:rPr>
                <w:rFonts w:ascii="Times New Roman" w:cs="Times New Roman" w:hAnsiTheme="minorEastAsia" w:eastAsiaTheme="minorEastAsia"/>
                <w:color w:val="auto"/>
                <w:spacing w:val="-20"/>
                <w:szCs w:val="21"/>
              </w:rPr>
            </w:pPr>
            <w:r>
              <w:rPr>
                <w:rFonts w:hint="eastAsia" w:ascii="Times New Roman" w:cs="Times New Roman" w:hAnsiTheme="minorEastAsia" w:eastAsiaTheme="minorEastAsia"/>
                <w:color w:val="auto"/>
                <w:spacing w:val="-20"/>
                <w:szCs w:val="21"/>
              </w:rPr>
              <w:t>59</w:t>
            </w:r>
          </w:p>
        </w:tc>
        <w:tc>
          <w:tcPr>
            <w:tcW w:w="567" w:type="dxa"/>
            <w:vAlign w:val="center"/>
          </w:tcPr>
          <w:p w14:paraId="5FCE7775">
            <w:pPr>
              <w:widowControl/>
              <w:jc w:val="center"/>
              <w:rPr>
                <w:rFonts w:ascii="Times New Roman" w:hAnsi="Times New Roman" w:cs="Times New Roman" w:eastAsiaTheme="minorEastAsia"/>
                <w:color w:val="auto"/>
                <w:spacing w:val="-20"/>
                <w:kern w:val="0"/>
                <w:szCs w:val="21"/>
              </w:rPr>
            </w:pPr>
            <w:r>
              <w:rPr>
                <w:rFonts w:hint="eastAsia" w:ascii="Times New Roman" w:cs="Times New Roman" w:hAnsiTheme="minorEastAsia" w:eastAsiaTheme="minorEastAsia"/>
                <w:color w:val="auto"/>
                <w:spacing w:val="-20"/>
                <w:szCs w:val="21"/>
              </w:rPr>
              <w:t>路左</w:t>
            </w:r>
          </w:p>
        </w:tc>
        <w:tc>
          <w:tcPr>
            <w:tcW w:w="708" w:type="dxa"/>
            <w:vAlign w:val="center"/>
          </w:tcPr>
          <w:p w14:paraId="087D53C7">
            <w:pPr>
              <w:widowControl/>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szCs w:val="21"/>
              </w:rPr>
              <w:t>70</w:t>
            </w:r>
          </w:p>
        </w:tc>
        <w:tc>
          <w:tcPr>
            <w:tcW w:w="709" w:type="dxa"/>
            <w:vAlign w:val="center"/>
          </w:tcPr>
          <w:p w14:paraId="319F9DFD">
            <w:pPr>
              <w:widowControl/>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54</w:t>
            </w:r>
          </w:p>
        </w:tc>
        <w:tc>
          <w:tcPr>
            <w:tcW w:w="992" w:type="dxa"/>
            <w:vAlign w:val="center"/>
          </w:tcPr>
          <w:p w14:paraId="41674739">
            <w:pPr>
              <w:widowControl/>
              <w:jc w:val="center"/>
              <w:rPr>
                <w:rFonts w:ascii="Times New Roman" w:hAnsi="Times New Roman" w:cs="Times New Roman" w:eastAsiaTheme="minorEastAsia"/>
                <w:color w:val="auto"/>
                <w:spacing w:val="-20"/>
                <w:kern w:val="0"/>
                <w:szCs w:val="21"/>
              </w:rPr>
            </w:pPr>
            <w:r>
              <w:rPr>
                <w:rFonts w:ascii="Times New Roman" w:hAnsi="Times New Roman" w:cs="Times New Roman" w:eastAsiaTheme="minorEastAsia"/>
                <w:color w:val="auto"/>
                <w:spacing w:val="-20"/>
                <w:kern w:val="0"/>
                <w:szCs w:val="21"/>
              </w:rPr>
              <w:t>0</w:t>
            </w:r>
          </w:p>
        </w:tc>
        <w:tc>
          <w:tcPr>
            <w:tcW w:w="993" w:type="dxa"/>
            <w:vAlign w:val="center"/>
          </w:tcPr>
          <w:p w14:paraId="50E47482">
            <w:pPr>
              <w:widowControl/>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1.0</w:t>
            </w:r>
          </w:p>
        </w:tc>
        <w:tc>
          <w:tcPr>
            <w:tcW w:w="567" w:type="dxa"/>
            <w:vAlign w:val="center"/>
          </w:tcPr>
          <w:p w14:paraId="4E543DD5">
            <w:pPr>
              <w:widowControl/>
              <w:jc w:val="center"/>
              <w:rPr>
                <w:rFonts w:ascii="Times New Roman" w:hAnsi="Times New Roman" w:cs="Times New Roman" w:eastAsiaTheme="minorEastAsia"/>
                <w:color w:val="auto"/>
                <w:spacing w:val="-20"/>
                <w:kern w:val="0"/>
                <w:szCs w:val="21"/>
              </w:rPr>
            </w:pPr>
            <w:r>
              <w:rPr>
                <w:rFonts w:ascii="Times New Roman" w:cs="Times New Roman" w:hAnsiTheme="minorEastAsia" w:eastAsiaTheme="minorEastAsia"/>
                <w:color w:val="auto"/>
                <w:spacing w:val="-20"/>
                <w:kern w:val="0"/>
                <w:szCs w:val="21"/>
              </w:rPr>
              <w:t>路基</w:t>
            </w:r>
          </w:p>
        </w:tc>
        <w:tc>
          <w:tcPr>
            <w:tcW w:w="992" w:type="dxa"/>
            <w:vAlign w:val="center"/>
          </w:tcPr>
          <w:p w14:paraId="1CBCA656">
            <w:pPr>
              <w:widowControl/>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51</w:t>
            </w:r>
          </w:p>
        </w:tc>
        <w:tc>
          <w:tcPr>
            <w:tcW w:w="709" w:type="dxa"/>
            <w:vAlign w:val="center"/>
          </w:tcPr>
          <w:p w14:paraId="477AD033">
            <w:pPr>
              <w:widowControl/>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w:t>
            </w:r>
          </w:p>
        </w:tc>
        <w:tc>
          <w:tcPr>
            <w:tcW w:w="708" w:type="dxa"/>
            <w:vAlign w:val="center"/>
          </w:tcPr>
          <w:p w14:paraId="02ED5DFE">
            <w:pPr>
              <w:widowControl/>
              <w:jc w:val="center"/>
              <w:rPr>
                <w:rFonts w:ascii="Times New Roman" w:hAnsi="Times New Roman" w:cs="Times New Roman" w:eastAsiaTheme="minorEastAsia"/>
                <w:color w:val="auto"/>
                <w:spacing w:val="-20"/>
                <w:kern w:val="0"/>
                <w:szCs w:val="21"/>
              </w:rPr>
            </w:pPr>
            <w:r>
              <w:rPr>
                <w:rFonts w:hint="eastAsia" w:ascii="Times New Roman" w:hAnsi="Times New Roman" w:eastAsia="宋体" w:cs="Times New Roman"/>
                <w:color w:val="auto"/>
                <w:spacing w:val="-20"/>
                <w:kern w:val="0"/>
                <w:szCs w:val="21"/>
              </w:rPr>
              <w:t>1</w:t>
            </w:r>
            <w:r>
              <w:rPr>
                <w:rFonts w:ascii="Times New Roman" w:hAnsi="Times New Roman" w:eastAsia="宋体" w:cs="Times New Roman"/>
                <w:color w:val="auto"/>
                <w:spacing w:val="-20"/>
                <w:kern w:val="0"/>
                <w:szCs w:val="21"/>
              </w:rPr>
              <w:t>栋</w:t>
            </w:r>
            <w:r>
              <w:rPr>
                <w:rFonts w:hint="eastAsia" w:ascii="Times New Roman" w:hAnsi="Times New Roman" w:eastAsia="宋体" w:cs="Times New Roman"/>
                <w:color w:val="auto"/>
                <w:spacing w:val="-20"/>
                <w:kern w:val="0"/>
                <w:szCs w:val="21"/>
              </w:rPr>
              <w:t>1</w:t>
            </w:r>
            <w:r>
              <w:rPr>
                <w:rFonts w:ascii="Times New Roman" w:hAnsi="Times New Roman" w:eastAsia="宋体" w:cs="Times New Roman"/>
                <w:color w:val="auto"/>
                <w:spacing w:val="-20"/>
                <w:kern w:val="0"/>
                <w:szCs w:val="21"/>
              </w:rPr>
              <w:t>层楼</w:t>
            </w:r>
          </w:p>
        </w:tc>
        <w:tc>
          <w:tcPr>
            <w:tcW w:w="4394" w:type="dxa"/>
            <w:vAlign w:val="center"/>
          </w:tcPr>
          <w:p w14:paraId="0B2876FB">
            <w:pPr>
              <w:widowControl/>
              <w:rPr>
                <w:rFonts w:ascii="Times New Roman" w:hAnsi="Times New Roman" w:cs="Times New Roman" w:eastAsiaTheme="minorEastAsia"/>
                <w:color w:val="auto"/>
                <w:spacing w:val="0"/>
                <w:kern w:val="0"/>
                <w:sz w:val="21"/>
                <w:szCs w:val="21"/>
              </w:rPr>
            </w:pPr>
            <w:r>
              <w:rPr>
                <w:rFonts w:ascii="Times New Roman" w:hAnsi="Times New Roman" w:eastAsia="宋体" w:cs="Times New Roman"/>
                <w:color w:val="auto"/>
                <w:spacing w:val="0"/>
                <w:kern w:val="0"/>
                <w:sz w:val="21"/>
                <w:szCs w:val="21"/>
              </w:rPr>
              <w:t>路线以填方路基形式经过学校。学校共</w:t>
            </w:r>
            <w:r>
              <w:rPr>
                <w:rFonts w:hint="eastAsia" w:ascii="Times New Roman" w:hAnsi="Times New Roman" w:eastAsia="宋体" w:cs="Times New Roman"/>
                <w:color w:val="auto"/>
                <w:spacing w:val="0"/>
                <w:kern w:val="0"/>
                <w:sz w:val="21"/>
                <w:szCs w:val="21"/>
              </w:rPr>
              <w:t>3</w:t>
            </w:r>
            <w:r>
              <w:rPr>
                <w:rFonts w:ascii="Times New Roman" w:hAnsi="Times New Roman" w:eastAsia="宋体" w:cs="Times New Roman"/>
                <w:color w:val="auto"/>
                <w:spacing w:val="0"/>
                <w:kern w:val="0"/>
                <w:sz w:val="21"/>
                <w:szCs w:val="21"/>
              </w:rPr>
              <w:t>个班，教师</w:t>
            </w:r>
            <w:r>
              <w:rPr>
                <w:rFonts w:hint="eastAsia" w:ascii="Times New Roman" w:hAnsi="Times New Roman" w:eastAsia="宋体" w:cs="Times New Roman"/>
                <w:color w:val="auto"/>
                <w:spacing w:val="0"/>
                <w:kern w:val="0"/>
                <w:sz w:val="21"/>
                <w:szCs w:val="21"/>
              </w:rPr>
              <w:t>4</w:t>
            </w:r>
            <w:r>
              <w:rPr>
                <w:rFonts w:ascii="Times New Roman" w:hAnsi="Times New Roman" w:eastAsia="宋体" w:cs="Times New Roman"/>
                <w:color w:val="auto"/>
                <w:spacing w:val="0"/>
                <w:kern w:val="0"/>
                <w:sz w:val="21"/>
                <w:szCs w:val="21"/>
              </w:rPr>
              <w:t>人，学生</w:t>
            </w:r>
            <w:r>
              <w:rPr>
                <w:rFonts w:hint="eastAsia" w:ascii="Times New Roman" w:hAnsi="Times New Roman" w:eastAsia="宋体" w:cs="Times New Roman"/>
                <w:color w:val="auto"/>
                <w:spacing w:val="0"/>
                <w:kern w:val="0"/>
                <w:sz w:val="21"/>
                <w:szCs w:val="21"/>
              </w:rPr>
              <w:t>50</w:t>
            </w:r>
            <w:r>
              <w:rPr>
                <w:rFonts w:ascii="Times New Roman" w:hAnsi="Times New Roman" w:eastAsia="宋体" w:cs="Times New Roman"/>
                <w:color w:val="auto"/>
                <w:spacing w:val="0"/>
                <w:kern w:val="0"/>
                <w:sz w:val="21"/>
                <w:szCs w:val="21"/>
              </w:rPr>
              <w:t>人，夜间</w:t>
            </w:r>
            <w:r>
              <w:rPr>
                <w:rFonts w:hint="eastAsia" w:ascii="Times New Roman" w:hAnsi="Times New Roman" w:eastAsia="宋体" w:cs="Times New Roman"/>
                <w:color w:val="auto"/>
                <w:spacing w:val="0"/>
                <w:kern w:val="0"/>
                <w:sz w:val="21"/>
                <w:szCs w:val="21"/>
              </w:rPr>
              <w:t>无</w:t>
            </w:r>
            <w:r>
              <w:rPr>
                <w:rFonts w:ascii="Times New Roman" w:hAnsi="Times New Roman" w:eastAsia="宋体" w:cs="Times New Roman"/>
                <w:color w:val="auto"/>
                <w:spacing w:val="0"/>
                <w:kern w:val="0"/>
                <w:sz w:val="21"/>
                <w:szCs w:val="21"/>
              </w:rPr>
              <w:t>住宿。现有</w:t>
            </w:r>
            <w:r>
              <w:rPr>
                <w:rFonts w:hint="eastAsia" w:ascii="Times New Roman" w:hAnsi="Times New Roman" w:eastAsia="宋体" w:cs="Times New Roman"/>
                <w:color w:val="auto"/>
                <w:spacing w:val="0"/>
                <w:kern w:val="0"/>
                <w:sz w:val="21"/>
                <w:szCs w:val="21"/>
              </w:rPr>
              <w:t>1</w:t>
            </w:r>
            <w:r>
              <w:rPr>
                <w:rFonts w:ascii="Times New Roman" w:hAnsi="Times New Roman" w:eastAsia="宋体" w:cs="Times New Roman"/>
                <w:color w:val="auto"/>
                <w:spacing w:val="0"/>
                <w:kern w:val="0"/>
                <w:sz w:val="21"/>
                <w:szCs w:val="21"/>
              </w:rPr>
              <w:t>栋</w:t>
            </w:r>
            <w:r>
              <w:rPr>
                <w:rFonts w:hint="eastAsia" w:ascii="Times New Roman" w:hAnsi="Times New Roman" w:eastAsia="宋体" w:cs="Times New Roman"/>
                <w:color w:val="auto"/>
                <w:spacing w:val="0"/>
                <w:kern w:val="0"/>
                <w:sz w:val="21"/>
                <w:szCs w:val="21"/>
              </w:rPr>
              <w:t>1</w:t>
            </w:r>
            <w:r>
              <w:rPr>
                <w:rFonts w:ascii="Times New Roman" w:hAnsi="Times New Roman" w:eastAsia="宋体" w:cs="Times New Roman"/>
                <w:color w:val="auto"/>
                <w:spacing w:val="0"/>
                <w:kern w:val="0"/>
                <w:sz w:val="21"/>
                <w:szCs w:val="21"/>
              </w:rPr>
              <w:t>层教学楼，</w:t>
            </w:r>
            <w:r>
              <w:rPr>
                <w:rFonts w:hint="eastAsia" w:ascii="Times New Roman" w:hAnsi="Times New Roman" w:eastAsia="宋体" w:cs="Times New Roman"/>
                <w:color w:val="auto"/>
                <w:spacing w:val="0"/>
                <w:kern w:val="0"/>
                <w:sz w:val="21"/>
                <w:szCs w:val="21"/>
              </w:rPr>
              <w:t>正</w:t>
            </w:r>
            <w:r>
              <w:rPr>
                <w:rFonts w:ascii="Times New Roman" w:hAnsi="Times New Roman" w:eastAsia="宋体" w:cs="Times New Roman"/>
                <w:color w:val="auto"/>
                <w:spacing w:val="0"/>
                <w:kern w:val="0"/>
                <w:sz w:val="21"/>
                <w:szCs w:val="21"/>
              </w:rPr>
              <w:t>向公路。该路段利用现有</w:t>
            </w:r>
            <w:r>
              <w:rPr>
                <w:rFonts w:hint="eastAsia" w:ascii="Times New Roman" w:hAnsi="Times New Roman" w:eastAsia="宋体" w:cs="Times New Roman"/>
                <w:color w:val="auto"/>
                <w:spacing w:val="0"/>
                <w:kern w:val="0"/>
                <w:sz w:val="21"/>
                <w:szCs w:val="21"/>
              </w:rPr>
              <w:t>老路双侧加宽</w:t>
            </w:r>
            <w:r>
              <w:rPr>
                <w:rFonts w:ascii="Times New Roman" w:hAnsi="Times New Roman" w:eastAsia="宋体" w:cs="Times New Roman"/>
                <w:color w:val="auto"/>
                <w:spacing w:val="0"/>
                <w:kern w:val="0"/>
                <w:sz w:val="21"/>
                <w:szCs w:val="21"/>
              </w:rPr>
              <w:t>，</w:t>
            </w:r>
            <w:r>
              <w:rPr>
                <w:rFonts w:ascii="Times New Roman" w:cs="Times New Roman" w:hAnsiTheme="minorEastAsia" w:eastAsiaTheme="minorEastAsia"/>
                <w:color w:val="auto"/>
                <w:spacing w:val="0"/>
                <w:kern w:val="0"/>
                <w:sz w:val="21"/>
                <w:szCs w:val="21"/>
              </w:rPr>
              <w:t>主要噪声源为现有</w:t>
            </w:r>
            <w:r>
              <w:rPr>
                <w:rFonts w:hint="eastAsia" w:ascii="Times New Roman" w:hAnsi="Times New Roman" w:cs="Times New Roman" w:eastAsiaTheme="minorEastAsia"/>
                <w:color w:val="auto"/>
                <w:spacing w:val="0"/>
                <w:kern w:val="0"/>
                <w:sz w:val="21"/>
                <w:szCs w:val="21"/>
              </w:rPr>
              <w:t>G219</w:t>
            </w:r>
            <w:r>
              <w:rPr>
                <w:rFonts w:ascii="Times New Roman" w:cs="Times New Roman" w:hAnsiTheme="minorEastAsia" w:eastAsiaTheme="minorEastAsia"/>
                <w:color w:val="auto"/>
                <w:spacing w:val="0"/>
                <w:kern w:val="0"/>
                <w:sz w:val="21"/>
                <w:szCs w:val="21"/>
              </w:rPr>
              <w:t>交通噪声和社会生活噪声。</w:t>
            </w:r>
          </w:p>
        </w:tc>
        <w:tc>
          <w:tcPr>
            <w:tcW w:w="2898" w:type="dxa"/>
            <w:vAlign w:val="center"/>
          </w:tcPr>
          <w:p w14:paraId="0012CE29">
            <w:pPr>
              <w:widowControl/>
              <w:adjustRightInd w:val="0"/>
              <w:snapToGrid w:val="0"/>
              <w:jc w:val="center"/>
              <w:rPr>
                <w:rFonts w:ascii="Times New Roman" w:hAnsi="Times New Roman" w:cs="Times New Roman" w:eastAsiaTheme="minorEastAsia"/>
                <w:snapToGrid w:val="0"/>
                <w:color w:val="auto"/>
                <w:spacing w:val="-20"/>
                <w:kern w:val="0"/>
                <w:szCs w:val="21"/>
              </w:rPr>
            </w:pPr>
            <w:r>
              <w:rPr>
                <w:rFonts w:ascii="Times New Roman" w:hAnsi="Times New Roman" w:cs="Times New Roman" w:eastAsiaTheme="minorEastAsia"/>
                <w:color w:val="auto"/>
                <w:spacing w:val="-20"/>
                <w:kern w:val="0"/>
                <w:szCs w:val="21"/>
              </w:rPr>
              <w:drawing>
                <wp:inline distT="0" distB="0" distL="0" distR="0">
                  <wp:extent cx="1729105" cy="1295400"/>
                  <wp:effectExtent l="0" t="0" r="4445" b="0"/>
                  <wp:docPr id="675940249" name="图片 6" descr="E:\咨询项目\环评\新疆-G219线八盘水磨至伽师公路\外业踏勘记录及照片\DSC09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940249" name="图片 6" descr="E:\咨询项目\环评\新疆-G219线八盘水磨至伽师公路\外业踏勘记录及照片\DSC09053.JPG"/>
                          <pic:cNvPicPr>
                            <a:picLocks noChangeAspect="1" noChangeArrowheads="1"/>
                          </pic:cNvPicPr>
                        </pic:nvPicPr>
                        <pic:blipFill>
                          <a:blip r:embed="rId162" cstate="print"/>
                          <a:srcRect/>
                          <a:stretch>
                            <a:fillRect/>
                          </a:stretch>
                        </pic:blipFill>
                        <pic:spPr>
                          <a:xfrm>
                            <a:off x="0" y="0"/>
                            <a:ext cx="1729728" cy="1296000"/>
                          </a:xfrm>
                          <a:prstGeom prst="rect">
                            <a:avLst/>
                          </a:prstGeom>
                          <a:noFill/>
                          <a:ln w="9525">
                            <a:noFill/>
                            <a:miter lim="800000"/>
                            <a:headEnd/>
                            <a:tailEnd/>
                          </a:ln>
                        </pic:spPr>
                      </pic:pic>
                    </a:graphicData>
                  </a:graphic>
                </wp:inline>
              </w:drawing>
            </w:r>
          </w:p>
        </w:tc>
      </w:tr>
      <w:tr w14:paraId="5D8F1467">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1020" w:hRule="atLeast"/>
          <w:tblHeader/>
          <w:jc w:val="center"/>
        </w:trPr>
        <w:tc>
          <w:tcPr>
            <w:tcW w:w="568" w:type="dxa"/>
            <w:noWrap/>
            <w:vAlign w:val="center"/>
          </w:tcPr>
          <w:p w14:paraId="456D97C3">
            <w:pPr>
              <w:widowControl/>
              <w:jc w:val="center"/>
              <w:rPr>
                <w:rFonts w:ascii="Times New Roman" w:hAnsi="Times New Roman" w:cs="Times New Roman" w:eastAsiaTheme="minorEastAsia"/>
                <w:color w:val="auto"/>
                <w:spacing w:val="-20"/>
                <w:kern w:val="0"/>
                <w:szCs w:val="21"/>
              </w:rPr>
            </w:pPr>
            <w:r>
              <w:rPr>
                <w:rFonts w:ascii="Times New Roman" w:hAnsi="Times New Roman" w:cs="Times New Roman" w:eastAsiaTheme="minorEastAsia"/>
                <w:color w:val="auto"/>
                <w:spacing w:val="-20"/>
                <w:kern w:val="0"/>
                <w:szCs w:val="21"/>
              </w:rPr>
              <w:t>8</w:t>
            </w:r>
          </w:p>
        </w:tc>
        <w:tc>
          <w:tcPr>
            <w:tcW w:w="694" w:type="dxa"/>
            <w:vMerge w:val="continue"/>
            <w:vAlign w:val="center"/>
          </w:tcPr>
          <w:p w14:paraId="3EE0D709">
            <w:pPr>
              <w:widowControl/>
              <w:jc w:val="center"/>
              <w:rPr>
                <w:rFonts w:ascii="Times New Roman" w:hAnsi="Times New Roman" w:cs="Times New Roman" w:eastAsiaTheme="minorEastAsia"/>
                <w:color w:val="auto"/>
                <w:spacing w:val="-20"/>
                <w:kern w:val="0"/>
                <w:szCs w:val="21"/>
              </w:rPr>
            </w:pPr>
          </w:p>
        </w:tc>
        <w:tc>
          <w:tcPr>
            <w:tcW w:w="1134" w:type="dxa"/>
            <w:vAlign w:val="center"/>
          </w:tcPr>
          <w:p w14:paraId="40E2A6AA">
            <w:pPr>
              <w:widowControl/>
              <w:jc w:val="center"/>
              <w:rPr>
                <w:rFonts w:ascii="Times New Roman" w:hAnsi="Times New Roman" w:cs="Times New Roman" w:eastAsiaTheme="minorEastAsia"/>
                <w:color w:val="auto"/>
                <w:spacing w:val="-20"/>
                <w:kern w:val="0"/>
                <w:szCs w:val="21"/>
              </w:rPr>
            </w:pPr>
            <w:r>
              <w:rPr>
                <w:rFonts w:ascii="Times New Roman" w:hAnsi="Times New Roman" w:cs="Times New Roman" w:eastAsiaTheme="minorEastAsia"/>
                <w:color w:val="auto"/>
                <w:spacing w:val="-20"/>
                <w:szCs w:val="21"/>
              </w:rPr>
              <w:t>K</w:t>
            </w:r>
            <w:r>
              <w:rPr>
                <w:rFonts w:hint="eastAsia" w:ascii="Times New Roman" w:hAnsi="Times New Roman" w:cs="Times New Roman" w:eastAsiaTheme="minorEastAsia"/>
                <w:color w:val="auto"/>
                <w:spacing w:val="-20"/>
                <w:szCs w:val="21"/>
              </w:rPr>
              <w:t>22</w:t>
            </w:r>
            <w:r>
              <w:rPr>
                <w:rFonts w:ascii="Times New Roman" w:hAnsi="Times New Roman" w:cs="Times New Roman" w:eastAsiaTheme="minorEastAsia"/>
                <w:color w:val="auto"/>
                <w:spacing w:val="-20"/>
                <w:szCs w:val="21"/>
              </w:rPr>
              <w:t>+</w:t>
            </w:r>
            <w:r>
              <w:rPr>
                <w:rFonts w:hint="eastAsia" w:ascii="Times New Roman" w:hAnsi="Times New Roman" w:cs="Times New Roman" w:eastAsiaTheme="minorEastAsia"/>
                <w:color w:val="auto"/>
                <w:spacing w:val="-20"/>
                <w:szCs w:val="21"/>
              </w:rPr>
              <w:t>45</w:t>
            </w:r>
            <w:r>
              <w:rPr>
                <w:rFonts w:ascii="Times New Roman" w:hAnsi="Times New Roman" w:cs="Times New Roman" w:eastAsiaTheme="minorEastAsia"/>
                <w:color w:val="auto"/>
                <w:spacing w:val="-20"/>
                <w:szCs w:val="21"/>
              </w:rPr>
              <w:t>0</w:t>
            </w:r>
            <w:r>
              <w:rPr>
                <w:rFonts w:ascii="Times New Roman" w:cs="Times New Roman" w:hAnsiTheme="minorEastAsia" w:eastAsiaTheme="minorEastAsia"/>
                <w:color w:val="auto"/>
                <w:spacing w:val="-20"/>
                <w:szCs w:val="21"/>
              </w:rPr>
              <w:t>～</w:t>
            </w:r>
            <w:r>
              <w:rPr>
                <w:rFonts w:ascii="Times New Roman" w:hAnsi="Times New Roman" w:cs="Times New Roman" w:eastAsiaTheme="minorEastAsia"/>
                <w:color w:val="auto"/>
                <w:spacing w:val="-20"/>
                <w:szCs w:val="21"/>
              </w:rPr>
              <w:t>K</w:t>
            </w:r>
            <w:r>
              <w:rPr>
                <w:rFonts w:hint="eastAsia" w:ascii="Times New Roman" w:hAnsi="Times New Roman" w:cs="Times New Roman" w:eastAsiaTheme="minorEastAsia"/>
                <w:color w:val="auto"/>
                <w:spacing w:val="-20"/>
                <w:szCs w:val="21"/>
              </w:rPr>
              <w:t>23</w:t>
            </w:r>
            <w:r>
              <w:rPr>
                <w:rFonts w:ascii="Times New Roman" w:hAnsi="Times New Roman" w:cs="Times New Roman" w:eastAsiaTheme="minorEastAsia"/>
                <w:color w:val="auto"/>
                <w:spacing w:val="-20"/>
                <w:szCs w:val="21"/>
              </w:rPr>
              <w:t>+</w:t>
            </w:r>
            <w:r>
              <w:rPr>
                <w:rFonts w:hint="eastAsia" w:ascii="Times New Roman" w:hAnsi="Times New Roman" w:cs="Times New Roman" w:eastAsiaTheme="minorEastAsia"/>
                <w:color w:val="auto"/>
                <w:spacing w:val="-20"/>
                <w:szCs w:val="21"/>
              </w:rPr>
              <w:t>30</w:t>
            </w:r>
            <w:r>
              <w:rPr>
                <w:rFonts w:ascii="Times New Roman" w:hAnsi="Times New Roman" w:cs="Times New Roman" w:eastAsiaTheme="minorEastAsia"/>
                <w:color w:val="auto"/>
                <w:spacing w:val="-20"/>
                <w:szCs w:val="21"/>
              </w:rPr>
              <w:t>0</w:t>
            </w:r>
          </w:p>
        </w:tc>
        <w:tc>
          <w:tcPr>
            <w:tcW w:w="851" w:type="dxa"/>
            <w:vAlign w:val="center"/>
          </w:tcPr>
          <w:p w14:paraId="4FAC3069">
            <w:pPr>
              <w:jc w:val="center"/>
              <w:rPr>
                <w:rFonts w:ascii="Times New Roman" w:hAnsi="Times New Roman" w:cs="Times New Roman" w:eastAsiaTheme="minorEastAsia"/>
                <w:color w:val="auto"/>
                <w:spacing w:val="-20"/>
                <w:szCs w:val="21"/>
              </w:rPr>
            </w:pPr>
            <w:r>
              <w:rPr>
                <w:rFonts w:hint="eastAsia" w:ascii="Times New Roman" w:cs="Times New Roman" w:hAnsiTheme="minorEastAsia" w:eastAsiaTheme="minorEastAsia"/>
                <w:color w:val="auto"/>
                <w:spacing w:val="-20"/>
                <w:szCs w:val="21"/>
              </w:rPr>
              <w:t>勒格里地玛央艾日克村</w:t>
            </w:r>
          </w:p>
        </w:tc>
        <w:tc>
          <w:tcPr>
            <w:tcW w:w="850" w:type="dxa"/>
            <w:vMerge w:val="continue"/>
            <w:vAlign w:val="center"/>
          </w:tcPr>
          <w:p w14:paraId="01B3C968">
            <w:pPr>
              <w:widowControl/>
              <w:jc w:val="center"/>
              <w:rPr>
                <w:rFonts w:ascii="Times New Roman" w:hAnsi="Times New Roman" w:cs="Times New Roman" w:eastAsiaTheme="minorEastAsia"/>
                <w:color w:val="auto"/>
                <w:spacing w:val="-20"/>
                <w:kern w:val="0"/>
                <w:szCs w:val="21"/>
              </w:rPr>
            </w:pPr>
          </w:p>
        </w:tc>
        <w:tc>
          <w:tcPr>
            <w:tcW w:w="661" w:type="dxa"/>
            <w:vAlign w:val="center"/>
          </w:tcPr>
          <w:p w14:paraId="7AB2C22A">
            <w:pPr>
              <w:widowControl/>
              <w:jc w:val="center"/>
              <w:rPr>
                <w:rFonts w:ascii="Times New Roman" w:cs="Times New Roman" w:hAnsiTheme="minorEastAsia" w:eastAsiaTheme="minorEastAsia"/>
                <w:color w:val="auto"/>
                <w:spacing w:val="-20"/>
                <w:szCs w:val="21"/>
              </w:rPr>
            </w:pPr>
            <w:r>
              <w:rPr>
                <w:rFonts w:ascii="Times New Roman" w:cs="Times New Roman" w:hAnsiTheme="minorEastAsia" w:eastAsiaTheme="minorEastAsia"/>
                <w:color w:val="auto"/>
                <w:spacing w:val="-20"/>
                <w:szCs w:val="21"/>
              </w:rPr>
              <w:t>两侧</w:t>
            </w:r>
          </w:p>
        </w:tc>
        <w:tc>
          <w:tcPr>
            <w:tcW w:w="662" w:type="dxa"/>
            <w:vAlign w:val="center"/>
          </w:tcPr>
          <w:p w14:paraId="0752E0BC">
            <w:pPr>
              <w:widowControl/>
              <w:jc w:val="center"/>
              <w:rPr>
                <w:rFonts w:ascii="Times New Roman" w:cs="Times New Roman" w:hAnsiTheme="minorEastAsia" w:eastAsiaTheme="minorEastAsia"/>
                <w:color w:val="auto"/>
                <w:spacing w:val="-20"/>
                <w:szCs w:val="21"/>
              </w:rPr>
            </w:pPr>
            <w:r>
              <w:rPr>
                <w:rFonts w:hint="eastAsia" w:ascii="Times New Roman" w:cs="Times New Roman" w:hAnsiTheme="minorEastAsia" w:eastAsiaTheme="minorEastAsia"/>
                <w:color w:val="auto"/>
                <w:spacing w:val="-20"/>
                <w:szCs w:val="21"/>
              </w:rPr>
              <w:t>23</w:t>
            </w:r>
          </w:p>
        </w:tc>
        <w:tc>
          <w:tcPr>
            <w:tcW w:w="662" w:type="dxa"/>
            <w:vAlign w:val="center"/>
          </w:tcPr>
          <w:p w14:paraId="0A6698F2">
            <w:pPr>
              <w:widowControl/>
              <w:jc w:val="center"/>
              <w:rPr>
                <w:rFonts w:ascii="Times New Roman" w:cs="Times New Roman" w:hAnsiTheme="minorEastAsia" w:eastAsiaTheme="minorEastAsia"/>
                <w:color w:val="auto"/>
                <w:spacing w:val="-20"/>
                <w:szCs w:val="21"/>
              </w:rPr>
            </w:pPr>
            <w:r>
              <w:rPr>
                <w:rFonts w:hint="eastAsia" w:ascii="Times New Roman" w:cs="Times New Roman" w:hAnsiTheme="minorEastAsia" w:eastAsiaTheme="minorEastAsia"/>
                <w:color w:val="auto"/>
                <w:spacing w:val="-20"/>
                <w:szCs w:val="21"/>
              </w:rPr>
              <w:t>11</w:t>
            </w:r>
          </w:p>
        </w:tc>
        <w:tc>
          <w:tcPr>
            <w:tcW w:w="567" w:type="dxa"/>
            <w:vAlign w:val="center"/>
          </w:tcPr>
          <w:p w14:paraId="26C2EAF9">
            <w:pPr>
              <w:widowControl/>
              <w:jc w:val="center"/>
              <w:rPr>
                <w:rFonts w:ascii="Times New Roman" w:hAnsi="Times New Roman" w:cs="Times New Roman" w:eastAsiaTheme="minorEastAsia"/>
                <w:color w:val="auto"/>
                <w:spacing w:val="-20"/>
                <w:kern w:val="0"/>
                <w:szCs w:val="21"/>
              </w:rPr>
            </w:pPr>
            <w:r>
              <w:rPr>
                <w:rFonts w:ascii="Times New Roman" w:cs="Times New Roman" w:hAnsiTheme="minorEastAsia" w:eastAsiaTheme="minorEastAsia"/>
                <w:color w:val="auto"/>
                <w:spacing w:val="-20"/>
                <w:szCs w:val="21"/>
              </w:rPr>
              <w:t>两侧</w:t>
            </w:r>
          </w:p>
        </w:tc>
        <w:tc>
          <w:tcPr>
            <w:tcW w:w="708" w:type="dxa"/>
            <w:vAlign w:val="center"/>
          </w:tcPr>
          <w:p w14:paraId="782DC954">
            <w:pPr>
              <w:widowControl/>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szCs w:val="21"/>
              </w:rPr>
              <w:t>23</w:t>
            </w:r>
          </w:p>
        </w:tc>
        <w:tc>
          <w:tcPr>
            <w:tcW w:w="709" w:type="dxa"/>
            <w:vAlign w:val="center"/>
          </w:tcPr>
          <w:p w14:paraId="16EAA1AB">
            <w:pPr>
              <w:widowControl/>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3.5</w:t>
            </w:r>
          </w:p>
        </w:tc>
        <w:tc>
          <w:tcPr>
            <w:tcW w:w="992" w:type="dxa"/>
            <w:vAlign w:val="center"/>
          </w:tcPr>
          <w:p w14:paraId="26A3646A">
            <w:pPr>
              <w:widowControl/>
              <w:jc w:val="center"/>
              <w:rPr>
                <w:rFonts w:ascii="Times New Roman" w:hAnsi="Times New Roman" w:cs="Times New Roman" w:eastAsiaTheme="minorEastAsia"/>
                <w:color w:val="auto"/>
                <w:spacing w:val="-20"/>
                <w:kern w:val="0"/>
                <w:szCs w:val="21"/>
              </w:rPr>
            </w:pPr>
            <w:r>
              <w:rPr>
                <w:rFonts w:ascii="Times New Roman" w:hAnsi="Times New Roman" w:cs="Times New Roman" w:eastAsiaTheme="minorEastAsia"/>
                <w:color w:val="auto"/>
                <w:spacing w:val="-20"/>
                <w:kern w:val="0"/>
                <w:szCs w:val="21"/>
              </w:rPr>
              <w:t>0</w:t>
            </w:r>
          </w:p>
        </w:tc>
        <w:tc>
          <w:tcPr>
            <w:tcW w:w="993" w:type="dxa"/>
            <w:vAlign w:val="center"/>
          </w:tcPr>
          <w:p w14:paraId="2F7D2F1D">
            <w:pPr>
              <w:widowControl/>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2.5</w:t>
            </w:r>
          </w:p>
        </w:tc>
        <w:tc>
          <w:tcPr>
            <w:tcW w:w="567" w:type="dxa"/>
            <w:vAlign w:val="center"/>
          </w:tcPr>
          <w:p w14:paraId="30AF65E4">
            <w:pPr>
              <w:widowControl/>
              <w:jc w:val="center"/>
              <w:rPr>
                <w:rFonts w:ascii="Times New Roman" w:hAnsi="Times New Roman" w:cs="Times New Roman" w:eastAsiaTheme="minorEastAsia"/>
                <w:color w:val="auto"/>
                <w:spacing w:val="-20"/>
                <w:kern w:val="0"/>
                <w:szCs w:val="21"/>
              </w:rPr>
            </w:pPr>
            <w:r>
              <w:rPr>
                <w:rFonts w:ascii="Times New Roman" w:cs="Times New Roman" w:hAnsiTheme="minorEastAsia" w:eastAsiaTheme="minorEastAsia"/>
                <w:color w:val="auto"/>
                <w:spacing w:val="-20"/>
                <w:kern w:val="0"/>
                <w:szCs w:val="21"/>
              </w:rPr>
              <w:t>路基</w:t>
            </w:r>
          </w:p>
        </w:tc>
        <w:tc>
          <w:tcPr>
            <w:tcW w:w="992" w:type="dxa"/>
            <w:vAlign w:val="center"/>
          </w:tcPr>
          <w:p w14:paraId="0F440007">
            <w:pPr>
              <w:widowControl/>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54.5</w:t>
            </w:r>
          </w:p>
        </w:tc>
        <w:tc>
          <w:tcPr>
            <w:tcW w:w="709" w:type="dxa"/>
            <w:vAlign w:val="center"/>
          </w:tcPr>
          <w:p w14:paraId="472796B7">
            <w:pPr>
              <w:widowControl/>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35</w:t>
            </w:r>
          </w:p>
        </w:tc>
        <w:tc>
          <w:tcPr>
            <w:tcW w:w="708" w:type="dxa"/>
            <w:vAlign w:val="center"/>
          </w:tcPr>
          <w:p w14:paraId="27492E9B">
            <w:pPr>
              <w:widowControl/>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20</w:t>
            </w:r>
          </w:p>
        </w:tc>
        <w:tc>
          <w:tcPr>
            <w:tcW w:w="4394" w:type="dxa"/>
            <w:vAlign w:val="center"/>
          </w:tcPr>
          <w:p w14:paraId="34D2F717">
            <w:pPr>
              <w:widowControl/>
              <w:rPr>
                <w:rFonts w:ascii="Times New Roman" w:hAnsi="Times New Roman" w:cs="Times New Roman" w:eastAsiaTheme="minorEastAsia"/>
                <w:color w:val="auto"/>
                <w:spacing w:val="0"/>
                <w:kern w:val="0"/>
                <w:sz w:val="21"/>
                <w:szCs w:val="21"/>
              </w:rPr>
            </w:pPr>
            <w:r>
              <w:rPr>
                <w:rFonts w:ascii="Times New Roman" w:cs="Times New Roman" w:hAnsiTheme="minorEastAsia" w:eastAsiaTheme="minorEastAsia"/>
                <w:color w:val="auto"/>
                <w:spacing w:val="0"/>
                <w:kern w:val="0"/>
                <w:sz w:val="21"/>
                <w:szCs w:val="21"/>
              </w:rPr>
              <w:t>路线以填方路基形式经过村庄。评价范围内现有居民</w:t>
            </w:r>
            <w:r>
              <w:rPr>
                <w:rFonts w:hint="eastAsia" w:ascii="Times New Roman" w:hAnsi="Times New Roman" w:cs="Times New Roman" w:eastAsiaTheme="minorEastAsia"/>
                <w:color w:val="auto"/>
                <w:spacing w:val="0"/>
                <w:kern w:val="0"/>
                <w:sz w:val="21"/>
                <w:szCs w:val="21"/>
              </w:rPr>
              <w:t>55</w:t>
            </w:r>
            <w:r>
              <w:rPr>
                <w:rFonts w:ascii="Times New Roman" w:cs="Times New Roman" w:hAnsiTheme="minorEastAsia" w:eastAsiaTheme="minorEastAsia"/>
                <w:color w:val="auto"/>
                <w:spacing w:val="0"/>
                <w:kern w:val="0"/>
                <w:sz w:val="21"/>
                <w:szCs w:val="21"/>
              </w:rPr>
              <w:t>户，首排</w:t>
            </w:r>
            <w:r>
              <w:rPr>
                <w:rFonts w:hint="eastAsia" w:ascii="Times New Roman" w:hAnsi="Times New Roman" w:cs="Times New Roman" w:eastAsiaTheme="minorEastAsia"/>
                <w:color w:val="auto"/>
                <w:spacing w:val="0"/>
                <w:kern w:val="0"/>
                <w:sz w:val="21"/>
                <w:szCs w:val="21"/>
              </w:rPr>
              <w:t>28</w:t>
            </w:r>
            <w:r>
              <w:rPr>
                <w:rFonts w:ascii="Times New Roman" w:cs="Times New Roman" w:hAnsiTheme="minorEastAsia" w:eastAsiaTheme="minorEastAsia"/>
                <w:color w:val="auto"/>
                <w:spacing w:val="0"/>
                <w:kern w:val="0"/>
                <w:sz w:val="21"/>
                <w:szCs w:val="21"/>
              </w:rPr>
              <w:t>户，</w:t>
            </w:r>
            <w:r>
              <w:rPr>
                <w:rFonts w:hint="eastAsia" w:ascii="Times New Roman" w:cs="Times New Roman" w:hAnsiTheme="minorEastAsia" w:eastAsiaTheme="minorEastAsia"/>
                <w:color w:val="auto"/>
                <w:spacing w:val="0"/>
                <w:kern w:val="0"/>
                <w:sz w:val="21"/>
                <w:szCs w:val="21"/>
              </w:rPr>
              <w:t>主要</w:t>
            </w:r>
            <w:r>
              <w:rPr>
                <w:rFonts w:ascii="Times New Roman" w:cs="Times New Roman" w:hAnsiTheme="minorEastAsia" w:eastAsiaTheme="minorEastAsia"/>
                <w:color w:val="auto"/>
                <w:spacing w:val="0"/>
                <w:kern w:val="0"/>
                <w:sz w:val="21"/>
                <w:szCs w:val="21"/>
              </w:rPr>
              <w:t>为</w:t>
            </w:r>
            <w:r>
              <w:rPr>
                <w:rFonts w:ascii="Times New Roman" w:hAnsi="Times New Roman" w:cs="Times New Roman" w:eastAsiaTheme="minorEastAsia"/>
                <w:color w:val="auto"/>
                <w:spacing w:val="0"/>
                <w:kern w:val="0"/>
                <w:sz w:val="21"/>
                <w:szCs w:val="21"/>
              </w:rPr>
              <w:t>1</w:t>
            </w:r>
            <w:r>
              <w:rPr>
                <w:rFonts w:ascii="Times New Roman" w:cs="Times New Roman" w:hAnsiTheme="minorEastAsia" w:eastAsiaTheme="minorEastAsia"/>
                <w:color w:val="auto"/>
                <w:spacing w:val="0"/>
                <w:kern w:val="0"/>
                <w:sz w:val="21"/>
                <w:szCs w:val="21"/>
              </w:rPr>
              <w:t>层砖混房，房屋正向拟建公路。</w:t>
            </w:r>
            <w:r>
              <w:rPr>
                <w:rFonts w:ascii="Times New Roman" w:hAnsi="Times New Roman" w:eastAsia="宋体" w:cs="Times New Roman"/>
                <w:color w:val="auto"/>
                <w:spacing w:val="0"/>
                <w:kern w:val="0"/>
                <w:sz w:val="21"/>
                <w:szCs w:val="21"/>
              </w:rPr>
              <w:t>该路段利用现有</w:t>
            </w:r>
            <w:r>
              <w:rPr>
                <w:rFonts w:hint="eastAsia" w:ascii="Times New Roman" w:hAnsi="Times New Roman" w:eastAsia="宋体" w:cs="Times New Roman"/>
                <w:color w:val="auto"/>
                <w:spacing w:val="0"/>
                <w:kern w:val="0"/>
                <w:sz w:val="21"/>
                <w:szCs w:val="21"/>
              </w:rPr>
              <w:t>老路双侧加宽</w:t>
            </w:r>
            <w:r>
              <w:rPr>
                <w:rFonts w:ascii="Times New Roman" w:hAnsi="Times New Roman" w:eastAsia="宋体" w:cs="Times New Roman"/>
                <w:color w:val="auto"/>
                <w:spacing w:val="0"/>
                <w:kern w:val="0"/>
                <w:sz w:val="21"/>
                <w:szCs w:val="21"/>
              </w:rPr>
              <w:t>，有平交</w:t>
            </w:r>
            <w:r>
              <w:rPr>
                <w:rFonts w:hint="eastAsia" w:ascii="Times New Roman" w:hAnsi="Times New Roman" w:eastAsia="宋体" w:cs="Times New Roman"/>
                <w:color w:val="auto"/>
                <w:spacing w:val="0"/>
                <w:kern w:val="0"/>
                <w:sz w:val="21"/>
                <w:szCs w:val="21"/>
              </w:rPr>
              <w:t>路口</w:t>
            </w:r>
            <w:r>
              <w:rPr>
                <w:rFonts w:ascii="Times New Roman" w:hAnsi="Times New Roman" w:eastAsia="宋体" w:cs="Times New Roman"/>
                <w:color w:val="auto"/>
                <w:spacing w:val="0"/>
                <w:kern w:val="0"/>
                <w:sz w:val="21"/>
                <w:szCs w:val="21"/>
              </w:rPr>
              <w:t>，</w:t>
            </w:r>
            <w:r>
              <w:rPr>
                <w:rFonts w:ascii="Times New Roman" w:cs="Times New Roman" w:hAnsiTheme="minorEastAsia" w:eastAsiaTheme="minorEastAsia"/>
                <w:color w:val="auto"/>
                <w:spacing w:val="0"/>
                <w:kern w:val="0"/>
                <w:sz w:val="21"/>
                <w:szCs w:val="21"/>
              </w:rPr>
              <w:t>主要噪声源为现有</w:t>
            </w:r>
            <w:r>
              <w:rPr>
                <w:rFonts w:hint="eastAsia" w:ascii="Times New Roman" w:hAnsi="Times New Roman" w:cs="Times New Roman" w:eastAsiaTheme="minorEastAsia"/>
                <w:color w:val="auto"/>
                <w:spacing w:val="0"/>
                <w:kern w:val="0"/>
                <w:sz w:val="21"/>
                <w:szCs w:val="21"/>
              </w:rPr>
              <w:t>G219</w:t>
            </w:r>
            <w:r>
              <w:rPr>
                <w:rFonts w:ascii="Times New Roman" w:cs="Times New Roman" w:hAnsiTheme="minorEastAsia" w:eastAsiaTheme="minorEastAsia"/>
                <w:color w:val="auto"/>
                <w:spacing w:val="0"/>
                <w:kern w:val="0"/>
                <w:sz w:val="21"/>
                <w:szCs w:val="21"/>
              </w:rPr>
              <w:t>交通噪声和社会生活噪声。</w:t>
            </w:r>
          </w:p>
        </w:tc>
        <w:tc>
          <w:tcPr>
            <w:tcW w:w="2898" w:type="dxa"/>
            <w:vAlign w:val="center"/>
          </w:tcPr>
          <w:p w14:paraId="59780D74">
            <w:pPr>
              <w:widowControl/>
              <w:adjustRightInd w:val="0"/>
              <w:snapToGrid w:val="0"/>
              <w:jc w:val="center"/>
              <w:rPr>
                <w:rFonts w:ascii="Times New Roman" w:hAnsi="Times New Roman" w:cs="Times New Roman" w:eastAsiaTheme="minorEastAsia"/>
                <w:snapToGrid w:val="0"/>
                <w:color w:val="auto"/>
                <w:spacing w:val="-20"/>
                <w:kern w:val="0"/>
                <w:szCs w:val="21"/>
              </w:rPr>
            </w:pPr>
            <w:r>
              <w:rPr>
                <w:rFonts w:ascii="Times New Roman" w:hAnsi="Times New Roman" w:cs="Times New Roman" w:eastAsiaTheme="minorEastAsia"/>
                <w:color w:val="auto"/>
                <w:spacing w:val="-20"/>
                <w:kern w:val="0"/>
                <w:szCs w:val="21"/>
              </w:rPr>
              <w:drawing>
                <wp:inline distT="0" distB="0" distL="0" distR="0">
                  <wp:extent cx="1729105" cy="1295400"/>
                  <wp:effectExtent l="0" t="0" r="4445" b="0"/>
                  <wp:docPr id="675940251" name="图片 8" descr="E:\咨询项目\环评\新疆-G219线八盘水磨至伽师公路\外业踏勘记录及照片\DSC09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940251" name="图片 8" descr="E:\咨询项目\环评\新疆-G219线八盘水磨至伽师公路\外业踏勘记录及照片\DSC09047.JPG"/>
                          <pic:cNvPicPr>
                            <a:picLocks noChangeAspect="1" noChangeArrowheads="1"/>
                          </pic:cNvPicPr>
                        </pic:nvPicPr>
                        <pic:blipFill>
                          <a:blip r:embed="rId163" cstate="print"/>
                          <a:srcRect/>
                          <a:stretch>
                            <a:fillRect/>
                          </a:stretch>
                        </pic:blipFill>
                        <pic:spPr>
                          <a:xfrm>
                            <a:off x="0" y="0"/>
                            <a:ext cx="1729728" cy="1296000"/>
                          </a:xfrm>
                          <a:prstGeom prst="rect">
                            <a:avLst/>
                          </a:prstGeom>
                          <a:noFill/>
                          <a:ln w="9525">
                            <a:noFill/>
                            <a:miter lim="800000"/>
                            <a:headEnd/>
                            <a:tailEnd/>
                          </a:ln>
                        </pic:spPr>
                      </pic:pic>
                    </a:graphicData>
                  </a:graphic>
                </wp:inline>
              </w:drawing>
            </w:r>
          </w:p>
        </w:tc>
      </w:tr>
      <w:tr w14:paraId="7873532C">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654" w:hRule="atLeast"/>
          <w:tblHeader/>
          <w:jc w:val="center"/>
        </w:trPr>
        <w:tc>
          <w:tcPr>
            <w:tcW w:w="568" w:type="dxa"/>
            <w:vMerge w:val="restart"/>
            <w:noWrap/>
            <w:vAlign w:val="center"/>
          </w:tcPr>
          <w:p w14:paraId="2B77278C">
            <w:pPr>
              <w:widowControl/>
              <w:jc w:val="center"/>
              <w:rPr>
                <w:rFonts w:ascii="Times New Roman" w:hAnsi="Times New Roman" w:cs="Times New Roman" w:eastAsiaTheme="minorEastAsia"/>
                <w:color w:val="auto"/>
                <w:spacing w:val="-20"/>
                <w:kern w:val="0"/>
                <w:szCs w:val="21"/>
              </w:rPr>
            </w:pPr>
            <w:r>
              <w:rPr>
                <w:rFonts w:ascii="Times New Roman" w:hAnsi="Times New Roman" w:cs="Times New Roman" w:eastAsiaTheme="minorEastAsia"/>
                <w:color w:val="auto"/>
                <w:spacing w:val="-20"/>
                <w:kern w:val="0"/>
                <w:szCs w:val="21"/>
              </w:rPr>
              <w:t>9</w:t>
            </w:r>
          </w:p>
        </w:tc>
        <w:tc>
          <w:tcPr>
            <w:tcW w:w="694" w:type="dxa"/>
            <w:vMerge w:val="continue"/>
            <w:vAlign w:val="center"/>
          </w:tcPr>
          <w:p w14:paraId="72287CA5">
            <w:pPr>
              <w:jc w:val="center"/>
              <w:rPr>
                <w:rFonts w:ascii="Times New Roman" w:hAnsi="Times New Roman" w:cs="Times New Roman" w:eastAsiaTheme="minorEastAsia"/>
                <w:color w:val="auto"/>
                <w:spacing w:val="-20"/>
                <w:kern w:val="0"/>
                <w:szCs w:val="21"/>
              </w:rPr>
            </w:pPr>
          </w:p>
        </w:tc>
        <w:tc>
          <w:tcPr>
            <w:tcW w:w="1134" w:type="dxa"/>
            <w:vAlign w:val="center"/>
          </w:tcPr>
          <w:p w14:paraId="0D1C34B0">
            <w:pPr>
              <w:widowControl/>
              <w:jc w:val="center"/>
              <w:rPr>
                <w:rFonts w:ascii="Times New Roman" w:hAnsi="Times New Roman" w:cs="Times New Roman" w:eastAsiaTheme="minorEastAsia"/>
                <w:color w:val="auto"/>
                <w:spacing w:val="-20"/>
                <w:kern w:val="0"/>
                <w:szCs w:val="21"/>
              </w:rPr>
            </w:pPr>
            <w:r>
              <w:rPr>
                <w:rFonts w:ascii="Times New Roman" w:hAnsi="Times New Roman" w:cs="Times New Roman" w:eastAsiaTheme="minorEastAsia"/>
                <w:color w:val="auto"/>
                <w:spacing w:val="-20"/>
                <w:szCs w:val="21"/>
              </w:rPr>
              <w:t>K</w:t>
            </w:r>
            <w:r>
              <w:rPr>
                <w:rFonts w:hint="eastAsia" w:ascii="Times New Roman" w:hAnsi="Times New Roman" w:cs="Times New Roman" w:eastAsiaTheme="minorEastAsia"/>
                <w:color w:val="auto"/>
                <w:spacing w:val="-20"/>
                <w:szCs w:val="21"/>
              </w:rPr>
              <w:t>23</w:t>
            </w:r>
            <w:r>
              <w:rPr>
                <w:rFonts w:ascii="Times New Roman" w:hAnsi="Times New Roman" w:cs="Times New Roman" w:eastAsiaTheme="minorEastAsia"/>
                <w:color w:val="auto"/>
                <w:spacing w:val="-20"/>
                <w:szCs w:val="21"/>
              </w:rPr>
              <w:t>+</w:t>
            </w:r>
            <w:r>
              <w:rPr>
                <w:rFonts w:hint="eastAsia" w:ascii="Times New Roman" w:hAnsi="Times New Roman" w:cs="Times New Roman" w:eastAsiaTheme="minorEastAsia"/>
                <w:color w:val="auto"/>
                <w:spacing w:val="-20"/>
                <w:szCs w:val="21"/>
              </w:rPr>
              <w:t>50</w:t>
            </w:r>
            <w:r>
              <w:rPr>
                <w:rFonts w:ascii="Times New Roman" w:hAnsi="Times New Roman" w:cs="Times New Roman" w:eastAsiaTheme="minorEastAsia"/>
                <w:color w:val="auto"/>
                <w:spacing w:val="-20"/>
                <w:szCs w:val="21"/>
              </w:rPr>
              <w:t>0</w:t>
            </w:r>
            <w:r>
              <w:rPr>
                <w:rFonts w:ascii="Times New Roman" w:cs="Times New Roman" w:hAnsiTheme="minorEastAsia" w:eastAsiaTheme="minorEastAsia"/>
                <w:color w:val="auto"/>
                <w:spacing w:val="-20"/>
                <w:szCs w:val="21"/>
              </w:rPr>
              <w:t>～</w:t>
            </w:r>
            <w:r>
              <w:rPr>
                <w:rFonts w:ascii="Times New Roman" w:hAnsi="Times New Roman" w:cs="Times New Roman" w:eastAsiaTheme="minorEastAsia"/>
                <w:color w:val="auto"/>
                <w:spacing w:val="-20"/>
                <w:szCs w:val="21"/>
              </w:rPr>
              <w:t>K</w:t>
            </w:r>
            <w:r>
              <w:rPr>
                <w:rFonts w:hint="eastAsia" w:ascii="Times New Roman" w:hAnsi="Times New Roman" w:cs="Times New Roman" w:eastAsiaTheme="minorEastAsia"/>
                <w:color w:val="auto"/>
                <w:spacing w:val="-20"/>
                <w:szCs w:val="21"/>
              </w:rPr>
              <w:t>24</w:t>
            </w:r>
            <w:r>
              <w:rPr>
                <w:rFonts w:ascii="Times New Roman" w:hAnsi="Times New Roman" w:cs="Times New Roman" w:eastAsiaTheme="minorEastAsia"/>
                <w:color w:val="auto"/>
                <w:spacing w:val="-20"/>
                <w:szCs w:val="21"/>
              </w:rPr>
              <w:t>+</w:t>
            </w:r>
            <w:r>
              <w:rPr>
                <w:rFonts w:hint="eastAsia" w:ascii="Times New Roman" w:hAnsi="Times New Roman" w:cs="Times New Roman" w:eastAsiaTheme="minorEastAsia"/>
                <w:color w:val="auto"/>
                <w:spacing w:val="-20"/>
                <w:szCs w:val="21"/>
              </w:rPr>
              <w:t>35</w:t>
            </w:r>
            <w:r>
              <w:rPr>
                <w:rFonts w:ascii="Times New Roman" w:hAnsi="Times New Roman" w:cs="Times New Roman" w:eastAsiaTheme="minorEastAsia"/>
                <w:color w:val="auto"/>
                <w:spacing w:val="-20"/>
                <w:szCs w:val="21"/>
              </w:rPr>
              <w:t>0</w:t>
            </w:r>
          </w:p>
        </w:tc>
        <w:tc>
          <w:tcPr>
            <w:tcW w:w="851" w:type="dxa"/>
            <w:vMerge w:val="restart"/>
            <w:vAlign w:val="center"/>
          </w:tcPr>
          <w:p w14:paraId="5598C63C">
            <w:pPr>
              <w:widowControl/>
              <w:jc w:val="center"/>
              <w:rPr>
                <w:rFonts w:ascii="Times New Roman" w:hAnsi="Times New Roman" w:cs="Times New Roman" w:eastAsiaTheme="minorEastAsia"/>
                <w:color w:val="auto"/>
                <w:spacing w:val="-20"/>
                <w:kern w:val="0"/>
                <w:szCs w:val="21"/>
              </w:rPr>
            </w:pPr>
            <w:r>
              <w:rPr>
                <w:rFonts w:hint="eastAsia" w:ascii="Times New Roman" w:cs="Times New Roman" w:hAnsiTheme="minorEastAsia" w:eastAsiaTheme="minorEastAsia"/>
                <w:color w:val="auto"/>
                <w:spacing w:val="-20"/>
                <w:szCs w:val="21"/>
              </w:rPr>
              <w:t>阿亚克里格勒迪玛村</w:t>
            </w:r>
          </w:p>
        </w:tc>
        <w:tc>
          <w:tcPr>
            <w:tcW w:w="850" w:type="dxa"/>
            <w:vMerge w:val="continue"/>
            <w:vAlign w:val="center"/>
          </w:tcPr>
          <w:p w14:paraId="4D6AC610">
            <w:pPr>
              <w:widowControl/>
              <w:jc w:val="center"/>
              <w:rPr>
                <w:rFonts w:ascii="Times New Roman" w:hAnsi="Times New Roman" w:cs="Times New Roman" w:eastAsiaTheme="minorEastAsia"/>
                <w:color w:val="auto"/>
                <w:spacing w:val="-20"/>
                <w:kern w:val="0"/>
                <w:szCs w:val="21"/>
              </w:rPr>
            </w:pPr>
          </w:p>
        </w:tc>
        <w:tc>
          <w:tcPr>
            <w:tcW w:w="661" w:type="dxa"/>
            <w:vMerge w:val="restart"/>
            <w:vAlign w:val="center"/>
          </w:tcPr>
          <w:p w14:paraId="724E640D">
            <w:pPr>
              <w:widowControl/>
              <w:jc w:val="center"/>
              <w:rPr>
                <w:rFonts w:ascii="Times New Roman" w:hAnsi="Times New Roman" w:cs="Times New Roman" w:eastAsiaTheme="minorEastAsia"/>
                <w:color w:val="auto"/>
                <w:spacing w:val="-20"/>
                <w:kern w:val="0"/>
                <w:szCs w:val="21"/>
              </w:rPr>
            </w:pPr>
            <w:r>
              <w:rPr>
                <w:rFonts w:ascii="Times New Roman" w:hAnsi="Times New Roman" w:cs="Times New Roman" w:eastAsiaTheme="minorEastAsia"/>
                <w:color w:val="auto"/>
                <w:spacing w:val="-20"/>
                <w:kern w:val="0"/>
                <w:szCs w:val="21"/>
              </w:rPr>
              <w:t>路右</w:t>
            </w:r>
          </w:p>
        </w:tc>
        <w:tc>
          <w:tcPr>
            <w:tcW w:w="662" w:type="dxa"/>
            <w:vMerge w:val="restart"/>
            <w:vAlign w:val="center"/>
          </w:tcPr>
          <w:p w14:paraId="1AD884D3">
            <w:pPr>
              <w:widowControl/>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25</w:t>
            </w:r>
          </w:p>
        </w:tc>
        <w:tc>
          <w:tcPr>
            <w:tcW w:w="662" w:type="dxa"/>
            <w:vMerge w:val="restart"/>
            <w:vAlign w:val="center"/>
          </w:tcPr>
          <w:p w14:paraId="56C9C8CB">
            <w:pPr>
              <w:widowControl/>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13</w:t>
            </w:r>
          </w:p>
        </w:tc>
        <w:tc>
          <w:tcPr>
            <w:tcW w:w="567" w:type="dxa"/>
            <w:vMerge w:val="restart"/>
            <w:vAlign w:val="center"/>
          </w:tcPr>
          <w:p w14:paraId="5797E9C3">
            <w:pPr>
              <w:widowControl/>
              <w:jc w:val="center"/>
              <w:rPr>
                <w:rFonts w:ascii="Times New Roman" w:hAnsi="Times New Roman" w:cs="Times New Roman" w:eastAsiaTheme="minorEastAsia"/>
                <w:color w:val="auto"/>
                <w:spacing w:val="-20"/>
                <w:kern w:val="0"/>
                <w:szCs w:val="21"/>
              </w:rPr>
            </w:pPr>
            <w:r>
              <w:rPr>
                <w:rFonts w:ascii="Times New Roman" w:hAnsi="Times New Roman" w:cs="Times New Roman" w:eastAsiaTheme="minorEastAsia"/>
                <w:color w:val="auto"/>
                <w:spacing w:val="-20"/>
                <w:kern w:val="0"/>
                <w:szCs w:val="21"/>
              </w:rPr>
              <w:t>路右</w:t>
            </w:r>
          </w:p>
        </w:tc>
        <w:tc>
          <w:tcPr>
            <w:tcW w:w="708" w:type="dxa"/>
            <w:vMerge w:val="restart"/>
            <w:vAlign w:val="center"/>
          </w:tcPr>
          <w:p w14:paraId="524D0D78">
            <w:pPr>
              <w:widowControl/>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szCs w:val="21"/>
              </w:rPr>
              <w:t>25</w:t>
            </w:r>
          </w:p>
        </w:tc>
        <w:tc>
          <w:tcPr>
            <w:tcW w:w="709" w:type="dxa"/>
            <w:vMerge w:val="restart"/>
            <w:vAlign w:val="center"/>
          </w:tcPr>
          <w:p w14:paraId="41132B7D">
            <w:pPr>
              <w:widowControl/>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6</w:t>
            </w:r>
          </w:p>
        </w:tc>
        <w:tc>
          <w:tcPr>
            <w:tcW w:w="992" w:type="dxa"/>
            <w:vMerge w:val="restart"/>
            <w:vAlign w:val="center"/>
          </w:tcPr>
          <w:p w14:paraId="71B4213E">
            <w:pPr>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0</w:t>
            </w:r>
          </w:p>
        </w:tc>
        <w:tc>
          <w:tcPr>
            <w:tcW w:w="993" w:type="dxa"/>
            <w:vMerge w:val="restart"/>
            <w:vAlign w:val="center"/>
          </w:tcPr>
          <w:p w14:paraId="6A4FEC9F">
            <w:pPr>
              <w:widowControl/>
              <w:jc w:val="center"/>
              <w:rPr>
                <w:rFonts w:ascii="Times New Roman" w:hAnsi="Times New Roman" w:cs="Times New Roman" w:eastAsiaTheme="minorEastAsia"/>
                <w:color w:val="auto"/>
                <w:spacing w:val="-20"/>
                <w:kern w:val="0"/>
                <w:szCs w:val="21"/>
              </w:rPr>
            </w:pPr>
            <w:r>
              <w:rPr>
                <w:rFonts w:ascii="Times New Roman" w:hAnsi="Times New Roman" w:cs="Times New Roman" w:eastAsiaTheme="minorEastAsia"/>
                <w:color w:val="auto"/>
                <w:spacing w:val="-20"/>
                <w:kern w:val="0"/>
                <w:szCs w:val="21"/>
              </w:rPr>
              <w:t>2.0</w:t>
            </w:r>
          </w:p>
        </w:tc>
        <w:tc>
          <w:tcPr>
            <w:tcW w:w="567" w:type="dxa"/>
            <w:vMerge w:val="restart"/>
            <w:vAlign w:val="center"/>
          </w:tcPr>
          <w:p w14:paraId="7355922C">
            <w:pPr>
              <w:widowControl/>
              <w:jc w:val="center"/>
              <w:rPr>
                <w:rFonts w:ascii="Times New Roman" w:hAnsi="Times New Roman" w:cs="Times New Roman" w:eastAsiaTheme="minorEastAsia"/>
                <w:color w:val="auto"/>
                <w:spacing w:val="-20"/>
                <w:kern w:val="0"/>
                <w:szCs w:val="21"/>
              </w:rPr>
            </w:pPr>
            <w:r>
              <w:rPr>
                <w:rFonts w:ascii="Times New Roman" w:cs="Times New Roman" w:hAnsiTheme="minorEastAsia" w:eastAsiaTheme="minorEastAsia"/>
                <w:color w:val="auto"/>
                <w:spacing w:val="-20"/>
                <w:kern w:val="0"/>
                <w:szCs w:val="21"/>
              </w:rPr>
              <w:t>路基</w:t>
            </w:r>
          </w:p>
        </w:tc>
        <w:tc>
          <w:tcPr>
            <w:tcW w:w="992" w:type="dxa"/>
            <w:vMerge w:val="restart"/>
            <w:vAlign w:val="center"/>
          </w:tcPr>
          <w:p w14:paraId="638F3936">
            <w:pPr>
              <w:widowControl/>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54</w:t>
            </w:r>
          </w:p>
        </w:tc>
        <w:tc>
          <w:tcPr>
            <w:tcW w:w="709" w:type="dxa"/>
            <w:vMerge w:val="restart"/>
            <w:vAlign w:val="center"/>
          </w:tcPr>
          <w:p w14:paraId="0E5D3D47">
            <w:pPr>
              <w:widowControl/>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55</w:t>
            </w:r>
          </w:p>
        </w:tc>
        <w:tc>
          <w:tcPr>
            <w:tcW w:w="708" w:type="dxa"/>
            <w:vMerge w:val="restart"/>
            <w:vAlign w:val="center"/>
          </w:tcPr>
          <w:p w14:paraId="75B7E129">
            <w:pPr>
              <w:widowControl/>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25</w:t>
            </w:r>
          </w:p>
        </w:tc>
        <w:tc>
          <w:tcPr>
            <w:tcW w:w="4394" w:type="dxa"/>
            <w:vMerge w:val="restart"/>
            <w:vAlign w:val="center"/>
          </w:tcPr>
          <w:p w14:paraId="352B87BD">
            <w:pPr>
              <w:widowControl/>
              <w:rPr>
                <w:rFonts w:ascii="Times New Roman" w:hAnsi="Times New Roman" w:cs="Times New Roman" w:eastAsiaTheme="minorEastAsia"/>
                <w:color w:val="auto"/>
                <w:spacing w:val="0"/>
                <w:kern w:val="0"/>
                <w:sz w:val="21"/>
                <w:szCs w:val="21"/>
              </w:rPr>
            </w:pPr>
            <w:r>
              <w:rPr>
                <w:rFonts w:ascii="Times New Roman" w:cs="Times New Roman" w:hAnsiTheme="minorEastAsia" w:eastAsiaTheme="minorEastAsia"/>
                <w:color w:val="auto"/>
                <w:spacing w:val="0"/>
                <w:kern w:val="0"/>
                <w:sz w:val="21"/>
                <w:szCs w:val="21"/>
              </w:rPr>
              <w:t>路线以填方路基形式经过村庄。评价范围内现有居民</w:t>
            </w:r>
            <w:r>
              <w:rPr>
                <w:rFonts w:hint="eastAsia" w:ascii="Times New Roman" w:hAnsi="Times New Roman" w:cs="Times New Roman" w:eastAsiaTheme="minorEastAsia"/>
                <w:color w:val="auto"/>
                <w:spacing w:val="0"/>
                <w:kern w:val="0"/>
                <w:sz w:val="21"/>
                <w:szCs w:val="21"/>
              </w:rPr>
              <w:t>80</w:t>
            </w:r>
            <w:r>
              <w:rPr>
                <w:rFonts w:ascii="Times New Roman" w:cs="Times New Roman" w:hAnsiTheme="minorEastAsia" w:eastAsiaTheme="minorEastAsia"/>
                <w:color w:val="auto"/>
                <w:spacing w:val="0"/>
                <w:kern w:val="0"/>
                <w:sz w:val="21"/>
                <w:szCs w:val="21"/>
              </w:rPr>
              <w:t>户，首排</w:t>
            </w:r>
            <w:r>
              <w:rPr>
                <w:rFonts w:hint="eastAsia" w:ascii="Times New Roman" w:hAnsi="Times New Roman" w:cs="Times New Roman" w:eastAsiaTheme="minorEastAsia"/>
                <w:color w:val="auto"/>
                <w:spacing w:val="0"/>
                <w:kern w:val="0"/>
                <w:sz w:val="21"/>
                <w:szCs w:val="21"/>
              </w:rPr>
              <w:t>45</w:t>
            </w:r>
            <w:r>
              <w:rPr>
                <w:rFonts w:ascii="Times New Roman" w:cs="Times New Roman" w:hAnsiTheme="minorEastAsia" w:eastAsiaTheme="minorEastAsia"/>
                <w:color w:val="auto"/>
                <w:spacing w:val="0"/>
                <w:kern w:val="0"/>
                <w:sz w:val="21"/>
                <w:szCs w:val="21"/>
              </w:rPr>
              <w:t>户，</w:t>
            </w:r>
            <w:r>
              <w:rPr>
                <w:rFonts w:hint="eastAsia" w:ascii="Times New Roman" w:cs="Times New Roman" w:hAnsiTheme="minorEastAsia" w:eastAsiaTheme="minorEastAsia"/>
                <w:color w:val="auto"/>
                <w:spacing w:val="0"/>
                <w:kern w:val="0"/>
                <w:sz w:val="21"/>
                <w:szCs w:val="21"/>
              </w:rPr>
              <w:t>主要</w:t>
            </w:r>
            <w:r>
              <w:rPr>
                <w:rFonts w:ascii="Times New Roman" w:cs="Times New Roman" w:hAnsiTheme="minorEastAsia" w:eastAsiaTheme="minorEastAsia"/>
                <w:color w:val="auto"/>
                <w:spacing w:val="0"/>
                <w:kern w:val="0"/>
                <w:sz w:val="21"/>
                <w:szCs w:val="21"/>
              </w:rPr>
              <w:t>为</w:t>
            </w:r>
            <w:r>
              <w:rPr>
                <w:rFonts w:ascii="Times New Roman" w:hAnsi="Times New Roman" w:cs="Times New Roman" w:eastAsiaTheme="minorEastAsia"/>
                <w:color w:val="auto"/>
                <w:spacing w:val="0"/>
                <w:kern w:val="0"/>
                <w:sz w:val="21"/>
                <w:szCs w:val="21"/>
              </w:rPr>
              <w:t>1</w:t>
            </w:r>
            <w:r>
              <w:rPr>
                <w:rFonts w:ascii="Times New Roman" w:cs="Times New Roman" w:hAnsiTheme="minorEastAsia" w:eastAsiaTheme="minorEastAsia"/>
                <w:color w:val="auto"/>
                <w:spacing w:val="0"/>
                <w:kern w:val="0"/>
                <w:sz w:val="21"/>
                <w:szCs w:val="21"/>
              </w:rPr>
              <w:t>层砖混房，房屋正向拟建公路。</w:t>
            </w:r>
            <w:r>
              <w:rPr>
                <w:rFonts w:ascii="Times New Roman" w:hAnsi="Times New Roman" w:eastAsia="宋体" w:cs="Times New Roman"/>
                <w:color w:val="auto"/>
                <w:spacing w:val="0"/>
                <w:kern w:val="0"/>
                <w:sz w:val="21"/>
                <w:szCs w:val="21"/>
              </w:rPr>
              <w:t>该路段利用现有</w:t>
            </w:r>
            <w:r>
              <w:rPr>
                <w:rFonts w:hint="eastAsia" w:ascii="Times New Roman" w:hAnsi="Times New Roman" w:eastAsia="宋体" w:cs="Times New Roman"/>
                <w:color w:val="auto"/>
                <w:spacing w:val="0"/>
                <w:kern w:val="0"/>
                <w:sz w:val="21"/>
                <w:szCs w:val="21"/>
              </w:rPr>
              <w:t>老路双侧加宽</w:t>
            </w:r>
            <w:r>
              <w:rPr>
                <w:rFonts w:ascii="Times New Roman" w:hAnsi="Times New Roman" w:eastAsia="宋体" w:cs="Times New Roman"/>
                <w:color w:val="auto"/>
                <w:spacing w:val="0"/>
                <w:kern w:val="0"/>
                <w:sz w:val="21"/>
                <w:szCs w:val="21"/>
              </w:rPr>
              <w:t>，有平交</w:t>
            </w:r>
            <w:r>
              <w:rPr>
                <w:rFonts w:hint="eastAsia" w:ascii="Times New Roman" w:hAnsi="Times New Roman" w:eastAsia="宋体" w:cs="Times New Roman"/>
                <w:color w:val="auto"/>
                <w:spacing w:val="0"/>
                <w:kern w:val="0"/>
                <w:sz w:val="21"/>
                <w:szCs w:val="21"/>
              </w:rPr>
              <w:t>路口</w:t>
            </w:r>
            <w:r>
              <w:rPr>
                <w:rFonts w:ascii="Times New Roman" w:hAnsi="Times New Roman" w:eastAsia="宋体" w:cs="Times New Roman"/>
                <w:color w:val="auto"/>
                <w:spacing w:val="0"/>
                <w:kern w:val="0"/>
                <w:sz w:val="21"/>
                <w:szCs w:val="21"/>
              </w:rPr>
              <w:t>，</w:t>
            </w:r>
            <w:r>
              <w:rPr>
                <w:rFonts w:ascii="Times New Roman" w:cs="Times New Roman" w:hAnsiTheme="minorEastAsia" w:eastAsiaTheme="minorEastAsia"/>
                <w:color w:val="auto"/>
                <w:spacing w:val="0"/>
                <w:kern w:val="0"/>
                <w:sz w:val="21"/>
                <w:szCs w:val="21"/>
              </w:rPr>
              <w:t>主要噪声源为现有</w:t>
            </w:r>
            <w:r>
              <w:rPr>
                <w:rFonts w:hint="eastAsia" w:ascii="Times New Roman" w:hAnsi="Times New Roman" w:cs="Times New Roman" w:eastAsiaTheme="minorEastAsia"/>
                <w:color w:val="auto"/>
                <w:spacing w:val="0"/>
                <w:kern w:val="0"/>
                <w:sz w:val="21"/>
                <w:szCs w:val="21"/>
              </w:rPr>
              <w:t>G219</w:t>
            </w:r>
            <w:r>
              <w:rPr>
                <w:rFonts w:ascii="Times New Roman" w:cs="Times New Roman" w:hAnsiTheme="minorEastAsia" w:eastAsiaTheme="minorEastAsia"/>
                <w:color w:val="auto"/>
                <w:spacing w:val="0"/>
                <w:kern w:val="0"/>
                <w:sz w:val="21"/>
                <w:szCs w:val="21"/>
              </w:rPr>
              <w:t>交通噪声和社会生活噪声。</w:t>
            </w:r>
          </w:p>
        </w:tc>
        <w:tc>
          <w:tcPr>
            <w:tcW w:w="2898" w:type="dxa"/>
            <w:vMerge w:val="restart"/>
            <w:vAlign w:val="center"/>
          </w:tcPr>
          <w:p w14:paraId="2AA1EA4F">
            <w:pPr>
              <w:widowControl/>
              <w:adjustRightInd w:val="0"/>
              <w:snapToGrid w:val="0"/>
              <w:jc w:val="center"/>
              <w:rPr>
                <w:rFonts w:ascii="Times New Roman" w:hAnsi="Times New Roman" w:cs="Times New Roman" w:eastAsiaTheme="minorEastAsia"/>
                <w:snapToGrid w:val="0"/>
                <w:color w:val="auto"/>
                <w:spacing w:val="-20"/>
                <w:kern w:val="0"/>
                <w:szCs w:val="21"/>
              </w:rPr>
            </w:pPr>
            <w:r>
              <w:rPr>
                <w:rFonts w:ascii="Times New Roman" w:hAnsi="Times New Roman" w:cs="Times New Roman" w:eastAsiaTheme="minorEastAsia"/>
                <w:color w:val="auto"/>
                <w:spacing w:val="-20"/>
                <w:kern w:val="0"/>
                <w:szCs w:val="21"/>
              </w:rPr>
              <w:drawing>
                <wp:inline distT="0" distB="0" distL="0" distR="0">
                  <wp:extent cx="1729105" cy="1295400"/>
                  <wp:effectExtent l="0" t="0" r="4445" b="0"/>
                  <wp:docPr id="675940253" name="图片 9" descr="E:\咨询项目\环评\新疆-G219线八盘水磨至伽师公路\外业踏勘记录及照片\DSC09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940253" name="图片 9" descr="E:\咨询项目\环评\新疆-G219线八盘水磨至伽师公路\外业踏勘记录及照片\DSC09040.JPG"/>
                          <pic:cNvPicPr>
                            <a:picLocks noChangeAspect="1" noChangeArrowheads="1"/>
                          </pic:cNvPicPr>
                        </pic:nvPicPr>
                        <pic:blipFill>
                          <a:blip r:embed="rId164" cstate="print"/>
                          <a:srcRect/>
                          <a:stretch>
                            <a:fillRect/>
                          </a:stretch>
                        </pic:blipFill>
                        <pic:spPr>
                          <a:xfrm>
                            <a:off x="0" y="0"/>
                            <a:ext cx="1729728" cy="1296000"/>
                          </a:xfrm>
                          <a:prstGeom prst="rect">
                            <a:avLst/>
                          </a:prstGeom>
                          <a:noFill/>
                          <a:ln w="9525">
                            <a:noFill/>
                            <a:miter lim="800000"/>
                            <a:headEnd/>
                            <a:tailEnd/>
                          </a:ln>
                        </pic:spPr>
                      </pic:pic>
                    </a:graphicData>
                  </a:graphic>
                </wp:inline>
              </w:drawing>
            </w:r>
          </w:p>
        </w:tc>
      </w:tr>
      <w:tr w14:paraId="4CBC671D">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706" w:hRule="atLeast"/>
          <w:tblHeader/>
          <w:jc w:val="center"/>
        </w:trPr>
        <w:tc>
          <w:tcPr>
            <w:tcW w:w="568" w:type="dxa"/>
            <w:vMerge w:val="continue"/>
            <w:noWrap/>
            <w:vAlign w:val="center"/>
          </w:tcPr>
          <w:p w14:paraId="5E242A76">
            <w:pPr>
              <w:widowControl/>
              <w:jc w:val="center"/>
              <w:rPr>
                <w:rFonts w:ascii="Times New Roman" w:hAnsi="Times New Roman" w:cs="Times New Roman" w:eastAsiaTheme="minorEastAsia"/>
                <w:color w:val="auto"/>
                <w:spacing w:val="-20"/>
                <w:kern w:val="0"/>
                <w:szCs w:val="21"/>
              </w:rPr>
            </w:pPr>
          </w:p>
        </w:tc>
        <w:tc>
          <w:tcPr>
            <w:tcW w:w="694" w:type="dxa"/>
            <w:vMerge w:val="continue"/>
            <w:vAlign w:val="center"/>
          </w:tcPr>
          <w:p w14:paraId="671EB080">
            <w:pPr>
              <w:jc w:val="center"/>
              <w:rPr>
                <w:rFonts w:ascii="Times New Roman" w:hAnsi="Times New Roman" w:cs="Times New Roman" w:eastAsiaTheme="minorEastAsia"/>
                <w:color w:val="auto"/>
                <w:spacing w:val="-20"/>
                <w:kern w:val="0"/>
                <w:szCs w:val="21"/>
              </w:rPr>
            </w:pPr>
          </w:p>
        </w:tc>
        <w:tc>
          <w:tcPr>
            <w:tcW w:w="1134" w:type="dxa"/>
            <w:vAlign w:val="center"/>
          </w:tcPr>
          <w:p w14:paraId="29003E53">
            <w:pPr>
              <w:widowControl/>
              <w:jc w:val="center"/>
              <w:rPr>
                <w:rFonts w:ascii="Times New Roman" w:hAnsi="Times New Roman" w:cs="Times New Roman" w:eastAsiaTheme="minorEastAsia"/>
                <w:color w:val="auto"/>
                <w:spacing w:val="-20"/>
                <w:szCs w:val="21"/>
              </w:rPr>
            </w:pPr>
            <w:r>
              <w:rPr>
                <w:rFonts w:ascii="Times New Roman" w:hAnsi="Times New Roman" w:cs="Times New Roman" w:eastAsiaTheme="minorEastAsia"/>
                <w:color w:val="auto"/>
                <w:spacing w:val="-20"/>
                <w:szCs w:val="21"/>
              </w:rPr>
              <w:t>K</w:t>
            </w:r>
            <w:r>
              <w:rPr>
                <w:rFonts w:hint="eastAsia" w:ascii="Times New Roman" w:hAnsi="Times New Roman" w:cs="Times New Roman" w:eastAsiaTheme="minorEastAsia"/>
                <w:color w:val="auto"/>
                <w:spacing w:val="-20"/>
                <w:szCs w:val="21"/>
              </w:rPr>
              <w:t>24</w:t>
            </w:r>
            <w:r>
              <w:rPr>
                <w:rFonts w:ascii="Times New Roman" w:hAnsi="Times New Roman" w:cs="Times New Roman" w:eastAsiaTheme="minorEastAsia"/>
                <w:color w:val="auto"/>
                <w:spacing w:val="-20"/>
                <w:szCs w:val="21"/>
              </w:rPr>
              <w:t>+</w:t>
            </w:r>
            <w:r>
              <w:rPr>
                <w:rFonts w:hint="eastAsia" w:ascii="Times New Roman" w:hAnsi="Times New Roman" w:cs="Times New Roman" w:eastAsiaTheme="minorEastAsia"/>
                <w:color w:val="auto"/>
                <w:spacing w:val="-20"/>
                <w:szCs w:val="21"/>
              </w:rPr>
              <w:t>50</w:t>
            </w:r>
            <w:r>
              <w:rPr>
                <w:rFonts w:ascii="Times New Roman" w:hAnsi="Times New Roman" w:cs="Times New Roman" w:eastAsiaTheme="minorEastAsia"/>
                <w:color w:val="auto"/>
                <w:spacing w:val="-20"/>
                <w:szCs w:val="21"/>
              </w:rPr>
              <w:t>0</w:t>
            </w:r>
            <w:r>
              <w:rPr>
                <w:rFonts w:ascii="Times New Roman" w:cs="Times New Roman" w:hAnsiTheme="minorEastAsia" w:eastAsiaTheme="minorEastAsia"/>
                <w:color w:val="auto"/>
                <w:spacing w:val="-20"/>
                <w:szCs w:val="21"/>
              </w:rPr>
              <w:t>～</w:t>
            </w:r>
            <w:r>
              <w:rPr>
                <w:rFonts w:ascii="Times New Roman" w:hAnsi="Times New Roman" w:cs="Times New Roman" w:eastAsiaTheme="minorEastAsia"/>
                <w:color w:val="auto"/>
                <w:spacing w:val="-20"/>
                <w:szCs w:val="21"/>
              </w:rPr>
              <w:t>K</w:t>
            </w:r>
            <w:r>
              <w:rPr>
                <w:rFonts w:hint="eastAsia" w:ascii="Times New Roman" w:hAnsi="Times New Roman" w:cs="Times New Roman" w:eastAsiaTheme="minorEastAsia"/>
                <w:color w:val="auto"/>
                <w:spacing w:val="-20"/>
                <w:szCs w:val="21"/>
              </w:rPr>
              <w:t>25</w:t>
            </w:r>
            <w:r>
              <w:rPr>
                <w:rFonts w:ascii="Times New Roman" w:hAnsi="Times New Roman" w:cs="Times New Roman" w:eastAsiaTheme="minorEastAsia"/>
                <w:color w:val="auto"/>
                <w:spacing w:val="-20"/>
                <w:szCs w:val="21"/>
              </w:rPr>
              <w:t>+</w:t>
            </w:r>
            <w:r>
              <w:rPr>
                <w:rFonts w:hint="eastAsia" w:ascii="Times New Roman" w:hAnsi="Times New Roman" w:cs="Times New Roman" w:eastAsiaTheme="minorEastAsia"/>
                <w:color w:val="auto"/>
                <w:spacing w:val="-20"/>
                <w:szCs w:val="21"/>
              </w:rPr>
              <w:t>10</w:t>
            </w:r>
            <w:r>
              <w:rPr>
                <w:rFonts w:ascii="Times New Roman" w:hAnsi="Times New Roman" w:cs="Times New Roman" w:eastAsiaTheme="minorEastAsia"/>
                <w:color w:val="auto"/>
                <w:spacing w:val="-20"/>
                <w:szCs w:val="21"/>
              </w:rPr>
              <w:t>0</w:t>
            </w:r>
          </w:p>
        </w:tc>
        <w:tc>
          <w:tcPr>
            <w:tcW w:w="851" w:type="dxa"/>
            <w:vMerge w:val="continue"/>
            <w:vAlign w:val="center"/>
          </w:tcPr>
          <w:p w14:paraId="22A40142">
            <w:pPr>
              <w:widowControl/>
              <w:jc w:val="center"/>
              <w:rPr>
                <w:rFonts w:ascii="Times New Roman" w:cs="Times New Roman" w:hAnsiTheme="minorEastAsia" w:eastAsiaTheme="minorEastAsia"/>
                <w:color w:val="auto"/>
                <w:spacing w:val="-20"/>
                <w:szCs w:val="21"/>
              </w:rPr>
            </w:pPr>
          </w:p>
        </w:tc>
        <w:tc>
          <w:tcPr>
            <w:tcW w:w="850" w:type="dxa"/>
            <w:vMerge w:val="continue"/>
            <w:vAlign w:val="center"/>
          </w:tcPr>
          <w:p w14:paraId="5D8D8C06">
            <w:pPr>
              <w:widowControl/>
              <w:jc w:val="center"/>
              <w:rPr>
                <w:rFonts w:ascii="Times New Roman" w:hAnsi="Times New Roman" w:cs="Times New Roman" w:eastAsiaTheme="minorEastAsia"/>
                <w:color w:val="auto"/>
                <w:spacing w:val="-20"/>
                <w:kern w:val="0"/>
                <w:szCs w:val="21"/>
              </w:rPr>
            </w:pPr>
          </w:p>
        </w:tc>
        <w:tc>
          <w:tcPr>
            <w:tcW w:w="661" w:type="dxa"/>
            <w:vMerge w:val="continue"/>
            <w:vAlign w:val="center"/>
          </w:tcPr>
          <w:p w14:paraId="53E8050C">
            <w:pPr>
              <w:widowControl/>
              <w:jc w:val="center"/>
              <w:rPr>
                <w:rFonts w:ascii="Times New Roman" w:cs="Times New Roman" w:hAnsiTheme="minorEastAsia" w:eastAsiaTheme="minorEastAsia"/>
                <w:color w:val="auto"/>
                <w:spacing w:val="-20"/>
                <w:szCs w:val="21"/>
              </w:rPr>
            </w:pPr>
          </w:p>
        </w:tc>
        <w:tc>
          <w:tcPr>
            <w:tcW w:w="662" w:type="dxa"/>
            <w:vMerge w:val="continue"/>
            <w:vAlign w:val="center"/>
          </w:tcPr>
          <w:p w14:paraId="23AB95C8">
            <w:pPr>
              <w:widowControl/>
              <w:jc w:val="center"/>
              <w:rPr>
                <w:rFonts w:ascii="Times New Roman" w:cs="Times New Roman" w:hAnsiTheme="minorEastAsia" w:eastAsiaTheme="minorEastAsia"/>
                <w:color w:val="auto"/>
                <w:spacing w:val="-20"/>
                <w:szCs w:val="21"/>
              </w:rPr>
            </w:pPr>
          </w:p>
        </w:tc>
        <w:tc>
          <w:tcPr>
            <w:tcW w:w="662" w:type="dxa"/>
            <w:vMerge w:val="continue"/>
            <w:vAlign w:val="center"/>
          </w:tcPr>
          <w:p w14:paraId="166E0BC2">
            <w:pPr>
              <w:widowControl/>
              <w:jc w:val="center"/>
              <w:rPr>
                <w:rFonts w:ascii="Times New Roman" w:cs="Times New Roman" w:hAnsiTheme="minorEastAsia" w:eastAsiaTheme="minorEastAsia"/>
                <w:color w:val="auto"/>
                <w:spacing w:val="-20"/>
                <w:szCs w:val="21"/>
              </w:rPr>
            </w:pPr>
          </w:p>
        </w:tc>
        <w:tc>
          <w:tcPr>
            <w:tcW w:w="567" w:type="dxa"/>
            <w:vMerge w:val="continue"/>
            <w:vAlign w:val="center"/>
          </w:tcPr>
          <w:p w14:paraId="0A991392">
            <w:pPr>
              <w:widowControl/>
              <w:jc w:val="center"/>
              <w:rPr>
                <w:rFonts w:ascii="Times New Roman" w:cs="Times New Roman" w:hAnsiTheme="minorEastAsia" w:eastAsiaTheme="minorEastAsia"/>
                <w:color w:val="auto"/>
                <w:spacing w:val="-20"/>
                <w:szCs w:val="21"/>
              </w:rPr>
            </w:pPr>
          </w:p>
        </w:tc>
        <w:tc>
          <w:tcPr>
            <w:tcW w:w="708" w:type="dxa"/>
            <w:vMerge w:val="continue"/>
            <w:vAlign w:val="center"/>
          </w:tcPr>
          <w:p w14:paraId="63725E33">
            <w:pPr>
              <w:widowControl/>
              <w:jc w:val="center"/>
              <w:rPr>
                <w:rFonts w:ascii="Times New Roman" w:hAnsi="Times New Roman" w:cs="Times New Roman" w:eastAsiaTheme="minorEastAsia"/>
                <w:color w:val="auto"/>
                <w:spacing w:val="-20"/>
                <w:szCs w:val="21"/>
              </w:rPr>
            </w:pPr>
          </w:p>
        </w:tc>
        <w:tc>
          <w:tcPr>
            <w:tcW w:w="709" w:type="dxa"/>
            <w:vMerge w:val="continue"/>
            <w:vAlign w:val="center"/>
          </w:tcPr>
          <w:p w14:paraId="2D953655">
            <w:pPr>
              <w:widowControl/>
              <w:jc w:val="center"/>
              <w:rPr>
                <w:rFonts w:ascii="Times New Roman" w:hAnsi="Times New Roman" w:cs="Times New Roman" w:eastAsiaTheme="minorEastAsia"/>
                <w:color w:val="auto"/>
                <w:spacing w:val="-20"/>
                <w:kern w:val="0"/>
                <w:szCs w:val="21"/>
              </w:rPr>
            </w:pPr>
          </w:p>
        </w:tc>
        <w:tc>
          <w:tcPr>
            <w:tcW w:w="992" w:type="dxa"/>
            <w:vMerge w:val="continue"/>
            <w:vAlign w:val="center"/>
          </w:tcPr>
          <w:p w14:paraId="334D4938">
            <w:pPr>
              <w:jc w:val="center"/>
              <w:rPr>
                <w:rFonts w:ascii="Times New Roman" w:hAnsi="Times New Roman" w:cs="Times New Roman" w:eastAsiaTheme="minorEastAsia"/>
                <w:color w:val="auto"/>
                <w:spacing w:val="-20"/>
                <w:kern w:val="0"/>
                <w:szCs w:val="21"/>
              </w:rPr>
            </w:pPr>
          </w:p>
        </w:tc>
        <w:tc>
          <w:tcPr>
            <w:tcW w:w="993" w:type="dxa"/>
            <w:vMerge w:val="continue"/>
            <w:vAlign w:val="center"/>
          </w:tcPr>
          <w:p w14:paraId="7FE3FE8B">
            <w:pPr>
              <w:widowControl/>
              <w:jc w:val="center"/>
              <w:rPr>
                <w:rFonts w:ascii="Times New Roman" w:hAnsi="Times New Roman" w:cs="Times New Roman" w:eastAsiaTheme="minorEastAsia"/>
                <w:color w:val="auto"/>
                <w:spacing w:val="-20"/>
                <w:kern w:val="0"/>
                <w:szCs w:val="21"/>
              </w:rPr>
            </w:pPr>
          </w:p>
        </w:tc>
        <w:tc>
          <w:tcPr>
            <w:tcW w:w="567" w:type="dxa"/>
            <w:vMerge w:val="continue"/>
            <w:vAlign w:val="center"/>
          </w:tcPr>
          <w:p w14:paraId="7D68299C">
            <w:pPr>
              <w:widowControl/>
              <w:jc w:val="center"/>
              <w:rPr>
                <w:rFonts w:ascii="Times New Roman" w:cs="Times New Roman" w:hAnsiTheme="minorEastAsia" w:eastAsiaTheme="minorEastAsia"/>
                <w:color w:val="auto"/>
                <w:spacing w:val="-20"/>
                <w:kern w:val="0"/>
                <w:szCs w:val="21"/>
              </w:rPr>
            </w:pPr>
          </w:p>
        </w:tc>
        <w:tc>
          <w:tcPr>
            <w:tcW w:w="992" w:type="dxa"/>
            <w:vMerge w:val="continue"/>
            <w:vAlign w:val="center"/>
          </w:tcPr>
          <w:p w14:paraId="26C35F5B">
            <w:pPr>
              <w:widowControl/>
              <w:jc w:val="center"/>
              <w:rPr>
                <w:rFonts w:ascii="Times New Roman" w:hAnsi="Times New Roman" w:cs="Times New Roman" w:eastAsiaTheme="minorEastAsia"/>
                <w:color w:val="auto"/>
                <w:spacing w:val="-20"/>
                <w:kern w:val="0"/>
                <w:szCs w:val="21"/>
              </w:rPr>
            </w:pPr>
          </w:p>
        </w:tc>
        <w:tc>
          <w:tcPr>
            <w:tcW w:w="709" w:type="dxa"/>
            <w:vMerge w:val="continue"/>
            <w:vAlign w:val="center"/>
          </w:tcPr>
          <w:p w14:paraId="4F3D95CE">
            <w:pPr>
              <w:widowControl/>
              <w:jc w:val="center"/>
              <w:rPr>
                <w:rFonts w:ascii="Times New Roman" w:hAnsi="Times New Roman" w:cs="Times New Roman" w:eastAsiaTheme="minorEastAsia"/>
                <w:color w:val="auto"/>
                <w:spacing w:val="-20"/>
                <w:kern w:val="0"/>
                <w:szCs w:val="21"/>
              </w:rPr>
            </w:pPr>
          </w:p>
        </w:tc>
        <w:tc>
          <w:tcPr>
            <w:tcW w:w="708" w:type="dxa"/>
            <w:vMerge w:val="continue"/>
            <w:vAlign w:val="center"/>
          </w:tcPr>
          <w:p w14:paraId="0C2026B4">
            <w:pPr>
              <w:widowControl/>
              <w:jc w:val="center"/>
              <w:rPr>
                <w:rFonts w:ascii="Times New Roman" w:hAnsi="Times New Roman" w:cs="Times New Roman" w:eastAsiaTheme="minorEastAsia"/>
                <w:color w:val="auto"/>
                <w:spacing w:val="-20"/>
                <w:kern w:val="0"/>
                <w:szCs w:val="21"/>
              </w:rPr>
            </w:pPr>
          </w:p>
        </w:tc>
        <w:tc>
          <w:tcPr>
            <w:tcW w:w="4394" w:type="dxa"/>
            <w:vMerge w:val="continue"/>
            <w:vAlign w:val="center"/>
          </w:tcPr>
          <w:p w14:paraId="2F78B4D6">
            <w:pPr>
              <w:widowControl/>
              <w:rPr>
                <w:rFonts w:ascii="Times New Roman" w:cs="Times New Roman" w:hAnsiTheme="minorEastAsia" w:eastAsiaTheme="minorEastAsia"/>
                <w:color w:val="auto"/>
                <w:spacing w:val="-20"/>
                <w:kern w:val="0"/>
                <w:szCs w:val="21"/>
              </w:rPr>
            </w:pPr>
          </w:p>
        </w:tc>
        <w:tc>
          <w:tcPr>
            <w:tcW w:w="2898" w:type="dxa"/>
            <w:vMerge w:val="continue"/>
            <w:vAlign w:val="center"/>
          </w:tcPr>
          <w:p w14:paraId="7E245002">
            <w:pPr>
              <w:widowControl/>
              <w:adjustRightInd w:val="0"/>
              <w:snapToGrid w:val="0"/>
              <w:jc w:val="center"/>
              <w:rPr>
                <w:rFonts w:ascii="Times New Roman" w:hAnsi="Times New Roman" w:cs="Times New Roman" w:eastAsiaTheme="minorEastAsia"/>
                <w:snapToGrid w:val="0"/>
                <w:color w:val="auto"/>
                <w:spacing w:val="-20"/>
                <w:kern w:val="0"/>
                <w:szCs w:val="21"/>
              </w:rPr>
            </w:pPr>
          </w:p>
        </w:tc>
      </w:tr>
      <w:tr w14:paraId="4867956B">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560" w:hRule="atLeast"/>
          <w:tblHeader/>
          <w:jc w:val="center"/>
        </w:trPr>
        <w:tc>
          <w:tcPr>
            <w:tcW w:w="568" w:type="dxa"/>
            <w:vMerge w:val="continue"/>
            <w:noWrap/>
            <w:vAlign w:val="center"/>
          </w:tcPr>
          <w:p w14:paraId="5C97C3A7">
            <w:pPr>
              <w:widowControl/>
              <w:jc w:val="center"/>
              <w:rPr>
                <w:rFonts w:ascii="Times New Roman" w:hAnsi="Times New Roman" w:cs="Times New Roman" w:eastAsiaTheme="minorEastAsia"/>
                <w:color w:val="auto"/>
                <w:spacing w:val="-20"/>
                <w:kern w:val="0"/>
                <w:szCs w:val="21"/>
              </w:rPr>
            </w:pPr>
          </w:p>
        </w:tc>
        <w:tc>
          <w:tcPr>
            <w:tcW w:w="694" w:type="dxa"/>
            <w:vMerge w:val="continue"/>
            <w:vAlign w:val="center"/>
          </w:tcPr>
          <w:p w14:paraId="51C7E8EB">
            <w:pPr>
              <w:jc w:val="center"/>
              <w:rPr>
                <w:rFonts w:ascii="Times New Roman" w:hAnsi="Times New Roman" w:cs="Times New Roman" w:eastAsiaTheme="minorEastAsia"/>
                <w:color w:val="auto"/>
                <w:spacing w:val="-20"/>
                <w:kern w:val="0"/>
                <w:szCs w:val="21"/>
              </w:rPr>
            </w:pPr>
          </w:p>
        </w:tc>
        <w:tc>
          <w:tcPr>
            <w:tcW w:w="1134" w:type="dxa"/>
            <w:vAlign w:val="center"/>
          </w:tcPr>
          <w:p w14:paraId="064D2427">
            <w:pPr>
              <w:widowControl/>
              <w:jc w:val="center"/>
              <w:rPr>
                <w:rFonts w:ascii="Times New Roman" w:hAnsi="Times New Roman" w:cs="Times New Roman" w:eastAsiaTheme="minorEastAsia"/>
                <w:color w:val="auto"/>
                <w:spacing w:val="-20"/>
                <w:szCs w:val="21"/>
              </w:rPr>
            </w:pPr>
            <w:r>
              <w:rPr>
                <w:rFonts w:ascii="Times New Roman" w:hAnsi="Times New Roman" w:cs="Times New Roman" w:eastAsiaTheme="minorEastAsia"/>
                <w:color w:val="auto"/>
                <w:spacing w:val="-20"/>
                <w:szCs w:val="21"/>
              </w:rPr>
              <w:t>K</w:t>
            </w:r>
            <w:r>
              <w:rPr>
                <w:rFonts w:hint="eastAsia" w:ascii="Times New Roman" w:hAnsi="Times New Roman" w:cs="Times New Roman" w:eastAsiaTheme="minorEastAsia"/>
                <w:color w:val="auto"/>
                <w:spacing w:val="-20"/>
                <w:szCs w:val="21"/>
              </w:rPr>
              <w:t>23</w:t>
            </w:r>
            <w:r>
              <w:rPr>
                <w:rFonts w:ascii="Times New Roman" w:hAnsi="Times New Roman" w:cs="Times New Roman" w:eastAsiaTheme="minorEastAsia"/>
                <w:color w:val="auto"/>
                <w:spacing w:val="-20"/>
                <w:szCs w:val="21"/>
              </w:rPr>
              <w:t>+</w:t>
            </w:r>
            <w:r>
              <w:rPr>
                <w:rFonts w:hint="eastAsia" w:ascii="Times New Roman" w:hAnsi="Times New Roman" w:cs="Times New Roman" w:eastAsiaTheme="minorEastAsia"/>
                <w:color w:val="auto"/>
                <w:spacing w:val="-20"/>
                <w:szCs w:val="21"/>
              </w:rPr>
              <w:t>50</w:t>
            </w:r>
            <w:r>
              <w:rPr>
                <w:rFonts w:ascii="Times New Roman" w:hAnsi="Times New Roman" w:cs="Times New Roman" w:eastAsiaTheme="minorEastAsia"/>
                <w:color w:val="auto"/>
                <w:spacing w:val="-20"/>
                <w:szCs w:val="21"/>
              </w:rPr>
              <w:t>0</w:t>
            </w:r>
            <w:r>
              <w:rPr>
                <w:rFonts w:ascii="Times New Roman" w:cs="Times New Roman" w:hAnsiTheme="minorEastAsia" w:eastAsiaTheme="minorEastAsia"/>
                <w:color w:val="auto"/>
                <w:spacing w:val="-20"/>
                <w:szCs w:val="21"/>
              </w:rPr>
              <w:t>～</w:t>
            </w:r>
            <w:r>
              <w:rPr>
                <w:rFonts w:ascii="Times New Roman" w:hAnsi="Times New Roman" w:cs="Times New Roman" w:eastAsiaTheme="minorEastAsia"/>
                <w:color w:val="auto"/>
                <w:spacing w:val="-20"/>
                <w:szCs w:val="21"/>
              </w:rPr>
              <w:t>K</w:t>
            </w:r>
            <w:r>
              <w:rPr>
                <w:rFonts w:hint="eastAsia" w:ascii="Times New Roman" w:hAnsi="Times New Roman" w:cs="Times New Roman" w:eastAsiaTheme="minorEastAsia"/>
                <w:color w:val="auto"/>
                <w:spacing w:val="-20"/>
                <w:szCs w:val="21"/>
              </w:rPr>
              <w:t>24</w:t>
            </w:r>
            <w:r>
              <w:rPr>
                <w:rFonts w:ascii="Times New Roman" w:hAnsi="Times New Roman" w:cs="Times New Roman" w:eastAsiaTheme="minorEastAsia"/>
                <w:color w:val="auto"/>
                <w:spacing w:val="-20"/>
                <w:szCs w:val="21"/>
              </w:rPr>
              <w:t>+</w:t>
            </w:r>
            <w:r>
              <w:rPr>
                <w:rFonts w:hint="eastAsia" w:ascii="Times New Roman" w:hAnsi="Times New Roman" w:cs="Times New Roman" w:eastAsiaTheme="minorEastAsia"/>
                <w:color w:val="auto"/>
                <w:spacing w:val="-20"/>
                <w:szCs w:val="21"/>
              </w:rPr>
              <w:t>85</w:t>
            </w:r>
            <w:r>
              <w:rPr>
                <w:rFonts w:ascii="Times New Roman" w:hAnsi="Times New Roman" w:cs="Times New Roman" w:eastAsiaTheme="minorEastAsia"/>
                <w:color w:val="auto"/>
                <w:spacing w:val="-20"/>
                <w:szCs w:val="21"/>
              </w:rPr>
              <w:t>0</w:t>
            </w:r>
          </w:p>
        </w:tc>
        <w:tc>
          <w:tcPr>
            <w:tcW w:w="851" w:type="dxa"/>
            <w:vMerge w:val="continue"/>
            <w:vAlign w:val="center"/>
          </w:tcPr>
          <w:p w14:paraId="409180E6">
            <w:pPr>
              <w:widowControl/>
              <w:jc w:val="center"/>
              <w:rPr>
                <w:rFonts w:ascii="Times New Roman" w:cs="Times New Roman" w:hAnsiTheme="minorEastAsia" w:eastAsiaTheme="minorEastAsia"/>
                <w:color w:val="auto"/>
                <w:spacing w:val="-20"/>
                <w:szCs w:val="21"/>
              </w:rPr>
            </w:pPr>
          </w:p>
        </w:tc>
        <w:tc>
          <w:tcPr>
            <w:tcW w:w="850" w:type="dxa"/>
            <w:vMerge w:val="continue"/>
            <w:vAlign w:val="center"/>
          </w:tcPr>
          <w:p w14:paraId="6D3B68FC">
            <w:pPr>
              <w:widowControl/>
              <w:jc w:val="center"/>
              <w:rPr>
                <w:rFonts w:ascii="Times New Roman" w:hAnsi="Times New Roman" w:cs="Times New Roman" w:eastAsiaTheme="minorEastAsia"/>
                <w:color w:val="auto"/>
                <w:spacing w:val="-20"/>
                <w:kern w:val="0"/>
                <w:szCs w:val="21"/>
              </w:rPr>
            </w:pPr>
          </w:p>
        </w:tc>
        <w:tc>
          <w:tcPr>
            <w:tcW w:w="661" w:type="dxa"/>
            <w:vAlign w:val="center"/>
          </w:tcPr>
          <w:p w14:paraId="03B66D80">
            <w:pPr>
              <w:widowControl/>
              <w:jc w:val="center"/>
              <w:rPr>
                <w:rFonts w:ascii="Times New Roman" w:hAnsi="Times New Roman" w:cs="Times New Roman" w:eastAsiaTheme="minorEastAsia"/>
                <w:color w:val="auto"/>
                <w:spacing w:val="-20"/>
                <w:kern w:val="0"/>
                <w:szCs w:val="21"/>
              </w:rPr>
            </w:pPr>
            <w:r>
              <w:rPr>
                <w:rFonts w:ascii="Times New Roman" w:cs="Times New Roman" w:hAnsiTheme="minorEastAsia" w:eastAsiaTheme="minorEastAsia"/>
                <w:color w:val="auto"/>
                <w:spacing w:val="-20"/>
                <w:szCs w:val="21"/>
              </w:rPr>
              <w:t>路左</w:t>
            </w:r>
          </w:p>
        </w:tc>
        <w:tc>
          <w:tcPr>
            <w:tcW w:w="662" w:type="dxa"/>
            <w:vMerge w:val="continue"/>
            <w:vAlign w:val="center"/>
          </w:tcPr>
          <w:p w14:paraId="351C685F">
            <w:pPr>
              <w:widowControl/>
              <w:jc w:val="center"/>
              <w:rPr>
                <w:rFonts w:ascii="Times New Roman" w:cs="Times New Roman" w:hAnsiTheme="minorEastAsia" w:eastAsiaTheme="minorEastAsia"/>
                <w:color w:val="auto"/>
                <w:spacing w:val="-20"/>
                <w:szCs w:val="21"/>
              </w:rPr>
            </w:pPr>
          </w:p>
        </w:tc>
        <w:tc>
          <w:tcPr>
            <w:tcW w:w="662" w:type="dxa"/>
            <w:vMerge w:val="continue"/>
            <w:vAlign w:val="center"/>
          </w:tcPr>
          <w:p w14:paraId="5301DE4E">
            <w:pPr>
              <w:widowControl/>
              <w:jc w:val="center"/>
              <w:rPr>
                <w:rFonts w:ascii="Times New Roman" w:cs="Times New Roman" w:hAnsiTheme="minorEastAsia" w:eastAsiaTheme="minorEastAsia"/>
                <w:color w:val="auto"/>
                <w:spacing w:val="-20"/>
                <w:szCs w:val="21"/>
              </w:rPr>
            </w:pPr>
          </w:p>
        </w:tc>
        <w:tc>
          <w:tcPr>
            <w:tcW w:w="567" w:type="dxa"/>
            <w:vAlign w:val="center"/>
          </w:tcPr>
          <w:p w14:paraId="2063D06B">
            <w:pPr>
              <w:widowControl/>
              <w:jc w:val="center"/>
              <w:rPr>
                <w:rFonts w:ascii="Times New Roman" w:hAnsi="Times New Roman" w:cs="Times New Roman" w:eastAsiaTheme="minorEastAsia"/>
                <w:color w:val="auto"/>
                <w:spacing w:val="-20"/>
                <w:kern w:val="0"/>
                <w:szCs w:val="21"/>
              </w:rPr>
            </w:pPr>
            <w:r>
              <w:rPr>
                <w:rFonts w:ascii="Times New Roman" w:cs="Times New Roman" w:hAnsiTheme="minorEastAsia" w:eastAsiaTheme="minorEastAsia"/>
                <w:color w:val="auto"/>
                <w:spacing w:val="-20"/>
                <w:szCs w:val="21"/>
              </w:rPr>
              <w:t>路左</w:t>
            </w:r>
          </w:p>
        </w:tc>
        <w:tc>
          <w:tcPr>
            <w:tcW w:w="708" w:type="dxa"/>
            <w:vMerge w:val="continue"/>
            <w:vAlign w:val="center"/>
          </w:tcPr>
          <w:p w14:paraId="1517E3F0">
            <w:pPr>
              <w:widowControl/>
              <w:jc w:val="center"/>
              <w:rPr>
                <w:rFonts w:ascii="Times New Roman" w:hAnsi="Times New Roman" w:cs="Times New Roman" w:eastAsiaTheme="minorEastAsia"/>
                <w:color w:val="auto"/>
                <w:spacing w:val="-20"/>
                <w:szCs w:val="21"/>
              </w:rPr>
            </w:pPr>
          </w:p>
        </w:tc>
        <w:tc>
          <w:tcPr>
            <w:tcW w:w="709" w:type="dxa"/>
            <w:vMerge w:val="continue"/>
            <w:vAlign w:val="center"/>
          </w:tcPr>
          <w:p w14:paraId="4AA9116A">
            <w:pPr>
              <w:widowControl/>
              <w:jc w:val="center"/>
              <w:rPr>
                <w:rFonts w:ascii="Times New Roman" w:hAnsi="Times New Roman" w:cs="Times New Roman" w:eastAsiaTheme="minorEastAsia"/>
                <w:color w:val="auto"/>
                <w:spacing w:val="-20"/>
                <w:kern w:val="0"/>
                <w:szCs w:val="21"/>
              </w:rPr>
            </w:pPr>
          </w:p>
        </w:tc>
        <w:tc>
          <w:tcPr>
            <w:tcW w:w="992" w:type="dxa"/>
            <w:vMerge w:val="continue"/>
            <w:vAlign w:val="center"/>
          </w:tcPr>
          <w:p w14:paraId="5962377D">
            <w:pPr>
              <w:jc w:val="center"/>
              <w:rPr>
                <w:rFonts w:ascii="Times New Roman" w:hAnsi="Times New Roman" w:cs="Times New Roman" w:eastAsiaTheme="minorEastAsia"/>
                <w:color w:val="auto"/>
                <w:spacing w:val="-20"/>
                <w:kern w:val="0"/>
                <w:szCs w:val="21"/>
              </w:rPr>
            </w:pPr>
          </w:p>
        </w:tc>
        <w:tc>
          <w:tcPr>
            <w:tcW w:w="993" w:type="dxa"/>
            <w:vMerge w:val="continue"/>
            <w:vAlign w:val="center"/>
          </w:tcPr>
          <w:p w14:paraId="0C76B723">
            <w:pPr>
              <w:widowControl/>
              <w:jc w:val="center"/>
              <w:rPr>
                <w:rFonts w:ascii="Times New Roman" w:hAnsi="Times New Roman" w:cs="Times New Roman" w:eastAsiaTheme="minorEastAsia"/>
                <w:color w:val="auto"/>
                <w:spacing w:val="-20"/>
                <w:kern w:val="0"/>
                <w:szCs w:val="21"/>
              </w:rPr>
            </w:pPr>
          </w:p>
        </w:tc>
        <w:tc>
          <w:tcPr>
            <w:tcW w:w="567" w:type="dxa"/>
            <w:vMerge w:val="continue"/>
            <w:vAlign w:val="center"/>
          </w:tcPr>
          <w:p w14:paraId="5FDEAE89">
            <w:pPr>
              <w:widowControl/>
              <w:jc w:val="center"/>
              <w:rPr>
                <w:rFonts w:ascii="Times New Roman" w:cs="Times New Roman" w:hAnsiTheme="minorEastAsia" w:eastAsiaTheme="minorEastAsia"/>
                <w:color w:val="auto"/>
                <w:spacing w:val="-20"/>
                <w:kern w:val="0"/>
                <w:szCs w:val="21"/>
              </w:rPr>
            </w:pPr>
          </w:p>
        </w:tc>
        <w:tc>
          <w:tcPr>
            <w:tcW w:w="992" w:type="dxa"/>
            <w:vMerge w:val="continue"/>
            <w:vAlign w:val="center"/>
          </w:tcPr>
          <w:p w14:paraId="7142EB70">
            <w:pPr>
              <w:widowControl/>
              <w:jc w:val="center"/>
              <w:rPr>
                <w:rFonts w:ascii="Times New Roman" w:hAnsi="Times New Roman" w:cs="Times New Roman" w:eastAsiaTheme="minorEastAsia"/>
                <w:color w:val="auto"/>
                <w:spacing w:val="-20"/>
                <w:kern w:val="0"/>
                <w:szCs w:val="21"/>
              </w:rPr>
            </w:pPr>
          </w:p>
        </w:tc>
        <w:tc>
          <w:tcPr>
            <w:tcW w:w="709" w:type="dxa"/>
            <w:vMerge w:val="continue"/>
            <w:vAlign w:val="center"/>
          </w:tcPr>
          <w:p w14:paraId="71436A9E">
            <w:pPr>
              <w:widowControl/>
              <w:jc w:val="center"/>
              <w:rPr>
                <w:rFonts w:ascii="Times New Roman" w:hAnsi="Times New Roman" w:cs="Times New Roman" w:eastAsiaTheme="minorEastAsia"/>
                <w:color w:val="auto"/>
                <w:spacing w:val="-20"/>
                <w:kern w:val="0"/>
                <w:szCs w:val="21"/>
              </w:rPr>
            </w:pPr>
          </w:p>
        </w:tc>
        <w:tc>
          <w:tcPr>
            <w:tcW w:w="708" w:type="dxa"/>
            <w:vMerge w:val="continue"/>
            <w:vAlign w:val="center"/>
          </w:tcPr>
          <w:p w14:paraId="6CDFC0AC">
            <w:pPr>
              <w:widowControl/>
              <w:jc w:val="center"/>
              <w:rPr>
                <w:rFonts w:ascii="Times New Roman" w:hAnsi="Times New Roman" w:cs="Times New Roman" w:eastAsiaTheme="minorEastAsia"/>
                <w:color w:val="auto"/>
                <w:spacing w:val="-20"/>
                <w:kern w:val="0"/>
                <w:szCs w:val="21"/>
              </w:rPr>
            </w:pPr>
          </w:p>
        </w:tc>
        <w:tc>
          <w:tcPr>
            <w:tcW w:w="4394" w:type="dxa"/>
            <w:vMerge w:val="continue"/>
            <w:vAlign w:val="center"/>
          </w:tcPr>
          <w:p w14:paraId="1C5FD678">
            <w:pPr>
              <w:widowControl/>
              <w:rPr>
                <w:rFonts w:ascii="Times New Roman" w:cs="Times New Roman" w:hAnsiTheme="minorEastAsia" w:eastAsiaTheme="minorEastAsia"/>
                <w:color w:val="auto"/>
                <w:spacing w:val="-20"/>
                <w:kern w:val="0"/>
                <w:szCs w:val="21"/>
              </w:rPr>
            </w:pPr>
          </w:p>
        </w:tc>
        <w:tc>
          <w:tcPr>
            <w:tcW w:w="2898" w:type="dxa"/>
            <w:vMerge w:val="continue"/>
            <w:vAlign w:val="center"/>
          </w:tcPr>
          <w:p w14:paraId="48A2D297">
            <w:pPr>
              <w:widowControl/>
              <w:adjustRightInd w:val="0"/>
              <w:snapToGrid w:val="0"/>
              <w:jc w:val="center"/>
              <w:rPr>
                <w:rFonts w:ascii="Times New Roman" w:hAnsi="Times New Roman" w:cs="Times New Roman" w:eastAsiaTheme="minorEastAsia"/>
                <w:snapToGrid w:val="0"/>
                <w:color w:val="auto"/>
                <w:spacing w:val="-20"/>
                <w:kern w:val="0"/>
                <w:szCs w:val="21"/>
              </w:rPr>
            </w:pPr>
          </w:p>
        </w:tc>
      </w:tr>
    </w:tbl>
    <w:p w14:paraId="044EBE45">
      <w:pPr>
        <w:rPr>
          <w:rFonts w:ascii="Times New Roman" w:hAnsi="Times New Roman" w:eastAsia="宋体" w:cs="Times New Roman"/>
          <w:color w:val="auto"/>
          <w:szCs w:val="21"/>
        </w:rPr>
      </w:pPr>
      <w:r>
        <w:rPr>
          <w:rFonts w:hint="eastAsia" w:ascii="Times New Roman" w:hAnsi="Times New Roman" w:eastAsia="宋体" w:cs="Times New Roman"/>
          <w:color w:val="auto"/>
          <w:szCs w:val="21"/>
        </w:rPr>
        <w:t>（接下页）</w:t>
      </w:r>
    </w:p>
    <w:p w14:paraId="75585F0D">
      <w:pPr>
        <w:widowControl/>
        <w:spacing w:beforeLines="50"/>
        <w:jc w:val="center"/>
        <w:rPr>
          <w:rFonts w:ascii="Times New Roman" w:hAnsi="Times New Roman" w:cs="Times New Roman" w:eastAsiaTheme="minorEastAsia"/>
          <w:color w:val="auto"/>
          <w:szCs w:val="21"/>
        </w:rPr>
      </w:pPr>
      <w:r>
        <w:rPr>
          <w:rFonts w:ascii="Times New Roman" w:cs="Times New Roman" w:hAnsiTheme="minorEastAsia" w:eastAsiaTheme="minorEastAsia"/>
          <w:b/>
          <w:color w:val="auto"/>
          <w:szCs w:val="21"/>
        </w:rPr>
        <w:br w:type="page"/>
      </w:r>
      <w:r>
        <w:rPr>
          <w:rFonts w:ascii="Times New Roman" w:cs="Times New Roman" w:hAnsiTheme="minorEastAsia" w:eastAsiaTheme="minorEastAsia"/>
          <w:b/>
          <w:color w:val="auto"/>
          <w:szCs w:val="21"/>
        </w:rPr>
        <w:t>续</w:t>
      </w:r>
      <w:r>
        <w:rPr>
          <w:rFonts w:hint="eastAsia" w:ascii="Times New Roman" w:cs="Times New Roman" w:hAnsiTheme="minorEastAsia" w:eastAsiaTheme="minorEastAsia"/>
          <w:b/>
          <w:color w:val="auto"/>
          <w:szCs w:val="21"/>
        </w:rPr>
        <w:t xml:space="preserve"> </w:t>
      </w:r>
      <w:r>
        <w:rPr>
          <w:rFonts w:ascii="Times New Roman" w:cs="Times New Roman" w:hAnsiTheme="minorEastAsia" w:eastAsiaTheme="minorEastAsia"/>
          <w:b/>
          <w:color w:val="auto"/>
          <w:szCs w:val="21"/>
        </w:rPr>
        <w:t>表</w:t>
      </w:r>
      <w:r>
        <w:rPr>
          <w:rFonts w:ascii="Times New Roman" w:hAnsi="Times New Roman" w:cs="Times New Roman" w:eastAsiaTheme="minorEastAsia"/>
          <w:b/>
          <w:color w:val="auto"/>
          <w:szCs w:val="21"/>
        </w:rPr>
        <w:t>1.</w:t>
      </w:r>
      <w:r>
        <w:rPr>
          <w:rFonts w:hint="eastAsia" w:ascii="Times New Roman" w:hAnsi="Times New Roman" w:cs="Times New Roman" w:eastAsiaTheme="minorEastAsia"/>
          <w:b/>
          <w:color w:val="auto"/>
          <w:szCs w:val="21"/>
        </w:rPr>
        <w:t>6</w:t>
      </w:r>
      <w:r>
        <w:rPr>
          <w:rFonts w:ascii="Times New Roman" w:hAnsi="Times New Roman" w:cs="Times New Roman" w:eastAsiaTheme="minorEastAsia"/>
          <w:b/>
          <w:color w:val="auto"/>
          <w:szCs w:val="21"/>
        </w:rPr>
        <w:t>-</w:t>
      </w:r>
      <w:r>
        <w:rPr>
          <w:rFonts w:hint="eastAsia" w:ascii="Times New Roman" w:hAnsi="Times New Roman" w:cs="Times New Roman" w:eastAsiaTheme="minorEastAsia"/>
          <w:b/>
          <w:color w:val="auto"/>
          <w:szCs w:val="21"/>
        </w:rPr>
        <w:t>2</w:t>
      </w:r>
      <w:r>
        <w:rPr>
          <w:rFonts w:ascii="Times New Roman" w:hAnsi="Times New Roman" w:cs="Times New Roman" w:eastAsiaTheme="minorEastAsia"/>
          <w:b/>
          <w:color w:val="auto"/>
          <w:szCs w:val="21"/>
        </w:rPr>
        <w:t xml:space="preserve">  </w:t>
      </w:r>
      <w:r>
        <w:rPr>
          <w:rFonts w:ascii="Times New Roman" w:cs="Times New Roman" w:hAnsiTheme="minorEastAsia" w:eastAsiaTheme="minorEastAsia"/>
          <w:b/>
          <w:color w:val="auto"/>
          <w:szCs w:val="21"/>
        </w:rPr>
        <w:t>拟建公路沿线声环境敏感点一览表</w:t>
      </w:r>
    </w:p>
    <w:tbl>
      <w:tblPr>
        <w:tblStyle w:val="22"/>
        <w:tblW w:w="20493" w:type="dxa"/>
        <w:jc w:val="center"/>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68"/>
        <w:gridCol w:w="694"/>
        <w:gridCol w:w="1134"/>
        <w:gridCol w:w="851"/>
        <w:gridCol w:w="850"/>
        <w:gridCol w:w="661"/>
        <w:gridCol w:w="662"/>
        <w:gridCol w:w="662"/>
        <w:gridCol w:w="567"/>
        <w:gridCol w:w="708"/>
        <w:gridCol w:w="709"/>
        <w:gridCol w:w="992"/>
        <w:gridCol w:w="993"/>
        <w:gridCol w:w="567"/>
        <w:gridCol w:w="992"/>
        <w:gridCol w:w="709"/>
        <w:gridCol w:w="708"/>
        <w:gridCol w:w="4568"/>
        <w:gridCol w:w="2898"/>
      </w:tblGrid>
      <w:tr w14:paraId="6C37EB10">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460" w:hRule="atLeast"/>
          <w:tblHeader/>
          <w:jc w:val="center"/>
        </w:trPr>
        <w:tc>
          <w:tcPr>
            <w:tcW w:w="568" w:type="dxa"/>
            <w:vMerge w:val="restart"/>
            <w:noWrap/>
            <w:vAlign w:val="center"/>
          </w:tcPr>
          <w:p w14:paraId="60DFCD92">
            <w:pPr>
              <w:widowControl/>
              <w:spacing w:line="300" w:lineRule="exact"/>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序号</w:t>
            </w:r>
          </w:p>
        </w:tc>
        <w:tc>
          <w:tcPr>
            <w:tcW w:w="694" w:type="dxa"/>
            <w:vMerge w:val="restart"/>
            <w:vAlign w:val="center"/>
          </w:tcPr>
          <w:p w14:paraId="7EC1E0C3">
            <w:pPr>
              <w:widowControl/>
              <w:spacing w:line="300" w:lineRule="exact"/>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路段</w:t>
            </w:r>
          </w:p>
        </w:tc>
        <w:tc>
          <w:tcPr>
            <w:tcW w:w="1134" w:type="dxa"/>
            <w:vMerge w:val="restart"/>
            <w:vAlign w:val="center"/>
          </w:tcPr>
          <w:p w14:paraId="447EAA3F">
            <w:pPr>
              <w:widowControl/>
              <w:spacing w:line="300" w:lineRule="exact"/>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桩号</w:t>
            </w:r>
          </w:p>
        </w:tc>
        <w:tc>
          <w:tcPr>
            <w:tcW w:w="851" w:type="dxa"/>
            <w:vMerge w:val="restart"/>
            <w:vAlign w:val="center"/>
          </w:tcPr>
          <w:p w14:paraId="7BFE0A93">
            <w:pPr>
              <w:widowControl/>
              <w:spacing w:line="300" w:lineRule="exact"/>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敏感点名称</w:t>
            </w:r>
          </w:p>
        </w:tc>
        <w:tc>
          <w:tcPr>
            <w:tcW w:w="850" w:type="dxa"/>
            <w:vMerge w:val="restart"/>
            <w:vAlign w:val="center"/>
          </w:tcPr>
          <w:p w14:paraId="6B532BA0">
            <w:pPr>
              <w:widowControl/>
              <w:spacing w:line="300" w:lineRule="exact"/>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行政区划</w:t>
            </w:r>
          </w:p>
        </w:tc>
        <w:tc>
          <w:tcPr>
            <w:tcW w:w="1985" w:type="dxa"/>
            <w:gridSpan w:val="3"/>
            <w:vAlign w:val="center"/>
          </w:tcPr>
          <w:p w14:paraId="3CCEC9CE">
            <w:pPr>
              <w:widowControl/>
              <w:spacing w:line="300" w:lineRule="exact"/>
              <w:jc w:val="center"/>
              <w:rPr>
                <w:rFonts w:ascii="Times New Roman" w:hAnsi="Times New Roman" w:cs="Times New Roman" w:eastAsiaTheme="minorEastAsia"/>
                <w:b/>
                <w:bCs/>
                <w:color w:val="auto"/>
                <w:spacing w:val="-20"/>
                <w:kern w:val="0"/>
                <w:szCs w:val="21"/>
              </w:rPr>
            </w:pPr>
            <w:r>
              <w:rPr>
                <w:rFonts w:ascii="Times New Roman" w:hAnsi="Times New Roman" w:cs="Times New Roman" w:eastAsiaTheme="minorEastAsia"/>
                <w:b/>
                <w:bCs/>
                <w:color w:val="auto"/>
                <w:spacing w:val="-20"/>
                <w:kern w:val="0"/>
                <w:szCs w:val="21"/>
              </w:rPr>
              <w:t>改扩建</w:t>
            </w:r>
            <w:r>
              <w:rPr>
                <w:rFonts w:hint="eastAsia" w:ascii="Times New Roman" w:hAnsi="Times New Roman" w:cs="Times New Roman" w:eastAsiaTheme="minorEastAsia"/>
                <w:b/>
                <w:bCs/>
                <w:color w:val="auto"/>
                <w:spacing w:val="-20"/>
                <w:kern w:val="0"/>
                <w:szCs w:val="21"/>
              </w:rPr>
              <w:t>前</w:t>
            </w:r>
            <w:r>
              <w:rPr>
                <w:rFonts w:ascii="Times New Roman" w:hAnsi="Times New Roman" w:cs="Times New Roman" w:eastAsiaTheme="minorEastAsia"/>
                <w:b/>
                <w:bCs/>
                <w:color w:val="auto"/>
                <w:spacing w:val="-20"/>
                <w:kern w:val="0"/>
                <w:szCs w:val="21"/>
              </w:rPr>
              <w:t>位置关系</w:t>
            </w:r>
          </w:p>
        </w:tc>
        <w:tc>
          <w:tcPr>
            <w:tcW w:w="1984" w:type="dxa"/>
            <w:gridSpan w:val="3"/>
            <w:vAlign w:val="center"/>
          </w:tcPr>
          <w:p w14:paraId="105019F0">
            <w:pPr>
              <w:widowControl/>
              <w:spacing w:line="300" w:lineRule="exact"/>
              <w:jc w:val="center"/>
              <w:rPr>
                <w:rFonts w:ascii="Times New Roman" w:hAnsi="Times New Roman" w:cs="Times New Roman" w:eastAsiaTheme="minorEastAsia"/>
                <w:b/>
                <w:bCs/>
                <w:color w:val="auto"/>
                <w:spacing w:val="-20"/>
                <w:kern w:val="0"/>
                <w:szCs w:val="21"/>
              </w:rPr>
            </w:pPr>
            <w:r>
              <w:rPr>
                <w:rFonts w:ascii="Times New Roman" w:hAnsi="Times New Roman" w:cs="Times New Roman" w:eastAsiaTheme="minorEastAsia"/>
                <w:b/>
                <w:bCs/>
                <w:color w:val="auto"/>
                <w:spacing w:val="-20"/>
                <w:kern w:val="0"/>
                <w:szCs w:val="21"/>
              </w:rPr>
              <w:t>改扩建后位置关系</w:t>
            </w:r>
          </w:p>
        </w:tc>
        <w:tc>
          <w:tcPr>
            <w:tcW w:w="992" w:type="dxa"/>
            <w:vMerge w:val="restart"/>
            <w:vAlign w:val="center"/>
          </w:tcPr>
          <w:p w14:paraId="28C84548">
            <w:pPr>
              <w:widowControl/>
              <w:spacing w:line="300" w:lineRule="exact"/>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预测点地面高</w:t>
            </w:r>
            <w:r>
              <w:rPr>
                <w:rFonts w:ascii="Times New Roman" w:hAnsi="Times New Roman" w:cs="Times New Roman" w:eastAsiaTheme="minorEastAsia"/>
                <w:b/>
                <w:bCs/>
                <w:color w:val="auto"/>
                <w:spacing w:val="-20"/>
                <w:kern w:val="0"/>
                <w:szCs w:val="21"/>
              </w:rPr>
              <w:t>-</w:t>
            </w:r>
            <w:r>
              <w:rPr>
                <w:rFonts w:ascii="Times New Roman" w:cs="Times New Roman" w:hAnsiTheme="minorEastAsia" w:eastAsiaTheme="minorEastAsia"/>
                <w:b/>
                <w:bCs/>
                <w:color w:val="auto"/>
                <w:spacing w:val="-20"/>
                <w:kern w:val="0"/>
                <w:szCs w:val="21"/>
              </w:rPr>
              <w:t>路基地面高</w:t>
            </w:r>
            <w:r>
              <w:rPr>
                <w:rFonts w:ascii="Times New Roman" w:hAnsi="Times New Roman" w:cs="Times New Roman" w:eastAsiaTheme="minorEastAsia"/>
                <w:b/>
                <w:bCs/>
                <w:color w:val="auto"/>
                <w:spacing w:val="-20"/>
                <w:kern w:val="0"/>
                <w:szCs w:val="21"/>
              </w:rPr>
              <w:t>(m)</w:t>
            </w:r>
          </w:p>
        </w:tc>
        <w:tc>
          <w:tcPr>
            <w:tcW w:w="993" w:type="dxa"/>
            <w:vMerge w:val="restart"/>
            <w:vAlign w:val="center"/>
          </w:tcPr>
          <w:p w14:paraId="4E512A76">
            <w:pPr>
              <w:widowControl/>
              <w:spacing w:line="300" w:lineRule="exact"/>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路基填挖高度或桥高</w:t>
            </w:r>
            <w:r>
              <w:rPr>
                <w:rFonts w:ascii="Times New Roman" w:hAnsi="Times New Roman" w:cs="Times New Roman" w:eastAsiaTheme="minorEastAsia"/>
                <w:b/>
                <w:bCs/>
                <w:color w:val="auto"/>
                <w:spacing w:val="-20"/>
                <w:kern w:val="0"/>
                <w:szCs w:val="21"/>
              </w:rPr>
              <w:t>(m)</w:t>
            </w:r>
          </w:p>
        </w:tc>
        <w:tc>
          <w:tcPr>
            <w:tcW w:w="567" w:type="dxa"/>
            <w:vMerge w:val="restart"/>
            <w:noWrap/>
            <w:vAlign w:val="center"/>
          </w:tcPr>
          <w:p w14:paraId="16EEF75D">
            <w:pPr>
              <w:widowControl/>
              <w:spacing w:line="300" w:lineRule="exact"/>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工程形式</w:t>
            </w:r>
          </w:p>
        </w:tc>
        <w:tc>
          <w:tcPr>
            <w:tcW w:w="992" w:type="dxa"/>
            <w:vMerge w:val="restart"/>
            <w:vAlign w:val="center"/>
          </w:tcPr>
          <w:p w14:paraId="65273E49">
            <w:pPr>
              <w:widowControl/>
              <w:spacing w:line="300" w:lineRule="exact"/>
              <w:jc w:val="center"/>
              <w:rPr>
                <w:rFonts w:ascii="Times New Roman" w:hAnsi="Times New Roman" w:cs="Times New Roman" w:eastAsiaTheme="minorEastAsia"/>
                <w:b/>
                <w:bCs/>
                <w:color w:val="auto"/>
                <w:spacing w:val="-20"/>
                <w:kern w:val="0"/>
                <w:szCs w:val="21"/>
              </w:rPr>
            </w:pPr>
            <w:r>
              <w:rPr>
                <w:rFonts w:hint="eastAsia" w:ascii="Times New Roman" w:cs="Times New Roman" w:hAnsiTheme="minorEastAsia" w:eastAsiaTheme="minorEastAsia"/>
                <w:b/>
                <w:bCs/>
                <w:color w:val="auto"/>
                <w:spacing w:val="-20"/>
                <w:kern w:val="0"/>
                <w:szCs w:val="21"/>
              </w:rPr>
              <w:t>改扩建</w:t>
            </w:r>
            <w:r>
              <w:rPr>
                <w:rFonts w:ascii="Times New Roman" w:cs="Times New Roman" w:hAnsiTheme="minorEastAsia" w:eastAsiaTheme="minorEastAsia"/>
                <w:b/>
                <w:bCs/>
                <w:color w:val="auto"/>
                <w:spacing w:val="-20"/>
                <w:kern w:val="0"/>
                <w:szCs w:val="21"/>
              </w:rPr>
              <w:t>后功能区分界</w:t>
            </w:r>
            <w:r>
              <w:rPr>
                <w:rFonts w:ascii="Times New Roman" w:hAnsi="Times New Roman" w:cs="Times New Roman" w:eastAsiaTheme="minorEastAsia"/>
                <w:b/>
                <w:bCs/>
                <w:color w:val="auto"/>
                <w:spacing w:val="-20"/>
                <w:kern w:val="0"/>
                <w:szCs w:val="21"/>
              </w:rPr>
              <w:t>(m)</w:t>
            </w:r>
          </w:p>
        </w:tc>
        <w:tc>
          <w:tcPr>
            <w:tcW w:w="1417" w:type="dxa"/>
            <w:gridSpan w:val="2"/>
            <w:vAlign w:val="center"/>
          </w:tcPr>
          <w:p w14:paraId="0D9D143B">
            <w:pPr>
              <w:widowControl/>
              <w:spacing w:line="300" w:lineRule="exact"/>
              <w:jc w:val="center"/>
              <w:rPr>
                <w:rFonts w:ascii="Times New Roman" w:hAnsi="Times New Roman" w:cs="Times New Roman" w:eastAsiaTheme="minorEastAsia"/>
                <w:b/>
                <w:bCs/>
                <w:color w:val="auto"/>
                <w:spacing w:val="-20"/>
                <w:kern w:val="0"/>
                <w:szCs w:val="21"/>
              </w:rPr>
            </w:pPr>
            <w:r>
              <w:rPr>
                <w:rFonts w:hint="eastAsia" w:ascii="Times New Roman" w:cs="Times New Roman" w:hAnsiTheme="minorEastAsia" w:eastAsiaTheme="minorEastAsia"/>
                <w:b/>
                <w:bCs/>
                <w:color w:val="auto"/>
                <w:spacing w:val="-20"/>
                <w:kern w:val="0"/>
                <w:szCs w:val="21"/>
              </w:rPr>
              <w:t>改扩建</w:t>
            </w:r>
            <w:r>
              <w:rPr>
                <w:rFonts w:ascii="Times New Roman" w:cs="Times New Roman" w:hAnsiTheme="minorEastAsia" w:eastAsiaTheme="minorEastAsia"/>
                <w:b/>
                <w:bCs/>
                <w:color w:val="auto"/>
                <w:spacing w:val="-20"/>
                <w:kern w:val="0"/>
                <w:szCs w:val="21"/>
              </w:rPr>
              <w:t>后受影响户数</w:t>
            </w:r>
            <w:r>
              <w:rPr>
                <w:rFonts w:ascii="Times New Roman" w:hAnsi="Times New Roman" w:cs="Times New Roman" w:eastAsiaTheme="minorEastAsia"/>
                <w:b/>
                <w:bCs/>
                <w:color w:val="auto"/>
                <w:spacing w:val="-20"/>
                <w:kern w:val="0"/>
                <w:szCs w:val="21"/>
              </w:rPr>
              <w:t>(</w:t>
            </w:r>
            <w:r>
              <w:rPr>
                <w:rFonts w:ascii="Times New Roman" w:cs="Times New Roman" w:hAnsiTheme="minorEastAsia" w:eastAsiaTheme="minorEastAsia"/>
                <w:b/>
                <w:bCs/>
                <w:color w:val="auto"/>
                <w:spacing w:val="-20"/>
                <w:kern w:val="0"/>
                <w:szCs w:val="21"/>
              </w:rPr>
              <w:t>户</w:t>
            </w:r>
            <w:r>
              <w:rPr>
                <w:rFonts w:ascii="Times New Roman" w:hAnsi="Times New Roman" w:cs="Times New Roman" w:eastAsiaTheme="minorEastAsia"/>
                <w:b/>
                <w:bCs/>
                <w:color w:val="auto"/>
                <w:spacing w:val="-20"/>
                <w:kern w:val="0"/>
                <w:szCs w:val="21"/>
              </w:rPr>
              <w:t>)</w:t>
            </w:r>
          </w:p>
        </w:tc>
        <w:tc>
          <w:tcPr>
            <w:tcW w:w="4568" w:type="dxa"/>
            <w:vMerge w:val="restart"/>
            <w:vAlign w:val="center"/>
          </w:tcPr>
          <w:p w14:paraId="6055AA61">
            <w:pPr>
              <w:widowControl/>
              <w:spacing w:line="300" w:lineRule="exact"/>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敏感点及环境特征</w:t>
            </w:r>
          </w:p>
        </w:tc>
        <w:tc>
          <w:tcPr>
            <w:tcW w:w="2898" w:type="dxa"/>
            <w:vMerge w:val="restart"/>
            <w:vAlign w:val="center"/>
          </w:tcPr>
          <w:p w14:paraId="6306188B">
            <w:pPr>
              <w:widowControl/>
              <w:spacing w:line="300" w:lineRule="exact"/>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照片</w:t>
            </w:r>
          </w:p>
        </w:tc>
      </w:tr>
      <w:tr w14:paraId="6ACD87A1">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461" w:hRule="atLeast"/>
          <w:tblHeader/>
          <w:jc w:val="center"/>
        </w:trPr>
        <w:tc>
          <w:tcPr>
            <w:tcW w:w="568" w:type="dxa"/>
            <w:vMerge w:val="continue"/>
            <w:noWrap/>
            <w:vAlign w:val="center"/>
          </w:tcPr>
          <w:p w14:paraId="0D0251F3">
            <w:pPr>
              <w:widowControl/>
              <w:spacing w:line="300" w:lineRule="exact"/>
              <w:jc w:val="center"/>
              <w:rPr>
                <w:rFonts w:ascii="Times New Roman" w:hAnsi="Times New Roman" w:cs="Times New Roman" w:eastAsiaTheme="minorEastAsia"/>
                <w:b/>
                <w:bCs/>
                <w:color w:val="auto"/>
                <w:spacing w:val="-20"/>
                <w:kern w:val="0"/>
                <w:szCs w:val="21"/>
              </w:rPr>
            </w:pPr>
          </w:p>
        </w:tc>
        <w:tc>
          <w:tcPr>
            <w:tcW w:w="694" w:type="dxa"/>
            <w:vMerge w:val="continue"/>
            <w:vAlign w:val="center"/>
          </w:tcPr>
          <w:p w14:paraId="5A8927F7">
            <w:pPr>
              <w:widowControl/>
              <w:spacing w:line="300" w:lineRule="exact"/>
              <w:jc w:val="center"/>
              <w:rPr>
                <w:rFonts w:ascii="Times New Roman" w:hAnsi="Times New Roman" w:cs="Times New Roman" w:eastAsiaTheme="minorEastAsia"/>
                <w:b/>
                <w:bCs/>
                <w:color w:val="auto"/>
                <w:spacing w:val="-20"/>
                <w:kern w:val="0"/>
                <w:szCs w:val="21"/>
              </w:rPr>
            </w:pPr>
          </w:p>
        </w:tc>
        <w:tc>
          <w:tcPr>
            <w:tcW w:w="1134" w:type="dxa"/>
            <w:vMerge w:val="continue"/>
            <w:vAlign w:val="center"/>
          </w:tcPr>
          <w:p w14:paraId="444B4033">
            <w:pPr>
              <w:widowControl/>
              <w:spacing w:line="300" w:lineRule="exact"/>
              <w:jc w:val="center"/>
              <w:rPr>
                <w:rFonts w:ascii="Times New Roman" w:hAnsi="Times New Roman" w:cs="Times New Roman" w:eastAsiaTheme="minorEastAsia"/>
                <w:b/>
                <w:bCs/>
                <w:color w:val="auto"/>
                <w:spacing w:val="-20"/>
                <w:kern w:val="0"/>
                <w:szCs w:val="21"/>
              </w:rPr>
            </w:pPr>
          </w:p>
        </w:tc>
        <w:tc>
          <w:tcPr>
            <w:tcW w:w="851" w:type="dxa"/>
            <w:vMerge w:val="continue"/>
            <w:vAlign w:val="center"/>
          </w:tcPr>
          <w:p w14:paraId="6C48748F">
            <w:pPr>
              <w:widowControl/>
              <w:spacing w:line="300" w:lineRule="exact"/>
              <w:jc w:val="center"/>
              <w:rPr>
                <w:rFonts w:ascii="Times New Roman" w:hAnsi="Times New Roman" w:cs="Times New Roman" w:eastAsiaTheme="minorEastAsia"/>
                <w:b/>
                <w:bCs/>
                <w:color w:val="auto"/>
                <w:spacing w:val="-20"/>
                <w:kern w:val="0"/>
                <w:szCs w:val="21"/>
              </w:rPr>
            </w:pPr>
          </w:p>
        </w:tc>
        <w:tc>
          <w:tcPr>
            <w:tcW w:w="850" w:type="dxa"/>
            <w:vMerge w:val="continue"/>
            <w:vAlign w:val="center"/>
          </w:tcPr>
          <w:p w14:paraId="09027970">
            <w:pPr>
              <w:widowControl/>
              <w:spacing w:line="300" w:lineRule="exact"/>
              <w:jc w:val="center"/>
              <w:rPr>
                <w:rFonts w:ascii="Times New Roman" w:hAnsi="Times New Roman" w:cs="Times New Roman" w:eastAsiaTheme="minorEastAsia"/>
                <w:b/>
                <w:bCs/>
                <w:color w:val="auto"/>
                <w:spacing w:val="-20"/>
                <w:kern w:val="0"/>
                <w:szCs w:val="21"/>
              </w:rPr>
            </w:pPr>
          </w:p>
        </w:tc>
        <w:tc>
          <w:tcPr>
            <w:tcW w:w="661" w:type="dxa"/>
            <w:vAlign w:val="center"/>
          </w:tcPr>
          <w:p w14:paraId="38D58752">
            <w:pPr>
              <w:widowControl/>
              <w:spacing w:line="300" w:lineRule="exact"/>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方位</w:t>
            </w:r>
          </w:p>
        </w:tc>
        <w:tc>
          <w:tcPr>
            <w:tcW w:w="662" w:type="dxa"/>
            <w:vAlign w:val="center"/>
          </w:tcPr>
          <w:p w14:paraId="6D658C9F">
            <w:pPr>
              <w:widowControl/>
              <w:spacing w:line="300" w:lineRule="exact"/>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距路中</w:t>
            </w:r>
            <w:r>
              <w:rPr>
                <w:rFonts w:ascii="Times New Roman" w:hAnsi="Times New Roman" w:cs="Times New Roman" w:eastAsiaTheme="minorEastAsia"/>
                <w:b/>
                <w:bCs/>
                <w:color w:val="auto"/>
                <w:spacing w:val="-20"/>
                <w:kern w:val="0"/>
                <w:szCs w:val="21"/>
              </w:rPr>
              <w:t>(m)</w:t>
            </w:r>
          </w:p>
        </w:tc>
        <w:tc>
          <w:tcPr>
            <w:tcW w:w="662" w:type="dxa"/>
            <w:vAlign w:val="center"/>
          </w:tcPr>
          <w:p w14:paraId="3AC79BB8">
            <w:pPr>
              <w:widowControl/>
              <w:spacing w:line="300" w:lineRule="exact"/>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距红线</w:t>
            </w:r>
            <w:r>
              <w:rPr>
                <w:rFonts w:ascii="Times New Roman" w:hAnsi="Times New Roman" w:cs="Times New Roman" w:eastAsiaTheme="minorEastAsia"/>
                <w:b/>
                <w:bCs/>
                <w:color w:val="auto"/>
                <w:spacing w:val="-20"/>
                <w:kern w:val="0"/>
                <w:szCs w:val="21"/>
              </w:rPr>
              <w:t>(m)</w:t>
            </w:r>
          </w:p>
        </w:tc>
        <w:tc>
          <w:tcPr>
            <w:tcW w:w="567" w:type="dxa"/>
            <w:vAlign w:val="center"/>
          </w:tcPr>
          <w:p w14:paraId="4B6373FB">
            <w:pPr>
              <w:widowControl/>
              <w:spacing w:line="300" w:lineRule="exact"/>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方位</w:t>
            </w:r>
          </w:p>
        </w:tc>
        <w:tc>
          <w:tcPr>
            <w:tcW w:w="708" w:type="dxa"/>
            <w:vAlign w:val="center"/>
          </w:tcPr>
          <w:p w14:paraId="210773B4">
            <w:pPr>
              <w:widowControl/>
              <w:spacing w:line="300" w:lineRule="exact"/>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距路中</w:t>
            </w:r>
            <w:r>
              <w:rPr>
                <w:rFonts w:ascii="Times New Roman" w:hAnsi="Times New Roman" w:cs="Times New Roman" w:eastAsiaTheme="minorEastAsia"/>
                <w:b/>
                <w:bCs/>
                <w:color w:val="auto"/>
                <w:spacing w:val="-20"/>
                <w:kern w:val="0"/>
                <w:szCs w:val="21"/>
              </w:rPr>
              <w:t>(m)</w:t>
            </w:r>
          </w:p>
        </w:tc>
        <w:tc>
          <w:tcPr>
            <w:tcW w:w="709" w:type="dxa"/>
            <w:vAlign w:val="center"/>
          </w:tcPr>
          <w:p w14:paraId="2CEF3FAB">
            <w:pPr>
              <w:widowControl/>
              <w:spacing w:line="300" w:lineRule="exact"/>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距红线</w:t>
            </w:r>
            <w:r>
              <w:rPr>
                <w:rFonts w:ascii="Times New Roman" w:hAnsi="Times New Roman" w:cs="Times New Roman" w:eastAsiaTheme="minorEastAsia"/>
                <w:b/>
                <w:bCs/>
                <w:color w:val="auto"/>
                <w:spacing w:val="-20"/>
                <w:kern w:val="0"/>
                <w:szCs w:val="21"/>
              </w:rPr>
              <w:t>(m)</w:t>
            </w:r>
          </w:p>
        </w:tc>
        <w:tc>
          <w:tcPr>
            <w:tcW w:w="992" w:type="dxa"/>
            <w:vMerge w:val="continue"/>
            <w:vAlign w:val="center"/>
          </w:tcPr>
          <w:p w14:paraId="34CA0EFF">
            <w:pPr>
              <w:widowControl/>
              <w:spacing w:line="300" w:lineRule="exact"/>
              <w:jc w:val="center"/>
              <w:rPr>
                <w:rFonts w:ascii="Times New Roman" w:hAnsi="Times New Roman" w:cs="Times New Roman" w:eastAsiaTheme="minorEastAsia"/>
                <w:b/>
                <w:bCs/>
                <w:color w:val="auto"/>
                <w:spacing w:val="-20"/>
                <w:kern w:val="0"/>
                <w:szCs w:val="21"/>
              </w:rPr>
            </w:pPr>
          </w:p>
        </w:tc>
        <w:tc>
          <w:tcPr>
            <w:tcW w:w="993" w:type="dxa"/>
            <w:vMerge w:val="continue"/>
            <w:vAlign w:val="center"/>
          </w:tcPr>
          <w:p w14:paraId="166E0BB9">
            <w:pPr>
              <w:widowControl/>
              <w:spacing w:line="300" w:lineRule="exact"/>
              <w:jc w:val="center"/>
              <w:rPr>
                <w:rFonts w:ascii="Times New Roman" w:hAnsi="Times New Roman" w:cs="Times New Roman" w:eastAsiaTheme="minorEastAsia"/>
                <w:b/>
                <w:bCs/>
                <w:color w:val="auto"/>
                <w:spacing w:val="-20"/>
                <w:kern w:val="0"/>
                <w:szCs w:val="21"/>
              </w:rPr>
            </w:pPr>
          </w:p>
        </w:tc>
        <w:tc>
          <w:tcPr>
            <w:tcW w:w="567" w:type="dxa"/>
            <w:vMerge w:val="continue"/>
            <w:noWrap/>
            <w:vAlign w:val="center"/>
          </w:tcPr>
          <w:p w14:paraId="6B55E536">
            <w:pPr>
              <w:widowControl/>
              <w:spacing w:line="300" w:lineRule="exact"/>
              <w:jc w:val="center"/>
              <w:rPr>
                <w:rFonts w:ascii="Times New Roman" w:hAnsi="Times New Roman" w:cs="Times New Roman" w:eastAsiaTheme="minorEastAsia"/>
                <w:b/>
                <w:bCs/>
                <w:color w:val="auto"/>
                <w:spacing w:val="-20"/>
                <w:kern w:val="0"/>
                <w:szCs w:val="21"/>
              </w:rPr>
            </w:pPr>
          </w:p>
        </w:tc>
        <w:tc>
          <w:tcPr>
            <w:tcW w:w="992" w:type="dxa"/>
            <w:vMerge w:val="continue"/>
            <w:vAlign w:val="center"/>
          </w:tcPr>
          <w:p w14:paraId="6C791E45">
            <w:pPr>
              <w:widowControl/>
              <w:spacing w:line="300" w:lineRule="exact"/>
              <w:jc w:val="center"/>
              <w:rPr>
                <w:rFonts w:ascii="Times New Roman" w:hAnsi="Times New Roman" w:cs="Times New Roman" w:eastAsiaTheme="minorEastAsia"/>
                <w:b/>
                <w:bCs/>
                <w:color w:val="auto"/>
                <w:spacing w:val="-20"/>
                <w:kern w:val="0"/>
                <w:szCs w:val="21"/>
              </w:rPr>
            </w:pPr>
          </w:p>
        </w:tc>
        <w:tc>
          <w:tcPr>
            <w:tcW w:w="709" w:type="dxa"/>
            <w:vAlign w:val="center"/>
          </w:tcPr>
          <w:p w14:paraId="351FCE4F">
            <w:pPr>
              <w:widowControl/>
              <w:spacing w:line="300" w:lineRule="exact"/>
              <w:jc w:val="center"/>
              <w:rPr>
                <w:rFonts w:ascii="Times New Roman" w:hAnsi="Times New Roman" w:cs="Times New Roman" w:eastAsiaTheme="minorEastAsia"/>
                <w:b/>
                <w:bCs/>
                <w:color w:val="auto"/>
                <w:spacing w:val="-20"/>
                <w:kern w:val="0"/>
                <w:szCs w:val="21"/>
              </w:rPr>
            </w:pPr>
            <w:r>
              <w:rPr>
                <w:rFonts w:ascii="Times New Roman" w:hAnsi="Times New Roman" w:cs="Times New Roman" w:eastAsiaTheme="minorEastAsia"/>
                <w:b/>
                <w:bCs/>
                <w:color w:val="auto"/>
                <w:spacing w:val="-20"/>
                <w:kern w:val="0"/>
                <w:szCs w:val="21"/>
              </w:rPr>
              <w:t>4a</w:t>
            </w:r>
            <w:r>
              <w:rPr>
                <w:rFonts w:ascii="Times New Roman" w:cs="Times New Roman" w:hAnsiTheme="minorEastAsia" w:eastAsiaTheme="minorEastAsia"/>
                <w:b/>
                <w:bCs/>
                <w:color w:val="auto"/>
                <w:spacing w:val="-20"/>
                <w:kern w:val="0"/>
                <w:szCs w:val="21"/>
              </w:rPr>
              <w:t>类</w:t>
            </w:r>
          </w:p>
        </w:tc>
        <w:tc>
          <w:tcPr>
            <w:tcW w:w="708" w:type="dxa"/>
            <w:vAlign w:val="center"/>
          </w:tcPr>
          <w:p w14:paraId="07E4C2D9">
            <w:pPr>
              <w:widowControl/>
              <w:spacing w:line="300" w:lineRule="exact"/>
              <w:jc w:val="center"/>
              <w:rPr>
                <w:rFonts w:ascii="Times New Roman" w:hAnsi="Times New Roman" w:cs="Times New Roman" w:eastAsiaTheme="minorEastAsia"/>
                <w:b/>
                <w:bCs/>
                <w:color w:val="auto"/>
                <w:spacing w:val="-20"/>
                <w:kern w:val="0"/>
                <w:szCs w:val="21"/>
              </w:rPr>
            </w:pPr>
            <w:r>
              <w:rPr>
                <w:rFonts w:ascii="Times New Roman" w:hAnsi="Times New Roman" w:cs="Times New Roman" w:eastAsiaTheme="minorEastAsia"/>
                <w:b/>
                <w:bCs/>
                <w:color w:val="auto"/>
                <w:spacing w:val="-20"/>
                <w:kern w:val="0"/>
                <w:szCs w:val="21"/>
              </w:rPr>
              <w:t>2</w:t>
            </w:r>
            <w:r>
              <w:rPr>
                <w:rFonts w:ascii="Times New Roman" w:cs="Times New Roman" w:hAnsiTheme="minorEastAsia" w:eastAsiaTheme="minorEastAsia"/>
                <w:b/>
                <w:bCs/>
                <w:color w:val="auto"/>
                <w:spacing w:val="-20"/>
                <w:kern w:val="0"/>
                <w:szCs w:val="21"/>
              </w:rPr>
              <w:t>类</w:t>
            </w:r>
          </w:p>
        </w:tc>
        <w:tc>
          <w:tcPr>
            <w:tcW w:w="4568" w:type="dxa"/>
            <w:vMerge w:val="continue"/>
            <w:vAlign w:val="center"/>
          </w:tcPr>
          <w:p w14:paraId="6A733AFB">
            <w:pPr>
              <w:widowControl/>
              <w:spacing w:line="300" w:lineRule="exact"/>
              <w:jc w:val="center"/>
              <w:rPr>
                <w:rFonts w:ascii="Times New Roman" w:hAnsi="Times New Roman" w:cs="Times New Roman" w:eastAsiaTheme="minorEastAsia"/>
                <w:b/>
                <w:bCs/>
                <w:color w:val="auto"/>
                <w:spacing w:val="-20"/>
                <w:kern w:val="0"/>
                <w:szCs w:val="21"/>
              </w:rPr>
            </w:pPr>
          </w:p>
        </w:tc>
        <w:tc>
          <w:tcPr>
            <w:tcW w:w="2898" w:type="dxa"/>
            <w:vMerge w:val="continue"/>
            <w:vAlign w:val="center"/>
          </w:tcPr>
          <w:p w14:paraId="727AC4DF">
            <w:pPr>
              <w:widowControl/>
              <w:spacing w:line="300" w:lineRule="exact"/>
              <w:jc w:val="center"/>
              <w:rPr>
                <w:rFonts w:ascii="Times New Roman" w:hAnsi="Times New Roman" w:cs="Times New Roman" w:eastAsiaTheme="minorEastAsia"/>
                <w:color w:val="auto"/>
                <w:spacing w:val="-20"/>
                <w:kern w:val="0"/>
                <w:szCs w:val="21"/>
              </w:rPr>
            </w:pPr>
          </w:p>
        </w:tc>
      </w:tr>
      <w:tr w14:paraId="6C7A1C67">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1730" w:hRule="atLeast"/>
          <w:tblHeader/>
          <w:jc w:val="center"/>
        </w:trPr>
        <w:tc>
          <w:tcPr>
            <w:tcW w:w="568" w:type="dxa"/>
            <w:noWrap/>
            <w:vAlign w:val="center"/>
          </w:tcPr>
          <w:p w14:paraId="0B1F7408">
            <w:pPr>
              <w:widowControl/>
              <w:spacing w:line="300" w:lineRule="exact"/>
              <w:jc w:val="center"/>
              <w:rPr>
                <w:rFonts w:ascii="Times New Roman" w:hAnsi="Times New Roman" w:cs="Times New Roman" w:eastAsiaTheme="minorEastAsia"/>
                <w:color w:val="auto"/>
                <w:spacing w:val="-20"/>
                <w:kern w:val="0"/>
                <w:szCs w:val="21"/>
              </w:rPr>
            </w:pPr>
            <w:r>
              <w:rPr>
                <w:rFonts w:ascii="Times New Roman" w:hAnsi="Times New Roman" w:cs="Times New Roman" w:eastAsiaTheme="minorEastAsia"/>
                <w:color w:val="auto"/>
                <w:spacing w:val="-20"/>
                <w:kern w:val="0"/>
                <w:szCs w:val="21"/>
              </w:rPr>
              <w:t>10</w:t>
            </w:r>
          </w:p>
        </w:tc>
        <w:tc>
          <w:tcPr>
            <w:tcW w:w="694" w:type="dxa"/>
            <w:vMerge w:val="restart"/>
            <w:vAlign w:val="center"/>
          </w:tcPr>
          <w:p w14:paraId="6AAC2637">
            <w:pPr>
              <w:spacing w:line="300" w:lineRule="exact"/>
              <w:jc w:val="center"/>
              <w:rPr>
                <w:rFonts w:ascii="Times New Roman" w:hAnsi="Times New Roman" w:cs="Times New Roman" w:eastAsiaTheme="minorEastAsia"/>
                <w:color w:val="auto"/>
                <w:spacing w:val="-20"/>
                <w:kern w:val="0"/>
                <w:szCs w:val="21"/>
              </w:rPr>
            </w:pPr>
            <w:r>
              <w:rPr>
                <w:rFonts w:hint="eastAsia" w:ascii="Times New Roman" w:cs="Times New Roman" w:hAnsiTheme="minorEastAsia" w:eastAsiaTheme="minorEastAsia"/>
                <w:color w:val="auto"/>
                <w:spacing w:val="-20"/>
                <w:kern w:val="0"/>
                <w:szCs w:val="21"/>
              </w:rPr>
              <w:t>起点～胜利路</w:t>
            </w:r>
          </w:p>
        </w:tc>
        <w:tc>
          <w:tcPr>
            <w:tcW w:w="1134" w:type="dxa"/>
            <w:vAlign w:val="center"/>
          </w:tcPr>
          <w:p w14:paraId="4FBDB316">
            <w:pPr>
              <w:widowControl/>
              <w:spacing w:line="300" w:lineRule="exact"/>
              <w:jc w:val="center"/>
              <w:rPr>
                <w:rFonts w:ascii="Times New Roman" w:hAnsi="Times New Roman" w:cs="Times New Roman" w:eastAsiaTheme="minorEastAsia"/>
                <w:color w:val="auto"/>
                <w:spacing w:val="-20"/>
                <w:kern w:val="0"/>
                <w:szCs w:val="21"/>
              </w:rPr>
            </w:pPr>
            <w:r>
              <w:rPr>
                <w:rFonts w:ascii="Times New Roman" w:hAnsi="Times New Roman" w:cs="Times New Roman" w:eastAsiaTheme="minorEastAsia"/>
                <w:color w:val="auto"/>
                <w:spacing w:val="-20"/>
                <w:szCs w:val="21"/>
              </w:rPr>
              <w:t>K</w:t>
            </w:r>
            <w:r>
              <w:rPr>
                <w:rFonts w:hint="eastAsia" w:ascii="Times New Roman" w:hAnsi="Times New Roman" w:cs="Times New Roman" w:eastAsiaTheme="minorEastAsia"/>
                <w:color w:val="auto"/>
                <w:spacing w:val="-20"/>
                <w:szCs w:val="21"/>
              </w:rPr>
              <w:t>24</w:t>
            </w:r>
            <w:r>
              <w:rPr>
                <w:rFonts w:ascii="Times New Roman" w:hAnsi="Times New Roman" w:cs="Times New Roman" w:eastAsiaTheme="minorEastAsia"/>
                <w:color w:val="auto"/>
                <w:spacing w:val="-20"/>
                <w:szCs w:val="21"/>
              </w:rPr>
              <w:t>+</w:t>
            </w:r>
            <w:r>
              <w:rPr>
                <w:rFonts w:hint="eastAsia" w:ascii="Times New Roman" w:hAnsi="Times New Roman" w:cs="Times New Roman" w:eastAsiaTheme="minorEastAsia"/>
                <w:color w:val="auto"/>
                <w:spacing w:val="-20"/>
                <w:szCs w:val="21"/>
              </w:rPr>
              <w:t>150</w:t>
            </w:r>
          </w:p>
        </w:tc>
        <w:tc>
          <w:tcPr>
            <w:tcW w:w="851" w:type="dxa"/>
            <w:vAlign w:val="center"/>
          </w:tcPr>
          <w:p w14:paraId="29E3A6A1">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cs="Times New Roman" w:hAnsiTheme="minorEastAsia" w:eastAsiaTheme="minorEastAsia"/>
                <w:color w:val="auto"/>
                <w:spacing w:val="-20"/>
                <w:szCs w:val="21"/>
              </w:rPr>
              <w:t>阿亚格勒格勒德玛小学</w:t>
            </w:r>
          </w:p>
        </w:tc>
        <w:tc>
          <w:tcPr>
            <w:tcW w:w="850" w:type="dxa"/>
            <w:vMerge w:val="restart"/>
            <w:vAlign w:val="center"/>
          </w:tcPr>
          <w:p w14:paraId="353A501B">
            <w:pPr>
              <w:widowControl/>
              <w:spacing w:line="300" w:lineRule="exact"/>
              <w:jc w:val="center"/>
              <w:rPr>
                <w:rFonts w:ascii="Times New Roman" w:hAnsi="Times New Roman" w:cs="Times New Roman" w:eastAsiaTheme="minorEastAsia"/>
                <w:color w:val="auto"/>
                <w:spacing w:val="-20"/>
                <w:kern w:val="0"/>
                <w:szCs w:val="21"/>
              </w:rPr>
            </w:pPr>
            <w:r>
              <w:rPr>
                <w:rFonts w:ascii="Times New Roman" w:hAnsi="Times New Roman" w:cs="Times New Roman" w:eastAsiaTheme="minorEastAsia"/>
                <w:color w:val="auto"/>
                <w:spacing w:val="-20"/>
                <w:kern w:val="0"/>
                <w:szCs w:val="21"/>
              </w:rPr>
              <w:t>伽师县</w:t>
            </w:r>
          </w:p>
        </w:tc>
        <w:tc>
          <w:tcPr>
            <w:tcW w:w="661" w:type="dxa"/>
            <w:vAlign w:val="center"/>
          </w:tcPr>
          <w:p w14:paraId="29A707FF">
            <w:pPr>
              <w:widowControl/>
              <w:spacing w:line="300" w:lineRule="exact"/>
              <w:jc w:val="center"/>
              <w:rPr>
                <w:rFonts w:ascii="Times New Roman" w:cs="Times New Roman" w:hAnsiTheme="minorEastAsia" w:eastAsiaTheme="minorEastAsia"/>
                <w:color w:val="auto"/>
                <w:spacing w:val="-20"/>
                <w:szCs w:val="21"/>
              </w:rPr>
            </w:pPr>
            <w:r>
              <w:rPr>
                <w:rFonts w:ascii="Times New Roman" w:cs="Times New Roman" w:hAnsiTheme="minorEastAsia" w:eastAsiaTheme="minorEastAsia"/>
                <w:color w:val="auto"/>
                <w:spacing w:val="-20"/>
                <w:szCs w:val="21"/>
              </w:rPr>
              <w:t>路左</w:t>
            </w:r>
          </w:p>
        </w:tc>
        <w:tc>
          <w:tcPr>
            <w:tcW w:w="662" w:type="dxa"/>
            <w:vAlign w:val="center"/>
          </w:tcPr>
          <w:p w14:paraId="4BCE3BB5">
            <w:pPr>
              <w:widowControl/>
              <w:spacing w:line="300" w:lineRule="exact"/>
              <w:jc w:val="center"/>
              <w:rPr>
                <w:rFonts w:ascii="Times New Roman" w:cs="Times New Roman" w:hAnsiTheme="minorEastAsia" w:eastAsiaTheme="minorEastAsia"/>
                <w:color w:val="auto"/>
                <w:spacing w:val="-20"/>
                <w:szCs w:val="21"/>
              </w:rPr>
            </w:pPr>
            <w:r>
              <w:rPr>
                <w:rFonts w:hint="eastAsia" w:ascii="Times New Roman" w:cs="Times New Roman" w:hAnsiTheme="minorEastAsia" w:eastAsiaTheme="minorEastAsia"/>
                <w:color w:val="auto"/>
                <w:spacing w:val="-20"/>
                <w:szCs w:val="21"/>
              </w:rPr>
              <w:t>45</w:t>
            </w:r>
          </w:p>
        </w:tc>
        <w:tc>
          <w:tcPr>
            <w:tcW w:w="662" w:type="dxa"/>
            <w:vAlign w:val="center"/>
          </w:tcPr>
          <w:p w14:paraId="21A5E826">
            <w:pPr>
              <w:widowControl/>
              <w:spacing w:line="300" w:lineRule="exact"/>
              <w:jc w:val="center"/>
              <w:rPr>
                <w:rFonts w:ascii="Times New Roman" w:cs="Times New Roman" w:hAnsiTheme="minorEastAsia" w:eastAsiaTheme="minorEastAsia"/>
                <w:color w:val="auto"/>
                <w:spacing w:val="-20"/>
                <w:szCs w:val="21"/>
              </w:rPr>
            </w:pPr>
            <w:r>
              <w:rPr>
                <w:rFonts w:hint="eastAsia" w:ascii="Times New Roman" w:cs="Times New Roman" w:hAnsiTheme="minorEastAsia" w:eastAsiaTheme="minorEastAsia"/>
                <w:color w:val="auto"/>
                <w:spacing w:val="-20"/>
                <w:szCs w:val="21"/>
              </w:rPr>
              <w:t>33</w:t>
            </w:r>
          </w:p>
        </w:tc>
        <w:tc>
          <w:tcPr>
            <w:tcW w:w="567" w:type="dxa"/>
            <w:vAlign w:val="center"/>
          </w:tcPr>
          <w:p w14:paraId="1A3A0430">
            <w:pPr>
              <w:widowControl/>
              <w:spacing w:line="300" w:lineRule="exact"/>
              <w:jc w:val="center"/>
              <w:rPr>
                <w:rFonts w:ascii="Times New Roman" w:hAnsi="Times New Roman" w:cs="Times New Roman" w:eastAsiaTheme="minorEastAsia"/>
                <w:color w:val="auto"/>
                <w:spacing w:val="-20"/>
                <w:kern w:val="0"/>
                <w:szCs w:val="21"/>
              </w:rPr>
            </w:pPr>
            <w:r>
              <w:rPr>
                <w:rFonts w:ascii="Times New Roman" w:cs="Times New Roman" w:hAnsiTheme="minorEastAsia" w:eastAsiaTheme="minorEastAsia"/>
                <w:color w:val="auto"/>
                <w:spacing w:val="-20"/>
                <w:szCs w:val="21"/>
              </w:rPr>
              <w:t>路左</w:t>
            </w:r>
          </w:p>
        </w:tc>
        <w:tc>
          <w:tcPr>
            <w:tcW w:w="708" w:type="dxa"/>
            <w:vAlign w:val="center"/>
          </w:tcPr>
          <w:p w14:paraId="44C7C18D">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szCs w:val="21"/>
              </w:rPr>
              <w:t>45</w:t>
            </w:r>
          </w:p>
        </w:tc>
        <w:tc>
          <w:tcPr>
            <w:tcW w:w="709" w:type="dxa"/>
            <w:vAlign w:val="center"/>
          </w:tcPr>
          <w:p w14:paraId="308A8AB4">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26</w:t>
            </w:r>
          </w:p>
        </w:tc>
        <w:tc>
          <w:tcPr>
            <w:tcW w:w="992" w:type="dxa"/>
            <w:vAlign w:val="center"/>
          </w:tcPr>
          <w:p w14:paraId="1A240951">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0</w:t>
            </w:r>
          </w:p>
        </w:tc>
        <w:tc>
          <w:tcPr>
            <w:tcW w:w="993" w:type="dxa"/>
            <w:vAlign w:val="center"/>
          </w:tcPr>
          <w:p w14:paraId="16AC094B">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2.0</w:t>
            </w:r>
          </w:p>
        </w:tc>
        <w:tc>
          <w:tcPr>
            <w:tcW w:w="567" w:type="dxa"/>
            <w:vAlign w:val="center"/>
          </w:tcPr>
          <w:p w14:paraId="7267E4DA">
            <w:pPr>
              <w:widowControl/>
              <w:spacing w:line="300" w:lineRule="exact"/>
              <w:jc w:val="center"/>
              <w:rPr>
                <w:rFonts w:ascii="Times New Roman" w:hAnsi="Times New Roman" w:cs="Times New Roman" w:eastAsiaTheme="minorEastAsia"/>
                <w:color w:val="auto"/>
                <w:spacing w:val="-20"/>
                <w:kern w:val="0"/>
                <w:szCs w:val="21"/>
              </w:rPr>
            </w:pPr>
            <w:r>
              <w:rPr>
                <w:rFonts w:ascii="Times New Roman" w:cs="Times New Roman" w:hAnsiTheme="minorEastAsia" w:eastAsiaTheme="minorEastAsia"/>
                <w:color w:val="auto"/>
                <w:spacing w:val="-20"/>
                <w:kern w:val="0"/>
                <w:szCs w:val="21"/>
              </w:rPr>
              <w:t>路基</w:t>
            </w:r>
          </w:p>
        </w:tc>
        <w:tc>
          <w:tcPr>
            <w:tcW w:w="992" w:type="dxa"/>
            <w:vAlign w:val="center"/>
          </w:tcPr>
          <w:p w14:paraId="13F81E34">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54</w:t>
            </w:r>
          </w:p>
        </w:tc>
        <w:tc>
          <w:tcPr>
            <w:tcW w:w="709" w:type="dxa"/>
            <w:vAlign w:val="center"/>
          </w:tcPr>
          <w:p w14:paraId="3EAF3AB9">
            <w:pPr>
              <w:widowControl/>
              <w:spacing w:line="300" w:lineRule="exact"/>
              <w:jc w:val="center"/>
              <w:rPr>
                <w:rFonts w:ascii="Times New Roman" w:hAnsi="Times New Roman" w:cs="Times New Roman" w:eastAsiaTheme="minorEastAsia"/>
                <w:color w:val="auto"/>
                <w:spacing w:val="-20"/>
                <w:kern w:val="0"/>
                <w:szCs w:val="21"/>
              </w:rPr>
            </w:pPr>
            <w:r>
              <w:rPr>
                <w:rFonts w:ascii="Times New Roman" w:hAnsi="Times New Roman" w:cs="Times New Roman" w:eastAsiaTheme="minorEastAsia"/>
                <w:color w:val="auto"/>
                <w:spacing w:val="-20"/>
                <w:kern w:val="0"/>
                <w:szCs w:val="21"/>
              </w:rPr>
              <w:t>-</w:t>
            </w:r>
          </w:p>
        </w:tc>
        <w:tc>
          <w:tcPr>
            <w:tcW w:w="708" w:type="dxa"/>
            <w:vAlign w:val="center"/>
          </w:tcPr>
          <w:p w14:paraId="4A224D4C">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1栋3层楼</w:t>
            </w:r>
          </w:p>
        </w:tc>
        <w:tc>
          <w:tcPr>
            <w:tcW w:w="4568" w:type="dxa"/>
            <w:vAlign w:val="center"/>
          </w:tcPr>
          <w:p w14:paraId="19E0BDC4">
            <w:pPr>
              <w:widowControl/>
              <w:spacing w:line="300" w:lineRule="exact"/>
              <w:rPr>
                <w:rFonts w:ascii="Times New Roman" w:hAnsi="Times New Roman" w:cs="Times New Roman" w:eastAsiaTheme="minorEastAsia"/>
                <w:color w:val="auto"/>
                <w:spacing w:val="0"/>
                <w:kern w:val="0"/>
                <w:sz w:val="21"/>
                <w:szCs w:val="21"/>
              </w:rPr>
            </w:pPr>
            <w:r>
              <w:rPr>
                <w:rFonts w:ascii="Times New Roman" w:hAnsi="Times New Roman" w:eastAsia="宋体" w:cs="Times New Roman"/>
                <w:color w:val="auto"/>
                <w:spacing w:val="0"/>
                <w:kern w:val="0"/>
                <w:sz w:val="21"/>
                <w:szCs w:val="21"/>
              </w:rPr>
              <w:t>路线以填方路基形式经过学校。学校共</w:t>
            </w:r>
            <w:r>
              <w:rPr>
                <w:rFonts w:hint="eastAsia" w:ascii="Times New Roman" w:hAnsi="Times New Roman" w:eastAsia="宋体" w:cs="Times New Roman"/>
                <w:color w:val="auto"/>
                <w:spacing w:val="0"/>
                <w:kern w:val="0"/>
                <w:sz w:val="21"/>
                <w:szCs w:val="21"/>
              </w:rPr>
              <w:t>3个年级，3</w:t>
            </w:r>
            <w:r>
              <w:rPr>
                <w:rFonts w:ascii="Times New Roman" w:hAnsi="Times New Roman" w:eastAsia="宋体" w:cs="Times New Roman"/>
                <w:color w:val="auto"/>
                <w:spacing w:val="0"/>
                <w:kern w:val="0"/>
                <w:sz w:val="21"/>
                <w:szCs w:val="21"/>
              </w:rPr>
              <w:t>个班，教师</w:t>
            </w:r>
            <w:r>
              <w:rPr>
                <w:rFonts w:hint="eastAsia" w:ascii="Times New Roman" w:hAnsi="Times New Roman" w:eastAsia="宋体" w:cs="Times New Roman"/>
                <w:color w:val="auto"/>
                <w:spacing w:val="0"/>
                <w:kern w:val="0"/>
                <w:sz w:val="21"/>
                <w:szCs w:val="21"/>
              </w:rPr>
              <w:t>7</w:t>
            </w:r>
            <w:r>
              <w:rPr>
                <w:rFonts w:ascii="Times New Roman" w:hAnsi="Times New Roman" w:eastAsia="宋体" w:cs="Times New Roman"/>
                <w:color w:val="auto"/>
                <w:spacing w:val="0"/>
                <w:kern w:val="0"/>
                <w:sz w:val="21"/>
                <w:szCs w:val="21"/>
              </w:rPr>
              <w:t>人，学生</w:t>
            </w:r>
            <w:r>
              <w:rPr>
                <w:rFonts w:hint="eastAsia" w:ascii="Times New Roman" w:hAnsi="Times New Roman" w:eastAsia="宋体" w:cs="Times New Roman"/>
                <w:color w:val="auto"/>
                <w:spacing w:val="0"/>
                <w:kern w:val="0"/>
                <w:sz w:val="21"/>
                <w:szCs w:val="21"/>
              </w:rPr>
              <w:t>151</w:t>
            </w:r>
            <w:r>
              <w:rPr>
                <w:rFonts w:ascii="Times New Roman" w:hAnsi="Times New Roman" w:eastAsia="宋体" w:cs="Times New Roman"/>
                <w:color w:val="auto"/>
                <w:spacing w:val="0"/>
                <w:kern w:val="0"/>
                <w:sz w:val="21"/>
                <w:szCs w:val="21"/>
              </w:rPr>
              <w:t>人，夜间</w:t>
            </w:r>
            <w:r>
              <w:rPr>
                <w:rFonts w:hint="eastAsia" w:ascii="Times New Roman" w:hAnsi="Times New Roman" w:eastAsia="宋体" w:cs="Times New Roman"/>
                <w:color w:val="auto"/>
                <w:spacing w:val="0"/>
                <w:kern w:val="0"/>
                <w:sz w:val="21"/>
                <w:szCs w:val="21"/>
              </w:rPr>
              <w:t>无</w:t>
            </w:r>
            <w:r>
              <w:rPr>
                <w:rFonts w:ascii="Times New Roman" w:hAnsi="Times New Roman" w:eastAsia="宋体" w:cs="Times New Roman"/>
                <w:color w:val="auto"/>
                <w:spacing w:val="0"/>
                <w:kern w:val="0"/>
                <w:sz w:val="21"/>
                <w:szCs w:val="21"/>
              </w:rPr>
              <w:t>住宿。现有</w:t>
            </w:r>
            <w:r>
              <w:rPr>
                <w:rFonts w:hint="eastAsia" w:ascii="Times New Roman" w:hAnsi="Times New Roman" w:eastAsia="宋体" w:cs="Times New Roman"/>
                <w:color w:val="auto"/>
                <w:spacing w:val="0"/>
                <w:kern w:val="0"/>
                <w:sz w:val="21"/>
                <w:szCs w:val="21"/>
              </w:rPr>
              <w:t>1</w:t>
            </w:r>
            <w:r>
              <w:rPr>
                <w:rFonts w:ascii="Times New Roman" w:hAnsi="Times New Roman" w:eastAsia="宋体" w:cs="Times New Roman"/>
                <w:color w:val="auto"/>
                <w:spacing w:val="0"/>
                <w:kern w:val="0"/>
                <w:sz w:val="21"/>
                <w:szCs w:val="21"/>
              </w:rPr>
              <w:t>栋</w:t>
            </w:r>
            <w:r>
              <w:rPr>
                <w:rFonts w:hint="eastAsia" w:ascii="Times New Roman" w:hAnsi="Times New Roman" w:eastAsia="宋体" w:cs="Times New Roman"/>
                <w:color w:val="auto"/>
                <w:spacing w:val="0"/>
                <w:kern w:val="0"/>
                <w:sz w:val="21"/>
                <w:szCs w:val="21"/>
              </w:rPr>
              <w:t>3</w:t>
            </w:r>
            <w:r>
              <w:rPr>
                <w:rFonts w:ascii="Times New Roman" w:hAnsi="Times New Roman" w:eastAsia="宋体" w:cs="Times New Roman"/>
                <w:color w:val="auto"/>
                <w:spacing w:val="0"/>
                <w:kern w:val="0"/>
                <w:sz w:val="21"/>
                <w:szCs w:val="21"/>
              </w:rPr>
              <w:t>层教学楼，</w:t>
            </w:r>
            <w:r>
              <w:rPr>
                <w:rFonts w:hint="eastAsia" w:ascii="Times New Roman" w:hAnsi="Times New Roman" w:eastAsia="宋体" w:cs="Times New Roman"/>
                <w:color w:val="auto"/>
                <w:spacing w:val="0"/>
                <w:kern w:val="0"/>
                <w:sz w:val="21"/>
                <w:szCs w:val="21"/>
              </w:rPr>
              <w:t>侧</w:t>
            </w:r>
            <w:r>
              <w:rPr>
                <w:rFonts w:ascii="Times New Roman" w:hAnsi="Times New Roman" w:eastAsia="宋体" w:cs="Times New Roman"/>
                <w:color w:val="auto"/>
                <w:spacing w:val="0"/>
                <w:kern w:val="0"/>
                <w:sz w:val="21"/>
                <w:szCs w:val="21"/>
              </w:rPr>
              <w:t>向公路。该路段利用现有</w:t>
            </w:r>
            <w:r>
              <w:rPr>
                <w:rFonts w:hint="eastAsia" w:ascii="Times New Roman" w:hAnsi="Times New Roman" w:eastAsia="宋体" w:cs="Times New Roman"/>
                <w:color w:val="auto"/>
                <w:spacing w:val="0"/>
                <w:kern w:val="0"/>
                <w:sz w:val="21"/>
                <w:szCs w:val="21"/>
              </w:rPr>
              <w:t>老路双侧加宽</w:t>
            </w:r>
            <w:r>
              <w:rPr>
                <w:rFonts w:ascii="Times New Roman" w:hAnsi="Times New Roman" w:eastAsia="宋体" w:cs="Times New Roman"/>
                <w:color w:val="auto"/>
                <w:spacing w:val="0"/>
                <w:kern w:val="0"/>
                <w:sz w:val="21"/>
                <w:szCs w:val="21"/>
              </w:rPr>
              <w:t>，</w:t>
            </w:r>
            <w:r>
              <w:rPr>
                <w:rFonts w:ascii="Times New Roman" w:cs="Times New Roman" w:hAnsiTheme="minorEastAsia" w:eastAsiaTheme="minorEastAsia"/>
                <w:color w:val="auto"/>
                <w:spacing w:val="0"/>
                <w:kern w:val="0"/>
                <w:sz w:val="21"/>
                <w:szCs w:val="21"/>
              </w:rPr>
              <w:t>主要噪声源为现有</w:t>
            </w:r>
            <w:r>
              <w:rPr>
                <w:rFonts w:hint="eastAsia" w:ascii="Times New Roman" w:hAnsi="Times New Roman" w:cs="Times New Roman" w:eastAsiaTheme="minorEastAsia"/>
                <w:color w:val="auto"/>
                <w:spacing w:val="0"/>
                <w:kern w:val="0"/>
                <w:sz w:val="21"/>
                <w:szCs w:val="21"/>
              </w:rPr>
              <w:t>G219</w:t>
            </w:r>
            <w:r>
              <w:rPr>
                <w:rFonts w:ascii="Times New Roman" w:cs="Times New Roman" w:hAnsiTheme="minorEastAsia" w:eastAsiaTheme="minorEastAsia"/>
                <w:color w:val="auto"/>
                <w:spacing w:val="0"/>
                <w:kern w:val="0"/>
                <w:sz w:val="21"/>
                <w:szCs w:val="21"/>
              </w:rPr>
              <w:t>交通噪声和社会生活噪声。</w:t>
            </w:r>
          </w:p>
        </w:tc>
        <w:tc>
          <w:tcPr>
            <w:tcW w:w="2898" w:type="dxa"/>
            <w:vAlign w:val="center"/>
          </w:tcPr>
          <w:p w14:paraId="66D9FE86">
            <w:pPr>
              <w:widowControl/>
              <w:adjustRightInd w:val="0"/>
              <w:snapToGrid w:val="0"/>
              <w:jc w:val="center"/>
              <w:rPr>
                <w:rFonts w:ascii="Times New Roman" w:hAnsi="Times New Roman" w:cs="Times New Roman" w:eastAsiaTheme="minorEastAsia"/>
                <w:snapToGrid w:val="0"/>
                <w:color w:val="auto"/>
                <w:spacing w:val="-20"/>
                <w:kern w:val="0"/>
                <w:szCs w:val="21"/>
              </w:rPr>
            </w:pPr>
            <w:r>
              <w:rPr>
                <w:rFonts w:ascii="Times New Roman" w:hAnsi="Times New Roman" w:cs="Times New Roman" w:eastAsiaTheme="minorEastAsia"/>
                <w:color w:val="auto"/>
                <w:spacing w:val="-20"/>
                <w:kern w:val="0"/>
                <w:szCs w:val="21"/>
              </w:rPr>
              <w:drawing>
                <wp:inline distT="0" distB="0" distL="0" distR="0">
                  <wp:extent cx="1729105" cy="1295400"/>
                  <wp:effectExtent l="0" t="0" r="4445" b="0"/>
                  <wp:docPr id="675940255" name="图片 10" descr="E:\咨询项目\环评\新疆-G219线八盘水磨至伽师公路\外业踏勘记录及照片\DSC09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940255" name="图片 10" descr="E:\咨询项目\环评\新疆-G219线八盘水磨至伽师公路\外业踏勘记录及照片\DSC09044.JPG"/>
                          <pic:cNvPicPr>
                            <a:picLocks noChangeAspect="1" noChangeArrowheads="1"/>
                          </pic:cNvPicPr>
                        </pic:nvPicPr>
                        <pic:blipFill>
                          <a:blip r:embed="rId165" cstate="print"/>
                          <a:srcRect/>
                          <a:stretch>
                            <a:fillRect/>
                          </a:stretch>
                        </pic:blipFill>
                        <pic:spPr>
                          <a:xfrm>
                            <a:off x="0" y="0"/>
                            <a:ext cx="1729728" cy="1296000"/>
                          </a:xfrm>
                          <a:prstGeom prst="rect">
                            <a:avLst/>
                          </a:prstGeom>
                          <a:noFill/>
                          <a:ln w="9525">
                            <a:noFill/>
                            <a:miter lim="800000"/>
                            <a:headEnd/>
                            <a:tailEnd/>
                          </a:ln>
                        </pic:spPr>
                      </pic:pic>
                    </a:graphicData>
                  </a:graphic>
                </wp:inline>
              </w:drawing>
            </w:r>
          </w:p>
        </w:tc>
      </w:tr>
      <w:tr w14:paraId="0D38CB0E">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2102" w:hRule="atLeast"/>
          <w:tblHeader/>
          <w:jc w:val="center"/>
        </w:trPr>
        <w:tc>
          <w:tcPr>
            <w:tcW w:w="568" w:type="dxa"/>
            <w:noWrap/>
            <w:vAlign w:val="center"/>
          </w:tcPr>
          <w:p w14:paraId="7FB57435">
            <w:pPr>
              <w:widowControl/>
              <w:spacing w:line="300" w:lineRule="exact"/>
              <w:jc w:val="center"/>
              <w:rPr>
                <w:rFonts w:ascii="Times New Roman" w:hAnsi="Times New Roman" w:cs="Times New Roman" w:eastAsiaTheme="minorEastAsia"/>
                <w:color w:val="auto"/>
                <w:spacing w:val="-20"/>
                <w:kern w:val="0"/>
                <w:szCs w:val="21"/>
              </w:rPr>
            </w:pPr>
            <w:r>
              <w:rPr>
                <w:rFonts w:ascii="Times New Roman" w:hAnsi="Times New Roman" w:cs="Times New Roman" w:eastAsiaTheme="minorEastAsia"/>
                <w:color w:val="auto"/>
                <w:spacing w:val="-20"/>
                <w:kern w:val="0"/>
                <w:szCs w:val="21"/>
              </w:rPr>
              <w:t>11</w:t>
            </w:r>
          </w:p>
        </w:tc>
        <w:tc>
          <w:tcPr>
            <w:tcW w:w="694" w:type="dxa"/>
            <w:vMerge w:val="continue"/>
            <w:vAlign w:val="center"/>
          </w:tcPr>
          <w:p w14:paraId="0B2E85EB">
            <w:pPr>
              <w:spacing w:line="300" w:lineRule="exact"/>
              <w:jc w:val="center"/>
              <w:rPr>
                <w:rFonts w:ascii="Times New Roman" w:hAnsi="Times New Roman" w:cs="Times New Roman" w:eastAsiaTheme="minorEastAsia"/>
                <w:color w:val="auto"/>
                <w:spacing w:val="-20"/>
                <w:kern w:val="0"/>
                <w:szCs w:val="21"/>
              </w:rPr>
            </w:pPr>
          </w:p>
        </w:tc>
        <w:tc>
          <w:tcPr>
            <w:tcW w:w="1134" w:type="dxa"/>
            <w:vAlign w:val="center"/>
          </w:tcPr>
          <w:p w14:paraId="4B510FE9">
            <w:pPr>
              <w:spacing w:line="300" w:lineRule="exact"/>
              <w:jc w:val="center"/>
              <w:rPr>
                <w:rFonts w:ascii="Times New Roman" w:hAnsi="Times New Roman" w:cs="Times New Roman" w:eastAsiaTheme="minorEastAsia"/>
                <w:color w:val="auto"/>
                <w:spacing w:val="-20"/>
                <w:szCs w:val="21"/>
              </w:rPr>
            </w:pPr>
            <w:r>
              <w:rPr>
                <w:rFonts w:ascii="Times New Roman" w:hAnsi="Times New Roman" w:cs="Times New Roman" w:eastAsiaTheme="minorEastAsia"/>
                <w:color w:val="auto"/>
                <w:spacing w:val="-20"/>
                <w:szCs w:val="21"/>
              </w:rPr>
              <w:t>K</w:t>
            </w:r>
            <w:r>
              <w:rPr>
                <w:rFonts w:hint="eastAsia" w:ascii="Times New Roman" w:hAnsi="Times New Roman" w:cs="Times New Roman" w:eastAsiaTheme="minorEastAsia"/>
                <w:color w:val="auto"/>
                <w:spacing w:val="-20"/>
                <w:szCs w:val="21"/>
              </w:rPr>
              <w:t>25</w:t>
            </w:r>
            <w:r>
              <w:rPr>
                <w:rFonts w:ascii="Times New Roman" w:hAnsi="Times New Roman" w:cs="Times New Roman" w:eastAsiaTheme="minorEastAsia"/>
                <w:color w:val="auto"/>
                <w:spacing w:val="-20"/>
                <w:szCs w:val="21"/>
              </w:rPr>
              <w:t>+</w:t>
            </w:r>
            <w:r>
              <w:rPr>
                <w:rFonts w:hint="eastAsia" w:ascii="Times New Roman" w:hAnsi="Times New Roman" w:cs="Times New Roman" w:eastAsiaTheme="minorEastAsia"/>
                <w:color w:val="auto"/>
                <w:spacing w:val="-20"/>
                <w:szCs w:val="21"/>
              </w:rPr>
              <w:t>450</w:t>
            </w:r>
            <w:r>
              <w:rPr>
                <w:rFonts w:ascii="Times New Roman" w:cs="Times New Roman" w:hAnsiTheme="minorEastAsia" w:eastAsiaTheme="minorEastAsia"/>
                <w:color w:val="auto"/>
                <w:spacing w:val="-20"/>
                <w:szCs w:val="21"/>
              </w:rPr>
              <w:t>～</w:t>
            </w:r>
            <w:r>
              <w:rPr>
                <w:rFonts w:ascii="Times New Roman" w:hAnsi="Times New Roman" w:cs="Times New Roman" w:eastAsiaTheme="minorEastAsia"/>
                <w:color w:val="auto"/>
                <w:spacing w:val="-20"/>
                <w:szCs w:val="21"/>
              </w:rPr>
              <w:t>K</w:t>
            </w:r>
            <w:r>
              <w:rPr>
                <w:rFonts w:hint="eastAsia" w:ascii="Times New Roman" w:hAnsi="Times New Roman" w:cs="Times New Roman" w:eastAsiaTheme="minorEastAsia"/>
                <w:color w:val="auto"/>
                <w:spacing w:val="-20"/>
                <w:szCs w:val="21"/>
              </w:rPr>
              <w:t>26</w:t>
            </w:r>
            <w:r>
              <w:rPr>
                <w:rFonts w:ascii="Times New Roman" w:hAnsi="Times New Roman" w:cs="Times New Roman" w:eastAsiaTheme="minorEastAsia"/>
                <w:color w:val="auto"/>
                <w:spacing w:val="-20"/>
                <w:szCs w:val="21"/>
              </w:rPr>
              <w:t>+</w:t>
            </w:r>
            <w:r>
              <w:rPr>
                <w:rFonts w:hint="eastAsia" w:ascii="Times New Roman" w:hAnsi="Times New Roman" w:cs="Times New Roman" w:eastAsiaTheme="minorEastAsia"/>
                <w:color w:val="auto"/>
                <w:spacing w:val="-20"/>
                <w:szCs w:val="21"/>
              </w:rPr>
              <w:t>80</w:t>
            </w:r>
            <w:r>
              <w:rPr>
                <w:rFonts w:ascii="Times New Roman" w:hAnsi="Times New Roman" w:cs="Times New Roman" w:eastAsiaTheme="minorEastAsia"/>
                <w:color w:val="auto"/>
                <w:spacing w:val="-20"/>
                <w:szCs w:val="21"/>
              </w:rPr>
              <w:t>0</w:t>
            </w:r>
          </w:p>
        </w:tc>
        <w:tc>
          <w:tcPr>
            <w:tcW w:w="851" w:type="dxa"/>
            <w:vAlign w:val="center"/>
          </w:tcPr>
          <w:p w14:paraId="7BD161A2">
            <w:pPr>
              <w:spacing w:line="300" w:lineRule="exact"/>
              <w:jc w:val="center"/>
              <w:rPr>
                <w:rFonts w:ascii="Times New Roman" w:hAnsi="Times New Roman" w:cs="Times New Roman" w:eastAsiaTheme="minorEastAsia"/>
                <w:color w:val="auto"/>
                <w:spacing w:val="-20"/>
                <w:szCs w:val="21"/>
              </w:rPr>
            </w:pPr>
            <w:r>
              <w:rPr>
                <w:rFonts w:hint="eastAsia" w:ascii="Times New Roman" w:cs="Times New Roman" w:hAnsiTheme="minorEastAsia" w:eastAsiaTheme="minorEastAsia"/>
                <w:color w:val="auto"/>
                <w:spacing w:val="-20"/>
                <w:szCs w:val="21"/>
              </w:rPr>
              <w:t>巴什英买里村</w:t>
            </w:r>
          </w:p>
        </w:tc>
        <w:tc>
          <w:tcPr>
            <w:tcW w:w="850" w:type="dxa"/>
            <w:vMerge w:val="continue"/>
            <w:vAlign w:val="center"/>
          </w:tcPr>
          <w:p w14:paraId="4C828644">
            <w:pPr>
              <w:spacing w:line="300" w:lineRule="exact"/>
              <w:jc w:val="center"/>
              <w:rPr>
                <w:rFonts w:ascii="Times New Roman" w:hAnsi="Times New Roman" w:cs="Times New Roman" w:eastAsiaTheme="minorEastAsia"/>
                <w:color w:val="auto"/>
                <w:spacing w:val="-20"/>
                <w:szCs w:val="21"/>
              </w:rPr>
            </w:pPr>
          </w:p>
        </w:tc>
        <w:tc>
          <w:tcPr>
            <w:tcW w:w="661" w:type="dxa"/>
            <w:vAlign w:val="center"/>
          </w:tcPr>
          <w:p w14:paraId="0FFC33F1">
            <w:pPr>
              <w:spacing w:line="300" w:lineRule="exact"/>
              <w:jc w:val="center"/>
              <w:rPr>
                <w:rFonts w:ascii="Times New Roman" w:cs="Times New Roman" w:hAnsiTheme="minorEastAsia" w:eastAsiaTheme="minorEastAsia"/>
                <w:color w:val="auto"/>
                <w:spacing w:val="-20"/>
                <w:szCs w:val="21"/>
              </w:rPr>
            </w:pPr>
            <w:r>
              <w:rPr>
                <w:rFonts w:hint="eastAsia" w:ascii="Times New Roman" w:cs="Times New Roman" w:hAnsiTheme="minorEastAsia" w:eastAsiaTheme="minorEastAsia"/>
                <w:color w:val="auto"/>
                <w:spacing w:val="-20"/>
                <w:szCs w:val="21"/>
              </w:rPr>
              <w:t>两侧</w:t>
            </w:r>
          </w:p>
        </w:tc>
        <w:tc>
          <w:tcPr>
            <w:tcW w:w="662" w:type="dxa"/>
            <w:vAlign w:val="center"/>
          </w:tcPr>
          <w:p w14:paraId="06D4F3AD">
            <w:pPr>
              <w:spacing w:line="300" w:lineRule="exact"/>
              <w:jc w:val="center"/>
              <w:rPr>
                <w:rFonts w:ascii="Times New Roman" w:cs="Times New Roman" w:hAnsiTheme="minorEastAsia" w:eastAsiaTheme="minorEastAsia"/>
                <w:color w:val="auto"/>
                <w:spacing w:val="-20"/>
                <w:szCs w:val="21"/>
              </w:rPr>
            </w:pPr>
            <w:r>
              <w:rPr>
                <w:rFonts w:hint="eastAsia" w:ascii="Times New Roman" w:cs="Times New Roman" w:hAnsiTheme="minorEastAsia" w:eastAsiaTheme="minorEastAsia"/>
                <w:color w:val="auto"/>
                <w:spacing w:val="-20"/>
                <w:szCs w:val="21"/>
              </w:rPr>
              <w:t>16</w:t>
            </w:r>
          </w:p>
        </w:tc>
        <w:tc>
          <w:tcPr>
            <w:tcW w:w="662" w:type="dxa"/>
            <w:vAlign w:val="center"/>
          </w:tcPr>
          <w:p w14:paraId="30D1BEA3">
            <w:pPr>
              <w:spacing w:line="300" w:lineRule="exact"/>
              <w:jc w:val="center"/>
              <w:rPr>
                <w:rFonts w:ascii="Times New Roman" w:cs="Times New Roman" w:hAnsiTheme="minorEastAsia" w:eastAsiaTheme="minorEastAsia"/>
                <w:color w:val="auto"/>
                <w:spacing w:val="-20"/>
                <w:szCs w:val="21"/>
              </w:rPr>
            </w:pPr>
            <w:r>
              <w:rPr>
                <w:rFonts w:hint="eastAsia" w:ascii="Times New Roman" w:cs="Times New Roman" w:hAnsiTheme="minorEastAsia" w:eastAsiaTheme="minorEastAsia"/>
                <w:color w:val="auto"/>
                <w:spacing w:val="-20"/>
                <w:szCs w:val="21"/>
              </w:rPr>
              <w:t>3</w:t>
            </w:r>
          </w:p>
        </w:tc>
        <w:tc>
          <w:tcPr>
            <w:tcW w:w="567" w:type="dxa"/>
            <w:vAlign w:val="center"/>
          </w:tcPr>
          <w:p w14:paraId="2415DA77">
            <w:pPr>
              <w:spacing w:line="300" w:lineRule="exact"/>
              <w:jc w:val="center"/>
              <w:rPr>
                <w:rFonts w:ascii="Times New Roman" w:hAnsi="Times New Roman" w:cs="Times New Roman" w:eastAsiaTheme="minorEastAsia"/>
                <w:color w:val="auto"/>
                <w:spacing w:val="-20"/>
                <w:szCs w:val="21"/>
              </w:rPr>
            </w:pPr>
            <w:r>
              <w:rPr>
                <w:rFonts w:hint="eastAsia" w:ascii="Times New Roman" w:cs="Times New Roman" w:hAnsiTheme="minorEastAsia" w:eastAsiaTheme="minorEastAsia"/>
                <w:color w:val="auto"/>
                <w:spacing w:val="-20"/>
                <w:szCs w:val="21"/>
              </w:rPr>
              <w:t>两侧</w:t>
            </w:r>
          </w:p>
        </w:tc>
        <w:tc>
          <w:tcPr>
            <w:tcW w:w="708" w:type="dxa"/>
            <w:vAlign w:val="center"/>
          </w:tcPr>
          <w:p w14:paraId="164227AB">
            <w:pPr>
              <w:spacing w:line="300" w:lineRule="exact"/>
              <w:jc w:val="center"/>
              <w:rPr>
                <w:rFonts w:ascii="Times New Roman" w:hAnsi="Times New Roman" w:cs="Times New Roman" w:eastAsiaTheme="minorEastAsia"/>
                <w:color w:val="auto"/>
                <w:spacing w:val="-20"/>
                <w:szCs w:val="21"/>
              </w:rPr>
            </w:pPr>
            <w:r>
              <w:rPr>
                <w:rFonts w:hint="eastAsia" w:ascii="Times New Roman" w:hAnsi="Times New Roman" w:cs="Times New Roman" w:eastAsiaTheme="minorEastAsia"/>
                <w:color w:val="auto"/>
                <w:spacing w:val="-20"/>
                <w:szCs w:val="21"/>
              </w:rPr>
              <w:t>23</w:t>
            </w:r>
          </w:p>
        </w:tc>
        <w:tc>
          <w:tcPr>
            <w:tcW w:w="709" w:type="dxa"/>
            <w:vAlign w:val="center"/>
          </w:tcPr>
          <w:p w14:paraId="129A7A46">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3.5</w:t>
            </w:r>
          </w:p>
        </w:tc>
        <w:tc>
          <w:tcPr>
            <w:tcW w:w="992" w:type="dxa"/>
            <w:vAlign w:val="center"/>
          </w:tcPr>
          <w:p w14:paraId="3B22E31B">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0</w:t>
            </w:r>
          </w:p>
        </w:tc>
        <w:tc>
          <w:tcPr>
            <w:tcW w:w="993" w:type="dxa"/>
            <w:vAlign w:val="center"/>
          </w:tcPr>
          <w:p w14:paraId="5F2DA2BA">
            <w:pPr>
              <w:spacing w:line="300" w:lineRule="exact"/>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2.5</w:t>
            </w:r>
          </w:p>
        </w:tc>
        <w:tc>
          <w:tcPr>
            <w:tcW w:w="567" w:type="dxa"/>
            <w:vAlign w:val="center"/>
          </w:tcPr>
          <w:p w14:paraId="70EEB4B3">
            <w:pPr>
              <w:widowControl/>
              <w:spacing w:line="300" w:lineRule="exact"/>
              <w:jc w:val="center"/>
              <w:rPr>
                <w:rFonts w:ascii="Times New Roman" w:hAnsi="Times New Roman" w:cs="Times New Roman" w:eastAsiaTheme="minorEastAsia"/>
                <w:color w:val="auto"/>
                <w:spacing w:val="-20"/>
                <w:kern w:val="0"/>
                <w:szCs w:val="21"/>
              </w:rPr>
            </w:pPr>
            <w:r>
              <w:rPr>
                <w:rFonts w:ascii="Times New Roman" w:cs="Times New Roman" w:hAnsiTheme="minorEastAsia" w:eastAsiaTheme="minorEastAsia"/>
                <w:color w:val="auto"/>
                <w:spacing w:val="-20"/>
                <w:kern w:val="0"/>
                <w:szCs w:val="21"/>
              </w:rPr>
              <w:t>路基</w:t>
            </w:r>
          </w:p>
        </w:tc>
        <w:tc>
          <w:tcPr>
            <w:tcW w:w="992" w:type="dxa"/>
            <w:vAlign w:val="center"/>
          </w:tcPr>
          <w:p w14:paraId="29851B51">
            <w:pPr>
              <w:spacing w:line="300" w:lineRule="exact"/>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54.5</w:t>
            </w:r>
          </w:p>
        </w:tc>
        <w:tc>
          <w:tcPr>
            <w:tcW w:w="709" w:type="dxa"/>
            <w:vAlign w:val="center"/>
          </w:tcPr>
          <w:p w14:paraId="0B6AB065">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75</w:t>
            </w:r>
          </w:p>
        </w:tc>
        <w:tc>
          <w:tcPr>
            <w:tcW w:w="708" w:type="dxa"/>
            <w:vAlign w:val="center"/>
          </w:tcPr>
          <w:p w14:paraId="1C3FF7DD">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20</w:t>
            </w:r>
          </w:p>
        </w:tc>
        <w:tc>
          <w:tcPr>
            <w:tcW w:w="4568" w:type="dxa"/>
            <w:vAlign w:val="center"/>
          </w:tcPr>
          <w:p w14:paraId="535FA89F">
            <w:pPr>
              <w:widowControl/>
              <w:spacing w:line="300" w:lineRule="exact"/>
              <w:rPr>
                <w:rFonts w:ascii="Times New Roman" w:hAnsi="Times New Roman" w:cs="Times New Roman" w:eastAsiaTheme="minorEastAsia"/>
                <w:color w:val="auto"/>
                <w:spacing w:val="0"/>
                <w:kern w:val="0"/>
                <w:sz w:val="21"/>
                <w:szCs w:val="21"/>
              </w:rPr>
            </w:pPr>
            <w:r>
              <w:rPr>
                <w:rFonts w:ascii="Times New Roman" w:cs="Times New Roman" w:hAnsiTheme="minorEastAsia" w:eastAsiaTheme="minorEastAsia"/>
                <w:color w:val="auto"/>
                <w:spacing w:val="0"/>
                <w:kern w:val="0"/>
                <w:sz w:val="21"/>
                <w:szCs w:val="21"/>
              </w:rPr>
              <w:t>路线以填方路基形式经过村庄。评价范围内现有居民</w:t>
            </w:r>
            <w:r>
              <w:rPr>
                <w:rFonts w:hint="eastAsia" w:ascii="Times New Roman" w:hAnsi="Times New Roman" w:cs="Times New Roman" w:eastAsiaTheme="minorEastAsia"/>
                <w:color w:val="auto"/>
                <w:spacing w:val="0"/>
                <w:kern w:val="0"/>
                <w:sz w:val="21"/>
                <w:szCs w:val="21"/>
              </w:rPr>
              <w:t>95</w:t>
            </w:r>
            <w:r>
              <w:rPr>
                <w:rFonts w:ascii="Times New Roman" w:cs="Times New Roman" w:hAnsiTheme="minorEastAsia" w:eastAsiaTheme="minorEastAsia"/>
                <w:color w:val="auto"/>
                <w:spacing w:val="0"/>
                <w:kern w:val="0"/>
                <w:sz w:val="21"/>
                <w:szCs w:val="21"/>
              </w:rPr>
              <w:t>户，首排</w:t>
            </w:r>
            <w:r>
              <w:rPr>
                <w:rFonts w:hint="eastAsia" w:ascii="Times New Roman" w:hAnsi="Times New Roman" w:cs="Times New Roman" w:eastAsiaTheme="minorEastAsia"/>
                <w:color w:val="auto"/>
                <w:spacing w:val="0"/>
                <w:kern w:val="0"/>
                <w:sz w:val="21"/>
                <w:szCs w:val="21"/>
              </w:rPr>
              <w:t>65</w:t>
            </w:r>
            <w:r>
              <w:rPr>
                <w:rFonts w:ascii="Times New Roman" w:cs="Times New Roman" w:hAnsiTheme="minorEastAsia" w:eastAsiaTheme="minorEastAsia"/>
                <w:color w:val="auto"/>
                <w:spacing w:val="0"/>
                <w:kern w:val="0"/>
                <w:sz w:val="21"/>
                <w:szCs w:val="21"/>
              </w:rPr>
              <w:t>户，</w:t>
            </w:r>
            <w:r>
              <w:rPr>
                <w:rFonts w:hint="eastAsia" w:ascii="Times New Roman" w:cs="Times New Roman" w:hAnsiTheme="minorEastAsia" w:eastAsiaTheme="minorEastAsia"/>
                <w:color w:val="auto"/>
                <w:spacing w:val="0"/>
                <w:kern w:val="0"/>
                <w:sz w:val="21"/>
                <w:szCs w:val="21"/>
              </w:rPr>
              <w:t>主要</w:t>
            </w:r>
            <w:r>
              <w:rPr>
                <w:rFonts w:ascii="Times New Roman" w:cs="Times New Roman" w:hAnsiTheme="minorEastAsia" w:eastAsiaTheme="minorEastAsia"/>
                <w:color w:val="auto"/>
                <w:spacing w:val="0"/>
                <w:kern w:val="0"/>
                <w:sz w:val="21"/>
                <w:szCs w:val="21"/>
              </w:rPr>
              <w:t>为</w:t>
            </w:r>
            <w:r>
              <w:rPr>
                <w:rFonts w:ascii="Times New Roman" w:hAnsi="Times New Roman" w:cs="Times New Roman" w:eastAsiaTheme="minorEastAsia"/>
                <w:color w:val="auto"/>
                <w:spacing w:val="0"/>
                <w:kern w:val="0"/>
                <w:sz w:val="21"/>
                <w:szCs w:val="21"/>
              </w:rPr>
              <w:t>1</w:t>
            </w:r>
            <w:r>
              <w:rPr>
                <w:rFonts w:ascii="Times New Roman" w:cs="Times New Roman" w:hAnsiTheme="minorEastAsia" w:eastAsiaTheme="minorEastAsia"/>
                <w:color w:val="auto"/>
                <w:spacing w:val="0"/>
                <w:kern w:val="0"/>
                <w:sz w:val="21"/>
                <w:szCs w:val="21"/>
              </w:rPr>
              <w:t>层砖混房，房屋正侧向拟建公路。</w:t>
            </w:r>
            <w:r>
              <w:rPr>
                <w:rFonts w:ascii="Times New Roman" w:hAnsi="Times New Roman" w:eastAsia="宋体" w:cs="Times New Roman"/>
                <w:color w:val="auto"/>
                <w:spacing w:val="0"/>
                <w:kern w:val="0"/>
                <w:sz w:val="21"/>
                <w:szCs w:val="21"/>
              </w:rPr>
              <w:t>该路段利用现有</w:t>
            </w:r>
            <w:r>
              <w:rPr>
                <w:rFonts w:hint="eastAsia" w:ascii="Times New Roman" w:hAnsi="Times New Roman" w:eastAsia="宋体" w:cs="Times New Roman"/>
                <w:color w:val="auto"/>
                <w:spacing w:val="0"/>
                <w:kern w:val="0"/>
                <w:sz w:val="21"/>
                <w:szCs w:val="21"/>
              </w:rPr>
              <w:t>老路双侧加宽</w:t>
            </w:r>
            <w:r>
              <w:rPr>
                <w:rFonts w:ascii="Times New Roman" w:hAnsi="Times New Roman" w:eastAsia="宋体" w:cs="Times New Roman"/>
                <w:color w:val="auto"/>
                <w:spacing w:val="0"/>
                <w:kern w:val="0"/>
                <w:sz w:val="21"/>
                <w:szCs w:val="21"/>
              </w:rPr>
              <w:t>，有平交</w:t>
            </w:r>
            <w:r>
              <w:rPr>
                <w:rFonts w:hint="eastAsia" w:ascii="Times New Roman" w:hAnsi="Times New Roman" w:eastAsia="宋体" w:cs="Times New Roman"/>
                <w:color w:val="auto"/>
                <w:spacing w:val="0"/>
                <w:kern w:val="0"/>
                <w:sz w:val="21"/>
                <w:szCs w:val="21"/>
              </w:rPr>
              <w:t>路口</w:t>
            </w:r>
            <w:r>
              <w:rPr>
                <w:rFonts w:ascii="Times New Roman" w:hAnsi="Times New Roman" w:eastAsia="宋体" w:cs="Times New Roman"/>
                <w:color w:val="auto"/>
                <w:spacing w:val="0"/>
                <w:kern w:val="0"/>
                <w:sz w:val="21"/>
                <w:szCs w:val="21"/>
              </w:rPr>
              <w:t>，</w:t>
            </w:r>
            <w:r>
              <w:rPr>
                <w:rFonts w:ascii="Times New Roman" w:cs="Times New Roman" w:hAnsiTheme="minorEastAsia" w:eastAsiaTheme="minorEastAsia"/>
                <w:color w:val="auto"/>
                <w:spacing w:val="0"/>
                <w:kern w:val="0"/>
                <w:sz w:val="21"/>
                <w:szCs w:val="21"/>
              </w:rPr>
              <w:t>主要噪声源为现有</w:t>
            </w:r>
            <w:r>
              <w:rPr>
                <w:rFonts w:hint="eastAsia" w:ascii="Times New Roman" w:hAnsi="Times New Roman" w:cs="Times New Roman" w:eastAsiaTheme="minorEastAsia"/>
                <w:color w:val="auto"/>
                <w:spacing w:val="0"/>
                <w:kern w:val="0"/>
                <w:sz w:val="21"/>
                <w:szCs w:val="21"/>
              </w:rPr>
              <w:t>G219</w:t>
            </w:r>
            <w:r>
              <w:rPr>
                <w:rFonts w:ascii="Times New Roman" w:cs="Times New Roman" w:hAnsiTheme="minorEastAsia" w:eastAsiaTheme="minorEastAsia"/>
                <w:color w:val="auto"/>
                <w:spacing w:val="0"/>
                <w:kern w:val="0"/>
                <w:sz w:val="21"/>
                <w:szCs w:val="21"/>
              </w:rPr>
              <w:t>交通噪声和社会生活噪声。</w:t>
            </w:r>
          </w:p>
        </w:tc>
        <w:tc>
          <w:tcPr>
            <w:tcW w:w="2898" w:type="dxa"/>
            <w:vAlign w:val="center"/>
          </w:tcPr>
          <w:p w14:paraId="5B609E42">
            <w:pPr>
              <w:widowControl/>
              <w:jc w:val="center"/>
              <w:rPr>
                <w:rFonts w:ascii="Times New Roman" w:hAnsi="Times New Roman" w:cs="Times New Roman" w:eastAsiaTheme="minorEastAsia"/>
                <w:color w:val="auto"/>
                <w:spacing w:val="-20"/>
                <w:kern w:val="0"/>
                <w:szCs w:val="21"/>
              </w:rPr>
            </w:pPr>
            <w:r>
              <w:rPr>
                <w:rFonts w:ascii="Times New Roman" w:hAnsi="Times New Roman" w:cs="Times New Roman" w:eastAsiaTheme="minorEastAsia"/>
                <w:color w:val="auto"/>
                <w:spacing w:val="-20"/>
                <w:kern w:val="0"/>
                <w:szCs w:val="21"/>
              </w:rPr>
              <w:drawing>
                <wp:inline distT="0" distB="0" distL="0" distR="0">
                  <wp:extent cx="1729105" cy="1295400"/>
                  <wp:effectExtent l="0" t="0" r="4445" b="0"/>
                  <wp:docPr id="37" name="图片 11" descr="E:\咨询项目\环评\新疆-G219线八盘水磨至伽师公路\外业踏勘记录及照片\DSC09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1" descr="E:\咨询项目\环评\新疆-G219线八盘水磨至伽师公路\外业踏勘记录及照片\DSC09034.JPG"/>
                          <pic:cNvPicPr>
                            <a:picLocks noChangeAspect="1" noChangeArrowheads="1"/>
                          </pic:cNvPicPr>
                        </pic:nvPicPr>
                        <pic:blipFill>
                          <a:blip r:embed="rId166" cstate="print"/>
                          <a:srcRect/>
                          <a:stretch>
                            <a:fillRect/>
                          </a:stretch>
                        </pic:blipFill>
                        <pic:spPr>
                          <a:xfrm>
                            <a:off x="0" y="0"/>
                            <a:ext cx="1729728" cy="1296000"/>
                          </a:xfrm>
                          <a:prstGeom prst="rect">
                            <a:avLst/>
                          </a:prstGeom>
                          <a:noFill/>
                          <a:ln w="9525">
                            <a:noFill/>
                            <a:miter lim="800000"/>
                            <a:headEnd/>
                            <a:tailEnd/>
                          </a:ln>
                        </pic:spPr>
                      </pic:pic>
                    </a:graphicData>
                  </a:graphic>
                </wp:inline>
              </w:drawing>
            </w:r>
          </w:p>
        </w:tc>
      </w:tr>
      <w:tr w14:paraId="1B7CB8C8">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623" w:hRule="atLeast"/>
          <w:tblHeader/>
          <w:jc w:val="center"/>
        </w:trPr>
        <w:tc>
          <w:tcPr>
            <w:tcW w:w="568" w:type="dxa"/>
            <w:vMerge w:val="restart"/>
            <w:noWrap/>
            <w:vAlign w:val="center"/>
          </w:tcPr>
          <w:p w14:paraId="621B819E">
            <w:pPr>
              <w:widowControl/>
              <w:spacing w:line="300" w:lineRule="exact"/>
              <w:jc w:val="center"/>
              <w:rPr>
                <w:rFonts w:ascii="Times New Roman" w:hAnsi="Times New Roman" w:cs="Times New Roman" w:eastAsiaTheme="minorEastAsia"/>
                <w:color w:val="auto"/>
                <w:spacing w:val="-20"/>
                <w:kern w:val="0"/>
                <w:szCs w:val="21"/>
              </w:rPr>
            </w:pPr>
            <w:r>
              <w:rPr>
                <w:rFonts w:ascii="Times New Roman" w:hAnsi="Times New Roman" w:cs="Times New Roman" w:eastAsiaTheme="minorEastAsia"/>
                <w:color w:val="auto"/>
                <w:spacing w:val="-20"/>
                <w:kern w:val="0"/>
                <w:szCs w:val="21"/>
              </w:rPr>
              <w:t>12</w:t>
            </w:r>
          </w:p>
        </w:tc>
        <w:tc>
          <w:tcPr>
            <w:tcW w:w="694" w:type="dxa"/>
            <w:vMerge w:val="continue"/>
            <w:vAlign w:val="center"/>
          </w:tcPr>
          <w:p w14:paraId="2EF2986D">
            <w:pPr>
              <w:spacing w:line="300" w:lineRule="exact"/>
              <w:jc w:val="center"/>
              <w:rPr>
                <w:rFonts w:ascii="Times New Roman" w:hAnsi="Times New Roman" w:cs="Times New Roman" w:eastAsiaTheme="minorEastAsia"/>
                <w:color w:val="auto"/>
                <w:spacing w:val="-20"/>
                <w:kern w:val="0"/>
                <w:szCs w:val="21"/>
              </w:rPr>
            </w:pPr>
          </w:p>
        </w:tc>
        <w:tc>
          <w:tcPr>
            <w:tcW w:w="1134" w:type="dxa"/>
            <w:vAlign w:val="center"/>
          </w:tcPr>
          <w:p w14:paraId="1C89AE5A">
            <w:pPr>
              <w:spacing w:line="300" w:lineRule="exact"/>
              <w:jc w:val="center"/>
              <w:rPr>
                <w:rFonts w:ascii="Times New Roman" w:hAnsi="Times New Roman" w:cs="Times New Roman" w:eastAsiaTheme="minorEastAsia"/>
                <w:color w:val="auto"/>
                <w:spacing w:val="-20"/>
                <w:szCs w:val="21"/>
              </w:rPr>
            </w:pPr>
            <w:r>
              <w:rPr>
                <w:rFonts w:ascii="Times New Roman" w:hAnsi="Times New Roman" w:cs="Times New Roman" w:eastAsiaTheme="minorEastAsia"/>
                <w:color w:val="auto"/>
                <w:spacing w:val="-20"/>
                <w:szCs w:val="21"/>
              </w:rPr>
              <w:t>K</w:t>
            </w:r>
            <w:r>
              <w:rPr>
                <w:rFonts w:hint="eastAsia" w:ascii="Times New Roman" w:hAnsi="Times New Roman" w:cs="Times New Roman" w:eastAsiaTheme="minorEastAsia"/>
                <w:color w:val="auto"/>
                <w:spacing w:val="-20"/>
                <w:szCs w:val="21"/>
              </w:rPr>
              <w:t>27</w:t>
            </w:r>
            <w:r>
              <w:rPr>
                <w:rFonts w:ascii="Times New Roman" w:hAnsi="Times New Roman" w:cs="Times New Roman" w:eastAsiaTheme="minorEastAsia"/>
                <w:color w:val="auto"/>
                <w:spacing w:val="-20"/>
                <w:szCs w:val="21"/>
              </w:rPr>
              <w:t>+</w:t>
            </w:r>
            <w:r>
              <w:rPr>
                <w:rFonts w:hint="eastAsia" w:ascii="Times New Roman" w:hAnsi="Times New Roman" w:cs="Times New Roman" w:eastAsiaTheme="minorEastAsia"/>
                <w:color w:val="auto"/>
                <w:spacing w:val="-20"/>
                <w:szCs w:val="21"/>
              </w:rPr>
              <w:t>60</w:t>
            </w:r>
            <w:r>
              <w:rPr>
                <w:rFonts w:ascii="Times New Roman" w:hAnsi="Times New Roman" w:cs="Times New Roman" w:eastAsiaTheme="minorEastAsia"/>
                <w:color w:val="auto"/>
                <w:spacing w:val="-20"/>
                <w:szCs w:val="21"/>
              </w:rPr>
              <w:t>0</w:t>
            </w:r>
            <w:r>
              <w:rPr>
                <w:rFonts w:ascii="Times New Roman" w:cs="Times New Roman" w:hAnsiTheme="minorEastAsia" w:eastAsiaTheme="minorEastAsia"/>
                <w:color w:val="auto"/>
                <w:spacing w:val="-20"/>
                <w:szCs w:val="21"/>
              </w:rPr>
              <w:t>～</w:t>
            </w:r>
            <w:r>
              <w:rPr>
                <w:rFonts w:ascii="Times New Roman" w:hAnsi="Times New Roman" w:cs="Times New Roman" w:eastAsiaTheme="minorEastAsia"/>
                <w:color w:val="auto"/>
                <w:spacing w:val="-20"/>
                <w:szCs w:val="21"/>
              </w:rPr>
              <w:t>K</w:t>
            </w:r>
            <w:r>
              <w:rPr>
                <w:rFonts w:hint="eastAsia" w:ascii="Times New Roman" w:hAnsi="Times New Roman" w:cs="Times New Roman" w:eastAsiaTheme="minorEastAsia"/>
                <w:color w:val="auto"/>
                <w:spacing w:val="-20"/>
                <w:szCs w:val="21"/>
              </w:rPr>
              <w:t>27</w:t>
            </w:r>
            <w:r>
              <w:rPr>
                <w:rFonts w:ascii="Times New Roman" w:hAnsi="Times New Roman" w:cs="Times New Roman" w:eastAsiaTheme="minorEastAsia"/>
                <w:color w:val="auto"/>
                <w:spacing w:val="-20"/>
                <w:szCs w:val="21"/>
              </w:rPr>
              <w:t>+</w:t>
            </w:r>
            <w:r>
              <w:rPr>
                <w:rFonts w:hint="eastAsia" w:ascii="Times New Roman" w:hAnsi="Times New Roman" w:cs="Times New Roman" w:eastAsiaTheme="minorEastAsia"/>
                <w:color w:val="auto"/>
                <w:spacing w:val="-20"/>
                <w:szCs w:val="21"/>
              </w:rPr>
              <w:t>80</w:t>
            </w:r>
            <w:r>
              <w:rPr>
                <w:rFonts w:ascii="Times New Roman" w:hAnsi="Times New Roman" w:cs="Times New Roman" w:eastAsiaTheme="minorEastAsia"/>
                <w:color w:val="auto"/>
                <w:spacing w:val="-20"/>
                <w:szCs w:val="21"/>
              </w:rPr>
              <w:t>0</w:t>
            </w:r>
          </w:p>
        </w:tc>
        <w:tc>
          <w:tcPr>
            <w:tcW w:w="851" w:type="dxa"/>
            <w:vMerge w:val="restart"/>
            <w:vAlign w:val="center"/>
          </w:tcPr>
          <w:p w14:paraId="32BE13F4">
            <w:pPr>
              <w:spacing w:line="300" w:lineRule="exact"/>
              <w:jc w:val="center"/>
              <w:rPr>
                <w:rFonts w:ascii="Times New Roman" w:hAnsi="Times New Roman" w:cs="Times New Roman" w:eastAsiaTheme="minorEastAsia"/>
                <w:color w:val="auto"/>
                <w:spacing w:val="-20"/>
                <w:szCs w:val="21"/>
              </w:rPr>
            </w:pPr>
            <w:r>
              <w:rPr>
                <w:rFonts w:hint="eastAsia" w:ascii="Times New Roman" w:hAnsi="Times New Roman" w:cs="Times New Roman" w:eastAsiaTheme="minorEastAsia"/>
                <w:color w:val="auto"/>
                <w:spacing w:val="-20"/>
                <w:szCs w:val="21"/>
              </w:rPr>
              <w:t>夏合亚迪村</w:t>
            </w:r>
          </w:p>
        </w:tc>
        <w:tc>
          <w:tcPr>
            <w:tcW w:w="850" w:type="dxa"/>
            <w:vMerge w:val="continue"/>
            <w:vAlign w:val="center"/>
          </w:tcPr>
          <w:p w14:paraId="6F53C41A">
            <w:pPr>
              <w:widowControl/>
              <w:spacing w:line="300" w:lineRule="exact"/>
              <w:jc w:val="center"/>
              <w:rPr>
                <w:rFonts w:ascii="Times New Roman" w:hAnsi="Times New Roman" w:cs="Times New Roman" w:eastAsiaTheme="minorEastAsia"/>
                <w:color w:val="auto"/>
                <w:spacing w:val="-20"/>
                <w:kern w:val="0"/>
                <w:szCs w:val="21"/>
              </w:rPr>
            </w:pPr>
          </w:p>
        </w:tc>
        <w:tc>
          <w:tcPr>
            <w:tcW w:w="661" w:type="dxa"/>
            <w:vMerge w:val="restart"/>
            <w:vAlign w:val="center"/>
          </w:tcPr>
          <w:p w14:paraId="65324503">
            <w:pPr>
              <w:widowControl/>
              <w:spacing w:line="300" w:lineRule="exact"/>
              <w:jc w:val="center"/>
              <w:rPr>
                <w:rFonts w:ascii="Times New Roman" w:hAnsi="Times New Roman" w:cs="Times New Roman" w:eastAsiaTheme="minorEastAsia"/>
                <w:color w:val="auto"/>
                <w:spacing w:val="-20"/>
                <w:kern w:val="0"/>
                <w:szCs w:val="21"/>
              </w:rPr>
            </w:pPr>
            <w:r>
              <w:rPr>
                <w:rFonts w:ascii="Times New Roman" w:cs="Times New Roman" w:hAnsiTheme="minorEastAsia" w:eastAsiaTheme="minorEastAsia"/>
                <w:color w:val="auto"/>
                <w:spacing w:val="-20"/>
                <w:szCs w:val="21"/>
              </w:rPr>
              <w:t>路右</w:t>
            </w:r>
          </w:p>
        </w:tc>
        <w:tc>
          <w:tcPr>
            <w:tcW w:w="662" w:type="dxa"/>
            <w:vAlign w:val="center"/>
          </w:tcPr>
          <w:p w14:paraId="35F1C10A">
            <w:pPr>
              <w:spacing w:line="300" w:lineRule="exact"/>
              <w:jc w:val="center"/>
              <w:rPr>
                <w:rFonts w:ascii="Times New Roman" w:cs="Times New Roman" w:hAnsiTheme="minorEastAsia" w:eastAsiaTheme="minorEastAsia"/>
                <w:color w:val="auto"/>
                <w:spacing w:val="-20"/>
                <w:szCs w:val="21"/>
              </w:rPr>
            </w:pPr>
            <w:r>
              <w:rPr>
                <w:rFonts w:hint="eastAsia" w:ascii="Times New Roman" w:cs="Times New Roman" w:hAnsiTheme="minorEastAsia" w:eastAsiaTheme="minorEastAsia"/>
                <w:color w:val="auto"/>
                <w:spacing w:val="-20"/>
                <w:szCs w:val="21"/>
              </w:rPr>
              <w:t>33</w:t>
            </w:r>
          </w:p>
        </w:tc>
        <w:tc>
          <w:tcPr>
            <w:tcW w:w="662" w:type="dxa"/>
            <w:vAlign w:val="center"/>
          </w:tcPr>
          <w:p w14:paraId="2858091A">
            <w:pPr>
              <w:spacing w:line="300" w:lineRule="exact"/>
              <w:jc w:val="center"/>
              <w:rPr>
                <w:rFonts w:ascii="Times New Roman" w:cs="Times New Roman" w:hAnsiTheme="minorEastAsia" w:eastAsiaTheme="minorEastAsia"/>
                <w:color w:val="auto"/>
                <w:spacing w:val="-20"/>
                <w:szCs w:val="21"/>
              </w:rPr>
            </w:pPr>
            <w:r>
              <w:rPr>
                <w:rFonts w:hint="eastAsia" w:ascii="Times New Roman" w:cs="Times New Roman" w:hAnsiTheme="minorEastAsia" w:eastAsiaTheme="minorEastAsia"/>
                <w:color w:val="auto"/>
                <w:spacing w:val="-20"/>
                <w:szCs w:val="21"/>
              </w:rPr>
              <w:t>21</w:t>
            </w:r>
          </w:p>
        </w:tc>
        <w:tc>
          <w:tcPr>
            <w:tcW w:w="567" w:type="dxa"/>
            <w:vMerge w:val="restart"/>
            <w:vAlign w:val="center"/>
          </w:tcPr>
          <w:p w14:paraId="511ADD3E">
            <w:pPr>
              <w:widowControl/>
              <w:spacing w:line="300" w:lineRule="exact"/>
              <w:jc w:val="center"/>
              <w:rPr>
                <w:rFonts w:ascii="Times New Roman" w:hAnsi="Times New Roman" w:cs="Times New Roman" w:eastAsiaTheme="minorEastAsia"/>
                <w:color w:val="auto"/>
                <w:spacing w:val="-20"/>
                <w:kern w:val="0"/>
                <w:szCs w:val="21"/>
              </w:rPr>
            </w:pPr>
            <w:r>
              <w:rPr>
                <w:rFonts w:ascii="Times New Roman" w:cs="Times New Roman" w:hAnsiTheme="minorEastAsia" w:eastAsiaTheme="minorEastAsia"/>
                <w:color w:val="auto"/>
                <w:spacing w:val="-20"/>
                <w:szCs w:val="21"/>
              </w:rPr>
              <w:t>路右</w:t>
            </w:r>
          </w:p>
        </w:tc>
        <w:tc>
          <w:tcPr>
            <w:tcW w:w="708" w:type="dxa"/>
            <w:vAlign w:val="center"/>
          </w:tcPr>
          <w:p w14:paraId="11540390">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43</w:t>
            </w:r>
          </w:p>
        </w:tc>
        <w:tc>
          <w:tcPr>
            <w:tcW w:w="709" w:type="dxa"/>
            <w:vAlign w:val="center"/>
          </w:tcPr>
          <w:p w14:paraId="2420B7FE">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24</w:t>
            </w:r>
          </w:p>
        </w:tc>
        <w:tc>
          <w:tcPr>
            <w:tcW w:w="992" w:type="dxa"/>
            <w:vMerge w:val="restart"/>
            <w:vAlign w:val="center"/>
          </w:tcPr>
          <w:p w14:paraId="7CF0FC9D">
            <w:pPr>
              <w:widowControl/>
              <w:spacing w:line="300" w:lineRule="exact"/>
              <w:jc w:val="center"/>
              <w:rPr>
                <w:rFonts w:ascii="Times New Roman" w:hAnsi="Times New Roman" w:cs="Times New Roman" w:eastAsiaTheme="minorEastAsia"/>
                <w:color w:val="auto"/>
                <w:spacing w:val="-20"/>
                <w:kern w:val="0"/>
                <w:szCs w:val="21"/>
              </w:rPr>
            </w:pPr>
            <w:r>
              <w:rPr>
                <w:rFonts w:ascii="Times New Roman" w:hAnsi="Times New Roman" w:cs="Times New Roman" w:eastAsiaTheme="minorEastAsia"/>
                <w:color w:val="auto"/>
                <w:spacing w:val="-20"/>
                <w:kern w:val="0"/>
                <w:szCs w:val="21"/>
              </w:rPr>
              <w:t>0</w:t>
            </w:r>
          </w:p>
        </w:tc>
        <w:tc>
          <w:tcPr>
            <w:tcW w:w="993" w:type="dxa"/>
            <w:vMerge w:val="restart"/>
            <w:vAlign w:val="center"/>
          </w:tcPr>
          <w:p w14:paraId="45C0CB10">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2.0</w:t>
            </w:r>
          </w:p>
        </w:tc>
        <w:tc>
          <w:tcPr>
            <w:tcW w:w="567" w:type="dxa"/>
            <w:vMerge w:val="restart"/>
            <w:vAlign w:val="center"/>
          </w:tcPr>
          <w:p w14:paraId="216D3728">
            <w:pPr>
              <w:widowControl/>
              <w:spacing w:line="300" w:lineRule="exact"/>
              <w:jc w:val="center"/>
              <w:rPr>
                <w:rFonts w:ascii="Times New Roman" w:hAnsi="Times New Roman" w:cs="Times New Roman" w:eastAsiaTheme="minorEastAsia"/>
                <w:color w:val="auto"/>
                <w:spacing w:val="-20"/>
                <w:kern w:val="0"/>
                <w:szCs w:val="21"/>
              </w:rPr>
            </w:pPr>
            <w:r>
              <w:rPr>
                <w:rFonts w:ascii="Times New Roman" w:cs="Times New Roman" w:hAnsiTheme="minorEastAsia" w:eastAsiaTheme="minorEastAsia"/>
                <w:color w:val="auto"/>
                <w:spacing w:val="-20"/>
                <w:kern w:val="0"/>
                <w:szCs w:val="21"/>
              </w:rPr>
              <w:t>路基</w:t>
            </w:r>
          </w:p>
        </w:tc>
        <w:tc>
          <w:tcPr>
            <w:tcW w:w="992" w:type="dxa"/>
            <w:vMerge w:val="restart"/>
            <w:vAlign w:val="center"/>
          </w:tcPr>
          <w:p w14:paraId="477D8CE7">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54</w:t>
            </w:r>
          </w:p>
        </w:tc>
        <w:tc>
          <w:tcPr>
            <w:tcW w:w="709" w:type="dxa"/>
            <w:vAlign w:val="center"/>
          </w:tcPr>
          <w:p w14:paraId="3DD3DB16">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5</w:t>
            </w:r>
          </w:p>
        </w:tc>
        <w:tc>
          <w:tcPr>
            <w:tcW w:w="708" w:type="dxa"/>
            <w:vAlign w:val="center"/>
          </w:tcPr>
          <w:p w14:paraId="3D4F4091">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5</w:t>
            </w:r>
          </w:p>
        </w:tc>
        <w:tc>
          <w:tcPr>
            <w:tcW w:w="4568" w:type="dxa"/>
            <w:vMerge w:val="restart"/>
            <w:vAlign w:val="center"/>
          </w:tcPr>
          <w:p w14:paraId="15139E43">
            <w:pPr>
              <w:widowControl/>
              <w:spacing w:line="300" w:lineRule="exact"/>
              <w:rPr>
                <w:rFonts w:ascii="Times New Roman" w:hAnsi="Times New Roman" w:cs="Times New Roman" w:eastAsiaTheme="minorEastAsia"/>
                <w:color w:val="auto"/>
                <w:spacing w:val="0"/>
                <w:kern w:val="0"/>
                <w:sz w:val="21"/>
                <w:szCs w:val="21"/>
              </w:rPr>
            </w:pPr>
            <w:r>
              <w:rPr>
                <w:rFonts w:ascii="Times New Roman" w:cs="Times New Roman" w:hAnsiTheme="minorEastAsia" w:eastAsiaTheme="minorEastAsia"/>
                <w:color w:val="auto"/>
                <w:spacing w:val="0"/>
                <w:kern w:val="0"/>
                <w:sz w:val="21"/>
                <w:szCs w:val="21"/>
              </w:rPr>
              <w:t>路线以填方路基形式经过村庄。评价范围内现有居民</w:t>
            </w:r>
            <w:r>
              <w:rPr>
                <w:rFonts w:hint="eastAsia" w:ascii="Times New Roman" w:hAnsi="Times New Roman" w:cs="Times New Roman" w:eastAsiaTheme="minorEastAsia"/>
                <w:color w:val="auto"/>
                <w:spacing w:val="0"/>
                <w:kern w:val="0"/>
                <w:sz w:val="21"/>
                <w:szCs w:val="21"/>
              </w:rPr>
              <w:t>110</w:t>
            </w:r>
            <w:r>
              <w:rPr>
                <w:rFonts w:ascii="Times New Roman" w:cs="Times New Roman" w:hAnsiTheme="minorEastAsia" w:eastAsiaTheme="minorEastAsia"/>
                <w:color w:val="auto"/>
                <w:spacing w:val="0"/>
                <w:kern w:val="0"/>
                <w:sz w:val="21"/>
                <w:szCs w:val="21"/>
              </w:rPr>
              <w:t>户，首排</w:t>
            </w:r>
            <w:r>
              <w:rPr>
                <w:rFonts w:hint="eastAsia" w:ascii="Times New Roman" w:hAnsi="Times New Roman" w:cs="Times New Roman" w:eastAsiaTheme="minorEastAsia"/>
                <w:color w:val="auto"/>
                <w:spacing w:val="0"/>
                <w:kern w:val="0"/>
                <w:sz w:val="21"/>
                <w:szCs w:val="21"/>
              </w:rPr>
              <w:t>28</w:t>
            </w:r>
            <w:r>
              <w:rPr>
                <w:rFonts w:ascii="Times New Roman" w:cs="Times New Roman" w:hAnsiTheme="minorEastAsia" w:eastAsiaTheme="minorEastAsia"/>
                <w:color w:val="auto"/>
                <w:spacing w:val="0"/>
                <w:kern w:val="0"/>
                <w:sz w:val="21"/>
                <w:szCs w:val="21"/>
              </w:rPr>
              <w:t>户，</w:t>
            </w:r>
            <w:r>
              <w:rPr>
                <w:rFonts w:hint="eastAsia" w:ascii="Times New Roman" w:cs="Times New Roman" w:hAnsiTheme="minorEastAsia" w:eastAsiaTheme="minorEastAsia"/>
                <w:color w:val="auto"/>
                <w:spacing w:val="0"/>
                <w:kern w:val="0"/>
                <w:sz w:val="21"/>
                <w:szCs w:val="21"/>
              </w:rPr>
              <w:t>主要</w:t>
            </w:r>
            <w:r>
              <w:rPr>
                <w:rFonts w:ascii="Times New Roman" w:cs="Times New Roman" w:hAnsiTheme="minorEastAsia" w:eastAsiaTheme="minorEastAsia"/>
                <w:color w:val="auto"/>
                <w:spacing w:val="0"/>
                <w:kern w:val="0"/>
                <w:sz w:val="21"/>
                <w:szCs w:val="21"/>
              </w:rPr>
              <w:t>为</w:t>
            </w:r>
            <w:r>
              <w:rPr>
                <w:rFonts w:ascii="Times New Roman" w:hAnsi="Times New Roman" w:cs="Times New Roman" w:eastAsiaTheme="minorEastAsia"/>
                <w:color w:val="auto"/>
                <w:spacing w:val="0"/>
                <w:kern w:val="0"/>
                <w:sz w:val="21"/>
                <w:szCs w:val="21"/>
              </w:rPr>
              <w:t>1</w:t>
            </w:r>
            <w:r>
              <w:rPr>
                <w:rFonts w:ascii="Times New Roman" w:cs="Times New Roman" w:hAnsiTheme="minorEastAsia" w:eastAsiaTheme="minorEastAsia"/>
                <w:color w:val="auto"/>
                <w:spacing w:val="0"/>
                <w:kern w:val="0"/>
                <w:sz w:val="21"/>
                <w:szCs w:val="21"/>
              </w:rPr>
              <w:t>层砖混房，房屋正侧向拟建公路。</w:t>
            </w:r>
            <w:r>
              <w:rPr>
                <w:rFonts w:ascii="Times New Roman" w:hAnsi="Times New Roman" w:eastAsia="宋体" w:cs="Times New Roman"/>
                <w:color w:val="auto"/>
                <w:spacing w:val="0"/>
                <w:kern w:val="0"/>
                <w:sz w:val="21"/>
                <w:szCs w:val="21"/>
              </w:rPr>
              <w:t>该路段利用现有</w:t>
            </w:r>
            <w:r>
              <w:rPr>
                <w:rFonts w:hint="eastAsia" w:ascii="Times New Roman" w:hAnsi="Times New Roman" w:eastAsia="宋体" w:cs="Times New Roman"/>
                <w:color w:val="auto"/>
                <w:spacing w:val="0"/>
                <w:kern w:val="0"/>
                <w:sz w:val="21"/>
                <w:szCs w:val="21"/>
              </w:rPr>
              <w:t>老路左侧加宽和</w:t>
            </w:r>
            <w:r>
              <w:rPr>
                <w:rFonts w:hint="eastAsia" w:ascii="宋体" w:hAnsi="宋体" w:eastAsia="宋体" w:cs="宋体"/>
                <w:color w:val="auto"/>
                <w:spacing w:val="0"/>
                <w:sz w:val="21"/>
                <w:szCs w:val="21"/>
              </w:rPr>
              <w:t>渐变拼宽</w:t>
            </w:r>
            <w:r>
              <w:rPr>
                <w:rFonts w:ascii="Times New Roman" w:hAnsi="Times New Roman" w:eastAsia="宋体" w:cs="Times New Roman"/>
                <w:color w:val="auto"/>
                <w:spacing w:val="0"/>
                <w:kern w:val="0"/>
                <w:sz w:val="21"/>
                <w:szCs w:val="21"/>
              </w:rPr>
              <w:t>，有平交</w:t>
            </w:r>
            <w:r>
              <w:rPr>
                <w:rFonts w:hint="eastAsia" w:ascii="Times New Roman" w:hAnsi="Times New Roman" w:eastAsia="宋体" w:cs="Times New Roman"/>
                <w:color w:val="auto"/>
                <w:spacing w:val="0"/>
                <w:kern w:val="0"/>
                <w:sz w:val="21"/>
                <w:szCs w:val="21"/>
              </w:rPr>
              <w:t>路口</w:t>
            </w:r>
            <w:r>
              <w:rPr>
                <w:rFonts w:ascii="Times New Roman" w:hAnsi="Times New Roman" w:eastAsia="宋体" w:cs="Times New Roman"/>
                <w:color w:val="auto"/>
                <w:spacing w:val="0"/>
                <w:kern w:val="0"/>
                <w:sz w:val="21"/>
                <w:szCs w:val="21"/>
              </w:rPr>
              <w:t>，</w:t>
            </w:r>
            <w:r>
              <w:rPr>
                <w:rFonts w:ascii="Times New Roman" w:cs="Times New Roman" w:hAnsiTheme="minorEastAsia" w:eastAsiaTheme="minorEastAsia"/>
                <w:color w:val="auto"/>
                <w:spacing w:val="0"/>
                <w:kern w:val="0"/>
                <w:sz w:val="21"/>
                <w:szCs w:val="21"/>
              </w:rPr>
              <w:t>主要噪声源为现有</w:t>
            </w:r>
            <w:r>
              <w:rPr>
                <w:rFonts w:hint="eastAsia" w:ascii="Times New Roman" w:hAnsi="Times New Roman" w:cs="Times New Roman" w:eastAsiaTheme="minorEastAsia"/>
                <w:color w:val="auto"/>
                <w:spacing w:val="0"/>
                <w:kern w:val="0"/>
                <w:sz w:val="21"/>
                <w:szCs w:val="21"/>
              </w:rPr>
              <w:t>G219</w:t>
            </w:r>
            <w:r>
              <w:rPr>
                <w:rFonts w:ascii="Times New Roman" w:cs="Times New Roman" w:hAnsiTheme="minorEastAsia" w:eastAsiaTheme="minorEastAsia"/>
                <w:color w:val="auto"/>
                <w:spacing w:val="0"/>
                <w:kern w:val="0"/>
                <w:sz w:val="21"/>
                <w:szCs w:val="21"/>
              </w:rPr>
              <w:t>交通噪声和社会生活噪声。</w:t>
            </w:r>
          </w:p>
        </w:tc>
        <w:tc>
          <w:tcPr>
            <w:tcW w:w="2898" w:type="dxa"/>
            <w:vMerge w:val="restart"/>
            <w:vAlign w:val="center"/>
          </w:tcPr>
          <w:p w14:paraId="162FF6D4">
            <w:pPr>
              <w:widowControl/>
              <w:adjustRightInd w:val="0"/>
              <w:snapToGrid w:val="0"/>
              <w:jc w:val="center"/>
              <w:rPr>
                <w:rFonts w:ascii="Times New Roman" w:hAnsi="Times New Roman" w:cs="Times New Roman" w:eastAsiaTheme="minorEastAsia"/>
                <w:snapToGrid w:val="0"/>
                <w:color w:val="auto"/>
                <w:spacing w:val="-20"/>
                <w:kern w:val="0"/>
                <w:szCs w:val="21"/>
              </w:rPr>
            </w:pPr>
            <w:r>
              <w:rPr>
                <w:rFonts w:ascii="Times New Roman" w:hAnsi="Times New Roman" w:cs="Times New Roman" w:eastAsiaTheme="minorEastAsia"/>
                <w:color w:val="auto"/>
                <w:spacing w:val="-20"/>
                <w:kern w:val="0"/>
                <w:szCs w:val="21"/>
              </w:rPr>
              <w:drawing>
                <wp:inline distT="0" distB="0" distL="0" distR="0">
                  <wp:extent cx="1729105" cy="1295400"/>
                  <wp:effectExtent l="0" t="0" r="4445" b="0"/>
                  <wp:docPr id="39" name="图片 13" descr="E:\咨询项目\环评\新疆-G219线八盘水磨至伽师公路\外业踏勘记录及照片\DSC09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3" descr="E:\咨询项目\环评\新疆-G219线八盘水磨至伽师公路\外业踏勘记录及照片\DSC09030.JPG"/>
                          <pic:cNvPicPr>
                            <a:picLocks noChangeAspect="1" noChangeArrowheads="1"/>
                          </pic:cNvPicPr>
                        </pic:nvPicPr>
                        <pic:blipFill>
                          <a:blip r:embed="rId167" cstate="print"/>
                          <a:srcRect/>
                          <a:stretch>
                            <a:fillRect/>
                          </a:stretch>
                        </pic:blipFill>
                        <pic:spPr>
                          <a:xfrm>
                            <a:off x="0" y="0"/>
                            <a:ext cx="1729728" cy="1296000"/>
                          </a:xfrm>
                          <a:prstGeom prst="rect">
                            <a:avLst/>
                          </a:prstGeom>
                          <a:noFill/>
                          <a:ln w="9525">
                            <a:noFill/>
                            <a:miter lim="800000"/>
                            <a:headEnd/>
                            <a:tailEnd/>
                          </a:ln>
                        </pic:spPr>
                      </pic:pic>
                    </a:graphicData>
                  </a:graphic>
                </wp:inline>
              </w:drawing>
            </w:r>
          </w:p>
        </w:tc>
      </w:tr>
      <w:tr w14:paraId="5D00240C">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622" w:hRule="atLeast"/>
          <w:tblHeader/>
          <w:jc w:val="center"/>
        </w:trPr>
        <w:tc>
          <w:tcPr>
            <w:tcW w:w="568" w:type="dxa"/>
            <w:vMerge w:val="continue"/>
            <w:noWrap/>
            <w:vAlign w:val="center"/>
          </w:tcPr>
          <w:p w14:paraId="4DAF8523">
            <w:pPr>
              <w:widowControl/>
              <w:spacing w:line="300" w:lineRule="exact"/>
              <w:jc w:val="center"/>
              <w:rPr>
                <w:rFonts w:ascii="Times New Roman" w:hAnsi="Times New Roman" w:cs="Times New Roman" w:eastAsiaTheme="minorEastAsia"/>
                <w:color w:val="auto"/>
                <w:spacing w:val="-20"/>
                <w:kern w:val="0"/>
                <w:szCs w:val="21"/>
              </w:rPr>
            </w:pPr>
          </w:p>
        </w:tc>
        <w:tc>
          <w:tcPr>
            <w:tcW w:w="694" w:type="dxa"/>
            <w:vMerge w:val="continue"/>
            <w:vAlign w:val="center"/>
          </w:tcPr>
          <w:p w14:paraId="0C478AC4">
            <w:pPr>
              <w:spacing w:line="300" w:lineRule="exact"/>
              <w:jc w:val="center"/>
              <w:rPr>
                <w:rFonts w:ascii="Times New Roman" w:hAnsi="Times New Roman" w:cs="Times New Roman" w:eastAsiaTheme="minorEastAsia"/>
                <w:color w:val="auto"/>
                <w:spacing w:val="-20"/>
                <w:kern w:val="0"/>
                <w:szCs w:val="21"/>
              </w:rPr>
            </w:pPr>
          </w:p>
        </w:tc>
        <w:tc>
          <w:tcPr>
            <w:tcW w:w="1134" w:type="dxa"/>
            <w:vAlign w:val="center"/>
          </w:tcPr>
          <w:p w14:paraId="3C0472F8">
            <w:pPr>
              <w:spacing w:line="300" w:lineRule="exact"/>
              <w:jc w:val="center"/>
              <w:rPr>
                <w:rFonts w:ascii="Times New Roman" w:hAnsi="Times New Roman" w:cs="Times New Roman" w:eastAsiaTheme="minorEastAsia"/>
                <w:color w:val="auto"/>
                <w:spacing w:val="-20"/>
                <w:szCs w:val="21"/>
              </w:rPr>
            </w:pPr>
            <w:r>
              <w:rPr>
                <w:rFonts w:ascii="Times New Roman" w:hAnsi="Times New Roman" w:cs="Times New Roman" w:eastAsiaTheme="minorEastAsia"/>
                <w:color w:val="auto"/>
                <w:spacing w:val="-20"/>
                <w:szCs w:val="21"/>
              </w:rPr>
              <w:t>K</w:t>
            </w:r>
            <w:r>
              <w:rPr>
                <w:rFonts w:hint="eastAsia" w:ascii="Times New Roman" w:hAnsi="Times New Roman" w:cs="Times New Roman" w:eastAsiaTheme="minorEastAsia"/>
                <w:color w:val="auto"/>
                <w:spacing w:val="-20"/>
                <w:szCs w:val="21"/>
              </w:rPr>
              <w:t>28</w:t>
            </w:r>
            <w:r>
              <w:rPr>
                <w:rFonts w:ascii="Times New Roman" w:hAnsi="Times New Roman" w:cs="Times New Roman" w:eastAsiaTheme="minorEastAsia"/>
                <w:color w:val="auto"/>
                <w:spacing w:val="-20"/>
                <w:szCs w:val="21"/>
              </w:rPr>
              <w:t>+</w:t>
            </w:r>
            <w:r>
              <w:rPr>
                <w:rFonts w:hint="eastAsia" w:ascii="Times New Roman" w:hAnsi="Times New Roman" w:cs="Times New Roman" w:eastAsiaTheme="minorEastAsia"/>
                <w:color w:val="auto"/>
                <w:spacing w:val="-20"/>
                <w:szCs w:val="21"/>
              </w:rPr>
              <w:t>10</w:t>
            </w:r>
            <w:r>
              <w:rPr>
                <w:rFonts w:ascii="Times New Roman" w:hAnsi="Times New Roman" w:cs="Times New Roman" w:eastAsiaTheme="minorEastAsia"/>
                <w:color w:val="auto"/>
                <w:spacing w:val="-20"/>
                <w:szCs w:val="21"/>
              </w:rPr>
              <w:t>0</w:t>
            </w:r>
            <w:r>
              <w:rPr>
                <w:rFonts w:ascii="Times New Roman" w:cs="Times New Roman" w:hAnsiTheme="minorEastAsia" w:eastAsiaTheme="minorEastAsia"/>
                <w:color w:val="auto"/>
                <w:spacing w:val="-20"/>
                <w:szCs w:val="21"/>
              </w:rPr>
              <w:t>～</w:t>
            </w:r>
            <w:r>
              <w:rPr>
                <w:rFonts w:ascii="Times New Roman" w:hAnsi="Times New Roman" w:cs="Times New Roman" w:eastAsiaTheme="minorEastAsia"/>
                <w:color w:val="auto"/>
                <w:spacing w:val="-20"/>
                <w:szCs w:val="21"/>
              </w:rPr>
              <w:t>K</w:t>
            </w:r>
            <w:r>
              <w:rPr>
                <w:rFonts w:hint="eastAsia" w:ascii="Times New Roman" w:hAnsi="Times New Roman" w:cs="Times New Roman" w:eastAsiaTheme="minorEastAsia"/>
                <w:color w:val="auto"/>
                <w:spacing w:val="-20"/>
                <w:szCs w:val="21"/>
              </w:rPr>
              <w:t>28</w:t>
            </w:r>
            <w:r>
              <w:rPr>
                <w:rFonts w:ascii="Times New Roman" w:hAnsi="Times New Roman" w:cs="Times New Roman" w:eastAsiaTheme="minorEastAsia"/>
                <w:color w:val="auto"/>
                <w:spacing w:val="-20"/>
                <w:szCs w:val="21"/>
              </w:rPr>
              <w:t>+</w:t>
            </w:r>
            <w:r>
              <w:rPr>
                <w:rFonts w:hint="eastAsia" w:ascii="Times New Roman" w:hAnsi="Times New Roman" w:cs="Times New Roman" w:eastAsiaTheme="minorEastAsia"/>
                <w:color w:val="auto"/>
                <w:spacing w:val="-20"/>
                <w:szCs w:val="21"/>
              </w:rPr>
              <w:t>80</w:t>
            </w:r>
            <w:r>
              <w:rPr>
                <w:rFonts w:ascii="Times New Roman" w:hAnsi="Times New Roman" w:cs="Times New Roman" w:eastAsiaTheme="minorEastAsia"/>
                <w:color w:val="auto"/>
                <w:spacing w:val="-20"/>
                <w:szCs w:val="21"/>
              </w:rPr>
              <w:t>0</w:t>
            </w:r>
          </w:p>
        </w:tc>
        <w:tc>
          <w:tcPr>
            <w:tcW w:w="851" w:type="dxa"/>
            <w:vMerge w:val="continue"/>
            <w:vAlign w:val="center"/>
          </w:tcPr>
          <w:p w14:paraId="652B695B">
            <w:pPr>
              <w:spacing w:line="300" w:lineRule="exact"/>
              <w:jc w:val="center"/>
              <w:rPr>
                <w:rFonts w:ascii="Times New Roman" w:hAnsi="Times New Roman" w:cs="Times New Roman" w:eastAsiaTheme="minorEastAsia"/>
                <w:color w:val="auto"/>
                <w:spacing w:val="-20"/>
                <w:szCs w:val="21"/>
              </w:rPr>
            </w:pPr>
          </w:p>
        </w:tc>
        <w:tc>
          <w:tcPr>
            <w:tcW w:w="850" w:type="dxa"/>
            <w:vMerge w:val="continue"/>
            <w:vAlign w:val="center"/>
          </w:tcPr>
          <w:p w14:paraId="2B69DCEB">
            <w:pPr>
              <w:widowControl/>
              <w:spacing w:line="300" w:lineRule="exact"/>
              <w:jc w:val="center"/>
              <w:rPr>
                <w:rFonts w:ascii="Times New Roman" w:hAnsi="Times New Roman" w:cs="Times New Roman" w:eastAsiaTheme="minorEastAsia"/>
                <w:color w:val="auto"/>
                <w:spacing w:val="-20"/>
                <w:kern w:val="0"/>
                <w:szCs w:val="21"/>
              </w:rPr>
            </w:pPr>
          </w:p>
        </w:tc>
        <w:tc>
          <w:tcPr>
            <w:tcW w:w="661" w:type="dxa"/>
            <w:vMerge w:val="continue"/>
            <w:vAlign w:val="center"/>
          </w:tcPr>
          <w:p w14:paraId="146F8EC7">
            <w:pPr>
              <w:widowControl/>
              <w:spacing w:line="300" w:lineRule="exact"/>
              <w:jc w:val="center"/>
              <w:rPr>
                <w:rFonts w:ascii="Times New Roman" w:cs="Times New Roman" w:hAnsiTheme="minorEastAsia" w:eastAsiaTheme="minorEastAsia"/>
                <w:color w:val="auto"/>
                <w:spacing w:val="-20"/>
                <w:szCs w:val="21"/>
              </w:rPr>
            </w:pPr>
          </w:p>
        </w:tc>
        <w:tc>
          <w:tcPr>
            <w:tcW w:w="662" w:type="dxa"/>
            <w:vMerge w:val="restart"/>
            <w:vAlign w:val="center"/>
          </w:tcPr>
          <w:p w14:paraId="1874E328">
            <w:pPr>
              <w:spacing w:line="300" w:lineRule="exact"/>
              <w:jc w:val="center"/>
              <w:rPr>
                <w:rFonts w:ascii="Times New Roman" w:cs="Times New Roman" w:hAnsiTheme="minorEastAsia" w:eastAsiaTheme="minorEastAsia"/>
                <w:color w:val="auto"/>
                <w:spacing w:val="-20"/>
                <w:szCs w:val="21"/>
              </w:rPr>
            </w:pPr>
            <w:r>
              <w:rPr>
                <w:rFonts w:hint="eastAsia" w:ascii="Times New Roman" w:cs="Times New Roman" w:hAnsiTheme="minorEastAsia" w:eastAsiaTheme="minorEastAsia"/>
                <w:color w:val="auto"/>
                <w:spacing w:val="-20"/>
                <w:szCs w:val="21"/>
              </w:rPr>
              <w:t>25</w:t>
            </w:r>
          </w:p>
        </w:tc>
        <w:tc>
          <w:tcPr>
            <w:tcW w:w="662" w:type="dxa"/>
            <w:vMerge w:val="restart"/>
            <w:vAlign w:val="center"/>
          </w:tcPr>
          <w:p w14:paraId="7BF7D6CC">
            <w:pPr>
              <w:spacing w:line="300" w:lineRule="exact"/>
              <w:jc w:val="center"/>
              <w:rPr>
                <w:rFonts w:ascii="Times New Roman" w:cs="Times New Roman" w:hAnsiTheme="minorEastAsia" w:eastAsiaTheme="minorEastAsia"/>
                <w:color w:val="auto"/>
                <w:spacing w:val="-20"/>
                <w:szCs w:val="21"/>
              </w:rPr>
            </w:pPr>
            <w:r>
              <w:rPr>
                <w:rFonts w:hint="eastAsia" w:ascii="Times New Roman" w:cs="Times New Roman" w:hAnsiTheme="minorEastAsia" w:eastAsiaTheme="minorEastAsia"/>
                <w:color w:val="auto"/>
                <w:spacing w:val="-20"/>
                <w:szCs w:val="21"/>
              </w:rPr>
              <w:t>13</w:t>
            </w:r>
          </w:p>
        </w:tc>
        <w:tc>
          <w:tcPr>
            <w:tcW w:w="567" w:type="dxa"/>
            <w:vMerge w:val="continue"/>
            <w:vAlign w:val="center"/>
          </w:tcPr>
          <w:p w14:paraId="09E472F7">
            <w:pPr>
              <w:widowControl/>
              <w:spacing w:line="300" w:lineRule="exact"/>
              <w:jc w:val="center"/>
              <w:rPr>
                <w:rFonts w:ascii="Times New Roman" w:cs="Times New Roman" w:hAnsiTheme="minorEastAsia" w:eastAsiaTheme="minorEastAsia"/>
                <w:color w:val="auto"/>
                <w:spacing w:val="-20"/>
                <w:szCs w:val="21"/>
              </w:rPr>
            </w:pPr>
          </w:p>
        </w:tc>
        <w:tc>
          <w:tcPr>
            <w:tcW w:w="708" w:type="dxa"/>
            <w:vMerge w:val="restart"/>
            <w:vAlign w:val="center"/>
          </w:tcPr>
          <w:p w14:paraId="6CF5CEF4">
            <w:pPr>
              <w:spacing w:line="300" w:lineRule="exact"/>
              <w:jc w:val="center"/>
              <w:rPr>
                <w:rFonts w:ascii="Times New Roman" w:hAnsi="Times New Roman" w:cs="Times New Roman" w:eastAsiaTheme="minorEastAsia"/>
                <w:color w:val="auto"/>
                <w:spacing w:val="-20"/>
                <w:szCs w:val="21"/>
              </w:rPr>
            </w:pPr>
            <w:r>
              <w:rPr>
                <w:rFonts w:hint="eastAsia" w:ascii="Times New Roman" w:hAnsi="Times New Roman" w:cs="Times New Roman" w:eastAsiaTheme="minorEastAsia"/>
                <w:color w:val="auto"/>
                <w:spacing w:val="-20"/>
                <w:szCs w:val="21"/>
              </w:rPr>
              <w:t>25</w:t>
            </w:r>
          </w:p>
        </w:tc>
        <w:tc>
          <w:tcPr>
            <w:tcW w:w="709" w:type="dxa"/>
            <w:vMerge w:val="restart"/>
            <w:vAlign w:val="center"/>
          </w:tcPr>
          <w:p w14:paraId="532CDAFE">
            <w:pPr>
              <w:spacing w:line="300" w:lineRule="exact"/>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6</w:t>
            </w:r>
          </w:p>
        </w:tc>
        <w:tc>
          <w:tcPr>
            <w:tcW w:w="992" w:type="dxa"/>
            <w:vMerge w:val="continue"/>
            <w:vAlign w:val="center"/>
          </w:tcPr>
          <w:p w14:paraId="4325C71A">
            <w:pPr>
              <w:widowControl/>
              <w:spacing w:line="300" w:lineRule="exact"/>
              <w:jc w:val="center"/>
              <w:rPr>
                <w:rFonts w:ascii="Times New Roman" w:hAnsi="Times New Roman" w:cs="Times New Roman" w:eastAsiaTheme="minorEastAsia"/>
                <w:color w:val="auto"/>
                <w:spacing w:val="-20"/>
                <w:kern w:val="0"/>
                <w:szCs w:val="21"/>
              </w:rPr>
            </w:pPr>
          </w:p>
        </w:tc>
        <w:tc>
          <w:tcPr>
            <w:tcW w:w="993" w:type="dxa"/>
            <w:vMerge w:val="continue"/>
            <w:vAlign w:val="center"/>
          </w:tcPr>
          <w:p w14:paraId="6ED99B90">
            <w:pPr>
              <w:widowControl/>
              <w:spacing w:line="300" w:lineRule="exact"/>
              <w:jc w:val="center"/>
              <w:rPr>
                <w:rFonts w:ascii="Times New Roman" w:hAnsi="Times New Roman" w:cs="Times New Roman" w:eastAsiaTheme="minorEastAsia"/>
                <w:color w:val="auto"/>
                <w:spacing w:val="-20"/>
                <w:kern w:val="0"/>
                <w:szCs w:val="21"/>
              </w:rPr>
            </w:pPr>
          </w:p>
        </w:tc>
        <w:tc>
          <w:tcPr>
            <w:tcW w:w="567" w:type="dxa"/>
            <w:vMerge w:val="continue"/>
            <w:vAlign w:val="center"/>
          </w:tcPr>
          <w:p w14:paraId="0D8AFA44">
            <w:pPr>
              <w:widowControl/>
              <w:spacing w:line="300" w:lineRule="exact"/>
              <w:jc w:val="center"/>
              <w:rPr>
                <w:rFonts w:ascii="Times New Roman" w:cs="Times New Roman" w:hAnsiTheme="minorEastAsia" w:eastAsiaTheme="minorEastAsia"/>
                <w:color w:val="auto"/>
                <w:spacing w:val="-20"/>
                <w:kern w:val="0"/>
                <w:szCs w:val="21"/>
              </w:rPr>
            </w:pPr>
          </w:p>
        </w:tc>
        <w:tc>
          <w:tcPr>
            <w:tcW w:w="992" w:type="dxa"/>
            <w:vMerge w:val="continue"/>
            <w:vAlign w:val="center"/>
          </w:tcPr>
          <w:p w14:paraId="53100D6F">
            <w:pPr>
              <w:widowControl/>
              <w:spacing w:line="300" w:lineRule="exact"/>
              <w:jc w:val="center"/>
              <w:rPr>
                <w:rFonts w:ascii="Times New Roman" w:hAnsi="Times New Roman" w:cs="Times New Roman" w:eastAsiaTheme="minorEastAsia"/>
                <w:color w:val="auto"/>
                <w:spacing w:val="-20"/>
                <w:kern w:val="0"/>
                <w:szCs w:val="21"/>
              </w:rPr>
            </w:pPr>
          </w:p>
        </w:tc>
        <w:tc>
          <w:tcPr>
            <w:tcW w:w="709" w:type="dxa"/>
            <w:vMerge w:val="restart"/>
            <w:vAlign w:val="center"/>
          </w:tcPr>
          <w:p w14:paraId="084208DB">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40</w:t>
            </w:r>
          </w:p>
        </w:tc>
        <w:tc>
          <w:tcPr>
            <w:tcW w:w="708" w:type="dxa"/>
            <w:vMerge w:val="restart"/>
            <w:vAlign w:val="center"/>
          </w:tcPr>
          <w:p w14:paraId="5D8101C1">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60</w:t>
            </w:r>
          </w:p>
        </w:tc>
        <w:tc>
          <w:tcPr>
            <w:tcW w:w="4568" w:type="dxa"/>
            <w:vMerge w:val="continue"/>
            <w:vAlign w:val="center"/>
          </w:tcPr>
          <w:p w14:paraId="57EDB514">
            <w:pPr>
              <w:widowControl/>
              <w:spacing w:line="300" w:lineRule="exact"/>
              <w:rPr>
                <w:rFonts w:ascii="Times New Roman" w:cs="Times New Roman" w:hAnsiTheme="minorEastAsia" w:eastAsiaTheme="minorEastAsia"/>
                <w:color w:val="auto"/>
                <w:spacing w:val="0"/>
                <w:kern w:val="0"/>
                <w:sz w:val="21"/>
                <w:szCs w:val="21"/>
              </w:rPr>
            </w:pPr>
          </w:p>
        </w:tc>
        <w:tc>
          <w:tcPr>
            <w:tcW w:w="2898" w:type="dxa"/>
            <w:vMerge w:val="continue"/>
            <w:vAlign w:val="center"/>
          </w:tcPr>
          <w:p w14:paraId="7571361F">
            <w:pPr>
              <w:widowControl/>
              <w:adjustRightInd w:val="0"/>
              <w:snapToGrid w:val="0"/>
              <w:jc w:val="center"/>
              <w:rPr>
                <w:rFonts w:ascii="Times New Roman" w:hAnsi="Times New Roman" w:cs="Times New Roman" w:eastAsiaTheme="minorEastAsia"/>
                <w:snapToGrid w:val="0"/>
                <w:color w:val="auto"/>
                <w:spacing w:val="-20"/>
                <w:kern w:val="0"/>
                <w:szCs w:val="21"/>
              </w:rPr>
            </w:pPr>
          </w:p>
        </w:tc>
      </w:tr>
      <w:tr w14:paraId="39E91345">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664" w:hRule="atLeast"/>
          <w:tblHeader/>
          <w:jc w:val="center"/>
        </w:trPr>
        <w:tc>
          <w:tcPr>
            <w:tcW w:w="568" w:type="dxa"/>
            <w:vMerge w:val="continue"/>
            <w:noWrap/>
            <w:vAlign w:val="center"/>
          </w:tcPr>
          <w:p w14:paraId="3706423D">
            <w:pPr>
              <w:widowControl/>
              <w:spacing w:line="300" w:lineRule="exact"/>
              <w:jc w:val="center"/>
              <w:rPr>
                <w:rFonts w:ascii="Times New Roman" w:hAnsi="Times New Roman" w:cs="Times New Roman" w:eastAsiaTheme="minorEastAsia"/>
                <w:color w:val="auto"/>
                <w:spacing w:val="-20"/>
                <w:kern w:val="0"/>
                <w:szCs w:val="21"/>
              </w:rPr>
            </w:pPr>
          </w:p>
        </w:tc>
        <w:tc>
          <w:tcPr>
            <w:tcW w:w="694" w:type="dxa"/>
            <w:vMerge w:val="continue"/>
            <w:vAlign w:val="center"/>
          </w:tcPr>
          <w:p w14:paraId="65FD5A58">
            <w:pPr>
              <w:spacing w:line="300" w:lineRule="exact"/>
              <w:jc w:val="center"/>
              <w:rPr>
                <w:rFonts w:ascii="Times New Roman" w:hAnsi="Times New Roman" w:cs="Times New Roman" w:eastAsiaTheme="minorEastAsia"/>
                <w:color w:val="auto"/>
                <w:spacing w:val="-20"/>
                <w:kern w:val="0"/>
                <w:szCs w:val="21"/>
              </w:rPr>
            </w:pPr>
          </w:p>
        </w:tc>
        <w:tc>
          <w:tcPr>
            <w:tcW w:w="1134" w:type="dxa"/>
            <w:vAlign w:val="center"/>
          </w:tcPr>
          <w:p w14:paraId="45BDAE3C">
            <w:pPr>
              <w:widowControl/>
              <w:spacing w:line="300" w:lineRule="exact"/>
              <w:jc w:val="center"/>
              <w:rPr>
                <w:rFonts w:ascii="Times New Roman" w:hAnsi="Times New Roman" w:cs="Times New Roman" w:eastAsiaTheme="minorEastAsia"/>
                <w:color w:val="auto"/>
                <w:spacing w:val="-20"/>
                <w:szCs w:val="21"/>
              </w:rPr>
            </w:pPr>
            <w:r>
              <w:rPr>
                <w:rFonts w:ascii="Times New Roman" w:hAnsi="Times New Roman" w:cs="Times New Roman" w:eastAsiaTheme="minorEastAsia"/>
                <w:color w:val="auto"/>
                <w:spacing w:val="-20"/>
                <w:szCs w:val="21"/>
              </w:rPr>
              <w:t>K</w:t>
            </w:r>
            <w:r>
              <w:rPr>
                <w:rFonts w:hint="eastAsia" w:ascii="Times New Roman" w:hAnsi="Times New Roman" w:cs="Times New Roman" w:eastAsiaTheme="minorEastAsia"/>
                <w:color w:val="auto"/>
                <w:spacing w:val="-20"/>
                <w:szCs w:val="21"/>
              </w:rPr>
              <w:t>28</w:t>
            </w:r>
            <w:r>
              <w:rPr>
                <w:rFonts w:ascii="Times New Roman" w:hAnsi="Times New Roman" w:cs="Times New Roman" w:eastAsiaTheme="minorEastAsia"/>
                <w:color w:val="auto"/>
                <w:spacing w:val="-20"/>
                <w:szCs w:val="21"/>
              </w:rPr>
              <w:t>+</w:t>
            </w:r>
            <w:r>
              <w:rPr>
                <w:rFonts w:hint="eastAsia" w:ascii="Times New Roman" w:hAnsi="Times New Roman" w:cs="Times New Roman" w:eastAsiaTheme="minorEastAsia"/>
                <w:color w:val="auto"/>
                <w:spacing w:val="-20"/>
                <w:szCs w:val="21"/>
              </w:rPr>
              <w:t>10</w:t>
            </w:r>
            <w:r>
              <w:rPr>
                <w:rFonts w:ascii="Times New Roman" w:hAnsi="Times New Roman" w:cs="Times New Roman" w:eastAsiaTheme="minorEastAsia"/>
                <w:color w:val="auto"/>
                <w:spacing w:val="-20"/>
                <w:szCs w:val="21"/>
              </w:rPr>
              <w:t>0</w:t>
            </w:r>
            <w:r>
              <w:rPr>
                <w:rFonts w:ascii="Times New Roman" w:cs="Times New Roman" w:hAnsiTheme="minorEastAsia" w:eastAsiaTheme="minorEastAsia"/>
                <w:color w:val="auto"/>
                <w:spacing w:val="-20"/>
                <w:szCs w:val="21"/>
              </w:rPr>
              <w:t>～</w:t>
            </w:r>
            <w:r>
              <w:rPr>
                <w:rFonts w:ascii="Times New Roman" w:hAnsi="Times New Roman" w:cs="Times New Roman" w:eastAsiaTheme="minorEastAsia"/>
                <w:color w:val="auto"/>
                <w:spacing w:val="-20"/>
                <w:szCs w:val="21"/>
              </w:rPr>
              <w:t>K</w:t>
            </w:r>
            <w:r>
              <w:rPr>
                <w:rFonts w:hint="eastAsia" w:ascii="Times New Roman" w:hAnsi="Times New Roman" w:cs="Times New Roman" w:eastAsiaTheme="minorEastAsia"/>
                <w:color w:val="auto"/>
                <w:spacing w:val="-20"/>
                <w:szCs w:val="21"/>
              </w:rPr>
              <w:t>28</w:t>
            </w:r>
            <w:r>
              <w:rPr>
                <w:rFonts w:ascii="Times New Roman" w:hAnsi="Times New Roman" w:cs="Times New Roman" w:eastAsiaTheme="minorEastAsia"/>
                <w:color w:val="auto"/>
                <w:spacing w:val="-20"/>
                <w:szCs w:val="21"/>
              </w:rPr>
              <w:t>+</w:t>
            </w:r>
            <w:r>
              <w:rPr>
                <w:rFonts w:hint="eastAsia" w:ascii="Times New Roman" w:hAnsi="Times New Roman" w:cs="Times New Roman" w:eastAsiaTheme="minorEastAsia"/>
                <w:color w:val="auto"/>
                <w:spacing w:val="-20"/>
                <w:szCs w:val="21"/>
              </w:rPr>
              <w:t>50</w:t>
            </w:r>
            <w:r>
              <w:rPr>
                <w:rFonts w:ascii="Times New Roman" w:hAnsi="Times New Roman" w:cs="Times New Roman" w:eastAsiaTheme="minorEastAsia"/>
                <w:color w:val="auto"/>
                <w:spacing w:val="-20"/>
                <w:szCs w:val="21"/>
              </w:rPr>
              <w:t>0</w:t>
            </w:r>
          </w:p>
        </w:tc>
        <w:tc>
          <w:tcPr>
            <w:tcW w:w="851" w:type="dxa"/>
            <w:vMerge w:val="continue"/>
            <w:vAlign w:val="center"/>
          </w:tcPr>
          <w:p w14:paraId="23689295">
            <w:pPr>
              <w:spacing w:line="300" w:lineRule="exact"/>
              <w:jc w:val="center"/>
              <w:rPr>
                <w:rFonts w:ascii="Times New Roman" w:hAnsi="Times New Roman" w:cs="Times New Roman" w:eastAsiaTheme="minorEastAsia"/>
                <w:color w:val="auto"/>
                <w:spacing w:val="-20"/>
                <w:szCs w:val="21"/>
              </w:rPr>
            </w:pPr>
          </w:p>
        </w:tc>
        <w:tc>
          <w:tcPr>
            <w:tcW w:w="850" w:type="dxa"/>
            <w:vMerge w:val="continue"/>
            <w:vAlign w:val="center"/>
          </w:tcPr>
          <w:p w14:paraId="7B911326">
            <w:pPr>
              <w:widowControl/>
              <w:spacing w:line="300" w:lineRule="exact"/>
              <w:jc w:val="center"/>
              <w:rPr>
                <w:rFonts w:ascii="Times New Roman" w:hAnsi="Times New Roman" w:cs="Times New Roman" w:eastAsiaTheme="minorEastAsia"/>
                <w:color w:val="auto"/>
                <w:spacing w:val="-20"/>
                <w:kern w:val="0"/>
                <w:szCs w:val="21"/>
              </w:rPr>
            </w:pPr>
          </w:p>
        </w:tc>
        <w:tc>
          <w:tcPr>
            <w:tcW w:w="661" w:type="dxa"/>
            <w:vAlign w:val="center"/>
          </w:tcPr>
          <w:p w14:paraId="39291959">
            <w:pPr>
              <w:widowControl/>
              <w:spacing w:line="300" w:lineRule="exact"/>
              <w:jc w:val="center"/>
              <w:rPr>
                <w:rFonts w:ascii="Times New Roman" w:hAnsi="Times New Roman" w:cs="Times New Roman" w:eastAsiaTheme="minorEastAsia"/>
                <w:color w:val="auto"/>
                <w:spacing w:val="-20"/>
                <w:szCs w:val="21"/>
              </w:rPr>
            </w:pPr>
            <w:r>
              <w:rPr>
                <w:rFonts w:ascii="Times New Roman" w:cs="Times New Roman" w:hAnsiTheme="minorEastAsia" w:eastAsiaTheme="minorEastAsia"/>
                <w:color w:val="auto"/>
                <w:spacing w:val="-20"/>
                <w:szCs w:val="21"/>
              </w:rPr>
              <w:t>路左</w:t>
            </w:r>
          </w:p>
        </w:tc>
        <w:tc>
          <w:tcPr>
            <w:tcW w:w="662" w:type="dxa"/>
            <w:vMerge w:val="continue"/>
            <w:vAlign w:val="center"/>
          </w:tcPr>
          <w:p w14:paraId="524AA60E">
            <w:pPr>
              <w:widowControl/>
              <w:spacing w:line="300" w:lineRule="exact"/>
              <w:jc w:val="center"/>
              <w:rPr>
                <w:rFonts w:ascii="Times New Roman" w:cs="Times New Roman" w:hAnsiTheme="minorEastAsia" w:eastAsiaTheme="minorEastAsia"/>
                <w:color w:val="auto"/>
                <w:spacing w:val="-20"/>
                <w:szCs w:val="21"/>
              </w:rPr>
            </w:pPr>
          </w:p>
        </w:tc>
        <w:tc>
          <w:tcPr>
            <w:tcW w:w="662" w:type="dxa"/>
            <w:vMerge w:val="continue"/>
            <w:vAlign w:val="center"/>
          </w:tcPr>
          <w:p w14:paraId="1077C0EC">
            <w:pPr>
              <w:widowControl/>
              <w:spacing w:line="300" w:lineRule="exact"/>
              <w:jc w:val="center"/>
              <w:rPr>
                <w:rFonts w:ascii="Times New Roman" w:cs="Times New Roman" w:hAnsiTheme="minorEastAsia" w:eastAsiaTheme="minorEastAsia"/>
                <w:color w:val="auto"/>
                <w:spacing w:val="-20"/>
                <w:szCs w:val="21"/>
              </w:rPr>
            </w:pPr>
          </w:p>
        </w:tc>
        <w:tc>
          <w:tcPr>
            <w:tcW w:w="567" w:type="dxa"/>
            <w:vAlign w:val="center"/>
          </w:tcPr>
          <w:p w14:paraId="151D3A94">
            <w:pPr>
              <w:widowControl/>
              <w:spacing w:line="300" w:lineRule="exact"/>
              <w:jc w:val="center"/>
              <w:rPr>
                <w:rFonts w:ascii="Times New Roman" w:hAnsi="Times New Roman" w:cs="Times New Roman" w:eastAsiaTheme="minorEastAsia"/>
                <w:color w:val="auto"/>
                <w:spacing w:val="-20"/>
                <w:szCs w:val="21"/>
              </w:rPr>
            </w:pPr>
            <w:r>
              <w:rPr>
                <w:rFonts w:ascii="Times New Roman" w:cs="Times New Roman" w:hAnsiTheme="minorEastAsia" w:eastAsiaTheme="minorEastAsia"/>
                <w:color w:val="auto"/>
                <w:spacing w:val="-20"/>
                <w:szCs w:val="21"/>
              </w:rPr>
              <w:t>路左</w:t>
            </w:r>
          </w:p>
        </w:tc>
        <w:tc>
          <w:tcPr>
            <w:tcW w:w="708" w:type="dxa"/>
            <w:vMerge w:val="continue"/>
            <w:vAlign w:val="center"/>
          </w:tcPr>
          <w:p w14:paraId="4724C7CA">
            <w:pPr>
              <w:widowControl/>
              <w:spacing w:line="300" w:lineRule="exact"/>
              <w:jc w:val="center"/>
              <w:rPr>
                <w:rFonts w:ascii="Times New Roman" w:hAnsi="Times New Roman" w:cs="Times New Roman" w:eastAsiaTheme="minorEastAsia"/>
                <w:color w:val="auto"/>
                <w:spacing w:val="-20"/>
                <w:szCs w:val="21"/>
              </w:rPr>
            </w:pPr>
          </w:p>
        </w:tc>
        <w:tc>
          <w:tcPr>
            <w:tcW w:w="709" w:type="dxa"/>
            <w:vMerge w:val="continue"/>
            <w:vAlign w:val="center"/>
          </w:tcPr>
          <w:p w14:paraId="6BE1F9E6">
            <w:pPr>
              <w:widowControl/>
              <w:spacing w:line="300" w:lineRule="exact"/>
              <w:jc w:val="center"/>
              <w:rPr>
                <w:rFonts w:ascii="Times New Roman" w:hAnsi="Times New Roman" w:cs="Times New Roman" w:eastAsiaTheme="minorEastAsia"/>
                <w:color w:val="auto"/>
                <w:spacing w:val="-20"/>
                <w:kern w:val="0"/>
                <w:szCs w:val="21"/>
              </w:rPr>
            </w:pPr>
          </w:p>
        </w:tc>
        <w:tc>
          <w:tcPr>
            <w:tcW w:w="992" w:type="dxa"/>
            <w:vMerge w:val="continue"/>
            <w:vAlign w:val="center"/>
          </w:tcPr>
          <w:p w14:paraId="70D5ADCA">
            <w:pPr>
              <w:widowControl/>
              <w:spacing w:line="300" w:lineRule="exact"/>
              <w:jc w:val="center"/>
              <w:rPr>
                <w:rFonts w:ascii="Times New Roman" w:hAnsi="Times New Roman" w:cs="Times New Roman" w:eastAsiaTheme="minorEastAsia"/>
                <w:color w:val="auto"/>
                <w:spacing w:val="-20"/>
                <w:kern w:val="0"/>
                <w:szCs w:val="21"/>
              </w:rPr>
            </w:pPr>
          </w:p>
        </w:tc>
        <w:tc>
          <w:tcPr>
            <w:tcW w:w="993" w:type="dxa"/>
            <w:vMerge w:val="continue"/>
            <w:vAlign w:val="center"/>
          </w:tcPr>
          <w:p w14:paraId="7095647C">
            <w:pPr>
              <w:widowControl/>
              <w:spacing w:line="300" w:lineRule="exact"/>
              <w:jc w:val="center"/>
              <w:rPr>
                <w:rFonts w:ascii="Times New Roman" w:hAnsi="Times New Roman" w:cs="Times New Roman" w:eastAsiaTheme="minorEastAsia"/>
                <w:color w:val="auto"/>
                <w:spacing w:val="-20"/>
                <w:kern w:val="0"/>
                <w:szCs w:val="21"/>
              </w:rPr>
            </w:pPr>
          </w:p>
        </w:tc>
        <w:tc>
          <w:tcPr>
            <w:tcW w:w="567" w:type="dxa"/>
            <w:vMerge w:val="continue"/>
            <w:vAlign w:val="center"/>
          </w:tcPr>
          <w:p w14:paraId="7481B6D5">
            <w:pPr>
              <w:widowControl/>
              <w:spacing w:line="300" w:lineRule="exact"/>
              <w:jc w:val="center"/>
              <w:rPr>
                <w:rFonts w:ascii="Times New Roman" w:hAnsi="Times New Roman" w:cs="Times New Roman" w:eastAsiaTheme="minorEastAsia"/>
                <w:color w:val="auto"/>
                <w:spacing w:val="-20"/>
                <w:kern w:val="0"/>
                <w:szCs w:val="21"/>
              </w:rPr>
            </w:pPr>
          </w:p>
        </w:tc>
        <w:tc>
          <w:tcPr>
            <w:tcW w:w="992" w:type="dxa"/>
            <w:vMerge w:val="continue"/>
            <w:vAlign w:val="center"/>
          </w:tcPr>
          <w:p w14:paraId="71B17974">
            <w:pPr>
              <w:widowControl/>
              <w:spacing w:line="300" w:lineRule="exact"/>
              <w:jc w:val="center"/>
              <w:rPr>
                <w:rFonts w:ascii="Times New Roman" w:hAnsi="Times New Roman" w:cs="Times New Roman" w:eastAsiaTheme="minorEastAsia"/>
                <w:color w:val="auto"/>
                <w:spacing w:val="-20"/>
                <w:kern w:val="0"/>
                <w:szCs w:val="21"/>
              </w:rPr>
            </w:pPr>
          </w:p>
        </w:tc>
        <w:tc>
          <w:tcPr>
            <w:tcW w:w="709" w:type="dxa"/>
            <w:vMerge w:val="continue"/>
            <w:vAlign w:val="center"/>
          </w:tcPr>
          <w:p w14:paraId="5D405FB7">
            <w:pPr>
              <w:widowControl/>
              <w:spacing w:line="300" w:lineRule="exact"/>
              <w:jc w:val="center"/>
              <w:rPr>
                <w:rFonts w:ascii="Times New Roman" w:hAnsi="Times New Roman" w:cs="Times New Roman" w:eastAsiaTheme="minorEastAsia"/>
                <w:color w:val="auto"/>
                <w:spacing w:val="-20"/>
                <w:kern w:val="0"/>
                <w:szCs w:val="21"/>
              </w:rPr>
            </w:pPr>
          </w:p>
        </w:tc>
        <w:tc>
          <w:tcPr>
            <w:tcW w:w="708" w:type="dxa"/>
            <w:vMerge w:val="continue"/>
            <w:vAlign w:val="center"/>
          </w:tcPr>
          <w:p w14:paraId="4A3F93C6">
            <w:pPr>
              <w:widowControl/>
              <w:spacing w:line="300" w:lineRule="exact"/>
              <w:jc w:val="center"/>
              <w:rPr>
                <w:rFonts w:ascii="Times New Roman" w:hAnsi="Times New Roman" w:cs="Times New Roman" w:eastAsiaTheme="minorEastAsia"/>
                <w:color w:val="auto"/>
                <w:spacing w:val="-20"/>
                <w:kern w:val="0"/>
                <w:szCs w:val="21"/>
              </w:rPr>
            </w:pPr>
          </w:p>
        </w:tc>
        <w:tc>
          <w:tcPr>
            <w:tcW w:w="4568" w:type="dxa"/>
            <w:vMerge w:val="continue"/>
            <w:vAlign w:val="center"/>
          </w:tcPr>
          <w:p w14:paraId="65C7D83F">
            <w:pPr>
              <w:widowControl/>
              <w:spacing w:line="300" w:lineRule="exact"/>
              <w:rPr>
                <w:rFonts w:ascii="Times New Roman" w:hAnsi="Times New Roman" w:cs="Times New Roman" w:eastAsiaTheme="minorEastAsia"/>
                <w:color w:val="auto"/>
                <w:spacing w:val="0"/>
                <w:kern w:val="0"/>
                <w:sz w:val="21"/>
                <w:szCs w:val="21"/>
              </w:rPr>
            </w:pPr>
          </w:p>
        </w:tc>
        <w:tc>
          <w:tcPr>
            <w:tcW w:w="2898" w:type="dxa"/>
            <w:vMerge w:val="continue"/>
            <w:vAlign w:val="center"/>
          </w:tcPr>
          <w:p w14:paraId="3BDBCE00">
            <w:pPr>
              <w:widowControl/>
              <w:adjustRightInd w:val="0"/>
              <w:snapToGrid w:val="0"/>
              <w:jc w:val="center"/>
              <w:rPr>
                <w:rFonts w:ascii="Times New Roman" w:hAnsi="Times New Roman" w:cs="Times New Roman" w:eastAsiaTheme="minorEastAsia"/>
                <w:snapToGrid w:val="0"/>
                <w:color w:val="auto"/>
                <w:spacing w:val="-20"/>
                <w:kern w:val="0"/>
                <w:szCs w:val="21"/>
              </w:rPr>
            </w:pPr>
          </w:p>
        </w:tc>
      </w:tr>
      <w:tr w14:paraId="31999854">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2093" w:hRule="atLeast"/>
          <w:tblHeader/>
          <w:jc w:val="center"/>
        </w:trPr>
        <w:tc>
          <w:tcPr>
            <w:tcW w:w="568" w:type="dxa"/>
            <w:noWrap/>
            <w:vAlign w:val="center"/>
          </w:tcPr>
          <w:p w14:paraId="2EC753B8">
            <w:pPr>
              <w:widowControl/>
              <w:spacing w:line="300" w:lineRule="exact"/>
              <w:jc w:val="center"/>
              <w:rPr>
                <w:rFonts w:ascii="Times New Roman" w:hAnsi="Times New Roman" w:cs="Times New Roman" w:eastAsiaTheme="minorEastAsia"/>
                <w:color w:val="auto"/>
                <w:spacing w:val="-20"/>
                <w:kern w:val="0"/>
                <w:szCs w:val="21"/>
              </w:rPr>
            </w:pPr>
            <w:r>
              <w:rPr>
                <w:rFonts w:ascii="Times New Roman" w:hAnsi="Times New Roman" w:cs="Times New Roman" w:eastAsiaTheme="minorEastAsia"/>
                <w:color w:val="auto"/>
                <w:spacing w:val="-20"/>
                <w:kern w:val="0"/>
                <w:szCs w:val="21"/>
              </w:rPr>
              <w:t>13</w:t>
            </w:r>
          </w:p>
        </w:tc>
        <w:tc>
          <w:tcPr>
            <w:tcW w:w="694" w:type="dxa"/>
            <w:vMerge w:val="continue"/>
            <w:vAlign w:val="center"/>
          </w:tcPr>
          <w:p w14:paraId="1FB9AD50">
            <w:pPr>
              <w:spacing w:line="300" w:lineRule="exact"/>
              <w:jc w:val="center"/>
              <w:rPr>
                <w:rFonts w:ascii="Times New Roman" w:hAnsi="Times New Roman" w:cs="Times New Roman" w:eastAsiaTheme="minorEastAsia"/>
                <w:color w:val="auto"/>
                <w:spacing w:val="-20"/>
                <w:kern w:val="0"/>
                <w:szCs w:val="21"/>
              </w:rPr>
            </w:pPr>
          </w:p>
        </w:tc>
        <w:tc>
          <w:tcPr>
            <w:tcW w:w="1134" w:type="dxa"/>
            <w:vAlign w:val="center"/>
          </w:tcPr>
          <w:p w14:paraId="3C06CF55">
            <w:pPr>
              <w:widowControl/>
              <w:spacing w:line="300" w:lineRule="exact"/>
              <w:jc w:val="center"/>
              <w:rPr>
                <w:rFonts w:ascii="Times New Roman" w:hAnsi="Times New Roman" w:cs="Times New Roman" w:eastAsiaTheme="minorEastAsia"/>
                <w:color w:val="auto"/>
                <w:spacing w:val="-20"/>
                <w:kern w:val="0"/>
                <w:szCs w:val="21"/>
              </w:rPr>
            </w:pPr>
            <w:r>
              <w:rPr>
                <w:rFonts w:ascii="Times New Roman" w:hAnsi="Times New Roman" w:cs="Times New Roman" w:eastAsiaTheme="minorEastAsia"/>
                <w:color w:val="auto"/>
                <w:spacing w:val="-20"/>
                <w:szCs w:val="21"/>
              </w:rPr>
              <w:t>K</w:t>
            </w:r>
            <w:r>
              <w:rPr>
                <w:rFonts w:hint="eastAsia" w:ascii="Times New Roman" w:hAnsi="Times New Roman" w:cs="Times New Roman" w:eastAsiaTheme="minorEastAsia"/>
                <w:color w:val="auto"/>
                <w:spacing w:val="-20"/>
                <w:szCs w:val="21"/>
              </w:rPr>
              <w:t>28</w:t>
            </w:r>
            <w:r>
              <w:rPr>
                <w:rFonts w:ascii="Times New Roman" w:hAnsi="Times New Roman" w:cs="Times New Roman" w:eastAsiaTheme="minorEastAsia"/>
                <w:color w:val="auto"/>
                <w:spacing w:val="-20"/>
                <w:szCs w:val="21"/>
              </w:rPr>
              <w:t>+</w:t>
            </w:r>
            <w:r>
              <w:rPr>
                <w:rFonts w:hint="eastAsia" w:ascii="Times New Roman" w:hAnsi="Times New Roman" w:cs="Times New Roman" w:eastAsiaTheme="minorEastAsia"/>
                <w:color w:val="auto"/>
                <w:spacing w:val="-20"/>
                <w:szCs w:val="21"/>
              </w:rPr>
              <w:t>50</w:t>
            </w:r>
            <w:r>
              <w:rPr>
                <w:rFonts w:ascii="Times New Roman" w:hAnsi="Times New Roman" w:cs="Times New Roman" w:eastAsiaTheme="minorEastAsia"/>
                <w:color w:val="auto"/>
                <w:spacing w:val="-20"/>
                <w:szCs w:val="21"/>
              </w:rPr>
              <w:t>0</w:t>
            </w:r>
          </w:p>
        </w:tc>
        <w:tc>
          <w:tcPr>
            <w:tcW w:w="851" w:type="dxa"/>
            <w:vAlign w:val="center"/>
          </w:tcPr>
          <w:p w14:paraId="7954146D">
            <w:pPr>
              <w:spacing w:line="300" w:lineRule="exact"/>
              <w:jc w:val="center"/>
              <w:rPr>
                <w:rFonts w:ascii="Times New Roman" w:hAnsi="Times New Roman" w:cs="Times New Roman" w:eastAsiaTheme="minorEastAsia"/>
                <w:color w:val="auto"/>
                <w:spacing w:val="-20"/>
                <w:szCs w:val="21"/>
              </w:rPr>
            </w:pPr>
            <w:r>
              <w:rPr>
                <w:rFonts w:hint="eastAsia" w:ascii="Times New Roman" w:cs="Times New Roman" w:hAnsiTheme="minorEastAsia" w:eastAsiaTheme="minorEastAsia"/>
                <w:color w:val="auto"/>
                <w:spacing w:val="-20"/>
                <w:szCs w:val="21"/>
              </w:rPr>
              <w:t>夏合亚迪村小学</w:t>
            </w:r>
          </w:p>
        </w:tc>
        <w:tc>
          <w:tcPr>
            <w:tcW w:w="850" w:type="dxa"/>
            <w:vMerge w:val="restart"/>
            <w:vAlign w:val="center"/>
          </w:tcPr>
          <w:p w14:paraId="738D7C94">
            <w:pPr>
              <w:spacing w:line="300" w:lineRule="exact"/>
              <w:jc w:val="center"/>
              <w:rPr>
                <w:rFonts w:ascii="Times New Roman" w:hAnsi="Times New Roman" w:cs="Times New Roman" w:eastAsiaTheme="minorEastAsia"/>
                <w:color w:val="auto"/>
                <w:spacing w:val="-20"/>
                <w:kern w:val="0"/>
                <w:szCs w:val="21"/>
              </w:rPr>
            </w:pPr>
            <w:r>
              <w:rPr>
                <w:rFonts w:hint="eastAsia" w:ascii="Times New Roman" w:cs="Times New Roman" w:hAnsiTheme="minorEastAsia" w:eastAsiaTheme="minorEastAsia"/>
                <w:color w:val="auto"/>
                <w:spacing w:val="-20"/>
                <w:szCs w:val="21"/>
              </w:rPr>
              <w:t>伽师县</w:t>
            </w:r>
          </w:p>
        </w:tc>
        <w:tc>
          <w:tcPr>
            <w:tcW w:w="661" w:type="dxa"/>
            <w:vAlign w:val="center"/>
          </w:tcPr>
          <w:p w14:paraId="6A1C55CA">
            <w:pPr>
              <w:widowControl/>
              <w:spacing w:line="300" w:lineRule="exact"/>
              <w:jc w:val="center"/>
              <w:rPr>
                <w:rFonts w:ascii="Times New Roman" w:hAnsi="Times New Roman" w:cs="Times New Roman" w:eastAsiaTheme="minorEastAsia"/>
                <w:color w:val="auto"/>
                <w:spacing w:val="-20"/>
                <w:kern w:val="0"/>
                <w:szCs w:val="21"/>
              </w:rPr>
            </w:pPr>
            <w:r>
              <w:rPr>
                <w:rFonts w:ascii="Times New Roman" w:cs="Times New Roman" w:hAnsiTheme="minorEastAsia" w:eastAsiaTheme="minorEastAsia"/>
                <w:color w:val="auto"/>
                <w:spacing w:val="-20"/>
                <w:szCs w:val="21"/>
              </w:rPr>
              <w:t>路右</w:t>
            </w:r>
          </w:p>
        </w:tc>
        <w:tc>
          <w:tcPr>
            <w:tcW w:w="662" w:type="dxa"/>
            <w:vAlign w:val="center"/>
          </w:tcPr>
          <w:p w14:paraId="6A4F561B">
            <w:pPr>
              <w:widowControl/>
              <w:spacing w:line="300" w:lineRule="exact"/>
              <w:jc w:val="center"/>
              <w:rPr>
                <w:rFonts w:ascii="Times New Roman" w:cs="Times New Roman" w:hAnsiTheme="minorEastAsia" w:eastAsiaTheme="minorEastAsia"/>
                <w:color w:val="auto"/>
                <w:spacing w:val="-20"/>
                <w:szCs w:val="21"/>
              </w:rPr>
            </w:pPr>
            <w:r>
              <w:rPr>
                <w:rFonts w:hint="eastAsia" w:ascii="Times New Roman" w:cs="Times New Roman" w:hAnsiTheme="minorEastAsia" w:eastAsiaTheme="minorEastAsia"/>
                <w:color w:val="auto"/>
                <w:spacing w:val="-20"/>
                <w:szCs w:val="21"/>
              </w:rPr>
              <w:t>145</w:t>
            </w:r>
          </w:p>
        </w:tc>
        <w:tc>
          <w:tcPr>
            <w:tcW w:w="662" w:type="dxa"/>
            <w:vAlign w:val="center"/>
          </w:tcPr>
          <w:p w14:paraId="53A858DB">
            <w:pPr>
              <w:widowControl/>
              <w:spacing w:line="300" w:lineRule="exact"/>
              <w:jc w:val="center"/>
              <w:rPr>
                <w:rFonts w:ascii="Times New Roman" w:cs="Times New Roman" w:hAnsiTheme="minorEastAsia" w:eastAsiaTheme="minorEastAsia"/>
                <w:color w:val="auto"/>
                <w:spacing w:val="-20"/>
                <w:szCs w:val="21"/>
              </w:rPr>
            </w:pPr>
            <w:r>
              <w:rPr>
                <w:rFonts w:hint="eastAsia" w:ascii="Times New Roman" w:cs="Times New Roman" w:hAnsiTheme="minorEastAsia" w:eastAsiaTheme="minorEastAsia"/>
                <w:color w:val="auto"/>
                <w:spacing w:val="-20"/>
                <w:szCs w:val="21"/>
              </w:rPr>
              <w:t>133</w:t>
            </w:r>
          </w:p>
        </w:tc>
        <w:tc>
          <w:tcPr>
            <w:tcW w:w="567" w:type="dxa"/>
            <w:vAlign w:val="center"/>
          </w:tcPr>
          <w:p w14:paraId="73311581">
            <w:pPr>
              <w:widowControl/>
              <w:spacing w:line="300" w:lineRule="exact"/>
              <w:jc w:val="center"/>
              <w:rPr>
                <w:rFonts w:ascii="Times New Roman" w:hAnsi="Times New Roman" w:cs="Times New Roman" w:eastAsiaTheme="minorEastAsia"/>
                <w:color w:val="auto"/>
                <w:spacing w:val="-20"/>
                <w:kern w:val="0"/>
                <w:szCs w:val="21"/>
              </w:rPr>
            </w:pPr>
            <w:r>
              <w:rPr>
                <w:rFonts w:ascii="Times New Roman" w:cs="Times New Roman" w:hAnsiTheme="minorEastAsia" w:eastAsiaTheme="minorEastAsia"/>
                <w:color w:val="auto"/>
                <w:spacing w:val="-20"/>
                <w:szCs w:val="21"/>
              </w:rPr>
              <w:t>路右</w:t>
            </w:r>
          </w:p>
        </w:tc>
        <w:tc>
          <w:tcPr>
            <w:tcW w:w="708" w:type="dxa"/>
            <w:vAlign w:val="center"/>
          </w:tcPr>
          <w:p w14:paraId="19FBB18E">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szCs w:val="21"/>
              </w:rPr>
              <w:t>145</w:t>
            </w:r>
          </w:p>
        </w:tc>
        <w:tc>
          <w:tcPr>
            <w:tcW w:w="709" w:type="dxa"/>
            <w:vAlign w:val="center"/>
          </w:tcPr>
          <w:p w14:paraId="3909580E">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126</w:t>
            </w:r>
          </w:p>
        </w:tc>
        <w:tc>
          <w:tcPr>
            <w:tcW w:w="992" w:type="dxa"/>
            <w:vAlign w:val="center"/>
          </w:tcPr>
          <w:p w14:paraId="5E5D51AC">
            <w:pPr>
              <w:spacing w:line="300" w:lineRule="exact"/>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0</w:t>
            </w:r>
          </w:p>
        </w:tc>
        <w:tc>
          <w:tcPr>
            <w:tcW w:w="993" w:type="dxa"/>
            <w:vAlign w:val="center"/>
          </w:tcPr>
          <w:p w14:paraId="78DCAEBA">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2.0</w:t>
            </w:r>
          </w:p>
        </w:tc>
        <w:tc>
          <w:tcPr>
            <w:tcW w:w="567" w:type="dxa"/>
            <w:vAlign w:val="center"/>
          </w:tcPr>
          <w:p w14:paraId="60280977">
            <w:pPr>
              <w:widowControl/>
              <w:spacing w:line="300" w:lineRule="exact"/>
              <w:jc w:val="center"/>
              <w:rPr>
                <w:rFonts w:ascii="Times New Roman" w:hAnsi="Times New Roman" w:cs="Times New Roman" w:eastAsiaTheme="minorEastAsia"/>
                <w:color w:val="auto"/>
                <w:spacing w:val="-20"/>
                <w:kern w:val="0"/>
                <w:szCs w:val="21"/>
              </w:rPr>
            </w:pPr>
            <w:r>
              <w:rPr>
                <w:rFonts w:ascii="Times New Roman" w:cs="Times New Roman" w:hAnsiTheme="minorEastAsia" w:eastAsiaTheme="minorEastAsia"/>
                <w:color w:val="auto"/>
                <w:spacing w:val="-20"/>
                <w:kern w:val="0"/>
                <w:szCs w:val="21"/>
              </w:rPr>
              <w:t>路基</w:t>
            </w:r>
          </w:p>
        </w:tc>
        <w:tc>
          <w:tcPr>
            <w:tcW w:w="992" w:type="dxa"/>
            <w:vAlign w:val="center"/>
          </w:tcPr>
          <w:p w14:paraId="24F00E27">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54</w:t>
            </w:r>
          </w:p>
        </w:tc>
        <w:tc>
          <w:tcPr>
            <w:tcW w:w="709" w:type="dxa"/>
            <w:vAlign w:val="center"/>
          </w:tcPr>
          <w:p w14:paraId="43E87426">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w:t>
            </w:r>
          </w:p>
        </w:tc>
        <w:tc>
          <w:tcPr>
            <w:tcW w:w="708" w:type="dxa"/>
            <w:vAlign w:val="center"/>
          </w:tcPr>
          <w:p w14:paraId="795706B3">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hAnsi="Times New Roman" w:eastAsia="宋体" w:cs="Times New Roman"/>
                <w:color w:val="auto"/>
                <w:spacing w:val="-20"/>
                <w:kern w:val="0"/>
                <w:szCs w:val="21"/>
              </w:rPr>
              <w:t>1</w:t>
            </w:r>
            <w:r>
              <w:rPr>
                <w:rFonts w:ascii="Times New Roman" w:hAnsi="Times New Roman" w:eastAsia="宋体" w:cs="Times New Roman"/>
                <w:color w:val="auto"/>
                <w:spacing w:val="-20"/>
                <w:kern w:val="0"/>
                <w:szCs w:val="21"/>
              </w:rPr>
              <w:t>栋</w:t>
            </w:r>
            <w:r>
              <w:rPr>
                <w:rFonts w:hint="eastAsia" w:ascii="Times New Roman" w:hAnsi="Times New Roman" w:eastAsia="宋体" w:cs="Times New Roman"/>
                <w:color w:val="auto"/>
                <w:spacing w:val="-20"/>
                <w:kern w:val="0"/>
                <w:szCs w:val="21"/>
              </w:rPr>
              <w:t>2</w:t>
            </w:r>
            <w:r>
              <w:rPr>
                <w:rFonts w:ascii="Times New Roman" w:hAnsi="Times New Roman" w:eastAsia="宋体" w:cs="Times New Roman"/>
                <w:color w:val="auto"/>
                <w:spacing w:val="-20"/>
                <w:kern w:val="0"/>
                <w:szCs w:val="21"/>
              </w:rPr>
              <w:t>层楼</w:t>
            </w:r>
          </w:p>
        </w:tc>
        <w:tc>
          <w:tcPr>
            <w:tcW w:w="4568" w:type="dxa"/>
            <w:vAlign w:val="center"/>
          </w:tcPr>
          <w:p w14:paraId="49309263">
            <w:pPr>
              <w:widowControl/>
              <w:spacing w:line="300" w:lineRule="exact"/>
              <w:rPr>
                <w:rFonts w:ascii="Times New Roman" w:hAnsi="Times New Roman" w:cs="Times New Roman" w:eastAsiaTheme="minorEastAsia"/>
                <w:color w:val="auto"/>
                <w:spacing w:val="0"/>
                <w:kern w:val="0"/>
                <w:sz w:val="21"/>
                <w:szCs w:val="21"/>
              </w:rPr>
            </w:pPr>
            <w:r>
              <w:rPr>
                <w:rFonts w:ascii="Times New Roman" w:hAnsi="Times New Roman" w:eastAsia="宋体" w:cs="Times New Roman"/>
                <w:color w:val="auto"/>
                <w:spacing w:val="0"/>
                <w:kern w:val="0"/>
                <w:sz w:val="21"/>
                <w:szCs w:val="21"/>
              </w:rPr>
              <w:t>路线以填方路基形式经过学校。学校共</w:t>
            </w:r>
            <w:r>
              <w:rPr>
                <w:rFonts w:hint="eastAsia" w:ascii="Times New Roman" w:hAnsi="Times New Roman" w:eastAsia="宋体" w:cs="Times New Roman"/>
                <w:color w:val="auto"/>
                <w:spacing w:val="0"/>
                <w:kern w:val="0"/>
                <w:sz w:val="21"/>
                <w:szCs w:val="21"/>
              </w:rPr>
              <w:t>6个年级，6</w:t>
            </w:r>
            <w:r>
              <w:rPr>
                <w:rFonts w:ascii="Times New Roman" w:hAnsi="Times New Roman" w:eastAsia="宋体" w:cs="Times New Roman"/>
                <w:color w:val="auto"/>
                <w:spacing w:val="0"/>
                <w:kern w:val="0"/>
                <w:sz w:val="21"/>
                <w:szCs w:val="21"/>
              </w:rPr>
              <w:t>个班，教师</w:t>
            </w:r>
            <w:r>
              <w:rPr>
                <w:rFonts w:hint="eastAsia" w:ascii="Times New Roman" w:hAnsi="Times New Roman" w:eastAsia="宋体" w:cs="Times New Roman"/>
                <w:color w:val="auto"/>
                <w:spacing w:val="0"/>
                <w:kern w:val="0"/>
                <w:sz w:val="21"/>
                <w:szCs w:val="21"/>
              </w:rPr>
              <w:t>20</w:t>
            </w:r>
            <w:r>
              <w:rPr>
                <w:rFonts w:ascii="Times New Roman" w:hAnsi="Times New Roman" w:eastAsia="宋体" w:cs="Times New Roman"/>
                <w:color w:val="auto"/>
                <w:spacing w:val="0"/>
                <w:kern w:val="0"/>
                <w:sz w:val="21"/>
                <w:szCs w:val="21"/>
              </w:rPr>
              <w:t>人，学生</w:t>
            </w:r>
            <w:r>
              <w:rPr>
                <w:rFonts w:hint="eastAsia" w:ascii="Times New Roman" w:hAnsi="Times New Roman" w:eastAsia="宋体" w:cs="Times New Roman"/>
                <w:color w:val="auto"/>
                <w:spacing w:val="0"/>
                <w:kern w:val="0"/>
                <w:sz w:val="21"/>
                <w:szCs w:val="21"/>
              </w:rPr>
              <w:t>110</w:t>
            </w:r>
            <w:r>
              <w:rPr>
                <w:rFonts w:ascii="Times New Roman" w:hAnsi="Times New Roman" w:eastAsia="宋体" w:cs="Times New Roman"/>
                <w:color w:val="auto"/>
                <w:spacing w:val="0"/>
                <w:kern w:val="0"/>
                <w:sz w:val="21"/>
                <w:szCs w:val="21"/>
              </w:rPr>
              <w:t>人，夜间</w:t>
            </w:r>
            <w:r>
              <w:rPr>
                <w:rFonts w:hint="eastAsia" w:ascii="Times New Roman" w:hAnsi="Times New Roman" w:eastAsia="宋体" w:cs="Times New Roman"/>
                <w:color w:val="auto"/>
                <w:spacing w:val="0"/>
                <w:kern w:val="0"/>
                <w:sz w:val="21"/>
                <w:szCs w:val="21"/>
              </w:rPr>
              <w:t>无</w:t>
            </w:r>
            <w:r>
              <w:rPr>
                <w:rFonts w:ascii="Times New Roman" w:hAnsi="Times New Roman" w:eastAsia="宋体" w:cs="Times New Roman"/>
                <w:color w:val="auto"/>
                <w:spacing w:val="0"/>
                <w:kern w:val="0"/>
                <w:sz w:val="21"/>
                <w:szCs w:val="21"/>
              </w:rPr>
              <w:t>住宿。现有</w:t>
            </w:r>
            <w:r>
              <w:rPr>
                <w:rFonts w:hint="eastAsia" w:ascii="Times New Roman" w:hAnsi="Times New Roman" w:eastAsia="宋体" w:cs="Times New Roman"/>
                <w:color w:val="auto"/>
                <w:spacing w:val="0"/>
                <w:kern w:val="0"/>
                <w:sz w:val="21"/>
                <w:szCs w:val="21"/>
              </w:rPr>
              <w:t>1</w:t>
            </w:r>
            <w:r>
              <w:rPr>
                <w:rFonts w:ascii="Times New Roman" w:hAnsi="Times New Roman" w:eastAsia="宋体" w:cs="Times New Roman"/>
                <w:color w:val="auto"/>
                <w:spacing w:val="0"/>
                <w:kern w:val="0"/>
                <w:sz w:val="21"/>
                <w:szCs w:val="21"/>
              </w:rPr>
              <w:t>栋</w:t>
            </w:r>
            <w:r>
              <w:rPr>
                <w:rFonts w:hint="eastAsia" w:ascii="Times New Roman" w:hAnsi="Times New Roman" w:eastAsia="宋体" w:cs="Times New Roman"/>
                <w:color w:val="auto"/>
                <w:spacing w:val="0"/>
                <w:kern w:val="0"/>
                <w:sz w:val="21"/>
                <w:szCs w:val="21"/>
              </w:rPr>
              <w:t>2</w:t>
            </w:r>
            <w:r>
              <w:rPr>
                <w:rFonts w:ascii="Times New Roman" w:hAnsi="Times New Roman" w:eastAsia="宋体" w:cs="Times New Roman"/>
                <w:color w:val="auto"/>
                <w:spacing w:val="0"/>
                <w:kern w:val="0"/>
                <w:sz w:val="21"/>
                <w:szCs w:val="21"/>
              </w:rPr>
              <w:t>层教学楼，</w:t>
            </w:r>
            <w:r>
              <w:rPr>
                <w:rFonts w:hint="eastAsia" w:ascii="Times New Roman" w:hAnsi="Times New Roman" w:eastAsia="宋体" w:cs="Times New Roman"/>
                <w:color w:val="auto"/>
                <w:spacing w:val="0"/>
                <w:kern w:val="0"/>
                <w:sz w:val="21"/>
                <w:szCs w:val="21"/>
              </w:rPr>
              <w:t>侧</w:t>
            </w:r>
            <w:r>
              <w:rPr>
                <w:rFonts w:ascii="Times New Roman" w:hAnsi="Times New Roman" w:eastAsia="宋体" w:cs="Times New Roman"/>
                <w:color w:val="auto"/>
                <w:spacing w:val="0"/>
                <w:kern w:val="0"/>
                <w:sz w:val="21"/>
                <w:szCs w:val="21"/>
              </w:rPr>
              <w:t>向公路。该路段利用现有</w:t>
            </w:r>
            <w:r>
              <w:rPr>
                <w:rFonts w:hint="eastAsia" w:ascii="Times New Roman" w:hAnsi="Times New Roman" w:eastAsia="宋体" w:cs="Times New Roman"/>
                <w:color w:val="auto"/>
                <w:spacing w:val="0"/>
                <w:kern w:val="0"/>
                <w:sz w:val="21"/>
                <w:szCs w:val="21"/>
              </w:rPr>
              <w:t>老路</w:t>
            </w:r>
            <w:r>
              <w:rPr>
                <w:rFonts w:hint="eastAsia" w:ascii="宋体" w:hAnsi="宋体" w:eastAsia="宋体" w:cs="宋体"/>
                <w:color w:val="auto"/>
                <w:spacing w:val="0"/>
                <w:sz w:val="21"/>
                <w:szCs w:val="21"/>
              </w:rPr>
              <w:t>渐变拼宽</w:t>
            </w:r>
            <w:r>
              <w:rPr>
                <w:rFonts w:ascii="Times New Roman" w:hAnsi="Times New Roman" w:eastAsia="宋体" w:cs="Times New Roman"/>
                <w:color w:val="auto"/>
                <w:spacing w:val="0"/>
                <w:kern w:val="0"/>
                <w:sz w:val="21"/>
                <w:szCs w:val="21"/>
              </w:rPr>
              <w:t>，有平交</w:t>
            </w:r>
            <w:r>
              <w:rPr>
                <w:rFonts w:hint="eastAsia" w:ascii="Times New Roman" w:hAnsi="Times New Roman" w:eastAsia="宋体" w:cs="Times New Roman"/>
                <w:color w:val="auto"/>
                <w:spacing w:val="0"/>
                <w:kern w:val="0"/>
                <w:sz w:val="21"/>
                <w:szCs w:val="21"/>
              </w:rPr>
              <w:t>路口</w:t>
            </w:r>
            <w:r>
              <w:rPr>
                <w:rFonts w:ascii="Times New Roman" w:hAnsi="Times New Roman" w:eastAsia="宋体" w:cs="Times New Roman"/>
                <w:color w:val="auto"/>
                <w:spacing w:val="0"/>
                <w:kern w:val="0"/>
                <w:sz w:val="21"/>
                <w:szCs w:val="21"/>
              </w:rPr>
              <w:t>，</w:t>
            </w:r>
            <w:r>
              <w:rPr>
                <w:rFonts w:ascii="Times New Roman" w:cs="Times New Roman" w:hAnsiTheme="minorEastAsia" w:eastAsiaTheme="minorEastAsia"/>
                <w:color w:val="auto"/>
                <w:spacing w:val="0"/>
                <w:kern w:val="0"/>
                <w:sz w:val="21"/>
                <w:szCs w:val="21"/>
              </w:rPr>
              <w:t>主要噪声源为现有</w:t>
            </w:r>
            <w:r>
              <w:rPr>
                <w:rFonts w:hint="eastAsia" w:ascii="Times New Roman" w:hAnsi="Times New Roman" w:cs="Times New Roman" w:eastAsiaTheme="minorEastAsia"/>
                <w:color w:val="auto"/>
                <w:spacing w:val="0"/>
                <w:kern w:val="0"/>
                <w:sz w:val="21"/>
                <w:szCs w:val="21"/>
              </w:rPr>
              <w:t>G219</w:t>
            </w:r>
            <w:r>
              <w:rPr>
                <w:rFonts w:ascii="Times New Roman" w:cs="Times New Roman" w:hAnsiTheme="minorEastAsia" w:eastAsiaTheme="minorEastAsia"/>
                <w:color w:val="auto"/>
                <w:spacing w:val="0"/>
                <w:kern w:val="0"/>
                <w:sz w:val="21"/>
                <w:szCs w:val="21"/>
              </w:rPr>
              <w:t>交通噪声和社会生活噪声。</w:t>
            </w:r>
          </w:p>
        </w:tc>
        <w:tc>
          <w:tcPr>
            <w:tcW w:w="2898" w:type="dxa"/>
            <w:vAlign w:val="center"/>
          </w:tcPr>
          <w:p w14:paraId="5865F68E">
            <w:pPr>
              <w:widowControl/>
              <w:adjustRightInd w:val="0"/>
              <w:snapToGrid w:val="0"/>
              <w:jc w:val="center"/>
              <w:rPr>
                <w:rFonts w:ascii="Times New Roman" w:hAnsi="Times New Roman" w:cs="Times New Roman" w:eastAsiaTheme="minorEastAsia"/>
                <w:snapToGrid w:val="0"/>
                <w:color w:val="auto"/>
                <w:spacing w:val="-20"/>
                <w:kern w:val="0"/>
                <w:szCs w:val="21"/>
              </w:rPr>
            </w:pPr>
            <w:r>
              <w:rPr>
                <w:rFonts w:ascii="Times New Roman" w:hAnsi="Times New Roman" w:cs="Times New Roman" w:eastAsiaTheme="minorEastAsia"/>
                <w:color w:val="auto"/>
                <w:spacing w:val="-20"/>
                <w:kern w:val="0"/>
                <w:szCs w:val="21"/>
              </w:rPr>
              <w:drawing>
                <wp:inline distT="0" distB="0" distL="0" distR="0">
                  <wp:extent cx="1729105" cy="1295400"/>
                  <wp:effectExtent l="0" t="0" r="4445" b="0"/>
                  <wp:docPr id="1" name="图片 12" descr="E:\咨询项目\环评\新疆-G219线八盘水磨至伽师公路\外业踏勘记录及照片\DSC09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2" descr="E:\咨询项目\环评\新疆-G219线八盘水磨至伽师公路\外业踏勘记录及照片\DSC09033.JPG"/>
                          <pic:cNvPicPr>
                            <a:picLocks noChangeAspect="1" noChangeArrowheads="1"/>
                          </pic:cNvPicPr>
                        </pic:nvPicPr>
                        <pic:blipFill>
                          <a:blip r:embed="rId168" cstate="print"/>
                          <a:srcRect/>
                          <a:stretch>
                            <a:fillRect/>
                          </a:stretch>
                        </pic:blipFill>
                        <pic:spPr>
                          <a:xfrm>
                            <a:off x="0" y="0"/>
                            <a:ext cx="1729728" cy="1296000"/>
                          </a:xfrm>
                          <a:prstGeom prst="rect">
                            <a:avLst/>
                          </a:prstGeom>
                          <a:noFill/>
                          <a:ln w="9525">
                            <a:noFill/>
                            <a:miter lim="800000"/>
                            <a:headEnd/>
                            <a:tailEnd/>
                          </a:ln>
                        </pic:spPr>
                      </pic:pic>
                    </a:graphicData>
                  </a:graphic>
                </wp:inline>
              </w:drawing>
            </w:r>
          </w:p>
        </w:tc>
      </w:tr>
      <w:tr w14:paraId="4FE0ADB0">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1870" w:hRule="atLeast"/>
          <w:tblHeader/>
          <w:jc w:val="center"/>
        </w:trPr>
        <w:tc>
          <w:tcPr>
            <w:tcW w:w="568" w:type="dxa"/>
            <w:noWrap/>
            <w:vAlign w:val="center"/>
          </w:tcPr>
          <w:p w14:paraId="618D6EA6">
            <w:pPr>
              <w:widowControl/>
              <w:spacing w:line="300" w:lineRule="exact"/>
              <w:jc w:val="center"/>
              <w:rPr>
                <w:rFonts w:ascii="Times New Roman" w:hAnsi="Times New Roman" w:cs="Times New Roman" w:eastAsiaTheme="minorEastAsia"/>
                <w:color w:val="auto"/>
                <w:spacing w:val="-20"/>
                <w:kern w:val="0"/>
                <w:szCs w:val="21"/>
              </w:rPr>
            </w:pPr>
            <w:r>
              <w:rPr>
                <w:rFonts w:ascii="Times New Roman" w:hAnsi="Times New Roman" w:cs="Times New Roman" w:eastAsiaTheme="minorEastAsia"/>
                <w:color w:val="auto"/>
                <w:spacing w:val="-20"/>
                <w:kern w:val="0"/>
                <w:szCs w:val="21"/>
              </w:rPr>
              <w:t>14</w:t>
            </w:r>
          </w:p>
        </w:tc>
        <w:tc>
          <w:tcPr>
            <w:tcW w:w="694" w:type="dxa"/>
            <w:vMerge w:val="continue"/>
            <w:vAlign w:val="center"/>
          </w:tcPr>
          <w:p w14:paraId="5EA38F68">
            <w:pPr>
              <w:spacing w:line="300" w:lineRule="exact"/>
              <w:jc w:val="center"/>
              <w:rPr>
                <w:rFonts w:ascii="Times New Roman" w:hAnsi="Times New Roman" w:cs="Times New Roman" w:eastAsiaTheme="minorEastAsia"/>
                <w:color w:val="auto"/>
                <w:spacing w:val="-20"/>
                <w:kern w:val="0"/>
                <w:szCs w:val="21"/>
              </w:rPr>
            </w:pPr>
          </w:p>
        </w:tc>
        <w:tc>
          <w:tcPr>
            <w:tcW w:w="1134" w:type="dxa"/>
            <w:vAlign w:val="center"/>
          </w:tcPr>
          <w:p w14:paraId="2776384F">
            <w:pPr>
              <w:widowControl/>
              <w:spacing w:line="300" w:lineRule="exact"/>
              <w:jc w:val="center"/>
              <w:rPr>
                <w:rFonts w:ascii="Times New Roman" w:hAnsi="Times New Roman" w:cs="Times New Roman" w:eastAsiaTheme="minorEastAsia"/>
                <w:color w:val="auto"/>
                <w:spacing w:val="-20"/>
                <w:kern w:val="0"/>
                <w:szCs w:val="21"/>
              </w:rPr>
            </w:pPr>
            <w:r>
              <w:rPr>
                <w:rFonts w:ascii="Times New Roman" w:hAnsi="Times New Roman" w:cs="Times New Roman" w:eastAsiaTheme="minorEastAsia"/>
                <w:color w:val="auto"/>
                <w:spacing w:val="-20"/>
                <w:szCs w:val="21"/>
              </w:rPr>
              <w:t>K</w:t>
            </w:r>
            <w:r>
              <w:rPr>
                <w:rFonts w:hint="eastAsia" w:ascii="Times New Roman" w:hAnsi="Times New Roman" w:cs="Times New Roman" w:eastAsiaTheme="minorEastAsia"/>
                <w:color w:val="auto"/>
                <w:spacing w:val="-20"/>
                <w:szCs w:val="21"/>
              </w:rPr>
              <w:t>28</w:t>
            </w:r>
            <w:r>
              <w:rPr>
                <w:rFonts w:ascii="Times New Roman" w:hAnsi="Times New Roman" w:cs="Times New Roman" w:eastAsiaTheme="minorEastAsia"/>
                <w:color w:val="auto"/>
                <w:spacing w:val="-20"/>
                <w:szCs w:val="21"/>
              </w:rPr>
              <w:t>+</w:t>
            </w:r>
            <w:r>
              <w:rPr>
                <w:rFonts w:hint="eastAsia" w:ascii="Times New Roman" w:hAnsi="Times New Roman" w:cs="Times New Roman" w:eastAsiaTheme="minorEastAsia"/>
                <w:color w:val="auto"/>
                <w:spacing w:val="-20"/>
                <w:szCs w:val="21"/>
              </w:rPr>
              <w:t>67</w:t>
            </w:r>
            <w:r>
              <w:rPr>
                <w:rFonts w:ascii="Times New Roman" w:hAnsi="Times New Roman" w:cs="Times New Roman" w:eastAsiaTheme="minorEastAsia"/>
                <w:color w:val="auto"/>
                <w:spacing w:val="-20"/>
                <w:szCs w:val="21"/>
              </w:rPr>
              <w:t>0</w:t>
            </w:r>
          </w:p>
        </w:tc>
        <w:tc>
          <w:tcPr>
            <w:tcW w:w="851" w:type="dxa"/>
            <w:vAlign w:val="center"/>
          </w:tcPr>
          <w:p w14:paraId="4CF76825">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cs="Times New Roman" w:hAnsiTheme="minorEastAsia" w:eastAsiaTheme="minorEastAsia"/>
                <w:color w:val="auto"/>
                <w:spacing w:val="-20"/>
                <w:szCs w:val="21"/>
              </w:rPr>
              <w:t>伽师县和夏阿瓦提镇夏合亚迪村幼儿园</w:t>
            </w:r>
          </w:p>
        </w:tc>
        <w:tc>
          <w:tcPr>
            <w:tcW w:w="850" w:type="dxa"/>
            <w:vMerge w:val="continue"/>
            <w:vAlign w:val="center"/>
          </w:tcPr>
          <w:p w14:paraId="62B7018D">
            <w:pPr>
              <w:spacing w:line="300" w:lineRule="exact"/>
              <w:jc w:val="center"/>
              <w:rPr>
                <w:rFonts w:ascii="Times New Roman" w:hAnsi="Times New Roman" w:cs="Times New Roman" w:eastAsiaTheme="minorEastAsia"/>
                <w:color w:val="auto"/>
                <w:spacing w:val="-20"/>
                <w:kern w:val="0"/>
                <w:szCs w:val="21"/>
              </w:rPr>
            </w:pPr>
          </w:p>
        </w:tc>
        <w:tc>
          <w:tcPr>
            <w:tcW w:w="661" w:type="dxa"/>
            <w:vAlign w:val="center"/>
          </w:tcPr>
          <w:p w14:paraId="3CCA877E">
            <w:pPr>
              <w:widowControl/>
              <w:spacing w:line="300" w:lineRule="exact"/>
              <w:jc w:val="center"/>
              <w:rPr>
                <w:rFonts w:ascii="Times New Roman" w:hAnsi="Times New Roman" w:cs="Times New Roman" w:eastAsiaTheme="minorEastAsia"/>
                <w:color w:val="auto"/>
                <w:spacing w:val="-20"/>
                <w:kern w:val="0"/>
                <w:szCs w:val="21"/>
              </w:rPr>
            </w:pPr>
            <w:r>
              <w:rPr>
                <w:rFonts w:ascii="Times New Roman" w:cs="Times New Roman" w:hAnsiTheme="minorEastAsia" w:eastAsiaTheme="minorEastAsia"/>
                <w:color w:val="auto"/>
                <w:spacing w:val="-20"/>
                <w:szCs w:val="21"/>
              </w:rPr>
              <w:t>路左</w:t>
            </w:r>
          </w:p>
        </w:tc>
        <w:tc>
          <w:tcPr>
            <w:tcW w:w="662" w:type="dxa"/>
            <w:vAlign w:val="center"/>
          </w:tcPr>
          <w:p w14:paraId="53966F0A">
            <w:pPr>
              <w:widowControl/>
              <w:spacing w:line="300" w:lineRule="exact"/>
              <w:jc w:val="center"/>
              <w:rPr>
                <w:rFonts w:ascii="Times New Roman" w:cs="Times New Roman" w:hAnsiTheme="minorEastAsia" w:eastAsiaTheme="minorEastAsia"/>
                <w:color w:val="auto"/>
                <w:spacing w:val="-20"/>
                <w:szCs w:val="21"/>
              </w:rPr>
            </w:pPr>
            <w:r>
              <w:rPr>
                <w:rFonts w:hint="eastAsia" w:ascii="Times New Roman" w:cs="Times New Roman" w:hAnsiTheme="minorEastAsia" w:eastAsiaTheme="minorEastAsia"/>
                <w:color w:val="auto"/>
                <w:spacing w:val="-20"/>
                <w:szCs w:val="21"/>
              </w:rPr>
              <w:t>72</w:t>
            </w:r>
          </w:p>
        </w:tc>
        <w:tc>
          <w:tcPr>
            <w:tcW w:w="662" w:type="dxa"/>
            <w:vAlign w:val="center"/>
          </w:tcPr>
          <w:p w14:paraId="0FD9F7F6">
            <w:pPr>
              <w:widowControl/>
              <w:spacing w:line="300" w:lineRule="exact"/>
              <w:jc w:val="center"/>
              <w:rPr>
                <w:rFonts w:ascii="Times New Roman" w:cs="Times New Roman" w:hAnsiTheme="minorEastAsia" w:eastAsiaTheme="minorEastAsia"/>
                <w:color w:val="auto"/>
                <w:spacing w:val="-20"/>
                <w:szCs w:val="21"/>
              </w:rPr>
            </w:pPr>
            <w:r>
              <w:rPr>
                <w:rFonts w:hint="eastAsia" w:ascii="Times New Roman" w:cs="Times New Roman" w:hAnsiTheme="minorEastAsia" w:eastAsiaTheme="minorEastAsia"/>
                <w:color w:val="auto"/>
                <w:spacing w:val="-20"/>
                <w:szCs w:val="21"/>
              </w:rPr>
              <w:t>59</w:t>
            </w:r>
          </w:p>
        </w:tc>
        <w:tc>
          <w:tcPr>
            <w:tcW w:w="567" w:type="dxa"/>
            <w:vAlign w:val="center"/>
          </w:tcPr>
          <w:p w14:paraId="7EB15CD0">
            <w:pPr>
              <w:widowControl/>
              <w:spacing w:line="300" w:lineRule="exact"/>
              <w:jc w:val="center"/>
              <w:rPr>
                <w:rFonts w:ascii="Times New Roman" w:hAnsi="Times New Roman" w:cs="Times New Roman" w:eastAsiaTheme="minorEastAsia"/>
                <w:color w:val="auto"/>
                <w:spacing w:val="-20"/>
                <w:kern w:val="0"/>
                <w:szCs w:val="21"/>
              </w:rPr>
            </w:pPr>
            <w:r>
              <w:rPr>
                <w:rFonts w:ascii="Times New Roman" w:cs="Times New Roman" w:hAnsiTheme="minorEastAsia" w:eastAsiaTheme="minorEastAsia"/>
                <w:color w:val="auto"/>
                <w:spacing w:val="-20"/>
                <w:szCs w:val="21"/>
              </w:rPr>
              <w:t>路左</w:t>
            </w:r>
          </w:p>
        </w:tc>
        <w:tc>
          <w:tcPr>
            <w:tcW w:w="708" w:type="dxa"/>
            <w:vAlign w:val="center"/>
          </w:tcPr>
          <w:p w14:paraId="780BCC20">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szCs w:val="21"/>
              </w:rPr>
              <w:t>72</w:t>
            </w:r>
          </w:p>
        </w:tc>
        <w:tc>
          <w:tcPr>
            <w:tcW w:w="709" w:type="dxa"/>
            <w:vAlign w:val="center"/>
          </w:tcPr>
          <w:p w14:paraId="243FDD79">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51.5</w:t>
            </w:r>
          </w:p>
        </w:tc>
        <w:tc>
          <w:tcPr>
            <w:tcW w:w="992" w:type="dxa"/>
            <w:vAlign w:val="center"/>
          </w:tcPr>
          <w:p w14:paraId="1FA706D4">
            <w:pPr>
              <w:spacing w:line="300" w:lineRule="exact"/>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-1.0</w:t>
            </w:r>
          </w:p>
        </w:tc>
        <w:tc>
          <w:tcPr>
            <w:tcW w:w="993" w:type="dxa"/>
            <w:vAlign w:val="center"/>
          </w:tcPr>
          <w:p w14:paraId="3EF953A6">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3.0</w:t>
            </w:r>
          </w:p>
        </w:tc>
        <w:tc>
          <w:tcPr>
            <w:tcW w:w="567" w:type="dxa"/>
            <w:vAlign w:val="center"/>
          </w:tcPr>
          <w:p w14:paraId="747E30B8">
            <w:pPr>
              <w:widowControl/>
              <w:spacing w:line="300" w:lineRule="exact"/>
              <w:jc w:val="center"/>
              <w:rPr>
                <w:rFonts w:ascii="Times New Roman" w:hAnsi="Times New Roman" w:cs="Times New Roman" w:eastAsiaTheme="minorEastAsia"/>
                <w:color w:val="auto"/>
                <w:spacing w:val="-20"/>
                <w:kern w:val="0"/>
                <w:szCs w:val="21"/>
              </w:rPr>
            </w:pPr>
            <w:r>
              <w:rPr>
                <w:rFonts w:ascii="Times New Roman" w:cs="Times New Roman" w:hAnsiTheme="minorEastAsia" w:eastAsiaTheme="minorEastAsia"/>
                <w:color w:val="auto"/>
                <w:spacing w:val="-20"/>
                <w:kern w:val="0"/>
                <w:szCs w:val="21"/>
              </w:rPr>
              <w:t>路基</w:t>
            </w:r>
          </w:p>
        </w:tc>
        <w:tc>
          <w:tcPr>
            <w:tcW w:w="992" w:type="dxa"/>
            <w:vAlign w:val="center"/>
          </w:tcPr>
          <w:p w14:paraId="036B5D50">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55.5</w:t>
            </w:r>
          </w:p>
        </w:tc>
        <w:tc>
          <w:tcPr>
            <w:tcW w:w="709" w:type="dxa"/>
            <w:vAlign w:val="center"/>
          </w:tcPr>
          <w:p w14:paraId="5E88E77B">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w:t>
            </w:r>
          </w:p>
        </w:tc>
        <w:tc>
          <w:tcPr>
            <w:tcW w:w="708" w:type="dxa"/>
            <w:vAlign w:val="center"/>
          </w:tcPr>
          <w:p w14:paraId="0AB095E4">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hAnsi="Times New Roman" w:eastAsia="宋体" w:cs="Times New Roman"/>
                <w:color w:val="auto"/>
                <w:spacing w:val="-20"/>
                <w:kern w:val="0"/>
                <w:szCs w:val="21"/>
              </w:rPr>
              <w:t>1</w:t>
            </w:r>
            <w:r>
              <w:rPr>
                <w:rFonts w:ascii="Times New Roman" w:hAnsi="Times New Roman" w:eastAsia="宋体" w:cs="Times New Roman"/>
                <w:color w:val="auto"/>
                <w:spacing w:val="-20"/>
                <w:kern w:val="0"/>
                <w:szCs w:val="21"/>
              </w:rPr>
              <w:t>栋</w:t>
            </w:r>
            <w:r>
              <w:rPr>
                <w:rFonts w:hint="eastAsia" w:ascii="Times New Roman" w:hAnsi="Times New Roman" w:eastAsia="宋体" w:cs="Times New Roman"/>
                <w:color w:val="auto"/>
                <w:spacing w:val="-20"/>
                <w:kern w:val="0"/>
                <w:szCs w:val="21"/>
              </w:rPr>
              <w:t>2</w:t>
            </w:r>
            <w:r>
              <w:rPr>
                <w:rFonts w:ascii="Times New Roman" w:hAnsi="Times New Roman" w:eastAsia="宋体" w:cs="Times New Roman"/>
                <w:color w:val="auto"/>
                <w:spacing w:val="-20"/>
                <w:kern w:val="0"/>
                <w:szCs w:val="21"/>
              </w:rPr>
              <w:t>层楼</w:t>
            </w:r>
          </w:p>
        </w:tc>
        <w:tc>
          <w:tcPr>
            <w:tcW w:w="4568" w:type="dxa"/>
            <w:vAlign w:val="center"/>
          </w:tcPr>
          <w:p w14:paraId="38DD1B04">
            <w:pPr>
              <w:widowControl/>
              <w:spacing w:line="300" w:lineRule="exact"/>
              <w:rPr>
                <w:rFonts w:ascii="Times New Roman" w:hAnsi="Times New Roman" w:cs="Times New Roman" w:eastAsiaTheme="minorEastAsia"/>
                <w:color w:val="auto"/>
                <w:spacing w:val="0"/>
                <w:kern w:val="0"/>
                <w:sz w:val="21"/>
                <w:szCs w:val="21"/>
              </w:rPr>
            </w:pPr>
            <w:r>
              <w:rPr>
                <w:rFonts w:ascii="Times New Roman" w:hAnsi="Times New Roman" w:eastAsia="宋体" w:cs="Times New Roman"/>
                <w:color w:val="auto"/>
                <w:spacing w:val="0"/>
                <w:kern w:val="0"/>
                <w:sz w:val="21"/>
                <w:szCs w:val="21"/>
              </w:rPr>
              <w:t>路线以填方路基形式经过学校。学校共</w:t>
            </w:r>
            <w:r>
              <w:rPr>
                <w:rFonts w:hint="eastAsia" w:ascii="Times New Roman" w:hAnsi="Times New Roman" w:eastAsia="宋体" w:cs="Times New Roman"/>
                <w:color w:val="auto"/>
                <w:spacing w:val="0"/>
                <w:kern w:val="0"/>
                <w:sz w:val="21"/>
                <w:szCs w:val="21"/>
              </w:rPr>
              <w:t>3</w:t>
            </w:r>
            <w:r>
              <w:rPr>
                <w:rFonts w:ascii="Times New Roman" w:hAnsi="Times New Roman" w:eastAsia="宋体" w:cs="Times New Roman"/>
                <w:color w:val="auto"/>
                <w:spacing w:val="0"/>
                <w:kern w:val="0"/>
                <w:sz w:val="21"/>
                <w:szCs w:val="21"/>
              </w:rPr>
              <w:t>个班，教师</w:t>
            </w:r>
            <w:r>
              <w:rPr>
                <w:rFonts w:hint="eastAsia" w:ascii="Times New Roman" w:hAnsi="Times New Roman" w:eastAsia="宋体" w:cs="Times New Roman"/>
                <w:color w:val="auto"/>
                <w:spacing w:val="0"/>
                <w:kern w:val="0"/>
                <w:sz w:val="21"/>
                <w:szCs w:val="21"/>
              </w:rPr>
              <w:t>4</w:t>
            </w:r>
            <w:r>
              <w:rPr>
                <w:rFonts w:ascii="Times New Roman" w:hAnsi="Times New Roman" w:eastAsia="宋体" w:cs="Times New Roman"/>
                <w:color w:val="auto"/>
                <w:spacing w:val="0"/>
                <w:kern w:val="0"/>
                <w:sz w:val="21"/>
                <w:szCs w:val="21"/>
              </w:rPr>
              <w:t>人，学生</w:t>
            </w:r>
            <w:r>
              <w:rPr>
                <w:rFonts w:hint="eastAsia" w:ascii="Times New Roman" w:hAnsi="Times New Roman" w:eastAsia="宋体" w:cs="Times New Roman"/>
                <w:color w:val="auto"/>
                <w:spacing w:val="0"/>
                <w:kern w:val="0"/>
                <w:sz w:val="21"/>
                <w:szCs w:val="21"/>
              </w:rPr>
              <w:t>50</w:t>
            </w:r>
            <w:r>
              <w:rPr>
                <w:rFonts w:ascii="Times New Roman" w:hAnsi="Times New Roman" w:eastAsia="宋体" w:cs="Times New Roman"/>
                <w:color w:val="auto"/>
                <w:spacing w:val="0"/>
                <w:kern w:val="0"/>
                <w:sz w:val="21"/>
                <w:szCs w:val="21"/>
              </w:rPr>
              <w:t>人，夜间</w:t>
            </w:r>
            <w:r>
              <w:rPr>
                <w:rFonts w:hint="eastAsia" w:ascii="Times New Roman" w:hAnsi="Times New Roman" w:eastAsia="宋体" w:cs="Times New Roman"/>
                <w:color w:val="auto"/>
                <w:spacing w:val="0"/>
                <w:kern w:val="0"/>
                <w:sz w:val="21"/>
                <w:szCs w:val="21"/>
              </w:rPr>
              <w:t>无</w:t>
            </w:r>
            <w:r>
              <w:rPr>
                <w:rFonts w:ascii="Times New Roman" w:hAnsi="Times New Roman" w:eastAsia="宋体" w:cs="Times New Roman"/>
                <w:color w:val="auto"/>
                <w:spacing w:val="0"/>
                <w:kern w:val="0"/>
                <w:sz w:val="21"/>
                <w:szCs w:val="21"/>
              </w:rPr>
              <w:t>住宿。现有</w:t>
            </w:r>
            <w:r>
              <w:rPr>
                <w:rFonts w:hint="eastAsia" w:ascii="Times New Roman" w:hAnsi="Times New Roman" w:eastAsia="宋体" w:cs="Times New Roman"/>
                <w:color w:val="auto"/>
                <w:spacing w:val="0"/>
                <w:kern w:val="0"/>
                <w:sz w:val="21"/>
                <w:szCs w:val="21"/>
              </w:rPr>
              <w:t>1</w:t>
            </w:r>
            <w:r>
              <w:rPr>
                <w:rFonts w:ascii="Times New Roman" w:hAnsi="Times New Roman" w:eastAsia="宋体" w:cs="Times New Roman"/>
                <w:color w:val="auto"/>
                <w:spacing w:val="0"/>
                <w:kern w:val="0"/>
                <w:sz w:val="21"/>
                <w:szCs w:val="21"/>
              </w:rPr>
              <w:t>栋</w:t>
            </w:r>
            <w:r>
              <w:rPr>
                <w:rFonts w:hint="eastAsia" w:ascii="Times New Roman" w:hAnsi="Times New Roman" w:eastAsia="宋体" w:cs="Times New Roman"/>
                <w:color w:val="auto"/>
                <w:spacing w:val="0"/>
                <w:kern w:val="0"/>
                <w:sz w:val="21"/>
                <w:szCs w:val="21"/>
              </w:rPr>
              <w:t>2</w:t>
            </w:r>
            <w:r>
              <w:rPr>
                <w:rFonts w:ascii="Times New Roman" w:hAnsi="Times New Roman" w:eastAsia="宋体" w:cs="Times New Roman"/>
                <w:color w:val="auto"/>
                <w:spacing w:val="0"/>
                <w:kern w:val="0"/>
                <w:sz w:val="21"/>
                <w:szCs w:val="21"/>
              </w:rPr>
              <w:t>层教学楼，</w:t>
            </w:r>
            <w:r>
              <w:rPr>
                <w:rFonts w:hint="eastAsia" w:ascii="Times New Roman" w:hAnsi="Times New Roman" w:eastAsia="宋体" w:cs="Times New Roman"/>
                <w:color w:val="auto"/>
                <w:spacing w:val="0"/>
                <w:kern w:val="0"/>
                <w:sz w:val="21"/>
                <w:szCs w:val="21"/>
              </w:rPr>
              <w:t>正</w:t>
            </w:r>
            <w:r>
              <w:rPr>
                <w:rFonts w:ascii="Times New Roman" w:hAnsi="Times New Roman" w:eastAsia="宋体" w:cs="Times New Roman"/>
                <w:color w:val="auto"/>
                <w:spacing w:val="0"/>
                <w:kern w:val="0"/>
                <w:sz w:val="21"/>
                <w:szCs w:val="21"/>
              </w:rPr>
              <w:t>向公路。该路段利用现有</w:t>
            </w:r>
            <w:r>
              <w:rPr>
                <w:rFonts w:hint="eastAsia" w:ascii="Times New Roman" w:hAnsi="Times New Roman" w:eastAsia="宋体" w:cs="Times New Roman"/>
                <w:color w:val="auto"/>
                <w:spacing w:val="0"/>
                <w:kern w:val="0"/>
                <w:sz w:val="21"/>
                <w:szCs w:val="21"/>
              </w:rPr>
              <w:t>老路</w:t>
            </w:r>
            <w:r>
              <w:rPr>
                <w:rFonts w:hint="eastAsia" w:ascii="宋体" w:hAnsi="宋体" w:eastAsia="宋体" w:cs="宋体"/>
                <w:color w:val="auto"/>
                <w:spacing w:val="0"/>
                <w:sz w:val="21"/>
                <w:szCs w:val="21"/>
              </w:rPr>
              <w:t>渐变拼宽</w:t>
            </w:r>
            <w:r>
              <w:rPr>
                <w:rFonts w:ascii="Times New Roman" w:hAnsi="Times New Roman" w:eastAsia="宋体" w:cs="Times New Roman"/>
                <w:color w:val="auto"/>
                <w:spacing w:val="0"/>
                <w:kern w:val="0"/>
                <w:sz w:val="21"/>
                <w:szCs w:val="21"/>
              </w:rPr>
              <w:t>，有平交</w:t>
            </w:r>
            <w:r>
              <w:rPr>
                <w:rFonts w:hint="eastAsia" w:ascii="Times New Roman" w:hAnsi="Times New Roman" w:eastAsia="宋体" w:cs="Times New Roman"/>
                <w:color w:val="auto"/>
                <w:spacing w:val="0"/>
                <w:kern w:val="0"/>
                <w:sz w:val="21"/>
                <w:szCs w:val="21"/>
              </w:rPr>
              <w:t>路口</w:t>
            </w:r>
            <w:r>
              <w:rPr>
                <w:rFonts w:ascii="Times New Roman" w:hAnsi="Times New Roman" w:eastAsia="宋体" w:cs="Times New Roman"/>
                <w:color w:val="auto"/>
                <w:spacing w:val="0"/>
                <w:kern w:val="0"/>
                <w:sz w:val="21"/>
                <w:szCs w:val="21"/>
              </w:rPr>
              <w:t>，</w:t>
            </w:r>
            <w:r>
              <w:rPr>
                <w:rFonts w:ascii="Times New Roman" w:cs="Times New Roman" w:hAnsiTheme="minorEastAsia" w:eastAsiaTheme="minorEastAsia"/>
                <w:color w:val="auto"/>
                <w:spacing w:val="0"/>
                <w:kern w:val="0"/>
                <w:sz w:val="21"/>
                <w:szCs w:val="21"/>
              </w:rPr>
              <w:t>主要噪声源为现有</w:t>
            </w:r>
            <w:r>
              <w:rPr>
                <w:rFonts w:hint="eastAsia" w:ascii="Times New Roman" w:hAnsi="Times New Roman" w:cs="Times New Roman" w:eastAsiaTheme="minorEastAsia"/>
                <w:color w:val="auto"/>
                <w:spacing w:val="0"/>
                <w:kern w:val="0"/>
                <w:sz w:val="21"/>
                <w:szCs w:val="21"/>
              </w:rPr>
              <w:t>G219</w:t>
            </w:r>
            <w:r>
              <w:rPr>
                <w:rFonts w:ascii="Times New Roman" w:cs="Times New Roman" w:hAnsiTheme="minorEastAsia" w:eastAsiaTheme="minorEastAsia"/>
                <w:color w:val="auto"/>
                <w:spacing w:val="0"/>
                <w:kern w:val="0"/>
                <w:sz w:val="21"/>
                <w:szCs w:val="21"/>
              </w:rPr>
              <w:t>交通噪声和社会生活噪声。</w:t>
            </w:r>
          </w:p>
        </w:tc>
        <w:tc>
          <w:tcPr>
            <w:tcW w:w="2898" w:type="dxa"/>
            <w:vAlign w:val="center"/>
          </w:tcPr>
          <w:p w14:paraId="00F4CAB7">
            <w:pPr>
              <w:widowControl/>
              <w:adjustRightInd w:val="0"/>
              <w:snapToGrid w:val="0"/>
              <w:jc w:val="center"/>
              <w:rPr>
                <w:rFonts w:ascii="Times New Roman" w:hAnsi="Times New Roman" w:cs="Times New Roman" w:eastAsiaTheme="minorEastAsia"/>
                <w:snapToGrid w:val="0"/>
                <w:color w:val="auto"/>
                <w:spacing w:val="-20"/>
                <w:kern w:val="0"/>
                <w:szCs w:val="21"/>
              </w:rPr>
            </w:pPr>
            <w:r>
              <w:rPr>
                <w:rFonts w:ascii="Times New Roman" w:hAnsi="Times New Roman" w:cs="Times New Roman" w:eastAsiaTheme="minorEastAsia"/>
                <w:color w:val="auto"/>
                <w:spacing w:val="-20"/>
                <w:kern w:val="0"/>
                <w:szCs w:val="21"/>
              </w:rPr>
              <w:drawing>
                <wp:inline distT="0" distB="0" distL="0" distR="0">
                  <wp:extent cx="1729105" cy="1295400"/>
                  <wp:effectExtent l="0" t="0" r="4445" b="0"/>
                  <wp:docPr id="2" name="图片 14" descr="E:\咨询项目\环评\新疆-G219线八盘水磨至伽师公路\外业踏勘记录及照片\DSC09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4" descr="E:\咨询项目\环评\新疆-G219线八盘水磨至伽师公路\外业踏勘记录及照片\DSC09029.JPG"/>
                          <pic:cNvPicPr>
                            <a:picLocks noChangeAspect="1" noChangeArrowheads="1"/>
                          </pic:cNvPicPr>
                        </pic:nvPicPr>
                        <pic:blipFill>
                          <a:blip r:embed="rId169" cstate="print"/>
                          <a:srcRect/>
                          <a:stretch>
                            <a:fillRect/>
                          </a:stretch>
                        </pic:blipFill>
                        <pic:spPr>
                          <a:xfrm>
                            <a:off x="0" y="0"/>
                            <a:ext cx="1729728" cy="1296000"/>
                          </a:xfrm>
                          <a:prstGeom prst="rect">
                            <a:avLst/>
                          </a:prstGeom>
                          <a:noFill/>
                          <a:ln w="9525">
                            <a:noFill/>
                            <a:miter lim="800000"/>
                            <a:headEnd/>
                            <a:tailEnd/>
                          </a:ln>
                        </pic:spPr>
                      </pic:pic>
                    </a:graphicData>
                  </a:graphic>
                </wp:inline>
              </w:drawing>
            </w:r>
          </w:p>
        </w:tc>
      </w:tr>
    </w:tbl>
    <w:p w14:paraId="2534B513">
      <w:pPr>
        <w:rPr>
          <w:rFonts w:ascii="Times New Roman" w:hAnsi="Times New Roman" w:eastAsia="宋体" w:cs="Times New Roman"/>
          <w:color w:val="auto"/>
          <w:szCs w:val="21"/>
        </w:rPr>
      </w:pPr>
      <w:r>
        <w:rPr>
          <w:rFonts w:hint="eastAsia" w:ascii="Times New Roman" w:hAnsi="Times New Roman" w:eastAsia="宋体" w:cs="Times New Roman"/>
          <w:color w:val="auto"/>
          <w:szCs w:val="21"/>
        </w:rPr>
        <w:t>（接下页）</w:t>
      </w:r>
    </w:p>
    <w:p w14:paraId="3BC2632C">
      <w:pPr>
        <w:widowControl/>
        <w:spacing w:beforeLines="50"/>
        <w:jc w:val="center"/>
        <w:rPr>
          <w:rFonts w:ascii="Times New Roman" w:hAnsi="Times New Roman" w:cs="Times New Roman" w:eastAsiaTheme="minorEastAsia"/>
          <w:color w:val="auto"/>
          <w:szCs w:val="21"/>
        </w:rPr>
      </w:pPr>
      <w:r>
        <w:rPr>
          <w:rFonts w:ascii="Times New Roman" w:cs="Times New Roman" w:hAnsiTheme="minorEastAsia" w:eastAsiaTheme="minorEastAsia"/>
          <w:b/>
          <w:color w:val="auto"/>
          <w:szCs w:val="21"/>
        </w:rPr>
        <w:br w:type="page"/>
      </w:r>
      <w:r>
        <w:rPr>
          <w:rFonts w:ascii="Times New Roman" w:cs="Times New Roman" w:hAnsiTheme="minorEastAsia" w:eastAsiaTheme="minorEastAsia"/>
          <w:b/>
          <w:color w:val="auto"/>
          <w:szCs w:val="21"/>
        </w:rPr>
        <w:t>续</w:t>
      </w:r>
      <w:r>
        <w:rPr>
          <w:rFonts w:hint="eastAsia" w:ascii="Times New Roman" w:cs="Times New Roman" w:hAnsiTheme="minorEastAsia" w:eastAsiaTheme="minorEastAsia"/>
          <w:b/>
          <w:color w:val="auto"/>
          <w:szCs w:val="21"/>
        </w:rPr>
        <w:t xml:space="preserve"> </w:t>
      </w:r>
      <w:r>
        <w:rPr>
          <w:rFonts w:ascii="Times New Roman" w:cs="Times New Roman" w:hAnsiTheme="minorEastAsia" w:eastAsiaTheme="minorEastAsia"/>
          <w:b/>
          <w:color w:val="auto"/>
          <w:szCs w:val="21"/>
        </w:rPr>
        <w:t>表</w:t>
      </w:r>
      <w:r>
        <w:rPr>
          <w:rFonts w:ascii="Times New Roman" w:hAnsi="Times New Roman" w:cs="Times New Roman" w:eastAsiaTheme="minorEastAsia"/>
          <w:b/>
          <w:color w:val="auto"/>
          <w:szCs w:val="21"/>
        </w:rPr>
        <w:t>1.</w:t>
      </w:r>
      <w:r>
        <w:rPr>
          <w:rFonts w:hint="eastAsia" w:ascii="Times New Roman" w:hAnsi="Times New Roman" w:cs="Times New Roman" w:eastAsiaTheme="minorEastAsia"/>
          <w:b/>
          <w:color w:val="auto"/>
          <w:szCs w:val="21"/>
        </w:rPr>
        <w:t>6</w:t>
      </w:r>
      <w:r>
        <w:rPr>
          <w:rFonts w:ascii="Times New Roman" w:hAnsi="Times New Roman" w:cs="Times New Roman" w:eastAsiaTheme="minorEastAsia"/>
          <w:b/>
          <w:color w:val="auto"/>
          <w:szCs w:val="21"/>
        </w:rPr>
        <w:t>-</w:t>
      </w:r>
      <w:r>
        <w:rPr>
          <w:rFonts w:hint="eastAsia" w:ascii="Times New Roman" w:hAnsi="Times New Roman" w:cs="Times New Roman" w:eastAsiaTheme="minorEastAsia"/>
          <w:b/>
          <w:color w:val="auto"/>
          <w:szCs w:val="21"/>
        </w:rPr>
        <w:t>2</w:t>
      </w:r>
      <w:r>
        <w:rPr>
          <w:rFonts w:ascii="Times New Roman" w:hAnsi="Times New Roman" w:cs="Times New Roman" w:eastAsiaTheme="minorEastAsia"/>
          <w:b/>
          <w:color w:val="auto"/>
          <w:szCs w:val="21"/>
        </w:rPr>
        <w:t xml:space="preserve">  </w:t>
      </w:r>
      <w:r>
        <w:rPr>
          <w:rFonts w:ascii="Times New Roman" w:cs="Times New Roman" w:hAnsiTheme="minorEastAsia" w:eastAsiaTheme="minorEastAsia"/>
          <w:b/>
          <w:color w:val="auto"/>
          <w:szCs w:val="21"/>
        </w:rPr>
        <w:t>拟建公路沿线声环境敏感点一览表</w:t>
      </w:r>
    </w:p>
    <w:tbl>
      <w:tblPr>
        <w:tblStyle w:val="22"/>
        <w:tblW w:w="20342" w:type="dxa"/>
        <w:jc w:val="center"/>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68"/>
        <w:gridCol w:w="694"/>
        <w:gridCol w:w="1134"/>
        <w:gridCol w:w="851"/>
        <w:gridCol w:w="850"/>
        <w:gridCol w:w="661"/>
        <w:gridCol w:w="662"/>
        <w:gridCol w:w="662"/>
        <w:gridCol w:w="567"/>
        <w:gridCol w:w="708"/>
        <w:gridCol w:w="709"/>
        <w:gridCol w:w="992"/>
        <w:gridCol w:w="993"/>
        <w:gridCol w:w="567"/>
        <w:gridCol w:w="992"/>
        <w:gridCol w:w="709"/>
        <w:gridCol w:w="708"/>
        <w:gridCol w:w="4417"/>
        <w:gridCol w:w="2898"/>
      </w:tblGrid>
      <w:tr w14:paraId="77FC2D4F">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PrEx>
        <w:trPr>
          <w:trHeight w:val="460" w:hRule="atLeast"/>
          <w:tblHeader/>
          <w:jc w:val="center"/>
        </w:trPr>
        <w:tc>
          <w:tcPr>
            <w:tcW w:w="568" w:type="dxa"/>
            <w:vMerge w:val="restart"/>
            <w:noWrap/>
            <w:vAlign w:val="center"/>
          </w:tcPr>
          <w:p w14:paraId="6A602CC5">
            <w:pPr>
              <w:widowControl/>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序号</w:t>
            </w:r>
          </w:p>
        </w:tc>
        <w:tc>
          <w:tcPr>
            <w:tcW w:w="694" w:type="dxa"/>
            <w:vMerge w:val="restart"/>
            <w:vAlign w:val="center"/>
          </w:tcPr>
          <w:p w14:paraId="57D88887">
            <w:pPr>
              <w:widowControl/>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路段</w:t>
            </w:r>
          </w:p>
        </w:tc>
        <w:tc>
          <w:tcPr>
            <w:tcW w:w="1134" w:type="dxa"/>
            <w:vMerge w:val="restart"/>
            <w:vAlign w:val="center"/>
          </w:tcPr>
          <w:p w14:paraId="77300262">
            <w:pPr>
              <w:widowControl/>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桩号</w:t>
            </w:r>
          </w:p>
        </w:tc>
        <w:tc>
          <w:tcPr>
            <w:tcW w:w="851" w:type="dxa"/>
            <w:vMerge w:val="restart"/>
            <w:vAlign w:val="center"/>
          </w:tcPr>
          <w:p w14:paraId="2A25C505">
            <w:pPr>
              <w:widowControl/>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敏感点名称</w:t>
            </w:r>
          </w:p>
        </w:tc>
        <w:tc>
          <w:tcPr>
            <w:tcW w:w="850" w:type="dxa"/>
            <w:vMerge w:val="restart"/>
            <w:vAlign w:val="center"/>
          </w:tcPr>
          <w:p w14:paraId="385F7108">
            <w:pPr>
              <w:widowControl/>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行政区划</w:t>
            </w:r>
          </w:p>
        </w:tc>
        <w:tc>
          <w:tcPr>
            <w:tcW w:w="1985" w:type="dxa"/>
            <w:gridSpan w:val="3"/>
            <w:vAlign w:val="center"/>
          </w:tcPr>
          <w:p w14:paraId="362C2E97">
            <w:pPr>
              <w:widowControl/>
              <w:jc w:val="center"/>
              <w:rPr>
                <w:rFonts w:ascii="Times New Roman" w:hAnsi="Times New Roman" w:cs="Times New Roman" w:eastAsiaTheme="minorEastAsia"/>
                <w:b/>
                <w:bCs/>
                <w:color w:val="auto"/>
                <w:spacing w:val="-20"/>
                <w:kern w:val="0"/>
                <w:szCs w:val="21"/>
              </w:rPr>
            </w:pPr>
            <w:r>
              <w:rPr>
                <w:rFonts w:ascii="Times New Roman" w:hAnsi="Times New Roman" w:cs="Times New Roman" w:eastAsiaTheme="minorEastAsia"/>
                <w:b/>
                <w:bCs/>
                <w:color w:val="auto"/>
                <w:spacing w:val="-20"/>
                <w:kern w:val="0"/>
                <w:szCs w:val="21"/>
              </w:rPr>
              <w:t>改扩建</w:t>
            </w:r>
            <w:r>
              <w:rPr>
                <w:rFonts w:hint="eastAsia" w:ascii="Times New Roman" w:hAnsi="Times New Roman" w:cs="Times New Roman" w:eastAsiaTheme="minorEastAsia"/>
                <w:b/>
                <w:bCs/>
                <w:color w:val="auto"/>
                <w:spacing w:val="-20"/>
                <w:kern w:val="0"/>
                <w:szCs w:val="21"/>
              </w:rPr>
              <w:t>前</w:t>
            </w:r>
            <w:r>
              <w:rPr>
                <w:rFonts w:ascii="Times New Roman" w:hAnsi="Times New Roman" w:cs="Times New Roman" w:eastAsiaTheme="minorEastAsia"/>
                <w:b/>
                <w:bCs/>
                <w:color w:val="auto"/>
                <w:spacing w:val="-20"/>
                <w:kern w:val="0"/>
                <w:szCs w:val="21"/>
              </w:rPr>
              <w:t>位置关系</w:t>
            </w:r>
          </w:p>
        </w:tc>
        <w:tc>
          <w:tcPr>
            <w:tcW w:w="1984" w:type="dxa"/>
            <w:gridSpan w:val="3"/>
            <w:vAlign w:val="center"/>
          </w:tcPr>
          <w:p w14:paraId="30C0699B">
            <w:pPr>
              <w:widowControl/>
              <w:jc w:val="center"/>
              <w:rPr>
                <w:rFonts w:ascii="Times New Roman" w:hAnsi="Times New Roman" w:cs="Times New Roman" w:eastAsiaTheme="minorEastAsia"/>
                <w:b/>
                <w:bCs/>
                <w:color w:val="auto"/>
                <w:spacing w:val="-20"/>
                <w:kern w:val="0"/>
                <w:szCs w:val="21"/>
              </w:rPr>
            </w:pPr>
            <w:r>
              <w:rPr>
                <w:rFonts w:ascii="Times New Roman" w:hAnsi="Times New Roman" w:cs="Times New Roman" w:eastAsiaTheme="minorEastAsia"/>
                <w:b/>
                <w:bCs/>
                <w:color w:val="auto"/>
                <w:spacing w:val="-20"/>
                <w:kern w:val="0"/>
                <w:szCs w:val="21"/>
              </w:rPr>
              <w:t>改扩建后位置关系</w:t>
            </w:r>
          </w:p>
        </w:tc>
        <w:tc>
          <w:tcPr>
            <w:tcW w:w="992" w:type="dxa"/>
            <w:vMerge w:val="restart"/>
            <w:vAlign w:val="center"/>
          </w:tcPr>
          <w:p w14:paraId="6214F763">
            <w:pPr>
              <w:widowControl/>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预测点地面高</w:t>
            </w:r>
            <w:r>
              <w:rPr>
                <w:rFonts w:ascii="Times New Roman" w:hAnsi="Times New Roman" w:cs="Times New Roman" w:eastAsiaTheme="minorEastAsia"/>
                <w:b/>
                <w:bCs/>
                <w:color w:val="auto"/>
                <w:spacing w:val="-20"/>
                <w:kern w:val="0"/>
                <w:szCs w:val="21"/>
              </w:rPr>
              <w:t>-</w:t>
            </w:r>
            <w:r>
              <w:rPr>
                <w:rFonts w:ascii="Times New Roman" w:cs="Times New Roman" w:hAnsiTheme="minorEastAsia" w:eastAsiaTheme="minorEastAsia"/>
                <w:b/>
                <w:bCs/>
                <w:color w:val="auto"/>
                <w:spacing w:val="-20"/>
                <w:kern w:val="0"/>
                <w:szCs w:val="21"/>
              </w:rPr>
              <w:t>路基地面高</w:t>
            </w:r>
            <w:r>
              <w:rPr>
                <w:rFonts w:ascii="Times New Roman" w:hAnsi="Times New Roman" w:cs="Times New Roman" w:eastAsiaTheme="minorEastAsia"/>
                <w:b/>
                <w:bCs/>
                <w:color w:val="auto"/>
                <w:spacing w:val="-20"/>
                <w:kern w:val="0"/>
                <w:szCs w:val="21"/>
              </w:rPr>
              <w:t>(m)</w:t>
            </w:r>
          </w:p>
        </w:tc>
        <w:tc>
          <w:tcPr>
            <w:tcW w:w="993" w:type="dxa"/>
            <w:vMerge w:val="restart"/>
            <w:vAlign w:val="center"/>
          </w:tcPr>
          <w:p w14:paraId="517B3F94">
            <w:pPr>
              <w:widowControl/>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路基填挖高度或桥高</w:t>
            </w:r>
            <w:r>
              <w:rPr>
                <w:rFonts w:ascii="Times New Roman" w:hAnsi="Times New Roman" w:cs="Times New Roman" w:eastAsiaTheme="minorEastAsia"/>
                <w:b/>
                <w:bCs/>
                <w:color w:val="auto"/>
                <w:spacing w:val="-20"/>
                <w:kern w:val="0"/>
                <w:szCs w:val="21"/>
              </w:rPr>
              <w:t>(m)</w:t>
            </w:r>
          </w:p>
        </w:tc>
        <w:tc>
          <w:tcPr>
            <w:tcW w:w="567" w:type="dxa"/>
            <w:vMerge w:val="restart"/>
            <w:noWrap/>
            <w:vAlign w:val="center"/>
          </w:tcPr>
          <w:p w14:paraId="3BDD6CC3">
            <w:pPr>
              <w:widowControl/>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工程形式</w:t>
            </w:r>
          </w:p>
        </w:tc>
        <w:tc>
          <w:tcPr>
            <w:tcW w:w="992" w:type="dxa"/>
            <w:vMerge w:val="restart"/>
            <w:vAlign w:val="center"/>
          </w:tcPr>
          <w:p w14:paraId="164BA7B7">
            <w:pPr>
              <w:widowControl/>
              <w:jc w:val="center"/>
              <w:rPr>
                <w:rFonts w:ascii="Times New Roman" w:hAnsi="Times New Roman" w:cs="Times New Roman" w:eastAsiaTheme="minorEastAsia"/>
                <w:b/>
                <w:bCs/>
                <w:color w:val="auto"/>
                <w:spacing w:val="-20"/>
                <w:kern w:val="0"/>
                <w:szCs w:val="21"/>
              </w:rPr>
            </w:pPr>
            <w:r>
              <w:rPr>
                <w:rFonts w:hint="eastAsia" w:ascii="Times New Roman" w:cs="Times New Roman" w:hAnsiTheme="minorEastAsia" w:eastAsiaTheme="minorEastAsia"/>
                <w:b/>
                <w:bCs/>
                <w:color w:val="auto"/>
                <w:spacing w:val="-20"/>
                <w:kern w:val="0"/>
                <w:szCs w:val="21"/>
              </w:rPr>
              <w:t>改扩建</w:t>
            </w:r>
            <w:r>
              <w:rPr>
                <w:rFonts w:ascii="Times New Roman" w:cs="Times New Roman" w:hAnsiTheme="minorEastAsia" w:eastAsiaTheme="minorEastAsia"/>
                <w:b/>
                <w:bCs/>
                <w:color w:val="auto"/>
                <w:spacing w:val="-20"/>
                <w:kern w:val="0"/>
                <w:szCs w:val="21"/>
              </w:rPr>
              <w:t>后功能区分界</w:t>
            </w:r>
            <w:r>
              <w:rPr>
                <w:rFonts w:ascii="Times New Roman" w:hAnsi="Times New Roman" w:cs="Times New Roman" w:eastAsiaTheme="minorEastAsia"/>
                <w:b/>
                <w:bCs/>
                <w:color w:val="auto"/>
                <w:spacing w:val="-20"/>
                <w:kern w:val="0"/>
                <w:szCs w:val="21"/>
              </w:rPr>
              <w:t>(m)</w:t>
            </w:r>
          </w:p>
        </w:tc>
        <w:tc>
          <w:tcPr>
            <w:tcW w:w="1417" w:type="dxa"/>
            <w:gridSpan w:val="2"/>
            <w:vAlign w:val="center"/>
          </w:tcPr>
          <w:p w14:paraId="4BBBC889">
            <w:pPr>
              <w:widowControl/>
              <w:jc w:val="center"/>
              <w:rPr>
                <w:rFonts w:ascii="Times New Roman" w:hAnsi="Times New Roman" w:cs="Times New Roman" w:eastAsiaTheme="minorEastAsia"/>
                <w:b/>
                <w:bCs/>
                <w:color w:val="auto"/>
                <w:spacing w:val="-20"/>
                <w:kern w:val="0"/>
                <w:szCs w:val="21"/>
              </w:rPr>
            </w:pPr>
            <w:r>
              <w:rPr>
                <w:rFonts w:hint="eastAsia" w:ascii="Times New Roman" w:cs="Times New Roman" w:hAnsiTheme="minorEastAsia" w:eastAsiaTheme="minorEastAsia"/>
                <w:b/>
                <w:bCs/>
                <w:color w:val="auto"/>
                <w:spacing w:val="-20"/>
                <w:kern w:val="0"/>
                <w:szCs w:val="21"/>
              </w:rPr>
              <w:t>改扩建</w:t>
            </w:r>
            <w:r>
              <w:rPr>
                <w:rFonts w:ascii="Times New Roman" w:cs="Times New Roman" w:hAnsiTheme="minorEastAsia" w:eastAsiaTheme="minorEastAsia"/>
                <w:b/>
                <w:bCs/>
                <w:color w:val="auto"/>
                <w:spacing w:val="-20"/>
                <w:kern w:val="0"/>
                <w:szCs w:val="21"/>
              </w:rPr>
              <w:t>后受影响户数</w:t>
            </w:r>
            <w:r>
              <w:rPr>
                <w:rFonts w:ascii="Times New Roman" w:hAnsi="Times New Roman" w:cs="Times New Roman" w:eastAsiaTheme="minorEastAsia"/>
                <w:b/>
                <w:bCs/>
                <w:color w:val="auto"/>
                <w:spacing w:val="-20"/>
                <w:kern w:val="0"/>
                <w:szCs w:val="21"/>
              </w:rPr>
              <w:t>(</w:t>
            </w:r>
            <w:r>
              <w:rPr>
                <w:rFonts w:ascii="Times New Roman" w:cs="Times New Roman" w:hAnsiTheme="minorEastAsia" w:eastAsiaTheme="minorEastAsia"/>
                <w:b/>
                <w:bCs/>
                <w:color w:val="auto"/>
                <w:spacing w:val="-20"/>
                <w:kern w:val="0"/>
                <w:szCs w:val="21"/>
              </w:rPr>
              <w:t>户</w:t>
            </w:r>
            <w:r>
              <w:rPr>
                <w:rFonts w:ascii="Times New Roman" w:hAnsi="Times New Roman" w:cs="Times New Roman" w:eastAsiaTheme="minorEastAsia"/>
                <w:b/>
                <w:bCs/>
                <w:color w:val="auto"/>
                <w:spacing w:val="-20"/>
                <w:kern w:val="0"/>
                <w:szCs w:val="21"/>
              </w:rPr>
              <w:t>)</w:t>
            </w:r>
          </w:p>
        </w:tc>
        <w:tc>
          <w:tcPr>
            <w:tcW w:w="4417" w:type="dxa"/>
            <w:vMerge w:val="restart"/>
            <w:vAlign w:val="center"/>
          </w:tcPr>
          <w:p w14:paraId="25147D33">
            <w:pPr>
              <w:widowControl/>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敏感点及环境特征</w:t>
            </w:r>
          </w:p>
        </w:tc>
        <w:tc>
          <w:tcPr>
            <w:tcW w:w="2898" w:type="dxa"/>
            <w:vMerge w:val="restart"/>
            <w:vAlign w:val="center"/>
          </w:tcPr>
          <w:p w14:paraId="63C8BC98">
            <w:pPr>
              <w:widowControl/>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照片</w:t>
            </w:r>
          </w:p>
        </w:tc>
      </w:tr>
      <w:tr w14:paraId="07C3E451">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461" w:hRule="atLeast"/>
          <w:tblHeader/>
          <w:jc w:val="center"/>
        </w:trPr>
        <w:tc>
          <w:tcPr>
            <w:tcW w:w="568" w:type="dxa"/>
            <w:vMerge w:val="continue"/>
            <w:noWrap/>
            <w:vAlign w:val="center"/>
          </w:tcPr>
          <w:p w14:paraId="37412003">
            <w:pPr>
              <w:widowControl/>
              <w:jc w:val="center"/>
              <w:rPr>
                <w:rFonts w:ascii="Times New Roman" w:hAnsi="Times New Roman" w:cs="Times New Roman" w:eastAsiaTheme="minorEastAsia"/>
                <w:b/>
                <w:bCs/>
                <w:color w:val="auto"/>
                <w:spacing w:val="-20"/>
                <w:kern w:val="0"/>
                <w:szCs w:val="21"/>
              </w:rPr>
            </w:pPr>
          </w:p>
        </w:tc>
        <w:tc>
          <w:tcPr>
            <w:tcW w:w="694" w:type="dxa"/>
            <w:vMerge w:val="continue"/>
            <w:vAlign w:val="center"/>
          </w:tcPr>
          <w:p w14:paraId="2D7008B7">
            <w:pPr>
              <w:widowControl/>
              <w:jc w:val="center"/>
              <w:rPr>
                <w:rFonts w:ascii="Times New Roman" w:hAnsi="Times New Roman" w:cs="Times New Roman" w:eastAsiaTheme="minorEastAsia"/>
                <w:b/>
                <w:bCs/>
                <w:color w:val="auto"/>
                <w:spacing w:val="-20"/>
                <w:kern w:val="0"/>
                <w:szCs w:val="21"/>
              </w:rPr>
            </w:pPr>
          </w:p>
        </w:tc>
        <w:tc>
          <w:tcPr>
            <w:tcW w:w="1134" w:type="dxa"/>
            <w:vMerge w:val="continue"/>
            <w:vAlign w:val="center"/>
          </w:tcPr>
          <w:p w14:paraId="37B1CE84">
            <w:pPr>
              <w:widowControl/>
              <w:jc w:val="center"/>
              <w:rPr>
                <w:rFonts w:ascii="Times New Roman" w:hAnsi="Times New Roman" w:cs="Times New Roman" w:eastAsiaTheme="minorEastAsia"/>
                <w:b/>
                <w:bCs/>
                <w:color w:val="auto"/>
                <w:spacing w:val="-20"/>
                <w:kern w:val="0"/>
                <w:szCs w:val="21"/>
              </w:rPr>
            </w:pPr>
          </w:p>
        </w:tc>
        <w:tc>
          <w:tcPr>
            <w:tcW w:w="851" w:type="dxa"/>
            <w:vMerge w:val="continue"/>
            <w:vAlign w:val="center"/>
          </w:tcPr>
          <w:p w14:paraId="108A3E33">
            <w:pPr>
              <w:widowControl/>
              <w:jc w:val="center"/>
              <w:rPr>
                <w:rFonts w:ascii="Times New Roman" w:hAnsi="Times New Roman" w:cs="Times New Roman" w:eastAsiaTheme="minorEastAsia"/>
                <w:b/>
                <w:bCs/>
                <w:color w:val="auto"/>
                <w:spacing w:val="-20"/>
                <w:kern w:val="0"/>
                <w:szCs w:val="21"/>
              </w:rPr>
            </w:pPr>
          </w:p>
        </w:tc>
        <w:tc>
          <w:tcPr>
            <w:tcW w:w="850" w:type="dxa"/>
            <w:vMerge w:val="continue"/>
            <w:vAlign w:val="center"/>
          </w:tcPr>
          <w:p w14:paraId="2C6FE57B">
            <w:pPr>
              <w:widowControl/>
              <w:jc w:val="center"/>
              <w:rPr>
                <w:rFonts w:ascii="Times New Roman" w:hAnsi="Times New Roman" w:cs="Times New Roman" w:eastAsiaTheme="minorEastAsia"/>
                <w:b/>
                <w:bCs/>
                <w:color w:val="auto"/>
                <w:spacing w:val="-20"/>
                <w:kern w:val="0"/>
                <w:szCs w:val="21"/>
              </w:rPr>
            </w:pPr>
          </w:p>
        </w:tc>
        <w:tc>
          <w:tcPr>
            <w:tcW w:w="661" w:type="dxa"/>
            <w:vAlign w:val="center"/>
          </w:tcPr>
          <w:p w14:paraId="64D8FEF7">
            <w:pPr>
              <w:widowControl/>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方位</w:t>
            </w:r>
          </w:p>
        </w:tc>
        <w:tc>
          <w:tcPr>
            <w:tcW w:w="662" w:type="dxa"/>
            <w:vAlign w:val="center"/>
          </w:tcPr>
          <w:p w14:paraId="7C6920F2">
            <w:pPr>
              <w:widowControl/>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距路中</w:t>
            </w:r>
            <w:r>
              <w:rPr>
                <w:rFonts w:ascii="Times New Roman" w:hAnsi="Times New Roman" w:cs="Times New Roman" w:eastAsiaTheme="minorEastAsia"/>
                <w:b/>
                <w:bCs/>
                <w:color w:val="auto"/>
                <w:spacing w:val="-20"/>
                <w:kern w:val="0"/>
                <w:szCs w:val="21"/>
              </w:rPr>
              <w:t>(m)</w:t>
            </w:r>
          </w:p>
        </w:tc>
        <w:tc>
          <w:tcPr>
            <w:tcW w:w="662" w:type="dxa"/>
            <w:vAlign w:val="center"/>
          </w:tcPr>
          <w:p w14:paraId="6430A596">
            <w:pPr>
              <w:widowControl/>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距红线</w:t>
            </w:r>
            <w:r>
              <w:rPr>
                <w:rFonts w:ascii="Times New Roman" w:hAnsi="Times New Roman" w:cs="Times New Roman" w:eastAsiaTheme="minorEastAsia"/>
                <w:b/>
                <w:bCs/>
                <w:color w:val="auto"/>
                <w:spacing w:val="-20"/>
                <w:kern w:val="0"/>
                <w:szCs w:val="21"/>
              </w:rPr>
              <w:t>(m)</w:t>
            </w:r>
          </w:p>
        </w:tc>
        <w:tc>
          <w:tcPr>
            <w:tcW w:w="567" w:type="dxa"/>
            <w:vAlign w:val="center"/>
          </w:tcPr>
          <w:p w14:paraId="22F42226">
            <w:pPr>
              <w:widowControl/>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方位</w:t>
            </w:r>
          </w:p>
        </w:tc>
        <w:tc>
          <w:tcPr>
            <w:tcW w:w="708" w:type="dxa"/>
            <w:vAlign w:val="center"/>
          </w:tcPr>
          <w:p w14:paraId="6688E6A9">
            <w:pPr>
              <w:widowControl/>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距路中</w:t>
            </w:r>
            <w:r>
              <w:rPr>
                <w:rFonts w:ascii="Times New Roman" w:hAnsi="Times New Roman" w:cs="Times New Roman" w:eastAsiaTheme="minorEastAsia"/>
                <w:b/>
                <w:bCs/>
                <w:color w:val="auto"/>
                <w:spacing w:val="-20"/>
                <w:kern w:val="0"/>
                <w:szCs w:val="21"/>
              </w:rPr>
              <w:t>(m)</w:t>
            </w:r>
          </w:p>
        </w:tc>
        <w:tc>
          <w:tcPr>
            <w:tcW w:w="709" w:type="dxa"/>
            <w:vAlign w:val="center"/>
          </w:tcPr>
          <w:p w14:paraId="4A71BF5B">
            <w:pPr>
              <w:widowControl/>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距红线</w:t>
            </w:r>
            <w:r>
              <w:rPr>
                <w:rFonts w:ascii="Times New Roman" w:hAnsi="Times New Roman" w:cs="Times New Roman" w:eastAsiaTheme="minorEastAsia"/>
                <w:b/>
                <w:bCs/>
                <w:color w:val="auto"/>
                <w:spacing w:val="-20"/>
                <w:kern w:val="0"/>
                <w:szCs w:val="21"/>
              </w:rPr>
              <w:t>(m)</w:t>
            </w:r>
          </w:p>
        </w:tc>
        <w:tc>
          <w:tcPr>
            <w:tcW w:w="992" w:type="dxa"/>
            <w:vMerge w:val="continue"/>
            <w:vAlign w:val="center"/>
          </w:tcPr>
          <w:p w14:paraId="20FD28CB">
            <w:pPr>
              <w:widowControl/>
              <w:jc w:val="center"/>
              <w:rPr>
                <w:rFonts w:ascii="Times New Roman" w:hAnsi="Times New Roman" w:cs="Times New Roman" w:eastAsiaTheme="minorEastAsia"/>
                <w:b/>
                <w:bCs/>
                <w:color w:val="auto"/>
                <w:spacing w:val="-20"/>
                <w:kern w:val="0"/>
                <w:szCs w:val="21"/>
              </w:rPr>
            </w:pPr>
          </w:p>
        </w:tc>
        <w:tc>
          <w:tcPr>
            <w:tcW w:w="993" w:type="dxa"/>
            <w:vMerge w:val="continue"/>
            <w:vAlign w:val="center"/>
          </w:tcPr>
          <w:p w14:paraId="751C5373">
            <w:pPr>
              <w:widowControl/>
              <w:jc w:val="center"/>
              <w:rPr>
                <w:rFonts w:ascii="Times New Roman" w:hAnsi="Times New Roman" w:cs="Times New Roman" w:eastAsiaTheme="minorEastAsia"/>
                <w:b/>
                <w:bCs/>
                <w:color w:val="auto"/>
                <w:spacing w:val="-20"/>
                <w:kern w:val="0"/>
                <w:szCs w:val="21"/>
              </w:rPr>
            </w:pPr>
          </w:p>
        </w:tc>
        <w:tc>
          <w:tcPr>
            <w:tcW w:w="567" w:type="dxa"/>
            <w:vMerge w:val="continue"/>
            <w:noWrap/>
            <w:vAlign w:val="center"/>
          </w:tcPr>
          <w:p w14:paraId="54C13139">
            <w:pPr>
              <w:widowControl/>
              <w:jc w:val="center"/>
              <w:rPr>
                <w:rFonts w:ascii="Times New Roman" w:hAnsi="Times New Roman" w:cs="Times New Roman" w:eastAsiaTheme="minorEastAsia"/>
                <w:b/>
                <w:bCs/>
                <w:color w:val="auto"/>
                <w:spacing w:val="-20"/>
                <w:kern w:val="0"/>
                <w:szCs w:val="21"/>
              </w:rPr>
            </w:pPr>
          </w:p>
        </w:tc>
        <w:tc>
          <w:tcPr>
            <w:tcW w:w="992" w:type="dxa"/>
            <w:vMerge w:val="continue"/>
            <w:vAlign w:val="center"/>
          </w:tcPr>
          <w:p w14:paraId="2EC36D1B">
            <w:pPr>
              <w:widowControl/>
              <w:jc w:val="center"/>
              <w:rPr>
                <w:rFonts w:ascii="Times New Roman" w:hAnsi="Times New Roman" w:cs="Times New Roman" w:eastAsiaTheme="minorEastAsia"/>
                <w:b/>
                <w:bCs/>
                <w:color w:val="auto"/>
                <w:spacing w:val="-20"/>
                <w:kern w:val="0"/>
                <w:szCs w:val="21"/>
              </w:rPr>
            </w:pPr>
          </w:p>
        </w:tc>
        <w:tc>
          <w:tcPr>
            <w:tcW w:w="709" w:type="dxa"/>
            <w:vAlign w:val="center"/>
          </w:tcPr>
          <w:p w14:paraId="5B30B4E5">
            <w:pPr>
              <w:widowControl/>
              <w:jc w:val="center"/>
              <w:rPr>
                <w:rFonts w:ascii="Times New Roman" w:hAnsi="Times New Roman" w:cs="Times New Roman" w:eastAsiaTheme="minorEastAsia"/>
                <w:b/>
                <w:bCs/>
                <w:color w:val="auto"/>
                <w:spacing w:val="-20"/>
                <w:kern w:val="0"/>
                <w:szCs w:val="21"/>
              </w:rPr>
            </w:pPr>
            <w:r>
              <w:rPr>
                <w:rFonts w:ascii="Times New Roman" w:hAnsi="Times New Roman" w:cs="Times New Roman" w:eastAsiaTheme="minorEastAsia"/>
                <w:b/>
                <w:bCs/>
                <w:color w:val="auto"/>
                <w:spacing w:val="-20"/>
                <w:kern w:val="0"/>
                <w:szCs w:val="21"/>
              </w:rPr>
              <w:t>4a</w:t>
            </w:r>
            <w:r>
              <w:rPr>
                <w:rFonts w:ascii="Times New Roman" w:cs="Times New Roman" w:hAnsiTheme="minorEastAsia" w:eastAsiaTheme="minorEastAsia"/>
                <w:b/>
                <w:bCs/>
                <w:color w:val="auto"/>
                <w:spacing w:val="-20"/>
                <w:kern w:val="0"/>
                <w:szCs w:val="21"/>
              </w:rPr>
              <w:t>类</w:t>
            </w:r>
          </w:p>
        </w:tc>
        <w:tc>
          <w:tcPr>
            <w:tcW w:w="708" w:type="dxa"/>
            <w:vAlign w:val="center"/>
          </w:tcPr>
          <w:p w14:paraId="0A2A36F0">
            <w:pPr>
              <w:widowControl/>
              <w:jc w:val="center"/>
              <w:rPr>
                <w:rFonts w:ascii="Times New Roman" w:hAnsi="Times New Roman" w:cs="Times New Roman" w:eastAsiaTheme="minorEastAsia"/>
                <w:b/>
                <w:bCs/>
                <w:color w:val="auto"/>
                <w:spacing w:val="-20"/>
                <w:kern w:val="0"/>
                <w:szCs w:val="21"/>
              </w:rPr>
            </w:pPr>
            <w:r>
              <w:rPr>
                <w:rFonts w:ascii="Times New Roman" w:hAnsi="Times New Roman" w:cs="Times New Roman" w:eastAsiaTheme="minorEastAsia"/>
                <w:b/>
                <w:bCs/>
                <w:color w:val="auto"/>
                <w:spacing w:val="-20"/>
                <w:kern w:val="0"/>
                <w:szCs w:val="21"/>
              </w:rPr>
              <w:t>2</w:t>
            </w:r>
            <w:r>
              <w:rPr>
                <w:rFonts w:ascii="Times New Roman" w:cs="Times New Roman" w:hAnsiTheme="minorEastAsia" w:eastAsiaTheme="minorEastAsia"/>
                <w:b/>
                <w:bCs/>
                <w:color w:val="auto"/>
                <w:spacing w:val="-20"/>
                <w:kern w:val="0"/>
                <w:szCs w:val="21"/>
              </w:rPr>
              <w:t>类</w:t>
            </w:r>
          </w:p>
        </w:tc>
        <w:tc>
          <w:tcPr>
            <w:tcW w:w="4417" w:type="dxa"/>
            <w:vMerge w:val="continue"/>
            <w:vAlign w:val="center"/>
          </w:tcPr>
          <w:p w14:paraId="190EED24">
            <w:pPr>
              <w:widowControl/>
              <w:jc w:val="center"/>
              <w:rPr>
                <w:rFonts w:ascii="Times New Roman" w:hAnsi="Times New Roman" w:cs="Times New Roman" w:eastAsiaTheme="minorEastAsia"/>
                <w:b/>
                <w:bCs/>
                <w:color w:val="auto"/>
                <w:spacing w:val="-20"/>
                <w:kern w:val="0"/>
                <w:szCs w:val="21"/>
              </w:rPr>
            </w:pPr>
          </w:p>
        </w:tc>
        <w:tc>
          <w:tcPr>
            <w:tcW w:w="2898" w:type="dxa"/>
            <w:vMerge w:val="continue"/>
            <w:vAlign w:val="center"/>
          </w:tcPr>
          <w:p w14:paraId="1765624F">
            <w:pPr>
              <w:widowControl/>
              <w:jc w:val="center"/>
              <w:rPr>
                <w:rFonts w:ascii="Times New Roman" w:hAnsi="Times New Roman" w:cs="Times New Roman" w:eastAsiaTheme="minorEastAsia"/>
                <w:color w:val="auto"/>
                <w:spacing w:val="-20"/>
                <w:kern w:val="0"/>
                <w:szCs w:val="21"/>
              </w:rPr>
            </w:pPr>
          </w:p>
        </w:tc>
      </w:tr>
      <w:tr w14:paraId="00A3ABAA">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1839" w:hRule="atLeast"/>
          <w:tblHeader/>
          <w:jc w:val="center"/>
        </w:trPr>
        <w:tc>
          <w:tcPr>
            <w:tcW w:w="568" w:type="dxa"/>
            <w:noWrap/>
            <w:vAlign w:val="center"/>
          </w:tcPr>
          <w:p w14:paraId="4FE7CEFD">
            <w:pPr>
              <w:widowControl/>
              <w:jc w:val="center"/>
              <w:rPr>
                <w:rFonts w:ascii="Times New Roman" w:hAnsi="Times New Roman" w:cs="Times New Roman" w:eastAsiaTheme="minorEastAsia"/>
                <w:color w:val="auto"/>
                <w:spacing w:val="-20"/>
                <w:kern w:val="0"/>
                <w:szCs w:val="21"/>
              </w:rPr>
            </w:pPr>
            <w:bookmarkStart w:id="122" w:name="_Hlk224113918"/>
            <w:r>
              <w:rPr>
                <w:rFonts w:ascii="Times New Roman" w:hAnsi="Times New Roman" w:cs="Times New Roman" w:eastAsiaTheme="minorEastAsia"/>
                <w:color w:val="auto"/>
                <w:spacing w:val="-20"/>
                <w:kern w:val="0"/>
                <w:szCs w:val="21"/>
              </w:rPr>
              <w:t>15</w:t>
            </w:r>
          </w:p>
        </w:tc>
        <w:tc>
          <w:tcPr>
            <w:tcW w:w="694" w:type="dxa"/>
            <w:vAlign w:val="center"/>
          </w:tcPr>
          <w:p w14:paraId="2625C322">
            <w:pPr>
              <w:jc w:val="center"/>
              <w:rPr>
                <w:rFonts w:ascii="Times New Roman" w:hAnsi="Times New Roman" w:cs="Times New Roman" w:eastAsiaTheme="minorEastAsia"/>
                <w:color w:val="auto"/>
                <w:spacing w:val="-20"/>
                <w:kern w:val="0"/>
                <w:szCs w:val="21"/>
              </w:rPr>
            </w:pPr>
            <w:r>
              <w:rPr>
                <w:rFonts w:hint="eastAsia" w:ascii="Times New Roman" w:cs="Times New Roman" w:hAnsiTheme="minorEastAsia" w:eastAsiaTheme="minorEastAsia"/>
                <w:color w:val="auto"/>
                <w:spacing w:val="-20"/>
                <w:kern w:val="0"/>
                <w:szCs w:val="21"/>
              </w:rPr>
              <w:t>起点～胜利路</w:t>
            </w:r>
          </w:p>
        </w:tc>
        <w:tc>
          <w:tcPr>
            <w:tcW w:w="1134" w:type="dxa"/>
            <w:vAlign w:val="center"/>
          </w:tcPr>
          <w:p w14:paraId="0B067D53">
            <w:pPr>
              <w:widowControl/>
              <w:jc w:val="center"/>
              <w:rPr>
                <w:rFonts w:ascii="Times New Roman" w:hAnsi="Times New Roman" w:cs="Times New Roman" w:eastAsiaTheme="minorEastAsia"/>
                <w:color w:val="auto"/>
                <w:spacing w:val="-20"/>
                <w:kern w:val="0"/>
                <w:szCs w:val="21"/>
              </w:rPr>
            </w:pPr>
            <w:r>
              <w:rPr>
                <w:rFonts w:ascii="Times New Roman" w:hAnsi="Times New Roman" w:cs="Times New Roman" w:eastAsiaTheme="minorEastAsia"/>
                <w:color w:val="auto"/>
                <w:spacing w:val="-20"/>
                <w:szCs w:val="21"/>
              </w:rPr>
              <w:t>K</w:t>
            </w:r>
            <w:r>
              <w:rPr>
                <w:rFonts w:hint="eastAsia" w:ascii="Times New Roman" w:hAnsi="Times New Roman" w:cs="Times New Roman" w:eastAsiaTheme="minorEastAsia"/>
                <w:color w:val="auto"/>
                <w:spacing w:val="-20"/>
                <w:szCs w:val="21"/>
              </w:rPr>
              <w:t>30</w:t>
            </w:r>
            <w:r>
              <w:rPr>
                <w:rFonts w:ascii="Times New Roman" w:hAnsi="Times New Roman" w:cs="Times New Roman" w:eastAsiaTheme="minorEastAsia"/>
                <w:color w:val="auto"/>
                <w:spacing w:val="-20"/>
                <w:szCs w:val="21"/>
              </w:rPr>
              <w:t>+</w:t>
            </w:r>
            <w:r>
              <w:rPr>
                <w:rFonts w:hint="eastAsia" w:ascii="Times New Roman" w:hAnsi="Times New Roman" w:cs="Times New Roman" w:eastAsiaTheme="minorEastAsia"/>
                <w:color w:val="auto"/>
                <w:spacing w:val="-20"/>
                <w:szCs w:val="21"/>
              </w:rPr>
              <w:t>0</w:t>
            </w:r>
            <w:r>
              <w:rPr>
                <w:rFonts w:ascii="Times New Roman" w:hAnsi="Times New Roman" w:cs="Times New Roman" w:eastAsiaTheme="minorEastAsia"/>
                <w:color w:val="auto"/>
                <w:spacing w:val="-20"/>
                <w:szCs w:val="21"/>
              </w:rPr>
              <w:t>00</w:t>
            </w:r>
            <w:r>
              <w:rPr>
                <w:rFonts w:ascii="Times New Roman" w:cs="Times New Roman" w:hAnsiTheme="minorEastAsia" w:eastAsiaTheme="minorEastAsia"/>
                <w:color w:val="auto"/>
                <w:spacing w:val="-20"/>
                <w:szCs w:val="21"/>
              </w:rPr>
              <w:t>～</w:t>
            </w:r>
            <w:r>
              <w:rPr>
                <w:rFonts w:ascii="Times New Roman" w:hAnsi="Times New Roman" w:cs="Times New Roman" w:eastAsiaTheme="minorEastAsia"/>
                <w:color w:val="auto"/>
                <w:spacing w:val="-20"/>
                <w:szCs w:val="21"/>
              </w:rPr>
              <w:t>K</w:t>
            </w:r>
            <w:r>
              <w:rPr>
                <w:rFonts w:hint="eastAsia" w:ascii="Times New Roman" w:hAnsi="Times New Roman" w:cs="Times New Roman" w:eastAsiaTheme="minorEastAsia"/>
                <w:color w:val="auto"/>
                <w:spacing w:val="-20"/>
                <w:szCs w:val="21"/>
              </w:rPr>
              <w:t>31</w:t>
            </w:r>
            <w:r>
              <w:rPr>
                <w:rFonts w:ascii="Times New Roman" w:hAnsi="Times New Roman" w:cs="Times New Roman" w:eastAsiaTheme="minorEastAsia"/>
                <w:color w:val="auto"/>
                <w:spacing w:val="-20"/>
                <w:szCs w:val="21"/>
              </w:rPr>
              <w:t>+</w:t>
            </w:r>
            <w:r>
              <w:rPr>
                <w:rFonts w:hint="eastAsia" w:ascii="Times New Roman" w:hAnsi="Times New Roman" w:cs="Times New Roman" w:eastAsiaTheme="minorEastAsia"/>
                <w:color w:val="auto"/>
                <w:spacing w:val="-20"/>
                <w:szCs w:val="21"/>
              </w:rPr>
              <w:t>3</w:t>
            </w:r>
            <w:r>
              <w:rPr>
                <w:rFonts w:ascii="Times New Roman" w:hAnsi="Times New Roman" w:cs="Times New Roman" w:eastAsiaTheme="minorEastAsia"/>
                <w:color w:val="auto"/>
                <w:spacing w:val="-20"/>
                <w:szCs w:val="21"/>
              </w:rPr>
              <w:t>00</w:t>
            </w:r>
          </w:p>
        </w:tc>
        <w:tc>
          <w:tcPr>
            <w:tcW w:w="851" w:type="dxa"/>
            <w:vAlign w:val="center"/>
          </w:tcPr>
          <w:p w14:paraId="0A40188C">
            <w:pPr>
              <w:widowControl/>
              <w:jc w:val="center"/>
              <w:rPr>
                <w:rFonts w:ascii="Times New Roman" w:hAnsi="Times New Roman" w:cs="Times New Roman" w:eastAsiaTheme="minorEastAsia"/>
                <w:color w:val="auto"/>
                <w:spacing w:val="-20"/>
                <w:kern w:val="0"/>
                <w:szCs w:val="21"/>
              </w:rPr>
            </w:pPr>
            <w:r>
              <w:rPr>
                <w:rFonts w:hint="eastAsia" w:ascii="Times New Roman" w:cs="Times New Roman" w:hAnsiTheme="minorEastAsia" w:eastAsiaTheme="minorEastAsia"/>
                <w:color w:val="auto"/>
                <w:spacing w:val="-20"/>
                <w:szCs w:val="21"/>
              </w:rPr>
              <w:t>帕合塔买里斯村</w:t>
            </w:r>
          </w:p>
        </w:tc>
        <w:tc>
          <w:tcPr>
            <w:tcW w:w="850" w:type="dxa"/>
            <w:vMerge w:val="restart"/>
            <w:vAlign w:val="center"/>
          </w:tcPr>
          <w:p w14:paraId="4F721A8B">
            <w:pPr>
              <w:jc w:val="center"/>
              <w:rPr>
                <w:rFonts w:ascii="Times New Roman" w:hAnsi="Times New Roman" w:cs="Times New Roman" w:eastAsiaTheme="minorEastAsia"/>
                <w:color w:val="auto"/>
                <w:spacing w:val="-20"/>
                <w:kern w:val="0"/>
                <w:szCs w:val="21"/>
              </w:rPr>
            </w:pPr>
            <w:r>
              <w:rPr>
                <w:rFonts w:hint="eastAsia" w:ascii="Times New Roman" w:cs="Times New Roman" w:hAnsiTheme="minorEastAsia" w:eastAsiaTheme="minorEastAsia"/>
                <w:color w:val="auto"/>
                <w:spacing w:val="-20"/>
                <w:szCs w:val="21"/>
              </w:rPr>
              <w:t>伽师县</w:t>
            </w:r>
          </w:p>
        </w:tc>
        <w:tc>
          <w:tcPr>
            <w:tcW w:w="661" w:type="dxa"/>
            <w:vAlign w:val="center"/>
          </w:tcPr>
          <w:p w14:paraId="6F82D607">
            <w:pPr>
              <w:widowControl/>
              <w:jc w:val="center"/>
              <w:rPr>
                <w:rFonts w:ascii="Times New Roman" w:hAnsi="Times New Roman" w:cs="Times New Roman" w:eastAsiaTheme="minorEastAsia"/>
                <w:color w:val="auto"/>
                <w:spacing w:val="-20"/>
                <w:kern w:val="0"/>
                <w:szCs w:val="21"/>
              </w:rPr>
            </w:pPr>
            <w:r>
              <w:rPr>
                <w:rFonts w:hint="eastAsia" w:ascii="Times New Roman" w:cs="Times New Roman" w:hAnsiTheme="minorEastAsia" w:eastAsiaTheme="minorEastAsia"/>
                <w:color w:val="auto"/>
                <w:spacing w:val="-20"/>
                <w:szCs w:val="21"/>
              </w:rPr>
              <w:t>两侧</w:t>
            </w:r>
          </w:p>
        </w:tc>
        <w:tc>
          <w:tcPr>
            <w:tcW w:w="662" w:type="dxa"/>
            <w:vAlign w:val="center"/>
          </w:tcPr>
          <w:p w14:paraId="56EAF337">
            <w:pPr>
              <w:widowControl/>
              <w:jc w:val="center"/>
              <w:rPr>
                <w:rFonts w:ascii="Times New Roman" w:cs="Times New Roman" w:hAnsiTheme="minorEastAsia" w:eastAsiaTheme="minorEastAsia"/>
                <w:color w:val="auto"/>
                <w:spacing w:val="-20"/>
                <w:szCs w:val="21"/>
              </w:rPr>
            </w:pPr>
            <w:r>
              <w:rPr>
                <w:rFonts w:hint="eastAsia" w:ascii="Times New Roman" w:cs="Times New Roman" w:hAnsiTheme="minorEastAsia" w:eastAsiaTheme="minorEastAsia"/>
                <w:color w:val="auto"/>
                <w:spacing w:val="-20"/>
                <w:szCs w:val="21"/>
              </w:rPr>
              <w:t>15</w:t>
            </w:r>
          </w:p>
        </w:tc>
        <w:tc>
          <w:tcPr>
            <w:tcW w:w="662" w:type="dxa"/>
            <w:vAlign w:val="center"/>
          </w:tcPr>
          <w:p w14:paraId="5C5F2A4B">
            <w:pPr>
              <w:widowControl/>
              <w:jc w:val="center"/>
              <w:rPr>
                <w:rFonts w:ascii="Times New Roman" w:cs="Times New Roman" w:hAnsiTheme="minorEastAsia" w:eastAsiaTheme="minorEastAsia"/>
                <w:color w:val="auto"/>
                <w:spacing w:val="-20"/>
                <w:szCs w:val="21"/>
              </w:rPr>
            </w:pPr>
            <w:r>
              <w:rPr>
                <w:rFonts w:hint="eastAsia" w:ascii="Times New Roman" w:cs="Times New Roman" w:hAnsiTheme="minorEastAsia" w:eastAsiaTheme="minorEastAsia"/>
                <w:color w:val="auto"/>
                <w:spacing w:val="-20"/>
                <w:szCs w:val="21"/>
              </w:rPr>
              <w:t>3</w:t>
            </w:r>
          </w:p>
        </w:tc>
        <w:tc>
          <w:tcPr>
            <w:tcW w:w="567" w:type="dxa"/>
            <w:vAlign w:val="center"/>
          </w:tcPr>
          <w:p w14:paraId="56A1D10D">
            <w:pPr>
              <w:widowControl/>
              <w:jc w:val="center"/>
              <w:rPr>
                <w:rFonts w:ascii="Times New Roman" w:hAnsi="Times New Roman" w:cs="Times New Roman" w:eastAsiaTheme="minorEastAsia"/>
                <w:color w:val="auto"/>
                <w:spacing w:val="-20"/>
                <w:kern w:val="0"/>
                <w:szCs w:val="21"/>
              </w:rPr>
            </w:pPr>
            <w:r>
              <w:rPr>
                <w:rFonts w:hint="eastAsia" w:ascii="Times New Roman" w:cs="Times New Roman" w:hAnsiTheme="minorEastAsia" w:eastAsiaTheme="minorEastAsia"/>
                <w:color w:val="auto"/>
                <w:spacing w:val="-20"/>
                <w:szCs w:val="21"/>
              </w:rPr>
              <w:t>两侧</w:t>
            </w:r>
          </w:p>
        </w:tc>
        <w:tc>
          <w:tcPr>
            <w:tcW w:w="708" w:type="dxa"/>
            <w:vAlign w:val="center"/>
          </w:tcPr>
          <w:p w14:paraId="0270570D">
            <w:pPr>
              <w:widowControl/>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szCs w:val="21"/>
              </w:rPr>
              <w:t>26</w:t>
            </w:r>
          </w:p>
        </w:tc>
        <w:tc>
          <w:tcPr>
            <w:tcW w:w="709" w:type="dxa"/>
            <w:vAlign w:val="center"/>
          </w:tcPr>
          <w:p w14:paraId="68E152B6">
            <w:pPr>
              <w:widowControl/>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7</w:t>
            </w:r>
          </w:p>
        </w:tc>
        <w:tc>
          <w:tcPr>
            <w:tcW w:w="992" w:type="dxa"/>
            <w:vAlign w:val="center"/>
          </w:tcPr>
          <w:p w14:paraId="67FA55D8">
            <w:pPr>
              <w:widowControl/>
              <w:jc w:val="center"/>
              <w:rPr>
                <w:rFonts w:ascii="Times New Roman" w:hAnsi="Times New Roman" w:cs="Times New Roman" w:eastAsiaTheme="minorEastAsia"/>
                <w:color w:val="auto"/>
                <w:spacing w:val="-20"/>
                <w:kern w:val="0"/>
                <w:szCs w:val="21"/>
              </w:rPr>
            </w:pPr>
            <w:r>
              <w:rPr>
                <w:rFonts w:ascii="Times New Roman" w:hAnsi="Times New Roman" w:cs="Times New Roman" w:eastAsiaTheme="minorEastAsia"/>
                <w:color w:val="auto"/>
                <w:spacing w:val="-20"/>
                <w:kern w:val="0"/>
                <w:szCs w:val="21"/>
              </w:rPr>
              <w:t>0</w:t>
            </w:r>
          </w:p>
        </w:tc>
        <w:tc>
          <w:tcPr>
            <w:tcW w:w="993" w:type="dxa"/>
            <w:vAlign w:val="center"/>
          </w:tcPr>
          <w:p w14:paraId="2DBD613B">
            <w:pPr>
              <w:widowControl/>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2.0</w:t>
            </w:r>
          </w:p>
        </w:tc>
        <w:tc>
          <w:tcPr>
            <w:tcW w:w="567" w:type="dxa"/>
            <w:vAlign w:val="center"/>
          </w:tcPr>
          <w:p w14:paraId="57F5519C">
            <w:pPr>
              <w:widowControl/>
              <w:jc w:val="center"/>
              <w:rPr>
                <w:rFonts w:ascii="Times New Roman" w:hAnsi="Times New Roman" w:cs="Times New Roman" w:eastAsiaTheme="minorEastAsia"/>
                <w:color w:val="auto"/>
                <w:spacing w:val="-20"/>
                <w:kern w:val="0"/>
                <w:szCs w:val="21"/>
              </w:rPr>
            </w:pPr>
            <w:r>
              <w:rPr>
                <w:rFonts w:ascii="Times New Roman" w:cs="Times New Roman" w:hAnsiTheme="minorEastAsia" w:eastAsiaTheme="minorEastAsia"/>
                <w:color w:val="auto"/>
                <w:spacing w:val="-20"/>
                <w:kern w:val="0"/>
                <w:szCs w:val="21"/>
              </w:rPr>
              <w:t>路基</w:t>
            </w:r>
          </w:p>
        </w:tc>
        <w:tc>
          <w:tcPr>
            <w:tcW w:w="992" w:type="dxa"/>
            <w:vAlign w:val="center"/>
          </w:tcPr>
          <w:p w14:paraId="5277BE71">
            <w:pPr>
              <w:widowControl/>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54</w:t>
            </w:r>
          </w:p>
        </w:tc>
        <w:tc>
          <w:tcPr>
            <w:tcW w:w="709" w:type="dxa"/>
            <w:vAlign w:val="center"/>
          </w:tcPr>
          <w:p w14:paraId="2182474E">
            <w:pPr>
              <w:widowControl/>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60</w:t>
            </w:r>
          </w:p>
        </w:tc>
        <w:tc>
          <w:tcPr>
            <w:tcW w:w="708" w:type="dxa"/>
            <w:vAlign w:val="center"/>
          </w:tcPr>
          <w:p w14:paraId="562BBA43">
            <w:pPr>
              <w:widowControl/>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25</w:t>
            </w:r>
          </w:p>
        </w:tc>
        <w:tc>
          <w:tcPr>
            <w:tcW w:w="4417" w:type="dxa"/>
            <w:vAlign w:val="center"/>
          </w:tcPr>
          <w:p w14:paraId="16517E81">
            <w:pPr>
              <w:widowControl/>
              <w:rPr>
                <w:rFonts w:ascii="Times New Roman" w:hAnsi="Times New Roman" w:cs="Times New Roman" w:eastAsiaTheme="minorEastAsia"/>
                <w:color w:val="auto"/>
                <w:kern w:val="0"/>
                <w:sz w:val="21"/>
                <w:szCs w:val="21"/>
              </w:rPr>
            </w:pPr>
            <w:r>
              <w:rPr>
                <w:rFonts w:ascii="Times New Roman" w:cs="Times New Roman" w:hAnsiTheme="minorEastAsia" w:eastAsiaTheme="minorEastAsia"/>
                <w:color w:val="auto"/>
                <w:kern w:val="0"/>
                <w:sz w:val="21"/>
                <w:szCs w:val="21"/>
              </w:rPr>
              <w:t>路线以填方路基形式经过村庄。评价范围内现有居民</w:t>
            </w:r>
            <w:r>
              <w:rPr>
                <w:rFonts w:hint="eastAsia" w:ascii="Times New Roman" w:hAnsi="Times New Roman" w:cs="Times New Roman" w:eastAsiaTheme="minorEastAsia"/>
                <w:color w:val="auto"/>
                <w:kern w:val="0"/>
                <w:sz w:val="21"/>
                <w:szCs w:val="21"/>
              </w:rPr>
              <w:t>85</w:t>
            </w:r>
            <w:r>
              <w:rPr>
                <w:rFonts w:ascii="Times New Roman" w:cs="Times New Roman" w:hAnsiTheme="minorEastAsia" w:eastAsiaTheme="minorEastAsia"/>
                <w:color w:val="auto"/>
                <w:kern w:val="0"/>
                <w:sz w:val="21"/>
                <w:szCs w:val="21"/>
              </w:rPr>
              <w:t>户，首排</w:t>
            </w:r>
            <w:r>
              <w:rPr>
                <w:rFonts w:hint="eastAsia" w:ascii="Times New Roman" w:hAnsi="Times New Roman" w:cs="Times New Roman" w:eastAsiaTheme="minorEastAsia"/>
                <w:color w:val="auto"/>
                <w:kern w:val="0"/>
                <w:sz w:val="21"/>
                <w:szCs w:val="21"/>
              </w:rPr>
              <w:t>50</w:t>
            </w:r>
            <w:r>
              <w:rPr>
                <w:rFonts w:ascii="Times New Roman" w:cs="Times New Roman" w:hAnsiTheme="minorEastAsia" w:eastAsiaTheme="minorEastAsia"/>
                <w:color w:val="auto"/>
                <w:kern w:val="0"/>
                <w:sz w:val="21"/>
                <w:szCs w:val="21"/>
              </w:rPr>
              <w:t>户，</w:t>
            </w:r>
            <w:r>
              <w:rPr>
                <w:rFonts w:hint="eastAsia" w:ascii="Times New Roman" w:cs="Times New Roman" w:hAnsiTheme="minorEastAsia" w:eastAsiaTheme="minorEastAsia"/>
                <w:color w:val="auto"/>
                <w:kern w:val="0"/>
                <w:sz w:val="21"/>
                <w:szCs w:val="21"/>
              </w:rPr>
              <w:t>主要</w:t>
            </w:r>
            <w:r>
              <w:rPr>
                <w:rFonts w:ascii="Times New Roman" w:cs="Times New Roman" w:hAnsiTheme="minorEastAsia" w:eastAsiaTheme="minorEastAsia"/>
                <w:color w:val="auto"/>
                <w:kern w:val="0"/>
                <w:sz w:val="21"/>
                <w:szCs w:val="21"/>
              </w:rPr>
              <w:t>为</w:t>
            </w:r>
            <w:r>
              <w:rPr>
                <w:rFonts w:ascii="Times New Roman" w:hAnsi="Times New Roman" w:cs="Times New Roman" w:eastAsiaTheme="minorEastAsia"/>
                <w:color w:val="auto"/>
                <w:kern w:val="0"/>
                <w:sz w:val="21"/>
                <w:szCs w:val="21"/>
              </w:rPr>
              <w:t>1</w:t>
            </w:r>
            <w:r>
              <w:rPr>
                <w:rFonts w:ascii="Times New Roman" w:cs="Times New Roman" w:hAnsiTheme="minorEastAsia" w:eastAsiaTheme="minorEastAsia"/>
                <w:color w:val="auto"/>
                <w:kern w:val="0"/>
                <w:sz w:val="21"/>
                <w:szCs w:val="21"/>
              </w:rPr>
              <w:t>层砖混房，房屋正侧向拟建公路。</w:t>
            </w:r>
            <w:r>
              <w:rPr>
                <w:rFonts w:ascii="Times New Roman" w:hAnsi="Times New Roman" w:eastAsia="宋体" w:cs="Times New Roman"/>
                <w:color w:val="auto"/>
                <w:kern w:val="0"/>
                <w:sz w:val="21"/>
                <w:szCs w:val="21"/>
              </w:rPr>
              <w:t>该路段利用现有</w:t>
            </w:r>
            <w:r>
              <w:rPr>
                <w:rFonts w:hint="eastAsia" w:ascii="Times New Roman" w:hAnsi="Times New Roman" w:eastAsia="宋体" w:cs="Times New Roman"/>
                <w:color w:val="auto"/>
                <w:kern w:val="0"/>
                <w:sz w:val="21"/>
                <w:szCs w:val="21"/>
              </w:rPr>
              <w:t>老路</w:t>
            </w:r>
            <w:r>
              <w:rPr>
                <w:rFonts w:hint="eastAsia" w:ascii="宋体" w:hAnsi="宋体" w:eastAsia="宋体" w:cs="宋体"/>
                <w:color w:val="auto"/>
                <w:sz w:val="21"/>
                <w:szCs w:val="21"/>
              </w:rPr>
              <w:t>渐变拼宽</w:t>
            </w:r>
            <w:r>
              <w:rPr>
                <w:rFonts w:ascii="Times New Roman" w:hAnsi="Times New Roman" w:eastAsia="宋体" w:cs="Times New Roman"/>
                <w:color w:val="auto"/>
                <w:kern w:val="0"/>
                <w:sz w:val="21"/>
                <w:szCs w:val="21"/>
              </w:rPr>
              <w:t>，有平交</w:t>
            </w:r>
            <w:r>
              <w:rPr>
                <w:rFonts w:hint="eastAsia" w:ascii="Times New Roman" w:hAnsi="Times New Roman" w:eastAsia="宋体" w:cs="Times New Roman"/>
                <w:color w:val="auto"/>
                <w:kern w:val="0"/>
                <w:sz w:val="21"/>
                <w:szCs w:val="21"/>
              </w:rPr>
              <w:t>路口</w:t>
            </w:r>
            <w:r>
              <w:rPr>
                <w:rFonts w:ascii="Times New Roman" w:hAnsi="Times New Roman" w:eastAsia="宋体" w:cs="Times New Roman"/>
                <w:color w:val="auto"/>
                <w:kern w:val="0"/>
                <w:sz w:val="21"/>
                <w:szCs w:val="21"/>
              </w:rPr>
              <w:t>，</w:t>
            </w:r>
            <w:r>
              <w:rPr>
                <w:rFonts w:ascii="Times New Roman" w:cs="Times New Roman" w:hAnsiTheme="minorEastAsia" w:eastAsiaTheme="minorEastAsia"/>
                <w:color w:val="auto"/>
                <w:kern w:val="0"/>
                <w:sz w:val="21"/>
                <w:szCs w:val="21"/>
              </w:rPr>
              <w:t>主要噪声源为现有</w:t>
            </w:r>
            <w:r>
              <w:rPr>
                <w:rFonts w:hint="eastAsia" w:ascii="Times New Roman" w:hAnsi="Times New Roman" w:cs="Times New Roman" w:eastAsiaTheme="minorEastAsia"/>
                <w:color w:val="auto"/>
                <w:kern w:val="0"/>
                <w:sz w:val="21"/>
                <w:szCs w:val="21"/>
              </w:rPr>
              <w:t>G219</w:t>
            </w:r>
            <w:r>
              <w:rPr>
                <w:rFonts w:ascii="Times New Roman" w:cs="Times New Roman" w:hAnsiTheme="minorEastAsia" w:eastAsiaTheme="minorEastAsia"/>
                <w:color w:val="auto"/>
                <w:kern w:val="0"/>
                <w:sz w:val="21"/>
                <w:szCs w:val="21"/>
              </w:rPr>
              <w:t>交通噪声和社会生活噪声。</w:t>
            </w:r>
          </w:p>
        </w:tc>
        <w:tc>
          <w:tcPr>
            <w:tcW w:w="2898" w:type="dxa"/>
            <w:vAlign w:val="center"/>
          </w:tcPr>
          <w:p w14:paraId="00AE262B">
            <w:pPr>
              <w:widowControl/>
              <w:adjustRightInd w:val="0"/>
              <w:snapToGrid w:val="0"/>
              <w:jc w:val="center"/>
              <w:rPr>
                <w:rFonts w:ascii="Times New Roman" w:hAnsi="Times New Roman" w:cs="Times New Roman" w:eastAsiaTheme="minorEastAsia"/>
                <w:snapToGrid w:val="0"/>
                <w:color w:val="auto"/>
                <w:spacing w:val="-20"/>
                <w:kern w:val="0"/>
                <w:szCs w:val="21"/>
              </w:rPr>
            </w:pPr>
            <w:r>
              <w:rPr>
                <w:rFonts w:ascii="Times New Roman" w:hAnsi="Times New Roman" w:cs="Times New Roman" w:eastAsiaTheme="minorEastAsia"/>
                <w:color w:val="auto"/>
                <w:spacing w:val="-20"/>
                <w:kern w:val="0"/>
                <w:szCs w:val="21"/>
              </w:rPr>
              <w:drawing>
                <wp:inline distT="0" distB="0" distL="0" distR="0">
                  <wp:extent cx="1729105" cy="1295400"/>
                  <wp:effectExtent l="0" t="0" r="4445" b="0"/>
                  <wp:docPr id="46" name="图片 15" descr="E:\咨询项目\环评\新疆-G219线八盘水磨至伽师公路\外业踏勘记录及照片\DSC09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15" descr="E:\咨询项目\环评\新疆-G219线八盘水磨至伽师公路\外业踏勘记录及照片\DSC09022.JPG"/>
                          <pic:cNvPicPr>
                            <a:picLocks noChangeAspect="1" noChangeArrowheads="1"/>
                          </pic:cNvPicPr>
                        </pic:nvPicPr>
                        <pic:blipFill>
                          <a:blip r:embed="rId170" cstate="print"/>
                          <a:srcRect/>
                          <a:stretch>
                            <a:fillRect/>
                          </a:stretch>
                        </pic:blipFill>
                        <pic:spPr>
                          <a:xfrm>
                            <a:off x="0" y="0"/>
                            <a:ext cx="1729728" cy="1296000"/>
                          </a:xfrm>
                          <a:prstGeom prst="rect">
                            <a:avLst/>
                          </a:prstGeom>
                          <a:noFill/>
                          <a:ln w="9525">
                            <a:noFill/>
                            <a:miter lim="800000"/>
                            <a:headEnd/>
                            <a:tailEnd/>
                          </a:ln>
                        </pic:spPr>
                      </pic:pic>
                    </a:graphicData>
                  </a:graphic>
                </wp:inline>
              </w:drawing>
            </w:r>
          </w:p>
        </w:tc>
      </w:tr>
      <w:bookmarkEnd w:id="122"/>
      <w:tr w14:paraId="728E8BDC">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1953" w:hRule="atLeast"/>
          <w:tblHeader/>
          <w:jc w:val="center"/>
        </w:trPr>
        <w:tc>
          <w:tcPr>
            <w:tcW w:w="568" w:type="dxa"/>
            <w:noWrap/>
            <w:vAlign w:val="center"/>
          </w:tcPr>
          <w:p w14:paraId="73F6F520">
            <w:pPr>
              <w:widowControl/>
              <w:jc w:val="center"/>
              <w:rPr>
                <w:rFonts w:ascii="Times New Roman" w:hAnsi="Times New Roman" w:cs="Times New Roman" w:eastAsiaTheme="minorEastAsia"/>
                <w:color w:val="auto"/>
                <w:spacing w:val="-20"/>
                <w:kern w:val="0"/>
                <w:szCs w:val="21"/>
              </w:rPr>
            </w:pPr>
            <w:r>
              <w:rPr>
                <w:rFonts w:ascii="Times New Roman" w:hAnsi="Times New Roman" w:cs="Times New Roman" w:eastAsiaTheme="minorEastAsia"/>
                <w:color w:val="auto"/>
                <w:spacing w:val="-20"/>
                <w:kern w:val="0"/>
                <w:szCs w:val="21"/>
              </w:rPr>
              <w:t>1</w:t>
            </w:r>
            <w:r>
              <w:rPr>
                <w:rFonts w:hint="eastAsia" w:ascii="Times New Roman" w:hAnsi="Times New Roman" w:cs="Times New Roman" w:eastAsiaTheme="minorEastAsia"/>
                <w:color w:val="auto"/>
                <w:spacing w:val="-20"/>
                <w:kern w:val="0"/>
                <w:szCs w:val="21"/>
              </w:rPr>
              <w:t>6</w:t>
            </w:r>
          </w:p>
        </w:tc>
        <w:tc>
          <w:tcPr>
            <w:tcW w:w="694" w:type="dxa"/>
            <w:vMerge w:val="restart"/>
            <w:vAlign w:val="center"/>
          </w:tcPr>
          <w:p w14:paraId="693F82B7">
            <w:pPr>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胜利路～S311</w:t>
            </w:r>
          </w:p>
        </w:tc>
        <w:tc>
          <w:tcPr>
            <w:tcW w:w="1134" w:type="dxa"/>
            <w:vAlign w:val="center"/>
          </w:tcPr>
          <w:p w14:paraId="4B5FD75E">
            <w:pPr>
              <w:widowControl/>
              <w:jc w:val="center"/>
              <w:rPr>
                <w:rFonts w:ascii="Times New Roman" w:hAnsi="Times New Roman" w:cs="Times New Roman" w:eastAsiaTheme="minorEastAsia"/>
                <w:color w:val="auto"/>
                <w:spacing w:val="-20"/>
                <w:kern w:val="0"/>
                <w:szCs w:val="21"/>
              </w:rPr>
            </w:pPr>
            <w:r>
              <w:rPr>
                <w:rFonts w:ascii="Times New Roman" w:hAnsi="Times New Roman" w:cs="Times New Roman" w:eastAsiaTheme="minorEastAsia"/>
                <w:color w:val="auto"/>
                <w:spacing w:val="-20"/>
                <w:szCs w:val="21"/>
              </w:rPr>
              <w:t>K</w:t>
            </w:r>
            <w:r>
              <w:rPr>
                <w:rFonts w:hint="eastAsia" w:ascii="Times New Roman" w:hAnsi="Times New Roman" w:cs="Times New Roman" w:eastAsiaTheme="minorEastAsia"/>
                <w:color w:val="auto"/>
                <w:spacing w:val="-20"/>
                <w:szCs w:val="21"/>
              </w:rPr>
              <w:t>36</w:t>
            </w:r>
            <w:r>
              <w:rPr>
                <w:rFonts w:ascii="Times New Roman" w:hAnsi="Times New Roman" w:cs="Times New Roman" w:eastAsiaTheme="minorEastAsia"/>
                <w:color w:val="auto"/>
                <w:spacing w:val="-20"/>
                <w:szCs w:val="21"/>
              </w:rPr>
              <w:t>+</w:t>
            </w:r>
            <w:r>
              <w:rPr>
                <w:rFonts w:hint="eastAsia" w:ascii="Times New Roman" w:hAnsi="Times New Roman" w:cs="Times New Roman" w:eastAsiaTheme="minorEastAsia"/>
                <w:color w:val="auto"/>
                <w:spacing w:val="-20"/>
                <w:szCs w:val="21"/>
              </w:rPr>
              <w:t>35</w:t>
            </w:r>
            <w:r>
              <w:rPr>
                <w:rFonts w:ascii="Times New Roman" w:hAnsi="Times New Roman" w:cs="Times New Roman" w:eastAsiaTheme="minorEastAsia"/>
                <w:color w:val="auto"/>
                <w:spacing w:val="-20"/>
                <w:szCs w:val="21"/>
              </w:rPr>
              <w:t>0</w:t>
            </w:r>
            <w:r>
              <w:rPr>
                <w:rFonts w:ascii="Times New Roman" w:cs="Times New Roman" w:hAnsiTheme="minorEastAsia" w:eastAsiaTheme="minorEastAsia"/>
                <w:color w:val="auto"/>
                <w:spacing w:val="-20"/>
                <w:szCs w:val="21"/>
              </w:rPr>
              <w:t>～</w:t>
            </w:r>
            <w:r>
              <w:rPr>
                <w:rFonts w:ascii="Times New Roman" w:hAnsi="Times New Roman" w:cs="Times New Roman" w:eastAsiaTheme="minorEastAsia"/>
                <w:color w:val="auto"/>
                <w:spacing w:val="-20"/>
                <w:szCs w:val="21"/>
              </w:rPr>
              <w:t>K</w:t>
            </w:r>
            <w:r>
              <w:rPr>
                <w:rFonts w:hint="eastAsia" w:ascii="Times New Roman" w:hAnsi="Times New Roman" w:cs="Times New Roman" w:eastAsiaTheme="minorEastAsia"/>
                <w:color w:val="auto"/>
                <w:spacing w:val="-20"/>
                <w:szCs w:val="21"/>
              </w:rPr>
              <w:t>36</w:t>
            </w:r>
            <w:r>
              <w:rPr>
                <w:rFonts w:ascii="Times New Roman" w:hAnsi="Times New Roman" w:cs="Times New Roman" w:eastAsiaTheme="minorEastAsia"/>
                <w:color w:val="auto"/>
                <w:spacing w:val="-20"/>
                <w:szCs w:val="21"/>
              </w:rPr>
              <w:t>+</w:t>
            </w:r>
            <w:r>
              <w:rPr>
                <w:rFonts w:hint="eastAsia" w:ascii="Times New Roman" w:hAnsi="Times New Roman" w:cs="Times New Roman" w:eastAsiaTheme="minorEastAsia"/>
                <w:color w:val="auto"/>
                <w:spacing w:val="-20"/>
                <w:szCs w:val="21"/>
              </w:rPr>
              <w:t>6</w:t>
            </w:r>
            <w:r>
              <w:rPr>
                <w:rFonts w:ascii="Times New Roman" w:hAnsi="Times New Roman" w:cs="Times New Roman" w:eastAsiaTheme="minorEastAsia"/>
                <w:color w:val="auto"/>
                <w:spacing w:val="-20"/>
                <w:szCs w:val="21"/>
              </w:rPr>
              <w:t>00</w:t>
            </w:r>
          </w:p>
        </w:tc>
        <w:tc>
          <w:tcPr>
            <w:tcW w:w="851" w:type="dxa"/>
            <w:vAlign w:val="center"/>
          </w:tcPr>
          <w:p w14:paraId="6B78DE58">
            <w:pPr>
              <w:widowControl/>
              <w:jc w:val="center"/>
              <w:rPr>
                <w:rFonts w:ascii="Times New Roman" w:hAnsi="Times New Roman" w:cs="Times New Roman" w:eastAsiaTheme="minorEastAsia"/>
                <w:color w:val="auto"/>
                <w:spacing w:val="-20"/>
                <w:kern w:val="0"/>
                <w:szCs w:val="21"/>
              </w:rPr>
            </w:pPr>
            <w:r>
              <w:rPr>
                <w:rFonts w:hint="eastAsia" w:ascii="Times New Roman" w:cs="Times New Roman" w:hAnsiTheme="minorEastAsia" w:eastAsiaTheme="minorEastAsia"/>
                <w:color w:val="auto"/>
                <w:spacing w:val="-20"/>
                <w:szCs w:val="21"/>
              </w:rPr>
              <w:t>兰干</w:t>
            </w:r>
          </w:p>
        </w:tc>
        <w:tc>
          <w:tcPr>
            <w:tcW w:w="850" w:type="dxa"/>
            <w:vMerge w:val="continue"/>
            <w:vAlign w:val="center"/>
          </w:tcPr>
          <w:p w14:paraId="2800B765">
            <w:pPr>
              <w:jc w:val="center"/>
              <w:rPr>
                <w:rFonts w:ascii="Times New Roman" w:hAnsi="Times New Roman" w:cs="Times New Roman" w:eastAsiaTheme="minorEastAsia"/>
                <w:color w:val="auto"/>
                <w:spacing w:val="-20"/>
                <w:kern w:val="0"/>
                <w:szCs w:val="21"/>
              </w:rPr>
            </w:pPr>
          </w:p>
        </w:tc>
        <w:tc>
          <w:tcPr>
            <w:tcW w:w="661" w:type="dxa"/>
            <w:vAlign w:val="center"/>
          </w:tcPr>
          <w:p w14:paraId="19C192E4">
            <w:pPr>
              <w:widowControl/>
              <w:jc w:val="center"/>
              <w:rPr>
                <w:rFonts w:ascii="Times New Roman" w:hAnsi="Times New Roman" w:cs="Times New Roman" w:eastAsiaTheme="minorEastAsia"/>
                <w:color w:val="auto"/>
                <w:spacing w:val="-20"/>
                <w:kern w:val="0"/>
                <w:szCs w:val="21"/>
              </w:rPr>
            </w:pPr>
            <w:r>
              <w:rPr>
                <w:rFonts w:hint="eastAsia" w:ascii="Times New Roman" w:cs="Times New Roman" w:hAnsiTheme="minorEastAsia" w:eastAsiaTheme="minorEastAsia"/>
                <w:color w:val="auto"/>
                <w:spacing w:val="-20"/>
                <w:szCs w:val="21"/>
              </w:rPr>
              <w:t>路右</w:t>
            </w:r>
          </w:p>
        </w:tc>
        <w:tc>
          <w:tcPr>
            <w:tcW w:w="662" w:type="dxa"/>
            <w:vAlign w:val="center"/>
          </w:tcPr>
          <w:p w14:paraId="55F42D20">
            <w:pPr>
              <w:widowControl/>
              <w:jc w:val="center"/>
              <w:rPr>
                <w:rFonts w:ascii="Times New Roman" w:cs="Times New Roman" w:hAnsiTheme="minorEastAsia" w:eastAsiaTheme="minorEastAsia"/>
                <w:color w:val="auto"/>
                <w:spacing w:val="-20"/>
                <w:szCs w:val="21"/>
              </w:rPr>
            </w:pPr>
            <w:r>
              <w:rPr>
                <w:rFonts w:hint="eastAsia" w:ascii="Times New Roman" w:cs="Times New Roman" w:hAnsiTheme="minorEastAsia" w:eastAsiaTheme="minorEastAsia"/>
                <w:color w:val="auto"/>
                <w:spacing w:val="-20"/>
                <w:szCs w:val="21"/>
              </w:rPr>
              <w:t>17</w:t>
            </w:r>
          </w:p>
        </w:tc>
        <w:tc>
          <w:tcPr>
            <w:tcW w:w="662" w:type="dxa"/>
            <w:vAlign w:val="center"/>
          </w:tcPr>
          <w:p w14:paraId="4629A144">
            <w:pPr>
              <w:widowControl/>
              <w:jc w:val="center"/>
              <w:rPr>
                <w:rFonts w:ascii="Times New Roman" w:cs="Times New Roman" w:hAnsiTheme="minorEastAsia" w:eastAsiaTheme="minorEastAsia"/>
                <w:color w:val="auto"/>
                <w:spacing w:val="-20"/>
                <w:szCs w:val="21"/>
              </w:rPr>
            </w:pPr>
            <w:r>
              <w:rPr>
                <w:rFonts w:hint="eastAsia" w:ascii="Times New Roman" w:cs="Times New Roman" w:hAnsiTheme="minorEastAsia" w:eastAsiaTheme="minorEastAsia"/>
                <w:color w:val="auto"/>
                <w:spacing w:val="-20"/>
                <w:szCs w:val="21"/>
              </w:rPr>
              <w:t>5</w:t>
            </w:r>
          </w:p>
        </w:tc>
        <w:tc>
          <w:tcPr>
            <w:tcW w:w="567" w:type="dxa"/>
            <w:vAlign w:val="center"/>
          </w:tcPr>
          <w:p w14:paraId="1535C472">
            <w:pPr>
              <w:widowControl/>
              <w:jc w:val="center"/>
              <w:rPr>
                <w:rFonts w:ascii="Times New Roman" w:hAnsi="Times New Roman" w:cs="Times New Roman" w:eastAsiaTheme="minorEastAsia"/>
                <w:color w:val="auto"/>
                <w:spacing w:val="-20"/>
                <w:kern w:val="0"/>
                <w:szCs w:val="21"/>
              </w:rPr>
            </w:pPr>
            <w:r>
              <w:rPr>
                <w:rFonts w:hint="eastAsia" w:ascii="Times New Roman" w:cs="Times New Roman" w:hAnsiTheme="minorEastAsia" w:eastAsiaTheme="minorEastAsia"/>
                <w:color w:val="auto"/>
                <w:spacing w:val="-20"/>
                <w:szCs w:val="21"/>
              </w:rPr>
              <w:t>路右</w:t>
            </w:r>
          </w:p>
        </w:tc>
        <w:tc>
          <w:tcPr>
            <w:tcW w:w="708" w:type="dxa"/>
            <w:vAlign w:val="center"/>
          </w:tcPr>
          <w:p w14:paraId="65EEC210">
            <w:pPr>
              <w:widowControl/>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szCs w:val="21"/>
              </w:rPr>
              <w:t>23</w:t>
            </w:r>
          </w:p>
        </w:tc>
        <w:tc>
          <w:tcPr>
            <w:tcW w:w="709" w:type="dxa"/>
            <w:vAlign w:val="center"/>
          </w:tcPr>
          <w:p w14:paraId="0994A03F">
            <w:pPr>
              <w:widowControl/>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4</w:t>
            </w:r>
          </w:p>
        </w:tc>
        <w:tc>
          <w:tcPr>
            <w:tcW w:w="992" w:type="dxa"/>
            <w:vAlign w:val="center"/>
          </w:tcPr>
          <w:p w14:paraId="41F984F6">
            <w:pPr>
              <w:widowControl/>
              <w:jc w:val="center"/>
              <w:rPr>
                <w:rFonts w:ascii="Times New Roman" w:hAnsi="Times New Roman" w:cs="Times New Roman" w:eastAsiaTheme="minorEastAsia"/>
                <w:color w:val="auto"/>
                <w:spacing w:val="-20"/>
                <w:kern w:val="0"/>
                <w:szCs w:val="21"/>
              </w:rPr>
            </w:pPr>
            <w:r>
              <w:rPr>
                <w:rFonts w:ascii="Times New Roman" w:hAnsi="Times New Roman" w:cs="Times New Roman" w:eastAsiaTheme="minorEastAsia"/>
                <w:color w:val="auto"/>
                <w:spacing w:val="-20"/>
                <w:kern w:val="0"/>
                <w:szCs w:val="21"/>
              </w:rPr>
              <w:t>0</w:t>
            </w:r>
          </w:p>
        </w:tc>
        <w:tc>
          <w:tcPr>
            <w:tcW w:w="993" w:type="dxa"/>
            <w:vAlign w:val="center"/>
          </w:tcPr>
          <w:p w14:paraId="78ABCD9A">
            <w:pPr>
              <w:widowControl/>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2.0</w:t>
            </w:r>
          </w:p>
        </w:tc>
        <w:tc>
          <w:tcPr>
            <w:tcW w:w="567" w:type="dxa"/>
            <w:vAlign w:val="center"/>
          </w:tcPr>
          <w:p w14:paraId="7A32145C">
            <w:pPr>
              <w:widowControl/>
              <w:jc w:val="center"/>
              <w:rPr>
                <w:rFonts w:ascii="Times New Roman" w:hAnsi="Times New Roman" w:cs="Times New Roman" w:eastAsiaTheme="minorEastAsia"/>
                <w:color w:val="auto"/>
                <w:spacing w:val="-20"/>
                <w:kern w:val="0"/>
                <w:szCs w:val="21"/>
              </w:rPr>
            </w:pPr>
            <w:r>
              <w:rPr>
                <w:rFonts w:ascii="Times New Roman" w:cs="Times New Roman" w:hAnsiTheme="minorEastAsia" w:eastAsiaTheme="minorEastAsia"/>
                <w:color w:val="auto"/>
                <w:spacing w:val="-20"/>
                <w:kern w:val="0"/>
                <w:szCs w:val="21"/>
              </w:rPr>
              <w:t>路基</w:t>
            </w:r>
          </w:p>
        </w:tc>
        <w:tc>
          <w:tcPr>
            <w:tcW w:w="992" w:type="dxa"/>
            <w:vAlign w:val="center"/>
          </w:tcPr>
          <w:p w14:paraId="33C92CBD">
            <w:pPr>
              <w:widowControl/>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54</w:t>
            </w:r>
          </w:p>
        </w:tc>
        <w:tc>
          <w:tcPr>
            <w:tcW w:w="709" w:type="dxa"/>
            <w:vAlign w:val="center"/>
          </w:tcPr>
          <w:p w14:paraId="776B3533">
            <w:pPr>
              <w:widowControl/>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4</w:t>
            </w:r>
          </w:p>
        </w:tc>
        <w:tc>
          <w:tcPr>
            <w:tcW w:w="708" w:type="dxa"/>
            <w:vAlign w:val="center"/>
          </w:tcPr>
          <w:p w14:paraId="08D0756A">
            <w:pPr>
              <w:widowControl/>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17</w:t>
            </w:r>
          </w:p>
        </w:tc>
        <w:tc>
          <w:tcPr>
            <w:tcW w:w="4417" w:type="dxa"/>
            <w:vAlign w:val="center"/>
          </w:tcPr>
          <w:p w14:paraId="7EC775C4">
            <w:pPr>
              <w:widowControl/>
              <w:rPr>
                <w:rFonts w:ascii="Times New Roman" w:hAnsi="Times New Roman" w:cs="Times New Roman" w:eastAsiaTheme="minorEastAsia"/>
                <w:color w:val="auto"/>
                <w:kern w:val="0"/>
                <w:sz w:val="21"/>
                <w:szCs w:val="21"/>
              </w:rPr>
            </w:pPr>
            <w:r>
              <w:rPr>
                <w:rFonts w:ascii="Times New Roman" w:cs="Times New Roman" w:hAnsiTheme="minorEastAsia" w:eastAsiaTheme="minorEastAsia"/>
                <w:color w:val="auto"/>
                <w:kern w:val="0"/>
                <w:sz w:val="21"/>
                <w:szCs w:val="21"/>
              </w:rPr>
              <w:t>路线以填方路基形式经过村庄。评价范围内现有居民</w:t>
            </w:r>
            <w:r>
              <w:rPr>
                <w:rFonts w:hint="eastAsia" w:ascii="Times New Roman" w:hAnsi="Times New Roman" w:cs="Times New Roman" w:eastAsiaTheme="minorEastAsia"/>
                <w:color w:val="auto"/>
                <w:kern w:val="0"/>
                <w:sz w:val="21"/>
                <w:szCs w:val="21"/>
              </w:rPr>
              <w:t>21</w:t>
            </w:r>
            <w:r>
              <w:rPr>
                <w:rFonts w:ascii="Times New Roman" w:cs="Times New Roman" w:hAnsiTheme="minorEastAsia" w:eastAsiaTheme="minorEastAsia"/>
                <w:color w:val="auto"/>
                <w:kern w:val="0"/>
                <w:sz w:val="21"/>
                <w:szCs w:val="21"/>
              </w:rPr>
              <w:t>户，首排</w:t>
            </w:r>
            <w:r>
              <w:rPr>
                <w:rFonts w:hint="eastAsia" w:ascii="Times New Roman" w:hAnsi="Times New Roman" w:cs="Times New Roman" w:eastAsiaTheme="minorEastAsia"/>
                <w:color w:val="auto"/>
                <w:kern w:val="0"/>
                <w:sz w:val="21"/>
                <w:szCs w:val="21"/>
              </w:rPr>
              <w:t>2</w:t>
            </w:r>
            <w:r>
              <w:rPr>
                <w:rFonts w:ascii="Times New Roman" w:cs="Times New Roman" w:hAnsiTheme="minorEastAsia" w:eastAsiaTheme="minorEastAsia"/>
                <w:color w:val="auto"/>
                <w:kern w:val="0"/>
                <w:sz w:val="21"/>
                <w:szCs w:val="21"/>
              </w:rPr>
              <w:t>户，</w:t>
            </w:r>
            <w:r>
              <w:rPr>
                <w:rFonts w:hint="eastAsia" w:ascii="Times New Roman" w:cs="Times New Roman" w:hAnsiTheme="minorEastAsia" w:eastAsiaTheme="minorEastAsia"/>
                <w:color w:val="auto"/>
                <w:kern w:val="0"/>
                <w:sz w:val="21"/>
                <w:szCs w:val="21"/>
              </w:rPr>
              <w:t>主要</w:t>
            </w:r>
            <w:r>
              <w:rPr>
                <w:rFonts w:ascii="Times New Roman" w:cs="Times New Roman" w:hAnsiTheme="minorEastAsia" w:eastAsiaTheme="minorEastAsia"/>
                <w:color w:val="auto"/>
                <w:kern w:val="0"/>
                <w:sz w:val="21"/>
                <w:szCs w:val="21"/>
              </w:rPr>
              <w:t>为</w:t>
            </w:r>
            <w:r>
              <w:rPr>
                <w:rFonts w:ascii="Times New Roman" w:hAnsi="Times New Roman" w:cs="Times New Roman" w:eastAsiaTheme="minorEastAsia"/>
                <w:color w:val="auto"/>
                <w:kern w:val="0"/>
                <w:sz w:val="21"/>
                <w:szCs w:val="21"/>
              </w:rPr>
              <w:t>1</w:t>
            </w:r>
            <w:r>
              <w:rPr>
                <w:rFonts w:ascii="Times New Roman" w:cs="Times New Roman" w:hAnsiTheme="minorEastAsia" w:eastAsiaTheme="minorEastAsia"/>
                <w:color w:val="auto"/>
                <w:kern w:val="0"/>
                <w:sz w:val="21"/>
                <w:szCs w:val="21"/>
              </w:rPr>
              <w:t>层砖混房，房屋正侧向拟建公路。</w:t>
            </w:r>
            <w:r>
              <w:rPr>
                <w:rFonts w:ascii="Times New Roman" w:hAnsi="Times New Roman" w:eastAsia="宋体" w:cs="Times New Roman"/>
                <w:color w:val="auto"/>
                <w:kern w:val="0"/>
                <w:sz w:val="21"/>
                <w:szCs w:val="21"/>
              </w:rPr>
              <w:t>该路段利用现有</w:t>
            </w:r>
            <w:r>
              <w:rPr>
                <w:rFonts w:hint="eastAsia" w:ascii="Times New Roman" w:hAnsi="Times New Roman" w:eastAsia="宋体" w:cs="Times New Roman"/>
                <w:color w:val="auto"/>
                <w:kern w:val="0"/>
                <w:sz w:val="21"/>
                <w:szCs w:val="21"/>
              </w:rPr>
              <w:t>老路双侧加宽</w:t>
            </w:r>
            <w:r>
              <w:rPr>
                <w:rFonts w:ascii="Times New Roman" w:hAnsi="Times New Roman" w:eastAsia="宋体" w:cs="Times New Roman"/>
                <w:color w:val="auto"/>
                <w:kern w:val="0"/>
                <w:sz w:val="21"/>
                <w:szCs w:val="21"/>
              </w:rPr>
              <w:t>，有平交</w:t>
            </w:r>
            <w:r>
              <w:rPr>
                <w:rFonts w:hint="eastAsia" w:ascii="Times New Roman" w:hAnsi="Times New Roman" w:eastAsia="宋体" w:cs="Times New Roman"/>
                <w:color w:val="auto"/>
                <w:kern w:val="0"/>
                <w:sz w:val="21"/>
                <w:szCs w:val="21"/>
              </w:rPr>
              <w:t>路口</w:t>
            </w:r>
            <w:r>
              <w:rPr>
                <w:rFonts w:ascii="Times New Roman" w:hAnsi="Times New Roman" w:eastAsia="宋体" w:cs="Times New Roman"/>
                <w:color w:val="auto"/>
                <w:kern w:val="0"/>
                <w:sz w:val="21"/>
                <w:szCs w:val="21"/>
              </w:rPr>
              <w:t>，</w:t>
            </w:r>
            <w:r>
              <w:rPr>
                <w:rFonts w:ascii="Times New Roman" w:cs="Times New Roman" w:hAnsiTheme="minorEastAsia" w:eastAsiaTheme="minorEastAsia"/>
                <w:color w:val="auto"/>
                <w:kern w:val="0"/>
                <w:sz w:val="21"/>
                <w:szCs w:val="21"/>
              </w:rPr>
              <w:t>主要噪声源为现有</w:t>
            </w:r>
            <w:r>
              <w:rPr>
                <w:rFonts w:hint="eastAsia" w:ascii="Times New Roman" w:hAnsi="Times New Roman" w:cs="Times New Roman" w:eastAsiaTheme="minorEastAsia"/>
                <w:color w:val="auto"/>
                <w:kern w:val="0"/>
                <w:sz w:val="21"/>
                <w:szCs w:val="21"/>
              </w:rPr>
              <w:t>G219</w:t>
            </w:r>
            <w:r>
              <w:rPr>
                <w:rFonts w:ascii="Times New Roman" w:cs="Times New Roman" w:hAnsiTheme="minorEastAsia" w:eastAsiaTheme="minorEastAsia"/>
                <w:color w:val="auto"/>
                <w:kern w:val="0"/>
                <w:sz w:val="21"/>
                <w:szCs w:val="21"/>
              </w:rPr>
              <w:t>交通噪声和社会生活噪声。</w:t>
            </w:r>
          </w:p>
        </w:tc>
        <w:tc>
          <w:tcPr>
            <w:tcW w:w="2898" w:type="dxa"/>
            <w:vAlign w:val="center"/>
          </w:tcPr>
          <w:p w14:paraId="7D0ABD0C">
            <w:pPr>
              <w:widowControl/>
              <w:adjustRightInd w:val="0"/>
              <w:snapToGrid w:val="0"/>
              <w:jc w:val="center"/>
              <w:rPr>
                <w:rFonts w:ascii="Times New Roman" w:hAnsi="Times New Roman" w:cs="Times New Roman" w:eastAsiaTheme="minorEastAsia"/>
                <w:snapToGrid w:val="0"/>
                <w:color w:val="auto"/>
                <w:spacing w:val="-20"/>
                <w:kern w:val="0"/>
                <w:szCs w:val="21"/>
              </w:rPr>
            </w:pPr>
            <w:r>
              <w:rPr>
                <w:rFonts w:ascii="Times New Roman" w:hAnsi="Times New Roman" w:cs="Times New Roman" w:eastAsiaTheme="minorEastAsia"/>
                <w:color w:val="auto"/>
                <w:spacing w:val="-20"/>
                <w:kern w:val="0"/>
                <w:szCs w:val="21"/>
              </w:rPr>
              <w:drawing>
                <wp:inline distT="0" distB="0" distL="0" distR="0">
                  <wp:extent cx="1729105" cy="1295400"/>
                  <wp:effectExtent l="0" t="0" r="4445" b="0"/>
                  <wp:docPr id="48" name="图片 17" descr="E:\咨询项目\环评\新疆-G219线八盘水磨至伽师公路\外业踏勘记录及照片\DSC09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17" descr="E:\咨询项目\环评\新疆-G219线八盘水磨至伽师公路\外业踏勘记录及照片\DSC09012.JPG"/>
                          <pic:cNvPicPr>
                            <a:picLocks noChangeAspect="1" noChangeArrowheads="1"/>
                          </pic:cNvPicPr>
                        </pic:nvPicPr>
                        <pic:blipFill>
                          <a:blip r:embed="rId171" cstate="print"/>
                          <a:srcRect/>
                          <a:stretch>
                            <a:fillRect/>
                          </a:stretch>
                        </pic:blipFill>
                        <pic:spPr>
                          <a:xfrm>
                            <a:off x="0" y="0"/>
                            <a:ext cx="1729728" cy="1296000"/>
                          </a:xfrm>
                          <a:prstGeom prst="rect">
                            <a:avLst/>
                          </a:prstGeom>
                          <a:noFill/>
                          <a:ln w="9525">
                            <a:noFill/>
                            <a:miter lim="800000"/>
                            <a:headEnd/>
                            <a:tailEnd/>
                          </a:ln>
                        </pic:spPr>
                      </pic:pic>
                    </a:graphicData>
                  </a:graphic>
                </wp:inline>
              </w:drawing>
            </w:r>
          </w:p>
        </w:tc>
      </w:tr>
      <w:tr w14:paraId="76A4A60E">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1127" w:hRule="atLeast"/>
          <w:tblHeader/>
          <w:jc w:val="center"/>
        </w:trPr>
        <w:tc>
          <w:tcPr>
            <w:tcW w:w="568" w:type="dxa"/>
            <w:noWrap/>
            <w:vAlign w:val="center"/>
          </w:tcPr>
          <w:p w14:paraId="5BEE7780">
            <w:pPr>
              <w:widowControl/>
              <w:jc w:val="center"/>
              <w:rPr>
                <w:rFonts w:ascii="Times New Roman" w:hAnsi="Times New Roman" w:cs="Times New Roman" w:eastAsiaTheme="minorEastAsia"/>
                <w:color w:val="auto"/>
                <w:spacing w:val="-20"/>
                <w:kern w:val="0"/>
                <w:szCs w:val="21"/>
              </w:rPr>
            </w:pPr>
            <w:r>
              <w:rPr>
                <w:rFonts w:ascii="Times New Roman" w:hAnsi="Times New Roman" w:cs="Times New Roman" w:eastAsiaTheme="minorEastAsia"/>
                <w:color w:val="auto"/>
                <w:spacing w:val="-20"/>
                <w:kern w:val="0"/>
                <w:szCs w:val="21"/>
              </w:rPr>
              <w:t>1</w:t>
            </w:r>
            <w:r>
              <w:rPr>
                <w:rFonts w:hint="eastAsia" w:ascii="Times New Roman" w:hAnsi="Times New Roman" w:cs="Times New Roman" w:eastAsiaTheme="minorEastAsia"/>
                <w:color w:val="auto"/>
                <w:spacing w:val="-20"/>
                <w:kern w:val="0"/>
                <w:szCs w:val="21"/>
              </w:rPr>
              <w:t>7</w:t>
            </w:r>
          </w:p>
        </w:tc>
        <w:tc>
          <w:tcPr>
            <w:tcW w:w="694" w:type="dxa"/>
            <w:vMerge w:val="continue"/>
            <w:vAlign w:val="center"/>
          </w:tcPr>
          <w:p w14:paraId="2E06F7D6">
            <w:pPr>
              <w:widowControl/>
              <w:jc w:val="center"/>
              <w:rPr>
                <w:rFonts w:ascii="Times New Roman" w:hAnsi="Times New Roman" w:cs="Times New Roman" w:eastAsiaTheme="minorEastAsia"/>
                <w:color w:val="auto"/>
                <w:spacing w:val="-20"/>
                <w:kern w:val="0"/>
                <w:szCs w:val="21"/>
              </w:rPr>
            </w:pPr>
          </w:p>
        </w:tc>
        <w:tc>
          <w:tcPr>
            <w:tcW w:w="1134" w:type="dxa"/>
            <w:vAlign w:val="center"/>
          </w:tcPr>
          <w:p w14:paraId="5795D84E">
            <w:pPr>
              <w:widowControl/>
              <w:jc w:val="center"/>
              <w:rPr>
                <w:rFonts w:ascii="Times New Roman" w:hAnsi="Times New Roman" w:cs="Times New Roman" w:eastAsiaTheme="minorEastAsia"/>
                <w:color w:val="auto"/>
                <w:spacing w:val="-20"/>
                <w:kern w:val="0"/>
                <w:szCs w:val="21"/>
              </w:rPr>
            </w:pPr>
            <w:r>
              <w:rPr>
                <w:rFonts w:ascii="Times New Roman" w:hAnsi="Times New Roman" w:cs="Times New Roman" w:eastAsiaTheme="minorEastAsia"/>
                <w:color w:val="auto"/>
                <w:spacing w:val="-20"/>
                <w:szCs w:val="21"/>
              </w:rPr>
              <w:t>K</w:t>
            </w:r>
            <w:r>
              <w:rPr>
                <w:rFonts w:hint="eastAsia" w:ascii="Times New Roman" w:hAnsi="Times New Roman" w:cs="Times New Roman" w:eastAsiaTheme="minorEastAsia"/>
                <w:color w:val="auto"/>
                <w:spacing w:val="-20"/>
                <w:szCs w:val="21"/>
              </w:rPr>
              <w:t>36</w:t>
            </w:r>
            <w:r>
              <w:rPr>
                <w:rFonts w:ascii="Times New Roman" w:hAnsi="Times New Roman" w:cs="Times New Roman" w:eastAsiaTheme="minorEastAsia"/>
                <w:color w:val="auto"/>
                <w:spacing w:val="-20"/>
                <w:szCs w:val="21"/>
              </w:rPr>
              <w:t>+</w:t>
            </w:r>
            <w:r>
              <w:rPr>
                <w:rFonts w:hint="eastAsia" w:ascii="Times New Roman" w:hAnsi="Times New Roman" w:cs="Times New Roman" w:eastAsiaTheme="minorEastAsia"/>
                <w:color w:val="auto"/>
                <w:spacing w:val="-20"/>
                <w:szCs w:val="21"/>
              </w:rPr>
              <w:t>4</w:t>
            </w:r>
            <w:r>
              <w:rPr>
                <w:rFonts w:ascii="Times New Roman" w:hAnsi="Times New Roman" w:cs="Times New Roman" w:eastAsiaTheme="minorEastAsia"/>
                <w:color w:val="auto"/>
                <w:spacing w:val="-20"/>
                <w:szCs w:val="21"/>
              </w:rPr>
              <w:t>00</w:t>
            </w:r>
          </w:p>
        </w:tc>
        <w:tc>
          <w:tcPr>
            <w:tcW w:w="851" w:type="dxa"/>
            <w:vAlign w:val="center"/>
          </w:tcPr>
          <w:p w14:paraId="785E66B3">
            <w:pPr>
              <w:widowControl/>
              <w:jc w:val="center"/>
              <w:rPr>
                <w:rFonts w:ascii="Times New Roman" w:hAnsi="Times New Roman" w:cs="Times New Roman" w:eastAsiaTheme="minorEastAsia"/>
                <w:color w:val="auto"/>
                <w:spacing w:val="-20"/>
                <w:kern w:val="0"/>
                <w:szCs w:val="21"/>
              </w:rPr>
            </w:pPr>
            <w:r>
              <w:rPr>
                <w:rFonts w:hint="eastAsia" w:ascii="Times New Roman" w:cs="Times New Roman" w:hAnsiTheme="minorEastAsia" w:eastAsiaTheme="minorEastAsia"/>
                <w:color w:val="auto"/>
                <w:spacing w:val="-20"/>
                <w:szCs w:val="21"/>
              </w:rPr>
              <w:t>伽师县中等职业技术学校</w:t>
            </w:r>
          </w:p>
        </w:tc>
        <w:tc>
          <w:tcPr>
            <w:tcW w:w="850" w:type="dxa"/>
            <w:vMerge w:val="continue"/>
            <w:vAlign w:val="center"/>
          </w:tcPr>
          <w:p w14:paraId="56638902">
            <w:pPr>
              <w:widowControl/>
              <w:jc w:val="center"/>
              <w:rPr>
                <w:rFonts w:ascii="Times New Roman" w:hAnsi="Times New Roman" w:cs="Times New Roman" w:eastAsiaTheme="minorEastAsia"/>
                <w:color w:val="auto"/>
                <w:spacing w:val="-20"/>
                <w:kern w:val="0"/>
                <w:szCs w:val="21"/>
              </w:rPr>
            </w:pPr>
          </w:p>
        </w:tc>
        <w:tc>
          <w:tcPr>
            <w:tcW w:w="661" w:type="dxa"/>
            <w:vAlign w:val="center"/>
          </w:tcPr>
          <w:p w14:paraId="4529D523">
            <w:pPr>
              <w:widowControl/>
              <w:jc w:val="center"/>
              <w:rPr>
                <w:rFonts w:ascii="Times New Roman" w:hAnsi="Times New Roman" w:cs="Times New Roman" w:eastAsiaTheme="minorEastAsia"/>
                <w:color w:val="auto"/>
                <w:spacing w:val="-20"/>
                <w:kern w:val="0"/>
                <w:szCs w:val="21"/>
              </w:rPr>
            </w:pPr>
            <w:r>
              <w:rPr>
                <w:rFonts w:ascii="Times New Roman" w:cs="Times New Roman" w:hAnsiTheme="minorEastAsia" w:eastAsiaTheme="minorEastAsia"/>
                <w:color w:val="auto"/>
                <w:spacing w:val="-20"/>
                <w:szCs w:val="21"/>
              </w:rPr>
              <w:t>路</w:t>
            </w:r>
            <w:r>
              <w:rPr>
                <w:rFonts w:hint="eastAsia" w:ascii="Times New Roman" w:cs="Times New Roman" w:hAnsiTheme="minorEastAsia" w:eastAsiaTheme="minorEastAsia"/>
                <w:color w:val="auto"/>
                <w:spacing w:val="-20"/>
                <w:szCs w:val="21"/>
              </w:rPr>
              <w:t>左</w:t>
            </w:r>
          </w:p>
        </w:tc>
        <w:tc>
          <w:tcPr>
            <w:tcW w:w="662" w:type="dxa"/>
            <w:vAlign w:val="center"/>
          </w:tcPr>
          <w:p w14:paraId="241743BE">
            <w:pPr>
              <w:widowControl/>
              <w:jc w:val="center"/>
              <w:rPr>
                <w:rFonts w:ascii="Times New Roman" w:cs="Times New Roman" w:hAnsiTheme="minorEastAsia" w:eastAsiaTheme="minorEastAsia"/>
                <w:color w:val="auto"/>
                <w:spacing w:val="-20"/>
                <w:szCs w:val="21"/>
              </w:rPr>
            </w:pPr>
            <w:r>
              <w:rPr>
                <w:rFonts w:hint="eastAsia" w:ascii="Times New Roman" w:cs="Times New Roman" w:hAnsiTheme="minorEastAsia" w:eastAsiaTheme="minorEastAsia"/>
                <w:color w:val="auto"/>
                <w:spacing w:val="-20"/>
                <w:szCs w:val="21"/>
              </w:rPr>
              <w:t>61</w:t>
            </w:r>
          </w:p>
        </w:tc>
        <w:tc>
          <w:tcPr>
            <w:tcW w:w="662" w:type="dxa"/>
            <w:vAlign w:val="center"/>
          </w:tcPr>
          <w:p w14:paraId="6FB906E7">
            <w:pPr>
              <w:widowControl/>
              <w:jc w:val="center"/>
              <w:rPr>
                <w:rFonts w:ascii="Times New Roman" w:cs="Times New Roman" w:hAnsiTheme="minorEastAsia" w:eastAsiaTheme="minorEastAsia"/>
                <w:color w:val="auto"/>
                <w:spacing w:val="-20"/>
                <w:szCs w:val="21"/>
              </w:rPr>
            </w:pPr>
            <w:r>
              <w:rPr>
                <w:rFonts w:hint="eastAsia" w:ascii="Times New Roman" w:cs="Times New Roman" w:hAnsiTheme="minorEastAsia" w:eastAsiaTheme="minorEastAsia"/>
                <w:color w:val="auto"/>
                <w:spacing w:val="-20"/>
                <w:szCs w:val="21"/>
              </w:rPr>
              <w:t>48</w:t>
            </w:r>
          </w:p>
        </w:tc>
        <w:tc>
          <w:tcPr>
            <w:tcW w:w="567" w:type="dxa"/>
            <w:vAlign w:val="center"/>
          </w:tcPr>
          <w:p w14:paraId="07CDD8FE">
            <w:pPr>
              <w:widowControl/>
              <w:jc w:val="center"/>
              <w:rPr>
                <w:rFonts w:ascii="Times New Roman" w:hAnsi="Times New Roman" w:cs="Times New Roman" w:eastAsiaTheme="minorEastAsia"/>
                <w:color w:val="auto"/>
                <w:spacing w:val="-20"/>
                <w:kern w:val="0"/>
                <w:szCs w:val="21"/>
              </w:rPr>
            </w:pPr>
            <w:r>
              <w:rPr>
                <w:rFonts w:ascii="Times New Roman" w:cs="Times New Roman" w:hAnsiTheme="minorEastAsia" w:eastAsiaTheme="minorEastAsia"/>
                <w:color w:val="auto"/>
                <w:spacing w:val="-20"/>
                <w:szCs w:val="21"/>
              </w:rPr>
              <w:t>路</w:t>
            </w:r>
            <w:r>
              <w:rPr>
                <w:rFonts w:hint="eastAsia" w:ascii="Times New Roman" w:cs="Times New Roman" w:hAnsiTheme="minorEastAsia" w:eastAsiaTheme="minorEastAsia"/>
                <w:color w:val="auto"/>
                <w:spacing w:val="-20"/>
                <w:szCs w:val="21"/>
              </w:rPr>
              <w:t>左</w:t>
            </w:r>
          </w:p>
        </w:tc>
        <w:tc>
          <w:tcPr>
            <w:tcW w:w="708" w:type="dxa"/>
            <w:vAlign w:val="center"/>
          </w:tcPr>
          <w:p w14:paraId="5837B94B">
            <w:pPr>
              <w:widowControl/>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szCs w:val="21"/>
              </w:rPr>
              <w:t>61</w:t>
            </w:r>
          </w:p>
        </w:tc>
        <w:tc>
          <w:tcPr>
            <w:tcW w:w="709" w:type="dxa"/>
            <w:vAlign w:val="center"/>
          </w:tcPr>
          <w:p w14:paraId="5CF88C99">
            <w:pPr>
              <w:widowControl/>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40.5</w:t>
            </w:r>
          </w:p>
        </w:tc>
        <w:tc>
          <w:tcPr>
            <w:tcW w:w="992" w:type="dxa"/>
            <w:vAlign w:val="center"/>
          </w:tcPr>
          <w:p w14:paraId="73E869DC">
            <w:pPr>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0</w:t>
            </w:r>
          </w:p>
        </w:tc>
        <w:tc>
          <w:tcPr>
            <w:tcW w:w="993" w:type="dxa"/>
            <w:vAlign w:val="center"/>
          </w:tcPr>
          <w:p w14:paraId="03468CCF">
            <w:pPr>
              <w:widowControl/>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3.0</w:t>
            </w:r>
          </w:p>
        </w:tc>
        <w:tc>
          <w:tcPr>
            <w:tcW w:w="567" w:type="dxa"/>
            <w:vAlign w:val="center"/>
          </w:tcPr>
          <w:p w14:paraId="008D9EA4">
            <w:pPr>
              <w:widowControl/>
              <w:jc w:val="center"/>
              <w:rPr>
                <w:rFonts w:ascii="Times New Roman" w:hAnsi="Times New Roman" w:cs="Times New Roman" w:eastAsiaTheme="minorEastAsia"/>
                <w:color w:val="auto"/>
                <w:spacing w:val="-20"/>
                <w:kern w:val="0"/>
                <w:szCs w:val="21"/>
              </w:rPr>
            </w:pPr>
            <w:r>
              <w:rPr>
                <w:rFonts w:ascii="Times New Roman" w:cs="Times New Roman" w:hAnsiTheme="minorEastAsia" w:eastAsiaTheme="minorEastAsia"/>
                <w:color w:val="auto"/>
                <w:spacing w:val="-20"/>
                <w:kern w:val="0"/>
                <w:szCs w:val="21"/>
              </w:rPr>
              <w:t>路基</w:t>
            </w:r>
          </w:p>
        </w:tc>
        <w:tc>
          <w:tcPr>
            <w:tcW w:w="992" w:type="dxa"/>
            <w:vAlign w:val="center"/>
          </w:tcPr>
          <w:p w14:paraId="239571D9">
            <w:pPr>
              <w:widowControl/>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55.5</w:t>
            </w:r>
          </w:p>
        </w:tc>
        <w:tc>
          <w:tcPr>
            <w:tcW w:w="709" w:type="dxa"/>
            <w:vAlign w:val="center"/>
          </w:tcPr>
          <w:p w14:paraId="46A2F651">
            <w:pPr>
              <w:widowControl/>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w:t>
            </w:r>
          </w:p>
        </w:tc>
        <w:tc>
          <w:tcPr>
            <w:tcW w:w="708" w:type="dxa"/>
            <w:vAlign w:val="center"/>
          </w:tcPr>
          <w:p w14:paraId="24D5A09A">
            <w:pPr>
              <w:widowControl/>
              <w:jc w:val="center"/>
              <w:rPr>
                <w:rFonts w:ascii="Times New Roman" w:hAnsi="Times New Roman" w:cs="Times New Roman" w:eastAsiaTheme="minorEastAsia"/>
                <w:color w:val="auto"/>
                <w:spacing w:val="-20"/>
                <w:kern w:val="0"/>
                <w:szCs w:val="21"/>
              </w:rPr>
            </w:pPr>
            <w:r>
              <w:rPr>
                <w:rFonts w:hint="eastAsia" w:ascii="Times New Roman" w:hAnsi="Times New Roman" w:eastAsia="宋体" w:cs="Times New Roman"/>
                <w:color w:val="auto"/>
                <w:spacing w:val="-20"/>
                <w:kern w:val="0"/>
                <w:szCs w:val="21"/>
              </w:rPr>
              <w:t>5栋4层楼</w:t>
            </w:r>
          </w:p>
        </w:tc>
        <w:tc>
          <w:tcPr>
            <w:tcW w:w="4417" w:type="dxa"/>
            <w:vAlign w:val="center"/>
          </w:tcPr>
          <w:p w14:paraId="550D7C62">
            <w:pPr>
              <w:widowControl/>
              <w:rPr>
                <w:rFonts w:ascii="Times New Roman" w:hAnsi="Times New Roman" w:cs="Times New Roman" w:eastAsiaTheme="minorEastAsia"/>
                <w:color w:val="auto"/>
                <w:spacing w:val="-11"/>
                <w:kern w:val="0"/>
                <w:sz w:val="21"/>
                <w:szCs w:val="21"/>
              </w:rPr>
            </w:pPr>
            <w:r>
              <w:rPr>
                <w:rFonts w:ascii="Times New Roman" w:hAnsi="Times New Roman" w:eastAsia="宋体" w:cs="Times New Roman"/>
                <w:color w:val="auto"/>
                <w:spacing w:val="0"/>
                <w:kern w:val="0"/>
                <w:sz w:val="21"/>
                <w:szCs w:val="21"/>
              </w:rPr>
              <w:t>路线以填方路基形式经过学校。学校共教师</w:t>
            </w:r>
            <w:r>
              <w:rPr>
                <w:rFonts w:hint="eastAsia" w:ascii="Times New Roman" w:hAnsi="Times New Roman" w:eastAsia="宋体" w:cs="Times New Roman"/>
                <w:color w:val="auto"/>
                <w:spacing w:val="0"/>
                <w:kern w:val="0"/>
                <w:sz w:val="21"/>
                <w:szCs w:val="21"/>
              </w:rPr>
              <w:t>370</w:t>
            </w:r>
            <w:r>
              <w:rPr>
                <w:rFonts w:ascii="Times New Roman" w:hAnsi="Times New Roman" w:eastAsia="宋体" w:cs="Times New Roman"/>
                <w:color w:val="auto"/>
                <w:spacing w:val="0"/>
                <w:kern w:val="0"/>
                <w:sz w:val="21"/>
                <w:szCs w:val="21"/>
              </w:rPr>
              <w:t>人，学生</w:t>
            </w:r>
            <w:r>
              <w:rPr>
                <w:rFonts w:hint="eastAsia" w:ascii="Times New Roman" w:hAnsi="Times New Roman" w:eastAsia="宋体" w:cs="Times New Roman"/>
                <w:color w:val="auto"/>
                <w:spacing w:val="0"/>
                <w:kern w:val="0"/>
                <w:sz w:val="21"/>
                <w:szCs w:val="21"/>
              </w:rPr>
              <w:t>5600</w:t>
            </w:r>
            <w:r>
              <w:rPr>
                <w:rFonts w:ascii="Times New Roman" w:hAnsi="Times New Roman" w:eastAsia="宋体" w:cs="Times New Roman"/>
                <w:color w:val="auto"/>
                <w:spacing w:val="0"/>
                <w:kern w:val="0"/>
                <w:sz w:val="21"/>
                <w:szCs w:val="21"/>
              </w:rPr>
              <w:t>人，夜间</w:t>
            </w:r>
            <w:r>
              <w:rPr>
                <w:rFonts w:hint="eastAsia" w:ascii="Times New Roman" w:hAnsi="Times New Roman" w:eastAsia="宋体" w:cs="Times New Roman"/>
                <w:color w:val="auto"/>
                <w:spacing w:val="0"/>
                <w:kern w:val="0"/>
                <w:sz w:val="21"/>
                <w:szCs w:val="21"/>
              </w:rPr>
              <w:t>3500人</w:t>
            </w:r>
            <w:r>
              <w:rPr>
                <w:rFonts w:ascii="Times New Roman" w:hAnsi="Times New Roman" w:eastAsia="宋体" w:cs="Times New Roman"/>
                <w:color w:val="auto"/>
                <w:spacing w:val="0"/>
                <w:kern w:val="0"/>
                <w:sz w:val="21"/>
                <w:szCs w:val="21"/>
              </w:rPr>
              <w:t>住宿。</w:t>
            </w:r>
            <w:r>
              <w:rPr>
                <w:rFonts w:ascii="Times New Roman" w:cs="Times New Roman" w:hAnsiTheme="minorEastAsia" w:eastAsiaTheme="minorEastAsia"/>
                <w:color w:val="auto"/>
                <w:spacing w:val="0"/>
                <w:kern w:val="0"/>
                <w:sz w:val="21"/>
                <w:szCs w:val="21"/>
              </w:rPr>
              <w:t>评价范围内</w:t>
            </w:r>
            <w:r>
              <w:rPr>
                <w:rFonts w:ascii="Times New Roman" w:hAnsi="Times New Roman" w:eastAsia="宋体" w:cs="Times New Roman"/>
                <w:color w:val="auto"/>
                <w:spacing w:val="0"/>
                <w:kern w:val="0"/>
                <w:sz w:val="21"/>
                <w:szCs w:val="21"/>
              </w:rPr>
              <w:t>有</w:t>
            </w:r>
            <w:r>
              <w:rPr>
                <w:rFonts w:hint="eastAsia" w:ascii="Times New Roman" w:hAnsi="Times New Roman" w:eastAsia="宋体" w:cs="Times New Roman"/>
                <w:color w:val="auto"/>
                <w:spacing w:val="0"/>
                <w:kern w:val="0"/>
                <w:sz w:val="21"/>
                <w:szCs w:val="21"/>
              </w:rPr>
              <w:t>1</w:t>
            </w:r>
            <w:r>
              <w:rPr>
                <w:rFonts w:ascii="Times New Roman" w:hAnsi="Times New Roman" w:eastAsia="宋体" w:cs="Times New Roman"/>
                <w:color w:val="auto"/>
                <w:spacing w:val="0"/>
                <w:kern w:val="0"/>
                <w:sz w:val="21"/>
                <w:szCs w:val="21"/>
              </w:rPr>
              <w:t>栋</w:t>
            </w:r>
            <w:r>
              <w:rPr>
                <w:rFonts w:hint="eastAsia" w:ascii="Times New Roman" w:hAnsi="Times New Roman" w:eastAsia="宋体" w:cs="Times New Roman"/>
                <w:color w:val="auto"/>
                <w:spacing w:val="0"/>
                <w:kern w:val="0"/>
                <w:sz w:val="21"/>
                <w:szCs w:val="21"/>
              </w:rPr>
              <w:t>4</w:t>
            </w:r>
            <w:r>
              <w:rPr>
                <w:rFonts w:ascii="Times New Roman" w:hAnsi="Times New Roman" w:eastAsia="宋体" w:cs="Times New Roman"/>
                <w:color w:val="auto"/>
                <w:spacing w:val="0"/>
                <w:kern w:val="0"/>
                <w:sz w:val="21"/>
                <w:szCs w:val="21"/>
              </w:rPr>
              <w:t>层就业办公室，</w:t>
            </w:r>
            <w:r>
              <w:rPr>
                <w:rFonts w:hint="eastAsia" w:ascii="Times New Roman" w:hAnsi="Times New Roman" w:eastAsia="宋体" w:cs="Times New Roman"/>
                <w:color w:val="auto"/>
                <w:spacing w:val="0"/>
                <w:kern w:val="0"/>
                <w:sz w:val="21"/>
                <w:szCs w:val="21"/>
              </w:rPr>
              <w:t>侧向</w:t>
            </w:r>
            <w:r>
              <w:rPr>
                <w:rFonts w:ascii="Times New Roman" w:hAnsi="Times New Roman" w:eastAsia="宋体" w:cs="Times New Roman"/>
                <w:color w:val="auto"/>
                <w:spacing w:val="0"/>
                <w:kern w:val="0"/>
                <w:sz w:val="21"/>
                <w:szCs w:val="21"/>
              </w:rPr>
              <w:t>公路，距路中最近约</w:t>
            </w:r>
            <w:r>
              <w:rPr>
                <w:rFonts w:hint="eastAsia" w:ascii="Times New Roman" w:hAnsi="Times New Roman" w:eastAsia="宋体" w:cs="Times New Roman"/>
                <w:color w:val="auto"/>
                <w:spacing w:val="0"/>
                <w:kern w:val="0"/>
                <w:sz w:val="21"/>
                <w:szCs w:val="21"/>
              </w:rPr>
              <w:t>61m；4栋4层综合楼，背侧向</w:t>
            </w:r>
            <w:r>
              <w:rPr>
                <w:rFonts w:ascii="Times New Roman" w:hAnsi="Times New Roman" w:eastAsia="宋体" w:cs="Times New Roman"/>
                <w:color w:val="auto"/>
                <w:spacing w:val="0"/>
                <w:kern w:val="0"/>
                <w:sz w:val="21"/>
                <w:szCs w:val="21"/>
              </w:rPr>
              <w:t>公路，距路中最近约</w:t>
            </w:r>
            <w:r>
              <w:rPr>
                <w:rFonts w:hint="eastAsia" w:ascii="Times New Roman" w:hAnsi="Times New Roman" w:eastAsia="宋体" w:cs="Times New Roman"/>
                <w:color w:val="auto"/>
                <w:spacing w:val="0"/>
                <w:kern w:val="0"/>
                <w:sz w:val="21"/>
                <w:szCs w:val="21"/>
              </w:rPr>
              <w:t>105m，</w:t>
            </w:r>
            <w:r>
              <w:rPr>
                <w:rFonts w:ascii="Times New Roman" w:hAnsi="Times New Roman" w:eastAsia="宋体" w:cs="Times New Roman"/>
                <w:color w:val="auto"/>
                <w:spacing w:val="0"/>
                <w:kern w:val="0"/>
                <w:sz w:val="21"/>
                <w:szCs w:val="21"/>
              </w:rPr>
              <w:t>目前暂未使用；</w:t>
            </w:r>
            <w:r>
              <w:rPr>
                <w:rFonts w:hint="eastAsia" w:ascii="Times New Roman" w:hAnsi="Times New Roman" w:eastAsia="宋体" w:cs="Times New Roman"/>
                <w:color w:val="auto"/>
                <w:spacing w:val="0"/>
                <w:kern w:val="0"/>
                <w:sz w:val="21"/>
                <w:szCs w:val="21"/>
              </w:rPr>
              <w:t>1栋5层综合楼和5栋5层</w:t>
            </w:r>
            <w:r>
              <w:rPr>
                <w:rFonts w:ascii="Times New Roman" w:hAnsi="Times New Roman" w:eastAsia="宋体" w:cs="Times New Roman"/>
                <w:color w:val="auto"/>
                <w:spacing w:val="0"/>
                <w:kern w:val="0"/>
                <w:sz w:val="21"/>
                <w:szCs w:val="21"/>
              </w:rPr>
              <w:t>住宿楼</w:t>
            </w:r>
            <w:r>
              <w:rPr>
                <w:rFonts w:hint="eastAsia" w:ascii="Times New Roman" w:hAnsi="Times New Roman" w:eastAsia="宋体" w:cs="Times New Roman"/>
                <w:color w:val="auto"/>
                <w:spacing w:val="0"/>
                <w:kern w:val="0"/>
                <w:sz w:val="21"/>
                <w:szCs w:val="21"/>
              </w:rPr>
              <w:t>位于</w:t>
            </w:r>
            <w:r>
              <w:rPr>
                <w:rFonts w:ascii="Times New Roman" w:hAnsi="Times New Roman" w:eastAsia="宋体" w:cs="Times New Roman"/>
                <w:color w:val="auto"/>
                <w:spacing w:val="0"/>
                <w:kern w:val="0"/>
                <w:sz w:val="21"/>
                <w:szCs w:val="21"/>
              </w:rPr>
              <w:t>评价范围外。该路段利用现有</w:t>
            </w:r>
            <w:r>
              <w:rPr>
                <w:rFonts w:hint="eastAsia" w:ascii="Times New Roman" w:hAnsi="Times New Roman" w:eastAsia="宋体" w:cs="Times New Roman"/>
                <w:color w:val="auto"/>
                <w:spacing w:val="0"/>
                <w:kern w:val="0"/>
                <w:sz w:val="21"/>
                <w:szCs w:val="21"/>
              </w:rPr>
              <w:t>老路双侧加宽</w:t>
            </w:r>
            <w:r>
              <w:rPr>
                <w:rFonts w:ascii="Times New Roman" w:hAnsi="Times New Roman" w:eastAsia="宋体" w:cs="Times New Roman"/>
                <w:color w:val="auto"/>
                <w:spacing w:val="0"/>
                <w:kern w:val="0"/>
                <w:sz w:val="21"/>
                <w:szCs w:val="21"/>
              </w:rPr>
              <w:t>，</w:t>
            </w:r>
            <w:r>
              <w:rPr>
                <w:rFonts w:ascii="Times New Roman" w:cs="Times New Roman" w:hAnsiTheme="minorEastAsia" w:eastAsiaTheme="minorEastAsia"/>
                <w:color w:val="auto"/>
                <w:spacing w:val="0"/>
                <w:kern w:val="0"/>
                <w:sz w:val="21"/>
                <w:szCs w:val="21"/>
              </w:rPr>
              <w:t>主要噪声源为现有</w:t>
            </w:r>
            <w:r>
              <w:rPr>
                <w:rFonts w:hint="eastAsia" w:ascii="Times New Roman" w:hAnsi="Times New Roman" w:cs="Times New Roman" w:eastAsiaTheme="minorEastAsia"/>
                <w:color w:val="auto"/>
                <w:spacing w:val="0"/>
                <w:kern w:val="0"/>
                <w:sz w:val="21"/>
                <w:szCs w:val="21"/>
              </w:rPr>
              <w:t>G219</w:t>
            </w:r>
            <w:r>
              <w:rPr>
                <w:rFonts w:ascii="Times New Roman" w:cs="Times New Roman" w:hAnsiTheme="minorEastAsia" w:eastAsiaTheme="minorEastAsia"/>
                <w:color w:val="auto"/>
                <w:spacing w:val="0"/>
                <w:kern w:val="0"/>
                <w:sz w:val="21"/>
                <w:szCs w:val="21"/>
              </w:rPr>
              <w:t>交通噪声和社会生活噪声。</w:t>
            </w:r>
          </w:p>
        </w:tc>
        <w:tc>
          <w:tcPr>
            <w:tcW w:w="2898" w:type="dxa"/>
            <w:vAlign w:val="center"/>
          </w:tcPr>
          <w:p w14:paraId="053465A3">
            <w:pPr>
              <w:widowControl/>
              <w:adjustRightInd w:val="0"/>
              <w:snapToGrid w:val="0"/>
              <w:jc w:val="center"/>
              <w:rPr>
                <w:rFonts w:ascii="Times New Roman" w:hAnsi="Times New Roman" w:cs="Times New Roman" w:eastAsiaTheme="minorEastAsia"/>
                <w:snapToGrid w:val="0"/>
                <w:color w:val="auto"/>
                <w:spacing w:val="-20"/>
                <w:kern w:val="0"/>
                <w:szCs w:val="21"/>
              </w:rPr>
            </w:pPr>
            <w:r>
              <w:rPr>
                <w:rFonts w:ascii="Times New Roman" w:hAnsi="Times New Roman" w:cs="Times New Roman" w:eastAsiaTheme="minorEastAsia"/>
                <w:color w:val="auto"/>
                <w:spacing w:val="-20"/>
                <w:kern w:val="0"/>
                <w:szCs w:val="21"/>
              </w:rPr>
              <w:drawing>
                <wp:inline distT="0" distB="0" distL="0" distR="0">
                  <wp:extent cx="1729105" cy="1295400"/>
                  <wp:effectExtent l="0" t="0" r="4445" b="0"/>
                  <wp:docPr id="50" name="图片 16" descr="E:\咨询项目\环评\新疆-G219线八盘水磨至伽师公路\外业踏勘记录及照片\DSC09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16" descr="E:\咨询项目\环评\新疆-G219线八盘水磨至伽师公路\外业踏勘记录及照片\DSC09020.JPG"/>
                          <pic:cNvPicPr>
                            <a:picLocks noChangeAspect="1" noChangeArrowheads="1"/>
                          </pic:cNvPicPr>
                        </pic:nvPicPr>
                        <pic:blipFill>
                          <a:blip r:embed="rId172" cstate="print"/>
                          <a:srcRect/>
                          <a:stretch>
                            <a:fillRect/>
                          </a:stretch>
                        </pic:blipFill>
                        <pic:spPr>
                          <a:xfrm>
                            <a:off x="0" y="0"/>
                            <a:ext cx="1729728" cy="1296000"/>
                          </a:xfrm>
                          <a:prstGeom prst="rect">
                            <a:avLst/>
                          </a:prstGeom>
                          <a:noFill/>
                          <a:ln w="9525">
                            <a:noFill/>
                            <a:miter lim="800000"/>
                            <a:headEnd/>
                            <a:tailEnd/>
                          </a:ln>
                        </pic:spPr>
                      </pic:pic>
                    </a:graphicData>
                  </a:graphic>
                </wp:inline>
              </w:drawing>
            </w:r>
          </w:p>
        </w:tc>
      </w:tr>
      <w:tr w14:paraId="4F20AAB0">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1020" w:hRule="atLeast"/>
          <w:tblHeader/>
          <w:jc w:val="center"/>
        </w:trPr>
        <w:tc>
          <w:tcPr>
            <w:tcW w:w="568" w:type="dxa"/>
            <w:noWrap/>
            <w:vAlign w:val="center"/>
          </w:tcPr>
          <w:p w14:paraId="283F7E78">
            <w:pPr>
              <w:widowControl/>
              <w:jc w:val="center"/>
              <w:rPr>
                <w:rFonts w:ascii="Times New Roman" w:hAnsi="Times New Roman" w:cs="Times New Roman" w:eastAsiaTheme="minorEastAsia"/>
                <w:color w:val="auto"/>
                <w:spacing w:val="-20"/>
                <w:kern w:val="0"/>
                <w:szCs w:val="21"/>
              </w:rPr>
            </w:pPr>
            <w:r>
              <w:rPr>
                <w:rFonts w:ascii="Times New Roman" w:hAnsi="Times New Roman" w:cs="Times New Roman" w:eastAsiaTheme="minorEastAsia"/>
                <w:color w:val="auto"/>
                <w:spacing w:val="-20"/>
                <w:kern w:val="0"/>
                <w:szCs w:val="21"/>
              </w:rPr>
              <w:t>18</w:t>
            </w:r>
          </w:p>
        </w:tc>
        <w:tc>
          <w:tcPr>
            <w:tcW w:w="694" w:type="dxa"/>
            <w:vMerge w:val="continue"/>
            <w:vAlign w:val="center"/>
          </w:tcPr>
          <w:p w14:paraId="61A978EF">
            <w:pPr>
              <w:jc w:val="center"/>
              <w:rPr>
                <w:rFonts w:ascii="Times New Roman" w:hAnsi="Times New Roman" w:cs="Times New Roman" w:eastAsiaTheme="minorEastAsia"/>
                <w:color w:val="auto"/>
                <w:spacing w:val="-20"/>
                <w:kern w:val="0"/>
                <w:szCs w:val="21"/>
              </w:rPr>
            </w:pPr>
          </w:p>
        </w:tc>
        <w:tc>
          <w:tcPr>
            <w:tcW w:w="1134" w:type="dxa"/>
            <w:vAlign w:val="center"/>
          </w:tcPr>
          <w:p w14:paraId="5A26BCC3">
            <w:pPr>
              <w:widowControl/>
              <w:jc w:val="center"/>
              <w:rPr>
                <w:rFonts w:ascii="Times New Roman" w:hAnsi="Times New Roman" w:cs="Times New Roman" w:eastAsiaTheme="minorEastAsia"/>
                <w:color w:val="auto"/>
                <w:spacing w:val="-20"/>
                <w:kern w:val="0"/>
                <w:szCs w:val="21"/>
              </w:rPr>
            </w:pPr>
            <w:r>
              <w:rPr>
                <w:rFonts w:hint="eastAsia" w:ascii="Times New Roman" w:hAnsi="Times New Roman" w:eastAsia="宋体" w:cs="Times New Roman"/>
                <w:color w:val="auto"/>
                <w:spacing w:val="-20"/>
                <w:szCs w:val="21"/>
              </w:rPr>
              <w:t>K37+600～K37+700</w:t>
            </w:r>
          </w:p>
        </w:tc>
        <w:tc>
          <w:tcPr>
            <w:tcW w:w="851" w:type="dxa"/>
            <w:vAlign w:val="center"/>
          </w:tcPr>
          <w:p w14:paraId="461D0870">
            <w:pPr>
              <w:jc w:val="center"/>
              <w:rPr>
                <w:rFonts w:ascii="Times New Roman" w:hAnsi="Times New Roman" w:cs="Times New Roman" w:eastAsiaTheme="minorEastAsia"/>
                <w:color w:val="auto"/>
                <w:spacing w:val="-20"/>
                <w:szCs w:val="21"/>
              </w:rPr>
            </w:pPr>
            <w:r>
              <w:rPr>
                <w:rFonts w:hint="eastAsia" w:ascii="Times New Roman" w:cs="Times New Roman" w:hAnsiTheme="minorEastAsia" w:eastAsiaTheme="minorEastAsia"/>
                <w:color w:val="auto"/>
                <w:spacing w:val="-20"/>
                <w:szCs w:val="21"/>
              </w:rPr>
              <w:t>霍加艾日克村</w:t>
            </w:r>
          </w:p>
        </w:tc>
        <w:tc>
          <w:tcPr>
            <w:tcW w:w="850" w:type="dxa"/>
            <w:vMerge w:val="continue"/>
            <w:vAlign w:val="center"/>
          </w:tcPr>
          <w:p w14:paraId="1F4BF55B">
            <w:pPr>
              <w:widowControl/>
              <w:jc w:val="center"/>
              <w:rPr>
                <w:rFonts w:ascii="Times New Roman" w:hAnsi="Times New Roman" w:cs="Times New Roman" w:eastAsiaTheme="minorEastAsia"/>
                <w:color w:val="auto"/>
                <w:spacing w:val="-20"/>
                <w:kern w:val="0"/>
                <w:szCs w:val="21"/>
              </w:rPr>
            </w:pPr>
          </w:p>
        </w:tc>
        <w:tc>
          <w:tcPr>
            <w:tcW w:w="661" w:type="dxa"/>
            <w:vAlign w:val="center"/>
          </w:tcPr>
          <w:p w14:paraId="4D412EAB">
            <w:pPr>
              <w:widowControl/>
              <w:jc w:val="center"/>
              <w:rPr>
                <w:rFonts w:ascii="Times New Roman" w:hAnsi="Times New Roman" w:cs="Times New Roman" w:eastAsiaTheme="minorEastAsia"/>
                <w:color w:val="auto"/>
                <w:spacing w:val="-20"/>
                <w:kern w:val="0"/>
                <w:szCs w:val="21"/>
              </w:rPr>
            </w:pPr>
            <w:r>
              <w:rPr>
                <w:rFonts w:hint="eastAsia" w:ascii="Times New Roman" w:cs="Times New Roman" w:hAnsiTheme="minorEastAsia" w:eastAsiaTheme="minorEastAsia"/>
                <w:color w:val="auto"/>
                <w:spacing w:val="-20"/>
                <w:szCs w:val="21"/>
              </w:rPr>
              <w:t>两侧</w:t>
            </w:r>
          </w:p>
        </w:tc>
        <w:tc>
          <w:tcPr>
            <w:tcW w:w="662" w:type="dxa"/>
            <w:vAlign w:val="center"/>
          </w:tcPr>
          <w:p w14:paraId="471169E5">
            <w:pPr>
              <w:widowControl/>
              <w:jc w:val="center"/>
              <w:rPr>
                <w:rFonts w:ascii="Times New Roman" w:cs="Times New Roman" w:hAnsiTheme="minorEastAsia" w:eastAsiaTheme="minorEastAsia"/>
                <w:color w:val="auto"/>
                <w:spacing w:val="-20"/>
                <w:szCs w:val="21"/>
              </w:rPr>
            </w:pPr>
            <w:r>
              <w:rPr>
                <w:rFonts w:hint="eastAsia" w:ascii="Times New Roman" w:cs="Times New Roman" w:hAnsiTheme="minorEastAsia" w:eastAsiaTheme="minorEastAsia"/>
                <w:color w:val="auto"/>
                <w:spacing w:val="-20"/>
                <w:szCs w:val="21"/>
              </w:rPr>
              <w:t>25</w:t>
            </w:r>
          </w:p>
        </w:tc>
        <w:tc>
          <w:tcPr>
            <w:tcW w:w="662" w:type="dxa"/>
            <w:vAlign w:val="center"/>
          </w:tcPr>
          <w:p w14:paraId="72EF74FC">
            <w:pPr>
              <w:widowControl/>
              <w:jc w:val="center"/>
              <w:rPr>
                <w:rFonts w:ascii="Times New Roman" w:cs="Times New Roman" w:hAnsiTheme="minorEastAsia" w:eastAsiaTheme="minorEastAsia"/>
                <w:color w:val="auto"/>
                <w:spacing w:val="-20"/>
                <w:szCs w:val="21"/>
              </w:rPr>
            </w:pPr>
            <w:r>
              <w:rPr>
                <w:rFonts w:hint="eastAsia" w:ascii="Times New Roman" w:cs="Times New Roman" w:hAnsiTheme="minorEastAsia" w:eastAsiaTheme="minorEastAsia"/>
                <w:color w:val="auto"/>
                <w:spacing w:val="-20"/>
                <w:szCs w:val="21"/>
              </w:rPr>
              <w:t>13</w:t>
            </w:r>
          </w:p>
        </w:tc>
        <w:tc>
          <w:tcPr>
            <w:tcW w:w="567" w:type="dxa"/>
            <w:vAlign w:val="center"/>
          </w:tcPr>
          <w:p w14:paraId="362E24D0">
            <w:pPr>
              <w:widowControl/>
              <w:jc w:val="center"/>
              <w:rPr>
                <w:rFonts w:ascii="Times New Roman" w:hAnsi="Times New Roman" w:cs="Times New Roman" w:eastAsiaTheme="minorEastAsia"/>
                <w:color w:val="auto"/>
                <w:spacing w:val="-20"/>
                <w:kern w:val="0"/>
                <w:szCs w:val="21"/>
              </w:rPr>
            </w:pPr>
            <w:r>
              <w:rPr>
                <w:rFonts w:hint="eastAsia" w:ascii="Times New Roman" w:cs="Times New Roman" w:hAnsiTheme="minorEastAsia" w:eastAsiaTheme="minorEastAsia"/>
                <w:color w:val="auto"/>
                <w:spacing w:val="-20"/>
                <w:szCs w:val="21"/>
              </w:rPr>
              <w:t>两侧</w:t>
            </w:r>
          </w:p>
        </w:tc>
        <w:tc>
          <w:tcPr>
            <w:tcW w:w="708" w:type="dxa"/>
            <w:vAlign w:val="center"/>
          </w:tcPr>
          <w:p w14:paraId="7D5F8FBB">
            <w:pPr>
              <w:widowControl/>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szCs w:val="21"/>
              </w:rPr>
              <w:t>25</w:t>
            </w:r>
          </w:p>
        </w:tc>
        <w:tc>
          <w:tcPr>
            <w:tcW w:w="709" w:type="dxa"/>
            <w:vAlign w:val="center"/>
          </w:tcPr>
          <w:p w14:paraId="1348B0E0">
            <w:pPr>
              <w:widowControl/>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6</w:t>
            </w:r>
          </w:p>
        </w:tc>
        <w:tc>
          <w:tcPr>
            <w:tcW w:w="992" w:type="dxa"/>
            <w:vAlign w:val="center"/>
          </w:tcPr>
          <w:p w14:paraId="3F464356">
            <w:pPr>
              <w:widowControl/>
              <w:jc w:val="center"/>
              <w:rPr>
                <w:rFonts w:ascii="Times New Roman" w:hAnsi="Times New Roman" w:cs="Times New Roman" w:eastAsiaTheme="minorEastAsia"/>
                <w:color w:val="auto"/>
                <w:spacing w:val="-20"/>
                <w:kern w:val="0"/>
                <w:szCs w:val="21"/>
              </w:rPr>
            </w:pPr>
            <w:r>
              <w:rPr>
                <w:rFonts w:ascii="Times New Roman" w:hAnsi="Times New Roman" w:cs="Times New Roman" w:eastAsiaTheme="minorEastAsia"/>
                <w:color w:val="auto"/>
                <w:spacing w:val="-20"/>
                <w:kern w:val="0"/>
                <w:szCs w:val="21"/>
              </w:rPr>
              <w:t>0</w:t>
            </w:r>
          </w:p>
        </w:tc>
        <w:tc>
          <w:tcPr>
            <w:tcW w:w="993" w:type="dxa"/>
            <w:vAlign w:val="center"/>
          </w:tcPr>
          <w:p w14:paraId="4E4AF14A">
            <w:pPr>
              <w:widowControl/>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2.0</w:t>
            </w:r>
          </w:p>
        </w:tc>
        <w:tc>
          <w:tcPr>
            <w:tcW w:w="567" w:type="dxa"/>
            <w:vAlign w:val="center"/>
          </w:tcPr>
          <w:p w14:paraId="2724CFDD">
            <w:pPr>
              <w:widowControl/>
              <w:jc w:val="center"/>
              <w:rPr>
                <w:rFonts w:ascii="Times New Roman" w:hAnsi="Times New Roman" w:cs="Times New Roman" w:eastAsiaTheme="minorEastAsia"/>
                <w:color w:val="auto"/>
                <w:spacing w:val="-20"/>
                <w:kern w:val="0"/>
                <w:szCs w:val="21"/>
              </w:rPr>
            </w:pPr>
            <w:r>
              <w:rPr>
                <w:rFonts w:ascii="Times New Roman" w:cs="Times New Roman" w:hAnsiTheme="minorEastAsia" w:eastAsiaTheme="minorEastAsia"/>
                <w:color w:val="auto"/>
                <w:spacing w:val="-20"/>
                <w:kern w:val="0"/>
                <w:szCs w:val="21"/>
              </w:rPr>
              <w:t>路基</w:t>
            </w:r>
          </w:p>
        </w:tc>
        <w:tc>
          <w:tcPr>
            <w:tcW w:w="992" w:type="dxa"/>
            <w:vAlign w:val="center"/>
          </w:tcPr>
          <w:p w14:paraId="7376EE78">
            <w:pPr>
              <w:widowControl/>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54</w:t>
            </w:r>
          </w:p>
        </w:tc>
        <w:tc>
          <w:tcPr>
            <w:tcW w:w="709" w:type="dxa"/>
            <w:vAlign w:val="center"/>
          </w:tcPr>
          <w:p w14:paraId="47CE779C">
            <w:pPr>
              <w:widowControl/>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5</w:t>
            </w:r>
          </w:p>
        </w:tc>
        <w:tc>
          <w:tcPr>
            <w:tcW w:w="708" w:type="dxa"/>
            <w:vAlign w:val="center"/>
          </w:tcPr>
          <w:p w14:paraId="2DED9F98">
            <w:pPr>
              <w:widowControl/>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30</w:t>
            </w:r>
          </w:p>
        </w:tc>
        <w:tc>
          <w:tcPr>
            <w:tcW w:w="4417" w:type="dxa"/>
            <w:vAlign w:val="center"/>
          </w:tcPr>
          <w:p w14:paraId="6679A265">
            <w:pPr>
              <w:widowControl/>
              <w:rPr>
                <w:rFonts w:ascii="Times New Roman" w:hAnsi="Times New Roman" w:cs="Times New Roman" w:eastAsiaTheme="minorEastAsia"/>
                <w:color w:val="auto"/>
                <w:spacing w:val="-11"/>
                <w:kern w:val="0"/>
                <w:sz w:val="21"/>
                <w:szCs w:val="21"/>
              </w:rPr>
            </w:pPr>
            <w:r>
              <w:rPr>
                <w:rFonts w:ascii="Times New Roman" w:cs="Times New Roman" w:hAnsiTheme="minorEastAsia" w:eastAsiaTheme="minorEastAsia"/>
                <w:color w:val="auto"/>
                <w:kern w:val="0"/>
                <w:sz w:val="21"/>
                <w:szCs w:val="21"/>
              </w:rPr>
              <w:t>路线以填方路基形式经过村庄。评价范围内现有居民</w:t>
            </w:r>
            <w:r>
              <w:rPr>
                <w:rFonts w:hint="eastAsia" w:ascii="Times New Roman" w:hAnsi="Times New Roman" w:cs="Times New Roman" w:eastAsiaTheme="minorEastAsia"/>
                <w:color w:val="auto"/>
                <w:kern w:val="0"/>
                <w:sz w:val="21"/>
                <w:szCs w:val="21"/>
              </w:rPr>
              <w:t>35</w:t>
            </w:r>
            <w:r>
              <w:rPr>
                <w:rFonts w:ascii="Times New Roman" w:cs="Times New Roman" w:hAnsiTheme="minorEastAsia" w:eastAsiaTheme="minorEastAsia"/>
                <w:color w:val="auto"/>
                <w:kern w:val="0"/>
                <w:sz w:val="21"/>
                <w:szCs w:val="21"/>
              </w:rPr>
              <w:t>户，首排</w:t>
            </w:r>
            <w:r>
              <w:rPr>
                <w:rFonts w:hint="eastAsia" w:ascii="Times New Roman" w:hAnsi="Times New Roman" w:cs="Times New Roman" w:eastAsiaTheme="minorEastAsia"/>
                <w:color w:val="auto"/>
                <w:kern w:val="0"/>
                <w:sz w:val="21"/>
                <w:szCs w:val="21"/>
              </w:rPr>
              <w:t>3</w:t>
            </w:r>
            <w:r>
              <w:rPr>
                <w:rFonts w:ascii="Times New Roman" w:cs="Times New Roman" w:hAnsiTheme="minorEastAsia" w:eastAsiaTheme="minorEastAsia"/>
                <w:color w:val="auto"/>
                <w:kern w:val="0"/>
                <w:sz w:val="21"/>
                <w:szCs w:val="21"/>
              </w:rPr>
              <w:t>户，</w:t>
            </w:r>
            <w:r>
              <w:rPr>
                <w:rFonts w:hint="eastAsia" w:ascii="Times New Roman" w:cs="Times New Roman" w:hAnsiTheme="minorEastAsia" w:eastAsiaTheme="minorEastAsia"/>
                <w:color w:val="auto"/>
                <w:kern w:val="0"/>
                <w:sz w:val="21"/>
                <w:szCs w:val="21"/>
              </w:rPr>
              <w:t>主要</w:t>
            </w:r>
            <w:r>
              <w:rPr>
                <w:rFonts w:ascii="Times New Roman" w:cs="Times New Roman" w:hAnsiTheme="minorEastAsia" w:eastAsiaTheme="minorEastAsia"/>
                <w:color w:val="auto"/>
                <w:kern w:val="0"/>
                <w:sz w:val="21"/>
                <w:szCs w:val="21"/>
              </w:rPr>
              <w:t>为</w:t>
            </w:r>
            <w:r>
              <w:rPr>
                <w:rFonts w:ascii="Times New Roman" w:hAnsi="Times New Roman" w:cs="Times New Roman" w:eastAsiaTheme="minorEastAsia"/>
                <w:color w:val="auto"/>
                <w:kern w:val="0"/>
                <w:sz w:val="21"/>
                <w:szCs w:val="21"/>
              </w:rPr>
              <w:t>1</w:t>
            </w:r>
            <w:r>
              <w:rPr>
                <w:rFonts w:ascii="Times New Roman" w:cs="Times New Roman" w:hAnsiTheme="minorEastAsia" w:eastAsiaTheme="minorEastAsia"/>
                <w:color w:val="auto"/>
                <w:kern w:val="0"/>
                <w:sz w:val="21"/>
                <w:szCs w:val="21"/>
              </w:rPr>
              <w:t>层砖混房，房屋侧向拟建公路。</w:t>
            </w:r>
            <w:r>
              <w:rPr>
                <w:rFonts w:ascii="Times New Roman" w:hAnsi="Times New Roman" w:eastAsia="宋体" w:cs="Times New Roman"/>
                <w:color w:val="auto"/>
                <w:kern w:val="0"/>
                <w:sz w:val="21"/>
                <w:szCs w:val="21"/>
              </w:rPr>
              <w:t>该路段利用现有</w:t>
            </w:r>
            <w:r>
              <w:rPr>
                <w:rFonts w:hint="eastAsia" w:ascii="Times New Roman" w:hAnsi="Times New Roman" w:eastAsia="宋体" w:cs="Times New Roman"/>
                <w:color w:val="auto"/>
                <w:kern w:val="0"/>
                <w:sz w:val="21"/>
                <w:szCs w:val="21"/>
              </w:rPr>
              <w:t>老路双侧加宽</w:t>
            </w:r>
            <w:r>
              <w:rPr>
                <w:rFonts w:ascii="Times New Roman" w:hAnsi="Times New Roman" w:eastAsia="宋体" w:cs="Times New Roman"/>
                <w:color w:val="auto"/>
                <w:kern w:val="0"/>
                <w:sz w:val="21"/>
                <w:szCs w:val="21"/>
              </w:rPr>
              <w:t>，</w:t>
            </w:r>
            <w:r>
              <w:rPr>
                <w:rFonts w:hint="eastAsia" w:ascii="Times New Roman" w:hAnsi="Times New Roman" w:eastAsia="宋体" w:cs="Times New Roman"/>
                <w:color w:val="auto"/>
                <w:kern w:val="0"/>
                <w:sz w:val="21"/>
                <w:szCs w:val="21"/>
              </w:rPr>
              <w:t>房屋</w:t>
            </w:r>
            <w:r>
              <w:rPr>
                <w:rFonts w:ascii="Times New Roman" w:hAnsi="Times New Roman" w:eastAsia="宋体" w:cs="Times New Roman"/>
                <w:color w:val="auto"/>
                <w:kern w:val="0"/>
                <w:sz w:val="21"/>
                <w:szCs w:val="21"/>
              </w:rPr>
              <w:t>分布于平交</w:t>
            </w:r>
            <w:r>
              <w:rPr>
                <w:rFonts w:hint="eastAsia" w:ascii="Times New Roman" w:hAnsi="Times New Roman" w:eastAsia="宋体" w:cs="Times New Roman"/>
                <w:color w:val="auto"/>
                <w:kern w:val="0"/>
                <w:sz w:val="21"/>
                <w:szCs w:val="21"/>
              </w:rPr>
              <w:t>路口两侧</w:t>
            </w:r>
            <w:r>
              <w:rPr>
                <w:rFonts w:ascii="Times New Roman" w:hAnsi="Times New Roman" w:eastAsia="宋体" w:cs="Times New Roman"/>
                <w:color w:val="auto"/>
                <w:kern w:val="0"/>
                <w:sz w:val="21"/>
                <w:szCs w:val="21"/>
              </w:rPr>
              <w:t>，</w:t>
            </w:r>
            <w:r>
              <w:rPr>
                <w:rFonts w:ascii="Times New Roman" w:cs="Times New Roman" w:hAnsiTheme="minorEastAsia" w:eastAsiaTheme="minorEastAsia"/>
                <w:color w:val="auto"/>
                <w:kern w:val="0"/>
                <w:sz w:val="21"/>
                <w:szCs w:val="21"/>
              </w:rPr>
              <w:t>主要噪声源为现有</w:t>
            </w:r>
            <w:r>
              <w:rPr>
                <w:rFonts w:hint="eastAsia" w:ascii="Times New Roman" w:hAnsi="Times New Roman" w:cs="Times New Roman" w:eastAsiaTheme="minorEastAsia"/>
                <w:color w:val="auto"/>
                <w:kern w:val="0"/>
                <w:sz w:val="21"/>
                <w:szCs w:val="21"/>
              </w:rPr>
              <w:t>G219</w:t>
            </w:r>
            <w:r>
              <w:rPr>
                <w:rFonts w:ascii="Times New Roman" w:cs="Times New Roman" w:hAnsiTheme="minorEastAsia" w:eastAsiaTheme="minorEastAsia"/>
                <w:color w:val="auto"/>
                <w:kern w:val="0"/>
                <w:sz w:val="21"/>
                <w:szCs w:val="21"/>
              </w:rPr>
              <w:t>交通噪声和社会生活噪声。</w:t>
            </w:r>
          </w:p>
        </w:tc>
        <w:tc>
          <w:tcPr>
            <w:tcW w:w="2898" w:type="dxa"/>
            <w:vAlign w:val="center"/>
          </w:tcPr>
          <w:p w14:paraId="6BA8FA2B">
            <w:pPr>
              <w:widowControl/>
              <w:adjustRightInd w:val="0"/>
              <w:snapToGrid w:val="0"/>
              <w:jc w:val="center"/>
              <w:rPr>
                <w:rFonts w:ascii="Times New Roman" w:hAnsi="Times New Roman" w:cs="Times New Roman" w:eastAsiaTheme="minorEastAsia"/>
                <w:snapToGrid w:val="0"/>
                <w:color w:val="auto"/>
                <w:spacing w:val="-20"/>
                <w:kern w:val="0"/>
                <w:szCs w:val="21"/>
              </w:rPr>
            </w:pPr>
            <w:r>
              <w:rPr>
                <w:rFonts w:ascii="Times New Roman" w:hAnsi="Times New Roman" w:cs="Times New Roman" w:eastAsiaTheme="minorEastAsia"/>
                <w:color w:val="auto"/>
                <w:spacing w:val="-20"/>
                <w:kern w:val="0"/>
                <w:szCs w:val="21"/>
              </w:rPr>
              <w:drawing>
                <wp:inline distT="0" distB="0" distL="0" distR="0">
                  <wp:extent cx="1729105" cy="1295400"/>
                  <wp:effectExtent l="0" t="0" r="4445" b="0"/>
                  <wp:docPr id="52" name="图片 18" descr="E:\咨询项目\环评\新疆-G219线八盘水磨至伽师公路\外业踏勘记录及照片\DSC09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18" descr="E:\咨询项目\环评\新疆-G219线八盘水磨至伽师公路\外业踏勘记录及照片\DSC09008.JPG"/>
                          <pic:cNvPicPr>
                            <a:picLocks noChangeAspect="1" noChangeArrowheads="1"/>
                          </pic:cNvPicPr>
                        </pic:nvPicPr>
                        <pic:blipFill>
                          <a:blip r:embed="rId173" cstate="print"/>
                          <a:srcRect/>
                          <a:stretch>
                            <a:fillRect/>
                          </a:stretch>
                        </pic:blipFill>
                        <pic:spPr>
                          <a:xfrm>
                            <a:off x="0" y="0"/>
                            <a:ext cx="1729728" cy="1296000"/>
                          </a:xfrm>
                          <a:prstGeom prst="rect">
                            <a:avLst/>
                          </a:prstGeom>
                          <a:noFill/>
                          <a:ln w="9525">
                            <a:noFill/>
                            <a:miter lim="800000"/>
                            <a:headEnd/>
                            <a:tailEnd/>
                          </a:ln>
                        </pic:spPr>
                      </pic:pic>
                    </a:graphicData>
                  </a:graphic>
                </wp:inline>
              </w:drawing>
            </w:r>
          </w:p>
        </w:tc>
      </w:tr>
    </w:tbl>
    <w:p w14:paraId="02ABA9F2">
      <w:pPr>
        <w:rPr>
          <w:rFonts w:ascii="Times New Roman" w:hAnsi="Times New Roman" w:eastAsia="宋体" w:cs="Times New Roman"/>
          <w:color w:val="auto"/>
          <w:szCs w:val="21"/>
        </w:rPr>
      </w:pPr>
      <w:r>
        <w:rPr>
          <w:rFonts w:hint="eastAsia" w:ascii="Times New Roman" w:hAnsi="Times New Roman" w:eastAsia="宋体" w:cs="Times New Roman"/>
          <w:color w:val="auto"/>
          <w:szCs w:val="21"/>
        </w:rPr>
        <w:t>（接下页）</w:t>
      </w:r>
    </w:p>
    <w:p w14:paraId="2267357E">
      <w:pPr>
        <w:widowControl/>
        <w:spacing w:beforeLines="50"/>
        <w:jc w:val="center"/>
        <w:rPr>
          <w:rFonts w:ascii="Times New Roman" w:hAnsi="Times New Roman" w:cs="Times New Roman" w:eastAsiaTheme="minorEastAsia"/>
          <w:color w:val="auto"/>
          <w:szCs w:val="21"/>
        </w:rPr>
      </w:pPr>
      <w:r>
        <w:rPr>
          <w:rFonts w:ascii="Times New Roman" w:cs="Times New Roman" w:hAnsiTheme="minorEastAsia" w:eastAsiaTheme="minorEastAsia"/>
          <w:b/>
          <w:color w:val="auto"/>
          <w:szCs w:val="21"/>
        </w:rPr>
        <w:br w:type="page"/>
      </w:r>
      <w:r>
        <w:rPr>
          <w:rFonts w:ascii="Times New Roman" w:cs="Times New Roman" w:hAnsiTheme="minorEastAsia" w:eastAsiaTheme="minorEastAsia"/>
          <w:b/>
          <w:color w:val="auto"/>
          <w:szCs w:val="21"/>
        </w:rPr>
        <w:t>续</w:t>
      </w:r>
      <w:r>
        <w:rPr>
          <w:rFonts w:hint="eastAsia" w:ascii="Times New Roman" w:cs="Times New Roman" w:hAnsiTheme="minorEastAsia" w:eastAsiaTheme="minorEastAsia"/>
          <w:b/>
          <w:color w:val="auto"/>
          <w:szCs w:val="21"/>
        </w:rPr>
        <w:t xml:space="preserve"> </w:t>
      </w:r>
      <w:r>
        <w:rPr>
          <w:rFonts w:ascii="Times New Roman" w:cs="Times New Roman" w:hAnsiTheme="minorEastAsia" w:eastAsiaTheme="minorEastAsia"/>
          <w:b/>
          <w:color w:val="auto"/>
          <w:szCs w:val="21"/>
        </w:rPr>
        <w:t>表</w:t>
      </w:r>
      <w:r>
        <w:rPr>
          <w:rFonts w:ascii="Times New Roman" w:hAnsi="Times New Roman" w:cs="Times New Roman" w:eastAsiaTheme="minorEastAsia"/>
          <w:b/>
          <w:color w:val="auto"/>
          <w:szCs w:val="21"/>
        </w:rPr>
        <w:t>1.</w:t>
      </w:r>
      <w:r>
        <w:rPr>
          <w:rFonts w:hint="eastAsia" w:ascii="Times New Roman" w:hAnsi="Times New Roman" w:cs="Times New Roman" w:eastAsiaTheme="minorEastAsia"/>
          <w:b/>
          <w:color w:val="auto"/>
          <w:szCs w:val="21"/>
        </w:rPr>
        <w:t>6</w:t>
      </w:r>
      <w:r>
        <w:rPr>
          <w:rFonts w:ascii="Times New Roman" w:hAnsi="Times New Roman" w:cs="Times New Roman" w:eastAsiaTheme="minorEastAsia"/>
          <w:b/>
          <w:color w:val="auto"/>
          <w:szCs w:val="21"/>
        </w:rPr>
        <w:t>-</w:t>
      </w:r>
      <w:r>
        <w:rPr>
          <w:rFonts w:hint="eastAsia" w:ascii="Times New Roman" w:hAnsi="Times New Roman" w:cs="Times New Roman" w:eastAsiaTheme="minorEastAsia"/>
          <w:b/>
          <w:color w:val="auto"/>
          <w:szCs w:val="21"/>
        </w:rPr>
        <w:t>2</w:t>
      </w:r>
      <w:r>
        <w:rPr>
          <w:rFonts w:ascii="Times New Roman" w:hAnsi="Times New Roman" w:cs="Times New Roman" w:eastAsiaTheme="minorEastAsia"/>
          <w:b/>
          <w:color w:val="auto"/>
          <w:szCs w:val="21"/>
        </w:rPr>
        <w:t xml:space="preserve">  </w:t>
      </w:r>
      <w:r>
        <w:rPr>
          <w:rFonts w:ascii="Times New Roman" w:cs="Times New Roman" w:hAnsiTheme="minorEastAsia" w:eastAsiaTheme="minorEastAsia"/>
          <w:b/>
          <w:color w:val="auto"/>
          <w:szCs w:val="21"/>
        </w:rPr>
        <w:t>拟建公路沿线声环境敏感点一览表</w:t>
      </w:r>
    </w:p>
    <w:tbl>
      <w:tblPr>
        <w:tblStyle w:val="22"/>
        <w:tblW w:w="20361" w:type="dxa"/>
        <w:jc w:val="center"/>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68"/>
        <w:gridCol w:w="694"/>
        <w:gridCol w:w="1134"/>
        <w:gridCol w:w="851"/>
        <w:gridCol w:w="850"/>
        <w:gridCol w:w="661"/>
        <w:gridCol w:w="662"/>
        <w:gridCol w:w="662"/>
        <w:gridCol w:w="567"/>
        <w:gridCol w:w="708"/>
        <w:gridCol w:w="709"/>
        <w:gridCol w:w="992"/>
        <w:gridCol w:w="993"/>
        <w:gridCol w:w="567"/>
        <w:gridCol w:w="992"/>
        <w:gridCol w:w="709"/>
        <w:gridCol w:w="708"/>
        <w:gridCol w:w="4436"/>
        <w:gridCol w:w="2898"/>
      </w:tblGrid>
      <w:tr w14:paraId="5574F1EF">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460" w:hRule="atLeast"/>
          <w:tblHeader/>
          <w:jc w:val="center"/>
        </w:trPr>
        <w:tc>
          <w:tcPr>
            <w:tcW w:w="568" w:type="dxa"/>
            <w:vMerge w:val="restart"/>
            <w:noWrap/>
            <w:vAlign w:val="center"/>
          </w:tcPr>
          <w:p w14:paraId="7D57109F">
            <w:pPr>
              <w:widowControl/>
              <w:spacing w:line="300" w:lineRule="exact"/>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序号</w:t>
            </w:r>
          </w:p>
        </w:tc>
        <w:tc>
          <w:tcPr>
            <w:tcW w:w="694" w:type="dxa"/>
            <w:vMerge w:val="restart"/>
            <w:vAlign w:val="center"/>
          </w:tcPr>
          <w:p w14:paraId="55AB8CB8">
            <w:pPr>
              <w:widowControl/>
              <w:spacing w:line="300" w:lineRule="exact"/>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路段</w:t>
            </w:r>
          </w:p>
        </w:tc>
        <w:tc>
          <w:tcPr>
            <w:tcW w:w="1134" w:type="dxa"/>
            <w:vMerge w:val="restart"/>
            <w:vAlign w:val="center"/>
          </w:tcPr>
          <w:p w14:paraId="24E0F1A2">
            <w:pPr>
              <w:widowControl/>
              <w:spacing w:line="300" w:lineRule="exact"/>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桩号</w:t>
            </w:r>
          </w:p>
        </w:tc>
        <w:tc>
          <w:tcPr>
            <w:tcW w:w="851" w:type="dxa"/>
            <w:vMerge w:val="restart"/>
            <w:vAlign w:val="center"/>
          </w:tcPr>
          <w:p w14:paraId="2DCE03DE">
            <w:pPr>
              <w:widowControl/>
              <w:spacing w:line="300" w:lineRule="exact"/>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敏感点名称</w:t>
            </w:r>
          </w:p>
        </w:tc>
        <w:tc>
          <w:tcPr>
            <w:tcW w:w="850" w:type="dxa"/>
            <w:vMerge w:val="restart"/>
            <w:vAlign w:val="center"/>
          </w:tcPr>
          <w:p w14:paraId="6B812280">
            <w:pPr>
              <w:widowControl/>
              <w:spacing w:line="300" w:lineRule="exact"/>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行政区划</w:t>
            </w:r>
          </w:p>
        </w:tc>
        <w:tc>
          <w:tcPr>
            <w:tcW w:w="1985" w:type="dxa"/>
            <w:gridSpan w:val="3"/>
            <w:vAlign w:val="center"/>
          </w:tcPr>
          <w:p w14:paraId="1499BB4B">
            <w:pPr>
              <w:widowControl/>
              <w:spacing w:line="300" w:lineRule="exact"/>
              <w:jc w:val="center"/>
              <w:rPr>
                <w:rFonts w:ascii="Times New Roman" w:hAnsi="Times New Roman" w:cs="Times New Roman" w:eastAsiaTheme="minorEastAsia"/>
                <w:b/>
                <w:bCs/>
                <w:color w:val="auto"/>
                <w:spacing w:val="-20"/>
                <w:kern w:val="0"/>
                <w:szCs w:val="21"/>
              </w:rPr>
            </w:pPr>
            <w:r>
              <w:rPr>
                <w:rFonts w:ascii="Times New Roman" w:hAnsi="Times New Roman" w:cs="Times New Roman" w:eastAsiaTheme="minorEastAsia"/>
                <w:b/>
                <w:bCs/>
                <w:color w:val="auto"/>
                <w:spacing w:val="-20"/>
                <w:kern w:val="0"/>
                <w:szCs w:val="21"/>
              </w:rPr>
              <w:t>改扩建</w:t>
            </w:r>
            <w:r>
              <w:rPr>
                <w:rFonts w:hint="eastAsia" w:ascii="Times New Roman" w:hAnsi="Times New Roman" w:cs="Times New Roman" w:eastAsiaTheme="minorEastAsia"/>
                <w:b/>
                <w:bCs/>
                <w:color w:val="auto"/>
                <w:spacing w:val="-20"/>
                <w:kern w:val="0"/>
                <w:szCs w:val="21"/>
              </w:rPr>
              <w:t>前</w:t>
            </w:r>
            <w:r>
              <w:rPr>
                <w:rFonts w:ascii="Times New Roman" w:hAnsi="Times New Roman" w:cs="Times New Roman" w:eastAsiaTheme="minorEastAsia"/>
                <w:b/>
                <w:bCs/>
                <w:color w:val="auto"/>
                <w:spacing w:val="-20"/>
                <w:kern w:val="0"/>
                <w:szCs w:val="21"/>
              </w:rPr>
              <w:t>位置关系</w:t>
            </w:r>
          </w:p>
        </w:tc>
        <w:tc>
          <w:tcPr>
            <w:tcW w:w="1984" w:type="dxa"/>
            <w:gridSpan w:val="3"/>
            <w:vAlign w:val="center"/>
          </w:tcPr>
          <w:p w14:paraId="74ED85BA">
            <w:pPr>
              <w:widowControl/>
              <w:spacing w:line="300" w:lineRule="exact"/>
              <w:jc w:val="center"/>
              <w:rPr>
                <w:rFonts w:ascii="Times New Roman" w:hAnsi="Times New Roman" w:cs="Times New Roman" w:eastAsiaTheme="minorEastAsia"/>
                <w:b/>
                <w:bCs/>
                <w:color w:val="auto"/>
                <w:spacing w:val="-20"/>
                <w:kern w:val="0"/>
                <w:szCs w:val="21"/>
              </w:rPr>
            </w:pPr>
            <w:r>
              <w:rPr>
                <w:rFonts w:ascii="Times New Roman" w:hAnsi="Times New Roman" w:cs="Times New Roman" w:eastAsiaTheme="minorEastAsia"/>
                <w:b/>
                <w:bCs/>
                <w:color w:val="auto"/>
                <w:spacing w:val="-20"/>
                <w:kern w:val="0"/>
                <w:szCs w:val="21"/>
              </w:rPr>
              <w:t>改扩建后位置关系</w:t>
            </w:r>
          </w:p>
        </w:tc>
        <w:tc>
          <w:tcPr>
            <w:tcW w:w="992" w:type="dxa"/>
            <w:vMerge w:val="restart"/>
            <w:vAlign w:val="center"/>
          </w:tcPr>
          <w:p w14:paraId="7ECC985B">
            <w:pPr>
              <w:widowControl/>
              <w:spacing w:line="300" w:lineRule="exact"/>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预测点地面高</w:t>
            </w:r>
            <w:r>
              <w:rPr>
                <w:rFonts w:ascii="Times New Roman" w:hAnsi="Times New Roman" w:cs="Times New Roman" w:eastAsiaTheme="minorEastAsia"/>
                <w:b/>
                <w:bCs/>
                <w:color w:val="auto"/>
                <w:spacing w:val="-20"/>
                <w:kern w:val="0"/>
                <w:szCs w:val="21"/>
              </w:rPr>
              <w:t>-</w:t>
            </w:r>
            <w:r>
              <w:rPr>
                <w:rFonts w:ascii="Times New Roman" w:cs="Times New Roman" w:hAnsiTheme="minorEastAsia" w:eastAsiaTheme="minorEastAsia"/>
                <w:b/>
                <w:bCs/>
                <w:color w:val="auto"/>
                <w:spacing w:val="-20"/>
                <w:kern w:val="0"/>
                <w:szCs w:val="21"/>
              </w:rPr>
              <w:t>路基地面高</w:t>
            </w:r>
            <w:r>
              <w:rPr>
                <w:rFonts w:ascii="Times New Roman" w:hAnsi="Times New Roman" w:cs="Times New Roman" w:eastAsiaTheme="minorEastAsia"/>
                <w:b/>
                <w:bCs/>
                <w:color w:val="auto"/>
                <w:spacing w:val="-20"/>
                <w:kern w:val="0"/>
                <w:szCs w:val="21"/>
              </w:rPr>
              <w:t>(m)</w:t>
            </w:r>
          </w:p>
        </w:tc>
        <w:tc>
          <w:tcPr>
            <w:tcW w:w="993" w:type="dxa"/>
            <w:vMerge w:val="restart"/>
            <w:vAlign w:val="center"/>
          </w:tcPr>
          <w:p w14:paraId="51B43F1E">
            <w:pPr>
              <w:widowControl/>
              <w:spacing w:line="300" w:lineRule="exact"/>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路基填挖高度或桥高</w:t>
            </w:r>
            <w:r>
              <w:rPr>
                <w:rFonts w:ascii="Times New Roman" w:hAnsi="Times New Roman" w:cs="Times New Roman" w:eastAsiaTheme="minorEastAsia"/>
                <w:b/>
                <w:bCs/>
                <w:color w:val="auto"/>
                <w:spacing w:val="-20"/>
                <w:kern w:val="0"/>
                <w:szCs w:val="21"/>
              </w:rPr>
              <w:t>(m)</w:t>
            </w:r>
          </w:p>
        </w:tc>
        <w:tc>
          <w:tcPr>
            <w:tcW w:w="567" w:type="dxa"/>
            <w:vMerge w:val="restart"/>
            <w:noWrap/>
            <w:vAlign w:val="center"/>
          </w:tcPr>
          <w:p w14:paraId="7CE785DB">
            <w:pPr>
              <w:widowControl/>
              <w:spacing w:line="300" w:lineRule="exact"/>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工程形式</w:t>
            </w:r>
          </w:p>
        </w:tc>
        <w:tc>
          <w:tcPr>
            <w:tcW w:w="992" w:type="dxa"/>
            <w:vMerge w:val="restart"/>
            <w:vAlign w:val="center"/>
          </w:tcPr>
          <w:p w14:paraId="03F3E950">
            <w:pPr>
              <w:widowControl/>
              <w:spacing w:line="300" w:lineRule="exact"/>
              <w:jc w:val="center"/>
              <w:rPr>
                <w:rFonts w:ascii="Times New Roman" w:hAnsi="Times New Roman" w:cs="Times New Roman" w:eastAsiaTheme="minorEastAsia"/>
                <w:b/>
                <w:bCs/>
                <w:color w:val="auto"/>
                <w:spacing w:val="-20"/>
                <w:kern w:val="0"/>
                <w:szCs w:val="21"/>
              </w:rPr>
            </w:pPr>
            <w:r>
              <w:rPr>
                <w:rFonts w:hint="eastAsia" w:ascii="Times New Roman" w:cs="Times New Roman" w:hAnsiTheme="minorEastAsia" w:eastAsiaTheme="minorEastAsia"/>
                <w:b/>
                <w:bCs/>
                <w:color w:val="auto"/>
                <w:spacing w:val="-20"/>
                <w:kern w:val="0"/>
                <w:szCs w:val="21"/>
              </w:rPr>
              <w:t>改扩建</w:t>
            </w:r>
            <w:r>
              <w:rPr>
                <w:rFonts w:ascii="Times New Roman" w:cs="Times New Roman" w:hAnsiTheme="minorEastAsia" w:eastAsiaTheme="minorEastAsia"/>
                <w:b/>
                <w:bCs/>
                <w:color w:val="auto"/>
                <w:spacing w:val="-20"/>
                <w:kern w:val="0"/>
                <w:szCs w:val="21"/>
              </w:rPr>
              <w:t>后功能区分界</w:t>
            </w:r>
            <w:r>
              <w:rPr>
                <w:rFonts w:ascii="Times New Roman" w:hAnsi="Times New Roman" w:cs="Times New Roman" w:eastAsiaTheme="minorEastAsia"/>
                <w:b/>
                <w:bCs/>
                <w:color w:val="auto"/>
                <w:spacing w:val="-20"/>
                <w:kern w:val="0"/>
                <w:szCs w:val="21"/>
              </w:rPr>
              <w:t>(m)</w:t>
            </w:r>
          </w:p>
        </w:tc>
        <w:tc>
          <w:tcPr>
            <w:tcW w:w="1417" w:type="dxa"/>
            <w:gridSpan w:val="2"/>
            <w:vAlign w:val="center"/>
          </w:tcPr>
          <w:p w14:paraId="69254199">
            <w:pPr>
              <w:widowControl/>
              <w:spacing w:line="300" w:lineRule="exact"/>
              <w:jc w:val="center"/>
              <w:rPr>
                <w:rFonts w:ascii="Times New Roman" w:hAnsi="Times New Roman" w:cs="Times New Roman" w:eastAsiaTheme="minorEastAsia"/>
                <w:b/>
                <w:bCs/>
                <w:color w:val="auto"/>
                <w:spacing w:val="-20"/>
                <w:kern w:val="0"/>
                <w:szCs w:val="21"/>
              </w:rPr>
            </w:pPr>
            <w:r>
              <w:rPr>
                <w:rFonts w:hint="eastAsia" w:ascii="Times New Roman" w:cs="Times New Roman" w:hAnsiTheme="minorEastAsia" w:eastAsiaTheme="minorEastAsia"/>
                <w:b/>
                <w:bCs/>
                <w:color w:val="auto"/>
                <w:spacing w:val="-20"/>
                <w:kern w:val="0"/>
                <w:szCs w:val="21"/>
              </w:rPr>
              <w:t>改扩建</w:t>
            </w:r>
            <w:r>
              <w:rPr>
                <w:rFonts w:ascii="Times New Roman" w:cs="Times New Roman" w:hAnsiTheme="minorEastAsia" w:eastAsiaTheme="minorEastAsia"/>
                <w:b/>
                <w:bCs/>
                <w:color w:val="auto"/>
                <w:spacing w:val="-20"/>
                <w:kern w:val="0"/>
                <w:szCs w:val="21"/>
              </w:rPr>
              <w:t>后受影响户数</w:t>
            </w:r>
            <w:r>
              <w:rPr>
                <w:rFonts w:ascii="Times New Roman" w:hAnsi="Times New Roman" w:cs="Times New Roman" w:eastAsiaTheme="minorEastAsia"/>
                <w:b/>
                <w:bCs/>
                <w:color w:val="auto"/>
                <w:spacing w:val="-20"/>
                <w:kern w:val="0"/>
                <w:szCs w:val="21"/>
              </w:rPr>
              <w:t>(</w:t>
            </w:r>
            <w:r>
              <w:rPr>
                <w:rFonts w:ascii="Times New Roman" w:cs="Times New Roman" w:hAnsiTheme="minorEastAsia" w:eastAsiaTheme="minorEastAsia"/>
                <w:b/>
                <w:bCs/>
                <w:color w:val="auto"/>
                <w:spacing w:val="-20"/>
                <w:kern w:val="0"/>
                <w:szCs w:val="21"/>
              </w:rPr>
              <w:t>户</w:t>
            </w:r>
            <w:r>
              <w:rPr>
                <w:rFonts w:ascii="Times New Roman" w:hAnsi="Times New Roman" w:cs="Times New Roman" w:eastAsiaTheme="minorEastAsia"/>
                <w:b/>
                <w:bCs/>
                <w:color w:val="auto"/>
                <w:spacing w:val="-20"/>
                <w:kern w:val="0"/>
                <w:szCs w:val="21"/>
              </w:rPr>
              <w:t>)</w:t>
            </w:r>
          </w:p>
        </w:tc>
        <w:tc>
          <w:tcPr>
            <w:tcW w:w="4436" w:type="dxa"/>
            <w:vMerge w:val="restart"/>
            <w:vAlign w:val="center"/>
          </w:tcPr>
          <w:p w14:paraId="4D329382">
            <w:pPr>
              <w:widowControl/>
              <w:spacing w:line="300" w:lineRule="exact"/>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敏感点及环境特征</w:t>
            </w:r>
          </w:p>
        </w:tc>
        <w:tc>
          <w:tcPr>
            <w:tcW w:w="2898" w:type="dxa"/>
            <w:vMerge w:val="restart"/>
            <w:vAlign w:val="center"/>
          </w:tcPr>
          <w:p w14:paraId="35127768">
            <w:pPr>
              <w:widowControl/>
              <w:spacing w:line="300" w:lineRule="exact"/>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照片</w:t>
            </w:r>
          </w:p>
        </w:tc>
      </w:tr>
      <w:tr w14:paraId="12A6CB1A">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461" w:hRule="atLeast"/>
          <w:tblHeader/>
          <w:jc w:val="center"/>
        </w:trPr>
        <w:tc>
          <w:tcPr>
            <w:tcW w:w="568" w:type="dxa"/>
            <w:vMerge w:val="continue"/>
            <w:noWrap/>
            <w:vAlign w:val="center"/>
          </w:tcPr>
          <w:p w14:paraId="161EA3C4">
            <w:pPr>
              <w:widowControl/>
              <w:spacing w:line="300" w:lineRule="exact"/>
              <w:jc w:val="center"/>
              <w:rPr>
                <w:rFonts w:ascii="Times New Roman" w:hAnsi="Times New Roman" w:cs="Times New Roman" w:eastAsiaTheme="minorEastAsia"/>
                <w:b/>
                <w:bCs/>
                <w:color w:val="auto"/>
                <w:spacing w:val="-20"/>
                <w:kern w:val="0"/>
                <w:szCs w:val="21"/>
              </w:rPr>
            </w:pPr>
          </w:p>
        </w:tc>
        <w:tc>
          <w:tcPr>
            <w:tcW w:w="694" w:type="dxa"/>
            <w:vMerge w:val="continue"/>
            <w:vAlign w:val="center"/>
          </w:tcPr>
          <w:p w14:paraId="722EF744">
            <w:pPr>
              <w:widowControl/>
              <w:spacing w:line="300" w:lineRule="exact"/>
              <w:jc w:val="center"/>
              <w:rPr>
                <w:rFonts w:ascii="Times New Roman" w:hAnsi="Times New Roman" w:cs="Times New Roman" w:eastAsiaTheme="minorEastAsia"/>
                <w:b/>
                <w:bCs/>
                <w:color w:val="auto"/>
                <w:spacing w:val="-20"/>
                <w:kern w:val="0"/>
                <w:szCs w:val="21"/>
              </w:rPr>
            </w:pPr>
          </w:p>
        </w:tc>
        <w:tc>
          <w:tcPr>
            <w:tcW w:w="1134" w:type="dxa"/>
            <w:vMerge w:val="continue"/>
            <w:vAlign w:val="center"/>
          </w:tcPr>
          <w:p w14:paraId="7A69C01E">
            <w:pPr>
              <w:widowControl/>
              <w:spacing w:line="300" w:lineRule="exact"/>
              <w:jc w:val="center"/>
              <w:rPr>
                <w:rFonts w:ascii="Times New Roman" w:hAnsi="Times New Roman" w:cs="Times New Roman" w:eastAsiaTheme="minorEastAsia"/>
                <w:b/>
                <w:bCs/>
                <w:color w:val="auto"/>
                <w:spacing w:val="-20"/>
                <w:kern w:val="0"/>
                <w:szCs w:val="21"/>
              </w:rPr>
            </w:pPr>
          </w:p>
        </w:tc>
        <w:tc>
          <w:tcPr>
            <w:tcW w:w="851" w:type="dxa"/>
            <w:vMerge w:val="continue"/>
            <w:vAlign w:val="center"/>
          </w:tcPr>
          <w:p w14:paraId="5CD7102B">
            <w:pPr>
              <w:widowControl/>
              <w:spacing w:line="300" w:lineRule="exact"/>
              <w:jc w:val="center"/>
              <w:rPr>
                <w:rFonts w:ascii="Times New Roman" w:hAnsi="Times New Roman" w:cs="Times New Roman" w:eastAsiaTheme="minorEastAsia"/>
                <w:b/>
                <w:bCs/>
                <w:color w:val="auto"/>
                <w:spacing w:val="-20"/>
                <w:kern w:val="0"/>
                <w:szCs w:val="21"/>
              </w:rPr>
            </w:pPr>
          </w:p>
        </w:tc>
        <w:tc>
          <w:tcPr>
            <w:tcW w:w="850" w:type="dxa"/>
            <w:vMerge w:val="continue"/>
            <w:vAlign w:val="center"/>
          </w:tcPr>
          <w:p w14:paraId="45B55D96">
            <w:pPr>
              <w:widowControl/>
              <w:spacing w:line="300" w:lineRule="exact"/>
              <w:jc w:val="center"/>
              <w:rPr>
                <w:rFonts w:ascii="Times New Roman" w:hAnsi="Times New Roman" w:cs="Times New Roman" w:eastAsiaTheme="minorEastAsia"/>
                <w:b/>
                <w:bCs/>
                <w:color w:val="auto"/>
                <w:spacing w:val="-20"/>
                <w:kern w:val="0"/>
                <w:szCs w:val="21"/>
              </w:rPr>
            </w:pPr>
          </w:p>
        </w:tc>
        <w:tc>
          <w:tcPr>
            <w:tcW w:w="661" w:type="dxa"/>
            <w:vAlign w:val="center"/>
          </w:tcPr>
          <w:p w14:paraId="1B138436">
            <w:pPr>
              <w:widowControl/>
              <w:spacing w:line="300" w:lineRule="exact"/>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方位</w:t>
            </w:r>
          </w:p>
        </w:tc>
        <w:tc>
          <w:tcPr>
            <w:tcW w:w="662" w:type="dxa"/>
            <w:vAlign w:val="center"/>
          </w:tcPr>
          <w:p w14:paraId="47D0FBC4">
            <w:pPr>
              <w:widowControl/>
              <w:spacing w:line="300" w:lineRule="exact"/>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距路中</w:t>
            </w:r>
            <w:r>
              <w:rPr>
                <w:rFonts w:ascii="Times New Roman" w:hAnsi="Times New Roman" w:cs="Times New Roman" w:eastAsiaTheme="minorEastAsia"/>
                <w:b/>
                <w:bCs/>
                <w:color w:val="auto"/>
                <w:spacing w:val="-20"/>
                <w:kern w:val="0"/>
                <w:szCs w:val="21"/>
              </w:rPr>
              <w:t>(m)</w:t>
            </w:r>
          </w:p>
        </w:tc>
        <w:tc>
          <w:tcPr>
            <w:tcW w:w="662" w:type="dxa"/>
            <w:vAlign w:val="center"/>
          </w:tcPr>
          <w:p w14:paraId="793A864B">
            <w:pPr>
              <w:widowControl/>
              <w:spacing w:line="300" w:lineRule="exact"/>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距红线</w:t>
            </w:r>
            <w:r>
              <w:rPr>
                <w:rFonts w:ascii="Times New Roman" w:hAnsi="Times New Roman" w:cs="Times New Roman" w:eastAsiaTheme="minorEastAsia"/>
                <w:b/>
                <w:bCs/>
                <w:color w:val="auto"/>
                <w:spacing w:val="-20"/>
                <w:kern w:val="0"/>
                <w:szCs w:val="21"/>
              </w:rPr>
              <w:t>(m)</w:t>
            </w:r>
          </w:p>
        </w:tc>
        <w:tc>
          <w:tcPr>
            <w:tcW w:w="567" w:type="dxa"/>
            <w:vAlign w:val="center"/>
          </w:tcPr>
          <w:p w14:paraId="191789BA">
            <w:pPr>
              <w:widowControl/>
              <w:spacing w:line="300" w:lineRule="exact"/>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方位</w:t>
            </w:r>
          </w:p>
        </w:tc>
        <w:tc>
          <w:tcPr>
            <w:tcW w:w="708" w:type="dxa"/>
            <w:vAlign w:val="center"/>
          </w:tcPr>
          <w:p w14:paraId="793A8544">
            <w:pPr>
              <w:widowControl/>
              <w:spacing w:line="300" w:lineRule="exact"/>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距路中</w:t>
            </w:r>
            <w:r>
              <w:rPr>
                <w:rFonts w:ascii="Times New Roman" w:hAnsi="Times New Roman" w:cs="Times New Roman" w:eastAsiaTheme="minorEastAsia"/>
                <w:b/>
                <w:bCs/>
                <w:color w:val="auto"/>
                <w:spacing w:val="-20"/>
                <w:kern w:val="0"/>
                <w:szCs w:val="21"/>
              </w:rPr>
              <w:t>(m)</w:t>
            </w:r>
          </w:p>
        </w:tc>
        <w:tc>
          <w:tcPr>
            <w:tcW w:w="709" w:type="dxa"/>
            <w:vAlign w:val="center"/>
          </w:tcPr>
          <w:p w14:paraId="39E7C8F5">
            <w:pPr>
              <w:widowControl/>
              <w:spacing w:line="300" w:lineRule="exact"/>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距红线</w:t>
            </w:r>
            <w:r>
              <w:rPr>
                <w:rFonts w:ascii="Times New Roman" w:hAnsi="Times New Roman" w:cs="Times New Roman" w:eastAsiaTheme="minorEastAsia"/>
                <w:b/>
                <w:bCs/>
                <w:color w:val="auto"/>
                <w:spacing w:val="-20"/>
                <w:kern w:val="0"/>
                <w:szCs w:val="21"/>
              </w:rPr>
              <w:t>(m)</w:t>
            </w:r>
          </w:p>
        </w:tc>
        <w:tc>
          <w:tcPr>
            <w:tcW w:w="992" w:type="dxa"/>
            <w:vMerge w:val="continue"/>
            <w:vAlign w:val="center"/>
          </w:tcPr>
          <w:p w14:paraId="3D1C7B97">
            <w:pPr>
              <w:widowControl/>
              <w:spacing w:line="300" w:lineRule="exact"/>
              <w:jc w:val="center"/>
              <w:rPr>
                <w:rFonts w:ascii="Times New Roman" w:hAnsi="Times New Roman" w:cs="Times New Roman" w:eastAsiaTheme="minorEastAsia"/>
                <w:b/>
                <w:bCs/>
                <w:color w:val="auto"/>
                <w:spacing w:val="-20"/>
                <w:kern w:val="0"/>
                <w:szCs w:val="21"/>
              </w:rPr>
            </w:pPr>
          </w:p>
        </w:tc>
        <w:tc>
          <w:tcPr>
            <w:tcW w:w="993" w:type="dxa"/>
            <w:vMerge w:val="continue"/>
            <w:vAlign w:val="center"/>
          </w:tcPr>
          <w:p w14:paraId="764294B1">
            <w:pPr>
              <w:widowControl/>
              <w:spacing w:line="300" w:lineRule="exact"/>
              <w:jc w:val="center"/>
              <w:rPr>
                <w:rFonts w:ascii="Times New Roman" w:hAnsi="Times New Roman" w:cs="Times New Roman" w:eastAsiaTheme="minorEastAsia"/>
                <w:b/>
                <w:bCs/>
                <w:color w:val="auto"/>
                <w:spacing w:val="-20"/>
                <w:kern w:val="0"/>
                <w:szCs w:val="21"/>
              </w:rPr>
            </w:pPr>
          </w:p>
        </w:tc>
        <w:tc>
          <w:tcPr>
            <w:tcW w:w="567" w:type="dxa"/>
            <w:vMerge w:val="continue"/>
            <w:noWrap/>
            <w:vAlign w:val="center"/>
          </w:tcPr>
          <w:p w14:paraId="3FEA3BE4">
            <w:pPr>
              <w:widowControl/>
              <w:spacing w:line="300" w:lineRule="exact"/>
              <w:jc w:val="center"/>
              <w:rPr>
                <w:rFonts w:ascii="Times New Roman" w:hAnsi="Times New Roman" w:cs="Times New Roman" w:eastAsiaTheme="minorEastAsia"/>
                <w:b/>
                <w:bCs/>
                <w:color w:val="auto"/>
                <w:spacing w:val="-20"/>
                <w:kern w:val="0"/>
                <w:szCs w:val="21"/>
              </w:rPr>
            </w:pPr>
          </w:p>
        </w:tc>
        <w:tc>
          <w:tcPr>
            <w:tcW w:w="992" w:type="dxa"/>
            <w:vMerge w:val="continue"/>
            <w:vAlign w:val="center"/>
          </w:tcPr>
          <w:p w14:paraId="4CD1A46E">
            <w:pPr>
              <w:widowControl/>
              <w:spacing w:line="300" w:lineRule="exact"/>
              <w:jc w:val="center"/>
              <w:rPr>
                <w:rFonts w:ascii="Times New Roman" w:hAnsi="Times New Roman" w:cs="Times New Roman" w:eastAsiaTheme="minorEastAsia"/>
                <w:b/>
                <w:bCs/>
                <w:color w:val="auto"/>
                <w:spacing w:val="-20"/>
                <w:kern w:val="0"/>
                <w:szCs w:val="21"/>
              </w:rPr>
            </w:pPr>
          </w:p>
        </w:tc>
        <w:tc>
          <w:tcPr>
            <w:tcW w:w="709" w:type="dxa"/>
            <w:vAlign w:val="center"/>
          </w:tcPr>
          <w:p w14:paraId="698EDE9D">
            <w:pPr>
              <w:widowControl/>
              <w:spacing w:line="300" w:lineRule="exact"/>
              <w:jc w:val="center"/>
              <w:rPr>
                <w:rFonts w:ascii="Times New Roman" w:hAnsi="Times New Roman" w:cs="Times New Roman" w:eastAsiaTheme="minorEastAsia"/>
                <w:b/>
                <w:bCs/>
                <w:color w:val="auto"/>
                <w:spacing w:val="-20"/>
                <w:kern w:val="0"/>
                <w:szCs w:val="21"/>
              </w:rPr>
            </w:pPr>
            <w:r>
              <w:rPr>
                <w:rFonts w:ascii="Times New Roman" w:hAnsi="Times New Roman" w:cs="Times New Roman" w:eastAsiaTheme="minorEastAsia"/>
                <w:b/>
                <w:bCs/>
                <w:color w:val="auto"/>
                <w:spacing w:val="-20"/>
                <w:kern w:val="0"/>
                <w:szCs w:val="21"/>
              </w:rPr>
              <w:t>4a</w:t>
            </w:r>
            <w:r>
              <w:rPr>
                <w:rFonts w:ascii="Times New Roman" w:cs="Times New Roman" w:hAnsiTheme="minorEastAsia" w:eastAsiaTheme="minorEastAsia"/>
                <w:b/>
                <w:bCs/>
                <w:color w:val="auto"/>
                <w:spacing w:val="-20"/>
                <w:kern w:val="0"/>
                <w:szCs w:val="21"/>
              </w:rPr>
              <w:t>类</w:t>
            </w:r>
          </w:p>
        </w:tc>
        <w:tc>
          <w:tcPr>
            <w:tcW w:w="708" w:type="dxa"/>
            <w:vAlign w:val="center"/>
          </w:tcPr>
          <w:p w14:paraId="61A5F714">
            <w:pPr>
              <w:widowControl/>
              <w:spacing w:line="300" w:lineRule="exact"/>
              <w:jc w:val="center"/>
              <w:rPr>
                <w:rFonts w:ascii="Times New Roman" w:hAnsi="Times New Roman" w:cs="Times New Roman" w:eastAsiaTheme="minorEastAsia"/>
                <w:b/>
                <w:bCs/>
                <w:color w:val="auto"/>
                <w:spacing w:val="-20"/>
                <w:kern w:val="0"/>
                <w:szCs w:val="21"/>
              </w:rPr>
            </w:pPr>
            <w:r>
              <w:rPr>
                <w:rFonts w:ascii="Times New Roman" w:hAnsi="Times New Roman" w:cs="Times New Roman" w:eastAsiaTheme="minorEastAsia"/>
                <w:b/>
                <w:bCs/>
                <w:color w:val="auto"/>
                <w:spacing w:val="-20"/>
                <w:kern w:val="0"/>
                <w:szCs w:val="21"/>
              </w:rPr>
              <w:t>2</w:t>
            </w:r>
            <w:r>
              <w:rPr>
                <w:rFonts w:ascii="Times New Roman" w:cs="Times New Roman" w:hAnsiTheme="minorEastAsia" w:eastAsiaTheme="minorEastAsia"/>
                <w:b/>
                <w:bCs/>
                <w:color w:val="auto"/>
                <w:spacing w:val="-20"/>
                <w:kern w:val="0"/>
                <w:szCs w:val="21"/>
              </w:rPr>
              <w:t>类</w:t>
            </w:r>
          </w:p>
        </w:tc>
        <w:tc>
          <w:tcPr>
            <w:tcW w:w="4436" w:type="dxa"/>
            <w:vMerge w:val="continue"/>
            <w:vAlign w:val="center"/>
          </w:tcPr>
          <w:p w14:paraId="269C23C8">
            <w:pPr>
              <w:widowControl/>
              <w:spacing w:line="300" w:lineRule="exact"/>
              <w:jc w:val="center"/>
              <w:rPr>
                <w:rFonts w:ascii="Times New Roman" w:hAnsi="Times New Roman" w:cs="Times New Roman" w:eastAsiaTheme="minorEastAsia"/>
                <w:b/>
                <w:bCs/>
                <w:color w:val="auto"/>
                <w:spacing w:val="-20"/>
                <w:kern w:val="0"/>
                <w:szCs w:val="21"/>
              </w:rPr>
            </w:pPr>
          </w:p>
        </w:tc>
        <w:tc>
          <w:tcPr>
            <w:tcW w:w="2898" w:type="dxa"/>
            <w:vMerge w:val="continue"/>
            <w:vAlign w:val="center"/>
          </w:tcPr>
          <w:p w14:paraId="68E369DD">
            <w:pPr>
              <w:widowControl/>
              <w:spacing w:line="300" w:lineRule="exact"/>
              <w:jc w:val="center"/>
              <w:rPr>
                <w:rFonts w:ascii="Times New Roman" w:hAnsi="Times New Roman" w:cs="Times New Roman" w:eastAsiaTheme="minorEastAsia"/>
                <w:color w:val="auto"/>
                <w:spacing w:val="-20"/>
                <w:kern w:val="0"/>
                <w:szCs w:val="21"/>
              </w:rPr>
            </w:pPr>
          </w:p>
        </w:tc>
      </w:tr>
      <w:tr w14:paraId="1422166C">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690" w:hRule="atLeast"/>
          <w:tblHeader/>
          <w:jc w:val="center"/>
        </w:trPr>
        <w:tc>
          <w:tcPr>
            <w:tcW w:w="568" w:type="dxa"/>
            <w:vMerge w:val="restart"/>
            <w:noWrap/>
            <w:vAlign w:val="center"/>
          </w:tcPr>
          <w:p w14:paraId="6213A431">
            <w:pPr>
              <w:widowControl/>
              <w:spacing w:line="300" w:lineRule="exact"/>
              <w:jc w:val="center"/>
              <w:rPr>
                <w:rFonts w:ascii="Times New Roman" w:hAnsi="Times New Roman" w:cs="Times New Roman" w:eastAsiaTheme="minorEastAsia"/>
                <w:color w:val="auto"/>
                <w:spacing w:val="-20"/>
                <w:kern w:val="0"/>
                <w:szCs w:val="21"/>
              </w:rPr>
            </w:pPr>
            <w:r>
              <w:rPr>
                <w:rFonts w:ascii="Times New Roman" w:hAnsi="Times New Roman" w:cs="Times New Roman" w:eastAsiaTheme="minorEastAsia"/>
                <w:color w:val="auto"/>
                <w:spacing w:val="-20"/>
                <w:kern w:val="0"/>
                <w:szCs w:val="21"/>
              </w:rPr>
              <w:t>19</w:t>
            </w:r>
          </w:p>
        </w:tc>
        <w:tc>
          <w:tcPr>
            <w:tcW w:w="694" w:type="dxa"/>
            <w:vMerge w:val="restart"/>
            <w:vAlign w:val="center"/>
          </w:tcPr>
          <w:p w14:paraId="473E6BAA">
            <w:pPr>
              <w:spacing w:line="300" w:lineRule="exact"/>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胜利路～S311</w:t>
            </w:r>
          </w:p>
        </w:tc>
        <w:tc>
          <w:tcPr>
            <w:tcW w:w="1134" w:type="dxa"/>
            <w:vAlign w:val="center"/>
          </w:tcPr>
          <w:p w14:paraId="6603741F">
            <w:pPr>
              <w:widowControl/>
              <w:spacing w:line="300" w:lineRule="exact"/>
              <w:jc w:val="center"/>
              <w:rPr>
                <w:rFonts w:ascii="Times New Roman" w:hAnsi="Times New Roman" w:cs="Times New Roman" w:eastAsiaTheme="minorEastAsia"/>
                <w:color w:val="auto"/>
                <w:spacing w:val="-20"/>
                <w:kern w:val="0"/>
                <w:szCs w:val="21"/>
              </w:rPr>
            </w:pPr>
            <w:r>
              <w:rPr>
                <w:rFonts w:ascii="Times New Roman" w:hAnsi="Times New Roman" w:cs="Times New Roman" w:eastAsiaTheme="minorEastAsia"/>
                <w:color w:val="auto"/>
                <w:spacing w:val="-20"/>
                <w:szCs w:val="21"/>
              </w:rPr>
              <w:t>K</w:t>
            </w:r>
            <w:r>
              <w:rPr>
                <w:rFonts w:hint="eastAsia" w:ascii="Times New Roman" w:hAnsi="Times New Roman" w:cs="Times New Roman" w:eastAsiaTheme="minorEastAsia"/>
                <w:color w:val="auto"/>
                <w:spacing w:val="-20"/>
                <w:szCs w:val="21"/>
              </w:rPr>
              <w:t>38</w:t>
            </w:r>
            <w:r>
              <w:rPr>
                <w:rFonts w:ascii="Times New Roman" w:hAnsi="Times New Roman" w:cs="Times New Roman" w:eastAsiaTheme="minorEastAsia"/>
                <w:color w:val="auto"/>
                <w:spacing w:val="-20"/>
                <w:szCs w:val="21"/>
              </w:rPr>
              <w:t>+</w:t>
            </w:r>
            <w:r>
              <w:rPr>
                <w:rFonts w:hint="eastAsia" w:ascii="Times New Roman" w:hAnsi="Times New Roman" w:cs="Times New Roman" w:eastAsiaTheme="minorEastAsia"/>
                <w:color w:val="auto"/>
                <w:spacing w:val="-20"/>
                <w:szCs w:val="21"/>
              </w:rPr>
              <w:t>40</w:t>
            </w:r>
            <w:r>
              <w:rPr>
                <w:rFonts w:ascii="Times New Roman" w:hAnsi="Times New Roman" w:cs="Times New Roman" w:eastAsiaTheme="minorEastAsia"/>
                <w:color w:val="auto"/>
                <w:spacing w:val="-20"/>
                <w:szCs w:val="21"/>
              </w:rPr>
              <w:t>0</w:t>
            </w:r>
            <w:r>
              <w:rPr>
                <w:rFonts w:ascii="Times New Roman" w:cs="Times New Roman" w:hAnsiTheme="minorEastAsia" w:eastAsiaTheme="minorEastAsia"/>
                <w:color w:val="auto"/>
                <w:spacing w:val="-20"/>
                <w:szCs w:val="21"/>
              </w:rPr>
              <w:t>～</w:t>
            </w:r>
            <w:r>
              <w:rPr>
                <w:rFonts w:ascii="Times New Roman" w:hAnsi="Times New Roman" w:cs="Times New Roman" w:eastAsiaTheme="minorEastAsia"/>
                <w:color w:val="auto"/>
                <w:spacing w:val="-20"/>
                <w:szCs w:val="21"/>
              </w:rPr>
              <w:t>K</w:t>
            </w:r>
            <w:r>
              <w:rPr>
                <w:rFonts w:hint="eastAsia" w:ascii="Times New Roman" w:hAnsi="Times New Roman" w:cs="Times New Roman" w:eastAsiaTheme="minorEastAsia"/>
                <w:color w:val="auto"/>
                <w:spacing w:val="-20"/>
                <w:szCs w:val="21"/>
              </w:rPr>
              <w:t>38</w:t>
            </w:r>
            <w:r>
              <w:rPr>
                <w:rFonts w:ascii="Times New Roman" w:hAnsi="Times New Roman" w:cs="Times New Roman" w:eastAsiaTheme="minorEastAsia"/>
                <w:color w:val="auto"/>
                <w:spacing w:val="-20"/>
                <w:szCs w:val="21"/>
              </w:rPr>
              <w:t>+</w:t>
            </w:r>
            <w:r>
              <w:rPr>
                <w:rFonts w:hint="eastAsia" w:ascii="Times New Roman" w:hAnsi="Times New Roman" w:cs="Times New Roman" w:eastAsiaTheme="minorEastAsia"/>
                <w:color w:val="auto"/>
                <w:spacing w:val="-20"/>
                <w:szCs w:val="21"/>
              </w:rPr>
              <w:t>45</w:t>
            </w:r>
            <w:r>
              <w:rPr>
                <w:rFonts w:ascii="Times New Roman" w:hAnsi="Times New Roman" w:cs="Times New Roman" w:eastAsiaTheme="minorEastAsia"/>
                <w:color w:val="auto"/>
                <w:spacing w:val="-20"/>
                <w:szCs w:val="21"/>
              </w:rPr>
              <w:t>0</w:t>
            </w:r>
          </w:p>
        </w:tc>
        <w:tc>
          <w:tcPr>
            <w:tcW w:w="851" w:type="dxa"/>
            <w:vMerge w:val="restart"/>
            <w:vAlign w:val="center"/>
          </w:tcPr>
          <w:p w14:paraId="09187BDB">
            <w:pPr>
              <w:widowControl/>
              <w:spacing w:line="300" w:lineRule="exact"/>
              <w:jc w:val="center"/>
              <w:rPr>
                <w:rFonts w:ascii="Times New Roman" w:hAnsi="Times New Roman" w:cs="Times New Roman" w:eastAsiaTheme="minorEastAsia"/>
                <w:color w:val="auto"/>
                <w:spacing w:val="-20"/>
                <w:kern w:val="0"/>
                <w:szCs w:val="21"/>
              </w:rPr>
            </w:pPr>
            <w:bookmarkStart w:id="123" w:name="OLE_LINK227"/>
            <w:r>
              <w:rPr>
                <w:rFonts w:hint="eastAsia" w:ascii="Times New Roman" w:cs="Times New Roman" w:hAnsiTheme="minorEastAsia" w:eastAsiaTheme="minorEastAsia"/>
                <w:color w:val="auto"/>
                <w:spacing w:val="-20"/>
                <w:szCs w:val="21"/>
              </w:rPr>
              <w:t>提木村</w:t>
            </w:r>
            <w:bookmarkEnd w:id="123"/>
          </w:p>
        </w:tc>
        <w:tc>
          <w:tcPr>
            <w:tcW w:w="850" w:type="dxa"/>
            <w:vMerge w:val="restart"/>
            <w:vAlign w:val="center"/>
          </w:tcPr>
          <w:p w14:paraId="3EAEB0DF">
            <w:pPr>
              <w:spacing w:line="300" w:lineRule="exact"/>
              <w:jc w:val="center"/>
              <w:rPr>
                <w:rFonts w:ascii="Times New Roman" w:hAnsi="Times New Roman" w:cs="Times New Roman" w:eastAsiaTheme="minorEastAsia"/>
                <w:color w:val="auto"/>
                <w:spacing w:val="-20"/>
                <w:kern w:val="0"/>
                <w:szCs w:val="21"/>
              </w:rPr>
            </w:pPr>
            <w:r>
              <w:rPr>
                <w:rFonts w:hint="eastAsia" w:ascii="Times New Roman" w:cs="Times New Roman" w:hAnsiTheme="minorEastAsia" w:eastAsiaTheme="minorEastAsia"/>
                <w:color w:val="auto"/>
                <w:spacing w:val="-20"/>
                <w:szCs w:val="21"/>
              </w:rPr>
              <w:t>伽师县</w:t>
            </w:r>
          </w:p>
        </w:tc>
        <w:tc>
          <w:tcPr>
            <w:tcW w:w="661" w:type="dxa"/>
            <w:vMerge w:val="restart"/>
            <w:vAlign w:val="center"/>
          </w:tcPr>
          <w:p w14:paraId="467C54E1">
            <w:pPr>
              <w:widowControl/>
              <w:spacing w:line="300" w:lineRule="exact"/>
              <w:jc w:val="center"/>
              <w:rPr>
                <w:rFonts w:ascii="Times New Roman" w:hAnsi="Times New Roman" w:cs="Times New Roman" w:eastAsiaTheme="minorEastAsia"/>
                <w:color w:val="auto"/>
                <w:spacing w:val="-20"/>
                <w:kern w:val="0"/>
                <w:szCs w:val="21"/>
              </w:rPr>
            </w:pPr>
            <w:r>
              <w:rPr>
                <w:rFonts w:ascii="Times New Roman" w:cs="Times New Roman" w:hAnsiTheme="minorEastAsia" w:eastAsiaTheme="minorEastAsia"/>
                <w:color w:val="auto"/>
                <w:spacing w:val="-20"/>
                <w:szCs w:val="21"/>
              </w:rPr>
              <w:t>路右</w:t>
            </w:r>
          </w:p>
        </w:tc>
        <w:tc>
          <w:tcPr>
            <w:tcW w:w="662" w:type="dxa"/>
            <w:vMerge w:val="restart"/>
            <w:vAlign w:val="center"/>
          </w:tcPr>
          <w:p w14:paraId="5D035D07">
            <w:pPr>
              <w:widowControl/>
              <w:spacing w:line="300" w:lineRule="exact"/>
              <w:jc w:val="center"/>
              <w:rPr>
                <w:rFonts w:ascii="Times New Roman" w:cs="Times New Roman" w:hAnsiTheme="minorEastAsia" w:eastAsiaTheme="minorEastAsia"/>
                <w:color w:val="auto"/>
                <w:spacing w:val="-20"/>
                <w:szCs w:val="21"/>
              </w:rPr>
            </w:pPr>
            <w:r>
              <w:rPr>
                <w:rFonts w:hint="eastAsia" w:ascii="Times New Roman" w:cs="Times New Roman" w:hAnsiTheme="minorEastAsia" w:eastAsiaTheme="minorEastAsia"/>
                <w:color w:val="auto"/>
                <w:spacing w:val="-20"/>
                <w:szCs w:val="21"/>
              </w:rPr>
              <w:t>23</w:t>
            </w:r>
          </w:p>
        </w:tc>
        <w:tc>
          <w:tcPr>
            <w:tcW w:w="662" w:type="dxa"/>
            <w:vMerge w:val="restart"/>
            <w:vAlign w:val="center"/>
          </w:tcPr>
          <w:p w14:paraId="3A850E95">
            <w:pPr>
              <w:widowControl/>
              <w:spacing w:line="300" w:lineRule="exact"/>
              <w:jc w:val="center"/>
              <w:rPr>
                <w:rFonts w:ascii="Times New Roman" w:cs="Times New Roman" w:hAnsiTheme="minorEastAsia" w:eastAsiaTheme="minorEastAsia"/>
                <w:color w:val="auto"/>
                <w:spacing w:val="-20"/>
                <w:szCs w:val="21"/>
              </w:rPr>
            </w:pPr>
            <w:r>
              <w:rPr>
                <w:rFonts w:hint="eastAsia" w:ascii="Times New Roman" w:cs="Times New Roman" w:hAnsiTheme="minorEastAsia" w:eastAsiaTheme="minorEastAsia"/>
                <w:color w:val="auto"/>
                <w:spacing w:val="-20"/>
                <w:szCs w:val="21"/>
              </w:rPr>
              <w:t>11</w:t>
            </w:r>
          </w:p>
        </w:tc>
        <w:tc>
          <w:tcPr>
            <w:tcW w:w="567" w:type="dxa"/>
            <w:vMerge w:val="restart"/>
            <w:vAlign w:val="center"/>
          </w:tcPr>
          <w:p w14:paraId="017D57E8">
            <w:pPr>
              <w:widowControl/>
              <w:spacing w:line="300" w:lineRule="exact"/>
              <w:jc w:val="center"/>
              <w:rPr>
                <w:rFonts w:ascii="Times New Roman" w:hAnsi="Times New Roman" w:cs="Times New Roman" w:eastAsiaTheme="minorEastAsia"/>
                <w:color w:val="auto"/>
                <w:spacing w:val="-20"/>
                <w:kern w:val="0"/>
                <w:szCs w:val="21"/>
              </w:rPr>
            </w:pPr>
            <w:r>
              <w:rPr>
                <w:rFonts w:ascii="Times New Roman" w:cs="Times New Roman" w:hAnsiTheme="minorEastAsia" w:eastAsiaTheme="minorEastAsia"/>
                <w:color w:val="auto"/>
                <w:spacing w:val="-20"/>
                <w:szCs w:val="21"/>
              </w:rPr>
              <w:t>路右</w:t>
            </w:r>
          </w:p>
        </w:tc>
        <w:tc>
          <w:tcPr>
            <w:tcW w:w="708" w:type="dxa"/>
            <w:vMerge w:val="restart"/>
            <w:vAlign w:val="center"/>
          </w:tcPr>
          <w:p w14:paraId="3CC181D6">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szCs w:val="21"/>
              </w:rPr>
              <w:t>23</w:t>
            </w:r>
          </w:p>
        </w:tc>
        <w:tc>
          <w:tcPr>
            <w:tcW w:w="709" w:type="dxa"/>
            <w:vMerge w:val="restart"/>
            <w:vAlign w:val="center"/>
          </w:tcPr>
          <w:p w14:paraId="27A3308A">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4</w:t>
            </w:r>
          </w:p>
        </w:tc>
        <w:tc>
          <w:tcPr>
            <w:tcW w:w="992" w:type="dxa"/>
            <w:vMerge w:val="restart"/>
            <w:vAlign w:val="center"/>
          </w:tcPr>
          <w:p w14:paraId="2307A06A">
            <w:pPr>
              <w:spacing w:line="300" w:lineRule="exact"/>
              <w:jc w:val="center"/>
              <w:rPr>
                <w:rFonts w:ascii="Times New Roman" w:hAnsi="Times New Roman" w:cs="Times New Roman" w:eastAsiaTheme="minorEastAsia"/>
                <w:color w:val="auto"/>
                <w:spacing w:val="-20"/>
                <w:kern w:val="0"/>
                <w:szCs w:val="21"/>
              </w:rPr>
            </w:pPr>
            <w:r>
              <w:rPr>
                <w:rFonts w:ascii="Times New Roman" w:hAnsi="Times New Roman" w:cs="Times New Roman" w:eastAsiaTheme="minorEastAsia"/>
                <w:color w:val="auto"/>
                <w:spacing w:val="-20"/>
                <w:kern w:val="0"/>
                <w:szCs w:val="21"/>
              </w:rPr>
              <w:t>0</w:t>
            </w:r>
          </w:p>
        </w:tc>
        <w:tc>
          <w:tcPr>
            <w:tcW w:w="993" w:type="dxa"/>
            <w:vMerge w:val="restart"/>
            <w:vAlign w:val="center"/>
          </w:tcPr>
          <w:p w14:paraId="0BE298DA">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2.0</w:t>
            </w:r>
          </w:p>
        </w:tc>
        <w:tc>
          <w:tcPr>
            <w:tcW w:w="567" w:type="dxa"/>
            <w:vMerge w:val="restart"/>
            <w:vAlign w:val="center"/>
          </w:tcPr>
          <w:p w14:paraId="38E82E9F">
            <w:pPr>
              <w:widowControl/>
              <w:spacing w:line="300" w:lineRule="exact"/>
              <w:jc w:val="center"/>
              <w:rPr>
                <w:rFonts w:ascii="Times New Roman" w:hAnsi="Times New Roman" w:cs="Times New Roman" w:eastAsiaTheme="minorEastAsia"/>
                <w:color w:val="auto"/>
                <w:spacing w:val="-20"/>
                <w:kern w:val="0"/>
                <w:szCs w:val="21"/>
              </w:rPr>
            </w:pPr>
            <w:r>
              <w:rPr>
                <w:rFonts w:ascii="Times New Roman" w:cs="Times New Roman" w:hAnsiTheme="minorEastAsia" w:eastAsiaTheme="minorEastAsia"/>
                <w:color w:val="auto"/>
                <w:spacing w:val="-20"/>
                <w:kern w:val="0"/>
                <w:szCs w:val="21"/>
              </w:rPr>
              <w:t>路基</w:t>
            </w:r>
          </w:p>
        </w:tc>
        <w:tc>
          <w:tcPr>
            <w:tcW w:w="992" w:type="dxa"/>
            <w:vMerge w:val="restart"/>
            <w:vAlign w:val="center"/>
          </w:tcPr>
          <w:p w14:paraId="0B0FCEF6">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54</w:t>
            </w:r>
          </w:p>
        </w:tc>
        <w:tc>
          <w:tcPr>
            <w:tcW w:w="709" w:type="dxa"/>
            <w:vMerge w:val="restart"/>
            <w:vAlign w:val="center"/>
          </w:tcPr>
          <w:p w14:paraId="71549186">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8</w:t>
            </w:r>
          </w:p>
        </w:tc>
        <w:tc>
          <w:tcPr>
            <w:tcW w:w="708" w:type="dxa"/>
            <w:vMerge w:val="restart"/>
            <w:vAlign w:val="center"/>
          </w:tcPr>
          <w:p w14:paraId="072CE2FE">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42</w:t>
            </w:r>
          </w:p>
        </w:tc>
        <w:tc>
          <w:tcPr>
            <w:tcW w:w="4436" w:type="dxa"/>
            <w:vMerge w:val="restart"/>
            <w:vAlign w:val="center"/>
          </w:tcPr>
          <w:p w14:paraId="1D7C3A23">
            <w:pPr>
              <w:widowControl/>
              <w:spacing w:line="300" w:lineRule="exact"/>
              <w:rPr>
                <w:rFonts w:ascii="Times New Roman" w:hAnsi="Times New Roman" w:cs="Times New Roman" w:eastAsiaTheme="minorEastAsia"/>
                <w:color w:val="auto"/>
                <w:spacing w:val="0"/>
                <w:kern w:val="0"/>
                <w:sz w:val="21"/>
                <w:szCs w:val="21"/>
              </w:rPr>
            </w:pPr>
            <w:r>
              <w:rPr>
                <w:rFonts w:ascii="Times New Roman" w:cs="Times New Roman" w:hAnsiTheme="minorEastAsia" w:eastAsiaTheme="minorEastAsia"/>
                <w:color w:val="auto"/>
                <w:spacing w:val="0"/>
                <w:kern w:val="0"/>
                <w:sz w:val="21"/>
                <w:szCs w:val="21"/>
              </w:rPr>
              <w:t>路线以填方路基形式经过村庄。评价范围内现有居民</w:t>
            </w:r>
            <w:r>
              <w:rPr>
                <w:rFonts w:hint="eastAsia" w:ascii="Times New Roman" w:hAnsi="Times New Roman" w:cs="Times New Roman" w:eastAsiaTheme="minorEastAsia"/>
                <w:color w:val="auto"/>
                <w:spacing w:val="0"/>
                <w:kern w:val="0"/>
                <w:sz w:val="21"/>
                <w:szCs w:val="21"/>
              </w:rPr>
              <w:t>50</w:t>
            </w:r>
            <w:r>
              <w:rPr>
                <w:rFonts w:ascii="Times New Roman" w:cs="Times New Roman" w:hAnsiTheme="minorEastAsia" w:eastAsiaTheme="minorEastAsia"/>
                <w:color w:val="auto"/>
                <w:spacing w:val="0"/>
                <w:kern w:val="0"/>
                <w:sz w:val="21"/>
                <w:szCs w:val="21"/>
              </w:rPr>
              <w:t>户，首排</w:t>
            </w:r>
            <w:r>
              <w:rPr>
                <w:rFonts w:hint="eastAsia" w:ascii="Times New Roman" w:hAnsi="Times New Roman" w:cs="Times New Roman" w:eastAsiaTheme="minorEastAsia"/>
                <w:color w:val="auto"/>
                <w:spacing w:val="0"/>
                <w:kern w:val="0"/>
                <w:sz w:val="21"/>
                <w:szCs w:val="21"/>
              </w:rPr>
              <w:t>5</w:t>
            </w:r>
            <w:r>
              <w:rPr>
                <w:rFonts w:ascii="Times New Roman" w:cs="Times New Roman" w:hAnsiTheme="minorEastAsia" w:eastAsiaTheme="minorEastAsia"/>
                <w:color w:val="auto"/>
                <w:spacing w:val="0"/>
                <w:kern w:val="0"/>
                <w:sz w:val="21"/>
                <w:szCs w:val="21"/>
              </w:rPr>
              <w:t>户，</w:t>
            </w:r>
            <w:r>
              <w:rPr>
                <w:rFonts w:hint="eastAsia" w:ascii="Times New Roman" w:cs="Times New Roman" w:hAnsiTheme="minorEastAsia" w:eastAsiaTheme="minorEastAsia"/>
                <w:color w:val="auto"/>
                <w:spacing w:val="0"/>
                <w:kern w:val="0"/>
                <w:sz w:val="21"/>
                <w:szCs w:val="21"/>
              </w:rPr>
              <w:t>主要</w:t>
            </w:r>
            <w:r>
              <w:rPr>
                <w:rFonts w:ascii="Times New Roman" w:cs="Times New Roman" w:hAnsiTheme="minorEastAsia" w:eastAsiaTheme="minorEastAsia"/>
                <w:color w:val="auto"/>
                <w:spacing w:val="0"/>
                <w:kern w:val="0"/>
                <w:sz w:val="21"/>
                <w:szCs w:val="21"/>
              </w:rPr>
              <w:t>为</w:t>
            </w:r>
            <w:r>
              <w:rPr>
                <w:rFonts w:ascii="Times New Roman" w:hAnsi="Times New Roman" w:cs="Times New Roman" w:eastAsiaTheme="minorEastAsia"/>
                <w:color w:val="auto"/>
                <w:spacing w:val="0"/>
                <w:kern w:val="0"/>
                <w:sz w:val="21"/>
                <w:szCs w:val="21"/>
              </w:rPr>
              <w:t>1</w:t>
            </w:r>
            <w:r>
              <w:rPr>
                <w:rFonts w:ascii="Times New Roman" w:cs="Times New Roman" w:hAnsiTheme="minorEastAsia" w:eastAsiaTheme="minorEastAsia"/>
                <w:color w:val="auto"/>
                <w:spacing w:val="0"/>
                <w:kern w:val="0"/>
                <w:sz w:val="21"/>
                <w:szCs w:val="21"/>
              </w:rPr>
              <w:t>层砖混房，房屋侧向拟建公路。</w:t>
            </w:r>
            <w:r>
              <w:rPr>
                <w:rFonts w:ascii="Times New Roman" w:hAnsi="Times New Roman" w:eastAsia="宋体" w:cs="Times New Roman"/>
                <w:color w:val="auto"/>
                <w:spacing w:val="0"/>
                <w:kern w:val="0"/>
                <w:sz w:val="21"/>
                <w:szCs w:val="21"/>
              </w:rPr>
              <w:t>该路段利用现有</w:t>
            </w:r>
            <w:r>
              <w:rPr>
                <w:rFonts w:hint="eastAsia" w:ascii="Times New Roman" w:hAnsi="Times New Roman" w:eastAsia="宋体" w:cs="Times New Roman"/>
                <w:color w:val="auto"/>
                <w:spacing w:val="0"/>
                <w:kern w:val="0"/>
                <w:sz w:val="21"/>
                <w:szCs w:val="21"/>
              </w:rPr>
              <w:t>老路双侧加宽</w:t>
            </w:r>
            <w:r>
              <w:rPr>
                <w:rFonts w:ascii="Times New Roman" w:hAnsi="Times New Roman" w:eastAsia="宋体" w:cs="Times New Roman"/>
                <w:color w:val="auto"/>
                <w:spacing w:val="0"/>
                <w:kern w:val="0"/>
                <w:sz w:val="21"/>
                <w:szCs w:val="21"/>
              </w:rPr>
              <w:t>，</w:t>
            </w:r>
            <w:r>
              <w:rPr>
                <w:rFonts w:hint="eastAsia" w:ascii="Times New Roman" w:hAnsi="Times New Roman" w:eastAsia="宋体" w:cs="Times New Roman"/>
                <w:color w:val="auto"/>
                <w:spacing w:val="0"/>
                <w:kern w:val="0"/>
                <w:sz w:val="21"/>
                <w:szCs w:val="21"/>
              </w:rPr>
              <w:t>房屋</w:t>
            </w:r>
            <w:r>
              <w:rPr>
                <w:rFonts w:ascii="Times New Roman" w:hAnsi="Times New Roman" w:eastAsia="宋体" w:cs="Times New Roman"/>
                <w:color w:val="auto"/>
                <w:spacing w:val="0"/>
                <w:kern w:val="0"/>
                <w:sz w:val="21"/>
                <w:szCs w:val="21"/>
              </w:rPr>
              <w:t>分布于平交</w:t>
            </w:r>
            <w:r>
              <w:rPr>
                <w:rFonts w:hint="eastAsia" w:ascii="Times New Roman" w:hAnsi="Times New Roman" w:eastAsia="宋体" w:cs="Times New Roman"/>
                <w:color w:val="auto"/>
                <w:spacing w:val="0"/>
                <w:kern w:val="0"/>
                <w:sz w:val="21"/>
                <w:szCs w:val="21"/>
              </w:rPr>
              <w:t>路口两侧</w:t>
            </w:r>
            <w:r>
              <w:rPr>
                <w:rFonts w:ascii="Times New Roman" w:hAnsi="Times New Roman" w:eastAsia="宋体" w:cs="Times New Roman"/>
                <w:color w:val="auto"/>
                <w:spacing w:val="0"/>
                <w:kern w:val="0"/>
                <w:sz w:val="21"/>
                <w:szCs w:val="21"/>
              </w:rPr>
              <w:t>，</w:t>
            </w:r>
            <w:r>
              <w:rPr>
                <w:rFonts w:ascii="Times New Roman" w:cs="Times New Roman" w:hAnsiTheme="minorEastAsia" w:eastAsiaTheme="minorEastAsia"/>
                <w:color w:val="auto"/>
                <w:spacing w:val="0"/>
                <w:kern w:val="0"/>
                <w:sz w:val="21"/>
                <w:szCs w:val="21"/>
              </w:rPr>
              <w:t>主要噪声源为现有</w:t>
            </w:r>
            <w:r>
              <w:rPr>
                <w:rFonts w:hint="eastAsia" w:ascii="Times New Roman" w:hAnsi="Times New Roman" w:cs="Times New Roman" w:eastAsiaTheme="minorEastAsia"/>
                <w:color w:val="auto"/>
                <w:spacing w:val="0"/>
                <w:kern w:val="0"/>
                <w:sz w:val="21"/>
                <w:szCs w:val="21"/>
              </w:rPr>
              <w:t>G219</w:t>
            </w:r>
            <w:r>
              <w:rPr>
                <w:rFonts w:ascii="Times New Roman" w:cs="Times New Roman" w:hAnsiTheme="minorEastAsia" w:eastAsiaTheme="minorEastAsia"/>
                <w:color w:val="auto"/>
                <w:spacing w:val="0"/>
                <w:kern w:val="0"/>
                <w:sz w:val="21"/>
                <w:szCs w:val="21"/>
              </w:rPr>
              <w:t>交通噪声和社会生活噪声。</w:t>
            </w:r>
          </w:p>
        </w:tc>
        <w:tc>
          <w:tcPr>
            <w:tcW w:w="2898" w:type="dxa"/>
            <w:vMerge w:val="restart"/>
            <w:vAlign w:val="center"/>
          </w:tcPr>
          <w:p w14:paraId="29C819F0">
            <w:pPr>
              <w:widowControl/>
              <w:adjustRightInd w:val="0"/>
              <w:snapToGrid w:val="0"/>
              <w:jc w:val="center"/>
              <w:rPr>
                <w:rFonts w:ascii="Times New Roman" w:hAnsi="Times New Roman" w:cs="Times New Roman" w:eastAsiaTheme="minorEastAsia"/>
                <w:snapToGrid w:val="0"/>
                <w:color w:val="auto"/>
                <w:spacing w:val="-20"/>
                <w:kern w:val="0"/>
                <w:szCs w:val="21"/>
              </w:rPr>
            </w:pPr>
            <w:r>
              <w:rPr>
                <w:rFonts w:ascii="Times New Roman" w:hAnsi="Times New Roman" w:cs="Times New Roman" w:eastAsiaTheme="minorEastAsia"/>
                <w:color w:val="auto"/>
                <w:spacing w:val="-20"/>
                <w:kern w:val="0"/>
                <w:szCs w:val="21"/>
              </w:rPr>
              <w:drawing>
                <wp:inline distT="0" distB="0" distL="0" distR="0">
                  <wp:extent cx="1729105" cy="1295400"/>
                  <wp:effectExtent l="0" t="0" r="4445" b="0"/>
                  <wp:docPr id="936451276" name="图片 19" descr="E:\咨询项目\环评\新疆-G219线八盘水磨至伽师公路\外业踏勘记录及照片\DSC09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451276" name="图片 19" descr="E:\咨询项目\环评\新疆-G219线八盘水磨至伽师公路\外业踏勘记录及照片\DSC09003.JPG"/>
                          <pic:cNvPicPr>
                            <a:picLocks noChangeAspect="1" noChangeArrowheads="1"/>
                          </pic:cNvPicPr>
                        </pic:nvPicPr>
                        <pic:blipFill>
                          <a:blip r:embed="rId174" cstate="print"/>
                          <a:srcRect/>
                          <a:stretch>
                            <a:fillRect/>
                          </a:stretch>
                        </pic:blipFill>
                        <pic:spPr>
                          <a:xfrm>
                            <a:off x="0" y="0"/>
                            <a:ext cx="1729728" cy="1296000"/>
                          </a:xfrm>
                          <a:prstGeom prst="rect">
                            <a:avLst/>
                          </a:prstGeom>
                          <a:noFill/>
                          <a:ln w="9525">
                            <a:noFill/>
                            <a:miter lim="800000"/>
                            <a:headEnd/>
                            <a:tailEnd/>
                          </a:ln>
                        </pic:spPr>
                      </pic:pic>
                    </a:graphicData>
                  </a:graphic>
                </wp:inline>
              </w:drawing>
            </w:r>
          </w:p>
        </w:tc>
      </w:tr>
      <w:tr w14:paraId="0C27BA0F">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690" w:hRule="atLeast"/>
          <w:tblHeader/>
          <w:jc w:val="center"/>
        </w:trPr>
        <w:tc>
          <w:tcPr>
            <w:tcW w:w="568" w:type="dxa"/>
            <w:vMerge w:val="continue"/>
            <w:noWrap/>
            <w:vAlign w:val="center"/>
          </w:tcPr>
          <w:p w14:paraId="53F5161A">
            <w:pPr>
              <w:widowControl/>
              <w:spacing w:line="300" w:lineRule="exact"/>
              <w:jc w:val="center"/>
              <w:rPr>
                <w:rFonts w:ascii="Times New Roman" w:hAnsi="Times New Roman" w:cs="Times New Roman" w:eastAsiaTheme="minorEastAsia"/>
                <w:color w:val="auto"/>
                <w:spacing w:val="-20"/>
                <w:kern w:val="0"/>
                <w:szCs w:val="21"/>
              </w:rPr>
            </w:pPr>
          </w:p>
        </w:tc>
        <w:tc>
          <w:tcPr>
            <w:tcW w:w="694" w:type="dxa"/>
            <w:vMerge w:val="continue"/>
            <w:vAlign w:val="center"/>
          </w:tcPr>
          <w:p w14:paraId="152AC3C2">
            <w:pPr>
              <w:spacing w:line="300" w:lineRule="exact"/>
              <w:jc w:val="center"/>
              <w:rPr>
                <w:rFonts w:ascii="Times New Roman" w:cs="Times New Roman" w:hAnsiTheme="minorEastAsia" w:eastAsiaTheme="minorEastAsia"/>
                <w:color w:val="auto"/>
                <w:spacing w:val="-20"/>
                <w:kern w:val="0"/>
                <w:szCs w:val="21"/>
              </w:rPr>
            </w:pPr>
          </w:p>
        </w:tc>
        <w:tc>
          <w:tcPr>
            <w:tcW w:w="1134" w:type="dxa"/>
            <w:vAlign w:val="center"/>
          </w:tcPr>
          <w:p w14:paraId="613FE7E4">
            <w:pPr>
              <w:widowControl/>
              <w:spacing w:line="300" w:lineRule="exact"/>
              <w:jc w:val="center"/>
              <w:rPr>
                <w:rFonts w:ascii="Times New Roman" w:hAnsi="Times New Roman" w:cs="Times New Roman" w:eastAsiaTheme="minorEastAsia"/>
                <w:color w:val="auto"/>
                <w:spacing w:val="-20"/>
                <w:szCs w:val="21"/>
              </w:rPr>
            </w:pPr>
            <w:r>
              <w:rPr>
                <w:rFonts w:ascii="Times New Roman" w:hAnsi="Times New Roman" w:cs="Times New Roman" w:eastAsiaTheme="minorEastAsia"/>
                <w:color w:val="auto"/>
                <w:spacing w:val="-20"/>
                <w:szCs w:val="21"/>
              </w:rPr>
              <w:t>K</w:t>
            </w:r>
            <w:r>
              <w:rPr>
                <w:rFonts w:hint="eastAsia" w:ascii="Times New Roman" w:hAnsi="Times New Roman" w:cs="Times New Roman" w:eastAsiaTheme="minorEastAsia"/>
                <w:color w:val="auto"/>
                <w:spacing w:val="-20"/>
                <w:szCs w:val="21"/>
              </w:rPr>
              <w:t>38</w:t>
            </w:r>
            <w:r>
              <w:rPr>
                <w:rFonts w:ascii="Times New Roman" w:hAnsi="Times New Roman" w:cs="Times New Roman" w:eastAsiaTheme="minorEastAsia"/>
                <w:color w:val="auto"/>
                <w:spacing w:val="-20"/>
                <w:szCs w:val="21"/>
              </w:rPr>
              <w:t>+</w:t>
            </w:r>
            <w:r>
              <w:rPr>
                <w:rFonts w:hint="eastAsia" w:ascii="Times New Roman" w:hAnsi="Times New Roman" w:cs="Times New Roman" w:eastAsiaTheme="minorEastAsia"/>
                <w:color w:val="auto"/>
                <w:spacing w:val="-20"/>
                <w:szCs w:val="21"/>
              </w:rPr>
              <w:t>80</w:t>
            </w:r>
            <w:r>
              <w:rPr>
                <w:rFonts w:ascii="Times New Roman" w:hAnsi="Times New Roman" w:cs="Times New Roman" w:eastAsiaTheme="minorEastAsia"/>
                <w:color w:val="auto"/>
                <w:spacing w:val="-20"/>
                <w:szCs w:val="21"/>
              </w:rPr>
              <w:t>0</w:t>
            </w:r>
            <w:r>
              <w:rPr>
                <w:rFonts w:ascii="Times New Roman" w:cs="Times New Roman" w:hAnsiTheme="minorEastAsia" w:eastAsiaTheme="minorEastAsia"/>
                <w:color w:val="auto"/>
                <w:spacing w:val="-20"/>
                <w:szCs w:val="21"/>
              </w:rPr>
              <w:t>～</w:t>
            </w:r>
            <w:r>
              <w:rPr>
                <w:rFonts w:ascii="Times New Roman" w:hAnsi="Times New Roman" w:cs="Times New Roman" w:eastAsiaTheme="minorEastAsia"/>
                <w:color w:val="auto"/>
                <w:spacing w:val="-20"/>
                <w:szCs w:val="21"/>
              </w:rPr>
              <w:t>K</w:t>
            </w:r>
            <w:r>
              <w:rPr>
                <w:rFonts w:hint="eastAsia" w:ascii="Times New Roman" w:hAnsi="Times New Roman" w:cs="Times New Roman" w:eastAsiaTheme="minorEastAsia"/>
                <w:color w:val="auto"/>
                <w:spacing w:val="-20"/>
                <w:szCs w:val="21"/>
              </w:rPr>
              <w:t>38</w:t>
            </w:r>
            <w:r>
              <w:rPr>
                <w:rFonts w:ascii="Times New Roman" w:hAnsi="Times New Roman" w:cs="Times New Roman" w:eastAsiaTheme="minorEastAsia"/>
                <w:color w:val="auto"/>
                <w:spacing w:val="-20"/>
                <w:szCs w:val="21"/>
              </w:rPr>
              <w:t>+</w:t>
            </w:r>
            <w:r>
              <w:rPr>
                <w:rFonts w:hint="eastAsia" w:ascii="Times New Roman" w:hAnsi="Times New Roman" w:cs="Times New Roman" w:eastAsiaTheme="minorEastAsia"/>
                <w:color w:val="auto"/>
                <w:spacing w:val="-20"/>
                <w:szCs w:val="21"/>
              </w:rPr>
              <w:t>90</w:t>
            </w:r>
            <w:r>
              <w:rPr>
                <w:rFonts w:ascii="Times New Roman" w:hAnsi="Times New Roman" w:cs="Times New Roman" w:eastAsiaTheme="minorEastAsia"/>
                <w:color w:val="auto"/>
                <w:spacing w:val="-20"/>
                <w:szCs w:val="21"/>
              </w:rPr>
              <w:t>0</w:t>
            </w:r>
          </w:p>
        </w:tc>
        <w:tc>
          <w:tcPr>
            <w:tcW w:w="851" w:type="dxa"/>
            <w:vMerge w:val="continue"/>
            <w:vAlign w:val="center"/>
          </w:tcPr>
          <w:p w14:paraId="5D50B9CE">
            <w:pPr>
              <w:widowControl/>
              <w:spacing w:line="300" w:lineRule="exact"/>
              <w:jc w:val="center"/>
              <w:rPr>
                <w:rFonts w:ascii="Times New Roman" w:cs="Times New Roman" w:hAnsiTheme="minorEastAsia" w:eastAsiaTheme="minorEastAsia"/>
                <w:color w:val="auto"/>
                <w:spacing w:val="-20"/>
                <w:szCs w:val="21"/>
              </w:rPr>
            </w:pPr>
          </w:p>
        </w:tc>
        <w:tc>
          <w:tcPr>
            <w:tcW w:w="850" w:type="dxa"/>
            <w:vMerge w:val="continue"/>
            <w:vAlign w:val="center"/>
          </w:tcPr>
          <w:p w14:paraId="7BCF4703">
            <w:pPr>
              <w:spacing w:line="300" w:lineRule="exact"/>
              <w:jc w:val="center"/>
              <w:rPr>
                <w:rFonts w:ascii="Times New Roman" w:hAnsi="Times New Roman" w:cs="Times New Roman" w:eastAsiaTheme="minorEastAsia"/>
                <w:color w:val="auto"/>
                <w:spacing w:val="-20"/>
                <w:kern w:val="0"/>
                <w:szCs w:val="21"/>
              </w:rPr>
            </w:pPr>
          </w:p>
        </w:tc>
        <w:tc>
          <w:tcPr>
            <w:tcW w:w="661" w:type="dxa"/>
            <w:vMerge w:val="continue"/>
            <w:vAlign w:val="center"/>
          </w:tcPr>
          <w:p w14:paraId="3561549B">
            <w:pPr>
              <w:widowControl/>
              <w:spacing w:line="300" w:lineRule="exact"/>
              <w:jc w:val="center"/>
              <w:rPr>
                <w:rFonts w:ascii="Times New Roman" w:cs="Times New Roman" w:hAnsiTheme="minorEastAsia" w:eastAsiaTheme="minorEastAsia"/>
                <w:color w:val="auto"/>
                <w:spacing w:val="-20"/>
                <w:szCs w:val="21"/>
              </w:rPr>
            </w:pPr>
          </w:p>
        </w:tc>
        <w:tc>
          <w:tcPr>
            <w:tcW w:w="662" w:type="dxa"/>
            <w:vMerge w:val="continue"/>
            <w:vAlign w:val="center"/>
          </w:tcPr>
          <w:p w14:paraId="7FFAE35C">
            <w:pPr>
              <w:widowControl/>
              <w:spacing w:line="300" w:lineRule="exact"/>
              <w:jc w:val="center"/>
              <w:rPr>
                <w:rFonts w:ascii="Times New Roman" w:cs="Times New Roman" w:hAnsiTheme="minorEastAsia" w:eastAsiaTheme="minorEastAsia"/>
                <w:color w:val="auto"/>
                <w:spacing w:val="-20"/>
                <w:szCs w:val="21"/>
              </w:rPr>
            </w:pPr>
          </w:p>
        </w:tc>
        <w:tc>
          <w:tcPr>
            <w:tcW w:w="662" w:type="dxa"/>
            <w:vMerge w:val="continue"/>
            <w:vAlign w:val="center"/>
          </w:tcPr>
          <w:p w14:paraId="471498C6">
            <w:pPr>
              <w:widowControl/>
              <w:spacing w:line="300" w:lineRule="exact"/>
              <w:jc w:val="center"/>
              <w:rPr>
                <w:rFonts w:ascii="Times New Roman" w:cs="Times New Roman" w:hAnsiTheme="minorEastAsia" w:eastAsiaTheme="minorEastAsia"/>
                <w:color w:val="auto"/>
                <w:spacing w:val="-20"/>
                <w:szCs w:val="21"/>
              </w:rPr>
            </w:pPr>
          </w:p>
        </w:tc>
        <w:tc>
          <w:tcPr>
            <w:tcW w:w="567" w:type="dxa"/>
            <w:vMerge w:val="continue"/>
            <w:vAlign w:val="center"/>
          </w:tcPr>
          <w:p w14:paraId="32FF766D">
            <w:pPr>
              <w:widowControl/>
              <w:spacing w:line="300" w:lineRule="exact"/>
              <w:jc w:val="center"/>
              <w:rPr>
                <w:rFonts w:ascii="Times New Roman" w:cs="Times New Roman" w:hAnsiTheme="minorEastAsia" w:eastAsiaTheme="minorEastAsia"/>
                <w:color w:val="auto"/>
                <w:spacing w:val="-20"/>
                <w:szCs w:val="21"/>
              </w:rPr>
            </w:pPr>
          </w:p>
        </w:tc>
        <w:tc>
          <w:tcPr>
            <w:tcW w:w="708" w:type="dxa"/>
            <w:vMerge w:val="continue"/>
            <w:vAlign w:val="center"/>
          </w:tcPr>
          <w:p w14:paraId="413037B1">
            <w:pPr>
              <w:widowControl/>
              <w:spacing w:line="300" w:lineRule="exact"/>
              <w:jc w:val="center"/>
              <w:rPr>
                <w:rFonts w:ascii="Times New Roman" w:hAnsi="Times New Roman" w:cs="Times New Roman" w:eastAsiaTheme="minorEastAsia"/>
                <w:color w:val="auto"/>
                <w:spacing w:val="-20"/>
                <w:szCs w:val="21"/>
              </w:rPr>
            </w:pPr>
          </w:p>
        </w:tc>
        <w:tc>
          <w:tcPr>
            <w:tcW w:w="709" w:type="dxa"/>
            <w:vMerge w:val="continue"/>
            <w:vAlign w:val="center"/>
          </w:tcPr>
          <w:p w14:paraId="71D35DB8">
            <w:pPr>
              <w:widowControl/>
              <w:spacing w:line="300" w:lineRule="exact"/>
              <w:jc w:val="center"/>
              <w:rPr>
                <w:rFonts w:ascii="Times New Roman" w:hAnsi="Times New Roman" w:cs="Times New Roman" w:eastAsiaTheme="minorEastAsia"/>
                <w:color w:val="auto"/>
                <w:spacing w:val="-20"/>
                <w:kern w:val="0"/>
                <w:szCs w:val="21"/>
              </w:rPr>
            </w:pPr>
          </w:p>
        </w:tc>
        <w:tc>
          <w:tcPr>
            <w:tcW w:w="992" w:type="dxa"/>
            <w:vMerge w:val="continue"/>
            <w:vAlign w:val="center"/>
          </w:tcPr>
          <w:p w14:paraId="58981B55">
            <w:pPr>
              <w:spacing w:line="300" w:lineRule="exact"/>
              <w:jc w:val="center"/>
              <w:rPr>
                <w:rFonts w:ascii="Times New Roman" w:hAnsi="Times New Roman" w:cs="Times New Roman" w:eastAsiaTheme="minorEastAsia"/>
                <w:color w:val="auto"/>
                <w:spacing w:val="-20"/>
                <w:kern w:val="0"/>
                <w:szCs w:val="21"/>
              </w:rPr>
            </w:pPr>
          </w:p>
        </w:tc>
        <w:tc>
          <w:tcPr>
            <w:tcW w:w="993" w:type="dxa"/>
            <w:vMerge w:val="continue"/>
            <w:vAlign w:val="center"/>
          </w:tcPr>
          <w:p w14:paraId="276E0554">
            <w:pPr>
              <w:widowControl/>
              <w:spacing w:line="300" w:lineRule="exact"/>
              <w:jc w:val="center"/>
              <w:rPr>
                <w:rFonts w:ascii="Times New Roman" w:hAnsi="Times New Roman" w:cs="Times New Roman" w:eastAsiaTheme="minorEastAsia"/>
                <w:color w:val="auto"/>
                <w:spacing w:val="-20"/>
                <w:kern w:val="0"/>
                <w:szCs w:val="21"/>
              </w:rPr>
            </w:pPr>
          </w:p>
        </w:tc>
        <w:tc>
          <w:tcPr>
            <w:tcW w:w="567" w:type="dxa"/>
            <w:vMerge w:val="continue"/>
            <w:vAlign w:val="center"/>
          </w:tcPr>
          <w:p w14:paraId="63122B1F">
            <w:pPr>
              <w:widowControl/>
              <w:spacing w:line="300" w:lineRule="exact"/>
              <w:jc w:val="center"/>
              <w:rPr>
                <w:rFonts w:ascii="Times New Roman" w:cs="Times New Roman" w:hAnsiTheme="minorEastAsia" w:eastAsiaTheme="minorEastAsia"/>
                <w:color w:val="auto"/>
                <w:spacing w:val="-20"/>
                <w:kern w:val="0"/>
                <w:szCs w:val="21"/>
              </w:rPr>
            </w:pPr>
          </w:p>
        </w:tc>
        <w:tc>
          <w:tcPr>
            <w:tcW w:w="992" w:type="dxa"/>
            <w:vMerge w:val="continue"/>
            <w:vAlign w:val="center"/>
          </w:tcPr>
          <w:p w14:paraId="2779B4F8">
            <w:pPr>
              <w:widowControl/>
              <w:spacing w:line="300" w:lineRule="exact"/>
              <w:jc w:val="center"/>
              <w:rPr>
                <w:rFonts w:ascii="Times New Roman" w:hAnsi="Times New Roman" w:cs="Times New Roman" w:eastAsiaTheme="minorEastAsia"/>
                <w:color w:val="auto"/>
                <w:spacing w:val="-20"/>
                <w:kern w:val="0"/>
                <w:szCs w:val="21"/>
              </w:rPr>
            </w:pPr>
          </w:p>
        </w:tc>
        <w:tc>
          <w:tcPr>
            <w:tcW w:w="709" w:type="dxa"/>
            <w:vMerge w:val="continue"/>
            <w:vAlign w:val="center"/>
          </w:tcPr>
          <w:p w14:paraId="38E67330">
            <w:pPr>
              <w:widowControl/>
              <w:spacing w:line="300" w:lineRule="exact"/>
              <w:jc w:val="center"/>
              <w:rPr>
                <w:rFonts w:ascii="Times New Roman" w:hAnsi="Times New Roman" w:cs="Times New Roman" w:eastAsiaTheme="minorEastAsia"/>
                <w:color w:val="auto"/>
                <w:spacing w:val="-20"/>
                <w:kern w:val="0"/>
                <w:szCs w:val="21"/>
              </w:rPr>
            </w:pPr>
          </w:p>
        </w:tc>
        <w:tc>
          <w:tcPr>
            <w:tcW w:w="708" w:type="dxa"/>
            <w:vMerge w:val="continue"/>
            <w:vAlign w:val="center"/>
          </w:tcPr>
          <w:p w14:paraId="3993B95F">
            <w:pPr>
              <w:widowControl/>
              <w:spacing w:line="300" w:lineRule="exact"/>
              <w:jc w:val="center"/>
              <w:rPr>
                <w:rFonts w:ascii="Times New Roman" w:hAnsi="Times New Roman" w:cs="Times New Roman" w:eastAsiaTheme="minorEastAsia"/>
                <w:color w:val="auto"/>
                <w:spacing w:val="-20"/>
                <w:kern w:val="0"/>
                <w:szCs w:val="21"/>
              </w:rPr>
            </w:pPr>
          </w:p>
        </w:tc>
        <w:tc>
          <w:tcPr>
            <w:tcW w:w="4436" w:type="dxa"/>
            <w:vMerge w:val="continue"/>
            <w:vAlign w:val="center"/>
          </w:tcPr>
          <w:p w14:paraId="79E94710">
            <w:pPr>
              <w:widowControl/>
              <w:spacing w:line="300" w:lineRule="exact"/>
              <w:rPr>
                <w:rFonts w:ascii="Times New Roman" w:cs="Times New Roman" w:hAnsiTheme="minorEastAsia" w:eastAsiaTheme="minorEastAsia"/>
                <w:color w:val="auto"/>
                <w:spacing w:val="0"/>
                <w:kern w:val="0"/>
                <w:sz w:val="21"/>
                <w:szCs w:val="21"/>
              </w:rPr>
            </w:pPr>
          </w:p>
        </w:tc>
        <w:tc>
          <w:tcPr>
            <w:tcW w:w="2898" w:type="dxa"/>
            <w:vMerge w:val="continue"/>
            <w:vAlign w:val="center"/>
          </w:tcPr>
          <w:p w14:paraId="7F6F1104">
            <w:pPr>
              <w:widowControl/>
              <w:adjustRightInd w:val="0"/>
              <w:snapToGrid w:val="0"/>
              <w:jc w:val="center"/>
              <w:rPr>
                <w:rFonts w:ascii="Times New Roman" w:hAnsi="Times New Roman" w:cs="Times New Roman" w:eastAsiaTheme="minorEastAsia"/>
                <w:snapToGrid w:val="0"/>
                <w:color w:val="auto"/>
                <w:spacing w:val="-20"/>
                <w:kern w:val="0"/>
                <w:szCs w:val="21"/>
              </w:rPr>
            </w:pPr>
          </w:p>
        </w:tc>
      </w:tr>
      <w:tr w14:paraId="0214D6FC">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65" w:hRule="atLeast"/>
          <w:tblHeader/>
          <w:jc w:val="center"/>
        </w:trPr>
        <w:tc>
          <w:tcPr>
            <w:tcW w:w="568" w:type="dxa"/>
            <w:vMerge w:val="continue"/>
            <w:noWrap/>
            <w:vAlign w:val="center"/>
          </w:tcPr>
          <w:p w14:paraId="612B0251">
            <w:pPr>
              <w:widowControl/>
              <w:spacing w:line="300" w:lineRule="exact"/>
              <w:jc w:val="center"/>
              <w:rPr>
                <w:rFonts w:ascii="Times New Roman" w:hAnsi="Times New Roman" w:cs="Times New Roman" w:eastAsiaTheme="minorEastAsia"/>
                <w:color w:val="auto"/>
                <w:spacing w:val="-20"/>
                <w:kern w:val="0"/>
                <w:szCs w:val="21"/>
              </w:rPr>
            </w:pPr>
          </w:p>
        </w:tc>
        <w:tc>
          <w:tcPr>
            <w:tcW w:w="694" w:type="dxa"/>
            <w:vMerge w:val="continue"/>
            <w:vAlign w:val="center"/>
          </w:tcPr>
          <w:p w14:paraId="201A4946">
            <w:pPr>
              <w:spacing w:line="300" w:lineRule="exact"/>
              <w:jc w:val="center"/>
              <w:rPr>
                <w:rFonts w:ascii="Times New Roman" w:cs="Times New Roman" w:hAnsiTheme="minorEastAsia" w:eastAsiaTheme="minorEastAsia"/>
                <w:color w:val="auto"/>
                <w:spacing w:val="-20"/>
                <w:kern w:val="0"/>
                <w:szCs w:val="21"/>
              </w:rPr>
            </w:pPr>
          </w:p>
        </w:tc>
        <w:tc>
          <w:tcPr>
            <w:tcW w:w="1134" w:type="dxa"/>
            <w:vAlign w:val="center"/>
          </w:tcPr>
          <w:p w14:paraId="5D56B755">
            <w:pPr>
              <w:widowControl/>
              <w:spacing w:line="300" w:lineRule="exact"/>
              <w:jc w:val="center"/>
              <w:rPr>
                <w:rFonts w:ascii="Times New Roman" w:hAnsi="Times New Roman" w:cs="Times New Roman" w:eastAsiaTheme="minorEastAsia"/>
                <w:color w:val="auto"/>
                <w:spacing w:val="-20"/>
                <w:szCs w:val="21"/>
              </w:rPr>
            </w:pPr>
            <w:r>
              <w:rPr>
                <w:rFonts w:ascii="Times New Roman" w:hAnsi="Times New Roman" w:cs="Times New Roman" w:eastAsiaTheme="minorEastAsia"/>
                <w:color w:val="auto"/>
                <w:spacing w:val="-20"/>
                <w:szCs w:val="21"/>
              </w:rPr>
              <w:t>K</w:t>
            </w:r>
            <w:r>
              <w:rPr>
                <w:rFonts w:hint="eastAsia" w:ascii="Times New Roman" w:hAnsi="Times New Roman" w:cs="Times New Roman" w:eastAsiaTheme="minorEastAsia"/>
                <w:color w:val="auto"/>
                <w:spacing w:val="-20"/>
                <w:szCs w:val="21"/>
              </w:rPr>
              <w:t>38</w:t>
            </w:r>
            <w:r>
              <w:rPr>
                <w:rFonts w:ascii="Times New Roman" w:hAnsi="Times New Roman" w:cs="Times New Roman" w:eastAsiaTheme="minorEastAsia"/>
                <w:color w:val="auto"/>
                <w:spacing w:val="-20"/>
                <w:szCs w:val="21"/>
              </w:rPr>
              <w:t>+</w:t>
            </w:r>
            <w:r>
              <w:rPr>
                <w:rFonts w:hint="eastAsia" w:ascii="Times New Roman" w:hAnsi="Times New Roman" w:cs="Times New Roman" w:eastAsiaTheme="minorEastAsia"/>
                <w:color w:val="auto"/>
                <w:spacing w:val="-20"/>
                <w:szCs w:val="21"/>
              </w:rPr>
              <w:t>45</w:t>
            </w:r>
            <w:r>
              <w:rPr>
                <w:rFonts w:ascii="Times New Roman" w:hAnsi="Times New Roman" w:cs="Times New Roman" w:eastAsiaTheme="minorEastAsia"/>
                <w:color w:val="auto"/>
                <w:spacing w:val="-20"/>
                <w:szCs w:val="21"/>
              </w:rPr>
              <w:t>0</w:t>
            </w:r>
            <w:r>
              <w:rPr>
                <w:rFonts w:ascii="Times New Roman" w:cs="Times New Roman" w:hAnsiTheme="minorEastAsia" w:eastAsiaTheme="minorEastAsia"/>
                <w:color w:val="auto"/>
                <w:spacing w:val="-20"/>
                <w:szCs w:val="21"/>
              </w:rPr>
              <w:t>～</w:t>
            </w:r>
            <w:r>
              <w:rPr>
                <w:rFonts w:ascii="Times New Roman" w:hAnsi="Times New Roman" w:cs="Times New Roman" w:eastAsiaTheme="minorEastAsia"/>
                <w:color w:val="auto"/>
                <w:spacing w:val="-20"/>
                <w:szCs w:val="21"/>
              </w:rPr>
              <w:t>K</w:t>
            </w:r>
            <w:r>
              <w:rPr>
                <w:rFonts w:hint="eastAsia" w:ascii="Times New Roman" w:hAnsi="Times New Roman" w:cs="Times New Roman" w:eastAsiaTheme="minorEastAsia"/>
                <w:color w:val="auto"/>
                <w:spacing w:val="-20"/>
                <w:szCs w:val="21"/>
              </w:rPr>
              <w:t>38</w:t>
            </w:r>
            <w:r>
              <w:rPr>
                <w:rFonts w:ascii="Times New Roman" w:hAnsi="Times New Roman" w:cs="Times New Roman" w:eastAsiaTheme="minorEastAsia"/>
                <w:color w:val="auto"/>
                <w:spacing w:val="-20"/>
                <w:szCs w:val="21"/>
              </w:rPr>
              <w:t>+</w:t>
            </w:r>
            <w:r>
              <w:rPr>
                <w:rFonts w:hint="eastAsia" w:ascii="Times New Roman" w:hAnsi="Times New Roman" w:cs="Times New Roman" w:eastAsiaTheme="minorEastAsia"/>
                <w:color w:val="auto"/>
                <w:spacing w:val="-20"/>
                <w:szCs w:val="21"/>
              </w:rPr>
              <w:t>50</w:t>
            </w:r>
            <w:r>
              <w:rPr>
                <w:rFonts w:ascii="Times New Roman" w:hAnsi="Times New Roman" w:cs="Times New Roman" w:eastAsiaTheme="minorEastAsia"/>
                <w:color w:val="auto"/>
                <w:spacing w:val="-20"/>
                <w:szCs w:val="21"/>
              </w:rPr>
              <w:t>0</w:t>
            </w:r>
          </w:p>
        </w:tc>
        <w:tc>
          <w:tcPr>
            <w:tcW w:w="851" w:type="dxa"/>
            <w:vMerge w:val="continue"/>
            <w:vAlign w:val="center"/>
          </w:tcPr>
          <w:p w14:paraId="56C60072">
            <w:pPr>
              <w:widowControl/>
              <w:spacing w:line="300" w:lineRule="exact"/>
              <w:jc w:val="center"/>
              <w:rPr>
                <w:rFonts w:ascii="Times New Roman" w:cs="Times New Roman" w:hAnsiTheme="minorEastAsia" w:eastAsiaTheme="minorEastAsia"/>
                <w:color w:val="auto"/>
                <w:spacing w:val="-20"/>
                <w:szCs w:val="21"/>
              </w:rPr>
            </w:pPr>
          </w:p>
        </w:tc>
        <w:tc>
          <w:tcPr>
            <w:tcW w:w="850" w:type="dxa"/>
            <w:vMerge w:val="continue"/>
            <w:vAlign w:val="center"/>
          </w:tcPr>
          <w:p w14:paraId="2B60620F">
            <w:pPr>
              <w:spacing w:line="300" w:lineRule="exact"/>
              <w:jc w:val="center"/>
              <w:rPr>
                <w:rFonts w:ascii="Times New Roman" w:hAnsi="Times New Roman" w:cs="Times New Roman" w:eastAsiaTheme="minorEastAsia"/>
                <w:color w:val="auto"/>
                <w:spacing w:val="-20"/>
                <w:kern w:val="0"/>
                <w:szCs w:val="21"/>
              </w:rPr>
            </w:pPr>
          </w:p>
        </w:tc>
        <w:tc>
          <w:tcPr>
            <w:tcW w:w="661" w:type="dxa"/>
            <w:vAlign w:val="center"/>
          </w:tcPr>
          <w:p w14:paraId="3FD2CA70">
            <w:pPr>
              <w:widowControl/>
              <w:spacing w:line="300" w:lineRule="exact"/>
              <w:jc w:val="center"/>
              <w:rPr>
                <w:rFonts w:ascii="Times New Roman" w:cs="Times New Roman" w:hAnsiTheme="minorEastAsia" w:eastAsiaTheme="minorEastAsia"/>
                <w:color w:val="auto"/>
                <w:spacing w:val="-20"/>
                <w:szCs w:val="21"/>
              </w:rPr>
            </w:pPr>
            <w:r>
              <w:rPr>
                <w:rFonts w:ascii="Times New Roman" w:cs="Times New Roman" w:hAnsiTheme="minorEastAsia" w:eastAsiaTheme="minorEastAsia"/>
                <w:color w:val="auto"/>
                <w:spacing w:val="-20"/>
                <w:szCs w:val="21"/>
              </w:rPr>
              <w:t>路左</w:t>
            </w:r>
          </w:p>
        </w:tc>
        <w:tc>
          <w:tcPr>
            <w:tcW w:w="662" w:type="dxa"/>
            <w:vMerge w:val="continue"/>
            <w:vAlign w:val="center"/>
          </w:tcPr>
          <w:p w14:paraId="370262FB">
            <w:pPr>
              <w:widowControl/>
              <w:spacing w:line="300" w:lineRule="exact"/>
              <w:jc w:val="center"/>
              <w:rPr>
                <w:rFonts w:ascii="Times New Roman" w:cs="Times New Roman" w:hAnsiTheme="minorEastAsia" w:eastAsiaTheme="minorEastAsia"/>
                <w:color w:val="auto"/>
                <w:spacing w:val="-20"/>
                <w:szCs w:val="21"/>
              </w:rPr>
            </w:pPr>
          </w:p>
        </w:tc>
        <w:tc>
          <w:tcPr>
            <w:tcW w:w="662" w:type="dxa"/>
            <w:vMerge w:val="continue"/>
            <w:vAlign w:val="center"/>
          </w:tcPr>
          <w:p w14:paraId="68BD35D6">
            <w:pPr>
              <w:widowControl/>
              <w:spacing w:line="300" w:lineRule="exact"/>
              <w:jc w:val="center"/>
              <w:rPr>
                <w:rFonts w:ascii="Times New Roman" w:cs="Times New Roman" w:hAnsiTheme="minorEastAsia" w:eastAsiaTheme="minorEastAsia"/>
                <w:color w:val="auto"/>
                <w:spacing w:val="-20"/>
                <w:szCs w:val="21"/>
              </w:rPr>
            </w:pPr>
          </w:p>
        </w:tc>
        <w:tc>
          <w:tcPr>
            <w:tcW w:w="567" w:type="dxa"/>
            <w:vAlign w:val="center"/>
          </w:tcPr>
          <w:p w14:paraId="7D8902C6">
            <w:pPr>
              <w:widowControl/>
              <w:spacing w:line="300" w:lineRule="exact"/>
              <w:jc w:val="center"/>
              <w:rPr>
                <w:rFonts w:ascii="Times New Roman" w:cs="Times New Roman" w:hAnsiTheme="minorEastAsia" w:eastAsiaTheme="minorEastAsia"/>
                <w:color w:val="auto"/>
                <w:spacing w:val="-20"/>
                <w:szCs w:val="21"/>
              </w:rPr>
            </w:pPr>
            <w:r>
              <w:rPr>
                <w:rFonts w:ascii="Times New Roman" w:cs="Times New Roman" w:hAnsiTheme="minorEastAsia" w:eastAsiaTheme="minorEastAsia"/>
                <w:color w:val="auto"/>
                <w:spacing w:val="-20"/>
                <w:szCs w:val="21"/>
              </w:rPr>
              <w:t>路左</w:t>
            </w:r>
          </w:p>
        </w:tc>
        <w:tc>
          <w:tcPr>
            <w:tcW w:w="708" w:type="dxa"/>
            <w:vMerge w:val="continue"/>
            <w:vAlign w:val="center"/>
          </w:tcPr>
          <w:p w14:paraId="4159A3DE">
            <w:pPr>
              <w:widowControl/>
              <w:spacing w:line="300" w:lineRule="exact"/>
              <w:jc w:val="center"/>
              <w:rPr>
                <w:rFonts w:ascii="Times New Roman" w:hAnsi="Times New Roman" w:cs="Times New Roman" w:eastAsiaTheme="minorEastAsia"/>
                <w:color w:val="auto"/>
                <w:spacing w:val="-20"/>
                <w:szCs w:val="21"/>
              </w:rPr>
            </w:pPr>
          </w:p>
        </w:tc>
        <w:tc>
          <w:tcPr>
            <w:tcW w:w="709" w:type="dxa"/>
            <w:vMerge w:val="continue"/>
            <w:vAlign w:val="center"/>
          </w:tcPr>
          <w:p w14:paraId="2C87D3C0">
            <w:pPr>
              <w:widowControl/>
              <w:spacing w:line="300" w:lineRule="exact"/>
              <w:jc w:val="center"/>
              <w:rPr>
                <w:rFonts w:ascii="Times New Roman" w:hAnsi="Times New Roman" w:cs="Times New Roman" w:eastAsiaTheme="minorEastAsia"/>
                <w:color w:val="auto"/>
                <w:spacing w:val="-20"/>
                <w:kern w:val="0"/>
                <w:szCs w:val="21"/>
              </w:rPr>
            </w:pPr>
          </w:p>
        </w:tc>
        <w:tc>
          <w:tcPr>
            <w:tcW w:w="992" w:type="dxa"/>
            <w:vMerge w:val="continue"/>
            <w:vAlign w:val="center"/>
          </w:tcPr>
          <w:p w14:paraId="439B10AF">
            <w:pPr>
              <w:spacing w:line="300" w:lineRule="exact"/>
              <w:jc w:val="center"/>
              <w:rPr>
                <w:rFonts w:ascii="Times New Roman" w:hAnsi="Times New Roman" w:cs="Times New Roman" w:eastAsiaTheme="minorEastAsia"/>
                <w:color w:val="auto"/>
                <w:spacing w:val="-20"/>
                <w:kern w:val="0"/>
                <w:szCs w:val="21"/>
              </w:rPr>
            </w:pPr>
          </w:p>
        </w:tc>
        <w:tc>
          <w:tcPr>
            <w:tcW w:w="993" w:type="dxa"/>
            <w:vMerge w:val="continue"/>
            <w:vAlign w:val="center"/>
          </w:tcPr>
          <w:p w14:paraId="46021280">
            <w:pPr>
              <w:widowControl/>
              <w:spacing w:line="300" w:lineRule="exact"/>
              <w:jc w:val="center"/>
              <w:rPr>
                <w:rFonts w:ascii="Times New Roman" w:hAnsi="Times New Roman" w:cs="Times New Roman" w:eastAsiaTheme="minorEastAsia"/>
                <w:color w:val="auto"/>
                <w:spacing w:val="-20"/>
                <w:kern w:val="0"/>
                <w:szCs w:val="21"/>
              </w:rPr>
            </w:pPr>
          </w:p>
        </w:tc>
        <w:tc>
          <w:tcPr>
            <w:tcW w:w="567" w:type="dxa"/>
            <w:vMerge w:val="continue"/>
            <w:vAlign w:val="center"/>
          </w:tcPr>
          <w:p w14:paraId="0D5C95A3">
            <w:pPr>
              <w:widowControl/>
              <w:spacing w:line="300" w:lineRule="exact"/>
              <w:jc w:val="center"/>
              <w:rPr>
                <w:rFonts w:ascii="Times New Roman" w:cs="Times New Roman" w:hAnsiTheme="minorEastAsia" w:eastAsiaTheme="minorEastAsia"/>
                <w:color w:val="auto"/>
                <w:spacing w:val="-20"/>
                <w:kern w:val="0"/>
                <w:szCs w:val="21"/>
              </w:rPr>
            </w:pPr>
          </w:p>
        </w:tc>
        <w:tc>
          <w:tcPr>
            <w:tcW w:w="992" w:type="dxa"/>
            <w:vMerge w:val="continue"/>
            <w:vAlign w:val="center"/>
          </w:tcPr>
          <w:p w14:paraId="6B3D4188">
            <w:pPr>
              <w:widowControl/>
              <w:spacing w:line="300" w:lineRule="exact"/>
              <w:jc w:val="center"/>
              <w:rPr>
                <w:rFonts w:ascii="Times New Roman" w:hAnsi="Times New Roman" w:cs="Times New Roman" w:eastAsiaTheme="minorEastAsia"/>
                <w:color w:val="auto"/>
                <w:spacing w:val="-20"/>
                <w:kern w:val="0"/>
                <w:szCs w:val="21"/>
              </w:rPr>
            </w:pPr>
          </w:p>
        </w:tc>
        <w:tc>
          <w:tcPr>
            <w:tcW w:w="709" w:type="dxa"/>
            <w:vMerge w:val="continue"/>
            <w:vAlign w:val="center"/>
          </w:tcPr>
          <w:p w14:paraId="70C304BF">
            <w:pPr>
              <w:widowControl/>
              <w:spacing w:line="300" w:lineRule="exact"/>
              <w:jc w:val="center"/>
              <w:rPr>
                <w:rFonts w:ascii="Times New Roman" w:hAnsi="Times New Roman" w:cs="Times New Roman" w:eastAsiaTheme="minorEastAsia"/>
                <w:color w:val="auto"/>
                <w:spacing w:val="-20"/>
                <w:kern w:val="0"/>
                <w:szCs w:val="21"/>
              </w:rPr>
            </w:pPr>
          </w:p>
        </w:tc>
        <w:tc>
          <w:tcPr>
            <w:tcW w:w="708" w:type="dxa"/>
            <w:vMerge w:val="continue"/>
            <w:vAlign w:val="center"/>
          </w:tcPr>
          <w:p w14:paraId="38FCF3FE">
            <w:pPr>
              <w:widowControl/>
              <w:spacing w:line="300" w:lineRule="exact"/>
              <w:jc w:val="center"/>
              <w:rPr>
                <w:rFonts w:ascii="Times New Roman" w:hAnsi="Times New Roman" w:cs="Times New Roman" w:eastAsiaTheme="minorEastAsia"/>
                <w:color w:val="auto"/>
                <w:spacing w:val="-20"/>
                <w:kern w:val="0"/>
                <w:szCs w:val="21"/>
              </w:rPr>
            </w:pPr>
          </w:p>
        </w:tc>
        <w:tc>
          <w:tcPr>
            <w:tcW w:w="4436" w:type="dxa"/>
            <w:vMerge w:val="continue"/>
            <w:vAlign w:val="center"/>
          </w:tcPr>
          <w:p w14:paraId="6B462DD9">
            <w:pPr>
              <w:widowControl/>
              <w:spacing w:line="300" w:lineRule="exact"/>
              <w:rPr>
                <w:rFonts w:ascii="Times New Roman" w:cs="Times New Roman" w:hAnsiTheme="minorEastAsia" w:eastAsiaTheme="minorEastAsia"/>
                <w:color w:val="auto"/>
                <w:spacing w:val="0"/>
                <w:kern w:val="0"/>
                <w:sz w:val="21"/>
                <w:szCs w:val="21"/>
              </w:rPr>
            </w:pPr>
          </w:p>
        </w:tc>
        <w:tc>
          <w:tcPr>
            <w:tcW w:w="2898" w:type="dxa"/>
            <w:vMerge w:val="continue"/>
            <w:vAlign w:val="center"/>
          </w:tcPr>
          <w:p w14:paraId="6B63BB78">
            <w:pPr>
              <w:widowControl/>
              <w:adjustRightInd w:val="0"/>
              <w:snapToGrid w:val="0"/>
              <w:jc w:val="center"/>
              <w:rPr>
                <w:rFonts w:ascii="Times New Roman" w:hAnsi="Times New Roman" w:cs="Times New Roman" w:eastAsiaTheme="minorEastAsia"/>
                <w:snapToGrid w:val="0"/>
                <w:color w:val="auto"/>
                <w:spacing w:val="-20"/>
                <w:kern w:val="0"/>
                <w:szCs w:val="21"/>
              </w:rPr>
            </w:pPr>
          </w:p>
        </w:tc>
      </w:tr>
      <w:tr w14:paraId="4CF4BAC0">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1095" w:hRule="atLeast"/>
          <w:tblHeader/>
          <w:jc w:val="center"/>
        </w:trPr>
        <w:tc>
          <w:tcPr>
            <w:tcW w:w="568" w:type="dxa"/>
            <w:vMerge w:val="restart"/>
            <w:noWrap/>
            <w:vAlign w:val="center"/>
          </w:tcPr>
          <w:p w14:paraId="26EEB253">
            <w:pPr>
              <w:widowControl/>
              <w:spacing w:line="300" w:lineRule="exact"/>
              <w:jc w:val="center"/>
              <w:rPr>
                <w:rFonts w:ascii="Times New Roman" w:hAnsi="Times New Roman" w:cs="Times New Roman" w:eastAsiaTheme="minorEastAsia"/>
                <w:color w:val="auto"/>
                <w:spacing w:val="-20"/>
                <w:kern w:val="0"/>
                <w:szCs w:val="21"/>
              </w:rPr>
            </w:pPr>
            <w:r>
              <w:rPr>
                <w:rFonts w:ascii="Times New Roman" w:hAnsi="Times New Roman" w:cs="Times New Roman" w:eastAsiaTheme="minorEastAsia"/>
                <w:color w:val="auto"/>
                <w:spacing w:val="-20"/>
                <w:kern w:val="0"/>
                <w:szCs w:val="21"/>
              </w:rPr>
              <w:t>20</w:t>
            </w:r>
          </w:p>
        </w:tc>
        <w:tc>
          <w:tcPr>
            <w:tcW w:w="694" w:type="dxa"/>
            <w:vMerge w:val="continue"/>
            <w:vAlign w:val="center"/>
          </w:tcPr>
          <w:p w14:paraId="0B7A88EE">
            <w:pPr>
              <w:spacing w:line="300" w:lineRule="exact"/>
              <w:jc w:val="center"/>
              <w:rPr>
                <w:rFonts w:ascii="Times New Roman" w:hAnsi="Times New Roman" w:cs="Times New Roman" w:eastAsiaTheme="minorEastAsia"/>
                <w:color w:val="auto"/>
                <w:spacing w:val="-20"/>
                <w:kern w:val="0"/>
                <w:szCs w:val="21"/>
              </w:rPr>
            </w:pPr>
          </w:p>
        </w:tc>
        <w:tc>
          <w:tcPr>
            <w:tcW w:w="1134" w:type="dxa"/>
            <w:vMerge w:val="restart"/>
            <w:vAlign w:val="center"/>
          </w:tcPr>
          <w:p w14:paraId="697EF233">
            <w:pPr>
              <w:widowControl/>
              <w:spacing w:line="300" w:lineRule="exact"/>
              <w:jc w:val="center"/>
              <w:rPr>
                <w:rFonts w:ascii="Times New Roman" w:hAnsi="Times New Roman" w:cs="Times New Roman" w:eastAsiaTheme="minorEastAsia"/>
                <w:color w:val="auto"/>
                <w:spacing w:val="-20"/>
                <w:kern w:val="0"/>
                <w:szCs w:val="21"/>
              </w:rPr>
            </w:pPr>
            <w:r>
              <w:rPr>
                <w:rFonts w:ascii="Times New Roman" w:hAnsi="Times New Roman" w:cs="Times New Roman" w:eastAsiaTheme="minorEastAsia"/>
                <w:color w:val="auto"/>
                <w:spacing w:val="-20"/>
                <w:szCs w:val="21"/>
              </w:rPr>
              <w:t>K</w:t>
            </w:r>
            <w:r>
              <w:rPr>
                <w:rFonts w:hint="eastAsia" w:ascii="Times New Roman" w:hAnsi="Times New Roman" w:cs="Times New Roman" w:eastAsiaTheme="minorEastAsia"/>
                <w:color w:val="auto"/>
                <w:spacing w:val="-20"/>
                <w:szCs w:val="21"/>
              </w:rPr>
              <w:t>42</w:t>
            </w:r>
            <w:r>
              <w:rPr>
                <w:rFonts w:ascii="Times New Roman" w:hAnsi="Times New Roman" w:cs="Times New Roman" w:eastAsiaTheme="minorEastAsia"/>
                <w:color w:val="auto"/>
                <w:spacing w:val="-20"/>
                <w:szCs w:val="21"/>
              </w:rPr>
              <w:t>+</w:t>
            </w:r>
            <w:r>
              <w:rPr>
                <w:rFonts w:hint="eastAsia" w:ascii="Times New Roman" w:hAnsi="Times New Roman" w:cs="Times New Roman" w:eastAsiaTheme="minorEastAsia"/>
                <w:color w:val="auto"/>
                <w:spacing w:val="-20"/>
                <w:szCs w:val="21"/>
              </w:rPr>
              <w:t>87</w:t>
            </w:r>
            <w:r>
              <w:rPr>
                <w:rFonts w:ascii="Times New Roman" w:hAnsi="Times New Roman" w:cs="Times New Roman" w:eastAsiaTheme="minorEastAsia"/>
                <w:color w:val="auto"/>
                <w:spacing w:val="-20"/>
                <w:szCs w:val="21"/>
              </w:rPr>
              <w:t>0</w:t>
            </w:r>
            <w:r>
              <w:rPr>
                <w:rFonts w:ascii="Times New Roman" w:cs="Times New Roman" w:hAnsiTheme="minorEastAsia" w:eastAsiaTheme="minorEastAsia"/>
                <w:color w:val="auto"/>
                <w:spacing w:val="-20"/>
                <w:szCs w:val="21"/>
              </w:rPr>
              <w:t>～</w:t>
            </w:r>
            <w:r>
              <w:rPr>
                <w:rFonts w:ascii="Times New Roman" w:hAnsi="Times New Roman" w:cs="Times New Roman" w:eastAsiaTheme="minorEastAsia"/>
                <w:color w:val="auto"/>
                <w:spacing w:val="-20"/>
                <w:szCs w:val="21"/>
              </w:rPr>
              <w:t>K</w:t>
            </w:r>
            <w:r>
              <w:rPr>
                <w:rFonts w:hint="eastAsia" w:ascii="Times New Roman" w:hAnsi="Times New Roman" w:cs="Times New Roman" w:eastAsiaTheme="minorEastAsia"/>
                <w:color w:val="auto"/>
                <w:spacing w:val="-20"/>
                <w:szCs w:val="21"/>
              </w:rPr>
              <w:t>42</w:t>
            </w:r>
            <w:r>
              <w:rPr>
                <w:rFonts w:ascii="Times New Roman" w:hAnsi="Times New Roman" w:cs="Times New Roman" w:eastAsiaTheme="minorEastAsia"/>
                <w:color w:val="auto"/>
                <w:spacing w:val="-20"/>
                <w:szCs w:val="21"/>
              </w:rPr>
              <w:t>+</w:t>
            </w:r>
            <w:r>
              <w:rPr>
                <w:rFonts w:hint="eastAsia" w:ascii="Times New Roman" w:hAnsi="Times New Roman" w:cs="Times New Roman" w:eastAsiaTheme="minorEastAsia"/>
                <w:color w:val="auto"/>
                <w:spacing w:val="-20"/>
                <w:szCs w:val="21"/>
              </w:rPr>
              <w:t>92</w:t>
            </w:r>
            <w:r>
              <w:rPr>
                <w:rFonts w:ascii="Times New Roman" w:hAnsi="Times New Roman" w:cs="Times New Roman" w:eastAsiaTheme="minorEastAsia"/>
                <w:color w:val="auto"/>
                <w:spacing w:val="-20"/>
                <w:szCs w:val="21"/>
              </w:rPr>
              <w:t>0</w:t>
            </w:r>
          </w:p>
        </w:tc>
        <w:tc>
          <w:tcPr>
            <w:tcW w:w="851" w:type="dxa"/>
            <w:vMerge w:val="restart"/>
            <w:vAlign w:val="center"/>
          </w:tcPr>
          <w:p w14:paraId="46358549">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cs="Times New Roman" w:hAnsiTheme="minorEastAsia" w:eastAsiaTheme="minorEastAsia"/>
                <w:color w:val="auto"/>
                <w:spacing w:val="-20"/>
                <w:szCs w:val="21"/>
              </w:rPr>
              <w:t>吐碗</w:t>
            </w:r>
          </w:p>
        </w:tc>
        <w:tc>
          <w:tcPr>
            <w:tcW w:w="850" w:type="dxa"/>
            <w:vMerge w:val="continue"/>
            <w:vAlign w:val="center"/>
          </w:tcPr>
          <w:p w14:paraId="04D0C7A2">
            <w:pPr>
              <w:spacing w:line="300" w:lineRule="exact"/>
              <w:jc w:val="center"/>
              <w:rPr>
                <w:rFonts w:ascii="Times New Roman" w:hAnsi="Times New Roman" w:cs="Times New Roman" w:eastAsiaTheme="minorEastAsia"/>
                <w:color w:val="auto"/>
                <w:spacing w:val="-20"/>
                <w:kern w:val="0"/>
                <w:szCs w:val="21"/>
              </w:rPr>
            </w:pPr>
          </w:p>
        </w:tc>
        <w:tc>
          <w:tcPr>
            <w:tcW w:w="661" w:type="dxa"/>
            <w:vMerge w:val="restart"/>
            <w:vAlign w:val="center"/>
          </w:tcPr>
          <w:p w14:paraId="138693AC">
            <w:pPr>
              <w:widowControl/>
              <w:spacing w:line="300" w:lineRule="exact"/>
              <w:jc w:val="center"/>
              <w:rPr>
                <w:rFonts w:ascii="Times New Roman" w:hAnsi="Times New Roman" w:cs="Times New Roman" w:eastAsiaTheme="minorEastAsia"/>
                <w:color w:val="auto"/>
                <w:spacing w:val="-20"/>
                <w:kern w:val="0"/>
                <w:szCs w:val="21"/>
              </w:rPr>
            </w:pPr>
            <w:r>
              <w:rPr>
                <w:rFonts w:ascii="Times New Roman" w:hAnsi="Times New Roman" w:cs="Times New Roman" w:eastAsiaTheme="minorEastAsia"/>
                <w:color w:val="auto"/>
                <w:spacing w:val="-20"/>
                <w:kern w:val="0"/>
                <w:szCs w:val="21"/>
              </w:rPr>
              <w:t>两侧</w:t>
            </w:r>
          </w:p>
        </w:tc>
        <w:tc>
          <w:tcPr>
            <w:tcW w:w="662" w:type="dxa"/>
            <w:vMerge w:val="restart"/>
            <w:vAlign w:val="center"/>
          </w:tcPr>
          <w:p w14:paraId="549C12A0">
            <w:pPr>
              <w:widowControl/>
              <w:spacing w:line="300" w:lineRule="exact"/>
              <w:jc w:val="center"/>
              <w:rPr>
                <w:rFonts w:ascii="Times New Roman" w:cs="Times New Roman" w:hAnsiTheme="minorEastAsia" w:eastAsiaTheme="minorEastAsia"/>
                <w:color w:val="auto"/>
                <w:spacing w:val="-20"/>
                <w:szCs w:val="21"/>
              </w:rPr>
            </w:pPr>
            <w:r>
              <w:rPr>
                <w:rFonts w:hint="eastAsia" w:ascii="Times New Roman" w:cs="Times New Roman" w:hAnsiTheme="minorEastAsia" w:eastAsiaTheme="minorEastAsia"/>
                <w:color w:val="auto"/>
                <w:spacing w:val="-20"/>
                <w:szCs w:val="21"/>
              </w:rPr>
              <w:t>13</w:t>
            </w:r>
          </w:p>
        </w:tc>
        <w:tc>
          <w:tcPr>
            <w:tcW w:w="662" w:type="dxa"/>
            <w:vMerge w:val="restart"/>
            <w:vAlign w:val="center"/>
          </w:tcPr>
          <w:p w14:paraId="51623BE6">
            <w:pPr>
              <w:widowControl/>
              <w:spacing w:line="300" w:lineRule="exact"/>
              <w:jc w:val="center"/>
              <w:rPr>
                <w:rFonts w:ascii="Times New Roman" w:cs="Times New Roman" w:hAnsiTheme="minorEastAsia" w:eastAsiaTheme="minorEastAsia"/>
                <w:color w:val="auto"/>
                <w:spacing w:val="-20"/>
                <w:szCs w:val="21"/>
              </w:rPr>
            </w:pPr>
            <w:r>
              <w:rPr>
                <w:rFonts w:hint="eastAsia" w:ascii="Times New Roman" w:cs="Times New Roman" w:hAnsiTheme="minorEastAsia" w:eastAsiaTheme="minorEastAsia"/>
                <w:color w:val="auto"/>
                <w:spacing w:val="-20"/>
                <w:szCs w:val="21"/>
              </w:rPr>
              <w:t>2</w:t>
            </w:r>
          </w:p>
        </w:tc>
        <w:tc>
          <w:tcPr>
            <w:tcW w:w="567" w:type="dxa"/>
            <w:vAlign w:val="center"/>
          </w:tcPr>
          <w:p w14:paraId="2F12D4A4">
            <w:pPr>
              <w:widowControl/>
              <w:spacing w:line="300" w:lineRule="exact"/>
              <w:jc w:val="center"/>
              <w:rPr>
                <w:rFonts w:ascii="Times New Roman" w:hAnsi="Times New Roman" w:cs="Times New Roman" w:eastAsiaTheme="minorEastAsia"/>
                <w:color w:val="auto"/>
                <w:spacing w:val="-20"/>
                <w:kern w:val="0"/>
                <w:szCs w:val="21"/>
              </w:rPr>
            </w:pPr>
            <w:r>
              <w:rPr>
                <w:rFonts w:ascii="Times New Roman" w:cs="Times New Roman" w:hAnsiTheme="minorEastAsia" w:eastAsiaTheme="minorEastAsia"/>
                <w:color w:val="auto"/>
                <w:spacing w:val="-20"/>
                <w:szCs w:val="21"/>
              </w:rPr>
              <w:t>路右</w:t>
            </w:r>
          </w:p>
        </w:tc>
        <w:tc>
          <w:tcPr>
            <w:tcW w:w="708" w:type="dxa"/>
            <w:vAlign w:val="center"/>
          </w:tcPr>
          <w:p w14:paraId="21E1394A">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szCs w:val="21"/>
              </w:rPr>
              <w:t>21</w:t>
            </w:r>
          </w:p>
        </w:tc>
        <w:tc>
          <w:tcPr>
            <w:tcW w:w="709" w:type="dxa"/>
            <w:vAlign w:val="center"/>
          </w:tcPr>
          <w:p w14:paraId="6FA716C5">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3.5</w:t>
            </w:r>
          </w:p>
        </w:tc>
        <w:tc>
          <w:tcPr>
            <w:tcW w:w="992" w:type="dxa"/>
            <w:vMerge w:val="restart"/>
            <w:vAlign w:val="center"/>
          </w:tcPr>
          <w:p w14:paraId="3FC3C4A4">
            <w:pPr>
              <w:widowControl/>
              <w:spacing w:line="300" w:lineRule="exact"/>
              <w:jc w:val="center"/>
              <w:rPr>
                <w:rFonts w:ascii="Times New Roman" w:hAnsi="Times New Roman" w:cs="Times New Roman" w:eastAsiaTheme="minorEastAsia"/>
                <w:color w:val="auto"/>
                <w:spacing w:val="-20"/>
                <w:kern w:val="0"/>
                <w:szCs w:val="21"/>
              </w:rPr>
            </w:pPr>
            <w:r>
              <w:rPr>
                <w:rFonts w:ascii="Times New Roman" w:hAnsi="Times New Roman" w:cs="Times New Roman" w:eastAsiaTheme="minorEastAsia"/>
                <w:color w:val="auto"/>
                <w:spacing w:val="-20"/>
                <w:kern w:val="0"/>
                <w:szCs w:val="21"/>
              </w:rPr>
              <w:t>0</w:t>
            </w:r>
          </w:p>
        </w:tc>
        <w:tc>
          <w:tcPr>
            <w:tcW w:w="993" w:type="dxa"/>
            <w:vMerge w:val="restart"/>
            <w:vAlign w:val="center"/>
          </w:tcPr>
          <w:p w14:paraId="1DFE3BF9">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1.0</w:t>
            </w:r>
          </w:p>
        </w:tc>
        <w:tc>
          <w:tcPr>
            <w:tcW w:w="567" w:type="dxa"/>
            <w:vMerge w:val="restart"/>
            <w:vAlign w:val="center"/>
          </w:tcPr>
          <w:p w14:paraId="7142D215">
            <w:pPr>
              <w:widowControl/>
              <w:spacing w:line="300" w:lineRule="exact"/>
              <w:jc w:val="center"/>
              <w:rPr>
                <w:rFonts w:ascii="Times New Roman" w:hAnsi="Times New Roman" w:cs="Times New Roman" w:eastAsiaTheme="minorEastAsia"/>
                <w:color w:val="auto"/>
                <w:spacing w:val="-20"/>
                <w:kern w:val="0"/>
                <w:szCs w:val="21"/>
              </w:rPr>
            </w:pPr>
            <w:r>
              <w:rPr>
                <w:rFonts w:ascii="Times New Roman" w:cs="Times New Roman" w:hAnsiTheme="minorEastAsia" w:eastAsiaTheme="minorEastAsia"/>
                <w:color w:val="auto"/>
                <w:spacing w:val="-20"/>
                <w:kern w:val="0"/>
                <w:szCs w:val="21"/>
              </w:rPr>
              <w:t>路基</w:t>
            </w:r>
          </w:p>
        </w:tc>
        <w:tc>
          <w:tcPr>
            <w:tcW w:w="992" w:type="dxa"/>
            <w:vMerge w:val="restart"/>
            <w:vAlign w:val="center"/>
          </w:tcPr>
          <w:p w14:paraId="788EEFAD">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52.5</w:t>
            </w:r>
          </w:p>
        </w:tc>
        <w:tc>
          <w:tcPr>
            <w:tcW w:w="709" w:type="dxa"/>
            <w:vAlign w:val="center"/>
          </w:tcPr>
          <w:p w14:paraId="21A9F215">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3</w:t>
            </w:r>
          </w:p>
        </w:tc>
        <w:tc>
          <w:tcPr>
            <w:tcW w:w="708" w:type="dxa"/>
            <w:vAlign w:val="center"/>
          </w:tcPr>
          <w:p w14:paraId="3DA73B42">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7</w:t>
            </w:r>
          </w:p>
        </w:tc>
        <w:tc>
          <w:tcPr>
            <w:tcW w:w="4436" w:type="dxa"/>
            <w:vMerge w:val="restart"/>
            <w:vAlign w:val="center"/>
          </w:tcPr>
          <w:p w14:paraId="6C89C6ED">
            <w:pPr>
              <w:widowControl/>
              <w:spacing w:line="300" w:lineRule="exact"/>
              <w:rPr>
                <w:rFonts w:ascii="Times New Roman" w:hAnsi="Times New Roman" w:cs="Times New Roman" w:eastAsiaTheme="minorEastAsia"/>
                <w:color w:val="auto"/>
                <w:spacing w:val="0"/>
                <w:kern w:val="0"/>
                <w:sz w:val="21"/>
                <w:szCs w:val="21"/>
              </w:rPr>
            </w:pPr>
            <w:r>
              <w:rPr>
                <w:rFonts w:ascii="Times New Roman" w:cs="Times New Roman" w:hAnsiTheme="minorEastAsia" w:eastAsiaTheme="minorEastAsia"/>
                <w:color w:val="auto"/>
                <w:spacing w:val="0"/>
                <w:kern w:val="0"/>
                <w:sz w:val="21"/>
                <w:szCs w:val="21"/>
              </w:rPr>
              <w:t>路线以填方路基形式经过村庄。评价范围内现有居民</w:t>
            </w:r>
            <w:r>
              <w:rPr>
                <w:rFonts w:hint="eastAsia" w:ascii="Times New Roman" w:hAnsi="Times New Roman" w:cs="Times New Roman" w:eastAsiaTheme="minorEastAsia"/>
                <w:color w:val="auto"/>
                <w:spacing w:val="0"/>
                <w:kern w:val="0"/>
                <w:sz w:val="21"/>
                <w:szCs w:val="21"/>
              </w:rPr>
              <w:t>12</w:t>
            </w:r>
            <w:r>
              <w:rPr>
                <w:rFonts w:ascii="Times New Roman" w:cs="Times New Roman" w:hAnsiTheme="minorEastAsia" w:eastAsiaTheme="minorEastAsia"/>
                <w:color w:val="auto"/>
                <w:spacing w:val="0"/>
                <w:kern w:val="0"/>
                <w:sz w:val="21"/>
                <w:szCs w:val="21"/>
              </w:rPr>
              <w:t>户，首排</w:t>
            </w:r>
            <w:r>
              <w:rPr>
                <w:rFonts w:hint="eastAsia" w:ascii="Times New Roman" w:hAnsi="Times New Roman" w:cs="Times New Roman" w:eastAsiaTheme="minorEastAsia"/>
                <w:color w:val="auto"/>
                <w:spacing w:val="0"/>
                <w:kern w:val="0"/>
                <w:sz w:val="21"/>
                <w:szCs w:val="21"/>
              </w:rPr>
              <w:t>2</w:t>
            </w:r>
            <w:r>
              <w:rPr>
                <w:rFonts w:ascii="Times New Roman" w:cs="Times New Roman" w:hAnsiTheme="minorEastAsia" w:eastAsiaTheme="minorEastAsia"/>
                <w:color w:val="auto"/>
                <w:spacing w:val="0"/>
                <w:kern w:val="0"/>
                <w:sz w:val="21"/>
                <w:szCs w:val="21"/>
              </w:rPr>
              <w:t>户，</w:t>
            </w:r>
            <w:r>
              <w:rPr>
                <w:rFonts w:hint="eastAsia" w:ascii="Times New Roman" w:cs="Times New Roman" w:hAnsiTheme="minorEastAsia" w:eastAsiaTheme="minorEastAsia"/>
                <w:color w:val="auto"/>
                <w:spacing w:val="0"/>
                <w:kern w:val="0"/>
                <w:sz w:val="21"/>
                <w:szCs w:val="21"/>
              </w:rPr>
              <w:t>主要</w:t>
            </w:r>
            <w:r>
              <w:rPr>
                <w:rFonts w:ascii="Times New Roman" w:cs="Times New Roman" w:hAnsiTheme="minorEastAsia" w:eastAsiaTheme="minorEastAsia"/>
                <w:color w:val="auto"/>
                <w:spacing w:val="0"/>
                <w:kern w:val="0"/>
                <w:sz w:val="21"/>
                <w:szCs w:val="21"/>
              </w:rPr>
              <w:t>为</w:t>
            </w:r>
            <w:r>
              <w:rPr>
                <w:rFonts w:ascii="Times New Roman" w:hAnsi="Times New Roman" w:cs="Times New Roman" w:eastAsiaTheme="minorEastAsia"/>
                <w:color w:val="auto"/>
                <w:spacing w:val="0"/>
                <w:kern w:val="0"/>
                <w:sz w:val="21"/>
                <w:szCs w:val="21"/>
              </w:rPr>
              <w:t>1</w:t>
            </w:r>
            <w:r>
              <w:rPr>
                <w:rFonts w:ascii="Times New Roman" w:cs="Times New Roman" w:hAnsiTheme="minorEastAsia" w:eastAsiaTheme="minorEastAsia"/>
                <w:color w:val="auto"/>
                <w:spacing w:val="0"/>
                <w:kern w:val="0"/>
                <w:sz w:val="21"/>
                <w:szCs w:val="21"/>
              </w:rPr>
              <w:t>层砖混房，房屋侧向拟建公路。</w:t>
            </w:r>
            <w:r>
              <w:rPr>
                <w:rFonts w:ascii="Times New Roman" w:hAnsi="Times New Roman" w:eastAsia="宋体" w:cs="Times New Roman"/>
                <w:color w:val="auto"/>
                <w:spacing w:val="0"/>
                <w:kern w:val="0"/>
                <w:sz w:val="21"/>
                <w:szCs w:val="21"/>
              </w:rPr>
              <w:t>该路段利用现有</w:t>
            </w:r>
            <w:r>
              <w:rPr>
                <w:rFonts w:hint="eastAsia" w:ascii="Times New Roman" w:hAnsi="Times New Roman" w:eastAsia="宋体" w:cs="Times New Roman"/>
                <w:color w:val="auto"/>
                <w:spacing w:val="0"/>
                <w:kern w:val="0"/>
                <w:sz w:val="21"/>
                <w:szCs w:val="21"/>
              </w:rPr>
              <w:t>老路左侧加宽</w:t>
            </w:r>
            <w:r>
              <w:rPr>
                <w:rFonts w:ascii="Times New Roman" w:hAnsi="Times New Roman" w:eastAsia="宋体" w:cs="Times New Roman"/>
                <w:color w:val="auto"/>
                <w:spacing w:val="0"/>
                <w:kern w:val="0"/>
                <w:sz w:val="21"/>
                <w:szCs w:val="21"/>
              </w:rPr>
              <w:t>，</w:t>
            </w:r>
            <w:r>
              <w:rPr>
                <w:rFonts w:hint="eastAsia" w:ascii="Times New Roman" w:hAnsi="Times New Roman" w:eastAsia="宋体" w:cs="Times New Roman"/>
                <w:color w:val="auto"/>
                <w:spacing w:val="0"/>
                <w:kern w:val="0"/>
                <w:sz w:val="21"/>
                <w:szCs w:val="21"/>
              </w:rPr>
              <w:t>房屋</w:t>
            </w:r>
            <w:r>
              <w:rPr>
                <w:rFonts w:ascii="Times New Roman" w:hAnsi="Times New Roman" w:eastAsia="宋体" w:cs="Times New Roman"/>
                <w:color w:val="auto"/>
                <w:spacing w:val="0"/>
                <w:kern w:val="0"/>
                <w:sz w:val="21"/>
                <w:szCs w:val="21"/>
              </w:rPr>
              <w:t>分布于平交</w:t>
            </w:r>
            <w:r>
              <w:rPr>
                <w:rFonts w:hint="eastAsia" w:ascii="Times New Roman" w:hAnsi="Times New Roman" w:eastAsia="宋体" w:cs="Times New Roman"/>
                <w:color w:val="auto"/>
                <w:spacing w:val="0"/>
                <w:kern w:val="0"/>
                <w:sz w:val="21"/>
                <w:szCs w:val="21"/>
              </w:rPr>
              <w:t>路口两侧</w:t>
            </w:r>
            <w:r>
              <w:rPr>
                <w:rFonts w:ascii="Times New Roman" w:hAnsi="Times New Roman" w:eastAsia="宋体" w:cs="Times New Roman"/>
                <w:color w:val="auto"/>
                <w:spacing w:val="0"/>
                <w:kern w:val="0"/>
                <w:sz w:val="21"/>
                <w:szCs w:val="21"/>
              </w:rPr>
              <w:t>，</w:t>
            </w:r>
            <w:r>
              <w:rPr>
                <w:rFonts w:ascii="Times New Roman" w:cs="Times New Roman" w:hAnsiTheme="minorEastAsia" w:eastAsiaTheme="minorEastAsia"/>
                <w:color w:val="auto"/>
                <w:spacing w:val="0"/>
                <w:kern w:val="0"/>
                <w:sz w:val="21"/>
                <w:szCs w:val="21"/>
              </w:rPr>
              <w:t>主要噪声源为现有</w:t>
            </w:r>
            <w:r>
              <w:rPr>
                <w:rFonts w:hint="eastAsia" w:ascii="Times New Roman" w:hAnsi="Times New Roman" w:cs="Times New Roman" w:eastAsiaTheme="minorEastAsia"/>
                <w:color w:val="auto"/>
                <w:spacing w:val="0"/>
                <w:kern w:val="0"/>
                <w:sz w:val="21"/>
                <w:szCs w:val="21"/>
              </w:rPr>
              <w:t>G219</w:t>
            </w:r>
            <w:r>
              <w:rPr>
                <w:rFonts w:ascii="Times New Roman" w:cs="Times New Roman" w:hAnsiTheme="minorEastAsia" w:eastAsiaTheme="minorEastAsia"/>
                <w:color w:val="auto"/>
                <w:spacing w:val="0"/>
                <w:kern w:val="0"/>
                <w:sz w:val="21"/>
                <w:szCs w:val="21"/>
              </w:rPr>
              <w:t>交通噪声和社会生活噪声。</w:t>
            </w:r>
          </w:p>
        </w:tc>
        <w:tc>
          <w:tcPr>
            <w:tcW w:w="2898" w:type="dxa"/>
            <w:vMerge w:val="restart"/>
            <w:vAlign w:val="center"/>
          </w:tcPr>
          <w:p w14:paraId="41FFD379">
            <w:pPr>
              <w:widowControl/>
              <w:adjustRightInd w:val="0"/>
              <w:snapToGrid w:val="0"/>
              <w:jc w:val="center"/>
              <w:rPr>
                <w:rFonts w:ascii="Times New Roman" w:hAnsi="Times New Roman" w:cs="Times New Roman" w:eastAsiaTheme="minorEastAsia"/>
                <w:snapToGrid w:val="0"/>
                <w:color w:val="auto"/>
                <w:spacing w:val="-20"/>
                <w:kern w:val="0"/>
                <w:szCs w:val="21"/>
              </w:rPr>
            </w:pPr>
            <w:r>
              <w:rPr>
                <w:rFonts w:ascii="Times New Roman" w:hAnsi="Times New Roman" w:cs="Times New Roman" w:eastAsiaTheme="minorEastAsia"/>
                <w:color w:val="auto"/>
                <w:spacing w:val="-20"/>
                <w:kern w:val="0"/>
                <w:szCs w:val="21"/>
              </w:rPr>
              <w:drawing>
                <wp:inline distT="0" distB="0" distL="0" distR="0">
                  <wp:extent cx="1729105" cy="1295400"/>
                  <wp:effectExtent l="0" t="0" r="4445" b="0"/>
                  <wp:docPr id="936451290" name="图片 20" descr="E:\咨询项目\环评\新疆-G219线八盘水磨至伽师公路\外业踏勘记录及照片\DSC089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451290" name="图片 20" descr="E:\咨询项目\环评\新疆-G219线八盘水磨至伽师公路\外业踏勘记录及照片\DSC08999.JPG"/>
                          <pic:cNvPicPr>
                            <a:picLocks noChangeAspect="1" noChangeArrowheads="1"/>
                          </pic:cNvPicPr>
                        </pic:nvPicPr>
                        <pic:blipFill>
                          <a:blip r:embed="rId175" cstate="print"/>
                          <a:srcRect/>
                          <a:stretch>
                            <a:fillRect/>
                          </a:stretch>
                        </pic:blipFill>
                        <pic:spPr>
                          <a:xfrm>
                            <a:off x="0" y="0"/>
                            <a:ext cx="1729728" cy="1296000"/>
                          </a:xfrm>
                          <a:prstGeom prst="rect">
                            <a:avLst/>
                          </a:prstGeom>
                          <a:noFill/>
                          <a:ln w="9525">
                            <a:noFill/>
                            <a:miter lim="800000"/>
                            <a:headEnd/>
                            <a:tailEnd/>
                          </a:ln>
                        </pic:spPr>
                      </pic:pic>
                    </a:graphicData>
                  </a:graphic>
                </wp:inline>
              </w:drawing>
            </w:r>
          </w:p>
        </w:tc>
      </w:tr>
      <w:tr w14:paraId="7D62F906">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1095" w:hRule="atLeast"/>
          <w:tblHeader/>
          <w:jc w:val="center"/>
        </w:trPr>
        <w:tc>
          <w:tcPr>
            <w:tcW w:w="568" w:type="dxa"/>
            <w:vMerge w:val="continue"/>
            <w:noWrap/>
            <w:vAlign w:val="center"/>
          </w:tcPr>
          <w:p w14:paraId="43903D58">
            <w:pPr>
              <w:widowControl/>
              <w:spacing w:line="300" w:lineRule="exact"/>
              <w:jc w:val="center"/>
              <w:rPr>
                <w:rFonts w:ascii="Times New Roman" w:hAnsi="Times New Roman" w:cs="Times New Roman" w:eastAsiaTheme="minorEastAsia"/>
                <w:color w:val="auto"/>
                <w:spacing w:val="-20"/>
                <w:kern w:val="0"/>
                <w:szCs w:val="21"/>
              </w:rPr>
            </w:pPr>
          </w:p>
        </w:tc>
        <w:tc>
          <w:tcPr>
            <w:tcW w:w="694" w:type="dxa"/>
            <w:vMerge w:val="continue"/>
            <w:vAlign w:val="center"/>
          </w:tcPr>
          <w:p w14:paraId="1737B71B">
            <w:pPr>
              <w:spacing w:line="300" w:lineRule="exact"/>
              <w:jc w:val="center"/>
              <w:rPr>
                <w:rFonts w:ascii="Times New Roman" w:hAnsi="Times New Roman" w:cs="Times New Roman" w:eastAsiaTheme="minorEastAsia"/>
                <w:color w:val="auto"/>
                <w:spacing w:val="-20"/>
                <w:kern w:val="0"/>
                <w:szCs w:val="21"/>
              </w:rPr>
            </w:pPr>
          </w:p>
        </w:tc>
        <w:tc>
          <w:tcPr>
            <w:tcW w:w="1134" w:type="dxa"/>
            <w:vMerge w:val="continue"/>
            <w:vAlign w:val="center"/>
          </w:tcPr>
          <w:p w14:paraId="594D6C2D">
            <w:pPr>
              <w:widowControl/>
              <w:spacing w:line="300" w:lineRule="exact"/>
              <w:jc w:val="center"/>
              <w:rPr>
                <w:rFonts w:ascii="Times New Roman" w:hAnsi="Times New Roman" w:cs="Times New Roman" w:eastAsiaTheme="minorEastAsia"/>
                <w:color w:val="auto"/>
                <w:spacing w:val="-20"/>
                <w:szCs w:val="21"/>
              </w:rPr>
            </w:pPr>
          </w:p>
        </w:tc>
        <w:tc>
          <w:tcPr>
            <w:tcW w:w="851" w:type="dxa"/>
            <w:vMerge w:val="continue"/>
            <w:vAlign w:val="center"/>
          </w:tcPr>
          <w:p w14:paraId="4BC3DD2F">
            <w:pPr>
              <w:widowControl/>
              <w:spacing w:line="300" w:lineRule="exact"/>
              <w:jc w:val="center"/>
              <w:rPr>
                <w:rFonts w:ascii="Times New Roman" w:cs="Times New Roman" w:hAnsiTheme="minorEastAsia" w:eastAsiaTheme="minorEastAsia"/>
                <w:color w:val="auto"/>
                <w:spacing w:val="-20"/>
                <w:szCs w:val="21"/>
              </w:rPr>
            </w:pPr>
          </w:p>
        </w:tc>
        <w:tc>
          <w:tcPr>
            <w:tcW w:w="850" w:type="dxa"/>
            <w:vMerge w:val="continue"/>
            <w:vAlign w:val="center"/>
          </w:tcPr>
          <w:p w14:paraId="29B22B62">
            <w:pPr>
              <w:spacing w:line="300" w:lineRule="exact"/>
              <w:jc w:val="center"/>
              <w:rPr>
                <w:rFonts w:ascii="Times New Roman" w:hAnsi="Times New Roman" w:cs="Times New Roman" w:eastAsiaTheme="minorEastAsia"/>
                <w:color w:val="auto"/>
                <w:spacing w:val="-20"/>
                <w:kern w:val="0"/>
                <w:szCs w:val="21"/>
              </w:rPr>
            </w:pPr>
          </w:p>
        </w:tc>
        <w:tc>
          <w:tcPr>
            <w:tcW w:w="661" w:type="dxa"/>
            <w:vMerge w:val="continue"/>
            <w:vAlign w:val="center"/>
          </w:tcPr>
          <w:p w14:paraId="02072422">
            <w:pPr>
              <w:widowControl/>
              <w:spacing w:line="300" w:lineRule="exact"/>
              <w:jc w:val="center"/>
              <w:rPr>
                <w:rFonts w:ascii="Times New Roman" w:hAnsi="Times New Roman" w:cs="Times New Roman" w:eastAsiaTheme="minorEastAsia"/>
                <w:color w:val="auto"/>
                <w:spacing w:val="-20"/>
                <w:kern w:val="0"/>
                <w:szCs w:val="21"/>
              </w:rPr>
            </w:pPr>
          </w:p>
        </w:tc>
        <w:tc>
          <w:tcPr>
            <w:tcW w:w="662" w:type="dxa"/>
            <w:vMerge w:val="continue"/>
            <w:vAlign w:val="center"/>
          </w:tcPr>
          <w:p w14:paraId="5C0A2670">
            <w:pPr>
              <w:widowControl/>
              <w:spacing w:line="300" w:lineRule="exact"/>
              <w:jc w:val="center"/>
              <w:rPr>
                <w:rFonts w:ascii="Times New Roman" w:cs="Times New Roman" w:hAnsiTheme="minorEastAsia" w:eastAsiaTheme="minorEastAsia"/>
                <w:color w:val="auto"/>
                <w:spacing w:val="-20"/>
                <w:szCs w:val="21"/>
              </w:rPr>
            </w:pPr>
          </w:p>
        </w:tc>
        <w:tc>
          <w:tcPr>
            <w:tcW w:w="662" w:type="dxa"/>
            <w:vMerge w:val="continue"/>
            <w:vAlign w:val="center"/>
          </w:tcPr>
          <w:p w14:paraId="2E1E5350">
            <w:pPr>
              <w:widowControl/>
              <w:spacing w:line="300" w:lineRule="exact"/>
              <w:jc w:val="center"/>
              <w:rPr>
                <w:rFonts w:ascii="Times New Roman" w:cs="Times New Roman" w:hAnsiTheme="minorEastAsia" w:eastAsiaTheme="minorEastAsia"/>
                <w:color w:val="auto"/>
                <w:spacing w:val="-20"/>
                <w:szCs w:val="21"/>
              </w:rPr>
            </w:pPr>
          </w:p>
        </w:tc>
        <w:tc>
          <w:tcPr>
            <w:tcW w:w="567" w:type="dxa"/>
            <w:vAlign w:val="center"/>
          </w:tcPr>
          <w:p w14:paraId="7CBF61B6">
            <w:pPr>
              <w:widowControl/>
              <w:spacing w:line="300" w:lineRule="exact"/>
              <w:jc w:val="center"/>
              <w:rPr>
                <w:rFonts w:ascii="Times New Roman" w:hAnsi="Times New Roman" w:cs="Times New Roman" w:eastAsiaTheme="minorEastAsia"/>
                <w:color w:val="auto"/>
                <w:spacing w:val="-20"/>
                <w:kern w:val="0"/>
                <w:szCs w:val="21"/>
              </w:rPr>
            </w:pPr>
            <w:r>
              <w:rPr>
                <w:rFonts w:ascii="Times New Roman" w:cs="Times New Roman" w:hAnsiTheme="minorEastAsia" w:eastAsiaTheme="minorEastAsia"/>
                <w:color w:val="auto"/>
                <w:spacing w:val="-20"/>
                <w:szCs w:val="21"/>
              </w:rPr>
              <w:t>路左</w:t>
            </w:r>
          </w:p>
        </w:tc>
        <w:tc>
          <w:tcPr>
            <w:tcW w:w="708" w:type="dxa"/>
            <w:vAlign w:val="center"/>
          </w:tcPr>
          <w:p w14:paraId="2F885FD4">
            <w:pPr>
              <w:widowControl/>
              <w:spacing w:line="300" w:lineRule="exact"/>
              <w:jc w:val="center"/>
              <w:rPr>
                <w:rFonts w:ascii="Times New Roman" w:hAnsi="Times New Roman" w:cs="Times New Roman" w:eastAsiaTheme="minorEastAsia"/>
                <w:color w:val="auto"/>
                <w:spacing w:val="-20"/>
                <w:szCs w:val="21"/>
              </w:rPr>
            </w:pPr>
            <w:r>
              <w:rPr>
                <w:rFonts w:hint="eastAsia" w:ascii="Times New Roman" w:hAnsi="Times New Roman" w:cs="Times New Roman" w:eastAsiaTheme="minorEastAsia"/>
                <w:color w:val="auto"/>
                <w:spacing w:val="-20"/>
                <w:szCs w:val="21"/>
              </w:rPr>
              <w:t>25</w:t>
            </w:r>
          </w:p>
        </w:tc>
        <w:tc>
          <w:tcPr>
            <w:tcW w:w="709" w:type="dxa"/>
            <w:vAlign w:val="center"/>
          </w:tcPr>
          <w:p w14:paraId="346C642E">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7.5</w:t>
            </w:r>
          </w:p>
        </w:tc>
        <w:tc>
          <w:tcPr>
            <w:tcW w:w="992" w:type="dxa"/>
            <w:vMerge w:val="continue"/>
            <w:vAlign w:val="center"/>
          </w:tcPr>
          <w:p w14:paraId="72204BE4">
            <w:pPr>
              <w:widowControl/>
              <w:spacing w:line="300" w:lineRule="exact"/>
              <w:jc w:val="center"/>
              <w:rPr>
                <w:rFonts w:ascii="Times New Roman" w:hAnsi="Times New Roman" w:cs="Times New Roman" w:eastAsiaTheme="minorEastAsia"/>
                <w:color w:val="auto"/>
                <w:spacing w:val="-20"/>
                <w:kern w:val="0"/>
                <w:szCs w:val="21"/>
              </w:rPr>
            </w:pPr>
          </w:p>
        </w:tc>
        <w:tc>
          <w:tcPr>
            <w:tcW w:w="993" w:type="dxa"/>
            <w:vMerge w:val="continue"/>
            <w:vAlign w:val="center"/>
          </w:tcPr>
          <w:p w14:paraId="5117AAD1">
            <w:pPr>
              <w:widowControl/>
              <w:spacing w:line="300" w:lineRule="exact"/>
              <w:jc w:val="center"/>
              <w:rPr>
                <w:rFonts w:ascii="Times New Roman" w:hAnsi="Times New Roman" w:cs="Times New Roman" w:eastAsiaTheme="minorEastAsia"/>
                <w:color w:val="auto"/>
                <w:spacing w:val="-20"/>
                <w:kern w:val="0"/>
                <w:szCs w:val="21"/>
              </w:rPr>
            </w:pPr>
          </w:p>
        </w:tc>
        <w:tc>
          <w:tcPr>
            <w:tcW w:w="567" w:type="dxa"/>
            <w:vMerge w:val="continue"/>
            <w:vAlign w:val="center"/>
          </w:tcPr>
          <w:p w14:paraId="15FAEFB2">
            <w:pPr>
              <w:widowControl/>
              <w:spacing w:line="300" w:lineRule="exact"/>
              <w:jc w:val="center"/>
              <w:rPr>
                <w:rFonts w:ascii="Times New Roman" w:cs="Times New Roman" w:hAnsiTheme="minorEastAsia" w:eastAsiaTheme="minorEastAsia"/>
                <w:color w:val="auto"/>
                <w:spacing w:val="-20"/>
                <w:kern w:val="0"/>
                <w:szCs w:val="21"/>
              </w:rPr>
            </w:pPr>
          </w:p>
        </w:tc>
        <w:tc>
          <w:tcPr>
            <w:tcW w:w="992" w:type="dxa"/>
            <w:vMerge w:val="continue"/>
            <w:vAlign w:val="center"/>
          </w:tcPr>
          <w:p w14:paraId="6553D5E8">
            <w:pPr>
              <w:widowControl/>
              <w:spacing w:line="300" w:lineRule="exact"/>
              <w:jc w:val="center"/>
              <w:rPr>
                <w:rFonts w:ascii="Times New Roman" w:hAnsi="Times New Roman" w:cs="Times New Roman" w:eastAsiaTheme="minorEastAsia"/>
                <w:color w:val="auto"/>
                <w:spacing w:val="-20"/>
                <w:kern w:val="0"/>
                <w:szCs w:val="21"/>
              </w:rPr>
            </w:pPr>
          </w:p>
        </w:tc>
        <w:tc>
          <w:tcPr>
            <w:tcW w:w="709" w:type="dxa"/>
            <w:vAlign w:val="center"/>
          </w:tcPr>
          <w:p w14:paraId="44A0AED1">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1</w:t>
            </w:r>
          </w:p>
        </w:tc>
        <w:tc>
          <w:tcPr>
            <w:tcW w:w="708" w:type="dxa"/>
            <w:vAlign w:val="center"/>
          </w:tcPr>
          <w:p w14:paraId="17E5725F">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1</w:t>
            </w:r>
          </w:p>
        </w:tc>
        <w:tc>
          <w:tcPr>
            <w:tcW w:w="4436" w:type="dxa"/>
            <w:vMerge w:val="continue"/>
            <w:vAlign w:val="center"/>
          </w:tcPr>
          <w:p w14:paraId="24BE0403">
            <w:pPr>
              <w:widowControl/>
              <w:spacing w:line="300" w:lineRule="exact"/>
              <w:rPr>
                <w:rFonts w:ascii="Times New Roman" w:cs="Times New Roman" w:hAnsiTheme="minorEastAsia" w:eastAsiaTheme="minorEastAsia"/>
                <w:color w:val="auto"/>
                <w:spacing w:val="0"/>
                <w:kern w:val="0"/>
                <w:sz w:val="21"/>
                <w:szCs w:val="21"/>
              </w:rPr>
            </w:pPr>
          </w:p>
        </w:tc>
        <w:tc>
          <w:tcPr>
            <w:tcW w:w="2898" w:type="dxa"/>
            <w:vMerge w:val="continue"/>
            <w:vAlign w:val="center"/>
          </w:tcPr>
          <w:p w14:paraId="19E4A42E">
            <w:pPr>
              <w:widowControl/>
              <w:adjustRightInd w:val="0"/>
              <w:snapToGrid w:val="0"/>
              <w:jc w:val="center"/>
              <w:rPr>
                <w:rFonts w:ascii="Times New Roman" w:hAnsi="Times New Roman" w:cs="Times New Roman" w:eastAsiaTheme="minorEastAsia"/>
                <w:color w:val="auto"/>
                <w:spacing w:val="-20"/>
                <w:kern w:val="0"/>
                <w:szCs w:val="21"/>
              </w:rPr>
            </w:pPr>
          </w:p>
        </w:tc>
      </w:tr>
      <w:tr w14:paraId="7DABA2AC">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1296" w:hRule="atLeast"/>
          <w:tblHeader/>
          <w:jc w:val="center"/>
        </w:trPr>
        <w:tc>
          <w:tcPr>
            <w:tcW w:w="568" w:type="dxa"/>
            <w:vMerge w:val="restart"/>
            <w:noWrap/>
            <w:vAlign w:val="center"/>
          </w:tcPr>
          <w:p w14:paraId="2ADC4D1F">
            <w:pPr>
              <w:widowControl/>
              <w:spacing w:line="300" w:lineRule="exact"/>
              <w:jc w:val="center"/>
              <w:rPr>
                <w:rFonts w:ascii="Times New Roman" w:hAnsi="Times New Roman" w:cs="Times New Roman" w:eastAsiaTheme="minorEastAsia"/>
                <w:color w:val="auto"/>
                <w:spacing w:val="-20"/>
                <w:kern w:val="0"/>
                <w:szCs w:val="21"/>
              </w:rPr>
            </w:pPr>
            <w:bookmarkStart w:id="124" w:name="_Hlk224115465"/>
            <w:r>
              <w:rPr>
                <w:rFonts w:ascii="Times New Roman" w:hAnsi="Times New Roman" w:cs="Times New Roman" w:eastAsiaTheme="minorEastAsia"/>
                <w:color w:val="auto"/>
                <w:spacing w:val="-20"/>
                <w:kern w:val="0"/>
                <w:szCs w:val="21"/>
              </w:rPr>
              <w:t>21</w:t>
            </w:r>
          </w:p>
        </w:tc>
        <w:tc>
          <w:tcPr>
            <w:tcW w:w="694" w:type="dxa"/>
            <w:vMerge w:val="continue"/>
            <w:vAlign w:val="center"/>
          </w:tcPr>
          <w:p w14:paraId="3A0F7E30">
            <w:pPr>
              <w:spacing w:line="300" w:lineRule="exact"/>
              <w:jc w:val="center"/>
              <w:rPr>
                <w:rFonts w:ascii="Times New Roman" w:hAnsi="Times New Roman" w:cs="Times New Roman" w:eastAsiaTheme="minorEastAsia"/>
                <w:color w:val="auto"/>
                <w:spacing w:val="-20"/>
                <w:kern w:val="0"/>
                <w:szCs w:val="21"/>
              </w:rPr>
            </w:pPr>
          </w:p>
        </w:tc>
        <w:tc>
          <w:tcPr>
            <w:tcW w:w="1134" w:type="dxa"/>
            <w:vAlign w:val="center"/>
          </w:tcPr>
          <w:p w14:paraId="047169C9">
            <w:pPr>
              <w:widowControl/>
              <w:spacing w:line="300" w:lineRule="exact"/>
              <w:jc w:val="center"/>
              <w:rPr>
                <w:rFonts w:ascii="Times New Roman" w:hAnsi="Times New Roman" w:cs="Times New Roman" w:eastAsiaTheme="minorEastAsia"/>
                <w:color w:val="auto"/>
                <w:spacing w:val="-20"/>
                <w:kern w:val="0"/>
                <w:szCs w:val="21"/>
              </w:rPr>
            </w:pPr>
            <w:r>
              <w:rPr>
                <w:rFonts w:ascii="Times New Roman" w:hAnsi="Times New Roman" w:cs="Times New Roman" w:eastAsiaTheme="minorEastAsia"/>
                <w:color w:val="auto"/>
                <w:spacing w:val="-20"/>
                <w:szCs w:val="21"/>
              </w:rPr>
              <w:t>K</w:t>
            </w:r>
            <w:r>
              <w:rPr>
                <w:rFonts w:hint="eastAsia" w:ascii="Times New Roman" w:hAnsi="Times New Roman" w:cs="Times New Roman" w:eastAsiaTheme="minorEastAsia"/>
                <w:color w:val="auto"/>
                <w:spacing w:val="-20"/>
                <w:szCs w:val="21"/>
              </w:rPr>
              <w:t>44</w:t>
            </w:r>
            <w:r>
              <w:rPr>
                <w:rFonts w:ascii="Times New Roman" w:hAnsi="Times New Roman" w:cs="Times New Roman" w:eastAsiaTheme="minorEastAsia"/>
                <w:color w:val="auto"/>
                <w:spacing w:val="-20"/>
                <w:szCs w:val="21"/>
              </w:rPr>
              <w:t>+</w:t>
            </w:r>
            <w:r>
              <w:rPr>
                <w:rFonts w:hint="eastAsia" w:ascii="Times New Roman" w:hAnsi="Times New Roman" w:cs="Times New Roman" w:eastAsiaTheme="minorEastAsia"/>
                <w:color w:val="auto"/>
                <w:spacing w:val="-20"/>
                <w:szCs w:val="21"/>
              </w:rPr>
              <w:t>04</w:t>
            </w:r>
            <w:r>
              <w:rPr>
                <w:rFonts w:ascii="Times New Roman" w:hAnsi="Times New Roman" w:cs="Times New Roman" w:eastAsiaTheme="minorEastAsia"/>
                <w:color w:val="auto"/>
                <w:spacing w:val="-20"/>
                <w:szCs w:val="21"/>
              </w:rPr>
              <w:t>0</w:t>
            </w:r>
            <w:r>
              <w:rPr>
                <w:rFonts w:ascii="Times New Roman" w:cs="Times New Roman" w:hAnsiTheme="minorEastAsia" w:eastAsiaTheme="minorEastAsia"/>
                <w:color w:val="auto"/>
                <w:spacing w:val="-20"/>
                <w:szCs w:val="21"/>
              </w:rPr>
              <w:t>～</w:t>
            </w:r>
            <w:r>
              <w:rPr>
                <w:rFonts w:ascii="Times New Roman" w:hAnsi="Times New Roman" w:cs="Times New Roman" w:eastAsiaTheme="minorEastAsia"/>
                <w:color w:val="auto"/>
                <w:spacing w:val="-20"/>
                <w:szCs w:val="21"/>
              </w:rPr>
              <w:t>K</w:t>
            </w:r>
            <w:r>
              <w:rPr>
                <w:rFonts w:hint="eastAsia" w:ascii="Times New Roman" w:hAnsi="Times New Roman" w:cs="Times New Roman" w:eastAsiaTheme="minorEastAsia"/>
                <w:color w:val="auto"/>
                <w:spacing w:val="-20"/>
                <w:szCs w:val="21"/>
              </w:rPr>
              <w:t>44</w:t>
            </w:r>
            <w:r>
              <w:rPr>
                <w:rFonts w:ascii="Times New Roman" w:hAnsi="Times New Roman" w:cs="Times New Roman" w:eastAsiaTheme="minorEastAsia"/>
                <w:color w:val="auto"/>
                <w:spacing w:val="-20"/>
                <w:szCs w:val="21"/>
              </w:rPr>
              <w:t>+</w:t>
            </w:r>
            <w:r>
              <w:rPr>
                <w:rFonts w:hint="eastAsia" w:ascii="Times New Roman" w:hAnsi="Times New Roman" w:cs="Times New Roman" w:eastAsiaTheme="minorEastAsia"/>
                <w:color w:val="auto"/>
                <w:spacing w:val="-20"/>
                <w:szCs w:val="21"/>
              </w:rPr>
              <w:t>14</w:t>
            </w:r>
            <w:r>
              <w:rPr>
                <w:rFonts w:ascii="Times New Roman" w:hAnsi="Times New Roman" w:cs="Times New Roman" w:eastAsiaTheme="minorEastAsia"/>
                <w:color w:val="auto"/>
                <w:spacing w:val="-20"/>
                <w:szCs w:val="21"/>
              </w:rPr>
              <w:t>0</w:t>
            </w:r>
          </w:p>
        </w:tc>
        <w:tc>
          <w:tcPr>
            <w:tcW w:w="851" w:type="dxa"/>
            <w:vMerge w:val="restart"/>
            <w:vAlign w:val="center"/>
          </w:tcPr>
          <w:p w14:paraId="7897EA14">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cs="Times New Roman" w:hAnsiTheme="minorEastAsia" w:eastAsiaTheme="minorEastAsia"/>
                <w:color w:val="auto"/>
                <w:spacing w:val="-20"/>
                <w:szCs w:val="21"/>
              </w:rPr>
              <w:t>其维克村</w:t>
            </w:r>
          </w:p>
        </w:tc>
        <w:tc>
          <w:tcPr>
            <w:tcW w:w="850" w:type="dxa"/>
            <w:vMerge w:val="continue"/>
            <w:vAlign w:val="center"/>
          </w:tcPr>
          <w:p w14:paraId="10333640">
            <w:pPr>
              <w:spacing w:line="300" w:lineRule="exact"/>
              <w:jc w:val="center"/>
              <w:rPr>
                <w:rFonts w:ascii="Times New Roman" w:hAnsi="Times New Roman" w:cs="Times New Roman" w:eastAsiaTheme="minorEastAsia"/>
                <w:color w:val="auto"/>
                <w:spacing w:val="-20"/>
                <w:szCs w:val="21"/>
              </w:rPr>
            </w:pPr>
          </w:p>
        </w:tc>
        <w:tc>
          <w:tcPr>
            <w:tcW w:w="661" w:type="dxa"/>
            <w:vMerge w:val="restart"/>
            <w:vAlign w:val="center"/>
          </w:tcPr>
          <w:p w14:paraId="74766100">
            <w:pPr>
              <w:widowControl/>
              <w:spacing w:line="300" w:lineRule="exact"/>
              <w:jc w:val="center"/>
              <w:rPr>
                <w:rFonts w:ascii="Times New Roman" w:hAnsi="Times New Roman" w:cs="Times New Roman" w:eastAsiaTheme="minorEastAsia"/>
                <w:color w:val="auto"/>
                <w:spacing w:val="-20"/>
                <w:kern w:val="0"/>
                <w:szCs w:val="21"/>
              </w:rPr>
            </w:pPr>
            <w:r>
              <w:rPr>
                <w:rFonts w:ascii="Times New Roman" w:hAnsi="Times New Roman" w:cs="Times New Roman" w:eastAsiaTheme="minorEastAsia"/>
                <w:color w:val="auto"/>
                <w:spacing w:val="-20"/>
                <w:kern w:val="0"/>
                <w:szCs w:val="21"/>
              </w:rPr>
              <w:t>两侧</w:t>
            </w:r>
          </w:p>
        </w:tc>
        <w:tc>
          <w:tcPr>
            <w:tcW w:w="662" w:type="dxa"/>
            <w:vMerge w:val="restart"/>
            <w:vAlign w:val="center"/>
          </w:tcPr>
          <w:p w14:paraId="49315408">
            <w:pPr>
              <w:widowControl/>
              <w:spacing w:line="300" w:lineRule="exact"/>
              <w:jc w:val="center"/>
              <w:rPr>
                <w:rFonts w:ascii="Times New Roman" w:cs="Times New Roman" w:hAnsiTheme="minorEastAsia" w:eastAsiaTheme="minorEastAsia"/>
                <w:color w:val="auto"/>
                <w:spacing w:val="-20"/>
                <w:szCs w:val="21"/>
              </w:rPr>
            </w:pPr>
            <w:r>
              <w:rPr>
                <w:rFonts w:hint="eastAsia" w:ascii="Times New Roman" w:cs="Times New Roman" w:hAnsiTheme="minorEastAsia" w:eastAsiaTheme="minorEastAsia"/>
                <w:color w:val="auto"/>
                <w:spacing w:val="-20"/>
                <w:szCs w:val="21"/>
              </w:rPr>
              <w:t>17</w:t>
            </w:r>
          </w:p>
        </w:tc>
        <w:tc>
          <w:tcPr>
            <w:tcW w:w="662" w:type="dxa"/>
            <w:vMerge w:val="restart"/>
            <w:vAlign w:val="center"/>
          </w:tcPr>
          <w:p w14:paraId="1BB54EC3">
            <w:pPr>
              <w:widowControl/>
              <w:spacing w:line="300" w:lineRule="exact"/>
              <w:jc w:val="center"/>
              <w:rPr>
                <w:rFonts w:ascii="Times New Roman" w:cs="Times New Roman" w:hAnsiTheme="minorEastAsia" w:eastAsiaTheme="minorEastAsia"/>
                <w:color w:val="auto"/>
                <w:spacing w:val="-20"/>
                <w:szCs w:val="21"/>
              </w:rPr>
            </w:pPr>
            <w:r>
              <w:rPr>
                <w:rFonts w:hint="eastAsia" w:ascii="Times New Roman" w:cs="Times New Roman" w:hAnsiTheme="minorEastAsia" w:eastAsiaTheme="minorEastAsia"/>
                <w:color w:val="auto"/>
                <w:spacing w:val="-20"/>
                <w:szCs w:val="21"/>
              </w:rPr>
              <w:t>4</w:t>
            </w:r>
          </w:p>
        </w:tc>
        <w:tc>
          <w:tcPr>
            <w:tcW w:w="567" w:type="dxa"/>
            <w:vMerge w:val="restart"/>
            <w:vAlign w:val="center"/>
          </w:tcPr>
          <w:p w14:paraId="6C87A154">
            <w:pPr>
              <w:widowControl/>
              <w:spacing w:line="300" w:lineRule="exact"/>
              <w:jc w:val="center"/>
              <w:rPr>
                <w:rFonts w:ascii="Times New Roman" w:hAnsi="Times New Roman" w:cs="Times New Roman" w:eastAsiaTheme="minorEastAsia"/>
                <w:color w:val="auto"/>
                <w:spacing w:val="-20"/>
                <w:kern w:val="0"/>
                <w:szCs w:val="21"/>
              </w:rPr>
            </w:pPr>
            <w:r>
              <w:rPr>
                <w:rFonts w:ascii="Times New Roman" w:hAnsi="Times New Roman" w:cs="Times New Roman" w:eastAsiaTheme="minorEastAsia"/>
                <w:color w:val="auto"/>
                <w:spacing w:val="-20"/>
                <w:kern w:val="0"/>
                <w:szCs w:val="21"/>
              </w:rPr>
              <w:t>两侧</w:t>
            </w:r>
          </w:p>
        </w:tc>
        <w:tc>
          <w:tcPr>
            <w:tcW w:w="708" w:type="dxa"/>
            <w:vMerge w:val="restart"/>
            <w:vAlign w:val="center"/>
          </w:tcPr>
          <w:p w14:paraId="43D79C46">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szCs w:val="21"/>
              </w:rPr>
              <w:t>27</w:t>
            </w:r>
          </w:p>
        </w:tc>
        <w:tc>
          <w:tcPr>
            <w:tcW w:w="709" w:type="dxa"/>
            <w:vMerge w:val="restart"/>
            <w:vAlign w:val="center"/>
          </w:tcPr>
          <w:p w14:paraId="0D9B2975">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6.5</w:t>
            </w:r>
          </w:p>
        </w:tc>
        <w:tc>
          <w:tcPr>
            <w:tcW w:w="992" w:type="dxa"/>
            <w:vMerge w:val="restart"/>
            <w:vAlign w:val="center"/>
          </w:tcPr>
          <w:p w14:paraId="4BBD5EC2">
            <w:pPr>
              <w:spacing w:line="300" w:lineRule="exact"/>
              <w:jc w:val="center"/>
              <w:rPr>
                <w:rFonts w:ascii="Times New Roman" w:hAnsi="Times New Roman" w:cs="Times New Roman" w:eastAsiaTheme="minorEastAsia"/>
                <w:color w:val="auto"/>
                <w:spacing w:val="-20"/>
                <w:kern w:val="0"/>
                <w:szCs w:val="21"/>
              </w:rPr>
            </w:pPr>
            <w:r>
              <w:rPr>
                <w:rFonts w:ascii="Times New Roman" w:hAnsi="Times New Roman" w:cs="Times New Roman" w:eastAsiaTheme="minorEastAsia"/>
                <w:color w:val="auto"/>
                <w:spacing w:val="-20"/>
                <w:kern w:val="0"/>
                <w:szCs w:val="21"/>
              </w:rPr>
              <w:t>0</w:t>
            </w:r>
          </w:p>
        </w:tc>
        <w:tc>
          <w:tcPr>
            <w:tcW w:w="993" w:type="dxa"/>
            <w:vMerge w:val="restart"/>
            <w:vAlign w:val="center"/>
          </w:tcPr>
          <w:p w14:paraId="7AF9FB0E">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3.0</w:t>
            </w:r>
          </w:p>
        </w:tc>
        <w:tc>
          <w:tcPr>
            <w:tcW w:w="567" w:type="dxa"/>
            <w:vMerge w:val="restart"/>
            <w:vAlign w:val="center"/>
          </w:tcPr>
          <w:p w14:paraId="3B411C6A">
            <w:pPr>
              <w:widowControl/>
              <w:spacing w:line="300" w:lineRule="exact"/>
              <w:jc w:val="center"/>
              <w:rPr>
                <w:rFonts w:ascii="Times New Roman" w:hAnsi="Times New Roman" w:cs="Times New Roman" w:eastAsiaTheme="minorEastAsia"/>
                <w:color w:val="auto"/>
                <w:spacing w:val="-20"/>
                <w:kern w:val="0"/>
                <w:szCs w:val="21"/>
              </w:rPr>
            </w:pPr>
            <w:r>
              <w:rPr>
                <w:rFonts w:ascii="Times New Roman" w:cs="Times New Roman" w:hAnsiTheme="minorEastAsia" w:eastAsiaTheme="minorEastAsia"/>
                <w:color w:val="auto"/>
                <w:spacing w:val="-20"/>
                <w:kern w:val="0"/>
                <w:szCs w:val="21"/>
              </w:rPr>
              <w:t>路基</w:t>
            </w:r>
          </w:p>
        </w:tc>
        <w:tc>
          <w:tcPr>
            <w:tcW w:w="992" w:type="dxa"/>
            <w:vMerge w:val="restart"/>
            <w:vAlign w:val="center"/>
          </w:tcPr>
          <w:p w14:paraId="6FA5AFCF">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55.5</w:t>
            </w:r>
          </w:p>
        </w:tc>
        <w:tc>
          <w:tcPr>
            <w:tcW w:w="709" w:type="dxa"/>
            <w:vMerge w:val="restart"/>
            <w:vAlign w:val="center"/>
          </w:tcPr>
          <w:p w14:paraId="0DFDCFB5">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30</w:t>
            </w:r>
          </w:p>
        </w:tc>
        <w:tc>
          <w:tcPr>
            <w:tcW w:w="708" w:type="dxa"/>
            <w:vMerge w:val="restart"/>
            <w:vAlign w:val="center"/>
          </w:tcPr>
          <w:p w14:paraId="78ED7D37">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18</w:t>
            </w:r>
          </w:p>
        </w:tc>
        <w:tc>
          <w:tcPr>
            <w:tcW w:w="4436" w:type="dxa"/>
            <w:vMerge w:val="restart"/>
            <w:vAlign w:val="center"/>
          </w:tcPr>
          <w:p w14:paraId="0CA6C14E">
            <w:pPr>
              <w:widowControl/>
              <w:spacing w:line="300" w:lineRule="exact"/>
              <w:rPr>
                <w:rFonts w:ascii="Times New Roman" w:hAnsi="Times New Roman" w:cs="Times New Roman" w:eastAsiaTheme="minorEastAsia"/>
                <w:color w:val="auto"/>
                <w:spacing w:val="0"/>
                <w:kern w:val="0"/>
                <w:sz w:val="21"/>
                <w:szCs w:val="21"/>
              </w:rPr>
            </w:pPr>
            <w:r>
              <w:rPr>
                <w:rFonts w:ascii="Times New Roman" w:cs="Times New Roman" w:hAnsiTheme="minorEastAsia" w:eastAsiaTheme="minorEastAsia"/>
                <w:color w:val="auto"/>
                <w:spacing w:val="0"/>
                <w:kern w:val="0"/>
                <w:sz w:val="21"/>
                <w:szCs w:val="21"/>
              </w:rPr>
              <w:t>路线以填方路基形式经过村庄。评价范围内现有居民</w:t>
            </w:r>
            <w:r>
              <w:rPr>
                <w:rFonts w:hint="eastAsia" w:ascii="Times New Roman" w:hAnsi="Times New Roman" w:cs="Times New Roman" w:eastAsiaTheme="minorEastAsia"/>
                <w:color w:val="auto"/>
                <w:spacing w:val="0"/>
                <w:kern w:val="0"/>
                <w:sz w:val="21"/>
                <w:szCs w:val="21"/>
              </w:rPr>
              <w:t>48</w:t>
            </w:r>
            <w:r>
              <w:rPr>
                <w:rFonts w:ascii="Times New Roman" w:cs="Times New Roman" w:hAnsiTheme="minorEastAsia" w:eastAsiaTheme="minorEastAsia"/>
                <w:color w:val="auto"/>
                <w:spacing w:val="0"/>
                <w:kern w:val="0"/>
                <w:sz w:val="21"/>
                <w:szCs w:val="21"/>
              </w:rPr>
              <w:t>户，首排</w:t>
            </w:r>
            <w:r>
              <w:rPr>
                <w:rFonts w:hint="eastAsia" w:ascii="Times New Roman" w:hAnsi="Times New Roman" w:cs="Times New Roman" w:eastAsiaTheme="minorEastAsia"/>
                <w:color w:val="auto"/>
                <w:spacing w:val="0"/>
                <w:kern w:val="0"/>
                <w:sz w:val="21"/>
                <w:szCs w:val="21"/>
              </w:rPr>
              <w:t>6</w:t>
            </w:r>
            <w:r>
              <w:rPr>
                <w:rFonts w:ascii="Times New Roman" w:cs="Times New Roman" w:hAnsiTheme="minorEastAsia" w:eastAsiaTheme="minorEastAsia"/>
                <w:color w:val="auto"/>
                <w:spacing w:val="0"/>
                <w:kern w:val="0"/>
                <w:sz w:val="21"/>
                <w:szCs w:val="21"/>
              </w:rPr>
              <w:t>户，</w:t>
            </w:r>
            <w:r>
              <w:rPr>
                <w:rFonts w:hint="eastAsia" w:ascii="Times New Roman" w:cs="Times New Roman" w:hAnsiTheme="minorEastAsia" w:eastAsiaTheme="minorEastAsia"/>
                <w:color w:val="auto"/>
                <w:spacing w:val="0"/>
                <w:kern w:val="0"/>
                <w:sz w:val="21"/>
                <w:szCs w:val="21"/>
              </w:rPr>
              <w:t>主要</w:t>
            </w:r>
            <w:r>
              <w:rPr>
                <w:rFonts w:ascii="Times New Roman" w:cs="Times New Roman" w:hAnsiTheme="minorEastAsia" w:eastAsiaTheme="minorEastAsia"/>
                <w:color w:val="auto"/>
                <w:spacing w:val="0"/>
                <w:kern w:val="0"/>
                <w:sz w:val="21"/>
                <w:szCs w:val="21"/>
              </w:rPr>
              <w:t>为</w:t>
            </w:r>
            <w:r>
              <w:rPr>
                <w:rFonts w:ascii="Times New Roman" w:hAnsi="Times New Roman" w:cs="Times New Roman" w:eastAsiaTheme="minorEastAsia"/>
                <w:color w:val="auto"/>
                <w:spacing w:val="0"/>
                <w:kern w:val="0"/>
                <w:sz w:val="21"/>
                <w:szCs w:val="21"/>
              </w:rPr>
              <w:t>1</w:t>
            </w:r>
            <w:r>
              <w:rPr>
                <w:rFonts w:ascii="Times New Roman" w:cs="Times New Roman" w:hAnsiTheme="minorEastAsia" w:eastAsiaTheme="minorEastAsia"/>
                <w:color w:val="auto"/>
                <w:spacing w:val="0"/>
                <w:kern w:val="0"/>
                <w:sz w:val="21"/>
                <w:szCs w:val="21"/>
              </w:rPr>
              <w:t>层砖混房，房屋侧向拟建公路。</w:t>
            </w:r>
            <w:r>
              <w:rPr>
                <w:rFonts w:ascii="Times New Roman" w:hAnsi="Times New Roman" w:eastAsia="宋体" w:cs="Times New Roman"/>
                <w:color w:val="auto"/>
                <w:spacing w:val="0"/>
                <w:kern w:val="0"/>
                <w:sz w:val="21"/>
                <w:szCs w:val="21"/>
              </w:rPr>
              <w:t>该路段利用现有</w:t>
            </w:r>
            <w:r>
              <w:rPr>
                <w:rFonts w:hint="eastAsia" w:ascii="Times New Roman" w:hAnsi="Times New Roman" w:eastAsia="宋体" w:cs="Times New Roman"/>
                <w:color w:val="auto"/>
                <w:spacing w:val="0"/>
                <w:kern w:val="0"/>
                <w:sz w:val="21"/>
                <w:szCs w:val="21"/>
              </w:rPr>
              <w:t>老路</w:t>
            </w:r>
            <w:r>
              <w:rPr>
                <w:rFonts w:hint="eastAsia" w:ascii="宋体" w:hAnsi="宋体" w:eastAsia="宋体" w:cs="宋体"/>
                <w:color w:val="auto"/>
                <w:spacing w:val="0"/>
                <w:sz w:val="21"/>
                <w:szCs w:val="21"/>
              </w:rPr>
              <w:t>渐变拼宽和双侧</w:t>
            </w:r>
            <w:r>
              <w:rPr>
                <w:rFonts w:hint="eastAsia" w:ascii="Times New Roman" w:hAnsi="Times New Roman" w:eastAsia="宋体" w:cs="Times New Roman"/>
                <w:color w:val="auto"/>
                <w:spacing w:val="0"/>
                <w:kern w:val="0"/>
                <w:sz w:val="21"/>
                <w:szCs w:val="21"/>
              </w:rPr>
              <w:t>加宽</w:t>
            </w:r>
            <w:r>
              <w:rPr>
                <w:rFonts w:ascii="Times New Roman" w:hAnsi="Times New Roman" w:eastAsia="宋体" w:cs="Times New Roman"/>
                <w:color w:val="auto"/>
                <w:spacing w:val="0"/>
                <w:kern w:val="0"/>
                <w:sz w:val="21"/>
                <w:szCs w:val="21"/>
              </w:rPr>
              <w:t>，</w:t>
            </w:r>
            <w:r>
              <w:rPr>
                <w:rFonts w:hint="eastAsia" w:ascii="Times New Roman" w:hAnsi="Times New Roman" w:eastAsia="宋体" w:cs="Times New Roman"/>
                <w:color w:val="auto"/>
                <w:spacing w:val="0"/>
                <w:kern w:val="0"/>
                <w:sz w:val="21"/>
                <w:szCs w:val="21"/>
              </w:rPr>
              <w:t>房屋</w:t>
            </w:r>
            <w:r>
              <w:rPr>
                <w:rFonts w:ascii="Times New Roman" w:hAnsi="Times New Roman" w:eastAsia="宋体" w:cs="Times New Roman"/>
                <w:color w:val="auto"/>
                <w:spacing w:val="0"/>
                <w:kern w:val="0"/>
                <w:sz w:val="21"/>
                <w:szCs w:val="21"/>
              </w:rPr>
              <w:t>分布于平交</w:t>
            </w:r>
            <w:r>
              <w:rPr>
                <w:rFonts w:hint="eastAsia" w:ascii="Times New Roman" w:hAnsi="Times New Roman" w:eastAsia="宋体" w:cs="Times New Roman"/>
                <w:color w:val="auto"/>
                <w:spacing w:val="0"/>
                <w:kern w:val="0"/>
                <w:sz w:val="21"/>
                <w:szCs w:val="21"/>
              </w:rPr>
              <w:t>路口两侧</w:t>
            </w:r>
            <w:r>
              <w:rPr>
                <w:rFonts w:ascii="Times New Roman" w:hAnsi="Times New Roman" w:eastAsia="宋体" w:cs="Times New Roman"/>
                <w:color w:val="auto"/>
                <w:spacing w:val="0"/>
                <w:kern w:val="0"/>
                <w:sz w:val="21"/>
                <w:szCs w:val="21"/>
              </w:rPr>
              <w:t>，</w:t>
            </w:r>
            <w:r>
              <w:rPr>
                <w:rFonts w:ascii="Times New Roman" w:cs="Times New Roman" w:hAnsiTheme="minorEastAsia" w:eastAsiaTheme="minorEastAsia"/>
                <w:color w:val="auto"/>
                <w:spacing w:val="0"/>
                <w:kern w:val="0"/>
                <w:sz w:val="21"/>
                <w:szCs w:val="21"/>
              </w:rPr>
              <w:t>主要噪声源为现有</w:t>
            </w:r>
            <w:r>
              <w:rPr>
                <w:rFonts w:hint="eastAsia" w:ascii="Times New Roman" w:hAnsi="Times New Roman" w:cs="Times New Roman" w:eastAsiaTheme="minorEastAsia"/>
                <w:color w:val="auto"/>
                <w:spacing w:val="0"/>
                <w:kern w:val="0"/>
                <w:sz w:val="21"/>
                <w:szCs w:val="21"/>
              </w:rPr>
              <w:t>G219、S311</w:t>
            </w:r>
            <w:r>
              <w:rPr>
                <w:rFonts w:ascii="Times New Roman" w:cs="Times New Roman" w:hAnsiTheme="minorEastAsia" w:eastAsiaTheme="minorEastAsia"/>
                <w:color w:val="auto"/>
                <w:spacing w:val="0"/>
                <w:kern w:val="0"/>
                <w:sz w:val="21"/>
                <w:szCs w:val="21"/>
              </w:rPr>
              <w:t>交通噪声和社会生活噪声。</w:t>
            </w:r>
          </w:p>
        </w:tc>
        <w:tc>
          <w:tcPr>
            <w:tcW w:w="2898" w:type="dxa"/>
            <w:vMerge w:val="restart"/>
            <w:vAlign w:val="center"/>
          </w:tcPr>
          <w:p w14:paraId="79831B08">
            <w:pPr>
              <w:widowControl/>
              <w:adjustRightInd w:val="0"/>
              <w:snapToGrid w:val="0"/>
              <w:jc w:val="center"/>
              <w:rPr>
                <w:rFonts w:ascii="Times New Roman" w:hAnsi="Times New Roman" w:cs="Times New Roman" w:eastAsiaTheme="minorEastAsia"/>
                <w:snapToGrid w:val="0"/>
                <w:color w:val="auto"/>
                <w:spacing w:val="-20"/>
                <w:kern w:val="0"/>
                <w:szCs w:val="21"/>
              </w:rPr>
            </w:pPr>
            <w:r>
              <w:rPr>
                <w:rFonts w:ascii="Times New Roman" w:hAnsi="Times New Roman" w:cs="Times New Roman" w:eastAsiaTheme="minorEastAsia"/>
                <w:color w:val="auto"/>
                <w:spacing w:val="-20"/>
                <w:kern w:val="0"/>
                <w:szCs w:val="21"/>
              </w:rPr>
              <w:drawing>
                <wp:inline distT="0" distB="0" distL="0" distR="0">
                  <wp:extent cx="1729105" cy="1295400"/>
                  <wp:effectExtent l="0" t="0" r="4445" b="0"/>
                  <wp:docPr id="936451324" name="图片 21" descr="E:\咨询项目\环评\新疆-G219线八盘水磨至伽师公路\外业踏勘记录及照片\DSC089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451324" name="图片 21" descr="E:\咨询项目\环评\新疆-G219线八盘水磨至伽师公路\外业踏勘记录及照片\DSC08997.JPG"/>
                          <pic:cNvPicPr>
                            <a:picLocks noChangeAspect="1" noChangeArrowheads="1"/>
                          </pic:cNvPicPr>
                        </pic:nvPicPr>
                        <pic:blipFill>
                          <a:blip r:embed="rId176" cstate="print"/>
                          <a:srcRect/>
                          <a:stretch>
                            <a:fillRect/>
                          </a:stretch>
                        </pic:blipFill>
                        <pic:spPr>
                          <a:xfrm>
                            <a:off x="0" y="0"/>
                            <a:ext cx="1729728" cy="1296000"/>
                          </a:xfrm>
                          <a:prstGeom prst="rect">
                            <a:avLst/>
                          </a:prstGeom>
                          <a:noFill/>
                          <a:ln w="9525">
                            <a:noFill/>
                            <a:miter lim="800000"/>
                            <a:headEnd/>
                            <a:tailEnd/>
                          </a:ln>
                        </pic:spPr>
                      </pic:pic>
                    </a:graphicData>
                  </a:graphic>
                </wp:inline>
              </w:drawing>
            </w:r>
          </w:p>
        </w:tc>
      </w:tr>
      <w:bookmarkEnd w:id="124"/>
      <w:tr w14:paraId="4A155145">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976" w:hRule="atLeast"/>
          <w:tblHeader/>
          <w:jc w:val="center"/>
        </w:trPr>
        <w:tc>
          <w:tcPr>
            <w:tcW w:w="568" w:type="dxa"/>
            <w:vMerge w:val="continue"/>
            <w:noWrap/>
            <w:vAlign w:val="center"/>
          </w:tcPr>
          <w:p w14:paraId="37B87F3F">
            <w:pPr>
              <w:widowControl/>
              <w:spacing w:line="300" w:lineRule="exact"/>
              <w:jc w:val="center"/>
              <w:rPr>
                <w:rFonts w:ascii="Times New Roman" w:hAnsi="Times New Roman" w:cs="Times New Roman" w:eastAsiaTheme="minorEastAsia"/>
                <w:color w:val="auto"/>
                <w:spacing w:val="-20"/>
                <w:kern w:val="0"/>
                <w:szCs w:val="21"/>
              </w:rPr>
            </w:pPr>
          </w:p>
        </w:tc>
        <w:tc>
          <w:tcPr>
            <w:tcW w:w="694" w:type="dxa"/>
            <w:vMerge w:val="continue"/>
            <w:vAlign w:val="center"/>
          </w:tcPr>
          <w:p w14:paraId="7CE773B1">
            <w:pPr>
              <w:spacing w:line="300" w:lineRule="exact"/>
              <w:jc w:val="center"/>
              <w:rPr>
                <w:rFonts w:ascii="Times New Roman" w:cs="Times New Roman" w:hAnsiTheme="minorEastAsia" w:eastAsiaTheme="minorEastAsia"/>
                <w:color w:val="auto"/>
                <w:spacing w:val="-20"/>
                <w:kern w:val="0"/>
                <w:szCs w:val="21"/>
              </w:rPr>
            </w:pPr>
          </w:p>
        </w:tc>
        <w:tc>
          <w:tcPr>
            <w:tcW w:w="1134" w:type="dxa"/>
            <w:vAlign w:val="center"/>
          </w:tcPr>
          <w:p w14:paraId="19E9CDBD">
            <w:pPr>
              <w:widowControl/>
              <w:spacing w:line="300" w:lineRule="exact"/>
              <w:jc w:val="center"/>
              <w:rPr>
                <w:rFonts w:ascii="Times New Roman" w:hAnsi="Times New Roman" w:cs="Times New Roman" w:eastAsiaTheme="minorEastAsia"/>
                <w:color w:val="auto"/>
                <w:spacing w:val="-20"/>
                <w:szCs w:val="21"/>
              </w:rPr>
            </w:pPr>
            <w:r>
              <w:rPr>
                <w:rFonts w:ascii="Times New Roman" w:hAnsi="Times New Roman" w:cs="Times New Roman" w:eastAsiaTheme="minorEastAsia"/>
                <w:color w:val="auto"/>
                <w:spacing w:val="-20"/>
                <w:szCs w:val="21"/>
              </w:rPr>
              <w:t>K</w:t>
            </w:r>
            <w:r>
              <w:rPr>
                <w:rFonts w:hint="eastAsia" w:ascii="Times New Roman" w:hAnsi="Times New Roman" w:cs="Times New Roman" w:eastAsiaTheme="minorEastAsia"/>
                <w:color w:val="auto"/>
                <w:spacing w:val="-20"/>
                <w:szCs w:val="21"/>
              </w:rPr>
              <w:t>44</w:t>
            </w:r>
            <w:r>
              <w:rPr>
                <w:rFonts w:ascii="Times New Roman" w:hAnsi="Times New Roman" w:cs="Times New Roman" w:eastAsiaTheme="minorEastAsia"/>
                <w:color w:val="auto"/>
                <w:spacing w:val="-20"/>
                <w:szCs w:val="21"/>
              </w:rPr>
              <w:t>+</w:t>
            </w:r>
            <w:r>
              <w:rPr>
                <w:rFonts w:hint="eastAsia" w:ascii="Times New Roman" w:hAnsi="Times New Roman" w:cs="Times New Roman" w:eastAsiaTheme="minorEastAsia"/>
                <w:color w:val="auto"/>
                <w:spacing w:val="-20"/>
                <w:szCs w:val="21"/>
              </w:rPr>
              <w:t>26</w:t>
            </w:r>
            <w:r>
              <w:rPr>
                <w:rFonts w:ascii="Times New Roman" w:hAnsi="Times New Roman" w:cs="Times New Roman" w:eastAsiaTheme="minorEastAsia"/>
                <w:color w:val="auto"/>
                <w:spacing w:val="-20"/>
                <w:szCs w:val="21"/>
              </w:rPr>
              <w:t>0</w:t>
            </w:r>
            <w:r>
              <w:rPr>
                <w:rFonts w:ascii="Times New Roman" w:cs="Times New Roman" w:hAnsiTheme="minorEastAsia" w:eastAsiaTheme="minorEastAsia"/>
                <w:color w:val="auto"/>
                <w:spacing w:val="-20"/>
                <w:szCs w:val="21"/>
              </w:rPr>
              <w:t>～</w:t>
            </w:r>
            <w:r>
              <w:rPr>
                <w:rFonts w:ascii="Times New Roman" w:hAnsi="Times New Roman" w:cs="Times New Roman" w:eastAsiaTheme="minorEastAsia"/>
                <w:color w:val="auto"/>
                <w:spacing w:val="-20"/>
                <w:szCs w:val="21"/>
              </w:rPr>
              <w:t>K</w:t>
            </w:r>
            <w:r>
              <w:rPr>
                <w:rFonts w:hint="eastAsia" w:ascii="Times New Roman" w:hAnsi="Times New Roman" w:cs="Times New Roman" w:eastAsiaTheme="minorEastAsia"/>
                <w:color w:val="auto"/>
                <w:spacing w:val="-20"/>
                <w:szCs w:val="21"/>
              </w:rPr>
              <w:t>44</w:t>
            </w:r>
            <w:r>
              <w:rPr>
                <w:rFonts w:ascii="Times New Roman" w:hAnsi="Times New Roman" w:cs="Times New Roman" w:eastAsiaTheme="minorEastAsia"/>
                <w:color w:val="auto"/>
                <w:spacing w:val="-20"/>
                <w:szCs w:val="21"/>
              </w:rPr>
              <w:t>+</w:t>
            </w:r>
            <w:r>
              <w:rPr>
                <w:rFonts w:hint="eastAsia" w:ascii="Times New Roman" w:hAnsi="Times New Roman" w:cs="Times New Roman" w:eastAsiaTheme="minorEastAsia"/>
                <w:color w:val="auto"/>
                <w:spacing w:val="-20"/>
                <w:szCs w:val="21"/>
              </w:rPr>
              <w:t>29</w:t>
            </w:r>
            <w:r>
              <w:rPr>
                <w:rFonts w:ascii="Times New Roman" w:hAnsi="Times New Roman" w:cs="Times New Roman" w:eastAsiaTheme="minorEastAsia"/>
                <w:color w:val="auto"/>
                <w:spacing w:val="-20"/>
                <w:szCs w:val="21"/>
              </w:rPr>
              <w:t>0</w:t>
            </w:r>
          </w:p>
        </w:tc>
        <w:tc>
          <w:tcPr>
            <w:tcW w:w="851" w:type="dxa"/>
            <w:vMerge w:val="continue"/>
            <w:vAlign w:val="center"/>
          </w:tcPr>
          <w:p w14:paraId="5B67FB35">
            <w:pPr>
              <w:widowControl/>
              <w:spacing w:line="300" w:lineRule="exact"/>
              <w:jc w:val="center"/>
              <w:rPr>
                <w:rFonts w:ascii="Times New Roman" w:cs="Times New Roman" w:hAnsiTheme="minorEastAsia" w:eastAsiaTheme="minorEastAsia"/>
                <w:color w:val="auto"/>
                <w:spacing w:val="-20"/>
                <w:szCs w:val="21"/>
              </w:rPr>
            </w:pPr>
          </w:p>
        </w:tc>
        <w:tc>
          <w:tcPr>
            <w:tcW w:w="850" w:type="dxa"/>
            <w:vMerge w:val="continue"/>
            <w:vAlign w:val="center"/>
          </w:tcPr>
          <w:p w14:paraId="71838072">
            <w:pPr>
              <w:spacing w:line="300" w:lineRule="exact"/>
              <w:jc w:val="center"/>
              <w:rPr>
                <w:rFonts w:ascii="Times New Roman" w:cs="Times New Roman" w:hAnsiTheme="minorEastAsia" w:eastAsiaTheme="minorEastAsia"/>
                <w:color w:val="auto"/>
                <w:spacing w:val="-20"/>
                <w:szCs w:val="21"/>
              </w:rPr>
            </w:pPr>
          </w:p>
        </w:tc>
        <w:tc>
          <w:tcPr>
            <w:tcW w:w="661" w:type="dxa"/>
            <w:vMerge w:val="continue"/>
            <w:vAlign w:val="center"/>
          </w:tcPr>
          <w:p w14:paraId="698B2A2F">
            <w:pPr>
              <w:widowControl/>
              <w:spacing w:line="300" w:lineRule="exact"/>
              <w:jc w:val="center"/>
              <w:rPr>
                <w:rFonts w:ascii="Times New Roman" w:cs="Times New Roman" w:hAnsiTheme="minorEastAsia" w:eastAsiaTheme="minorEastAsia"/>
                <w:color w:val="auto"/>
                <w:spacing w:val="-20"/>
                <w:szCs w:val="21"/>
              </w:rPr>
            </w:pPr>
          </w:p>
        </w:tc>
        <w:tc>
          <w:tcPr>
            <w:tcW w:w="662" w:type="dxa"/>
            <w:vMerge w:val="continue"/>
            <w:vAlign w:val="center"/>
          </w:tcPr>
          <w:p w14:paraId="77A1C6B3">
            <w:pPr>
              <w:widowControl/>
              <w:spacing w:line="300" w:lineRule="exact"/>
              <w:jc w:val="center"/>
              <w:rPr>
                <w:rFonts w:ascii="Times New Roman" w:cs="Times New Roman" w:hAnsiTheme="minorEastAsia" w:eastAsiaTheme="minorEastAsia"/>
                <w:color w:val="auto"/>
                <w:spacing w:val="-20"/>
                <w:szCs w:val="21"/>
              </w:rPr>
            </w:pPr>
          </w:p>
        </w:tc>
        <w:tc>
          <w:tcPr>
            <w:tcW w:w="662" w:type="dxa"/>
            <w:vMerge w:val="continue"/>
            <w:vAlign w:val="center"/>
          </w:tcPr>
          <w:p w14:paraId="001DA269">
            <w:pPr>
              <w:widowControl/>
              <w:spacing w:line="300" w:lineRule="exact"/>
              <w:jc w:val="center"/>
              <w:rPr>
                <w:rFonts w:ascii="Times New Roman" w:cs="Times New Roman" w:hAnsiTheme="minorEastAsia" w:eastAsiaTheme="minorEastAsia"/>
                <w:color w:val="auto"/>
                <w:spacing w:val="-20"/>
                <w:szCs w:val="21"/>
              </w:rPr>
            </w:pPr>
          </w:p>
        </w:tc>
        <w:tc>
          <w:tcPr>
            <w:tcW w:w="567" w:type="dxa"/>
            <w:vMerge w:val="continue"/>
            <w:vAlign w:val="center"/>
          </w:tcPr>
          <w:p w14:paraId="665B3B48">
            <w:pPr>
              <w:widowControl/>
              <w:spacing w:line="300" w:lineRule="exact"/>
              <w:jc w:val="center"/>
              <w:rPr>
                <w:rFonts w:ascii="Times New Roman" w:cs="Times New Roman" w:hAnsiTheme="minorEastAsia" w:eastAsiaTheme="minorEastAsia"/>
                <w:color w:val="auto"/>
                <w:spacing w:val="-20"/>
                <w:szCs w:val="21"/>
              </w:rPr>
            </w:pPr>
          </w:p>
        </w:tc>
        <w:tc>
          <w:tcPr>
            <w:tcW w:w="708" w:type="dxa"/>
            <w:vMerge w:val="continue"/>
            <w:vAlign w:val="center"/>
          </w:tcPr>
          <w:p w14:paraId="7E68FE70">
            <w:pPr>
              <w:widowControl/>
              <w:spacing w:line="300" w:lineRule="exact"/>
              <w:jc w:val="center"/>
              <w:rPr>
                <w:rFonts w:ascii="Times New Roman" w:hAnsi="Times New Roman" w:cs="Times New Roman" w:eastAsiaTheme="minorEastAsia"/>
                <w:color w:val="auto"/>
                <w:spacing w:val="-20"/>
                <w:szCs w:val="21"/>
              </w:rPr>
            </w:pPr>
          </w:p>
        </w:tc>
        <w:tc>
          <w:tcPr>
            <w:tcW w:w="709" w:type="dxa"/>
            <w:vMerge w:val="continue"/>
            <w:vAlign w:val="center"/>
          </w:tcPr>
          <w:p w14:paraId="6A99A56F">
            <w:pPr>
              <w:widowControl/>
              <w:spacing w:line="300" w:lineRule="exact"/>
              <w:jc w:val="center"/>
              <w:rPr>
                <w:rFonts w:ascii="Times New Roman" w:hAnsi="Times New Roman" w:cs="Times New Roman" w:eastAsiaTheme="minorEastAsia"/>
                <w:color w:val="auto"/>
                <w:spacing w:val="-20"/>
                <w:kern w:val="0"/>
                <w:szCs w:val="21"/>
              </w:rPr>
            </w:pPr>
          </w:p>
        </w:tc>
        <w:tc>
          <w:tcPr>
            <w:tcW w:w="992" w:type="dxa"/>
            <w:vMerge w:val="continue"/>
            <w:vAlign w:val="center"/>
          </w:tcPr>
          <w:p w14:paraId="64042D25">
            <w:pPr>
              <w:spacing w:line="300" w:lineRule="exact"/>
              <w:jc w:val="center"/>
              <w:rPr>
                <w:rFonts w:ascii="Times New Roman" w:hAnsi="Times New Roman" w:cs="Times New Roman" w:eastAsiaTheme="minorEastAsia"/>
                <w:color w:val="auto"/>
                <w:spacing w:val="-20"/>
                <w:kern w:val="0"/>
                <w:szCs w:val="21"/>
              </w:rPr>
            </w:pPr>
          </w:p>
        </w:tc>
        <w:tc>
          <w:tcPr>
            <w:tcW w:w="993" w:type="dxa"/>
            <w:vMerge w:val="continue"/>
            <w:vAlign w:val="center"/>
          </w:tcPr>
          <w:p w14:paraId="04FF26A4">
            <w:pPr>
              <w:widowControl/>
              <w:spacing w:line="300" w:lineRule="exact"/>
              <w:jc w:val="center"/>
              <w:rPr>
                <w:rFonts w:ascii="Times New Roman" w:hAnsi="Times New Roman" w:cs="Times New Roman" w:eastAsiaTheme="minorEastAsia"/>
                <w:color w:val="auto"/>
                <w:spacing w:val="-20"/>
                <w:kern w:val="0"/>
                <w:szCs w:val="21"/>
              </w:rPr>
            </w:pPr>
          </w:p>
        </w:tc>
        <w:tc>
          <w:tcPr>
            <w:tcW w:w="567" w:type="dxa"/>
            <w:vMerge w:val="continue"/>
            <w:vAlign w:val="center"/>
          </w:tcPr>
          <w:p w14:paraId="0CC44377">
            <w:pPr>
              <w:widowControl/>
              <w:spacing w:line="300" w:lineRule="exact"/>
              <w:jc w:val="center"/>
              <w:rPr>
                <w:rFonts w:ascii="Times New Roman" w:cs="Times New Roman" w:hAnsiTheme="minorEastAsia" w:eastAsiaTheme="minorEastAsia"/>
                <w:color w:val="auto"/>
                <w:spacing w:val="-20"/>
                <w:kern w:val="0"/>
                <w:szCs w:val="21"/>
              </w:rPr>
            </w:pPr>
          </w:p>
        </w:tc>
        <w:tc>
          <w:tcPr>
            <w:tcW w:w="992" w:type="dxa"/>
            <w:vMerge w:val="continue"/>
            <w:vAlign w:val="center"/>
          </w:tcPr>
          <w:p w14:paraId="4E819206">
            <w:pPr>
              <w:widowControl/>
              <w:spacing w:line="300" w:lineRule="exact"/>
              <w:jc w:val="center"/>
              <w:rPr>
                <w:rFonts w:ascii="Times New Roman" w:hAnsi="Times New Roman" w:cs="Times New Roman" w:eastAsiaTheme="minorEastAsia"/>
                <w:color w:val="auto"/>
                <w:spacing w:val="-20"/>
                <w:kern w:val="0"/>
                <w:szCs w:val="21"/>
              </w:rPr>
            </w:pPr>
          </w:p>
        </w:tc>
        <w:tc>
          <w:tcPr>
            <w:tcW w:w="709" w:type="dxa"/>
            <w:vMerge w:val="continue"/>
            <w:vAlign w:val="center"/>
          </w:tcPr>
          <w:p w14:paraId="40213BB8">
            <w:pPr>
              <w:widowControl/>
              <w:spacing w:line="300" w:lineRule="exact"/>
              <w:jc w:val="center"/>
              <w:rPr>
                <w:rFonts w:ascii="Times New Roman" w:hAnsi="Times New Roman" w:cs="Times New Roman" w:eastAsiaTheme="minorEastAsia"/>
                <w:color w:val="auto"/>
                <w:spacing w:val="-20"/>
                <w:kern w:val="0"/>
                <w:szCs w:val="21"/>
              </w:rPr>
            </w:pPr>
          </w:p>
        </w:tc>
        <w:tc>
          <w:tcPr>
            <w:tcW w:w="708" w:type="dxa"/>
            <w:vMerge w:val="continue"/>
            <w:vAlign w:val="center"/>
          </w:tcPr>
          <w:p w14:paraId="66723D5B">
            <w:pPr>
              <w:widowControl/>
              <w:spacing w:line="300" w:lineRule="exact"/>
              <w:jc w:val="center"/>
              <w:rPr>
                <w:rFonts w:ascii="Times New Roman" w:hAnsi="Times New Roman" w:cs="Times New Roman" w:eastAsiaTheme="minorEastAsia"/>
                <w:color w:val="auto"/>
                <w:spacing w:val="-20"/>
                <w:kern w:val="0"/>
                <w:szCs w:val="21"/>
              </w:rPr>
            </w:pPr>
          </w:p>
        </w:tc>
        <w:tc>
          <w:tcPr>
            <w:tcW w:w="4436" w:type="dxa"/>
            <w:vMerge w:val="continue"/>
            <w:vAlign w:val="center"/>
          </w:tcPr>
          <w:p w14:paraId="70C7878D">
            <w:pPr>
              <w:widowControl/>
              <w:spacing w:line="300" w:lineRule="exact"/>
              <w:rPr>
                <w:rFonts w:ascii="Times New Roman" w:cs="Times New Roman" w:hAnsiTheme="minorEastAsia" w:eastAsiaTheme="minorEastAsia"/>
                <w:color w:val="auto"/>
                <w:spacing w:val="0"/>
                <w:kern w:val="0"/>
                <w:sz w:val="21"/>
                <w:szCs w:val="21"/>
              </w:rPr>
            </w:pPr>
          </w:p>
        </w:tc>
        <w:tc>
          <w:tcPr>
            <w:tcW w:w="2898" w:type="dxa"/>
            <w:vMerge w:val="continue"/>
            <w:vAlign w:val="center"/>
          </w:tcPr>
          <w:p w14:paraId="0216B4B4">
            <w:pPr>
              <w:widowControl/>
              <w:adjustRightInd w:val="0"/>
              <w:snapToGrid w:val="0"/>
              <w:jc w:val="center"/>
              <w:rPr>
                <w:rFonts w:ascii="Times New Roman" w:hAnsi="Times New Roman" w:cs="Times New Roman" w:eastAsiaTheme="minorEastAsia"/>
                <w:snapToGrid w:val="0"/>
                <w:color w:val="auto"/>
                <w:spacing w:val="-20"/>
                <w:kern w:val="0"/>
                <w:szCs w:val="21"/>
              </w:rPr>
            </w:pPr>
          </w:p>
        </w:tc>
      </w:tr>
      <w:tr w14:paraId="5AC9303F">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831" w:hRule="atLeast"/>
          <w:tblHeader/>
          <w:jc w:val="center"/>
        </w:trPr>
        <w:tc>
          <w:tcPr>
            <w:tcW w:w="568" w:type="dxa"/>
            <w:vMerge w:val="restart"/>
            <w:noWrap/>
            <w:vAlign w:val="center"/>
          </w:tcPr>
          <w:p w14:paraId="4C61FADC">
            <w:pPr>
              <w:widowControl/>
              <w:spacing w:line="300" w:lineRule="exact"/>
              <w:jc w:val="center"/>
              <w:rPr>
                <w:rFonts w:ascii="Times New Roman" w:hAnsi="Times New Roman" w:cs="Times New Roman" w:eastAsiaTheme="minorEastAsia"/>
                <w:color w:val="auto"/>
                <w:spacing w:val="-20"/>
                <w:kern w:val="0"/>
                <w:szCs w:val="21"/>
              </w:rPr>
            </w:pPr>
            <w:r>
              <w:rPr>
                <w:rFonts w:ascii="Times New Roman" w:hAnsi="Times New Roman" w:cs="Times New Roman" w:eastAsiaTheme="minorEastAsia"/>
                <w:color w:val="auto"/>
                <w:spacing w:val="-20"/>
                <w:kern w:val="0"/>
                <w:szCs w:val="21"/>
              </w:rPr>
              <w:t>22</w:t>
            </w:r>
          </w:p>
        </w:tc>
        <w:tc>
          <w:tcPr>
            <w:tcW w:w="694" w:type="dxa"/>
            <w:vMerge w:val="restart"/>
            <w:vAlign w:val="center"/>
          </w:tcPr>
          <w:p w14:paraId="48D1F3D3">
            <w:pPr>
              <w:spacing w:line="300" w:lineRule="exact"/>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S311～高速口</w:t>
            </w:r>
          </w:p>
        </w:tc>
        <w:tc>
          <w:tcPr>
            <w:tcW w:w="1134" w:type="dxa"/>
            <w:vAlign w:val="center"/>
          </w:tcPr>
          <w:p w14:paraId="34E7084A">
            <w:pPr>
              <w:widowControl/>
              <w:spacing w:line="300" w:lineRule="exact"/>
              <w:jc w:val="center"/>
              <w:rPr>
                <w:rFonts w:ascii="Times New Roman" w:hAnsi="Times New Roman" w:cs="Times New Roman" w:eastAsiaTheme="minorEastAsia"/>
                <w:color w:val="auto"/>
                <w:spacing w:val="-20"/>
                <w:kern w:val="0"/>
                <w:szCs w:val="21"/>
              </w:rPr>
            </w:pPr>
            <w:r>
              <w:rPr>
                <w:rFonts w:ascii="Times New Roman" w:hAnsi="Times New Roman" w:cs="Times New Roman" w:eastAsiaTheme="minorEastAsia"/>
                <w:color w:val="auto"/>
                <w:spacing w:val="-20"/>
                <w:szCs w:val="21"/>
              </w:rPr>
              <w:t>K</w:t>
            </w:r>
            <w:r>
              <w:rPr>
                <w:rFonts w:hint="eastAsia" w:ascii="Times New Roman" w:hAnsi="Times New Roman" w:cs="Times New Roman" w:eastAsiaTheme="minorEastAsia"/>
                <w:color w:val="auto"/>
                <w:spacing w:val="-20"/>
                <w:szCs w:val="21"/>
              </w:rPr>
              <w:t>44</w:t>
            </w:r>
            <w:r>
              <w:rPr>
                <w:rFonts w:ascii="Times New Roman" w:hAnsi="Times New Roman" w:cs="Times New Roman" w:eastAsiaTheme="minorEastAsia"/>
                <w:color w:val="auto"/>
                <w:spacing w:val="-20"/>
                <w:szCs w:val="21"/>
              </w:rPr>
              <w:t>+</w:t>
            </w:r>
            <w:r>
              <w:rPr>
                <w:rFonts w:hint="eastAsia" w:ascii="Times New Roman" w:hAnsi="Times New Roman" w:cs="Times New Roman" w:eastAsiaTheme="minorEastAsia"/>
                <w:color w:val="auto"/>
                <w:spacing w:val="-20"/>
                <w:szCs w:val="21"/>
              </w:rPr>
              <w:t>750</w:t>
            </w:r>
            <w:r>
              <w:rPr>
                <w:rFonts w:ascii="Times New Roman" w:cs="Times New Roman" w:hAnsiTheme="minorEastAsia" w:eastAsiaTheme="minorEastAsia"/>
                <w:color w:val="auto"/>
                <w:spacing w:val="-20"/>
                <w:szCs w:val="21"/>
              </w:rPr>
              <w:t>～</w:t>
            </w:r>
            <w:r>
              <w:rPr>
                <w:rFonts w:ascii="Times New Roman" w:hAnsi="Times New Roman" w:cs="Times New Roman" w:eastAsiaTheme="minorEastAsia"/>
                <w:color w:val="auto"/>
                <w:spacing w:val="-20"/>
                <w:szCs w:val="21"/>
              </w:rPr>
              <w:t>K</w:t>
            </w:r>
            <w:r>
              <w:rPr>
                <w:rFonts w:hint="eastAsia" w:ascii="Times New Roman" w:hAnsi="Times New Roman" w:cs="Times New Roman" w:eastAsiaTheme="minorEastAsia"/>
                <w:color w:val="auto"/>
                <w:spacing w:val="-20"/>
                <w:szCs w:val="21"/>
              </w:rPr>
              <w:t>45</w:t>
            </w:r>
            <w:r>
              <w:rPr>
                <w:rFonts w:ascii="Times New Roman" w:hAnsi="Times New Roman" w:cs="Times New Roman" w:eastAsiaTheme="minorEastAsia"/>
                <w:color w:val="auto"/>
                <w:spacing w:val="-20"/>
                <w:szCs w:val="21"/>
              </w:rPr>
              <w:t>+</w:t>
            </w:r>
            <w:r>
              <w:rPr>
                <w:rFonts w:hint="eastAsia" w:ascii="Times New Roman" w:hAnsi="Times New Roman" w:cs="Times New Roman" w:eastAsiaTheme="minorEastAsia"/>
                <w:color w:val="auto"/>
                <w:spacing w:val="-20"/>
                <w:szCs w:val="21"/>
              </w:rPr>
              <w:t>05</w:t>
            </w:r>
            <w:r>
              <w:rPr>
                <w:rFonts w:ascii="Times New Roman" w:hAnsi="Times New Roman" w:cs="Times New Roman" w:eastAsiaTheme="minorEastAsia"/>
                <w:color w:val="auto"/>
                <w:spacing w:val="-20"/>
                <w:szCs w:val="21"/>
              </w:rPr>
              <w:t>0</w:t>
            </w:r>
          </w:p>
        </w:tc>
        <w:tc>
          <w:tcPr>
            <w:tcW w:w="851" w:type="dxa"/>
            <w:vMerge w:val="restart"/>
            <w:vAlign w:val="center"/>
          </w:tcPr>
          <w:p w14:paraId="5FDD8EF1">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cs="Times New Roman" w:hAnsiTheme="minorEastAsia" w:eastAsiaTheme="minorEastAsia"/>
                <w:color w:val="auto"/>
                <w:spacing w:val="-20"/>
                <w:szCs w:val="21"/>
              </w:rPr>
              <w:t>丘如克</w:t>
            </w:r>
          </w:p>
        </w:tc>
        <w:tc>
          <w:tcPr>
            <w:tcW w:w="850" w:type="dxa"/>
            <w:vMerge w:val="continue"/>
            <w:vAlign w:val="center"/>
          </w:tcPr>
          <w:p w14:paraId="66F0A3BA">
            <w:pPr>
              <w:widowControl/>
              <w:spacing w:line="300" w:lineRule="exact"/>
              <w:jc w:val="center"/>
              <w:rPr>
                <w:rFonts w:ascii="Times New Roman" w:hAnsi="Times New Roman" w:cs="Times New Roman" w:eastAsiaTheme="minorEastAsia"/>
                <w:color w:val="auto"/>
                <w:spacing w:val="-20"/>
                <w:kern w:val="0"/>
                <w:szCs w:val="21"/>
              </w:rPr>
            </w:pPr>
          </w:p>
        </w:tc>
        <w:tc>
          <w:tcPr>
            <w:tcW w:w="661" w:type="dxa"/>
            <w:vAlign w:val="center"/>
          </w:tcPr>
          <w:p w14:paraId="68C0E5D2">
            <w:pPr>
              <w:widowControl/>
              <w:spacing w:line="300" w:lineRule="exact"/>
              <w:jc w:val="center"/>
              <w:rPr>
                <w:rFonts w:ascii="Times New Roman" w:hAnsi="Times New Roman" w:cs="Times New Roman" w:eastAsiaTheme="minorEastAsia"/>
                <w:color w:val="auto"/>
                <w:spacing w:val="-20"/>
                <w:kern w:val="0"/>
                <w:szCs w:val="21"/>
              </w:rPr>
            </w:pPr>
            <w:r>
              <w:rPr>
                <w:rFonts w:ascii="Times New Roman" w:cs="Times New Roman" w:hAnsiTheme="minorEastAsia" w:eastAsiaTheme="minorEastAsia"/>
                <w:color w:val="auto"/>
                <w:spacing w:val="-20"/>
                <w:szCs w:val="21"/>
              </w:rPr>
              <w:t>路右</w:t>
            </w:r>
          </w:p>
        </w:tc>
        <w:tc>
          <w:tcPr>
            <w:tcW w:w="662" w:type="dxa"/>
            <w:vMerge w:val="restart"/>
            <w:vAlign w:val="center"/>
          </w:tcPr>
          <w:p w14:paraId="047B86B6">
            <w:pPr>
              <w:widowControl/>
              <w:spacing w:line="300" w:lineRule="exact"/>
              <w:jc w:val="center"/>
              <w:rPr>
                <w:rFonts w:ascii="Times New Roman" w:cs="Times New Roman" w:hAnsiTheme="minorEastAsia" w:eastAsiaTheme="minorEastAsia"/>
                <w:color w:val="auto"/>
                <w:spacing w:val="-20"/>
                <w:szCs w:val="21"/>
              </w:rPr>
            </w:pPr>
            <w:r>
              <w:rPr>
                <w:rFonts w:hint="eastAsia" w:ascii="Times New Roman" w:cs="Times New Roman" w:hAnsiTheme="minorEastAsia" w:eastAsiaTheme="minorEastAsia"/>
                <w:color w:val="auto"/>
                <w:spacing w:val="-20"/>
                <w:szCs w:val="21"/>
              </w:rPr>
              <w:t>16</w:t>
            </w:r>
          </w:p>
        </w:tc>
        <w:tc>
          <w:tcPr>
            <w:tcW w:w="662" w:type="dxa"/>
            <w:vMerge w:val="restart"/>
            <w:vAlign w:val="center"/>
          </w:tcPr>
          <w:p w14:paraId="45A0CE58">
            <w:pPr>
              <w:widowControl/>
              <w:spacing w:line="300" w:lineRule="exact"/>
              <w:jc w:val="center"/>
              <w:rPr>
                <w:rFonts w:ascii="Times New Roman" w:cs="Times New Roman" w:hAnsiTheme="minorEastAsia" w:eastAsiaTheme="minorEastAsia"/>
                <w:color w:val="auto"/>
                <w:spacing w:val="-20"/>
                <w:szCs w:val="21"/>
              </w:rPr>
            </w:pPr>
            <w:r>
              <w:rPr>
                <w:rFonts w:hint="eastAsia" w:ascii="Times New Roman" w:cs="Times New Roman" w:hAnsiTheme="minorEastAsia" w:eastAsiaTheme="minorEastAsia"/>
                <w:color w:val="auto"/>
                <w:spacing w:val="-20"/>
                <w:szCs w:val="21"/>
              </w:rPr>
              <w:t>4</w:t>
            </w:r>
          </w:p>
        </w:tc>
        <w:tc>
          <w:tcPr>
            <w:tcW w:w="567" w:type="dxa"/>
            <w:vAlign w:val="center"/>
          </w:tcPr>
          <w:p w14:paraId="2EB2EB0A">
            <w:pPr>
              <w:widowControl/>
              <w:spacing w:line="300" w:lineRule="exact"/>
              <w:jc w:val="center"/>
              <w:rPr>
                <w:rFonts w:ascii="Times New Roman" w:hAnsi="Times New Roman" w:cs="Times New Roman" w:eastAsiaTheme="minorEastAsia"/>
                <w:color w:val="auto"/>
                <w:spacing w:val="-20"/>
                <w:kern w:val="0"/>
                <w:szCs w:val="21"/>
              </w:rPr>
            </w:pPr>
            <w:r>
              <w:rPr>
                <w:rFonts w:ascii="Times New Roman" w:cs="Times New Roman" w:hAnsiTheme="minorEastAsia" w:eastAsiaTheme="minorEastAsia"/>
                <w:color w:val="auto"/>
                <w:spacing w:val="-20"/>
                <w:szCs w:val="21"/>
              </w:rPr>
              <w:t>路右</w:t>
            </w:r>
          </w:p>
        </w:tc>
        <w:tc>
          <w:tcPr>
            <w:tcW w:w="708" w:type="dxa"/>
            <w:vMerge w:val="restart"/>
            <w:vAlign w:val="center"/>
          </w:tcPr>
          <w:p w14:paraId="2C5A0652">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szCs w:val="21"/>
              </w:rPr>
              <w:t>22</w:t>
            </w:r>
          </w:p>
        </w:tc>
        <w:tc>
          <w:tcPr>
            <w:tcW w:w="709" w:type="dxa"/>
            <w:vMerge w:val="restart"/>
            <w:vAlign w:val="center"/>
          </w:tcPr>
          <w:p w14:paraId="2F279496">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3</w:t>
            </w:r>
          </w:p>
        </w:tc>
        <w:tc>
          <w:tcPr>
            <w:tcW w:w="992" w:type="dxa"/>
            <w:vMerge w:val="restart"/>
            <w:vAlign w:val="center"/>
          </w:tcPr>
          <w:p w14:paraId="2CDF91E9">
            <w:pPr>
              <w:widowControl/>
              <w:spacing w:line="300" w:lineRule="exact"/>
              <w:jc w:val="center"/>
              <w:rPr>
                <w:rFonts w:ascii="Times New Roman" w:hAnsi="Times New Roman" w:cs="Times New Roman" w:eastAsiaTheme="minorEastAsia"/>
                <w:color w:val="auto"/>
                <w:spacing w:val="-20"/>
                <w:kern w:val="0"/>
                <w:szCs w:val="21"/>
              </w:rPr>
            </w:pPr>
            <w:r>
              <w:rPr>
                <w:rFonts w:ascii="Times New Roman" w:hAnsi="Times New Roman" w:cs="Times New Roman" w:eastAsiaTheme="minorEastAsia"/>
                <w:color w:val="auto"/>
                <w:spacing w:val="-20"/>
                <w:kern w:val="0"/>
                <w:szCs w:val="21"/>
              </w:rPr>
              <w:t>0</w:t>
            </w:r>
          </w:p>
        </w:tc>
        <w:tc>
          <w:tcPr>
            <w:tcW w:w="993" w:type="dxa"/>
            <w:vMerge w:val="restart"/>
            <w:vAlign w:val="center"/>
          </w:tcPr>
          <w:p w14:paraId="22B95034">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2.0</w:t>
            </w:r>
          </w:p>
        </w:tc>
        <w:tc>
          <w:tcPr>
            <w:tcW w:w="567" w:type="dxa"/>
            <w:vMerge w:val="restart"/>
            <w:vAlign w:val="center"/>
          </w:tcPr>
          <w:p w14:paraId="41095CFF">
            <w:pPr>
              <w:widowControl/>
              <w:spacing w:line="300" w:lineRule="exact"/>
              <w:jc w:val="center"/>
              <w:rPr>
                <w:rFonts w:ascii="Times New Roman" w:hAnsi="Times New Roman" w:cs="Times New Roman" w:eastAsiaTheme="minorEastAsia"/>
                <w:color w:val="auto"/>
                <w:spacing w:val="-20"/>
                <w:kern w:val="0"/>
                <w:szCs w:val="21"/>
              </w:rPr>
            </w:pPr>
            <w:r>
              <w:rPr>
                <w:rFonts w:ascii="Times New Roman" w:cs="Times New Roman" w:hAnsiTheme="minorEastAsia" w:eastAsiaTheme="minorEastAsia"/>
                <w:color w:val="auto"/>
                <w:spacing w:val="-20"/>
                <w:kern w:val="0"/>
                <w:szCs w:val="21"/>
              </w:rPr>
              <w:t>路基</w:t>
            </w:r>
          </w:p>
        </w:tc>
        <w:tc>
          <w:tcPr>
            <w:tcW w:w="992" w:type="dxa"/>
            <w:vMerge w:val="restart"/>
            <w:vAlign w:val="center"/>
          </w:tcPr>
          <w:p w14:paraId="64C10588">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54</w:t>
            </w:r>
          </w:p>
        </w:tc>
        <w:tc>
          <w:tcPr>
            <w:tcW w:w="709" w:type="dxa"/>
            <w:vMerge w:val="restart"/>
            <w:vAlign w:val="center"/>
          </w:tcPr>
          <w:p w14:paraId="13E4272E">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20</w:t>
            </w:r>
          </w:p>
        </w:tc>
        <w:tc>
          <w:tcPr>
            <w:tcW w:w="708" w:type="dxa"/>
            <w:vMerge w:val="restart"/>
            <w:vAlign w:val="center"/>
          </w:tcPr>
          <w:p w14:paraId="0BEC9019">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38</w:t>
            </w:r>
          </w:p>
        </w:tc>
        <w:tc>
          <w:tcPr>
            <w:tcW w:w="4436" w:type="dxa"/>
            <w:vMerge w:val="restart"/>
            <w:vAlign w:val="center"/>
          </w:tcPr>
          <w:p w14:paraId="427A0BE8">
            <w:pPr>
              <w:widowControl/>
              <w:spacing w:line="300" w:lineRule="exact"/>
              <w:rPr>
                <w:rFonts w:ascii="Times New Roman" w:hAnsi="Times New Roman" w:cs="Times New Roman" w:eastAsiaTheme="minorEastAsia"/>
                <w:color w:val="auto"/>
                <w:spacing w:val="0"/>
                <w:kern w:val="0"/>
                <w:sz w:val="21"/>
                <w:szCs w:val="21"/>
              </w:rPr>
            </w:pPr>
            <w:r>
              <w:rPr>
                <w:rFonts w:ascii="Times New Roman" w:cs="Times New Roman" w:hAnsiTheme="minorEastAsia" w:eastAsiaTheme="minorEastAsia"/>
                <w:color w:val="auto"/>
                <w:spacing w:val="0"/>
                <w:kern w:val="0"/>
                <w:sz w:val="21"/>
                <w:szCs w:val="21"/>
              </w:rPr>
              <w:t>路线以填方路基形式经过村庄。评价范围内现有居民</w:t>
            </w:r>
            <w:r>
              <w:rPr>
                <w:rFonts w:hint="eastAsia" w:ascii="Times New Roman" w:hAnsi="Times New Roman" w:cs="Times New Roman" w:eastAsiaTheme="minorEastAsia"/>
                <w:color w:val="auto"/>
                <w:spacing w:val="0"/>
                <w:kern w:val="0"/>
                <w:sz w:val="21"/>
                <w:szCs w:val="21"/>
              </w:rPr>
              <w:t>58</w:t>
            </w:r>
            <w:r>
              <w:rPr>
                <w:rFonts w:ascii="Times New Roman" w:cs="Times New Roman" w:hAnsiTheme="minorEastAsia" w:eastAsiaTheme="minorEastAsia"/>
                <w:color w:val="auto"/>
                <w:spacing w:val="0"/>
                <w:kern w:val="0"/>
                <w:sz w:val="21"/>
                <w:szCs w:val="21"/>
              </w:rPr>
              <w:t>户，首排</w:t>
            </w:r>
            <w:r>
              <w:rPr>
                <w:rFonts w:hint="eastAsia" w:ascii="Times New Roman" w:hAnsi="Times New Roman" w:cs="Times New Roman" w:eastAsiaTheme="minorEastAsia"/>
                <w:color w:val="auto"/>
                <w:spacing w:val="0"/>
                <w:kern w:val="0"/>
                <w:sz w:val="21"/>
                <w:szCs w:val="21"/>
              </w:rPr>
              <w:t>6</w:t>
            </w:r>
            <w:r>
              <w:rPr>
                <w:rFonts w:ascii="Times New Roman" w:cs="Times New Roman" w:hAnsiTheme="minorEastAsia" w:eastAsiaTheme="minorEastAsia"/>
                <w:color w:val="auto"/>
                <w:spacing w:val="0"/>
                <w:kern w:val="0"/>
                <w:sz w:val="21"/>
                <w:szCs w:val="21"/>
              </w:rPr>
              <w:t>户，</w:t>
            </w:r>
            <w:r>
              <w:rPr>
                <w:rFonts w:hint="eastAsia" w:ascii="Times New Roman" w:cs="Times New Roman" w:hAnsiTheme="minorEastAsia" w:eastAsiaTheme="minorEastAsia"/>
                <w:color w:val="auto"/>
                <w:spacing w:val="0"/>
                <w:kern w:val="0"/>
                <w:sz w:val="21"/>
                <w:szCs w:val="21"/>
              </w:rPr>
              <w:t>主要</w:t>
            </w:r>
            <w:r>
              <w:rPr>
                <w:rFonts w:ascii="Times New Roman" w:cs="Times New Roman" w:hAnsiTheme="minorEastAsia" w:eastAsiaTheme="minorEastAsia"/>
                <w:color w:val="auto"/>
                <w:spacing w:val="0"/>
                <w:kern w:val="0"/>
                <w:sz w:val="21"/>
                <w:szCs w:val="21"/>
              </w:rPr>
              <w:t>为</w:t>
            </w:r>
            <w:r>
              <w:rPr>
                <w:rFonts w:ascii="Times New Roman" w:hAnsi="Times New Roman" w:cs="Times New Roman" w:eastAsiaTheme="minorEastAsia"/>
                <w:color w:val="auto"/>
                <w:spacing w:val="0"/>
                <w:kern w:val="0"/>
                <w:sz w:val="21"/>
                <w:szCs w:val="21"/>
              </w:rPr>
              <w:t>1</w:t>
            </w:r>
            <w:r>
              <w:rPr>
                <w:rFonts w:ascii="Times New Roman" w:cs="Times New Roman" w:hAnsiTheme="minorEastAsia" w:eastAsiaTheme="minorEastAsia"/>
                <w:color w:val="auto"/>
                <w:spacing w:val="0"/>
                <w:kern w:val="0"/>
                <w:sz w:val="21"/>
                <w:szCs w:val="21"/>
              </w:rPr>
              <w:t>层砖混房，房屋侧向拟建公路。</w:t>
            </w:r>
            <w:r>
              <w:rPr>
                <w:rFonts w:ascii="Times New Roman" w:hAnsi="Times New Roman" w:eastAsia="宋体" w:cs="Times New Roman"/>
                <w:color w:val="auto"/>
                <w:spacing w:val="0"/>
                <w:kern w:val="0"/>
                <w:sz w:val="21"/>
                <w:szCs w:val="21"/>
              </w:rPr>
              <w:t>该路段利用现有</w:t>
            </w:r>
            <w:r>
              <w:rPr>
                <w:rFonts w:hint="eastAsia" w:ascii="Times New Roman" w:hAnsi="Times New Roman" w:eastAsia="宋体" w:cs="Times New Roman"/>
                <w:color w:val="auto"/>
                <w:spacing w:val="0"/>
                <w:kern w:val="0"/>
                <w:sz w:val="21"/>
                <w:szCs w:val="21"/>
              </w:rPr>
              <w:t>老路双侧加宽</w:t>
            </w:r>
            <w:r>
              <w:rPr>
                <w:rFonts w:ascii="Times New Roman" w:hAnsi="Times New Roman" w:eastAsia="宋体" w:cs="Times New Roman"/>
                <w:color w:val="auto"/>
                <w:spacing w:val="0"/>
                <w:kern w:val="0"/>
                <w:sz w:val="21"/>
                <w:szCs w:val="21"/>
              </w:rPr>
              <w:t>，有平交</w:t>
            </w:r>
            <w:r>
              <w:rPr>
                <w:rFonts w:hint="eastAsia" w:ascii="Times New Roman" w:hAnsi="Times New Roman" w:eastAsia="宋体" w:cs="Times New Roman"/>
                <w:color w:val="auto"/>
                <w:spacing w:val="0"/>
                <w:kern w:val="0"/>
                <w:sz w:val="21"/>
                <w:szCs w:val="21"/>
              </w:rPr>
              <w:t>路口</w:t>
            </w:r>
            <w:r>
              <w:rPr>
                <w:rFonts w:ascii="Times New Roman" w:hAnsi="Times New Roman" w:eastAsia="宋体" w:cs="Times New Roman"/>
                <w:color w:val="auto"/>
                <w:spacing w:val="0"/>
                <w:kern w:val="0"/>
                <w:sz w:val="21"/>
                <w:szCs w:val="21"/>
              </w:rPr>
              <w:t>，</w:t>
            </w:r>
            <w:r>
              <w:rPr>
                <w:rFonts w:ascii="Times New Roman" w:cs="Times New Roman" w:hAnsiTheme="minorEastAsia" w:eastAsiaTheme="minorEastAsia"/>
                <w:color w:val="auto"/>
                <w:spacing w:val="0"/>
                <w:kern w:val="0"/>
                <w:sz w:val="21"/>
                <w:szCs w:val="21"/>
              </w:rPr>
              <w:t>主要噪声源为现有</w:t>
            </w:r>
            <w:r>
              <w:rPr>
                <w:rFonts w:hint="eastAsia" w:ascii="Times New Roman" w:hAnsi="Times New Roman" w:cs="Times New Roman" w:eastAsiaTheme="minorEastAsia"/>
                <w:color w:val="auto"/>
                <w:spacing w:val="0"/>
                <w:kern w:val="0"/>
                <w:sz w:val="21"/>
                <w:szCs w:val="21"/>
              </w:rPr>
              <w:t>G219</w:t>
            </w:r>
            <w:r>
              <w:rPr>
                <w:rFonts w:ascii="Times New Roman" w:cs="Times New Roman" w:hAnsiTheme="minorEastAsia" w:eastAsiaTheme="minorEastAsia"/>
                <w:color w:val="auto"/>
                <w:spacing w:val="0"/>
                <w:kern w:val="0"/>
                <w:sz w:val="21"/>
                <w:szCs w:val="21"/>
              </w:rPr>
              <w:t>交通噪声和社会生活噪声。</w:t>
            </w:r>
          </w:p>
        </w:tc>
        <w:tc>
          <w:tcPr>
            <w:tcW w:w="2898" w:type="dxa"/>
            <w:vMerge w:val="restart"/>
            <w:vAlign w:val="center"/>
          </w:tcPr>
          <w:p w14:paraId="692ACBC8">
            <w:pPr>
              <w:widowControl/>
              <w:adjustRightInd w:val="0"/>
              <w:snapToGrid w:val="0"/>
              <w:jc w:val="center"/>
              <w:rPr>
                <w:rFonts w:ascii="Times New Roman" w:hAnsi="Times New Roman" w:cs="Times New Roman" w:eastAsiaTheme="minorEastAsia"/>
                <w:snapToGrid w:val="0"/>
                <w:color w:val="auto"/>
                <w:spacing w:val="-20"/>
                <w:kern w:val="0"/>
                <w:szCs w:val="21"/>
              </w:rPr>
            </w:pPr>
            <w:r>
              <w:rPr>
                <w:rFonts w:ascii="Times New Roman" w:hAnsi="Times New Roman" w:cs="Times New Roman" w:eastAsiaTheme="minorEastAsia"/>
                <w:color w:val="auto"/>
                <w:spacing w:val="-20"/>
                <w:kern w:val="0"/>
                <w:szCs w:val="21"/>
              </w:rPr>
              <w:drawing>
                <wp:inline distT="0" distB="0" distL="0" distR="0">
                  <wp:extent cx="1729105" cy="1295400"/>
                  <wp:effectExtent l="0" t="0" r="4445" b="0"/>
                  <wp:docPr id="936451326" name="图片 22" descr="E:\咨询项目\环评\新疆-G219线八盘水磨至伽师公路\外业踏勘记录及照片\DSC089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451326" name="图片 22" descr="E:\咨询项目\环评\新疆-G219线八盘水磨至伽师公路\外业踏勘记录及照片\DSC08992.JPG"/>
                          <pic:cNvPicPr>
                            <a:picLocks noChangeAspect="1" noChangeArrowheads="1"/>
                          </pic:cNvPicPr>
                        </pic:nvPicPr>
                        <pic:blipFill>
                          <a:blip r:embed="rId177" cstate="print"/>
                          <a:srcRect/>
                          <a:stretch>
                            <a:fillRect/>
                          </a:stretch>
                        </pic:blipFill>
                        <pic:spPr>
                          <a:xfrm>
                            <a:off x="0" y="0"/>
                            <a:ext cx="1729728" cy="1296000"/>
                          </a:xfrm>
                          <a:prstGeom prst="rect">
                            <a:avLst/>
                          </a:prstGeom>
                          <a:noFill/>
                          <a:ln w="9525">
                            <a:noFill/>
                            <a:miter lim="800000"/>
                            <a:headEnd/>
                            <a:tailEnd/>
                          </a:ln>
                        </pic:spPr>
                      </pic:pic>
                    </a:graphicData>
                  </a:graphic>
                </wp:inline>
              </w:drawing>
            </w:r>
          </w:p>
        </w:tc>
      </w:tr>
      <w:tr w14:paraId="0838EBA0">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697" w:hRule="atLeast"/>
          <w:tblHeader/>
          <w:jc w:val="center"/>
        </w:trPr>
        <w:tc>
          <w:tcPr>
            <w:tcW w:w="568" w:type="dxa"/>
            <w:vMerge w:val="continue"/>
            <w:noWrap/>
            <w:vAlign w:val="center"/>
          </w:tcPr>
          <w:p w14:paraId="6985EEC3">
            <w:pPr>
              <w:widowControl/>
              <w:spacing w:line="300" w:lineRule="exact"/>
              <w:jc w:val="center"/>
              <w:rPr>
                <w:rFonts w:ascii="Times New Roman" w:hAnsi="Times New Roman" w:cs="Times New Roman" w:eastAsiaTheme="minorEastAsia"/>
                <w:color w:val="auto"/>
                <w:spacing w:val="-20"/>
                <w:kern w:val="0"/>
                <w:szCs w:val="21"/>
              </w:rPr>
            </w:pPr>
          </w:p>
        </w:tc>
        <w:tc>
          <w:tcPr>
            <w:tcW w:w="694" w:type="dxa"/>
            <w:vMerge w:val="continue"/>
            <w:vAlign w:val="center"/>
          </w:tcPr>
          <w:p w14:paraId="55FE4A3C">
            <w:pPr>
              <w:widowControl/>
              <w:spacing w:line="300" w:lineRule="exact"/>
              <w:jc w:val="center"/>
              <w:rPr>
                <w:rFonts w:ascii="Times New Roman" w:hAnsi="Times New Roman" w:cs="Times New Roman" w:eastAsiaTheme="minorEastAsia"/>
                <w:color w:val="auto"/>
                <w:spacing w:val="-20"/>
                <w:kern w:val="0"/>
                <w:szCs w:val="21"/>
              </w:rPr>
            </w:pPr>
          </w:p>
        </w:tc>
        <w:tc>
          <w:tcPr>
            <w:tcW w:w="1134" w:type="dxa"/>
            <w:vAlign w:val="center"/>
          </w:tcPr>
          <w:p w14:paraId="18A9289F">
            <w:pPr>
              <w:widowControl/>
              <w:spacing w:line="300" w:lineRule="exact"/>
              <w:jc w:val="center"/>
              <w:rPr>
                <w:rFonts w:ascii="Times New Roman" w:hAnsi="Times New Roman" w:cs="Times New Roman" w:eastAsiaTheme="minorEastAsia"/>
                <w:color w:val="auto"/>
                <w:spacing w:val="-20"/>
                <w:kern w:val="0"/>
                <w:szCs w:val="21"/>
              </w:rPr>
            </w:pPr>
            <w:r>
              <w:rPr>
                <w:rFonts w:ascii="Times New Roman" w:hAnsi="Times New Roman" w:cs="Times New Roman" w:eastAsiaTheme="minorEastAsia"/>
                <w:color w:val="auto"/>
                <w:spacing w:val="-20"/>
                <w:szCs w:val="21"/>
              </w:rPr>
              <w:t>K</w:t>
            </w:r>
            <w:r>
              <w:rPr>
                <w:rFonts w:hint="eastAsia" w:ascii="Times New Roman" w:hAnsi="Times New Roman" w:cs="Times New Roman" w:eastAsiaTheme="minorEastAsia"/>
                <w:color w:val="auto"/>
                <w:spacing w:val="-20"/>
                <w:szCs w:val="21"/>
              </w:rPr>
              <w:t>44</w:t>
            </w:r>
            <w:r>
              <w:rPr>
                <w:rFonts w:ascii="Times New Roman" w:hAnsi="Times New Roman" w:cs="Times New Roman" w:eastAsiaTheme="minorEastAsia"/>
                <w:color w:val="auto"/>
                <w:spacing w:val="-20"/>
                <w:szCs w:val="21"/>
              </w:rPr>
              <w:t>+</w:t>
            </w:r>
            <w:r>
              <w:rPr>
                <w:rFonts w:hint="eastAsia" w:ascii="Times New Roman" w:hAnsi="Times New Roman" w:cs="Times New Roman" w:eastAsiaTheme="minorEastAsia"/>
                <w:color w:val="auto"/>
                <w:spacing w:val="-20"/>
                <w:szCs w:val="21"/>
              </w:rPr>
              <w:t>730</w:t>
            </w:r>
            <w:r>
              <w:rPr>
                <w:rFonts w:ascii="Times New Roman" w:cs="Times New Roman" w:hAnsiTheme="minorEastAsia" w:eastAsiaTheme="minorEastAsia"/>
                <w:color w:val="auto"/>
                <w:spacing w:val="-20"/>
                <w:szCs w:val="21"/>
              </w:rPr>
              <w:t>～</w:t>
            </w:r>
            <w:r>
              <w:rPr>
                <w:rFonts w:ascii="Times New Roman" w:hAnsi="Times New Roman" w:cs="Times New Roman" w:eastAsiaTheme="minorEastAsia"/>
                <w:color w:val="auto"/>
                <w:spacing w:val="-20"/>
                <w:szCs w:val="21"/>
              </w:rPr>
              <w:t>K</w:t>
            </w:r>
            <w:r>
              <w:rPr>
                <w:rFonts w:hint="eastAsia" w:ascii="Times New Roman" w:hAnsi="Times New Roman" w:cs="Times New Roman" w:eastAsiaTheme="minorEastAsia"/>
                <w:color w:val="auto"/>
                <w:spacing w:val="-20"/>
                <w:szCs w:val="21"/>
              </w:rPr>
              <w:t>44</w:t>
            </w:r>
            <w:r>
              <w:rPr>
                <w:rFonts w:ascii="Times New Roman" w:hAnsi="Times New Roman" w:cs="Times New Roman" w:eastAsiaTheme="minorEastAsia"/>
                <w:color w:val="auto"/>
                <w:spacing w:val="-20"/>
                <w:szCs w:val="21"/>
              </w:rPr>
              <w:t>+</w:t>
            </w:r>
            <w:r>
              <w:rPr>
                <w:rFonts w:hint="eastAsia" w:ascii="Times New Roman" w:hAnsi="Times New Roman" w:cs="Times New Roman" w:eastAsiaTheme="minorEastAsia"/>
                <w:color w:val="auto"/>
                <w:spacing w:val="-20"/>
                <w:szCs w:val="21"/>
              </w:rPr>
              <w:t>83</w:t>
            </w:r>
            <w:r>
              <w:rPr>
                <w:rFonts w:ascii="Times New Roman" w:hAnsi="Times New Roman" w:cs="Times New Roman" w:eastAsiaTheme="minorEastAsia"/>
                <w:color w:val="auto"/>
                <w:spacing w:val="-20"/>
                <w:szCs w:val="21"/>
              </w:rPr>
              <w:t>0</w:t>
            </w:r>
          </w:p>
        </w:tc>
        <w:tc>
          <w:tcPr>
            <w:tcW w:w="851" w:type="dxa"/>
            <w:vMerge w:val="continue"/>
            <w:vAlign w:val="center"/>
          </w:tcPr>
          <w:p w14:paraId="4027C5C3">
            <w:pPr>
              <w:widowControl/>
              <w:spacing w:line="300" w:lineRule="exact"/>
              <w:jc w:val="center"/>
              <w:rPr>
                <w:rFonts w:ascii="Times New Roman" w:cs="Times New Roman" w:hAnsiTheme="minorEastAsia" w:eastAsiaTheme="minorEastAsia"/>
                <w:color w:val="auto"/>
                <w:spacing w:val="-20"/>
                <w:szCs w:val="21"/>
              </w:rPr>
            </w:pPr>
          </w:p>
        </w:tc>
        <w:tc>
          <w:tcPr>
            <w:tcW w:w="850" w:type="dxa"/>
            <w:vMerge w:val="continue"/>
            <w:vAlign w:val="center"/>
          </w:tcPr>
          <w:p w14:paraId="095593D8">
            <w:pPr>
              <w:widowControl/>
              <w:spacing w:line="300" w:lineRule="exact"/>
              <w:jc w:val="center"/>
              <w:rPr>
                <w:rFonts w:ascii="Times New Roman" w:hAnsi="Times New Roman" w:cs="Times New Roman" w:eastAsiaTheme="minorEastAsia"/>
                <w:color w:val="auto"/>
                <w:spacing w:val="-20"/>
                <w:kern w:val="0"/>
                <w:szCs w:val="21"/>
              </w:rPr>
            </w:pPr>
          </w:p>
        </w:tc>
        <w:tc>
          <w:tcPr>
            <w:tcW w:w="661" w:type="dxa"/>
            <w:vMerge w:val="restart"/>
            <w:vAlign w:val="center"/>
          </w:tcPr>
          <w:p w14:paraId="54E47667">
            <w:pPr>
              <w:widowControl/>
              <w:spacing w:line="300" w:lineRule="exact"/>
              <w:jc w:val="center"/>
              <w:rPr>
                <w:rFonts w:ascii="Times New Roman" w:cs="Times New Roman" w:hAnsiTheme="minorEastAsia" w:eastAsiaTheme="minorEastAsia"/>
                <w:color w:val="auto"/>
                <w:spacing w:val="-20"/>
                <w:szCs w:val="21"/>
              </w:rPr>
            </w:pPr>
            <w:r>
              <w:rPr>
                <w:rFonts w:ascii="Times New Roman" w:cs="Times New Roman" w:hAnsiTheme="minorEastAsia" w:eastAsiaTheme="minorEastAsia"/>
                <w:color w:val="auto"/>
                <w:spacing w:val="-20"/>
                <w:szCs w:val="21"/>
              </w:rPr>
              <w:t>路左</w:t>
            </w:r>
          </w:p>
        </w:tc>
        <w:tc>
          <w:tcPr>
            <w:tcW w:w="662" w:type="dxa"/>
            <w:vMerge w:val="continue"/>
            <w:vAlign w:val="center"/>
          </w:tcPr>
          <w:p w14:paraId="315C1EC2">
            <w:pPr>
              <w:widowControl/>
              <w:spacing w:line="300" w:lineRule="exact"/>
              <w:jc w:val="center"/>
              <w:rPr>
                <w:rFonts w:ascii="Times New Roman" w:cs="Times New Roman" w:hAnsiTheme="minorEastAsia" w:eastAsiaTheme="minorEastAsia"/>
                <w:color w:val="auto"/>
                <w:spacing w:val="-20"/>
                <w:szCs w:val="21"/>
              </w:rPr>
            </w:pPr>
          </w:p>
        </w:tc>
        <w:tc>
          <w:tcPr>
            <w:tcW w:w="662" w:type="dxa"/>
            <w:vMerge w:val="continue"/>
            <w:vAlign w:val="center"/>
          </w:tcPr>
          <w:p w14:paraId="22F0200D">
            <w:pPr>
              <w:widowControl/>
              <w:spacing w:line="300" w:lineRule="exact"/>
              <w:jc w:val="center"/>
              <w:rPr>
                <w:rFonts w:ascii="Times New Roman" w:cs="Times New Roman" w:hAnsiTheme="minorEastAsia" w:eastAsiaTheme="minorEastAsia"/>
                <w:color w:val="auto"/>
                <w:spacing w:val="-20"/>
                <w:szCs w:val="21"/>
              </w:rPr>
            </w:pPr>
          </w:p>
        </w:tc>
        <w:tc>
          <w:tcPr>
            <w:tcW w:w="567" w:type="dxa"/>
            <w:vMerge w:val="restart"/>
            <w:vAlign w:val="center"/>
          </w:tcPr>
          <w:p w14:paraId="07AC2AC1">
            <w:pPr>
              <w:widowControl/>
              <w:spacing w:line="300" w:lineRule="exact"/>
              <w:jc w:val="center"/>
              <w:rPr>
                <w:rFonts w:ascii="Times New Roman" w:cs="Times New Roman" w:hAnsiTheme="minorEastAsia" w:eastAsiaTheme="minorEastAsia"/>
                <w:color w:val="auto"/>
                <w:spacing w:val="-20"/>
                <w:szCs w:val="21"/>
              </w:rPr>
            </w:pPr>
            <w:r>
              <w:rPr>
                <w:rFonts w:ascii="Times New Roman" w:cs="Times New Roman" w:hAnsiTheme="minorEastAsia" w:eastAsiaTheme="minorEastAsia"/>
                <w:color w:val="auto"/>
                <w:spacing w:val="-20"/>
                <w:szCs w:val="21"/>
              </w:rPr>
              <w:t>路左</w:t>
            </w:r>
          </w:p>
        </w:tc>
        <w:tc>
          <w:tcPr>
            <w:tcW w:w="708" w:type="dxa"/>
            <w:vMerge w:val="continue"/>
            <w:vAlign w:val="center"/>
          </w:tcPr>
          <w:p w14:paraId="439171B7">
            <w:pPr>
              <w:widowControl/>
              <w:spacing w:line="300" w:lineRule="exact"/>
              <w:jc w:val="center"/>
              <w:rPr>
                <w:rFonts w:ascii="Times New Roman" w:hAnsi="Times New Roman" w:cs="Times New Roman" w:eastAsiaTheme="minorEastAsia"/>
                <w:color w:val="auto"/>
                <w:spacing w:val="-20"/>
                <w:szCs w:val="21"/>
              </w:rPr>
            </w:pPr>
          </w:p>
        </w:tc>
        <w:tc>
          <w:tcPr>
            <w:tcW w:w="709" w:type="dxa"/>
            <w:vMerge w:val="continue"/>
            <w:vAlign w:val="center"/>
          </w:tcPr>
          <w:p w14:paraId="03A15804">
            <w:pPr>
              <w:widowControl/>
              <w:spacing w:line="300" w:lineRule="exact"/>
              <w:jc w:val="center"/>
              <w:rPr>
                <w:rFonts w:ascii="Times New Roman" w:hAnsi="Times New Roman" w:cs="Times New Roman" w:eastAsiaTheme="minorEastAsia"/>
                <w:color w:val="auto"/>
                <w:spacing w:val="-20"/>
                <w:kern w:val="0"/>
                <w:szCs w:val="21"/>
              </w:rPr>
            </w:pPr>
          </w:p>
        </w:tc>
        <w:tc>
          <w:tcPr>
            <w:tcW w:w="992" w:type="dxa"/>
            <w:vMerge w:val="continue"/>
            <w:vAlign w:val="center"/>
          </w:tcPr>
          <w:p w14:paraId="179B9DE3">
            <w:pPr>
              <w:widowControl/>
              <w:spacing w:line="300" w:lineRule="exact"/>
              <w:jc w:val="center"/>
              <w:rPr>
                <w:rFonts w:ascii="Times New Roman" w:hAnsi="Times New Roman" w:cs="Times New Roman" w:eastAsiaTheme="minorEastAsia"/>
                <w:color w:val="auto"/>
                <w:spacing w:val="-20"/>
                <w:kern w:val="0"/>
                <w:szCs w:val="21"/>
              </w:rPr>
            </w:pPr>
          </w:p>
        </w:tc>
        <w:tc>
          <w:tcPr>
            <w:tcW w:w="993" w:type="dxa"/>
            <w:vMerge w:val="continue"/>
            <w:vAlign w:val="center"/>
          </w:tcPr>
          <w:p w14:paraId="0B5EFA99">
            <w:pPr>
              <w:widowControl/>
              <w:spacing w:line="300" w:lineRule="exact"/>
              <w:jc w:val="center"/>
              <w:rPr>
                <w:rFonts w:ascii="Times New Roman" w:hAnsi="Times New Roman" w:cs="Times New Roman" w:eastAsiaTheme="minorEastAsia"/>
                <w:color w:val="auto"/>
                <w:spacing w:val="-20"/>
                <w:kern w:val="0"/>
                <w:szCs w:val="21"/>
              </w:rPr>
            </w:pPr>
          </w:p>
        </w:tc>
        <w:tc>
          <w:tcPr>
            <w:tcW w:w="567" w:type="dxa"/>
            <w:vMerge w:val="continue"/>
            <w:vAlign w:val="center"/>
          </w:tcPr>
          <w:p w14:paraId="0380CABF">
            <w:pPr>
              <w:widowControl/>
              <w:spacing w:line="300" w:lineRule="exact"/>
              <w:jc w:val="center"/>
              <w:rPr>
                <w:rFonts w:ascii="Times New Roman" w:cs="Times New Roman" w:hAnsiTheme="minorEastAsia" w:eastAsiaTheme="minorEastAsia"/>
                <w:color w:val="auto"/>
                <w:spacing w:val="-20"/>
                <w:kern w:val="0"/>
                <w:szCs w:val="21"/>
              </w:rPr>
            </w:pPr>
          </w:p>
        </w:tc>
        <w:tc>
          <w:tcPr>
            <w:tcW w:w="992" w:type="dxa"/>
            <w:vMerge w:val="continue"/>
            <w:vAlign w:val="center"/>
          </w:tcPr>
          <w:p w14:paraId="4272BFF0">
            <w:pPr>
              <w:widowControl/>
              <w:spacing w:line="300" w:lineRule="exact"/>
              <w:jc w:val="center"/>
              <w:rPr>
                <w:rFonts w:ascii="Times New Roman" w:hAnsi="Times New Roman" w:cs="Times New Roman" w:eastAsiaTheme="minorEastAsia"/>
                <w:color w:val="auto"/>
                <w:spacing w:val="-20"/>
                <w:kern w:val="0"/>
                <w:szCs w:val="21"/>
              </w:rPr>
            </w:pPr>
          </w:p>
        </w:tc>
        <w:tc>
          <w:tcPr>
            <w:tcW w:w="709" w:type="dxa"/>
            <w:vMerge w:val="continue"/>
            <w:vAlign w:val="center"/>
          </w:tcPr>
          <w:p w14:paraId="0865DDBF">
            <w:pPr>
              <w:widowControl/>
              <w:spacing w:line="300" w:lineRule="exact"/>
              <w:jc w:val="center"/>
              <w:rPr>
                <w:rFonts w:ascii="Times New Roman" w:hAnsi="Times New Roman" w:cs="Times New Roman" w:eastAsiaTheme="minorEastAsia"/>
                <w:color w:val="auto"/>
                <w:spacing w:val="-20"/>
                <w:kern w:val="0"/>
                <w:szCs w:val="21"/>
              </w:rPr>
            </w:pPr>
          </w:p>
        </w:tc>
        <w:tc>
          <w:tcPr>
            <w:tcW w:w="708" w:type="dxa"/>
            <w:vMerge w:val="continue"/>
            <w:vAlign w:val="center"/>
          </w:tcPr>
          <w:p w14:paraId="619C370A">
            <w:pPr>
              <w:widowControl/>
              <w:spacing w:line="300" w:lineRule="exact"/>
              <w:jc w:val="center"/>
              <w:rPr>
                <w:rFonts w:ascii="Times New Roman" w:hAnsi="Times New Roman" w:cs="Times New Roman" w:eastAsiaTheme="minorEastAsia"/>
                <w:color w:val="auto"/>
                <w:spacing w:val="-20"/>
                <w:kern w:val="0"/>
                <w:szCs w:val="21"/>
              </w:rPr>
            </w:pPr>
          </w:p>
        </w:tc>
        <w:tc>
          <w:tcPr>
            <w:tcW w:w="4436" w:type="dxa"/>
            <w:vMerge w:val="continue"/>
            <w:vAlign w:val="center"/>
          </w:tcPr>
          <w:p w14:paraId="09C95EC1">
            <w:pPr>
              <w:widowControl/>
              <w:spacing w:line="300" w:lineRule="exact"/>
              <w:rPr>
                <w:rFonts w:ascii="Times New Roman" w:cs="Times New Roman" w:hAnsiTheme="minorEastAsia" w:eastAsiaTheme="minorEastAsia"/>
                <w:color w:val="auto"/>
                <w:spacing w:val="0"/>
                <w:kern w:val="0"/>
                <w:sz w:val="21"/>
                <w:szCs w:val="21"/>
              </w:rPr>
            </w:pPr>
          </w:p>
        </w:tc>
        <w:tc>
          <w:tcPr>
            <w:tcW w:w="2898" w:type="dxa"/>
            <w:vMerge w:val="continue"/>
            <w:vAlign w:val="center"/>
          </w:tcPr>
          <w:p w14:paraId="3306FDCE">
            <w:pPr>
              <w:widowControl/>
              <w:adjustRightInd w:val="0"/>
              <w:snapToGrid w:val="0"/>
              <w:jc w:val="center"/>
              <w:rPr>
                <w:rFonts w:ascii="Times New Roman" w:hAnsi="Times New Roman" w:cs="Times New Roman" w:eastAsiaTheme="minorEastAsia"/>
                <w:snapToGrid w:val="0"/>
                <w:color w:val="auto"/>
                <w:spacing w:val="-20"/>
                <w:kern w:val="0"/>
                <w:szCs w:val="21"/>
              </w:rPr>
            </w:pPr>
          </w:p>
        </w:tc>
      </w:tr>
      <w:tr w14:paraId="7DCD0BB7">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65" w:hRule="atLeast"/>
          <w:tblHeader/>
          <w:jc w:val="center"/>
        </w:trPr>
        <w:tc>
          <w:tcPr>
            <w:tcW w:w="568" w:type="dxa"/>
            <w:vMerge w:val="continue"/>
            <w:noWrap/>
            <w:vAlign w:val="center"/>
          </w:tcPr>
          <w:p w14:paraId="0E5EEFF3">
            <w:pPr>
              <w:widowControl/>
              <w:spacing w:line="300" w:lineRule="exact"/>
              <w:jc w:val="center"/>
              <w:rPr>
                <w:rFonts w:ascii="Times New Roman" w:hAnsi="Times New Roman" w:cs="Times New Roman" w:eastAsiaTheme="minorEastAsia"/>
                <w:color w:val="auto"/>
                <w:spacing w:val="-20"/>
                <w:kern w:val="0"/>
                <w:szCs w:val="21"/>
              </w:rPr>
            </w:pPr>
          </w:p>
        </w:tc>
        <w:tc>
          <w:tcPr>
            <w:tcW w:w="694" w:type="dxa"/>
            <w:vMerge w:val="continue"/>
            <w:vAlign w:val="center"/>
          </w:tcPr>
          <w:p w14:paraId="760A8F0D">
            <w:pPr>
              <w:widowControl/>
              <w:spacing w:line="300" w:lineRule="exact"/>
              <w:jc w:val="center"/>
              <w:rPr>
                <w:rFonts w:ascii="Times New Roman" w:hAnsi="Times New Roman" w:cs="Times New Roman" w:eastAsiaTheme="minorEastAsia"/>
                <w:color w:val="auto"/>
                <w:spacing w:val="-20"/>
                <w:kern w:val="0"/>
                <w:szCs w:val="21"/>
              </w:rPr>
            </w:pPr>
          </w:p>
        </w:tc>
        <w:tc>
          <w:tcPr>
            <w:tcW w:w="1134" w:type="dxa"/>
            <w:vAlign w:val="center"/>
          </w:tcPr>
          <w:p w14:paraId="447580B3">
            <w:pPr>
              <w:widowControl/>
              <w:spacing w:line="300" w:lineRule="exact"/>
              <w:jc w:val="center"/>
              <w:rPr>
                <w:rFonts w:ascii="Times New Roman" w:hAnsi="Times New Roman" w:cs="Times New Roman" w:eastAsiaTheme="minorEastAsia"/>
                <w:color w:val="auto"/>
                <w:spacing w:val="-20"/>
                <w:kern w:val="0"/>
                <w:szCs w:val="21"/>
              </w:rPr>
            </w:pPr>
            <w:r>
              <w:rPr>
                <w:rFonts w:ascii="Times New Roman" w:hAnsi="Times New Roman" w:cs="Times New Roman" w:eastAsiaTheme="minorEastAsia"/>
                <w:color w:val="auto"/>
                <w:spacing w:val="-20"/>
                <w:szCs w:val="21"/>
              </w:rPr>
              <w:t>K</w:t>
            </w:r>
            <w:r>
              <w:rPr>
                <w:rFonts w:hint="eastAsia" w:ascii="Times New Roman" w:hAnsi="Times New Roman" w:cs="Times New Roman" w:eastAsiaTheme="minorEastAsia"/>
                <w:color w:val="auto"/>
                <w:spacing w:val="-20"/>
                <w:szCs w:val="21"/>
              </w:rPr>
              <w:t>44</w:t>
            </w:r>
            <w:r>
              <w:rPr>
                <w:rFonts w:ascii="Times New Roman" w:hAnsi="Times New Roman" w:cs="Times New Roman" w:eastAsiaTheme="minorEastAsia"/>
                <w:color w:val="auto"/>
                <w:spacing w:val="-20"/>
                <w:szCs w:val="21"/>
              </w:rPr>
              <w:t>+</w:t>
            </w:r>
            <w:r>
              <w:rPr>
                <w:rFonts w:hint="eastAsia" w:ascii="Times New Roman" w:hAnsi="Times New Roman" w:cs="Times New Roman" w:eastAsiaTheme="minorEastAsia"/>
                <w:color w:val="auto"/>
                <w:spacing w:val="-20"/>
                <w:szCs w:val="21"/>
              </w:rPr>
              <w:t>950</w:t>
            </w:r>
            <w:r>
              <w:rPr>
                <w:rFonts w:ascii="Times New Roman" w:cs="Times New Roman" w:hAnsiTheme="minorEastAsia" w:eastAsiaTheme="minorEastAsia"/>
                <w:color w:val="auto"/>
                <w:spacing w:val="-20"/>
                <w:szCs w:val="21"/>
              </w:rPr>
              <w:t>～</w:t>
            </w:r>
            <w:r>
              <w:rPr>
                <w:rFonts w:ascii="Times New Roman" w:hAnsi="Times New Roman" w:cs="Times New Roman" w:eastAsiaTheme="minorEastAsia"/>
                <w:color w:val="auto"/>
                <w:spacing w:val="-20"/>
                <w:szCs w:val="21"/>
              </w:rPr>
              <w:t>K</w:t>
            </w:r>
            <w:r>
              <w:rPr>
                <w:rFonts w:hint="eastAsia" w:ascii="Times New Roman" w:hAnsi="Times New Roman" w:cs="Times New Roman" w:eastAsiaTheme="minorEastAsia"/>
                <w:color w:val="auto"/>
                <w:spacing w:val="-20"/>
                <w:szCs w:val="21"/>
              </w:rPr>
              <w:t>45</w:t>
            </w:r>
            <w:r>
              <w:rPr>
                <w:rFonts w:ascii="Times New Roman" w:hAnsi="Times New Roman" w:cs="Times New Roman" w:eastAsiaTheme="minorEastAsia"/>
                <w:color w:val="auto"/>
                <w:spacing w:val="-20"/>
                <w:szCs w:val="21"/>
              </w:rPr>
              <w:t>+</w:t>
            </w:r>
            <w:r>
              <w:rPr>
                <w:rFonts w:hint="eastAsia" w:ascii="Times New Roman" w:hAnsi="Times New Roman" w:cs="Times New Roman" w:eastAsiaTheme="minorEastAsia"/>
                <w:color w:val="auto"/>
                <w:spacing w:val="-20"/>
                <w:szCs w:val="21"/>
              </w:rPr>
              <w:t>00</w:t>
            </w:r>
            <w:r>
              <w:rPr>
                <w:rFonts w:ascii="Times New Roman" w:hAnsi="Times New Roman" w:cs="Times New Roman" w:eastAsiaTheme="minorEastAsia"/>
                <w:color w:val="auto"/>
                <w:spacing w:val="-20"/>
                <w:szCs w:val="21"/>
              </w:rPr>
              <w:t>0</w:t>
            </w:r>
          </w:p>
        </w:tc>
        <w:tc>
          <w:tcPr>
            <w:tcW w:w="851" w:type="dxa"/>
            <w:vMerge w:val="continue"/>
            <w:vAlign w:val="center"/>
          </w:tcPr>
          <w:p w14:paraId="1FAEE4FA">
            <w:pPr>
              <w:widowControl/>
              <w:spacing w:line="300" w:lineRule="exact"/>
              <w:jc w:val="center"/>
              <w:rPr>
                <w:rFonts w:ascii="Times New Roman" w:cs="Times New Roman" w:hAnsiTheme="minorEastAsia" w:eastAsiaTheme="minorEastAsia"/>
                <w:color w:val="auto"/>
                <w:spacing w:val="-20"/>
                <w:szCs w:val="21"/>
              </w:rPr>
            </w:pPr>
          </w:p>
        </w:tc>
        <w:tc>
          <w:tcPr>
            <w:tcW w:w="850" w:type="dxa"/>
            <w:vMerge w:val="continue"/>
            <w:vAlign w:val="center"/>
          </w:tcPr>
          <w:p w14:paraId="2D9E46E9">
            <w:pPr>
              <w:widowControl/>
              <w:spacing w:line="300" w:lineRule="exact"/>
              <w:jc w:val="center"/>
              <w:rPr>
                <w:rFonts w:ascii="Times New Roman" w:hAnsi="Times New Roman" w:cs="Times New Roman" w:eastAsiaTheme="minorEastAsia"/>
                <w:color w:val="auto"/>
                <w:spacing w:val="-20"/>
                <w:kern w:val="0"/>
                <w:szCs w:val="21"/>
              </w:rPr>
            </w:pPr>
          </w:p>
        </w:tc>
        <w:tc>
          <w:tcPr>
            <w:tcW w:w="661" w:type="dxa"/>
            <w:vMerge w:val="continue"/>
            <w:vAlign w:val="center"/>
          </w:tcPr>
          <w:p w14:paraId="3064830B">
            <w:pPr>
              <w:widowControl/>
              <w:spacing w:line="300" w:lineRule="exact"/>
              <w:jc w:val="center"/>
              <w:rPr>
                <w:rFonts w:ascii="Times New Roman" w:cs="Times New Roman" w:hAnsiTheme="minorEastAsia" w:eastAsiaTheme="minorEastAsia"/>
                <w:color w:val="auto"/>
                <w:spacing w:val="-20"/>
                <w:szCs w:val="21"/>
              </w:rPr>
            </w:pPr>
          </w:p>
        </w:tc>
        <w:tc>
          <w:tcPr>
            <w:tcW w:w="662" w:type="dxa"/>
            <w:vMerge w:val="continue"/>
            <w:vAlign w:val="center"/>
          </w:tcPr>
          <w:p w14:paraId="42FD3D38">
            <w:pPr>
              <w:widowControl/>
              <w:spacing w:line="300" w:lineRule="exact"/>
              <w:jc w:val="center"/>
              <w:rPr>
                <w:rFonts w:ascii="Times New Roman" w:cs="Times New Roman" w:hAnsiTheme="minorEastAsia" w:eastAsiaTheme="minorEastAsia"/>
                <w:color w:val="auto"/>
                <w:spacing w:val="-20"/>
                <w:szCs w:val="21"/>
              </w:rPr>
            </w:pPr>
          </w:p>
        </w:tc>
        <w:tc>
          <w:tcPr>
            <w:tcW w:w="662" w:type="dxa"/>
            <w:vMerge w:val="continue"/>
            <w:vAlign w:val="center"/>
          </w:tcPr>
          <w:p w14:paraId="4A701B48">
            <w:pPr>
              <w:widowControl/>
              <w:spacing w:line="300" w:lineRule="exact"/>
              <w:jc w:val="center"/>
              <w:rPr>
                <w:rFonts w:ascii="Times New Roman" w:cs="Times New Roman" w:hAnsiTheme="minorEastAsia" w:eastAsiaTheme="minorEastAsia"/>
                <w:color w:val="auto"/>
                <w:spacing w:val="-20"/>
                <w:szCs w:val="21"/>
              </w:rPr>
            </w:pPr>
          </w:p>
        </w:tc>
        <w:tc>
          <w:tcPr>
            <w:tcW w:w="567" w:type="dxa"/>
            <w:vMerge w:val="continue"/>
            <w:vAlign w:val="center"/>
          </w:tcPr>
          <w:p w14:paraId="618D43A2">
            <w:pPr>
              <w:widowControl/>
              <w:spacing w:line="300" w:lineRule="exact"/>
              <w:jc w:val="center"/>
              <w:rPr>
                <w:rFonts w:ascii="Times New Roman" w:cs="Times New Roman" w:hAnsiTheme="minorEastAsia" w:eastAsiaTheme="minorEastAsia"/>
                <w:color w:val="auto"/>
                <w:spacing w:val="-20"/>
                <w:szCs w:val="21"/>
              </w:rPr>
            </w:pPr>
          </w:p>
        </w:tc>
        <w:tc>
          <w:tcPr>
            <w:tcW w:w="708" w:type="dxa"/>
            <w:vMerge w:val="continue"/>
            <w:vAlign w:val="center"/>
          </w:tcPr>
          <w:p w14:paraId="763DDAF0">
            <w:pPr>
              <w:widowControl/>
              <w:spacing w:line="300" w:lineRule="exact"/>
              <w:jc w:val="center"/>
              <w:rPr>
                <w:rFonts w:ascii="Times New Roman" w:hAnsi="Times New Roman" w:cs="Times New Roman" w:eastAsiaTheme="minorEastAsia"/>
                <w:color w:val="auto"/>
                <w:spacing w:val="-20"/>
                <w:szCs w:val="21"/>
              </w:rPr>
            </w:pPr>
          </w:p>
        </w:tc>
        <w:tc>
          <w:tcPr>
            <w:tcW w:w="709" w:type="dxa"/>
            <w:vMerge w:val="continue"/>
            <w:vAlign w:val="center"/>
          </w:tcPr>
          <w:p w14:paraId="37161EE2">
            <w:pPr>
              <w:widowControl/>
              <w:spacing w:line="300" w:lineRule="exact"/>
              <w:jc w:val="center"/>
              <w:rPr>
                <w:rFonts w:ascii="Times New Roman" w:hAnsi="Times New Roman" w:cs="Times New Roman" w:eastAsiaTheme="minorEastAsia"/>
                <w:color w:val="auto"/>
                <w:spacing w:val="-20"/>
                <w:kern w:val="0"/>
                <w:szCs w:val="21"/>
              </w:rPr>
            </w:pPr>
          </w:p>
        </w:tc>
        <w:tc>
          <w:tcPr>
            <w:tcW w:w="992" w:type="dxa"/>
            <w:vMerge w:val="continue"/>
            <w:vAlign w:val="center"/>
          </w:tcPr>
          <w:p w14:paraId="24CFE0F7">
            <w:pPr>
              <w:widowControl/>
              <w:spacing w:line="300" w:lineRule="exact"/>
              <w:jc w:val="center"/>
              <w:rPr>
                <w:rFonts w:ascii="Times New Roman" w:hAnsi="Times New Roman" w:cs="Times New Roman" w:eastAsiaTheme="minorEastAsia"/>
                <w:color w:val="auto"/>
                <w:spacing w:val="-20"/>
                <w:kern w:val="0"/>
                <w:szCs w:val="21"/>
              </w:rPr>
            </w:pPr>
          </w:p>
        </w:tc>
        <w:tc>
          <w:tcPr>
            <w:tcW w:w="993" w:type="dxa"/>
            <w:vMerge w:val="continue"/>
            <w:vAlign w:val="center"/>
          </w:tcPr>
          <w:p w14:paraId="2F0FCCAD">
            <w:pPr>
              <w:widowControl/>
              <w:spacing w:line="300" w:lineRule="exact"/>
              <w:jc w:val="center"/>
              <w:rPr>
                <w:rFonts w:ascii="Times New Roman" w:hAnsi="Times New Roman" w:cs="Times New Roman" w:eastAsiaTheme="minorEastAsia"/>
                <w:color w:val="auto"/>
                <w:spacing w:val="-20"/>
                <w:kern w:val="0"/>
                <w:szCs w:val="21"/>
              </w:rPr>
            </w:pPr>
          </w:p>
        </w:tc>
        <w:tc>
          <w:tcPr>
            <w:tcW w:w="567" w:type="dxa"/>
            <w:vMerge w:val="continue"/>
            <w:vAlign w:val="center"/>
          </w:tcPr>
          <w:p w14:paraId="7703352E">
            <w:pPr>
              <w:widowControl/>
              <w:spacing w:line="300" w:lineRule="exact"/>
              <w:jc w:val="center"/>
              <w:rPr>
                <w:rFonts w:ascii="Times New Roman" w:cs="Times New Roman" w:hAnsiTheme="minorEastAsia" w:eastAsiaTheme="minorEastAsia"/>
                <w:color w:val="auto"/>
                <w:spacing w:val="-20"/>
                <w:kern w:val="0"/>
                <w:szCs w:val="21"/>
              </w:rPr>
            </w:pPr>
          </w:p>
        </w:tc>
        <w:tc>
          <w:tcPr>
            <w:tcW w:w="992" w:type="dxa"/>
            <w:vMerge w:val="continue"/>
            <w:vAlign w:val="center"/>
          </w:tcPr>
          <w:p w14:paraId="6307C281">
            <w:pPr>
              <w:widowControl/>
              <w:spacing w:line="300" w:lineRule="exact"/>
              <w:jc w:val="center"/>
              <w:rPr>
                <w:rFonts w:ascii="Times New Roman" w:hAnsi="Times New Roman" w:cs="Times New Roman" w:eastAsiaTheme="minorEastAsia"/>
                <w:color w:val="auto"/>
                <w:spacing w:val="-20"/>
                <w:kern w:val="0"/>
                <w:szCs w:val="21"/>
              </w:rPr>
            </w:pPr>
          </w:p>
        </w:tc>
        <w:tc>
          <w:tcPr>
            <w:tcW w:w="709" w:type="dxa"/>
            <w:vMerge w:val="continue"/>
            <w:vAlign w:val="center"/>
          </w:tcPr>
          <w:p w14:paraId="5C7BDCDD">
            <w:pPr>
              <w:widowControl/>
              <w:spacing w:line="300" w:lineRule="exact"/>
              <w:jc w:val="center"/>
              <w:rPr>
                <w:rFonts w:ascii="Times New Roman" w:hAnsi="Times New Roman" w:cs="Times New Roman" w:eastAsiaTheme="minorEastAsia"/>
                <w:color w:val="auto"/>
                <w:spacing w:val="-20"/>
                <w:kern w:val="0"/>
                <w:szCs w:val="21"/>
              </w:rPr>
            </w:pPr>
          </w:p>
        </w:tc>
        <w:tc>
          <w:tcPr>
            <w:tcW w:w="708" w:type="dxa"/>
            <w:vMerge w:val="continue"/>
            <w:vAlign w:val="center"/>
          </w:tcPr>
          <w:p w14:paraId="278231CE">
            <w:pPr>
              <w:widowControl/>
              <w:spacing w:line="300" w:lineRule="exact"/>
              <w:jc w:val="center"/>
              <w:rPr>
                <w:rFonts w:ascii="Times New Roman" w:hAnsi="Times New Roman" w:cs="Times New Roman" w:eastAsiaTheme="minorEastAsia"/>
                <w:color w:val="auto"/>
                <w:spacing w:val="-20"/>
                <w:kern w:val="0"/>
                <w:szCs w:val="21"/>
              </w:rPr>
            </w:pPr>
          </w:p>
        </w:tc>
        <w:tc>
          <w:tcPr>
            <w:tcW w:w="4436" w:type="dxa"/>
            <w:vMerge w:val="continue"/>
            <w:vAlign w:val="center"/>
          </w:tcPr>
          <w:p w14:paraId="036E919D">
            <w:pPr>
              <w:widowControl/>
              <w:spacing w:line="300" w:lineRule="exact"/>
              <w:rPr>
                <w:rFonts w:ascii="Times New Roman" w:cs="Times New Roman" w:hAnsiTheme="minorEastAsia" w:eastAsiaTheme="minorEastAsia"/>
                <w:color w:val="auto"/>
                <w:spacing w:val="0"/>
                <w:kern w:val="0"/>
                <w:sz w:val="21"/>
                <w:szCs w:val="21"/>
              </w:rPr>
            </w:pPr>
          </w:p>
        </w:tc>
        <w:tc>
          <w:tcPr>
            <w:tcW w:w="2898" w:type="dxa"/>
            <w:vMerge w:val="continue"/>
            <w:vAlign w:val="center"/>
          </w:tcPr>
          <w:p w14:paraId="007997F3">
            <w:pPr>
              <w:widowControl/>
              <w:adjustRightInd w:val="0"/>
              <w:snapToGrid w:val="0"/>
              <w:jc w:val="center"/>
              <w:rPr>
                <w:rFonts w:ascii="Times New Roman" w:hAnsi="Times New Roman" w:cs="Times New Roman" w:eastAsiaTheme="minorEastAsia"/>
                <w:snapToGrid w:val="0"/>
                <w:color w:val="auto"/>
                <w:spacing w:val="-20"/>
                <w:kern w:val="0"/>
                <w:szCs w:val="21"/>
              </w:rPr>
            </w:pPr>
          </w:p>
        </w:tc>
      </w:tr>
      <w:tr w14:paraId="0506734D">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2153" w:hRule="atLeast"/>
          <w:tblHeader/>
          <w:jc w:val="center"/>
        </w:trPr>
        <w:tc>
          <w:tcPr>
            <w:tcW w:w="568" w:type="dxa"/>
            <w:noWrap/>
            <w:vAlign w:val="center"/>
          </w:tcPr>
          <w:p w14:paraId="15248B4E">
            <w:pPr>
              <w:widowControl/>
              <w:spacing w:line="300" w:lineRule="exact"/>
              <w:jc w:val="center"/>
              <w:rPr>
                <w:rFonts w:ascii="Times New Roman" w:hAnsi="Times New Roman" w:cs="Times New Roman" w:eastAsiaTheme="minorEastAsia"/>
                <w:color w:val="auto"/>
                <w:spacing w:val="-20"/>
                <w:kern w:val="0"/>
                <w:szCs w:val="21"/>
              </w:rPr>
            </w:pPr>
            <w:r>
              <w:rPr>
                <w:rFonts w:ascii="Times New Roman" w:hAnsi="Times New Roman" w:cs="Times New Roman" w:eastAsiaTheme="minorEastAsia"/>
                <w:color w:val="auto"/>
                <w:spacing w:val="-20"/>
                <w:kern w:val="0"/>
                <w:szCs w:val="21"/>
              </w:rPr>
              <w:t>23</w:t>
            </w:r>
          </w:p>
        </w:tc>
        <w:tc>
          <w:tcPr>
            <w:tcW w:w="694" w:type="dxa"/>
            <w:vMerge w:val="continue"/>
            <w:vAlign w:val="center"/>
          </w:tcPr>
          <w:p w14:paraId="4525CB0B">
            <w:pPr>
              <w:widowControl/>
              <w:spacing w:line="300" w:lineRule="exact"/>
              <w:jc w:val="center"/>
              <w:rPr>
                <w:rFonts w:ascii="Times New Roman" w:hAnsi="Times New Roman" w:cs="Times New Roman" w:eastAsiaTheme="minorEastAsia"/>
                <w:color w:val="auto"/>
                <w:spacing w:val="-20"/>
                <w:kern w:val="0"/>
                <w:szCs w:val="21"/>
              </w:rPr>
            </w:pPr>
          </w:p>
        </w:tc>
        <w:tc>
          <w:tcPr>
            <w:tcW w:w="1134" w:type="dxa"/>
            <w:vAlign w:val="center"/>
          </w:tcPr>
          <w:p w14:paraId="5FA12D56">
            <w:pPr>
              <w:widowControl/>
              <w:spacing w:line="300" w:lineRule="exact"/>
              <w:jc w:val="center"/>
              <w:rPr>
                <w:rFonts w:ascii="Times New Roman" w:hAnsi="Times New Roman" w:cs="Times New Roman" w:eastAsiaTheme="minorEastAsia"/>
                <w:color w:val="auto"/>
                <w:spacing w:val="-20"/>
                <w:kern w:val="0"/>
                <w:szCs w:val="21"/>
              </w:rPr>
            </w:pPr>
            <w:r>
              <w:rPr>
                <w:rFonts w:ascii="Times New Roman" w:hAnsi="Times New Roman" w:cs="Times New Roman" w:eastAsiaTheme="minorEastAsia"/>
                <w:color w:val="auto"/>
                <w:spacing w:val="-20"/>
                <w:szCs w:val="21"/>
              </w:rPr>
              <w:t>K</w:t>
            </w:r>
            <w:r>
              <w:rPr>
                <w:rFonts w:hint="eastAsia" w:ascii="Times New Roman" w:hAnsi="Times New Roman" w:cs="Times New Roman" w:eastAsiaTheme="minorEastAsia"/>
                <w:color w:val="auto"/>
                <w:spacing w:val="-20"/>
                <w:szCs w:val="21"/>
              </w:rPr>
              <w:t>45</w:t>
            </w:r>
            <w:r>
              <w:rPr>
                <w:rFonts w:ascii="Times New Roman" w:hAnsi="Times New Roman" w:cs="Times New Roman" w:eastAsiaTheme="minorEastAsia"/>
                <w:color w:val="auto"/>
                <w:spacing w:val="-20"/>
                <w:szCs w:val="21"/>
              </w:rPr>
              <w:t>+</w:t>
            </w:r>
            <w:r>
              <w:rPr>
                <w:rFonts w:hint="eastAsia" w:ascii="Times New Roman" w:hAnsi="Times New Roman" w:cs="Times New Roman" w:eastAsiaTheme="minorEastAsia"/>
                <w:color w:val="auto"/>
                <w:spacing w:val="-20"/>
                <w:szCs w:val="21"/>
              </w:rPr>
              <w:t>730</w:t>
            </w:r>
            <w:r>
              <w:rPr>
                <w:rFonts w:ascii="Times New Roman" w:cs="Times New Roman" w:hAnsiTheme="minorEastAsia" w:eastAsiaTheme="minorEastAsia"/>
                <w:color w:val="auto"/>
                <w:spacing w:val="-20"/>
                <w:szCs w:val="21"/>
              </w:rPr>
              <w:t>～</w:t>
            </w:r>
            <w:r>
              <w:rPr>
                <w:rFonts w:ascii="Times New Roman" w:hAnsi="Times New Roman" w:cs="Times New Roman" w:eastAsiaTheme="minorEastAsia"/>
                <w:color w:val="auto"/>
                <w:spacing w:val="-20"/>
                <w:szCs w:val="21"/>
              </w:rPr>
              <w:t>K</w:t>
            </w:r>
            <w:r>
              <w:rPr>
                <w:rFonts w:hint="eastAsia" w:ascii="Times New Roman" w:hAnsi="Times New Roman" w:cs="Times New Roman" w:eastAsiaTheme="minorEastAsia"/>
                <w:color w:val="auto"/>
                <w:spacing w:val="-20"/>
                <w:szCs w:val="21"/>
              </w:rPr>
              <w:t>45</w:t>
            </w:r>
            <w:r>
              <w:rPr>
                <w:rFonts w:ascii="Times New Roman" w:hAnsi="Times New Roman" w:cs="Times New Roman" w:eastAsiaTheme="minorEastAsia"/>
                <w:color w:val="auto"/>
                <w:spacing w:val="-20"/>
                <w:szCs w:val="21"/>
              </w:rPr>
              <w:t>+</w:t>
            </w:r>
            <w:r>
              <w:rPr>
                <w:rFonts w:hint="eastAsia" w:ascii="Times New Roman" w:hAnsi="Times New Roman" w:cs="Times New Roman" w:eastAsiaTheme="minorEastAsia"/>
                <w:color w:val="auto"/>
                <w:spacing w:val="-20"/>
                <w:szCs w:val="21"/>
              </w:rPr>
              <w:t>83</w:t>
            </w:r>
            <w:r>
              <w:rPr>
                <w:rFonts w:ascii="Times New Roman" w:hAnsi="Times New Roman" w:cs="Times New Roman" w:eastAsiaTheme="minorEastAsia"/>
                <w:color w:val="auto"/>
                <w:spacing w:val="-20"/>
                <w:szCs w:val="21"/>
              </w:rPr>
              <w:t>0</w:t>
            </w:r>
          </w:p>
        </w:tc>
        <w:tc>
          <w:tcPr>
            <w:tcW w:w="851" w:type="dxa"/>
            <w:vAlign w:val="center"/>
          </w:tcPr>
          <w:p w14:paraId="20162177">
            <w:pPr>
              <w:spacing w:line="300" w:lineRule="exact"/>
              <w:jc w:val="center"/>
              <w:rPr>
                <w:rFonts w:ascii="Times New Roman" w:hAnsi="Times New Roman" w:cs="Times New Roman" w:eastAsiaTheme="minorEastAsia"/>
                <w:color w:val="auto"/>
                <w:spacing w:val="-20"/>
                <w:szCs w:val="21"/>
              </w:rPr>
            </w:pPr>
            <w:r>
              <w:rPr>
                <w:rFonts w:hint="eastAsia" w:ascii="Times New Roman" w:cs="Times New Roman" w:hAnsiTheme="minorEastAsia" w:eastAsiaTheme="minorEastAsia"/>
                <w:snapToGrid w:val="0"/>
                <w:color w:val="auto"/>
                <w:spacing w:val="-20"/>
                <w:kern w:val="0"/>
                <w:szCs w:val="21"/>
              </w:rPr>
              <w:t>布鲁胡其</w:t>
            </w:r>
          </w:p>
        </w:tc>
        <w:tc>
          <w:tcPr>
            <w:tcW w:w="850" w:type="dxa"/>
            <w:vMerge w:val="continue"/>
            <w:vAlign w:val="center"/>
          </w:tcPr>
          <w:p w14:paraId="599D20D0">
            <w:pPr>
              <w:widowControl/>
              <w:spacing w:line="300" w:lineRule="exact"/>
              <w:jc w:val="center"/>
              <w:rPr>
                <w:rFonts w:ascii="Times New Roman" w:hAnsi="Times New Roman" w:cs="Times New Roman" w:eastAsiaTheme="minorEastAsia"/>
                <w:color w:val="auto"/>
                <w:spacing w:val="-20"/>
                <w:kern w:val="0"/>
                <w:szCs w:val="21"/>
              </w:rPr>
            </w:pPr>
          </w:p>
        </w:tc>
        <w:tc>
          <w:tcPr>
            <w:tcW w:w="661" w:type="dxa"/>
            <w:vAlign w:val="center"/>
          </w:tcPr>
          <w:p w14:paraId="7BAA6D53">
            <w:pPr>
              <w:spacing w:line="300" w:lineRule="exact"/>
              <w:jc w:val="center"/>
              <w:rPr>
                <w:rFonts w:ascii="Times New Roman" w:hAnsi="Times New Roman" w:cs="Times New Roman" w:eastAsiaTheme="minorEastAsia"/>
                <w:color w:val="auto"/>
                <w:spacing w:val="-20"/>
                <w:kern w:val="0"/>
                <w:szCs w:val="21"/>
              </w:rPr>
            </w:pPr>
            <w:r>
              <w:rPr>
                <w:rFonts w:hint="eastAsia" w:ascii="Times New Roman" w:cs="Times New Roman" w:hAnsiTheme="minorEastAsia" w:eastAsiaTheme="minorEastAsia"/>
                <w:color w:val="auto"/>
                <w:spacing w:val="-20"/>
                <w:szCs w:val="21"/>
              </w:rPr>
              <w:t>两侧</w:t>
            </w:r>
          </w:p>
        </w:tc>
        <w:tc>
          <w:tcPr>
            <w:tcW w:w="662" w:type="dxa"/>
            <w:vAlign w:val="center"/>
          </w:tcPr>
          <w:p w14:paraId="4C663BEE">
            <w:pPr>
              <w:spacing w:line="300" w:lineRule="exact"/>
              <w:jc w:val="center"/>
              <w:rPr>
                <w:rFonts w:ascii="Times New Roman" w:cs="Times New Roman" w:hAnsiTheme="minorEastAsia" w:eastAsiaTheme="minorEastAsia"/>
                <w:color w:val="auto"/>
                <w:spacing w:val="-20"/>
                <w:szCs w:val="21"/>
              </w:rPr>
            </w:pPr>
            <w:r>
              <w:rPr>
                <w:rFonts w:hint="eastAsia" w:ascii="Times New Roman" w:cs="Times New Roman" w:hAnsiTheme="minorEastAsia" w:eastAsiaTheme="minorEastAsia"/>
                <w:color w:val="auto"/>
                <w:spacing w:val="-20"/>
                <w:szCs w:val="21"/>
              </w:rPr>
              <w:t>15</w:t>
            </w:r>
          </w:p>
        </w:tc>
        <w:tc>
          <w:tcPr>
            <w:tcW w:w="662" w:type="dxa"/>
            <w:vAlign w:val="center"/>
          </w:tcPr>
          <w:p w14:paraId="3684BE31">
            <w:pPr>
              <w:spacing w:line="300" w:lineRule="exact"/>
              <w:jc w:val="center"/>
              <w:rPr>
                <w:rFonts w:ascii="Times New Roman" w:cs="Times New Roman" w:hAnsiTheme="minorEastAsia" w:eastAsiaTheme="minorEastAsia"/>
                <w:color w:val="auto"/>
                <w:spacing w:val="-20"/>
                <w:szCs w:val="21"/>
              </w:rPr>
            </w:pPr>
            <w:r>
              <w:rPr>
                <w:rFonts w:hint="eastAsia" w:ascii="Times New Roman" w:cs="Times New Roman" w:hAnsiTheme="minorEastAsia" w:eastAsiaTheme="minorEastAsia"/>
                <w:color w:val="auto"/>
                <w:spacing w:val="-20"/>
                <w:szCs w:val="21"/>
              </w:rPr>
              <w:t>2</w:t>
            </w:r>
          </w:p>
        </w:tc>
        <w:tc>
          <w:tcPr>
            <w:tcW w:w="567" w:type="dxa"/>
            <w:vAlign w:val="center"/>
          </w:tcPr>
          <w:p w14:paraId="1A47F5A1">
            <w:pPr>
              <w:spacing w:line="300" w:lineRule="exact"/>
              <w:jc w:val="center"/>
              <w:rPr>
                <w:rFonts w:ascii="Times New Roman" w:hAnsi="Times New Roman" w:cs="Times New Roman" w:eastAsiaTheme="minorEastAsia"/>
                <w:color w:val="auto"/>
                <w:spacing w:val="-20"/>
                <w:kern w:val="0"/>
                <w:szCs w:val="21"/>
              </w:rPr>
            </w:pPr>
            <w:r>
              <w:rPr>
                <w:rFonts w:hint="eastAsia" w:ascii="Times New Roman" w:cs="Times New Roman" w:hAnsiTheme="minorEastAsia" w:eastAsiaTheme="minorEastAsia"/>
                <w:color w:val="auto"/>
                <w:spacing w:val="-20"/>
                <w:szCs w:val="21"/>
              </w:rPr>
              <w:t>两侧</w:t>
            </w:r>
          </w:p>
        </w:tc>
        <w:tc>
          <w:tcPr>
            <w:tcW w:w="708" w:type="dxa"/>
            <w:vAlign w:val="center"/>
          </w:tcPr>
          <w:p w14:paraId="21279274">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szCs w:val="21"/>
              </w:rPr>
              <w:t>23</w:t>
            </w:r>
          </w:p>
        </w:tc>
        <w:tc>
          <w:tcPr>
            <w:tcW w:w="709" w:type="dxa"/>
            <w:vAlign w:val="center"/>
          </w:tcPr>
          <w:p w14:paraId="3474CA4C">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2.5</w:t>
            </w:r>
          </w:p>
        </w:tc>
        <w:tc>
          <w:tcPr>
            <w:tcW w:w="992" w:type="dxa"/>
            <w:vAlign w:val="center"/>
          </w:tcPr>
          <w:p w14:paraId="58AE59D7">
            <w:pPr>
              <w:widowControl/>
              <w:spacing w:line="300" w:lineRule="exact"/>
              <w:jc w:val="center"/>
              <w:rPr>
                <w:rFonts w:ascii="Times New Roman" w:hAnsi="Times New Roman" w:cs="Times New Roman" w:eastAsiaTheme="minorEastAsia"/>
                <w:color w:val="auto"/>
                <w:spacing w:val="-20"/>
                <w:kern w:val="0"/>
                <w:szCs w:val="21"/>
              </w:rPr>
            </w:pPr>
            <w:r>
              <w:rPr>
                <w:rFonts w:ascii="Times New Roman" w:hAnsi="Times New Roman" w:cs="Times New Roman" w:eastAsiaTheme="minorEastAsia"/>
                <w:color w:val="auto"/>
                <w:spacing w:val="-20"/>
                <w:kern w:val="0"/>
                <w:szCs w:val="21"/>
              </w:rPr>
              <w:t>0</w:t>
            </w:r>
          </w:p>
        </w:tc>
        <w:tc>
          <w:tcPr>
            <w:tcW w:w="993" w:type="dxa"/>
            <w:vAlign w:val="center"/>
          </w:tcPr>
          <w:p w14:paraId="47C3C349">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3.0</w:t>
            </w:r>
          </w:p>
        </w:tc>
        <w:tc>
          <w:tcPr>
            <w:tcW w:w="567" w:type="dxa"/>
            <w:vAlign w:val="center"/>
          </w:tcPr>
          <w:p w14:paraId="7F4AA0B7">
            <w:pPr>
              <w:widowControl/>
              <w:spacing w:line="300" w:lineRule="exact"/>
              <w:jc w:val="center"/>
              <w:rPr>
                <w:rFonts w:ascii="Times New Roman" w:hAnsi="Times New Roman" w:cs="Times New Roman" w:eastAsiaTheme="minorEastAsia"/>
                <w:color w:val="auto"/>
                <w:spacing w:val="-20"/>
                <w:kern w:val="0"/>
                <w:szCs w:val="21"/>
              </w:rPr>
            </w:pPr>
            <w:r>
              <w:rPr>
                <w:rFonts w:ascii="Times New Roman" w:cs="Times New Roman" w:hAnsiTheme="minorEastAsia" w:eastAsiaTheme="minorEastAsia"/>
                <w:color w:val="auto"/>
                <w:spacing w:val="-20"/>
                <w:kern w:val="0"/>
                <w:szCs w:val="21"/>
              </w:rPr>
              <w:t>路基</w:t>
            </w:r>
          </w:p>
        </w:tc>
        <w:tc>
          <w:tcPr>
            <w:tcW w:w="992" w:type="dxa"/>
            <w:vAlign w:val="center"/>
          </w:tcPr>
          <w:p w14:paraId="14251FF1">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55.5</w:t>
            </w:r>
          </w:p>
        </w:tc>
        <w:tc>
          <w:tcPr>
            <w:tcW w:w="709" w:type="dxa"/>
            <w:vAlign w:val="center"/>
          </w:tcPr>
          <w:p w14:paraId="35D14FED">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10</w:t>
            </w:r>
          </w:p>
        </w:tc>
        <w:tc>
          <w:tcPr>
            <w:tcW w:w="708" w:type="dxa"/>
            <w:vAlign w:val="center"/>
          </w:tcPr>
          <w:p w14:paraId="4E3B75C4">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30</w:t>
            </w:r>
          </w:p>
        </w:tc>
        <w:tc>
          <w:tcPr>
            <w:tcW w:w="4436" w:type="dxa"/>
            <w:vAlign w:val="center"/>
          </w:tcPr>
          <w:p w14:paraId="7CC38975">
            <w:pPr>
              <w:widowControl/>
              <w:spacing w:line="300" w:lineRule="exact"/>
              <w:rPr>
                <w:rFonts w:ascii="Times New Roman" w:hAnsi="Times New Roman" w:cs="Times New Roman" w:eastAsiaTheme="minorEastAsia"/>
                <w:color w:val="auto"/>
                <w:spacing w:val="0"/>
                <w:kern w:val="0"/>
                <w:sz w:val="21"/>
                <w:szCs w:val="21"/>
              </w:rPr>
            </w:pPr>
            <w:r>
              <w:rPr>
                <w:rFonts w:ascii="Times New Roman" w:cs="Times New Roman" w:hAnsiTheme="minorEastAsia" w:eastAsiaTheme="minorEastAsia"/>
                <w:color w:val="auto"/>
                <w:spacing w:val="0"/>
                <w:kern w:val="0"/>
                <w:sz w:val="21"/>
                <w:szCs w:val="21"/>
              </w:rPr>
              <w:t>路线以填方路基形式经过村庄。评价范围内现有居民</w:t>
            </w:r>
            <w:r>
              <w:rPr>
                <w:rFonts w:hint="eastAsia" w:ascii="Times New Roman" w:hAnsi="Times New Roman" w:cs="Times New Roman" w:eastAsiaTheme="minorEastAsia"/>
                <w:color w:val="auto"/>
                <w:spacing w:val="0"/>
                <w:kern w:val="0"/>
                <w:sz w:val="21"/>
                <w:szCs w:val="21"/>
              </w:rPr>
              <w:t>40</w:t>
            </w:r>
            <w:r>
              <w:rPr>
                <w:rFonts w:ascii="Times New Roman" w:cs="Times New Roman" w:hAnsiTheme="minorEastAsia" w:eastAsiaTheme="minorEastAsia"/>
                <w:color w:val="auto"/>
                <w:spacing w:val="0"/>
                <w:kern w:val="0"/>
                <w:sz w:val="21"/>
                <w:szCs w:val="21"/>
              </w:rPr>
              <w:t>户，首排</w:t>
            </w:r>
            <w:r>
              <w:rPr>
                <w:rFonts w:hint="eastAsia" w:ascii="Times New Roman" w:hAnsi="Times New Roman" w:cs="Times New Roman" w:eastAsiaTheme="minorEastAsia"/>
                <w:color w:val="auto"/>
                <w:spacing w:val="0"/>
                <w:kern w:val="0"/>
                <w:sz w:val="21"/>
                <w:szCs w:val="21"/>
              </w:rPr>
              <w:t>5</w:t>
            </w:r>
            <w:r>
              <w:rPr>
                <w:rFonts w:ascii="Times New Roman" w:cs="Times New Roman" w:hAnsiTheme="minorEastAsia" w:eastAsiaTheme="minorEastAsia"/>
                <w:color w:val="auto"/>
                <w:spacing w:val="0"/>
                <w:kern w:val="0"/>
                <w:sz w:val="21"/>
                <w:szCs w:val="21"/>
              </w:rPr>
              <w:t>户，</w:t>
            </w:r>
            <w:r>
              <w:rPr>
                <w:rFonts w:hint="eastAsia" w:ascii="Times New Roman" w:cs="Times New Roman" w:hAnsiTheme="minorEastAsia" w:eastAsiaTheme="minorEastAsia"/>
                <w:color w:val="auto"/>
                <w:spacing w:val="0"/>
                <w:kern w:val="0"/>
                <w:sz w:val="21"/>
                <w:szCs w:val="21"/>
              </w:rPr>
              <w:t>主要</w:t>
            </w:r>
            <w:r>
              <w:rPr>
                <w:rFonts w:ascii="Times New Roman" w:cs="Times New Roman" w:hAnsiTheme="minorEastAsia" w:eastAsiaTheme="minorEastAsia"/>
                <w:color w:val="auto"/>
                <w:spacing w:val="0"/>
                <w:kern w:val="0"/>
                <w:sz w:val="21"/>
                <w:szCs w:val="21"/>
              </w:rPr>
              <w:t>为</w:t>
            </w:r>
            <w:r>
              <w:rPr>
                <w:rFonts w:ascii="Times New Roman" w:hAnsi="Times New Roman" w:cs="Times New Roman" w:eastAsiaTheme="minorEastAsia"/>
                <w:color w:val="auto"/>
                <w:spacing w:val="0"/>
                <w:kern w:val="0"/>
                <w:sz w:val="21"/>
                <w:szCs w:val="21"/>
              </w:rPr>
              <w:t>1</w:t>
            </w:r>
            <w:r>
              <w:rPr>
                <w:rFonts w:ascii="Times New Roman" w:cs="Times New Roman" w:hAnsiTheme="minorEastAsia" w:eastAsiaTheme="minorEastAsia"/>
                <w:color w:val="auto"/>
                <w:spacing w:val="0"/>
                <w:kern w:val="0"/>
                <w:sz w:val="21"/>
                <w:szCs w:val="21"/>
              </w:rPr>
              <w:t>层砖混房，房屋侧向拟建公路。</w:t>
            </w:r>
            <w:r>
              <w:rPr>
                <w:rFonts w:ascii="Times New Roman" w:hAnsi="Times New Roman" w:eastAsia="宋体" w:cs="Times New Roman"/>
                <w:color w:val="auto"/>
                <w:spacing w:val="0"/>
                <w:kern w:val="0"/>
                <w:sz w:val="21"/>
                <w:szCs w:val="21"/>
              </w:rPr>
              <w:t>该路段利用现有</w:t>
            </w:r>
            <w:r>
              <w:rPr>
                <w:rFonts w:hint="eastAsia" w:ascii="Times New Roman" w:hAnsi="Times New Roman" w:eastAsia="宋体" w:cs="Times New Roman"/>
                <w:color w:val="auto"/>
                <w:spacing w:val="0"/>
                <w:kern w:val="0"/>
                <w:sz w:val="21"/>
                <w:szCs w:val="21"/>
              </w:rPr>
              <w:t>老路双侧加宽</w:t>
            </w:r>
            <w:r>
              <w:rPr>
                <w:rFonts w:ascii="Times New Roman" w:hAnsi="Times New Roman" w:eastAsia="宋体" w:cs="Times New Roman"/>
                <w:color w:val="auto"/>
                <w:spacing w:val="0"/>
                <w:kern w:val="0"/>
                <w:sz w:val="21"/>
                <w:szCs w:val="21"/>
              </w:rPr>
              <w:t>，</w:t>
            </w:r>
            <w:r>
              <w:rPr>
                <w:rFonts w:hint="eastAsia" w:ascii="Times New Roman" w:hAnsi="Times New Roman" w:eastAsia="宋体" w:cs="Times New Roman"/>
                <w:color w:val="auto"/>
                <w:spacing w:val="0"/>
                <w:kern w:val="0"/>
                <w:sz w:val="21"/>
                <w:szCs w:val="21"/>
              </w:rPr>
              <w:t>房屋</w:t>
            </w:r>
            <w:r>
              <w:rPr>
                <w:rFonts w:ascii="Times New Roman" w:hAnsi="Times New Roman" w:eastAsia="宋体" w:cs="Times New Roman"/>
                <w:color w:val="auto"/>
                <w:spacing w:val="0"/>
                <w:kern w:val="0"/>
                <w:sz w:val="21"/>
                <w:szCs w:val="21"/>
              </w:rPr>
              <w:t>分布于平交</w:t>
            </w:r>
            <w:r>
              <w:rPr>
                <w:rFonts w:hint="eastAsia" w:ascii="Times New Roman" w:hAnsi="Times New Roman" w:eastAsia="宋体" w:cs="Times New Roman"/>
                <w:color w:val="auto"/>
                <w:spacing w:val="0"/>
                <w:kern w:val="0"/>
                <w:sz w:val="21"/>
                <w:szCs w:val="21"/>
              </w:rPr>
              <w:t>路口两侧</w:t>
            </w:r>
            <w:r>
              <w:rPr>
                <w:rFonts w:ascii="Times New Roman" w:hAnsi="Times New Roman" w:eastAsia="宋体" w:cs="Times New Roman"/>
                <w:color w:val="auto"/>
                <w:spacing w:val="0"/>
                <w:kern w:val="0"/>
                <w:sz w:val="21"/>
                <w:szCs w:val="21"/>
              </w:rPr>
              <w:t>，</w:t>
            </w:r>
            <w:r>
              <w:rPr>
                <w:rFonts w:ascii="Times New Roman" w:cs="Times New Roman" w:hAnsiTheme="minorEastAsia" w:eastAsiaTheme="minorEastAsia"/>
                <w:color w:val="auto"/>
                <w:spacing w:val="0"/>
                <w:kern w:val="0"/>
                <w:sz w:val="21"/>
                <w:szCs w:val="21"/>
              </w:rPr>
              <w:t>主要噪声源为现有</w:t>
            </w:r>
            <w:r>
              <w:rPr>
                <w:rFonts w:hint="eastAsia" w:ascii="Times New Roman" w:hAnsi="Times New Roman" w:cs="Times New Roman" w:eastAsiaTheme="minorEastAsia"/>
                <w:color w:val="auto"/>
                <w:spacing w:val="0"/>
                <w:kern w:val="0"/>
                <w:sz w:val="21"/>
                <w:szCs w:val="21"/>
              </w:rPr>
              <w:t>G219</w:t>
            </w:r>
            <w:r>
              <w:rPr>
                <w:rFonts w:ascii="Times New Roman" w:cs="Times New Roman" w:hAnsiTheme="minorEastAsia" w:eastAsiaTheme="minorEastAsia"/>
                <w:color w:val="auto"/>
                <w:spacing w:val="0"/>
                <w:kern w:val="0"/>
                <w:sz w:val="21"/>
                <w:szCs w:val="21"/>
              </w:rPr>
              <w:t>交通噪声和社会生活噪声。</w:t>
            </w:r>
          </w:p>
        </w:tc>
        <w:tc>
          <w:tcPr>
            <w:tcW w:w="2898" w:type="dxa"/>
            <w:vAlign w:val="center"/>
          </w:tcPr>
          <w:p w14:paraId="0DB20E67">
            <w:pPr>
              <w:widowControl/>
              <w:adjustRightInd w:val="0"/>
              <w:snapToGrid w:val="0"/>
              <w:jc w:val="center"/>
              <w:rPr>
                <w:rFonts w:ascii="Times New Roman" w:hAnsi="Times New Roman" w:cs="Times New Roman" w:eastAsiaTheme="minorEastAsia"/>
                <w:snapToGrid w:val="0"/>
                <w:color w:val="auto"/>
                <w:spacing w:val="-20"/>
                <w:kern w:val="0"/>
                <w:szCs w:val="21"/>
              </w:rPr>
            </w:pPr>
            <w:r>
              <w:rPr>
                <w:rFonts w:ascii="Times New Roman" w:hAnsi="Times New Roman" w:cs="Times New Roman" w:eastAsiaTheme="minorEastAsia"/>
                <w:color w:val="auto"/>
                <w:spacing w:val="-20"/>
                <w:kern w:val="0"/>
                <w:szCs w:val="21"/>
              </w:rPr>
              <w:drawing>
                <wp:inline distT="0" distB="0" distL="0" distR="0">
                  <wp:extent cx="1729105" cy="1295400"/>
                  <wp:effectExtent l="0" t="0" r="4445" b="0"/>
                  <wp:docPr id="960" name="图片 23" descr="E:\咨询项目\环评\新疆-G219线八盘水磨至伽师公路\外业踏勘记录及照片\DSC089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 name="图片 23" descr="E:\咨询项目\环评\新疆-G219线八盘水磨至伽师公路\外业踏勘记录及照片\DSC08989.JPG"/>
                          <pic:cNvPicPr>
                            <a:picLocks noChangeAspect="1" noChangeArrowheads="1"/>
                          </pic:cNvPicPr>
                        </pic:nvPicPr>
                        <pic:blipFill>
                          <a:blip r:embed="rId178" cstate="print"/>
                          <a:srcRect/>
                          <a:stretch>
                            <a:fillRect/>
                          </a:stretch>
                        </pic:blipFill>
                        <pic:spPr>
                          <a:xfrm>
                            <a:off x="0" y="0"/>
                            <a:ext cx="1729728" cy="1296000"/>
                          </a:xfrm>
                          <a:prstGeom prst="rect">
                            <a:avLst/>
                          </a:prstGeom>
                          <a:noFill/>
                          <a:ln w="9525">
                            <a:noFill/>
                            <a:miter lim="800000"/>
                            <a:headEnd/>
                            <a:tailEnd/>
                          </a:ln>
                        </pic:spPr>
                      </pic:pic>
                    </a:graphicData>
                  </a:graphic>
                </wp:inline>
              </w:drawing>
            </w:r>
          </w:p>
        </w:tc>
      </w:tr>
    </w:tbl>
    <w:p w14:paraId="2FE15A0B">
      <w:pPr>
        <w:rPr>
          <w:rFonts w:ascii="Times New Roman" w:hAnsi="Times New Roman" w:eastAsia="宋体" w:cs="Times New Roman"/>
          <w:color w:val="auto"/>
          <w:szCs w:val="21"/>
        </w:rPr>
      </w:pPr>
      <w:bookmarkStart w:id="125" w:name="_Hlk224116031"/>
      <w:r>
        <w:rPr>
          <w:rFonts w:hint="eastAsia" w:ascii="Times New Roman" w:hAnsi="Times New Roman" w:eastAsia="宋体" w:cs="Times New Roman"/>
          <w:color w:val="auto"/>
          <w:szCs w:val="21"/>
        </w:rPr>
        <w:t>（接下页）</w:t>
      </w:r>
    </w:p>
    <w:p w14:paraId="4E76EBE5">
      <w:pPr>
        <w:widowControl/>
        <w:spacing w:beforeLines="50"/>
        <w:jc w:val="center"/>
        <w:rPr>
          <w:rFonts w:ascii="Times New Roman" w:hAnsi="Times New Roman" w:cs="Times New Roman" w:eastAsiaTheme="minorEastAsia"/>
          <w:color w:val="auto"/>
          <w:szCs w:val="21"/>
        </w:rPr>
      </w:pPr>
      <w:r>
        <w:rPr>
          <w:rFonts w:ascii="Times New Roman" w:cs="Times New Roman" w:hAnsiTheme="minorEastAsia" w:eastAsiaTheme="minorEastAsia"/>
          <w:b/>
          <w:color w:val="auto"/>
          <w:szCs w:val="21"/>
        </w:rPr>
        <w:br w:type="page"/>
      </w:r>
      <w:r>
        <w:rPr>
          <w:rFonts w:ascii="Times New Roman" w:cs="Times New Roman" w:hAnsiTheme="minorEastAsia" w:eastAsiaTheme="minorEastAsia"/>
          <w:b/>
          <w:color w:val="auto"/>
          <w:szCs w:val="21"/>
        </w:rPr>
        <w:t>续</w:t>
      </w:r>
      <w:r>
        <w:rPr>
          <w:rFonts w:hint="eastAsia" w:ascii="Times New Roman" w:cs="Times New Roman" w:hAnsiTheme="minorEastAsia" w:eastAsiaTheme="minorEastAsia"/>
          <w:b/>
          <w:color w:val="auto"/>
          <w:szCs w:val="21"/>
        </w:rPr>
        <w:t xml:space="preserve"> </w:t>
      </w:r>
      <w:r>
        <w:rPr>
          <w:rFonts w:ascii="Times New Roman" w:cs="Times New Roman" w:hAnsiTheme="minorEastAsia" w:eastAsiaTheme="minorEastAsia"/>
          <w:b/>
          <w:color w:val="auto"/>
          <w:szCs w:val="21"/>
        </w:rPr>
        <w:t>表</w:t>
      </w:r>
      <w:r>
        <w:rPr>
          <w:rFonts w:ascii="Times New Roman" w:hAnsi="Times New Roman" w:cs="Times New Roman" w:eastAsiaTheme="minorEastAsia"/>
          <w:b/>
          <w:color w:val="auto"/>
          <w:szCs w:val="21"/>
        </w:rPr>
        <w:t>1.</w:t>
      </w:r>
      <w:r>
        <w:rPr>
          <w:rFonts w:hint="eastAsia" w:ascii="Times New Roman" w:hAnsi="Times New Roman" w:cs="Times New Roman" w:eastAsiaTheme="minorEastAsia"/>
          <w:b/>
          <w:color w:val="auto"/>
          <w:szCs w:val="21"/>
        </w:rPr>
        <w:t>6</w:t>
      </w:r>
      <w:r>
        <w:rPr>
          <w:rFonts w:ascii="Times New Roman" w:hAnsi="Times New Roman" w:cs="Times New Roman" w:eastAsiaTheme="minorEastAsia"/>
          <w:b/>
          <w:color w:val="auto"/>
          <w:szCs w:val="21"/>
        </w:rPr>
        <w:t>-</w:t>
      </w:r>
      <w:r>
        <w:rPr>
          <w:rFonts w:hint="eastAsia" w:ascii="Times New Roman" w:hAnsi="Times New Roman" w:cs="Times New Roman" w:eastAsiaTheme="minorEastAsia"/>
          <w:b/>
          <w:color w:val="auto"/>
          <w:szCs w:val="21"/>
        </w:rPr>
        <w:t>2</w:t>
      </w:r>
      <w:r>
        <w:rPr>
          <w:rFonts w:ascii="Times New Roman" w:hAnsi="Times New Roman" w:cs="Times New Roman" w:eastAsiaTheme="minorEastAsia"/>
          <w:b/>
          <w:color w:val="auto"/>
          <w:szCs w:val="21"/>
        </w:rPr>
        <w:t xml:space="preserve">  </w:t>
      </w:r>
      <w:r>
        <w:rPr>
          <w:rFonts w:ascii="Times New Roman" w:cs="Times New Roman" w:hAnsiTheme="minorEastAsia" w:eastAsiaTheme="minorEastAsia"/>
          <w:b/>
          <w:color w:val="auto"/>
          <w:szCs w:val="21"/>
        </w:rPr>
        <w:t>拟建公路沿线声环境敏感点一览表</w:t>
      </w:r>
    </w:p>
    <w:tbl>
      <w:tblPr>
        <w:tblStyle w:val="22"/>
        <w:tblW w:w="20507" w:type="dxa"/>
        <w:jc w:val="center"/>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68"/>
        <w:gridCol w:w="694"/>
        <w:gridCol w:w="1134"/>
        <w:gridCol w:w="851"/>
        <w:gridCol w:w="850"/>
        <w:gridCol w:w="661"/>
        <w:gridCol w:w="662"/>
        <w:gridCol w:w="662"/>
        <w:gridCol w:w="567"/>
        <w:gridCol w:w="708"/>
        <w:gridCol w:w="709"/>
        <w:gridCol w:w="992"/>
        <w:gridCol w:w="993"/>
        <w:gridCol w:w="567"/>
        <w:gridCol w:w="992"/>
        <w:gridCol w:w="709"/>
        <w:gridCol w:w="708"/>
        <w:gridCol w:w="4582"/>
        <w:gridCol w:w="2898"/>
      </w:tblGrid>
      <w:tr w14:paraId="7E95C294">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460" w:hRule="atLeast"/>
          <w:tblHeader/>
          <w:jc w:val="center"/>
        </w:trPr>
        <w:tc>
          <w:tcPr>
            <w:tcW w:w="568" w:type="dxa"/>
            <w:vMerge w:val="restart"/>
            <w:noWrap/>
            <w:vAlign w:val="center"/>
          </w:tcPr>
          <w:p w14:paraId="1109FBE3">
            <w:pPr>
              <w:widowControl/>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序号</w:t>
            </w:r>
          </w:p>
        </w:tc>
        <w:tc>
          <w:tcPr>
            <w:tcW w:w="694" w:type="dxa"/>
            <w:vMerge w:val="restart"/>
            <w:vAlign w:val="center"/>
          </w:tcPr>
          <w:p w14:paraId="13268CC1">
            <w:pPr>
              <w:widowControl/>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路段</w:t>
            </w:r>
          </w:p>
        </w:tc>
        <w:tc>
          <w:tcPr>
            <w:tcW w:w="1134" w:type="dxa"/>
            <w:vMerge w:val="restart"/>
            <w:vAlign w:val="center"/>
          </w:tcPr>
          <w:p w14:paraId="15D3ED29">
            <w:pPr>
              <w:widowControl/>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桩号</w:t>
            </w:r>
          </w:p>
        </w:tc>
        <w:tc>
          <w:tcPr>
            <w:tcW w:w="851" w:type="dxa"/>
            <w:vMerge w:val="restart"/>
            <w:vAlign w:val="center"/>
          </w:tcPr>
          <w:p w14:paraId="134CEDE7">
            <w:pPr>
              <w:widowControl/>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敏感点名称</w:t>
            </w:r>
          </w:p>
        </w:tc>
        <w:tc>
          <w:tcPr>
            <w:tcW w:w="850" w:type="dxa"/>
            <w:vMerge w:val="restart"/>
            <w:vAlign w:val="center"/>
          </w:tcPr>
          <w:p w14:paraId="7DFADCFA">
            <w:pPr>
              <w:widowControl/>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行政区划</w:t>
            </w:r>
          </w:p>
        </w:tc>
        <w:tc>
          <w:tcPr>
            <w:tcW w:w="1985" w:type="dxa"/>
            <w:gridSpan w:val="3"/>
            <w:vAlign w:val="center"/>
          </w:tcPr>
          <w:p w14:paraId="79747453">
            <w:pPr>
              <w:widowControl/>
              <w:jc w:val="center"/>
              <w:rPr>
                <w:rFonts w:ascii="Times New Roman" w:hAnsi="Times New Roman" w:cs="Times New Roman" w:eastAsiaTheme="minorEastAsia"/>
                <w:b/>
                <w:bCs/>
                <w:color w:val="auto"/>
                <w:spacing w:val="-20"/>
                <w:kern w:val="0"/>
                <w:szCs w:val="21"/>
              </w:rPr>
            </w:pPr>
            <w:r>
              <w:rPr>
                <w:rFonts w:ascii="Times New Roman" w:hAnsi="Times New Roman" w:cs="Times New Roman" w:eastAsiaTheme="minorEastAsia"/>
                <w:b/>
                <w:bCs/>
                <w:color w:val="auto"/>
                <w:spacing w:val="-20"/>
                <w:kern w:val="0"/>
                <w:szCs w:val="21"/>
              </w:rPr>
              <w:t>改扩建</w:t>
            </w:r>
            <w:r>
              <w:rPr>
                <w:rFonts w:hint="eastAsia" w:ascii="Times New Roman" w:hAnsi="Times New Roman" w:cs="Times New Roman" w:eastAsiaTheme="minorEastAsia"/>
                <w:b/>
                <w:bCs/>
                <w:color w:val="auto"/>
                <w:spacing w:val="-20"/>
                <w:kern w:val="0"/>
                <w:szCs w:val="21"/>
              </w:rPr>
              <w:t>前</w:t>
            </w:r>
            <w:r>
              <w:rPr>
                <w:rFonts w:ascii="Times New Roman" w:hAnsi="Times New Roman" w:cs="Times New Roman" w:eastAsiaTheme="minorEastAsia"/>
                <w:b/>
                <w:bCs/>
                <w:color w:val="auto"/>
                <w:spacing w:val="-20"/>
                <w:kern w:val="0"/>
                <w:szCs w:val="21"/>
              </w:rPr>
              <w:t>位置关系</w:t>
            </w:r>
          </w:p>
        </w:tc>
        <w:tc>
          <w:tcPr>
            <w:tcW w:w="1984" w:type="dxa"/>
            <w:gridSpan w:val="3"/>
            <w:vAlign w:val="center"/>
          </w:tcPr>
          <w:p w14:paraId="4E2E0C01">
            <w:pPr>
              <w:widowControl/>
              <w:jc w:val="center"/>
              <w:rPr>
                <w:rFonts w:ascii="Times New Roman" w:hAnsi="Times New Roman" w:cs="Times New Roman" w:eastAsiaTheme="minorEastAsia"/>
                <w:b/>
                <w:bCs/>
                <w:color w:val="auto"/>
                <w:spacing w:val="-20"/>
                <w:kern w:val="0"/>
                <w:szCs w:val="21"/>
              </w:rPr>
            </w:pPr>
            <w:r>
              <w:rPr>
                <w:rFonts w:ascii="Times New Roman" w:hAnsi="Times New Roman" w:cs="Times New Roman" w:eastAsiaTheme="minorEastAsia"/>
                <w:b/>
                <w:bCs/>
                <w:color w:val="auto"/>
                <w:spacing w:val="-20"/>
                <w:kern w:val="0"/>
                <w:szCs w:val="21"/>
              </w:rPr>
              <w:t>改扩建后位置关系</w:t>
            </w:r>
          </w:p>
        </w:tc>
        <w:tc>
          <w:tcPr>
            <w:tcW w:w="992" w:type="dxa"/>
            <w:vMerge w:val="restart"/>
            <w:vAlign w:val="center"/>
          </w:tcPr>
          <w:p w14:paraId="3281E93C">
            <w:pPr>
              <w:widowControl/>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预测点地面高</w:t>
            </w:r>
            <w:r>
              <w:rPr>
                <w:rFonts w:ascii="Times New Roman" w:hAnsi="Times New Roman" w:cs="Times New Roman" w:eastAsiaTheme="minorEastAsia"/>
                <w:b/>
                <w:bCs/>
                <w:color w:val="auto"/>
                <w:spacing w:val="-20"/>
                <w:kern w:val="0"/>
                <w:szCs w:val="21"/>
              </w:rPr>
              <w:t>-</w:t>
            </w:r>
            <w:r>
              <w:rPr>
                <w:rFonts w:ascii="Times New Roman" w:cs="Times New Roman" w:hAnsiTheme="minorEastAsia" w:eastAsiaTheme="minorEastAsia"/>
                <w:b/>
                <w:bCs/>
                <w:color w:val="auto"/>
                <w:spacing w:val="-20"/>
                <w:kern w:val="0"/>
                <w:szCs w:val="21"/>
              </w:rPr>
              <w:t>路基地面高</w:t>
            </w:r>
            <w:r>
              <w:rPr>
                <w:rFonts w:ascii="Times New Roman" w:hAnsi="Times New Roman" w:cs="Times New Roman" w:eastAsiaTheme="minorEastAsia"/>
                <w:b/>
                <w:bCs/>
                <w:color w:val="auto"/>
                <w:spacing w:val="-20"/>
                <w:kern w:val="0"/>
                <w:szCs w:val="21"/>
              </w:rPr>
              <w:t>(m)</w:t>
            </w:r>
          </w:p>
        </w:tc>
        <w:tc>
          <w:tcPr>
            <w:tcW w:w="993" w:type="dxa"/>
            <w:vMerge w:val="restart"/>
            <w:vAlign w:val="center"/>
          </w:tcPr>
          <w:p w14:paraId="598A0A12">
            <w:pPr>
              <w:widowControl/>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路基填挖高度或桥高</w:t>
            </w:r>
            <w:r>
              <w:rPr>
                <w:rFonts w:ascii="Times New Roman" w:hAnsi="Times New Roman" w:cs="Times New Roman" w:eastAsiaTheme="minorEastAsia"/>
                <w:b/>
                <w:bCs/>
                <w:color w:val="auto"/>
                <w:spacing w:val="-20"/>
                <w:kern w:val="0"/>
                <w:szCs w:val="21"/>
              </w:rPr>
              <w:t>(m)</w:t>
            </w:r>
          </w:p>
        </w:tc>
        <w:tc>
          <w:tcPr>
            <w:tcW w:w="567" w:type="dxa"/>
            <w:vMerge w:val="restart"/>
            <w:noWrap/>
            <w:vAlign w:val="center"/>
          </w:tcPr>
          <w:p w14:paraId="107BAF09">
            <w:pPr>
              <w:widowControl/>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工程形式</w:t>
            </w:r>
          </w:p>
        </w:tc>
        <w:tc>
          <w:tcPr>
            <w:tcW w:w="992" w:type="dxa"/>
            <w:vMerge w:val="restart"/>
            <w:vAlign w:val="center"/>
          </w:tcPr>
          <w:p w14:paraId="2D99F2A4">
            <w:pPr>
              <w:widowControl/>
              <w:jc w:val="center"/>
              <w:rPr>
                <w:rFonts w:ascii="Times New Roman" w:hAnsi="Times New Roman" w:cs="Times New Roman" w:eastAsiaTheme="minorEastAsia"/>
                <w:b/>
                <w:bCs/>
                <w:color w:val="auto"/>
                <w:spacing w:val="-20"/>
                <w:kern w:val="0"/>
                <w:szCs w:val="21"/>
              </w:rPr>
            </w:pPr>
            <w:r>
              <w:rPr>
                <w:rFonts w:hint="eastAsia" w:ascii="Times New Roman" w:cs="Times New Roman" w:hAnsiTheme="minorEastAsia" w:eastAsiaTheme="minorEastAsia"/>
                <w:b/>
                <w:bCs/>
                <w:color w:val="auto"/>
                <w:spacing w:val="-20"/>
                <w:kern w:val="0"/>
                <w:szCs w:val="21"/>
              </w:rPr>
              <w:t>改扩建</w:t>
            </w:r>
            <w:r>
              <w:rPr>
                <w:rFonts w:ascii="Times New Roman" w:cs="Times New Roman" w:hAnsiTheme="minorEastAsia" w:eastAsiaTheme="minorEastAsia"/>
                <w:b/>
                <w:bCs/>
                <w:color w:val="auto"/>
                <w:spacing w:val="-20"/>
                <w:kern w:val="0"/>
                <w:szCs w:val="21"/>
              </w:rPr>
              <w:t>后功能区分界</w:t>
            </w:r>
            <w:r>
              <w:rPr>
                <w:rFonts w:ascii="Times New Roman" w:hAnsi="Times New Roman" w:cs="Times New Roman" w:eastAsiaTheme="minorEastAsia"/>
                <w:b/>
                <w:bCs/>
                <w:color w:val="auto"/>
                <w:spacing w:val="-20"/>
                <w:kern w:val="0"/>
                <w:szCs w:val="21"/>
              </w:rPr>
              <w:t>(m)</w:t>
            </w:r>
          </w:p>
        </w:tc>
        <w:tc>
          <w:tcPr>
            <w:tcW w:w="1417" w:type="dxa"/>
            <w:gridSpan w:val="2"/>
            <w:vAlign w:val="center"/>
          </w:tcPr>
          <w:p w14:paraId="0CF9AC35">
            <w:pPr>
              <w:widowControl/>
              <w:jc w:val="center"/>
              <w:rPr>
                <w:rFonts w:ascii="Times New Roman" w:hAnsi="Times New Roman" w:cs="Times New Roman" w:eastAsiaTheme="minorEastAsia"/>
                <w:b/>
                <w:bCs/>
                <w:color w:val="auto"/>
                <w:spacing w:val="-20"/>
                <w:kern w:val="0"/>
                <w:szCs w:val="21"/>
              </w:rPr>
            </w:pPr>
            <w:r>
              <w:rPr>
                <w:rFonts w:hint="eastAsia" w:ascii="Times New Roman" w:cs="Times New Roman" w:hAnsiTheme="minorEastAsia" w:eastAsiaTheme="minorEastAsia"/>
                <w:b/>
                <w:bCs/>
                <w:color w:val="auto"/>
                <w:spacing w:val="-20"/>
                <w:kern w:val="0"/>
                <w:szCs w:val="21"/>
              </w:rPr>
              <w:t>改扩建</w:t>
            </w:r>
            <w:r>
              <w:rPr>
                <w:rFonts w:ascii="Times New Roman" w:cs="Times New Roman" w:hAnsiTheme="minorEastAsia" w:eastAsiaTheme="minorEastAsia"/>
                <w:b/>
                <w:bCs/>
                <w:color w:val="auto"/>
                <w:spacing w:val="-20"/>
                <w:kern w:val="0"/>
                <w:szCs w:val="21"/>
              </w:rPr>
              <w:t>后受影响户数</w:t>
            </w:r>
            <w:r>
              <w:rPr>
                <w:rFonts w:ascii="Times New Roman" w:hAnsi="Times New Roman" w:cs="Times New Roman" w:eastAsiaTheme="minorEastAsia"/>
                <w:b/>
                <w:bCs/>
                <w:color w:val="auto"/>
                <w:spacing w:val="-20"/>
                <w:kern w:val="0"/>
                <w:szCs w:val="21"/>
              </w:rPr>
              <w:t>(</w:t>
            </w:r>
            <w:r>
              <w:rPr>
                <w:rFonts w:ascii="Times New Roman" w:cs="Times New Roman" w:hAnsiTheme="minorEastAsia" w:eastAsiaTheme="minorEastAsia"/>
                <w:b/>
                <w:bCs/>
                <w:color w:val="auto"/>
                <w:spacing w:val="-20"/>
                <w:kern w:val="0"/>
                <w:szCs w:val="21"/>
              </w:rPr>
              <w:t>户</w:t>
            </w:r>
            <w:r>
              <w:rPr>
                <w:rFonts w:ascii="Times New Roman" w:hAnsi="Times New Roman" w:cs="Times New Roman" w:eastAsiaTheme="minorEastAsia"/>
                <w:b/>
                <w:bCs/>
                <w:color w:val="auto"/>
                <w:spacing w:val="-20"/>
                <w:kern w:val="0"/>
                <w:szCs w:val="21"/>
              </w:rPr>
              <w:t>)</w:t>
            </w:r>
          </w:p>
        </w:tc>
        <w:tc>
          <w:tcPr>
            <w:tcW w:w="4582" w:type="dxa"/>
            <w:vMerge w:val="restart"/>
            <w:vAlign w:val="center"/>
          </w:tcPr>
          <w:p w14:paraId="64D6B14A">
            <w:pPr>
              <w:widowControl/>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敏感点及环境特征</w:t>
            </w:r>
          </w:p>
        </w:tc>
        <w:tc>
          <w:tcPr>
            <w:tcW w:w="2898" w:type="dxa"/>
            <w:vMerge w:val="restart"/>
            <w:vAlign w:val="center"/>
          </w:tcPr>
          <w:p w14:paraId="0615FE79">
            <w:pPr>
              <w:widowControl/>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照片</w:t>
            </w:r>
          </w:p>
        </w:tc>
      </w:tr>
      <w:tr w14:paraId="307B58FF">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461" w:hRule="atLeast"/>
          <w:tblHeader/>
          <w:jc w:val="center"/>
        </w:trPr>
        <w:tc>
          <w:tcPr>
            <w:tcW w:w="568" w:type="dxa"/>
            <w:vMerge w:val="continue"/>
            <w:noWrap/>
            <w:vAlign w:val="center"/>
          </w:tcPr>
          <w:p w14:paraId="605C8798">
            <w:pPr>
              <w:widowControl/>
              <w:jc w:val="center"/>
              <w:rPr>
                <w:rFonts w:ascii="Times New Roman" w:hAnsi="Times New Roman" w:cs="Times New Roman" w:eastAsiaTheme="minorEastAsia"/>
                <w:b/>
                <w:bCs/>
                <w:color w:val="auto"/>
                <w:spacing w:val="-20"/>
                <w:kern w:val="0"/>
                <w:szCs w:val="21"/>
              </w:rPr>
            </w:pPr>
          </w:p>
        </w:tc>
        <w:tc>
          <w:tcPr>
            <w:tcW w:w="694" w:type="dxa"/>
            <w:vMerge w:val="continue"/>
            <w:vAlign w:val="center"/>
          </w:tcPr>
          <w:p w14:paraId="4CC1F4DF">
            <w:pPr>
              <w:widowControl/>
              <w:jc w:val="center"/>
              <w:rPr>
                <w:rFonts w:ascii="Times New Roman" w:hAnsi="Times New Roman" w:cs="Times New Roman" w:eastAsiaTheme="minorEastAsia"/>
                <w:b/>
                <w:bCs/>
                <w:color w:val="auto"/>
                <w:spacing w:val="-20"/>
                <w:kern w:val="0"/>
                <w:szCs w:val="21"/>
              </w:rPr>
            </w:pPr>
          </w:p>
        </w:tc>
        <w:tc>
          <w:tcPr>
            <w:tcW w:w="1134" w:type="dxa"/>
            <w:vMerge w:val="continue"/>
            <w:vAlign w:val="center"/>
          </w:tcPr>
          <w:p w14:paraId="64A3DB0D">
            <w:pPr>
              <w:widowControl/>
              <w:jc w:val="center"/>
              <w:rPr>
                <w:rFonts w:ascii="Times New Roman" w:hAnsi="Times New Roman" w:cs="Times New Roman" w:eastAsiaTheme="minorEastAsia"/>
                <w:b/>
                <w:bCs/>
                <w:color w:val="auto"/>
                <w:spacing w:val="-20"/>
                <w:kern w:val="0"/>
                <w:szCs w:val="21"/>
              </w:rPr>
            </w:pPr>
          </w:p>
        </w:tc>
        <w:tc>
          <w:tcPr>
            <w:tcW w:w="851" w:type="dxa"/>
            <w:vMerge w:val="continue"/>
            <w:vAlign w:val="center"/>
          </w:tcPr>
          <w:p w14:paraId="7EC0273B">
            <w:pPr>
              <w:widowControl/>
              <w:jc w:val="center"/>
              <w:rPr>
                <w:rFonts w:ascii="Times New Roman" w:hAnsi="Times New Roman" w:cs="Times New Roman" w:eastAsiaTheme="minorEastAsia"/>
                <w:b/>
                <w:bCs/>
                <w:color w:val="auto"/>
                <w:spacing w:val="-20"/>
                <w:kern w:val="0"/>
                <w:szCs w:val="21"/>
              </w:rPr>
            </w:pPr>
          </w:p>
        </w:tc>
        <w:tc>
          <w:tcPr>
            <w:tcW w:w="850" w:type="dxa"/>
            <w:vMerge w:val="continue"/>
            <w:vAlign w:val="center"/>
          </w:tcPr>
          <w:p w14:paraId="43199E74">
            <w:pPr>
              <w:widowControl/>
              <w:jc w:val="center"/>
              <w:rPr>
                <w:rFonts w:ascii="Times New Roman" w:hAnsi="Times New Roman" w:cs="Times New Roman" w:eastAsiaTheme="minorEastAsia"/>
                <w:b/>
                <w:bCs/>
                <w:color w:val="auto"/>
                <w:spacing w:val="-20"/>
                <w:kern w:val="0"/>
                <w:szCs w:val="21"/>
              </w:rPr>
            </w:pPr>
          </w:p>
        </w:tc>
        <w:tc>
          <w:tcPr>
            <w:tcW w:w="661" w:type="dxa"/>
            <w:vAlign w:val="center"/>
          </w:tcPr>
          <w:p w14:paraId="7962BB55">
            <w:pPr>
              <w:widowControl/>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方位</w:t>
            </w:r>
          </w:p>
        </w:tc>
        <w:tc>
          <w:tcPr>
            <w:tcW w:w="662" w:type="dxa"/>
            <w:vAlign w:val="center"/>
          </w:tcPr>
          <w:p w14:paraId="0B8719AE">
            <w:pPr>
              <w:widowControl/>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距路中</w:t>
            </w:r>
            <w:r>
              <w:rPr>
                <w:rFonts w:ascii="Times New Roman" w:hAnsi="Times New Roman" w:cs="Times New Roman" w:eastAsiaTheme="minorEastAsia"/>
                <w:b/>
                <w:bCs/>
                <w:color w:val="auto"/>
                <w:spacing w:val="-20"/>
                <w:kern w:val="0"/>
                <w:szCs w:val="21"/>
              </w:rPr>
              <w:t>(m)</w:t>
            </w:r>
          </w:p>
        </w:tc>
        <w:tc>
          <w:tcPr>
            <w:tcW w:w="662" w:type="dxa"/>
            <w:vAlign w:val="center"/>
          </w:tcPr>
          <w:p w14:paraId="7978908A">
            <w:pPr>
              <w:widowControl/>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距红线</w:t>
            </w:r>
            <w:r>
              <w:rPr>
                <w:rFonts w:ascii="Times New Roman" w:hAnsi="Times New Roman" w:cs="Times New Roman" w:eastAsiaTheme="minorEastAsia"/>
                <w:b/>
                <w:bCs/>
                <w:color w:val="auto"/>
                <w:spacing w:val="-20"/>
                <w:kern w:val="0"/>
                <w:szCs w:val="21"/>
              </w:rPr>
              <w:t>(m)</w:t>
            </w:r>
          </w:p>
        </w:tc>
        <w:tc>
          <w:tcPr>
            <w:tcW w:w="567" w:type="dxa"/>
            <w:vAlign w:val="center"/>
          </w:tcPr>
          <w:p w14:paraId="3BB2E556">
            <w:pPr>
              <w:widowControl/>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方位</w:t>
            </w:r>
          </w:p>
        </w:tc>
        <w:tc>
          <w:tcPr>
            <w:tcW w:w="708" w:type="dxa"/>
            <w:vAlign w:val="center"/>
          </w:tcPr>
          <w:p w14:paraId="71AAA44B">
            <w:pPr>
              <w:widowControl/>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距路中</w:t>
            </w:r>
            <w:r>
              <w:rPr>
                <w:rFonts w:ascii="Times New Roman" w:hAnsi="Times New Roman" w:cs="Times New Roman" w:eastAsiaTheme="minorEastAsia"/>
                <w:b/>
                <w:bCs/>
                <w:color w:val="auto"/>
                <w:spacing w:val="-20"/>
                <w:kern w:val="0"/>
                <w:szCs w:val="21"/>
              </w:rPr>
              <w:t>(m)</w:t>
            </w:r>
          </w:p>
        </w:tc>
        <w:tc>
          <w:tcPr>
            <w:tcW w:w="709" w:type="dxa"/>
            <w:vAlign w:val="center"/>
          </w:tcPr>
          <w:p w14:paraId="22B8F6CC">
            <w:pPr>
              <w:widowControl/>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距红线</w:t>
            </w:r>
            <w:r>
              <w:rPr>
                <w:rFonts w:ascii="Times New Roman" w:hAnsi="Times New Roman" w:cs="Times New Roman" w:eastAsiaTheme="minorEastAsia"/>
                <w:b/>
                <w:bCs/>
                <w:color w:val="auto"/>
                <w:spacing w:val="-20"/>
                <w:kern w:val="0"/>
                <w:szCs w:val="21"/>
              </w:rPr>
              <w:t>(m)</w:t>
            </w:r>
          </w:p>
        </w:tc>
        <w:tc>
          <w:tcPr>
            <w:tcW w:w="992" w:type="dxa"/>
            <w:vMerge w:val="continue"/>
            <w:vAlign w:val="center"/>
          </w:tcPr>
          <w:p w14:paraId="1207F567">
            <w:pPr>
              <w:widowControl/>
              <w:jc w:val="center"/>
              <w:rPr>
                <w:rFonts w:ascii="Times New Roman" w:hAnsi="Times New Roman" w:cs="Times New Roman" w:eastAsiaTheme="minorEastAsia"/>
                <w:b/>
                <w:bCs/>
                <w:color w:val="auto"/>
                <w:spacing w:val="-20"/>
                <w:kern w:val="0"/>
                <w:szCs w:val="21"/>
              </w:rPr>
            </w:pPr>
          </w:p>
        </w:tc>
        <w:tc>
          <w:tcPr>
            <w:tcW w:w="993" w:type="dxa"/>
            <w:vMerge w:val="continue"/>
            <w:vAlign w:val="center"/>
          </w:tcPr>
          <w:p w14:paraId="3D55ED12">
            <w:pPr>
              <w:widowControl/>
              <w:jc w:val="center"/>
              <w:rPr>
                <w:rFonts w:ascii="Times New Roman" w:hAnsi="Times New Roman" w:cs="Times New Roman" w:eastAsiaTheme="minorEastAsia"/>
                <w:b/>
                <w:bCs/>
                <w:color w:val="auto"/>
                <w:spacing w:val="-20"/>
                <w:kern w:val="0"/>
                <w:szCs w:val="21"/>
              </w:rPr>
            </w:pPr>
          </w:p>
        </w:tc>
        <w:tc>
          <w:tcPr>
            <w:tcW w:w="567" w:type="dxa"/>
            <w:vMerge w:val="continue"/>
            <w:noWrap/>
            <w:vAlign w:val="center"/>
          </w:tcPr>
          <w:p w14:paraId="331806CD">
            <w:pPr>
              <w:widowControl/>
              <w:jc w:val="center"/>
              <w:rPr>
                <w:rFonts w:ascii="Times New Roman" w:hAnsi="Times New Roman" w:cs="Times New Roman" w:eastAsiaTheme="minorEastAsia"/>
                <w:b/>
                <w:bCs/>
                <w:color w:val="auto"/>
                <w:spacing w:val="-20"/>
                <w:kern w:val="0"/>
                <w:szCs w:val="21"/>
              </w:rPr>
            </w:pPr>
          </w:p>
        </w:tc>
        <w:tc>
          <w:tcPr>
            <w:tcW w:w="992" w:type="dxa"/>
            <w:vMerge w:val="continue"/>
            <w:vAlign w:val="center"/>
          </w:tcPr>
          <w:p w14:paraId="14D3C7FA">
            <w:pPr>
              <w:widowControl/>
              <w:jc w:val="center"/>
              <w:rPr>
                <w:rFonts w:ascii="Times New Roman" w:hAnsi="Times New Roman" w:cs="Times New Roman" w:eastAsiaTheme="minorEastAsia"/>
                <w:b/>
                <w:bCs/>
                <w:color w:val="auto"/>
                <w:spacing w:val="-20"/>
                <w:kern w:val="0"/>
                <w:szCs w:val="21"/>
              </w:rPr>
            </w:pPr>
          </w:p>
        </w:tc>
        <w:tc>
          <w:tcPr>
            <w:tcW w:w="709" w:type="dxa"/>
            <w:vAlign w:val="center"/>
          </w:tcPr>
          <w:p w14:paraId="53809F61">
            <w:pPr>
              <w:widowControl/>
              <w:jc w:val="center"/>
              <w:rPr>
                <w:rFonts w:ascii="Times New Roman" w:hAnsi="Times New Roman" w:cs="Times New Roman" w:eastAsiaTheme="minorEastAsia"/>
                <w:b/>
                <w:bCs/>
                <w:color w:val="auto"/>
                <w:spacing w:val="-20"/>
                <w:kern w:val="0"/>
                <w:szCs w:val="21"/>
              </w:rPr>
            </w:pPr>
            <w:r>
              <w:rPr>
                <w:rFonts w:ascii="Times New Roman" w:hAnsi="Times New Roman" w:cs="Times New Roman" w:eastAsiaTheme="minorEastAsia"/>
                <w:b/>
                <w:bCs/>
                <w:color w:val="auto"/>
                <w:spacing w:val="-20"/>
                <w:kern w:val="0"/>
                <w:szCs w:val="21"/>
              </w:rPr>
              <w:t>4a</w:t>
            </w:r>
            <w:r>
              <w:rPr>
                <w:rFonts w:ascii="Times New Roman" w:cs="Times New Roman" w:hAnsiTheme="minorEastAsia" w:eastAsiaTheme="minorEastAsia"/>
                <w:b/>
                <w:bCs/>
                <w:color w:val="auto"/>
                <w:spacing w:val="-20"/>
                <w:kern w:val="0"/>
                <w:szCs w:val="21"/>
              </w:rPr>
              <w:t>类</w:t>
            </w:r>
          </w:p>
        </w:tc>
        <w:tc>
          <w:tcPr>
            <w:tcW w:w="708" w:type="dxa"/>
            <w:vAlign w:val="center"/>
          </w:tcPr>
          <w:p w14:paraId="47C69BAB">
            <w:pPr>
              <w:widowControl/>
              <w:jc w:val="center"/>
              <w:rPr>
                <w:rFonts w:ascii="Times New Roman" w:hAnsi="Times New Roman" w:cs="Times New Roman" w:eastAsiaTheme="minorEastAsia"/>
                <w:b/>
                <w:bCs/>
                <w:color w:val="auto"/>
                <w:spacing w:val="-20"/>
                <w:kern w:val="0"/>
                <w:szCs w:val="21"/>
              </w:rPr>
            </w:pPr>
            <w:r>
              <w:rPr>
                <w:rFonts w:ascii="Times New Roman" w:hAnsi="Times New Roman" w:cs="Times New Roman" w:eastAsiaTheme="minorEastAsia"/>
                <w:b/>
                <w:bCs/>
                <w:color w:val="auto"/>
                <w:spacing w:val="-20"/>
                <w:kern w:val="0"/>
                <w:szCs w:val="21"/>
              </w:rPr>
              <w:t>2</w:t>
            </w:r>
            <w:r>
              <w:rPr>
                <w:rFonts w:ascii="Times New Roman" w:cs="Times New Roman" w:hAnsiTheme="minorEastAsia" w:eastAsiaTheme="minorEastAsia"/>
                <w:b/>
                <w:bCs/>
                <w:color w:val="auto"/>
                <w:spacing w:val="-20"/>
                <w:kern w:val="0"/>
                <w:szCs w:val="21"/>
              </w:rPr>
              <w:t>类</w:t>
            </w:r>
          </w:p>
        </w:tc>
        <w:tc>
          <w:tcPr>
            <w:tcW w:w="4582" w:type="dxa"/>
            <w:vMerge w:val="continue"/>
            <w:vAlign w:val="center"/>
          </w:tcPr>
          <w:p w14:paraId="3A55E23C">
            <w:pPr>
              <w:widowControl/>
              <w:jc w:val="center"/>
              <w:rPr>
                <w:rFonts w:ascii="Times New Roman" w:hAnsi="Times New Roman" w:cs="Times New Roman" w:eastAsiaTheme="minorEastAsia"/>
                <w:b/>
                <w:bCs/>
                <w:color w:val="auto"/>
                <w:spacing w:val="-20"/>
                <w:kern w:val="0"/>
                <w:szCs w:val="21"/>
              </w:rPr>
            </w:pPr>
          </w:p>
        </w:tc>
        <w:tc>
          <w:tcPr>
            <w:tcW w:w="2898" w:type="dxa"/>
            <w:vMerge w:val="continue"/>
            <w:vAlign w:val="center"/>
          </w:tcPr>
          <w:p w14:paraId="3886C4E3">
            <w:pPr>
              <w:widowControl/>
              <w:jc w:val="center"/>
              <w:rPr>
                <w:rFonts w:ascii="Times New Roman" w:hAnsi="Times New Roman" w:cs="Times New Roman" w:eastAsiaTheme="minorEastAsia"/>
                <w:color w:val="auto"/>
                <w:spacing w:val="-20"/>
                <w:kern w:val="0"/>
                <w:szCs w:val="21"/>
              </w:rPr>
            </w:pPr>
          </w:p>
        </w:tc>
      </w:tr>
      <w:bookmarkEnd w:id="125"/>
      <w:tr w14:paraId="18E628DC">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1152" w:hRule="atLeast"/>
          <w:tblHeader/>
          <w:jc w:val="center"/>
        </w:trPr>
        <w:tc>
          <w:tcPr>
            <w:tcW w:w="568" w:type="dxa"/>
            <w:vMerge w:val="restart"/>
            <w:noWrap/>
            <w:vAlign w:val="center"/>
          </w:tcPr>
          <w:p w14:paraId="7EE0B81F">
            <w:pPr>
              <w:widowControl/>
              <w:spacing w:line="300" w:lineRule="exact"/>
              <w:jc w:val="center"/>
              <w:rPr>
                <w:rFonts w:ascii="Times New Roman" w:hAnsi="Times New Roman" w:cs="Times New Roman" w:eastAsiaTheme="minorEastAsia"/>
                <w:color w:val="auto"/>
                <w:spacing w:val="-20"/>
                <w:kern w:val="0"/>
                <w:szCs w:val="21"/>
              </w:rPr>
            </w:pPr>
            <w:r>
              <w:rPr>
                <w:rFonts w:ascii="Times New Roman" w:hAnsi="Times New Roman" w:cs="Times New Roman" w:eastAsiaTheme="minorEastAsia"/>
                <w:color w:val="auto"/>
                <w:spacing w:val="-20"/>
                <w:kern w:val="0"/>
                <w:szCs w:val="21"/>
              </w:rPr>
              <w:t>24</w:t>
            </w:r>
          </w:p>
        </w:tc>
        <w:tc>
          <w:tcPr>
            <w:tcW w:w="694" w:type="dxa"/>
            <w:vMerge w:val="restart"/>
            <w:vAlign w:val="center"/>
          </w:tcPr>
          <w:p w14:paraId="480EED4A">
            <w:pPr>
              <w:spacing w:line="300" w:lineRule="exact"/>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S311～高速口</w:t>
            </w:r>
          </w:p>
        </w:tc>
        <w:tc>
          <w:tcPr>
            <w:tcW w:w="1134" w:type="dxa"/>
            <w:vAlign w:val="center"/>
          </w:tcPr>
          <w:p w14:paraId="1AC820FE">
            <w:pPr>
              <w:widowControl/>
              <w:spacing w:line="300" w:lineRule="exact"/>
              <w:jc w:val="center"/>
              <w:rPr>
                <w:rFonts w:ascii="Times New Roman" w:hAnsi="Times New Roman" w:cs="Times New Roman" w:eastAsiaTheme="minorEastAsia"/>
                <w:color w:val="auto"/>
                <w:spacing w:val="-20"/>
                <w:kern w:val="0"/>
                <w:szCs w:val="21"/>
              </w:rPr>
            </w:pPr>
            <w:r>
              <w:rPr>
                <w:rFonts w:ascii="Times New Roman" w:hAnsi="Times New Roman" w:cs="Times New Roman" w:eastAsiaTheme="minorEastAsia"/>
                <w:color w:val="auto"/>
                <w:spacing w:val="-20"/>
                <w:szCs w:val="21"/>
              </w:rPr>
              <w:t>K</w:t>
            </w:r>
            <w:r>
              <w:rPr>
                <w:rFonts w:hint="eastAsia" w:ascii="Times New Roman" w:hAnsi="Times New Roman" w:cs="Times New Roman" w:eastAsiaTheme="minorEastAsia"/>
                <w:color w:val="auto"/>
                <w:spacing w:val="-20"/>
                <w:szCs w:val="21"/>
              </w:rPr>
              <w:t>46</w:t>
            </w:r>
            <w:r>
              <w:rPr>
                <w:rFonts w:ascii="Times New Roman" w:hAnsi="Times New Roman" w:cs="Times New Roman" w:eastAsiaTheme="minorEastAsia"/>
                <w:color w:val="auto"/>
                <w:spacing w:val="-20"/>
                <w:szCs w:val="21"/>
              </w:rPr>
              <w:t>+</w:t>
            </w:r>
            <w:r>
              <w:rPr>
                <w:rFonts w:hint="eastAsia" w:ascii="Times New Roman" w:hAnsi="Times New Roman" w:cs="Times New Roman" w:eastAsiaTheme="minorEastAsia"/>
                <w:color w:val="auto"/>
                <w:spacing w:val="-20"/>
                <w:szCs w:val="21"/>
              </w:rPr>
              <w:t>450</w:t>
            </w:r>
            <w:r>
              <w:rPr>
                <w:rFonts w:ascii="Times New Roman" w:cs="Times New Roman" w:hAnsiTheme="minorEastAsia" w:eastAsiaTheme="minorEastAsia"/>
                <w:color w:val="auto"/>
                <w:spacing w:val="-20"/>
                <w:szCs w:val="21"/>
              </w:rPr>
              <w:t>～</w:t>
            </w:r>
            <w:r>
              <w:rPr>
                <w:rFonts w:ascii="Times New Roman" w:hAnsi="Times New Roman" w:cs="Times New Roman" w:eastAsiaTheme="minorEastAsia"/>
                <w:color w:val="auto"/>
                <w:spacing w:val="-20"/>
                <w:szCs w:val="21"/>
              </w:rPr>
              <w:t>K</w:t>
            </w:r>
            <w:r>
              <w:rPr>
                <w:rFonts w:hint="eastAsia" w:ascii="Times New Roman" w:hAnsi="Times New Roman" w:cs="Times New Roman" w:eastAsiaTheme="minorEastAsia"/>
                <w:color w:val="auto"/>
                <w:spacing w:val="-20"/>
                <w:szCs w:val="21"/>
              </w:rPr>
              <w:t>46</w:t>
            </w:r>
            <w:r>
              <w:rPr>
                <w:rFonts w:ascii="Times New Roman" w:hAnsi="Times New Roman" w:cs="Times New Roman" w:eastAsiaTheme="minorEastAsia"/>
                <w:color w:val="auto"/>
                <w:spacing w:val="-20"/>
                <w:szCs w:val="21"/>
              </w:rPr>
              <w:t>+</w:t>
            </w:r>
            <w:r>
              <w:rPr>
                <w:rFonts w:hint="eastAsia" w:ascii="Times New Roman" w:hAnsi="Times New Roman" w:cs="Times New Roman" w:eastAsiaTheme="minorEastAsia"/>
                <w:color w:val="auto"/>
                <w:spacing w:val="-20"/>
                <w:szCs w:val="21"/>
              </w:rPr>
              <w:t>65</w:t>
            </w:r>
            <w:r>
              <w:rPr>
                <w:rFonts w:ascii="Times New Roman" w:hAnsi="Times New Roman" w:cs="Times New Roman" w:eastAsiaTheme="minorEastAsia"/>
                <w:color w:val="auto"/>
                <w:spacing w:val="-20"/>
                <w:szCs w:val="21"/>
              </w:rPr>
              <w:t>0</w:t>
            </w:r>
          </w:p>
        </w:tc>
        <w:tc>
          <w:tcPr>
            <w:tcW w:w="851" w:type="dxa"/>
            <w:vMerge w:val="restart"/>
            <w:vAlign w:val="center"/>
          </w:tcPr>
          <w:p w14:paraId="0E6A1284">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cs="Times New Roman" w:hAnsiTheme="minorEastAsia" w:eastAsiaTheme="minorEastAsia"/>
                <w:snapToGrid w:val="0"/>
                <w:color w:val="auto"/>
                <w:spacing w:val="-20"/>
                <w:kern w:val="0"/>
                <w:szCs w:val="21"/>
              </w:rPr>
              <w:t>阿克霍伊拉卡尔瓦克</w:t>
            </w:r>
          </w:p>
        </w:tc>
        <w:tc>
          <w:tcPr>
            <w:tcW w:w="850" w:type="dxa"/>
            <w:vMerge w:val="restart"/>
            <w:vAlign w:val="center"/>
          </w:tcPr>
          <w:p w14:paraId="703CDDE8">
            <w:pPr>
              <w:spacing w:line="300" w:lineRule="exact"/>
              <w:jc w:val="center"/>
              <w:rPr>
                <w:rFonts w:ascii="Times New Roman" w:hAnsi="Times New Roman" w:cs="Times New Roman" w:eastAsiaTheme="minorEastAsia"/>
                <w:color w:val="auto"/>
                <w:spacing w:val="-20"/>
                <w:kern w:val="0"/>
                <w:szCs w:val="21"/>
              </w:rPr>
            </w:pPr>
            <w:r>
              <w:rPr>
                <w:rFonts w:hint="eastAsia" w:ascii="Times New Roman" w:cs="Times New Roman" w:hAnsiTheme="minorEastAsia" w:eastAsiaTheme="minorEastAsia"/>
                <w:color w:val="auto"/>
                <w:spacing w:val="-20"/>
                <w:szCs w:val="21"/>
              </w:rPr>
              <w:t>伽师县</w:t>
            </w:r>
          </w:p>
        </w:tc>
        <w:tc>
          <w:tcPr>
            <w:tcW w:w="661" w:type="dxa"/>
            <w:vAlign w:val="center"/>
          </w:tcPr>
          <w:p w14:paraId="55D0D45B">
            <w:pPr>
              <w:widowControl/>
              <w:spacing w:line="300" w:lineRule="exact"/>
              <w:jc w:val="center"/>
              <w:rPr>
                <w:rFonts w:ascii="Times New Roman" w:hAnsi="Times New Roman" w:cs="Times New Roman" w:eastAsiaTheme="minorEastAsia"/>
                <w:color w:val="auto"/>
                <w:spacing w:val="-20"/>
                <w:kern w:val="0"/>
                <w:szCs w:val="21"/>
              </w:rPr>
            </w:pPr>
            <w:r>
              <w:rPr>
                <w:rFonts w:ascii="Times New Roman" w:cs="Times New Roman" w:hAnsiTheme="minorEastAsia" w:eastAsiaTheme="minorEastAsia"/>
                <w:color w:val="auto"/>
                <w:spacing w:val="-20"/>
                <w:szCs w:val="21"/>
              </w:rPr>
              <w:t>路右</w:t>
            </w:r>
          </w:p>
        </w:tc>
        <w:tc>
          <w:tcPr>
            <w:tcW w:w="662" w:type="dxa"/>
            <w:vMerge w:val="restart"/>
            <w:vAlign w:val="center"/>
          </w:tcPr>
          <w:p w14:paraId="1EEEF6D3">
            <w:pPr>
              <w:widowControl/>
              <w:spacing w:line="300" w:lineRule="exact"/>
              <w:jc w:val="center"/>
              <w:rPr>
                <w:rFonts w:ascii="Times New Roman" w:cs="Times New Roman" w:hAnsiTheme="minorEastAsia" w:eastAsiaTheme="minorEastAsia"/>
                <w:color w:val="auto"/>
                <w:spacing w:val="-20"/>
                <w:szCs w:val="21"/>
              </w:rPr>
            </w:pPr>
            <w:r>
              <w:rPr>
                <w:rFonts w:hint="eastAsia" w:ascii="Times New Roman" w:cs="Times New Roman" w:hAnsiTheme="minorEastAsia" w:eastAsiaTheme="minorEastAsia"/>
                <w:color w:val="auto"/>
                <w:spacing w:val="-20"/>
                <w:szCs w:val="21"/>
              </w:rPr>
              <w:t>13</w:t>
            </w:r>
          </w:p>
        </w:tc>
        <w:tc>
          <w:tcPr>
            <w:tcW w:w="662" w:type="dxa"/>
            <w:vMerge w:val="restart"/>
            <w:vAlign w:val="center"/>
          </w:tcPr>
          <w:p w14:paraId="347A7F6F">
            <w:pPr>
              <w:widowControl/>
              <w:spacing w:line="300" w:lineRule="exact"/>
              <w:jc w:val="center"/>
              <w:rPr>
                <w:rFonts w:ascii="Times New Roman" w:cs="Times New Roman" w:hAnsiTheme="minorEastAsia" w:eastAsiaTheme="minorEastAsia"/>
                <w:color w:val="auto"/>
                <w:spacing w:val="-20"/>
                <w:szCs w:val="21"/>
              </w:rPr>
            </w:pPr>
            <w:r>
              <w:rPr>
                <w:rFonts w:hint="eastAsia" w:ascii="Times New Roman" w:cs="Times New Roman" w:hAnsiTheme="minorEastAsia" w:eastAsiaTheme="minorEastAsia"/>
                <w:color w:val="auto"/>
                <w:spacing w:val="-20"/>
                <w:szCs w:val="21"/>
              </w:rPr>
              <w:t>1.5</w:t>
            </w:r>
          </w:p>
        </w:tc>
        <w:tc>
          <w:tcPr>
            <w:tcW w:w="567" w:type="dxa"/>
            <w:vAlign w:val="center"/>
          </w:tcPr>
          <w:p w14:paraId="5D7E7834">
            <w:pPr>
              <w:widowControl/>
              <w:spacing w:line="300" w:lineRule="exact"/>
              <w:jc w:val="center"/>
              <w:rPr>
                <w:rFonts w:ascii="Times New Roman" w:hAnsi="Times New Roman" w:cs="Times New Roman" w:eastAsiaTheme="minorEastAsia"/>
                <w:color w:val="auto"/>
                <w:spacing w:val="-20"/>
                <w:kern w:val="0"/>
                <w:szCs w:val="21"/>
              </w:rPr>
            </w:pPr>
            <w:r>
              <w:rPr>
                <w:rFonts w:ascii="Times New Roman" w:cs="Times New Roman" w:hAnsiTheme="minorEastAsia" w:eastAsiaTheme="minorEastAsia"/>
                <w:color w:val="auto"/>
                <w:spacing w:val="-20"/>
                <w:szCs w:val="21"/>
              </w:rPr>
              <w:t>路右</w:t>
            </w:r>
          </w:p>
        </w:tc>
        <w:tc>
          <w:tcPr>
            <w:tcW w:w="708" w:type="dxa"/>
            <w:vMerge w:val="restart"/>
            <w:vAlign w:val="center"/>
          </w:tcPr>
          <w:p w14:paraId="5927654F">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22</w:t>
            </w:r>
          </w:p>
        </w:tc>
        <w:tc>
          <w:tcPr>
            <w:tcW w:w="709" w:type="dxa"/>
            <w:vMerge w:val="restart"/>
            <w:vAlign w:val="center"/>
          </w:tcPr>
          <w:p w14:paraId="453EF420">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4</w:t>
            </w:r>
          </w:p>
        </w:tc>
        <w:tc>
          <w:tcPr>
            <w:tcW w:w="992" w:type="dxa"/>
            <w:vMerge w:val="restart"/>
            <w:vAlign w:val="center"/>
          </w:tcPr>
          <w:p w14:paraId="2E3E14D2">
            <w:pPr>
              <w:spacing w:line="300" w:lineRule="exact"/>
              <w:jc w:val="center"/>
              <w:rPr>
                <w:rFonts w:ascii="Times New Roman" w:hAnsi="Times New Roman" w:cs="Times New Roman" w:eastAsiaTheme="minorEastAsia"/>
                <w:color w:val="auto"/>
                <w:spacing w:val="-20"/>
                <w:kern w:val="0"/>
                <w:szCs w:val="21"/>
              </w:rPr>
            </w:pPr>
            <w:r>
              <w:rPr>
                <w:rFonts w:ascii="Times New Roman" w:hAnsi="Times New Roman" w:cs="Times New Roman" w:eastAsiaTheme="minorEastAsia"/>
                <w:color w:val="auto"/>
                <w:spacing w:val="-20"/>
                <w:kern w:val="0"/>
                <w:szCs w:val="21"/>
              </w:rPr>
              <w:t>0</w:t>
            </w:r>
          </w:p>
        </w:tc>
        <w:tc>
          <w:tcPr>
            <w:tcW w:w="993" w:type="dxa"/>
            <w:vMerge w:val="restart"/>
            <w:vAlign w:val="center"/>
          </w:tcPr>
          <w:p w14:paraId="5639C877">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1.5</w:t>
            </w:r>
          </w:p>
        </w:tc>
        <w:tc>
          <w:tcPr>
            <w:tcW w:w="567" w:type="dxa"/>
            <w:vMerge w:val="restart"/>
            <w:vAlign w:val="center"/>
          </w:tcPr>
          <w:p w14:paraId="05D943B4">
            <w:pPr>
              <w:widowControl/>
              <w:spacing w:line="300" w:lineRule="exact"/>
              <w:jc w:val="center"/>
              <w:rPr>
                <w:rFonts w:ascii="Times New Roman" w:hAnsi="Times New Roman" w:cs="Times New Roman" w:eastAsiaTheme="minorEastAsia"/>
                <w:color w:val="auto"/>
                <w:spacing w:val="-20"/>
                <w:kern w:val="0"/>
                <w:szCs w:val="21"/>
              </w:rPr>
            </w:pPr>
            <w:r>
              <w:rPr>
                <w:rFonts w:ascii="Times New Roman" w:cs="Times New Roman" w:hAnsiTheme="minorEastAsia" w:eastAsiaTheme="minorEastAsia"/>
                <w:color w:val="auto"/>
                <w:spacing w:val="-20"/>
                <w:kern w:val="0"/>
                <w:szCs w:val="21"/>
              </w:rPr>
              <w:t>路基</w:t>
            </w:r>
          </w:p>
        </w:tc>
        <w:tc>
          <w:tcPr>
            <w:tcW w:w="992" w:type="dxa"/>
            <w:vMerge w:val="restart"/>
            <w:vAlign w:val="center"/>
          </w:tcPr>
          <w:p w14:paraId="2D3AEFE7">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53</w:t>
            </w:r>
          </w:p>
        </w:tc>
        <w:tc>
          <w:tcPr>
            <w:tcW w:w="709" w:type="dxa"/>
            <w:vMerge w:val="restart"/>
            <w:vAlign w:val="center"/>
          </w:tcPr>
          <w:p w14:paraId="7F499A5E">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15</w:t>
            </w:r>
          </w:p>
        </w:tc>
        <w:tc>
          <w:tcPr>
            <w:tcW w:w="708" w:type="dxa"/>
            <w:vMerge w:val="restart"/>
            <w:vAlign w:val="center"/>
          </w:tcPr>
          <w:p w14:paraId="560B3A0C">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30</w:t>
            </w:r>
          </w:p>
        </w:tc>
        <w:tc>
          <w:tcPr>
            <w:tcW w:w="4582" w:type="dxa"/>
            <w:vMerge w:val="restart"/>
            <w:vAlign w:val="center"/>
          </w:tcPr>
          <w:p w14:paraId="6CBBBAC1">
            <w:pPr>
              <w:widowControl/>
              <w:spacing w:line="300" w:lineRule="exact"/>
              <w:rPr>
                <w:rFonts w:ascii="Times New Roman" w:hAnsi="Times New Roman" w:cs="Times New Roman" w:eastAsiaTheme="minorEastAsia"/>
                <w:color w:val="auto"/>
                <w:spacing w:val="0"/>
                <w:kern w:val="0"/>
                <w:sz w:val="21"/>
                <w:szCs w:val="21"/>
              </w:rPr>
            </w:pPr>
            <w:r>
              <w:rPr>
                <w:rFonts w:ascii="Times New Roman" w:cs="Times New Roman" w:hAnsiTheme="minorEastAsia" w:eastAsiaTheme="minorEastAsia"/>
                <w:color w:val="auto"/>
                <w:spacing w:val="0"/>
                <w:kern w:val="0"/>
                <w:sz w:val="21"/>
                <w:szCs w:val="21"/>
              </w:rPr>
              <w:t>路线以填方路基形式经过村庄。评价范围内现有居民</w:t>
            </w:r>
            <w:r>
              <w:rPr>
                <w:rFonts w:hint="eastAsia" w:ascii="Times New Roman" w:hAnsi="Times New Roman" w:cs="Times New Roman" w:eastAsiaTheme="minorEastAsia"/>
                <w:color w:val="auto"/>
                <w:spacing w:val="0"/>
                <w:kern w:val="0"/>
                <w:sz w:val="21"/>
                <w:szCs w:val="21"/>
              </w:rPr>
              <w:t>45</w:t>
            </w:r>
            <w:r>
              <w:rPr>
                <w:rFonts w:ascii="Times New Roman" w:cs="Times New Roman" w:hAnsiTheme="minorEastAsia" w:eastAsiaTheme="minorEastAsia"/>
                <w:color w:val="auto"/>
                <w:spacing w:val="0"/>
                <w:kern w:val="0"/>
                <w:sz w:val="21"/>
                <w:szCs w:val="21"/>
              </w:rPr>
              <w:t>户，首排</w:t>
            </w:r>
            <w:r>
              <w:rPr>
                <w:rFonts w:hint="eastAsia" w:ascii="Times New Roman" w:hAnsi="Times New Roman" w:cs="Times New Roman" w:eastAsiaTheme="minorEastAsia"/>
                <w:color w:val="auto"/>
                <w:spacing w:val="0"/>
                <w:kern w:val="0"/>
                <w:sz w:val="21"/>
                <w:szCs w:val="21"/>
              </w:rPr>
              <w:t>8</w:t>
            </w:r>
            <w:r>
              <w:rPr>
                <w:rFonts w:ascii="Times New Roman" w:cs="Times New Roman" w:hAnsiTheme="minorEastAsia" w:eastAsiaTheme="minorEastAsia"/>
                <w:color w:val="auto"/>
                <w:spacing w:val="0"/>
                <w:kern w:val="0"/>
                <w:sz w:val="21"/>
                <w:szCs w:val="21"/>
              </w:rPr>
              <w:t>户，</w:t>
            </w:r>
            <w:r>
              <w:rPr>
                <w:rFonts w:hint="eastAsia" w:ascii="Times New Roman" w:cs="Times New Roman" w:hAnsiTheme="minorEastAsia" w:eastAsiaTheme="minorEastAsia"/>
                <w:color w:val="auto"/>
                <w:spacing w:val="0"/>
                <w:kern w:val="0"/>
                <w:sz w:val="21"/>
                <w:szCs w:val="21"/>
              </w:rPr>
              <w:t>主要</w:t>
            </w:r>
            <w:r>
              <w:rPr>
                <w:rFonts w:ascii="Times New Roman" w:cs="Times New Roman" w:hAnsiTheme="minorEastAsia" w:eastAsiaTheme="minorEastAsia"/>
                <w:color w:val="auto"/>
                <w:spacing w:val="0"/>
                <w:kern w:val="0"/>
                <w:sz w:val="21"/>
                <w:szCs w:val="21"/>
              </w:rPr>
              <w:t>为</w:t>
            </w:r>
            <w:r>
              <w:rPr>
                <w:rFonts w:ascii="Times New Roman" w:hAnsi="Times New Roman" w:cs="Times New Roman" w:eastAsiaTheme="minorEastAsia"/>
                <w:color w:val="auto"/>
                <w:spacing w:val="0"/>
                <w:kern w:val="0"/>
                <w:sz w:val="21"/>
                <w:szCs w:val="21"/>
              </w:rPr>
              <w:t>1</w:t>
            </w:r>
            <w:r>
              <w:rPr>
                <w:rFonts w:ascii="Times New Roman" w:cs="Times New Roman" w:hAnsiTheme="minorEastAsia" w:eastAsiaTheme="minorEastAsia"/>
                <w:color w:val="auto"/>
                <w:spacing w:val="0"/>
                <w:kern w:val="0"/>
                <w:sz w:val="21"/>
                <w:szCs w:val="21"/>
              </w:rPr>
              <w:t>层砖混房，房屋正侧向拟建公路。</w:t>
            </w:r>
            <w:r>
              <w:rPr>
                <w:rFonts w:ascii="Times New Roman" w:hAnsi="Times New Roman" w:eastAsia="宋体" w:cs="Times New Roman"/>
                <w:color w:val="auto"/>
                <w:spacing w:val="0"/>
                <w:kern w:val="0"/>
                <w:sz w:val="21"/>
                <w:szCs w:val="21"/>
              </w:rPr>
              <w:t>该路段利用现有</w:t>
            </w:r>
            <w:r>
              <w:rPr>
                <w:rFonts w:hint="eastAsia" w:ascii="Times New Roman" w:hAnsi="Times New Roman" w:eastAsia="宋体" w:cs="Times New Roman"/>
                <w:color w:val="auto"/>
                <w:spacing w:val="0"/>
                <w:kern w:val="0"/>
                <w:sz w:val="21"/>
                <w:szCs w:val="21"/>
              </w:rPr>
              <w:t>老路双侧加宽</w:t>
            </w:r>
            <w:r>
              <w:rPr>
                <w:rFonts w:ascii="Times New Roman" w:hAnsi="Times New Roman" w:eastAsia="宋体" w:cs="Times New Roman"/>
                <w:color w:val="auto"/>
                <w:spacing w:val="0"/>
                <w:kern w:val="0"/>
                <w:sz w:val="21"/>
                <w:szCs w:val="21"/>
              </w:rPr>
              <w:t>，有平交</w:t>
            </w:r>
            <w:r>
              <w:rPr>
                <w:rFonts w:hint="eastAsia" w:ascii="Times New Roman" w:hAnsi="Times New Roman" w:eastAsia="宋体" w:cs="Times New Roman"/>
                <w:color w:val="auto"/>
                <w:spacing w:val="0"/>
                <w:kern w:val="0"/>
                <w:sz w:val="21"/>
                <w:szCs w:val="21"/>
              </w:rPr>
              <w:t>路口</w:t>
            </w:r>
            <w:r>
              <w:rPr>
                <w:rFonts w:ascii="Times New Roman" w:hAnsi="Times New Roman" w:eastAsia="宋体" w:cs="Times New Roman"/>
                <w:color w:val="auto"/>
                <w:spacing w:val="0"/>
                <w:kern w:val="0"/>
                <w:sz w:val="21"/>
                <w:szCs w:val="21"/>
              </w:rPr>
              <w:t>，</w:t>
            </w:r>
            <w:r>
              <w:rPr>
                <w:rFonts w:ascii="Times New Roman" w:cs="Times New Roman" w:hAnsiTheme="minorEastAsia" w:eastAsiaTheme="minorEastAsia"/>
                <w:color w:val="auto"/>
                <w:spacing w:val="0"/>
                <w:kern w:val="0"/>
                <w:sz w:val="21"/>
                <w:szCs w:val="21"/>
              </w:rPr>
              <w:t>主要噪声源为现有</w:t>
            </w:r>
            <w:r>
              <w:rPr>
                <w:rFonts w:hint="eastAsia" w:ascii="Times New Roman" w:hAnsi="Times New Roman" w:cs="Times New Roman" w:eastAsiaTheme="minorEastAsia"/>
                <w:color w:val="auto"/>
                <w:spacing w:val="0"/>
                <w:kern w:val="0"/>
                <w:sz w:val="21"/>
                <w:szCs w:val="21"/>
              </w:rPr>
              <w:t>G219</w:t>
            </w:r>
            <w:r>
              <w:rPr>
                <w:rFonts w:ascii="Times New Roman" w:cs="Times New Roman" w:hAnsiTheme="minorEastAsia" w:eastAsiaTheme="minorEastAsia"/>
                <w:color w:val="auto"/>
                <w:spacing w:val="0"/>
                <w:kern w:val="0"/>
                <w:sz w:val="21"/>
                <w:szCs w:val="21"/>
              </w:rPr>
              <w:t>交通噪声和社会生活噪声。</w:t>
            </w:r>
          </w:p>
        </w:tc>
        <w:tc>
          <w:tcPr>
            <w:tcW w:w="2898" w:type="dxa"/>
            <w:vMerge w:val="restart"/>
            <w:vAlign w:val="center"/>
          </w:tcPr>
          <w:p w14:paraId="595147B6">
            <w:pPr>
              <w:widowControl/>
              <w:adjustRightInd w:val="0"/>
              <w:snapToGrid w:val="0"/>
              <w:jc w:val="center"/>
              <w:rPr>
                <w:rFonts w:ascii="Times New Roman" w:hAnsi="Times New Roman" w:cs="Times New Roman" w:eastAsiaTheme="minorEastAsia"/>
                <w:snapToGrid w:val="0"/>
                <w:color w:val="auto"/>
                <w:spacing w:val="-20"/>
                <w:kern w:val="0"/>
                <w:szCs w:val="21"/>
              </w:rPr>
            </w:pPr>
            <w:r>
              <w:rPr>
                <w:rFonts w:ascii="Times New Roman" w:hAnsi="Times New Roman" w:cs="Times New Roman" w:eastAsiaTheme="minorEastAsia"/>
                <w:color w:val="auto"/>
                <w:spacing w:val="-20"/>
                <w:kern w:val="0"/>
                <w:szCs w:val="21"/>
              </w:rPr>
              <w:drawing>
                <wp:inline distT="0" distB="0" distL="0" distR="0">
                  <wp:extent cx="1729105" cy="1295400"/>
                  <wp:effectExtent l="0" t="0" r="4445" b="0"/>
                  <wp:docPr id="962" name="图片 24" descr="E:\咨询项目\环评\新疆-G219线八盘水磨至伽师公路\外业踏勘记录及照片\DSC089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 name="图片 24" descr="E:\咨询项目\环评\新疆-G219线八盘水磨至伽师公路\外业踏勘记录及照片\DSC08986.JPG"/>
                          <pic:cNvPicPr>
                            <a:picLocks noChangeAspect="1" noChangeArrowheads="1"/>
                          </pic:cNvPicPr>
                        </pic:nvPicPr>
                        <pic:blipFill>
                          <a:blip r:embed="rId179" cstate="print"/>
                          <a:srcRect/>
                          <a:stretch>
                            <a:fillRect/>
                          </a:stretch>
                        </pic:blipFill>
                        <pic:spPr>
                          <a:xfrm>
                            <a:off x="0" y="0"/>
                            <a:ext cx="1729728" cy="1296000"/>
                          </a:xfrm>
                          <a:prstGeom prst="rect">
                            <a:avLst/>
                          </a:prstGeom>
                          <a:noFill/>
                          <a:ln w="9525">
                            <a:noFill/>
                            <a:miter lim="800000"/>
                            <a:headEnd/>
                            <a:tailEnd/>
                          </a:ln>
                        </pic:spPr>
                      </pic:pic>
                    </a:graphicData>
                  </a:graphic>
                </wp:inline>
              </w:drawing>
            </w:r>
          </w:p>
        </w:tc>
      </w:tr>
      <w:tr w14:paraId="4918287B">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937" w:hRule="atLeast"/>
          <w:tblHeader/>
          <w:jc w:val="center"/>
        </w:trPr>
        <w:tc>
          <w:tcPr>
            <w:tcW w:w="568" w:type="dxa"/>
            <w:vMerge w:val="continue"/>
            <w:noWrap/>
            <w:vAlign w:val="center"/>
          </w:tcPr>
          <w:p w14:paraId="3FEFF4C7">
            <w:pPr>
              <w:widowControl/>
              <w:spacing w:line="300" w:lineRule="exact"/>
              <w:jc w:val="center"/>
              <w:rPr>
                <w:rFonts w:ascii="Times New Roman" w:hAnsi="Times New Roman" w:cs="Times New Roman" w:eastAsiaTheme="minorEastAsia"/>
                <w:color w:val="auto"/>
                <w:spacing w:val="-20"/>
                <w:kern w:val="0"/>
                <w:szCs w:val="21"/>
              </w:rPr>
            </w:pPr>
          </w:p>
        </w:tc>
        <w:tc>
          <w:tcPr>
            <w:tcW w:w="694" w:type="dxa"/>
            <w:vMerge w:val="continue"/>
            <w:vAlign w:val="center"/>
          </w:tcPr>
          <w:p w14:paraId="5A750826">
            <w:pPr>
              <w:spacing w:line="300" w:lineRule="exact"/>
              <w:jc w:val="center"/>
              <w:rPr>
                <w:rFonts w:ascii="Times New Roman" w:hAnsi="Times New Roman" w:cs="Times New Roman" w:eastAsiaTheme="minorEastAsia"/>
                <w:color w:val="auto"/>
                <w:spacing w:val="-20"/>
                <w:kern w:val="0"/>
                <w:szCs w:val="21"/>
              </w:rPr>
            </w:pPr>
          </w:p>
        </w:tc>
        <w:tc>
          <w:tcPr>
            <w:tcW w:w="1134" w:type="dxa"/>
            <w:vAlign w:val="center"/>
          </w:tcPr>
          <w:p w14:paraId="0D4F22A0">
            <w:pPr>
              <w:widowControl/>
              <w:spacing w:line="300" w:lineRule="exact"/>
              <w:jc w:val="center"/>
              <w:rPr>
                <w:rFonts w:ascii="Times New Roman" w:hAnsi="Times New Roman" w:cs="Times New Roman" w:eastAsiaTheme="minorEastAsia"/>
                <w:color w:val="auto"/>
                <w:spacing w:val="-20"/>
                <w:szCs w:val="21"/>
              </w:rPr>
            </w:pPr>
            <w:bookmarkStart w:id="126" w:name="OLE_LINK1"/>
            <w:r>
              <w:rPr>
                <w:rFonts w:ascii="Times New Roman" w:hAnsi="Times New Roman" w:cs="Times New Roman" w:eastAsiaTheme="minorEastAsia"/>
                <w:color w:val="auto"/>
                <w:spacing w:val="-20"/>
                <w:szCs w:val="21"/>
              </w:rPr>
              <w:t>K</w:t>
            </w:r>
            <w:r>
              <w:rPr>
                <w:rFonts w:hint="eastAsia" w:ascii="Times New Roman" w:hAnsi="Times New Roman" w:cs="Times New Roman" w:eastAsiaTheme="minorEastAsia"/>
                <w:color w:val="auto"/>
                <w:spacing w:val="-20"/>
                <w:szCs w:val="21"/>
              </w:rPr>
              <w:t>46</w:t>
            </w:r>
            <w:r>
              <w:rPr>
                <w:rFonts w:ascii="Times New Roman" w:hAnsi="Times New Roman" w:cs="Times New Roman" w:eastAsiaTheme="minorEastAsia"/>
                <w:color w:val="auto"/>
                <w:spacing w:val="-20"/>
                <w:szCs w:val="21"/>
              </w:rPr>
              <w:t>+</w:t>
            </w:r>
            <w:r>
              <w:rPr>
                <w:rFonts w:hint="eastAsia" w:ascii="Times New Roman" w:hAnsi="Times New Roman" w:cs="Times New Roman" w:eastAsiaTheme="minorEastAsia"/>
                <w:color w:val="auto"/>
                <w:spacing w:val="-20"/>
                <w:szCs w:val="21"/>
              </w:rPr>
              <w:t>550</w:t>
            </w:r>
            <w:r>
              <w:rPr>
                <w:rFonts w:ascii="Times New Roman" w:cs="Times New Roman" w:hAnsiTheme="minorEastAsia" w:eastAsiaTheme="minorEastAsia"/>
                <w:color w:val="auto"/>
                <w:spacing w:val="-20"/>
                <w:szCs w:val="21"/>
              </w:rPr>
              <w:t>～</w:t>
            </w:r>
            <w:r>
              <w:rPr>
                <w:rFonts w:ascii="Times New Roman" w:hAnsi="Times New Roman" w:cs="Times New Roman" w:eastAsiaTheme="minorEastAsia"/>
                <w:color w:val="auto"/>
                <w:spacing w:val="-20"/>
                <w:szCs w:val="21"/>
              </w:rPr>
              <w:t>K</w:t>
            </w:r>
            <w:r>
              <w:rPr>
                <w:rFonts w:hint="eastAsia" w:ascii="Times New Roman" w:hAnsi="Times New Roman" w:cs="Times New Roman" w:eastAsiaTheme="minorEastAsia"/>
                <w:color w:val="auto"/>
                <w:spacing w:val="-20"/>
                <w:szCs w:val="21"/>
              </w:rPr>
              <w:t>46</w:t>
            </w:r>
            <w:r>
              <w:rPr>
                <w:rFonts w:ascii="Times New Roman" w:hAnsi="Times New Roman" w:cs="Times New Roman" w:eastAsiaTheme="minorEastAsia"/>
                <w:color w:val="auto"/>
                <w:spacing w:val="-20"/>
                <w:szCs w:val="21"/>
              </w:rPr>
              <w:t>+</w:t>
            </w:r>
            <w:r>
              <w:rPr>
                <w:rFonts w:hint="eastAsia" w:ascii="Times New Roman" w:hAnsi="Times New Roman" w:cs="Times New Roman" w:eastAsiaTheme="minorEastAsia"/>
                <w:color w:val="auto"/>
                <w:spacing w:val="-20"/>
                <w:szCs w:val="21"/>
              </w:rPr>
              <w:t>65</w:t>
            </w:r>
            <w:r>
              <w:rPr>
                <w:rFonts w:ascii="Times New Roman" w:hAnsi="Times New Roman" w:cs="Times New Roman" w:eastAsiaTheme="minorEastAsia"/>
                <w:color w:val="auto"/>
                <w:spacing w:val="-20"/>
                <w:szCs w:val="21"/>
              </w:rPr>
              <w:t>0</w:t>
            </w:r>
            <w:bookmarkEnd w:id="126"/>
          </w:p>
        </w:tc>
        <w:tc>
          <w:tcPr>
            <w:tcW w:w="851" w:type="dxa"/>
            <w:vMerge w:val="continue"/>
            <w:vAlign w:val="center"/>
          </w:tcPr>
          <w:p w14:paraId="5B26946A">
            <w:pPr>
              <w:widowControl/>
              <w:spacing w:line="300" w:lineRule="exact"/>
              <w:jc w:val="center"/>
              <w:rPr>
                <w:rFonts w:ascii="Times New Roman" w:cs="Times New Roman" w:hAnsiTheme="minorEastAsia" w:eastAsiaTheme="minorEastAsia"/>
                <w:snapToGrid w:val="0"/>
                <w:color w:val="auto"/>
                <w:spacing w:val="-20"/>
                <w:kern w:val="0"/>
                <w:szCs w:val="21"/>
              </w:rPr>
            </w:pPr>
          </w:p>
        </w:tc>
        <w:tc>
          <w:tcPr>
            <w:tcW w:w="850" w:type="dxa"/>
            <w:vMerge w:val="continue"/>
            <w:vAlign w:val="center"/>
          </w:tcPr>
          <w:p w14:paraId="52C27669">
            <w:pPr>
              <w:spacing w:line="300" w:lineRule="exact"/>
              <w:jc w:val="center"/>
              <w:rPr>
                <w:rFonts w:ascii="Times New Roman" w:hAnsi="Times New Roman" w:cs="Times New Roman" w:eastAsiaTheme="minorEastAsia"/>
                <w:color w:val="auto"/>
                <w:spacing w:val="-20"/>
                <w:kern w:val="0"/>
                <w:szCs w:val="21"/>
              </w:rPr>
            </w:pPr>
          </w:p>
        </w:tc>
        <w:tc>
          <w:tcPr>
            <w:tcW w:w="661" w:type="dxa"/>
            <w:vAlign w:val="center"/>
          </w:tcPr>
          <w:p w14:paraId="6747D21C">
            <w:pPr>
              <w:widowControl/>
              <w:spacing w:line="300" w:lineRule="exact"/>
              <w:jc w:val="center"/>
              <w:rPr>
                <w:rFonts w:ascii="Times New Roman" w:cs="Times New Roman" w:hAnsiTheme="minorEastAsia" w:eastAsiaTheme="minorEastAsia"/>
                <w:color w:val="auto"/>
                <w:spacing w:val="-20"/>
                <w:szCs w:val="21"/>
              </w:rPr>
            </w:pPr>
            <w:r>
              <w:rPr>
                <w:rFonts w:ascii="Times New Roman" w:cs="Times New Roman" w:hAnsiTheme="minorEastAsia" w:eastAsiaTheme="minorEastAsia"/>
                <w:color w:val="auto"/>
                <w:spacing w:val="-20"/>
                <w:szCs w:val="21"/>
              </w:rPr>
              <w:t>路左</w:t>
            </w:r>
          </w:p>
        </w:tc>
        <w:tc>
          <w:tcPr>
            <w:tcW w:w="662" w:type="dxa"/>
            <w:vMerge w:val="continue"/>
            <w:vAlign w:val="center"/>
          </w:tcPr>
          <w:p w14:paraId="584999B7">
            <w:pPr>
              <w:widowControl/>
              <w:spacing w:line="300" w:lineRule="exact"/>
              <w:jc w:val="center"/>
              <w:rPr>
                <w:rFonts w:ascii="Times New Roman" w:cs="Times New Roman" w:hAnsiTheme="minorEastAsia" w:eastAsiaTheme="minorEastAsia"/>
                <w:color w:val="auto"/>
                <w:spacing w:val="-20"/>
                <w:szCs w:val="21"/>
              </w:rPr>
            </w:pPr>
          </w:p>
        </w:tc>
        <w:tc>
          <w:tcPr>
            <w:tcW w:w="662" w:type="dxa"/>
            <w:vMerge w:val="continue"/>
            <w:vAlign w:val="center"/>
          </w:tcPr>
          <w:p w14:paraId="4507A42E">
            <w:pPr>
              <w:widowControl/>
              <w:spacing w:line="300" w:lineRule="exact"/>
              <w:jc w:val="center"/>
              <w:rPr>
                <w:rFonts w:ascii="Times New Roman" w:cs="Times New Roman" w:hAnsiTheme="minorEastAsia" w:eastAsiaTheme="minorEastAsia"/>
                <w:color w:val="auto"/>
                <w:spacing w:val="-20"/>
                <w:szCs w:val="21"/>
              </w:rPr>
            </w:pPr>
          </w:p>
        </w:tc>
        <w:tc>
          <w:tcPr>
            <w:tcW w:w="567" w:type="dxa"/>
            <w:vAlign w:val="center"/>
          </w:tcPr>
          <w:p w14:paraId="256CBEE7">
            <w:pPr>
              <w:widowControl/>
              <w:spacing w:line="300" w:lineRule="exact"/>
              <w:jc w:val="center"/>
              <w:rPr>
                <w:rFonts w:ascii="Times New Roman" w:cs="Times New Roman" w:hAnsiTheme="minorEastAsia" w:eastAsiaTheme="minorEastAsia"/>
                <w:color w:val="auto"/>
                <w:spacing w:val="-20"/>
                <w:szCs w:val="21"/>
              </w:rPr>
            </w:pPr>
            <w:r>
              <w:rPr>
                <w:rFonts w:ascii="Times New Roman" w:cs="Times New Roman" w:hAnsiTheme="minorEastAsia" w:eastAsiaTheme="minorEastAsia"/>
                <w:color w:val="auto"/>
                <w:spacing w:val="-20"/>
                <w:szCs w:val="21"/>
              </w:rPr>
              <w:t>路左</w:t>
            </w:r>
          </w:p>
        </w:tc>
        <w:tc>
          <w:tcPr>
            <w:tcW w:w="708" w:type="dxa"/>
            <w:vMerge w:val="continue"/>
            <w:vAlign w:val="center"/>
          </w:tcPr>
          <w:p w14:paraId="2731358E">
            <w:pPr>
              <w:widowControl/>
              <w:spacing w:line="300" w:lineRule="exact"/>
              <w:jc w:val="center"/>
              <w:rPr>
                <w:rFonts w:ascii="Times New Roman" w:hAnsi="Times New Roman" w:cs="Times New Roman" w:eastAsiaTheme="minorEastAsia"/>
                <w:color w:val="auto"/>
                <w:spacing w:val="-20"/>
                <w:szCs w:val="21"/>
              </w:rPr>
            </w:pPr>
          </w:p>
        </w:tc>
        <w:tc>
          <w:tcPr>
            <w:tcW w:w="709" w:type="dxa"/>
            <w:vMerge w:val="continue"/>
            <w:vAlign w:val="center"/>
          </w:tcPr>
          <w:p w14:paraId="0EA3D1C1">
            <w:pPr>
              <w:widowControl/>
              <w:spacing w:line="300" w:lineRule="exact"/>
              <w:jc w:val="center"/>
              <w:rPr>
                <w:rFonts w:ascii="Times New Roman" w:hAnsi="Times New Roman" w:cs="Times New Roman" w:eastAsiaTheme="minorEastAsia"/>
                <w:color w:val="auto"/>
                <w:spacing w:val="-20"/>
                <w:kern w:val="0"/>
                <w:szCs w:val="21"/>
              </w:rPr>
            </w:pPr>
          </w:p>
        </w:tc>
        <w:tc>
          <w:tcPr>
            <w:tcW w:w="992" w:type="dxa"/>
            <w:vMerge w:val="continue"/>
            <w:vAlign w:val="center"/>
          </w:tcPr>
          <w:p w14:paraId="1E411B23">
            <w:pPr>
              <w:spacing w:line="300" w:lineRule="exact"/>
              <w:jc w:val="center"/>
              <w:rPr>
                <w:rFonts w:ascii="Times New Roman" w:hAnsi="Times New Roman" w:cs="Times New Roman" w:eastAsiaTheme="minorEastAsia"/>
                <w:color w:val="auto"/>
                <w:spacing w:val="-20"/>
                <w:kern w:val="0"/>
                <w:szCs w:val="21"/>
              </w:rPr>
            </w:pPr>
          </w:p>
        </w:tc>
        <w:tc>
          <w:tcPr>
            <w:tcW w:w="993" w:type="dxa"/>
            <w:vMerge w:val="continue"/>
            <w:vAlign w:val="center"/>
          </w:tcPr>
          <w:p w14:paraId="4CCE43A3">
            <w:pPr>
              <w:widowControl/>
              <w:spacing w:line="300" w:lineRule="exact"/>
              <w:jc w:val="center"/>
              <w:rPr>
                <w:rFonts w:ascii="Times New Roman" w:hAnsi="Times New Roman" w:cs="Times New Roman" w:eastAsiaTheme="minorEastAsia"/>
                <w:color w:val="auto"/>
                <w:spacing w:val="-20"/>
                <w:kern w:val="0"/>
                <w:szCs w:val="21"/>
              </w:rPr>
            </w:pPr>
          </w:p>
        </w:tc>
        <w:tc>
          <w:tcPr>
            <w:tcW w:w="567" w:type="dxa"/>
            <w:vMerge w:val="continue"/>
            <w:vAlign w:val="center"/>
          </w:tcPr>
          <w:p w14:paraId="7DE7CB5F">
            <w:pPr>
              <w:widowControl/>
              <w:spacing w:line="300" w:lineRule="exact"/>
              <w:jc w:val="center"/>
              <w:rPr>
                <w:rFonts w:ascii="Times New Roman" w:cs="Times New Roman" w:hAnsiTheme="minorEastAsia" w:eastAsiaTheme="minorEastAsia"/>
                <w:color w:val="auto"/>
                <w:spacing w:val="-20"/>
                <w:kern w:val="0"/>
                <w:szCs w:val="21"/>
              </w:rPr>
            </w:pPr>
          </w:p>
        </w:tc>
        <w:tc>
          <w:tcPr>
            <w:tcW w:w="992" w:type="dxa"/>
            <w:vMerge w:val="continue"/>
            <w:vAlign w:val="center"/>
          </w:tcPr>
          <w:p w14:paraId="7C5F61C9">
            <w:pPr>
              <w:widowControl/>
              <w:spacing w:line="300" w:lineRule="exact"/>
              <w:jc w:val="center"/>
              <w:rPr>
                <w:rFonts w:ascii="Times New Roman" w:hAnsi="Times New Roman" w:cs="Times New Roman" w:eastAsiaTheme="minorEastAsia"/>
                <w:color w:val="auto"/>
                <w:spacing w:val="-20"/>
                <w:kern w:val="0"/>
                <w:szCs w:val="21"/>
              </w:rPr>
            </w:pPr>
          </w:p>
        </w:tc>
        <w:tc>
          <w:tcPr>
            <w:tcW w:w="709" w:type="dxa"/>
            <w:vMerge w:val="continue"/>
            <w:vAlign w:val="center"/>
          </w:tcPr>
          <w:p w14:paraId="22750190">
            <w:pPr>
              <w:widowControl/>
              <w:spacing w:line="300" w:lineRule="exact"/>
              <w:jc w:val="center"/>
              <w:rPr>
                <w:rFonts w:ascii="Times New Roman" w:hAnsi="Times New Roman" w:cs="Times New Roman" w:eastAsiaTheme="minorEastAsia"/>
                <w:color w:val="auto"/>
                <w:spacing w:val="-20"/>
                <w:kern w:val="0"/>
                <w:szCs w:val="21"/>
              </w:rPr>
            </w:pPr>
          </w:p>
        </w:tc>
        <w:tc>
          <w:tcPr>
            <w:tcW w:w="708" w:type="dxa"/>
            <w:vMerge w:val="continue"/>
            <w:vAlign w:val="center"/>
          </w:tcPr>
          <w:p w14:paraId="2F011166">
            <w:pPr>
              <w:widowControl/>
              <w:spacing w:line="300" w:lineRule="exact"/>
              <w:jc w:val="center"/>
              <w:rPr>
                <w:rFonts w:ascii="Times New Roman" w:hAnsi="Times New Roman" w:cs="Times New Roman" w:eastAsiaTheme="minorEastAsia"/>
                <w:color w:val="auto"/>
                <w:spacing w:val="-20"/>
                <w:kern w:val="0"/>
                <w:szCs w:val="21"/>
              </w:rPr>
            </w:pPr>
          </w:p>
        </w:tc>
        <w:tc>
          <w:tcPr>
            <w:tcW w:w="4582" w:type="dxa"/>
            <w:vMerge w:val="continue"/>
            <w:vAlign w:val="center"/>
          </w:tcPr>
          <w:p w14:paraId="4899AB12">
            <w:pPr>
              <w:widowControl/>
              <w:spacing w:line="300" w:lineRule="exact"/>
              <w:rPr>
                <w:rFonts w:ascii="Times New Roman" w:cs="Times New Roman" w:hAnsiTheme="minorEastAsia" w:eastAsiaTheme="minorEastAsia"/>
                <w:color w:val="auto"/>
                <w:spacing w:val="0"/>
                <w:kern w:val="0"/>
                <w:sz w:val="21"/>
                <w:szCs w:val="21"/>
              </w:rPr>
            </w:pPr>
          </w:p>
        </w:tc>
        <w:tc>
          <w:tcPr>
            <w:tcW w:w="2898" w:type="dxa"/>
            <w:vMerge w:val="continue"/>
            <w:vAlign w:val="center"/>
          </w:tcPr>
          <w:p w14:paraId="4687F502">
            <w:pPr>
              <w:widowControl/>
              <w:adjustRightInd w:val="0"/>
              <w:snapToGrid w:val="0"/>
              <w:jc w:val="center"/>
              <w:rPr>
                <w:rFonts w:ascii="Times New Roman" w:hAnsi="Times New Roman" w:cs="Times New Roman" w:eastAsiaTheme="minorEastAsia"/>
                <w:snapToGrid w:val="0"/>
                <w:color w:val="auto"/>
                <w:spacing w:val="-20"/>
                <w:kern w:val="0"/>
                <w:szCs w:val="21"/>
              </w:rPr>
            </w:pPr>
          </w:p>
        </w:tc>
      </w:tr>
      <w:tr w14:paraId="28AA2846">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1013" w:hRule="atLeast"/>
          <w:tblHeader/>
          <w:jc w:val="center"/>
        </w:trPr>
        <w:tc>
          <w:tcPr>
            <w:tcW w:w="568" w:type="dxa"/>
            <w:vMerge w:val="restart"/>
            <w:noWrap/>
            <w:vAlign w:val="center"/>
          </w:tcPr>
          <w:p w14:paraId="209A1497">
            <w:pPr>
              <w:widowControl/>
              <w:spacing w:line="300" w:lineRule="exact"/>
              <w:jc w:val="center"/>
              <w:rPr>
                <w:rFonts w:ascii="Times New Roman" w:hAnsi="Times New Roman" w:cs="Times New Roman" w:eastAsiaTheme="minorEastAsia"/>
                <w:color w:val="auto"/>
                <w:spacing w:val="-20"/>
                <w:kern w:val="0"/>
                <w:szCs w:val="21"/>
              </w:rPr>
            </w:pPr>
            <w:r>
              <w:rPr>
                <w:rFonts w:ascii="Times New Roman" w:hAnsi="Times New Roman" w:cs="Times New Roman" w:eastAsiaTheme="minorEastAsia"/>
                <w:color w:val="auto"/>
                <w:spacing w:val="-20"/>
                <w:kern w:val="0"/>
                <w:szCs w:val="21"/>
              </w:rPr>
              <w:t>25</w:t>
            </w:r>
          </w:p>
        </w:tc>
        <w:tc>
          <w:tcPr>
            <w:tcW w:w="694" w:type="dxa"/>
            <w:vMerge w:val="continue"/>
            <w:vAlign w:val="center"/>
          </w:tcPr>
          <w:p w14:paraId="50BB540F">
            <w:pPr>
              <w:spacing w:line="300" w:lineRule="exact"/>
              <w:jc w:val="center"/>
              <w:rPr>
                <w:rFonts w:ascii="Times New Roman" w:hAnsi="Times New Roman" w:cs="Times New Roman" w:eastAsiaTheme="minorEastAsia"/>
                <w:color w:val="auto"/>
                <w:spacing w:val="-20"/>
                <w:kern w:val="0"/>
                <w:szCs w:val="21"/>
              </w:rPr>
            </w:pPr>
          </w:p>
        </w:tc>
        <w:tc>
          <w:tcPr>
            <w:tcW w:w="1134" w:type="dxa"/>
            <w:vAlign w:val="center"/>
          </w:tcPr>
          <w:p w14:paraId="7065BC95">
            <w:pPr>
              <w:widowControl/>
              <w:spacing w:line="300" w:lineRule="exact"/>
              <w:jc w:val="center"/>
              <w:rPr>
                <w:rFonts w:ascii="Times New Roman" w:hAnsi="Times New Roman" w:cs="Times New Roman" w:eastAsiaTheme="minorEastAsia"/>
                <w:color w:val="auto"/>
                <w:spacing w:val="-20"/>
                <w:kern w:val="0"/>
                <w:szCs w:val="21"/>
              </w:rPr>
            </w:pPr>
            <w:r>
              <w:rPr>
                <w:rFonts w:ascii="Times New Roman" w:hAnsi="Times New Roman" w:cs="Times New Roman" w:eastAsiaTheme="minorEastAsia"/>
                <w:color w:val="auto"/>
                <w:spacing w:val="-20"/>
                <w:szCs w:val="21"/>
              </w:rPr>
              <w:t>K</w:t>
            </w:r>
            <w:r>
              <w:rPr>
                <w:rFonts w:hint="eastAsia" w:ascii="Times New Roman" w:hAnsi="Times New Roman" w:cs="Times New Roman" w:eastAsiaTheme="minorEastAsia"/>
                <w:color w:val="auto"/>
                <w:spacing w:val="-20"/>
                <w:szCs w:val="21"/>
              </w:rPr>
              <w:t>47</w:t>
            </w:r>
            <w:r>
              <w:rPr>
                <w:rFonts w:ascii="Times New Roman" w:hAnsi="Times New Roman" w:cs="Times New Roman" w:eastAsiaTheme="minorEastAsia"/>
                <w:color w:val="auto"/>
                <w:spacing w:val="-20"/>
                <w:szCs w:val="21"/>
              </w:rPr>
              <w:t>+</w:t>
            </w:r>
            <w:r>
              <w:rPr>
                <w:rFonts w:hint="eastAsia" w:ascii="Times New Roman" w:hAnsi="Times New Roman" w:cs="Times New Roman" w:eastAsiaTheme="minorEastAsia"/>
                <w:color w:val="auto"/>
                <w:spacing w:val="-20"/>
                <w:szCs w:val="21"/>
              </w:rPr>
              <w:t>380</w:t>
            </w:r>
            <w:r>
              <w:rPr>
                <w:rFonts w:ascii="Times New Roman" w:cs="Times New Roman" w:hAnsiTheme="minorEastAsia" w:eastAsiaTheme="minorEastAsia"/>
                <w:color w:val="auto"/>
                <w:spacing w:val="-20"/>
                <w:szCs w:val="21"/>
              </w:rPr>
              <w:t>～</w:t>
            </w:r>
            <w:r>
              <w:rPr>
                <w:rFonts w:ascii="Times New Roman" w:hAnsi="Times New Roman" w:cs="Times New Roman" w:eastAsiaTheme="minorEastAsia"/>
                <w:color w:val="auto"/>
                <w:spacing w:val="-20"/>
                <w:szCs w:val="21"/>
              </w:rPr>
              <w:t>K</w:t>
            </w:r>
            <w:r>
              <w:rPr>
                <w:rFonts w:hint="eastAsia" w:ascii="Times New Roman" w:hAnsi="Times New Roman" w:cs="Times New Roman" w:eastAsiaTheme="minorEastAsia"/>
                <w:color w:val="auto"/>
                <w:spacing w:val="-20"/>
                <w:szCs w:val="21"/>
              </w:rPr>
              <w:t>47</w:t>
            </w:r>
            <w:r>
              <w:rPr>
                <w:rFonts w:ascii="Times New Roman" w:hAnsi="Times New Roman" w:cs="Times New Roman" w:eastAsiaTheme="minorEastAsia"/>
                <w:color w:val="auto"/>
                <w:spacing w:val="-20"/>
                <w:szCs w:val="21"/>
              </w:rPr>
              <w:t>+</w:t>
            </w:r>
            <w:r>
              <w:rPr>
                <w:rFonts w:hint="eastAsia" w:ascii="Times New Roman" w:hAnsi="Times New Roman" w:cs="Times New Roman" w:eastAsiaTheme="minorEastAsia"/>
                <w:color w:val="auto"/>
                <w:spacing w:val="-20"/>
                <w:szCs w:val="21"/>
              </w:rPr>
              <w:t>41</w:t>
            </w:r>
            <w:r>
              <w:rPr>
                <w:rFonts w:ascii="Times New Roman" w:hAnsi="Times New Roman" w:cs="Times New Roman" w:eastAsiaTheme="minorEastAsia"/>
                <w:color w:val="auto"/>
                <w:spacing w:val="-20"/>
                <w:szCs w:val="21"/>
              </w:rPr>
              <w:t>0</w:t>
            </w:r>
          </w:p>
        </w:tc>
        <w:tc>
          <w:tcPr>
            <w:tcW w:w="851" w:type="dxa"/>
            <w:vMerge w:val="restart"/>
            <w:vAlign w:val="center"/>
          </w:tcPr>
          <w:p w14:paraId="59B29EAF">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cs="Times New Roman" w:hAnsiTheme="minorEastAsia" w:eastAsiaTheme="minorEastAsia"/>
                <w:color w:val="auto"/>
                <w:spacing w:val="-20"/>
                <w:szCs w:val="21"/>
              </w:rPr>
              <w:t>克孜勒吉依木村</w:t>
            </w:r>
          </w:p>
        </w:tc>
        <w:tc>
          <w:tcPr>
            <w:tcW w:w="850" w:type="dxa"/>
            <w:vMerge w:val="continue"/>
            <w:vAlign w:val="center"/>
          </w:tcPr>
          <w:p w14:paraId="2F167594">
            <w:pPr>
              <w:widowControl/>
              <w:spacing w:line="300" w:lineRule="exact"/>
              <w:jc w:val="center"/>
              <w:rPr>
                <w:rFonts w:ascii="Times New Roman" w:hAnsi="Times New Roman" w:cs="Times New Roman" w:eastAsiaTheme="minorEastAsia"/>
                <w:color w:val="auto"/>
                <w:spacing w:val="-20"/>
                <w:kern w:val="0"/>
                <w:szCs w:val="21"/>
              </w:rPr>
            </w:pPr>
          </w:p>
        </w:tc>
        <w:tc>
          <w:tcPr>
            <w:tcW w:w="661" w:type="dxa"/>
            <w:vMerge w:val="restart"/>
            <w:vAlign w:val="center"/>
          </w:tcPr>
          <w:p w14:paraId="5702E0CD">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cs="Times New Roman" w:hAnsiTheme="minorEastAsia" w:eastAsiaTheme="minorEastAsia"/>
                <w:color w:val="auto"/>
                <w:spacing w:val="-20"/>
                <w:szCs w:val="21"/>
              </w:rPr>
              <w:t>两侧</w:t>
            </w:r>
          </w:p>
        </w:tc>
        <w:tc>
          <w:tcPr>
            <w:tcW w:w="662" w:type="dxa"/>
            <w:vMerge w:val="restart"/>
            <w:vAlign w:val="center"/>
          </w:tcPr>
          <w:p w14:paraId="020D58A8">
            <w:pPr>
              <w:widowControl/>
              <w:spacing w:line="300" w:lineRule="exact"/>
              <w:jc w:val="center"/>
              <w:rPr>
                <w:rFonts w:ascii="Times New Roman" w:cs="Times New Roman" w:hAnsiTheme="minorEastAsia" w:eastAsiaTheme="minorEastAsia"/>
                <w:color w:val="auto"/>
                <w:spacing w:val="-20"/>
                <w:szCs w:val="21"/>
              </w:rPr>
            </w:pPr>
            <w:r>
              <w:rPr>
                <w:rFonts w:hint="eastAsia" w:ascii="Times New Roman" w:cs="Times New Roman" w:hAnsiTheme="minorEastAsia" w:eastAsiaTheme="minorEastAsia"/>
                <w:color w:val="auto"/>
                <w:spacing w:val="-20"/>
                <w:szCs w:val="21"/>
              </w:rPr>
              <w:t>13</w:t>
            </w:r>
          </w:p>
        </w:tc>
        <w:tc>
          <w:tcPr>
            <w:tcW w:w="662" w:type="dxa"/>
            <w:vMerge w:val="restart"/>
            <w:vAlign w:val="center"/>
          </w:tcPr>
          <w:p w14:paraId="0B41A791">
            <w:pPr>
              <w:widowControl/>
              <w:spacing w:line="300" w:lineRule="exact"/>
              <w:jc w:val="center"/>
              <w:rPr>
                <w:rFonts w:ascii="Times New Roman" w:cs="Times New Roman" w:hAnsiTheme="minorEastAsia" w:eastAsiaTheme="minorEastAsia"/>
                <w:color w:val="auto"/>
                <w:spacing w:val="-20"/>
                <w:szCs w:val="21"/>
              </w:rPr>
            </w:pPr>
            <w:r>
              <w:rPr>
                <w:rFonts w:hint="eastAsia" w:ascii="Times New Roman" w:cs="Times New Roman" w:hAnsiTheme="minorEastAsia" w:eastAsiaTheme="minorEastAsia"/>
                <w:color w:val="auto"/>
                <w:spacing w:val="-20"/>
                <w:szCs w:val="21"/>
              </w:rPr>
              <w:t>2</w:t>
            </w:r>
          </w:p>
        </w:tc>
        <w:tc>
          <w:tcPr>
            <w:tcW w:w="567" w:type="dxa"/>
            <w:vMerge w:val="restart"/>
            <w:vAlign w:val="center"/>
          </w:tcPr>
          <w:p w14:paraId="76C24466">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cs="Times New Roman" w:hAnsiTheme="minorEastAsia" w:eastAsiaTheme="minorEastAsia"/>
                <w:color w:val="auto"/>
                <w:spacing w:val="-20"/>
                <w:szCs w:val="21"/>
              </w:rPr>
              <w:t>两侧</w:t>
            </w:r>
          </w:p>
        </w:tc>
        <w:tc>
          <w:tcPr>
            <w:tcW w:w="708" w:type="dxa"/>
            <w:vMerge w:val="restart"/>
            <w:vAlign w:val="center"/>
          </w:tcPr>
          <w:p w14:paraId="7EAE178B">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szCs w:val="21"/>
              </w:rPr>
              <w:t>21</w:t>
            </w:r>
          </w:p>
        </w:tc>
        <w:tc>
          <w:tcPr>
            <w:tcW w:w="709" w:type="dxa"/>
            <w:vMerge w:val="restart"/>
            <w:vAlign w:val="center"/>
          </w:tcPr>
          <w:p w14:paraId="767409A6">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3.5</w:t>
            </w:r>
          </w:p>
        </w:tc>
        <w:tc>
          <w:tcPr>
            <w:tcW w:w="992" w:type="dxa"/>
            <w:vMerge w:val="restart"/>
            <w:vAlign w:val="center"/>
          </w:tcPr>
          <w:p w14:paraId="1F035454">
            <w:pPr>
              <w:widowControl/>
              <w:spacing w:line="300" w:lineRule="exact"/>
              <w:jc w:val="center"/>
              <w:rPr>
                <w:rFonts w:ascii="Times New Roman" w:hAnsi="Times New Roman" w:cs="Times New Roman" w:eastAsiaTheme="minorEastAsia"/>
                <w:color w:val="auto"/>
                <w:spacing w:val="-20"/>
                <w:kern w:val="0"/>
                <w:szCs w:val="21"/>
              </w:rPr>
            </w:pPr>
            <w:r>
              <w:rPr>
                <w:rFonts w:ascii="Times New Roman" w:hAnsi="Times New Roman" w:cs="Times New Roman" w:eastAsiaTheme="minorEastAsia"/>
                <w:color w:val="auto"/>
                <w:spacing w:val="-20"/>
                <w:kern w:val="0"/>
                <w:szCs w:val="21"/>
              </w:rPr>
              <w:t>0</w:t>
            </w:r>
          </w:p>
        </w:tc>
        <w:tc>
          <w:tcPr>
            <w:tcW w:w="993" w:type="dxa"/>
            <w:vMerge w:val="restart"/>
            <w:vAlign w:val="center"/>
          </w:tcPr>
          <w:p w14:paraId="4CEDBFAE">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1.0</w:t>
            </w:r>
          </w:p>
        </w:tc>
        <w:tc>
          <w:tcPr>
            <w:tcW w:w="567" w:type="dxa"/>
            <w:vMerge w:val="restart"/>
            <w:vAlign w:val="center"/>
          </w:tcPr>
          <w:p w14:paraId="5EC5BA8B">
            <w:pPr>
              <w:widowControl/>
              <w:spacing w:line="300" w:lineRule="exact"/>
              <w:jc w:val="center"/>
              <w:rPr>
                <w:rFonts w:ascii="Times New Roman" w:hAnsi="Times New Roman" w:cs="Times New Roman" w:eastAsiaTheme="minorEastAsia"/>
                <w:color w:val="auto"/>
                <w:spacing w:val="-20"/>
                <w:kern w:val="0"/>
                <w:szCs w:val="21"/>
              </w:rPr>
            </w:pPr>
            <w:r>
              <w:rPr>
                <w:rFonts w:ascii="Times New Roman" w:cs="Times New Roman" w:hAnsiTheme="minorEastAsia" w:eastAsiaTheme="minorEastAsia"/>
                <w:color w:val="auto"/>
                <w:spacing w:val="-20"/>
                <w:kern w:val="0"/>
                <w:szCs w:val="21"/>
              </w:rPr>
              <w:t>路基</w:t>
            </w:r>
          </w:p>
        </w:tc>
        <w:tc>
          <w:tcPr>
            <w:tcW w:w="992" w:type="dxa"/>
            <w:vMerge w:val="restart"/>
            <w:vAlign w:val="center"/>
          </w:tcPr>
          <w:p w14:paraId="648F4970">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52.5</w:t>
            </w:r>
          </w:p>
        </w:tc>
        <w:tc>
          <w:tcPr>
            <w:tcW w:w="709" w:type="dxa"/>
            <w:vMerge w:val="restart"/>
            <w:vAlign w:val="center"/>
          </w:tcPr>
          <w:p w14:paraId="2A4824CB">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8</w:t>
            </w:r>
          </w:p>
        </w:tc>
        <w:tc>
          <w:tcPr>
            <w:tcW w:w="708" w:type="dxa"/>
            <w:vMerge w:val="restart"/>
            <w:vAlign w:val="center"/>
          </w:tcPr>
          <w:p w14:paraId="6BD0CE5B">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30</w:t>
            </w:r>
          </w:p>
        </w:tc>
        <w:tc>
          <w:tcPr>
            <w:tcW w:w="4582" w:type="dxa"/>
            <w:vMerge w:val="restart"/>
            <w:vAlign w:val="center"/>
          </w:tcPr>
          <w:p w14:paraId="4EEFB63B">
            <w:pPr>
              <w:widowControl/>
              <w:spacing w:line="300" w:lineRule="exact"/>
              <w:rPr>
                <w:rFonts w:ascii="Times New Roman" w:hAnsi="Times New Roman" w:cs="Times New Roman" w:eastAsiaTheme="minorEastAsia"/>
                <w:color w:val="auto"/>
                <w:spacing w:val="0"/>
                <w:kern w:val="0"/>
                <w:sz w:val="21"/>
                <w:szCs w:val="21"/>
              </w:rPr>
            </w:pPr>
            <w:r>
              <w:rPr>
                <w:rFonts w:ascii="Times New Roman" w:cs="Times New Roman" w:hAnsiTheme="minorEastAsia" w:eastAsiaTheme="minorEastAsia"/>
                <w:color w:val="auto"/>
                <w:spacing w:val="0"/>
                <w:kern w:val="0"/>
                <w:sz w:val="21"/>
                <w:szCs w:val="21"/>
              </w:rPr>
              <w:t>路线以填方路基形式经过村庄。评价范围内现有居民</w:t>
            </w:r>
            <w:r>
              <w:rPr>
                <w:rFonts w:hint="eastAsia" w:ascii="Times New Roman" w:hAnsi="Times New Roman" w:cs="Times New Roman" w:eastAsiaTheme="minorEastAsia"/>
                <w:color w:val="auto"/>
                <w:spacing w:val="0"/>
                <w:kern w:val="0"/>
                <w:sz w:val="21"/>
                <w:szCs w:val="21"/>
              </w:rPr>
              <w:t>38</w:t>
            </w:r>
            <w:r>
              <w:rPr>
                <w:rFonts w:ascii="Times New Roman" w:cs="Times New Roman" w:hAnsiTheme="minorEastAsia" w:eastAsiaTheme="minorEastAsia"/>
                <w:color w:val="auto"/>
                <w:spacing w:val="0"/>
                <w:kern w:val="0"/>
                <w:sz w:val="21"/>
                <w:szCs w:val="21"/>
              </w:rPr>
              <w:t>户，首排</w:t>
            </w:r>
            <w:r>
              <w:rPr>
                <w:rFonts w:hint="eastAsia" w:ascii="Times New Roman" w:hAnsi="Times New Roman" w:cs="Times New Roman" w:eastAsiaTheme="minorEastAsia"/>
                <w:color w:val="auto"/>
                <w:spacing w:val="0"/>
                <w:kern w:val="0"/>
                <w:sz w:val="21"/>
                <w:szCs w:val="21"/>
              </w:rPr>
              <w:t>4</w:t>
            </w:r>
            <w:r>
              <w:rPr>
                <w:rFonts w:ascii="Times New Roman" w:cs="Times New Roman" w:hAnsiTheme="minorEastAsia" w:eastAsiaTheme="minorEastAsia"/>
                <w:color w:val="auto"/>
                <w:spacing w:val="0"/>
                <w:kern w:val="0"/>
                <w:sz w:val="21"/>
                <w:szCs w:val="21"/>
              </w:rPr>
              <w:t>户，</w:t>
            </w:r>
            <w:r>
              <w:rPr>
                <w:rFonts w:hint="eastAsia" w:ascii="Times New Roman" w:cs="Times New Roman" w:hAnsiTheme="minorEastAsia" w:eastAsiaTheme="minorEastAsia"/>
                <w:color w:val="auto"/>
                <w:spacing w:val="0"/>
                <w:kern w:val="0"/>
                <w:sz w:val="21"/>
                <w:szCs w:val="21"/>
              </w:rPr>
              <w:t>主要</w:t>
            </w:r>
            <w:r>
              <w:rPr>
                <w:rFonts w:ascii="Times New Roman" w:cs="Times New Roman" w:hAnsiTheme="minorEastAsia" w:eastAsiaTheme="minorEastAsia"/>
                <w:color w:val="auto"/>
                <w:spacing w:val="0"/>
                <w:kern w:val="0"/>
                <w:sz w:val="21"/>
                <w:szCs w:val="21"/>
              </w:rPr>
              <w:t>为</w:t>
            </w:r>
            <w:r>
              <w:rPr>
                <w:rFonts w:ascii="Times New Roman" w:hAnsi="Times New Roman" w:cs="Times New Roman" w:eastAsiaTheme="minorEastAsia"/>
                <w:color w:val="auto"/>
                <w:spacing w:val="0"/>
                <w:kern w:val="0"/>
                <w:sz w:val="21"/>
                <w:szCs w:val="21"/>
              </w:rPr>
              <w:t>1</w:t>
            </w:r>
            <w:r>
              <w:rPr>
                <w:rFonts w:ascii="Times New Roman" w:cs="Times New Roman" w:hAnsiTheme="minorEastAsia" w:eastAsiaTheme="minorEastAsia"/>
                <w:color w:val="auto"/>
                <w:spacing w:val="0"/>
                <w:kern w:val="0"/>
                <w:sz w:val="21"/>
                <w:szCs w:val="21"/>
              </w:rPr>
              <w:t>层砖混房，房屋侧向拟建公路。</w:t>
            </w:r>
            <w:r>
              <w:rPr>
                <w:rFonts w:ascii="Times New Roman" w:hAnsi="Times New Roman" w:eastAsia="宋体" w:cs="Times New Roman"/>
                <w:color w:val="auto"/>
                <w:spacing w:val="0"/>
                <w:kern w:val="0"/>
                <w:sz w:val="21"/>
                <w:szCs w:val="21"/>
              </w:rPr>
              <w:t>该路段利用现有</w:t>
            </w:r>
            <w:r>
              <w:rPr>
                <w:rFonts w:hint="eastAsia" w:ascii="Times New Roman" w:hAnsi="Times New Roman" w:eastAsia="宋体" w:cs="Times New Roman"/>
                <w:color w:val="auto"/>
                <w:spacing w:val="0"/>
                <w:kern w:val="0"/>
                <w:sz w:val="21"/>
                <w:szCs w:val="21"/>
              </w:rPr>
              <w:t>老路双侧加宽</w:t>
            </w:r>
            <w:r>
              <w:rPr>
                <w:rFonts w:ascii="Times New Roman" w:hAnsi="Times New Roman" w:eastAsia="宋体" w:cs="Times New Roman"/>
                <w:color w:val="auto"/>
                <w:spacing w:val="0"/>
                <w:kern w:val="0"/>
                <w:sz w:val="21"/>
                <w:szCs w:val="21"/>
              </w:rPr>
              <w:t>，</w:t>
            </w:r>
            <w:r>
              <w:rPr>
                <w:rFonts w:hint="eastAsia" w:ascii="Times New Roman" w:hAnsi="Times New Roman" w:eastAsia="宋体" w:cs="Times New Roman"/>
                <w:color w:val="auto"/>
                <w:spacing w:val="0"/>
                <w:kern w:val="0"/>
                <w:sz w:val="21"/>
                <w:szCs w:val="21"/>
              </w:rPr>
              <w:t>房屋</w:t>
            </w:r>
            <w:r>
              <w:rPr>
                <w:rFonts w:ascii="Times New Roman" w:hAnsi="Times New Roman" w:eastAsia="宋体" w:cs="Times New Roman"/>
                <w:color w:val="auto"/>
                <w:spacing w:val="0"/>
                <w:kern w:val="0"/>
                <w:sz w:val="21"/>
                <w:szCs w:val="21"/>
              </w:rPr>
              <w:t>分布于平交</w:t>
            </w:r>
            <w:r>
              <w:rPr>
                <w:rFonts w:hint="eastAsia" w:ascii="Times New Roman" w:hAnsi="Times New Roman" w:eastAsia="宋体" w:cs="Times New Roman"/>
                <w:color w:val="auto"/>
                <w:spacing w:val="0"/>
                <w:kern w:val="0"/>
                <w:sz w:val="21"/>
                <w:szCs w:val="21"/>
              </w:rPr>
              <w:t>路口两侧</w:t>
            </w:r>
            <w:r>
              <w:rPr>
                <w:rFonts w:ascii="Times New Roman" w:hAnsi="Times New Roman" w:eastAsia="宋体" w:cs="Times New Roman"/>
                <w:color w:val="auto"/>
                <w:spacing w:val="0"/>
                <w:kern w:val="0"/>
                <w:sz w:val="21"/>
                <w:szCs w:val="21"/>
              </w:rPr>
              <w:t>，</w:t>
            </w:r>
            <w:r>
              <w:rPr>
                <w:rFonts w:ascii="Times New Roman" w:cs="Times New Roman" w:hAnsiTheme="minorEastAsia" w:eastAsiaTheme="minorEastAsia"/>
                <w:color w:val="auto"/>
                <w:spacing w:val="0"/>
                <w:kern w:val="0"/>
                <w:sz w:val="21"/>
                <w:szCs w:val="21"/>
              </w:rPr>
              <w:t>主要噪声源为现有</w:t>
            </w:r>
            <w:r>
              <w:rPr>
                <w:rFonts w:hint="eastAsia" w:ascii="Times New Roman" w:hAnsi="Times New Roman" w:cs="Times New Roman" w:eastAsiaTheme="minorEastAsia"/>
                <w:color w:val="auto"/>
                <w:spacing w:val="0"/>
                <w:kern w:val="0"/>
                <w:sz w:val="21"/>
                <w:szCs w:val="21"/>
              </w:rPr>
              <w:t>G219</w:t>
            </w:r>
            <w:r>
              <w:rPr>
                <w:rFonts w:ascii="Times New Roman" w:cs="Times New Roman" w:hAnsiTheme="minorEastAsia" w:eastAsiaTheme="minorEastAsia"/>
                <w:color w:val="auto"/>
                <w:spacing w:val="0"/>
                <w:kern w:val="0"/>
                <w:sz w:val="21"/>
                <w:szCs w:val="21"/>
              </w:rPr>
              <w:t>交通噪声和社会生活噪声。</w:t>
            </w:r>
          </w:p>
        </w:tc>
        <w:tc>
          <w:tcPr>
            <w:tcW w:w="2898" w:type="dxa"/>
            <w:vMerge w:val="restart"/>
            <w:vAlign w:val="center"/>
          </w:tcPr>
          <w:p w14:paraId="08122BF8">
            <w:pPr>
              <w:widowControl/>
              <w:adjustRightInd w:val="0"/>
              <w:snapToGrid w:val="0"/>
              <w:jc w:val="center"/>
              <w:rPr>
                <w:rFonts w:ascii="Times New Roman" w:hAnsi="Times New Roman" w:cs="Times New Roman" w:eastAsiaTheme="minorEastAsia"/>
                <w:snapToGrid w:val="0"/>
                <w:color w:val="auto"/>
                <w:spacing w:val="-20"/>
                <w:kern w:val="0"/>
                <w:szCs w:val="21"/>
              </w:rPr>
            </w:pPr>
            <w:r>
              <w:rPr>
                <w:rFonts w:ascii="Times New Roman" w:hAnsi="Times New Roman" w:cs="Times New Roman" w:eastAsiaTheme="minorEastAsia"/>
                <w:color w:val="auto"/>
                <w:spacing w:val="-20"/>
                <w:kern w:val="0"/>
                <w:szCs w:val="21"/>
              </w:rPr>
              <w:drawing>
                <wp:inline distT="0" distB="0" distL="0" distR="0">
                  <wp:extent cx="1729105" cy="1295400"/>
                  <wp:effectExtent l="0" t="0" r="4445" b="0"/>
                  <wp:docPr id="964" name="图片 25" descr="E:\咨询项目\环评\新疆-G219线八盘水磨至伽师公路\外业踏勘记录及照片\DSC089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 name="图片 25" descr="E:\咨询项目\环评\新疆-G219线八盘水磨至伽师公路\外业踏勘记录及照片\DSC08982.JPG"/>
                          <pic:cNvPicPr>
                            <a:picLocks noChangeAspect="1" noChangeArrowheads="1"/>
                          </pic:cNvPicPr>
                        </pic:nvPicPr>
                        <pic:blipFill>
                          <a:blip r:embed="rId180" cstate="print"/>
                          <a:srcRect/>
                          <a:stretch>
                            <a:fillRect/>
                          </a:stretch>
                        </pic:blipFill>
                        <pic:spPr>
                          <a:xfrm>
                            <a:off x="0" y="0"/>
                            <a:ext cx="1729728" cy="1296000"/>
                          </a:xfrm>
                          <a:prstGeom prst="rect">
                            <a:avLst/>
                          </a:prstGeom>
                          <a:noFill/>
                          <a:ln w="9525">
                            <a:noFill/>
                            <a:miter lim="800000"/>
                            <a:headEnd/>
                            <a:tailEnd/>
                          </a:ln>
                        </pic:spPr>
                      </pic:pic>
                    </a:graphicData>
                  </a:graphic>
                </wp:inline>
              </w:drawing>
            </w:r>
          </w:p>
        </w:tc>
      </w:tr>
      <w:tr w14:paraId="65966A9A">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1012" w:hRule="atLeast"/>
          <w:tblHeader/>
          <w:jc w:val="center"/>
        </w:trPr>
        <w:tc>
          <w:tcPr>
            <w:tcW w:w="568" w:type="dxa"/>
            <w:vMerge w:val="continue"/>
            <w:noWrap/>
            <w:vAlign w:val="center"/>
          </w:tcPr>
          <w:p w14:paraId="5C0D0473">
            <w:pPr>
              <w:widowControl/>
              <w:spacing w:line="300" w:lineRule="exact"/>
              <w:jc w:val="center"/>
              <w:rPr>
                <w:rFonts w:ascii="Times New Roman" w:hAnsi="Times New Roman" w:cs="Times New Roman" w:eastAsiaTheme="minorEastAsia"/>
                <w:color w:val="auto"/>
                <w:spacing w:val="-20"/>
                <w:kern w:val="0"/>
                <w:szCs w:val="21"/>
              </w:rPr>
            </w:pPr>
          </w:p>
        </w:tc>
        <w:tc>
          <w:tcPr>
            <w:tcW w:w="694" w:type="dxa"/>
            <w:vMerge w:val="continue"/>
            <w:vAlign w:val="center"/>
          </w:tcPr>
          <w:p w14:paraId="6F59791A">
            <w:pPr>
              <w:spacing w:line="300" w:lineRule="exact"/>
              <w:jc w:val="center"/>
              <w:rPr>
                <w:rFonts w:ascii="Times New Roman" w:hAnsi="Times New Roman" w:cs="Times New Roman" w:eastAsiaTheme="minorEastAsia"/>
                <w:color w:val="auto"/>
                <w:spacing w:val="-20"/>
                <w:kern w:val="0"/>
                <w:szCs w:val="21"/>
              </w:rPr>
            </w:pPr>
          </w:p>
        </w:tc>
        <w:tc>
          <w:tcPr>
            <w:tcW w:w="1134" w:type="dxa"/>
            <w:vAlign w:val="center"/>
          </w:tcPr>
          <w:p w14:paraId="6A1A4F3B">
            <w:pPr>
              <w:widowControl/>
              <w:spacing w:line="300" w:lineRule="exact"/>
              <w:jc w:val="center"/>
              <w:rPr>
                <w:rFonts w:ascii="Times New Roman" w:hAnsi="Times New Roman" w:cs="Times New Roman" w:eastAsiaTheme="minorEastAsia"/>
                <w:color w:val="auto"/>
                <w:spacing w:val="-20"/>
                <w:szCs w:val="21"/>
              </w:rPr>
            </w:pPr>
            <w:r>
              <w:rPr>
                <w:rFonts w:ascii="Times New Roman" w:hAnsi="Times New Roman" w:cs="Times New Roman" w:eastAsiaTheme="minorEastAsia"/>
                <w:color w:val="auto"/>
                <w:spacing w:val="-20"/>
                <w:szCs w:val="21"/>
              </w:rPr>
              <w:t>K</w:t>
            </w:r>
            <w:r>
              <w:rPr>
                <w:rFonts w:hint="eastAsia" w:ascii="Times New Roman" w:hAnsi="Times New Roman" w:cs="Times New Roman" w:eastAsiaTheme="minorEastAsia"/>
                <w:color w:val="auto"/>
                <w:spacing w:val="-20"/>
                <w:szCs w:val="21"/>
              </w:rPr>
              <w:t>47</w:t>
            </w:r>
            <w:r>
              <w:rPr>
                <w:rFonts w:ascii="Times New Roman" w:hAnsi="Times New Roman" w:cs="Times New Roman" w:eastAsiaTheme="minorEastAsia"/>
                <w:color w:val="auto"/>
                <w:spacing w:val="-20"/>
                <w:szCs w:val="21"/>
              </w:rPr>
              <w:t>+</w:t>
            </w:r>
            <w:r>
              <w:rPr>
                <w:rFonts w:hint="eastAsia" w:ascii="Times New Roman" w:hAnsi="Times New Roman" w:cs="Times New Roman" w:eastAsiaTheme="minorEastAsia"/>
                <w:color w:val="auto"/>
                <w:spacing w:val="-20"/>
                <w:szCs w:val="21"/>
              </w:rPr>
              <w:t>600</w:t>
            </w:r>
            <w:r>
              <w:rPr>
                <w:rFonts w:ascii="Times New Roman" w:cs="Times New Roman" w:hAnsiTheme="minorEastAsia" w:eastAsiaTheme="minorEastAsia"/>
                <w:color w:val="auto"/>
                <w:spacing w:val="-20"/>
                <w:szCs w:val="21"/>
              </w:rPr>
              <w:t>～</w:t>
            </w:r>
            <w:r>
              <w:rPr>
                <w:rFonts w:ascii="Times New Roman" w:hAnsi="Times New Roman" w:cs="Times New Roman" w:eastAsiaTheme="minorEastAsia"/>
                <w:color w:val="auto"/>
                <w:spacing w:val="-20"/>
                <w:szCs w:val="21"/>
              </w:rPr>
              <w:t>K</w:t>
            </w:r>
            <w:r>
              <w:rPr>
                <w:rFonts w:hint="eastAsia" w:ascii="Times New Roman" w:hAnsi="Times New Roman" w:cs="Times New Roman" w:eastAsiaTheme="minorEastAsia"/>
                <w:color w:val="auto"/>
                <w:spacing w:val="-20"/>
                <w:szCs w:val="21"/>
              </w:rPr>
              <w:t>47</w:t>
            </w:r>
            <w:r>
              <w:rPr>
                <w:rFonts w:ascii="Times New Roman" w:hAnsi="Times New Roman" w:cs="Times New Roman" w:eastAsiaTheme="minorEastAsia"/>
                <w:color w:val="auto"/>
                <w:spacing w:val="-20"/>
                <w:szCs w:val="21"/>
              </w:rPr>
              <w:t>+</w:t>
            </w:r>
            <w:r>
              <w:rPr>
                <w:rFonts w:hint="eastAsia" w:ascii="Times New Roman" w:hAnsi="Times New Roman" w:cs="Times New Roman" w:eastAsiaTheme="minorEastAsia"/>
                <w:color w:val="auto"/>
                <w:spacing w:val="-20"/>
                <w:szCs w:val="21"/>
              </w:rPr>
              <w:t>750</w:t>
            </w:r>
          </w:p>
        </w:tc>
        <w:tc>
          <w:tcPr>
            <w:tcW w:w="851" w:type="dxa"/>
            <w:vMerge w:val="continue"/>
            <w:vAlign w:val="center"/>
          </w:tcPr>
          <w:p w14:paraId="1B128AF2">
            <w:pPr>
              <w:widowControl/>
              <w:spacing w:line="300" w:lineRule="exact"/>
              <w:jc w:val="center"/>
              <w:rPr>
                <w:rFonts w:ascii="Times New Roman" w:hAnsi="Times New Roman" w:cs="Times New Roman" w:eastAsiaTheme="minorEastAsia"/>
                <w:color w:val="auto"/>
                <w:spacing w:val="-20"/>
                <w:szCs w:val="21"/>
              </w:rPr>
            </w:pPr>
          </w:p>
        </w:tc>
        <w:tc>
          <w:tcPr>
            <w:tcW w:w="850" w:type="dxa"/>
            <w:vMerge w:val="continue"/>
            <w:vAlign w:val="center"/>
          </w:tcPr>
          <w:p w14:paraId="5D6E52AC">
            <w:pPr>
              <w:widowControl/>
              <w:spacing w:line="300" w:lineRule="exact"/>
              <w:jc w:val="center"/>
              <w:rPr>
                <w:rFonts w:ascii="Times New Roman" w:hAnsi="Times New Roman" w:cs="Times New Roman" w:eastAsiaTheme="minorEastAsia"/>
                <w:color w:val="auto"/>
                <w:spacing w:val="-20"/>
                <w:szCs w:val="21"/>
              </w:rPr>
            </w:pPr>
          </w:p>
        </w:tc>
        <w:tc>
          <w:tcPr>
            <w:tcW w:w="661" w:type="dxa"/>
            <w:vMerge w:val="continue"/>
            <w:vAlign w:val="center"/>
          </w:tcPr>
          <w:p w14:paraId="54BC183D">
            <w:pPr>
              <w:widowControl/>
              <w:spacing w:line="300" w:lineRule="exact"/>
              <w:jc w:val="center"/>
              <w:rPr>
                <w:rFonts w:ascii="Times New Roman" w:hAnsi="Times New Roman" w:cs="Times New Roman" w:eastAsiaTheme="minorEastAsia"/>
                <w:color w:val="auto"/>
                <w:spacing w:val="-20"/>
                <w:szCs w:val="21"/>
              </w:rPr>
            </w:pPr>
          </w:p>
        </w:tc>
        <w:tc>
          <w:tcPr>
            <w:tcW w:w="662" w:type="dxa"/>
            <w:vMerge w:val="continue"/>
            <w:vAlign w:val="center"/>
          </w:tcPr>
          <w:p w14:paraId="1CD95768">
            <w:pPr>
              <w:widowControl/>
              <w:spacing w:line="300" w:lineRule="exact"/>
              <w:jc w:val="center"/>
              <w:rPr>
                <w:rFonts w:ascii="Times New Roman" w:hAnsi="Times New Roman" w:cs="Times New Roman" w:eastAsiaTheme="minorEastAsia"/>
                <w:color w:val="auto"/>
                <w:spacing w:val="-20"/>
                <w:szCs w:val="21"/>
              </w:rPr>
            </w:pPr>
          </w:p>
        </w:tc>
        <w:tc>
          <w:tcPr>
            <w:tcW w:w="662" w:type="dxa"/>
            <w:vMerge w:val="continue"/>
            <w:vAlign w:val="center"/>
          </w:tcPr>
          <w:p w14:paraId="71807054">
            <w:pPr>
              <w:widowControl/>
              <w:spacing w:line="300" w:lineRule="exact"/>
              <w:jc w:val="center"/>
              <w:rPr>
                <w:rFonts w:ascii="Times New Roman" w:hAnsi="Times New Roman" w:cs="Times New Roman" w:eastAsiaTheme="minorEastAsia"/>
                <w:color w:val="auto"/>
                <w:spacing w:val="-20"/>
                <w:szCs w:val="21"/>
              </w:rPr>
            </w:pPr>
          </w:p>
        </w:tc>
        <w:tc>
          <w:tcPr>
            <w:tcW w:w="567" w:type="dxa"/>
            <w:vMerge w:val="continue"/>
            <w:vAlign w:val="center"/>
          </w:tcPr>
          <w:p w14:paraId="5504E65C">
            <w:pPr>
              <w:widowControl/>
              <w:spacing w:line="300" w:lineRule="exact"/>
              <w:jc w:val="center"/>
              <w:rPr>
                <w:rFonts w:ascii="Times New Roman" w:hAnsi="Times New Roman" w:cs="Times New Roman" w:eastAsiaTheme="minorEastAsia"/>
                <w:color w:val="auto"/>
                <w:spacing w:val="-20"/>
                <w:szCs w:val="21"/>
              </w:rPr>
            </w:pPr>
          </w:p>
        </w:tc>
        <w:tc>
          <w:tcPr>
            <w:tcW w:w="708" w:type="dxa"/>
            <w:vMerge w:val="continue"/>
            <w:vAlign w:val="center"/>
          </w:tcPr>
          <w:p w14:paraId="6CD6C3A5">
            <w:pPr>
              <w:widowControl/>
              <w:spacing w:line="300" w:lineRule="exact"/>
              <w:jc w:val="center"/>
              <w:rPr>
                <w:rFonts w:ascii="Times New Roman" w:hAnsi="Times New Roman" w:cs="Times New Roman" w:eastAsiaTheme="minorEastAsia"/>
                <w:color w:val="auto"/>
                <w:spacing w:val="-20"/>
                <w:szCs w:val="21"/>
              </w:rPr>
            </w:pPr>
          </w:p>
        </w:tc>
        <w:tc>
          <w:tcPr>
            <w:tcW w:w="709" w:type="dxa"/>
            <w:vMerge w:val="continue"/>
            <w:vAlign w:val="center"/>
          </w:tcPr>
          <w:p w14:paraId="355068FF">
            <w:pPr>
              <w:widowControl/>
              <w:spacing w:line="300" w:lineRule="exact"/>
              <w:jc w:val="center"/>
              <w:rPr>
                <w:rFonts w:ascii="Times New Roman" w:hAnsi="Times New Roman" w:cs="Times New Roman" w:eastAsiaTheme="minorEastAsia"/>
                <w:color w:val="auto"/>
                <w:spacing w:val="-20"/>
                <w:kern w:val="0"/>
                <w:szCs w:val="21"/>
              </w:rPr>
            </w:pPr>
          </w:p>
        </w:tc>
        <w:tc>
          <w:tcPr>
            <w:tcW w:w="992" w:type="dxa"/>
            <w:vMerge w:val="continue"/>
            <w:vAlign w:val="center"/>
          </w:tcPr>
          <w:p w14:paraId="4C7A08D9">
            <w:pPr>
              <w:widowControl/>
              <w:spacing w:line="300" w:lineRule="exact"/>
              <w:jc w:val="center"/>
              <w:rPr>
                <w:rFonts w:ascii="Times New Roman" w:hAnsi="Times New Roman" w:cs="Times New Roman" w:eastAsiaTheme="minorEastAsia"/>
                <w:color w:val="auto"/>
                <w:spacing w:val="-20"/>
                <w:kern w:val="0"/>
                <w:szCs w:val="21"/>
              </w:rPr>
            </w:pPr>
          </w:p>
        </w:tc>
        <w:tc>
          <w:tcPr>
            <w:tcW w:w="993" w:type="dxa"/>
            <w:vMerge w:val="continue"/>
            <w:vAlign w:val="center"/>
          </w:tcPr>
          <w:p w14:paraId="03E7AED8">
            <w:pPr>
              <w:widowControl/>
              <w:spacing w:line="300" w:lineRule="exact"/>
              <w:jc w:val="center"/>
              <w:rPr>
                <w:rFonts w:ascii="Times New Roman" w:hAnsi="Times New Roman" w:cs="Times New Roman" w:eastAsiaTheme="minorEastAsia"/>
                <w:color w:val="auto"/>
                <w:spacing w:val="-20"/>
                <w:kern w:val="0"/>
                <w:szCs w:val="21"/>
              </w:rPr>
            </w:pPr>
          </w:p>
        </w:tc>
        <w:tc>
          <w:tcPr>
            <w:tcW w:w="567" w:type="dxa"/>
            <w:vMerge w:val="continue"/>
            <w:vAlign w:val="center"/>
          </w:tcPr>
          <w:p w14:paraId="7A7FCBBA">
            <w:pPr>
              <w:widowControl/>
              <w:spacing w:line="300" w:lineRule="exact"/>
              <w:jc w:val="center"/>
              <w:rPr>
                <w:rFonts w:ascii="Times New Roman" w:hAnsi="Times New Roman" w:cs="Times New Roman" w:eastAsiaTheme="minorEastAsia"/>
                <w:color w:val="auto"/>
                <w:spacing w:val="-20"/>
                <w:kern w:val="0"/>
                <w:szCs w:val="21"/>
              </w:rPr>
            </w:pPr>
          </w:p>
        </w:tc>
        <w:tc>
          <w:tcPr>
            <w:tcW w:w="992" w:type="dxa"/>
            <w:vMerge w:val="continue"/>
            <w:vAlign w:val="center"/>
          </w:tcPr>
          <w:p w14:paraId="03F5F952">
            <w:pPr>
              <w:widowControl/>
              <w:spacing w:line="300" w:lineRule="exact"/>
              <w:jc w:val="center"/>
              <w:rPr>
                <w:rFonts w:ascii="Times New Roman" w:hAnsi="Times New Roman" w:cs="Times New Roman" w:eastAsiaTheme="minorEastAsia"/>
                <w:color w:val="auto"/>
                <w:spacing w:val="-20"/>
                <w:kern w:val="0"/>
                <w:szCs w:val="21"/>
              </w:rPr>
            </w:pPr>
          </w:p>
        </w:tc>
        <w:tc>
          <w:tcPr>
            <w:tcW w:w="709" w:type="dxa"/>
            <w:vMerge w:val="continue"/>
            <w:vAlign w:val="center"/>
          </w:tcPr>
          <w:p w14:paraId="4ADEE52E">
            <w:pPr>
              <w:widowControl/>
              <w:spacing w:line="300" w:lineRule="exact"/>
              <w:jc w:val="center"/>
              <w:rPr>
                <w:rFonts w:ascii="Times New Roman" w:hAnsi="Times New Roman" w:cs="Times New Roman" w:eastAsiaTheme="minorEastAsia"/>
                <w:color w:val="auto"/>
                <w:spacing w:val="-20"/>
                <w:kern w:val="0"/>
                <w:szCs w:val="21"/>
              </w:rPr>
            </w:pPr>
          </w:p>
        </w:tc>
        <w:tc>
          <w:tcPr>
            <w:tcW w:w="708" w:type="dxa"/>
            <w:vMerge w:val="continue"/>
            <w:vAlign w:val="center"/>
          </w:tcPr>
          <w:p w14:paraId="335BDDD2">
            <w:pPr>
              <w:widowControl/>
              <w:spacing w:line="300" w:lineRule="exact"/>
              <w:jc w:val="center"/>
              <w:rPr>
                <w:rFonts w:ascii="Times New Roman" w:hAnsi="Times New Roman" w:cs="Times New Roman" w:eastAsiaTheme="minorEastAsia"/>
                <w:color w:val="auto"/>
                <w:spacing w:val="-20"/>
                <w:kern w:val="0"/>
                <w:szCs w:val="21"/>
              </w:rPr>
            </w:pPr>
          </w:p>
        </w:tc>
        <w:tc>
          <w:tcPr>
            <w:tcW w:w="4582" w:type="dxa"/>
            <w:vMerge w:val="continue"/>
            <w:vAlign w:val="center"/>
          </w:tcPr>
          <w:p w14:paraId="06C6A9C2">
            <w:pPr>
              <w:widowControl/>
              <w:spacing w:line="300" w:lineRule="exact"/>
              <w:rPr>
                <w:rFonts w:ascii="Times New Roman" w:hAnsi="Times New Roman" w:cs="Times New Roman" w:eastAsiaTheme="minorEastAsia"/>
                <w:color w:val="auto"/>
                <w:spacing w:val="0"/>
                <w:kern w:val="0"/>
                <w:sz w:val="21"/>
                <w:szCs w:val="21"/>
              </w:rPr>
            </w:pPr>
          </w:p>
        </w:tc>
        <w:tc>
          <w:tcPr>
            <w:tcW w:w="2898" w:type="dxa"/>
            <w:vMerge w:val="continue"/>
            <w:vAlign w:val="center"/>
          </w:tcPr>
          <w:p w14:paraId="5F3AB8A1">
            <w:pPr>
              <w:widowControl/>
              <w:adjustRightInd w:val="0"/>
              <w:snapToGrid w:val="0"/>
              <w:jc w:val="center"/>
              <w:rPr>
                <w:rFonts w:ascii="Times New Roman" w:hAnsi="Times New Roman" w:cs="Times New Roman" w:eastAsiaTheme="minorEastAsia"/>
                <w:snapToGrid w:val="0"/>
                <w:color w:val="auto"/>
                <w:spacing w:val="-20"/>
                <w:kern w:val="0"/>
                <w:szCs w:val="21"/>
              </w:rPr>
            </w:pPr>
          </w:p>
        </w:tc>
      </w:tr>
      <w:tr w14:paraId="6C2BD234">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1041" w:hRule="atLeast"/>
          <w:tblHeader/>
          <w:jc w:val="center"/>
        </w:trPr>
        <w:tc>
          <w:tcPr>
            <w:tcW w:w="568" w:type="dxa"/>
            <w:vMerge w:val="restart"/>
            <w:noWrap/>
            <w:vAlign w:val="center"/>
          </w:tcPr>
          <w:p w14:paraId="17930953">
            <w:pPr>
              <w:widowControl/>
              <w:spacing w:line="300" w:lineRule="exact"/>
              <w:jc w:val="center"/>
              <w:rPr>
                <w:rFonts w:ascii="Times New Roman" w:hAnsi="Times New Roman" w:cs="Times New Roman" w:eastAsiaTheme="minorEastAsia"/>
                <w:color w:val="auto"/>
                <w:spacing w:val="-20"/>
                <w:kern w:val="0"/>
                <w:szCs w:val="21"/>
              </w:rPr>
            </w:pPr>
            <w:r>
              <w:rPr>
                <w:rFonts w:ascii="Times New Roman" w:hAnsi="Times New Roman" w:cs="Times New Roman" w:eastAsiaTheme="minorEastAsia"/>
                <w:color w:val="auto"/>
                <w:spacing w:val="-20"/>
                <w:kern w:val="0"/>
                <w:szCs w:val="21"/>
              </w:rPr>
              <w:t>26</w:t>
            </w:r>
          </w:p>
        </w:tc>
        <w:tc>
          <w:tcPr>
            <w:tcW w:w="694" w:type="dxa"/>
            <w:vMerge w:val="continue"/>
            <w:vAlign w:val="center"/>
          </w:tcPr>
          <w:p w14:paraId="2D636CCC">
            <w:pPr>
              <w:widowControl/>
              <w:spacing w:line="300" w:lineRule="exact"/>
              <w:jc w:val="center"/>
              <w:rPr>
                <w:rFonts w:ascii="Times New Roman" w:hAnsi="Times New Roman" w:cs="Times New Roman" w:eastAsiaTheme="minorEastAsia"/>
                <w:color w:val="auto"/>
                <w:spacing w:val="-20"/>
                <w:kern w:val="0"/>
                <w:szCs w:val="21"/>
              </w:rPr>
            </w:pPr>
          </w:p>
        </w:tc>
        <w:tc>
          <w:tcPr>
            <w:tcW w:w="1134" w:type="dxa"/>
            <w:vAlign w:val="center"/>
          </w:tcPr>
          <w:p w14:paraId="60BAC37F">
            <w:pPr>
              <w:spacing w:line="300" w:lineRule="exact"/>
              <w:jc w:val="center"/>
              <w:rPr>
                <w:rFonts w:ascii="Times New Roman" w:hAnsi="Times New Roman" w:cs="Times New Roman" w:eastAsiaTheme="minorEastAsia"/>
                <w:color w:val="auto"/>
                <w:spacing w:val="-20"/>
                <w:szCs w:val="21"/>
              </w:rPr>
            </w:pPr>
            <w:r>
              <w:rPr>
                <w:rFonts w:ascii="Times New Roman" w:hAnsi="Times New Roman" w:cs="Times New Roman" w:eastAsiaTheme="minorEastAsia"/>
                <w:color w:val="auto"/>
                <w:spacing w:val="-20"/>
                <w:szCs w:val="21"/>
              </w:rPr>
              <w:t>K</w:t>
            </w:r>
            <w:r>
              <w:rPr>
                <w:rFonts w:hint="eastAsia" w:ascii="Times New Roman" w:hAnsi="Times New Roman" w:cs="Times New Roman" w:eastAsiaTheme="minorEastAsia"/>
                <w:color w:val="auto"/>
                <w:spacing w:val="-20"/>
                <w:szCs w:val="21"/>
              </w:rPr>
              <w:t>48</w:t>
            </w:r>
            <w:r>
              <w:rPr>
                <w:rFonts w:ascii="Times New Roman" w:hAnsi="Times New Roman" w:cs="Times New Roman" w:eastAsiaTheme="minorEastAsia"/>
                <w:color w:val="auto"/>
                <w:spacing w:val="-20"/>
                <w:szCs w:val="21"/>
              </w:rPr>
              <w:t>+</w:t>
            </w:r>
            <w:r>
              <w:rPr>
                <w:rFonts w:hint="eastAsia" w:ascii="Times New Roman" w:hAnsi="Times New Roman" w:cs="Times New Roman" w:eastAsiaTheme="minorEastAsia"/>
                <w:color w:val="auto"/>
                <w:spacing w:val="-20"/>
                <w:szCs w:val="21"/>
              </w:rPr>
              <w:t>15</w:t>
            </w:r>
            <w:r>
              <w:rPr>
                <w:rFonts w:ascii="Times New Roman" w:hAnsi="Times New Roman" w:cs="Times New Roman" w:eastAsiaTheme="minorEastAsia"/>
                <w:color w:val="auto"/>
                <w:spacing w:val="-20"/>
                <w:szCs w:val="21"/>
              </w:rPr>
              <w:t>0</w:t>
            </w:r>
            <w:r>
              <w:rPr>
                <w:rFonts w:ascii="Times New Roman" w:cs="Times New Roman" w:hAnsiTheme="minorEastAsia" w:eastAsiaTheme="minorEastAsia"/>
                <w:color w:val="auto"/>
                <w:spacing w:val="-20"/>
                <w:szCs w:val="21"/>
              </w:rPr>
              <w:t>～</w:t>
            </w:r>
            <w:r>
              <w:rPr>
                <w:rFonts w:ascii="Times New Roman" w:hAnsi="Times New Roman" w:cs="Times New Roman" w:eastAsiaTheme="minorEastAsia"/>
                <w:color w:val="auto"/>
                <w:spacing w:val="-20"/>
                <w:szCs w:val="21"/>
              </w:rPr>
              <w:t>K</w:t>
            </w:r>
            <w:r>
              <w:rPr>
                <w:rFonts w:hint="eastAsia" w:ascii="Times New Roman" w:hAnsi="Times New Roman" w:cs="Times New Roman" w:eastAsiaTheme="minorEastAsia"/>
                <w:color w:val="auto"/>
                <w:spacing w:val="-20"/>
                <w:szCs w:val="21"/>
              </w:rPr>
              <w:t>48</w:t>
            </w:r>
            <w:r>
              <w:rPr>
                <w:rFonts w:ascii="Times New Roman" w:hAnsi="Times New Roman" w:cs="Times New Roman" w:eastAsiaTheme="minorEastAsia"/>
                <w:color w:val="auto"/>
                <w:spacing w:val="-20"/>
                <w:szCs w:val="21"/>
              </w:rPr>
              <w:t>+</w:t>
            </w:r>
            <w:r>
              <w:rPr>
                <w:rFonts w:hint="eastAsia" w:ascii="Times New Roman" w:hAnsi="Times New Roman" w:cs="Times New Roman" w:eastAsiaTheme="minorEastAsia"/>
                <w:color w:val="auto"/>
                <w:spacing w:val="-20"/>
                <w:szCs w:val="21"/>
              </w:rPr>
              <w:t>2</w:t>
            </w:r>
            <w:r>
              <w:rPr>
                <w:rFonts w:ascii="Times New Roman" w:hAnsi="Times New Roman" w:cs="Times New Roman" w:eastAsiaTheme="minorEastAsia"/>
                <w:color w:val="auto"/>
                <w:spacing w:val="-20"/>
                <w:szCs w:val="21"/>
              </w:rPr>
              <w:t>00</w:t>
            </w:r>
          </w:p>
        </w:tc>
        <w:tc>
          <w:tcPr>
            <w:tcW w:w="851" w:type="dxa"/>
            <w:vMerge w:val="restart"/>
            <w:vAlign w:val="center"/>
          </w:tcPr>
          <w:p w14:paraId="7ACE3A0F">
            <w:pPr>
              <w:spacing w:line="300" w:lineRule="exact"/>
              <w:jc w:val="center"/>
              <w:rPr>
                <w:rFonts w:ascii="Times New Roman" w:hAnsi="Times New Roman" w:cs="Times New Roman" w:eastAsiaTheme="minorEastAsia"/>
                <w:color w:val="auto"/>
                <w:spacing w:val="-20"/>
                <w:szCs w:val="21"/>
              </w:rPr>
            </w:pPr>
            <w:r>
              <w:rPr>
                <w:rFonts w:hint="eastAsia" w:ascii="Times New Roman" w:cs="Times New Roman" w:hAnsiTheme="minorEastAsia" w:eastAsiaTheme="minorEastAsia"/>
                <w:color w:val="auto"/>
                <w:spacing w:val="-20"/>
                <w:szCs w:val="21"/>
              </w:rPr>
              <w:t>土木拉克</w:t>
            </w:r>
          </w:p>
        </w:tc>
        <w:tc>
          <w:tcPr>
            <w:tcW w:w="850" w:type="dxa"/>
            <w:vMerge w:val="continue"/>
            <w:vAlign w:val="center"/>
          </w:tcPr>
          <w:p w14:paraId="5147E110">
            <w:pPr>
              <w:spacing w:line="300" w:lineRule="exact"/>
              <w:jc w:val="center"/>
              <w:rPr>
                <w:rFonts w:ascii="Times New Roman" w:hAnsi="Times New Roman" w:cs="Times New Roman" w:eastAsiaTheme="minorEastAsia"/>
                <w:color w:val="auto"/>
                <w:spacing w:val="-20"/>
                <w:szCs w:val="21"/>
              </w:rPr>
            </w:pPr>
          </w:p>
        </w:tc>
        <w:tc>
          <w:tcPr>
            <w:tcW w:w="661" w:type="dxa"/>
            <w:vMerge w:val="restart"/>
            <w:vAlign w:val="center"/>
          </w:tcPr>
          <w:p w14:paraId="3347836B">
            <w:pPr>
              <w:spacing w:line="300" w:lineRule="exact"/>
              <w:jc w:val="center"/>
              <w:rPr>
                <w:rFonts w:ascii="Times New Roman" w:hAnsi="Times New Roman" w:cs="Times New Roman" w:eastAsiaTheme="minorEastAsia"/>
                <w:color w:val="auto"/>
                <w:spacing w:val="-20"/>
                <w:szCs w:val="21"/>
              </w:rPr>
            </w:pPr>
            <w:r>
              <w:rPr>
                <w:rFonts w:ascii="Times New Roman" w:hAnsi="Times New Roman" w:cs="Times New Roman" w:eastAsiaTheme="minorEastAsia"/>
                <w:color w:val="auto"/>
                <w:spacing w:val="-20"/>
                <w:szCs w:val="21"/>
              </w:rPr>
              <w:t>两侧</w:t>
            </w:r>
          </w:p>
        </w:tc>
        <w:tc>
          <w:tcPr>
            <w:tcW w:w="662" w:type="dxa"/>
            <w:vMerge w:val="restart"/>
            <w:vAlign w:val="center"/>
          </w:tcPr>
          <w:p w14:paraId="7B1640BF">
            <w:pPr>
              <w:spacing w:line="300" w:lineRule="exact"/>
              <w:jc w:val="center"/>
              <w:rPr>
                <w:rFonts w:ascii="Times New Roman" w:hAnsi="Times New Roman" w:cs="Times New Roman" w:eastAsiaTheme="minorEastAsia"/>
                <w:color w:val="auto"/>
                <w:spacing w:val="-20"/>
                <w:szCs w:val="21"/>
              </w:rPr>
            </w:pPr>
            <w:r>
              <w:rPr>
                <w:rFonts w:hint="eastAsia" w:ascii="Times New Roman" w:hAnsi="Times New Roman" w:cs="Times New Roman" w:eastAsiaTheme="minorEastAsia"/>
                <w:color w:val="auto"/>
                <w:spacing w:val="-20"/>
                <w:szCs w:val="21"/>
              </w:rPr>
              <w:t>13</w:t>
            </w:r>
          </w:p>
        </w:tc>
        <w:tc>
          <w:tcPr>
            <w:tcW w:w="662" w:type="dxa"/>
            <w:vMerge w:val="restart"/>
            <w:vAlign w:val="center"/>
          </w:tcPr>
          <w:p w14:paraId="355C49B9">
            <w:pPr>
              <w:spacing w:line="300" w:lineRule="exact"/>
              <w:jc w:val="center"/>
              <w:rPr>
                <w:rFonts w:ascii="Times New Roman" w:hAnsi="Times New Roman" w:cs="Times New Roman" w:eastAsiaTheme="minorEastAsia"/>
                <w:color w:val="auto"/>
                <w:spacing w:val="-20"/>
                <w:szCs w:val="21"/>
              </w:rPr>
            </w:pPr>
            <w:r>
              <w:rPr>
                <w:rFonts w:hint="eastAsia" w:ascii="Times New Roman" w:hAnsi="Times New Roman" w:cs="Times New Roman" w:eastAsiaTheme="minorEastAsia"/>
                <w:color w:val="auto"/>
                <w:spacing w:val="-20"/>
                <w:szCs w:val="21"/>
              </w:rPr>
              <w:t>2</w:t>
            </w:r>
          </w:p>
        </w:tc>
        <w:tc>
          <w:tcPr>
            <w:tcW w:w="567" w:type="dxa"/>
            <w:vMerge w:val="restart"/>
            <w:vAlign w:val="center"/>
          </w:tcPr>
          <w:p w14:paraId="2C702CE4">
            <w:pPr>
              <w:spacing w:line="300" w:lineRule="exact"/>
              <w:jc w:val="center"/>
              <w:rPr>
                <w:rFonts w:ascii="Times New Roman" w:hAnsi="Times New Roman" w:cs="Times New Roman" w:eastAsiaTheme="minorEastAsia"/>
                <w:color w:val="auto"/>
                <w:spacing w:val="-20"/>
                <w:szCs w:val="21"/>
              </w:rPr>
            </w:pPr>
            <w:r>
              <w:rPr>
                <w:rFonts w:ascii="Times New Roman" w:hAnsi="Times New Roman" w:cs="Times New Roman" w:eastAsiaTheme="minorEastAsia"/>
                <w:color w:val="auto"/>
                <w:spacing w:val="-20"/>
                <w:szCs w:val="21"/>
              </w:rPr>
              <w:t>两侧</w:t>
            </w:r>
          </w:p>
        </w:tc>
        <w:tc>
          <w:tcPr>
            <w:tcW w:w="708" w:type="dxa"/>
            <w:vMerge w:val="restart"/>
            <w:vAlign w:val="center"/>
          </w:tcPr>
          <w:p w14:paraId="136650B1">
            <w:pPr>
              <w:spacing w:line="300" w:lineRule="exact"/>
              <w:jc w:val="center"/>
              <w:rPr>
                <w:rFonts w:ascii="Times New Roman" w:hAnsi="Times New Roman" w:cs="Times New Roman" w:eastAsiaTheme="minorEastAsia"/>
                <w:color w:val="auto"/>
                <w:spacing w:val="-20"/>
                <w:szCs w:val="21"/>
              </w:rPr>
            </w:pPr>
            <w:r>
              <w:rPr>
                <w:rFonts w:hint="eastAsia" w:ascii="Times New Roman" w:hAnsi="Times New Roman" w:cs="Times New Roman" w:eastAsiaTheme="minorEastAsia"/>
                <w:color w:val="auto"/>
                <w:spacing w:val="-20"/>
                <w:szCs w:val="21"/>
              </w:rPr>
              <w:t>25</w:t>
            </w:r>
          </w:p>
        </w:tc>
        <w:tc>
          <w:tcPr>
            <w:tcW w:w="709" w:type="dxa"/>
            <w:vMerge w:val="restart"/>
            <w:vAlign w:val="center"/>
          </w:tcPr>
          <w:p w14:paraId="3A91A020">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7.5</w:t>
            </w:r>
          </w:p>
        </w:tc>
        <w:tc>
          <w:tcPr>
            <w:tcW w:w="992" w:type="dxa"/>
            <w:vMerge w:val="restart"/>
            <w:vAlign w:val="center"/>
          </w:tcPr>
          <w:p w14:paraId="4FA1EF7F">
            <w:pPr>
              <w:spacing w:line="300" w:lineRule="exact"/>
              <w:jc w:val="center"/>
              <w:rPr>
                <w:rFonts w:ascii="Times New Roman" w:hAnsi="Times New Roman" w:cs="Times New Roman" w:eastAsiaTheme="minorEastAsia"/>
                <w:color w:val="auto"/>
                <w:spacing w:val="-20"/>
                <w:kern w:val="0"/>
                <w:szCs w:val="21"/>
              </w:rPr>
            </w:pPr>
            <w:r>
              <w:rPr>
                <w:rFonts w:ascii="Times New Roman" w:hAnsi="Times New Roman" w:cs="Times New Roman" w:eastAsiaTheme="minorEastAsia"/>
                <w:color w:val="auto"/>
                <w:spacing w:val="-20"/>
                <w:kern w:val="0"/>
                <w:szCs w:val="21"/>
              </w:rPr>
              <w:t>0</w:t>
            </w:r>
          </w:p>
        </w:tc>
        <w:tc>
          <w:tcPr>
            <w:tcW w:w="993" w:type="dxa"/>
            <w:vMerge w:val="restart"/>
            <w:vAlign w:val="center"/>
          </w:tcPr>
          <w:p w14:paraId="3733BF29">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1.0</w:t>
            </w:r>
          </w:p>
        </w:tc>
        <w:tc>
          <w:tcPr>
            <w:tcW w:w="567" w:type="dxa"/>
            <w:vMerge w:val="restart"/>
            <w:vAlign w:val="center"/>
          </w:tcPr>
          <w:p w14:paraId="0F400DAE">
            <w:pPr>
              <w:widowControl/>
              <w:spacing w:line="300" w:lineRule="exact"/>
              <w:jc w:val="center"/>
              <w:rPr>
                <w:rFonts w:ascii="Times New Roman" w:hAnsi="Times New Roman" w:cs="Times New Roman" w:eastAsiaTheme="minorEastAsia"/>
                <w:color w:val="auto"/>
                <w:spacing w:val="-20"/>
                <w:kern w:val="0"/>
                <w:szCs w:val="21"/>
              </w:rPr>
            </w:pPr>
            <w:r>
              <w:rPr>
                <w:rFonts w:ascii="Times New Roman" w:cs="Times New Roman" w:hAnsiTheme="minorEastAsia" w:eastAsiaTheme="minorEastAsia"/>
                <w:color w:val="auto"/>
                <w:spacing w:val="-20"/>
                <w:kern w:val="0"/>
                <w:szCs w:val="21"/>
              </w:rPr>
              <w:t>路基</w:t>
            </w:r>
          </w:p>
        </w:tc>
        <w:tc>
          <w:tcPr>
            <w:tcW w:w="992" w:type="dxa"/>
            <w:vMerge w:val="restart"/>
            <w:vAlign w:val="center"/>
          </w:tcPr>
          <w:p w14:paraId="7CF7BA13">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52.5</w:t>
            </w:r>
          </w:p>
        </w:tc>
        <w:tc>
          <w:tcPr>
            <w:tcW w:w="709" w:type="dxa"/>
            <w:vMerge w:val="restart"/>
            <w:vAlign w:val="center"/>
          </w:tcPr>
          <w:p w14:paraId="34953185">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12</w:t>
            </w:r>
          </w:p>
        </w:tc>
        <w:tc>
          <w:tcPr>
            <w:tcW w:w="708" w:type="dxa"/>
            <w:vMerge w:val="restart"/>
            <w:vAlign w:val="center"/>
          </w:tcPr>
          <w:p w14:paraId="1196482F">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30</w:t>
            </w:r>
          </w:p>
        </w:tc>
        <w:tc>
          <w:tcPr>
            <w:tcW w:w="4582" w:type="dxa"/>
            <w:vMerge w:val="restart"/>
            <w:vAlign w:val="center"/>
          </w:tcPr>
          <w:p w14:paraId="0C0E95B9">
            <w:pPr>
              <w:widowControl/>
              <w:spacing w:line="300" w:lineRule="exact"/>
              <w:rPr>
                <w:rFonts w:ascii="Times New Roman" w:hAnsi="Times New Roman" w:cs="Times New Roman" w:eastAsiaTheme="minorEastAsia"/>
                <w:color w:val="auto"/>
                <w:spacing w:val="0"/>
                <w:kern w:val="0"/>
                <w:sz w:val="21"/>
                <w:szCs w:val="21"/>
              </w:rPr>
            </w:pPr>
            <w:bookmarkStart w:id="127" w:name="OLE_LINK6"/>
            <w:r>
              <w:rPr>
                <w:rFonts w:ascii="Times New Roman" w:cs="Times New Roman" w:hAnsiTheme="minorEastAsia" w:eastAsiaTheme="minorEastAsia"/>
                <w:color w:val="auto"/>
                <w:spacing w:val="0"/>
                <w:kern w:val="0"/>
                <w:sz w:val="21"/>
                <w:szCs w:val="21"/>
              </w:rPr>
              <w:t>路线以填方路基形式经过村庄。评价范围内现有居民</w:t>
            </w:r>
            <w:r>
              <w:rPr>
                <w:rFonts w:hint="eastAsia" w:ascii="Times New Roman" w:hAnsi="Times New Roman" w:cs="Times New Roman" w:eastAsiaTheme="minorEastAsia"/>
                <w:color w:val="auto"/>
                <w:spacing w:val="0"/>
                <w:kern w:val="0"/>
                <w:sz w:val="21"/>
                <w:szCs w:val="21"/>
              </w:rPr>
              <w:t>42</w:t>
            </w:r>
            <w:r>
              <w:rPr>
                <w:rFonts w:ascii="Times New Roman" w:cs="Times New Roman" w:hAnsiTheme="minorEastAsia" w:eastAsiaTheme="minorEastAsia"/>
                <w:color w:val="auto"/>
                <w:spacing w:val="0"/>
                <w:kern w:val="0"/>
                <w:sz w:val="21"/>
                <w:szCs w:val="21"/>
              </w:rPr>
              <w:t>户，首排</w:t>
            </w:r>
            <w:r>
              <w:rPr>
                <w:rFonts w:hint="eastAsia" w:ascii="Times New Roman" w:hAnsi="Times New Roman" w:cs="Times New Roman" w:eastAsiaTheme="minorEastAsia"/>
                <w:color w:val="auto"/>
                <w:spacing w:val="0"/>
                <w:kern w:val="0"/>
                <w:sz w:val="21"/>
                <w:szCs w:val="21"/>
              </w:rPr>
              <w:t>6</w:t>
            </w:r>
            <w:r>
              <w:rPr>
                <w:rFonts w:ascii="Times New Roman" w:cs="Times New Roman" w:hAnsiTheme="minorEastAsia" w:eastAsiaTheme="minorEastAsia"/>
                <w:color w:val="auto"/>
                <w:spacing w:val="0"/>
                <w:kern w:val="0"/>
                <w:sz w:val="21"/>
                <w:szCs w:val="21"/>
              </w:rPr>
              <w:t>户，</w:t>
            </w:r>
            <w:r>
              <w:rPr>
                <w:rFonts w:hint="eastAsia" w:ascii="Times New Roman" w:cs="Times New Roman" w:hAnsiTheme="minorEastAsia" w:eastAsiaTheme="minorEastAsia"/>
                <w:color w:val="auto"/>
                <w:spacing w:val="0"/>
                <w:kern w:val="0"/>
                <w:sz w:val="21"/>
                <w:szCs w:val="21"/>
              </w:rPr>
              <w:t>主要</w:t>
            </w:r>
            <w:r>
              <w:rPr>
                <w:rFonts w:ascii="Times New Roman" w:cs="Times New Roman" w:hAnsiTheme="minorEastAsia" w:eastAsiaTheme="minorEastAsia"/>
                <w:color w:val="auto"/>
                <w:spacing w:val="0"/>
                <w:kern w:val="0"/>
                <w:sz w:val="21"/>
                <w:szCs w:val="21"/>
              </w:rPr>
              <w:t>为</w:t>
            </w:r>
            <w:r>
              <w:rPr>
                <w:rFonts w:ascii="Times New Roman" w:hAnsi="Times New Roman" w:cs="Times New Roman" w:eastAsiaTheme="minorEastAsia"/>
                <w:color w:val="auto"/>
                <w:spacing w:val="0"/>
                <w:kern w:val="0"/>
                <w:sz w:val="21"/>
                <w:szCs w:val="21"/>
              </w:rPr>
              <w:t>1</w:t>
            </w:r>
            <w:r>
              <w:rPr>
                <w:rFonts w:ascii="Times New Roman" w:cs="Times New Roman" w:hAnsiTheme="minorEastAsia" w:eastAsiaTheme="minorEastAsia"/>
                <w:color w:val="auto"/>
                <w:spacing w:val="0"/>
                <w:kern w:val="0"/>
                <w:sz w:val="21"/>
                <w:szCs w:val="21"/>
              </w:rPr>
              <w:t>层砖混房，房屋侧向拟建公路。</w:t>
            </w:r>
            <w:r>
              <w:rPr>
                <w:rFonts w:ascii="Times New Roman" w:hAnsi="Times New Roman" w:eastAsia="宋体" w:cs="Times New Roman"/>
                <w:color w:val="auto"/>
                <w:spacing w:val="0"/>
                <w:kern w:val="0"/>
                <w:sz w:val="21"/>
                <w:szCs w:val="21"/>
              </w:rPr>
              <w:t>该路段利用现有</w:t>
            </w:r>
            <w:r>
              <w:rPr>
                <w:rFonts w:hint="eastAsia" w:ascii="Times New Roman" w:hAnsi="Times New Roman" w:eastAsia="宋体" w:cs="Times New Roman"/>
                <w:color w:val="auto"/>
                <w:spacing w:val="0"/>
                <w:kern w:val="0"/>
                <w:sz w:val="21"/>
                <w:szCs w:val="21"/>
              </w:rPr>
              <w:t>老路双侧加宽</w:t>
            </w:r>
            <w:r>
              <w:rPr>
                <w:rFonts w:ascii="Times New Roman" w:hAnsi="Times New Roman" w:eastAsia="宋体" w:cs="Times New Roman"/>
                <w:color w:val="auto"/>
                <w:spacing w:val="0"/>
                <w:kern w:val="0"/>
                <w:sz w:val="21"/>
                <w:szCs w:val="21"/>
              </w:rPr>
              <w:t>，</w:t>
            </w:r>
            <w:r>
              <w:rPr>
                <w:rFonts w:hint="eastAsia" w:ascii="Times New Roman" w:hAnsi="Times New Roman" w:eastAsia="宋体" w:cs="Times New Roman"/>
                <w:color w:val="auto"/>
                <w:spacing w:val="0"/>
                <w:kern w:val="0"/>
                <w:sz w:val="21"/>
                <w:szCs w:val="21"/>
              </w:rPr>
              <w:t>房屋</w:t>
            </w:r>
            <w:r>
              <w:rPr>
                <w:rFonts w:ascii="Times New Roman" w:hAnsi="Times New Roman" w:eastAsia="宋体" w:cs="Times New Roman"/>
                <w:color w:val="auto"/>
                <w:spacing w:val="0"/>
                <w:kern w:val="0"/>
                <w:sz w:val="21"/>
                <w:szCs w:val="21"/>
              </w:rPr>
              <w:t>分布于平交</w:t>
            </w:r>
            <w:r>
              <w:rPr>
                <w:rFonts w:hint="eastAsia" w:ascii="Times New Roman" w:hAnsi="Times New Roman" w:eastAsia="宋体" w:cs="Times New Roman"/>
                <w:color w:val="auto"/>
                <w:spacing w:val="0"/>
                <w:kern w:val="0"/>
                <w:sz w:val="21"/>
                <w:szCs w:val="21"/>
              </w:rPr>
              <w:t>路口两侧</w:t>
            </w:r>
            <w:r>
              <w:rPr>
                <w:rFonts w:ascii="Times New Roman" w:hAnsi="Times New Roman" w:eastAsia="宋体" w:cs="Times New Roman"/>
                <w:color w:val="auto"/>
                <w:spacing w:val="0"/>
                <w:kern w:val="0"/>
                <w:sz w:val="21"/>
                <w:szCs w:val="21"/>
              </w:rPr>
              <w:t>，</w:t>
            </w:r>
            <w:r>
              <w:rPr>
                <w:rFonts w:ascii="Times New Roman" w:cs="Times New Roman" w:hAnsiTheme="minorEastAsia" w:eastAsiaTheme="minorEastAsia"/>
                <w:color w:val="auto"/>
                <w:spacing w:val="0"/>
                <w:kern w:val="0"/>
                <w:sz w:val="21"/>
                <w:szCs w:val="21"/>
              </w:rPr>
              <w:t>主要噪声源为现有</w:t>
            </w:r>
            <w:r>
              <w:rPr>
                <w:rFonts w:hint="eastAsia" w:ascii="Times New Roman" w:hAnsi="Times New Roman" w:cs="Times New Roman" w:eastAsiaTheme="minorEastAsia"/>
                <w:color w:val="auto"/>
                <w:spacing w:val="0"/>
                <w:kern w:val="0"/>
                <w:sz w:val="21"/>
                <w:szCs w:val="21"/>
              </w:rPr>
              <w:t>G219</w:t>
            </w:r>
            <w:r>
              <w:rPr>
                <w:rFonts w:ascii="Times New Roman" w:cs="Times New Roman" w:hAnsiTheme="minorEastAsia" w:eastAsiaTheme="minorEastAsia"/>
                <w:color w:val="auto"/>
                <w:spacing w:val="0"/>
                <w:kern w:val="0"/>
                <w:sz w:val="21"/>
                <w:szCs w:val="21"/>
              </w:rPr>
              <w:t>交通噪声和社会生活噪声。</w:t>
            </w:r>
            <w:bookmarkEnd w:id="127"/>
          </w:p>
        </w:tc>
        <w:tc>
          <w:tcPr>
            <w:tcW w:w="2898" w:type="dxa"/>
            <w:vMerge w:val="restart"/>
            <w:vAlign w:val="center"/>
          </w:tcPr>
          <w:p w14:paraId="12FBDD7A">
            <w:pPr>
              <w:widowControl/>
              <w:adjustRightInd w:val="0"/>
              <w:snapToGrid w:val="0"/>
              <w:jc w:val="center"/>
              <w:rPr>
                <w:rFonts w:ascii="Times New Roman" w:hAnsi="Times New Roman" w:cs="Times New Roman" w:eastAsiaTheme="minorEastAsia"/>
                <w:snapToGrid w:val="0"/>
                <w:color w:val="auto"/>
                <w:spacing w:val="-20"/>
                <w:kern w:val="0"/>
                <w:szCs w:val="21"/>
              </w:rPr>
            </w:pPr>
            <w:r>
              <w:rPr>
                <w:rFonts w:ascii="Times New Roman" w:hAnsi="Times New Roman" w:cs="Times New Roman" w:eastAsiaTheme="minorEastAsia"/>
                <w:color w:val="auto"/>
                <w:spacing w:val="-20"/>
                <w:kern w:val="0"/>
                <w:szCs w:val="21"/>
              </w:rPr>
              <w:drawing>
                <wp:inline distT="0" distB="0" distL="0" distR="0">
                  <wp:extent cx="1729105" cy="1295400"/>
                  <wp:effectExtent l="0" t="0" r="4445" b="0"/>
                  <wp:docPr id="970" name="图片 26" descr="E:\咨询项目\环评\新疆-G219线八盘水磨至伽师公路\外业踏勘记录及照片\DSC089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 name="图片 26" descr="E:\咨询项目\环评\新疆-G219线八盘水磨至伽师公路\外业踏勘记录及照片\DSC08977.JPG"/>
                          <pic:cNvPicPr>
                            <a:picLocks noChangeAspect="1" noChangeArrowheads="1"/>
                          </pic:cNvPicPr>
                        </pic:nvPicPr>
                        <pic:blipFill>
                          <a:blip r:embed="rId181" cstate="print"/>
                          <a:srcRect/>
                          <a:stretch>
                            <a:fillRect/>
                          </a:stretch>
                        </pic:blipFill>
                        <pic:spPr>
                          <a:xfrm>
                            <a:off x="0" y="0"/>
                            <a:ext cx="1729728" cy="1296000"/>
                          </a:xfrm>
                          <a:prstGeom prst="rect">
                            <a:avLst/>
                          </a:prstGeom>
                          <a:noFill/>
                          <a:ln w="9525">
                            <a:noFill/>
                            <a:miter lim="800000"/>
                            <a:headEnd/>
                            <a:tailEnd/>
                          </a:ln>
                        </pic:spPr>
                      </pic:pic>
                    </a:graphicData>
                  </a:graphic>
                </wp:inline>
              </w:drawing>
            </w:r>
          </w:p>
        </w:tc>
      </w:tr>
      <w:tr w14:paraId="24648AE5">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780" w:hRule="atLeast"/>
          <w:tblHeader/>
          <w:jc w:val="center"/>
        </w:trPr>
        <w:tc>
          <w:tcPr>
            <w:tcW w:w="568" w:type="dxa"/>
            <w:vMerge w:val="continue"/>
            <w:noWrap/>
            <w:vAlign w:val="center"/>
          </w:tcPr>
          <w:p w14:paraId="6FFC2A57">
            <w:pPr>
              <w:widowControl/>
              <w:spacing w:line="300" w:lineRule="exact"/>
              <w:jc w:val="center"/>
              <w:rPr>
                <w:rFonts w:ascii="Times New Roman" w:hAnsi="Times New Roman" w:cs="Times New Roman" w:eastAsiaTheme="minorEastAsia"/>
                <w:color w:val="auto"/>
                <w:spacing w:val="-20"/>
                <w:kern w:val="0"/>
                <w:szCs w:val="21"/>
              </w:rPr>
            </w:pPr>
          </w:p>
        </w:tc>
        <w:tc>
          <w:tcPr>
            <w:tcW w:w="694" w:type="dxa"/>
            <w:vMerge w:val="continue"/>
            <w:vAlign w:val="center"/>
          </w:tcPr>
          <w:p w14:paraId="45A8B4E6">
            <w:pPr>
              <w:widowControl/>
              <w:spacing w:line="300" w:lineRule="exact"/>
              <w:jc w:val="center"/>
              <w:rPr>
                <w:rFonts w:ascii="Times New Roman" w:hAnsi="Times New Roman" w:cs="Times New Roman" w:eastAsiaTheme="minorEastAsia"/>
                <w:color w:val="auto"/>
                <w:spacing w:val="-20"/>
                <w:kern w:val="0"/>
                <w:szCs w:val="21"/>
              </w:rPr>
            </w:pPr>
          </w:p>
        </w:tc>
        <w:tc>
          <w:tcPr>
            <w:tcW w:w="1134" w:type="dxa"/>
            <w:vAlign w:val="center"/>
          </w:tcPr>
          <w:p w14:paraId="7268C932">
            <w:pPr>
              <w:spacing w:line="300" w:lineRule="exact"/>
              <w:jc w:val="center"/>
              <w:rPr>
                <w:rFonts w:ascii="Times New Roman" w:hAnsi="Times New Roman" w:cs="Times New Roman" w:eastAsiaTheme="minorEastAsia"/>
                <w:color w:val="auto"/>
                <w:spacing w:val="-20"/>
                <w:szCs w:val="21"/>
              </w:rPr>
            </w:pPr>
            <w:r>
              <w:rPr>
                <w:rFonts w:ascii="Times New Roman" w:hAnsi="Times New Roman" w:cs="Times New Roman" w:eastAsiaTheme="minorEastAsia"/>
                <w:color w:val="auto"/>
                <w:spacing w:val="-20"/>
                <w:szCs w:val="21"/>
              </w:rPr>
              <w:t>K</w:t>
            </w:r>
            <w:r>
              <w:rPr>
                <w:rFonts w:hint="eastAsia" w:ascii="Times New Roman" w:hAnsi="Times New Roman" w:cs="Times New Roman" w:eastAsiaTheme="minorEastAsia"/>
                <w:color w:val="auto"/>
                <w:spacing w:val="-20"/>
                <w:szCs w:val="21"/>
              </w:rPr>
              <w:t>48</w:t>
            </w:r>
            <w:r>
              <w:rPr>
                <w:rFonts w:ascii="Times New Roman" w:hAnsi="Times New Roman" w:cs="Times New Roman" w:eastAsiaTheme="minorEastAsia"/>
                <w:color w:val="auto"/>
                <w:spacing w:val="-20"/>
                <w:szCs w:val="21"/>
              </w:rPr>
              <w:t>+</w:t>
            </w:r>
            <w:r>
              <w:rPr>
                <w:rFonts w:hint="eastAsia" w:ascii="Times New Roman" w:hAnsi="Times New Roman" w:cs="Times New Roman" w:eastAsiaTheme="minorEastAsia"/>
                <w:color w:val="auto"/>
                <w:spacing w:val="-20"/>
                <w:szCs w:val="21"/>
              </w:rPr>
              <w:t>90</w:t>
            </w:r>
            <w:r>
              <w:rPr>
                <w:rFonts w:ascii="Times New Roman" w:hAnsi="Times New Roman" w:cs="Times New Roman" w:eastAsiaTheme="minorEastAsia"/>
                <w:color w:val="auto"/>
                <w:spacing w:val="-20"/>
                <w:szCs w:val="21"/>
              </w:rPr>
              <w:t>0</w:t>
            </w:r>
            <w:r>
              <w:rPr>
                <w:rFonts w:ascii="Times New Roman" w:cs="Times New Roman" w:hAnsiTheme="minorEastAsia" w:eastAsiaTheme="minorEastAsia"/>
                <w:color w:val="auto"/>
                <w:spacing w:val="-20"/>
                <w:szCs w:val="21"/>
              </w:rPr>
              <w:t>～</w:t>
            </w:r>
            <w:r>
              <w:rPr>
                <w:rFonts w:ascii="Times New Roman" w:hAnsi="Times New Roman" w:cs="Times New Roman" w:eastAsiaTheme="minorEastAsia"/>
                <w:color w:val="auto"/>
                <w:spacing w:val="-20"/>
                <w:szCs w:val="21"/>
              </w:rPr>
              <w:t>K</w:t>
            </w:r>
            <w:r>
              <w:rPr>
                <w:rFonts w:hint="eastAsia" w:ascii="Times New Roman" w:hAnsi="Times New Roman" w:cs="Times New Roman" w:eastAsiaTheme="minorEastAsia"/>
                <w:color w:val="auto"/>
                <w:spacing w:val="-20"/>
                <w:szCs w:val="21"/>
              </w:rPr>
              <w:t>49</w:t>
            </w:r>
            <w:r>
              <w:rPr>
                <w:rFonts w:ascii="Times New Roman" w:hAnsi="Times New Roman" w:cs="Times New Roman" w:eastAsiaTheme="minorEastAsia"/>
                <w:color w:val="auto"/>
                <w:spacing w:val="-20"/>
                <w:szCs w:val="21"/>
              </w:rPr>
              <w:t>+</w:t>
            </w:r>
            <w:r>
              <w:rPr>
                <w:rFonts w:hint="eastAsia" w:ascii="Times New Roman" w:hAnsi="Times New Roman" w:cs="Times New Roman" w:eastAsiaTheme="minorEastAsia"/>
                <w:color w:val="auto"/>
                <w:spacing w:val="-20"/>
                <w:szCs w:val="21"/>
              </w:rPr>
              <w:t>0</w:t>
            </w:r>
            <w:r>
              <w:rPr>
                <w:rFonts w:ascii="Times New Roman" w:hAnsi="Times New Roman" w:cs="Times New Roman" w:eastAsiaTheme="minorEastAsia"/>
                <w:color w:val="auto"/>
                <w:spacing w:val="-20"/>
                <w:szCs w:val="21"/>
              </w:rPr>
              <w:t>00</w:t>
            </w:r>
          </w:p>
        </w:tc>
        <w:tc>
          <w:tcPr>
            <w:tcW w:w="851" w:type="dxa"/>
            <w:vMerge w:val="continue"/>
            <w:vAlign w:val="center"/>
          </w:tcPr>
          <w:p w14:paraId="68131AEA">
            <w:pPr>
              <w:spacing w:line="300" w:lineRule="exact"/>
              <w:jc w:val="center"/>
              <w:rPr>
                <w:rFonts w:ascii="Times New Roman" w:cs="Times New Roman" w:hAnsiTheme="minorEastAsia" w:eastAsiaTheme="minorEastAsia"/>
                <w:color w:val="auto"/>
                <w:spacing w:val="-20"/>
                <w:szCs w:val="21"/>
              </w:rPr>
            </w:pPr>
          </w:p>
        </w:tc>
        <w:tc>
          <w:tcPr>
            <w:tcW w:w="850" w:type="dxa"/>
            <w:vMerge w:val="continue"/>
            <w:vAlign w:val="center"/>
          </w:tcPr>
          <w:p w14:paraId="24092226">
            <w:pPr>
              <w:spacing w:line="300" w:lineRule="exact"/>
              <w:jc w:val="center"/>
              <w:rPr>
                <w:rFonts w:ascii="Times New Roman" w:cs="Times New Roman" w:hAnsiTheme="minorEastAsia" w:eastAsiaTheme="minorEastAsia"/>
                <w:color w:val="auto"/>
                <w:spacing w:val="-20"/>
                <w:szCs w:val="21"/>
              </w:rPr>
            </w:pPr>
          </w:p>
        </w:tc>
        <w:tc>
          <w:tcPr>
            <w:tcW w:w="661" w:type="dxa"/>
            <w:vMerge w:val="continue"/>
            <w:vAlign w:val="center"/>
          </w:tcPr>
          <w:p w14:paraId="374E2D6A">
            <w:pPr>
              <w:spacing w:line="300" w:lineRule="exact"/>
              <w:jc w:val="center"/>
              <w:rPr>
                <w:rFonts w:ascii="Times New Roman" w:cs="Times New Roman" w:hAnsiTheme="minorEastAsia" w:eastAsiaTheme="minorEastAsia"/>
                <w:color w:val="auto"/>
                <w:spacing w:val="-20"/>
                <w:szCs w:val="21"/>
              </w:rPr>
            </w:pPr>
          </w:p>
        </w:tc>
        <w:tc>
          <w:tcPr>
            <w:tcW w:w="662" w:type="dxa"/>
            <w:vMerge w:val="continue"/>
            <w:vAlign w:val="center"/>
          </w:tcPr>
          <w:p w14:paraId="142FC6B4">
            <w:pPr>
              <w:spacing w:line="300" w:lineRule="exact"/>
              <w:jc w:val="center"/>
              <w:rPr>
                <w:rFonts w:ascii="Times New Roman" w:cs="Times New Roman" w:hAnsiTheme="minorEastAsia" w:eastAsiaTheme="minorEastAsia"/>
                <w:color w:val="auto"/>
                <w:spacing w:val="-20"/>
                <w:szCs w:val="21"/>
              </w:rPr>
            </w:pPr>
          </w:p>
        </w:tc>
        <w:tc>
          <w:tcPr>
            <w:tcW w:w="662" w:type="dxa"/>
            <w:vMerge w:val="continue"/>
            <w:vAlign w:val="center"/>
          </w:tcPr>
          <w:p w14:paraId="58069D22">
            <w:pPr>
              <w:spacing w:line="300" w:lineRule="exact"/>
              <w:jc w:val="center"/>
              <w:rPr>
                <w:rFonts w:ascii="Times New Roman" w:cs="Times New Roman" w:hAnsiTheme="minorEastAsia" w:eastAsiaTheme="minorEastAsia"/>
                <w:color w:val="auto"/>
                <w:spacing w:val="-20"/>
                <w:szCs w:val="21"/>
              </w:rPr>
            </w:pPr>
          </w:p>
        </w:tc>
        <w:tc>
          <w:tcPr>
            <w:tcW w:w="567" w:type="dxa"/>
            <w:vMerge w:val="continue"/>
            <w:vAlign w:val="center"/>
          </w:tcPr>
          <w:p w14:paraId="60872E97">
            <w:pPr>
              <w:spacing w:line="300" w:lineRule="exact"/>
              <w:jc w:val="center"/>
              <w:rPr>
                <w:rFonts w:ascii="Times New Roman" w:cs="Times New Roman" w:hAnsiTheme="minorEastAsia" w:eastAsiaTheme="minorEastAsia"/>
                <w:color w:val="auto"/>
                <w:spacing w:val="-20"/>
                <w:szCs w:val="21"/>
              </w:rPr>
            </w:pPr>
          </w:p>
        </w:tc>
        <w:tc>
          <w:tcPr>
            <w:tcW w:w="708" w:type="dxa"/>
            <w:vMerge w:val="continue"/>
            <w:vAlign w:val="center"/>
          </w:tcPr>
          <w:p w14:paraId="150277E0">
            <w:pPr>
              <w:spacing w:line="300" w:lineRule="exact"/>
              <w:jc w:val="center"/>
              <w:rPr>
                <w:rFonts w:ascii="Times New Roman" w:hAnsi="Times New Roman" w:cs="Times New Roman" w:eastAsiaTheme="minorEastAsia"/>
                <w:color w:val="auto"/>
                <w:spacing w:val="-20"/>
                <w:szCs w:val="21"/>
              </w:rPr>
            </w:pPr>
          </w:p>
        </w:tc>
        <w:tc>
          <w:tcPr>
            <w:tcW w:w="709" w:type="dxa"/>
            <w:vMerge w:val="continue"/>
            <w:vAlign w:val="center"/>
          </w:tcPr>
          <w:p w14:paraId="4D886973">
            <w:pPr>
              <w:widowControl/>
              <w:spacing w:line="300" w:lineRule="exact"/>
              <w:jc w:val="center"/>
              <w:rPr>
                <w:rFonts w:ascii="Times New Roman" w:hAnsi="Times New Roman" w:cs="Times New Roman" w:eastAsiaTheme="minorEastAsia"/>
                <w:color w:val="auto"/>
                <w:spacing w:val="-20"/>
                <w:kern w:val="0"/>
                <w:szCs w:val="21"/>
              </w:rPr>
            </w:pPr>
          </w:p>
        </w:tc>
        <w:tc>
          <w:tcPr>
            <w:tcW w:w="992" w:type="dxa"/>
            <w:vMerge w:val="continue"/>
            <w:vAlign w:val="center"/>
          </w:tcPr>
          <w:p w14:paraId="7A9C4794">
            <w:pPr>
              <w:spacing w:line="300" w:lineRule="exact"/>
              <w:jc w:val="center"/>
              <w:rPr>
                <w:rFonts w:ascii="Times New Roman" w:hAnsi="Times New Roman" w:cs="Times New Roman" w:eastAsiaTheme="minorEastAsia"/>
                <w:color w:val="auto"/>
                <w:spacing w:val="-20"/>
                <w:kern w:val="0"/>
                <w:szCs w:val="21"/>
              </w:rPr>
            </w:pPr>
          </w:p>
        </w:tc>
        <w:tc>
          <w:tcPr>
            <w:tcW w:w="993" w:type="dxa"/>
            <w:vMerge w:val="continue"/>
            <w:vAlign w:val="center"/>
          </w:tcPr>
          <w:p w14:paraId="5A7E85C7">
            <w:pPr>
              <w:widowControl/>
              <w:spacing w:line="300" w:lineRule="exact"/>
              <w:jc w:val="center"/>
              <w:rPr>
                <w:rFonts w:ascii="Times New Roman" w:hAnsi="Times New Roman" w:cs="Times New Roman" w:eastAsiaTheme="minorEastAsia"/>
                <w:color w:val="auto"/>
                <w:spacing w:val="-20"/>
                <w:kern w:val="0"/>
                <w:szCs w:val="21"/>
              </w:rPr>
            </w:pPr>
          </w:p>
        </w:tc>
        <w:tc>
          <w:tcPr>
            <w:tcW w:w="567" w:type="dxa"/>
            <w:vMerge w:val="continue"/>
            <w:vAlign w:val="center"/>
          </w:tcPr>
          <w:p w14:paraId="6BBC19C4">
            <w:pPr>
              <w:widowControl/>
              <w:spacing w:line="300" w:lineRule="exact"/>
              <w:jc w:val="center"/>
              <w:rPr>
                <w:rFonts w:ascii="Times New Roman" w:cs="Times New Roman" w:hAnsiTheme="minorEastAsia" w:eastAsiaTheme="minorEastAsia"/>
                <w:color w:val="auto"/>
                <w:spacing w:val="-20"/>
                <w:kern w:val="0"/>
                <w:szCs w:val="21"/>
              </w:rPr>
            </w:pPr>
          </w:p>
        </w:tc>
        <w:tc>
          <w:tcPr>
            <w:tcW w:w="992" w:type="dxa"/>
            <w:vMerge w:val="continue"/>
            <w:vAlign w:val="center"/>
          </w:tcPr>
          <w:p w14:paraId="26FF8D50">
            <w:pPr>
              <w:widowControl/>
              <w:spacing w:line="300" w:lineRule="exact"/>
              <w:jc w:val="center"/>
              <w:rPr>
                <w:rFonts w:ascii="Times New Roman" w:hAnsi="Times New Roman" w:cs="Times New Roman" w:eastAsiaTheme="minorEastAsia"/>
                <w:color w:val="auto"/>
                <w:spacing w:val="-20"/>
                <w:kern w:val="0"/>
                <w:szCs w:val="21"/>
              </w:rPr>
            </w:pPr>
          </w:p>
        </w:tc>
        <w:tc>
          <w:tcPr>
            <w:tcW w:w="709" w:type="dxa"/>
            <w:vMerge w:val="continue"/>
            <w:vAlign w:val="center"/>
          </w:tcPr>
          <w:p w14:paraId="32B91FDD">
            <w:pPr>
              <w:widowControl/>
              <w:spacing w:line="300" w:lineRule="exact"/>
              <w:jc w:val="center"/>
              <w:rPr>
                <w:rFonts w:ascii="Times New Roman" w:hAnsi="Times New Roman" w:cs="Times New Roman" w:eastAsiaTheme="minorEastAsia"/>
                <w:color w:val="auto"/>
                <w:spacing w:val="-20"/>
                <w:kern w:val="0"/>
                <w:szCs w:val="21"/>
              </w:rPr>
            </w:pPr>
          </w:p>
        </w:tc>
        <w:tc>
          <w:tcPr>
            <w:tcW w:w="708" w:type="dxa"/>
            <w:vMerge w:val="continue"/>
            <w:vAlign w:val="center"/>
          </w:tcPr>
          <w:p w14:paraId="5ECD1BD6">
            <w:pPr>
              <w:widowControl/>
              <w:spacing w:line="300" w:lineRule="exact"/>
              <w:jc w:val="center"/>
              <w:rPr>
                <w:rFonts w:ascii="Times New Roman" w:hAnsi="Times New Roman" w:cs="Times New Roman" w:eastAsiaTheme="minorEastAsia"/>
                <w:color w:val="auto"/>
                <w:spacing w:val="-20"/>
                <w:kern w:val="0"/>
                <w:szCs w:val="21"/>
              </w:rPr>
            </w:pPr>
          </w:p>
        </w:tc>
        <w:tc>
          <w:tcPr>
            <w:tcW w:w="4582" w:type="dxa"/>
            <w:vMerge w:val="continue"/>
            <w:vAlign w:val="center"/>
          </w:tcPr>
          <w:p w14:paraId="43F4ADDB">
            <w:pPr>
              <w:widowControl/>
              <w:spacing w:line="300" w:lineRule="exact"/>
              <w:rPr>
                <w:rFonts w:ascii="Times New Roman" w:cs="Times New Roman" w:hAnsiTheme="minorEastAsia" w:eastAsiaTheme="minorEastAsia"/>
                <w:color w:val="auto"/>
                <w:spacing w:val="0"/>
                <w:kern w:val="0"/>
                <w:sz w:val="21"/>
                <w:szCs w:val="21"/>
              </w:rPr>
            </w:pPr>
          </w:p>
        </w:tc>
        <w:tc>
          <w:tcPr>
            <w:tcW w:w="2898" w:type="dxa"/>
            <w:vMerge w:val="continue"/>
            <w:vAlign w:val="center"/>
          </w:tcPr>
          <w:p w14:paraId="582739BA">
            <w:pPr>
              <w:widowControl/>
              <w:adjustRightInd w:val="0"/>
              <w:snapToGrid w:val="0"/>
              <w:jc w:val="center"/>
              <w:rPr>
                <w:rFonts w:ascii="Times New Roman" w:hAnsi="Times New Roman" w:cs="Times New Roman" w:eastAsiaTheme="minorEastAsia"/>
                <w:snapToGrid w:val="0"/>
                <w:color w:val="auto"/>
                <w:spacing w:val="-20"/>
                <w:kern w:val="0"/>
                <w:szCs w:val="21"/>
              </w:rPr>
            </w:pPr>
          </w:p>
        </w:tc>
      </w:tr>
      <w:tr w14:paraId="25449B32">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1953" w:hRule="atLeast"/>
          <w:tblHeader/>
          <w:jc w:val="center"/>
        </w:trPr>
        <w:tc>
          <w:tcPr>
            <w:tcW w:w="568" w:type="dxa"/>
            <w:noWrap/>
            <w:vAlign w:val="center"/>
          </w:tcPr>
          <w:p w14:paraId="329821E6">
            <w:pPr>
              <w:widowControl/>
              <w:spacing w:line="300" w:lineRule="exact"/>
              <w:jc w:val="center"/>
              <w:rPr>
                <w:rFonts w:ascii="Times New Roman" w:hAnsi="Times New Roman" w:cs="Times New Roman" w:eastAsiaTheme="minorEastAsia"/>
                <w:color w:val="auto"/>
                <w:spacing w:val="-20"/>
                <w:kern w:val="0"/>
                <w:szCs w:val="21"/>
              </w:rPr>
            </w:pPr>
            <w:r>
              <w:rPr>
                <w:rFonts w:ascii="Times New Roman" w:hAnsi="Times New Roman" w:cs="Times New Roman" w:eastAsiaTheme="minorEastAsia"/>
                <w:color w:val="auto"/>
                <w:spacing w:val="-20"/>
                <w:kern w:val="0"/>
                <w:szCs w:val="21"/>
              </w:rPr>
              <w:t>27</w:t>
            </w:r>
          </w:p>
        </w:tc>
        <w:tc>
          <w:tcPr>
            <w:tcW w:w="694" w:type="dxa"/>
            <w:vMerge w:val="continue"/>
            <w:vAlign w:val="center"/>
          </w:tcPr>
          <w:p w14:paraId="681458F6">
            <w:pPr>
              <w:widowControl/>
              <w:spacing w:line="300" w:lineRule="exact"/>
              <w:jc w:val="center"/>
              <w:rPr>
                <w:rFonts w:ascii="Times New Roman" w:hAnsi="Times New Roman" w:cs="Times New Roman" w:eastAsiaTheme="minorEastAsia"/>
                <w:color w:val="auto"/>
                <w:spacing w:val="-20"/>
                <w:kern w:val="0"/>
                <w:szCs w:val="21"/>
              </w:rPr>
            </w:pPr>
          </w:p>
        </w:tc>
        <w:tc>
          <w:tcPr>
            <w:tcW w:w="1134" w:type="dxa"/>
            <w:vAlign w:val="center"/>
          </w:tcPr>
          <w:p w14:paraId="1A2DA01D">
            <w:pPr>
              <w:widowControl/>
              <w:spacing w:line="300" w:lineRule="exact"/>
              <w:jc w:val="center"/>
              <w:rPr>
                <w:rFonts w:ascii="Times New Roman" w:hAnsi="Times New Roman" w:cs="Times New Roman" w:eastAsiaTheme="minorEastAsia"/>
                <w:color w:val="auto"/>
                <w:spacing w:val="-20"/>
                <w:kern w:val="0"/>
                <w:szCs w:val="21"/>
              </w:rPr>
            </w:pPr>
            <w:r>
              <w:rPr>
                <w:rFonts w:ascii="Times New Roman" w:hAnsi="Times New Roman" w:cs="Times New Roman" w:eastAsiaTheme="minorEastAsia"/>
                <w:color w:val="auto"/>
                <w:spacing w:val="-20"/>
                <w:szCs w:val="21"/>
              </w:rPr>
              <w:t>K</w:t>
            </w:r>
            <w:r>
              <w:rPr>
                <w:rFonts w:hint="eastAsia" w:ascii="Times New Roman" w:hAnsi="Times New Roman" w:cs="Times New Roman" w:eastAsiaTheme="minorEastAsia"/>
                <w:color w:val="auto"/>
                <w:spacing w:val="-20"/>
                <w:szCs w:val="21"/>
              </w:rPr>
              <w:t>49</w:t>
            </w:r>
            <w:r>
              <w:rPr>
                <w:rFonts w:ascii="Times New Roman" w:hAnsi="Times New Roman" w:cs="Times New Roman" w:eastAsiaTheme="minorEastAsia"/>
                <w:color w:val="auto"/>
                <w:spacing w:val="-20"/>
                <w:szCs w:val="21"/>
              </w:rPr>
              <w:t>+</w:t>
            </w:r>
            <w:r>
              <w:rPr>
                <w:rFonts w:hint="eastAsia" w:ascii="Times New Roman" w:hAnsi="Times New Roman" w:cs="Times New Roman" w:eastAsiaTheme="minorEastAsia"/>
                <w:color w:val="auto"/>
                <w:spacing w:val="-20"/>
                <w:szCs w:val="21"/>
              </w:rPr>
              <w:t>68</w:t>
            </w:r>
            <w:r>
              <w:rPr>
                <w:rFonts w:ascii="Times New Roman" w:hAnsi="Times New Roman" w:cs="Times New Roman" w:eastAsiaTheme="minorEastAsia"/>
                <w:color w:val="auto"/>
                <w:spacing w:val="-20"/>
                <w:szCs w:val="21"/>
              </w:rPr>
              <w:t>0</w:t>
            </w:r>
            <w:r>
              <w:rPr>
                <w:rFonts w:ascii="Times New Roman" w:cs="Times New Roman" w:hAnsiTheme="minorEastAsia" w:eastAsiaTheme="minorEastAsia"/>
                <w:color w:val="auto"/>
                <w:spacing w:val="-20"/>
                <w:szCs w:val="21"/>
              </w:rPr>
              <w:t>～</w:t>
            </w:r>
            <w:r>
              <w:rPr>
                <w:rFonts w:ascii="Times New Roman" w:hAnsi="Times New Roman" w:cs="Times New Roman" w:eastAsiaTheme="minorEastAsia"/>
                <w:color w:val="auto"/>
                <w:spacing w:val="-20"/>
                <w:szCs w:val="21"/>
              </w:rPr>
              <w:t>K</w:t>
            </w:r>
            <w:r>
              <w:rPr>
                <w:rFonts w:hint="eastAsia" w:ascii="Times New Roman" w:hAnsi="Times New Roman" w:cs="Times New Roman" w:eastAsiaTheme="minorEastAsia"/>
                <w:color w:val="auto"/>
                <w:spacing w:val="-20"/>
                <w:szCs w:val="21"/>
              </w:rPr>
              <w:t>49</w:t>
            </w:r>
            <w:r>
              <w:rPr>
                <w:rFonts w:ascii="Times New Roman" w:hAnsi="Times New Roman" w:cs="Times New Roman" w:eastAsiaTheme="minorEastAsia"/>
                <w:color w:val="auto"/>
                <w:spacing w:val="-20"/>
                <w:szCs w:val="21"/>
              </w:rPr>
              <w:t>+</w:t>
            </w:r>
            <w:r>
              <w:rPr>
                <w:rFonts w:hint="eastAsia" w:ascii="Times New Roman" w:hAnsi="Times New Roman" w:cs="Times New Roman" w:eastAsiaTheme="minorEastAsia"/>
                <w:color w:val="auto"/>
                <w:spacing w:val="-20"/>
                <w:szCs w:val="21"/>
              </w:rPr>
              <w:t>78</w:t>
            </w:r>
            <w:r>
              <w:rPr>
                <w:rFonts w:ascii="Times New Roman" w:hAnsi="Times New Roman" w:cs="Times New Roman" w:eastAsiaTheme="minorEastAsia"/>
                <w:color w:val="auto"/>
                <w:spacing w:val="-20"/>
                <w:szCs w:val="21"/>
              </w:rPr>
              <w:t>0</w:t>
            </w:r>
          </w:p>
        </w:tc>
        <w:tc>
          <w:tcPr>
            <w:tcW w:w="851" w:type="dxa"/>
            <w:vAlign w:val="center"/>
          </w:tcPr>
          <w:p w14:paraId="7CE799D5">
            <w:pPr>
              <w:spacing w:line="300" w:lineRule="exact"/>
              <w:jc w:val="center"/>
              <w:rPr>
                <w:rFonts w:ascii="Times New Roman" w:hAnsi="Times New Roman" w:cs="Times New Roman" w:eastAsiaTheme="minorEastAsia"/>
                <w:color w:val="auto"/>
                <w:spacing w:val="-20"/>
                <w:szCs w:val="21"/>
              </w:rPr>
            </w:pPr>
            <w:r>
              <w:rPr>
                <w:rFonts w:hint="eastAsia" w:ascii="Times New Roman" w:cs="Times New Roman" w:hAnsiTheme="minorEastAsia" w:eastAsiaTheme="minorEastAsia"/>
                <w:color w:val="auto"/>
                <w:spacing w:val="-20"/>
                <w:szCs w:val="21"/>
              </w:rPr>
              <w:t>江巴孜村</w:t>
            </w:r>
          </w:p>
        </w:tc>
        <w:tc>
          <w:tcPr>
            <w:tcW w:w="850" w:type="dxa"/>
            <w:vMerge w:val="continue"/>
            <w:vAlign w:val="center"/>
          </w:tcPr>
          <w:p w14:paraId="1C442E55">
            <w:pPr>
              <w:widowControl/>
              <w:spacing w:line="300" w:lineRule="exact"/>
              <w:jc w:val="center"/>
              <w:rPr>
                <w:rFonts w:ascii="Times New Roman" w:hAnsi="Times New Roman" w:cs="Times New Roman" w:eastAsiaTheme="minorEastAsia"/>
                <w:color w:val="auto"/>
                <w:spacing w:val="-20"/>
                <w:kern w:val="0"/>
                <w:szCs w:val="21"/>
              </w:rPr>
            </w:pPr>
          </w:p>
        </w:tc>
        <w:tc>
          <w:tcPr>
            <w:tcW w:w="661" w:type="dxa"/>
            <w:vAlign w:val="center"/>
          </w:tcPr>
          <w:p w14:paraId="02E84AA4">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cs="Times New Roman" w:hAnsiTheme="minorEastAsia" w:eastAsiaTheme="minorEastAsia"/>
                <w:color w:val="auto"/>
                <w:spacing w:val="-20"/>
                <w:szCs w:val="21"/>
              </w:rPr>
              <w:t>两侧</w:t>
            </w:r>
          </w:p>
        </w:tc>
        <w:tc>
          <w:tcPr>
            <w:tcW w:w="662" w:type="dxa"/>
            <w:vAlign w:val="center"/>
          </w:tcPr>
          <w:p w14:paraId="112210B0">
            <w:pPr>
              <w:widowControl/>
              <w:spacing w:line="300" w:lineRule="exact"/>
              <w:jc w:val="center"/>
              <w:rPr>
                <w:rFonts w:ascii="Times New Roman" w:cs="Times New Roman" w:hAnsiTheme="minorEastAsia" w:eastAsiaTheme="minorEastAsia"/>
                <w:color w:val="auto"/>
                <w:spacing w:val="-20"/>
                <w:szCs w:val="21"/>
              </w:rPr>
            </w:pPr>
            <w:r>
              <w:rPr>
                <w:rFonts w:hint="eastAsia" w:ascii="Times New Roman" w:cs="Times New Roman" w:hAnsiTheme="minorEastAsia" w:eastAsiaTheme="minorEastAsia"/>
                <w:color w:val="auto"/>
                <w:spacing w:val="-20"/>
                <w:szCs w:val="21"/>
              </w:rPr>
              <w:t>15</w:t>
            </w:r>
          </w:p>
        </w:tc>
        <w:tc>
          <w:tcPr>
            <w:tcW w:w="662" w:type="dxa"/>
            <w:vAlign w:val="center"/>
          </w:tcPr>
          <w:p w14:paraId="335BC10C">
            <w:pPr>
              <w:widowControl/>
              <w:spacing w:line="300" w:lineRule="exact"/>
              <w:jc w:val="center"/>
              <w:rPr>
                <w:rFonts w:ascii="Times New Roman" w:cs="Times New Roman" w:hAnsiTheme="minorEastAsia" w:eastAsiaTheme="minorEastAsia"/>
                <w:color w:val="auto"/>
                <w:spacing w:val="-20"/>
                <w:szCs w:val="21"/>
              </w:rPr>
            </w:pPr>
            <w:r>
              <w:rPr>
                <w:rFonts w:hint="eastAsia" w:ascii="Times New Roman" w:cs="Times New Roman" w:hAnsiTheme="minorEastAsia" w:eastAsiaTheme="minorEastAsia"/>
                <w:color w:val="auto"/>
                <w:spacing w:val="-20"/>
                <w:szCs w:val="21"/>
              </w:rPr>
              <w:t>3</w:t>
            </w:r>
          </w:p>
        </w:tc>
        <w:tc>
          <w:tcPr>
            <w:tcW w:w="567" w:type="dxa"/>
            <w:vAlign w:val="center"/>
          </w:tcPr>
          <w:p w14:paraId="2EB2FB39">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cs="Times New Roman" w:hAnsiTheme="minorEastAsia" w:eastAsiaTheme="minorEastAsia"/>
                <w:color w:val="auto"/>
                <w:spacing w:val="-20"/>
                <w:szCs w:val="21"/>
              </w:rPr>
              <w:t>两侧</w:t>
            </w:r>
          </w:p>
        </w:tc>
        <w:tc>
          <w:tcPr>
            <w:tcW w:w="708" w:type="dxa"/>
            <w:vAlign w:val="center"/>
          </w:tcPr>
          <w:p w14:paraId="444F6DC9">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szCs w:val="21"/>
              </w:rPr>
              <w:t>23</w:t>
            </w:r>
          </w:p>
        </w:tc>
        <w:tc>
          <w:tcPr>
            <w:tcW w:w="709" w:type="dxa"/>
            <w:vAlign w:val="center"/>
          </w:tcPr>
          <w:p w14:paraId="51D41A78">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4</w:t>
            </w:r>
          </w:p>
        </w:tc>
        <w:tc>
          <w:tcPr>
            <w:tcW w:w="992" w:type="dxa"/>
            <w:vAlign w:val="center"/>
          </w:tcPr>
          <w:p w14:paraId="2D050B99">
            <w:pPr>
              <w:widowControl/>
              <w:spacing w:line="300" w:lineRule="exact"/>
              <w:jc w:val="center"/>
              <w:rPr>
                <w:rFonts w:ascii="Times New Roman" w:hAnsi="Times New Roman" w:cs="Times New Roman" w:eastAsiaTheme="minorEastAsia"/>
                <w:color w:val="auto"/>
                <w:spacing w:val="-20"/>
                <w:kern w:val="0"/>
                <w:szCs w:val="21"/>
              </w:rPr>
            </w:pPr>
            <w:r>
              <w:rPr>
                <w:rFonts w:ascii="Times New Roman" w:hAnsi="Times New Roman" w:cs="Times New Roman" w:eastAsiaTheme="minorEastAsia"/>
                <w:color w:val="auto"/>
                <w:spacing w:val="-20"/>
                <w:kern w:val="0"/>
                <w:szCs w:val="21"/>
              </w:rPr>
              <w:t>0</w:t>
            </w:r>
          </w:p>
        </w:tc>
        <w:tc>
          <w:tcPr>
            <w:tcW w:w="993" w:type="dxa"/>
            <w:vAlign w:val="center"/>
          </w:tcPr>
          <w:p w14:paraId="67667EF1">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2.0</w:t>
            </w:r>
          </w:p>
        </w:tc>
        <w:tc>
          <w:tcPr>
            <w:tcW w:w="567" w:type="dxa"/>
            <w:vAlign w:val="center"/>
          </w:tcPr>
          <w:p w14:paraId="18824E04">
            <w:pPr>
              <w:widowControl/>
              <w:spacing w:line="300" w:lineRule="exact"/>
              <w:jc w:val="center"/>
              <w:rPr>
                <w:rFonts w:ascii="Times New Roman" w:hAnsi="Times New Roman" w:cs="Times New Roman" w:eastAsiaTheme="minorEastAsia"/>
                <w:color w:val="auto"/>
                <w:spacing w:val="-20"/>
                <w:kern w:val="0"/>
                <w:szCs w:val="21"/>
              </w:rPr>
            </w:pPr>
            <w:r>
              <w:rPr>
                <w:rFonts w:ascii="Times New Roman" w:cs="Times New Roman" w:hAnsiTheme="minorEastAsia" w:eastAsiaTheme="minorEastAsia"/>
                <w:color w:val="auto"/>
                <w:spacing w:val="-20"/>
                <w:kern w:val="0"/>
                <w:szCs w:val="21"/>
              </w:rPr>
              <w:t>路基</w:t>
            </w:r>
          </w:p>
        </w:tc>
        <w:tc>
          <w:tcPr>
            <w:tcW w:w="992" w:type="dxa"/>
            <w:vAlign w:val="center"/>
          </w:tcPr>
          <w:p w14:paraId="7F0428E1">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54</w:t>
            </w:r>
          </w:p>
        </w:tc>
        <w:tc>
          <w:tcPr>
            <w:tcW w:w="709" w:type="dxa"/>
            <w:vAlign w:val="center"/>
          </w:tcPr>
          <w:p w14:paraId="62B8F200">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10</w:t>
            </w:r>
          </w:p>
        </w:tc>
        <w:tc>
          <w:tcPr>
            <w:tcW w:w="708" w:type="dxa"/>
            <w:vAlign w:val="center"/>
          </w:tcPr>
          <w:p w14:paraId="03514B62">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45</w:t>
            </w:r>
          </w:p>
        </w:tc>
        <w:tc>
          <w:tcPr>
            <w:tcW w:w="4582" w:type="dxa"/>
            <w:vAlign w:val="center"/>
          </w:tcPr>
          <w:p w14:paraId="2838D67C">
            <w:pPr>
              <w:widowControl/>
              <w:spacing w:line="300" w:lineRule="exact"/>
              <w:rPr>
                <w:rFonts w:ascii="Times New Roman" w:hAnsi="Times New Roman" w:cs="Times New Roman" w:eastAsiaTheme="minorEastAsia"/>
                <w:color w:val="auto"/>
                <w:spacing w:val="0"/>
                <w:kern w:val="0"/>
                <w:sz w:val="21"/>
                <w:szCs w:val="21"/>
              </w:rPr>
            </w:pPr>
            <w:r>
              <w:rPr>
                <w:rFonts w:ascii="Times New Roman" w:cs="Times New Roman" w:hAnsiTheme="minorEastAsia" w:eastAsiaTheme="minorEastAsia"/>
                <w:color w:val="auto"/>
                <w:spacing w:val="0"/>
                <w:kern w:val="0"/>
                <w:sz w:val="21"/>
                <w:szCs w:val="21"/>
              </w:rPr>
              <w:t>路线以填方路基形式经过村庄。评价范围内现有居民</w:t>
            </w:r>
            <w:r>
              <w:rPr>
                <w:rFonts w:hint="eastAsia" w:ascii="Times New Roman" w:hAnsi="Times New Roman" w:cs="Times New Roman" w:eastAsiaTheme="minorEastAsia"/>
                <w:color w:val="auto"/>
                <w:spacing w:val="0"/>
                <w:kern w:val="0"/>
                <w:sz w:val="21"/>
                <w:szCs w:val="21"/>
              </w:rPr>
              <w:t>55</w:t>
            </w:r>
            <w:r>
              <w:rPr>
                <w:rFonts w:ascii="Times New Roman" w:cs="Times New Roman" w:hAnsiTheme="minorEastAsia" w:eastAsiaTheme="minorEastAsia"/>
                <w:color w:val="auto"/>
                <w:spacing w:val="0"/>
                <w:kern w:val="0"/>
                <w:sz w:val="21"/>
                <w:szCs w:val="21"/>
              </w:rPr>
              <w:t>户，首排</w:t>
            </w:r>
            <w:r>
              <w:rPr>
                <w:rFonts w:hint="eastAsia" w:ascii="Times New Roman" w:hAnsi="Times New Roman" w:cs="Times New Roman" w:eastAsiaTheme="minorEastAsia"/>
                <w:color w:val="auto"/>
                <w:spacing w:val="0"/>
                <w:kern w:val="0"/>
                <w:sz w:val="21"/>
                <w:szCs w:val="21"/>
              </w:rPr>
              <w:t>5</w:t>
            </w:r>
            <w:r>
              <w:rPr>
                <w:rFonts w:ascii="Times New Roman" w:cs="Times New Roman" w:hAnsiTheme="minorEastAsia" w:eastAsiaTheme="minorEastAsia"/>
                <w:color w:val="auto"/>
                <w:spacing w:val="0"/>
                <w:kern w:val="0"/>
                <w:sz w:val="21"/>
                <w:szCs w:val="21"/>
              </w:rPr>
              <w:t>户，</w:t>
            </w:r>
            <w:r>
              <w:rPr>
                <w:rFonts w:hint="eastAsia" w:ascii="Times New Roman" w:cs="Times New Roman" w:hAnsiTheme="minorEastAsia" w:eastAsiaTheme="minorEastAsia"/>
                <w:color w:val="auto"/>
                <w:spacing w:val="0"/>
                <w:kern w:val="0"/>
                <w:sz w:val="21"/>
                <w:szCs w:val="21"/>
              </w:rPr>
              <w:t>主要</w:t>
            </w:r>
            <w:r>
              <w:rPr>
                <w:rFonts w:ascii="Times New Roman" w:cs="Times New Roman" w:hAnsiTheme="minorEastAsia" w:eastAsiaTheme="minorEastAsia"/>
                <w:color w:val="auto"/>
                <w:spacing w:val="0"/>
                <w:kern w:val="0"/>
                <w:sz w:val="21"/>
                <w:szCs w:val="21"/>
              </w:rPr>
              <w:t>为</w:t>
            </w:r>
            <w:r>
              <w:rPr>
                <w:rFonts w:ascii="Times New Roman" w:hAnsi="Times New Roman" w:cs="Times New Roman" w:eastAsiaTheme="minorEastAsia"/>
                <w:color w:val="auto"/>
                <w:spacing w:val="0"/>
                <w:kern w:val="0"/>
                <w:sz w:val="21"/>
                <w:szCs w:val="21"/>
              </w:rPr>
              <w:t>1</w:t>
            </w:r>
            <w:r>
              <w:rPr>
                <w:rFonts w:ascii="Times New Roman" w:cs="Times New Roman" w:hAnsiTheme="minorEastAsia" w:eastAsiaTheme="minorEastAsia"/>
                <w:color w:val="auto"/>
                <w:spacing w:val="0"/>
                <w:kern w:val="0"/>
                <w:sz w:val="21"/>
                <w:szCs w:val="21"/>
              </w:rPr>
              <w:t>层砖混房，房屋侧向拟建公路。</w:t>
            </w:r>
            <w:r>
              <w:rPr>
                <w:rFonts w:ascii="Times New Roman" w:hAnsi="Times New Roman" w:eastAsia="宋体" w:cs="Times New Roman"/>
                <w:color w:val="auto"/>
                <w:spacing w:val="0"/>
                <w:kern w:val="0"/>
                <w:sz w:val="21"/>
                <w:szCs w:val="21"/>
              </w:rPr>
              <w:t>该路段利用现有</w:t>
            </w:r>
            <w:r>
              <w:rPr>
                <w:rFonts w:hint="eastAsia" w:ascii="Times New Roman" w:hAnsi="Times New Roman" w:eastAsia="宋体" w:cs="Times New Roman"/>
                <w:color w:val="auto"/>
                <w:spacing w:val="0"/>
                <w:kern w:val="0"/>
                <w:sz w:val="21"/>
                <w:szCs w:val="21"/>
              </w:rPr>
              <w:t>老路双侧加宽</w:t>
            </w:r>
            <w:r>
              <w:rPr>
                <w:rFonts w:ascii="Times New Roman" w:hAnsi="Times New Roman" w:eastAsia="宋体" w:cs="Times New Roman"/>
                <w:color w:val="auto"/>
                <w:spacing w:val="0"/>
                <w:kern w:val="0"/>
                <w:sz w:val="21"/>
                <w:szCs w:val="21"/>
              </w:rPr>
              <w:t>，</w:t>
            </w:r>
            <w:r>
              <w:rPr>
                <w:rFonts w:hint="eastAsia" w:ascii="Times New Roman" w:hAnsi="Times New Roman" w:eastAsia="宋体" w:cs="Times New Roman"/>
                <w:color w:val="auto"/>
                <w:spacing w:val="0"/>
                <w:kern w:val="0"/>
                <w:sz w:val="21"/>
                <w:szCs w:val="21"/>
              </w:rPr>
              <w:t>房屋</w:t>
            </w:r>
            <w:r>
              <w:rPr>
                <w:rFonts w:ascii="Times New Roman" w:hAnsi="Times New Roman" w:eastAsia="宋体" w:cs="Times New Roman"/>
                <w:color w:val="auto"/>
                <w:spacing w:val="0"/>
                <w:kern w:val="0"/>
                <w:sz w:val="21"/>
                <w:szCs w:val="21"/>
              </w:rPr>
              <w:t>分布于平交</w:t>
            </w:r>
            <w:r>
              <w:rPr>
                <w:rFonts w:hint="eastAsia" w:ascii="Times New Roman" w:hAnsi="Times New Roman" w:eastAsia="宋体" w:cs="Times New Roman"/>
                <w:color w:val="auto"/>
                <w:spacing w:val="0"/>
                <w:kern w:val="0"/>
                <w:sz w:val="21"/>
                <w:szCs w:val="21"/>
              </w:rPr>
              <w:t>路口两侧</w:t>
            </w:r>
            <w:r>
              <w:rPr>
                <w:rFonts w:ascii="Times New Roman" w:hAnsi="Times New Roman" w:eastAsia="宋体" w:cs="Times New Roman"/>
                <w:color w:val="auto"/>
                <w:spacing w:val="0"/>
                <w:kern w:val="0"/>
                <w:sz w:val="21"/>
                <w:szCs w:val="21"/>
              </w:rPr>
              <w:t>，</w:t>
            </w:r>
            <w:r>
              <w:rPr>
                <w:rFonts w:ascii="Times New Roman" w:cs="Times New Roman" w:hAnsiTheme="minorEastAsia" w:eastAsiaTheme="minorEastAsia"/>
                <w:color w:val="auto"/>
                <w:spacing w:val="0"/>
                <w:kern w:val="0"/>
                <w:sz w:val="21"/>
                <w:szCs w:val="21"/>
              </w:rPr>
              <w:t>主要噪声源为现有</w:t>
            </w:r>
            <w:r>
              <w:rPr>
                <w:rFonts w:hint="eastAsia" w:ascii="Times New Roman" w:hAnsi="Times New Roman" w:cs="Times New Roman" w:eastAsiaTheme="minorEastAsia"/>
                <w:color w:val="auto"/>
                <w:spacing w:val="0"/>
                <w:kern w:val="0"/>
                <w:sz w:val="21"/>
                <w:szCs w:val="21"/>
              </w:rPr>
              <w:t>G219</w:t>
            </w:r>
            <w:r>
              <w:rPr>
                <w:rFonts w:ascii="Times New Roman" w:cs="Times New Roman" w:hAnsiTheme="minorEastAsia" w:eastAsiaTheme="minorEastAsia"/>
                <w:color w:val="auto"/>
                <w:spacing w:val="0"/>
                <w:kern w:val="0"/>
                <w:sz w:val="21"/>
                <w:szCs w:val="21"/>
              </w:rPr>
              <w:t>交通噪声和社会生活噪声。</w:t>
            </w:r>
          </w:p>
        </w:tc>
        <w:tc>
          <w:tcPr>
            <w:tcW w:w="2898" w:type="dxa"/>
            <w:vAlign w:val="center"/>
          </w:tcPr>
          <w:p w14:paraId="152B61C6">
            <w:pPr>
              <w:widowControl/>
              <w:adjustRightInd w:val="0"/>
              <w:snapToGrid w:val="0"/>
              <w:jc w:val="center"/>
              <w:rPr>
                <w:rFonts w:ascii="Times New Roman" w:hAnsi="Times New Roman" w:cs="Times New Roman" w:eastAsiaTheme="minorEastAsia"/>
                <w:snapToGrid w:val="0"/>
                <w:color w:val="auto"/>
                <w:spacing w:val="-20"/>
                <w:kern w:val="0"/>
                <w:szCs w:val="21"/>
              </w:rPr>
            </w:pPr>
            <w:r>
              <w:rPr>
                <w:rFonts w:ascii="Times New Roman" w:hAnsi="Times New Roman" w:cs="Times New Roman" w:eastAsiaTheme="minorEastAsia"/>
                <w:color w:val="auto"/>
                <w:spacing w:val="-20"/>
                <w:kern w:val="0"/>
                <w:szCs w:val="21"/>
              </w:rPr>
              <w:drawing>
                <wp:inline distT="0" distB="0" distL="0" distR="0">
                  <wp:extent cx="1729105" cy="1295400"/>
                  <wp:effectExtent l="0" t="0" r="4445" b="0"/>
                  <wp:docPr id="972" name="图片 27" descr="E:\咨询项目\环评\新疆-G219线八盘水磨至伽师公路\外业踏勘记录及照片\DSC089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 name="图片 27" descr="E:\咨询项目\环评\新疆-G219线八盘水磨至伽师公路\外业踏勘记录及照片\DSC08974.JPG"/>
                          <pic:cNvPicPr>
                            <a:picLocks noChangeAspect="1" noChangeArrowheads="1"/>
                          </pic:cNvPicPr>
                        </pic:nvPicPr>
                        <pic:blipFill>
                          <a:blip r:embed="rId182" cstate="print"/>
                          <a:srcRect/>
                          <a:stretch>
                            <a:fillRect/>
                          </a:stretch>
                        </pic:blipFill>
                        <pic:spPr>
                          <a:xfrm>
                            <a:off x="0" y="0"/>
                            <a:ext cx="1729728" cy="1296000"/>
                          </a:xfrm>
                          <a:prstGeom prst="rect">
                            <a:avLst/>
                          </a:prstGeom>
                          <a:noFill/>
                          <a:ln w="9525">
                            <a:noFill/>
                            <a:miter lim="800000"/>
                            <a:headEnd/>
                            <a:tailEnd/>
                          </a:ln>
                        </pic:spPr>
                      </pic:pic>
                    </a:graphicData>
                  </a:graphic>
                </wp:inline>
              </w:drawing>
            </w:r>
          </w:p>
        </w:tc>
      </w:tr>
      <w:tr w14:paraId="5255F01C">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623" w:hRule="atLeast"/>
          <w:tblHeader/>
          <w:jc w:val="center"/>
        </w:trPr>
        <w:tc>
          <w:tcPr>
            <w:tcW w:w="568" w:type="dxa"/>
            <w:vMerge w:val="restart"/>
            <w:noWrap/>
            <w:vAlign w:val="center"/>
          </w:tcPr>
          <w:p w14:paraId="4DD5737C">
            <w:pPr>
              <w:widowControl/>
              <w:spacing w:line="300" w:lineRule="exact"/>
              <w:jc w:val="center"/>
              <w:rPr>
                <w:rFonts w:ascii="Times New Roman" w:hAnsi="Times New Roman" w:cs="Times New Roman" w:eastAsiaTheme="minorEastAsia"/>
                <w:color w:val="auto"/>
                <w:spacing w:val="-20"/>
                <w:kern w:val="0"/>
                <w:szCs w:val="21"/>
              </w:rPr>
            </w:pPr>
            <w:r>
              <w:rPr>
                <w:rFonts w:ascii="Times New Roman" w:hAnsi="Times New Roman" w:cs="Times New Roman" w:eastAsiaTheme="minorEastAsia"/>
                <w:color w:val="auto"/>
                <w:spacing w:val="-20"/>
                <w:kern w:val="0"/>
                <w:szCs w:val="21"/>
              </w:rPr>
              <w:t>28</w:t>
            </w:r>
          </w:p>
        </w:tc>
        <w:tc>
          <w:tcPr>
            <w:tcW w:w="694" w:type="dxa"/>
            <w:vMerge w:val="restart"/>
            <w:vAlign w:val="center"/>
          </w:tcPr>
          <w:p w14:paraId="6DC4FCBD">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高速口～岳普湖</w:t>
            </w:r>
          </w:p>
        </w:tc>
        <w:tc>
          <w:tcPr>
            <w:tcW w:w="1134" w:type="dxa"/>
            <w:vAlign w:val="center"/>
          </w:tcPr>
          <w:p w14:paraId="454AE16B">
            <w:pPr>
              <w:widowControl/>
              <w:spacing w:line="300" w:lineRule="exact"/>
              <w:jc w:val="center"/>
              <w:rPr>
                <w:rFonts w:ascii="Times New Roman" w:hAnsi="Times New Roman" w:cs="Times New Roman" w:eastAsiaTheme="minorEastAsia"/>
                <w:color w:val="auto"/>
                <w:spacing w:val="-20"/>
                <w:kern w:val="0"/>
                <w:szCs w:val="21"/>
              </w:rPr>
            </w:pPr>
            <w:r>
              <w:rPr>
                <w:rFonts w:ascii="Times New Roman" w:hAnsi="Times New Roman" w:cs="Times New Roman" w:eastAsiaTheme="minorEastAsia"/>
                <w:color w:val="auto"/>
                <w:spacing w:val="-20"/>
                <w:szCs w:val="21"/>
              </w:rPr>
              <w:t>K</w:t>
            </w:r>
            <w:r>
              <w:rPr>
                <w:rFonts w:hint="eastAsia" w:ascii="Times New Roman" w:hAnsi="Times New Roman" w:cs="Times New Roman" w:eastAsiaTheme="minorEastAsia"/>
                <w:color w:val="auto"/>
                <w:spacing w:val="-20"/>
                <w:szCs w:val="21"/>
              </w:rPr>
              <w:t>56</w:t>
            </w:r>
            <w:r>
              <w:rPr>
                <w:rFonts w:ascii="Times New Roman" w:hAnsi="Times New Roman" w:cs="Times New Roman" w:eastAsiaTheme="minorEastAsia"/>
                <w:color w:val="auto"/>
                <w:spacing w:val="-20"/>
                <w:szCs w:val="21"/>
              </w:rPr>
              <w:t>+6</w:t>
            </w:r>
            <w:r>
              <w:rPr>
                <w:rFonts w:hint="eastAsia" w:ascii="Times New Roman" w:hAnsi="Times New Roman" w:cs="Times New Roman" w:eastAsiaTheme="minorEastAsia"/>
                <w:color w:val="auto"/>
                <w:spacing w:val="-20"/>
                <w:szCs w:val="21"/>
              </w:rPr>
              <w:t>0</w:t>
            </w:r>
            <w:r>
              <w:rPr>
                <w:rFonts w:ascii="Times New Roman" w:hAnsi="Times New Roman" w:cs="Times New Roman" w:eastAsiaTheme="minorEastAsia"/>
                <w:color w:val="auto"/>
                <w:spacing w:val="-20"/>
                <w:szCs w:val="21"/>
              </w:rPr>
              <w:t>0</w:t>
            </w:r>
            <w:r>
              <w:rPr>
                <w:rFonts w:ascii="Times New Roman" w:cs="Times New Roman" w:hAnsiTheme="minorEastAsia" w:eastAsiaTheme="minorEastAsia"/>
                <w:color w:val="auto"/>
                <w:spacing w:val="-20"/>
                <w:szCs w:val="21"/>
              </w:rPr>
              <w:t>～</w:t>
            </w:r>
            <w:r>
              <w:rPr>
                <w:rFonts w:ascii="Times New Roman" w:hAnsi="Times New Roman" w:cs="Times New Roman" w:eastAsiaTheme="minorEastAsia"/>
                <w:color w:val="auto"/>
                <w:spacing w:val="-20"/>
                <w:szCs w:val="21"/>
              </w:rPr>
              <w:t>K</w:t>
            </w:r>
            <w:r>
              <w:rPr>
                <w:rFonts w:hint="eastAsia" w:ascii="Times New Roman" w:hAnsi="Times New Roman" w:cs="Times New Roman" w:eastAsiaTheme="minorEastAsia"/>
                <w:color w:val="auto"/>
                <w:spacing w:val="-20"/>
                <w:szCs w:val="21"/>
              </w:rPr>
              <w:t>58</w:t>
            </w:r>
            <w:r>
              <w:rPr>
                <w:rFonts w:ascii="Times New Roman" w:hAnsi="Times New Roman" w:cs="Times New Roman" w:eastAsiaTheme="minorEastAsia"/>
                <w:color w:val="auto"/>
                <w:spacing w:val="-20"/>
                <w:szCs w:val="21"/>
              </w:rPr>
              <w:t>+</w:t>
            </w:r>
            <w:r>
              <w:rPr>
                <w:rFonts w:hint="eastAsia" w:ascii="Times New Roman" w:hAnsi="Times New Roman" w:cs="Times New Roman" w:eastAsiaTheme="minorEastAsia"/>
                <w:color w:val="auto"/>
                <w:spacing w:val="-20"/>
                <w:szCs w:val="21"/>
              </w:rPr>
              <w:t>30</w:t>
            </w:r>
            <w:r>
              <w:rPr>
                <w:rFonts w:ascii="Times New Roman" w:hAnsi="Times New Roman" w:cs="Times New Roman" w:eastAsiaTheme="minorEastAsia"/>
                <w:color w:val="auto"/>
                <w:spacing w:val="-20"/>
                <w:szCs w:val="21"/>
              </w:rPr>
              <w:t>0</w:t>
            </w:r>
          </w:p>
        </w:tc>
        <w:tc>
          <w:tcPr>
            <w:tcW w:w="851" w:type="dxa"/>
            <w:vMerge w:val="restart"/>
            <w:vAlign w:val="center"/>
          </w:tcPr>
          <w:p w14:paraId="7ADC7E6A">
            <w:pPr>
              <w:spacing w:line="300" w:lineRule="exact"/>
              <w:jc w:val="center"/>
              <w:rPr>
                <w:rFonts w:ascii="Times New Roman" w:hAnsi="Times New Roman" w:cs="Times New Roman" w:eastAsiaTheme="minorEastAsia"/>
                <w:color w:val="auto"/>
                <w:spacing w:val="-20"/>
                <w:szCs w:val="21"/>
              </w:rPr>
            </w:pPr>
            <w:r>
              <w:rPr>
                <w:rFonts w:hint="eastAsia" w:ascii="Times New Roman" w:cs="Times New Roman" w:hAnsiTheme="minorEastAsia" w:eastAsiaTheme="minorEastAsia"/>
                <w:color w:val="auto"/>
                <w:spacing w:val="-20"/>
                <w:szCs w:val="21"/>
              </w:rPr>
              <w:t>阿亚格乔拉克村</w:t>
            </w:r>
          </w:p>
        </w:tc>
        <w:tc>
          <w:tcPr>
            <w:tcW w:w="850" w:type="dxa"/>
            <w:vMerge w:val="continue"/>
            <w:vAlign w:val="center"/>
          </w:tcPr>
          <w:p w14:paraId="7D4C3775">
            <w:pPr>
              <w:widowControl/>
              <w:spacing w:line="300" w:lineRule="exact"/>
              <w:jc w:val="center"/>
              <w:rPr>
                <w:rFonts w:ascii="Times New Roman" w:hAnsi="Times New Roman" w:cs="Times New Roman" w:eastAsiaTheme="minorEastAsia"/>
                <w:color w:val="auto"/>
                <w:spacing w:val="-20"/>
                <w:kern w:val="0"/>
                <w:szCs w:val="21"/>
              </w:rPr>
            </w:pPr>
          </w:p>
        </w:tc>
        <w:tc>
          <w:tcPr>
            <w:tcW w:w="661" w:type="dxa"/>
            <w:vMerge w:val="restart"/>
            <w:vAlign w:val="center"/>
          </w:tcPr>
          <w:p w14:paraId="1C91F311">
            <w:pPr>
              <w:widowControl/>
              <w:spacing w:line="300" w:lineRule="exact"/>
              <w:jc w:val="center"/>
              <w:rPr>
                <w:rFonts w:ascii="Times New Roman" w:hAnsi="Times New Roman" w:cs="Times New Roman" w:eastAsiaTheme="minorEastAsia"/>
                <w:color w:val="auto"/>
                <w:spacing w:val="-20"/>
                <w:kern w:val="0"/>
                <w:szCs w:val="21"/>
              </w:rPr>
            </w:pPr>
            <w:r>
              <w:rPr>
                <w:rFonts w:ascii="Times New Roman" w:cs="Times New Roman" w:hAnsiTheme="minorEastAsia" w:eastAsiaTheme="minorEastAsia"/>
                <w:color w:val="auto"/>
                <w:spacing w:val="-20"/>
                <w:szCs w:val="21"/>
              </w:rPr>
              <w:t>路右</w:t>
            </w:r>
          </w:p>
        </w:tc>
        <w:tc>
          <w:tcPr>
            <w:tcW w:w="662" w:type="dxa"/>
            <w:vMerge w:val="restart"/>
            <w:vAlign w:val="center"/>
          </w:tcPr>
          <w:p w14:paraId="3CA4F1F8">
            <w:pPr>
              <w:widowControl/>
              <w:spacing w:line="300" w:lineRule="exact"/>
              <w:jc w:val="center"/>
              <w:rPr>
                <w:rFonts w:ascii="Times New Roman" w:cs="Times New Roman" w:hAnsiTheme="minorEastAsia" w:eastAsiaTheme="minorEastAsia"/>
                <w:color w:val="auto"/>
                <w:spacing w:val="-20"/>
                <w:szCs w:val="21"/>
              </w:rPr>
            </w:pPr>
            <w:r>
              <w:rPr>
                <w:rFonts w:hint="eastAsia" w:ascii="Times New Roman" w:cs="Times New Roman" w:hAnsiTheme="minorEastAsia" w:eastAsiaTheme="minorEastAsia"/>
                <w:color w:val="auto"/>
                <w:spacing w:val="-20"/>
                <w:szCs w:val="21"/>
              </w:rPr>
              <w:t>25</w:t>
            </w:r>
          </w:p>
        </w:tc>
        <w:tc>
          <w:tcPr>
            <w:tcW w:w="662" w:type="dxa"/>
            <w:vMerge w:val="restart"/>
            <w:vAlign w:val="center"/>
          </w:tcPr>
          <w:p w14:paraId="119C992C">
            <w:pPr>
              <w:widowControl/>
              <w:spacing w:line="300" w:lineRule="exact"/>
              <w:jc w:val="center"/>
              <w:rPr>
                <w:rFonts w:ascii="Times New Roman" w:cs="Times New Roman" w:hAnsiTheme="minorEastAsia" w:eastAsiaTheme="minorEastAsia"/>
                <w:color w:val="auto"/>
                <w:spacing w:val="-20"/>
                <w:szCs w:val="21"/>
              </w:rPr>
            </w:pPr>
            <w:r>
              <w:rPr>
                <w:rFonts w:hint="eastAsia" w:ascii="Times New Roman" w:cs="Times New Roman" w:hAnsiTheme="minorEastAsia" w:eastAsiaTheme="minorEastAsia"/>
                <w:color w:val="auto"/>
                <w:spacing w:val="-20"/>
                <w:szCs w:val="21"/>
              </w:rPr>
              <w:t>13</w:t>
            </w:r>
          </w:p>
        </w:tc>
        <w:tc>
          <w:tcPr>
            <w:tcW w:w="567" w:type="dxa"/>
            <w:vMerge w:val="restart"/>
            <w:vAlign w:val="center"/>
          </w:tcPr>
          <w:p w14:paraId="4650F915">
            <w:pPr>
              <w:widowControl/>
              <w:spacing w:line="300" w:lineRule="exact"/>
              <w:jc w:val="center"/>
              <w:rPr>
                <w:rFonts w:ascii="Times New Roman" w:hAnsi="Times New Roman" w:cs="Times New Roman" w:eastAsiaTheme="minorEastAsia"/>
                <w:color w:val="auto"/>
                <w:spacing w:val="-20"/>
                <w:kern w:val="0"/>
                <w:szCs w:val="21"/>
              </w:rPr>
            </w:pPr>
            <w:r>
              <w:rPr>
                <w:rFonts w:ascii="Times New Roman" w:cs="Times New Roman" w:hAnsiTheme="minorEastAsia" w:eastAsiaTheme="minorEastAsia"/>
                <w:color w:val="auto"/>
                <w:spacing w:val="-20"/>
                <w:szCs w:val="21"/>
              </w:rPr>
              <w:t>路右</w:t>
            </w:r>
          </w:p>
        </w:tc>
        <w:tc>
          <w:tcPr>
            <w:tcW w:w="708" w:type="dxa"/>
            <w:vMerge w:val="restart"/>
            <w:vAlign w:val="center"/>
          </w:tcPr>
          <w:p w14:paraId="6B4C5425">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szCs w:val="21"/>
              </w:rPr>
              <w:t>25</w:t>
            </w:r>
          </w:p>
        </w:tc>
        <w:tc>
          <w:tcPr>
            <w:tcW w:w="709" w:type="dxa"/>
            <w:vMerge w:val="restart"/>
            <w:vAlign w:val="center"/>
          </w:tcPr>
          <w:p w14:paraId="5E7C98C0">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6</w:t>
            </w:r>
          </w:p>
        </w:tc>
        <w:tc>
          <w:tcPr>
            <w:tcW w:w="992" w:type="dxa"/>
            <w:vMerge w:val="restart"/>
            <w:vAlign w:val="center"/>
          </w:tcPr>
          <w:p w14:paraId="4E7575E9">
            <w:pPr>
              <w:widowControl/>
              <w:spacing w:line="300" w:lineRule="exact"/>
              <w:jc w:val="center"/>
              <w:rPr>
                <w:rFonts w:ascii="Times New Roman" w:hAnsi="Times New Roman" w:cs="Times New Roman" w:eastAsiaTheme="minorEastAsia"/>
                <w:color w:val="auto"/>
                <w:spacing w:val="-20"/>
                <w:kern w:val="0"/>
                <w:szCs w:val="21"/>
              </w:rPr>
            </w:pPr>
            <w:r>
              <w:rPr>
                <w:rFonts w:ascii="Times New Roman" w:hAnsi="Times New Roman" w:cs="Times New Roman" w:eastAsiaTheme="minorEastAsia"/>
                <w:color w:val="auto"/>
                <w:spacing w:val="-20"/>
                <w:kern w:val="0"/>
                <w:szCs w:val="21"/>
              </w:rPr>
              <w:t>0</w:t>
            </w:r>
          </w:p>
        </w:tc>
        <w:tc>
          <w:tcPr>
            <w:tcW w:w="993" w:type="dxa"/>
            <w:vMerge w:val="restart"/>
            <w:vAlign w:val="center"/>
          </w:tcPr>
          <w:p w14:paraId="3344DBA2">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2.0</w:t>
            </w:r>
          </w:p>
        </w:tc>
        <w:tc>
          <w:tcPr>
            <w:tcW w:w="567" w:type="dxa"/>
            <w:vMerge w:val="restart"/>
            <w:vAlign w:val="center"/>
          </w:tcPr>
          <w:p w14:paraId="0FA6CFE2">
            <w:pPr>
              <w:widowControl/>
              <w:spacing w:line="300" w:lineRule="exact"/>
              <w:jc w:val="center"/>
              <w:rPr>
                <w:rFonts w:ascii="Times New Roman" w:hAnsi="Times New Roman" w:cs="Times New Roman" w:eastAsiaTheme="minorEastAsia"/>
                <w:color w:val="auto"/>
                <w:spacing w:val="-20"/>
                <w:kern w:val="0"/>
                <w:szCs w:val="21"/>
              </w:rPr>
            </w:pPr>
            <w:r>
              <w:rPr>
                <w:rFonts w:ascii="Times New Roman" w:cs="Times New Roman" w:hAnsiTheme="minorEastAsia" w:eastAsiaTheme="minorEastAsia"/>
                <w:color w:val="auto"/>
                <w:spacing w:val="-20"/>
                <w:kern w:val="0"/>
                <w:szCs w:val="21"/>
              </w:rPr>
              <w:t>路基</w:t>
            </w:r>
          </w:p>
        </w:tc>
        <w:tc>
          <w:tcPr>
            <w:tcW w:w="992" w:type="dxa"/>
            <w:vMerge w:val="restart"/>
            <w:vAlign w:val="center"/>
          </w:tcPr>
          <w:p w14:paraId="31DEE43E">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54</w:t>
            </w:r>
          </w:p>
        </w:tc>
        <w:tc>
          <w:tcPr>
            <w:tcW w:w="709" w:type="dxa"/>
            <w:vMerge w:val="restart"/>
            <w:vAlign w:val="center"/>
          </w:tcPr>
          <w:p w14:paraId="49C6BE83">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130</w:t>
            </w:r>
          </w:p>
        </w:tc>
        <w:tc>
          <w:tcPr>
            <w:tcW w:w="708" w:type="dxa"/>
            <w:vMerge w:val="restart"/>
            <w:vAlign w:val="center"/>
          </w:tcPr>
          <w:p w14:paraId="68299570">
            <w:pPr>
              <w:widowControl/>
              <w:spacing w:line="300" w:lineRule="exact"/>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150</w:t>
            </w:r>
          </w:p>
        </w:tc>
        <w:tc>
          <w:tcPr>
            <w:tcW w:w="4582" w:type="dxa"/>
            <w:vMerge w:val="restart"/>
            <w:vAlign w:val="center"/>
          </w:tcPr>
          <w:p w14:paraId="4D02945C">
            <w:pPr>
              <w:widowControl/>
              <w:spacing w:line="300" w:lineRule="exact"/>
              <w:rPr>
                <w:rFonts w:ascii="Times New Roman" w:hAnsi="Times New Roman" w:cs="Times New Roman" w:eastAsiaTheme="minorEastAsia"/>
                <w:color w:val="auto"/>
                <w:spacing w:val="0"/>
                <w:kern w:val="0"/>
                <w:sz w:val="21"/>
                <w:szCs w:val="21"/>
              </w:rPr>
            </w:pPr>
            <w:r>
              <w:rPr>
                <w:rFonts w:ascii="Times New Roman" w:cs="Times New Roman" w:hAnsiTheme="minorEastAsia" w:eastAsiaTheme="minorEastAsia"/>
                <w:color w:val="auto"/>
                <w:spacing w:val="0"/>
                <w:kern w:val="0"/>
                <w:sz w:val="21"/>
                <w:szCs w:val="21"/>
              </w:rPr>
              <w:t>路线以填方路基形式经过村庄。评价范围内现有居民</w:t>
            </w:r>
            <w:r>
              <w:rPr>
                <w:rFonts w:hint="eastAsia" w:ascii="Times New Roman" w:hAnsi="Times New Roman" w:cs="Times New Roman" w:eastAsiaTheme="minorEastAsia"/>
                <w:color w:val="auto"/>
                <w:spacing w:val="0"/>
                <w:kern w:val="0"/>
                <w:sz w:val="21"/>
                <w:szCs w:val="21"/>
              </w:rPr>
              <w:t>280</w:t>
            </w:r>
            <w:r>
              <w:rPr>
                <w:rFonts w:ascii="Times New Roman" w:cs="Times New Roman" w:hAnsiTheme="minorEastAsia" w:eastAsiaTheme="minorEastAsia"/>
                <w:color w:val="auto"/>
                <w:spacing w:val="0"/>
                <w:kern w:val="0"/>
                <w:sz w:val="21"/>
                <w:szCs w:val="21"/>
              </w:rPr>
              <w:t>户，首排</w:t>
            </w:r>
            <w:r>
              <w:rPr>
                <w:rFonts w:hint="eastAsia" w:ascii="Times New Roman" w:hAnsi="Times New Roman" w:cs="Times New Roman" w:eastAsiaTheme="minorEastAsia"/>
                <w:color w:val="auto"/>
                <w:spacing w:val="0"/>
                <w:kern w:val="0"/>
                <w:sz w:val="21"/>
                <w:szCs w:val="21"/>
              </w:rPr>
              <w:t>120</w:t>
            </w:r>
            <w:r>
              <w:rPr>
                <w:rFonts w:ascii="Times New Roman" w:cs="Times New Roman" w:hAnsiTheme="minorEastAsia" w:eastAsiaTheme="minorEastAsia"/>
                <w:color w:val="auto"/>
                <w:spacing w:val="0"/>
                <w:kern w:val="0"/>
                <w:sz w:val="21"/>
                <w:szCs w:val="21"/>
              </w:rPr>
              <w:t>户，</w:t>
            </w:r>
            <w:r>
              <w:rPr>
                <w:rFonts w:hint="eastAsia" w:ascii="Times New Roman" w:cs="Times New Roman" w:hAnsiTheme="minorEastAsia" w:eastAsiaTheme="minorEastAsia"/>
                <w:color w:val="auto"/>
                <w:spacing w:val="0"/>
                <w:kern w:val="0"/>
                <w:sz w:val="21"/>
                <w:szCs w:val="21"/>
              </w:rPr>
              <w:t>主要</w:t>
            </w:r>
            <w:r>
              <w:rPr>
                <w:rFonts w:ascii="Times New Roman" w:cs="Times New Roman" w:hAnsiTheme="minorEastAsia" w:eastAsiaTheme="minorEastAsia"/>
                <w:color w:val="auto"/>
                <w:spacing w:val="0"/>
                <w:kern w:val="0"/>
                <w:sz w:val="21"/>
                <w:szCs w:val="21"/>
              </w:rPr>
              <w:t>为</w:t>
            </w:r>
            <w:r>
              <w:rPr>
                <w:rFonts w:ascii="Times New Roman" w:hAnsi="Times New Roman" w:cs="Times New Roman" w:eastAsiaTheme="minorEastAsia"/>
                <w:color w:val="auto"/>
                <w:spacing w:val="0"/>
                <w:kern w:val="0"/>
                <w:sz w:val="21"/>
                <w:szCs w:val="21"/>
              </w:rPr>
              <w:t>1</w:t>
            </w:r>
            <w:r>
              <w:rPr>
                <w:rFonts w:ascii="Times New Roman" w:cs="Times New Roman" w:hAnsiTheme="minorEastAsia" w:eastAsiaTheme="minorEastAsia"/>
                <w:color w:val="auto"/>
                <w:spacing w:val="0"/>
                <w:kern w:val="0"/>
                <w:sz w:val="21"/>
                <w:szCs w:val="21"/>
              </w:rPr>
              <w:t>层砖混房，房屋正向拟建公路。</w:t>
            </w:r>
            <w:r>
              <w:rPr>
                <w:rFonts w:ascii="Times New Roman" w:hAnsi="Times New Roman" w:eastAsia="宋体" w:cs="Times New Roman"/>
                <w:color w:val="auto"/>
                <w:spacing w:val="0"/>
                <w:kern w:val="0"/>
                <w:sz w:val="21"/>
                <w:szCs w:val="21"/>
              </w:rPr>
              <w:t>该路段利用现有</w:t>
            </w:r>
            <w:r>
              <w:rPr>
                <w:rFonts w:hint="eastAsia" w:ascii="Times New Roman" w:hAnsi="Times New Roman" w:eastAsia="宋体" w:cs="Times New Roman"/>
                <w:color w:val="auto"/>
                <w:spacing w:val="0"/>
                <w:kern w:val="0"/>
                <w:sz w:val="21"/>
                <w:szCs w:val="21"/>
              </w:rPr>
              <w:t>老路双侧加宽</w:t>
            </w:r>
            <w:r>
              <w:rPr>
                <w:rFonts w:ascii="Times New Roman" w:hAnsi="Times New Roman" w:eastAsia="宋体" w:cs="Times New Roman"/>
                <w:color w:val="auto"/>
                <w:spacing w:val="0"/>
                <w:kern w:val="0"/>
                <w:sz w:val="21"/>
                <w:szCs w:val="21"/>
              </w:rPr>
              <w:t>，有平交</w:t>
            </w:r>
            <w:r>
              <w:rPr>
                <w:rFonts w:hint="eastAsia" w:ascii="Times New Roman" w:hAnsi="Times New Roman" w:eastAsia="宋体" w:cs="Times New Roman"/>
                <w:color w:val="auto"/>
                <w:spacing w:val="0"/>
                <w:kern w:val="0"/>
                <w:sz w:val="21"/>
                <w:szCs w:val="21"/>
              </w:rPr>
              <w:t>路口</w:t>
            </w:r>
            <w:r>
              <w:rPr>
                <w:rFonts w:ascii="Times New Roman" w:hAnsi="Times New Roman" w:eastAsia="宋体" w:cs="Times New Roman"/>
                <w:color w:val="auto"/>
                <w:spacing w:val="0"/>
                <w:kern w:val="0"/>
                <w:sz w:val="21"/>
                <w:szCs w:val="21"/>
              </w:rPr>
              <w:t>，</w:t>
            </w:r>
            <w:r>
              <w:rPr>
                <w:rFonts w:ascii="Times New Roman" w:cs="Times New Roman" w:hAnsiTheme="minorEastAsia" w:eastAsiaTheme="minorEastAsia"/>
                <w:color w:val="auto"/>
                <w:spacing w:val="0"/>
                <w:kern w:val="0"/>
                <w:sz w:val="21"/>
                <w:szCs w:val="21"/>
              </w:rPr>
              <w:t>主要噪声源为现有</w:t>
            </w:r>
            <w:r>
              <w:rPr>
                <w:rFonts w:hint="eastAsia" w:ascii="Times New Roman" w:hAnsi="Times New Roman" w:cs="Times New Roman" w:eastAsiaTheme="minorEastAsia"/>
                <w:color w:val="auto"/>
                <w:spacing w:val="0"/>
                <w:kern w:val="0"/>
                <w:sz w:val="21"/>
                <w:szCs w:val="21"/>
              </w:rPr>
              <w:t>G219</w:t>
            </w:r>
            <w:r>
              <w:rPr>
                <w:rFonts w:ascii="Times New Roman" w:cs="Times New Roman" w:hAnsiTheme="minorEastAsia" w:eastAsiaTheme="minorEastAsia"/>
                <w:color w:val="auto"/>
                <w:spacing w:val="0"/>
                <w:kern w:val="0"/>
                <w:sz w:val="21"/>
                <w:szCs w:val="21"/>
              </w:rPr>
              <w:t>交通噪声和社会生活噪声。</w:t>
            </w:r>
          </w:p>
        </w:tc>
        <w:tc>
          <w:tcPr>
            <w:tcW w:w="2898" w:type="dxa"/>
            <w:vMerge w:val="restart"/>
            <w:vAlign w:val="center"/>
          </w:tcPr>
          <w:p w14:paraId="2F2B743C">
            <w:pPr>
              <w:widowControl/>
              <w:adjustRightInd w:val="0"/>
              <w:snapToGrid w:val="0"/>
              <w:jc w:val="center"/>
              <w:rPr>
                <w:rFonts w:ascii="Times New Roman" w:hAnsi="Times New Roman" w:cs="Times New Roman" w:eastAsiaTheme="minorEastAsia"/>
                <w:snapToGrid w:val="0"/>
                <w:color w:val="auto"/>
                <w:spacing w:val="-20"/>
                <w:kern w:val="0"/>
                <w:szCs w:val="21"/>
              </w:rPr>
            </w:pPr>
            <w:r>
              <w:rPr>
                <w:rFonts w:ascii="Times New Roman" w:hAnsi="Times New Roman" w:cs="Times New Roman" w:eastAsiaTheme="minorEastAsia"/>
                <w:color w:val="auto"/>
                <w:spacing w:val="-20"/>
                <w:kern w:val="0"/>
                <w:szCs w:val="21"/>
              </w:rPr>
              <w:drawing>
                <wp:inline distT="0" distB="0" distL="0" distR="0">
                  <wp:extent cx="1729105" cy="1295400"/>
                  <wp:effectExtent l="0" t="0" r="4445" b="0"/>
                  <wp:docPr id="974" name="图片 28" descr="E:\咨询项目\环评\新疆-G219线八盘水磨至伽师公路\外业踏勘记录及照片\DSC089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 name="图片 28" descr="E:\咨询项目\环评\新疆-G219线八盘水磨至伽师公路\外业踏勘记录及照片\DSC08963.JPG"/>
                          <pic:cNvPicPr>
                            <a:picLocks noChangeAspect="1" noChangeArrowheads="1"/>
                          </pic:cNvPicPr>
                        </pic:nvPicPr>
                        <pic:blipFill>
                          <a:blip r:embed="rId183" cstate="print"/>
                          <a:srcRect/>
                          <a:stretch>
                            <a:fillRect/>
                          </a:stretch>
                        </pic:blipFill>
                        <pic:spPr>
                          <a:xfrm>
                            <a:off x="0" y="0"/>
                            <a:ext cx="1729728" cy="1296000"/>
                          </a:xfrm>
                          <a:prstGeom prst="rect">
                            <a:avLst/>
                          </a:prstGeom>
                          <a:noFill/>
                          <a:ln w="9525">
                            <a:noFill/>
                            <a:miter lim="800000"/>
                            <a:headEnd/>
                            <a:tailEnd/>
                          </a:ln>
                        </pic:spPr>
                      </pic:pic>
                    </a:graphicData>
                  </a:graphic>
                </wp:inline>
              </w:drawing>
            </w:r>
          </w:p>
        </w:tc>
      </w:tr>
      <w:tr w14:paraId="448BDCBF">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622" w:hRule="atLeast"/>
          <w:tblHeader/>
          <w:jc w:val="center"/>
        </w:trPr>
        <w:tc>
          <w:tcPr>
            <w:tcW w:w="568" w:type="dxa"/>
            <w:vMerge w:val="continue"/>
            <w:noWrap/>
            <w:vAlign w:val="center"/>
          </w:tcPr>
          <w:p w14:paraId="7D8494BC">
            <w:pPr>
              <w:widowControl/>
              <w:jc w:val="center"/>
              <w:rPr>
                <w:rFonts w:ascii="Times New Roman" w:hAnsi="Times New Roman" w:cs="Times New Roman" w:eastAsiaTheme="minorEastAsia"/>
                <w:color w:val="auto"/>
                <w:spacing w:val="-20"/>
                <w:kern w:val="0"/>
                <w:szCs w:val="21"/>
              </w:rPr>
            </w:pPr>
          </w:p>
        </w:tc>
        <w:tc>
          <w:tcPr>
            <w:tcW w:w="694" w:type="dxa"/>
            <w:vMerge w:val="continue"/>
            <w:vAlign w:val="center"/>
          </w:tcPr>
          <w:p w14:paraId="0325B893">
            <w:pPr>
              <w:widowControl/>
              <w:jc w:val="center"/>
              <w:rPr>
                <w:rFonts w:ascii="Times New Roman" w:hAnsi="Times New Roman" w:cs="Times New Roman" w:eastAsiaTheme="minorEastAsia"/>
                <w:color w:val="auto"/>
                <w:spacing w:val="-20"/>
                <w:kern w:val="0"/>
                <w:szCs w:val="21"/>
              </w:rPr>
            </w:pPr>
          </w:p>
        </w:tc>
        <w:tc>
          <w:tcPr>
            <w:tcW w:w="1134" w:type="dxa"/>
            <w:vAlign w:val="center"/>
          </w:tcPr>
          <w:p w14:paraId="3E2B7F35">
            <w:pPr>
              <w:widowControl/>
              <w:jc w:val="center"/>
              <w:rPr>
                <w:rFonts w:ascii="Times New Roman" w:hAnsi="Times New Roman" w:cs="Times New Roman" w:eastAsiaTheme="minorEastAsia"/>
                <w:color w:val="auto"/>
                <w:spacing w:val="-20"/>
                <w:szCs w:val="21"/>
              </w:rPr>
            </w:pPr>
            <w:r>
              <w:rPr>
                <w:rFonts w:ascii="Times New Roman" w:hAnsi="Times New Roman" w:cs="Times New Roman" w:eastAsiaTheme="minorEastAsia"/>
                <w:color w:val="auto"/>
                <w:spacing w:val="-20"/>
                <w:szCs w:val="21"/>
              </w:rPr>
              <w:t>K</w:t>
            </w:r>
            <w:r>
              <w:rPr>
                <w:rFonts w:hint="eastAsia" w:ascii="Times New Roman" w:hAnsi="Times New Roman" w:cs="Times New Roman" w:eastAsiaTheme="minorEastAsia"/>
                <w:color w:val="auto"/>
                <w:spacing w:val="-20"/>
                <w:szCs w:val="21"/>
              </w:rPr>
              <w:t>58</w:t>
            </w:r>
            <w:r>
              <w:rPr>
                <w:rFonts w:ascii="Times New Roman" w:hAnsi="Times New Roman" w:cs="Times New Roman" w:eastAsiaTheme="minorEastAsia"/>
                <w:color w:val="auto"/>
                <w:spacing w:val="-20"/>
                <w:szCs w:val="21"/>
              </w:rPr>
              <w:t>+</w:t>
            </w:r>
            <w:r>
              <w:rPr>
                <w:rFonts w:hint="eastAsia" w:ascii="Times New Roman" w:hAnsi="Times New Roman" w:cs="Times New Roman" w:eastAsiaTheme="minorEastAsia"/>
                <w:color w:val="auto"/>
                <w:spacing w:val="-20"/>
                <w:szCs w:val="21"/>
              </w:rPr>
              <w:t>80</w:t>
            </w:r>
            <w:r>
              <w:rPr>
                <w:rFonts w:ascii="Times New Roman" w:hAnsi="Times New Roman" w:cs="Times New Roman" w:eastAsiaTheme="minorEastAsia"/>
                <w:color w:val="auto"/>
                <w:spacing w:val="-20"/>
                <w:szCs w:val="21"/>
              </w:rPr>
              <w:t>0</w:t>
            </w:r>
            <w:r>
              <w:rPr>
                <w:rFonts w:ascii="Times New Roman" w:cs="Times New Roman" w:hAnsiTheme="minorEastAsia" w:eastAsiaTheme="minorEastAsia"/>
                <w:color w:val="auto"/>
                <w:spacing w:val="-20"/>
                <w:szCs w:val="21"/>
              </w:rPr>
              <w:t>～</w:t>
            </w:r>
            <w:r>
              <w:rPr>
                <w:rFonts w:ascii="Times New Roman" w:hAnsi="Times New Roman" w:cs="Times New Roman" w:eastAsiaTheme="minorEastAsia"/>
                <w:color w:val="auto"/>
                <w:spacing w:val="-20"/>
                <w:szCs w:val="21"/>
              </w:rPr>
              <w:t>K</w:t>
            </w:r>
            <w:r>
              <w:rPr>
                <w:rFonts w:hint="eastAsia" w:ascii="Times New Roman" w:hAnsi="Times New Roman" w:cs="Times New Roman" w:eastAsiaTheme="minorEastAsia"/>
                <w:color w:val="auto"/>
                <w:spacing w:val="-20"/>
                <w:szCs w:val="21"/>
              </w:rPr>
              <w:t>59</w:t>
            </w:r>
            <w:r>
              <w:rPr>
                <w:rFonts w:ascii="Times New Roman" w:hAnsi="Times New Roman" w:cs="Times New Roman" w:eastAsiaTheme="minorEastAsia"/>
                <w:color w:val="auto"/>
                <w:spacing w:val="-20"/>
                <w:szCs w:val="21"/>
              </w:rPr>
              <w:t>+</w:t>
            </w:r>
            <w:r>
              <w:rPr>
                <w:rFonts w:hint="eastAsia" w:ascii="Times New Roman" w:hAnsi="Times New Roman" w:cs="Times New Roman" w:eastAsiaTheme="minorEastAsia"/>
                <w:color w:val="auto"/>
                <w:spacing w:val="-20"/>
                <w:szCs w:val="21"/>
              </w:rPr>
              <w:t>80</w:t>
            </w:r>
            <w:r>
              <w:rPr>
                <w:rFonts w:ascii="Times New Roman" w:hAnsi="Times New Roman" w:cs="Times New Roman" w:eastAsiaTheme="minorEastAsia"/>
                <w:color w:val="auto"/>
                <w:spacing w:val="-20"/>
                <w:szCs w:val="21"/>
              </w:rPr>
              <w:t>0</w:t>
            </w:r>
          </w:p>
        </w:tc>
        <w:tc>
          <w:tcPr>
            <w:tcW w:w="851" w:type="dxa"/>
            <w:vMerge w:val="continue"/>
            <w:vAlign w:val="center"/>
          </w:tcPr>
          <w:p w14:paraId="2BDE9EEB">
            <w:pPr>
              <w:jc w:val="center"/>
              <w:rPr>
                <w:rFonts w:ascii="Times New Roman" w:cs="Times New Roman" w:hAnsiTheme="minorEastAsia" w:eastAsiaTheme="minorEastAsia"/>
                <w:color w:val="auto"/>
                <w:spacing w:val="-20"/>
                <w:szCs w:val="21"/>
              </w:rPr>
            </w:pPr>
          </w:p>
        </w:tc>
        <w:tc>
          <w:tcPr>
            <w:tcW w:w="850" w:type="dxa"/>
            <w:vMerge w:val="continue"/>
            <w:vAlign w:val="center"/>
          </w:tcPr>
          <w:p w14:paraId="4812714F">
            <w:pPr>
              <w:widowControl/>
              <w:jc w:val="center"/>
              <w:rPr>
                <w:rFonts w:ascii="Times New Roman" w:hAnsi="Times New Roman" w:cs="Times New Roman" w:eastAsiaTheme="minorEastAsia"/>
                <w:color w:val="auto"/>
                <w:spacing w:val="-20"/>
                <w:kern w:val="0"/>
                <w:szCs w:val="21"/>
              </w:rPr>
            </w:pPr>
          </w:p>
        </w:tc>
        <w:tc>
          <w:tcPr>
            <w:tcW w:w="661" w:type="dxa"/>
            <w:vMerge w:val="continue"/>
            <w:vAlign w:val="center"/>
          </w:tcPr>
          <w:p w14:paraId="642AEEB3">
            <w:pPr>
              <w:widowControl/>
              <w:jc w:val="center"/>
              <w:rPr>
                <w:rFonts w:ascii="Times New Roman" w:cs="Times New Roman" w:hAnsiTheme="minorEastAsia" w:eastAsiaTheme="minorEastAsia"/>
                <w:color w:val="auto"/>
                <w:spacing w:val="-20"/>
                <w:szCs w:val="21"/>
              </w:rPr>
            </w:pPr>
          </w:p>
        </w:tc>
        <w:tc>
          <w:tcPr>
            <w:tcW w:w="662" w:type="dxa"/>
            <w:vMerge w:val="continue"/>
            <w:vAlign w:val="center"/>
          </w:tcPr>
          <w:p w14:paraId="50233D69">
            <w:pPr>
              <w:widowControl/>
              <w:jc w:val="center"/>
              <w:rPr>
                <w:rFonts w:ascii="Times New Roman" w:cs="Times New Roman" w:hAnsiTheme="minorEastAsia" w:eastAsiaTheme="minorEastAsia"/>
                <w:color w:val="auto"/>
                <w:spacing w:val="-20"/>
                <w:szCs w:val="21"/>
              </w:rPr>
            </w:pPr>
          </w:p>
        </w:tc>
        <w:tc>
          <w:tcPr>
            <w:tcW w:w="662" w:type="dxa"/>
            <w:vMerge w:val="continue"/>
            <w:vAlign w:val="center"/>
          </w:tcPr>
          <w:p w14:paraId="0D60276F">
            <w:pPr>
              <w:widowControl/>
              <w:jc w:val="center"/>
              <w:rPr>
                <w:rFonts w:ascii="Times New Roman" w:cs="Times New Roman" w:hAnsiTheme="minorEastAsia" w:eastAsiaTheme="minorEastAsia"/>
                <w:color w:val="auto"/>
                <w:spacing w:val="-20"/>
                <w:szCs w:val="21"/>
              </w:rPr>
            </w:pPr>
          </w:p>
        </w:tc>
        <w:tc>
          <w:tcPr>
            <w:tcW w:w="567" w:type="dxa"/>
            <w:vMerge w:val="continue"/>
            <w:vAlign w:val="center"/>
          </w:tcPr>
          <w:p w14:paraId="2C329A16">
            <w:pPr>
              <w:widowControl/>
              <w:jc w:val="center"/>
              <w:rPr>
                <w:rFonts w:ascii="Times New Roman" w:cs="Times New Roman" w:hAnsiTheme="minorEastAsia" w:eastAsiaTheme="minorEastAsia"/>
                <w:color w:val="auto"/>
                <w:spacing w:val="-20"/>
                <w:szCs w:val="21"/>
              </w:rPr>
            </w:pPr>
          </w:p>
        </w:tc>
        <w:tc>
          <w:tcPr>
            <w:tcW w:w="708" w:type="dxa"/>
            <w:vMerge w:val="continue"/>
            <w:vAlign w:val="center"/>
          </w:tcPr>
          <w:p w14:paraId="4591EAA9">
            <w:pPr>
              <w:widowControl/>
              <w:jc w:val="center"/>
              <w:rPr>
                <w:rFonts w:ascii="Times New Roman" w:hAnsi="Times New Roman" w:cs="Times New Roman" w:eastAsiaTheme="minorEastAsia"/>
                <w:color w:val="auto"/>
                <w:spacing w:val="-20"/>
                <w:szCs w:val="21"/>
              </w:rPr>
            </w:pPr>
          </w:p>
        </w:tc>
        <w:tc>
          <w:tcPr>
            <w:tcW w:w="709" w:type="dxa"/>
            <w:vMerge w:val="continue"/>
            <w:vAlign w:val="center"/>
          </w:tcPr>
          <w:p w14:paraId="5A823850">
            <w:pPr>
              <w:widowControl/>
              <w:jc w:val="center"/>
              <w:rPr>
                <w:rFonts w:ascii="Times New Roman" w:hAnsi="Times New Roman" w:cs="Times New Roman" w:eastAsiaTheme="minorEastAsia"/>
                <w:color w:val="auto"/>
                <w:spacing w:val="-20"/>
                <w:kern w:val="0"/>
                <w:szCs w:val="21"/>
              </w:rPr>
            </w:pPr>
          </w:p>
        </w:tc>
        <w:tc>
          <w:tcPr>
            <w:tcW w:w="992" w:type="dxa"/>
            <w:vMerge w:val="continue"/>
            <w:vAlign w:val="center"/>
          </w:tcPr>
          <w:p w14:paraId="2FEC404B">
            <w:pPr>
              <w:widowControl/>
              <w:jc w:val="center"/>
              <w:rPr>
                <w:rFonts w:ascii="Times New Roman" w:hAnsi="Times New Roman" w:cs="Times New Roman" w:eastAsiaTheme="minorEastAsia"/>
                <w:color w:val="auto"/>
                <w:spacing w:val="-20"/>
                <w:kern w:val="0"/>
                <w:szCs w:val="21"/>
              </w:rPr>
            </w:pPr>
          </w:p>
        </w:tc>
        <w:tc>
          <w:tcPr>
            <w:tcW w:w="993" w:type="dxa"/>
            <w:vMerge w:val="continue"/>
            <w:vAlign w:val="center"/>
          </w:tcPr>
          <w:p w14:paraId="78B2B008">
            <w:pPr>
              <w:widowControl/>
              <w:jc w:val="center"/>
              <w:rPr>
                <w:rFonts w:ascii="Times New Roman" w:hAnsi="Times New Roman" w:cs="Times New Roman" w:eastAsiaTheme="minorEastAsia"/>
                <w:color w:val="auto"/>
                <w:spacing w:val="-20"/>
                <w:kern w:val="0"/>
                <w:szCs w:val="21"/>
              </w:rPr>
            </w:pPr>
          </w:p>
        </w:tc>
        <w:tc>
          <w:tcPr>
            <w:tcW w:w="567" w:type="dxa"/>
            <w:vMerge w:val="continue"/>
            <w:vAlign w:val="center"/>
          </w:tcPr>
          <w:p w14:paraId="593FAA72">
            <w:pPr>
              <w:widowControl/>
              <w:jc w:val="center"/>
              <w:rPr>
                <w:rFonts w:ascii="Times New Roman" w:cs="Times New Roman" w:hAnsiTheme="minorEastAsia" w:eastAsiaTheme="minorEastAsia"/>
                <w:color w:val="auto"/>
                <w:spacing w:val="-20"/>
                <w:kern w:val="0"/>
                <w:szCs w:val="21"/>
              </w:rPr>
            </w:pPr>
          </w:p>
        </w:tc>
        <w:tc>
          <w:tcPr>
            <w:tcW w:w="992" w:type="dxa"/>
            <w:vMerge w:val="continue"/>
            <w:vAlign w:val="center"/>
          </w:tcPr>
          <w:p w14:paraId="0ADE927F">
            <w:pPr>
              <w:widowControl/>
              <w:jc w:val="center"/>
              <w:rPr>
                <w:rFonts w:ascii="Times New Roman" w:hAnsi="Times New Roman" w:cs="Times New Roman" w:eastAsiaTheme="minorEastAsia"/>
                <w:color w:val="auto"/>
                <w:spacing w:val="-20"/>
                <w:kern w:val="0"/>
                <w:szCs w:val="21"/>
              </w:rPr>
            </w:pPr>
          </w:p>
        </w:tc>
        <w:tc>
          <w:tcPr>
            <w:tcW w:w="709" w:type="dxa"/>
            <w:vMerge w:val="continue"/>
            <w:vAlign w:val="center"/>
          </w:tcPr>
          <w:p w14:paraId="6298B00C">
            <w:pPr>
              <w:widowControl/>
              <w:jc w:val="center"/>
              <w:rPr>
                <w:rFonts w:ascii="Times New Roman" w:hAnsi="Times New Roman" w:cs="Times New Roman" w:eastAsiaTheme="minorEastAsia"/>
                <w:color w:val="auto"/>
                <w:spacing w:val="-20"/>
                <w:kern w:val="0"/>
                <w:szCs w:val="21"/>
              </w:rPr>
            </w:pPr>
          </w:p>
        </w:tc>
        <w:tc>
          <w:tcPr>
            <w:tcW w:w="708" w:type="dxa"/>
            <w:vMerge w:val="continue"/>
            <w:vAlign w:val="center"/>
          </w:tcPr>
          <w:p w14:paraId="47169084">
            <w:pPr>
              <w:widowControl/>
              <w:jc w:val="center"/>
              <w:rPr>
                <w:rFonts w:ascii="Times New Roman" w:hAnsi="Times New Roman" w:cs="Times New Roman" w:eastAsiaTheme="minorEastAsia"/>
                <w:color w:val="auto"/>
                <w:spacing w:val="-20"/>
                <w:kern w:val="0"/>
                <w:szCs w:val="21"/>
              </w:rPr>
            </w:pPr>
          </w:p>
        </w:tc>
        <w:tc>
          <w:tcPr>
            <w:tcW w:w="4582" w:type="dxa"/>
            <w:vMerge w:val="continue"/>
            <w:vAlign w:val="center"/>
          </w:tcPr>
          <w:p w14:paraId="23798038">
            <w:pPr>
              <w:widowControl/>
              <w:rPr>
                <w:rFonts w:ascii="Times New Roman" w:cs="Times New Roman" w:hAnsiTheme="minorEastAsia" w:eastAsiaTheme="minorEastAsia"/>
                <w:color w:val="auto"/>
                <w:spacing w:val="-20"/>
                <w:kern w:val="0"/>
                <w:szCs w:val="21"/>
              </w:rPr>
            </w:pPr>
          </w:p>
        </w:tc>
        <w:tc>
          <w:tcPr>
            <w:tcW w:w="2898" w:type="dxa"/>
            <w:vMerge w:val="continue"/>
            <w:vAlign w:val="center"/>
          </w:tcPr>
          <w:p w14:paraId="4F61446E">
            <w:pPr>
              <w:widowControl/>
              <w:adjustRightInd w:val="0"/>
              <w:snapToGrid w:val="0"/>
              <w:jc w:val="center"/>
              <w:rPr>
                <w:rFonts w:ascii="Times New Roman" w:hAnsi="Times New Roman" w:cs="Times New Roman" w:eastAsiaTheme="minorEastAsia"/>
                <w:snapToGrid w:val="0"/>
                <w:color w:val="auto"/>
                <w:spacing w:val="-20"/>
                <w:kern w:val="0"/>
                <w:szCs w:val="21"/>
              </w:rPr>
            </w:pPr>
          </w:p>
        </w:tc>
      </w:tr>
      <w:tr w14:paraId="31F898EE">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623" w:hRule="atLeast"/>
          <w:tblHeader/>
          <w:jc w:val="center"/>
        </w:trPr>
        <w:tc>
          <w:tcPr>
            <w:tcW w:w="568" w:type="dxa"/>
            <w:vMerge w:val="continue"/>
            <w:noWrap/>
            <w:vAlign w:val="center"/>
          </w:tcPr>
          <w:p w14:paraId="54A64084">
            <w:pPr>
              <w:widowControl/>
              <w:jc w:val="center"/>
              <w:rPr>
                <w:rFonts w:ascii="Times New Roman" w:hAnsi="Times New Roman" w:cs="Times New Roman" w:eastAsiaTheme="minorEastAsia"/>
                <w:color w:val="auto"/>
                <w:spacing w:val="-20"/>
                <w:kern w:val="0"/>
                <w:szCs w:val="21"/>
              </w:rPr>
            </w:pPr>
          </w:p>
        </w:tc>
        <w:tc>
          <w:tcPr>
            <w:tcW w:w="694" w:type="dxa"/>
            <w:vMerge w:val="continue"/>
            <w:vAlign w:val="center"/>
          </w:tcPr>
          <w:p w14:paraId="16C426E4">
            <w:pPr>
              <w:widowControl/>
              <w:jc w:val="center"/>
              <w:rPr>
                <w:rFonts w:ascii="Times New Roman" w:hAnsi="Times New Roman" w:cs="Times New Roman" w:eastAsiaTheme="minorEastAsia"/>
                <w:color w:val="auto"/>
                <w:spacing w:val="-20"/>
                <w:kern w:val="0"/>
                <w:szCs w:val="21"/>
              </w:rPr>
            </w:pPr>
          </w:p>
        </w:tc>
        <w:tc>
          <w:tcPr>
            <w:tcW w:w="1134" w:type="dxa"/>
            <w:vAlign w:val="center"/>
          </w:tcPr>
          <w:p w14:paraId="1AD598B9">
            <w:pPr>
              <w:widowControl/>
              <w:jc w:val="center"/>
              <w:rPr>
                <w:rFonts w:ascii="Times New Roman" w:hAnsi="Times New Roman" w:cs="Times New Roman" w:eastAsiaTheme="minorEastAsia"/>
                <w:color w:val="auto"/>
                <w:spacing w:val="-20"/>
                <w:szCs w:val="21"/>
              </w:rPr>
            </w:pPr>
            <w:r>
              <w:rPr>
                <w:rFonts w:ascii="Times New Roman" w:hAnsi="Times New Roman" w:cs="Times New Roman" w:eastAsiaTheme="minorEastAsia"/>
                <w:color w:val="auto"/>
                <w:spacing w:val="-20"/>
                <w:szCs w:val="21"/>
              </w:rPr>
              <w:t>K</w:t>
            </w:r>
            <w:r>
              <w:rPr>
                <w:rFonts w:hint="eastAsia" w:ascii="Times New Roman" w:hAnsi="Times New Roman" w:cs="Times New Roman" w:eastAsiaTheme="minorEastAsia"/>
                <w:color w:val="auto"/>
                <w:spacing w:val="-20"/>
                <w:szCs w:val="21"/>
              </w:rPr>
              <w:t>57</w:t>
            </w:r>
            <w:r>
              <w:rPr>
                <w:rFonts w:ascii="Times New Roman" w:hAnsi="Times New Roman" w:cs="Times New Roman" w:eastAsiaTheme="minorEastAsia"/>
                <w:color w:val="auto"/>
                <w:spacing w:val="-20"/>
                <w:szCs w:val="21"/>
              </w:rPr>
              <w:t>+300</w:t>
            </w:r>
            <w:r>
              <w:rPr>
                <w:rFonts w:ascii="Times New Roman" w:cs="Times New Roman" w:hAnsiTheme="minorEastAsia" w:eastAsiaTheme="minorEastAsia"/>
                <w:color w:val="auto"/>
                <w:spacing w:val="-20"/>
                <w:szCs w:val="21"/>
              </w:rPr>
              <w:t>～</w:t>
            </w:r>
            <w:r>
              <w:rPr>
                <w:rFonts w:ascii="Times New Roman" w:hAnsi="Times New Roman" w:cs="Times New Roman" w:eastAsiaTheme="minorEastAsia"/>
                <w:color w:val="auto"/>
                <w:spacing w:val="-20"/>
                <w:szCs w:val="21"/>
              </w:rPr>
              <w:t>K</w:t>
            </w:r>
            <w:r>
              <w:rPr>
                <w:rFonts w:hint="eastAsia" w:ascii="Times New Roman" w:hAnsi="Times New Roman" w:cs="Times New Roman" w:eastAsiaTheme="minorEastAsia"/>
                <w:color w:val="auto"/>
                <w:spacing w:val="-20"/>
                <w:szCs w:val="21"/>
              </w:rPr>
              <w:t>59</w:t>
            </w:r>
            <w:r>
              <w:rPr>
                <w:rFonts w:ascii="Times New Roman" w:hAnsi="Times New Roman" w:cs="Times New Roman" w:eastAsiaTheme="minorEastAsia"/>
                <w:color w:val="auto"/>
                <w:spacing w:val="-20"/>
                <w:szCs w:val="21"/>
              </w:rPr>
              <w:t>+050</w:t>
            </w:r>
          </w:p>
        </w:tc>
        <w:tc>
          <w:tcPr>
            <w:tcW w:w="851" w:type="dxa"/>
            <w:vMerge w:val="continue"/>
            <w:vAlign w:val="center"/>
          </w:tcPr>
          <w:p w14:paraId="6626C482">
            <w:pPr>
              <w:jc w:val="center"/>
              <w:rPr>
                <w:rFonts w:ascii="Times New Roman" w:hAnsi="Times New Roman" w:cs="Times New Roman" w:eastAsiaTheme="minorEastAsia"/>
                <w:color w:val="auto"/>
                <w:spacing w:val="-20"/>
                <w:szCs w:val="21"/>
              </w:rPr>
            </w:pPr>
          </w:p>
        </w:tc>
        <w:tc>
          <w:tcPr>
            <w:tcW w:w="850" w:type="dxa"/>
            <w:vMerge w:val="continue"/>
            <w:vAlign w:val="center"/>
          </w:tcPr>
          <w:p w14:paraId="2F998D02">
            <w:pPr>
              <w:widowControl/>
              <w:jc w:val="center"/>
              <w:rPr>
                <w:rFonts w:ascii="Times New Roman" w:hAnsi="Times New Roman" w:cs="Times New Roman" w:eastAsiaTheme="minorEastAsia"/>
                <w:color w:val="auto"/>
                <w:spacing w:val="-20"/>
                <w:kern w:val="0"/>
                <w:szCs w:val="21"/>
              </w:rPr>
            </w:pPr>
          </w:p>
        </w:tc>
        <w:tc>
          <w:tcPr>
            <w:tcW w:w="661" w:type="dxa"/>
            <w:vMerge w:val="restart"/>
            <w:vAlign w:val="center"/>
          </w:tcPr>
          <w:p w14:paraId="7667D944">
            <w:pPr>
              <w:widowControl/>
              <w:jc w:val="center"/>
              <w:rPr>
                <w:rFonts w:ascii="Times New Roman" w:hAnsi="Times New Roman" w:cs="Times New Roman" w:eastAsiaTheme="minorEastAsia"/>
                <w:color w:val="auto"/>
                <w:spacing w:val="-20"/>
                <w:szCs w:val="21"/>
              </w:rPr>
            </w:pPr>
            <w:r>
              <w:rPr>
                <w:rFonts w:ascii="Times New Roman" w:hAnsi="Times New Roman" w:cs="Times New Roman" w:eastAsiaTheme="minorEastAsia"/>
                <w:color w:val="auto"/>
                <w:spacing w:val="-20"/>
                <w:szCs w:val="21"/>
              </w:rPr>
              <w:t>路左</w:t>
            </w:r>
          </w:p>
        </w:tc>
        <w:tc>
          <w:tcPr>
            <w:tcW w:w="662" w:type="dxa"/>
            <w:vMerge w:val="continue"/>
            <w:vAlign w:val="center"/>
          </w:tcPr>
          <w:p w14:paraId="60BEEDAA">
            <w:pPr>
              <w:widowControl/>
              <w:jc w:val="center"/>
              <w:rPr>
                <w:rFonts w:ascii="Times New Roman" w:hAnsi="Times New Roman" w:cs="Times New Roman" w:eastAsiaTheme="minorEastAsia"/>
                <w:color w:val="auto"/>
                <w:spacing w:val="-20"/>
                <w:szCs w:val="21"/>
              </w:rPr>
            </w:pPr>
          </w:p>
        </w:tc>
        <w:tc>
          <w:tcPr>
            <w:tcW w:w="662" w:type="dxa"/>
            <w:vMerge w:val="continue"/>
            <w:vAlign w:val="center"/>
          </w:tcPr>
          <w:p w14:paraId="735C0EFB">
            <w:pPr>
              <w:widowControl/>
              <w:jc w:val="center"/>
              <w:rPr>
                <w:rFonts w:ascii="Times New Roman" w:hAnsi="Times New Roman" w:cs="Times New Roman" w:eastAsiaTheme="minorEastAsia"/>
                <w:color w:val="auto"/>
                <w:spacing w:val="-20"/>
                <w:szCs w:val="21"/>
              </w:rPr>
            </w:pPr>
          </w:p>
        </w:tc>
        <w:tc>
          <w:tcPr>
            <w:tcW w:w="567" w:type="dxa"/>
            <w:vMerge w:val="restart"/>
            <w:vAlign w:val="center"/>
          </w:tcPr>
          <w:p w14:paraId="663C54AF">
            <w:pPr>
              <w:widowControl/>
              <w:jc w:val="center"/>
              <w:rPr>
                <w:rFonts w:ascii="Times New Roman" w:hAnsi="Times New Roman" w:cs="Times New Roman" w:eastAsiaTheme="minorEastAsia"/>
                <w:color w:val="auto"/>
                <w:spacing w:val="-20"/>
                <w:szCs w:val="21"/>
              </w:rPr>
            </w:pPr>
            <w:r>
              <w:rPr>
                <w:rFonts w:ascii="Times New Roman" w:hAnsi="Times New Roman" w:cs="Times New Roman" w:eastAsiaTheme="minorEastAsia"/>
                <w:color w:val="auto"/>
                <w:spacing w:val="-20"/>
                <w:szCs w:val="21"/>
              </w:rPr>
              <w:t>路左</w:t>
            </w:r>
          </w:p>
        </w:tc>
        <w:tc>
          <w:tcPr>
            <w:tcW w:w="708" w:type="dxa"/>
            <w:vMerge w:val="continue"/>
            <w:vAlign w:val="center"/>
          </w:tcPr>
          <w:p w14:paraId="79D137BF">
            <w:pPr>
              <w:widowControl/>
              <w:jc w:val="center"/>
              <w:rPr>
                <w:rFonts w:ascii="Times New Roman" w:hAnsi="Times New Roman" w:cs="Times New Roman" w:eastAsiaTheme="minorEastAsia"/>
                <w:color w:val="auto"/>
                <w:spacing w:val="-20"/>
                <w:szCs w:val="21"/>
              </w:rPr>
            </w:pPr>
          </w:p>
        </w:tc>
        <w:tc>
          <w:tcPr>
            <w:tcW w:w="709" w:type="dxa"/>
            <w:vMerge w:val="continue"/>
            <w:vAlign w:val="center"/>
          </w:tcPr>
          <w:p w14:paraId="1DD173AA">
            <w:pPr>
              <w:widowControl/>
              <w:jc w:val="center"/>
              <w:rPr>
                <w:rFonts w:ascii="Times New Roman" w:hAnsi="Times New Roman" w:cs="Times New Roman" w:eastAsiaTheme="minorEastAsia"/>
                <w:color w:val="auto"/>
                <w:spacing w:val="-20"/>
                <w:kern w:val="0"/>
                <w:szCs w:val="21"/>
              </w:rPr>
            </w:pPr>
          </w:p>
        </w:tc>
        <w:tc>
          <w:tcPr>
            <w:tcW w:w="992" w:type="dxa"/>
            <w:vMerge w:val="continue"/>
            <w:vAlign w:val="center"/>
          </w:tcPr>
          <w:p w14:paraId="7F5AEBDB">
            <w:pPr>
              <w:widowControl/>
              <w:jc w:val="center"/>
              <w:rPr>
                <w:rFonts w:ascii="Times New Roman" w:hAnsi="Times New Roman" w:cs="Times New Roman" w:eastAsiaTheme="minorEastAsia"/>
                <w:color w:val="auto"/>
                <w:spacing w:val="-20"/>
                <w:kern w:val="0"/>
                <w:szCs w:val="21"/>
              </w:rPr>
            </w:pPr>
          </w:p>
        </w:tc>
        <w:tc>
          <w:tcPr>
            <w:tcW w:w="993" w:type="dxa"/>
            <w:vMerge w:val="continue"/>
            <w:vAlign w:val="center"/>
          </w:tcPr>
          <w:p w14:paraId="2E686AC0">
            <w:pPr>
              <w:widowControl/>
              <w:jc w:val="center"/>
              <w:rPr>
                <w:rFonts w:ascii="Times New Roman" w:hAnsi="Times New Roman" w:cs="Times New Roman" w:eastAsiaTheme="minorEastAsia"/>
                <w:color w:val="auto"/>
                <w:spacing w:val="-20"/>
                <w:kern w:val="0"/>
                <w:szCs w:val="21"/>
              </w:rPr>
            </w:pPr>
          </w:p>
        </w:tc>
        <w:tc>
          <w:tcPr>
            <w:tcW w:w="567" w:type="dxa"/>
            <w:vMerge w:val="continue"/>
            <w:vAlign w:val="center"/>
          </w:tcPr>
          <w:p w14:paraId="7614AD14">
            <w:pPr>
              <w:widowControl/>
              <w:jc w:val="center"/>
              <w:rPr>
                <w:rFonts w:ascii="Times New Roman" w:hAnsi="Times New Roman" w:cs="Times New Roman" w:eastAsiaTheme="minorEastAsia"/>
                <w:color w:val="auto"/>
                <w:spacing w:val="-20"/>
                <w:kern w:val="0"/>
                <w:szCs w:val="21"/>
              </w:rPr>
            </w:pPr>
          </w:p>
        </w:tc>
        <w:tc>
          <w:tcPr>
            <w:tcW w:w="992" w:type="dxa"/>
            <w:vMerge w:val="continue"/>
            <w:vAlign w:val="center"/>
          </w:tcPr>
          <w:p w14:paraId="066CF7BD">
            <w:pPr>
              <w:widowControl/>
              <w:jc w:val="center"/>
              <w:rPr>
                <w:rFonts w:ascii="Times New Roman" w:hAnsi="Times New Roman" w:cs="Times New Roman" w:eastAsiaTheme="minorEastAsia"/>
                <w:color w:val="auto"/>
                <w:spacing w:val="-20"/>
                <w:kern w:val="0"/>
                <w:szCs w:val="21"/>
              </w:rPr>
            </w:pPr>
          </w:p>
        </w:tc>
        <w:tc>
          <w:tcPr>
            <w:tcW w:w="709" w:type="dxa"/>
            <w:vMerge w:val="continue"/>
            <w:vAlign w:val="center"/>
          </w:tcPr>
          <w:p w14:paraId="278AD32B">
            <w:pPr>
              <w:widowControl/>
              <w:jc w:val="center"/>
              <w:rPr>
                <w:rFonts w:ascii="Times New Roman" w:hAnsi="Times New Roman" w:cs="Times New Roman" w:eastAsiaTheme="minorEastAsia"/>
                <w:color w:val="auto"/>
                <w:spacing w:val="-20"/>
                <w:kern w:val="0"/>
                <w:szCs w:val="21"/>
              </w:rPr>
            </w:pPr>
          </w:p>
        </w:tc>
        <w:tc>
          <w:tcPr>
            <w:tcW w:w="708" w:type="dxa"/>
            <w:vMerge w:val="continue"/>
            <w:vAlign w:val="center"/>
          </w:tcPr>
          <w:p w14:paraId="1953BB01">
            <w:pPr>
              <w:widowControl/>
              <w:jc w:val="center"/>
              <w:rPr>
                <w:rFonts w:ascii="Times New Roman" w:hAnsi="Times New Roman" w:cs="Times New Roman" w:eastAsiaTheme="minorEastAsia"/>
                <w:color w:val="auto"/>
                <w:spacing w:val="-20"/>
                <w:kern w:val="0"/>
                <w:szCs w:val="21"/>
              </w:rPr>
            </w:pPr>
          </w:p>
        </w:tc>
        <w:tc>
          <w:tcPr>
            <w:tcW w:w="4582" w:type="dxa"/>
            <w:vMerge w:val="continue"/>
            <w:vAlign w:val="center"/>
          </w:tcPr>
          <w:p w14:paraId="1572879B">
            <w:pPr>
              <w:widowControl/>
              <w:rPr>
                <w:rFonts w:ascii="Times New Roman" w:hAnsi="Times New Roman" w:cs="Times New Roman" w:eastAsiaTheme="minorEastAsia"/>
                <w:color w:val="auto"/>
                <w:spacing w:val="-20"/>
                <w:kern w:val="0"/>
                <w:szCs w:val="21"/>
              </w:rPr>
            </w:pPr>
          </w:p>
        </w:tc>
        <w:tc>
          <w:tcPr>
            <w:tcW w:w="2898" w:type="dxa"/>
            <w:vMerge w:val="continue"/>
            <w:vAlign w:val="center"/>
          </w:tcPr>
          <w:p w14:paraId="0E926030">
            <w:pPr>
              <w:widowControl/>
              <w:adjustRightInd w:val="0"/>
              <w:snapToGrid w:val="0"/>
              <w:jc w:val="center"/>
              <w:rPr>
                <w:rFonts w:ascii="Times New Roman" w:hAnsi="Times New Roman" w:cs="Times New Roman" w:eastAsiaTheme="minorEastAsia"/>
                <w:snapToGrid w:val="0"/>
                <w:color w:val="auto"/>
                <w:spacing w:val="-20"/>
                <w:kern w:val="0"/>
                <w:szCs w:val="21"/>
              </w:rPr>
            </w:pPr>
          </w:p>
        </w:tc>
      </w:tr>
      <w:tr w14:paraId="114F2C0B">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622" w:hRule="atLeast"/>
          <w:tblHeader/>
          <w:jc w:val="center"/>
        </w:trPr>
        <w:tc>
          <w:tcPr>
            <w:tcW w:w="568" w:type="dxa"/>
            <w:vMerge w:val="continue"/>
            <w:noWrap/>
            <w:vAlign w:val="center"/>
          </w:tcPr>
          <w:p w14:paraId="44D5C21B">
            <w:pPr>
              <w:widowControl/>
              <w:jc w:val="center"/>
              <w:rPr>
                <w:rFonts w:ascii="Times New Roman" w:hAnsi="Times New Roman" w:cs="Times New Roman" w:eastAsiaTheme="minorEastAsia"/>
                <w:color w:val="auto"/>
                <w:spacing w:val="-20"/>
                <w:kern w:val="0"/>
                <w:szCs w:val="21"/>
              </w:rPr>
            </w:pPr>
          </w:p>
        </w:tc>
        <w:tc>
          <w:tcPr>
            <w:tcW w:w="694" w:type="dxa"/>
            <w:vMerge w:val="continue"/>
            <w:vAlign w:val="center"/>
          </w:tcPr>
          <w:p w14:paraId="20D572EE">
            <w:pPr>
              <w:widowControl/>
              <w:jc w:val="center"/>
              <w:rPr>
                <w:rFonts w:ascii="Times New Roman" w:hAnsi="Times New Roman" w:cs="Times New Roman" w:eastAsiaTheme="minorEastAsia"/>
                <w:color w:val="auto"/>
                <w:spacing w:val="-20"/>
                <w:kern w:val="0"/>
                <w:szCs w:val="21"/>
              </w:rPr>
            </w:pPr>
          </w:p>
        </w:tc>
        <w:tc>
          <w:tcPr>
            <w:tcW w:w="1134" w:type="dxa"/>
            <w:vAlign w:val="center"/>
          </w:tcPr>
          <w:p w14:paraId="46C8D0E5">
            <w:pPr>
              <w:widowControl/>
              <w:jc w:val="center"/>
              <w:rPr>
                <w:rFonts w:ascii="Times New Roman" w:hAnsi="Times New Roman" w:cs="Times New Roman" w:eastAsiaTheme="minorEastAsia"/>
                <w:color w:val="auto"/>
                <w:spacing w:val="-20"/>
                <w:szCs w:val="21"/>
              </w:rPr>
            </w:pPr>
            <w:r>
              <w:rPr>
                <w:rFonts w:ascii="Times New Roman" w:hAnsi="Times New Roman" w:cs="Times New Roman" w:eastAsiaTheme="minorEastAsia"/>
                <w:color w:val="auto"/>
                <w:spacing w:val="-20"/>
                <w:szCs w:val="21"/>
              </w:rPr>
              <w:t>K</w:t>
            </w:r>
            <w:r>
              <w:rPr>
                <w:rFonts w:hint="eastAsia" w:ascii="Times New Roman" w:hAnsi="Times New Roman" w:cs="Times New Roman" w:eastAsiaTheme="minorEastAsia"/>
                <w:color w:val="auto"/>
                <w:spacing w:val="-20"/>
                <w:szCs w:val="21"/>
              </w:rPr>
              <w:t>59</w:t>
            </w:r>
            <w:r>
              <w:rPr>
                <w:rFonts w:ascii="Times New Roman" w:hAnsi="Times New Roman" w:cs="Times New Roman" w:eastAsiaTheme="minorEastAsia"/>
                <w:color w:val="auto"/>
                <w:spacing w:val="-20"/>
                <w:szCs w:val="21"/>
              </w:rPr>
              <w:t>+</w:t>
            </w:r>
            <w:r>
              <w:rPr>
                <w:rFonts w:hint="eastAsia" w:ascii="Times New Roman" w:hAnsi="Times New Roman" w:cs="Times New Roman" w:eastAsiaTheme="minorEastAsia"/>
                <w:color w:val="auto"/>
                <w:spacing w:val="-20"/>
                <w:szCs w:val="21"/>
              </w:rPr>
              <w:t>5</w:t>
            </w:r>
            <w:r>
              <w:rPr>
                <w:rFonts w:ascii="Times New Roman" w:hAnsi="Times New Roman" w:cs="Times New Roman" w:eastAsiaTheme="minorEastAsia"/>
                <w:color w:val="auto"/>
                <w:spacing w:val="-20"/>
                <w:szCs w:val="21"/>
              </w:rPr>
              <w:t>00</w:t>
            </w:r>
            <w:r>
              <w:rPr>
                <w:rFonts w:ascii="Times New Roman" w:cs="Times New Roman" w:hAnsiTheme="minorEastAsia" w:eastAsiaTheme="minorEastAsia"/>
                <w:color w:val="auto"/>
                <w:spacing w:val="-20"/>
                <w:szCs w:val="21"/>
              </w:rPr>
              <w:t>～</w:t>
            </w:r>
            <w:r>
              <w:rPr>
                <w:rFonts w:ascii="Times New Roman" w:hAnsi="Times New Roman" w:cs="Times New Roman" w:eastAsiaTheme="minorEastAsia"/>
                <w:color w:val="auto"/>
                <w:spacing w:val="-20"/>
                <w:szCs w:val="21"/>
              </w:rPr>
              <w:t>K</w:t>
            </w:r>
            <w:r>
              <w:rPr>
                <w:rFonts w:hint="eastAsia" w:ascii="Times New Roman" w:hAnsi="Times New Roman" w:cs="Times New Roman" w:eastAsiaTheme="minorEastAsia"/>
                <w:color w:val="auto"/>
                <w:spacing w:val="-20"/>
                <w:szCs w:val="21"/>
              </w:rPr>
              <w:t>59</w:t>
            </w:r>
            <w:r>
              <w:rPr>
                <w:rFonts w:ascii="Times New Roman" w:hAnsi="Times New Roman" w:cs="Times New Roman" w:eastAsiaTheme="minorEastAsia"/>
                <w:color w:val="auto"/>
                <w:spacing w:val="-20"/>
                <w:szCs w:val="21"/>
              </w:rPr>
              <w:t>+</w:t>
            </w:r>
            <w:r>
              <w:rPr>
                <w:rFonts w:hint="eastAsia" w:ascii="Times New Roman" w:hAnsi="Times New Roman" w:cs="Times New Roman" w:eastAsiaTheme="minorEastAsia"/>
                <w:color w:val="auto"/>
                <w:spacing w:val="-20"/>
                <w:szCs w:val="21"/>
              </w:rPr>
              <w:t>8</w:t>
            </w:r>
            <w:r>
              <w:rPr>
                <w:rFonts w:ascii="Times New Roman" w:hAnsi="Times New Roman" w:cs="Times New Roman" w:eastAsiaTheme="minorEastAsia"/>
                <w:color w:val="auto"/>
                <w:spacing w:val="-20"/>
                <w:szCs w:val="21"/>
              </w:rPr>
              <w:t>50</w:t>
            </w:r>
          </w:p>
        </w:tc>
        <w:tc>
          <w:tcPr>
            <w:tcW w:w="851" w:type="dxa"/>
            <w:vMerge w:val="continue"/>
            <w:vAlign w:val="center"/>
          </w:tcPr>
          <w:p w14:paraId="2375E7F7">
            <w:pPr>
              <w:jc w:val="center"/>
              <w:rPr>
                <w:rFonts w:ascii="Times New Roman" w:hAnsi="Times New Roman" w:cs="Times New Roman" w:eastAsiaTheme="minorEastAsia"/>
                <w:color w:val="auto"/>
                <w:spacing w:val="-20"/>
                <w:szCs w:val="21"/>
              </w:rPr>
            </w:pPr>
          </w:p>
        </w:tc>
        <w:tc>
          <w:tcPr>
            <w:tcW w:w="850" w:type="dxa"/>
            <w:vMerge w:val="continue"/>
            <w:vAlign w:val="center"/>
          </w:tcPr>
          <w:p w14:paraId="49194A11">
            <w:pPr>
              <w:widowControl/>
              <w:jc w:val="center"/>
              <w:rPr>
                <w:rFonts w:ascii="Times New Roman" w:hAnsi="Times New Roman" w:cs="Times New Roman" w:eastAsiaTheme="minorEastAsia"/>
                <w:color w:val="auto"/>
                <w:spacing w:val="-20"/>
                <w:kern w:val="0"/>
                <w:szCs w:val="21"/>
              </w:rPr>
            </w:pPr>
          </w:p>
        </w:tc>
        <w:tc>
          <w:tcPr>
            <w:tcW w:w="661" w:type="dxa"/>
            <w:vMerge w:val="continue"/>
            <w:vAlign w:val="center"/>
          </w:tcPr>
          <w:p w14:paraId="481F9627">
            <w:pPr>
              <w:widowControl/>
              <w:jc w:val="center"/>
              <w:rPr>
                <w:rFonts w:ascii="Times New Roman" w:hAnsi="Times New Roman" w:cs="Times New Roman" w:eastAsiaTheme="minorEastAsia"/>
                <w:color w:val="auto"/>
                <w:spacing w:val="-20"/>
                <w:szCs w:val="21"/>
              </w:rPr>
            </w:pPr>
          </w:p>
        </w:tc>
        <w:tc>
          <w:tcPr>
            <w:tcW w:w="662" w:type="dxa"/>
            <w:vMerge w:val="continue"/>
            <w:vAlign w:val="center"/>
          </w:tcPr>
          <w:p w14:paraId="78C08497">
            <w:pPr>
              <w:widowControl/>
              <w:jc w:val="center"/>
              <w:rPr>
                <w:rFonts w:ascii="Times New Roman" w:hAnsi="Times New Roman" w:cs="Times New Roman" w:eastAsiaTheme="minorEastAsia"/>
                <w:color w:val="auto"/>
                <w:spacing w:val="-20"/>
                <w:szCs w:val="21"/>
              </w:rPr>
            </w:pPr>
          </w:p>
        </w:tc>
        <w:tc>
          <w:tcPr>
            <w:tcW w:w="662" w:type="dxa"/>
            <w:vMerge w:val="continue"/>
            <w:vAlign w:val="center"/>
          </w:tcPr>
          <w:p w14:paraId="50FC9151">
            <w:pPr>
              <w:widowControl/>
              <w:jc w:val="center"/>
              <w:rPr>
                <w:rFonts w:ascii="Times New Roman" w:hAnsi="Times New Roman" w:cs="Times New Roman" w:eastAsiaTheme="minorEastAsia"/>
                <w:color w:val="auto"/>
                <w:spacing w:val="-20"/>
                <w:szCs w:val="21"/>
              </w:rPr>
            </w:pPr>
          </w:p>
        </w:tc>
        <w:tc>
          <w:tcPr>
            <w:tcW w:w="567" w:type="dxa"/>
            <w:vMerge w:val="continue"/>
            <w:vAlign w:val="center"/>
          </w:tcPr>
          <w:p w14:paraId="4C7E0EEA">
            <w:pPr>
              <w:widowControl/>
              <w:jc w:val="center"/>
              <w:rPr>
                <w:rFonts w:ascii="Times New Roman" w:hAnsi="Times New Roman" w:cs="Times New Roman" w:eastAsiaTheme="minorEastAsia"/>
                <w:color w:val="auto"/>
                <w:spacing w:val="-20"/>
                <w:szCs w:val="21"/>
              </w:rPr>
            </w:pPr>
          </w:p>
        </w:tc>
        <w:tc>
          <w:tcPr>
            <w:tcW w:w="708" w:type="dxa"/>
            <w:vMerge w:val="continue"/>
            <w:vAlign w:val="center"/>
          </w:tcPr>
          <w:p w14:paraId="76A25580">
            <w:pPr>
              <w:widowControl/>
              <w:jc w:val="center"/>
              <w:rPr>
                <w:rFonts w:ascii="Times New Roman" w:hAnsi="Times New Roman" w:cs="Times New Roman" w:eastAsiaTheme="minorEastAsia"/>
                <w:color w:val="auto"/>
                <w:spacing w:val="-20"/>
                <w:szCs w:val="21"/>
              </w:rPr>
            </w:pPr>
          </w:p>
        </w:tc>
        <w:tc>
          <w:tcPr>
            <w:tcW w:w="709" w:type="dxa"/>
            <w:vMerge w:val="continue"/>
            <w:vAlign w:val="center"/>
          </w:tcPr>
          <w:p w14:paraId="7CB3F2E5">
            <w:pPr>
              <w:widowControl/>
              <w:jc w:val="center"/>
              <w:rPr>
                <w:rFonts w:ascii="Times New Roman" w:hAnsi="Times New Roman" w:cs="Times New Roman" w:eastAsiaTheme="minorEastAsia"/>
                <w:color w:val="auto"/>
                <w:spacing w:val="-20"/>
                <w:kern w:val="0"/>
                <w:szCs w:val="21"/>
              </w:rPr>
            </w:pPr>
          </w:p>
        </w:tc>
        <w:tc>
          <w:tcPr>
            <w:tcW w:w="992" w:type="dxa"/>
            <w:vMerge w:val="continue"/>
            <w:vAlign w:val="center"/>
          </w:tcPr>
          <w:p w14:paraId="056A840B">
            <w:pPr>
              <w:widowControl/>
              <w:jc w:val="center"/>
              <w:rPr>
                <w:rFonts w:ascii="Times New Roman" w:hAnsi="Times New Roman" w:cs="Times New Roman" w:eastAsiaTheme="minorEastAsia"/>
                <w:color w:val="auto"/>
                <w:spacing w:val="-20"/>
                <w:kern w:val="0"/>
                <w:szCs w:val="21"/>
              </w:rPr>
            </w:pPr>
          </w:p>
        </w:tc>
        <w:tc>
          <w:tcPr>
            <w:tcW w:w="993" w:type="dxa"/>
            <w:vMerge w:val="continue"/>
            <w:vAlign w:val="center"/>
          </w:tcPr>
          <w:p w14:paraId="73305A84">
            <w:pPr>
              <w:widowControl/>
              <w:jc w:val="center"/>
              <w:rPr>
                <w:rFonts w:ascii="Times New Roman" w:hAnsi="Times New Roman" w:cs="Times New Roman" w:eastAsiaTheme="minorEastAsia"/>
                <w:color w:val="auto"/>
                <w:spacing w:val="-20"/>
                <w:kern w:val="0"/>
                <w:szCs w:val="21"/>
              </w:rPr>
            </w:pPr>
          </w:p>
        </w:tc>
        <w:tc>
          <w:tcPr>
            <w:tcW w:w="567" w:type="dxa"/>
            <w:vMerge w:val="continue"/>
            <w:vAlign w:val="center"/>
          </w:tcPr>
          <w:p w14:paraId="5163F3C0">
            <w:pPr>
              <w:widowControl/>
              <w:jc w:val="center"/>
              <w:rPr>
                <w:rFonts w:ascii="Times New Roman" w:hAnsi="Times New Roman" w:cs="Times New Roman" w:eastAsiaTheme="minorEastAsia"/>
                <w:color w:val="auto"/>
                <w:spacing w:val="-20"/>
                <w:kern w:val="0"/>
                <w:szCs w:val="21"/>
              </w:rPr>
            </w:pPr>
          </w:p>
        </w:tc>
        <w:tc>
          <w:tcPr>
            <w:tcW w:w="992" w:type="dxa"/>
            <w:vMerge w:val="continue"/>
            <w:vAlign w:val="center"/>
          </w:tcPr>
          <w:p w14:paraId="52E9C9AE">
            <w:pPr>
              <w:widowControl/>
              <w:jc w:val="center"/>
              <w:rPr>
                <w:rFonts w:ascii="Times New Roman" w:hAnsi="Times New Roman" w:cs="Times New Roman" w:eastAsiaTheme="minorEastAsia"/>
                <w:color w:val="auto"/>
                <w:spacing w:val="-20"/>
                <w:kern w:val="0"/>
                <w:szCs w:val="21"/>
              </w:rPr>
            </w:pPr>
          </w:p>
        </w:tc>
        <w:tc>
          <w:tcPr>
            <w:tcW w:w="709" w:type="dxa"/>
            <w:vMerge w:val="continue"/>
            <w:vAlign w:val="center"/>
          </w:tcPr>
          <w:p w14:paraId="275FE914">
            <w:pPr>
              <w:widowControl/>
              <w:jc w:val="center"/>
              <w:rPr>
                <w:rFonts w:ascii="Times New Roman" w:hAnsi="Times New Roman" w:cs="Times New Roman" w:eastAsiaTheme="minorEastAsia"/>
                <w:color w:val="auto"/>
                <w:spacing w:val="-20"/>
                <w:kern w:val="0"/>
                <w:szCs w:val="21"/>
              </w:rPr>
            </w:pPr>
          </w:p>
        </w:tc>
        <w:tc>
          <w:tcPr>
            <w:tcW w:w="708" w:type="dxa"/>
            <w:vMerge w:val="continue"/>
            <w:vAlign w:val="center"/>
          </w:tcPr>
          <w:p w14:paraId="4F8E0865">
            <w:pPr>
              <w:widowControl/>
              <w:jc w:val="center"/>
              <w:rPr>
                <w:rFonts w:ascii="Times New Roman" w:hAnsi="Times New Roman" w:cs="Times New Roman" w:eastAsiaTheme="minorEastAsia"/>
                <w:color w:val="auto"/>
                <w:spacing w:val="-20"/>
                <w:kern w:val="0"/>
                <w:szCs w:val="21"/>
              </w:rPr>
            </w:pPr>
          </w:p>
        </w:tc>
        <w:tc>
          <w:tcPr>
            <w:tcW w:w="4582" w:type="dxa"/>
            <w:vMerge w:val="continue"/>
            <w:vAlign w:val="center"/>
          </w:tcPr>
          <w:p w14:paraId="574C427F">
            <w:pPr>
              <w:widowControl/>
              <w:rPr>
                <w:rFonts w:ascii="Times New Roman" w:hAnsi="Times New Roman" w:cs="Times New Roman" w:eastAsiaTheme="minorEastAsia"/>
                <w:color w:val="auto"/>
                <w:spacing w:val="-20"/>
                <w:kern w:val="0"/>
                <w:szCs w:val="21"/>
              </w:rPr>
            </w:pPr>
          </w:p>
        </w:tc>
        <w:tc>
          <w:tcPr>
            <w:tcW w:w="2898" w:type="dxa"/>
            <w:vMerge w:val="continue"/>
            <w:vAlign w:val="center"/>
          </w:tcPr>
          <w:p w14:paraId="71971349">
            <w:pPr>
              <w:widowControl/>
              <w:adjustRightInd w:val="0"/>
              <w:snapToGrid w:val="0"/>
              <w:jc w:val="center"/>
              <w:rPr>
                <w:rFonts w:ascii="Times New Roman" w:hAnsi="Times New Roman" w:cs="Times New Roman" w:eastAsiaTheme="minorEastAsia"/>
                <w:snapToGrid w:val="0"/>
                <w:color w:val="auto"/>
                <w:spacing w:val="-20"/>
                <w:kern w:val="0"/>
                <w:szCs w:val="21"/>
              </w:rPr>
            </w:pPr>
          </w:p>
        </w:tc>
      </w:tr>
    </w:tbl>
    <w:p w14:paraId="6E1D5440">
      <w:pPr>
        <w:rPr>
          <w:rFonts w:ascii="Times New Roman" w:hAnsi="Times New Roman" w:eastAsia="宋体" w:cs="Times New Roman"/>
          <w:color w:val="auto"/>
          <w:szCs w:val="21"/>
        </w:rPr>
      </w:pPr>
      <w:r>
        <w:rPr>
          <w:rFonts w:hint="eastAsia" w:ascii="Times New Roman" w:hAnsi="Times New Roman" w:eastAsia="宋体" w:cs="Times New Roman"/>
          <w:color w:val="auto"/>
          <w:szCs w:val="21"/>
        </w:rPr>
        <w:t>（接下页）</w:t>
      </w:r>
    </w:p>
    <w:p w14:paraId="78BE5D43">
      <w:pPr>
        <w:widowControl/>
        <w:spacing w:beforeLines="50"/>
        <w:jc w:val="center"/>
        <w:rPr>
          <w:rFonts w:ascii="Times New Roman" w:hAnsi="Times New Roman" w:cs="Times New Roman" w:eastAsiaTheme="minorEastAsia"/>
          <w:color w:val="auto"/>
          <w:szCs w:val="21"/>
        </w:rPr>
      </w:pPr>
      <w:r>
        <w:rPr>
          <w:rFonts w:ascii="Times New Roman" w:cs="Times New Roman" w:hAnsiTheme="minorEastAsia" w:eastAsiaTheme="minorEastAsia"/>
          <w:b/>
          <w:color w:val="auto"/>
          <w:szCs w:val="21"/>
        </w:rPr>
        <w:br w:type="page"/>
      </w:r>
      <w:r>
        <w:rPr>
          <w:rFonts w:ascii="Times New Roman" w:cs="Times New Roman" w:hAnsiTheme="minorEastAsia" w:eastAsiaTheme="minorEastAsia"/>
          <w:b/>
          <w:color w:val="auto"/>
          <w:szCs w:val="21"/>
        </w:rPr>
        <w:t>续</w:t>
      </w:r>
      <w:r>
        <w:rPr>
          <w:rFonts w:hint="eastAsia" w:ascii="Times New Roman" w:cs="Times New Roman" w:hAnsiTheme="minorEastAsia" w:eastAsiaTheme="minorEastAsia"/>
          <w:b/>
          <w:color w:val="auto"/>
          <w:szCs w:val="21"/>
        </w:rPr>
        <w:t xml:space="preserve"> </w:t>
      </w:r>
      <w:r>
        <w:rPr>
          <w:rFonts w:ascii="Times New Roman" w:cs="Times New Roman" w:hAnsiTheme="minorEastAsia" w:eastAsiaTheme="minorEastAsia"/>
          <w:b/>
          <w:color w:val="auto"/>
          <w:szCs w:val="21"/>
        </w:rPr>
        <w:t>表</w:t>
      </w:r>
      <w:r>
        <w:rPr>
          <w:rFonts w:ascii="Times New Roman" w:hAnsi="Times New Roman" w:cs="Times New Roman" w:eastAsiaTheme="minorEastAsia"/>
          <w:b/>
          <w:color w:val="auto"/>
          <w:szCs w:val="21"/>
        </w:rPr>
        <w:t>1.</w:t>
      </w:r>
      <w:r>
        <w:rPr>
          <w:rFonts w:hint="eastAsia" w:ascii="Times New Roman" w:hAnsi="Times New Roman" w:cs="Times New Roman" w:eastAsiaTheme="minorEastAsia"/>
          <w:b/>
          <w:color w:val="auto"/>
          <w:szCs w:val="21"/>
        </w:rPr>
        <w:t>6</w:t>
      </w:r>
      <w:r>
        <w:rPr>
          <w:rFonts w:ascii="Times New Roman" w:hAnsi="Times New Roman" w:cs="Times New Roman" w:eastAsiaTheme="minorEastAsia"/>
          <w:b/>
          <w:color w:val="auto"/>
          <w:szCs w:val="21"/>
        </w:rPr>
        <w:t>-</w:t>
      </w:r>
      <w:r>
        <w:rPr>
          <w:rFonts w:hint="eastAsia" w:ascii="Times New Roman" w:hAnsi="Times New Roman" w:cs="Times New Roman" w:eastAsiaTheme="minorEastAsia"/>
          <w:b/>
          <w:color w:val="auto"/>
          <w:szCs w:val="21"/>
        </w:rPr>
        <w:t>2</w:t>
      </w:r>
      <w:r>
        <w:rPr>
          <w:rFonts w:ascii="Times New Roman" w:hAnsi="Times New Roman" w:cs="Times New Roman" w:eastAsiaTheme="minorEastAsia"/>
          <w:b/>
          <w:color w:val="auto"/>
          <w:szCs w:val="21"/>
        </w:rPr>
        <w:t xml:space="preserve">  </w:t>
      </w:r>
      <w:r>
        <w:rPr>
          <w:rFonts w:ascii="Times New Roman" w:cs="Times New Roman" w:hAnsiTheme="minorEastAsia" w:eastAsiaTheme="minorEastAsia"/>
          <w:b/>
          <w:color w:val="auto"/>
          <w:szCs w:val="21"/>
        </w:rPr>
        <w:t>拟建公路沿线声环境敏感点一览表</w:t>
      </w:r>
    </w:p>
    <w:tbl>
      <w:tblPr>
        <w:tblStyle w:val="22"/>
        <w:tblW w:w="20290" w:type="dxa"/>
        <w:jc w:val="center"/>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68"/>
        <w:gridCol w:w="694"/>
        <w:gridCol w:w="1134"/>
        <w:gridCol w:w="851"/>
        <w:gridCol w:w="850"/>
        <w:gridCol w:w="661"/>
        <w:gridCol w:w="662"/>
        <w:gridCol w:w="662"/>
        <w:gridCol w:w="567"/>
        <w:gridCol w:w="708"/>
        <w:gridCol w:w="709"/>
        <w:gridCol w:w="992"/>
        <w:gridCol w:w="993"/>
        <w:gridCol w:w="567"/>
        <w:gridCol w:w="992"/>
        <w:gridCol w:w="709"/>
        <w:gridCol w:w="708"/>
        <w:gridCol w:w="4365"/>
        <w:gridCol w:w="2898"/>
      </w:tblGrid>
      <w:tr w14:paraId="13A9C17E">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460" w:hRule="atLeast"/>
          <w:tblHeader/>
          <w:jc w:val="center"/>
        </w:trPr>
        <w:tc>
          <w:tcPr>
            <w:tcW w:w="568" w:type="dxa"/>
            <w:vMerge w:val="restart"/>
            <w:noWrap/>
            <w:vAlign w:val="center"/>
          </w:tcPr>
          <w:p w14:paraId="6E849BAF">
            <w:pPr>
              <w:widowControl/>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序号</w:t>
            </w:r>
          </w:p>
        </w:tc>
        <w:tc>
          <w:tcPr>
            <w:tcW w:w="694" w:type="dxa"/>
            <w:vMerge w:val="restart"/>
            <w:vAlign w:val="center"/>
          </w:tcPr>
          <w:p w14:paraId="552AD13E">
            <w:pPr>
              <w:widowControl/>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路段</w:t>
            </w:r>
          </w:p>
        </w:tc>
        <w:tc>
          <w:tcPr>
            <w:tcW w:w="1134" w:type="dxa"/>
            <w:vMerge w:val="restart"/>
            <w:vAlign w:val="center"/>
          </w:tcPr>
          <w:p w14:paraId="1F023632">
            <w:pPr>
              <w:widowControl/>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桩号</w:t>
            </w:r>
          </w:p>
        </w:tc>
        <w:tc>
          <w:tcPr>
            <w:tcW w:w="851" w:type="dxa"/>
            <w:vMerge w:val="restart"/>
            <w:vAlign w:val="center"/>
          </w:tcPr>
          <w:p w14:paraId="5CB8B08E">
            <w:pPr>
              <w:widowControl/>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敏感点名称</w:t>
            </w:r>
          </w:p>
        </w:tc>
        <w:tc>
          <w:tcPr>
            <w:tcW w:w="850" w:type="dxa"/>
            <w:vMerge w:val="restart"/>
            <w:vAlign w:val="center"/>
          </w:tcPr>
          <w:p w14:paraId="507FA509">
            <w:pPr>
              <w:widowControl/>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行政区划</w:t>
            </w:r>
          </w:p>
        </w:tc>
        <w:tc>
          <w:tcPr>
            <w:tcW w:w="1985" w:type="dxa"/>
            <w:gridSpan w:val="3"/>
            <w:vAlign w:val="center"/>
          </w:tcPr>
          <w:p w14:paraId="1D7F87E0">
            <w:pPr>
              <w:widowControl/>
              <w:jc w:val="center"/>
              <w:rPr>
                <w:rFonts w:ascii="Times New Roman" w:hAnsi="Times New Roman" w:cs="Times New Roman" w:eastAsiaTheme="minorEastAsia"/>
                <w:b/>
                <w:bCs/>
                <w:color w:val="auto"/>
                <w:spacing w:val="-20"/>
                <w:kern w:val="0"/>
                <w:szCs w:val="21"/>
              </w:rPr>
            </w:pPr>
            <w:r>
              <w:rPr>
                <w:rFonts w:ascii="Times New Roman" w:hAnsi="Times New Roman" w:cs="Times New Roman" w:eastAsiaTheme="minorEastAsia"/>
                <w:b/>
                <w:bCs/>
                <w:color w:val="auto"/>
                <w:spacing w:val="-20"/>
                <w:kern w:val="0"/>
                <w:szCs w:val="21"/>
              </w:rPr>
              <w:t>改扩建</w:t>
            </w:r>
            <w:r>
              <w:rPr>
                <w:rFonts w:hint="eastAsia" w:ascii="Times New Roman" w:hAnsi="Times New Roman" w:cs="Times New Roman" w:eastAsiaTheme="minorEastAsia"/>
                <w:b/>
                <w:bCs/>
                <w:color w:val="auto"/>
                <w:spacing w:val="-20"/>
                <w:kern w:val="0"/>
                <w:szCs w:val="21"/>
              </w:rPr>
              <w:t>前</w:t>
            </w:r>
            <w:r>
              <w:rPr>
                <w:rFonts w:ascii="Times New Roman" w:hAnsi="Times New Roman" w:cs="Times New Roman" w:eastAsiaTheme="minorEastAsia"/>
                <w:b/>
                <w:bCs/>
                <w:color w:val="auto"/>
                <w:spacing w:val="-20"/>
                <w:kern w:val="0"/>
                <w:szCs w:val="21"/>
              </w:rPr>
              <w:t>位置关系</w:t>
            </w:r>
          </w:p>
        </w:tc>
        <w:tc>
          <w:tcPr>
            <w:tcW w:w="1984" w:type="dxa"/>
            <w:gridSpan w:val="3"/>
            <w:vAlign w:val="center"/>
          </w:tcPr>
          <w:p w14:paraId="1CB77D08">
            <w:pPr>
              <w:widowControl/>
              <w:jc w:val="center"/>
              <w:rPr>
                <w:rFonts w:ascii="Times New Roman" w:hAnsi="Times New Roman" w:cs="Times New Roman" w:eastAsiaTheme="minorEastAsia"/>
                <w:b/>
                <w:bCs/>
                <w:color w:val="auto"/>
                <w:spacing w:val="-20"/>
                <w:kern w:val="0"/>
                <w:szCs w:val="21"/>
              </w:rPr>
            </w:pPr>
            <w:r>
              <w:rPr>
                <w:rFonts w:ascii="Times New Roman" w:hAnsi="Times New Roman" w:cs="Times New Roman" w:eastAsiaTheme="minorEastAsia"/>
                <w:b/>
                <w:bCs/>
                <w:color w:val="auto"/>
                <w:spacing w:val="-20"/>
                <w:kern w:val="0"/>
                <w:szCs w:val="21"/>
              </w:rPr>
              <w:t>改扩建后位置关系</w:t>
            </w:r>
          </w:p>
        </w:tc>
        <w:tc>
          <w:tcPr>
            <w:tcW w:w="992" w:type="dxa"/>
            <w:vMerge w:val="restart"/>
            <w:vAlign w:val="center"/>
          </w:tcPr>
          <w:p w14:paraId="5E05FBAB">
            <w:pPr>
              <w:widowControl/>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预测点地面高</w:t>
            </w:r>
            <w:r>
              <w:rPr>
                <w:rFonts w:ascii="Times New Roman" w:hAnsi="Times New Roman" w:cs="Times New Roman" w:eastAsiaTheme="minorEastAsia"/>
                <w:b/>
                <w:bCs/>
                <w:color w:val="auto"/>
                <w:spacing w:val="-20"/>
                <w:kern w:val="0"/>
                <w:szCs w:val="21"/>
              </w:rPr>
              <w:t>-</w:t>
            </w:r>
            <w:r>
              <w:rPr>
                <w:rFonts w:ascii="Times New Roman" w:cs="Times New Roman" w:hAnsiTheme="minorEastAsia" w:eastAsiaTheme="minorEastAsia"/>
                <w:b/>
                <w:bCs/>
                <w:color w:val="auto"/>
                <w:spacing w:val="-20"/>
                <w:kern w:val="0"/>
                <w:szCs w:val="21"/>
              </w:rPr>
              <w:t>路基地面高</w:t>
            </w:r>
            <w:r>
              <w:rPr>
                <w:rFonts w:ascii="Times New Roman" w:hAnsi="Times New Roman" w:cs="Times New Roman" w:eastAsiaTheme="minorEastAsia"/>
                <w:b/>
                <w:bCs/>
                <w:color w:val="auto"/>
                <w:spacing w:val="-20"/>
                <w:kern w:val="0"/>
                <w:szCs w:val="21"/>
              </w:rPr>
              <w:t>(m)</w:t>
            </w:r>
          </w:p>
        </w:tc>
        <w:tc>
          <w:tcPr>
            <w:tcW w:w="993" w:type="dxa"/>
            <w:vMerge w:val="restart"/>
            <w:vAlign w:val="center"/>
          </w:tcPr>
          <w:p w14:paraId="7038479B">
            <w:pPr>
              <w:widowControl/>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路基填挖高度或桥高</w:t>
            </w:r>
            <w:r>
              <w:rPr>
                <w:rFonts w:ascii="Times New Roman" w:hAnsi="Times New Roman" w:cs="Times New Roman" w:eastAsiaTheme="minorEastAsia"/>
                <w:b/>
                <w:bCs/>
                <w:color w:val="auto"/>
                <w:spacing w:val="-20"/>
                <w:kern w:val="0"/>
                <w:szCs w:val="21"/>
              </w:rPr>
              <w:t>(m)</w:t>
            </w:r>
          </w:p>
        </w:tc>
        <w:tc>
          <w:tcPr>
            <w:tcW w:w="567" w:type="dxa"/>
            <w:vMerge w:val="restart"/>
            <w:noWrap/>
            <w:vAlign w:val="center"/>
          </w:tcPr>
          <w:p w14:paraId="33FED04A">
            <w:pPr>
              <w:widowControl/>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工程形式</w:t>
            </w:r>
          </w:p>
        </w:tc>
        <w:tc>
          <w:tcPr>
            <w:tcW w:w="992" w:type="dxa"/>
            <w:vMerge w:val="restart"/>
            <w:vAlign w:val="center"/>
          </w:tcPr>
          <w:p w14:paraId="5D75B063">
            <w:pPr>
              <w:widowControl/>
              <w:jc w:val="center"/>
              <w:rPr>
                <w:rFonts w:ascii="Times New Roman" w:hAnsi="Times New Roman" w:cs="Times New Roman" w:eastAsiaTheme="minorEastAsia"/>
                <w:b/>
                <w:bCs/>
                <w:color w:val="auto"/>
                <w:spacing w:val="-20"/>
                <w:kern w:val="0"/>
                <w:szCs w:val="21"/>
              </w:rPr>
            </w:pPr>
            <w:r>
              <w:rPr>
                <w:rFonts w:hint="eastAsia" w:ascii="Times New Roman" w:cs="Times New Roman" w:hAnsiTheme="minorEastAsia" w:eastAsiaTheme="minorEastAsia"/>
                <w:b/>
                <w:bCs/>
                <w:color w:val="auto"/>
                <w:spacing w:val="-20"/>
                <w:kern w:val="0"/>
                <w:szCs w:val="21"/>
              </w:rPr>
              <w:t>改扩建</w:t>
            </w:r>
            <w:r>
              <w:rPr>
                <w:rFonts w:ascii="Times New Roman" w:cs="Times New Roman" w:hAnsiTheme="minorEastAsia" w:eastAsiaTheme="minorEastAsia"/>
                <w:b/>
                <w:bCs/>
                <w:color w:val="auto"/>
                <w:spacing w:val="-20"/>
                <w:kern w:val="0"/>
                <w:szCs w:val="21"/>
              </w:rPr>
              <w:t>后功能区分界</w:t>
            </w:r>
            <w:r>
              <w:rPr>
                <w:rFonts w:ascii="Times New Roman" w:hAnsi="Times New Roman" w:cs="Times New Roman" w:eastAsiaTheme="minorEastAsia"/>
                <w:b/>
                <w:bCs/>
                <w:color w:val="auto"/>
                <w:spacing w:val="-20"/>
                <w:kern w:val="0"/>
                <w:szCs w:val="21"/>
              </w:rPr>
              <w:t>(m)</w:t>
            </w:r>
          </w:p>
        </w:tc>
        <w:tc>
          <w:tcPr>
            <w:tcW w:w="1417" w:type="dxa"/>
            <w:gridSpan w:val="2"/>
            <w:vAlign w:val="center"/>
          </w:tcPr>
          <w:p w14:paraId="21C8EC52">
            <w:pPr>
              <w:widowControl/>
              <w:jc w:val="center"/>
              <w:rPr>
                <w:rFonts w:ascii="Times New Roman" w:hAnsi="Times New Roman" w:cs="Times New Roman" w:eastAsiaTheme="minorEastAsia"/>
                <w:b/>
                <w:bCs/>
                <w:color w:val="auto"/>
                <w:spacing w:val="-20"/>
                <w:kern w:val="0"/>
                <w:szCs w:val="21"/>
              </w:rPr>
            </w:pPr>
            <w:r>
              <w:rPr>
                <w:rFonts w:hint="eastAsia" w:ascii="Times New Roman" w:cs="Times New Roman" w:hAnsiTheme="minorEastAsia" w:eastAsiaTheme="minorEastAsia"/>
                <w:b/>
                <w:bCs/>
                <w:color w:val="auto"/>
                <w:spacing w:val="-20"/>
                <w:kern w:val="0"/>
                <w:szCs w:val="21"/>
              </w:rPr>
              <w:t>改扩建</w:t>
            </w:r>
            <w:r>
              <w:rPr>
                <w:rFonts w:ascii="Times New Roman" w:cs="Times New Roman" w:hAnsiTheme="minorEastAsia" w:eastAsiaTheme="minorEastAsia"/>
                <w:b/>
                <w:bCs/>
                <w:color w:val="auto"/>
                <w:spacing w:val="-20"/>
                <w:kern w:val="0"/>
                <w:szCs w:val="21"/>
              </w:rPr>
              <w:t>后受影响户数</w:t>
            </w:r>
            <w:r>
              <w:rPr>
                <w:rFonts w:ascii="Times New Roman" w:hAnsi="Times New Roman" w:cs="Times New Roman" w:eastAsiaTheme="minorEastAsia"/>
                <w:b/>
                <w:bCs/>
                <w:color w:val="auto"/>
                <w:spacing w:val="-20"/>
                <w:kern w:val="0"/>
                <w:szCs w:val="21"/>
              </w:rPr>
              <w:t>(</w:t>
            </w:r>
            <w:r>
              <w:rPr>
                <w:rFonts w:ascii="Times New Roman" w:cs="Times New Roman" w:hAnsiTheme="minorEastAsia" w:eastAsiaTheme="minorEastAsia"/>
                <w:b/>
                <w:bCs/>
                <w:color w:val="auto"/>
                <w:spacing w:val="-20"/>
                <w:kern w:val="0"/>
                <w:szCs w:val="21"/>
              </w:rPr>
              <w:t>户</w:t>
            </w:r>
            <w:r>
              <w:rPr>
                <w:rFonts w:ascii="Times New Roman" w:hAnsi="Times New Roman" w:cs="Times New Roman" w:eastAsiaTheme="minorEastAsia"/>
                <w:b/>
                <w:bCs/>
                <w:color w:val="auto"/>
                <w:spacing w:val="-20"/>
                <w:kern w:val="0"/>
                <w:szCs w:val="21"/>
              </w:rPr>
              <w:t>)</w:t>
            </w:r>
          </w:p>
        </w:tc>
        <w:tc>
          <w:tcPr>
            <w:tcW w:w="4365" w:type="dxa"/>
            <w:vMerge w:val="restart"/>
            <w:vAlign w:val="center"/>
          </w:tcPr>
          <w:p w14:paraId="2A442D66">
            <w:pPr>
              <w:widowControl/>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敏感点及环境特征</w:t>
            </w:r>
          </w:p>
        </w:tc>
        <w:tc>
          <w:tcPr>
            <w:tcW w:w="2898" w:type="dxa"/>
            <w:vMerge w:val="restart"/>
            <w:vAlign w:val="center"/>
          </w:tcPr>
          <w:p w14:paraId="10508209">
            <w:pPr>
              <w:widowControl/>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照片</w:t>
            </w:r>
          </w:p>
        </w:tc>
      </w:tr>
      <w:tr w14:paraId="5A6B294C">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461" w:hRule="atLeast"/>
          <w:tblHeader/>
          <w:jc w:val="center"/>
        </w:trPr>
        <w:tc>
          <w:tcPr>
            <w:tcW w:w="568" w:type="dxa"/>
            <w:vMerge w:val="continue"/>
            <w:noWrap/>
            <w:vAlign w:val="center"/>
          </w:tcPr>
          <w:p w14:paraId="107A8B33">
            <w:pPr>
              <w:widowControl/>
              <w:jc w:val="center"/>
              <w:rPr>
                <w:rFonts w:ascii="Times New Roman" w:hAnsi="Times New Roman" w:cs="Times New Roman" w:eastAsiaTheme="minorEastAsia"/>
                <w:b/>
                <w:bCs/>
                <w:color w:val="auto"/>
                <w:spacing w:val="-20"/>
                <w:kern w:val="0"/>
                <w:szCs w:val="21"/>
              </w:rPr>
            </w:pPr>
          </w:p>
        </w:tc>
        <w:tc>
          <w:tcPr>
            <w:tcW w:w="694" w:type="dxa"/>
            <w:vMerge w:val="continue"/>
            <w:vAlign w:val="center"/>
          </w:tcPr>
          <w:p w14:paraId="24AC38C6">
            <w:pPr>
              <w:widowControl/>
              <w:jc w:val="center"/>
              <w:rPr>
                <w:rFonts w:ascii="Times New Roman" w:hAnsi="Times New Roman" w:cs="Times New Roman" w:eastAsiaTheme="minorEastAsia"/>
                <w:b/>
                <w:bCs/>
                <w:color w:val="auto"/>
                <w:spacing w:val="-20"/>
                <w:kern w:val="0"/>
                <w:szCs w:val="21"/>
              </w:rPr>
            </w:pPr>
          </w:p>
        </w:tc>
        <w:tc>
          <w:tcPr>
            <w:tcW w:w="1134" w:type="dxa"/>
            <w:vMerge w:val="continue"/>
            <w:vAlign w:val="center"/>
          </w:tcPr>
          <w:p w14:paraId="246B063D">
            <w:pPr>
              <w:widowControl/>
              <w:jc w:val="center"/>
              <w:rPr>
                <w:rFonts w:ascii="Times New Roman" w:hAnsi="Times New Roman" w:cs="Times New Roman" w:eastAsiaTheme="minorEastAsia"/>
                <w:b/>
                <w:bCs/>
                <w:color w:val="auto"/>
                <w:spacing w:val="-20"/>
                <w:kern w:val="0"/>
                <w:szCs w:val="21"/>
              </w:rPr>
            </w:pPr>
          </w:p>
        </w:tc>
        <w:tc>
          <w:tcPr>
            <w:tcW w:w="851" w:type="dxa"/>
            <w:vMerge w:val="continue"/>
            <w:vAlign w:val="center"/>
          </w:tcPr>
          <w:p w14:paraId="0BE86D23">
            <w:pPr>
              <w:widowControl/>
              <w:jc w:val="center"/>
              <w:rPr>
                <w:rFonts w:ascii="Times New Roman" w:hAnsi="Times New Roman" w:cs="Times New Roman" w:eastAsiaTheme="minorEastAsia"/>
                <w:b/>
                <w:bCs/>
                <w:color w:val="auto"/>
                <w:spacing w:val="-20"/>
                <w:kern w:val="0"/>
                <w:szCs w:val="21"/>
              </w:rPr>
            </w:pPr>
          </w:p>
        </w:tc>
        <w:tc>
          <w:tcPr>
            <w:tcW w:w="850" w:type="dxa"/>
            <w:vMerge w:val="continue"/>
            <w:vAlign w:val="center"/>
          </w:tcPr>
          <w:p w14:paraId="4D0B196B">
            <w:pPr>
              <w:widowControl/>
              <w:jc w:val="center"/>
              <w:rPr>
                <w:rFonts w:ascii="Times New Roman" w:hAnsi="Times New Roman" w:cs="Times New Roman" w:eastAsiaTheme="minorEastAsia"/>
                <w:b/>
                <w:bCs/>
                <w:color w:val="auto"/>
                <w:spacing w:val="-20"/>
                <w:kern w:val="0"/>
                <w:szCs w:val="21"/>
              </w:rPr>
            </w:pPr>
          </w:p>
        </w:tc>
        <w:tc>
          <w:tcPr>
            <w:tcW w:w="661" w:type="dxa"/>
            <w:vAlign w:val="center"/>
          </w:tcPr>
          <w:p w14:paraId="56AA332C">
            <w:pPr>
              <w:widowControl/>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方位</w:t>
            </w:r>
          </w:p>
        </w:tc>
        <w:tc>
          <w:tcPr>
            <w:tcW w:w="662" w:type="dxa"/>
            <w:vAlign w:val="center"/>
          </w:tcPr>
          <w:p w14:paraId="7C33193B">
            <w:pPr>
              <w:widowControl/>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距路中</w:t>
            </w:r>
            <w:r>
              <w:rPr>
                <w:rFonts w:ascii="Times New Roman" w:hAnsi="Times New Roman" w:cs="Times New Roman" w:eastAsiaTheme="minorEastAsia"/>
                <w:b/>
                <w:bCs/>
                <w:color w:val="auto"/>
                <w:spacing w:val="-20"/>
                <w:kern w:val="0"/>
                <w:szCs w:val="21"/>
              </w:rPr>
              <w:t>(m)</w:t>
            </w:r>
          </w:p>
        </w:tc>
        <w:tc>
          <w:tcPr>
            <w:tcW w:w="662" w:type="dxa"/>
            <w:vAlign w:val="center"/>
          </w:tcPr>
          <w:p w14:paraId="3B8280D7">
            <w:pPr>
              <w:widowControl/>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距红线</w:t>
            </w:r>
            <w:r>
              <w:rPr>
                <w:rFonts w:ascii="Times New Roman" w:hAnsi="Times New Roman" w:cs="Times New Roman" w:eastAsiaTheme="minorEastAsia"/>
                <w:b/>
                <w:bCs/>
                <w:color w:val="auto"/>
                <w:spacing w:val="-20"/>
                <w:kern w:val="0"/>
                <w:szCs w:val="21"/>
              </w:rPr>
              <w:t>(m)</w:t>
            </w:r>
          </w:p>
        </w:tc>
        <w:tc>
          <w:tcPr>
            <w:tcW w:w="567" w:type="dxa"/>
            <w:vAlign w:val="center"/>
          </w:tcPr>
          <w:p w14:paraId="7DB2EC7C">
            <w:pPr>
              <w:widowControl/>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方位</w:t>
            </w:r>
          </w:p>
        </w:tc>
        <w:tc>
          <w:tcPr>
            <w:tcW w:w="708" w:type="dxa"/>
            <w:vAlign w:val="center"/>
          </w:tcPr>
          <w:p w14:paraId="0FCFBA44">
            <w:pPr>
              <w:widowControl/>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距路中</w:t>
            </w:r>
            <w:r>
              <w:rPr>
                <w:rFonts w:ascii="Times New Roman" w:hAnsi="Times New Roman" w:cs="Times New Roman" w:eastAsiaTheme="minorEastAsia"/>
                <w:b/>
                <w:bCs/>
                <w:color w:val="auto"/>
                <w:spacing w:val="-20"/>
                <w:kern w:val="0"/>
                <w:szCs w:val="21"/>
              </w:rPr>
              <w:t>(m)</w:t>
            </w:r>
          </w:p>
        </w:tc>
        <w:tc>
          <w:tcPr>
            <w:tcW w:w="709" w:type="dxa"/>
            <w:vAlign w:val="center"/>
          </w:tcPr>
          <w:p w14:paraId="0630D1DA">
            <w:pPr>
              <w:widowControl/>
              <w:jc w:val="center"/>
              <w:rPr>
                <w:rFonts w:ascii="Times New Roman" w:hAnsi="Times New Roman" w:cs="Times New Roman" w:eastAsiaTheme="minorEastAsia"/>
                <w:b/>
                <w:bCs/>
                <w:color w:val="auto"/>
                <w:spacing w:val="-20"/>
                <w:kern w:val="0"/>
                <w:szCs w:val="21"/>
              </w:rPr>
            </w:pPr>
            <w:r>
              <w:rPr>
                <w:rFonts w:ascii="Times New Roman" w:cs="Times New Roman" w:hAnsiTheme="minorEastAsia" w:eastAsiaTheme="minorEastAsia"/>
                <w:b/>
                <w:bCs/>
                <w:color w:val="auto"/>
                <w:spacing w:val="-20"/>
                <w:kern w:val="0"/>
                <w:szCs w:val="21"/>
              </w:rPr>
              <w:t>距红线</w:t>
            </w:r>
            <w:r>
              <w:rPr>
                <w:rFonts w:ascii="Times New Roman" w:hAnsi="Times New Roman" w:cs="Times New Roman" w:eastAsiaTheme="minorEastAsia"/>
                <w:b/>
                <w:bCs/>
                <w:color w:val="auto"/>
                <w:spacing w:val="-20"/>
                <w:kern w:val="0"/>
                <w:szCs w:val="21"/>
              </w:rPr>
              <w:t>(m)</w:t>
            </w:r>
          </w:p>
        </w:tc>
        <w:tc>
          <w:tcPr>
            <w:tcW w:w="992" w:type="dxa"/>
            <w:vMerge w:val="continue"/>
            <w:vAlign w:val="center"/>
          </w:tcPr>
          <w:p w14:paraId="02B328F8">
            <w:pPr>
              <w:widowControl/>
              <w:jc w:val="center"/>
              <w:rPr>
                <w:rFonts w:ascii="Times New Roman" w:hAnsi="Times New Roman" w:cs="Times New Roman" w:eastAsiaTheme="minorEastAsia"/>
                <w:b/>
                <w:bCs/>
                <w:color w:val="auto"/>
                <w:spacing w:val="-20"/>
                <w:kern w:val="0"/>
                <w:szCs w:val="21"/>
              </w:rPr>
            </w:pPr>
          </w:p>
        </w:tc>
        <w:tc>
          <w:tcPr>
            <w:tcW w:w="993" w:type="dxa"/>
            <w:vMerge w:val="continue"/>
            <w:vAlign w:val="center"/>
          </w:tcPr>
          <w:p w14:paraId="20B9669A">
            <w:pPr>
              <w:widowControl/>
              <w:jc w:val="center"/>
              <w:rPr>
                <w:rFonts w:ascii="Times New Roman" w:hAnsi="Times New Roman" w:cs="Times New Roman" w:eastAsiaTheme="minorEastAsia"/>
                <w:b/>
                <w:bCs/>
                <w:color w:val="auto"/>
                <w:spacing w:val="-20"/>
                <w:kern w:val="0"/>
                <w:szCs w:val="21"/>
              </w:rPr>
            </w:pPr>
          </w:p>
        </w:tc>
        <w:tc>
          <w:tcPr>
            <w:tcW w:w="567" w:type="dxa"/>
            <w:vMerge w:val="continue"/>
            <w:noWrap/>
            <w:vAlign w:val="center"/>
          </w:tcPr>
          <w:p w14:paraId="35B361CB">
            <w:pPr>
              <w:widowControl/>
              <w:jc w:val="center"/>
              <w:rPr>
                <w:rFonts w:ascii="Times New Roman" w:hAnsi="Times New Roman" w:cs="Times New Roman" w:eastAsiaTheme="minorEastAsia"/>
                <w:b/>
                <w:bCs/>
                <w:color w:val="auto"/>
                <w:spacing w:val="-20"/>
                <w:kern w:val="0"/>
                <w:szCs w:val="21"/>
              </w:rPr>
            </w:pPr>
          </w:p>
        </w:tc>
        <w:tc>
          <w:tcPr>
            <w:tcW w:w="992" w:type="dxa"/>
            <w:vMerge w:val="continue"/>
            <w:vAlign w:val="center"/>
          </w:tcPr>
          <w:p w14:paraId="10479A81">
            <w:pPr>
              <w:widowControl/>
              <w:jc w:val="center"/>
              <w:rPr>
                <w:rFonts w:ascii="Times New Roman" w:hAnsi="Times New Roman" w:cs="Times New Roman" w:eastAsiaTheme="minorEastAsia"/>
                <w:b/>
                <w:bCs/>
                <w:color w:val="auto"/>
                <w:spacing w:val="-20"/>
                <w:kern w:val="0"/>
                <w:szCs w:val="21"/>
              </w:rPr>
            </w:pPr>
          </w:p>
        </w:tc>
        <w:tc>
          <w:tcPr>
            <w:tcW w:w="709" w:type="dxa"/>
            <w:vAlign w:val="center"/>
          </w:tcPr>
          <w:p w14:paraId="79194FC5">
            <w:pPr>
              <w:widowControl/>
              <w:jc w:val="center"/>
              <w:rPr>
                <w:rFonts w:ascii="Times New Roman" w:hAnsi="Times New Roman" w:cs="Times New Roman" w:eastAsiaTheme="minorEastAsia"/>
                <w:b/>
                <w:bCs/>
                <w:color w:val="auto"/>
                <w:spacing w:val="-20"/>
                <w:kern w:val="0"/>
                <w:szCs w:val="21"/>
              </w:rPr>
            </w:pPr>
            <w:r>
              <w:rPr>
                <w:rFonts w:ascii="Times New Roman" w:hAnsi="Times New Roman" w:cs="Times New Roman" w:eastAsiaTheme="minorEastAsia"/>
                <w:b/>
                <w:bCs/>
                <w:color w:val="auto"/>
                <w:spacing w:val="-20"/>
                <w:kern w:val="0"/>
                <w:szCs w:val="21"/>
              </w:rPr>
              <w:t>4a</w:t>
            </w:r>
            <w:r>
              <w:rPr>
                <w:rFonts w:ascii="Times New Roman" w:cs="Times New Roman" w:hAnsiTheme="minorEastAsia" w:eastAsiaTheme="minorEastAsia"/>
                <w:b/>
                <w:bCs/>
                <w:color w:val="auto"/>
                <w:spacing w:val="-20"/>
                <w:kern w:val="0"/>
                <w:szCs w:val="21"/>
              </w:rPr>
              <w:t>类</w:t>
            </w:r>
          </w:p>
        </w:tc>
        <w:tc>
          <w:tcPr>
            <w:tcW w:w="708" w:type="dxa"/>
            <w:vAlign w:val="center"/>
          </w:tcPr>
          <w:p w14:paraId="7F8634E9">
            <w:pPr>
              <w:widowControl/>
              <w:jc w:val="center"/>
              <w:rPr>
                <w:rFonts w:ascii="Times New Roman" w:hAnsi="Times New Roman" w:cs="Times New Roman" w:eastAsiaTheme="minorEastAsia"/>
                <w:b/>
                <w:bCs/>
                <w:color w:val="auto"/>
                <w:spacing w:val="-20"/>
                <w:kern w:val="0"/>
                <w:szCs w:val="21"/>
              </w:rPr>
            </w:pPr>
            <w:r>
              <w:rPr>
                <w:rFonts w:ascii="Times New Roman" w:hAnsi="Times New Roman" w:cs="Times New Roman" w:eastAsiaTheme="minorEastAsia"/>
                <w:b/>
                <w:bCs/>
                <w:color w:val="auto"/>
                <w:spacing w:val="-20"/>
                <w:kern w:val="0"/>
                <w:szCs w:val="21"/>
              </w:rPr>
              <w:t>2</w:t>
            </w:r>
            <w:r>
              <w:rPr>
                <w:rFonts w:ascii="Times New Roman" w:cs="Times New Roman" w:hAnsiTheme="minorEastAsia" w:eastAsiaTheme="minorEastAsia"/>
                <w:b/>
                <w:bCs/>
                <w:color w:val="auto"/>
                <w:spacing w:val="-20"/>
                <w:kern w:val="0"/>
                <w:szCs w:val="21"/>
              </w:rPr>
              <w:t>类</w:t>
            </w:r>
          </w:p>
        </w:tc>
        <w:tc>
          <w:tcPr>
            <w:tcW w:w="4365" w:type="dxa"/>
            <w:vMerge w:val="continue"/>
            <w:vAlign w:val="center"/>
          </w:tcPr>
          <w:p w14:paraId="00ADF216">
            <w:pPr>
              <w:widowControl/>
              <w:jc w:val="center"/>
              <w:rPr>
                <w:rFonts w:ascii="Times New Roman" w:hAnsi="Times New Roman" w:cs="Times New Roman" w:eastAsiaTheme="minorEastAsia"/>
                <w:b/>
                <w:bCs/>
                <w:color w:val="auto"/>
                <w:spacing w:val="-20"/>
                <w:kern w:val="0"/>
                <w:szCs w:val="21"/>
              </w:rPr>
            </w:pPr>
          </w:p>
        </w:tc>
        <w:tc>
          <w:tcPr>
            <w:tcW w:w="2898" w:type="dxa"/>
            <w:vMerge w:val="continue"/>
            <w:vAlign w:val="center"/>
          </w:tcPr>
          <w:p w14:paraId="27CAD380">
            <w:pPr>
              <w:widowControl/>
              <w:jc w:val="center"/>
              <w:rPr>
                <w:rFonts w:ascii="Times New Roman" w:hAnsi="Times New Roman" w:cs="Times New Roman" w:eastAsiaTheme="minorEastAsia"/>
                <w:color w:val="auto"/>
                <w:spacing w:val="-20"/>
                <w:kern w:val="0"/>
                <w:szCs w:val="21"/>
              </w:rPr>
            </w:pPr>
          </w:p>
        </w:tc>
      </w:tr>
      <w:tr w14:paraId="103C0562">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473" w:hRule="atLeast"/>
          <w:tblHeader/>
          <w:jc w:val="center"/>
        </w:trPr>
        <w:tc>
          <w:tcPr>
            <w:tcW w:w="568" w:type="dxa"/>
            <w:vMerge w:val="restart"/>
            <w:noWrap/>
            <w:vAlign w:val="center"/>
          </w:tcPr>
          <w:p w14:paraId="277821A6">
            <w:pPr>
              <w:widowControl/>
              <w:jc w:val="center"/>
              <w:rPr>
                <w:rFonts w:ascii="Times New Roman" w:hAnsi="Times New Roman" w:cs="Times New Roman" w:eastAsiaTheme="minorEastAsia"/>
                <w:color w:val="auto"/>
                <w:spacing w:val="-20"/>
                <w:kern w:val="0"/>
                <w:szCs w:val="21"/>
              </w:rPr>
            </w:pPr>
            <w:r>
              <w:rPr>
                <w:rFonts w:ascii="Times New Roman" w:hAnsi="Times New Roman" w:cs="Times New Roman" w:eastAsiaTheme="minorEastAsia"/>
                <w:color w:val="auto"/>
                <w:spacing w:val="-20"/>
                <w:kern w:val="0"/>
                <w:szCs w:val="21"/>
              </w:rPr>
              <w:t>29</w:t>
            </w:r>
          </w:p>
        </w:tc>
        <w:tc>
          <w:tcPr>
            <w:tcW w:w="694" w:type="dxa"/>
            <w:vMerge w:val="restart"/>
            <w:vAlign w:val="center"/>
          </w:tcPr>
          <w:p w14:paraId="310481B1">
            <w:pPr>
              <w:widowControl/>
              <w:jc w:val="center"/>
              <w:rPr>
                <w:rFonts w:ascii="Times New Roman" w:hAnsi="Times New Roman" w:cs="Times New Roman" w:eastAsiaTheme="minorEastAsia"/>
                <w:color w:val="auto"/>
                <w:spacing w:val="-20"/>
                <w:kern w:val="0"/>
                <w:szCs w:val="21"/>
              </w:rPr>
            </w:pPr>
            <w:r>
              <w:rPr>
                <w:rFonts w:hint="eastAsia" w:ascii="Times New Roman" w:cs="Times New Roman" w:hAnsiTheme="minorEastAsia" w:eastAsiaTheme="minorEastAsia"/>
                <w:color w:val="auto"/>
                <w:spacing w:val="-20"/>
                <w:kern w:val="0"/>
                <w:szCs w:val="21"/>
              </w:rPr>
              <w:t>高速口～岳普湖</w:t>
            </w:r>
          </w:p>
        </w:tc>
        <w:tc>
          <w:tcPr>
            <w:tcW w:w="1134" w:type="dxa"/>
            <w:vAlign w:val="center"/>
          </w:tcPr>
          <w:p w14:paraId="5A7FBDD7">
            <w:pPr>
              <w:jc w:val="center"/>
              <w:rPr>
                <w:rFonts w:ascii="Times New Roman" w:hAnsi="Times New Roman" w:cs="Times New Roman" w:eastAsiaTheme="minorEastAsia"/>
                <w:color w:val="auto"/>
                <w:spacing w:val="-20"/>
                <w:szCs w:val="21"/>
              </w:rPr>
            </w:pPr>
            <w:r>
              <w:rPr>
                <w:rFonts w:ascii="Times New Roman" w:hAnsi="Times New Roman" w:cs="Times New Roman" w:eastAsiaTheme="minorEastAsia"/>
                <w:color w:val="auto"/>
                <w:spacing w:val="-20"/>
                <w:szCs w:val="21"/>
              </w:rPr>
              <w:t>K</w:t>
            </w:r>
            <w:r>
              <w:rPr>
                <w:rFonts w:hint="eastAsia" w:ascii="Times New Roman" w:hAnsi="Times New Roman" w:cs="Times New Roman" w:eastAsiaTheme="minorEastAsia"/>
                <w:color w:val="auto"/>
                <w:spacing w:val="-20"/>
                <w:szCs w:val="21"/>
              </w:rPr>
              <w:t>66</w:t>
            </w:r>
            <w:r>
              <w:rPr>
                <w:rFonts w:ascii="Times New Roman" w:hAnsi="Times New Roman" w:cs="Times New Roman" w:eastAsiaTheme="minorEastAsia"/>
                <w:color w:val="auto"/>
                <w:spacing w:val="-20"/>
                <w:szCs w:val="21"/>
              </w:rPr>
              <w:t>+</w:t>
            </w:r>
            <w:r>
              <w:rPr>
                <w:rFonts w:hint="eastAsia" w:ascii="Times New Roman" w:hAnsi="Times New Roman" w:cs="Times New Roman" w:eastAsiaTheme="minorEastAsia"/>
                <w:color w:val="auto"/>
                <w:spacing w:val="-20"/>
                <w:szCs w:val="21"/>
              </w:rPr>
              <w:t>1</w:t>
            </w:r>
            <w:r>
              <w:rPr>
                <w:rFonts w:ascii="Times New Roman" w:hAnsi="Times New Roman" w:cs="Times New Roman" w:eastAsiaTheme="minorEastAsia"/>
                <w:color w:val="auto"/>
                <w:spacing w:val="-20"/>
                <w:szCs w:val="21"/>
              </w:rPr>
              <w:t>00</w:t>
            </w:r>
            <w:r>
              <w:rPr>
                <w:rFonts w:ascii="Times New Roman" w:cs="Times New Roman" w:hAnsiTheme="minorEastAsia" w:eastAsiaTheme="minorEastAsia"/>
                <w:color w:val="auto"/>
                <w:spacing w:val="-20"/>
                <w:szCs w:val="21"/>
              </w:rPr>
              <w:t>～</w:t>
            </w:r>
            <w:r>
              <w:rPr>
                <w:rFonts w:ascii="Times New Roman" w:hAnsi="Times New Roman" w:cs="Times New Roman" w:eastAsiaTheme="minorEastAsia"/>
                <w:color w:val="auto"/>
                <w:spacing w:val="-20"/>
                <w:szCs w:val="21"/>
              </w:rPr>
              <w:t>K</w:t>
            </w:r>
            <w:r>
              <w:rPr>
                <w:rFonts w:hint="eastAsia" w:ascii="Times New Roman" w:hAnsi="Times New Roman" w:cs="Times New Roman" w:eastAsiaTheme="minorEastAsia"/>
                <w:color w:val="auto"/>
                <w:spacing w:val="-20"/>
                <w:szCs w:val="21"/>
              </w:rPr>
              <w:t>68</w:t>
            </w:r>
            <w:r>
              <w:rPr>
                <w:rFonts w:ascii="Times New Roman" w:hAnsi="Times New Roman" w:cs="Times New Roman" w:eastAsiaTheme="minorEastAsia"/>
                <w:color w:val="auto"/>
                <w:spacing w:val="-20"/>
                <w:szCs w:val="21"/>
              </w:rPr>
              <w:t>+</w:t>
            </w:r>
            <w:r>
              <w:rPr>
                <w:rFonts w:hint="eastAsia" w:ascii="Times New Roman" w:hAnsi="Times New Roman" w:cs="Times New Roman" w:eastAsiaTheme="minorEastAsia"/>
                <w:color w:val="auto"/>
                <w:spacing w:val="-20"/>
                <w:szCs w:val="21"/>
              </w:rPr>
              <w:t>6</w:t>
            </w:r>
            <w:r>
              <w:rPr>
                <w:rFonts w:ascii="Times New Roman" w:hAnsi="Times New Roman" w:cs="Times New Roman" w:eastAsiaTheme="minorEastAsia"/>
                <w:color w:val="auto"/>
                <w:spacing w:val="-20"/>
                <w:szCs w:val="21"/>
              </w:rPr>
              <w:t>00</w:t>
            </w:r>
          </w:p>
        </w:tc>
        <w:tc>
          <w:tcPr>
            <w:tcW w:w="851" w:type="dxa"/>
            <w:vMerge w:val="restart"/>
            <w:vAlign w:val="center"/>
          </w:tcPr>
          <w:p w14:paraId="3D42F4C1">
            <w:pPr>
              <w:jc w:val="center"/>
              <w:rPr>
                <w:rFonts w:ascii="Times New Roman" w:hAnsi="Times New Roman" w:cs="Times New Roman" w:eastAsiaTheme="minorEastAsia"/>
                <w:color w:val="auto"/>
                <w:spacing w:val="-20"/>
                <w:szCs w:val="21"/>
              </w:rPr>
            </w:pPr>
            <w:r>
              <w:rPr>
                <w:rFonts w:hint="eastAsia" w:ascii="Times New Roman" w:cs="Times New Roman" w:hAnsiTheme="minorEastAsia" w:eastAsiaTheme="minorEastAsia"/>
                <w:color w:val="auto"/>
                <w:spacing w:val="-20"/>
                <w:szCs w:val="21"/>
              </w:rPr>
              <w:t>托万克阿帕霍加</w:t>
            </w:r>
          </w:p>
        </w:tc>
        <w:tc>
          <w:tcPr>
            <w:tcW w:w="850" w:type="dxa"/>
            <w:vMerge w:val="restart"/>
            <w:vAlign w:val="center"/>
          </w:tcPr>
          <w:p w14:paraId="675B645E">
            <w:pPr>
              <w:jc w:val="center"/>
              <w:rPr>
                <w:rFonts w:ascii="Times New Roman" w:hAnsi="Times New Roman" w:cs="Times New Roman" w:eastAsiaTheme="minorEastAsia"/>
                <w:color w:val="auto"/>
                <w:spacing w:val="-20"/>
                <w:szCs w:val="21"/>
              </w:rPr>
            </w:pPr>
            <w:r>
              <w:rPr>
                <w:rFonts w:hint="eastAsia" w:ascii="Times New Roman" w:cs="Times New Roman" w:hAnsiTheme="minorEastAsia" w:eastAsiaTheme="minorEastAsia"/>
                <w:color w:val="auto"/>
                <w:spacing w:val="-20"/>
                <w:szCs w:val="21"/>
              </w:rPr>
              <w:t>伽师县</w:t>
            </w:r>
          </w:p>
        </w:tc>
        <w:tc>
          <w:tcPr>
            <w:tcW w:w="661" w:type="dxa"/>
            <w:vMerge w:val="restart"/>
            <w:vAlign w:val="center"/>
          </w:tcPr>
          <w:p w14:paraId="7B18C3B4">
            <w:pPr>
              <w:jc w:val="center"/>
              <w:rPr>
                <w:rFonts w:ascii="Times New Roman" w:hAnsi="Times New Roman" w:cs="Times New Roman" w:eastAsiaTheme="minorEastAsia"/>
                <w:color w:val="auto"/>
                <w:spacing w:val="-20"/>
                <w:szCs w:val="21"/>
              </w:rPr>
            </w:pPr>
            <w:r>
              <w:rPr>
                <w:rFonts w:ascii="Times New Roman" w:cs="Times New Roman" w:hAnsiTheme="minorEastAsia" w:eastAsiaTheme="minorEastAsia"/>
                <w:color w:val="auto"/>
                <w:spacing w:val="-20"/>
                <w:szCs w:val="21"/>
              </w:rPr>
              <w:t>路右</w:t>
            </w:r>
          </w:p>
        </w:tc>
        <w:tc>
          <w:tcPr>
            <w:tcW w:w="662" w:type="dxa"/>
            <w:vMerge w:val="restart"/>
            <w:vAlign w:val="center"/>
          </w:tcPr>
          <w:p w14:paraId="0C1C3946">
            <w:pPr>
              <w:jc w:val="center"/>
              <w:rPr>
                <w:rFonts w:ascii="Times New Roman" w:cs="Times New Roman" w:hAnsiTheme="minorEastAsia" w:eastAsiaTheme="minorEastAsia"/>
                <w:color w:val="auto"/>
                <w:spacing w:val="-20"/>
                <w:szCs w:val="21"/>
              </w:rPr>
            </w:pPr>
            <w:r>
              <w:rPr>
                <w:rFonts w:hint="eastAsia" w:ascii="Times New Roman" w:cs="Times New Roman" w:hAnsiTheme="minorEastAsia" w:eastAsiaTheme="minorEastAsia"/>
                <w:color w:val="auto"/>
                <w:spacing w:val="-20"/>
                <w:szCs w:val="21"/>
              </w:rPr>
              <w:t>15</w:t>
            </w:r>
          </w:p>
        </w:tc>
        <w:tc>
          <w:tcPr>
            <w:tcW w:w="662" w:type="dxa"/>
            <w:vMerge w:val="restart"/>
            <w:vAlign w:val="center"/>
          </w:tcPr>
          <w:p w14:paraId="1447833E">
            <w:pPr>
              <w:jc w:val="center"/>
              <w:rPr>
                <w:rFonts w:ascii="Times New Roman" w:cs="Times New Roman" w:hAnsiTheme="minorEastAsia" w:eastAsiaTheme="minorEastAsia"/>
                <w:color w:val="auto"/>
                <w:spacing w:val="-20"/>
                <w:szCs w:val="21"/>
              </w:rPr>
            </w:pPr>
            <w:r>
              <w:rPr>
                <w:rFonts w:hint="eastAsia" w:ascii="Times New Roman" w:cs="Times New Roman" w:hAnsiTheme="minorEastAsia" w:eastAsiaTheme="minorEastAsia"/>
                <w:color w:val="auto"/>
                <w:spacing w:val="-20"/>
                <w:szCs w:val="21"/>
              </w:rPr>
              <w:t>3</w:t>
            </w:r>
          </w:p>
        </w:tc>
        <w:tc>
          <w:tcPr>
            <w:tcW w:w="567" w:type="dxa"/>
            <w:vMerge w:val="restart"/>
            <w:vAlign w:val="center"/>
          </w:tcPr>
          <w:p w14:paraId="16651433">
            <w:pPr>
              <w:jc w:val="center"/>
              <w:rPr>
                <w:rFonts w:ascii="Times New Roman" w:hAnsi="Times New Roman" w:cs="Times New Roman" w:eastAsiaTheme="minorEastAsia"/>
                <w:color w:val="auto"/>
                <w:spacing w:val="-20"/>
                <w:szCs w:val="21"/>
              </w:rPr>
            </w:pPr>
            <w:r>
              <w:rPr>
                <w:rFonts w:ascii="Times New Roman" w:cs="Times New Roman" w:hAnsiTheme="minorEastAsia" w:eastAsiaTheme="minorEastAsia"/>
                <w:color w:val="auto"/>
                <w:spacing w:val="-20"/>
                <w:szCs w:val="21"/>
              </w:rPr>
              <w:t>路右</w:t>
            </w:r>
          </w:p>
        </w:tc>
        <w:tc>
          <w:tcPr>
            <w:tcW w:w="708" w:type="dxa"/>
            <w:vMerge w:val="restart"/>
            <w:vAlign w:val="center"/>
          </w:tcPr>
          <w:p w14:paraId="39E41D76">
            <w:pPr>
              <w:jc w:val="center"/>
              <w:rPr>
                <w:rFonts w:ascii="Times New Roman" w:hAnsi="Times New Roman" w:cs="Times New Roman" w:eastAsiaTheme="minorEastAsia"/>
                <w:color w:val="auto"/>
                <w:spacing w:val="-20"/>
                <w:szCs w:val="21"/>
              </w:rPr>
            </w:pPr>
            <w:r>
              <w:rPr>
                <w:rFonts w:hint="eastAsia" w:ascii="Times New Roman" w:hAnsi="Times New Roman" w:cs="Times New Roman" w:eastAsiaTheme="minorEastAsia"/>
                <w:color w:val="auto"/>
                <w:spacing w:val="-20"/>
                <w:szCs w:val="21"/>
              </w:rPr>
              <w:t>24</w:t>
            </w:r>
          </w:p>
        </w:tc>
        <w:tc>
          <w:tcPr>
            <w:tcW w:w="709" w:type="dxa"/>
            <w:vMerge w:val="restart"/>
            <w:vAlign w:val="center"/>
          </w:tcPr>
          <w:p w14:paraId="518AC4D3">
            <w:pPr>
              <w:widowControl/>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5</w:t>
            </w:r>
          </w:p>
        </w:tc>
        <w:tc>
          <w:tcPr>
            <w:tcW w:w="992" w:type="dxa"/>
            <w:vMerge w:val="restart"/>
            <w:vAlign w:val="center"/>
          </w:tcPr>
          <w:p w14:paraId="190CE330">
            <w:pPr>
              <w:jc w:val="center"/>
              <w:rPr>
                <w:rFonts w:ascii="Times New Roman" w:hAnsi="Times New Roman" w:cs="Times New Roman" w:eastAsiaTheme="minorEastAsia"/>
                <w:color w:val="auto"/>
                <w:spacing w:val="-20"/>
                <w:kern w:val="0"/>
                <w:szCs w:val="21"/>
              </w:rPr>
            </w:pPr>
            <w:r>
              <w:rPr>
                <w:rFonts w:ascii="Times New Roman" w:hAnsi="Times New Roman" w:cs="Times New Roman" w:eastAsiaTheme="minorEastAsia"/>
                <w:color w:val="auto"/>
                <w:spacing w:val="-20"/>
                <w:kern w:val="0"/>
                <w:szCs w:val="21"/>
              </w:rPr>
              <w:t>0</w:t>
            </w:r>
          </w:p>
        </w:tc>
        <w:tc>
          <w:tcPr>
            <w:tcW w:w="993" w:type="dxa"/>
            <w:vMerge w:val="restart"/>
            <w:vAlign w:val="center"/>
          </w:tcPr>
          <w:p w14:paraId="0C0074EE">
            <w:pPr>
              <w:widowControl/>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2.0</w:t>
            </w:r>
          </w:p>
        </w:tc>
        <w:tc>
          <w:tcPr>
            <w:tcW w:w="567" w:type="dxa"/>
            <w:vMerge w:val="restart"/>
            <w:vAlign w:val="center"/>
          </w:tcPr>
          <w:p w14:paraId="243879B0">
            <w:pPr>
              <w:widowControl/>
              <w:jc w:val="center"/>
              <w:rPr>
                <w:rFonts w:ascii="Times New Roman" w:hAnsi="Times New Roman" w:cs="Times New Roman" w:eastAsiaTheme="minorEastAsia"/>
                <w:color w:val="auto"/>
                <w:spacing w:val="-20"/>
                <w:kern w:val="0"/>
                <w:szCs w:val="21"/>
              </w:rPr>
            </w:pPr>
            <w:r>
              <w:rPr>
                <w:rFonts w:ascii="Times New Roman" w:cs="Times New Roman" w:hAnsiTheme="minorEastAsia" w:eastAsiaTheme="minorEastAsia"/>
                <w:color w:val="auto"/>
                <w:spacing w:val="-20"/>
                <w:kern w:val="0"/>
                <w:szCs w:val="21"/>
              </w:rPr>
              <w:t>路基</w:t>
            </w:r>
          </w:p>
        </w:tc>
        <w:tc>
          <w:tcPr>
            <w:tcW w:w="992" w:type="dxa"/>
            <w:vMerge w:val="restart"/>
            <w:vAlign w:val="center"/>
          </w:tcPr>
          <w:p w14:paraId="5AB0E76A">
            <w:pPr>
              <w:widowControl/>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54</w:t>
            </w:r>
          </w:p>
        </w:tc>
        <w:tc>
          <w:tcPr>
            <w:tcW w:w="709" w:type="dxa"/>
            <w:vMerge w:val="restart"/>
            <w:vAlign w:val="center"/>
          </w:tcPr>
          <w:p w14:paraId="0FD4EE26">
            <w:pPr>
              <w:widowControl/>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85</w:t>
            </w:r>
          </w:p>
        </w:tc>
        <w:tc>
          <w:tcPr>
            <w:tcW w:w="708" w:type="dxa"/>
            <w:vMerge w:val="restart"/>
            <w:vAlign w:val="center"/>
          </w:tcPr>
          <w:p w14:paraId="38EA40B5">
            <w:pPr>
              <w:widowControl/>
              <w:jc w:val="center"/>
              <w:rPr>
                <w:rFonts w:ascii="Times New Roman" w:hAnsi="Times New Roman" w:cs="Times New Roman" w:eastAsiaTheme="minorEastAsia"/>
                <w:color w:val="auto"/>
                <w:spacing w:val="-20"/>
                <w:kern w:val="0"/>
                <w:szCs w:val="21"/>
              </w:rPr>
            </w:pPr>
            <w:r>
              <w:rPr>
                <w:rFonts w:hint="eastAsia" w:ascii="Times New Roman" w:hAnsi="Times New Roman" w:cs="Times New Roman" w:eastAsiaTheme="minorEastAsia"/>
                <w:color w:val="auto"/>
                <w:spacing w:val="-20"/>
                <w:kern w:val="0"/>
                <w:szCs w:val="21"/>
              </w:rPr>
              <w:t>35</w:t>
            </w:r>
          </w:p>
        </w:tc>
        <w:tc>
          <w:tcPr>
            <w:tcW w:w="4365" w:type="dxa"/>
            <w:vMerge w:val="restart"/>
            <w:vAlign w:val="center"/>
          </w:tcPr>
          <w:p w14:paraId="72D322AE">
            <w:pPr>
              <w:widowControl/>
              <w:rPr>
                <w:rFonts w:ascii="Times New Roman" w:hAnsi="Times New Roman" w:cs="Times New Roman" w:eastAsiaTheme="minorEastAsia"/>
                <w:color w:val="auto"/>
                <w:spacing w:val="-20"/>
                <w:kern w:val="0"/>
                <w:szCs w:val="21"/>
              </w:rPr>
            </w:pPr>
            <w:r>
              <w:rPr>
                <w:rFonts w:ascii="Times New Roman" w:cs="Times New Roman" w:hAnsiTheme="minorEastAsia" w:eastAsiaTheme="minorEastAsia"/>
                <w:color w:val="auto"/>
                <w:spacing w:val="0"/>
                <w:kern w:val="0"/>
                <w:sz w:val="21"/>
                <w:szCs w:val="21"/>
              </w:rPr>
              <w:t>路线以填方路基形式经过村庄。评价范围内现有居民</w:t>
            </w:r>
            <w:r>
              <w:rPr>
                <w:rFonts w:hint="eastAsia" w:ascii="Times New Roman" w:hAnsi="Times New Roman" w:cs="Times New Roman" w:eastAsiaTheme="minorEastAsia"/>
                <w:color w:val="auto"/>
                <w:spacing w:val="0"/>
                <w:kern w:val="0"/>
                <w:sz w:val="21"/>
                <w:szCs w:val="21"/>
              </w:rPr>
              <w:t>120</w:t>
            </w:r>
            <w:r>
              <w:rPr>
                <w:rFonts w:ascii="Times New Roman" w:cs="Times New Roman" w:hAnsiTheme="minorEastAsia" w:eastAsiaTheme="minorEastAsia"/>
                <w:color w:val="auto"/>
                <w:spacing w:val="0"/>
                <w:kern w:val="0"/>
                <w:sz w:val="21"/>
                <w:szCs w:val="21"/>
              </w:rPr>
              <w:t>户，首排</w:t>
            </w:r>
            <w:r>
              <w:rPr>
                <w:rFonts w:hint="eastAsia" w:ascii="Times New Roman" w:hAnsi="Times New Roman" w:cs="Times New Roman" w:eastAsiaTheme="minorEastAsia"/>
                <w:color w:val="auto"/>
                <w:spacing w:val="0"/>
                <w:kern w:val="0"/>
                <w:sz w:val="21"/>
                <w:szCs w:val="21"/>
              </w:rPr>
              <w:t>75</w:t>
            </w:r>
            <w:r>
              <w:rPr>
                <w:rFonts w:ascii="Times New Roman" w:cs="Times New Roman" w:hAnsiTheme="minorEastAsia" w:eastAsiaTheme="minorEastAsia"/>
                <w:color w:val="auto"/>
                <w:spacing w:val="0"/>
                <w:kern w:val="0"/>
                <w:sz w:val="21"/>
                <w:szCs w:val="21"/>
              </w:rPr>
              <w:t>户，</w:t>
            </w:r>
            <w:r>
              <w:rPr>
                <w:rFonts w:hint="eastAsia" w:ascii="Times New Roman" w:cs="Times New Roman" w:hAnsiTheme="minorEastAsia" w:eastAsiaTheme="minorEastAsia"/>
                <w:color w:val="auto"/>
                <w:spacing w:val="0"/>
                <w:kern w:val="0"/>
                <w:sz w:val="21"/>
                <w:szCs w:val="21"/>
              </w:rPr>
              <w:t>主要</w:t>
            </w:r>
            <w:r>
              <w:rPr>
                <w:rFonts w:ascii="Times New Roman" w:cs="Times New Roman" w:hAnsiTheme="minorEastAsia" w:eastAsiaTheme="minorEastAsia"/>
                <w:color w:val="auto"/>
                <w:spacing w:val="0"/>
                <w:kern w:val="0"/>
                <w:sz w:val="21"/>
                <w:szCs w:val="21"/>
              </w:rPr>
              <w:t>为</w:t>
            </w:r>
            <w:r>
              <w:rPr>
                <w:rFonts w:ascii="Times New Roman" w:hAnsi="Times New Roman" w:cs="Times New Roman" w:eastAsiaTheme="minorEastAsia"/>
                <w:color w:val="auto"/>
                <w:spacing w:val="0"/>
                <w:kern w:val="0"/>
                <w:sz w:val="21"/>
                <w:szCs w:val="21"/>
              </w:rPr>
              <w:t>1</w:t>
            </w:r>
            <w:r>
              <w:rPr>
                <w:rFonts w:ascii="Times New Roman" w:cs="Times New Roman" w:hAnsiTheme="minorEastAsia" w:eastAsiaTheme="minorEastAsia"/>
                <w:color w:val="auto"/>
                <w:spacing w:val="0"/>
                <w:kern w:val="0"/>
                <w:sz w:val="21"/>
                <w:szCs w:val="21"/>
              </w:rPr>
              <w:t>层砖混房，房屋正侧向拟建公路。</w:t>
            </w:r>
            <w:r>
              <w:rPr>
                <w:rFonts w:ascii="Times New Roman" w:hAnsi="Times New Roman" w:eastAsia="宋体" w:cs="Times New Roman"/>
                <w:color w:val="auto"/>
                <w:spacing w:val="0"/>
                <w:kern w:val="0"/>
                <w:sz w:val="21"/>
                <w:szCs w:val="21"/>
              </w:rPr>
              <w:t>该路段利用现有</w:t>
            </w:r>
            <w:r>
              <w:rPr>
                <w:rFonts w:hint="eastAsia" w:ascii="Times New Roman" w:hAnsi="Times New Roman" w:eastAsia="宋体" w:cs="Times New Roman"/>
                <w:color w:val="auto"/>
                <w:spacing w:val="0"/>
                <w:kern w:val="0"/>
                <w:sz w:val="21"/>
                <w:szCs w:val="21"/>
              </w:rPr>
              <w:t>老路双侧加宽</w:t>
            </w:r>
            <w:r>
              <w:rPr>
                <w:rFonts w:ascii="Times New Roman" w:hAnsi="Times New Roman" w:eastAsia="宋体" w:cs="Times New Roman"/>
                <w:color w:val="auto"/>
                <w:spacing w:val="0"/>
                <w:kern w:val="0"/>
                <w:sz w:val="21"/>
                <w:szCs w:val="21"/>
              </w:rPr>
              <w:t>，有平交</w:t>
            </w:r>
            <w:r>
              <w:rPr>
                <w:rFonts w:hint="eastAsia" w:ascii="Times New Roman" w:hAnsi="Times New Roman" w:eastAsia="宋体" w:cs="Times New Roman"/>
                <w:color w:val="auto"/>
                <w:spacing w:val="0"/>
                <w:kern w:val="0"/>
                <w:sz w:val="21"/>
                <w:szCs w:val="21"/>
              </w:rPr>
              <w:t>路口</w:t>
            </w:r>
            <w:r>
              <w:rPr>
                <w:rFonts w:ascii="Times New Roman" w:hAnsi="Times New Roman" w:eastAsia="宋体" w:cs="Times New Roman"/>
                <w:color w:val="auto"/>
                <w:spacing w:val="0"/>
                <w:kern w:val="0"/>
                <w:sz w:val="21"/>
                <w:szCs w:val="21"/>
              </w:rPr>
              <w:t>，</w:t>
            </w:r>
            <w:r>
              <w:rPr>
                <w:rFonts w:ascii="Times New Roman" w:cs="Times New Roman" w:hAnsiTheme="minorEastAsia" w:eastAsiaTheme="minorEastAsia"/>
                <w:color w:val="auto"/>
                <w:spacing w:val="0"/>
                <w:kern w:val="0"/>
                <w:sz w:val="21"/>
                <w:szCs w:val="21"/>
              </w:rPr>
              <w:t>主要噪声源为现有</w:t>
            </w:r>
            <w:r>
              <w:rPr>
                <w:rFonts w:hint="eastAsia" w:ascii="Times New Roman" w:hAnsi="Times New Roman" w:cs="Times New Roman" w:eastAsiaTheme="minorEastAsia"/>
                <w:color w:val="auto"/>
                <w:spacing w:val="0"/>
                <w:kern w:val="0"/>
                <w:sz w:val="21"/>
                <w:szCs w:val="21"/>
              </w:rPr>
              <w:t>G219</w:t>
            </w:r>
            <w:r>
              <w:rPr>
                <w:rFonts w:ascii="Times New Roman" w:cs="Times New Roman" w:hAnsiTheme="minorEastAsia" w:eastAsiaTheme="minorEastAsia"/>
                <w:color w:val="auto"/>
                <w:spacing w:val="0"/>
                <w:kern w:val="0"/>
                <w:sz w:val="21"/>
                <w:szCs w:val="21"/>
              </w:rPr>
              <w:t>交通噪声和社会生活噪声。</w:t>
            </w:r>
          </w:p>
        </w:tc>
        <w:tc>
          <w:tcPr>
            <w:tcW w:w="2898" w:type="dxa"/>
            <w:vMerge w:val="restart"/>
            <w:vAlign w:val="center"/>
          </w:tcPr>
          <w:p w14:paraId="12F03A22">
            <w:pPr>
              <w:widowControl/>
              <w:adjustRightInd w:val="0"/>
              <w:snapToGrid w:val="0"/>
              <w:jc w:val="center"/>
              <w:rPr>
                <w:rFonts w:ascii="Times New Roman" w:hAnsi="Times New Roman" w:cs="Times New Roman" w:eastAsiaTheme="minorEastAsia"/>
                <w:snapToGrid w:val="0"/>
                <w:color w:val="auto"/>
                <w:spacing w:val="-20"/>
                <w:kern w:val="0"/>
                <w:szCs w:val="21"/>
              </w:rPr>
            </w:pPr>
            <w:r>
              <w:rPr>
                <w:rFonts w:ascii="Times New Roman" w:hAnsi="Times New Roman" w:cs="Times New Roman" w:eastAsiaTheme="minorEastAsia"/>
                <w:color w:val="auto"/>
                <w:spacing w:val="-20"/>
                <w:kern w:val="0"/>
                <w:szCs w:val="21"/>
              </w:rPr>
              <w:drawing>
                <wp:inline distT="0" distB="0" distL="0" distR="0">
                  <wp:extent cx="1729105" cy="1295400"/>
                  <wp:effectExtent l="0" t="0" r="4445" b="0"/>
                  <wp:docPr id="985" name="图片 30" descr="E:\咨询项目\环评\新疆-G219线八盘水磨至伽师公路\外业踏勘记录及照片\DSC089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 name="图片 30" descr="E:\咨询项目\环评\新疆-G219线八盘水磨至伽师公路\外业踏勘记录及照片\DSC08953.JPG"/>
                          <pic:cNvPicPr>
                            <a:picLocks noChangeAspect="1" noChangeArrowheads="1"/>
                          </pic:cNvPicPr>
                        </pic:nvPicPr>
                        <pic:blipFill>
                          <a:blip r:embed="rId184" cstate="print"/>
                          <a:srcRect/>
                          <a:stretch>
                            <a:fillRect/>
                          </a:stretch>
                        </pic:blipFill>
                        <pic:spPr>
                          <a:xfrm>
                            <a:off x="0" y="0"/>
                            <a:ext cx="1729728" cy="1296000"/>
                          </a:xfrm>
                          <a:prstGeom prst="rect">
                            <a:avLst/>
                          </a:prstGeom>
                          <a:noFill/>
                          <a:ln w="9525">
                            <a:noFill/>
                            <a:miter lim="800000"/>
                            <a:headEnd/>
                            <a:tailEnd/>
                          </a:ln>
                        </pic:spPr>
                      </pic:pic>
                    </a:graphicData>
                  </a:graphic>
                </wp:inline>
              </w:drawing>
            </w:r>
          </w:p>
        </w:tc>
      </w:tr>
      <w:tr w14:paraId="7B2228F2">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472" w:hRule="atLeast"/>
          <w:tblHeader/>
          <w:jc w:val="center"/>
        </w:trPr>
        <w:tc>
          <w:tcPr>
            <w:tcW w:w="568" w:type="dxa"/>
            <w:vMerge w:val="continue"/>
            <w:noWrap/>
            <w:vAlign w:val="center"/>
          </w:tcPr>
          <w:p w14:paraId="3F01DA0F">
            <w:pPr>
              <w:widowControl/>
              <w:jc w:val="center"/>
              <w:rPr>
                <w:rFonts w:ascii="Times New Roman" w:hAnsi="Times New Roman" w:cs="Times New Roman" w:eastAsiaTheme="minorEastAsia"/>
                <w:color w:val="auto"/>
                <w:spacing w:val="-20"/>
                <w:kern w:val="0"/>
                <w:szCs w:val="21"/>
              </w:rPr>
            </w:pPr>
          </w:p>
        </w:tc>
        <w:tc>
          <w:tcPr>
            <w:tcW w:w="694" w:type="dxa"/>
            <w:vMerge w:val="continue"/>
            <w:vAlign w:val="center"/>
          </w:tcPr>
          <w:p w14:paraId="4767B7D4">
            <w:pPr>
              <w:widowControl/>
              <w:jc w:val="center"/>
              <w:rPr>
                <w:rFonts w:ascii="Times New Roman" w:hAnsi="Times New Roman" w:cs="Times New Roman" w:eastAsiaTheme="minorEastAsia"/>
                <w:color w:val="auto"/>
                <w:spacing w:val="-20"/>
                <w:kern w:val="0"/>
                <w:szCs w:val="21"/>
              </w:rPr>
            </w:pPr>
          </w:p>
        </w:tc>
        <w:tc>
          <w:tcPr>
            <w:tcW w:w="1134" w:type="dxa"/>
            <w:vAlign w:val="center"/>
          </w:tcPr>
          <w:p w14:paraId="70AF779C">
            <w:pPr>
              <w:jc w:val="center"/>
              <w:rPr>
                <w:rFonts w:ascii="Times New Roman" w:hAnsi="Times New Roman" w:cs="Times New Roman" w:eastAsiaTheme="minorEastAsia"/>
                <w:color w:val="auto"/>
                <w:spacing w:val="-20"/>
                <w:szCs w:val="21"/>
              </w:rPr>
            </w:pPr>
            <w:r>
              <w:rPr>
                <w:rFonts w:ascii="Times New Roman" w:hAnsi="Times New Roman" w:cs="Times New Roman" w:eastAsiaTheme="minorEastAsia"/>
                <w:color w:val="auto"/>
                <w:spacing w:val="-20"/>
                <w:szCs w:val="21"/>
              </w:rPr>
              <w:t>K</w:t>
            </w:r>
            <w:r>
              <w:rPr>
                <w:rFonts w:hint="eastAsia" w:ascii="Times New Roman" w:hAnsi="Times New Roman" w:cs="Times New Roman" w:eastAsiaTheme="minorEastAsia"/>
                <w:color w:val="auto"/>
                <w:spacing w:val="-20"/>
                <w:szCs w:val="21"/>
              </w:rPr>
              <w:t>68</w:t>
            </w:r>
            <w:r>
              <w:rPr>
                <w:rFonts w:ascii="Times New Roman" w:hAnsi="Times New Roman" w:cs="Times New Roman" w:eastAsiaTheme="minorEastAsia"/>
                <w:color w:val="auto"/>
                <w:spacing w:val="-20"/>
                <w:szCs w:val="21"/>
              </w:rPr>
              <w:t>+</w:t>
            </w:r>
            <w:r>
              <w:rPr>
                <w:rFonts w:hint="eastAsia" w:ascii="Times New Roman" w:hAnsi="Times New Roman" w:cs="Times New Roman" w:eastAsiaTheme="minorEastAsia"/>
                <w:color w:val="auto"/>
                <w:spacing w:val="-20"/>
                <w:szCs w:val="21"/>
              </w:rPr>
              <w:t>75</w:t>
            </w:r>
            <w:r>
              <w:rPr>
                <w:rFonts w:ascii="Times New Roman" w:hAnsi="Times New Roman" w:cs="Times New Roman" w:eastAsiaTheme="minorEastAsia"/>
                <w:color w:val="auto"/>
                <w:spacing w:val="-20"/>
                <w:szCs w:val="21"/>
              </w:rPr>
              <w:t>0</w:t>
            </w:r>
            <w:r>
              <w:rPr>
                <w:rFonts w:ascii="Times New Roman" w:cs="Times New Roman" w:hAnsiTheme="minorEastAsia" w:eastAsiaTheme="minorEastAsia"/>
                <w:color w:val="auto"/>
                <w:spacing w:val="-20"/>
                <w:szCs w:val="21"/>
              </w:rPr>
              <w:t>～</w:t>
            </w:r>
            <w:r>
              <w:rPr>
                <w:rFonts w:ascii="Times New Roman" w:hAnsi="Times New Roman" w:cs="Times New Roman" w:eastAsiaTheme="minorEastAsia"/>
                <w:color w:val="auto"/>
                <w:spacing w:val="-20"/>
                <w:szCs w:val="21"/>
              </w:rPr>
              <w:t>K</w:t>
            </w:r>
            <w:r>
              <w:rPr>
                <w:rFonts w:hint="eastAsia" w:ascii="Times New Roman" w:hAnsi="Times New Roman" w:cs="Times New Roman" w:eastAsiaTheme="minorEastAsia"/>
                <w:color w:val="auto"/>
                <w:spacing w:val="-20"/>
                <w:szCs w:val="21"/>
              </w:rPr>
              <w:t>68</w:t>
            </w:r>
            <w:r>
              <w:rPr>
                <w:rFonts w:ascii="Times New Roman" w:hAnsi="Times New Roman" w:cs="Times New Roman" w:eastAsiaTheme="minorEastAsia"/>
                <w:color w:val="auto"/>
                <w:spacing w:val="-20"/>
                <w:szCs w:val="21"/>
              </w:rPr>
              <w:t>+</w:t>
            </w:r>
            <w:r>
              <w:rPr>
                <w:rFonts w:hint="eastAsia" w:ascii="Times New Roman" w:hAnsi="Times New Roman" w:cs="Times New Roman" w:eastAsiaTheme="minorEastAsia"/>
                <w:color w:val="auto"/>
                <w:spacing w:val="-20"/>
                <w:szCs w:val="21"/>
              </w:rPr>
              <w:t>85</w:t>
            </w:r>
            <w:r>
              <w:rPr>
                <w:rFonts w:ascii="Times New Roman" w:hAnsi="Times New Roman" w:cs="Times New Roman" w:eastAsiaTheme="minorEastAsia"/>
                <w:color w:val="auto"/>
                <w:spacing w:val="-20"/>
                <w:szCs w:val="21"/>
              </w:rPr>
              <w:t>0</w:t>
            </w:r>
          </w:p>
        </w:tc>
        <w:tc>
          <w:tcPr>
            <w:tcW w:w="851" w:type="dxa"/>
            <w:vMerge w:val="continue"/>
            <w:vAlign w:val="center"/>
          </w:tcPr>
          <w:p w14:paraId="523517D5">
            <w:pPr>
              <w:jc w:val="center"/>
              <w:rPr>
                <w:rFonts w:ascii="Times New Roman" w:cs="Times New Roman" w:hAnsiTheme="minorEastAsia" w:eastAsiaTheme="minorEastAsia"/>
                <w:color w:val="auto"/>
                <w:spacing w:val="-20"/>
                <w:szCs w:val="21"/>
              </w:rPr>
            </w:pPr>
          </w:p>
        </w:tc>
        <w:tc>
          <w:tcPr>
            <w:tcW w:w="850" w:type="dxa"/>
            <w:vMerge w:val="continue"/>
            <w:vAlign w:val="center"/>
          </w:tcPr>
          <w:p w14:paraId="43793F60">
            <w:pPr>
              <w:jc w:val="center"/>
              <w:rPr>
                <w:rFonts w:ascii="Times New Roman" w:hAnsi="Times New Roman" w:cs="Times New Roman" w:eastAsiaTheme="minorEastAsia"/>
                <w:color w:val="auto"/>
                <w:spacing w:val="-20"/>
                <w:szCs w:val="21"/>
              </w:rPr>
            </w:pPr>
          </w:p>
        </w:tc>
        <w:tc>
          <w:tcPr>
            <w:tcW w:w="661" w:type="dxa"/>
            <w:vMerge w:val="continue"/>
            <w:vAlign w:val="center"/>
          </w:tcPr>
          <w:p w14:paraId="35195B48">
            <w:pPr>
              <w:jc w:val="center"/>
              <w:rPr>
                <w:rFonts w:ascii="Times New Roman" w:cs="Times New Roman" w:hAnsiTheme="minorEastAsia" w:eastAsiaTheme="minorEastAsia"/>
                <w:color w:val="auto"/>
                <w:spacing w:val="-20"/>
                <w:szCs w:val="21"/>
              </w:rPr>
            </w:pPr>
          </w:p>
        </w:tc>
        <w:tc>
          <w:tcPr>
            <w:tcW w:w="662" w:type="dxa"/>
            <w:vMerge w:val="continue"/>
            <w:vAlign w:val="center"/>
          </w:tcPr>
          <w:p w14:paraId="4BF2ED2B">
            <w:pPr>
              <w:jc w:val="center"/>
              <w:rPr>
                <w:rFonts w:ascii="Times New Roman" w:cs="Times New Roman" w:hAnsiTheme="minorEastAsia" w:eastAsiaTheme="minorEastAsia"/>
                <w:color w:val="auto"/>
                <w:spacing w:val="-20"/>
                <w:szCs w:val="21"/>
              </w:rPr>
            </w:pPr>
          </w:p>
        </w:tc>
        <w:tc>
          <w:tcPr>
            <w:tcW w:w="662" w:type="dxa"/>
            <w:vMerge w:val="continue"/>
            <w:vAlign w:val="center"/>
          </w:tcPr>
          <w:p w14:paraId="50C98A00">
            <w:pPr>
              <w:jc w:val="center"/>
              <w:rPr>
                <w:rFonts w:ascii="Times New Roman" w:cs="Times New Roman" w:hAnsiTheme="minorEastAsia" w:eastAsiaTheme="minorEastAsia"/>
                <w:color w:val="auto"/>
                <w:spacing w:val="-20"/>
                <w:szCs w:val="21"/>
              </w:rPr>
            </w:pPr>
          </w:p>
        </w:tc>
        <w:tc>
          <w:tcPr>
            <w:tcW w:w="567" w:type="dxa"/>
            <w:vMerge w:val="continue"/>
            <w:vAlign w:val="center"/>
          </w:tcPr>
          <w:p w14:paraId="381F6EE4">
            <w:pPr>
              <w:jc w:val="center"/>
              <w:rPr>
                <w:rFonts w:ascii="Times New Roman" w:cs="Times New Roman" w:hAnsiTheme="minorEastAsia" w:eastAsiaTheme="minorEastAsia"/>
                <w:color w:val="auto"/>
                <w:spacing w:val="-20"/>
                <w:szCs w:val="21"/>
              </w:rPr>
            </w:pPr>
          </w:p>
        </w:tc>
        <w:tc>
          <w:tcPr>
            <w:tcW w:w="708" w:type="dxa"/>
            <w:vMerge w:val="continue"/>
            <w:vAlign w:val="center"/>
          </w:tcPr>
          <w:p w14:paraId="434F025D">
            <w:pPr>
              <w:jc w:val="center"/>
              <w:rPr>
                <w:rFonts w:ascii="Times New Roman" w:hAnsi="Times New Roman" w:cs="Times New Roman" w:eastAsiaTheme="minorEastAsia"/>
                <w:color w:val="auto"/>
                <w:spacing w:val="-20"/>
                <w:szCs w:val="21"/>
              </w:rPr>
            </w:pPr>
          </w:p>
        </w:tc>
        <w:tc>
          <w:tcPr>
            <w:tcW w:w="709" w:type="dxa"/>
            <w:vMerge w:val="continue"/>
            <w:vAlign w:val="center"/>
          </w:tcPr>
          <w:p w14:paraId="4AB43D1E">
            <w:pPr>
              <w:widowControl/>
              <w:jc w:val="center"/>
              <w:rPr>
                <w:rFonts w:ascii="Times New Roman" w:hAnsi="Times New Roman" w:cs="Times New Roman" w:eastAsiaTheme="minorEastAsia"/>
                <w:color w:val="auto"/>
                <w:spacing w:val="-20"/>
                <w:kern w:val="0"/>
                <w:szCs w:val="21"/>
              </w:rPr>
            </w:pPr>
          </w:p>
        </w:tc>
        <w:tc>
          <w:tcPr>
            <w:tcW w:w="992" w:type="dxa"/>
            <w:vMerge w:val="continue"/>
            <w:vAlign w:val="center"/>
          </w:tcPr>
          <w:p w14:paraId="40F22AD2">
            <w:pPr>
              <w:jc w:val="center"/>
              <w:rPr>
                <w:rFonts w:ascii="Times New Roman" w:hAnsi="Times New Roman" w:cs="Times New Roman" w:eastAsiaTheme="minorEastAsia"/>
                <w:color w:val="auto"/>
                <w:spacing w:val="-20"/>
                <w:kern w:val="0"/>
                <w:szCs w:val="21"/>
              </w:rPr>
            </w:pPr>
          </w:p>
        </w:tc>
        <w:tc>
          <w:tcPr>
            <w:tcW w:w="993" w:type="dxa"/>
            <w:vMerge w:val="continue"/>
            <w:vAlign w:val="center"/>
          </w:tcPr>
          <w:p w14:paraId="362CD648">
            <w:pPr>
              <w:widowControl/>
              <w:jc w:val="center"/>
              <w:rPr>
                <w:rFonts w:ascii="Times New Roman" w:hAnsi="Times New Roman" w:cs="Times New Roman" w:eastAsiaTheme="minorEastAsia"/>
                <w:color w:val="auto"/>
                <w:spacing w:val="-20"/>
                <w:kern w:val="0"/>
                <w:szCs w:val="21"/>
              </w:rPr>
            </w:pPr>
          </w:p>
        </w:tc>
        <w:tc>
          <w:tcPr>
            <w:tcW w:w="567" w:type="dxa"/>
            <w:vMerge w:val="continue"/>
            <w:vAlign w:val="center"/>
          </w:tcPr>
          <w:p w14:paraId="37AB801A">
            <w:pPr>
              <w:widowControl/>
              <w:jc w:val="center"/>
              <w:rPr>
                <w:rFonts w:ascii="Times New Roman" w:cs="Times New Roman" w:hAnsiTheme="minorEastAsia" w:eastAsiaTheme="minorEastAsia"/>
                <w:color w:val="auto"/>
                <w:spacing w:val="-20"/>
                <w:kern w:val="0"/>
                <w:szCs w:val="21"/>
              </w:rPr>
            </w:pPr>
          </w:p>
        </w:tc>
        <w:tc>
          <w:tcPr>
            <w:tcW w:w="992" w:type="dxa"/>
            <w:vMerge w:val="continue"/>
            <w:vAlign w:val="center"/>
          </w:tcPr>
          <w:p w14:paraId="46C599D6">
            <w:pPr>
              <w:widowControl/>
              <w:jc w:val="center"/>
              <w:rPr>
                <w:rFonts w:ascii="Times New Roman" w:hAnsi="Times New Roman" w:cs="Times New Roman" w:eastAsiaTheme="minorEastAsia"/>
                <w:color w:val="auto"/>
                <w:spacing w:val="-20"/>
                <w:kern w:val="0"/>
                <w:szCs w:val="21"/>
              </w:rPr>
            </w:pPr>
          </w:p>
        </w:tc>
        <w:tc>
          <w:tcPr>
            <w:tcW w:w="709" w:type="dxa"/>
            <w:vMerge w:val="continue"/>
            <w:vAlign w:val="center"/>
          </w:tcPr>
          <w:p w14:paraId="5479E440">
            <w:pPr>
              <w:widowControl/>
              <w:jc w:val="center"/>
              <w:rPr>
                <w:rFonts w:ascii="Times New Roman" w:hAnsi="Times New Roman" w:cs="Times New Roman" w:eastAsiaTheme="minorEastAsia"/>
                <w:color w:val="auto"/>
                <w:spacing w:val="-20"/>
                <w:kern w:val="0"/>
                <w:szCs w:val="21"/>
              </w:rPr>
            </w:pPr>
          </w:p>
        </w:tc>
        <w:tc>
          <w:tcPr>
            <w:tcW w:w="708" w:type="dxa"/>
            <w:vMerge w:val="continue"/>
            <w:vAlign w:val="center"/>
          </w:tcPr>
          <w:p w14:paraId="59D0BB02">
            <w:pPr>
              <w:widowControl/>
              <w:jc w:val="center"/>
              <w:rPr>
                <w:rFonts w:ascii="Times New Roman" w:hAnsi="Times New Roman" w:cs="Times New Roman" w:eastAsiaTheme="minorEastAsia"/>
                <w:color w:val="auto"/>
                <w:spacing w:val="-20"/>
                <w:kern w:val="0"/>
                <w:szCs w:val="21"/>
              </w:rPr>
            </w:pPr>
          </w:p>
        </w:tc>
        <w:tc>
          <w:tcPr>
            <w:tcW w:w="4365" w:type="dxa"/>
            <w:vMerge w:val="continue"/>
            <w:vAlign w:val="center"/>
          </w:tcPr>
          <w:p w14:paraId="5B04F754">
            <w:pPr>
              <w:widowControl/>
              <w:rPr>
                <w:rFonts w:ascii="Times New Roman" w:cs="Times New Roman" w:hAnsiTheme="minorEastAsia" w:eastAsiaTheme="minorEastAsia"/>
                <w:color w:val="auto"/>
                <w:spacing w:val="-20"/>
                <w:kern w:val="0"/>
                <w:szCs w:val="21"/>
              </w:rPr>
            </w:pPr>
          </w:p>
        </w:tc>
        <w:tc>
          <w:tcPr>
            <w:tcW w:w="2898" w:type="dxa"/>
            <w:vMerge w:val="continue"/>
            <w:vAlign w:val="center"/>
          </w:tcPr>
          <w:p w14:paraId="154B15B6">
            <w:pPr>
              <w:widowControl/>
              <w:adjustRightInd w:val="0"/>
              <w:snapToGrid w:val="0"/>
              <w:jc w:val="center"/>
              <w:rPr>
                <w:rFonts w:ascii="Times New Roman" w:hAnsi="Times New Roman" w:cs="Times New Roman" w:eastAsiaTheme="minorEastAsia"/>
                <w:snapToGrid w:val="0"/>
                <w:color w:val="auto"/>
                <w:spacing w:val="-20"/>
                <w:kern w:val="0"/>
                <w:szCs w:val="21"/>
              </w:rPr>
            </w:pPr>
          </w:p>
        </w:tc>
      </w:tr>
      <w:tr w14:paraId="455A67A5">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937" w:hRule="atLeast"/>
          <w:tblHeader/>
          <w:jc w:val="center"/>
        </w:trPr>
        <w:tc>
          <w:tcPr>
            <w:tcW w:w="568" w:type="dxa"/>
            <w:vMerge w:val="continue"/>
            <w:noWrap/>
            <w:vAlign w:val="center"/>
          </w:tcPr>
          <w:p w14:paraId="54133139">
            <w:pPr>
              <w:widowControl/>
              <w:jc w:val="center"/>
              <w:rPr>
                <w:rFonts w:ascii="Times New Roman" w:hAnsi="Times New Roman" w:cs="Times New Roman" w:eastAsiaTheme="minorEastAsia"/>
                <w:color w:val="auto"/>
                <w:spacing w:val="-20"/>
                <w:kern w:val="0"/>
                <w:szCs w:val="21"/>
              </w:rPr>
            </w:pPr>
          </w:p>
        </w:tc>
        <w:tc>
          <w:tcPr>
            <w:tcW w:w="694" w:type="dxa"/>
            <w:vMerge w:val="continue"/>
            <w:vAlign w:val="center"/>
          </w:tcPr>
          <w:p w14:paraId="4B5BD205">
            <w:pPr>
              <w:widowControl/>
              <w:jc w:val="center"/>
              <w:rPr>
                <w:rFonts w:ascii="Times New Roman" w:hAnsi="Times New Roman" w:cs="Times New Roman" w:eastAsiaTheme="minorEastAsia"/>
                <w:color w:val="auto"/>
                <w:spacing w:val="-20"/>
                <w:kern w:val="0"/>
                <w:szCs w:val="21"/>
              </w:rPr>
            </w:pPr>
          </w:p>
        </w:tc>
        <w:tc>
          <w:tcPr>
            <w:tcW w:w="1134" w:type="dxa"/>
            <w:vAlign w:val="center"/>
          </w:tcPr>
          <w:p w14:paraId="52108AA0">
            <w:pPr>
              <w:jc w:val="center"/>
              <w:rPr>
                <w:rFonts w:ascii="Times New Roman" w:hAnsi="Times New Roman" w:cs="Times New Roman" w:eastAsiaTheme="minorEastAsia"/>
                <w:color w:val="auto"/>
                <w:spacing w:val="-20"/>
                <w:szCs w:val="21"/>
              </w:rPr>
            </w:pPr>
            <w:r>
              <w:rPr>
                <w:rFonts w:ascii="Times New Roman" w:hAnsi="Times New Roman" w:cs="Times New Roman" w:eastAsiaTheme="minorEastAsia"/>
                <w:color w:val="auto"/>
                <w:spacing w:val="-20"/>
                <w:szCs w:val="21"/>
              </w:rPr>
              <w:t>K</w:t>
            </w:r>
            <w:r>
              <w:rPr>
                <w:rFonts w:hint="eastAsia" w:ascii="Times New Roman" w:hAnsi="Times New Roman" w:cs="Times New Roman" w:eastAsiaTheme="minorEastAsia"/>
                <w:color w:val="auto"/>
                <w:spacing w:val="-20"/>
                <w:szCs w:val="21"/>
              </w:rPr>
              <w:t>67</w:t>
            </w:r>
            <w:r>
              <w:rPr>
                <w:rFonts w:ascii="Times New Roman" w:hAnsi="Times New Roman" w:cs="Times New Roman" w:eastAsiaTheme="minorEastAsia"/>
                <w:color w:val="auto"/>
                <w:spacing w:val="-20"/>
                <w:szCs w:val="21"/>
              </w:rPr>
              <w:t>+</w:t>
            </w:r>
            <w:r>
              <w:rPr>
                <w:rFonts w:hint="eastAsia" w:ascii="Times New Roman" w:hAnsi="Times New Roman" w:cs="Times New Roman" w:eastAsiaTheme="minorEastAsia"/>
                <w:color w:val="auto"/>
                <w:spacing w:val="-20"/>
                <w:szCs w:val="21"/>
              </w:rPr>
              <w:t>8</w:t>
            </w:r>
            <w:r>
              <w:rPr>
                <w:rFonts w:ascii="Times New Roman" w:hAnsi="Times New Roman" w:cs="Times New Roman" w:eastAsiaTheme="minorEastAsia"/>
                <w:color w:val="auto"/>
                <w:spacing w:val="-20"/>
                <w:szCs w:val="21"/>
              </w:rPr>
              <w:t>00</w:t>
            </w:r>
            <w:r>
              <w:rPr>
                <w:rFonts w:ascii="Times New Roman" w:cs="Times New Roman" w:hAnsiTheme="minorEastAsia" w:eastAsiaTheme="minorEastAsia"/>
                <w:color w:val="auto"/>
                <w:spacing w:val="-20"/>
                <w:szCs w:val="21"/>
              </w:rPr>
              <w:t>～</w:t>
            </w:r>
            <w:r>
              <w:rPr>
                <w:rFonts w:ascii="Times New Roman" w:hAnsi="Times New Roman" w:cs="Times New Roman" w:eastAsiaTheme="minorEastAsia"/>
                <w:color w:val="auto"/>
                <w:spacing w:val="-20"/>
                <w:szCs w:val="21"/>
              </w:rPr>
              <w:t>K</w:t>
            </w:r>
            <w:r>
              <w:rPr>
                <w:rFonts w:hint="eastAsia" w:ascii="Times New Roman" w:hAnsi="Times New Roman" w:cs="Times New Roman" w:eastAsiaTheme="minorEastAsia"/>
                <w:color w:val="auto"/>
                <w:spacing w:val="-20"/>
                <w:szCs w:val="21"/>
              </w:rPr>
              <w:t>68</w:t>
            </w:r>
            <w:r>
              <w:rPr>
                <w:rFonts w:ascii="Times New Roman" w:hAnsi="Times New Roman" w:cs="Times New Roman" w:eastAsiaTheme="minorEastAsia"/>
                <w:color w:val="auto"/>
                <w:spacing w:val="-20"/>
                <w:szCs w:val="21"/>
              </w:rPr>
              <w:t>+</w:t>
            </w:r>
            <w:r>
              <w:rPr>
                <w:rFonts w:hint="eastAsia" w:ascii="Times New Roman" w:hAnsi="Times New Roman" w:cs="Times New Roman" w:eastAsiaTheme="minorEastAsia"/>
                <w:color w:val="auto"/>
                <w:spacing w:val="-20"/>
                <w:szCs w:val="21"/>
              </w:rPr>
              <w:t>55</w:t>
            </w:r>
            <w:r>
              <w:rPr>
                <w:rFonts w:ascii="Times New Roman" w:hAnsi="Times New Roman" w:cs="Times New Roman" w:eastAsiaTheme="minorEastAsia"/>
                <w:color w:val="auto"/>
                <w:spacing w:val="-20"/>
                <w:szCs w:val="21"/>
              </w:rPr>
              <w:t>0</w:t>
            </w:r>
          </w:p>
        </w:tc>
        <w:tc>
          <w:tcPr>
            <w:tcW w:w="851" w:type="dxa"/>
            <w:vMerge w:val="continue"/>
            <w:vAlign w:val="center"/>
          </w:tcPr>
          <w:p w14:paraId="1B81A38E">
            <w:pPr>
              <w:jc w:val="center"/>
              <w:rPr>
                <w:rFonts w:ascii="Times New Roman" w:cs="Times New Roman" w:hAnsiTheme="minorEastAsia" w:eastAsiaTheme="minorEastAsia"/>
                <w:color w:val="auto"/>
                <w:spacing w:val="-20"/>
                <w:szCs w:val="21"/>
              </w:rPr>
            </w:pPr>
          </w:p>
        </w:tc>
        <w:tc>
          <w:tcPr>
            <w:tcW w:w="850" w:type="dxa"/>
            <w:vMerge w:val="continue"/>
            <w:vAlign w:val="center"/>
          </w:tcPr>
          <w:p w14:paraId="5E228747">
            <w:pPr>
              <w:jc w:val="center"/>
              <w:rPr>
                <w:rFonts w:ascii="Times New Roman" w:hAnsi="Times New Roman" w:cs="Times New Roman" w:eastAsiaTheme="minorEastAsia"/>
                <w:color w:val="auto"/>
                <w:spacing w:val="-20"/>
                <w:szCs w:val="21"/>
              </w:rPr>
            </w:pPr>
          </w:p>
        </w:tc>
        <w:tc>
          <w:tcPr>
            <w:tcW w:w="661" w:type="dxa"/>
            <w:vAlign w:val="center"/>
          </w:tcPr>
          <w:p w14:paraId="1AB674D4">
            <w:pPr>
              <w:jc w:val="center"/>
              <w:rPr>
                <w:rFonts w:ascii="Times New Roman" w:cs="Times New Roman" w:hAnsiTheme="minorEastAsia" w:eastAsiaTheme="minorEastAsia"/>
                <w:color w:val="auto"/>
                <w:spacing w:val="-20"/>
                <w:szCs w:val="21"/>
              </w:rPr>
            </w:pPr>
            <w:r>
              <w:rPr>
                <w:rFonts w:ascii="Times New Roman" w:cs="Times New Roman" w:hAnsiTheme="minorEastAsia" w:eastAsiaTheme="minorEastAsia"/>
                <w:color w:val="auto"/>
                <w:spacing w:val="-20"/>
                <w:szCs w:val="21"/>
              </w:rPr>
              <w:t>路左</w:t>
            </w:r>
          </w:p>
        </w:tc>
        <w:tc>
          <w:tcPr>
            <w:tcW w:w="662" w:type="dxa"/>
            <w:vMerge w:val="continue"/>
            <w:vAlign w:val="center"/>
          </w:tcPr>
          <w:p w14:paraId="3026A2D8">
            <w:pPr>
              <w:jc w:val="center"/>
              <w:rPr>
                <w:rFonts w:ascii="Times New Roman" w:cs="Times New Roman" w:hAnsiTheme="minorEastAsia" w:eastAsiaTheme="minorEastAsia"/>
                <w:color w:val="auto"/>
                <w:spacing w:val="-20"/>
                <w:szCs w:val="21"/>
              </w:rPr>
            </w:pPr>
          </w:p>
        </w:tc>
        <w:tc>
          <w:tcPr>
            <w:tcW w:w="662" w:type="dxa"/>
            <w:vMerge w:val="continue"/>
            <w:vAlign w:val="center"/>
          </w:tcPr>
          <w:p w14:paraId="0C13A16C">
            <w:pPr>
              <w:jc w:val="center"/>
              <w:rPr>
                <w:rFonts w:ascii="Times New Roman" w:cs="Times New Roman" w:hAnsiTheme="minorEastAsia" w:eastAsiaTheme="minorEastAsia"/>
                <w:color w:val="auto"/>
                <w:spacing w:val="-20"/>
                <w:szCs w:val="21"/>
              </w:rPr>
            </w:pPr>
          </w:p>
        </w:tc>
        <w:tc>
          <w:tcPr>
            <w:tcW w:w="567" w:type="dxa"/>
            <w:vAlign w:val="center"/>
          </w:tcPr>
          <w:p w14:paraId="0FA319E1">
            <w:pPr>
              <w:jc w:val="center"/>
              <w:rPr>
                <w:rFonts w:ascii="Times New Roman" w:cs="Times New Roman" w:hAnsiTheme="minorEastAsia" w:eastAsiaTheme="minorEastAsia"/>
                <w:color w:val="auto"/>
                <w:spacing w:val="-20"/>
                <w:szCs w:val="21"/>
              </w:rPr>
            </w:pPr>
            <w:r>
              <w:rPr>
                <w:rFonts w:ascii="Times New Roman" w:cs="Times New Roman" w:hAnsiTheme="minorEastAsia" w:eastAsiaTheme="minorEastAsia"/>
                <w:color w:val="auto"/>
                <w:spacing w:val="-20"/>
                <w:szCs w:val="21"/>
              </w:rPr>
              <w:t>路左</w:t>
            </w:r>
          </w:p>
        </w:tc>
        <w:tc>
          <w:tcPr>
            <w:tcW w:w="708" w:type="dxa"/>
            <w:vMerge w:val="continue"/>
            <w:vAlign w:val="center"/>
          </w:tcPr>
          <w:p w14:paraId="02356FF3">
            <w:pPr>
              <w:jc w:val="center"/>
              <w:rPr>
                <w:rFonts w:ascii="Times New Roman" w:hAnsi="Times New Roman" w:cs="Times New Roman" w:eastAsiaTheme="minorEastAsia"/>
                <w:color w:val="auto"/>
                <w:spacing w:val="-20"/>
                <w:szCs w:val="21"/>
              </w:rPr>
            </w:pPr>
          </w:p>
        </w:tc>
        <w:tc>
          <w:tcPr>
            <w:tcW w:w="709" w:type="dxa"/>
            <w:vMerge w:val="continue"/>
            <w:vAlign w:val="center"/>
          </w:tcPr>
          <w:p w14:paraId="088E2024">
            <w:pPr>
              <w:widowControl/>
              <w:jc w:val="center"/>
              <w:rPr>
                <w:rFonts w:ascii="Times New Roman" w:hAnsi="Times New Roman" w:cs="Times New Roman" w:eastAsiaTheme="minorEastAsia"/>
                <w:color w:val="auto"/>
                <w:spacing w:val="-20"/>
                <w:kern w:val="0"/>
                <w:szCs w:val="21"/>
              </w:rPr>
            </w:pPr>
          </w:p>
        </w:tc>
        <w:tc>
          <w:tcPr>
            <w:tcW w:w="992" w:type="dxa"/>
            <w:vMerge w:val="continue"/>
            <w:vAlign w:val="center"/>
          </w:tcPr>
          <w:p w14:paraId="44FD398F">
            <w:pPr>
              <w:jc w:val="center"/>
              <w:rPr>
                <w:rFonts w:ascii="Times New Roman" w:hAnsi="Times New Roman" w:cs="Times New Roman" w:eastAsiaTheme="minorEastAsia"/>
                <w:color w:val="auto"/>
                <w:spacing w:val="-20"/>
                <w:kern w:val="0"/>
                <w:szCs w:val="21"/>
              </w:rPr>
            </w:pPr>
          </w:p>
        </w:tc>
        <w:tc>
          <w:tcPr>
            <w:tcW w:w="993" w:type="dxa"/>
            <w:vMerge w:val="continue"/>
            <w:vAlign w:val="center"/>
          </w:tcPr>
          <w:p w14:paraId="7CFF0ABA">
            <w:pPr>
              <w:widowControl/>
              <w:jc w:val="center"/>
              <w:rPr>
                <w:rFonts w:ascii="Times New Roman" w:hAnsi="Times New Roman" w:cs="Times New Roman" w:eastAsiaTheme="minorEastAsia"/>
                <w:color w:val="auto"/>
                <w:spacing w:val="-20"/>
                <w:kern w:val="0"/>
                <w:szCs w:val="21"/>
              </w:rPr>
            </w:pPr>
          </w:p>
        </w:tc>
        <w:tc>
          <w:tcPr>
            <w:tcW w:w="567" w:type="dxa"/>
            <w:vMerge w:val="continue"/>
            <w:vAlign w:val="center"/>
          </w:tcPr>
          <w:p w14:paraId="00002D04">
            <w:pPr>
              <w:widowControl/>
              <w:jc w:val="center"/>
              <w:rPr>
                <w:rFonts w:ascii="Times New Roman" w:cs="Times New Roman" w:hAnsiTheme="minorEastAsia" w:eastAsiaTheme="minorEastAsia"/>
                <w:color w:val="auto"/>
                <w:spacing w:val="-20"/>
                <w:kern w:val="0"/>
                <w:szCs w:val="21"/>
              </w:rPr>
            </w:pPr>
          </w:p>
        </w:tc>
        <w:tc>
          <w:tcPr>
            <w:tcW w:w="992" w:type="dxa"/>
            <w:vMerge w:val="continue"/>
            <w:vAlign w:val="center"/>
          </w:tcPr>
          <w:p w14:paraId="22D3CA49">
            <w:pPr>
              <w:widowControl/>
              <w:jc w:val="center"/>
              <w:rPr>
                <w:rFonts w:ascii="Times New Roman" w:hAnsi="Times New Roman" w:cs="Times New Roman" w:eastAsiaTheme="minorEastAsia"/>
                <w:color w:val="auto"/>
                <w:spacing w:val="-20"/>
                <w:kern w:val="0"/>
                <w:szCs w:val="21"/>
              </w:rPr>
            </w:pPr>
          </w:p>
        </w:tc>
        <w:tc>
          <w:tcPr>
            <w:tcW w:w="709" w:type="dxa"/>
            <w:vMerge w:val="continue"/>
            <w:vAlign w:val="center"/>
          </w:tcPr>
          <w:p w14:paraId="142341C2">
            <w:pPr>
              <w:widowControl/>
              <w:jc w:val="center"/>
              <w:rPr>
                <w:rFonts w:ascii="Times New Roman" w:hAnsi="Times New Roman" w:cs="Times New Roman" w:eastAsiaTheme="minorEastAsia"/>
                <w:color w:val="auto"/>
                <w:spacing w:val="-20"/>
                <w:kern w:val="0"/>
                <w:szCs w:val="21"/>
              </w:rPr>
            </w:pPr>
          </w:p>
        </w:tc>
        <w:tc>
          <w:tcPr>
            <w:tcW w:w="708" w:type="dxa"/>
            <w:vMerge w:val="continue"/>
            <w:vAlign w:val="center"/>
          </w:tcPr>
          <w:p w14:paraId="3D06EE1F">
            <w:pPr>
              <w:widowControl/>
              <w:jc w:val="center"/>
              <w:rPr>
                <w:rFonts w:ascii="Times New Roman" w:hAnsi="Times New Roman" w:cs="Times New Roman" w:eastAsiaTheme="minorEastAsia"/>
                <w:color w:val="auto"/>
                <w:spacing w:val="-20"/>
                <w:kern w:val="0"/>
                <w:szCs w:val="21"/>
              </w:rPr>
            </w:pPr>
          </w:p>
        </w:tc>
        <w:tc>
          <w:tcPr>
            <w:tcW w:w="4365" w:type="dxa"/>
            <w:vMerge w:val="continue"/>
            <w:vAlign w:val="center"/>
          </w:tcPr>
          <w:p w14:paraId="7D0C91E9">
            <w:pPr>
              <w:widowControl/>
              <w:rPr>
                <w:rFonts w:ascii="Times New Roman" w:cs="Times New Roman" w:hAnsiTheme="minorEastAsia" w:eastAsiaTheme="minorEastAsia"/>
                <w:color w:val="auto"/>
                <w:spacing w:val="-20"/>
                <w:kern w:val="0"/>
                <w:szCs w:val="21"/>
              </w:rPr>
            </w:pPr>
          </w:p>
        </w:tc>
        <w:tc>
          <w:tcPr>
            <w:tcW w:w="2898" w:type="dxa"/>
            <w:vMerge w:val="continue"/>
            <w:vAlign w:val="center"/>
          </w:tcPr>
          <w:p w14:paraId="5DADFE52">
            <w:pPr>
              <w:widowControl/>
              <w:adjustRightInd w:val="0"/>
              <w:snapToGrid w:val="0"/>
              <w:jc w:val="center"/>
              <w:rPr>
                <w:rFonts w:ascii="Times New Roman" w:hAnsi="Times New Roman" w:cs="Times New Roman" w:eastAsiaTheme="minorEastAsia"/>
                <w:snapToGrid w:val="0"/>
                <w:color w:val="auto"/>
                <w:spacing w:val="-20"/>
                <w:kern w:val="0"/>
                <w:szCs w:val="21"/>
              </w:rPr>
            </w:pPr>
          </w:p>
        </w:tc>
      </w:tr>
    </w:tbl>
    <w:p w14:paraId="5B468438">
      <w:pPr>
        <w:rPr>
          <w:rFonts w:ascii="Times New Roman" w:hAnsi="Times New Roman" w:eastAsia="宋体" w:cs="Times New Roman"/>
          <w:color w:val="auto"/>
          <w:szCs w:val="21"/>
        </w:rPr>
      </w:pPr>
      <w:r>
        <w:rPr>
          <w:rFonts w:ascii="Times New Roman" w:cs="Times New Roman" w:hAnsiTheme="minorEastAsia" w:eastAsiaTheme="minorEastAsia"/>
          <w:b/>
          <w:color w:val="auto"/>
          <w:szCs w:val="21"/>
        </w:rPr>
        <w:t>注：</w:t>
      </w:r>
      <w:r>
        <w:rPr>
          <w:rFonts w:ascii="Times New Roman" w:hAnsi="Times New Roman" w:cs="Times New Roman" w:eastAsiaTheme="minorEastAsia"/>
          <w:color w:val="auto"/>
          <w:szCs w:val="21"/>
        </w:rPr>
        <w:t>“</w:t>
      </w:r>
      <w:r>
        <w:rPr>
          <w:rFonts w:ascii="Times New Roman" w:cs="Times New Roman" w:hAnsiTheme="minorEastAsia" w:eastAsiaTheme="minorEastAsia"/>
          <w:color w:val="auto"/>
          <w:szCs w:val="21"/>
        </w:rPr>
        <w:t>路左右</w:t>
      </w:r>
      <w:r>
        <w:rPr>
          <w:rFonts w:ascii="Times New Roman" w:hAnsi="Times New Roman" w:cs="Times New Roman" w:eastAsiaTheme="minorEastAsia"/>
          <w:color w:val="auto"/>
          <w:szCs w:val="21"/>
        </w:rPr>
        <w:t>”</w:t>
      </w:r>
      <w:r>
        <w:rPr>
          <w:rFonts w:ascii="Times New Roman" w:cs="Times New Roman" w:hAnsiTheme="minorEastAsia" w:eastAsiaTheme="minorEastAsia"/>
          <w:color w:val="auto"/>
          <w:szCs w:val="21"/>
        </w:rPr>
        <w:t>以起点至终点方向为准。</w:t>
      </w:r>
    </w:p>
    <w:p w14:paraId="5C914991">
      <w:pPr>
        <w:tabs>
          <w:tab w:val="left" w:pos="7014"/>
          <w:tab w:val="center" w:pos="10206"/>
        </w:tabs>
        <w:spacing w:beforeLines="50"/>
        <w:jc w:val="left"/>
        <w:rPr>
          <w:b/>
          <w:color w:val="auto"/>
          <w:spacing w:val="4"/>
          <w:szCs w:val="21"/>
        </w:rPr>
        <w:sectPr>
          <w:headerReference r:id="rId24" w:type="default"/>
          <w:footerReference r:id="rId26" w:type="default"/>
          <w:headerReference r:id="rId25" w:type="even"/>
          <w:footerReference r:id="rId27" w:type="even"/>
          <w:pgSz w:w="23814" w:h="16840" w:orient="landscape"/>
          <w:pgMar w:top="1701" w:right="1701" w:bottom="1701" w:left="1701" w:header="1134" w:footer="1134" w:gutter="0"/>
          <w:pgBorders>
            <w:top w:val="none" w:sz="0" w:space="0"/>
            <w:left w:val="none" w:sz="0" w:space="0"/>
            <w:bottom w:val="none" w:sz="0" w:space="0"/>
            <w:right w:val="none" w:sz="0" w:space="0"/>
          </w:pgBorders>
          <w:cols w:space="720" w:num="1"/>
          <w:docGrid w:linePitch="312" w:charSpace="0"/>
        </w:sectPr>
      </w:pPr>
    </w:p>
    <w:p w14:paraId="0F6852FD">
      <w:pPr>
        <w:keepNext/>
        <w:keepLines/>
        <w:pageBreakBefore w:val="0"/>
        <w:widowControl w:val="0"/>
        <w:kinsoku/>
        <w:wordWrap/>
        <w:overflowPunct/>
        <w:topLinePunct w:val="0"/>
        <w:autoSpaceDE/>
        <w:autoSpaceDN/>
        <w:bidi w:val="0"/>
        <w:adjustRightInd w:val="0"/>
        <w:snapToGrid/>
        <w:spacing w:before="0" w:after="240" w:line="240" w:lineRule="auto"/>
        <w:jc w:val="both"/>
        <w:textAlignment w:val="baseline"/>
        <w:outlineLvl w:val="1"/>
        <w:rPr>
          <w:rFonts w:ascii="Arial" w:hAnsi="Arial" w:eastAsia="黑体" w:cs="Times New Roman"/>
          <w:b/>
          <w:bCs/>
          <w:kern w:val="0"/>
          <w:sz w:val="28"/>
          <w:szCs w:val="32"/>
          <w:lang w:val="en-US" w:eastAsia="zh-CN" w:bidi="ar-SA"/>
        </w:rPr>
      </w:pPr>
      <w:r>
        <w:rPr>
          <w:rFonts w:ascii="Times New Roman" w:hAnsi="Times New Roman" w:eastAsia="宋体" w:cs="Times New Roman"/>
          <w:b/>
          <w:bCs/>
          <w:kern w:val="0"/>
          <w:sz w:val="28"/>
          <w:szCs w:val="32"/>
          <w:lang w:val="en-US" w:eastAsia="zh-CN" w:bidi="ar-SA"/>
        </w:rPr>
        <w:t>1.</w:t>
      </w:r>
      <w:r>
        <w:rPr>
          <w:rFonts w:hint="eastAsia" w:ascii="Times New Roman" w:hAnsi="Times New Roman" w:eastAsia="宋体" w:cs="Times New Roman"/>
          <w:b/>
          <w:bCs/>
          <w:kern w:val="0"/>
          <w:sz w:val="28"/>
          <w:szCs w:val="32"/>
          <w:lang w:val="en-US" w:eastAsia="zh-CN" w:bidi="ar-SA"/>
        </w:rPr>
        <w:t>7</w:t>
      </w:r>
      <w:r>
        <w:rPr>
          <w:rFonts w:ascii="Times New Roman" w:hAnsi="Times New Roman" w:eastAsia="宋体" w:cs="Times New Roman"/>
          <w:b/>
          <w:bCs/>
          <w:kern w:val="0"/>
          <w:sz w:val="28"/>
          <w:szCs w:val="32"/>
          <w:lang w:val="en-US" w:eastAsia="zh-CN" w:bidi="ar-SA"/>
        </w:rPr>
        <w:t xml:space="preserve"> </w:t>
      </w:r>
      <w:r>
        <w:rPr>
          <w:rFonts w:hint="eastAsia" w:ascii="Times New Roman" w:hAnsi="Times New Roman" w:eastAsia="宋体" w:cs="Times New Roman"/>
          <w:b/>
          <w:bCs/>
          <w:kern w:val="0"/>
          <w:sz w:val="28"/>
          <w:szCs w:val="32"/>
          <w:lang w:val="en-US" w:eastAsia="zh-CN" w:bidi="ar-SA"/>
        </w:rPr>
        <w:t>声环境评价标准</w:t>
      </w:r>
      <w:bookmarkEnd w:id="121"/>
    </w:p>
    <w:p w14:paraId="1F8F6056">
      <w:pPr>
        <w:keepNext/>
        <w:keepLines/>
        <w:widowControl w:val="0"/>
        <w:adjustRightInd w:val="0"/>
        <w:spacing w:before="120" w:after="120" w:line="300" w:lineRule="auto"/>
        <w:jc w:val="both"/>
        <w:textAlignment w:val="baseline"/>
        <w:outlineLvl w:val="2"/>
        <w:rPr>
          <w:rFonts w:ascii="Times New Roman" w:hAnsi="Times New Roman" w:eastAsia="宋体" w:cs="Times New Roman"/>
          <w:b/>
          <w:bCs/>
          <w:kern w:val="0"/>
          <w:sz w:val="32"/>
          <w:szCs w:val="32"/>
          <w:lang w:val="en-US" w:eastAsia="zh-CN" w:bidi="ar-SA"/>
        </w:rPr>
      </w:pPr>
      <w:bookmarkStart w:id="128" w:name="_Toc175213193"/>
      <w:bookmarkStart w:id="129" w:name="_Toc187528238"/>
      <w:r>
        <w:rPr>
          <w:rFonts w:ascii="Times New Roman" w:hAnsi="Times New Roman" w:eastAsia="宋体" w:cs="Times New Roman"/>
          <w:b/>
          <w:bCs w:val="0"/>
          <w:kern w:val="0"/>
          <w:sz w:val="24"/>
          <w:szCs w:val="32"/>
          <w:lang w:val="en-US" w:eastAsia="zh-CN" w:bidi="ar-SA"/>
        </w:rPr>
        <w:t>1.</w:t>
      </w:r>
      <w:r>
        <w:rPr>
          <w:rFonts w:hint="eastAsia" w:ascii="Times New Roman" w:hAnsi="Times New Roman" w:eastAsia="宋体" w:cs="Times New Roman"/>
          <w:b/>
          <w:bCs w:val="0"/>
          <w:kern w:val="0"/>
          <w:sz w:val="24"/>
          <w:szCs w:val="32"/>
          <w:lang w:val="en-US" w:eastAsia="zh-CN" w:bidi="ar-SA"/>
        </w:rPr>
        <w:t>7</w:t>
      </w:r>
      <w:r>
        <w:rPr>
          <w:rFonts w:ascii="Times New Roman" w:hAnsi="Times New Roman" w:eastAsia="宋体" w:cs="Times New Roman"/>
          <w:b/>
          <w:bCs w:val="0"/>
          <w:kern w:val="0"/>
          <w:sz w:val="24"/>
          <w:szCs w:val="32"/>
          <w:lang w:val="en-US" w:eastAsia="zh-CN" w:bidi="ar-SA"/>
        </w:rPr>
        <w:t xml:space="preserve">.1 </w:t>
      </w:r>
      <w:r>
        <w:rPr>
          <w:rFonts w:hint="eastAsia" w:ascii="Times New Roman" w:hAnsi="Times New Roman" w:eastAsia="宋体" w:cs="Times New Roman"/>
          <w:b/>
          <w:bCs w:val="0"/>
          <w:kern w:val="0"/>
          <w:sz w:val="24"/>
          <w:szCs w:val="32"/>
          <w:lang w:val="en-US" w:eastAsia="zh-CN" w:bidi="ar-SA"/>
        </w:rPr>
        <w:t>声环境功能区划</w:t>
      </w:r>
      <w:bookmarkEnd w:id="128"/>
      <w:bookmarkEnd w:id="129"/>
    </w:p>
    <w:p w14:paraId="761194F9">
      <w:pPr>
        <w:autoSpaceDE w:val="0"/>
        <w:autoSpaceDN w:val="0"/>
        <w:adjustRightInd w:val="0"/>
        <w:spacing w:line="300" w:lineRule="auto"/>
        <w:ind w:firstLine="480" w:firstLineChars="200"/>
        <w:rPr>
          <w:rFonts w:ascii="Times New Roman" w:hAnsi="宋体" w:eastAsia="宋体" w:cs="Times New Roman"/>
          <w:color w:val="auto"/>
          <w:sz w:val="24"/>
        </w:rPr>
      </w:pPr>
      <w:bookmarkStart w:id="130" w:name="_Toc175213194"/>
      <w:bookmarkStart w:id="131" w:name="_Toc187528239"/>
      <w:r>
        <w:rPr>
          <w:rFonts w:ascii="Times New Roman" w:hAnsi="宋体" w:eastAsia="宋体" w:cs="Times New Roman"/>
          <w:color w:val="auto"/>
          <w:sz w:val="24"/>
        </w:rPr>
        <w:t>经核实，拟建公路沿线评价范围内未划分声环境功能区</w:t>
      </w:r>
      <w:r>
        <w:rPr>
          <w:rFonts w:hint="eastAsia" w:ascii="Times New Roman" w:hAnsi="宋体" w:eastAsia="宋体" w:cs="Times New Roman"/>
          <w:color w:val="auto"/>
          <w:sz w:val="24"/>
        </w:rPr>
        <w:t>。</w:t>
      </w:r>
    </w:p>
    <w:p w14:paraId="4D0B873B">
      <w:pPr>
        <w:autoSpaceDE w:val="0"/>
        <w:autoSpaceDN w:val="0"/>
        <w:adjustRightInd w:val="0"/>
        <w:spacing w:line="300" w:lineRule="auto"/>
        <w:ind w:firstLine="480" w:firstLineChars="200"/>
        <w:rPr>
          <w:rFonts w:ascii="Times New Roman" w:hAnsi="宋体" w:eastAsia="宋体" w:cs="Times New Roman"/>
          <w:color w:val="auto"/>
          <w:sz w:val="24"/>
        </w:rPr>
      </w:pPr>
      <w:r>
        <w:rPr>
          <w:rFonts w:hint="eastAsia" w:ascii="Times New Roman" w:hAnsi="宋体" w:eastAsia="宋体" w:cs="Times New Roman"/>
          <w:color w:val="auto"/>
          <w:sz w:val="24"/>
        </w:rPr>
        <w:t>根据《声环境质量标准》（GB3096-2008）以及《声环境功能区划分技术规范》（GB/T15190-2014）中乡村声环境功能以及4a类声环境功能区的划分要求：“工业活动较多的村庄以及有交通干线经过的村庄（指执行4类声环境功能区要求以外的地区）可局部或全部执行2类声环境功能区要求”。</w:t>
      </w:r>
    </w:p>
    <w:p w14:paraId="055D7181">
      <w:pPr>
        <w:autoSpaceDE w:val="0"/>
        <w:autoSpaceDN w:val="0"/>
        <w:adjustRightInd w:val="0"/>
        <w:spacing w:line="300" w:lineRule="auto"/>
        <w:ind w:firstLine="480" w:firstLineChars="200"/>
        <w:rPr>
          <w:rFonts w:ascii="Times New Roman" w:hAnsi="宋体" w:eastAsia="宋体" w:cs="Times New Roman"/>
          <w:color w:val="auto"/>
          <w:sz w:val="24"/>
        </w:rPr>
      </w:pPr>
      <w:bookmarkStart w:id="132" w:name="OLE_LINK153"/>
      <w:bookmarkStart w:id="133" w:name="OLE_LINK152"/>
      <w:r>
        <w:rPr>
          <w:rFonts w:hint="eastAsia" w:ascii="Times New Roman" w:hAnsi="宋体" w:eastAsia="宋体" w:cs="Times New Roman"/>
          <w:color w:val="auto"/>
          <w:sz w:val="24"/>
        </w:rPr>
        <w:t>拟建公路利用现有G219公路（交通干线）进行改扩建，本评价项目沿线农村地区参照执行2类声环境标准限值，</w:t>
      </w:r>
      <w:r>
        <w:rPr>
          <w:rFonts w:ascii="Times New Roman" w:hAnsi="Times New Roman" w:eastAsia="宋体" w:cs="Times New Roman"/>
          <w:color w:val="auto"/>
          <w:sz w:val="24"/>
          <w:szCs w:val="20"/>
        </w:rPr>
        <w:t>学校、</w:t>
      </w:r>
      <w:r>
        <w:rPr>
          <w:rFonts w:hint="eastAsia" w:ascii="Times New Roman" w:hAnsi="Times New Roman" w:eastAsia="宋体" w:cs="Times New Roman"/>
          <w:color w:val="auto"/>
          <w:sz w:val="24"/>
          <w:szCs w:val="20"/>
        </w:rPr>
        <w:t>卫生院</w:t>
      </w:r>
      <w:r>
        <w:rPr>
          <w:rFonts w:ascii="Times New Roman" w:hAnsi="Times New Roman" w:eastAsia="宋体" w:cs="Times New Roman"/>
          <w:color w:val="auto"/>
          <w:sz w:val="24"/>
          <w:szCs w:val="20"/>
        </w:rPr>
        <w:t>等特殊敏感区执行</w:t>
      </w:r>
      <w:r>
        <w:rPr>
          <w:rFonts w:hint="eastAsia" w:ascii="Times New Roman" w:hAnsi="Times New Roman" w:eastAsia="宋体" w:cs="Times New Roman"/>
          <w:color w:val="auto"/>
          <w:sz w:val="24"/>
          <w:szCs w:val="20"/>
        </w:rPr>
        <w:t>昼间60dB(A)、夜间50dB(A)</w:t>
      </w:r>
      <w:r>
        <w:rPr>
          <w:rFonts w:hint="eastAsia" w:ascii="Times New Roman" w:hAnsi="宋体" w:eastAsia="宋体" w:cs="Times New Roman"/>
          <w:color w:val="auto"/>
          <w:sz w:val="24"/>
        </w:rPr>
        <w:t>。</w:t>
      </w:r>
    </w:p>
    <w:bookmarkEnd w:id="132"/>
    <w:bookmarkEnd w:id="133"/>
    <w:p w14:paraId="5F9D482D">
      <w:pPr>
        <w:keepNext/>
        <w:keepLines/>
        <w:widowControl w:val="0"/>
        <w:adjustRightInd w:val="0"/>
        <w:spacing w:before="120" w:after="120" w:line="300" w:lineRule="auto"/>
        <w:jc w:val="both"/>
        <w:textAlignment w:val="baseline"/>
        <w:outlineLvl w:val="2"/>
        <w:rPr>
          <w:rFonts w:ascii="Times New Roman" w:hAnsi="Times New Roman" w:eastAsia="宋体" w:cs="Times New Roman"/>
          <w:b/>
          <w:bCs/>
          <w:kern w:val="0"/>
          <w:sz w:val="24"/>
          <w:szCs w:val="32"/>
          <w:lang w:val="en-US" w:eastAsia="zh-CN" w:bidi="ar-SA"/>
        </w:rPr>
      </w:pPr>
      <w:r>
        <w:rPr>
          <w:rFonts w:ascii="Times New Roman" w:hAnsi="Times New Roman" w:eastAsia="宋体" w:cs="Times New Roman"/>
          <w:b/>
          <w:bCs w:val="0"/>
          <w:kern w:val="0"/>
          <w:sz w:val="24"/>
          <w:szCs w:val="32"/>
          <w:lang w:val="en-US" w:eastAsia="zh-CN" w:bidi="ar-SA"/>
        </w:rPr>
        <w:t>1.</w:t>
      </w:r>
      <w:r>
        <w:rPr>
          <w:rFonts w:hint="eastAsia" w:ascii="Times New Roman" w:hAnsi="Times New Roman" w:eastAsia="宋体" w:cs="Times New Roman"/>
          <w:b/>
          <w:bCs w:val="0"/>
          <w:kern w:val="0"/>
          <w:sz w:val="24"/>
          <w:szCs w:val="32"/>
          <w:lang w:val="en-US" w:eastAsia="zh-CN" w:bidi="ar-SA"/>
        </w:rPr>
        <w:t>7</w:t>
      </w:r>
      <w:r>
        <w:rPr>
          <w:rFonts w:ascii="Times New Roman" w:hAnsi="Times New Roman" w:eastAsia="宋体" w:cs="Times New Roman"/>
          <w:b/>
          <w:bCs w:val="0"/>
          <w:kern w:val="0"/>
          <w:sz w:val="24"/>
          <w:szCs w:val="32"/>
          <w:lang w:val="en-US" w:eastAsia="zh-CN" w:bidi="ar-SA"/>
        </w:rPr>
        <w:t xml:space="preserve">.2 </w:t>
      </w:r>
      <w:r>
        <w:rPr>
          <w:rFonts w:hint="eastAsia" w:ascii="Times New Roman" w:hAnsi="Times New Roman" w:eastAsia="宋体" w:cs="Times New Roman"/>
          <w:b/>
          <w:bCs w:val="0"/>
          <w:kern w:val="0"/>
          <w:sz w:val="24"/>
          <w:szCs w:val="32"/>
          <w:lang w:val="en-US" w:eastAsia="zh-CN" w:bidi="ar-SA"/>
        </w:rPr>
        <w:t>评价执行标准</w:t>
      </w:r>
      <w:bookmarkEnd w:id="130"/>
      <w:bookmarkEnd w:id="131"/>
    </w:p>
    <w:p w14:paraId="7A4A7956">
      <w:pPr>
        <w:spacing w:line="300" w:lineRule="auto"/>
        <w:ind w:firstLine="480" w:firstLineChars="200"/>
        <w:rPr>
          <w:rFonts w:ascii="Times New Roman" w:hAnsi="Times New Roman" w:eastAsia="宋体" w:cs="Times New Roman"/>
          <w:sz w:val="24"/>
        </w:rPr>
      </w:pPr>
      <w:bookmarkStart w:id="134" w:name="_Toc187528240"/>
      <w:r>
        <w:rPr>
          <w:rFonts w:ascii="Times New Roman" w:hAnsi="Times New Roman" w:eastAsia="宋体" w:cs="Times New Roman"/>
          <w:sz w:val="24"/>
        </w:rPr>
        <w:t>1. 施工期</w:t>
      </w:r>
    </w:p>
    <w:p w14:paraId="686EDC82">
      <w:pPr>
        <w:spacing w:afterLines="50" w:line="300" w:lineRule="auto"/>
        <w:ind w:firstLine="480" w:firstLineChars="200"/>
        <w:rPr>
          <w:rFonts w:ascii="Times New Roman" w:hAnsi="Times New Roman" w:eastAsia="宋体" w:cs="Times New Roman"/>
          <w:b/>
          <w:kern w:val="0"/>
          <w:szCs w:val="20"/>
        </w:rPr>
      </w:pPr>
      <w:r>
        <w:rPr>
          <w:rFonts w:ascii="Times New Roman" w:hAnsi="Times New Roman" w:eastAsia="宋体" w:cs="Times New Roman"/>
          <w:kern w:val="0"/>
          <w:sz w:val="24"/>
        </w:rPr>
        <w:t>施工噪声影响评价执行《建筑施工噪声排放标准》（GB12523-20</w:t>
      </w:r>
      <w:r>
        <w:rPr>
          <w:rFonts w:hint="eastAsia" w:ascii="Times New Roman" w:hAnsi="Times New Roman" w:eastAsia="宋体" w:cs="Times New Roman"/>
          <w:kern w:val="0"/>
          <w:sz w:val="24"/>
        </w:rPr>
        <w:t>25</w:t>
      </w:r>
      <w:r>
        <w:rPr>
          <w:rFonts w:ascii="Times New Roman" w:hAnsi="Times New Roman" w:eastAsia="宋体" w:cs="Times New Roman"/>
          <w:kern w:val="0"/>
          <w:sz w:val="24"/>
        </w:rPr>
        <w:t>），具体见表1.</w:t>
      </w:r>
      <w:r>
        <w:rPr>
          <w:rFonts w:hint="eastAsia" w:ascii="Times New Roman" w:hAnsi="Times New Roman" w:eastAsia="宋体" w:cs="Times New Roman"/>
          <w:kern w:val="0"/>
          <w:sz w:val="24"/>
        </w:rPr>
        <w:t>7</w:t>
      </w:r>
      <w:r>
        <w:rPr>
          <w:rFonts w:ascii="Times New Roman" w:hAnsi="Times New Roman" w:eastAsia="宋体" w:cs="Times New Roman"/>
          <w:kern w:val="0"/>
          <w:sz w:val="24"/>
        </w:rPr>
        <w:t>-1。</w:t>
      </w:r>
    </w:p>
    <w:p w14:paraId="3D5E5E5A">
      <w:pPr>
        <w:spacing w:beforeLines="50"/>
        <w:jc w:val="center"/>
        <w:rPr>
          <w:rFonts w:ascii="Times New Roman" w:hAnsi="Times New Roman" w:eastAsia="宋体" w:cs="Times New Roman"/>
          <w:b/>
        </w:rPr>
      </w:pPr>
      <w:r>
        <w:rPr>
          <w:rFonts w:ascii="Times New Roman" w:hAnsi="Times New Roman" w:eastAsia="宋体" w:cs="Times New Roman"/>
          <w:b/>
        </w:rPr>
        <w:t>表1.</w:t>
      </w:r>
      <w:r>
        <w:rPr>
          <w:rFonts w:hint="eastAsia" w:ascii="Times New Roman" w:hAnsi="Times New Roman" w:eastAsia="宋体" w:cs="Times New Roman"/>
          <w:b/>
        </w:rPr>
        <w:t>7</w:t>
      </w:r>
      <w:r>
        <w:rPr>
          <w:rFonts w:ascii="Times New Roman" w:hAnsi="Times New Roman" w:eastAsia="宋体" w:cs="Times New Roman"/>
          <w:b/>
        </w:rPr>
        <w:t>-1  建筑施工噪声排放标准</w:t>
      </w:r>
      <w:r>
        <w:rPr>
          <w:rFonts w:ascii="Times New Roman" w:hAnsi="Times New Roman" w:eastAsia="宋体" w:cs="Times New Roman"/>
          <w:b/>
          <w:bCs/>
        </w:rPr>
        <w:t>（摘录）  单位：dB（A）</w:t>
      </w:r>
    </w:p>
    <w:tbl>
      <w:tblPr>
        <w:tblStyle w:val="22"/>
        <w:tblW w:w="8366" w:type="dxa"/>
        <w:jc w:val="center"/>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4236"/>
        <w:gridCol w:w="4130"/>
      </w:tblGrid>
      <w:tr w14:paraId="0ABA3F85">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tblHeader/>
          <w:jc w:val="center"/>
        </w:trPr>
        <w:tc>
          <w:tcPr>
            <w:tcW w:w="2531" w:type="pct"/>
            <w:vAlign w:val="center"/>
          </w:tcPr>
          <w:p w14:paraId="1540FAA2">
            <w:pPr>
              <w:jc w:val="center"/>
              <w:rPr>
                <w:rFonts w:ascii="Times New Roman" w:hAnsi="Times New Roman" w:eastAsia="宋体" w:cs="Times New Roman"/>
                <w:b/>
                <w:bCs/>
              </w:rPr>
            </w:pPr>
            <w:r>
              <w:rPr>
                <w:rFonts w:ascii="Times New Roman" w:hAnsi="Times New Roman" w:eastAsia="宋体" w:cs="Times New Roman"/>
                <w:b/>
                <w:bCs/>
              </w:rPr>
              <w:t>昼  间</w:t>
            </w:r>
          </w:p>
        </w:tc>
        <w:tc>
          <w:tcPr>
            <w:tcW w:w="2468" w:type="pct"/>
            <w:vAlign w:val="center"/>
          </w:tcPr>
          <w:p w14:paraId="5BCC7F42">
            <w:pPr>
              <w:jc w:val="center"/>
              <w:rPr>
                <w:rFonts w:ascii="Times New Roman" w:hAnsi="Times New Roman" w:eastAsia="宋体" w:cs="Times New Roman"/>
                <w:b/>
                <w:bCs/>
              </w:rPr>
            </w:pPr>
            <w:r>
              <w:rPr>
                <w:rFonts w:ascii="Times New Roman" w:hAnsi="Times New Roman" w:eastAsia="宋体" w:cs="Times New Roman"/>
                <w:b/>
                <w:bCs/>
              </w:rPr>
              <w:t>夜  间</w:t>
            </w:r>
          </w:p>
        </w:tc>
      </w:tr>
      <w:tr w14:paraId="6A10CBF0">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2531" w:type="pct"/>
            <w:vAlign w:val="center"/>
          </w:tcPr>
          <w:p w14:paraId="0ABD49EF">
            <w:pPr>
              <w:jc w:val="center"/>
              <w:rPr>
                <w:rFonts w:ascii="Times New Roman" w:hAnsi="Times New Roman" w:eastAsia="宋体" w:cs="Times New Roman"/>
                <w:szCs w:val="21"/>
              </w:rPr>
            </w:pPr>
            <w:r>
              <w:rPr>
                <w:rFonts w:ascii="Times New Roman" w:hAnsi="Times New Roman" w:eastAsia="宋体" w:cs="Times New Roman"/>
                <w:szCs w:val="21"/>
              </w:rPr>
              <w:t>70</w:t>
            </w:r>
          </w:p>
        </w:tc>
        <w:tc>
          <w:tcPr>
            <w:tcW w:w="2468" w:type="pct"/>
            <w:vAlign w:val="center"/>
          </w:tcPr>
          <w:p w14:paraId="3699DBD7">
            <w:pPr>
              <w:jc w:val="center"/>
              <w:rPr>
                <w:rFonts w:ascii="Times New Roman" w:hAnsi="Times New Roman" w:eastAsia="宋体" w:cs="Times New Roman"/>
                <w:szCs w:val="21"/>
              </w:rPr>
            </w:pPr>
            <w:r>
              <w:rPr>
                <w:rFonts w:ascii="Times New Roman" w:hAnsi="Times New Roman" w:eastAsia="宋体" w:cs="Times New Roman"/>
                <w:szCs w:val="21"/>
              </w:rPr>
              <w:t>55</w:t>
            </w:r>
          </w:p>
        </w:tc>
      </w:tr>
    </w:tbl>
    <w:p w14:paraId="774E2316">
      <w:pPr>
        <w:rPr>
          <w:rFonts w:ascii="Times New Roman" w:hAnsi="Times New Roman" w:eastAsia="宋体" w:cs="Times New Roman"/>
        </w:rPr>
      </w:pPr>
      <w:r>
        <w:rPr>
          <w:rFonts w:ascii="Times New Roman" w:hAnsi="Times New Roman" w:eastAsia="宋体" w:cs="Times New Roman"/>
        </w:rPr>
        <w:t>注：夜间噪声最大声级超过限值的幅度不得高于15dB。</w:t>
      </w:r>
    </w:p>
    <w:p w14:paraId="7572483D">
      <w:pPr>
        <w:spacing w:beforeLines="50" w:line="30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2. 现状及营运期</w:t>
      </w:r>
    </w:p>
    <w:p w14:paraId="11ED38B5">
      <w:pPr>
        <w:widowControl/>
        <w:adjustRightInd w:val="0"/>
        <w:snapToGrid/>
        <w:spacing w:line="300" w:lineRule="auto"/>
        <w:ind w:firstLine="480" w:firstLineChars="200"/>
        <w:jc w:val="both"/>
        <w:rPr>
          <w:rFonts w:ascii="Times New Roman" w:hAnsi="Times New Roman" w:eastAsia="宋体" w:cs="Times New Roman"/>
          <w:kern w:val="2"/>
          <w:sz w:val="24"/>
          <w:szCs w:val="20"/>
          <w:lang w:val="en-US" w:eastAsia="zh-CN" w:bidi="ar-SA"/>
        </w:rPr>
      </w:pPr>
      <w:r>
        <w:rPr>
          <w:rFonts w:hint="eastAsia" w:ascii="Times New Roman" w:hAnsi="Times New Roman" w:eastAsia="宋体" w:cs="Times New Roman"/>
          <w:kern w:val="2"/>
          <w:sz w:val="24"/>
          <w:szCs w:val="20"/>
          <w:lang w:val="en-US" w:eastAsia="zh-CN" w:bidi="ar-SA"/>
        </w:rPr>
        <w:t>评价范围内拟建</w:t>
      </w:r>
      <w:r>
        <w:rPr>
          <w:rFonts w:ascii="Times New Roman" w:hAnsi="Times New Roman" w:eastAsia="宋体" w:cs="Times New Roman"/>
          <w:kern w:val="2"/>
          <w:sz w:val="24"/>
          <w:szCs w:val="20"/>
          <w:lang w:val="en-US" w:eastAsia="zh-CN" w:bidi="ar-SA"/>
        </w:rPr>
        <w:t>公路、</w:t>
      </w:r>
      <w:r>
        <w:rPr>
          <w:rFonts w:hint="eastAsia" w:ascii="Times New Roman" w:hAnsi="Times New Roman" w:eastAsia="仿宋_GB2312" w:cs="Times New Roman"/>
          <w:kern w:val="0"/>
          <w:sz w:val="24"/>
          <w:szCs w:val="28"/>
          <w:lang w:val="en-US" w:eastAsia="zh-CN" w:bidi="ar-SA"/>
        </w:rPr>
        <w:t>G3012</w:t>
      </w:r>
      <w:r>
        <w:rPr>
          <w:rFonts w:hint="eastAsia" w:ascii="Times New Roman" w:hAnsi="Times New Roman" w:eastAsia="宋体" w:cs="Times New Roman"/>
          <w:kern w:val="2"/>
          <w:sz w:val="24"/>
          <w:szCs w:val="20"/>
          <w:lang w:val="en-US" w:eastAsia="zh-CN" w:bidi="ar-SA"/>
        </w:rPr>
        <w:t>、S311及南疆铁路等</w:t>
      </w:r>
      <w:r>
        <w:rPr>
          <w:rFonts w:ascii="Times New Roman" w:hAnsi="Times New Roman" w:eastAsia="宋体" w:cs="Times New Roman"/>
          <w:kern w:val="2"/>
          <w:sz w:val="24"/>
          <w:szCs w:val="20"/>
          <w:lang w:val="en-US" w:eastAsia="zh-CN" w:bidi="ar-SA"/>
        </w:rPr>
        <w:t>交通干线边界外35m以内区域执行《声环境质量标准》</w:t>
      </w:r>
      <w:r>
        <w:rPr>
          <w:rFonts w:hint="eastAsia" w:ascii="Times New Roman" w:hAnsi="Times New Roman" w:eastAsia="宋体" w:cs="Times New Roman"/>
          <w:kern w:val="2"/>
          <w:sz w:val="24"/>
          <w:szCs w:val="20"/>
          <w:lang w:val="en-US" w:eastAsia="zh-CN" w:bidi="ar-SA"/>
        </w:rPr>
        <w:t>（</w:t>
      </w:r>
      <w:r>
        <w:rPr>
          <w:rFonts w:ascii="Times New Roman" w:hAnsi="Times New Roman" w:eastAsia="宋体" w:cs="Times New Roman"/>
          <w:kern w:val="2"/>
          <w:sz w:val="24"/>
          <w:szCs w:val="20"/>
          <w:lang w:val="en-US" w:eastAsia="zh-CN" w:bidi="ar-SA"/>
        </w:rPr>
        <w:t>GB3096-2008</w:t>
      </w:r>
      <w:r>
        <w:rPr>
          <w:rFonts w:hint="eastAsia" w:ascii="Times New Roman" w:hAnsi="Times New Roman" w:eastAsia="宋体" w:cs="Times New Roman"/>
          <w:kern w:val="2"/>
          <w:sz w:val="24"/>
          <w:szCs w:val="20"/>
          <w:lang w:val="en-US" w:eastAsia="zh-CN" w:bidi="ar-SA"/>
        </w:rPr>
        <w:t>）</w:t>
      </w:r>
      <w:r>
        <w:rPr>
          <w:rFonts w:ascii="Times New Roman" w:hAnsi="Times New Roman" w:eastAsia="宋体" w:cs="Times New Roman"/>
          <w:kern w:val="2"/>
          <w:sz w:val="24"/>
          <w:szCs w:val="20"/>
          <w:lang w:val="en-US" w:eastAsia="zh-CN" w:bidi="ar-SA"/>
        </w:rPr>
        <w:t>4a类标准，35m以外区域执行2类标准</w:t>
      </w:r>
      <w:r>
        <w:rPr>
          <w:rFonts w:hint="eastAsia" w:ascii="Times New Roman" w:hAnsi="Times New Roman" w:eastAsia="宋体" w:cs="Times New Roman"/>
          <w:kern w:val="2"/>
          <w:sz w:val="24"/>
          <w:szCs w:val="20"/>
          <w:lang w:val="en-US" w:eastAsia="zh-CN" w:bidi="ar-SA"/>
        </w:rPr>
        <w:t>，</w:t>
      </w:r>
      <w:r>
        <w:rPr>
          <w:rFonts w:ascii="Times New Roman" w:hAnsi="Times New Roman" w:eastAsia="宋体" w:cs="Times New Roman"/>
          <w:kern w:val="2"/>
          <w:sz w:val="24"/>
          <w:szCs w:val="20"/>
          <w:lang w:val="en-US" w:eastAsia="zh-CN" w:bidi="ar-SA"/>
        </w:rPr>
        <w:t>学校、</w:t>
      </w:r>
      <w:r>
        <w:rPr>
          <w:rFonts w:hint="eastAsia" w:ascii="Times New Roman" w:hAnsi="Times New Roman" w:eastAsia="宋体" w:cs="Times New Roman"/>
          <w:kern w:val="2"/>
          <w:sz w:val="24"/>
          <w:szCs w:val="20"/>
          <w:lang w:val="en-US" w:eastAsia="zh-CN" w:bidi="ar-SA"/>
        </w:rPr>
        <w:t>卫生院</w:t>
      </w:r>
      <w:r>
        <w:rPr>
          <w:rFonts w:ascii="Times New Roman" w:hAnsi="Times New Roman" w:eastAsia="宋体" w:cs="Times New Roman"/>
          <w:kern w:val="2"/>
          <w:sz w:val="24"/>
          <w:szCs w:val="20"/>
          <w:lang w:val="en-US" w:eastAsia="zh-CN" w:bidi="ar-SA"/>
        </w:rPr>
        <w:t>等特殊敏感区执行</w:t>
      </w:r>
      <w:r>
        <w:rPr>
          <w:rFonts w:hint="eastAsia" w:ascii="Times New Roman" w:hAnsi="Times New Roman" w:eastAsia="宋体" w:cs="Times New Roman"/>
          <w:kern w:val="2"/>
          <w:sz w:val="24"/>
          <w:szCs w:val="20"/>
          <w:lang w:val="en-US" w:eastAsia="zh-CN" w:bidi="ar-SA"/>
        </w:rPr>
        <w:t>昼间60dB(A)、夜间50dB(A)。</w:t>
      </w:r>
      <w:r>
        <w:rPr>
          <w:rFonts w:ascii="Times New Roman" w:hAnsi="Times New Roman" w:eastAsia="宋体" w:cs="Times New Roman"/>
          <w:kern w:val="2"/>
          <w:sz w:val="24"/>
          <w:szCs w:val="20"/>
          <w:lang w:val="en-US" w:eastAsia="zh-CN" w:bidi="ar-SA"/>
        </w:rPr>
        <w:t>具体见表1.</w:t>
      </w:r>
      <w:r>
        <w:rPr>
          <w:rFonts w:hint="eastAsia" w:ascii="Times New Roman" w:hAnsi="Times New Roman" w:eastAsia="宋体" w:cs="Times New Roman"/>
          <w:kern w:val="2"/>
          <w:sz w:val="24"/>
          <w:szCs w:val="20"/>
          <w:lang w:val="en-US" w:eastAsia="zh-CN" w:bidi="ar-SA"/>
        </w:rPr>
        <w:t>7</w:t>
      </w:r>
      <w:r>
        <w:rPr>
          <w:rFonts w:ascii="Times New Roman" w:hAnsi="Times New Roman" w:eastAsia="宋体" w:cs="Times New Roman"/>
          <w:kern w:val="2"/>
          <w:sz w:val="24"/>
          <w:szCs w:val="20"/>
          <w:lang w:val="en-US" w:eastAsia="zh-CN" w:bidi="ar-SA"/>
        </w:rPr>
        <w:t>-2。</w:t>
      </w:r>
    </w:p>
    <w:p w14:paraId="59050F84">
      <w:pPr>
        <w:spacing w:beforeLines="50"/>
        <w:jc w:val="center"/>
        <w:rPr>
          <w:rFonts w:ascii="Times New Roman" w:hAnsi="Times New Roman" w:eastAsia="宋体" w:cs="Times New Roman"/>
          <w:b/>
        </w:rPr>
      </w:pPr>
      <w:r>
        <w:rPr>
          <w:rFonts w:ascii="Times New Roman" w:hAnsi="Times New Roman" w:eastAsia="宋体" w:cs="Times New Roman"/>
          <w:b/>
        </w:rPr>
        <w:t>表1.</w:t>
      </w:r>
      <w:r>
        <w:rPr>
          <w:rFonts w:hint="eastAsia" w:ascii="Times New Roman" w:hAnsi="Times New Roman" w:eastAsia="宋体" w:cs="Times New Roman"/>
          <w:b/>
        </w:rPr>
        <w:t>7</w:t>
      </w:r>
      <w:r>
        <w:rPr>
          <w:rFonts w:ascii="Times New Roman" w:hAnsi="Times New Roman" w:eastAsia="宋体" w:cs="Times New Roman"/>
          <w:b/>
        </w:rPr>
        <w:t>-2  声环境评价执行标准（摘录）</w:t>
      </w:r>
      <w:r>
        <w:rPr>
          <w:rFonts w:hint="eastAsia" w:ascii="Times New Roman" w:hAnsi="Times New Roman" w:eastAsia="宋体" w:cs="Times New Roman"/>
          <w:b/>
        </w:rPr>
        <w:t xml:space="preserve">  </w:t>
      </w:r>
      <w:r>
        <w:rPr>
          <w:rFonts w:ascii="Times New Roman" w:hAnsi="Times New Roman" w:eastAsia="宋体" w:cs="Times New Roman"/>
          <w:b/>
        </w:rPr>
        <w:t>单位：dB（A）</w:t>
      </w:r>
    </w:p>
    <w:tbl>
      <w:tblPr>
        <w:tblStyle w:val="22"/>
        <w:tblW w:w="4951" w:type="pct"/>
        <w:jc w:val="center"/>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2010"/>
        <w:gridCol w:w="3116"/>
        <w:gridCol w:w="3312"/>
      </w:tblGrid>
      <w:tr w14:paraId="41705083">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191" w:type="pct"/>
            <w:vMerge w:val="restart"/>
            <w:vAlign w:val="center"/>
          </w:tcPr>
          <w:p w14:paraId="157F89FF">
            <w:pPr>
              <w:jc w:val="center"/>
              <w:rPr>
                <w:rFonts w:ascii="Times New Roman" w:hAnsi="Times New Roman" w:eastAsia="宋体" w:cs="Times New Roman"/>
                <w:b/>
                <w:bCs/>
                <w:spacing w:val="5"/>
                <w:szCs w:val="21"/>
              </w:rPr>
            </w:pPr>
            <w:r>
              <w:rPr>
                <w:rFonts w:ascii="Times New Roman" w:hAnsi="Times New Roman" w:eastAsia="宋体" w:cs="Times New Roman"/>
                <w:b/>
                <w:bCs/>
                <w:spacing w:val="5"/>
                <w:szCs w:val="21"/>
              </w:rPr>
              <w:t>类别</w:t>
            </w:r>
          </w:p>
        </w:tc>
        <w:tc>
          <w:tcPr>
            <w:tcW w:w="3808" w:type="pct"/>
            <w:gridSpan w:val="2"/>
            <w:vAlign w:val="center"/>
          </w:tcPr>
          <w:p w14:paraId="5F2F003E">
            <w:pPr>
              <w:jc w:val="center"/>
              <w:rPr>
                <w:rFonts w:ascii="Times New Roman" w:hAnsi="Times New Roman" w:eastAsia="宋体" w:cs="Times New Roman"/>
                <w:b/>
                <w:bCs/>
                <w:spacing w:val="5"/>
                <w:szCs w:val="21"/>
              </w:rPr>
            </w:pPr>
            <w:r>
              <w:rPr>
                <w:rFonts w:ascii="Times New Roman" w:hAnsi="Times New Roman" w:eastAsia="宋体" w:cs="Times New Roman"/>
                <w:b/>
                <w:bCs/>
                <w:spacing w:val="5"/>
                <w:szCs w:val="21"/>
              </w:rPr>
              <w:t>等效声级L</w:t>
            </w:r>
            <w:r>
              <w:rPr>
                <w:rFonts w:ascii="Times New Roman" w:hAnsi="Times New Roman" w:eastAsia="宋体" w:cs="Times New Roman"/>
                <w:b/>
                <w:bCs/>
                <w:spacing w:val="5"/>
                <w:szCs w:val="21"/>
                <w:vertAlign w:val="subscript"/>
              </w:rPr>
              <w:t>Aeq</w:t>
            </w:r>
            <w:r>
              <w:rPr>
                <w:rFonts w:ascii="Times New Roman" w:hAnsi="Times New Roman" w:eastAsia="宋体" w:cs="Times New Roman"/>
                <w:b/>
                <w:bCs/>
                <w:spacing w:val="5"/>
                <w:szCs w:val="21"/>
              </w:rPr>
              <w:t>(dB)</w:t>
            </w:r>
          </w:p>
        </w:tc>
      </w:tr>
      <w:tr w14:paraId="19F91E19">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45" w:hRule="atLeast"/>
          <w:jc w:val="center"/>
        </w:trPr>
        <w:tc>
          <w:tcPr>
            <w:tcW w:w="1191" w:type="pct"/>
            <w:vMerge w:val="continue"/>
            <w:vAlign w:val="center"/>
          </w:tcPr>
          <w:p w14:paraId="28999970">
            <w:pPr>
              <w:jc w:val="center"/>
              <w:rPr>
                <w:rFonts w:ascii="Times New Roman" w:hAnsi="Times New Roman" w:eastAsia="宋体" w:cs="Times New Roman"/>
                <w:b/>
                <w:bCs/>
                <w:spacing w:val="5"/>
                <w:szCs w:val="21"/>
              </w:rPr>
            </w:pPr>
          </w:p>
        </w:tc>
        <w:tc>
          <w:tcPr>
            <w:tcW w:w="1846" w:type="pct"/>
            <w:vAlign w:val="center"/>
          </w:tcPr>
          <w:p w14:paraId="2D20B1AB">
            <w:pPr>
              <w:jc w:val="center"/>
              <w:rPr>
                <w:rFonts w:ascii="Times New Roman" w:hAnsi="Times New Roman" w:eastAsia="宋体" w:cs="Times New Roman"/>
                <w:b/>
                <w:bCs/>
                <w:spacing w:val="5"/>
                <w:szCs w:val="21"/>
              </w:rPr>
            </w:pPr>
            <w:r>
              <w:rPr>
                <w:rFonts w:ascii="Times New Roman" w:hAnsi="Times New Roman" w:eastAsia="宋体" w:cs="Times New Roman"/>
                <w:b/>
                <w:bCs/>
                <w:spacing w:val="5"/>
                <w:szCs w:val="21"/>
              </w:rPr>
              <w:t>昼 间</w:t>
            </w:r>
          </w:p>
        </w:tc>
        <w:tc>
          <w:tcPr>
            <w:tcW w:w="1962" w:type="pct"/>
            <w:vAlign w:val="center"/>
          </w:tcPr>
          <w:p w14:paraId="25B25591">
            <w:pPr>
              <w:jc w:val="center"/>
              <w:rPr>
                <w:rFonts w:ascii="Times New Roman" w:hAnsi="Times New Roman" w:eastAsia="宋体" w:cs="Times New Roman"/>
                <w:b/>
                <w:bCs/>
                <w:spacing w:val="5"/>
                <w:szCs w:val="21"/>
              </w:rPr>
            </w:pPr>
            <w:r>
              <w:rPr>
                <w:rFonts w:ascii="Times New Roman" w:hAnsi="Times New Roman" w:eastAsia="宋体" w:cs="Times New Roman"/>
                <w:b/>
                <w:bCs/>
                <w:spacing w:val="5"/>
                <w:szCs w:val="21"/>
              </w:rPr>
              <w:t>夜 间</w:t>
            </w:r>
          </w:p>
        </w:tc>
      </w:tr>
      <w:tr w14:paraId="73B9B410">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164" w:hRule="atLeast"/>
          <w:jc w:val="center"/>
        </w:trPr>
        <w:tc>
          <w:tcPr>
            <w:tcW w:w="1191" w:type="pct"/>
            <w:vAlign w:val="center"/>
          </w:tcPr>
          <w:p w14:paraId="62C05DE9">
            <w:pPr>
              <w:widowControl w:val="0"/>
              <w:pBdr>
                <w:bottom w:val="none" w:color="auto" w:sz="0" w:space="0"/>
              </w:pBdr>
              <w:tabs>
                <w:tab w:val="left" w:pos="420"/>
              </w:tabs>
              <w:snapToGrid w:val="0"/>
              <w:jc w:val="center"/>
              <w:rPr>
                <w:rFonts w:ascii="Times New Roman" w:hAnsi="Times New Roman" w:eastAsia="宋体" w:cs="Times New Roman"/>
                <w:spacing w:val="5"/>
                <w:kern w:val="2"/>
                <w:sz w:val="21"/>
                <w:szCs w:val="21"/>
                <w:lang w:val="en-US" w:eastAsia="zh-CN" w:bidi="ar-SA"/>
              </w:rPr>
            </w:pPr>
            <w:r>
              <w:rPr>
                <w:rFonts w:ascii="Times New Roman" w:hAnsi="Times New Roman" w:eastAsia="宋体" w:cs="Times New Roman"/>
                <w:spacing w:val="5"/>
                <w:kern w:val="2"/>
                <w:sz w:val="21"/>
                <w:szCs w:val="21"/>
                <w:lang w:val="en-US" w:eastAsia="zh-CN" w:bidi="ar-SA"/>
              </w:rPr>
              <w:t>4a类</w:t>
            </w:r>
          </w:p>
        </w:tc>
        <w:tc>
          <w:tcPr>
            <w:tcW w:w="1846" w:type="pct"/>
            <w:vAlign w:val="center"/>
          </w:tcPr>
          <w:p w14:paraId="31500C9A">
            <w:pPr>
              <w:jc w:val="center"/>
              <w:rPr>
                <w:rFonts w:ascii="Times New Roman" w:hAnsi="Times New Roman" w:eastAsia="宋体" w:cs="Times New Roman"/>
                <w:spacing w:val="5"/>
                <w:szCs w:val="21"/>
              </w:rPr>
            </w:pPr>
            <w:r>
              <w:rPr>
                <w:rFonts w:ascii="Times New Roman" w:hAnsi="Times New Roman" w:eastAsia="宋体" w:cs="Times New Roman"/>
                <w:spacing w:val="5"/>
                <w:szCs w:val="21"/>
              </w:rPr>
              <w:t>70</w:t>
            </w:r>
          </w:p>
        </w:tc>
        <w:tc>
          <w:tcPr>
            <w:tcW w:w="1962" w:type="pct"/>
            <w:vAlign w:val="center"/>
          </w:tcPr>
          <w:p w14:paraId="6E381A0A">
            <w:pPr>
              <w:jc w:val="center"/>
              <w:rPr>
                <w:rFonts w:ascii="Times New Roman" w:hAnsi="Times New Roman" w:eastAsia="宋体" w:cs="Times New Roman"/>
                <w:spacing w:val="5"/>
                <w:szCs w:val="21"/>
              </w:rPr>
            </w:pPr>
            <w:r>
              <w:rPr>
                <w:rFonts w:ascii="Times New Roman" w:hAnsi="Times New Roman" w:eastAsia="宋体" w:cs="Times New Roman"/>
                <w:spacing w:val="5"/>
                <w:szCs w:val="21"/>
              </w:rPr>
              <w:t>55</w:t>
            </w:r>
          </w:p>
        </w:tc>
      </w:tr>
      <w:tr w14:paraId="793E3FDF">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45" w:hRule="atLeast"/>
          <w:jc w:val="center"/>
        </w:trPr>
        <w:tc>
          <w:tcPr>
            <w:tcW w:w="1191" w:type="pct"/>
            <w:vAlign w:val="center"/>
          </w:tcPr>
          <w:p w14:paraId="0BD8C148">
            <w:pPr>
              <w:widowControl w:val="0"/>
              <w:pBdr>
                <w:bottom w:val="none" w:color="auto" w:sz="0" w:space="0"/>
              </w:pBdr>
              <w:tabs>
                <w:tab w:val="left" w:pos="420"/>
              </w:tabs>
              <w:snapToGrid w:val="0"/>
              <w:jc w:val="center"/>
              <w:rPr>
                <w:rFonts w:ascii="Times New Roman" w:hAnsi="Times New Roman" w:eastAsia="宋体" w:cs="Times New Roman"/>
                <w:spacing w:val="5"/>
                <w:kern w:val="2"/>
                <w:sz w:val="21"/>
                <w:szCs w:val="21"/>
                <w:lang w:val="en-US" w:eastAsia="zh-CN" w:bidi="ar-SA"/>
              </w:rPr>
            </w:pPr>
            <w:r>
              <w:rPr>
                <w:rFonts w:ascii="Times New Roman" w:hAnsi="Times New Roman" w:eastAsia="宋体" w:cs="Times New Roman"/>
                <w:spacing w:val="5"/>
                <w:kern w:val="2"/>
                <w:sz w:val="21"/>
                <w:szCs w:val="21"/>
                <w:lang w:val="en-US" w:eastAsia="zh-CN" w:bidi="ar-SA"/>
              </w:rPr>
              <w:t>2</w:t>
            </w:r>
            <w:r>
              <w:rPr>
                <w:rFonts w:hint="eastAsia" w:ascii="Times New Roman" w:hAnsi="Times New Roman" w:eastAsia="宋体" w:cs="Times New Roman"/>
                <w:spacing w:val="5"/>
                <w:kern w:val="2"/>
                <w:sz w:val="21"/>
                <w:szCs w:val="21"/>
                <w:lang w:val="en-US" w:eastAsia="zh-CN" w:bidi="ar-SA"/>
              </w:rPr>
              <w:t>类</w:t>
            </w:r>
          </w:p>
        </w:tc>
        <w:tc>
          <w:tcPr>
            <w:tcW w:w="1846" w:type="pct"/>
            <w:vAlign w:val="center"/>
          </w:tcPr>
          <w:p w14:paraId="35ED436F">
            <w:pPr>
              <w:jc w:val="center"/>
              <w:rPr>
                <w:rFonts w:ascii="Times New Roman" w:hAnsi="Times New Roman" w:eastAsia="宋体" w:cs="Times New Roman"/>
                <w:spacing w:val="5"/>
                <w:szCs w:val="21"/>
              </w:rPr>
            </w:pPr>
            <w:r>
              <w:rPr>
                <w:rFonts w:ascii="Times New Roman" w:hAnsi="Times New Roman" w:eastAsia="宋体" w:cs="Times New Roman"/>
                <w:spacing w:val="5"/>
                <w:szCs w:val="21"/>
              </w:rPr>
              <w:t>60</w:t>
            </w:r>
          </w:p>
        </w:tc>
        <w:tc>
          <w:tcPr>
            <w:tcW w:w="1962" w:type="pct"/>
            <w:vAlign w:val="center"/>
          </w:tcPr>
          <w:p w14:paraId="7AB82D90">
            <w:pPr>
              <w:jc w:val="center"/>
              <w:rPr>
                <w:rFonts w:ascii="Times New Roman" w:hAnsi="Times New Roman" w:eastAsia="宋体" w:cs="Times New Roman"/>
                <w:spacing w:val="5"/>
                <w:szCs w:val="21"/>
              </w:rPr>
            </w:pPr>
            <w:r>
              <w:rPr>
                <w:rFonts w:ascii="Times New Roman" w:hAnsi="Times New Roman" w:eastAsia="宋体" w:cs="Times New Roman"/>
                <w:spacing w:val="5"/>
                <w:szCs w:val="21"/>
              </w:rPr>
              <w:t>50</w:t>
            </w:r>
          </w:p>
        </w:tc>
      </w:tr>
      <w:tr w14:paraId="0D3DCD5A">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45" w:hRule="atLeast"/>
          <w:jc w:val="center"/>
        </w:trPr>
        <w:tc>
          <w:tcPr>
            <w:tcW w:w="1191" w:type="pct"/>
            <w:vAlign w:val="center"/>
          </w:tcPr>
          <w:p w14:paraId="305DD303">
            <w:pPr>
              <w:widowControl w:val="0"/>
              <w:pBdr>
                <w:bottom w:val="none" w:color="auto" w:sz="0" w:space="0"/>
              </w:pBdr>
              <w:tabs>
                <w:tab w:val="left" w:pos="420"/>
              </w:tabs>
              <w:snapToGrid w:val="0"/>
              <w:jc w:val="center"/>
              <w:rPr>
                <w:rFonts w:ascii="Times New Roman" w:hAnsi="Times New Roman" w:eastAsia="宋体" w:cs="Times New Roman"/>
                <w:spacing w:val="5"/>
                <w:kern w:val="2"/>
                <w:sz w:val="21"/>
                <w:szCs w:val="21"/>
                <w:lang w:val="en-US" w:eastAsia="zh-CN" w:bidi="ar-SA"/>
              </w:rPr>
            </w:pPr>
            <w:r>
              <w:rPr>
                <w:rFonts w:ascii="Times New Roman" w:hAnsi="Times New Roman" w:eastAsia="宋体" w:cs="Times New Roman"/>
                <w:kern w:val="2"/>
                <w:sz w:val="21"/>
                <w:szCs w:val="21"/>
                <w:lang w:val="en-US" w:eastAsia="zh-CN" w:bidi="ar-SA"/>
              </w:rPr>
              <w:t>学校、</w:t>
            </w:r>
            <w:r>
              <w:rPr>
                <w:rFonts w:hint="eastAsia" w:ascii="Times New Roman" w:hAnsi="Times New Roman" w:eastAsia="宋体" w:cs="Times New Roman"/>
                <w:kern w:val="2"/>
                <w:sz w:val="21"/>
                <w:szCs w:val="21"/>
                <w:lang w:val="en-US" w:eastAsia="zh-CN" w:bidi="ar-SA"/>
              </w:rPr>
              <w:t>卫生院</w:t>
            </w:r>
          </w:p>
        </w:tc>
        <w:tc>
          <w:tcPr>
            <w:tcW w:w="1846" w:type="pct"/>
            <w:vAlign w:val="center"/>
          </w:tcPr>
          <w:p w14:paraId="40B4CC8F">
            <w:pPr>
              <w:jc w:val="center"/>
              <w:rPr>
                <w:rFonts w:ascii="Times New Roman" w:hAnsi="Times New Roman" w:eastAsia="宋体" w:cs="Times New Roman"/>
                <w:spacing w:val="5"/>
                <w:szCs w:val="21"/>
              </w:rPr>
            </w:pPr>
            <w:r>
              <w:rPr>
                <w:rFonts w:hint="eastAsia" w:ascii="Times New Roman" w:hAnsi="Times New Roman" w:eastAsia="宋体" w:cs="Times New Roman"/>
                <w:spacing w:val="5"/>
                <w:szCs w:val="21"/>
              </w:rPr>
              <w:t>60</w:t>
            </w:r>
          </w:p>
        </w:tc>
        <w:tc>
          <w:tcPr>
            <w:tcW w:w="1962" w:type="pct"/>
            <w:vAlign w:val="center"/>
          </w:tcPr>
          <w:p w14:paraId="46132314">
            <w:pPr>
              <w:jc w:val="center"/>
              <w:rPr>
                <w:rFonts w:ascii="Times New Roman" w:hAnsi="Times New Roman" w:eastAsia="宋体" w:cs="Times New Roman"/>
                <w:spacing w:val="5"/>
                <w:szCs w:val="21"/>
              </w:rPr>
            </w:pPr>
            <w:r>
              <w:rPr>
                <w:rFonts w:hint="eastAsia" w:ascii="Times New Roman" w:hAnsi="Times New Roman" w:eastAsia="宋体" w:cs="Times New Roman"/>
                <w:spacing w:val="5"/>
                <w:szCs w:val="21"/>
              </w:rPr>
              <w:t>50</w:t>
            </w:r>
          </w:p>
        </w:tc>
      </w:tr>
    </w:tbl>
    <w:p w14:paraId="58B12364">
      <w:pPr>
        <w:keepNext/>
        <w:keepLines/>
        <w:widowControl w:val="0"/>
        <w:adjustRightInd w:val="0"/>
        <w:spacing w:before="240" w:after="240" w:line="240" w:lineRule="auto"/>
        <w:jc w:val="both"/>
        <w:textAlignment w:val="baseline"/>
        <w:outlineLvl w:val="1"/>
        <w:rPr>
          <w:rFonts w:ascii="Arial" w:hAnsi="Arial" w:eastAsia="黑体" w:cs="Times New Roman"/>
          <w:b/>
          <w:bCs/>
          <w:kern w:val="0"/>
          <w:sz w:val="28"/>
          <w:szCs w:val="32"/>
          <w:lang w:val="en-US" w:eastAsia="zh-CN" w:bidi="ar-SA"/>
        </w:rPr>
      </w:pPr>
      <w:r>
        <w:rPr>
          <w:rFonts w:ascii="Times New Roman" w:hAnsi="Times New Roman" w:eastAsia="宋体" w:cs="Times New Roman"/>
          <w:b/>
          <w:bCs/>
          <w:kern w:val="0"/>
          <w:sz w:val="28"/>
          <w:szCs w:val="32"/>
          <w:lang w:val="en-US" w:eastAsia="zh-CN" w:bidi="ar-SA"/>
        </w:rPr>
        <w:t>1.</w:t>
      </w:r>
      <w:r>
        <w:rPr>
          <w:rFonts w:hint="eastAsia" w:ascii="Times New Roman" w:hAnsi="Times New Roman" w:eastAsia="宋体" w:cs="Times New Roman"/>
          <w:b/>
          <w:bCs/>
          <w:kern w:val="0"/>
          <w:sz w:val="28"/>
          <w:szCs w:val="32"/>
          <w:lang w:val="en-US" w:eastAsia="zh-CN" w:bidi="ar-SA"/>
        </w:rPr>
        <w:t>8</w:t>
      </w:r>
      <w:r>
        <w:rPr>
          <w:rFonts w:ascii="Times New Roman" w:hAnsi="Times New Roman" w:eastAsia="宋体" w:cs="Times New Roman"/>
          <w:b/>
          <w:bCs/>
          <w:kern w:val="0"/>
          <w:sz w:val="28"/>
          <w:szCs w:val="32"/>
          <w:lang w:val="en-US" w:eastAsia="zh-CN" w:bidi="ar-SA"/>
        </w:rPr>
        <w:t xml:space="preserve"> </w:t>
      </w:r>
      <w:r>
        <w:rPr>
          <w:rFonts w:hint="eastAsia" w:ascii="Times New Roman" w:hAnsi="Times New Roman" w:eastAsia="宋体" w:cs="Times New Roman"/>
          <w:b/>
          <w:bCs/>
          <w:kern w:val="0"/>
          <w:sz w:val="28"/>
          <w:szCs w:val="32"/>
          <w:lang w:val="en-US" w:eastAsia="zh-CN" w:bidi="ar-SA"/>
        </w:rPr>
        <w:t>评价预测年限</w:t>
      </w:r>
      <w:bookmarkEnd w:id="134"/>
    </w:p>
    <w:p w14:paraId="215148D2">
      <w:pPr>
        <w:spacing w:line="300"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评价时段综合考虑设计期、施工期和营运期，并参照工可文件中交通量预测年限，分别选择2028年、20</w:t>
      </w:r>
      <w:r>
        <w:rPr>
          <w:rFonts w:ascii="Times New Roman" w:hAnsi="Times New Roman" w:eastAsia="宋体" w:cs="Times New Roman"/>
          <w:sz w:val="24"/>
        </w:rPr>
        <w:t>3</w:t>
      </w:r>
      <w:r>
        <w:rPr>
          <w:rFonts w:hint="eastAsia" w:ascii="Times New Roman" w:hAnsi="Times New Roman" w:eastAsia="宋体" w:cs="Times New Roman"/>
          <w:sz w:val="24"/>
        </w:rPr>
        <w:t>4年、2042年代表营运近、中、远期进行预测评价。</w:t>
      </w:r>
    </w:p>
    <w:p w14:paraId="3E9331B9">
      <w:pPr>
        <w:spacing w:line="300"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施工期评价年限为施工期间，为</w:t>
      </w:r>
      <w:r>
        <w:rPr>
          <w:rFonts w:ascii="Times New Roman" w:hAnsi="Times New Roman" w:eastAsia="宋体" w:cs="Times New Roman"/>
          <w:sz w:val="24"/>
        </w:rPr>
        <w:t>202</w:t>
      </w:r>
      <w:r>
        <w:rPr>
          <w:rFonts w:hint="eastAsia" w:ascii="Times New Roman" w:hAnsi="Times New Roman" w:eastAsia="宋体" w:cs="Times New Roman"/>
          <w:sz w:val="24"/>
        </w:rPr>
        <w:t>6年8月～</w:t>
      </w:r>
      <w:r>
        <w:rPr>
          <w:rFonts w:ascii="Times New Roman" w:hAnsi="Times New Roman" w:eastAsia="宋体" w:cs="Times New Roman"/>
          <w:sz w:val="24"/>
        </w:rPr>
        <w:t>202</w:t>
      </w:r>
      <w:r>
        <w:rPr>
          <w:rFonts w:hint="eastAsia" w:ascii="Times New Roman" w:hAnsi="Times New Roman" w:eastAsia="宋体" w:cs="Times New Roman"/>
          <w:sz w:val="24"/>
        </w:rPr>
        <w:t>8年7月，施工期2年。</w:t>
      </w:r>
    </w:p>
    <w:p w14:paraId="7698136B">
      <w:pPr>
        <w:keepNext/>
        <w:keepLines/>
        <w:widowControl w:val="0"/>
        <w:adjustRightInd w:val="0"/>
        <w:spacing w:before="240" w:after="240" w:line="240" w:lineRule="auto"/>
        <w:jc w:val="both"/>
        <w:textAlignment w:val="baseline"/>
        <w:outlineLvl w:val="1"/>
        <w:rPr>
          <w:rFonts w:ascii="Arial" w:hAnsi="Arial" w:eastAsia="黑体" w:cs="Times New Roman"/>
          <w:b/>
          <w:bCs/>
          <w:kern w:val="0"/>
          <w:sz w:val="28"/>
          <w:szCs w:val="32"/>
          <w:lang w:val="en-US" w:eastAsia="zh-CN" w:bidi="ar-SA"/>
        </w:rPr>
      </w:pPr>
      <w:bookmarkStart w:id="135" w:name="_Toc187528241"/>
      <w:r>
        <w:rPr>
          <w:rFonts w:ascii="Times New Roman" w:hAnsi="Times New Roman" w:eastAsia="宋体" w:cs="Times New Roman"/>
          <w:b/>
          <w:bCs/>
          <w:kern w:val="0"/>
          <w:sz w:val="28"/>
          <w:szCs w:val="32"/>
          <w:lang w:val="en-US" w:eastAsia="zh-CN" w:bidi="ar-SA"/>
        </w:rPr>
        <w:t>1.</w:t>
      </w:r>
      <w:r>
        <w:rPr>
          <w:rFonts w:hint="eastAsia" w:ascii="Times New Roman" w:hAnsi="Times New Roman" w:eastAsia="宋体" w:cs="Times New Roman"/>
          <w:b/>
          <w:bCs/>
          <w:kern w:val="0"/>
          <w:sz w:val="28"/>
          <w:szCs w:val="32"/>
          <w:lang w:val="en-US" w:eastAsia="zh-CN" w:bidi="ar-SA"/>
        </w:rPr>
        <w:t>9</w:t>
      </w:r>
      <w:r>
        <w:rPr>
          <w:rFonts w:ascii="Times New Roman" w:hAnsi="Times New Roman" w:eastAsia="宋体" w:cs="Times New Roman"/>
          <w:b/>
          <w:bCs/>
          <w:kern w:val="0"/>
          <w:sz w:val="28"/>
          <w:szCs w:val="32"/>
          <w:lang w:val="en-US" w:eastAsia="zh-CN" w:bidi="ar-SA"/>
        </w:rPr>
        <w:t xml:space="preserve"> </w:t>
      </w:r>
      <w:r>
        <w:rPr>
          <w:rFonts w:hint="eastAsia" w:ascii="Times New Roman" w:hAnsi="Times New Roman" w:eastAsia="宋体" w:cs="Times New Roman"/>
          <w:b/>
          <w:bCs/>
          <w:kern w:val="0"/>
          <w:sz w:val="28"/>
          <w:szCs w:val="32"/>
          <w:lang w:val="en-US" w:eastAsia="zh-CN" w:bidi="ar-SA"/>
        </w:rPr>
        <w:t>评价方法</w:t>
      </w:r>
      <w:bookmarkEnd w:id="135"/>
    </w:p>
    <w:p w14:paraId="4A739051">
      <w:pPr>
        <w:spacing w:line="300"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1. 声环境现状采用“以点和代表性区段为主、点段结合、反馈全线”的评价方法。</w:t>
      </w:r>
    </w:p>
    <w:p w14:paraId="2BE301BE">
      <w:pPr>
        <w:spacing w:line="300"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2. 声环境影响评价主要采用模式预测法进行计算、分析。</w:t>
      </w:r>
    </w:p>
    <w:p w14:paraId="7DD5B107">
      <w:pPr>
        <w:keepNext/>
        <w:keepLines/>
        <w:widowControl w:val="0"/>
        <w:adjustRightInd w:val="0"/>
        <w:spacing w:before="240" w:after="240" w:line="240" w:lineRule="auto"/>
        <w:jc w:val="both"/>
        <w:textAlignment w:val="baseline"/>
        <w:outlineLvl w:val="1"/>
        <w:rPr>
          <w:rFonts w:ascii="Times New Roman" w:hAnsi="Times New Roman" w:eastAsia="宋体" w:cs="Times New Roman"/>
          <w:b/>
          <w:bCs/>
          <w:kern w:val="0"/>
          <w:sz w:val="28"/>
          <w:szCs w:val="32"/>
          <w:lang w:val="en-US" w:eastAsia="zh-CN" w:bidi="ar-SA"/>
        </w:rPr>
      </w:pPr>
      <w:bookmarkStart w:id="136" w:name="_Toc75346439"/>
      <w:bookmarkStart w:id="137" w:name="_Toc158436056"/>
      <w:bookmarkStart w:id="138" w:name="_Toc22716319"/>
      <w:bookmarkStart w:id="139" w:name="_Toc194186780"/>
      <w:bookmarkStart w:id="140" w:name="_Toc146680746"/>
      <w:bookmarkStart w:id="141" w:name="_Toc51421570"/>
      <w:bookmarkStart w:id="142" w:name="_Toc113184530"/>
      <w:bookmarkStart w:id="143" w:name="_Toc153677434"/>
      <w:bookmarkStart w:id="144" w:name="_Toc51482800"/>
      <w:bookmarkStart w:id="145" w:name="_Toc65582232"/>
      <w:bookmarkStart w:id="146" w:name="_Toc54065349"/>
      <w:bookmarkStart w:id="147" w:name="_Toc22716446"/>
      <w:bookmarkStart w:id="148" w:name="_Toc104286585"/>
      <w:bookmarkStart w:id="149" w:name="_Toc533797455"/>
      <w:bookmarkStart w:id="150" w:name="_Toc66000267"/>
      <w:bookmarkStart w:id="151" w:name="_Toc155259747"/>
      <w:bookmarkStart w:id="152" w:name="_Toc157512770"/>
      <w:bookmarkStart w:id="153" w:name="_Toc173231986"/>
      <w:bookmarkStart w:id="154" w:name="_Toc491077489"/>
      <w:bookmarkStart w:id="155" w:name="_Toc187528242"/>
      <w:bookmarkStart w:id="156" w:name="_Toc163738657"/>
      <w:r>
        <w:rPr>
          <w:rFonts w:ascii="Times New Roman" w:hAnsi="Times New Roman" w:eastAsia="宋体" w:cs="Times New Roman"/>
          <w:b/>
          <w:bCs/>
          <w:kern w:val="0"/>
          <w:sz w:val="28"/>
          <w:szCs w:val="32"/>
          <w:lang w:val="en-US" w:eastAsia="zh-CN" w:bidi="ar-SA"/>
        </w:rPr>
        <w:t>1.</w:t>
      </w:r>
      <w:r>
        <w:rPr>
          <w:rFonts w:hint="eastAsia" w:ascii="Times New Roman" w:hAnsi="Times New Roman" w:eastAsia="宋体" w:cs="Times New Roman"/>
          <w:b/>
          <w:bCs/>
          <w:kern w:val="0"/>
          <w:sz w:val="28"/>
          <w:szCs w:val="32"/>
          <w:lang w:val="en-US" w:eastAsia="zh-CN" w:bidi="ar-SA"/>
        </w:rPr>
        <w:t>10</w:t>
      </w:r>
      <w:r>
        <w:rPr>
          <w:rFonts w:ascii="Times New Roman" w:hAnsi="Times New Roman" w:eastAsia="宋体" w:cs="Times New Roman"/>
          <w:b/>
          <w:bCs/>
          <w:kern w:val="0"/>
          <w:sz w:val="28"/>
          <w:szCs w:val="32"/>
          <w:lang w:val="en-US" w:eastAsia="zh-CN" w:bidi="ar-SA"/>
        </w:rPr>
        <w:t xml:space="preserve"> 评价</w:t>
      </w:r>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r>
        <w:rPr>
          <w:rFonts w:ascii="Times New Roman" w:hAnsi="Times New Roman" w:eastAsia="宋体" w:cs="Times New Roman"/>
          <w:b/>
          <w:bCs/>
          <w:kern w:val="0"/>
          <w:sz w:val="28"/>
          <w:szCs w:val="32"/>
          <w:lang w:val="en-US" w:eastAsia="zh-CN" w:bidi="ar-SA"/>
        </w:rPr>
        <w:t>工作程序</w:t>
      </w:r>
      <w:bookmarkEnd w:id="153"/>
      <w:bookmarkEnd w:id="154"/>
      <w:bookmarkEnd w:id="155"/>
      <w:bookmarkEnd w:id="156"/>
    </w:p>
    <w:p w14:paraId="091AB053">
      <w:pPr>
        <w:widowControl w:val="0"/>
        <w:spacing w:line="300" w:lineRule="auto"/>
        <w:ind w:firstLine="504" w:firstLineChars="200"/>
        <w:jc w:val="both"/>
        <w:rPr>
          <w:rFonts w:ascii="Times New Roman" w:hAnsi="Times New Roman" w:eastAsia="宋体" w:cs="Times New Roman"/>
          <w:color w:val="auto"/>
          <w:spacing w:val="6"/>
          <w:kern w:val="2"/>
          <w:sz w:val="24"/>
          <w:szCs w:val="24"/>
          <w:lang w:val="en-US" w:eastAsia="zh-CN" w:bidi="ar-SA"/>
        </w:rPr>
      </w:pPr>
      <w:r>
        <w:rPr>
          <w:rFonts w:ascii="Times New Roman" w:hAnsi="Times New Roman" w:eastAsia="宋体" w:cs="Times New Roman"/>
          <w:color w:val="auto"/>
          <w:spacing w:val="6"/>
          <w:kern w:val="2"/>
          <w:sz w:val="24"/>
          <w:szCs w:val="24"/>
          <w:lang w:val="en-US" w:eastAsia="zh-CN" w:bidi="ar-SA"/>
        </w:rPr>
        <w:t>本评价工作程序见图1.</w:t>
      </w:r>
      <w:r>
        <w:rPr>
          <w:rFonts w:hint="eastAsia" w:ascii="Times New Roman" w:hAnsi="Times New Roman" w:eastAsia="宋体" w:cs="Times New Roman"/>
          <w:color w:val="auto"/>
          <w:spacing w:val="6"/>
          <w:kern w:val="2"/>
          <w:sz w:val="24"/>
          <w:szCs w:val="24"/>
          <w:lang w:val="en-US" w:eastAsia="zh-CN" w:bidi="ar-SA"/>
        </w:rPr>
        <w:t>10</w:t>
      </w:r>
      <w:r>
        <w:rPr>
          <w:rFonts w:ascii="Times New Roman" w:hAnsi="Times New Roman" w:eastAsia="宋体" w:cs="Times New Roman"/>
          <w:color w:val="auto"/>
          <w:spacing w:val="6"/>
          <w:kern w:val="2"/>
          <w:sz w:val="24"/>
          <w:szCs w:val="24"/>
          <w:lang w:val="en-US" w:eastAsia="zh-CN" w:bidi="ar-SA"/>
        </w:rPr>
        <w:t>-1。</w:t>
      </w:r>
    </w:p>
    <w:p w14:paraId="3465CEBA">
      <w:pPr>
        <w:jc w:val="center"/>
        <w:rPr>
          <w:rFonts w:ascii="Times New Roman" w:hAnsi="Times New Roman" w:eastAsia="宋体" w:cs="Times New Roman"/>
          <w:sz w:val="24"/>
        </w:rPr>
      </w:pPr>
      <w:r>
        <w:rPr>
          <w:rFonts w:ascii="Times New Roman" w:hAnsi="Times New Roman" w:eastAsia="宋体" w:cs="Times New Roman"/>
          <w:sz w:val="24"/>
        </w:rPr>
        <w:drawing>
          <wp:inline distT="0" distB="0" distL="0" distR="0">
            <wp:extent cx="5219700" cy="7712710"/>
            <wp:effectExtent l="0" t="0" r="0" b="2540"/>
            <wp:docPr id="1538782357"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782357" name="图片 20"/>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a:xfrm>
                      <a:off x="0" y="0"/>
                      <a:ext cx="5220000" cy="7712855"/>
                    </a:xfrm>
                    <a:prstGeom prst="rect">
                      <a:avLst/>
                    </a:prstGeom>
                    <a:noFill/>
                    <a:ln>
                      <a:noFill/>
                    </a:ln>
                  </pic:spPr>
                </pic:pic>
              </a:graphicData>
            </a:graphic>
          </wp:inline>
        </w:drawing>
      </w:r>
    </w:p>
    <w:p w14:paraId="6616B1C0">
      <w:pPr>
        <w:widowControl w:val="0"/>
        <w:tabs>
          <w:tab w:val="left" w:pos="602"/>
        </w:tabs>
        <w:spacing w:beforeLines="50" w:line="240" w:lineRule="auto"/>
        <w:ind w:firstLine="0"/>
        <w:jc w:val="center"/>
        <w:rPr>
          <w:rFonts w:ascii="Times New Roman" w:hAnsi="Times New Roman" w:eastAsia="宋体" w:cs="Times New Roman"/>
          <w:spacing w:val="4"/>
          <w:kern w:val="2"/>
          <w:sz w:val="24"/>
          <w:szCs w:val="20"/>
          <w:lang w:val="en-US" w:eastAsia="zh-CN" w:bidi="ar-SA"/>
        </w:rPr>
      </w:pPr>
      <w:r>
        <w:rPr>
          <w:rFonts w:ascii="Times New Roman" w:hAnsi="Times New Roman" w:eastAsia="宋体" w:cs="Times New Roman"/>
          <w:b/>
          <w:spacing w:val="4"/>
          <w:kern w:val="2"/>
          <w:sz w:val="22"/>
          <w:szCs w:val="22"/>
          <w:lang w:val="en-US" w:eastAsia="zh-CN" w:bidi="ar-SA"/>
        </w:rPr>
        <w:t>图1.</w:t>
      </w:r>
      <w:r>
        <w:rPr>
          <w:rFonts w:hint="eastAsia" w:ascii="Times New Roman" w:hAnsi="Times New Roman" w:eastAsia="宋体" w:cs="Times New Roman"/>
          <w:b/>
          <w:spacing w:val="4"/>
          <w:kern w:val="2"/>
          <w:sz w:val="22"/>
          <w:szCs w:val="22"/>
          <w:lang w:val="en-US" w:eastAsia="zh-CN" w:bidi="ar-SA"/>
        </w:rPr>
        <w:t>10</w:t>
      </w:r>
      <w:r>
        <w:rPr>
          <w:rFonts w:ascii="Times New Roman" w:hAnsi="Times New Roman" w:eastAsia="宋体" w:cs="Times New Roman"/>
          <w:b/>
          <w:spacing w:val="4"/>
          <w:kern w:val="2"/>
          <w:sz w:val="22"/>
          <w:szCs w:val="22"/>
          <w:lang w:val="en-US" w:eastAsia="zh-CN" w:bidi="ar-SA"/>
        </w:rPr>
        <w:t>-1  评价工作程序图</w:t>
      </w:r>
    </w:p>
    <w:p w14:paraId="5CA15D3F">
      <w:pPr>
        <w:spacing w:afterLines="50" w:line="300" w:lineRule="auto"/>
        <w:ind w:firstLine="480" w:firstLineChars="200"/>
        <w:rPr>
          <w:sz w:val="24"/>
        </w:rPr>
        <w:sectPr>
          <w:headerReference r:id="rId28" w:type="default"/>
          <w:footerReference r:id="rId30" w:type="default"/>
          <w:headerReference r:id="rId29" w:type="even"/>
          <w:footerReference r:id="rId31" w:type="even"/>
          <w:pgSz w:w="11906" w:h="16838"/>
          <w:pgMar w:top="1440" w:right="1800" w:bottom="1560" w:left="1800" w:header="851" w:footer="992" w:gutter="0"/>
          <w:pgBorders>
            <w:top w:val="none" w:sz="0" w:space="0"/>
            <w:left w:val="none" w:sz="0" w:space="0"/>
            <w:bottom w:val="none" w:sz="0" w:space="0"/>
            <w:right w:val="none" w:sz="0" w:space="0"/>
          </w:pgBorders>
          <w:cols w:space="720" w:num="1"/>
          <w:docGrid w:type="lines" w:linePitch="312" w:charSpace="0"/>
        </w:sectPr>
      </w:pPr>
    </w:p>
    <w:p w14:paraId="6487D17E">
      <w:pPr>
        <w:keepNext/>
        <w:keepLines/>
        <w:widowControl w:val="0"/>
        <w:tabs>
          <w:tab w:val="center" w:pos="4252"/>
          <w:tab w:val="left" w:pos="6855"/>
        </w:tabs>
        <w:spacing w:before="480" w:after="480"/>
        <w:jc w:val="center"/>
        <w:outlineLvl w:val="0"/>
        <w:rPr>
          <w:rFonts w:ascii="Times New Roman" w:hAnsi="Times New Roman" w:eastAsia="黑体" w:cs="Times New Roman"/>
          <w:snapToGrid w:val="0"/>
          <w:kern w:val="0"/>
          <w:sz w:val="32"/>
          <w:szCs w:val="32"/>
          <w:lang w:val="en-US" w:eastAsia="zh-CN" w:bidi="ar-SA"/>
        </w:rPr>
      </w:pPr>
      <w:bookmarkStart w:id="157" w:name="_Toc187528243"/>
      <w:bookmarkStart w:id="158" w:name="_Hlk175476271"/>
      <w:r>
        <w:rPr>
          <w:rFonts w:hint="eastAsia" w:ascii="Times New Roman" w:hAnsi="Times New Roman" w:eastAsia="黑体" w:cs="Times New Roman"/>
          <w:snapToGrid w:val="0"/>
          <w:kern w:val="0"/>
          <w:sz w:val="32"/>
          <w:szCs w:val="32"/>
          <w:lang w:val="en-US" w:eastAsia="zh-CN" w:bidi="ar-SA"/>
        </w:rPr>
        <w:t>2</w:t>
      </w:r>
      <w:r>
        <w:rPr>
          <w:rFonts w:ascii="Times New Roman" w:hAnsi="Times New Roman" w:eastAsia="黑体" w:cs="Times New Roman"/>
          <w:snapToGrid w:val="0"/>
          <w:kern w:val="0"/>
          <w:sz w:val="32"/>
          <w:szCs w:val="32"/>
          <w:lang w:val="en-US" w:eastAsia="zh-CN" w:bidi="ar-SA"/>
        </w:rPr>
        <w:t xml:space="preserve"> </w:t>
      </w:r>
      <w:r>
        <w:rPr>
          <w:rFonts w:hint="eastAsia" w:ascii="Times New Roman" w:hAnsi="Times New Roman" w:eastAsia="黑体" w:cs="Times New Roman"/>
          <w:snapToGrid w:val="0"/>
          <w:kern w:val="0"/>
          <w:sz w:val="32"/>
          <w:szCs w:val="32"/>
          <w:lang w:val="en-US" w:eastAsia="zh-CN" w:bidi="ar-SA"/>
        </w:rPr>
        <w:t>工程概况</w:t>
      </w:r>
      <w:bookmarkEnd w:id="157"/>
    </w:p>
    <w:p w14:paraId="7C19D2D4">
      <w:pPr>
        <w:keepNext/>
        <w:keepLines/>
        <w:widowControl w:val="0"/>
        <w:adjustRightInd w:val="0"/>
        <w:spacing w:before="240" w:after="240" w:line="240" w:lineRule="auto"/>
        <w:jc w:val="both"/>
        <w:textAlignment w:val="baseline"/>
        <w:outlineLvl w:val="1"/>
        <w:rPr>
          <w:rFonts w:ascii="Times New Roman" w:hAnsi="Times New Roman" w:eastAsia="宋体" w:cs="Times New Roman"/>
          <w:b/>
          <w:bCs/>
          <w:kern w:val="0"/>
          <w:sz w:val="28"/>
          <w:szCs w:val="32"/>
          <w:lang w:val="en-US" w:eastAsia="zh-CN" w:bidi="ar-SA"/>
        </w:rPr>
      </w:pPr>
      <w:bookmarkStart w:id="159" w:name="_Toc187528244"/>
      <w:bookmarkStart w:id="160" w:name="_Hlk175476749"/>
      <w:r>
        <w:rPr>
          <w:rFonts w:ascii="Times New Roman" w:hAnsi="Times New Roman" w:eastAsia="宋体" w:cs="Times New Roman"/>
          <w:b/>
          <w:bCs/>
          <w:kern w:val="0"/>
          <w:sz w:val="28"/>
          <w:szCs w:val="32"/>
          <w:lang w:val="en-US" w:eastAsia="zh-CN" w:bidi="ar-SA"/>
        </w:rPr>
        <w:t>2</w:t>
      </w:r>
      <w:r>
        <w:rPr>
          <w:rFonts w:hint="eastAsia" w:ascii="Times New Roman" w:hAnsi="Times New Roman" w:eastAsia="宋体" w:cs="Times New Roman"/>
          <w:b/>
          <w:bCs/>
          <w:kern w:val="0"/>
          <w:sz w:val="28"/>
          <w:szCs w:val="32"/>
          <w:lang w:val="en-US" w:eastAsia="zh-CN" w:bidi="ar-SA"/>
        </w:rPr>
        <w:t>.</w:t>
      </w:r>
      <w:r>
        <w:rPr>
          <w:rFonts w:ascii="Times New Roman" w:hAnsi="Times New Roman" w:eastAsia="宋体" w:cs="Times New Roman"/>
          <w:b/>
          <w:bCs/>
          <w:kern w:val="0"/>
          <w:sz w:val="28"/>
          <w:szCs w:val="32"/>
          <w:lang w:val="en-US" w:eastAsia="zh-CN" w:bidi="ar-SA"/>
        </w:rPr>
        <w:t xml:space="preserve">1 </w:t>
      </w:r>
      <w:r>
        <w:rPr>
          <w:rFonts w:hint="eastAsia" w:ascii="Times New Roman" w:hAnsi="Times New Roman" w:eastAsia="宋体" w:cs="Times New Roman"/>
          <w:b/>
          <w:bCs/>
          <w:kern w:val="0"/>
          <w:sz w:val="28"/>
          <w:szCs w:val="32"/>
          <w:lang w:val="en-US" w:eastAsia="zh-CN" w:bidi="ar-SA"/>
        </w:rPr>
        <w:t>工程方案</w:t>
      </w:r>
      <w:bookmarkEnd w:id="159"/>
    </w:p>
    <w:p w14:paraId="2E2A5684">
      <w:pPr>
        <w:keepNext/>
        <w:keepLines/>
        <w:widowControl w:val="0"/>
        <w:adjustRightInd w:val="0"/>
        <w:spacing w:before="120" w:after="120" w:line="300" w:lineRule="auto"/>
        <w:jc w:val="both"/>
        <w:textAlignment w:val="baseline"/>
        <w:outlineLvl w:val="2"/>
        <w:rPr>
          <w:rFonts w:ascii="Times New Roman" w:hAnsi="Times New Roman" w:eastAsia="宋体" w:cs="Times New Roman"/>
          <w:b/>
          <w:bCs w:val="0"/>
          <w:kern w:val="0"/>
          <w:sz w:val="24"/>
          <w:szCs w:val="32"/>
          <w:lang w:val="en-US" w:eastAsia="zh-CN" w:bidi="ar-SA"/>
        </w:rPr>
      </w:pPr>
      <w:bookmarkStart w:id="161" w:name="_Toc175213199"/>
      <w:bookmarkStart w:id="162" w:name="_Toc187528245"/>
      <w:r>
        <w:rPr>
          <w:rFonts w:ascii="Times New Roman" w:hAnsi="Times New Roman" w:eastAsia="宋体" w:cs="Times New Roman"/>
          <w:b/>
          <w:bCs w:val="0"/>
          <w:kern w:val="0"/>
          <w:sz w:val="24"/>
          <w:szCs w:val="32"/>
          <w:lang w:val="en-US" w:eastAsia="zh-CN" w:bidi="ar-SA"/>
        </w:rPr>
        <w:t xml:space="preserve">2.1.1 </w:t>
      </w:r>
      <w:bookmarkEnd w:id="161"/>
      <w:r>
        <w:rPr>
          <w:rFonts w:hint="eastAsia" w:ascii="Times New Roman" w:hAnsi="Times New Roman" w:eastAsia="宋体" w:cs="Times New Roman"/>
          <w:b/>
          <w:bCs w:val="0"/>
          <w:kern w:val="0"/>
          <w:sz w:val="24"/>
          <w:szCs w:val="32"/>
          <w:lang w:val="en-US" w:eastAsia="zh-CN" w:bidi="ar-SA"/>
        </w:rPr>
        <w:t>方案概述</w:t>
      </w:r>
      <w:bookmarkEnd w:id="162"/>
    </w:p>
    <w:bookmarkEnd w:id="160"/>
    <w:p w14:paraId="50BBBAF2">
      <w:pPr>
        <w:spacing w:line="300" w:lineRule="auto"/>
        <w:ind w:firstLine="480" w:firstLineChars="200"/>
        <w:rPr>
          <w:rFonts w:ascii="Times New Roman" w:hAnsi="Times New Roman" w:eastAsia="宋体" w:cs="Times New Roman"/>
          <w:kern w:val="0"/>
          <w:sz w:val="24"/>
        </w:rPr>
      </w:pPr>
      <w:bookmarkStart w:id="163" w:name="_Toc175213200"/>
      <w:r>
        <w:rPr>
          <w:rFonts w:ascii="Times New Roman" w:hAnsi="Times New Roman" w:eastAsia="宋体" w:cs="Times New Roman"/>
          <w:kern w:val="0"/>
          <w:sz w:val="24"/>
        </w:rPr>
        <w:t>拟建</w:t>
      </w:r>
      <w:r>
        <w:rPr>
          <w:rFonts w:hint="eastAsia" w:ascii="Times New Roman" w:hAnsi="Times New Roman" w:eastAsia="宋体" w:cs="Times New Roman"/>
          <w:kern w:val="0"/>
          <w:sz w:val="24"/>
        </w:rPr>
        <w:t>公路</w:t>
      </w:r>
      <w:r>
        <w:rPr>
          <w:rFonts w:ascii="Times New Roman" w:hAnsi="Times New Roman" w:eastAsia="宋体" w:cs="Times New Roman"/>
          <w:kern w:val="0"/>
          <w:sz w:val="24"/>
        </w:rPr>
        <w:t>位于</w:t>
      </w:r>
      <w:r>
        <w:rPr>
          <w:rFonts w:hint="eastAsia" w:ascii="Times New Roman" w:hAnsi="宋体" w:eastAsia="宋体" w:cs="Times New Roman"/>
          <w:sz w:val="24"/>
        </w:rPr>
        <w:t>新疆维吾尔自治区克孜勒苏柯尔克孜自治州阿图什市，喀什地区伽师县、岳普湖县</w:t>
      </w:r>
      <w:r>
        <w:rPr>
          <w:rFonts w:hint="eastAsia" w:ascii="Times New Roman" w:hAnsi="Times New Roman" w:eastAsia="宋体" w:cs="Times New Roman"/>
          <w:kern w:val="0"/>
          <w:sz w:val="24"/>
        </w:rPr>
        <w:t>。拟建公路起点位于阿图什市八盘水磨西侧G219线与G314平面交叉处，沿既有道路进行拼宽扩建，路线总体呈由北向南走向，经过格达良乡、克孜勒苏乡、和夏阿瓦提镇达到伽师县北侧物流园附近，随后路线向西南绕行伽师县城，经过铁日木乡、居仁镇、克孜勒博依镇等，终点位于岳普湖县北侧，顺接G219岳普湖过境段起点</w:t>
      </w:r>
      <w:r>
        <w:rPr>
          <w:rFonts w:ascii="Times New Roman" w:hAnsi="Times New Roman" w:eastAsia="宋体" w:cs="Times New Roman"/>
          <w:kern w:val="0"/>
          <w:sz w:val="24"/>
        </w:rPr>
        <w:t>，</w:t>
      </w:r>
      <w:r>
        <w:rPr>
          <w:rFonts w:hint="eastAsia" w:ascii="Times New Roman" w:hAnsi="宋体" w:eastAsia="宋体" w:cs="Times New Roman"/>
          <w:sz w:val="24"/>
        </w:rPr>
        <w:t>总</w:t>
      </w:r>
      <w:r>
        <w:rPr>
          <w:rFonts w:hint="eastAsia" w:ascii="Times New Roman" w:hAnsi="Times New Roman" w:eastAsia="宋体" w:cs="Times New Roman"/>
          <w:sz w:val="24"/>
        </w:rPr>
        <w:t>长70.078km。采用双向四车道一级公路标准建设，设计速度60</w:t>
      </w:r>
      <w:r>
        <w:rPr>
          <w:rFonts w:ascii="Times New Roman" w:hAnsi="Times New Roman" w:eastAsia="宋体" w:cs="Times New Roman"/>
          <w:sz w:val="24"/>
        </w:rPr>
        <w:t>km/h</w:t>
      </w:r>
      <w:r>
        <w:rPr>
          <w:rFonts w:hint="eastAsia" w:ascii="Times New Roman" w:hAnsi="Times New Roman" w:eastAsia="宋体" w:cs="Times New Roman"/>
          <w:sz w:val="24"/>
        </w:rPr>
        <w:t>和80km/h</w:t>
      </w:r>
      <w:r>
        <w:rPr>
          <w:rFonts w:ascii="Times New Roman" w:hAnsi="Times New Roman" w:eastAsia="宋体" w:cs="Times New Roman"/>
          <w:kern w:val="0"/>
          <w:sz w:val="24"/>
        </w:rPr>
        <w:t>。</w:t>
      </w:r>
      <w:r>
        <w:rPr>
          <w:rFonts w:hint="eastAsia" w:ascii="Times New Roman" w:hAnsi="Times New Roman" w:eastAsia="宋体" w:cs="Times New Roman"/>
          <w:kern w:val="0"/>
          <w:sz w:val="24"/>
        </w:rPr>
        <w:t>工程方案具体见报告表第二章建设内容。</w:t>
      </w:r>
    </w:p>
    <w:p w14:paraId="6E81E3DF">
      <w:pPr>
        <w:keepNext/>
        <w:keepLines/>
        <w:widowControl w:val="0"/>
        <w:adjustRightInd w:val="0"/>
        <w:spacing w:before="120" w:after="120" w:line="300" w:lineRule="auto"/>
        <w:jc w:val="both"/>
        <w:textAlignment w:val="baseline"/>
        <w:outlineLvl w:val="2"/>
        <w:rPr>
          <w:rFonts w:ascii="Times New Roman" w:hAnsi="Times New Roman" w:eastAsia="宋体" w:cs="Times New Roman"/>
          <w:b/>
          <w:bCs w:val="0"/>
          <w:kern w:val="0"/>
          <w:sz w:val="24"/>
          <w:szCs w:val="32"/>
          <w:lang w:val="en-US" w:eastAsia="zh-CN" w:bidi="ar-SA"/>
        </w:rPr>
      </w:pPr>
      <w:bookmarkStart w:id="164" w:name="_Toc187528246"/>
      <w:r>
        <w:rPr>
          <w:rFonts w:ascii="Times New Roman" w:hAnsi="Times New Roman" w:eastAsia="宋体" w:cs="Times New Roman"/>
          <w:b/>
          <w:bCs w:val="0"/>
          <w:kern w:val="0"/>
          <w:sz w:val="24"/>
          <w:szCs w:val="32"/>
          <w:lang w:val="en-US" w:eastAsia="zh-CN" w:bidi="ar-SA"/>
        </w:rPr>
        <w:t xml:space="preserve">2.1.2 </w:t>
      </w:r>
      <w:r>
        <w:rPr>
          <w:rFonts w:hint="eastAsia" w:ascii="Times New Roman" w:hAnsi="Times New Roman" w:eastAsia="宋体" w:cs="Times New Roman"/>
          <w:b/>
          <w:bCs w:val="0"/>
          <w:kern w:val="0"/>
          <w:sz w:val="24"/>
          <w:szCs w:val="32"/>
          <w:lang w:val="en-US" w:eastAsia="zh-CN" w:bidi="ar-SA"/>
        </w:rPr>
        <w:t>建设规模</w:t>
      </w:r>
      <w:bookmarkEnd w:id="164"/>
    </w:p>
    <w:p w14:paraId="25A82496">
      <w:pPr>
        <w:ind w:firstLine="480" w:firstLineChars="200"/>
        <w:rPr>
          <w:rFonts w:ascii="Times New Roman" w:hAnsi="Times New Roman" w:eastAsia="宋体" w:cs="Times New Roman"/>
        </w:rPr>
      </w:pPr>
      <w:r>
        <w:rPr>
          <w:rFonts w:ascii="Times New Roman" w:hAnsi="宋体" w:eastAsia="宋体" w:cs="Times New Roman"/>
          <w:sz w:val="24"/>
        </w:rPr>
        <w:t>拟建公</w:t>
      </w:r>
      <w:r>
        <w:rPr>
          <w:rFonts w:hint="eastAsia" w:ascii="Times New Roman" w:hAnsi="宋体" w:eastAsia="宋体" w:cs="Times New Roman"/>
          <w:sz w:val="24"/>
        </w:rPr>
        <w:t>路</w:t>
      </w:r>
      <w:r>
        <w:rPr>
          <w:rFonts w:ascii="Times New Roman" w:hAnsi="宋体" w:eastAsia="宋体" w:cs="Times New Roman"/>
          <w:sz w:val="24"/>
        </w:rPr>
        <w:t>建设规模见表</w:t>
      </w:r>
      <w:r>
        <w:rPr>
          <w:rFonts w:ascii="Times New Roman" w:hAnsi="Times New Roman" w:eastAsia="宋体" w:cs="Times New Roman"/>
          <w:sz w:val="24"/>
        </w:rPr>
        <w:t>2</w:t>
      </w:r>
      <w:r>
        <w:rPr>
          <w:rFonts w:hint="eastAsia" w:ascii="Times New Roman" w:hAnsi="Times New Roman" w:eastAsia="宋体" w:cs="Times New Roman"/>
          <w:sz w:val="24"/>
        </w:rPr>
        <w:t>.1</w:t>
      </w:r>
      <w:r>
        <w:rPr>
          <w:rFonts w:ascii="Times New Roman" w:hAnsi="Times New Roman" w:eastAsia="宋体" w:cs="Times New Roman"/>
          <w:sz w:val="24"/>
        </w:rPr>
        <w:t>-1</w:t>
      </w:r>
    </w:p>
    <w:p w14:paraId="24E04458">
      <w:pPr>
        <w:widowControl w:val="0"/>
        <w:spacing w:beforeLines="50" w:line="240" w:lineRule="auto"/>
        <w:ind w:firstLine="0" w:firstLineChars="0"/>
        <w:jc w:val="center"/>
        <w:rPr>
          <w:rFonts w:ascii="Times New Roman" w:hAnsi="Times New Roman" w:eastAsia="宋体" w:cs="Times New Roman"/>
          <w:b/>
          <w:bCs/>
          <w:color w:val="auto"/>
          <w:kern w:val="2"/>
          <w:sz w:val="21"/>
          <w:szCs w:val="21"/>
          <w:lang w:val="en-US" w:eastAsia="zh-CN" w:bidi="ar-SA"/>
        </w:rPr>
      </w:pPr>
      <w:r>
        <w:rPr>
          <w:rFonts w:ascii="Times New Roman" w:hAnsi="Times New Roman" w:eastAsia="宋体" w:cs="Times New Roman"/>
          <w:b/>
          <w:bCs/>
          <w:color w:val="auto"/>
          <w:kern w:val="2"/>
          <w:sz w:val="21"/>
          <w:szCs w:val="21"/>
          <w:lang w:val="en-US" w:eastAsia="zh-CN" w:bidi="ar-SA"/>
        </w:rPr>
        <w:t>表2</w:t>
      </w:r>
      <w:r>
        <w:rPr>
          <w:rFonts w:hint="eastAsia" w:ascii="Times New Roman" w:hAnsi="Times New Roman" w:eastAsia="宋体" w:cs="Times New Roman"/>
          <w:b/>
          <w:bCs/>
          <w:color w:val="auto"/>
          <w:kern w:val="2"/>
          <w:sz w:val="21"/>
          <w:szCs w:val="21"/>
          <w:lang w:val="en-US" w:eastAsia="zh-CN" w:bidi="ar-SA"/>
        </w:rPr>
        <w:t>.1</w:t>
      </w:r>
      <w:r>
        <w:rPr>
          <w:rFonts w:ascii="Times New Roman" w:hAnsi="Times New Roman" w:eastAsia="宋体" w:cs="Times New Roman"/>
          <w:b/>
          <w:bCs/>
          <w:color w:val="auto"/>
          <w:kern w:val="2"/>
          <w:sz w:val="21"/>
          <w:szCs w:val="21"/>
          <w:lang w:val="en-US" w:eastAsia="zh-CN" w:bidi="ar-SA"/>
        </w:rPr>
        <w:t>-1  拟建公路建设规模表</w:t>
      </w:r>
    </w:p>
    <w:tbl>
      <w:tblPr>
        <w:tblStyle w:val="22"/>
        <w:tblW w:w="5002" w:type="pct"/>
        <w:jc w:val="center"/>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779"/>
        <w:gridCol w:w="1248"/>
        <w:gridCol w:w="1748"/>
        <w:gridCol w:w="1228"/>
        <w:gridCol w:w="3372"/>
      </w:tblGrid>
      <w:tr w14:paraId="68CBD722">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465" w:type="pct"/>
            <w:vAlign w:val="center"/>
          </w:tcPr>
          <w:p w14:paraId="278F90CA">
            <w:pPr>
              <w:snapToGrid w:val="0"/>
              <w:spacing w:line="260" w:lineRule="exact"/>
              <w:jc w:val="center"/>
              <w:rPr>
                <w:rFonts w:ascii="Times New Roman" w:hAnsi="Times New Roman" w:eastAsia="宋体" w:cs="Times New Roman"/>
                <w:b/>
                <w:szCs w:val="21"/>
              </w:rPr>
            </w:pPr>
            <w:r>
              <w:rPr>
                <w:rFonts w:ascii="Times New Roman" w:hAnsi="Times New Roman" w:eastAsia="宋体" w:cs="Times New Roman"/>
                <w:b/>
                <w:szCs w:val="21"/>
              </w:rPr>
              <w:t>序号</w:t>
            </w:r>
          </w:p>
        </w:tc>
        <w:tc>
          <w:tcPr>
            <w:tcW w:w="1788" w:type="pct"/>
            <w:gridSpan w:val="2"/>
            <w:vAlign w:val="center"/>
          </w:tcPr>
          <w:p w14:paraId="534E0A90">
            <w:pPr>
              <w:snapToGrid w:val="0"/>
              <w:spacing w:line="260" w:lineRule="exact"/>
              <w:jc w:val="center"/>
              <w:rPr>
                <w:rFonts w:ascii="Times New Roman" w:hAnsi="Times New Roman" w:eastAsia="宋体" w:cs="Times New Roman"/>
                <w:b/>
                <w:szCs w:val="21"/>
              </w:rPr>
            </w:pPr>
            <w:r>
              <w:rPr>
                <w:rFonts w:ascii="Times New Roman" w:hAnsi="Times New Roman" w:eastAsia="宋体" w:cs="Times New Roman"/>
                <w:b/>
                <w:szCs w:val="21"/>
              </w:rPr>
              <w:t>指标</w:t>
            </w:r>
          </w:p>
        </w:tc>
        <w:tc>
          <w:tcPr>
            <w:tcW w:w="733" w:type="pct"/>
            <w:vAlign w:val="center"/>
          </w:tcPr>
          <w:p w14:paraId="3AD0EDF7">
            <w:pPr>
              <w:snapToGrid w:val="0"/>
              <w:spacing w:line="260" w:lineRule="exact"/>
              <w:jc w:val="center"/>
              <w:rPr>
                <w:rFonts w:ascii="Times New Roman" w:hAnsi="Times New Roman" w:eastAsia="宋体" w:cs="Times New Roman"/>
                <w:b/>
                <w:szCs w:val="21"/>
              </w:rPr>
            </w:pPr>
            <w:r>
              <w:rPr>
                <w:rFonts w:ascii="Times New Roman" w:hAnsi="Times New Roman" w:eastAsia="宋体" w:cs="Times New Roman"/>
                <w:b/>
                <w:szCs w:val="21"/>
              </w:rPr>
              <w:t>单位</w:t>
            </w:r>
          </w:p>
        </w:tc>
        <w:tc>
          <w:tcPr>
            <w:tcW w:w="2012" w:type="pct"/>
            <w:vAlign w:val="center"/>
          </w:tcPr>
          <w:p w14:paraId="685923E3">
            <w:pPr>
              <w:snapToGrid w:val="0"/>
              <w:spacing w:line="260" w:lineRule="exact"/>
              <w:jc w:val="center"/>
              <w:rPr>
                <w:rFonts w:ascii="Times New Roman" w:hAnsi="Times New Roman" w:eastAsia="宋体" w:cs="Times New Roman"/>
                <w:b/>
                <w:szCs w:val="21"/>
              </w:rPr>
            </w:pPr>
            <w:r>
              <w:rPr>
                <w:rFonts w:ascii="Times New Roman" w:hAnsi="Times New Roman" w:eastAsia="宋体" w:cs="Times New Roman"/>
                <w:b/>
                <w:szCs w:val="21"/>
              </w:rPr>
              <w:t>数量</w:t>
            </w:r>
          </w:p>
        </w:tc>
      </w:tr>
      <w:tr w14:paraId="0A88DF95">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cantSplit/>
          <w:tblHeader/>
          <w:jc w:val="center"/>
        </w:trPr>
        <w:tc>
          <w:tcPr>
            <w:tcW w:w="465" w:type="pct"/>
            <w:vAlign w:val="center"/>
          </w:tcPr>
          <w:p w14:paraId="43CC6742">
            <w:pPr>
              <w:widowControl/>
              <w:spacing w:line="260" w:lineRule="exact"/>
              <w:jc w:val="center"/>
              <w:rPr>
                <w:rFonts w:ascii="Times New Roman" w:hAnsi="Times New Roman" w:eastAsia="宋体" w:cs="Times New Roman"/>
                <w:szCs w:val="21"/>
              </w:rPr>
            </w:pPr>
            <w:r>
              <w:rPr>
                <w:rFonts w:ascii="Times New Roman" w:hAnsi="Times New Roman" w:eastAsia="宋体" w:cs="Times New Roman"/>
                <w:szCs w:val="21"/>
              </w:rPr>
              <w:t>1</w:t>
            </w:r>
          </w:p>
        </w:tc>
        <w:tc>
          <w:tcPr>
            <w:tcW w:w="1788" w:type="pct"/>
            <w:gridSpan w:val="2"/>
            <w:vAlign w:val="center"/>
          </w:tcPr>
          <w:p w14:paraId="33466A7E">
            <w:pPr>
              <w:widowControl/>
              <w:spacing w:line="260" w:lineRule="exact"/>
              <w:jc w:val="center"/>
              <w:rPr>
                <w:rFonts w:ascii="Times New Roman" w:hAnsi="Times New Roman" w:eastAsia="宋体" w:cs="Times New Roman"/>
                <w:szCs w:val="21"/>
              </w:rPr>
            </w:pPr>
            <w:r>
              <w:rPr>
                <w:rFonts w:ascii="Times New Roman" w:hAnsi="Times New Roman" w:eastAsia="宋体" w:cs="Times New Roman"/>
                <w:szCs w:val="21"/>
              </w:rPr>
              <w:t>路线长度</w:t>
            </w:r>
          </w:p>
        </w:tc>
        <w:tc>
          <w:tcPr>
            <w:tcW w:w="733" w:type="pct"/>
            <w:vAlign w:val="center"/>
          </w:tcPr>
          <w:p w14:paraId="56AD693B">
            <w:pPr>
              <w:widowControl/>
              <w:spacing w:line="260" w:lineRule="exact"/>
              <w:jc w:val="center"/>
              <w:rPr>
                <w:rFonts w:ascii="Times New Roman" w:hAnsi="Times New Roman" w:eastAsia="宋体" w:cs="Times New Roman"/>
                <w:szCs w:val="21"/>
              </w:rPr>
            </w:pPr>
            <w:r>
              <w:rPr>
                <w:rFonts w:ascii="Times New Roman" w:hAnsi="Times New Roman" w:eastAsia="宋体" w:cs="Times New Roman"/>
                <w:szCs w:val="21"/>
              </w:rPr>
              <w:t>km</w:t>
            </w:r>
          </w:p>
        </w:tc>
        <w:tc>
          <w:tcPr>
            <w:tcW w:w="2012" w:type="pct"/>
            <w:vAlign w:val="center"/>
          </w:tcPr>
          <w:p w14:paraId="51B51834">
            <w:pPr>
              <w:widowControl/>
              <w:spacing w:line="260" w:lineRule="exact"/>
              <w:jc w:val="center"/>
              <w:rPr>
                <w:rFonts w:ascii="Times New Roman" w:hAnsi="Times New Roman" w:eastAsia="宋体" w:cs="Times New Roman"/>
                <w:szCs w:val="21"/>
              </w:rPr>
            </w:pPr>
            <w:r>
              <w:rPr>
                <w:rFonts w:hint="eastAsia" w:ascii="Times New Roman" w:hAnsi="Times New Roman" w:eastAsia="宋体" w:cs="Times New Roman"/>
                <w:szCs w:val="21"/>
              </w:rPr>
              <w:t>70.078</w:t>
            </w:r>
          </w:p>
        </w:tc>
      </w:tr>
      <w:tr w14:paraId="71852CCB">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cantSplit/>
          <w:tblHeader/>
          <w:jc w:val="center"/>
        </w:trPr>
        <w:tc>
          <w:tcPr>
            <w:tcW w:w="465" w:type="pct"/>
            <w:vMerge w:val="restart"/>
            <w:vAlign w:val="center"/>
          </w:tcPr>
          <w:p w14:paraId="1D98781D">
            <w:pPr>
              <w:widowControl/>
              <w:spacing w:line="260" w:lineRule="exact"/>
              <w:jc w:val="center"/>
              <w:rPr>
                <w:rFonts w:ascii="Times New Roman" w:hAnsi="Times New Roman" w:eastAsia="宋体" w:cs="Times New Roman"/>
                <w:szCs w:val="21"/>
              </w:rPr>
            </w:pPr>
            <w:r>
              <w:rPr>
                <w:rFonts w:hint="eastAsia" w:ascii="Times New Roman" w:hAnsi="Times New Roman" w:eastAsia="宋体" w:cs="Times New Roman"/>
                <w:szCs w:val="21"/>
              </w:rPr>
              <w:t>2</w:t>
            </w:r>
          </w:p>
        </w:tc>
        <w:tc>
          <w:tcPr>
            <w:tcW w:w="745" w:type="pct"/>
            <w:vMerge w:val="restart"/>
            <w:vAlign w:val="center"/>
          </w:tcPr>
          <w:p w14:paraId="19580BAA">
            <w:pPr>
              <w:widowControl/>
              <w:spacing w:line="260" w:lineRule="exact"/>
              <w:jc w:val="center"/>
              <w:rPr>
                <w:rFonts w:ascii="Times New Roman" w:hAnsi="Times New Roman" w:eastAsia="宋体" w:cs="Times New Roman"/>
                <w:szCs w:val="21"/>
              </w:rPr>
            </w:pPr>
            <w:r>
              <w:rPr>
                <w:rFonts w:hint="eastAsia" w:ascii="Times New Roman" w:hAnsi="Times New Roman" w:eastAsia="宋体" w:cs="Times New Roman"/>
                <w:szCs w:val="21"/>
              </w:rPr>
              <w:t>土石方数量</w:t>
            </w:r>
          </w:p>
        </w:tc>
        <w:tc>
          <w:tcPr>
            <w:tcW w:w="1042" w:type="pct"/>
            <w:vAlign w:val="center"/>
          </w:tcPr>
          <w:p w14:paraId="1988B1C5">
            <w:pPr>
              <w:widowControl/>
              <w:spacing w:line="260" w:lineRule="exact"/>
              <w:jc w:val="center"/>
              <w:rPr>
                <w:rFonts w:ascii="Times New Roman" w:hAnsi="Times New Roman" w:eastAsia="宋体" w:cs="Times New Roman"/>
                <w:szCs w:val="21"/>
              </w:rPr>
            </w:pPr>
            <w:r>
              <w:rPr>
                <w:rFonts w:hint="eastAsia" w:ascii="Times New Roman" w:hAnsi="Times New Roman" w:eastAsia="宋体" w:cs="Times New Roman"/>
                <w:szCs w:val="21"/>
              </w:rPr>
              <w:t>挖方</w:t>
            </w:r>
          </w:p>
        </w:tc>
        <w:tc>
          <w:tcPr>
            <w:tcW w:w="733" w:type="pct"/>
            <w:vAlign w:val="center"/>
          </w:tcPr>
          <w:p w14:paraId="05AE7A9A">
            <w:pPr>
              <w:widowControl/>
              <w:spacing w:line="260" w:lineRule="exact"/>
              <w:jc w:val="center"/>
              <w:rPr>
                <w:rFonts w:ascii="Times New Roman" w:hAnsi="Times New Roman" w:eastAsia="宋体" w:cs="Times New Roman"/>
                <w:szCs w:val="21"/>
              </w:rPr>
            </w:pPr>
            <w:r>
              <w:rPr>
                <w:rFonts w:hint="eastAsia" w:ascii="Times New Roman" w:hAnsi="Times New Roman" w:eastAsia="宋体" w:cs="Times New Roman"/>
                <w:szCs w:val="21"/>
              </w:rPr>
              <w:t>km</w:t>
            </w:r>
            <w:r>
              <w:rPr>
                <w:rFonts w:hint="eastAsia" w:ascii="Times New Roman" w:hAnsi="Times New Roman" w:eastAsia="宋体" w:cs="Times New Roman"/>
                <w:szCs w:val="21"/>
                <w:vertAlign w:val="superscript"/>
              </w:rPr>
              <w:t>3</w:t>
            </w:r>
          </w:p>
        </w:tc>
        <w:tc>
          <w:tcPr>
            <w:tcW w:w="2012" w:type="pct"/>
            <w:vAlign w:val="center"/>
          </w:tcPr>
          <w:p w14:paraId="6CB66EC2">
            <w:pPr>
              <w:widowControl/>
              <w:spacing w:line="260" w:lineRule="exact"/>
              <w:jc w:val="center"/>
              <w:rPr>
                <w:rFonts w:ascii="Times New Roman" w:hAnsi="Times New Roman" w:eastAsia="宋体" w:cs="Times New Roman"/>
                <w:szCs w:val="21"/>
              </w:rPr>
            </w:pPr>
            <w:r>
              <w:rPr>
                <w:rFonts w:hint="eastAsia" w:ascii="Times New Roman" w:hAnsi="Times New Roman" w:eastAsia="宋体" w:cs="Times New Roman"/>
                <w:szCs w:val="21"/>
              </w:rPr>
              <w:t>113.82</w:t>
            </w:r>
          </w:p>
        </w:tc>
      </w:tr>
      <w:tr w14:paraId="14891F39">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cantSplit/>
          <w:tblHeader/>
          <w:jc w:val="center"/>
        </w:trPr>
        <w:tc>
          <w:tcPr>
            <w:tcW w:w="465" w:type="pct"/>
            <w:vMerge w:val="continue"/>
            <w:vAlign w:val="center"/>
          </w:tcPr>
          <w:p w14:paraId="2B391814">
            <w:pPr>
              <w:widowControl/>
              <w:spacing w:line="260" w:lineRule="exact"/>
              <w:jc w:val="center"/>
              <w:rPr>
                <w:rFonts w:ascii="Times New Roman" w:hAnsi="Times New Roman" w:eastAsia="宋体" w:cs="Times New Roman"/>
                <w:szCs w:val="21"/>
              </w:rPr>
            </w:pPr>
          </w:p>
        </w:tc>
        <w:tc>
          <w:tcPr>
            <w:tcW w:w="745" w:type="pct"/>
            <w:vMerge w:val="continue"/>
            <w:vAlign w:val="center"/>
          </w:tcPr>
          <w:p w14:paraId="7C88D901">
            <w:pPr>
              <w:widowControl/>
              <w:spacing w:line="260" w:lineRule="exact"/>
              <w:jc w:val="center"/>
              <w:rPr>
                <w:rFonts w:ascii="Times New Roman" w:hAnsi="Times New Roman" w:eastAsia="宋体" w:cs="Times New Roman"/>
                <w:szCs w:val="21"/>
              </w:rPr>
            </w:pPr>
          </w:p>
        </w:tc>
        <w:tc>
          <w:tcPr>
            <w:tcW w:w="1042" w:type="pct"/>
            <w:vAlign w:val="center"/>
          </w:tcPr>
          <w:p w14:paraId="0E23297D">
            <w:pPr>
              <w:widowControl/>
              <w:spacing w:line="260" w:lineRule="exact"/>
              <w:jc w:val="center"/>
              <w:rPr>
                <w:rFonts w:ascii="Times New Roman" w:hAnsi="Times New Roman" w:eastAsia="宋体" w:cs="Times New Roman"/>
                <w:szCs w:val="21"/>
              </w:rPr>
            </w:pPr>
            <w:r>
              <w:rPr>
                <w:rFonts w:hint="eastAsia" w:ascii="Times New Roman" w:hAnsi="Times New Roman" w:eastAsia="宋体" w:cs="Times New Roman"/>
                <w:szCs w:val="21"/>
              </w:rPr>
              <w:t>填方</w:t>
            </w:r>
          </w:p>
        </w:tc>
        <w:tc>
          <w:tcPr>
            <w:tcW w:w="733" w:type="pct"/>
            <w:vAlign w:val="center"/>
          </w:tcPr>
          <w:p w14:paraId="2C7A2110">
            <w:pPr>
              <w:widowControl/>
              <w:spacing w:line="260" w:lineRule="exact"/>
              <w:jc w:val="center"/>
              <w:rPr>
                <w:rFonts w:ascii="Times New Roman" w:hAnsi="Times New Roman" w:eastAsia="宋体" w:cs="Times New Roman"/>
                <w:szCs w:val="21"/>
              </w:rPr>
            </w:pPr>
            <w:r>
              <w:rPr>
                <w:rFonts w:hint="eastAsia" w:ascii="Times New Roman" w:hAnsi="Times New Roman" w:eastAsia="宋体" w:cs="Times New Roman"/>
                <w:szCs w:val="21"/>
              </w:rPr>
              <w:t>km</w:t>
            </w:r>
            <w:r>
              <w:rPr>
                <w:rFonts w:hint="eastAsia" w:ascii="Times New Roman" w:hAnsi="Times New Roman" w:eastAsia="宋体" w:cs="Times New Roman"/>
                <w:szCs w:val="21"/>
                <w:vertAlign w:val="superscript"/>
              </w:rPr>
              <w:t>3</w:t>
            </w:r>
          </w:p>
        </w:tc>
        <w:tc>
          <w:tcPr>
            <w:tcW w:w="2012" w:type="pct"/>
            <w:vAlign w:val="center"/>
          </w:tcPr>
          <w:p w14:paraId="2E31AADC">
            <w:pPr>
              <w:widowControl/>
              <w:spacing w:line="260" w:lineRule="exact"/>
              <w:jc w:val="center"/>
              <w:rPr>
                <w:rFonts w:ascii="Times New Roman" w:hAnsi="Times New Roman" w:eastAsia="宋体" w:cs="Times New Roman"/>
                <w:szCs w:val="21"/>
              </w:rPr>
            </w:pPr>
            <w:r>
              <w:rPr>
                <w:rFonts w:hint="eastAsia" w:ascii="Times New Roman" w:hAnsi="Times New Roman" w:eastAsia="宋体" w:cs="Times New Roman"/>
                <w:szCs w:val="21"/>
              </w:rPr>
              <w:t>255.21</w:t>
            </w:r>
          </w:p>
        </w:tc>
      </w:tr>
      <w:tr w14:paraId="71E5F665">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465" w:type="pct"/>
            <w:vMerge w:val="restart"/>
            <w:vAlign w:val="center"/>
          </w:tcPr>
          <w:p w14:paraId="4CD4BB66">
            <w:pPr>
              <w:snapToGrid w:val="0"/>
              <w:spacing w:line="260" w:lineRule="exact"/>
              <w:jc w:val="center"/>
              <w:rPr>
                <w:rFonts w:ascii="Times New Roman" w:hAnsi="Times New Roman" w:eastAsia="宋体" w:cs="Times New Roman"/>
                <w:szCs w:val="21"/>
              </w:rPr>
            </w:pPr>
            <w:r>
              <w:rPr>
                <w:rFonts w:hint="eastAsia" w:ascii="Times New Roman" w:hAnsi="Times New Roman" w:eastAsia="宋体" w:cs="Times New Roman"/>
                <w:szCs w:val="21"/>
              </w:rPr>
              <w:t>3</w:t>
            </w:r>
          </w:p>
        </w:tc>
        <w:tc>
          <w:tcPr>
            <w:tcW w:w="1788" w:type="pct"/>
            <w:gridSpan w:val="2"/>
            <w:vAlign w:val="center"/>
          </w:tcPr>
          <w:p w14:paraId="419D70E5">
            <w:pPr>
              <w:widowControl w:val="0"/>
              <w:spacing w:line="260" w:lineRule="exact"/>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桥梁</w:t>
            </w:r>
          </w:p>
        </w:tc>
        <w:tc>
          <w:tcPr>
            <w:tcW w:w="733" w:type="pct"/>
            <w:vAlign w:val="center"/>
          </w:tcPr>
          <w:p w14:paraId="4FFE50E2">
            <w:pPr>
              <w:widowControl w:val="0"/>
              <w:spacing w:line="260" w:lineRule="exact"/>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m/座</w:t>
            </w:r>
          </w:p>
        </w:tc>
        <w:tc>
          <w:tcPr>
            <w:tcW w:w="2012" w:type="pct"/>
            <w:vAlign w:val="center"/>
          </w:tcPr>
          <w:p w14:paraId="232738A8">
            <w:pPr>
              <w:widowControl w:val="0"/>
              <w:spacing w:line="260" w:lineRule="exact"/>
              <w:jc w:val="center"/>
              <w:rPr>
                <w:rFonts w:ascii="Times New Roman" w:hAnsi="Times New Roman" w:eastAsia="仿宋_GB2312" w:cs="Times New Roman"/>
                <w:kern w:val="2"/>
                <w:sz w:val="21"/>
                <w:szCs w:val="21"/>
                <w:lang w:val="en-US" w:eastAsia="zh-CN" w:bidi="ar-SA"/>
              </w:rPr>
            </w:pPr>
            <w:r>
              <w:rPr>
                <w:rFonts w:hint="eastAsia" w:ascii="Times New Roman" w:hAnsi="Times New Roman" w:eastAsia="仿宋_GB2312" w:cs="宋体"/>
                <w:kern w:val="2"/>
                <w:sz w:val="21"/>
                <w:szCs w:val="21"/>
                <w:lang w:val="en-US" w:eastAsia="zh-CN" w:bidi="ar-SA"/>
              </w:rPr>
              <w:t>823.585</w:t>
            </w:r>
            <w:r>
              <w:rPr>
                <w:rFonts w:ascii="Times New Roman" w:hAnsi="Times New Roman" w:eastAsia="仿宋_GB2312" w:cs="宋体"/>
                <w:kern w:val="2"/>
                <w:sz w:val="21"/>
                <w:szCs w:val="21"/>
                <w:lang w:val="en-US" w:eastAsia="zh-CN" w:bidi="ar-SA"/>
              </w:rPr>
              <w:t>/</w:t>
            </w:r>
            <w:r>
              <w:rPr>
                <w:rFonts w:hint="eastAsia" w:ascii="Times New Roman" w:hAnsi="Times New Roman" w:eastAsia="仿宋_GB2312" w:cs="宋体"/>
                <w:kern w:val="2"/>
                <w:sz w:val="21"/>
                <w:szCs w:val="21"/>
                <w:lang w:val="en-US" w:eastAsia="zh-CN" w:bidi="ar-SA"/>
              </w:rPr>
              <w:t>16</w:t>
            </w:r>
          </w:p>
        </w:tc>
      </w:tr>
      <w:tr w14:paraId="1C223B4A">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465" w:type="pct"/>
            <w:vMerge w:val="continue"/>
            <w:vAlign w:val="center"/>
          </w:tcPr>
          <w:p w14:paraId="1F6BA8AB">
            <w:pPr>
              <w:snapToGrid w:val="0"/>
              <w:spacing w:line="260" w:lineRule="exact"/>
              <w:jc w:val="center"/>
              <w:rPr>
                <w:rFonts w:ascii="Times New Roman" w:hAnsi="Times New Roman" w:eastAsia="宋体" w:cs="Times New Roman"/>
                <w:szCs w:val="21"/>
              </w:rPr>
            </w:pPr>
          </w:p>
        </w:tc>
        <w:tc>
          <w:tcPr>
            <w:tcW w:w="1788" w:type="pct"/>
            <w:gridSpan w:val="2"/>
            <w:vAlign w:val="center"/>
          </w:tcPr>
          <w:p w14:paraId="32FC05FE">
            <w:pPr>
              <w:widowControl w:val="0"/>
              <w:spacing w:line="260" w:lineRule="exact"/>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其中，大桥</w:t>
            </w:r>
          </w:p>
        </w:tc>
        <w:tc>
          <w:tcPr>
            <w:tcW w:w="733" w:type="pct"/>
            <w:vAlign w:val="center"/>
          </w:tcPr>
          <w:p w14:paraId="0F147C8B">
            <w:pPr>
              <w:widowControl w:val="0"/>
              <w:spacing w:line="260" w:lineRule="exact"/>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m/座</w:t>
            </w:r>
          </w:p>
        </w:tc>
        <w:tc>
          <w:tcPr>
            <w:tcW w:w="2012" w:type="pct"/>
            <w:vAlign w:val="center"/>
          </w:tcPr>
          <w:p w14:paraId="2ACB2D84">
            <w:pPr>
              <w:widowControl w:val="0"/>
              <w:spacing w:line="260" w:lineRule="exact"/>
              <w:jc w:val="center"/>
              <w:rPr>
                <w:rFonts w:ascii="Times New Roman" w:hAnsi="Times New Roman" w:eastAsia="CIDFont+F2" w:cs="Times New Roman"/>
                <w:kern w:val="2"/>
                <w:sz w:val="21"/>
                <w:szCs w:val="21"/>
                <w:lang w:val="en-US" w:eastAsia="zh-CN" w:bidi="ar-SA"/>
              </w:rPr>
            </w:pPr>
            <w:r>
              <w:rPr>
                <w:rFonts w:hint="eastAsia" w:ascii="Times New Roman" w:hAnsi="Times New Roman" w:eastAsia="CIDFont+F2" w:cs="宋体"/>
                <w:kern w:val="0"/>
                <w:sz w:val="21"/>
                <w:szCs w:val="21"/>
                <w:lang w:val="en-US" w:eastAsia="zh-CN" w:bidi="ar-SA"/>
              </w:rPr>
              <w:t>442.585</w:t>
            </w:r>
            <w:r>
              <w:rPr>
                <w:rFonts w:ascii="Times New Roman" w:hAnsi="Times New Roman" w:eastAsia="CIDFont+F2" w:cs="宋体"/>
                <w:kern w:val="0"/>
                <w:sz w:val="21"/>
                <w:szCs w:val="21"/>
                <w:lang w:val="en-US" w:eastAsia="zh-CN" w:bidi="ar-SA"/>
              </w:rPr>
              <w:t>/</w:t>
            </w:r>
            <w:r>
              <w:rPr>
                <w:rFonts w:hint="eastAsia" w:ascii="Times New Roman" w:hAnsi="Times New Roman" w:eastAsia="CIDFont+F2" w:cs="宋体"/>
                <w:kern w:val="0"/>
                <w:sz w:val="21"/>
                <w:szCs w:val="21"/>
                <w:lang w:val="en-US" w:eastAsia="zh-CN" w:bidi="ar-SA"/>
              </w:rPr>
              <w:t>2</w:t>
            </w:r>
          </w:p>
        </w:tc>
      </w:tr>
      <w:tr w14:paraId="08A65512">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465" w:type="pct"/>
            <w:vMerge w:val="continue"/>
            <w:vAlign w:val="center"/>
          </w:tcPr>
          <w:p w14:paraId="4E1EC5BC">
            <w:pPr>
              <w:snapToGrid w:val="0"/>
              <w:spacing w:line="260" w:lineRule="exact"/>
              <w:jc w:val="center"/>
              <w:rPr>
                <w:rFonts w:ascii="Times New Roman" w:hAnsi="Times New Roman" w:eastAsia="宋体" w:cs="Times New Roman"/>
                <w:szCs w:val="21"/>
              </w:rPr>
            </w:pPr>
          </w:p>
        </w:tc>
        <w:tc>
          <w:tcPr>
            <w:tcW w:w="1788" w:type="pct"/>
            <w:gridSpan w:val="2"/>
            <w:vAlign w:val="center"/>
          </w:tcPr>
          <w:p w14:paraId="1C4156C4">
            <w:pPr>
              <w:widowControl w:val="0"/>
              <w:spacing w:line="260" w:lineRule="exact"/>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中</w:t>
            </w:r>
            <w:r>
              <w:rPr>
                <w:rFonts w:hint="eastAsia" w:ascii="Times New Roman" w:hAnsi="Times New Roman" w:eastAsia="宋体" w:cs="Times New Roman"/>
                <w:kern w:val="2"/>
                <w:sz w:val="21"/>
                <w:szCs w:val="21"/>
                <w:lang w:val="en-US" w:eastAsia="zh-CN" w:bidi="ar-SA"/>
              </w:rPr>
              <w:t>、小</w:t>
            </w:r>
            <w:r>
              <w:rPr>
                <w:rFonts w:ascii="Times New Roman" w:hAnsi="Times New Roman" w:eastAsia="宋体" w:cs="Times New Roman"/>
                <w:kern w:val="2"/>
                <w:sz w:val="21"/>
                <w:szCs w:val="21"/>
                <w:lang w:val="en-US" w:eastAsia="zh-CN" w:bidi="ar-SA"/>
              </w:rPr>
              <w:t>桥</w:t>
            </w:r>
          </w:p>
        </w:tc>
        <w:tc>
          <w:tcPr>
            <w:tcW w:w="733" w:type="pct"/>
            <w:vAlign w:val="center"/>
          </w:tcPr>
          <w:p w14:paraId="15D1D81D">
            <w:pPr>
              <w:widowControl w:val="0"/>
              <w:spacing w:line="260" w:lineRule="exact"/>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m/座</w:t>
            </w:r>
          </w:p>
        </w:tc>
        <w:tc>
          <w:tcPr>
            <w:tcW w:w="2012" w:type="pct"/>
            <w:vAlign w:val="center"/>
          </w:tcPr>
          <w:p w14:paraId="4E958ADE">
            <w:pPr>
              <w:widowControl w:val="0"/>
              <w:spacing w:line="260" w:lineRule="exact"/>
              <w:jc w:val="center"/>
              <w:rPr>
                <w:rFonts w:ascii="Times New Roman" w:hAnsi="Times New Roman" w:eastAsia="CIDFont+F2" w:cs="Times New Roman"/>
                <w:kern w:val="2"/>
                <w:sz w:val="21"/>
                <w:szCs w:val="21"/>
                <w:lang w:val="en-US" w:eastAsia="zh-CN" w:bidi="ar-SA"/>
              </w:rPr>
            </w:pPr>
            <w:r>
              <w:rPr>
                <w:rFonts w:hint="eastAsia" w:ascii="Times New Roman" w:hAnsi="Times New Roman" w:eastAsia="CIDFont+F2" w:cs="Times New Roman"/>
                <w:kern w:val="0"/>
                <w:sz w:val="21"/>
                <w:szCs w:val="21"/>
                <w:lang w:val="en-US" w:eastAsia="zh-CN" w:bidi="ar-SA"/>
              </w:rPr>
              <w:t>381</w:t>
            </w:r>
            <w:r>
              <w:rPr>
                <w:rFonts w:ascii="Times New Roman" w:hAnsi="Times New Roman" w:eastAsia="CIDFont+F2" w:cs="Times New Roman"/>
                <w:kern w:val="0"/>
                <w:sz w:val="21"/>
                <w:szCs w:val="21"/>
                <w:lang w:val="en-US" w:eastAsia="zh-CN" w:bidi="ar-SA"/>
              </w:rPr>
              <w:t>/</w:t>
            </w:r>
            <w:r>
              <w:rPr>
                <w:rFonts w:hint="eastAsia" w:ascii="Times New Roman" w:hAnsi="Times New Roman" w:eastAsia="CIDFont+F2" w:cs="Times New Roman"/>
                <w:kern w:val="0"/>
                <w:sz w:val="21"/>
                <w:szCs w:val="21"/>
                <w:lang w:val="en-US" w:eastAsia="zh-CN" w:bidi="ar-SA"/>
              </w:rPr>
              <w:t>14</w:t>
            </w:r>
          </w:p>
        </w:tc>
      </w:tr>
      <w:tr w14:paraId="2E1F1087">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465" w:type="pct"/>
            <w:vAlign w:val="center"/>
          </w:tcPr>
          <w:p w14:paraId="4EF7C5E8">
            <w:pPr>
              <w:snapToGrid w:val="0"/>
              <w:spacing w:line="260" w:lineRule="exact"/>
              <w:jc w:val="center"/>
              <w:rPr>
                <w:rFonts w:ascii="Times New Roman" w:hAnsi="Times New Roman" w:eastAsia="宋体" w:cs="Times New Roman"/>
                <w:szCs w:val="21"/>
              </w:rPr>
            </w:pPr>
            <w:r>
              <w:rPr>
                <w:rFonts w:hint="eastAsia" w:ascii="Times New Roman" w:hAnsi="Times New Roman" w:eastAsia="宋体" w:cs="Times New Roman"/>
                <w:szCs w:val="21"/>
              </w:rPr>
              <w:t>4</w:t>
            </w:r>
          </w:p>
        </w:tc>
        <w:tc>
          <w:tcPr>
            <w:tcW w:w="1788" w:type="pct"/>
            <w:gridSpan w:val="2"/>
            <w:vAlign w:val="center"/>
          </w:tcPr>
          <w:p w14:paraId="10CE7C88">
            <w:pPr>
              <w:widowControl w:val="0"/>
              <w:spacing w:line="260" w:lineRule="exact"/>
              <w:jc w:val="center"/>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立体交叉</w:t>
            </w:r>
          </w:p>
        </w:tc>
        <w:tc>
          <w:tcPr>
            <w:tcW w:w="733" w:type="pct"/>
            <w:vAlign w:val="center"/>
          </w:tcPr>
          <w:p w14:paraId="2CBDF0B4">
            <w:pPr>
              <w:widowControl w:val="0"/>
              <w:spacing w:line="260" w:lineRule="exact"/>
              <w:jc w:val="center"/>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处</w:t>
            </w:r>
          </w:p>
        </w:tc>
        <w:tc>
          <w:tcPr>
            <w:tcW w:w="2012" w:type="pct"/>
            <w:vAlign w:val="center"/>
          </w:tcPr>
          <w:p w14:paraId="76A3B73B">
            <w:pPr>
              <w:widowControl w:val="0"/>
              <w:spacing w:line="260" w:lineRule="exact"/>
              <w:jc w:val="center"/>
              <w:rPr>
                <w:rFonts w:ascii="Times New Roman" w:hAnsi="Times New Roman" w:eastAsia="CIDFont+F2" w:cs="Times New Roman"/>
                <w:kern w:val="0"/>
                <w:sz w:val="21"/>
                <w:szCs w:val="21"/>
                <w:lang w:val="en-US" w:eastAsia="zh-CN" w:bidi="ar-SA"/>
              </w:rPr>
            </w:pPr>
            <w:r>
              <w:rPr>
                <w:rFonts w:hint="eastAsia" w:ascii="Times New Roman" w:hAnsi="Times New Roman" w:eastAsia="CIDFont+F2" w:cs="Times New Roman"/>
                <w:kern w:val="0"/>
                <w:sz w:val="21"/>
                <w:szCs w:val="21"/>
                <w:lang w:val="en-US" w:eastAsia="zh-CN" w:bidi="ar-SA"/>
              </w:rPr>
              <w:t>4</w:t>
            </w:r>
          </w:p>
        </w:tc>
      </w:tr>
      <w:tr w14:paraId="2B94E98B">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465" w:type="pct"/>
            <w:vAlign w:val="center"/>
          </w:tcPr>
          <w:p w14:paraId="316518C4">
            <w:pPr>
              <w:snapToGrid w:val="0"/>
              <w:jc w:val="center"/>
              <w:rPr>
                <w:rFonts w:ascii="Times New Roman" w:hAnsi="Times New Roman" w:eastAsia="宋体" w:cs="Times New Roman"/>
                <w:szCs w:val="21"/>
              </w:rPr>
            </w:pPr>
            <w:r>
              <w:rPr>
                <w:rFonts w:hint="eastAsia" w:ascii="Times New Roman" w:hAnsi="Times New Roman" w:eastAsia="宋体" w:cs="Times New Roman"/>
                <w:szCs w:val="21"/>
              </w:rPr>
              <w:t>5</w:t>
            </w:r>
          </w:p>
        </w:tc>
        <w:tc>
          <w:tcPr>
            <w:tcW w:w="1788" w:type="pct"/>
            <w:gridSpan w:val="2"/>
            <w:vAlign w:val="center"/>
          </w:tcPr>
          <w:p w14:paraId="1F8A36EA">
            <w:pPr>
              <w:snapToGrid w:val="0"/>
              <w:jc w:val="center"/>
              <w:rPr>
                <w:rFonts w:ascii="Times New Roman" w:hAnsi="Times New Roman" w:eastAsia="宋体" w:cs="Times New Roman"/>
                <w:szCs w:val="21"/>
              </w:rPr>
            </w:pPr>
            <w:r>
              <w:rPr>
                <w:rFonts w:hint="eastAsia" w:ascii="Times New Roman" w:hAnsi="宋体" w:eastAsia="宋体" w:cs="Times New Roman"/>
                <w:szCs w:val="21"/>
              </w:rPr>
              <w:t>平面</w:t>
            </w:r>
            <w:r>
              <w:rPr>
                <w:rFonts w:ascii="Times New Roman" w:hAnsi="宋体" w:eastAsia="宋体" w:cs="Times New Roman"/>
                <w:szCs w:val="21"/>
              </w:rPr>
              <w:t>交叉</w:t>
            </w:r>
          </w:p>
        </w:tc>
        <w:tc>
          <w:tcPr>
            <w:tcW w:w="733" w:type="pct"/>
            <w:vAlign w:val="center"/>
          </w:tcPr>
          <w:p w14:paraId="67E3FF05">
            <w:pPr>
              <w:jc w:val="center"/>
              <w:rPr>
                <w:rFonts w:ascii="Times New Roman" w:hAnsi="Times New Roman" w:eastAsia="宋体" w:cs="Times New Roman"/>
                <w:szCs w:val="21"/>
              </w:rPr>
            </w:pPr>
            <w:r>
              <w:rPr>
                <w:rFonts w:ascii="Times New Roman" w:hAnsi="宋体" w:eastAsia="宋体" w:cs="Times New Roman"/>
                <w:szCs w:val="21"/>
              </w:rPr>
              <w:t>处</w:t>
            </w:r>
          </w:p>
        </w:tc>
        <w:tc>
          <w:tcPr>
            <w:tcW w:w="2012" w:type="pct"/>
            <w:vAlign w:val="center"/>
          </w:tcPr>
          <w:p w14:paraId="2107EA0A">
            <w:pPr>
              <w:jc w:val="center"/>
              <w:rPr>
                <w:rFonts w:ascii="Times New Roman" w:hAnsi="Times New Roman" w:eastAsia="宋体" w:cs="Times New Roman"/>
                <w:szCs w:val="21"/>
              </w:rPr>
            </w:pPr>
            <w:r>
              <w:rPr>
                <w:rFonts w:hint="eastAsia" w:ascii="Times New Roman" w:hAnsi="Times New Roman" w:eastAsia="宋体" w:cs="Times New Roman"/>
                <w:szCs w:val="21"/>
              </w:rPr>
              <w:t>32</w:t>
            </w:r>
          </w:p>
        </w:tc>
      </w:tr>
      <w:tr w14:paraId="4B8E79A5">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465" w:type="pct"/>
            <w:vAlign w:val="center"/>
          </w:tcPr>
          <w:p w14:paraId="65F4E974">
            <w:pPr>
              <w:snapToGrid w:val="0"/>
              <w:jc w:val="center"/>
              <w:rPr>
                <w:rFonts w:ascii="Times New Roman" w:hAnsi="Times New Roman" w:eastAsia="宋体" w:cs="Times New Roman"/>
                <w:szCs w:val="21"/>
              </w:rPr>
            </w:pPr>
            <w:r>
              <w:rPr>
                <w:rFonts w:hint="eastAsia" w:ascii="Times New Roman" w:hAnsi="Times New Roman" w:eastAsia="宋体" w:cs="Times New Roman"/>
                <w:szCs w:val="21"/>
              </w:rPr>
              <w:t>6</w:t>
            </w:r>
          </w:p>
        </w:tc>
        <w:tc>
          <w:tcPr>
            <w:tcW w:w="1788" w:type="pct"/>
            <w:gridSpan w:val="2"/>
            <w:vAlign w:val="center"/>
          </w:tcPr>
          <w:p w14:paraId="1DC564EB">
            <w:pPr>
              <w:snapToGrid w:val="0"/>
              <w:jc w:val="center"/>
              <w:rPr>
                <w:rFonts w:ascii="Times New Roman" w:hAnsi="Times New Roman" w:eastAsia="宋体" w:cs="Times New Roman"/>
                <w:szCs w:val="21"/>
              </w:rPr>
            </w:pPr>
            <w:r>
              <w:rPr>
                <w:rFonts w:ascii="Times New Roman" w:hAnsi="宋体" w:eastAsia="宋体" w:cs="Times New Roman"/>
                <w:szCs w:val="21"/>
              </w:rPr>
              <w:t>涵洞</w:t>
            </w:r>
          </w:p>
        </w:tc>
        <w:tc>
          <w:tcPr>
            <w:tcW w:w="733" w:type="pct"/>
            <w:vAlign w:val="center"/>
          </w:tcPr>
          <w:p w14:paraId="10B9DC51">
            <w:pPr>
              <w:snapToGrid w:val="0"/>
              <w:jc w:val="center"/>
              <w:rPr>
                <w:rFonts w:ascii="Times New Roman" w:hAnsi="Times New Roman" w:eastAsia="宋体" w:cs="Times New Roman"/>
                <w:szCs w:val="21"/>
              </w:rPr>
            </w:pPr>
            <w:r>
              <w:rPr>
                <w:rFonts w:ascii="Times New Roman" w:hAnsi="宋体" w:eastAsia="宋体" w:cs="Times New Roman"/>
                <w:szCs w:val="21"/>
              </w:rPr>
              <w:t>道</w:t>
            </w:r>
          </w:p>
        </w:tc>
        <w:tc>
          <w:tcPr>
            <w:tcW w:w="2012" w:type="pct"/>
            <w:vAlign w:val="center"/>
          </w:tcPr>
          <w:p w14:paraId="45DDA895">
            <w:pPr>
              <w:jc w:val="center"/>
              <w:rPr>
                <w:rFonts w:ascii="Times New Roman" w:hAnsi="Times New Roman" w:eastAsia="宋体" w:cs="Times New Roman"/>
                <w:szCs w:val="21"/>
              </w:rPr>
            </w:pPr>
            <w:r>
              <w:rPr>
                <w:rFonts w:hint="eastAsia" w:ascii="Times New Roman" w:hAnsi="Times New Roman" w:eastAsia="宋体" w:cs="Times New Roman"/>
                <w:szCs w:val="21"/>
              </w:rPr>
              <w:t>197</w:t>
            </w:r>
          </w:p>
        </w:tc>
      </w:tr>
      <w:tr w14:paraId="2E09E99D">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465" w:type="pct"/>
            <w:vAlign w:val="center"/>
          </w:tcPr>
          <w:p w14:paraId="352437D5">
            <w:pPr>
              <w:snapToGrid w:val="0"/>
              <w:jc w:val="center"/>
              <w:rPr>
                <w:rFonts w:ascii="Times New Roman" w:hAnsi="Times New Roman" w:eastAsia="宋体" w:cs="Times New Roman"/>
                <w:szCs w:val="21"/>
              </w:rPr>
            </w:pPr>
            <w:r>
              <w:rPr>
                <w:rFonts w:hint="eastAsia" w:ascii="Times New Roman" w:hAnsi="Times New Roman" w:eastAsia="宋体" w:cs="Times New Roman"/>
                <w:szCs w:val="21"/>
              </w:rPr>
              <w:t>7</w:t>
            </w:r>
          </w:p>
        </w:tc>
        <w:tc>
          <w:tcPr>
            <w:tcW w:w="1788" w:type="pct"/>
            <w:gridSpan w:val="2"/>
            <w:vAlign w:val="center"/>
          </w:tcPr>
          <w:p w14:paraId="2C9AB0D6">
            <w:pPr>
              <w:snapToGrid w:val="0"/>
              <w:jc w:val="center"/>
              <w:rPr>
                <w:rFonts w:ascii="Times New Roman" w:hAnsi="宋体" w:eastAsia="宋体" w:cs="Times New Roman"/>
                <w:szCs w:val="21"/>
              </w:rPr>
            </w:pPr>
            <w:r>
              <w:rPr>
                <w:rFonts w:hint="eastAsia" w:ascii="Times New Roman" w:hAnsi="宋体" w:eastAsia="宋体" w:cs="Times New Roman"/>
                <w:szCs w:val="21"/>
              </w:rPr>
              <w:t>通道</w:t>
            </w:r>
          </w:p>
        </w:tc>
        <w:tc>
          <w:tcPr>
            <w:tcW w:w="733" w:type="pct"/>
            <w:vAlign w:val="center"/>
          </w:tcPr>
          <w:p w14:paraId="5201C93C">
            <w:pPr>
              <w:snapToGrid w:val="0"/>
              <w:jc w:val="center"/>
              <w:rPr>
                <w:rFonts w:ascii="Times New Roman" w:hAnsi="宋体" w:eastAsia="宋体" w:cs="Times New Roman"/>
                <w:szCs w:val="21"/>
              </w:rPr>
            </w:pPr>
            <w:r>
              <w:rPr>
                <w:rFonts w:hint="eastAsia" w:ascii="Times New Roman" w:hAnsi="宋体" w:eastAsia="宋体" w:cs="Times New Roman"/>
                <w:szCs w:val="21"/>
              </w:rPr>
              <w:t>道</w:t>
            </w:r>
          </w:p>
        </w:tc>
        <w:tc>
          <w:tcPr>
            <w:tcW w:w="2012" w:type="pct"/>
            <w:vAlign w:val="center"/>
          </w:tcPr>
          <w:p w14:paraId="0935BED5">
            <w:pPr>
              <w:jc w:val="center"/>
              <w:rPr>
                <w:rFonts w:ascii="Times New Roman" w:hAnsi="Times New Roman" w:eastAsia="宋体" w:cs="Times New Roman"/>
                <w:szCs w:val="21"/>
              </w:rPr>
            </w:pPr>
            <w:r>
              <w:rPr>
                <w:rFonts w:hint="eastAsia" w:ascii="Times New Roman" w:hAnsi="Times New Roman" w:eastAsia="宋体" w:cs="Times New Roman"/>
                <w:szCs w:val="21"/>
              </w:rPr>
              <w:t>12</w:t>
            </w:r>
          </w:p>
        </w:tc>
      </w:tr>
      <w:tr w14:paraId="1D994B73">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465" w:type="pct"/>
            <w:vAlign w:val="center"/>
          </w:tcPr>
          <w:p w14:paraId="7084E8A2">
            <w:pPr>
              <w:snapToGrid w:val="0"/>
              <w:jc w:val="center"/>
              <w:rPr>
                <w:rFonts w:ascii="Times New Roman" w:hAnsi="Times New Roman" w:eastAsia="宋体" w:cs="Times New Roman"/>
                <w:szCs w:val="21"/>
              </w:rPr>
            </w:pPr>
            <w:r>
              <w:rPr>
                <w:rFonts w:hint="eastAsia" w:ascii="Times New Roman" w:hAnsi="Times New Roman" w:eastAsia="宋体" w:cs="Times New Roman"/>
                <w:szCs w:val="21"/>
              </w:rPr>
              <w:t>8</w:t>
            </w:r>
          </w:p>
        </w:tc>
        <w:tc>
          <w:tcPr>
            <w:tcW w:w="1788" w:type="pct"/>
            <w:gridSpan w:val="2"/>
            <w:vAlign w:val="center"/>
          </w:tcPr>
          <w:p w14:paraId="2FE326EA">
            <w:pPr>
              <w:snapToGrid w:val="0"/>
              <w:jc w:val="center"/>
              <w:rPr>
                <w:rFonts w:ascii="Times New Roman" w:hAnsi="宋体" w:eastAsia="宋体" w:cs="Times New Roman"/>
                <w:szCs w:val="21"/>
              </w:rPr>
            </w:pPr>
            <w:r>
              <w:rPr>
                <w:rFonts w:hint="eastAsia" w:ascii="Times New Roman" w:hAnsi="宋体" w:eastAsia="宋体" w:cs="Times New Roman"/>
                <w:szCs w:val="21"/>
              </w:rPr>
              <w:t>人行</w:t>
            </w:r>
            <w:r>
              <w:rPr>
                <w:rFonts w:ascii="Times New Roman" w:hAnsi="宋体" w:eastAsia="宋体" w:cs="Times New Roman"/>
                <w:szCs w:val="21"/>
              </w:rPr>
              <w:t>天桥</w:t>
            </w:r>
          </w:p>
        </w:tc>
        <w:tc>
          <w:tcPr>
            <w:tcW w:w="733" w:type="pct"/>
            <w:vAlign w:val="center"/>
          </w:tcPr>
          <w:p w14:paraId="10602B8B">
            <w:pPr>
              <w:snapToGrid w:val="0"/>
              <w:jc w:val="center"/>
              <w:rPr>
                <w:rFonts w:ascii="Times New Roman" w:hAnsi="宋体" w:eastAsia="宋体" w:cs="Times New Roman"/>
                <w:szCs w:val="21"/>
              </w:rPr>
            </w:pPr>
            <w:r>
              <w:rPr>
                <w:rFonts w:ascii="Times New Roman" w:hAnsi="宋体" w:eastAsia="宋体" w:cs="Times New Roman"/>
                <w:szCs w:val="21"/>
              </w:rPr>
              <w:t>座</w:t>
            </w:r>
          </w:p>
        </w:tc>
        <w:tc>
          <w:tcPr>
            <w:tcW w:w="2012" w:type="pct"/>
            <w:vAlign w:val="center"/>
          </w:tcPr>
          <w:p w14:paraId="36C82946">
            <w:pPr>
              <w:jc w:val="center"/>
              <w:rPr>
                <w:rFonts w:ascii="Times New Roman" w:hAnsi="Times New Roman" w:eastAsia="宋体" w:cs="Times New Roman"/>
                <w:szCs w:val="21"/>
              </w:rPr>
            </w:pPr>
            <w:r>
              <w:rPr>
                <w:rFonts w:hint="eastAsia" w:ascii="Times New Roman" w:hAnsi="Times New Roman" w:eastAsia="宋体" w:cs="Times New Roman"/>
                <w:szCs w:val="21"/>
              </w:rPr>
              <w:t>1</w:t>
            </w:r>
          </w:p>
        </w:tc>
      </w:tr>
      <w:tr w14:paraId="526FE45D">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465" w:type="pct"/>
            <w:vAlign w:val="center"/>
          </w:tcPr>
          <w:p w14:paraId="0A11DEA8">
            <w:pPr>
              <w:snapToGrid w:val="0"/>
              <w:jc w:val="center"/>
              <w:rPr>
                <w:rFonts w:ascii="Times New Roman" w:hAnsi="Times New Roman" w:eastAsia="宋体" w:cs="Times New Roman"/>
                <w:szCs w:val="21"/>
              </w:rPr>
            </w:pPr>
            <w:r>
              <w:rPr>
                <w:rFonts w:hint="eastAsia" w:ascii="Times New Roman" w:hAnsi="Times New Roman" w:eastAsia="宋体" w:cs="Times New Roman"/>
                <w:szCs w:val="21"/>
              </w:rPr>
              <w:t>9</w:t>
            </w:r>
          </w:p>
        </w:tc>
        <w:tc>
          <w:tcPr>
            <w:tcW w:w="1788" w:type="pct"/>
            <w:gridSpan w:val="2"/>
            <w:vAlign w:val="center"/>
          </w:tcPr>
          <w:p w14:paraId="311DEBF0">
            <w:pPr>
              <w:snapToGrid w:val="0"/>
              <w:jc w:val="center"/>
              <w:rPr>
                <w:rFonts w:ascii="Times New Roman" w:hAnsi="Times New Roman" w:eastAsia="宋体" w:cs="Times New Roman"/>
                <w:szCs w:val="21"/>
              </w:rPr>
            </w:pPr>
            <w:r>
              <w:rPr>
                <w:rFonts w:hint="eastAsia" w:ascii="Times New Roman" w:hAnsi="宋体" w:eastAsia="宋体" w:cs="Times New Roman"/>
                <w:szCs w:val="21"/>
              </w:rPr>
              <w:t>收费站</w:t>
            </w:r>
          </w:p>
        </w:tc>
        <w:tc>
          <w:tcPr>
            <w:tcW w:w="733" w:type="pct"/>
            <w:vAlign w:val="center"/>
          </w:tcPr>
          <w:p w14:paraId="669095A0">
            <w:pPr>
              <w:widowControl w:val="0"/>
              <w:adjustRightInd w:val="0"/>
              <w:snapToGrid w:val="0"/>
              <w:ind w:firstLine="0"/>
              <w:jc w:val="center"/>
              <w:rPr>
                <w:rFonts w:ascii="Times New Roman" w:hAnsi="Times New Roman" w:eastAsia="宋体" w:cs="Times New Roman"/>
                <w:kern w:val="2"/>
                <w:sz w:val="21"/>
                <w:szCs w:val="21"/>
                <w:lang w:val="en-US" w:eastAsia="zh-CN" w:bidi="ar-SA"/>
              </w:rPr>
            </w:pPr>
            <w:r>
              <w:rPr>
                <w:rFonts w:ascii="Times New Roman" w:hAnsi="宋体" w:eastAsia="宋体" w:cs="Times New Roman"/>
                <w:kern w:val="2"/>
                <w:sz w:val="21"/>
                <w:szCs w:val="21"/>
                <w:lang w:val="en-US" w:eastAsia="zh-CN" w:bidi="ar-SA"/>
              </w:rPr>
              <w:t>处</w:t>
            </w:r>
          </w:p>
        </w:tc>
        <w:tc>
          <w:tcPr>
            <w:tcW w:w="2012" w:type="pct"/>
            <w:vAlign w:val="center"/>
          </w:tcPr>
          <w:p w14:paraId="7F0F7395">
            <w:pPr>
              <w:widowControl w:val="0"/>
              <w:adjustRightInd w:val="0"/>
              <w:snapToGrid w:val="0"/>
              <w:ind w:firstLine="0"/>
              <w:jc w:val="center"/>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1</w:t>
            </w:r>
          </w:p>
        </w:tc>
      </w:tr>
      <w:tr w14:paraId="569C8642">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465" w:type="pct"/>
            <w:vAlign w:val="center"/>
          </w:tcPr>
          <w:p w14:paraId="700BB2C2">
            <w:pPr>
              <w:snapToGrid w:val="0"/>
              <w:jc w:val="center"/>
              <w:rPr>
                <w:rFonts w:ascii="Times New Roman" w:hAnsi="Times New Roman" w:eastAsia="宋体" w:cs="Times New Roman"/>
                <w:szCs w:val="21"/>
              </w:rPr>
            </w:pPr>
            <w:r>
              <w:rPr>
                <w:rFonts w:hint="eastAsia" w:ascii="Times New Roman" w:hAnsi="Times New Roman" w:eastAsia="宋体" w:cs="Times New Roman"/>
                <w:szCs w:val="21"/>
              </w:rPr>
              <w:t>10</w:t>
            </w:r>
          </w:p>
        </w:tc>
        <w:tc>
          <w:tcPr>
            <w:tcW w:w="1788" w:type="pct"/>
            <w:gridSpan w:val="2"/>
            <w:vAlign w:val="center"/>
          </w:tcPr>
          <w:p w14:paraId="6B56A466">
            <w:pPr>
              <w:snapToGrid w:val="0"/>
              <w:jc w:val="center"/>
              <w:rPr>
                <w:rFonts w:ascii="Times New Roman" w:hAnsi="宋体" w:eastAsia="宋体" w:cs="Times New Roman"/>
                <w:szCs w:val="21"/>
              </w:rPr>
            </w:pPr>
            <w:r>
              <w:rPr>
                <w:rFonts w:ascii="Times New Roman" w:hAnsi="宋体" w:eastAsia="宋体" w:cs="Times New Roman"/>
                <w:szCs w:val="21"/>
              </w:rPr>
              <w:t>养护工区</w:t>
            </w:r>
          </w:p>
        </w:tc>
        <w:tc>
          <w:tcPr>
            <w:tcW w:w="733" w:type="pct"/>
            <w:vAlign w:val="center"/>
          </w:tcPr>
          <w:p w14:paraId="6930A811">
            <w:pPr>
              <w:widowControl w:val="0"/>
              <w:adjustRightInd w:val="0"/>
              <w:snapToGrid w:val="0"/>
              <w:ind w:firstLine="0"/>
              <w:jc w:val="center"/>
              <w:rPr>
                <w:rFonts w:ascii="Times New Roman" w:hAnsi="宋体" w:eastAsia="宋体" w:cs="Times New Roman"/>
                <w:kern w:val="2"/>
                <w:sz w:val="21"/>
                <w:szCs w:val="21"/>
                <w:lang w:val="en-US" w:eastAsia="zh-CN" w:bidi="ar-SA"/>
              </w:rPr>
            </w:pPr>
            <w:r>
              <w:rPr>
                <w:rFonts w:ascii="Times New Roman" w:hAnsi="宋体" w:eastAsia="宋体" w:cs="Times New Roman"/>
                <w:kern w:val="2"/>
                <w:sz w:val="21"/>
                <w:szCs w:val="21"/>
                <w:lang w:val="en-US" w:eastAsia="zh-CN" w:bidi="ar-SA"/>
              </w:rPr>
              <w:t>处</w:t>
            </w:r>
          </w:p>
        </w:tc>
        <w:tc>
          <w:tcPr>
            <w:tcW w:w="2012" w:type="pct"/>
            <w:vAlign w:val="center"/>
          </w:tcPr>
          <w:p w14:paraId="4D92C586">
            <w:pPr>
              <w:widowControl w:val="0"/>
              <w:adjustRightInd w:val="0"/>
              <w:snapToGrid w:val="0"/>
              <w:ind w:firstLine="0"/>
              <w:jc w:val="center"/>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1</w:t>
            </w:r>
          </w:p>
        </w:tc>
      </w:tr>
      <w:tr w14:paraId="18298DD2">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465" w:type="pct"/>
            <w:vAlign w:val="center"/>
          </w:tcPr>
          <w:p w14:paraId="2323C5C9">
            <w:pPr>
              <w:widowControl/>
              <w:jc w:val="center"/>
              <w:rPr>
                <w:rFonts w:ascii="Times New Roman" w:hAnsi="Times New Roman" w:eastAsia="宋体" w:cs="Times New Roman"/>
                <w:szCs w:val="21"/>
              </w:rPr>
            </w:pPr>
            <w:r>
              <w:rPr>
                <w:rFonts w:hint="eastAsia" w:ascii="Times New Roman" w:hAnsi="Times New Roman" w:eastAsia="宋体" w:cs="Times New Roman"/>
                <w:szCs w:val="21"/>
              </w:rPr>
              <w:t>11</w:t>
            </w:r>
          </w:p>
        </w:tc>
        <w:tc>
          <w:tcPr>
            <w:tcW w:w="1788" w:type="pct"/>
            <w:gridSpan w:val="2"/>
            <w:vAlign w:val="center"/>
          </w:tcPr>
          <w:p w14:paraId="55B5FDA7">
            <w:pPr>
              <w:snapToGrid w:val="0"/>
              <w:jc w:val="center"/>
              <w:rPr>
                <w:rFonts w:ascii="Times New Roman" w:hAnsi="宋体" w:eastAsia="宋体" w:cs="Times New Roman"/>
                <w:szCs w:val="21"/>
              </w:rPr>
            </w:pPr>
            <w:r>
              <w:rPr>
                <w:rFonts w:hint="eastAsia" w:ascii="Times New Roman" w:hAnsi="宋体" w:eastAsia="宋体" w:cs="Times New Roman"/>
                <w:szCs w:val="21"/>
              </w:rPr>
              <w:t>监控管理分中心</w:t>
            </w:r>
          </w:p>
        </w:tc>
        <w:tc>
          <w:tcPr>
            <w:tcW w:w="733" w:type="pct"/>
            <w:vAlign w:val="center"/>
          </w:tcPr>
          <w:p w14:paraId="41EA8A24">
            <w:pPr>
              <w:widowControl w:val="0"/>
              <w:adjustRightInd w:val="0"/>
              <w:snapToGrid w:val="0"/>
              <w:ind w:firstLine="0"/>
              <w:jc w:val="center"/>
              <w:rPr>
                <w:rFonts w:ascii="Times New Roman" w:hAnsi="宋体" w:eastAsia="宋体" w:cs="Times New Roman"/>
                <w:kern w:val="2"/>
                <w:sz w:val="21"/>
                <w:szCs w:val="21"/>
                <w:lang w:val="en-US" w:eastAsia="zh-CN" w:bidi="ar-SA"/>
              </w:rPr>
            </w:pPr>
            <w:r>
              <w:rPr>
                <w:rFonts w:ascii="Times New Roman" w:hAnsi="宋体" w:eastAsia="宋体" w:cs="Times New Roman"/>
                <w:kern w:val="2"/>
                <w:sz w:val="21"/>
                <w:szCs w:val="21"/>
                <w:lang w:val="en-US" w:eastAsia="zh-CN" w:bidi="ar-SA"/>
              </w:rPr>
              <w:t>处</w:t>
            </w:r>
          </w:p>
        </w:tc>
        <w:tc>
          <w:tcPr>
            <w:tcW w:w="2012" w:type="pct"/>
            <w:vAlign w:val="center"/>
          </w:tcPr>
          <w:p w14:paraId="0761A42A">
            <w:pPr>
              <w:widowControl w:val="0"/>
              <w:adjustRightInd w:val="0"/>
              <w:snapToGrid w:val="0"/>
              <w:ind w:firstLine="0"/>
              <w:jc w:val="center"/>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1</w:t>
            </w:r>
          </w:p>
        </w:tc>
      </w:tr>
      <w:tr w14:paraId="5E20D1F0">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465" w:type="pct"/>
            <w:vAlign w:val="center"/>
          </w:tcPr>
          <w:p w14:paraId="43935880">
            <w:pPr>
              <w:widowControl/>
              <w:jc w:val="center"/>
              <w:rPr>
                <w:rFonts w:ascii="Times New Roman" w:hAnsi="Times New Roman" w:eastAsia="宋体" w:cs="Times New Roman"/>
                <w:szCs w:val="21"/>
              </w:rPr>
            </w:pPr>
            <w:r>
              <w:rPr>
                <w:rFonts w:hint="eastAsia" w:ascii="Times New Roman" w:hAnsi="Times New Roman" w:eastAsia="宋体" w:cs="Times New Roman"/>
                <w:szCs w:val="21"/>
              </w:rPr>
              <w:t>12</w:t>
            </w:r>
          </w:p>
        </w:tc>
        <w:tc>
          <w:tcPr>
            <w:tcW w:w="1788" w:type="pct"/>
            <w:gridSpan w:val="2"/>
            <w:vAlign w:val="center"/>
          </w:tcPr>
          <w:p w14:paraId="331E1536">
            <w:pPr>
              <w:snapToGrid w:val="0"/>
              <w:jc w:val="center"/>
              <w:rPr>
                <w:rFonts w:ascii="Times New Roman" w:hAnsi="宋体" w:eastAsia="宋体" w:cs="Times New Roman"/>
                <w:szCs w:val="21"/>
              </w:rPr>
            </w:pPr>
            <w:r>
              <w:rPr>
                <w:rFonts w:ascii="Times New Roman" w:hAnsi="宋体" w:eastAsia="宋体" w:cs="Times New Roman"/>
                <w:szCs w:val="21"/>
              </w:rPr>
              <w:t>路政</w:t>
            </w:r>
            <w:r>
              <w:rPr>
                <w:rFonts w:hint="eastAsia" w:ascii="Times New Roman" w:hAnsi="宋体" w:eastAsia="宋体" w:cs="Times New Roman"/>
                <w:szCs w:val="21"/>
              </w:rPr>
              <w:t>执法用房</w:t>
            </w:r>
          </w:p>
        </w:tc>
        <w:tc>
          <w:tcPr>
            <w:tcW w:w="733" w:type="pct"/>
            <w:vAlign w:val="center"/>
          </w:tcPr>
          <w:p w14:paraId="4E7F270B">
            <w:pPr>
              <w:widowControl w:val="0"/>
              <w:adjustRightInd w:val="0"/>
              <w:snapToGrid w:val="0"/>
              <w:ind w:firstLine="0"/>
              <w:jc w:val="center"/>
              <w:rPr>
                <w:rFonts w:ascii="Times New Roman" w:hAnsi="宋体" w:eastAsia="宋体" w:cs="Times New Roman"/>
                <w:kern w:val="2"/>
                <w:sz w:val="21"/>
                <w:szCs w:val="21"/>
                <w:lang w:val="en-US" w:eastAsia="zh-CN" w:bidi="ar-SA"/>
              </w:rPr>
            </w:pPr>
            <w:r>
              <w:rPr>
                <w:rFonts w:ascii="Times New Roman" w:hAnsi="宋体" w:eastAsia="宋体" w:cs="Times New Roman"/>
                <w:kern w:val="2"/>
                <w:sz w:val="21"/>
                <w:szCs w:val="21"/>
                <w:lang w:val="en-US" w:eastAsia="zh-CN" w:bidi="ar-SA"/>
              </w:rPr>
              <w:t>处</w:t>
            </w:r>
          </w:p>
        </w:tc>
        <w:tc>
          <w:tcPr>
            <w:tcW w:w="2012" w:type="pct"/>
            <w:vAlign w:val="center"/>
          </w:tcPr>
          <w:p w14:paraId="3933C58B">
            <w:pPr>
              <w:widowControl w:val="0"/>
              <w:adjustRightInd w:val="0"/>
              <w:snapToGrid w:val="0"/>
              <w:ind w:firstLine="0"/>
              <w:jc w:val="center"/>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1</w:t>
            </w:r>
          </w:p>
        </w:tc>
      </w:tr>
      <w:tr w14:paraId="07E6113D">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465" w:type="pct"/>
            <w:vAlign w:val="center"/>
          </w:tcPr>
          <w:p w14:paraId="69264086">
            <w:pPr>
              <w:widowControl/>
              <w:jc w:val="center"/>
              <w:rPr>
                <w:rFonts w:ascii="Times New Roman" w:hAnsi="Times New Roman" w:eastAsia="宋体" w:cs="Times New Roman"/>
                <w:szCs w:val="21"/>
              </w:rPr>
            </w:pPr>
            <w:r>
              <w:rPr>
                <w:rFonts w:hint="eastAsia" w:ascii="Times New Roman" w:hAnsi="Times New Roman" w:eastAsia="宋体" w:cs="Times New Roman"/>
                <w:szCs w:val="21"/>
              </w:rPr>
              <w:t>13</w:t>
            </w:r>
          </w:p>
        </w:tc>
        <w:tc>
          <w:tcPr>
            <w:tcW w:w="1788" w:type="pct"/>
            <w:gridSpan w:val="2"/>
            <w:vAlign w:val="center"/>
          </w:tcPr>
          <w:p w14:paraId="13885CA9">
            <w:pPr>
              <w:snapToGrid w:val="0"/>
              <w:jc w:val="center"/>
              <w:rPr>
                <w:rFonts w:ascii="Times New Roman" w:hAnsi="宋体" w:eastAsia="宋体" w:cs="Times New Roman"/>
                <w:szCs w:val="21"/>
              </w:rPr>
            </w:pPr>
            <w:r>
              <w:rPr>
                <w:rFonts w:hint="eastAsia" w:ascii="Times New Roman" w:hAnsi="宋体" w:eastAsia="宋体" w:cs="Times New Roman"/>
                <w:szCs w:val="21"/>
              </w:rPr>
              <w:t>非现场执法</w:t>
            </w:r>
          </w:p>
        </w:tc>
        <w:tc>
          <w:tcPr>
            <w:tcW w:w="733" w:type="pct"/>
            <w:vAlign w:val="center"/>
          </w:tcPr>
          <w:p w14:paraId="651671EE">
            <w:pPr>
              <w:widowControl w:val="0"/>
              <w:adjustRightInd w:val="0"/>
              <w:snapToGrid w:val="0"/>
              <w:ind w:firstLine="0"/>
              <w:jc w:val="center"/>
              <w:rPr>
                <w:rFonts w:ascii="Times New Roman" w:hAnsi="宋体" w:eastAsia="宋体" w:cs="Times New Roman"/>
                <w:kern w:val="2"/>
                <w:sz w:val="21"/>
                <w:szCs w:val="21"/>
                <w:lang w:val="en-US" w:eastAsia="zh-CN" w:bidi="ar-SA"/>
              </w:rPr>
            </w:pPr>
            <w:r>
              <w:rPr>
                <w:rFonts w:hint="eastAsia" w:ascii="Times New Roman" w:hAnsi="宋体" w:eastAsia="宋体" w:cs="Times New Roman"/>
                <w:kern w:val="2"/>
                <w:sz w:val="21"/>
                <w:szCs w:val="21"/>
                <w:lang w:val="en-US" w:eastAsia="zh-CN" w:bidi="ar-SA"/>
              </w:rPr>
              <w:t>处</w:t>
            </w:r>
          </w:p>
        </w:tc>
        <w:tc>
          <w:tcPr>
            <w:tcW w:w="2012" w:type="pct"/>
            <w:vAlign w:val="center"/>
          </w:tcPr>
          <w:p w14:paraId="5EB2F86A">
            <w:pPr>
              <w:widowControl w:val="0"/>
              <w:adjustRightInd w:val="0"/>
              <w:snapToGrid w:val="0"/>
              <w:ind w:firstLine="0"/>
              <w:jc w:val="center"/>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1</w:t>
            </w:r>
          </w:p>
        </w:tc>
      </w:tr>
      <w:tr w14:paraId="10300912">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cantSplit/>
          <w:tblHeader/>
          <w:jc w:val="center"/>
        </w:trPr>
        <w:tc>
          <w:tcPr>
            <w:tcW w:w="465" w:type="pct"/>
            <w:shd w:val="clear" w:color="auto" w:fill="auto"/>
            <w:vAlign w:val="center"/>
          </w:tcPr>
          <w:p w14:paraId="6F9D3005">
            <w:pPr>
              <w:snapToGrid w:val="0"/>
              <w:jc w:val="center"/>
              <w:rPr>
                <w:rFonts w:hint="eastAsia" w:ascii="Times New Roman" w:hAnsi="Times New Roman" w:eastAsia="宋体" w:cs="Times New Roman"/>
                <w:szCs w:val="21"/>
                <w:lang w:eastAsia="zh-CN"/>
              </w:rPr>
            </w:pPr>
            <w:r>
              <w:rPr>
                <w:rFonts w:ascii="Times New Roman" w:hAnsi="Times New Roman" w:eastAsia="宋体" w:cs="Times New Roman"/>
                <w:szCs w:val="21"/>
              </w:rPr>
              <w:t>1</w:t>
            </w:r>
            <w:r>
              <w:rPr>
                <w:rFonts w:hint="eastAsia" w:ascii="Times New Roman" w:hAnsi="Times New Roman" w:eastAsia="宋体" w:cs="Times New Roman"/>
                <w:szCs w:val="21"/>
                <w:lang w:val="en-US" w:eastAsia="zh-CN"/>
              </w:rPr>
              <w:t>4</w:t>
            </w:r>
          </w:p>
        </w:tc>
        <w:tc>
          <w:tcPr>
            <w:tcW w:w="1788" w:type="pct"/>
            <w:gridSpan w:val="2"/>
            <w:vAlign w:val="center"/>
          </w:tcPr>
          <w:p w14:paraId="47B6F6A3">
            <w:pPr>
              <w:widowControl/>
              <w:jc w:val="center"/>
              <w:rPr>
                <w:rFonts w:ascii="Times New Roman" w:hAnsi="Times New Roman" w:eastAsia="宋体" w:cs="Times New Roman"/>
                <w:szCs w:val="21"/>
              </w:rPr>
            </w:pPr>
            <w:r>
              <w:rPr>
                <w:rFonts w:ascii="Times New Roman" w:hAnsi="宋体" w:eastAsia="宋体" w:cs="Times New Roman"/>
                <w:szCs w:val="21"/>
              </w:rPr>
              <w:t>永久占地</w:t>
            </w:r>
          </w:p>
        </w:tc>
        <w:tc>
          <w:tcPr>
            <w:tcW w:w="733" w:type="pct"/>
            <w:vAlign w:val="center"/>
          </w:tcPr>
          <w:p w14:paraId="16587B85">
            <w:pPr>
              <w:widowControl/>
              <w:jc w:val="center"/>
              <w:rPr>
                <w:rFonts w:ascii="Times New Roman" w:hAnsi="Times New Roman" w:eastAsia="宋体" w:cs="Times New Roman"/>
                <w:szCs w:val="21"/>
              </w:rPr>
            </w:pPr>
            <w:r>
              <w:rPr>
                <w:rFonts w:ascii="Times New Roman" w:hAnsi="Times New Roman" w:eastAsia="宋体" w:cs="Times New Roman"/>
                <w:szCs w:val="21"/>
              </w:rPr>
              <w:t>hm</w:t>
            </w:r>
            <w:r>
              <w:rPr>
                <w:rFonts w:ascii="Times New Roman" w:hAnsi="Times New Roman" w:eastAsia="宋体" w:cs="Times New Roman"/>
                <w:szCs w:val="21"/>
                <w:vertAlign w:val="superscript"/>
              </w:rPr>
              <w:t>2</w:t>
            </w:r>
          </w:p>
        </w:tc>
        <w:tc>
          <w:tcPr>
            <w:tcW w:w="2012" w:type="pct"/>
            <w:vAlign w:val="center"/>
          </w:tcPr>
          <w:p w14:paraId="7B8F4CAA">
            <w:pPr>
              <w:jc w:val="center"/>
              <w:rPr>
                <w:rFonts w:ascii="Times New Roman" w:hAnsi="Times New Roman" w:eastAsia="宋体" w:cs="Times New Roman"/>
                <w:szCs w:val="21"/>
              </w:rPr>
            </w:pPr>
            <w:r>
              <w:rPr>
                <w:rFonts w:hint="eastAsia" w:ascii="Times New Roman" w:hAnsi="Times New Roman" w:eastAsia="宋体" w:cs="Times New Roman"/>
                <w:szCs w:val="21"/>
              </w:rPr>
              <w:t>306.32</w:t>
            </w:r>
          </w:p>
        </w:tc>
      </w:tr>
      <w:tr w14:paraId="309AAA6B">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cantSplit/>
          <w:tblHeader/>
          <w:jc w:val="center"/>
        </w:trPr>
        <w:tc>
          <w:tcPr>
            <w:tcW w:w="465" w:type="pct"/>
            <w:shd w:val="clear" w:color="auto" w:fill="auto"/>
            <w:vAlign w:val="center"/>
          </w:tcPr>
          <w:p w14:paraId="68A94C5D">
            <w:pPr>
              <w:snapToGrid w:val="0"/>
              <w:jc w:val="center"/>
              <w:rPr>
                <w:rFonts w:hint="eastAsia" w:ascii="Times New Roman" w:hAnsi="Times New Roman" w:eastAsia="宋体" w:cs="Times New Roman"/>
                <w:szCs w:val="21"/>
                <w:lang w:eastAsia="zh-CN"/>
              </w:rPr>
            </w:pPr>
            <w:r>
              <w:rPr>
                <w:rFonts w:hint="eastAsia" w:ascii="Times New Roman" w:hAnsi="Times New Roman" w:eastAsia="宋体" w:cs="Times New Roman"/>
                <w:szCs w:val="21"/>
              </w:rPr>
              <w:t>1</w:t>
            </w:r>
            <w:r>
              <w:rPr>
                <w:rFonts w:hint="eastAsia" w:ascii="Times New Roman" w:hAnsi="Times New Roman" w:eastAsia="宋体" w:cs="Times New Roman"/>
                <w:szCs w:val="21"/>
                <w:lang w:val="en-US" w:eastAsia="zh-CN"/>
              </w:rPr>
              <w:t>5</w:t>
            </w:r>
          </w:p>
        </w:tc>
        <w:tc>
          <w:tcPr>
            <w:tcW w:w="1788" w:type="pct"/>
            <w:gridSpan w:val="2"/>
            <w:vAlign w:val="center"/>
          </w:tcPr>
          <w:p w14:paraId="5C148A93">
            <w:pPr>
              <w:widowControl/>
              <w:jc w:val="center"/>
              <w:rPr>
                <w:rFonts w:ascii="Times New Roman" w:hAnsi="Times New Roman" w:eastAsia="宋体" w:cs="Times New Roman"/>
                <w:szCs w:val="21"/>
              </w:rPr>
            </w:pPr>
            <w:r>
              <w:rPr>
                <w:rFonts w:ascii="Times New Roman" w:hAnsi="宋体" w:eastAsia="宋体" w:cs="Times New Roman"/>
                <w:szCs w:val="21"/>
              </w:rPr>
              <w:t>拆迁建筑物</w:t>
            </w:r>
          </w:p>
        </w:tc>
        <w:tc>
          <w:tcPr>
            <w:tcW w:w="733" w:type="pct"/>
            <w:vAlign w:val="center"/>
          </w:tcPr>
          <w:p w14:paraId="07AC264A">
            <w:pPr>
              <w:widowControl/>
              <w:jc w:val="center"/>
              <w:rPr>
                <w:rFonts w:ascii="Times New Roman" w:hAnsi="Times New Roman" w:eastAsia="宋体" w:cs="Times New Roman"/>
                <w:szCs w:val="21"/>
              </w:rPr>
            </w:pPr>
            <w:r>
              <w:rPr>
                <w:rFonts w:ascii="Times New Roman" w:hAnsi="Times New Roman" w:eastAsia="宋体" w:cs="Times New Roman"/>
                <w:szCs w:val="21"/>
              </w:rPr>
              <w:t>m</w:t>
            </w:r>
            <w:r>
              <w:rPr>
                <w:rFonts w:ascii="Times New Roman" w:hAnsi="Times New Roman" w:eastAsia="宋体" w:cs="Times New Roman"/>
                <w:szCs w:val="21"/>
                <w:vertAlign w:val="superscript"/>
              </w:rPr>
              <w:t>2</w:t>
            </w:r>
          </w:p>
        </w:tc>
        <w:tc>
          <w:tcPr>
            <w:tcW w:w="2012" w:type="pct"/>
            <w:vAlign w:val="center"/>
          </w:tcPr>
          <w:p w14:paraId="3AD49D73">
            <w:pPr>
              <w:jc w:val="center"/>
              <w:rPr>
                <w:rFonts w:ascii="Times New Roman" w:hAnsi="Times New Roman" w:eastAsia="宋体" w:cs="Times New Roman"/>
                <w:szCs w:val="21"/>
              </w:rPr>
            </w:pPr>
            <w:r>
              <w:rPr>
                <w:rFonts w:hint="eastAsia" w:ascii="Times New Roman" w:hAnsi="Times New Roman" w:eastAsia="宋体" w:cs="Times New Roman"/>
              </w:rPr>
              <w:t>47602</w:t>
            </w:r>
          </w:p>
        </w:tc>
      </w:tr>
      <w:tr w14:paraId="3D97AEC9">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cantSplit/>
          <w:trHeight w:val="242" w:hRule="atLeast"/>
          <w:tblHeader/>
          <w:jc w:val="center"/>
        </w:trPr>
        <w:tc>
          <w:tcPr>
            <w:tcW w:w="465" w:type="pct"/>
            <w:shd w:val="clear" w:color="auto" w:fill="auto"/>
            <w:vAlign w:val="center"/>
          </w:tcPr>
          <w:p w14:paraId="48AC9B94">
            <w:pPr>
              <w:snapToGrid w:val="0"/>
              <w:jc w:val="center"/>
              <w:rPr>
                <w:rFonts w:hint="eastAsia" w:ascii="Times New Roman" w:hAnsi="Times New Roman" w:eastAsia="宋体" w:cs="Times New Roman"/>
                <w:szCs w:val="21"/>
                <w:lang w:eastAsia="zh-CN"/>
              </w:rPr>
            </w:pPr>
            <w:r>
              <w:rPr>
                <w:rFonts w:hint="eastAsia" w:ascii="Times New Roman" w:hAnsi="Times New Roman" w:eastAsia="宋体" w:cs="Times New Roman"/>
                <w:szCs w:val="21"/>
              </w:rPr>
              <w:t>1</w:t>
            </w:r>
            <w:r>
              <w:rPr>
                <w:rFonts w:hint="eastAsia" w:ascii="Times New Roman" w:hAnsi="Times New Roman" w:eastAsia="宋体" w:cs="Times New Roman"/>
                <w:szCs w:val="21"/>
                <w:lang w:val="en-US" w:eastAsia="zh-CN"/>
              </w:rPr>
              <w:t>6</w:t>
            </w:r>
          </w:p>
        </w:tc>
        <w:tc>
          <w:tcPr>
            <w:tcW w:w="1788" w:type="pct"/>
            <w:gridSpan w:val="2"/>
            <w:vAlign w:val="center"/>
          </w:tcPr>
          <w:p w14:paraId="44B2B828">
            <w:pPr>
              <w:widowControl/>
              <w:jc w:val="center"/>
              <w:rPr>
                <w:rFonts w:ascii="Times New Roman" w:hAnsi="宋体" w:eastAsia="宋体" w:cs="Times New Roman"/>
                <w:szCs w:val="21"/>
              </w:rPr>
            </w:pPr>
            <w:r>
              <w:rPr>
                <w:rFonts w:ascii="Times New Roman" w:hAnsi="宋体" w:eastAsia="宋体" w:cs="Times New Roman"/>
                <w:szCs w:val="21"/>
              </w:rPr>
              <w:t>交通工程</w:t>
            </w:r>
          </w:p>
        </w:tc>
        <w:tc>
          <w:tcPr>
            <w:tcW w:w="733" w:type="pct"/>
            <w:vAlign w:val="center"/>
          </w:tcPr>
          <w:p w14:paraId="1CF9B915">
            <w:pPr>
              <w:widowControl/>
              <w:jc w:val="center"/>
              <w:rPr>
                <w:rFonts w:ascii="Times New Roman" w:hAnsi="Times New Roman" w:eastAsia="宋体" w:cs="Times New Roman"/>
                <w:szCs w:val="21"/>
              </w:rPr>
            </w:pPr>
            <w:r>
              <w:rPr>
                <w:rFonts w:hint="eastAsia" w:ascii="Times New Roman" w:hAnsi="Times New Roman" w:eastAsia="宋体" w:cs="Times New Roman"/>
                <w:szCs w:val="21"/>
              </w:rPr>
              <w:t>km</w:t>
            </w:r>
          </w:p>
        </w:tc>
        <w:tc>
          <w:tcPr>
            <w:tcW w:w="2012" w:type="pct"/>
            <w:vAlign w:val="center"/>
          </w:tcPr>
          <w:p w14:paraId="4CFF33D1">
            <w:pPr>
              <w:jc w:val="center"/>
              <w:rPr>
                <w:rFonts w:ascii="Times New Roman" w:hAnsi="Times New Roman" w:eastAsia="宋体" w:cs="Times New Roman"/>
              </w:rPr>
            </w:pPr>
            <w:r>
              <w:rPr>
                <w:rFonts w:hint="eastAsia" w:ascii="Times New Roman" w:hAnsi="Times New Roman" w:eastAsia="宋体" w:cs="Times New Roman"/>
              </w:rPr>
              <w:t>70.078</w:t>
            </w:r>
          </w:p>
        </w:tc>
      </w:tr>
      <w:tr w14:paraId="77F59FC5">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465" w:type="pct"/>
            <w:shd w:val="clear" w:color="auto" w:fill="auto"/>
            <w:vAlign w:val="center"/>
          </w:tcPr>
          <w:p w14:paraId="59A3B566">
            <w:pPr>
              <w:snapToGrid w:val="0"/>
              <w:jc w:val="center"/>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rPr>
              <w:t>1</w:t>
            </w:r>
            <w:r>
              <w:rPr>
                <w:rFonts w:hint="eastAsia" w:ascii="Times New Roman" w:hAnsi="Times New Roman" w:eastAsia="宋体" w:cs="Times New Roman"/>
                <w:szCs w:val="21"/>
                <w:lang w:val="en-US" w:eastAsia="zh-CN"/>
              </w:rPr>
              <w:t>7</w:t>
            </w:r>
          </w:p>
        </w:tc>
        <w:tc>
          <w:tcPr>
            <w:tcW w:w="1788" w:type="pct"/>
            <w:gridSpan w:val="2"/>
            <w:vAlign w:val="center"/>
          </w:tcPr>
          <w:p w14:paraId="79030351">
            <w:pPr>
              <w:snapToGrid w:val="0"/>
              <w:jc w:val="center"/>
              <w:rPr>
                <w:rFonts w:ascii="Times New Roman" w:hAnsi="Times New Roman" w:eastAsia="宋体" w:cs="Times New Roman"/>
                <w:szCs w:val="21"/>
              </w:rPr>
            </w:pPr>
            <w:r>
              <w:rPr>
                <w:rFonts w:ascii="Times New Roman" w:hAnsi="宋体" w:eastAsia="宋体" w:cs="Times New Roman"/>
                <w:szCs w:val="21"/>
              </w:rPr>
              <w:t>投资</w:t>
            </w:r>
            <w:r>
              <w:rPr>
                <w:rFonts w:hint="eastAsia" w:ascii="Times New Roman" w:hAnsi="宋体" w:eastAsia="宋体" w:cs="Times New Roman"/>
                <w:szCs w:val="21"/>
              </w:rPr>
              <w:t>概</w:t>
            </w:r>
            <w:r>
              <w:rPr>
                <w:rFonts w:ascii="Times New Roman" w:hAnsi="宋体" w:eastAsia="宋体" w:cs="Times New Roman"/>
                <w:szCs w:val="21"/>
              </w:rPr>
              <w:t>算</w:t>
            </w:r>
          </w:p>
        </w:tc>
        <w:tc>
          <w:tcPr>
            <w:tcW w:w="733" w:type="pct"/>
            <w:vAlign w:val="center"/>
          </w:tcPr>
          <w:p w14:paraId="74CAF1C5">
            <w:pPr>
              <w:snapToGrid w:val="0"/>
              <w:jc w:val="center"/>
              <w:rPr>
                <w:rFonts w:ascii="Times New Roman" w:hAnsi="Times New Roman" w:eastAsia="宋体" w:cs="Times New Roman"/>
                <w:szCs w:val="21"/>
              </w:rPr>
            </w:pPr>
            <w:r>
              <w:rPr>
                <w:rFonts w:ascii="Times New Roman" w:hAnsi="宋体" w:eastAsia="宋体" w:cs="Times New Roman"/>
                <w:szCs w:val="21"/>
              </w:rPr>
              <w:t>亿元</w:t>
            </w:r>
          </w:p>
        </w:tc>
        <w:tc>
          <w:tcPr>
            <w:tcW w:w="2012" w:type="pct"/>
            <w:vAlign w:val="center"/>
          </w:tcPr>
          <w:p w14:paraId="2F63775C">
            <w:pPr>
              <w:jc w:val="center"/>
              <w:rPr>
                <w:rFonts w:ascii="Times New Roman" w:hAnsi="Times New Roman" w:eastAsia="宋体" w:cs="Times New Roman"/>
                <w:szCs w:val="21"/>
              </w:rPr>
            </w:pPr>
            <w:r>
              <w:rPr>
                <w:rFonts w:hint="eastAsia" w:ascii="Times New Roman" w:hAnsi="Times New Roman" w:eastAsia="宋体" w:cs="Times New Roman"/>
                <w:szCs w:val="21"/>
              </w:rPr>
              <w:t>18.98</w:t>
            </w:r>
          </w:p>
        </w:tc>
      </w:tr>
      <w:tr w14:paraId="72930FD1">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465" w:type="pct"/>
            <w:vAlign w:val="center"/>
          </w:tcPr>
          <w:p w14:paraId="6648C993">
            <w:pPr>
              <w:snapToGrid w:val="0"/>
              <w:jc w:val="center"/>
              <w:rPr>
                <w:rFonts w:hint="eastAsia" w:ascii="Times New Roman" w:hAnsi="Times New Roman" w:eastAsia="宋体" w:cs="Times New Roman"/>
                <w:szCs w:val="21"/>
                <w:lang w:eastAsia="zh-CN"/>
              </w:rPr>
            </w:pPr>
            <w:r>
              <w:rPr>
                <w:rFonts w:hint="eastAsia" w:ascii="Times New Roman" w:hAnsi="Times New Roman" w:eastAsia="宋体" w:cs="Times New Roman"/>
                <w:szCs w:val="21"/>
              </w:rPr>
              <w:t>1</w:t>
            </w:r>
            <w:r>
              <w:rPr>
                <w:rFonts w:hint="eastAsia" w:ascii="Times New Roman" w:hAnsi="Times New Roman" w:eastAsia="宋体" w:cs="Times New Roman"/>
                <w:szCs w:val="21"/>
                <w:lang w:val="en-US" w:eastAsia="zh-CN"/>
              </w:rPr>
              <w:t>8</w:t>
            </w:r>
          </w:p>
        </w:tc>
        <w:tc>
          <w:tcPr>
            <w:tcW w:w="1788" w:type="pct"/>
            <w:gridSpan w:val="2"/>
            <w:vAlign w:val="center"/>
          </w:tcPr>
          <w:p w14:paraId="7AABBCE5">
            <w:pPr>
              <w:snapToGrid w:val="0"/>
              <w:jc w:val="center"/>
              <w:rPr>
                <w:rFonts w:ascii="Times New Roman" w:hAnsi="Times New Roman" w:eastAsia="宋体" w:cs="Times New Roman"/>
                <w:szCs w:val="21"/>
              </w:rPr>
            </w:pPr>
            <w:r>
              <w:rPr>
                <w:rFonts w:ascii="Times New Roman" w:hAnsi="宋体" w:eastAsia="宋体" w:cs="Times New Roman"/>
                <w:szCs w:val="21"/>
              </w:rPr>
              <w:t>平均每公里造价</w:t>
            </w:r>
          </w:p>
        </w:tc>
        <w:tc>
          <w:tcPr>
            <w:tcW w:w="733" w:type="pct"/>
            <w:vAlign w:val="center"/>
          </w:tcPr>
          <w:p w14:paraId="1B1AB039">
            <w:pPr>
              <w:snapToGrid w:val="0"/>
              <w:jc w:val="center"/>
              <w:rPr>
                <w:rFonts w:ascii="Times New Roman" w:hAnsi="Times New Roman" w:eastAsia="宋体" w:cs="Times New Roman"/>
                <w:szCs w:val="21"/>
              </w:rPr>
            </w:pPr>
            <w:r>
              <w:rPr>
                <w:rFonts w:ascii="Times New Roman" w:hAnsi="宋体" w:eastAsia="宋体" w:cs="Times New Roman"/>
                <w:szCs w:val="21"/>
              </w:rPr>
              <w:t>万元</w:t>
            </w:r>
          </w:p>
        </w:tc>
        <w:tc>
          <w:tcPr>
            <w:tcW w:w="2012" w:type="pct"/>
            <w:vAlign w:val="center"/>
          </w:tcPr>
          <w:p w14:paraId="032A7C85">
            <w:pPr>
              <w:jc w:val="center"/>
              <w:rPr>
                <w:rFonts w:ascii="Times New Roman" w:hAnsi="Times New Roman" w:eastAsia="宋体" w:cs="Times New Roman"/>
                <w:szCs w:val="21"/>
              </w:rPr>
            </w:pPr>
            <w:r>
              <w:rPr>
                <w:rFonts w:hint="eastAsia" w:ascii="Times New Roman" w:hAnsi="Times New Roman" w:eastAsia="宋体" w:cs="Times New Roman"/>
                <w:szCs w:val="21"/>
              </w:rPr>
              <w:t>2707.77</w:t>
            </w:r>
          </w:p>
        </w:tc>
      </w:tr>
    </w:tbl>
    <w:p w14:paraId="0C2C50F7">
      <w:pPr>
        <w:rPr>
          <w:rFonts w:ascii="Times New Roman" w:hAnsi="Times New Roman" w:eastAsia="宋体" w:cs="Times New Roman"/>
        </w:rPr>
      </w:pPr>
    </w:p>
    <w:p w14:paraId="6F0C75A4">
      <w:pPr>
        <w:keepNext/>
        <w:keepLines/>
        <w:widowControl w:val="0"/>
        <w:adjustRightInd w:val="0"/>
        <w:spacing w:before="120" w:after="120" w:line="300" w:lineRule="auto"/>
        <w:jc w:val="both"/>
        <w:textAlignment w:val="baseline"/>
        <w:outlineLvl w:val="2"/>
        <w:rPr>
          <w:rFonts w:ascii="Times New Roman" w:hAnsi="Times New Roman" w:eastAsia="宋体" w:cs="Times New Roman"/>
          <w:b/>
          <w:bCs w:val="0"/>
          <w:kern w:val="0"/>
          <w:sz w:val="24"/>
          <w:szCs w:val="32"/>
          <w:lang w:val="en-US" w:eastAsia="zh-CN" w:bidi="ar-SA"/>
        </w:rPr>
      </w:pPr>
      <w:bookmarkStart w:id="165" w:name="_Toc187528247"/>
      <w:r>
        <w:rPr>
          <w:rFonts w:hint="eastAsia" w:ascii="Times New Roman" w:hAnsi="Times New Roman" w:eastAsia="宋体" w:cs="Times New Roman"/>
          <w:b/>
          <w:bCs w:val="0"/>
          <w:kern w:val="0"/>
          <w:sz w:val="24"/>
          <w:szCs w:val="32"/>
          <w:lang w:val="en-US" w:eastAsia="zh-CN" w:bidi="ar-SA"/>
        </w:rPr>
        <w:t>2.1.3 主要技术指标</w:t>
      </w:r>
      <w:bookmarkEnd w:id="163"/>
      <w:bookmarkEnd w:id="165"/>
    </w:p>
    <w:p w14:paraId="348CFBE5">
      <w:pPr>
        <w:widowControl w:val="0"/>
        <w:spacing w:afterLines="50" w:line="300" w:lineRule="auto"/>
        <w:ind w:firstLine="480" w:firstLineChars="200"/>
        <w:jc w:val="both"/>
        <w:rPr>
          <w:rFonts w:ascii="Times New Roman" w:hAnsi="Times New Roman" w:eastAsia="宋体" w:cs="Times New Roman"/>
          <w:color w:val="auto"/>
          <w:kern w:val="2"/>
          <w:sz w:val="24"/>
          <w:szCs w:val="24"/>
          <w:lang w:val="en-US" w:eastAsia="zh-CN" w:bidi="ar-SA"/>
        </w:rPr>
      </w:pPr>
      <w:bookmarkStart w:id="166" w:name="_Toc298750300"/>
      <w:bookmarkStart w:id="167" w:name="_Toc29641"/>
      <w:r>
        <w:rPr>
          <w:rFonts w:hint="eastAsia" w:ascii="Times New Roman" w:hAnsi="Times New Roman" w:eastAsia="宋体" w:cs="Times New Roman"/>
          <w:color w:val="auto"/>
          <w:kern w:val="2"/>
          <w:sz w:val="24"/>
          <w:szCs w:val="24"/>
          <w:lang w:val="en-US" w:eastAsia="zh-CN" w:bidi="ar-SA"/>
        </w:rPr>
        <w:t>拟建公路主要设计技术指标见表2</w:t>
      </w:r>
      <w:r>
        <w:rPr>
          <w:rFonts w:ascii="Times New Roman" w:hAnsi="Times New Roman" w:eastAsia="宋体" w:cs="Times New Roman"/>
          <w:color w:val="auto"/>
          <w:kern w:val="2"/>
          <w:sz w:val="24"/>
          <w:szCs w:val="24"/>
          <w:lang w:val="en-US" w:eastAsia="zh-CN" w:bidi="ar-SA"/>
        </w:rPr>
        <w:t>.1</w:t>
      </w:r>
      <w:r>
        <w:rPr>
          <w:rFonts w:hint="eastAsia" w:ascii="Times New Roman" w:hAnsi="Times New Roman" w:eastAsia="宋体" w:cs="Times New Roman"/>
          <w:color w:val="auto"/>
          <w:kern w:val="2"/>
          <w:sz w:val="24"/>
          <w:szCs w:val="24"/>
          <w:lang w:val="en-US" w:eastAsia="zh-CN" w:bidi="ar-SA"/>
        </w:rPr>
        <w:t>-</w:t>
      </w:r>
      <w:r>
        <w:rPr>
          <w:rFonts w:ascii="Times New Roman" w:hAnsi="Times New Roman" w:eastAsia="宋体" w:cs="Times New Roman"/>
          <w:color w:val="auto"/>
          <w:kern w:val="2"/>
          <w:sz w:val="24"/>
          <w:szCs w:val="24"/>
          <w:lang w:val="en-US" w:eastAsia="zh-CN" w:bidi="ar-SA"/>
        </w:rPr>
        <w:t>1</w:t>
      </w:r>
      <w:r>
        <w:rPr>
          <w:rFonts w:hint="eastAsia" w:ascii="Times New Roman" w:hAnsi="Times New Roman" w:eastAsia="宋体" w:cs="Times New Roman"/>
          <w:color w:val="auto"/>
          <w:kern w:val="2"/>
          <w:sz w:val="24"/>
          <w:szCs w:val="24"/>
          <w:lang w:val="en-US" w:eastAsia="zh-CN" w:bidi="ar-SA"/>
        </w:rPr>
        <w:t>。</w:t>
      </w:r>
    </w:p>
    <w:p w14:paraId="2FB7B8C8">
      <w:pPr>
        <w:widowControl/>
        <w:spacing w:beforeLines="50"/>
        <w:jc w:val="center"/>
        <w:rPr>
          <w:rFonts w:ascii="Times New Roman" w:hAnsi="Times New Roman" w:eastAsia="宋体" w:cs="Times New Roman"/>
          <w:b/>
          <w:bCs/>
          <w:szCs w:val="21"/>
        </w:rPr>
      </w:pPr>
      <w:r>
        <w:rPr>
          <w:rFonts w:hint="eastAsia" w:ascii="Times New Roman" w:hAnsi="Times New Roman" w:eastAsia="宋体" w:cs="Times New Roman"/>
          <w:b/>
          <w:bCs/>
          <w:szCs w:val="21"/>
        </w:rPr>
        <w:t>表</w:t>
      </w:r>
      <w:r>
        <w:rPr>
          <w:rFonts w:ascii="Times New Roman" w:hAnsi="Times New Roman" w:eastAsia="宋体" w:cs="Times New Roman"/>
          <w:b/>
          <w:bCs/>
          <w:szCs w:val="21"/>
        </w:rPr>
        <w:t xml:space="preserve">2.1-1 </w:t>
      </w:r>
      <w:r>
        <w:rPr>
          <w:rFonts w:hint="eastAsia" w:ascii="Times New Roman" w:hAnsi="Times New Roman" w:eastAsia="宋体" w:cs="Times New Roman"/>
          <w:b/>
          <w:bCs/>
          <w:szCs w:val="21"/>
        </w:rPr>
        <w:t>拟建公路主要设计技术指标表</w:t>
      </w:r>
    </w:p>
    <w:tbl>
      <w:tblPr>
        <w:tblStyle w:val="22"/>
        <w:tblW w:w="8431" w:type="dxa"/>
        <w:jc w:val="center"/>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21"/>
        <w:gridCol w:w="1690"/>
        <w:gridCol w:w="1511"/>
        <w:gridCol w:w="845"/>
        <w:gridCol w:w="1833"/>
        <w:gridCol w:w="1831"/>
      </w:tblGrid>
      <w:tr w14:paraId="0FC1134F">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28" w:type="pct"/>
            <w:vAlign w:val="center"/>
          </w:tcPr>
          <w:p w14:paraId="10F23DE6">
            <w:pPr>
              <w:widowControl w:val="0"/>
              <w:jc w:val="center"/>
              <w:rPr>
                <w:rFonts w:ascii="Times New Roman" w:hAnsi="Times New Roman" w:eastAsia="宋体" w:cs="Times New Roman"/>
                <w:b/>
                <w:kern w:val="2"/>
                <w:sz w:val="21"/>
                <w:szCs w:val="21"/>
                <w:lang w:val="en-US" w:eastAsia="zh-CN" w:bidi="ar-SA"/>
              </w:rPr>
            </w:pPr>
            <w:r>
              <w:rPr>
                <w:rFonts w:hint="eastAsia" w:ascii="Times New Roman" w:hAnsi="Times New Roman" w:eastAsia="宋体" w:cs="Times New Roman"/>
                <w:b/>
                <w:kern w:val="2"/>
                <w:sz w:val="21"/>
                <w:szCs w:val="21"/>
                <w:lang w:val="en-US" w:eastAsia="zh-CN" w:bidi="ar-SA"/>
              </w:rPr>
              <w:t>序号</w:t>
            </w:r>
          </w:p>
        </w:tc>
        <w:tc>
          <w:tcPr>
            <w:tcW w:w="1897" w:type="pct"/>
            <w:gridSpan w:val="2"/>
            <w:vAlign w:val="center"/>
          </w:tcPr>
          <w:p w14:paraId="3683CD0E">
            <w:pPr>
              <w:widowControl w:val="0"/>
              <w:jc w:val="center"/>
              <w:rPr>
                <w:rFonts w:ascii="Times New Roman" w:hAnsi="Times New Roman" w:eastAsia="宋体" w:cs="Times New Roman"/>
                <w:b/>
                <w:kern w:val="2"/>
                <w:sz w:val="21"/>
                <w:szCs w:val="21"/>
                <w:lang w:val="en-US" w:eastAsia="zh-CN" w:bidi="ar-SA"/>
              </w:rPr>
            </w:pPr>
            <w:r>
              <w:rPr>
                <w:rFonts w:ascii="Times New Roman" w:hAnsi="Times New Roman" w:eastAsia="宋体" w:cs="Times New Roman"/>
                <w:b/>
                <w:bCs/>
                <w:kern w:val="2"/>
                <w:sz w:val="21"/>
                <w:szCs w:val="21"/>
                <w:lang w:val="en-US" w:eastAsia="zh-CN" w:bidi="ar-SA"/>
              </w:rPr>
              <w:t>项 目</w:t>
            </w:r>
          </w:p>
        </w:tc>
        <w:tc>
          <w:tcPr>
            <w:tcW w:w="501" w:type="pct"/>
            <w:vAlign w:val="center"/>
          </w:tcPr>
          <w:p w14:paraId="0AD5DCBB">
            <w:pPr>
              <w:widowControl w:val="0"/>
              <w:jc w:val="center"/>
              <w:rPr>
                <w:rFonts w:ascii="Times New Roman" w:hAnsi="Times New Roman" w:eastAsia="宋体" w:cs="Times New Roman"/>
                <w:b/>
                <w:kern w:val="2"/>
                <w:sz w:val="21"/>
                <w:szCs w:val="21"/>
                <w:lang w:val="en-US" w:eastAsia="zh-CN" w:bidi="ar-SA"/>
              </w:rPr>
            </w:pPr>
            <w:r>
              <w:rPr>
                <w:rFonts w:ascii="Times New Roman" w:hAnsi="Times New Roman" w:eastAsia="宋体" w:cs="Times New Roman"/>
                <w:b/>
                <w:kern w:val="2"/>
                <w:sz w:val="21"/>
                <w:szCs w:val="21"/>
                <w:lang w:val="en-US" w:eastAsia="zh-CN" w:bidi="ar-SA"/>
              </w:rPr>
              <w:t>单位</w:t>
            </w:r>
          </w:p>
        </w:tc>
        <w:tc>
          <w:tcPr>
            <w:tcW w:w="1087" w:type="pct"/>
            <w:vAlign w:val="center"/>
          </w:tcPr>
          <w:p w14:paraId="4EC9EAF5">
            <w:pPr>
              <w:widowControl w:val="0"/>
              <w:jc w:val="center"/>
              <w:rPr>
                <w:rFonts w:ascii="Times New Roman" w:hAnsi="Times New Roman" w:eastAsia="宋体" w:cs="Times New Roman"/>
                <w:b/>
                <w:kern w:val="2"/>
                <w:sz w:val="21"/>
                <w:szCs w:val="21"/>
                <w:lang w:val="en-US" w:eastAsia="zh-CN" w:bidi="ar-SA"/>
              </w:rPr>
            </w:pPr>
            <w:r>
              <w:rPr>
                <w:rFonts w:ascii="Times New Roman" w:hAnsi="Times New Roman" w:eastAsia="宋体" w:cs="Times New Roman"/>
                <w:b/>
                <w:kern w:val="2"/>
                <w:sz w:val="21"/>
                <w:szCs w:val="21"/>
                <w:lang w:val="en-US" w:eastAsia="zh-CN" w:bidi="ar-SA"/>
              </w:rPr>
              <w:t>指标值</w:t>
            </w:r>
          </w:p>
        </w:tc>
        <w:tc>
          <w:tcPr>
            <w:tcW w:w="1087" w:type="pct"/>
            <w:vAlign w:val="center"/>
          </w:tcPr>
          <w:p w14:paraId="613E472C">
            <w:pPr>
              <w:widowControl w:val="0"/>
              <w:jc w:val="center"/>
              <w:rPr>
                <w:rFonts w:ascii="Times New Roman" w:hAnsi="Times New Roman" w:eastAsia="宋体" w:cs="Times New Roman"/>
                <w:b/>
                <w:kern w:val="2"/>
                <w:sz w:val="21"/>
                <w:szCs w:val="21"/>
                <w:lang w:val="en-US" w:eastAsia="zh-CN" w:bidi="ar-SA"/>
              </w:rPr>
            </w:pPr>
            <w:r>
              <w:rPr>
                <w:rFonts w:ascii="Times New Roman" w:hAnsi="Times New Roman" w:eastAsia="宋体" w:cs="Times New Roman"/>
                <w:b/>
                <w:kern w:val="2"/>
                <w:sz w:val="21"/>
                <w:szCs w:val="21"/>
                <w:lang w:val="en-US" w:eastAsia="zh-CN" w:bidi="ar-SA"/>
              </w:rPr>
              <w:t>指标值</w:t>
            </w:r>
          </w:p>
        </w:tc>
      </w:tr>
      <w:tr w14:paraId="25086AA6">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28" w:type="pct"/>
            <w:vAlign w:val="center"/>
          </w:tcPr>
          <w:p w14:paraId="2D7C930C">
            <w:pPr>
              <w:widowControl w:val="0"/>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1</w:t>
            </w:r>
          </w:p>
        </w:tc>
        <w:tc>
          <w:tcPr>
            <w:tcW w:w="1897" w:type="pct"/>
            <w:gridSpan w:val="2"/>
            <w:vAlign w:val="center"/>
          </w:tcPr>
          <w:p w14:paraId="3F9F1239">
            <w:pPr>
              <w:widowControl w:val="0"/>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公路等级</w:t>
            </w:r>
          </w:p>
        </w:tc>
        <w:tc>
          <w:tcPr>
            <w:tcW w:w="501" w:type="pct"/>
            <w:vAlign w:val="center"/>
          </w:tcPr>
          <w:p w14:paraId="713E7D17">
            <w:pPr>
              <w:widowControl w:val="0"/>
              <w:jc w:val="center"/>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w:t>
            </w:r>
          </w:p>
        </w:tc>
        <w:tc>
          <w:tcPr>
            <w:tcW w:w="2174" w:type="pct"/>
            <w:gridSpan w:val="2"/>
            <w:vAlign w:val="center"/>
          </w:tcPr>
          <w:p w14:paraId="3A91C390">
            <w:pPr>
              <w:widowControl w:val="0"/>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一级公路</w:t>
            </w:r>
          </w:p>
        </w:tc>
      </w:tr>
      <w:tr w14:paraId="628A3D7C">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28" w:type="pct"/>
            <w:vAlign w:val="center"/>
          </w:tcPr>
          <w:p w14:paraId="539E113E">
            <w:pPr>
              <w:widowControl w:val="0"/>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2</w:t>
            </w:r>
          </w:p>
        </w:tc>
        <w:tc>
          <w:tcPr>
            <w:tcW w:w="1897" w:type="pct"/>
            <w:gridSpan w:val="2"/>
            <w:vAlign w:val="center"/>
          </w:tcPr>
          <w:p w14:paraId="3698F956">
            <w:pPr>
              <w:widowControl w:val="0"/>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车道数</w:t>
            </w:r>
          </w:p>
        </w:tc>
        <w:tc>
          <w:tcPr>
            <w:tcW w:w="501" w:type="pct"/>
            <w:vAlign w:val="center"/>
          </w:tcPr>
          <w:p w14:paraId="01FFF10A">
            <w:pPr>
              <w:widowControl w:val="0"/>
              <w:jc w:val="center"/>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w:t>
            </w:r>
          </w:p>
        </w:tc>
        <w:tc>
          <w:tcPr>
            <w:tcW w:w="2174" w:type="pct"/>
            <w:gridSpan w:val="2"/>
            <w:vAlign w:val="center"/>
          </w:tcPr>
          <w:p w14:paraId="335D710E">
            <w:pPr>
              <w:widowControl w:val="0"/>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4</w:t>
            </w:r>
          </w:p>
        </w:tc>
      </w:tr>
      <w:tr w14:paraId="5BC462B5">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28" w:type="pct"/>
            <w:vAlign w:val="center"/>
          </w:tcPr>
          <w:p w14:paraId="2928EE5E">
            <w:pPr>
              <w:widowControl w:val="0"/>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3</w:t>
            </w:r>
          </w:p>
        </w:tc>
        <w:tc>
          <w:tcPr>
            <w:tcW w:w="1897" w:type="pct"/>
            <w:gridSpan w:val="2"/>
            <w:vAlign w:val="center"/>
          </w:tcPr>
          <w:p w14:paraId="0192C826">
            <w:pPr>
              <w:widowControl w:val="0"/>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设计速度</w:t>
            </w:r>
          </w:p>
        </w:tc>
        <w:tc>
          <w:tcPr>
            <w:tcW w:w="501" w:type="pct"/>
            <w:vAlign w:val="center"/>
          </w:tcPr>
          <w:p w14:paraId="2E4FCC48">
            <w:pPr>
              <w:widowControl w:val="0"/>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km/h</w:t>
            </w:r>
          </w:p>
        </w:tc>
        <w:tc>
          <w:tcPr>
            <w:tcW w:w="1087" w:type="pct"/>
            <w:vAlign w:val="center"/>
          </w:tcPr>
          <w:p w14:paraId="3B5565D0">
            <w:pPr>
              <w:widowControl w:val="0"/>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80</w:t>
            </w:r>
          </w:p>
        </w:tc>
        <w:tc>
          <w:tcPr>
            <w:tcW w:w="1087" w:type="pct"/>
            <w:vAlign w:val="center"/>
          </w:tcPr>
          <w:p w14:paraId="0EC1C8AE">
            <w:pPr>
              <w:widowControl w:val="0"/>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60</w:t>
            </w:r>
          </w:p>
        </w:tc>
      </w:tr>
      <w:tr w14:paraId="53B71763">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28" w:type="pct"/>
            <w:vAlign w:val="center"/>
          </w:tcPr>
          <w:p w14:paraId="1AFE2CDE">
            <w:pPr>
              <w:widowControl w:val="0"/>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4</w:t>
            </w:r>
          </w:p>
        </w:tc>
        <w:tc>
          <w:tcPr>
            <w:tcW w:w="1897" w:type="pct"/>
            <w:gridSpan w:val="2"/>
            <w:vAlign w:val="center"/>
          </w:tcPr>
          <w:p w14:paraId="17444A7C">
            <w:pPr>
              <w:widowControl w:val="0"/>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路线里程</w:t>
            </w:r>
          </w:p>
        </w:tc>
        <w:tc>
          <w:tcPr>
            <w:tcW w:w="501" w:type="pct"/>
            <w:vAlign w:val="center"/>
          </w:tcPr>
          <w:p w14:paraId="0AAD749A">
            <w:pPr>
              <w:widowControl w:val="0"/>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km</w:t>
            </w:r>
          </w:p>
        </w:tc>
        <w:tc>
          <w:tcPr>
            <w:tcW w:w="1087" w:type="pct"/>
            <w:vAlign w:val="center"/>
          </w:tcPr>
          <w:p w14:paraId="2476E1EE">
            <w:pPr>
              <w:widowControl w:val="0"/>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65.9</w:t>
            </w:r>
            <w:r>
              <w:rPr>
                <w:rFonts w:hint="eastAsia" w:ascii="Times New Roman" w:hAnsi="Times New Roman" w:eastAsia="宋体" w:cs="Times New Roman"/>
                <w:kern w:val="2"/>
                <w:sz w:val="21"/>
                <w:szCs w:val="21"/>
                <w:lang w:val="en-US" w:eastAsia="zh-CN" w:bidi="ar-SA"/>
              </w:rPr>
              <w:t>68</w:t>
            </w:r>
          </w:p>
        </w:tc>
        <w:tc>
          <w:tcPr>
            <w:tcW w:w="1087" w:type="pct"/>
            <w:vAlign w:val="center"/>
          </w:tcPr>
          <w:p w14:paraId="443A4BBA">
            <w:pPr>
              <w:widowControl w:val="0"/>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4.11</w:t>
            </w:r>
          </w:p>
        </w:tc>
      </w:tr>
      <w:tr w14:paraId="2746A4A7">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28" w:type="pct"/>
            <w:vAlign w:val="center"/>
          </w:tcPr>
          <w:p w14:paraId="42DC373A">
            <w:pPr>
              <w:widowControl w:val="0"/>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5</w:t>
            </w:r>
          </w:p>
        </w:tc>
        <w:tc>
          <w:tcPr>
            <w:tcW w:w="1897" w:type="pct"/>
            <w:gridSpan w:val="2"/>
            <w:vAlign w:val="center"/>
          </w:tcPr>
          <w:p w14:paraId="53B59069">
            <w:pPr>
              <w:widowControl w:val="0"/>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路基宽度</w:t>
            </w:r>
          </w:p>
        </w:tc>
        <w:tc>
          <w:tcPr>
            <w:tcW w:w="501" w:type="pct"/>
            <w:vAlign w:val="center"/>
          </w:tcPr>
          <w:p w14:paraId="0E32D1C7">
            <w:pPr>
              <w:widowControl w:val="0"/>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m</w:t>
            </w:r>
          </w:p>
        </w:tc>
        <w:tc>
          <w:tcPr>
            <w:tcW w:w="1087" w:type="pct"/>
            <w:vAlign w:val="center"/>
          </w:tcPr>
          <w:p w14:paraId="084038E7">
            <w:pPr>
              <w:widowControl w:val="0"/>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25.5、</w:t>
            </w:r>
            <w:r>
              <w:rPr>
                <w:rFonts w:hint="eastAsia" w:ascii="Times New Roman" w:hAnsi="Times New Roman" w:eastAsia="宋体" w:cs="Times New Roman"/>
                <w:kern w:val="2"/>
                <w:sz w:val="21"/>
                <w:szCs w:val="21"/>
                <w:lang w:val="en-US" w:eastAsia="zh-CN" w:bidi="ar-SA"/>
              </w:rPr>
              <w:t>28.5</w:t>
            </w:r>
          </w:p>
        </w:tc>
        <w:tc>
          <w:tcPr>
            <w:tcW w:w="1087" w:type="pct"/>
            <w:vAlign w:val="center"/>
          </w:tcPr>
          <w:p w14:paraId="09CB1828">
            <w:pPr>
              <w:widowControl w:val="0"/>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19～23.5</w:t>
            </w:r>
          </w:p>
        </w:tc>
      </w:tr>
      <w:tr w14:paraId="7A6AA1D6">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28" w:type="pct"/>
            <w:vAlign w:val="center"/>
          </w:tcPr>
          <w:p w14:paraId="556A3C35">
            <w:pPr>
              <w:widowControl w:val="0"/>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6</w:t>
            </w:r>
          </w:p>
        </w:tc>
        <w:tc>
          <w:tcPr>
            <w:tcW w:w="1897" w:type="pct"/>
            <w:gridSpan w:val="2"/>
            <w:vAlign w:val="center"/>
          </w:tcPr>
          <w:p w14:paraId="5ACB982D">
            <w:pPr>
              <w:widowControl w:val="0"/>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平曲线最小半径</w:t>
            </w:r>
          </w:p>
        </w:tc>
        <w:tc>
          <w:tcPr>
            <w:tcW w:w="501" w:type="pct"/>
            <w:vAlign w:val="center"/>
          </w:tcPr>
          <w:p w14:paraId="46AFC884">
            <w:pPr>
              <w:widowControl w:val="0"/>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m</w:t>
            </w:r>
          </w:p>
        </w:tc>
        <w:tc>
          <w:tcPr>
            <w:tcW w:w="1087" w:type="pct"/>
            <w:shd w:val="clear" w:color="auto" w:fill="auto"/>
            <w:vAlign w:val="center"/>
          </w:tcPr>
          <w:p w14:paraId="2D81212F">
            <w:pPr>
              <w:widowControl w:val="0"/>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400</w:t>
            </w:r>
          </w:p>
        </w:tc>
        <w:tc>
          <w:tcPr>
            <w:tcW w:w="1087" w:type="pct"/>
            <w:shd w:val="clear" w:color="auto" w:fill="auto"/>
            <w:vAlign w:val="center"/>
          </w:tcPr>
          <w:p w14:paraId="5F0EEFCD">
            <w:pPr>
              <w:widowControl w:val="0"/>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400</w:t>
            </w:r>
          </w:p>
        </w:tc>
      </w:tr>
      <w:tr w14:paraId="0D388107">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28" w:type="pct"/>
            <w:shd w:val="clear" w:color="auto" w:fill="auto"/>
            <w:vAlign w:val="center"/>
          </w:tcPr>
          <w:p w14:paraId="5E3D1D6B">
            <w:pPr>
              <w:widowControl w:val="0"/>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7</w:t>
            </w:r>
          </w:p>
        </w:tc>
        <w:tc>
          <w:tcPr>
            <w:tcW w:w="1897" w:type="pct"/>
            <w:gridSpan w:val="2"/>
            <w:vAlign w:val="center"/>
          </w:tcPr>
          <w:p w14:paraId="7FA5A131">
            <w:pPr>
              <w:widowControl w:val="0"/>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停车视距</w:t>
            </w:r>
          </w:p>
        </w:tc>
        <w:tc>
          <w:tcPr>
            <w:tcW w:w="501" w:type="pct"/>
            <w:vAlign w:val="center"/>
          </w:tcPr>
          <w:p w14:paraId="3A9F79EC">
            <w:pPr>
              <w:widowControl w:val="0"/>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m</w:t>
            </w:r>
          </w:p>
        </w:tc>
        <w:tc>
          <w:tcPr>
            <w:tcW w:w="1087" w:type="pct"/>
            <w:vAlign w:val="center"/>
          </w:tcPr>
          <w:p w14:paraId="78694D9F">
            <w:pPr>
              <w:widowControl w:val="0"/>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110</w:t>
            </w:r>
          </w:p>
        </w:tc>
        <w:tc>
          <w:tcPr>
            <w:tcW w:w="1087" w:type="pct"/>
            <w:vAlign w:val="center"/>
          </w:tcPr>
          <w:p w14:paraId="13B6D9D2">
            <w:pPr>
              <w:widowControl w:val="0"/>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75</w:t>
            </w:r>
          </w:p>
        </w:tc>
      </w:tr>
      <w:tr w14:paraId="44C64731">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28" w:type="pct"/>
            <w:shd w:val="clear" w:color="auto" w:fill="auto"/>
            <w:vAlign w:val="center"/>
          </w:tcPr>
          <w:p w14:paraId="443F4C62">
            <w:pPr>
              <w:widowControl w:val="0"/>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8</w:t>
            </w:r>
          </w:p>
        </w:tc>
        <w:tc>
          <w:tcPr>
            <w:tcW w:w="1897" w:type="pct"/>
            <w:gridSpan w:val="2"/>
            <w:vAlign w:val="center"/>
          </w:tcPr>
          <w:p w14:paraId="677A799C">
            <w:pPr>
              <w:widowControl w:val="0"/>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最大纵坡</w:t>
            </w:r>
          </w:p>
        </w:tc>
        <w:tc>
          <w:tcPr>
            <w:tcW w:w="501" w:type="pct"/>
            <w:vAlign w:val="center"/>
          </w:tcPr>
          <w:p w14:paraId="111DAF2A">
            <w:pPr>
              <w:widowControl w:val="0"/>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w:t>
            </w:r>
          </w:p>
        </w:tc>
        <w:tc>
          <w:tcPr>
            <w:tcW w:w="1087" w:type="pct"/>
            <w:vAlign w:val="center"/>
          </w:tcPr>
          <w:p w14:paraId="5432FC49">
            <w:pPr>
              <w:widowControl w:val="0"/>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3.1</w:t>
            </w:r>
          </w:p>
        </w:tc>
        <w:tc>
          <w:tcPr>
            <w:tcW w:w="1087" w:type="pct"/>
            <w:vAlign w:val="center"/>
          </w:tcPr>
          <w:p w14:paraId="29BA7973">
            <w:pPr>
              <w:widowControl w:val="0"/>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1.5</w:t>
            </w:r>
          </w:p>
        </w:tc>
      </w:tr>
      <w:tr w14:paraId="585FD3CD">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28" w:type="pct"/>
            <w:shd w:val="clear" w:color="auto" w:fill="auto"/>
            <w:vAlign w:val="center"/>
          </w:tcPr>
          <w:p w14:paraId="1F9F62BA">
            <w:pPr>
              <w:widowControl w:val="0"/>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9</w:t>
            </w:r>
          </w:p>
        </w:tc>
        <w:tc>
          <w:tcPr>
            <w:tcW w:w="1897" w:type="pct"/>
            <w:gridSpan w:val="2"/>
            <w:vAlign w:val="center"/>
          </w:tcPr>
          <w:p w14:paraId="7CA7BAB3">
            <w:pPr>
              <w:widowControl w:val="0"/>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最小坡长</w:t>
            </w:r>
          </w:p>
        </w:tc>
        <w:tc>
          <w:tcPr>
            <w:tcW w:w="501" w:type="pct"/>
            <w:vAlign w:val="center"/>
          </w:tcPr>
          <w:p w14:paraId="4306D6B2">
            <w:pPr>
              <w:widowControl w:val="0"/>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m</w:t>
            </w:r>
          </w:p>
        </w:tc>
        <w:tc>
          <w:tcPr>
            <w:tcW w:w="1087" w:type="pct"/>
            <w:vAlign w:val="center"/>
          </w:tcPr>
          <w:p w14:paraId="14D446EB">
            <w:pPr>
              <w:widowControl w:val="0"/>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200</w:t>
            </w:r>
          </w:p>
        </w:tc>
        <w:tc>
          <w:tcPr>
            <w:tcW w:w="1087" w:type="pct"/>
            <w:vAlign w:val="center"/>
          </w:tcPr>
          <w:p w14:paraId="194E7271">
            <w:pPr>
              <w:widowControl w:val="0"/>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200</w:t>
            </w:r>
          </w:p>
        </w:tc>
      </w:tr>
      <w:tr w14:paraId="4E48F95D">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28" w:type="pct"/>
            <w:shd w:val="clear" w:color="auto" w:fill="auto"/>
            <w:vAlign w:val="center"/>
          </w:tcPr>
          <w:p w14:paraId="119FB198">
            <w:pPr>
              <w:widowControl w:val="0"/>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10</w:t>
            </w:r>
          </w:p>
        </w:tc>
        <w:tc>
          <w:tcPr>
            <w:tcW w:w="1002" w:type="pct"/>
            <w:vAlign w:val="center"/>
          </w:tcPr>
          <w:p w14:paraId="54E17C89">
            <w:pPr>
              <w:widowControl w:val="0"/>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凸形竖曲线半径</w:t>
            </w:r>
          </w:p>
        </w:tc>
        <w:tc>
          <w:tcPr>
            <w:tcW w:w="896" w:type="pct"/>
            <w:vAlign w:val="center"/>
          </w:tcPr>
          <w:p w14:paraId="4E4A7819">
            <w:pPr>
              <w:widowControl w:val="0"/>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一般值</w:t>
            </w:r>
          </w:p>
        </w:tc>
        <w:tc>
          <w:tcPr>
            <w:tcW w:w="501" w:type="pct"/>
            <w:vAlign w:val="center"/>
          </w:tcPr>
          <w:p w14:paraId="57A583F7">
            <w:pPr>
              <w:widowControl w:val="0"/>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m</w:t>
            </w:r>
          </w:p>
        </w:tc>
        <w:tc>
          <w:tcPr>
            <w:tcW w:w="1087" w:type="pct"/>
            <w:vAlign w:val="center"/>
          </w:tcPr>
          <w:p w14:paraId="14992F53">
            <w:pPr>
              <w:widowControl w:val="0"/>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4500</w:t>
            </w:r>
          </w:p>
        </w:tc>
        <w:tc>
          <w:tcPr>
            <w:tcW w:w="1087" w:type="pct"/>
            <w:vAlign w:val="center"/>
          </w:tcPr>
          <w:p w14:paraId="3053D751">
            <w:pPr>
              <w:widowControl w:val="0"/>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2000</w:t>
            </w:r>
          </w:p>
        </w:tc>
      </w:tr>
      <w:tr w14:paraId="5891F318">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28" w:type="pct"/>
            <w:vAlign w:val="center"/>
          </w:tcPr>
          <w:p w14:paraId="5DA1B941">
            <w:pPr>
              <w:widowControl w:val="0"/>
              <w:jc w:val="center"/>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11</w:t>
            </w:r>
          </w:p>
        </w:tc>
        <w:tc>
          <w:tcPr>
            <w:tcW w:w="1002" w:type="pct"/>
            <w:vAlign w:val="center"/>
          </w:tcPr>
          <w:p w14:paraId="4EE2861A">
            <w:pPr>
              <w:widowControl w:val="0"/>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凹形竖曲线半径</w:t>
            </w:r>
          </w:p>
        </w:tc>
        <w:tc>
          <w:tcPr>
            <w:tcW w:w="896" w:type="pct"/>
            <w:vAlign w:val="center"/>
          </w:tcPr>
          <w:p w14:paraId="462B0C69">
            <w:pPr>
              <w:widowControl w:val="0"/>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一般值</w:t>
            </w:r>
          </w:p>
        </w:tc>
        <w:tc>
          <w:tcPr>
            <w:tcW w:w="501" w:type="pct"/>
            <w:vAlign w:val="center"/>
          </w:tcPr>
          <w:p w14:paraId="5571D9CA">
            <w:pPr>
              <w:widowControl w:val="0"/>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m</w:t>
            </w:r>
          </w:p>
        </w:tc>
        <w:tc>
          <w:tcPr>
            <w:tcW w:w="1087" w:type="pct"/>
            <w:vAlign w:val="center"/>
          </w:tcPr>
          <w:p w14:paraId="4691ADD4">
            <w:pPr>
              <w:widowControl w:val="0"/>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6260.160</w:t>
            </w:r>
          </w:p>
        </w:tc>
        <w:tc>
          <w:tcPr>
            <w:tcW w:w="1087" w:type="pct"/>
            <w:vAlign w:val="center"/>
          </w:tcPr>
          <w:p w14:paraId="435D0A71">
            <w:pPr>
              <w:widowControl w:val="0"/>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12330.459</w:t>
            </w:r>
          </w:p>
        </w:tc>
      </w:tr>
      <w:tr w14:paraId="157D3C7F">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28" w:type="pct"/>
            <w:vMerge w:val="restart"/>
            <w:vAlign w:val="center"/>
          </w:tcPr>
          <w:p w14:paraId="59D8AD26">
            <w:pPr>
              <w:widowControl w:val="0"/>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1</w:t>
            </w:r>
            <w:r>
              <w:rPr>
                <w:rFonts w:hint="eastAsia" w:ascii="Times New Roman" w:hAnsi="Times New Roman" w:eastAsia="宋体" w:cs="Times New Roman"/>
                <w:kern w:val="2"/>
                <w:sz w:val="21"/>
                <w:szCs w:val="21"/>
                <w:lang w:val="en-US" w:eastAsia="zh-CN" w:bidi="ar-SA"/>
              </w:rPr>
              <w:t>2</w:t>
            </w:r>
          </w:p>
        </w:tc>
        <w:tc>
          <w:tcPr>
            <w:tcW w:w="1002" w:type="pct"/>
            <w:vMerge w:val="restart"/>
            <w:vAlign w:val="center"/>
          </w:tcPr>
          <w:p w14:paraId="15B75058">
            <w:pPr>
              <w:widowControl w:val="0"/>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竖曲线最小长度</w:t>
            </w:r>
          </w:p>
        </w:tc>
        <w:tc>
          <w:tcPr>
            <w:tcW w:w="896" w:type="pct"/>
            <w:vAlign w:val="center"/>
          </w:tcPr>
          <w:p w14:paraId="5098258D">
            <w:pPr>
              <w:widowControl w:val="0"/>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一般值</w:t>
            </w:r>
          </w:p>
        </w:tc>
        <w:tc>
          <w:tcPr>
            <w:tcW w:w="501" w:type="pct"/>
            <w:vAlign w:val="center"/>
          </w:tcPr>
          <w:p w14:paraId="50B73F94">
            <w:pPr>
              <w:widowControl w:val="0"/>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m</w:t>
            </w:r>
          </w:p>
        </w:tc>
        <w:tc>
          <w:tcPr>
            <w:tcW w:w="1087" w:type="pct"/>
            <w:vAlign w:val="center"/>
          </w:tcPr>
          <w:p w14:paraId="02035DF1">
            <w:pPr>
              <w:widowControl w:val="0"/>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170</w:t>
            </w:r>
          </w:p>
        </w:tc>
        <w:tc>
          <w:tcPr>
            <w:tcW w:w="1087" w:type="pct"/>
            <w:vAlign w:val="center"/>
          </w:tcPr>
          <w:p w14:paraId="118074D3">
            <w:pPr>
              <w:widowControl w:val="0"/>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170</w:t>
            </w:r>
          </w:p>
        </w:tc>
      </w:tr>
      <w:tr w14:paraId="6BDCC250">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28" w:type="pct"/>
            <w:vMerge w:val="continue"/>
            <w:vAlign w:val="center"/>
          </w:tcPr>
          <w:p w14:paraId="6D5EB672">
            <w:pPr>
              <w:jc w:val="center"/>
              <w:rPr>
                <w:rFonts w:ascii="Times New Roman" w:hAnsi="Times New Roman" w:eastAsia="宋体" w:cs="Times New Roman"/>
                <w:szCs w:val="21"/>
              </w:rPr>
            </w:pPr>
          </w:p>
        </w:tc>
        <w:tc>
          <w:tcPr>
            <w:tcW w:w="1002" w:type="pct"/>
            <w:vMerge w:val="continue"/>
            <w:vAlign w:val="center"/>
          </w:tcPr>
          <w:p w14:paraId="37934C63">
            <w:pPr>
              <w:jc w:val="center"/>
              <w:rPr>
                <w:rFonts w:ascii="Times New Roman" w:hAnsi="Times New Roman" w:eastAsia="宋体" w:cs="Times New Roman"/>
                <w:szCs w:val="21"/>
              </w:rPr>
            </w:pPr>
          </w:p>
        </w:tc>
        <w:tc>
          <w:tcPr>
            <w:tcW w:w="896" w:type="pct"/>
            <w:vAlign w:val="center"/>
          </w:tcPr>
          <w:p w14:paraId="631F3D45">
            <w:pPr>
              <w:widowControl w:val="0"/>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极限值</w:t>
            </w:r>
          </w:p>
        </w:tc>
        <w:tc>
          <w:tcPr>
            <w:tcW w:w="501" w:type="pct"/>
            <w:vAlign w:val="center"/>
          </w:tcPr>
          <w:p w14:paraId="753C93B0">
            <w:pPr>
              <w:widowControl w:val="0"/>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m</w:t>
            </w:r>
          </w:p>
        </w:tc>
        <w:tc>
          <w:tcPr>
            <w:tcW w:w="1087" w:type="pct"/>
            <w:vAlign w:val="center"/>
          </w:tcPr>
          <w:p w14:paraId="25C2FDEB">
            <w:pPr>
              <w:widowControl w:val="0"/>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170</w:t>
            </w:r>
          </w:p>
        </w:tc>
        <w:tc>
          <w:tcPr>
            <w:tcW w:w="1087" w:type="pct"/>
            <w:vAlign w:val="center"/>
          </w:tcPr>
          <w:p w14:paraId="653384DD">
            <w:pPr>
              <w:widowControl w:val="0"/>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170</w:t>
            </w:r>
          </w:p>
        </w:tc>
      </w:tr>
      <w:tr w14:paraId="416578EE">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28" w:type="pct"/>
            <w:vMerge w:val="restart"/>
            <w:vAlign w:val="center"/>
          </w:tcPr>
          <w:p w14:paraId="1F063E90">
            <w:pPr>
              <w:widowControl w:val="0"/>
              <w:jc w:val="center"/>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13</w:t>
            </w:r>
          </w:p>
        </w:tc>
        <w:tc>
          <w:tcPr>
            <w:tcW w:w="1002" w:type="pct"/>
            <w:vMerge w:val="restart"/>
            <w:vAlign w:val="center"/>
          </w:tcPr>
          <w:p w14:paraId="3A8FEC8F">
            <w:pPr>
              <w:widowControl w:val="0"/>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设计洪水频率</w:t>
            </w:r>
          </w:p>
        </w:tc>
        <w:tc>
          <w:tcPr>
            <w:tcW w:w="896" w:type="pct"/>
            <w:vAlign w:val="center"/>
          </w:tcPr>
          <w:p w14:paraId="3EBDD516">
            <w:pPr>
              <w:widowControl w:val="0"/>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大、中桥</w:t>
            </w:r>
          </w:p>
        </w:tc>
        <w:tc>
          <w:tcPr>
            <w:tcW w:w="501" w:type="pct"/>
            <w:vAlign w:val="center"/>
          </w:tcPr>
          <w:p w14:paraId="6BA2CC68">
            <w:pPr>
              <w:widowControl w:val="0"/>
              <w:jc w:val="center"/>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w:t>
            </w:r>
          </w:p>
        </w:tc>
        <w:tc>
          <w:tcPr>
            <w:tcW w:w="1087" w:type="pct"/>
            <w:vAlign w:val="center"/>
          </w:tcPr>
          <w:p w14:paraId="2381E9A2">
            <w:pPr>
              <w:widowControl w:val="0"/>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1/100</w:t>
            </w:r>
          </w:p>
        </w:tc>
        <w:tc>
          <w:tcPr>
            <w:tcW w:w="1087" w:type="pct"/>
            <w:vAlign w:val="center"/>
          </w:tcPr>
          <w:p w14:paraId="721191AE">
            <w:pPr>
              <w:widowControl w:val="0"/>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1/100</w:t>
            </w:r>
          </w:p>
        </w:tc>
      </w:tr>
      <w:tr w14:paraId="088FE085">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28" w:type="pct"/>
            <w:vMerge w:val="continue"/>
            <w:vAlign w:val="center"/>
          </w:tcPr>
          <w:p w14:paraId="5E94C89B">
            <w:pPr>
              <w:widowControl w:val="0"/>
              <w:jc w:val="center"/>
              <w:rPr>
                <w:rFonts w:ascii="Times New Roman" w:hAnsi="Times New Roman" w:eastAsia="宋体" w:cs="Times New Roman"/>
                <w:kern w:val="2"/>
                <w:sz w:val="21"/>
                <w:szCs w:val="21"/>
                <w:lang w:val="en-US" w:eastAsia="zh-CN" w:bidi="ar-SA"/>
              </w:rPr>
            </w:pPr>
          </w:p>
        </w:tc>
        <w:tc>
          <w:tcPr>
            <w:tcW w:w="1002" w:type="pct"/>
            <w:vMerge w:val="continue"/>
            <w:vAlign w:val="center"/>
          </w:tcPr>
          <w:p w14:paraId="757A14B5">
            <w:pPr>
              <w:widowControl w:val="0"/>
              <w:jc w:val="center"/>
              <w:rPr>
                <w:rFonts w:ascii="Times New Roman" w:hAnsi="Times New Roman" w:eastAsia="宋体" w:cs="Times New Roman"/>
                <w:kern w:val="2"/>
                <w:sz w:val="21"/>
                <w:szCs w:val="21"/>
                <w:lang w:val="en-US" w:eastAsia="zh-CN" w:bidi="ar-SA"/>
              </w:rPr>
            </w:pPr>
          </w:p>
        </w:tc>
        <w:tc>
          <w:tcPr>
            <w:tcW w:w="896" w:type="pct"/>
            <w:vAlign w:val="center"/>
          </w:tcPr>
          <w:p w14:paraId="19A5280A">
            <w:pPr>
              <w:widowControl w:val="0"/>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小桥涵、路基</w:t>
            </w:r>
          </w:p>
        </w:tc>
        <w:tc>
          <w:tcPr>
            <w:tcW w:w="501" w:type="pct"/>
            <w:vAlign w:val="center"/>
          </w:tcPr>
          <w:p w14:paraId="3CA157E2">
            <w:pPr>
              <w:widowControl w:val="0"/>
              <w:jc w:val="center"/>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w:t>
            </w:r>
          </w:p>
        </w:tc>
        <w:tc>
          <w:tcPr>
            <w:tcW w:w="1087" w:type="pct"/>
            <w:vAlign w:val="center"/>
          </w:tcPr>
          <w:p w14:paraId="1B6D1D2D">
            <w:pPr>
              <w:widowControl w:val="0"/>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1/100</w:t>
            </w:r>
          </w:p>
        </w:tc>
        <w:tc>
          <w:tcPr>
            <w:tcW w:w="1087" w:type="pct"/>
            <w:vAlign w:val="center"/>
          </w:tcPr>
          <w:p w14:paraId="2090CAFC">
            <w:pPr>
              <w:widowControl w:val="0"/>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1/100</w:t>
            </w:r>
          </w:p>
        </w:tc>
      </w:tr>
      <w:tr w14:paraId="02716423">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28" w:type="pct"/>
            <w:vAlign w:val="center"/>
          </w:tcPr>
          <w:p w14:paraId="371F20EA">
            <w:pPr>
              <w:widowControl w:val="0"/>
              <w:jc w:val="center"/>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14</w:t>
            </w:r>
          </w:p>
        </w:tc>
        <w:tc>
          <w:tcPr>
            <w:tcW w:w="1897" w:type="pct"/>
            <w:gridSpan w:val="2"/>
            <w:vAlign w:val="center"/>
          </w:tcPr>
          <w:p w14:paraId="4424E577">
            <w:pPr>
              <w:widowControl w:val="0"/>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汽车荷载等级</w:t>
            </w:r>
          </w:p>
        </w:tc>
        <w:tc>
          <w:tcPr>
            <w:tcW w:w="501" w:type="pct"/>
            <w:vAlign w:val="center"/>
          </w:tcPr>
          <w:p w14:paraId="164D66AA">
            <w:pPr>
              <w:widowControl w:val="0"/>
              <w:jc w:val="center"/>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w:t>
            </w:r>
          </w:p>
        </w:tc>
        <w:tc>
          <w:tcPr>
            <w:tcW w:w="2174" w:type="pct"/>
            <w:gridSpan w:val="2"/>
            <w:vAlign w:val="center"/>
          </w:tcPr>
          <w:p w14:paraId="5814CF9A">
            <w:pPr>
              <w:widowControl w:val="0"/>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公路-I级</w:t>
            </w:r>
          </w:p>
        </w:tc>
      </w:tr>
    </w:tbl>
    <w:p w14:paraId="50469905">
      <w:pPr>
        <w:keepNext/>
        <w:keepLines/>
        <w:widowControl w:val="0"/>
        <w:adjustRightInd w:val="0"/>
        <w:spacing w:before="240" w:after="240" w:line="240" w:lineRule="auto"/>
        <w:jc w:val="both"/>
        <w:textAlignment w:val="baseline"/>
        <w:outlineLvl w:val="1"/>
        <w:rPr>
          <w:rFonts w:ascii="Arial" w:hAnsi="Arial" w:eastAsia="黑体" w:cs="Times New Roman"/>
          <w:b/>
          <w:bCs/>
          <w:kern w:val="0"/>
          <w:sz w:val="28"/>
          <w:szCs w:val="32"/>
          <w:lang w:val="en-US" w:eastAsia="zh-CN" w:bidi="ar-SA"/>
        </w:rPr>
      </w:pPr>
      <w:bookmarkStart w:id="168" w:name="_Toc187528248"/>
      <w:r>
        <w:rPr>
          <w:rFonts w:ascii="Times New Roman" w:hAnsi="Times New Roman" w:eastAsia="宋体" w:cs="Times New Roman"/>
          <w:b/>
          <w:bCs/>
          <w:kern w:val="0"/>
          <w:sz w:val="28"/>
          <w:szCs w:val="32"/>
          <w:lang w:val="en-US" w:eastAsia="zh-CN" w:bidi="ar-SA"/>
        </w:rPr>
        <w:t xml:space="preserve">2.2 </w:t>
      </w:r>
      <w:r>
        <w:rPr>
          <w:rFonts w:hint="eastAsia" w:ascii="Times New Roman" w:hAnsi="Times New Roman" w:eastAsia="宋体" w:cs="Times New Roman"/>
          <w:b/>
          <w:bCs/>
          <w:kern w:val="0"/>
          <w:sz w:val="28"/>
          <w:szCs w:val="32"/>
          <w:lang w:val="en-US" w:eastAsia="zh-CN" w:bidi="ar-SA"/>
        </w:rPr>
        <w:t>路基工程</w:t>
      </w:r>
      <w:bookmarkEnd w:id="168"/>
    </w:p>
    <w:bookmarkEnd w:id="158"/>
    <w:p w14:paraId="530701C3">
      <w:pPr>
        <w:autoSpaceDE w:val="0"/>
        <w:autoSpaceDN w:val="0"/>
        <w:adjustRightInd w:val="0"/>
        <w:spacing w:line="300" w:lineRule="auto"/>
        <w:ind w:firstLine="480" w:firstLineChars="200"/>
        <w:rPr>
          <w:rFonts w:ascii="Times New Roman" w:hAnsi="Times New Roman" w:eastAsia="宋体" w:cs="Times New Roman"/>
          <w:kern w:val="0"/>
          <w:sz w:val="24"/>
        </w:rPr>
      </w:pPr>
      <w:r>
        <w:rPr>
          <w:rFonts w:ascii="Times New Roman" w:hAnsi="Times New Roman" w:eastAsia="宋体" w:cs="Times New Roman"/>
          <w:kern w:val="0"/>
          <w:sz w:val="24"/>
        </w:rPr>
        <w:t xml:space="preserve">1. </w:t>
      </w:r>
      <w:r>
        <w:rPr>
          <w:rFonts w:ascii="Times New Roman" w:hAnsi="宋体" w:eastAsia="宋体" w:cs="Times New Roman"/>
          <w:kern w:val="0"/>
          <w:sz w:val="24"/>
        </w:rPr>
        <w:t>路基横断面设计</w:t>
      </w:r>
    </w:p>
    <w:p w14:paraId="2AFA3B97">
      <w:pPr>
        <w:spacing w:line="300" w:lineRule="auto"/>
        <w:ind w:right="12" w:rightChars="6" w:firstLine="480" w:firstLineChars="200"/>
        <w:rPr>
          <w:rFonts w:ascii="Times New Roman" w:hAnsi="Times New Roman" w:eastAsia="宋体" w:cs="Times New Roman"/>
          <w:kern w:val="0"/>
          <w:sz w:val="24"/>
        </w:rPr>
      </w:pPr>
      <w:r>
        <w:rPr>
          <w:rFonts w:hint="eastAsia" w:ascii="Times New Roman" w:hAnsi="宋体" w:eastAsia="宋体" w:cs="Times New Roman"/>
          <w:kern w:val="0"/>
          <w:sz w:val="24"/>
        </w:rPr>
        <w:t>(1)</w:t>
      </w:r>
      <w:r>
        <w:rPr>
          <w:rFonts w:ascii="Times New Roman" w:hAnsi="Times New Roman" w:eastAsia="宋体" w:cs="Times New Roman"/>
          <w:kern w:val="0"/>
          <w:sz w:val="24"/>
        </w:rPr>
        <w:t xml:space="preserve"> </w:t>
      </w:r>
      <w:r>
        <w:rPr>
          <w:rFonts w:ascii="Times New Roman" w:hAnsi="宋体" w:eastAsia="宋体" w:cs="Times New Roman"/>
          <w:kern w:val="0"/>
          <w:sz w:val="24"/>
        </w:rPr>
        <w:t>分离式路基：</w:t>
      </w:r>
      <w:r>
        <w:rPr>
          <w:rFonts w:ascii="Times New Roman" w:hAnsi="Times New Roman" w:eastAsia="宋体" w:cs="Times New Roman"/>
          <w:kern w:val="0"/>
          <w:sz w:val="24"/>
        </w:rPr>
        <w:t>K0+</w:t>
      </w:r>
      <w:r>
        <w:rPr>
          <w:rFonts w:hint="eastAsia" w:ascii="Times New Roman" w:hAnsi="Times New Roman" w:eastAsia="宋体" w:cs="Times New Roman"/>
          <w:kern w:val="0"/>
          <w:sz w:val="24"/>
        </w:rPr>
        <w:t>372.936</w:t>
      </w:r>
      <w:r>
        <w:rPr>
          <w:rFonts w:ascii="Times New Roman" w:hAnsi="宋体" w:eastAsia="宋体" w:cs="Times New Roman"/>
          <w:kern w:val="0"/>
          <w:sz w:val="24"/>
        </w:rPr>
        <w:t>～</w:t>
      </w:r>
      <w:r>
        <w:rPr>
          <w:rFonts w:ascii="Times New Roman" w:hAnsi="Times New Roman" w:eastAsia="宋体" w:cs="Times New Roman"/>
          <w:kern w:val="0"/>
          <w:sz w:val="24"/>
        </w:rPr>
        <w:t>K2+</w:t>
      </w:r>
      <w:r>
        <w:rPr>
          <w:rFonts w:hint="eastAsia" w:ascii="Times New Roman" w:hAnsi="Times New Roman" w:eastAsia="宋体" w:cs="Times New Roman"/>
          <w:kern w:val="0"/>
          <w:sz w:val="24"/>
        </w:rPr>
        <w:t>200</w:t>
      </w:r>
      <w:r>
        <w:rPr>
          <w:rFonts w:ascii="Times New Roman" w:hAnsi="宋体" w:eastAsia="宋体" w:cs="Times New Roman"/>
          <w:kern w:val="0"/>
          <w:sz w:val="24"/>
        </w:rPr>
        <w:t>下穿高速公路、铁路段</w:t>
      </w:r>
    </w:p>
    <w:p w14:paraId="4BB5B8BD">
      <w:pPr>
        <w:spacing w:afterLines="50" w:line="300" w:lineRule="auto"/>
        <w:ind w:right="12" w:rightChars="6" w:firstLine="480" w:firstLineChars="200"/>
        <w:rPr>
          <w:rFonts w:ascii="Times New Roman" w:hAnsi="Times New Roman" w:eastAsia="宋体" w:cs="Times New Roman"/>
          <w:kern w:val="0"/>
          <w:sz w:val="24"/>
        </w:rPr>
      </w:pPr>
      <w:r>
        <w:rPr>
          <w:rFonts w:ascii="Times New Roman" w:hAnsi="宋体" w:eastAsia="宋体" w:cs="Times New Roman"/>
          <w:kern w:val="0"/>
          <w:sz w:val="24"/>
        </w:rPr>
        <w:t>新建幅与拼宽利用幅均采用单向二车道断面，设计车速</w:t>
      </w:r>
      <w:r>
        <w:rPr>
          <w:rFonts w:ascii="Times New Roman" w:hAnsi="Times New Roman" w:eastAsia="宋体" w:cs="Times New Roman"/>
          <w:kern w:val="0"/>
          <w:sz w:val="24"/>
        </w:rPr>
        <w:t>80km/h</w:t>
      </w:r>
      <w:r>
        <w:rPr>
          <w:rFonts w:ascii="Times New Roman" w:hAnsi="宋体" w:eastAsia="宋体" w:cs="Times New Roman"/>
          <w:kern w:val="0"/>
          <w:sz w:val="24"/>
        </w:rPr>
        <w:t>，路基宽</w:t>
      </w:r>
      <w:r>
        <w:rPr>
          <w:rFonts w:ascii="Times New Roman" w:hAnsi="Times New Roman" w:eastAsia="宋体" w:cs="Times New Roman"/>
          <w:kern w:val="0"/>
          <w:sz w:val="24"/>
        </w:rPr>
        <w:t>12.75m</w:t>
      </w:r>
      <w:r>
        <w:rPr>
          <w:rFonts w:ascii="Times New Roman" w:hAnsi="宋体" w:eastAsia="宋体" w:cs="Times New Roman"/>
          <w:kern w:val="0"/>
          <w:sz w:val="24"/>
        </w:rPr>
        <w:t>，其中行车道宽度</w:t>
      </w:r>
      <w:r>
        <w:rPr>
          <w:rFonts w:ascii="Times New Roman" w:hAnsi="Times New Roman" w:eastAsia="宋体" w:cs="Times New Roman"/>
          <w:kern w:val="0"/>
          <w:sz w:val="24"/>
        </w:rPr>
        <w:t>2×3.75m</w:t>
      </w:r>
      <w:r>
        <w:rPr>
          <w:rFonts w:ascii="Times New Roman" w:hAnsi="宋体" w:eastAsia="宋体" w:cs="Times New Roman"/>
          <w:kern w:val="0"/>
          <w:sz w:val="24"/>
        </w:rPr>
        <w:t>，左侧硬路肩宽度</w:t>
      </w:r>
      <w:r>
        <w:rPr>
          <w:rFonts w:ascii="Times New Roman" w:hAnsi="Times New Roman" w:eastAsia="宋体" w:cs="Times New Roman"/>
          <w:kern w:val="0"/>
          <w:sz w:val="24"/>
        </w:rPr>
        <w:t>3.0m</w:t>
      </w:r>
      <w:r>
        <w:rPr>
          <w:rFonts w:ascii="Times New Roman" w:hAnsi="宋体" w:eastAsia="宋体" w:cs="Times New Roman"/>
          <w:kern w:val="0"/>
          <w:sz w:val="24"/>
        </w:rPr>
        <w:t>（含路缘带</w:t>
      </w:r>
      <w:r>
        <w:rPr>
          <w:rFonts w:ascii="Times New Roman" w:hAnsi="Times New Roman" w:eastAsia="宋体" w:cs="Times New Roman"/>
          <w:kern w:val="0"/>
          <w:sz w:val="24"/>
        </w:rPr>
        <w:t>0.5m</w:t>
      </w:r>
      <w:r>
        <w:rPr>
          <w:rFonts w:ascii="Times New Roman" w:hAnsi="宋体" w:eastAsia="宋体" w:cs="Times New Roman"/>
          <w:kern w:val="0"/>
          <w:sz w:val="24"/>
        </w:rPr>
        <w:t>），右侧硬路肩</w:t>
      </w:r>
      <w:r>
        <w:rPr>
          <w:rFonts w:ascii="Times New Roman" w:hAnsi="Times New Roman" w:eastAsia="宋体" w:cs="Times New Roman"/>
          <w:kern w:val="0"/>
          <w:sz w:val="24"/>
        </w:rPr>
        <w:t>0.75m</w:t>
      </w:r>
      <w:r>
        <w:rPr>
          <w:rFonts w:ascii="Times New Roman" w:hAnsi="宋体" w:eastAsia="宋体" w:cs="Times New Roman"/>
          <w:kern w:val="0"/>
          <w:sz w:val="24"/>
        </w:rPr>
        <w:t>（含路缘带</w:t>
      </w:r>
      <w:r>
        <w:rPr>
          <w:rFonts w:ascii="Times New Roman" w:hAnsi="Times New Roman" w:eastAsia="宋体" w:cs="Times New Roman"/>
          <w:kern w:val="0"/>
          <w:sz w:val="24"/>
        </w:rPr>
        <w:t>0.5m</w:t>
      </w:r>
      <w:r>
        <w:rPr>
          <w:rFonts w:ascii="Times New Roman" w:hAnsi="宋体" w:eastAsia="宋体" w:cs="Times New Roman"/>
          <w:kern w:val="0"/>
          <w:sz w:val="24"/>
        </w:rPr>
        <w:t>），土路肩宽</w:t>
      </w:r>
      <w:r>
        <w:rPr>
          <w:rFonts w:ascii="Times New Roman" w:hAnsi="Times New Roman" w:eastAsia="宋体" w:cs="Times New Roman"/>
          <w:kern w:val="0"/>
          <w:sz w:val="24"/>
        </w:rPr>
        <w:t>2×0.75m</w:t>
      </w:r>
      <w:r>
        <w:rPr>
          <w:rFonts w:ascii="Times New Roman" w:hAnsi="宋体" w:eastAsia="宋体" w:cs="Times New Roman"/>
          <w:kern w:val="0"/>
          <w:sz w:val="24"/>
        </w:rPr>
        <w:t>。路基横断面见图</w:t>
      </w:r>
      <w:r>
        <w:rPr>
          <w:rFonts w:hint="eastAsia" w:ascii="Times New Roman" w:hAnsi="宋体" w:eastAsia="宋体" w:cs="Times New Roman"/>
          <w:kern w:val="0"/>
          <w:sz w:val="24"/>
        </w:rPr>
        <w:t>2.</w:t>
      </w:r>
      <w:r>
        <w:rPr>
          <w:rFonts w:ascii="Times New Roman" w:hAnsi="Times New Roman" w:eastAsia="宋体" w:cs="Times New Roman"/>
          <w:kern w:val="0"/>
          <w:sz w:val="24"/>
        </w:rPr>
        <w:t>2-1</w:t>
      </w:r>
      <w:r>
        <w:rPr>
          <w:rFonts w:ascii="Times New Roman" w:hAnsi="宋体" w:eastAsia="宋体" w:cs="Times New Roman"/>
          <w:kern w:val="0"/>
          <w:sz w:val="24"/>
        </w:rPr>
        <w:t>。</w:t>
      </w:r>
    </w:p>
    <w:p w14:paraId="708AB263">
      <w:pPr>
        <w:autoSpaceDE w:val="0"/>
        <w:autoSpaceDN w:val="0"/>
        <w:adjustRightInd w:val="0"/>
        <w:spacing w:line="300" w:lineRule="auto"/>
        <w:ind w:firstLine="2" w:firstLineChars="1"/>
        <w:rPr>
          <w:rFonts w:ascii="Times New Roman" w:hAnsi="Times New Roman" w:eastAsia="宋体" w:cs="Times New Roman"/>
          <w:kern w:val="0"/>
          <w:sz w:val="24"/>
        </w:rPr>
      </w:pPr>
      <w:r>
        <w:rPr>
          <w:rFonts w:ascii="Times New Roman" w:hAnsi="Times New Roman" w:eastAsia="宋体" w:cs="Times New Roman"/>
        </w:rPr>
        <w:drawing>
          <wp:inline distT="0" distB="0" distL="114300" distR="114300">
            <wp:extent cx="5219700" cy="1047115"/>
            <wp:effectExtent l="0" t="0" r="0" b="635"/>
            <wp:docPr id="98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 name="图片 1"/>
                    <pic:cNvPicPr>
                      <a:picLocks noChangeAspect="1"/>
                    </pic:cNvPicPr>
                  </pic:nvPicPr>
                  <pic:blipFill>
                    <a:blip r:embed="rId144" cstate="print">
                      <a:lum bright="-6000"/>
                    </a:blip>
                    <a:stretch>
                      <a:fillRect/>
                    </a:stretch>
                  </pic:blipFill>
                  <pic:spPr>
                    <a:xfrm>
                      <a:off x="0" y="0"/>
                      <a:ext cx="5220000" cy="1047338"/>
                    </a:xfrm>
                    <a:prstGeom prst="rect">
                      <a:avLst/>
                    </a:prstGeom>
                    <a:noFill/>
                    <a:ln>
                      <a:noFill/>
                    </a:ln>
                  </pic:spPr>
                </pic:pic>
              </a:graphicData>
            </a:graphic>
          </wp:inline>
        </w:drawing>
      </w:r>
    </w:p>
    <w:p w14:paraId="2744A78C">
      <w:pPr>
        <w:autoSpaceDE w:val="0"/>
        <w:autoSpaceDN w:val="0"/>
        <w:adjustRightInd w:val="0"/>
        <w:spacing w:beforeLines="50" w:afterLines="50"/>
        <w:jc w:val="center"/>
        <w:rPr>
          <w:rFonts w:ascii="Times New Roman" w:hAnsi="Times New Roman" w:eastAsia="宋体" w:cs="Times New Roman"/>
          <w:b/>
          <w:kern w:val="0"/>
          <w:sz w:val="22"/>
          <w:szCs w:val="22"/>
        </w:rPr>
      </w:pPr>
      <w:r>
        <w:rPr>
          <w:rFonts w:ascii="Times New Roman" w:hAnsi="宋体" w:eastAsia="宋体" w:cs="Times New Roman"/>
          <w:b/>
          <w:kern w:val="0"/>
          <w:sz w:val="22"/>
          <w:szCs w:val="22"/>
        </w:rPr>
        <w:t>图</w:t>
      </w:r>
      <w:r>
        <w:rPr>
          <w:rFonts w:hint="eastAsia" w:ascii="Times New Roman" w:hAnsi="Times New Roman" w:eastAsia="宋体" w:cs="Times New Roman"/>
          <w:b/>
          <w:kern w:val="0"/>
          <w:sz w:val="22"/>
          <w:szCs w:val="22"/>
        </w:rPr>
        <w:t>2.2-1</w:t>
      </w:r>
      <w:r>
        <w:rPr>
          <w:rFonts w:ascii="Times New Roman" w:hAnsi="Times New Roman" w:eastAsia="宋体" w:cs="Times New Roman"/>
          <w:b/>
          <w:kern w:val="0"/>
          <w:sz w:val="22"/>
          <w:szCs w:val="22"/>
        </w:rPr>
        <w:t xml:space="preserve">  </w:t>
      </w:r>
      <w:r>
        <w:rPr>
          <w:rFonts w:ascii="Times New Roman" w:hAnsi="宋体" w:eastAsia="宋体" w:cs="Times New Roman"/>
          <w:b/>
          <w:kern w:val="0"/>
          <w:sz w:val="22"/>
          <w:szCs w:val="22"/>
        </w:rPr>
        <w:t>路基横断面图</w:t>
      </w:r>
    </w:p>
    <w:p w14:paraId="7B5DE85B">
      <w:pPr>
        <w:adjustRightInd w:val="0"/>
        <w:snapToGrid w:val="0"/>
        <w:spacing w:line="300" w:lineRule="auto"/>
        <w:ind w:left="-21" w:right="-21" w:firstLine="480" w:firstLineChars="200"/>
        <w:rPr>
          <w:rFonts w:ascii="Times New Roman" w:hAnsi="宋体" w:eastAsia="宋体" w:cs="Times New Roman"/>
          <w:sz w:val="24"/>
        </w:rPr>
      </w:pPr>
      <w:r>
        <w:rPr>
          <w:rFonts w:hint="eastAsia" w:ascii="Times New Roman" w:hAnsi="宋体" w:eastAsia="宋体" w:cs="Times New Roman"/>
          <w:kern w:val="0"/>
          <w:sz w:val="24"/>
        </w:rPr>
        <w:t>(2)</w:t>
      </w:r>
      <w:r>
        <w:rPr>
          <w:rFonts w:ascii="Times New Roman" w:hAnsi="Times New Roman" w:eastAsia="宋体" w:cs="Times New Roman"/>
          <w:kern w:val="0"/>
          <w:sz w:val="24"/>
        </w:rPr>
        <w:t xml:space="preserve"> </w:t>
      </w:r>
      <w:r>
        <w:rPr>
          <w:rFonts w:ascii="Times New Roman" w:hAnsi="宋体" w:eastAsia="宋体" w:cs="Times New Roman"/>
          <w:sz w:val="24"/>
        </w:rPr>
        <w:t>整体式路基</w:t>
      </w:r>
    </w:p>
    <w:p w14:paraId="604930E0">
      <w:pPr>
        <w:adjustRightInd w:val="0"/>
        <w:snapToGrid w:val="0"/>
        <w:spacing w:line="300" w:lineRule="auto"/>
        <w:ind w:left="-21" w:right="-21" w:firstLine="480" w:firstLineChars="200"/>
        <w:rPr>
          <w:rFonts w:ascii="Times New Roman" w:hAnsi="Times New Roman" w:eastAsia="宋体" w:cs="Times New Roman"/>
          <w:sz w:val="24"/>
        </w:rPr>
      </w:pPr>
      <w:r>
        <w:rPr>
          <w:rFonts w:hint="eastAsia" w:ascii="宋体" w:hAnsi="宋体" w:eastAsia="宋体" w:cs="Times New Roman"/>
          <w:sz w:val="24"/>
        </w:rPr>
        <w:t>①</w:t>
      </w:r>
      <w:r>
        <w:rPr>
          <w:rFonts w:hint="eastAsia" w:ascii="Times New Roman" w:hAnsi="Times New Roman" w:eastAsia="宋体" w:cs="Times New Roman"/>
          <w:sz w:val="24"/>
        </w:rPr>
        <w:t xml:space="preserve"> </w:t>
      </w:r>
      <w:r>
        <w:rPr>
          <w:rFonts w:ascii="Times New Roman" w:hAnsi="Times New Roman" w:eastAsia="宋体" w:cs="Times New Roman"/>
          <w:sz w:val="24"/>
        </w:rPr>
        <w:t>K2+</w:t>
      </w:r>
      <w:r>
        <w:rPr>
          <w:rFonts w:hint="eastAsia" w:ascii="Times New Roman" w:hAnsi="Times New Roman" w:eastAsia="宋体" w:cs="Times New Roman"/>
          <w:sz w:val="24"/>
        </w:rPr>
        <w:t>200</w:t>
      </w:r>
      <w:r>
        <w:rPr>
          <w:rFonts w:ascii="Times New Roman" w:hAnsi="宋体" w:eastAsia="宋体" w:cs="Times New Roman"/>
          <w:kern w:val="0"/>
          <w:sz w:val="24"/>
        </w:rPr>
        <w:t>～</w:t>
      </w:r>
      <w:r>
        <w:rPr>
          <w:rFonts w:ascii="Times New Roman" w:hAnsi="Times New Roman" w:eastAsia="宋体" w:cs="Times New Roman"/>
          <w:sz w:val="24"/>
        </w:rPr>
        <w:t>K7+290</w:t>
      </w:r>
      <w:r>
        <w:rPr>
          <w:rFonts w:ascii="Times New Roman" w:hAnsi="宋体" w:eastAsia="宋体" w:cs="Times New Roman"/>
          <w:sz w:val="24"/>
        </w:rPr>
        <w:t>、</w:t>
      </w:r>
      <w:r>
        <w:rPr>
          <w:rFonts w:ascii="Times New Roman" w:hAnsi="Times New Roman" w:eastAsia="宋体" w:cs="Times New Roman"/>
          <w:sz w:val="24"/>
        </w:rPr>
        <w:t>K9+</w:t>
      </w:r>
      <w:r>
        <w:rPr>
          <w:rFonts w:hint="eastAsia" w:ascii="Times New Roman" w:hAnsi="Times New Roman" w:eastAsia="宋体" w:cs="Times New Roman"/>
          <w:sz w:val="24"/>
        </w:rPr>
        <w:t>700</w:t>
      </w:r>
      <w:r>
        <w:rPr>
          <w:rFonts w:ascii="Times New Roman" w:hAnsi="宋体" w:eastAsia="宋体" w:cs="Times New Roman"/>
          <w:kern w:val="0"/>
          <w:sz w:val="24"/>
        </w:rPr>
        <w:t>～</w:t>
      </w:r>
      <w:r>
        <w:rPr>
          <w:rFonts w:ascii="Times New Roman" w:hAnsi="Times New Roman" w:eastAsia="宋体" w:cs="Times New Roman"/>
          <w:sz w:val="24"/>
        </w:rPr>
        <w:t>K18+300</w:t>
      </w:r>
      <w:r>
        <w:rPr>
          <w:rFonts w:ascii="Times New Roman" w:hAnsi="宋体" w:eastAsia="宋体" w:cs="Times New Roman"/>
          <w:sz w:val="24"/>
        </w:rPr>
        <w:t>、</w:t>
      </w:r>
      <w:r>
        <w:rPr>
          <w:rFonts w:ascii="Times New Roman" w:hAnsi="Times New Roman" w:eastAsia="宋体" w:cs="Times New Roman"/>
          <w:sz w:val="24"/>
        </w:rPr>
        <w:t>K22+410</w:t>
      </w:r>
      <w:r>
        <w:rPr>
          <w:rFonts w:ascii="Times New Roman" w:hAnsi="宋体" w:eastAsia="宋体" w:cs="Times New Roman"/>
          <w:kern w:val="0"/>
          <w:sz w:val="24"/>
        </w:rPr>
        <w:t>～</w:t>
      </w:r>
      <w:r>
        <w:rPr>
          <w:rFonts w:ascii="Times New Roman" w:hAnsi="Times New Roman" w:eastAsia="宋体" w:cs="Times New Roman"/>
          <w:sz w:val="24"/>
        </w:rPr>
        <w:t>K70+416</w:t>
      </w:r>
      <w:r>
        <w:rPr>
          <w:rFonts w:ascii="Times New Roman" w:hAnsi="宋体" w:eastAsia="宋体" w:cs="Times New Roman"/>
          <w:sz w:val="24"/>
        </w:rPr>
        <w:t>段</w:t>
      </w:r>
    </w:p>
    <w:p w14:paraId="05C832DB">
      <w:pPr>
        <w:spacing w:line="300" w:lineRule="auto"/>
        <w:ind w:firstLine="480" w:firstLineChars="200"/>
        <w:rPr>
          <w:rFonts w:ascii="Times New Roman" w:hAnsi="Times New Roman" w:eastAsia="宋体" w:cs="Times New Roman"/>
        </w:rPr>
      </w:pPr>
      <w:r>
        <w:rPr>
          <w:rFonts w:ascii="Times New Roman" w:hAnsi="宋体" w:eastAsia="宋体" w:cs="Times New Roman"/>
          <w:sz w:val="24"/>
        </w:rPr>
        <w:t>采用整体式双向四车道路基断面，设计车速</w:t>
      </w:r>
      <w:r>
        <w:rPr>
          <w:rFonts w:ascii="Times New Roman" w:hAnsi="Times New Roman" w:eastAsia="宋体" w:cs="Times New Roman"/>
          <w:sz w:val="24"/>
        </w:rPr>
        <w:t>80km/h</w:t>
      </w:r>
      <w:r>
        <w:rPr>
          <w:rFonts w:ascii="Times New Roman" w:hAnsi="宋体" w:eastAsia="宋体" w:cs="Times New Roman"/>
          <w:sz w:val="24"/>
        </w:rPr>
        <w:t>，路基宽</w:t>
      </w:r>
      <w:r>
        <w:rPr>
          <w:rFonts w:ascii="Times New Roman" w:hAnsi="Times New Roman" w:eastAsia="宋体" w:cs="Times New Roman"/>
          <w:sz w:val="24"/>
        </w:rPr>
        <w:t>25.5m</w:t>
      </w:r>
      <w:r>
        <w:rPr>
          <w:rFonts w:ascii="Times New Roman" w:hAnsi="宋体" w:eastAsia="宋体" w:cs="Times New Roman"/>
          <w:sz w:val="24"/>
        </w:rPr>
        <w:t>，其中行车道宽</w:t>
      </w:r>
      <w:r>
        <w:rPr>
          <w:rFonts w:ascii="Times New Roman" w:hAnsi="Times New Roman" w:eastAsia="宋体" w:cs="Times New Roman"/>
          <w:sz w:val="24"/>
        </w:rPr>
        <w:t>4×3.75m</w:t>
      </w:r>
      <w:r>
        <w:rPr>
          <w:rFonts w:ascii="Times New Roman" w:hAnsi="宋体" w:eastAsia="宋体" w:cs="Times New Roman"/>
          <w:sz w:val="24"/>
        </w:rPr>
        <w:t>，中间带宽度</w:t>
      </w:r>
      <w:r>
        <w:rPr>
          <w:rFonts w:ascii="Times New Roman" w:hAnsi="Times New Roman" w:eastAsia="宋体" w:cs="Times New Roman"/>
          <w:sz w:val="24"/>
        </w:rPr>
        <w:t>3.0m</w:t>
      </w:r>
      <w:r>
        <w:rPr>
          <w:rFonts w:ascii="Times New Roman" w:hAnsi="宋体" w:eastAsia="宋体" w:cs="Times New Roman"/>
          <w:sz w:val="24"/>
        </w:rPr>
        <w:t>（含中央分隔带宽</w:t>
      </w:r>
      <w:r>
        <w:rPr>
          <w:rFonts w:ascii="Times New Roman" w:hAnsi="Times New Roman" w:eastAsia="宋体" w:cs="Times New Roman"/>
          <w:sz w:val="24"/>
        </w:rPr>
        <w:t>2.0m</w:t>
      </w:r>
      <w:r>
        <w:rPr>
          <w:rFonts w:ascii="Times New Roman" w:hAnsi="宋体" w:eastAsia="宋体" w:cs="Times New Roman"/>
          <w:sz w:val="24"/>
        </w:rPr>
        <w:t>，路缘带宽</w:t>
      </w:r>
      <w:r>
        <w:rPr>
          <w:rFonts w:ascii="Times New Roman" w:hAnsi="Times New Roman" w:eastAsia="宋体" w:cs="Times New Roman"/>
          <w:sz w:val="24"/>
        </w:rPr>
        <w:t>2×0.5m</w:t>
      </w:r>
      <w:r>
        <w:rPr>
          <w:rFonts w:ascii="Times New Roman" w:hAnsi="宋体" w:eastAsia="宋体" w:cs="Times New Roman"/>
          <w:sz w:val="24"/>
        </w:rPr>
        <w:t>），硬路肩宽</w:t>
      </w:r>
      <w:r>
        <w:rPr>
          <w:rFonts w:ascii="Times New Roman" w:hAnsi="Times New Roman" w:eastAsia="宋体" w:cs="Times New Roman"/>
          <w:sz w:val="24"/>
        </w:rPr>
        <w:t>2×3.0m</w:t>
      </w:r>
      <w:r>
        <w:rPr>
          <w:rFonts w:ascii="Times New Roman" w:hAnsi="宋体" w:eastAsia="宋体" w:cs="Times New Roman"/>
          <w:sz w:val="24"/>
        </w:rPr>
        <w:t>（含路缘带</w:t>
      </w:r>
      <w:r>
        <w:rPr>
          <w:rFonts w:ascii="Times New Roman" w:hAnsi="Times New Roman" w:eastAsia="宋体" w:cs="Times New Roman"/>
          <w:sz w:val="24"/>
        </w:rPr>
        <w:t>0.5m</w:t>
      </w:r>
      <w:r>
        <w:rPr>
          <w:rFonts w:ascii="Times New Roman" w:hAnsi="宋体" w:eastAsia="宋体" w:cs="Times New Roman"/>
          <w:sz w:val="24"/>
        </w:rPr>
        <w:t>），土路肩宽</w:t>
      </w:r>
      <w:r>
        <w:rPr>
          <w:rFonts w:ascii="Times New Roman" w:hAnsi="Times New Roman" w:eastAsia="宋体" w:cs="Times New Roman"/>
          <w:sz w:val="24"/>
        </w:rPr>
        <w:t>2×0.75m</w:t>
      </w:r>
      <w:r>
        <w:rPr>
          <w:rFonts w:ascii="Times New Roman" w:hAnsi="宋体" w:eastAsia="宋体" w:cs="Times New Roman"/>
          <w:sz w:val="24"/>
        </w:rPr>
        <w:t>。路基横断面见图</w:t>
      </w:r>
      <w:r>
        <w:rPr>
          <w:rFonts w:hint="eastAsia" w:ascii="Times New Roman" w:hAnsi="Times New Roman" w:eastAsia="宋体" w:cs="Times New Roman"/>
          <w:sz w:val="24"/>
        </w:rPr>
        <w:t>2.2-2</w:t>
      </w:r>
      <w:r>
        <w:rPr>
          <w:rFonts w:ascii="Times New Roman" w:hAnsi="宋体" w:eastAsia="宋体" w:cs="Times New Roman"/>
          <w:sz w:val="24"/>
        </w:rPr>
        <w:t>。</w:t>
      </w:r>
    </w:p>
    <w:p w14:paraId="0C1C5C14">
      <w:pPr>
        <w:adjustRightInd w:val="0"/>
        <w:snapToGrid w:val="0"/>
        <w:spacing w:line="360" w:lineRule="auto"/>
        <w:ind w:left="-21" w:right="-21"/>
        <w:jc w:val="center"/>
        <w:rPr>
          <w:rFonts w:ascii="Times New Roman" w:hAnsi="Times New Roman" w:eastAsia="宋体" w:cs="Times New Roman"/>
          <w:b/>
          <w:bCs/>
        </w:rPr>
      </w:pPr>
      <w:r>
        <w:rPr>
          <w:rFonts w:ascii="Times New Roman" w:hAnsi="Times New Roman" w:eastAsia="宋体" w:cs="Times New Roman"/>
        </w:rPr>
        <w:drawing>
          <wp:inline distT="0" distB="0" distL="114300" distR="114300">
            <wp:extent cx="5219700" cy="1390015"/>
            <wp:effectExtent l="0" t="0" r="0" b="635"/>
            <wp:docPr id="98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 name="图片 2"/>
                    <pic:cNvPicPr>
                      <a:picLocks noChangeAspect="1"/>
                    </pic:cNvPicPr>
                  </pic:nvPicPr>
                  <pic:blipFill>
                    <a:blip r:embed="rId145" cstate="print"/>
                    <a:stretch>
                      <a:fillRect/>
                    </a:stretch>
                  </pic:blipFill>
                  <pic:spPr>
                    <a:xfrm>
                      <a:off x="0" y="0"/>
                      <a:ext cx="5220000" cy="1390159"/>
                    </a:xfrm>
                    <a:prstGeom prst="rect">
                      <a:avLst/>
                    </a:prstGeom>
                    <a:noFill/>
                    <a:ln>
                      <a:noFill/>
                    </a:ln>
                  </pic:spPr>
                </pic:pic>
              </a:graphicData>
            </a:graphic>
          </wp:inline>
        </w:drawing>
      </w:r>
    </w:p>
    <w:p w14:paraId="34A79649">
      <w:pPr>
        <w:autoSpaceDE w:val="0"/>
        <w:autoSpaceDN w:val="0"/>
        <w:adjustRightInd w:val="0"/>
        <w:spacing w:beforeLines="50" w:afterLines="50"/>
        <w:jc w:val="center"/>
        <w:rPr>
          <w:rFonts w:ascii="Times New Roman" w:hAnsi="Times New Roman" w:eastAsia="宋体" w:cs="Times New Roman"/>
          <w:b/>
          <w:kern w:val="0"/>
          <w:sz w:val="22"/>
          <w:szCs w:val="22"/>
        </w:rPr>
      </w:pPr>
      <w:r>
        <w:rPr>
          <w:rFonts w:ascii="Times New Roman" w:hAnsi="宋体" w:eastAsia="宋体" w:cs="Times New Roman"/>
          <w:b/>
          <w:kern w:val="0"/>
          <w:sz w:val="22"/>
          <w:szCs w:val="22"/>
        </w:rPr>
        <w:t>图</w:t>
      </w:r>
      <w:r>
        <w:rPr>
          <w:rFonts w:hint="eastAsia" w:ascii="Times New Roman" w:hAnsi="Times New Roman" w:eastAsia="宋体" w:cs="Times New Roman"/>
          <w:b/>
          <w:kern w:val="0"/>
          <w:sz w:val="22"/>
          <w:szCs w:val="22"/>
        </w:rPr>
        <w:t>2.2-2</w:t>
      </w:r>
      <w:r>
        <w:rPr>
          <w:rFonts w:ascii="Times New Roman" w:hAnsi="Times New Roman" w:eastAsia="宋体" w:cs="Times New Roman"/>
          <w:b/>
          <w:kern w:val="0"/>
          <w:sz w:val="22"/>
          <w:szCs w:val="22"/>
        </w:rPr>
        <w:t xml:space="preserve">  </w:t>
      </w:r>
      <w:r>
        <w:rPr>
          <w:rFonts w:ascii="Times New Roman" w:hAnsi="宋体" w:eastAsia="宋体" w:cs="Times New Roman"/>
          <w:b/>
          <w:kern w:val="0"/>
          <w:sz w:val="22"/>
          <w:szCs w:val="22"/>
        </w:rPr>
        <w:t>路基横断面图</w:t>
      </w:r>
    </w:p>
    <w:p w14:paraId="49E3BC25">
      <w:pPr>
        <w:adjustRightInd w:val="0"/>
        <w:snapToGrid w:val="0"/>
        <w:spacing w:line="300" w:lineRule="auto"/>
        <w:ind w:left="-21" w:right="-21" w:firstLine="480" w:firstLineChars="200"/>
        <w:rPr>
          <w:rFonts w:ascii="Times New Roman" w:hAnsi="Times New Roman" w:eastAsia="宋体" w:cs="Times New Roman"/>
          <w:sz w:val="24"/>
        </w:rPr>
      </w:pPr>
      <w:r>
        <w:rPr>
          <w:rFonts w:ascii="Times New Roman" w:hAnsi="宋体" w:eastAsia="宋体" w:cs="Times New Roman"/>
          <w:sz w:val="24"/>
        </w:rPr>
        <w:t>②</w:t>
      </w:r>
      <w:r>
        <w:rPr>
          <w:rFonts w:hint="eastAsia" w:ascii="Times New Roman" w:hAnsi="宋体" w:eastAsia="宋体" w:cs="Times New Roman"/>
          <w:sz w:val="24"/>
        </w:rPr>
        <w:t xml:space="preserve"> </w:t>
      </w:r>
      <w:r>
        <w:rPr>
          <w:rFonts w:ascii="Times New Roman" w:hAnsi="Times New Roman" w:eastAsia="宋体" w:cs="Times New Roman"/>
          <w:sz w:val="24"/>
        </w:rPr>
        <w:t>K18+300</w:t>
      </w:r>
      <w:r>
        <w:rPr>
          <w:rFonts w:ascii="Times New Roman" w:hAnsi="宋体" w:eastAsia="宋体" w:cs="Times New Roman"/>
          <w:sz w:val="24"/>
        </w:rPr>
        <w:t>～</w:t>
      </w:r>
      <w:r>
        <w:rPr>
          <w:rFonts w:ascii="Times New Roman" w:hAnsi="Times New Roman" w:eastAsia="宋体" w:cs="Times New Roman"/>
          <w:sz w:val="24"/>
        </w:rPr>
        <w:t>K22+410</w:t>
      </w:r>
      <w:r>
        <w:rPr>
          <w:rFonts w:ascii="Times New Roman" w:hAnsi="宋体" w:eastAsia="宋体" w:cs="Times New Roman"/>
          <w:sz w:val="24"/>
        </w:rPr>
        <w:t>段</w:t>
      </w:r>
    </w:p>
    <w:p w14:paraId="39C077A7">
      <w:pPr>
        <w:spacing w:line="300" w:lineRule="auto"/>
        <w:ind w:firstLine="480" w:firstLineChars="200"/>
        <w:rPr>
          <w:rFonts w:ascii="Times New Roman" w:hAnsi="Times New Roman" w:eastAsia="宋体" w:cs="Times New Roman"/>
        </w:rPr>
      </w:pPr>
      <w:r>
        <w:rPr>
          <w:rFonts w:ascii="Times New Roman" w:hAnsi="Times New Roman" w:eastAsia="宋体" w:cs="Times New Roman"/>
          <w:sz w:val="24"/>
        </w:rPr>
        <w:t>K18+300</w:t>
      </w:r>
      <w:r>
        <w:rPr>
          <w:rFonts w:ascii="Times New Roman" w:hAnsi="宋体" w:eastAsia="宋体" w:cs="Times New Roman"/>
          <w:sz w:val="24"/>
        </w:rPr>
        <w:t>～</w:t>
      </w:r>
      <w:r>
        <w:rPr>
          <w:rFonts w:ascii="Times New Roman" w:hAnsi="Times New Roman" w:eastAsia="宋体" w:cs="Times New Roman"/>
          <w:sz w:val="24"/>
        </w:rPr>
        <w:t>K22+410</w:t>
      </w:r>
      <w:r>
        <w:rPr>
          <w:rFonts w:ascii="Times New Roman" w:hAnsi="宋体" w:eastAsia="宋体" w:cs="Times New Roman"/>
          <w:sz w:val="24"/>
        </w:rPr>
        <w:t>段压占基本农田，采用整体式双向四车道路基断面，设计车速</w:t>
      </w:r>
      <w:r>
        <w:rPr>
          <w:rFonts w:ascii="Times New Roman" w:hAnsi="Times New Roman" w:eastAsia="宋体" w:cs="Times New Roman"/>
          <w:sz w:val="24"/>
        </w:rPr>
        <w:t>60km/h</w:t>
      </w:r>
      <w:r>
        <w:rPr>
          <w:rFonts w:ascii="Times New Roman" w:hAnsi="宋体" w:eastAsia="宋体" w:cs="Times New Roman"/>
          <w:sz w:val="24"/>
        </w:rPr>
        <w:t>，为减少占地，路基宽度采用</w:t>
      </w:r>
      <w:r>
        <w:rPr>
          <w:rFonts w:ascii="Times New Roman" w:hAnsi="Times New Roman" w:eastAsia="宋体" w:cs="Times New Roman"/>
          <w:sz w:val="24"/>
        </w:rPr>
        <w:t>19.0</w:t>
      </w:r>
      <w:r>
        <w:rPr>
          <w:rFonts w:ascii="Times New Roman" w:hAnsi="宋体" w:eastAsia="宋体" w:cs="Times New Roman"/>
          <w:sz w:val="24"/>
        </w:rPr>
        <w:t>～</w:t>
      </w:r>
      <w:r>
        <w:rPr>
          <w:rFonts w:ascii="Times New Roman" w:hAnsi="Times New Roman" w:eastAsia="宋体" w:cs="Times New Roman"/>
          <w:sz w:val="24"/>
        </w:rPr>
        <w:t>23.5m</w:t>
      </w:r>
      <w:r>
        <w:rPr>
          <w:rFonts w:ascii="Times New Roman" w:hAnsi="宋体" w:eastAsia="宋体" w:cs="Times New Roman"/>
          <w:sz w:val="24"/>
        </w:rPr>
        <w:t>，其中行车道宽</w:t>
      </w:r>
      <w:r>
        <w:rPr>
          <w:rFonts w:ascii="Times New Roman" w:hAnsi="Times New Roman" w:eastAsia="宋体" w:cs="Times New Roman"/>
          <w:sz w:val="24"/>
        </w:rPr>
        <w:t>4×3.75m</w:t>
      </w:r>
      <w:r>
        <w:rPr>
          <w:rFonts w:ascii="Times New Roman" w:hAnsi="宋体" w:eastAsia="宋体" w:cs="Times New Roman"/>
          <w:sz w:val="24"/>
        </w:rPr>
        <w:t>，中间带宽度</w:t>
      </w:r>
      <w:r>
        <w:rPr>
          <w:rFonts w:ascii="Times New Roman" w:hAnsi="Times New Roman" w:eastAsia="宋体" w:cs="Times New Roman"/>
          <w:sz w:val="24"/>
        </w:rPr>
        <w:t>2.5m</w:t>
      </w:r>
      <w:r>
        <w:rPr>
          <w:rFonts w:ascii="Times New Roman" w:hAnsi="宋体" w:eastAsia="宋体" w:cs="Times New Roman"/>
          <w:sz w:val="24"/>
        </w:rPr>
        <w:t>（含中央分隔带宽</w:t>
      </w:r>
      <w:r>
        <w:rPr>
          <w:rFonts w:ascii="Times New Roman" w:hAnsi="Times New Roman" w:eastAsia="宋体" w:cs="Times New Roman"/>
          <w:sz w:val="24"/>
        </w:rPr>
        <w:t>1.5m</w:t>
      </w:r>
      <w:r>
        <w:rPr>
          <w:rFonts w:ascii="Times New Roman" w:hAnsi="宋体" w:eastAsia="宋体" w:cs="Times New Roman"/>
          <w:sz w:val="24"/>
        </w:rPr>
        <w:t>，路缘带宽</w:t>
      </w:r>
      <w:r>
        <w:rPr>
          <w:rFonts w:ascii="Times New Roman" w:hAnsi="Times New Roman" w:eastAsia="宋体" w:cs="Times New Roman"/>
          <w:sz w:val="24"/>
        </w:rPr>
        <w:t>2×0.5m</w:t>
      </w:r>
      <w:r>
        <w:rPr>
          <w:rFonts w:ascii="Times New Roman" w:hAnsi="宋体" w:eastAsia="宋体" w:cs="Times New Roman"/>
          <w:sz w:val="24"/>
        </w:rPr>
        <w:t>），硬路肩宽</w:t>
      </w:r>
      <w:r>
        <w:rPr>
          <w:rFonts w:ascii="Times New Roman" w:hAnsi="Times New Roman" w:eastAsia="宋体" w:cs="Times New Roman"/>
          <w:sz w:val="24"/>
        </w:rPr>
        <w:t>2×0.75</w:t>
      </w:r>
      <w:r>
        <w:rPr>
          <w:rFonts w:ascii="Times New Roman" w:hAnsi="宋体" w:eastAsia="宋体" w:cs="Times New Roman"/>
          <w:sz w:val="24"/>
        </w:rPr>
        <w:t>～</w:t>
      </w:r>
      <w:r>
        <w:rPr>
          <w:rFonts w:ascii="Times New Roman" w:hAnsi="Times New Roman" w:eastAsia="宋体" w:cs="Times New Roman"/>
          <w:sz w:val="24"/>
        </w:rPr>
        <w:t>3.0m</w:t>
      </w:r>
      <w:r>
        <w:rPr>
          <w:rFonts w:ascii="Times New Roman" w:hAnsi="宋体" w:eastAsia="宋体" w:cs="Times New Roman"/>
          <w:sz w:val="24"/>
        </w:rPr>
        <w:t>（硬路肩宽度结合用地情况选择，宽度渐变，渐变范围</w:t>
      </w:r>
      <w:r>
        <w:rPr>
          <w:rFonts w:ascii="Times New Roman" w:hAnsi="Times New Roman" w:eastAsia="宋体" w:cs="Times New Roman"/>
          <w:sz w:val="24"/>
        </w:rPr>
        <w:t>0.75</w:t>
      </w:r>
      <w:r>
        <w:rPr>
          <w:rFonts w:ascii="Times New Roman" w:hAnsi="宋体" w:eastAsia="宋体" w:cs="Times New Roman"/>
          <w:sz w:val="24"/>
        </w:rPr>
        <w:t>～</w:t>
      </w:r>
      <w:r>
        <w:rPr>
          <w:rFonts w:ascii="Times New Roman" w:hAnsi="Times New Roman" w:eastAsia="宋体" w:cs="Times New Roman"/>
          <w:sz w:val="24"/>
        </w:rPr>
        <w:t>3.0m</w:t>
      </w:r>
      <w:r>
        <w:rPr>
          <w:rFonts w:ascii="Times New Roman" w:hAnsi="宋体" w:eastAsia="宋体" w:cs="Times New Roman"/>
          <w:sz w:val="24"/>
        </w:rPr>
        <w:t>），土路肩宽</w:t>
      </w:r>
      <w:r>
        <w:rPr>
          <w:rFonts w:ascii="Times New Roman" w:hAnsi="Times New Roman" w:eastAsia="宋体" w:cs="Times New Roman"/>
          <w:sz w:val="24"/>
        </w:rPr>
        <w:t>2×0.75m</w:t>
      </w:r>
      <w:r>
        <w:rPr>
          <w:rFonts w:ascii="Times New Roman" w:hAnsi="宋体" w:eastAsia="宋体" w:cs="Times New Roman"/>
          <w:sz w:val="24"/>
        </w:rPr>
        <w:t>。路基横断面见图</w:t>
      </w:r>
      <w:r>
        <w:rPr>
          <w:rFonts w:hint="eastAsia" w:ascii="Times New Roman" w:hAnsi="Times New Roman" w:eastAsia="宋体" w:cs="Times New Roman"/>
          <w:sz w:val="24"/>
        </w:rPr>
        <w:t>2.2-3</w:t>
      </w:r>
      <w:r>
        <w:rPr>
          <w:rFonts w:ascii="Times New Roman" w:hAnsi="宋体" w:eastAsia="宋体" w:cs="Times New Roman"/>
          <w:sz w:val="24"/>
        </w:rPr>
        <w:t>。</w:t>
      </w:r>
    </w:p>
    <w:p w14:paraId="5F3442FE">
      <w:pPr>
        <w:adjustRightInd w:val="0"/>
        <w:snapToGrid w:val="0"/>
        <w:spacing w:line="360" w:lineRule="auto"/>
        <w:jc w:val="center"/>
        <w:rPr>
          <w:rFonts w:ascii="Times New Roman" w:hAnsi="Times New Roman" w:eastAsia="宋体" w:cs="Times New Roman"/>
          <w:bCs/>
        </w:rPr>
      </w:pPr>
      <w:r>
        <w:rPr>
          <w:rFonts w:ascii="Times New Roman" w:hAnsi="Times New Roman" w:eastAsia="宋体" w:cs="Times New Roman"/>
        </w:rPr>
        <w:drawing>
          <wp:inline distT="0" distB="0" distL="114300" distR="114300">
            <wp:extent cx="5219700" cy="1555750"/>
            <wp:effectExtent l="0" t="0" r="0" b="6350"/>
            <wp:docPr id="98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 name="图片 3"/>
                    <pic:cNvPicPr>
                      <a:picLocks noChangeAspect="1"/>
                    </pic:cNvPicPr>
                  </pic:nvPicPr>
                  <pic:blipFill>
                    <a:blip r:embed="rId146" cstate="print"/>
                    <a:stretch>
                      <a:fillRect/>
                    </a:stretch>
                  </pic:blipFill>
                  <pic:spPr>
                    <a:xfrm>
                      <a:off x="0" y="0"/>
                      <a:ext cx="5220000" cy="1555873"/>
                    </a:xfrm>
                    <a:prstGeom prst="rect">
                      <a:avLst/>
                    </a:prstGeom>
                    <a:noFill/>
                    <a:ln>
                      <a:noFill/>
                    </a:ln>
                  </pic:spPr>
                </pic:pic>
              </a:graphicData>
            </a:graphic>
          </wp:inline>
        </w:drawing>
      </w:r>
    </w:p>
    <w:p w14:paraId="6273815A">
      <w:pPr>
        <w:autoSpaceDE w:val="0"/>
        <w:autoSpaceDN w:val="0"/>
        <w:adjustRightInd w:val="0"/>
        <w:spacing w:beforeLines="50" w:afterLines="50"/>
        <w:jc w:val="center"/>
        <w:rPr>
          <w:rFonts w:ascii="Times New Roman" w:hAnsi="Times New Roman" w:eastAsia="宋体" w:cs="Times New Roman"/>
          <w:b/>
          <w:kern w:val="0"/>
          <w:sz w:val="22"/>
          <w:szCs w:val="22"/>
        </w:rPr>
      </w:pPr>
      <w:r>
        <w:rPr>
          <w:rFonts w:ascii="Times New Roman" w:hAnsi="宋体" w:eastAsia="宋体" w:cs="Times New Roman"/>
          <w:b/>
          <w:kern w:val="0"/>
          <w:sz w:val="22"/>
          <w:szCs w:val="22"/>
        </w:rPr>
        <w:t>图</w:t>
      </w:r>
      <w:r>
        <w:rPr>
          <w:rFonts w:hint="eastAsia" w:ascii="Times New Roman" w:hAnsi="Times New Roman" w:eastAsia="宋体" w:cs="Times New Roman"/>
          <w:b/>
          <w:kern w:val="0"/>
          <w:sz w:val="22"/>
          <w:szCs w:val="22"/>
        </w:rPr>
        <w:t>2.2-3</w:t>
      </w:r>
      <w:r>
        <w:rPr>
          <w:rFonts w:ascii="Times New Roman" w:hAnsi="Times New Roman" w:eastAsia="宋体" w:cs="Times New Roman"/>
          <w:b/>
          <w:kern w:val="0"/>
          <w:sz w:val="22"/>
          <w:szCs w:val="22"/>
        </w:rPr>
        <w:t xml:space="preserve">  </w:t>
      </w:r>
      <w:r>
        <w:rPr>
          <w:rFonts w:ascii="Times New Roman" w:hAnsi="宋体" w:eastAsia="宋体" w:cs="Times New Roman"/>
          <w:b/>
          <w:kern w:val="0"/>
          <w:sz w:val="22"/>
          <w:szCs w:val="22"/>
        </w:rPr>
        <w:t>路基横断面图</w:t>
      </w:r>
    </w:p>
    <w:p w14:paraId="389E6C26">
      <w:pPr>
        <w:adjustRightInd w:val="0"/>
        <w:snapToGrid w:val="0"/>
        <w:spacing w:line="300" w:lineRule="auto"/>
        <w:ind w:right="-21" w:firstLine="480" w:firstLineChars="200"/>
        <w:rPr>
          <w:rFonts w:ascii="Times New Roman" w:hAnsi="Times New Roman" w:eastAsia="宋体" w:cs="Times New Roman"/>
          <w:sz w:val="24"/>
        </w:rPr>
      </w:pPr>
      <w:r>
        <w:rPr>
          <w:rFonts w:hint="eastAsia" w:ascii="宋体" w:hAnsi="宋体" w:eastAsia="宋体" w:cs="Times New Roman"/>
          <w:sz w:val="24"/>
        </w:rPr>
        <w:t>③</w:t>
      </w:r>
      <w:r>
        <w:rPr>
          <w:rFonts w:hint="eastAsia" w:ascii="Times New Roman" w:hAnsi="Times New Roman" w:eastAsia="宋体" w:cs="Times New Roman"/>
          <w:sz w:val="24"/>
        </w:rPr>
        <w:t xml:space="preserve"> </w:t>
      </w:r>
      <w:r>
        <w:rPr>
          <w:rFonts w:ascii="Times New Roman" w:hAnsi="Times New Roman" w:eastAsia="宋体" w:cs="Times New Roman"/>
          <w:sz w:val="24"/>
        </w:rPr>
        <w:t>K7+290</w:t>
      </w:r>
      <w:r>
        <w:rPr>
          <w:rFonts w:ascii="Times New Roman" w:hAnsi="宋体" w:eastAsia="宋体" w:cs="Times New Roman"/>
          <w:sz w:val="24"/>
        </w:rPr>
        <w:t>～</w:t>
      </w:r>
      <w:r>
        <w:rPr>
          <w:rFonts w:ascii="Times New Roman" w:hAnsi="Times New Roman" w:eastAsia="宋体" w:cs="Times New Roman"/>
          <w:sz w:val="24"/>
        </w:rPr>
        <w:t>K9+</w:t>
      </w:r>
      <w:r>
        <w:rPr>
          <w:rFonts w:hint="eastAsia" w:ascii="Times New Roman" w:hAnsi="Times New Roman" w:eastAsia="宋体" w:cs="Times New Roman"/>
          <w:sz w:val="24"/>
        </w:rPr>
        <w:t>700</w:t>
      </w:r>
      <w:r>
        <w:rPr>
          <w:rFonts w:ascii="Times New Roman" w:hAnsi="宋体" w:eastAsia="宋体" w:cs="Times New Roman"/>
          <w:sz w:val="24"/>
        </w:rPr>
        <w:t>过境段</w:t>
      </w:r>
    </w:p>
    <w:p w14:paraId="74589E72">
      <w:pPr>
        <w:spacing w:line="300" w:lineRule="auto"/>
        <w:ind w:firstLine="480" w:firstLineChars="200"/>
        <w:rPr>
          <w:rFonts w:ascii="Times New Roman" w:hAnsi="Times New Roman" w:eastAsia="宋体" w:cs="Times New Roman"/>
        </w:rPr>
      </w:pPr>
      <w:r>
        <w:rPr>
          <w:rFonts w:ascii="Times New Roman" w:hAnsi="Times New Roman" w:eastAsia="宋体" w:cs="Times New Roman"/>
          <w:sz w:val="24"/>
        </w:rPr>
        <w:t>K7+290</w:t>
      </w:r>
      <w:r>
        <w:rPr>
          <w:rFonts w:ascii="Times New Roman" w:hAnsi="宋体" w:eastAsia="宋体" w:cs="Times New Roman"/>
          <w:sz w:val="24"/>
        </w:rPr>
        <w:t>～</w:t>
      </w:r>
      <w:r>
        <w:rPr>
          <w:rFonts w:ascii="Times New Roman" w:hAnsi="Times New Roman" w:eastAsia="宋体" w:cs="Times New Roman"/>
          <w:sz w:val="24"/>
        </w:rPr>
        <w:t>K9+</w:t>
      </w:r>
      <w:r>
        <w:rPr>
          <w:rFonts w:hint="eastAsia" w:ascii="Times New Roman" w:hAnsi="Times New Roman" w:eastAsia="宋体" w:cs="Times New Roman"/>
          <w:sz w:val="24"/>
        </w:rPr>
        <w:t>700</w:t>
      </w:r>
      <w:r>
        <w:rPr>
          <w:rFonts w:ascii="Times New Roman" w:hAnsi="宋体" w:eastAsia="宋体" w:cs="Times New Roman"/>
          <w:sz w:val="24"/>
        </w:rPr>
        <w:t>格达良乡过境段，采用整体式双向四车道路基断面，设计车速</w:t>
      </w:r>
      <w:r>
        <w:rPr>
          <w:rFonts w:ascii="Times New Roman" w:hAnsi="Times New Roman" w:eastAsia="宋体" w:cs="Times New Roman"/>
          <w:sz w:val="24"/>
        </w:rPr>
        <w:t>80km/h</w:t>
      </w:r>
      <w:r>
        <w:rPr>
          <w:rFonts w:ascii="Times New Roman" w:hAnsi="宋体" w:eastAsia="宋体" w:cs="Times New Roman"/>
          <w:sz w:val="24"/>
        </w:rPr>
        <w:t>，路基宽</w:t>
      </w:r>
      <w:r>
        <w:rPr>
          <w:rFonts w:hint="eastAsia" w:ascii="Times New Roman" w:hAnsi="Times New Roman" w:eastAsia="宋体" w:cs="Times New Roman"/>
          <w:sz w:val="24"/>
        </w:rPr>
        <w:t>28.5</w:t>
      </w:r>
      <w:r>
        <w:rPr>
          <w:rFonts w:ascii="Times New Roman" w:hAnsi="Times New Roman" w:eastAsia="宋体" w:cs="Times New Roman"/>
          <w:sz w:val="24"/>
        </w:rPr>
        <w:t>m</w:t>
      </w:r>
      <w:r>
        <w:rPr>
          <w:rFonts w:ascii="Times New Roman" w:hAnsi="宋体" w:eastAsia="宋体" w:cs="Times New Roman"/>
          <w:sz w:val="24"/>
        </w:rPr>
        <w:t>，其中行车道宽</w:t>
      </w:r>
      <w:r>
        <w:rPr>
          <w:rFonts w:ascii="Times New Roman" w:hAnsi="Times New Roman" w:eastAsia="宋体" w:cs="Times New Roman"/>
          <w:sz w:val="24"/>
        </w:rPr>
        <w:t>4×3.75m</w:t>
      </w:r>
      <w:r>
        <w:rPr>
          <w:rFonts w:ascii="Times New Roman" w:hAnsi="宋体" w:eastAsia="宋体" w:cs="Times New Roman"/>
          <w:sz w:val="24"/>
        </w:rPr>
        <w:t>，中间带宽度</w:t>
      </w:r>
      <w:r>
        <w:rPr>
          <w:rFonts w:ascii="Times New Roman" w:hAnsi="Times New Roman" w:eastAsia="宋体" w:cs="Times New Roman"/>
          <w:sz w:val="24"/>
        </w:rPr>
        <w:t>3.0m</w:t>
      </w:r>
      <w:r>
        <w:rPr>
          <w:rFonts w:ascii="Times New Roman" w:hAnsi="宋体" w:eastAsia="宋体" w:cs="Times New Roman"/>
          <w:sz w:val="24"/>
        </w:rPr>
        <w:t>（含中央分隔带宽</w:t>
      </w:r>
      <w:r>
        <w:rPr>
          <w:rFonts w:ascii="Times New Roman" w:hAnsi="Times New Roman" w:eastAsia="宋体" w:cs="Times New Roman"/>
          <w:sz w:val="24"/>
        </w:rPr>
        <w:t>2.0m</w:t>
      </w:r>
      <w:r>
        <w:rPr>
          <w:rFonts w:ascii="Times New Roman" w:hAnsi="宋体" w:eastAsia="宋体" w:cs="Times New Roman"/>
          <w:sz w:val="24"/>
        </w:rPr>
        <w:t>，路缘带宽</w:t>
      </w:r>
      <w:r>
        <w:rPr>
          <w:rFonts w:ascii="Times New Roman" w:hAnsi="Times New Roman" w:eastAsia="宋体" w:cs="Times New Roman"/>
          <w:sz w:val="24"/>
        </w:rPr>
        <w:t>2×0.5m</w:t>
      </w:r>
      <w:r>
        <w:rPr>
          <w:rFonts w:ascii="Times New Roman" w:hAnsi="宋体" w:eastAsia="宋体" w:cs="Times New Roman"/>
          <w:sz w:val="24"/>
        </w:rPr>
        <w:t>），路缘带宽</w:t>
      </w:r>
      <w:r>
        <w:rPr>
          <w:rFonts w:ascii="Times New Roman" w:hAnsi="Times New Roman" w:eastAsia="宋体" w:cs="Times New Roman"/>
          <w:sz w:val="24"/>
        </w:rPr>
        <w:t>2×0.75m</w:t>
      </w:r>
      <w:r>
        <w:rPr>
          <w:rFonts w:ascii="Times New Roman" w:hAnsi="宋体" w:eastAsia="宋体" w:cs="Times New Roman"/>
          <w:sz w:val="24"/>
        </w:rPr>
        <w:t>，分带宽</w:t>
      </w:r>
      <w:r>
        <w:rPr>
          <w:rFonts w:ascii="Times New Roman" w:hAnsi="Times New Roman" w:eastAsia="宋体" w:cs="Times New Roman"/>
          <w:sz w:val="24"/>
        </w:rPr>
        <w:t>2×0.5m</w:t>
      </w:r>
      <w:r>
        <w:rPr>
          <w:rFonts w:ascii="Times New Roman" w:hAnsi="宋体" w:eastAsia="宋体" w:cs="Times New Roman"/>
          <w:sz w:val="24"/>
        </w:rPr>
        <w:t>，人非混行路缘带宽</w:t>
      </w:r>
      <w:r>
        <w:rPr>
          <w:rFonts w:ascii="Times New Roman" w:hAnsi="Times New Roman" w:eastAsia="宋体" w:cs="Times New Roman"/>
          <w:sz w:val="24"/>
        </w:rPr>
        <w:t>2×0.25m</w:t>
      </w:r>
      <w:r>
        <w:rPr>
          <w:rFonts w:ascii="Times New Roman" w:hAnsi="宋体" w:eastAsia="宋体" w:cs="Times New Roman"/>
          <w:sz w:val="24"/>
        </w:rPr>
        <w:t>，人非混行车道宽</w:t>
      </w:r>
      <w:r>
        <w:rPr>
          <w:rFonts w:ascii="Times New Roman" w:hAnsi="Times New Roman" w:eastAsia="宋体" w:cs="Times New Roman"/>
          <w:sz w:val="24"/>
        </w:rPr>
        <w:t>2×4.0m</w:t>
      </w:r>
      <w:r>
        <w:rPr>
          <w:rFonts w:ascii="Times New Roman" w:hAnsi="宋体" w:eastAsia="宋体" w:cs="Times New Roman"/>
          <w:sz w:val="24"/>
        </w:rPr>
        <w:t>。路基横断面见图</w:t>
      </w:r>
      <w:r>
        <w:rPr>
          <w:rFonts w:hint="eastAsia" w:ascii="Times New Roman" w:hAnsi="Times New Roman" w:eastAsia="宋体" w:cs="Times New Roman"/>
          <w:sz w:val="24"/>
        </w:rPr>
        <w:t>2.2-4</w:t>
      </w:r>
      <w:r>
        <w:rPr>
          <w:rFonts w:ascii="Times New Roman" w:hAnsi="宋体" w:eastAsia="宋体" w:cs="Times New Roman"/>
          <w:sz w:val="24"/>
        </w:rPr>
        <w:t>。</w:t>
      </w:r>
    </w:p>
    <w:p w14:paraId="2CC71BCE">
      <w:pPr>
        <w:rPr>
          <w:rFonts w:ascii="Times New Roman" w:hAnsi="Times New Roman" w:eastAsia="宋体" w:cs="Times New Roman"/>
        </w:rPr>
      </w:pPr>
      <w:r>
        <w:rPr>
          <w:rFonts w:ascii="Times New Roman" w:hAnsi="Times New Roman" w:eastAsia="宋体" w:cs="Times New Roman"/>
        </w:rPr>
        <w:drawing>
          <wp:inline distT="0" distB="0" distL="114300" distR="114300">
            <wp:extent cx="5219700" cy="1693545"/>
            <wp:effectExtent l="0" t="0" r="0" b="1905"/>
            <wp:docPr id="98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 name="图片 4"/>
                    <pic:cNvPicPr>
                      <a:picLocks noChangeAspect="1"/>
                    </pic:cNvPicPr>
                  </pic:nvPicPr>
                  <pic:blipFill>
                    <a:blip r:embed="rId147" cstate="print"/>
                    <a:stretch>
                      <a:fillRect/>
                    </a:stretch>
                  </pic:blipFill>
                  <pic:spPr>
                    <a:xfrm>
                      <a:off x="0" y="0"/>
                      <a:ext cx="5220000" cy="1693968"/>
                    </a:xfrm>
                    <a:prstGeom prst="rect">
                      <a:avLst/>
                    </a:prstGeom>
                    <a:noFill/>
                    <a:ln>
                      <a:noFill/>
                    </a:ln>
                  </pic:spPr>
                </pic:pic>
              </a:graphicData>
            </a:graphic>
          </wp:inline>
        </w:drawing>
      </w:r>
    </w:p>
    <w:p w14:paraId="03184419">
      <w:pPr>
        <w:autoSpaceDE w:val="0"/>
        <w:autoSpaceDN w:val="0"/>
        <w:adjustRightInd w:val="0"/>
        <w:spacing w:beforeLines="50" w:afterLines="50"/>
        <w:jc w:val="center"/>
        <w:rPr>
          <w:rFonts w:ascii="Times New Roman" w:hAnsi="Times New Roman" w:eastAsia="宋体" w:cs="Times New Roman"/>
          <w:b/>
          <w:kern w:val="0"/>
          <w:sz w:val="22"/>
          <w:szCs w:val="22"/>
        </w:rPr>
      </w:pPr>
      <w:r>
        <w:rPr>
          <w:rFonts w:ascii="Times New Roman" w:hAnsi="宋体" w:eastAsia="宋体" w:cs="Times New Roman"/>
          <w:b/>
          <w:kern w:val="0"/>
          <w:sz w:val="22"/>
          <w:szCs w:val="22"/>
        </w:rPr>
        <w:t>图</w:t>
      </w:r>
      <w:r>
        <w:rPr>
          <w:rFonts w:hint="eastAsia" w:ascii="Times New Roman" w:hAnsi="Times New Roman" w:eastAsia="宋体" w:cs="Times New Roman"/>
          <w:b/>
          <w:kern w:val="0"/>
          <w:sz w:val="22"/>
          <w:szCs w:val="22"/>
        </w:rPr>
        <w:t>2.2-4</w:t>
      </w:r>
      <w:r>
        <w:rPr>
          <w:rFonts w:ascii="Times New Roman" w:hAnsi="Times New Roman" w:eastAsia="宋体" w:cs="Times New Roman"/>
          <w:b/>
          <w:kern w:val="0"/>
          <w:sz w:val="22"/>
          <w:szCs w:val="22"/>
        </w:rPr>
        <w:t xml:space="preserve">  </w:t>
      </w:r>
      <w:r>
        <w:rPr>
          <w:rFonts w:ascii="Times New Roman" w:hAnsi="宋体" w:eastAsia="宋体" w:cs="Times New Roman"/>
          <w:b/>
          <w:kern w:val="0"/>
          <w:sz w:val="22"/>
          <w:szCs w:val="22"/>
        </w:rPr>
        <w:t>路基横断面图</w:t>
      </w:r>
    </w:p>
    <w:p w14:paraId="5F198072">
      <w:pPr>
        <w:keepNext/>
        <w:keepLines/>
        <w:widowControl w:val="0"/>
        <w:adjustRightInd w:val="0"/>
        <w:spacing w:before="240" w:after="240" w:line="240" w:lineRule="auto"/>
        <w:jc w:val="both"/>
        <w:textAlignment w:val="baseline"/>
        <w:outlineLvl w:val="1"/>
        <w:rPr>
          <w:rFonts w:ascii="Times New Roman" w:hAnsi="Times New Roman" w:eastAsia="宋体" w:cs="Times New Roman"/>
          <w:b/>
          <w:bCs/>
          <w:kern w:val="0"/>
          <w:sz w:val="28"/>
          <w:szCs w:val="32"/>
          <w:lang w:val="en-US" w:eastAsia="zh-CN" w:bidi="ar-SA"/>
        </w:rPr>
      </w:pPr>
      <w:r>
        <w:rPr>
          <w:rFonts w:ascii="Times New Roman" w:hAnsi="Times New Roman" w:eastAsia="宋体" w:cs="Times New Roman"/>
          <w:b/>
          <w:bCs/>
          <w:kern w:val="0"/>
          <w:sz w:val="28"/>
          <w:szCs w:val="32"/>
          <w:lang w:val="en-US" w:eastAsia="zh-CN" w:bidi="ar-SA"/>
        </w:rPr>
        <w:t>2.3 路面工程</w:t>
      </w:r>
    </w:p>
    <w:p w14:paraId="778EF79A">
      <w:pPr>
        <w:autoSpaceDE w:val="0"/>
        <w:autoSpaceDN w:val="0"/>
        <w:adjustRightInd w:val="0"/>
        <w:spacing w:line="300" w:lineRule="auto"/>
        <w:ind w:firstLine="480" w:firstLineChars="200"/>
        <w:rPr>
          <w:rFonts w:ascii="Times New Roman" w:hAnsi="Times New Roman" w:cs="Times New Roman" w:eastAsiaTheme="minorEastAsia"/>
          <w:kern w:val="0"/>
          <w:sz w:val="24"/>
        </w:rPr>
      </w:pPr>
      <w:r>
        <w:rPr>
          <w:rFonts w:hint="eastAsia" w:ascii="Times New Roman" w:cs="Times New Roman" w:hAnsiTheme="minorEastAsia" w:eastAsiaTheme="minorEastAsia"/>
          <w:kern w:val="0"/>
          <w:sz w:val="24"/>
        </w:rPr>
        <w:t>拟建</w:t>
      </w:r>
      <w:r>
        <w:rPr>
          <w:rFonts w:ascii="Times New Roman" w:cs="Times New Roman" w:hAnsiTheme="minorEastAsia" w:eastAsiaTheme="minorEastAsia"/>
          <w:kern w:val="0"/>
          <w:sz w:val="24"/>
        </w:rPr>
        <w:t>公路路面结构为：</w:t>
      </w:r>
    </w:p>
    <w:p w14:paraId="4776E79E">
      <w:pPr>
        <w:autoSpaceDE w:val="0"/>
        <w:autoSpaceDN w:val="0"/>
        <w:adjustRightInd w:val="0"/>
        <w:spacing w:line="300" w:lineRule="auto"/>
        <w:ind w:firstLine="480" w:firstLineChars="200"/>
        <w:rPr>
          <w:rFonts w:ascii="Times New Roman" w:hAnsi="Times New Roman" w:cs="Times New Roman" w:eastAsiaTheme="minorEastAsia"/>
          <w:kern w:val="0"/>
          <w:sz w:val="24"/>
        </w:rPr>
      </w:pPr>
      <w:r>
        <w:rPr>
          <w:rFonts w:hint="eastAsia" w:ascii="宋体" w:hAnsi="宋体" w:eastAsia="宋体" w:cs="Times New Roman"/>
          <w:kern w:val="0"/>
          <w:sz w:val="24"/>
        </w:rPr>
        <w:t>①</w:t>
      </w:r>
      <w:r>
        <w:rPr>
          <w:rFonts w:hint="eastAsia" w:ascii="Times New Roman" w:hAnsi="Times New Roman" w:cs="Times New Roman" w:eastAsiaTheme="minorEastAsia"/>
          <w:kern w:val="0"/>
          <w:sz w:val="24"/>
        </w:rPr>
        <w:t xml:space="preserve"> </w:t>
      </w:r>
      <w:r>
        <w:rPr>
          <w:rFonts w:ascii="Times New Roman" w:cs="Times New Roman" w:hAnsiTheme="minorEastAsia" w:eastAsiaTheme="minorEastAsia"/>
          <w:kern w:val="0"/>
          <w:sz w:val="24"/>
        </w:rPr>
        <w:t>主线路面结构组合</w:t>
      </w:r>
    </w:p>
    <w:p w14:paraId="5FCFB0F2">
      <w:pPr>
        <w:autoSpaceDE w:val="0"/>
        <w:autoSpaceDN w:val="0"/>
        <w:adjustRightInd w:val="0"/>
        <w:spacing w:line="300" w:lineRule="auto"/>
        <w:ind w:firstLine="480" w:firstLineChars="200"/>
        <w:rPr>
          <w:rFonts w:ascii="Times New Roman" w:hAnsi="Times New Roman" w:cs="Times New Roman" w:eastAsiaTheme="minorEastAsia"/>
          <w:kern w:val="0"/>
          <w:sz w:val="24"/>
        </w:rPr>
      </w:pPr>
      <w:r>
        <w:rPr>
          <w:rFonts w:ascii="Times New Roman" w:cs="Times New Roman" w:hAnsiTheme="minorEastAsia" w:eastAsiaTheme="minorEastAsia"/>
          <w:kern w:val="0"/>
          <w:sz w:val="24"/>
        </w:rPr>
        <w:t>上面层：</w:t>
      </w:r>
      <w:r>
        <w:rPr>
          <w:rFonts w:ascii="Times New Roman" w:hAnsi="Times New Roman" w:cs="Times New Roman" w:eastAsiaTheme="minorEastAsia"/>
          <w:kern w:val="0"/>
          <w:sz w:val="24"/>
        </w:rPr>
        <w:t>4cm</w:t>
      </w:r>
      <w:r>
        <w:rPr>
          <w:rFonts w:hint="eastAsia" w:ascii="Times New Roman" w:hAnsi="Times New Roman" w:cs="Times New Roman" w:eastAsiaTheme="minorEastAsia"/>
          <w:kern w:val="0"/>
          <w:sz w:val="24"/>
        </w:rPr>
        <w:t xml:space="preserve"> </w:t>
      </w:r>
      <w:r>
        <w:rPr>
          <w:rFonts w:ascii="Times New Roman" w:cs="Times New Roman" w:hAnsiTheme="minorEastAsia" w:eastAsiaTheme="minorEastAsia"/>
          <w:kern w:val="0"/>
          <w:sz w:val="24"/>
        </w:rPr>
        <w:t>改性沥青混凝土</w:t>
      </w:r>
      <w:r>
        <w:rPr>
          <w:rFonts w:ascii="Times New Roman" w:hAnsi="Times New Roman" w:cs="Times New Roman" w:eastAsiaTheme="minorEastAsia"/>
          <w:kern w:val="0"/>
          <w:sz w:val="24"/>
        </w:rPr>
        <w:t>AC-13C</w:t>
      </w:r>
    </w:p>
    <w:p w14:paraId="3E8CEDCB">
      <w:pPr>
        <w:autoSpaceDE w:val="0"/>
        <w:autoSpaceDN w:val="0"/>
        <w:adjustRightInd w:val="0"/>
        <w:spacing w:line="300" w:lineRule="auto"/>
        <w:ind w:firstLine="480" w:firstLineChars="200"/>
        <w:rPr>
          <w:rFonts w:ascii="Times New Roman" w:hAnsi="Times New Roman" w:cs="Times New Roman" w:eastAsiaTheme="minorEastAsia"/>
          <w:kern w:val="0"/>
          <w:sz w:val="24"/>
        </w:rPr>
      </w:pPr>
      <w:r>
        <w:rPr>
          <w:rFonts w:ascii="Times New Roman" w:cs="Times New Roman" w:hAnsiTheme="minorEastAsia" w:eastAsiaTheme="minorEastAsia"/>
          <w:kern w:val="0"/>
          <w:sz w:val="24"/>
        </w:rPr>
        <w:t>下面层：</w:t>
      </w:r>
      <w:r>
        <w:rPr>
          <w:rFonts w:ascii="Times New Roman" w:hAnsi="Times New Roman" w:cs="Times New Roman" w:eastAsiaTheme="minorEastAsia"/>
          <w:kern w:val="0"/>
          <w:sz w:val="24"/>
        </w:rPr>
        <w:t>6cm</w:t>
      </w:r>
      <w:r>
        <w:rPr>
          <w:rFonts w:hint="eastAsia" w:ascii="Times New Roman" w:hAnsi="Times New Roman" w:cs="Times New Roman" w:eastAsiaTheme="minorEastAsia"/>
          <w:kern w:val="0"/>
          <w:sz w:val="24"/>
        </w:rPr>
        <w:t xml:space="preserve"> </w:t>
      </w:r>
      <w:r>
        <w:rPr>
          <w:rFonts w:ascii="Times New Roman" w:cs="Times New Roman" w:hAnsiTheme="minorEastAsia" w:eastAsiaTheme="minorEastAsia"/>
          <w:kern w:val="0"/>
          <w:sz w:val="24"/>
        </w:rPr>
        <w:t>改性沥青混凝土</w:t>
      </w:r>
      <w:r>
        <w:rPr>
          <w:rFonts w:ascii="Times New Roman" w:hAnsi="Times New Roman" w:cs="Times New Roman" w:eastAsiaTheme="minorEastAsia"/>
          <w:kern w:val="0"/>
          <w:sz w:val="24"/>
        </w:rPr>
        <w:t>AC-20C</w:t>
      </w:r>
    </w:p>
    <w:p w14:paraId="284616AF">
      <w:pPr>
        <w:autoSpaceDE w:val="0"/>
        <w:autoSpaceDN w:val="0"/>
        <w:adjustRightInd w:val="0"/>
        <w:spacing w:line="300" w:lineRule="auto"/>
        <w:ind w:firstLine="480" w:firstLineChars="200"/>
        <w:rPr>
          <w:rFonts w:ascii="Times New Roman" w:hAnsi="Times New Roman" w:cs="Times New Roman" w:eastAsiaTheme="minorEastAsia"/>
          <w:kern w:val="0"/>
          <w:sz w:val="24"/>
        </w:rPr>
      </w:pPr>
      <w:r>
        <w:rPr>
          <w:rFonts w:ascii="Times New Roman" w:cs="Times New Roman" w:hAnsiTheme="minorEastAsia" w:eastAsiaTheme="minorEastAsia"/>
          <w:kern w:val="0"/>
          <w:sz w:val="24"/>
        </w:rPr>
        <w:t>封层：</w:t>
      </w:r>
      <w:r>
        <w:rPr>
          <w:rFonts w:hint="eastAsia" w:ascii="Times New Roman" w:hAnsi="Times New Roman" w:cs="Times New Roman" w:eastAsiaTheme="minorEastAsia"/>
          <w:kern w:val="0"/>
          <w:sz w:val="24"/>
        </w:rPr>
        <w:t>乳化沥青（PCR）</w:t>
      </w:r>
    </w:p>
    <w:p w14:paraId="52DBC0D4">
      <w:pPr>
        <w:autoSpaceDE w:val="0"/>
        <w:autoSpaceDN w:val="0"/>
        <w:adjustRightInd w:val="0"/>
        <w:spacing w:line="300" w:lineRule="auto"/>
        <w:ind w:firstLine="480" w:firstLineChars="200"/>
        <w:rPr>
          <w:rFonts w:ascii="Times New Roman" w:cs="Times New Roman" w:hAnsiTheme="minorEastAsia" w:eastAsiaTheme="minorEastAsia"/>
          <w:kern w:val="0"/>
          <w:sz w:val="24"/>
        </w:rPr>
      </w:pPr>
      <w:r>
        <w:rPr>
          <w:rFonts w:ascii="Times New Roman" w:cs="Times New Roman" w:hAnsiTheme="minorEastAsia" w:eastAsiaTheme="minorEastAsia"/>
          <w:kern w:val="0"/>
          <w:sz w:val="24"/>
        </w:rPr>
        <w:t>基层：</w:t>
      </w:r>
      <w:r>
        <w:rPr>
          <w:rFonts w:ascii="Times New Roman" w:hAnsi="Times New Roman" w:cs="Times New Roman" w:eastAsiaTheme="minorEastAsia"/>
          <w:kern w:val="0"/>
          <w:sz w:val="24"/>
        </w:rPr>
        <w:t xml:space="preserve">36cm </w:t>
      </w:r>
      <w:r>
        <w:rPr>
          <w:rFonts w:ascii="Times New Roman" w:cs="Times New Roman" w:hAnsiTheme="minorEastAsia" w:eastAsiaTheme="minorEastAsia"/>
          <w:kern w:val="0"/>
          <w:sz w:val="24"/>
        </w:rPr>
        <w:t>水泥稳定</w:t>
      </w:r>
      <w:r>
        <w:rPr>
          <w:rFonts w:hint="eastAsia" w:ascii="Times New Roman" w:cs="Times New Roman" w:hAnsiTheme="minorEastAsia" w:eastAsiaTheme="minorEastAsia"/>
          <w:kern w:val="0"/>
          <w:sz w:val="24"/>
        </w:rPr>
        <w:t>级配砂砾</w:t>
      </w:r>
    </w:p>
    <w:p w14:paraId="5752854D">
      <w:pPr>
        <w:autoSpaceDE w:val="0"/>
        <w:autoSpaceDN w:val="0"/>
        <w:adjustRightInd w:val="0"/>
        <w:spacing w:line="300" w:lineRule="auto"/>
        <w:ind w:firstLine="480" w:firstLineChars="200"/>
        <w:rPr>
          <w:rFonts w:ascii="Times New Roman" w:hAnsi="Times New Roman" w:cs="Times New Roman" w:eastAsiaTheme="minorEastAsia"/>
          <w:kern w:val="0"/>
          <w:sz w:val="24"/>
        </w:rPr>
      </w:pPr>
      <w:r>
        <w:rPr>
          <w:rFonts w:ascii="Times New Roman" w:cs="Times New Roman" w:hAnsiTheme="minorEastAsia" w:eastAsiaTheme="minorEastAsia"/>
          <w:kern w:val="0"/>
          <w:sz w:val="24"/>
        </w:rPr>
        <w:t>底基层：</w:t>
      </w:r>
      <w:r>
        <w:rPr>
          <w:rFonts w:ascii="Times New Roman" w:hAnsi="Times New Roman" w:cs="Times New Roman" w:eastAsiaTheme="minorEastAsia"/>
          <w:kern w:val="0"/>
          <w:sz w:val="24"/>
        </w:rPr>
        <w:t xml:space="preserve">20cm </w:t>
      </w:r>
      <w:r>
        <w:rPr>
          <w:rFonts w:ascii="Times New Roman" w:cs="Times New Roman" w:hAnsiTheme="minorEastAsia" w:eastAsiaTheme="minorEastAsia"/>
          <w:kern w:val="0"/>
          <w:sz w:val="24"/>
        </w:rPr>
        <w:t>级配砂砾</w:t>
      </w:r>
    </w:p>
    <w:p w14:paraId="1B8ED27D">
      <w:pPr>
        <w:autoSpaceDE w:val="0"/>
        <w:autoSpaceDN w:val="0"/>
        <w:adjustRightInd w:val="0"/>
        <w:spacing w:line="300" w:lineRule="auto"/>
        <w:ind w:firstLine="480" w:firstLineChars="200"/>
        <w:rPr>
          <w:rFonts w:ascii="Times New Roman" w:hAnsi="Times New Roman" w:cs="Times New Roman" w:eastAsiaTheme="minorEastAsia"/>
          <w:kern w:val="0"/>
          <w:sz w:val="24"/>
        </w:rPr>
      </w:pPr>
      <w:r>
        <w:rPr>
          <w:rFonts w:ascii="Times New Roman" w:cs="Times New Roman" w:hAnsiTheme="minorEastAsia" w:eastAsiaTheme="minorEastAsia"/>
          <w:kern w:val="0"/>
          <w:sz w:val="24"/>
        </w:rPr>
        <w:t>总厚：</w:t>
      </w:r>
      <w:r>
        <w:rPr>
          <w:rFonts w:ascii="Times New Roman" w:hAnsi="Times New Roman" w:cs="Times New Roman" w:eastAsiaTheme="minorEastAsia"/>
          <w:kern w:val="0"/>
          <w:sz w:val="24"/>
        </w:rPr>
        <w:t>66cm</w:t>
      </w:r>
    </w:p>
    <w:p w14:paraId="0647A497">
      <w:pPr>
        <w:autoSpaceDE w:val="0"/>
        <w:autoSpaceDN w:val="0"/>
        <w:adjustRightInd w:val="0"/>
        <w:spacing w:line="300" w:lineRule="auto"/>
        <w:ind w:firstLine="480" w:firstLineChars="200"/>
        <w:rPr>
          <w:rFonts w:ascii="Times New Roman" w:hAnsi="Times New Roman" w:cs="Times New Roman" w:eastAsiaTheme="minorEastAsia"/>
          <w:kern w:val="0"/>
          <w:sz w:val="24"/>
        </w:rPr>
      </w:pPr>
      <w:r>
        <w:rPr>
          <w:rFonts w:hint="eastAsia" w:ascii="宋体" w:hAnsi="宋体" w:eastAsia="宋体" w:cs="Times New Roman"/>
          <w:kern w:val="0"/>
          <w:sz w:val="24"/>
        </w:rPr>
        <w:t>②</w:t>
      </w:r>
      <w:r>
        <w:rPr>
          <w:rFonts w:hint="eastAsia" w:ascii="Times New Roman" w:hAnsi="Times New Roman" w:cs="Times New Roman" w:eastAsiaTheme="minorEastAsia"/>
          <w:kern w:val="0"/>
          <w:sz w:val="24"/>
        </w:rPr>
        <w:t xml:space="preserve"> </w:t>
      </w:r>
      <w:r>
        <w:rPr>
          <w:rFonts w:ascii="Times New Roman" w:cs="Times New Roman" w:hAnsiTheme="minorEastAsia" w:eastAsiaTheme="minorEastAsia"/>
          <w:kern w:val="0"/>
          <w:sz w:val="24"/>
        </w:rPr>
        <w:t>桥面铺装路面结构</w:t>
      </w:r>
    </w:p>
    <w:p w14:paraId="5F0B5AB3">
      <w:pPr>
        <w:autoSpaceDE w:val="0"/>
        <w:autoSpaceDN w:val="0"/>
        <w:adjustRightInd w:val="0"/>
        <w:spacing w:line="300" w:lineRule="auto"/>
        <w:ind w:firstLine="480" w:firstLineChars="200"/>
        <w:rPr>
          <w:rFonts w:ascii="Times New Roman" w:hAnsi="Times New Roman" w:cs="Times New Roman" w:eastAsiaTheme="minorEastAsia"/>
          <w:kern w:val="0"/>
          <w:sz w:val="24"/>
        </w:rPr>
      </w:pPr>
      <w:bookmarkStart w:id="169" w:name="_Toc187528249"/>
      <w:r>
        <w:rPr>
          <w:rFonts w:ascii="Times New Roman" w:cs="Times New Roman" w:hAnsiTheme="minorEastAsia" w:eastAsiaTheme="minorEastAsia"/>
          <w:kern w:val="0"/>
          <w:sz w:val="24"/>
        </w:rPr>
        <w:t>上面层：</w:t>
      </w:r>
      <w:r>
        <w:rPr>
          <w:rFonts w:ascii="Times New Roman" w:hAnsi="Times New Roman" w:cs="Times New Roman" w:eastAsiaTheme="minorEastAsia"/>
          <w:kern w:val="0"/>
          <w:sz w:val="24"/>
        </w:rPr>
        <w:t xml:space="preserve">4cmSBS </w:t>
      </w:r>
      <w:r>
        <w:rPr>
          <w:rFonts w:ascii="Times New Roman" w:cs="Times New Roman" w:hAnsiTheme="minorEastAsia" w:eastAsiaTheme="minorEastAsia"/>
          <w:kern w:val="0"/>
          <w:sz w:val="24"/>
        </w:rPr>
        <w:t>改性沥青混凝土</w:t>
      </w:r>
      <w:r>
        <w:rPr>
          <w:rFonts w:ascii="Times New Roman" w:hAnsi="Times New Roman" w:cs="Times New Roman" w:eastAsiaTheme="minorEastAsia"/>
          <w:kern w:val="0"/>
          <w:sz w:val="24"/>
        </w:rPr>
        <w:t>AC-13C</w:t>
      </w:r>
    </w:p>
    <w:p w14:paraId="70CDA880">
      <w:pPr>
        <w:autoSpaceDE w:val="0"/>
        <w:autoSpaceDN w:val="0"/>
        <w:adjustRightInd w:val="0"/>
        <w:spacing w:line="300" w:lineRule="auto"/>
        <w:ind w:firstLine="480" w:firstLineChars="200"/>
        <w:rPr>
          <w:rFonts w:ascii="Times New Roman" w:hAnsi="Times New Roman" w:cs="Times New Roman" w:eastAsiaTheme="minorEastAsia"/>
          <w:kern w:val="0"/>
          <w:sz w:val="24"/>
        </w:rPr>
      </w:pPr>
      <w:r>
        <w:rPr>
          <w:rFonts w:ascii="Times New Roman" w:cs="Times New Roman" w:hAnsiTheme="minorEastAsia" w:eastAsiaTheme="minorEastAsia"/>
          <w:kern w:val="0"/>
          <w:sz w:val="24"/>
        </w:rPr>
        <w:t>下面层：</w:t>
      </w:r>
      <w:r>
        <w:rPr>
          <w:rFonts w:ascii="Times New Roman" w:hAnsi="Times New Roman" w:cs="Times New Roman" w:eastAsiaTheme="minorEastAsia"/>
          <w:kern w:val="0"/>
          <w:sz w:val="24"/>
        </w:rPr>
        <w:t xml:space="preserve">6cmSBS </w:t>
      </w:r>
      <w:r>
        <w:rPr>
          <w:rFonts w:ascii="Times New Roman" w:cs="Times New Roman" w:hAnsiTheme="minorEastAsia" w:eastAsiaTheme="minorEastAsia"/>
          <w:kern w:val="0"/>
          <w:sz w:val="24"/>
        </w:rPr>
        <w:t>改性沥青混凝土</w:t>
      </w:r>
      <w:r>
        <w:rPr>
          <w:rFonts w:ascii="Times New Roman" w:hAnsi="Times New Roman" w:cs="Times New Roman" w:eastAsiaTheme="minorEastAsia"/>
          <w:kern w:val="0"/>
          <w:sz w:val="24"/>
        </w:rPr>
        <w:t>AC-20C</w:t>
      </w:r>
    </w:p>
    <w:p w14:paraId="39B684C2">
      <w:pPr>
        <w:autoSpaceDE w:val="0"/>
        <w:autoSpaceDN w:val="0"/>
        <w:adjustRightInd w:val="0"/>
        <w:spacing w:line="300" w:lineRule="auto"/>
        <w:ind w:firstLine="480" w:firstLineChars="200"/>
        <w:rPr>
          <w:rFonts w:ascii="Times New Roman" w:hAnsi="Times New Roman" w:cs="Times New Roman" w:eastAsiaTheme="minorEastAsia"/>
          <w:kern w:val="0"/>
          <w:sz w:val="24"/>
        </w:rPr>
      </w:pPr>
      <w:r>
        <w:rPr>
          <w:rFonts w:ascii="Times New Roman" w:cs="Times New Roman" w:hAnsiTheme="minorEastAsia" w:eastAsiaTheme="minorEastAsia"/>
          <w:kern w:val="0"/>
          <w:sz w:val="24"/>
        </w:rPr>
        <w:t>防水粘结层总厚：</w:t>
      </w:r>
      <w:r>
        <w:rPr>
          <w:rFonts w:ascii="Times New Roman" w:hAnsi="Times New Roman" w:cs="Times New Roman" w:eastAsiaTheme="minorEastAsia"/>
          <w:kern w:val="0"/>
          <w:sz w:val="24"/>
        </w:rPr>
        <w:t>10cm</w:t>
      </w:r>
    </w:p>
    <w:p w14:paraId="102B842F">
      <w:pPr>
        <w:keepNext/>
        <w:keepLines/>
        <w:widowControl w:val="0"/>
        <w:adjustRightInd w:val="0"/>
        <w:spacing w:before="240" w:after="240" w:line="240" w:lineRule="auto"/>
        <w:jc w:val="both"/>
        <w:textAlignment w:val="baseline"/>
        <w:outlineLvl w:val="1"/>
        <w:rPr>
          <w:rFonts w:ascii="Arial" w:hAnsi="Arial" w:eastAsia="黑体" w:cs="Times New Roman"/>
          <w:b/>
          <w:bCs/>
          <w:kern w:val="0"/>
          <w:sz w:val="28"/>
          <w:szCs w:val="32"/>
          <w:lang w:val="en-US" w:eastAsia="zh-CN" w:bidi="ar-SA"/>
        </w:rPr>
      </w:pPr>
      <w:r>
        <w:rPr>
          <w:rFonts w:ascii="Times New Roman" w:hAnsi="Times New Roman" w:eastAsia="宋体" w:cs="Times New Roman"/>
          <w:b/>
          <w:bCs/>
          <w:kern w:val="0"/>
          <w:sz w:val="28"/>
          <w:szCs w:val="32"/>
          <w:lang w:val="en-US" w:eastAsia="zh-CN" w:bidi="ar-SA"/>
        </w:rPr>
        <w:t>2.</w:t>
      </w:r>
      <w:r>
        <w:rPr>
          <w:rFonts w:hint="eastAsia" w:ascii="Times New Roman" w:hAnsi="Times New Roman" w:eastAsia="宋体" w:cs="Times New Roman"/>
          <w:b/>
          <w:bCs/>
          <w:kern w:val="0"/>
          <w:sz w:val="28"/>
          <w:szCs w:val="32"/>
          <w:lang w:val="en-US" w:eastAsia="zh-CN" w:bidi="ar-SA"/>
        </w:rPr>
        <w:t>4</w:t>
      </w:r>
      <w:r>
        <w:rPr>
          <w:rFonts w:ascii="Times New Roman" w:hAnsi="Times New Roman" w:eastAsia="宋体" w:cs="Times New Roman"/>
          <w:b/>
          <w:bCs/>
          <w:kern w:val="0"/>
          <w:sz w:val="28"/>
          <w:szCs w:val="32"/>
          <w:lang w:val="en-US" w:eastAsia="zh-CN" w:bidi="ar-SA"/>
        </w:rPr>
        <w:t xml:space="preserve"> </w:t>
      </w:r>
      <w:r>
        <w:rPr>
          <w:rFonts w:hint="eastAsia" w:ascii="Times New Roman" w:hAnsi="Times New Roman" w:eastAsia="宋体" w:cs="Times New Roman"/>
          <w:b/>
          <w:bCs/>
          <w:kern w:val="0"/>
          <w:sz w:val="28"/>
          <w:szCs w:val="32"/>
          <w:lang w:val="en-US" w:eastAsia="zh-CN" w:bidi="ar-SA"/>
        </w:rPr>
        <w:t>交通量预测</w:t>
      </w:r>
      <w:bookmarkEnd w:id="169"/>
    </w:p>
    <w:p w14:paraId="0618B917">
      <w:pPr>
        <w:keepNext/>
        <w:keepLines/>
        <w:widowControl w:val="0"/>
        <w:adjustRightInd w:val="0"/>
        <w:spacing w:before="120" w:after="120" w:line="300" w:lineRule="auto"/>
        <w:jc w:val="both"/>
        <w:textAlignment w:val="baseline"/>
        <w:outlineLvl w:val="2"/>
        <w:rPr>
          <w:rFonts w:ascii="Times New Roman" w:hAnsi="Times New Roman" w:eastAsia="宋体" w:cs="Times New Roman"/>
          <w:b/>
          <w:bCs/>
          <w:color w:val="auto"/>
          <w:kern w:val="0"/>
          <w:sz w:val="32"/>
          <w:szCs w:val="32"/>
          <w:lang w:val="en-US" w:eastAsia="zh-CN" w:bidi="ar-SA"/>
        </w:rPr>
      </w:pPr>
      <w:bookmarkStart w:id="170" w:name="_Toc175213203"/>
      <w:bookmarkStart w:id="171" w:name="_Toc187528250"/>
      <w:r>
        <w:rPr>
          <w:rFonts w:ascii="Times New Roman" w:hAnsi="Times New Roman" w:eastAsia="宋体" w:cs="Times New Roman"/>
          <w:b/>
          <w:bCs w:val="0"/>
          <w:color w:val="auto"/>
          <w:kern w:val="0"/>
          <w:sz w:val="24"/>
          <w:szCs w:val="32"/>
          <w:lang w:val="en-US" w:eastAsia="zh-CN" w:bidi="ar-SA"/>
        </w:rPr>
        <w:t>2.</w:t>
      </w:r>
      <w:r>
        <w:rPr>
          <w:rFonts w:hint="eastAsia" w:ascii="Times New Roman" w:hAnsi="Times New Roman" w:eastAsia="宋体" w:cs="Times New Roman"/>
          <w:b/>
          <w:bCs w:val="0"/>
          <w:color w:val="auto"/>
          <w:kern w:val="0"/>
          <w:sz w:val="24"/>
          <w:szCs w:val="32"/>
          <w:lang w:val="en-US" w:eastAsia="zh-CN" w:bidi="ar-SA"/>
        </w:rPr>
        <w:t>4</w:t>
      </w:r>
      <w:r>
        <w:rPr>
          <w:rFonts w:ascii="Times New Roman" w:hAnsi="Times New Roman" w:eastAsia="宋体" w:cs="Times New Roman"/>
          <w:b/>
          <w:bCs w:val="0"/>
          <w:color w:val="auto"/>
          <w:kern w:val="0"/>
          <w:sz w:val="24"/>
          <w:szCs w:val="32"/>
          <w:lang w:val="en-US" w:eastAsia="zh-CN" w:bidi="ar-SA"/>
        </w:rPr>
        <w:t xml:space="preserve">.1 </w:t>
      </w:r>
      <w:r>
        <w:rPr>
          <w:rFonts w:hint="eastAsia" w:ascii="Times New Roman" w:hAnsi="Times New Roman" w:eastAsia="宋体" w:cs="Times New Roman"/>
          <w:b/>
          <w:bCs w:val="0"/>
          <w:color w:val="auto"/>
          <w:kern w:val="0"/>
          <w:sz w:val="24"/>
          <w:szCs w:val="32"/>
          <w:lang w:val="en-US" w:eastAsia="zh-CN" w:bidi="ar-SA"/>
        </w:rPr>
        <w:t>交通量预测成果</w:t>
      </w:r>
      <w:bookmarkEnd w:id="170"/>
      <w:bookmarkEnd w:id="171"/>
    </w:p>
    <w:p w14:paraId="6B8C4805">
      <w:pPr>
        <w:widowControl w:val="0"/>
        <w:spacing w:afterLines="50" w:line="300" w:lineRule="auto"/>
        <w:ind w:firstLine="480" w:firstLineChars="200"/>
        <w:jc w:val="both"/>
        <w:rPr>
          <w:rFonts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拟建公路营运期各特征年平均日交通量（折合标准小客车）的预测结果参见表2.4-1，各特征年绝对交通量预测结果见表2.4-2。</w:t>
      </w:r>
    </w:p>
    <w:p w14:paraId="30D0577E">
      <w:pPr>
        <w:widowControl w:val="0"/>
        <w:spacing w:beforeLines="50" w:line="240" w:lineRule="auto"/>
        <w:ind w:firstLine="0" w:firstLineChars="0"/>
        <w:jc w:val="center"/>
        <w:rPr>
          <w:rFonts w:ascii="Times New Roman" w:hAnsi="Times New Roman" w:eastAsia="宋体" w:cs="Times New Roman"/>
          <w:b/>
          <w:bCs/>
          <w:color w:val="auto"/>
          <w:kern w:val="2"/>
          <w:sz w:val="21"/>
          <w:szCs w:val="21"/>
          <w:lang w:val="en-US" w:eastAsia="zh-CN" w:bidi="ar-SA"/>
        </w:rPr>
      </w:pPr>
      <w:r>
        <w:rPr>
          <w:rFonts w:hint="eastAsia" w:ascii="Times New Roman" w:hAnsi="Times New Roman" w:eastAsia="宋体" w:cs="Times New Roman"/>
          <w:b/>
          <w:bCs/>
          <w:color w:val="auto"/>
          <w:kern w:val="2"/>
          <w:sz w:val="21"/>
          <w:szCs w:val="21"/>
          <w:lang w:val="en-US" w:eastAsia="zh-CN" w:bidi="ar-SA"/>
        </w:rPr>
        <w:t>表</w:t>
      </w:r>
      <w:r>
        <w:rPr>
          <w:rFonts w:ascii="Times New Roman" w:hAnsi="Times New Roman" w:eastAsia="宋体" w:cs="Times New Roman"/>
          <w:b/>
          <w:bCs/>
          <w:color w:val="auto"/>
          <w:kern w:val="2"/>
          <w:sz w:val="21"/>
          <w:szCs w:val="21"/>
          <w:lang w:val="en-US" w:eastAsia="zh-CN" w:bidi="ar-SA"/>
        </w:rPr>
        <w:t>2.</w:t>
      </w:r>
      <w:r>
        <w:rPr>
          <w:rFonts w:hint="eastAsia" w:ascii="Times New Roman" w:hAnsi="Times New Roman" w:eastAsia="宋体" w:cs="Times New Roman"/>
          <w:b/>
          <w:bCs/>
          <w:color w:val="auto"/>
          <w:kern w:val="2"/>
          <w:sz w:val="21"/>
          <w:szCs w:val="21"/>
          <w:lang w:val="en-US" w:eastAsia="zh-CN" w:bidi="ar-SA"/>
        </w:rPr>
        <w:t>4-1</w:t>
      </w:r>
      <w:r>
        <w:rPr>
          <w:rFonts w:ascii="Times New Roman" w:hAnsi="Times New Roman" w:eastAsia="宋体" w:cs="Times New Roman"/>
          <w:b/>
          <w:bCs/>
          <w:color w:val="auto"/>
          <w:kern w:val="2"/>
          <w:sz w:val="21"/>
          <w:szCs w:val="21"/>
          <w:lang w:val="en-US" w:eastAsia="zh-CN" w:bidi="ar-SA"/>
        </w:rPr>
        <w:t xml:space="preserve"> </w:t>
      </w:r>
      <w:r>
        <w:rPr>
          <w:rFonts w:hint="eastAsia" w:ascii="Times New Roman" w:hAnsi="Times New Roman" w:eastAsia="宋体" w:cs="Times New Roman"/>
          <w:b/>
          <w:bCs/>
          <w:color w:val="auto"/>
          <w:kern w:val="2"/>
          <w:sz w:val="21"/>
          <w:szCs w:val="21"/>
          <w:lang w:val="en-US" w:eastAsia="zh-CN" w:bidi="ar-SA"/>
        </w:rPr>
        <w:t xml:space="preserve"> 拟建公路交通量预测结果</w:t>
      </w:r>
      <w:r>
        <w:rPr>
          <w:rFonts w:ascii="Times New Roman" w:hAnsi="Times New Roman" w:eastAsia="宋体" w:cs="Times New Roman"/>
          <w:b/>
          <w:bCs/>
          <w:color w:val="auto"/>
          <w:kern w:val="2"/>
          <w:sz w:val="21"/>
          <w:szCs w:val="21"/>
          <w:lang w:val="en-US" w:eastAsia="zh-CN" w:bidi="ar-SA"/>
        </w:rPr>
        <w:t>（单位：pcu/日）</w:t>
      </w:r>
    </w:p>
    <w:tbl>
      <w:tblPr>
        <w:tblStyle w:val="22"/>
        <w:tblW w:w="8444" w:type="dxa"/>
        <w:jc w:val="center"/>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fixed"/>
        <w:tblCellMar>
          <w:top w:w="0" w:type="dxa"/>
          <w:left w:w="28" w:type="dxa"/>
          <w:bottom w:w="0" w:type="dxa"/>
          <w:right w:w="28" w:type="dxa"/>
        </w:tblCellMar>
      </w:tblPr>
      <w:tblGrid>
        <w:gridCol w:w="3231"/>
        <w:gridCol w:w="1701"/>
        <w:gridCol w:w="1701"/>
        <w:gridCol w:w="1811"/>
      </w:tblGrid>
      <w:tr w14:paraId="6A82CE7C">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3231" w:type="dxa"/>
            <w:tcBorders>
              <w:tl2br w:val="single" w:color="auto" w:sz="4" w:space="0"/>
            </w:tcBorders>
            <w:noWrap/>
            <w:vAlign w:val="center"/>
          </w:tcPr>
          <w:p w14:paraId="540AC30C">
            <w:pPr>
              <w:jc w:val="center"/>
              <w:rPr>
                <w:rFonts w:ascii="Times New Roman" w:hAnsi="Times New Roman" w:eastAsia="宋体" w:cs="Times New Roman"/>
                <w:b/>
                <w:color w:val="auto"/>
                <w:szCs w:val="21"/>
              </w:rPr>
            </w:pPr>
            <w:r>
              <w:rPr>
                <w:rFonts w:ascii="Times New Roman" w:hAnsi="Times New Roman" w:eastAsia="宋体" w:cs="Times New Roman"/>
                <w:b/>
                <w:color w:val="auto"/>
                <w:szCs w:val="21"/>
              </w:rPr>
              <w:t xml:space="preserve">                  预测特征年</w:t>
            </w:r>
          </w:p>
          <w:p w14:paraId="5C3797F6">
            <w:pPr>
              <w:jc w:val="left"/>
              <w:rPr>
                <w:rFonts w:ascii="Times New Roman" w:hAnsi="Times New Roman" w:eastAsia="宋体" w:cs="Times New Roman"/>
                <w:b/>
                <w:color w:val="auto"/>
                <w:szCs w:val="21"/>
              </w:rPr>
            </w:pPr>
            <w:r>
              <w:rPr>
                <w:rFonts w:ascii="Times New Roman" w:hAnsi="Times New Roman" w:eastAsia="宋体" w:cs="Times New Roman"/>
                <w:b/>
                <w:color w:val="auto"/>
                <w:szCs w:val="21"/>
              </w:rPr>
              <w:t>路段</w:t>
            </w:r>
          </w:p>
        </w:tc>
        <w:tc>
          <w:tcPr>
            <w:tcW w:w="1701" w:type="dxa"/>
            <w:noWrap/>
            <w:vAlign w:val="center"/>
          </w:tcPr>
          <w:p w14:paraId="50025AD4">
            <w:pPr>
              <w:widowControl/>
              <w:jc w:val="center"/>
              <w:rPr>
                <w:rFonts w:ascii="Times New Roman" w:hAnsi="Times New Roman" w:eastAsia="宋体" w:cs="Times New Roman"/>
                <w:b/>
                <w:color w:val="auto"/>
                <w:szCs w:val="21"/>
              </w:rPr>
            </w:pPr>
            <w:r>
              <w:rPr>
                <w:rFonts w:ascii="Times New Roman" w:hAnsi="Times New Roman" w:eastAsia="宋体" w:cs="Times New Roman"/>
                <w:b/>
                <w:color w:val="auto"/>
                <w:szCs w:val="21"/>
              </w:rPr>
              <w:t>202</w:t>
            </w:r>
            <w:r>
              <w:rPr>
                <w:rFonts w:hint="eastAsia" w:ascii="Times New Roman" w:hAnsi="Times New Roman" w:eastAsia="宋体" w:cs="Times New Roman"/>
                <w:b/>
                <w:color w:val="auto"/>
                <w:szCs w:val="21"/>
              </w:rPr>
              <w:t>8</w:t>
            </w:r>
            <w:r>
              <w:rPr>
                <w:rFonts w:ascii="Times New Roman" w:hAnsi="Times New Roman" w:eastAsia="宋体" w:cs="Times New Roman"/>
                <w:b/>
                <w:color w:val="auto"/>
                <w:szCs w:val="21"/>
              </w:rPr>
              <w:t>年</w:t>
            </w:r>
          </w:p>
        </w:tc>
        <w:tc>
          <w:tcPr>
            <w:tcW w:w="1701" w:type="dxa"/>
            <w:noWrap/>
            <w:vAlign w:val="center"/>
          </w:tcPr>
          <w:p w14:paraId="68C352CF">
            <w:pPr>
              <w:jc w:val="center"/>
              <w:rPr>
                <w:rFonts w:ascii="Times New Roman" w:hAnsi="Times New Roman" w:eastAsia="宋体" w:cs="Times New Roman"/>
                <w:b/>
                <w:color w:val="auto"/>
                <w:szCs w:val="21"/>
              </w:rPr>
            </w:pPr>
            <w:r>
              <w:rPr>
                <w:rFonts w:ascii="Times New Roman" w:hAnsi="Times New Roman" w:eastAsia="宋体" w:cs="Times New Roman"/>
                <w:b/>
                <w:color w:val="auto"/>
                <w:szCs w:val="21"/>
              </w:rPr>
              <w:t>203</w:t>
            </w:r>
            <w:r>
              <w:rPr>
                <w:rFonts w:hint="eastAsia" w:ascii="Times New Roman" w:hAnsi="Times New Roman" w:eastAsia="宋体" w:cs="Times New Roman"/>
                <w:b/>
                <w:color w:val="auto"/>
                <w:szCs w:val="21"/>
              </w:rPr>
              <w:t>4</w:t>
            </w:r>
            <w:r>
              <w:rPr>
                <w:rFonts w:ascii="Times New Roman" w:hAnsi="Times New Roman" w:eastAsia="宋体" w:cs="Times New Roman"/>
                <w:b/>
                <w:color w:val="auto"/>
                <w:szCs w:val="21"/>
              </w:rPr>
              <w:t>年</w:t>
            </w:r>
          </w:p>
        </w:tc>
        <w:tc>
          <w:tcPr>
            <w:tcW w:w="1811" w:type="dxa"/>
            <w:noWrap/>
            <w:vAlign w:val="center"/>
          </w:tcPr>
          <w:p w14:paraId="252B89F5">
            <w:pPr>
              <w:jc w:val="center"/>
              <w:rPr>
                <w:rFonts w:ascii="Times New Roman" w:hAnsi="Times New Roman" w:eastAsia="宋体" w:cs="Times New Roman"/>
                <w:b/>
                <w:color w:val="auto"/>
                <w:szCs w:val="21"/>
              </w:rPr>
            </w:pPr>
            <w:r>
              <w:rPr>
                <w:rFonts w:ascii="Times New Roman" w:hAnsi="Times New Roman" w:eastAsia="宋体" w:cs="Times New Roman"/>
                <w:b/>
                <w:color w:val="auto"/>
                <w:szCs w:val="21"/>
              </w:rPr>
              <w:t>204</w:t>
            </w:r>
            <w:r>
              <w:rPr>
                <w:rFonts w:hint="eastAsia" w:ascii="Times New Roman" w:hAnsi="Times New Roman" w:eastAsia="宋体" w:cs="Times New Roman"/>
                <w:b/>
                <w:color w:val="auto"/>
                <w:szCs w:val="21"/>
              </w:rPr>
              <w:t>2</w:t>
            </w:r>
            <w:r>
              <w:rPr>
                <w:rFonts w:ascii="Times New Roman" w:hAnsi="Times New Roman" w:eastAsia="宋体" w:cs="Times New Roman"/>
                <w:b/>
                <w:color w:val="auto"/>
                <w:szCs w:val="21"/>
              </w:rPr>
              <w:t>年</w:t>
            </w:r>
          </w:p>
        </w:tc>
      </w:tr>
      <w:tr w14:paraId="0801FEEA">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3231" w:type="dxa"/>
            <w:noWrap/>
            <w:vAlign w:val="center"/>
          </w:tcPr>
          <w:p w14:paraId="54B57BE0">
            <w:pPr>
              <w:jc w:val="center"/>
              <w:rPr>
                <w:rFonts w:ascii="宋体" w:hAnsi="宋体" w:eastAsia="宋体" w:cs="宋体"/>
                <w:color w:val="auto"/>
                <w:sz w:val="24"/>
              </w:rPr>
            </w:pPr>
            <w:r>
              <w:rPr>
                <w:rFonts w:hint="eastAsia" w:ascii="Times New Roman" w:hAnsi="Times New Roman" w:eastAsia="宋体" w:cs="Times New Roman"/>
                <w:color w:val="auto"/>
              </w:rPr>
              <w:t>起点～胜利路</w:t>
            </w:r>
          </w:p>
        </w:tc>
        <w:tc>
          <w:tcPr>
            <w:tcW w:w="1701" w:type="dxa"/>
            <w:noWrap/>
            <w:vAlign w:val="center"/>
          </w:tcPr>
          <w:p w14:paraId="4ED714B4">
            <w:pPr>
              <w:jc w:val="center"/>
              <w:rPr>
                <w:rFonts w:ascii="Times New Roman" w:hAnsi="Times New Roman" w:eastAsia="宋体" w:cs="Times New Roman"/>
                <w:color w:val="auto"/>
                <w:sz w:val="24"/>
              </w:rPr>
            </w:pPr>
            <w:r>
              <w:rPr>
                <w:rFonts w:ascii="Times New Roman" w:hAnsi="Times New Roman" w:eastAsia="宋体" w:cs="Times New Roman"/>
                <w:color w:val="auto"/>
              </w:rPr>
              <w:t>14463</w:t>
            </w:r>
          </w:p>
        </w:tc>
        <w:tc>
          <w:tcPr>
            <w:tcW w:w="1701" w:type="dxa"/>
            <w:noWrap/>
            <w:vAlign w:val="center"/>
          </w:tcPr>
          <w:p w14:paraId="7B8FC99B">
            <w:pPr>
              <w:jc w:val="center"/>
              <w:rPr>
                <w:rFonts w:ascii="Times New Roman" w:hAnsi="Times New Roman" w:eastAsia="宋体" w:cs="Times New Roman"/>
                <w:color w:val="auto"/>
                <w:sz w:val="24"/>
              </w:rPr>
            </w:pPr>
            <w:r>
              <w:rPr>
                <w:rFonts w:ascii="Times New Roman" w:hAnsi="Times New Roman" w:eastAsia="宋体" w:cs="Times New Roman"/>
                <w:color w:val="auto"/>
              </w:rPr>
              <w:t>17270</w:t>
            </w:r>
          </w:p>
        </w:tc>
        <w:tc>
          <w:tcPr>
            <w:tcW w:w="1811" w:type="dxa"/>
            <w:noWrap/>
            <w:vAlign w:val="center"/>
          </w:tcPr>
          <w:p w14:paraId="674E16FF">
            <w:pPr>
              <w:jc w:val="center"/>
              <w:rPr>
                <w:rFonts w:ascii="Times New Roman" w:hAnsi="Times New Roman" w:eastAsia="宋体" w:cs="Times New Roman"/>
                <w:color w:val="auto"/>
                <w:sz w:val="24"/>
              </w:rPr>
            </w:pPr>
            <w:r>
              <w:rPr>
                <w:rFonts w:ascii="Times New Roman" w:hAnsi="Times New Roman" w:eastAsia="宋体" w:cs="Times New Roman"/>
                <w:color w:val="auto"/>
              </w:rPr>
              <w:t>20311</w:t>
            </w:r>
          </w:p>
        </w:tc>
      </w:tr>
      <w:tr w14:paraId="6D5C41B0">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3231" w:type="dxa"/>
            <w:noWrap/>
            <w:vAlign w:val="center"/>
          </w:tcPr>
          <w:p w14:paraId="0338E2D0">
            <w:pPr>
              <w:jc w:val="center"/>
              <w:rPr>
                <w:rFonts w:ascii="宋体" w:hAnsi="宋体" w:eastAsia="宋体" w:cs="宋体"/>
                <w:color w:val="auto"/>
                <w:sz w:val="24"/>
              </w:rPr>
            </w:pPr>
            <w:r>
              <w:rPr>
                <w:rFonts w:hint="eastAsia" w:ascii="Times New Roman" w:hAnsi="Times New Roman" w:eastAsia="宋体" w:cs="Times New Roman"/>
                <w:color w:val="auto"/>
              </w:rPr>
              <w:t>胜利路～S311</w:t>
            </w:r>
          </w:p>
        </w:tc>
        <w:tc>
          <w:tcPr>
            <w:tcW w:w="1701" w:type="dxa"/>
            <w:noWrap/>
            <w:vAlign w:val="center"/>
          </w:tcPr>
          <w:p w14:paraId="4F6A09D7">
            <w:pPr>
              <w:jc w:val="center"/>
              <w:rPr>
                <w:rFonts w:ascii="Times New Roman" w:hAnsi="Times New Roman" w:eastAsia="宋体" w:cs="Times New Roman"/>
                <w:color w:val="auto"/>
                <w:sz w:val="24"/>
              </w:rPr>
            </w:pPr>
            <w:r>
              <w:rPr>
                <w:rFonts w:ascii="Times New Roman" w:hAnsi="Times New Roman" w:eastAsia="宋体" w:cs="Times New Roman"/>
                <w:color w:val="auto"/>
              </w:rPr>
              <w:t>10441</w:t>
            </w:r>
          </w:p>
        </w:tc>
        <w:tc>
          <w:tcPr>
            <w:tcW w:w="1701" w:type="dxa"/>
            <w:noWrap/>
            <w:vAlign w:val="center"/>
          </w:tcPr>
          <w:p w14:paraId="4CA08A30">
            <w:pPr>
              <w:jc w:val="center"/>
              <w:rPr>
                <w:rFonts w:ascii="Times New Roman" w:hAnsi="Times New Roman" w:eastAsia="宋体" w:cs="Times New Roman"/>
                <w:color w:val="auto"/>
                <w:sz w:val="24"/>
              </w:rPr>
            </w:pPr>
            <w:r>
              <w:rPr>
                <w:rFonts w:ascii="Times New Roman" w:hAnsi="Times New Roman" w:eastAsia="宋体" w:cs="Times New Roman"/>
                <w:color w:val="auto"/>
              </w:rPr>
              <w:t>12466</w:t>
            </w:r>
          </w:p>
        </w:tc>
        <w:tc>
          <w:tcPr>
            <w:tcW w:w="1811" w:type="dxa"/>
            <w:noWrap/>
            <w:vAlign w:val="center"/>
          </w:tcPr>
          <w:p w14:paraId="6EA1AE4B">
            <w:pPr>
              <w:jc w:val="center"/>
              <w:rPr>
                <w:rFonts w:ascii="Times New Roman" w:hAnsi="Times New Roman" w:eastAsia="宋体" w:cs="Times New Roman"/>
                <w:color w:val="auto"/>
                <w:sz w:val="24"/>
              </w:rPr>
            </w:pPr>
            <w:r>
              <w:rPr>
                <w:rFonts w:ascii="Times New Roman" w:hAnsi="Times New Roman" w:eastAsia="宋体" w:cs="Times New Roman"/>
                <w:color w:val="auto"/>
              </w:rPr>
              <w:t>14661</w:t>
            </w:r>
          </w:p>
        </w:tc>
      </w:tr>
      <w:tr w14:paraId="1E39D90F">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3231" w:type="dxa"/>
            <w:noWrap/>
            <w:vAlign w:val="center"/>
          </w:tcPr>
          <w:p w14:paraId="018D64FF">
            <w:pPr>
              <w:jc w:val="center"/>
              <w:rPr>
                <w:rFonts w:ascii="宋体" w:hAnsi="宋体" w:eastAsia="宋体" w:cs="宋体"/>
                <w:color w:val="auto"/>
                <w:sz w:val="24"/>
              </w:rPr>
            </w:pPr>
            <w:r>
              <w:rPr>
                <w:rFonts w:hint="eastAsia" w:ascii="Times New Roman" w:hAnsi="Times New Roman" w:eastAsia="宋体" w:cs="Times New Roman"/>
                <w:color w:val="auto"/>
              </w:rPr>
              <w:t>S311～高速口</w:t>
            </w:r>
          </w:p>
        </w:tc>
        <w:tc>
          <w:tcPr>
            <w:tcW w:w="1701" w:type="dxa"/>
            <w:noWrap/>
            <w:vAlign w:val="center"/>
          </w:tcPr>
          <w:p w14:paraId="7A7D6F93">
            <w:pPr>
              <w:jc w:val="center"/>
              <w:rPr>
                <w:rFonts w:ascii="Times New Roman" w:hAnsi="Times New Roman" w:eastAsia="宋体" w:cs="Times New Roman"/>
                <w:color w:val="auto"/>
                <w:sz w:val="24"/>
              </w:rPr>
            </w:pPr>
            <w:r>
              <w:rPr>
                <w:rFonts w:ascii="Times New Roman" w:hAnsi="Times New Roman" w:eastAsia="宋体" w:cs="Times New Roman"/>
                <w:color w:val="auto"/>
              </w:rPr>
              <w:t>9841</w:t>
            </w:r>
          </w:p>
        </w:tc>
        <w:tc>
          <w:tcPr>
            <w:tcW w:w="1701" w:type="dxa"/>
            <w:noWrap/>
            <w:vAlign w:val="center"/>
          </w:tcPr>
          <w:p w14:paraId="0B6FBD0B">
            <w:pPr>
              <w:jc w:val="center"/>
              <w:rPr>
                <w:rFonts w:ascii="Times New Roman" w:hAnsi="Times New Roman" w:eastAsia="宋体" w:cs="Times New Roman"/>
                <w:color w:val="auto"/>
                <w:sz w:val="24"/>
              </w:rPr>
            </w:pPr>
            <w:r>
              <w:rPr>
                <w:rFonts w:ascii="Times New Roman" w:hAnsi="Times New Roman" w:eastAsia="宋体" w:cs="Times New Roman"/>
                <w:color w:val="auto"/>
              </w:rPr>
              <w:t>11750</w:t>
            </w:r>
          </w:p>
        </w:tc>
        <w:tc>
          <w:tcPr>
            <w:tcW w:w="1811" w:type="dxa"/>
            <w:noWrap/>
            <w:vAlign w:val="center"/>
          </w:tcPr>
          <w:p w14:paraId="68BBCB15">
            <w:pPr>
              <w:jc w:val="center"/>
              <w:rPr>
                <w:rFonts w:ascii="Times New Roman" w:hAnsi="Times New Roman" w:eastAsia="宋体" w:cs="Times New Roman"/>
                <w:color w:val="auto"/>
                <w:sz w:val="24"/>
              </w:rPr>
            </w:pPr>
            <w:r>
              <w:rPr>
                <w:rFonts w:ascii="Times New Roman" w:hAnsi="Times New Roman" w:eastAsia="宋体" w:cs="Times New Roman"/>
                <w:color w:val="auto"/>
              </w:rPr>
              <w:t>13818</w:t>
            </w:r>
          </w:p>
        </w:tc>
      </w:tr>
      <w:tr w14:paraId="27BD3081">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3231" w:type="dxa"/>
            <w:noWrap/>
            <w:vAlign w:val="center"/>
          </w:tcPr>
          <w:p w14:paraId="1C5EA768">
            <w:pPr>
              <w:jc w:val="center"/>
              <w:rPr>
                <w:rFonts w:ascii="宋体" w:hAnsi="宋体" w:eastAsia="宋体" w:cs="宋体"/>
                <w:color w:val="auto"/>
                <w:sz w:val="24"/>
              </w:rPr>
            </w:pPr>
            <w:r>
              <w:rPr>
                <w:rFonts w:hint="eastAsia" w:ascii="Times New Roman" w:hAnsi="Times New Roman" w:eastAsia="宋体" w:cs="Times New Roman"/>
                <w:color w:val="auto"/>
              </w:rPr>
              <w:t>高速口～岳普湖</w:t>
            </w:r>
          </w:p>
        </w:tc>
        <w:tc>
          <w:tcPr>
            <w:tcW w:w="1701" w:type="dxa"/>
            <w:noWrap/>
            <w:vAlign w:val="center"/>
          </w:tcPr>
          <w:p w14:paraId="7EE04D59">
            <w:pPr>
              <w:jc w:val="center"/>
              <w:rPr>
                <w:rFonts w:ascii="Times New Roman" w:hAnsi="Times New Roman" w:eastAsia="宋体" w:cs="Times New Roman"/>
                <w:color w:val="auto"/>
                <w:sz w:val="24"/>
              </w:rPr>
            </w:pPr>
            <w:r>
              <w:rPr>
                <w:rFonts w:ascii="Times New Roman" w:hAnsi="Times New Roman" w:eastAsia="宋体" w:cs="Times New Roman"/>
                <w:color w:val="auto"/>
              </w:rPr>
              <w:t>11014</w:t>
            </w:r>
          </w:p>
        </w:tc>
        <w:tc>
          <w:tcPr>
            <w:tcW w:w="1701" w:type="dxa"/>
            <w:noWrap/>
            <w:vAlign w:val="center"/>
          </w:tcPr>
          <w:p w14:paraId="7D5BDA30">
            <w:pPr>
              <w:jc w:val="center"/>
              <w:rPr>
                <w:rFonts w:ascii="Times New Roman" w:hAnsi="Times New Roman" w:eastAsia="宋体" w:cs="Times New Roman"/>
                <w:color w:val="auto"/>
                <w:sz w:val="24"/>
              </w:rPr>
            </w:pPr>
            <w:r>
              <w:rPr>
                <w:rFonts w:ascii="Times New Roman" w:hAnsi="Times New Roman" w:eastAsia="宋体" w:cs="Times New Roman"/>
                <w:color w:val="auto"/>
              </w:rPr>
              <w:t>13151</w:t>
            </w:r>
          </w:p>
        </w:tc>
        <w:tc>
          <w:tcPr>
            <w:tcW w:w="1811" w:type="dxa"/>
            <w:noWrap/>
            <w:vAlign w:val="center"/>
          </w:tcPr>
          <w:p w14:paraId="7200A302">
            <w:pPr>
              <w:jc w:val="center"/>
              <w:rPr>
                <w:rFonts w:ascii="Times New Roman" w:hAnsi="Times New Roman" w:eastAsia="宋体" w:cs="Times New Roman"/>
                <w:color w:val="auto"/>
                <w:sz w:val="24"/>
              </w:rPr>
            </w:pPr>
            <w:r>
              <w:rPr>
                <w:rFonts w:ascii="Times New Roman" w:hAnsi="Times New Roman" w:eastAsia="宋体" w:cs="Times New Roman"/>
                <w:color w:val="auto"/>
              </w:rPr>
              <w:t>15466</w:t>
            </w:r>
          </w:p>
        </w:tc>
      </w:tr>
      <w:tr w14:paraId="0201E427">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3231" w:type="dxa"/>
            <w:noWrap/>
            <w:vAlign w:val="center"/>
          </w:tcPr>
          <w:p w14:paraId="790DDADD">
            <w:pPr>
              <w:jc w:val="center"/>
              <w:rPr>
                <w:rFonts w:ascii="Times New Roman" w:hAnsi="Times New Roman" w:eastAsia="宋体" w:cs="Times New Roman"/>
                <w:b/>
                <w:color w:val="auto"/>
                <w:szCs w:val="21"/>
              </w:rPr>
            </w:pPr>
            <w:r>
              <w:rPr>
                <w:rFonts w:ascii="Times New Roman" w:hAnsi="Times New Roman" w:eastAsia="宋体" w:cs="Times New Roman"/>
                <w:b/>
                <w:color w:val="auto"/>
              </w:rPr>
              <w:t>加权平均值</w:t>
            </w:r>
          </w:p>
        </w:tc>
        <w:tc>
          <w:tcPr>
            <w:tcW w:w="1701" w:type="dxa"/>
            <w:noWrap/>
            <w:vAlign w:val="center"/>
          </w:tcPr>
          <w:p w14:paraId="5DC2878B">
            <w:pPr>
              <w:jc w:val="center"/>
              <w:rPr>
                <w:rFonts w:ascii="Times New Roman" w:hAnsi="Times New Roman" w:eastAsia="宋体" w:cs="Times New Roman"/>
                <w:b/>
                <w:color w:val="auto"/>
                <w:szCs w:val="21"/>
              </w:rPr>
            </w:pPr>
            <w:r>
              <w:rPr>
                <w:rFonts w:ascii="Times New Roman" w:hAnsi="Times New Roman" w:eastAsia="宋体" w:cs="Times New Roman"/>
                <w:b/>
                <w:color w:val="auto"/>
                <w:szCs w:val="21"/>
              </w:rPr>
              <w:t>12430</w:t>
            </w:r>
          </w:p>
        </w:tc>
        <w:tc>
          <w:tcPr>
            <w:tcW w:w="1701" w:type="dxa"/>
            <w:noWrap/>
            <w:vAlign w:val="center"/>
          </w:tcPr>
          <w:p w14:paraId="0366AC6A">
            <w:pPr>
              <w:jc w:val="center"/>
              <w:rPr>
                <w:rFonts w:ascii="Times New Roman" w:hAnsi="Times New Roman" w:eastAsia="宋体" w:cs="Times New Roman"/>
                <w:b/>
                <w:color w:val="auto"/>
                <w:szCs w:val="21"/>
              </w:rPr>
            </w:pPr>
            <w:r>
              <w:rPr>
                <w:rFonts w:ascii="Times New Roman" w:hAnsi="Times New Roman" w:eastAsia="宋体" w:cs="Times New Roman"/>
                <w:b/>
                <w:color w:val="auto"/>
                <w:szCs w:val="21"/>
              </w:rPr>
              <w:t>14842</w:t>
            </w:r>
          </w:p>
        </w:tc>
        <w:tc>
          <w:tcPr>
            <w:tcW w:w="1811" w:type="dxa"/>
            <w:noWrap/>
            <w:vAlign w:val="center"/>
          </w:tcPr>
          <w:p w14:paraId="3165F1BF">
            <w:pPr>
              <w:jc w:val="center"/>
              <w:rPr>
                <w:rFonts w:ascii="Times New Roman" w:hAnsi="Times New Roman" w:eastAsia="宋体" w:cs="Times New Roman"/>
                <w:b/>
                <w:color w:val="auto"/>
                <w:szCs w:val="21"/>
              </w:rPr>
            </w:pPr>
            <w:r>
              <w:rPr>
                <w:rFonts w:ascii="Times New Roman" w:hAnsi="Times New Roman" w:eastAsia="宋体" w:cs="Times New Roman"/>
                <w:b/>
                <w:color w:val="auto"/>
                <w:szCs w:val="21"/>
              </w:rPr>
              <w:t>17455</w:t>
            </w:r>
          </w:p>
        </w:tc>
      </w:tr>
    </w:tbl>
    <w:p w14:paraId="4A2E520E">
      <w:pPr>
        <w:widowControl w:val="0"/>
        <w:spacing w:beforeLines="50" w:line="240" w:lineRule="auto"/>
        <w:ind w:firstLine="0" w:firstLineChars="0"/>
        <w:jc w:val="center"/>
        <w:rPr>
          <w:rFonts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b/>
          <w:bCs/>
          <w:color w:val="auto"/>
          <w:kern w:val="2"/>
          <w:sz w:val="21"/>
          <w:szCs w:val="21"/>
          <w:lang w:val="en-US" w:eastAsia="zh-CN" w:bidi="ar-SA"/>
        </w:rPr>
        <w:t>表</w:t>
      </w:r>
      <w:r>
        <w:rPr>
          <w:rFonts w:ascii="Times New Roman" w:hAnsi="Times New Roman" w:eastAsia="宋体" w:cs="Times New Roman"/>
          <w:b/>
          <w:bCs/>
          <w:color w:val="auto"/>
          <w:kern w:val="2"/>
          <w:sz w:val="21"/>
          <w:szCs w:val="21"/>
          <w:lang w:val="en-US" w:eastAsia="zh-CN" w:bidi="ar-SA"/>
        </w:rPr>
        <w:t>2.</w:t>
      </w:r>
      <w:r>
        <w:rPr>
          <w:rFonts w:hint="eastAsia" w:ascii="Times New Roman" w:hAnsi="Times New Roman" w:eastAsia="宋体" w:cs="Times New Roman"/>
          <w:b/>
          <w:bCs/>
          <w:color w:val="auto"/>
          <w:kern w:val="2"/>
          <w:sz w:val="21"/>
          <w:szCs w:val="21"/>
          <w:lang w:val="en-US" w:eastAsia="zh-CN" w:bidi="ar-SA"/>
        </w:rPr>
        <w:t xml:space="preserve">4-2 </w:t>
      </w:r>
      <w:r>
        <w:rPr>
          <w:rFonts w:ascii="Times New Roman" w:hAnsi="Times New Roman" w:eastAsia="宋体" w:cs="Times New Roman"/>
          <w:b/>
          <w:bCs/>
          <w:color w:val="auto"/>
          <w:kern w:val="2"/>
          <w:sz w:val="21"/>
          <w:szCs w:val="21"/>
          <w:lang w:val="en-US" w:eastAsia="zh-CN" w:bidi="ar-SA"/>
        </w:rPr>
        <w:t xml:space="preserve"> </w:t>
      </w:r>
      <w:r>
        <w:rPr>
          <w:rFonts w:hint="eastAsia" w:ascii="Times New Roman" w:hAnsi="Times New Roman" w:eastAsia="宋体" w:cs="Times New Roman"/>
          <w:b/>
          <w:bCs/>
          <w:color w:val="auto"/>
          <w:kern w:val="2"/>
          <w:sz w:val="21"/>
          <w:szCs w:val="21"/>
          <w:lang w:val="en-US" w:eastAsia="zh-CN" w:bidi="ar-SA"/>
        </w:rPr>
        <w:t>拟建公路绝对交通量预测结果</w:t>
      </w:r>
      <w:r>
        <w:rPr>
          <w:rFonts w:ascii="Times New Roman" w:hAnsi="Times New Roman" w:eastAsia="宋体" w:cs="Times New Roman"/>
          <w:b/>
          <w:bCs/>
          <w:color w:val="auto"/>
          <w:kern w:val="2"/>
          <w:sz w:val="21"/>
          <w:szCs w:val="21"/>
          <w:lang w:val="en-US" w:eastAsia="zh-CN" w:bidi="ar-SA"/>
        </w:rPr>
        <w:t>（单位：</w:t>
      </w:r>
      <w:r>
        <w:rPr>
          <w:rFonts w:hint="eastAsia" w:ascii="Times New Roman" w:hAnsi="Times New Roman" w:eastAsia="宋体" w:cs="Times New Roman"/>
          <w:b/>
          <w:bCs/>
          <w:color w:val="auto"/>
          <w:kern w:val="2"/>
          <w:sz w:val="21"/>
          <w:szCs w:val="21"/>
          <w:lang w:val="en-US" w:eastAsia="zh-CN" w:bidi="ar-SA"/>
        </w:rPr>
        <w:t>辆</w:t>
      </w:r>
      <w:r>
        <w:rPr>
          <w:rFonts w:ascii="Times New Roman" w:hAnsi="Times New Roman" w:eastAsia="宋体" w:cs="Times New Roman"/>
          <w:b/>
          <w:bCs/>
          <w:color w:val="auto"/>
          <w:kern w:val="2"/>
          <w:sz w:val="21"/>
          <w:szCs w:val="21"/>
          <w:lang w:val="en-US" w:eastAsia="zh-CN" w:bidi="ar-SA"/>
        </w:rPr>
        <w:t>/日）</w:t>
      </w:r>
    </w:p>
    <w:tbl>
      <w:tblPr>
        <w:tblStyle w:val="22"/>
        <w:tblW w:w="8444" w:type="dxa"/>
        <w:jc w:val="center"/>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fixed"/>
        <w:tblCellMar>
          <w:top w:w="0" w:type="dxa"/>
          <w:left w:w="28" w:type="dxa"/>
          <w:bottom w:w="0" w:type="dxa"/>
          <w:right w:w="28" w:type="dxa"/>
        </w:tblCellMar>
      </w:tblPr>
      <w:tblGrid>
        <w:gridCol w:w="3231"/>
        <w:gridCol w:w="1701"/>
        <w:gridCol w:w="1701"/>
        <w:gridCol w:w="1811"/>
      </w:tblGrid>
      <w:tr w14:paraId="610271BE">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3231" w:type="dxa"/>
            <w:tcBorders>
              <w:tl2br w:val="single" w:color="auto" w:sz="4" w:space="0"/>
            </w:tcBorders>
            <w:noWrap/>
            <w:vAlign w:val="center"/>
          </w:tcPr>
          <w:p w14:paraId="7548007C">
            <w:pPr>
              <w:jc w:val="center"/>
              <w:rPr>
                <w:rFonts w:ascii="Times New Roman" w:hAnsi="Times New Roman" w:eastAsia="宋体" w:cs="Times New Roman"/>
                <w:b/>
                <w:color w:val="auto"/>
                <w:szCs w:val="21"/>
              </w:rPr>
            </w:pPr>
            <w:r>
              <w:rPr>
                <w:rFonts w:ascii="Times New Roman" w:hAnsi="Times New Roman" w:eastAsia="宋体" w:cs="Times New Roman"/>
                <w:b/>
                <w:color w:val="auto"/>
                <w:szCs w:val="21"/>
              </w:rPr>
              <w:t xml:space="preserve">                  预测特征年</w:t>
            </w:r>
          </w:p>
          <w:p w14:paraId="74EA84AB">
            <w:pPr>
              <w:jc w:val="left"/>
              <w:rPr>
                <w:rFonts w:ascii="Times New Roman" w:hAnsi="Times New Roman" w:eastAsia="宋体" w:cs="Times New Roman"/>
                <w:b/>
                <w:color w:val="auto"/>
                <w:szCs w:val="21"/>
              </w:rPr>
            </w:pPr>
            <w:r>
              <w:rPr>
                <w:rFonts w:ascii="Times New Roman" w:hAnsi="Times New Roman" w:eastAsia="宋体" w:cs="Times New Roman"/>
                <w:b/>
                <w:color w:val="auto"/>
                <w:szCs w:val="21"/>
              </w:rPr>
              <w:t>路段</w:t>
            </w:r>
          </w:p>
        </w:tc>
        <w:tc>
          <w:tcPr>
            <w:tcW w:w="1701" w:type="dxa"/>
            <w:noWrap/>
            <w:vAlign w:val="center"/>
          </w:tcPr>
          <w:p w14:paraId="2B3B9EE9">
            <w:pPr>
              <w:widowControl/>
              <w:jc w:val="center"/>
              <w:rPr>
                <w:rFonts w:ascii="Times New Roman" w:hAnsi="Times New Roman" w:eastAsia="宋体" w:cs="Times New Roman"/>
                <w:b/>
                <w:color w:val="auto"/>
                <w:szCs w:val="21"/>
              </w:rPr>
            </w:pPr>
            <w:r>
              <w:rPr>
                <w:rFonts w:ascii="Times New Roman" w:hAnsi="Times New Roman" w:eastAsia="宋体" w:cs="Times New Roman"/>
                <w:b/>
                <w:color w:val="auto"/>
                <w:szCs w:val="21"/>
              </w:rPr>
              <w:t>202</w:t>
            </w:r>
            <w:r>
              <w:rPr>
                <w:rFonts w:hint="eastAsia" w:ascii="Times New Roman" w:hAnsi="Times New Roman" w:eastAsia="宋体" w:cs="Times New Roman"/>
                <w:b/>
                <w:color w:val="auto"/>
                <w:szCs w:val="21"/>
              </w:rPr>
              <w:t>8</w:t>
            </w:r>
            <w:r>
              <w:rPr>
                <w:rFonts w:ascii="Times New Roman" w:hAnsi="Times New Roman" w:eastAsia="宋体" w:cs="Times New Roman"/>
                <w:b/>
                <w:color w:val="auto"/>
                <w:szCs w:val="21"/>
              </w:rPr>
              <w:t>年</w:t>
            </w:r>
          </w:p>
        </w:tc>
        <w:tc>
          <w:tcPr>
            <w:tcW w:w="1701" w:type="dxa"/>
            <w:noWrap/>
            <w:vAlign w:val="center"/>
          </w:tcPr>
          <w:p w14:paraId="15E0F264">
            <w:pPr>
              <w:jc w:val="center"/>
              <w:rPr>
                <w:rFonts w:ascii="Times New Roman" w:hAnsi="Times New Roman" w:eastAsia="宋体" w:cs="Times New Roman"/>
                <w:b/>
                <w:color w:val="auto"/>
                <w:szCs w:val="21"/>
              </w:rPr>
            </w:pPr>
            <w:r>
              <w:rPr>
                <w:rFonts w:ascii="Times New Roman" w:hAnsi="Times New Roman" w:eastAsia="宋体" w:cs="Times New Roman"/>
                <w:b/>
                <w:color w:val="auto"/>
                <w:szCs w:val="21"/>
              </w:rPr>
              <w:t>203</w:t>
            </w:r>
            <w:r>
              <w:rPr>
                <w:rFonts w:hint="eastAsia" w:ascii="Times New Roman" w:hAnsi="Times New Roman" w:eastAsia="宋体" w:cs="Times New Roman"/>
                <w:b/>
                <w:color w:val="auto"/>
                <w:szCs w:val="21"/>
              </w:rPr>
              <w:t>4</w:t>
            </w:r>
            <w:r>
              <w:rPr>
                <w:rFonts w:ascii="Times New Roman" w:hAnsi="Times New Roman" w:eastAsia="宋体" w:cs="Times New Roman"/>
                <w:b/>
                <w:color w:val="auto"/>
                <w:szCs w:val="21"/>
              </w:rPr>
              <w:t>年</w:t>
            </w:r>
          </w:p>
        </w:tc>
        <w:tc>
          <w:tcPr>
            <w:tcW w:w="1811" w:type="dxa"/>
            <w:noWrap/>
            <w:vAlign w:val="center"/>
          </w:tcPr>
          <w:p w14:paraId="0C594DB7">
            <w:pPr>
              <w:jc w:val="center"/>
              <w:rPr>
                <w:rFonts w:ascii="Times New Roman" w:hAnsi="Times New Roman" w:eastAsia="宋体" w:cs="Times New Roman"/>
                <w:b/>
                <w:color w:val="auto"/>
                <w:szCs w:val="21"/>
              </w:rPr>
            </w:pPr>
            <w:r>
              <w:rPr>
                <w:rFonts w:ascii="Times New Roman" w:hAnsi="Times New Roman" w:eastAsia="宋体" w:cs="Times New Roman"/>
                <w:b/>
                <w:color w:val="auto"/>
                <w:szCs w:val="21"/>
              </w:rPr>
              <w:t>204</w:t>
            </w:r>
            <w:r>
              <w:rPr>
                <w:rFonts w:hint="eastAsia" w:ascii="Times New Roman" w:hAnsi="Times New Roman" w:eastAsia="宋体" w:cs="Times New Roman"/>
                <w:b/>
                <w:color w:val="auto"/>
                <w:szCs w:val="21"/>
              </w:rPr>
              <w:t>2</w:t>
            </w:r>
            <w:r>
              <w:rPr>
                <w:rFonts w:ascii="Times New Roman" w:hAnsi="Times New Roman" w:eastAsia="宋体" w:cs="Times New Roman"/>
                <w:b/>
                <w:color w:val="auto"/>
                <w:szCs w:val="21"/>
              </w:rPr>
              <w:t>年</w:t>
            </w:r>
          </w:p>
        </w:tc>
      </w:tr>
      <w:tr w14:paraId="55DE21CA">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3231" w:type="dxa"/>
            <w:noWrap/>
            <w:vAlign w:val="center"/>
          </w:tcPr>
          <w:p w14:paraId="017D0413">
            <w:pPr>
              <w:jc w:val="center"/>
              <w:rPr>
                <w:rFonts w:ascii="宋体" w:hAnsi="宋体" w:eastAsia="宋体" w:cs="宋体"/>
                <w:color w:val="auto"/>
                <w:sz w:val="24"/>
              </w:rPr>
            </w:pPr>
            <w:r>
              <w:rPr>
                <w:rFonts w:hint="eastAsia" w:ascii="Times New Roman" w:hAnsi="Times New Roman" w:eastAsia="宋体" w:cs="Times New Roman"/>
                <w:color w:val="auto"/>
              </w:rPr>
              <w:t>起点～胜利路</w:t>
            </w:r>
          </w:p>
        </w:tc>
        <w:tc>
          <w:tcPr>
            <w:tcW w:w="1701" w:type="dxa"/>
            <w:noWrap/>
            <w:vAlign w:val="center"/>
          </w:tcPr>
          <w:p w14:paraId="11D0F006">
            <w:pPr>
              <w:jc w:val="center"/>
              <w:rPr>
                <w:rFonts w:ascii="Times New Roman" w:hAnsi="Times New Roman" w:eastAsia="宋体" w:cs="Times New Roman"/>
                <w:color w:val="auto"/>
                <w:sz w:val="24"/>
              </w:rPr>
            </w:pPr>
            <w:r>
              <w:rPr>
                <w:rFonts w:ascii="Times New Roman" w:hAnsi="Times New Roman" w:eastAsia="宋体" w:cs="Times New Roman"/>
                <w:color w:val="auto"/>
              </w:rPr>
              <w:t>9250</w:t>
            </w:r>
          </w:p>
        </w:tc>
        <w:tc>
          <w:tcPr>
            <w:tcW w:w="1701" w:type="dxa"/>
            <w:noWrap/>
            <w:vAlign w:val="center"/>
          </w:tcPr>
          <w:p w14:paraId="6E1F0ACD">
            <w:pPr>
              <w:jc w:val="center"/>
              <w:rPr>
                <w:rFonts w:ascii="Times New Roman" w:hAnsi="Times New Roman" w:eastAsia="宋体" w:cs="Times New Roman"/>
                <w:color w:val="auto"/>
                <w:sz w:val="24"/>
              </w:rPr>
            </w:pPr>
            <w:r>
              <w:rPr>
                <w:rFonts w:ascii="Times New Roman" w:hAnsi="Times New Roman" w:eastAsia="宋体" w:cs="Times New Roman"/>
                <w:color w:val="auto"/>
              </w:rPr>
              <w:t>11032</w:t>
            </w:r>
          </w:p>
        </w:tc>
        <w:tc>
          <w:tcPr>
            <w:tcW w:w="1811" w:type="dxa"/>
            <w:noWrap/>
            <w:vAlign w:val="center"/>
          </w:tcPr>
          <w:p w14:paraId="37514E30">
            <w:pPr>
              <w:jc w:val="center"/>
              <w:rPr>
                <w:rFonts w:ascii="Times New Roman" w:hAnsi="Times New Roman" w:eastAsia="宋体" w:cs="Times New Roman"/>
                <w:color w:val="auto"/>
                <w:sz w:val="24"/>
              </w:rPr>
            </w:pPr>
            <w:r>
              <w:rPr>
                <w:rFonts w:ascii="Times New Roman" w:hAnsi="Times New Roman" w:eastAsia="宋体" w:cs="Times New Roman"/>
                <w:color w:val="auto"/>
              </w:rPr>
              <w:t>12979</w:t>
            </w:r>
          </w:p>
        </w:tc>
      </w:tr>
      <w:tr w14:paraId="4B093930">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3231" w:type="dxa"/>
            <w:noWrap/>
            <w:vAlign w:val="center"/>
          </w:tcPr>
          <w:p w14:paraId="47BC5BFD">
            <w:pPr>
              <w:jc w:val="center"/>
              <w:rPr>
                <w:rFonts w:ascii="宋体" w:hAnsi="宋体" w:eastAsia="宋体" w:cs="宋体"/>
                <w:color w:val="auto"/>
                <w:sz w:val="24"/>
              </w:rPr>
            </w:pPr>
            <w:r>
              <w:rPr>
                <w:rFonts w:hint="eastAsia" w:ascii="Times New Roman" w:hAnsi="Times New Roman" w:eastAsia="宋体" w:cs="Times New Roman"/>
                <w:color w:val="auto"/>
              </w:rPr>
              <w:t>胜利路～S311</w:t>
            </w:r>
          </w:p>
        </w:tc>
        <w:tc>
          <w:tcPr>
            <w:tcW w:w="1701" w:type="dxa"/>
            <w:noWrap/>
            <w:vAlign w:val="center"/>
          </w:tcPr>
          <w:p w14:paraId="613D979A">
            <w:pPr>
              <w:jc w:val="center"/>
              <w:rPr>
                <w:rFonts w:ascii="Times New Roman" w:hAnsi="Times New Roman" w:eastAsia="宋体" w:cs="Times New Roman"/>
                <w:color w:val="auto"/>
                <w:sz w:val="24"/>
              </w:rPr>
            </w:pPr>
            <w:r>
              <w:rPr>
                <w:rFonts w:ascii="Times New Roman" w:hAnsi="Times New Roman" w:eastAsia="宋体" w:cs="Times New Roman"/>
                <w:color w:val="auto"/>
              </w:rPr>
              <w:t>6678</w:t>
            </w:r>
          </w:p>
        </w:tc>
        <w:tc>
          <w:tcPr>
            <w:tcW w:w="1701" w:type="dxa"/>
            <w:noWrap/>
            <w:vAlign w:val="center"/>
          </w:tcPr>
          <w:p w14:paraId="65BEF824">
            <w:pPr>
              <w:jc w:val="center"/>
              <w:rPr>
                <w:rFonts w:ascii="Times New Roman" w:hAnsi="Times New Roman" w:eastAsia="宋体" w:cs="Times New Roman"/>
                <w:color w:val="auto"/>
                <w:sz w:val="24"/>
              </w:rPr>
            </w:pPr>
            <w:r>
              <w:rPr>
                <w:rFonts w:ascii="Times New Roman" w:hAnsi="Times New Roman" w:eastAsia="宋体" w:cs="Times New Roman"/>
                <w:color w:val="auto"/>
              </w:rPr>
              <w:t>7963</w:t>
            </w:r>
          </w:p>
        </w:tc>
        <w:tc>
          <w:tcPr>
            <w:tcW w:w="1811" w:type="dxa"/>
            <w:noWrap/>
            <w:vAlign w:val="center"/>
          </w:tcPr>
          <w:p w14:paraId="7A0EDD75">
            <w:pPr>
              <w:jc w:val="center"/>
              <w:rPr>
                <w:rFonts w:ascii="Times New Roman" w:hAnsi="Times New Roman" w:eastAsia="宋体" w:cs="Times New Roman"/>
                <w:color w:val="auto"/>
                <w:sz w:val="24"/>
              </w:rPr>
            </w:pPr>
            <w:r>
              <w:rPr>
                <w:rFonts w:ascii="Times New Roman" w:hAnsi="Times New Roman" w:eastAsia="宋体" w:cs="Times New Roman"/>
                <w:color w:val="auto"/>
              </w:rPr>
              <w:t>9368</w:t>
            </w:r>
          </w:p>
        </w:tc>
      </w:tr>
      <w:tr w14:paraId="2B17759C">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3231" w:type="dxa"/>
            <w:noWrap/>
            <w:vAlign w:val="center"/>
          </w:tcPr>
          <w:p w14:paraId="2D06E428">
            <w:pPr>
              <w:jc w:val="center"/>
              <w:rPr>
                <w:rFonts w:ascii="宋体" w:hAnsi="宋体" w:eastAsia="宋体" w:cs="宋体"/>
                <w:color w:val="auto"/>
                <w:sz w:val="24"/>
              </w:rPr>
            </w:pPr>
            <w:r>
              <w:rPr>
                <w:rFonts w:hint="eastAsia" w:ascii="Times New Roman" w:hAnsi="Times New Roman" w:eastAsia="宋体" w:cs="Times New Roman"/>
                <w:color w:val="auto"/>
              </w:rPr>
              <w:t>S311～高速口</w:t>
            </w:r>
          </w:p>
        </w:tc>
        <w:tc>
          <w:tcPr>
            <w:tcW w:w="1701" w:type="dxa"/>
            <w:noWrap/>
            <w:vAlign w:val="center"/>
          </w:tcPr>
          <w:p w14:paraId="35933FA1">
            <w:pPr>
              <w:jc w:val="center"/>
              <w:rPr>
                <w:rFonts w:ascii="Times New Roman" w:hAnsi="Times New Roman" w:eastAsia="宋体" w:cs="Times New Roman"/>
                <w:color w:val="auto"/>
                <w:sz w:val="24"/>
              </w:rPr>
            </w:pPr>
            <w:r>
              <w:rPr>
                <w:rFonts w:ascii="Times New Roman" w:hAnsi="Times New Roman" w:eastAsia="宋体" w:cs="Times New Roman"/>
                <w:color w:val="auto"/>
              </w:rPr>
              <w:t>6294</w:t>
            </w:r>
          </w:p>
        </w:tc>
        <w:tc>
          <w:tcPr>
            <w:tcW w:w="1701" w:type="dxa"/>
            <w:noWrap/>
            <w:vAlign w:val="center"/>
          </w:tcPr>
          <w:p w14:paraId="5DEAB876">
            <w:pPr>
              <w:jc w:val="center"/>
              <w:rPr>
                <w:rFonts w:ascii="Times New Roman" w:hAnsi="Times New Roman" w:eastAsia="宋体" w:cs="Times New Roman"/>
                <w:color w:val="auto"/>
                <w:sz w:val="24"/>
              </w:rPr>
            </w:pPr>
            <w:r>
              <w:rPr>
                <w:rFonts w:ascii="Times New Roman" w:hAnsi="Times New Roman" w:eastAsia="宋体" w:cs="Times New Roman"/>
                <w:color w:val="auto"/>
              </w:rPr>
              <w:t>7505</w:t>
            </w:r>
          </w:p>
        </w:tc>
        <w:tc>
          <w:tcPr>
            <w:tcW w:w="1811" w:type="dxa"/>
            <w:noWrap/>
            <w:vAlign w:val="center"/>
          </w:tcPr>
          <w:p w14:paraId="324734EC">
            <w:pPr>
              <w:jc w:val="center"/>
              <w:rPr>
                <w:rFonts w:ascii="Times New Roman" w:hAnsi="Times New Roman" w:eastAsia="宋体" w:cs="Times New Roman"/>
                <w:color w:val="auto"/>
                <w:sz w:val="24"/>
              </w:rPr>
            </w:pPr>
            <w:r>
              <w:rPr>
                <w:rFonts w:ascii="Times New Roman" w:hAnsi="Times New Roman" w:eastAsia="宋体" w:cs="Times New Roman"/>
                <w:color w:val="auto"/>
              </w:rPr>
              <w:t>8830</w:t>
            </w:r>
          </w:p>
        </w:tc>
      </w:tr>
      <w:tr w14:paraId="0F8C2FA2">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3231" w:type="dxa"/>
            <w:noWrap/>
            <w:vAlign w:val="center"/>
          </w:tcPr>
          <w:p w14:paraId="07332F8E">
            <w:pPr>
              <w:jc w:val="center"/>
              <w:rPr>
                <w:rFonts w:ascii="宋体" w:hAnsi="宋体" w:eastAsia="宋体" w:cs="宋体"/>
                <w:color w:val="auto"/>
                <w:sz w:val="24"/>
              </w:rPr>
            </w:pPr>
            <w:r>
              <w:rPr>
                <w:rFonts w:hint="eastAsia" w:ascii="Times New Roman" w:hAnsi="Times New Roman" w:eastAsia="宋体" w:cs="Times New Roman"/>
                <w:color w:val="auto"/>
              </w:rPr>
              <w:t>高速口～岳普湖</w:t>
            </w:r>
          </w:p>
        </w:tc>
        <w:tc>
          <w:tcPr>
            <w:tcW w:w="1701" w:type="dxa"/>
            <w:noWrap/>
            <w:vAlign w:val="center"/>
          </w:tcPr>
          <w:p w14:paraId="7F55AFD0">
            <w:pPr>
              <w:jc w:val="center"/>
              <w:rPr>
                <w:rFonts w:ascii="Times New Roman" w:hAnsi="Times New Roman" w:eastAsia="宋体" w:cs="Times New Roman"/>
                <w:color w:val="auto"/>
                <w:sz w:val="24"/>
              </w:rPr>
            </w:pPr>
            <w:r>
              <w:rPr>
                <w:rFonts w:ascii="Times New Roman" w:hAnsi="Times New Roman" w:eastAsia="宋体" w:cs="Times New Roman"/>
                <w:color w:val="auto"/>
              </w:rPr>
              <w:t>7044</w:t>
            </w:r>
          </w:p>
        </w:tc>
        <w:tc>
          <w:tcPr>
            <w:tcW w:w="1701" w:type="dxa"/>
            <w:noWrap/>
            <w:vAlign w:val="center"/>
          </w:tcPr>
          <w:p w14:paraId="15A24E40">
            <w:pPr>
              <w:jc w:val="center"/>
              <w:rPr>
                <w:rFonts w:ascii="Times New Roman" w:hAnsi="Times New Roman" w:eastAsia="宋体" w:cs="Times New Roman"/>
                <w:color w:val="auto"/>
                <w:sz w:val="24"/>
              </w:rPr>
            </w:pPr>
            <w:r>
              <w:rPr>
                <w:rFonts w:ascii="Times New Roman" w:hAnsi="Times New Roman" w:eastAsia="宋体" w:cs="Times New Roman"/>
                <w:color w:val="auto"/>
              </w:rPr>
              <w:t>8401</w:t>
            </w:r>
          </w:p>
        </w:tc>
        <w:tc>
          <w:tcPr>
            <w:tcW w:w="1811" w:type="dxa"/>
            <w:noWrap/>
            <w:vAlign w:val="center"/>
          </w:tcPr>
          <w:p w14:paraId="59356EA9">
            <w:pPr>
              <w:jc w:val="center"/>
              <w:rPr>
                <w:rFonts w:ascii="Times New Roman" w:hAnsi="Times New Roman" w:eastAsia="宋体" w:cs="Times New Roman"/>
                <w:color w:val="auto"/>
                <w:sz w:val="24"/>
              </w:rPr>
            </w:pPr>
            <w:r>
              <w:rPr>
                <w:rFonts w:ascii="Times New Roman" w:hAnsi="Times New Roman" w:eastAsia="宋体" w:cs="Times New Roman"/>
                <w:color w:val="auto"/>
              </w:rPr>
              <w:t>9883</w:t>
            </w:r>
          </w:p>
        </w:tc>
      </w:tr>
      <w:tr w14:paraId="6FB2D22D">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3231" w:type="dxa"/>
            <w:noWrap/>
            <w:vAlign w:val="center"/>
          </w:tcPr>
          <w:p w14:paraId="78F4A54D">
            <w:pPr>
              <w:jc w:val="center"/>
              <w:rPr>
                <w:rFonts w:ascii="Times New Roman" w:hAnsi="Times New Roman" w:eastAsia="宋体" w:cs="Times New Roman"/>
                <w:b/>
                <w:color w:val="auto"/>
                <w:szCs w:val="21"/>
              </w:rPr>
            </w:pPr>
            <w:r>
              <w:rPr>
                <w:rFonts w:ascii="Times New Roman" w:hAnsi="Times New Roman" w:eastAsia="宋体" w:cs="Times New Roman"/>
                <w:b/>
                <w:color w:val="auto"/>
              </w:rPr>
              <w:t>加权平均值</w:t>
            </w:r>
          </w:p>
        </w:tc>
        <w:tc>
          <w:tcPr>
            <w:tcW w:w="1701" w:type="dxa"/>
            <w:noWrap/>
            <w:vAlign w:val="center"/>
          </w:tcPr>
          <w:p w14:paraId="733BEF8F">
            <w:pPr>
              <w:jc w:val="center"/>
              <w:rPr>
                <w:rFonts w:ascii="Times New Roman" w:hAnsi="Times New Roman" w:eastAsia="宋体" w:cs="Times New Roman"/>
                <w:b/>
                <w:bCs/>
                <w:color w:val="auto"/>
                <w:sz w:val="24"/>
              </w:rPr>
            </w:pPr>
            <w:r>
              <w:rPr>
                <w:rFonts w:ascii="Times New Roman" w:hAnsi="Times New Roman" w:eastAsia="宋体" w:cs="Times New Roman"/>
                <w:b/>
                <w:bCs/>
                <w:color w:val="auto"/>
              </w:rPr>
              <w:t>7950</w:t>
            </w:r>
          </w:p>
        </w:tc>
        <w:tc>
          <w:tcPr>
            <w:tcW w:w="1701" w:type="dxa"/>
            <w:noWrap/>
            <w:vAlign w:val="center"/>
          </w:tcPr>
          <w:p w14:paraId="241D160B">
            <w:pPr>
              <w:jc w:val="center"/>
              <w:rPr>
                <w:rFonts w:ascii="Times New Roman" w:hAnsi="Times New Roman" w:eastAsia="宋体" w:cs="Times New Roman"/>
                <w:b/>
                <w:bCs/>
                <w:color w:val="auto"/>
                <w:sz w:val="24"/>
              </w:rPr>
            </w:pPr>
            <w:r>
              <w:rPr>
                <w:rFonts w:ascii="Times New Roman" w:hAnsi="Times New Roman" w:eastAsia="宋体" w:cs="Times New Roman"/>
                <w:b/>
                <w:bCs/>
                <w:color w:val="auto"/>
              </w:rPr>
              <w:t>9481</w:t>
            </w:r>
          </w:p>
        </w:tc>
        <w:tc>
          <w:tcPr>
            <w:tcW w:w="1811" w:type="dxa"/>
            <w:noWrap/>
            <w:vAlign w:val="center"/>
          </w:tcPr>
          <w:p w14:paraId="5DC04445">
            <w:pPr>
              <w:jc w:val="center"/>
              <w:rPr>
                <w:rFonts w:ascii="Times New Roman" w:hAnsi="Times New Roman" w:eastAsia="宋体" w:cs="Times New Roman"/>
                <w:b/>
                <w:bCs/>
                <w:color w:val="auto"/>
                <w:sz w:val="24"/>
              </w:rPr>
            </w:pPr>
            <w:r>
              <w:rPr>
                <w:rFonts w:ascii="Times New Roman" w:hAnsi="Times New Roman" w:eastAsia="宋体" w:cs="Times New Roman"/>
                <w:b/>
                <w:bCs/>
                <w:color w:val="auto"/>
              </w:rPr>
              <w:t>11154</w:t>
            </w:r>
          </w:p>
        </w:tc>
      </w:tr>
    </w:tbl>
    <w:p w14:paraId="1C55E40D">
      <w:pPr>
        <w:keepNext/>
        <w:keepLines/>
        <w:widowControl w:val="0"/>
        <w:adjustRightInd w:val="0"/>
        <w:spacing w:before="120" w:after="120" w:line="300" w:lineRule="auto"/>
        <w:jc w:val="both"/>
        <w:textAlignment w:val="baseline"/>
        <w:outlineLvl w:val="2"/>
        <w:rPr>
          <w:rFonts w:ascii="Times New Roman" w:hAnsi="Times New Roman" w:eastAsia="宋体" w:cs="Times New Roman"/>
          <w:b/>
          <w:bCs/>
          <w:color w:val="auto"/>
          <w:kern w:val="0"/>
          <w:sz w:val="32"/>
          <w:szCs w:val="32"/>
          <w:lang w:val="en-US" w:eastAsia="zh-CN" w:bidi="ar-SA"/>
        </w:rPr>
      </w:pPr>
      <w:bookmarkStart w:id="172" w:name="_Toc187528251"/>
      <w:bookmarkStart w:id="173" w:name="_Toc175213204"/>
      <w:r>
        <w:rPr>
          <w:rFonts w:ascii="Times New Roman" w:hAnsi="Times New Roman" w:eastAsia="宋体" w:cs="Times New Roman"/>
          <w:b/>
          <w:bCs w:val="0"/>
          <w:color w:val="auto"/>
          <w:kern w:val="0"/>
          <w:sz w:val="24"/>
          <w:szCs w:val="32"/>
          <w:lang w:val="en-US" w:eastAsia="zh-CN" w:bidi="ar-SA"/>
        </w:rPr>
        <w:t>2.</w:t>
      </w:r>
      <w:r>
        <w:rPr>
          <w:rFonts w:hint="eastAsia" w:ascii="Times New Roman" w:hAnsi="Times New Roman" w:eastAsia="宋体" w:cs="Times New Roman"/>
          <w:b/>
          <w:bCs w:val="0"/>
          <w:color w:val="auto"/>
          <w:kern w:val="0"/>
          <w:sz w:val="24"/>
          <w:szCs w:val="32"/>
          <w:lang w:val="en-US" w:eastAsia="zh-CN" w:bidi="ar-SA"/>
        </w:rPr>
        <w:t>4</w:t>
      </w:r>
      <w:r>
        <w:rPr>
          <w:rFonts w:ascii="Times New Roman" w:hAnsi="Times New Roman" w:eastAsia="宋体" w:cs="Times New Roman"/>
          <w:b/>
          <w:bCs w:val="0"/>
          <w:color w:val="auto"/>
          <w:kern w:val="0"/>
          <w:sz w:val="24"/>
          <w:szCs w:val="32"/>
          <w:lang w:val="en-US" w:eastAsia="zh-CN" w:bidi="ar-SA"/>
        </w:rPr>
        <w:t xml:space="preserve">.2 </w:t>
      </w:r>
      <w:r>
        <w:rPr>
          <w:rFonts w:hint="eastAsia" w:ascii="Times New Roman" w:hAnsi="Times New Roman" w:eastAsia="宋体" w:cs="Times New Roman"/>
          <w:b/>
          <w:bCs w:val="0"/>
          <w:color w:val="auto"/>
          <w:kern w:val="0"/>
          <w:sz w:val="24"/>
          <w:szCs w:val="32"/>
          <w:lang w:val="en-US" w:eastAsia="zh-CN" w:bidi="ar-SA"/>
        </w:rPr>
        <w:t>相关交通特性分析</w:t>
      </w:r>
      <w:bookmarkEnd w:id="172"/>
      <w:bookmarkEnd w:id="173"/>
    </w:p>
    <w:p w14:paraId="055F36CC">
      <w:pPr>
        <w:widowControl w:val="0"/>
        <w:spacing w:line="300" w:lineRule="auto"/>
        <w:ind w:firstLine="480" w:firstLineChars="200"/>
        <w:jc w:val="both"/>
        <w:rPr>
          <w:rFonts w:ascii="Times New Roman" w:hAnsi="Times New Roman" w:eastAsia="宋体" w:cs="Times New Roman"/>
          <w:color w:val="auto"/>
          <w:kern w:val="2"/>
          <w:sz w:val="24"/>
          <w:szCs w:val="24"/>
          <w:lang w:val="en-US" w:eastAsia="zh-CN" w:bidi="ar-SA"/>
        </w:rPr>
      </w:pPr>
      <w:r>
        <w:rPr>
          <w:rFonts w:ascii="Times New Roman" w:hAnsi="Times New Roman" w:eastAsia="宋体" w:cs="Times New Roman"/>
          <w:color w:val="auto"/>
          <w:kern w:val="2"/>
          <w:sz w:val="24"/>
          <w:szCs w:val="24"/>
          <w:lang w:val="en-US" w:eastAsia="zh-CN" w:bidi="ar-SA"/>
        </w:rPr>
        <w:t>1. 车型比</w:t>
      </w:r>
    </w:p>
    <w:p w14:paraId="6F63EE6B">
      <w:pPr>
        <w:widowControl w:val="0"/>
        <w:spacing w:line="300" w:lineRule="auto"/>
        <w:ind w:firstLine="480" w:firstLineChars="200"/>
        <w:jc w:val="both"/>
        <w:rPr>
          <w:rFonts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拟建项目</w:t>
      </w:r>
      <w:r>
        <w:rPr>
          <w:rFonts w:ascii="Times New Roman" w:hAnsi="Times New Roman" w:eastAsia="宋体" w:cs="Times New Roman"/>
          <w:color w:val="auto"/>
          <w:kern w:val="2"/>
          <w:sz w:val="24"/>
          <w:szCs w:val="24"/>
          <w:lang w:val="en-US" w:eastAsia="zh-CN" w:bidi="ar-SA"/>
        </w:rPr>
        <w:t>各特征年车型比预测结果见表2.</w:t>
      </w:r>
      <w:r>
        <w:rPr>
          <w:rFonts w:hint="eastAsia" w:ascii="Times New Roman" w:hAnsi="Times New Roman" w:eastAsia="宋体" w:cs="Times New Roman"/>
          <w:color w:val="auto"/>
          <w:kern w:val="2"/>
          <w:sz w:val="24"/>
          <w:szCs w:val="24"/>
          <w:lang w:val="en-US" w:eastAsia="zh-CN" w:bidi="ar-SA"/>
        </w:rPr>
        <w:t>4-3</w:t>
      </w:r>
      <w:r>
        <w:rPr>
          <w:rFonts w:ascii="Times New Roman" w:hAnsi="Times New Roman" w:eastAsia="宋体" w:cs="Times New Roman"/>
          <w:color w:val="auto"/>
          <w:kern w:val="2"/>
          <w:sz w:val="24"/>
          <w:szCs w:val="24"/>
          <w:lang w:val="en-US" w:eastAsia="zh-CN" w:bidi="ar-SA"/>
        </w:rPr>
        <w:t>。</w:t>
      </w:r>
    </w:p>
    <w:p w14:paraId="6A08D2E4">
      <w:pPr>
        <w:widowControl w:val="0"/>
        <w:adjustRightInd w:val="0"/>
        <w:spacing w:beforeLines="50" w:line="240" w:lineRule="auto"/>
        <w:jc w:val="center"/>
        <w:textAlignment w:val="baseline"/>
        <w:rPr>
          <w:rFonts w:ascii="Times New Roman" w:hAnsi="Times New Roman" w:eastAsia="宋体" w:cs="Times New Roman"/>
          <w:b/>
          <w:bCs/>
          <w:color w:val="auto"/>
          <w:spacing w:val="5"/>
          <w:kern w:val="0"/>
          <w:sz w:val="21"/>
          <w:szCs w:val="20"/>
          <w:lang w:val="en-US" w:eastAsia="zh-CN" w:bidi="ar-SA"/>
        </w:rPr>
      </w:pPr>
      <w:r>
        <w:rPr>
          <w:rFonts w:ascii="Times New Roman" w:hAnsi="Times New Roman" w:eastAsia="宋体" w:cs="Times New Roman"/>
          <w:b/>
          <w:bCs/>
          <w:color w:val="auto"/>
          <w:spacing w:val="5"/>
          <w:kern w:val="0"/>
          <w:sz w:val="21"/>
          <w:szCs w:val="20"/>
          <w:lang w:val="en-US" w:eastAsia="zh-CN" w:bidi="ar-SA"/>
        </w:rPr>
        <w:t>表2.</w:t>
      </w:r>
      <w:r>
        <w:rPr>
          <w:rFonts w:hint="eastAsia" w:ascii="Times New Roman" w:hAnsi="Times New Roman" w:eastAsia="宋体" w:cs="Times New Roman"/>
          <w:b/>
          <w:bCs/>
          <w:color w:val="auto"/>
          <w:spacing w:val="5"/>
          <w:kern w:val="0"/>
          <w:sz w:val="21"/>
          <w:szCs w:val="20"/>
          <w:lang w:val="en-US" w:eastAsia="zh-CN" w:bidi="ar-SA"/>
        </w:rPr>
        <w:t>4-3</w:t>
      </w:r>
      <w:r>
        <w:rPr>
          <w:rFonts w:ascii="Times New Roman" w:hAnsi="Times New Roman" w:eastAsia="宋体" w:cs="Times New Roman"/>
          <w:b/>
          <w:bCs/>
          <w:color w:val="auto"/>
          <w:spacing w:val="5"/>
          <w:kern w:val="0"/>
          <w:sz w:val="21"/>
          <w:szCs w:val="20"/>
          <w:lang w:val="en-US" w:eastAsia="zh-CN" w:bidi="ar-SA"/>
        </w:rPr>
        <w:t xml:space="preserve">  拟建</w:t>
      </w:r>
      <w:r>
        <w:rPr>
          <w:rFonts w:hint="eastAsia" w:ascii="Times New Roman" w:hAnsi="Times New Roman" w:eastAsia="宋体" w:cs="Times New Roman"/>
          <w:b/>
          <w:bCs/>
          <w:color w:val="auto"/>
          <w:spacing w:val="5"/>
          <w:kern w:val="0"/>
          <w:sz w:val="21"/>
          <w:szCs w:val="20"/>
          <w:lang w:val="en-US" w:eastAsia="zh-CN" w:bidi="ar-SA"/>
        </w:rPr>
        <w:t>项目</w:t>
      </w:r>
      <w:r>
        <w:rPr>
          <w:rFonts w:ascii="Times New Roman" w:hAnsi="Times New Roman" w:eastAsia="宋体" w:cs="Times New Roman"/>
          <w:b/>
          <w:bCs/>
          <w:color w:val="auto"/>
          <w:spacing w:val="5"/>
          <w:kern w:val="0"/>
          <w:sz w:val="21"/>
          <w:szCs w:val="20"/>
          <w:lang w:val="en-US" w:eastAsia="zh-CN" w:bidi="ar-SA"/>
        </w:rPr>
        <w:t>各特征年车型比预测结果（绝对数）</w:t>
      </w:r>
    </w:p>
    <w:tbl>
      <w:tblPr>
        <w:tblStyle w:val="22"/>
        <w:tblW w:w="5000" w:type="pct"/>
        <w:jc w:val="center"/>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autofit"/>
        <w:tblCellMar>
          <w:top w:w="0" w:type="dxa"/>
          <w:left w:w="28" w:type="dxa"/>
          <w:bottom w:w="0" w:type="dxa"/>
          <w:right w:w="28" w:type="dxa"/>
        </w:tblCellMar>
      </w:tblPr>
      <w:tblGrid>
        <w:gridCol w:w="2056"/>
        <w:gridCol w:w="827"/>
        <w:gridCol w:w="827"/>
        <w:gridCol w:w="792"/>
        <w:gridCol w:w="792"/>
        <w:gridCol w:w="1582"/>
        <w:gridCol w:w="1496"/>
      </w:tblGrid>
      <w:tr w14:paraId="0F7864EE">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28" w:type="dxa"/>
            <w:bottom w:w="0" w:type="dxa"/>
            <w:right w:w="28" w:type="dxa"/>
          </w:tblCellMar>
        </w:tblPrEx>
        <w:trPr>
          <w:trHeight w:val="270" w:hRule="atLeast"/>
          <w:jc w:val="center"/>
        </w:trPr>
        <w:tc>
          <w:tcPr>
            <w:tcW w:w="1228" w:type="pct"/>
            <w:vMerge w:val="restart"/>
            <w:tcBorders>
              <w:tl2br w:val="single" w:color="auto" w:sz="4" w:space="0"/>
            </w:tcBorders>
            <w:vAlign w:val="center"/>
          </w:tcPr>
          <w:p w14:paraId="693FD592">
            <w:pPr>
              <w:jc w:val="right"/>
              <w:rPr>
                <w:rFonts w:ascii="Times New Roman" w:hAnsi="Times New Roman" w:eastAsia="宋体" w:cs="Times New Roman"/>
                <w:b/>
                <w:color w:val="auto"/>
              </w:rPr>
            </w:pPr>
            <w:r>
              <w:rPr>
                <w:rFonts w:ascii="Times New Roman" w:hAnsi="Times New Roman" w:eastAsia="宋体" w:cs="Times New Roman"/>
                <w:b/>
                <w:color w:val="auto"/>
              </w:rPr>
              <w:t>车型</w:t>
            </w:r>
          </w:p>
          <w:p w14:paraId="4B25FC13">
            <w:pPr>
              <w:jc w:val="left"/>
              <w:rPr>
                <w:rFonts w:ascii="Times New Roman" w:hAnsi="Times New Roman" w:eastAsia="宋体" w:cs="Times New Roman"/>
                <w:b/>
                <w:color w:val="auto"/>
              </w:rPr>
            </w:pPr>
            <w:r>
              <w:rPr>
                <w:rFonts w:ascii="Times New Roman" w:hAnsi="Times New Roman" w:eastAsia="宋体" w:cs="Times New Roman"/>
                <w:b/>
                <w:color w:val="auto"/>
              </w:rPr>
              <w:t>预测特征年</w:t>
            </w:r>
          </w:p>
        </w:tc>
        <w:tc>
          <w:tcPr>
            <w:tcW w:w="988" w:type="pct"/>
            <w:gridSpan w:val="2"/>
            <w:vAlign w:val="center"/>
          </w:tcPr>
          <w:p w14:paraId="605B915E">
            <w:pPr>
              <w:jc w:val="center"/>
              <w:rPr>
                <w:rFonts w:ascii="Times New Roman" w:hAnsi="Times New Roman" w:eastAsia="宋体" w:cs="Times New Roman"/>
                <w:b/>
                <w:color w:val="auto"/>
              </w:rPr>
            </w:pPr>
            <w:r>
              <w:rPr>
                <w:rFonts w:ascii="Times New Roman" w:hAnsi="Times New Roman" w:eastAsia="宋体" w:cs="Times New Roman"/>
                <w:b/>
                <w:color w:val="auto"/>
              </w:rPr>
              <w:t>小型车</w:t>
            </w:r>
          </w:p>
        </w:tc>
        <w:tc>
          <w:tcPr>
            <w:tcW w:w="946" w:type="pct"/>
            <w:gridSpan w:val="2"/>
            <w:vAlign w:val="center"/>
          </w:tcPr>
          <w:p w14:paraId="0AF2B7AD">
            <w:pPr>
              <w:jc w:val="center"/>
              <w:rPr>
                <w:rFonts w:ascii="Times New Roman" w:hAnsi="Times New Roman" w:eastAsia="宋体" w:cs="Times New Roman"/>
                <w:b/>
                <w:color w:val="auto"/>
              </w:rPr>
            </w:pPr>
            <w:r>
              <w:rPr>
                <w:rFonts w:ascii="Times New Roman" w:hAnsi="Times New Roman" w:eastAsia="宋体" w:cs="Times New Roman"/>
                <w:b/>
                <w:color w:val="auto"/>
              </w:rPr>
              <w:t>中型车</w:t>
            </w:r>
          </w:p>
        </w:tc>
        <w:tc>
          <w:tcPr>
            <w:tcW w:w="1838" w:type="pct"/>
            <w:gridSpan w:val="2"/>
            <w:vAlign w:val="center"/>
          </w:tcPr>
          <w:p w14:paraId="0E6F6E1C">
            <w:pPr>
              <w:jc w:val="center"/>
              <w:rPr>
                <w:rFonts w:ascii="Times New Roman" w:hAnsi="Times New Roman" w:eastAsia="宋体" w:cs="Times New Roman"/>
                <w:b/>
                <w:color w:val="auto"/>
              </w:rPr>
            </w:pPr>
            <w:r>
              <w:rPr>
                <w:rFonts w:ascii="Times New Roman" w:hAnsi="Times New Roman" w:eastAsia="宋体" w:cs="Times New Roman"/>
                <w:b/>
                <w:color w:val="auto"/>
              </w:rPr>
              <w:t>大型车</w:t>
            </w:r>
          </w:p>
        </w:tc>
      </w:tr>
      <w:tr w14:paraId="4B960200">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28" w:type="dxa"/>
            <w:bottom w:w="0" w:type="dxa"/>
            <w:right w:w="28" w:type="dxa"/>
          </w:tblCellMar>
        </w:tblPrEx>
        <w:trPr>
          <w:trHeight w:val="78" w:hRule="atLeast"/>
          <w:jc w:val="center"/>
        </w:trPr>
        <w:tc>
          <w:tcPr>
            <w:tcW w:w="1228" w:type="pct"/>
            <w:vMerge w:val="continue"/>
            <w:tcBorders>
              <w:tl2br w:val="single" w:color="auto" w:sz="4" w:space="0"/>
            </w:tcBorders>
            <w:vAlign w:val="center"/>
          </w:tcPr>
          <w:p w14:paraId="4971BA64">
            <w:pPr>
              <w:jc w:val="right"/>
              <w:rPr>
                <w:rFonts w:ascii="Times New Roman" w:hAnsi="Times New Roman" w:eastAsia="宋体" w:cs="Times New Roman"/>
                <w:b/>
                <w:color w:val="auto"/>
              </w:rPr>
            </w:pPr>
          </w:p>
        </w:tc>
        <w:tc>
          <w:tcPr>
            <w:tcW w:w="494" w:type="pct"/>
            <w:vAlign w:val="center"/>
          </w:tcPr>
          <w:p w14:paraId="24C2F9A1">
            <w:pPr>
              <w:jc w:val="center"/>
              <w:rPr>
                <w:rFonts w:ascii="Times New Roman" w:hAnsi="Times New Roman" w:eastAsia="宋体" w:cs="Times New Roman"/>
                <w:b/>
                <w:color w:val="auto"/>
              </w:rPr>
            </w:pPr>
            <w:r>
              <w:rPr>
                <w:rFonts w:ascii="Times New Roman" w:hAnsi="Times New Roman" w:eastAsia="宋体" w:cs="Times New Roman"/>
                <w:b/>
                <w:color w:val="auto"/>
              </w:rPr>
              <w:t>小客车</w:t>
            </w:r>
          </w:p>
        </w:tc>
        <w:tc>
          <w:tcPr>
            <w:tcW w:w="494" w:type="pct"/>
            <w:vAlign w:val="center"/>
          </w:tcPr>
          <w:p w14:paraId="2A3E495C">
            <w:pPr>
              <w:jc w:val="center"/>
              <w:rPr>
                <w:rFonts w:ascii="Times New Roman" w:hAnsi="Times New Roman" w:eastAsia="宋体" w:cs="Times New Roman"/>
                <w:b/>
                <w:color w:val="auto"/>
              </w:rPr>
            </w:pPr>
            <w:r>
              <w:rPr>
                <w:rFonts w:ascii="Times New Roman" w:hAnsi="Times New Roman" w:eastAsia="宋体" w:cs="Times New Roman"/>
                <w:b/>
                <w:color w:val="auto"/>
              </w:rPr>
              <w:t>小货车</w:t>
            </w:r>
          </w:p>
        </w:tc>
        <w:tc>
          <w:tcPr>
            <w:tcW w:w="473" w:type="pct"/>
            <w:vAlign w:val="center"/>
          </w:tcPr>
          <w:p w14:paraId="1EDB26B9">
            <w:pPr>
              <w:jc w:val="center"/>
              <w:rPr>
                <w:rFonts w:ascii="Times New Roman" w:hAnsi="Times New Roman" w:eastAsia="宋体" w:cs="Times New Roman"/>
                <w:b/>
                <w:color w:val="auto"/>
              </w:rPr>
            </w:pPr>
            <w:r>
              <w:rPr>
                <w:rFonts w:ascii="Times New Roman" w:hAnsi="Times New Roman" w:eastAsia="宋体" w:cs="Times New Roman"/>
                <w:b/>
                <w:color w:val="auto"/>
              </w:rPr>
              <w:t>大客车</w:t>
            </w:r>
          </w:p>
        </w:tc>
        <w:tc>
          <w:tcPr>
            <w:tcW w:w="473" w:type="pct"/>
            <w:vAlign w:val="center"/>
          </w:tcPr>
          <w:p w14:paraId="298CCF6F">
            <w:pPr>
              <w:jc w:val="center"/>
              <w:rPr>
                <w:rFonts w:ascii="Times New Roman" w:hAnsi="Times New Roman" w:eastAsia="宋体" w:cs="Times New Roman"/>
                <w:b/>
                <w:color w:val="auto"/>
              </w:rPr>
            </w:pPr>
            <w:r>
              <w:rPr>
                <w:rFonts w:ascii="Times New Roman" w:hAnsi="Times New Roman" w:eastAsia="宋体" w:cs="Times New Roman"/>
                <w:b/>
                <w:color w:val="auto"/>
              </w:rPr>
              <w:t>中货车</w:t>
            </w:r>
          </w:p>
        </w:tc>
        <w:tc>
          <w:tcPr>
            <w:tcW w:w="945" w:type="pct"/>
            <w:vAlign w:val="center"/>
          </w:tcPr>
          <w:p w14:paraId="1235410B">
            <w:pPr>
              <w:jc w:val="center"/>
              <w:rPr>
                <w:rFonts w:ascii="Times New Roman" w:hAnsi="Times New Roman" w:eastAsia="宋体" w:cs="Times New Roman"/>
                <w:b/>
                <w:color w:val="auto"/>
                <w:sz w:val="24"/>
              </w:rPr>
            </w:pPr>
            <w:r>
              <w:rPr>
                <w:rFonts w:hint="eastAsia" w:ascii="Times New Roman" w:hAnsi="Times New Roman" w:eastAsia="宋体" w:cs="Times New Roman"/>
                <w:b/>
                <w:color w:val="auto"/>
              </w:rPr>
              <w:t>大货车</w:t>
            </w:r>
          </w:p>
        </w:tc>
        <w:tc>
          <w:tcPr>
            <w:tcW w:w="893" w:type="pct"/>
            <w:vAlign w:val="center"/>
          </w:tcPr>
          <w:p w14:paraId="0532E004">
            <w:pPr>
              <w:jc w:val="center"/>
              <w:rPr>
                <w:rFonts w:ascii="Times New Roman" w:hAnsi="Times New Roman" w:eastAsia="宋体" w:cs="Times New Roman"/>
                <w:b/>
                <w:color w:val="auto"/>
                <w:sz w:val="24"/>
              </w:rPr>
            </w:pPr>
            <w:r>
              <w:rPr>
                <w:rFonts w:hint="eastAsia" w:ascii="Times New Roman" w:hAnsi="Times New Roman" w:eastAsia="宋体" w:cs="Times New Roman"/>
                <w:b/>
                <w:color w:val="auto"/>
              </w:rPr>
              <w:t>汽车列车</w:t>
            </w:r>
          </w:p>
        </w:tc>
      </w:tr>
      <w:tr w14:paraId="7A0AD98B">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28" w:type="dxa"/>
            <w:bottom w:w="0" w:type="dxa"/>
            <w:right w:w="28" w:type="dxa"/>
          </w:tblCellMar>
        </w:tblPrEx>
        <w:trPr>
          <w:jc w:val="center"/>
        </w:trPr>
        <w:tc>
          <w:tcPr>
            <w:tcW w:w="1228" w:type="pct"/>
            <w:vAlign w:val="center"/>
          </w:tcPr>
          <w:p w14:paraId="64EF23ED">
            <w:pPr>
              <w:jc w:val="center"/>
              <w:rPr>
                <w:rFonts w:ascii="Times New Roman" w:hAnsi="Times New Roman" w:eastAsia="宋体" w:cs="Times New Roman"/>
                <w:color w:val="auto"/>
                <w:sz w:val="24"/>
              </w:rPr>
            </w:pPr>
            <w:r>
              <w:rPr>
                <w:rFonts w:ascii="Times New Roman" w:hAnsi="Times New Roman" w:eastAsia="宋体" w:cs="Times New Roman"/>
                <w:color w:val="auto"/>
              </w:rPr>
              <w:t>2028年</w:t>
            </w:r>
          </w:p>
        </w:tc>
        <w:tc>
          <w:tcPr>
            <w:tcW w:w="494" w:type="pct"/>
            <w:vAlign w:val="center"/>
          </w:tcPr>
          <w:p w14:paraId="466BBB2D">
            <w:pPr>
              <w:jc w:val="center"/>
              <w:rPr>
                <w:rFonts w:ascii="Times New Roman" w:hAnsi="Times New Roman" w:eastAsia="宋体" w:cs="Times New Roman"/>
                <w:color w:val="auto"/>
                <w:sz w:val="24"/>
              </w:rPr>
            </w:pPr>
            <w:r>
              <w:rPr>
                <w:rFonts w:ascii="Times New Roman" w:hAnsi="Times New Roman" w:eastAsia="宋体" w:cs="Times New Roman"/>
                <w:color w:val="auto"/>
              </w:rPr>
              <w:t>73.30%</w:t>
            </w:r>
          </w:p>
        </w:tc>
        <w:tc>
          <w:tcPr>
            <w:tcW w:w="494" w:type="pct"/>
            <w:vAlign w:val="center"/>
          </w:tcPr>
          <w:p w14:paraId="4150E383">
            <w:pPr>
              <w:jc w:val="center"/>
              <w:rPr>
                <w:rFonts w:ascii="Times New Roman" w:hAnsi="Times New Roman" w:eastAsia="宋体" w:cs="Times New Roman"/>
                <w:color w:val="auto"/>
                <w:sz w:val="24"/>
              </w:rPr>
            </w:pPr>
            <w:r>
              <w:rPr>
                <w:rFonts w:ascii="Times New Roman" w:hAnsi="Times New Roman" w:eastAsia="宋体" w:cs="Times New Roman"/>
                <w:color w:val="auto"/>
              </w:rPr>
              <w:t>0.90%</w:t>
            </w:r>
          </w:p>
        </w:tc>
        <w:tc>
          <w:tcPr>
            <w:tcW w:w="473" w:type="pct"/>
            <w:vAlign w:val="center"/>
          </w:tcPr>
          <w:p w14:paraId="51E79829">
            <w:pPr>
              <w:jc w:val="center"/>
              <w:rPr>
                <w:rFonts w:ascii="Times New Roman" w:hAnsi="Times New Roman" w:eastAsia="宋体" w:cs="Times New Roman"/>
                <w:color w:val="auto"/>
                <w:sz w:val="24"/>
              </w:rPr>
            </w:pPr>
            <w:r>
              <w:rPr>
                <w:rFonts w:ascii="Times New Roman" w:hAnsi="Times New Roman" w:eastAsia="宋体" w:cs="Times New Roman"/>
                <w:color w:val="auto"/>
              </w:rPr>
              <w:t>6.00%</w:t>
            </w:r>
          </w:p>
        </w:tc>
        <w:tc>
          <w:tcPr>
            <w:tcW w:w="473" w:type="pct"/>
            <w:vAlign w:val="center"/>
          </w:tcPr>
          <w:p w14:paraId="1B252C9D">
            <w:pPr>
              <w:jc w:val="center"/>
              <w:rPr>
                <w:rFonts w:ascii="Times New Roman" w:hAnsi="Times New Roman" w:eastAsia="宋体" w:cs="Times New Roman"/>
                <w:color w:val="auto"/>
                <w:sz w:val="24"/>
              </w:rPr>
            </w:pPr>
            <w:r>
              <w:rPr>
                <w:rFonts w:ascii="Times New Roman" w:hAnsi="Times New Roman" w:eastAsia="宋体" w:cs="Times New Roman"/>
                <w:color w:val="auto"/>
              </w:rPr>
              <w:t>0.80%</w:t>
            </w:r>
          </w:p>
        </w:tc>
        <w:tc>
          <w:tcPr>
            <w:tcW w:w="945" w:type="pct"/>
            <w:vAlign w:val="center"/>
          </w:tcPr>
          <w:p w14:paraId="0FB03EAA">
            <w:pPr>
              <w:jc w:val="center"/>
              <w:rPr>
                <w:rFonts w:ascii="Times New Roman" w:hAnsi="Times New Roman" w:eastAsia="宋体" w:cs="Times New Roman"/>
                <w:color w:val="auto"/>
                <w:sz w:val="24"/>
              </w:rPr>
            </w:pPr>
            <w:r>
              <w:rPr>
                <w:rFonts w:ascii="Times New Roman" w:hAnsi="Times New Roman" w:eastAsia="宋体" w:cs="Times New Roman"/>
                <w:color w:val="auto"/>
              </w:rPr>
              <w:t>2.70%</w:t>
            </w:r>
          </w:p>
        </w:tc>
        <w:tc>
          <w:tcPr>
            <w:tcW w:w="893" w:type="pct"/>
            <w:vAlign w:val="center"/>
          </w:tcPr>
          <w:p w14:paraId="441F50DF">
            <w:pPr>
              <w:jc w:val="center"/>
              <w:rPr>
                <w:rFonts w:ascii="Times New Roman" w:hAnsi="Times New Roman" w:eastAsia="宋体" w:cs="Times New Roman"/>
                <w:color w:val="auto"/>
                <w:sz w:val="24"/>
              </w:rPr>
            </w:pPr>
            <w:r>
              <w:rPr>
                <w:rFonts w:ascii="Times New Roman" w:hAnsi="Times New Roman" w:eastAsia="宋体" w:cs="Times New Roman"/>
                <w:color w:val="auto"/>
              </w:rPr>
              <w:t>16.30%</w:t>
            </w:r>
          </w:p>
        </w:tc>
      </w:tr>
      <w:tr w14:paraId="1A0A9A09">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28" w:type="dxa"/>
            <w:bottom w:w="0" w:type="dxa"/>
            <w:right w:w="28" w:type="dxa"/>
          </w:tblCellMar>
        </w:tblPrEx>
        <w:trPr>
          <w:jc w:val="center"/>
        </w:trPr>
        <w:tc>
          <w:tcPr>
            <w:tcW w:w="1228" w:type="pct"/>
            <w:vAlign w:val="center"/>
          </w:tcPr>
          <w:p w14:paraId="416FC5C7">
            <w:pPr>
              <w:jc w:val="center"/>
              <w:rPr>
                <w:rFonts w:ascii="Times New Roman" w:hAnsi="Times New Roman" w:eastAsia="宋体" w:cs="Times New Roman"/>
                <w:color w:val="auto"/>
                <w:sz w:val="24"/>
              </w:rPr>
            </w:pPr>
            <w:r>
              <w:rPr>
                <w:rFonts w:ascii="Times New Roman" w:hAnsi="Times New Roman" w:eastAsia="宋体" w:cs="Times New Roman"/>
                <w:color w:val="auto"/>
              </w:rPr>
              <w:t>2034年</w:t>
            </w:r>
          </w:p>
        </w:tc>
        <w:tc>
          <w:tcPr>
            <w:tcW w:w="494" w:type="pct"/>
            <w:vAlign w:val="center"/>
          </w:tcPr>
          <w:p w14:paraId="37C8D481">
            <w:pPr>
              <w:jc w:val="center"/>
              <w:rPr>
                <w:rFonts w:ascii="Times New Roman" w:hAnsi="Times New Roman" w:eastAsia="宋体" w:cs="Times New Roman"/>
                <w:color w:val="auto"/>
                <w:sz w:val="24"/>
              </w:rPr>
            </w:pPr>
            <w:r>
              <w:rPr>
                <w:rFonts w:ascii="Times New Roman" w:hAnsi="Times New Roman" w:eastAsia="宋体" w:cs="Times New Roman"/>
                <w:color w:val="auto"/>
              </w:rPr>
              <w:t>73.82%</w:t>
            </w:r>
          </w:p>
        </w:tc>
        <w:tc>
          <w:tcPr>
            <w:tcW w:w="494" w:type="pct"/>
            <w:vAlign w:val="center"/>
          </w:tcPr>
          <w:p w14:paraId="1B063C0D">
            <w:pPr>
              <w:jc w:val="center"/>
              <w:rPr>
                <w:rFonts w:ascii="Times New Roman" w:hAnsi="Times New Roman" w:eastAsia="宋体" w:cs="Times New Roman"/>
                <w:color w:val="auto"/>
                <w:sz w:val="24"/>
              </w:rPr>
            </w:pPr>
            <w:r>
              <w:rPr>
                <w:rFonts w:ascii="Times New Roman" w:hAnsi="Times New Roman" w:eastAsia="宋体" w:cs="Times New Roman"/>
                <w:color w:val="auto"/>
              </w:rPr>
              <w:t>0.72%</w:t>
            </w:r>
          </w:p>
        </w:tc>
        <w:tc>
          <w:tcPr>
            <w:tcW w:w="473" w:type="pct"/>
            <w:vAlign w:val="center"/>
          </w:tcPr>
          <w:p w14:paraId="4BD4ABA9">
            <w:pPr>
              <w:jc w:val="center"/>
              <w:rPr>
                <w:rFonts w:ascii="Times New Roman" w:hAnsi="Times New Roman" w:eastAsia="宋体" w:cs="Times New Roman"/>
                <w:color w:val="auto"/>
                <w:sz w:val="24"/>
              </w:rPr>
            </w:pPr>
            <w:r>
              <w:rPr>
                <w:rFonts w:ascii="Times New Roman" w:hAnsi="Times New Roman" w:eastAsia="宋体" w:cs="Times New Roman"/>
                <w:color w:val="auto"/>
              </w:rPr>
              <w:t>5.56%</w:t>
            </w:r>
          </w:p>
        </w:tc>
        <w:tc>
          <w:tcPr>
            <w:tcW w:w="473" w:type="pct"/>
            <w:vAlign w:val="center"/>
          </w:tcPr>
          <w:p w14:paraId="38C232A9">
            <w:pPr>
              <w:jc w:val="center"/>
              <w:rPr>
                <w:rFonts w:ascii="Times New Roman" w:hAnsi="Times New Roman" w:eastAsia="宋体" w:cs="Times New Roman"/>
                <w:color w:val="auto"/>
                <w:sz w:val="24"/>
              </w:rPr>
            </w:pPr>
            <w:r>
              <w:rPr>
                <w:rFonts w:ascii="Times New Roman" w:hAnsi="Times New Roman" w:eastAsia="宋体" w:cs="Times New Roman"/>
                <w:color w:val="auto"/>
              </w:rPr>
              <w:t>0.64%</w:t>
            </w:r>
          </w:p>
        </w:tc>
        <w:tc>
          <w:tcPr>
            <w:tcW w:w="945" w:type="pct"/>
            <w:vAlign w:val="center"/>
          </w:tcPr>
          <w:p w14:paraId="4B231DE0">
            <w:pPr>
              <w:jc w:val="center"/>
              <w:rPr>
                <w:rFonts w:ascii="Times New Roman" w:hAnsi="Times New Roman" w:eastAsia="宋体" w:cs="Times New Roman"/>
                <w:color w:val="auto"/>
                <w:sz w:val="24"/>
              </w:rPr>
            </w:pPr>
            <w:r>
              <w:rPr>
                <w:rFonts w:ascii="Times New Roman" w:hAnsi="Times New Roman" w:eastAsia="宋体" w:cs="Times New Roman"/>
                <w:color w:val="auto"/>
              </w:rPr>
              <w:t>2.88%</w:t>
            </w:r>
          </w:p>
        </w:tc>
        <w:tc>
          <w:tcPr>
            <w:tcW w:w="893" w:type="pct"/>
            <w:vAlign w:val="center"/>
          </w:tcPr>
          <w:p w14:paraId="6F862794">
            <w:pPr>
              <w:jc w:val="center"/>
              <w:rPr>
                <w:rFonts w:ascii="Times New Roman" w:hAnsi="Times New Roman" w:eastAsia="宋体" w:cs="Times New Roman"/>
                <w:color w:val="auto"/>
                <w:sz w:val="24"/>
              </w:rPr>
            </w:pPr>
            <w:r>
              <w:rPr>
                <w:rFonts w:ascii="Times New Roman" w:hAnsi="Times New Roman" w:eastAsia="宋体" w:cs="Times New Roman"/>
                <w:color w:val="auto"/>
              </w:rPr>
              <w:t>16.38%</w:t>
            </w:r>
          </w:p>
        </w:tc>
      </w:tr>
      <w:tr w14:paraId="12A5568D">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28" w:type="dxa"/>
            <w:bottom w:w="0" w:type="dxa"/>
            <w:right w:w="28" w:type="dxa"/>
          </w:tblCellMar>
        </w:tblPrEx>
        <w:trPr>
          <w:jc w:val="center"/>
        </w:trPr>
        <w:tc>
          <w:tcPr>
            <w:tcW w:w="1228" w:type="pct"/>
            <w:vAlign w:val="center"/>
          </w:tcPr>
          <w:p w14:paraId="58E9D805">
            <w:pPr>
              <w:jc w:val="center"/>
              <w:rPr>
                <w:rFonts w:ascii="Times New Roman" w:hAnsi="Times New Roman" w:eastAsia="宋体" w:cs="Times New Roman"/>
                <w:color w:val="auto"/>
                <w:sz w:val="24"/>
              </w:rPr>
            </w:pPr>
            <w:r>
              <w:rPr>
                <w:rFonts w:ascii="Times New Roman" w:hAnsi="Times New Roman" w:eastAsia="宋体" w:cs="Times New Roman"/>
                <w:color w:val="auto"/>
              </w:rPr>
              <w:t>2042年</w:t>
            </w:r>
          </w:p>
        </w:tc>
        <w:tc>
          <w:tcPr>
            <w:tcW w:w="494" w:type="pct"/>
            <w:vAlign w:val="center"/>
          </w:tcPr>
          <w:p w14:paraId="41A95C5B">
            <w:pPr>
              <w:jc w:val="center"/>
              <w:rPr>
                <w:rFonts w:ascii="Times New Roman" w:hAnsi="Times New Roman" w:eastAsia="宋体" w:cs="Times New Roman"/>
                <w:color w:val="auto"/>
                <w:sz w:val="24"/>
              </w:rPr>
            </w:pPr>
            <w:r>
              <w:rPr>
                <w:rFonts w:ascii="Times New Roman" w:hAnsi="Times New Roman" w:eastAsia="宋体" w:cs="Times New Roman"/>
                <w:color w:val="auto"/>
              </w:rPr>
              <w:t>74.46%</w:t>
            </w:r>
          </w:p>
        </w:tc>
        <w:tc>
          <w:tcPr>
            <w:tcW w:w="494" w:type="pct"/>
            <w:vAlign w:val="center"/>
          </w:tcPr>
          <w:p w14:paraId="7C7EBD07">
            <w:pPr>
              <w:jc w:val="center"/>
              <w:rPr>
                <w:rFonts w:ascii="Times New Roman" w:hAnsi="Times New Roman" w:eastAsia="宋体" w:cs="Times New Roman"/>
                <w:color w:val="auto"/>
                <w:sz w:val="24"/>
              </w:rPr>
            </w:pPr>
            <w:r>
              <w:rPr>
                <w:rFonts w:ascii="Times New Roman" w:hAnsi="Times New Roman" w:eastAsia="宋体" w:cs="Times New Roman"/>
                <w:color w:val="auto"/>
              </w:rPr>
              <w:t>0.51%</w:t>
            </w:r>
          </w:p>
        </w:tc>
        <w:tc>
          <w:tcPr>
            <w:tcW w:w="473" w:type="pct"/>
            <w:vAlign w:val="center"/>
          </w:tcPr>
          <w:p w14:paraId="661376A3">
            <w:pPr>
              <w:jc w:val="center"/>
              <w:rPr>
                <w:rFonts w:ascii="Times New Roman" w:hAnsi="Times New Roman" w:eastAsia="宋体" w:cs="Times New Roman"/>
                <w:color w:val="auto"/>
                <w:sz w:val="24"/>
              </w:rPr>
            </w:pPr>
            <w:r>
              <w:rPr>
                <w:rFonts w:ascii="Times New Roman" w:hAnsi="Times New Roman" w:eastAsia="宋体" w:cs="Times New Roman"/>
                <w:color w:val="auto"/>
              </w:rPr>
              <w:t>5.16%</w:t>
            </w:r>
          </w:p>
        </w:tc>
        <w:tc>
          <w:tcPr>
            <w:tcW w:w="473" w:type="pct"/>
            <w:vAlign w:val="center"/>
          </w:tcPr>
          <w:p w14:paraId="17F4ACD4">
            <w:pPr>
              <w:jc w:val="center"/>
              <w:rPr>
                <w:rFonts w:ascii="Times New Roman" w:hAnsi="Times New Roman" w:eastAsia="宋体" w:cs="Times New Roman"/>
                <w:color w:val="auto"/>
                <w:sz w:val="24"/>
              </w:rPr>
            </w:pPr>
            <w:r>
              <w:rPr>
                <w:rFonts w:ascii="Times New Roman" w:hAnsi="Times New Roman" w:eastAsia="宋体" w:cs="Times New Roman"/>
                <w:color w:val="auto"/>
              </w:rPr>
              <w:t>0.46%</w:t>
            </w:r>
          </w:p>
        </w:tc>
        <w:tc>
          <w:tcPr>
            <w:tcW w:w="945" w:type="pct"/>
            <w:vAlign w:val="center"/>
          </w:tcPr>
          <w:p w14:paraId="6841C086">
            <w:pPr>
              <w:jc w:val="center"/>
              <w:rPr>
                <w:rFonts w:ascii="Times New Roman" w:hAnsi="Times New Roman" w:eastAsia="宋体" w:cs="Times New Roman"/>
                <w:color w:val="auto"/>
                <w:sz w:val="24"/>
              </w:rPr>
            </w:pPr>
            <w:r>
              <w:rPr>
                <w:rFonts w:ascii="Times New Roman" w:hAnsi="Times New Roman" w:eastAsia="宋体" w:cs="Times New Roman"/>
                <w:color w:val="auto"/>
              </w:rPr>
              <w:t>3.00%</w:t>
            </w:r>
          </w:p>
        </w:tc>
        <w:tc>
          <w:tcPr>
            <w:tcW w:w="893" w:type="pct"/>
            <w:vAlign w:val="center"/>
          </w:tcPr>
          <w:p w14:paraId="57E67CF7">
            <w:pPr>
              <w:jc w:val="center"/>
              <w:rPr>
                <w:rFonts w:ascii="Times New Roman" w:hAnsi="Times New Roman" w:eastAsia="宋体" w:cs="Times New Roman"/>
                <w:color w:val="auto"/>
                <w:sz w:val="24"/>
              </w:rPr>
            </w:pPr>
            <w:r>
              <w:rPr>
                <w:rFonts w:ascii="Times New Roman" w:hAnsi="Times New Roman" w:eastAsia="宋体" w:cs="Times New Roman"/>
                <w:color w:val="auto"/>
              </w:rPr>
              <w:t>16.40%</w:t>
            </w:r>
          </w:p>
        </w:tc>
      </w:tr>
    </w:tbl>
    <w:p w14:paraId="08C81B25">
      <w:pPr>
        <w:rPr>
          <w:rFonts w:ascii="Times New Roman" w:hAnsi="Times New Roman" w:eastAsia="宋体" w:cs="Times New Roman"/>
          <w:color w:val="auto"/>
        </w:rPr>
      </w:pPr>
    </w:p>
    <w:p w14:paraId="7A607E0D">
      <w:pPr>
        <w:widowControl w:val="0"/>
        <w:adjustRightInd w:val="0"/>
        <w:spacing w:line="300" w:lineRule="auto"/>
        <w:ind w:firstLine="480" w:firstLineChars="200"/>
        <w:jc w:val="both"/>
        <w:rPr>
          <w:rFonts w:ascii="Times New Roman" w:hAnsi="Times New Roman" w:eastAsia="宋体" w:cs="Times New Roman"/>
          <w:color w:val="auto"/>
          <w:kern w:val="2"/>
          <w:sz w:val="24"/>
          <w:szCs w:val="20"/>
          <w:lang w:val="en-US" w:eastAsia="zh-CN" w:bidi="ar-SA"/>
        </w:rPr>
      </w:pPr>
      <w:r>
        <w:rPr>
          <w:rFonts w:ascii="Times New Roman" w:hAnsi="Times New Roman" w:eastAsia="宋体" w:cs="Times New Roman"/>
          <w:color w:val="auto"/>
          <w:kern w:val="2"/>
          <w:sz w:val="24"/>
          <w:szCs w:val="20"/>
          <w:lang w:val="en-US" w:eastAsia="zh-CN" w:bidi="ar-SA"/>
        </w:rPr>
        <w:t>2. 昼夜比系数</w:t>
      </w:r>
    </w:p>
    <w:p w14:paraId="770F6180">
      <w:pPr>
        <w:widowControl w:val="0"/>
        <w:adjustRightInd w:val="0"/>
        <w:spacing w:line="300" w:lineRule="auto"/>
        <w:ind w:firstLine="480" w:firstLineChars="200"/>
        <w:jc w:val="both"/>
        <w:rPr>
          <w:rFonts w:ascii="Times New Roman" w:hAnsi="Times New Roman" w:eastAsia="宋体" w:cs="Times New Roman"/>
          <w:color w:val="auto"/>
          <w:kern w:val="2"/>
          <w:sz w:val="24"/>
          <w:szCs w:val="20"/>
          <w:lang w:val="en-US" w:eastAsia="zh-CN" w:bidi="ar-SA"/>
        </w:rPr>
      </w:pPr>
      <w:r>
        <w:rPr>
          <w:rFonts w:ascii="Times New Roman" w:hAnsi="Times New Roman" w:eastAsia="宋体" w:cs="Times New Roman"/>
          <w:color w:val="auto"/>
          <w:kern w:val="2"/>
          <w:sz w:val="24"/>
          <w:szCs w:val="20"/>
          <w:lang w:val="en-US" w:eastAsia="zh-CN" w:bidi="ar-SA"/>
        </w:rPr>
        <w:t>根据交通量预测结果，该区域昼间16小时系数为0.83（</w:t>
      </w:r>
      <w:r>
        <w:rPr>
          <w:rFonts w:hint="eastAsia" w:ascii="Times New Roman" w:hAnsi="Times New Roman" w:eastAsia="宋体" w:cs="Times New Roman"/>
          <w:color w:val="auto"/>
          <w:kern w:val="2"/>
          <w:sz w:val="24"/>
          <w:szCs w:val="20"/>
          <w:lang w:val="en-US" w:eastAsia="zh-CN" w:bidi="ar-SA"/>
        </w:rPr>
        <w:t>08</w:t>
      </w:r>
      <w:r>
        <w:rPr>
          <w:rFonts w:ascii="Times New Roman" w:hAnsi="Times New Roman" w:eastAsia="宋体" w:cs="Times New Roman"/>
          <w:color w:val="auto"/>
          <w:kern w:val="2"/>
          <w:sz w:val="24"/>
          <w:szCs w:val="20"/>
          <w:lang w:val="en-US" w:eastAsia="zh-CN" w:bidi="ar-SA"/>
        </w:rPr>
        <w:t>:00~2</w:t>
      </w:r>
      <w:r>
        <w:rPr>
          <w:rFonts w:hint="eastAsia" w:ascii="Times New Roman" w:hAnsi="Times New Roman" w:eastAsia="宋体" w:cs="Times New Roman"/>
          <w:color w:val="auto"/>
          <w:kern w:val="2"/>
          <w:sz w:val="24"/>
          <w:szCs w:val="20"/>
          <w:lang w:val="en-US" w:eastAsia="zh-CN" w:bidi="ar-SA"/>
        </w:rPr>
        <w:t>4</w:t>
      </w:r>
      <w:r>
        <w:rPr>
          <w:rFonts w:ascii="Times New Roman" w:hAnsi="Times New Roman" w:eastAsia="宋体" w:cs="Times New Roman"/>
          <w:color w:val="auto"/>
          <w:kern w:val="2"/>
          <w:sz w:val="24"/>
          <w:szCs w:val="20"/>
          <w:lang w:val="en-US" w:eastAsia="zh-CN" w:bidi="ar-SA"/>
        </w:rPr>
        <w:t>:00）。</w:t>
      </w:r>
    </w:p>
    <w:p w14:paraId="6CD484D9">
      <w:pPr>
        <w:keepNext/>
        <w:keepLines/>
        <w:widowControl w:val="0"/>
        <w:adjustRightInd w:val="0"/>
        <w:spacing w:before="240" w:after="240" w:line="240" w:lineRule="auto"/>
        <w:jc w:val="both"/>
        <w:textAlignment w:val="baseline"/>
        <w:outlineLvl w:val="1"/>
        <w:rPr>
          <w:rFonts w:ascii="Arial" w:hAnsi="Arial" w:eastAsia="黑体" w:cs="Times New Roman"/>
          <w:b/>
          <w:bCs/>
          <w:kern w:val="0"/>
          <w:sz w:val="28"/>
          <w:szCs w:val="32"/>
          <w:lang w:val="en-US" w:eastAsia="zh-CN" w:bidi="ar-SA"/>
        </w:rPr>
      </w:pPr>
      <w:bookmarkStart w:id="174" w:name="_Toc187528252"/>
      <w:r>
        <w:rPr>
          <w:rFonts w:ascii="Times New Roman" w:hAnsi="Times New Roman" w:eastAsia="宋体" w:cs="Times New Roman"/>
          <w:b/>
          <w:bCs/>
          <w:kern w:val="0"/>
          <w:sz w:val="28"/>
          <w:szCs w:val="32"/>
          <w:lang w:val="en-US" w:eastAsia="zh-CN" w:bidi="ar-SA"/>
        </w:rPr>
        <w:t>2.</w:t>
      </w:r>
      <w:r>
        <w:rPr>
          <w:rFonts w:hint="eastAsia" w:ascii="Times New Roman" w:hAnsi="Times New Roman" w:eastAsia="宋体" w:cs="Times New Roman"/>
          <w:b/>
          <w:bCs/>
          <w:kern w:val="0"/>
          <w:sz w:val="28"/>
          <w:szCs w:val="32"/>
          <w:lang w:val="en-US" w:eastAsia="zh-CN" w:bidi="ar-SA"/>
        </w:rPr>
        <w:t>5</w:t>
      </w:r>
      <w:r>
        <w:rPr>
          <w:rFonts w:ascii="Times New Roman" w:hAnsi="Times New Roman" w:eastAsia="宋体" w:cs="Times New Roman"/>
          <w:b/>
          <w:bCs/>
          <w:kern w:val="0"/>
          <w:sz w:val="28"/>
          <w:szCs w:val="32"/>
          <w:lang w:val="en-US" w:eastAsia="zh-CN" w:bidi="ar-SA"/>
        </w:rPr>
        <w:t xml:space="preserve"> </w:t>
      </w:r>
      <w:r>
        <w:rPr>
          <w:rFonts w:hint="eastAsia" w:ascii="Times New Roman" w:hAnsi="Times New Roman" w:eastAsia="宋体" w:cs="Times New Roman"/>
          <w:b/>
          <w:bCs/>
          <w:kern w:val="0"/>
          <w:sz w:val="28"/>
          <w:szCs w:val="32"/>
          <w:lang w:val="en-US" w:eastAsia="zh-CN" w:bidi="ar-SA"/>
        </w:rPr>
        <w:t>噪声污染源强分析</w:t>
      </w:r>
      <w:bookmarkEnd w:id="174"/>
    </w:p>
    <w:p w14:paraId="06E61EF2">
      <w:pPr>
        <w:keepNext/>
        <w:keepLines/>
        <w:widowControl w:val="0"/>
        <w:adjustRightInd w:val="0"/>
        <w:spacing w:before="120" w:after="120" w:line="300" w:lineRule="auto"/>
        <w:jc w:val="both"/>
        <w:textAlignment w:val="baseline"/>
        <w:outlineLvl w:val="2"/>
        <w:rPr>
          <w:rFonts w:ascii="Times New Roman" w:hAnsi="Times New Roman" w:eastAsia="宋体" w:cs="Times New Roman"/>
          <w:b/>
          <w:bCs/>
          <w:kern w:val="0"/>
          <w:sz w:val="32"/>
          <w:szCs w:val="32"/>
          <w:lang w:val="en-US" w:eastAsia="zh-CN" w:bidi="ar-SA"/>
        </w:rPr>
      </w:pPr>
      <w:bookmarkStart w:id="175" w:name="_Toc175213206"/>
      <w:bookmarkStart w:id="176" w:name="_Toc187528253"/>
      <w:r>
        <w:rPr>
          <w:rFonts w:ascii="Times New Roman" w:hAnsi="Times New Roman" w:eastAsia="宋体" w:cs="Times New Roman"/>
          <w:b/>
          <w:bCs w:val="0"/>
          <w:kern w:val="0"/>
          <w:sz w:val="24"/>
          <w:szCs w:val="32"/>
          <w:lang w:val="en-US" w:eastAsia="zh-CN" w:bidi="ar-SA"/>
        </w:rPr>
        <w:t>2.</w:t>
      </w:r>
      <w:r>
        <w:rPr>
          <w:rFonts w:hint="eastAsia" w:ascii="Times New Roman" w:hAnsi="Times New Roman" w:eastAsia="宋体" w:cs="Times New Roman"/>
          <w:b/>
          <w:bCs w:val="0"/>
          <w:kern w:val="0"/>
          <w:sz w:val="24"/>
          <w:szCs w:val="32"/>
          <w:lang w:val="en-US" w:eastAsia="zh-CN" w:bidi="ar-SA"/>
        </w:rPr>
        <w:t>5</w:t>
      </w:r>
      <w:r>
        <w:rPr>
          <w:rFonts w:ascii="Times New Roman" w:hAnsi="Times New Roman" w:eastAsia="宋体" w:cs="Times New Roman"/>
          <w:b/>
          <w:bCs w:val="0"/>
          <w:kern w:val="0"/>
          <w:sz w:val="24"/>
          <w:szCs w:val="32"/>
          <w:lang w:val="en-US" w:eastAsia="zh-CN" w:bidi="ar-SA"/>
        </w:rPr>
        <w:t xml:space="preserve">.1 </w:t>
      </w:r>
      <w:r>
        <w:rPr>
          <w:rFonts w:hint="eastAsia" w:ascii="Times New Roman" w:hAnsi="Times New Roman" w:eastAsia="宋体" w:cs="Times New Roman"/>
          <w:b/>
          <w:bCs w:val="0"/>
          <w:kern w:val="0"/>
          <w:sz w:val="24"/>
          <w:szCs w:val="32"/>
          <w:lang w:val="en-US" w:eastAsia="zh-CN" w:bidi="ar-SA"/>
        </w:rPr>
        <w:t>施工期噪声源强</w:t>
      </w:r>
      <w:bookmarkEnd w:id="175"/>
      <w:bookmarkEnd w:id="176"/>
    </w:p>
    <w:p w14:paraId="200D2104">
      <w:pPr>
        <w:spacing w:line="300" w:lineRule="auto"/>
        <w:ind w:firstLine="480" w:firstLineChars="200"/>
        <w:rPr>
          <w:rFonts w:ascii="Times New Roman" w:hAnsi="Times New Roman" w:eastAsia="宋体" w:cs="Times New Roman"/>
          <w:snapToGrid w:val="0"/>
          <w:sz w:val="24"/>
        </w:rPr>
      </w:pPr>
      <w:r>
        <w:rPr>
          <w:rFonts w:ascii="Times New Roman" w:hAnsi="Times New Roman" w:eastAsia="宋体" w:cs="Times New Roman"/>
          <w:snapToGrid w:val="0"/>
          <w:sz w:val="24"/>
        </w:rPr>
        <w:t>公路施工</w:t>
      </w:r>
      <w:r>
        <w:rPr>
          <w:rFonts w:hint="eastAsia" w:ascii="Times New Roman" w:hAnsi="Times New Roman" w:eastAsia="宋体" w:cs="Times New Roman"/>
          <w:snapToGrid w:val="0"/>
          <w:sz w:val="24"/>
        </w:rPr>
        <w:t>主要</w:t>
      </w:r>
      <w:r>
        <w:rPr>
          <w:rFonts w:ascii="Times New Roman" w:hAnsi="Times New Roman" w:eastAsia="宋体" w:cs="Times New Roman"/>
          <w:snapToGrid w:val="0"/>
          <w:sz w:val="24"/>
        </w:rPr>
        <w:t>使用的机械有挖掘机、筑路机、搅拌机、装载机等，还有其它施工机械，如空压机、汽锤等，但均为短期使用</w:t>
      </w:r>
      <w:r>
        <w:rPr>
          <w:rFonts w:hint="eastAsia" w:ascii="Times New Roman" w:hAnsi="Times New Roman" w:eastAsia="宋体" w:cs="Times New Roman"/>
          <w:snapToGrid w:val="0"/>
          <w:sz w:val="24"/>
        </w:rPr>
        <w:t>，</w:t>
      </w:r>
      <w:r>
        <w:rPr>
          <w:rFonts w:ascii="Times New Roman" w:hAnsi="Times New Roman" w:eastAsia="宋体" w:cs="Times New Roman"/>
          <w:snapToGrid w:val="0"/>
          <w:sz w:val="24"/>
        </w:rPr>
        <w:t>此外还有运输车辆等。公路主要施工机械施工噪声</w:t>
      </w:r>
      <w:r>
        <w:rPr>
          <w:rFonts w:hint="eastAsia" w:ascii="Times New Roman" w:hAnsi="Times New Roman" w:eastAsia="宋体" w:cs="Times New Roman"/>
          <w:snapToGrid w:val="0"/>
          <w:sz w:val="24"/>
        </w:rPr>
        <w:t>源强</w:t>
      </w:r>
      <w:r>
        <w:rPr>
          <w:rFonts w:ascii="Times New Roman" w:hAnsi="Times New Roman" w:eastAsia="宋体" w:cs="Times New Roman"/>
          <w:snapToGrid w:val="0"/>
          <w:sz w:val="24"/>
        </w:rPr>
        <w:t>见表2.</w:t>
      </w:r>
      <w:r>
        <w:rPr>
          <w:rFonts w:hint="eastAsia" w:ascii="Times New Roman" w:hAnsi="Times New Roman" w:eastAsia="宋体" w:cs="Times New Roman"/>
          <w:snapToGrid w:val="0"/>
          <w:sz w:val="24"/>
        </w:rPr>
        <w:t>5</w:t>
      </w:r>
      <w:r>
        <w:rPr>
          <w:rFonts w:ascii="Times New Roman" w:hAnsi="Times New Roman" w:eastAsia="宋体" w:cs="Times New Roman"/>
          <w:snapToGrid w:val="0"/>
          <w:sz w:val="24"/>
        </w:rPr>
        <w:t>-1</w:t>
      </w:r>
      <w:r>
        <w:rPr>
          <w:rFonts w:hint="eastAsia" w:ascii="Times New Roman" w:hAnsi="Times New Roman" w:eastAsia="宋体" w:cs="Times New Roman"/>
          <w:snapToGrid w:val="0"/>
          <w:sz w:val="24"/>
        </w:rPr>
        <w:t>~</w:t>
      </w:r>
      <w:r>
        <w:rPr>
          <w:rFonts w:ascii="Times New Roman" w:hAnsi="Times New Roman" w:eastAsia="宋体" w:cs="Times New Roman"/>
          <w:snapToGrid w:val="0"/>
          <w:sz w:val="24"/>
        </w:rPr>
        <w:t>2.</w:t>
      </w:r>
      <w:r>
        <w:rPr>
          <w:rFonts w:hint="eastAsia" w:ascii="Times New Roman" w:hAnsi="Times New Roman" w:eastAsia="宋体" w:cs="Times New Roman"/>
          <w:snapToGrid w:val="0"/>
          <w:sz w:val="24"/>
        </w:rPr>
        <w:t>5</w:t>
      </w:r>
      <w:r>
        <w:rPr>
          <w:rFonts w:ascii="Times New Roman" w:hAnsi="Times New Roman" w:eastAsia="宋体" w:cs="Times New Roman"/>
          <w:snapToGrid w:val="0"/>
          <w:sz w:val="24"/>
        </w:rPr>
        <w:t>-2。</w:t>
      </w:r>
    </w:p>
    <w:p w14:paraId="3B7077CD">
      <w:pPr>
        <w:widowControl w:val="0"/>
        <w:spacing w:beforeLines="50" w:line="240" w:lineRule="auto"/>
        <w:ind w:firstLine="0" w:firstLineChars="0"/>
        <w:jc w:val="center"/>
        <w:rPr>
          <w:rFonts w:ascii="Times New Roman" w:hAnsi="Times New Roman" w:eastAsia="宋体" w:cs="Times New Roman"/>
          <w:b/>
          <w:bCs/>
          <w:color w:val="auto"/>
          <w:kern w:val="2"/>
          <w:sz w:val="21"/>
          <w:szCs w:val="21"/>
          <w:lang w:val="en-US" w:eastAsia="zh-CN" w:bidi="ar-SA"/>
        </w:rPr>
      </w:pPr>
      <w:r>
        <w:rPr>
          <w:rFonts w:ascii="Times New Roman" w:hAnsi="Times New Roman" w:eastAsia="宋体" w:cs="Times New Roman"/>
          <w:b/>
          <w:bCs/>
          <w:color w:val="auto"/>
          <w:kern w:val="2"/>
          <w:sz w:val="21"/>
          <w:szCs w:val="21"/>
          <w:lang w:val="en-US" w:eastAsia="zh-CN" w:bidi="ar-SA"/>
        </w:rPr>
        <w:t>表2.</w:t>
      </w:r>
      <w:r>
        <w:rPr>
          <w:rFonts w:hint="eastAsia" w:ascii="Times New Roman" w:hAnsi="Times New Roman" w:eastAsia="宋体" w:cs="Times New Roman"/>
          <w:b/>
          <w:bCs/>
          <w:color w:val="auto"/>
          <w:kern w:val="2"/>
          <w:sz w:val="21"/>
          <w:szCs w:val="21"/>
          <w:lang w:val="en-US" w:eastAsia="zh-CN" w:bidi="ar-SA"/>
        </w:rPr>
        <w:t>5</w:t>
      </w:r>
      <w:r>
        <w:rPr>
          <w:rFonts w:ascii="Times New Roman" w:hAnsi="Times New Roman" w:eastAsia="宋体" w:cs="Times New Roman"/>
          <w:b/>
          <w:bCs/>
          <w:color w:val="auto"/>
          <w:kern w:val="2"/>
          <w:sz w:val="21"/>
          <w:szCs w:val="21"/>
          <w:lang w:val="en-US" w:eastAsia="zh-CN" w:bidi="ar-SA"/>
        </w:rPr>
        <w:t xml:space="preserve">-1  </w:t>
      </w:r>
      <w:r>
        <w:rPr>
          <w:rFonts w:hint="eastAsia" w:ascii="Times New Roman" w:hAnsi="Times New Roman" w:eastAsia="宋体" w:cs="Times New Roman"/>
          <w:b/>
          <w:bCs/>
          <w:color w:val="auto"/>
          <w:kern w:val="2"/>
          <w:sz w:val="21"/>
          <w:szCs w:val="21"/>
          <w:lang w:val="en-US" w:eastAsia="zh-CN" w:bidi="ar-SA"/>
        </w:rPr>
        <w:t>工程</w:t>
      </w:r>
      <w:r>
        <w:rPr>
          <w:rFonts w:ascii="Times New Roman" w:hAnsi="Times New Roman" w:eastAsia="宋体" w:cs="Times New Roman"/>
          <w:b/>
          <w:bCs/>
          <w:color w:val="auto"/>
          <w:kern w:val="2"/>
          <w:sz w:val="21"/>
          <w:szCs w:val="21"/>
          <w:lang w:val="en-US" w:eastAsia="zh-CN" w:bidi="ar-SA"/>
        </w:rPr>
        <w:t>机械</w:t>
      </w:r>
      <w:r>
        <w:rPr>
          <w:rFonts w:hint="eastAsia" w:ascii="Times New Roman" w:hAnsi="Times New Roman" w:eastAsia="宋体" w:cs="Times New Roman"/>
          <w:b/>
          <w:bCs/>
          <w:color w:val="auto"/>
          <w:kern w:val="2"/>
          <w:sz w:val="21"/>
          <w:szCs w:val="21"/>
          <w:lang w:val="en-US" w:eastAsia="zh-CN" w:bidi="ar-SA"/>
        </w:rPr>
        <w:t>噪声源强</w:t>
      </w:r>
    </w:p>
    <w:tbl>
      <w:tblPr>
        <w:tblStyle w:val="22"/>
        <w:tblW w:w="8252" w:type="dxa"/>
        <w:tblInd w:w="0" w:type="dxa"/>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47"/>
        <w:gridCol w:w="2837"/>
        <w:gridCol w:w="2388"/>
        <w:gridCol w:w="2380"/>
      </w:tblGrid>
      <w:tr w14:paraId="272CD6B0">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647" w:type="dxa"/>
            <w:noWrap/>
            <w:vAlign w:val="center"/>
          </w:tcPr>
          <w:p w14:paraId="0139A3D4">
            <w:pPr>
              <w:jc w:val="center"/>
              <w:rPr>
                <w:rFonts w:ascii="Times New Roman" w:hAnsi="Times New Roman" w:eastAsia="宋体" w:cs="Times New Roman"/>
                <w:b/>
                <w:szCs w:val="21"/>
              </w:rPr>
            </w:pPr>
            <w:r>
              <w:rPr>
                <w:rFonts w:ascii="Times New Roman" w:hAnsi="Times New Roman" w:eastAsia="宋体" w:cs="Times New Roman"/>
                <w:b/>
                <w:szCs w:val="21"/>
              </w:rPr>
              <w:t>序号</w:t>
            </w:r>
          </w:p>
        </w:tc>
        <w:tc>
          <w:tcPr>
            <w:tcW w:w="2837" w:type="dxa"/>
            <w:noWrap/>
            <w:vAlign w:val="center"/>
          </w:tcPr>
          <w:p w14:paraId="598376F1">
            <w:pPr>
              <w:jc w:val="center"/>
              <w:rPr>
                <w:rFonts w:ascii="Times New Roman" w:hAnsi="Times New Roman" w:eastAsia="宋体" w:cs="Times New Roman"/>
                <w:b/>
                <w:szCs w:val="21"/>
              </w:rPr>
            </w:pPr>
            <w:r>
              <w:rPr>
                <w:rFonts w:ascii="Times New Roman" w:hAnsi="Times New Roman" w:eastAsia="宋体" w:cs="Times New Roman"/>
                <w:b/>
                <w:szCs w:val="21"/>
              </w:rPr>
              <w:t>机械类型</w:t>
            </w:r>
          </w:p>
        </w:tc>
        <w:tc>
          <w:tcPr>
            <w:tcW w:w="2388" w:type="dxa"/>
            <w:noWrap/>
            <w:vAlign w:val="center"/>
          </w:tcPr>
          <w:p w14:paraId="404CED55">
            <w:pPr>
              <w:jc w:val="center"/>
              <w:rPr>
                <w:rFonts w:ascii="Times New Roman" w:hAnsi="Times New Roman" w:eastAsia="宋体" w:cs="Times New Roman"/>
                <w:b/>
                <w:szCs w:val="21"/>
              </w:rPr>
            </w:pPr>
            <w:r>
              <w:rPr>
                <w:rFonts w:ascii="Times New Roman" w:hAnsi="Times New Roman" w:eastAsia="宋体" w:cs="Times New Roman"/>
                <w:b/>
                <w:szCs w:val="21"/>
              </w:rPr>
              <w:t>距离声源5m</w:t>
            </w:r>
          </w:p>
          <w:p w14:paraId="4F6C0CCF">
            <w:pPr>
              <w:jc w:val="center"/>
              <w:rPr>
                <w:rFonts w:ascii="Times New Roman" w:hAnsi="Times New Roman" w:eastAsia="宋体" w:cs="Times New Roman"/>
                <w:b/>
                <w:szCs w:val="21"/>
              </w:rPr>
            </w:pPr>
            <w:r>
              <w:rPr>
                <w:rFonts w:ascii="Times New Roman" w:hAnsi="Times New Roman" w:eastAsia="宋体" w:cs="Times New Roman"/>
                <w:b/>
                <w:szCs w:val="21"/>
              </w:rPr>
              <w:t>[dB</w:t>
            </w:r>
            <w:r>
              <w:rPr>
                <w:rFonts w:ascii="Times New Roman" w:hAnsi="Times New Roman" w:eastAsia="宋体" w:cs="Times New Roman"/>
                <w:b/>
                <w:bCs/>
                <w:szCs w:val="21"/>
              </w:rPr>
              <w:t>(A)</w:t>
            </w:r>
            <w:r>
              <w:rPr>
                <w:rFonts w:ascii="Times New Roman" w:hAnsi="Times New Roman" w:eastAsia="宋体" w:cs="Times New Roman"/>
                <w:b/>
                <w:szCs w:val="21"/>
              </w:rPr>
              <w:t>]</w:t>
            </w:r>
          </w:p>
        </w:tc>
        <w:tc>
          <w:tcPr>
            <w:tcW w:w="2380" w:type="dxa"/>
            <w:noWrap/>
            <w:vAlign w:val="center"/>
          </w:tcPr>
          <w:p w14:paraId="6A39207C">
            <w:pPr>
              <w:jc w:val="center"/>
              <w:rPr>
                <w:rFonts w:ascii="Times New Roman" w:hAnsi="Times New Roman" w:eastAsia="宋体" w:cs="Times New Roman"/>
                <w:b/>
                <w:szCs w:val="21"/>
              </w:rPr>
            </w:pPr>
            <w:r>
              <w:rPr>
                <w:rFonts w:ascii="Times New Roman" w:hAnsi="Times New Roman" w:eastAsia="宋体" w:cs="Times New Roman"/>
                <w:b/>
                <w:szCs w:val="21"/>
              </w:rPr>
              <w:t>距离声源10m</w:t>
            </w:r>
          </w:p>
          <w:p w14:paraId="2C315126">
            <w:pPr>
              <w:jc w:val="center"/>
              <w:rPr>
                <w:rFonts w:ascii="Times New Roman" w:hAnsi="Times New Roman" w:eastAsia="宋体" w:cs="Times New Roman"/>
                <w:b/>
                <w:szCs w:val="21"/>
              </w:rPr>
            </w:pPr>
            <w:r>
              <w:rPr>
                <w:rFonts w:ascii="Times New Roman" w:hAnsi="Times New Roman" w:eastAsia="宋体" w:cs="Times New Roman"/>
                <w:b/>
                <w:szCs w:val="21"/>
              </w:rPr>
              <w:t>[dB</w:t>
            </w:r>
            <w:r>
              <w:rPr>
                <w:rFonts w:ascii="Times New Roman" w:hAnsi="Times New Roman" w:eastAsia="宋体" w:cs="Times New Roman"/>
                <w:b/>
                <w:bCs/>
                <w:szCs w:val="21"/>
              </w:rPr>
              <w:t>(A)</w:t>
            </w:r>
            <w:r>
              <w:rPr>
                <w:rFonts w:ascii="Times New Roman" w:hAnsi="Times New Roman" w:eastAsia="宋体" w:cs="Times New Roman"/>
                <w:b/>
                <w:szCs w:val="21"/>
              </w:rPr>
              <w:t>]</w:t>
            </w:r>
          </w:p>
        </w:tc>
      </w:tr>
      <w:tr w14:paraId="1C1A80BF">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47" w:type="dxa"/>
            <w:noWrap/>
            <w:vAlign w:val="center"/>
          </w:tcPr>
          <w:p w14:paraId="7B3A684C">
            <w:pPr>
              <w:jc w:val="center"/>
              <w:rPr>
                <w:rFonts w:ascii="Times New Roman" w:hAnsi="Times New Roman" w:eastAsia="宋体" w:cs="Times New Roman"/>
                <w:szCs w:val="21"/>
              </w:rPr>
            </w:pPr>
            <w:r>
              <w:rPr>
                <w:rFonts w:ascii="Times New Roman" w:hAnsi="Times New Roman" w:eastAsia="宋体" w:cs="Times New Roman"/>
                <w:szCs w:val="21"/>
              </w:rPr>
              <w:t>1</w:t>
            </w:r>
          </w:p>
        </w:tc>
        <w:tc>
          <w:tcPr>
            <w:tcW w:w="2837" w:type="dxa"/>
            <w:noWrap/>
            <w:vAlign w:val="center"/>
          </w:tcPr>
          <w:p w14:paraId="06B0E0E5">
            <w:pPr>
              <w:jc w:val="center"/>
              <w:rPr>
                <w:rFonts w:ascii="Times New Roman" w:hAnsi="Times New Roman" w:eastAsia="宋体" w:cs="Times New Roman"/>
                <w:szCs w:val="21"/>
              </w:rPr>
            </w:pPr>
            <w:r>
              <w:rPr>
                <w:rFonts w:ascii="Times New Roman" w:hAnsi="Times New Roman" w:eastAsia="宋体" w:cs="Times New Roman"/>
                <w:szCs w:val="21"/>
              </w:rPr>
              <w:t>液压挖掘机</w:t>
            </w:r>
          </w:p>
        </w:tc>
        <w:tc>
          <w:tcPr>
            <w:tcW w:w="2388" w:type="dxa"/>
            <w:noWrap/>
            <w:vAlign w:val="center"/>
          </w:tcPr>
          <w:p w14:paraId="5936E771">
            <w:pPr>
              <w:jc w:val="center"/>
              <w:rPr>
                <w:rFonts w:ascii="Times New Roman" w:hAnsi="Times New Roman" w:eastAsia="宋体" w:cs="Times New Roman"/>
                <w:szCs w:val="21"/>
              </w:rPr>
            </w:pPr>
            <w:r>
              <w:rPr>
                <w:rFonts w:ascii="Times New Roman" w:hAnsi="Times New Roman" w:eastAsia="宋体" w:cs="Times New Roman"/>
                <w:szCs w:val="21"/>
              </w:rPr>
              <w:t>82～90</w:t>
            </w:r>
          </w:p>
        </w:tc>
        <w:tc>
          <w:tcPr>
            <w:tcW w:w="2380" w:type="dxa"/>
            <w:noWrap/>
            <w:vAlign w:val="center"/>
          </w:tcPr>
          <w:p w14:paraId="07889110">
            <w:pPr>
              <w:jc w:val="center"/>
              <w:rPr>
                <w:rFonts w:ascii="Times New Roman" w:hAnsi="Times New Roman" w:eastAsia="宋体" w:cs="Times New Roman"/>
                <w:szCs w:val="21"/>
              </w:rPr>
            </w:pPr>
            <w:r>
              <w:rPr>
                <w:rFonts w:ascii="Times New Roman" w:hAnsi="Times New Roman" w:eastAsia="宋体" w:cs="Times New Roman"/>
                <w:szCs w:val="21"/>
              </w:rPr>
              <w:t>78～86</w:t>
            </w:r>
          </w:p>
        </w:tc>
      </w:tr>
      <w:tr w14:paraId="285E653F">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47" w:type="dxa"/>
            <w:noWrap/>
            <w:vAlign w:val="center"/>
          </w:tcPr>
          <w:p w14:paraId="0F1AA428">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2837" w:type="dxa"/>
            <w:noWrap/>
            <w:vAlign w:val="center"/>
          </w:tcPr>
          <w:p w14:paraId="59D3868E">
            <w:pPr>
              <w:jc w:val="center"/>
              <w:rPr>
                <w:rFonts w:ascii="Times New Roman" w:hAnsi="Times New Roman" w:eastAsia="宋体" w:cs="Times New Roman"/>
                <w:szCs w:val="21"/>
              </w:rPr>
            </w:pPr>
            <w:r>
              <w:rPr>
                <w:rFonts w:ascii="Times New Roman" w:hAnsi="Times New Roman" w:eastAsia="宋体" w:cs="Times New Roman"/>
                <w:szCs w:val="21"/>
              </w:rPr>
              <w:t>电动挖掘机</w:t>
            </w:r>
          </w:p>
        </w:tc>
        <w:tc>
          <w:tcPr>
            <w:tcW w:w="2388" w:type="dxa"/>
            <w:noWrap/>
            <w:vAlign w:val="center"/>
          </w:tcPr>
          <w:p w14:paraId="47B26856">
            <w:pPr>
              <w:jc w:val="center"/>
              <w:rPr>
                <w:rFonts w:ascii="Times New Roman" w:hAnsi="Times New Roman" w:eastAsia="宋体" w:cs="Times New Roman"/>
                <w:szCs w:val="21"/>
              </w:rPr>
            </w:pPr>
            <w:r>
              <w:rPr>
                <w:rFonts w:ascii="Times New Roman" w:hAnsi="Times New Roman" w:eastAsia="宋体" w:cs="Times New Roman"/>
                <w:szCs w:val="21"/>
              </w:rPr>
              <w:t>80～86</w:t>
            </w:r>
          </w:p>
        </w:tc>
        <w:tc>
          <w:tcPr>
            <w:tcW w:w="2380" w:type="dxa"/>
            <w:noWrap/>
            <w:vAlign w:val="center"/>
          </w:tcPr>
          <w:p w14:paraId="26E06470">
            <w:pPr>
              <w:jc w:val="center"/>
              <w:rPr>
                <w:rFonts w:ascii="Times New Roman" w:hAnsi="Times New Roman" w:eastAsia="宋体" w:cs="Times New Roman"/>
                <w:szCs w:val="21"/>
              </w:rPr>
            </w:pPr>
            <w:r>
              <w:rPr>
                <w:rFonts w:ascii="Times New Roman" w:hAnsi="Times New Roman" w:eastAsia="宋体" w:cs="Times New Roman"/>
                <w:szCs w:val="21"/>
              </w:rPr>
              <w:t>75～83</w:t>
            </w:r>
          </w:p>
        </w:tc>
      </w:tr>
      <w:tr w14:paraId="24FD4AE5">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47" w:type="dxa"/>
            <w:noWrap/>
            <w:vAlign w:val="center"/>
          </w:tcPr>
          <w:p w14:paraId="761C6FFB">
            <w:pPr>
              <w:jc w:val="center"/>
              <w:rPr>
                <w:rFonts w:ascii="Times New Roman" w:hAnsi="Times New Roman" w:eastAsia="宋体" w:cs="Times New Roman"/>
                <w:szCs w:val="21"/>
              </w:rPr>
            </w:pPr>
            <w:r>
              <w:rPr>
                <w:rFonts w:ascii="Times New Roman" w:hAnsi="Times New Roman" w:eastAsia="宋体" w:cs="Times New Roman"/>
                <w:szCs w:val="21"/>
              </w:rPr>
              <w:t>3</w:t>
            </w:r>
          </w:p>
        </w:tc>
        <w:tc>
          <w:tcPr>
            <w:tcW w:w="2837" w:type="dxa"/>
            <w:noWrap/>
            <w:vAlign w:val="center"/>
          </w:tcPr>
          <w:p w14:paraId="3ADDF135">
            <w:pPr>
              <w:jc w:val="center"/>
              <w:rPr>
                <w:rFonts w:ascii="Times New Roman" w:hAnsi="Times New Roman" w:eastAsia="宋体" w:cs="Times New Roman"/>
                <w:szCs w:val="21"/>
              </w:rPr>
            </w:pPr>
            <w:r>
              <w:rPr>
                <w:rFonts w:ascii="Times New Roman" w:hAnsi="Times New Roman" w:eastAsia="宋体" w:cs="Times New Roman"/>
                <w:szCs w:val="21"/>
              </w:rPr>
              <w:t>轮式装载机</w:t>
            </w:r>
          </w:p>
        </w:tc>
        <w:tc>
          <w:tcPr>
            <w:tcW w:w="2388" w:type="dxa"/>
            <w:noWrap/>
            <w:vAlign w:val="center"/>
          </w:tcPr>
          <w:p w14:paraId="24D7D5AC">
            <w:pPr>
              <w:jc w:val="center"/>
              <w:rPr>
                <w:rFonts w:ascii="Times New Roman" w:hAnsi="Times New Roman" w:eastAsia="宋体" w:cs="Times New Roman"/>
                <w:szCs w:val="21"/>
              </w:rPr>
            </w:pPr>
            <w:r>
              <w:rPr>
                <w:rFonts w:ascii="Times New Roman" w:hAnsi="Times New Roman" w:eastAsia="宋体" w:cs="Times New Roman"/>
                <w:szCs w:val="21"/>
              </w:rPr>
              <w:t>90～95</w:t>
            </w:r>
          </w:p>
        </w:tc>
        <w:tc>
          <w:tcPr>
            <w:tcW w:w="2380" w:type="dxa"/>
            <w:noWrap/>
            <w:vAlign w:val="center"/>
          </w:tcPr>
          <w:p w14:paraId="765848B4">
            <w:pPr>
              <w:jc w:val="center"/>
              <w:rPr>
                <w:rFonts w:ascii="Times New Roman" w:hAnsi="Times New Roman" w:eastAsia="宋体" w:cs="Times New Roman"/>
                <w:szCs w:val="21"/>
              </w:rPr>
            </w:pPr>
            <w:r>
              <w:rPr>
                <w:rFonts w:ascii="Times New Roman" w:hAnsi="Times New Roman" w:eastAsia="宋体" w:cs="Times New Roman"/>
                <w:szCs w:val="21"/>
              </w:rPr>
              <w:t>85～91</w:t>
            </w:r>
          </w:p>
        </w:tc>
      </w:tr>
      <w:tr w14:paraId="7B2C577D">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47" w:type="dxa"/>
            <w:noWrap/>
            <w:vAlign w:val="center"/>
          </w:tcPr>
          <w:p w14:paraId="5C93953B">
            <w:pPr>
              <w:jc w:val="center"/>
              <w:rPr>
                <w:rFonts w:ascii="Times New Roman" w:hAnsi="Times New Roman" w:eastAsia="宋体" w:cs="Times New Roman"/>
                <w:szCs w:val="21"/>
              </w:rPr>
            </w:pPr>
            <w:r>
              <w:rPr>
                <w:rFonts w:ascii="Times New Roman" w:hAnsi="Times New Roman" w:eastAsia="宋体" w:cs="Times New Roman"/>
                <w:szCs w:val="21"/>
              </w:rPr>
              <w:t>4</w:t>
            </w:r>
          </w:p>
        </w:tc>
        <w:tc>
          <w:tcPr>
            <w:tcW w:w="2837" w:type="dxa"/>
            <w:noWrap/>
            <w:vAlign w:val="center"/>
          </w:tcPr>
          <w:p w14:paraId="662EEAFD">
            <w:pPr>
              <w:jc w:val="center"/>
              <w:rPr>
                <w:rFonts w:ascii="Times New Roman" w:hAnsi="Times New Roman" w:eastAsia="宋体" w:cs="Times New Roman"/>
                <w:szCs w:val="21"/>
              </w:rPr>
            </w:pPr>
            <w:r>
              <w:rPr>
                <w:rFonts w:ascii="Times New Roman" w:hAnsi="Times New Roman" w:eastAsia="宋体" w:cs="Times New Roman"/>
                <w:szCs w:val="21"/>
              </w:rPr>
              <w:t>推土机</w:t>
            </w:r>
          </w:p>
        </w:tc>
        <w:tc>
          <w:tcPr>
            <w:tcW w:w="2388" w:type="dxa"/>
            <w:noWrap/>
            <w:vAlign w:val="center"/>
          </w:tcPr>
          <w:p w14:paraId="402340D1">
            <w:pPr>
              <w:jc w:val="center"/>
              <w:rPr>
                <w:rFonts w:ascii="Times New Roman" w:hAnsi="Times New Roman" w:eastAsia="宋体" w:cs="Times New Roman"/>
                <w:szCs w:val="21"/>
              </w:rPr>
            </w:pPr>
            <w:r>
              <w:rPr>
                <w:rFonts w:ascii="Times New Roman" w:hAnsi="Times New Roman" w:eastAsia="宋体" w:cs="Times New Roman"/>
                <w:szCs w:val="21"/>
              </w:rPr>
              <w:t>83～88</w:t>
            </w:r>
          </w:p>
        </w:tc>
        <w:tc>
          <w:tcPr>
            <w:tcW w:w="2380" w:type="dxa"/>
            <w:noWrap/>
            <w:vAlign w:val="center"/>
          </w:tcPr>
          <w:p w14:paraId="1C88E7BF">
            <w:pPr>
              <w:jc w:val="center"/>
              <w:rPr>
                <w:rFonts w:ascii="Times New Roman" w:hAnsi="Times New Roman" w:eastAsia="宋体" w:cs="Times New Roman"/>
                <w:szCs w:val="21"/>
              </w:rPr>
            </w:pPr>
            <w:r>
              <w:rPr>
                <w:rFonts w:ascii="Times New Roman" w:hAnsi="Times New Roman" w:eastAsia="宋体" w:cs="Times New Roman"/>
                <w:szCs w:val="21"/>
              </w:rPr>
              <w:t>80～85</w:t>
            </w:r>
          </w:p>
        </w:tc>
      </w:tr>
      <w:tr w14:paraId="666FAC18">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47" w:type="dxa"/>
            <w:noWrap/>
            <w:vAlign w:val="center"/>
          </w:tcPr>
          <w:p w14:paraId="0268CDDC">
            <w:pPr>
              <w:jc w:val="center"/>
              <w:rPr>
                <w:rFonts w:ascii="Times New Roman" w:hAnsi="Times New Roman" w:eastAsia="宋体" w:cs="Times New Roman"/>
                <w:szCs w:val="21"/>
              </w:rPr>
            </w:pPr>
            <w:r>
              <w:rPr>
                <w:rFonts w:ascii="Times New Roman" w:hAnsi="Times New Roman" w:eastAsia="宋体" w:cs="Times New Roman"/>
                <w:szCs w:val="21"/>
              </w:rPr>
              <w:t>5</w:t>
            </w:r>
          </w:p>
        </w:tc>
        <w:tc>
          <w:tcPr>
            <w:tcW w:w="2837" w:type="dxa"/>
            <w:noWrap/>
            <w:vAlign w:val="center"/>
          </w:tcPr>
          <w:p w14:paraId="6C51FD2B">
            <w:pPr>
              <w:jc w:val="center"/>
              <w:rPr>
                <w:rFonts w:ascii="Times New Roman" w:hAnsi="Times New Roman" w:eastAsia="宋体" w:cs="Times New Roman"/>
                <w:szCs w:val="21"/>
              </w:rPr>
            </w:pPr>
            <w:r>
              <w:rPr>
                <w:rFonts w:ascii="Times New Roman" w:hAnsi="Times New Roman" w:eastAsia="宋体" w:cs="Times New Roman"/>
                <w:szCs w:val="21"/>
              </w:rPr>
              <w:t>移动式发电机</w:t>
            </w:r>
          </w:p>
        </w:tc>
        <w:tc>
          <w:tcPr>
            <w:tcW w:w="2388" w:type="dxa"/>
            <w:noWrap/>
            <w:vAlign w:val="center"/>
          </w:tcPr>
          <w:p w14:paraId="66683FB4">
            <w:pPr>
              <w:jc w:val="center"/>
              <w:rPr>
                <w:rFonts w:ascii="Times New Roman" w:hAnsi="Times New Roman" w:eastAsia="宋体" w:cs="Times New Roman"/>
                <w:szCs w:val="21"/>
              </w:rPr>
            </w:pPr>
            <w:r>
              <w:rPr>
                <w:rFonts w:ascii="Times New Roman" w:hAnsi="Times New Roman" w:eastAsia="宋体" w:cs="Times New Roman"/>
                <w:szCs w:val="21"/>
              </w:rPr>
              <w:t>95～102</w:t>
            </w:r>
          </w:p>
        </w:tc>
        <w:tc>
          <w:tcPr>
            <w:tcW w:w="2380" w:type="dxa"/>
            <w:noWrap/>
            <w:vAlign w:val="center"/>
          </w:tcPr>
          <w:p w14:paraId="65A99478">
            <w:pPr>
              <w:jc w:val="center"/>
              <w:rPr>
                <w:rFonts w:ascii="Times New Roman" w:hAnsi="Times New Roman" w:eastAsia="宋体" w:cs="Times New Roman"/>
                <w:szCs w:val="21"/>
              </w:rPr>
            </w:pPr>
            <w:r>
              <w:rPr>
                <w:rFonts w:ascii="Times New Roman" w:hAnsi="Times New Roman" w:eastAsia="宋体" w:cs="Times New Roman"/>
                <w:szCs w:val="21"/>
              </w:rPr>
              <w:t>90～98</w:t>
            </w:r>
          </w:p>
        </w:tc>
      </w:tr>
      <w:tr w14:paraId="5A3604BB">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47" w:type="dxa"/>
            <w:noWrap/>
            <w:vAlign w:val="center"/>
          </w:tcPr>
          <w:p w14:paraId="7688DE2F">
            <w:pPr>
              <w:jc w:val="center"/>
              <w:rPr>
                <w:rFonts w:ascii="Times New Roman" w:hAnsi="Times New Roman" w:eastAsia="宋体" w:cs="Times New Roman"/>
                <w:szCs w:val="21"/>
              </w:rPr>
            </w:pPr>
            <w:r>
              <w:rPr>
                <w:rFonts w:ascii="Times New Roman" w:hAnsi="Times New Roman" w:eastAsia="宋体" w:cs="Times New Roman"/>
                <w:szCs w:val="21"/>
              </w:rPr>
              <w:t>6</w:t>
            </w:r>
          </w:p>
        </w:tc>
        <w:tc>
          <w:tcPr>
            <w:tcW w:w="2837" w:type="dxa"/>
            <w:noWrap/>
            <w:vAlign w:val="center"/>
          </w:tcPr>
          <w:p w14:paraId="00E2E8E1">
            <w:pPr>
              <w:jc w:val="center"/>
              <w:rPr>
                <w:rFonts w:ascii="Times New Roman" w:hAnsi="Times New Roman" w:eastAsia="宋体" w:cs="Times New Roman"/>
                <w:szCs w:val="21"/>
              </w:rPr>
            </w:pPr>
            <w:r>
              <w:rPr>
                <w:rFonts w:ascii="Times New Roman" w:hAnsi="Times New Roman" w:eastAsia="宋体" w:cs="Times New Roman"/>
                <w:szCs w:val="21"/>
              </w:rPr>
              <w:t>各类压路机</w:t>
            </w:r>
          </w:p>
        </w:tc>
        <w:tc>
          <w:tcPr>
            <w:tcW w:w="2388" w:type="dxa"/>
            <w:noWrap/>
            <w:vAlign w:val="center"/>
          </w:tcPr>
          <w:p w14:paraId="5457D748">
            <w:pPr>
              <w:jc w:val="center"/>
              <w:rPr>
                <w:rFonts w:ascii="Times New Roman" w:hAnsi="Times New Roman" w:eastAsia="宋体" w:cs="Times New Roman"/>
                <w:szCs w:val="21"/>
              </w:rPr>
            </w:pPr>
            <w:r>
              <w:rPr>
                <w:rFonts w:ascii="Times New Roman" w:hAnsi="Times New Roman" w:eastAsia="宋体" w:cs="Times New Roman"/>
                <w:szCs w:val="21"/>
              </w:rPr>
              <w:t>80～90</w:t>
            </w:r>
          </w:p>
        </w:tc>
        <w:tc>
          <w:tcPr>
            <w:tcW w:w="2380" w:type="dxa"/>
            <w:noWrap/>
            <w:vAlign w:val="center"/>
          </w:tcPr>
          <w:p w14:paraId="1A949CFB">
            <w:pPr>
              <w:jc w:val="center"/>
              <w:rPr>
                <w:rFonts w:ascii="Times New Roman" w:hAnsi="Times New Roman" w:eastAsia="宋体" w:cs="Times New Roman"/>
                <w:szCs w:val="21"/>
              </w:rPr>
            </w:pPr>
            <w:r>
              <w:rPr>
                <w:rFonts w:ascii="Times New Roman" w:hAnsi="Times New Roman" w:eastAsia="宋体" w:cs="Times New Roman"/>
                <w:szCs w:val="21"/>
              </w:rPr>
              <w:t>76～86</w:t>
            </w:r>
          </w:p>
        </w:tc>
      </w:tr>
      <w:tr w14:paraId="67560CB5">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47" w:type="dxa"/>
            <w:noWrap/>
            <w:vAlign w:val="center"/>
          </w:tcPr>
          <w:p w14:paraId="22A7C23C">
            <w:pPr>
              <w:jc w:val="center"/>
              <w:rPr>
                <w:rFonts w:ascii="Times New Roman" w:hAnsi="Times New Roman" w:eastAsia="宋体" w:cs="Times New Roman"/>
                <w:szCs w:val="21"/>
              </w:rPr>
            </w:pPr>
            <w:r>
              <w:rPr>
                <w:rFonts w:ascii="Times New Roman" w:hAnsi="Times New Roman" w:eastAsia="宋体" w:cs="Times New Roman"/>
                <w:szCs w:val="21"/>
              </w:rPr>
              <w:t>7</w:t>
            </w:r>
          </w:p>
        </w:tc>
        <w:tc>
          <w:tcPr>
            <w:tcW w:w="2837" w:type="dxa"/>
            <w:noWrap/>
            <w:vAlign w:val="center"/>
          </w:tcPr>
          <w:p w14:paraId="7B95ABF7">
            <w:pPr>
              <w:jc w:val="center"/>
              <w:rPr>
                <w:rFonts w:ascii="Times New Roman" w:hAnsi="Times New Roman" w:eastAsia="宋体" w:cs="Times New Roman"/>
                <w:szCs w:val="21"/>
              </w:rPr>
            </w:pPr>
            <w:r>
              <w:rPr>
                <w:rFonts w:ascii="Times New Roman" w:hAnsi="Times New Roman" w:eastAsia="宋体" w:cs="Times New Roman"/>
                <w:szCs w:val="21"/>
              </w:rPr>
              <w:t>木工电锯</w:t>
            </w:r>
          </w:p>
        </w:tc>
        <w:tc>
          <w:tcPr>
            <w:tcW w:w="2388" w:type="dxa"/>
            <w:noWrap/>
            <w:vAlign w:val="center"/>
          </w:tcPr>
          <w:p w14:paraId="1EC224D4">
            <w:pPr>
              <w:jc w:val="center"/>
              <w:rPr>
                <w:rFonts w:ascii="Times New Roman" w:hAnsi="Times New Roman" w:eastAsia="宋体" w:cs="Times New Roman"/>
                <w:szCs w:val="21"/>
              </w:rPr>
            </w:pPr>
            <w:r>
              <w:rPr>
                <w:rFonts w:ascii="Times New Roman" w:hAnsi="Times New Roman" w:eastAsia="宋体" w:cs="Times New Roman"/>
                <w:szCs w:val="21"/>
              </w:rPr>
              <w:t>93～99</w:t>
            </w:r>
          </w:p>
        </w:tc>
        <w:tc>
          <w:tcPr>
            <w:tcW w:w="2380" w:type="dxa"/>
            <w:noWrap/>
            <w:vAlign w:val="center"/>
          </w:tcPr>
          <w:p w14:paraId="180A9351">
            <w:pPr>
              <w:jc w:val="center"/>
              <w:rPr>
                <w:rFonts w:ascii="Times New Roman" w:hAnsi="Times New Roman" w:eastAsia="宋体" w:cs="Times New Roman"/>
                <w:szCs w:val="21"/>
              </w:rPr>
            </w:pPr>
            <w:r>
              <w:rPr>
                <w:rFonts w:ascii="Times New Roman" w:hAnsi="Times New Roman" w:eastAsia="宋体" w:cs="Times New Roman"/>
                <w:szCs w:val="21"/>
              </w:rPr>
              <w:t>90～95</w:t>
            </w:r>
          </w:p>
        </w:tc>
      </w:tr>
      <w:tr w14:paraId="3CC3D3EF">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47" w:type="dxa"/>
            <w:noWrap/>
            <w:vAlign w:val="center"/>
          </w:tcPr>
          <w:p w14:paraId="6DB9A014">
            <w:pPr>
              <w:jc w:val="center"/>
              <w:rPr>
                <w:rFonts w:ascii="Times New Roman" w:hAnsi="Times New Roman" w:eastAsia="宋体" w:cs="Times New Roman"/>
                <w:szCs w:val="21"/>
              </w:rPr>
            </w:pPr>
            <w:r>
              <w:rPr>
                <w:rFonts w:ascii="Times New Roman" w:hAnsi="Times New Roman" w:eastAsia="宋体" w:cs="Times New Roman"/>
                <w:szCs w:val="21"/>
              </w:rPr>
              <w:t>8</w:t>
            </w:r>
          </w:p>
        </w:tc>
        <w:tc>
          <w:tcPr>
            <w:tcW w:w="2837" w:type="dxa"/>
            <w:noWrap/>
            <w:vAlign w:val="center"/>
          </w:tcPr>
          <w:p w14:paraId="5D8E8EA3">
            <w:pPr>
              <w:jc w:val="center"/>
              <w:rPr>
                <w:rFonts w:ascii="Times New Roman" w:hAnsi="Times New Roman" w:eastAsia="宋体" w:cs="Times New Roman"/>
                <w:szCs w:val="21"/>
              </w:rPr>
            </w:pPr>
            <w:r>
              <w:rPr>
                <w:rFonts w:ascii="Times New Roman" w:hAnsi="Times New Roman" w:eastAsia="宋体" w:cs="Times New Roman"/>
                <w:szCs w:val="21"/>
              </w:rPr>
              <w:t>电锤</w:t>
            </w:r>
          </w:p>
        </w:tc>
        <w:tc>
          <w:tcPr>
            <w:tcW w:w="2388" w:type="dxa"/>
            <w:noWrap/>
            <w:vAlign w:val="center"/>
          </w:tcPr>
          <w:p w14:paraId="1BAAC0CD">
            <w:pPr>
              <w:jc w:val="center"/>
              <w:rPr>
                <w:rFonts w:ascii="Times New Roman" w:hAnsi="Times New Roman" w:eastAsia="宋体" w:cs="Times New Roman"/>
                <w:szCs w:val="21"/>
              </w:rPr>
            </w:pPr>
            <w:r>
              <w:rPr>
                <w:rFonts w:ascii="Times New Roman" w:hAnsi="Times New Roman" w:eastAsia="宋体" w:cs="Times New Roman"/>
                <w:szCs w:val="21"/>
              </w:rPr>
              <w:t>100～105</w:t>
            </w:r>
          </w:p>
        </w:tc>
        <w:tc>
          <w:tcPr>
            <w:tcW w:w="2380" w:type="dxa"/>
            <w:noWrap/>
            <w:vAlign w:val="center"/>
          </w:tcPr>
          <w:p w14:paraId="6185AE81">
            <w:pPr>
              <w:jc w:val="center"/>
              <w:rPr>
                <w:rFonts w:ascii="Times New Roman" w:hAnsi="Times New Roman" w:eastAsia="宋体" w:cs="Times New Roman"/>
                <w:szCs w:val="21"/>
              </w:rPr>
            </w:pPr>
            <w:r>
              <w:rPr>
                <w:rFonts w:ascii="Times New Roman" w:hAnsi="Times New Roman" w:eastAsia="宋体" w:cs="Times New Roman"/>
                <w:szCs w:val="21"/>
              </w:rPr>
              <w:t>95～99</w:t>
            </w:r>
          </w:p>
        </w:tc>
      </w:tr>
      <w:tr w14:paraId="73B337F7">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47" w:type="dxa"/>
            <w:noWrap/>
            <w:vAlign w:val="center"/>
          </w:tcPr>
          <w:p w14:paraId="6C5CF0B9">
            <w:pPr>
              <w:jc w:val="center"/>
              <w:rPr>
                <w:rFonts w:ascii="Times New Roman" w:hAnsi="Times New Roman" w:eastAsia="宋体" w:cs="Times New Roman"/>
                <w:szCs w:val="21"/>
              </w:rPr>
            </w:pPr>
            <w:r>
              <w:rPr>
                <w:rFonts w:ascii="Times New Roman" w:hAnsi="Times New Roman" w:eastAsia="宋体" w:cs="Times New Roman"/>
                <w:szCs w:val="21"/>
              </w:rPr>
              <w:t>9</w:t>
            </w:r>
          </w:p>
        </w:tc>
        <w:tc>
          <w:tcPr>
            <w:tcW w:w="2837" w:type="dxa"/>
            <w:noWrap/>
            <w:vAlign w:val="center"/>
          </w:tcPr>
          <w:p w14:paraId="323A0D35">
            <w:pPr>
              <w:jc w:val="center"/>
              <w:rPr>
                <w:rFonts w:ascii="Times New Roman" w:hAnsi="Times New Roman" w:eastAsia="宋体" w:cs="Times New Roman"/>
                <w:szCs w:val="21"/>
              </w:rPr>
            </w:pPr>
            <w:r>
              <w:rPr>
                <w:rFonts w:ascii="Times New Roman" w:hAnsi="Times New Roman" w:eastAsia="宋体" w:cs="Times New Roman"/>
                <w:szCs w:val="21"/>
              </w:rPr>
              <w:t>振动夯锤</w:t>
            </w:r>
          </w:p>
        </w:tc>
        <w:tc>
          <w:tcPr>
            <w:tcW w:w="2388" w:type="dxa"/>
            <w:noWrap/>
            <w:vAlign w:val="center"/>
          </w:tcPr>
          <w:p w14:paraId="34D70C93">
            <w:pPr>
              <w:jc w:val="center"/>
              <w:rPr>
                <w:rFonts w:ascii="Times New Roman" w:hAnsi="Times New Roman" w:eastAsia="宋体" w:cs="Times New Roman"/>
                <w:szCs w:val="21"/>
              </w:rPr>
            </w:pPr>
            <w:r>
              <w:rPr>
                <w:rFonts w:ascii="Times New Roman" w:hAnsi="Times New Roman" w:eastAsia="宋体" w:cs="Times New Roman"/>
                <w:szCs w:val="21"/>
              </w:rPr>
              <w:t>92～100</w:t>
            </w:r>
          </w:p>
        </w:tc>
        <w:tc>
          <w:tcPr>
            <w:tcW w:w="2380" w:type="dxa"/>
            <w:noWrap/>
            <w:vAlign w:val="center"/>
          </w:tcPr>
          <w:p w14:paraId="2A5FDB08">
            <w:pPr>
              <w:jc w:val="center"/>
              <w:rPr>
                <w:rFonts w:ascii="Times New Roman" w:hAnsi="Times New Roman" w:eastAsia="宋体" w:cs="Times New Roman"/>
                <w:szCs w:val="21"/>
              </w:rPr>
            </w:pPr>
            <w:r>
              <w:rPr>
                <w:rFonts w:ascii="Times New Roman" w:hAnsi="Times New Roman" w:eastAsia="宋体" w:cs="Times New Roman"/>
                <w:szCs w:val="21"/>
              </w:rPr>
              <w:t>86～94</w:t>
            </w:r>
          </w:p>
        </w:tc>
      </w:tr>
      <w:tr w14:paraId="0FD4DE73">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47" w:type="dxa"/>
            <w:noWrap/>
            <w:vAlign w:val="center"/>
          </w:tcPr>
          <w:p w14:paraId="38ED127E">
            <w:pPr>
              <w:jc w:val="center"/>
              <w:rPr>
                <w:rFonts w:ascii="Times New Roman" w:hAnsi="Times New Roman" w:eastAsia="宋体" w:cs="Times New Roman"/>
                <w:szCs w:val="21"/>
              </w:rPr>
            </w:pPr>
            <w:r>
              <w:rPr>
                <w:rFonts w:ascii="Times New Roman" w:hAnsi="Times New Roman" w:eastAsia="宋体" w:cs="Times New Roman"/>
                <w:szCs w:val="21"/>
              </w:rPr>
              <w:t>10</w:t>
            </w:r>
          </w:p>
        </w:tc>
        <w:tc>
          <w:tcPr>
            <w:tcW w:w="2837" w:type="dxa"/>
            <w:noWrap/>
            <w:vAlign w:val="center"/>
          </w:tcPr>
          <w:p w14:paraId="0F9630BE">
            <w:pPr>
              <w:jc w:val="center"/>
              <w:rPr>
                <w:rFonts w:ascii="Times New Roman" w:hAnsi="Times New Roman" w:eastAsia="宋体" w:cs="Times New Roman"/>
                <w:szCs w:val="21"/>
              </w:rPr>
            </w:pPr>
            <w:r>
              <w:rPr>
                <w:rFonts w:ascii="Times New Roman" w:hAnsi="Times New Roman" w:eastAsia="宋体" w:cs="Times New Roman"/>
                <w:szCs w:val="21"/>
              </w:rPr>
              <w:t>打桩机</w:t>
            </w:r>
          </w:p>
        </w:tc>
        <w:tc>
          <w:tcPr>
            <w:tcW w:w="2388" w:type="dxa"/>
            <w:noWrap/>
            <w:vAlign w:val="center"/>
          </w:tcPr>
          <w:p w14:paraId="62C24DC7">
            <w:pPr>
              <w:jc w:val="center"/>
              <w:rPr>
                <w:rFonts w:ascii="Times New Roman" w:hAnsi="Times New Roman" w:eastAsia="宋体" w:cs="Times New Roman"/>
                <w:szCs w:val="21"/>
              </w:rPr>
            </w:pPr>
            <w:r>
              <w:rPr>
                <w:rFonts w:ascii="Times New Roman" w:hAnsi="Times New Roman" w:eastAsia="宋体" w:cs="Times New Roman"/>
                <w:szCs w:val="21"/>
              </w:rPr>
              <w:t>100～110</w:t>
            </w:r>
          </w:p>
        </w:tc>
        <w:tc>
          <w:tcPr>
            <w:tcW w:w="2380" w:type="dxa"/>
            <w:noWrap/>
            <w:vAlign w:val="center"/>
          </w:tcPr>
          <w:p w14:paraId="1ADEE0F4">
            <w:pPr>
              <w:jc w:val="center"/>
              <w:rPr>
                <w:rFonts w:ascii="Times New Roman" w:hAnsi="Times New Roman" w:eastAsia="宋体" w:cs="Times New Roman"/>
                <w:szCs w:val="21"/>
              </w:rPr>
            </w:pPr>
            <w:r>
              <w:rPr>
                <w:rFonts w:ascii="Times New Roman" w:hAnsi="Times New Roman" w:eastAsia="宋体" w:cs="Times New Roman"/>
                <w:szCs w:val="21"/>
              </w:rPr>
              <w:t>95～105</w:t>
            </w:r>
          </w:p>
        </w:tc>
      </w:tr>
      <w:tr w14:paraId="34EE63D6">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47" w:type="dxa"/>
            <w:noWrap/>
            <w:vAlign w:val="center"/>
          </w:tcPr>
          <w:p w14:paraId="0A6D2543">
            <w:pPr>
              <w:jc w:val="center"/>
              <w:rPr>
                <w:rFonts w:ascii="Times New Roman" w:hAnsi="Times New Roman" w:eastAsia="宋体" w:cs="Times New Roman"/>
                <w:szCs w:val="21"/>
              </w:rPr>
            </w:pPr>
            <w:r>
              <w:rPr>
                <w:rFonts w:ascii="Times New Roman" w:hAnsi="Times New Roman" w:eastAsia="宋体" w:cs="Times New Roman"/>
                <w:szCs w:val="21"/>
              </w:rPr>
              <w:t>11</w:t>
            </w:r>
          </w:p>
        </w:tc>
        <w:tc>
          <w:tcPr>
            <w:tcW w:w="2837" w:type="dxa"/>
            <w:noWrap/>
            <w:vAlign w:val="center"/>
          </w:tcPr>
          <w:p w14:paraId="4870ED64">
            <w:pPr>
              <w:jc w:val="center"/>
              <w:rPr>
                <w:rFonts w:ascii="Times New Roman" w:hAnsi="Times New Roman" w:eastAsia="宋体" w:cs="Times New Roman"/>
                <w:szCs w:val="21"/>
              </w:rPr>
            </w:pPr>
            <w:r>
              <w:rPr>
                <w:rFonts w:ascii="Times New Roman" w:hAnsi="Times New Roman" w:eastAsia="宋体" w:cs="Times New Roman"/>
                <w:szCs w:val="21"/>
              </w:rPr>
              <w:t>静力压桩机</w:t>
            </w:r>
          </w:p>
        </w:tc>
        <w:tc>
          <w:tcPr>
            <w:tcW w:w="2388" w:type="dxa"/>
            <w:noWrap/>
            <w:vAlign w:val="center"/>
          </w:tcPr>
          <w:p w14:paraId="55386F42">
            <w:pPr>
              <w:jc w:val="center"/>
              <w:rPr>
                <w:rFonts w:ascii="Times New Roman" w:hAnsi="Times New Roman" w:eastAsia="宋体" w:cs="Times New Roman"/>
                <w:szCs w:val="21"/>
              </w:rPr>
            </w:pPr>
            <w:r>
              <w:rPr>
                <w:rFonts w:ascii="Times New Roman" w:hAnsi="Times New Roman" w:eastAsia="宋体" w:cs="Times New Roman"/>
                <w:szCs w:val="21"/>
              </w:rPr>
              <w:t>70～75</w:t>
            </w:r>
          </w:p>
        </w:tc>
        <w:tc>
          <w:tcPr>
            <w:tcW w:w="2380" w:type="dxa"/>
            <w:noWrap/>
            <w:vAlign w:val="center"/>
          </w:tcPr>
          <w:p w14:paraId="36F2BA70">
            <w:pPr>
              <w:jc w:val="center"/>
              <w:rPr>
                <w:rFonts w:ascii="Times New Roman" w:hAnsi="Times New Roman" w:eastAsia="宋体" w:cs="Times New Roman"/>
                <w:szCs w:val="21"/>
              </w:rPr>
            </w:pPr>
            <w:r>
              <w:rPr>
                <w:rFonts w:ascii="Times New Roman" w:hAnsi="Times New Roman" w:eastAsia="宋体" w:cs="Times New Roman"/>
                <w:szCs w:val="21"/>
              </w:rPr>
              <w:t>68～73</w:t>
            </w:r>
          </w:p>
        </w:tc>
      </w:tr>
      <w:tr w14:paraId="70313EE6">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47" w:type="dxa"/>
            <w:noWrap/>
            <w:vAlign w:val="center"/>
          </w:tcPr>
          <w:p w14:paraId="67F899F1">
            <w:pPr>
              <w:jc w:val="center"/>
              <w:rPr>
                <w:rFonts w:ascii="Times New Roman" w:hAnsi="Times New Roman" w:eastAsia="宋体" w:cs="Times New Roman"/>
                <w:szCs w:val="21"/>
              </w:rPr>
            </w:pPr>
            <w:r>
              <w:rPr>
                <w:rFonts w:ascii="Times New Roman" w:hAnsi="Times New Roman" w:eastAsia="宋体" w:cs="Times New Roman"/>
                <w:szCs w:val="21"/>
              </w:rPr>
              <w:t>12</w:t>
            </w:r>
          </w:p>
        </w:tc>
        <w:tc>
          <w:tcPr>
            <w:tcW w:w="2837" w:type="dxa"/>
            <w:noWrap/>
            <w:vAlign w:val="center"/>
          </w:tcPr>
          <w:p w14:paraId="1C3000E2">
            <w:pPr>
              <w:jc w:val="center"/>
              <w:rPr>
                <w:rFonts w:ascii="Times New Roman" w:hAnsi="Times New Roman" w:eastAsia="宋体" w:cs="Times New Roman"/>
                <w:szCs w:val="21"/>
              </w:rPr>
            </w:pPr>
            <w:r>
              <w:rPr>
                <w:rFonts w:ascii="Times New Roman" w:hAnsi="Times New Roman" w:eastAsia="宋体" w:cs="Times New Roman"/>
                <w:szCs w:val="21"/>
              </w:rPr>
              <w:t>风镐</w:t>
            </w:r>
          </w:p>
        </w:tc>
        <w:tc>
          <w:tcPr>
            <w:tcW w:w="2388" w:type="dxa"/>
            <w:noWrap/>
            <w:vAlign w:val="center"/>
          </w:tcPr>
          <w:p w14:paraId="75529DE3">
            <w:pPr>
              <w:jc w:val="center"/>
              <w:rPr>
                <w:rFonts w:ascii="Times New Roman" w:hAnsi="Times New Roman" w:eastAsia="宋体" w:cs="Times New Roman"/>
                <w:szCs w:val="21"/>
              </w:rPr>
            </w:pPr>
            <w:r>
              <w:rPr>
                <w:rFonts w:ascii="Times New Roman" w:hAnsi="Times New Roman" w:eastAsia="宋体" w:cs="Times New Roman"/>
                <w:szCs w:val="21"/>
              </w:rPr>
              <w:t>88～92</w:t>
            </w:r>
          </w:p>
        </w:tc>
        <w:tc>
          <w:tcPr>
            <w:tcW w:w="2380" w:type="dxa"/>
            <w:noWrap/>
            <w:vAlign w:val="center"/>
          </w:tcPr>
          <w:p w14:paraId="6F661AEC">
            <w:pPr>
              <w:jc w:val="center"/>
              <w:rPr>
                <w:rFonts w:ascii="Times New Roman" w:hAnsi="Times New Roman" w:eastAsia="宋体" w:cs="Times New Roman"/>
                <w:szCs w:val="21"/>
              </w:rPr>
            </w:pPr>
            <w:r>
              <w:rPr>
                <w:rFonts w:ascii="Times New Roman" w:hAnsi="Times New Roman" w:eastAsia="宋体" w:cs="Times New Roman"/>
                <w:szCs w:val="21"/>
              </w:rPr>
              <w:t>83～87</w:t>
            </w:r>
          </w:p>
        </w:tc>
      </w:tr>
      <w:tr w14:paraId="21FBACEA">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47" w:type="dxa"/>
            <w:noWrap/>
            <w:vAlign w:val="center"/>
          </w:tcPr>
          <w:p w14:paraId="07AEEECC">
            <w:pPr>
              <w:jc w:val="center"/>
              <w:rPr>
                <w:rFonts w:ascii="Times New Roman" w:hAnsi="Times New Roman" w:eastAsia="宋体" w:cs="Times New Roman"/>
                <w:szCs w:val="21"/>
              </w:rPr>
            </w:pPr>
            <w:r>
              <w:rPr>
                <w:rFonts w:ascii="Times New Roman" w:hAnsi="Times New Roman" w:eastAsia="宋体" w:cs="Times New Roman"/>
                <w:szCs w:val="21"/>
              </w:rPr>
              <w:t>13</w:t>
            </w:r>
          </w:p>
        </w:tc>
        <w:tc>
          <w:tcPr>
            <w:tcW w:w="2837" w:type="dxa"/>
            <w:noWrap/>
            <w:vAlign w:val="center"/>
          </w:tcPr>
          <w:p w14:paraId="08F5E3CC">
            <w:pPr>
              <w:jc w:val="center"/>
              <w:rPr>
                <w:rFonts w:ascii="Times New Roman" w:hAnsi="Times New Roman" w:eastAsia="宋体" w:cs="Times New Roman"/>
                <w:szCs w:val="21"/>
              </w:rPr>
            </w:pPr>
            <w:r>
              <w:rPr>
                <w:rFonts w:ascii="Times New Roman" w:hAnsi="Times New Roman" w:eastAsia="宋体" w:cs="Times New Roman"/>
                <w:szCs w:val="21"/>
              </w:rPr>
              <w:t>混凝土输送泵</w:t>
            </w:r>
          </w:p>
        </w:tc>
        <w:tc>
          <w:tcPr>
            <w:tcW w:w="2388" w:type="dxa"/>
            <w:noWrap/>
            <w:vAlign w:val="center"/>
          </w:tcPr>
          <w:p w14:paraId="5480B72E">
            <w:pPr>
              <w:jc w:val="center"/>
              <w:rPr>
                <w:rFonts w:ascii="Times New Roman" w:hAnsi="Times New Roman" w:eastAsia="宋体" w:cs="Times New Roman"/>
                <w:szCs w:val="21"/>
              </w:rPr>
            </w:pPr>
            <w:r>
              <w:rPr>
                <w:rFonts w:ascii="Times New Roman" w:hAnsi="Times New Roman" w:eastAsia="宋体" w:cs="Times New Roman"/>
                <w:szCs w:val="21"/>
              </w:rPr>
              <w:t>88～95</w:t>
            </w:r>
          </w:p>
        </w:tc>
        <w:tc>
          <w:tcPr>
            <w:tcW w:w="2380" w:type="dxa"/>
            <w:noWrap/>
            <w:vAlign w:val="center"/>
          </w:tcPr>
          <w:p w14:paraId="1DB23F4F">
            <w:pPr>
              <w:jc w:val="center"/>
              <w:rPr>
                <w:rFonts w:ascii="Times New Roman" w:hAnsi="Times New Roman" w:eastAsia="宋体" w:cs="Times New Roman"/>
                <w:szCs w:val="21"/>
              </w:rPr>
            </w:pPr>
            <w:r>
              <w:rPr>
                <w:rFonts w:ascii="Times New Roman" w:hAnsi="Times New Roman" w:eastAsia="宋体" w:cs="Times New Roman"/>
                <w:szCs w:val="21"/>
              </w:rPr>
              <w:t>84～90</w:t>
            </w:r>
          </w:p>
        </w:tc>
      </w:tr>
      <w:tr w14:paraId="42C4971F">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47" w:type="dxa"/>
            <w:noWrap/>
            <w:vAlign w:val="center"/>
          </w:tcPr>
          <w:p w14:paraId="75D58A28">
            <w:pPr>
              <w:jc w:val="center"/>
              <w:rPr>
                <w:rFonts w:ascii="Times New Roman" w:hAnsi="Times New Roman" w:eastAsia="宋体" w:cs="Times New Roman"/>
                <w:szCs w:val="21"/>
              </w:rPr>
            </w:pPr>
            <w:r>
              <w:rPr>
                <w:rFonts w:ascii="Times New Roman" w:hAnsi="Times New Roman" w:eastAsia="宋体" w:cs="Times New Roman"/>
                <w:szCs w:val="21"/>
              </w:rPr>
              <w:t>14</w:t>
            </w:r>
          </w:p>
        </w:tc>
        <w:tc>
          <w:tcPr>
            <w:tcW w:w="2837" w:type="dxa"/>
            <w:noWrap/>
            <w:vAlign w:val="center"/>
          </w:tcPr>
          <w:p w14:paraId="51DBC235">
            <w:pPr>
              <w:jc w:val="center"/>
              <w:rPr>
                <w:rFonts w:ascii="Times New Roman" w:hAnsi="Times New Roman" w:eastAsia="宋体" w:cs="Times New Roman"/>
                <w:szCs w:val="21"/>
              </w:rPr>
            </w:pPr>
            <w:r>
              <w:rPr>
                <w:rFonts w:ascii="Times New Roman" w:hAnsi="Times New Roman" w:eastAsia="宋体" w:cs="Times New Roman"/>
                <w:szCs w:val="21"/>
              </w:rPr>
              <w:t>商砼搅拌车</w:t>
            </w:r>
          </w:p>
        </w:tc>
        <w:tc>
          <w:tcPr>
            <w:tcW w:w="2388" w:type="dxa"/>
            <w:noWrap/>
            <w:vAlign w:val="center"/>
          </w:tcPr>
          <w:p w14:paraId="719D731D">
            <w:pPr>
              <w:jc w:val="center"/>
              <w:rPr>
                <w:rFonts w:ascii="Times New Roman" w:hAnsi="Times New Roman" w:eastAsia="宋体" w:cs="Times New Roman"/>
                <w:szCs w:val="21"/>
              </w:rPr>
            </w:pPr>
            <w:r>
              <w:rPr>
                <w:rFonts w:ascii="Times New Roman" w:hAnsi="Times New Roman" w:eastAsia="宋体" w:cs="Times New Roman"/>
                <w:szCs w:val="21"/>
              </w:rPr>
              <w:t>85～90</w:t>
            </w:r>
          </w:p>
        </w:tc>
        <w:tc>
          <w:tcPr>
            <w:tcW w:w="2380" w:type="dxa"/>
            <w:noWrap/>
            <w:vAlign w:val="center"/>
          </w:tcPr>
          <w:p w14:paraId="0C88CD00">
            <w:pPr>
              <w:jc w:val="center"/>
              <w:rPr>
                <w:rFonts w:ascii="Times New Roman" w:hAnsi="Times New Roman" w:eastAsia="宋体" w:cs="Times New Roman"/>
                <w:szCs w:val="21"/>
              </w:rPr>
            </w:pPr>
            <w:r>
              <w:rPr>
                <w:rFonts w:ascii="Times New Roman" w:hAnsi="Times New Roman" w:eastAsia="宋体" w:cs="Times New Roman"/>
                <w:szCs w:val="21"/>
              </w:rPr>
              <w:t>82～84</w:t>
            </w:r>
          </w:p>
        </w:tc>
      </w:tr>
      <w:tr w14:paraId="46B70CD4">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47" w:type="dxa"/>
            <w:noWrap/>
            <w:vAlign w:val="center"/>
          </w:tcPr>
          <w:p w14:paraId="30A88352">
            <w:pPr>
              <w:jc w:val="center"/>
              <w:rPr>
                <w:rFonts w:ascii="Times New Roman" w:hAnsi="Times New Roman" w:eastAsia="宋体" w:cs="Times New Roman"/>
                <w:szCs w:val="21"/>
              </w:rPr>
            </w:pPr>
            <w:r>
              <w:rPr>
                <w:rFonts w:ascii="Times New Roman" w:hAnsi="Times New Roman" w:eastAsia="宋体" w:cs="Times New Roman"/>
                <w:szCs w:val="21"/>
              </w:rPr>
              <w:t>15</w:t>
            </w:r>
          </w:p>
        </w:tc>
        <w:tc>
          <w:tcPr>
            <w:tcW w:w="2837" w:type="dxa"/>
            <w:noWrap/>
            <w:vAlign w:val="center"/>
          </w:tcPr>
          <w:p w14:paraId="7EBBE496">
            <w:pPr>
              <w:jc w:val="center"/>
              <w:rPr>
                <w:rFonts w:ascii="Times New Roman" w:hAnsi="Times New Roman" w:eastAsia="宋体" w:cs="Times New Roman"/>
                <w:szCs w:val="21"/>
              </w:rPr>
            </w:pPr>
            <w:r>
              <w:rPr>
                <w:rFonts w:ascii="Times New Roman" w:hAnsi="Times New Roman" w:eastAsia="宋体" w:cs="Times New Roman"/>
                <w:szCs w:val="21"/>
              </w:rPr>
              <w:t>混凝土振捣器</w:t>
            </w:r>
          </w:p>
        </w:tc>
        <w:tc>
          <w:tcPr>
            <w:tcW w:w="2388" w:type="dxa"/>
            <w:noWrap/>
            <w:vAlign w:val="center"/>
          </w:tcPr>
          <w:p w14:paraId="04F2C45A">
            <w:pPr>
              <w:jc w:val="center"/>
              <w:rPr>
                <w:rFonts w:ascii="Times New Roman" w:hAnsi="Times New Roman" w:eastAsia="宋体" w:cs="Times New Roman"/>
                <w:szCs w:val="21"/>
              </w:rPr>
            </w:pPr>
            <w:r>
              <w:rPr>
                <w:rFonts w:ascii="Times New Roman" w:hAnsi="Times New Roman" w:eastAsia="宋体" w:cs="Times New Roman"/>
                <w:szCs w:val="21"/>
              </w:rPr>
              <w:t>80～88</w:t>
            </w:r>
          </w:p>
        </w:tc>
        <w:tc>
          <w:tcPr>
            <w:tcW w:w="2380" w:type="dxa"/>
            <w:noWrap/>
            <w:vAlign w:val="center"/>
          </w:tcPr>
          <w:p w14:paraId="40D73C1C">
            <w:pPr>
              <w:jc w:val="center"/>
              <w:rPr>
                <w:rFonts w:ascii="Times New Roman" w:hAnsi="Times New Roman" w:eastAsia="宋体" w:cs="Times New Roman"/>
                <w:szCs w:val="21"/>
              </w:rPr>
            </w:pPr>
            <w:r>
              <w:rPr>
                <w:rFonts w:ascii="Times New Roman" w:hAnsi="Times New Roman" w:eastAsia="宋体" w:cs="Times New Roman"/>
                <w:szCs w:val="21"/>
              </w:rPr>
              <w:t>75～84</w:t>
            </w:r>
          </w:p>
        </w:tc>
      </w:tr>
      <w:tr w14:paraId="13EF4034">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47" w:type="dxa"/>
            <w:noWrap/>
            <w:vAlign w:val="center"/>
          </w:tcPr>
          <w:p w14:paraId="46FE7182">
            <w:pPr>
              <w:jc w:val="center"/>
              <w:rPr>
                <w:rFonts w:ascii="Times New Roman" w:hAnsi="Times New Roman" w:eastAsia="宋体" w:cs="Times New Roman"/>
                <w:szCs w:val="21"/>
              </w:rPr>
            </w:pPr>
            <w:r>
              <w:rPr>
                <w:rFonts w:ascii="Times New Roman" w:hAnsi="Times New Roman" w:eastAsia="宋体" w:cs="Times New Roman"/>
                <w:szCs w:val="21"/>
              </w:rPr>
              <w:t>16</w:t>
            </w:r>
          </w:p>
        </w:tc>
        <w:tc>
          <w:tcPr>
            <w:tcW w:w="2837" w:type="dxa"/>
            <w:noWrap/>
            <w:vAlign w:val="center"/>
          </w:tcPr>
          <w:p w14:paraId="7B09F2BC">
            <w:pPr>
              <w:jc w:val="center"/>
              <w:rPr>
                <w:rFonts w:ascii="Times New Roman" w:hAnsi="Times New Roman" w:eastAsia="宋体" w:cs="Times New Roman"/>
                <w:szCs w:val="21"/>
              </w:rPr>
            </w:pPr>
            <w:r>
              <w:rPr>
                <w:rFonts w:ascii="Times New Roman" w:hAnsi="Times New Roman" w:eastAsia="宋体" w:cs="Times New Roman"/>
                <w:szCs w:val="21"/>
              </w:rPr>
              <w:t>云石机、角磨机</w:t>
            </w:r>
          </w:p>
        </w:tc>
        <w:tc>
          <w:tcPr>
            <w:tcW w:w="2388" w:type="dxa"/>
            <w:noWrap/>
            <w:vAlign w:val="center"/>
          </w:tcPr>
          <w:p w14:paraId="22C1B6DF">
            <w:pPr>
              <w:jc w:val="center"/>
              <w:rPr>
                <w:rFonts w:ascii="Times New Roman" w:hAnsi="Times New Roman" w:eastAsia="宋体" w:cs="Times New Roman"/>
                <w:szCs w:val="21"/>
              </w:rPr>
            </w:pPr>
            <w:r>
              <w:rPr>
                <w:rFonts w:ascii="Times New Roman" w:hAnsi="Times New Roman" w:eastAsia="宋体" w:cs="Times New Roman"/>
                <w:szCs w:val="21"/>
              </w:rPr>
              <w:t>90～96</w:t>
            </w:r>
          </w:p>
        </w:tc>
        <w:tc>
          <w:tcPr>
            <w:tcW w:w="2380" w:type="dxa"/>
            <w:noWrap/>
            <w:vAlign w:val="center"/>
          </w:tcPr>
          <w:p w14:paraId="4C502750">
            <w:pPr>
              <w:jc w:val="center"/>
              <w:rPr>
                <w:rFonts w:ascii="Times New Roman" w:hAnsi="Times New Roman" w:eastAsia="宋体" w:cs="Times New Roman"/>
                <w:szCs w:val="21"/>
              </w:rPr>
            </w:pPr>
            <w:r>
              <w:rPr>
                <w:rFonts w:ascii="Times New Roman" w:hAnsi="Times New Roman" w:eastAsia="宋体" w:cs="Times New Roman"/>
                <w:szCs w:val="21"/>
              </w:rPr>
              <w:t>84～90</w:t>
            </w:r>
          </w:p>
        </w:tc>
      </w:tr>
      <w:tr w14:paraId="1BD167DF">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108" w:type="dxa"/>
            <w:bottom w:w="0" w:type="dxa"/>
            <w:right w:w="108" w:type="dxa"/>
          </w:tblCellMar>
        </w:tblPrEx>
        <w:trPr>
          <w:trHeight w:val="197" w:hRule="atLeast"/>
        </w:trPr>
        <w:tc>
          <w:tcPr>
            <w:tcW w:w="647" w:type="dxa"/>
            <w:noWrap/>
            <w:vAlign w:val="center"/>
          </w:tcPr>
          <w:p w14:paraId="51252575">
            <w:pPr>
              <w:jc w:val="center"/>
              <w:rPr>
                <w:rFonts w:ascii="Times New Roman" w:hAnsi="Times New Roman" w:eastAsia="宋体" w:cs="Times New Roman"/>
                <w:szCs w:val="21"/>
              </w:rPr>
            </w:pPr>
            <w:r>
              <w:rPr>
                <w:rFonts w:ascii="Times New Roman" w:hAnsi="Times New Roman" w:eastAsia="宋体" w:cs="Times New Roman"/>
                <w:szCs w:val="21"/>
              </w:rPr>
              <w:t>17</w:t>
            </w:r>
          </w:p>
        </w:tc>
        <w:tc>
          <w:tcPr>
            <w:tcW w:w="2837" w:type="dxa"/>
            <w:noWrap/>
            <w:vAlign w:val="center"/>
          </w:tcPr>
          <w:p w14:paraId="22D36F97">
            <w:pPr>
              <w:jc w:val="center"/>
              <w:rPr>
                <w:rFonts w:ascii="Times New Roman" w:hAnsi="Times New Roman" w:eastAsia="宋体" w:cs="Times New Roman"/>
                <w:szCs w:val="21"/>
              </w:rPr>
            </w:pPr>
            <w:r>
              <w:rPr>
                <w:rFonts w:ascii="Times New Roman" w:hAnsi="Times New Roman" w:eastAsia="宋体" w:cs="Times New Roman"/>
                <w:szCs w:val="21"/>
              </w:rPr>
              <w:t>空压机</w:t>
            </w:r>
          </w:p>
        </w:tc>
        <w:tc>
          <w:tcPr>
            <w:tcW w:w="2388" w:type="dxa"/>
            <w:noWrap/>
            <w:vAlign w:val="center"/>
          </w:tcPr>
          <w:p w14:paraId="7A30D639">
            <w:pPr>
              <w:jc w:val="center"/>
              <w:rPr>
                <w:rFonts w:ascii="Times New Roman" w:hAnsi="Times New Roman" w:eastAsia="宋体" w:cs="Times New Roman"/>
                <w:szCs w:val="21"/>
              </w:rPr>
            </w:pPr>
            <w:r>
              <w:rPr>
                <w:rFonts w:ascii="Times New Roman" w:hAnsi="Times New Roman" w:eastAsia="宋体" w:cs="Times New Roman"/>
                <w:szCs w:val="21"/>
              </w:rPr>
              <w:t>88～92</w:t>
            </w:r>
          </w:p>
        </w:tc>
        <w:tc>
          <w:tcPr>
            <w:tcW w:w="2380" w:type="dxa"/>
            <w:noWrap/>
            <w:vAlign w:val="center"/>
          </w:tcPr>
          <w:p w14:paraId="5775AF44">
            <w:pPr>
              <w:jc w:val="center"/>
              <w:rPr>
                <w:rFonts w:ascii="Times New Roman" w:hAnsi="Times New Roman" w:eastAsia="宋体" w:cs="Times New Roman"/>
                <w:szCs w:val="21"/>
              </w:rPr>
            </w:pPr>
            <w:r>
              <w:rPr>
                <w:rFonts w:ascii="Times New Roman" w:hAnsi="Times New Roman" w:eastAsia="宋体" w:cs="Times New Roman"/>
                <w:szCs w:val="21"/>
              </w:rPr>
              <w:t>83～88</w:t>
            </w:r>
          </w:p>
        </w:tc>
      </w:tr>
      <w:tr w14:paraId="0E357764">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108" w:type="dxa"/>
            <w:bottom w:w="0" w:type="dxa"/>
            <w:right w:w="108" w:type="dxa"/>
          </w:tblCellMar>
        </w:tblPrEx>
        <w:trPr>
          <w:trHeight w:val="174" w:hRule="atLeast"/>
        </w:trPr>
        <w:tc>
          <w:tcPr>
            <w:tcW w:w="647" w:type="dxa"/>
            <w:noWrap/>
            <w:vAlign w:val="center"/>
          </w:tcPr>
          <w:p w14:paraId="76B0AE16">
            <w:pPr>
              <w:jc w:val="center"/>
              <w:rPr>
                <w:rFonts w:ascii="Times New Roman" w:hAnsi="Times New Roman" w:eastAsia="宋体" w:cs="Times New Roman"/>
                <w:szCs w:val="21"/>
              </w:rPr>
            </w:pPr>
            <w:r>
              <w:rPr>
                <w:rFonts w:hint="eastAsia" w:ascii="Times New Roman" w:hAnsi="Times New Roman" w:eastAsia="宋体" w:cs="Times New Roman"/>
                <w:szCs w:val="21"/>
              </w:rPr>
              <w:t>1</w:t>
            </w:r>
            <w:r>
              <w:rPr>
                <w:rFonts w:ascii="Times New Roman" w:hAnsi="Times New Roman" w:eastAsia="宋体" w:cs="Times New Roman"/>
                <w:szCs w:val="21"/>
              </w:rPr>
              <w:t>8</w:t>
            </w:r>
          </w:p>
        </w:tc>
        <w:tc>
          <w:tcPr>
            <w:tcW w:w="2837" w:type="dxa"/>
            <w:noWrap/>
            <w:vAlign w:val="center"/>
          </w:tcPr>
          <w:p w14:paraId="102A2499">
            <w:pPr>
              <w:jc w:val="center"/>
              <w:rPr>
                <w:rFonts w:ascii="Times New Roman" w:hAnsi="Times New Roman" w:eastAsia="宋体" w:cs="Times New Roman"/>
                <w:szCs w:val="21"/>
              </w:rPr>
            </w:pPr>
            <w:r>
              <w:rPr>
                <w:rFonts w:ascii="Times New Roman" w:hAnsi="Times New Roman" w:eastAsia="宋体" w:cs="Times New Roman"/>
                <w:spacing w:val="-4"/>
              </w:rPr>
              <w:t>平地机</w:t>
            </w:r>
          </w:p>
        </w:tc>
        <w:tc>
          <w:tcPr>
            <w:tcW w:w="2388" w:type="dxa"/>
            <w:noWrap/>
            <w:vAlign w:val="center"/>
          </w:tcPr>
          <w:p w14:paraId="3DF49546">
            <w:pPr>
              <w:jc w:val="center"/>
              <w:rPr>
                <w:rFonts w:ascii="Times New Roman" w:hAnsi="Times New Roman" w:eastAsia="宋体" w:cs="Times New Roman"/>
                <w:szCs w:val="21"/>
              </w:rPr>
            </w:pPr>
            <w:r>
              <w:rPr>
                <w:rFonts w:hint="eastAsia" w:ascii="Times New Roman" w:hAnsi="Times New Roman" w:eastAsia="宋体" w:cs="Times New Roman"/>
                <w:szCs w:val="21"/>
              </w:rPr>
              <w:t>9</w:t>
            </w:r>
            <w:r>
              <w:rPr>
                <w:rFonts w:ascii="Times New Roman" w:hAnsi="Times New Roman" w:eastAsia="宋体" w:cs="Times New Roman"/>
                <w:szCs w:val="21"/>
              </w:rPr>
              <w:t>0</w:t>
            </w:r>
          </w:p>
        </w:tc>
        <w:tc>
          <w:tcPr>
            <w:tcW w:w="2380" w:type="dxa"/>
            <w:noWrap/>
            <w:vAlign w:val="center"/>
          </w:tcPr>
          <w:p w14:paraId="189C13E7">
            <w:pPr>
              <w:jc w:val="center"/>
              <w:rPr>
                <w:rFonts w:ascii="Times New Roman" w:hAnsi="Times New Roman" w:eastAsia="宋体" w:cs="Times New Roman"/>
                <w:szCs w:val="21"/>
              </w:rPr>
            </w:pPr>
            <w:r>
              <w:rPr>
                <w:rFonts w:ascii="Times New Roman" w:hAnsi="Times New Roman" w:eastAsia="宋体" w:cs="Times New Roman"/>
                <w:spacing w:val="-5"/>
              </w:rPr>
              <w:t>84</w:t>
            </w:r>
          </w:p>
        </w:tc>
      </w:tr>
      <w:tr w14:paraId="4EDED8A2">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108" w:type="dxa"/>
            <w:bottom w:w="0" w:type="dxa"/>
            <w:right w:w="108" w:type="dxa"/>
          </w:tblCellMar>
        </w:tblPrEx>
        <w:trPr>
          <w:trHeight w:val="128" w:hRule="atLeast"/>
        </w:trPr>
        <w:tc>
          <w:tcPr>
            <w:tcW w:w="647" w:type="dxa"/>
            <w:noWrap/>
            <w:vAlign w:val="center"/>
          </w:tcPr>
          <w:p w14:paraId="6277E961">
            <w:pPr>
              <w:jc w:val="center"/>
              <w:rPr>
                <w:rFonts w:ascii="Times New Roman" w:hAnsi="Times New Roman" w:eastAsia="宋体" w:cs="Times New Roman"/>
                <w:szCs w:val="21"/>
              </w:rPr>
            </w:pPr>
            <w:r>
              <w:rPr>
                <w:rFonts w:hint="eastAsia" w:ascii="Times New Roman" w:hAnsi="Times New Roman" w:eastAsia="宋体" w:cs="Times New Roman"/>
                <w:szCs w:val="21"/>
              </w:rPr>
              <w:t>19</w:t>
            </w:r>
          </w:p>
        </w:tc>
        <w:tc>
          <w:tcPr>
            <w:tcW w:w="2837" w:type="dxa"/>
            <w:noWrap/>
            <w:vAlign w:val="center"/>
          </w:tcPr>
          <w:p w14:paraId="2CDF36CC">
            <w:pPr>
              <w:jc w:val="center"/>
              <w:rPr>
                <w:rFonts w:ascii="Times New Roman" w:hAnsi="Times New Roman" w:eastAsia="宋体" w:cs="Times New Roman"/>
                <w:szCs w:val="21"/>
              </w:rPr>
            </w:pPr>
            <w:r>
              <w:rPr>
                <w:rFonts w:ascii="Times New Roman" w:hAnsi="Times New Roman" w:eastAsia="宋体" w:cs="Times New Roman"/>
                <w:spacing w:val="-4"/>
              </w:rPr>
              <w:t>钻孔机</w:t>
            </w:r>
          </w:p>
        </w:tc>
        <w:tc>
          <w:tcPr>
            <w:tcW w:w="2388" w:type="dxa"/>
            <w:noWrap/>
            <w:vAlign w:val="center"/>
          </w:tcPr>
          <w:p w14:paraId="29EF5E82">
            <w:pPr>
              <w:jc w:val="center"/>
              <w:rPr>
                <w:rFonts w:ascii="Times New Roman" w:hAnsi="Times New Roman" w:eastAsia="宋体" w:cs="Times New Roman"/>
                <w:szCs w:val="21"/>
              </w:rPr>
            </w:pPr>
            <w:r>
              <w:rPr>
                <w:rFonts w:ascii="Times New Roman" w:hAnsi="Times New Roman" w:eastAsia="宋体" w:cs="Times New Roman"/>
                <w:spacing w:val="-5"/>
              </w:rPr>
              <w:t>74</w:t>
            </w:r>
          </w:p>
        </w:tc>
        <w:tc>
          <w:tcPr>
            <w:tcW w:w="2380" w:type="dxa"/>
            <w:noWrap/>
            <w:vAlign w:val="center"/>
          </w:tcPr>
          <w:p w14:paraId="07B49069">
            <w:pPr>
              <w:jc w:val="center"/>
              <w:rPr>
                <w:rFonts w:ascii="Times New Roman" w:hAnsi="Times New Roman" w:eastAsia="宋体" w:cs="Times New Roman"/>
                <w:szCs w:val="21"/>
              </w:rPr>
            </w:pPr>
            <w:r>
              <w:rPr>
                <w:rFonts w:ascii="Times New Roman" w:hAnsi="Times New Roman" w:eastAsia="宋体" w:cs="Times New Roman"/>
                <w:spacing w:val="-5"/>
              </w:rPr>
              <w:t>68</w:t>
            </w:r>
          </w:p>
        </w:tc>
      </w:tr>
      <w:tr w14:paraId="529BCF67">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108" w:type="dxa"/>
            <w:bottom w:w="0" w:type="dxa"/>
            <w:right w:w="108" w:type="dxa"/>
          </w:tblCellMar>
        </w:tblPrEx>
        <w:trPr>
          <w:trHeight w:val="162" w:hRule="atLeast"/>
        </w:trPr>
        <w:tc>
          <w:tcPr>
            <w:tcW w:w="647" w:type="dxa"/>
            <w:noWrap/>
            <w:vAlign w:val="center"/>
          </w:tcPr>
          <w:p w14:paraId="39421DAE">
            <w:pPr>
              <w:jc w:val="center"/>
              <w:rPr>
                <w:rFonts w:ascii="Times New Roman" w:hAnsi="Times New Roman" w:eastAsia="宋体" w:cs="Times New Roman"/>
                <w:szCs w:val="21"/>
              </w:rPr>
            </w:pPr>
            <w:r>
              <w:rPr>
                <w:rFonts w:hint="eastAsia" w:ascii="Times New Roman" w:hAnsi="Times New Roman" w:eastAsia="宋体" w:cs="Times New Roman"/>
                <w:szCs w:val="21"/>
              </w:rPr>
              <w:t>2</w:t>
            </w:r>
            <w:r>
              <w:rPr>
                <w:rFonts w:ascii="Times New Roman" w:hAnsi="Times New Roman" w:eastAsia="宋体" w:cs="Times New Roman"/>
                <w:szCs w:val="21"/>
              </w:rPr>
              <w:t>0</w:t>
            </w:r>
          </w:p>
        </w:tc>
        <w:tc>
          <w:tcPr>
            <w:tcW w:w="2837" w:type="dxa"/>
            <w:noWrap/>
            <w:vAlign w:val="center"/>
          </w:tcPr>
          <w:p w14:paraId="34758EBC">
            <w:pPr>
              <w:jc w:val="center"/>
              <w:rPr>
                <w:rFonts w:ascii="Times New Roman" w:hAnsi="Times New Roman" w:eastAsia="宋体" w:cs="Times New Roman"/>
                <w:szCs w:val="21"/>
              </w:rPr>
            </w:pPr>
            <w:r>
              <w:rPr>
                <w:rFonts w:ascii="Times New Roman" w:hAnsi="Times New Roman" w:eastAsia="宋体" w:cs="Times New Roman"/>
                <w:spacing w:val="-5"/>
              </w:rPr>
              <w:t>吊车</w:t>
            </w:r>
          </w:p>
        </w:tc>
        <w:tc>
          <w:tcPr>
            <w:tcW w:w="2388" w:type="dxa"/>
            <w:noWrap/>
            <w:vAlign w:val="center"/>
          </w:tcPr>
          <w:p w14:paraId="0CC5B2D4">
            <w:pPr>
              <w:jc w:val="center"/>
              <w:rPr>
                <w:rFonts w:ascii="Times New Roman" w:hAnsi="Times New Roman" w:eastAsia="宋体" w:cs="Times New Roman"/>
                <w:szCs w:val="21"/>
              </w:rPr>
            </w:pPr>
            <w:r>
              <w:rPr>
                <w:rFonts w:ascii="Times New Roman" w:hAnsi="Times New Roman" w:eastAsia="宋体" w:cs="Times New Roman"/>
                <w:spacing w:val="-5"/>
              </w:rPr>
              <w:t>74</w:t>
            </w:r>
          </w:p>
        </w:tc>
        <w:tc>
          <w:tcPr>
            <w:tcW w:w="2380" w:type="dxa"/>
            <w:noWrap/>
            <w:vAlign w:val="center"/>
          </w:tcPr>
          <w:p w14:paraId="317AF734">
            <w:pPr>
              <w:jc w:val="center"/>
              <w:rPr>
                <w:rFonts w:ascii="Times New Roman" w:hAnsi="Times New Roman" w:eastAsia="宋体" w:cs="Times New Roman"/>
                <w:szCs w:val="21"/>
              </w:rPr>
            </w:pPr>
            <w:r>
              <w:rPr>
                <w:rFonts w:ascii="Times New Roman" w:hAnsi="Times New Roman" w:eastAsia="宋体" w:cs="Times New Roman"/>
                <w:spacing w:val="-5"/>
              </w:rPr>
              <w:t>68</w:t>
            </w:r>
          </w:p>
        </w:tc>
      </w:tr>
      <w:tr w14:paraId="7028961E">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108" w:type="dxa"/>
            <w:bottom w:w="0" w:type="dxa"/>
            <w:right w:w="108" w:type="dxa"/>
          </w:tblCellMar>
        </w:tblPrEx>
        <w:trPr>
          <w:trHeight w:val="197" w:hRule="atLeast"/>
        </w:trPr>
        <w:tc>
          <w:tcPr>
            <w:tcW w:w="647" w:type="dxa"/>
            <w:noWrap/>
            <w:vAlign w:val="center"/>
          </w:tcPr>
          <w:p w14:paraId="73C2A779">
            <w:pPr>
              <w:jc w:val="center"/>
              <w:rPr>
                <w:rFonts w:ascii="Times New Roman" w:hAnsi="Times New Roman" w:eastAsia="宋体" w:cs="Times New Roman"/>
                <w:szCs w:val="21"/>
              </w:rPr>
            </w:pPr>
            <w:r>
              <w:rPr>
                <w:rFonts w:hint="eastAsia" w:ascii="Times New Roman" w:hAnsi="Times New Roman" w:eastAsia="宋体" w:cs="Times New Roman"/>
                <w:szCs w:val="21"/>
              </w:rPr>
              <w:t>2</w:t>
            </w:r>
            <w:r>
              <w:rPr>
                <w:rFonts w:ascii="Times New Roman" w:hAnsi="Times New Roman" w:eastAsia="宋体" w:cs="Times New Roman"/>
                <w:szCs w:val="21"/>
              </w:rPr>
              <w:t>1</w:t>
            </w:r>
          </w:p>
        </w:tc>
        <w:tc>
          <w:tcPr>
            <w:tcW w:w="2837" w:type="dxa"/>
            <w:noWrap/>
            <w:vAlign w:val="center"/>
          </w:tcPr>
          <w:p w14:paraId="541CE6E9">
            <w:pPr>
              <w:jc w:val="center"/>
              <w:rPr>
                <w:rFonts w:ascii="Times New Roman" w:hAnsi="Times New Roman" w:eastAsia="宋体" w:cs="Times New Roman"/>
                <w:spacing w:val="-5"/>
              </w:rPr>
            </w:pPr>
            <w:r>
              <w:rPr>
                <w:rFonts w:ascii="Times New Roman" w:hAnsi="Times New Roman" w:eastAsia="宋体" w:cs="Times New Roman"/>
                <w:spacing w:val="-4"/>
              </w:rPr>
              <w:t>运输车辆</w:t>
            </w:r>
          </w:p>
        </w:tc>
        <w:tc>
          <w:tcPr>
            <w:tcW w:w="2388" w:type="dxa"/>
            <w:noWrap/>
            <w:vAlign w:val="center"/>
          </w:tcPr>
          <w:p w14:paraId="613FE919">
            <w:pPr>
              <w:jc w:val="center"/>
              <w:rPr>
                <w:rFonts w:ascii="Times New Roman" w:hAnsi="Times New Roman" w:eastAsia="宋体" w:cs="Times New Roman"/>
                <w:spacing w:val="-5"/>
              </w:rPr>
            </w:pPr>
            <w:r>
              <w:rPr>
                <w:rFonts w:ascii="Times New Roman" w:hAnsi="Times New Roman" w:eastAsia="宋体" w:cs="Times New Roman"/>
                <w:spacing w:val="-5"/>
              </w:rPr>
              <w:t>90</w:t>
            </w:r>
          </w:p>
        </w:tc>
        <w:tc>
          <w:tcPr>
            <w:tcW w:w="2380" w:type="dxa"/>
            <w:noWrap/>
            <w:vAlign w:val="center"/>
          </w:tcPr>
          <w:p w14:paraId="66925929">
            <w:pPr>
              <w:jc w:val="center"/>
              <w:rPr>
                <w:rFonts w:ascii="Times New Roman" w:hAnsi="Times New Roman" w:eastAsia="宋体" w:cs="Times New Roman"/>
                <w:spacing w:val="-5"/>
              </w:rPr>
            </w:pPr>
            <w:r>
              <w:rPr>
                <w:rFonts w:ascii="Times New Roman" w:hAnsi="Times New Roman" w:eastAsia="宋体" w:cs="Times New Roman"/>
                <w:spacing w:val="-5"/>
              </w:rPr>
              <w:t>84</w:t>
            </w:r>
          </w:p>
        </w:tc>
      </w:tr>
    </w:tbl>
    <w:p w14:paraId="66011927">
      <w:pPr>
        <w:widowControl/>
        <w:jc w:val="left"/>
        <w:rPr>
          <w:rFonts w:ascii="Times New Roman" w:hAnsi="Times New Roman" w:eastAsia="宋体" w:cs="Times New Roman"/>
          <w:b/>
          <w:bCs/>
          <w:szCs w:val="21"/>
        </w:rPr>
      </w:pPr>
      <w:r>
        <w:rPr>
          <w:rFonts w:ascii="Times New Roman" w:hAnsi="Times New Roman" w:eastAsia="宋体" w:cs="Times New Roman"/>
          <w:b/>
          <w:bCs/>
          <w:szCs w:val="21"/>
        </w:rPr>
        <w:br w:type="page"/>
      </w:r>
    </w:p>
    <w:p w14:paraId="0C4131EA">
      <w:pPr>
        <w:widowControl w:val="0"/>
        <w:spacing w:beforeLines="50" w:line="240" w:lineRule="auto"/>
        <w:ind w:firstLine="0" w:firstLineChars="0"/>
        <w:jc w:val="center"/>
        <w:rPr>
          <w:rFonts w:ascii="Times New Roman" w:hAnsi="Times New Roman" w:eastAsia="宋体" w:cs="Times New Roman"/>
          <w:b/>
          <w:bCs/>
          <w:color w:val="auto"/>
          <w:kern w:val="2"/>
          <w:sz w:val="21"/>
          <w:szCs w:val="21"/>
          <w:lang w:val="en-US" w:eastAsia="zh-CN" w:bidi="ar-SA"/>
        </w:rPr>
      </w:pPr>
      <w:r>
        <w:rPr>
          <w:rFonts w:ascii="Times New Roman" w:hAnsi="Times New Roman" w:eastAsia="宋体" w:cs="Times New Roman"/>
          <w:b/>
          <w:bCs/>
          <w:color w:val="auto"/>
          <w:kern w:val="2"/>
          <w:sz w:val="21"/>
          <w:szCs w:val="21"/>
          <w:lang w:val="en-US" w:eastAsia="zh-CN" w:bidi="ar-SA"/>
        </w:rPr>
        <w:t>表2.</w:t>
      </w:r>
      <w:r>
        <w:rPr>
          <w:rFonts w:hint="eastAsia" w:ascii="Times New Roman" w:hAnsi="Times New Roman" w:eastAsia="宋体" w:cs="Times New Roman"/>
          <w:b/>
          <w:bCs/>
          <w:color w:val="auto"/>
          <w:kern w:val="2"/>
          <w:sz w:val="21"/>
          <w:szCs w:val="21"/>
          <w:lang w:val="en-US" w:eastAsia="zh-CN" w:bidi="ar-SA"/>
        </w:rPr>
        <w:t>5</w:t>
      </w:r>
      <w:r>
        <w:rPr>
          <w:rFonts w:ascii="Times New Roman" w:hAnsi="Times New Roman" w:eastAsia="宋体" w:cs="Times New Roman"/>
          <w:b/>
          <w:bCs/>
          <w:color w:val="auto"/>
          <w:kern w:val="2"/>
          <w:sz w:val="21"/>
          <w:szCs w:val="21"/>
          <w:lang w:val="en-US" w:eastAsia="zh-CN" w:bidi="ar-SA"/>
        </w:rPr>
        <w:t xml:space="preserve">-2  </w:t>
      </w:r>
      <w:r>
        <w:rPr>
          <w:rFonts w:hint="eastAsia" w:ascii="Times New Roman" w:hAnsi="Times New Roman" w:eastAsia="宋体" w:cs="Times New Roman"/>
          <w:b/>
          <w:bCs/>
          <w:color w:val="auto"/>
          <w:kern w:val="2"/>
          <w:sz w:val="21"/>
          <w:szCs w:val="21"/>
          <w:lang w:val="en-US" w:eastAsia="zh-CN" w:bidi="ar-SA"/>
        </w:rPr>
        <w:t>沥青混凝土搅拌</w:t>
      </w:r>
      <w:r>
        <w:rPr>
          <w:rFonts w:ascii="Times New Roman" w:hAnsi="Times New Roman" w:eastAsia="宋体" w:cs="Times New Roman"/>
          <w:b/>
          <w:bCs/>
          <w:color w:val="auto"/>
          <w:kern w:val="2"/>
          <w:sz w:val="21"/>
          <w:szCs w:val="21"/>
          <w:lang w:val="en-US" w:eastAsia="zh-CN" w:bidi="ar-SA"/>
        </w:rPr>
        <w:t>机</w:t>
      </w:r>
      <w:r>
        <w:rPr>
          <w:rFonts w:hint="eastAsia" w:ascii="Times New Roman" w:hAnsi="Times New Roman" w:eastAsia="宋体" w:cs="Times New Roman"/>
          <w:b/>
          <w:bCs/>
          <w:color w:val="auto"/>
          <w:kern w:val="2"/>
          <w:sz w:val="21"/>
          <w:szCs w:val="21"/>
          <w:lang w:val="en-US" w:eastAsia="zh-CN" w:bidi="ar-SA"/>
        </w:rPr>
        <w:t>噪声源强</w:t>
      </w:r>
    </w:p>
    <w:tbl>
      <w:tblPr>
        <w:tblStyle w:val="22"/>
        <w:tblW w:w="0" w:type="auto"/>
        <w:tblInd w:w="0" w:type="dxa"/>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18"/>
        <w:gridCol w:w="2823"/>
        <w:gridCol w:w="2376"/>
        <w:gridCol w:w="2375"/>
      </w:tblGrid>
      <w:tr w14:paraId="1E2695FD">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18" w:type="dxa"/>
            <w:noWrap/>
            <w:vAlign w:val="center"/>
          </w:tcPr>
          <w:p w14:paraId="5DC45502">
            <w:pPr>
              <w:jc w:val="center"/>
              <w:rPr>
                <w:rFonts w:ascii="Times New Roman" w:hAnsi="Times New Roman" w:eastAsia="宋体" w:cs="Times New Roman"/>
                <w:b/>
                <w:szCs w:val="21"/>
              </w:rPr>
            </w:pPr>
            <w:r>
              <w:rPr>
                <w:rFonts w:ascii="Times New Roman" w:hAnsi="Times New Roman" w:eastAsia="宋体" w:cs="Times New Roman"/>
                <w:b/>
                <w:szCs w:val="21"/>
              </w:rPr>
              <w:t>序号</w:t>
            </w:r>
          </w:p>
        </w:tc>
        <w:tc>
          <w:tcPr>
            <w:tcW w:w="2823" w:type="dxa"/>
            <w:noWrap/>
            <w:vAlign w:val="center"/>
          </w:tcPr>
          <w:p w14:paraId="4F54B9CA">
            <w:pPr>
              <w:jc w:val="center"/>
              <w:rPr>
                <w:rFonts w:ascii="Times New Roman" w:hAnsi="Times New Roman" w:eastAsia="宋体" w:cs="Times New Roman"/>
                <w:b/>
                <w:szCs w:val="21"/>
              </w:rPr>
            </w:pPr>
            <w:r>
              <w:rPr>
                <w:rFonts w:ascii="Times New Roman" w:hAnsi="Times New Roman" w:eastAsia="宋体" w:cs="Times New Roman"/>
                <w:b/>
                <w:szCs w:val="21"/>
              </w:rPr>
              <w:t>搅拌机型号</w:t>
            </w:r>
          </w:p>
        </w:tc>
        <w:tc>
          <w:tcPr>
            <w:tcW w:w="2376" w:type="dxa"/>
            <w:noWrap/>
            <w:vAlign w:val="center"/>
          </w:tcPr>
          <w:p w14:paraId="0D54B078">
            <w:pPr>
              <w:jc w:val="center"/>
              <w:rPr>
                <w:rFonts w:ascii="Times New Roman" w:hAnsi="Times New Roman" w:eastAsia="宋体" w:cs="Times New Roman"/>
                <w:b/>
                <w:szCs w:val="21"/>
              </w:rPr>
            </w:pPr>
            <w:r>
              <w:rPr>
                <w:rFonts w:ascii="Times New Roman" w:hAnsi="Times New Roman" w:eastAsia="宋体" w:cs="Times New Roman"/>
                <w:b/>
                <w:szCs w:val="21"/>
              </w:rPr>
              <w:t>测点距施工机械距离</w:t>
            </w:r>
          </w:p>
          <w:p w14:paraId="44FB318C">
            <w:pPr>
              <w:jc w:val="center"/>
              <w:rPr>
                <w:rFonts w:ascii="Times New Roman" w:hAnsi="Times New Roman" w:eastAsia="宋体" w:cs="Times New Roman"/>
                <w:b/>
                <w:szCs w:val="21"/>
              </w:rPr>
            </w:pPr>
            <w:r>
              <w:rPr>
                <w:rFonts w:ascii="Times New Roman" w:hAnsi="Times New Roman" w:eastAsia="宋体" w:cs="Times New Roman"/>
                <w:b/>
                <w:szCs w:val="21"/>
              </w:rPr>
              <w:t>(m)</w:t>
            </w:r>
          </w:p>
        </w:tc>
        <w:tc>
          <w:tcPr>
            <w:tcW w:w="2375" w:type="dxa"/>
            <w:noWrap/>
            <w:vAlign w:val="center"/>
          </w:tcPr>
          <w:p w14:paraId="5E54DF3E">
            <w:pPr>
              <w:jc w:val="center"/>
              <w:rPr>
                <w:rFonts w:ascii="Times New Roman" w:hAnsi="Times New Roman" w:eastAsia="宋体" w:cs="Times New Roman"/>
                <w:b/>
                <w:szCs w:val="21"/>
              </w:rPr>
            </w:pPr>
            <w:r>
              <w:rPr>
                <w:rFonts w:ascii="Times New Roman" w:hAnsi="Times New Roman" w:eastAsia="宋体" w:cs="Times New Roman"/>
                <w:b/>
                <w:szCs w:val="21"/>
              </w:rPr>
              <w:t>最大声级</w:t>
            </w:r>
            <w:r>
              <w:rPr>
                <w:rFonts w:ascii="Times New Roman" w:hAnsi="Times New Roman" w:eastAsia="宋体" w:cs="Times New Roman"/>
                <w:b/>
                <w:i/>
                <w:iCs/>
                <w:szCs w:val="21"/>
              </w:rPr>
              <w:t>L</w:t>
            </w:r>
            <w:r>
              <w:rPr>
                <w:rFonts w:ascii="Times New Roman" w:hAnsi="Times New Roman" w:eastAsia="宋体" w:cs="Times New Roman"/>
                <w:b/>
                <w:szCs w:val="21"/>
                <w:vertAlign w:val="subscript"/>
              </w:rPr>
              <w:t>max</w:t>
            </w:r>
          </w:p>
          <w:p w14:paraId="7495320B">
            <w:pPr>
              <w:jc w:val="center"/>
              <w:rPr>
                <w:rFonts w:ascii="Times New Roman" w:hAnsi="Times New Roman" w:eastAsia="宋体" w:cs="Times New Roman"/>
                <w:b/>
                <w:szCs w:val="21"/>
              </w:rPr>
            </w:pPr>
            <w:r>
              <w:rPr>
                <w:rFonts w:ascii="Times New Roman" w:hAnsi="Times New Roman" w:eastAsia="宋体" w:cs="Times New Roman"/>
                <w:b/>
                <w:szCs w:val="21"/>
              </w:rPr>
              <w:t>[dB(A)]</w:t>
            </w:r>
          </w:p>
        </w:tc>
      </w:tr>
      <w:tr w14:paraId="48B464F4">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18" w:type="dxa"/>
            <w:noWrap/>
            <w:vAlign w:val="center"/>
          </w:tcPr>
          <w:p w14:paraId="5F3A9209">
            <w:pPr>
              <w:jc w:val="center"/>
              <w:rPr>
                <w:rFonts w:ascii="Times New Roman" w:hAnsi="Times New Roman" w:eastAsia="宋体" w:cs="Times New Roman"/>
                <w:szCs w:val="21"/>
              </w:rPr>
            </w:pPr>
            <w:r>
              <w:rPr>
                <w:rFonts w:ascii="Times New Roman" w:hAnsi="Times New Roman" w:eastAsia="宋体" w:cs="Times New Roman"/>
                <w:szCs w:val="21"/>
              </w:rPr>
              <w:t>1</w:t>
            </w:r>
          </w:p>
        </w:tc>
        <w:tc>
          <w:tcPr>
            <w:tcW w:w="2823" w:type="dxa"/>
            <w:noWrap/>
            <w:vAlign w:val="center"/>
          </w:tcPr>
          <w:p w14:paraId="3AFD9D61">
            <w:pPr>
              <w:jc w:val="center"/>
              <w:rPr>
                <w:rFonts w:ascii="Times New Roman" w:hAnsi="Times New Roman" w:eastAsia="宋体" w:cs="Times New Roman"/>
                <w:szCs w:val="21"/>
              </w:rPr>
            </w:pPr>
            <w:r>
              <w:rPr>
                <w:rFonts w:ascii="Times New Roman" w:hAnsi="Times New Roman" w:eastAsia="宋体" w:cs="Times New Roman"/>
                <w:szCs w:val="21"/>
              </w:rPr>
              <w:t>Parker LB1000型</w:t>
            </w:r>
            <w:r>
              <w:rPr>
                <w:rFonts w:hint="eastAsia" w:ascii="Times New Roman" w:hAnsi="Times New Roman" w:eastAsia="宋体" w:cs="Times New Roman"/>
                <w:szCs w:val="21"/>
              </w:rPr>
              <w:t>（</w:t>
            </w:r>
            <w:r>
              <w:rPr>
                <w:rFonts w:ascii="Times New Roman" w:hAnsi="Times New Roman" w:eastAsia="宋体" w:cs="Times New Roman"/>
                <w:szCs w:val="21"/>
              </w:rPr>
              <w:t>英国</w:t>
            </w:r>
            <w:r>
              <w:rPr>
                <w:rFonts w:hint="eastAsia" w:ascii="Times New Roman" w:hAnsi="Times New Roman" w:eastAsia="宋体" w:cs="Times New Roman"/>
                <w:szCs w:val="21"/>
              </w:rPr>
              <w:t>）</w:t>
            </w:r>
          </w:p>
        </w:tc>
        <w:tc>
          <w:tcPr>
            <w:tcW w:w="2376" w:type="dxa"/>
            <w:noWrap/>
            <w:vAlign w:val="center"/>
          </w:tcPr>
          <w:p w14:paraId="0D6A4475">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2375" w:type="dxa"/>
            <w:noWrap/>
            <w:vAlign w:val="center"/>
          </w:tcPr>
          <w:p w14:paraId="426110FC">
            <w:pPr>
              <w:jc w:val="center"/>
              <w:rPr>
                <w:rFonts w:ascii="Times New Roman" w:hAnsi="Times New Roman" w:eastAsia="宋体" w:cs="Times New Roman"/>
                <w:szCs w:val="21"/>
              </w:rPr>
            </w:pPr>
            <w:r>
              <w:rPr>
                <w:rFonts w:ascii="Times New Roman" w:hAnsi="Times New Roman" w:eastAsia="宋体" w:cs="Times New Roman"/>
                <w:szCs w:val="21"/>
              </w:rPr>
              <w:t>88</w:t>
            </w:r>
          </w:p>
        </w:tc>
      </w:tr>
      <w:tr w14:paraId="506864B9">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18" w:type="dxa"/>
            <w:noWrap/>
            <w:vAlign w:val="center"/>
          </w:tcPr>
          <w:p w14:paraId="1218757C">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2823" w:type="dxa"/>
            <w:noWrap/>
            <w:vAlign w:val="center"/>
          </w:tcPr>
          <w:p w14:paraId="22BD46DA">
            <w:pPr>
              <w:jc w:val="center"/>
              <w:rPr>
                <w:rFonts w:ascii="Times New Roman" w:hAnsi="Times New Roman" w:eastAsia="宋体" w:cs="Times New Roman"/>
                <w:szCs w:val="21"/>
              </w:rPr>
            </w:pPr>
            <w:r>
              <w:rPr>
                <w:rFonts w:ascii="Times New Roman" w:hAnsi="Times New Roman" w:eastAsia="宋体" w:cs="Times New Roman"/>
                <w:szCs w:val="21"/>
              </w:rPr>
              <w:t>LB30型</w:t>
            </w:r>
            <w:r>
              <w:rPr>
                <w:rFonts w:hint="eastAsia" w:ascii="Times New Roman" w:hAnsi="Times New Roman" w:eastAsia="宋体" w:cs="Times New Roman"/>
                <w:szCs w:val="21"/>
              </w:rPr>
              <w:t>（</w:t>
            </w:r>
            <w:r>
              <w:rPr>
                <w:rFonts w:ascii="Times New Roman" w:hAnsi="Times New Roman" w:eastAsia="宋体" w:cs="Times New Roman"/>
                <w:szCs w:val="21"/>
              </w:rPr>
              <w:t>西筑</w:t>
            </w:r>
            <w:r>
              <w:rPr>
                <w:rFonts w:hint="eastAsia" w:ascii="Times New Roman" w:hAnsi="Times New Roman" w:eastAsia="宋体" w:cs="Times New Roman"/>
                <w:szCs w:val="21"/>
              </w:rPr>
              <w:t>）</w:t>
            </w:r>
          </w:p>
        </w:tc>
        <w:tc>
          <w:tcPr>
            <w:tcW w:w="2376" w:type="dxa"/>
            <w:noWrap/>
            <w:vAlign w:val="center"/>
          </w:tcPr>
          <w:p w14:paraId="3285A18C">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2375" w:type="dxa"/>
            <w:noWrap/>
            <w:vAlign w:val="center"/>
          </w:tcPr>
          <w:p w14:paraId="063141A6">
            <w:pPr>
              <w:jc w:val="center"/>
              <w:rPr>
                <w:rFonts w:ascii="Times New Roman" w:hAnsi="Times New Roman" w:eastAsia="宋体" w:cs="Times New Roman"/>
                <w:szCs w:val="21"/>
              </w:rPr>
            </w:pPr>
            <w:r>
              <w:rPr>
                <w:rFonts w:ascii="Times New Roman" w:hAnsi="Times New Roman" w:eastAsia="宋体" w:cs="Times New Roman"/>
                <w:szCs w:val="21"/>
              </w:rPr>
              <w:t>90</w:t>
            </w:r>
          </w:p>
        </w:tc>
      </w:tr>
      <w:tr w14:paraId="36527E22">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18" w:type="dxa"/>
            <w:noWrap/>
            <w:vAlign w:val="center"/>
          </w:tcPr>
          <w:p w14:paraId="2038D5A0">
            <w:pPr>
              <w:jc w:val="center"/>
              <w:rPr>
                <w:rFonts w:ascii="Times New Roman" w:hAnsi="Times New Roman" w:eastAsia="宋体" w:cs="Times New Roman"/>
                <w:szCs w:val="21"/>
              </w:rPr>
            </w:pPr>
            <w:r>
              <w:rPr>
                <w:rFonts w:ascii="Times New Roman" w:hAnsi="Times New Roman" w:eastAsia="宋体" w:cs="Times New Roman"/>
                <w:szCs w:val="21"/>
              </w:rPr>
              <w:t>3</w:t>
            </w:r>
          </w:p>
        </w:tc>
        <w:tc>
          <w:tcPr>
            <w:tcW w:w="2823" w:type="dxa"/>
            <w:noWrap/>
            <w:vAlign w:val="center"/>
          </w:tcPr>
          <w:p w14:paraId="464F8D13">
            <w:pPr>
              <w:jc w:val="center"/>
              <w:rPr>
                <w:rFonts w:ascii="Times New Roman" w:hAnsi="Times New Roman" w:eastAsia="宋体" w:cs="Times New Roman"/>
                <w:szCs w:val="21"/>
              </w:rPr>
            </w:pPr>
            <w:r>
              <w:rPr>
                <w:rFonts w:ascii="Times New Roman" w:hAnsi="Times New Roman" w:eastAsia="宋体" w:cs="Times New Roman"/>
                <w:szCs w:val="21"/>
              </w:rPr>
              <w:t>LB2.5型</w:t>
            </w:r>
            <w:r>
              <w:rPr>
                <w:rFonts w:hint="eastAsia" w:ascii="Times New Roman" w:hAnsi="Times New Roman" w:eastAsia="宋体" w:cs="Times New Roman"/>
                <w:szCs w:val="21"/>
              </w:rPr>
              <w:t>（</w:t>
            </w:r>
            <w:r>
              <w:rPr>
                <w:rFonts w:ascii="Times New Roman" w:hAnsi="Times New Roman" w:eastAsia="宋体" w:cs="Times New Roman"/>
                <w:szCs w:val="21"/>
              </w:rPr>
              <w:t>西筑</w:t>
            </w:r>
            <w:r>
              <w:rPr>
                <w:rFonts w:hint="eastAsia" w:ascii="Times New Roman" w:hAnsi="Times New Roman" w:eastAsia="宋体" w:cs="Times New Roman"/>
                <w:szCs w:val="21"/>
              </w:rPr>
              <w:t>）</w:t>
            </w:r>
          </w:p>
        </w:tc>
        <w:tc>
          <w:tcPr>
            <w:tcW w:w="2376" w:type="dxa"/>
            <w:noWrap/>
            <w:vAlign w:val="center"/>
          </w:tcPr>
          <w:p w14:paraId="62A1ABDD">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2375" w:type="dxa"/>
            <w:noWrap/>
            <w:vAlign w:val="center"/>
          </w:tcPr>
          <w:p w14:paraId="3AA81F88">
            <w:pPr>
              <w:jc w:val="center"/>
              <w:rPr>
                <w:rFonts w:ascii="Times New Roman" w:hAnsi="Times New Roman" w:eastAsia="宋体" w:cs="Times New Roman"/>
                <w:szCs w:val="21"/>
              </w:rPr>
            </w:pPr>
            <w:r>
              <w:rPr>
                <w:rFonts w:ascii="Times New Roman" w:hAnsi="Times New Roman" w:eastAsia="宋体" w:cs="Times New Roman"/>
                <w:szCs w:val="21"/>
              </w:rPr>
              <w:t>84</w:t>
            </w:r>
          </w:p>
        </w:tc>
      </w:tr>
      <w:tr w14:paraId="531D33CA">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18" w:type="dxa"/>
            <w:noWrap/>
            <w:vAlign w:val="center"/>
          </w:tcPr>
          <w:p w14:paraId="3214E2E5">
            <w:pPr>
              <w:jc w:val="center"/>
              <w:rPr>
                <w:rFonts w:ascii="Times New Roman" w:hAnsi="Times New Roman" w:eastAsia="宋体" w:cs="Times New Roman"/>
                <w:szCs w:val="21"/>
              </w:rPr>
            </w:pPr>
            <w:r>
              <w:rPr>
                <w:rFonts w:ascii="Times New Roman" w:hAnsi="Times New Roman" w:eastAsia="宋体" w:cs="Times New Roman"/>
                <w:szCs w:val="21"/>
              </w:rPr>
              <w:t>4</w:t>
            </w:r>
          </w:p>
        </w:tc>
        <w:tc>
          <w:tcPr>
            <w:tcW w:w="2823" w:type="dxa"/>
            <w:noWrap/>
            <w:vAlign w:val="center"/>
          </w:tcPr>
          <w:p w14:paraId="53E48570">
            <w:pPr>
              <w:jc w:val="center"/>
              <w:rPr>
                <w:rFonts w:ascii="Times New Roman" w:hAnsi="Times New Roman" w:eastAsia="宋体" w:cs="Times New Roman"/>
                <w:szCs w:val="21"/>
              </w:rPr>
            </w:pPr>
            <w:r>
              <w:rPr>
                <w:rFonts w:ascii="Times New Roman" w:hAnsi="Times New Roman" w:eastAsia="宋体" w:cs="Times New Roman"/>
                <w:szCs w:val="21"/>
              </w:rPr>
              <w:t>MARINI</w:t>
            </w:r>
            <w:r>
              <w:rPr>
                <w:rFonts w:hint="eastAsia" w:ascii="Times New Roman" w:hAnsi="Times New Roman" w:eastAsia="宋体" w:cs="Times New Roman"/>
                <w:szCs w:val="21"/>
              </w:rPr>
              <w:t>（</w:t>
            </w:r>
            <w:r>
              <w:rPr>
                <w:rFonts w:ascii="Times New Roman" w:hAnsi="Times New Roman" w:eastAsia="宋体" w:cs="Times New Roman"/>
                <w:szCs w:val="21"/>
              </w:rPr>
              <w:t>意大利</w:t>
            </w:r>
            <w:r>
              <w:rPr>
                <w:rFonts w:hint="eastAsia" w:ascii="Times New Roman" w:hAnsi="Times New Roman" w:eastAsia="宋体" w:cs="Times New Roman"/>
                <w:szCs w:val="21"/>
              </w:rPr>
              <w:t>）</w:t>
            </w:r>
          </w:p>
        </w:tc>
        <w:tc>
          <w:tcPr>
            <w:tcW w:w="2376" w:type="dxa"/>
            <w:noWrap/>
            <w:vAlign w:val="center"/>
          </w:tcPr>
          <w:p w14:paraId="2DE641AE">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2375" w:type="dxa"/>
            <w:noWrap/>
            <w:vAlign w:val="center"/>
          </w:tcPr>
          <w:p w14:paraId="42C0B885">
            <w:pPr>
              <w:jc w:val="center"/>
              <w:rPr>
                <w:rFonts w:ascii="Times New Roman" w:hAnsi="Times New Roman" w:eastAsia="宋体" w:cs="Times New Roman"/>
                <w:szCs w:val="21"/>
              </w:rPr>
            </w:pPr>
            <w:r>
              <w:rPr>
                <w:rFonts w:ascii="Times New Roman" w:hAnsi="Times New Roman" w:eastAsia="宋体" w:cs="Times New Roman"/>
                <w:szCs w:val="21"/>
              </w:rPr>
              <w:t>90</w:t>
            </w:r>
          </w:p>
        </w:tc>
      </w:tr>
      <w:tr w14:paraId="719C7247">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292" w:type="dxa"/>
            <w:gridSpan w:val="4"/>
            <w:noWrap/>
            <w:vAlign w:val="center"/>
          </w:tcPr>
          <w:p w14:paraId="7CDBD859">
            <w:pPr>
              <w:widowControl/>
              <w:ind w:firstLine="420" w:firstLineChars="200"/>
              <w:jc w:val="left"/>
              <w:rPr>
                <w:rFonts w:ascii="Times New Roman" w:hAnsi="Times New Roman" w:eastAsia="宋体" w:cs="Times New Roman"/>
                <w:szCs w:val="21"/>
              </w:rPr>
            </w:pPr>
            <w:r>
              <w:rPr>
                <w:rFonts w:ascii="Times New Roman" w:hAnsi="Times New Roman" w:eastAsia="宋体" w:cs="Times New Roman"/>
                <w:szCs w:val="21"/>
              </w:rPr>
              <w:t>注：以上数据是工程机械满负荷运转时测试的结果。</w:t>
            </w:r>
          </w:p>
        </w:tc>
      </w:tr>
    </w:tbl>
    <w:p w14:paraId="13BE07DF">
      <w:pPr>
        <w:rPr>
          <w:rFonts w:ascii="Times New Roman" w:hAnsi="Times New Roman" w:eastAsia="宋体" w:cs="Times New Roman"/>
        </w:rPr>
      </w:pPr>
    </w:p>
    <w:p w14:paraId="1181E529">
      <w:pPr>
        <w:keepNext/>
        <w:keepLines/>
        <w:widowControl w:val="0"/>
        <w:adjustRightInd w:val="0"/>
        <w:spacing w:before="120" w:after="120" w:line="300" w:lineRule="auto"/>
        <w:jc w:val="both"/>
        <w:textAlignment w:val="baseline"/>
        <w:outlineLvl w:val="2"/>
        <w:rPr>
          <w:rFonts w:ascii="Times New Roman" w:hAnsi="Times New Roman" w:eastAsia="宋体" w:cs="Times New Roman"/>
          <w:b/>
          <w:bCs w:val="0"/>
          <w:kern w:val="0"/>
          <w:sz w:val="24"/>
          <w:szCs w:val="32"/>
          <w:lang w:val="en-US" w:eastAsia="zh-CN" w:bidi="ar-SA"/>
        </w:rPr>
      </w:pPr>
      <w:bookmarkStart w:id="177" w:name="_Toc175213207"/>
      <w:bookmarkStart w:id="178" w:name="_Toc187528254"/>
      <w:r>
        <w:rPr>
          <w:rFonts w:ascii="Times New Roman" w:hAnsi="Times New Roman" w:eastAsia="宋体" w:cs="Times New Roman"/>
          <w:b/>
          <w:bCs w:val="0"/>
          <w:kern w:val="0"/>
          <w:sz w:val="24"/>
          <w:szCs w:val="32"/>
          <w:lang w:val="en-US" w:eastAsia="zh-CN" w:bidi="ar-SA"/>
        </w:rPr>
        <w:t>2.</w:t>
      </w:r>
      <w:r>
        <w:rPr>
          <w:rFonts w:hint="eastAsia" w:ascii="Times New Roman" w:hAnsi="Times New Roman" w:eastAsia="宋体" w:cs="Times New Roman"/>
          <w:b/>
          <w:bCs w:val="0"/>
          <w:kern w:val="0"/>
          <w:sz w:val="24"/>
          <w:szCs w:val="32"/>
          <w:lang w:val="en-US" w:eastAsia="zh-CN" w:bidi="ar-SA"/>
        </w:rPr>
        <w:t>5</w:t>
      </w:r>
      <w:r>
        <w:rPr>
          <w:rFonts w:ascii="Times New Roman" w:hAnsi="Times New Roman" w:eastAsia="宋体" w:cs="Times New Roman"/>
          <w:b/>
          <w:bCs w:val="0"/>
          <w:kern w:val="0"/>
          <w:sz w:val="24"/>
          <w:szCs w:val="32"/>
          <w:lang w:val="en-US" w:eastAsia="zh-CN" w:bidi="ar-SA"/>
        </w:rPr>
        <w:t xml:space="preserve">.2 </w:t>
      </w:r>
      <w:r>
        <w:rPr>
          <w:rFonts w:hint="eastAsia" w:ascii="Times New Roman" w:hAnsi="Times New Roman" w:eastAsia="宋体" w:cs="Times New Roman"/>
          <w:b/>
          <w:bCs w:val="0"/>
          <w:kern w:val="0"/>
          <w:sz w:val="24"/>
          <w:szCs w:val="32"/>
          <w:lang w:val="en-US" w:eastAsia="zh-CN" w:bidi="ar-SA"/>
        </w:rPr>
        <w:t>营运期噪声源强</w:t>
      </w:r>
      <w:bookmarkEnd w:id="177"/>
      <w:bookmarkEnd w:id="178"/>
    </w:p>
    <w:p w14:paraId="1CAAF9BC">
      <w:pPr>
        <w:spacing w:line="300"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拟建公路交通噪声源强计算如下。</w:t>
      </w:r>
    </w:p>
    <w:p w14:paraId="7A3B019F">
      <w:pPr>
        <w:spacing w:line="300"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1. 拟建公路绝对交通量</w:t>
      </w:r>
    </w:p>
    <w:p w14:paraId="21207569">
      <w:pPr>
        <w:spacing w:line="300"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拟建公路特征年绝对交通量预测结果见表2</w:t>
      </w:r>
      <w:r>
        <w:rPr>
          <w:rFonts w:ascii="Times New Roman" w:hAnsi="Times New Roman" w:eastAsia="宋体" w:cs="Times New Roman"/>
          <w:sz w:val="24"/>
        </w:rPr>
        <w:t>.</w:t>
      </w:r>
      <w:r>
        <w:rPr>
          <w:rFonts w:hint="eastAsia" w:ascii="Times New Roman" w:hAnsi="Times New Roman" w:eastAsia="宋体" w:cs="Times New Roman"/>
          <w:sz w:val="24"/>
        </w:rPr>
        <w:t>4-2，各车型小时交通量计算结果见表2.5-3。</w:t>
      </w:r>
    </w:p>
    <w:p w14:paraId="09638CB0">
      <w:pPr>
        <w:widowControl w:val="0"/>
        <w:spacing w:beforeLines="50" w:line="240" w:lineRule="auto"/>
        <w:ind w:firstLine="0" w:firstLineChars="0"/>
        <w:jc w:val="center"/>
        <w:rPr>
          <w:rFonts w:ascii="Times New Roman" w:hAnsi="Times New Roman" w:eastAsia="宋体" w:cs="Times New Roman"/>
          <w:b/>
          <w:bCs/>
          <w:color w:val="auto"/>
          <w:kern w:val="2"/>
          <w:sz w:val="21"/>
          <w:szCs w:val="21"/>
          <w:lang w:val="en-US" w:eastAsia="zh-CN" w:bidi="ar-SA"/>
        </w:rPr>
      </w:pPr>
      <w:r>
        <w:rPr>
          <w:rFonts w:ascii="Times New Roman" w:hAnsi="Times New Roman" w:eastAsia="宋体" w:cs="Times New Roman"/>
          <w:b/>
          <w:bCs/>
          <w:color w:val="auto"/>
          <w:kern w:val="2"/>
          <w:sz w:val="21"/>
          <w:szCs w:val="21"/>
          <w:lang w:val="en-US" w:eastAsia="zh-CN" w:bidi="ar-SA"/>
        </w:rPr>
        <w:t>表2.</w:t>
      </w:r>
      <w:r>
        <w:rPr>
          <w:rFonts w:hint="eastAsia" w:ascii="Times New Roman" w:hAnsi="Times New Roman" w:eastAsia="宋体" w:cs="Times New Roman"/>
          <w:b/>
          <w:bCs/>
          <w:color w:val="auto"/>
          <w:kern w:val="2"/>
          <w:sz w:val="21"/>
          <w:szCs w:val="21"/>
          <w:lang w:val="en-US" w:eastAsia="zh-CN" w:bidi="ar-SA"/>
        </w:rPr>
        <w:t>5</w:t>
      </w:r>
      <w:r>
        <w:rPr>
          <w:rFonts w:ascii="Times New Roman" w:hAnsi="Times New Roman" w:eastAsia="宋体" w:cs="Times New Roman"/>
          <w:b/>
          <w:bCs/>
          <w:color w:val="auto"/>
          <w:kern w:val="2"/>
          <w:sz w:val="21"/>
          <w:szCs w:val="21"/>
          <w:lang w:val="en-US" w:eastAsia="zh-CN" w:bidi="ar-SA"/>
        </w:rPr>
        <w:t>-</w:t>
      </w:r>
      <w:r>
        <w:rPr>
          <w:rFonts w:hint="eastAsia" w:ascii="Times New Roman" w:hAnsi="Times New Roman" w:eastAsia="宋体" w:cs="Times New Roman"/>
          <w:b/>
          <w:bCs/>
          <w:color w:val="auto"/>
          <w:kern w:val="2"/>
          <w:sz w:val="21"/>
          <w:szCs w:val="21"/>
          <w:lang w:val="en-US" w:eastAsia="zh-CN" w:bidi="ar-SA"/>
        </w:rPr>
        <w:t>3</w:t>
      </w:r>
      <w:r>
        <w:rPr>
          <w:rFonts w:ascii="Times New Roman" w:hAnsi="Times New Roman" w:eastAsia="宋体" w:cs="Times New Roman"/>
          <w:b/>
          <w:bCs/>
          <w:color w:val="auto"/>
          <w:kern w:val="2"/>
          <w:sz w:val="21"/>
          <w:szCs w:val="21"/>
          <w:lang w:val="en-US" w:eastAsia="zh-CN" w:bidi="ar-SA"/>
        </w:rPr>
        <w:t xml:space="preserve"> 拟建公路特征年各车型小时交通量一览表  单位：辆/h</w:t>
      </w:r>
    </w:p>
    <w:tbl>
      <w:tblPr>
        <w:tblStyle w:val="22"/>
        <w:tblW w:w="5000" w:type="pct"/>
        <w:tblInd w:w="0" w:type="dxa"/>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449"/>
        <w:gridCol w:w="638"/>
        <w:gridCol w:w="660"/>
        <w:gridCol w:w="669"/>
        <w:gridCol w:w="638"/>
        <w:gridCol w:w="640"/>
        <w:gridCol w:w="638"/>
        <w:gridCol w:w="640"/>
        <w:gridCol w:w="638"/>
        <w:gridCol w:w="640"/>
        <w:gridCol w:w="638"/>
        <w:gridCol w:w="640"/>
      </w:tblGrid>
      <w:tr w14:paraId="388BF1C0">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850" w:type="pct"/>
            <w:vMerge w:val="restart"/>
            <w:vAlign w:val="center"/>
          </w:tcPr>
          <w:p w14:paraId="39FB9ADC">
            <w:pPr>
              <w:widowControl/>
              <w:jc w:val="center"/>
              <w:rPr>
                <w:rFonts w:ascii="Times New Roman" w:hAnsi="Times New Roman" w:eastAsia="宋体" w:cs="Times New Roman"/>
                <w:b/>
                <w:kern w:val="0"/>
                <w:szCs w:val="21"/>
              </w:rPr>
            </w:pPr>
            <w:r>
              <w:rPr>
                <w:rFonts w:hint="eastAsia" w:ascii="宋体" w:hAnsi="宋体" w:eastAsia="宋体" w:cs="Times New Roman"/>
                <w:b/>
                <w:kern w:val="0"/>
                <w:szCs w:val="21"/>
              </w:rPr>
              <w:t>路段</w:t>
            </w:r>
          </w:p>
        </w:tc>
        <w:tc>
          <w:tcPr>
            <w:tcW w:w="374" w:type="pct"/>
            <w:vMerge w:val="restart"/>
            <w:noWrap/>
            <w:vAlign w:val="center"/>
          </w:tcPr>
          <w:p w14:paraId="22E1F508">
            <w:pPr>
              <w:widowControl/>
              <w:jc w:val="center"/>
              <w:rPr>
                <w:rFonts w:ascii="Times New Roman" w:hAnsi="Times New Roman" w:eastAsia="宋体" w:cs="Times New Roman"/>
                <w:b/>
                <w:kern w:val="0"/>
                <w:szCs w:val="21"/>
              </w:rPr>
            </w:pPr>
            <w:r>
              <w:rPr>
                <w:rFonts w:hint="eastAsia" w:ascii="宋体" w:hAnsi="宋体" w:eastAsia="宋体" w:cs="Times New Roman"/>
                <w:b/>
                <w:kern w:val="0"/>
                <w:szCs w:val="21"/>
              </w:rPr>
              <w:t>年份</w:t>
            </w:r>
          </w:p>
        </w:tc>
        <w:tc>
          <w:tcPr>
            <w:tcW w:w="779" w:type="pct"/>
            <w:gridSpan w:val="2"/>
            <w:noWrap/>
            <w:vAlign w:val="center"/>
          </w:tcPr>
          <w:p w14:paraId="2AE1B9F9">
            <w:pPr>
              <w:widowControl/>
              <w:jc w:val="center"/>
              <w:rPr>
                <w:rFonts w:ascii="Times New Roman" w:hAnsi="Times New Roman" w:eastAsia="宋体" w:cs="Times New Roman"/>
                <w:b/>
                <w:kern w:val="0"/>
                <w:szCs w:val="21"/>
              </w:rPr>
            </w:pPr>
            <w:r>
              <w:rPr>
                <w:rFonts w:hint="eastAsia" w:ascii="宋体" w:hAnsi="宋体" w:eastAsia="宋体" w:cs="Times New Roman"/>
                <w:b/>
                <w:kern w:val="0"/>
                <w:szCs w:val="21"/>
              </w:rPr>
              <w:t>小型车</w:t>
            </w:r>
          </w:p>
        </w:tc>
        <w:tc>
          <w:tcPr>
            <w:tcW w:w="749" w:type="pct"/>
            <w:gridSpan w:val="2"/>
            <w:noWrap/>
            <w:vAlign w:val="center"/>
          </w:tcPr>
          <w:p w14:paraId="00B17011">
            <w:pPr>
              <w:widowControl/>
              <w:jc w:val="center"/>
              <w:rPr>
                <w:rFonts w:ascii="Times New Roman" w:hAnsi="Times New Roman" w:eastAsia="宋体" w:cs="Times New Roman"/>
                <w:b/>
                <w:kern w:val="0"/>
                <w:szCs w:val="21"/>
              </w:rPr>
            </w:pPr>
            <w:r>
              <w:rPr>
                <w:rFonts w:hint="eastAsia" w:ascii="宋体" w:hAnsi="宋体" w:eastAsia="宋体" w:cs="Times New Roman"/>
                <w:b/>
                <w:kern w:val="0"/>
                <w:szCs w:val="21"/>
              </w:rPr>
              <w:t>中型车</w:t>
            </w:r>
          </w:p>
        </w:tc>
        <w:tc>
          <w:tcPr>
            <w:tcW w:w="749" w:type="pct"/>
            <w:gridSpan w:val="2"/>
            <w:noWrap/>
            <w:vAlign w:val="center"/>
          </w:tcPr>
          <w:p w14:paraId="361594B9">
            <w:pPr>
              <w:widowControl/>
              <w:jc w:val="center"/>
              <w:rPr>
                <w:rFonts w:ascii="Times New Roman" w:hAnsi="Times New Roman" w:eastAsia="宋体" w:cs="Times New Roman"/>
                <w:b/>
                <w:kern w:val="0"/>
                <w:szCs w:val="21"/>
              </w:rPr>
            </w:pPr>
            <w:r>
              <w:rPr>
                <w:rFonts w:hint="eastAsia" w:ascii="宋体" w:hAnsi="宋体" w:eastAsia="宋体" w:cs="Times New Roman"/>
                <w:b/>
                <w:kern w:val="0"/>
                <w:szCs w:val="21"/>
              </w:rPr>
              <w:t>大型车</w:t>
            </w:r>
          </w:p>
        </w:tc>
        <w:tc>
          <w:tcPr>
            <w:tcW w:w="749" w:type="pct"/>
            <w:gridSpan w:val="2"/>
            <w:noWrap/>
            <w:vAlign w:val="center"/>
          </w:tcPr>
          <w:p w14:paraId="4EEBE1EB">
            <w:pPr>
              <w:widowControl/>
              <w:jc w:val="center"/>
              <w:rPr>
                <w:rFonts w:ascii="宋体" w:hAnsi="宋体" w:eastAsia="宋体" w:cs="宋体"/>
                <w:b/>
                <w:kern w:val="0"/>
                <w:szCs w:val="21"/>
              </w:rPr>
            </w:pPr>
            <w:r>
              <w:rPr>
                <w:rFonts w:hint="eastAsia" w:ascii="宋体" w:hAnsi="宋体" w:eastAsia="宋体" w:cs="宋体"/>
                <w:b/>
                <w:kern w:val="0"/>
                <w:szCs w:val="21"/>
              </w:rPr>
              <w:t>汽车列车</w:t>
            </w:r>
          </w:p>
        </w:tc>
        <w:tc>
          <w:tcPr>
            <w:tcW w:w="749" w:type="pct"/>
            <w:gridSpan w:val="2"/>
            <w:vAlign w:val="center"/>
          </w:tcPr>
          <w:p w14:paraId="5293A5D8">
            <w:pPr>
              <w:widowControl/>
              <w:jc w:val="center"/>
              <w:rPr>
                <w:rFonts w:ascii="宋体" w:hAnsi="宋体" w:eastAsia="宋体" w:cs="宋体"/>
                <w:b/>
                <w:kern w:val="0"/>
                <w:szCs w:val="21"/>
              </w:rPr>
            </w:pPr>
            <w:r>
              <w:rPr>
                <w:rFonts w:hint="eastAsia" w:ascii="宋体" w:hAnsi="宋体" w:eastAsia="宋体" w:cs="宋体"/>
                <w:b/>
                <w:kern w:val="0"/>
                <w:szCs w:val="21"/>
              </w:rPr>
              <w:t>合计</w:t>
            </w:r>
          </w:p>
        </w:tc>
      </w:tr>
      <w:tr w14:paraId="77C5DE45">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850" w:type="pct"/>
            <w:vMerge w:val="continue"/>
            <w:vAlign w:val="center"/>
          </w:tcPr>
          <w:p w14:paraId="44D179BC">
            <w:pPr>
              <w:widowControl/>
              <w:jc w:val="center"/>
              <w:rPr>
                <w:rFonts w:ascii="Times New Roman" w:hAnsi="Times New Roman" w:eastAsia="宋体" w:cs="Times New Roman"/>
                <w:b/>
                <w:kern w:val="0"/>
                <w:szCs w:val="21"/>
              </w:rPr>
            </w:pPr>
          </w:p>
        </w:tc>
        <w:tc>
          <w:tcPr>
            <w:tcW w:w="374" w:type="pct"/>
            <w:vMerge w:val="continue"/>
            <w:vAlign w:val="center"/>
          </w:tcPr>
          <w:p w14:paraId="3D0D5243">
            <w:pPr>
              <w:widowControl/>
              <w:jc w:val="center"/>
              <w:rPr>
                <w:rFonts w:ascii="Times New Roman" w:hAnsi="Times New Roman" w:eastAsia="宋体" w:cs="Times New Roman"/>
                <w:b/>
                <w:kern w:val="0"/>
                <w:szCs w:val="21"/>
              </w:rPr>
            </w:pPr>
          </w:p>
        </w:tc>
        <w:tc>
          <w:tcPr>
            <w:tcW w:w="387" w:type="pct"/>
            <w:noWrap/>
            <w:vAlign w:val="center"/>
          </w:tcPr>
          <w:p w14:paraId="69512590">
            <w:pPr>
              <w:widowControl/>
              <w:jc w:val="center"/>
              <w:rPr>
                <w:rFonts w:ascii="Times New Roman" w:hAnsi="Times New Roman" w:eastAsia="宋体" w:cs="Times New Roman"/>
                <w:b/>
                <w:kern w:val="0"/>
                <w:szCs w:val="21"/>
              </w:rPr>
            </w:pPr>
            <w:r>
              <w:rPr>
                <w:rFonts w:hint="eastAsia" w:ascii="宋体" w:hAnsi="宋体" w:eastAsia="宋体" w:cs="Times New Roman"/>
                <w:b/>
                <w:kern w:val="0"/>
                <w:szCs w:val="21"/>
              </w:rPr>
              <w:t>昼间</w:t>
            </w:r>
          </w:p>
        </w:tc>
        <w:tc>
          <w:tcPr>
            <w:tcW w:w="392" w:type="pct"/>
            <w:noWrap/>
            <w:vAlign w:val="center"/>
          </w:tcPr>
          <w:p w14:paraId="52779BA0">
            <w:pPr>
              <w:widowControl/>
              <w:jc w:val="center"/>
              <w:rPr>
                <w:rFonts w:ascii="Times New Roman" w:hAnsi="Times New Roman" w:eastAsia="宋体" w:cs="Times New Roman"/>
                <w:b/>
                <w:kern w:val="0"/>
                <w:szCs w:val="21"/>
              </w:rPr>
            </w:pPr>
            <w:r>
              <w:rPr>
                <w:rFonts w:hint="eastAsia" w:ascii="宋体" w:hAnsi="宋体" w:eastAsia="宋体" w:cs="Times New Roman"/>
                <w:b/>
                <w:kern w:val="0"/>
                <w:szCs w:val="21"/>
              </w:rPr>
              <w:t>夜间</w:t>
            </w:r>
          </w:p>
        </w:tc>
        <w:tc>
          <w:tcPr>
            <w:tcW w:w="374" w:type="pct"/>
            <w:noWrap/>
            <w:vAlign w:val="center"/>
          </w:tcPr>
          <w:p w14:paraId="6EFB7BE6">
            <w:pPr>
              <w:widowControl/>
              <w:jc w:val="center"/>
              <w:rPr>
                <w:rFonts w:ascii="Times New Roman" w:hAnsi="Times New Roman" w:eastAsia="宋体" w:cs="Times New Roman"/>
                <w:b/>
                <w:kern w:val="0"/>
                <w:szCs w:val="21"/>
              </w:rPr>
            </w:pPr>
            <w:r>
              <w:rPr>
                <w:rFonts w:hint="eastAsia" w:ascii="宋体" w:hAnsi="宋体" w:eastAsia="宋体" w:cs="Times New Roman"/>
                <w:b/>
                <w:kern w:val="0"/>
                <w:szCs w:val="21"/>
              </w:rPr>
              <w:t>昼间</w:t>
            </w:r>
          </w:p>
        </w:tc>
        <w:tc>
          <w:tcPr>
            <w:tcW w:w="375" w:type="pct"/>
            <w:noWrap/>
            <w:vAlign w:val="center"/>
          </w:tcPr>
          <w:p w14:paraId="59AF00F4">
            <w:pPr>
              <w:widowControl/>
              <w:jc w:val="center"/>
              <w:rPr>
                <w:rFonts w:ascii="Times New Roman" w:hAnsi="Times New Roman" w:eastAsia="宋体" w:cs="Times New Roman"/>
                <w:b/>
                <w:kern w:val="0"/>
                <w:szCs w:val="21"/>
              </w:rPr>
            </w:pPr>
            <w:r>
              <w:rPr>
                <w:rFonts w:hint="eastAsia" w:ascii="宋体" w:hAnsi="宋体" w:eastAsia="宋体" w:cs="Times New Roman"/>
                <w:b/>
                <w:kern w:val="0"/>
                <w:szCs w:val="21"/>
              </w:rPr>
              <w:t>夜间</w:t>
            </w:r>
          </w:p>
        </w:tc>
        <w:tc>
          <w:tcPr>
            <w:tcW w:w="374" w:type="pct"/>
            <w:noWrap/>
            <w:vAlign w:val="center"/>
          </w:tcPr>
          <w:p w14:paraId="27528D00">
            <w:pPr>
              <w:widowControl/>
              <w:jc w:val="center"/>
              <w:rPr>
                <w:rFonts w:ascii="Times New Roman" w:hAnsi="Times New Roman" w:eastAsia="宋体" w:cs="Times New Roman"/>
                <w:b/>
                <w:kern w:val="0"/>
                <w:szCs w:val="21"/>
              </w:rPr>
            </w:pPr>
            <w:r>
              <w:rPr>
                <w:rFonts w:hint="eastAsia" w:ascii="宋体" w:hAnsi="宋体" w:eastAsia="宋体" w:cs="Times New Roman"/>
                <w:b/>
                <w:kern w:val="0"/>
                <w:szCs w:val="21"/>
              </w:rPr>
              <w:t>昼间</w:t>
            </w:r>
          </w:p>
        </w:tc>
        <w:tc>
          <w:tcPr>
            <w:tcW w:w="375" w:type="pct"/>
            <w:noWrap/>
            <w:vAlign w:val="center"/>
          </w:tcPr>
          <w:p w14:paraId="3BFFF5EB">
            <w:pPr>
              <w:widowControl/>
              <w:jc w:val="center"/>
              <w:rPr>
                <w:rFonts w:ascii="Times New Roman" w:hAnsi="Times New Roman" w:eastAsia="宋体" w:cs="Times New Roman"/>
                <w:b/>
                <w:kern w:val="0"/>
                <w:szCs w:val="21"/>
              </w:rPr>
            </w:pPr>
            <w:r>
              <w:rPr>
                <w:rFonts w:hint="eastAsia" w:ascii="宋体" w:hAnsi="宋体" w:eastAsia="宋体" w:cs="Times New Roman"/>
                <w:b/>
                <w:kern w:val="0"/>
                <w:szCs w:val="21"/>
              </w:rPr>
              <w:t>夜间</w:t>
            </w:r>
          </w:p>
        </w:tc>
        <w:tc>
          <w:tcPr>
            <w:tcW w:w="374" w:type="pct"/>
            <w:noWrap/>
            <w:vAlign w:val="center"/>
          </w:tcPr>
          <w:p w14:paraId="5FB34301">
            <w:pPr>
              <w:widowControl/>
              <w:jc w:val="center"/>
              <w:rPr>
                <w:rFonts w:ascii="Times New Roman" w:hAnsi="Times New Roman" w:eastAsia="宋体" w:cs="Times New Roman"/>
                <w:b/>
                <w:kern w:val="0"/>
                <w:szCs w:val="21"/>
              </w:rPr>
            </w:pPr>
            <w:r>
              <w:rPr>
                <w:rFonts w:hint="eastAsia" w:ascii="宋体" w:hAnsi="宋体" w:eastAsia="宋体" w:cs="Times New Roman"/>
                <w:b/>
                <w:kern w:val="0"/>
                <w:szCs w:val="21"/>
              </w:rPr>
              <w:t>昼间</w:t>
            </w:r>
          </w:p>
        </w:tc>
        <w:tc>
          <w:tcPr>
            <w:tcW w:w="375" w:type="pct"/>
            <w:noWrap/>
            <w:vAlign w:val="center"/>
          </w:tcPr>
          <w:p w14:paraId="0E5949C0">
            <w:pPr>
              <w:widowControl/>
              <w:jc w:val="center"/>
              <w:rPr>
                <w:rFonts w:ascii="Times New Roman" w:hAnsi="Times New Roman" w:eastAsia="宋体" w:cs="Times New Roman"/>
                <w:b/>
                <w:kern w:val="0"/>
                <w:szCs w:val="21"/>
              </w:rPr>
            </w:pPr>
            <w:r>
              <w:rPr>
                <w:rFonts w:hint="eastAsia" w:ascii="宋体" w:hAnsi="宋体" w:eastAsia="宋体" w:cs="Times New Roman"/>
                <w:b/>
                <w:kern w:val="0"/>
                <w:szCs w:val="21"/>
              </w:rPr>
              <w:t>夜间</w:t>
            </w:r>
          </w:p>
        </w:tc>
        <w:tc>
          <w:tcPr>
            <w:tcW w:w="374" w:type="pct"/>
            <w:noWrap/>
            <w:vAlign w:val="center"/>
          </w:tcPr>
          <w:p w14:paraId="54999666">
            <w:pPr>
              <w:widowControl/>
              <w:jc w:val="center"/>
              <w:rPr>
                <w:rFonts w:ascii="Times New Roman" w:hAnsi="Times New Roman" w:eastAsia="宋体" w:cs="Times New Roman"/>
                <w:b/>
                <w:kern w:val="0"/>
                <w:szCs w:val="21"/>
              </w:rPr>
            </w:pPr>
            <w:r>
              <w:rPr>
                <w:rFonts w:hint="eastAsia" w:ascii="宋体" w:hAnsi="宋体" w:eastAsia="宋体" w:cs="Times New Roman"/>
                <w:b/>
                <w:kern w:val="0"/>
                <w:szCs w:val="21"/>
              </w:rPr>
              <w:t>昼间</w:t>
            </w:r>
          </w:p>
        </w:tc>
        <w:tc>
          <w:tcPr>
            <w:tcW w:w="375" w:type="pct"/>
            <w:noWrap/>
            <w:vAlign w:val="center"/>
          </w:tcPr>
          <w:p w14:paraId="12D8751D">
            <w:pPr>
              <w:widowControl/>
              <w:jc w:val="center"/>
              <w:rPr>
                <w:rFonts w:ascii="Times New Roman" w:hAnsi="Times New Roman" w:eastAsia="宋体" w:cs="Times New Roman"/>
                <w:b/>
                <w:kern w:val="0"/>
                <w:szCs w:val="21"/>
              </w:rPr>
            </w:pPr>
            <w:r>
              <w:rPr>
                <w:rFonts w:hint="eastAsia" w:ascii="宋体" w:hAnsi="宋体" w:eastAsia="宋体" w:cs="Times New Roman"/>
                <w:b/>
                <w:kern w:val="0"/>
                <w:szCs w:val="21"/>
              </w:rPr>
              <w:t>夜间</w:t>
            </w:r>
          </w:p>
        </w:tc>
      </w:tr>
      <w:tr w14:paraId="130EE77A">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850" w:type="pct"/>
            <w:vMerge w:val="restart"/>
            <w:vAlign w:val="center"/>
          </w:tcPr>
          <w:p w14:paraId="3352AC16">
            <w:pPr>
              <w:jc w:val="center"/>
              <w:rPr>
                <w:rFonts w:ascii="宋体" w:hAnsi="宋体" w:eastAsia="宋体" w:cs="宋体"/>
                <w:sz w:val="24"/>
              </w:rPr>
            </w:pPr>
            <w:r>
              <w:rPr>
                <w:rFonts w:hint="eastAsia" w:ascii="Times New Roman" w:hAnsi="Times New Roman" w:eastAsia="宋体" w:cs="Times New Roman"/>
              </w:rPr>
              <w:t>起点～胜利路</w:t>
            </w:r>
          </w:p>
        </w:tc>
        <w:tc>
          <w:tcPr>
            <w:tcW w:w="374" w:type="pct"/>
            <w:noWrap/>
            <w:vAlign w:val="center"/>
          </w:tcPr>
          <w:p w14:paraId="1AE4F7CC">
            <w:pPr>
              <w:widowControl/>
              <w:jc w:val="center"/>
              <w:rPr>
                <w:rFonts w:ascii="Times New Roman" w:hAnsi="Times New Roman" w:eastAsia="宋体" w:cs="Times New Roman"/>
                <w:kern w:val="0"/>
                <w:szCs w:val="21"/>
              </w:rPr>
            </w:pPr>
            <w:r>
              <w:rPr>
                <w:rFonts w:hint="eastAsia" w:ascii="宋体" w:hAnsi="宋体" w:eastAsia="宋体" w:cs="Times New Roman"/>
                <w:kern w:val="0"/>
                <w:szCs w:val="21"/>
              </w:rPr>
              <w:t>近期</w:t>
            </w:r>
          </w:p>
        </w:tc>
        <w:tc>
          <w:tcPr>
            <w:tcW w:w="387" w:type="pct"/>
            <w:noWrap/>
            <w:vAlign w:val="center"/>
          </w:tcPr>
          <w:p w14:paraId="78CE371D">
            <w:pPr>
              <w:jc w:val="center"/>
              <w:rPr>
                <w:rFonts w:ascii="Times New Roman" w:hAnsi="Times New Roman" w:eastAsia="宋体" w:cs="Times New Roman"/>
                <w:sz w:val="24"/>
              </w:rPr>
            </w:pPr>
            <w:r>
              <w:rPr>
                <w:rFonts w:ascii="Times New Roman" w:hAnsi="Times New Roman" w:eastAsia="宋体" w:cs="Times New Roman"/>
              </w:rPr>
              <w:t>356</w:t>
            </w:r>
          </w:p>
        </w:tc>
        <w:tc>
          <w:tcPr>
            <w:tcW w:w="392" w:type="pct"/>
            <w:noWrap/>
            <w:vAlign w:val="center"/>
          </w:tcPr>
          <w:p w14:paraId="368D39BA">
            <w:pPr>
              <w:jc w:val="center"/>
              <w:rPr>
                <w:rFonts w:ascii="Times New Roman" w:hAnsi="Times New Roman" w:eastAsia="宋体" w:cs="Times New Roman"/>
                <w:sz w:val="24"/>
              </w:rPr>
            </w:pPr>
            <w:r>
              <w:rPr>
                <w:rFonts w:ascii="Times New Roman" w:hAnsi="Times New Roman" w:eastAsia="宋体" w:cs="Times New Roman"/>
              </w:rPr>
              <w:t>146</w:t>
            </w:r>
          </w:p>
        </w:tc>
        <w:tc>
          <w:tcPr>
            <w:tcW w:w="374" w:type="pct"/>
            <w:noWrap/>
            <w:vAlign w:val="center"/>
          </w:tcPr>
          <w:p w14:paraId="1F07B88C">
            <w:pPr>
              <w:jc w:val="center"/>
              <w:rPr>
                <w:rFonts w:ascii="Times New Roman" w:hAnsi="Times New Roman" w:eastAsia="宋体" w:cs="Times New Roman"/>
                <w:sz w:val="24"/>
              </w:rPr>
            </w:pPr>
            <w:r>
              <w:rPr>
                <w:rFonts w:ascii="Times New Roman" w:hAnsi="Times New Roman" w:eastAsia="宋体" w:cs="Times New Roman"/>
              </w:rPr>
              <w:t>33</w:t>
            </w:r>
          </w:p>
        </w:tc>
        <w:tc>
          <w:tcPr>
            <w:tcW w:w="375" w:type="pct"/>
            <w:noWrap/>
            <w:vAlign w:val="center"/>
          </w:tcPr>
          <w:p w14:paraId="6851874D">
            <w:pPr>
              <w:jc w:val="center"/>
              <w:rPr>
                <w:rFonts w:ascii="Times New Roman" w:hAnsi="Times New Roman" w:eastAsia="宋体" w:cs="Times New Roman"/>
                <w:sz w:val="24"/>
              </w:rPr>
            </w:pPr>
            <w:r>
              <w:rPr>
                <w:rFonts w:ascii="Times New Roman" w:hAnsi="Times New Roman" w:eastAsia="宋体" w:cs="Times New Roman"/>
              </w:rPr>
              <w:t>13</w:t>
            </w:r>
          </w:p>
        </w:tc>
        <w:tc>
          <w:tcPr>
            <w:tcW w:w="374" w:type="pct"/>
            <w:noWrap/>
            <w:vAlign w:val="center"/>
          </w:tcPr>
          <w:p w14:paraId="27DFAED1">
            <w:pPr>
              <w:jc w:val="center"/>
              <w:rPr>
                <w:rFonts w:ascii="Times New Roman" w:hAnsi="Times New Roman" w:eastAsia="宋体" w:cs="Times New Roman"/>
                <w:sz w:val="24"/>
              </w:rPr>
            </w:pPr>
            <w:r>
              <w:rPr>
                <w:rFonts w:ascii="Times New Roman" w:hAnsi="Times New Roman" w:eastAsia="宋体" w:cs="Times New Roman"/>
              </w:rPr>
              <w:t>13</w:t>
            </w:r>
          </w:p>
        </w:tc>
        <w:tc>
          <w:tcPr>
            <w:tcW w:w="375" w:type="pct"/>
            <w:noWrap/>
            <w:vAlign w:val="center"/>
          </w:tcPr>
          <w:p w14:paraId="6D7BA079">
            <w:pPr>
              <w:jc w:val="center"/>
              <w:rPr>
                <w:rFonts w:ascii="Times New Roman" w:hAnsi="Times New Roman" w:eastAsia="宋体" w:cs="Times New Roman"/>
                <w:sz w:val="24"/>
              </w:rPr>
            </w:pPr>
            <w:r>
              <w:rPr>
                <w:rFonts w:ascii="Times New Roman" w:hAnsi="Times New Roman" w:eastAsia="宋体" w:cs="Times New Roman"/>
              </w:rPr>
              <w:t>5</w:t>
            </w:r>
          </w:p>
        </w:tc>
        <w:tc>
          <w:tcPr>
            <w:tcW w:w="374" w:type="pct"/>
            <w:noWrap/>
            <w:vAlign w:val="center"/>
          </w:tcPr>
          <w:p w14:paraId="35BBDFFC">
            <w:pPr>
              <w:jc w:val="center"/>
              <w:rPr>
                <w:rFonts w:ascii="Times New Roman" w:hAnsi="Times New Roman" w:eastAsia="宋体" w:cs="Times New Roman"/>
                <w:sz w:val="24"/>
              </w:rPr>
            </w:pPr>
            <w:r>
              <w:rPr>
                <w:rFonts w:ascii="Times New Roman" w:hAnsi="Times New Roman" w:eastAsia="宋体" w:cs="Times New Roman"/>
              </w:rPr>
              <w:t>78</w:t>
            </w:r>
          </w:p>
        </w:tc>
        <w:tc>
          <w:tcPr>
            <w:tcW w:w="375" w:type="pct"/>
            <w:noWrap/>
            <w:vAlign w:val="center"/>
          </w:tcPr>
          <w:p w14:paraId="7E3A2014">
            <w:pPr>
              <w:jc w:val="center"/>
              <w:rPr>
                <w:rFonts w:ascii="Times New Roman" w:hAnsi="Times New Roman" w:eastAsia="宋体" w:cs="Times New Roman"/>
                <w:sz w:val="24"/>
              </w:rPr>
            </w:pPr>
            <w:r>
              <w:rPr>
                <w:rFonts w:ascii="Times New Roman" w:hAnsi="Times New Roman" w:eastAsia="宋体" w:cs="Times New Roman"/>
              </w:rPr>
              <w:t>32</w:t>
            </w:r>
          </w:p>
        </w:tc>
        <w:tc>
          <w:tcPr>
            <w:tcW w:w="374" w:type="pct"/>
            <w:noWrap/>
            <w:vAlign w:val="center"/>
          </w:tcPr>
          <w:p w14:paraId="20EE496C">
            <w:pPr>
              <w:jc w:val="center"/>
              <w:rPr>
                <w:rFonts w:ascii="Times New Roman" w:hAnsi="Times New Roman" w:eastAsia="宋体" w:cs="Times New Roman"/>
                <w:sz w:val="24"/>
              </w:rPr>
            </w:pPr>
            <w:r>
              <w:rPr>
                <w:rFonts w:ascii="Times New Roman" w:hAnsi="Times New Roman" w:eastAsia="宋体" w:cs="Times New Roman"/>
              </w:rPr>
              <w:t>480</w:t>
            </w:r>
          </w:p>
        </w:tc>
        <w:tc>
          <w:tcPr>
            <w:tcW w:w="375" w:type="pct"/>
            <w:noWrap/>
            <w:vAlign w:val="center"/>
          </w:tcPr>
          <w:p w14:paraId="10D9D843">
            <w:pPr>
              <w:jc w:val="center"/>
              <w:rPr>
                <w:rFonts w:ascii="Times New Roman" w:hAnsi="Times New Roman" w:eastAsia="宋体" w:cs="Times New Roman"/>
                <w:sz w:val="24"/>
              </w:rPr>
            </w:pPr>
            <w:r>
              <w:rPr>
                <w:rFonts w:ascii="Times New Roman" w:hAnsi="Times New Roman" w:eastAsia="宋体" w:cs="Times New Roman"/>
              </w:rPr>
              <w:t>196</w:t>
            </w:r>
          </w:p>
        </w:tc>
      </w:tr>
      <w:tr w14:paraId="3587E658">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850" w:type="pct"/>
            <w:vMerge w:val="continue"/>
            <w:vAlign w:val="center"/>
          </w:tcPr>
          <w:p w14:paraId="489A3CCD">
            <w:pPr>
              <w:widowControl/>
              <w:jc w:val="center"/>
              <w:rPr>
                <w:rFonts w:ascii="宋体" w:hAnsi="宋体" w:eastAsia="宋体" w:cs="宋体"/>
                <w:kern w:val="0"/>
                <w:szCs w:val="21"/>
              </w:rPr>
            </w:pPr>
          </w:p>
        </w:tc>
        <w:tc>
          <w:tcPr>
            <w:tcW w:w="374" w:type="pct"/>
            <w:noWrap/>
            <w:vAlign w:val="center"/>
          </w:tcPr>
          <w:p w14:paraId="2BDF8DE8">
            <w:pPr>
              <w:widowControl/>
              <w:jc w:val="center"/>
              <w:rPr>
                <w:rFonts w:ascii="Times New Roman" w:hAnsi="Times New Roman" w:eastAsia="宋体" w:cs="Times New Roman"/>
                <w:kern w:val="0"/>
                <w:szCs w:val="21"/>
              </w:rPr>
            </w:pPr>
            <w:r>
              <w:rPr>
                <w:rFonts w:hint="eastAsia" w:ascii="宋体" w:hAnsi="宋体" w:eastAsia="宋体" w:cs="Times New Roman"/>
                <w:kern w:val="0"/>
                <w:szCs w:val="21"/>
              </w:rPr>
              <w:t>中期</w:t>
            </w:r>
          </w:p>
        </w:tc>
        <w:tc>
          <w:tcPr>
            <w:tcW w:w="387" w:type="pct"/>
            <w:noWrap/>
            <w:vAlign w:val="center"/>
          </w:tcPr>
          <w:p w14:paraId="6D36D188">
            <w:pPr>
              <w:jc w:val="center"/>
              <w:rPr>
                <w:rFonts w:ascii="Times New Roman" w:hAnsi="Times New Roman" w:eastAsia="宋体" w:cs="Times New Roman"/>
                <w:sz w:val="24"/>
              </w:rPr>
            </w:pPr>
            <w:r>
              <w:rPr>
                <w:rFonts w:ascii="Times New Roman" w:hAnsi="Times New Roman" w:eastAsia="宋体" w:cs="Times New Roman"/>
              </w:rPr>
              <w:t>427</w:t>
            </w:r>
          </w:p>
        </w:tc>
        <w:tc>
          <w:tcPr>
            <w:tcW w:w="392" w:type="pct"/>
            <w:noWrap/>
            <w:vAlign w:val="center"/>
          </w:tcPr>
          <w:p w14:paraId="0D3EDD84">
            <w:pPr>
              <w:jc w:val="center"/>
              <w:rPr>
                <w:rFonts w:ascii="Times New Roman" w:hAnsi="Times New Roman" w:eastAsia="宋体" w:cs="Times New Roman"/>
                <w:sz w:val="24"/>
              </w:rPr>
            </w:pPr>
            <w:r>
              <w:rPr>
                <w:rFonts w:ascii="Times New Roman" w:hAnsi="Times New Roman" w:eastAsia="宋体" w:cs="Times New Roman"/>
              </w:rPr>
              <w:t>175</w:t>
            </w:r>
          </w:p>
        </w:tc>
        <w:tc>
          <w:tcPr>
            <w:tcW w:w="374" w:type="pct"/>
            <w:noWrap/>
            <w:vAlign w:val="center"/>
          </w:tcPr>
          <w:p w14:paraId="0040A205">
            <w:pPr>
              <w:jc w:val="center"/>
              <w:rPr>
                <w:rFonts w:ascii="Times New Roman" w:hAnsi="Times New Roman" w:eastAsia="宋体" w:cs="Times New Roman"/>
                <w:sz w:val="24"/>
              </w:rPr>
            </w:pPr>
            <w:r>
              <w:rPr>
                <w:rFonts w:ascii="Times New Roman" w:hAnsi="Times New Roman" w:eastAsia="宋体" w:cs="Times New Roman"/>
              </w:rPr>
              <w:t>35</w:t>
            </w:r>
          </w:p>
        </w:tc>
        <w:tc>
          <w:tcPr>
            <w:tcW w:w="375" w:type="pct"/>
            <w:noWrap/>
            <w:vAlign w:val="center"/>
          </w:tcPr>
          <w:p w14:paraId="2A6B2E4B">
            <w:pPr>
              <w:jc w:val="center"/>
              <w:rPr>
                <w:rFonts w:ascii="Times New Roman" w:hAnsi="Times New Roman" w:eastAsia="宋体" w:cs="Times New Roman"/>
                <w:sz w:val="24"/>
              </w:rPr>
            </w:pPr>
            <w:r>
              <w:rPr>
                <w:rFonts w:ascii="Times New Roman" w:hAnsi="Times New Roman" w:eastAsia="宋体" w:cs="Times New Roman"/>
              </w:rPr>
              <w:t>15</w:t>
            </w:r>
          </w:p>
        </w:tc>
        <w:tc>
          <w:tcPr>
            <w:tcW w:w="374" w:type="pct"/>
            <w:noWrap/>
            <w:vAlign w:val="center"/>
          </w:tcPr>
          <w:p w14:paraId="4626739D">
            <w:pPr>
              <w:jc w:val="center"/>
              <w:rPr>
                <w:rFonts w:ascii="Times New Roman" w:hAnsi="Times New Roman" w:eastAsia="宋体" w:cs="Times New Roman"/>
                <w:sz w:val="24"/>
              </w:rPr>
            </w:pPr>
            <w:r>
              <w:rPr>
                <w:rFonts w:ascii="Times New Roman" w:hAnsi="Times New Roman" w:eastAsia="宋体" w:cs="Times New Roman"/>
              </w:rPr>
              <w:t>16</w:t>
            </w:r>
          </w:p>
        </w:tc>
        <w:tc>
          <w:tcPr>
            <w:tcW w:w="375" w:type="pct"/>
            <w:noWrap/>
            <w:vAlign w:val="center"/>
          </w:tcPr>
          <w:p w14:paraId="5C569BAA">
            <w:pPr>
              <w:jc w:val="center"/>
              <w:rPr>
                <w:rFonts w:ascii="Times New Roman" w:hAnsi="Times New Roman" w:eastAsia="宋体" w:cs="Times New Roman"/>
                <w:sz w:val="24"/>
              </w:rPr>
            </w:pPr>
            <w:r>
              <w:rPr>
                <w:rFonts w:ascii="Times New Roman" w:hAnsi="Times New Roman" w:eastAsia="宋体" w:cs="Times New Roman"/>
              </w:rPr>
              <w:t>7</w:t>
            </w:r>
          </w:p>
        </w:tc>
        <w:tc>
          <w:tcPr>
            <w:tcW w:w="374" w:type="pct"/>
            <w:noWrap/>
            <w:vAlign w:val="center"/>
          </w:tcPr>
          <w:p w14:paraId="1CD55EB0">
            <w:pPr>
              <w:jc w:val="center"/>
              <w:rPr>
                <w:rFonts w:ascii="Times New Roman" w:hAnsi="Times New Roman" w:eastAsia="宋体" w:cs="Times New Roman"/>
                <w:sz w:val="24"/>
              </w:rPr>
            </w:pPr>
            <w:r>
              <w:rPr>
                <w:rFonts w:ascii="Times New Roman" w:hAnsi="Times New Roman" w:eastAsia="宋体" w:cs="Times New Roman"/>
              </w:rPr>
              <w:t>94</w:t>
            </w:r>
          </w:p>
        </w:tc>
        <w:tc>
          <w:tcPr>
            <w:tcW w:w="375" w:type="pct"/>
            <w:noWrap/>
            <w:vAlign w:val="center"/>
          </w:tcPr>
          <w:p w14:paraId="684165FD">
            <w:pPr>
              <w:jc w:val="center"/>
              <w:rPr>
                <w:rFonts w:ascii="Times New Roman" w:hAnsi="Times New Roman" w:eastAsia="宋体" w:cs="Times New Roman"/>
                <w:sz w:val="24"/>
              </w:rPr>
            </w:pPr>
            <w:r>
              <w:rPr>
                <w:rFonts w:ascii="Times New Roman" w:hAnsi="Times New Roman" w:eastAsia="宋体" w:cs="Times New Roman"/>
              </w:rPr>
              <w:t>38</w:t>
            </w:r>
          </w:p>
        </w:tc>
        <w:tc>
          <w:tcPr>
            <w:tcW w:w="374" w:type="pct"/>
            <w:noWrap/>
            <w:vAlign w:val="center"/>
          </w:tcPr>
          <w:p w14:paraId="37E15206">
            <w:pPr>
              <w:jc w:val="center"/>
              <w:rPr>
                <w:rFonts w:ascii="Times New Roman" w:hAnsi="Times New Roman" w:eastAsia="宋体" w:cs="Times New Roman"/>
                <w:sz w:val="24"/>
              </w:rPr>
            </w:pPr>
            <w:r>
              <w:rPr>
                <w:rFonts w:ascii="Times New Roman" w:hAnsi="Times New Roman" w:eastAsia="宋体" w:cs="Times New Roman"/>
              </w:rPr>
              <w:t>572</w:t>
            </w:r>
          </w:p>
        </w:tc>
        <w:tc>
          <w:tcPr>
            <w:tcW w:w="375" w:type="pct"/>
            <w:noWrap/>
            <w:vAlign w:val="center"/>
          </w:tcPr>
          <w:p w14:paraId="002634CF">
            <w:pPr>
              <w:jc w:val="center"/>
              <w:rPr>
                <w:rFonts w:ascii="Times New Roman" w:hAnsi="Times New Roman" w:eastAsia="宋体" w:cs="Times New Roman"/>
                <w:sz w:val="24"/>
              </w:rPr>
            </w:pPr>
            <w:r>
              <w:rPr>
                <w:rFonts w:ascii="Times New Roman" w:hAnsi="Times New Roman" w:eastAsia="宋体" w:cs="Times New Roman"/>
              </w:rPr>
              <w:t>235</w:t>
            </w:r>
          </w:p>
        </w:tc>
      </w:tr>
      <w:tr w14:paraId="2DBD21FB">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850" w:type="pct"/>
            <w:vMerge w:val="continue"/>
            <w:vAlign w:val="center"/>
          </w:tcPr>
          <w:p w14:paraId="2D5CFF2E">
            <w:pPr>
              <w:widowControl/>
              <w:jc w:val="center"/>
              <w:rPr>
                <w:rFonts w:ascii="宋体" w:hAnsi="宋体" w:eastAsia="宋体" w:cs="宋体"/>
                <w:kern w:val="0"/>
                <w:szCs w:val="21"/>
              </w:rPr>
            </w:pPr>
          </w:p>
        </w:tc>
        <w:tc>
          <w:tcPr>
            <w:tcW w:w="374" w:type="pct"/>
            <w:noWrap/>
            <w:vAlign w:val="center"/>
          </w:tcPr>
          <w:p w14:paraId="6F51D8DC">
            <w:pPr>
              <w:widowControl/>
              <w:jc w:val="center"/>
              <w:rPr>
                <w:rFonts w:ascii="Times New Roman" w:hAnsi="Times New Roman" w:eastAsia="宋体" w:cs="Times New Roman"/>
                <w:kern w:val="0"/>
                <w:szCs w:val="21"/>
              </w:rPr>
            </w:pPr>
            <w:r>
              <w:rPr>
                <w:rFonts w:hint="eastAsia" w:ascii="宋体" w:hAnsi="宋体" w:eastAsia="宋体" w:cs="Times New Roman"/>
                <w:kern w:val="0"/>
                <w:szCs w:val="21"/>
              </w:rPr>
              <w:t>远期</w:t>
            </w:r>
          </w:p>
        </w:tc>
        <w:tc>
          <w:tcPr>
            <w:tcW w:w="387" w:type="pct"/>
            <w:noWrap/>
            <w:vAlign w:val="center"/>
          </w:tcPr>
          <w:p w14:paraId="7E455726">
            <w:pPr>
              <w:jc w:val="center"/>
              <w:rPr>
                <w:rFonts w:ascii="Times New Roman" w:hAnsi="Times New Roman" w:eastAsia="宋体" w:cs="Times New Roman"/>
                <w:sz w:val="24"/>
              </w:rPr>
            </w:pPr>
            <w:r>
              <w:rPr>
                <w:rFonts w:ascii="Times New Roman" w:hAnsi="Times New Roman" w:eastAsia="宋体" w:cs="Times New Roman"/>
              </w:rPr>
              <w:t>505</w:t>
            </w:r>
          </w:p>
        </w:tc>
        <w:tc>
          <w:tcPr>
            <w:tcW w:w="392" w:type="pct"/>
            <w:noWrap/>
            <w:vAlign w:val="center"/>
          </w:tcPr>
          <w:p w14:paraId="518878F5">
            <w:pPr>
              <w:jc w:val="center"/>
              <w:rPr>
                <w:rFonts w:ascii="Times New Roman" w:hAnsi="Times New Roman" w:eastAsia="宋体" w:cs="Times New Roman"/>
                <w:sz w:val="24"/>
              </w:rPr>
            </w:pPr>
            <w:r>
              <w:rPr>
                <w:rFonts w:ascii="Times New Roman" w:hAnsi="Times New Roman" w:eastAsia="宋体" w:cs="Times New Roman"/>
              </w:rPr>
              <w:t>207</w:t>
            </w:r>
          </w:p>
        </w:tc>
        <w:tc>
          <w:tcPr>
            <w:tcW w:w="374" w:type="pct"/>
            <w:noWrap/>
            <w:vAlign w:val="center"/>
          </w:tcPr>
          <w:p w14:paraId="062A8DA4">
            <w:pPr>
              <w:jc w:val="center"/>
              <w:rPr>
                <w:rFonts w:ascii="Times New Roman" w:hAnsi="Times New Roman" w:eastAsia="宋体" w:cs="Times New Roman"/>
                <w:sz w:val="24"/>
              </w:rPr>
            </w:pPr>
            <w:r>
              <w:rPr>
                <w:rFonts w:ascii="Times New Roman" w:hAnsi="Times New Roman" w:eastAsia="宋体" w:cs="Times New Roman"/>
              </w:rPr>
              <w:t>38</w:t>
            </w:r>
          </w:p>
        </w:tc>
        <w:tc>
          <w:tcPr>
            <w:tcW w:w="375" w:type="pct"/>
            <w:noWrap/>
            <w:vAlign w:val="center"/>
          </w:tcPr>
          <w:p w14:paraId="3B8A2944">
            <w:pPr>
              <w:jc w:val="center"/>
              <w:rPr>
                <w:rFonts w:ascii="Times New Roman" w:hAnsi="Times New Roman" w:eastAsia="宋体" w:cs="Times New Roman"/>
                <w:sz w:val="24"/>
              </w:rPr>
            </w:pPr>
            <w:r>
              <w:rPr>
                <w:rFonts w:ascii="Times New Roman" w:hAnsi="Times New Roman" w:eastAsia="宋体" w:cs="Times New Roman"/>
              </w:rPr>
              <w:t>16</w:t>
            </w:r>
          </w:p>
        </w:tc>
        <w:tc>
          <w:tcPr>
            <w:tcW w:w="374" w:type="pct"/>
            <w:noWrap/>
            <w:vAlign w:val="center"/>
          </w:tcPr>
          <w:p w14:paraId="2A273082">
            <w:pPr>
              <w:jc w:val="center"/>
              <w:rPr>
                <w:rFonts w:ascii="Times New Roman" w:hAnsi="Times New Roman" w:eastAsia="宋体" w:cs="Times New Roman"/>
                <w:sz w:val="24"/>
              </w:rPr>
            </w:pPr>
            <w:r>
              <w:rPr>
                <w:rFonts w:ascii="Times New Roman" w:hAnsi="Times New Roman" w:eastAsia="宋体" w:cs="Times New Roman"/>
              </w:rPr>
              <w:t>20</w:t>
            </w:r>
          </w:p>
        </w:tc>
        <w:tc>
          <w:tcPr>
            <w:tcW w:w="375" w:type="pct"/>
            <w:noWrap/>
            <w:vAlign w:val="center"/>
          </w:tcPr>
          <w:p w14:paraId="3E2E00C5">
            <w:pPr>
              <w:jc w:val="center"/>
              <w:rPr>
                <w:rFonts w:ascii="Times New Roman" w:hAnsi="Times New Roman" w:eastAsia="宋体" w:cs="Times New Roman"/>
                <w:sz w:val="24"/>
              </w:rPr>
            </w:pPr>
            <w:r>
              <w:rPr>
                <w:rFonts w:ascii="Times New Roman" w:hAnsi="Times New Roman" w:eastAsia="宋体" w:cs="Times New Roman"/>
              </w:rPr>
              <w:t>8</w:t>
            </w:r>
          </w:p>
        </w:tc>
        <w:tc>
          <w:tcPr>
            <w:tcW w:w="374" w:type="pct"/>
            <w:noWrap/>
            <w:vAlign w:val="center"/>
          </w:tcPr>
          <w:p w14:paraId="3190847C">
            <w:pPr>
              <w:jc w:val="center"/>
              <w:rPr>
                <w:rFonts w:ascii="Times New Roman" w:hAnsi="Times New Roman" w:eastAsia="宋体" w:cs="Times New Roman"/>
                <w:sz w:val="24"/>
              </w:rPr>
            </w:pPr>
            <w:r>
              <w:rPr>
                <w:rFonts w:ascii="Times New Roman" w:hAnsi="Times New Roman" w:eastAsia="宋体" w:cs="Times New Roman"/>
              </w:rPr>
              <w:t>111</w:t>
            </w:r>
          </w:p>
        </w:tc>
        <w:tc>
          <w:tcPr>
            <w:tcW w:w="375" w:type="pct"/>
            <w:noWrap/>
            <w:vAlign w:val="center"/>
          </w:tcPr>
          <w:p w14:paraId="2A952E2A">
            <w:pPr>
              <w:jc w:val="center"/>
              <w:rPr>
                <w:rFonts w:ascii="Times New Roman" w:hAnsi="Times New Roman" w:eastAsia="宋体" w:cs="Times New Roman"/>
                <w:sz w:val="24"/>
              </w:rPr>
            </w:pPr>
            <w:r>
              <w:rPr>
                <w:rFonts w:ascii="Times New Roman" w:hAnsi="Times New Roman" w:eastAsia="宋体" w:cs="Times New Roman"/>
              </w:rPr>
              <w:t>46</w:t>
            </w:r>
          </w:p>
        </w:tc>
        <w:tc>
          <w:tcPr>
            <w:tcW w:w="374" w:type="pct"/>
            <w:noWrap/>
            <w:vAlign w:val="center"/>
          </w:tcPr>
          <w:p w14:paraId="70AF3F1F">
            <w:pPr>
              <w:jc w:val="center"/>
              <w:rPr>
                <w:rFonts w:ascii="Times New Roman" w:hAnsi="Times New Roman" w:eastAsia="宋体" w:cs="Times New Roman"/>
                <w:sz w:val="24"/>
              </w:rPr>
            </w:pPr>
            <w:r>
              <w:rPr>
                <w:rFonts w:ascii="Times New Roman" w:hAnsi="Times New Roman" w:eastAsia="宋体" w:cs="Times New Roman"/>
              </w:rPr>
              <w:t>674</w:t>
            </w:r>
          </w:p>
        </w:tc>
        <w:tc>
          <w:tcPr>
            <w:tcW w:w="375" w:type="pct"/>
            <w:noWrap/>
            <w:vAlign w:val="center"/>
          </w:tcPr>
          <w:p w14:paraId="396126BD">
            <w:pPr>
              <w:jc w:val="center"/>
              <w:rPr>
                <w:rFonts w:ascii="Times New Roman" w:hAnsi="Times New Roman" w:eastAsia="宋体" w:cs="Times New Roman"/>
                <w:sz w:val="24"/>
              </w:rPr>
            </w:pPr>
            <w:r>
              <w:rPr>
                <w:rFonts w:ascii="Times New Roman" w:hAnsi="Times New Roman" w:eastAsia="宋体" w:cs="Times New Roman"/>
              </w:rPr>
              <w:t>277</w:t>
            </w:r>
          </w:p>
        </w:tc>
      </w:tr>
      <w:tr w14:paraId="34FB8243">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850" w:type="pct"/>
            <w:vMerge w:val="restart"/>
            <w:vAlign w:val="center"/>
          </w:tcPr>
          <w:p w14:paraId="4BFDD8A6">
            <w:pPr>
              <w:jc w:val="center"/>
              <w:rPr>
                <w:rFonts w:ascii="宋体" w:hAnsi="宋体" w:eastAsia="宋体" w:cs="宋体"/>
                <w:sz w:val="24"/>
              </w:rPr>
            </w:pPr>
            <w:r>
              <w:rPr>
                <w:rFonts w:hint="eastAsia" w:ascii="Times New Roman" w:hAnsi="Times New Roman" w:eastAsia="宋体" w:cs="Times New Roman"/>
              </w:rPr>
              <w:t>胜利路～S311</w:t>
            </w:r>
          </w:p>
        </w:tc>
        <w:tc>
          <w:tcPr>
            <w:tcW w:w="374" w:type="pct"/>
            <w:noWrap/>
            <w:vAlign w:val="center"/>
          </w:tcPr>
          <w:p w14:paraId="6CB853BE">
            <w:pPr>
              <w:widowControl/>
              <w:jc w:val="center"/>
              <w:rPr>
                <w:rFonts w:ascii="Times New Roman" w:hAnsi="Times New Roman" w:eastAsia="宋体" w:cs="Times New Roman"/>
                <w:kern w:val="0"/>
                <w:szCs w:val="21"/>
              </w:rPr>
            </w:pPr>
            <w:r>
              <w:rPr>
                <w:rFonts w:hint="eastAsia" w:ascii="宋体" w:hAnsi="宋体" w:eastAsia="宋体" w:cs="Times New Roman"/>
                <w:kern w:val="0"/>
                <w:szCs w:val="21"/>
              </w:rPr>
              <w:t>近期</w:t>
            </w:r>
          </w:p>
        </w:tc>
        <w:tc>
          <w:tcPr>
            <w:tcW w:w="387" w:type="pct"/>
            <w:noWrap/>
            <w:vAlign w:val="center"/>
          </w:tcPr>
          <w:p w14:paraId="31F36D65">
            <w:pPr>
              <w:jc w:val="center"/>
              <w:rPr>
                <w:rFonts w:ascii="Times New Roman" w:hAnsi="Times New Roman" w:eastAsia="宋体" w:cs="Times New Roman"/>
                <w:sz w:val="24"/>
              </w:rPr>
            </w:pPr>
            <w:r>
              <w:rPr>
                <w:rFonts w:ascii="Times New Roman" w:hAnsi="Times New Roman" w:eastAsia="宋体" w:cs="Times New Roman"/>
              </w:rPr>
              <w:t>257</w:t>
            </w:r>
          </w:p>
        </w:tc>
        <w:tc>
          <w:tcPr>
            <w:tcW w:w="392" w:type="pct"/>
            <w:noWrap/>
            <w:vAlign w:val="center"/>
          </w:tcPr>
          <w:p w14:paraId="6B34489E">
            <w:pPr>
              <w:jc w:val="center"/>
              <w:rPr>
                <w:rFonts w:ascii="Times New Roman" w:hAnsi="Times New Roman" w:eastAsia="宋体" w:cs="Times New Roman"/>
                <w:sz w:val="24"/>
              </w:rPr>
            </w:pPr>
            <w:r>
              <w:rPr>
                <w:rFonts w:ascii="Times New Roman" w:hAnsi="Times New Roman" w:eastAsia="宋体" w:cs="Times New Roman"/>
              </w:rPr>
              <w:t>105</w:t>
            </w:r>
          </w:p>
        </w:tc>
        <w:tc>
          <w:tcPr>
            <w:tcW w:w="374" w:type="pct"/>
            <w:noWrap/>
            <w:vAlign w:val="center"/>
          </w:tcPr>
          <w:p w14:paraId="7CF98D56">
            <w:pPr>
              <w:jc w:val="center"/>
              <w:rPr>
                <w:rFonts w:ascii="Times New Roman" w:hAnsi="Times New Roman" w:eastAsia="宋体" w:cs="Times New Roman"/>
                <w:sz w:val="24"/>
              </w:rPr>
            </w:pPr>
            <w:r>
              <w:rPr>
                <w:rFonts w:ascii="Times New Roman" w:hAnsi="Times New Roman" w:eastAsia="宋体" w:cs="Times New Roman"/>
              </w:rPr>
              <w:t>24</w:t>
            </w:r>
          </w:p>
        </w:tc>
        <w:tc>
          <w:tcPr>
            <w:tcW w:w="375" w:type="pct"/>
            <w:noWrap/>
            <w:vAlign w:val="center"/>
          </w:tcPr>
          <w:p w14:paraId="58C449D9">
            <w:pPr>
              <w:jc w:val="center"/>
              <w:rPr>
                <w:rFonts w:ascii="Times New Roman" w:hAnsi="Times New Roman" w:eastAsia="宋体" w:cs="Times New Roman"/>
                <w:sz w:val="24"/>
              </w:rPr>
            </w:pPr>
            <w:r>
              <w:rPr>
                <w:rFonts w:ascii="Times New Roman" w:hAnsi="Times New Roman" w:eastAsia="宋体" w:cs="Times New Roman"/>
              </w:rPr>
              <w:t>10</w:t>
            </w:r>
          </w:p>
        </w:tc>
        <w:tc>
          <w:tcPr>
            <w:tcW w:w="374" w:type="pct"/>
            <w:noWrap/>
            <w:vAlign w:val="center"/>
          </w:tcPr>
          <w:p w14:paraId="129D995E">
            <w:pPr>
              <w:jc w:val="center"/>
              <w:rPr>
                <w:rFonts w:ascii="Times New Roman" w:hAnsi="Times New Roman" w:eastAsia="宋体" w:cs="Times New Roman"/>
                <w:sz w:val="24"/>
              </w:rPr>
            </w:pPr>
            <w:r>
              <w:rPr>
                <w:rFonts w:ascii="Times New Roman" w:hAnsi="Times New Roman" w:eastAsia="宋体" w:cs="Times New Roman"/>
              </w:rPr>
              <w:t>9</w:t>
            </w:r>
          </w:p>
        </w:tc>
        <w:tc>
          <w:tcPr>
            <w:tcW w:w="375" w:type="pct"/>
            <w:noWrap/>
            <w:vAlign w:val="center"/>
          </w:tcPr>
          <w:p w14:paraId="600B5507">
            <w:pPr>
              <w:jc w:val="center"/>
              <w:rPr>
                <w:rFonts w:ascii="Times New Roman" w:hAnsi="Times New Roman" w:eastAsia="宋体" w:cs="Times New Roman"/>
                <w:sz w:val="24"/>
              </w:rPr>
            </w:pPr>
            <w:r>
              <w:rPr>
                <w:rFonts w:ascii="Times New Roman" w:hAnsi="Times New Roman" w:eastAsia="宋体" w:cs="Times New Roman"/>
              </w:rPr>
              <w:t>4</w:t>
            </w:r>
          </w:p>
        </w:tc>
        <w:tc>
          <w:tcPr>
            <w:tcW w:w="374" w:type="pct"/>
            <w:noWrap/>
            <w:vAlign w:val="center"/>
          </w:tcPr>
          <w:p w14:paraId="6FABFD8A">
            <w:pPr>
              <w:jc w:val="center"/>
              <w:rPr>
                <w:rFonts w:ascii="Times New Roman" w:hAnsi="Times New Roman" w:eastAsia="宋体" w:cs="Times New Roman"/>
                <w:sz w:val="24"/>
              </w:rPr>
            </w:pPr>
            <w:r>
              <w:rPr>
                <w:rFonts w:ascii="Times New Roman" w:hAnsi="Times New Roman" w:eastAsia="宋体" w:cs="Times New Roman"/>
              </w:rPr>
              <w:t>57</w:t>
            </w:r>
          </w:p>
        </w:tc>
        <w:tc>
          <w:tcPr>
            <w:tcW w:w="375" w:type="pct"/>
            <w:noWrap/>
            <w:vAlign w:val="center"/>
          </w:tcPr>
          <w:p w14:paraId="6C6784E9">
            <w:pPr>
              <w:jc w:val="center"/>
              <w:rPr>
                <w:rFonts w:ascii="Times New Roman" w:hAnsi="Times New Roman" w:eastAsia="宋体" w:cs="Times New Roman"/>
                <w:sz w:val="24"/>
              </w:rPr>
            </w:pPr>
            <w:r>
              <w:rPr>
                <w:rFonts w:ascii="Times New Roman" w:hAnsi="Times New Roman" w:eastAsia="宋体" w:cs="Times New Roman"/>
              </w:rPr>
              <w:t>23</w:t>
            </w:r>
          </w:p>
        </w:tc>
        <w:tc>
          <w:tcPr>
            <w:tcW w:w="374" w:type="pct"/>
            <w:noWrap/>
            <w:vAlign w:val="center"/>
          </w:tcPr>
          <w:p w14:paraId="26E448D1">
            <w:pPr>
              <w:jc w:val="center"/>
              <w:rPr>
                <w:rFonts w:ascii="Times New Roman" w:hAnsi="Times New Roman" w:eastAsia="宋体" w:cs="Times New Roman"/>
                <w:sz w:val="24"/>
              </w:rPr>
            </w:pPr>
            <w:r>
              <w:rPr>
                <w:rFonts w:ascii="Times New Roman" w:hAnsi="Times New Roman" w:eastAsia="宋体" w:cs="Times New Roman"/>
              </w:rPr>
              <w:t>347</w:t>
            </w:r>
          </w:p>
        </w:tc>
        <w:tc>
          <w:tcPr>
            <w:tcW w:w="375" w:type="pct"/>
            <w:noWrap/>
            <w:vAlign w:val="center"/>
          </w:tcPr>
          <w:p w14:paraId="12F987FE">
            <w:pPr>
              <w:jc w:val="center"/>
              <w:rPr>
                <w:rFonts w:ascii="Times New Roman" w:hAnsi="Times New Roman" w:eastAsia="宋体" w:cs="Times New Roman"/>
                <w:sz w:val="24"/>
              </w:rPr>
            </w:pPr>
            <w:r>
              <w:rPr>
                <w:rFonts w:ascii="Times New Roman" w:hAnsi="Times New Roman" w:eastAsia="宋体" w:cs="Times New Roman"/>
              </w:rPr>
              <w:t>142</w:t>
            </w:r>
          </w:p>
        </w:tc>
      </w:tr>
      <w:tr w14:paraId="4142DE29">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850" w:type="pct"/>
            <w:vMerge w:val="continue"/>
            <w:vAlign w:val="center"/>
          </w:tcPr>
          <w:p w14:paraId="1D04C05A">
            <w:pPr>
              <w:widowControl/>
              <w:jc w:val="center"/>
              <w:rPr>
                <w:rFonts w:ascii="宋体" w:hAnsi="宋体" w:eastAsia="宋体" w:cs="宋体"/>
                <w:kern w:val="0"/>
                <w:szCs w:val="21"/>
              </w:rPr>
            </w:pPr>
          </w:p>
        </w:tc>
        <w:tc>
          <w:tcPr>
            <w:tcW w:w="374" w:type="pct"/>
            <w:noWrap/>
            <w:vAlign w:val="center"/>
          </w:tcPr>
          <w:p w14:paraId="5B8D26C4">
            <w:pPr>
              <w:widowControl/>
              <w:jc w:val="center"/>
              <w:rPr>
                <w:rFonts w:ascii="Times New Roman" w:hAnsi="Times New Roman" w:eastAsia="宋体" w:cs="Times New Roman"/>
                <w:kern w:val="0"/>
                <w:szCs w:val="21"/>
              </w:rPr>
            </w:pPr>
            <w:r>
              <w:rPr>
                <w:rFonts w:hint="eastAsia" w:ascii="宋体" w:hAnsi="宋体" w:eastAsia="宋体" w:cs="Times New Roman"/>
                <w:kern w:val="0"/>
                <w:szCs w:val="21"/>
              </w:rPr>
              <w:t>中期</w:t>
            </w:r>
          </w:p>
        </w:tc>
        <w:tc>
          <w:tcPr>
            <w:tcW w:w="387" w:type="pct"/>
            <w:noWrap/>
            <w:vAlign w:val="center"/>
          </w:tcPr>
          <w:p w14:paraId="3BD438CC">
            <w:pPr>
              <w:jc w:val="center"/>
              <w:rPr>
                <w:rFonts w:ascii="Times New Roman" w:hAnsi="Times New Roman" w:eastAsia="宋体" w:cs="Times New Roman"/>
                <w:sz w:val="24"/>
              </w:rPr>
            </w:pPr>
            <w:r>
              <w:rPr>
                <w:rFonts w:ascii="Times New Roman" w:hAnsi="Times New Roman" w:eastAsia="宋体" w:cs="Times New Roman"/>
              </w:rPr>
              <w:t>308</w:t>
            </w:r>
          </w:p>
        </w:tc>
        <w:tc>
          <w:tcPr>
            <w:tcW w:w="392" w:type="pct"/>
            <w:noWrap/>
            <w:vAlign w:val="center"/>
          </w:tcPr>
          <w:p w14:paraId="007B2365">
            <w:pPr>
              <w:jc w:val="center"/>
              <w:rPr>
                <w:rFonts w:ascii="Times New Roman" w:hAnsi="Times New Roman" w:eastAsia="宋体" w:cs="Times New Roman"/>
                <w:sz w:val="24"/>
              </w:rPr>
            </w:pPr>
            <w:r>
              <w:rPr>
                <w:rFonts w:ascii="Times New Roman" w:hAnsi="Times New Roman" w:eastAsia="宋体" w:cs="Times New Roman"/>
              </w:rPr>
              <w:t>126</w:t>
            </w:r>
          </w:p>
        </w:tc>
        <w:tc>
          <w:tcPr>
            <w:tcW w:w="374" w:type="pct"/>
            <w:noWrap/>
            <w:vAlign w:val="center"/>
          </w:tcPr>
          <w:p w14:paraId="1E3EFEBE">
            <w:pPr>
              <w:jc w:val="center"/>
              <w:rPr>
                <w:rFonts w:ascii="Times New Roman" w:hAnsi="Times New Roman" w:eastAsia="宋体" w:cs="Times New Roman"/>
                <w:sz w:val="24"/>
              </w:rPr>
            </w:pPr>
            <w:r>
              <w:rPr>
                <w:rFonts w:ascii="Times New Roman" w:hAnsi="Times New Roman" w:eastAsia="宋体" w:cs="Times New Roman"/>
              </w:rPr>
              <w:t>26</w:t>
            </w:r>
          </w:p>
        </w:tc>
        <w:tc>
          <w:tcPr>
            <w:tcW w:w="375" w:type="pct"/>
            <w:noWrap/>
            <w:vAlign w:val="center"/>
          </w:tcPr>
          <w:p w14:paraId="4BA076F7">
            <w:pPr>
              <w:jc w:val="center"/>
              <w:rPr>
                <w:rFonts w:ascii="Times New Roman" w:hAnsi="Times New Roman" w:eastAsia="宋体" w:cs="Times New Roman"/>
                <w:sz w:val="24"/>
              </w:rPr>
            </w:pPr>
            <w:r>
              <w:rPr>
                <w:rFonts w:ascii="Times New Roman" w:hAnsi="Times New Roman" w:eastAsia="宋体" w:cs="Times New Roman"/>
              </w:rPr>
              <w:t>10</w:t>
            </w:r>
          </w:p>
        </w:tc>
        <w:tc>
          <w:tcPr>
            <w:tcW w:w="374" w:type="pct"/>
            <w:noWrap/>
            <w:vAlign w:val="center"/>
          </w:tcPr>
          <w:p w14:paraId="7EF7E8D7">
            <w:pPr>
              <w:jc w:val="center"/>
              <w:rPr>
                <w:rFonts w:ascii="Times New Roman" w:hAnsi="Times New Roman" w:eastAsia="宋体" w:cs="Times New Roman"/>
                <w:sz w:val="24"/>
              </w:rPr>
            </w:pPr>
            <w:r>
              <w:rPr>
                <w:rFonts w:ascii="Times New Roman" w:hAnsi="Times New Roman" w:eastAsia="宋体" w:cs="Times New Roman"/>
              </w:rPr>
              <w:t>12</w:t>
            </w:r>
          </w:p>
        </w:tc>
        <w:tc>
          <w:tcPr>
            <w:tcW w:w="375" w:type="pct"/>
            <w:noWrap/>
            <w:vAlign w:val="center"/>
          </w:tcPr>
          <w:p w14:paraId="3734B3C1">
            <w:pPr>
              <w:jc w:val="center"/>
              <w:rPr>
                <w:rFonts w:ascii="Times New Roman" w:hAnsi="Times New Roman" w:eastAsia="宋体" w:cs="Times New Roman"/>
                <w:sz w:val="24"/>
              </w:rPr>
            </w:pPr>
            <w:r>
              <w:rPr>
                <w:rFonts w:ascii="Times New Roman" w:hAnsi="Times New Roman" w:eastAsia="宋体" w:cs="Times New Roman"/>
              </w:rPr>
              <w:t>5</w:t>
            </w:r>
          </w:p>
        </w:tc>
        <w:tc>
          <w:tcPr>
            <w:tcW w:w="374" w:type="pct"/>
            <w:noWrap/>
            <w:vAlign w:val="center"/>
          </w:tcPr>
          <w:p w14:paraId="2E1F1A0E">
            <w:pPr>
              <w:jc w:val="center"/>
              <w:rPr>
                <w:rFonts w:ascii="Times New Roman" w:hAnsi="Times New Roman" w:eastAsia="宋体" w:cs="Times New Roman"/>
                <w:sz w:val="24"/>
              </w:rPr>
            </w:pPr>
            <w:r>
              <w:rPr>
                <w:rFonts w:ascii="Times New Roman" w:hAnsi="Times New Roman" w:eastAsia="宋体" w:cs="Times New Roman"/>
              </w:rPr>
              <w:t>68</w:t>
            </w:r>
          </w:p>
        </w:tc>
        <w:tc>
          <w:tcPr>
            <w:tcW w:w="375" w:type="pct"/>
            <w:noWrap/>
            <w:vAlign w:val="center"/>
          </w:tcPr>
          <w:p w14:paraId="7B3F0C82">
            <w:pPr>
              <w:jc w:val="center"/>
              <w:rPr>
                <w:rFonts w:ascii="Times New Roman" w:hAnsi="Times New Roman" w:eastAsia="宋体" w:cs="Times New Roman"/>
                <w:sz w:val="24"/>
              </w:rPr>
            </w:pPr>
            <w:r>
              <w:rPr>
                <w:rFonts w:ascii="Times New Roman" w:hAnsi="Times New Roman" w:eastAsia="宋体" w:cs="Times New Roman"/>
              </w:rPr>
              <w:t>28</w:t>
            </w:r>
          </w:p>
        </w:tc>
        <w:tc>
          <w:tcPr>
            <w:tcW w:w="374" w:type="pct"/>
            <w:noWrap/>
            <w:vAlign w:val="center"/>
          </w:tcPr>
          <w:p w14:paraId="1094F0FD">
            <w:pPr>
              <w:jc w:val="center"/>
              <w:rPr>
                <w:rFonts w:ascii="Times New Roman" w:hAnsi="Times New Roman" w:eastAsia="宋体" w:cs="Times New Roman"/>
                <w:sz w:val="24"/>
              </w:rPr>
            </w:pPr>
            <w:r>
              <w:rPr>
                <w:rFonts w:ascii="Times New Roman" w:hAnsi="Times New Roman" w:eastAsia="宋体" w:cs="Times New Roman"/>
              </w:rPr>
              <w:t>414</w:t>
            </w:r>
          </w:p>
        </w:tc>
        <w:tc>
          <w:tcPr>
            <w:tcW w:w="375" w:type="pct"/>
            <w:noWrap/>
            <w:vAlign w:val="center"/>
          </w:tcPr>
          <w:p w14:paraId="1709E077">
            <w:pPr>
              <w:jc w:val="center"/>
              <w:rPr>
                <w:rFonts w:ascii="Times New Roman" w:hAnsi="Times New Roman" w:eastAsia="宋体" w:cs="Times New Roman"/>
                <w:sz w:val="24"/>
              </w:rPr>
            </w:pPr>
            <w:r>
              <w:rPr>
                <w:rFonts w:ascii="Times New Roman" w:hAnsi="Times New Roman" w:eastAsia="宋体" w:cs="Times New Roman"/>
              </w:rPr>
              <w:t>169</w:t>
            </w:r>
          </w:p>
        </w:tc>
      </w:tr>
      <w:tr w14:paraId="1872B90B">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850" w:type="pct"/>
            <w:vMerge w:val="continue"/>
            <w:vAlign w:val="center"/>
          </w:tcPr>
          <w:p w14:paraId="606A606D">
            <w:pPr>
              <w:widowControl/>
              <w:jc w:val="center"/>
              <w:rPr>
                <w:rFonts w:ascii="宋体" w:hAnsi="宋体" w:eastAsia="宋体" w:cs="宋体"/>
                <w:kern w:val="0"/>
                <w:szCs w:val="21"/>
              </w:rPr>
            </w:pPr>
          </w:p>
        </w:tc>
        <w:tc>
          <w:tcPr>
            <w:tcW w:w="374" w:type="pct"/>
            <w:noWrap/>
            <w:vAlign w:val="center"/>
          </w:tcPr>
          <w:p w14:paraId="3EDA2DD8">
            <w:pPr>
              <w:widowControl/>
              <w:jc w:val="center"/>
              <w:rPr>
                <w:rFonts w:ascii="Times New Roman" w:hAnsi="Times New Roman" w:eastAsia="宋体" w:cs="Times New Roman"/>
                <w:kern w:val="0"/>
                <w:szCs w:val="21"/>
              </w:rPr>
            </w:pPr>
            <w:r>
              <w:rPr>
                <w:rFonts w:hint="eastAsia" w:ascii="宋体" w:hAnsi="宋体" w:eastAsia="宋体" w:cs="Times New Roman"/>
                <w:kern w:val="0"/>
                <w:szCs w:val="21"/>
              </w:rPr>
              <w:t>远期</w:t>
            </w:r>
          </w:p>
        </w:tc>
        <w:tc>
          <w:tcPr>
            <w:tcW w:w="387" w:type="pct"/>
            <w:noWrap/>
            <w:vAlign w:val="center"/>
          </w:tcPr>
          <w:p w14:paraId="063AC4A8">
            <w:pPr>
              <w:jc w:val="center"/>
              <w:rPr>
                <w:rFonts w:ascii="Times New Roman" w:hAnsi="Times New Roman" w:eastAsia="宋体" w:cs="Times New Roman"/>
                <w:sz w:val="24"/>
              </w:rPr>
            </w:pPr>
            <w:r>
              <w:rPr>
                <w:rFonts w:ascii="Times New Roman" w:hAnsi="Times New Roman" w:eastAsia="宋体" w:cs="Times New Roman"/>
              </w:rPr>
              <w:t>364</w:t>
            </w:r>
          </w:p>
        </w:tc>
        <w:tc>
          <w:tcPr>
            <w:tcW w:w="392" w:type="pct"/>
            <w:noWrap/>
            <w:vAlign w:val="center"/>
          </w:tcPr>
          <w:p w14:paraId="1B58C658">
            <w:pPr>
              <w:jc w:val="center"/>
              <w:rPr>
                <w:rFonts w:ascii="Times New Roman" w:hAnsi="Times New Roman" w:eastAsia="宋体" w:cs="Times New Roman"/>
                <w:sz w:val="24"/>
              </w:rPr>
            </w:pPr>
            <w:r>
              <w:rPr>
                <w:rFonts w:ascii="Times New Roman" w:hAnsi="Times New Roman" w:eastAsia="宋体" w:cs="Times New Roman"/>
              </w:rPr>
              <w:t>149</w:t>
            </w:r>
          </w:p>
        </w:tc>
        <w:tc>
          <w:tcPr>
            <w:tcW w:w="374" w:type="pct"/>
            <w:noWrap/>
            <w:vAlign w:val="center"/>
          </w:tcPr>
          <w:p w14:paraId="27CE7D65">
            <w:pPr>
              <w:jc w:val="center"/>
              <w:rPr>
                <w:rFonts w:ascii="Times New Roman" w:hAnsi="Times New Roman" w:eastAsia="宋体" w:cs="Times New Roman"/>
                <w:sz w:val="24"/>
              </w:rPr>
            </w:pPr>
            <w:r>
              <w:rPr>
                <w:rFonts w:ascii="Times New Roman" w:hAnsi="Times New Roman" w:eastAsia="宋体" w:cs="Times New Roman"/>
              </w:rPr>
              <w:t>27</w:t>
            </w:r>
          </w:p>
        </w:tc>
        <w:tc>
          <w:tcPr>
            <w:tcW w:w="375" w:type="pct"/>
            <w:noWrap/>
            <w:vAlign w:val="center"/>
          </w:tcPr>
          <w:p w14:paraId="1A465DD9">
            <w:pPr>
              <w:jc w:val="center"/>
              <w:rPr>
                <w:rFonts w:ascii="Times New Roman" w:hAnsi="Times New Roman" w:eastAsia="宋体" w:cs="Times New Roman"/>
                <w:sz w:val="24"/>
              </w:rPr>
            </w:pPr>
            <w:r>
              <w:rPr>
                <w:rFonts w:ascii="Times New Roman" w:hAnsi="Times New Roman" w:eastAsia="宋体" w:cs="Times New Roman"/>
              </w:rPr>
              <w:t>11</w:t>
            </w:r>
          </w:p>
        </w:tc>
        <w:tc>
          <w:tcPr>
            <w:tcW w:w="374" w:type="pct"/>
            <w:noWrap/>
            <w:vAlign w:val="center"/>
          </w:tcPr>
          <w:p w14:paraId="23448B86">
            <w:pPr>
              <w:jc w:val="center"/>
              <w:rPr>
                <w:rFonts w:ascii="Times New Roman" w:hAnsi="Times New Roman" w:eastAsia="宋体" w:cs="Times New Roman"/>
                <w:sz w:val="24"/>
              </w:rPr>
            </w:pPr>
            <w:r>
              <w:rPr>
                <w:rFonts w:ascii="Times New Roman" w:hAnsi="Times New Roman" w:eastAsia="宋体" w:cs="Times New Roman"/>
              </w:rPr>
              <w:t>15</w:t>
            </w:r>
          </w:p>
        </w:tc>
        <w:tc>
          <w:tcPr>
            <w:tcW w:w="375" w:type="pct"/>
            <w:noWrap/>
            <w:vAlign w:val="center"/>
          </w:tcPr>
          <w:p w14:paraId="56B4FCE6">
            <w:pPr>
              <w:jc w:val="center"/>
              <w:rPr>
                <w:rFonts w:ascii="Times New Roman" w:hAnsi="Times New Roman" w:eastAsia="宋体" w:cs="Times New Roman"/>
                <w:sz w:val="24"/>
              </w:rPr>
            </w:pPr>
            <w:r>
              <w:rPr>
                <w:rFonts w:ascii="Times New Roman" w:hAnsi="Times New Roman" w:eastAsia="宋体" w:cs="Times New Roman"/>
              </w:rPr>
              <w:t>6</w:t>
            </w:r>
          </w:p>
        </w:tc>
        <w:tc>
          <w:tcPr>
            <w:tcW w:w="374" w:type="pct"/>
            <w:noWrap/>
            <w:vAlign w:val="center"/>
          </w:tcPr>
          <w:p w14:paraId="0B33A28F">
            <w:pPr>
              <w:jc w:val="center"/>
              <w:rPr>
                <w:rFonts w:ascii="Times New Roman" w:hAnsi="Times New Roman" w:eastAsia="宋体" w:cs="Times New Roman"/>
                <w:sz w:val="24"/>
              </w:rPr>
            </w:pPr>
            <w:r>
              <w:rPr>
                <w:rFonts w:ascii="Times New Roman" w:hAnsi="Times New Roman" w:eastAsia="宋体" w:cs="Times New Roman"/>
              </w:rPr>
              <w:t>79</w:t>
            </w:r>
          </w:p>
        </w:tc>
        <w:tc>
          <w:tcPr>
            <w:tcW w:w="375" w:type="pct"/>
            <w:noWrap/>
            <w:vAlign w:val="center"/>
          </w:tcPr>
          <w:p w14:paraId="6E52562B">
            <w:pPr>
              <w:jc w:val="center"/>
              <w:rPr>
                <w:rFonts w:ascii="Times New Roman" w:hAnsi="Times New Roman" w:eastAsia="宋体" w:cs="Times New Roman"/>
                <w:sz w:val="24"/>
              </w:rPr>
            </w:pPr>
            <w:r>
              <w:rPr>
                <w:rFonts w:ascii="Times New Roman" w:hAnsi="Times New Roman" w:eastAsia="宋体" w:cs="Times New Roman"/>
              </w:rPr>
              <w:t>33</w:t>
            </w:r>
          </w:p>
        </w:tc>
        <w:tc>
          <w:tcPr>
            <w:tcW w:w="374" w:type="pct"/>
            <w:noWrap/>
            <w:vAlign w:val="center"/>
          </w:tcPr>
          <w:p w14:paraId="679D707F">
            <w:pPr>
              <w:jc w:val="center"/>
              <w:rPr>
                <w:rFonts w:ascii="Times New Roman" w:hAnsi="Times New Roman" w:eastAsia="宋体" w:cs="Times New Roman"/>
                <w:sz w:val="24"/>
              </w:rPr>
            </w:pPr>
            <w:r>
              <w:rPr>
                <w:rFonts w:ascii="Times New Roman" w:hAnsi="Times New Roman" w:eastAsia="宋体" w:cs="Times New Roman"/>
              </w:rPr>
              <w:t>485</w:t>
            </w:r>
          </w:p>
        </w:tc>
        <w:tc>
          <w:tcPr>
            <w:tcW w:w="375" w:type="pct"/>
            <w:noWrap/>
            <w:vAlign w:val="center"/>
          </w:tcPr>
          <w:p w14:paraId="7F12DA90">
            <w:pPr>
              <w:jc w:val="center"/>
              <w:rPr>
                <w:rFonts w:ascii="Times New Roman" w:hAnsi="Times New Roman" w:eastAsia="宋体" w:cs="Times New Roman"/>
                <w:sz w:val="24"/>
              </w:rPr>
            </w:pPr>
            <w:r>
              <w:rPr>
                <w:rFonts w:ascii="Times New Roman" w:hAnsi="Times New Roman" w:eastAsia="宋体" w:cs="Times New Roman"/>
              </w:rPr>
              <w:t>199</w:t>
            </w:r>
          </w:p>
        </w:tc>
      </w:tr>
      <w:tr w14:paraId="24080AC5">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850" w:type="pct"/>
            <w:vMerge w:val="restart"/>
            <w:vAlign w:val="center"/>
          </w:tcPr>
          <w:p w14:paraId="05A46054">
            <w:pPr>
              <w:jc w:val="center"/>
              <w:rPr>
                <w:rFonts w:ascii="宋体" w:hAnsi="宋体" w:eastAsia="宋体" w:cs="宋体"/>
                <w:sz w:val="24"/>
              </w:rPr>
            </w:pPr>
            <w:r>
              <w:rPr>
                <w:rFonts w:hint="eastAsia" w:ascii="Times New Roman" w:hAnsi="Times New Roman" w:eastAsia="宋体" w:cs="Times New Roman"/>
              </w:rPr>
              <w:t>S311～高速口</w:t>
            </w:r>
          </w:p>
        </w:tc>
        <w:tc>
          <w:tcPr>
            <w:tcW w:w="374" w:type="pct"/>
            <w:noWrap/>
            <w:vAlign w:val="center"/>
          </w:tcPr>
          <w:p w14:paraId="2E35798F">
            <w:pPr>
              <w:widowControl/>
              <w:jc w:val="center"/>
              <w:rPr>
                <w:rFonts w:ascii="Times New Roman" w:hAnsi="Times New Roman" w:eastAsia="宋体" w:cs="Times New Roman"/>
                <w:kern w:val="0"/>
                <w:szCs w:val="21"/>
              </w:rPr>
            </w:pPr>
            <w:r>
              <w:rPr>
                <w:rFonts w:hint="eastAsia" w:ascii="宋体" w:hAnsi="宋体" w:eastAsia="宋体" w:cs="Times New Roman"/>
                <w:kern w:val="0"/>
                <w:szCs w:val="21"/>
              </w:rPr>
              <w:t>近期</w:t>
            </w:r>
          </w:p>
        </w:tc>
        <w:tc>
          <w:tcPr>
            <w:tcW w:w="387" w:type="pct"/>
            <w:noWrap/>
            <w:vAlign w:val="center"/>
          </w:tcPr>
          <w:p w14:paraId="6F3CE092">
            <w:pPr>
              <w:jc w:val="center"/>
              <w:rPr>
                <w:rFonts w:ascii="Times New Roman" w:hAnsi="Times New Roman" w:eastAsia="宋体" w:cs="Times New Roman"/>
                <w:sz w:val="24"/>
              </w:rPr>
            </w:pPr>
            <w:r>
              <w:rPr>
                <w:rFonts w:ascii="Times New Roman" w:hAnsi="Times New Roman" w:eastAsia="宋体" w:cs="Times New Roman"/>
              </w:rPr>
              <w:t>242</w:t>
            </w:r>
          </w:p>
        </w:tc>
        <w:tc>
          <w:tcPr>
            <w:tcW w:w="392" w:type="pct"/>
            <w:noWrap/>
            <w:vAlign w:val="center"/>
          </w:tcPr>
          <w:p w14:paraId="28303808">
            <w:pPr>
              <w:jc w:val="center"/>
              <w:rPr>
                <w:rFonts w:ascii="Times New Roman" w:hAnsi="Times New Roman" w:eastAsia="宋体" w:cs="Times New Roman"/>
                <w:sz w:val="24"/>
              </w:rPr>
            </w:pPr>
            <w:r>
              <w:rPr>
                <w:rFonts w:ascii="Times New Roman" w:hAnsi="Times New Roman" w:eastAsia="宋体" w:cs="Times New Roman"/>
              </w:rPr>
              <w:t>99</w:t>
            </w:r>
          </w:p>
        </w:tc>
        <w:tc>
          <w:tcPr>
            <w:tcW w:w="374" w:type="pct"/>
            <w:noWrap/>
            <w:vAlign w:val="center"/>
          </w:tcPr>
          <w:p w14:paraId="126581DA">
            <w:pPr>
              <w:jc w:val="center"/>
              <w:rPr>
                <w:rFonts w:ascii="Times New Roman" w:hAnsi="Times New Roman" w:eastAsia="宋体" w:cs="Times New Roman"/>
                <w:sz w:val="24"/>
              </w:rPr>
            </w:pPr>
            <w:r>
              <w:rPr>
                <w:rFonts w:ascii="Times New Roman" w:hAnsi="Times New Roman" w:eastAsia="宋体" w:cs="Times New Roman"/>
              </w:rPr>
              <w:t>22</w:t>
            </w:r>
          </w:p>
        </w:tc>
        <w:tc>
          <w:tcPr>
            <w:tcW w:w="375" w:type="pct"/>
            <w:noWrap/>
            <w:vAlign w:val="center"/>
          </w:tcPr>
          <w:p w14:paraId="35A100D3">
            <w:pPr>
              <w:jc w:val="center"/>
              <w:rPr>
                <w:rFonts w:ascii="Times New Roman" w:hAnsi="Times New Roman" w:eastAsia="宋体" w:cs="Times New Roman"/>
                <w:sz w:val="24"/>
              </w:rPr>
            </w:pPr>
            <w:r>
              <w:rPr>
                <w:rFonts w:ascii="Times New Roman" w:hAnsi="Times New Roman" w:eastAsia="宋体" w:cs="Times New Roman"/>
              </w:rPr>
              <w:t>9</w:t>
            </w:r>
          </w:p>
        </w:tc>
        <w:tc>
          <w:tcPr>
            <w:tcW w:w="374" w:type="pct"/>
            <w:noWrap/>
            <w:vAlign w:val="center"/>
          </w:tcPr>
          <w:p w14:paraId="27BA5B84">
            <w:pPr>
              <w:jc w:val="center"/>
              <w:rPr>
                <w:rFonts w:ascii="Times New Roman" w:hAnsi="Times New Roman" w:eastAsia="宋体" w:cs="Times New Roman"/>
                <w:sz w:val="24"/>
              </w:rPr>
            </w:pPr>
            <w:r>
              <w:rPr>
                <w:rFonts w:ascii="Times New Roman" w:hAnsi="Times New Roman" w:eastAsia="宋体" w:cs="Times New Roman"/>
              </w:rPr>
              <w:t>9</w:t>
            </w:r>
          </w:p>
        </w:tc>
        <w:tc>
          <w:tcPr>
            <w:tcW w:w="375" w:type="pct"/>
            <w:noWrap/>
            <w:vAlign w:val="center"/>
          </w:tcPr>
          <w:p w14:paraId="369E3D86">
            <w:pPr>
              <w:jc w:val="center"/>
              <w:rPr>
                <w:rFonts w:ascii="Times New Roman" w:hAnsi="Times New Roman" w:eastAsia="宋体" w:cs="Times New Roman"/>
                <w:sz w:val="24"/>
              </w:rPr>
            </w:pPr>
            <w:r>
              <w:rPr>
                <w:rFonts w:ascii="Times New Roman" w:hAnsi="Times New Roman" w:eastAsia="宋体" w:cs="Times New Roman"/>
              </w:rPr>
              <w:t>4</w:t>
            </w:r>
          </w:p>
        </w:tc>
        <w:tc>
          <w:tcPr>
            <w:tcW w:w="374" w:type="pct"/>
            <w:noWrap/>
            <w:vAlign w:val="center"/>
          </w:tcPr>
          <w:p w14:paraId="19E368B5">
            <w:pPr>
              <w:jc w:val="center"/>
              <w:rPr>
                <w:rFonts w:ascii="Times New Roman" w:hAnsi="Times New Roman" w:eastAsia="宋体" w:cs="Times New Roman"/>
                <w:sz w:val="24"/>
              </w:rPr>
            </w:pPr>
            <w:r>
              <w:rPr>
                <w:rFonts w:ascii="Times New Roman" w:hAnsi="Times New Roman" w:eastAsia="宋体" w:cs="Times New Roman"/>
              </w:rPr>
              <w:t>53</w:t>
            </w:r>
          </w:p>
        </w:tc>
        <w:tc>
          <w:tcPr>
            <w:tcW w:w="375" w:type="pct"/>
            <w:noWrap/>
            <w:vAlign w:val="center"/>
          </w:tcPr>
          <w:p w14:paraId="28EBDA9C">
            <w:pPr>
              <w:jc w:val="center"/>
              <w:rPr>
                <w:rFonts w:ascii="Times New Roman" w:hAnsi="Times New Roman" w:eastAsia="宋体" w:cs="Times New Roman"/>
                <w:sz w:val="24"/>
              </w:rPr>
            </w:pPr>
            <w:r>
              <w:rPr>
                <w:rFonts w:ascii="Times New Roman" w:hAnsi="Times New Roman" w:eastAsia="宋体" w:cs="Times New Roman"/>
              </w:rPr>
              <w:t>21</w:t>
            </w:r>
          </w:p>
        </w:tc>
        <w:tc>
          <w:tcPr>
            <w:tcW w:w="374" w:type="pct"/>
            <w:noWrap/>
            <w:vAlign w:val="center"/>
          </w:tcPr>
          <w:p w14:paraId="18CDE7C1">
            <w:pPr>
              <w:jc w:val="center"/>
              <w:rPr>
                <w:rFonts w:ascii="Times New Roman" w:hAnsi="Times New Roman" w:eastAsia="宋体" w:cs="Times New Roman"/>
                <w:sz w:val="24"/>
              </w:rPr>
            </w:pPr>
            <w:r>
              <w:rPr>
                <w:rFonts w:ascii="Times New Roman" w:hAnsi="Times New Roman" w:eastAsia="宋体" w:cs="Times New Roman"/>
              </w:rPr>
              <w:t>326</w:t>
            </w:r>
          </w:p>
        </w:tc>
        <w:tc>
          <w:tcPr>
            <w:tcW w:w="375" w:type="pct"/>
            <w:noWrap/>
            <w:vAlign w:val="center"/>
          </w:tcPr>
          <w:p w14:paraId="4BE2F523">
            <w:pPr>
              <w:jc w:val="center"/>
              <w:rPr>
                <w:rFonts w:ascii="Times New Roman" w:hAnsi="Times New Roman" w:eastAsia="宋体" w:cs="Times New Roman"/>
                <w:sz w:val="24"/>
              </w:rPr>
            </w:pPr>
            <w:r>
              <w:rPr>
                <w:rFonts w:ascii="Times New Roman" w:hAnsi="Times New Roman" w:eastAsia="宋体" w:cs="Times New Roman"/>
              </w:rPr>
              <w:t>133</w:t>
            </w:r>
          </w:p>
        </w:tc>
      </w:tr>
      <w:tr w14:paraId="61F4B2DA">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850" w:type="pct"/>
            <w:vMerge w:val="continue"/>
            <w:vAlign w:val="center"/>
          </w:tcPr>
          <w:p w14:paraId="26347954">
            <w:pPr>
              <w:widowControl/>
              <w:jc w:val="center"/>
              <w:rPr>
                <w:rFonts w:ascii="宋体" w:hAnsi="宋体" w:eastAsia="宋体" w:cs="宋体"/>
                <w:kern w:val="0"/>
                <w:szCs w:val="21"/>
              </w:rPr>
            </w:pPr>
          </w:p>
        </w:tc>
        <w:tc>
          <w:tcPr>
            <w:tcW w:w="374" w:type="pct"/>
            <w:noWrap/>
            <w:vAlign w:val="center"/>
          </w:tcPr>
          <w:p w14:paraId="10C8FB07">
            <w:pPr>
              <w:widowControl/>
              <w:jc w:val="center"/>
              <w:rPr>
                <w:rFonts w:ascii="Times New Roman" w:hAnsi="Times New Roman" w:eastAsia="宋体" w:cs="Times New Roman"/>
                <w:kern w:val="0"/>
                <w:szCs w:val="21"/>
              </w:rPr>
            </w:pPr>
            <w:r>
              <w:rPr>
                <w:rFonts w:hint="eastAsia" w:ascii="宋体" w:hAnsi="宋体" w:eastAsia="宋体" w:cs="Times New Roman"/>
                <w:kern w:val="0"/>
                <w:szCs w:val="21"/>
              </w:rPr>
              <w:t>中期</w:t>
            </w:r>
          </w:p>
        </w:tc>
        <w:tc>
          <w:tcPr>
            <w:tcW w:w="387" w:type="pct"/>
            <w:noWrap/>
            <w:vAlign w:val="center"/>
          </w:tcPr>
          <w:p w14:paraId="1A055A8A">
            <w:pPr>
              <w:jc w:val="center"/>
              <w:rPr>
                <w:rFonts w:ascii="Times New Roman" w:hAnsi="Times New Roman" w:eastAsia="宋体" w:cs="Times New Roman"/>
                <w:sz w:val="24"/>
              </w:rPr>
            </w:pPr>
            <w:r>
              <w:rPr>
                <w:rFonts w:ascii="Times New Roman" w:hAnsi="Times New Roman" w:eastAsia="宋体" w:cs="Times New Roman"/>
              </w:rPr>
              <w:t>290</w:t>
            </w:r>
          </w:p>
        </w:tc>
        <w:tc>
          <w:tcPr>
            <w:tcW w:w="392" w:type="pct"/>
            <w:noWrap/>
            <w:vAlign w:val="center"/>
          </w:tcPr>
          <w:p w14:paraId="327456B9">
            <w:pPr>
              <w:jc w:val="center"/>
              <w:rPr>
                <w:rFonts w:ascii="Times New Roman" w:hAnsi="Times New Roman" w:eastAsia="宋体" w:cs="Times New Roman"/>
                <w:sz w:val="24"/>
              </w:rPr>
            </w:pPr>
            <w:r>
              <w:rPr>
                <w:rFonts w:ascii="Times New Roman" w:hAnsi="Times New Roman" w:eastAsia="宋体" w:cs="Times New Roman"/>
              </w:rPr>
              <w:t>119</w:t>
            </w:r>
          </w:p>
        </w:tc>
        <w:tc>
          <w:tcPr>
            <w:tcW w:w="374" w:type="pct"/>
            <w:noWrap/>
            <w:vAlign w:val="center"/>
          </w:tcPr>
          <w:p w14:paraId="4C973170">
            <w:pPr>
              <w:jc w:val="center"/>
              <w:rPr>
                <w:rFonts w:ascii="Times New Roman" w:hAnsi="Times New Roman" w:eastAsia="宋体" w:cs="Times New Roman"/>
                <w:sz w:val="24"/>
              </w:rPr>
            </w:pPr>
            <w:r>
              <w:rPr>
                <w:rFonts w:ascii="Times New Roman" w:hAnsi="Times New Roman" w:eastAsia="宋体" w:cs="Times New Roman"/>
              </w:rPr>
              <w:t>24</w:t>
            </w:r>
          </w:p>
        </w:tc>
        <w:tc>
          <w:tcPr>
            <w:tcW w:w="375" w:type="pct"/>
            <w:noWrap/>
            <w:vAlign w:val="center"/>
          </w:tcPr>
          <w:p w14:paraId="078CA2D7">
            <w:pPr>
              <w:jc w:val="center"/>
              <w:rPr>
                <w:rFonts w:ascii="Times New Roman" w:hAnsi="Times New Roman" w:eastAsia="宋体" w:cs="Times New Roman"/>
                <w:sz w:val="24"/>
              </w:rPr>
            </w:pPr>
            <w:r>
              <w:rPr>
                <w:rFonts w:ascii="Times New Roman" w:hAnsi="Times New Roman" w:eastAsia="宋体" w:cs="Times New Roman"/>
              </w:rPr>
              <w:t>10</w:t>
            </w:r>
          </w:p>
        </w:tc>
        <w:tc>
          <w:tcPr>
            <w:tcW w:w="374" w:type="pct"/>
            <w:noWrap/>
            <w:vAlign w:val="center"/>
          </w:tcPr>
          <w:p w14:paraId="1685B173">
            <w:pPr>
              <w:jc w:val="center"/>
              <w:rPr>
                <w:rFonts w:ascii="Times New Roman" w:hAnsi="Times New Roman" w:eastAsia="宋体" w:cs="Times New Roman"/>
                <w:sz w:val="24"/>
              </w:rPr>
            </w:pPr>
            <w:r>
              <w:rPr>
                <w:rFonts w:ascii="Times New Roman" w:hAnsi="Times New Roman" w:eastAsia="宋体" w:cs="Times New Roman"/>
              </w:rPr>
              <w:t>11</w:t>
            </w:r>
          </w:p>
        </w:tc>
        <w:tc>
          <w:tcPr>
            <w:tcW w:w="375" w:type="pct"/>
            <w:noWrap/>
            <w:vAlign w:val="center"/>
          </w:tcPr>
          <w:p w14:paraId="7A2438AF">
            <w:pPr>
              <w:jc w:val="center"/>
              <w:rPr>
                <w:rFonts w:ascii="Times New Roman" w:hAnsi="Times New Roman" w:eastAsia="宋体" w:cs="Times New Roman"/>
                <w:sz w:val="24"/>
              </w:rPr>
            </w:pPr>
            <w:r>
              <w:rPr>
                <w:rFonts w:ascii="Times New Roman" w:hAnsi="Times New Roman" w:eastAsia="宋体" w:cs="Times New Roman"/>
              </w:rPr>
              <w:t>5</w:t>
            </w:r>
          </w:p>
        </w:tc>
        <w:tc>
          <w:tcPr>
            <w:tcW w:w="374" w:type="pct"/>
            <w:noWrap/>
            <w:vAlign w:val="center"/>
          </w:tcPr>
          <w:p w14:paraId="1155FD01">
            <w:pPr>
              <w:jc w:val="center"/>
              <w:rPr>
                <w:rFonts w:ascii="Times New Roman" w:hAnsi="Times New Roman" w:eastAsia="宋体" w:cs="Times New Roman"/>
                <w:sz w:val="24"/>
              </w:rPr>
            </w:pPr>
            <w:r>
              <w:rPr>
                <w:rFonts w:ascii="Times New Roman" w:hAnsi="Times New Roman" w:eastAsia="宋体" w:cs="Times New Roman"/>
              </w:rPr>
              <w:t>64</w:t>
            </w:r>
          </w:p>
        </w:tc>
        <w:tc>
          <w:tcPr>
            <w:tcW w:w="375" w:type="pct"/>
            <w:noWrap/>
            <w:vAlign w:val="center"/>
          </w:tcPr>
          <w:p w14:paraId="1F79A095">
            <w:pPr>
              <w:jc w:val="center"/>
              <w:rPr>
                <w:rFonts w:ascii="Times New Roman" w:hAnsi="Times New Roman" w:eastAsia="宋体" w:cs="Times New Roman"/>
                <w:sz w:val="24"/>
              </w:rPr>
            </w:pPr>
            <w:r>
              <w:rPr>
                <w:rFonts w:ascii="Times New Roman" w:hAnsi="Times New Roman" w:eastAsia="宋体" w:cs="Times New Roman"/>
              </w:rPr>
              <w:t>26</w:t>
            </w:r>
          </w:p>
        </w:tc>
        <w:tc>
          <w:tcPr>
            <w:tcW w:w="374" w:type="pct"/>
            <w:noWrap/>
            <w:vAlign w:val="center"/>
          </w:tcPr>
          <w:p w14:paraId="1110BFDF">
            <w:pPr>
              <w:jc w:val="center"/>
              <w:rPr>
                <w:rFonts w:ascii="Times New Roman" w:hAnsi="Times New Roman" w:eastAsia="宋体" w:cs="Times New Roman"/>
                <w:sz w:val="24"/>
              </w:rPr>
            </w:pPr>
            <w:r>
              <w:rPr>
                <w:rFonts w:ascii="Times New Roman" w:hAnsi="Times New Roman" w:eastAsia="宋体" w:cs="Times New Roman"/>
              </w:rPr>
              <w:t>389</w:t>
            </w:r>
          </w:p>
        </w:tc>
        <w:tc>
          <w:tcPr>
            <w:tcW w:w="375" w:type="pct"/>
            <w:noWrap/>
            <w:vAlign w:val="center"/>
          </w:tcPr>
          <w:p w14:paraId="3A13E852">
            <w:pPr>
              <w:jc w:val="center"/>
              <w:rPr>
                <w:rFonts w:ascii="Times New Roman" w:hAnsi="Times New Roman" w:eastAsia="宋体" w:cs="Times New Roman"/>
                <w:sz w:val="24"/>
              </w:rPr>
            </w:pPr>
            <w:r>
              <w:rPr>
                <w:rFonts w:ascii="Times New Roman" w:hAnsi="Times New Roman" w:eastAsia="宋体" w:cs="Times New Roman"/>
              </w:rPr>
              <w:t>160</w:t>
            </w:r>
          </w:p>
        </w:tc>
      </w:tr>
      <w:tr w14:paraId="5392712E">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850" w:type="pct"/>
            <w:vMerge w:val="continue"/>
            <w:vAlign w:val="center"/>
          </w:tcPr>
          <w:p w14:paraId="0E98D087">
            <w:pPr>
              <w:widowControl/>
              <w:jc w:val="center"/>
              <w:rPr>
                <w:rFonts w:ascii="宋体" w:hAnsi="宋体" w:eastAsia="宋体" w:cs="宋体"/>
                <w:kern w:val="0"/>
                <w:szCs w:val="21"/>
              </w:rPr>
            </w:pPr>
          </w:p>
        </w:tc>
        <w:tc>
          <w:tcPr>
            <w:tcW w:w="374" w:type="pct"/>
            <w:noWrap/>
            <w:vAlign w:val="center"/>
          </w:tcPr>
          <w:p w14:paraId="34501F58">
            <w:pPr>
              <w:widowControl/>
              <w:jc w:val="center"/>
              <w:rPr>
                <w:rFonts w:ascii="Times New Roman" w:hAnsi="Times New Roman" w:eastAsia="宋体" w:cs="Times New Roman"/>
                <w:kern w:val="0"/>
                <w:szCs w:val="21"/>
              </w:rPr>
            </w:pPr>
            <w:r>
              <w:rPr>
                <w:rFonts w:hint="eastAsia" w:ascii="宋体" w:hAnsi="宋体" w:eastAsia="宋体" w:cs="Times New Roman"/>
                <w:kern w:val="0"/>
                <w:szCs w:val="21"/>
              </w:rPr>
              <w:t>远期</w:t>
            </w:r>
          </w:p>
        </w:tc>
        <w:tc>
          <w:tcPr>
            <w:tcW w:w="387" w:type="pct"/>
            <w:noWrap/>
            <w:vAlign w:val="center"/>
          </w:tcPr>
          <w:p w14:paraId="2EAEB738">
            <w:pPr>
              <w:jc w:val="center"/>
              <w:rPr>
                <w:rFonts w:ascii="Times New Roman" w:hAnsi="Times New Roman" w:eastAsia="宋体" w:cs="Times New Roman"/>
                <w:sz w:val="24"/>
              </w:rPr>
            </w:pPr>
            <w:r>
              <w:rPr>
                <w:rFonts w:ascii="Times New Roman" w:hAnsi="Times New Roman" w:eastAsia="宋体" w:cs="Times New Roman"/>
              </w:rPr>
              <w:t>343</w:t>
            </w:r>
          </w:p>
        </w:tc>
        <w:tc>
          <w:tcPr>
            <w:tcW w:w="392" w:type="pct"/>
            <w:noWrap/>
            <w:vAlign w:val="center"/>
          </w:tcPr>
          <w:p w14:paraId="7367325C">
            <w:pPr>
              <w:jc w:val="center"/>
              <w:rPr>
                <w:rFonts w:ascii="Times New Roman" w:hAnsi="Times New Roman" w:eastAsia="宋体" w:cs="Times New Roman"/>
                <w:sz w:val="24"/>
              </w:rPr>
            </w:pPr>
            <w:r>
              <w:rPr>
                <w:rFonts w:ascii="Times New Roman" w:hAnsi="Times New Roman" w:eastAsia="宋体" w:cs="Times New Roman"/>
              </w:rPr>
              <w:t>141</w:t>
            </w:r>
          </w:p>
        </w:tc>
        <w:tc>
          <w:tcPr>
            <w:tcW w:w="374" w:type="pct"/>
            <w:noWrap/>
            <w:vAlign w:val="center"/>
          </w:tcPr>
          <w:p w14:paraId="13283A7A">
            <w:pPr>
              <w:jc w:val="center"/>
              <w:rPr>
                <w:rFonts w:ascii="Times New Roman" w:hAnsi="Times New Roman" w:eastAsia="宋体" w:cs="Times New Roman"/>
                <w:sz w:val="24"/>
              </w:rPr>
            </w:pPr>
            <w:r>
              <w:rPr>
                <w:rFonts w:ascii="Times New Roman" w:hAnsi="Times New Roman" w:eastAsia="宋体" w:cs="Times New Roman"/>
              </w:rPr>
              <w:t>26</w:t>
            </w:r>
          </w:p>
        </w:tc>
        <w:tc>
          <w:tcPr>
            <w:tcW w:w="375" w:type="pct"/>
            <w:noWrap/>
            <w:vAlign w:val="center"/>
          </w:tcPr>
          <w:p w14:paraId="36C87503">
            <w:pPr>
              <w:jc w:val="center"/>
              <w:rPr>
                <w:rFonts w:ascii="Times New Roman" w:hAnsi="Times New Roman" w:eastAsia="宋体" w:cs="Times New Roman"/>
                <w:sz w:val="24"/>
              </w:rPr>
            </w:pPr>
            <w:r>
              <w:rPr>
                <w:rFonts w:ascii="Times New Roman" w:hAnsi="Times New Roman" w:eastAsia="宋体" w:cs="Times New Roman"/>
              </w:rPr>
              <w:t>11</w:t>
            </w:r>
          </w:p>
        </w:tc>
        <w:tc>
          <w:tcPr>
            <w:tcW w:w="374" w:type="pct"/>
            <w:noWrap/>
            <w:vAlign w:val="center"/>
          </w:tcPr>
          <w:p w14:paraId="5B21A641">
            <w:pPr>
              <w:jc w:val="center"/>
              <w:rPr>
                <w:rFonts w:ascii="Times New Roman" w:hAnsi="Times New Roman" w:eastAsia="宋体" w:cs="Times New Roman"/>
                <w:sz w:val="24"/>
              </w:rPr>
            </w:pPr>
            <w:r>
              <w:rPr>
                <w:rFonts w:ascii="Times New Roman" w:hAnsi="Times New Roman" w:eastAsia="宋体" w:cs="Times New Roman"/>
              </w:rPr>
              <w:t>14</w:t>
            </w:r>
          </w:p>
        </w:tc>
        <w:tc>
          <w:tcPr>
            <w:tcW w:w="375" w:type="pct"/>
            <w:noWrap/>
            <w:vAlign w:val="center"/>
          </w:tcPr>
          <w:p w14:paraId="71248FEB">
            <w:pPr>
              <w:jc w:val="center"/>
              <w:rPr>
                <w:rFonts w:ascii="Times New Roman" w:hAnsi="Times New Roman" w:eastAsia="宋体" w:cs="Times New Roman"/>
                <w:sz w:val="24"/>
              </w:rPr>
            </w:pPr>
            <w:r>
              <w:rPr>
                <w:rFonts w:ascii="Times New Roman" w:hAnsi="Times New Roman" w:eastAsia="宋体" w:cs="Times New Roman"/>
              </w:rPr>
              <w:t>6</w:t>
            </w:r>
          </w:p>
        </w:tc>
        <w:tc>
          <w:tcPr>
            <w:tcW w:w="374" w:type="pct"/>
            <w:noWrap/>
            <w:vAlign w:val="center"/>
          </w:tcPr>
          <w:p w14:paraId="7B9419E4">
            <w:pPr>
              <w:jc w:val="center"/>
              <w:rPr>
                <w:rFonts w:ascii="Times New Roman" w:hAnsi="Times New Roman" w:eastAsia="宋体" w:cs="Times New Roman"/>
                <w:sz w:val="24"/>
              </w:rPr>
            </w:pPr>
            <w:r>
              <w:rPr>
                <w:rFonts w:ascii="Times New Roman" w:hAnsi="Times New Roman" w:eastAsia="宋体" w:cs="Times New Roman"/>
              </w:rPr>
              <w:t>75</w:t>
            </w:r>
          </w:p>
        </w:tc>
        <w:tc>
          <w:tcPr>
            <w:tcW w:w="375" w:type="pct"/>
            <w:noWrap/>
            <w:vAlign w:val="center"/>
          </w:tcPr>
          <w:p w14:paraId="35214EFE">
            <w:pPr>
              <w:jc w:val="center"/>
              <w:rPr>
                <w:rFonts w:ascii="Times New Roman" w:hAnsi="Times New Roman" w:eastAsia="宋体" w:cs="Times New Roman"/>
                <w:sz w:val="24"/>
              </w:rPr>
            </w:pPr>
            <w:r>
              <w:rPr>
                <w:rFonts w:ascii="Times New Roman" w:hAnsi="Times New Roman" w:eastAsia="宋体" w:cs="Times New Roman"/>
              </w:rPr>
              <w:t>30</w:t>
            </w:r>
          </w:p>
        </w:tc>
        <w:tc>
          <w:tcPr>
            <w:tcW w:w="374" w:type="pct"/>
            <w:noWrap/>
            <w:vAlign w:val="center"/>
          </w:tcPr>
          <w:p w14:paraId="62A1522E">
            <w:pPr>
              <w:jc w:val="center"/>
              <w:rPr>
                <w:rFonts w:ascii="Times New Roman" w:hAnsi="Times New Roman" w:eastAsia="宋体" w:cs="Times New Roman"/>
                <w:sz w:val="24"/>
              </w:rPr>
            </w:pPr>
            <w:r>
              <w:rPr>
                <w:rFonts w:ascii="Times New Roman" w:hAnsi="Times New Roman" w:eastAsia="宋体" w:cs="Times New Roman"/>
              </w:rPr>
              <w:t>458</w:t>
            </w:r>
          </w:p>
        </w:tc>
        <w:tc>
          <w:tcPr>
            <w:tcW w:w="375" w:type="pct"/>
            <w:noWrap/>
            <w:vAlign w:val="center"/>
          </w:tcPr>
          <w:p w14:paraId="6E372ADC">
            <w:pPr>
              <w:jc w:val="center"/>
              <w:rPr>
                <w:rFonts w:ascii="Times New Roman" w:hAnsi="Times New Roman" w:eastAsia="宋体" w:cs="Times New Roman"/>
                <w:sz w:val="24"/>
              </w:rPr>
            </w:pPr>
            <w:r>
              <w:rPr>
                <w:rFonts w:ascii="Times New Roman" w:hAnsi="Times New Roman" w:eastAsia="宋体" w:cs="Times New Roman"/>
              </w:rPr>
              <w:t>188</w:t>
            </w:r>
          </w:p>
        </w:tc>
      </w:tr>
      <w:tr w14:paraId="4E1DE6B1">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850" w:type="pct"/>
            <w:vMerge w:val="restart"/>
            <w:vAlign w:val="center"/>
          </w:tcPr>
          <w:p w14:paraId="33253F29">
            <w:pPr>
              <w:jc w:val="center"/>
              <w:rPr>
                <w:rFonts w:ascii="宋体" w:hAnsi="宋体" w:eastAsia="宋体" w:cs="宋体"/>
                <w:sz w:val="24"/>
              </w:rPr>
            </w:pPr>
            <w:r>
              <w:rPr>
                <w:rFonts w:hint="eastAsia" w:ascii="Times New Roman" w:hAnsi="Times New Roman" w:eastAsia="宋体" w:cs="Times New Roman"/>
              </w:rPr>
              <w:t>高速口～岳普湖</w:t>
            </w:r>
          </w:p>
        </w:tc>
        <w:tc>
          <w:tcPr>
            <w:tcW w:w="374" w:type="pct"/>
            <w:noWrap/>
            <w:vAlign w:val="center"/>
          </w:tcPr>
          <w:p w14:paraId="1F6EDC66">
            <w:pPr>
              <w:widowControl/>
              <w:jc w:val="center"/>
              <w:rPr>
                <w:rFonts w:ascii="Times New Roman" w:hAnsi="Times New Roman" w:eastAsia="宋体" w:cs="Times New Roman"/>
                <w:kern w:val="0"/>
                <w:szCs w:val="21"/>
              </w:rPr>
            </w:pPr>
            <w:r>
              <w:rPr>
                <w:rFonts w:hint="eastAsia" w:ascii="宋体" w:hAnsi="宋体" w:eastAsia="宋体" w:cs="Times New Roman"/>
                <w:kern w:val="0"/>
                <w:szCs w:val="21"/>
              </w:rPr>
              <w:t>近期</w:t>
            </w:r>
          </w:p>
        </w:tc>
        <w:tc>
          <w:tcPr>
            <w:tcW w:w="387" w:type="pct"/>
            <w:noWrap/>
            <w:vAlign w:val="center"/>
          </w:tcPr>
          <w:p w14:paraId="0195E373">
            <w:pPr>
              <w:jc w:val="center"/>
              <w:rPr>
                <w:rFonts w:ascii="Times New Roman" w:hAnsi="Times New Roman" w:eastAsia="宋体" w:cs="Times New Roman"/>
                <w:sz w:val="24"/>
              </w:rPr>
            </w:pPr>
            <w:r>
              <w:rPr>
                <w:rFonts w:ascii="Times New Roman" w:hAnsi="Times New Roman" w:eastAsia="宋体" w:cs="Times New Roman"/>
              </w:rPr>
              <w:t>271</w:t>
            </w:r>
          </w:p>
        </w:tc>
        <w:tc>
          <w:tcPr>
            <w:tcW w:w="392" w:type="pct"/>
            <w:noWrap/>
            <w:vAlign w:val="center"/>
          </w:tcPr>
          <w:p w14:paraId="683C6F04">
            <w:pPr>
              <w:jc w:val="center"/>
              <w:rPr>
                <w:rFonts w:ascii="Times New Roman" w:hAnsi="Times New Roman" w:eastAsia="宋体" w:cs="Times New Roman"/>
                <w:sz w:val="24"/>
              </w:rPr>
            </w:pPr>
            <w:r>
              <w:rPr>
                <w:rFonts w:ascii="Times New Roman" w:hAnsi="Times New Roman" w:eastAsia="宋体" w:cs="Times New Roman"/>
              </w:rPr>
              <w:t>111</w:t>
            </w:r>
          </w:p>
        </w:tc>
        <w:tc>
          <w:tcPr>
            <w:tcW w:w="374" w:type="pct"/>
            <w:noWrap/>
            <w:vAlign w:val="center"/>
          </w:tcPr>
          <w:p w14:paraId="362881B0">
            <w:pPr>
              <w:jc w:val="center"/>
              <w:rPr>
                <w:rFonts w:ascii="Times New Roman" w:hAnsi="Times New Roman" w:eastAsia="宋体" w:cs="Times New Roman"/>
                <w:sz w:val="24"/>
              </w:rPr>
            </w:pPr>
            <w:r>
              <w:rPr>
                <w:rFonts w:ascii="Times New Roman" w:hAnsi="Times New Roman" w:eastAsia="宋体" w:cs="Times New Roman"/>
              </w:rPr>
              <w:t>25</w:t>
            </w:r>
          </w:p>
        </w:tc>
        <w:tc>
          <w:tcPr>
            <w:tcW w:w="375" w:type="pct"/>
            <w:noWrap/>
            <w:vAlign w:val="center"/>
          </w:tcPr>
          <w:p w14:paraId="4BD8696F">
            <w:pPr>
              <w:jc w:val="center"/>
              <w:rPr>
                <w:rFonts w:ascii="Times New Roman" w:hAnsi="Times New Roman" w:eastAsia="宋体" w:cs="Times New Roman"/>
                <w:sz w:val="24"/>
              </w:rPr>
            </w:pPr>
            <w:r>
              <w:rPr>
                <w:rFonts w:ascii="Times New Roman" w:hAnsi="Times New Roman" w:eastAsia="宋体" w:cs="Times New Roman"/>
              </w:rPr>
              <w:t>10</w:t>
            </w:r>
          </w:p>
        </w:tc>
        <w:tc>
          <w:tcPr>
            <w:tcW w:w="374" w:type="pct"/>
            <w:noWrap/>
            <w:vAlign w:val="center"/>
          </w:tcPr>
          <w:p w14:paraId="73D53C2C">
            <w:pPr>
              <w:jc w:val="center"/>
              <w:rPr>
                <w:rFonts w:ascii="Times New Roman" w:hAnsi="Times New Roman" w:eastAsia="宋体" w:cs="Times New Roman"/>
                <w:sz w:val="24"/>
              </w:rPr>
            </w:pPr>
            <w:r>
              <w:rPr>
                <w:rFonts w:ascii="Times New Roman" w:hAnsi="Times New Roman" w:eastAsia="宋体" w:cs="Times New Roman"/>
              </w:rPr>
              <w:t>10</w:t>
            </w:r>
          </w:p>
        </w:tc>
        <w:tc>
          <w:tcPr>
            <w:tcW w:w="375" w:type="pct"/>
            <w:noWrap/>
            <w:vAlign w:val="center"/>
          </w:tcPr>
          <w:p w14:paraId="4BAA549A">
            <w:pPr>
              <w:jc w:val="center"/>
              <w:rPr>
                <w:rFonts w:ascii="Times New Roman" w:hAnsi="Times New Roman" w:eastAsia="宋体" w:cs="Times New Roman"/>
                <w:sz w:val="24"/>
              </w:rPr>
            </w:pPr>
            <w:r>
              <w:rPr>
                <w:rFonts w:ascii="Times New Roman" w:hAnsi="Times New Roman" w:eastAsia="宋体" w:cs="Times New Roman"/>
              </w:rPr>
              <w:t>4</w:t>
            </w:r>
          </w:p>
        </w:tc>
        <w:tc>
          <w:tcPr>
            <w:tcW w:w="374" w:type="pct"/>
            <w:noWrap/>
            <w:vAlign w:val="center"/>
          </w:tcPr>
          <w:p w14:paraId="2537D1BD">
            <w:pPr>
              <w:jc w:val="center"/>
              <w:rPr>
                <w:rFonts w:ascii="Times New Roman" w:hAnsi="Times New Roman" w:eastAsia="宋体" w:cs="Times New Roman"/>
                <w:sz w:val="24"/>
              </w:rPr>
            </w:pPr>
            <w:r>
              <w:rPr>
                <w:rFonts w:ascii="Times New Roman" w:hAnsi="Times New Roman" w:eastAsia="宋体" w:cs="Times New Roman"/>
              </w:rPr>
              <w:t>59</w:t>
            </w:r>
          </w:p>
        </w:tc>
        <w:tc>
          <w:tcPr>
            <w:tcW w:w="375" w:type="pct"/>
            <w:noWrap/>
            <w:vAlign w:val="center"/>
          </w:tcPr>
          <w:p w14:paraId="24B46A9D">
            <w:pPr>
              <w:jc w:val="center"/>
              <w:rPr>
                <w:rFonts w:ascii="Times New Roman" w:hAnsi="Times New Roman" w:eastAsia="宋体" w:cs="Times New Roman"/>
                <w:sz w:val="24"/>
              </w:rPr>
            </w:pPr>
            <w:r>
              <w:rPr>
                <w:rFonts w:ascii="Times New Roman" w:hAnsi="Times New Roman" w:eastAsia="宋体" w:cs="Times New Roman"/>
              </w:rPr>
              <w:t>24</w:t>
            </w:r>
          </w:p>
        </w:tc>
        <w:tc>
          <w:tcPr>
            <w:tcW w:w="374" w:type="pct"/>
            <w:noWrap/>
            <w:vAlign w:val="center"/>
          </w:tcPr>
          <w:p w14:paraId="1C3214BB">
            <w:pPr>
              <w:jc w:val="center"/>
              <w:rPr>
                <w:rFonts w:ascii="Times New Roman" w:hAnsi="Times New Roman" w:eastAsia="宋体" w:cs="Times New Roman"/>
                <w:sz w:val="24"/>
              </w:rPr>
            </w:pPr>
            <w:r>
              <w:rPr>
                <w:rFonts w:ascii="Times New Roman" w:hAnsi="Times New Roman" w:eastAsia="宋体" w:cs="Times New Roman"/>
              </w:rPr>
              <w:t>365</w:t>
            </w:r>
          </w:p>
        </w:tc>
        <w:tc>
          <w:tcPr>
            <w:tcW w:w="375" w:type="pct"/>
            <w:noWrap/>
            <w:vAlign w:val="center"/>
          </w:tcPr>
          <w:p w14:paraId="1387033E">
            <w:pPr>
              <w:jc w:val="center"/>
              <w:rPr>
                <w:rFonts w:ascii="Times New Roman" w:hAnsi="Times New Roman" w:eastAsia="宋体" w:cs="Times New Roman"/>
                <w:sz w:val="24"/>
              </w:rPr>
            </w:pPr>
            <w:r>
              <w:rPr>
                <w:rFonts w:ascii="Times New Roman" w:hAnsi="Times New Roman" w:eastAsia="宋体" w:cs="Times New Roman"/>
              </w:rPr>
              <w:t>149</w:t>
            </w:r>
          </w:p>
        </w:tc>
      </w:tr>
      <w:tr w14:paraId="53E5A18A">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850" w:type="pct"/>
            <w:vMerge w:val="continue"/>
            <w:vAlign w:val="center"/>
          </w:tcPr>
          <w:p w14:paraId="4EC68057">
            <w:pPr>
              <w:widowControl/>
              <w:jc w:val="center"/>
              <w:rPr>
                <w:rFonts w:ascii="宋体" w:hAnsi="宋体" w:eastAsia="宋体" w:cs="宋体"/>
                <w:kern w:val="0"/>
                <w:szCs w:val="21"/>
              </w:rPr>
            </w:pPr>
          </w:p>
        </w:tc>
        <w:tc>
          <w:tcPr>
            <w:tcW w:w="374" w:type="pct"/>
            <w:noWrap/>
            <w:vAlign w:val="center"/>
          </w:tcPr>
          <w:p w14:paraId="18CF0BA8">
            <w:pPr>
              <w:widowControl/>
              <w:jc w:val="center"/>
              <w:rPr>
                <w:rFonts w:ascii="Times New Roman" w:hAnsi="Times New Roman" w:eastAsia="宋体" w:cs="Times New Roman"/>
                <w:kern w:val="0"/>
                <w:szCs w:val="21"/>
              </w:rPr>
            </w:pPr>
            <w:r>
              <w:rPr>
                <w:rFonts w:hint="eastAsia" w:ascii="宋体" w:hAnsi="宋体" w:eastAsia="宋体" w:cs="Times New Roman"/>
                <w:kern w:val="0"/>
                <w:szCs w:val="21"/>
              </w:rPr>
              <w:t>中期</w:t>
            </w:r>
          </w:p>
        </w:tc>
        <w:tc>
          <w:tcPr>
            <w:tcW w:w="387" w:type="pct"/>
            <w:noWrap/>
            <w:vAlign w:val="center"/>
          </w:tcPr>
          <w:p w14:paraId="645162B1">
            <w:pPr>
              <w:jc w:val="center"/>
              <w:rPr>
                <w:rFonts w:ascii="Times New Roman" w:hAnsi="Times New Roman" w:eastAsia="宋体" w:cs="Times New Roman"/>
                <w:sz w:val="24"/>
              </w:rPr>
            </w:pPr>
            <w:r>
              <w:rPr>
                <w:rFonts w:ascii="Times New Roman" w:hAnsi="Times New Roman" w:eastAsia="宋体" w:cs="Times New Roman"/>
              </w:rPr>
              <w:t>325</w:t>
            </w:r>
          </w:p>
        </w:tc>
        <w:tc>
          <w:tcPr>
            <w:tcW w:w="392" w:type="pct"/>
            <w:noWrap/>
            <w:vAlign w:val="center"/>
          </w:tcPr>
          <w:p w14:paraId="7EAB5F04">
            <w:pPr>
              <w:jc w:val="center"/>
              <w:rPr>
                <w:rFonts w:ascii="Times New Roman" w:hAnsi="Times New Roman" w:eastAsia="宋体" w:cs="Times New Roman"/>
                <w:sz w:val="24"/>
              </w:rPr>
            </w:pPr>
            <w:r>
              <w:rPr>
                <w:rFonts w:ascii="Times New Roman" w:hAnsi="Times New Roman" w:eastAsia="宋体" w:cs="Times New Roman"/>
              </w:rPr>
              <w:t>133</w:t>
            </w:r>
          </w:p>
        </w:tc>
        <w:tc>
          <w:tcPr>
            <w:tcW w:w="374" w:type="pct"/>
            <w:noWrap/>
            <w:vAlign w:val="center"/>
          </w:tcPr>
          <w:p w14:paraId="136B3D7E">
            <w:pPr>
              <w:jc w:val="center"/>
              <w:rPr>
                <w:rFonts w:ascii="Times New Roman" w:hAnsi="Times New Roman" w:eastAsia="宋体" w:cs="Times New Roman"/>
                <w:sz w:val="24"/>
              </w:rPr>
            </w:pPr>
            <w:r>
              <w:rPr>
                <w:rFonts w:ascii="Times New Roman" w:hAnsi="Times New Roman" w:eastAsia="宋体" w:cs="Times New Roman"/>
              </w:rPr>
              <w:t>27</w:t>
            </w:r>
          </w:p>
        </w:tc>
        <w:tc>
          <w:tcPr>
            <w:tcW w:w="375" w:type="pct"/>
            <w:noWrap/>
            <w:vAlign w:val="center"/>
          </w:tcPr>
          <w:p w14:paraId="6E43DB55">
            <w:pPr>
              <w:jc w:val="center"/>
              <w:rPr>
                <w:rFonts w:ascii="Times New Roman" w:hAnsi="Times New Roman" w:eastAsia="宋体" w:cs="Times New Roman"/>
                <w:sz w:val="24"/>
              </w:rPr>
            </w:pPr>
            <w:r>
              <w:rPr>
                <w:rFonts w:ascii="Times New Roman" w:hAnsi="Times New Roman" w:eastAsia="宋体" w:cs="Times New Roman"/>
              </w:rPr>
              <w:t>11</w:t>
            </w:r>
          </w:p>
        </w:tc>
        <w:tc>
          <w:tcPr>
            <w:tcW w:w="374" w:type="pct"/>
            <w:noWrap/>
            <w:vAlign w:val="center"/>
          </w:tcPr>
          <w:p w14:paraId="45472E38">
            <w:pPr>
              <w:jc w:val="center"/>
              <w:rPr>
                <w:rFonts w:ascii="Times New Roman" w:hAnsi="Times New Roman" w:eastAsia="宋体" w:cs="Times New Roman"/>
                <w:sz w:val="24"/>
              </w:rPr>
            </w:pPr>
            <w:r>
              <w:rPr>
                <w:rFonts w:ascii="Times New Roman" w:hAnsi="Times New Roman" w:eastAsia="宋体" w:cs="Times New Roman"/>
              </w:rPr>
              <w:t>13</w:t>
            </w:r>
          </w:p>
        </w:tc>
        <w:tc>
          <w:tcPr>
            <w:tcW w:w="375" w:type="pct"/>
            <w:noWrap/>
            <w:vAlign w:val="center"/>
          </w:tcPr>
          <w:p w14:paraId="45E55974">
            <w:pPr>
              <w:jc w:val="center"/>
              <w:rPr>
                <w:rFonts w:ascii="Times New Roman" w:hAnsi="Times New Roman" w:eastAsia="宋体" w:cs="Times New Roman"/>
                <w:sz w:val="24"/>
              </w:rPr>
            </w:pPr>
            <w:r>
              <w:rPr>
                <w:rFonts w:ascii="Times New Roman" w:hAnsi="Times New Roman" w:eastAsia="宋体" w:cs="Times New Roman"/>
              </w:rPr>
              <w:t>5</w:t>
            </w:r>
          </w:p>
        </w:tc>
        <w:tc>
          <w:tcPr>
            <w:tcW w:w="374" w:type="pct"/>
            <w:noWrap/>
            <w:vAlign w:val="center"/>
          </w:tcPr>
          <w:p w14:paraId="3BA0DCFE">
            <w:pPr>
              <w:jc w:val="center"/>
              <w:rPr>
                <w:rFonts w:ascii="Times New Roman" w:hAnsi="Times New Roman" w:eastAsia="宋体" w:cs="Times New Roman"/>
                <w:sz w:val="24"/>
              </w:rPr>
            </w:pPr>
            <w:r>
              <w:rPr>
                <w:rFonts w:ascii="Times New Roman" w:hAnsi="Times New Roman" w:eastAsia="宋体" w:cs="Times New Roman"/>
              </w:rPr>
              <w:t>71</w:t>
            </w:r>
          </w:p>
        </w:tc>
        <w:tc>
          <w:tcPr>
            <w:tcW w:w="375" w:type="pct"/>
            <w:noWrap/>
            <w:vAlign w:val="center"/>
          </w:tcPr>
          <w:p w14:paraId="2C88D6BE">
            <w:pPr>
              <w:jc w:val="center"/>
              <w:rPr>
                <w:rFonts w:ascii="Times New Roman" w:hAnsi="Times New Roman" w:eastAsia="宋体" w:cs="Times New Roman"/>
                <w:sz w:val="24"/>
              </w:rPr>
            </w:pPr>
            <w:r>
              <w:rPr>
                <w:rFonts w:ascii="Times New Roman" w:hAnsi="Times New Roman" w:eastAsia="宋体" w:cs="Times New Roman"/>
              </w:rPr>
              <w:t>29</w:t>
            </w:r>
          </w:p>
        </w:tc>
        <w:tc>
          <w:tcPr>
            <w:tcW w:w="374" w:type="pct"/>
            <w:noWrap/>
            <w:vAlign w:val="center"/>
          </w:tcPr>
          <w:p w14:paraId="561A33C7">
            <w:pPr>
              <w:jc w:val="center"/>
              <w:rPr>
                <w:rFonts w:ascii="Times New Roman" w:hAnsi="Times New Roman" w:eastAsia="宋体" w:cs="Times New Roman"/>
                <w:sz w:val="24"/>
              </w:rPr>
            </w:pPr>
            <w:r>
              <w:rPr>
                <w:rFonts w:ascii="Times New Roman" w:hAnsi="Times New Roman" w:eastAsia="宋体" w:cs="Times New Roman"/>
              </w:rPr>
              <w:t>436</w:t>
            </w:r>
          </w:p>
        </w:tc>
        <w:tc>
          <w:tcPr>
            <w:tcW w:w="375" w:type="pct"/>
            <w:noWrap/>
            <w:vAlign w:val="center"/>
          </w:tcPr>
          <w:p w14:paraId="2C461403">
            <w:pPr>
              <w:jc w:val="center"/>
              <w:rPr>
                <w:rFonts w:ascii="Times New Roman" w:hAnsi="Times New Roman" w:eastAsia="宋体" w:cs="Times New Roman"/>
                <w:sz w:val="24"/>
              </w:rPr>
            </w:pPr>
            <w:r>
              <w:rPr>
                <w:rFonts w:ascii="Times New Roman" w:hAnsi="Times New Roman" w:eastAsia="宋体" w:cs="Times New Roman"/>
              </w:rPr>
              <w:t>178</w:t>
            </w:r>
          </w:p>
        </w:tc>
      </w:tr>
      <w:tr w14:paraId="73C04189">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850" w:type="pct"/>
            <w:vMerge w:val="continue"/>
            <w:vAlign w:val="center"/>
          </w:tcPr>
          <w:p w14:paraId="6419C2D7">
            <w:pPr>
              <w:widowControl/>
              <w:jc w:val="center"/>
              <w:rPr>
                <w:rFonts w:ascii="宋体" w:hAnsi="宋体" w:eastAsia="宋体" w:cs="宋体"/>
                <w:kern w:val="0"/>
                <w:szCs w:val="21"/>
              </w:rPr>
            </w:pPr>
          </w:p>
        </w:tc>
        <w:tc>
          <w:tcPr>
            <w:tcW w:w="374" w:type="pct"/>
            <w:noWrap/>
            <w:vAlign w:val="center"/>
          </w:tcPr>
          <w:p w14:paraId="2F5F58FC">
            <w:pPr>
              <w:widowControl/>
              <w:jc w:val="center"/>
              <w:rPr>
                <w:rFonts w:ascii="Times New Roman" w:hAnsi="Times New Roman" w:eastAsia="宋体" w:cs="Times New Roman"/>
                <w:kern w:val="0"/>
                <w:szCs w:val="21"/>
              </w:rPr>
            </w:pPr>
            <w:r>
              <w:rPr>
                <w:rFonts w:hint="eastAsia" w:ascii="宋体" w:hAnsi="宋体" w:eastAsia="宋体" w:cs="Times New Roman"/>
                <w:kern w:val="0"/>
                <w:szCs w:val="21"/>
              </w:rPr>
              <w:t>远期</w:t>
            </w:r>
          </w:p>
        </w:tc>
        <w:tc>
          <w:tcPr>
            <w:tcW w:w="387" w:type="pct"/>
            <w:noWrap/>
            <w:vAlign w:val="center"/>
          </w:tcPr>
          <w:p w14:paraId="3A2182B2">
            <w:pPr>
              <w:jc w:val="center"/>
              <w:rPr>
                <w:rFonts w:ascii="Times New Roman" w:hAnsi="Times New Roman" w:eastAsia="宋体" w:cs="Times New Roman"/>
                <w:sz w:val="24"/>
              </w:rPr>
            </w:pPr>
            <w:r>
              <w:rPr>
                <w:rFonts w:ascii="Times New Roman" w:hAnsi="Times New Roman" w:eastAsia="宋体" w:cs="Times New Roman"/>
              </w:rPr>
              <w:t>384</w:t>
            </w:r>
          </w:p>
        </w:tc>
        <w:tc>
          <w:tcPr>
            <w:tcW w:w="392" w:type="pct"/>
            <w:noWrap/>
            <w:vAlign w:val="center"/>
          </w:tcPr>
          <w:p w14:paraId="04B0B66E">
            <w:pPr>
              <w:jc w:val="center"/>
              <w:rPr>
                <w:rFonts w:ascii="Times New Roman" w:hAnsi="Times New Roman" w:eastAsia="宋体" w:cs="Times New Roman"/>
                <w:sz w:val="24"/>
              </w:rPr>
            </w:pPr>
            <w:r>
              <w:rPr>
                <w:rFonts w:ascii="Times New Roman" w:hAnsi="Times New Roman" w:eastAsia="宋体" w:cs="Times New Roman"/>
              </w:rPr>
              <w:t>157</w:t>
            </w:r>
          </w:p>
        </w:tc>
        <w:tc>
          <w:tcPr>
            <w:tcW w:w="374" w:type="pct"/>
            <w:noWrap/>
            <w:vAlign w:val="center"/>
          </w:tcPr>
          <w:p w14:paraId="116BFB53">
            <w:pPr>
              <w:jc w:val="center"/>
              <w:rPr>
                <w:rFonts w:ascii="Times New Roman" w:hAnsi="Times New Roman" w:eastAsia="宋体" w:cs="Times New Roman"/>
                <w:sz w:val="24"/>
              </w:rPr>
            </w:pPr>
            <w:r>
              <w:rPr>
                <w:rFonts w:ascii="Times New Roman" w:hAnsi="Times New Roman" w:eastAsia="宋体" w:cs="Times New Roman"/>
              </w:rPr>
              <w:t>29</w:t>
            </w:r>
          </w:p>
        </w:tc>
        <w:tc>
          <w:tcPr>
            <w:tcW w:w="375" w:type="pct"/>
            <w:noWrap/>
            <w:vAlign w:val="center"/>
          </w:tcPr>
          <w:p w14:paraId="203A4C0E">
            <w:pPr>
              <w:jc w:val="center"/>
              <w:rPr>
                <w:rFonts w:ascii="Times New Roman" w:hAnsi="Times New Roman" w:eastAsia="宋体" w:cs="Times New Roman"/>
                <w:sz w:val="24"/>
              </w:rPr>
            </w:pPr>
            <w:r>
              <w:rPr>
                <w:rFonts w:ascii="Times New Roman" w:hAnsi="Times New Roman" w:eastAsia="宋体" w:cs="Times New Roman"/>
              </w:rPr>
              <w:t>12</w:t>
            </w:r>
          </w:p>
        </w:tc>
        <w:tc>
          <w:tcPr>
            <w:tcW w:w="374" w:type="pct"/>
            <w:noWrap/>
            <w:vAlign w:val="center"/>
          </w:tcPr>
          <w:p w14:paraId="4AA15082">
            <w:pPr>
              <w:jc w:val="center"/>
              <w:rPr>
                <w:rFonts w:ascii="Times New Roman" w:hAnsi="Times New Roman" w:eastAsia="宋体" w:cs="Times New Roman"/>
                <w:sz w:val="24"/>
              </w:rPr>
            </w:pPr>
            <w:r>
              <w:rPr>
                <w:rFonts w:ascii="Times New Roman" w:hAnsi="Times New Roman" w:eastAsia="宋体" w:cs="Times New Roman"/>
              </w:rPr>
              <w:t>15</w:t>
            </w:r>
          </w:p>
        </w:tc>
        <w:tc>
          <w:tcPr>
            <w:tcW w:w="375" w:type="pct"/>
            <w:noWrap/>
            <w:vAlign w:val="center"/>
          </w:tcPr>
          <w:p w14:paraId="75B7B446">
            <w:pPr>
              <w:jc w:val="center"/>
              <w:rPr>
                <w:rFonts w:ascii="Times New Roman" w:hAnsi="Times New Roman" w:eastAsia="宋体" w:cs="Times New Roman"/>
                <w:sz w:val="24"/>
              </w:rPr>
            </w:pPr>
            <w:r>
              <w:rPr>
                <w:rFonts w:ascii="Times New Roman" w:hAnsi="Times New Roman" w:eastAsia="宋体" w:cs="Times New Roman"/>
              </w:rPr>
              <w:t>6</w:t>
            </w:r>
          </w:p>
        </w:tc>
        <w:tc>
          <w:tcPr>
            <w:tcW w:w="374" w:type="pct"/>
            <w:noWrap/>
            <w:vAlign w:val="center"/>
          </w:tcPr>
          <w:p w14:paraId="3E2A40F6">
            <w:pPr>
              <w:jc w:val="center"/>
              <w:rPr>
                <w:rFonts w:ascii="Times New Roman" w:hAnsi="Times New Roman" w:eastAsia="宋体" w:cs="Times New Roman"/>
                <w:sz w:val="24"/>
              </w:rPr>
            </w:pPr>
            <w:r>
              <w:rPr>
                <w:rFonts w:ascii="Times New Roman" w:hAnsi="Times New Roman" w:eastAsia="宋体" w:cs="Times New Roman"/>
              </w:rPr>
              <w:t>84</w:t>
            </w:r>
          </w:p>
        </w:tc>
        <w:tc>
          <w:tcPr>
            <w:tcW w:w="375" w:type="pct"/>
            <w:noWrap/>
            <w:vAlign w:val="center"/>
          </w:tcPr>
          <w:p w14:paraId="0309C991">
            <w:pPr>
              <w:jc w:val="center"/>
              <w:rPr>
                <w:rFonts w:ascii="Times New Roman" w:hAnsi="Times New Roman" w:eastAsia="宋体" w:cs="Times New Roman"/>
                <w:sz w:val="24"/>
              </w:rPr>
            </w:pPr>
            <w:r>
              <w:rPr>
                <w:rFonts w:ascii="Times New Roman" w:hAnsi="Times New Roman" w:eastAsia="宋体" w:cs="Times New Roman"/>
              </w:rPr>
              <w:t>35</w:t>
            </w:r>
          </w:p>
        </w:tc>
        <w:tc>
          <w:tcPr>
            <w:tcW w:w="374" w:type="pct"/>
            <w:noWrap/>
            <w:vAlign w:val="center"/>
          </w:tcPr>
          <w:p w14:paraId="550072AC">
            <w:pPr>
              <w:jc w:val="center"/>
              <w:rPr>
                <w:rFonts w:ascii="Times New Roman" w:hAnsi="Times New Roman" w:eastAsia="宋体" w:cs="Times New Roman"/>
                <w:sz w:val="24"/>
              </w:rPr>
            </w:pPr>
            <w:r>
              <w:rPr>
                <w:rFonts w:ascii="Times New Roman" w:hAnsi="Times New Roman" w:eastAsia="宋体" w:cs="Times New Roman"/>
              </w:rPr>
              <w:t>512</w:t>
            </w:r>
          </w:p>
        </w:tc>
        <w:tc>
          <w:tcPr>
            <w:tcW w:w="375" w:type="pct"/>
            <w:noWrap/>
            <w:vAlign w:val="center"/>
          </w:tcPr>
          <w:p w14:paraId="273334F5">
            <w:pPr>
              <w:jc w:val="center"/>
              <w:rPr>
                <w:rFonts w:ascii="Times New Roman" w:hAnsi="Times New Roman" w:eastAsia="宋体" w:cs="Times New Roman"/>
                <w:sz w:val="24"/>
              </w:rPr>
            </w:pPr>
            <w:r>
              <w:rPr>
                <w:rFonts w:ascii="Times New Roman" w:hAnsi="Times New Roman" w:eastAsia="宋体" w:cs="Times New Roman"/>
              </w:rPr>
              <w:t>210</w:t>
            </w:r>
          </w:p>
        </w:tc>
      </w:tr>
    </w:tbl>
    <w:p w14:paraId="08C052C8">
      <w:pPr>
        <w:rPr>
          <w:rFonts w:ascii="Times New Roman" w:hAnsi="Times New Roman" w:eastAsia="宋体" w:cs="Times New Roman"/>
        </w:rPr>
      </w:pPr>
    </w:p>
    <w:p w14:paraId="3AA036ED">
      <w:pPr>
        <w:spacing w:line="300"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2. 拟建公路各类型车平均车速</w:t>
      </w:r>
    </w:p>
    <w:p w14:paraId="39EABF27">
      <w:pPr>
        <w:spacing w:line="300" w:lineRule="auto"/>
        <w:ind w:firstLine="480" w:firstLineChars="200"/>
        <w:rPr>
          <w:rFonts w:ascii="Times New Roman" w:hAnsi="Times New Roman" w:eastAsia="宋体" w:cs="Times New Roman"/>
          <w:b/>
          <w:bCs/>
          <w:sz w:val="24"/>
        </w:rPr>
      </w:pPr>
      <w:r>
        <w:rPr>
          <w:rFonts w:ascii="Times New Roman" w:hAnsi="Times New Roman" w:eastAsia="宋体" w:cs="Times New Roman"/>
          <w:sz w:val="24"/>
        </w:rPr>
        <w:t>拟建公路全线设计标准为一级公路，设计速度为80km/h和60km/h。根据《环境影响评价技术导则 公路建设项目》（HJ1358-2024）平均车速的确定与负荷系数（或饱和度）有关。负荷系数为服务交通量（V）（V取各代表年份的昼间、夜间相对交通量预测值，pcu/(h·ln)或pcu/h，pcu为标准小客车当量数，ln为车道）与实际通行能力（C）的比值，反映了道路的实际负荷情况。</w:t>
      </w:r>
    </w:p>
    <w:p w14:paraId="127E0D5B">
      <w:pPr>
        <w:spacing w:line="300"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(1)</w:t>
      </w:r>
      <w:r>
        <w:rPr>
          <w:rFonts w:ascii="Times New Roman" w:hAnsi="Times New Roman" w:eastAsia="宋体" w:cs="Times New Roman"/>
          <w:sz w:val="24"/>
        </w:rPr>
        <w:t xml:space="preserve"> </w:t>
      </w:r>
      <w:r>
        <w:rPr>
          <w:rFonts w:hint="eastAsia" w:ascii="Times New Roman" w:hAnsi="Times New Roman" w:eastAsia="宋体" w:cs="Times New Roman"/>
          <w:sz w:val="24"/>
        </w:rPr>
        <w:t>服务交通量V的确定</w:t>
      </w:r>
    </w:p>
    <w:p w14:paraId="43DA1EF1">
      <w:pPr>
        <w:spacing w:line="300"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拟建公路服务交通量（V）见表2</w:t>
      </w:r>
      <w:r>
        <w:rPr>
          <w:rFonts w:ascii="Times New Roman" w:hAnsi="Times New Roman" w:eastAsia="宋体" w:cs="Times New Roman"/>
          <w:sz w:val="24"/>
        </w:rPr>
        <w:t>.</w:t>
      </w:r>
      <w:r>
        <w:rPr>
          <w:rFonts w:hint="eastAsia" w:ascii="Times New Roman" w:hAnsi="Times New Roman" w:eastAsia="宋体" w:cs="Times New Roman"/>
          <w:sz w:val="24"/>
        </w:rPr>
        <w:t>5</w:t>
      </w:r>
      <w:r>
        <w:rPr>
          <w:rFonts w:ascii="Times New Roman" w:hAnsi="Times New Roman" w:eastAsia="宋体" w:cs="Times New Roman"/>
          <w:sz w:val="24"/>
        </w:rPr>
        <w:t>-</w:t>
      </w:r>
      <w:r>
        <w:rPr>
          <w:rFonts w:hint="eastAsia" w:ascii="Times New Roman" w:hAnsi="Times New Roman" w:eastAsia="宋体" w:cs="Times New Roman"/>
          <w:sz w:val="24"/>
        </w:rPr>
        <w:t>4。</w:t>
      </w:r>
    </w:p>
    <w:p w14:paraId="5BD252AB">
      <w:pPr>
        <w:widowControl/>
        <w:jc w:val="left"/>
        <w:rPr>
          <w:rFonts w:ascii="Times New Roman" w:hAnsi="Times New Roman" w:eastAsia="宋体" w:cs="Times New Roman"/>
          <w:b/>
          <w:bCs/>
          <w:szCs w:val="21"/>
        </w:rPr>
      </w:pPr>
      <w:r>
        <w:rPr>
          <w:rFonts w:ascii="Times New Roman" w:hAnsi="Times New Roman" w:eastAsia="宋体" w:cs="Times New Roman"/>
          <w:b/>
          <w:bCs/>
          <w:szCs w:val="21"/>
        </w:rPr>
        <w:br w:type="page"/>
      </w:r>
    </w:p>
    <w:p w14:paraId="273E3915">
      <w:pPr>
        <w:spacing w:beforeLines="50"/>
        <w:jc w:val="center"/>
        <w:rPr>
          <w:rFonts w:ascii="Times New Roman" w:hAnsi="Times New Roman" w:eastAsia="宋体" w:cs="Times New Roman"/>
          <w:b/>
          <w:bCs/>
          <w:szCs w:val="21"/>
        </w:rPr>
      </w:pPr>
      <w:r>
        <w:rPr>
          <w:rFonts w:hint="eastAsia" w:ascii="Times New Roman" w:hAnsi="Times New Roman" w:eastAsia="宋体" w:cs="Times New Roman"/>
          <w:b/>
          <w:bCs/>
          <w:szCs w:val="21"/>
        </w:rPr>
        <w:t>表2.5-4</w:t>
      </w:r>
      <w:r>
        <w:rPr>
          <w:rFonts w:ascii="Times New Roman" w:hAnsi="Times New Roman" w:eastAsia="宋体" w:cs="Times New Roman"/>
          <w:b/>
          <w:bCs/>
          <w:szCs w:val="21"/>
        </w:rPr>
        <w:t xml:space="preserve"> </w:t>
      </w:r>
      <w:r>
        <w:rPr>
          <w:rFonts w:hint="eastAsia" w:ascii="Times New Roman" w:hAnsi="Times New Roman" w:eastAsia="宋体" w:cs="Times New Roman"/>
          <w:b/>
          <w:bCs/>
          <w:szCs w:val="21"/>
        </w:rPr>
        <w:t>拟建公路服务交通量</w:t>
      </w:r>
      <w:r>
        <w:rPr>
          <w:rFonts w:ascii="Times New Roman" w:hAnsi="Times New Roman" w:eastAsia="宋体" w:cs="Times New Roman"/>
          <w:b/>
          <w:bCs/>
          <w:szCs w:val="21"/>
        </w:rPr>
        <w:t xml:space="preserve">  </w:t>
      </w:r>
      <w:r>
        <w:rPr>
          <w:rFonts w:hint="eastAsia" w:ascii="Times New Roman" w:hAnsi="Times New Roman" w:eastAsia="宋体" w:cs="Times New Roman"/>
          <w:b/>
          <w:bCs/>
          <w:szCs w:val="21"/>
        </w:rPr>
        <w:t>单位：pcu/(h</w:t>
      </w:r>
      <w:r>
        <w:rPr>
          <w:rFonts w:ascii="Times New Roman" w:hAnsi="Times New Roman" w:eastAsia="宋体" w:cs="Times New Roman"/>
          <w:szCs w:val="21"/>
        </w:rPr>
        <w:t>·</w:t>
      </w:r>
      <w:r>
        <w:rPr>
          <w:rFonts w:hint="eastAsia" w:ascii="Times New Roman" w:hAnsi="Times New Roman" w:eastAsia="宋体" w:cs="Times New Roman"/>
          <w:b/>
          <w:bCs/>
          <w:szCs w:val="21"/>
        </w:rPr>
        <w:t>ln)</w:t>
      </w:r>
    </w:p>
    <w:tbl>
      <w:tblPr>
        <w:tblStyle w:val="2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36"/>
        <w:gridCol w:w="1049"/>
        <w:gridCol w:w="1049"/>
        <w:gridCol w:w="1049"/>
        <w:gridCol w:w="1049"/>
        <w:gridCol w:w="1049"/>
        <w:gridCol w:w="1047"/>
      </w:tblGrid>
      <w:tr w14:paraId="69D61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1" w:type="pct"/>
            <w:vMerge w:val="restart"/>
            <w:tcBorders>
              <w:top w:val="thinThickSmallGap" w:color="auto" w:sz="12" w:space="0"/>
              <w:left w:val="thinThickSmallGap" w:color="auto" w:sz="12" w:space="0"/>
              <w:tl2br w:val="single" w:color="auto" w:sz="4" w:space="0"/>
            </w:tcBorders>
          </w:tcPr>
          <w:p w14:paraId="42878C2A">
            <w:pPr>
              <w:jc w:val="right"/>
              <w:rPr>
                <w:rFonts w:ascii="Times New Roman" w:hAnsi="Times New Roman" w:eastAsia="宋体" w:cs="Times New Roman"/>
                <w:b/>
                <w:bCs/>
                <w:szCs w:val="21"/>
              </w:rPr>
            </w:pPr>
            <w:r>
              <w:rPr>
                <w:rFonts w:ascii="Times New Roman" w:hAnsi="Times New Roman" w:eastAsia="宋体" w:cs="Times New Roman"/>
                <w:b/>
                <w:bCs/>
                <w:szCs w:val="21"/>
              </w:rPr>
              <w:t xml:space="preserve">     特征年</w:t>
            </w:r>
          </w:p>
          <w:p w14:paraId="522C1285">
            <w:pPr>
              <w:rPr>
                <w:rFonts w:ascii="Times New Roman" w:hAnsi="Times New Roman" w:eastAsia="宋体" w:cs="Times New Roman"/>
                <w:b/>
                <w:bCs/>
                <w:szCs w:val="21"/>
              </w:rPr>
            </w:pPr>
            <w:r>
              <w:rPr>
                <w:rFonts w:ascii="Times New Roman" w:hAnsi="Times New Roman" w:eastAsia="宋体" w:cs="Times New Roman"/>
                <w:b/>
                <w:bCs/>
                <w:szCs w:val="21"/>
              </w:rPr>
              <w:t>路段</w:t>
            </w:r>
          </w:p>
        </w:tc>
        <w:tc>
          <w:tcPr>
            <w:tcW w:w="1230" w:type="pct"/>
            <w:gridSpan w:val="2"/>
            <w:tcBorders>
              <w:top w:val="thinThickSmallGap" w:color="auto" w:sz="12" w:space="0"/>
            </w:tcBorders>
            <w:vAlign w:val="center"/>
          </w:tcPr>
          <w:p w14:paraId="3C0A7F63">
            <w:pPr>
              <w:jc w:val="center"/>
              <w:rPr>
                <w:rFonts w:ascii="Times New Roman" w:hAnsi="Times New Roman" w:eastAsia="宋体" w:cs="Times New Roman"/>
                <w:b/>
                <w:bCs/>
                <w:szCs w:val="21"/>
              </w:rPr>
            </w:pPr>
            <w:r>
              <w:rPr>
                <w:rFonts w:ascii="Times New Roman" w:hAnsi="Times New Roman" w:eastAsia="宋体" w:cs="Times New Roman"/>
                <w:b/>
                <w:szCs w:val="21"/>
              </w:rPr>
              <w:t>202</w:t>
            </w:r>
            <w:r>
              <w:rPr>
                <w:rFonts w:hint="eastAsia" w:ascii="Times New Roman" w:hAnsi="Times New Roman" w:eastAsia="宋体" w:cs="Times New Roman"/>
                <w:b/>
                <w:szCs w:val="21"/>
              </w:rPr>
              <w:t>8</w:t>
            </w:r>
            <w:r>
              <w:rPr>
                <w:rFonts w:ascii="Times New Roman" w:hAnsi="Times New Roman" w:eastAsia="宋体" w:cs="Times New Roman"/>
                <w:b/>
                <w:szCs w:val="21"/>
              </w:rPr>
              <w:t>年</w:t>
            </w:r>
          </w:p>
        </w:tc>
        <w:tc>
          <w:tcPr>
            <w:tcW w:w="1230" w:type="pct"/>
            <w:gridSpan w:val="2"/>
            <w:tcBorders>
              <w:top w:val="thinThickSmallGap" w:color="auto" w:sz="12" w:space="0"/>
            </w:tcBorders>
            <w:vAlign w:val="center"/>
          </w:tcPr>
          <w:p w14:paraId="4AC4D74A">
            <w:pPr>
              <w:jc w:val="center"/>
              <w:rPr>
                <w:rFonts w:ascii="Times New Roman" w:hAnsi="Times New Roman" w:eastAsia="宋体" w:cs="Times New Roman"/>
                <w:b/>
                <w:bCs/>
                <w:szCs w:val="21"/>
              </w:rPr>
            </w:pPr>
            <w:r>
              <w:rPr>
                <w:rFonts w:ascii="Times New Roman" w:hAnsi="Times New Roman" w:eastAsia="宋体" w:cs="Times New Roman"/>
                <w:b/>
                <w:szCs w:val="21"/>
              </w:rPr>
              <w:t>203</w:t>
            </w:r>
            <w:r>
              <w:rPr>
                <w:rFonts w:hint="eastAsia" w:ascii="Times New Roman" w:hAnsi="Times New Roman" w:eastAsia="宋体" w:cs="Times New Roman"/>
                <w:b/>
                <w:szCs w:val="21"/>
              </w:rPr>
              <w:t>4</w:t>
            </w:r>
            <w:r>
              <w:rPr>
                <w:rFonts w:ascii="Times New Roman" w:hAnsi="Times New Roman" w:eastAsia="宋体" w:cs="Times New Roman"/>
                <w:b/>
                <w:szCs w:val="21"/>
              </w:rPr>
              <w:t>年</w:t>
            </w:r>
          </w:p>
        </w:tc>
        <w:tc>
          <w:tcPr>
            <w:tcW w:w="1230" w:type="pct"/>
            <w:gridSpan w:val="2"/>
            <w:tcBorders>
              <w:top w:val="thinThickSmallGap" w:color="auto" w:sz="12" w:space="0"/>
              <w:right w:val="thickThinSmallGap" w:color="auto" w:sz="12" w:space="0"/>
            </w:tcBorders>
            <w:vAlign w:val="center"/>
          </w:tcPr>
          <w:p w14:paraId="1C34EEF9">
            <w:pPr>
              <w:jc w:val="center"/>
              <w:rPr>
                <w:rFonts w:ascii="Times New Roman" w:hAnsi="Times New Roman" w:eastAsia="宋体" w:cs="Times New Roman"/>
                <w:b/>
                <w:bCs/>
                <w:szCs w:val="21"/>
              </w:rPr>
            </w:pPr>
            <w:r>
              <w:rPr>
                <w:rFonts w:ascii="Times New Roman" w:hAnsi="Times New Roman" w:eastAsia="宋体" w:cs="Times New Roman"/>
                <w:b/>
                <w:szCs w:val="21"/>
              </w:rPr>
              <w:t>204</w:t>
            </w:r>
            <w:r>
              <w:rPr>
                <w:rFonts w:hint="eastAsia" w:ascii="Times New Roman" w:hAnsi="Times New Roman" w:eastAsia="宋体" w:cs="Times New Roman"/>
                <w:b/>
                <w:szCs w:val="21"/>
              </w:rPr>
              <w:t>2</w:t>
            </w:r>
            <w:r>
              <w:rPr>
                <w:rFonts w:ascii="Times New Roman" w:hAnsi="Times New Roman" w:eastAsia="宋体" w:cs="Times New Roman"/>
                <w:b/>
                <w:szCs w:val="21"/>
              </w:rPr>
              <w:t>年</w:t>
            </w:r>
          </w:p>
        </w:tc>
      </w:tr>
      <w:tr w14:paraId="7A138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1" w:type="pct"/>
            <w:vMerge w:val="continue"/>
            <w:tcBorders>
              <w:left w:val="thinThickSmallGap" w:color="auto" w:sz="12" w:space="0"/>
            </w:tcBorders>
          </w:tcPr>
          <w:p w14:paraId="5F5E132F">
            <w:pPr>
              <w:rPr>
                <w:rFonts w:ascii="Times New Roman" w:hAnsi="Times New Roman" w:eastAsia="宋体" w:cs="Times New Roman"/>
                <w:b/>
                <w:bCs/>
                <w:szCs w:val="21"/>
              </w:rPr>
            </w:pPr>
          </w:p>
        </w:tc>
        <w:tc>
          <w:tcPr>
            <w:tcW w:w="615" w:type="pct"/>
            <w:vAlign w:val="center"/>
          </w:tcPr>
          <w:p w14:paraId="4CE6C8F0">
            <w:pPr>
              <w:jc w:val="center"/>
              <w:rPr>
                <w:rFonts w:ascii="Times New Roman" w:hAnsi="Times New Roman" w:eastAsia="宋体" w:cs="Times New Roman"/>
                <w:b/>
                <w:bCs/>
                <w:szCs w:val="21"/>
              </w:rPr>
            </w:pPr>
            <w:r>
              <w:rPr>
                <w:rFonts w:ascii="Times New Roman" w:hAnsi="Times New Roman" w:eastAsia="宋体" w:cs="Times New Roman"/>
                <w:b/>
                <w:bCs/>
                <w:szCs w:val="21"/>
              </w:rPr>
              <w:t>昼间</w:t>
            </w:r>
          </w:p>
        </w:tc>
        <w:tc>
          <w:tcPr>
            <w:tcW w:w="615" w:type="pct"/>
            <w:vAlign w:val="center"/>
          </w:tcPr>
          <w:p w14:paraId="34BD7455">
            <w:pPr>
              <w:jc w:val="center"/>
              <w:rPr>
                <w:rFonts w:ascii="Times New Roman" w:hAnsi="Times New Roman" w:eastAsia="宋体" w:cs="Times New Roman"/>
                <w:b/>
                <w:bCs/>
                <w:szCs w:val="21"/>
              </w:rPr>
            </w:pPr>
            <w:r>
              <w:rPr>
                <w:rFonts w:ascii="Times New Roman" w:hAnsi="Times New Roman" w:eastAsia="宋体" w:cs="Times New Roman"/>
                <w:b/>
                <w:bCs/>
                <w:szCs w:val="21"/>
              </w:rPr>
              <w:t>夜间</w:t>
            </w:r>
          </w:p>
        </w:tc>
        <w:tc>
          <w:tcPr>
            <w:tcW w:w="615" w:type="pct"/>
            <w:vAlign w:val="center"/>
          </w:tcPr>
          <w:p w14:paraId="5A67C2C4">
            <w:pPr>
              <w:jc w:val="center"/>
              <w:rPr>
                <w:rFonts w:ascii="Times New Roman" w:hAnsi="Times New Roman" w:eastAsia="宋体" w:cs="Times New Roman"/>
                <w:b/>
                <w:bCs/>
                <w:szCs w:val="21"/>
              </w:rPr>
            </w:pPr>
            <w:r>
              <w:rPr>
                <w:rFonts w:ascii="Times New Roman" w:hAnsi="Times New Roman" w:eastAsia="宋体" w:cs="Times New Roman"/>
                <w:b/>
                <w:bCs/>
                <w:szCs w:val="21"/>
              </w:rPr>
              <w:t>昼间</w:t>
            </w:r>
          </w:p>
        </w:tc>
        <w:tc>
          <w:tcPr>
            <w:tcW w:w="615" w:type="pct"/>
            <w:vAlign w:val="center"/>
          </w:tcPr>
          <w:p w14:paraId="21B0E72B">
            <w:pPr>
              <w:jc w:val="center"/>
              <w:rPr>
                <w:rFonts w:ascii="Times New Roman" w:hAnsi="Times New Roman" w:eastAsia="宋体" w:cs="Times New Roman"/>
                <w:b/>
                <w:bCs/>
                <w:szCs w:val="21"/>
              </w:rPr>
            </w:pPr>
            <w:r>
              <w:rPr>
                <w:rFonts w:ascii="Times New Roman" w:hAnsi="Times New Roman" w:eastAsia="宋体" w:cs="Times New Roman"/>
                <w:b/>
                <w:bCs/>
                <w:szCs w:val="21"/>
              </w:rPr>
              <w:t>夜间</w:t>
            </w:r>
          </w:p>
        </w:tc>
        <w:tc>
          <w:tcPr>
            <w:tcW w:w="615" w:type="pct"/>
            <w:vAlign w:val="center"/>
          </w:tcPr>
          <w:p w14:paraId="63CF3910">
            <w:pPr>
              <w:jc w:val="center"/>
              <w:rPr>
                <w:rFonts w:ascii="Times New Roman" w:hAnsi="Times New Roman" w:eastAsia="宋体" w:cs="Times New Roman"/>
                <w:b/>
                <w:bCs/>
                <w:szCs w:val="21"/>
              </w:rPr>
            </w:pPr>
            <w:r>
              <w:rPr>
                <w:rFonts w:ascii="Times New Roman" w:hAnsi="Times New Roman" w:eastAsia="宋体" w:cs="Times New Roman"/>
                <w:b/>
                <w:bCs/>
                <w:szCs w:val="21"/>
              </w:rPr>
              <w:t>昼间</w:t>
            </w:r>
          </w:p>
        </w:tc>
        <w:tc>
          <w:tcPr>
            <w:tcW w:w="615" w:type="pct"/>
            <w:tcBorders>
              <w:right w:val="thickThinSmallGap" w:color="auto" w:sz="12" w:space="0"/>
            </w:tcBorders>
            <w:vAlign w:val="center"/>
          </w:tcPr>
          <w:p w14:paraId="6F1793FE">
            <w:pPr>
              <w:jc w:val="center"/>
              <w:rPr>
                <w:rFonts w:ascii="Times New Roman" w:hAnsi="Times New Roman" w:eastAsia="宋体" w:cs="Times New Roman"/>
                <w:b/>
                <w:bCs/>
                <w:szCs w:val="21"/>
              </w:rPr>
            </w:pPr>
            <w:r>
              <w:rPr>
                <w:rFonts w:ascii="Times New Roman" w:hAnsi="Times New Roman" w:eastAsia="宋体" w:cs="Times New Roman"/>
                <w:b/>
                <w:bCs/>
                <w:szCs w:val="21"/>
              </w:rPr>
              <w:t>夜间</w:t>
            </w:r>
          </w:p>
        </w:tc>
      </w:tr>
      <w:tr w14:paraId="554B2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1" w:type="pct"/>
            <w:tcBorders>
              <w:left w:val="thinThickSmallGap" w:color="auto" w:sz="12" w:space="0"/>
            </w:tcBorders>
            <w:vAlign w:val="center"/>
          </w:tcPr>
          <w:p w14:paraId="3D1DF83F">
            <w:pPr>
              <w:jc w:val="center"/>
              <w:rPr>
                <w:rFonts w:ascii="宋体" w:hAnsi="宋体" w:eastAsia="宋体" w:cs="宋体"/>
                <w:sz w:val="24"/>
              </w:rPr>
            </w:pPr>
            <w:r>
              <w:rPr>
                <w:rFonts w:hint="eastAsia" w:ascii="Times New Roman" w:hAnsi="Times New Roman" w:eastAsia="宋体" w:cs="Times New Roman"/>
              </w:rPr>
              <w:t>起点～胜利路</w:t>
            </w:r>
          </w:p>
        </w:tc>
        <w:tc>
          <w:tcPr>
            <w:tcW w:w="615" w:type="pct"/>
            <w:vAlign w:val="center"/>
          </w:tcPr>
          <w:p w14:paraId="66515D66">
            <w:pPr>
              <w:jc w:val="center"/>
              <w:rPr>
                <w:rFonts w:ascii="Times New Roman" w:hAnsi="Times New Roman" w:eastAsia="宋体" w:cs="Times New Roman"/>
                <w:sz w:val="24"/>
              </w:rPr>
            </w:pPr>
            <w:r>
              <w:rPr>
                <w:rFonts w:ascii="Times New Roman" w:hAnsi="Times New Roman" w:eastAsia="宋体" w:cs="Times New Roman"/>
              </w:rPr>
              <w:t>188</w:t>
            </w:r>
          </w:p>
        </w:tc>
        <w:tc>
          <w:tcPr>
            <w:tcW w:w="615" w:type="pct"/>
            <w:vAlign w:val="center"/>
          </w:tcPr>
          <w:p w14:paraId="1C82CBEC">
            <w:pPr>
              <w:jc w:val="center"/>
              <w:rPr>
                <w:rFonts w:ascii="Times New Roman" w:hAnsi="Times New Roman" w:eastAsia="宋体" w:cs="Times New Roman"/>
                <w:sz w:val="24"/>
              </w:rPr>
            </w:pPr>
            <w:r>
              <w:rPr>
                <w:rFonts w:ascii="Times New Roman" w:hAnsi="Times New Roman" w:eastAsia="宋体" w:cs="Times New Roman"/>
              </w:rPr>
              <w:t>77</w:t>
            </w:r>
          </w:p>
        </w:tc>
        <w:tc>
          <w:tcPr>
            <w:tcW w:w="615" w:type="pct"/>
            <w:vAlign w:val="center"/>
          </w:tcPr>
          <w:p w14:paraId="26E09FF2">
            <w:pPr>
              <w:jc w:val="center"/>
              <w:rPr>
                <w:rFonts w:ascii="Times New Roman" w:hAnsi="Times New Roman" w:eastAsia="宋体" w:cs="Times New Roman"/>
                <w:sz w:val="24"/>
              </w:rPr>
            </w:pPr>
            <w:r>
              <w:rPr>
                <w:rFonts w:ascii="Times New Roman" w:hAnsi="Times New Roman" w:eastAsia="宋体" w:cs="Times New Roman"/>
              </w:rPr>
              <w:t>224</w:t>
            </w:r>
          </w:p>
        </w:tc>
        <w:tc>
          <w:tcPr>
            <w:tcW w:w="615" w:type="pct"/>
            <w:vAlign w:val="center"/>
          </w:tcPr>
          <w:p w14:paraId="3A81CC06">
            <w:pPr>
              <w:jc w:val="center"/>
              <w:rPr>
                <w:rFonts w:ascii="Times New Roman" w:hAnsi="Times New Roman" w:eastAsia="宋体" w:cs="Times New Roman"/>
                <w:sz w:val="24"/>
              </w:rPr>
            </w:pPr>
            <w:r>
              <w:rPr>
                <w:rFonts w:ascii="Times New Roman" w:hAnsi="Times New Roman" w:eastAsia="宋体" w:cs="Times New Roman"/>
              </w:rPr>
              <w:t>92</w:t>
            </w:r>
          </w:p>
        </w:tc>
        <w:tc>
          <w:tcPr>
            <w:tcW w:w="615" w:type="pct"/>
            <w:vAlign w:val="center"/>
          </w:tcPr>
          <w:p w14:paraId="43D8E456">
            <w:pPr>
              <w:jc w:val="center"/>
              <w:rPr>
                <w:rFonts w:ascii="Times New Roman" w:hAnsi="Times New Roman" w:eastAsia="宋体" w:cs="Times New Roman"/>
                <w:sz w:val="24"/>
              </w:rPr>
            </w:pPr>
            <w:r>
              <w:rPr>
                <w:rFonts w:ascii="Times New Roman" w:hAnsi="Times New Roman" w:eastAsia="宋体" w:cs="Times New Roman"/>
              </w:rPr>
              <w:t>263</w:t>
            </w:r>
          </w:p>
        </w:tc>
        <w:tc>
          <w:tcPr>
            <w:tcW w:w="615" w:type="pct"/>
            <w:tcBorders>
              <w:right w:val="thickThinSmallGap" w:color="auto" w:sz="12" w:space="0"/>
            </w:tcBorders>
            <w:vAlign w:val="center"/>
          </w:tcPr>
          <w:p w14:paraId="377399CC">
            <w:pPr>
              <w:jc w:val="center"/>
              <w:rPr>
                <w:rFonts w:ascii="Times New Roman" w:hAnsi="Times New Roman" w:eastAsia="宋体" w:cs="Times New Roman"/>
                <w:sz w:val="24"/>
              </w:rPr>
            </w:pPr>
            <w:r>
              <w:rPr>
                <w:rFonts w:ascii="Times New Roman" w:hAnsi="Times New Roman" w:eastAsia="宋体" w:cs="Times New Roman"/>
              </w:rPr>
              <w:t>108</w:t>
            </w:r>
          </w:p>
        </w:tc>
      </w:tr>
      <w:tr w14:paraId="4257D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1" w:type="pct"/>
            <w:tcBorders>
              <w:left w:val="thinThickSmallGap" w:color="auto" w:sz="12" w:space="0"/>
            </w:tcBorders>
            <w:vAlign w:val="center"/>
          </w:tcPr>
          <w:p w14:paraId="71A58486">
            <w:pPr>
              <w:jc w:val="center"/>
              <w:rPr>
                <w:rFonts w:ascii="宋体" w:hAnsi="宋体" w:eastAsia="宋体" w:cs="宋体"/>
                <w:sz w:val="24"/>
              </w:rPr>
            </w:pPr>
            <w:r>
              <w:rPr>
                <w:rFonts w:hint="eastAsia" w:ascii="Times New Roman" w:hAnsi="Times New Roman" w:eastAsia="宋体" w:cs="Times New Roman"/>
              </w:rPr>
              <w:t>胜利路～S311</w:t>
            </w:r>
          </w:p>
        </w:tc>
        <w:tc>
          <w:tcPr>
            <w:tcW w:w="615" w:type="pct"/>
            <w:vAlign w:val="center"/>
          </w:tcPr>
          <w:p w14:paraId="531ECB2D">
            <w:pPr>
              <w:jc w:val="center"/>
              <w:rPr>
                <w:rFonts w:ascii="Times New Roman" w:hAnsi="Times New Roman" w:eastAsia="宋体" w:cs="Times New Roman"/>
                <w:sz w:val="24"/>
              </w:rPr>
            </w:pPr>
            <w:r>
              <w:rPr>
                <w:rFonts w:ascii="Times New Roman" w:hAnsi="Times New Roman" w:eastAsia="宋体" w:cs="Times New Roman"/>
              </w:rPr>
              <w:t>135</w:t>
            </w:r>
          </w:p>
        </w:tc>
        <w:tc>
          <w:tcPr>
            <w:tcW w:w="615" w:type="pct"/>
            <w:vAlign w:val="center"/>
          </w:tcPr>
          <w:p w14:paraId="0A533337">
            <w:pPr>
              <w:jc w:val="center"/>
              <w:rPr>
                <w:rFonts w:ascii="Times New Roman" w:hAnsi="Times New Roman" w:eastAsia="宋体" w:cs="Times New Roman"/>
                <w:sz w:val="24"/>
              </w:rPr>
            </w:pPr>
            <w:r>
              <w:rPr>
                <w:rFonts w:ascii="Times New Roman" w:hAnsi="Times New Roman" w:eastAsia="宋体" w:cs="Times New Roman"/>
              </w:rPr>
              <w:t>55</w:t>
            </w:r>
          </w:p>
        </w:tc>
        <w:tc>
          <w:tcPr>
            <w:tcW w:w="615" w:type="pct"/>
            <w:vAlign w:val="center"/>
          </w:tcPr>
          <w:p w14:paraId="77FAF1F2">
            <w:pPr>
              <w:jc w:val="center"/>
              <w:rPr>
                <w:rFonts w:ascii="Times New Roman" w:hAnsi="Times New Roman" w:eastAsia="宋体" w:cs="Times New Roman"/>
                <w:sz w:val="24"/>
              </w:rPr>
            </w:pPr>
            <w:r>
              <w:rPr>
                <w:rFonts w:ascii="Times New Roman" w:hAnsi="Times New Roman" w:eastAsia="宋体" w:cs="Times New Roman"/>
              </w:rPr>
              <w:t>162</w:t>
            </w:r>
          </w:p>
        </w:tc>
        <w:tc>
          <w:tcPr>
            <w:tcW w:w="615" w:type="pct"/>
            <w:vAlign w:val="center"/>
          </w:tcPr>
          <w:p w14:paraId="330D4CF4">
            <w:pPr>
              <w:jc w:val="center"/>
              <w:rPr>
                <w:rFonts w:ascii="Times New Roman" w:hAnsi="Times New Roman" w:eastAsia="宋体" w:cs="Times New Roman"/>
                <w:sz w:val="24"/>
              </w:rPr>
            </w:pPr>
            <w:r>
              <w:rPr>
                <w:rFonts w:ascii="Times New Roman" w:hAnsi="Times New Roman" w:eastAsia="宋体" w:cs="Times New Roman"/>
              </w:rPr>
              <w:t>66</w:t>
            </w:r>
          </w:p>
        </w:tc>
        <w:tc>
          <w:tcPr>
            <w:tcW w:w="615" w:type="pct"/>
            <w:vAlign w:val="center"/>
          </w:tcPr>
          <w:p w14:paraId="767100E9">
            <w:pPr>
              <w:jc w:val="center"/>
              <w:rPr>
                <w:rFonts w:ascii="Times New Roman" w:hAnsi="Times New Roman" w:eastAsia="宋体" w:cs="Times New Roman"/>
                <w:sz w:val="24"/>
              </w:rPr>
            </w:pPr>
            <w:r>
              <w:rPr>
                <w:rFonts w:ascii="Times New Roman" w:hAnsi="Times New Roman" w:eastAsia="宋体" w:cs="Times New Roman"/>
              </w:rPr>
              <w:t>190</w:t>
            </w:r>
          </w:p>
        </w:tc>
        <w:tc>
          <w:tcPr>
            <w:tcW w:w="615" w:type="pct"/>
            <w:tcBorders>
              <w:right w:val="thickThinSmallGap" w:color="auto" w:sz="12" w:space="0"/>
            </w:tcBorders>
            <w:vAlign w:val="center"/>
          </w:tcPr>
          <w:p w14:paraId="5E35DC00">
            <w:pPr>
              <w:jc w:val="center"/>
              <w:rPr>
                <w:rFonts w:ascii="Times New Roman" w:hAnsi="Times New Roman" w:eastAsia="宋体" w:cs="Times New Roman"/>
                <w:sz w:val="24"/>
              </w:rPr>
            </w:pPr>
            <w:r>
              <w:rPr>
                <w:rFonts w:ascii="Times New Roman" w:hAnsi="Times New Roman" w:eastAsia="宋体" w:cs="Times New Roman"/>
              </w:rPr>
              <w:t>78</w:t>
            </w:r>
          </w:p>
        </w:tc>
      </w:tr>
      <w:tr w14:paraId="4BD96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1" w:type="pct"/>
            <w:tcBorders>
              <w:left w:val="thinThickSmallGap" w:color="auto" w:sz="12" w:space="0"/>
            </w:tcBorders>
            <w:vAlign w:val="center"/>
          </w:tcPr>
          <w:p w14:paraId="47B80D11">
            <w:pPr>
              <w:jc w:val="center"/>
              <w:rPr>
                <w:rFonts w:ascii="宋体" w:hAnsi="宋体" w:eastAsia="宋体" w:cs="宋体"/>
                <w:sz w:val="24"/>
              </w:rPr>
            </w:pPr>
            <w:r>
              <w:rPr>
                <w:rFonts w:hint="eastAsia" w:ascii="Times New Roman" w:hAnsi="Times New Roman" w:eastAsia="宋体" w:cs="Times New Roman"/>
              </w:rPr>
              <w:t>S311～高速口</w:t>
            </w:r>
          </w:p>
        </w:tc>
        <w:tc>
          <w:tcPr>
            <w:tcW w:w="615" w:type="pct"/>
            <w:vAlign w:val="center"/>
          </w:tcPr>
          <w:p w14:paraId="376FF748">
            <w:pPr>
              <w:jc w:val="center"/>
              <w:rPr>
                <w:rFonts w:ascii="Times New Roman" w:hAnsi="Times New Roman" w:eastAsia="宋体" w:cs="Times New Roman"/>
                <w:sz w:val="24"/>
              </w:rPr>
            </w:pPr>
            <w:r>
              <w:rPr>
                <w:rFonts w:ascii="Times New Roman" w:hAnsi="Times New Roman" w:eastAsia="宋体" w:cs="Times New Roman"/>
              </w:rPr>
              <w:t>128</w:t>
            </w:r>
          </w:p>
        </w:tc>
        <w:tc>
          <w:tcPr>
            <w:tcW w:w="615" w:type="pct"/>
            <w:vAlign w:val="center"/>
          </w:tcPr>
          <w:p w14:paraId="29573DAD">
            <w:pPr>
              <w:jc w:val="center"/>
              <w:rPr>
                <w:rFonts w:ascii="Times New Roman" w:hAnsi="Times New Roman" w:eastAsia="宋体" w:cs="Times New Roman"/>
                <w:sz w:val="24"/>
              </w:rPr>
            </w:pPr>
            <w:r>
              <w:rPr>
                <w:rFonts w:ascii="Times New Roman" w:hAnsi="Times New Roman" w:eastAsia="宋体" w:cs="Times New Roman"/>
              </w:rPr>
              <w:t>52</w:t>
            </w:r>
          </w:p>
        </w:tc>
        <w:tc>
          <w:tcPr>
            <w:tcW w:w="615" w:type="pct"/>
            <w:vAlign w:val="center"/>
          </w:tcPr>
          <w:p w14:paraId="1EBC931B">
            <w:pPr>
              <w:jc w:val="center"/>
              <w:rPr>
                <w:rFonts w:ascii="Times New Roman" w:hAnsi="Times New Roman" w:eastAsia="宋体" w:cs="Times New Roman"/>
                <w:sz w:val="24"/>
              </w:rPr>
            </w:pPr>
            <w:r>
              <w:rPr>
                <w:rFonts w:ascii="Times New Roman" w:hAnsi="Times New Roman" w:eastAsia="宋体" w:cs="Times New Roman"/>
              </w:rPr>
              <w:t>152</w:t>
            </w:r>
          </w:p>
        </w:tc>
        <w:tc>
          <w:tcPr>
            <w:tcW w:w="615" w:type="pct"/>
            <w:vAlign w:val="center"/>
          </w:tcPr>
          <w:p w14:paraId="7F46C36C">
            <w:pPr>
              <w:jc w:val="center"/>
              <w:rPr>
                <w:rFonts w:ascii="Times New Roman" w:hAnsi="Times New Roman" w:eastAsia="宋体" w:cs="Times New Roman"/>
                <w:sz w:val="24"/>
              </w:rPr>
            </w:pPr>
            <w:r>
              <w:rPr>
                <w:rFonts w:ascii="Times New Roman" w:hAnsi="Times New Roman" w:eastAsia="宋体" w:cs="Times New Roman"/>
              </w:rPr>
              <w:t>62</w:t>
            </w:r>
          </w:p>
        </w:tc>
        <w:tc>
          <w:tcPr>
            <w:tcW w:w="615" w:type="pct"/>
            <w:vAlign w:val="center"/>
          </w:tcPr>
          <w:p w14:paraId="617076CA">
            <w:pPr>
              <w:jc w:val="center"/>
              <w:rPr>
                <w:rFonts w:ascii="Times New Roman" w:hAnsi="Times New Roman" w:eastAsia="宋体" w:cs="Times New Roman"/>
                <w:sz w:val="24"/>
              </w:rPr>
            </w:pPr>
            <w:r>
              <w:rPr>
                <w:rFonts w:ascii="Times New Roman" w:hAnsi="Times New Roman" w:eastAsia="宋体" w:cs="Times New Roman"/>
              </w:rPr>
              <w:t>179</w:t>
            </w:r>
          </w:p>
        </w:tc>
        <w:tc>
          <w:tcPr>
            <w:tcW w:w="615" w:type="pct"/>
            <w:tcBorders>
              <w:right w:val="thickThinSmallGap" w:color="auto" w:sz="12" w:space="0"/>
            </w:tcBorders>
            <w:vAlign w:val="center"/>
          </w:tcPr>
          <w:p w14:paraId="5CE3823A">
            <w:pPr>
              <w:jc w:val="center"/>
              <w:rPr>
                <w:rFonts w:ascii="Times New Roman" w:hAnsi="Times New Roman" w:eastAsia="宋体" w:cs="Times New Roman"/>
                <w:sz w:val="24"/>
              </w:rPr>
            </w:pPr>
            <w:r>
              <w:rPr>
                <w:rFonts w:ascii="Times New Roman" w:hAnsi="Times New Roman" w:eastAsia="宋体" w:cs="Times New Roman"/>
              </w:rPr>
              <w:t>73</w:t>
            </w:r>
          </w:p>
        </w:tc>
      </w:tr>
      <w:tr w14:paraId="2690D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1" w:type="pct"/>
            <w:tcBorders>
              <w:left w:val="thinThickSmallGap" w:color="auto" w:sz="12" w:space="0"/>
              <w:bottom w:val="thickThinSmallGap" w:color="auto" w:sz="12" w:space="0"/>
            </w:tcBorders>
            <w:vAlign w:val="center"/>
          </w:tcPr>
          <w:p w14:paraId="4EAE0EAA">
            <w:pPr>
              <w:jc w:val="center"/>
              <w:rPr>
                <w:rFonts w:ascii="宋体" w:hAnsi="宋体" w:eastAsia="宋体" w:cs="宋体"/>
                <w:sz w:val="24"/>
              </w:rPr>
            </w:pPr>
            <w:r>
              <w:rPr>
                <w:rFonts w:hint="eastAsia" w:ascii="Times New Roman" w:hAnsi="Times New Roman" w:eastAsia="宋体" w:cs="Times New Roman"/>
              </w:rPr>
              <w:t>高速口～岳普湖</w:t>
            </w:r>
          </w:p>
        </w:tc>
        <w:tc>
          <w:tcPr>
            <w:tcW w:w="615" w:type="pct"/>
            <w:tcBorders>
              <w:bottom w:val="thickThinSmallGap" w:color="auto" w:sz="12" w:space="0"/>
            </w:tcBorders>
            <w:vAlign w:val="center"/>
          </w:tcPr>
          <w:p w14:paraId="74AD76CE">
            <w:pPr>
              <w:jc w:val="center"/>
              <w:rPr>
                <w:rFonts w:ascii="Times New Roman" w:hAnsi="Times New Roman" w:eastAsia="宋体" w:cs="Times New Roman"/>
                <w:sz w:val="24"/>
              </w:rPr>
            </w:pPr>
            <w:r>
              <w:rPr>
                <w:rFonts w:ascii="Times New Roman" w:hAnsi="Times New Roman" w:eastAsia="宋体" w:cs="Times New Roman"/>
              </w:rPr>
              <w:t>143</w:t>
            </w:r>
          </w:p>
        </w:tc>
        <w:tc>
          <w:tcPr>
            <w:tcW w:w="615" w:type="pct"/>
            <w:tcBorders>
              <w:bottom w:val="thickThinSmallGap" w:color="auto" w:sz="12" w:space="0"/>
            </w:tcBorders>
            <w:vAlign w:val="center"/>
          </w:tcPr>
          <w:p w14:paraId="054F0028">
            <w:pPr>
              <w:jc w:val="center"/>
              <w:rPr>
                <w:rFonts w:ascii="Times New Roman" w:hAnsi="Times New Roman" w:eastAsia="宋体" w:cs="Times New Roman"/>
                <w:sz w:val="24"/>
              </w:rPr>
            </w:pPr>
            <w:r>
              <w:rPr>
                <w:rFonts w:ascii="Times New Roman" w:hAnsi="Times New Roman" w:eastAsia="宋体" w:cs="Times New Roman"/>
              </w:rPr>
              <w:t>59</w:t>
            </w:r>
          </w:p>
        </w:tc>
        <w:tc>
          <w:tcPr>
            <w:tcW w:w="615" w:type="pct"/>
            <w:tcBorders>
              <w:bottom w:val="thickThinSmallGap" w:color="auto" w:sz="12" w:space="0"/>
            </w:tcBorders>
            <w:vAlign w:val="center"/>
          </w:tcPr>
          <w:p w14:paraId="7AEC12EB">
            <w:pPr>
              <w:jc w:val="center"/>
              <w:rPr>
                <w:rFonts w:ascii="Times New Roman" w:hAnsi="Times New Roman" w:eastAsia="宋体" w:cs="Times New Roman"/>
                <w:sz w:val="24"/>
              </w:rPr>
            </w:pPr>
            <w:r>
              <w:rPr>
                <w:rFonts w:ascii="Times New Roman" w:hAnsi="Times New Roman" w:eastAsia="宋体" w:cs="Times New Roman"/>
              </w:rPr>
              <w:t>171</w:t>
            </w:r>
          </w:p>
        </w:tc>
        <w:tc>
          <w:tcPr>
            <w:tcW w:w="615" w:type="pct"/>
            <w:tcBorders>
              <w:bottom w:val="thickThinSmallGap" w:color="auto" w:sz="12" w:space="0"/>
            </w:tcBorders>
            <w:vAlign w:val="center"/>
          </w:tcPr>
          <w:p w14:paraId="7CEB3569">
            <w:pPr>
              <w:jc w:val="center"/>
              <w:rPr>
                <w:rFonts w:ascii="Times New Roman" w:hAnsi="Times New Roman" w:eastAsia="宋体" w:cs="Times New Roman"/>
                <w:sz w:val="24"/>
              </w:rPr>
            </w:pPr>
            <w:r>
              <w:rPr>
                <w:rFonts w:ascii="Times New Roman" w:hAnsi="Times New Roman" w:eastAsia="宋体" w:cs="Times New Roman"/>
              </w:rPr>
              <w:t>70</w:t>
            </w:r>
          </w:p>
        </w:tc>
        <w:tc>
          <w:tcPr>
            <w:tcW w:w="615" w:type="pct"/>
            <w:tcBorders>
              <w:bottom w:val="thickThinSmallGap" w:color="auto" w:sz="12" w:space="0"/>
            </w:tcBorders>
            <w:vAlign w:val="center"/>
          </w:tcPr>
          <w:p w14:paraId="7A13667D">
            <w:pPr>
              <w:jc w:val="center"/>
              <w:rPr>
                <w:rFonts w:ascii="Times New Roman" w:hAnsi="Times New Roman" w:eastAsia="宋体" w:cs="Times New Roman"/>
                <w:sz w:val="24"/>
              </w:rPr>
            </w:pPr>
            <w:r>
              <w:rPr>
                <w:rFonts w:ascii="Times New Roman" w:hAnsi="Times New Roman" w:eastAsia="宋体" w:cs="Times New Roman"/>
              </w:rPr>
              <w:t>201</w:t>
            </w:r>
          </w:p>
        </w:tc>
        <w:tc>
          <w:tcPr>
            <w:tcW w:w="615" w:type="pct"/>
            <w:tcBorders>
              <w:bottom w:val="thickThinSmallGap" w:color="auto" w:sz="12" w:space="0"/>
              <w:right w:val="thickThinSmallGap" w:color="auto" w:sz="12" w:space="0"/>
            </w:tcBorders>
            <w:vAlign w:val="center"/>
          </w:tcPr>
          <w:p w14:paraId="6C4E8923">
            <w:pPr>
              <w:jc w:val="center"/>
              <w:rPr>
                <w:rFonts w:ascii="Times New Roman" w:hAnsi="Times New Roman" w:eastAsia="宋体" w:cs="Times New Roman"/>
                <w:sz w:val="24"/>
              </w:rPr>
            </w:pPr>
            <w:r>
              <w:rPr>
                <w:rFonts w:ascii="Times New Roman" w:hAnsi="Times New Roman" w:eastAsia="宋体" w:cs="Times New Roman"/>
              </w:rPr>
              <w:t>82</w:t>
            </w:r>
          </w:p>
        </w:tc>
      </w:tr>
    </w:tbl>
    <w:p w14:paraId="3C8252AD">
      <w:pPr>
        <w:rPr>
          <w:rFonts w:ascii="Times New Roman" w:hAnsi="Times New Roman" w:eastAsia="宋体" w:cs="Times New Roman"/>
        </w:rPr>
      </w:pPr>
    </w:p>
    <w:p w14:paraId="31AE44BB">
      <w:pPr>
        <w:spacing w:line="300"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(2) 实际通行能力C的确定</w:t>
      </w:r>
    </w:p>
    <w:p w14:paraId="35A625F2">
      <w:pPr>
        <w:spacing w:line="300"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拟建公路为一级公路，根据《环境影响评价技术导则</w:t>
      </w:r>
      <w:r>
        <w:rPr>
          <w:rFonts w:ascii="Times New Roman" w:hAnsi="Times New Roman" w:eastAsia="宋体" w:cs="Times New Roman"/>
          <w:sz w:val="24"/>
        </w:rPr>
        <w:t xml:space="preserve"> </w:t>
      </w:r>
      <w:r>
        <w:rPr>
          <w:rFonts w:hint="eastAsia" w:ascii="Times New Roman" w:hAnsi="Times New Roman" w:eastAsia="宋体" w:cs="Times New Roman"/>
          <w:sz w:val="24"/>
        </w:rPr>
        <w:t>公路建设项目》（</w:t>
      </w:r>
      <w:r>
        <w:rPr>
          <w:rFonts w:ascii="Times New Roman" w:hAnsi="Times New Roman" w:eastAsia="宋体" w:cs="Times New Roman"/>
          <w:sz w:val="24"/>
        </w:rPr>
        <w:t>HJ1358-2024</w:t>
      </w:r>
      <w:r>
        <w:rPr>
          <w:rFonts w:hint="eastAsia" w:ascii="Times New Roman" w:hAnsi="Times New Roman" w:eastAsia="宋体" w:cs="Times New Roman"/>
          <w:sz w:val="24"/>
        </w:rPr>
        <w:t>），公路实际通行能力可按下式计算：</w:t>
      </w:r>
    </w:p>
    <w:p w14:paraId="2C0489B6">
      <w:pPr>
        <w:spacing w:line="360" w:lineRule="auto"/>
        <w:jc w:val="center"/>
        <w:rPr>
          <w:rFonts w:ascii="Times New Roman" w:hAnsi="Times New Roman" w:eastAsia="宋体" w:cs="Times New Roman"/>
          <w:szCs w:val="21"/>
        </w:rPr>
      </w:pPr>
      <w:r>
        <w:rPr>
          <w:rFonts w:ascii="Times New Roman" w:hAnsi="Times New Roman" w:eastAsia="宋体" w:cs="Times New Roman"/>
          <w:position w:val="-12"/>
          <w:szCs w:val="21"/>
        </w:rPr>
        <w:object>
          <v:shape id="_x0000_i1025" o:spt="75" type="#_x0000_t75" style="height:18.75pt;width:152.25pt;" o:ole="t" filled="f" o:preferrelative="t" stroked="f" coordsize="21600,21600">
            <v:path/>
            <v:fill on="f" focussize="0,0"/>
            <v:stroke on="f" joinstyle="miter"/>
            <v:imagedata r:id="rId187" o:title=""/>
            <o:lock v:ext="edit" aspectratio="t"/>
            <w10:wrap type="none"/>
            <w10:anchorlock/>
          </v:shape>
          <o:OLEObject Type="Embed" ProgID="Equation.DSMT4" ShapeID="_x0000_i1025" DrawAspect="Content" ObjectID="_1468075725" r:id="rId186">
            <o:LockedField>false</o:LockedField>
          </o:OLEObject>
        </w:object>
      </w:r>
    </w:p>
    <w:p w14:paraId="649A1A92">
      <w:pPr>
        <w:spacing w:line="300" w:lineRule="auto"/>
        <w:rPr>
          <w:rFonts w:ascii="Times New Roman" w:hAnsi="Times New Roman" w:eastAsia="宋体" w:cs="Times New Roman"/>
          <w:bCs/>
          <w:sz w:val="24"/>
        </w:rPr>
      </w:pPr>
      <w:r>
        <w:rPr>
          <w:rFonts w:ascii="Times New Roman" w:hAnsi="Times New Roman" w:eastAsia="宋体" w:cs="Times New Roman"/>
          <w:bCs/>
          <w:sz w:val="24"/>
        </w:rPr>
        <w:t>式中：</w:t>
      </w:r>
      <w:r>
        <w:rPr>
          <w:rFonts w:ascii="Times New Roman" w:hAnsi="Times New Roman" w:eastAsia="宋体" w:cs="Times New Roman"/>
          <w:position w:val="-6"/>
          <w:sz w:val="24"/>
        </w:rPr>
        <w:object>
          <v:shape id="_x0000_i1026" o:spt="75" type="#_x0000_t75" style="height:14.25pt;width:10.5pt;" o:ole="t" filled="f" o:preferrelative="t" stroked="f" coordsize="21600,21600">
            <v:path/>
            <v:fill on="f" focussize="0,0"/>
            <v:stroke on="f" joinstyle="miter"/>
            <v:imagedata r:id="rId189" o:title=""/>
            <o:lock v:ext="edit" aspectratio="t"/>
            <w10:wrap type="none"/>
            <w10:anchorlock/>
          </v:shape>
          <o:OLEObject Type="Embed" ProgID="Equation.3" ShapeID="_x0000_i1026" DrawAspect="Content" ObjectID="_1468075726" r:id="rId188">
            <o:LockedField>false</o:LockedField>
          </o:OLEObject>
        </w:object>
      </w:r>
      <w:r>
        <w:rPr>
          <w:rFonts w:ascii="Times New Roman" w:hAnsi="Times New Roman" w:eastAsia="宋体" w:cs="Times New Roman"/>
          <w:bCs/>
          <w:sz w:val="24"/>
        </w:rPr>
        <w:t>——实际条件下的通行能力</w:t>
      </w:r>
      <w:r>
        <w:rPr>
          <w:rFonts w:hint="eastAsia" w:ascii="Times New Roman" w:hAnsi="Times New Roman" w:eastAsia="宋体" w:cs="Times New Roman"/>
          <w:sz w:val="24"/>
        </w:rPr>
        <w:t>，pcu</w:t>
      </w:r>
      <w:r>
        <w:rPr>
          <w:rFonts w:ascii="Times New Roman" w:hAnsi="Times New Roman" w:eastAsia="宋体" w:cs="Times New Roman"/>
          <w:sz w:val="24"/>
        </w:rPr>
        <w:t>/h</w:t>
      </w:r>
      <w:r>
        <w:rPr>
          <w:rFonts w:ascii="Times New Roman" w:hAnsi="Times New Roman" w:eastAsia="宋体" w:cs="Times New Roman"/>
          <w:bCs/>
          <w:sz w:val="24"/>
        </w:rPr>
        <w:t>；</w:t>
      </w:r>
    </w:p>
    <w:p w14:paraId="6C415C83">
      <w:pPr>
        <w:snapToGrid w:val="0"/>
        <w:spacing w:line="300" w:lineRule="auto"/>
        <w:ind w:firstLine="720" w:firstLineChars="300"/>
        <w:rPr>
          <w:rFonts w:ascii="Times New Roman" w:hAnsi="Times New Roman" w:eastAsia="宋体" w:cs="Times New Roman"/>
          <w:sz w:val="24"/>
        </w:rPr>
      </w:pPr>
      <w:r>
        <w:rPr>
          <w:rFonts w:ascii="Times New Roman" w:hAnsi="Times New Roman" w:eastAsia="宋体" w:cs="Times New Roman"/>
          <w:position w:val="-12"/>
          <w:sz w:val="24"/>
        </w:rPr>
        <w:object>
          <v:shape id="_x0000_i1027" o:spt="75" type="#_x0000_t75" style="height:18.75pt;width:15pt;" o:ole="t" filled="f" o:preferrelative="t" stroked="f" coordsize="21600,21600">
            <v:path/>
            <v:fill on="f" focussize="0,0"/>
            <v:stroke on="f" joinstyle="miter"/>
            <v:imagedata r:id="rId191" o:title=""/>
            <o:lock v:ext="edit" aspectratio="t"/>
            <w10:wrap type="none"/>
            <w10:anchorlock/>
          </v:shape>
          <o:OLEObject Type="Embed" ProgID="Equation.3" ShapeID="_x0000_i1027" DrawAspect="Content" ObjectID="_1468075727" r:id="rId190">
            <o:LockedField>false</o:LockedField>
          </o:OLEObject>
        </w:object>
      </w:r>
      <w:r>
        <w:rPr>
          <w:rFonts w:ascii="Times New Roman" w:hAnsi="Times New Roman" w:eastAsia="宋体" w:cs="Times New Roman"/>
          <w:sz w:val="24"/>
        </w:rPr>
        <w:t>——基准通行能力</w:t>
      </w:r>
      <w:r>
        <w:rPr>
          <w:rFonts w:hint="eastAsia" w:ascii="Times New Roman" w:hAnsi="Times New Roman" w:eastAsia="宋体" w:cs="Times New Roman"/>
          <w:sz w:val="24"/>
        </w:rPr>
        <w:t>，pcu</w:t>
      </w:r>
      <w:r>
        <w:rPr>
          <w:rFonts w:ascii="Times New Roman" w:hAnsi="Times New Roman" w:eastAsia="宋体" w:cs="Times New Roman"/>
          <w:sz w:val="24"/>
        </w:rPr>
        <w:t>/h；</w:t>
      </w:r>
    </w:p>
    <w:p w14:paraId="624095E6">
      <w:pPr>
        <w:snapToGrid w:val="0"/>
        <w:spacing w:line="300" w:lineRule="auto"/>
        <w:ind w:firstLine="720" w:firstLineChars="300"/>
        <w:rPr>
          <w:rFonts w:ascii="Times New Roman" w:hAnsi="Times New Roman" w:eastAsia="宋体" w:cs="Times New Roman"/>
          <w:sz w:val="24"/>
        </w:rPr>
      </w:pPr>
      <w:r>
        <w:rPr>
          <w:rFonts w:ascii="Times New Roman" w:hAnsi="Times New Roman" w:eastAsia="宋体" w:cs="Times New Roman"/>
          <w:position w:val="-12"/>
          <w:sz w:val="24"/>
        </w:rPr>
        <w:object>
          <v:shape id="_x0000_i1028" o:spt="75" type="#_x0000_t75" style="height:18.75pt;width:21.75pt;" o:ole="t" filled="f" o:preferrelative="t" stroked="f" coordsize="21600,21600">
            <v:path/>
            <v:fill on="f" focussize="0,0"/>
            <v:stroke on="f" joinstyle="miter"/>
            <v:imagedata r:id="rId193" o:title=""/>
            <o:lock v:ext="edit" aspectratio="t"/>
            <w10:wrap type="none"/>
            <w10:anchorlock/>
          </v:shape>
          <o:OLEObject Type="Embed" ProgID="Equation.3" ShapeID="_x0000_i1028" DrawAspect="Content" ObjectID="_1468075728" r:id="rId192">
            <o:LockedField>false</o:LockedField>
          </o:OLEObject>
        </w:object>
      </w:r>
      <w:r>
        <w:rPr>
          <w:rFonts w:ascii="Times New Roman" w:hAnsi="Times New Roman" w:eastAsia="宋体" w:cs="Times New Roman"/>
          <w:sz w:val="24"/>
        </w:rPr>
        <w:t>——车道宽度对通行能力的修正系数；</w:t>
      </w:r>
    </w:p>
    <w:p w14:paraId="09203410">
      <w:pPr>
        <w:snapToGrid w:val="0"/>
        <w:spacing w:line="300" w:lineRule="auto"/>
        <w:ind w:firstLine="720" w:firstLineChars="300"/>
        <w:rPr>
          <w:rFonts w:ascii="Times New Roman" w:hAnsi="Times New Roman" w:eastAsia="宋体" w:cs="Times New Roman"/>
          <w:sz w:val="24"/>
        </w:rPr>
      </w:pPr>
      <w:r>
        <w:rPr>
          <w:rFonts w:ascii="Times New Roman" w:hAnsi="Times New Roman" w:eastAsia="宋体" w:cs="Times New Roman"/>
          <w:position w:val="-10"/>
          <w:sz w:val="24"/>
        </w:rPr>
        <w:object>
          <v:shape id="_x0000_i1029" o:spt="75" type="#_x0000_t75" style="height:17.25pt;width:21.75pt;" o:ole="t" filled="f" o:preferrelative="t" stroked="f" coordsize="21600,21600">
            <v:path/>
            <v:fill on="f" focussize="0,0"/>
            <v:stroke on="f" joinstyle="miter"/>
            <v:imagedata r:id="rId195" o:title=""/>
            <o:lock v:ext="edit" aspectratio="t"/>
            <w10:wrap type="none"/>
            <w10:anchorlock/>
          </v:shape>
          <o:OLEObject Type="Embed" ProgID="Equation.3" ShapeID="_x0000_i1029" DrawAspect="Content" ObjectID="_1468075729" r:id="rId194">
            <o:LockedField>false</o:LockedField>
          </o:OLEObject>
        </w:object>
      </w:r>
      <w:r>
        <w:rPr>
          <w:rFonts w:ascii="Times New Roman" w:hAnsi="Times New Roman" w:eastAsia="宋体" w:cs="Times New Roman"/>
          <w:sz w:val="24"/>
        </w:rPr>
        <w:t>——方向分布对通行能力的修正系数；</w:t>
      </w:r>
    </w:p>
    <w:p w14:paraId="18FFE183">
      <w:pPr>
        <w:snapToGrid w:val="0"/>
        <w:spacing w:line="300" w:lineRule="auto"/>
        <w:ind w:firstLine="720" w:firstLineChars="300"/>
        <w:rPr>
          <w:rFonts w:ascii="Times New Roman" w:hAnsi="Times New Roman" w:eastAsia="宋体" w:cs="Times New Roman"/>
          <w:sz w:val="24"/>
        </w:rPr>
      </w:pPr>
      <w:r>
        <w:rPr>
          <w:rFonts w:ascii="Times New Roman" w:hAnsi="Times New Roman" w:eastAsia="宋体" w:cs="Times New Roman"/>
          <w:position w:val="-12"/>
          <w:sz w:val="24"/>
        </w:rPr>
        <w:object>
          <v:shape id="_x0000_i1030" o:spt="75" type="#_x0000_t75" style="height:18.75pt;width:24.75pt;" o:ole="t" filled="f" o:preferrelative="t" stroked="f" coordsize="21600,21600">
            <v:path/>
            <v:fill on="f" focussize="0,0"/>
            <v:stroke on="f" joinstyle="miter"/>
            <v:imagedata r:id="rId197" o:title=""/>
            <o:lock v:ext="edit" aspectratio="t"/>
            <w10:wrap type="none"/>
            <w10:anchorlock/>
          </v:shape>
          <o:OLEObject Type="Embed" ProgID="Equation.3" ShapeID="_x0000_i1030" DrawAspect="Content" ObjectID="_1468075730" r:id="rId196">
            <o:LockedField>false</o:LockedField>
          </o:OLEObject>
        </w:object>
      </w:r>
      <w:r>
        <w:rPr>
          <w:rFonts w:ascii="Times New Roman" w:hAnsi="Times New Roman" w:eastAsia="宋体" w:cs="Times New Roman"/>
          <w:sz w:val="24"/>
        </w:rPr>
        <w:t>——横向干扰对通行能力的修正系数；</w:t>
      </w:r>
    </w:p>
    <w:p w14:paraId="428296D2">
      <w:pPr>
        <w:snapToGrid w:val="0"/>
        <w:spacing w:line="300" w:lineRule="auto"/>
        <w:ind w:firstLine="720" w:firstLineChars="300"/>
        <w:rPr>
          <w:rFonts w:ascii="Times New Roman" w:hAnsi="Times New Roman" w:eastAsia="宋体" w:cs="Times New Roman"/>
          <w:sz w:val="24"/>
        </w:rPr>
      </w:pPr>
      <w:r>
        <w:rPr>
          <w:rFonts w:ascii="Times New Roman" w:hAnsi="Times New Roman" w:eastAsia="宋体" w:cs="Times New Roman"/>
          <w:position w:val="-12"/>
          <w:sz w:val="24"/>
        </w:rPr>
        <w:object>
          <v:shape id="_x0000_i1031" o:spt="75" type="#_x0000_t75" style="height:18.75pt;width:20.25pt;" o:ole="t" filled="f" o:preferrelative="t" stroked="f" coordsize="21600,21600">
            <v:path/>
            <v:fill on="f" focussize="0,0"/>
            <v:stroke on="f" joinstyle="miter"/>
            <v:imagedata r:id="rId199" o:title=""/>
            <o:lock v:ext="edit" aspectratio="t"/>
            <w10:wrap type="none"/>
            <w10:anchorlock/>
          </v:shape>
          <o:OLEObject Type="Embed" ProgID="Equation.3" ShapeID="_x0000_i1031" DrawAspect="Content" ObjectID="_1468075731" r:id="rId198">
            <o:LockedField>false</o:LockedField>
          </o:OLEObject>
        </w:object>
      </w:r>
      <w:r>
        <w:rPr>
          <w:rFonts w:ascii="Times New Roman" w:hAnsi="Times New Roman" w:eastAsia="宋体" w:cs="Times New Roman"/>
          <w:sz w:val="24"/>
        </w:rPr>
        <w:t>——交通组成对通行能力的修正系数。</w:t>
      </w:r>
    </w:p>
    <w:p w14:paraId="565F8C14">
      <w:pPr>
        <w:snapToGrid w:val="0"/>
        <w:spacing w:afterLines="50" w:line="300" w:lineRule="auto"/>
        <w:ind w:firstLine="480" w:firstLineChars="200"/>
        <w:rPr>
          <w:rFonts w:ascii="Times New Roman" w:hAnsi="Times New Roman" w:eastAsia="宋体" w:cs="Times New Roman"/>
          <w:sz w:val="24"/>
        </w:rPr>
      </w:pPr>
      <w:r>
        <w:rPr>
          <w:rFonts w:hint="eastAsia" w:ascii="宋体" w:hAnsi="宋体" w:eastAsia="宋体" w:cs="Times New Roman"/>
          <w:sz w:val="24"/>
        </w:rPr>
        <w:t>①</w:t>
      </w:r>
      <w:r>
        <w:rPr>
          <w:rFonts w:hint="eastAsia" w:ascii="Times New Roman" w:hAnsi="Times New Roman" w:eastAsia="宋体" w:cs="Times New Roman"/>
          <w:sz w:val="24"/>
        </w:rPr>
        <w:t xml:space="preserve"> </w:t>
      </w:r>
      <w:r>
        <w:rPr>
          <w:rFonts w:ascii="Times New Roman" w:hAnsi="Times New Roman" w:eastAsia="宋体" w:cs="Times New Roman"/>
          <w:sz w:val="24"/>
        </w:rPr>
        <w:t>基准通行能力</w:t>
      </w:r>
      <w:r>
        <w:rPr>
          <w:rFonts w:ascii="Times New Roman" w:hAnsi="Times New Roman" w:eastAsia="宋体" w:cs="Times New Roman"/>
          <w:position w:val="-10"/>
          <w:sz w:val="24"/>
        </w:rPr>
        <w:object>
          <v:shape id="_x0000_i1032" o:spt="75" type="#_x0000_t75" style="height:15pt;width:14.25pt;" o:ole="t" filled="f" o:preferrelative="t" stroked="f" coordsize="21600,21600">
            <v:path/>
            <v:fill on="f" focussize="0,0"/>
            <v:stroke on="f" joinstyle="miter"/>
            <v:imagedata r:id="rId201" o:title=""/>
            <o:lock v:ext="edit" aspectratio="t"/>
            <w10:wrap type="none"/>
            <w10:anchorlock/>
          </v:shape>
          <o:OLEObject Type="Embed" ProgID="Equation.3" ShapeID="_x0000_i1032" DrawAspect="Content" ObjectID="_1468075732" r:id="rId200">
            <o:LockedField>false</o:LockedField>
          </o:OLEObject>
        </w:object>
      </w:r>
      <w:r>
        <w:rPr>
          <w:rFonts w:ascii="Times New Roman" w:hAnsi="Times New Roman" w:eastAsia="宋体" w:cs="Times New Roman"/>
          <w:sz w:val="24"/>
        </w:rPr>
        <w:t>与设计车速的关系见表</w:t>
      </w:r>
      <w:r>
        <w:rPr>
          <w:rFonts w:ascii="Times New Roman" w:hAnsi="Times New Roman" w:eastAsia="宋体" w:cs="Times New Roman"/>
          <w:bCs/>
          <w:sz w:val="24"/>
        </w:rPr>
        <w:t>2.</w:t>
      </w:r>
      <w:r>
        <w:rPr>
          <w:rFonts w:hint="eastAsia" w:ascii="Times New Roman" w:hAnsi="Times New Roman" w:eastAsia="宋体" w:cs="Times New Roman"/>
          <w:bCs/>
          <w:sz w:val="24"/>
        </w:rPr>
        <w:t>5</w:t>
      </w:r>
      <w:r>
        <w:rPr>
          <w:rFonts w:ascii="Times New Roman" w:hAnsi="Times New Roman" w:eastAsia="宋体" w:cs="Times New Roman"/>
          <w:bCs/>
          <w:sz w:val="24"/>
        </w:rPr>
        <w:t>-</w:t>
      </w:r>
      <w:r>
        <w:rPr>
          <w:rFonts w:hint="eastAsia" w:ascii="Times New Roman" w:hAnsi="Times New Roman" w:eastAsia="宋体" w:cs="Times New Roman"/>
          <w:bCs/>
          <w:sz w:val="24"/>
        </w:rPr>
        <w:t>5</w:t>
      </w:r>
      <w:r>
        <w:rPr>
          <w:rFonts w:ascii="Times New Roman" w:hAnsi="Times New Roman" w:eastAsia="宋体" w:cs="Times New Roman"/>
          <w:sz w:val="24"/>
        </w:rPr>
        <w:t>。</w:t>
      </w:r>
    </w:p>
    <w:p w14:paraId="344C272A">
      <w:pPr>
        <w:widowControl w:val="0"/>
        <w:spacing w:beforeLines="50" w:line="240" w:lineRule="auto"/>
        <w:ind w:firstLine="0" w:firstLineChars="0"/>
        <w:jc w:val="center"/>
        <w:rPr>
          <w:rFonts w:ascii="Times New Roman" w:hAnsi="Times New Roman" w:eastAsia="宋体" w:cs="Times New Roman"/>
          <w:b/>
          <w:bCs/>
          <w:color w:val="auto"/>
          <w:kern w:val="2"/>
          <w:sz w:val="21"/>
          <w:szCs w:val="21"/>
          <w:lang w:val="en-US" w:eastAsia="zh-CN" w:bidi="ar-SA"/>
        </w:rPr>
      </w:pPr>
      <w:r>
        <w:rPr>
          <w:rFonts w:hint="eastAsia" w:ascii="Times New Roman" w:hAnsi="Times New Roman" w:eastAsia="宋体" w:cs="Times New Roman"/>
          <w:b/>
          <w:bCs/>
          <w:color w:val="auto"/>
          <w:kern w:val="2"/>
          <w:sz w:val="21"/>
          <w:szCs w:val="21"/>
          <w:lang w:val="en-US" w:eastAsia="zh-CN" w:bidi="ar-SA"/>
        </w:rPr>
        <w:t>表</w:t>
      </w:r>
      <w:r>
        <w:rPr>
          <w:rFonts w:ascii="Times New Roman" w:hAnsi="Times New Roman" w:eastAsia="宋体" w:cs="Times New Roman"/>
          <w:b/>
          <w:bCs/>
          <w:color w:val="auto"/>
          <w:kern w:val="2"/>
          <w:sz w:val="21"/>
          <w:szCs w:val="21"/>
          <w:lang w:val="en-US" w:eastAsia="zh-CN" w:bidi="ar-SA"/>
        </w:rPr>
        <w:t>2.</w:t>
      </w:r>
      <w:r>
        <w:rPr>
          <w:rFonts w:hint="eastAsia" w:ascii="Times New Roman" w:hAnsi="Times New Roman" w:eastAsia="宋体" w:cs="Times New Roman"/>
          <w:b/>
          <w:bCs/>
          <w:color w:val="auto"/>
          <w:kern w:val="2"/>
          <w:sz w:val="21"/>
          <w:szCs w:val="21"/>
          <w:lang w:val="en-US" w:eastAsia="zh-CN" w:bidi="ar-SA"/>
        </w:rPr>
        <w:t>5</w:t>
      </w:r>
      <w:r>
        <w:rPr>
          <w:rFonts w:ascii="Times New Roman" w:hAnsi="Times New Roman" w:eastAsia="宋体" w:cs="Times New Roman"/>
          <w:b/>
          <w:bCs/>
          <w:color w:val="auto"/>
          <w:kern w:val="2"/>
          <w:sz w:val="21"/>
          <w:szCs w:val="21"/>
          <w:lang w:val="en-US" w:eastAsia="zh-CN" w:bidi="ar-SA"/>
        </w:rPr>
        <w:t>-</w:t>
      </w:r>
      <w:r>
        <w:rPr>
          <w:rFonts w:hint="eastAsia" w:ascii="Times New Roman" w:hAnsi="Times New Roman" w:eastAsia="宋体" w:cs="Times New Roman"/>
          <w:b/>
          <w:bCs/>
          <w:color w:val="auto"/>
          <w:kern w:val="2"/>
          <w:sz w:val="21"/>
          <w:szCs w:val="21"/>
          <w:lang w:val="en-US" w:eastAsia="zh-CN" w:bidi="ar-SA"/>
        </w:rPr>
        <w:t>5  公路基准通行能力</w:t>
      </w:r>
    </w:p>
    <w:tbl>
      <w:tblPr>
        <w:tblStyle w:val="22"/>
        <w:tblW w:w="5000" w:type="pct"/>
        <w:tblInd w:w="0" w:type="dxa"/>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115"/>
        <w:gridCol w:w="3109"/>
        <w:gridCol w:w="3304"/>
      </w:tblGrid>
      <w:tr w14:paraId="783ADEDC">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108" w:type="dxa"/>
            <w:bottom w:w="0" w:type="dxa"/>
            <w:right w:w="108" w:type="dxa"/>
          </w:tblCellMar>
        </w:tblPrEx>
        <w:tc>
          <w:tcPr>
            <w:tcW w:w="1240" w:type="pct"/>
            <w:noWrap/>
          </w:tcPr>
          <w:p w14:paraId="0799A623">
            <w:pPr>
              <w:jc w:val="center"/>
              <w:rPr>
                <w:rFonts w:ascii="Times New Roman" w:hAnsi="Times New Roman" w:eastAsia="宋体" w:cs="Times New Roman"/>
                <w:b/>
                <w:bCs/>
                <w:szCs w:val="21"/>
              </w:rPr>
            </w:pPr>
            <w:r>
              <w:rPr>
                <w:rFonts w:ascii="Times New Roman" w:hAnsi="Times New Roman" w:eastAsia="宋体" w:cs="Times New Roman"/>
                <w:b/>
                <w:bCs/>
                <w:szCs w:val="21"/>
              </w:rPr>
              <w:t>公路类型</w:t>
            </w:r>
          </w:p>
        </w:tc>
        <w:tc>
          <w:tcPr>
            <w:tcW w:w="1823" w:type="pct"/>
            <w:noWrap/>
          </w:tcPr>
          <w:p w14:paraId="3D330448">
            <w:pPr>
              <w:jc w:val="center"/>
              <w:rPr>
                <w:rFonts w:ascii="Times New Roman" w:hAnsi="Times New Roman" w:eastAsia="宋体" w:cs="Times New Roman"/>
                <w:b/>
                <w:bCs/>
                <w:szCs w:val="21"/>
              </w:rPr>
            </w:pPr>
            <w:r>
              <w:rPr>
                <w:rFonts w:ascii="Times New Roman" w:hAnsi="Times New Roman" w:eastAsia="宋体" w:cs="Times New Roman"/>
                <w:b/>
                <w:bCs/>
                <w:szCs w:val="21"/>
              </w:rPr>
              <w:t>设计车速（</w:t>
            </w:r>
            <w:r>
              <w:rPr>
                <w:rFonts w:ascii="Times New Roman" w:hAnsi="Times New Roman" w:eastAsia="宋体" w:cs="Times New Roman"/>
                <w:b/>
                <w:bCs/>
                <w:spacing w:val="4"/>
                <w:szCs w:val="21"/>
              </w:rPr>
              <w:t>km/h</w:t>
            </w:r>
            <w:r>
              <w:rPr>
                <w:rFonts w:ascii="Times New Roman" w:hAnsi="Times New Roman" w:eastAsia="宋体" w:cs="Times New Roman"/>
                <w:b/>
                <w:bCs/>
                <w:szCs w:val="21"/>
              </w:rPr>
              <w:t>）</w:t>
            </w:r>
          </w:p>
        </w:tc>
        <w:tc>
          <w:tcPr>
            <w:tcW w:w="1937" w:type="pct"/>
            <w:noWrap/>
          </w:tcPr>
          <w:p w14:paraId="57F1A753">
            <w:pPr>
              <w:jc w:val="center"/>
              <w:rPr>
                <w:rFonts w:ascii="Times New Roman" w:hAnsi="Times New Roman" w:eastAsia="宋体" w:cs="Times New Roman"/>
                <w:b/>
                <w:bCs/>
                <w:szCs w:val="21"/>
              </w:rPr>
            </w:pPr>
            <w:r>
              <w:rPr>
                <w:rFonts w:ascii="Times New Roman" w:hAnsi="Times New Roman" w:eastAsia="宋体" w:cs="Times New Roman"/>
                <w:b/>
                <w:bCs/>
                <w:szCs w:val="21"/>
              </w:rPr>
              <w:t>基准通行能力</w:t>
            </w:r>
          </w:p>
        </w:tc>
      </w:tr>
      <w:tr w14:paraId="52D37E98">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108" w:type="dxa"/>
            <w:bottom w:w="0" w:type="dxa"/>
            <w:right w:w="108" w:type="dxa"/>
          </w:tblCellMar>
        </w:tblPrEx>
        <w:tc>
          <w:tcPr>
            <w:tcW w:w="1240" w:type="pct"/>
            <w:vMerge w:val="restart"/>
            <w:noWrap/>
            <w:vAlign w:val="center"/>
          </w:tcPr>
          <w:p w14:paraId="0C0F5E41">
            <w:pPr>
              <w:jc w:val="center"/>
              <w:rPr>
                <w:rFonts w:ascii="Times New Roman" w:hAnsi="Times New Roman" w:eastAsia="宋体" w:cs="Times New Roman"/>
                <w:szCs w:val="21"/>
              </w:rPr>
            </w:pPr>
            <w:r>
              <w:rPr>
                <w:rFonts w:ascii="Times New Roman" w:hAnsi="Times New Roman" w:eastAsia="宋体" w:cs="Times New Roman"/>
                <w:szCs w:val="21"/>
              </w:rPr>
              <w:t>一级公路</w:t>
            </w:r>
          </w:p>
        </w:tc>
        <w:tc>
          <w:tcPr>
            <w:tcW w:w="1823" w:type="pct"/>
            <w:noWrap/>
          </w:tcPr>
          <w:p w14:paraId="618CBF09">
            <w:pPr>
              <w:jc w:val="center"/>
              <w:rPr>
                <w:rFonts w:ascii="Times New Roman" w:hAnsi="Times New Roman" w:eastAsia="宋体" w:cs="Times New Roman"/>
                <w:szCs w:val="21"/>
              </w:rPr>
            </w:pPr>
            <w:r>
              <w:rPr>
                <w:rFonts w:ascii="Times New Roman" w:hAnsi="Times New Roman" w:eastAsia="宋体" w:cs="Times New Roman"/>
                <w:szCs w:val="21"/>
              </w:rPr>
              <w:t>100</w:t>
            </w:r>
          </w:p>
        </w:tc>
        <w:tc>
          <w:tcPr>
            <w:tcW w:w="1937" w:type="pct"/>
            <w:noWrap/>
          </w:tcPr>
          <w:p w14:paraId="2BFC8851">
            <w:pPr>
              <w:jc w:val="center"/>
              <w:rPr>
                <w:rFonts w:ascii="Times New Roman" w:hAnsi="Times New Roman" w:eastAsia="宋体" w:cs="Times New Roman"/>
                <w:szCs w:val="21"/>
              </w:rPr>
            </w:pPr>
            <w:r>
              <w:rPr>
                <w:rFonts w:ascii="Times New Roman" w:hAnsi="Times New Roman" w:eastAsia="宋体" w:cs="Times New Roman"/>
                <w:szCs w:val="21"/>
              </w:rPr>
              <w:t>2000</w:t>
            </w:r>
            <w:r>
              <w:rPr>
                <w:rFonts w:hint="eastAsia" w:ascii="Times New Roman" w:hAnsi="Times New Roman" w:eastAsia="宋体" w:cs="Times New Roman"/>
                <w:szCs w:val="21"/>
              </w:rPr>
              <w:t>[p</w:t>
            </w:r>
            <w:r>
              <w:rPr>
                <w:rFonts w:ascii="Times New Roman" w:hAnsi="Times New Roman" w:eastAsia="宋体" w:cs="Times New Roman"/>
                <w:szCs w:val="21"/>
              </w:rPr>
              <w:t>cu/</w:t>
            </w:r>
            <w:r>
              <w:rPr>
                <w:rFonts w:hint="eastAsia" w:ascii="Times New Roman" w:hAnsi="Times New Roman" w:eastAsia="宋体" w:cs="Times New Roman"/>
                <w:szCs w:val="21"/>
              </w:rPr>
              <w:t>(</w:t>
            </w:r>
            <w:r>
              <w:rPr>
                <w:rFonts w:ascii="Times New Roman" w:hAnsi="Times New Roman" w:eastAsia="宋体" w:cs="Times New Roman"/>
                <w:szCs w:val="21"/>
              </w:rPr>
              <w:t>h·</w:t>
            </w:r>
            <w:r>
              <w:rPr>
                <w:rFonts w:hint="eastAsia" w:ascii="Times New Roman" w:hAnsi="Times New Roman" w:eastAsia="宋体" w:cs="Times New Roman"/>
                <w:szCs w:val="21"/>
              </w:rPr>
              <w:t>ln)]</w:t>
            </w:r>
          </w:p>
        </w:tc>
      </w:tr>
      <w:tr w14:paraId="65B1EE71">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108" w:type="dxa"/>
            <w:bottom w:w="0" w:type="dxa"/>
            <w:right w:w="108" w:type="dxa"/>
          </w:tblCellMar>
        </w:tblPrEx>
        <w:tc>
          <w:tcPr>
            <w:tcW w:w="1240" w:type="pct"/>
            <w:vMerge w:val="continue"/>
            <w:noWrap/>
          </w:tcPr>
          <w:p w14:paraId="43D9C580">
            <w:pPr>
              <w:jc w:val="center"/>
              <w:rPr>
                <w:rFonts w:ascii="Times New Roman" w:hAnsi="Times New Roman" w:eastAsia="宋体" w:cs="Times New Roman"/>
                <w:szCs w:val="21"/>
              </w:rPr>
            </w:pPr>
          </w:p>
        </w:tc>
        <w:tc>
          <w:tcPr>
            <w:tcW w:w="1823" w:type="pct"/>
            <w:noWrap/>
          </w:tcPr>
          <w:p w14:paraId="3CB3F3B7">
            <w:pPr>
              <w:jc w:val="center"/>
              <w:rPr>
                <w:rFonts w:ascii="Times New Roman" w:hAnsi="Times New Roman" w:eastAsia="宋体" w:cs="Times New Roman"/>
                <w:szCs w:val="21"/>
              </w:rPr>
            </w:pPr>
            <w:r>
              <w:rPr>
                <w:rFonts w:hint="eastAsia" w:ascii="Times New Roman" w:hAnsi="Times New Roman" w:eastAsia="宋体" w:cs="Times New Roman"/>
                <w:szCs w:val="21"/>
              </w:rPr>
              <w:t>8</w:t>
            </w:r>
            <w:r>
              <w:rPr>
                <w:rFonts w:ascii="Times New Roman" w:hAnsi="Times New Roman" w:eastAsia="宋体" w:cs="Times New Roman"/>
                <w:szCs w:val="21"/>
              </w:rPr>
              <w:t>0</w:t>
            </w:r>
          </w:p>
        </w:tc>
        <w:tc>
          <w:tcPr>
            <w:tcW w:w="1937" w:type="pct"/>
            <w:noWrap/>
          </w:tcPr>
          <w:p w14:paraId="63F6B37B">
            <w:pPr>
              <w:jc w:val="center"/>
              <w:rPr>
                <w:rFonts w:ascii="Times New Roman" w:hAnsi="Times New Roman" w:eastAsia="宋体" w:cs="Times New Roman"/>
                <w:szCs w:val="21"/>
              </w:rPr>
            </w:pPr>
            <w:r>
              <w:rPr>
                <w:rFonts w:hint="eastAsia" w:ascii="Times New Roman" w:hAnsi="Times New Roman" w:eastAsia="宋体" w:cs="Times New Roman"/>
                <w:szCs w:val="21"/>
              </w:rPr>
              <w:t>1</w:t>
            </w:r>
            <w:r>
              <w:rPr>
                <w:rFonts w:ascii="Times New Roman" w:hAnsi="Times New Roman" w:eastAsia="宋体" w:cs="Times New Roman"/>
                <w:szCs w:val="21"/>
              </w:rPr>
              <w:t>900</w:t>
            </w:r>
            <w:r>
              <w:rPr>
                <w:rFonts w:hint="eastAsia" w:ascii="Times New Roman" w:hAnsi="Times New Roman" w:eastAsia="宋体" w:cs="Times New Roman"/>
                <w:szCs w:val="21"/>
              </w:rPr>
              <w:t>[p</w:t>
            </w:r>
            <w:r>
              <w:rPr>
                <w:rFonts w:ascii="Times New Roman" w:hAnsi="Times New Roman" w:eastAsia="宋体" w:cs="Times New Roman"/>
                <w:szCs w:val="21"/>
              </w:rPr>
              <w:t>cu/</w:t>
            </w:r>
            <w:r>
              <w:rPr>
                <w:rFonts w:hint="eastAsia" w:ascii="Times New Roman" w:hAnsi="Times New Roman" w:eastAsia="宋体" w:cs="Times New Roman"/>
                <w:szCs w:val="21"/>
              </w:rPr>
              <w:t>(</w:t>
            </w:r>
            <w:r>
              <w:rPr>
                <w:rFonts w:ascii="Times New Roman" w:hAnsi="Times New Roman" w:eastAsia="宋体" w:cs="Times New Roman"/>
                <w:szCs w:val="21"/>
              </w:rPr>
              <w:t>h·</w:t>
            </w:r>
            <w:r>
              <w:rPr>
                <w:rFonts w:hint="eastAsia" w:ascii="Times New Roman" w:hAnsi="Times New Roman" w:eastAsia="宋体" w:cs="Times New Roman"/>
                <w:szCs w:val="21"/>
              </w:rPr>
              <w:t>ln)]</w:t>
            </w:r>
          </w:p>
        </w:tc>
      </w:tr>
      <w:tr w14:paraId="26BE1DE7">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108" w:type="dxa"/>
            <w:bottom w:w="0" w:type="dxa"/>
            <w:right w:w="108" w:type="dxa"/>
          </w:tblCellMar>
        </w:tblPrEx>
        <w:tc>
          <w:tcPr>
            <w:tcW w:w="1240" w:type="pct"/>
            <w:vMerge w:val="continue"/>
            <w:noWrap/>
          </w:tcPr>
          <w:p w14:paraId="43EED987">
            <w:pPr>
              <w:jc w:val="center"/>
              <w:rPr>
                <w:rFonts w:ascii="Times New Roman" w:hAnsi="Times New Roman" w:eastAsia="宋体" w:cs="Times New Roman"/>
                <w:szCs w:val="21"/>
              </w:rPr>
            </w:pPr>
          </w:p>
        </w:tc>
        <w:tc>
          <w:tcPr>
            <w:tcW w:w="1823" w:type="pct"/>
            <w:noWrap/>
          </w:tcPr>
          <w:p w14:paraId="58D681AA">
            <w:pPr>
              <w:jc w:val="center"/>
              <w:rPr>
                <w:rFonts w:ascii="Times New Roman" w:hAnsi="Times New Roman" w:eastAsia="宋体" w:cs="Times New Roman"/>
                <w:szCs w:val="21"/>
              </w:rPr>
            </w:pPr>
            <w:r>
              <w:rPr>
                <w:rFonts w:ascii="Times New Roman" w:hAnsi="Times New Roman" w:eastAsia="宋体" w:cs="Times New Roman"/>
                <w:szCs w:val="21"/>
              </w:rPr>
              <w:t>60</w:t>
            </w:r>
          </w:p>
        </w:tc>
        <w:tc>
          <w:tcPr>
            <w:tcW w:w="1937" w:type="pct"/>
            <w:noWrap/>
          </w:tcPr>
          <w:p w14:paraId="6F5DE4EC">
            <w:pPr>
              <w:jc w:val="center"/>
              <w:rPr>
                <w:rFonts w:ascii="Times New Roman" w:hAnsi="Times New Roman" w:eastAsia="宋体" w:cs="Times New Roman"/>
                <w:szCs w:val="21"/>
              </w:rPr>
            </w:pPr>
            <w:r>
              <w:rPr>
                <w:rFonts w:ascii="Times New Roman" w:hAnsi="Times New Roman" w:eastAsia="宋体" w:cs="Times New Roman"/>
                <w:szCs w:val="21"/>
              </w:rPr>
              <w:t>1</w:t>
            </w:r>
            <w:r>
              <w:rPr>
                <w:rFonts w:hint="eastAsia" w:ascii="Times New Roman" w:hAnsi="Times New Roman" w:eastAsia="宋体" w:cs="Times New Roman"/>
                <w:szCs w:val="21"/>
              </w:rPr>
              <w:t>8</w:t>
            </w:r>
            <w:r>
              <w:rPr>
                <w:rFonts w:ascii="Times New Roman" w:hAnsi="Times New Roman" w:eastAsia="宋体" w:cs="Times New Roman"/>
                <w:szCs w:val="21"/>
              </w:rPr>
              <w:t>00</w:t>
            </w:r>
            <w:r>
              <w:rPr>
                <w:rFonts w:hint="eastAsia" w:ascii="Times New Roman" w:hAnsi="Times New Roman" w:eastAsia="宋体" w:cs="Times New Roman"/>
                <w:szCs w:val="21"/>
              </w:rPr>
              <w:t>[p</w:t>
            </w:r>
            <w:r>
              <w:rPr>
                <w:rFonts w:ascii="Times New Roman" w:hAnsi="Times New Roman" w:eastAsia="宋体" w:cs="Times New Roman"/>
                <w:szCs w:val="21"/>
              </w:rPr>
              <w:t>cu/</w:t>
            </w:r>
            <w:r>
              <w:rPr>
                <w:rFonts w:hint="eastAsia" w:ascii="Times New Roman" w:hAnsi="Times New Roman" w:eastAsia="宋体" w:cs="Times New Roman"/>
                <w:szCs w:val="21"/>
              </w:rPr>
              <w:t>(</w:t>
            </w:r>
            <w:r>
              <w:rPr>
                <w:rFonts w:ascii="Times New Roman" w:hAnsi="Times New Roman" w:eastAsia="宋体" w:cs="Times New Roman"/>
                <w:szCs w:val="21"/>
              </w:rPr>
              <w:t>h·</w:t>
            </w:r>
            <w:r>
              <w:rPr>
                <w:rFonts w:hint="eastAsia" w:ascii="Times New Roman" w:hAnsi="Times New Roman" w:eastAsia="宋体" w:cs="Times New Roman"/>
                <w:szCs w:val="21"/>
              </w:rPr>
              <w:t>ln)]</w:t>
            </w:r>
          </w:p>
        </w:tc>
      </w:tr>
    </w:tbl>
    <w:p w14:paraId="42ABD9F8">
      <w:pPr>
        <w:snapToGrid w:val="0"/>
        <w:spacing w:beforeLines="50" w:line="300"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由表2</w:t>
      </w:r>
      <w:r>
        <w:rPr>
          <w:rFonts w:ascii="Times New Roman" w:hAnsi="Times New Roman" w:eastAsia="宋体" w:cs="Times New Roman"/>
          <w:sz w:val="24"/>
        </w:rPr>
        <w:t>.</w:t>
      </w:r>
      <w:r>
        <w:rPr>
          <w:rFonts w:hint="eastAsia" w:ascii="Times New Roman" w:hAnsi="Times New Roman" w:eastAsia="宋体" w:cs="Times New Roman"/>
          <w:sz w:val="24"/>
        </w:rPr>
        <w:t>5-5可知，拟建公路为一级公路，设计车速为8</w:t>
      </w:r>
      <w:r>
        <w:rPr>
          <w:rFonts w:ascii="Times New Roman" w:hAnsi="Times New Roman" w:eastAsia="宋体" w:cs="Times New Roman"/>
          <w:sz w:val="24"/>
        </w:rPr>
        <w:t>0</w:t>
      </w:r>
      <w:r>
        <w:rPr>
          <w:rFonts w:hint="eastAsia" w:ascii="Times New Roman" w:hAnsi="Times New Roman" w:eastAsia="宋体" w:cs="Times New Roman"/>
          <w:sz w:val="24"/>
        </w:rPr>
        <w:t>km</w:t>
      </w:r>
      <w:r>
        <w:rPr>
          <w:rFonts w:ascii="Times New Roman" w:hAnsi="Times New Roman" w:eastAsia="宋体" w:cs="Times New Roman"/>
          <w:sz w:val="24"/>
        </w:rPr>
        <w:t>/h和60</w:t>
      </w:r>
      <w:r>
        <w:rPr>
          <w:rFonts w:hint="eastAsia" w:ascii="Times New Roman" w:hAnsi="Times New Roman" w:eastAsia="宋体" w:cs="Times New Roman"/>
          <w:sz w:val="24"/>
        </w:rPr>
        <w:t>km</w:t>
      </w:r>
      <w:r>
        <w:rPr>
          <w:rFonts w:ascii="Times New Roman" w:hAnsi="Times New Roman" w:eastAsia="宋体" w:cs="Times New Roman"/>
          <w:sz w:val="24"/>
        </w:rPr>
        <w:t>/h</w:t>
      </w:r>
      <w:r>
        <w:rPr>
          <w:rFonts w:hint="eastAsia" w:ascii="Times New Roman" w:hAnsi="Times New Roman" w:eastAsia="宋体" w:cs="Times New Roman"/>
          <w:sz w:val="24"/>
        </w:rPr>
        <w:t>，基准通行能力</w:t>
      </w:r>
      <w:r>
        <w:rPr>
          <w:rFonts w:ascii="Times New Roman" w:hAnsi="Times New Roman" w:eastAsia="宋体" w:cs="Times New Roman"/>
          <w:position w:val="-10"/>
          <w:sz w:val="24"/>
        </w:rPr>
        <w:object>
          <v:shape id="_x0000_i1033" o:spt="75" type="#_x0000_t75" style="height:15.75pt;width:14.25pt;" o:ole="t" filled="f" o:preferrelative="t" stroked="f" coordsize="21600,21600">
            <v:path/>
            <v:fill on="f" focussize="0,0"/>
            <v:stroke on="f" joinstyle="miter"/>
            <v:imagedata r:id="rId201" o:title=""/>
            <o:lock v:ext="edit" aspectratio="t"/>
            <w10:wrap type="none"/>
            <w10:anchorlock/>
          </v:shape>
          <o:OLEObject Type="Embed" ProgID="Equation.3" ShapeID="_x0000_i1033" DrawAspect="Content" ObjectID="_1468075733" r:id="rId202">
            <o:LockedField>false</o:LockedField>
          </o:OLEObject>
        </w:object>
      </w:r>
      <w:r>
        <w:rPr>
          <w:rFonts w:hint="eastAsia" w:ascii="Times New Roman" w:hAnsi="Times New Roman" w:eastAsia="宋体" w:cs="Times New Roman"/>
          <w:sz w:val="24"/>
        </w:rPr>
        <w:t>取值为1</w:t>
      </w:r>
      <w:r>
        <w:rPr>
          <w:rFonts w:ascii="Times New Roman" w:hAnsi="Times New Roman" w:eastAsia="宋体" w:cs="Times New Roman"/>
          <w:sz w:val="24"/>
        </w:rPr>
        <w:t>900 [pcu/(h·ln)]和</w:t>
      </w:r>
      <w:r>
        <w:rPr>
          <w:rFonts w:hint="eastAsia" w:ascii="Times New Roman" w:hAnsi="Times New Roman" w:eastAsia="宋体" w:cs="Times New Roman"/>
          <w:sz w:val="24"/>
        </w:rPr>
        <w:t>1</w:t>
      </w:r>
      <w:r>
        <w:rPr>
          <w:rFonts w:ascii="Times New Roman" w:hAnsi="Times New Roman" w:eastAsia="宋体" w:cs="Times New Roman"/>
          <w:sz w:val="24"/>
        </w:rPr>
        <w:t>800 [pcu/(h·ln)]</w:t>
      </w:r>
      <w:r>
        <w:rPr>
          <w:rFonts w:hint="eastAsia" w:ascii="Times New Roman" w:hAnsi="Times New Roman" w:eastAsia="宋体" w:cs="Times New Roman"/>
          <w:sz w:val="24"/>
        </w:rPr>
        <w:t>。</w:t>
      </w:r>
    </w:p>
    <w:p w14:paraId="68E397E4">
      <w:pPr>
        <w:snapToGrid w:val="0"/>
        <w:spacing w:line="300" w:lineRule="auto"/>
        <w:ind w:firstLine="480" w:firstLineChars="200"/>
        <w:rPr>
          <w:rFonts w:ascii="Times New Roman" w:hAnsi="Times New Roman" w:eastAsia="宋体" w:cs="Times New Roman"/>
          <w:sz w:val="24"/>
        </w:rPr>
      </w:pPr>
      <w:r>
        <w:rPr>
          <w:rFonts w:ascii="宋体" w:hAnsi="宋体" w:eastAsia="宋体" w:cs="Times New Roman"/>
          <w:sz w:val="24"/>
        </w:rPr>
        <w:t>②</w:t>
      </w:r>
      <w:r>
        <w:rPr>
          <w:rFonts w:ascii="Times New Roman" w:hAnsi="Times New Roman" w:eastAsia="宋体" w:cs="Times New Roman"/>
          <w:sz w:val="24"/>
        </w:rPr>
        <w:t xml:space="preserve"> </w:t>
      </w:r>
      <w:r>
        <w:rPr>
          <w:rFonts w:ascii="Times New Roman" w:hAnsi="宋体" w:eastAsia="宋体" w:cs="Times New Roman"/>
          <w:sz w:val="24"/>
        </w:rPr>
        <w:t>车道宽度对通行能力的修正系数</w:t>
      </w:r>
      <w:r>
        <w:rPr>
          <w:rFonts w:ascii="Times New Roman" w:hAnsi="Times New Roman" w:eastAsia="宋体" w:cs="Times New Roman"/>
          <w:sz w:val="24"/>
        </w:rPr>
        <w:object>
          <v:shape id="_x0000_i1034" o:spt="75" type="#_x0000_t75" style="height:15.75pt;width:20.25pt;" o:ole="t" filled="f" o:preferrelative="t" stroked="f" coordsize="21600,21600">
            <v:path/>
            <v:fill on="f" focussize="0,0"/>
            <v:stroke on="f" joinstyle="miter"/>
            <v:imagedata r:id="rId204" o:title=""/>
            <o:lock v:ext="edit" aspectratio="t"/>
            <w10:wrap type="none"/>
            <w10:anchorlock/>
          </v:shape>
          <o:OLEObject Type="Embed" ProgID="Equation.3" ShapeID="_x0000_i1034" DrawAspect="Content" ObjectID="_1468075734" r:id="rId203">
            <o:LockedField>false</o:LockedField>
          </o:OLEObject>
        </w:object>
      </w:r>
      <w:r>
        <w:rPr>
          <w:rFonts w:ascii="Times New Roman" w:hAnsi="宋体" w:eastAsia="宋体" w:cs="Times New Roman"/>
          <w:sz w:val="24"/>
        </w:rPr>
        <w:t>的取值见表</w:t>
      </w:r>
      <w:r>
        <w:rPr>
          <w:rFonts w:ascii="Times New Roman" w:hAnsi="Times New Roman" w:eastAsia="宋体" w:cs="Times New Roman"/>
          <w:sz w:val="24"/>
        </w:rPr>
        <w:t>2.5-6</w:t>
      </w:r>
      <w:r>
        <w:rPr>
          <w:rFonts w:ascii="Times New Roman" w:hAnsi="宋体" w:eastAsia="宋体" w:cs="Times New Roman"/>
          <w:sz w:val="24"/>
        </w:rPr>
        <w:t>。</w:t>
      </w:r>
    </w:p>
    <w:p w14:paraId="1BD545DD">
      <w:pPr>
        <w:jc w:val="center"/>
        <w:rPr>
          <w:rFonts w:ascii="Times New Roman" w:hAnsi="Times New Roman" w:eastAsia="宋体" w:cs="Times New Roman"/>
          <w:b/>
          <w:bCs/>
          <w:smallCaps/>
          <w:szCs w:val="20"/>
        </w:rPr>
      </w:pPr>
      <w:r>
        <w:rPr>
          <w:rFonts w:hint="eastAsia" w:ascii="Times New Roman" w:hAnsi="Times New Roman" w:eastAsia="宋体" w:cs="Times New Roman"/>
          <w:b/>
          <w:bCs/>
          <w:smallCaps/>
          <w:szCs w:val="20"/>
        </w:rPr>
        <w:t>表</w:t>
      </w:r>
      <w:r>
        <w:rPr>
          <w:rFonts w:ascii="Times New Roman" w:hAnsi="Times New Roman" w:eastAsia="宋体" w:cs="Times New Roman"/>
          <w:b/>
          <w:bCs/>
          <w:smallCaps/>
          <w:szCs w:val="20"/>
        </w:rPr>
        <w:t>2.</w:t>
      </w:r>
      <w:r>
        <w:rPr>
          <w:rFonts w:hint="eastAsia" w:ascii="Times New Roman" w:hAnsi="Times New Roman" w:eastAsia="宋体" w:cs="Times New Roman"/>
          <w:b/>
          <w:bCs/>
          <w:smallCaps/>
          <w:szCs w:val="20"/>
        </w:rPr>
        <w:t>5</w:t>
      </w:r>
      <w:r>
        <w:rPr>
          <w:rFonts w:ascii="Times New Roman" w:hAnsi="Times New Roman" w:eastAsia="宋体" w:cs="Times New Roman"/>
          <w:b/>
          <w:bCs/>
          <w:smallCaps/>
          <w:szCs w:val="20"/>
        </w:rPr>
        <w:t>-</w:t>
      </w:r>
      <w:r>
        <w:rPr>
          <w:rFonts w:hint="eastAsia" w:ascii="Times New Roman" w:hAnsi="Times New Roman" w:eastAsia="宋体" w:cs="Times New Roman"/>
          <w:b/>
          <w:bCs/>
          <w:smallCaps/>
          <w:szCs w:val="20"/>
        </w:rPr>
        <w:t>6  车道宽度对通行能力的修正系数</w:t>
      </w:r>
      <w:r>
        <w:rPr>
          <w:rFonts w:hint="eastAsia" w:ascii="Times New Roman" w:hAnsi="Times New Roman" w:eastAsia="宋体" w:cs="Times New Roman"/>
          <w:b/>
          <w:bCs/>
          <w:szCs w:val="20"/>
        </w:rPr>
        <w:object>
          <v:shape id="_x0000_i1035" o:spt="75" type="#_x0000_t75" style="height:15.75pt;width:20.25pt;" o:ole="t" filled="f" o:preferrelative="t" stroked="f" coordsize="21600,21600">
            <v:path/>
            <v:fill on="f" focussize="0,0"/>
            <v:stroke on="f" joinstyle="miter"/>
            <v:imagedata r:id="rId204" o:title=""/>
            <o:lock v:ext="edit" aspectratio="t"/>
            <w10:wrap type="none"/>
            <w10:anchorlock/>
          </v:shape>
          <o:OLEObject Type="Embed" ProgID="Equation.3" ShapeID="_x0000_i1035" DrawAspect="Content" ObjectID="_1468075735" r:id="rId205">
            <o:LockedField>false</o:LockedField>
          </o:OLEObject>
        </w:object>
      </w:r>
    </w:p>
    <w:tbl>
      <w:tblPr>
        <w:tblStyle w:val="22"/>
        <w:tblW w:w="5000" w:type="pct"/>
        <w:jc w:val="center"/>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348"/>
        <w:gridCol w:w="4180"/>
      </w:tblGrid>
      <w:tr w14:paraId="1377CF8C">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549" w:type="pct"/>
            <w:noWrap/>
          </w:tcPr>
          <w:p w14:paraId="08AA4A7D">
            <w:pPr>
              <w:jc w:val="center"/>
              <w:rPr>
                <w:rFonts w:ascii="Times New Roman" w:hAnsi="Times New Roman" w:eastAsia="宋体" w:cs="Times New Roman"/>
                <w:b/>
                <w:bCs/>
                <w:szCs w:val="21"/>
              </w:rPr>
            </w:pPr>
            <w:r>
              <w:rPr>
                <w:rFonts w:hint="eastAsia" w:ascii="Times New Roman" w:hAnsi="Times New Roman" w:eastAsia="宋体" w:cs="Times New Roman"/>
                <w:b/>
                <w:bCs/>
                <w:szCs w:val="21"/>
              </w:rPr>
              <w:t>车道</w:t>
            </w:r>
            <w:r>
              <w:rPr>
                <w:rFonts w:ascii="Times New Roman" w:hAnsi="Times New Roman" w:eastAsia="宋体" w:cs="Times New Roman"/>
                <w:b/>
                <w:bCs/>
                <w:szCs w:val="21"/>
              </w:rPr>
              <w:t>宽度（m）</w:t>
            </w:r>
          </w:p>
        </w:tc>
        <w:tc>
          <w:tcPr>
            <w:tcW w:w="2451" w:type="pct"/>
            <w:noWrap/>
          </w:tcPr>
          <w:p w14:paraId="3628FB74">
            <w:pPr>
              <w:jc w:val="center"/>
              <w:rPr>
                <w:rFonts w:ascii="Times New Roman" w:hAnsi="Times New Roman" w:eastAsia="宋体" w:cs="Times New Roman"/>
                <w:b/>
                <w:bCs/>
                <w:szCs w:val="21"/>
              </w:rPr>
            </w:pPr>
            <w:r>
              <w:rPr>
                <w:rFonts w:ascii="Times New Roman" w:hAnsi="Times New Roman" w:eastAsia="宋体" w:cs="Times New Roman"/>
                <w:b/>
                <w:bCs/>
                <w:szCs w:val="21"/>
              </w:rPr>
              <w:t>修正系数</w:t>
            </w:r>
          </w:p>
        </w:tc>
      </w:tr>
      <w:tr w14:paraId="6C37A5FB">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549" w:type="pct"/>
            <w:noWrap/>
          </w:tcPr>
          <w:p w14:paraId="7FC833BE">
            <w:pPr>
              <w:jc w:val="center"/>
              <w:rPr>
                <w:rFonts w:ascii="Times New Roman" w:hAnsi="Times New Roman" w:eastAsia="宋体" w:cs="Times New Roman"/>
                <w:szCs w:val="21"/>
              </w:rPr>
            </w:pPr>
            <w:r>
              <w:rPr>
                <w:rFonts w:ascii="Times New Roman" w:hAnsi="Times New Roman" w:eastAsia="宋体" w:cs="Times New Roman"/>
                <w:szCs w:val="21"/>
              </w:rPr>
              <w:t>3.75</w:t>
            </w:r>
          </w:p>
        </w:tc>
        <w:tc>
          <w:tcPr>
            <w:tcW w:w="2451" w:type="pct"/>
            <w:noWrap/>
          </w:tcPr>
          <w:p w14:paraId="4CE9257D">
            <w:pPr>
              <w:jc w:val="center"/>
              <w:rPr>
                <w:rFonts w:ascii="Times New Roman" w:hAnsi="Times New Roman" w:eastAsia="宋体" w:cs="Times New Roman"/>
                <w:szCs w:val="21"/>
              </w:rPr>
            </w:pPr>
            <w:r>
              <w:rPr>
                <w:rFonts w:ascii="Times New Roman" w:hAnsi="Times New Roman" w:eastAsia="宋体" w:cs="Times New Roman"/>
                <w:szCs w:val="21"/>
              </w:rPr>
              <w:t>1.00</w:t>
            </w:r>
          </w:p>
        </w:tc>
      </w:tr>
      <w:tr w14:paraId="10C36688">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549" w:type="pct"/>
            <w:noWrap/>
          </w:tcPr>
          <w:p w14:paraId="337C807C">
            <w:pPr>
              <w:jc w:val="center"/>
              <w:rPr>
                <w:rFonts w:ascii="Times New Roman" w:hAnsi="Times New Roman" w:eastAsia="宋体" w:cs="Times New Roman"/>
                <w:szCs w:val="21"/>
              </w:rPr>
            </w:pPr>
            <w:r>
              <w:rPr>
                <w:rFonts w:ascii="Times New Roman" w:hAnsi="Times New Roman" w:eastAsia="宋体" w:cs="Times New Roman"/>
                <w:szCs w:val="21"/>
              </w:rPr>
              <w:t>3.5</w:t>
            </w:r>
          </w:p>
        </w:tc>
        <w:tc>
          <w:tcPr>
            <w:tcW w:w="2451" w:type="pct"/>
            <w:noWrap/>
          </w:tcPr>
          <w:p w14:paraId="5AC380A8">
            <w:pPr>
              <w:jc w:val="center"/>
              <w:rPr>
                <w:rFonts w:ascii="Times New Roman" w:hAnsi="Times New Roman" w:eastAsia="宋体" w:cs="Times New Roman"/>
                <w:szCs w:val="21"/>
              </w:rPr>
            </w:pPr>
            <w:r>
              <w:rPr>
                <w:rFonts w:ascii="Times New Roman" w:hAnsi="Times New Roman" w:eastAsia="宋体" w:cs="Times New Roman"/>
                <w:szCs w:val="21"/>
              </w:rPr>
              <w:t>0.96</w:t>
            </w:r>
          </w:p>
        </w:tc>
      </w:tr>
    </w:tbl>
    <w:p w14:paraId="20C228B7">
      <w:pPr>
        <w:rPr>
          <w:rFonts w:ascii="Times New Roman" w:hAnsi="Times New Roman" w:eastAsia="宋体" w:cs="Times New Roman"/>
        </w:rPr>
      </w:pPr>
    </w:p>
    <w:p w14:paraId="5E1AC4FD">
      <w:pPr>
        <w:snapToGrid w:val="0"/>
        <w:spacing w:line="300"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由表2.5-6可知，拟建公路车道宽度为</w:t>
      </w:r>
      <w:r>
        <w:rPr>
          <w:rFonts w:ascii="Times New Roman" w:hAnsi="Times New Roman" w:eastAsia="宋体" w:cs="Times New Roman"/>
          <w:sz w:val="24"/>
        </w:rPr>
        <w:t>3.75</w:t>
      </w:r>
      <w:r>
        <w:rPr>
          <w:rFonts w:hint="eastAsia" w:ascii="Times New Roman" w:hAnsi="Times New Roman" w:eastAsia="宋体" w:cs="Times New Roman"/>
          <w:sz w:val="24"/>
        </w:rPr>
        <w:t>m（设计速度8</w:t>
      </w:r>
      <w:r>
        <w:rPr>
          <w:rFonts w:ascii="Times New Roman" w:hAnsi="Times New Roman" w:eastAsia="宋体" w:cs="Times New Roman"/>
          <w:sz w:val="24"/>
        </w:rPr>
        <w:t>0</w:t>
      </w:r>
      <w:r>
        <w:rPr>
          <w:rFonts w:hint="eastAsia" w:ascii="Times New Roman" w:hAnsi="Times New Roman" w:eastAsia="宋体" w:cs="Times New Roman"/>
          <w:sz w:val="24"/>
        </w:rPr>
        <w:t>km</w:t>
      </w:r>
      <w:r>
        <w:rPr>
          <w:rFonts w:ascii="Times New Roman" w:hAnsi="Times New Roman" w:eastAsia="宋体" w:cs="Times New Roman"/>
          <w:sz w:val="24"/>
        </w:rPr>
        <w:t>/h</w:t>
      </w:r>
      <w:r>
        <w:rPr>
          <w:rFonts w:hint="eastAsia" w:ascii="Times New Roman" w:hAnsi="Times New Roman" w:eastAsia="宋体" w:cs="Times New Roman"/>
          <w:sz w:val="24"/>
        </w:rPr>
        <w:t>h和</w:t>
      </w:r>
      <w:r>
        <w:rPr>
          <w:rFonts w:ascii="Times New Roman" w:hAnsi="Times New Roman" w:eastAsia="宋体" w:cs="Times New Roman"/>
          <w:sz w:val="24"/>
        </w:rPr>
        <w:t>60</w:t>
      </w:r>
      <w:r>
        <w:rPr>
          <w:rFonts w:hint="eastAsia" w:ascii="Times New Roman" w:hAnsi="Times New Roman" w:eastAsia="宋体" w:cs="Times New Roman"/>
          <w:sz w:val="24"/>
        </w:rPr>
        <w:t>km</w:t>
      </w:r>
      <w:r>
        <w:rPr>
          <w:rFonts w:ascii="Times New Roman" w:hAnsi="Times New Roman" w:eastAsia="宋体" w:cs="Times New Roman"/>
          <w:sz w:val="24"/>
        </w:rPr>
        <w:t>/h</w:t>
      </w:r>
      <w:r>
        <w:rPr>
          <w:rFonts w:hint="eastAsia" w:ascii="Times New Roman" w:hAnsi="Times New Roman" w:eastAsia="宋体" w:cs="Times New Roman"/>
          <w:sz w:val="24"/>
        </w:rPr>
        <w:t>），修正系数</w:t>
      </w:r>
      <w:r>
        <w:rPr>
          <w:rFonts w:ascii="Times New Roman" w:hAnsi="Times New Roman" w:eastAsia="宋体" w:cs="Times New Roman"/>
          <w:sz w:val="24"/>
        </w:rPr>
        <w:object>
          <v:shape id="_x0000_i1036" o:spt="75" type="#_x0000_t75" style="height:15.75pt;width:20.25pt;" o:ole="t" filled="f" o:preferrelative="t" stroked="f" coordsize="21600,21600">
            <v:path/>
            <v:fill on="f" focussize="0,0"/>
            <v:stroke on="f" joinstyle="miter"/>
            <v:imagedata r:id="rId204" o:title=""/>
            <o:lock v:ext="edit" aspectratio="t"/>
            <w10:wrap type="none"/>
            <w10:anchorlock/>
          </v:shape>
          <o:OLEObject Type="Embed" ProgID="Equation.3" ShapeID="_x0000_i1036" DrawAspect="Content" ObjectID="_1468075736" r:id="rId206">
            <o:LockedField>false</o:LockedField>
          </o:OLEObject>
        </w:object>
      </w:r>
      <w:r>
        <w:rPr>
          <w:rFonts w:hint="eastAsia" w:ascii="Times New Roman" w:hAnsi="Times New Roman" w:eastAsia="宋体" w:cs="Times New Roman"/>
          <w:sz w:val="24"/>
        </w:rPr>
        <w:t>取</w:t>
      </w:r>
      <w:r>
        <w:rPr>
          <w:rFonts w:ascii="Times New Roman" w:hAnsi="Times New Roman" w:eastAsia="宋体" w:cs="Times New Roman"/>
          <w:sz w:val="24"/>
        </w:rPr>
        <w:t>1.00</w:t>
      </w:r>
      <w:r>
        <w:rPr>
          <w:rFonts w:hint="eastAsia" w:ascii="Times New Roman" w:hAnsi="Times New Roman" w:eastAsia="宋体" w:cs="Times New Roman"/>
          <w:sz w:val="24"/>
        </w:rPr>
        <w:t>。</w:t>
      </w:r>
    </w:p>
    <w:p w14:paraId="13703886">
      <w:pPr>
        <w:snapToGrid w:val="0"/>
        <w:spacing w:line="300" w:lineRule="auto"/>
        <w:ind w:firstLine="480" w:firstLineChars="200"/>
        <w:rPr>
          <w:rFonts w:ascii="Times New Roman" w:hAnsi="Times New Roman" w:eastAsia="宋体" w:cs="Times New Roman"/>
          <w:sz w:val="24"/>
        </w:rPr>
      </w:pPr>
      <w:r>
        <w:rPr>
          <w:rFonts w:hint="eastAsia" w:ascii="宋体" w:hAnsi="宋体" w:eastAsia="宋体" w:cs="Times New Roman"/>
          <w:sz w:val="24"/>
        </w:rPr>
        <w:t>③</w:t>
      </w:r>
      <w:r>
        <w:rPr>
          <w:rFonts w:ascii="Times New Roman" w:hAnsi="Times New Roman" w:eastAsia="宋体" w:cs="Times New Roman"/>
          <w:sz w:val="24"/>
        </w:rPr>
        <w:t xml:space="preserve"> </w:t>
      </w:r>
      <w:r>
        <w:rPr>
          <w:rFonts w:hint="eastAsia" w:ascii="Times New Roman" w:hAnsi="Times New Roman" w:eastAsia="宋体" w:cs="Times New Roman"/>
          <w:sz w:val="24"/>
        </w:rPr>
        <w:t>方向分布对通行能力的修正系数</w:t>
      </w:r>
      <w:r>
        <w:rPr>
          <w:rFonts w:ascii="Times New Roman" w:hAnsi="Times New Roman" w:eastAsia="宋体" w:cs="Times New Roman"/>
          <w:sz w:val="24"/>
        </w:rPr>
        <w:object>
          <v:shape id="_x0000_i1037" o:spt="75" type="#_x0000_t75" style="height:15.75pt;width:21.75pt;" o:ole="t" filled="f" o:preferrelative="t" stroked="f" coordsize="21600,21600">
            <v:path/>
            <v:fill on="f" focussize="0,0"/>
            <v:stroke on="f" joinstyle="miter"/>
            <v:imagedata r:id="rId208" o:title=""/>
            <o:lock v:ext="edit" aspectratio="t"/>
            <w10:wrap type="none"/>
            <w10:anchorlock/>
          </v:shape>
          <o:OLEObject Type="Embed" ProgID="Equation.3" ShapeID="_x0000_i1037" DrawAspect="Content" ObjectID="_1468075737" r:id="rId207">
            <o:LockedField>false</o:LockedField>
          </o:OLEObject>
        </w:object>
      </w:r>
      <w:r>
        <w:rPr>
          <w:rFonts w:ascii="Times New Roman" w:hAnsi="Times New Roman" w:eastAsia="宋体" w:cs="Times New Roman"/>
          <w:sz w:val="24"/>
        </w:rPr>
        <w:t>的取值见表2.</w:t>
      </w:r>
      <w:r>
        <w:rPr>
          <w:rFonts w:hint="eastAsia" w:ascii="Times New Roman" w:hAnsi="Times New Roman" w:eastAsia="宋体" w:cs="Times New Roman"/>
          <w:sz w:val="24"/>
        </w:rPr>
        <w:t>5</w:t>
      </w:r>
      <w:r>
        <w:rPr>
          <w:rFonts w:ascii="Times New Roman" w:hAnsi="Times New Roman" w:eastAsia="宋体" w:cs="Times New Roman"/>
          <w:sz w:val="24"/>
        </w:rPr>
        <w:t>-</w:t>
      </w:r>
      <w:r>
        <w:rPr>
          <w:rFonts w:hint="eastAsia" w:ascii="Times New Roman" w:hAnsi="Times New Roman" w:eastAsia="宋体" w:cs="Times New Roman"/>
          <w:sz w:val="24"/>
        </w:rPr>
        <w:t>7。</w:t>
      </w:r>
    </w:p>
    <w:p w14:paraId="3AD9A459">
      <w:pPr>
        <w:widowControl/>
        <w:jc w:val="left"/>
        <w:rPr>
          <w:rFonts w:ascii="Times New Roman" w:hAnsi="Times New Roman" w:eastAsia="宋体" w:cs="Times New Roman"/>
          <w:b/>
          <w:bCs/>
          <w:smallCaps/>
          <w:szCs w:val="20"/>
        </w:rPr>
      </w:pPr>
      <w:r>
        <w:rPr>
          <w:rFonts w:ascii="Times New Roman" w:hAnsi="Times New Roman" w:eastAsia="宋体" w:cs="Times New Roman"/>
          <w:b/>
          <w:bCs/>
          <w:smallCaps/>
          <w:szCs w:val="20"/>
        </w:rPr>
        <w:br w:type="page"/>
      </w:r>
    </w:p>
    <w:p w14:paraId="00399C5F">
      <w:pPr>
        <w:jc w:val="center"/>
        <w:rPr>
          <w:rFonts w:ascii="Times New Roman" w:hAnsi="Times New Roman" w:eastAsia="宋体" w:cs="Times New Roman"/>
          <w:b/>
          <w:bCs/>
          <w:smallCaps/>
          <w:szCs w:val="20"/>
        </w:rPr>
      </w:pPr>
      <w:r>
        <w:rPr>
          <w:rFonts w:hint="eastAsia" w:ascii="Times New Roman" w:hAnsi="Times New Roman" w:eastAsia="宋体" w:cs="Times New Roman"/>
          <w:b/>
          <w:bCs/>
          <w:smallCaps/>
          <w:szCs w:val="20"/>
        </w:rPr>
        <w:t>表</w:t>
      </w:r>
      <w:r>
        <w:rPr>
          <w:rFonts w:ascii="Times New Roman" w:hAnsi="Times New Roman" w:eastAsia="宋体" w:cs="Times New Roman"/>
          <w:b/>
          <w:bCs/>
          <w:smallCaps/>
          <w:szCs w:val="20"/>
        </w:rPr>
        <w:t>2.</w:t>
      </w:r>
      <w:r>
        <w:rPr>
          <w:rFonts w:hint="eastAsia" w:ascii="Times New Roman" w:hAnsi="Times New Roman" w:eastAsia="宋体" w:cs="Times New Roman"/>
          <w:b/>
          <w:bCs/>
          <w:smallCaps/>
          <w:szCs w:val="20"/>
        </w:rPr>
        <w:t>5</w:t>
      </w:r>
      <w:r>
        <w:rPr>
          <w:rFonts w:ascii="Times New Roman" w:hAnsi="Times New Roman" w:eastAsia="宋体" w:cs="Times New Roman"/>
          <w:b/>
          <w:bCs/>
          <w:smallCaps/>
          <w:szCs w:val="20"/>
        </w:rPr>
        <w:t>-</w:t>
      </w:r>
      <w:r>
        <w:rPr>
          <w:rFonts w:hint="eastAsia" w:ascii="Times New Roman" w:hAnsi="Times New Roman" w:eastAsia="宋体" w:cs="Times New Roman"/>
          <w:b/>
          <w:bCs/>
          <w:smallCaps/>
          <w:szCs w:val="20"/>
        </w:rPr>
        <w:t>7  方向分布对通行能力的修正系数</w:t>
      </w:r>
      <w:r>
        <w:rPr>
          <w:rFonts w:ascii="Times New Roman" w:hAnsi="Times New Roman" w:eastAsia="宋体" w:cs="Times New Roman"/>
          <w:b/>
          <w:bCs/>
          <w:smallCaps/>
          <w:szCs w:val="20"/>
        </w:rPr>
        <w:object>
          <v:shape id="_x0000_i1038" o:spt="75" type="#_x0000_t75" style="height:15.75pt;width:21.75pt;" o:ole="t" filled="f" o:preferrelative="t" stroked="f" coordsize="21600,21600">
            <v:path/>
            <v:fill on="f" focussize="0,0"/>
            <v:stroke on="f" joinstyle="miter"/>
            <v:imagedata r:id="rId208" o:title=""/>
            <o:lock v:ext="edit" aspectratio="t"/>
            <w10:wrap type="none"/>
            <w10:anchorlock/>
          </v:shape>
          <o:OLEObject Type="Embed" ProgID="Equation.3" ShapeID="_x0000_i1038" DrawAspect="Content" ObjectID="_1468075738" r:id="rId209">
            <o:LockedField>false</o:LockedField>
          </o:OLEObject>
        </w:object>
      </w:r>
    </w:p>
    <w:tbl>
      <w:tblPr>
        <w:tblStyle w:val="22"/>
        <w:tblW w:w="4879" w:type="pct"/>
        <w:jc w:val="center"/>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3784"/>
        <w:gridCol w:w="4538"/>
      </w:tblGrid>
      <w:tr w14:paraId="3B4569F3">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273" w:type="pct"/>
            <w:noWrap/>
          </w:tcPr>
          <w:p w14:paraId="64E02C77">
            <w:pPr>
              <w:jc w:val="center"/>
              <w:rPr>
                <w:rFonts w:ascii="Times New Roman" w:hAnsi="Times New Roman" w:eastAsia="宋体" w:cs="Times New Roman"/>
                <w:b/>
                <w:szCs w:val="21"/>
              </w:rPr>
            </w:pPr>
            <w:r>
              <w:rPr>
                <w:rFonts w:ascii="Times New Roman" w:hAnsi="Times New Roman" w:eastAsia="宋体" w:cs="Times New Roman"/>
                <w:b/>
                <w:szCs w:val="21"/>
              </w:rPr>
              <w:t>方向分布</w:t>
            </w:r>
          </w:p>
        </w:tc>
        <w:tc>
          <w:tcPr>
            <w:tcW w:w="2726" w:type="pct"/>
            <w:noWrap/>
          </w:tcPr>
          <w:p w14:paraId="502B7F98">
            <w:pPr>
              <w:jc w:val="center"/>
              <w:rPr>
                <w:rFonts w:ascii="Times New Roman" w:hAnsi="Times New Roman" w:eastAsia="宋体" w:cs="Times New Roman"/>
                <w:b/>
                <w:szCs w:val="21"/>
              </w:rPr>
            </w:pPr>
            <w:r>
              <w:rPr>
                <w:rFonts w:ascii="Times New Roman" w:hAnsi="Times New Roman" w:eastAsia="宋体" w:cs="Times New Roman"/>
                <w:b/>
                <w:szCs w:val="21"/>
              </w:rPr>
              <w:t>修正系数</w:t>
            </w:r>
          </w:p>
        </w:tc>
      </w:tr>
      <w:tr w14:paraId="748E9C02">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273" w:type="pct"/>
            <w:noWrap/>
          </w:tcPr>
          <w:p w14:paraId="4CB92BE4">
            <w:pPr>
              <w:jc w:val="center"/>
              <w:rPr>
                <w:rFonts w:ascii="Times New Roman" w:hAnsi="Times New Roman" w:eastAsia="宋体" w:cs="Times New Roman"/>
                <w:szCs w:val="21"/>
              </w:rPr>
            </w:pPr>
            <w:r>
              <w:rPr>
                <w:rFonts w:ascii="Times New Roman" w:hAnsi="Times New Roman" w:eastAsia="宋体" w:cs="Times New Roman"/>
                <w:szCs w:val="21"/>
              </w:rPr>
              <w:t>50/50</w:t>
            </w:r>
          </w:p>
        </w:tc>
        <w:tc>
          <w:tcPr>
            <w:tcW w:w="2726" w:type="pct"/>
            <w:noWrap/>
          </w:tcPr>
          <w:p w14:paraId="71487398">
            <w:pPr>
              <w:jc w:val="center"/>
              <w:rPr>
                <w:rFonts w:ascii="Times New Roman" w:hAnsi="Times New Roman" w:eastAsia="宋体" w:cs="Times New Roman"/>
                <w:szCs w:val="21"/>
              </w:rPr>
            </w:pPr>
            <w:r>
              <w:rPr>
                <w:rFonts w:ascii="Times New Roman" w:hAnsi="Times New Roman" w:eastAsia="宋体" w:cs="Times New Roman"/>
                <w:szCs w:val="21"/>
              </w:rPr>
              <w:t>1.00</w:t>
            </w:r>
          </w:p>
        </w:tc>
      </w:tr>
      <w:tr w14:paraId="3EC24A54">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273" w:type="pct"/>
            <w:noWrap/>
          </w:tcPr>
          <w:p w14:paraId="3372E2C0">
            <w:pPr>
              <w:jc w:val="center"/>
              <w:rPr>
                <w:rFonts w:ascii="Times New Roman" w:hAnsi="Times New Roman" w:eastAsia="宋体" w:cs="Times New Roman"/>
                <w:szCs w:val="21"/>
              </w:rPr>
            </w:pPr>
            <w:r>
              <w:rPr>
                <w:rFonts w:ascii="Times New Roman" w:hAnsi="Times New Roman" w:eastAsia="宋体" w:cs="Times New Roman"/>
                <w:szCs w:val="21"/>
              </w:rPr>
              <w:t>55/45</w:t>
            </w:r>
          </w:p>
        </w:tc>
        <w:tc>
          <w:tcPr>
            <w:tcW w:w="2726" w:type="pct"/>
            <w:noWrap/>
          </w:tcPr>
          <w:p w14:paraId="0678534D">
            <w:pPr>
              <w:jc w:val="center"/>
              <w:rPr>
                <w:rFonts w:ascii="Times New Roman" w:hAnsi="Times New Roman" w:eastAsia="宋体" w:cs="Times New Roman"/>
                <w:szCs w:val="21"/>
              </w:rPr>
            </w:pPr>
            <w:r>
              <w:rPr>
                <w:rFonts w:ascii="Times New Roman" w:hAnsi="Times New Roman" w:eastAsia="宋体" w:cs="Times New Roman"/>
                <w:szCs w:val="21"/>
              </w:rPr>
              <w:t>0.97</w:t>
            </w:r>
          </w:p>
        </w:tc>
      </w:tr>
      <w:tr w14:paraId="306CAB07">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273" w:type="pct"/>
            <w:noWrap/>
          </w:tcPr>
          <w:p w14:paraId="57CD19E3">
            <w:pPr>
              <w:jc w:val="center"/>
              <w:rPr>
                <w:rFonts w:ascii="Times New Roman" w:hAnsi="Times New Roman" w:eastAsia="宋体" w:cs="Times New Roman"/>
                <w:szCs w:val="21"/>
              </w:rPr>
            </w:pPr>
            <w:r>
              <w:rPr>
                <w:rFonts w:ascii="Times New Roman" w:hAnsi="Times New Roman" w:eastAsia="宋体" w:cs="Times New Roman"/>
                <w:szCs w:val="21"/>
              </w:rPr>
              <w:t>60/40</w:t>
            </w:r>
          </w:p>
        </w:tc>
        <w:tc>
          <w:tcPr>
            <w:tcW w:w="2726" w:type="pct"/>
            <w:noWrap/>
          </w:tcPr>
          <w:p w14:paraId="6B9F603D">
            <w:pPr>
              <w:jc w:val="center"/>
              <w:rPr>
                <w:rFonts w:ascii="Times New Roman" w:hAnsi="Times New Roman" w:eastAsia="宋体" w:cs="Times New Roman"/>
                <w:szCs w:val="21"/>
              </w:rPr>
            </w:pPr>
            <w:r>
              <w:rPr>
                <w:rFonts w:ascii="Times New Roman" w:hAnsi="Times New Roman" w:eastAsia="宋体" w:cs="Times New Roman"/>
                <w:szCs w:val="21"/>
              </w:rPr>
              <w:t>0.94</w:t>
            </w:r>
          </w:p>
        </w:tc>
      </w:tr>
      <w:tr w14:paraId="247E1187">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273" w:type="pct"/>
            <w:noWrap/>
          </w:tcPr>
          <w:p w14:paraId="391074E5">
            <w:pPr>
              <w:jc w:val="center"/>
              <w:rPr>
                <w:rFonts w:ascii="Times New Roman" w:hAnsi="Times New Roman" w:eastAsia="宋体" w:cs="Times New Roman"/>
                <w:szCs w:val="21"/>
              </w:rPr>
            </w:pPr>
            <w:r>
              <w:rPr>
                <w:rFonts w:ascii="Times New Roman" w:hAnsi="Times New Roman" w:eastAsia="宋体" w:cs="Times New Roman"/>
                <w:szCs w:val="21"/>
              </w:rPr>
              <w:t>65/35</w:t>
            </w:r>
          </w:p>
        </w:tc>
        <w:tc>
          <w:tcPr>
            <w:tcW w:w="2726" w:type="pct"/>
            <w:noWrap/>
          </w:tcPr>
          <w:p w14:paraId="605050EB">
            <w:pPr>
              <w:jc w:val="center"/>
              <w:rPr>
                <w:rFonts w:ascii="Times New Roman" w:hAnsi="Times New Roman" w:eastAsia="宋体" w:cs="Times New Roman"/>
                <w:szCs w:val="21"/>
              </w:rPr>
            </w:pPr>
            <w:r>
              <w:rPr>
                <w:rFonts w:ascii="Times New Roman" w:hAnsi="Times New Roman" w:eastAsia="宋体" w:cs="Times New Roman"/>
                <w:szCs w:val="21"/>
              </w:rPr>
              <w:t>0.91</w:t>
            </w:r>
          </w:p>
        </w:tc>
      </w:tr>
      <w:tr w14:paraId="4A90225B">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273" w:type="pct"/>
            <w:noWrap/>
          </w:tcPr>
          <w:p w14:paraId="19EDF051">
            <w:pPr>
              <w:jc w:val="center"/>
              <w:rPr>
                <w:rFonts w:ascii="Times New Roman" w:hAnsi="Times New Roman" w:eastAsia="宋体" w:cs="Times New Roman"/>
                <w:szCs w:val="21"/>
              </w:rPr>
            </w:pPr>
            <w:r>
              <w:rPr>
                <w:rFonts w:ascii="Times New Roman" w:hAnsi="Times New Roman" w:eastAsia="宋体" w:cs="Times New Roman"/>
                <w:szCs w:val="21"/>
              </w:rPr>
              <w:t>70/30</w:t>
            </w:r>
          </w:p>
        </w:tc>
        <w:tc>
          <w:tcPr>
            <w:tcW w:w="2726" w:type="pct"/>
            <w:noWrap/>
          </w:tcPr>
          <w:p w14:paraId="3117123E">
            <w:pPr>
              <w:jc w:val="center"/>
              <w:rPr>
                <w:rFonts w:ascii="Times New Roman" w:hAnsi="Times New Roman" w:eastAsia="宋体" w:cs="Times New Roman"/>
                <w:szCs w:val="21"/>
              </w:rPr>
            </w:pPr>
            <w:r>
              <w:rPr>
                <w:rFonts w:ascii="Times New Roman" w:hAnsi="Times New Roman" w:eastAsia="宋体" w:cs="Times New Roman"/>
                <w:szCs w:val="21"/>
              </w:rPr>
              <w:t>0.88</w:t>
            </w:r>
          </w:p>
        </w:tc>
      </w:tr>
    </w:tbl>
    <w:p w14:paraId="5198FB17">
      <w:pPr>
        <w:rPr>
          <w:rFonts w:ascii="Times New Roman" w:hAnsi="Times New Roman" w:eastAsia="宋体" w:cs="Times New Roman"/>
        </w:rPr>
      </w:pPr>
    </w:p>
    <w:p w14:paraId="4BEE37A2">
      <w:pPr>
        <w:snapToGrid w:val="0"/>
        <w:spacing w:line="300"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由表2.5-7可知，拟建公路交通量</w:t>
      </w:r>
      <w:r>
        <w:rPr>
          <w:rFonts w:ascii="Times New Roman" w:hAnsi="Times New Roman" w:eastAsia="宋体" w:cs="Times New Roman"/>
          <w:sz w:val="24"/>
        </w:rPr>
        <w:t>方向分布</w:t>
      </w:r>
      <w:r>
        <w:rPr>
          <w:rFonts w:hint="eastAsia" w:ascii="Times New Roman" w:hAnsi="Times New Roman" w:eastAsia="宋体" w:cs="Times New Roman"/>
          <w:sz w:val="24"/>
        </w:rPr>
        <w:t>大致为</w:t>
      </w:r>
      <w:r>
        <w:rPr>
          <w:rFonts w:ascii="Times New Roman" w:hAnsi="Times New Roman" w:eastAsia="宋体" w:cs="Times New Roman"/>
          <w:sz w:val="24"/>
        </w:rPr>
        <w:t>50/50</w:t>
      </w:r>
      <w:r>
        <w:rPr>
          <w:rFonts w:hint="eastAsia" w:ascii="Times New Roman" w:hAnsi="Times New Roman" w:eastAsia="宋体" w:cs="Times New Roman"/>
          <w:sz w:val="24"/>
        </w:rPr>
        <w:t>，</w:t>
      </w:r>
      <w:r>
        <w:rPr>
          <w:rFonts w:ascii="Times New Roman" w:hAnsi="Times New Roman" w:eastAsia="宋体" w:cs="Times New Roman"/>
          <w:sz w:val="24"/>
        </w:rPr>
        <w:t>修正系数</w:t>
      </w:r>
      <w:r>
        <w:rPr>
          <w:rFonts w:ascii="Times New Roman" w:hAnsi="Times New Roman" w:eastAsia="宋体" w:cs="Times New Roman"/>
          <w:b/>
          <w:bCs/>
          <w:smallCaps/>
          <w:sz w:val="24"/>
        </w:rPr>
        <w:object>
          <v:shape id="_x0000_i1039" o:spt="75" type="#_x0000_t75" style="height:15.75pt;width:21.75pt;" o:ole="t" filled="f" o:preferrelative="t" stroked="f" coordsize="21600,21600">
            <v:path/>
            <v:fill on="f" focussize="0,0"/>
            <v:stroke on="f" joinstyle="miter"/>
            <v:imagedata r:id="rId208" o:title=""/>
            <o:lock v:ext="edit" aspectratio="t"/>
            <w10:wrap type="none"/>
            <w10:anchorlock/>
          </v:shape>
          <o:OLEObject Type="Embed" ProgID="Equation.3" ShapeID="_x0000_i1039" DrawAspect="Content" ObjectID="_1468075739" r:id="rId210">
            <o:LockedField>false</o:LockedField>
          </o:OLEObject>
        </w:object>
      </w:r>
      <w:r>
        <w:rPr>
          <w:rFonts w:ascii="Times New Roman" w:hAnsi="Times New Roman" w:eastAsia="宋体" w:cs="Times New Roman"/>
          <w:sz w:val="24"/>
        </w:rPr>
        <w:t>为</w:t>
      </w:r>
      <w:r>
        <w:rPr>
          <w:rFonts w:hint="eastAsia" w:ascii="Times New Roman" w:hAnsi="Times New Roman" w:eastAsia="宋体" w:cs="Times New Roman"/>
          <w:sz w:val="24"/>
        </w:rPr>
        <w:t>1</w:t>
      </w:r>
      <w:r>
        <w:rPr>
          <w:rFonts w:ascii="Times New Roman" w:hAnsi="Times New Roman" w:eastAsia="宋体" w:cs="Times New Roman"/>
          <w:sz w:val="24"/>
        </w:rPr>
        <w:t>.00</w:t>
      </w:r>
      <w:r>
        <w:rPr>
          <w:rFonts w:hint="eastAsia" w:ascii="Times New Roman" w:hAnsi="Times New Roman" w:eastAsia="宋体" w:cs="Times New Roman"/>
          <w:sz w:val="24"/>
        </w:rPr>
        <w:t>。</w:t>
      </w:r>
    </w:p>
    <w:p w14:paraId="0D4B869C">
      <w:pPr>
        <w:snapToGrid w:val="0"/>
        <w:spacing w:line="300" w:lineRule="auto"/>
        <w:ind w:firstLine="480" w:firstLineChars="200"/>
        <w:rPr>
          <w:rFonts w:ascii="Times New Roman" w:hAnsi="Times New Roman" w:eastAsia="宋体" w:cs="Times New Roman"/>
          <w:sz w:val="24"/>
        </w:rPr>
      </w:pPr>
      <w:r>
        <w:rPr>
          <w:rFonts w:ascii="Times New Roman" w:hAnsi="宋体" w:eastAsia="宋体" w:cs="Times New Roman"/>
          <w:sz w:val="24"/>
        </w:rPr>
        <w:t>④</w:t>
      </w:r>
      <w:r>
        <w:rPr>
          <w:rFonts w:ascii="Times New Roman" w:hAnsi="Times New Roman" w:eastAsia="宋体" w:cs="Times New Roman"/>
          <w:sz w:val="24"/>
        </w:rPr>
        <w:t xml:space="preserve"> </w:t>
      </w:r>
      <w:r>
        <w:rPr>
          <w:rFonts w:ascii="Times New Roman" w:hAnsi="宋体" w:eastAsia="宋体" w:cs="Times New Roman"/>
          <w:sz w:val="24"/>
        </w:rPr>
        <w:t>横向干扰对通行能力的修正系数</w:t>
      </w:r>
      <w:r>
        <w:rPr>
          <w:rFonts w:ascii="Times New Roman" w:hAnsi="Times New Roman" w:eastAsia="宋体" w:cs="Times New Roman"/>
          <w:position w:val="-10"/>
          <w:sz w:val="24"/>
        </w:rPr>
        <w:object>
          <v:shape id="_x0000_i1040" o:spt="75" type="#_x0000_t75" style="height:15.75pt;width:24.75pt;" o:ole="t" filled="f" o:preferrelative="t" stroked="f" coordsize="21600,21600">
            <v:path/>
            <v:fill on="f" focussize="0,0"/>
            <v:stroke on="f" joinstyle="miter"/>
            <v:imagedata r:id="rId212" o:title=""/>
            <o:lock v:ext="edit" aspectratio="t"/>
            <w10:wrap type="none"/>
            <w10:anchorlock/>
          </v:shape>
          <o:OLEObject Type="Embed" ProgID="Equation.3" ShapeID="_x0000_i1040" DrawAspect="Content" ObjectID="_1468075740" r:id="rId211">
            <o:LockedField>false</o:LockedField>
          </o:OLEObject>
        </w:object>
      </w:r>
      <w:r>
        <w:rPr>
          <w:rFonts w:ascii="Times New Roman" w:hAnsi="宋体" w:eastAsia="宋体" w:cs="Times New Roman"/>
          <w:sz w:val="24"/>
        </w:rPr>
        <w:t>的取值见表</w:t>
      </w:r>
      <w:r>
        <w:rPr>
          <w:rFonts w:ascii="Times New Roman" w:hAnsi="Times New Roman" w:eastAsia="宋体" w:cs="Times New Roman"/>
          <w:sz w:val="24"/>
        </w:rPr>
        <w:t>2.</w:t>
      </w:r>
      <w:r>
        <w:rPr>
          <w:rFonts w:hint="eastAsia" w:ascii="Times New Roman" w:hAnsi="Times New Roman" w:eastAsia="宋体" w:cs="Times New Roman"/>
          <w:sz w:val="24"/>
        </w:rPr>
        <w:t>5</w:t>
      </w:r>
      <w:r>
        <w:rPr>
          <w:rFonts w:ascii="Times New Roman" w:hAnsi="Times New Roman" w:eastAsia="宋体" w:cs="Times New Roman"/>
          <w:sz w:val="24"/>
        </w:rPr>
        <w:t>-8</w:t>
      </w:r>
      <w:r>
        <w:rPr>
          <w:rFonts w:ascii="Times New Roman" w:hAnsi="宋体" w:eastAsia="宋体" w:cs="Times New Roman"/>
          <w:sz w:val="24"/>
        </w:rPr>
        <w:t>。</w:t>
      </w:r>
    </w:p>
    <w:p w14:paraId="7998A086">
      <w:pPr>
        <w:jc w:val="center"/>
        <w:rPr>
          <w:rFonts w:ascii="Times New Roman" w:hAnsi="Times New Roman" w:eastAsia="宋体" w:cs="Times New Roman"/>
          <w:b/>
          <w:bCs/>
          <w:smallCaps/>
          <w:szCs w:val="20"/>
        </w:rPr>
      </w:pPr>
      <w:r>
        <w:rPr>
          <w:rFonts w:ascii="Times New Roman" w:hAnsi="Times New Roman" w:eastAsia="宋体" w:cs="Times New Roman"/>
          <w:b/>
          <w:bCs/>
          <w:smallCaps/>
          <w:szCs w:val="20"/>
        </w:rPr>
        <w:t>表2.</w:t>
      </w:r>
      <w:r>
        <w:rPr>
          <w:rFonts w:hint="eastAsia" w:ascii="Times New Roman" w:hAnsi="Times New Roman" w:eastAsia="宋体" w:cs="Times New Roman"/>
          <w:b/>
          <w:bCs/>
          <w:smallCaps/>
          <w:szCs w:val="20"/>
        </w:rPr>
        <w:t>5</w:t>
      </w:r>
      <w:r>
        <w:rPr>
          <w:rFonts w:ascii="Times New Roman" w:hAnsi="Times New Roman" w:eastAsia="宋体" w:cs="Times New Roman"/>
          <w:b/>
          <w:bCs/>
          <w:smallCaps/>
          <w:szCs w:val="20"/>
        </w:rPr>
        <w:t>-</w:t>
      </w:r>
      <w:r>
        <w:rPr>
          <w:rFonts w:hint="eastAsia" w:ascii="Times New Roman" w:hAnsi="Times New Roman" w:eastAsia="宋体" w:cs="Times New Roman"/>
          <w:b/>
          <w:bCs/>
          <w:smallCaps/>
          <w:szCs w:val="20"/>
        </w:rPr>
        <w:t>8</w:t>
      </w:r>
      <w:r>
        <w:rPr>
          <w:rFonts w:hint="eastAsia" w:ascii="Times New Roman" w:hAnsi="Times New Roman" w:eastAsia="宋体" w:cs="Times New Roman"/>
          <w:b/>
          <w:szCs w:val="20"/>
        </w:rPr>
        <w:t xml:space="preserve">  横向干扰对通行能力的修正系数</w:t>
      </w:r>
      <w:r>
        <w:rPr>
          <w:rFonts w:ascii="Times New Roman" w:hAnsi="Times New Roman" w:eastAsia="宋体" w:cs="Times New Roman"/>
          <w:b/>
          <w:bCs/>
          <w:smallCaps/>
          <w:szCs w:val="20"/>
        </w:rPr>
        <w:object>
          <v:shape id="_x0000_i1041" o:spt="75" type="#_x0000_t75" style="height:15.75pt;width:24.75pt;" o:ole="t" filled="f" o:preferrelative="t" stroked="f" coordsize="21600,21600">
            <v:path/>
            <v:fill on="f" focussize="0,0"/>
            <v:stroke on="f" joinstyle="miter"/>
            <v:imagedata r:id="rId212" o:title=""/>
            <o:lock v:ext="edit" aspectratio="t"/>
            <w10:wrap type="none"/>
            <w10:anchorlock/>
          </v:shape>
          <o:OLEObject Type="Embed" ProgID="Equation.3" ShapeID="_x0000_i1041" DrawAspect="Content" ObjectID="_1468075741" r:id="rId213">
            <o:LockedField>false</o:LockedField>
          </o:OLEObject>
        </w:object>
      </w:r>
    </w:p>
    <w:tbl>
      <w:tblPr>
        <w:tblStyle w:val="22"/>
        <w:tblW w:w="4916" w:type="pct"/>
        <w:jc w:val="center"/>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2149"/>
        <w:gridCol w:w="3118"/>
        <w:gridCol w:w="3118"/>
      </w:tblGrid>
      <w:tr w14:paraId="0255CD69">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281" w:type="pct"/>
            <w:noWrap/>
          </w:tcPr>
          <w:p w14:paraId="6E681E3C">
            <w:pPr>
              <w:jc w:val="center"/>
              <w:rPr>
                <w:rFonts w:ascii="Times New Roman" w:hAnsi="Times New Roman" w:eastAsia="宋体" w:cs="Times New Roman"/>
                <w:b/>
                <w:szCs w:val="21"/>
              </w:rPr>
            </w:pPr>
            <w:r>
              <w:rPr>
                <w:rFonts w:ascii="Times New Roman" w:hAnsi="Times New Roman" w:eastAsia="宋体" w:cs="Times New Roman"/>
                <w:b/>
                <w:szCs w:val="21"/>
              </w:rPr>
              <w:t>公路类型</w:t>
            </w:r>
          </w:p>
        </w:tc>
        <w:tc>
          <w:tcPr>
            <w:tcW w:w="1859" w:type="pct"/>
            <w:noWrap/>
          </w:tcPr>
          <w:p w14:paraId="25ADB79E">
            <w:pPr>
              <w:jc w:val="center"/>
              <w:rPr>
                <w:rFonts w:ascii="Times New Roman" w:hAnsi="Times New Roman" w:eastAsia="宋体" w:cs="Times New Roman"/>
                <w:b/>
                <w:szCs w:val="21"/>
              </w:rPr>
            </w:pPr>
            <w:r>
              <w:rPr>
                <w:rFonts w:ascii="Times New Roman" w:hAnsi="Times New Roman" w:eastAsia="宋体" w:cs="Times New Roman"/>
                <w:b/>
                <w:szCs w:val="21"/>
              </w:rPr>
              <w:t>横向干扰等级</w:t>
            </w:r>
          </w:p>
        </w:tc>
        <w:tc>
          <w:tcPr>
            <w:tcW w:w="1859" w:type="pct"/>
            <w:noWrap/>
          </w:tcPr>
          <w:p w14:paraId="15539351">
            <w:pPr>
              <w:jc w:val="center"/>
              <w:rPr>
                <w:rFonts w:ascii="Times New Roman" w:hAnsi="Times New Roman" w:eastAsia="宋体" w:cs="Times New Roman"/>
                <w:b/>
                <w:szCs w:val="21"/>
              </w:rPr>
            </w:pPr>
            <w:r>
              <w:rPr>
                <w:rFonts w:ascii="Times New Roman" w:hAnsi="Times New Roman" w:eastAsia="宋体" w:cs="Times New Roman"/>
                <w:b/>
                <w:szCs w:val="21"/>
              </w:rPr>
              <w:t>修正系数</w:t>
            </w:r>
          </w:p>
        </w:tc>
      </w:tr>
      <w:tr w14:paraId="1EE51B94">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281" w:type="pct"/>
            <w:vMerge w:val="restart"/>
            <w:noWrap/>
            <w:vAlign w:val="center"/>
          </w:tcPr>
          <w:p w14:paraId="79DFE2D9">
            <w:pPr>
              <w:jc w:val="center"/>
              <w:rPr>
                <w:rFonts w:ascii="Times New Roman" w:hAnsi="Times New Roman" w:eastAsia="宋体" w:cs="Times New Roman"/>
                <w:szCs w:val="21"/>
              </w:rPr>
            </w:pPr>
            <w:r>
              <w:rPr>
                <w:rFonts w:ascii="Times New Roman" w:hAnsi="Times New Roman" w:eastAsia="宋体" w:cs="Times New Roman"/>
                <w:szCs w:val="21"/>
              </w:rPr>
              <w:t>一级公路</w:t>
            </w:r>
          </w:p>
        </w:tc>
        <w:tc>
          <w:tcPr>
            <w:tcW w:w="1859" w:type="pct"/>
            <w:noWrap/>
          </w:tcPr>
          <w:p w14:paraId="0BD04365">
            <w:pPr>
              <w:jc w:val="center"/>
              <w:rPr>
                <w:rFonts w:ascii="Times New Roman" w:hAnsi="Times New Roman" w:eastAsia="宋体" w:cs="Times New Roman"/>
                <w:szCs w:val="21"/>
              </w:rPr>
            </w:pPr>
            <w:r>
              <w:rPr>
                <w:rFonts w:ascii="Times New Roman" w:hAnsi="Times New Roman" w:eastAsia="宋体" w:cs="Times New Roman"/>
                <w:szCs w:val="21"/>
              </w:rPr>
              <w:t>1</w:t>
            </w:r>
          </w:p>
        </w:tc>
        <w:tc>
          <w:tcPr>
            <w:tcW w:w="1859" w:type="pct"/>
            <w:noWrap/>
          </w:tcPr>
          <w:p w14:paraId="290C036F">
            <w:pPr>
              <w:jc w:val="center"/>
              <w:rPr>
                <w:rFonts w:ascii="Times New Roman" w:hAnsi="Times New Roman" w:eastAsia="宋体" w:cs="Times New Roman"/>
                <w:szCs w:val="21"/>
              </w:rPr>
            </w:pPr>
            <w:r>
              <w:rPr>
                <w:rFonts w:ascii="Times New Roman" w:hAnsi="Times New Roman" w:eastAsia="宋体" w:cs="Times New Roman"/>
                <w:szCs w:val="21"/>
              </w:rPr>
              <w:t>0.95</w:t>
            </w:r>
          </w:p>
        </w:tc>
      </w:tr>
      <w:tr w14:paraId="6172EDAA">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281" w:type="pct"/>
            <w:vMerge w:val="continue"/>
            <w:noWrap/>
            <w:vAlign w:val="center"/>
          </w:tcPr>
          <w:p w14:paraId="1783D348">
            <w:pPr>
              <w:jc w:val="center"/>
              <w:rPr>
                <w:rFonts w:ascii="Times New Roman" w:hAnsi="Times New Roman" w:eastAsia="宋体" w:cs="Times New Roman"/>
                <w:szCs w:val="21"/>
              </w:rPr>
            </w:pPr>
          </w:p>
        </w:tc>
        <w:tc>
          <w:tcPr>
            <w:tcW w:w="1859" w:type="pct"/>
            <w:noWrap/>
          </w:tcPr>
          <w:p w14:paraId="2FC1D60A">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1859" w:type="pct"/>
            <w:noWrap/>
          </w:tcPr>
          <w:p w14:paraId="6686D55F">
            <w:pPr>
              <w:jc w:val="center"/>
              <w:rPr>
                <w:rFonts w:ascii="Times New Roman" w:hAnsi="Times New Roman" w:eastAsia="宋体" w:cs="Times New Roman"/>
                <w:szCs w:val="21"/>
              </w:rPr>
            </w:pPr>
            <w:r>
              <w:rPr>
                <w:rFonts w:ascii="Times New Roman" w:hAnsi="Times New Roman" w:eastAsia="宋体" w:cs="Times New Roman"/>
                <w:szCs w:val="21"/>
              </w:rPr>
              <w:t>0.90</w:t>
            </w:r>
          </w:p>
        </w:tc>
      </w:tr>
      <w:tr w14:paraId="7DC77045">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281" w:type="pct"/>
            <w:vMerge w:val="continue"/>
            <w:noWrap/>
            <w:vAlign w:val="center"/>
          </w:tcPr>
          <w:p w14:paraId="7AE0F617">
            <w:pPr>
              <w:jc w:val="center"/>
              <w:rPr>
                <w:rFonts w:ascii="Times New Roman" w:hAnsi="Times New Roman" w:eastAsia="宋体" w:cs="Times New Roman"/>
                <w:szCs w:val="21"/>
              </w:rPr>
            </w:pPr>
          </w:p>
        </w:tc>
        <w:tc>
          <w:tcPr>
            <w:tcW w:w="1859" w:type="pct"/>
            <w:noWrap/>
          </w:tcPr>
          <w:p w14:paraId="018D6AC7">
            <w:pPr>
              <w:jc w:val="center"/>
              <w:rPr>
                <w:rFonts w:ascii="Times New Roman" w:hAnsi="Times New Roman" w:eastAsia="宋体" w:cs="Times New Roman"/>
                <w:szCs w:val="21"/>
              </w:rPr>
            </w:pPr>
            <w:r>
              <w:rPr>
                <w:rFonts w:ascii="Times New Roman" w:hAnsi="Times New Roman" w:eastAsia="宋体" w:cs="Times New Roman"/>
                <w:szCs w:val="21"/>
              </w:rPr>
              <w:t>3</w:t>
            </w:r>
          </w:p>
        </w:tc>
        <w:tc>
          <w:tcPr>
            <w:tcW w:w="1859" w:type="pct"/>
            <w:noWrap/>
          </w:tcPr>
          <w:p w14:paraId="5C300306">
            <w:pPr>
              <w:jc w:val="center"/>
              <w:rPr>
                <w:rFonts w:ascii="Times New Roman" w:hAnsi="Times New Roman" w:eastAsia="宋体" w:cs="Times New Roman"/>
                <w:szCs w:val="21"/>
              </w:rPr>
            </w:pPr>
            <w:r>
              <w:rPr>
                <w:rFonts w:ascii="Times New Roman" w:hAnsi="Times New Roman" w:eastAsia="宋体" w:cs="Times New Roman"/>
                <w:szCs w:val="21"/>
              </w:rPr>
              <w:t>0.85</w:t>
            </w:r>
          </w:p>
        </w:tc>
      </w:tr>
      <w:tr w14:paraId="7874C7E4">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281" w:type="pct"/>
            <w:vMerge w:val="continue"/>
            <w:noWrap/>
            <w:vAlign w:val="center"/>
          </w:tcPr>
          <w:p w14:paraId="378F395E">
            <w:pPr>
              <w:jc w:val="center"/>
              <w:rPr>
                <w:rFonts w:ascii="Times New Roman" w:hAnsi="Times New Roman" w:eastAsia="宋体" w:cs="Times New Roman"/>
                <w:szCs w:val="21"/>
              </w:rPr>
            </w:pPr>
          </w:p>
        </w:tc>
        <w:tc>
          <w:tcPr>
            <w:tcW w:w="1859" w:type="pct"/>
            <w:noWrap/>
          </w:tcPr>
          <w:p w14:paraId="3E4584EA">
            <w:pPr>
              <w:jc w:val="center"/>
              <w:rPr>
                <w:rFonts w:ascii="Times New Roman" w:hAnsi="Times New Roman" w:eastAsia="宋体" w:cs="Times New Roman"/>
                <w:szCs w:val="21"/>
              </w:rPr>
            </w:pPr>
            <w:r>
              <w:rPr>
                <w:rFonts w:ascii="Times New Roman" w:hAnsi="Times New Roman" w:eastAsia="宋体" w:cs="Times New Roman"/>
                <w:szCs w:val="21"/>
              </w:rPr>
              <w:t>4</w:t>
            </w:r>
          </w:p>
        </w:tc>
        <w:tc>
          <w:tcPr>
            <w:tcW w:w="1859" w:type="pct"/>
            <w:noWrap/>
          </w:tcPr>
          <w:p w14:paraId="2D23C64C">
            <w:pPr>
              <w:jc w:val="center"/>
              <w:rPr>
                <w:rFonts w:ascii="Times New Roman" w:hAnsi="Times New Roman" w:eastAsia="宋体" w:cs="Times New Roman"/>
                <w:szCs w:val="21"/>
              </w:rPr>
            </w:pPr>
            <w:r>
              <w:rPr>
                <w:rFonts w:ascii="Times New Roman" w:hAnsi="Times New Roman" w:eastAsia="宋体" w:cs="Times New Roman"/>
                <w:szCs w:val="21"/>
              </w:rPr>
              <w:t>0.75</w:t>
            </w:r>
          </w:p>
        </w:tc>
      </w:tr>
      <w:tr w14:paraId="774E097A">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281" w:type="pct"/>
            <w:vMerge w:val="continue"/>
            <w:noWrap/>
            <w:vAlign w:val="center"/>
          </w:tcPr>
          <w:p w14:paraId="2F2000DE">
            <w:pPr>
              <w:jc w:val="center"/>
              <w:rPr>
                <w:rFonts w:ascii="Times New Roman" w:hAnsi="Times New Roman" w:eastAsia="宋体" w:cs="Times New Roman"/>
                <w:szCs w:val="21"/>
              </w:rPr>
            </w:pPr>
          </w:p>
        </w:tc>
        <w:tc>
          <w:tcPr>
            <w:tcW w:w="1859" w:type="pct"/>
            <w:noWrap/>
          </w:tcPr>
          <w:p w14:paraId="30D06BE5">
            <w:pPr>
              <w:jc w:val="center"/>
              <w:rPr>
                <w:rFonts w:ascii="Times New Roman" w:hAnsi="Times New Roman" w:eastAsia="宋体" w:cs="Times New Roman"/>
                <w:szCs w:val="21"/>
              </w:rPr>
            </w:pPr>
            <w:r>
              <w:rPr>
                <w:rFonts w:ascii="Times New Roman" w:hAnsi="Times New Roman" w:eastAsia="宋体" w:cs="Times New Roman"/>
                <w:szCs w:val="21"/>
              </w:rPr>
              <w:t>5</w:t>
            </w:r>
          </w:p>
        </w:tc>
        <w:tc>
          <w:tcPr>
            <w:tcW w:w="1859" w:type="pct"/>
            <w:noWrap/>
          </w:tcPr>
          <w:p w14:paraId="4AACF07D">
            <w:pPr>
              <w:jc w:val="center"/>
              <w:rPr>
                <w:rFonts w:ascii="Times New Roman" w:hAnsi="Times New Roman" w:eastAsia="宋体" w:cs="Times New Roman"/>
                <w:szCs w:val="21"/>
              </w:rPr>
            </w:pPr>
            <w:r>
              <w:rPr>
                <w:rFonts w:ascii="Times New Roman" w:hAnsi="Times New Roman" w:eastAsia="宋体" w:cs="Times New Roman"/>
                <w:szCs w:val="21"/>
              </w:rPr>
              <w:t>0.65</w:t>
            </w:r>
          </w:p>
        </w:tc>
      </w:tr>
    </w:tbl>
    <w:p w14:paraId="38E0AFE4">
      <w:pPr>
        <w:rPr>
          <w:rFonts w:ascii="Times New Roman" w:hAnsi="Times New Roman" w:eastAsia="宋体" w:cs="Times New Roman"/>
        </w:rPr>
      </w:pPr>
    </w:p>
    <w:p w14:paraId="5F4A2CD1">
      <w:pPr>
        <w:spacing w:line="300"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由表2.5-8可知，拟建公路</w:t>
      </w:r>
      <w:r>
        <w:rPr>
          <w:rFonts w:ascii="Times New Roman" w:hAnsi="Times New Roman" w:eastAsia="宋体" w:cs="Times New Roman"/>
          <w:sz w:val="24"/>
        </w:rPr>
        <w:t>不封闭</w:t>
      </w:r>
      <w:r>
        <w:rPr>
          <w:rFonts w:hint="eastAsia" w:ascii="Times New Roman" w:hAnsi="Times New Roman" w:eastAsia="宋体" w:cs="Times New Roman"/>
          <w:sz w:val="24"/>
        </w:rPr>
        <w:t>（平交口103</w:t>
      </w:r>
      <w:r>
        <w:rPr>
          <w:rFonts w:ascii="Times New Roman" w:hAnsi="Times New Roman" w:eastAsia="宋体" w:cs="Times New Roman"/>
          <w:sz w:val="24"/>
        </w:rPr>
        <w:t>处</w:t>
      </w:r>
      <w:r>
        <w:rPr>
          <w:rFonts w:hint="eastAsia" w:ascii="Times New Roman" w:hAnsi="Times New Roman" w:eastAsia="宋体" w:cs="Times New Roman"/>
          <w:sz w:val="24"/>
        </w:rPr>
        <w:t>），车辆进出较少，横向干扰等级为</w:t>
      </w:r>
      <w:r>
        <w:rPr>
          <w:rFonts w:ascii="Times New Roman" w:hAnsi="Times New Roman" w:eastAsia="宋体" w:cs="Times New Roman"/>
          <w:sz w:val="24"/>
        </w:rPr>
        <w:t>2</w:t>
      </w:r>
      <w:r>
        <w:rPr>
          <w:rFonts w:hint="eastAsia" w:ascii="Times New Roman" w:hAnsi="Times New Roman" w:eastAsia="宋体" w:cs="Times New Roman"/>
          <w:sz w:val="24"/>
        </w:rPr>
        <w:t>级，修正系数</w:t>
      </w:r>
      <w:r>
        <w:rPr>
          <w:rFonts w:ascii="Times New Roman" w:hAnsi="Times New Roman" w:eastAsia="宋体" w:cs="Times New Roman"/>
          <w:sz w:val="24"/>
        </w:rPr>
        <w:object>
          <v:shape id="_x0000_i1042" o:spt="75" type="#_x0000_t75" style="height:15.75pt;width:24.75pt;" o:ole="t" filled="f" o:preferrelative="t" stroked="f" coordsize="21600,21600">
            <v:path/>
            <v:fill on="f" focussize="0,0"/>
            <v:stroke on="f" joinstyle="miter"/>
            <v:imagedata r:id="rId212" o:title=""/>
            <o:lock v:ext="edit" aspectratio="t"/>
            <w10:wrap type="none"/>
            <w10:anchorlock/>
          </v:shape>
          <o:OLEObject Type="Embed" ProgID="Equation.3" ShapeID="_x0000_i1042" DrawAspect="Content" ObjectID="_1468075742" r:id="rId214">
            <o:LockedField>false</o:LockedField>
          </o:OLEObject>
        </w:object>
      </w:r>
      <w:r>
        <w:rPr>
          <w:rFonts w:hint="eastAsia" w:ascii="Times New Roman" w:hAnsi="Times New Roman" w:eastAsia="宋体" w:cs="Times New Roman"/>
          <w:sz w:val="24"/>
        </w:rPr>
        <w:t>取值取</w:t>
      </w:r>
      <w:r>
        <w:rPr>
          <w:rFonts w:ascii="Times New Roman" w:hAnsi="Times New Roman" w:eastAsia="宋体" w:cs="Times New Roman"/>
          <w:sz w:val="24"/>
        </w:rPr>
        <w:t>0.90</w:t>
      </w:r>
      <w:r>
        <w:rPr>
          <w:rFonts w:hint="eastAsia" w:ascii="Times New Roman" w:hAnsi="Times New Roman" w:eastAsia="宋体" w:cs="Times New Roman"/>
          <w:sz w:val="24"/>
        </w:rPr>
        <w:t>。</w:t>
      </w:r>
    </w:p>
    <w:p w14:paraId="7ED42455">
      <w:pPr>
        <w:snapToGrid w:val="0"/>
        <w:spacing w:line="300" w:lineRule="auto"/>
        <w:ind w:firstLine="480" w:firstLineChars="200"/>
        <w:rPr>
          <w:rFonts w:ascii="Times New Roman" w:hAnsi="Times New Roman" w:eastAsia="宋体" w:cs="Times New Roman"/>
          <w:sz w:val="24"/>
        </w:rPr>
      </w:pPr>
      <w:r>
        <w:rPr>
          <w:rFonts w:hint="eastAsia" w:ascii="宋体" w:hAnsi="宋体" w:eastAsia="宋体" w:cs="Times New Roman"/>
          <w:sz w:val="24"/>
        </w:rPr>
        <w:t>⑤</w:t>
      </w:r>
      <w:r>
        <w:rPr>
          <w:rFonts w:ascii="Times New Roman" w:hAnsi="Times New Roman" w:eastAsia="宋体" w:cs="Times New Roman"/>
          <w:sz w:val="24"/>
        </w:rPr>
        <w:t xml:space="preserve"> 交通组成对通行能力的修正系数</w:t>
      </w:r>
      <w:r>
        <w:rPr>
          <w:rFonts w:ascii="Times New Roman" w:hAnsi="Times New Roman" w:eastAsia="宋体" w:cs="Times New Roman"/>
          <w:sz w:val="24"/>
        </w:rPr>
        <w:object>
          <v:shape id="_x0000_i1043" o:spt="75" type="#_x0000_t75" style="height:18.75pt;width:20.25pt;" o:ole="t" filled="f" o:preferrelative="t" stroked="f" coordsize="21600,21600">
            <v:path/>
            <v:fill on="f" focussize="0,0"/>
            <v:stroke on="f" joinstyle="miter"/>
            <v:imagedata r:id="rId216" o:title=""/>
            <o:lock v:ext="edit" aspectratio="t"/>
            <w10:wrap type="none"/>
            <w10:anchorlock/>
          </v:shape>
          <o:OLEObject Type="Embed" ProgID="Equation.3" ShapeID="_x0000_i1043" DrawAspect="Content" ObjectID="_1468075743" r:id="rId215">
            <o:LockedField>false</o:LockedField>
          </o:OLEObject>
        </w:object>
      </w:r>
      <w:r>
        <w:rPr>
          <w:rFonts w:hint="eastAsia" w:ascii="Times New Roman" w:hAnsi="Times New Roman" w:eastAsia="宋体" w:cs="Times New Roman"/>
          <w:sz w:val="24"/>
        </w:rPr>
        <w:t>按下列</w:t>
      </w:r>
      <w:r>
        <w:rPr>
          <w:rFonts w:ascii="Times New Roman" w:hAnsi="Times New Roman" w:eastAsia="宋体" w:cs="Times New Roman"/>
          <w:sz w:val="24"/>
        </w:rPr>
        <w:t>公式</w:t>
      </w:r>
      <w:r>
        <w:rPr>
          <w:rFonts w:hint="eastAsia" w:ascii="Times New Roman" w:hAnsi="Times New Roman" w:eastAsia="宋体" w:cs="Times New Roman"/>
          <w:sz w:val="24"/>
        </w:rPr>
        <w:t>计算：</w:t>
      </w:r>
    </w:p>
    <w:p w14:paraId="60D6F125">
      <w:pPr>
        <w:jc w:val="center"/>
        <w:rPr>
          <w:rFonts w:ascii="Times New Roman" w:hAnsi="Times New Roman" w:eastAsia="宋体" w:cs="Times New Roman"/>
          <w:szCs w:val="21"/>
        </w:rPr>
      </w:pPr>
      <w:r>
        <w:rPr>
          <w:rFonts w:ascii="Times New Roman" w:hAnsi="Times New Roman" w:eastAsia="宋体" w:cs="Times New Roman"/>
          <w:position w:val="-30"/>
          <w:szCs w:val="21"/>
        </w:rPr>
        <w:object>
          <v:shape id="_x0000_i1044" o:spt="75" type="#_x0000_t75" style="height:33pt;width:111.75pt;" o:ole="t" filled="f" o:preferrelative="t" stroked="f" coordsize="21600,21600">
            <v:path/>
            <v:fill on="f" focussize="0,0"/>
            <v:stroke on="f" joinstyle="miter"/>
            <v:imagedata r:id="rId218" o:title=""/>
            <o:lock v:ext="edit" aspectratio="t"/>
            <w10:wrap type="none"/>
            <w10:anchorlock/>
          </v:shape>
          <o:OLEObject Type="Embed" ProgID="Equation.3" ShapeID="_x0000_i1044" DrawAspect="Content" ObjectID="_1468075744" r:id="rId217">
            <o:LockedField>false</o:LockedField>
          </o:OLEObject>
        </w:object>
      </w:r>
    </w:p>
    <w:p w14:paraId="7FF1335C">
      <w:pPr>
        <w:snapToGrid w:val="0"/>
        <w:spacing w:line="30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式中：</w:t>
      </w:r>
      <w:r>
        <w:rPr>
          <w:rFonts w:ascii="Times New Roman" w:hAnsi="Times New Roman" w:eastAsia="宋体" w:cs="Times New Roman"/>
          <w:sz w:val="24"/>
        </w:rPr>
        <w:object>
          <v:shape id="_x0000_i1045" o:spt="75" type="#_x0000_t75" style="height:18.75pt;width:20.25pt;" o:ole="t" filled="f" o:preferrelative="t" stroked="f" coordsize="21600,21600">
            <v:path/>
            <v:fill on="f" focussize="0,0"/>
            <v:stroke on="f" joinstyle="miter"/>
            <v:imagedata r:id="rId216" o:title=""/>
            <o:lock v:ext="edit" aspectratio="t"/>
            <w10:wrap type="none"/>
            <w10:anchorlock/>
          </v:shape>
          <o:OLEObject Type="Embed" ProgID="Equation.3" ShapeID="_x0000_i1045" DrawAspect="Content" ObjectID="_1468075745" r:id="rId219">
            <o:LockedField>false</o:LockedField>
          </o:OLEObject>
        </w:object>
      </w:r>
      <w:r>
        <w:rPr>
          <w:rFonts w:ascii="Times New Roman" w:hAnsi="Times New Roman" w:eastAsia="宋体" w:cs="Times New Roman"/>
          <w:sz w:val="24"/>
        </w:rPr>
        <w:t>——交通组成对通行能力的修正系数</w:t>
      </w:r>
      <w:r>
        <w:rPr>
          <w:rFonts w:hint="eastAsia" w:ascii="Times New Roman" w:hAnsi="Times New Roman" w:eastAsia="宋体" w:cs="Times New Roman"/>
          <w:sz w:val="24"/>
        </w:rPr>
        <w:t>；</w:t>
      </w:r>
    </w:p>
    <w:p w14:paraId="4057737C">
      <w:pPr>
        <w:spacing w:line="300" w:lineRule="auto"/>
        <w:ind w:firstLine="840" w:firstLineChars="350"/>
        <w:rPr>
          <w:rFonts w:ascii="Times New Roman" w:hAnsi="Times New Roman" w:eastAsia="宋体" w:cs="Times New Roman"/>
          <w:bCs/>
          <w:sz w:val="24"/>
        </w:rPr>
      </w:pPr>
      <w:r>
        <w:rPr>
          <w:rFonts w:ascii="Times New Roman" w:hAnsi="Times New Roman" w:eastAsia="宋体" w:cs="Times New Roman"/>
          <w:bCs/>
          <w:i/>
          <w:iCs/>
          <w:sz w:val="24"/>
        </w:rPr>
        <w:t>p</w:t>
      </w:r>
      <w:r>
        <w:rPr>
          <w:rFonts w:ascii="Times New Roman" w:hAnsi="Times New Roman" w:eastAsia="宋体" w:cs="Times New Roman"/>
          <w:bCs/>
          <w:i/>
          <w:iCs/>
          <w:sz w:val="24"/>
          <w:vertAlign w:val="subscript"/>
        </w:rPr>
        <w:t>i</w:t>
      </w:r>
      <w:r>
        <w:rPr>
          <w:rFonts w:ascii="Times New Roman" w:hAnsi="Times New Roman" w:eastAsia="宋体" w:cs="Times New Roman"/>
          <w:bCs/>
          <w:sz w:val="24"/>
        </w:rPr>
        <w:t>——</w:t>
      </w:r>
      <w:r>
        <w:rPr>
          <w:rFonts w:ascii="Times New Roman" w:hAnsi="Times New Roman" w:eastAsia="宋体" w:cs="Times New Roman"/>
          <w:sz w:val="24"/>
        </w:rPr>
        <w:t>第</w:t>
      </w:r>
      <w:r>
        <w:rPr>
          <w:rFonts w:ascii="Times New Roman" w:hAnsi="Times New Roman" w:eastAsia="宋体" w:cs="Times New Roman"/>
          <w:i/>
          <w:iCs/>
          <w:sz w:val="24"/>
        </w:rPr>
        <w:t>i</w:t>
      </w:r>
      <w:r>
        <w:rPr>
          <w:rFonts w:ascii="Times New Roman" w:hAnsi="Times New Roman" w:eastAsia="宋体" w:cs="Times New Roman"/>
          <w:sz w:val="24"/>
        </w:rPr>
        <w:t>类车的绝对交通量占绝对交通量总量的百分比，见表2.</w:t>
      </w:r>
      <w:r>
        <w:rPr>
          <w:rFonts w:hint="eastAsia" w:ascii="Times New Roman" w:hAnsi="Times New Roman" w:eastAsia="宋体" w:cs="Times New Roman"/>
          <w:sz w:val="24"/>
        </w:rPr>
        <w:t>4-3</w:t>
      </w:r>
      <w:r>
        <w:rPr>
          <w:rFonts w:ascii="Times New Roman" w:hAnsi="Times New Roman" w:eastAsia="宋体" w:cs="Times New Roman"/>
          <w:sz w:val="24"/>
        </w:rPr>
        <w:t>；</w:t>
      </w:r>
    </w:p>
    <w:p w14:paraId="6D78A327">
      <w:pPr>
        <w:spacing w:line="300" w:lineRule="auto"/>
        <w:ind w:firstLine="840" w:firstLineChars="350"/>
        <w:rPr>
          <w:rFonts w:ascii="Times New Roman" w:hAnsi="Times New Roman" w:eastAsia="宋体" w:cs="Times New Roman"/>
          <w:sz w:val="24"/>
        </w:rPr>
      </w:pPr>
      <w:r>
        <w:rPr>
          <w:rFonts w:ascii="Times New Roman" w:hAnsi="Times New Roman" w:eastAsia="宋体" w:cs="Times New Roman"/>
          <w:bCs/>
          <w:i/>
          <w:sz w:val="24"/>
        </w:rPr>
        <w:t>E</w:t>
      </w:r>
      <w:r>
        <w:rPr>
          <w:rFonts w:ascii="Times New Roman" w:hAnsi="Times New Roman" w:eastAsia="宋体" w:cs="Times New Roman"/>
          <w:bCs/>
          <w:i/>
          <w:sz w:val="24"/>
          <w:vertAlign w:val="subscript"/>
        </w:rPr>
        <w:t>i</w:t>
      </w:r>
      <w:r>
        <w:rPr>
          <w:rFonts w:ascii="Times New Roman" w:hAnsi="Times New Roman" w:eastAsia="宋体" w:cs="Times New Roman"/>
          <w:bCs/>
          <w:sz w:val="24"/>
        </w:rPr>
        <w:t>——</w:t>
      </w:r>
      <w:r>
        <w:rPr>
          <w:rFonts w:ascii="Times New Roman" w:hAnsi="Times New Roman" w:eastAsia="宋体" w:cs="Times New Roman"/>
          <w:sz w:val="24"/>
        </w:rPr>
        <w:t>第</w:t>
      </w:r>
      <w:r>
        <w:rPr>
          <w:rFonts w:ascii="Times New Roman" w:hAnsi="Times New Roman" w:eastAsia="宋体" w:cs="Times New Roman"/>
          <w:i/>
          <w:sz w:val="24"/>
        </w:rPr>
        <w:t>i</w:t>
      </w:r>
      <w:r>
        <w:rPr>
          <w:rFonts w:ascii="Times New Roman" w:hAnsi="Times New Roman" w:eastAsia="宋体" w:cs="Times New Roman"/>
          <w:sz w:val="24"/>
        </w:rPr>
        <w:t>类车的车辆折算系数，按表2.5</w:t>
      </w:r>
      <w:r>
        <w:rPr>
          <w:rFonts w:hint="eastAsia" w:ascii="Times New Roman" w:hAnsi="Times New Roman" w:eastAsia="宋体" w:cs="Times New Roman"/>
          <w:sz w:val="24"/>
        </w:rPr>
        <w:t>-9</w:t>
      </w:r>
      <w:r>
        <w:rPr>
          <w:rFonts w:ascii="Times New Roman" w:hAnsi="Times New Roman" w:eastAsia="宋体" w:cs="Times New Roman"/>
          <w:sz w:val="24"/>
        </w:rPr>
        <w:t>取值。</w:t>
      </w:r>
    </w:p>
    <w:p w14:paraId="29C69AEC">
      <w:pPr>
        <w:widowControl w:val="0"/>
        <w:adjustRightInd w:val="0"/>
        <w:spacing w:beforeLines="50" w:line="240" w:lineRule="auto"/>
        <w:jc w:val="center"/>
        <w:textAlignment w:val="baseline"/>
        <w:rPr>
          <w:rFonts w:ascii="Times New Roman" w:hAnsi="Times New Roman" w:eastAsia="宋体" w:cs="Times New Roman"/>
          <w:b/>
          <w:bCs/>
          <w:smallCaps/>
          <w:spacing w:val="5"/>
          <w:kern w:val="0"/>
          <w:sz w:val="21"/>
          <w:szCs w:val="20"/>
          <w:lang w:val="en-US" w:eastAsia="zh-CN" w:bidi="ar-SA"/>
        </w:rPr>
      </w:pPr>
      <w:r>
        <w:rPr>
          <w:rFonts w:ascii="Times New Roman" w:hAnsi="Times New Roman" w:eastAsia="宋体" w:cs="Times New Roman"/>
          <w:b/>
          <w:spacing w:val="5"/>
          <w:kern w:val="0"/>
          <w:sz w:val="21"/>
          <w:szCs w:val="20"/>
          <w:lang w:val="en-US" w:eastAsia="zh-CN" w:bidi="ar-SA"/>
        </w:rPr>
        <w:t>表2.5</w:t>
      </w:r>
      <w:r>
        <w:rPr>
          <w:rFonts w:hint="eastAsia" w:ascii="Times New Roman" w:hAnsi="Times New Roman" w:eastAsia="宋体" w:cs="Times New Roman"/>
          <w:b/>
          <w:spacing w:val="5"/>
          <w:kern w:val="0"/>
          <w:sz w:val="21"/>
          <w:szCs w:val="20"/>
          <w:lang w:val="en-US" w:eastAsia="zh-CN" w:bidi="ar-SA"/>
        </w:rPr>
        <w:t>-9</w:t>
      </w:r>
      <w:r>
        <w:rPr>
          <w:rFonts w:ascii="Times New Roman" w:hAnsi="Times New Roman" w:eastAsia="宋体" w:cs="Times New Roman"/>
          <w:b/>
          <w:spacing w:val="5"/>
          <w:kern w:val="0"/>
          <w:sz w:val="21"/>
          <w:szCs w:val="20"/>
          <w:lang w:val="en-US" w:eastAsia="zh-CN" w:bidi="ar-SA"/>
        </w:rPr>
        <w:t xml:space="preserve">  </w:t>
      </w:r>
      <w:r>
        <w:rPr>
          <w:rFonts w:ascii="Times New Roman" w:hAnsi="Times New Roman" w:eastAsia="宋体" w:cs="Times New Roman"/>
          <w:b/>
          <w:bCs/>
          <w:smallCaps/>
          <w:spacing w:val="5"/>
          <w:kern w:val="0"/>
          <w:sz w:val="21"/>
          <w:szCs w:val="20"/>
          <w:lang w:val="en-US" w:eastAsia="zh-CN" w:bidi="ar-SA"/>
        </w:rPr>
        <w:t>车型分类及车辆折算系数</w:t>
      </w:r>
    </w:p>
    <w:tbl>
      <w:tblPr>
        <w:tblStyle w:val="22"/>
        <w:tblW w:w="4920" w:type="pct"/>
        <w:jc w:val="center"/>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046"/>
        <w:gridCol w:w="1647"/>
        <w:gridCol w:w="1508"/>
        <w:gridCol w:w="4191"/>
      </w:tblGrid>
      <w:tr w14:paraId="4EA390F7">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623" w:type="pct"/>
            <w:noWrap/>
            <w:vAlign w:val="center"/>
          </w:tcPr>
          <w:p w14:paraId="590AA67B">
            <w:pPr>
              <w:widowControl w:val="0"/>
              <w:adjustRightInd w:val="0"/>
              <w:snapToGrid w:val="0"/>
              <w:spacing w:line="240" w:lineRule="auto"/>
              <w:jc w:val="center"/>
              <w:rPr>
                <w:rFonts w:ascii="Times New Roman" w:hAnsi="Times New Roman" w:eastAsia="宋体" w:cs="Times New Roman"/>
                <w:b/>
                <w:snapToGrid w:val="0"/>
                <w:color w:val="auto"/>
                <w:kern w:val="0"/>
                <w:sz w:val="21"/>
                <w:szCs w:val="24"/>
                <w:lang w:val="en-US" w:eastAsia="zh-CN" w:bidi="ar-SA"/>
              </w:rPr>
            </w:pPr>
            <w:r>
              <w:rPr>
                <w:rFonts w:ascii="Times New Roman" w:hAnsi="Times New Roman" w:eastAsia="宋体" w:cs="Times New Roman"/>
                <w:b/>
                <w:snapToGrid w:val="0"/>
                <w:color w:val="auto"/>
                <w:kern w:val="0"/>
                <w:sz w:val="21"/>
                <w:szCs w:val="24"/>
                <w:lang w:val="en-US" w:eastAsia="zh-CN" w:bidi="ar-SA"/>
              </w:rPr>
              <w:t>车型</w:t>
            </w:r>
          </w:p>
        </w:tc>
        <w:tc>
          <w:tcPr>
            <w:tcW w:w="981" w:type="pct"/>
            <w:noWrap/>
            <w:vAlign w:val="center"/>
          </w:tcPr>
          <w:p w14:paraId="5D0183E5">
            <w:pPr>
              <w:widowControl w:val="0"/>
              <w:adjustRightInd w:val="0"/>
              <w:snapToGrid w:val="0"/>
              <w:spacing w:line="240" w:lineRule="auto"/>
              <w:jc w:val="center"/>
              <w:rPr>
                <w:rFonts w:ascii="Times New Roman" w:hAnsi="Times New Roman" w:eastAsia="宋体" w:cs="Times New Roman"/>
                <w:b/>
                <w:snapToGrid w:val="0"/>
                <w:color w:val="auto"/>
                <w:kern w:val="0"/>
                <w:sz w:val="21"/>
                <w:szCs w:val="24"/>
                <w:lang w:val="en-US" w:eastAsia="zh-CN" w:bidi="ar-SA"/>
              </w:rPr>
            </w:pPr>
            <w:r>
              <w:rPr>
                <w:rFonts w:ascii="Times New Roman" w:hAnsi="Times New Roman" w:eastAsia="宋体" w:cs="Times New Roman"/>
                <w:b/>
                <w:snapToGrid w:val="0"/>
                <w:color w:val="auto"/>
                <w:kern w:val="0"/>
                <w:sz w:val="21"/>
                <w:szCs w:val="24"/>
                <w:lang w:val="en-US" w:eastAsia="zh-CN" w:bidi="ar-SA"/>
              </w:rPr>
              <w:t>汽车代表车型</w:t>
            </w:r>
          </w:p>
        </w:tc>
        <w:tc>
          <w:tcPr>
            <w:tcW w:w="898" w:type="pct"/>
            <w:noWrap/>
            <w:vAlign w:val="center"/>
          </w:tcPr>
          <w:p w14:paraId="0A91136D">
            <w:pPr>
              <w:widowControl w:val="0"/>
              <w:adjustRightInd w:val="0"/>
              <w:snapToGrid w:val="0"/>
              <w:spacing w:line="240" w:lineRule="auto"/>
              <w:jc w:val="center"/>
              <w:rPr>
                <w:rFonts w:ascii="Times New Roman" w:hAnsi="Times New Roman" w:eastAsia="宋体" w:cs="Times New Roman"/>
                <w:b/>
                <w:snapToGrid w:val="0"/>
                <w:color w:val="auto"/>
                <w:kern w:val="0"/>
                <w:sz w:val="21"/>
                <w:szCs w:val="24"/>
                <w:lang w:val="en-US" w:eastAsia="zh-CN" w:bidi="ar-SA"/>
              </w:rPr>
            </w:pPr>
            <w:r>
              <w:rPr>
                <w:rFonts w:ascii="Times New Roman" w:hAnsi="Times New Roman" w:eastAsia="宋体" w:cs="Times New Roman"/>
                <w:b/>
                <w:snapToGrid w:val="0"/>
                <w:color w:val="auto"/>
                <w:kern w:val="0"/>
                <w:sz w:val="21"/>
                <w:szCs w:val="24"/>
                <w:lang w:val="en-US" w:eastAsia="zh-CN" w:bidi="ar-SA"/>
              </w:rPr>
              <w:t>车辆折算系数</w:t>
            </w:r>
          </w:p>
        </w:tc>
        <w:tc>
          <w:tcPr>
            <w:tcW w:w="2495" w:type="pct"/>
            <w:noWrap/>
            <w:vAlign w:val="center"/>
          </w:tcPr>
          <w:p w14:paraId="341763F3">
            <w:pPr>
              <w:widowControl w:val="0"/>
              <w:adjustRightInd w:val="0"/>
              <w:snapToGrid w:val="0"/>
              <w:spacing w:line="240" w:lineRule="auto"/>
              <w:jc w:val="center"/>
              <w:rPr>
                <w:rFonts w:ascii="Times New Roman" w:hAnsi="Times New Roman" w:eastAsia="宋体" w:cs="Times New Roman"/>
                <w:b/>
                <w:snapToGrid w:val="0"/>
                <w:color w:val="auto"/>
                <w:kern w:val="0"/>
                <w:sz w:val="21"/>
                <w:szCs w:val="24"/>
                <w:lang w:val="en-US" w:eastAsia="zh-CN" w:bidi="ar-SA"/>
              </w:rPr>
            </w:pPr>
            <w:r>
              <w:rPr>
                <w:rFonts w:ascii="Times New Roman" w:hAnsi="Times New Roman" w:eastAsia="宋体" w:cs="Times New Roman"/>
                <w:b/>
                <w:snapToGrid w:val="0"/>
                <w:color w:val="auto"/>
                <w:kern w:val="0"/>
                <w:sz w:val="21"/>
                <w:szCs w:val="24"/>
                <w:lang w:val="en-US" w:eastAsia="zh-CN" w:bidi="ar-SA"/>
              </w:rPr>
              <w:t>说明</w:t>
            </w:r>
          </w:p>
        </w:tc>
      </w:tr>
      <w:tr w14:paraId="21D355C3">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623" w:type="pct"/>
            <w:noWrap/>
            <w:vAlign w:val="center"/>
          </w:tcPr>
          <w:p w14:paraId="24893AEE">
            <w:pPr>
              <w:widowControl w:val="0"/>
              <w:adjustRightInd w:val="0"/>
              <w:snapToGrid w:val="0"/>
              <w:spacing w:line="240" w:lineRule="auto"/>
              <w:jc w:val="center"/>
              <w:rPr>
                <w:rFonts w:ascii="Times New Roman" w:hAnsi="Times New Roman" w:eastAsia="宋体" w:cs="Times New Roman"/>
                <w:snapToGrid w:val="0"/>
                <w:color w:val="auto"/>
                <w:kern w:val="0"/>
                <w:sz w:val="21"/>
                <w:szCs w:val="24"/>
                <w:lang w:val="en-US" w:eastAsia="zh-CN" w:bidi="ar-SA"/>
              </w:rPr>
            </w:pPr>
            <w:r>
              <w:rPr>
                <w:rFonts w:ascii="Times New Roman" w:hAnsi="Times New Roman" w:eastAsia="宋体" w:cs="Times New Roman"/>
                <w:snapToGrid w:val="0"/>
                <w:color w:val="auto"/>
                <w:kern w:val="0"/>
                <w:sz w:val="21"/>
                <w:szCs w:val="24"/>
                <w:lang w:val="en-US" w:eastAsia="zh-CN" w:bidi="ar-SA"/>
              </w:rPr>
              <w:t>小</w:t>
            </w:r>
          </w:p>
        </w:tc>
        <w:tc>
          <w:tcPr>
            <w:tcW w:w="981" w:type="pct"/>
            <w:noWrap/>
            <w:vAlign w:val="center"/>
          </w:tcPr>
          <w:p w14:paraId="3CFA8644">
            <w:pPr>
              <w:widowControl w:val="0"/>
              <w:adjustRightInd w:val="0"/>
              <w:snapToGrid w:val="0"/>
              <w:spacing w:line="240" w:lineRule="auto"/>
              <w:jc w:val="center"/>
              <w:rPr>
                <w:rFonts w:ascii="Times New Roman" w:hAnsi="Times New Roman" w:eastAsia="宋体" w:cs="Times New Roman"/>
                <w:snapToGrid w:val="0"/>
                <w:color w:val="auto"/>
                <w:kern w:val="0"/>
                <w:sz w:val="21"/>
                <w:szCs w:val="24"/>
                <w:lang w:val="en-US" w:eastAsia="zh-CN" w:bidi="ar-SA"/>
              </w:rPr>
            </w:pPr>
            <w:r>
              <w:rPr>
                <w:rFonts w:ascii="Times New Roman" w:hAnsi="Times New Roman" w:eastAsia="宋体" w:cs="Times New Roman"/>
                <w:snapToGrid w:val="0"/>
                <w:color w:val="auto"/>
                <w:kern w:val="0"/>
                <w:sz w:val="21"/>
                <w:szCs w:val="24"/>
                <w:lang w:val="en-US" w:eastAsia="zh-CN" w:bidi="ar-SA"/>
              </w:rPr>
              <w:t>小型车</w:t>
            </w:r>
          </w:p>
        </w:tc>
        <w:tc>
          <w:tcPr>
            <w:tcW w:w="898" w:type="pct"/>
            <w:noWrap/>
            <w:vAlign w:val="center"/>
          </w:tcPr>
          <w:p w14:paraId="1FDE98E4">
            <w:pPr>
              <w:widowControl w:val="0"/>
              <w:adjustRightInd w:val="0"/>
              <w:snapToGrid w:val="0"/>
              <w:spacing w:line="240" w:lineRule="auto"/>
              <w:jc w:val="center"/>
              <w:rPr>
                <w:rFonts w:ascii="Times New Roman" w:hAnsi="Times New Roman" w:eastAsia="宋体" w:cs="Times New Roman"/>
                <w:snapToGrid w:val="0"/>
                <w:color w:val="auto"/>
                <w:kern w:val="0"/>
                <w:sz w:val="21"/>
                <w:szCs w:val="24"/>
                <w:lang w:val="en-US" w:eastAsia="zh-CN" w:bidi="ar-SA"/>
              </w:rPr>
            </w:pPr>
            <w:r>
              <w:rPr>
                <w:rFonts w:ascii="Times New Roman" w:hAnsi="Times New Roman" w:eastAsia="宋体" w:cs="Times New Roman"/>
                <w:snapToGrid w:val="0"/>
                <w:color w:val="auto"/>
                <w:kern w:val="0"/>
                <w:sz w:val="21"/>
                <w:szCs w:val="24"/>
                <w:lang w:val="en-US" w:eastAsia="zh-CN" w:bidi="ar-SA"/>
              </w:rPr>
              <w:t>1.0</w:t>
            </w:r>
          </w:p>
        </w:tc>
        <w:tc>
          <w:tcPr>
            <w:tcW w:w="2495" w:type="pct"/>
            <w:noWrap/>
            <w:vAlign w:val="center"/>
          </w:tcPr>
          <w:p w14:paraId="1377F7C9">
            <w:pPr>
              <w:widowControl w:val="0"/>
              <w:adjustRightInd w:val="0"/>
              <w:snapToGrid w:val="0"/>
              <w:spacing w:line="240" w:lineRule="auto"/>
              <w:jc w:val="center"/>
              <w:rPr>
                <w:rFonts w:ascii="Times New Roman" w:hAnsi="Times New Roman" w:eastAsia="宋体" w:cs="Times New Roman"/>
                <w:snapToGrid w:val="0"/>
                <w:color w:val="auto"/>
                <w:kern w:val="0"/>
                <w:sz w:val="21"/>
                <w:szCs w:val="24"/>
                <w:lang w:val="en-US" w:eastAsia="zh-CN" w:bidi="ar-SA"/>
              </w:rPr>
            </w:pPr>
            <w:r>
              <w:rPr>
                <w:rFonts w:ascii="Times New Roman" w:hAnsi="Times New Roman" w:eastAsia="宋体" w:cs="Times New Roman"/>
                <w:snapToGrid w:val="0"/>
                <w:color w:val="auto"/>
                <w:kern w:val="0"/>
                <w:sz w:val="21"/>
                <w:szCs w:val="24"/>
                <w:lang w:val="en-US" w:eastAsia="zh-CN" w:bidi="ar-SA"/>
              </w:rPr>
              <w:t>座位≤19座的客车和载质量≤2 t的货车</w:t>
            </w:r>
          </w:p>
        </w:tc>
      </w:tr>
      <w:tr w14:paraId="0B7E4987">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623" w:type="pct"/>
            <w:noWrap/>
            <w:vAlign w:val="center"/>
          </w:tcPr>
          <w:p w14:paraId="4EDC55F7">
            <w:pPr>
              <w:widowControl w:val="0"/>
              <w:adjustRightInd w:val="0"/>
              <w:snapToGrid w:val="0"/>
              <w:spacing w:line="240" w:lineRule="auto"/>
              <w:jc w:val="center"/>
              <w:rPr>
                <w:rFonts w:ascii="Times New Roman" w:hAnsi="Times New Roman" w:eastAsia="宋体" w:cs="Times New Roman"/>
                <w:snapToGrid w:val="0"/>
                <w:color w:val="auto"/>
                <w:kern w:val="0"/>
                <w:sz w:val="21"/>
                <w:szCs w:val="24"/>
                <w:lang w:val="en-US" w:eastAsia="zh-CN" w:bidi="ar-SA"/>
              </w:rPr>
            </w:pPr>
            <w:r>
              <w:rPr>
                <w:rFonts w:ascii="Times New Roman" w:hAnsi="Times New Roman" w:eastAsia="宋体" w:cs="Times New Roman"/>
                <w:snapToGrid w:val="0"/>
                <w:color w:val="auto"/>
                <w:kern w:val="0"/>
                <w:sz w:val="21"/>
                <w:szCs w:val="24"/>
                <w:lang w:val="en-US" w:eastAsia="zh-CN" w:bidi="ar-SA"/>
              </w:rPr>
              <w:t>中</w:t>
            </w:r>
          </w:p>
        </w:tc>
        <w:tc>
          <w:tcPr>
            <w:tcW w:w="981" w:type="pct"/>
            <w:noWrap/>
            <w:vAlign w:val="center"/>
          </w:tcPr>
          <w:p w14:paraId="1209A33B">
            <w:pPr>
              <w:widowControl w:val="0"/>
              <w:adjustRightInd w:val="0"/>
              <w:snapToGrid w:val="0"/>
              <w:spacing w:line="240" w:lineRule="auto"/>
              <w:jc w:val="center"/>
              <w:rPr>
                <w:rFonts w:ascii="Times New Roman" w:hAnsi="Times New Roman" w:eastAsia="宋体" w:cs="Times New Roman"/>
                <w:snapToGrid w:val="0"/>
                <w:color w:val="auto"/>
                <w:kern w:val="0"/>
                <w:sz w:val="21"/>
                <w:szCs w:val="24"/>
                <w:lang w:val="en-US" w:eastAsia="zh-CN" w:bidi="ar-SA"/>
              </w:rPr>
            </w:pPr>
            <w:r>
              <w:rPr>
                <w:rFonts w:ascii="Times New Roman" w:hAnsi="Times New Roman" w:eastAsia="宋体" w:cs="Times New Roman"/>
                <w:snapToGrid w:val="0"/>
                <w:color w:val="auto"/>
                <w:kern w:val="0"/>
                <w:sz w:val="21"/>
                <w:szCs w:val="24"/>
                <w:lang w:val="en-US" w:eastAsia="zh-CN" w:bidi="ar-SA"/>
              </w:rPr>
              <w:t>中型车</w:t>
            </w:r>
          </w:p>
        </w:tc>
        <w:tc>
          <w:tcPr>
            <w:tcW w:w="898" w:type="pct"/>
            <w:noWrap/>
            <w:vAlign w:val="center"/>
          </w:tcPr>
          <w:p w14:paraId="7F707DB9">
            <w:pPr>
              <w:widowControl w:val="0"/>
              <w:adjustRightInd w:val="0"/>
              <w:snapToGrid w:val="0"/>
              <w:spacing w:line="240" w:lineRule="auto"/>
              <w:jc w:val="center"/>
              <w:rPr>
                <w:rFonts w:ascii="Times New Roman" w:hAnsi="Times New Roman" w:eastAsia="宋体" w:cs="Times New Roman"/>
                <w:snapToGrid w:val="0"/>
                <w:color w:val="auto"/>
                <w:kern w:val="0"/>
                <w:sz w:val="21"/>
                <w:szCs w:val="24"/>
                <w:lang w:val="en-US" w:eastAsia="zh-CN" w:bidi="ar-SA"/>
              </w:rPr>
            </w:pPr>
            <w:r>
              <w:rPr>
                <w:rFonts w:ascii="Times New Roman" w:hAnsi="Times New Roman" w:eastAsia="宋体" w:cs="Times New Roman"/>
                <w:snapToGrid w:val="0"/>
                <w:color w:val="auto"/>
                <w:kern w:val="0"/>
                <w:sz w:val="21"/>
                <w:szCs w:val="24"/>
                <w:lang w:val="en-US" w:eastAsia="zh-CN" w:bidi="ar-SA"/>
              </w:rPr>
              <w:t>1.5</w:t>
            </w:r>
          </w:p>
        </w:tc>
        <w:tc>
          <w:tcPr>
            <w:tcW w:w="2495" w:type="pct"/>
            <w:noWrap/>
            <w:vAlign w:val="center"/>
          </w:tcPr>
          <w:p w14:paraId="10CAED0D">
            <w:pPr>
              <w:widowControl w:val="0"/>
              <w:adjustRightInd w:val="0"/>
              <w:snapToGrid w:val="0"/>
              <w:spacing w:line="240" w:lineRule="auto"/>
              <w:jc w:val="center"/>
              <w:rPr>
                <w:rFonts w:ascii="Times New Roman" w:hAnsi="Times New Roman" w:eastAsia="宋体" w:cs="Times New Roman"/>
                <w:snapToGrid w:val="0"/>
                <w:color w:val="auto"/>
                <w:kern w:val="0"/>
                <w:sz w:val="21"/>
                <w:szCs w:val="24"/>
                <w:lang w:val="en-US" w:eastAsia="zh-CN" w:bidi="ar-SA"/>
              </w:rPr>
            </w:pPr>
            <w:r>
              <w:rPr>
                <w:rFonts w:ascii="Times New Roman" w:hAnsi="Times New Roman" w:eastAsia="宋体" w:cs="Times New Roman"/>
                <w:snapToGrid w:val="0"/>
                <w:color w:val="auto"/>
                <w:kern w:val="0"/>
                <w:sz w:val="21"/>
                <w:szCs w:val="24"/>
                <w:lang w:val="en-US" w:eastAsia="zh-CN" w:bidi="ar-SA"/>
              </w:rPr>
              <w:t>座位＞19座的客车和2 t&lt;载质量≤7 t的货车</w:t>
            </w:r>
          </w:p>
        </w:tc>
      </w:tr>
      <w:tr w14:paraId="2BB79166">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623" w:type="pct"/>
            <w:vMerge w:val="restart"/>
            <w:noWrap/>
            <w:vAlign w:val="center"/>
          </w:tcPr>
          <w:p w14:paraId="7DE2DBA7">
            <w:pPr>
              <w:widowControl w:val="0"/>
              <w:adjustRightInd w:val="0"/>
              <w:snapToGrid w:val="0"/>
              <w:spacing w:line="240" w:lineRule="auto"/>
              <w:jc w:val="center"/>
              <w:rPr>
                <w:rFonts w:ascii="Times New Roman" w:hAnsi="Times New Roman" w:eastAsia="宋体" w:cs="Times New Roman"/>
                <w:snapToGrid w:val="0"/>
                <w:color w:val="auto"/>
                <w:kern w:val="0"/>
                <w:sz w:val="21"/>
                <w:szCs w:val="24"/>
                <w:lang w:val="en-US" w:eastAsia="zh-CN" w:bidi="ar-SA"/>
              </w:rPr>
            </w:pPr>
            <w:r>
              <w:rPr>
                <w:rFonts w:ascii="Times New Roman" w:hAnsi="Times New Roman" w:eastAsia="宋体" w:cs="Times New Roman"/>
                <w:snapToGrid w:val="0"/>
                <w:color w:val="auto"/>
                <w:kern w:val="0"/>
                <w:sz w:val="21"/>
                <w:szCs w:val="24"/>
                <w:lang w:val="en-US" w:eastAsia="zh-CN" w:bidi="ar-SA"/>
              </w:rPr>
              <w:t>大</w:t>
            </w:r>
          </w:p>
        </w:tc>
        <w:tc>
          <w:tcPr>
            <w:tcW w:w="981" w:type="pct"/>
            <w:noWrap/>
            <w:vAlign w:val="center"/>
          </w:tcPr>
          <w:p w14:paraId="1CAB293B">
            <w:pPr>
              <w:widowControl w:val="0"/>
              <w:adjustRightInd w:val="0"/>
              <w:snapToGrid w:val="0"/>
              <w:spacing w:line="240" w:lineRule="auto"/>
              <w:jc w:val="center"/>
              <w:rPr>
                <w:rFonts w:ascii="Times New Roman" w:hAnsi="Times New Roman" w:eastAsia="宋体" w:cs="Times New Roman"/>
                <w:snapToGrid w:val="0"/>
                <w:color w:val="auto"/>
                <w:kern w:val="0"/>
                <w:sz w:val="21"/>
                <w:szCs w:val="24"/>
                <w:lang w:val="en-US" w:eastAsia="zh-CN" w:bidi="ar-SA"/>
              </w:rPr>
            </w:pPr>
            <w:r>
              <w:rPr>
                <w:rFonts w:ascii="Times New Roman" w:hAnsi="Times New Roman" w:eastAsia="宋体" w:cs="Times New Roman"/>
                <w:snapToGrid w:val="0"/>
                <w:color w:val="auto"/>
                <w:kern w:val="0"/>
                <w:sz w:val="21"/>
                <w:szCs w:val="24"/>
                <w:lang w:val="en-US" w:eastAsia="zh-CN" w:bidi="ar-SA"/>
              </w:rPr>
              <w:t>大型车</w:t>
            </w:r>
          </w:p>
        </w:tc>
        <w:tc>
          <w:tcPr>
            <w:tcW w:w="898" w:type="pct"/>
            <w:noWrap/>
            <w:vAlign w:val="center"/>
          </w:tcPr>
          <w:p w14:paraId="6399F423">
            <w:pPr>
              <w:widowControl w:val="0"/>
              <w:adjustRightInd w:val="0"/>
              <w:snapToGrid w:val="0"/>
              <w:spacing w:line="240" w:lineRule="auto"/>
              <w:jc w:val="center"/>
              <w:rPr>
                <w:rFonts w:ascii="Times New Roman" w:hAnsi="Times New Roman" w:eastAsia="宋体" w:cs="Times New Roman"/>
                <w:snapToGrid w:val="0"/>
                <w:color w:val="auto"/>
                <w:kern w:val="0"/>
                <w:sz w:val="21"/>
                <w:szCs w:val="24"/>
                <w:lang w:val="en-US" w:eastAsia="zh-CN" w:bidi="ar-SA"/>
              </w:rPr>
            </w:pPr>
            <w:r>
              <w:rPr>
                <w:rFonts w:ascii="Times New Roman" w:hAnsi="Times New Roman" w:eastAsia="宋体" w:cs="Times New Roman"/>
                <w:snapToGrid w:val="0"/>
                <w:color w:val="auto"/>
                <w:kern w:val="0"/>
                <w:sz w:val="21"/>
                <w:szCs w:val="24"/>
                <w:lang w:val="en-US" w:eastAsia="zh-CN" w:bidi="ar-SA"/>
              </w:rPr>
              <w:t>2.5</w:t>
            </w:r>
          </w:p>
        </w:tc>
        <w:tc>
          <w:tcPr>
            <w:tcW w:w="2495" w:type="pct"/>
            <w:noWrap/>
            <w:vAlign w:val="center"/>
          </w:tcPr>
          <w:p w14:paraId="78CD0A25">
            <w:pPr>
              <w:widowControl w:val="0"/>
              <w:adjustRightInd w:val="0"/>
              <w:snapToGrid w:val="0"/>
              <w:spacing w:line="240" w:lineRule="auto"/>
              <w:jc w:val="center"/>
              <w:rPr>
                <w:rFonts w:ascii="Times New Roman" w:hAnsi="Times New Roman" w:eastAsia="宋体" w:cs="Times New Roman"/>
                <w:snapToGrid w:val="0"/>
                <w:color w:val="auto"/>
                <w:kern w:val="0"/>
                <w:sz w:val="21"/>
                <w:szCs w:val="24"/>
                <w:lang w:val="en-US" w:eastAsia="zh-CN" w:bidi="ar-SA"/>
              </w:rPr>
            </w:pPr>
            <w:r>
              <w:rPr>
                <w:rFonts w:ascii="Times New Roman" w:hAnsi="Times New Roman" w:eastAsia="宋体" w:cs="Times New Roman"/>
                <w:snapToGrid w:val="0"/>
                <w:color w:val="auto"/>
                <w:kern w:val="0"/>
                <w:sz w:val="21"/>
                <w:szCs w:val="24"/>
                <w:lang w:val="en-US" w:eastAsia="zh-CN" w:bidi="ar-SA"/>
              </w:rPr>
              <w:t>7 t&lt;载质量≤20 t的货车</w:t>
            </w:r>
          </w:p>
        </w:tc>
      </w:tr>
      <w:tr w14:paraId="1845EE39">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623" w:type="pct"/>
            <w:vMerge w:val="continue"/>
            <w:noWrap/>
            <w:vAlign w:val="center"/>
          </w:tcPr>
          <w:p w14:paraId="58788054">
            <w:pPr>
              <w:widowControl w:val="0"/>
              <w:adjustRightInd w:val="0"/>
              <w:snapToGrid w:val="0"/>
              <w:spacing w:line="240" w:lineRule="auto"/>
              <w:jc w:val="center"/>
              <w:rPr>
                <w:rFonts w:ascii="Times New Roman" w:hAnsi="Times New Roman" w:eastAsia="宋体" w:cs="Times New Roman"/>
                <w:snapToGrid w:val="0"/>
                <w:color w:val="auto"/>
                <w:kern w:val="0"/>
                <w:sz w:val="21"/>
                <w:szCs w:val="24"/>
                <w:lang w:val="en-US" w:eastAsia="zh-CN" w:bidi="ar-SA"/>
              </w:rPr>
            </w:pPr>
          </w:p>
        </w:tc>
        <w:tc>
          <w:tcPr>
            <w:tcW w:w="981" w:type="pct"/>
            <w:noWrap/>
            <w:vAlign w:val="center"/>
          </w:tcPr>
          <w:p w14:paraId="5BC2BD03">
            <w:pPr>
              <w:widowControl w:val="0"/>
              <w:adjustRightInd w:val="0"/>
              <w:snapToGrid w:val="0"/>
              <w:spacing w:line="240" w:lineRule="auto"/>
              <w:jc w:val="center"/>
              <w:rPr>
                <w:rFonts w:ascii="Times New Roman" w:hAnsi="Times New Roman" w:eastAsia="宋体" w:cs="Times New Roman"/>
                <w:snapToGrid w:val="0"/>
                <w:color w:val="auto"/>
                <w:kern w:val="0"/>
                <w:sz w:val="21"/>
                <w:szCs w:val="24"/>
                <w:lang w:val="en-US" w:eastAsia="zh-CN" w:bidi="ar-SA"/>
              </w:rPr>
            </w:pPr>
            <w:r>
              <w:rPr>
                <w:rFonts w:ascii="Times New Roman" w:hAnsi="Times New Roman" w:eastAsia="宋体" w:cs="Times New Roman"/>
                <w:snapToGrid w:val="0"/>
                <w:color w:val="auto"/>
                <w:kern w:val="0"/>
                <w:sz w:val="21"/>
                <w:szCs w:val="24"/>
                <w:lang w:val="en-US" w:eastAsia="zh-CN" w:bidi="ar-SA"/>
              </w:rPr>
              <w:t>汽车列车</w:t>
            </w:r>
          </w:p>
        </w:tc>
        <w:tc>
          <w:tcPr>
            <w:tcW w:w="898" w:type="pct"/>
            <w:noWrap/>
            <w:vAlign w:val="center"/>
          </w:tcPr>
          <w:p w14:paraId="1ADF190C">
            <w:pPr>
              <w:widowControl w:val="0"/>
              <w:adjustRightInd w:val="0"/>
              <w:snapToGrid w:val="0"/>
              <w:spacing w:line="240" w:lineRule="auto"/>
              <w:jc w:val="center"/>
              <w:rPr>
                <w:rFonts w:ascii="Times New Roman" w:hAnsi="Times New Roman" w:eastAsia="宋体" w:cs="Times New Roman"/>
                <w:snapToGrid w:val="0"/>
                <w:color w:val="auto"/>
                <w:kern w:val="0"/>
                <w:sz w:val="21"/>
                <w:szCs w:val="24"/>
                <w:lang w:val="en-US" w:eastAsia="zh-CN" w:bidi="ar-SA"/>
              </w:rPr>
            </w:pPr>
            <w:r>
              <w:rPr>
                <w:rFonts w:ascii="Times New Roman" w:hAnsi="Times New Roman" w:eastAsia="宋体" w:cs="Times New Roman"/>
                <w:snapToGrid w:val="0"/>
                <w:color w:val="auto"/>
                <w:kern w:val="0"/>
                <w:sz w:val="21"/>
                <w:szCs w:val="24"/>
                <w:lang w:val="en-US" w:eastAsia="zh-CN" w:bidi="ar-SA"/>
              </w:rPr>
              <w:t>4.0</w:t>
            </w:r>
          </w:p>
        </w:tc>
        <w:tc>
          <w:tcPr>
            <w:tcW w:w="2495" w:type="pct"/>
            <w:noWrap/>
            <w:vAlign w:val="center"/>
          </w:tcPr>
          <w:p w14:paraId="16F01A5B">
            <w:pPr>
              <w:widowControl w:val="0"/>
              <w:adjustRightInd w:val="0"/>
              <w:snapToGrid w:val="0"/>
              <w:spacing w:line="240" w:lineRule="auto"/>
              <w:jc w:val="center"/>
              <w:rPr>
                <w:rFonts w:ascii="Times New Roman" w:hAnsi="Times New Roman" w:eastAsia="宋体" w:cs="Times New Roman"/>
                <w:snapToGrid w:val="0"/>
                <w:color w:val="auto"/>
                <w:kern w:val="0"/>
                <w:sz w:val="21"/>
                <w:szCs w:val="24"/>
                <w:lang w:val="en-US" w:eastAsia="zh-CN" w:bidi="ar-SA"/>
              </w:rPr>
            </w:pPr>
            <w:r>
              <w:rPr>
                <w:rFonts w:ascii="Times New Roman" w:hAnsi="Times New Roman" w:eastAsia="宋体" w:cs="Times New Roman"/>
                <w:snapToGrid w:val="0"/>
                <w:color w:val="auto"/>
                <w:kern w:val="0"/>
                <w:sz w:val="21"/>
                <w:szCs w:val="24"/>
                <w:lang w:val="en-US" w:eastAsia="zh-CN" w:bidi="ar-SA"/>
              </w:rPr>
              <w:t>载质量＞20 t的货车</w:t>
            </w:r>
          </w:p>
        </w:tc>
      </w:tr>
    </w:tbl>
    <w:p w14:paraId="3C0583C4">
      <w:pPr>
        <w:spacing w:line="300"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经计算，拟建公路</w:t>
      </w:r>
      <w:r>
        <w:rPr>
          <w:rFonts w:ascii="Times New Roman" w:hAnsi="Times New Roman" w:eastAsia="宋体" w:cs="Times New Roman"/>
          <w:sz w:val="24"/>
        </w:rPr>
        <w:t>交通组成对通行能力的修正系数</w:t>
      </w:r>
      <w:r>
        <w:rPr>
          <w:rFonts w:ascii="Times New Roman" w:hAnsi="Times New Roman" w:eastAsia="宋体" w:cs="Times New Roman"/>
          <w:sz w:val="24"/>
        </w:rPr>
        <w:object>
          <v:shape id="_x0000_i1046" o:spt="75" type="#_x0000_t75" style="height:18.75pt;width:20.25pt;" o:ole="t" filled="f" o:preferrelative="t" stroked="f" coordsize="21600,21600">
            <v:path/>
            <v:fill on="f" focussize="0,0"/>
            <v:stroke on="f" joinstyle="miter"/>
            <v:imagedata r:id="rId216" o:title=""/>
            <o:lock v:ext="edit" aspectratio="t"/>
            <w10:wrap type="none"/>
            <w10:anchorlock/>
          </v:shape>
          <o:OLEObject Type="Embed" ProgID="Equation.3" ShapeID="_x0000_i1046" DrawAspect="Content" ObjectID="_1468075746" r:id="rId220">
            <o:LockedField>false</o:LockedField>
          </o:OLEObject>
        </w:object>
      </w:r>
      <w:r>
        <w:rPr>
          <w:rFonts w:hint="eastAsia" w:ascii="Times New Roman" w:hAnsi="Times New Roman" w:eastAsia="宋体" w:cs="Times New Roman"/>
          <w:sz w:val="24"/>
        </w:rPr>
        <w:t>的计算结果见表2</w:t>
      </w:r>
      <w:r>
        <w:rPr>
          <w:rFonts w:ascii="Times New Roman" w:hAnsi="Times New Roman" w:eastAsia="宋体" w:cs="Times New Roman"/>
          <w:sz w:val="24"/>
        </w:rPr>
        <w:t>.</w:t>
      </w:r>
      <w:r>
        <w:rPr>
          <w:rFonts w:hint="eastAsia" w:ascii="Times New Roman" w:hAnsi="Times New Roman" w:eastAsia="宋体" w:cs="Times New Roman"/>
          <w:sz w:val="24"/>
        </w:rPr>
        <w:t>5-10。</w:t>
      </w:r>
    </w:p>
    <w:p w14:paraId="5D440EBC">
      <w:pPr>
        <w:spacing w:line="300" w:lineRule="auto"/>
        <w:ind w:firstLine="422" w:firstLineChars="200"/>
        <w:jc w:val="center"/>
        <w:rPr>
          <w:rFonts w:ascii="Times New Roman" w:hAnsi="Times New Roman" w:eastAsia="宋体" w:cs="Times New Roman"/>
          <w:b/>
          <w:bCs/>
          <w:szCs w:val="21"/>
        </w:rPr>
      </w:pPr>
      <w:r>
        <w:rPr>
          <w:rFonts w:hint="eastAsia" w:ascii="Times New Roman" w:hAnsi="Times New Roman" w:eastAsia="宋体" w:cs="Times New Roman"/>
          <w:b/>
          <w:bCs/>
          <w:szCs w:val="21"/>
        </w:rPr>
        <w:t>表2</w:t>
      </w:r>
      <w:r>
        <w:rPr>
          <w:rFonts w:ascii="Times New Roman" w:hAnsi="Times New Roman" w:eastAsia="宋体" w:cs="Times New Roman"/>
          <w:b/>
          <w:bCs/>
          <w:szCs w:val="21"/>
        </w:rPr>
        <w:t>.</w:t>
      </w:r>
      <w:r>
        <w:rPr>
          <w:rFonts w:hint="eastAsia" w:ascii="Times New Roman" w:hAnsi="Times New Roman" w:eastAsia="宋体" w:cs="Times New Roman"/>
          <w:b/>
          <w:bCs/>
          <w:szCs w:val="21"/>
        </w:rPr>
        <w:t>5-10  拟建公路</w:t>
      </w:r>
      <w:r>
        <w:rPr>
          <w:rFonts w:ascii="Times New Roman" w:hAnsi="Times New Roman" w:eastAsia="宋体" w:cs="Times New Roman"/>
          <w:b/>
          <w:bCs/>
          <w:szCs w:val="21"/>
        </w:rPr>
        <w:t>交通组成对通行能力的修正系数</w:t>
      </w:r>
      <w:r>
        <w:rPr>
          <w:rFonts w:ascii="Times New Roman" w:hAnsi="Times New Roman" w:eastAsia="宋体" w:cs="Times New Roman"/>
          <w:b/>
          <w:bCs/>
          <w:szCs w:val="21"/>
        </w:rPr>
        <w:object>
          <v:shape id="_x0000_i1047" o:spt="75" type="#_x0000_t75" style="height:18.75pt;width:20.25pt;" o:ole="t" filled="f" o:preferrelative="t" stroked="f" coordsize="21600,21600">
            <v:path/>
            <v:fill on="f" focussize="0,0"/>
            <v:stroke on="f" joinstyle="miter"/>
            <v:imagedata r:id="rId216" o:title=""/>
            <o:lock v:ext="edit" aspectratio="t"/>
            <w10:wrap type="none"/>
            <w10:anchorlock/>
          </v:shape>
          <o:OLEObject Type="Embed" ProgID="Equation.3" ShapeID="_x0000_i1047" DrawAspect="Content" ObjectID="_1468075747" r:id="rId221">
            <o:LockedField>false</o:LockedField>
          </o:OLEObject>
        </w:object>
      </w:r>
      <w:r>
        <w:rPr>
          <w:rFonts w:hint="eastAsia" w:ascii="Times New Roman" w:hAnsi="Times New Roman" w:eastAsia="宋体" w:cs="Times New Roman"/>
          <w:b/>
          <w:bCs/>
          <w:szCs w:val="21"/>
        </w:rPr>
        <w:t>的计算结果</w:t>
      </w:r>
    </w:p>
    <w:tbl>
      <w:tblPr>
        <w:tblStyle w:val="23"/>
        <w:tblW w:w="4936" w:type="pct"/>
        <w:jc w:val="center"/>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2420"/>
        <w:gridCol w:w="1999"/>
        <w:gridCol w:w="1999"/>
        <w:gridCol w:w="2001"/>
      </w:tblGrid>
      <w:tr w14:paraId="23DD92BB">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437" w:type="pct"/>
          </w:tcPr>
          <w:p w14:paraId="0633976A">
            <w:pPr>
              <w:jc w:val="center"/>
              <w:rPr>
                <w:rFonts w:ascii="Times New Roman" w:hAnsi="Times New Roman" w:eastAsia="宋体" w:cs="Times New Roman"/>
                <w:b/>
                <w:bCs/>
                <w:szCs w:val="21"/>
              </w:rPr>
            </w:pPr>
            <w:r>
              <w:rPr>
                <w:rFonts w:hint="eastAsia" w:ascii="Times New Roman" w:hAnsi="Times New Roman" w:eastAsia="宋体" w:cs="Times New Roman"/>
                <w:b/>
                <w:bCs/>
                <w:szCs w:val="21"/>
              </w:rPr>
              <w:t>特征年</w:t>
            </w:r>
          </w:p>
        </w:tc>
        <w:tc>
          <w:tcPr>
            <w:tcW w:w="1187" w:type="pct"/>
            <w:vAlign w:val="center"/>
          </w:tcPr>
          <w:p w14:paraId="6DC7C3DB">
            <w:pPr>
              <w:jc w:val="center"/>
              <w:rPr>
                <w:rFonts w:ascii="Times New Roman" w:hAnsi="Times New Roman" w:eastAsia="宋体" w:cs="Times New Roman"/>
                <w:b/>
                <w:bCs/>
                <w:szCs w:val="21"/>
              </w:rPr>
            </w:pPr>
            <w:r>
              <w:rPr>
                <w:rFonts w:ascii="Times New Roman" w:hAnsi="Times New Roman" w:eastAsia="宋体" w:cs="Times New Roman"/>
                <w:b/>
                <w:szCs w:val="21"/>
              </w:rPr>
              <w:t>202</w:t>
            </w:r>
            <w:r>
              <w:rPr>
                <w:rFonts w:hint="eastAsia" w:ascii="Times New Roman" w:hAnsi="Times New Roman" w:eastAsia="宋体" w:cs="Times New Roman"/>
                <w:b/>
                <w:szCs w:val="21"/>
              </w:rPr>
              <w:t>8</w:t>
            </w:r>
            <w:r>
              <w:rPr>
                <w:rFonts w:ascii="Times New Roman" w:hAnsi="Times New Roman" w:eastAsia="宋体" w:cs="Times New Roman"/>
                <w:b/>
                <w:szCs w:val="21"/>
              </w:rPr>
              <w:t>年</w:t>
            </w:r>
          </w:p>
        </w:tc>
        <w:tc>
          <w:tcPr>
            <w:tcW w:w="1187" w:type="pct"/>
            <w:vAlign w:val="center"/>
          </w:tcPr>
          <w:p w14:paraId="6FB3DAA2">
            <w:pPr>
              <w:jc w:val="center"/>
              <w:rPr>
                <w:rFonts w:ascii="Times New Roman" w:hAnsi="Times New Roman" w:eastAsia="宋体" w:cs="Times New Roman"/>
                <w:b/>
                <w:bCs/>
                <w:szCs w:val="21"/>
              </w:rPr>
            </w:pPr>
            <w:r>
              <w:rPr>
                <w:rFonts w:ascii="Times New Roman" w:hAnsi="Times New Roman" w:eastAsia="宋体" w:cs="Times New Roman"/>
                <w:b/>
                <w:szCs w:val="21"/>
              </w:rPr>
              <w:t>203</w:t>
            </w:r>
            <w:r>
              <w:rPr>
                <w:rFonts w:hint="eastAsia" w:ascii="Times New Roman" w:hAnsi="Times New Roman" w:eastAsia="宋体" w:cs="Times New Roman"/>
                <w:b/>
                <w:szCs w:val="21"/>
              </w:rPr>
              <w:t>4</w:t>
            </w:r>
            <w:r>
              <w:rPr>
                <w:rFonts w:ascii="Times New Roman" w:hAnsi="Times New Roman" w:eastAsia="宋体" w:cs="Times New Roman"/>
                <w:b/>
                <w:szCs w:val="21"/>
              </w:rPr>
              <w:t>年</w:t>
            </w:r>
          </w:p>
        </w:tc>
        <w:tc>
          <w:tcPr>
            <w:tcW w:w="1188" w:type="pct"/>
            <w:vAlign w:val="center"/>
          </w:tcPr>
          <w:p w14:paraId="157BF633">
            <w:pPr>
              <w:jc w:val="center"/>
              <w:rPr>
                <w:rFonts w:ascii="Times New Roman" w:hAnsi="Times New Roman" w:eastAsia="宋体" w:cs="Times New Roman"/>
                <w:b/>
                <w:bCs/>
                <w:szCs w:val="21"/>
              </w:rPr>
            </w:pPr>
            <w:r>
              <w:rPr>
                <w:rFonts w:ascii="Times New Roman" w:hAnsi="Times New Roman" w:eastAsia="宋体" w:cs="Times New Roman"/>
                <w:b/>
                <w:szCs w:val="21"/>
              </w:rPr>
              <w:t>204</w:t>
            </w:r>
            <w:r>
              <w:rPr>
                <w:rFonts w:hint="eastAsia" w:ascii="Times New Roman" w:hAnsi="Times New Roman" w:eastAsia="宋体" w:cs="Times New Roman"/>
                <w:b/>
                <w:szCs w:val="21"/>
              </w:rPr>
              <w:t>2</w:t>
            </w:r>
            <w:r>
              <w:rPr>
                <w:rFonts w:ascii="Times New Roman" w:hAnsi="Times New Roman" w:eastAsia="宋体" w:cs="Times New Roman"/>
                <w:b/>
                <w:szCs w:val="21"/>
              </w:rPr>
              <w:t>年</w:t>
            </w:r>
          </w:p>
        </w:tc>
      </w:tr>
      <w:tr w14:paraId="1EB767E8">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437" w:type="pct"/>
            <w:vAlign w:val="center"/>
          </w:tcPr>
          <w:p w14:paraId="2EC0D5F3">
            <w:pPr>
              <w:jc w:val="center"/>
              <w:rPr>
                <w:rFonts w:ascii="Times New Roman" w:hAnsi="Times New Roman" w:eastAsia="宋体" w:cs="Times New Roman"/>
                <w:szCs w:val="21"/>
              </w:rPr>
            </w:pPr>
            <w:r>
              <w:rPr>
                <w:rFonts w:ascii="Times New Roman" w:hAnsi="Times New Roman" w:eastAsia="宋体" w:cs="Times New Roman"/>
                <w:bCs/>
                <w:szCs w:val="21"/>
              </w:rPr>
              <w:t>通行能力的修正系数</w:t>
            </w:r>
          </w:p>
        </w:tc>
        <w:tc>
          <w:tcPr>
            <w:tcW w:w="1187" w:type="pct"/>
            <w:vAlign w:val="center"/>
          </w:tcPr>
          <w:p w14:paraId="43C995B0">
            <w:pPr>
              <w:jc w:val="center"/>
              <w:rPr>
                <w:rFonts w:ascii="Times New Roman" w:hAnsi="Times New Roman" w:eastAsia="宋体" w:cs="Times New Roman"/>
              </w:rPr>
            </w:pPr>
            <w:r>
              <w:rPr>
                <w:rFonts w:ascii="Times New Roman" w:hAnsi="Times New Roman" w:eastAsia="宋体" w:cs="Times New Roman"/>
              </w:rPr>
              <w:t>0.63959</w:t>
            </w:r>
          </w:p>
        </w:tc>
        <w:tc>
          <w:tcPr>
            <w:tcW w:w="1187" w:type="pct"/>
            <w:vAlign w:val="center"/>
          </w:tcPr>
          <w:p w14:paraId="73F2C629">
            <w:pPr>
              <w:jc w:val="center"/>
              <w:rPr>
                <w:rFonts w:ascii="Times New Roman" w:hAnsi="Times New Roman" w:eastAsia="宋体" w:cs="Times New Roman"/>
              </w:rPr>
            </w:pPr>
            <w:r>
              <w:rPr>
                <w:rFonts w:hint="eastAsia" w:ascii="Times New Roman" w:hAnsi="Times New Roman" w:eastAsia="宋体" w:cs="Times New Roman"/>
              </w:rPr>
              <w:t>0.63875</w:t>
            </w:r>
          </w:p>
        </w:tc>
        <w:tc>
          <w:tcPr>
            <w:tcW w:w="1188" w:type="pct"/>
            <w:vAlign w:val="center"/>
          </w:tcPr>
          <w:p w14:paraId="32E1FF9C">
            <w:pPr>
              <w:jc w:val="center"/>
              <w:rPr>
                <w:rFonts w:ascii="Times New Roman" w:hAnsi="Times New Roman" w:eastAsia="宋体" w:cs="Times New Roman"/>
              </w:rPr>
            </w:pPr>
            <w:r>
              <w:rPr>
                <w:rFonts w:hint="eastAsia" w:ascii="Times New Roman" w:hAnsi="Times New Roman" w:eastAsia="宋体" w:cs="Times New Roman"/>
              </w:rPr>
              <w:t>0.63894</w:t>
            </w:r>
          </w:p>
        </w:tc>
      </w:tr>
    </w:tbl>
    <w:p w14:paraId="59DC62E4">
      <w:pPr>
        <w:rPr>
          <w:rFonts w:ascii="Times New Roman" w:hAnsi="Times New Roman" w:eastAsia="宋体" w:cs="Times New Roman"/>
        </w:rPr>
      </w:pPr>
    </w:p>
    <w:p w14:paraId="3648F06C">
      <w:pPr>
        <w:spacing w:line="312" w:lineRule="auto"/>
        <w:ind w:firstLine="480" w:firstLineChars="200"/>
        <w:rPr>
          <w:rFonts w:ascii="Times New Roman" w:hAnsi="Times New Roman" w:eastAsia="宋体" w:cs="Times New Roman"/>
          <w:sz w:val="24"/>
        </w:rPr>
      </w:pPr>
      <w:r>
        <w:rPr>
          <w:rFonts w:ascii="Times New Roman" w:hAnsi="Times New Roman" w:eastAsia="宋体" w:cs="Times New Roman"/>
          <w:sz w:val="24"/>
        </w:rPr>
        <w:t>根据上面的公式，拟建公路各代表年份的实际通行能力（</w:t>
      </w:r>
      <w:r>
        <w:rPr>
          <w:rFonts w:hint="eastAsia" w:ascii="Times New Roman" w:hAnsi="Times New Roman" w:eastAsia="宋体" w:cs="Times New Roman"/>
          <w:sz w:val="24"/>
        </w:rPr>
        <w:t>C</w:t>
      </w:r>
      <w:r>
        <w:rPr>
          <w:rFonts w:ascii="Times New Roman" w:hAnsi="Times New Roman" w:eastAsia="宋体" w:cs="Times New Roman"/>
          <w:sz w:val="24"/>
        </w:rPr>
        <w:t>）见表2.5</w:t>
      </w:r>
      <w:r>
        <w:rPr>
          <w:rFonts w:hint="eastAsia" w:ascii="Times New Roman" w:hAnsi="Times New Roman" w:eastAsia="宋体" w:cs="Times New Roman"/>
          <w:sz w:val="24"/>
        </w:rPr>
        <w:t>-11</w:t>
      </w:r>
      <w:r>
        <w:rPr>
          <w:rFonts w:ascii="Times New Roman" w:hAnsi="Times New Roman" w:eastAsia="宋体" w:cs="Times New Roman"/>
          <w:sz w:val="24"/>
        </w:rPr>
        <w:t>，各代表年份昼间、夜间相对交通量预测值（V）见表2.5</w:t>
      </w:r>
      <w:r>
        <w:rPr>
          <w:rFonts w:hint="eastAsia" w:ascii="Times New Roman" w:hAnsi="Times New Roman" w:eastAsia="宋体" w:cs="Times New Roman"/>
          <w:sz w:val="24"/>
        </w:rPr>
        <w:t>-4</w:t>
      </w:r>
      <w:r>
        <w:rPr>
          <w:rFonts w:ascii="Times New Roman" w:hAnsi="Times New Roman" w:eastAsia="宋体" w:cs="Times New Roman"/>
          <w:sz w:val="24"/>
        </w:rPr>
        <w:t>，负荷系数见表2.5</w:t>
      </w:r>
      <w:r>
        <w:rPr>
          <w:rFonts w:hint="eastAsia" w:ascii="Times New Roman" w:hAnsi="Times New Roman" w:eastAsia="宋体" w:cs="Times New Roman"/>
          <w:sz w:val="24"/>
        </w:rPr>
        <w:t>-12</w:t>
      </w:r>
      <w:r>
        <w:rPr>
          <w:rFonts w:ascii="Times New Roman" w:hAnsi="Times New Roman" w:eastAsia="宋体" w:cs="Times New Roman"/>
          <w:sz w:val="24"/>
        </w:rPr>
        <w:t>。</w:t>
      </w:r>
    </w:p>
    <w:p w14:paraId="1B17BB4A">
      <w:pPr>
        <w:widowControl w:val="0"/>
        <w:adjustRightInd w:val="0"/>
        <w:spacing w:beforeLines="50" w:line="240" w:lineRule="auto"/>
        <w:ind w:firstLine="482"/>
        <w:jc w:val="center"/>
        <w:textAlignment w:val="baseline"/>
        <w:rPr>
          <w:rFonts w:ascii="Times New Roman" w:hAnsi="Times New Roman" w:eastAsia="宋体" w:cs="Times New Roman"/>
          <w:b/>
          <w:spacing w:val="5"/>
          <w:kern w:val="0"/>
          <w:sz w:val="21"/>
          <w:szCs w:val="20"/>
          <w:lang w:val="en-US" w:eastAsia="zh-CN" w:bidi="ar-SA"/>
        </w:rPr>
      </w:pPr>
      <w:r>
        <w:rPr>
          <w:rFonts w:ascii="Times New Roman" w:hAnsi="Times New Roman" w:eastAsia="宋体" w:cs="Times New Roman"/>
          <w:b/>
          <w:spacing w:val="5"/>
          <w:kern w:val="0"/>
          <w:sz w:val="21"/>
          <w:szCs w:val="20"/>
          <w:lang w:val="en-US" w:eastAsia="zh-CN" w:bidi="ar-SA"/>
        </w:rPr>
        <w:t>表2.5</w:t>
      </w:r>
      <w:r>
        <w:rPr>
          <w:rFonts w:hint="eastAsia" w:ascii="Times New Roman" w:hAnsi="Times New Roman" w:eastAsia="宋体" w:cs="Times New Roman"/>
          <w:b/>
          <w:spacing w:val="5"/>
          <w:kern w:val="0"/>
          <w:sz w:val="21"/>
          <w:szCs w:val="20"/>
          <w:lang w:val="en-US" w:eastAsia="zh-CN" w:bidi="ar-SA"/>
        </w:rPr>
        <w:t>-11</w:t>
      </w:r>
      <w:r>
        <w:rPr>
          <w:rFonts w:ascii="Times New Roman" w:hAnsi="Times New Roman" w:eastAsia="宋体" w:cs="Times New Roman"/>
          <w:b/>
          <w:spacing w:val="5"/>
          <w:kern w:val="0"/>
          <w:sz w:val="21"/>
          <w:szCs w:val="20"/>
          <w:lang w:val="en-US" w:eastAsia="zh-CN" w:bidi="ar-SA"/>
        </w:rPr>
        <w:t xml:space="preserve">  各代表年实际通行能力</w:t>
      </w:r>
    </w:p>
    <w:tbl>
      <w:tblPr>
        <w:tblStyle w:val="22"/>
        <w:tblW w:w="48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6"/>
        <w:gridCol w:w="1024"/>
        <w:gridCol w:w="1927"/>
        <w:gridCol w:w="2039"/>
        <w:gridCol w:w="1971"/>
      </w:tblGrid>
      <w:tr w14:paraId="40F15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3" w:type="pct"/>
            <w:gridSpan w:val="2"/>
            <w:tcBorders>
              <w:top w:val="thinThickSmallGap" w:color="auto" w:sz="12" w:space="0"/>
              <w:left w:val="thinThickSmallGap" w:color="auto" w:sz="12" w:space="0"/>
              <w:tl2br w:val="single" w:color="auto" w:sz="4" w:space="0"/>
            </w:tcBorders>
          </w:tcPr>
          <w:p w14:paraId="70327BC9">
            <w:pPr>
              <w:jc w:val="right"/>
              <w:rPr>
                <w:rFonts w:ascii="Times New Roman" w:hAnsi="Times New Roman" w:eastAsia="宋体" w:cs="Times New Roman"/>
                <w:b/>
                <w:bCs/>
                <w:szCs w:val="21"/>
              </w:rPr>
            </w:pPr>
            <w:r>
              <w:rPr>
                <w:rFonts w:ascii="Times New Roman" w:hAnsi="Times New Roman" w:eastAsia="宋体" w:cs="Times New Roman"/>
                <w:b/>
                <w:bCs/>
                <w:szCs w:val="21"/>
              </w:rPr>
              <w:t xml:space="preserve">     特征年</w:t>
            </w:r>
          </w:p>
          <w:p w14:paraId="71C78705">
            <w:pPr>
              <w:rPr>
                <w:rFonts w:ascii="Times New Roman" w:hAnsi="Times New Roman" w:eastAsia="宋体" w:cs="Times New Roman"/>
                <w:b/>
                <w:bCs/>
                <w:szCs w:val="21"/>
              </w:rPr>
            </w:pPr>
            <w:r>
              <w:rPr>
                <w:rFonts w:ascii="Times New Roman" w:hAnsi="Times New Roman" w:eastAsia="宋体" w:cs="Times New Roman"/>
                <w:b/>
                <w:bCs/>
                <w:szCs w:val="21"/>
              </w:rPr>
              <w:t>路段</w:t>
            </w:r>
          </w:p>
        </w:tc>
        <w:tc>
          <w:tcPr>
            <w:tcW w:w="1154" w:type="pct"/>
            <w:tcBorders>
              <w:top w:val="thinThickSmallGap" w:color="auto" w:sz="12" w:space="0"/>
              <w:right w:val="single" w:color="auto" w:sz="4" w:space="0"/>
            </w:tcBorders>
            <w:vAlign w:val="center"/>
          </w:tcPr>
          <w:p w14:paraId="464B1F3D">
            <w:pPr>
              <w:jc w:val="center"/>
              <w:rPr>
                <w:rFonts w:ascii="Times New Roman" w:hAnsi="Times New Roman" w:eastAsia="宋体" w:cs="Times New Roman"/>
                <w:b/>
                <w:bCs/>
                <w:szCs w:val="21"/>
              </w:rPr>
            </w:pPr>
            <w:r>
              <w:rPr>
                <w:rFonts w:ascii="Times New Roman" w:hAnsi="Times New Roman" w:eastAsia="宋体" w:cs="Times New Roman"/>
                <w:b/>
                <w:szCs w:val="21"/>
              </w:rPr>
              <w:t>202</w:t>
            </w:r>
            <w:r>
              <w:rPr>
                <w:rFonts w:hint="eastAsia" w:ascii="Times New Roman" w:hAnsi="Times New Roman" w:eastAsia="宋体" w:cs="Times New Roman"/>
                <w:b/>
                <w:szCs w:val="21"/>
              </w:rPr>
              <w:t>8</w:t>
            </w:r>
            <w:r>
              <w:rPr>
                <w:rFonts w:ascii="Times New Roman" w:hAnsi="Times New Roman" w:eastAsia="宋体" w:cs="Times New Roman"/>
                <w:b/>
                <w:szCs w:val="21"/>
              </w:rPr>
              <w:t>年</w:t>
            </w:r>
          </w:p>
        </w:tc>
        <w:tc>
          <w:tcPr>
            <w:tcW w:w="1221" w:type="pct"/>
            <w:tcBorders>
              <w:top w:val="thinThickSmallGap" w:color="auto" w:sz="12" w:space="0"/>
              <w:left w:val="single" w:color="auto" w:sz="4" w:space="0"/>
              <w:right w:val="single" w:color="auto" w:sz="4" w:space="0"/>
            </w:tcBorders>
            <w:vAlign w:val="center"/>
          </w:tcPr>
          <w:p w14:paraId="7F635952">
            <w:pPr>
              <w:jc w:val="center"/>
              <w:rPr>
                <w:rFonts w:ascii="Times New Roman" w:hAnsi="Times New Roman" w:eastAsia="宋体" w:cs="Times New Roman"/>
                <w:b/>
                <w:bCs/>
                <w:szCs w:val="21"/>
              </w:rPr>
            </w:pPr>
            <w:r>
              <w:rPr>
                <w:rFonts w:ascii="Times New Roman" w:hAnsi="Times New Roman" w:eastAsia="宋体" w:cs="Times New Roman"/>
                <w:b/>
                <w:szCs w:val="21"/>
              </w:rPr>
              <w:t>20</w:t>
            </w:r>
            <w:r>
              <w:rPr>
                <w:rFonts w:hint="eastAsia" w:ascii="Times New Roman" w:hAnsi="Times New Roman" w:eastAsia="宋体" w:cs="Times New Roman"/>
                <w:b/>
                <w:szCs w:val="21"/>
              </w:rPr>
              <w:t>34</w:t>
            </w:r>
            <w:r>
              <w:rPr>
                <w:rFonts w:ascii="Times New Roman" w:hAnsi="Times New Roman" w:eastAsia="宋体" w:cs="Times New Roman"/>
                <w:b/>
                <w:szCs w:val="21"/>
              </w:rPr>
              <w:t>年</w:t>
            </w:r>
          </w:p>
        </w:tc>
        <w:tc>
          <w:tcPr>
            <w:tcW w:w="1180" w:type="pct"/>
            <w:tcBorders>
              <w:top w:val="thinThickSmallGap" w:color="auto" w:sz="12" w:space="0"/>
              <w:left w:val="single" w:color="auto" w:sz="4" w:space="0"/>
              <w:right w:val="thickThinSmallGap" w:color="auto" w:sz="12" w:space="0"/>
            </w:tcBorders>
            <w:vAlign w:val="center"/>
          </w:tcPr>
          <w:p w14:paraId="7875B289">
            <w:pPr>
              <w:jc w:val="center"/>
              <w:rPr>
                <w:rFonts w:ascii="Times New Roman" w:hAnsi="Times New Roman" w:eastAsia="宋体" w:cs="Times New Roman"/>
                <w:b/>
                <w:bCs/>
                <w:szCs w:val="21"/>
              </w:rPr>
            </w:pPr>
            <w:r>
              <w:rPr>
                <w:rFonts w:ascii="Times New Roman" w:hAnsi="Times New Roman" w:eastAsia="宋体" w:cs="Times New Roman"/>
                <w:b/>
                <w:szCs w:val="21"/>
              </w:rPr>
              <w:t>204</w:t>
            </w:r>
            <w:r>
              <w:rPr>
                <w:rFonts w:hint="eastAsia" w:ascii="Times New Roman" w:hAnsi="Times New Roman" w:eastAsia="宋体" w:cs="Times New Roman"/>
                <w:b/>
                <w:szCs w:val="21"/>
              </w:rPr>
              <w:t>2</w:t>
            </w:r>
            <w:r>
              <w:rPr>
                <w:rFonts w:ascii="Times New Roman" w:hAnsi="Times New Roman" w:eastAsia="宋体" w:cs="Times New Roman"/>
                <w:b/>
                <w:szCs w:val="21"/>
              </w:rPr>
              <w:t>年</w:t>
            </w:r>
          </w:p>
        </w:tc>
      </w:tr>
      <w:tr w14:paraId="26A90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0" w:type="pct"/>
            <w:vMerge w:val="restart"/>
            <w:tcBorders>
              <w:left w:val="thinThickSmallGap" w:color="auto" w:sz="12" w:space="0"/>
              <w:bottom w:val="thickThinSmallGap" w:color="auto" w:sz="12" w:space="0"/>
              <w:right w:val="single" w:color="auto" w:sz="4" w:space="0"/>
            </w:tcBorders>
            <w:vAlign w:val="center"/>
          </w:tcPr>
          <w:p w14:paraId="7074E366">
            <w:pPr>
              <w:jc w:val="center"/>
              <w:rPr>
                <w:rFonts w:ascii="Times New Roman" w:hAnsi="Times New Roman" w:eastAsia="宋体" w:cs="Times New Roman"/>
                <w:szCs w:val="21"/>
              </w:rPr>
            </w:pPr>
            <w:r>
              <w:rPr>
                <w:rFonts w:ascii="Times New Roman" w:hAnsi="宋体" w:eastAsia="宋体" w:cs="Times New Roman"/>
                <w:szCs w:val="21"/>
              </w:rPr>
              <w:t>全路段</w:t>
            </w:r>
          </w:p>
        </w:tc>
        <w:tc>
          <w:tcPr>
            <w:tcW w:w="613" w:type="pct"/>
            <w:tcBorders>
              <w:left w:val="single" w:color="auto" w:sz="4" w:space="0"/>
            </w:tcBorders>
            <w:vAlign w:val="center"/>
          </w:tcPr>
          <w:p w14:paraId="204E3BF6">
            <w:pPr>
              <w:jc w:val="center"/>
              <w:rPr>
                <w:rFonts w:ascii="Times New Roman" w:hAnsi="Times New Roman" w:eastAsia="宋体" w:cs="Times New Roman"/>
                <w:szCs w:val="21"/>
              </w:rPr>
            </w:pPr>
            <w:r>
              <w:rPr>
                <w:rFonts w:ascii="Times New Roman" w:hAnsi="Times New Roman" w:eastAsia="宋体" w:cs="Times New Roman"/>
                <w:szCs w:val="21"/>
              </w:rPr>
              <w:t>80km/h</w:t>
            </w:r>
          </w:p>
        </w:tc>
        <w:tc>
          <w:tcPr>
            <w:tcW w:w="1154" w:type="pct"/>
            <w:vAlign w:val="center"/>
          </w:tcPr>
          <w:p w14:paraId="44F9AEE1">
            <w:pPr>
              <w:jc w:val="center"/>
              <w:rPr>
                <w:rFonts w:ascii="Times New Roman" w:hAnsi="Times New Roman" w:eastAsia="宋体" w:cs="Times New Roman"/>
                <w:szCs w:val="21"/>
              </w:rPr>
            </w:pPr>
            <w:r>
              <w:rPr>
                <w:rFonts w:hint="eastAsia" w:ascii="Times New Roman" w:hAnsi="Times New Roman" w:eastAsia="宋体" w:cs="Times New Roman"/>
                <w:szCs w:val="21"/>
              </w:rPr>
              <w:t>1093.70003</w:t>
            </w:r>
          </w:p>
        </w:tc>
        <w:tc>
          <w:tcPr>
            <w:tcW w:w="1221" w:type="pct"/>
            <w:vAlign w:val="center"/>
          </w:tcPr>
          <w:p w14:paraId="5F8D783E">
            <w:pPr>
              <w:jc w:val="center"/>
              <w:rPr>
                <w:rFonts w:ascii="Times New Roman" w:hAnsi="Times New Roman" w:eastAsia="宋体" w:cs="Times New Roman"/>
                <w:szCs w:val="21"/>
              </w:rPr>
            </w:pPr>
            <w:r>
              <w:rPr>
                <w:rFonts w:hint="eastAsia" w:ascii="Times New Roman" w:hAnsi="Times New Roman" w:eastAsia="宋体" w:cs="Times New Roman"/>
                <w:szCs w:val="21"/>
              </w:rPr>
              <w:t>1092.25698</w:t>
            </w:r>
          </w:p>
        </w:tc>
        <w:tc>
          <w:tcPr>
            <w:tcW w:w="1180" w:type="pct"/>
            <w:tcBorders>
              <w:right w:val="thickThinSmallGap" w:color="auto" w:sz="12" w:space="0"/>
            </w:tcBorders>
            <w:vAlign w:val="center"/>
          </w:tcPr>
          <w:p w14:paraId="3A2110EA">
            <w:pPr>
              <w:jc w:val="center"/>
              <w:rPr>
                <w:rFonts w:ascii="Times New Roman" w:hAnsi="Times New Roman" w:eastAsia="宋体" w:cs="Times New Roman"/>
                <w:szCs w:val="21"/>
              </w:rPr>
            </w:pPr>
            <w:r>
              <w:rPr>
                <w:rFonts w:hint="eastAsia" w:ascii="Times New Roman" w:hAnsi="Times New Roman" w:eastAsia="宋体" w:cs="Times New Roman"/>
                <w:szCs w:val="21"/>
              </w:rPr>
              <w:t>1092.59216</w:t>
            </w:r>
          </w:p>
        </w:tc>
      </w:tr>
      <w:tr w14:paraId="06878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830" w:type="pct"/>
            <w:vMerge w:val="continue"/>
            <w:tcBorders>
              <w:left w:val="thinThickSmallGap" w:color="auto" w:sz="12" w:space="0"/>
              <w:bottom w:val="thickThinSmallGap" w:color="auto" w:sz="12" w:space="0"/>
              <w:right w:val="single" w:color="auto" w:sz="4" w:space="0"/>
            </w:tcBorders>
            <w:vAlign w:val="center"/>
          </w:tcPr>
          <w:p w14:paraId="46AADB1C">
            <w:pPr>
              <w:jc w:val="center"/>
              <w:rPr>
                <w:rFonts w:ascii="Times New Roman" w:hAnsi="Times New Roman" w:eastAsia="宋体" w:cs="Times New Roman"/>
                <w:szCs w:val="21"/>
              </w:rPr>
            </w:pPr>
          </w:p>
        </w:tc>
        <w:tc>
          <w:tcPr>
            <w:tcW w:w="613" w:type="pct"/>
            <w:tcBorders>
              <w:left w:val="single" w:color="auto" w:sz="4" w:space="0"/>
              <w:bottom w:val="thickThinSmallGap" w:color="auto" w:sz="12" w:space="0"/>
            </w:tcBorders>
            <w:vAlign w:val="center"/>
          </w:tcPr>
          <w:p w14:paraId="6648A92D">
            <w:pPr>
              <w:jc w:val="center"/>
              <w:rPr>
                <w:rFonts w:ascii="Times New Roman" w:hAnsi="Times New Roman" w:eastAsia="宋体" w:cs="Times New Roman"/>
                <w:szCs w:val="21"/>
              </w:rPr>
            </w:pPr>
            <w:r>
              <w:rPr>
                <w:rFonts w:ascii="Times New Roman" w:hAnsi="Times New Roman" w:eastAsia="宋体" w:cs="Times New Roman"/>
                <w:szCs w:val="21"/>
              </w:rPr>
              <w:t>60km/h</w:t>
            </w:r>
          </w:p>
        </w:tc>
        <w:tc>
          <w:tcPr>
            <w:tcW w:w="1154" w:type="pct"/>
            <w:tcBorders>
              <w:bottom w:val="thickThinSmallGap" w:color="auto" w:sz="12" w:space="0"/>
            </w:tcBorders>
            <w:vAlign w:val="center"/>
          </w:tcPr>
          <w:p w14:paraId="079A7663">
            <w:pPr>
              <w:jc w:val="center"/>
              <w:rPr>
                <w:rFonts w:ascii="Times New Roman" w:hAnsi="Times New Roman" w:eastAsia="宋体" w:cs="Times New Roman"/>
                <w:szCs w:val="21"/>
              </w:rPr>
            </w:pPr>
            <w:r>
              <w:rPr>
                <w:rFonts w:hint="eastAsia" w:ascii="Times New Roman" w:hAnsi="Times New Roman" w:eastAsia="宋体" w:cs="Times New Roman"/>
                <w:szCs w:val="21"/>
              </w:rPr>
              <w:t>1036.13687</w:t>
            </w:r>
          </w:p>
        </w:tc>
        <w:tc>
          <w:tcPr>
            <w:tcW w:w="1221" w:type="pct"/>
            <w:tcBorders>
              <w:bottom w:val="thickThinSmallGap" w:color="auto" w:sz="12" w:space="0"/>
            </w:tcBorders>
            <w:vAlign w:val="center"/>
          </w:tcPr>
          <w:p w14:paraId="4CE84CBF">
            <w:pPr>
              <w:jc w:val="center"/>
              <w:rPr>
                <w:rFonts w:ascii="Times New Roman" w:hAnsi="Times New Roman" w:eastAsia="宋体" w:cs="Times New Roman"/>
                <w:szCs w:val="21"/>
              </w:rPr>
            </w:pPr>
            <w:r>
              <w:rPr>
                <w:rFonts w:hint="eastAsia" w:ascii="Times New Roman" w:hAnsi="Times New Roman" w:eastAsia="宋体" w:cs="Times New Roman"/>
                <w:szCs w:val="21"/>
              </w:rPr>
              <w:t>1034.76977</w:t>
            </w:r>
          </w:p>
        </w:tc>
        <w:tc>
          <w:tcPr>
            <w:tcW w:w="1180" w:type="pct"/>
            <w:tcBorders>
              <w:bottom w:val="thickThinSmallGap" w:color="auto" w:sz="12" w:space="0"/>
              <w:right w:val="thickThinSmallGap" w:color="auto" w:sz="12" w:space="0"/>
            </w:tcBorders>
            <w:vAlign w:val="center"/>
          </w:tcPr>
          <w:p w14:paraId="6D7CB950">
            <w:pPr>
              <w:jc w:val="center"/>
              <w:rPr>
                <w:rFonts w:ascii="Times New Roman" w:hAnsi="Times New Roman" w:eastAsia="宋体" w:cs="Times New Roman"/>
                <w:szCs w:val="21"/>
              </w:rPr>
            </w:pPr>
            <w:r>
              <w:rPr>
                <w:rFonts w:hint="eastAsia" w:ascii="Times New Roman" w:hAnsi="Times New Roman" w:eastAsia="宋体" w:cs="Times New Roman"/>
                <w:szCs w:val="21"/>
              </w:rPr>
              <w:t>1035.08731</w:t>
            </w:r>
          </w:p>
        </w:tc>
      </w:tr>
    </w:tbl>
    <w:p w14:paraId="5ABD2842">
      <w:pPr>
        <w:keepNext w:val="0"/>
        <w:keepLines w:val="0"/>
        <w:pageBreakBefore w:val="0"/>
        <w:widowControl w:val="0"/>
        <w:kinsoku/>
        <w:wordWrap/>
        <w:overflowPunct/>
        <w:topLinePunct w:val="0"/>
        <w:autoSpaceDE/>
        <w:autoSpaceDN/>
        <w:bidi w:val="0"/>
        <w:adjustRightInd w:val="0"/>
        <w:snapToGrid/>
        <w:spacing w:before="313" w:beforeLines="100" w:line="240" w:lineRule="auto"/>
        <w:jc w:val="center"/>
        <w:textAlignment w:val="baseline"/>
        <w:rPr>
          <w:rFonts w:ascii="Times New Roman" w:hAnsi="Times New Roman" w:eastAsia="宋体" w:cs="Times New Roman"/>
          <w:b/>
          <w:spacing w:val="5"/>
          <w:kern w:val="0"/>
          <w:sz w:val="21"/>
          <w:szCs w:val="20"/>
          <w:lang w:val="en-US" w:eastAsia="zh-CN" w:bidi="ar-SA"/>
        </w:rPr>
      </w:pPr>
      <w:r>
        <w:rPr>
          <w:rFonts w:ascii="Times New Roman" w:hAnsi="Times New Roman" w:eastAsia="宋体" w:cs="Times New Roman"/>
          <w:b/>
          <w:spacing w:val="5"/>
          <w:kern w:val="0"/>
          <w:sz w:val="21"/>
          <w:szCs w:val="20"/>
          <w:lang w:val="en-US" w:eastAsia="zh-CN" w:bidi="ar-SA"/>
        </w:rPr>
        <w:t>表2.5</w:t>
      </w:r>
      <w:r>
        <w:rPr>
          <w:rFonts w:hint="eastAsia" w:ascii="Times New Roman" w:hAnsi="Times New Roman" w:eastAsia="宋体" w:cs="Times New Roman"/>
          <w:b/>
          <w:spacing w:val="5"/>
          <w:kern w:val="0"/>
          <w:sz w:val="21"/>
          <w:szCs w:val="20"/>
          <w:lang w:val="en-US" w:eastAsia="zh-CN" w:bidi="ar-SA"/>
        </w:rPr>
        <w:t>-12</w:t>
      </w:r>
      <w:r>
        <w:rPr>
          <w:rFonts w:ascii="Times New Roman" w:hAnsi="Times New Roman" w:eastAsia="宋体" w:cs="Times New Roman"/>
          <w:b/>
          <w:spacing w:val="5"/>
          <w:kern w:val="0"/>
          <w:sz w:val="21"/>
          <w:szCs w:val="20"/>
          <w:lang w:val="en-US" w:eastAsia="zh-CN" w:bidi="ar-SA"/>
        </w:rPr>
        <w:t xml:space="preserve">  各代表年昼间、夜间负荷系数（V/C）</w:t>
      </w:r>
    </w:p>
    <w:tbl>
      <w:tblPr>
        <w:tblStyle w:val="22"/>
        <w:tblW w:w="4910" w:type="pct"/>
        <w:jc w:val="center"/>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244"/>
        <w:gridCol w:w="2240"/>
        <w:gridCol w:w="815"/>
        <w:gridCol w:w="815"/>
        <w:gridCol w:w="815"/>
        <w:gridCol w:w="817"/>
        <w:gridCol w:w="815"/>
        <w:gridCol w:w="814"/>
      </w:tblGrid>
      <w:tr w14:paraId="10F74A38">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2080" w:type="pct"/>
            <w:gridSpan w:val="2"/>
            <w:vMerge w:val="restart"/>
            <w:noWrap/>
            <w:vAlign w:val="center"/>
          </w:tcPr>
          <w:p w14:paraId="0C4E57EB">
            <w:pPr>
              <w:jc w:val="center"/>
              <w:rPr>
                <w:rFonts w:ascii="Times New Roman" w:hAnsi="Times New Roman" w:eastAsia="宋体" w:cs="Times New Roman"/>
                <w:b/>
                <w:kern w:val="0"/>
                <w:szCs w:val="21"/>
              </w:rPr>
            </w:pPr>
            <w:r>
              <w:rPr>
                <w:rFonts w:ascii="Times New Roman" w:hAnsi="Times New Roman" w:eastAsia="宋体" w:cs="Times New Roman"/>
                <w:b/>
                <w:kern w:val="0"/>
                <w:szCs w:val="21"/>
              </w:rPr>
              <w:t>路段</w:t>
            </w:r>
          </w:p>
        </w:tc>
        <w:tc>
          <w:tcPr>
            <w:tcW w:w="973" w:type="pct"/>
            <w:gridSpan w:val="2"/>
            <w:noWrap/>
            <w:vAlign w:val="center"/>
          </w:tcPr>
          <w:p w14:paraId="13390580">
            <w:pPr>
              <w:jc w:val="center"/>
              <w:rPr>
                <w:rFonts w:ascii="Times New Roman" w:hAnsi="Times New Roman" w:eastAsia="宋体" w:cs="Times New Roman"/>
                <w:b/>
                <w:kern w:val="0"/>
                <w:szCs w:val="21"/>
              </w:rPr>
            </w:pPr>
            <w:r>
              <w:rPr>
                <w:rFonts w:ascii="Times New Roman" w:hAnsi="Times New Roman" w:eastAsia="宋体" w:cs="Times New Roman"/>
                <w:b/>
                <w:kern w:val="0"/>
                <w:szCs w:val="21"/>
              </w:rPr>
              <w:t>20</w:t>
            </w:r>
            <w:r>
              <w:rPr>
                <w:rFonts w:hint="eastAsia" w:ascii="Times New Roman" w:hAnsi="Times New Roman" w:eastAsia="宋体" w:cs="Times New Roman"/>
                <w:b/>
                <w:kern w:val="0"/>
                <w:szCs w:val="21"/>
              </w:rPr>
              <w:t>28</w:t>
            </w:r>
            <w:r>
              <w:rPr>
                <w:rFonts w:ascii="Times New Roman" w:hAnsi="Times New Roman" w:eastAsia="宋体" w:cs="Times New Roman"/>
                <w:b/>
                <w:kern w:val="0"/>
                <w:szCs w:val="21"/>
              </w:rPr>
              <w:t>年</w:t>
            </w:r>
          </w:p>
        </w:tc>
        <w:tc>
          <w:tcPr>
            <w:tcW w:w="974" w:type="pct"/>
            <w:gridSpan w:val="2"/>
            <w:noWrap/>
            <w:vAlign w:val="center"/>
          </w:tcPr>
          <w:p w14:paraId="2EB8D2E5">
            <w:pPr>
              <w:jc w:val="center"/>
              <w:rPr>
                <w:rFonts w:ascii="Times New Roman" w:hAnsi="Times New Roman" w:eastAsia="宋体" w:cs="Times New Roman"/>
                <w:b/>
                <w:kern w:val="0"/>
                <w:szCs w:val="21"/>
              </w:rPr>
            </w:pPr>
            <w:r>
              <w:rPr>
                <w:rFonts w:ascii="Times New Roman" w:hAnsi="Times New Roman" w:eastAsia="宋体" w:cs="Times New Roman"/>
                <w:b/>
                <w:kern w:val="0"/>
                <w:szCs w:val="21"/>
              </w:rPr>
              <w:t>203</w:t>
            </w:r>
            <w:r>
              <w:rPr>
                <w:rFonts w:hint="eastAsia" w:ascii="Times New Roman" w:hAnsi="Times New Roman" w:eastAsia="宋体" w:cs="Times New Roman"/>
                <w:b/>
                <w:kern w:val="0"/>
                <w:szCs w:val="21"/>
              </w:rPr>
              <w:t>4</w:t>
            </w:r>
            <w:r>
              <w:rPr>
                <w:rFonts w:ascii="Times New Roman" w:hAnsi="Times New Roman" w:eastAsia="宋体" w:cs="Times New Roman"/>
                <w:b/>
                <w:kern w:val="0"/>
                <w:szCs w:val="21"/>
              </w:rPr>
              <w:t>年</w:t>
            </w:r>
          </w:p>
        </w:tc>
        <w:tc>
          <w:tcPr>
            <w:tcW w:w="972" w:type="pct"/>
            <w:gridSpan w:val="2"/>
            <w:noWrap/>
            <w:vAlign w:val="center"/>
          </w:tcPr>
          <w:p w14:paraId="2733935E">
            <w:pPr>
              <w:jc w:val="center"/>
              <w:rPr>
                <w:rFonts w:ascii="Times New Roman" w:hAnsi="Times New Roman" w:eastAsia="宋体" w:cs="Times New Roman"/>
                <w:b/>
                <w:kern w:val="0"/>
                <w:szCs w:val="21"/>
              </w:rPr>
            </w:pPr>
            <w:r>
              <w:rPr>
                <w:rFonts w:ascii="Times New Roman" w:hAnsi="Times New Roman" w:eastAsia="宋体" w:cs="Times New Roman"/>
                <w:b/>
                <w:kern w:val="0"/>
                <w:szCs w:val="21"/>
              </w:rPr>
              <w:t>204</w:t>
            </w:r>
            <w:r>
              <w:rPr>
                <w:rFonts w:hint="eastAsia" w:ascii="Times New Roman" w:hAnsi="Times New Roman" w:eastAsia="宋体" w:cs="Times New Roman"/>
                <w:b/>
                <w:kern w:val="0"/>
                <w:szCs w:val="21"/>
              </w:rPr>
              <w:t>2</w:t>
            </w:r>
            <w:r>
              <w:rPr>
                <w:rFonts w:ascii="Times New Roman" w:hAnsi="Times New Roman" w:eastAsia="宋体" w:cs="Times New Roman"/>
                <w:b/>
                <w:kern w:val="0"/>
                <w:szCs w:val="21"/>
              </w:rPr>
              <w:t>年</w:t>
            </w:r>
          </w:p>
        </w:tc>
      </w:tr>
      <w:tr w14:paraId="3B096829">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2080" w:type="pct"/>
            <w:gridSpan w:val="2"/>
            <w:vMerge w:val="continue"/>
            <w:vAlign w:val="center"/>
          </w:tcPr>
          <w:p w14:paraId="413B7D34">
            <w:pPr>
              <w:jc w:val="center"/>
              <w:rPr>
                <w:rFonts w:ascii="Times New Roman" w:hAnsi="Times New Roman" w:eastAsia="宋体" w:cs="Times New Roman"/>
                <w:b/>
                <w:kern w:val="0"/>
                <w:szCs w:val="21"/>
              </w:rPr>
            </w:pPr>
          </w:p>
        </w:tc>
        <w:tc>
          <w:tcPr>
            <w:tcW w:w="486" w:type="pct"/>
            <w:noWrap/>
            <w:vAlign w:val="center"/>
          </w:tcPr>
          <w:p w14:paraId="7DD27047">
            <w:pPr>
              <w:jc w:val="center"/>
              <w:rPr>
                <w:rFonts w:ascii="Times New Roman" w:hAnsi="Times New Roman" w:eastAsia="宋体" w:cs="Times New Roman"/>
                <w:b/>
                <w:kern w:val="0"/>
                <w:szCs w:val="21"/>
              </w:rPr>
            </w:pPr>
            <w:r>
              <w:rPr>
                <w:rFonts w:ascii="Times New Roman" w:hAnsi="Times New Roman" w:eastAsia="宋体" w:cs="Times New Roman"/>
                <w:b/>
                <w:kern w:val="0"/>
                <w:szCs w:val="21"/>
              </w:rPr>
              <w:t>昼间</w:t>
            </w:r>
          </w:p>
        </w:tc>
        <w:tc>
          <w:tcPr>
            <w:tcW w:w="486" w:type="pct"/>
            <w:noWrap/>
            <w:vAlign w:val="center"/>
          </w:tcPr>
          <w:p w14:paraId="7CE5582D">
            <w:pPr>
              <w:jc w:val="center"/>
              <w:rPr>
                <w:rFonts w:ascii="Times New Roman" w:hAnsi="Times New Roman" w:eastAsia="宋体" w:cs="Times New Roman"/>
                <w:b/>
                <w:kern w:val="0"/>
                <w:szCs w:val="21"/>
              </w:rPr>
            </w:pPr>
            <w:r>
              <w:rPr>
                <w:rFonts w:ascii="Times New Roman" w:hAnsi="Times New Roman" w:eastAsia="宋体" w:cs="Times New Roman"/>
                <w:b/>
                <w:kern w:val="0"/>
                <w:szCs w:val="21"/>
              </w:rPr>
              <w:t>夜间</w:t>
            </w:r>
          </w:p>
        </w:tc>
        <w:tc>
          <w:tcPr>
            <w:tcW w:w="486" w:type="pct"/>
            <w:noWrap/>
            <w:vAlign w:val="center"/>
          </w:tcPr>
          <w:p w14:paraId="0C1FBAEE">
            <w:pPr>
              <w:jc w:val="center"/>
              <w:rPr>
                <w:rFonts w:ascii="Times New Roman" w:hAnsi="Times New Roman" w:eastAsia="宋体" w:cs="Times New Roman"/>
                <w:b/>
                <w:kern w:val="0"/>
                <w:szCs w:val="21"/>
              </w:rPr>
            </w:pPr>
            <w:r>
              <w:rPr>
                <w:rFonts w:ascii="Times New Roman" w:hAnsi="Times New Roman" w:eastAsia="宋体" w:cs="Times New Roman"/>
                <w:b/>
                <w:kern w:val="0"/>
                <w:szCs w:val="21"/>
              </w:rPr>
              <w:t>昼间</w:t>
            </w:r>
          </w:p>
        </w:tc>
        <w:tc>
          <w:tcPr>
            <w:tcW w:w="487" w:type="pct"/>
            <w:noWrap/>
            <w:vAlign w:val="center"/>
          </w:tcPr>
          <w:p w14:paraId="08F6870F">
            <w:pPr>
              <w:jc w:val="center"/>
              <w:rPr>
                <w:rFonts w:ascii="Times New Roman" w:hAnsi="Times New Roman" w:eastAsia="宋体" w:cs="Times New Roman"/>
                <w:b/>
                <w:kern w:val="0"/>
                <w:szCs w:val="21"/>
              </w:rPr>
            </w:pPr>
            <w:r>
              <w:rPr>
                <w:rFonts w:ascii="Times New Roman" w:hAnsi="Times New Roman" w:eastAsia="宋体" w:cs="Times New Roman"/>
                <w:b/>
                <w:kern w:val="0"/>
                <w:szCs w:val="21"/>
              </w:rPr>
              <w:t>夜间</w:t>
            </w:r>
          </w:p>
        </w:tc>
        <w:tc>
          <w:tcPr>
            <w:tcW w:w="486" w:type="pct"/>
            <w:noWrap/>
            <w:vAlign w:val="center"/>
          </w:tcPr>
          <w:p w14:paraId="619CCE7F">
            <w:pPr>
              <w:jc w:val="center"/>
              <w:rPr>
                <w:rFonts w:ascii="Times New Roman" w:hAnsi="Times New Roman" w:eastAsia="宋体" w:cs="Times New Roman"/>
                <w:b/>
                <w:kern w:val="0"/>
                <w:szCs w:val="21"/>
              </w:rPr>
            </w:pPr>
            <w:r>
              <w:rPr>
                <w:rFonts w:ascii="Times New Roman" w:hAnsi="Times New Roman" w:eastAsia="宋体" w:cs="Times New Roman"/>
                <w:b/>
                <w:kern w:val="0"/>
                <w:szCs w:val="21"/>
              </w:rPr>
              <w:t>昼间</w:t>
            </w:r>
          </w:p>
        </w:tc>
        <w:tc>
          <w:tcPr>
            <w:tcW w:w="485" w:type="pct"/>
            <w:noWrap/>
            <w:vAlign w:val="center"/>
          </w:tcPr>
          <w:p w14:paraId="210AE0A3">
            <w:pPr>
              <w:jc w:val="center"/>
              <w:rPr>
                <w:rFonts w:ascii="Times New Roman" w:hAnsi="Times New Roman" w:eastAsia="宋体" w:cs="Times New Roman"/>
                <w:b/>
                <w:kern w:val="0"/>
                <w:szCs w:val="21"/>
              </w:rPr>
            </w:pPr>
            <w:r>
              <w:rPr>
                <w:rFonts w:ascii="Times New Roman" w:hAnsi="Times New Roman" w:eastAsia="宋体" w:cs="Times New Roman"/>
                <w:b/>
                <w:kern w:val="0"/>
                <w:szCs w:val="21"/>
              </w:rPr>
              <w:t>夜间</w:t>
            </w:r>
          </w:p>
        </w:tc>
      </w:tr>
      <w:tr w14:paraId="1CCD1DD6">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742" w:type="pct"/>
            <w:vMerge w:val="restart"/>
            <w:noWrap/>
            <w:vAlign w:val="center"/>
          </w:tcPr>
          <w:p w14:paraId="0B53C800">
            <w:pPr>
              <w:jc w:val="center"/>
              <w:rPr>
                <w:rFonts w:ascii="宋体" w:hAnsi="宋体" w:eastAsia="宋体" w:cs="宋体"/>
                <w:sz w:val="24"/>
              </w:rPr>
            </w:pPr>
            <w:r>
              <w:rPr>
                <w:rFonts w:hint="eastAsia" w:ascii="Times New Roman" w:hAnsi="Times New Roman" w:eastAsia="宋体" w:cs="Times New Roman"/>
              </w:rPr>
              <w:t>起点～胜利路</w:t>
            </w:r>
          </w:p>
        </w:tc>
        <w:tc>
          <w:tcPr>
            <w:tcW w:w="1337" w:type="pct"/>
            <w:vAlign w:val="center"/>
          </w:tcPr>
          <w:p w14:paraId="1530BACA">
            <w:pPr>
              <w:jc w:val="center"/>
              <w:rPr>
                <w:rFonts w:ascii="Times New Roman" w:hAnsi="Times New Roman" w:eastAsia="宋体" w:cs="Times New Roman"/>
                <w:szCs w:val="21"/>
              </w:rPr>
            </w:pPr>
            <w:r>
              <w:rPr>
                <w:rFonts w:hint="eastAsia" w:ascii="Times New Roman" w:hAnsi="Times New Roman" w:eastAsia="宋体" w:cs="Times New Roman"/>
                <w:szCs w:val="21"/>
              </w:rPr>
              <w:t>其余</w:t>
            </w:r>
            <w:r>
              <w:rPr>
                <w:rFonts w:ascii="Times New Roman" w:hAnsi="Times New Roman" w:eastAsia="宋体" w:cs="Times New Roman"/>
                <w:szCs w:val="21"/>
              </w:rPr>
              <w:t>路段（</w:t>
            </w:r>
            <w:r>
              <w:rPr>
                <w:rFonts w:hint="eastAsia" w:ascii="Times New Roman" w:hAnsi="Times New Roman" w:eastAsia="宋体" w:cs="Times New Roman"/>
                <w:szCs w:val="21"/>
              </w:rPr>
              <w:t>8</w:t>
            </w:r>
            <w:r>
              <w:rPr>
                <w:rFonts w:ascii="Times New Roman" w:hAnsi="Times New Roman" w:eastAsia="宋体" w:cs="Times New Roman"/>
                <w:szCs w:val="21"/>
              </w:rPr>
              <w:t>0km/h）</w:t>
            </w:r>
          </w:p>
        </w:tc>
        <w:tc>
          <w:tcPr>
            <w:tcW w:w="486" w:type="pct"/>
            <w:noWrap/>
            <w:vAlign w:val="center"/>
          </w:tcPr>
          <w:p w14:paraId="6DAF78B2">
            <w:pPr>
              <w:jc w:val="center"/>
              <w:rPr>
                <w:rFonts w:ascii="Times New Roman" w:hAnsi="Times New Roman" w:eastAsia="宋体" w:cs="Times New Roman"/>
                <w:sz w:val="24"/>
              </w:rPr>
            </w:pPr>
            <w:r>
              <w:rPr>
                <w:rFonts w:ascii="Times New Roman" w:hAnsi="Times New Roman" w:eastAsia="宋体" w:cs="Times New Roman"/>
              </w:rPr>
              <w:t>0.17</w:t>
            </w:r>
          </w:p>
        </w:tc>
        <w:tc>
          <w:tcPr>
            <w:tcW w:w="486" w:type="pct"/>
            <w:noWrap/>
            <w:vAlign w:val="center"/>
          </w:tcPr>
          <w:p w14:paraId="0E7166E6">
            <w:pPr>
              <w:jc w:val="center"/>
              <w:rPr>
                <w:rFonts w:ascii="Times New Roman" w:hAnsi="Times New Roman" w:eastAsia="宋体" w:cs="Times New Roman"/>
                <w:sz w:val="24"/>
              </w:rPr>
            </w:pPr>
            <w:r>
              <w:rPr>
                <w:rFonts w:ascii="Times New Roman" w:hAnsi="Times New Roman" w:eastAsia="宋体" w:cs="Times New Roman"/>
              </w:rPr>
              <w:t>0.07</w:t>
            </w:r>
          </w:p>
        </w:tc>
        <w:tc>
          <w:tcPr>
            <w:tcW w:w="486" w:type="pct"/>
            <w:noWrap/>
            <w:vAlign w:val="center"/>
          </w:tcPr>
          <w:p w14:paraId="06EAFA4C">
            <w:pPr>
              <w:jc w:val="center"/>
              <w:rPr>
                <w:rFonts w:ascii="Times New Roman" w:hAnsi="Times New Roman" w:eastAsia="宋体" w:cs="Times New Roman"/>
                <w:sz w:val="24"/>
              </w:rPr>
            </w:pPr>
            <w:r>
              <w:rPr>
                <w:rFonts w:ascii="Times New Roman" w:hAnsi="Times New Roman" w:eastAsia="宋体" w:cs="Times New Roman"/>
              </w:rPr>
              <w:t>0.21</w:t>
            </w:r>
          </w:p>
        </w:tc>
        <w:tc>
          <w:tcPr>
            <w:tcW w:w="487" w:type="pct"/>
            <w:noWrap/>
            <w:vAlign w:val="center"/>
          </w:tcPr>
          <w:p w14:paraId="714438F9">
            <w:pPr>
              <w:jc w:val="center"/>
              <w:rPr>
                <w:rFonts w:ascii="Times New Roman" w:hAnsi="Times New Roman" w:eastAsia="宋体" w:cs="Times New Roman"/>
                <w:sz w:val="24"/>
              </w:rPr>
            </w:pPr>
            <w:r>
              <w:rPr>
                <w:rFonts w:ascii="Times New Roman" w:hAnsi="Times New Roman" w:eastAsia="宋体" w:cs="Times New Roman"/>
              </w:rPr>
              <w:t>0.08</w:t>
            </w:r>
          </w:p>
        </w:tc>
        <w:tc>
          <w:tcPr>
            <w:tcW w:w="486" w:type="pct"/>
            <w:noWrap/>
            <w:vAlign w:val="center"/>
          </w:tcPr>
          <w:p w14:paraId="4DF3EE26">
            <w:pPr>
              <w:jc w:val="center"/>
              <w:rPr>
                <w:rFonts w:ascii="Times New Roman" w:hAnsi="Times New Roman" w:eastAsia="宋体" w:cs="Times New Roman"/>
                <w:b/>
                <w:bCs/>
                <w:sz w:val="24"/>
              </w:rPr>
            </w:pPr>
            <w:r>
              <w:rPr>
                <w:rFonts w:ascii="Times New Roman" w:hAnsi="Times New Roman" w:eastAsia="宋体" w:cs="Times New Roman"/>
                <w:b/>
                <w:bCs/>
              </w:rPr>
              <w:t>0.24</w:t>
            </w:r>
          </w:p>
        </w:tc>
        <w:tc>
          <w:tcPr>
            <w:tcW w:w="485" w:type="pct"/>
            <w:noWrap/>
            <w:vAlign w:val="center"/>
          </w:tcPr>
          <w:p w14:paraId="46EFEC10">
            <w:pPr>
              <w:jc w:val="center"/>
              <w:rPr>
                <w:rFonts w:ascii="Times New Roman" w:hAnsi="Times New Roman" w:eastAsia="宋体" w:cs="Times New Roman"/>
                <w:sz w:val="24"/>
              </w:rPr>
            </w:pPr>
            <w:r>
              <w:rPr>
                <w:rFonts w:ascii="Times New Roman" w:hAnsi="Times New Roman" w:eastAsia="宋体" w:cs="Times New Roman"/>
              </w:rPr>
              <w:t>0.10</w:t>
            </w:r>
          </w:p>
        </w:tc>
      </w:tr>
      <w:tr w14:paraId="1F6D6CB4">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742" w:type="pct"/>
            <w:vMerge w:val="continue"/>
            <w:noWrap/>
            <w:vAlign w:val="center"/>
          </w:tcPr>
          <w:p w14:paraId="4D1A2C73">
            <w:pPr>
              <w:jc w:val="center"/>
              <w:rPr>
                <w:rFonts w:ascii="Times New Roman" w:hAnsi="Times New Roman" w:eastAsia="宋体" w:cs="Times New Roman"/>
              </w:rPr>
            </w:pPr>
          </w:p>
        </w:tc>
        <w:tc>
          <w:tcPr>
            <w:tcW w:w="1337" w:type="pct"/>
            <w:vAlign w:val="center"/>
          </w:tcPr>
          <w:p w14:paraId="4C304635">
            <w:pPr>
              <w:jc w:val="center"/>
              <w:rPr>
                <w:rFonts w:ascii="Times New Roman" w:hAnsi="Times New Roman" w:eastAsia="宋体" w:cs="Times New Roman"/>
                <w:szCs w:val="21"/>
              </w:rPr>
            </w:pPr>
            <w:r>
              <w:rPr>
                <w:rFonts w:ascii="Times New Roman" w:hAnsi="Times New Roman" w:eastAsia="宋体" w:cs="Times New Roman"/>
                <w:szCs w:val="21"/>
              </w:rPr>
              <w:t>K18+300～K22+410（60km/h）</w:t>
            </w:r>
          </w:p>
        </w:tc>
        <w:tc>
          <w:tcPr>
            <w:tcW w:w="486" w:type="pct"/>
            <w:noWrap/>
            <w:vAlign w:val="center"/>
          </w:tcPr>
          <w:p w14:paraId="4DAAB96F">
            <w:pPr>
              <w:jc w:val="center"/>
              <w:rPr>
                <w:rFonts w:ascii="Times New Roman" w:hAnsi="Times New Roman" w:eastAsia="宋体" w:cs="Times New Roman"/>
                <w:sz w:val="24"/>
              </w:rPr>
            </w:pPr>
            <w:r>
              <w:rPr>
                <w:rFonts w:ascii="Times New Roman" w:hAnsi="Times New Roman" w:eastAsia="宋体" w:cs="Times New Roman"/>
              </w:rPr>
              <w:t>0.18</w:t>
            </w:r>
          </w:p>
        </w:tc>
        <w:tc>
          <w:tcPr>
            <w:tcW w:w="486" w:type="pct"/>
            <w:noWrap/>
            <w:vAlign w:val="center"/>
          </w:tcPr>
          <w:p w14:paraId="5002C4DB">
            <w:pPr>
              <w:jc w:val="center"/>
              <w:rPr>
                <w:rFonts w:ascii="Times New Roman" w:hAnsi="Times New Roman" w:eastAsia="宋体" w:cs="Times New Roman"/>
                <w:sz w:val="24"/>
              </w:rPr>
            </w:pPr>
            <w:r>
              <w:rPr>
                <w:rFonts w:ascii="Times New Roman" w:hAnsi="Times New Roman" w:eastAsia="宋体" w:cs="Times New Roman"/>
              </w:rPr>
              <w:t>0.07</w:t>
            </w:r>
          </w:p>
        </w:tc>
        <w:tc>
          <w:tcPr>
            <w:tcW w:w="486" w:type="pct"/>
            <w:noWrap/>
            <w:vAlign w:val="center"/>
          </w:tcPr>
          <w:p w14:paraId="59BA0247">
            <w:pPr>
              <w:jc w:val="center"/>
              <w:rPr>
                <w:rFonts w:ascii="Times New Roman" w:hAnsi="Times New Roman" w:eastAsia="宋体" w:cs="Times New Roman"/>
                <w:b/>
                <w:bCs/>
                <w:sz w:val="24"/>
              </w:rPr>
            </w:pPr>
            <w:r>
              <w:rPr>
                <w:rFonts w:ascii="Times New Roman" w:hAnsi="Times New Roman" w:eastAsia="宋体" w:cs="Times New Roman"/>
                <w:b/>
                <w:bCs/>
              </w:rPr>
              <w:t>0.22</w:t>
            </w:r>
          </w:p>
        </w:tc>
        <w:tc>
          <w:tcPr>
            <w:tcW w:w="487" w:type="pct"/>
            <w:noWrap/>
            <w:vAlign w:val="center"/>
          </w:tcPr>
          <w:p w14:paraId="70BD36CC">
            <w:pPr>
              <w:jc w:val="center"/>
              <w:rPr>
                <w:rFonts w:ascii="Times New Roman" w:hAnsi="Times New Roman" w:eastAsia="宋体" w:cs="Times New Roman"/>
                <w:sz w:val="24"/>
              </w:rPr>
            </w:pPr>
            <w:r>
              <w:rPr>
                <w:rFonts w:ascii="Times New Roman" w:hAnsi="Times New Roman" w:eastAsia="宋体" w:cs="Times New Roman"/>
              </w:rPr>
              <w:t>0.09</w:t>
            </w:r>
          </w:p>
        </w:tc>
        <w:tc>
          <w:tcPr>
            <w:tcW w:w="486" w:type="pct"/>
            <w:noWrap/>
            <w:vAlign w:val="center"/>
          </w:tcPr>
          <w:p w14:paraId="47AF20BF">
            <w:pPr>
              <w:jc w:val="center"/>
              <w:rPr>
                <w:rFonts w:ascii="Times New Roman" w:hAnsi="Times New Roman" w:eastAsia="宋体" w:cs="Times New Roman"/>
                <w:b/>
                <w:bCs/>
                <w:sz w:val="24"/>
              </w:rPr>
            </w:pPr>
            <w:r>
              <w:rPr>
                <w:rFonts w:ascii="Times New Roman" w:hAnsi="Times New Roman" w:eastAsia="宋体" w:cs="Times New Roman"/>
                <w:b/>
                <w:bCs/>
              </w:rPr>
              <w:t>0.25</w:t>
            </w:r>
          </w:p>
        </w:tc>
        <w:tc>
          <w:tcPr>
            <w:tcW w:w="485" w:type="pct"/>
            <w:noWrap/>
            <w:vAlign w:val="center"/>
          </w:tcPr>
          <w:p w14:paraId="3A3BEA49">
            <w:pPr>
              <w:jc w:val="center"/>
              <w:rPr>
                <w:rFonts w:ascii="Times New Roman" w:hAnsi="Times New Roman" w:eastAsia="宋体" w:cs="Times New Roman"/>
                <w:sz w:val="24"/>
              </w:rPr>
            </w:pPr>
            <w:r>
              <w:rPr>
                <w:rFonts w:ascii="Times New Roman" w:hAnsi="Times New Roman" w:eastAsia="宋体" w:cs="Times New Roman"/>
              </w:rPr>
              <w:t>0.10</w:t>
            </w:r>
          </w:p>
        </w:tc>
      </w:tr>
      <w:tr w14:paraId="5D8A0843">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2080" w:type="pct"/>
            <w:gridSpan w:val="2"/>
            <w:noWrap/>
            <w:vAlign w:val="center"/>
          </w:tcPr>
          <w:p w14:paraId="4BE554E3">
            <w:pPr>
              <w:jc w:val="center"/>
              <w:rPr>
                <w:rFonts w:ascii="Times New Roman" w:hAnsi="Times New Roman" w:eastAsia="宋体" w:cs="Times New Roman"/>
                <w:szCs w:val="21"/>
              </w:rPr>
            </w:pPr>
            <w:r>
              <w:rPr>
                <w:rFonts w:hint="eastAsia" w:ascii="Times New Roman" w:hAnsi="Times New Roman" w:eastAsia="宋体" w:cs="Times New Roman"/>
              </w:rPr>
              <w:t>胜利路～S311</w:t>
            </w:r>
          </w:p>
        </w:tc>
        <w:tc>
          <w:tcPr>
            <w:tcW w:w="486" w:type="pct"/>
            <w:noWrap/>
            <w:vAlign w:val="center"/>
          </w:tcPr>
          <w:p w14:paraId="29B134DB">
            <w:pPr>
              <w:jc w:val="center"/>
              <w:rPr>
                <w:rFonts w:ascii="Times New Roman" w:hAnsi="Times New Roman" w:eastAsia="宋体" w:cs="Times New Roman"/>
                <w:sz w:val="24"/>
              </w:rPr>
            </w:pPr>
            <w:r>
              <w:rPr>
                <w:rFonts w:ascii="Times New Roman" w:hAnsi="Times New Roman" w:eastAsia="宋体" w:cs="Times New Roman"/>
              </w:rPr>
              <w:t>0.12</w:t>
            </w:r>
          </w:p>
        </w:tc>
        <w:tc>
          <w:tcPr>
            <w:tcW w:w="486" w:type="pct"/>
            <w:noWrap/>
            <w:vAlign w:val="center"/>
          </w:tcPr>
          <w:p w14:paraId="78EBB6B7">
            <w:pPr>
              <w:jc w:val="center"/>
              <w:rPr>
                <w:rFonts w:ascii="Times New Roman" w:hAnsi="Times New Roman" w:eastAsia="宋体" w:cs="Times New Roman"/>
                <w:sz w:val="24"/>
              </w:rPr>
            </w:pPr>
            <w:r>
              <w:rPr>
                <w:rFonts w:ascii="Times New Roman" w:hAnsi="Times New Roman" w:eastAsia="宋体" w:cs="Times New Roman"/>
              </w:rPr>
              <w:t>0.05</w:t>
            </w:r>
          </w:p>
        </w:tc>
        <w:tc>
          <w:tcPr>
            <w:tcW w:w="486" w:type="pct"/>
            <w:noWrap/>
            <w:vAlign w:val="center"/>
          </w:tcPr>
          <w:p w14:paraId="1AA6AAF1">
            <w:pPr>
              <w:jc w:val="center"/>
              <w:rPr>
                <w:rFonts w:ascii="Times New Roman" w:hAnsi="Times New Roman" w:eastAsia="宋体" w:cs="Times New Roman"/>
                <w:sz w:val="24"/>
              </w:rPr>
            </w:pPr>
            <w:r>
              <w:rPr>
                <w:rFonts w:ascii="Times New Roman" w:hAnsi="Times New Roman" w:eastAsia="宋体" w:cs="Times New Roman"/>
              </w:rPr>
              <w:t>0.15</w:t>
            </w:r>
          </w:p>
        </w:tc>
        <w:tc>
          <w:tcPr>
            <w:tcW w:w="487" w:type="pct"/>
            <w:noWrap/>
            <w:vAlign w:val="center"/>
          </w:tcPr>
          <w:p w14:paraId="667F6D7E">
            <w:pPr>
              <w:jc w:val="center"/>
              <w:rPr>
                <w:rFonts w:ascii="Times New Roman" w:hAnsi="Times New Roman" w:eastAsia="宋体" w:cs="Times New Roman"/>
                <w:sz w:val="24"/>
              </w:rPr>
            </w:pPr>
            <w:r>
              <w:rPr>
                <w:rFonts w:ascii="Times New Roman" w:hAnsi="Times New Roman" w:eastAsia="宋体" w:cs="Times New Roman"/>
              </w:rPr>
              <w:t>0.06</w:t>
            </w:r>
          </w:p>
        </w:tc>
        <w:tc>
          <w:tcPr>
            <w:tcW w:w="486" w:type="pct"/>
            <w:noWrap/>
            <w:vAlign w:val="center"/>
          </w:tcPr>
          <w:p w14:paraId="17E3BBCA">
            <w:pPr>
              <w:jc w:val="center"/>
              <w:rPr>
                <w:rFonts w:ascii="Times New Roman" w:hAnsi="Times New Roman" w:eastAsia="宋体" w:cs="Times New Roman"/>
                <w:sz w:val="24"/>
              </w:rPr>
            </w:pPr>
            <w:r>
              <w:rPr>
                <w:rFonts w:ascii="Times New Roman" w:hAnsi="Times New Roman" w:eastAsia="宋体" w:cs="Times New Roman"/>
              </w:rPr>
              <w:t>0.17</w:t>
            </w:r>
          </w:p>
        </w:tc>
        <w:tc>
          <w:tcPr>
            <w:tcW w:w="485" w:type="pct"/>
            <w:noWrap/>
            <w:vAlign w:val="center"/>
          </w:tcPr>
          <w:p w14:paraId="65A33747">
            <w:pPr>
              <w:jc w:val="center"/>
              <w:rPr>
                <w:rFonts w:ascii="Times New Roman" w:hAnsi="Times New Roman" w:eastAsia="宋体" w:cs="Times New Roman"/>
                <w:sz w:val="24"/>
              </w:rPr>
            </w:pPr>
            <w:r>
              <w:rPr>
                <w:rFonts w:ascii="Times New Roman" w:hAnsi="Times New Roman" w:eastAsia="宋体" w:cs="Times New Roman"/>
              </w:rPr>
              <w:t>0.07</w:t>
            </w:r>
          </w:p>
        </w:tc>
      </w:tr>
      <w:tr w14:paraId="23ABD3A8">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2080" w:type="pct"/>
            <w:gridSpan w:val="2"/>
            <w:noWrap/>
            <w:vAlign w:val="center"/>
          </w:tcPr>
          <w:p w14:paraId="0036D46A">
            <w:pPr>
              <w:jc w:val="center"/>
              <w:rPr>
                <w:rFonts w:ascii="Times New Roman" w:hAnsi="Times New Roman" w:eastAsia="宋体" w:cs="Times New Roman"/>
                <w:szCs w:val="21"/>
              </w:rPr>
            </w:pPr>
            <w:r>
              <w:rPr>
                <w:rFonts w:hint="eastAsia" w:ascii="Times New Roman" w:hAnsi="Times New Roman" w:eastAsia="宋体" w:cs="Times New Roman"/>
              </w:rPr>
              <w:t>S311～高速口</w:t>
            </w:r>
          </w:p>
        </w:tc>
        <w:tc>
          <w:tcPr>
            <w:tcW w:w="486" w:type="pct"/>
            <w:noWrap/>
            <w:vAlign w:val="center"/>
          </w:tcPr>
          <w:p w14:paraId="7A9F81D3">
            <w:pPr>
              <w:jc w:val="center"/>
              <w:rPr>
                <w:rFonts w:ascii="Times New Roman" w:hAnsi="Times New Roman" w:eastAsia="宋体" w:cs="Times New Roman"/>
                <w:sz w:val="24"/>
              </w:rPr>
            </w:pPr>
            <w:r>
              <w:rPr>
                <w:rFonts w:ascii="Times New Roman" w:hAnsi="Times New Roman" w:eastAsia="宋体" w:cs="Times New Roman"/>
              </w:rPr>
              <w:t>0.12</w:t>
            </w:r>
          </w:p>
        </w:tc>
        <w:tc>
          <w:tcPr>
            <w:tcW w:w="486" w:type="pct"/>
            <w:noWrap/>
            <w:vAlign w:val="center"/>
          </w:tcPr>
          <w:p w14:paraId="7E4C17E7">
            <w:pPr>
              <w:jc w:val="center"/>
              <w:rPr>
                <w:rFonts w:ascii="Times New Roman" w:hAnsi="Times New Roman" w:eastAsia="宋体" w:cs="Times New Roman"/>
                <w:sz w:val="24"/>
              </w:rPr>
            </w:pPr>
            <w:r>
              <w:rPr>
                <w:rFonts w:ascii="Times New Roman" w:hAnsi="Times New Roman" w:eastAsia="宋体" w:cs="Times New Roman"/>
              </w:rPr>
              <w:t>0.05</w:t>
            </w:r>
          </w:p>
        </w:tc>
        <w:tc>
          <w:tcPr>
            <w:tcW w:w="486" w:type="pct"/>
            <w:noWrap/>
            <w:vAlign w:val="center"/>
          </w:tcPr>
          <w:p w14:paraId="512342C4">
            <w:pPr>
              <w:jc w:val="center"/>
              <w:rPr>
                <w:rFonts w:ascii="Times New Roman" w:hAnsi="Times New Roman" w:eastAsia="宋体" w:cs="Times New Roman"/>
                <w:sz w:val="24"/>
              </w:rPr>
            </w:pPr>
            <w:r>
              <w:rPr>
                <w:rFonts w:ascii="Times New Roman" w:hAnsi="Times New Roman" w:eastAsia="宋体" w:cs="Times New Roman"/>
              </w:rPr>
              <w:t>0.14</w:t>
            </w:r>
          </w:p>
        </w:tc>
        <w:tc>
          <w:tcPr>
            <w:tcW w:w="487" w:type="pct"/>
            <w:noWrap/>
            <w:vAlign w:val="center"/>
          </w:tcPr>
          <w:p w14:paraId="6D3020CB">
            <w:pPr>
              <w:jc w:val="center"/>
              <w:rPr>
                <w:rFonts w:ascii="Times New Roman" w:hAnsi="Times New Roman" w:eastAsia="宋体" w:cs="Times New Roman"/>
                <w:sz w:val="24"/>
              </w:rPr>
            </w:pPr>
            <w:r>
              <w:rPr>
                <w:rFonts w:ascii="Times New Roman" w:hAnsi="Times New Roman" w:eastAsia="宋体" w:cs="Times New Roman"/>
              </w:rPr>
              <w:t>0.06</w:t>
            </w:r>
          </w:p>
        </w:tc>
        <w:tc>
          <w:tcPr>
            <w:tcW w:w="486" w:type="pct"/>
            <w:noWrap/>
            <w:vAlign w:val="center"/>
          </w:tcPr>
          <w:p w14:paraId="406A32A3">
            <w:pPr>
              <w:jc w:val="center"/>
              <w:rPr>
                <w:rFonts w:ascii="Times New Roman" w:hAnsi="Times New Roman" w:eastAsia="宋体" w:cs="Times New Roman"/>
                <w:sz w:val="24"/>
              </w:rPr>
            </w:pPr>
            <w:r>
              <w:rPr>
                <w:rFonts w:ascii="Times New Roman" w:hAnsi="Times New Roman" w:eastAsia="宋体" w:cs="Times New Roman"/>
              </w:rPr>
              <w:t>0.16</w:t>
            </w:r>
          </w:p>
        </w:tc>
        <w:tc>
          <w:tcPr>
            <w:tcW w:w="485" w:type="pct"/>
            <w:noWrap/>
            <w:vAlign w:val="center"/>
          </w:tcPr>
          <w:p w14:paraId="389EFC81">
            <w:pPr>
              <w:jc w:val="center"/>
              <w:rPr>
                <w:rFonts w:ascii="Times New Roman" w:hAnsi="Times New Roman" w:eastAsia="宋体" w:cs="Times New Roman"/>
                <w:sz w:val="24"/>
              </w:rPr>
            </w:pPr>
            <w:r>
              <w:rPr>
                <w:rFonts w:ascii="Times New Roman" w:hAnsi="Times New Roman" w:eastAsia="宋体" w:cs="Times New Roman"/>
              </w:rPr>
              <w:t>0.07</w:t>
            </w:r>
          </w:p>
        </w:tc>
      </w:tr>
      <w:tr w14:paraId="03D98C91">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2080" w:type="pct"/>
            <w:gridSpan w:val="2"/>
            <w:noWrap/>
            <w:vAlign w:val="center"/>
          </w:tcPr>
          <w:p w14:paraId="7DB63C62">
            <w:pPr>
              <w:jc w:val="center"/>
              <w:rPr>
                <w:rFonts w:ascii="Times New Roman" w:hAnsi="Times New Roman" w:eastAsia="宋体" w:cs="Times New Roman"/>
                <w:szCs w:val="21"/>
              </w:rPr>
            </w:pPr>
            <w:r>
              <w:rPr>
                <w:rFonts w:hint="eastAsia" w:ascii="Times New Roman" w:hAnsi="Times New Roman" w:eastAsia="宋体" w:cs="Times New Roman"/>
              </w:rPr>
              <w:t>高速口～岳普湖</w:t>
            </w:r>
          </w:p>
        </w:tc>
        <w:tc>
          <w:tcPr>
            <w:tcW w:w="486" w:type="pct"/>
            <w:noWrap/>
            <w:vAlign w:val="center"/>
          </w:tcPr>
          <w:p w14:paraId="424E42C6">
            <w:pPr>
              <w:jc w:val="center"/>
              <w:rPr>
                <w:rFonts w:ascii="Times New Roman" w:hAnsi="Times New Roman" w:eastAsia="宋体" w:cs="Times New Roman"/>
                <w:sz w:val="24"/>
              </w:rPr>
            </w:pPr>
            <w:r>
              <w:rPr>
                <w:rFonts w:ascii="Times New Roman" w:hAnsi="Times New Roman" w:eastAsia="宋体" w:cs="Times New Roman"/>
              </w:rPr>
              <w:t>0.13</w:t>
            </w:r>
          </w:p>
        </w:tc>
        <w:tc>
          <w:tcPr>
            <w:tcW w:w="486" w:type="pct"/>
            <w:noWrap/>
            <w:vAlign w:val="center"/>
          </w:tcPr>
          <w:p w14:paraId="64418A58">
            <w:pPr>
              <w:jc w:val="center"/>
              <w:rPr>
                <w:rFonts w:ascii="Times New Roman" w:hAnsi="Times New Roman" w:eastAsia="宋体" w:cs="Times New Roman"/>
                <w:sz w:val="24"/>
              </w:rPr>
            </w:pPr>
            <w:r>
              <w:rPr>
                <w:rFonts w:ascii="Times New Roman" w:hAnsi="Times New Roman" w:eastAsia="宋体" w:cs="Times New Roman"/>
              </w:rPr>
              <w:t>0.05</w:t>
            </w:r>
          </w:p>
        </w:tc>
        <w:tc>
          <w:tcPr>
            <w:tcW w:w="486" w:type="pct"/>
            <w:noWrap/>
            <w:vAlign w:val="center"/>
          </w:tcPr>
          <w:p w14:paraId="47C1BA1E">
            <w:pPr>
              <w:jc w:val="center"/>
              <w:rPr>
                <w:rFonts w:ascii="Times New Roman" w:hAnsi="Times New Roman" w:eastAsia="宋体" w:cs="Times New Roman"/>
                <w:sz w:val="24"/>
              </w:rPr>
            </w:pPr>
            <w:r>
              <w:rPr>
                <w:rFonts w:ascii="Times New Roman" w:hAnsi="Times New Roman" w:eastAsia="宋体" w:cs="Times New Roman"/>
              </w:rPr>
              <w:t>0.16</w:t>
            </w:r>
          </w:p>
        </w:tc>
        <w:tc>
          <w:tcPr>
            <w:tcW w:w="487" w:type="pct"/>
            <w:noWrap/>
            <w:vAlign w:val="center"/>
          </w:tcPr>
          <w:p w14:paraId="75058F23">
            <w:pPr>
              <w:jc w:val="center"/>
              <w:rPr>
                <w:rFonts w:ascii="Times New Roman" w:hAnsi="Times New Roman" w:eastAsia="宋体" w:cs="Times New Roman"/>
                <w:sz w:val="24"/>
              </w:rPr>
            </w:pPr>
            <w:r>
              <w:rPr>
                <w:rFonts w:ascii="Times New Roman" w:hAnsi="Times New Roman" w:eastAsia="宋体" w:cs="Times New Roman"/>
              </w:rPr>
              <w:t>0.06</w:t>
            </w:r>
          </w:p>
        </w:tc>
        <w:tc>
          <w:tcPr>
            <w:tcW w:w="486" w:type="pct"/>
            <w:noWrap/>
            <w:vAlign w:val="center"/>
          </w:tcPr>
          <w:p w14:paraId="6CEF696D">
            <w:pPr>
              <w:jc w:val="center"/>
              <w:rPr>
                <w:rFonts w:ascii="Times New Roman" w:hAnsi="Times New Roman" w:eastAsia="宋体" w:cs="Times New Roman"/>
                <w:sz w:val="24"/>
              </w:rPr>
            </w:pPr>
            <w:r>
              <w:rPr>
                <w:rFonts w:ascii="Times New Roman" w:hAnsi="Times New Roman" w:eastAsia="宋体" w:cs="Times New Roman"/>
              </w:rPr>
              <w:t>0.18</w:t>
            </w:r>
          </w:p>
        </w:tc>
        <w:tc>
          <w:tcPr>
            <w:tcW w:w="485" w:type="pct"/>
            <w:noWrap/>
            <w:vAlign w:val="center"/>
          </w:tcPr>
          <w:p w14:paraId="2D914B38">
            <w:pPr>
              <w:jc w:val="center"/>
              <w:rPr>
                <w:rFonts w:ascii="Times New Roman" w:hAnsi="Times New Roman" w:eastAsia="宋体" w:cs="Times New Roman"/>
                <w:sz w:val="24"/>
              </w:rPr>
            </w:pPr>
            <w:r>
              <w:rPr>
                <w:rFonts w:ascii="Times New Roman" w:hAnsi="Times New Roman" w:eastAsia="宋体" w:cs="Times New Roman"/>
              </w:rPr>
              <w:t>0.08</w:t>
            </w:r>
          </w:p>
        </w:tc>
      </w:tr>
    </w:tbl>
    <w:p w14:paraId="0C2D200C">
      <w:pPr>
        <w:rPr>
          <w:rFonts w:ascii="Times New Roman" w:hAnsi="Times New Roman" w:eastAsia="宋体" w:cs="Times New Roman"/>
        </w:rPr>
      </w:pPr>
      <w:r>
        <w:rPr>
          <w:rFonts w:ascii="Times New Roman" w:hAnsi="Times New Roman" w:eastAsia="宋体" w:cs="Times New Roman"/>
        </w:rPr>
        <w:t>注：表中黑色加粗内容表示0.2＜V/C≤0.7。</w:t>
      </w:r>
    </w:p>
    <w:p w14:paraId="34F7B70D">
      <w:pPr>
        <w:keepNext w:val="0"/>
        <w:keepLines w:val="0"/>
        <w:pageBreakBefore w:val="0"/>
        <w:widowControl w:val="0"/>
        <w:kinsoku/>
        <w:wordWrap/>
        <w:overflowPunct/>
        <w:topLinePunct w:val="0"/>
        <w:autoSpaceDE/>
        <w:autoSpaceDN/>
        <w:bidi w:val="0"/>
        <w:adjustRightInd/>
        <w:snapToGrid/>
        <w:spacing w:before="313" w:beforeLines="100" w:line="300" w:lineRule="auto"/>
        <w:ind w:firstLine="480" w:firstLineChars="200"/>
        <w:textAlignment w:val="auto"/>
        <w:rPr>
          <w:rFonts w:ascii="Times New Roman" w:hAnsi="Times New Roman" w:eastAsia="宋体" w:cs="Times New Roman"/>
          <w:sz w:val="24"/>
        </w:rPr>
      </w:pPr>
      <w:r>
        <w:rPr>
          <w:rFonts w:hint="eastAsia" w:ascii="Times New Roman" w:hAnsi="Times New Roman" w:eastAsia="宋体" w:cs="Times New Roman"/>
          <w:sz w:val="24"/>
        </w:rPr>
        <w:t>(3)</w:t>
      </w:r>
      <w:r>
        <w:rPr>
          <w:rFonts w:ascii="Times New Roman" w:hAnsi="Times New Roman" w:eastAsia="宋体" w:cs="Times New Roman"/>
          <w:sz w:val="24"/>
        </w:rPr>
        <w:t xml:space="preserve"> </w:t>
      </w:r>
      <w:r>
        <w:rPr>
          <w:rFonts w:hint="eastAsia" w:ascii="Times New Roman" w:hAnsi="Times New Roman" w:eastAsia="宋体" w:cs="Times New Roman"/>
          <w:sz w:val="24"/>
        </w:rPr>
        <w:t>拟建公路各类型车平均车速</w:t>
      </w:r>
    </w:p>
    <w:p w14:paraId="18B97D07">
      <w:pPr>
        <w:spacing w:line="30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由表2.</w:t>
      </w:r>
      <w:r>
        <w:rPr>
          <w:rFonts w:hint="eastAsia" w:ascii="Times New Roman" w:hAnsi="Times New Roman" w:eastAsia="宋体" w:cs="Times New Roman"/>
          <w:sz w:val="24"/>
        </w:rPr>
        <w:t>4-3</w:t>
      </w:r>
      <w:r>
        <w:rPr>
          <w:rFonts w:ascii="Times New Roman" w:hAnsi="Times New Roman" w:eastAsia="宋体" w:cs="Times New Roman"/>
          <w:sz w:val="24"/>
        </w:rPr>
        <w:t>可知，拟建公路交通量中小型车比例为</w:t>
      </w:r>
      <w:r>
        <w:rPr>
          <w:rFonts w:hint="eastAsia" w:ascii="Times New Roman" w:hAnsi="Times New Roman" w:eastAsia="宋体" w:cs="Times New Roman"/>
          <w:sz w:val="24"/>
        </w:rPr>
        <w:t>74.20</w:t>
      </w:r>
      <w:r>
        <w:rPr>
          <w:rFonts w:ascii="Times New Roman" w:hAnsi="Times New Roman" w:eastAsia="宋体" w:cs="Times New Roman"/>
          <w:sz w:val="24"/>
        </w:rPr>
        <w:t>%~</w:t>
      </w:r>
      <w:r>
        <w:rPr>
          <w:rFonts w:hint="eastAsia" w:ascii="Times New Roman" w:hAnsi="Times New Roman" w:eastAsia="宋体" w:cs="Times New Roman"/>
          <w:sz w:val="24"/>
        </w:rPr>
        <w:t>74.97</w:t>
      </w:r>
      <w:r>
        <w:rPr>
          <w:rFonts w:ascii="Times New Roman" w:hAnsi="Times New Roman" w:eastAsia="宋体" w:cs="Times New Roman"/>
          <w:sz w:val="24"/>
        </w:rPr>
        <w:t>%，根据《环境影响评价技术导则 公路建设项目》（HJ 1358-2024），平均车速可采用V/C确定。拟建公路运营各期昼间和夜间负荷系数分别有0.2＜V/C≤0.7之间和V/C≤0.2两种情形。</w:t>
      </w:r>
    </w:p>
    <w:p w14:paraId="52400298">
      <w:pPr>
        <w:spacing w:line="300" w:lineRule="auto"/>
        <w:ind w:firstLine="480" w:firstLineChars="200"/>
        <w:rPr>
          <w:rFonts w:ascii="Times New Roman" w:hAnsi="Times New Roman" w:eastAsia="宋体" w:cs="Times New Roman"/>
          <w:sz w:val="24"/>
        </w:rPr>
      </w:pPr>
      <w:r>
        <w:rPr>
          <w:rFonts w:hint="eastAsia" w:ascii="宋体" w:hAnsi="宋体" w:eastAsia="宋体" w:cs="Times New Roman"/>
          <w:sz w:val="24"/>
        </w:rPr>
        <w:t>①</w:t>
      </w:r>
      <w:r>
        <w:rPr>
          <w:rFonts w:hint="eastAsia" w:ascii="Times New Roman" w:hAnsi="Times New Roman" w:eastAsia="宋体" w:cs="Times New Roman"/>
          <w:sz w:val="24"/>
        </w:rPr>
        <w:t xml:space="preserve"> 当V/C≤0.2时，各类型车昼间平均车速按下列公式计算：</w:t>
      </w:r>
    </w:p>
    <w:p w14:paraId="5C67FD99">
      <w:pPr>
        <w:spacing w:line="300" w:lineRule="auto"/>
        <w:ind w:right="-105" w:rightChars="-50" w:firstLine="3600" w:firstLineChars="1500"/>
        <w:rPr>
          <w:rFonts w:ascii="Times New Roman" w:hAnsi="Times New Roman" w:eastAsia="宋体" w:cs="Times New Roman"/>
          <w:sz w:val="24"/>
        </w:rPr>
      </w:pPr>
      <w:r>
        <w:rPr>
          <w:rFonts w:ascii="Times New Roman" w:hAnsi="Times New Roman" w:eastAsia="宋体" w:cs="Times New Roman"/>
          <w:i/>
          <w:iCs/>
          <w:sz w:val="24"/>
        </w:rPr>
        <w:t>v</w:t>
      </w:r>
      <w:r>
        <w:rPr>
          <w:rFonts w:hint="eastAsia" w:ascii="Times New Roman" w:hAnsi="Times New Roman" w:eastAsia="宋体" w:cs="Times New Roman"/>
          <w:sz w:val="24"/>
          <w:vertAlign w:val="subscript"/>
        </w:rPr>
        <w:t>l</w:t>
      </w:r>
      <w:r>
        <w:rPr>
          <w:rFonts w:ascii="Times New Roman" w:hAnsi="Times New Roman" w:eastAsia="宋体" w:cs="Times New Roman"/>
          <w:sz w:val="24"/>
        </w:rPr>
        <w:t>=</w:t>
      </w:r>
      <w:r>
        <w:rPr>
          <w:rFonts w:ascii="Times New Roman" w:hAnsi="Times New Roman" w:eastAsia="宋体" w:cs="Times New Roman"/>
          <w:i/>
          <w:iCs/>
          <w:sz w:val="24"/>
        </w:rPr>
        <w:t>v</w:t>
      </w:r>
      <w:r>
        <w:rPr>
          <w:rFonts w:ascii="Times New Roman" w:hAnsi="Times New Roman" w:eastAsia="宋体" w:cs="Times New Roman"/>
          <w:sz w:val="24"/>
          <w:vertAlign w:val="subscript"/>
        </w:rPr>
        <w:t>0</w:t>
      </w:r>
      <w:r>
        <w:rPr>
          <w:rFonts w:ascii="Times New Roman" w:hAnsi="Times New Roman" w:eastAsia="黑体" w:cs="Times New Roman"/>
          <w:sz w:val="24"/>
        </w:rPr>
        <w:t>×</w:t>
      </w:r>
      <w:r>
        <w:rPr>
          <w:rFonts w:hint="eastAsia" w:ascii="Times New Roman" w:hAnsi="Times New Roman" w:eastAsia="黑体" w:cs="Times New Roman"/>
          <w:sz w:val="24"/>
        </w:rPr>
        <w:t>0.90</w:t>
      </w:r>
    </w:p>
    <w:p w14:paraId="483DEA63">
      <w:pPr>
        <w:spacing w:line="300" w:lineRule="auto"/>
        <w:jc w:val="center"/>
        <w:rPr>
          <w:rFonts w:ascii="Times New Roman" w:hAnsi="Times New Roman" w:eastAsia="宋体" w:cs="Times New Roman"/>
          <w:sz w:val="24"/>
        </w:rPr>
      </w:pPr>
      <w:r>
        <w:rPr>
          <w:rFonts w:ascii="Times New Roman" w:hAnsi="Times New Roman" w:eastAsia="宋体" w:cs="Times New Roman"/>
          <w:i/>
          <w:iCs/>
          <w:sz w:val="24"/>
        </w:rPr>
        <w:t>v</w:t>
      </w:r>
      <w:r>
        <w:rPr>
          <w:rFonts w:hint="eastAsia" w:ascii="Times New Roman" w:hAnsi="Times New Roman" w:eastAsia="宋体" w:cs="Times New Roman"/>
          <w:sz w:val="24"/>
          <w:vertAlign w:val="subscript"/>
        </w:rPr>
        <w:t>m</w:t>
      </w:r>
      <w:r>
        <w:rPr>
          <w:rFonts w:ascii="Times New Roman" w:hAnsi="Times New Roman" w:eastAsia="宋体" w:cs="Times New Roman"/>
          <w:sz w:val="24"/>
        </w:rPr>
        <w:t>=</w:t>
      </w:r>
      <w:r>
        <w:rPr>
          <w:rFonts w:ascii="Times New Roman" w:hAnsi="Times New Roman" w:eastAsia="宋体" w:cs="Times New Roman"/>
          <w:i/>
          <w:iCs/>
          <w:sz w:val="24"/>
        </w:rPr>
        <w:t>v</w:t>
      </w:r>
      <w:r>
        <w:rPr>
          <w:rFonts w:ascii="Times New Roman" w:hAnsi="Times New Roman" w:eastAsia="宋体" w:cs="Times New Roman"/>
          <w:sz w:val="24"/>
          <w:vertAlign w:val="subscript"/>
        </w:rPr>
        <w:t>0</w:t>
      </w:r>
      <w:r>
        <w:rPr>
          <w:rFonts w:ascii="Times New Roman" w:hAnsi="Times New Roman" w:eastAsia="黑体" w:cs="Times New Roman"/>
          <w:sz w:val="24"/>
        </w:rPr>
        <w:t>×</w:t>
      </w:r>
      <w:r>
        <w:rPr>
          <w:rFonts w:hint="eastAsia" w:ascii="Times New Roman" w:hAnsi="Times New Roman" w:eastAsia="黑体" w:cs="Times New Roman"/>
          <w:sz w:val="24"/>
        </w:rPr>
        <w:t>0.90</w:t>
      </w:r>
    </w:p>
    <w:p w14:paraId="471DFED1">
      <w:pPr>
        <w:spacing w:line="300" w:lineRule="auto"/>
        <w:jc w:val="center"/>
        <w:rPr>
          <w:rFonts w:ascii="Times New Roman" w:hAnsi="Times New Roman" w:eastAsia="宋体" w:cs="Times New Roman"/>
          <w:sz w:val="24"/>
        </w:rPr>
      </w:pPr>
      <w:r>
        <w:rPr>
          <w:rFonts w:ascii="Times New Roman" w:hAnsi="Times New Roman" w:eastAsia="宋体" w:cs="Times New Roman"/>
          <w:i/>
          <w:iCs/>
          <w:sz w:val="24"/>
        </w:rPr>
        <w:t>v</w:t>
      </w:r>
      <w:r>
        <w:rPr>
          <w:rFonts w:hint="eastAsia" w:ascii="Times New Roman" w:hAnsi="Times New Roman" w:eastAsia="宋体" w:cs="Times New Roman"/>
          <w:sz w:val="24"/>
          <w:vertAlign w:val="subscript"/>
        </w:rPr>
        <w:t>s</w:t>
      </w:r>
      <w:r>
        <w:rPr>
          <w:rFonts w:ascii="Times New Roman" w:hAnsi="Times New Roman" w:eastAsia="宋体" w:cs="Times New Roman"/>
          <w:sz w:val="24"/>
        </w:rPr>
        <w:t>=</w:t>
      </w:r>
      <w:r>
        <w:rPr>
          <w:rFonts w:ascii="Times New Roman" w:hAnsi="Times New Roman" w:eastAsia="宋体" w:cs="Times New Roman"/>
          <w:i/>
          <w:iCs/>
          <w:sz w:val="24"/>
        </w:rPr>
        <w:t>v</w:t>
      </w:r>
      <w:r>
        <w:rPr>
          <w:rFonts w:ascii="Times New Roman" w:hAnsi="Times New Roman" w:eastAsia="宋体" w:cs="Times New Roman"/>
          <w:sz w:val="24"/>
          <w:vertAlign w:val="subscript"/>
        </w:rPr>
        <w:t>0</w:t>
      </w:r>
      <w:r>
        <w:rPr>
          <w:rFonts w:ascii="Times New Roman" w:hAnsi="Times New Roman" w:eastAsia="黑体" w:cs="Times New Roman"/>
          <w:sz w:val="24"/>
        </w:rPr>
        <w:t>×</w:t>
      </w:r>
      <w:r>
        <w:rPr>
          <w:rFonts w:hint="eastAsia" w:ascii="Times New Roman" w:hAnsi="Times New Roman" w:eastAsia="黑体" w:cs="Times New Roman"/>
          <w:sz w:val="24"/>
        </w:rPr>
        <w:t>0.95</w:t>
      </w:r>
    </w:p>
    <w:p w14:paraId="0B55C2BA">
      <w:pPr>
        <w:spacing w:line="300"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式中：</w:t>
      </w:r>
      <w:r>
        <w:rPr>
          <w:rFonts w:hint="eastAsia" w:ascii="Times New Roman" w:hAnsi="Times New Roman" w:eastAsia="宋体" w:cs="Times New Roman"/>
          <w:i/>
          <w:iCs/>
          <w:sz w:val="24"/>
        </w:rPr>
        <w:t>v</w:t>
      </w:r>
      <w:r>
        <w:rPr>
          <w:rFonts w:hint="eastAsia" w:ascii="Times New Roman" w:hAnsi="Times New Roman" w:eastAsia="宋体" w:cs="Times New Roman"/>
          <w:sz w:val="24"/>
          <w:vertAlign w:val="subscript"/>
        </w:rPr>
        <w:t>l</w:t>
      </w:r>
      <w:r>
        <w:rPr>
          <w:rFonts w:ascii="Times New Roman" w:hAnsi="Times New Roman" w:eastAsia="宋体" w:cs="Times New Roman"/>
          <w:sz w:val="24"/>
        </w:rPr>
        <w:t>——</w:t>
      </w:r>
      <w:r>
        <w:rPr>
          <w:rFonts w:hint="eastAsia" w:ascii="Times New Roman" w:hAnsi="Times New Roman" w:eastAsia="宋体" w:cs="Times New Roman"/>
          <w:sz w:val="24"/>
        </w:rPr>
        <w:t>大</w:t>
      </w:r>
      <w:r>
        <w:rPr>
          <w:rFonts w:ascii="Times New Roman" w:hAnsi="Times New Roman" w:eastAsia="宋体" w:cs="Times New Roman"/>
          <w:sz w:val="24"/>
        </w:rPr>
        <w:t>型车的平均速度，km/h</w:t>
      </w:r>
      <w:r>
        <w:rPr>
          <w:rFonts w:hint="eastAsia" w:ascii="Times New Roman" w:hAnsi="Times New Roman" w:eastAsia="宋体" w:cs="Times New Roman"/>
          <w:sz w:val="24"/>
        </w:rPr>
        <w:t>；</w:t>
      </w:r>
    </w:p>
    <w:p w14:paraId="1787CF48">
      <w:pPr>
        <w:spacing w:line="300" w:lineRule="auto"/>
        <w:ind w:firstLine="1080" w:firstLineChars="450"/>
        <w:rPr>
          <w:rFonts w:ascii="Times New Roman" w:hAnsi="Times New Roman" w:eastAsia="宋体" w:cs="Times New Roman"/>
          <w:sz w:val="24"/>
        </w:rPr>
      </w:pPr>
      <w:r>
        <w:rPr>
          <w:rFonts w:hint="eastAsia" w:ascii="Times New Roman" w:hAnsi="Times New Roman" w:eastAsia="宋体" w:cs="Times New Roman"/>
          <w:i/>
          <w:iCs/>
          <w:sz w:val="24"/>
        </w:rPr>
        <w:t>v</w:t>
      </w:r>
      <w:r>
        <w:rPr>
          <w:rFonts w:hint="eastAsia" w:ascii="Times New Roman" w:hAnsi="Times New Roman" w:eastAsia="宋体" w:cs="Times New Roman"/>
          <w:sz w:val="24"/>
          <w:vertAlign w:val="subscript"/>
        </w:rPr>
        <w:t>m</w:t>
      </w:r>
      <w:r>
        <w:rPr>
          <w:rFonts w:ascii="Times New Roman" w:hAnsi="Times New Roman" w:eastAsia="宋体" w:cs="Times New Roman"/>
          <w:sz w:val="24"/>
        </w:rPr>
        <w:t>——</w:t>
      </w:r>
      <w:r>
        <w:rPr>
          <w:rFonts w:hint="eastAsia" w:ascii="Times New Roman" w:hAnsi="Times New Roman" w:eastAsia="宋体" w:cs="Times New Roman"/>
          <w:sz w:val="24"/>
        </w:rPr>
        <w:t>中</w:t>
      </w:r>
      <w:r>
        <w:rPr>
          <w:rFonts w:ascii="Times New Roman" w:hAnsi="Times New Roman" w:eastAsia="宋体" w:cs="Times New Roman"/>
          <w:sz w:val="24"/>
        </w:rPr>
        <w:t>型车的平均车速，km/h</w:t>
      </w:r>
      <w:r>
        <w:rPr>
          <w:rFonts w:hint="eastAsia" w:ascii="Times New Roman" w:hAnsi="Times New Roman" w:eastAsia="宋体" w:cs="Times New Roman"/>
          <w:sz w:val="24"/>
        </w:rPr>
        <w:t>；</w:t>
      </w:r>
    </w:p>
    <w:p w14:paraId="28964940">
      <w:pPr>
        <w:spacing w:line="300" w:lineRule="auto"/>
        <w:ind w:firstLine="960" w:firstLineChars="400"/>
        <w:rPr>
          <w:rFonts w:ascii="Times New Roman" w:hAnsi="Times New Roman" w:eastAsia="宋体" w:cs="Times New Roman"/>
          <w:sz w:val="24"/>
        </w:rPr>
      </w:pPr>
      <w:r>
        <w:rPr>
          <w:rFonts w:hint="eastAsia" w:ascii="Times New Roman" w:hAnsi="Times New Roman" w:eastAsia="宋体" w:cs="Times New Roman"/>
          <w:i/>
          <w:iCs/>
          <w:sz w:val="24"/>
        </w:rPr>
        <w:t>v</w:t>
      </w:r>
      <w:r>
        <w:rPr>
          <w:rFonts w:hint="eastAsia" w:ascii="Times New Roman" w:hAnsi="Times New Roman" w:eastAsia="宋体" w:cs="Times New Roman"/>
          <w:sz w:val="24"/>
          <w:vertAlign w:val="subscript"/>
        </w:rPr>
        <w:t>s</w:t>
      </w:r>
      <w:r>
        <w:rPr>
          <w:rFonts w:ascii="Times New Roman" w:hAnsi="Times New Roman" w:eastAsia="宋体" w:cs="Times New Roman"/>
          <w:sz w:val="24"/>
        </w:rPr>
        <w:t>——</w:t>
      </w:r>
      <w:r>
        <w:rPr>
          <w:rFonts w:hint="eastAsia" w:ascii="Times New Roman" w:hAnsi="Times New Roman" w:eastAsia="宋体" w:cs="Times New Roman"/>
          <w:sz w:val="24"/>
        </w:rPr>
        <w:t>小</w:t>
      </w:r>
      <w:r>
        <w:rPr>
          <w:rFonts w:ascii="Times New Roman" w:hAnsi="Times New Roman" w:eastAsia="宋体" w:cs="Times New Roman"/>
          <w:sz w:val="24"/>
        </w:rPr>
        <w:t>型车的</w:t>
      </w:r>
      <w:r>
        <w:rPr>
          <w:rFonts w:hint="eastAsia" w:ascii="Times New Roman" w:hAnsi="Times New Roman" w:eastAsia="宋体" w:cs="Times New Roman"/>
          <w:sz w:val="24"/>
        </w:rPr>
        <w:t>平均</w:t>
      </w:r>
      <w:r>
        <w:rPr>
          <w:rFonts w:ascii="Times New Roman" w:hAnsi="Times New Roman" w:eastAsia="宋体" w:cs="Times New Roman"/>
          <w:sz w:val="24"/>
        </w:rPr>
        <w:t>车速，km/h</w:t>
      </w:r>
      <w:r>
        <w:rPr>
          <w:rFonts w:hint="eastAsia" w:ascii="Times New Roman" w:hAnsi="Times New Roman" w:eastAsia="宋体" w:cs="Times New Roman"/>
          <w:sz w:val="24"/>
        </w:rPr>
        <w:t>；</w:t>
      </w:r>
    </w:p>
    <w:p w14:paraId="2ABF1CE7">
      <w:pPr>
        <w:spacing w:line="300" w:lineRule="auto"/>
        <w:ind w:firstLine="960" w:firstLineChars="400"/>
        <w:rPr>
          <w:rFonts w:ascii="Times New Roman" w:hAnsi="Times New Roman" w:eastAsia="宋体" w:cs="Times New Roman"/>
          <w:sz w:val="24"/>
        </w:rPr>
      </w:pPr>
      <w:r>
        <w:rPr>
          <w:rFonts w:hint="eastAsia" w:ascii="Times New Roman" w:hAnsi="Times New Roman" w:eastAsia="宋体" w:cs="Times New Roman"/>
          <w:i/>
          <w:iCs/>
          <w:sz w:val="24"/>
        </w:rPr>
        <w:t>v</w:t>
      </w:r>
      <w:r>
        <w:rPr>
          <w:rFonts w:hint="eastAsia" w:ascii="Times New Roman" w:hAnsi="Times New Roman" w:eastAsia="宋体" w:cs="Times New Roman"/>
          <w:sz w:val="24"/>
          <w:vertAlign w:val="subscript"/>
        </w:rPr>
        <w:t>0</w:t>
      </w:r>
      <w:r>
        <w:rPr>
          <w:rFonts w:ascii="Times New Roman" w:hAnsi="Times New Roman" w:eastAsia="宋体" w:cs="Times New Roman"/>
          <w:sz w:val="24"/>
        </w:rPr>
        <w:t>——</w:t>
      </w:r>
      <w:r>
        <w:rPr>
          <w:rFonts w:hint="eastAsia" w:ascii="Times New Roman" w:hAnsi="Times New Roman" w:eastAsia="宋体" w:cs="Times New Roman"/>
          <w:sz w:val="24"/>
        </w:rPr>
        <w:t>各类型车的初始运行车速，km/h，按表</w:t>
      </w:r>
      <w:r>
        <w:rPr>
          <w:rFonts w:ascii="Times New Roman" w:hAnsi="Times New Roman" w:eastAsia="宋体" w:cs="Times New Roman"/>
          <w:sz w:val="24"/>
        </w:rPr>
        <w:t>2.4-</w:t>
      </w:r>
      <w:r>
        <w:rPr>
          <w:rFonts w:hint="eastAsia" w:ascii="Times New Roman" w:hAnsi="Times New Roman" w:eastAsia="宋体" w:cs="Times New Roman"/>
          <w:sz w:val="24"/>
        </w:rPr>
        <w:t>12取值。</w:t>
      </w:r>
    </w:p>
    <w:p w14:paraId="08D0255F">
      <w:pPr>
        <w:spacing w:line="300"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对应的夜间平均车速可按白天平均车速的0.9</w:t>
      </w:r>
      <w:r>
        <w:rPr>
          <w:rFonts w:ascii="Times New Roman" w:hAnsi="Times New Roman" w:eastAsia="宋体" w:cs="Times New Roman"/>
          <w:sz w:val="24"/>
        </w:rPr>
        <w:t>～</w:t>
      </w:r>
      <w:r>
        <w:rPr>
          <w:rFonts w:hint="eastAsia" w:ascii="Times New Roman" w:hAnsi="Times New Roman" w:eastAsia="宋体" w:cs="Times New Roman"/>
          <w:sz w:val="24"/>
        </w:rPr>
        <w:t>1.0倍取值。夜间有照明的公路，取较高值；高速公路和全部控制出入的一级公路，可取1.0。</w:t>
      </w:r>
    </w:p>
    <w:p w14:paraId="0BAA0FDF">
      <w:pPr>
        <w:spacing w:line="30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拟建公路为一级路</w:t>
      </w:r>
      <w:r>
        <w:rPr>
          <w:rFonts w:hint="eastAsia" w:ascii="Times New Roman" w:hAnsi="Times New Roman" w:eastAsia="宋体" w:cs="Times New Roman"/>
          <w:sz w:val="24"/>
        </w:rPr>
        <w:t>，沿线各路段均在路口处控制出入，按较为不利的情况，夜间平均车速按白天平均车速1.0倍取值。</w:t>
      </w:r>
    </w:p>
    <w:p w14:paraId="0D973CB8">
      <w:pPr>
        <w:spacing w:beforeLines="50"/>
        <w:jc w:val="center"/>
        <w:rPr>
          <w:rFonts w:ascii="Times New Roman" w:hAnsi="Times New Roman" w:eastAsia="宋体" w:cs="Times New Roman"/>
          <w:b/>
          <w:bCs/>
          <w:szCs w:val="20"/>
        </w:rPr>
      </w:pPr>
      <w:r>
        <w:rPr>
          <w:rFonts w:hint="eastAsia" w:ascii="Times New Roman" w:hAnsi="Times New Roman" w:eastAsia="宋体" w:cs="Times New Roman"/>
          <w:b/>
          <w:bCs/>
          <w:szCs w:val="20"/>
        </w:rPr>
        <w:t>表</w:t>
      </w:r>
      <w:r>
        <w:rPr>
          <w:rFonts w:ascii="Times New Roman" w:hAnsi="Times New Roman" w:eastAsia="宋体" w:cs="Times New Roman"/>
          <w:b/>
          <w:bCs/>
          <w:szCs w:val="20"/>
        </w:rPr>
        <w:t>2.</w:t>
      </w:r>
      <w:r>
        <w:rPr>
          <w:rFonts w:hint="eastAsia" w:ascii="Times New Roman" w:hAnsi="Times New Roman" w:eastAsia="宋体" w:cs="Times New Roman"/>
          <w:b/>
          <w:bCs/>
          <w:szCs w:val="20"/>
        </w:rPr>
        <w:t>5-13  初始运行车速（km/h）</w:t>
      </w:r>
    </w:p>
    <w:tbl>
      <w:tblPr>
        <w:tblStyle w:val="22"/>
        <w:tblW w:w="4859" w:type="pct"/>
        <w:jc w:val="center"/>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504"/>
        <w:gridCol w:w="1288"/>
        <w:gridCol w:w="1373"/>
        <w:gridCol w:w="1373"/>
        <w:gridCol w:w="1373"/>
        <w:gridCol w:w="1377"/>
      </w:tblGrid>
      <w:tr w14:paraId="188E56C0">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684" w:type="pct"/>
            <w:gridSpan w:val="2"/>
            <w:noWrap/>
            <w:vAlign w:val="center"/>
          </w:tcPr>
          <w:p w14:paraId="580C2FA1">
            <w:pPr>
              <w:jc w:val="center"/>
              <w:rPr>
                <w:rFonts w:ascii="Times New Roman" w:hAnsi="Times New Roman" w:eastAsia="宋体" w:cs="Times New Roman"/>
                <w:b/>
                <w:bCs/>
                <w:szCs w:val="21"/>
              </w:rPr>
            </w:pPr>
            <w:r>
              <w:rPr>
                <w:rFonts w:hint="eastAsia" w:ascii="Times New Roman" w:hAnsi="Times New Roman" w:eastAsia="宋体" w:cs="Times New Roman"/>
                <w:b/>
                <w:bCs/>
                <w:szCs w:val="21"/>
              </w:rPr>
              <w:t>公路设计车速</w:t>
            </w:r>
          </w:p>
        </w:tc>
        <w:tc>
          <w:tcPr>
            <w:tcW w:w="828" w:type="pct"/>
            <w:vAlign w:val="center"/>
          </w:tcPr>
          <w:p w14:paraId="2B179B17">
            <w:pPr>
              <w:jc w:val="center"/>
              <w:rPr>
                <w:rFonts w:ascii="Times New Roman" w:hAnsi="Times New Roman" w:eastAsia="宋体" w:cs="Times New Roman"/>
                <w:b/>
                <w:bCs/>
                <w:szCs w:val="21"/>
              </w:rPr>
            </w:pPr>
            <w:r>
              <w:rPr>
                <w:rFonts w:hint="eastAsia" w:ascii="Times New Roman" w:hAnsi="Times New Roman" w:eastAsia="宋体" w:cs="Times New Roman"/>
                <w:b/>
                <w:bCs/>
                <w:szCs w:val="21"/>
              </w:rPr>
              <w:t>1</w:t>
            </w:r>
            <w:r>
              <w:rPr>
                <w:rFonts w:ascii="Times New Roman" w:hAnsi="Times New Roman" w:eastAsia="宋体" w:cs="Times New Roman"/>
                <w:b/>
                <w:bCs/>
                <w:szCs w:val="21"/>
              </w:rPr>
              <w:t>20</w:t>
            </w:r>
          </w:p>
        </w:tc>
        <w:tc>
          <w:tcPr>
            <w:tcW w:w="828" w:type="pct"/>
            <w:noWrap/>
            <w:vAlign w:val="center"/>
          </w:tcPr>
          <w:p w14:paraId="6E532821">
            <w:pPr>
              <w:jc w:val="center"/>
              <w:rPr>
                <w:rFonts w:ascii="Times New Roman" w:hAnsi="Times New Roman" w:eastAsia="宋体" w:cs="Times New Roman"/>
                <w:b/>
                <w:bCs/>
                <w:szCs w:val="21"/>
              </w:rPr>
            </w:pPr>
            <w:r>
              <w:rPr>
                <w:rFonts w:hint="eastAsia" w:ascii="Times New Roman" w:hAnsi="Times New Roman" w:eastAsia="宋体" w:cs="Times New Roman"/>
                <w:b/>
                <w:bCs/>
                <w:szCs w:val="21"/>
              </w:rPr>
              <w:t>1</w:t>
            </w:r>
            <w:r>
              <w:rPr>
                <w:rFonts w:ascii="Times New Roman" w:hAnsi="Times New Roman" w:eastAsia="宋体" w:cs="Times New Roman"/>
                <w:b/>
                <w:bCs/>
                <w:szCs w:val="21"/>
              </w:rPr>
              <w:t>00</w:t>
            </w:r>
          </w:p>
        </w:tc>
        <w:tc>
          <w:tcPr>
            <w:tcW w:w="828" w:type="pct"/>
            <w:vAlign w:val="center"/>
          </w:tcPr>
          <w:p w14:paraId="08DB00A2">
            <w:pPr>
              <w:jc w:val="center"/>
              <w:rPr>
                <w:rFonts w:ascii="Times New Roman" w:hAnsi="Times New Roman" w:eastAsia="宋体" w:cs="Times New Roman"/>
                <w:b/>
                <w:bCs/>
                <w:szCs w:val="21"/>
              </w:rPr>
            </w:pPr>
            <w:r>
              <w:rPr>
                <w:rFonts w:hint="eastAsia" w:ascii="Times New Roman" w:hAnsi="Times New Roman" w:eastAsia="宋体" w:cs="Times New Roman"/>
                <w:b/>
                <w:bCs/>
                <w:szCs w:val="21"/>
              </w:rPr>
              <w:t>8</w:t>
            </w:r>
            <w:r>
              <w:rPr>
                <w:rFonts w:ascii="Times New Roman" w:hAnsi="Times New Roman" w:eastAsia="宋体" w:cs="Times New Roman"/>
                <w:b/>
                <w:bCs/>
                <w:szCs w:val="21"/>
              </w:rPr>
              <w:t>0</w:t>
            </w:r>
          </w:p>
        </w:tc>
        <w:tc>
          <w:tcPr>
            <w:tcW w:w="830" w:type="pct"/>
            <w:vAlign w:val="center"/>
          </w:tcPr>
          <w:p w14:paraId="26645AD6">
            <w:pPr>
              <w:jc w:val="center"/>
              <w:rPr>
                <w:rFonts w:ascii="Times New Roman" w:hAnsi="Times New Roman" w:eastAsia="宋体" w:cs="Times New Roman"/>
                <w:b/>
                <w:bCs/>
                <w:szCs w:val="21"/>
              </w:rPr>
            </w:pPr>
            <w:r>
              <w:rPr>
                <w:rFonts w:hint="eastAsia" w:ascii="Times New Roman" w:hAnsi="Times New Roman" w:eastAsia="宋体" w:cs="Times New Roman"/>
                <w:b/>
                <w:bCs/>
                <w:szCs w:val="21"/>
              </w:rPr>
              <w:t>6</w:t>
            </w:r>
            <w:r>
              <w:rPr>
                <w:rFonts w:ascii="Times New Roman" w:hAnsi="Times New Roman" w:eastAsia="宋体" w:cs="Times New Roman"/>
                <w:b/>
                <w:bCs/>
                <w:szCs w:val="21"/>
              </w:rPr>
              <w:t>0</w:t>
            </w:r>
          </w:p>
        </w:tc>
      </w:tr>
      <w:tr w14:paraId="3E7C0552">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07" w:type="pct"/>
            <w:vMerge w:val="restart"/>
            <w:noWrap/>
            <w:vAlign w:val="center"/>
          </w:tcPr>
          <w:p w14:paraId="42B7C2BE">
            <w:pPr>
              <w:jc w:val="center"/>
              <w:rPr>
                <w:rFonts w:ascii="Times New Roman" w:hAnsi="Times New Roman" w:eastAsia="宋体" w:cs="Times New Roman"/>
                <w:szCs w:val="21"/>
              </w:rPr>
            </w:pPr>
            <w:r>
              <w:rPr>
                <w:rFonts w:hint="eastAsia" w:ascii="Times New Roman" w:hAnsi="Times New Roman" w:eastAsia="宋体" w:cs="Times New Roman"/>
                <w:szCs w:val="21"/>
              </w:rPr>
              <w:t>初始运行车速</w:t>
            </w:r>
          </w:p>
        </w:tc>
        <w:tc>
          <w:tcPr>
            <w:tcW w:w="777" w:type="pct"/>
            <w:noWrap/>
            <w:vAlign w:val="center"/>
          </w:tcPr>
          <w:p w14:paraId="63DF1762">
            <w:pPr>
              <w:jc w:val="center"/>
              <w:rPr>
                <w:rFonts w:ascii="Times New Roman" w:hAnsi="Times New Roman" w:eastAsia="宋体" w:cs="Times New Roman"/>
                <w:szCs w:val="21"/>
              </w:rPr>
            </w:pPr>
            <w:r>
              <w:rPr>
                <w:rFonts w:hint="eastAsia" w:ascii="Times New Roman" w:hAnsi="Times New Roman" w:eastAsia="宋体" w:cs="Times New Roman"/>
                <w:szCs w:val="21"/>
              </w:rPr>
              <w:t>小型车</w:t>
            </w:r>
          </w:p>
        </w:tc>
        <w:tc>
          <w:tcPr>
            <w:tcW w:w="828" w:type="pct"/>
            <w:vAlign w:val="center"/>
          </w:tcPr>
          <w:p w14:paraId="01EAFFB1">
            <w:pPr>
              <w:jc w:val="center"/>
              <w:rPr>
                <w:rFonts w:ascii="Times New Roman" w:hAnsi="Times New Roman" w:eastAsia="宋体" w:cs="Times New Roman"/>
                <w:szCs w:val="21"/>
              </w:rPr>
            </w:pPr>
            <w:r>
              <w:rPr>
                <w:rFonts w:hint="eastAsia" w:ascii="Times New Roman" w:hAnsi="Times New Roman" w:eastAsia="宋体" w:cs="Times New Roman"/>
                <w:szCs w:val="21"/>
              </w:rPr>
              <w:t>1</w:t>
            </w:r>
            <w:r>
              <w:rPr>
                <w:rFonts w:ascii="Times New Roman" w:hAnsi="Times New Roman" w:eastAsia="宋体" w:cs="Times New Roman"/>
                <w:szCs w:val="21"/>
              </w:rPr>
              <w:t>20</w:t>
            </w:r>
          </w:p>
        </w:tc>
        <w:tc>
          <w:tcPr>
            <w:tcW w:w="828" w:type="pct"/>
            <w:noWrap/>
            <w:vAlign w:val="center"/>
          </w:tcPr>
          <w:p w14:paraId="0FDB5020">
            <w:pPr>
              <w:jc w:val="center"/>
              <w:rPr>
                <w:rFonts w:ascii="Times New Roman" w:hAnsi="Times New Roman" w:eastAsia="宋体" w:cs="Times New Roman"/>
                <w:szCs w:val="21"/>
              </w:rPr>
            </w:pPr>
            <w:r>
              <w:rPr>
                <w:rFonts w:hint="eastAsia" w:ascii="Times New Roman" w:hAnsi="Times New Roman" w:eastAsia="宋体" w:cs="Times New Roman"/>
                <w:szCs w:val="21"/>
              </w:rPr>
              <w:t>1</w:t>
            </w:r>
            <w:r>
              <w:rPr>
                <w:rFonts w:ascii="Times New Roman" w:hAnsi="Times New Roman" w:eastAsia="宋体" w:cs="Times New Roman"/>
                <w:szCs w:val="21"/>
              </w:rPr>
              <w:t>00</w:t>
            </w:r>
          </w:p>
        </w:tc>
        <w:tc>
          <w:tcPr>
            <w:tcW w:w="828" w:type="pct"/>
            <w:vAlign w:val="center"/>
          </w:tcPr>
          <w:p w14:paraId="5DC5EA31">
            <w:pPr>
              <w:jc w:val="center"/>
              <w:rPr>
                <w:rFonts w:ascii="Times New Roman" w:hAnsi="Times New Roman" w:eastAsia="宋体" w:cs="Times New Roman"/>
                <w:szCs w:val="21"/>
              </w:rPr>
            </w:pPr>
            <w:r>
              <w:rPr>
                <w:rFonts w:hint="eastAsia" w:ascii="Times New Roman" w:hAnsi="Times New Roman" w:eastAsia="宋体" w:cs="Times New Roman"/>
                <w:szCs w:val="21"/>
              </w:rPr>
              <w:t>8</w:t>
            </w:r>
            <w:r>
              <w:rPr>
                <w:rFonts w:ascii="Times New Roman" w:hAnsi="Times New Roman" w:eastAsia="宋体" w:cs="Times New Roman"/>
                <w:szCs w:val="21"/>
              </w:rPr>
              <w:t>0</w:t>
            </w:r>
          </w:p>
        </w:tc>
        <w:tc>
          <w:tcPr>
            <w:tcW w:w="830" w:type="pct"/>
            <w:vAlign w:val="center"/>
          </w:tcPr>
          <w:p w14:paraId="29C04839">
            <w:pPr>
              <w:jc w:val="center"/>
              <w:rPr>
                <w:rFonts w:ascii="Times New Roman" w:hAnsi="Times New Roman" w:eastAsia="宋体" w:cs="Times New Roman"/>
                <w:szCs w:val="21"/>
              </w:rPr>
            </w:pPr>
            <w:r>
              <w:rPr>
                <w:rFonts w:hint="eastAsia" w:ascii="Times New Roman" w:hAnsi="Times New Roman" w:eastAsia="宋体" w:cs="Times New Roman"/>
                <w:szCs w:val="21"/>
              </w:rPr>
              <w:t>6</w:t>
            </w:r>
            <w:r>
              <w:rPr>
                <w:rFonts w:ascii="Times New Roman" w:hAnsi="Times New Roman" w:eastAsia="宋体" w:cs="Times New Roman"/>
                <w:szCs w:val="21"/>
              </w:rPr>
              <w:t>0</w:t>
            </w:r>
          </w:p>
        </w:tc>
      </w:tr>
      <w:tr w14:paraId="3B91A369">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07" w:type="pct"/>
            <w:vMerge w:val="continue"/>
            <w:noWrap/>
            <w:vAlign w:val="center"/>
          </w:tcPr>
          <w:p w14:paraId="1D2B466D">
            <w:pPr>
              <w:jc w:val="center"/>
              <w:rPr>
                <w:rFonts w:ascii="Times New Roman" w:hAnsi="Times New Roman" w:eastAsia="宋体" w:cs="Times New Roman"/>
                <w:szCs w:val="21"/>
              </w:rPr>
            </w:pPr>
          </w:p>
        </w:tc>
        <w:tc>
          <w:tcPr>
            <w:tcW w:w="777" w:type="pct"/>
            <w:noWrap/>
            <w:vAlign w:val="center"/>
          </w:tcPr>
          <w:p w14:paraId="4D7BB596">
            <w:pPr>
              <w:jc w:val="center"/>
              <w:rPr>
                <w:rFonts w:ascii="Times New Roman" w:hAnsi="Times New Roman" w:eastAsia="宋体" w:cs="Times New Roman"/>
                <w:szCs w:val="21"/>
              </w:rPr>
            </w:pPr>
            <w:r>
              <w:rPr>
                <w:rFonts w:hint="eastAsia" w:ascii="Times New Roman" w:hAnsi="Times New Roman" w:eastAsia="宋体" w:cs="Times New Roman"/>
                <w:szCs w:val="21"/>
              </w:rPr>
              <w:t>大、中型车</w:t>
            </w:r>
          </w:p>
        </w:tc>
        <w:tc>
          <w:tcPr>
            <w:tcW w:w="828" w:type="pct"/>
            <w:vAlign w:val="center"/>
          </w:tcPr>
          <w:p w14:paraId="3E20FC74">
            <w:pPr>
              <w:jc w:val="center"/>
              <w:rPr>
                <w:rFonts w:ascii="Times New Roman" w:hAnsi="Times New Roman" w:eastAsia="宋体" w:cs="Times New Roman"/>
                <w:szCs w:val="21"/>
              </w:rPr>
            </w:pPr>
            <w:r>
              <w:rPr>
                <w:rFonts w:hint="eastAsia" w:ascii="Times New Roman" w:hAnsi="Times New Roman" w:eastAsia="宋体" w:cs="Times New Roman"/>
                <w:szCs w:val="21"/>
              </w:rPr>
              <w:t>8</w:t>
            </w:r>
            <w:r>
              <w:rPr>
                <w:rFonts w:ascii="Times New Roman" w:hAnsi="Times New Roman" w:eastAsia="宋体" w:cs="Times New Roman"/>
                <w:szCs w:val="21"/>
              </w:rPr>
              <w:t>0</w:t>
            </w:r>
          </w:p>
        </w:tc>
        <w:tc>
          <w:tcPr>
            <w:tcW w:w="828" w:type="pct"/>
            <w:noWrap/>
            <w:vAlign w:val="center"/>
          </w:tcPr>
          <w:p w14:paraId="5C92D3B1">
            <w:pPr>
              <w:jc w:val="center"/>
              <w:rPr>
                <w:rFonts w:ascii="Times New Roman" w:hAnsi="Times New Roman" w:eastAsia="宋体" w:cs="Times New Roman"/>
                <w:szCs w:val="21"/>
              </w:rPr>
            </w:pPr>
            <w:r>
              <w:rPr>
                <w:rFonts w:hint="eastAsia" w:ascii="Times New Roman" w:hAnsi="Times New Roman" w:eastAsia="宋体" w:cs="Times New Roman"/>
                <w:szCs w:val="21"/>
              </w:rPr>
              <w:t>7</w:t>
            </w:r>
            <w:r>
              <w:rPr>
                <w:rFonts w:ascii="Times New Roman" w:hAnsi="Times New Roman" w:eastAsia="宋体" w:cs="Times New Roman"/>
                <w:szCs w:val="21"/>
              </w:rPr>
              <w:t>5</w:t>
            </w:r>
          </w:p>
        </w:tc>
        <w:tc>
          <w:tcPr>
            <w:tcW w:w="828" w:type="pct"/>
            <w:vAlign w:val="center"/>
          </w:tcPr>
          <w:p w14:paraId="3EAE4F61">
            <w:pPr>
              <w:jc w:val="center"/>
              <w:rPr>
                <w:rFonts w:ascii="Times New Roman" w:hAnsi="Times New Roman" w:eastAsia="宋体" w:cs="Times New Roman"/>
                <w:szCs w:val="21"/>
              </w:rPr>
            </w:pPr>
            <w:r>
              <w:rPr>
                <w:rFonts w:hint="eastAsia" w:ascii="Times New Roman" w:hAnsi="Times New Roman" w:eastAsia="宋体" w:cs="Times New Roman"/>
                <w:szCs w:val="21"/>
              </w:rPr>
              <w:t>6</w:t>
            </w:r>
            <w:r>
              <w:rPr>
                <w:rFonts w:ascii="Times New Roman" w:hAnsi="Times New Roman" w:eastAsia="宋体" w:cs="Times New Roman"/>
                <w:szCs w:val="21"/>
              </w:rPr>
              <w:t>5</w:t>
            </w:r>
          </w:p>
        </w:tc>
        <w:tc>
          <w:tcPr>
            <w:tcW w:w="830" w:type="pct"/>
            <w:vAlign w:val="center"/>
          </w:tcPr>
          <w:p w14:paraId="3C89D768">
            <w:pPr>
              <w:jc w:val="center"/>
              <w:rPr>
                <w:rFonts w:ascii="Times New Roman" w:hAnsi="Times New Roman" w:eastAsia="宋体" w:cs="Times New Roman"/>
                <w:szCs w:val="21"/>
              </w:rPr>
            </w:pPr>
            <w:r>
              <w:rPr>
                <w:rFonts w:hint="eastAsia" w:ascii="Times New Roman" w:hAnsi="Times New Roman" w:eastAsia="宋体" w:cs="Times New Roman"/>
                <w:szCs w:val="21"/>
              </w:rPr>
              <w:t>5</w:t>
            </w:r>
            <w:r>
              <w:rPr>
                <w:rFonts w:ascii="Times New Roman" w:hAnsi="Times New Roman" w:eastAsia="宋体" w:cs="Times New Roman"/>
                <w:szCs w:val="21"/>
              </w:rPr>
              <w:t>0</w:t>
            </w:r>
          </w:p>
        </w:tc>
      </w:tr>
    </w:tbl>
    <w:p w14:paraId="43FE874A">
      <w:pPr>
        <w:rPr>
          <w:rFonts w:ascii="Times New Roman" w:hAnsi="Times New Roman" w:eastAsia="宋体" w:cs="Times New Roman"/>
        </w:rPr>
      </w:pPr>
    </w:p>
    <w:p w14:paraId="72849A74">
      <w:pPr>
        <w:spacing w:line="300" w:lineRule="auto"/>
        <w:ind w:firstLine="480" w:firstLineChars="200"/>
        <w:rPr>
          <w:rFonts w:ascii="Times New Roman" w:hAnsi="Times New Roman" w:eastAsia="宋体" w:cs="Times New Roman"/>
          <w:sz w:val="24"/>
        </w:rPr>
      </w:pPr>
      <w:r>
        <w:rPr>
          <w:rFonts w:ascii="Times New Roman" w:hAnsi="宋体" w:eastAsia="宋体" w:cs="Times New Roman"/>
          <w:sz w:val="24"/>
        </w:rPr>
        <w:t>②</w:t>
      </w:r>
      <w:r>
        <w:rPr>
          <w:rFonts w:ascii="Times New Roman" w:hAnsi="Times New Roman" w:eastAsia="宋体" w:cs="Times New Roman"/>
          <w:sz w:val="24"/>
        </w:rPr>
        <w:t xml:space="preserve"> </w:t>
      </w:r>
      <w:r>
        <w:rPr>
          <w:rFonts w:ascii="Times New Roman" w:hAnsi="宋体" w:eastAsia="宋体" w:cs="Times New Roman"/>
          <w:sz w:val="24"/>
        </w:rPr>
        <w:t>当</w:t>
      </w:r>
      <w:r>
        <w:rPr>
          <w:rFonts w:ascii="Times New Roman" w:hAnsi="Times New Roman" w:eastAsia="宋体" w:cs="Times New Roman"/>
          <w:sz w:val="24"/>
        </w:rPr>
        <w:t>0.2&lt;V/C≤0.7</w:t>
      </w:r>
      <w:r>
        <w:rPr>
          <w:rFonts w:ascii="Times New Roman" w:hAnsi="宋体" w:eastAsia="宋体" w:cs="Times New Roman"/>
          <w:sz w:val="24"/>
        </w:rPr>
        <w:t>时，平均车速按下列公式计算：</w:t>
      </w:r>
    </w:p>
    <w:p w14:paraId="480BFF76">
      <w:pPr>
        <w:jc w:val="center"/>
        <w:rPr>
          <w:rFonts w:ascii="Times New Roman" w:hAnsi="Times New Roman" w:eastAsia="宋体" w:cs="Times New Roman"/>
        </w:rPr>
      </w:pPr>
      <w:r>
        <w:rPr>
          <w:rFonts w:ascii="Times New Roman" w:hAnsi="Times New Roman" w:eastAsia="宋体" w:cs="Times New Roman"/>
          <w:position w:val="-32"/>
        </w:rPr>
        <w:object>
          <v:shape id="_x0000_i1048" o:spt="75" type="#_x0000_t75" style="height:39pt;width:169.5pt;" o:ole="t" filled="f" o:preferrelative="t" stroked="f" coordsize="21600,21600">
            <v:path/>
            <v:fill on="f" focussize="0,0"/>
            <v:stroke on="f" joinstyle="miter"/>
            <v:imagedata r:id="rId223" o:title=""/>
            <o:lock v:ext="edit" aspectratio="t"/>
            <w10:wrap type="none"/>
            <w10:anchorlock/>
          </v:shape>
          <o:OLEObject Type="Embed" ProgID="Equation.DSMT4" ShapeID="_x0000_i1048" DrawAspect="Content" ObjectID="_1468075748" r:id="rId222">
            <o:LockedField>false</o:LockedField>
          </o:OLEObject>
        </w:object>
      </w:r>
    </w:p>
    <w:p w14:paraId="7F6869B6">
      <w:pPr>
        <w:spacing w:line="30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式中：</w:t>
      </w:r>
      <w:r>
        <w:rPr>
          <w:rFonts w:hint="eastAsia" w:ascii="Times New Roman" w:hAnsi="Times New Roman" w:eastAsia="宋体" w:cs="Times New Roman"/>
          <w:sz w:val="24"/>
        </w:rPr>
        <w:t>vi</w:t>
      </w:r>
      <w:r>
        <w:rPr>
          <w:rFonts w:ascii="Times New Roman" w:hAnsi="Times New Roman" w:eastAsia="宋体" w:cs="Times New Roman"/>
          <w:sz w:val="24"/>
        </w:rPr>
        <w:t>——平均车速，km/h；</w:t>
      </w:r>
    </w:p>
    <w:p w14:paraId="1AFC1D19">
      <w:pPr>
        <w:spacing w:line="300" w:lineRule="auto"/>
        <w:ind w:firstLine="1200" w:firstLineChars="500"/>
        <w:rPr>
          <w:rFonts w:ascii="Times New Roman" w:hAnsi="Times New Roman" w:eastAsia="宋体" w:cs="Times New Roman"/>
          <w:sz w:val="24"/>
        </w:rPr>
      </w:pPr>
      <w:r>
        <w:rPr>
          <w:rFonts w:hint="eastAsia" w:ascii="Times New Roman" w:hAnsi="Times New Roman" w:eastAsia="宋体" w:cs="Times New Roman"/>
          <w:sz w:val="24"/>
        </w:rPr>
        <w:t>vd</w:t>
      </w:r>
      <w:r>
        <w:rPr>
          <w:rFonts w:ascii="Times New Roman" w:hAnsi="Times New Roman" w:eastAsia="宋体" w:cs="Times New Roman"/>
          <w:sz w:val="24"/>
        </w:rPr>
        <w:t>——设计车速，km/h；</w:t>
      </w:r>
    </w:p>
    <w:p w14:paraId="451018D1">
      <w:pPr>
        <w:spacing w:line="300" w:lineRule="auto"/>
        <w:ind w:firstLine="1200" w:firstLineChars="500"/>
        <w:rPr>
          <w:rFonts w:ascii="Times New Roman" w:hAnsi="Times New Roman" w:eastAsia="宋体" w:cs="Times New Roman"/>
          <w:sz w:val="24"/>
        </w:rPr>
      </w:pPr>
      <w:r>
        <w:rPr>
          <w:rFonts w:hint="eastAsia" w:ascii="Times New Roman" w:hAnsi="Times New Roman" w:eastAsia="宋体" w:cs="Times New Roman"/>
          <w:sz w:val="24"/>
        </w:rPr>
        <w:t>ui</w:t>
      </w:r>
      <w:r>
        <w:rPr>
          <w:rFonts w:ascii="Times New Roman" w:hAnsi="Times New Roman" w:eastAsia="宋体" w:cs="Times New Roman"/>
          <w:sz w:val="24"/>
        </w:rPr>
        <w:t>——该车型的当量车数</w:t>
      </w:r>
      <w:r>
        <w:rPr>
          <w:rFonts w:hint="eastAsia" w:ascii="Times New Roman" w:hAnsi="Times New Roman" w:eastAsia="宋体" w:cs="Times New Roman"/>
          <w:sz w:val="24"/>
        </w:rPr>
        <w:t>，按下列公式计算：</w:t>
      </w:r>
    </w:p>
    <w:p w14:paraId="368E0FA8">
      <w:pPr>
        <w:jc w:val="center"/>
        <w:rPr>
          <w:rFonts w:ascii="Times New Roman" w:hAnsi="Times New Roman" w:eastAsia="宋体" w:cs="Times New Roman"/>
        </w:rPr>
      </w:pPr>
      <w:r>
        <w:rPr>
          <w:rFonts w:ascii="Times New Roman" w:hAnsi="Times New Roman" w:eastAsia="宋体" w:cs="Times New Roman"/>
          <w:position w:val="-12"/>
        </w:rPr>
        <w:object>
          <v:shape id="_x0000_i1049" o:spt="75" type="#_x0000_t75" style="height:18.75pt;width:121.5pt;" o:ole="t" filled="f" o:preferrelative="t" stroked="f" coordsize="21600,21600">
            <v:path/>
            <v:fill on="f" focussize="0,0"/>
            <v:stroke on="f" joinstyle="miter"/>
            <v:imagedata r:id="rId225" o:title=""/>
            <o:lock v:ext="edit" aspectratio="t"/>
            <w10:wrap type="none"/>
            <w10:anchorlock/>
          </v:shape>
          <o:OLEObject Type="Embed" ProgID="Equation.DSMT4" ShapeID="_x0000_i1049" DrawAspect="Content" ObjectID="_1468075749" r:id="rId224">
            <o:LockedField>false</o:LockedField>
          </o:OLEObject>
        </w:object>
      </w:r>
    </w:p>
    <w:p w14:paraId="29ADF072">
      <w:pPr>
        <w:spacing w:line="300"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式中：</w:t>
      </w:r>
      <w:r>
        <w:rPr>
          <w:rFonts w:ascii="Times New Roman" w:hAnsi="Times New Roman" w:eastAsia="宋体" w:cs="Times New Roman"/>
          <w:sz w:val="24"/>
        </w:rPr>
        <w:object>
          <v:shape id="_x0000_i1050" o:spt="75" type="#_x0000_t75" style="height:12pt;width:18.75pt;" o:ole="t" filled="f" o:preferrelative="t" stroked="f" coordsize="21600,21600">
            <v:path/>
            <v:fill on="f" focussize="0,0"/>
            <v:stroke on="f" joinstyle="miter"/>
            <v:imagedata r:id="rId227" o:title=""/>
            <o:lock v:ext="edit" aspectratio="t"/>
            <w10:wrap type="none"/>
            <w10:anchorlock/>
          </v:shape>
          <o:OLEObject Type="Embed" ProgID="Equation.DSMT4" ShapeID="_x0000_i1050" DrawAspect="Content" ObjectID="_1468075750" r:id="rId226">
            <o:LockedField>false</o:LockedField>
          </o:OLEObject>
        </w:object>
      </w:r>
      <w:r>
        <w:rPr>
          <w:rFonts w:ascii="Times New Roman" w:hAnsi="Times New Roman" w:eastAsia="宋体" w:cs="Times New Roman"/>
          <w:sz w:val="24"/>
        </w:rPr>
        <w:t>——单车道</w:t>
      </w:r>
      <w:r>
        <w:rPr>
          <w:rFonts w:hint="eastAsia" w:ascii="Times New Roman" w:hAnsi="Times New Roman" w:eastAsia="宋体" w:cs="Times New Roman"/>
          <w:sz w:val="24"/>
        </w:rPr>
        <w:t>绝对交通量</w:t>
      </w:r>
      <w:r>
        <w:rPr>
          <w:rFonts w:ascii="Times New Roman" w:hAnsi="Times New Roman" w:eastAsia="宋体" w:cs="Times New Roman"/>
          <w:sz w:val="24"/>
        </w:rPr>
        <w:t>，辆/h</w:t>
      </w:r>
      <w:r>
        <w:rPr>
          <w:rFonts w:hint="eastAsia" w:ascii="Times New Roman" w:hAnsi="Times New Roman" w:eastAsia="宋体" w:cs="Times New Roman"/>
          <w:sz w:val="24"/>
        </w:rPr>
        <w:t>；</w:t>
      </w:r>
    </w:p>
    <w:p w14:paraId="7ECC3150">
      <w:pPr>
        <w:spacing w:line="300" w:lineRule="auto"/>
        <w:ind w:firstLine="1200" w:firstLineChars="500"/>
        <w:rPr>
          <w:rFonts w:ascii="Times New Roman" w:hAnsi="Times New Roman" w:eastAsia="宋体" w:cs="Times New Roman"/>
          <w:sz w:val="24"/>
        </w:rPr>
      </w:pPr>
      <w:r>
        <w:rPr>
          <w:rFonts w:ascii="Times New Roman" w:hAnsi="Times New Roman" w:eastAsia="宋体" w:cs="Times New Roman"/>
          <w:sz w:val="24"/>
        </w:rPr>
        <w:t>ηi——该车型的车型比；</w:t>
      </w:r>
    </w:p>
    <w:p w14:paraId="3DE6940D">
      <w:pPr>
        <w:spacing w:line="300" w:lineRule="auto"/>
        <w:ind w:firstLine="1200" w:firstLineChars="500"/>
        <w:rPr>
          <w:rFonts w:ascii="Times New Roman" w:hAnsi="Times New Roman" w:eastAsia="宋体" w:cs="Times New Roman"/>
          <w:sz w:val="24"/>
        </w:rPr>
      </w:pPr>
      <w:r>
        <w:rPr>
          <w:rFonts w:ascii="Times New Roman" w:hAnsi="Times New Roman" w:eastAsia="宋体" w:cs="Times New Roman"/>
          <w:sz w:val="24"/>
        </w:rPr>
        <w:t>mi——该车型的加权系数</w:t>
      </w:r>
      <w:r>
        <w:rPr>
          <w:rFonts w:hint="eastAsia" w:ascii="Times New Roman" w:hAnsi="Times New Roman" w:eastAsia="宋体" w:cs="Times New Roman"/>
          <w:sz w:val="24"/>
        </w:rPr>
        <w:t>，取值见表</w:t>
      </w:r>
      <w:r>
        <w:rPr>
          <w:rFonts w:ascii="Times New Roman" w:hAnsi="Times New Roman" w:eastAsia="宋体" w:cs="Times New Roman"/>
          <w:sz w:val="24"/>
        </w:rPr>
        <w:t>2.</w:t>
      </w:r>
      <w:r>
        <w:rPr>
          <w:rFonts w:hint="eastAsia" w:ascii="Times New Roman" w:hAnsi="Times New Roman" w:eastAsia="宋体" w:cs="Times New Roman"/>
          <w:sz w:val="24"/>
        </w:rPr>
        <w:t>5</w:t>
      </w:r>
      <w:r>
        <w:rPr>
          <w:rFonts w:ascii="Times New Roman" w:hAnsi="Times New Roman" w:eastAsia="宋体" w:cs="Times New Roman"/>
          <w:sz w:val="24"/>
        </w:rPr>
        <w:t>-</w:t>
      </w:r>
      <w:r>
        <w:rPr>
          <w:rFonts w:hint="eastAsia" w:ascii="Times New Roman" w:hAnsi="Times New Roman" w:eastAsia="宋体" w:cs="Times New Roman"/>
          <w:sz w:val="24"/>
        </w:rPr>
        <w:t>14；</w:t>
      </w:r>
    </w:p>
    <w:p w14:paraId="5F7CF9D6">
      <w:pPr>
        <w:spacing w:line="300" w:lineRule="auto"/>
        <w:ind w:firstLine="1200" w:firstLineChars="500"/>
        <w:rPr>
          <w:rFonts w:ascii="Times New Roman" w:hAnsi="Times New Roman" w:eastAsia="宋体" w:cs="Times New Roman"/>
          <w:sz w:val="24"/>
        </w:rPr>
      </w:pPr>
      <w:r>
        <w:rPr>
          <w:rFonts w:ascii="Times New Roman" w:hAnsi="Times New Roman" w:eastAsia="宋体" w:cs="Times New Roman"/>
          <w:sz w:val="24"/>
        </w:rPr>
        <w:t>k1i、k2i、k3i、k4i——分别为系数，取值见表2.</w:t>
      </w:r>
      <w:r>
        <w:rPr>
          <w:rFonts w:hint="eastAsia" w:ascii="Times New Roman" w:hAnsi="Times New Roman" w:eastAsia="宋体" w:cs="Times New Roman"/>
          <w:sz w:val="24"/>
        </w:rPr>
        <w:t>5</w:t>
      </w:r>
      <w:r>
        <w:rPr>
          <w:rFonts w:ascii="Times New Roman" w:hAnsi="Times New Roman" w:eastAsia="宋体" w:cs="Times New Roman"/>
          <w:sz w:val="24"/>
        </w:rPr>
        <w:t>-</w:t>
      </w:r>
      <w:r>
        <w:rPr>
          <w:rFonts w:hint="eastAsia" w:ascii="Times New Roman" w:hAnsi="Times New Roman" w:eastAsia="宋体" w:cs="Times New Roman"/>
          <w:sz w:val="24"/>
        </w:rPr>
        <w:t>14</w:t>
      </w:r>
      <w:r>
        <w:rPr>
          <w:rFonts w:ascii="Times New Roman" w:hAnsi="Times New Roman" w:eastAsia="宋体" w:cs="Times New Roman"/>
          <w:sz w:val="24"/>
        </w:rPr>
        <w:t>。</w:t>
      </w:r>
    </w:p>
    <w:p w14:paraId="47E3BDE3">
      <w:pPr>
        <w:spacing w:beforeLines="50"/>
        <w:jc w:val="center"/>
        <w:rPr>
          <w:rFonts w:ascii="Times New Roman" w:hAnsi="Times New Roman" w:eastAsia="宋体" w:cs="Times New Roman"/>
          <w:b/>
          <w:bCs/>
          <w:szCs w:val="20"/>
        </w:rPr>
      </w:pPr>
      <w:r>
        <w:rPr>
          <w:rFonts w:hint="eastAsia" w:ascii="Times New Roman" w:hAnsi="Times New Roman" w:eastAsia="宋体" w:cs="Times New Roman"/>
          <w:b/>
          <w:bCs/>
          <w:szCs w:val="20"/>
        </w:rPr>
        <w:t>表</w:t>
      </w:r>
      <w:r>
        <w:rPr>
          <w:rFonts w:ascii="Times New Roman" w:hAnsi="Times New Roman" w:eastAsia="宋体" w:cs="Times New Roman"/>
          <w:b/>
          <w:bCs/>
          <w:szCs w:val="20"/>
        </w:rPr>
        <w:t>2.</w:t>
      </w:r>
      <w:r>
        <w:rPr>
          <w:rFonts w:hint="eastAsia" w:ascii="Times New Roman" w:hAnsi="Times New Roman" w:eastAsia="宋体" w:cs="Times New Roman"/>
          <w:b/>
          <w:bCs/>
          <w:szCs w:val="20"/>
        </w:rPr>
        <w:t>5-14  车速计算公式系数</w:t>
      </w:r>
    </w:p>
    <w:tbl>
      <w:tblPr>
        <w:tblStyle w:val="22"/>
        <w:tblW w:w="5000" w:type="pct"/>
        <w:jc w:val="center"/>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autofit"/>
        <w:tblCellMar>
          <w:top w:w="0" w:type="dxa"/>
          <w:left w:w="0" w:type="dxa"/>
          <w:bottom w:w="0" w:type="dxa"/>
          <w:right w:w="0" w:type="dxa"/>
        </w:tblCellMar>
      </w:tblPr>
      <w:tblGrid>
        <w:gridCol w:w="1222"/>
        <w:gridCol w:w="1316"/>
        <w:gridCol w:w="1316"/>
        <w:gridCol w:w="1842"/>
        <w:gridCol w:w="1448"/>
        <w:gridCol w:w="1228"/>
      </w:tblGrid>
      <w:tr w14:paraId="6611AF94">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730" w:type="pct"/>
            <w:vMerge w:val="restart"/>
            <w:noWrap/>
            <w:vAlign w:val="center"/>
          </w:tcPr>
          <w:p w14:paraId="6F942113">
            <w:pPr>
              <w:jc w:val="center"/>
              <w:rPr>
                <w:rFonts w:ascii="Times New Roman" w:hAnsi="Times New Roman" w:eastAsia="宋体" w:cs="Times New Roman"/>
                <w:b/>
                <w:bCs/>
                <w:szCs w:val="21"/>
              </w:rPr>
            </w:pPr>
            <w:r>
              <w:rPr>
                <w:rFonts w:ascii="Times New Roman" w:hAnsi="Times New Roman" w:eastAsia="宋体" w:cs="Times New Roman"/>
                <w:b/>
                <w:bCs/>
                <w:szCs w:val="21"/>
              </w:rPr>
              <w:t>车型</w:t>
            </w:r>
          </w:p>
        </w:tc>
        <w:tc>
          <w:tcPr>
            <w:tcW w:w="4270" w:type="pct"/>
            <w:gridSpan w:val="5"/>
            <w:noWrap/>
          </w:tcPr>
          <w:p w14:paraId="6337F0AB">
            <w:pPr>
              <w:jc w:val="center"/>
              <w:rPr>
                <w:rFonts w:ascii="Times New Roman" w:hAnsi="Times New Roman" w:eastAsia="宋体" w:cs="Times New Roman"/>
                <w:b/>
                <w:bCs/>
                <w:szCs w:val="21"/>
              </w:rPr>
            </w:pPr>
            <w:r>
              <w:rPr>
                <w:rFonts w:ascii="Times New Roman" w:hAnsi="Times New Roman" w:eastAsia="宋体" w:cs="Times New Roman"/>
                <w:b/>
                <w:bCs/>
                <w:szCs w:val="21"/>
              </w:rPr>
              <w:t>系数</w:t>
            </w:r>
          </w:p>
        </w:tc>
      </w:tr>
      <w:tr w14:paraId="5ED180D8">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730" w:type="pct"/>
            <w:vMerge w:val="continue"/>
            <w:noWrap/>
          </w:tcPr>
          <w:p w14:paraId="0E014417">
            <w:pPr>
              <w:jc w:val="center"/>
              <w:rPr>
                <w:rFonts w:ascii="Times New Roman" w:hAnsi="Times New Roman" w:eastAsia="宋体" w:cs="Times New Roman"/>
                <w:b/>
                <w:bCs/>
                <w:szCs w:val="21"/>
              </w:rPr>
            </w:pPr>
          </w:p>
        </w:tc>
        <w:tc>
          <w:tcPr>
            <w:tcW w:w="786" w:type="pct"/>
            <w:noWrap/>
          </w:tcPr>
          <w:p w14:paraId="6C82479A">
            <w:pPr>
              <w:jc w:val="center"/>
              <w:rPr>
                <w:rFonts w:ascii="Times New Roman" w:hAnsi="Times New Roman" w:eastAsia="宋体" w:cs="Times New Roman"/>
                <w:b/>
                <w:bCs/>
                <w:szCs w:val="21"/>
              </w:rPr>
            </w:pPr>
            <w:r>
              <w:rPr>
                <w:rFonts w:ascii="Times New Roman" w:hAnsi="Times New Roman" w:eastAsia="宋体" w:cs="Times New Roman"/>
                <w:b/>
                <w:bCs/>
                <w:i/>
                <w:szCs w:val="21"/>
              </w:rPr>
              <w:t>k</w:t>
            </w:r>
            <w:r>
              <w:rPr>
                <w:rFonts w:ascii="Times New Roman" w:hAnsi="Times New Roman" w:eastAsia="宋体" w:cs="Times New Roman"/>
                <w:b/>
                <w:bCs/>
                <w:szCs w:val="21"/>
                <w:vertAlign w:val="subscript"/>
              </w:rPr>
              <w:t>1i</w:t>
            </w:r>
          </w:p>
        </w:tc>
        <w:tc>
          <w:tcPr>
            <w:tcW w:w="786" w:type="pct"/>
            <w:noWrap/>
          </w:tcPr>
          <w:p w14:paraId="2A1C4961">
            <w:pPr>
              <w:jc w:val="center"/>
              <w:rPr>
                <w:rFonts w:ascii="Times New Roman" w:hAnsi="Times New Roman" w:eastAsia="宋体" w:cs="Times New Roman"/>
                <w:b/>
                <w:bCs/>
                <w:szCs w:val="21"/>
              </w:rPr>
            </w:pPr>
            <w:r>
              <w:rPr>
                <w:rFonts w:ascii="Times New Roman" w:hAnsi="Times New Roman" w:eastAsia="宋体" w:cs="Times New Roman"/>
                <w:b/>
                <w:bCs/>
                <w:i/>
                <w:szCs w:val="21"/>
              </w:rPr>
              <w:t>k</w:t>
            </w:r>
            <w:r>
              <w:rPr>
                <w:rFonts w:ascii="Times New Roman" w:hAnsi="Times New Roman" w:eastAsia="宋体" w:cs="Times New Roman"/>
                <w:b/>
                <w:bCs/>
                <w:szCs w:val="21"/>
                <w:vertAlign w:val="subscript"/>
              </w:rPr>
              <w:t>2i</w:t>
            </w:r>
          </w:p>
        </w:tc>
        <w:tc>
          <w:tcPr>
            <w:tcW w:w="1100" w:type="pct"/>
            <w:noWrap/>
          </w:tcPr>
          <w:p w14:paraId="2CD96D9F">
            <w:pPr>
              <w:jc w:val="center"/>
              <w:rPr>
                <w:rFonts w:ascii="Times New Roman" w:hAnsi="Times New Roman" w:eastAsia="宋体" w:cs="Times New Roman"/>
                <w:b/>
                <w:bCs/>
                <w:szCs w:val="21"/>
              </w:rPr>
            </w:pPr>
            <w:r>
              <w:rPr>
                <w:rFonts w:ascii="Times New Roman" w:hAnsi="Times New Roman" w:eastAsia="宋体" w:cs="Times New Roman"/>
                <w:b/>
                <w:bCs/>
                <w:i/>
                <w:szCs w:val="21"/>
              </w:rPr>
              <w:t>k</w:t>
            </w:r>
            <w:r>
              <w:rPr>
                <w:rFonts w:ascii="Times New Roman" w:hAnsi="Times New Roman" w:eastAsia="宋体" w:cs="Times New Roman"/>
                <w:b/>
                <w:bCs/>
                <w:szCs w:val="21"/>
                <w:vertAlign w:val="subscript"/>
              </w:rPr>
              <w:t>3i</w:t>
            </w:r>
          </w:p>
        </w:tc>
        <w:tc>
          <w:tcPr>
            <w:tcW w:w="865" w:type="pct"/>
            <w:noWrap/>
          </w:tcPr>
          <w:p w14:paraId="05F632AA">
            <w:pPr>
              <w:jc w:val="center"/>
              <w:rPr>
                <w:rFonts w:ascii="Times New Roman" w:hAnsi="Times New Roman" w:eastAsia="宋体" w:cs="Times New Roman"/>
                <w:b/>
                <w:bCs/>
                <w:szCs w:val="21"/>
              </w:rPr>
            </w:pPr>
            <w:r>
              <w:rPr>
                <w:rFonts w:ascii="Times New Roman" w:hAnsi="Times New Roman" w:eastAsia="宋体" w:cs="Times New Roman"/>
                <w:b/>
                <w:bCs/>
                <w:i/>
                <w:szCs w:val="21"/>
              </w:rPr>
              <w:t>k</w:t>
            </w:r>
            <w:r>
              <w:rPr>
                <w:rFonts w:ascii="Times New Roman" w:hAnsi="Times New Roman" w:eastAsia="宋体" w:cs="Times New Roman"/>
                <w:b/>
                <w:bCs/>
                <w:szCs w:val="21"/>
                <w:vertAlign w:val="subscript"/>
              </w:rPr>
              <w:t>4i</w:t>
            </w:r>
          </w:p>
        </w:tc>
        <w:tc>
          <w:tcPr>
            <w:tcW w:w="733" w:type="pct"/>
            <w:noWrap/>
          </w:tcPr>
          <w:p w14:paraId="431A459C">
            <w:pPr>
              <w:jc w:val="center"/>
              <w:rPr>
                <w:rFonts w:ascii="Times New Roman" w:hAnsi="Times New Roman" w:eastAsia="宋体" w:cs="Times New Roman"/>
                <w:b/>
                <w:bCs/>
                <w:szCs w:val="21"/>
              </w:rPr>
            </w:pPr>
            <w:r>
              <w:rPr>
                <w:rFonts w:ascii="Times New Roman" w:hAnsi="Times New Roman" w:eastAsia="宋体" w:cs="Times New Roman"/>
                <w:b/>
                <w:bCs/>
                <w:i/>
                <w:szCs w:val="21"/>
              </w:rPr>
              <w:t>m</w:t>
            </w:r>
            <w:r>
              <w:rPr>
                <w:rFonts w:ascii="Times New Roman" w:hAnsi="Times New Roman" w:eastAsia="宋体" w:cs="Times New Roman"/>
                <w:b/>
                <w:bCs/>
                <w:i/>
                <w:szCs w:val="21"/>
                <w:vertAlign w:val="subscript"/>
              </w:rPr>
              <w:t>i</w:t>
            </w:r>
          </w:p>
        </w:tc>
      </w:tr>
      <w:tr w14:paraId="7F85CA4C">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730" w:type="pct"/>
            <w:noWrap/>
          </w:tcPr>
          <w:p w14:paraId="633242F6">
            <w:pPr>
              <w:jc w:val="center"/>
              <w:rPr>
                <w:rFonts w:ascii="Times New Roman" w:hAnsi="Times New Roman" w:eastAsia="宋体" w:cs="Times New Roman"/>
                <w:szCs w:val="21"/>
              </w:rPr>
            </w:pPr>
            <w:r>
              <w:rPr>
                <w:rFonts w:ascii="Times New Roman" w:hAnsi="Times New Roman" w:eastAsia="宋体" w:cs="Times New Roman"/>
                <w:szCs w:val="21"/>
              </w:rPr>
              <w:t>小型车</w:t>
            </w:r>
          </w:p>
        </w:tc>
        <w:tc>
          <w:tcPr>
            <w:tcW w:w="786" w:type="pct"/>
            <w:noWrap/>
          </w:tcPr>
          <w:p w14:paraId="46BCCBD5">
            <w:pPr>
              <w:jc w:val="center"/>
              <w:rPr>
                <w:rFonts w:ascii="Times New Roman" w:hAnsi="Times New Roman" w:eastAsia="宋体" w:cs="Times New Roman"/>
                <w:szCs w:val="21"/>
              </w:rPr>
            </w:pPr>
            <w:r>
              <w:rPr>
                <w:rFonts w:ascii="Times New Roman" w:hAnsi="Times New Roman" w:eastAsia="宋体" w:cs="Times New Roman"/>
                <w:szCs w:val="21"/>
              </w:rPr>
              <w:t>-0.061748</w:t>
            </w:r>
          </w:p>
        </w:tc>
        <w:tc>
          <w:tcPr>
            <w:tcW w:w="786" w:type="pct"/>
            <w:noWrap/>
          </w:tcPr>
          <w:p w14:paraId="6D70E18A">
            <w:pPr>
              <w:jc w:val="center"/>
              <w:rPr>
                <w:rFonts w:ascii="Times New Roman" w:hAnsi="Times New Roman" w:eastAsia="宋体" w:cs="Times New Roman"/>
                <w:szCs w:val="21"/>
              </w:rPr>
            </w:pPr>
            <w:r>
              <w:rPr>
                <w:rFonts w:ascii="Times New Roman" w:hAnsi="Times New Roman" w:eastAsia="宋体" w:cs="Times New Roman"/>
                <w:szCs w:val="21"/>
              </w:rPr>
              <w:t>149.65</w:t>
            </w:r>
          </w:p>
        </w:tc>
        <w:tc>
          <w:tcPr>
            <w:tcW w:w="1100" w:type="pct"/>
            <w:noWrap/>
          </w:tcPr>
          <w:p w14:paraId="067CBD8F">
            <w:pPr>
              <w:jc w:val="center"/>
              <w:rPr>
                <w:rFonts w:ascii="Times New Roman" w:hAnsi="Times New Roman" w:eastAsia="宋体" w:cs="Times New Roman"/>
                <w:szCs w:val="21"/>
              </w:rPr>
            </w:pPr>
            <w:r>
              <w:rPr>
                <w:rFonts w:ascii="Times New Roman" w:hAnsi="Times New Roman" w:eastAsia="宋体" w:cs="Times New Roman"/>
                <w:szCs w:val="21"/>
              </w:rPr>
              <w:t>-0.000023696</w:t>
            </w:r>
          </w:p>
        </w:tc>
        <w:tc>
          <w:tcPr>
            <w:tcW w:w="865" w:type="pct"/>
            <w:noWrap/>
          </w:tcPr>
          <w:p w14:paraId="088B89F7">
            <w:pPr>
              <w:jc w:val="center"/>
              <w:rPr>
                <w:rFonts w:ascii="Times New Roman" w:hAnsi="Times New Roman" w:eastAsia="宋体" w:cs="Times New Roman"/>
                <w:szCs w:val="21"/>
              </w:rPr>
            </w:pPr>
            <w:r>
              <w:rPr>
                <w:rFonts w:ascii="Times New Roman" w:hAnsi="Times New Roman" w:eastAsia="宋体" w:cs="Times New Roman"/>
                <w:szCs w:val="21"/>
              </w:rPr>
              <w:t>-0.02099</w:t>
            </w:r>
          </w:p>
        </w:tc>
        <w:tc>
          <w:tcPr>
            <w:tcW w:w="733" w:type="pct"/>
            <w:noWrap/>
          </w:tcPr>
          <w:p w14:paraId="1034FE7B">
            <w:pPr>
              <w:jc w:val="center"/>
              <w:rPr>
                <w:rFonts w:ascii="Times New Roman" w:hAnsi="Times New Roman" w:eastAsia="宋体" w:cs="Times New Roman"/>
                <w:szCs w:val="21"/>
              </w:rPr>
            </w:pPr>
            <w:r>
              <w:rPr>
                <w:rFonts w:ascii="Times New Roman" w:hAnsi="Times New Roman" w:eastAsia="宋体" w:cs="Times New Roman"/>
                <w:szCs w:val="21"/>
              </w:rPr>
              <w:t>1.2102</w:t>
            </w:r>
          </w:p>
        </w:tc>
      </w:tr>
      <w:tr w14:paraId="303ED1B8">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730" w:type="pct"/>
            <w:noWrap/>
          </w:tcPr>
          <w:p w14:paraId="7379052B">
            <w:pPr>
              <w:jc w:val="center"/>
              <w:rPr>
                <w:rFonts w:ascii="Times New Roman" w:hAnsi="Times New Roman" w:eastAsia="宋体" w:cs="Times New Roman"/>
                <w:szCs w:val="21"/>
              </w:rPr>
            </w:pPr>
            <w:r>
              <w:rPr>
                <w:rFonts w:ascii="Times New Roman" w:hAnsi="Times New Roman" w:eastAsia="宋体" w:cs="Times New Roman"/>
                <w:szCs w:val="21"/>
              </w:rPr>
              <w:t>大</w:t>
            </w:r>
            <w:r>
              <w:rPr>
                <w:rFonts w:hint="eastAsia" w:ascii="Times New Roman" w:hAnsi="Times New Roman" w:eastAsia="宋体" w:cs="Times New Roman"/>
                <w:szCs w:val="21"/>
              </w:rPr>
              <w:t>、</w:t>
            </w:r>
            <w:r>
              <w:rPr>
                <w:rFonts w:ascii="Times New Roman" w:hAnsi="Times New Roman" w:eastAsia="宋体" w:cs="Times New Roman"/>
                <w:szCs w:val="21"/>
              </w:rPr>
              <w:t>中型车</w:t>
            </w:r>
          </w:p>
        </w:tc>
        <w:tc>
          <w:tcPr>
            <w:tcW w:w="786" w:type="pct"/>
            <w:noWrap/>
          </w:tcPr>
          <w:p w14:paraId="31E2AC7A">
            <w:pPr>
              <w:jc w:val="center"/>
              <w:rPr>
                <w:rFonts w:ascii="Times New Roman" w:hAnsi="Times New Roman" w:eastAsia="宋体" w:cs="Times New Roman"/>
                <w:szCs w:val="21"/>
              </w:rPr>
            </w:pPr>
            <w:r>
              <w:rPr>
                <w:rFonts w:ascii="Times New Roman" w:hAnsi="Times New Roman" w:eastAsia="宋体" w:cs="Times New Roman"/>
                <w:szCs w:val="21"/>
              </w:rPr>
              <w:t>-0.051900</w:t>
            </w:r>
          </w:p>
        </w:tc>
        <w:tc>
          <w:tcPr>
            <w:tcW w:w="786" w:type="pct"/>
            <w:noWrap/>
          </w:tcPr>
          <w:p w14:paraId="64E60126">
            <w:pPr>
              <w:jc w:val="center"/>
              <w:rPr>
                <w:rFonts w:ascii="Times New Roman" w:hAnsi="Times New Roman" w:eastAsia="宋体" w:cs="Times New Roman"/>
                <w:szCs w:val="21"/>
              </w:rPr>
            </w:pPr>
            <w:r>
              <w:rPr>
                <w:rFonts w:ascii="Times New Roman" w:hAnsi="Times New Roman" w:eastAsia="宋体" w:cs="Times New Roman"/>
                <w:szCs w:val="21"/>
              </w:rPr>
              <w:t>149.39</w:t>
            </w:r>
          </w:p>
        </w:tc>
        <w:tc>
          <w:tcPr>
            <w:tcW w:w="1100" w:type="pct"/>
            <w:noWrap/>
          </w:tcPr>
          <w:p w14:paraId="4A316E14">
            <w:pPr>
              <w:jc w:val="center"/>
              <w:rPr>
                <w:rFonts w:ascii="Times New Roman" w:hAnsi="Times New Roman" w:eastAsia="宋体" w:cs="Times New Roman"/>
                <w:szCs w:val="21"/>
              </w:rPr>
            </w:pPr>
            <w:r>
              <w:rPr>
                <w:rFonts w:ascii="Times New Roman" w:hAnsi="Times New Roman" w:eastAsia="宋体" w:cs="Times New Roman"/>
                <w:szCs w:val="21"/>
              </w:rPr>
              <w:t>-0.000014202</w:t>
            </w:r>
          </w:p>
        </w:tc>
        <w:tc>
          <w:tcPr>
            <w:tcW w:w="865" w:type="pct"/>
            <w:noWrap/>
          </w:tcPr>
          <w:p w14:paraId="011E1549">
            <w:pPr>
              <w:jc w:val="center"/>
              <w:rPr>
                <w:rFonts w:ascii="Times New Roman" w:hAnsi="Times New Roman" w:eastAsia="宋体" w:cs="Times New Roman"/>
                <w:szCs w:val="21"/>
              </w:rPr>
            </w:pPr>
            <w:r>
              <w:rPr>
                <w:rFonts w:ascii="Times New Roman" w:hAnsi="Times New Roman" w:eastAsia="宋体" w:cs="Times New Roman"/>
                <w:szCs w:val="21"/>
              </w:rPr>
              <w:t>-0.01254</w:t>
            </w:r>
          </w:p>
        </w:tc>
        <w:tc>
          <w:tcPr>
            <w:tcW w:w="733" w:type="pct"/>
            <w:noWrap/>
          </w:tcPr>
          <w:p w14:paraId="74491988">
            <w:pPr>
              <w:jc w:val="center"/>
              <w:rPr>
                <w:rFonts w:ascii="Times New Roman" w:hAnsi="Times New Roman" w:eastAsia="宋体" w:cs="Times New Roman"/>
                <w:szCs w:val="21"/>
              </w:rPr>
            </w:pPr>
            <w:r>
              <w:rPr>
                <w:rFonts w:ascii="Times New Roman" w:hAnsi="Times New Roman" w:eastAsia="宋体" w:cs="Times New Roman"/>
                <w:szCs w:val="21"/>
              </w:rPr>
              <w:t>0.70957</w:t>
            </w:r>
          </w:p>
        </w:tc>
      </w:tr>
    </w:tbl>
    <w:p w14:paraId="695DB078">
      <w:pPr>
        <w:rPr>
          <w:rFonts w:ascii="Times New Roman" w:hAnsi="Times New Roman" w:eastAsia="宋体" w:cs="Times New Roman"/>
        </w:rPr>
      </w:pPr>
    </w:p>
    <w:p w14:paraId="79535ADE">
      <w:pPr>
        <w:spacing w:line="312" w:lineRule="auto"/>
        <w:ind w:firstLine="480" w:firstLineChars="200"/>
        <w:rPr>
          <w:rFonts w:ascii="Times New Roman" w:hAnsi="Times New Roman" w:eastAsia="宋体" w:cs="Times New Roman"/>
          <w:sz w:val="24"/>
        </w:rPr>
      </w:pPr>
      <w:r>
        <w:rPr>
          <w:rFonts w:ascii="Times New Roman" w:hAnsi="Times New Roman" w:eastAsia="宋体" w:cs="Times New Roman"/>
          <w:sz w:val="24"/>
        </w:rPr>
        <w:t>根据上面的公式，计算得到拟建公路沿线各代表年各车型的当量车数如表2.5-</w:t>
      </w:r>
      <w:r>
        <w:rPr>
          <w:rFonts w:hint="eastAsia" w:ascii="Times New Roman" w:hAnsi="Times New Roman" w:eastAsia="宋体" w:cs="Times New Roman"/>
          <w:sz w:val="24"/>
        </w:rPr>
        <w:t>15</w:t>
      </w:r>
      <w:r>
        <w:rPr>
          <w:rFonts w:ascii="Times New Roman" w:hAnsi="Times New Roman" w:eastAsia="宋体" w:cs="Times New Roman"/>
          <w:sz w:val="24"/>
        </w:rPr>
        <w:t>，各车型预测平均车速如表2.5-</w:t>
      </w:r>
      <w:r>
        <w:rPr>
          <w:rFonts w:hint="eastAsia" w:ascii="Times New Roman" w:hAnsi="Times New Roman" w:eastAsia="宋体" w:cs="Times New Roman"/>
          <w:sz w:val="24"/>
        </w:rPr>
        <w:t>16</w:t>
      </w:r>
      <w:r>
        <w:rPr>
          <w:rFonts w:ascii="Times New Roman" w:hAnsi="Times New Roman" w:eastAsia="宋体" w:cs="Times New Roman"/>
          <w:sz w:val="24"/>
        </w:rPr>
        <w:t>所示。</w:t>
      </w:r>
    </w:p>
    <w:p w14:paraId="599160A1">
      <w:pPr>
        <w:spacing w:beforeLines="50"/>
        <w:jc w:val="center"/>
        <w:rPr>
          <w:rFonts w:ascii="Times New Roman" w:hAnsi="Times New Roman" w:eastAsia="宋体" w:cs="Times New Roman"/>
          <w:b/>
          <w:bCs/>
          <w:szCs w:val="20"/>
        </w:rPr>
      </w:pPr>
      <w:r>
        <w:rPr>
          <w:rFonts w:ascii="Times New Roman" w:hAnsi="Times New Roman" w:eastAsia="宋体" w:cs="Times New Roman"/>
          <w:b/>
          <w:bCs/>
          <w:szCs w:val="20"/>
        </w:rPr>
        <w:t>表2.5-</w:t>
      </w:r>
      <w:r>
        <w:rPr>
          <w:rFonts w:hint="eastAsia" w:ascii="Times New Roman" w:hAnsi="Times New Roman" w:eastAsia="宋体" w:cs="Times New Roman"/>
          <w:b/>
          <w:bCs/>
          <w:szCs w:val="20"/>
        </w:rPr>
        <w:t>15</w:t>
      </w:r>
      <w:r>
        <w:rPr>
          <w:rFonts w:ascii="Times New Roman" w:hAnsi="Times New Roman" w:eastAsia="宋体" w:cs="Times New Roman"/>
          <w:b/>
          <w:bCs/>
          <w:szCs w:val="20"/>
        </w:rPr>
        <w:t xml:space="preserve">  拟建公路各代表年各车型当量车数（ui）</w:t>
      </w:r>
    </w:p>
    <w:tbl>
      <w:tblPr>
        <w:tblStyle w:val="22"/>
        <w:tblW w:w="5000" w:type="pct"/>
        <w:jc w:val="center"/>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2181"/>
        <w:gridCol w:w="638"/>
        <w:gridCol w:w="1004"/>
        <w:gridCol w:w="899"/>
        <w:gridCol w:w="1004"/>
        <w:gridCol w:w="899"/>
        <w:gridCol w:w="1004"/>
        <w:gridCol w:w="899"/>
      </w:tblGrid>
      <w:tr w14:paraId="596176C2">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280" w:type="pct"/>
            <w:vMerge w:val="restart"/>
            <w:shd w:val="clear" w:color="auto" w:fill="auto"/>
            <w:vAlign w:val="center"/>
          </w:tcPr>
          <w:p w14:paraId="769E88AE">
            <w:pPr>
              <w:widowControl/>
              <w:jc w:val="center"/>
              <w:rPr>
                <w:rFonts w:ascii="Times New Roman" w:hAnsi="Times New Roman" w:eastAsia="宋体" w:cs="Times New Roman"/>
                <w:b/>
                <w:kern w:val="0"/>
                <w:szCs w:val="21"/>
              </w:rPr>
            </w:pPr>
            <w:r>
              <w:rPr>
                <w:rFonts w:ascii="Times New Roman" w:hAnsi="宋体" w:eastAsia="宋体" w:cs="Times New Roman"/>
                <w:b/>
                <w:kern w:val="0"/>
                <w:szCs w:val="21"/>
              </w:rPr>
              <w:t>路段</w:t>
            </w:r>
          </w:p>
        </w:tc>
        <w:tc>
          <w:tcPr>
            <w:tcW w:w="373" w:type="pct"/>
            <w:vMerge w:val="restart"/>
            <w:shd w:val="clear" w:color="auto" w:fill="auto"/>
            <w:noWrap/>
            <w:vAlign w:val="center"/>
          </w:tcPr>
          <w:p w14:paraId="1645BC0F">
            <w:pPr>
              <w:widowControl/>
              <w:jc w:val="center"/>
              <w:rPr>
                <w:rFonts w:ascii="Times New Roman" w:hAnsi="Times New Roman" w:eastAsia="宋体" w:cs="Times New Roman"/>
                <w:b/>
                <w:kern w:val="0"/>
                <w:szCs w:val="21"/>
              </w:rPr>
            </w:pPr>
            <w:r>
              <w:rPr>
                <w:rFonts w:ascii="Times New Roman" w:hAnsi="宋体" w:eastAsia="宋体" w:cs="Times New Roman"/>
                <w:b/>
                <w:kern w:val="0"/>
                <w:szCs w:val="21"/>
              </w:rPr>
              <w:t>年份</w:t>
            </w:r>
          </w:p>
        </w:tc>
        <w:tc>
          <w:tcPr>
            <w:tcW w:w="1116" w:type="pct"/>
            <w:gridSpan w:val="2"/>
            <w:shd w:val="clear" w:color="auto" w:fill="auto"/>
            <w:noWrap/>
            <w:vAlign w:val="center"/>
          </w:tcPr>
          <w:p w14:paraId="1A6AD377">
            <w:pPr>
              <w:widowControl/>
              <w:jc w:val="center"/>
              <w:rPr>
                <w:rFonts w:ascii="Times New Roman" w:hAnsi="Times New Roman" w:eastAsia="宋体" w:cs="Times New Roman"/>
                <w:b/>
                <w:kern w:val="0"/>
                <w:szCs w:val="21"/>
              </w:rPr>
            </w:pPr>
            <w:r>
              <w:rPr>
                <w:rFonts w:ascii="Times New Roman" w:hAnsi="宋体" w:eastAsia="宋体" w:cs="Times New Roman"/>
                <w:b/>
                <w:kern w:val="0"/>
                <w:szCs w:val="21"/>
              </w:rPr>
              <w:t>小型车</w:t>
            </w:r>
          </w:p>
        </w:tc>
        <w:tc>
          <w:tcPr>
            <w:tcW w:w="1116" w:type="pct"/>
            <w:gridSpan w:val="2"/>
            <w:shd w:val="clear" w:color="auto" w:fill="auto"/>
            <w:noWrap/>
            <w:vAlign w:val="center"/>
          </w:tcPr>
          <w:p w14:paraId="22D9B81A">
            <w:pPr>
              <w:widowControl/>
              <w:jc w:val="center"/>
              <w:rPr>
                <w:rFonts w:ascii="Times New Roman" w:hAnsi="Times New Roman" w:eastAsia="宋体" w:cs="Times New Roman"/>
                <w:b/>
                <w:kern w:val="0"/>
                <w:szCs w:val="21"/>
              </w:rPr>
            </w:pPr>
            <w:r>
              <w:rPr>
                <w:rFonts w:ascii="Times New Roman" w:hAnsi="宋体" w:eastAsia="宋体" w:cs="Times New Roman"/>
                <w:b/>
                <w:kern w:val="0"/>
                <w:szCs w:val="21"/>
              </w:rPr>
              <w:t>中型车</w:t>
            </w:r>
          </w:p>
        </w:tc>
        <w:tc>
          <w:tcPr>
            <w:tcW w:w="1116" w:type="pct"/>
            <w:gridSpan w:val="2"/>
            <w:shd w:val="clear" w:color="auto" w:fill="auto"/>
            <w:noWrap/>
            <w:vAlign w:val="center"/>
          </w:tcPr>
          <w:p w14:paraId="6CA24C51">
            <w:pPr>
              <w:widowControl/>
              <w:jc w:val="center"/>
              <w:rPr>
                <w:rFonts w:ascii="Times New Roman" w:hAnsi="Times New Roman" w:eastAsia="宋体" w:cs="Times New Roman"/>
                <w:b/>
                <w:kern w:val="0"/>
                <w:szCs w:val="21"/>
              </w:rPr>
            </w:pPr>
            <w:r>
              <w:rPr>
                <w:rFonts w:ascii="Times New Roman" w:hAnsi="宋体" w:eastAsia="宋体" w:cs="Times New Roman"/>
                <w:b/>
                <w:kern w:val="0"/>
                <w:szCs w:val="21"/>
              </w:rPr>
              <w:t>大型车</w:t>
            </w:r>
          </w:p>
        </w:tc>
      </w:tr>
      <w:tr w14:paraId="70A4E137">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280" w:type="pct"/>
            <w:vMerge w:val="continue"/>
            <w:vAlign w:val="center"/>
          </w:tcPr>
          <w:p w14:paraId="33557EF2">
            <w:pPr>
              <w:widowControl/>
              <w:jc w:val="center"/>
              <w:rPr>
                <w:rFonts w:ascii="Times New Roman" w:hAnsi="Times New Roman" w:eastAsia="宋体" w:cs="Times New Roman"/>
                <w:b/>
                <w:kern w:val="0"/>
                <w:szCs w:val="21"/>
              </w:rPr>
            </w:pPr>
          </w:p>
        </w:tc>
        <w:tc>
          <w:tcPr>
            <w:tcW w:w="373" w:type="pct"/>
            <w:vMerge w:val="continue"/>
            <w:vAlign w:val="center"/>
          </w:tcPr>
          <w:p w14:paraId="670A7EBD">
            <w:pPr>
              <w:widowControl/>
              <w:jc w:val="center"/>
              <w:rPr>
                <w:rFonts w:ascii="Times New Roman" w:hAnsi="Times New Roman" w:eastAsia="宋体" w:cs="Times New Roman"/>
                <w:b/>
                <w:kern w:val="0"/>
                <w:szCs w:val="21"/>
              </w:rPr>
            </w:pPr>
          </w:p>
        </w:tc>
        <w:tc>
          <w:tcPr>
            <w:tcW w:w="589" w:type="pct"/>
            <w:shd w:val="clear" w:color="auto" w:fill="auto"/>
            <w:noWrap/>
            <w:vAlign w:val="center"/>
          </w:tcPr>
          <w:p w14:paraId="4D86EA32">
            <w:pPr>
              <w:widowControl/>
              <w:jc w:val="center"/>
              <w:rPr>
                <w:rFonts w:ascii="Times New Roman" w:hAnsi="Times New Roman" w:eastAsia="宋体" w:cs="Times New Roman"/>
                <w:b/>
                <w:kern w:val="0"/>
                <w:szCs w:val="21"/>
              </w:rPr>
            </w:pPr>
            <w:r>
              <w:rPr>
                <w:rFonts w:ascii="Times New Roman" w:hAnsi="宋体" w:eastAsia="宋体" w:cs="Times New Roman"/>
                <w:b/>
                <w:kern w:val="0"/>
                <w:szCs w:val="21"/>
              </w:rPr>
              <w:t>昼间</w:t>
            </w:r>
          </w:p>
        </w:tc>
        <w:tc>
          <w:tcPr>
            <w:tcW w:w="527" w:type="pct"/>
            <w:shd w:val="clear" w:color="auto" w:fill="auto"/>
            <w:noWrap/>
            <w:vAlign w:val="center"/>
          </w:tcPr>
          <w:p w14:paraId="767097FF">
            <w:pPr>
              <w:widowControl/>
              <w:jc w:val="center"/>
              <w:rPr>
                <w:rFonts w:ascii="Times New Roman" w:hAnsi="Times New Roman" w:eastAsia="宋体" w:cs="Times New Roman"/>
                <w:b/>
                <w:kern w:val="0"/>
                <w:szCs w:val="21"/>
              </w:rPr>
            </w:pPr>
            <w:r>
              <w:rPr>
                <w:rFonts w:ascii="Times New Roman" w:hAnsi="宋体" w:eastAsia="宋体" w:cs="Times New Roman"/>
                <w:b/>
                <w:kern w:val="0"/>
                <w:szCs w:val="21"/>
              </w:rPr>
              <w:t>夜间</w:t>
            </w:r>
          </w:p>
        </w:tc>
        <w:tc>
          <w:tcPr>
            <w:tcW w:w="589" w:type="pct"/>
            <w:shd w:val="clear" w:color="auto" w:fill="auto"/>
            <w:noWrap/>
            <w:vAlign w:val="center"/>
          </w:tcPr>
          <w:p w14:paraId="1043A5A1">
            <w:pPr>
              <w:widowControl/>
              <w:jc w:val="center"/>
              <w:rPr>
                <w:rFonts w:ascii="Times New Roman" w:hAnsi="Times New Roman" w:eastAsia="宋体" w:cs="Times New Roman"/>
                <w:b/>
                <w:kern w:val="0"/>
                <w:szCs w:val="21"/>
              </w:rPr>
            </w:pPr>
            <w:r>
              <w:rPr>
                <w:rFonts w:ascii="Times New Roman" w:hAnsi="宋体" w:eastAsia="宋体" w:cs="Times New Roman"/>
                <w:b/>
                <w:kern w:val="0"/>
                <w:szCs w:val="21"/>
              </w:rPr>
              <w:t>昼间</w:t>
            </w:r>
          </w:p>
        </w:tc>
        <w:tc>
          <w:tcPr>
            <w:tcW w:w="527" w:type="pct"/>
            <w:shd w:val="clear" w:color="auto" w:fill="auto"/>
            <w:noWrap/>
            <w:vAlign w:val="center"/>
          </w:tcPr>
          <w:p w14:paraId="4C15125D">
            <w:pPr>
              <w:widowControl/>
              <w:jc w:val="center"/>
              <w:rPr>
                <w:rFonts w:ascii="Times New Roman" w:hAnsi="Times New Roman" w:eastAsia="宋体" w:cs="Times New Roman"/>
                <w:b/>
                <w:kern w:val="0"/>
                <w:szCs w:val="21"/>
              </w:rPr>
            </w:pPr>
            <w:r>
              <w:rPr>
                <w:rFonts w:ascii="Times New Roman" w:hAnsi="宋体" w:eastAsia="宋体" w:cs="Times New Roman"/>
                <w:b/>
                <w:kern w:val="0"/>
                <w:szCs w:val="21"/>
              </w:rPr>
              <w:t>夜间</w:t>
            </w:r>
          </w:p>
        </w:tc>
        <w:tc>
          <w:tcPr>
            <w:tcW w:w="589" w:type="pct"/>
            <w:shd w:val="clear" w:color="auto" w:fill="auto"/>
            <w:noWrap/>
            <w:vAlign w:val="center"/>
          </w:tcPr>
          <w:p w14:paraId="752C74E0">
            <w:pPr>
              <w:widowControl/>
              <w:jc w:val="center"/>
              <w:rPr>
                <w:rFonts w:ascii="Times New Roman" w:hAnsi="Times New Roman" w:eastAsia="宋体" w:cs="Times New Roman"/>
                <w:b/>
                <w:kern w:val="0"/>
                <w:szCs w:val="21"/>
              </w:rPr>
            </w:pPr>
            <w:r>
              <w:rPr>
                <w:rFonts w:ascii="Times New Roman" w:hAnsi="宋体" w:eastAsia="宋体" w:cs="Times New Roman"/>
                <w:b/>
                <w:kern w:val="0"/>
                <w:szCs w:val="21"/>
              </w:rPr>
              <w:t>昼间</w:t>
            </w:r>
          </w:p>
        </w:tc>
        <w:tc>
          <w:tcPr>
            <w:tcW w:w="527" w:type="pct"/>
            <w:shd w:val="clear" w:color="auto" w:fill="auto"/>
            <w:noWrap/>
            <w:vAlign w:val="center"/>
          </w:tcPr>
          <w:p w14:paraId="2E331695">
            <w:pPr>
              <w:widowControl/>
              <w:jc w:val="center"/>
              <w:rPr>
                <w:rFonts w:ascii="Times New Roman" w:hAnsi="Times New Roman" w:eastAsia="宋体" w:cs="Times New Roman"/>
                <w:b/>
                <w:kern w:val="0"/>
                <w:szCs w:val="21"/>
              </w:rPr>
            </w:pPr>
            <w:r>
              <w:rPr>
                <w:rFonts w:ascii="Times New Roman" w:hAnsi="宋体" w:eastAsia="宋体" w:cs="Times New Roman"/>
                <w:b/>
                <w:kern w:val="0"/>
                <w:szCs w:val="21"/>
              </w:rPr>
              <w:t>夜间</w:t>
            </w:r>
          </w:p>
        </w:tc>
      </w:tr>
      <w:tr w14:paraId="66BE1EF3">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280" w:type="pct"/>
            <w:vMerge w:val="restart"/>
            <w:shd w:val="clear" w:color="auto" w:fill="auto"/>
            <w:noWrap/>
            <w:vAlign w:val="center"/>
          </w:tcPr>
          <w:p w14:paraId="457E6C7B">
            <w:pPr>
              <w:jc w:val="center"/>
              <w:rPr>
                <w:rFonts w:ascii="Times New Roman" w:hAnsi="Times New Roman" w:eastAsia="宋体" w:cs="Times New Roman"/>
                <w:kern w:val="0"/>
                <w:szCs w:val="21"/>
              </w:rPr>
            </w:pPr>
            <w:r>
              <w:rPr>
                <w:rFonts w:ascii="Times New Roman" w:hAnsi="宋体" w:eastAsia="宋体" w:cs="Times New Roman"/>
                <w:kern w:val="0"/>
                <w:szCs w:val="21"/>
              </w:rPr>
              <w:t>起点～胜利路</w:t>
            </w:r>
          </w:p>
        </w:tc>
        <w:tc>
          <w:tcPr>
            <w:tcW w:w="373" w:type="pct"/>
            <w:shd w:val="clear" w:color="auto" w:fill="auto"/>
            <w:noWrap/>
            <w:vAlign w:val="center"/>
          </w:tcPr>
          <w:p w14:paraId="5119C500">
            <w:pPr>
              <w:widowControl/>
              <w:jc w:val="center"/>
              <w:rPr>
                <w:rFonts w:ascii="Times New Roman" w:hAnsi="Times New Roman" w:eastAsia="宋体" w:cs="Times New Roman"/>
                <w:kern w:val="0"/>
                <w:szCs w:val="21"/>
              </w:rPr>
            </w:pPr>
            <w:r>
              <w:rPr>
                <w:rFonts w:ascii="Times New Roman" w:hAnsi="宋体" w:eastAsia="宋体" w:cs="Times New Roman"/>
                <w:kern w:val="0"/>
                <w:szCs w:val="21"/>
              </w:rPr>
              <w:t>近期</w:t>
            </w:r>
          </w:p>
        </w:tc>
        <w:tc>
          <w:tcPr>
            <w:tcW w:w="589" w:type="pct"/>
            <w:shd w:val="clear" w:color="auto" w:fill="auto"/>
            <w:noWrap/>
            <w:vAlign w:val="center"/>
          </w:tcPr>
          <w:p w14:paraId="4201178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126.5078</w:t>
            </w:r>
          </w:p>
        </w:tc>
        <w:tc>
          <w:tcPr>
            <w:tcW w:w="527" w:type="pct"/>
            <w:shd w:val="clear" w:color="auto" w:fill="auto"/>
            <w:noWrap/>
            <w:vAlign w:val="center"/>
          </w:tcPr>
          <w:p w14:paraId="091AB65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51.6573</w:t>
            </w:r>
          </w:p>
        </w:tc>
        <w:tc>
          <w:tcPr>
            <w:tcW w:w="589" w:type="pct"/>
            <w:shd w:val="clear" w:color="auto" w:fill="auto"/>
            <w:noWrap/>
            <w:vAlign w:val="center"/>
          </w:tcPr>
          <w:p w14:paraId="1A667E7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87.5183</w:t>
            </w:r>
          </w:p>
        </w:tc>
        <w:tc>
          <w:tcPr>
            <w:tcW w:w="527" w:type="pct"/>
            <w:shd w:val="clear" w:color="auto" w:fill="auto"/>
            <w:noWrap/>
            <w:vAlign w:val="center"/>
          </w:tcPr>
          <w:p w14:paraId="3390485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35.7366</w:t>
            </w:r>
          </w:p>
        </w:tc>
        <w:tc>
          <w:tcPr>
            <w:tcW w:w="589" w:type="pct"/>
            <w:shd w:val="clear" w:color="auto" w:fill="auto"/>
            <w:noWrap/>
            <w:vAlign w:val="center"/>
          </w:tcPr>
          <w:p w14:paraId="42AB65B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91.7702</w:t>
            </w:r>
          </w:p>
        </w:tc>
        <w:tc>
          <w:tcPr>
            <w:tcW w:w="527" w:type="pct"/>
            <w:shd w:val="clear" w:color="auto" w:fill="auto"/>
            <w:noWrap/>
            <w:vAlign w:val="center"/>
          </w:tcPr>
          <w:p w14:paraId="60B0562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37.4728</w:t>
            </w:r>
          </w:p>
        </w:tc>
      </w:tr>
      <w:tr w14:paraId="04783B01">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280" w:type="pct"/>
            <w:vMerge w:val="continue"/>
            <w:vAlign w:val="center"/>
          </w:tcPr>
          <w:p w14:paraId="3D9F5417">
            <w:pPr>
              <w:jc w:val="center"/>
              <w:rPr>
                <w:rFonts w:ascii="Times New Roman" w:hAnsi="Times New Roman" w:eastAsia="宋体" w:cs="Times New Roman"/>
                <w:kern w:val="0"/>
                <w:szCs w:val="21"/>
              </w:rPr>
            </w:pPr>
          </w:p>
        </w:tc>
        <w:tc>
          <w:tcPr>
            <w:tcW w:w="373" w:type="pct"/>
            <w:shd w:val="clear" w:color="auto" w:fill="auto"/>
            <w:noWrap/>
            <w:vAlign w:val="center"/>
          </w:tcPr>
          <w:p w14:paraId="0B67828B">
            <w:pPr>
              <w:widowControl/>
              <w:jc w:val="center"/>
              <w:rPr>
                <w:rFonts w:ascii="Times New Roman" w:hAnsi="Times New Roman" w:eastAsia="宋体" w:cs="Times New Roman"/>
                <w:kern w:val="0"/>
                <w:szCs w:val="21"/>
              </w:rPr>
            </w:pPr>
            <w:r>
              <w:rPr>
                <w:rFonts w:ascii="Times New Roman" w:hAnsi="宋体" w:eastAsia="宋体" w:cs="Times New Roman"/>
                <w:kern w:val="0"/>
                <w:szCs w:val="21"/>
              </w:rPr>
              <w:t>中期</w:t>
            </w:r>
          </w:p>
        </w:tc>
        <w:tc>
          <w:tcPr>
            <w:tcW w:w="589" w:type="pct"/>
            <w:shd w:val="clear" w:color="auto" w:fill="auto"/>
            <w:noWrap/>
            <w:vAlign w:val="center"/>
          </w:tcPr>
          <w:p w14:paraId="7F00AFF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150.6533</w:t>
            </w:r>
          </w:p>
        </w:tc>
        <w:tc>
          <w:tcPr>
            <w:tcW w:w="527" w:type="pct"/>
            <w:shd w:val="clear" w:color="auto" w:fill="auto"/>
            <w:noWrap/>
            <w:vAlign w:val="center"/>
          </w:tcPr>
          <w:p w14:paraId="1E49057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61.8943</w:t>
            </w:r>
          </w:p>
        </w:tc>
        <w:tc>
          <w:tcPr>
            <w:tcW w:w="589" w:type="pct"/>
            <w:shd w:val="clear" w:color="auto" w:fill="auto"/>
            <w:noWrap/>
            <w:vAlign w:val="center"/>
          </w:tcPr>
          <w:p w14:paraId="5369A3C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104.0411</w:t>
            </w:r>
          </w:p>
        </w:tc>
        <w:tc>
          <w:tcPr>
            <w:tcW w:w="527" w:type="pct"/>
            <w:shd w:val="clear" w:color="auto" w:fill="auto"/>
            <w:noWrap/>
            <w:vAlign w:val="center"/>
          </w:tcPr>
          <w:p w14:paraId="61BAD39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42.7442</w:t>
            </w:r>
          </w:p>
        </w:tc>
        <w:tc>
          <w:tcPr>
            <w:tcW w:w="589" w:type="pct"/>
            <w:shd w:val="clear" w:color="auto" w:fill="auto"/>
            <w:noWrap/>
            <w:vAlign w:val="center"/>
          </w:tcPr>
          <w:p w14:paraId="3667EE3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109.4673</w:t>
            </w:r>
          </w:p>
        </w:tc>
        <w:tc>
          <w:tcPr>
            <w:tcW w:w="527" w:type="pct"/>
            <w:shd w:val="clear" w:color="auto" w:fill="auto"/>
            <w:noWrap/>
            <w:vAlign w:val="center"/>
          </w:tcPr>
          <w:p w14:paraId="532B134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44.9292</w:t>
            </w:r>
          </w:p>
        </w:tc>
      </w:tr>
      <w:tr w14:paraId="7228DEC3">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280" w:type="pct"/>
            <w:vMerge w:val="continue"/>
            <w:vAlign w:val="center"/>
          </w:tcPr>
          <w:p w14:paraId="3535EB44">
            <w:pPr>
              <w:jc w:val="center"/>
              <w:rPr>
                <w:rFonts w:ascii="Times New Roman" w:hAnsi="Times New Roman" w:eastAsia="宋体" w:cs="Times New Roman"/>
                <w:kern w:val="0"/>
                <w:szCs w:val="21"/>
              </w:rPr>
            </w:pPr>
          </w:p>
        </w:tc>
        <w:tc>
          <w:tcPr>
            <w:tcW w:w="373" w:type="pct"/>
            <w:shd w:val="clear" w:color="auto" w:fill="auto"/>
            <w:noWrap/>
            <w:vAlign w:val="center"/>
          </w:tcPr>
          <w:p w14:paraId="318E3DA0">
            <w:pPr>
              <w:widowControl/>
              <w:jc w:val="center"/>
              <w:rPr>
                <w:rFonts w:ascii="Times New Roman" w:hAnsi="Times New Roman" w:eastAsia="宋体" w:cs="Times New Roman"/>
                <w:kern w:val="0"/>
                <w:szCs w:val="21"/>
              </w:rPr>
            </w:pPr>
            <w:r>
              <w:rPr>
                <w:rFonts w:ascii="Times New Roman" w:hAnsi="宋体" w:eastAsia="宋体" w:cs="Times New Roman"/>
                <w:kern w:val="0"/>
                <w:szCs w:val="21"/>
              </w:rPr>
              <w:t>远期</w:t>
            </w:r>
          </w:p>
        </w:tc>
        <w:tc>
          <w:tcPr>
            <w:tcW w:w="589" w:type="pct"/>
            <w:shd w:val="clear" w:color="auto" w:fill="auto"/>
            <w:noWrap/>
            <w:vAlign w:val="center"/>
          </w:tcPr>
          <w:p w14:paraId="548CDB1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177.3653</w:t>
            </w:r>
          </w:p>
        </w:tc>
        <w:tc>
          <w:tcPr>
            <w:tcW w:w="527" w:type="pct"/>
            <w:shd w:val="clear" w:color="auto" w:fill="auto"/>
            <w:noWrap/>
            <w:vAlign w:val="center"/>
          </w:tcPr>
          <w:p w14:paraId="1D22AB1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72.8935</w:t>
            </w:r>
          </w:p>
        </w:tc>
        <w:tc>
          <w:tcPr>
            <w:tcW w:w="589" w:type="pct"/>
            <w:shd w:val="clear" w:color="auto" w:fill="auto"/>
            <w:noWrap/>
            <w:vAlign w:val="center"/>
          </w:tcPr>
          <w:p w14:paraId="3CF8F61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122.3114</w:t>
            </w:r>
          </w:p>
        </w:tc>
        <w:tc>
          <w:tcPr>
            <w:tcW w:w="527" w:type="pct"/>
            <w:shd w:val="clear" w:color="auto" w:fill="auto"/>
            <w:noWrap/>
            <w:vAlign w:val="center"/>
          </w:tcPr>
          <w:p w14:paraId="3F099F5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50.2674</w:t>
            </w:r>
          </w:p>
        </w:tc>
        <w:tc>
          <w:tcPr>
            <w:tcW w:w="589" w:type="pct"/>
            <w:shd w:val="clear" w:color="auto" w:fill="auto"/>
            <w:noWrap/>
            <w:vAlign w:val="center"/>
          </w:tcPr>
          <w:p w14:paraId="53AF738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129.0564</w:t>
            </w:r>
          </w:p>
        </w:tc>
        <w:tc>
          <w:tcPr>
            <w:tcW w:w="527" w:type="pct"/>
            <w:shd w:val="clear" w:color="auto" w:fill="auto"/>
            <w:noWrap/>
            <w:vAlign w:val="center"/>
          </w:tcPr>
          <w:p w14:paraId="26A7BF0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53.0395</w:t>
            </w:r>
          </w:p>
        </w:tc>
      </w:tr>
      <w:tr w14:paraId="6A86202F">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280" w:type="pct"/>
            <w:vMerge w:val="restart"/>
            <w:shd w:val="clear" w:color="auto" w:fill="auto"/>
            <w:noWrap/>
            <w:vAlign w:val="center"/>
          </w:tcPr>
          <w:p w14:paraId="09F02C3B">
            <w:pPr>
              <w:widowControl/>
              <w:jc w:val="center"/>
              <w:rPr>
                <w:rFonts w:ascii="Times New Roman" w:hAnsi="Times New Roman" w:eastAsia="宋体" w:cs="Times New Roman"/>
                <w:kern w:val="0"/>
                <w:szCs w:val="21"/>
              </w:rPr>
            </w:pPr>
            <w:r>
              <w:rPr>
                <w:rFonts w:ascii="Times New Roman" w:hAnsi="宋体" w:eastAsia="宋体" w:cs="Times New Roman"/>
                <w:kern w:val="0"/>
                <w:szCs w:val="21"/>
              </w:rPr>
              <w:t>胜利路～</w:t>
            </w:r>
            <w:r>
              <w:rPr>
                <w:rFonts w:ascii="Times New Roman" w:hAnsi="Times New Roman" w:eastAsia="宋体" w:cs="Times New Roman"/>
                <w:kern w:val="0"/>
                <w:szCs w:val="21"/>
              </w:rPr>
              <w:t>S311</w:t>
            </w:r>
          </w:p>
        </w:tc>
        <w:tc>
          <w:tcPr>
            <w:tcW w:w="373" w:type="pct"/>
            <w:shd w:val="clear" w:color="auto" w:fill="auto"/>
            <w:noWrap/>
            <w:vAlign w:val="center"/>
          </w:tcPr>
          <w:p w14:paraId="132D0CAA">
            <w:pPr>
              <w:widowControl/>
              <w:jc w:val="center"/>
              <w:rPr>
                <w:rFonts w:ascii="Times New Roman" w:hAnsi="Times New Roman" w:eastAsia="宋体" w:cs="Times New Roman"/>
                <w:kern w:val="0"/>
                <w:szCs w:val="21"/>
              </w:rPr>
            </w:pPr>
            <w:r>
              <w:rPr>
                <w:rFonts w:ascii="Times New Roman" w:hAnsi="宋体" w:eastAsia="宋体" w:cs="Times New Roman"/>
                <w:kern w:val="0"/>
                <w:szCs w:val="21"/>
              </w:rPr>
              <w:t>近期</w:t>
            </w:r>
          </w:p>
        </w:tc>
        <w:tc>
          <w:tcPr>
            <w:tcW w:w="589" w:type="pct"/>
            <w:shd w:val="clear" w:color="auto" w:fill="auto"/>
            <w:noWrap/>
            <w:vAlign w:val="center"/>
          </w:tcPr>
          <w:p w14:paraId="503C325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91.4546</w:t>
            </w:r>
          </w:p>
        </w:tc>
        <w:tc>
          <w:tcPr>
            <w:tcW w:w="527" w:type="pct"/>
            <w:shd w:val="clear" w:color="auto" w:fill="auto"/>
            <w:noWrap/>
            <w:vAlign w:val="center"/>
          </w:tcPr>
          <w:p w14:paraId="278DEA3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37.4252</w:t>
            </w:r>
          </w:p>
        </w:tc>
        <w:tc>
          <w:tcPr>
            <w:tcW w:w="589" w:type="pct"/>
            <w:shd w:val="clear" w:color="auto" w:fill="auto"/>
            <w:noWrap/>
            <w:vAlign w:val="center"/>
          </w:tcPr>
          <w:p w14:paraId="318B4F6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63.2684</w:t>
            </w:r>
          </w:p>
        </w:tc>
        <w:tc>
          <w:tcPr>
            <w:tcW w:w="527" w:type="pct"/>
            <w:shd w:val="clear" w:color="auto" w:fill="auto"/>
            <w:noWrap/>
            <w:vAlign w:val="center"/>
          </w:tcPr>
          <w:p w14:paraId="65A0CCE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25.8908</w:t>
            </w:r>
          </w:p>
        </w:tc>
        <w:tc>
          <w:tcPr>
            <w:tcW w:w="589" w:type="pct"/>
            <w:shd w:val="clear" w:color="auto" w:fill="auto"/>
            <w:noWrap/>
            <w:vAlign w:val="center"/>
          </w:tcPr>
          <w:p w14:paraId="3BA5FE9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66.3422</w:t>
            </w:r>
          </w:p>
        </w:tc>
        <w:tc>
          <w:tcPr>
            <w:tcW w:w="527" w:type="pct"/>
            <w:shd w:val="clear" w:color="auto" w:fill="auto"/>
            <w:noWrap/>
            <w:vAlign w:val="center"/>
          </w:tcPr>
          <w:p w14:paraId="5539FB2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27.1487</w:t>
            </w:r>
          </w:p>
        </w:tc>
      </w:tr>
      <w:tr w14:paraId="5B0421C3">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280" w:type="pct"/>
            <w:vMerge w:val="continue"/>
            <w:vAlign w:val="center"/>
          </w:tcPr>
          <w:p w14:paraId="7B34FB24">
            <w:pPr>
              <w:widowControl/>
              <w:jc w:val="center"/>
              <w:rPr>
                <w:rFonts w:ascii="Times New Roman" w:hAnsi="Times New Roman" w:eastAsia="宋体" w:cs="Times New Roman"/>
                <w:kern w:val="0"/>
                <w:szCs w:val="21"/>
              </w:rPr>
            </w:pPr>
          </w:p>
        </w:tc>
        <w:tc>
          <w:tcPr>
            <w:tcW w:w="373" w:type="pct"/>
            <w:shd w:val="clear" w:color="auto" w:fill="auto"/>
            <w:noWrap/>
            <w:vAlign w:val="center"/>
          </w:tcPr>
          <w:p w14:paraId="4BA118F7">
            <w:pPr>
              <w:widowControl/>
              <w:jc w:val="center"/>
              <w:rPr>
                <w:rFonts w:ascii="Times New Roman" w:hAnsi="Times New Roman" w:eastAsia="宋体" w:cs="Times New Roman"/>
                <w:kern w:val="0"/>
                <w:szCs w:val="21"/>
              </w:rPr>
            </w:pPr>
            <w:r>
              <w:rPr>
                <w:rFonts w:ascii="Times New Roman" w:hAnsi="宋体" w:eastAsia="宋体" w:cs="Times New Roman"/>
                <w:kern w:val="0"/>
                <w:szCs w:val="21"/>
              </w:rPr>
              <w:t>中期</w:t>
            </w:r>
          </w:p>
        </w:tc>
        <w:tc>
          <w:tcPr>
            <w:tcW w:w="589" w:type="pct"/>
            <w:shd w:val="clear" w:color="auto" w:fill="auto"/>
            <w:noWrap/>
            <w:vAlign w:val="center"/>
          </w:tcPr>
          <w:p w14:paraId="0946993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109.0393</w:t>
            </w:r>
          </w:p>
        </w:tc>
        <w:tc>
          <w:tcPr>
            <w:tcW w:w="527" w:type="pct"/>
            <w:shd w:val="clear" w:color="auto" w:fill="auto"/>
            <w:noWrap/>
            <w:vAlign w:val="center"/>
          </w:tcPr>
          <w:p w14:paraId="7E749A8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44.5112</w:t>
            </w:r>
          </w:p>
        </w:tc>
        <w:tc>
          <w:tcPr>
            <w:tcW w:w="589" w:type="pct"/>
            <w:shd w:val="clear" w:color="auto" w:fill="auto"/>
            <w:noWrap/>
            <w:vAlign w:val="center"/>
          </w:tcPr>
          <w:p w14:paraId="09616E7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75.3025</w:t>
            </w:r>
          </w:p>
        </w:tc>
        <w:tc>
          <w:tcPr>
            <w:tcW w:w="527" w:type="pct"/>
            <w:shd w:val="clear" w:color="auto" w:fill="auto"/>
            <w:noWrap/>
            <w:vAlign w:val="center"/>
          </w:tcPr>
          <w:p w14:paraId="3664E58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30.7394</w:t>
            </w:r>
          </w:p>
        </w:tc>
        <w:tc>
          <w:tcPr>
            <w:tcW w:w="589" w:type="pct"/>
            <w:shd w:val="clear" w:color="auto" w:fill="auto"/>
            <w:noWrap/>
            <w:vAlign w:val="center"/>
          </w:tcPr>
          <w:p w14:paraId="603D6FA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79.2299</w:t>
            </w:r>
          </w:p>
        </w:tc>
        <w:tc>
          <w:tcPr>
            <w:tcW w:w="527" w:type="pct"/>
            <w:shd w:val="clear" w:color="auto" w:fill="auto"/>
            <w:noWrap/>
            <w:vAlign w:val="center"/>
          </w:tcPr>
          <w:p w14:paraId="4232D9D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32.3108</w:t>
            </w:r>
          </w:p>
        </w:tc>
      </w:tr>
      <w:tr w14:paraId="6A3E8318">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280" w:type="pct"/>
            <w:vMerge w:val="continue"/>
            <w:vAlign w:val="center"/>
          </w:tcPr>
          <w:p w14:paraId="78134667">
            <w:pPr>
              <w:widowControl/>
              <w:jc w:val="center"/>
              <w:rPr>
                <w:rFonts w:ascii="Times New Roman" w:hAnsi="Times New Roman" w:eastAsia="宋体" w:cs="Times New Roman"/>
                <w:kern w:val="0"/>
                <w:szCs w:val="21"/>
              </w:rPr>
            </w:pPr>
          </w:p>
        </w:tc>
        <w:tc>
          <w:tcPr>
            <w:tcW w:w="373" w:type="pct"/>
            <w:shd w:val="clear" w:color="auto" w:fill="auto"/>
            <w:noWrap/>
            <w:vAlign w:val="center"/>
          </w:tcPr>
          <w:p w14:paraId="2B040F93">
            <w:pPr>
              <w:widowControl/>
              <w:jc w:val="center"/>
              <w:rPr>
                <w:rFonts w:ascii="Times New Roman" w:hAnsi="Times New Roman" w:eastAsia="宋体" w:cs="Times New Roman"/>
                <w:kern w:val="0"/>
                <w:szCs w:val="21"/>
              </w:rPr>
            </w:pPr>
            <w:r>
              <w:rPr>
                <w:rFonts w:ascii="Times New Roman" w:hAnsi="宋体" w:eastAsia="宋体" w:cs="Times New Roman"/>
                <w:kern w:val="0"/>
                <w:szCs w:val="21"/>
              </w:rPr>
              <w:t>远期</w:t>
            </w:r>
          </w:p>
        </w:tc>
        <w:tc>
          <w:tcPr>
            <w:tcW w:w="589" w:type="pct"/>
            <w:shd w:val="clear" w:color="auto" w:fill="auto"/>
            <w:noWrap/>
            <w:vAlign w:val="center"/>
          </w:tcPr>
          <w:p w14:paraId="1339D42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127.6294</w:t>
            </w:r>
          </w:p>
        </w:tc>
        <w:tc>
          <w:tcPr>
            <w:tcW w:w="527" w:type="pct"/>
            <w:shd w:val="clear" w:color="auto" w:fill="auto"/>
            <w:noWrap/>
            <w:vAlign w:val="center"/>
          </w:tcPr>
          <w:p w14:paraId="5CD9731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52.3675</w:t>
            </w:r>
          </w:p>
        </w:tc>
        <w:tc>
          <w:tcPr>
            <w:tcW w:w="589" w:type="pct"/>
            <w:shd w:val="clear" w:color="auto" w:fill="auto"/>
            <w:noWrap/>
            <w:vAlign w:val="center"/>
          </w:tcPr>
          <w:p w14:paraId="27A25E4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88.0134</w:t>
            </w:r>
          </w:p>
        </w:tc>
        <w:tc>
          <w:tcPr>
            <w:tcW w:w="527" w:type="pct"/>
            <w:shd w:val="clear" w:color="auto" w:fill="auto"/>
            <w:noWrap/>
            <w:vAlign w:val="center"/>
          </w:tcPr>
          <w:p w14:paraId="1134531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36.1127</w:t>
            </w:r>
          </w:p>
        </w:tc>
        <w:tc>
          <w:tcPr>
            <w:tcW w:w="589" w:type="pct"/>
            <w:shd w:val="clear" w:color="auto" w:fill="auto"/>
            <w:noWrap/>
            <w:vAlign w:val="center"/>
          </w:tcPr>
          <w:p w14:paraId="151EAE8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92.8670</w:t>
            </w:r>
          </w:p>
        </w:tc>
        <w:tc>
          <w:tcPr>
            <w:tcW w:w="527" w:type="pct"/>
            <w:shd w:val="clear" w:color="auto" w:fill="auto"/>
            <w:noWrap/>
            <w:vAlign w:val="center"/>
          </w:tcPr>
          <w:p w14:paraId="54B4587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38.1042</w:t>
            </w:r>
          </w:p>
        </w:tc>
      </w:tr>
      <w:tr w14:paraId="44C857EF">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280" w:type="pct"/>
            <w:vMerge w:val="restart"/>
            <w:shd w:val="clear" w:color="auto" w:fill="auto"/>
            <w:noWrap/>
            <w:vAlign w:val="center"/>
          </w:tcPr>
          <w:p w14:paraId="0B0C6B4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S311</w:t>
            </w:r>
            <w:r>
              <w:rPr>
                <w:rFonts w:ascii="Times New Roman" w:hAnsi="宋体" w:eastAsia="宋体" w:cs="Times New Roman"/>
                <w:kern w:val="0"/>
                <w:szCs w:val="21"/>
              </w:rPr>
              <w:t>～高速口</w:t>
            </w:r>
          </w:p>
        </w:tc>
        <w:tc>
          <w:tcPr>
            <w:tcW w:w="373" w:type="pct"/>
            <w:shd w:val="clear" w:color="auto" w:fill="auto"/>
            <w:noWrap/>
            <w:vAlign w:val="center"/>
          </w:tcPr>
          <w:p w14:paraId="3FAE4D08">
            <w:pPr>
              <w:widowControl/>
              <w:jc w:val="center"/>
              <w:rPr>
                <w:rFonts w:ascii="Times New Roman" w:hAnsi="Times New Roman" w:eastAsia="宋体" w:cs="Times New Roman"/>
                <w:kern w:val="0"/>
                <w:szCs w:val="21"/>
              </w:rPr>
            </w:pPr>
            <w:r>
              <w:rPr>
                <w:rFonts w:ascii="Times New Roman" w:hAnsi="宋体" w:eastAsia="宋体" w:cs="Times New Roman"/>
                <w:kern w:val="0"/>
                <w:szCs w:val="21"/>
              </w:rPr>
              <w:t>近期</w:t>
            </w:r>
          </w:p>
        </w:tc>
        <w:tc>
          <w:tcPr>
            <w:tcW w:w="589" w:type="pct"/>
            <w:shd w:val="clear" w:color="auto" w:fill="auto"/>
            <w:noWrap/>
            <w:vAlign w:val="center"/>
          </w:tcPr>
          <w:p w14:paraId="0381E6C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85.9199</w:t>
            </w:r>
          </w:p>
        </w:tc>
        <w:tc>
          <w:tcPr>
            <w:tcW w:w="527" w:type="pct"/>
            <w:shd w:val="clear" w:color="auto" w:fill="auto"/>
            <w:noWrap/>
            <w:vAlign w:val="center"/>
          </w:tcPr>
          <w:p w14:paraId="25486DA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35.0532</w:t>
            </w:r>
          </w:p>
        </w:tc>
        <w:tc>
          <w:tcPr>
            <w:tcW w:w="589" w:type="pct"/>
            <w:shd w:val="clear" w:color="auto" w:fill="auto"/>
            <w:noWrap/>
            <w:vAlign w:val="center"/>
          </w:tcPr>
          <w:p w14:paraId="111681E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59.4395</w:t>
            </w:r>
          </w:p>
        </w:tc>
        <w:tc>
          <w:tcPr>
            <w:tcW w:w="527" w:type="pct"/>
            <w:shd w:val="clear" w:color="auto" w:fill="auto"/>
            <w:noWrap/>
            <w:vAlign w:val="center"/>
          </w:tcPr>
          <w:p w14:paraId="14CD4A9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24.2499</w:t>
            </w:r>
          </w:p>
        </w:tc>
        <w:tc>
          <w:tcPr>
            <w:tcW w:w="589" w:type="pct"/>
            <w:shd w:val="clear" w:color="auto" w:fill="auto"/>
            <w:noWrap/>
            <w:vAlign w:val="center"/>
          </w:tcPr>
          <w:p w14:paraId="77BF134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62.3273</w:t>
            </w:r>
          </w:p>
        </w:tc>
        <w:tc>
          <w:tcPr>
            <w:tcW w:w="527" w:type="pct"/>
            <w:shd w:val="clear" w:color="auto" w:fill="auto"/>
            <w:noWrap/>
            <w:vAlign w:val="center"/>
          </w:tcPr>
          <w:p w14:paraId="3267086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25.4280</w:t>
            </w:r>
          </w:p>
        </w:tc>
      </w:tr>
      <w:tr w14:paraId="5C9FFC73">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280" w:type="pct"/>
            <w:vMerge w:val="continue"/>
            <w:vAlign w:val="center"/>
          </w:tcPr>
          <w:p w14:paraId="2533FA7D">
            <w:pPr>
              <w:widowControl/>
              <w:jc w:val="center"/>
              <w:rPr>
                <w:rFonts w:ascii="Times New Roman" w:hAnsi="Times New Roman" w:eastAsia="宋体" w:cs="Times New Roman"/>
                <w:kern w:val="0"/>
                <w:szCs w:val="21"/>
              </w:rPr>
            </w:pPr>
          </w:p>
        </w:tc>
        <w:tc>
          <w:tcPr>
            <w:tcW w:w="373" w:type="pct"/>
            <w:shd w:val="clear" w:color="auto" w:fill="auto"/>
            <w:noWrap/>
            <w:vAlign w:val="center"/>
          </w:tcPr>
          <w:p w14:paraId="456EFEDB">
            <w:pPr>
              <w:widowControl/>
              <w:jc w:val="center"/>
              <w:rPr>
                <w:rFonts w:ascii="Times New Roman" w:hAnsi="Times New Roman" w:eastAsia="宋体" w:cs="Times New Roman"/>
                <w:kern w:val="0"/>
                <w:szCs w:val="21"/>
              </w:rPr>
            </w:pPr>
            <w:r>
              <w:rPr>
                <w:rFonts w:ascii="Times New Roman" w:hAnsi="宋体" w:eastAsia="宋体" w:cs="Times New Roman"/>
                <w:kern w:val="0"/>
                <w:szCs w:val="21"/>
              </w:rPr>
              <w:t>中期</w:t>
            </w:r>
          </w:p>
        </w:tc>
        <w:tc>
          <w:tcPr>
            <w:tcW w:w="589" w:type="pct"/>
            <w:shd w:val="clear" w:color="auto" w:fill="auto"/>
            <w:noWrap/>
            <w:vAlign w:val="center"/>
          </w:tcPr>
          <w:p w14:paraId="2414CE7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102.4548</w:t>
            </w:r>
          </w:p>
        </w:tc>
        <w:tc>
          <w:tcPr>
            <w:tcW w:w="527" w:type="pct"/>
            <w:shd w:val="clear" w:color="auto" w:fill="auto"/>
            <w:noWrap/>
            <w:vAlign w:val="center"/>
          </w:tcPr>
          <w:p w14:paraId="4343467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42.1408</w:t>
            </w:r>
          </w:p>
        </w:tc>
        <w:tc>
          <w:tcPr>
            <w:tcW w:w="589" w:type="pct"/>
            <w:shd w:val="clear" w:color="auto" w:fill="auto"/>
            <w:noWrap/>
            <w:vAlign w:val="center"/>
          </w:tcPr>
          <w:p w14:paraId="0FD04AC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70.7552</w:t>
            </w:r>
          </w:p>
        </w:tc>
        <w:tc>
          <w:tcPr>
            <w:tcW w:w="527" w:type="pct"/>
            <w:shd w:val="clear" w:color="auto" w:fill="auto"/>
            <w:noWrap/>
            <w:vAlign w:val="center"/>
          </w:tcPr>
          <w:p w14:paraId="01C36A7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29.1024</w:t>
            </w:r>
          </w:p>
        </w:tc>
        <w:tc>
          <w:tcPr>
            <w:tcW w:w="589" w:type="pct"/>
            <w:shd w:val="clear" w:color="auto" w:fill="auto"/>
            <w:noWrap/>
            <w:vAlign w:val="center"/>
          </w:tcPr>
          <w:p w14:paraId="5158382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74.4454</w:t>
            </w:r>
          </w:p>
        </w:tc>
        <w:tc>
          <w:tcPr>
            <w:tcW w:w="527" w:type="pct"/>
            <w:shd w:val="clear" w:color="auto" w:fill="auto"/>
            <w:noWrap/>
            <w:vAlign w:val="center"/>
          </w:tcPr>
          <w:p w14:paraId="73CDADD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30.5901</w:t>
            </w:r>
          </w:p>
        </w:tc>
      </w:tr>
      <w:tr w14:paraId="4E5084CE">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280" w:type="pct"/>
            <w:vMerge w:val="continue"/>
            <w:vAlign w:val="center"/>
          </w:tcPr>
          <w:p w14:paraId="0CFB7068">
            <w:pPr>
              <w:widowControl/>
              <w:jc w:val="center"/>
              <w:rPr>
                <w:rFonts w:ascii="Times New Roman" w:hAnsi="Times New Roman" w:eastAsia="宋体" w:cs="Times New Roman"/>
                <w:kern w:val="0"/>
                <w:szCs w:val="21"/>
              </w:rPr>
            </w:pPr>
          </w:p>
        </w:tc>
        <w:tc>
          <w:tcPr>
            <w:tcW w:w="373" w:type="pct"/>
            <w:shd w:val="clear" w:color="auto" w:fill="auto"/>
            <w:noWrap/>
            <w:vAlign w:val="center"/>
          </w:tcPr>
          <w:p w14:paraId="5066D84B">
            <w:pPr>
              <w:widowControl/>
              <w:jc w:val="center"/>
              <w:rPr>
                <w:rFonts w:ascii="Times New Roman" w:hAnsi="Times New Roman" w:eastAsia="宋体" w:cs="Times New Roman"/>
                <w:kern w:val="0"/>
                <w:szCs w:val="21"/>
              </w:rPr>
            </w:pPr>
            <w:r>
              <w:rPr>
                <w:rFonts w:ascii="Times New Roman" w:hAnsi="宋体" w:eastAsia="宋体" w:cs="Times New Roman"/>
                <w:kern w:val="0"/>
                <w:szCs w:val="21"/>
              </w:rPr>
              <w:t>远期</w:t>
            </w:r>
          </w:p>
        </w:tc>
        <w:tc>
          <w:tcPr>
            <w:tcW w:w="589" w:type="pct"/>
            <w:shd w:val="clear" w:color="auto" w:fill="auto"/>
            <w:noWrap/>
            <w:vAlign w:val="center"/>
          </w:tcPr>
          <w:p w14:paraId="76C1D67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120.5242</w:t>
            </w:r>
          </w:p>
        </w:tc>
        <w:tc>
          <w:tcPr>
            <w:tcW w:w="527" w:type="pct"/>
            <w:shd w:val="clear" w:color="auto" w:fill="auto"/>
            <w:noWrap/>
            <w:vAlign w:val="center"/>
          </w:tcPr>
          <w:p w14:paraId="0EB1D36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49.4728</w:t>
            </w:r>
          </w:p>
        </w:tc>
        <w:tc>
          <w:tcPr>
            <w:tcW w:w="589" w:type="pct"/>
            <w:shd w:val="clear" w:color="auto" w:fill="auto"/>
            <w:noWrap/>
            <w:vAlign w:val="center"/>
          </w:tcPr>
          <w:p w14:paraId="1888AE8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83.1137</w:t>
            </w:r>
          </w:p>
        </w:tc>
        <w:tc>
          <w:tcPr>
            <w:tcW w:w="527" w:type="pct"/>
            <w:shd w:val="clear" w:color="auto" w:fill="auto"/>
            <w:noWrap/>
            <w:vAlign w:val="center"/>
          </w:tcPr>
          <w:p w14:paraId="00BF5DC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34.1165</w:t>
            </w:r>
          </w:p>
        </w:tc>
        <w:tc>
          <w:tcPr>
            <w:tcW w:w="589" w:type="pct"/>
            <w:shd w:val="clear" w:color="auto" w:fill="auto"/>
            <w:noWrap/>
            <w:vAlign w:val="center"/>
          </w:tcPr>
          <w:p w14:paraId="1479483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87.6971</w:t>
            </w:r>
          </w:p>
        </w:tc>
        <w:tc>
          <w:tcPr>
            <w:tcW w:w="527" w:type="pct"/>
            <w:shd w:val="clear" w:color="auto" w:fill="auto"/>
            <w:noWrap/>
            <w:vAlign w:val="center"/>
          </w:tcPr>
          <w:p w14:paraId="5709CE2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35.9979</w:t>
            </w:r>
          </w:p>
        </w:tc>
      </w:tr>
      <w:tr w14:paraId="7602CE8C">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280" w:type="pct"/>
            <w:vMerge w:val="restart"/>
            <w:shd w:val="clear" w:color="auto" w:fill="auto"/>
            <w:noWrap/>
            <w:vAlign w:val="center"/>
          </w:tcPr>
          <w:p w14:paraId="0F07459B">
            <w:pPr>
              <w:widowControl/>
              <w:jc w:val="center"/>
              <w:rPr>
                <w:rFonts w:ascii="Times New Roman" w:hAnsi="Times New Roman" w:eastAsia="宋体" w:cs="Times New Roman"/>
                <w:kern w:val="0"/>
                <w:szCs w:val="21"/>
              </w:rPr>
            </w:pPr>
            <w:r>
              <w:rPr>
                <w:rFonts w:ascii="Times New Roman" w:hAnsi="宋体" w:eastAsia="宋体" w:cs="Times New Roman"/>
                <w:kern w:val="0"/>
                <w:szCs w:val="21"/>
              </w:rPr>
              <w:t>高速口～岳普湖</w:t>
            </w:r>
          </w:p>
        </w:tc>
        <w:tc>
          <w:tcPr>
            <w:tcW w:w="373" w:type="pct"/>
            <w:shd w:val="clear" w:color="auto" w:fill="auto"/>
            <w:noWrap/>
            <w:vAlign w:val="center"/>
          </w:tcPr>
          <w:p w14:paraId="0C4AE490">
            <w:pPr>
              <w:widowControl/>
              <w:jc w:val="center"/>
              <w:rPr>
                <w:rFonts w:ascii="Times New Roman" w:hAnsi="Times New Roman" w:eastAsia="宋体" w:cs="Times New Roman"/>
                <w:kern w:val="0"/>
                <w:szCs w:val="21"/>
              </w:rPr>
            </w:pPr>
            <w:r>
              <w:rPr>
                <w:rFonts w:ascii="Times New Roman" w:hAnsi="宋体" w:eastAsia="宋体" w:cs="Times New Roman"/>
                <w:kern w:val="0"/>
                <w:szCs w:val="21"/>
              </w:rPr>
              <w:t>近期</w:t>
            </w:r>
          </w:p>
        </w:tc>
        <w:tc>
          <w:tcPr>
            <w:tcW w:w="589" w:type="pct"/>
            <w:shd w:val="clear" w:color="auto" w:fill="auto"/>
            <w:noWrap/>
            <w:vAlign w:val="center"/>
          </w:tcPr>
          <w:p w14:paraId="59D3031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96.1986</w:t>
            </w:r>
          </w:p>
        </w:tc>
        <w:tc>
          <w:tcPr>
            <w:tcW w:w="527" w:type="pct"/>
            <w:shd w:val="clear" w:color="auto" w:fill="auto"/>
            <w:noWrap/>
            <w:vAlign w:val="center"/>
          </w:tcPr>
          <w:p w14:paraId="2850626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39.2701</w:t>
            </w:r>
          </w:p>
        </w:tc>
        <w:tc>
          <w:tcPr>
            <w:tcW w:w="589" w:type="pct"/>
            <w:shd w:val="clear" w:color="auto" w:fill="auto"/>
            <w:noWrap/>
            <w:vAlign w:val="center"/>
          </w:tcPr>
          <w:p w14:paraId="53C051A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66.5504</w:t>
            </w:r>
          </w:p>
        </w:tc>
        <w:tc>
          <w:tcPr>
            <w:tcW w:w="527" w:type="pct"/>
            <w:shd w:val="clear" w:color="auto" w:fill="auto"/>
            <w:noWrap/>
            <w:vAlign w:val="center"/>
          </w:tcPr>
          <w:p w14:paraId="2D3619E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27.1671</w:t>
            </w:r>
          </w:p>
        </w:tc>
        <w:tc>
          <w:tcPr>
            <w:tcW w:w="589" w:type="pct"/>
            <w:shd w:val="clear" w:color="auto" w:fill="auto"/>
            <w:noWrap/>
            <w:vAlign w:val="center"/>
          </w:tcPr>
          <w:p w14:paraId="40B380B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69.7836</w:t>
            </w:r>
          </w:p>
        </w:tc>
        <w:tc>
          <w:tcPr>
            <w:tcW w:w="527" w:type="pct"/>
            <w:shd w:val="clear" w:color="auto" w:fill="auto"/>
            <w:noWrap/>
            <w:vAlign w:val="center"/>
          </w:tcPr>
          <w:p w14:paraId="67DD406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28.4870</w:t>
            </w:r>
          </w:p>
        </w:tc>
      </w:tr>
      <w:tr w14:paraId="121730D1">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280" w:type="pct"/>
            <w:vMerge w:val="continue"/>
            <w:vAlign w:val="center"/>
          </w:tcPr>
          <w:p w14:paraId="16A672FC">
            <w:pPr>
              <w:widowControl/>
              <w:jc w:val="center"/>
              <w:rPr>
                <w:rFonts w:ascii="Times New Roman" w:hAnsi="Times New Roman" w:eastAsia="宋体" w:cs="Times New Roman"/>
                <w:kern w:val="0"/>
                <w:szCs w:val="21"/>
              </w:rPr>
            </w:pPr>
          </w:p>
        </w:tc>
        <w:tc>
          <w:tcPr>
            <w:tcW w:w="373" w:type="pct"/>
            <w:shd w:val="clear" w:color="auto" w:fill="auto"/>
            <w:noWrap/>
            <w:vAlign w:val="center"/>
          </w:tcPr>
          <w:p w14:paraId="7C378963">
            <w:pPr>
              <w:widowControl/>
              <w:jc w:val="center"/>
              <w:rPr>
                <w:rFonts w:ascii="Times New Roman" w:hAnsi="Times New Roman" w:eastAsia="宋体" w:cs="Times New Roman"/>
                <w:kern w:val="0"/>
                <w:szCs w:val="21"/>
              </w:rPr>
            </w:pPr>
            <w:r>
              <w:rPr>
                <w:rFonts w:ascii="Times New Roman" w:hAnsi="宋体" w:eastAsia="宋体" w:cs="Times New Roman"/>
                <w:kern w:val="0"/>
                <w:szCs w:val="21"/>
              </w:rPr>
              <w:t>中期</w:t>
            </w:r>
          </w:p>
        </w:tc>
        <w:tc>
          <w:tcPr>
            <w:tcW w:w="589" w:type="pct"/>
            <w:shd w:val="clear" w:color="auto" w:fill="auto"/>
            <w:noWrap/>
            <w:vAlign w:val="center"/>
          </w:tcPr>
          <w:p w14:paraId="1154266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114.8336</w:t>
            </w:r>
          </w:p>
        </w:tc>
        <w:tc>
          <w:tcPr>
            <w:tcW w:w="527" w:type="pct"/>
            <w:shd w:val="clear" w:color="auto" w:fill="auto"/>
            <w:noWrap/>
            <w:vAlign w:val="center"/>
          </w:tcPr>
          <w:p w14:paraId="7079B44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46.8816</w:t>
            </w:r>
          </w:p>
        </w:tc>
        <w:tc>
          <w:tcPr>
            <w:tcW w:w="589" w:type="pct"/>
            <w:shd w:val="clear" w:color="auto" w:fill="auto"/>
            <w:noWrap/>
            <w:vAlign w:val="center"/>
          </w:tcPr>
          <w:p w14:paraId="72AB443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79.3040</w:t>
            </w:r>
          </w:p>
        </w:tc>
        <w:tc>
          <w:tcPr>
            <w:tcW w:w="527" w:type="pct"/>
            <w:shd w:val="clear" w:color="auto" w:fill="auto"/>
            <w:noWrap/>
            <w:vAlign w:val="center"/>
          </w:tcPr>
          <w:p w14:paraId="221C147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32.3764</w:t>
            </w:r>
          </w:p>
        </w:tc>
        <w:tc>
          <w:tcPr>
            <w:tcW w:w="589" w:type="pct"/>
            <w:shd w:val="clear" w:color="auto" w:fill="auto"/>
            <w:noWrap/>
            <w:vAlign w:val="center"/>
          </w:tcPr>
          <w:p w14:paraId="0C75835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83.4401</w:t>
            </w:r>
          </w:p>
        </w:tc>
        <w:tc>
          <w:tcPr>
            <w:tcW w:w="527" w:type="pct"/>
            <w:shd w:val="clear" w:color="auto" w:fill="auto"/>
            <w:noWrap/>
            <w:vAlign w:val="center"/>
          </w:tcPr>
          <w:p w14:paraId="702131F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34.0315</w:t>
            </w:r>
          </w:p>
        </w:tc>
      </w:tr>
      <w:tr w14:paraId="002663E1">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280" w:type="pct"/>
            <w:vMerge w:val="continue"/>
            <w:vAlign w:val="center"/>
          </w:tcPr>
          <w:p w14:paraId="5A5EBAE3">
            <w:pPr>
              <w:widowControl/>
              <w:jc w:val="center"/>
              <w:rPr>
                <w:rFonts w:ascii="Times New Roman" w:hAnsi="Times New Roman" w:eastAsia="宋体" w:cs="Times New Roman"/>
                <w:kern w:val="0"/>
                <w:szCs w:val="21"/>
              </w:rPr>
            </w:pPr>
          </w:p>
        </w:tc>
        <w:tc>
          <w:tcPr>
            <w:tcW w:w="373" w:type="pct"/>
            <w:shd w:val="clear" w:color="auto" w:fill="auto"/>
            <w:noWrap/>
            <w:vAlign w:val="center"/>
          </w:tcPr>
          <w:p w14:paraId="01285751">
            <w:pPr>
              <w:widowControl/>
              <w:jc w:val="center"/>
              <w:rPr>
                <w:rFonts w:ascii="Times New Roman" w:hAnsi="Times New Roman" w:eastAsia="宋体" w:cs="Times New Roman"/>
                <w:kern w:val="0"/>
                <w:szCs w:val="21"/>
              </w:rPr>
            </w:pPr>
            <w:r>
              <w:rPr>
                <w:rFonts w:ascii="Times New Roman" w:hAnsi="宋体" w:eastAsia="宋体" w:cs="Times New Roman"/>
                <w:kern w:val="0"/>
                <w:szCs w:val="21"/>
              </w:rPr>
              <w:t>远期</w:t>
            </w:r>
          </w:p>
        </w:tc>
        <w:tc>
          <w:tcPr>
            <w:tcW w:w="589" w:type="pct"/>
            <w:shd w:val="clear" w:color="auto" w:fill="auto"/>
            <w:noWrap/>
            <w:vAlign w:val="center"/>
          </w:tcPr>
          <w:p w14:paraId="3E993D6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134.7345</w:t>
            </w:r>
          </w:p>
        </w:tc>
        <w:tc>
          <w:tcPr>
            <w:tcW w:w="527" w:type="pct"/>
            <w:shd w:val="clear" w:color="auto" w:fill="auto"/>
            <w:noWrap/>
            <w:vAlign w:val="center"/>
          </w:tcPr>
          <w:p w14:paraId="10AD5CF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55.2622</w:t>
            </w:r>
          </w:p>
        </w:tc>
        <w:tc>
          <w:tcPr>
            <w:tcW w:w="589" w:type="pct"/>
            <w:shd w:val="clear" w:color="auto" w:fill="auto"/>
            <w:noWrap/>
            <w:vAlign w:val="center"/>
          </w:tcPr>
          <w:p w14:paraId="12DB852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92.9131</w:t>
            </w:r>
          </w:p>
        </w:tc>
        <w:tc>
          <w:tcPr>
            <w:tcW w:w="527" w:type="pct"/>
            <w:shd w:val="clear" w:color="auto" w:fill="auto"/>
            <w:noWrap/>
            <w:vAlign w:val="center"/>
          </w:tcPr>
          <w:p w14:paraId="3C2DCAB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38.1089</w:t>
            </w:r>
          </w:p>
        </w:tc>
        <w:tc>
          <w:tcPr>
            <w:tcW w:w="589" w:type="pct"/>
            <w:shd w:val="clear" w:color="auto" w:fill="auto"/>
            <w:noWrap/>
            <w:vAlign w:val="center"/>
          </w:tcPr>
          <w:p w14:paraId="5DC12ED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98.0369</w:t>
            </w:r>
          </w:p>
        </w:tc>
        <w:tc>
          <w:tcPr>
            <w:tcW w:w="527" w:type="pct"/>
            <w:shd w:val="clear" w:color="auto" w:fill="auto"/>
            <w:noWrap/>
            <w:vAlign w:val="center"/>
          </w:tcPr>
          <w:p w14:paraId="7180546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40.2105</w:t>
            </w:r>
          </w:p>
        </w:tc>
      </w:tr>
    </w:tbl>
    <w:p w14:paraId="2CB21432">
      <w:pPr>
        <w:widowControl/>
        <w:jc w:val="left"/>
        <w:rPr>
          <w:rFonts w:ascii="Times New Roman" w:hAnsi="Times New Roman" w:eastAsia="宋体" w:cs="Times New Roman"/>
          <w:b/>
          <w:bCs/>
          <w:szCs w:val="20"/>
        </w:rPr>
      </w:pPr>
      <w:r>
        <w:rPr>
          <w:rFonts w:ascii="Times New Roman" w:hAnsi="Times New Roman" w:eastAsia="宋体" w:cs="Times New Roman"/>
          <w:b/>
          <w:bCs/>
          <w:szCs w:val="20"/>
        </w:rPr>
        <w:br w:type="page"/>
      </w:r>
    </w:p>
    <w:p w14:paraId="041EE385">
      <w:pPr>
        <w:spacing w:beforeLines="50"/>
        <w:jc w:val="center"/>
        <w:rPr>
          <w:rFonts w:ascii="Times New Roman" w:hAnsi="Times New Roman" w:eastAsia="宋体" w:cs="Times New Roman"/>
          <w:b/>
          <w:bCs/>
          <w:szCs w:val="20"/>
        </w:rPr>
      </w:pPr>
      <w:r>
        <w:rPr>
          <w:rFonts w:ascii="Times New Roman" w:hAnsi="Times New Roman" w:eastAsia="宋体" w:cs="Times New Roman"/>
          <w:b/>
          <w:bCs/>
          <w:szCs w:val="20"/>
        </w:rPr>
        <w:t>表2.5-</w:t>
      </w:r>
      <w:r>
        <w:rPr>
          <w:rFonts w:hint="eastAsia" w:ascii="Times New Roman" w:hAnsi="Times New Roman" w:eastAsia="宋体" w:cs="Times New Roman"/>
          <w:b/>
          <w:bCs/>
          <w:szCs w:val="20"/>
        </w:rPr>
        <w:t>16</w:t>
      </w:r>
      <w:r>
        <w:rPr>
          <w:rFonts w:ascii="Times New Roman" w:hAnsi="Times New Roman" w:eastAsia="宋体" w:cs="Times New Roman"/>
          <w:b/>
          <w:bCs/>
          <w:szCs w:val="20"/>
        </w:rPr>
        <w:t xml:space="preserve">  拟建公路各代表年各车型预测平均车速</w:t>
      </w:r>
    </w:p>
    <w:tbl>
      <w:tblPr>
        <w:tblStyle w:val="22"/>
        <w:tblW w:w="4879" w:type="pct"/>
        <w:jc w:val="center"/>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279"/>
        <w:gridCol w:w="1035"/>
        <w:gridCol w:w="849"/>
        <w:gridCol w:w="860"/>
        <w:gridCol w:w="860"/>
        <w:gridCol w:w="860"/>
        <w:gridCol w:w="860"/>
        <w:gridCol w:w="860"/>
        <w:gridCol w:w="860"/>
      </w:tblGrid>
      <w:tr w14:paraId="36BCCC60">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390" w:type="pct"/>
            <w:gridSpan w:val="2"/>
            <w:vMerge w:val="restart"/>
            <w:shd w:val="clear" w:color="auto" w:fill="auto"/>
            <w:vAlign w:val="center"/>
          </w:tcPr>
          <w:p w14:paraId="6E6443C2">
            <w:pPr>
              <w:widowControl/>
              <w:jc w:val="center"/>
              <w:rPr>
                <w:rFonts w:ascii="Times New Roman" w:hAnsi="Times New Roman" w:eastAsia="宋体" w:cs="Times New Roman"/>
                <w:b/>
                <w:kern w:val="0"/>
                <w:szCs w:val="21"/>
              </w:rPr>
            </w:pPr>
            <w:r>
              <w:rPr>
                <w:rFonts w:ascii="Times New Roman" w:hAnsi="宋体" w:eastAsia="宋体" w:cs="Times New Roman"/>
                <w:b/>
                <w:kern w:val="0"/>
                <w:szCs w:val="21"/>
              </w:rPr>
              <w:t>路段</w:t>
            </w:r>
          </w:p>
        </w:tc>
        <w:tc>
          <w:tcPr>
            <w:tcW w:w="510" w:type="pct"/>
            <w:vMerge w:val="restart"/>
            <w:shd w:val="clear" w:color="auto" w:fill="auto"/>
            <w:noWrap/>
            <w:vAlign w:val="center"/>
          </w:tcPr>
          <w:p w14:paraId="6D885875">
            <w:pPr>
              <w:widowControl/>
              <w:jc w:val="center"/>
              <w:rPr>
                <w:rFonts w:ascii="Times New Roman" w:hAnsi="Times New Roman" w:eastAsia="宋体" w:cs="Times New Roman"/>
                <w:b/>
                <w:kern w:val="0"/>
                <w:szCs w:val="21"/>
              </w:rPr>
            </w:pPr>
            <w:r>
              <w:rPr>
                <w:rFonts w:ascii="Times New Roman" w:hAnsi="宋体" w:eastAsia="宋体" w:cs="Times New Roman"/>
                <w:b/>
                <w:kern w:val="0"/>
                <w:szCs w:val="21"/>
              </w:rPr>
              <w:t>年份</w:t>
            </w:r>
          </w:p>
        </w:tc>
        <w:tc>
          <w:tcPr>
            <w:tcW w:w="1033" w:type="pct"/>
            <w:gridSpan w:val="2"/>
            <w:shd w:val="clear" w:color="auto" w:fill="auto"/>
            <w:noWrap/>
            <w:vAlign w:val="center"/>
          </w:tcPr>
          <w:p w14:paraId="3EA8D27E">
            <w:pPr>
              <w:widowControl/>
              <w:jc w:val="center"/>
              <w:rPr>
                <w:rFonts w:ascii="Times New Roman" w:hAnsi="Times New Roman" w:eastAsia="宋体" w:cs="Times New Roman"/>
                <w:b/>
                <w:kern w:val="0"/>
                <w:szCs w:val="21"/>
              </w:rPr>
            </w:pPr>
            <w:r>
              <w:rPr>
                <w:rFonts w:ascii="Times New Roman" w:hAnsi="宋体" w:eastAsia="宋体" w:cs="Times New Roman"/>
                <w:b/>
                <w:kern w:val="0"/>
                <w:szCs w:val="21"/>
              </w:rPr>
              <w:t>小型车</w:t>
            </w:r>
          </w:p>
        </w:tc>
        <w:tc>
          <w:tcPr>
            <w:tcW w:w="1033" w:type="pct"/>
            <w:gridSpan w:val="2"/>
            <w:shd w:val="clear" w:color="auto" w:fill="auto"/>
            <w:noWrap/>
            <w:vAlign w:val="center"/>
          </w:tcPr>
          <w:p w14:paraId="41CAC898">
            <w:pPr>
              <w:widowControl/>
              <w:jc w:val="center"/>
              <w:rPr>
                <w:rFonts w:ascii="Times New Roman" w:hAnsi="Times New Roman" w:eastAsia="宋体" w:cs="Times New Roman"/>
                <w:b/>
                <w:kern w:val="0"/>
                <w:szCs w:val="21"/>
              </w:rPr>
            </w:pPr>
            <w:r>
              <w:rPr>
                <w:rFonts w:ascii="Times New Roman" w:hAnsi="宋体" w:eastAsia="宋体" w:cs="Times New Roman"/>
                <w:b/>
                <w:kern w:val="0"/>
                <w:szCs w:val="21"/>
              </w:rPr>
              <w:t>中型车</w:t>
            </w:r>
          </w:p>
        </w:tc>
        <w:tc>
          <w:tcPr>
            <w:tcW w:w="1033" w:type="pct"/>
            <w:gridSpan w:val="2"/>
            <w:shd w:val="clear" w:color="auto" w:fill="auto"/>
            <w:noWrap/>
            <w:vAlign w:val="center"/>
          </w:tcPr>
          <w:p w14:paraId="7B483A0B">
            <w:pPr>
              <w:widowControl/>
              <w:jc w:val="center"/>
              <w:rPr>
                <w:rFonts w:ascii="Times New Roman" w:hAnsi="Times New Roman" w:eastAsia="宋体" w:cs="Times New Roman"/>
                <w:b/>
                <w:kern w:val="0"/>
                <w:szCs w:val="21"/>
              </w:rPr>
            </w:pPr>
            <w:r>
              <w:rPr>
                <w:rFonts w:ascii="Times New Roman" w:hAnsi="宋体" w:eastAsia="宋体" w:cs="Times New Roman"/>
                <w:b/>
                <w:kern w:val="0"/>
                <w:szCs w:val="21"/>
              </w:rPr>
              <w:t>大型车</w:t>
            </w:r>
          </w:p>
        </w:tc>
      </w:tr>
      <w:tr w14:paraId="42B564B4">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390" w:type="pct"/>
            <w:gridSpan w:val="2"/>
            <w:vMerge w:val="continue"/>
            <w:vAlign w:val="center"/>
          </w:tcPr>
          <w:p w14:paraId="58AF320E">
            <w:pPr>
              <w:widowControl/>
              <w:jc w:val="center"/>
              <w:rPr>
                <w:rFonts w:ascii="Times New Roman" w:hAnsi="Times New Roman" w:eastAsia="宋体" w:cs="Times New Roman"/>
                <w:b/>
                <w:kern w:val="0"/>
                <w:szCs w:val="21"/>
              </w:rPr>
            </w:pPr>
          </w:p>
        </w:tc>
        <w:tc>
          <w:tcPr>
            <w:tcW w:w="510" w:type="pct"/>
            <w:vMerge w:val="continue"/>
            <w:vAlign w:val="center"/>
          </w:tcPr>
          <w:p w14:paraId="51F069C8">
            <w:pPr>
              <w:widowControl/>
              <w:jc w:val="center"/>
              <w:rPr>
                <w:rFonts w:ascii="Times New Roman" w:hAnsi="Times New Roman" w:eastAsia="宋体" w:cs="Times New Roman"/>
                <w:b/>
                <w:kern w:val="0"/>
                <w:szCs w:val="21"/>
              </w:rPr>
            </w:pPr>
          </w:p>
        </w:tc>
        <w:tc>
          <w:tcPr>
            <w:tcW w:w="516" w:type="pct"/>
            <w:shd w:val="clear" w:color="auto" w:fill="auto"/>
            <w:noWrap/>
            <w:vAlign w:val="center"/>
          </w:tcPr>
          <w:p w14:paraId="7ABA42E7">
            <w:pPr>
              <w:widowControl/>
              <w:jc w:val="center"/>
              <w:rPr>
                <w:rFonts w:ascii="Times New Roman" w:hAnsi="Times New Roman" w:eastAsia="宋体" w:cs="Times New Roman"/>
                <w:b/>
                <w:kern w:val="0"/>
                <w:szCs w:val="21"/>
              </w:rPr>
            </w:pPr>
            <w:r>
              <w:rPr>
                <w:rFonts w:ascii="Times New Roman" w:hAnsi="宋体" w:eastAsia="宋体" w:cs="Times New Roman"/>
                <w:b/>
                <w:kern w:val="0"/>
                <w:szCs w:val="21"/>
              </w:rPr>
              <w:t>昼间</w:t>
            </w:r>
          </w:p>
        </w:tc>
        <w:tc>
          <w:tcPr>
            <w:tcW w:w="516" w:type="pct"/>
            <w:shd w:val="clear" w:color="auto" w:fill="auto"/>
            <w:noWrap/>
            <w:vAlign w:val="center"/>
          </w:tcPr>
          <w:p w14:paraId="593A27D8">
            <w:pPr>
              <w:widowControl/>
              <w:jc w:val="center"/>
              <w:rPr>
                <w:rFonts w:ascii="Times New Roman" w:hAnsi="Times New Roman" w:eastAsia="宋体" w:cs="Times New Roman"/>
                <w:b/>
                <w:kern w:val="0"/>
                <w:szCs w:val="21"/>
              </w:rPr>
            </w:pPr>
            <w:r>
              <w:rPr>
                <w:rFonts w:ascii="Times New Roman" w:hAnsi="宋体" w:eastAsia="宋体" w:cs="Times New Roman"/>
                <w:b/>
                <w:kern w:val="0"/>
                <w:szCs w:val="21"/>
              </w:rPr>
              <w:t>夜间</w:t>
            </w:r>
          </w:p>
        </w:tc>
        <w:tc>
          <w:tcPr>
            <w:tcW w:w="516" w:type="pct"/>
            <w:shd w:val="clear" w:color="auto" w:fill="auto"/>
            <w:noWrap/>
            <w:vAlign w:val="center"/>
          </w:tcPr>
          <w:p w14:paraId="5F15FECC">
            <w:pPr>
              <w:widowControl/>
              <w:jc w:val="center"/>
              <w:rPr>
                <w:rFonts w:ascii="Times New Roman" w:hAnsi="Times New Roman" w:eastAsia="宋体" w:cs="Times New Roman"/>
                <w:b/>
                <w:kern w:val="0"/>
                <w:szCs w:val="21"/>
              </w:rPr>
            </w:pPr>
            <w:r>
              <w:rPr>
                <w:rFonts w:ascii="Times New Roman" w:hAnsi="宋体" w:eastAsia="宋体" w:cs="Times New Roman"/>
                <w:b/>
                <w:kern w:val="0"/>
                <w:szCs w:val="21"/>
              </w:rPr>
              <w:t>昼间</w:t>
            </w:r>
          </w:p>
        </w:tc>
        <w:tc>
          <w:tcPr>
            <w:tcW w:w="516" w:type="pct"/>
            <w:shd w:val="clear" w:color="auto" w:fill="auto"/>
            <w:noWrap/>
            <w:vAlign w:val="center"/>
          </w:tcPr>
          <w:p w14:paraId="4777415F">
            <w:pPr>
              <w:widowControl/>
              <w:jc w:val="center"/>
              <w:rPr>
                <w:rFonts w:ascii="Times New Roman" w:hAnsi="Times New Roman" w:eastAsia="宋体" w:cs="Times New Roman"/>
                <w:b/>
                <w:kern w:val="0"/>
                <w:szCs w:val="21"/>
              </w:rPr>
            </w:pPr>
            <w:r>
              <w:rPr>
                <w:rFonts w:ascii="Times New Roman" w:hAnsi="宋体" w:eastAsia="宋体" w:cs="Times New Roman"/>
                <w:b/>
                <w:kern w:val="0"/>
                <w:szCs w:val="21"/>
              </w:rPr>
              <w:t>夜间</w:t>
            </w:r>
          </w:p>
        </w:tc>
        <w:tc>
          <w:tcPr>
            <w:tcW w:w="516" w:type="pct"/>
            <w:shd w:val="clear" w:color="auto" w:fill="auto"/>
            <w:noWrap/>
            <w:vAlign w:val="center"/>
          </w:tcPr>
          <w:p w14:paraId="41267C1F">
            <w:pPr>
              <w:widowControl/>
              <w:jc w:val="center"/>
              <w:rPr>
                <w:rFonts w:ascii="Times New Roman" w:hAnsi="Times New Roman" w:eastAsia="宋体" w:cs="Times New Roman"/>
                <w:b/>
                <w:kern w:val="0"/>
                <w:szCs w:val="21"/>
              </w:rPr>
            </w:pPr>
            <w:r>
              <w:rPr>
                <w:rFonts w:ascii="Times New Roman" w:hAnsi="宋体" w:eastAsia="宋体" w:cs="Times New Roman"/>
                <w:b/>
                <w:kern w:val="0"/>
                <w:szCs w:val="21"/>
              </w:rPr>
              <w:t>昼间</w:t>
            </w:r>
          </w:p>
        </w:tc>
        <w:tc>
          <w:tcPr>
            <w:tcW w:w="516" w:type="pct"/>
            <w:shd w:val="clear" w:color="auto" w:fill="auto"/>
            <w:noWrap/>
            <w:vAlign w:val="center"/>
          </w:tcPr>
          <w:p w14:paraId="5A8D26DB">
            <w:pPr>
              <w:widowControl/>
              <w:jc w:val="center"/>
              <w:rPr>
                <w:rFonts w:ascii="Times New Roman" w:hAnsi="Times New Roman" w:eastAsia="宋体" w:cs="Times New Roman"/>
                <w:b/>
                <w:kern w:val="0"/>
                <w:szCs w:val="21"/>
              </w:rPr>
            </w:pPr>
            <w:r>
              <w:rPr>
                <w:rFonts w:ascii="Times New Roman" w:hAnsi="宋体" w:eastAsia="宋体" w:cs="Times New Roman"/>
                <w:b/>
                <w:kern w:val="0"/>
                <w:szCs w:val="21"/>
              </w:rPr>
              <w:t>夜间</w:t>
            </w:r>
          </w:p>
        </w:tc>
      </w:tr>
      <w:tr w14:paraId="746DCB28">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68" w:type="pct"/>
            <w:vMerge w:val="restart"/>
            <w:shd w:val="clear" w:color="auto" w:fill="auto"/>
            <w:noWrap/>
            <w:vAlign w:val="center"/>
          </w:tcPr>
          <w:p w14:paraId="554D001E">
            <w:pPr>
              <w:widowControl/>
              <w:jc w:val="center"/>
              <w:rPr>
                <w:rFonts w:ascii="Times New Roman" w:hAnsi="Times New Roman" w:eastAsia="宋体" w:cs="Times New Roman"/>
                <w:kern w:val="0"/>
                <w:szCs w:val="21"/>
              </w:rPr>
            </w:pPr>
            <w:r>
              <w:rPr>
                <w:rFonts w:ascii="Times New Roman" w:hAnsi="宋体" w:eastAsia="宋体" w:cs="Times New Roman"/>
                <w:kern w:val="0"/>
                <w:szCs w:val="21"/>
              </w:rPr>
              <w:t>起点～胜利路</w:t>
            </w:r>
          </w:p>
        </w:tc>
        <w:tc>
          <w:tcPr>
            <w:tcW w:w="621" w:type="pct"/>
            <w:vMerge w:val="restart"/>
            <w:shd w:val="clear" w:color="auto" w:fill="auto"/>
            <w:vAlign w:val="center"/>
          </w:tcPr>
          <w:p w14:paraId="58998173">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80km/h</w:t>
            </w:r>
          </w:p>
        </w:tc>
        <w:tc>
          <w:tcPr>
            <w:tcW w:w="510" w:type="pct"/>
            <w:shd w:val="clear" w:color="auto" w:fill="auto"/>
            <w:noWrap/>
            <w:vAlign w:val="center"/>
          </w:tcPr>
          <w:p w14:paraId="244779C8">
            <w:pPr>
              <w:widowControl/>
              <w:jc w:val="center"/>
              <w:rPr>
                <w:rFonts w:ascii="Times New Roman" w:hAnsi="Times New Roman" w:eastAsia="宋体" w:cs="Times New Roman"/>
                <w:kern w:val="0"/>
                <w:szCs w:val="21"/>
              </w:rPr>
            </w:pPr>
            <w:r>
              <w:rPr>
                <w:rFonts w:ascii="Times New Roman" w:hAnsi="宋体" w:eastAsia="宋体" w:cs="Times New Roman"/>
                <w:kern w:val="0"/>
                <w:szCs w:val="21"/>
              </w:rPr>
              <w:t>近期</w:t>
            </w:r>
          </w:p>
        </w:tc>
        <w:tc>
          <w:tcPr>
            <w:tcW w:w="516" w:type="pct"/>
            <w:shd w:val="clear" w:color="auto" w:fill="auto"/>
            <w:noWrap/>
            <w:vAlign w:val="center"/>
          </w:tcPr>
          <w:p w14:paraId="1497AB99">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76.0</w:t>
            </w:r>
          </w:p>
        </w:tc>
        <w:tc>
          <w:tcPr>
            <w:tcW w:w="516" w:type="pct"/>
            <w:shd w:val="clear" w:color="auto" w:fill="auto"/>
            <w:noWrap/>
            <w:vAlign w:val="center"/>
          </w:tcPr>
          <w:p w14:paraId="26AA51EE">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76.0</w:t>
            </w:r>
          </w:p>
        </w:tc>
        <w:tc>
          <w:tcPr>
            <w:tcW w:w="516" w:type="pct"/>
            <w:shd w:val="clear" w:color="auto" w:fill="auto"/>
            <w:noWrap/>
            <w:vAlign w:val="center"/>
          </w:tcPr>
          <w:p w14:paraId="7322DAC0">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58.5</w:t>
            </w:r>
          </w:p>
        </w:tc>
        <w:tc>
          <w:tcPr>
            <w:tcW w:w="516" w:type="pct"/>
            <w:shd w:val="clear" w:color="auto" w:fill="auto"/>
            <w:noWrap/>
            <w:vAlign w:val="center"/>
          </w:tcPr>
          <w:p w14:paraId="44D383D8">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58.5</w:t>
            </w:r>
          </w:p>
        </w:tc>
        <w:tc>
          <w:tcPr>
            <w:tcW w:w="516" w:type="pct"/>
            <w:shd w:val="clear" w:color="auto" w:fill="auto"/>
            <w:noWrap/>
            <w:vAlign w:val="center"/>
          </w:tcPr>
          <w:p w14:paraId="33EE009C">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58.5</w:t>
            </w:r>
          </w:p>
        </w:tc>
        <w:tc>
          <w:tcPr>
            <w:tcW w:w="516" w:type="pct"/>
            <w:shd w:val="clear" w:color="auto" w:fill="auto"/>
            <w:noWrap/>
            <w:vAlign w:val="center"/>
          </w:tcPr>
          <w:p w14:paraId="2C000151">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58.5</w:t>
            </w:r>
          </w:p>
        </w:tc>
      </w:tr>
      <w:tr w14:paraId="5F56607C">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68" w:type="pct"/>
            <w:vMerge w:val="continue"/>
            <w:vAlign w:val="center"/>
          </w:tcPr>
          <w:p w14:paraId="1335E893">
            <w:pPr>
              <w:jc w:val="center"/>
              <w:rPr>
                <w:rFonts w:ascii="Times New Roman" w:hAnsi="Times New Roman" w:eastAsia="宋体" w:cs="Times New Roman"/>
                <w:kern w:val="0"/>
                <w:szCs w:val="21"/>
              </w:rPr>
            </w:pPr>
          </w:p>
        </w:tc>
        <w:tc>
          <w:tcPr>
            <w:tcW w:w="621" w:type="pct"/>
            <w:vMerge w:val="continue"/>
            <w:vAlign w:val="center"/>
          </w:tcPr>
          <w:p w14:paraId="228D6A04">
            <w:pPr>
              <w:jc w:val="center"/>
              <w:rPr>
                <w:rFonts w:ascii="Times New Roman" w:hAnsi="Times New Roman" w:eastAsia="宋体" w:cs="Times New Roman"/>
                <w:kern w:val="0"/>
                <w:szCs w:val="21"/>
              </w:rPr>
            </w:pPr>
          </w:p>
        </w:tc>
        <w:tc>
          <w:tcPr>
            <w:tcW w:w="510" w:type="pct"/>
            <w:shd w:val="clear" w:color="auto" w:fill="auto"/>
            <w:noWrap/>
            <w:vAlign w:val="center"/>
          </w:tcPr>
          <w:p w14:paraId="3A1227F1">
            <w:pPr>
              <w:widowControl/>
              <w:jc w:val="center"/>
              <w:rPr>
                <w:rFonts w:ascii="Times New Roman" w:hAnsi="Times New Roman" w:eastAsia="宋体" w:cs="Times New Roman"/>
                <w:kern w:val="0"/>
                <w:szCs w:val="21"/>
              </w:rPr>
            </w:pPr>
            <w:r>
              <w:rPr>
                <w:rFonts w:ascii="Times New Roman" w:hAnsi="宋体" w:eastAsia="宋体" w:cs="Times New Roman"/>
                <w:kern w:val="0"/>
                <w:szCs w:val="21"/>
              </w:rPr>
              <w:t>中期</w:t>
            </w:r>
          </w:p>
        </w:tc>
        <w:tc>
          <w:tcPr>
            <w:tcW w:w="516" w:type="pct"/>
            <w:shd w:val="clear" w:color="auto" w:fill="auto"/>
            <w:noWrap/>
            <w:vAlign w:val="center"/>
          </w:tcPr>
          <w:p w14:paraId="3F2B5AFE">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76.0</w:t>
            </w:r>
          </w:p>
        </w:tc>
        <w:tc>
          <w:tcPr>
            <w:tcW w:w="516" w:type="pct"/>
            <w:shd w:val="clear" w:color="auto" w:fill="auto"/>
            <w:noWrap/>
            <w:vAlign w:val="center"/>
          </w:tcPr>
          <w:p w14:paraId="77CC0C08">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76.0</w:t>
            </w:r>
          </w:p>
        </w:tc>
        <w:tc>
          <w:tcPr>
            <w:tcW w:w="516" w:type="pct"/>
            <w:shd w:val="clear" w:color="auto" w:fill="auto"/>
            <w:noWrap/>
            <w:vAlign w:val="center"/>
          </w:tcPr>
          <w:p w14:paraId="51303928">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58.5</w:t>
            </w:r>
          </w:p>
        </w:tc>
        <w:tc>
          <w:tcPr>
            <w:tcW w:w="516" w:type="pct"/>
            <w:shd w:val="clear" w:color="auto" w:fill="auto"/>
            <w:noWrap/>
            <w:vAlign w:val="center"/>
          </w:tcPr>
          <w:p w14:paraId="6AF4DA6F">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58.5</w:t>
            </w:r>
          </w:p>
        </w:tc>
        <w:tc>
          <w:tcPr>
            <w:tcW w:w="516" w:type="pct"/>
            <w:shd w:val="clear" w:color="auto" w:fill="auto"/>
            <w:noWrap/>
            <w:vAlign w:val="center"/>
          </w:tcPr>
          <w:p w14:paraId="6CC031BC">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58.5</w:t>
            </w:r>
          </w:p>
        </w:tc>
        <w:tc>
          <w:tcPr>
            <w:tcW w:w="516" w:type="pct"/>
            <w:shd w:val="clear" w:color="auto" w:fill="auto"/>
            <w:noWrap/>
            <w:vAlign w:val="center"/>
          </w:tcPr>
          <w:p w14:paraId="47CA56FB">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58.5</w:t>
            </w:r>
          </w:p>
        </w:tc>
      </w:tr>
      <w:tr w14:paraId="7EE0ED4A">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68" w:type="pct"/>
            <w:vMerge w:val="continue"/>
            <w:vAlign w:val="center"/>
          </w:tcPr>
          <w:p w14:paraId="7AE10055">
            <w:pPr>
              <w:jc w:val="center"/>
              <w:rPr>
                <w:rFonts w:ascii="Times New Roman" w:hAnsi="Times New Roman" w:eastAsia="宋体" w:cs="Times New Roman"/>
                <w:kern w:val="0"/>
                <w:szCs w:val="21"/>
              </w:rPr>
            </w:pPr>
          </w:p>
        </w:tc>
        <w:tc>
          <w:tcPr>
            <w:tcW w:w="621" w:type="pct"/>
            <w:vMerge w:val="continue"/>
            <w:vAlign w:val="center"/>
          </w:tcPr>
          <w:p w14:paraId="4A175089">
            <w:pPr>
              <w:jc w:val="center"/>
              <w:rPr>
                <w:rFonts w:ascii="Times New Roman" w:hAnsi="Times New Roman" w:eastAsia="宋体" w:cs="Times New Roman"/>
                <w:kern w:val="0"/>
                <w:szCs w:val="21"/>
              </w:rPr>
            </w:pPr>
          </w:p>
        </w:tc>
        <w:tc>
          <w:tcPr>
            <w:tcW w:w="510" w:type="pct"/>
            <w:shd w:val="clear" w:color="auto" w:fill="auto"/>
            <w:noWrap/>
            <w:vAlign w:val="center"/>
          </w:tcPr>
          <w:p w14:paraId="753BABB4">
            <w:pPr>
              <w:widowControl/>
              <w:jc w:val="center"/>
              <w:rPr>
                <w:rFonts w:ascii="Times New Roman" w:hAnsi="Times New Roman" w:eastAsia="宋体" w:cs="Times New Roman"/>
                <w:kern w:val="0"/>
                <w:szCs w:val="21"/>
              </w:rPr>
            </w:pPr>
            <w:r>
              <w:rPr>
                <w:rFonts w:ascii="Times New Roman" w:hAnsi="宋体" w:eastAsia="宋体" w:cs="Times New Roman"/>
                <w:kern w:val="0"/>
                <w:szCs w:val="21"/>
              </w:rPr>
              <w:t>远期</w:t>
            </w:r>
          </w:p>
        </w:tc>
        <w:tc>
          <w:tcPr>
            <w:tcW w:w="516" w:type="pct"/>
            <w:shd w:val="clear" w:color="auto" w:fill="auto"/>
            <w:noWrap/>
            <w:vAlign w:val="center"/>
          </w:tcPr>
          <w:p w14:paraId="78C5B69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66.0</w:t>
            </w:r>
          </w:p>
        </w:tc>
        <w:tc>
          <w:tcPr>
            <w:tcW w:w="516" w:type="pct"/>
            <w:shd w:val="clear" w:color="auto" w:fill="auto"/>
            <w:noWrap/>
            <w:vAlign w:val="center"/>
          </w:tcPr>
          <w:p w14:paraId="6C0C023C">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76.0</w:t>
            </w:r>
          </w:p>
        </w:tc>
        <w:tc>
          <w:tcPr>
            <w:tcW w:w="516" w:type="pct"/>
            <w:shd w:val="clear" w:color="auto" w:fill="auto"/>
            <w:noWrap/>
            <w:vAlign w:val="center"/>
          </w:tcPr>
          <w:p w14:paraId="69A89BF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48.7</w:t>
            </w:r>
          </w:p>
        </w:tc>
        <w:tc>
          <w:tcPr>
            <w:tcW w:w="516" w:type="pct"/>
            <w:shd w:val="clear" w:color="auto" w:fill="auto"/>
            <w:noWrap/>
            <w:vAlign w:val="center"/>
          </w:tcPr>
          <w:p w14:paraId="4439E9F6">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58.5</w:t>
            </w:r>
          </w:p>
        </w:tc>
        <w:tc>
          <w:tcPr>
            <w:tcW w:w="516" w:type="pct"/>
            <w:shd w:val="clear" w:color="auto" w:fill="auto"/>
            <w:noWrap/>
            <w:vAlign w:val="center"/>
          </w:tcPr>
          <w:p w14:paraId="190CEBD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48.7</w:t>
            </w:r>
          </w:p>
        </w:tc>
        <w:tc>
          <w:tcPr>
            <w:tcW w:w="516" w:type="pct"/>
            <w:shd w:val="clear" w:color="auto" w:fill="auto"/>
            <w:noWrap/>
            <w:vAlign w:val="center"/>
          </w:tcPr>
          <w:p w14:paraId="08D1FB7E">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58.5</w:t>
            </w:r>
          </w:p>
        </w:tc>
      </w:tr>
      <w:tr w14:paraId="76EA2A5E">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68" w:type="pct"/>
            <w:vMerge w:val="continue"/>
            <w:shd w:val="clear" w:color="auto" w:fill="auto"/>
            <w:noWrap/>
            <w:vAlign w:val="center"/>
          </w:tcPr>
          <w:p w14:paraId="6A5894FB">
            <w:pPr>
              <w:jc w:val="center"/>
              <w:rPr>
                <w:rFonts w:ascii="Times New Roman" w:hAnsi="Times New Roman" w:eastAsia="宋体" w:cs="Times New Roman"/>
                <w:kern w:val="0"/>
                <w:szCs w:val="21"/>
              </w:rPr>
            </w:pPr>
          </w:p>
        </w:tc>
        <w:tc>
          <w:tcPr>
            <w:tcW w:w="621" w:type="pct"/>
            <w:vMerge w:val="restart"/>
            <w:shd w:val="clear" w:color="auto" w:fill="auto"/>
            <w:vAlign w:val="center"/>
          </w:tcPr>
          <w:p w14:paraId="5B9CBFC1">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80km/h</w:t>
            </w:r>
          </w:p>
        </w:tc>
        <w:tc>
          <w:tcPr>
            <w:tcW w:w="510" w:type="pct"/>
            <w:shd w:val="clear" w:color="auto" w:fill="auto"/>
            <w:noWrap/>
            <w:vAlign w:val="center"/>
          </w:tcPr>
          <w:p w14:paraId="3EC296F4">
            <w:pPr>
              <w:widowControl/>
              <w:jc w:val="center"/>
              <w:rPr>
                <w:rFonts w:ascii="Times New Roman" w:hAnsi="Times New Roman" w:eastAsia="宋体" w:cs="Times New Roman"/>
                <w:kern w:val="0"/>
                <w:szCs w:val="21"/>
              </w:rPr>
            </w:pPr>
            <w:r>
              <w:rPr>
                <w:rFonts w:ascii="Times New Roman" w:hAnsi="宋体" w:eastAsia="宋体" w:cs="Times New Roman"/>
                <w:kern w:val="0"/>
                <w:szCs w:val="21"/>
              </w:rPr>
              <w:t>近期</w:t>
            </w:r>
          </w:p>
        </w:tc>
        <w:tc>
          <w:tcPr>
            <w:tcW w:w="516" w:type="pct"/>
            <w:shd w:val="clear" w:color="auto" w:fill="auto"/>
            <w:noWrap/>
            <w:vAlign w:val="center"/>
          </w:tcPr>
          <w:p w14:paraId="26A27467">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76.0</w:t>
            </w:r>
          </w:p>
        </w:tc>
        <w:tc>
          <w:tcPr>
            <w:tcW w:w="516" w:type="pct"/>
            <w:shd w:val="clear" w:color="auto" w:fill="auto"/>
            <w:noWrap/>
            <w:vAlign w:val="center"/>
          </w:tcPr>
          <w:p w14:paraId="79DCAF50">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76.0</w:t>
            </w:r>
          </w:p>
        </w:tc>
        <w:tc>
          <w:tcPr>
            <w:tcW w:w="516" w:type="pct"/>
            <w:shd w:val="clear" w:color="auto" w:fill="auto"/>
            <w:noWrap/>
            <w:vAlign w:val="center"/>
          </w:tcPr>
          <w:p w14:paraId="113654CF">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58.5</w:t>
            </w:r>
          </w:p>
        </w:tc>
        <w:tc>
          <w:tcPr>
            <w:tcW w:w="516" w:type="pct"/>
            <w:shd w:val="clear" w:color="auto" w:fill="auto"/>
            <w:noWrap/>
            <w:vAlign w:val="center"/>
          </w:tcPr>
          <w:p w14:paraId="08E262F2">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58.5</w:t>
            </w:r>
          </w:p>
        </w:tc>
        <w:tc>
          <w:tcPr>
            <w:tcW w:w="516" w:type="pct"/>
            <w:shd w:val="clear" w:color="auto" w:fill="auto"/>
            <w:noWrap/>
            <w:vAlign w:val="center"/>
          </w:tcPr>
          <w:p w14:paraId="2FE46F0C">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58.5</w:t>
            </w:r>
          </w:p>
        </w:tc>
        <w:tc>
          <w:tcPr>
            <w:tcW w:w="516" w:type="pct"/>
            <w:shd w:val="clear" w:color="auto" w:fill="auto"/>
            <w:noWrap/>
            <w:vAlign w:val="center"/>
          </w:tcPr>
          <w:p w14:paraId="395CE86F">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58.5</w:t>
            </w:r>
          </w:p>
        </w:tc>
      </w:tr>
      <w:tr w14:paraId="712A5C16">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68" w:type="pct"/>
            <w:vMerge w:val="continue"/>
            <w:vAlign w:val="center"/>
          </w:tcPr>
          <w:p w14:paraId="2671598B">
            <w:pPr>
              <w:jc w:val="center"/>
              <w:rPr>
                <w:rFonts w:ascii="Times New Roman" w:hAnsi="Times New Roman" w:eastAsia="宋体" w:cs="Times New Roman"/>
                <w:kern w:val="0"/>
                <w:szCs w:val="21"/>
              </w:rPr>
            </w:pPr>
          </w:p>
        </w:tc>
        <w:tc>
          <w:tcPr>
            <w:tcW w:w="621" w:type="pct"/>
            <w:vMerge w:val="continue"/>
            <w:vAlign w:val="center"/>
          </w:tcPr>
          <w:p w14:paraId="1AD8D6AC">
            <w:pPr>
              <w:jc w:val="center"/>
              <w:rPr>
                <w:rFonts w:ascii="Times New Roman" w:hAnsi="Times New Roman" w:eastAsia="宋体" w:cs="Times New Roman"/>
                <w:kern w:val="0"/>
                <w:szCs w:val="21"/>
              </w:rPr>
            </w:pPr>
          </w:p>
        </w:tc>
        <w:tc>
          <w:tcPr>
            <w:tcW w:w="510" w:type="pct"/>
            <w:shd w:val="clear" w:color="auto" w:fill="auto"/>
            <w:noWrap/>
            <w:vAlign w:val="center"/>
          </w:tcPr>
          <w:p w14:paraId="3D3D247B">
            <w:pPr>
              <w:widowControl/>
              <w:jc w:val="center"/>
              <w:rPr>
                <w:rFonts w:ascii="Times New Roman" w:hAnsi="Times New Roman" w:eastAsia="宋体" w:cs="Times New Roman"/>
                <w:kern w:val="0"/>
                <w:szCs w:val="21"/>
              </w:rPr>
            </w:pPr>
            <w:r>
              <w:rPr>
                <w:rFonts w:ascii="Times New Roman" w:hAnsi="宋体" w:eastAsia="宋体" w:cs="Times New Roman"/>
                <w:kern w:val="0"/>
                <w:szCs w:val="21"/>
              </w:rPr>
              <w:t>中期</w:t>
            </w:r>
          </w:p>
        </w:tc>
        <w:tc>
          <w:tcPr>
            <w:tcW w:w="516" w:type="pct"/>
            <w:shd w:val="clear" w:color="auto" w:fill="auto"/>
            <w:noWrap/>
            <w:vAlign w:val="center"/>
          </w:tcPr>
          <w:p w14:paraId="57CCE3CA">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76.0</w:t>
            </w:r>
          </w:p>
        </w:tc>
        <w:tc>
          <w:tcPr>
            <w:tcW w:w="516" w:type="pct"/>
            <w:shd w:val="clear" w:color="auto" w:fill="auto"/>
            <w:noWrap/>
            <w:vAlign w:val="center"/>
          </w:tcPr>
          <w:p w14:paraId="2CCEF779">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76.0</w:t>
            </w:r>
          </w:p>
        </w:tc>
        <w:tc>
          <w:tcPr>
            <w:tcW w:w="516" w:type="pct"/>
            <w:shd w:val="clear" w:color="auto" w:fill="auto"/>
            <w:noWrap/>
            <w:vAlign w:val="center"/>
          </w:tcPr>
          <w:p w14:paraId="13A53A39">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58.5</w:t>
            </w:r>
          </w:p>
        </w:tc>
        <w:tc>
          <w:tcPr>
            <w:tcW w:w="516" w:type="pct"/>
            <w:shd w:val="clear" w:color="auto" w:fill="auto"/>
            <w:noWrap/>
            <w:vAlign w:val="center"/>
          </w:tcPr>
          <w:p w14:paraId="5E0E2079">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58.5</w:t>
            </w:r>
          </w:p>
        </w:tc>
        <w:tc>
          <w:tcPr>
            <w:tcW w:w="516" w:type="pct"/>
            <w:shd w:val="clear" w:color="auto" w:fill="auto"/>
            <w:noWrap/>
            <w:vAlign w:val="center"/>
          </w:tcPr>
          <w:p w14:paraId="31184FAB">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58.5</w:t>
            </w:r>
          </w:p>
        </w:tc>
        <w:tc>
          <w:tcPr>
            <w:tcW w:w="516" w:type="pct"/>
            <w:shd w:val="clear" w:color="auto" w:fill="auto"/>
            <w:noWrap/>
            <w:vAlign w:val="center"/>
          </w:tcPr>
          <w:p w14:paraId="0929D378">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58.5</w:t>
            </w:r>
          </w:p>
        </w:tc>
      </w:tr>
      <w:tr w14:paraId="58671AB8">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68" w:type="pct"/>
            <w:vMerge w:val="continue"/>
            <w:vAlign w:val="center"/>
          </w:tcPr>
          <w:p w14:paraId="60DEB28C">
            <w:pPr>
              <w:jc w:val="center"/>
              <w:rPr>
                <w:rFonts w:ascii="Times New Roman" w:hAnsi="Times New Roman" w:eastAsia="宋体" w:cs="Times New Roman"/>
                <w:kern w:val="0"/>
                <w:szCs w:val="21"/>
              </w:rPr>
            </w:pPr>
          </w:p>
        </w:tc>
        <w:tc>
          <w:tcPr>
            <w:tcW w:w="621" w:type="pct"/>
            <w:vMerge w:val="continue"/>
            <w:vAlign w:val="center"/>
          </w:tcPr>
          <w:p w14:paraId="03EC0C40">
            <w:pPr>
              <w:jc w:val="center"/>
              <w:rPr>
                <w:rFonts w:ascii="Times New Roman" w:hAnsi="Times New Roman" w:eastAsia="宋体" w:cs="Times New Roman"/>
                <w:kern w:val="0"/>
                <w:szCs w:val="21"/>
              </w:rPr>
            </w:pPr>
          </w:p>
        </w:tc>
        <w:tc>
          <w:tcPr>
            <w:tcW w:w="510" w:type="pct"/>
            <w:shd w:val="clear" w:color="auto" w:fill="auto"/>
            <w:noWrap/>
            <w:vAlign w:val="center"/>
          </w:tcPr>
          <w:p w14:paraId="61ABAEE7">
            <w:pPr>
              <w:widowControl/>
              <w:jc w:val="center"/>
              <w:rPr>
                <w:rFonts w:ascii="Times New Roman" w:hAnsi="Times New Roman" w:eastAsia="宋体" w:cs="Times New Roman"/>
                <w:kern w:val="0"/>
                <w:szCs w:val="21"/>
              </w:rPr>
            </w:pPr>
            <w:r>
              <w:rPr>
                <w:rFonts w:ascii="Times New Roman" w:hAnsi="宋体" w:eastAsia="宋体" w:cs="Times New Roman"/>
                <w:kern w:val="0"/>
                <w:szCs w:val="21"/>
              </w:rPr>
              <w:t>远期</w:t>
            </w:r>
          </w:p>
        </w:tc>
        <w:tc>
          <w:tcPr>
            <w:tcW w:w="516" w:type="pct"/>
            <w:shd w:val="clear" w:color="auto" w:fill="auto"/>
            <w:noWrap/>
            <w:vAlign w:val="center"/>
          </w:tcPr>
          <w:p w14:paraId="79C9216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66.0</w:t>
            </w:r>
          </w:p>
        </w:tc>
        <w:tc>
          <w:tcPr>
            <w:tcW w:w="516" w:type="pct"/>
            <w:shd w:val="clear" w:color="auto" w:fill="auto"/>
            <w:noWrap/>
            <w:vAlign w:val="center"/>
          </w:tcPr>
          <w:p w14:paraId="4CC2CF85">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76.0</w:t>
            </w:r>
          </w:p>
        </w:tc>
        <w:tc>
          <w:tcPr>
            <w:tcW w:w="516" w:type="pct"/>
            <w:shd w:val="clear" w:color="auto" w:fill="auto"/>
            <w:noWrap/>
            <w:vAlign w:val="center"/>
          </w:tcPr>
          <w:p w14:paraId="0D1C914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48.7</w:t>
            </w:r>
          </w:p>
        </w:tc>
        <w:tc>
          <w:tcPr>
            <w:tcW w:w="516" w:type="pct"/>
            <w:shd w:val="clear" w:color="auto" w:fill="auto"/>
            <w:noWrap/>
            <w:vAlign w:val="center"/>
          </w:tcPr>
          <w:p w14:paraId="3C68A5E9">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58.5</w:t>
            </w:r>
          </w:p>
        </w:tc>
        <w:tc>
          <w:tcPr>
            <w:tcW w:w="516" w:type="pct"/>
            <w:shd w:val="clear" w:color="auto" w:fill="auto"/>
            <w:noWrap/>
            <w:vAlign w:val="center"/>
          </w:tcPr>
          <w:p w14:paraId="080948D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48.7</w:t>
            </w:r>
          </w:p>
        </w:tc>
        <w:tc>
          <w:tcPr>
            <w:tcW w:w="516" w:type="pct"/>
            <w:shd w:val="clear" w:color="auto" w:fill="auto"/>
            <w:noWrap/>
            <w:vAlign w:val="center"/>
          </w:tcPr>
          <w:p w14:paraId="20EA59E9">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58.5</w:t>
            </w:r>
          </w:p>
        </w:tc>
      </w:tr>
      <w:tr w14:paraId="04562650">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68" w:type="pct"/>
            <w:vMerge w:val="continue"/>
            <w:shd w:val="clear" w:color="auto" w:fill="auto"/>
            <w:noWrap/>
            <w:vAlign w:val="center"/>
          </w:tcPr>
          <w:p w14:paraId="52E14001">
            <w:pPr>
              <w:widowControl/>
              <w:jc w:val="center"/>
              <w:rPr>
                <w:rFonts w:ascii="Times New Roman" w:hAnsi="Times New Roman" w:eastAsia="宋体" w:cs="Times New Roman"/>
                <w:kern w:val="0"/>
                <w:szCs w:val="21"/>
              </w:rPr>
            </w:pPr>
          </w:p>
        </w:tc>
        <w:tc>
          <w:tcPr>
            <w:tcW w:w="621" w:type="pct"/>
            <w:vMerge w:val="restart"/>
            <w:shd w:val="clear" w:color="auto" w:fill="auto"/>
            <w:vAlign w:val="center"/>
          </w:tcPr>
          <w:p w14:paraId="2A3159B8">
            <w:pPr>
              <w:widowControl/>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60km/h</w:t>
            </w:r>
          </w:p>
        </w:tc>
        <w:tc>
          <w:tcPr>
            <w:tcW w:w="510" w:type="pct"/>
            <w:shd w:val="clear" w:color="auto" w:fill="auto"/>
            <w:noWrap/>
            <w:vAlign w:val="center"/>
          </w:tcPr>
          <w:p w14:paraId="3355C7CF">
            <w:pPr>
              <w:widowControl/>
              <w:jc w:val="center"/>
              <w:rPr>
                <w:rFonts w:ascii="Times New Roman" w:hAnsi="Times New Roman" w:eastAsia="宋体" w:cs="Times New Roman"/>
                <w:kern w:val="0"/>
                <w:szCs w:val="21"/>
              </w:rPr>
            </w:pPr>
            <w:r>
              <w:rPr>
                <w:rFonts w:ascii="Times New Roman" w:hAnsi="宋体" w:eastAsia="宋体" w:cs="Times New Roman"/>
                <w:kern w:val="0"/>
                <w:szCs w:val="21"/>
              </w:rPr>
              <w:t>近期</w:t>
            </w:r>
          </w:p>
        </w:tc>
        <w:tc>
          <w:tcPr>
            <w:tcW w:w="516" w:type="pct"/>
            <w:shd w:val="clear" w:color="auto" w:fill="auto"/>
            <w:noWrap/>
            <w:vAlign w:val="center"/>
          </w:tcPr>
          <w:p w14:paraId="6423D8C9">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57.0</w:t>
            </w:r>
          </w:p>
        </w:tc>
        <w:tc>
          <w:tcPr>
            <w:tcW w:w="516" w:type="pct"/>
            <w:shd w:val="clear" w:color="auto" w:fill="auto"/>
            <w:noWrap/>
            <w:vAlign w:val="center"/>
          </w:tcPr>
          <w:p w14:paraId="514E1DEA">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57.0</w:t>
            </w:r>
          </w:p>
        </w:tc>
        <w:tc>
          <w:tcPr>
            <w:tcW w:w="516" w:type="pct"/>
            <w:shd w:val="clear" w:color="auto" w:fill="auto"/>
            <w:noWrap/>
            <w:vAlign w:val="center"/>
          </w:tcPr>
          <w:p w14:paraId="4169DA0B">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45.0</w:t>
            </w:r>
          </w:p>
        </w:tc>
        <w:tc>
          <w:tcPr>
            <w:tcW w:w="516" w:type="pct"/>
            <w:shd w:val="clear" w:color="auto" w:fill="auto"/>
            <w:noWrap/>
            <w:vAlign w:val="center"/>
          </w:tcPr>
          <w:p w14:paraId="36162E02">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45.0</w:t>
            </w:r>
          </w:p>
        </w:tc>
        <w:tc>
          <w:tcPr>
            <w:tcW w:w="516" w:type="pct"/>
            <w:shd w:val="clear" w:color="auto" w:fill="auto"/>
            <w:noWrap/>
            <w:vAlign w:val="center"/>
          </w:tcPr>
          <w:p w14:paraId="024085AD">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45.0</w:t>
            </w:r>
          </w:p>
        </w:tc>
        <w:tc>
          <w:tcPr>
            <w:tcW w:w="516" w:type="pct"/>
            <w:shd w:val="clear" w:color="auto" w:fill="auto"/>
            <w:noWrap/>
            <w:vAlign w:val="center"/>
          </w:tcPr>
          <w:p w14:paraId="35D4E2DB">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45.0</w:t>
            </w:r>
          </w:p>
        </w:tc>
      </w:tr>
      <w:tr w14:paraId="11514D62">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68" w:type="pct"/>
            <w:vMerge w:val="continue"/>
            <w:vAlign w:val="center"/>
          </w:tcPr>
          <w:p w14:paraId="4C893842">
            <w:pPr>
              <w:widowControl/>
              <w:jc w:val="center"/>
              <w:rPr>
                <w:rFonts w:ascii="Times New Roman" w:hAnsi="Times New Roman" w:eastAsia="宋体" w:cs="Times New Roman"/>
                <w:kern w:val="0"/>
                <w:szCs w:val="21"/>
              </w:rPr>
            </w:pPr>
          </w:p>
        </w:tc>
        <w:tc>
          <w:tcPr>
            <w:tcW w:w="621" w:type="pct"/>
            <w:vMerge w:val="continue"/>
            <w:vAlign w:val="center"/>
          </w:tcPr>
          <w:p w14:paraId="6C9FCA79">
            <w:pPr>
              <w:widowControl/>
              <w:jc w:val="center"/>
              <w:rPr>
                <w:rFonts w:ascii="Times New Roman" w:hAnsi="Times New Roman" w:eastAsia="宋体" w:cs="Times New Roman"/>
                <w:kern w:val="0"/>
                <w:szCs w:val="21"/>
              </w:rPr>
            </w:pPr>
          </w:p>
        </w:tc>
        <w:tc>
          <w:tcPr>
            <w:tcW w:w="510" w:type="pct"/>
            <w:shd w:val="clear" w:color="auto" w:fill="auto"/>
            <w:noWrap/>
            <w:vAlign w:val="center"/>
          </w:tcPr>
          <w:p w14:paraId="7F1B9431">
            <w:pPr>
              <w:widowControl/>
              <w:jc w:val="center"/>
              <w:rPr>
                <w:rFonts w:ascii="Times New Roman" w:hAnsi="Times New Roman" w:eastAsia="宋体" w:cs="Times New Roman"/>
                <w:kern w:val="0"/>
                <w:szCs w:val="21"/>
              </w:rPr>
            </w:pPr>
            <w:r>
              <w:rPr>
                <w:rFonts w:ascii="Times New Roman" w:hAnsi="宋体" w:eastAsia="宋体" w:cs="Times New Roman"/>
                <w:kern w:val="0"/>
                <w:szCs w:val="21"/>
              </w:rPr>
              <w:t>中期</w:t>
            </w:r>
          </w:p>
        </w:tc>
        <w:tc>
          <w:tcPr>
            <w:tcW w:w="516" w:type="pct"/>
            <w:shd w:val="clear" w:color="auto" w:fill="auto"/>
            <w:noWrap/>
            <w:vAlign w:val="center"/>
          </w:tcPr>
          <w:p w14:paraId="07AF390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66.4</w:t>
            </w:r>
          </w:p>
        </w:tc>
        <w:tc>
          <w:tcPr>
            <w:tcW w:w="516" w:type="pct"/>
            <w:shd w:val="clear" w:color="auto" w:fill="auto"/>
            <w:noWrap/>
            <w:vAlign w:val="center"/>
          </w:tcPr>
          <w:p w14:paraId="37BEF925">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57.0</w:t>
            </w:r>
          </w:p>
        </w:tc>
        <w:tc>
          <w:tcPr>
            <w:tcW w:w="516" w:type="pct"/>
            <w:shd w:val="clear" w:color="auto" w:fill="auto"/>
            <w:noWrap/>
            <w:vAlign w:val="center"/>
          </w:tcPr>
          <w:p w14:paraId="4318201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48.4</w:t>
            </w:r>
          </w:p>
        </w:tc>
        <w:tc>
          <w:tcPr>
            <w:tcW w:w="516" w:type="pct"/>
            <w:shd w:val="clear" w:color="auto" w:fill="auto"/>
            <w:noWrap/>
            <w:vAlign w:val="center"/>
          </w:tcPr>
          <w:p w14:paraId="1EADA6FA">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45.0</w:t>
            </w:r>
          </w:p>
        </w:tc>
        <w:tc>
          <w:tcPr>
            <w:tcW w:w="516" w:type="pct"/>
            <w:shd w:val="clear" w:color="auto" w:fill="auto"/>
            <w:noWrap/>
            <w:vAlign w:val="center"/>
          </w:tcPr>
          <w:p w14:paraId="241E9DB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48.5</w:t>
            </w:r>
          </w:p>
        </w:tc>
        <w:tc>
          <w:tcPr>
            <w:tcW w:w="516" w:type="pct"/>
            <w:shd w:val="clear" w:color="auto" w:fill="auto"/>
            <w:noWrap/>
            <w:vAlign w:val="center"/>
          </w:tcPr>
          <w:p w14:paraId="2149044B">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45.0</w:t>
            </w:r>
          </w:p>
        </w:tc>
      </w:tr>
      <w:tr w14:paraId="03E64F89">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68" w:type="pct"/>
            <w:vMerge w:val="continue"/>
            <w:vAlign w:val="center"/>
          </w:tcPr>
          <w:p w14:paraId="3AA3A8FF">
            <w:pPr>
              <w:widowControl/>
              <w:jc w:val="center"/>
              <w:rPr>
                <w:rFonts w:ascii="Times New Roman" w:hAnsi="Times New Roman" w:eastAsia="宋体" w:cs="Times New Roman"/>
                <w:kern w:val="0"/>
                <w:szCs w:val="21"/>
              </w:rPr>
            </w:pPr>
          </w:p>
        </w:tc>
        <w:tc>
          <w:tcPr>
            <w:tcW w:w="621" w:type="pct"/>
            <w:vMerge w:val="continue"/>
            <w:vAlign w:val="center"/>
          </w:tcPr>
          <w:p w14:paraId="78A0E8D0">
            <w:pPr>
              <w:widowControl/>
              <w:jc w:val="center"/>
              <w:rPr>
                <w:rFonts w:ascii="Times New Roman" w:hAnsi="Times New Roman" w:eastAsia="宋体" w:cs="Times New Roman"/>
                <w:kern w:val="0"/>
                <w:szCs w:val="21"/>
              </w:rPr>
            </w:pPr>
          </w:p>
        </w:tc>
        <w:tc>
          <w:tcPr>
            <w:tcW w:w="510" w:type="pct"/>
            <w:shd w:val="clear" w:color="auto" w:fill="auto"/>
            <w:noWrap/>
            <w:vAlign w:val="center"/>
          </w:tcPr>
          <w:p w14:paraId="399BE434">
            <w:pPr>
              <w:widowControl/>
              <w:jc w:val="center"/>
              <w:rPr>
                <w:rFonts w:ascii="Times New Roman" w:hAnsi="Times New Roman" w:eastAsia="宋体" w:cs="Times New Roman"/>
                <w:kern w:val="0"/>
                <w:szCs w:val="21"/>
              </w:rPr>
            </w:pPr>
            <w:r>
              <w:rPr>
                <w:rFonts w:ascii="Times New Roman" w:hAnsi="宋体" w:eastAsia="宋体" w:cs="Times New Roman"/>
                <w:kern w:val="0"/>
                <w:szCs w:val="21"/>
              </w:rPr>
              <w:t>远期</w:t>
            </w:r>
          </w:p>
        </w:tc>
        <w:tc>
          <w:tcPr>
            <w:tcW w:w="516" w:type="pct"/>
            <w:shd w:val="clear" w:color="auto" w:fill="auto"/>
            <w:noWrap/>
            <w:vAlign w:val="center"/>
          </w:tcPr>
          <w:p w14:paraId="656910D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66.0</w:t>
            </w:r>
          </w:p>
        </w:tc>
        <w:tc>
          <w:tcPr>
            <w:tcW w:w="516" w:type="pct"/>
            <w:shd w:val="clear" w:color="auto" w:fill="auto"/>
            <w:noWrap/>
            <w:vAlign w:val="center"/>
          </w:tcPr>
          <w:p w14:paraId="3F77971B">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57.0</w:t>
            </w:r>
          </w:p>
        </w:tc>
        <w:tc>
          <w:tcPr>
            <w:tcW w:w="516" w:type="pct"/>
            <w:shd w:val="clear" w:color="auto" w:fill="auto"/>
            <w:noWrap/>
            <w:vAlign w:val="center"/>
          </w:tcPr>
          <w:p w14:paraId="3A8442F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48.7</w:t>
            </w:r>
          </w:p>
        </w:tc>
        <w:tc>
          <w:tcPr>
            <w:tcW w:w="516" w:type="pct"/>
            <w:shd w:val="clear" w:color="auto" w:fill="auto"/>
            <w:noWrap/>
            <w:vAlign w:val="center"/>
          </w:tcPr>
          <w:p w14:paraId="754DCEAD">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45.0</w:t>
            </w:r>
          </w:p>
        </w:tc>
        <w:tc>
          <w:tcPr>
            <w:tcW w:w="516" w:type="pct"/>
            <w:shd w:val="clear" w:color="auto" w:fill="auto"/>
            <w:noWrap/>
            <w:vAlign w:val="center"/>
          </w:tcPr>
          <w:p w14:paraId="468B26F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48.7</w:t>
            </w:r>
          </w:p>
        </w:tc>
        <w:tc>
          <w:tcPr>
            <w:tcW w:w="516" w:type="pct"/>
            <w:shd w:val="clear" w:color="auto" w:fill="auto"/>
            <w:noWrap/>
            <w:vAlign w:val="center"/>
          </w:tcPr>
          <w:p w14:paraId="70B50324">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45.0</w:t>
            </w:r>
          </w:p>
        </w:tc>
      </w:tr>
      <w:tr w14:paraId="753E2A74">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390" w:type="pct"/>
            <w:gridSpan w:val="2"/>
            <w:vMerge w:val="restart"/>
            <w:shd w:val="clear" w:color="auto" w:fill="auto"/>
            <w:noWrap/>
            <w:vAlign w:val="center"/>
          </w:tcPr>
          <w:p w14:paraId="0219709D">
            <w:pPr>
              <w:widowControl/>
              <w:jc w:val="center"/>
              <w:rPr>
                <w:rFonts w:ascii="Times New Roman" w:hAnsi="Times New Roman" w:eastAsia="宋体" w:cs="Times New Roman"/>
                <w:kern w:val="0"/>
                <w:szCs w:val="21"/>
              </w:rPr>
            </w:pPr>
            <w:r>
              <w:rPr>
                <w:rFonts w:ascii="Times New Roman" w:hAnsi="宋体" w:eastAsia="宋体" w:cs="Times New Roman"/>
                <w:kern w:val="0"/>
                <w:szCs w:val="21"/>
              </w:rPr>
              <w:t>胜利路～</w:t>
            </w:r>
            <w:r>
              <w:rPr>
                <w:rFonts w:ascii="Times New Roman" w:hAnsi="Times New Roman" w:eastAsia="宋体" w:cs="Times New Roman"/>
                <w:kern w:val="0"/>
                <w:szCs w:val="21"/>
              </w:rPr>
              <w:t>S311</w:t>
            </w:r>
          </w:p>
        </w:tc>
        <w:tc>
          <w:tcPr>
            <w:tcW w:w="510" w:type="pct"/>
            <w:shd w:val="clear" w:color="auto" w:fill="auto"/>
            <w:noWrap/>
            <w:vAlign w:val="center"/>
          </w:tcPr>
          <w:p w14:paraId="318ABE1B">
            <w:pPr>
              <w:widowControl/>
              <w:jc w:val="center"/>
              <w:rPr>
                <w:rFonts w:ascii="Times New Roman" w:hAnsi="Times New Roman" w:eastAsia="宋体" w:cs="Times New Roman"/>
                <w:kern w:val="0"/>
                <w:szCs w:val="21"/>
              </w:rPr>
            </w:pPr>
            <w:r>
              <w:rPr>
                <w:rFonts w:ascii="Times New Roman" w:hAnsi="宋体" w:eastAsia="宋体" w:cs="Times New Roman"/>
                <w:kern w:val="0"/>
                <w:szCs w:val="21"/>
              </w:rPr>
              <w:t>近期</w:t>
            </w:r>
          </w:p>
        </w:tc>
        <w:tc>
          <w:tcPr>
            <w:tcW w:w="516" w:type="pct"/>
            <w:shd w:val="clear" w:color="auto" w:fill="auto"/>
            <w:noWrap/>
            <w:vAlign w:val="center"/>
          </w:tcPr>
          <w:p w14:paraId="743712D6">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76.0</w:t>
            </w:r>
          </w:p>
        </w:tc>
        <w:tc>
          <w:tcPr>
            <w:tcW w:w="516" w:type="pct"/>
            <w:shd w:val="clear" w:color="auto" w:fill="auto"/>
            <w:noWrap/>
            <w:vAlign w:val="center"/>
          </w:tcPr>
          <w:p w14:paraId="10B81F97">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76.0</w:t>
            </w:r>
          </w:p>
        </w:tc>
        <w:tc>
          <w:tcPr>
            <w:tcW w:w="516" w:type="pct"/>
            <w:shd w:val="clear" w:color="auto" w:fill="auto"/>
            <w:noWrap/>
            <w:vAlign w:val="center"/>
          </w:tcPr>
          <w:p w14:paraId="470A0DED">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58.5</w:t>
            </w:r>
          </w:p>
        </w:tc>
        <w:tc>
          <w:tcPr>
            <w:tcW w:w="516" w:type="pct"/>
            <w:shd w:val="clear" w:color="auto" w:fill="auto"/>
            <w:noWrap/>
            <w:vAlign w:val="center"/>
          </w:tcPr>
          <w:p w14:paraId="60F06937">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58.5</w:t>
            </w:r>
          </w:p>
        </w:tc>
        <w:tc>
          <w:tcPr>
            <w:tcW w:w="516" w:type="pct"/>
            <w:shd w:val="clear" w:color="auto" w:fill="auto"/>
            <w:noWrap/>
            <w:vAlign w:val="center"/>
          </w:tcPr>
          <w:p w14:paraId="4AD502F6">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58.5</w:t>
            </w:r>
          </w:p>
        </w:tc>
        <w:tc>
          <w:tcPr>
            <w:tcW w:w="516" w:type="pct"/>
            <w:shd w:val="clear" w:color="auto" w:fill="auto"/>
            <w:noWrap/>
            <w:vAlign w:val="center"/>
          </w:tcPr>
          <w:p w14:paraId="25D06890">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58.5</w:t>
            </w:r>
          </w:p>
        </w:tc>
      </w:tr>
      <w:tr w14:paraId="6658E8C5">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390" w:type="pct"/>
            <w:gridSpan w:val="2"/>
            <w:vMerge w:val="continue"/>
            <w:vAlign w:val="center"/>
          </w:tcPr>
          <w:p w14:paraId="5F0C3118">
            <w:pPr>
              <w:widowControl/>
              <w:jc w:val="center"/>
              <w:rPr>
                <w:rFonts w:ascii="Times New Roman" w:hAnsi="Times New Roman" w:eastAsia="宋体" w:cs="Times New Roman"/>
                <w:kern w:val="0"/>
                <w:szCs w:val="21"/>
              </w:rPr>
            </w:pPr>
          </w:p>
        </w:tc>
        <w:tc>
          <w:tcPr>
            <w:tcW w:w="510" w:type="pct"/>
            <w:shd w:val="clear" w:color="auto" w:fill="auto"/>
            <w:noWrap/>
            <w:vAlign w:val="center"/>
          </w:tcPr>
          <w:p w14:paraId="3AF1BDF5">
            <w:pPr>
              <w:widowControl/>
              <w:jc w:val="center"/>
              <w:rPr>
                <w:rFonts w:ascii="Times New Roman" w:hAnsi="Times New Roman" w:eastAsia="宋体" w:cs="Times New Roman"/>
                <w:kern w:val="0"/>
                <w:szCs w:val="21"/>
              </w:rPr>
            </w:pPr>
            <w:r>
              <w:rPr>
                <w:rFonts w:ascii="Times New Roman" w:hAnsi="宋体" w:eastAsia="宋体" w:cs="Times New Roman"/>
                <w:kern w:val="0"/>
                <w:szCs w:val="21"/>
              </w:rPr>
              <w:t>中期</w:t>
            </w:r>
          </w:p>
        </w:tc>
        <w:tc>
          <w:tcPr>
            <w:tcW w:w="516" w:type="pct"/>
            <w:shd w:val="clear" w:color="auto" w:fill="auto"/>
            <w:noWrap/>
            <w:vAlign w:val="center"/>
          </w:tcPr>
          <w:p w14:paraId="3FCDF6B7">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76.0</w:t>
            </w:r>
          </w:p>
        </w:tc>
        <w:tc>
          <w:tcPr>
            <w:tcW w:w="516" w:type="pct"/>
            <w:shd w:val="clear" w:color="auto" w:fill="auto"/>
            <w:noWrap/>
            <w:vAlign w:val="center"/>
          </w:tcPr>
          <w:p w14:paraId="1ACD1156">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76.0</w:t>
            </w:r>
          </w:p>
        </w:tc>
        <w:tc>
          <w:tcPr>
            <w:tcW w:w="516" w:type="pct"/>
            <w:shd w:val="clear" w:color="auto" w:fill="auto"/>
            <w:noWrap/>
            <w:vAlign w:val="center"/>
          </w:tcPr>
          <w:p w14:paraId="074314C4">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58.5</w:t>
            </w:r>
          </w:p>
        </w:tc>
        <w:tc>
          <w:tcPr>
            <w:tcW w:w="516" w:type="pct"/>
            <w:shd w:val="clear" w:color="auto" w:fill="auto"/>
            <w:noWrap/>
            <w:vAlign w:val="center"/>
          </w:tcPr>
          <w:p w14:paraId="1CB9F5A9">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58.5</w:t>
            </w:r>
          </w:p>
        </w:tc>
        <w:tc>
          <w:tcPr>
            <w:tcW w:w="516" w:type="pct"/>
            <w:shd w:val="clear" w:color="auto" w:fill="auto"/>
            <w:noWrap/>
            <w:vAlign w:val="center"/>
          </w:tcPr>
          <w:p w14:paraId="1EF2F7AA">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58.5</w:t>
            </w:r>
          </w:p>
        </w:tc>
        <w:tc>
          <w:tcPr>
            <w:tcW w:w="516" w:type="pct"/>
            <w:shd w:val="clear" w:color="auto" w:fill="auto"/>
            <w:noWrap/>
            <w:vAlign w:val="center"/>
          </w:tcPr>
          <w:p w14:paraId="6C3B4977">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58.5</w:t>
            </w:r>
          </w:p>
        </w:tc>
      </w:tr>
      <w:tr w14:paraId="62B53354">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390" w:type="pct"/>
            <w:gridSpan w:val="2"/>
            <w:vMerge w:val="continue"/>
            <w:vAlign w:val="center"/>
          </w:tcPr>
          <w:p w14:paraId="181240E5">
            <w:pPr>
              <w:widowControl/>
              <w:jc w:val="center"/>
              <w:rPr>
                <w:rFonts w:ascii="Times New Roman" w:hAnsi="Times New Roman" w:eastAsia="宋体" w:cs="Times New Roman"/>
                <w:kern w:val="0"/>
                <w:szCs w:val="21"/>
              </w:rPr>
            </w:pPr>
          </w:p>
        </w:tc>
        <w:tc>
          <w:tcPr>
            <w:tcW w:w="510" w:type="pct"/>
            <w:shd w:val="clear" w:color="auto" w:fill="auto"/>
            <w:noWrap/>
            <w:vAlign w:val="center"/>
          </w:tcPr>
          <w:p w14:paraId="61B99981">
            <w:pPr>
              <w:widowControl/>
              <w:jc w:val="center"/>
              <w:rPr>
                <w:rFonts w:ascii="Times New Roman" w:hAnsi="Times New Roman" w:eastAsia="宋体" w:cs="Times New Roman"/>
                <w:kern w:val="0"/>
                <w:szCs w:val="21"/>
              </w:rPr>
            </w:pPr>
            <w:r>
              <w:rPr>
                <w:rFonts w:ascii="Times New Roman" w:hAnsi="宋体" w:eastAsia="宋体" w:cs="Times New Roman"/>
                <w:kern w:val="0"/>
                <w:szCs w:val="21"/>
              </w:rPr>
              <w:t>远期</w:t>
            </w:r>
          </w:p>
        </w:tc>
        <w:tc>
          <w:tcPr>
            <w:tcW w:w="516" w:type="pct"/>
            <w:shd w:val="clear" w:color="auto" w:fill="auto"/>
            <w:noWrap/>
            <w:vAlign w:val="center"/>
          </w:tcPr>
          <w:p w14:paraId="73909B1D">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76.0</w:t>
            </w:r>
          </w:p>
        </w:tc>
        <w:tc>
          <w:tcPr>
            <w:tcW w:w="516" w:type="pct"/>
            <w:shd w:val="clear" w:color="auto" w:fill="auto"/>
            <w:noWrap/>
            <w:vAlign w:val="center"/>
          </w:tcPr>
          <w:p w14:paraId="7314F463">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76.0</w:t>
            </w:r>
          </w:p>
        </w:tc>
        <w:tc>
          <w:tcPr>
            <w:tcW w:w="516" w:type="pct"/>
            <w:shd w:val="clear" w:color="auto" w:fill="auto"/>
            <w:noWrap/>
            <w:vAlign w:val="center"/>
          </w:tcPr>
          <w:p w14:paraId="291DE680">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58.5</w:t>
            </w:r>
          </w:p>
        </w:tc>
        <w:tc>
          <w:tcPr>
            <w:tcW w:w="516" w:type="pct"/>
            <w:shd w:val="clear" w:color="auto" w:fill="auto"/>
            <w:noWrap/>
            <w:vAlign w:val="center"/>
          </w:tcPr>
          <w:p w14:paraId="421B8411">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58.5</w:t>
            </w:r>
          </w:p>
        </w:tc>
        <w:tc>
          <w:tcPr>
            <w:tcW w:w="516" w:type="pct"/>
            <w:shd w:val="clear" w:color="auto" w:fill="auto"/>
            <w:noWrap/>
            <w:vAlign w:val="center"/>
          </w:tcPr>
          <w:p w14:paraId="509646F4">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58.5</w:t>
            </w:r>
          </w:p>
        </w:tc>
        <w:tc>
          <w:tcPr>
            <w:tcW w:w="516" w:type="pct"/>
            <w:shd w:val="clear" w:color="auto" w:fill="auto"/>
            <w:noWrap/>
            <w:vAlign w:val="center"/>
          </w:tcPr>
          <w:p w14:paraId="2BB2A271">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58.5</w:t>
            </w:r>
          </w:p>
        </w:tc>
      </w:tr>
      <w:tr w14:paraId="3A9BDE46">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390" w:type="pct"/>
            <w:gridSpan w:val="2"/>
            <w:vMerge w:val="restart"/>
            <w:shd w:val="clear" w:color="auto" w:fill="auto"/>
            <w:noWrap/>
            <w:vAlign w:val="center"/>
          </w:tcPr>
          <w:p w14:paraId="240F808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S311</w:t>
            </w:r>
            <w:r>
              <w:rPr>
                <w:rFonts w:ascii="Times New Roman" w:hAnsi="宋体" w:eastAsia="宋体" w:cs="Times New Roman"/>
                <w:kern w:val="0"/>
                <w:szCs w:val="21"/>
              </w:rPr>
              <w:t>～高速口</w:t>
            </w:r>
          </w:p>
        </w:tc>
        <w:tc>
          <w:tcPr>
            <w:tcW w:w="510" w:type="pct"/>
            <w:shd w:val="clear" w:color="auto" w:fill="auto"/>
            <w:noWrap/>
            <w:vAlign w:val="center"/>
          </w:tcPr>
          <w:p w14:paraId="69753527">
            <w:pPr>
              <w:widowControl/>
              <w:jc w:val="center"/>
              <w:rPr>
                <w:rFonts w:ascii="Times New Roman" w:hAnsi="Times New Roman" w:eastAsia="宋体" w:cs="Times New Roman"/>
                <w:kern w:val="0"/>
                <w:szCs w:val="21"/>
              </w:rPr>
            </w:pPr>
            <w:r>
              <w:rPr>
                <w:rFonts w:ascii="Times New Roman" w:hAnsi="宋体" w:eastAsia="宋体" w:cs="Times New Roman"/>
                <w:kern w:val="0"/>
                <w:szCs w:val="21"/>
              </w:rPr>
              <w:t>近期</w:t>
            </w:r>
          </w:p>
        </w:tc>
        <w:tc>
          <w:tcPr>
            <w:tcW w:w="516" w:type="pct"/>
            <w:shd w:val="clear" w:color="auto" w:fill="auto"/>
            <w:noWrap/>
            <w:vAlign w:val="center"/>
          </w:tcPr>
          <w:p w14:paraId="1E8791AA">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76.0</w:t>
            </w:r>
          </w:p>
        </w:tc>
        <w:tc>
          <w:tcPr>
            <w:tcW w:w="516" w:type="pct"/>
            <w:shd w:val="clear" w:color="auto" w:fill="auto"/>
            <w:noWrap/>
            <w:vAlign w:val="center"/>
          </w:tcPr>
          <w:p w14:paraId="07D76F09">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76.0</w:t>
            </w:r>
          </w:p>
        </w:tc>
        <w:tc>
          <w:tcPr>
            <w:tcW w:w="516" w:type="pct"/>
            <w:shd w:val="clear" w:color="auto" w:fill="auto"/>
            <w:noWrap/>
            <w:vAlign w:val="center"/>
          </w:tcPr>
          <w:p w14:paraId="1B315CC5">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58.5</w:t>
            </w:r>
          </w:p>
        </w:tc>
        <w:tc>
          <w:tcPr>
            <w:tcW w:w="516" w:type="pct"/>
            <w:shd w:val="clear" w:color="auto" w:fill="auto"/>
            <w:noWrap/>
            <w:vAlign w:val="center"/>
          </w:tcPr>
          <w:p w14:paraId="15699EBA">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58.5</w:t>
            </w:r>
          </w:p>
        </w:tc>
        <w:tc>
          <w:tcPr>
            <w:tcW w:w="516" w:type="pct"/>
            <w:shd w:val="clear" w:color="auto" w:fill="auto"/>
            <w:noWrap/>
            <w:vAlign w:val="center"/>
          </w:tcPr>
          <w:p w14:paraId="07C0BC16">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58.5</w:t>
            </w:r>
          </w:p>
        </w:tc>
        <w:tc>
          <w:tcPr>
            <w:tcW w:w="516" w:type="pct"/>
            <w:shd w:val="clear" w:color="auto" w:fill="auto"/>
            <w:noWrap/>
            <w:vAlign w:val="center"/>
          </w:tcPr>
          <w:p w14:paraId="6CC20F85">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58.5</w:t>
            </w:r>
          </w:p>
        </w:tc>
      </w:tr>
      <w:tr w14:paraId="5E6373BB">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390" w:type="pct"/>
            <w:gridSpan w:val="2"/>
            <w:vMerge w:val="continue"/>
            <w:vAlign w:val="center"/>
          </w:tcPr>
          <w:p w14:paraId="2650FAEF">
            <w:pPr>
              <w:widowControl/>
              <w:jc w:val="center"/>
              <w:rPr>
                <w:rFonts w:ascii="Times New Roman" w:hAnsi="Times New Roman" w:eastAsia="宋体" w:cs="Times New Roman"/>
                <w:kern w:val="0"/>
                <w:szCs w:val="21"/>
              </w:rPr>
            </w:pPr>
          </w:p>
        </w:tc>
        <w:tc>
          <w:tcPr>
            <w:tcW w:w="510" w:type="pct"/>
            <w:shd w:val="clear" w:color="auto" w:fill="auto"/>
            <w:noWrap/>
            <w:vAlign w:val="center"/>
          </w:tcPr>
          <w:p w14:paraId="42B46B2E">
            <w:pPr>
              <w:widowControl/>
              <w:jc w:val="center"/>
              <w:rPr>
                <w:rFonts w:ascii="Times New Roman" w:hAnsi="Times New Roman" w:eastAsia="宋体" w:cs="Times New Roman"/>
                <w:kern w:val="0"/>
                <w:szCs w:val="21"/>
              </w:rPr>
            </w:pPr>
            <w:r>
              <w:rPr>
                <w:rFonts w:ascii="Times New Roman" w:hAnsi="宋体" w:eastAsia="宋体" w:cs="Times New Roman"/>
                <w:kern w:val="0"/>
                <w:szCs w:val="21"/>
              </w:rPr>
              <w:t>中期</w:t>
            </w:r>
          </w:p>
        </w:tc>
        <w:tc>
          <w:tcPr>
            <w:tcW w:w="516" w:type="pct"/>
            <w:shd w:val="clear" w:color="auto" w:fill="auto"/>
            <w:noWrap/>
            <w:vAlign w:val="center"/>
          </w:tcPr>
          <w:p w14:paraId="209F0A3B">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76.0</w:t>
            </w:r>
          </w:p>
        </w:tc>
        <w:tc>
          <w:tcPr>
            <w:tcW w:w="516" w:type="pct"/>
            <w:shd w:val="clear" w:color="auto" w:fill="auto"/>
            <w:noWrap/>
            <w:vAlign w:val="center"/>
          </w:tcPr>
          <w:p w14:paraId="0390F5C6">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76.0</w:t>
            </w:r>
          </w:p>
        </w:tc>
        <w:tc>
          <w:tcPr>
            <w:tcW w:w="516" w:type="pct"/>
            <w:shd w:val="clear" w:color="auto" w:fill="auto"/>
            <w:noWrap/>
            <w:vAlign w:val="center"/>
          </w:tcPr>
          <w:p w14:paraId="30A06F78">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58.5</w:t>
            </w:r>
          </w:p>
        </w:tc>
        <w:tc>
          <w:tcPr>
            <w:tcW w:w="516" w:type="pct"/>
            <w:shd w:val="clear" w:color="auto" w:fill="auto"/>
            <w:noWrap/>
            <w:vAlign w:val="center"/>
          </w:tcPr>
          <w:p w14:paraId="755BF75B">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58.5</w:t>
            </w:r>
          </w:p>
        </w:tc>
        <w:tc>
          <w:tcPr>
            <w:tcW w:w="516" w:type="pct"/>
            <w:shd w:val="clear" w:color="auto" w:fill="auto"/>
            <w:noWrap/>
            <w:vAlign w:val="center"/>
          </w:tcPr>
          <w:p w14:paraId="0600BF06">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58.5</w:t>
            </w:r>
          </w:p>
        </w:tc>
        <w:tc>
          <w:tcPr>
            <w:tcW w:w="516" w:type="pct"/>
            <w:shd w:val="clear" w:color="auto" w:fill="auto"/>
            <w:noWrap/>
            <w:vAlign w:val="center"/>
          </w:tcPr>
          <w:p w14:paraId="7EC46C80">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58.5</w:t>
            </w:r>
          </w:p>
        </w:tc>
      </w:tr>
      <w:tr w14:paraId="0C250BC7">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390" w:type="pct"/>
            <w:gridSpan w:val="2"/>
            <w:vMerge w:val="continue"/>
            <w:vAlign w:val="center"/>
          </w:tcPr>
          <w:p w14:paraId="26A5EC97">
            <w:pPr>
              <w:widowControl/>
              <w:jc w:val="center"/>
              <w:rPr>
                <w:rFonts w:ascii="Times New Roman" w:hAnsi="Times New Roman" w:eastAsia="宋体" w:cs="Times New Roman"/>
                <w:kern w:val="0"/>
                <w:szCs w:val="21"/>
              </w:rPr>
            </w:pPr>
          </w:p>
        </w:tc>
        <w:tc>
          <w:tcPr>
            <w:tcW w:w="510" w:type="pct"/>
            <w:shd w:val="clear" w:color="auto" w:fill="auto"/>
            <w:noWrap/>
            <w:vAlign w:val="center"/>
          </w:tcPr>
          <w:p w14:paraId="7EE8BE3A">
            <w:pPr>
              <w:widowControl/>
              <w:jc w:val="center"/>
              <w:rPr>
                <w:rFonts w:ascii="Times New Roman" w:hAnsi="Times New Roman" w:eastAsia="宋体" w:cs="Times New Roman"/>
                <w:kern w:val="0"/>
                <w:szCs w:val="21"/>
              </w:rPr>
            </w:pPr>
            <w:r>
              <w:rPr>
                <w:rFonts w:ascii="Times New Roman" w:hAnsi="宋体" w:eastAsia="宋体" w:cs="Times New Roman"/>
                <w:kern w:val="0"/>
                <w:szCs w:val="21"/>
              </w:rPr>
              <w:t>远期</w:t>
            </w:r>
          </w:p>
        </w:tc>
        <w:tc>
          <w:tcPr>
            <w:tcW w:w="516" w:type="pct"/>
            <w:shd w:val="clear" w:color="auto" w:fill="auto"/>
            <w:noWrap/>
            <w:vAlign w:val="center"/>
          </w:tcPr>
          <w:p w14:paraId="12E454CF">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76.0</w:t>
            </w:r>
          </w:p>
        </w:tc>
        <w:tc>
          <w:tcPr>
            <w:tcW w:w="516" w:type="pct"/>
            <w:shd w:val="clear" w:color="auto" w:fill="auto"/>
            <w:noWrap/>
            <w:vAlign w:val="center"/>
          </w:tcPr>
          <w:p w14:paraId="42F9B204">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76.0</w:t>
            </w:r>
          </w:p>
        </w:tc>
        <w:tc>
          <w:tcPr>
            <w:tcW w:w="516" w:type="pct"/>
            <w:shd w:val="clear" w:color="auto" w:fill="auto"/>
            <w:noWrap/>
            <w:vAlign w:val="center"/>
          </w:tcPr>
          <w:p w14:paraId="315472B1">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58.5</w:t>
            </w:r>
          </w:p>
        </w:tc>
        <w:tc>
          <w:tcPr>
            <w:tcW w:w="516" w:type="pct"/>
            <w:shd w:val="clear" w:color="auto" w:fill="auto"/>
            <w:noWrap/>
            <w:vAlign w:val="center"/>
          </w:tcPr>
          <w:p w14:paraId="16CA3EEB">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58.5</w:t>
            </w:r>
          </w:p>
        </w:tc>
        <w:tc>
          <w:tcPr>
            <w:tcW w:w="516" w:type="pct"/>
            <w:shd w:val="clear" w:color="auto" w:fill="auto"/>
            <w:noWrap/>
            <w:vAlign w:val="center"/>
          </w:tcPr>
          <w:p w14:paraId="689F2DD8">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58.5</w:t>
            </w:r>
          </w:p>
        </w:tc>
        <w:tc>
          <w:tcPr>
            <w:tcW w:w="516" w:type="pct"/>
            <w:shd w:val="clear" w:color="auto" w:fill="auto"/>
            <w:noWrap/>
            <w:vAlign w:val="center"/>
          </w:tcPr>
          <w:p w14:paraId="096F1975">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58.5</w:t>
            </w:r>
          </w:p>
        </w:tc>
      </w:tr>
      <w:tr w14:paraId="5531853F">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390" w:type="pct"/>
            <w:gridSpan w:val="2"/>
            <w:vMerge w:val="restart"/>
            <w:shd w:val="clear" w:color="auto" w:fill="auto"/>
            <w:noWrap/>
            <w:vAlign w:val="center"/>
          </w:tcPr>
          <w:p w14:paraId="3DF5928D">
            <w:pPr>
              <w:widowControl/>
              <w:jc w:val="center"/>
              <w:rPr>
                <w:rFonts w:ascii="Times New Roman" w:hAnsi="Times New Roman" w:eastAsia="宋体" w:cs="Times New Roman"/>
                <w:kern w:val="0"/>
                <w:szCs w:val="21"/>
              </w:rPr>
            </w:pPr>
            <w:r>
              <w:rPr>
                <w:rFonts w:ascii="Times New Roman" w:hAnsi="宋体" w:eastAsia="宋体" w:cs="Times New Roman"/>
                <w:kern w:val="0"/>
                <w:szCs w:val="21"/>
              </w:rPr>
              <w:t>高速口～岳普湖</w:t>
            </w:r>
          </w:p>
        </w:tc>
        <w:tc>
          <w:tcPr>
            <w:tcW w:w="510" w:type="pct"/>
            <w:shd w:val="clear" w:color="auto" w:fill="auto"/>
            <w:noWrap/>
            <w:vAlign w:val="center"/>
          </w:tcPr>
          <w:p w14:paraId="43968455">
            <w:pPr>
              <w:widowControl/>
              <w:jc w:val="center"/>
              <w:rPr>
                <w:rFonts w:ascii="Times New Roman" w:hAnsi="Times New Roman" w:eastAsia="宋体" w:cs="Times New Roman"/>
                <w:kern w:val="0"/>
                <w:szCs w:val="21"/>
              </w:rPr>
            </w:pPr>
            <w:r>
              <w:rPr>
                <w:rFonts w:ascii="Times New Roman" w:hAnsi="宋体" w:eastAsia="宋体" w:cs="Times New Roman"/>
                <w:kern w:val="0"/>
                <w:szCs w:val="21"/>
              </w:rPr>
              <w:t>近期</w:t>
            </w:r>
          </w:p>
        </w:tc>
        <w:tc>
          <w:tcPr>
            <w:tcW w:w="516" w:type="pct"/>
            <w:shd w:val="clear" w:color="auto" w:fill="auto"/>
            <w:noWrap/>
            <w:vAlign w:val="center"/>
          </w:tcPr>
          <w:p w14:paraId="4B50A47B">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76.0</w:t>
            </w:r>
          </w:p>
        </w:tc>
        <w:tc>
          <w:tcPr>
            <w:tcW w:w="516" w:type="pct"/>
            <w:shd w:val="clear" w:color="auto" w:fill="auto"/>
            <w:noWrap/>
            <w:vAlign w:val="center"/>
          </w:tcPr>
          <w:p w14:paraId="79384D41">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76.0</w:t>
            </w:r>
          </w:p>
        </w:tc>
        <w:tc>
          <w:tcPr>
            <w:tcW w:w="516" w:type="pct"/>
            <w:shd w:val="clear" w:color="auto" w:fill="auto"/>
            <w:noWrap/>
            <w:vAlign w:val="center"/>
          </w:tcPr>
          <w:p w14:paraId="2FF6F13A">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58.5</w:t>
            </w:r>
          </w:p>
        </w:tc>
        <w:tc>
          <w:tcPr>
            <w:tcW w:w="516" w:type="pct"/>
            <w:shd w:val="clear" w:color="auto" w:fill="auto"/>
            <w:noWrap/>
            <w:vAlign w:val="center"/>
          </w:tcPr>
          <w:p w14:paraId="4287245F">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58.5</w:t>
            </w:r>
          </w:p>
        </w:tc>
        <w:tc>
          <w:tcPr>
            <w:tcW w:w="516" w:type="pct"/>
            <w:shd w:val="clear" w:color="auto" w:fill="auto"/>
            <w:noWrap/>
            <w:vAlign w:val="center"/>
          </w:tcPr>
          <w:p w14:paraId="3B2AEF99">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58.5</w:t>
            </w:r>
          </w:p>
        </w:tc>
        <w:tc>
          <w:tcPr>
            <w:tcW w:w="516" w:type="pct"/>
            <w:shd w:val="clear" w:color="auto" w:fill="auto"/>
            <w:noWrap/>
            <w:vAlign w:val="center"/>
          </w:tcPr>
          <w:p w14:paraId="07E7F712">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58.5</w:t>
            </w:r>
          </w:p>
        </w:tc>
      </w:tr>
      <w:tr w14:paraId="7246B82A">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390" w:type="pct"/>
            <w:gridSpan w:val="2"/>
            <w:vMerge w:val="continue"/>
            <w:vAlign w:val="center"/>
          </w:tcPr>
          <w:p w14:paraId="5BB7E10B">
            <w:pPr>
              <w:widowControl/>
              <w:jc w:val="center"/>
              <w:rPr>
                <w:rFonts w:ascii="Times New Roman" w:hAnsi="Times New Roman" w:eastAsia="宋体" w:cs="Times New Roman"/>
                <w:kern w:val="0"/>
                <w:szCs w:val="21"/>
              </w:rPr>
            </w:pPr>
          </w:p>
        </w:tc>
        <w:tc>
          <w:tcPr>
            <w:tcW w:w="510" w:type="pct"/>
            <w:shd w:val="clear" w:color="auto" w:fill="auto"/>
            <w:noWrap/>
            <w:vAlign w:val="center"/>
          </w:tcPr>
          <w:p w14:paraId="524AC4FD">
            <w:pPr>
              <w:widowControl/>
              <w:jc w:val="center"/>
              <w:rPr>
                <w:rFonts w:ascii="Times New Roman" w:hAnsi="Times New Roman" w:eastAsia="宋体" w:cs="Times New Roman"/>
                <w:kern w:val="0"/>
                <w:szCs w:val="21"/>
              </w:rPr>
            </w:pPr>
            <w:r>
              <w:rPr>
                <w:rFonts w:ascii="Times New Roman" w:hAnsi="宋体" w:eastAsia="宋体" w:cs="Times New Roman"/>
                <w:kern w:val="0"/>
                <w:szCs w:val="21"/>
              </w:rPr>
              <w:t>中期</w:t>
            </w:r>
          </w:p>
        </w:tc>
        <w:tc>
          <w:tcPr>
            <w:tcW w:w="516" w:type="pct"/>
            <w:shd w:val="clear" w:color="auto" w:fill="auto"/>
            <w:noWrap/>
            <w:vAlign w:val="center"/>
          </w:tcPr>
          <w:p w14:paraId="0FC12E0E">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76.0</w:t>
            </w:r>
          </w:p>
        </w:tc>
        <w:tc>
          <w:tcPr>
            <w:tcW w:w="516" w:type="pct"/>
            <w:shd w:val="clear" w:color="auto" w:fill="auto"/>
            <w:noWrap/>
            <w:vAlign w:val="center"/>
          </w:tcPr>
          <w:p w14:paraId="4CAA5E52">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76.0</w:t>
            </w:r>
          </w:p>
        </w:tc>
        <w:tc>
          <w:tcPr>
            <w:tcW w:w="516" w:type="pct"/>
            <w:shd w:val="clear" w:color="auto" w:fill="auto"/>
            <w:noWrap/>
            <w:vAlign w:val="center"/>
          </w:tcPr>
          <w:p w14:paraId="6819AFFE">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58.5</w:t>
            </w:r>
          </w:p>
        </w:tc>
        <w:tc>
          <w:tcPr>
            <w:tcW w:w="516" w:type="pct"/>
            <w:shd w:val="clear" w:color="auto" w:fill="auto"/>
            <w:noWrap/>
            <w:vAlign w:val="center"/>
          </w:tcPr>
          <w:p w14:paraId="371BCFDE">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58.5</w:t>
            </w:r>
          </w:p>
        </w:tc>
        <w:tc>
          <w:tcPr>
            <w:tcW w:w="516" w:type="pct"/>
            <w:shd w:val="clear" w:color="auto" w:fill="auto"/>
            <w:noWrap/>
            <w:vAlign w:val="center"/>
          </w:tcPr>
          <w:p w14:paraId="035AA537">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58.5</w:t>
            </w:r>
          </w:p>
        </w:tc>
        <w:tc>
          <w:tcPr>
            <w:tcW w:w="516" w:type="pct"/>
            <w:shd w:val="clear" w:color="auto" w:fill="auto"/>
            <w:noWrap/>
            <w:vAlign w:val="center"/>
          </w:tcPr>
          <w:p w14:paraId="76EEF949">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58.5</w:t>
            </w:r>
          </w:p>
        </w:tc>
      </w:tr>
      <w:tr w14:paraId="21B8B928">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390" w:type="pct"/>
            <w:gridSpan w:val="2"/>
            <w:vMerge w:val="continue"/>
            <w:vAlign w:val="center"/>
          </w:tcPr>
          <w:p w14:paraId="7DB2495D">
            <w:pPr>
              <w:widowControl/>
              <w:jc w:val="center"/>
              <w:rPr>
                <w:rFonts w:ascii="Times New Roman" w:hAnsi="Times New Roman" w:eastAsia="宋体" w:cs="Times New Roman"/>
                <w:kern w:val="0"/>
                <w:szCs w:val="21"/>
              </w:rPr>
            </w:pPr>
          </w:p>
        </w:tc>
        <w:tc>
          <w:tcPr>
            <w:tcW w:w="510" w:type="pct"/>
            <w:shd w:val="clear" w:color="auto" w:fill="auto"/>
            <w:noWrap/>
            <w:vAlign w:val="center"/>
          </w:tcPr>
          <w:p w14:paraId="5225BC50">
            <w:pPr>
              <w:widowControl/>
              <w:jc w:val="center"/>
              <w:rPr>
                <w:rFonts w:ascii="Times New Roman" w:hAnsi="Times New Roman" w:eastAsia="宋体" w:cs="Times New Roman"/>
                <w:kern w:val="0"/>
                <w:szCs w:val="21"/>
              </w:rPr>
            </w:pPr>
            <w:r>
              <w:rPr>
                <w:rFonts w:ascii="Times New Roman" w:hAnsi="宋体" w:eastAsia="宋体" w:cs="Times New Roman"/>
                <w:kern w:val="0"/>
                <w:szCs w:val="21"/>
              </w:rPr>
              <w:t>远期</w:t>
            </w:r>
          </w:p>
        </w:tc>
        <w:tc>
          <w:tcPr>
            <w:tcW w:w="516" w:type="pct"/>
            <w:shd w:val="clear" w:color="auto" w:fill="auto"/>
            <w:noWrap/>
            <w:vAlign w:val="center"/>
          </w:tcPr>
          <w:p w14:paraId="2BC24E90">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76.0</w:t>
            </w:r>
          </w:p>
        </w:tc>
        <w:tc>
          <w:tcPr>
            <w:tcW w:w="516" w:type="pct"/>
            <w:shd w:val="clear" w:color="auto" w:fill="auto"/>
            <w:noWrap/>
            <w:vAlign w:val="center"/>
          </w:tcPr>
          <w:p w14:paraId="72C08317">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76.0</w:t>
            </w:r>
          </w:p>
        </w:tc>
        <w:tc>
          <w:tcPr>
            <w:tcW w:w="516" w:type="pct"/>
            <w:shd w:val="clear" w:color="auto" w:fill="auto"/>
            <w:noWrap/>
            <w:vAlign w:val="center"/>
          </w:tcPr>
          <w:p w14:paraId="030B9983">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58.5</w:t>
            </w:r>
          </w:p>
        </w:tc>
        <w:tc>
          <w:tcPr>
            <w:tcW w:w="516" w:type="pct"/>
            <w:shd w:val="clear" w:color="auto" w:fill="auto"/>
            <w:noWrap/>
            <w:vAlign w:val="center"/>
          </w:tcPr>
          <w:p w14:paraId="7F333009">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58.5</w:t>
            </w:r>
          </w:p>
        </w:tc>
        <w:tc>
          <w:tcPr>
            <w:tcW w:w="516" w:type="pct"/>
            <w:shd w:val="clear" w:color="auto" w:fill="auto"/>
            <w:noWrap/>
            <w:vAlign w:val="center"/>
          </w:tcPr>
          <w:p w14:paraId="4ACAC87F">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58.5</w:t>
            </w:r>
          </w:p>
        </w:tc>
        <w:tc>
          <w:tcPr>
            <w:tcW w:w="516" w:type="pct"/>
            <w:shd w:val="clear" w:color="auto" w:fill="auto"/>
            <w:noWrap/>
            <w:vAlign w:val="center"/>
          </w:tcPr>
          <w:p w14:paraId="27F936E9">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58.5</w:t>
            </w:r>
          </w:p>
        </w:tc>
      </w:tr>
    </w:tbl>
    <w:p w14:paraId="17FC9026">
      <w:pPr>
        <w:rPr>
          <w:rFonts w:ascii="Times New Roman" w:hAnsi="Times New Roman" w:eastAsia="宋体" w:cs="Times New Roman"/>
        </w:rPr>
      </w:pPr>
      <w:r>
        <w:rPr>
          <w:rFonts w:ascii="Times New Roman" w:hAnsi="Times New Roman" w:eastAsia="宋体" w:cs="Times New Roman"/>
        </w:rPr>
        <w:t>注：表中黑色加粗内容表示0.2＜V/C≤0.7时的车速。</w:t>
      </w:r>
    </w:p>
    <w:p w14:paraId="2703675F">
      <w:pPr>
        <w:keepNext w:val="0"/>
        <w:keepLines w:val="0"/>
        <w:pageBreakBefore w:val="0"/>
        <w:widowControl w:val="0"/>
        <w:kinsoku/>
        <w:wordWrap/>
        <w:overflowPunct/>
        <w:topLinePunct w:val="0"/>
        <w:autoSpaceDE/>
        <w:autoSpaceDN/>
        <w:bidi w:val="0"/>
        <w:adjustRightInd/>
        <w:snapToGrid/>
        <w:spacing w:before="313" w:beforeLines="100" w:line="300" w:lineRule="auto"/>
        <w:ind w:firstLine="480" w:firstLineChars="200"/>
        <w:textAlignment w:val="auto"/>
        <w:rPr>
          <w:rFonts w:ascii="Times New Roman" w:hAnsi="Times New Roman" w:eastAsia="宋体" w:cs="Times New Roman"/>
          <w:sz w:val="24"/>
        </w:rPr>
      </w:pPr>
      <w:r>
        <w:rPr>
          <w:rFonts w:hint="eastAsia" w:ascii="Times New Roman" w:hAnsi="Times New Roman" w:eastAsia="宋体" w:cs="Times New Roman"/>
          <w:sz w:val="24"/>
        </w:rPr>
        <w:t>(4) 拟建公路各类型车</w:t>
      </w:r>
      <w:r>
        <w:rPr>
          <w:rFonts w:ascii="Times New Roman" w:hAnsi="Times New Roman" w:eastAsia="宋体" w:cs="Times New Roman"/>
          <w:sz w:val="24"/>
        </w:rPr>
        <w:t>在</w:t>
      </w:r>
      <w:r>
        <w:rPr>
          <w:rFonts w:hint="eastAsia" w:ascii="Times New Roman" w:hAnsi="Times New Roman" w:eastAsia="宋体" w:cs="Times New Roman"/>
          <w:sz w:val="24"/>
        </w:rPr>
        <w:t>距</w:t>
      </w:r>
      <w:r>
        <w:rPr>
          <w:rFonts w:ascii="Times New Roman" w:hAnsi="Times New Roman" w:eastAsia="宋体" w:cs="Times New Roman"/>
          <w:sz w:val="24"/>
        </w:rPr>
        <w:t>离行车线7.5m处参照点的平均辐射噪声级</w:t>
      </w:r>
      <m:oMath>
        <m:d>
          <m:dPr>
            <m:ctrlPr>
              <w:rPr>
                <w:rFonts w:ascii="Cambria Math" w:hAnsi="Cambria Math"/>
                <w:sz w:val="24"/>
              </w:rPr>
            </m:ctrlPr>
          </m:dPr>
          <m:e>
            <m:acc>
              <m:accPr>
                <m:chr m:val="̅"/>
                <m:ctrlPr>
                  <w:rPr>
                    <w:rFonts w:ascii="Cambria Math" w:hAnsi="Cambria Math"/>
                    <w:sz w:val="24"/>
                  </w:rPr>
                </m:ctrlPr>
              </m:accPr>
              <m:e>
                <m:sSub>
                  <m:sSubPr>
                    <m:ctrlPr>
                      <w:rPr>
                        <w:rFonts w:ascii="Cambria Math" w:hAnsi="Cambria Math"/>
                        <w:sz w:val="24"/>
                      </w:rPr>
                    </m:ctrlPr>
                  </m:sSubPr>
                  <m:e>
                    <m:r>
                      <m:rPr/>
                      <w:rPr>
                        <w:rFonts w:ascii="Cambria Math" w:hAnsi="Cambria Math"/>
                        <w:sz w:val="24"/>
                      </w:rPr>
                      <m:t>L</m:t>
                    </m:r>
                    <m:ctrlPr>
                      <w:rPr>
                        <w:rFonts w:ascii="Cambria Math" w:hAnsi="Cambria Math"/>
                        <w:sz w:val="24"/>
                      </w:rPr>
                    </m:ctrlPr>
                  </m:e>
                  <m:sub>
                    <m:r>
                      <m:rPr>
                        <m:sty m:val="p"/>
                      </m:rPr>
                      <w:rPr>
                        <w:rFonts w:ascii="Cambria Math" w:hAnsi="Cambria Math"/>
                        <w:sz w:val="24"/>
                      </w:rPr>
                      <m:t>0</m:t>
                    </m:r>
                    <m:r>
                      <m:rPr/>
                      <w:rPr>
                        <w:rFonts w:ascii="Cambria Math" w:hAnsi="Cambria Math"/>
                        <w:sz w:val="24"/>
                      </w:rPr>
                      <m:t>E</m:t>
                    </m:r>
                    <m:ctrlPr>
                      <w:rPr>
                        <w:rFonts w:ascii="Cambria Math" w:hAnsi="Cambria Math"/>
                        <w:sz w:val="24"/>
                      </w:rPr>
                    </m:ctrlPr>
                  </m:sub>
                </m:sSub>
                <m:ctrlPr>
                  <w:rPr>
                    <w:rFonts w:ascii="Cambria Math" w:hAnsi="Cambria Math"/>
                    <w:sz w:val="24"/>
                  </w:rPr>
                </m:ctrlPr>
              </m:e>
            </m:acc>
            <m:ctrlPr>
              <w:rPr>
                <w:rFonts w:ascii="Cambria Math" w:hAnsi="Cambria Math"/>
                <w:sz w:val="24"/>
              </w:rPr>
            </m:ctrlPr>
          </m:e>
        </m:d>
      </m:oMath>
      <w:r>
        <w:rPr>
          <w:rFonts w:hint="eastAsia" w:ascii="Times New Roman" w:hAnsi="Times New Roman" w:eastAsia="宋体" w:cs="Times New Roman"/>
          <w:sz w:val="24"/>
        </w:rPr>
        <w:t>i</w:t>
      </w:r>
    </w:p>
    <w:p w14:paraId="6F0E1213">
      <w:pPr>
        <w:spacing w:line="300"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① 根据《环境影响评价技术导则</w:t>
      </w:r>
      <w:r>
        <w:rPr>
          <w:rFonts w:ascii="Times New Roman" w:hAnsi="Times New Roman" w:eastAsia="宋体" w:cs="Times New Roman"/>
          <w:sz w:val="24"/>
        </w:rPr>
        <w:t xml:space="preserve"> </w:t>
      </w:r>
      <w:r>
        <w:rPr>
          <w:rFonts w:hint="eastAsia" w:ascii="Times New Roman" w:hAnsi="Times New Roman" w:eastAsia="宋体" w:cs="Times New Roman"/>
          <w:sz w:val="24"/>
        </w:rPr>
        <w:t>公路建设项目》（</w:t>
      </w:r>
      <w:r>
        <w:rPr>
          <w:rFonts w:ascii="Times New Roman" w:hAnsi="Times New Roman" w:eastAsia="宋体" w:cs="Times New Roman"/>
          <w:sz w:val="24"/>
        </w:rPr>
        <w:t>HJ1358-2024</w:t>
      </w:r>
      <w:r>
        <w:rPr>
          <w:rFonts w:hint="eastAsia" w:ascii="Times New Roman" w:hAnsi="Times New Roman" w:eastAsia="宋体" w:cs="Times New Roman"/>
          <w:sz w:val="24"/>
        </w:rPr>
        <w:t>），</w:t>
      </w:r>
      <w:r>
        <w:rPr>
          <w:rFonts w:ascii="Times New Roman" w:hAnsi="Times New Roman" w:eastAsia="宋体" w:cs="Times New Roman"/>
          <w:sz w:val="24"/>
        </w:rPr>
        <w:t>各类型车在</w:t>
      </w:r>
      <w:r>
        <w:rPr>
          <w:rFonts w:hint="eastAsia" w:ascii="Times New Roman" w:hAnsi="Times New Roman" w:eastAsia="宋体" w:cs="Times New Roman"/>
          <w:sz w:val="24"/>
        </w:rPr>
        <w:t>距</w:t>
      </w:r>
      <w:r>
        <w:rPr>
          <w:rFonts w:ascii="Times New Roman" w:hAnsi="Times New Roman" w:eastAsia="宋体" w:cs="Times New Roman"/>
          <w:sz w:val="24"/>
        </w:rPr>
        <w:t>离行车线7.5m处参照点的平均辐射噪声级</w:t>
      </w:r>
      <m:oMath>
        <m:d>
          <m:dPr>
            <m:ctrlPr>
              <w:rPr>
                <w:rFonts w:ascii="Cambria Math" w:hAnsi="Cambria Math"/>
                <w:sz w:val="24"/>
              </w:rPr>
            </m:ctrlPr>
          </m:dPr>
          <m:e>
            <m:acc>
              <m:accPr>
                <m:chr m:val="̅"/>
                <m:ctrlPr>
                  <w:rPr>
                    <w:rFonts w:ascii="Cambria Math" w:hAnsi="Cambria Math"/>
                    <w:sz w:val="24"/>
                  </w:rPr>
                </m:ctrlPr>
              </m:accPr>
              <m:e>
                <m:sSub>
                  <m:sSubPr>
                    <m:ctrlPr>
                      <w:rPr>
                        <w:rFonts w:ascii="Cambria Math" w:hAnsi="Cambria Math"/>
                        <w:sz w:val="24"/>
                      </w:rPr>
                    </m:ctrlPr>
                  </m:sSubPr>
                  <m:e>
                    <m:r>
                      <m:rPr/>
                      <w:rPr>
                        <w:rFonts w:ascii="Cambria Math" w:hAnsi="Cambria Math"/>
                        <w:sz w:val="24"/>
                      </w:rPr>
                      <m:t>L</m:t>
                    </m:r>
                    <m:ctrlPr>
                      <w:rPr>
                        <w:rFonts w:ascii="Cambria Math" w:hAnsi="Cambria Math"/>
                        <w:sz w:val="24"/>
                      </w:rPr>
                    </m:ctrlPr>
                  </m:e>
                  <m:sub>
                    <m:r>
                      <m:rPr>
                        <m:sty m:val="p"/>
                      </m:rPr>
                      <w:rPr>
                        <w:rFonts w:ascii="Cambria Math" w:hAnsi="Cambria Math"/>
                        <w:sz w:val="24"/>
                      </w:rPr>
                      <m:t>0</m:t>
                    </m:r>
                    <m:r>
                      <m:rPr/>
                      <w:rPr>
                        <w:rFonts w:ascii="Cambria Math" w:hAnsi="Cambria Math"/>
                        <w:sz w:val="24"/>
                      </w:rPr>
                      <m:t>E</m:t>
                    </m:r>
                    <m:ctrlPr>
                      <w:rPr>
                        <w:rFonts w:ascii="Cambria Math" w:hAnsi="Cambria Math"/>
                        <w:sz w:val="24"/>
                      </w:rPr>
                    </m:ctrlPr>
                  </m:sub>
                </m:sSub>
                <m:ctrlPr>
                  <w:rPr>
                    <w:rFonts w:ascii="Cambria Math" w:hAnsi="Cambria Math"/>
                    <w:sz w:val="24"/>
                  </w:rPr>
                </m:ctrlPr>
              </m:e>
            </m:acc>
            <m:ctrlPr>
              <w:rPr>
                <w:rFonts w:ascii="Cambria Math" w:hAnsi="Cambria Math"/>
                <w:sz w:val="24"/>
              </w:rPr>
            </m:ctrlPr>
          </m:e>
        </m:d>
      </m:oMath>
      <w:r>
        <w:rPr>
          <w:rFonts w:hint="eastAsia" w:ascii="Times New Roman" w:hAnsi="Times New Roman" w:eastAsia="宋体" w:cs="Times New Roman"/>
          <w:sz w:val="24"/>
        </w:rPr>
        <w:t>i</w:t>
      </w:r>
      <w:r>
        <w:rPr>
          <w:rFonts w:ascii="Times New Roman" w:hAnsi="Times New Roman" w:eastAsia="宋体" w:cs="Times New Roman"/>
          <w:sz w:val="24"/>
        </w:rPr>
        <w:t>按</w:t>
      </w:r>
      <w:r>
        <w:rPr>
          <w:rFonts w:hint="eastAsia" w:ascii="Times New Roman" w:hAnsi="Times New Roman" w:eastAsia="宋体" w:cs="Times New Roman"/>
          <w:sz w:val="24"/>
        </w:rPr>
        <w:t>下列公</w:t>
      </w:r>
      <w:r>
        <w:rPr>
          <w:rFonts w:ascii="Times New Roman" w:hAnsi="Times New Roman" w:eastAsia="宋体" w:cs="Times New Roman"/>
          <w:sz w:val="24"/>
        </w:rPr>
        <w:t>式计算：</w:t>
      </w:r>
    </w:p>
    <w:p w14:paraId="6E23102F">
      <w:pPr>
        <w:spacing w:line="300" w:lineRule="auto"/>
        <w:ind w:firstLine="480" w:firstLineChars="200"/>
        <w:jc w:val="center"/>
        <w:rPr>
          <w:rFonts w:ascii="Times New Roman" w:hAnsi="Times New Roman" w:eastAsia="宋体" w:cs="Times New Roman"/>
          <w:sz w:val="24"/>
        </w:rPr>
      </w:pPr>
      <w:r>
        <w:rPr>
          <w:rFonts w:ascii="Times New Roman" w:hAnsi="Times New Roman" w:eastAsia="宋体" w:cs="Times New Roman"/>
          <w:sz w:val="24"/>
        </w:rPr>
        <w:t>大型车</w:t>
      </w:r>
      <m:oMath>
        <m:d>
          <m:dPr>
            <m:ctrlPr>
              <w:rPr>
                <w:rFonts w:ascii="Cambria Math" w:hAnsi="Cambria Math"/>
                <w:i/>
                <w:sz w:val="24"/>
              </w:rPr>
            </m:ctrlPr>
          </m:dPr>
          <m:e>
            <m:acc>
              <m:accPr>
                <m:chr m:val="̅"/>
                <m:ctrlPr>
                  <w:rPr>
                    <w:rFonts w:ascii="Cambria Math" w:hAnsi="Cambria Math"/>
                    <w:i/>
                    <w:sz w:val="24"/>
                  </w:rPr>
                </m:ctrlPr>
              </m:accPr>
              <m:e>
                <m:sSub>
                  <m:sSubPr>
                    <m:ctrlPr>
                      <w:rPr>
                        <w:rFonts w:ascii="Cambria Math" w:hAnsi="Cambria Math"/>
                        <w:i/>
                        <w:sz w:val="24"/>
                      </w:rPr>
                    </m:ctrlPr>
                  </m:sSubPr>
                  <m:e>
                    <m:r>
                      <m:rPr/>
                      <w:rPr>
                        <w:rFonts w:ascii="Cambria Math" w:hAnsi="Cambria Math"/>
                        <w:sz w:val="24"/>
                      </w:rPr>
                      <m:t>L</m:t>
                    </m:r>
                    <m:ctrlPr>
                      <w:rPr>
                        <w:rFonts w:ascii="Cambria Math" w:hAnsi="Cambria Math"/>
                        <w:i/>
                        <w:sz w:val="24"/>
                      </w:rPr>
                    </m:ctrlPr>
                  </m:e>
                  <m:sub>
                    <m:r>
                      <m:rPr>
                        <m:sty m:val="p"/>
                      </m:rPr>
                      <w:rPr>
                        <w:rFonts w:ascii="Cambria Math" w:hAnsi="Cambria Math"/>
                        <w:sz w:val="24"/>
                      </w:rPr>
                      <m:t>0</m:t>
                    </m:r>
                    <m:r>
                      <m:rPr/>
                      <w:rPr>
                        <w:rFonts w:ascii="Cambria Math" w:hAnsi="Cambria Math" w:eastAsiaTheme="minorEastAsia"/>
                        <w:sz w:val="24"/>
                      </w:rPr>
                      <m:t>E</m:t>
                    </m:r>
                    <m:ctrlPr>
                      <w:rPr>
                        <w:rFonts w:ascii="Cambria Math" w:hAnsi="Cambria Math"/>
                        <w:i/>
                        <w:sz w:val="24"/>
                      </w:rPr>
                    </m:ctrlPr>
                  </m:sub>
                </m:sSub>
                <m:ctrlPr>
                  <w:rPr>
                    <w:rFonts w:ascii="Cambria Math" w:hAnsi="Cambria Math"/>
                    <w:i/>
                    <w:sz w:val="24"/>
                  </w:rPr>
                </m:ctrlPr>
              </m:e>
            </m:acc>
            <m:ctrlPr>
              <w:rPr>
                <w:rFonts w:ascii="Cambria Math" w:hAnsi="Cambria Math"/>
                <w:i/>
                <w:sz w:val="24"/>
              </w:rPr>
            </m:ctrlPr>
          </m:e>
        </m:d>
      </m:oMath>
      <w:r>
        <w:rPr>
          <w:rFonts w:hint="eastAsia" w:ascii="Times New Roman" w:hAnsi="Times New Roman" w:eastAsia="宋体" w:cs="Times New Roman"/>
          <w:sz w:val="24"/>
          <w:vertAlign w:val="subscript"/>
        </w:rPr>
        <w:t>l</w:t>
      </w:r>
      <w:r>
        <w:rPr>
          <w:rFonts w:hint="eastAsia" w:ascii="Times New Roman" w:hAnsi="Times New Roman" w:eastAsia="宋体" w:cs="Times New Roman"/>
          <w:sz w:val="24"/>
        </w:rPr>
        <w:t>=22.0+36.32lg</w:t>
      </w:r>
      <w:r>
        <w:rPr>
          <w:rFonts w:hint="eastAsia" w:ascii="Times New Roman" w:hAnsi="Times New Roman" w:eastAsia="宋体" w:cs="Times New Roman"/>
          <w:i/>
          <w:iCs/>
          <w:sz w:val="24"/>
        </w:rPr>
        <w:t>v</w:t>
      </w:r>
      <w:r>
        <w:rPr>
          <w:rFonts w:hint="eastAsia" w:ascii="Times New Roman" w:hAnsi="Times New Roman" w:eastAsia="宋体" w:cs="Times New Roman"/>
          <w:sz w:val="24"/>
          <w:vertAlign w:val="subscript"/>
        </w:rPr>
        <w:t>l</w:t>
      </w:r>
      <w:r>
        <w:rPr>
          <w:rFonts w:ascii="Times New Roman" w:hAnsi="Times New Roman" w:eastAsia="宋体" w:cs="Times New Roman"/>
          <w:sz w:val="24"/>
        </w:rPr>
        <w:t>（适用车速范围：</w:t>
      </w:r>
      <w:r>
        <w:rPr>
          <w:rFonts w:ascii="Times New Roman" w:hAnsi="Times New Roman" w:eastAsia="宋体" w:cs="Times New Roman"/>
          <w:spacing w:val="4"/>
          <w:sz w:val="24"/>
        </w:rPr>
        <w:t>48km/h～90km/h</w:t>
      </w:r>
      <w:r>
        <w:rPr>
          <w:rFonts w:ascii="Times New Roman" w:hAnsi="Times New Roman" w:eastAsia="宋体" w:cs="Times New Roman"/>
          <w:sz w:val="24"/>
        </w:rPr>
        <w:t>）</w:t>
      </w:r>
    </w:p>
    <w:p w14:paraId="62635A43">
      <w:pPr>
        <w:spacing w:line="300" w:lineRule="auto"/>
        <w:ind w:firstLine="480" w:firstLineChars="200"/>
        <w:jc w:val="center"/>
        <w:rPr>
          <w:rFonts w:ascii="Times New Roman" w:hAnsi="Times New Roman" w:eastAsia="宋体" w:cs="Times New Roman"/>
          <w:sz w:val="24"/>
        </w:rPr>
      </w:pPr>
      <w:r>
        <w:rPr>
          <w:rFonts w:ascii="Times New Roman" w:hAnsi="Times New Roman" w:eastAsia="宋体" w:cs="Times New Roman"/>
          <w:sz w:val="24"/>
        </w:rPr>
        <w:t>中型车</w:t>
      </w:r>
      <m:oMath>
        <m:d>
          <m:dPr>
            <m:ctrlPr>
              <w:rPr>
                <w:rFonts w:ascii="Cambria Math" w:hAnsi="Cambria Math"/>
                <w:i/>
                <w:sz w:val="24"/>
              </w:rPr>
            </m:ctrlPr>
          </m:dPr>
          <m:e>
            <m:acc>
              <m:accPr>
                <m:chr m:val="̅"/>
                <m:ctrlPr>
                  <w:rPr>
                    <w:rFonts w:ascii="Cambria Math" w:hAnsi="Cambria Math"/>
                    <w:i/>
                    <w:sz w:val="24"/>
                  </w:rPr>
                </m:ctrlPr>
              </m:accPr>
              <m:e>
                <m:sSub>
                  <m:sSubPr>
                    <m:ctrlPr>
                      <w:rPr>
                        <w:rFonts w:ascii="Cambria Math" w:hAnsi="Cambria Math"/>
                        <w:i/>
                        <w:sz w:val="24"/>
                      </w:rPr>
                    </m:ctrlPr>
                  </m:sSubPr>
                  <m:e>
                    <m:r>
                      <m:rPr/>
                      <w:rPr>
                        <w:rFonts w:ascii="Cambria Math" w:hAnsi="Cambria Math"/>
                        <w:sz w:val="24"/>
                      </w:rPr>
                      <m:t>L</m:t>
                    </m:r>
                    <m:ctrlPr>
                      <w:rPr>
                        <w:rFonts w:ascii="Cambria Math" w:hAnsi="Cambria Math"/>
                        <w:i/>
                        <w:sz w:val="24"/>
                      </w:rPr>
                    </m:ctrlPr>
                  </m:e>
                  <m:sub>
                    <m:r>
                      <m:rPr>
                        <m:sty m:val="p"/>
                      </m:rPr>
                      <w:rPr>
                        <w:rFonts w:ascii="Cambria Math" w:hAnsi="Cambria Math"/>
                        <w:sz w:val="24"/>
                      </w:rPr>
                      <m:t>0</m:t>
                    </m:r>
                    <m:r>
                      <m:rPr/>
                      <w:rPr>
                        <w:rFonts w:ascii="Cambria Math" w:hAnsi="Cambria Math" w:eastAsiaTheme="minorEastAsia"/>
                        <w:sz w:val="24"/>
                      </w:rPr>
                      <m:t>E</m:t>
                    </m:r>
                    <m:ctrlPr>
                      <w:rPr>
                        <w:rFonts w:ascii="Cambria Math" w:hAnsi="Cambria Math"/>
                        <w:i/>
                        <w:sz w:val="24"/>
                      </w:rPr>
                    </m:ctrlPr>
                  </m:sub>
                </m:sSub>
                <m:ctrlPr>
                  <w:rPr>
                    <w:rFonts w:ascii="Cambria Math" w:hAnsi="Cambria Math"/>
                    <w:i/>
                    <w:sz w:val="24"/>
                  </w:rPr>
                </m:ctrlPr>
              </m:e>
            </m:acc>
            <m:ctrlPr>
              <w:rPr>
                <w:rFonts w:ascii="Cambria Math" w:hAnsi="Cambria Math"/>
                <w:i/>
                <w:sz w:val="24"/>
              </w:rPr>
            </m:ctrlPr>
          </m:e>
        </m:d>
      </m:oMath>
      <w:r>
        <w:rPr>
          <w:rFonts w:hint="eastAsia" w:ascii="Times New Roman" w:hAnsi="Times New Roman" w:eastAsia="宋体" w:cs="Times New Roman"/>
          <w:sz w:val="24"/>
          <w:vertAlign w:val="subscript"/>
        </w:rPr>
        <w:t>m</w:t>
      </w:r>
      <w:r>
        <w:rPr>
          <w:rFonts w:hint="eastAsia" w:ascii="Times New Roman" w:hAnsi="Times New Roman" w:eastAsia="宋体" w:cs="Times New Roman"/>
          <w:sz w:val="24"/>
        </w:rPr>
        <w:t>=8.8+40.48lg</w:t>
      </w:r>
      <w:r>
        <w:rPr>
          <w:rFonts w:hint="eastAsia" w:ascii="Times New Roman" w:hAnsi="Times New Roman" w:eastAsia="宋体" w:cs="Times New Roman"/>
          <w:i/>
          <w:iCs/>
          <w:sz w:val="24"/>
        </w:rPr>
        <w:t>v</w:t>
      </w:r>
      <w:r>
        <w:rPr>
          <w:rFonts w:hint="eastAsia" w:ascii="Times New Roman" w:hAnsi="Times New Roman" w:eastAsia="宋体" w:cs="Times New Roman"/>
          <w:sz w:val="24"/>
          <w:vertAlign w:val="subscript"/>
        </w:rPr>
        <w:t>m</w:t>
      </w:r>
      <w:r>
        <w:rPr>
          <w:rFonts w:hint="eastAsia" w:ascii="Times New Roman" w:hAnsi="Times New Roman" w:eastAsia="宋体" w:cs="Times New Roman"/>
          <w:sz w:val="24"/>
        </w:rPr>
        <w:t>（</w:t>
      </w:r>
      <w:r>
        <w:rPr>
          <w:rFonts w:ascii="Times New Roman" w:hAnsi="Times New Roman" w:eastAsia="宋体" w:cs="Times New Roman"/>
          <w:sz w:val="24"/>
        </w:rPr>
        <w:t>适用车速范围：</w:t>
      </w:r>
      <w:r>
        <w:rPr>
          <w:rFonts w:ascii="Times New Roman" w:hAnsi="Times New Roman" w:eastAsia="宋体" w:cs="Times New Roman"/>
          <w:spacing w:val="4"/>
          <w:sz w:val="24"/>
        </w:rPr>
        <w:t>53km/h～100km/h</w:t>
      </w:r>
      <w:r>
        <w:rPr>
          <w:rFonts w:ascii="Times New Roman" w:hAnsi="Times New Roman" w:eastAsia="宋体" w:cs="Times New Roman"/>
          <w:sz w:val="24"/>
        </w:rPr>
        <w:t>）</w:t>
      </w:r>
    </w:p>
    <w:p w14:paraId="42FA0FD6">
      <w:pPr>
        <w:spacing w:line="300" w:lineRule="auto"/>
        <w:ind w:firstLine="496" w:firstLineChars="200"/>
        <w:jc w:val="center"/>
        <w:rPr>
          <w:rFonts w:ascii="Times New Roman" w:hAnsi="Times New Roman" w:eastAsia="宋体" w:cs="Times New Roman"/>
          <w:sz w:val="24"/>
        </w:rPr>
      </w:pPr>
      <w:r>
        <w:rPr>
          <w:rFonts w:ascii="Times New Roman" w:hAnsi="Times New Roman" w:eastAsia="宋体" w:cs="Times New Roman"/>
          <w:spacing w:val="4"/>
          <w:sz w:val="24"/>
        </w:rPr>
        <w:t>小型车</w:t>
      </w:r>
      <m:oMath>
        <m:d>
          <m:dPr>
            <m:ctrlPr>
              <w:rPr>
                <w:rFonts w:ascii="Cambria Math" w:hAnsi="Cambria Math"/>
                <w:i/>
                <w:sz w:val="24"/>
              </w:rPr>
            </m:ctrlPr>
          </m:dPr>
          <m:e>
            <m:acc>
              <m:accPr>
                <m:chr m:val="̅"/>
                <m:ctrlPr>
                  <w:rPr>
                    <w:rFonts w:ascii="Cambria Math" w:hAnsi="Cambria Math"/>
                    <w:i/>
                    <w:sz w:val="24"/>
                  </w:rPr>
                </m:ctrlPr>
              </m:accPr>
              <m:e>
                <m:sSub>
                  <m:sSubPr>
                    <m:ctrlPr>
                      <w:rPr>
                        <w:rFonts w:ascii="Cambria Math" w:hAnsi="Cambria Math"/>
                        <w:i/>
                        <w:sz w:val="24"/>
                      </w:rPr>
                    </m:ctrlPr>
                  </m:sSubPr>
                  <m:e>
                    <m:r>
                      <m:rPr/>
                      <w:rPr>
                        <w:rFonts w:ascii="Cambria Math" w:hAnsi="Cambria Math"/>
                        <w:sz w:val="24"/>
                      </w:rPr>
                      <m:t>L</m:t>
                    </m:r>
                    <m:ctrlPr>
                      <w:rPr>
                        <w:rFonts w:ascii="Cambria Math" w:hAnsi="Cambria Math"/>
                        <w:i/>
                        <w:sz w:val="24"/>
                      </w:rPr>
                    </m:ctrlPr>
                  </m:e>
                  <m:sub>
                    <m:r>
                      <m:rPr>
                        <m:sty m:val="p"/>
                      </m:rPr>
                      <w:rPr>
                        <w:rFonts w:ascii="Cambria Math" w:hAnsi="Cambria Math"/>
                        <w:sz w:val="24"/>
                      </w:rPr>
                      <m:t>0</m:t>
                    </m:r>
                    <m:r>
                      <m:rPr/>
                      <w:rPr>
                        <w:rFonts w:ascii="Cambria Math" w:hAnsi="Cambria Math" w:eastAsiaTheme="minorEastAsia"/>
                        <w:sz w:val="24"/>
                      </w:rPr>
                      <m:t>E</m:t>
                    </m:r>
                    <m:ctrlPr>
                      <w:rPr>
                        <w:rFonts w:ascii="Cambria Math" w:hAnsi="Cambria Math"/>
                        <w:i/>
                        <w:sz w:val="24"/>
                      </w:rPr>
                    </m:ctrlPr>
                  </m:sub>
                </m:sSub>
                <m:ctrlPr>
                  <w:rPr>
                    <w:rFonts w:ascii="Cambria Math" w:hAnsi="Cambria Math"/>
                    <w:i/>
                    <w:sz w:val="24"/>
                  </w:rPr>
                </m:ctrlPr>
              </m:e>
            </m:acc>
            <m:ctrlPr>
              <w:rPr>
                <w:rFonts w:ascii="Cambria Math" w:hAnsi="Cambria Math"/>
                <w:i/>
                <w:sz w:val="24"/>
              </w:rPr>
            </m:ctrlPr>
          </m:e>
        </m:d>
      </m:oMath>
      <w:r>
        <w:rPr>
          <w:rFonts w:hint="eastAsia" w:ascii="Times New Roman" w:hAnsi="Times New Roman" w:eastAsia="宋体" w:cs="Times New Roman"/>
          <w:sz w:val="24"/>
          <w:vertAlign w:val="subscript"/>
        </w:rPr>
        <w:t>s</w:t>
      </w:r>
      <w:r>
        <w:rPr>
          <w:rFonts w:hint="eastAsia" w:ascii="Times New Roman" w:hAnsi="Times New Roman" w:eastAsia="宋体" w:cs="Times New Roman"/>
          <w:sz w:val="24"/>
        </w:rPr>
        <w:t>=12.6+34.73lg</w:t>
      </w:r>
      <w:r>
        <w:rPr>
          <w:rFonts w:hint="eastAsia" w:ascii="Times New Roman" w:hAnsi="Times New Roman" w:eastAsia="宋体" w:cs="Times New Roman"/>
          <w:i/>
          <w:iCs/>
          <w:sz w:val="24"/>
        </w:rPr>
        <w:t>v</w:t>
      </w:r>
      <w:r>
        <w:rPr>
          <w:rFonts w:hint="eastAsia" w:ascii="Times New Roman" w:hAnsi="Times New Roman" w:eastAsia="宋体" w:cs="Times New Roman"/>
          <w:sz w:val="24"/>
          <w:vertAlign w:val="subscript"/>
        </w:rPr>
        <w:t>s</w:t>
      </w:r>
      <w:r>
        <w:rPr>
          <w:rFonts w:ascii="Times New Roman" w:hAnsi="Times New Roman" w:eastAsia="宋体" w:cs="Times New Roman"/>
          <w:sz w:val="24"/>
        </w:rPr>
        <w:t>（适用车速范围：</w:t>
      </w:r>
      <w:r>
        <w:rPr>
          <w:rFonts w:ascii="Times New Roman" w:hAnsi="Times New Roman" w:eastAsia="宋体" w:cs="Times New Roman"/>
          <w:spacing w:val="4"/>
          <w:sz w:val="24"/>
        </w:rPr>
        <w:t>63km/h～140km/h</w:t>
      </w:r>
      <w:r>
        <w:rPr>
          <w:rFonts w:ascii="Times New Roman" w:hAnsi="Times New Roman" w:eastAsia="宋体" w:cs="Times New Roman"/>
          <w:sz w:val="24"/>
        </w:rPr>
        <w:t>）</w:t>
      </w:r>
    </w:p>
    <w:p w14:paraId="7E6059CD">
      <w:pPr>
        <w:widowControl/>
        <w:spacing w:line="30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式中：</w:t>
      </w:r>
      <m:oMath>
        <m:d>
          <m:dPr>
            <m:ctrlPr>
              <w:rPr>
                <w:rFonts w:ascii="Cambria Math" w:hAnsi="Cambria Math"/>
                <w:i/>
                <w:sz w:val="24"/>
              </w:rPr>
            </m:ctrlPr>
          </m:dPr>
          <m:e>
            <m:acc>
              <m:accPr>
                <m:chr m:val="̅"/>
                <m:ctrlPr>
                  <w:rPr>
                    <w:rFonts w:ascii="Cambria Math" w:hAnsi="Cambria Math"/>
                    <w:i/>
                    <w:sz w:val="24"/>
                  </w:rPr>
                </m:ctrlPr>
              </m:accPr>
              <m:e>
                <m:sSub>
                  <m:sSubPr>
                    <m:ctrlPr>
                      <w:rPr>
                        <w:rFonts w:ascii="Cambria Math" w:hAnsi="Cambria Math"/>
                        <w:i/>
                        <w:sz w:val="24"/>
                      </w:rPr>
                    </m:ctrlPr>
                  </m:sSubPr>
                  <m:e>
                    <m:r>
                      <m:rPr/>
                      <w:rPr>
                        <w:rFonts w:ascii="Cambria Math" w:hAnsi="Cambria Math"/>
                        <w:sz w:val="24"/>
                      </w:rPr>
                      <m:t>L</m:t>
                    </m:r>
                    <m:ctrlPr>
                      <w:rPr>
                        <w:rFonts w:ascii="Cambria Math" w:hAnsi="Cambria Math"/>
                        <w:i/>
                        <w:sz w:val="24"/>
                      </w:rPr>
                    </m:ctrlPr>
                  </m:e>
                  <m:sub>
                    <m:r>
                      <m:rPr>
                        <m:sty m:val="p"/>
                      </m:rPr>
                      <w:rPr>
                        <w:rFonts w:ascii="Cambria Math" w:hAnsi="Cambria Math"/>
                        <w:sz w:val="24"/>
                      </w:rPr>
                      <m:t>0</m:t>
                    </m:r>
                    <m:r>
                      <m:rPr/>
                      <w:rPr>
                        <w:rFonts w:ascii="Cambria Math" w:hAnsi="Cambria Math" w:eastAsiaTheme="minorEastAsia"/>
                        <w:sz w:val="24"/>
                      </w:rPr>
                      <m:t>E</m:t>
                    </m:r>
                    <m:ctrlPr>
                      <w:rPr>
                        <w:rFonts w:ascii="Cambria Math" w:hAnsi="Cambria Math"/>
                        <w:i/>
                        <w:sz w:val="24"/>
                      </w:rPr>
                    </m:ctrlPr>
                  </m:sub>
                </m:sSub>
                <m:ctrlPr>
                  <w:rPr>
                    <w:rFonts w:ascii="Cambria Math" w:hAnsi="Cambria Math"/>
                    <w:i/>
                    <w:sz w:val="24"/>
                  </w:rPr>
                </m:ctrlPr>
              </m:e>
            </m:acc>
            <m:ctrlPr>
              <w:rPr>
                <w:rFonts w:ascii="Cambria Math" w:hAnsi="Cambria Math"/>
                <w:i/>
                <w:sz w:val="24"/>
              </w:rPr>
            </m:ctrlPr>
          </m:e>
        </m:d>
      </m:oMath>
      <w:r>
        <w:rPr>
          <w:rFonts w:hint="eastAsia" w:ascii="Times New Roman" w:hAnsi="Times New Roman" w:eastAsia="宋体" w:cs="Times New Roman"/>
          <w:sz w:val="24"/>
          <w:vertAlign w:val="subscript"/>
        </w:rPr>
        <w:t>l</w:t>
      </w:r>
      <w:r>
        <w:rPr>
          <w:rFonts w:ascii="Times New Roman" w:hAnsi="Times New Roman" w:eastAsia="宋体" w:cs="Times New Roman"/>
          <w:sz w:val="24"/>
        </w:rPr>
        <w:t>——</w:t>
      </w:r>
      <w:r>
        <w:rPr>
          <w:rFonts w:hint="eastAsia" w:ascii="Times New Roman" w:hAnsi="Times New Roman" w:eastAsia="宋体" w:cs="Times New Roman"/>
          <w:sz w:val="24"/>
        </w:rPr>
        <w:t>大型车在参照点处的平均辐射噪声级，dB(A)；</w:t>
      </w:r>
    </w:p>
    <w:p w14:paraId="6CB345E1">
      <w:pPr>
        <w:widowControl/>
        <w:spacing w:line="300" w:lineRule="auto"/>
        <w:ind w:firstLine="1200" w:firstLineChars="500"/>
        <w:rPr>
          <w:rFonts w:ascii="Times New Roman" w:hAnsi="Times New Roman" w:eastAsia="宋体" w:cs="Times New Roman"/>
          <w:sz w:val="24"/>
        </w:rPr>
      </w:pPr>
      <m:oMath>
        <m:d>
          <m:dPr>
            <m:ctrlPr>
              <w:rPr>
                <w:rFonts w:ascii="Cambria Math" w:hAnsi="Cambria Math"/>
                <w:i/>
                <w:sz w:val="24"/>
              </w:rPr>
            </m:ctrlPr>
          </m:dPr>
          <m:e>
            <m:acc>
              <m:accPr>
                <m:chr m:val="̅"/>
                <m:ctrlPr>
                  <w:rPr>
                    <w:rFonts w:ascii="Cambria Math" w:hAnsi="Cambria Math"/>
                    <w:i/>
                    <w:sz w:val="24"/>
                  </w:rPr>
                </m:ctrlPr>
              </m:accPr>
              <m:e>
                <m:sSub>
                  <m:sSubPr>
                    <m:ctrlPr>
                      <w:rPr>
                        <w:rFonts w:ascii="Cambria Math" w:hAnsi="Cambria Math"/>
                        <w:i/>
                        <w:sz w:val="24"/>
                      </w:rPr>
                    </m:ctrlPr>
                  </m:sSubPr>
                  <m:e>
                    <m:r>
                      <m:rPr/>
                      <w:rPr>
                        <w:rFonts w:ascii="Cambria Math" w:hAnsi="Cambria Math"/>
                        <w:sz w:val="24"/>
                      </w:rPr>
                      <m:t>L</m:t>
                    </m:r>
                    <m:ctrlPr>
                      <w:rPr>
                        <w:rFonts w:ascii="Cambria Math" w:hAnsi="Cambria Math"/>
                        <w:i/>
                        <w:sz w:val="24"/>
                      </w:rPr>
                    </m:ctrlPr>
                  </m:e>
                  <m:sub>
                    <m:r>
                      <m:rPr>
                        <m:sty m:val="p"/>
                      </m:rPr>
                      <w:rPr>
                        <w:rFonts w:ascii="Cambria Math" w:hAnsi="Cambria Math"/>
                        <w:sz w:val="24"/>
                      </w:rPr>
                      <m:t>0</m:t>
                    </m:r>
                    <m:r>
                      <m:rPr/>
                      <w:rPr>
                        <w:rFonts w:ascii="Cambria Math" w:hAnsi="Cambria Math" w:eastAsiaTheme="minorEastAsia"/>
                        <w:sz w:val="24"/>
                      </w:rPr>
                      <m:t>E</m:t>
                    </m:r>
                    <m:ctrlPr>
                      <w:rPr>
                        <w:rFonts w:ascii="Cambria Math" w:hAnsi="Cambria Math"/>
                        <w:i/>
                        <w:sz w:val="24"/>
                      </w:rPr>
                    </m:ctrlPr>
                  </m:sub>
                </m:sSub>
                <m:ctrlPr>
                  <w:rPr>
                    <w:rFonts w:ascii="Cambria Math" w:hAnsi="Cambria Math"/>
                    <w:i/>
                    <w:sz w:val="24"/>
                  </w:rPr>
                </m:ctrlPr>
              </m:e>
            </m:acc>
            <m:ctrlPr>
              <w:rPr>
                <w:rFonts w:ascii="Cambria Math" w:hAnsi="Cambria Math"/>
                <w:i/>
                <w:sz w:val="24"/>
              </w:rPr>
            </m:ctrlPr>
          </m:e>
        </m:d>
      </m:oMath>
      <w:r>
        <w:rPr>
          <w:rFonts w:hint="eastAsia" w:ascii="Times New Roman" w:hAnsi="Times New Roman" w:eastAsia="宋体" w:cs="Times New Roman"/>
          <w:sz w:val="24"/>
          <w:vertAlign w:val="subscript"/>
        </w:rPr>
        <w:t>m</w:t>
      </w:r>
      <w:r>
        <w:rPr>
          <w:rFonts w:ascii="Times New Roman" w:hAnsi="Times New Roman" w:eastAsia="宋体" w:cs="Times New Roman"/>
          <w:sz w:val="24"/>
        </w:rPr>
        <w:t>——</w:t>
      </w:r>
      <w:r>
        <w:rPr>
          <w:rFonts w:hint="eastAsia" w:ascii="Times New Roman" w:hAnsi="Times New Roman" w:eastAsia="宋体" w:cs="Times New Roman"/>
          <w:sz w:val="24"/>
        </w:rPr>
        <w:t>中型车在参照点处的平均辐射噪声级，dB(A)；</w:t>
      </w:r>
    </w:p>
    <w:p w14:paraId="4D1A5CB0">
      <w:pPr>
        <w:widowControl/>
        <w:spacing w:line="300" w:lineRule="auto"/>
        <w:ind w:firstLine="1200" w:firstLineChars="500"/>
        <w:rPr>
          <w:rFonts w:ascii="Times New Roman" w:hAnsi="Times New Roman" w:eastAsia="宋体" w:cs="Times New Roman"/>
          <w:sz w:val="24"/>
        </w:rPr>
      </w:pPr>
      <m:oMath>
        <m:d>
          <m:dPr>
            <m:ctrlPr>
              <w:rPr>
                <w:rFonts w:ascii="Cambria Math" w:hAnsi="Cambria Math"/>
                <w:i/>
                <w:sz w:val="24"/>
              </w:rPr>
            </m:ctrlPr>
          </m:dPr>
          <m:e>
            <m:acc>
              <m:accPr>
                <m:chr m:val="̅"/>
                <m:ctrlPr>
                  <w:rPr>
                    <w:rFonts w:ascii="Cambria Math" w:hAnsi="Cambria Math"/>
                    <w:i/>
                    <w:sz w:val="24"/>
                  </w:rPr>
                </m:ctrlPr>
              </m:accPr>
              <m:e>
                <m:sSub>
                  <m:sSubPr>
                    <m:ctrlPr>
                      <w:rPr>
                        <w:rFonts w:ascii="Cambria Math" w:hAnsi="Cambria Math"/>
                        <w:i/>
                        <w:sz w:val="24"/>
                      </w:rPr>
                    </m:ctrlPr>
                  </m:sSubPr>
                  <m:e>
                    <m:r>
                      <m:rPr/>
                      <w:rPr>
                        <w:rFonts w:ascii="Cambria Math" w:hAnsi="Cambria Math"/>
                        <w:sz w:val="24"/>
                      </w:rPr>
                      <m:t>L</m:t>
                    </m:r>
                    <m:ctrlPr>
                      <w:rPr>
                        <w:rFonts w:ascii="Cambria Math" w:hAnsi="Cambria Math"/>
                        <w:i/>
                        <w:sz w:val="24"/>
                      </w:rPr>
                    </m:ctrlPr>
                  </m:e>
                  <m:sub>
                    <m:r>
                      <m:rPr>
                        <m:sty m:val="p"/>
                      </m:rPr>
                      <w:rPr>
                        <w:rFonts w:ascii="Cambria Math" w:hAnsi="Cambria Math"/>
                        <w:sz w:val="24"/>
                      </w:rPr>
                      <m:t>0</m:t>
                    </m:r>
                    <m:r>
                      <m:rPr/>
                      <w:rPr>
                        <w:rFonts w:ascii="Cambria Math" w:hAnsi="Cambria Math" w:eastAsiaTheme="minorEastAsia"/>
                        <w:sz w:val="24"/>
                      </w:rPr>
                      <m:t>E</m:t>
                    </m:r>
                    <m:ctrlPr>
                      <w:rPr>
                        <w:rFonts w:ascii="Cambria Math" w:hAnsi="Cambria Math"/>
                        <w:i/>
                        <w:sz w:val="24"/>
                      </w:rPr>
                    </m:ctrlPr>
                  </m:sub>
                </m:sSub>
                <m:ctrlPr>
                  <w:rPr>
                    <w:rFonts w:ascii="Cambria Math" w:hAnsi="Cambria Math"/>
                    <w:i/>
                    <w:sz w:val="24"/>
                  </w:rPr>
                </m:ctrlPr>
              </m:e>
            </m:acc>
            <m:ctrlPr>
              <w:rPr>
                <w:rFonts w:ascii="Cambria Math" w:hAnsi="Cambria Math"/>
                <w:i/>
                <w:sz w:val="24"/>
              </w:rPr>
            </m:ctrlPr>
          </m:e>
        </m:d>
      </m:oMath>
      <w:r>
        <w:rPr>
          <w:rFonts w:hint="eastAsia" w:ascii="Times New Roman" w:hAnsi="Times New Roman" w:eastAsia="宋体" w:cs="Times New Roman"/>
          <w:sz w:val="24"/>
          <w:vertAlign w:val="subscript"/>
        </w:rPr>
        <w:t>s</w:t>
      </w:r>
      <w:r>
        <w:rPr>
          <w:rFonts w:ascii="Times New Roman" w:hAnsi="Times New Roman" w:eastAsia="宋体" w:cs="Times New Roman"/>
          <w:sz w:val="24"/>
        </w:rPr>
        <w:t>——</w:t>
      </w:r>
      <w:r>
        <w:rPr>
          <w:rFonts w:hint="eastAsia" w:ascii="Times New Roman" w:hAnsi="Times New Roman" w:eastAsia="宋体" w:cs="Times New Roman"/>
          <w:sz w:val="24"/>
        </w:rPr>
        <w:t>小型车在参照点处的平均辐射噪声级，dB(A)；</w:t>
      </w:r>
    </w:p>
    <w:p w14:paraId="7EE1BB6C">
      <w:pPr>
        <w:spacing w:line="300" w:lineRule="auto"/>
        <w:ind w:firstLine="1200" w:firstLineChars="500"/>
        <w:rPr>
          <w:rFonts w:ascii="Times New Roman" w:hAnsi="Times New Roman" w:eastAsia="宋体" w:cs="Times New Roman"/>
          <w:position w:val="-12"/>
          <w:sz w:val="24"/>
        </w:rPr>
      </w:pPr>
      <w:r>
        <w:rPr>
          <w:rFonts w:hint="eastAsia" w:ascii="Times New Roman" w:hAnsi="Times New Roman" w:eastAsia="宋体" w:cs="Times New Roman"/>
          <w:i/>
          <w:iCs/>
          <w:position w:val="-12"/>
          <w:sz w:val="24"/>
        </w:rPr>
        <w:t>v</w:t>
      </w:r>
      <w:r>
        <w:rPr>
          <w:rFonts w:hint="eastAsia" w:ascii="Times New Roman" w:hAnsi="Times New Roman" w:eastAsia="宋体" w:cs="Times New Roman"/>
          <w:position w:val="-12"/>
          <w:sz w:val="24"/>
          <w:vertAlign w:val="subscript"/>
        </w:rPr>
        <w:t>l</w:t>
      </w:r>
      <w:r>
        <w:rPr>
          <w:rFonts w:ascii="Times New Roman" w:hAnsi="Times New Roman" w:eastAsia="宋体" w:cs="Times New Roman"/>
          <w:position w:val="-12"/>
          <w:sz w:val="24"/>
        </w:rPr>
        <w:t>——</w:t>
      </w:r>
      <w:r>
        <w:rPr>
          <w:rFonts w:hint="eastAsia" w:ascii="Times New Roman" w:hAnsi="Times New Roman" w:eastAsia="宋体" w:cs="Times New Roman"/>
          <w:position w:val="-12"/>
          <w:sz w:val="24"/>
        </w:rPr>
        <w:t>大型车的平均速度，km/h；</w:t>
      </w:r>
    </w:p>
    <w:p w14:paraId="48502555">
      <w:pPr>
        <w:spacing w:line="300" w:lineRule="auto"/>
        <w:ind w:firstLine="1200" w:firstLineChars="500"/>
        <w:rPr>
          <w:rFonts w:ascii="Times New Roman" w:hAnsi="Times New Roman" w:eastAsia="宋体" w:cs="Times New Roman"/>
          <w:position w:val="-12"/>
          <w:sz w:val="24"/>
        </w:rPr>
      </w:pPr>
      <w:r>
        <w:rPr>
          <w:rFonts w:hint="eastAsia" w:ascii="Times New Roman" w:hAnsi="Times New Roman" w:eastAsia="宋体" w:cs="Times New Roman"/>
          <w:i/>
          <w:iCs/>
          <w:position w:val="-12"/>
          <w:sz w:val="24"/>
        </w:rPr>
        <w:t>v</w:t>
      </w:r>
      <w:r>
        <w:rPr>
          <w:rFonts w:hint="eastAsia" w:ascii="Times New Roman" w:hAnsi="Times New Roman" w:eastAsia="宋体" w:cs="Times New Roman"/>
          <w:position w:val="-12"/>
          <w:sz w:val="24"/>
          <w:vertAlign w:val="subscript"/>
        </w:rPr>
        <w:t>m</w:t>
      </w:r>
      <w:r>
        <w:rPr>
          <w:rFonts w:ascii="Times New Roman" w:hAnsi="Times New Roman" w:eastAsia="宋体" w:cs="Times New Roman"/>
          <w:position w:val="-12"/>
          <w:sz w:val="24"/>
        </w:rPr>
        <w:t>——</w:t>
      </w:r>
      <w:r>
        <w:rPr>
          <w:rFonts w:hint="eastAsia" w:ascii="Times New Roman" w:hAnsi="Times New Roman" w:eastAsia="宋体" w:cs="Times New Roman"/>
          <w:position w:val="-12"/>
          <w:sz w:val="24"/>
        </w:rPr>
        <w:t>中型车的平均速度，km/h；</w:t>
      </w:r>
    </w:p>
    <w:p w14:paraId="55758378">
      <w:pPr>
        <w:spacing w:line="300" w:lineRule="auto"/>
        <w:ind w:firstLine="1200" w:firstLineChars="500"/>
        <w:rPr>
          <w:rFonts w:ascii="Times New Roman" w:hAnsi="Times New Roman" w:eastAsia="宋体" w:cs="Times New Roman"/>
          <w:position w:val="-12"/>
          <w:sz w:val="24"/>
        </w:rPr>
      </w:pPr>
      <w:r>
        <w:rPr>
          <w:rFonts w:hint="eastAsia" w:ascii="Times New Roman" w:hAnsi="Times New Roman" w:eastAsia="宋体" w:cs="Times New Roman"/>
          <w:i/>
          <w:iCs/>
          <w:position w:val="-12"/>
          <w:sz w:val="24"/>
        </w:rPr>
        <w:t>v</w:t>
      </w:r>
      <w:r>
        <w:rPr>
          <w:rFonts w:hint="eastAsia" w:ascii="Times New Roman" w:hAnsi="Times New Roman" w:eastAsia="宋体" w:cs="Times New Roman"/>
          <w:position w:val="-12"/>
          <w:sz w:val="24"/>
          <w:vertAlign w:val="subscript"/>
        </w:rPr>
        <w:t>s</w:t>
      </w:r>
      <w:r>
        <w:rPr>
          <w:rFonts w:ascii="Times New Roman" w:hAnsi="Times New Roman" w:eastAsia="宋体" w:cs="Times New Roman"/>
          <w:position w:val="-12"/>
          <w:sz w:val="24"/>
        </w:rPr>
        <w:t>——</w:t>
      </w:r>
      <w:r>
        <w:rPr>
          <w:rFonts w:hint="eastAsia" w:ascii="Times New Roman" w:hAnsi="Times New Roman" w:eastAsia="宋体" w:cs="Times New Roman"/>
          <w:position w:val="-12"/>
          <w:sz w:val="24"/>
        </w:rPr>
        <w:t>小型车的平均速度，km/h。</w:t>
      </w:r>
    </w:p>
    <w:p w14:paraId="151C2BB9">
      <w:pPr>
        <w:spacing w:line="300" w:lineRule="auto"/>
        <w:ind w:firstLine="480" w:firstLineChars="200"/>
        <w:rPr>
          <w:rFonts w:ascii="Times New Roman" w:hAnsi="Times New Roman" w:eastAsia="宋体" w:cs="Times New Roman"/>
          <w:bCs/>
          <w:sz w:val="24"/>
        </w:rPr>
      </w:pPr>
      <w:r>
        <w:rPr>
          <w:rFonts w:hint="eastAsia" w:ascii="Times New Roman" w:hAnsi="Times New Roman" w:eastAsia="宋体" w:cs="Times New Roman"/>
          <w:sz w:val="24"/>
        </w:rPr>
        <w:t>② 根据《环境影响评价技术导则</w:t>
      </w:r>
      <w:r>
        <w:rPr>
          <w:rFonts w:ascii="Times New Roman" w:hAnsi="Times New Roman" w:eastAsia="宋体" w:cs="Times New Roman"/>
          <w:sz w:val="24"/>
        </w:rPr>
        <w:t xml:space="preserve"> </w:t>
      </w:r>
      <w:r>
        <w:rPr>
          <w:rFonts w:hint="eastAsia" w:ascii="Times New Roman" w:hAnsi="Times New Roman" w:eastAsia="宋体" w:cs="Times New Roman"/>
          <w:sz w:val="24"/>
        </w:rPr>
        <w:t>公路建设项目》（</w:t>
      </w:r>
      <w:r>
        <w:rPr>
          <w:rFonts w:ascii="Times New Roman" w:hAnsi="Times New Roman" w:eastAsia="宋体" w:cs="Times New Roman"/>
          <w:sz w:val="24"/>
        </w:rPr>
        <w:t>HJ1358-2024</w:t>
      </w:r>
      <w:r>
        <w:rPr>
          <w:rFonts w:hint="eastAsia" w:ascii="Times New Roman" w:hAnsi="Times New Roman" w:eastAsia="宋体" w:cs="Times New Roman"/>
          <w:sz w:val="24"/>
        </w:rPr>
        <w:t>），</w:t>
      </w:r>
      <w:r>
        <w:rPr>
          <w:rFonts w:hint="eastAsia" w:ascii="Times New Roman" w:hAnsi="Times New Roman" w:eastAsia="宋体" w:cs="Times New Roman"/>
          <w:bCs/>
          <w:sz w:val="24"/>
        </w:rPr>
        <w:t>当平均车速超出适用车速范围时，</w:t>
      </w:r>
      <w:r>
        <w:rPr>
          <w:rFonts w:ascii="Times New Roman" w:hAnsi="Times New Roman" w:eastAsia="宋体" w:cs="Times New Roman"/>
          <w:spacing w:val="4"/>
          <w:sz w:val="24"/>
        </w:rPr>
        <w:t>平均辐射噪声级</w:t>
      </w:r>
      <m:oMath>
        <m:d>
          <m:dPr>
            <m:ctrlPr>
              <w:rPr>
                <w:rFonts w:ascii="Cambria Math" w:hAnsi="Cambria Math"/>
                <w:i/>
                <w:sz w:val="24"/>
              </w:rPr>
            </m:ctrlPr>
          </m:dPr>
          <m:e>
            <m:acc>
              <m:accPr>
                <m:chr m:val="̅"/>
                <m:ctrlPr>
                  <w:rPr>
                    <w:rFonts w:ascii="Cambria Math" w:hAnsi="Cambria Math"/>
                    <w:i/>
                    <w:sz w:val="24"/>
                  </w:rPr>
                </m:ctrlPr>
              </m:accPr>
              <m:e>
                <m:sSub>
                  <m:sSubPr>
                    <m:ctrlPr>
                      <w:rPr>
                        <w:rFonts w:ascii="Cambria Math" w:hAnsi="Cambria Math"/>
                        <w:i/>
                        <w:sz w:val="24"/>
                      </w:rPr>
                    </m:ctrlPr>
                  </m:sSubPr>
                  <m:e>
                    <m:r>
                      <m:rPr/>
                      <w:rPr>
                        <w:rFonts w:ascii="Cambria Math" w:hAnsi="Cambria Math"/>
                        <w:sz w:val="24"/>
                      </w:rPr>
                      <m:t>L</m:t>
                    </m:r>
                    <m:ctrlPr>
                      <w:rPr>
                        <w:rFonts w:ascii="Cambria Math" w:hAnsi="Cambria Math"/>
                        <w:i/>
                        <w:sz w:val="24"/>
                      </w:rPr>
                    </m:ctrlPr>
                  </m:e>
                  <m:sub>
                    <m:r>
                      <m:rPr>
                        <m:sty m:val="p"/>
                      </m:rPr>
                      <w:rPr>
                        <w:rFonts w:ascii="Cambria Math" w:hAnsi="Cambria Math"/>
                        <w:sz w:val="24"/>
                      </w:rPr>
                      <m:t>0</m:t>
                    </m:r>
                    <m:r>
                      <m:rPr/>
                      <w:rPr>
                        <w:rFonts w:ascii="Cambria Math" w:hAnsi="Cambria Math" w:eastAsiaTheme="minorEastAsia"/>
                        <w:sz w:val="24"/>
                      </w:rPr>
                      <m:t>E</m:t>
                    </m:r>
                    <m:ctrlPr>
                      <w:rPr>
                        <w:rFonts w:ascii="Cambria Math" w:hAnsi="Cambria Math"/>
                        <w:i/>
                        <w:sz w:val="24"/>
                      </w:rPr>
                    </m:ctrlPr>
                  </m:sub>
                </m:sSub>
                <m:ctrlPr>
                  <w:rPr>
                    <w:rFonts w:ascii="Cambria Math" w:hAnsi="Cambria Math"/>
                    <w:i/>
                    <w:sz w:val="24"/>
                  </w:rPr>
                </m:ctrlPr>
              </m:e>
            </m:acc>
            <m:ctrlPr>
              <w:rPr>
                <w:rFonts w:ascii="Cambria Math" w:hAnsi="Cambria Math"/>
                <w:i/>
                <w:sz w:val="24"/>
              </w:rPr>
            </m:ctrlPr>
          </m:e>
        </m:d>
      </m:oMath>
      <w:r>
        <w:rPr>
          <w:rFonts w:hint="eastAsia" w:ascii="Times New Roman" w:hAnsi="Times New Roman" w:eastAsia="宋体" w:cs="Times New Roman"/>
          <w:i/>
          <w:iCs/>
          <w:sz w:val="24"/>
          <w:vertAlign w:val="subscript"/>
        </w:rPr>
        <w:t>i</w:t>
      </w:r>
      <w:r>
        <w:rPr>
          <w:rFonts w:hint="eastAsia" w:ascii="Times New Roman" w:hAnsi="Times New Roman" w:eastAsia="宋体" w:cs="Times New Roman"/>
          <w:sz w:val="24"/>
        </w:rPr>
        <w:t>可采用类比调查或参考有关研究成果确定。对于</w:t>
      </w:r>
      <w:r>
        <w:rPr>
          <w:rFonts w:hint="eastAsia" w:ascii="Times New Roman" w:hAnsi="Times New Roman" w:eastAsia="宋体" w:cs="Times New Roman"/>
          <w:bCs/>
          <w:sz w:val="24"/>
        </w:rPr>
        <w:t>平均车速超出适用车速范围的路段，本评价采用北京大学出版社出版、国家环境保护局开发监督司编著的《环境影响评价技术原则与方法》中的单车辐射声级计算公式计算项目交通噪声源强（7.5m 处，适用车速范围为 20～80km/h），具体计算公式如下：</w:t>
      </w:r>
    </w:p>
    <w:p w14:paraId="3DCC60A1">
      <w:pPr>
        <w:spacing w:line="300" w:lineRule="auto"/>
        <w:ind w:firstLine="480" w:firstLineChars="200"/>
        <w:jc w:val="center"/>
        <w:rPr>
          <w:rFonts w:ascii="Times New Roman" w:hAnsi="Times New Roman" w:eastAsia="宋体" w:cs="Times New Roman"/>
          <w:bCs/>
          <w:sz w:val="24"/>
        </w:rPr>
      </w:pPr>
      <w:r>
        <w:rPr>
          <w:rFonts w:hint="eastAsia" w:ascii="Times New Roman" w:hAnsi="Times New Roman" w:eastAsia="宋体" w:cs="Times New Roman"/>
          <w:bCs/>
          <w:sz w:val="24"/>
        </w:rPr>
        <w:t xml:space="preserve">小型车 </w:t>
      </w:r>
      <m:oMath>
        <m:d>
          <m:dPr>
            <m:ctrlPr>
              <w:rPr>
                <w:rFonts w:ascii="Cambria Math" w:hAnsi="Cambria Math"/>
                <w:i/>
                <w:sz w:val="24"/>
              </w:rPr>
            </m:ctrlPr>
          </m:dPr>
          <m:e>
            <m:acc>
              <m:accPr>
                <m:chr m:val="̅"/>
                <m:ctrlPr>
                  <w:rPr>
                    <w:rFonts w:ascii="Cambria Math" w:hAnsi="Cambria Math"/>
                    <w:i/>
                    <w:sz w:val="24"/>
                  </w:rPr>
                </m:ctrlPr>
              </m:accPr>
              <m:e>
                <m:sSub>
                  <m:sSubPr>
                    <m:ctrlPr>
                      <w:rPr>
                        <w:rFonts w:ascii="Cambria Math" w:hAnsi="Cambria Math"/>
                        <w:i/>
                        <w:sz w:val="24"/>
                      </w:rPr>
                    </m:ctrlPr>
                  </m:sSubPr>
                  <m:e>
                    <m:r>
                      <m:rPr/>
                      <w:rPr>
                        <w:rFonts w:ascii="Cambria Math" w:hAnsi="Cambria Math"/>
                        <w:sz w:val="24"/>
                      </w:rPr>
                      <m:t>L</m:t>
                    </m:r>
                    <m:ctrlPr>
                      <w:rPr>
                        <w:rFonts w:ascii="Cambria Math" w:hAnsi="Cambria Math"/>
                        <w:i/>
                        <w:sz w:val="24"/>
                      </w:rPr>
                    </m:ctrlPr>
                  </m:e>
                  <m:sub>
                    <m:r>
                      <m:rPr>
                        <m:sty m:val="p"/>
                      </m:rPr>
                      <w:rPr>
                        <w:rFonts w:ascii="Cambria Math" w:hAnsi="Cambria Math"/>
                        <w:sz w:val="24"/>
                      </w:rPr>
                      <m:t>0</m:t>
                    </m:r>
                    <m:r>
                      <m:rPr/>
                      <w:rPr>
                        <w:rFonts w:ascii="Cambria Math" w:hAnsi="Cambria Math" w:eastAsiaTheme="minorEastAsia"/>
                        <w:sz w:val="24"/>
                      </w:rPr>
                      <m:t>E</m:t>
                    </m:r>
                    <m:ctrlPr>
                      <w:rPr>
                        <w:rFonts w:ascii="Cambria Math" w:hAnsi="Cambria Math"/>
                        <w:i/>
                        <w:sz w:val="24"/>
                      </w:rPr>
                    </m:ctrlPr>
                  </m:sub>
                </m:sSub>
                <m:ctrlPr>
                  <w:rPr>
                    <w:rFonts w:ascii="Cambria Math" w:hAnsi="Cambria Math"/>
                    <w:i/>
                    <w:sz w:val="24"/>
                  </w:rPr>
                </m:ctrlPr>
              </m:e>
            </m:acc>
            <m:ctrlPr>
              <w:rPr>
                <w:rFonts w:ascii="Cambria Math" w:hAnsi="Cambria Math"/>
                <w:i/>
                <w:sz w:val="24"/>
              </w:rPr>
            </m:ctrlPr>
          </m:e>
        </m:d>
        <m:r>
          <m:rPr/>
          <w:rPr>
            <w:rFonts w:hint="eastAsia" w:ascii="Cambria Math" w:hAnsi="Cambria Math"/>
            <w:sz w:val="24"/>
          </w:rPr>
          <m:t>s</m:t>
        </m:r>
      </m:oMath>
      <w:r>
        <w:rPr>
          <w:rFonts w:hint="eastAsia" w:ascii="Times New Roman" w:hAnsi="Times New Roman" w:eastAsia="宋体" w:cs="Times New Roman"/>
          <w:bCs/>
          <w:sz w:val="24"/>
        </w:rPr>
        <w:t xml:space="preserve"> =25+27lgV</w:t>
      </w:r>
      <w:r>
        <w:rPr>
          <w:rFonts w:hint="eastAsia" w:ascii="Times New Roman" w:hAnsi="Times New Roman" w:eastAsia="宋体" w:cs="Times New Roman"/>
          <w:bCs/>
          <w:sz w:val="24"/>
          <w:vertAlign w:val="subscript"/>
        </w:rPr>
        <w:t>S</w:t>
      </w:r>
      <w:r>
        <w:rPr>
          <w:rFonts w:ascii="Times New Roman" w:hAnsi="Times New Roman" w:eastAsia="宋体" w:cs="Times New Roman"/>
          <w:bCs/>
          <w:sz w:val="24"/>
          <w:vertAlign w:val="subscript"/>
        </w:rPr>
        <w:t xml:space="preserve"> </w:t>
      </w:r>
    </w:p>
    <w:p w14:paraId="31D95C42">
      <w:pPr>
        <w:spacing w:line="300" w:lineRule="auto"/>
        <w:ind w:firstLine="480" w:firstLineChars="200"/>
        <w:jc w:val="center"/>
        <w:rPr>
          <w:rFonts w:ascii="Times New Roman" w:hAnsi="Times New Roman" w:eastAsia="宋体" w:cs="Times New Roman"/>
          <w:bCs/>
          <w:sz w:val="24"/>
        </w:rPr>
      </w:pPr>
      <w:r>
        <w:rPr>
          <w:rFonts w:hint="eastAsia" w:ascii="Times New Roman" w:hAnsi="Times New Roman" w:eastAsia="宋体" w:cs="Times New Roman"/>
          <w:bCs/>
          <w:sz w:val="24"/>
        </w:rPr>
        <w:t xml:space="preserve">中型车 </w:t>
      </w:r>
      <m:oMath>
        <m:d>
          <m:dPr>
            <m:ctrlPr>
              <w:rPr>
                <w:rFonts w:ascii="Cambria Math" w:hAnsi="Cambria Math"/>
                <w:i/>
                <w:sz w:val="24"/>
              </w:rPr>
            </m:ctrlPr>
          </m:dPr>
          <m:e>
            <m:acc>
              <m:accPr>
                <m:chr m:val="̅"/>
                <m:ctrlPr>
                  <w:rPr>
                    <w:rFonts w:ascii="Cambria Math" w:hAnsi="Cambria Math"/>
                    <w:i/>
                    <w:sz w:val="24"/>
                  </w:rPr>
                </m:ctrlPr>
              </m:accPr>
              <m:e>
                <m:sSub>
                  <m:sSubPr>
                    <m:ctrlPr>
                      <w:rPr>
                        <w:rFonts w:ascii="Cambria Math" w:hAnsi="Cambria Math"/>
                        <w:i/>
                        <w:sz w:val="24"/>
                      </w:rPr>
                    </m:ctrlPr>
                  </m:sSubPr>
                  <m:e>
                    <m:r>
                      <m:rPr/>
                      <w:rPr>
                        <w:rFonts w:ascii="Cambria Math" w:hAnsi="Cambria Math"/>
                        <w:sz w:val="24"/>
                      </w:rPr>
                      <m:t>L</m:t>
                    </m:r>
                    <m:ctrlPr>
                      <w:rPr>
                        <w:rFonts w:ascii="Cambria Math" w:hAnsi="Cambria Math"/>
                        <w:i/>
                        <w:sz w:val="24"/>
                      </w:rPr>
                    </m:ctrlPr>
                  </m:e>
                  <m:sub>
                    <m:r>
                      <m:rPr>
                        <m:sty m:val="p"/>
                      </m:rPr>
                      <w:rPr>
                        <w:rFonts w:ascii="Cambria Math" w:hAnsi="Cambria Math"/>
                        <w:sz w:val="24"/>
                      </w:rPr>
                      <m:t>0</m:t>
                    </m:r>
                    <m:r>
                      <m:rPr/>
                      <w:rPr>
                        <w:rFonts w:ascii="Cambria Math" w:hAnsi="Cambria Math" w:eastAsiaTheme="minorEastAsia"/>
                        <w:sz w:val="24"/>
                      </w:rPr>
                      <m:t>E</m:t>
                    </m:r>
                    <m:ctrlPr>
                      <w:rPr>
                        <w:rFonts w:ascii="Cambria Math" w:hAnsi="Cambria Math"/>
                        <w:i/>
                        <w:sz w:val="24"/>
                      </w:rPr>
                    </m:ctrlPr>
                  </m:sub>
                </m:sSub>
                <m:ctrlPr>
                  <w:rPr>
                    <w:rFonts w:ascii="Cambria Math" w:hAnsi="Cambria Math"/>
                    <w:i/>
                    <w:sz w:val="24"/>
                  </w:rPr>
                </m:ctrlPr>
              </m:e>
            </m:acc>
            <m:ctrlPr>
              <w:rPr>
                <w:rFonts w:ascii="Cambria Math" w:hAnsi="Cambria Math"/>
                <w:i/>
                <w:sz w:val="24"/>
              </w:rPr>
            </m:ctrlPr>
          </m:e>
        </m:d>
        <m:r>
          <m:rPr/>
          <w:rPr>
            <w:rFonts w:hint="eastAsia" w:ascii="Cambria Math" w:hAnsi="Cambria Math"/>
            <w:sz w:val="24"/>
          </w:rPr>
          <m:t>m</m:t>
        </m:r>
      </m:oMath>
      <w:r>
        <w:rPr>
          <w:rFonts w:hint="eastAsia" w:ascii="Times New Roman" w:hAnsi="Times New Roman" w:eastAsia="宋体" w:cs="Times New Roman"/>
          <w:bCs/>
          <w:sz w:val="24"/>
        </w:rPr>
        <w:t xml:space="preserve"> =38+25lgV</w:t>
      </w:r>
      <w:r>
        <w:rPr>
          <w:rFonts w:hint="eastAsia" w:ascii="Times New Roman" w:hAnsi="Times New Roman" w:eastAsia="宋体" w:cs="Times New Roman"/>
          <w:bCs/>
          <w:sz w:val="24"/>
          <w:vertAlign w:val="subscript"/>
        </w:rPr>
        <w:t>M</w:t>
      </w:r>
    </w:p>
    <w:p w14:paraId="746D37D6">
      <w:pPr>
        <w:spacing w:line="300" w:lineRule="auto"/>
        <w:ind w:firstLine="480" w:firstLineChars="200"/>
        <w:jc w:val="center"/>
        <w:rPr>
          <w:rFonts w:ascii="Times New Roman" w:hAnsi="Times New Roman" w:eastAsia="宋体" w:cs="Times New Roman"/>
          <w:bCs/>
          <w:sz w:val="24"/>
        </w:rPr>
      </w:pPr>
      <w:r>
        <w:rPr>
          <w:rFonts w:hint="eastAsia" w:ascii="Times New Roman" w:hAnsi="Times New Roman" w:eastAsia="宋体" w:cs="Times New Roman"/>
          <w:bCs/>
          <w:sz w:val="24"/>
        </w:rPr>
        <w:t xml:space="preserve">大型车 </w:t>
      </w:r>
      <m:oMath>
        <m:d>
          <m:dPr>
            <m:ctrlPr>
              <w:rPr>
                <w:rFonts w:ascii="Cambria Math" w:hAnsi="Cambria Math"/>
                <w:i/>
                <w:sz w:val="24"/>
              </w:rPr>
            </m:ctrlPr>
          </m:dPr>
          <m:e>
            <m:acc>
              <m:accPr>
                <m:chr m:val="̅"/>
                <m:ctrlPr>
                  <w:rPr>
                    <w:rFonts w:ascii="Cambria Math" w:hAnsi="Cambria Math"/>
                    <w:i/>
                    <w:sz w:val="24"/>
                  </w:rPr>
                </m:ctrlPr>
              </m:accPr>
              <m:e>
                <m:sSub>
                  <m:sSubPr>
                    <m:ctrlPr>
                      <w:rPr>
                        <w:rFonts w:ascii="Cambria Math" w:hAnsi="Cambria Math"/>
                        <w:i/>
                        <w:sz w:val="24"/>
                      </w:rPr>
                    </m:ctrlPr>
                  </m:sSubPr>
                  <m:e>
                    <m:r>
                      <m:rPr/>
                      <w:rPr>
                        <w:rFonts w:ascii="Cambria Math" w:hAnsi="Cambria Math"/>
                        <w:sz w:val="24"/>
                      </w:rPr>
                      <m:t>L</m:t>
                    </m:r>
                    <m:ctrlPr>
                      <w:rPr>
                        <w:rFonts w:ascii="Cambria Math" w:hAnsi="Cambria Math"/>
                        <w:i/>
                        <w:sz w:val="24"/>
                      </w:rPr>
                    </m:ctrlPr>
                  </m:e>
                  <m:sub>
                    <m:r>
                      <m:rPr>
                        <m:sty m:val="p"/>
                      </m:rPr>
                      <w:rPr>
                        <w:rFonts w:ascii="Cambria Math" w:hAnsi="Cambria Math"/>
                        <w:sz w:val="24"/>
                      </w:rPr>
                      <m:t>0</m:t>
                    </m:r>
                    <m:r>
                      <m:rPr/>
                      <w:rPr>
                        <w:rFonts w:ascii="Cambria Math" w:hAnsi="Cambria Math" w:eastAsiaTheme="minorEastAsia"/>
                        <w:sz w:val="24"/>
                      </w:rPr>
                      <m:t>E</m:t>
                    </m:r>
                    <m:ctrlPr>
                      <w:rPr>
                        <w:rFonts w:ascii="Cambria Math" w:hAnsi="Cambria Math"/>
                        <w:i/>
                        <w:sz w:val="24"/>
                      </w:rPr>
                    </m:ctrlPr>
                  </m:sub>
                </m:sSub>
                <m:ctrlPr>
                  <w:rPr>
                    <w:rFonts w:ascii="Cambria Math" w:hAnsi="Cambria Math"/>
                    <w:i/>
                    <w:sz w:val="24"/>
                  </w:rPr>
                </m:ctrlPr>
              </m:e>
            </m:acc>
            <m:ctrlPr>
              <w:rPr>
                <w:rFonts w:ascii="Cambria Math" w:hAnsi="Cambria Math"/>
                <w:i/>
                <w:sz w:val="24"/>
              </w:rPr>
            </m:ctrlPr>
          </m:e>
        </m:d>
        <m:r>
          <m:rPr/>
          <w:rPr>
            <w:rFonts w:hint="eastAsia" w:ascii="Cambria Math" w:hAnsi="Cambria Math"/>
            <w:sz w:val="24"/>
          </w:rPr>
          <m:t>l</m:t>
        </m:r>
      </m:oMath>
      <w:r>
        <w:rPr>
          <w:rFonts w:hint="eastAsia" w:ascii="Times New Roman" w:hAnsi="Times New Roman" w:eastAsia="宋体" w:cs="Times New Roman"/>
          <w:bCs/>
          <w:sz w:val="24"/>
        </w:rPr>
        <w:t xml:space="preserve"> =45+24lgV</w:t>
      </w:r>
      <w:r>
        <w:rPr>
          <w:rFonts w:hint="eastAsia" w:ascii="Times New Roman" w:hAnsi="Times New Roman" w:eastAsia="宋体" w:cs="Times New Roman"/>
          <w:bCs/>
          <w:sz w:val="24"/>
          <w:vertAlign w:val="subscript"/>
        </w:rPr>
        <w:t>L</w:t>
      </w:r>
    </w:p>
    <w:p w14:paraId="24300C88">
      <w:pPr>
        <w:spacing w:line="300" w:lineRule="auto"/>
        <w:ind w:firstLine="480" w:firstLineChars="200"/>
        <w:rPr>
          <w:rFonts w:ascii="Times New Roman" w:hAnsi="Times New Roman" w:eastAsia="宋体" w:cs="Times New Roman"/>
          <w:bCs/>
          <w:sz w:val="24"/>
        </w:rPr>
      </w:pPr>
      <w:r>
        <w:rPr>
          <w:rFonts w:hint="eastAsia" w:ascii="Times New Roman" w:hAnsi="Times New Roman" w:eastAsia="宋体" w:cs="Times New Roman"/>
          <w:bCs/>
          <w:sz w:val="24"/>
        </w:rPr>
        <w:t>式中：V</w:t>
      </w:r>
      <w:r>
        <w:rPr>
          <w:rFonts w:hint="eastAsia" w:ascii="Times New Roman" w:hAnsi="Times New Roman" w:eastAsia="宋体" w:cs="Times New Roman"/>
          <w:bCs/>
          <w:sz w:val="24"/>
          <w:vertAlign w:val="subscript"/>
        </w:rPr>
        <w:t>S</w:t>
      </w:r>
      <w:r>
        <w:rPr>
          <w:rFonts w:hint="eastAsia" w:ascii="Times New Roman" w:hAnsi="Times New Roman" w:eastAsia="宋体" w:cs="Times New Roman"/>
          <w:bCs/>
          <w:sz w:val="24"/>
        </w:rPr>
        <w:t>、V</w:t>
      </w:r>
      <w:r>
        <w:rPr>
          <w:rFonts w:hint="eastAsia" w:ascii="Times New Roman" w:hAnsi="Times New Roman" w:eastAsia="宋体" w:cs="Times New Roman"/>
          <w:bCs/>
          <w:sz w:val="24"/>
          <w:vertAlign w:val="subscript"/>
        </w:rPr>
        <w:t>M</w:t>
      </w:r>
      <w:r>
        <w:rPr>
          <w:rFonts w:hint="eastAsia" w:ascii="Times New Roman" w:hAnsi="Times New Roman" w:eastAsia="宋体" w:cs="Times New Roman"/>
          <w:bCs/>
          <w:sz w:val="24"/>
        </w:rPr>
        <w:t>、V</w:t>
      </w:r>
      <w:r>
        <w:rPr>
          <w:rFonts w:hint="eastAsia" w:ascii="Times New Roman" w:hAnsi="Times New Roman" w:eastAsia="宋体" w:cs="Times New Roman"/>
          <w:bCs/>
          <w:sz w:val="24"/>
          <w:vertAlign w:val="subscript"/>
        </w:rPr>
        <w:t>L</w:t>
      </w:r>
      <w:r>
        <w:rPr>
          <w:rFonts w:hint="eastAsia" w:ascii="Times New Roman" w:hAnsi="Times New Roman" w:eastAsia="宋体" w:cs="Times New Roman"/>
          <w:bCs/>
          <w:sz w:val="24"/>
        </w:rPr>
        <w:t>、为小、中、大型车车辆平均行驶速度（km/h）。</w:t>
      </w:r>
    </w:p>
    <w:p w14:paraId="4AE30698">
      <w:pPr>
        <w:spacing w:line="300"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③ 拟建公路各期小、中、大型车单车平均辐射声级预测结果见表2.5-</w:t>
      </w:r>
      <w:r>
        <w:rPr>
          <w:rFonts w:ascii="Times New Roman" w:hAnsi="Times New Roman" w:eastAsia="宋体" w:cs="Times New Roman"/>
          <w:sz w:val="24"/>
        </w:rPr>
        <w:t>1</w:t>
      </w:r>
      <w:r>
        <w:rPr>
          <w:rFonts w:hint="eastAsia" w:ascii="Times New Roman" w:hAnsi="Times New Roman" w:eastAsia="宋体" w:cs="Times New Roman"/>
          <w:sz w:val="24"/>
        </w:rPr>
        <w:t>7。</w:t>
      </w:r>
    </w:p>
    <w:p w14:paraId="269E2CC5">
      <w:pPr>
        <w:spacing w:beforeLines="50"/>
        <w:jc w:val="center"/>
        <w:rPr>
          <w:rFonts w:ascii="Times New Roman" w:hAnsi="Times New Roman" w:eastAsia="宋体" w:cs="Times New Roman"/>
          <w:b/>
          <w:bCs/>
        </w:rPr>
      </w:pPr>
      <w:r>
        <w:rPr>
          <w:rFonts w:ascii="Times New Roman" w:hAnsi="Times New Roman" w:eastAsia="宋体" w:cs="Times New Roman"/>
          <w:b/>
          <w:bCs/>
        </w:rPr>
        <w:t>表2.5</w:t>
      </w:r>
      <w:r>
        <w:rPr>
          <w:rFonts w:hint="eastAsia" w:ascii="Times New Roman" w:hAnsi="Times New Roman" w:eastAsia="宋体" w:cs="Times New Roman"/>
          <w:b/>
          <w:bCs/>
        </w:rPr>
        <w:t>-17</w:t>
      </w:r>
      <w:r>
        <w:rPr>
          <w:rFonts w:ascii="Times New Roman" w:hAnsi="Times New Roman" w:eastAsia="宋体" w:cs="Times New Roman"/>
          <w:b/>
          <w:bCs/>
        </w:rPr>
        <w:t xml:space="preserve">  拟建公路运营各期各车型单车噪声排放源强  单位：dB</w:t>
      </w:r>
    </w:p>
    <w:tbl>
      <w:tblPr>
        <w:tblStyle w:val="22"/>
        <w:tblW w:w="4912" w:type="pct"/>
        <w:jc w:val="center"/>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529"/>
        <w:gridCol w:w="1850"/>
        <w:gridCol w:w="849"/>
        <w:gridCol w:w="694"/>
        <w:gridCol w:w="694"/>
        <w:gridCol w:w="694"/>
        <w:gridCol w:w="694"/>
        <w:gridCol w:w="694"/>
        <w:gridCol w:w="681"/>
      </w:tblGrid>
      <w:tr w14:paraId="2FDF9404">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cantSplit/>
          <w:jc w:val="center"/>
        </w:trPr>
        <w:tc>
          <w:tcPr>
            <w:tcW w:w="3379" w:type="dxa"/>
            <w:gridSpan w:val="2"/>
            <w:vMerge w:val="restart"/>
            <w:noWrap/>
            <w:vAlign w:val="center"/>
          </w:tcPr>
          <w:p w14:paraId="32D817F5">
            <w:pPr>
              <w:widowControl/>
              <w:jc w:val="center"/>
              <w:rPr>
                <w:rFonts w:ascii="Times New Roman" w:hAnsi="Times New Roman" w:eastAsia="宋体" w:cs="Times New Roman"/>
                <w:b/>
                <w:kern w:val="0"/>
                <w:szCs w:val="21"/>
              </w:rPr>
            </w:pPr>
            <w:r>
              <w:rPr>
                <w:rFonts w:ascii="Times New Roman" w:hAnsi="宋体" w:eastAsia="宋体" w:cs="Times New Roman"/>
                <w:b/>
                <w:kern w:val="0"/>
                <w:szCs w:val="21"/>
              </w:rPr>
              <w:t>路段</w:t>
            </w:r>
          </w:p>
        </w:tc>
        <w:tc>
          <w:tcPr>
            <w:tcW w:w="849" w:type="dxa"/>
            <w:vMerge w:val="restart"/>
            <w:noWrap/>
            <w:vAlign w:val="center"/>
          </w:tcPr>
          <w:p w14:paraId="4F1DED36">
            <w:pPr>
              <w:widowControl/>
              <w:jc w:val="center"/>
              <w:rPr>
                <w:rFonts w:ascii="Times New Roman" w:hAnsi="Times New Roman" w:eastAsia="宋体" w:cs="Times New Roman"/>
                <w:b/>
                <w:kern w:val="0"/>
                <w:szCs w:val="21"/>
              </w:rPr>
            </w:pPr>
            <w:r>
              <w:rPr>
                <w:rFonts w:ascii="Times New Roman" w:hAnsi="宋体" w:eastAsia="宋体" w:cs="Times New Roman"/>
                <w:b/>
                <w:kern w:val="0"/>
                <w:szCs w:val="21"/>
              </w:rPr>
              <w:t>评价年</w:t>
            </w:r>
          </w:p>
        </w:tc>
        <w:tc>
          <w:tcPr>
            <w:tcW w:w="1388" w:type="dxa"/>
            <w:gridSpan w:val="2"/>
            <w:noWrap/>
            <w:vAlign w:val="center"/>
          </w:tcPr>
          <w:p w14:paraId="17F63542">
            <w:pPr>
              <w:widowControl/>
              <w:jc w:val="center"/>
              <w:rPr>
                <w:rFonts w:ascii="Times New Roman" w:hAnsi="Times New Roman" w:eastAsia="宋体" w:cs="Times New Roman"/>
                <w:b/>
                <w:kern w:val="0"/>
                <w:szCs w:val="21"/>
              </w:rPr>
            </w:pPr>
            <w:r>
              <w:rPr>
                <w:rFonts w:ascii="Times New Roman" w:hAnsi="宋体" w:eastAsia="宋体" w:cs="Times New Roman"/>
                <w:b/>
                <w:kern w:val="0"/>
                <w:szCs w:val="21"/>
              </w:rPr>
              <w:t>小型车</w:t>
            </w:r>
          </w:p>
        </w:tc>
        <w:tc>
          <w:tcPr>
            <w:tcW w:w="1388" w:type="dxa"/>
            <w:gridSpan w:val="2"/>
            <w:noWrap/>
            <w:vAlign w:val="center"/>
          </w:tcPr>
          <w:p w14:paraId="3731DB4E">
            <w:pPr>
              <w:widowControl/>
              <w:jc w:val="center"/>
              <w:rPr>
                <w:rFonts w:ascii="Times New Roman" w:hAnsi="Times New Roman" w:eastAsia="宋体" w:cs="Times New Roman"/>
                <w:b/>
                <w:kern w:val="0"/>
                <w:szCs w:val="21"/>
              </w:rPr>
            </w:pPr>
            <w:r>
              <w:rPr>
                <w:rFonts w:ascii="Times New Roman" w:hAnsi="宋体" w:eastAsia="宋体" w:cs="Times New Roman"/>
                <w:b/>
                <w:kern w:val="0"/>
                <w:szCs w:val="21"/>
              </w:rPr>
              <w:t>中型车</w:t>
            </w:r>
          </w:p>
        </w:tc>
        <w:tc>
          <w:tcPr>
            <w:tcW w:w="1375" w:type="dxa"/>
            <w:gridSpan w:val="2"/>
            <w:noWrap/>
            <w:vAlign w:val="center"/>
          </w:tcPr>
          <w:p w14:paraId="4FD59888">
            <w:pPr>
              <w:widowControl/>
              <w:jc w:val="center"/>
              <w:rPr>
                <w:rFonts w:ascii="Times New Roman" w:hAnsi="Times New Roman" w:eastAsia="宋体" w:cs="Times New Roman"/>
                <w:b/>
                <w:kern w:val="0"/>
                <w:szCs w:val="21"/>
              </w:rPr>
            </w:pPr>
            <w:r>
              <w:rPr>
                <w:rFonts w:ascii="Times New Roman" w:hAnsi="宋体" w:eastAsia="宋体" w:cs="Times New Roman"/>
                <w:b/>
                <w:kern w:val="0"/>
                <w:szCs w:val="21"/>
              </w:rPr>
              <w:t>大型车</w:t>
            </w:r>
          </w:p>
        </w:tc>
      </w:tr>
      <w:tr w14:paraId="17309B54">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cantSplit/>
          <w:jc w:val="center"/>
        </w:trPr>
        <w:tc>
          <w:tcPr>
            <w:tcW w:w="3379" w:type="dxa"/>
            <w:gridSpan w:val="2"/>
            <w:vMerge w:val="continue"/>
            <w:noWrap/>
            <w:vAlign w:val="center"/>
          </w:tcPr>
          <w:p w14:paraId="5059028D">
            <w:pPr>
              <w:widowControl/>
              <w:jc w:val="center"/>
              <w:rPr>
                <w:rFonts w:ascii="Times New Roman" w:hAnsi="Times New Roman" w:eastAsia="宋体" w:cs="Times New Roman"/>
                <w:b/>
                <w:kern w:val="0"/>
                <w:szCs w:val="21"/>
              </w:rPr>
            </w:pPr>
          </w:p>
        </w:tc>
        <w:tc>
          <w:tcPr>
            <w:tcW w:w="849" w:type="dxa"/>
            <w:vMerge w:val="continue"/>
            <w:noWrap/>
            <w:vAlign w:val="center"/>
          </w:tcPr>
          <w:p w14:paraId="1894BE4D">
            <w:pPr>
              <w:widowControl/>
              <w:jc w:val="center"/>
              <w:rPr>
                <w:rFonts w:ascii="Times New Roman" w:hAnsi="Times New Roman" w:eastAsia="宋体" w:cs="Times New Roman"/>
                <w:b/>
                <w:kern w:val="0"/>
                <w:szCs w:val="21"/>
              </w:rPr>
            </w:pPr>
          </w:p>
        </w:tc>
        <w:tc>
          <w:tcPr>
            <w:tcW w:w="694" w:type="dxa"/>
            <w:noWrap/>
            <w:vAlign w:val="center"/>
          </w:tcPr>
          <w:p w14:paraId="43D2BCCE">
            <w:pPr>
              <w:widowControl/>
              <w:jc w:val="center"/>
              <w:rPr>
                <w:rFonts w:ascii="Times New Roman" w:hAnsi="Times New Roman" w:eastAsia="宋体" w:cs="Times New Roman"/>
                <w:b/>
                <w:kern w:val="0"/>
                <w:szCs w:val="21"/>
              </w:rPr>
            </w:pPr>
            <w:r>
              <w:rPr>
                <w:rFonts w:ascii="Times New Roman" w:hAnsi="宋体" w:eastAsia="宋体" w:cs="Times New Roman"/>
                <w:b/>
                <w:kern w:val="0"/>
                <w:szCs w:val="21"/>
              </w:rPr>
              <w:t>昼间</w:t>
            </w:r>
          </w:p>
        </w:tc>
        <w:tc>
          <w:tcPr>
            <w:tcW w:w="694" w:type="dxa"/>
            <w:noWrap/>
            <w:vAlign w:val="center"/>
          </w:tcPr>
          <w:p w14:paraId="771F6FE0">
            <w:pPr>
              <w:widowControl/>
              <w:jc w:val="center"/>
              <w:rPr>
                <w:rFonts w:ascii="Times New Roman" w:hAnsi="Times New Roman" w:eastAsia="宋体" w:cs="Times New Roman"/>
                <w:b/>
                <w:kern w:val="0"/>
                <w:szCs w:val="21"/>
              </w:rPr>
            </w:pPr>
            <w:r>
              <w:rPr>
                <w:rFonts w:ascii="Times New Roman" w:hAnsi="宋体" w:eastAsia="宋体" w:cs="Times New Roman"/>
                <w:b/>
                <w:kern w:val="0"/>
                <w:szCs w:val="21"/>
              </w:rPr>
              <w:t>夜间</w:t>
            </w:r>
          </w:p>
        </w:tc>
        <w:tc>
          <w:tcPr>
            <w:tcW w:w="694" w:type="dxa"/>
            <w:noWrap/>
            <w:vAlign w:val="center"/>
          </w:tcPr>
          <w:p w14:paraId="2ED9CF7C">
            <w:pPr>
              <w:widowControl/>
              <w:jc w:val="center"/>
              <w:rPr>
                <w:rFonts w:ascii="Times New Roman" w:hAnsi="Times New Roman" w:eastAsia="宋体" w:cs="Times New Roman"/>
                <w:b/>
                <w:kern w:val="0"/>
                <w:szCs w:val="21"/>
              </w:rPr>
            </w:pPr>
            <w:r>
              <w:rPr>
                <w:rFonts w:ascii="Times New Roman" w:hAnsi="宋体" w:eastAsia="宋体" w:cs="Times New Roman"/>
                <w:b/>
                <w:kern w:val="0"/>
                <w:szCs w:val="21"/>
              </w:rPr>
              <w:t>昼间</w:t>
            </w:r>
          </w:p>
        </w:tc>
        <w:tc>
          <w:tcPr>
            <w:tcW w:w="694" w:type="dxa"/>
            <w:noWrap/>
            <w:vAlign w:val="center"/>
          </w:tcPr>
          <w:p w14:paraId="66AAAA9D">
            <w:pPr>
              <w:widowControl/>
              <w:jc w:val="center"/>
              <w:rPr>
                <w:rFonts w:ascii="Times New Roman" w:hAnsi="Times New Roman" w:eastAsia="宋体" w:cs="Times New Roman"/>
                <w:b/>
                <w:kern w:val="0"/>
                <w:szCs w:val="21"/>
              </w:rPr>
            </w:pPr>
            <w:r>
              <w:rPr>
                <w:rFonts w:ascii="Times New Roman" w:hAnsi="宋体" w:eastAsia="宋体" w:cs="Times New Roman"/>
                <w:b/>
                <w:kern w:val="0"/>
                <w:szCs w:val="21"/>
              </w:rPr>
              <w:t>夜间</w:t>
            </w:r>
          </w:p>
        </w:tc>
        <w:tc>
          <w:tcPr>
            <w:tcW w:w="694" w:type="dxa"/>
            <w:noWrap/>
            <w:vAlign w:val="center"/>
          </w:tcPr>
          <w:p w14:paraId="057AF3C3">
            <w:pPr>
              <w:widowControl/>
              <w:jc w:val="center"/>
              <w:rPr>
                <w:rFonts w:ascii="Times New Roman" w:hAnsi="Times New Roman" w:eastAsia="宋体" w:cs="Times New Roman"/>
                <w:b/>
                <w:kern w:val="0"/>
                <w:szCs w:val="21"/>
              </w:rPr>
            </w:pPr>
            <w:r>
              <w:rPr>
                <w:rFonts w:ascii="Times New Roman" w:hAnsi="宋体" w:eastAsia="宋体" w:cs="Times New Roman"/>
                <w:b/>
                <w:kern w:val="0"/>
                <w:szCs w:val="21"/>
              </w:rPr>
              <w:t>昼间</w:t>
            </w:r>
          </w:p>
        </w:tc>
        <w:tc>
          <w:tcPr>
            <w:tcW w:w="681" w:type="dxa"/>
            <w:noWrap/>
            <w:vAlign w:val="center"/>
          </w:tcPr>
          <w:p w14:paraId="15C67D2F">
            <w:pPr>
              <w:widowControl/>
              <w:jc w:val="center"/>
              <w:rPr>
                <w:rFonts w:ascii="Times New Roman" w:hAnsi="Times New Roman" w:eastAsia="宋体" w:cs="Times New Roman"/>
                <w:b/>
                <w:kern w:val="0"/>
                <w:szCs w:val="21"/>
              </w:rPr>
            </w:pPr>
            <w:r>
              <w:rPr>
                <w:rFonts w:ascii="Times New Roman" w:hAnsi="宋体" w:eastAsia="宋体" w:cs="Times New Roman"/>
                <w:b/>
                <w:kern w:val="0"/>
                <w:szCs w:val="21"/>
              </w:rPr>
              <w:t>夜间</w:t>
            </w:r>
          </w:p>
        </w:tc>
      </w:tr>
      <w:tr w14:paraId="325EDF99">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529" w:type="dxa"/>
            <w:vMerge w:val="restart"/>
            <w:noWrap/>
            <w:vAlign w:val="center"/>
          </w:tcPr>
          <w:p w14:paraId="59E1A198">
            <w:pPr>
              <w:widowControl/>
              <w:jc w:val="center"/>
              <w:rPr>
                <w:rFonts w:ascii="Times New Roman" w:hAnsi="Times New Roman" w:eastAsia="宋体" w:cs="Times New Roman"/>
                <w:kern w:val="0"/>
                <w:szCs w:val="21"/>
              </w:rPr>
            </w:pPr>
            <w:r>
              <w:rPr>
                <w:rFonts w:ascii="Times New Roman" w:hAnsi="宋体" w:eastAsia="宋体" w:cs="Times New Roman"/>
                <w:kern w:val="0"/>
                <w:szCs w:val="21"/>
              </w:rPr>
              <w:t>起点～胜利路</w:t>
            </w:r>
          </w:p>
        </w:tc>
        <w:tc>
          <w:tcPr>
            <w:tcW w:w="1850" w:type="dxa"/>
            <w:vMerge w:val="restart"/>
            <w:noWrap/>
            <w:vAlign w:val="center"/>
          </w:tcPr>
          <w:p w14:paraId="6413B870">
            <w:pPr>
              <w:widowControl/>
              <w:jc w:val="center"/>
              <w:rPr>
                <w:rFonts w:ascii="Times New Roman" w:hAnsi="Times New Roman" w:eastAsia="宋体" w:cs="Times New Roman"/>
                <w:kern w:val="0"/>
                <w:szCs w:val="21"/>
              </w:rPr>
            </w:pPr>
            <w:r>
              <w:rPr>
                <w:rFonts w:ascii="Times New Roman" w:hAnsi="宋体" w:eastAsia="宋体" w:cs="Times New Roman"/>
                <w:kern w:val="0"/>
                <w:szCs w:val="21"/>
              </w:rPr>
              <w:t>设计车速</w:t>
            </w:r>
            <w:r>
              <w:rPr>
                <w:rFonts w:hint="eastAsia" w:ascii="Times New Roman" w:hAnsi="Times New Roman" w:eastAsia="宋体" w:cs="Times New Roman"/>
                <w:kern w:val="0"/>
                <w:szCs w:val="21"/>
              </w:rPr>
              <w:t>8</w:t>
            </w:r>
            <w:r>
              <w:rPr>
                <w:rFonts w:ascii="Times New Roman" w:hAnsi="Times New Roman" w:eastAsia="宋体" w:cs="Times New Roman"/>
                <w:kern w:val="0"/>
                <w:szCs w:val="21"/>
              </w:rPr>
              <w:t>0km/h</w:t>
            </w:r>
            <w:r>
              <w:rPr>
                <w:rFonts w:ascii="Times New Roman" w:hAnsi="宋体" w:eastAsia="宋体" w:cs="Times New Roman"/>
                <w:kern w:val="0"/>
                <w:szCs w:val="21"/>
              </w:rPr>
              <w:t>，路基宽度</w:t>
            </w:r>
            <w:r>
              <w:rPr>
                <w:rFonts w:hint="eastAsia" w:ascii="Times New Roman" w:hAnsi="Times New Roman" w:eastAsia="宋体" w:cs="Times New Roman"/>
                <w:kern w:val="0"/>
                <w:szCs w:val="21"/>
              </w:rPr>
              <w:t>25.5</w:t>
            </w:r>
            <w:r>
              <w:rPr>
                <w:rFonts w:ascii="Times New Roman" w:hAnsi="Times New Roman" w:eastAsia="宋体" w:cs="Times New Roman"/>
                <w:kern w:val="0"/>
                <w:szCs w:val="21"/>
              </w:rPr>
              <w:t>m</w:t>
            </w:r>
          </w:p>
        </w:tc>
        <w:tc>
          <w:tcPr>
            <w:tcW w:w="849" w:type="dxa"/>
            <w:noWrap/>
            <w:vAlign w:val="center"/>
          </w:tcPr>
          <w:p w14:paraId="0472ED2C">
            <w:pPr>
              <w:widowControl/>
              <w:jc w:val="center"/>
              <w:rPr>
                <w:rFonts w:ascii="Times New Roman" w:hAnsi="Times New Roman" w:eastAsia="宋体" w:cs="Times New Roman"/>
                <w:kern w:val="0"/>
                <w:szCs w:val="21"/>
              </w:rPr>
            </w:pPr>
            <w:r>
              <w:rPr>
                <w:rFonts w:ascii="Times New Roman" w:hAnsi="宋体" w:eastAsia="宋体" w:cs="Times New Roman"/>
                <w:kern w:val="0"/>
                <w:szCs w:val="21"/>
              </w:rPr>
              <w:t>近期</w:t>
            </w:r>
          </w:p>
        </w:tc>
        <w:tc>
          <w:tcPr>
            <w:tcW w:w="694" w:type="dxa"/>
            <w:noWrap/>
            <w:vAlign w:val="center"/>
          </w:tcPr>
          <w:p w14:paraId="422DF6CC">
            <w:pPr>
              <w:jc w:val="center"/>
              <w:rPr>
                <w:rFonts w:ascii="Times New Roman" w:hAnsi="Times New Roman" w:eastAsia="宋体" w:cs="Times New Roman"/>
                <w:szCs w:val="21"/>
              </w:rPr>
            </w:pPr>
            <w:r>
              <w:rPr>
                <w:rFonts w:ascii="Times New Roman" w:hAnsi="Times New Roman" w:eastAsia="宋体" w:cs="Times New Roman"/>
                <w:szCs w:val="21"/>
              </w:rPr>
              <w:t>77.9</w:t>
            </w:r>
          </w:p>
        </w:tc>
        <w:tc>
          <w:tcPr>
            <w:tcW w:w="694" w:type="dxa"/>
            <w:noWrap/>
            <w:vAlign w:val="center"/>
          </w:tcPr>
          <w:p w14:paraId="25BE10CA">
            <w:pPr>
              <w:jc w:val="center"/>
              <w:rPr>
                <w:rFonts w:ascii="Times New Roman" w:hAnsi="Times New Roman" w:eastAsia="宋体" w:cs="Times New Roman"/>
                <w:szCs w:val="21"/>
              </w:rPr>
            </w:pPr>
            <w:r>
              <w:rPr>
                <w:rFonts w:ascii="Times New Roman" w:hAnsi="Times New Roman" w:eastAsia="宋体" w:cs="Times New Roman"/>
                <w:szCs w:val="21"/>
              </w:rPr>
              <w:t>77.9</w:t>
            </w:r>
          </w:p>
        </w:tc>
        <w:tc>
          <w:tcPr>
            <w:tcW w:w="694" w:type="dxa"/>
            <w:noWrap/>
            <w:vAlign w:val="center"/>
          </w:tcPr>
          <w:p w14:paraId="778940E1">
            <w:pPr>
              <w:jc w:val="center"/>
              <w:rPr>
                <w:rFonts w:ascii="Times New Roman" w:hAnsi="Times New Roman" w:eastAsia="宋体" w:cs="Times New Roman"/>
                <w:szCs w:val="21"/>
              </w:rPr>
            </w:pPr>
            <w:r>
              <w:rPr>
                <w:rFonts w:ascii="Times New Roman" w:hAnsi="Times New Roman" w:eastAsia="宋体" w:cs="Times New Roman"/>
                <w:szCs w:val="21"/>
              </w:rPr>
              <w:t>80.3</w:t>
            </w:r>
          </w:p>
        </w:tc>
        <w:tc>
          <w:tcPr>
            <w:tcW w:w="694" w:type="dxa"/>
            <w:noWrap/>
            <w:vAlign w:val="center"/>
          </w:tcPr>
          <w:p w14:paraId="17761446">
            <w:pPr>
              <w:jc w:val="center"/>
              <w:rPr>
                <w:rFonts w:ascii="Times New Roman" w:hAnsi="Times New Roman" w:eastAsia="宋体" w:cs="Times New Roman"/>
                <w:szCs w:val="21"/>
              </w:rPr>
            </w:pPr>
            <w:r>
              <w:rPr>
                <w:rFonts w:ascii="Times New Roman" w:hAnsi="Times New Roman" w:eastAsia="宋体" w:cs="Times New Roman"/>
                <w:szCs w:val="21"/>
              </w:rPr>
              <w:t>80.3</w:t>
            </w:r>
          </w:p>
        </w:tc>
        <w:tc>
          <w:tcPr>
            <w:tcW w:w="694" w:type="dxa"/>
            <w:noWrap/>
            <w:vAlign w:val="center"/>
          </w:tcPr>
          <w:p w14:paraId="19D18FF8">
            <w:pPr>
              <w:jc w:val="center"/>
              <w:rPr>
                <w:rFonts w:ascii="Times New Roman" w:hAnsi="Times New Roman" w:eastAsia="宋体" w:cs="Times New Roman"/>
                <w:szCs w:val="21"/>
              </w:rPr>
            </w:pPr>
            <w:r>
              <w:rPr>
                <w:rFonts w:ascii="Times New Roman" w:hAnsi="Times New Roman" w:eastAsia="宋体" w:cs="Times New Roman"/>
                <w:szCs w:val="21"/>
              </w:rPr>
              <w:t>86.2</w:t>
            </w:r>
          </w:p>
        </w:tc>
        <w:tc>
          <w:tcPr>
            <w:tcW w:w="681" w:type="dxa"/>
            <w:noWrap/>
            <w:vAlign w:val="center"/>
          </w:tcPr>
          <w:p w14:paraId="4D9C6F0A">
            <w:pPr>
              <w:jc w:val="center"/>
              <w:rPr>
                <w:rFonts w:ascii="Times New Roman" w:hAnsi="Times New Roman" w:eastAsia="宋体" w:cs="Times New Roman"/>
                <w:szCs w:val="21"/>
              </w:rPr>
            </w:pPr>
            <w:r>
              <w:rPr>
                <w:rFonts w:ascii="Times New Roman" w:hAnsi="Times New Roman" w:eastAsia="宋体" w:cs="Times New Roman"/>
                <w:szCs w:val="21"/>
              </w:rPr>
              <w:t>86.2</w:t>
            </w:r>
          </w:p>
        </w:tc>
      </w:tr>
      <w:tr w14:paraId="3C8974C6">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529" w:type="dxa"/>
            <w:vMerge w:val="continue"/>
            <w:noWrap/>
            <w:vAlign w:val="center"/>
          </w:tcPr>
          <w:p w14:paraId="36BE8065">
            <w:pPr>
              <w:widowControl/>
              <w:jc w:val="center"/>
              <w:rPr>
                <w:rFonts w:ascii="Times New Roman" w:hAnsi="Times New Roman" w:eastAsia="宋体" w:cs="Times New Roman"/>
                <w:kern w:val="0"/>
                <w:szCs w:val="21"/>
              </w:rPr>
            </w:pPr>
          </w:p>
        </w:tc>
        <w:tc>
          <w:tcPr>
            <w:tcW w:w="1850" w:type="dxa"/>
            <w:vMerge w:val="continue"/>
            <w:noWrap/>
            <w:vAlign w:val="center"/>
          </w:tcPr>
          <w:p w14:paraId="793D1B28">
            <w:pPr>
              <w:widowControl/>
              <w:jc w:val="center"/>
              <w:rPr>
                <w:rFonts w:ascii="Times New Roman" w:hAnsi="Times New Roman" w:eastAsia="宋体" w:cs="Times New Roman"/>
                <w:kern w:val="0"/>
                <w:szCs w:val="21"/>
              </w:rPr>
            </w:pPr>
          </w:p>
        </w:tc>
        <w:tc>
          <w:tcPr>
            <w:tcW w:w="849" w:type="dxa"/>
            <w:noWrap/>
            <w:vAlign w:val="center"/>
          </w:tcPr>
          <w:p w14:paraId="2B7D6B0B">
            <w:pPr>
              <w:widowControl/>
              <w:jc w:val="center"/>
              <w:rPr>
                <w:rFonts w:ascii="Times New Roman" w:hAnsi="Times New Roman" w:eastAsia="宋体" w:cs="Times New Roman"/>
                <w:kern w:val="0"/>
                <w:szCs w:val="21"/>
              </w:rPr>
            </w:pPr>
            <w:r>
              <w:rPr>
                <w:rFonts w:ascii="Times New Roman" w:hAnsi="宋体" w:eastAsia="宋体" w:cs="Times New Roman"/>
                <w:kern w:val="0"/>
                <w:szCs w:val="21"/>
              </w:rPr>
              <w:t>中期</w:t>
            </w:r>
          </w:p>
        </w:tc>
        <w:tc>
          <w:tcPr>
            <w:tcW w:w="694" w:type="dxa"/>
            <w:noWrap/>
            <w:vAlign w:val="center"/>
          </w:tcPr>
          <w:p w14:paraId="365BA9EA">
            <w:pPr>
              <w:jc w:val="center"/>
              <w:rPr>
                <w:rFonts w:ascii="Times New Roman" w:hAnsi="Times New Roman" w:eastAsia="宋体" w:cs="Times New Roman"/>
                <w:szCs w:val="21"/>
              </w:rPr>
            </w:pPr>
            <w:r>
              <w:rPr>
                <w:rFonts w:ascii="Times New Roman" w:hAnsi="Times New Roman" w:eastAsia="宋体" w:cs="Times New Roman"/>
                <w:szCs w:val="21"/>
              </w:rPr>
              <w:t>77.9</w:t>
            </w:r>
          </w:p>
        </w:tc>
        <w:tc>
          <w:tcPr>
            <w:tcW w:w="694" w:type="dxa"/>
            <w:noWrap/>
            <w:vAlign w:val="center"/>
          </w:tcPr>
          <w:p w14:paraId="5DEF6B55">
            <w:pPr>
              <w:jc w:val="center"/>
              <w:rPr>
                <w:rFonts w:ascii="Times New Roman" w:hAnsi="Times New Roman" w:eastAsia="宋体" w:cs="Times New Roman"/>
                <w:szCs w:val="21"/>
              </w:rPr>
            </w:pPr>
            <w:r>
              <w:rPr>
                <w:rFonts w:ascii="Times New Roman" w:hAnsi="Times New Roman" w:eastAsia="宋体" w:cs="Times New Roman"/>
                <w:szCs w:val="21"/>
              </w:rPr>
              <w:t>77.9</w:t>
            </w:r>
          </w:p>
        </w:tc>
        <w:tc>
          <w:tcPr>
            <w:tcW w:w="694" w:type="dxa"/>
            <w:noWrap/>
            <w:vAlign w:val="center"/>
          </w:tcPr>
          <w:p w14:paraId="2CD931AA">
            <w:pPr>
              <w:jc w:val="center"/>
              <w:rPr>
                <w:rFonts w:ascii="Times New Roman" w:hAnsi="Times New Roman" w:eastAsia="宋体" w:cs="Times New Roman"/>
                <w:szCs w:val="21"/>
              </w:rPr>
            </w:pPr>
            <w:r>
              <w:rPr>
                <w:rFonts w:ascii="Times New Roman" w:hAnsi="Times New Roman" w:eastAsia="宋体" w:cs="Times New Roman"/>
                <w:szCs w:val="21"/>
              </w:rPr>
              <w:t>80.3</w:t>
            </w:r>
          </w:p>
        </w:tc>
        <w:tc>
          <w:tcPr>
            <w:tcW w:w="694" w:type="dxa"/>
            <w:noWrap/>
            <w:vAlign w:val="center"/>
          </w:tcPr>
          <w:p w14:paraId="06831090">
            <w:pPr>
              <w:jc w:val="center"/>
              <w:rPr>
                <w:rFonts w:ascii="Times New Roman" w:hAnsi="Times New Roman" w:eastAsia="宋体" w:cs="Times New Roman"/>
                <w:szCs w:val="21"/>
              </w:rPr>
            </w:pPr>
            <w:r>
              <w:rPr>
                <w:rFonts w:ascii="Times New Roman" w:hAnsi="Times New Roman" w:eastAsia="宋体" w:cs="Times New Roman"/>
                <w:szCs w:val="21"/>
              </w:rPr>
              <w:t>80.3</w:t>
            </w:r>
          </w:p>
        </w:tc>
        <w:tc>
          <w:tcPr>
            <w:tcW w:w="694" w:type="dxa"/>
            <w:noWrap/>
            <w:vAlign w:val="center"/>
          </w:tcPr>
          <w:p w14:paraId="407B5D0F">
            <w:pPr>
              <w:jc w:val="center"/>
              <w:rPr>
                <w:rFonts w:ascii="Times New Roman" w:hAnsi="Times New Roman" w:eastAsia="宋体" w:cs="Times New Roman"/>
                <w:szCs w:val="21"/>
              </w:rPr>
            </w:pPr>
            <w:r>
              <w:rPr>
                <w:rFonts w:ascii="Times New Roman" w:hAnsi="Times New Roman" w:eastAsia="宋体" w:cs="Times New Roman"/>
                <w:szCs w:val="21"/>
              </w:rPr>
              <w:t>86.2</w:t>
            </w:r>
          </w:p>
        </w:tc>
        <w:tc>
          <w:tcPr>
            <w:tcW w:w="681" w:type="dxa"/>
            <w:noWrap/>
            <w:vAlign w:val="center"/>
          </w:tcPr>
          <w:p w14:paraId="70FEAD85">
            <w:pPr>
              <w:jc w:val="center"/>
              <w:rPr>
                <w:rFonts w:ascii="Times New Roman" w:hAnsi="Times New Roman" w:eastAsia="宋体" w:cs="Times New Roman"/>
                <w:szCs w:val="21"/>
              </w:rPr>
            </w:pPr>
            <w:r>
              <w:rPr>
                <w:rFonts w:ascii="Times New Roman" w:hAnsi="Times New Roman" w:eastAsia="宋体" w:cs="Times New Roman"/>
                <w:szCs w:val="21"/>
              </w:rPr>
              <w:t>86.2</w:t>
            </w:r>
          </w:p>
        </w:tc>
      </w:tr>
      <w:tr w14:paraId="6386D8F2">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529" w:type="dxa"/>
            <w:vMerge w:val="continue"/>
            <w:noWrap/>
            <w:vAlign w:val="center"/>
          </w:tcPr>
          <w:p w14:paraId="5BC156ED">
            <w:pPr>
              <w:widowControl/>
              <w:jc w:val="center"/>
              <w:rPr>
                <w:rFonts w:ascii="Times New Roman" w:hAnsi="Times New Roman" w:eastAsia="宋体" w:cs="Times New Roman"/>
                <w:kern w:val="0"/>
                <w:szCs w:val="21"/>
              </w:rPr>
            </w:pPr>
          </w:p>
        </w:tc>
        <w:tc>
          <w:tcPr>
            <w:tcW w:w="1850" w:type="dxa"/>
            <w:vMerge w:val="continue"/>
            <w:noWrap/>
            <w:vAlign w:val="center"/>
          </w:tcPr>
          <w:p w14:paraId="11DE647D">
            <w:pPr>
              <w:widowControl/>
              <w:jc w:val="center"/>
              <w:rPr>
                <w:rFonts w:ascii="Times New Roman" w:hAnsi="Times New Roman" w:eastAsia="宋体" w:cs="Times New Roman"/>
                <w:kern w:val="0"/>
                <w:szCs w:val="21"/>
              </w:rPr>
            </w:pPr>
          </w:p>
        </w:tc>
        <w:tc>
          <w:tcPr>
            <w:tcW w:w="849" w:type="dxa"/>
            <w:noWrap/>
            <w:vAlign w:val="center"/>
          </w:tcPr>
          <w:p w14:paraId="47D8F684">
            <w:pPr>
              <w:widowControl/>
              <w:jc w:val="center"/>
              <w:rPr>
                <w:rFonts w:ascii="Times New Roman" w:hAnsi="Times New Roman" w:eastAsia="宋体" w:cs="Times New Roman"/>
                <w:kern w:val="0"/>
                <w:szCs w:val="21"/>
              </w:rPr>
            </w:pPr>
            <w:r>
              <w:rPr>
                <w:rFonts w:ascii="Times New Roman" w:hAnsi="宋体" w:eastAsia="宋体" w:cs="Times New Roman"/>
                <w:kern w:val="0"/>
                <w:szCs w:val="21"/>
              </w:rPr>
              <w:t>远期</w:t>
            </w:r>
          </w:p>
        </w:tc>
        <w:tc>
          <w:tcPr>
            <w:tcW w:w="694" w:type="dxa"/>
            <w:noWrap/>
            <w:vAlign w:val="center"/>
          </w:tcPr>
          <w:p w14:paraId="4DD68FA2">
            <w:pPr>
              <w:jc w:val="center"/>
              <w:rPr>
                <w:rFonts w:ascii="Times New Roman" w:hAnsi="Times New Roman" w:eastAsia="宋体" w:cs="Times New Roman"/>
                <w:szCs w:val="21"/>
              </w:rPr>
            </w:pPr>
            <w:r>
              <w:rPr>
                <w:rFonts w:ascii="Times New Roman" w:hAnsi="Times New Roman" w:eastAsia="宋体" w:cs="Times New Roman"/>
                <w:szCs w:val="21"/>
              </w:rPr>
              <w:t>75.8</w:t>
            </w:r>
          </w:p>
        </w:tc>
        <w:tc>
          <w:tcPr>
            <w:tcW w:w="694" w:type="dxa"/>
            <w:noWrap/>
            <w:vAlign w:val="center"/>
          </w:tcPr>
          <w:p w14:paraId="5E3EDB10">
            <w:pPr>
              <w:jc w:val="center"/>
              <w:rPr>
                <w:rFonts w:ascii="Times New Roman" w:hAnsi="Times New Roman" w:eastAsia="宋体" w:cs="Times New Roman"/>
                <w:szCs w:val="21"/>
              </w:rPr>
            </w:pPr>
            <w:r>
              <w:rPr>
                <w:rFonts w:ascii="Times New Roman" w:hAnsi="Times New Roman" w:eastAsia="宋体" w:cs="Times New Roman"/>
                <w:szCs w:val="21"/>
              </w:rPr>
              <w:t>77.9</w:t>
            </w:r>
          </w:p>
        </w:tc>
        <w:tc>
          <w:tcPr>
            <w:tcW w:w="694" w:type="dxa"/>
            <w:noWrap/>
            <w:vAlign w:val="center"/>
          </w:tcPr>
          <w:p w14:paraId="5940523E">
            <w:pPr>
              <w:jc w:val="center"/>
              <w:rPr>
                <w:rFonts w:ascii="Times New Roman" w:hAnsi="Times New Roman" w:eastAsia="宋体" w:cs="Times New Roman"/>
                <w:b/>
                <w:bCs/>
                <w:szCs w:val="21"/>
              </w:rPr>
            </w:pPr>
            <w:r>
              <w:rPr>
                <w:rFonts w:ascii="Times New Roman" w:hAnsi="Times New Roman" w:eastAsia="宋体" w:cs="Times New Roman"/>
                <w:b/>
                <w:bCs/>
                <w:szCs w:val="21"/>
              </w:rPr>
              <w:t>80.2</w:t>
            </w:r>
          </w:p>
        </w:tc>
        <w:tc>
          <w:tcPr>
            <w:tcW w:w="694" w:type="dxa"/>
            <w:noWrap/>
            <w:vAlign w:val="center"/>
          </w:tcPr>
          <w:p w14:paraId="3DB76F01">
            <w:pPr>
              <w:jc w:val="center"/>
              <w:rPr>
                <w:rFonts w:ascii="Times New Roman" w:hAnsi="Times New Roman" w:eastAsia="宋体" w:cs="Times New Roman"/>
                <w:szCs w:val="21"/>
              </w:rPr>
            </w:pPr>
            <w:r>
              <w:rPr>
                <w:rFonts w:ascii="Times New Roman" w:hAnsi="Times New Roman" w:eastAsia="宋体" w:cs="Times New Roman"/>
                <w:szCs w:val="21"/>
              </w:rPr>
              <w:t>80.3</w:t>
            </w:r>
          </w:p>
        </w:tc>
        <w:tc>
          <w:tcPr>
            <w:tcW w:w="694" w:type="dxa"/>
            <w:noWrap/>
            <w:vAlign w:val="center"/>
          </w:tcPr>
          <w:p w14:paraId="0465E59F">
            <w:pPr>
              <w:jc w:val="center"/>
              <w:rPr>
                <w:rFonts w:ascii="Times New Roman" w:hAnsi="Times New Roman" w:eastAsia="宋体" w:cs="Times New Roman"/>
                <w:szCs w:val="21"/>
              </w:rPr>
            </w:pPr>
            <w:r>
              <w:rPr>
                <w:rFonts w:ascii="Times New Roman" w:hAnsi="Times New Roman" w:eastAsia="宋体" w:cs="Times New Roman"/>
                <w:szCs w:val="21"/>
              </w:rPr>
              <w:t>83.3</w:t>
            </w:r>
          </w:p>
        </w:tc>
        <w:tc>
          <w:tcPr>
            <w:tcW w:w="681" w:type="dxa"/>
            <w:noWrap/>
            <w:vAlign w:val="center"/>
          </w:tcPr>
          <w:p w14:paraId="3CDFAA7B">
            <w:pPr>
              <w:jc w:val="center"/>
              <w:rPr>
                <w:rFonts w:ascii="Times New Roman" w:hAnsi="Times New Roman" w:eastAsia="宋体" w:cs="Times New Roman"/>
                <w:szCs w:val="21"/>
              </w:rPr>
            </w:pPr>
            <w:r>
              <w:rPr>
                <w:rFonts w:ascii="Times New Roman" w:hAnsi="Times New Roman" w:eastAsia="宋体" w:cs="Times New Roman"/>
                <w:szCs w:val="21"/>
              </w:rPr>
              <w:t>86.2</w:t>
            </w:r>
          </w:p>
        </w:tc>
      </w:tr>
      <w:tr w14:paraId="71FCA28B">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529" w:type="dxa"/>
            <w:vMerge w:val="continue"/>
            <w:noWrap/>
            <w:vAlign w:val="center"/>
          </w:tcPr>
          <w:p w14:paraId="51141BB2">
            <w:pPr>
              <w:widowControl/>
              <w:jc w:val="center"/>
              <w:rPr>
                <w:rFonts w:ascii="Times New Roman" w:hAnsi="Times New Roman" w:eastAsia="宋体" w:cs="Times New Roman"/>
                <w:kern w:val="0"/>
                <w:szCs w:val="21"/>
              </w:rPr>
            </w:pPr>
          </w:p>
        </w:tc>
        <w:tc>
          <w:tcPr>
            <w:tcW w:w="1850" w:type="dxa"/>
            <w:vMerge w:val="restart"/>
            <w:noWrap/>
            <w:vAlign w:val="center"/>
          </w:tcPr>
          <w:p w14:paraId="2EDEBE53">
            <w:pPr>
              <w:widowControl/>
              <w:jc w:val="center"/>
              <w:rPr>
                <w:rFonts w:ascii="Times New Roman" w:hAnsi="Times New Roman" w:eastAsia="宋体" w:cs="Times New Roman"/>
                <w:kern w:val="0"/>
                <w:szCs w:val="21"/>
              </w:rPr>
            </w:pPr>
            <w:r>
              <w:rPr>
                <w:rFonts w:ascii="Times New Roman" w:hAnsi="宋体" w:eastAsia="宋体" w:cs="Times New Roman"/>
                <w:kern w:val="0"/>
                <w:szCs w:val="21"/>
              </w:rPr>
              <w:t>设计车速</w:t>
            </w:r>
            <w:r>
              <w:rPr>
                <w:rFonts w:hint="eastAsia" w:ascii="Times New Roman" w:hAnsi="Times New Roman" w:eastAsia="宋体" w:cs="Times New Roman"/>
                <w:kern w:val="0"/>
                <w:szCs w:val="21"/>
              </w:rPr>
              <w:t>8</w:t>
            </w:r>
            <w:r>
              <w:rPr>
                <w:rFonts w:ascii="Times New Roman" w:hAnsi="Times New Roman" w:eastAsia="宋体" w:cs="Times New Roman"/>
                <w:kern w:val="0"/>
                <w:szCs w:val="21"/>
              </w:rPr>
              <w:t>0km/h</w:t>
            </w:r>
            <w:r>
              <w:rPr>
                <w:rFonts w:ascii="Times New Roman" w:hAnsi="宋体" w:eastAsia="宋体" w:cs="Times New Roman"/>
                <w:kern w:val="0"/>
                <w:szCs w:val="21"/>
              </w:rPr>
              <w:t>，路基宽度</w:t>
            </w:r>
            <w:r>
              <w:rPr>
                <w:rFonts w:hint="eastAsia" w:ascii="Times New Roman" w:hAnsi="Times New Roman" w:eastAsia="宋体" w:cs="Times New Roman"/>
                <w:kern w:val="0"/>
                <w:szCs w:val="21"/>
              </w:rPr>
              <w:t>28.5</w:t>
            </w:r>
            <w:r>
              <w:rPr>
                <w:rFonts w:ascii="Times New Roman" w:hAnsi="Times New Roman" w:eastAsia="宋体" w:cs="Times New Roman"/>
                <w:kern w:val="0"/>
                <w:szCs w:val="21"/>
              </w:rPr>
              <w:t>m</w:t>
            </w:r>
          </w:p>
        </w:tc>
        <w:tc>
          <w:tcPr>
            <w:tcW w:w="849" w:type="dxa"/>
            <w:noWrap/>
            <w:vAlign w:val="center"/>
          </w:tcPr>
          <w:p w14:paraId="794ABC65">
            <w:pPr>
              <w:widowControl/>
              <w:jc w:val="center"/>
              <w:rPr>
                <w:rFonts w:ascii="Times New Roman" w:hAnsi="Times New Roman" w:eastAsia="宋体" w:cs="Times New Roman"/>
                <w:kern w:val="0"/>
                <w:szCs w:val="21"/>
              </w:rPr>
            </w:pPr>
            <w:r>
              <w:rPr>
                <w:rFonts w:ascii="Times New Roman" w:hAnsi="宋体" w:eastAsia="宋体" w:cs="Times New Roman"/>
                <w:kern w:val="0"/>
                <w:szCs w:val="21"/>
              </w:rPr>
              <w:t>近期</w:t>
            </w:r>
          </w:p>
        </w:tc>
        <w:tc>
          <w:tcPr>
            <w:tcW w:w="694" w:type="dxa"/>
            <w:noWrap/>
            <w:vAlign w:val="center"/>
          </w:tcPr>
          <w:p w14:paraId="435452AE">
            <w:pPr>
              <w:jc w:val="center"/>
              <w:rPr>
                <w:rFonts w:ascii="Times New Roman" w:hAnsi="Times New Roman" w:eastAsia="宋体" w:cs="Times New Roman"/>
                <w:szCs w:val="21"/>
              </w:rPr>
            </w:pPr>
            <w:r>
              <w:rPr>
                <w:rFonts w:ascii="Times New Roman" w:hAnsi="Times New Roman" w:eastAsia="宋体" w:cs="Times New Roman"/>
                <w:szCs w:val="21"/>
              </w:rPr>
              <w:t>77.9</w:t>
            </w:r>
          </w:p>
        </w:tc>
        <w:tc>
          <w:tcPr>
            <w:tcW w:w="694" w:type="dxa"/>
            <w:noWrap/>
            <w:vAlign w:val="center"/>
          </w:tcPr>
          <w:p w14:paraId="62D97A1D">
            <w:pPr>
              <w:jc w:val="center"/>
              <w:rPr>
                <w:rFonts w:ascii="Times New Roman" w:hAnsi="Times New Roman" w:eastAsia="宋体" w:cs="Times New Roman"/>
                <w:szCs w:val="21"/>
              </w:rPr>
            </w:pPr>
            <w:r>
              <w:rPr>
                <w:rFonts w:ascii="Times New Roman" w:hAnsi="Times New Roman" w:eastAsia="宋体" w:cs="Times New Roman"/>
                <w:szCs w:val="21"/>
              </w:rPr>
              <w:t>77.9</w:t>
            </w:r>
          </w:p>
        </w:tc>
        <w:tc>
          <w:tcPr>
            <w:tcW w:w="694" w:type="dxa"/>
            <w:noWrap/>
            <w:vAlign w:val="center"/>
          </w:tcPr>
          <w:p w14:paraId="6E65F8FC">
            <w:pPr>
              <w:jc w:val="center"/>
              <w:rPr>
                <w:rFonts w:ascii="Times New Roman" w:hAnsi="Times New Roman" w:eastAsia="宋体" w:cs="Times New Roman"/>
                <w:szCs w:val="21"/>
              </w:rPr>
            </w:pPr>
            <w:r>
              <w:rPr>
                <w:rFonts w:ascii="Times New Roman" w:hAnsi="Times New Roman" w:eastAsia="宋体" w:cs="Times New Roman"/>
                <w:szCs w:val="21"/>
              </w:rPr>
              <w:t>80.3</w:t>
            </w:r>
          </w:p>
        </w:tc>
        <w:tc>
          <w:tcPr>
            <w:tcW w:w="694" w:type="dxa"/>
            <w:noWrap/>
            <w:vAlign w:val="center"/>
          </w:tcPr>
          <w:p w14:paraId="1B44EA01">
            <w:pPr>
              <w:jc w:val="center"/>
              <w:rPr>
                <w:rFonts w:ascii="Times New Roman" w:hAnsi="Times New Roman" w:eastAsia="宋体" w:cs="Times New Roman"/>
                <w:szCs w:val="21"/>
              </w:rPr>
            </w:pPr>
            <w:r>
              <w:rPr>
                <w:rFonts w:ascii="Times New Roman" w:hAnsi="Times New Roman" w:eastAsia="宋体" w:cs="Times New Roman"/>
                <w:szCs w:val="21"/>
              </w:rPr>
              <w:t>80.3</w:t>
            </w:r>
          </w:p>
        </w:tc>
        <w:tc>
          <w:tcPr>
            <w:tcW w:w="694" w:type="dxa"/>
            <w:noWrap/>
            <w:vAlign w:val="center"/>
          </w:tcPr>
          <w:p w14:paraId="37E8CCD6">
            <w:pPr>
              <w:jc w:val="center"/>
              <w:rPr>
                <w:rFonts w:ascii="Times New Roman" w:hAnsi="Times New Roman" w:eastAsia="宋体" w:cs="Times New Roman"/>
                <w:szCs w:val="21"/>
              </w:rPr>
            </w:pPr>
            <w:r>
              <w:rPr>
                <w:rFonts w:ascii="Times New Roman" w:hAnsi="Times New Roman" w:eastAsia="宋体" w:cs="Times New Roman"/>
                <w:szCs w:val="21"/>
              </w:rPr>
              <w:t>86.2</w:t>
            </w:r>
          </w:p>
        </w:tc>
        <w:tc>
          <w:tcPr>
            <w:tcW w:w="681" w:type="dxa"/>
            <w:noWrap/>
            <w:vAlign w:val="center"/>
          </w:tcPr>
          <w:p w14:paraId="51365529">
            <w:pPr>
              <w:jc w:val="center"/>
              <w:rPr>
                <w:rFonts w:ascii="Times New Roman" w:hAnsi="Times New Roman" w:eastAsia="宋体" w:cs="Times New Roman"/>
                <w:szCs w:val="21"/>
              </w:rPr>
            </w:pPr>
            <w:r>
              <w:rPr>
                <w:rFonts w:ascii="Times New Roman" w:hAnsi="Times New Roman" w:eastAsia="宋体" w:cs="Times New Roman"/>
                <w:szCs w:val="21"/>
              </w:rPr>
              <w:t>86.2</w:t>
            </w:r>
          </w:p>
        </w:tc>
      </w:tr>
      <w:tr w14:paraId="25D31462">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529" w:type="dxa"/>
            <w:vMerge w:val="continue"/>
            <w:noWrap/>
            <w:vAlign w:val="center"/>
          </w:tcPr>
          <w:p w14:paraId="3BF9F0FF">
            <w:pPr>
              <w:widowControl/>
              <w:jc w:val="center"/>
              <w:rPr>
                <w:rFonts w:ascii="Times New Roman" w:hAnsi="Times New Roman" w:eastAsia="宋体" w:cs="Times New Roman"/>
                <w:kern w:val="0"/>
                <w:szCs w:val="21"/>
              </w:rPr>
            </w:pPr>
          </w:p>
        </w:tc>
        <w:tc>
          <w:tcPr>
            <w:tcW w:w="1850" w:type="dxa"/>
            <w:vMerge w:val="continue"/>
            <w:noWrap/>
            <w:vAlign w:val="center"/>
          </w:tcPr>
          <w:p w14:paraId="3ECFE7A7">
            <w:pPr>
              <w:widowControl/>
              <w:jc w:val="center"/>
              <w:rPr>
                <w:rFonts w:ascii="Times New Roman" w:hAnsi="Times New Roman" w:eastAsia="宋体" w:cs="Times New Roman"/>
                <w:kern w:val="0"/>
                <w:szCs w:val="21"/>
              </w:rPr>
            </w:pPr>
          </w:p>
        </w:tc>
        <w:tc>
          <w:tcPr>
            <w:tcW w:w="849" w:type="dxa"/>
            <w:noWrap/>
            <w:vAlign w:val="center"/>
          </w:tcPr>
          <w:p w14:paraId="0AAB08F1">
            <w:pPr>
              <w:widowControl/>
              <w:jc w:val="center"/>
              <w:rPr>
                <w:rFonts w:ascii="Times New Roman" w:hAnsi="Times New Roman" w:eastAsia="宋体" w:cs="Times New Roman"/>
                <w:kern w:val="0"/>
                <w:szCs w:val="21"/>
              </w:rPr>
            </w:pPr>
            <w:r>
              <w:rPr>
                <w:rFonts w:ascii="Times New Roman" w:hAnsi="宋体" w:eastAsia="宋体" w:cs="Times New Roman"/>
                <w:kern w:val="0"/>
                <w:szCs w:val="21"/>
              </w:rPr>
              <w:t>中期</w:t>
            </w:r>
          </w:p>
        </w:tc>
        <w:tc>
          <w:tcPr>
            <w:tcW w:w="694" w:type="dxa"/>
            <w:noWrap/>
            <w:vAlign w:val="center"/>
          </w:tcPr>
          <w:p w14:paraId="74CB5E08">
            <w:pPr>
              <w:jc w:val="center"/>
              <w:rPr>
                <w:rFonts w:ascii="Times New Roman" w:hAnsi="Times New Roman" w:eastAsia="宋体" w:cs="Times New Roman"/>
                <w:szCs w:val="21"/>
              </w:rPr>
            </w:pPr>
            <w:r>
              <w:rPr>
                <w:rFonts w:ascii="Times New Roman" w:hAnsi="Times New Roman" w:eastAsia="宋体" w:cs="Times New Roman"/>
                <w:szCs w:val="21"/>
              </w:rPr>
              <w:t>77.9</w:t>
            </w:r>
          </w:p>
        </w:tc>
        <w:tc>
          <w:tcPr>
            <w:tcW w:w="694" w:type="dxa"/>
            <w:noWrap/>
            <w:vAlign w:val="center"/>
          </w:tcPr>
          <w:p w14:paraId="0C0A3B55">
            <w:pPr>
              <w:jc w:val="center"/>
              <w:rPr>
                <w:rFonts w:ascii="Times New Roman" w:hAnsi="Times New Roman" w:eastAsia="宋体" w:cs="Times New Roman"/>
                <w:szCs w:val="21"/>
              </w:rPr>
            </w:pPr>
            <w:r>
              <w:rPr>
                <w:rFonts w:ascii="Times New Roman" w:hAnsi="Times New Roman" w:eastAsia="宋体" w:cs="Times New Roman"/>
                <w:szCs w:val="21"/>
              </w:rPr>
              <w:t>77.9</w:t>
            </w:r>
          </w:p>
        </w:tc>
        <w:tc>
          <w:tcPr>
            <w:tcW w:w="694" w:type="dxa"/>
            <w:noWrap/>
            <w:vAlign w:val="center"/>
          </w:tcPr>
          <w:p w14:paraId="153DCE41">
            <w:pPr>
              <w:jc w:val="center"/>
              <w:rPr>
                <w:rFonts w:ascii="Times New Roman" w:hAnsi="Times New Roman" w:eastAsia="宋体" w:cs="Times New Roman"/>
                <w:szCs w:val="21"/>
              </w:rPr>
            </w:pPr>
            <w:r>
              <w:rPr>
                <w:rFonts w:ascii="Times New Roman" w:hAnsi="Times New Roman" w:eastAsia="宋体" w:cs="Times New Roman"/>
                <w:szCs w:val="21"/>
              </w:rPr>
              <w:t>80.3</w:t>
            </w:r>
          </w:p>
        </w:tc>
        <w:tc>
          <w:tcPr>
            <w:tcW w:w="694" w:type="dxa"/>
            <w:noWrap/>
            <w:vAlign w:val="center"/>
          </w:tcPr>
          <w:p w14:paraId="797EEF6B">
            <w:pPr>
              <w:jc w:val="center"/>
              <w:rPr>
                <w:rFonts w:ascii="Times New Roman" w:hAnsi="Times New Roman" w:eastAsia="宋体" w:cs="Times New Roman"/>
                <w:szCs w:val="21"/>
              </w:rPr>
            </w:pPr>
            <w:r>
              <w:rPr>
                <w:rFonts w:ascii="Times New Roman" w:hAnsi="Times New Roman" w:eastAsia="宋体" w:cs="Times New Roman"/>
                <w:szCs w:val="21"/>
              </w:rPr>
              <w:t>80.3</w:t>
            </w:r>
          </w:p>
        </w:tc>
        <w:tc>
          <w:tcPr>
            <w:tcW w:w="694" w:type="dxa"/>
            <w:noWrap/>
            <w:vAlign w:val="center"/>
          </w:tcPr>
          <w:p w14:paraId="6BD3CA41">
            <w:pPr>
              <w:jc w:val="center"/>
              <w:rPr>
                <w:rFonts w:ascii="Times New Roman" w:hAnsi="Times New Roman" w:eastAsia="宋体" w:cs="Times New Roman"/>
                <w:szCs w:val="21"/>
              </w:rPr>
            </w:pPr>
            <w:r>
              <w:rPr>
                <w:rFonts w:ascii="Times New Roman" w:hAnsi="Times New Roman" w:eastAsia="宋体" w:cs="Times New Roman"/>
                <w:szCs w:val="21"/>
              </w:rPr>
              <w:t>86.2</w:t>
            </w:r>
          </w:p>
        </w:tc>
        <w:tc>
          <w:tcPr>
            <w:tcW w:w="681" w:type="dxa"/>
            <w:noWrap/>
            <w:vAlign w:val="center"/>
          </w:tcPr>
          <w:p w14:paraId="28514DF9">
            <w:pPr>
              <w:jc w:val="center"/>
              <w:rPr>
                <w:rFonts w:ascii="Times New Roman" w:hAnsi="Times New Roman" w:eastAsia="宋体" w:cs="Times New Roman"/>
                <w:szCs w:val="21"/>
              </w:rPr>
            </w:pPr>
            <w:r>
              <w:rPr>
                <w:rFonts w:ascii="Times New Roman" w:hAnsi="Times New Roman" w:eastAsia="宋体" w:cs="Times New Roman"/>
                <w:szCs w:val="21"/>
              </w:rPr>
              <w:t>86.2</w:t>
            </w:r>
          </w:p>
        </w:tc>
      </w:tr>
      <w:tr w14:paraId="201C9227">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529" w:type="dxa"/>
            <w:vMerge w:val="continue"/>
            <w:noWrap/>
            <w:vAlign w:val="center"/>
          </w:tcPr>
          <w:p w14:paraId="2C947361">
            <w:pPr>
              <w:widowControl/>
              <w:jc w:val="center"/>
              <w:rPr>
                <w:rFonts w:ascii="Times New Roman" w:hAnsi="Times New Roman" w:eastAsia="宋体" w:cs="Times New Roman"/>
                <w:kern w:val="0"/>
                <w:szCs w:val="21"/>
              </w:rPr>
            </w:pPr>
          </w:p>
        </w:tc>
        <w:tc>
          <w:tcPr>
            <w:tcW w:w="1850" w:type="dxa"/>
            <w:vMerge w:val="continue"/>
            <w:noWrap/>
            <w:vAlign w:val="center"/>
          </w:tcPr>
          <w:p w14:paraId="799B4976">
            <w:pPr>
              <w:widowControl/>
              <w:jc w:val="center"/>
              <w:rPr>
                <w:rFonts w:ascii="Times New Roman" w:hAnsi="Times New Roman" w:eastAsia="宋体" w:cs="Times New Roman"/>
                <w:kern w:val="0"/>
                <w:szCs w:val="21"/>
              </w:rPr>
            </w:pPr>
          </w:p>
        </w:tc>
        <w:tc>
          <w:tcPr>
            <w:tcW w:w="849" w:type="dxa"/>
            <w:noWrap/>
            <w:vAlign w:val="center"/>
          </w:tcPr>
          <w:p w14:paraId="451DBF10">
            <w:pPr>
              <w:widowControl/>
              <w:jc w:val="center"/>
              <w:rPr>
                <w:rFonts w:ascii="Times New Roman" w:hAnsi="Times New Roman" w:eastAsia="宋体" w:cs="Times New Roman"/>
                <w:kern w:val="0"/>
                <w:szCs w:val="21"/>
              </w:rPr>
            </w:pPr>
            <w:r>
              <w:rPr>
                <w:rFonts w:ascii="Times New Roman" w:hAnsi="宋体" w:eastAsia="宋体" w:cs="Times New Roman"/>
                <w:kern w:val="0"/>
                <w:szCs w:val="21"/>
              </w:rPr>
              <w:t>远期</w:t>
            </w:r>
          </w:p>
        </w:tc>
        <w:tc>
          <w:tcPr>
            <w:tcW w:w="694" w:type="dxa"/>
            <w:noWrap/>
            <w:vAlign w:val="center"/>
          </w:tcPr>
          <w:p w14:paraId="6EE07791">
            <w:pPr>
              <w:jc w:val="center"/>
              <w:rPr>
                <w:rFonts w:ascii="Times New Roman" w:hAnsi="Times New Roman" w:eastAsia="宋体" w:cs="Times New Roman"/>
                <w:szCs w:val="21"/>
              </w:rPr>
            </w:pPr>
            <w:r>
              <w:rPr>
                <w:rFonts w:ascii="Times New Roman" w:hAnsi="Times New Roman" w:eastAsia="宋体" w:cs="Times New Roman"/>
                <w:szCs w:val="21"/>
              </w:rPr>
              <w:t>75.8</w:t>
            </w:r>
          </w:p>
        </w:tc>
        <w:tc>
          <w:tcPr>
            <w:tcW w:w="694" w:type="dxa"/>
            <w:noWrap/>
            <w:vAlign w:val="center"/>
          </w:tcPr>
          <w:p w14:paraId="7D394624">
            <w:pPr>
              <w:jc w:val="center"/>
              <w:rPr>
                <w:rFonts w:ascii="Times New Roman" w:hAnsi="Times New Roman" w:eastAsia="宋体" w:cs="Times New Roman"/>
                <w:szCs w:val="21"/>
              </w:rPr>
            </w:pPr>
            <w:r>
              <w:rPr>
                <w:rFonts w:ascii="Times New Roman" w:hAnsi="Times New Roman" w:eastAsia="宋体" w:cs="Times New Roman"/>
                <w:szCs w:val="21"/>
              </w:rPr>
              <w:t>77.9</w:t>
            </w:r>
          </w:p>
        </w:tc>
        <w:tc>
          <w:tcPr>
            <w:tcW w:w="694" w:type="dxa"/>
            <w:noWrap/>
            <w:vAlign w:val="center"/>
          </w:tcPr>
          <w:p w14:paraId="79A1A71D">
            <w:pPr>
              <w:jc w:val="center"/>
              <w:rPr>
                <w:rFonts w:ascii="Times New Roman" w:hAnsi="Times New Roman" w:eastAsia="宋体" w:cs="Times New Roman"/>
                <w:b/>
                <w:bCs/>
                <w:szCs w:val="21"/>
              </w:rPr>
            </w:pPr>
            <w:r>
              <w:rPr>
                <w:rFonts w:ascii="Times New Roman" w:hAnsi="Times New Roman" w:eastAsia="宋体" w:cs="Times New Roman"/>
                <w:b/>
                <w:bCs/>
                <w:szCs w:val="21"/>
              </w:rPr>
              <w:t>80.2</w:t>
            </w:r>
          </w:p>
        </w:tc>
        <w:tc>
          <w:tcPr>
            <w:tcW w:w="694" w:type="dxa"/>
            <w:noWrap/>
            <w:vAlign w:val="center"/>
          </w:tcPr>
          <w:p w14:paraId="461C6FAC">
            <w:pPr>
              <w:jc w:val="center"/>
              <w:rPr>
                <w:rFonts w:ascii="Times New Roman" w:hAnsi="Times New Roman" w:eastAsia="宋体" w:cs="Times New Roman"/>
                <w:szCs w:val="21"/>
              </w:rPr>
            </w:pPr>
            <w:r>
              <w:rPr>
                <w:rFonts w:ascii="Times New Roman" w:hAnsi="Times New Roman" w:eastAsia="宋体" w:cs="Times New Roman"/>
                <w:szCs w:val="21"/>
              </w:rPr>
              <w:t>80.3</w:t>
            </w:r>
          </w:p>
        </w:tc>
        <w:tc>
          <w:tcPr>
            <w:tcW w:w="694" w:type="dxa"/>
            <w:noWrap/>
            <w:vAlign w:val="center"/>
          </w:tcPr>
          <w:p w14:paraId="77346576">
            <w:pPr>
              <w:jc w:val="center"/>
              <w:rPr>
                <w:rFonts w:ascii="Times New Roman" w:hAnsi="Times New Roman" w:eastAsia="宋体" w:cs="Times New Roman"/>
                <w:szCs w:val="21"/>
              </w:rPr>
            </w:pPr>
            <w:r>
              <w:rPr>
                <w:rFonts w:ascii="Times New Roman" w:hAnsi="Times New Roman" w:eastAsia="宋体" w:cs="Times New Roman"/>
                <w:szCs w:val="21"/>
              </w:rPr>
              <w:t>83.3</w:t>
            </w:r>
          </w:p>
        </w:tc>
        <w:tc>
          <w:tcPr>
            <w:tcW w:w="681" w:type="dxa"/>
            <w:noWrap/>
            <w:vAlign w:val="center"/>
          </w:tcPr>
          <w:p w14:paraId="17AAF3AF">
            <w:pPr>
              <w:jc w:val="center"/>
              <w:rPr>
                <w:rFonts w:ascii="Times New Roman" w:hAnsi="Times New Roman" w:eastAsia="宋体" w:cs="Times New Roman"/>
                <w:szCs w:val="21"/>
              </w:rPr>
            </w:pPr>
            <w:r>
              <w:rPr>
                <w:rFonts w:ascii="Times New Roman" w:hAnsi="Times New Roman" w:eastAsia="宋体" w:cs="Times New Roman"/>
                <w:szCs w:val="21"/>
              </w:rPr>
              <w:t>86.2</w:t>
            </w:r>
          </w:p>
        </w:tc>
      </w:tr>
      <w:tr w14:paraId="676F1AD3">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529" w:type="dxa"/>
            <w:vMerge w:val="continue"/>
            <w:noWrap/>
            <w:vAlign w:val="center"/>
          </w:tcPr>
          <w:p w14:paraId="64FFBE09">
            <w:pPr>
              <w:widowControl/>
              <w:jc w:val="center"/>
              <w:rPr>
                <w:rFonts w:ascii="Times New Roman" w:hAnsi="Times New Roman" w:eastAsia="宋体" w:cs="Times New Roman"/>
                <w:kern w:val="0"/>
                <w:szCs w:val="21"/>
              </w:rPr>
            </w:pPr>
          </w:p>
        </w:tc>
        <w:tc>
          <w:tcPr>
            <w:tcW w:w="1850" w:type="dxa"/>
            <w:vMerge w:val="restart"/>
            <w:noWrap/>
            <w:vAlign w:val="center"/>
          </w:tcPr>
          <w:p w14:paraId="154562BC">
            <w:pPr>
              <w:widowControl/>
              <w:jc w:val="center"/>
              <w:rPr>
                <w:rFonts w:ascii="Times New Roman" w:hAnsi="Times New Roman" w:eastAsia="宋体" w:cs="Times New Roman"/>
                <w:kern w:val="0"/>
                <w:szCs w:val="21"/>
              </w:rPr>
            </w:pPr>
            <w:r>
              <w:rPr>
                <w:rFonts w:ascii="Times New Roman" w:hAnsi="宋体" w:eastAsia="宋体" w:cs="Times New Roman"/>
                <w:kern w:val="0"/>
                <w:szCs w:val="21"/>
              </w:rPr>
              <w:t>设计车速</w:t>
            </w:r>
            <w:r>
              <w:rPr>
                <w:rFonts w:hint="eastAsia" w:ascii="Times New Roman" w:hAnsi="Times New Roman" w:eastAsia="宋体" w:cs="Times New Roman"/>
                <w:kern w:val="0"/>
                <w:szCs w:val="21"/>
              </w:rPr>
              <w:t>6</w:t>
            </w:r>
            <w:r>
              <w:rPr>
                <w:rFonts w:ascii="Times New Roman" w:hAnsi="Times New Roman" w:eastAsia="宋体" w:cs="Times New Roman"/>
                <w:kern w:val="0"/>
                <w:szCs w:val="21"/>
              </w:rPr>
              <w:t>0km/h</w:t>
            </w:r>
            <w:r>
              <w:rPr>
                <w:rFonts w:ascii="Times New Roman" w:hAnsi="宋体" w:eastAsia="宋体" w:cs="Times New Roman"/>
                <w:kern w:val="0"/>
                <w:szCs w:val="21"/>
              </w:rPr>
              <w:t>，路基宽度</w:t>
            </w:r>
            <w:r>
              <w:rPr>
                <w:rFonts w:hint="eastAsia" w:ascii="Times New Roman" w:hAnsi="Times New Roman" w:eastAsia="宋体" w:cs="Times New Roman"/>
                <w:kern w:val="0"/>
                <w:szCs w:val="21"/>
              </w:rPr>
              <w:t>19～23.5</w:t>
            </w:r>
            <w:r>
              <w:rPr>
                <w:rFonts w:ascii="Times New Roman" w:hAnsi="Times New Roman" w:eastAsia="宋体" w:cs="Times New Roman"/>
                <w:kern w:val="0"/>
                <w:szCs w:val="21"/>
              </w:rPr>
              <w:t>m</w:t>
            </w:r>
          </w:p>
        </w:tc>
        <w:tc>
          <w:tcPr>
            <w:tcW w:w="849" w:type="dxa"/>
            <w:noWrap/>
            <w:vAlign w:val="center"/>
          </w:tcPr>
          <w:p w14:paraId="6522E282">
            <w:pPr>
              <w:widowControl/>
              <w:jc w:val="center"/>
              <w:rPr>
                <w:rFonts w:ascii="Times New Roman" w:hAnsi="Times New Roman" w:eastAsia="宋体" w:cs="Times New Roman"/>
                <w:kern w:val="0"/>
                <w:szCs w:val="21"/>
              </w:rPr>
            </w:pPr>
            <w:r>
              <w:rPr>
                <w:rFonts w:ascii="Times New Roman" w:hAnsi="宋体" w:eastAsia="宋体" w:cs="Times New Roman"/>
                <w:kern w:val="0"/>
                <w:szCs w:val="21"/>
              </w:rPr>
              <w:t>近期</w:t>
            </w:r>
          </w:p>
        </w:tc>
        <w:tc>
          <w:tcPr>
            <w:tcW w:w="694" w:type="dxa"/>
            <w:noWrap/>
            <w:vAlign w:val="center"/>
          </w:tcPr>
          <w:p w14:paraId="52E7C432">
            <w:pPr>
              <w:jc w:val="center"/>
              <w:rPr>
                <w:rFonts w:ascii="Times New Roman" w:hAnsi="Times New Roman" w:eastAsia="宋体" w:cs="Times New Roman"/>
                <w:b/>
                <w:bCs/>
                <w:szCs w:val="21"/>
              </w:rPr>
            </w:pPr>
            <w:r>
              <w:rPr>
                <w:rFonts w:ascii="Times New Roman" w:hAnsi="Times New Roman" w:eastAsia="宋体" w:cs="Times New Roman"/>
                <w:b/>
                <w:bCs/>
                <w:szCs w:val="21"/>
              </w:rPr>
              <w:t>72.4</w:t>
            </w:r>
          </w:p>
        </w:tc>
        <w:tc>
          <w:tcPr>
            <w:tcW w:w="694" w:type="dxa"/>
            <w:noWrap/>
            <w:vAlign w:val="center"/>
          </w:tcPr>
          <w:p w14:paraId="2628698B">
            <w:pPr>
              <w:jc w:val="center"/>
              <w:rPr>
                <w:rFonts w:ascii="Times New Roman" w:hAnsi="Times New Roman" w:eastAsia="宋体" w:cs="Times New Roman"/>
                <w:b/>
                <w:bCs/>
                <w:szCs w:val="21"/>
              </w:rPr>
            </w:pPr>
            <w:r>
              <w:rPr>
                <w:rFonts w:ascii="Times New Roman" w:hAnsi="Times New Roman" w:eastAsia="宋体" w:cs="Times New Roman"/>
                <w:b/>
                <w:bCs/>
                <w:szCs w:val="21"/>
              </w:rPr>
              <w:t>72.4</w:t>
            </w:r>
          </w:p>
        </w:tc>
        <w:tc>
          <w:tcPr>
            <w:tcW w:w="694" w:type="dxa"/>
            <w:noWrap/>
            <w:vAlign w:val="center"/>
          </w:tcPr>
          <w:p w14:paraId="3809EA4A">
            <w:pPr>
              <w:jc w:val="center"/>
              <w:rPr>
                <w:rFonts w:ascii="Times New Roman" w:hAnsi="Times New Roman" w:eastAsia="宋体" w:cs="Times New Roman"/>
                <w:b/>
                <w:bCs/>
                <w:szCs w:val="21"/>
              </w:rPr>
            </w:pPr>
            <w:r>
              <w:rPr>
                <w:rFonts w:ascii="Times New Roman" w:hAnsi="Times New Roman" w:eastAsia="宋体" w:cs="Times New Roman"/>
                <w:b/>
                <w:bCs/>
                <w:szCs w:val="21"/>
              </w:rPr>
              <w:t>79.3</w:t>
            </w:r>
          </w:p>
        </w:tc>
        <w:tc>
          <w:tcPr>
            <w:tcW w:w="694" w:type="dxa"/>
            <w:noWrap/>
            <w:vAlign w:val="center"/>
          </w:tcPr>
          <w:p w14:paraId="34BD7588">
            <w:pPr>
              <w:jc w:val="center"/>
              <w:rPr>
                <w:rFonts w:ascii="Times New Roman" w:hAnsi="Times New Roman" w:eastAsia="宋体" w:cs="Times New Roman"/>
                <w:b/>
                <w:bCs/>
                <w:szCs w:val="21"/>
              </w:rPr>
            </w:pPr>
            <w:r>
              <w:rPr>
                <w:rFonts w:ascii="Times New Roman" w:hAnsi="Times New Roman" w:eastAsia="宋体" w:cs="Times New Roman"/>
                <w:b/>
                <w:bCs/>
                <w:szCs w:val="21"/>
              </w:rPr>
              <w:t>79.3</w:t>
            </w:r>
          </w:p>
        </w:tc>
        <w:tc>
          <w:tcPr>
            <w:tcW w:w="694" w:type="dxa"/>
            <w:noWrap/>
            <w:vAlign w:val="center"/>
          </w:tcPr>
          <w:p w14:paraId="0B211D97">
            <w:pPr>
              <w:jc w:val="center"/>
              <w:rPr>
                <w:rFonts w:ascii="Times New Roman" w:hAnsi="Times New Roman" w:eastAsia="宋体" w:cs="Times New Roman"/>
                <w:b/>
                <w:bCs/>
                <w:szCs w:val="21"/>
              </w:rPr>
            </w:pPr>
            <w:r>
              <w:rPr>
                <w:rFonts w:ascii="Times New Roman" w:hAnsi="Times New Roman" w:eastAsia="宋体" w:cs="Times New Roman"/>
                <w:b/>
                <w:bCs/>
                <w:szCs w:val="21"/>
              </w:rPr>
              <w:t>84.7</w:t>
            </w:r>
          </w:p>
        </w:tc>
        <w:tc>
          <w:tcPr>
            <w:tcW w:w="681" w:type="dxa"/>
            <w:noWrap/>
            <w:vAlign w:val="center"/>
          </w:tcPr>
          <w:p w14:paraId="1EAFF47B">
            <w:pPr>
              <w:jc w:val="center"/>
              <w:rPr>
                <w:rFonts w:ascii="Times New Roman" w:hAnsi="Times New Roman" w:eastAsia="宋体" w:cs="Times New Roman"/>
                <w:b/>
                <w:bCs/>
                <w:szCs w:val="21"/>
              </w:rPr>
            </w:pPr>
            <w:r>
              <w:rPr>
                <w:rFonts w:ascii="Times New Roman" w:hAnsi="Times New Roman" w:eastAsia="宋体" w:cs="Times New Roman"/>
                <w:b/>
                <w:bCs/>
                <w:szCs w:val="21"/>
              </w:rPr>
              <w:t>84.7</w:t>
            </w:r>
          </w:p>
        </w:tc>
      </w:tr>
      <w:tr w14:paraId="5629E9E1">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529" w:type="dxa"/>
            <w:vMerge w:val="continue"/>
            <w:noWrap/>
            <w:vAlign w:val="center"/>
          </w:tcPr>
          <w:p w14:paraId="7D86546C">
            <w:pPr>
              <w:widowControl/>
              <w:jc w:val="center"/>
              <w:rPr>
                <w:rFonts w:ascii="Times New Roman" w:hAnsi="Times New Roman" w:eastAsia="宋体" w:cs="Times New Roman"/>
                <w:kern w:val="0"/>
                <w:szCs w:val="21"/>
              </w:rPr>
            </w:pPr>
          </w:p>
        </w:tc>
        <w:tc>
          <w:tcPr>
            <w:tcW w:w="1850" w:type="dxa"/>
            <w:vMerge w:val="continue"/>
            <w:noWrap/>
            <w:vAlign w:val="center"/>
          </w:tcPr>
          <w:p w14:paraId="7581BFD5">
            <w:pPr>
              <w:widowControl/>
              <w:jc w:val="center"/>
              <w:rPr>
                <w:rFonts w:ascii="Times New Roman" w:hAnsi="Times New Roman" w:eastAsia="宋体" w:cs="Times New Roman"/>
                <w:kern w:val="0"/>
                <w:szCs w:val="21"/>
              </w:rPr>
            </w:pPr>
          </w:p>
        </w:tc>
        <w:tc>
          <w:tcPr>
            <w:tcW w:w="849" w:type="dxa"/>
            <w:noWrap/>
            <w:vAlign w:val="center"/>
          </w:tcPr>
          <w:p w14:paraId="354FC00E">
            <w:pPr>
              <w:widowControl/>
              <w:jc w:val="center"/>
              <w:rPr>
                <w:rFonts w:ascii="Times New Roman" w:hAnsi="Times New Roman" w:eastAsia="宋体" w:cs="Times New Roman"/>
                <w:kern w:val="0"/>
                <w:szCs w:val="21"/>
              </w:rPr>
            </w:pPr>
            <w:r>
              <w:rPr>
                <w:rFonts w:ascii="Times New Roman" w:hAnsi="宋体" w:eastAsia="宋体" w:cs="Times New Roman"/>
                <w:kern w:val="0"/>
                <w:szCs w:val="21"/>
              </w:rPr>
              <w:t>中期</w:t>
            </w:r>
          </w:p>
        </w:tc>
        <w:tc>
          <w:tcPr>
            <w:tcW w:w="694" w:type="dxa"/>
            <w:noWrap/>
            <w:vAlign w:val="center"/>
          </w:tcPr>
          <w:p w14:paraId="305BCF26">
            <w:pPr>
              <w:jc w:val="center"/>
              <w:rPr>
                <w:rFonts w:ascii="Times New Roman" w:hAnsi="Times New Roman" w:eastAsia="宋体" w:cs="Times New Roman"/>
                <w:szCs w:val="21"/>
              </w:rPr>
            </w:pPr>
            <w:r>
              <w:rPr>
                <w:rFonts w:ascii="Times New Roman" w:hAnsi="Times New Roman" w:eastAsia="宋体" w:cs="Times New Roman"/>
                <w:szCs w:val="21"/>
              </w:rPr>
              <w:t>75.9</w:t>
            </w:r>
          </w:p>
        </w:tc>
        <w:tc>
          <w:tcPr>
            <w:tcW w:w="694" w:type="dxa"/>
            <w:noWrap/>
            <w:vAlign w:val="center"/>
          </w:tcPr>
          <w:p w14:paraId="59317472">
            <w:pPr>
              <w:jc w:val="center"/>
              <w:rPr>
                <w:rFonts w:ascii="Times New Roman" w:hAnsi="Times New Roman" w:eastAsia="宋体" w:cs="Times New Roman"/>
                <w:b/>
                <w:bCs/>
                <w:szCs w:val="21"/>
              </w:rPr>
            </w:pPr>
            <w:r>
              <w:rPr>
                <w:rFonts w:ascii="Times New Roman" w:hAnsi="Times New Roman" w:eastAsia="宋体" w:cs="Times New Roman"/>
                <w:b/>
                <w:bCs/>
                <w:szCs w:val="21"/>
              </w:rPr>
              <w:t>72.4</w:t>
            </w:r>
          </w:p>
        </w:tc>
        <w:tc>
          <w:tcPr>
            <w:tcW w:w="694" w:type="dxa"/>
            <w:noWrap/>
            <w:vAlign w:val="center"/>
          </w:tcPr>
          <w:p w14:paraId="0CB54B8A">
            <w:pPr>
              <w:jc w:val="center"/>
              <w:rPr>
                <w:rFonts w:ascii="Times New Roman" w:hAnsi="Times New Roman" w:eastAsia="宋体" w:cs="Times New Roman"/>
                <w:b/>
                <w:bCs/>
                <w:szCs w:val="21"/>
              </w:rPr>
            </w:pPr>
            <w:r>
              <w:rPr>
                <w:rFonts w:ascii="Times New Roman" w:hAnsi="Times New Roman" w:eastAsia="宋体" w:cs="Times New Roman"/>
                <w:b/>
                <w:bCs/>
                <w:szCs w:val="21"/>
              </w:rPr>
              <w:t>80.1</w:t>
            </w:r>
          </w:p>
        </w:tc>
        <w:tc>
          <w:tcPr>
            <w:tcW w:w="694" w:type="dxa"/>
            <w:noWrap/>
            <w:vAlign w:val="center"/>
          </w:tcPr>
          <w:p w14:paraId="05412926">
            <w:pPr>
              <w:jc w:val="center"/>
              <w:rPr>
                <w:rFonts w:ascii="Times New Roman" w:hAnsi="Times New Roman" w:eastAsia="宋体" w:cs="Times New Roman"/>
                <w:b/>
                <w:bCs/>
                <w:szCs w:val="21"/>
              </w:rPr>
            </w:pPr>
            <w:r>
              <w:rPr>
                <w:rFonts w:ascii="Times New Roman" w:hAnsi="Times New Roman" w:eastAsia="宋体" w:cs="Times New Roman"/>
                <w:b/>
                <w:bCs/>
                <w:szCs w:val="21"/>
              </w:rPr>
              <w:t>79.3</w:t>
            </w:r>
          </w:p>
        </w:tc>
        <w:tc>
          <w:tcPr>
            <w:tcW w:w="694" w:type="dxa"/>
            <w:noWrap/>
            <w:vAlign w:val="center"/>
          </w:tcPr>
          <w:p w14:paraId="551850D7">
            <w:pPr>
              <w:jc w:val="center"/>
              <w:rPr>
                <w:rFonts w:ascii="Times New Roman" w:hAnsi="Times New Roman" w:eastAsia="宋体" w:cs="Times New Roman"/>
                <w:szCs w:val="21"/>
              </w:rPr>
            </w:pPr>
            <w:r>
              <w:rPr>
                <w:rFonts w:ascii="Times New Roman" w:hAnsi="Times New Roman" w:eastAsia="宋体" w:cs="Times New Roman"/>
                <w:szCs w:val="21"/>
              </w:rPr>
              <w:t>83.2</w:t>
            </w:r>
          </w:p>
        </w:tc>
        <w:tc>
          <w:tcPr>
            <w:tcW w:w="681" w:type="dxa"/>
            <w:noWrap/>
            <w:vAlign w:val="center"/>
          </w:tcPr>
          <w:p w14:paraId="369EC5BC">
            <w:pPr>
              <w:jc w:val="center"/>
              <w:rPr>
                <w:rFonts w:ascii="Times New Roman" w:hAnsi="Times New Roman" w:eastAsia="宋体" w:cs="Times New Roman"/>
                <w:b/>
                <w:bCs/>
                <w:szCs w:val="21"/>
              </w:rPr>
            </w:pPr>
            <w:r>
              <w:rPr>
                <w:rFonts w:ascii="Times New Roman" w:hAnsi="Times New Roman" w:eastAsia="宋体" w:cs="Times New Roman"/>
                <w:b/>
                <w:bCs/>
                <w:szCs w:val="21"/>
              </w:rPr>
              <w:t>84.7</w:t>
            </w:r>
          </w:p>
        </w:tc>
      </w:tr>
      <w:tr w14:paraId="3CF70A2B">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529" w:type="dxa"/>
            <w:vMerge w:val="continue"/>
            <w:noWrap/>
            <w:vAlign w:val="center"/>
          </w:tcPr>
          <w:p w14:paraId="5AA8E34F">
            <w:pPr>
              <w:widowControl/>
              <w:jc w:val="center"/>
              <w:rPr>
                <w:rFonts w:ascii="Times New Roman" w:hAnsi="Times New Roman" w:eastAsia="宋体" w:cs="Times New Roman"/>
                <w:kern w:val="0"/>
                <w:szCs w:val="21"/>
              </w:rPr>
            </w:pPr>
          </w:p>
        </w:tc>
        <w:tc>
          <w:tcPr>
            <w:tcW w:w="1850" w:type="dxa"/>
            <w:vMerge w:val="continue"/>
            <w:noWrap/>
            <w:vAlign w:val="center"/>
          </w:tcPr>
          <w:p w14:paraId="1DC5BCDB">
            <w:pPr>
              <w:widowControl/>
              <w:jc w:val="center"/>
              <w:rPr>
                <w:rFonts w:ascii="Times New Roman" w:hAnsi="Times New Roman" w:eastAsia="宋体" w:cs="Times New Roman"/>
                <w:kern w:val="0"/>
                <w:szCs w:val="21"/>
              </w:rPr>
            </w:pPr>
          </w:p>
        </w:tc>
        <w:tc>
          <w:tcPr>
            <w:tcW w:w="849" w:type="dxa"/>
            <w:noWrap/>
            <w:vAlign w:val="center"/>
          </w:tcPr>
          <w:p w14:paraId="44733367">
            <w:pPr>
              <w:widowControl/>
              <w:jc w:val="center"/>
              <w:rPr>
                <w:rFonts w:ascii="Times New Roman" w:hAnsi="Times New Roman" w:eastAsia="宋体" w:cs="Times New Roman"/>
                <w:kern w:val="0"/>
                <w:szCs w:val="21"/>
              </w:rPr>
            </w:pPr>
            <w:r>
              <w:rPr>
                <w:rFonts w:ascii="Times New Roman" w:hAnsi="宋体" w:eastAsia="宋体" w:cs="Times New Roman"/>
                <w:kern w:val="0"/>
                <w:szCs w:val="21"/>
              </w:rPr>
              <w:t>远期</w:t>
            </w:r>
          </w:p>
        </w:tc>
        <w:tc>
          <w:tcPr>
            <w:tcW w:w="694" w:type="dxa"/>
            <w:noWrap/>
            <w:vAlign w:val="center"/>
          </w:tcPr>
          <w:p w14:paraId="43AF9FB5">
            <w:pPr>
              <w:jc w:val="center"/>
              <w:rPr>
                <w:rFonts w:ascii="Times New Roman" w:hAnsi="Times New Roman" w:eastAsia="宋体" w:cs="Times New Roman"/>
                <w:szCs w:val="21"/>
              </w:rPr>
            </w:pPr>
            <w:r>
              <w:rPr>
                <w:rFonts w:ascii="Times New Roman" w:hAnsi="Times New Roman" w:eastAsia="宋体" w:cs="Times New Roman"/>
                <w:szCs w:val="21"/>
              </w:rPr>
              <w:t>75.8</w:t>
            </w:r>
          </w:p>
        </w:tc>
        <w:tc>
          <w:tcPr>
            <w:tcW w:w="694" w:type="dxa"/>
            <w:noWrap/>
            <w:vAlign w:val="center"/>
          </w:tcPr>
          <w:p w14:paraId="14088888">
            <w:pPr>
              <w:jc w:val="center"/>
              <w:rPr>
                <w:rFonts w:ascii="Times New Roman" w:hAnsi="Times New Roman" w:eastAsia="宋体" w:cs="Times New Roman"/>
                <w:b/>
                <w:bCs/>
                <w:szCs w:val="21"/>
              </w:rPr>
            </w:pPr>
            <w:r>
              <w:rPr>
                <w:rFonts w:ascii="Times New Roman" w:hAnsi="Times New Roman" w:eastAsia="宋体" w:cs="Times New Roman"/>
                <w:b/>
                <w:bCs/>
                <w:szCs w:val="21"/>
              </w:rPr>
              <w:t>72.4</w:t>
            </w:r>
          </w:p>
        </w:tc>
        <w:tc>
          <w:tcPr>
            <w:tcW w:w="694" w:type="dxa"/>
            <w:noWrap/>
            <w:vAlign w:val="center"/>
          </w:tcPr>
          <w:p w14:paraId="16F82A4C">
            <w:pPr>
              <w:jc w:val="center"/>
              <w:rPr>
                <w:rFonts w:ascii="Times New Roman" w:hAnsi="Times New Roman" w:eastAsia="宋体" w:cs="Times New Roman"/>
                <w:b/>
                <w:bCs/>
                <w:szCs w:val="21"/>
              </w:rPr>
            </w:pPr>
            <w:r>
              <w:rPr>
                <w:rFonts w:ascii="Times New Roman" w:hAnsi="Times New Roman" w:eastAsia="宋体" w:cs="Times New Roman"/>
                <w:b/>
                <w:bCs/>
                <w:szCs w:val="21"/>
              </w:rPr>
              <w:t>80.2</w:t>
            </w:r>
          </w:p>
        </w:tc>
        <w:tc>
          <w:tcPr>
            <w:tcW w:w="694" w:type="dxa"/>
            <w:noWrap/>
            <w:vAlign w:val="center"/>
          </w:tcPr>
          <w:p w14:paraId="548CBEA3">
            <w:pPr>
              <w:jc w:val="center"/>
              <w:rPr>
                <w:rFonts w:ascii="Times New Roman" w:hAnsi="Times New Roman" w:eastAsia="宋体" w:cs="Times New Roman"/>
                <w:b/>
                <w:bCs/>
                <w:szCs w:val="21"/>
              </w:rPr>
            </w:pPr>
            <w:r>
              <w:rPr>
                <w:rFonts w:ascii="Times New Roman" w:hAnsi="Times New Roman" w:eastAsia="宋体" w:cs="Times New Roman"/>
                <w:b/>
                <w:bCs/>
                <w:szCs w:val="21"/>
              </w:rPr>
              <w:t>79.3</w:t>
            </w:r>
          </w:p>
        </w:tc>
        <w:tc>
          <w:tcPr>
            <w:tcW w:w="694" w:type="dxa"/>
            <w:noWrap/>
            <w:vAlign w:val="center"/>
          </w:tcPr>
          <w:p w14:paraId="1DE08A68">
            <w:pPr>
              <w:jc w:val="center"/>
              <w:rPr>
                <w:rFonts w:ascii="Times New Roman" w:hAnsi="Times New Roman" w:eastAsia="宋体" w:cs="Times New Roman"/>
                <w:szCs w:val="21"/>
              </w:rPr>
            </w:pPr>
            <w:r>
              <w:rPr>
                <w:rFonts w:ascii="Times New Roman" w:hAnsi="Times New Roman" w:eastAsia="宋体" w:cs="Times New Roman"/>
                <w:szCs w:val="21"/>
              </w:rPr>
              <w:t>83.3</w:t>
            </w:r>
          </w:p>
        </w:tc>
        <w:tc>
          <w:tcPr>
            <w:tcW w:w="681" w:type="dxa"/>
            <w:noWrap/>
            <w:vAlign w:val="center"/>
          </w:tcPr>
          <w:p w14:paraId="130E2B2B">
            <w:pPr>
              <w:jc w:val="center"/>
              <w:rPr>
                <w:rFonts w:ascii="Times New Roman" w:hAnsi="Times New Roman" w:eastAsia="宋体" w:cs="Times New Roman"/>
                <w:b/>
                <w:bCs/>
                <w:szCs w:val="21"/>
              </w:rPr>
            </w:pPr>
            <w:r>
              <w:rPr>
                <w:rFonts w:ascii="Times New Roman" w:hAnsi="Times New Roman" w:eastAsia="宋体" w:cs="Times New Roman"/>
                <w:b/>
                <w:bCs/>
                <w:szCs w:val="21"/>
              </w:rPr>
              <w:t>84.7</w:t>
            </w:r>
          </w:p>
        </w:tc>
      </w:tr>
      <w:tr w14:paraId="33AD9CE1">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529" w:type="dxa"/>
            <w:vMerge w:val="restart"/>
            <w:noWrap/>
            <w:vAlign w:val="center"/>
          </w:tcPr>
          <w:p w14:paraId="6937A42E">
            <w:pPr>
              <w:widowControl/>
              <w:jc w:val="center"/>
              <w:rPr>
                <w:rFonts w:ascii="Times New Roman" w:hAnsi="Times New Roman" w:eastAsia="宋体" w:cs="Times New Roman"/>
                <w:kern w:val="0"/>
                <w:szCs w:val="21"/>
              </w:rPr>
            </w:pPr>
            <w:r>
              <w:rPr>
                <w:rFonts w:ascii="Times New Roman" w:hAnsi="宋体" w:eastAsia="宋体" w:cs="Times New Roman"/>
                <w:kern w:val="0"/>
                <w:szCs w:val="21"/>
              </w:rPr>
              <w:t>胜利路～</w:t>
            </w:r>
            <w:r>
              <w:rPr>
                <w:rFonts w:ascii="Times New Roman" w:hAnsi="Times New Roman" w:eastAsia="宋体" w:cs="Times New Roman"/>
                <w:kern w:val="0"/>
                <w:szCs w:val="21"/>
              </w:rPr>
              <w:t>S311</w:t>
            </w:r>
          </w:p>
        </w:tc>
        <w:tc>
          <w:tcPr>
            <w:tcW w:w="1850" w:type="dxa"/>
            <w:vMerge w:val="restart"/>
            <w:noWrap/>
            <w:vAlign w:val="center"/>
          </w:tcPr>
          <w:p w14:paraId="1F2EEDB8">
            <w:pPr>
              <w:widowControl/>
              <w:jc w:val="center"/>
              <w:rPr>
                <w:rFonts w:ascii="Times New Roman" w:hAnsi="Times New Roman" w:eastAsia="宋体" w:cs="Times New Roman"/>
                <w:kern w:val="0"/>
                <w:szCs w:val="21"/>
              </w:rPr>
            </w:pPr>
            <w:r>
              <w:rPr>
                <w:rFonts w:ascii="Times New Roman" w:hAnsi="宋体" w:eastAsia="宋体" w:cs="Times New Roman"/>
                <w:kern w:val="0"/>
                <w:szCs w:val="21"/>
              </w:rPr>
              <w:t>设计车速</w:t>
            </w:r>
            <w:r>
              <w:rPr>
                <w:rFonts w:hint="eastAsia" w:ascii="Times New Roman" w:hAnsi="Times New Roman" w:eastAsia="宋体" w:cs="Times New Roman"/>
                <w:kern w:val="0"/>
                <w:szCs w:val="21"/>
              </w:rPr>
              <w:t>8</w:t>
            </w:r>
            <w:r>
              <w:rPr>
                <w:rFonts w:ascii="Times New Roman" w:hAnsi="Times New Roman" w:eastAsia="宋体" w:cs="Times New Roman"/>
                <w:kern w:val="0"/>
                <w:szCs w:val="21"/>
              </w:rPr>
              <w:t>0km/h</w:t>
            </w:r>
            <w:r>
              <w:rPr>
                <w:rFonts w:ascii="Times New Roman" w:hAnsi="宋体" w:eastAsia="宋体" w:cs="Times New Roman"/>
                <w:kern w:val="0"/>
                <w:szCs w:val="21"/>
              </w:rPr>
              <w:t>，路基宽度</w:t>
            </w:r>
            <w:r>
              <w:rPr>
                <w:rFonts w:hint="eastAsia" w:ascii="Times New Roman" w:hAnsi="Times New Roman" w:eastAsia="宋体" w:cs="Times New Roman"/>
                <w:kern w:val="0"/>
                <w:szCs w:val="21"/>
              </w:rPr>
              <w:t>25.5</w:t>
            </w:r>
            <w:r>
              <w:rPr>
                <w:rFonts w:ascii="Times New Roman" w:hAnsi="Times New Roman" w:eastAsia="宋体" w:cs="Times New Roman"/>
                <w:kern w:val="0"/>
                <w:szCs w:val="21"/>
              </w:rPr>
              <w:t>m</w:t>
            </w:r>
          </w:p>
        </w:tc>
        <w:tc>
          <w:tcPr>
            <w:tcW w:w="849" w:type="dxa"/>
            <w:noWrap/>
            <w:vAlign w:val="center"/>
          </w:tcPr>
          <w:p w14:paraId="31262F25">
            <w:pPr>
              <w:widowControl/>
              <w:jc w:val="center"/>
              <w:rPr>
                <w:rFonts w:ascii="Times New Roman" w:hAnsi="Times New Roman" w:eastAsia="宋体" w:cs="Times New Roman"/>
                <w:kern w:val="0"/>
                <w:szCs w:val="21"/>
              </w:rPr>
            </w:pPr>
            <w:r>
              <w:rPr>
                <w:rFonts w:ascii="Times New Roman" w:hAnsi="宋体" w:eastAsia="宋体" w:cs="Times New Roman"/>
                <w:kern w:val="0"/>
                <w:szCs w:val="21"/>
              </w:rPr>
              <w:t>近期</w:t>
            </w:r>
          </w:p>
        </w:tc>
        <w:tc>
          <w:tcPr>
            <w:tcW w:w="694" w:type="dxa"/>
            <w:noWrap/>
            <w:vAlign w:val="center"/>
          </w:tcPr>
          <w:p w14:paraId="1D0D4D91">
            <w:pPr>
              <w:jc w:val="center"/>
              <w:rPr>
                <w:rFonts w:ascii="Times New Roman" w:hAnsi="Times New Roman" w:eastAsia="宋体" w:cs="Times New Roman"/>
                <w:szCs w:val="21"/>
              </w:rPr>
            </w:pPr>
            <w:r>
              <w:rPr>
                <w:rFonts w:ascii="Times New Roman" w:hAnsi="Times New Roman" w:eastAsia="宋体" w:cs="Times New Roman"/>
                <w:szCs w:val="21"/>
              </w:rPr>
              <w:t>77.9</w:t>
            </w:r>
          </w:p>
        </w:tc>
        <w:tc>
          <w:tcPr>
            <w:tcW w:w="694" w:type="dxa"/>
            <w:noWrap/>
            <w:vAlign w:val="center"/>
          </w:tcPr>
          <w:p w14:paraId="7416CD88">
            <w:pPr>
              <w:jc w:val="center"/>
              <w:rPr>
                <w:rFonts w:ascii="Times New Roman" w:hAnsi="Times New Roman" w:eastAsia="宋体" w:cs="Times New Roman"/>
                <w:szCs w:val="21"/>
              </w:rPr>
            </w:pPr>
            <w:r>
              <w:rPr>
                <w:rFonts w:ascii="Times New Roman" w:hAnsi="Times New Roman" w:eastAsia="宋体" w:cs="Times New Roman"/>
                <w:szCs w:val="21"/>
              </w:rPr>
              <w:t>77.9</w:t>
            </w:r>
          </w:p>
        </w:tc>
        <w:tc>
          <w:tcPr>
            <w:tcW w:w="694" w:type="dxa"/>
            <w:noWrap/>
            <w:vAlign w:val="center"/>
          </w:tcPr>
          <w:p w14:paraId="02635A3D">
            <w:pPr>
              <w:jc w:val="center"/>
              <w:rPr>
                <w:rFonts w:ascii="Times New Roman" w:hAnsi="Times New Roman" w:eastAsia="宋体" w:cs="Times New Roman"/>
                <w:szCs w:val="21"/>
              </w:rPr>
            </w:pPr>
            <w:r>
              <w:rPr>
                <w:rFonts w:ascii="Times New Roman" w:hAnsi="Times New Roman" w:eastAsia="宋体" w:cs="Times New Roman"/>
                <w:szCs w:val="21"/>
              </w:rPr>
              <w:t>80.3</w:t>
            </w:r>
          </w:p>
        </w:tc>
        <w:tc>
          <w:tcPr>
            <w:tcW w:w="694" w:type="dxa"/>
            <w:noWrap/>
            <w:vAlign w:val="center"/>
          </w:tcPr>
          <w:p w14:paraId="7CA3BEEC">
            <w:pPr>
              <w:jc w:val="center"/>
              <w:rPr>
                <w:rFonts w:ascii="Times New Roman" w:hAnsi="Times New Roman" w:eastAsia="宋体" w:cs="Times New Roman"/>
                <w:szCs w:val="21"/>
              </w:rPr>
            </w:pPr>
            <w:r>
              <w:rPr>
                <w:rFonts w:ascii="Times New Roman" w:hAnsi="Times New Roman" w:eastAsia="宋体" w:cs="Times New Roman"/>
                <w:szCs w:val="21"/>
              </w:rPr>
              <w:t>80.3</w:t>
            </w:r>
          </w:p>
        </w:tc>
        <w:tc>
          <w:tcPr>
            <w:tcW w:w="694" w:type="dxa"/>
            <w:noWrap/>
            <w:vAlign w:val="center"/>
          </w:tcPr>
          <w:p w14:paraId="2303AF95">
            <w:pPr>
              <w:jc w:val="center"/>
              <w:rPr>
                <w:rFonts w:ascii="Times New Roman" w:hAnsi="Times New Roman" w:eastAsia="宋体" w:cs="Times New Roman"/>
                <w:szCs w:val="21"/>
              </w:rPr>
            </w:pPr>
            <w:r>
              <w:rPr>
                <w:rFonts w:ascii="Times New Roman" w:hAnsi="Times New Roman" w:eastAsia="宋体" w:cs="Times New Roman"/>
                <w:szCs w:val="21"/>
              </w:rPr>
              <w:t>86.2</w:t>
            </w:r>
          </w:p>
        </w:tc>
        <w:tc>
          <w:tcPr>
            <w:tcW w:w="681" w:type="dxa"/>
            <w:noWrap/>
            <w:vAlign w:val="center"/>
          </w:tcPr>
          <w:p w14:paraId="46F3E5F2">
            <w:pPr>
              <w:jc w:val="center"/>
              <w:rPr>
                <w:rFonts w:ascii="Times New Roman" w:hAnsi="Times New Roman" w:eastAsia="宋体" w:cs="Times New Roman"/>
                <w:szCs w:val="21"/>
              </w:rPr>
            </w:pPr>
            <w:r>
              <w:rPr>
                <w:rFonts w:ascii="Times New Roman" w:hAnsi="Times New Roman" w:eastAsia="宋体" w:cs="Times New Roman"/>
                <w:szCs w:val="21"/>
              </w:rPr>
              <w:t>86.2</w:t>
            </w:r>
          </w:p>
        </w:tc>
      </w:tr>
      <w:tr w14:paraId="59F17DC2">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529" w:type="dxa"/>
            <w:vMerge w:val="continue"/>
            <w:noWrap/>
            <w:vAlign w:val="center"/>
          </w:tcPr>
          <w:p w14:paraId="5F310B78">
            <w:pPr>
              <w:widowControl/>
              <w:jc w:val="center"/>
              <w:rPr>
                <w:rFonts w:ascii="Times New Roman" w:hAnsi="Times New Roman" w:eastAsia="宋体" w:cs="Times New Roman"/>
                <w:kern w:val="0"/>
                <w:szCs w:val="21"/>
              </w:rPr>
            </w:pPr>
          </w:p>
        </w:tc>
        <w:tc>
          <w:tcPr>
            <w:tcW w:w="1850" w:type="dxa"/>
            <w:vMerge w:val="continue"/>
            <w:noWrap/>
            <w:vAlign w:val="center"/>
          </w:tcPr>
          <w:p w14:paraId="15FD76D8">
            <w:pPr>
              <w:widowControl/>
              <w:jc w:val="center"/>
              <w:rPr>
                <w:rFonts w:ascii="Times New Roman" w:hAnsi="Times New Roman" w:eastAsia="宋体" w:cs="Times New Roman"/>
                <w:kern w:val="0"/>
                <w:szCs w:val="21"/>
              </w:rPr>
            </w:pPr>
          </w:p>
        </w:tc>
        <w:tc>
          <w:tcPr>
            <w:tcW w:w="849" w:type="dxa"/>
            <w:noWrap/>
            <w:vAlign w:val="center"/>
          </w:tcPr>
          <w:p w14:paraId="6AD40197">
            <w:pPr>
              <w:widowControl/>
              <w:jc w:val="center"/>
              <w:rPr>
                <w:rFonts w:ascii="Times New Roman" w:hAnsi="Times New Roman" w:eastAsia="宋体" w:cs="Times New Roman"/>
                <w:kern w:val="0"/>
                <w:szCs w:val="21"/>
              </w:rPr>
            </w:pPr>
            <w:r>
              <w:rPr>
                <w:rFonts w:ascii="Times New Roman" w:hAnsi="宋体" w:eastAsia="宋体" w:cs="Times New Roman"/>
                <w:kern w:val="0"/>
                <w:szCs w:val="21"/>
              </w:rPr>
              <w:t>中期</w:t>
            </w:r>
          </w:p>
        </w:tc>
        <w:tc>
          <w:tcPr>
            <w:tcW w:w="694" w:type="dxa"/>
            <w:noWrap/>
            <w:vAlign w:val="center"/>
          </w:tcPr>
          <w:p w14:paraId="7364E1B4">
            <w:pPr>
              <w:jc w:val="center"/>
              <w:rPr>
                <w:rFonts w:ascii="Times New Roman" w:hAnsi="Times New Roman" w:eastAsia="宋体" w:cs="Times New Roman"/>
                <w:szCs w:val="21"/>
              </w:rPr>
            </w:pPr>
            <w:r>
              <w:rPr>
                <w:rFonts w:ascii="Times New Roman" w:hAnsi="Times New Roman" w:eastAsia="宋体" w:cs="Times New Roman"/>
                <w:szCs w:val="21"/>
              </w:rPr>
              <w:t>77.9</w:t>
            </w:r>
          </w:p>
        </w:tc>
        <w:tc>
          <w:tcPr>
            <w:tcW w:w="694" w:type="dxa"/>
            <w:noWrap/>
            <w:vAlign w:val="center"/>
          </w:tcPr>
          <w:p w14:paraId="2BE7ABCE">
            <w:pPr>
              <w:jc w:val="center"/>
              <w:rPr>
                <w:rFonts w:ascii="Times New Roman" w:hAnsi="Times New Roman" w:eastAsia="宋体" w:cs="Times New Roman"/>
                <w:szCs w:val="21"/>
              </w:rPr>
            </w:pPr>
            <w:r>
              <w:rPr>
                <w:rFonts w:ascii="Times New Roman" w:hAnsi="Times New Roman" w:eastAsia="宋体" w:cs="Times New Roman"/>
                <w:szCs w:val="21"/>
              </w:rPr>
              <w:t>77.9</w:t>
            </w:r>
          </w:p>
        </w:tc>
        <w:tc>
          <w:tcPr>
            <w:tcW w:w="694" w:type="dxa"/>
            <w:noWrap/>
            <w:vAlign w:val="center"/>
          </w:tcPr>
          <w:p w14:paraId="68402AFA">
            <w:pPr>
              <w:jc w:val="center"/>
              <w:rPr>
                <w:rFonts w:ascii="Times New Roman" w:hAnsi="Times New Roman" w:eastAsia="宋体" w:cs="Times New Roman"/>
                <w:szCs w:val="21"/>
              </w:rPr>
            </w:pPr>
            <w:r>
              <w:rPr>
                <w:rFonts w:ascii="Times New Roman" w:hAnsi="Times New Roman" w:eastAsia="宋体" w:cs="Times New Roman"/>
                <w:szCs w:val="21"/>
              </w:rPr>
              <w:t>80.3</w:t>
            </w:r>
          </w:p>
        </w:tc>
        <w:tc>
          <w:tcPr>
            <w:tcW w:w="694" w:type="dxa"/>
            <w:noWrap/>
            <w:vAlign w:val="center"/>
          </w:tcPr>
          <w:p w14:paraId="658C1CF7">
            <w:pPr>
              <w:jc w:val="center"/>
              <w:rPr>
                <w:rFonts w:ascii="Times New Roman" w:hAnsi="Times New Roman" w:eastAsia="宋体" w:cs="Times New Roman"/>
                <w:szCs w:val="21"/>
              </w:rPr>
            </w:pPr>
            <w:r>
              <w:rPr>
                <w:rFonts w:ascii="Times New Roman" w:hAnsi="Times New Roman" w:eastAsia="宋体" w:cs="Times New Roman"/>
                <w:szCs w:val="21"/>
              </w:rPr>
              <w:t>80.3</w:t>
            </w:r>
          </w:p>
        </w:tc>
        <w:tc>
          <w:tcPr>
            <w:tcW w:w="694" w:type="dxa"/>
            <w:noWrap/>
            <w:vAlign w:val="center"/>
          </w:tcPr>
          <w:p w14:paraId="3AAC563D">
            <w:pPr>
              <w:jc w:val="center"/>
              <w:rPr>
                <w:rFonts w:ascii="Times New Roman" w:hAnsi="Times New Roman" w:eastAsia="宋体" w:cs="Times New Roman"/>
                <w:szCs w:val="21"/>
              </w:rPr>
            </w:pPr>
            <w:r>
              <w:rPr>
                <w:rFonts w:ascii="Times New Roman" w:hAnsi="Times New Roman" w:eastAsia="宋体" w:cs="Times New Roman"/>
                <w:szCs w:val="21"/>
              </w:rPr>
              <w:t>86.2</w:t>
            </w:r>
          </w:p>
        </w:tc>
        <w:tc>
          <w:tcPr>
            <w:tcW w:w="681" w:type="dxa"/>
            <w:noWrap/>
            <w:vAlign w:val="center"/>
          </w:tcPr>
          <w:p w14:paraId="3468DFD8">
            <w:pPr>
              <w:jc w:val="center"/>
              <w:rPr>
                <w:rFonts w:ascii="Times New Roman" w:hAnsi="Times New Roman" w:eastAsia="宋体" w:cs="Times New Roman"/>
                <w:szCs w:val="21"/>
              </w:rPr>
            </w:pPr>
            <w:r>
              <w:rPr>
                <w:rFonts w:ascii="Times New Roman" w:hAnsi="Times New Roman" w:eastAsia="宋体" w:cs="Times New Roman"/>
                <w:szCs w:val="21"/>
              </w:rPr>
              <w:t>86.2</w:t>
            </w:r>
          </w:p>
        </w:tc>
      </w:tr>
      <w:tr w14:paraId="7B3BF32D">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529" w:type="dxa"/>
            <w:vMerge w:val="continue"/>
            <w:noWrap/>
            <w:vAlign w:val="center"/>
          </w:tcPr>
          <w:p w14:paraId="59458511">
            <w:pPr>
              <w:widowControl/>
              <w:jc w:val="center"/>
              <w:rPr>
                <w:rFonts w:ascii="Times New Roman" w:hAnsi="Times New Roman" w:eastAsia="宋体" w:cs="Times New Roman"/>
                <w:kern w:val="0"/>
                <w:szCs w:val="21"/>
              </w:rPr>
            </w:pPr>
          </w:p>
        </w:tc>
        <w:tc>
          <w:tcPr>
            <w:tcW w:w="1850" w:type="dxa"/>
            <w:vMerge w:val="continue"/>
            <w:noWrap/>
            <w:vAlign w:val="center"/>
          </w:tcPr>
          <w:p w14:paraId="2E9454CB">
            <w:pPr>
              <w:widowControl/>
              <w:jc w:val="center"/>
              <w:rPr>
                <w:rFonts w:ascii="Times New Roman" w:hAnsi="Times New Roman" w:eastAsia="宋体" w:cs="Times New Roman"/>
                <w:kern w:val="0"/>
                <w:szCs w:val="21"/>
              </w:rPr>
            </w:pPr>
          </w:p>
        </w:tc>
        <w:tc>
          <w:tcPr>
            <w:tcW w:w="849" w:type="dxa"/>
            <w:noWrap/>
            <w:vAlign w:val="center"/>
          </w:tcPr>
          <w:p w14:paraId="19C2D618">
            <w:pPr>
              <w:widowControl/>
              <w:jc w:val="center"/>
              <w:rPr>
                <w:rFonts w:ascii="Times New Roman" w:hAnsi="Times New Roman" w:eastAsia="宋体" w:cs="Times New Roman"/>
                <w:kern w:val="0"/>
                <w:szCs w:val="21"/>
              </w:rPr>
            </w:pPr>
            <w:r>
              <w:rPr>
                <w:rFonts w:ascii="Times New Roman" w:hAnsi="宋体" w:eastAsia="宋体" w:cs="Times New Roman"/>
                <w:kern w:val="0"/>
                <w:szCs w:val="21"/>
              </w:rPr>
              <w:t>远期</w:t>
            </w:r>
          </w:p>
        </w:tc>
        <w:tc>
          <w:tcPr>
            <w:tcW w:w="694" w:type="dxa"/>
            <w:noWrap/>
            <w:vAlign w:val="center"/>
          </w:tcPr>
          <w:p w14:paraId="06521331">
            <w:pPr>
              <w:jc w:val="center"/>
              <w:rPr>
                <w:rFonts w:ascii="Times New Roman" w:hAnsi="Times New Roman" w:eastAsia="宋体" w:cs="Times New Roman"/>
                <w:szCs w:val="21"/>
              </w:rPr>
            </w:pPr>
            <w:r>
              <w:rPr>
                <w:rFonts w:ascii="Times New Roman" w:hAnsi="Times New Roman" w:eastAsia="宋体" w:cs="Times New Roman"/>
                <w:szCs w:val="21"/>
              </w:rPr>
              <w:t>77.9</w:t>
            </w:r>
          </w:p>
        </w:tc>
        <w:tc>
          <w:tcPr>
            <w:tcW w:w="694" w:type="dxa"/>
            <w:noWrap/>
            <w:vAlign w:val="center"/>
          </w:tcPr>
          <w:p w14:paraId="4B97DE62">
            <w:pPr>
              <w:jc w:val="center"/>
              <w:rPr>
                <w:rFonts w:ascii="Times New Roman" w:hAnsi="Times New Roman" w:eastAsia="宋体" w:cs="Times New Roman"/>
                <w:szCs w:val="21"/>
              </w:rPr>
            </w:pPr>
            <w:r>
              <w:rPr>
                <w:rFonts w:ascii="Times New Roman" w:hAnsi="Times New Roman" w:eastAsia="宋体" w:cs="Times New Roman"/>
                <w:szCs w:val="21"/>
              </w:rPr>
              <w:t>77.9</w:t>
            </w:r>
          </w:p>
        </w:tc>
        <w:tc>
          <w:tcPr>
            <w:tcW w:w="694" w:type="dxa"/>
            <w:noWrap/>
            <w:vAlign w:val="center"/>
          </w:tcPr>
          <w:p w14:paraId="584A0E34">
            <w:pPr>
              <w:jc w:val="center"/>
              <w:rPr>
                <w:rFonts w:ascii="Times New Roman" w:hAnsi="Times New Roman" w:eastAsia="宋体" w:cs="Times New Roman"/>
                <w:szCs w:val="21"/>
              </w:rPr>
            </w:pPr>
            <w:r>
              <w:rPr>
                <w:rFonts w:ascii="Times New Roman" w:hAnsi="Times New Roman" w:eastAsia="宋体" w:cs="Times New Roman"/>
                <w:szCs w:val="21"/>
              </w:rPr>
              <w:t>80.3</w:t>
            </w:r>
          </w:p>
        </w:tc>
        <w:tc>
          <w:tcPr>
            <w:tcW w:w="694" w:type="dxa"/>
            <w:noWrap/>
            <w:vAlign w:val="center"/>
          </w:tcPr>
          <w:p w14:paraId="2DA72DAE">
            <w:pPr>
              <w:jc w:val="center"/>
              <w:rPr>
                <w:rFonts w:ascii="Times New Roman" w:hAnsi="Times New Roman" w:eastAsia="宋体" w:cs="Times New Roman"/>
                <w:szCs w:val="21"/>
              </w:rPr>
            </w:pPr>
            <w:r>
              <w:rPr>
                <w:rFonts w:ascii="Times New Roman" w:hAnsi="Times New Roman" w:eastAsia="宋体" w:cs="Times New Roman"/>
                <w:szCs w:val="21"/>
              </w:rPr>
              <w:t>80.3</w:t>
            </w:r>
          </w:p>
        </w:tc>
        <w:tc>
          <w:tcPr>
            <w:tcW w:w="694" w:type="dxa"/>
            <w:noWrap/>
            <w:vAlign w:val="center"/>
          </w:tcPr>
          <w:p w14:paraId="159343A4">
            <w:pPr>
              <w:jc w:val="center"/>
              <w:rPr>
                <w:rFonts w:ascii="Times New Roman" w:hAnsi="Times New Roman" w:eastAsia="宋体" w:cs="Times New Roman"/>
                <w:szCs w:val="21"/>
              </w:rPr>
            </w:pPr>
            <w:r>
              <w:rPr>
                <w:rFonts w:ascii="Times New Roman" w:hAnsi="Times New Roman" w:eastAsia="宋体" w:cs="Times New Roman"/>
                <w:szCs w:val="21"/>
              </w:rPr>
              <w:t>86.2</w:t>
            </w:r>
          </w:p>
        </w:tc>
        <w:tc>
          <w:tcPr>
            <w:tcW w:w="681" w:type="dxa"/>
            <w:noWrap/>
            <w:vAlign w:val="center"/>
          </w:tcPr>
          <w:p w14:paraId="076CD735">
            <w:pPr>
              <w:jc w:val="center"/>
              <w:rPr>
                <w:rFonts w:ascii="Times New Roman" w:hAnsi="Times New Roman" w:eastAsia="宋体" w:cs="Times New Roman"/>
                <w:szCs w:val="21"/>
              </w:rPr>
            </w:pPr>
            <w:r>
              <w:rPr>
                <w:rFonts w:ascii="Times New Roman" w:hAnsi="Times New Roman" w:eastAsia="宋体" w:cs="Times New Roman"/>
                <w:szCs w:val="21"/>
              </w:rPr>
              <w:t>86.2</w:t>
            </w:r>
          </w:p>
        </w:tc>
      </w:tr>
      <w:tr w14:paraId="2FD4B997">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529" w:type="dxa"/>
            <w:vMerge w:val="restart"/>
            <w:noWrap/>
            <w:vAlign w:val="center"/>
          </w:tcPr>
          <w:p w14:paraId="568701C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S311</w:t>
            </w:r>
            <w:r>
              <w:rPr>
                <w:rFonts w:ascii="Times New Roman" w:hAnsi="宋体" w:eastAsia="宋体" w:cs="Times New Roman"/>
                <w:kern w:val="0"/>
                <w:szCs w:val="21"/>
              </w:rPr>
              <w:t>～高速口</w:t>
            </w:r>
          </w:p>
        </w:tc>
        <w:tc>
          <w:tcPr>
            <w:tcW w:w="1850" w:type="dxa"/>
            <w:vMerge w:val="restart"/>
            <w:noWrap/>
            <w:vAlign w:val="center"/>
          </w:tcPr>
          <w:p w14:paraId="6E265548">
            <w:pPr>
              <w:widowControl/>
              <w:jc w:val="center"/>
              <w:rPr>
                <w:rFonts w:ascii="Times New Roman" w:hAnsi="Times New Roman" w:eastAsia="宋体" w:cs="Times New Roman"/>
                <w:kern w:val="0"/>
                <w:szCs w:val="21"/>
              </w:rPr>
            </w:pPr>
            <w:r>
              <w:rPr>
                <w:rFonts w:ascii="Times New Roman" w:hAnsi="宋体" w:eastAsia="宋体" w:cs="Times New Roman"/>
                <w:kern w:val="0"/>
                <w:szCs w:val="21"/>
              </w:rPr>
              <w:t>设计车速</w:t>
            </w:r>
            <w:r>
              <w:rPr>
                <w:rFonts w:hint="eastAsia" w:ascii="Times New Roman" w:hAnsi="Times New Roman" w:eastAsia="宋体" w:cs="Times New Roman"/>
                <w:kern w:val="0"/>
                <w:szCs w:val="21"/>
              </w:rPr>
              <w:t>8</w:t>
            </w:r>
            <w:r>
              <w:rPr>
                <w:rFonts w:ascii="Times New Roman" w:hAnsi="Times New Roman" w:eastAsia="宋体" w:cs="Times New Roman"/>
                <w:kern w:val="0"/>
                <w:szCs w:val="21"/>
              </w:rPr>
              <w:t>0km/h</w:t>
            </w:r>
            <w:r>
              <w:rPr>
                <w:rFonts w:ascii="Times New Roman" w:hAnsi="宋体" w:eastAsia="宋体" w:cs="Times New Roman"/>
                <w:kern w:val="0"/>
                <w:szCs w:val="21"/>
              </w:rPr>
              <w:t>，路基宽度</w:t>
            </w:r>
            <w:r>
              <w:rPr>
                <w:rFonts w:hint="eastAsia" w:ascii="Times New Roman" w:hAnsi="Times New Roman" w:eastAsia="宋体" w:cs="Times New Roman"/>
                <w:kern w:val="0"/>
                <w:szCs w:val="21"/>
              </w:rPr>
              <w:t>25.5</w:t>
            </w:r>
            <w:r>
              <w:rPr>
                <w:rFonts w:ascii="Times New Roman" w:hAnsi="Times New Roman" w:eastAsia="宋体" w:cs="Times New Roman"/>
                <w:kern w:val="0"/>
                <w:szCs w:val="21"/>
              </w:rPr>
              <w:t>m</w:t>
            </w:r>
          </w:p>
        </w:tc>
        <w:tc>
          <w:tcPr>
            <w:tcW w:w="849" w:type="dxa"/>
            <w:noWrap/>
            <w:vAlign w:val="center"/>
          </w:tcPr>
          <w:p w14:paraId="45C0AA07">
            <w:pPr>
              <w:widowControl/>
              <w:jc w:val="center"/>
              <w:rPr>
                <w:rFonts w:ascii="Times New Roman" w:hAnsi="Times New Roman" w:eastAsia="宋体" w:cs="Times New Roman"/>
                <w:kern w:val="0"/>
                <w:szCs w:val="21"/>
              </w:rPr>
            </w:pPr>
            <w:r>
              <w:rPr>
                <w:rFonts w:ascii="Times New Roman" w:hAnsi="宋体" w:eastAsia="宋体" w:cs="Times New Roman"/>
                <w:kern w:val="0"/>
                <w:szCs w:val="21"/>
              </w:rPr>
              <w:t>近期</w:t>
            </w:r>
          </w:p>
        </w:tc>
        <w:tc>
          <w:tcPr>
            <w:tcW w:w="694" w:type="dxa"/>
            <w:noWrap/>
            <w:vAlign w:val="center"/>
          </w:tcPr>
          <w:p w14:paraId="0E0558E9">
            <w:pPr>
              <w:jc w:val="center"/>
              <w:rPr>
                <w:rFonts w:ascii="Times New Roman" w:hAnsi="Times New Roman" w:eastAsia="宋体" w:cs="Times New Roman"/>
                <w:szCs w:val="21"/>
              </w:rPr>
            </w:pPr>
            <w:r>
              <w:rPr>
                <w:rFonts w:ascii="Times New Roman" w:hAnsi="Times New Roman" w:eastAsia="宋体" w:cs="Times New Roman"/>
                <w:szCs w:val="21"/>
              </w:rPr>
              <w:t>77.9</w:t>
            </w:r>
          </w:p>
        </w:tc>
        <w:tc>
          <w:tcPr>
            <w:tcW w:w="694" w:type="dxa"/>
            <w:noWrap/>
            <w:vAlign w:val="center"/>
          </w:tcPr>
          <w:p w14:paraId="18C4A212">
            <w:pPr>
              <w:jc w:val="center"/>
              <w:rPr>
                <w:rFonts w:ascii="Times New Roman" w:hAnsi="Times New Roman" w:eastAsia="宋体" w:cs="Times New Roman"/>
                <w:szCs w:val="21"/>
              </w:rPr>
            </w:pPr>
            <w:r>
              <w:rPr>
                <w:rFonts w:ascii="Times New Roman" w:hAnsi="Times New Roman" w:eastAsia="宋体" w:cs="Times New Roman"/>
                <w:szCs w:val="21"/>
              </w:rPr>
              <w:t>77.9</w:t>
            </w:r>
          </w:p>
        </w:tc>
        <w:tc>
          <w:tcPr>
            <w:tcW w:w="694" w:type="dxa"/>
            <w:noWrap/>
            <w:vAlign w:val="center"/>
          </w:tcPr>
          <w:p w14:paraId="063176A6">
            <w:pPr>
              <w:jc w:val="center"/>
              <w:rPr>
                <w:rFonts w:ascii="Times New Roman" w:hAnsi="Times New Roman" w:eastAsia="宋体" w:cs="Times New Roman"/>
                <w:szCs w:val="21"/>
              </w:rPr>
            </w:pPr>
            <w:r>
              <w:rPr>
                <w:rFonts w:ascii="Times New Roman" w:hAnsi="Times New Roman" w:eastAsia="宋体" w:cs="Times New Roman"/>
                <w:szCs w:val="21"/>
              </w:rPr>
              <w:t>80.3</w:t>
            </w:r>
          </w:p>
        </w:tc>
        <w:tc>
          <w:tcPr>
            <w:tcW w:w="694" w:type="dxa"/>
            <w:noWrap/>
            <w:vAlign w:val="center"/>
          </w:tcPr>
          <w:p w14:paraId="04255C96">
            <w:pPr>
              <w:jc w:val="center"/>
              <w:rPr>
                <w:rFonts w:ascii="Times New Roman" w:hAnsi="Times New Roman" w:eastAsia="宋体" w:cs="Times New Roman"/>
                <w:szCs w:val="21"/>
              </w:rPr>
            </w:pPr>
            <w:r>
              <w:rPr>
                <w:rFonts w:ascii="Times New Roman" w:hAnsi="Times New Roman" w:eastAsia="宋体" w:cs="Times New Roman"/>
                <w:szCs w:val="21"/>
              </w:rPr>
              <w:t>80.3</w:t>
            </w:r>
          </w:p>
        </w:tc>
        <w:tc>
          <w:tcPr>
            <w:tcW w:w="694" w:type="dxa"/>
            <w:noWrap/>
            <w:vAlign w:val="center"/>
          </w:tcPr>
          <w:p w14:paraId="63B63DCC">
            <w:pPr>
              <w:jc w:val="center"/>
              <w:rPr>
                <w:rFonts w:ascii="Times New Roman" w:hAnsi="Times New Roman" w:eastAsia="宋体" w:cs="Times New Roman"/>
                <w:szCs w:val="21"/>
              </w:rPr>
            </w:pPr>
            <w:r>
              <w:rPr>
                <w:rFonts w:ascii="Times New Roman" w:hAnsi="Times New Roman" w:eastAsia="宋体" w:cs="Times New Roman"/>
                <w:szCs w:val="21"/>
              </w:rPr>
              <w:t>86.2</w:t>
            </w:r>
          </w:p>
        </w:tc>
        <w:tc>
          <w:tcPr>
            <w:tcW w:w="681" w:type="dxa"/>
            <w:noWrap/>
            <w:vAlign w:val="center"/>
          </w:tcPr>
          <w:p w14:paraId="6962AC57">
            <w:pPr>
              <w:jc w:val="center"/>
              <w:rPr>
                <w:rFonts w:ascii="Times New Roman" w:hAnsi="Times New Roman" w:eastAsia="宋体" w:cs="Times New Roman"/>
                <w:szCs w:val="21"/>
              </w:rPr>
            </w:pPr>
            <w:r>
              <w:rPr>
                <w:rFonts w:ascii="Times New Roman" w:hAnsi="Times New Roman" w:eastAsia="宋体" w:cs="Times New Roman"/>
                <w:szCs w:val="21"/>
              </w:rPr>
              <w:t>86.2</w:t>
            </w:r>
          </w:p>
        </w:tc>
      </w:tr>
      <w:tr w14:paraId="4BCD9689">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529" w:type="dxa"/>
            <w:vMerge w:val="continue"/>
            <w:noWrap/>
            <w:vAlign w:val="center"/>
          </w:tcPr>
          <w:p w14:paraId="4753FA63">
            <w:pPr>
              <w:widowControl/>
              <w:jc w:val="center"/>
              <w:rPr>
                <w:rFonts w:ascii="Times New Roman" w:hAnsi="Times New Roman" w:eastAsia="宋体" w:cs="Times New Roman"/>
                <w:kern w:val="0"/>
                <w:szCs w:val="21"/>
              </w:rPr>
            </w:pPr>
          </w:p>
        </w:tc>
        <w:tc>
          <w:tcPr>
            <w:tcW w:w="1850" w:type="dxa"/>
            <w:vMerge w:val="continue"/>
            <w:noWrap/>
            <w:vAlign w:val="center"/>
          </w:tcPr>
          <w:p w14:paraId="396A0542">
            <w:pPr>
              <w:widowControl/>
              <w:jc w:val="center"/>
              <w:rPr>
                <w:rFonts w:ascii="Times New Roman" w:hAnsi="Times New Roman" w:eastAsia="宋体" w:cs="Times New Roman"/>
                <w:kern w:val="0"/>
                <w:szCs w:val="21"/>
              </w:rPr>
            </w:pPr>
          </w:p>
        </w:tc>
        <w:tc>
          <w:tcPr>
            <w:tcW w:w="849" w:type="dxa"/>
            <w:noWrap/>
            <w:vAlign w:val="center"/>
          </w:tcPr>
          <w:p w14:paraId="28C31BC5">
            <w:pPr>
              <w:widowControl/>
              <w:jc w:val="center"/>
              <w:rPr>
                <w:rFonts w:ascii="Times New Roman" w:hAnsi="Times New Roman" w:eastAsia="宋体" w:cs="Times New Roman"/>
                <w:kern w:val="0"/>
                <w:szCs w:val="21"/>
              </w:rPr>
            </w:pPr>
            <w:r>
              <w:rPr>
                <w:rFonts w:ascii="Times New Roman" w:hAnsi="宋体" w:eastAsia="宋体" w:cs="Times New Roman"/>
                <w:kern w:val="0"/>
                <w:szCs w:val="21"/>
              </w:rPr>
              <w:t>中期</w:t>
            </w:r>
          </w:p>
        </w:tc>
        <w:tc>
          <w:tcPr>
            <w:tcW w:w="694" w:type="dxa"/>
            <w:noWrap/>
            <w:vAlign w:val="center"/>
          </w:tcPr>
          <w:p w14:paraId="0C5BBC89">
            <w:pPr>
              <w:jc w:val="center"/>
              <w:rPr>
                <w:rFonts w:ascii="Times New Roman" w:hAnsi="Times New Roman" w:eastAsia="宋体" w:cs="Times New Roman"/>
                <w:szCs w:val="21"/>
              </w:rPr>
            </w:pPr>
            <w:r>
              <w:rPr>
                <w:rFonts w:ascii="Times New Roman" w:hAnsi="Times New Roman" w:eastAsia="宋体" w:cs="Times New Roman"/>
                <w:szCs w:val="21"/>
              </w:rPr>
              <w:t>77.9</w:t>
            </w:r>
          </w:p>
        </w:tc>
        <w:tc>
          <w:tcPr>
            <w:tcW w:w="694" w:type="dxa"/>
            <w:noWrap/>
            <w:vAlign w:val="center"/>
          </w:tcPr>
          <w:p w14:paraId="349970C8">
            <w:pPr>
              <w:jc w:val="center"/>
              <w:rPr>
                <w:rFonts w:ascii="Times New Roman" w:hAnsi="Times New Roman" w:eastAsia="宋体" w:cs="Times New Roman"/>
                <w:szCs w:val="21"/>
              </w:rPr>
            </w:pPr>
            <w:r>
              <w:rPr>
                <w:rFonts w:ascii="Times New Roman" w:hAnsi="Times New Roman" w:eastAsia="宋体" w:cs="Times New Roman"/>
                <w:szCs w:val="21"/>
              </w:rPr>
              <w:t>77.9</w:t>
            </w:r>
          </w:p>
        </w:tc>
        <w:tc>
          <w:tcPr>
            <w:tcW w:w="694" w:type="dxa"/>
            <w:noWrap/>
            <w:vAlign w:val="center"/>
          </w:tcPr>
          <w:p w14:paraId="1A645FA1">
            <w:pPr>
              <w:jc w:val="center"/>
              <w:rPr>
                <w:rFonts w:ascii="Times New Roman" w:hAnsi="Times New Roman" w:eastAsia="宋体" w:cs="Times New Roman"/>
                <w:szCs w:val="21"/>
              </w:rPr>
            </w:pPr>
            <w:r>
              <w:rPr>
                <w:rFonts w:ascii="Times New Roman" w:hAnsi="Times New Roman" w:eastAsia="宋体" w:cs="Times New Roman"/>
                <w:szCs w:val="21"/>
              </w:rPr>
              <w:t>80.3</w:t>
            </w:r>
          </w:p>
        </w:tc>
        <w:tc>
          <w:tcPr>
            <w:tcW w:w="694" w:type="dxa"/>
            <w:noWrap/>
            <w:vAlign w:val="center"/>
          </w:tcPr>
          <w:p w14:paraId="39CE21B1">
            <w:pPr>
              <w:jc w:val="center"/>
              <w:rPr>
                <w:rFonts w:ascii="Times New Roman" w:hAnsi="Times New Roman" w:eastAsia="宋体" w:cs="Times New Roman"/>
                <w:szCs w:val="21"/>
              </w:rPr>
            </w:pPr>
            <w:r>
              <w:rPr>
                <w:rFonts w:ascii="Times New Roman" w:hAnsi="Times New Roman" w:eastAsia="宋体" w:cs="Times New Roman"/>
                <w:szCs w:val="21"/>
              </w:rPr>
              <w:t>80.3</w:t>
            </w:r>
          </w:p>
        </w:tc>
        <w:tc>
          <w:tcPr>
            <w:tcW w:w="694" w:type="dxa"/>
            <w:noWrap/>
            <w:vAlign w:val="center"/>
          </w:tcPr>
          <w:p w14:paraId="41FA1F37">
            <w:pPr>
              <w:jc w:val="center"/>
              <w:rPr>
                <w:rFonts w:ascii="Times New Roman" w:hAnsi="Times New Roman" w:eastAsia="宋体" w:cs="Times New Roman"/>
                <w:szCs w:val="21"/>
              </w:rPr>
            </w:pPr>
            <w:r>
              <w:rPr>
                <w:rFonts w:ascii="Times New Roman" w:hAnsi="Times New Roman" w:eastAsia="宋体" w:cs="Times New Roman"/>
                <w:szCs w:val="21"/>
              </w:rPr>
              <w:t>86.2</w:t>
            </w:r>
          </w:p>
        </w:tc>
        <w:tc>
          <w:tcPr>
            <w:tcW w:w="681" w:type="dxa"/>
            <w:noWrap/>
            <w:vAlign w:val="center"/>
          </w:tcPr>
          <w:p w14:paraId="4F13FBF6">
            <w:pPr>
              <w:jc w:val="center"/>
              <w:rPr>
                <w:rFonts w:ascii="Times New Roman" w:hAnsi="Times New Roman" w:eastAsia="宋体" w:cs="Times New Roman"/>
                <w:szCs w:val="21"/>
              </w:rPr>
            </w:pPr>
            <w:r>
              <w:rPr>
                <w:rFonts w:ascii="Times New Roman" w:hAnsi="Times New Roman" w:eastAsia="宋体" w:cs="Times New Roman"/>
                <w:szCs w:val="21"/>
              </w:rPr>
              <w:t>86.2</w:t>
            </w:r>
          </w:p>
        </w:tc>
      </w:tr>
      <w:tr w14:paraId="5E389CC8">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529" w:type="dxa"/>
            <w:vMerge w:val="continue"/>
            <w:noWrap/>
            <w:vAlign w:val="center"/>
          </w:tcPr>
          <w:p w14:paraId="6DA9EEE1">
            <w:pPr>
              <w:widowControl/>
              <w:jc w:val="center"/>
              <w:rPr>
                <w:rFonts w:ascii="Times New Roman" w:hAnsi="Times New Roman" w:eastAsia="宋体" w:cs="Times New Roman"/>
                <w:kern w:val="0"/>
                <w:szCs w:val="21"/>
              </w:rPr>
            </w:pPr>
          </w:p>
        </w:tc>
        <w:tc>
          <w:tcPr>
            <w:tcW w:w="1850" w:type="dxa"/>
            <w:vMerge w:val="continue"/>
            <w:noWrap/>
            <w:vAlign w:val="center"/>
          </w:tcPr>
          <w:p w14:paraId="641BFE94">
            <w:pPr>
              <w:widowControl/>
              <w:jc w:val="center"/>
              <w:rPr>
                <w:rFonts w:ascii="Times New Roman" w:hAnsi="Times New Roman" w:eastAsia="宋体" w:cs="Times New Roman"/>
                <w:kern w:val="0"/>
                <w:szCs w:val="21"/>
              </w:rPr>
            </w:pPr>
          </w:p>
        </w:tc>
        <w:tc>
          <w:tcPr>
            <w:tcW w:w="849" w:type="dxa"/>
            <w:noWrap/>
            <w:vAlign w:val="center"/>
          </w:tcPr>
          <w:p w14:paraId="79278110">
            <w:pPr>
              <w:widowControl/>
              <w:jc w:val="center"/>
              <w:rPr>
                <w:rFonts w:ascii="Times New Roman" w:hAnsi="Times New Roman" w:eastAsia="宋体" w:cs="Times New Roman"/>
                <w:kern w:val="0"/>
                <w:szCs w:val="21"/>
              </w:rPr>
            </w:pPr>
            <w:r>
              <w:rPr>
                <w:rFonts w:ascii="Times New Roman" w:hAnsi="宋体" w:eastAsia="宋体" w:cs="Times New Roman"/>
                <w:kern w:val="0"/>
                <w:szCs w:val="21"/>
              </w:rPr>
              <w:t>远期</w:t>
            </w:r>
          </w:p>
        </w:tc>
        <w:tc>
          <w:tcPr>
            <w:tcW w:w="694" w:type="dxa"/>
            <w:noWrap/>
            <w:vAlign w:val="center"/>
          </w:tcPr>
          <w:p w14:paraId="1F0CF10D">
            <w:pPr>
              <w:jc w:val="center"/>
              <w:rPr>
                <w:rFonts w:ascii="Times New Roman" w:hAnsi="Times New Roman" w:eastAsia="宋体" w:cs="Times New Roman"/>
                <w:szCs w:val="21"/>
              </w:rPr>
            </w:pPr>
            <w:r>
              <w:rPr>
                <w:rFonts w:ascii="Times New Roman" w:hAnsi="Times New Roman" w:eastAsia="宋体" w:cs="Times New Roman"/>
                <w:szCs w:val="21"/>
              </w:rPr>
              <w:t>77.9</w:t>
            </w:r>
          </w:p>
        </w:tc>
        <w:tc>
          <w:tcPr>
            <w:tcW w:w="694" w:type="dxa"/>
            <w:noWrap/>
            <w:vAlign w:val="center"/>
          </w:tcPr>
          <w:p w14:paraId="370D9FCD">
            <w:pPr>
              <w:jc w:val="center"/>
              <w:rPr>
                <w:rFonts w:ascii="Times New Roman" w:hAnsi="Times New Roman" w:eastAsia="宋体" w:cs="Times New Roman"/>
                <w:szCs w:val="21"/>
              </w:rPr>
            </w:pPr>
            <w:r>
              <w:rPr>
                <w:rFonts w:ascii="Times New Roman" w:hAnsi="Times New Roman" w:eastAsia="宋体" w:cs="Times New Roman"/>
                <w:szCs w:val="21"/>
              </w:rPr>
              <w:t>77.9</w:t>
            </w:r>
          </w:p>
        </w:tc>
        <w:tc>
          <w:tcPr>
            <w:tcW w:w="694" w:type="dxa"/>
            <w:noWrap/>
            <w:vAlign w:val="center"/>
          </w:tcPr>
          <w:p w14:paraId="4C26620E">
            <w:pPr>
              <w:jc w:val="center"/>
              <w:rPr>
                <w:rFonts w:ascii="Times New Roman" w:hAnsi="Times New Roman" w:eastAsia="宋体" w:cs="Times New Roman"/>
                <w:szCs w:val="21"/>
              </w:rPr>
            </w:pPr>
            <w:r>
              <w:rPr>
                <w:rFonts w:ascii="Times New Roman" w:hAnsi="Times New Roman" w:eastAsia="宋体" w:cs="Times New Roman"/>
                <w:szCs w:val="21"/>
              </w:rPr>
              <w:t>80.3</w:t>
            </w:r>
          </w:p>
        </w:tc>
        <w:tc>
          <w:tcPr>
            <w:tcW w:w="694" w:type="dxa"/>
            <w:noWrap/>
            <w:vAlign w:val="center"/>
          </w:tcPr>
          <w:p w14:paraId="5D5BF7ED">
            <w:pPr>
              <w:jc w:val="center"/>
              <w:rPr>
                <w:rFonts w:ascii="Times New Roman" w:hAnsi="Times New Roman" w:eastAsia="宋体" w:cs="Times New Roman"/>
                <w:szCs w:val="21"/>
              </w:rPr>
            </w:pPr>
            <w:r>
              <w:rPr>
                <w:rFonts w:ascii="Times New Roman" w:hAnsi="Times New Roman" w:eastAsia="宋体" w:cs="Times New Roman"/>
                <w:szCs w:val="21"/>
              </w:rPr>
              <w:t>80.3</w:t>
            </w:r>
          </w:p>
        </w:tc>
        <w:tc>
          <w:tcPr>
            <w:tcW w:w="694" w:type="dxa"/>
            <w:noWrap/>
            <w:vAlign w:val="center"/>
          </w:tcPr>
          <w:p w14:paraId="1A8DEB0D">
            <w:pPr>
              <w:jc w:val="center"/>
              <w:rPr>
                <w:rFonts w:ascii="Times New Roman" w:hAnsi="Times New Roman" w:eastAsia="宋体" w:cs="Times New Roman"/>
                <w:szCs w:val="21"/>
              </w:rPr>
            </w:pPr>
            <w:r>
              <w:rPr>
                <w:rFonts w:ascii="Times New Roman" w:hAnsi="Times New Roman" w:eastAsia="宋体" w:cs="Times New Roman"/>
                <w:szCs w:val="21"/>
              </w:rPr>
              <w:t>86.2</w:t>
            </w:r>
          </w:p>
        </w:tc>
        <w:tc>
          <w:tcPr>
            <w:tcW w:w="681" w:type="dxa"/>
            <w:noWrap/>
            <w:vAlign w:val="center"/>
          </w:tcPr>
          <w:p w14:paraId="2FD7AA96">
            <w:pPr>
              <w:jc w:val="center"/>
              <w:rPr>
                <w:rFonts w:ascii="Times New Roman" w:hAnsi="Times New Roman" w:eastAsia="宋体" w:cs="Times New Roman"/>
                <w:szCs w:val="21"/>
              </w:rPr>
            </w:pPr>
            <w:r>
              <w:rPr>
                <w:rFonts w:ascii="Times New Roman" w:hAnsi="Times New Roman" w:eastAsia="宋体" w:cs="Times New Roman"/>
                <w:szCs w:val="21"/>
              </w:rPr>
              <w:t>86.2</w:t>
            </w:r>
          </w:p>
        </w:tc>
      </w:tr>
      <w:tr w14:paraId="656E31D5">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529" w:type="dxa"/>
            <w:vMerge w:val="restart"/>
            <w:noWrap/>
            <w:vAlign w:val="center"/>
          </w:tcPr>
          <w:p w14:paraId="2B2FC461">
            <w:pPr>
              <w:widowControl/>
              <w:jc w:val="center"/>
              <w:rPr>
                <w:rFonts w:ascii="Times New Roman" w:hAnsi="Times New Roman" w:eastAsia="宋体" w:cs="Times New Roman"/>
                <w:kern w:val="0"/>
                <w:szCs w:val="21"/>
              </w:rPr>
            </w:pPr>
            <w:r>
              <w:rPr>
                <w:rFonts w:ascii="Times New Roman" w:hAnsi="宋体" w:eastAsia="宋体" w:cs="Times New Roman"/>
                <w:kern w:val="0"/>
                <w:szCs w:val="21"/>
              </w:rPr>
              <w:t>高速口～岳普湖</w:t>
            </w:r>
          </w:p>
        </w:tc>
        <w:tc>
          <w:tcPr>
            <w:tcW w:w="1850" w:type="dxa"/>
            <w:vMerge w:val="restart"/>
            <w:noWrap/>
            <w:vAlign w:val="center"/>
          </w:tcPr>
          <w:p w14:paraId="338CD23F">
            <w:pPr>
              <w:widowControl/>
              <w:jc w:val="center"/>
              <w:rPr>
                <w:rFonts w:ascii="Times New Roman" w:hAnsi="Times New Roman" w:eastAsia="宋体" w:cs="Times New Roman"/>
                <w:kern w:val="0"/>
                <w:szCs w:val="21"/>
              </w:rPr>
            </w:pPr>
            <w:r>
              <w:rPr>
                <w:rFonts w:ascii="Times New Roman" w:hAnsi="宋体" w:eastAsia="宋体" w:cs="Times New Roman"/>
                <w:kern w:val="0"/>
                <w:szCs w:val="21"/>
              </w:rPr>
              <w:t>设计车速</w:t>
            </w:r>
            <w:r>
              <w:rPr>
                <w:rFonts w:hint="eastAsia" w:ascii="Times New Roman" w:hAnsi="Times New Roman" w:eastAsia="宋体" w:cs="Times New Roman"/>
                <w:kern w:val="0"/>
                <w:szCs w:val="21"/>
              </w:rPr>
              <w:t>8</w:t>
            </w:r>
            <w:r>
              <w:rPr>
                <w:rFonts w:ascii="Times New Roman" w:hAnsi="Times New Roman" w:eastAsia="宋体" w:cs="Times New Roman"/>
                <w:kern w:val="0"/>
                <w:szCs w:val="21"/>
              </w:rPr>
              <w:t>0km/h</w:t>
            </w:r>
            <w:r>
              <w:rPr>
                <w:rFonts w:ascii="Times New Roman" w:hAnsi="宋体" w:eastAsia="宋体" w:cs="Times New Roman"/>
                <w:kern w:val="0"/>
                <w:szCs w:val="21"/>
              </w:rPr>
              <w:t>，路基宽度</w:t>
            </w:r>
            <w:r>
              <w:rPr>
                <w:rFonts w:hint="eastAsia" w:ascii="Times New Roman" w:hAnsi="Times New Roman" w:eastAsia="宋体" w:cs="Times New Roman"/>
                <w:kern w:val="0"/>
                <w:szCs w:val="21"/>
              </w:rPr>
              <w:t>25.5</w:t>
            </w:r>
            <w:r>
              <w:rPr>
                <w:rFonts w:ascii="Times New Roman" w:hAnsi="Times New Roman" w:eastAsia="宋体" w:cs="Times New Roman"/>
                <w:kern w:val="0"/>
                <w:szCs w:val="21"/>
              </w:rPr>
              <w:t>m</w:t>
            </w:r>
          </w:p>
        </w:tc>
        <w:tc>
          <w:tcPr>
            <w:tcW w:w="849" w:type="dxa"/>
            <w:noWrap/>
            <w:vAlign w:val="center"/>
          </w:tcPr>
          <w:p w14:paraId="4A257091">
            <w:pPr>
              <w:widowControl/>
              <w:jc w:val="center"/>
              <w:rPr>
                <w:rFonts w:ascii="Times New Roman" w:hAnsi="Times New Roman" w:eastAsia="宋体" w:cs="Times New Roman"/>
                <w:kern w:val="0"/>
                <w:szCs w:val="21"/>
              </w:rPr>
            </w:pPr>
            <w:r>
              <w:rPr>
                <w:rFonts w:ascii="Times New Roman" w:hAnsi="宋体" w:eastAsia="宋体" w:cs="Times New Roman"/>
                <w:kern w:val="0"/>
                <w:szCs w:val="21"/>
              </w:rPr>
              <w:t>近期</w:t>
            </w:r>
          </w:p>
        </w:tc>
        <w:tc>
          <w:tcPr>
            <w:tcW w:w="694" w:type="dxa"/>
            <w:noWrap/>
            <w:vAlign w:val="center"/>
          </w:tcPr>
          <w:p w14:paraId="24659642">
            <w:pPr>
              <w:jc w:val="center"/>
              <w:rPr>
                <w:rFonts w:ascii="Times New Roman" w:hAnsi="Times New Roman" w:eastAsia="宋体" w:cs="Times New Roman"/>
                <w:szCs w:val="21"/>
              </w:rPr>
            </w:pPr>
            <w:r>
              <w:rPr>
                <w:rFonts w:ascii="Times New Roman" w:hAnsi="Times New Roman" w:eastAsia="宋体" w:cs="Times New Roman"/>
                <w:szCs w:val="21"/>
              </w:rPr>
              <w:t>77.9</w:t>
            </w:r>
          </w:p>
        </w:tc>
        <w:tc>
          <w:tcPr>
            <w:tcW w:w="694" w:type="dxa"/>
            <w:noWrap/>
            <w:vAlign w:val="center"/>
          </w:tcPr>
          <w:p w14:paraId="5597322C">
            <w:pPr>
              <w:jc w:val="center"/>
              <w:rPr>
                <w:rFonts w:ascii="Times New Roman" w:hAnsi="Times New Roman" w:eastAsia="宋体" w:cs="Times New Roman"/>
                <w:szCs w:val="21"/>
              </w:rPr>
            </w:pPr>
            <w:r>
              <w:rPr>
                <w:rFonts w:ascii="Times New Roman" w:hAnsi="Times New Roman" w:eastAsia="宋体" w:cs="Times New Roman"/>
                <w:szCs w:val="21"/>
              </w:rPr>
              <w:t>77.9</w:t>
            </w:r>
          </w:p>
        </w:tc>
        <w:tc>
          <w:tcPr>
            <w:tcW w:w="694" w:type="dxa"/>
            <w:noWrap/>
            <w:vAlign w:val="center"/>
          </w:tcPr>
          <w:p w14:paraId="71D839CC">
            <w:pPr>
              <w:jc w:val="center"/>
              <w:rPr>
                <w:rFonts w:ascii="Times New Roman" w:hAnsi="Times New Roman" w:eastAsia="宋体" w:cs="Times New Roman"/>
                <w:szCs w:val="21"/>
              </w:rPr>
            </w:pPr>
            <w:r>
              <w:rPr>
                <w:rFonts w:ascii="Times New Roman" w:hAnsi="Times New Roman" w:eastAsia="宋体" w:cs="Times New Roman"/>
                <w:szCs w:val="21"/>
              </w:rPr>
              <w:t>80.3</w:t>
            </w:r>
          </w:p>
        </w:tc>
        <w:tc>
          <w:tcPr>
            <w:tcW w:w="694" w:type="dxa"/>
            <w:noWrap/>
            <w:vAlign w:val="center"/>
          </w:tcPr>
          <w:p w14:paraId="1DD0BB97">
            <w:pPr>
              <w:jc w:val="center"/>
              <w:rPr>
                <w:rFonts w:ascii="Times New Roman" w:hAnsi="Times New Roman" w:eastAsia="宋体" w:cs="Times New Roman"/>
                <w:szCs w:val="21"/>
              </w:rPr>
            </w:pPr>
            <w:r>
              <w:rPr>
                <w:rFonts w:ascii="Times New Roman" w:hAnsi="Times New Roman" w:eastAsia="宋体" w:cs="Times New Roman"/>
                <w:szCs w:val="21"/>
              </w:rPr>
              <w:t>80.3</w:t>
            </w:r>
          </w:p>
        </w:tc>
        <w:tc>
          <w:tcPr>
            <w:tcW w:w="694" w:type="dxa"/>
            <w:noWrap/>
            <w:vAlign w:val="center"/>
          </w:tcPr>
          <w:p w14:paraId="2FD29F3F">
            <w:pPr>
              <w:jc w:val="center"/>
              <w:rPr>
                <w:rFonts w:ascii="Times New Roman" w:hAnsi="Times New Roman" w:eastAsia="宋体" w:cs="Times New Roman"/>
                <w:szCs w:val="21"/>
              </w:rPr>
            </w:pPr>
            <w:r>
              <w:rPr>
                <w:rFonts w:ascii="Times New Roman" w:hAnsi="Times New Roman" w:eastAsia="宋体" w:cs="Times New Roman"/>
                <w:szCs w:val="21"/>
              </w:rPr>
              <w:t>86.2</w:t>
            </w:r>
          </w:p>
        </w:tc>
        <w:tc>
          <w:tcPr>
            <w:tcW w:w="681" w:type="dxa"/>
            <w:noWrap/>
            <w:vAlign w:val="center"/>
          </w:tcPr>
          <w:p w14:paraId="04040549">
            <w:pPr>
              <w:jc w:val="center"/>
              <w:rPr>
                <w:rFonts w:ascii="Times New Roman" w:hAnsi="Times New Roman" w:eastAsia="宋体" w:cs="Times New Roman"/>
                <w:szCs w:val="21"/>
              </w:rPr>
            </w:pPr>
            <w:r>
              <w:rPr>
                <w:rFonts w:ascii="Times New Roman" w:hAnsi="Times New Roman" w:eastAsia="宋体" w:cs="Times New Roman"/>
                <w:szCs w:val="21"/>
              </w:rPr>
              <w:t>86.2</w:t>
            </w:r>
          </w:p>
        </w:tc>
      </w:tr>
      <w:tr w14:paraId="26778D17">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529" w:type="dxa"/>
            <w:vMerge w:val="continue"/>
            <w:noWrap/>
            <w:vAlign w:val="center"/>
          </w:tcPr>
          <w:p w14:paraId="0D674C4E">
            <w:pPr>
              <w:widowControl/>
              <w:jc w:val="center"/>
              <w:rPr>
                <w:rFonts w:ascii="Times New Roman" w:hAnsi="Times New Roman" w:eastAsia="宋体" w:cs="Times New Roman"/>
                <w:kern w:val="0"/>
                <w:szCs w:val="21"/>
              </w:rPr>
            </w:pPr>
          </w:p>
        </w:tc>
        <w:tc>
          <w:tcPr>
            <w:tcW w:w="1850" w:type="dxa"/>
            <w:vMerge w:val="continue"/>
            <w:noWrap/>
            <w:vAlign w:val="center"/>
          </w:tcPr>
          <w:p w14:paraId="57365695">
            <w:pPr>
              <w:widowControl/>
              <w:jc w:val="center"/>
              <w:rPr>
                <w:rFonts w:ascii="Times New Roman" w:hAnsi="Times New Roman" w:eastAsia="宋体" w:cs="Times New Roman"/>
                <w:kern w:val="0"/>
                <w:szCs w:val="21"/>
              </w:rPr>
            </w:pPr>
          </w:p>
        </w:tc>
        <w:tc>
          <w:tcPr>
            <w:tcW w:w="849" w:type="dxa"/>
            <w:noWrap/>
            <w:vAlign w:val="center"/>
          </w:tcPr>
          <w:p w14:paraId="2891E384">
            <w:pPr>
              <w:widowControl/>
              <w:jc w:val="center"/>
              <w:rPr>
                <w:rFonts w:ascii="Times New Roman" w:hAnsi="Times New Roman" w:eastAsia="宋体" w:cs="Times New Roman"/>
                <w:kern w:val="0"/>
                <w:szCs w:val="21"/>
              </w:rPr>
            </w:pPr>
            <w:r>
              <w:rPr>
                <w:rFonts w:ascii="Times New Roman" w:hAnsi="宋体" w:eastAsia="宋体" w:cs="Times New Roman"/>
                <w:kern w:val="0"/>
                <w:szCs w:val="21"/>
              </w:rPr>
              <w:t>中期</w:t>
            </w:r>
          </w:p>
        </w:tc>
        <w:tc>
          <w:tcPr>
            <w:tcW w:w="694" w:type="dxa"/>
            <w:noWrap/>
            <w:vAlign w:val="center"/>
          </w:tcPr>
          <w:p w14:paraId="199BC46B">
            <w:pPr>
              <w:jc w:val="center"/>
              <w:rPr>
                <w:rFonts w:ascii="Times New Roman" w:hAnsi="Times New Roman" w:eastAsia="宋体" w:cs="Times New Roman"/>
                <w:szCs w:val="21"/>
              </w:rPr>
            </w:pPr>
            <w:r>
              <w:rPr>
                <w:rFonts w:ascii="Times New Roman" w:hAnsi="Times New Roman" w:eastAsia="宋体" w:cs="Times New Roman"/>
                <w:szCs w:val="21"/>
              </w:rPr>
              <w:t>77.9</w:t>
            </w:r>
          </w:p>
        </w:tc>
        <w:tc>
          <w:tcPr>
            <w:tcW w:w="694" w:type="dxa"/>
            <w:noWrap/>
            <w:vAlign w:val="center"/>
          </w:tcPr>
          <w:p w14:paraId="1469F56E">
            <w:pPr>
              <w:jc w:val="center"/>
              <w:rPr>
                <w:rFonts w:ascii="Times New Roman" w:hAnsi="Times New Roman" w:eastAsia="宋体" w:cs="Times New Roman"/>
                <w:szCs w:val="21"/>
              </w:rPr>
            </w:pPr>
            <w:r>
              <w:rPr>
                <w:rFonts w:ascii="Times New Roman" w:hAnsi="Times New Roman" w:eastAsia="宋体" w:cs="Times New Roman"/>
                <w:szCs w:val="21"/>
              </w:rPr>
              <w:t>77.9</w:t>
            </w:r>
          </w:p>
        </w:tc>
        <w:tc>
          <w:tcPr>
            <w:tcW w:w="694" w:type="dxa"/>
            <w:noWrap/>
            <w:vAlign w:val="center"/>
          </w:tcPr>
          <w:p w14:paraId="56883C5D">
            <w:pPr>
              <w:jc w:val="center"/>
              <w:rPr>
                <w:rFonts w:ascii="Times New Roman" w:hAnsi="Times New Roman" w:eastAsia="宋体" w:cs="Times New Roman"/>
                <w:szCs w:val="21"/>
              </w:rPr>
            </w:pPr>
            <w:r>
              <w:rPr>
                <w:rFonts w:ascii="Times New Roman" w:hAnsi="Times New Roman" w:eastAsia="宋体" w:cs="Times New Roman"/>
                <w:szCs w:val="21"/>
              </w:rPr>
              <w:t>80.3</w:t>
            </w:r>
          </w:p>
        </w:tc>
        <w:tc>
          <w:tcPr>
            <w:tcW w:w="694" w:type="dxa"/>
            <w:noWrap/>
            <w:vAlign w:val="center"/>
          </w:tcPr>
          <w:p w14:paraId="6555EC94">
            <w:pPr>
              <w:jc w:val="center"/>
              <w:rPr>
                <w:rFonts w:ascii="Times New Roman" w:hAnsi="Times New Roman" w:eastAsia="宋体" w:cs="Times New Roman"/>
                <w:szCs w:val="21"/>
              </w:rPr>
            </w:pPr>
            <w:r>
              <w:rPr>
                <w:rFonts w:ascii="Times New Roman" w:hAnsi="Times New Roman" w:eastAsia="宋体" w:cs="Times New Roman"/>
                <w:szCs w:val="21"/>
              </w:rPr>
              <w:t>80.3</w:t>
            </w:r>
          </w:p>
        </w:tc>
        <w:tc>
          <w:tcPr>
            <w:tcW w:w="694" w:type="dxa"/>
            <w:noWrap/>
            <w:vAlign w:val="center"/>
          </w:tcPr>
          <w:p w14:paraId="6B8ED29E">
            <w:pPr>
              <w:jc w:val="center"/>
              <w:rPr>
                <w:rFonts w:ascii="Times New Roman" w:hAnsi="Times New Roman" w:eastAsia="宋体" w:cs="Times New Roman"/>
                <w:szCs w:val="21"/>
              </w:rPr>
            </w:pPr>
            <w:r>
              <w:rPr>
                <w:rFonts w:ascii="Times New Roman" w:hAnsi="Times New Roman" w:eastAsia="宋体" w:cs="Times New Roman"/>
                <w:szCs w:val="21"/>
              </w:rPr>
              <w:t>86.2</w:t>
            </w:r>
          </w:p>
        </w:tc>
        <w:tc>
          <w:tcPr>
            <w:tcW w:w="681" w:type="dxa"/>
            <w:noWrap/>
            <w:vAlign w:val="center"/>
          </w:tcPr>
          <w:p w14:paraId="7E2F77E7">
            <w:pPr>
              <w:jc w:val="center"/>
              <w:rPr>
                <w:rFonts w:ascii="Times New Roman" w:hAnsi="Times New Roman" w:eastAsia="宋体" w:cs="Times New Roman"/>
                <w:szCs w:val="21"/>
              </w:rPr>
            </w:pPr>
            <w:r>
              <w:rPr>
                <w:rFonts w:ascii="Times New Roman" w:hAnsi="Times New Roman" w:eastAsia="宋体" w:cs="Times New Roman"/>
                <w:szCs w:val="21"/>
              </w:rPr>
              <w:t>86.2</w:t>
            </w:r>
          </w:p>
        </w:tc>
      </w:tr>
      <w:tr w14:paraId="4BCB5AF1">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529" w:type="dxa"/>
            <w:vMerge w:val="continue"/>
            <w:noWrap/>
            <w:vAlign w:val="center"/>
          </w:tcPr>
          <w:p w14:paraId="2840E027">
            <w:pPr>
              <w:widowControl/>
              <w:jc w:val="center"/>
              <w:rPr>
                <w:rFonts w:ascii="Times New Roman" w:hAnsi="Times New Roman" w:eastAsia="宋体" w:cs="Times New Roman"/>
                <w:kern w:val="0"/>
                <w:szCs w:val="21"/>
              </w:rPr>
            </w:pPr>
          </w:p>
        </w:tc>
        <w:tc>
          <w:tcPr>
            <w:tcW w:w="1850" w:type="dxa"/>
            <w:vMerge w:val="continue"/>
            <w:noWrap/>
            <w:vAlign w:val="center"/>
          </w:tcPr>
          <w:p w14:paraId="355DBB87">
            <w:pPr>
              <w:widowControl/>
              <w:jc w:val="center"/>
              <w:rPr>
                <w:rFonts w:ascii="Times New Roman" w:hAnsi="Times New Roman" w:eastAsia="宋体" w:cs="Times New Roman"/>
                <w:kern w:val="0"/>
                <w:szCs w:val="21"/>
              </w:rPr>
            </w:pPr>
          </w:p>
        </w:tc>
        <w:tc>
          <w:tcPr>
            <w:tcW w:w="849" w:type="dxa"/>
            <w:noWrap/>
            <w:vAlign w:val="center"/>
          </w:tcPr>
          <w:p w14:paraId="527A26FF">
            <w:pPr>
              <w:widowControl/>
              <w:jc w:val="center"/>
              <w:rPr>
                <w:rFonts w:ascii="Times New Roman" w:hAnsi="Times New Roman" w:eastAsia="宋体" w:cs="Times New Roman"/>
                <w:kern w:val="0"/>
                <w:szCs w:val="21"/>
              </w:rPr>
            </w:pPr>
            <w:r>
              <w:rPr>
                <w:rFonts w:ascii="Times New Roman" w:hAnsi="宋体" w:eastAsia="宋体" w:cs="Times New Roman"/>
                <w:kern w:val="0"/>
                <w:szCs w:val="21"/>
              </w:rPr>
              <w:t>远期</w:t>
            </w:r>
          </w:p>
        </w:tc>
        <w:tc>
          <w:tcPr>
            <w:tcW w:w="694" w:type="dxa"/>
            <w:noWrap/>
            <w:vAlign w:val="center"/>
          </w:tcPr>
          <w:p w14:paraId="2A552E8B">
            <w:pPr>
              <w:jc w:val="center"/>
              <w:rPr>
                <w:rFonts w:ascii="Times New Roman" w:hAnsi="Times New Roman" w:eastAsia="宋体" w:cs="Times New Roman"/>
                <w:szCs w:val="21"/>
              </w:rPr>
            </w:pPr>
            <w:r>
              <w:rPr>
                <w:rFonts w:ascii="Times New Roman" w:hAnsi="Times New Roman" w:eastAsia="宋体" w:cs="Times New Roman"/>
                <w:szCs w:val="21"/>
              </w:rPr>
              <w:t>77.9</w:t>
            </w:r>
          </w:p>
        </w:tc>
        <w:tc>
          <w:tcPr>
            <w:tcW w:w="694" w:type="dxa"/>
            <w:noWrap/>
            <w:vAlign w:val="center"/>
          </w:tcPr>
          <w:p w14:paraId="1AF3C860">
            <w:pPr>
              <w:jc w:val="center"/>
              <w:rPr>
                <w:rFonts w:ascii="Times New Roman" w:hAnsi="Times New Roman" w:eastAsia="宋体" w:cs="Times New Roman"/>
                <w:szCs w:val="21"/>
              </w:rPr>
            </w:pPr>
            <w:r>
              <w:rPr>
                <w:rFonts w:ascii="Times New Roman" w:hAnsi="Times New Roman" w:eastAsia="宋体" w:cs="Times New Roman"/>
                <w:szCs w:val="21"/>
              </w:rPr>
              <w:t>77.9</w:t>
            </w:r>
          </w:p>
        </w:tc>
        <w:tc>
          <w:tcPr>
            <w:tcW w:w="694" w:type="dxa"/>
            <w:noWrap/>
            <w:vAlign w:val="center"/>
          </w:tcPr>
          <w:p w14:paraId="51219697">
            <w:pPr>
              <w:jc w:val="center"/>
              <w:rPr>
                <w:rFonts w:ascii="Times New Roman" w:hAnsi="Times New Roman" w:eastAsia="宋体" w:cs="Times New Roman"/>
                <w:szCs w:val="21"/>
              </w:rPr>
            </w:pPr>
            <w:r>
              <w:rPr>
                <w:rFonts w:ascii="Times New Roman" w:hAnsi="Times New Roman" w:eastAsia="宋体" w:cs="Times New Roman"/>
                <w:szCs w:val="21"/>
              </w:rPr>
              <w:t>80.3</w:t>
            </w:r>
          </w:p>
        </w:tc>
        <w:tc>
          <w:tcPr>
            <w:tcW w:w="694" w:type="dxa"/>
            <w:noWrap/>
            <w:vAlign w:val="center"/>
          </w:tcPr>
          <w:p w14:paraId="00F8933A">
            <w:pPr>
              <w:jc w:val="center"/>
              <w:rPr>
                <w:rFonts w:ascii="Times New Roman" w:hAnsi="Times New Roman" w:eastAsia="宋体" w:cs="Times New Roman"/>
                <w:szCs w:val="21"/>
              </w:rPr>
            </w:pPr>
            <w:r>
              <w:rPr>
                <w:rFonts w:ascii="Times New Roman" w:hAnsi="Times New Roman" w:eastAsia="宋体" w:cs="Times New Roman"/>
                <w:szCs w:val="21"/>
              </w:rPr>
              <w:t>80.3</w:t>
            </w:r>
          </w:p>
        </w:tc>
        <w:tc>
          <w:tcPr>
            <w:tcW w:w="694" w:type="dxa"/>
            <w:noWrap/>
            <w:vAlign w:val="center"/>
          </w:tcPr>
          <w:p w14:paraId="5B7C8E2B">
            <w:pPr>
              <w:jc w:val="center"/>
              <w:rPr>
                <w:rFonts w:ascii="Times New Roman" w:hAnsi="Times New Roman" w:eastAsia="宋体" w:cs="Times New Roman"/>
                <w:szCs w:val="21"/>
              </w:rPr>
            </w:pPr>
            <w:r>
              <w:rPr>
                <w:rFonts w:ascii="Times New Roman" w:hAnsi="Times New Roman" w:eastAsia="宋体" w:cs="Times New Roman"/>
                <w:szCs w:val="21"/>
              </w:rPr>
              <w:t>86.2</w:t>
            </w:r>
          </w:p>
        </w:tc>
        <w:tc>
          <w:tcPr>
            <w:tcW w:w="681" w:type="dxa"/>
            <w:noWrap/>
            <w:vAlign w:val="center"/>
          </w:tcPr>
          <w:p w14:paraId="1B01589D">
            <w:pPr>
              <w:jc w:val="center"/>
              <w:rPr>
                <w:rFonts w:ascii="Times New Roman" w:hAnsi="Times New Roman" w:eastAsia="宋体" w:cs="Times New Roman"/>
                <w:szCs w:val="21"/>
              </w:rPr>
            </w:pPr>
            <w:r>
              <w:rPr>
                <w:rFonts w:ascii="Times New Roman" w:hAnsi="Times New Roman" w:eastAsia="宋体" w:cs="Times New Roman"/>
                <w:szCs w:val="21"/>
              </w:rPr>
              <w:t>86.2</w:t>
            </w:r>
          </w:p>
        </w:tc>
      </w:tr>
    </w:tbl>
    <w:p w14:paraId="10DD0B0B">
      <w:pPr>
        <w:rPr>
          <w:rFonts w:ascii="Times New Roman" w:hAnsi="Times New Roman" w:eastAsia="宋体" w:cs="Times New Roman"/>
          <w:b/>
          <w:bCs/>
        </w:rPr>
      </w:pPr>
      <w:r>
        <w:rPr>
          <w:rFonts w:ascii="Times New Roman" w:hAnsi="Times New Roman" w:eastAsia="宋体" w:cs="Times New Roman"/>
        </w:rPr>
        <w:t>注：加粗部分表示低车速源强计算结果。</w:t>
      </w:r>
    </w:p>
    <w:p w14:paraId="04F89DCD">
      <w:pPr>
        <w:spacing w:beforeLines="50"/>
        <w:jc w:val="center"/>
        <w:rPr>
          <w:b/>
          <w:bCs/>
        </w:rPr>
        <w:sectPr>
          <w:headerReference r:id="rId32" w:type="default"/>
          <w:footerReference r:id="rId34" w:type="default"/>
          <w:headerReference r:id="rId33" w:type="even"/>
          <w:footerReference r:id="rId35" w:type="even"/>
          <w:pgSz w:w="11906" w:h="16838"/>
          <w:pgMar w:top="1440" w:right="1797" w:bottom="1560" w:left="1797" w:header="851" w:footer="992" w:gutter="0"/>
          <w:pgBorders>
            <w:top w:val="none" w:sz="0" w:space="0"/>
            <w:left w:val="none" w:sz="0" w:space="0"/>
            <w:bottom w:val="none" w:sz="0" w:space="0"/>
            <w:right w:val="none" w:sz="0" w:space="0"/>
          </w:pgBorders>
          <w:cols w:space="720" w:num="1"/>
          <w:docGrid w:linePitch="312" w:charSpace="0"/>
        </w:sectPr>
      </w:pPr>
    </w:p>
    <w:p w14:paraId="37360324">
      <w:pPr>
        <w:keepNext/>
        <w:keepLines/>
        <w:widowControl w:val="0"/>
        <w:tabs>
          <w:tab w:val="center" w:pos="4252"/>
          <w:tab w:val="left" w:pos="6855"/>
        </w:tabs>
        <w:spacing w:before="480" w:after="480"/>
        <w:jc w:val="center"/>
        <w:outlineLvl w:val="0"/>
        <w:rPr>
          <w:rFonts w:ascii="Times New Roman" w:hAnsi="Times New Roman" w:eastAsia="黑体" w:cs="Times New Roman"/>
          <w:snapToGrid w:val="0"/>
          <w:kern w:val="0"/>
          <w:sz w:val="32"/>
          <w:szCs w:val="32"/>
          <w:lang w:val="en-US" w:eastAsia="zh-CN" w:bidi="ar-SA"/>
        </w:rPr>
      </w:pPr>
      <w:bookmarkStart w:id="179" w:name="_Toc187528255"/>
      <w:r>
        <w:rPr>
          <w:rFonts w:ascii="Times New Roman" w:hAnsi="Times New Roman" w:eastAsia="黑体" w:cs="Times New Roman"/>
          <w:snapToGrid w:val="0"/>
          <w:kern w:val="0"/>
          <w:sz w:val="32"/>
          <w:szCs w:val="32"/>
          <w:lang w:val="en-US" w:eastAsia="zh-CN" w:bidi="ar-SA"/>
        </w:rPr>
        <w:t xml:space="preserve">3 </w:t>
      </w:r>
      <w:r>
        <w:rPr>
          <w:rFonts w:hint="eastAsia" w:ascii="Times New Roman" w:hAnsi="Times New Roman" w:eastAsia="黑体" w:cs="Times New Roman"/>
          <w:snapToGrid w:val="0"/>
          <w:kern w:val="0"/>
          <w:sz w:val="32"/>
          <w:szCs w:val="32"/>
          <w:lang w:val="en-US" w:eastAsia="zh-CN" w:bidi="ar-SA"/>
        </w:rPr>
        <w:t>声环境现状调查与评价</w:t>
      </w:r>
      <w:bookmarkEnd w:id="179"/>
    </w:p>
    <w:p w14:paraId="21A2F4F9">
      <w:pPr>
        <w:keepNext/>
        <w:keepLines/>
        <w:widowControl w:val="0"/>
        <w:adjustRightInd w:val="0"/>
        <w:spacing w:before="240" w:after="240" w:line="240" w:lineRule="auto"/>
        <w:jc w:val="both"/>
        <w:textAlignment w:val="baseline"/>
        <w:outlineLvl w:val="1"/>
        <w:rPr>
          <w:rFonts w:ascii="Times New Roman" w:hAnsi="Times New Roman" w:eastAsia="宋体" w:cs="Times New Roman"/>
          <w:b/>
          <w:bCs/>
          <w:kern w:val="0"/>
          <w:sz w:val="28"/>
          <w:szCs w:val="32"/>
          <w:lang w:val="en-US" w:eastAsia="zh-CN" w:bidi="ar-SA"/>
        </w:rPr>
      </w:pPr>
      <w:bookmarkStart w:id="180" w:name="_Toc187528256"/>
      <w:r>
        <w:rPr>
          <w:rFonts w:ascii="Times New Roman" w:hAnsi="Times New Roman" w:eastAsia="宋体" w:cs="Times New Roman"/>
          <w:b/>
          <w:bCs/>
          <w:kern w:val="0"/>
          <w:sz w:val="28"/>
          <w:szCs w:val="32"/>
          <w:lang w:val="en-US" w:eastAsia="zh-CN" w:bidi="ar-SA"/>
        </w:rPr>
        <w:t>3</w:t>
      </w:r>
      <w:r>
        <w:rPr>
          <w:rFonts w:hint="eastAsia" w:ascii="Times New Roman" w:hAnsi="Times New Roman" w:eastAsia="宋体" w:cs="Times New Roman"/>
          <w:b/>
          <w:bCs/>
          <w:kern w:val="0"/>
          <w:sz w:val="28"/>
          <w:szCs w:val="32"/>
          <w:lang w:val="en-US" w:eastAsia="zh-CN" w:bidi="ar-SA"/>
        </w:rPr>
        <w:t>.</w:t>
      </w:r>
      <w:r>
        <w:rPr>
          <w:rFonts w:ascii="Times New Roman" w:hAnsi="Times New Roman" w:eastAsia="宋体" w:cs="Times New Roman"/>
          <w:b/>
          <w:bCs/>
          <w:kern w:val="0"/>
          <w:sz w:val="28"/>
          <w:szCs w:val="32"/>
          <w:lang w:val="en-US" w:eastAsia="zh-CN" w:bidi="ar-SA"/>
        </w:rPr>
        <w:t>1 声环境现状调查</w:t>
      </w:r>
      <w:bookmarkEnd w:id="180"/>
    </w:p>
    <w:p w14:paraId="7DBF7A97">
      <w:pPr>
        <w:widowControl w:val="0"/>
        <w:spacing w:line="300" w:lineRule="auto"/>
        <w:ind w:firstLine="480" w:firstLineChars="200"/>
        <w:jc w:val="both"/>
        <w:rPr>
          <w:rFonts w:ascii="Times New Roman" w:hAnsi="Times New Roman" w:eastAsia="宋体" w:cs="Times New Roman"/>
          <w:color w:val="auto"/>
          <w:kern w:val="2"/>
          <w:sz w:val="24"/>
          <w:szCs w:val="24"/>
          <w:lang w:val="en-US" w:eastAsia="zh-CN" w:bidi="ar-SA"/>
        </w:rPr>
      </w:pPr>
      <w:r>
        <w:rPr>
          <w:rFonts w:ascii="Times New Roman" w:hAnsi="Times New Roman" w:eastAsia="宋体" w:cs="Times New Roman"/>
          <w:color w:val="auto"/>
          <w:kern w:val="2"/>
          <w:sz w:val="24"/>
          <w:szCs w:val="24"/>
          <w:lang w:val="en-US" w:eastAsia="zh-CN" w:bidi="ar-SA"/>
        </w:rPr>
        <w:t xml:space="preserve">1. </w:t>
      </w:r>
      <w:r>
        <w:rPr>
          <w:rFonts w:hint="eastAsia" w:ascii="Times New Roman" w:hAnsi="Times New Roman" w:eastAsia="宋体" w:cs="Times New Roman"/>
          <w:color w:val="auto"/>
          <w:kern w:val="2"/>
          <w:sz w:val="24"/>
          <w:szCs w:val="24"/>
          <w:lang w:val="en-US" w:eastAsia="zh-CN" w:bidi="ar-SA"/>
        </w:rPr>
        <w:t>拟建公路沿线主要噪声污染源</w:t>
      </w:r>
    </w:p>
    <w:p w14:paraId="51DCA09E">
      <w:pPr>
        <w:spacing w:line="300" w:lineRule="auto"/>
        <w:ind w:firstLine="480" w:firstLineChars="200"/>
        <w:rPr>
          <w:rFonts w:ascii="Times New Roman" w:hAnsi="Times New Roman" w:eastAsia="宋体" w:cs="Times New Roman"/>
          <w:sz w:val="24"/>
        </w:rPr>
      </w:pPr>
      <w:bookmarkStart w:id="181" w:name="_Hlk42246305"/>
      <w:r>
        <w:rPr>
          <w:rFonts w:ascii="Times New Roman" w:hAnsi="Times New Roman" w:eastAsia="宋体" w:cs="Times New Roman"/>
          <w:sz w:val="24"/>
        </w:rPr>
        <w:t>拟建</w:t>
      </w:r>
      <w:r>
        <w:rPr>
          <w:rFonts w:hint="eastAsia" w:ascii="Times New Roman" w:hAnsi="Times New Roman" w:eastAsia="宋体" w:cs="Times New Roman"/>
          <w:sz w:val="24"/>
        </w:rPr>
        <w:t>公路沿线主要位于乡村地区，无大型</w:t>
      </w:r>
      <w:r>
        <w:rPr>
          <w:rFonts w:ascii="Times New Roman" w:hAnsi="Times New Roman" w:eastAsia="宋体" w:cs="Times New Roman"/>
          <w:sz w:val="24"/>
        </w:rPr>
        <w:t>强噪声工矿企业分布</w:t>
      </w:r>
      <w:r>
        <w:rPr>
          <w:rFonts w:hint="eastAsia" w:ascii="Times New Roman" w:hAnsi="Times New Roman" w:eastAsia="宋体" w:cs="Times New Roman"/>
          <w:sz w:val="24"/>
        </w:rPr>
        <w:t>，</w:t>
      </w:r>
      <w:r>
        <w:rPr>
          <w:rFonts w:ascii="Times New Roman" w:hAnsi="Times New Roman" w:eastAsia="宋体" w:cs="Times New Roman"/>
          <w:sz w:val="24"/>
        </w:rPr>
        <w:t>主要交通</w:t>
      </w:r>
      <w:r>
        <w:rPr>
          <w:rFonts w:hint="eastAsia" w:ascii="Times New Roman" w:hAnsi="Times New Roman" w:eastAsia="宋体" w:cs="Times New Roman"/>
          <w:sz w:val="24"/>
        </w:rPr>
        <w:t>干线</w:t>
      </w:r>
      <w:r>
        <w:rPr>
          <w:rFonts w:ascii="Times New Roman" w:hAnsi="Times New Roman" w:eastAsia="宋体" w:cs="Times New Roman"/>
          <w:sz w:val="24"/>
        </w:rPr>
        <w:t>有</w:t>
      </w:r>
      <w:r>
        <w:rPr>
          <w:rFonts w:hint="eastAsia" w:ascii="Times New Roman" w:hAnsi="Times New Roman" w:eastAsia="宋体" w:cs="Times New Roman"/>
          <w:sz w:val="24"/>
        </w:rPr>
        <w:t>G219、</w:t>
      </w:r>
      <w:r>
        <w:rPr>
          <w:rFonts w:hint="eastAsia" w:ascii="Times New Roman" w:hAnsi="Times New Roman" w:eastAsia="宋体" w:cs="Times New Roman"/>
          <w:kern w:val="0"/>
          <w:sz w:val="24"/>
        </w:rPr>
        <w:t>G3012</w:t>
      </w:r>
      <w:r>
        <w:rPr>
          <w:rFonts w:hint="eastAsia" w:ascii="Times New Roman" w:hAnsi="Times New Roman" w:eastAsia="宋体" w:cs="Times New Roman"/>
          <w:sz w:val="24"/>
          <w:szCs w:val="20"/>
        </w:rPr>
        <w:t>、S311及南疆铁路</w:t>
      </w:r>
      <w:r>
        <w:rPr>
          <w:rFonts w:ascii="Times New Roman" w:hAnsi="Times New Roman" w:eastAsia="宋体" w:cs="Times New Roman"/>
          <w:sz w:val="24"/>
        </w:rPr>
        <w:t>等</w:t>
      </w:r>
      <w:r>
        <w:rPr>
          <w:rFonts w:hint="eastAsia" w:ascii="Times New Roman" w:hAnsi="Times New Roman" w:eastAsia="宋体" w:cs="Times New Roman"/>
          <w:sz w:val="24"/>
        </w:rPr>
        <w:t>，</w:t>
      </w:r>
      <w:r>
        <w:rPr>
          <w:rFonts w:ascii="Times New Roman" w:hAnsi="Times New Roman" w:eastAsia="宋体" w:cs="Times New Roman"/>
          <w:sz w:val="24"/>
        </w:rPr>
        <w:t>噪声源主要为现有交通噪声和</w:t>
      </w:r>
      <w:r>
        <w:rPr>
          <w:rFonts w:hint="eastAsia" w:ascii="Times New Roman" w:hAnsi="Times New Roman" w:eastAsia="宋体" w:cs="Times New Roman"/>
          <w:sz w:val="24"/>
        </w:rPr>
        <w:t>社会</w:t>
      </w:r>
      <w:r>
        <w:rPr>
          <w:rFonts w:ascii="Times New Roman" w:hAnsi="Times New Roman" w:eastAsia="宋体" w:cs="Times New Roman"/>
          <w:sz w:val="24"/>
        </w:rPr>
        <w:t>生活噪声，其中交通噪声为主要污染源。拟建公路所在区域声环境质量总体</w:t>
      </w:r>
      <w:r>
        <w:rPr>
          <w:rFonts w:hint="eastAsia" w:ascii="Times New Roman" w:hAnsi="Times New Roman" w:eastAsia="宋体" w:cs="Times New Roman"/>
          <w:sz w:val="24"/>
        </w:rPr>
        <w:t>较好</w:t>
      </w:r>
      <w:r>
        <w:rPr>
          <w:rFonts w:ascii="Times New Roman" w:hAnsi="Times New Roman" w:eastAsia="宋体" w:cs="Times New Roman"/>
          <w:sz w:val="24"/>
        </w:rPr>
        <w:t>。</w:t>
      </w:r>
    </w:p>
    <w:p w14:paraId="79066599">
      <w:pPr>
        <w:spacing w:line="300" w:lineRule="auto"/>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2</w:t>
      </w:r>
      <w:r>
        <w:rPr>
          <w:rFonts w:ascii="Times New Roman" w:hAnsi="Times New Roman" w:eastAsia="宋体" w:cs="Times New Roman"/>
          <w:color w:val="auto"/>
          <w:sz w:val="24"/>
        </w:rPr>
        <w:t xml:space="preserve">. </w:t>
      </w:r>
      <w:r>
        <w:rPr>
          <w:rFonts w:hint="eastAsia" w:ascii="Times New Roman" w:hAnsi="Times New Roman" w:eastAsia="宋体" w:cs="Times New Roman"/>
          <w:color w:val="auto"/>
          <w:sz w:val="24"/>
        </w:rPr>
        <w:t>拟建公路沿线声环境保护目标</w:t>
      </w:r>
    </w:p>
    <w:bookmarkEnd w:id="181"/>
    <w:p w14:paraId="5670A66C">
      <w:pPr>
        <w:spacing w:line="30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拟建公路沿线评价范围内共有声环境保护目标</w:t>
      </w:r>
      <w:r>
        <w:rPr>
          <w:rFonts w:hint="eastAsia" w:ascii="Times New Roman" w:hAnsi="Times New Roman" w:eastAsia="宋体" w:cs="Times New Roman"/>
          <w:color w:val="auto"/>
          <w:sz w:val="24"/>
        </w:rPr>
        <w:t>29</w:t>
      </w:r>
      <w:r>
        <w:rPr>
          <w:rFonts w:ascii="Times New Roman" w:hAnsi="Times New Roman" w:eastAsia="宋体" w:cs="Times New Roman"/>
          <w:color w:val="auto"/>
          <w:sz w:val="24"/>
        </w:rPr>
        <w:t>处，包括：6处学校（</w:t>
      </w:r>
      <w:r>
        <w:rPr>
          <w:rFonts w:hint="eastAsia" w:ascii="Times New Roman" w:hAnsi="Times New Roman" w:eastAsia="宋体" w:cs="Times New Roman"/>
          <w:color w:val="auto"/>
          <w:sz w:val="24"/>
        </w:rPr>
        <w:t>1处技校、3</w:t>
      </w:r>
      <w:r>
        <w:rPr>
          <w:rFonts w:ascii="Times New Roman" w:hAnsi="Times New Roman" w:eastAsia="宋体" w:cs="Times New Roman"/>
          <w:color w:val="auto"/>
          <w:sz w:val="24"/>
        </w:rPr>
        <w:t>处小学</w:t>
      </w:r>
      <w:r>
        <w:rPr>
          <w:rFonts w:hint="eastAsia" w:ascii="Times New Roman" w:hAnsi="Times New Roman" w:eastAsia="宋体" w:cs="Times New Roman"/>
          <w:color w:val="auto"/>
          <w:sz w:val="24"/>
        </w:rPr>
        <w:t>、2</w:t>
      </w:r>
      <w:r>
        <w:rPr>
          <w:rFonts w:ascii="Times New Roman" w:hAnsi="Times New Roman" w:eastAsia="宋体" w:cs="Times New Roman"/>
          <w:color w:val="auto"/>
          <w:sz w:val="24"/>
        </w:rPr>
        <w:t>处幼儿园，夜间均无住宿）</w:t>
      </w:r>
      <w:r>
        <w:rPr>
          <w:rFonts w:hint="eastAsia" w:ascii="Times New Roman" w:hAnsi="Times New Roman" w:eastAsia="宋体" w:cs="Times New Roman"/>
          <w:color w:val="auto"/>
          <w:sz w:val="24"/>
        </w:rPr>
        <w:t>、1处卫生院（住院部夜间有住宿）</w:t>
      </w:r>
      <w:r>
        <w:rPr>
          <w:rFonts w:ascii="Times New Roman" w:hAnsi="Times New Roman" w:eastAsia="宋体" w:cs="Times New Roman"/>
          <w:color w:val="auto"/>
          <w:sz w:val="24"/>
        </w:rPr>
        <w:t>和</w:t>
      </w:r>
      <w:r>
        <w:rPr>
          <w:rFonts w:hint="eastAsia" w:ascii="Times New Roman" w:hAnsi="Times New Roman" w:eastAsia="宋体" w:cs="Times New Roman"/>
          <w:color w:val="auto"/>
          <w:sz w:val="24"/>
        </w:rPr>
        <w:t>22</w:t>
      </w:r>
      <w:r>
        <w:rPr>
          <w:rFonts w:ascii="Times New Roman" w:hAnsi="Times New Roman" w:eastAsia="宋体" w:cs="Times New Roman"/>
          <w:color w:val="auto"/>
          <w:sz w:val="24"/>
        </w:rPr>
        <w:t>处村庄</w:t>
      </w:r>
      <w:r>
        <w:rPr>
          <w:rFonts w:hint="eastAsia" w:ascii="Times New Roman" w:hAnsi="Times New Roman" w:eastAsia="宋体" w:cs="Times New Roman"/>
          <w:color w:val="auto"/>
          <w:sz w:val="24"/>
        </w:rPr>
        <w:t>居民点，具体见表1</w:t>
      </w:r>
      <w:r>
        <w:rPr>
          <w:rFonts w:ascii="Times New Roman" w:hAnsi="Times New Roman" w:eastAsia="宋体" w:cs="Times New Roman"/>
          <w:color w:val="auto"/>
          <w:sz w:val="24"/>
        </w:rPr>
        <w:t>.</w:t>
      </w:r>
      <w:r>
        <w:rPr>
          <w:rFonts w:hint="eastAsia" w:ascii="Times New Roman" w:hAnsi="Times New Roman" w:eastAsia="宋体" w:cs="Times New Roman"/>
          <w:color w:val="auto"/>
          <w:sz w:val="24"/>
        </w:rPr>
        <w:t>6-2。</w:t>
      </w:r>
    </w:p>
    <w:p w14:paraId="48D57B49">
      <w:pPr>
        <w:keepNext/>
        <w:keepLines/>
        <w:widowControl w:val="0"/>
        <w:adjustRightInd w:val="0"/>
        <w:spacing w:before="240" w:after="240" w:line="240" w:lineRule="auto"/>
        <w:jc w:val="both"/>
        <w:textAlignment w:val="baseline"/>
        <w:outlineLvl w:val="1"/>
        <w:rPr>
          <w:rFonts w:ascii="Times New Roman" w:hAnsi="Times New Roman" w:eastAsia="宋体" w:cs="Times New Roman"/>
          <w:b/>
          <w:bCs/>
          <w:kern w:val="0"/>
          <w:sz w:val="28"/>
          <w:szCs w:val="32"/>
          <w:lang w:val="en-US" w:eastAsia="zh-CN" w:bidi="ar-SA"/>
        </w:rPr>
      </w:pPr>
      <w:bookmarkStart w:id="182" w:name="_Toc187528257"/>
      <w:r>
        <w:rPr>
          <w:rFonts w:hint="eastAsia" w:ascii="Times New Roman" w:hAnsi="Times New Roman" w:eastAsia="宋体" w:cs="Times New Roman"/>
          <w:b/>
          <w:bCs/>
          <w:kern w:val="0"/>
          <w:sz w:val="28"/>
          <w:szCs w:val="32"/>
          <w:lang w:val="en-US" w:eastAsia="zh-CN" w:bidi="ar-SA"/>
        </w:rPr>
        <w:t>3</w:t>
      </w:r>
      <w:r>
        <w:rPr>
          <w:rFonts w:ascii="Times New Roman" w:hAnsi="Times New Roman" w:eastAsia="宋体" w:cs="Times New Roman"/>
          <w:b/>
          <w:bCs/>
          <w:kern w:val="0"/>
          <w:sz w:val="28"/>
          <w:szCs w:val="32"/>
          <w:lang w:val="en-US" w:eastAsia="zh-CN" w:bidi="ar-SA"/>
        </w:rPr>
        <w:t xml:space="preserve">.2 </w:t>
      </w:r>
      <w:r>
        <w:rPr>
          <w:rFonts w:hint="eastAsia" w:ascii="Times New Roman" w:hAnsi="Times New Roman" w:eastAsia="宋体" w:cs="Times New Roman"/>
          <w:b/>
          <w:bCs/>
          <w:kern w:val="0"/>
          <w:sz w:val="28"/>
          <w:szCs w:val="32"/>
          <w:lang w:val="en-US" w:eastAsia="zh-CN" w:bidi="ar-SA"/>
        </w:rPr>
        <w:t>声环境现状监测</w:t>
      </w:r>
      <w:bookmarkEnd w:id="182"/>
    </w:p>
    <w:p w14:paraId="720DDED7">
      <w:pPr>
        <w:keepNext/>
        <w:keepLines/>
        <w:widowControl w:val="0"/>
        <w:adjustRightInd w:val="0"/>
        <w:spacing w:before="120" w:after="120" w:line="300" w:lineRule="auto"/>
        <w:jc w:val="both"/>
        <w:textAlignment w:val="baseline"/>
        <w:outlineLvl w:val="2"/>
        <w:rPr>
          <w:rFonts w:ascii="Times New Roman" w:hAnsi="Times New Roman" w:eastAsia="宋体" w:cs="Times New Roman"/>
          <w:b/>
          <w:bCs w:val="0"/>
          <w:kern w:val="0"/>
          <w:sz w:val="24"/>
          <w:szCs w:val="32"/>
          <w:lang w:val="en-US" w:eastAsia="zh-CN" w:bidi="ar-SA"/>
        </w:rPr>
      </w:pPr>
      <w:bookmarkStart w:id="183" w:name="_Toc175213211"/>
      <w:bookmarkStart w:id="184" w:name="_Toc187528258"/>
      <w:r>
        <w:rPr>
          <w:rFonts w:hint="eastAsia" w:ascii="Times New Roman" w:hAnsi="Times New Roman" w:eastAsia="宋体" w:cs="Times New Roman"/>
          <w:b/>
          <w:bCs w:val="0"/>
          <w:kern w:val="0"/>
          <w:sz w:val="24"/>
          <w:szCs w:val="32"/>
          <w:lang w:val="en-US" w:eastAsia="zh-CN" w:bidi="ar-SA"/>
        </w:rPr>
        <w:t>3</w:t>
      </w:r>
      <w:r>
        <w:rPr>
          <w:rFonts w:ascii="Times New Roman" w:hAnsi="Times New Roman" w:eastAsia="宋体" w:cs="Times New Roman"/>
          <w:b/>
          <w:bCs w:val="0"/>
          <w:kern w:val="0"/>
          <w:sz w:val="24"/>
          <w:szCs w:val="32"/>
          <w:lang w:val="en-US" w:eastAsia="zh-CN" w:bidi="ar-SA"/>
        </w:rPr>
        <w:t xml:space="preserve">.2.1 </w:t>
      </w:r>
      <w:r>
        <w:rPr>
          <w:rFonts w:hint="eastAsia" w:ascii="Times New Roman" w:hAnsi="Times New Roman" w:eastAsia="宋体" w:cs="Times New Roman"/>
          <w:b/>
          <w:bCs w:val="0"/>
          <w:kern w:val="0"/>
          <w:sz w:val="24"/>
          <w:szCs w:val="32"/>
          <w:lang w:val="en-US" w:eastAsia="zh-CN" w:bidi="ar-SA"/>
        </w:rPr>
        <w:t>监测布点</w:t>
      </w:r>
      <w:bookmarkEnd w:id="183"/>
      <w:bookmarkEnd w:id="184"/>
    </w:p>
    <w:p w14:paraId="59C8D3C9">
      <w:pPr>
        <w:pStyle w:val="98"/>
      </w:pPr>
      <w:r>
        <w:rPr>
          <w:rFonts w:hint="eastAsia"/>
        </w:rPr>
        <w:t>1</w:t>
      </w:r>
      <w:r>
        <w:t>.</w:t>
      </w:r>
      <w:r>
        <w:rPr>
          <w:rFonts w:hint="eastAsia"/>
        </w:rPr>
        <w:t xml:space="preserve"> 声环境敏感点现状监测</w:t>
      </w:r>
    </w:p>
    <w:p w14:paraId="5A89F07D">
      <w:pPr>
        <w:pStyle w:val="98"/>
      </w:pPr>
      <w:r>
        <w:rPr>
          <w:rFonts w:hAnsi="宋体"/>
        </w:rPr>
        <w:t>根据拟建公路所经区域的环境特征、噪声污染源和噪声敏感目标现状情况，本着</w:t>
      </w:r>
      <w:r>
        <w:t>“</w:t>
      </w:r>
      <w:r>
        <w:rPr>
          <w:rFonts w:hAnsi="宋体"/>
        </w:rPr>
        <w:t>以点和代表性区段为主，点段结合，反馈全线</w:t>
      </w:r>
      <w:r>
        <w:t>”</w:t>
      </w:r>
      <w:r>
        <w:rPr>
          <w:rFonts w:hAnsi="宋体"/>
        </w:rPr>
        <w:t>的评价原则，</w:t>
      </w:r>
      <w:r>
        <w:t>对项目沿线</w:t>
      </w:r>
      <w:r>
        <w:rPr>
          <w:rFonts w:hint="eastAsia"/>
        </w:rPr>
        <w:t>20</w:t>
      </w:r>
      <w:r>
        <w:t>处代表性声环境保护目标</w:t>
      </w:r>
      <w:r>
        <w:rPr>
          <w:rFonts w:hint="eastAsia"/>
        </w:rPr>
        <w:t>和1</w:t>
      </w:r>
      <w:r>
        <w:t>处交通噪声断面进行了现状监测</w:t>
      </w:r>
      <w:r>
        <w:rPr>
          <w:rFonts w:hAnsi="宋体"/>
        </w:rPr>
        <w:t>。</w:t>
      </w:r>
    </w:p>
    <w:p w14:paraId="4EDDDBBD">
      <w:pPr>
        <w:adjustRightInd w:val="0"/>
        <w:spacing w:line="30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(1) 监测布点依据及合理性</w:t>
      </w:r>
    </w:p>
    <w:p w14:paraId="2CDFB236">
      <w:pPr>
        <w:adjustRightInd w:val="0"/>
        <w:spacing w:line="300" w:lineRule="auto"/>
        <w:ind w:firstLine="480" w:firstLineChars="200"/>
        <w:rPr>
          <w:rFonts w:ascii="Times New Roman" w:hAnsi="Times New Roman" w:eastAsia="宋体" w:cs="Times New Roman"/>
          <w:sz w:val="24"/>
        </w:rPr>
      </w:pPr>
      <w:r>
        <w:rPr>
          <w:rFonts w:hint="eastAsia" w:ascii="宋体" w:hAnsi="宋体" w:eastAsia="宋体" w:cs="Times New Roman"/>
          <w:sz w:val="24"/>
        </w:rPr>
        <w:t>①</w:t>
      </w:r>
      <w:r>
        <w:rPr>
          <w:rFonts w:ascii="Times New Roman" w:hAnsi="Times New Roman" w:eastAsia="宋体" w:cs="Times New Roman"/>
          <w:sz w:val="24"/>
        </w:rPr>
        <w:t xml:space="preserve"> 结合沿线现有交通干线以及</w:t>
      </w:r>
      <w:r>
        <w:rPr>
          <w:rFonts w:hint="eastAsia" w:ascii="Times New Roman" w:hAnsi="Times New Roman" w:eastAsia="宋体" w:cs="Times New Roman"/>
          <w:sz w:val="24"/>
        </w:rPr>
        <w:t>不同</w:t>
      </w:r>
      <w:r>
        <w:rPr>
          <w:rFonts w:ascii="Times New Roman" w:hAnsi="Times New Roman" w:eastAsia="宋体" w:cs="Times New Roman"/>
          <w:sz w:val="24"/>
        </w:rPr>
        <w:t>路段声环境功能区划分，距路不同距离分别布设监测点，对位于现有G</w:t>
      </w:r>
      <w:r>
        <w:rPr>
          <w:rFonts w:hint="eastAsia" w:ascii="Times New Roman" w:hAnsi="Times New Roman" w:eastAsia="宋体" w:cs="Times New Roman"/>
          <w:sz w:val="24"/>
        </w:rPr>
        <w:t>219</w:t>
      </w:r>
      <w:r>
        <w:rPr>
          <w:rFonts w:ascii="Times New Roman" w:hAnsi="Times New Roman" w:eastAsia="宋体" w:cs="Times New Roman"/>
          <w:sz w:val="24"/>
        </w:rPr>
        <w:t>、</w:t>
      </w:r>
      <w:r>
        <w:rPr>
          <w:rFonts w:hint="eastAsia" w:ascii="Times New Roman" w:hAnsi="Times New Roman" w:eastAsia="宋体" w:cs="Times New Roman"/>
          <w:sz w:val="24"/>
        </w:rPr>
        <w:t>S311</w:t>
      </w:r>
      <w:r>
        <w:rPr>
          <w:rFonts w:ascii="Times New Roman" w:hAnsi="Times New Roman" w:eastAsia="宋体" w:cs="Times New Roman"/>
          <w:sz w:val="24"/>
        </w:rPr>
        <w:t>等交通干线两侧的4a类区</w:t>
      </w:r>
      <w:r>
        <w:rPr>
          <w:rFonts w:hint="eastAsia" w:ascii="Times New Roman" w:hAnsi="Times New Roman" w:eastAsia="宋体" w:cs="Times New Roman"/>
          <w:sz w:val="24"/>
        </w:rPr>
        <w:t>和</w:t>
      </w:r>
      <w:r>
        <w:rPr>
          <w:rFonts w:ascii="Times New Roman" w:hAnsi="Times New Roman" w:eastAsia="宋体" w:cs="Times New Roman"/>
          <w:sz w:val="24"/>
        </w:rPr>
        <w:t>2类区分别布设。</w:t>
      </w:r>
    </w:p>
    <w:p w14:paraId="75256B73">
      <w:pPr>
        <w:adjustRightInd w:val="0"/>
        <w:spacing w:line="300" w:lineRule="auto"/>
        <w:ind w:firstLine="480" w:firstLineChars="200"/>
        <w:rPr>
          <w:rFonts w:ascii="Times New Roman" w:hAnsi="Times New Roman" w:eastAsia="宋体" w:cs="Times New Roman"/>
          <w:sz w:val="24"/>
        </w:rPr>
      </w:pPr>
      <w:r>
        <w:rPr>
          <w:rFonts w:hint="eastAsia" w:ascii="宋体" w:hAnsi="宋体" w:eastAsia="宋体" w:cs="Times New Roman"/>
          <w:sz w:val="24"/>
        </w:rPr>
        <w:t>②</w:t>
      </w:r>
      <w:r>
        <w:rPr>
          <w:rFonts w:ascii="Times New Roman" w:hAnsi="Times New Roman" w:eastAsia="宋体" w:cs="Times New Roman"/>
          <w:sz w:val="24"/>
        </w:rPr>
        <w:t xml:space="preserve"> 不同敏感点类型分别布设敏感点。沿线学校、卫生院等特殊敏感点环境现状均进行监测；沿线村庄敏感点</w:t>
      </w:r>
      <w:r>
        <w:rPr>
          <w:rFonts w:hint="eastAsia" w:ascii="Times New Roman" w:hAnsi="Times New Roman" w:eastAsia="宋体" w:cs="Times New Roman"/>
          <w:sz w:val="24"/>
        </w:rPr>
        <w:t>布点</w:t>
      </w:r>
      <w:r>
        <w:rPr>
          <w:rFonts w:ascii="Times New Roman" w:hAnsi="Times New Roman" w:eastAsia="宋体" w:cs="Times New Roman"/>
          <w:sz w:val="24"/>
        </w:rPr>
        <w:t>时充分</w:t>
      </w:r>
      <w:r>
        <w:rPr>
          <w:rFonts w:hint="eastAsia" w:ascii="Times New Roman" w:hAnsi="Times New Roman" w:eastAsia="宋体" w:cs="Times New Roman"/>
          <w:sz w:val="24"/>
        </w:rPr>
        <w:t>结合</w:t>
      </w:r>
      <w:r>
        <w:rPr>
          <w:rFonts w:ascii="Times New Roman" w:hAnsi="Times New Roman" w:eastAsia="宋体" w:cs="Times New Roman"/>
          <w:sz w:val="24"/>
        </w:rPr>
        <w:t>建筑物特征、周围既有噪声源特点等，选取具有代表性的点位进行监测。</w:t>
      </w:r>
    </w:p>
    <w:p w14:paraId="591932D1">
      <w:pPr>
        <w:adjustRightInd w:val="0"/>
        <w:spacing w:line="300" w:lineRule="auto"/>
        <w:ind w:firstLine="480" w:firstLineChars="200"/>
        <w:rPr>
          <w:rFonts w:ascii="Times New Roman" w:hAnsi="Times New Roman" w:eastAsia="宋体" w:cs="Times New Roman"/>
          <w:sz w:val="24"/>
        </w:rPr>
      </w:pPr>
      <w:r>
        <w:rPr>
          <w:rFonts w:hint="eastAsia" w:ascii="宋体" w:hAnsi="宋体" w:eastAsia="宋体" w:cs="Times New Roman"/>
          <w:sz w:val="24"/>
        </w:rPr>
        <w:t xml:space="preserve">③ </w:t>
      </w:r>
      <w:r>
        <w:rPr>
          <w:rFonts w:ascii="Times New Roman" w:hAnsi="Times New Roman" w:eastAsia="宋体" w:cs="Times New Roman"/>
          <w:sz w:val="24"/>
        </w:rPr>
        <w:t>对于仅受本工程既有公路影响的敏感点，</w:t>
      </w:r>
      <w:r>
        <w:rPr>
          <w:rFonts w:hint="eastAsia" w:ascii="Times New Roman" w:hAnsi="Times New Roman" w:eastAsia="宋体" w:cs="Times New Roman"/>
          <w:sz w:val="24"/>
        </w:rPr>
        <w:t>监测点位</w:t>
      </w:r>
      <w:r>
        <w:rPr>
          <w:rFonts w:ascii="Times New Roman" w:hAnsi="Times New Roman" w:eastAsia="宋体" w:cs="Times New Roman"/>
          <w:sz w:val="24"/>
        </w:rPr>
        <w:t>分别布设在现有公路4a、</w:t>
      </w:r>
      <w:r>
        <w:rPr>
          <w:rFonts w:hint="eastAsia" w:ascii="Times New Roman" w:hAnsi="Times New Roman" w:eastAsia="宋体" w:cs="Times New Roman"/>
          <w:sz w:val="24"/>
        </w:rPr>
        <w:t>2</w:t>
      </w:r>
      <w:r>
        <w:rPr>
          <w:rFonts w:ascii="Times New Roman" w:hAnsi="Times New Roman" w:eastAsia="宋体" w:cs="Times New Roman"/>
          <w:sz w:val="24"/>
        </w:rPr>
        <w:t>类区域点位处，了解既有公路对敏感点现状噪声影响情况的同时，在敏感点背向公路一侧不受或基本不受本工程既有公路影响，以了解该</w:t>
      </w:r>
      <w:r>
        <w:rPr>
          <w:rFonts w:hint="eastAsia" w:ascii="Times New Roman" w:hAnsi="Times New Roman" w:eastAsia="宋体" w:cs="Times New Roman"/>
          <w:sz w:val="24"/>
        </w:rPr>
        <w:t>敏感点</w:t>
      </w:r>
      <w:r>
        <w:rPr>
          <w:rFonts w:ascii="Times New Roman" w:hAnsi="Times New Roman" w:eastAsia="宋体" w:cs="Times New Roman"/>
          <w:sz w:val="24"/>
        </w:rPr>
        <w:t>环境噪声本底值情况，用于改扩建后该敏感点环境噪声预测时的背景噪声。</w:t>
      </w:r>
    </w:p>
    <w:p w14:paraId="227B4EF4">
      <w:pPr>
        <w:adjustRightInd w:val="0"/>
        <w:spacing w:line="300" w:lineRule="auto"/>
        <w:ind w:firstLine="480" w:firstLineChars="200"/>
        <w:rPr>
          <w:rFonts w:ascii="Times New Roman" w:hAnsi="Times New Roman" w:eastAsia="宋体" w:cs="Times New Roman"/>
          <w:sz w:val="24"/>
        </w:rPr>
      </w:pPr>
      <w:r>
        <w:rPr>
          <w:rFonts w:hint="eastAsia" w:ascii="宋体" w:hAnsi="宋体" w:eastAsia="宋体" w:cs="Times New Roman"/>
          <w:sz w:val="24"/>
        </w:rPr>
        <w:t xml:space="preserve">④ </w:t>
      </w:r>
      <w:r>
        <w:rPr>
          <w:rFonts w:ascii="Times New Roman" w:hAnsi="Times New Roman" w:eastAsia="宋体" w:cs="Times New Roman"/>
          <w:sz w:val="24"/>
        </w:rPr>
        <w:t>背景噪声监测点位设置</w:t>
      </w:r>
    </w:p>
    <w:p w14:paraId="7350FF42">
      <w:pPr>
        <w:adjustRightInd w:val="0"/>
        <w:spacing w:line="300" w:lineRule="auto"/>
        <w:ind w:firstLine="480" w:firstLineChars="200"/>
        <w:rPr>
          <w:rFonts w:ascii="Times New Roman" w:hAnsi="Times New Roman" w:eastAsia="宋体" w:cs="Times New Roman"/>
          <w:kern w:val="0"/>
          <w:sz w:val="24"/>
        </w:rPr>
      </w:pPr>
      <w:r>
        <w:rPr>
          <w:rFonts w:hint="eastAsia" w:ascii="Times New Roman" w:hAnsi="Times New Roman" w:eastAsia="宋体" w:cs="Times New Roman"/>
          <w:sz w:val="24"/>
        </w:rPr>
        <w:t xml:space="preserve">a. </w:t>
      </w:r>
      <w:r>
        <w:rPr>
          <w:rFonts w:ascii="Times New Roman" w:hAnsi="Times New Roman" w:eastAsia="宋体" w:cs="Times New Roman"/>
          <w:sz w:val="24"/>
        </w:rPr>
        <w:t>对仅受现有</w:t>
      </w:r>
      <w:r>
        <w:rPr>
          <w:rFonts w:hint="eastAsia" w:ascii="Times New Roman" w:hAnsi="Times New Roman" w:eastAsia="宋体" w:cs="Times New Roman"/>
          <w:sz w:val="24"/>
        </w:rPr>
        <w:t>G219交通噪声影响的保护目标，其背景噪声监测点位设置在远离</w:t>
      </w:r>
      <w:r>
        <w:rPr>
          <w:rFonts w:ascii="Times New Roman" w:hAnsi="Times New Roman" w:eastAsia="宋体" w:cs="Times New Roman"/>
          <w:sz w:val="24"/>
        </w:rPr>
        <w:t>现有</w:t>
      </w:r>
      <w:r>
        <w:rPr>
          <w:rFonts w:hint="eastAsia" w:ascii="Times New Roman" w:hAnsi="Times New Roman" w:eastAsia="宋体" w:cs="Times New Roman"/>
          <w:sz w:val="24"/>
        </w:rPr>
        <w:t>G219</w:t>
      </w:r>
      <w:r>
        <w:rPr>
          <w:rFonts w:ascii="Times New Roman" w:hAnsi="Times New Roman" w:eastAsia="宋体" w:cs="Times New Roman"/>
          <w:kern w:val="0"/>
          <w:sz w:val="24"/>
        </w:rPr>
        <w:t>公路不受</w:t>
      </w:r>
      <w:r>
        <w:rPr>
          <w:rFonts w:hint="eastAsia" w:ascii="Times New Roman" w:hAnsi="Times New Roman" w:eastAsia="宋体" w:cs="Times New Roman"/>
          <w:sz w:val="24"/>
        </w:rPr>
        <w:t>其</w:t>
      </w:r>
      <w:r>
        <w:rPr>
          <w:rFonts w:ascii="Times New Roman" w:hAnsi="Times New Roman" w:eastAsia="宋体" w:cs="Times New Roman"/>
          <w:kern w:val="0"/>
          <w:sz w:val="24"/>
        </w:rPr>
        <w:t>交通噪声影响的</w:t>
      </w:r>
      <w:r>
        <w:rPr>
          <w:rFonts w:hint="eastAsia" w:ascii="Times New Roman" w:hAnsi="Times New Roman" w:eastAsia="宋体" w:cs="Times New Roman"/>
          <w:kern w:val="0"/>
          <w:sz w:val="24"/>
        </w:rPr>
        <w:t>点位处；</w:t>
      </w:r>
    </w:p>
    <w:p w14:paraId="598D9C3E">
      <w:pPr>
        <w:adjustRightInd w:val="0"/>
        <w:spacing w:line="300" w:lineRule="auto"/>
        <w:ind w:firstLine="480" w:firstLineChars="200"/>
        <w:rPr>
          <w:rFonts w:ascii="Times New Roman" w:hAnsi="Times New Roman" w:eastAsia="宋体" w:cs="Times New Roman"/>
          <w:kern w:val="0"/>
          <w:sz w:val="24"/>
        </w:rPr>
      </w:pPr>
      <w:r>
        <w:rPr>
          <w:rFonts w:hint="eastAsia" w:ascii="Times New Roman" w:hAnsi="Times New Roman" w:eastAsia="宋体" w:cs="Times New Roman"/>
          <w:kern w:val="0"/>
          <w:sz w:val="24"/>
        </w:rPr>
        <w:t xml:space="preserve">b. </w:t>
      </w:r>
      <w:r>
        <w:rPr>
          <w:rFonts w:ascii="Times New Roman" w:hAnsi="Times New Roman" w:eastAsia="宋体" w:cs="Times New Roman"/>
          <w:sz w:val="24"/>
        </w:rPr>
        <w:t>对于既受本工程既有公路影响，同时又受其他交通干线影响的敏感点，应选择既回避本工程既有公路影响，又不弱化或扩大其他交通干线交通噪声影响的区域布置</w:t>
      </w:r>
      <w:r>
        <w:rPr>
          <w:rFonts w:hint="eastAsia" w:ascii="Times New Roman" w:hAnsi="Times New Roman" w:eastAsia="宋体" w:cs="Times New Roman"/>
          <w:sz w:val="24"/>
        </w:rPr>
        <w:t>；</w:t>
      </w:r>
    </w:p>
    <w:p w14:paraId="15284109">
      <w:pPr>
        <w:adjustRightInd w:val="0"/>
        <w:spacing w:line="300"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c. 对位于</w:t>
      </w:r>
      <w:r>
        <w:rPr>
          <w:rFonts w:hint="eastAsia" w:ascii="Times New Roman" w:hAnsi="Times New Roman" w:eastAsia="宋体" w:cs="Times New Roman"/>
          <w:kern w:val="0"/>
          <w:sz w:val="24"/>
        </w:rPr>
        <w:t>G219与S311形成的包夹区域内声环境保护目标，其背景噪声监测点位设置在</w:t>
      </w:r>
      <w:r>
        <w:rPr>
          <w:rFonts w:hint="eastAsia" w:ascii="Times New Roman" w:hAnsi="Times New Roman" w:eastAsia="宋体" w:cs="Times New Roman"/>
          <w:sz w:val="24"/>
        </w:rPr>
        <w:t>不受现有G219交通</w:t>
      </w:r>
      <w:r>
        <w:rPr>
          <w:rFonts w:ascii="Times New Roman" w:hAnsi="Times New Roman" w:eastAsia="宋体" w:cs="Times New Roman"/>
          <w:sz w:val="24"/>
        </w:rPr>
        <w:t>噪声影响</w:t>
      </w:r>
      <w:r>
        <w:rPr>
          <w:rFonts w:hint="eastAsia" w:ascii="Times New Roman" w:hAnsi="Times New Roman" w:eastAsia="宋体" w:cs="Times New Roman"/>
          <w:sz w:val="24"/>
        </w:rPr>
        <w:t>、</w:t>
      </w:r>
      <w:r>
        <w:rPr>
          <w:rFonts w:ascii="Times New Roman" w:hAnsi="Times New Roman" w:eastAsia="宋体" w:cs="Times New Roman"/>
          <w:sz w:val="24"/>
        </w:rPr>
        <w:t>临</w:t>
      </w:r>
      <w:r>
        <w:rPr>
          <w:rFonts w:hint="eastAsia" w:ascii="Times New Roman" w:hAnsi="Times New Roman" w:eastAsia="宋体" w:cs="Times New Roman"/>
          <w:sz w:val="24"/>
        </w:rPr>
        <w:t>S311公路</w:t>
      </w:r>
      <w:r>
        <w:rPr>
          <w:rFonts w:ascii="Times New Roman" w:hAnsi="Times New Roman" w:eastAsia="宋体" w:cs="Times New Roman"/>
          <w:sz w:val="24"/>
        </w:rPr>
        <w:t>不同声环境功能区分别进行布设</w:t>
      </w:r>
      <w:r>
        <w:rPr>
          <w:rFonts w:hint="eastAsia" w:ascii="Times New Roman" w:hAnsi="Times New Roman" w:eastAsia="宋体" w:cs="Times New Roman"/>
          <w:sz w:val="24"/>
        </w:rPr>
        <w:t>。</w:t>
      </w:r>
    </w:p>
    <w:p w14:paraId="371C5B42">
      <w:pPr>
        <w:spacing w:line="300" w:lineRule="auto"/>
        <w:ind w:firstLine="480" w:firstLineChars="200"/>
        <w:rPr>
          <w:rFonts w:ascii="Times New Roman" w:hAnsi="Times New Roman" w:eastAsia="宋体" w:cs="Times New Roman"/>
          <w:sz w:val="24"/>
        </w:rPr>
      </w:pPr>
      <w:r>
        <w:rPr>
          <w:rFonts w:hint="eastAsia" w:ascii="宋体" w:hAnsi="宋体" w:eastAsia="宋体" w:cs="宋体"/>
          <w:sz w:val="24"/>
        </w:rPr>
        <w:t>⑤</w:t>
      </w:r>
      <w:r>
        <w:rPr>
          <w:rFonts w:ascii="Times New Roman" w:hAnsi="Times New Roman" w:eastAsia="宋体" w:cs="Times New Roman"/>
          <w:sz w:val="24"/>
        </w:rPr>
        <w:t xml:space="preserve"> 交通噪声断面监测</w:t>
      </w:r>
      <w:r>
        <w:rPr>
          <w:rFonts w:hint="eastAsia" w:ascii="Times New Roman" w:hAnsi="Times New Roman" w:eastAsia="宋体" w:cs="Times New Roman"/>
          <w:sz w:val="24"/>
        </w:rPr>
        <w:t>设置</w:t>
      </w:r>
    </w:p>
    <w:p w14:paraId="51B60EA6">
      <w:pPr>
        <w:adjustRightInd w:val="0"/>
        <w:spacing w:line="30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对沿线现有的交通干线布设交通噪声断面监测点。</w:t>
      </w:r>
    </w:p>
    <w:p w14:paraId="5265F277">
      <w:pPr>
        <w:adjustRightInd w:val="0"/>
        <w:spacing w:line="30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 xml:space="preserve">(2) </w:t>
      </w:r>
      <w:r>
        <w:rPr>
          <w:rFonts w:ascii="Times New Roman" w:hAnsi="宋体" w:eastAsia="宋体" w:cs="Times New Roman"/>
          <w:sz w:val="24"/>
        </w:rPr>
        <w:t>现状监测布点</w:t>
      </w:r>
    </w:p>
    <w:p w14:paraId="7C38963F">
      <w:pPr>
        <w:adjustRightInd w:val="0"/>
        <w:spacing w:line="300" w:lineRule="auto"/>
        <w:ind w:firstLine="480" w:firstLineChars="200"/>
        <w:rPr>
          <w:rFonts w:ascii="Times New Roman" w:hAnsi="Times New Roman" w:eastAsia="宋体" w:cs="Times New Roman"/>
          <w:sz w:val="24"/>
        </w:rPr>
      </w:pPr>
      <w:r>
        <w:rPr>
          <w:rFonts w:ascii="Times New Roman" w:hAnsi="宋体" w:eastAsia="宋体" w:cs="Times New Roman"/>
          <w:sz w:val="24"/>
        </w:rPr>
        <w:t>①</w:t>
      </w:r>
      <w:r>
        <w:rPr>
          <w:rFonts w:ascii="Times New Roman" w:hAnsi="Times New Roman" w:eastAsia="宋体" w:cs="Times New Roman"/>
          <w:sz w:val="24"/>
        </w:rPr>
        <w:t xml:space="preserve"> </w:t>
      </w:r>
      <w:r>
        <w:rPr>
          <w:rFonts w:ascii="Times New Roman" w:hAnsi="宋体" w:eastAsia="宋体" w:cs="Times New Roman"/>
          <w:sz w:val="24"/>
        </w:rPr>
        <w:t>保护目标监测布点</w:t>
      </w:r>
    </w:p>
    <w:p w14:paraId="5EAA7B56">
      <w:pPr>
        <w:adjustRightInd w:val="0"/>
        <w:spacing w:line="300" w:lineRule="auto"/>
        <w:ind w:firstLine="480" w:firstLineChars="200"/>
        <w:rPr>
          <w:rFonts w:ascii="Times New Roman" w:hAnsi="Times New Roman" w:eastAsia="宋体" w:cs="Times New Roman"/>
          <w:sz w:val="24"/>
        </w:rPr>
      </w:pPr>
      <w:r>
        <w:rPr>
          <w:rFonts w:ascii="Times New Roman" w:hAnsi="宋体" w:eastAsia="宋体" w:cs="Times New Roman"/>
          <w:sz w:val="24"/>
        </w:rPr>
        <w:t>拟建公路对沿线涉及的</w:t>
      </w:r>
      <w:r>
        <w:rPr>
          <w:rFonts w:hint="eastAsia" w:ascii="Times New Roman" w:hAnsi="Times New Roman" w:eastAsia="宋体" w:cs="Times New Roman"/>
          <w:sz w:val="24"/>
        </w:rPr>
        <w:t>1处技校、3</w:t>
      </w:r>
      <w:r>
        <w:rPr>
          <w:rFonts w:ascii="Times New Roman" w:hAnsi="Times New Roman" w:eastAsia="宋体" w:cs="Times New Roman"/>
          <w:sz w:val="24"/>
        </w:rPr>
        <w:t>处小学</w:t>
      </w:r>
      <w:r>
        <w:rPr>
          <w:rFonts w:hint="eastAsia" w:ascii="Times New Roman" w:hAnsi="Times New Roman" w:eastAsia="宋体" w:cs="Times New Roman"/>
          <w:sz w:val="24"/>
        </w:rPr>
        <w:t>、2</w:t>
      </w:r>
      <w:r>
        <w:rPr>
          <w:rFonts w:ascii="Times New Roman" w:hAnsi="Times New Roman" w:eastAsia="宋体" w:cs="Times New Roman"/>
          <w:sz w:val="24"/>
        </w:rPr>
        <w:t>处幼儿园</w:t>
      </w:r>
      <w:r>
        <w:rPr>
          <w:rFonts w:hint="eastAsia" w:ascii="Times New Roman" w:hAnsi="Times New Roman" w:eastAsia="宋体" w:cs="Times New Roman"/>
          <w:sz w:val="24"/>
        </w:rPr>
        <w:t>和1处卫生院</w:t>
      </w:r>
      <w:r>
        <w:rPr>
          <w:rFonts w:ascii="Times New Roman" w:hAnsi="宋体" w:eastAsia="宋体" w:cs="Times New Roman"/>
          <w:sz w:val="24"/>
        </w:rPr>
        <w:t>均开展了环境现状监测；同时结合拟建公路沿线所经区域均为乡村地区，沿线主要噪声源主要为现有交通噪声和</w:t>
      </w:r>
      <w:r>
        <w:rPr>
          <w:rFonts w:hint="eastAsia" w:ascii="Times New Roman" w:hAnsi="宋体" w:eastAsia="宋体" w:cs="Times New Roman"/>
          <w:sz w:val="24"/>
        </w:rPr>
        <w:t>社会</w:t>
      </w:r>
      <w:r>
        <w:rPr>
          <w:rFonts w:ascii="Times New Roman" w:hAnsi="宋体" w:eastAsia="宋体" w:cs="Times New Roman"/>
          <w:sz w:val="24"/>
        </w:rPr>
        <w:t>生活噪声，且交通噪声为影响沿线保护目标的主要污染源，选取了</w:t>
      </w:r>
      <w:r>
        <w:rPr>
          <w:rFonts w:hint="eastAsia" w:ascii="Times New Roman" w:hAnsi="Times New Roman" w:eastAsia="宋体" w:cs="Times New Roman"/>
          <w:sz w:val="24"/>
        </w:rPr>
        <w:t>13</w:t>
      </w:r>
      <w:r>
        <w:rPr>
          <w:rFonts w:ascii="Times New Roman" w:hAnsi="宋体" w:eastAsia="宋体" w:cs="Times New Roman"/>
          <w:sz w:val="24"/>
        </w:rPr>
        <w:t>处代表性的居民点保护目标进行了环境现状监测，沿线保护目标监测点位见表</w:t>
      </w:r>
      <w:r>
        <w:rPr>
          <w:rFonts w:ascii="Times New Roman" w:hAnsi="Times New Roman" w:eastAsia="宋体" w:cs="Times New Roman"/>
          <w:sz w:val="24"/>
        </w:rPr>
        <w:t>3.</w:t>
      </w:r>
      <w:r>
        <w:rPr>
          <w:rFonts w:hint="eastAsia" w:ascii="Times New Roman" w:hAnsi="Times New Roman" w:eastAsia="宋体" w:cs="Times New Roman"/>
          <w:sz w:val="24"/>
        </w:rPr>
        <w:t>2</w:t>
      </w:r>
      <w:r>
        <w:rPr>
          <w:rFonts w:ascii="Times New Roman" w:hAnsi="Times New Roman" w:eastAsia="宋体" w:cs="Times New Roman"/>
          <w:sz w:val="24"/>
        </w:rPr>
        <w:t>-1</w:t>
      </w:r>
      <w:r>
        <w:rPr>
          <w:rFonts w:ascii="Times New Roman" w:hAnsi="宋体" w:eastAsia="宋体" w:cs="Times New Roman"/>
          <w:sz w:val="24"/>
        </w:rPr>
        <w:t>。</w:t>
      </w:r>
    </w:p>
    <w:p w14:paraId="73F45125">
      <w:pPr>
        <w:spacing w:line="300" w:lineRule="auto"/>
        <w:ind w:firstLine="480" w:firstLineChars="200"/>
        <w:rPr>
          <w:rFonts w:ascii="Times New Roman" w:hAnsi="Times New Roman" w:eastAsia="宋体" w:cs="Times New Roman"/>
          <w:sz w:val="24"/>
        </w:rPr>
      </w:pPr>
      <w:r>
        <w:rPr>
          <w:rFonts w:ascii="Times New Roman" w:hAnsi="宋体" w:eastAsia="宋体" w:cs="Times New Roman"/>
          <w:sz w:val="24"/>
        </w:rPr>
        <w:t>②</w:t>
      </w:r>
      <w:r>
        <w:rPr>
          <w:rFonts w:ascii="Times New Roman" w:hAnsi="Times New Roman" w:eastAsia="宋体" w:cs="Times New Roman"/>
          <w:sz w:val="24"/>
        </w:rPr>
        <w:t xml:space="preserve"> </w:t>
      </w:r>
      <w:r>
        <w:rPr>
          <w:rFonts w:ascii="Times New Roman" w:hAnsi="宋体" w:eastAsia="宋体" w:cs="Times New Roman"/>
          <w:sz w:val="24"/>
        </w:rPr>
        <w:t>交通噪声断面监测布点</w:t>
      </w:r>
    </w:p>
    <w:p w14:paraId="366A2B0C">
      <w:pPr>
        <w:spacing w:line="300" w:lineRule="auto"/>
        <w:ind w:firstLine="480" w:firstLineChars="200"/>
        <w:rPr>
          <w:rFonts w:ascii="Times New Roman" w:hAnsi="Times New Roman" w:eastAsia="宋体" w:cs="Times New Roman"/>
          <w:sz w:val="24"/>
        </w:rPr>
      </w:pPr>
      <w:r>
        <w:rPr>
          <w:rFonts w:ascii="Times New Roman" w:hAnsi="宋体" w:eastAsia="宋体" w:cs="Times New Roman"/>
          <w:sz w:val="24"/>
        </w:rPr>
        <w:t>为充分了解区域现有交通干线交通噪声随距离衰减情况，选取现有</w:t>
      </w:r>
      <w:r>
        <w:rPr>
          <w:rFonts w:hint="eastAsia" w:ascii="Times New Roman" w:hAnsi="Times New Roman" w:eastAsia="宋体" w:cs="Times New Roman"/>
          <w:sz w:val="24"/>
        </w:rPr>
        <w:t>G219</w:t>
      </w:r>
      <w:r>
        <w:rPr>
          <w:rFonts w:ascii="Times New Roman" w:hAnsi="宋体" w:eastAsia="宋体" w:cs="Times New Roman"/>
          <w:sz w:val="24"/>
        </w:rPr>
        <w:t>布设了交通噪声断面监测点位，具体见表</w:t>
      </w:r>
      <w:r>
        <w:rPr>
          <w:rFonts w:ascii="Times New Roman" w:hAnsi="Times New Roman" w:eastAsia="宋体" w:cs="Times New Roman"/>
          <w:sz w:val="24"/>
        </w:rPr>
        <w:t>3.</w:t>
      </w:r>
      <w:r>
        <w:rPr>
          <w:rFonts w:hint="eastAsia" w:ascii="Times New Roman" w:hAnsi="Times New Roman" w:eastAsia="宋体" w:cs="Times New Roman"/>
          <w:sz w:val="24"/>
        </w:rPr>
        <w:t>2</w:t>
      </w:r>
      <w:r>
        <w:rPr>
          <w:rFonts w:ascii="Times New Roman" w:hAnsi="Times New Roman" w:eastAsia="宋体" w:cs="Times New Roman"/>
          <w:sz w:val="24"/>
        </w:rPr>
        <w:t>-2</w:t>
      </w:r>
      <w:r>
        <w:rPr>
          <w:rFonts w:ascii="Times New Roman" w:hAnsi="宋体" w:eastAsia="宋体" w:cs="Times New Roman"/>
          <w:sz w:val="24"/>
        </w:rPr>
        <w:t>。</w:t>
      </w:r>
    </w:p>
    <w:p w14:paraId="159E57B6">
      <w:pPr>
        <w:widowControl/>
        <w:spacing w:beforeLines="50"/>
        <w:jc w:val="center"/>
        <w:rPr>
          <w:rFonts w:ascii="Times New Roman" w:hAnsi="Times New Roman" w:eastAsia="宋体" w:cs="Times New Roman"/>
          <w:b/>
        </w:rPr>
      </w:pPr>
      <w:r>
        <w:rPr>
          <w:rFonts w:ascii="Times New Roman" w:hAnsi="Times New Roman" w:eastAsia="宋体" w:cs="Times New Roman"/>
          <w:b/>
          <w:szCs w:val="21"/>
        </w:rPr>
        <w:t xml:space="preserve">表3.2-1  </w:t>
      </w:r>
      <w:r>
        <w:rPr>
          <w:rFonts w:ascii="Times New Roman" w:hAnsi="Times New Roman" w:eastAsia="宋体" w:cs="Times New Roman"/>
          <w:b/>
        </w:rPr>
        <w:t>声环境现状监测点位</w:t>
      </w:r>
    </w:p>
    <w:tbl>
      <w:tblPr>
        <w:tblStyle w:val="22"/>
        <w:tblW w:w="8852" w:type="dxa"/>
        <w:jc w:val="center"/>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fixed"/>
        <w:tblCellMar>
          <w:top w:w="0" w:type="dxa"/>
          <w:left w:w="28" w:type="dxa"/>
          <w:bottom w:w="0" w:type="dxa"/>
          <w:right w:w="28" w:type="dxa"/>
        </w:tblCellMar>
      </w:tblPr>
      <w:tblGrid>
        <w:gridCol w:w="267"/>
        <w:gridCol w:w="1325"/>
        <w:gridCol w:w="1134"/>
        <w:gridCol w:w="567"/>
        <w:gridCol w:w="709"/>
        <w:gridCol w:w="567"/>
        <w:gridCol w:w="4283"/>
      </w:tblGrid>
      <w:tr w14:paraId="5FE956AD">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cantSplit/>
          <w:tblHeader/>
          <w:jc w:val="center"/>
        </w:trPr>
        <w:tc>
          <w:tcPr>
            <w:tcW w:w="267" w:type="dxa"/>
            <w:shd w:val="clear" w:color="auto" w:fill="auto"/>
            <w:vAlign w:val="center"/>
          </w:tcPr>
          <w:p w14:paraId="4E674FC0">
            <w:pPr>
              <w:jc w:val="center"/>
              <w:rPr>
                <w:rFonts w:ascii="Times New Roman" w:hAnsi="Times New Roman" w:eastAsia="宋体" w:cs="Times New Roman"/>
                <w:b/>
                <w:szCs w:val="21"/>
              </w:rPr>
            </w:pPr>
            <w:r>
              <w:rPr>
                <w:rFonts w:ascii="Times New Roman" w:hAnsi="Times New Roman" w:eastAsia="宋体" w:cs="Times New Roman"/>
                <w:b/>
                <w:szCs w:val="21"/>
              </w:rPr>
              <w:t>序号</w:t>
            </w:r>
          </w:p>
        </w:tc>
        <w:tc>
          <w:tcPr>
            <w:tcW w:w="1325" w:type="dxa"/>
            <w:shd w:val="clear" w:color="auto" w:fill="auto"/>
            <w:vAlign w:val="center"/>
          </w:tcPr>
          <w:p w14:paraId="03708AE3">
            <w:pPr>
              <w:jc w:val="center"/>
              <w:rPr>
                <w:rFonts w:ascii="Times New Roman" w:hAnsi="Times New Roman" w:eastAsia="宋体" w:cs="Times New Roman"/>
                <w:b/>
                <w:szCs w:val="21"/>
              </w:rPr>
            </w:pPr>
            <w:r>
              <w:rPr>
                <w:rFonts w:ascii="Times New Roman" w:hAnsi="Times New Roman" w:eastAsia="宋体" w:cs="Times New Roman"/>
                <w:b/>
                <w:szCs w:val="21"/>
              </w:rPr>
              <w:t>敏感点桩号</w:t>
            </w:r>
          </w:p>
        </w:tc>
        <w:tc>
          <w:tcPr>
            <w:tcW w:w="1134" w:type="dxa"/>
            <w:shd w:val="clear" w:color="auto" w:fill="auto"/>
            <w:vAlign w:val="center"/>
          </w:tcPr>
          <w:p w14:paraId="54E1FB33">
            <w:pPr>
              <w:jc w:val="center"/>
              <w:rPr>
                <w:rFonts w:ascii="Times New Roman" w:hAnsi="Times New Roman" w:eastAsia="宋体" w:cs="Times New Roman"/>
                <w:b/>
                <w:szCs w:val="21"/>
              </w:rPr>
            </w:pPr>
            <w:r>
              <w:rPr>
                <w:rFonts w:ascii="Times New Roman" w:hAnsi="Times New Roman" w:eastAsia="宋体" w:cs="Times New Roman"/>
                <w:b/>
                <w:szCs w:val="21"/>
              </w:rPr>
              <w:t>监测点位</w:t>
            </w:r>
          </w:p>
        </w:tc>
        <w:tc>
          <w:tcPr>
            <w:tcW w:w="567" w:type="dxa"/>
            <w:shd w:val="clear" w:color="auto" w:fill="auto"/>
            <w:vAlign w:val="center"/>
          </w:tcPr>
          <w:p w14:paraId="4DB124E4">
            <w:pPr>
              <w:jc w:val="center"/>
              <w:rPr>
                <w:rFonts w:ascii="Times New Roman" w:hAnsi="Times New Roman" w:eastAsia="宋体" w:cs="Times New Roman"/>
                <w:b/>
                <w:szCs w:val="21"/>
              </w:rPr>
            </w:pPr>
            <w:r>
              <w:rPr>
                <w:rFonts w:ascii="Times New Roman" w:hAnsi="Times New Roman" w:eastAsia="宋体" w:cs="Times New Roman"/>
                <w:b/>
                <w:szCs w:val="21"/>
              </w:rPr>
              <w:t>方位</w:t>
            </w:r>
          </w:p>
        </w:tc>
        <w:tc>
          <w:tcPr>
            <w:tcW w:w="709" w:type="dxa"/>
            <w:shd w:val="clear" w:color="auto" w:fill="auto"/>
            <w:vAlign w:val="center"/>
          </w:tcPr>
          <w:p w14:paraId="6D4F64A5">
            <w:pPr>
              <w:jc w:val="center"/>
              <w:rPr>
                <w:rFonts w:ascii="Times New Roman" w:hAnsi="Times New Roman" w:eastAsia="宋体" w:cs="Times New Roman"/>
                <w:b/>
                <w:szCs w:val="21"/>
              </w:rPr>
            </w:pPr>
            <w:r>
              <w:rPr>
                <w:rFonts w:ascii="Times New Roman" w:hAnsi="Times New Roman" w:eastAsia="宋体" w:cs="Times New Roman"/>
                <w:b/>
                <w:szCs w:val="21"/>
              </w:rPr>
              <w:t>测点</w:t>
            </w:r>
          </w:p>
          <w:p w14:paraId="3A52553D">
            <w:pPr>
              <w:jc w:val="center"/>
              <w:rPr>
                <w:rFonts w:ascii="Times New Roman" w:hAnsi="Times New Roman" w:eastAsia="宋体" w:cs="Times New Roman"/>
                <w:b/>
                <w:szCs w:val="21"/>
              </w:rPr>
            </w:pPr>
            <w:r>
              <w:rPr>
                <w:rFonts w:ascii="Times New Roman" w:hAnsi="Times New Roman" w:eastAsia="宋体" w:cs="Times New Roman"/>
                <w:b/>
                <w:szCs w:val="21"/>
              </w:rPr>
              <w:t>类型</w:t>
            </w:r>
          </w:p>
        </w:tc>
        <w:tc>
          <w:tcPr>
            <w:tcW w:w="567" w:type="dxa"/>
            <w:shd w:val="clear" w:color="auto" w:fill="auto"/>
            <w:vAlign w:val="center"/>
          </w:tcPr>
          <w:p w14:paraId="4CCBF96B">
            <w:pPr>
              <w:jc w:val="center"/>
              <w:rPr>
                <w:rFonts w:ascii="Times New Roman" w:hAnsi="Times New Roman" w:eastAsia="宋体" w:cs="Times New Roman"/>
                <w:b/>
                <w:szCs w:val="21"/>
              </w:rPr>
            </w:pPr>
            <w:r>
              <w:rPr>
                <w:rFonts w:ascii="Times New Roman" w:hAnsi="Times New Roman" w:eastAsia="宋体" w:cs="Times New Roman"/>
                <w:b/>
                <w:szCs w:val="21"/>
              </w:rPr>
              <w:t>噪声类型</w:t>
            </w:r>
          </w:p>
        </w:tc>
        <w:tc>
          <w:tcPr>
            <w:tcW w:w="4283" w:type="dxa"/>
            <w:shd w:val="clear" w:color="auto" w:fill="auto"/>
            <w:vAlign w:val="center"/>
          </w:tcPr>
          <w:p w14:paraId="2B3BFAB6">
            <w:pPr>
              <w:jc w:val="center"/>
              <w:rPr>
                <w:rFonts w:ascii="Times New Roman" w:hAnsi="Times New Roman" w:eastAsia="宋体" w:cs="Times New Roman"/>
                <w:b/>
                <w:szCs w:val="21"/>
              </w:rPr>
            </w:pPr>
            <w:r>
              <w:rPr>
                <w:rFonts w:ascii="Times New Roman" w:hAnsi="Times New Roman" w:eastAsia="宋体" w:cs="Times New Roman"/>
                <w:b/>
                <w:szCs w:val="21"/>
              </w:rPr>
              <w:t>布点位置</w:t>
            </w:r>
          </w:p>
        </w:tc>
      </w:tr>
      <w:tr w14:paraId="0D869356">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267" w:type="dxa"/>
            <w:shd w:val="clear" w:color="auto" w:fill="auto"/>
            <w:vAlign w:val="center"/>
          </w:tcPr>
          <w:p w14:paraId="78A5BECE">
            <w:pPr>
              <w:widowControl/>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1</w:t>
            </w:r>
          </w:p>
        </w:tc>
        <w:tc>
          <w:tcPr>
            <w:tcW w:w="1325" w:type="dxa"/>
            <w:shd w:val="clear" w:color="auto" w:fill="auto"/>
            <w:vAlign w:val="center"/>
          </w:tcPr>
          <w:p w14:paraId="0FAC5209">
            <w:pPr>
              <w:jc w:val="center"/>
              <w:rPr>
                <w:rFonts w:ascii="Times New Roman" w:hAnsi="Times New Roman" w:cs="Times New Roman" w:eastAsiaTheme="minorEastAsia"/>
              </w:rPr>
            </w:pPr>
            <w:r>
              <w:rPr>
                <w:rFonts w:ascii="Times New Roman" w:hAnsi="Times New Roman" w:cs="Times New Roman" w:eastAsiaTheme="minorEastAsia"/>
              </w:rPr>
              <w:t>K</w:t>
            </w:r>
            <w:r>
              <w:rPr>
                <w:rFonts w:hint="eastAsia" w:ascii="Times New Roman" w:hAnsi="Times New Roman" w:cs="Times New Roman" w:eastAsiaTheme="minorEastAsia"/>
              </w:rPr>
              <w:t>7</w:t>
            </w:r>
            <w:r>
              <w:rPr>
                <w:rFonts w:ascii="Times New Roman" w:hAnsi="Times New Roman" w:cs="Times New Roman" w:eastAsiaTheme="minorEastAsia"/>
              </w:rPr>
              <w:t>+</w:t>
            </w:r>
            <w:r>
              <w:rPr>
                <w:rFonts w:hint="eastAsia" w:ascii="Times New Roman" w:hAnsi="Times New Roman" w:cs="Times New Roman" w:eastAsiaTheme="minorEastAsia"/>
              </w:rPr>
              <w:t>50</w:t>
            </w:r>
            <w:r>
              <w:rPr>
                <w:rFonts w:ascii="Times New Roman" w:hAnsi="Times New Roman" w:cs="Times New Roman" w:eastAsiaTheme="minorEastAsia"/>
              </w:rPr>
              <w:t>0</w:t>
            </w:r>
          </w:p>
        </w:tc>
        <w:tc>
          <w:tcPr>
            <w:tcW w:w="1134" w:type="dxa"/>
            <w:shd w:val="clear" w:color="auto" w:fill="auto"/>
            <w:vAlign w:val="center"/>
          </w:tcPr>
          <w:p w14:paraId="34820406">
            <w:pPr>
              <w:jc w:val="center"/>
              <w:rPr>
                <w:rFonts w:ascii="Times New Roman" w:hAnsi="Times New Roman" w:cs="Times New Roman" w:eastAsiaTheme="minorEastAsia"/>
              </w:rPr>
            </w:pPr>
            <w:r>
              <w:rPr>
                <w:rFonts w:hint="eastAsia" w:ascii="Times New Roman" w:cs="Times New Roman" w:hAnsiTheme="minorEastAsia" w:eastAsiaTheme="minorEastAsia"/>
              </w:rPr>
              <w:t>格达良乡</w:t>
            </w:r>
            <w:r>
              <w:rPr>
                <w:rFonts w:ascii="Times New Roman" w:cs="Times New Roman" w:hAnsiTheme="minorEastAsia" w:eastAsiaTheme="minorEastAsia"/>
              </w:rPr>
              <w:t>卫生院</w:t>
            </w:r>
          </w:p>
        </w:tc>
        <w:tc>
          <w:tcPr>
            <w:tcW w:w="567" w:type="dxa"/>
            <w:shd w:val="clear" w:color="auto" w:fill="auto"/>
            <w:vAlign w:val="center"/>
          </w:tcPr>
          <w:p w14:paraId="7199A5C8">
            <w:pPr>
              <w:widowControl/>
              <w:jc w:val="center"/>
              <w:rPr>
                <w:rFonts w:ascii="Times New Roman" w:hAnsi="Times New Roman" w:eastAsia="宋体" w:cs="Times New Roman"/>
                <w:kern w:val="0"/>
                <w:szCs w:val="21"/>
              </w:rPr>
            </w:pPr>
            <w:r>
              <w:rPr>
                <w:rFonts w:hint="eastAsia" w:ascii="Times New Roman" w:hAnsi="Times New Roman" w:eastAsia="宋体" w:cs="Times New Roman"/>
                <w:szCs w:val="21"/>
              </w:rPr>
              <w:t>路</w:t>
            </w:r>
            <w:r>
              <w:rPr>
                <w:rFonts w:hint="eastAsia" w:ascii="Times New Roman" w:hAnsi="Times New Roman" w:eastAsia="宋体" w:cs="Times New Roman"/>
                <w:kern w:val="0"/>
                <w:szCs w:val="21"/>
              </w:rPr>
              <w:t>左</w:t>
            </w:r>
          </w:p>
        </w:tc>
        <w:tc>
          <w:tcPr>
            <w:tcW w:w="709" w:type="dxa"/>
            <w:shd w:val="clear" w:color="auto" w:fill="auto"/>
            <w:vAlign w:val="center"/>
          </w:tcPr>
          <w:p w14:paraId="22439AFF">
            <w:pPr>
              <w:widowControl/>
              <w:jc w:val="center"/>
              <w:rPr>
                <w:rFonts w:ascii="Times New Roman" w:hAnsi="Times New Roman" w:eastAsia="宋体" w:cs="Times New Roman"/>
                <w:kern w:val="0"/>
                <w:szCs w:val="21"/>
              </w:rPr>
            </w:pPr>
            <w:r>
              <w:rPr>
                <w:rFonts w:hint="eastAsia" w:ascii="Times New Roman" w:hAnsi="Times New Roman" w:eastAsia="宋体" w:cs="Times New Roman"/>
                <w:szCs w:val="21"/>
              </w:rPr>
              <w:t>医院</w:t>
            </w:r>
          </w:p>
        </w:tc>
        <w:tc>
          <w:tcPr>
            <w:tcW w:w="567" w:type="dxa"/>
            <w:shd w:val="clear" w:color="auto" w:fill="auto"/>
            <w:vAlign w:val="center"/>
          </w:tcPr>
          <w:p w14:paraId="65AB5B6B">
            <w:pPr>
              <w:jc w:val="center"/>
              <w:rPr>
                <w:rFonts w:ascii="Times New Roman" w:hAnsi="Times New Roman" w:eastAsia="宋体" w:cs="Times New Roman"/>
                <w:szCs w:val="21"/>
              </w:rPr>
            </w:pPr>
            <w:r>
              <w:rPr>
                <w:rFonts w:ascii="Times New Roman" w:hAnsi="Times New Roman" w:eastAsia="宋体" w:cs="Times New Roman"/>
                <w:kern w:val="0"/>
                <w:szCs w:val="21"/>
              </w:rPr>
              <w:t>环境噪声</w:t>
            </w:r>
          </w:p>
        </w:tc>
        <w:tc>
          <w:tcPr>
            <w:tcW w:w="4283" w:type="dxa"/>
            <w:shd w:val="clear" w:color="auto" w:fill="auto"/>
            <w:vAlign w:val="center"/>
          </w:tcPr>
          <w:p w14:paraId="351C3695">
            <w:pPr>
              <w:jc w:val="left"/>
              <w:rPr>
                <w:rFonts w:ascii="Times New Roman" w:hAnsi="Times New Roman" w:eastAsia="宋体" w:cs="Times New Roman"/>
                <w:szCs w:val="21"/>
              </w:rPr>
            </w:pPr>
            <w:r>
              <w:rPr>
                <w:rFonts w:ascii="Times New Roman" w:hAnsi="Times New Roman" w:eastAsia="宋体" w:cs="Times New Roman"/>
                <w:szCs w:val="21"/>
              </w:rPr>
              <w:t>临现有G</w:t>
            </w:r>
            <w:r>
              <w:rPr>
                <w:rFonts w:hint="eastAsia" w:ascii="Times New Roman" w:hAnsi="Times New Roman" w:eastAsia="宋体" w:cs="Times New Roman"/>
                <w:szCs w:val="21"/>
              </w:rPr>
              <w:t>219</w:t>
            </w:r>
            <w:r>
              <w:rPr>
                <w:rFonts w:ascii="Times New Roman" w:hAnsi="Times New Roman" w:eastAsia="宋体" w:cs="Times New Roman"/>
                <w:kern w:val="0"/>
                <w:szCs w:val="21"/>
              </w:rPr>
              <w:t>公路</w:t>
            </w:r>
            <w:r>
              <w:rPr>
                <w:rFonts w:ascii="Times New Roman" w:hAnsi="Times New Roman" w:eastAsia="宋体" w:cs="Times New Roman"/>
                <w:szCs w:val="21"/>
              </w:rPr>
              <w:t>第一排</w:t>
            </w:r>
            <w:r>
              <w:rPr>
                <w:rFonts w:hint="eastAsia" w:ascii="Times New Roman" w:hAnsi="Times New Roman" w:eastAsia="宋体" w:cs="Times New Roman"/>
                <w:szCs w:val="21"/>
              </w:rPr>
              <w:t>住院楼1、3</w:t>
            </w:r>
            <w:r>
              <w:rPr>
                <w:rFonts w:ascii="Times New Roman" w:hAnsi="Times New Roman" w:eastAsia="宋体" w:cs="Times New Roman"/>
                <w:szCs w:val="21"/>
              </w:rPr>
              <w:t>层窗前1m，高</w:t>
            </w:r>
            <w:r>
              <w:rPr>
                <w:rFonts w:hint="eastAsia" w:ascii="Times New Roman" w:hAnsi="Times New Roman" w:eastAsia="宋体" w:cs="Times New Roman"/>
                <w:szCs w:val="21"/>
              </w:rPr>
              <w:t>1</w:t>
            </w:r>
            <w:r>
              <w:rPr>
                <w:rFonts w:ascii="Times New Roman" w:hAnsi="Times New Roman" w:eastAsia="宋体" w:cs="Times New Roman"/>
                <w:szCs w:val="21"/>
              </w:rPr>
              <w:t>.2m</w:t>
            </w:r>
            <w:r>
              <w:rPr>
                <w:rFonts w:hint="eastAsia" w:ascii="Times New Roman" w:hAnsi="Times New Roman" w:eastAsia="宋体" w:cs="Times New Roman"/>
                <w:szCs w:val="21"/>
              </w:rPr>
              <w:t>、7</w:t>
            </w:r>
            <w:r>
              <w:rPr>
                <w:rFonts w:ascii="Times New Roman" w:hAnsi="Times New Roman" w:eastAsia="宋体" w:cs="Times New Roman"/>
                <w:szCs w:val="21"/>
              </w:rPr>
              <w:t>.2</w:t>
            </w:r>
            <w:r>
              <w:rPr>
                <w:rFonts w:hint="eastAsia" w:ascii="Times New Roman" w:hAnsi="Times New Roman" w:eastAsia="宋体" w:cs="Times New Roman"/>
                <w:szCs w:val="21"/>
              </w:rPr>
              <w:t>m，</w:t>
            </w:r>
            <w:r>
              <w:rPr>
                <w:rFonts w:ascii="Times New Roman" w:hAnsi="Times New Roman" w:eastAsia="宋体" w:cs="Times New Roman"/>
                <w:szCs w:val="21"/>
              </w:rPr>
              <w:t>同步监测，并按大、中、小型车，记录现有G</w:t>
            </w:r>
            <w:r>
              <w:rPr>
                <w:rFonts w:hint="eastAsia" w:ascii="Times New Roman" w:hAnsi="Times New Roman" w:eastAsia="宋体" w:cs="Times New Roman"/>
                <w:szCs w:val="21"/>
              </w:rPr>
              <w:t>219</w:t>
            </w:r>
            <w:r>
              <w:rPr>
                <w:rFonts w:ascii="Times New Roman" w:hAnsi="Times New Roman" w:eastAsia="宋体" w:cs="Times New Roman"/>
                <w:szCs w:val="21"/>
              </w:rPr>
              <w:t>公路交通量。</w:t>
            </w:r>
          </w:p>
        </w:tc>
      </w:tr>
      <w:tr w14:paraId="717752C2">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267" w:type="dxa"/>
            <w:shd w:val="clear" w:color="auto" w:fill="auto"/>
            <w:vAlign w:val="center"/>
          </w:tcPr>
          <w:p w14:paraId="22452B7A">
            <w:pPr>
              <w:widowControl/>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2</w:t>
            </w:r>
          </w:p>
        </w:tc>
        <w:tc>
          <w:tcPr>
            <w:tcW w:w="1325" w:type="dxa"/>
            <w:shd w:val="clear" w:color="auto" w:fill="auto"/>
            <w:vAlign w:val="center"/>
          </w:tcPr>
          <w:p w14:paraId="08079D47">
            <w:pPr>
              <w:widowControl/>
              <w:jc w:val="center"/>
              <w:rPr>
                <w:rFonts w:ascii="Times New Roman" w:hAnsi="Times New Roman" w:cs="Times New Roman" w:eastAsiaTheme="minorEastAsia"/>
                <w:kern w:val="0"/>
              </w:rPr>
            </w:pPr>
            <w:r>
              <w:rPr>
                <w:rFonts w:ascii="Times New Roman" w:hAnsi="Times New Roman" w:cs="Times New Roman" w:eastAsiaTheme="minorEastAsia"/>
              </w:rPr>
              <w:t>K</w:t>
            </w:r>
            <w:r>
              <w:rPr>
                <w:rFonts w:hint="eastAsia" w:ascii="Times New Roman" w:hAnsi="Times New Roman" w:cs="Times New Roman" w:eastAsiaTheme="minorEastAsia"/>
              </w:rPr>
              <w:t>8</w:t>
            </w:r>
            <w:r>
              <w:rPr>
                <w:rFonts w:ascii="Times New Roman" w:hAnsi="Times New Roman" w:cs="Times New Roman" w:eastAsiaTheme="minorEastAsia"/>
              </w:rPr>
              <w:t>+</w:t>
            </w:r>
            <w:r>
              <w:rPr>
                <w:rFonts w:hint="eastAsia" w:ascii="Times New Roman" w:hAnsi="Times New Roman" w:cs="Times New Roman" w:eastAsiaTheme="minorEastAsia"/>
              </w:rPr>
              <w:t>38</w:t>
            </w:r>
            <w:r>
              <w:rPr>
                <w:rFonts w:ascii="Times New Roman" w:hAnsi="Times New Roman" w:cs="Times New Roman" w:eastAsiaTheme="minorEastAsia"/>
              </w:rPr>
              <w:t>0</w:t>
            </w:r>
          </w:p>
        </w:tc>
        <w:tc>
          <w:tcPr>
            <w:tcW w:w="1134" w:type="dxa"/>
            <w:shd w:val="clear" w:color="auto" w:fill="auto"/>
            <w:vAlign w:val="center"/>
          </w:tcPr>
          <w:p w14:paraId="5ED3F589">
            <w:pPr>
              <w:widowControl/>
              <w:jc w:val="center"/>
              <w:rPr>
                <w:rFonts w:ascii="Times New Roman" w:hAnsi="Times New Roman" w:cs="Times New Roman" w:eastAsiaTheme="minorEastAsia"/>
                <w:kern w:val="0"/>
              </w:rPr>
            </w:pPr>
            <w:r>
              <w:rPr>
                <w:rFonts w:ascii="Times New Roman" w:hAnsi="Times New Roman" w:cs="Times New Roman" w:eastAsiaTheme="minorEastAsia"/>
                <w:kern w:val="0"/>
              </w:rPr>
              <w:t>格达良乡中心小学</w:t>
            </w:r>
          </w:p>
        </w:tc>
        <w:tc>
          <w:tcPr>
            <w:tcW w:w="567" w:type="dxa"/>
            <w:shd w:val="clear" w:color="auto" w:fill="auto"/>
            <w:vAlign w:val="center"/>
          </w:tcPr>
          <w:p w14:paraId="0ABD7BCF">
            <w:pPr>
              <w:jc w:val="center"/>
              <w:rPr>
                <w:rFonts w:ascii="Times New Roman" w:hAnsi="Times New Roman" w:eastAsia="宋体" w:cs="Times New Roman"/>
                <w:szCs w:val="21"/>
              </w:rPr>
            </w:pPr>
            <w:r>
              <w:rPr>
                <w:rFonts w:hint="eastAsia" w:ascii="Times New Roman" w:hAnsi="Times New Roman" w:eastAsia="宋体" w:cs="Times New Roman"/>
                <w:szCs w:val="21"/>
              </w:rPr>
              <w:t>路右</w:t>
            </w:r>
          </w:p>
        </w:tc>
        <w:tc>
          <w:tcPr>
            <w:tcW w:w="709" w:type="dxa"/>
            <w:shd w:val="clear" w:color="auto" w:fill="auto"/>
            <w:vAlign w:val="center"/>
          </w:tcPr>
          <w:p w14:paraId="15140803">
            <w:pPr>
              <w:jc w:val="center"/>
              <w:rPr>
                <w:rFonts w:ascii="Times New Roman" w:hAnsi="Times New Roman" w:eastAsia="宋体" w:cs="Times New Roman"/>
                <w:szCs w:val="21"/>
              </w:rPr>
            </w:pPr>
            <w:r>
              <w:rPr>
                <w:rFonts w:ascii="Times New Roman" w:hAnsi="Times New Roman" w:eastAsia="宋体" w:cs="Times New Roman"/>
                <w:szCs w:val="21"/>
              </w:rPr>
              <w:t>学校</w:t>
            </w:r>
          </w:p>
        </w:tc>
        <w:tc>
          <w:tcPr>
            <w:tcW w:w="567" w:type="dxa"/>
            <w:shd w:val="clear" w:color="auto" w:fill="auto"/>
            <w:vAlign w:val="center"/>
          </w:tcPr>
          <w:p w14:paraId="17D6D000">
            <w:pPr>
              <w:jc w:val="center"/>
              <w:rPr>
                <w:rFonts w:ascii="Times New Roman" w:hAnsi="Times New Roman" w:eastAsia="宋体" w:cs="Times New Roman"/>
                <w:szCs w:val="21"/>
              </w:rPr>
            </w:pPr>
            <w:r>
              <w:rPr>
                <w:rFonts w:ascii="Times New Roman" w:hAnsi="Times New Roman" w:eastAsia="宋体" w:cs="Times New Roman"/>
                <w:kern w:val="0"/>
                <w:szCs w:val="21"/>
              </w:rPr>
              <w:t>环境噪声</w:t>
            </w:r>
          </w:p>
        </w:tc>
        <w:tc>
          <w:tcPr>
            <w:tcW w:w="4283" w:type="dxa"/>
            <w:shd w:val="clear" w:color="auto" w:fill="auto"/>
            <w:vAlign w:val="center"/>
          </w:tcPr>
          <w:p w14:paraId="31CD108D">
            <w:pPr>
              <w:jc w:val="left"/>
              <w:rPr>
                <w:rFonts w:ascii="Times New Roman" w:hAnsi="Times New Roman" w:eastAsia="宋体" w:cs="Times New Roman"/>
                <w:szCs w:val="21"/>
              </w:rPr>
            </w:pPr>
            <w:r>
              <w:rPr>
                <w:rFonts w:ascii="Times New Roman" w:hAnsi="Times New Roman" w:eastAsia="宋体" w:cs="Times New Roman"/>
                <w:szCs w:val="21"/>
              </w:rPr>
              <w:t>临现有</w:t>
            </w:r>
            <w:r>
              <w:rPr>
                <w:rFonts w:hint="eastAsia" w:ascii="Times New Roman" w:hAnsi="Times New Roman" w:eastAsia="宋体" w:cs="Times New Roman"/>
                <w:szCs w:val="21"/>
              </w:rPr>
              <w:t>G219</w:t>
            </w:r>
            <w:r>
              <w:rPr>
                <w:rFonts w:ascii="Times New Roman" w:hAnsi="Times New Roman" w:eastAsia="宋体" w:cs="Times New Roman"/>
                <w:kern w:val="0"/>
                <w:szCs w:val="21"/>
              </w:rPr>
              <w:t>公路</w:t>
            </w:r>
            <w:r>
              <w:rPr>
                <w:rFonts w:ascii="Times New Roman" w:hAnsi="Times New Roman" w:eastAsia="宋体" w:cs="Times New Roman"/>
                <w:szCs w:val="21"/>
              </w:rPr>
              <w:t>第一排</w:t>
            </w:r>
            <w:r>
              <w:rPr>
                <w:rFonts w:hint="eastAsia" w:ascii="Times New Roman" w:hAnsi="Times New Roman" w:eastAsia="宋体" w:cs="Times New Roman"/>
                <w:szCs w:val="21"/>
              </w:rPr>
              <w:t>教学楼1、3</w:t>
            </w:r>
            <w:r>
              <w:rPr>
                <w:rFonts w:ascii="Times New Roman" w:hAnsi="Times New Roman" w:eastAsia="宋体" w:cs="Times New Roman"/>
                <w:szCs w:val="21"/>
              </w:rPr>
              <w:t>层窗前1m，高</w:t>
            </w:r>
            <w:r>
              <w:rPr>
                <w:rFonts w:hint="eastAsia" w:ascii="Times New Roman" w:hAnsi="Times New Roman" w:eastAsia="宋体" w:cs="Times New Roman"/>
                <w:szCs w:val="21"/>
              </w:rPr>
              <w:t>1</w:t>
            </w:r>
            <w:r>
              <w:rPr>
                <w:rFonts w:ascii="Times New Roman" w:hAnsi="Times New Roman" w:eastAsia="宋体" w:cs="Times New Roman"/>
                <w:szCs w:val="21"/>
              </w:rPr>
              <w:t>.2m</w:t>
            </w:r>
            <w:r>
              <w:rPr>
                <w:rFonts w:hint="eastAsia" w:ascii="Times New Roman" w:hAnsi="Times New Roman" w:eastAsia="宋体" w:cs="Times New Roman"/>
                <w:szCs w:val="21"/>
              </w:rPr>
              <w:t>、7</w:t>
            </w:r>
            <w:r>
              <w:rPr>
                <w:rFonts w:ascii="Times New Roman" w:hAnsi="Times New Roman" w:eastAsia="宋体" w:cs="Times New Roman"/>
                <w:szCs w:val="21"/>
              </w:rPr>
              <w:t>.2</w:t>
            </w:r>
            <w:r>
              <w:rPr>
                <w:rFonts w:hint="eastAsia" w:ascii="Times New Roman" w:hAnsi="Times New Roman" w:eastAsia="宋体" w:cs="Times New Roman"/>
                <w:szCs w:val="21"/>
              </w:rPr>
              <w:t>m，</w:t>
            </w:r>
            <w:r>
              <w:rPr>
                <w:rFonts w:ascii="Times New Roman" w:hAnsi="Times New Roman" w:eastAsia="宋体" w:cs="Times New Roman"/>
                <w:szCs w:val="21"/>
              </w:rPr>
              <w:t>同步监测，并按大、中、小型车，记录现有G</w:t>
            </w:r>
            <w:r>
              <w:rPr>
                <w:rFonts w:hint="eastAsia" w:ascii="Times New Roman" w:hAnsi="Times New Roman" w:eastAsia="宋体" w:cs="Times New Roman"/>
                <w:szCs w:val="21"/>
              </w:rPr>
              <w:t>219</w:t>
            </w:r>
            <w:r>
              <w:rPr>
                <w:rFonts w:ascii="Times New Roman" w:hAnsi="Times New Roman" w:eastAsia="宋体" w:cs="Times New Roman"/>
                <w:szCs w:val="21"/>
              </w:rPr>
              <w:t>公路交通量。</w:t>
            </w:r>
          </w:p>
        </w:tc>
      </w:tr>
      <w:tr w14:paraId="298213D3">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267" w:type="dxa"/>
            <w:vMerge w:val="restart"/>
            <w:shd w:val="clear" w:color="auto" w:fill="auto"/>
            <w:vAlign w:val="center"/>
          </w:tcPr>
          <w:p w14:paraId="5CA84E69">
            <w:pPr>
              <w:widowControl/>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3</w:t>
            </w:r>
          </w:p>
        </w:tc>
        <w:tc>
          <w:tcPr>
            <w:tcW w:w="1325" w:type="dxa"/>
            <w:vMerge w:val="restart"/>
            <w:shd w:val="clear" w:color="auto" w:fill="auto"/>
            <w:vAlign w:val="center"/>
          </w:tcPr>
          <w:p w14:paraId="2918F362">
            <w:pPr>
              <w:jc w:val="center"/>
              <w:rPr>
                <w:rFonts w:ascii="Times New Roman" w:hAnsi="Times New Roman" w:eastAsia="宋体" w:cs="Times New Roman"/>
                <w:szCs w:val="21"/>
              </w:rPr>
            </w:pPr>
            <w:r>
              <w:rPr>
                <w:rFonts w:ascii="Times New Roman" w:hAnsi="Times New Roman" w:cs="Times New Roman" w:eastAsiaTheme="minorEastAsia"/>
              </w:rPr>
              <w:t>K</w:t>
            </w:r>
            <w:r>
              <w:rPr>
                <w:rFonts w:hint="eastAsia" w:ascii="Times New Roman" w:hAnsi="Times New Roman" w:cs="Times New Roman" w:eastAsiaTheme="minorEastAsia"/>
              </w:rPr>
              <w:t>8</w:t>
            </w:r>
            <w:r>
              <w:rPr>
                <w:rFonts w:ascii="Times New Roman" w:hAnsi="Times New Roman" w:cs="Times New Roman" w:eastAsiaTheme="minorEastAsia"/>
              </w:rPr>
              <w:t>+</w:t>
            </w:r>
            <w:r>
              <w:rPr>
                <w:rFonts w:hint="eastAsia" w:ascii="Times New Roman" w:hAnsi="Times New Roman" w:cs="Times New Roman" w:eastAsiaTheme="minorEastAsia"/>
              </w:rPr>
              <w:t>50</w:t>
            </w:r>
            <w:r>
              <w:rPr>
                <w:rFonts w:ascii="Times New Roman" w:hAnsi="Times New Roman" w:cs="Times New Roman" w:eastAsiaTheme="minorEastAsia"/>
              </w:rPr>
              <w:t>0</w:t>
            </w:r>
          </w:p>
        </w:tc>
        <w:tc>
          <w:tcPr>
            <w:tcW w:w="1134" w:type="dxa"/>
            <w:vMerge w:val="restart"/>
            <w:shd w:val="clear" w:color="auto" w:fill="auto"/>
            <w:vAlign w:val="center"/>
          </w:tcPr>
          <w:p w14:paraId="50783F09">
            <w:pPr>
              <w:jc w:val="center"/>
              <w:rPr>
                <w:rFonts w:ascii="Times New Roman" w:hAnsi="Times New Roman" w:eastAsia="宋体" w:cs="Times New Roman"/>
                <w:szCs w:val="21"/>
              </w:rPr>
            </w:pPr>
            <w:r>
              <w:rPr>
                <w:rFonts w:hint="eastAsia" w:ascii="Times New Roman" w:cs="Times New Roman" w:hAnsiTheme="minorEastAsia" w:eastAsiaTheme="minorEastAsia"/>
              </w:rPr>
              <w:t>库尔干村</w:t>
            </w:r>
          </w:p>
        </w:tc>
        <w:tc>
          <w:tcPr>
            <w:tcW w:w="567" w:type="dxa"/>
            <w:vMerge w:val="restart"/>
            <w:shd w:val="clear" w:color="auto" w:fill="auto"/>
            <w:vAlign w:val="center"/>
          </w:tcPr>
          <w:p w14:paraId="3E952E99">
            <w:pPr>
              <w:jc w:val="center"/>
              <w:rPr>
                <w:rFonts w:ascii="Times New Roman" w:hAnsi="Times New Roman" w:eastAsia="宋体" w:cs="Times New Roman"/>
                <w:szCs w:val="21"/>
              </w:rPr>
            </w:pPr>
            <w:r>
              <w:rPr>
                <w:rFonts w:hint="eastAsia" w:ascii="Times New Roman" w:hAnsi="Times New Roman" w:eastAsia="宋体" w:cs="Times New Roman"/>
                <w:szCs w:val="21"/>
              </w:rPr>
              <w:t>路左</w:t>
            </w:r>
          </w:p>
        </w:tc>
        <w:tc>
          <w:tcPr>
            <w:tcW w:w="709" w:type="dxa"/>
            <w:vMerge w:val="restart"/>
            <w:shd w:val="clear" w:color="auto" w:fill="auto"/>
            <w:vAlign w:val="center"/>
          </w:tcPr>
          <w:p w14:paraId="5A886AAD">
            <w:pPr>
              <w:jc w:val="center"/>
              <w:rPr>
                <w:rFonts w:ascii="Times New Roman" w:hAnsi="Times New Roman" w:eastAsia="宋体" w:cs="Times New Roman"/>
                <w:szCs w:val="21"/>
              </w:rPr>
            </w:pPr>
            <w:r>
              <w:rPr>
                <w:rFonts w:ascii="Times New Roman" w:hAnsi="Times New Roman" w:eastAsia="宋体" w:cs="Times New Roman"/>
                <w:szCs w:val="21"/>
              </w:rPr>
              <w:t>居民点</w:t>
            </w:r>
          </w:p>
        </w:tc>
        <w:tc>
          <w:tcPr>
            <w:tcW w:w="567" w:type="dxa"/>
            <w:shd w:val="clear" w:color="auto" w:fill="auto"/>
            <w:vAlign w:val="center"/>
          </w:tcPr>
          <w:p w14:paraId="2384B3FC">
            <w:pPr>
              <w:jc w:val="center"/>
              <w:rPr>
                <w:rFonts w:ascii="Times New Roman" w:hAnsi="Times New Roman" w:eastAsia="宋体" w:cs="Times New Roman"/>
                <w:szCs w:val="21"/>
              </w:rPr>
            </w:pPr>
            <w:r>
              <w:rPr>
                <w:rFonts w:ascii="Times New Roman" w:hAnsi="Times New Roman" w:eastAsia="宋体" w:cs="Times New Roman"/>
                <w:kern w:val="0"/>
                <w:szCs w:val="21"/>
              </w:rPr>
              <w:t>环境噪声</w:t>
            </w:r>
          </w:p>
        </w:tc>
        <w:tc>
          <w:tcPr>
            <w:tcW w:w="4283" w:type="dxa"/>
            <w:shd w:val="clear" w:color="auto" w:fill="auto"/>
            <w:vAlign w:val="center"/>
          </w:tcPr>
          <w:p w14:paraId="7516E5AE">
            <w:pPr>
              <w:jc w:val="left"/>
              <w:rPr>
                <w:rFonts w:ascii="Times New Roman" w:hAnsi="Times New Roman" w:eastAsia="宋体" w:cs="Times New Roman"/>
                <w:szCs w:val="21"/>
              </w:rPr>
            </w:pPr>
            <w:r>
              <w:rPr>
                <w:rFonts w:ascii="Times New Roman" w:hAnsi="Times New Roman" w:eastAsia="宋体" w:cs="Times New Roman"/>
                <w:szCs w:val="21"/>
              </w:rPr>
              <w:t>临现有</w:t>
            </w:r>
            <w:r>
              <w:rPr>
                <w:rFonts w:hint="eastAsia" w:ascii="Times New Roman" w:hAnsi="Times New Roman" w:eastAsia="宋体" w:cs="Times New Roman"/>
                <w:szCs w:val="21"/>
              </w:rPr>
              <w:t>G219</w:t>
            </w:r>
            <w:r>
              <w:rPr>
                <w:rFonts w:ascii="Times New Roman" w:hAnsi="Times New Roman" w:eastAsia="宋体" w:cs="Times New Roman"/>
                <w:kern w:val="0"/>
                <w:szCs w:val="21"/>
              </w:rPr>
              <w:t>公路第一排</w:t>
            </w:r>
            <w:r>
              <w:rPr>
                <w:rFonts w:hint="eastAsia" w:ascii="Times New Roman" w:hAnsi="Times New Roman" w:eastAsia="宋体" w:cs="Times New Roman"/>
                <w:kern w:val="0"/>
                <w:szCs w:val="21"/>
              </w:rPr>
              <w:t>房屋1</w:t>
            </w:r>
            <w:r>
              <w:rPr>
                <w:rFonts w:ascii="Times New Roman" w:hAnsi="Times New Roman" w:eastAsia="宋体" w:cs="Times New Roman"/>
                <w:szCs w:val="21"/>
              </w:rPr>
              <w:t>层窗前1m，高度</w:t>
            </w:r>
            <w:r>
              <w:rPr>
                <w:rFonts w:hint="eastAsia" w:ascii="Times New Roman" w:hAnsi="Times New Roman" w:eastAsia="宋体" w:cs="Times New Roman"/>
                <w:szCs w:val="21"/>
              </w:rPr>
              <w:t>1</w:t>
            </w:r>
            <w:r>
              <w:rPr>
                <w:rFonts w:ascii="Times New Roman" w:hAnsi="Times New Roman" w:eastAsia="宋体" w:cs="Times New Roman"/>
                <w:szCs w:val="21"/>
              </w:rPr>
              <w:t>.2m</w:t>
            </w:r>
            <w:r>
              <w:rPr>
                <w:rFonts w:hint="eastAsia" w:ascii="Times New Roman" w:hAnsi="Times New Roman" w:eastAsia="宋体" w:cs="Times New Roman"/>
                <w:szCs w:val="21"/>
              </w:rPr>
              <w:t>；</w:t>
            </w:r>
            <w:r>
              <w:rPr>
                <w:rFonts w:ascii="Times New Roman" w:hAnsi="Times New Roman" w:eastAsia="宋体" w:cs="Times New Roman"/>
                <w:szCs w:val="21"/>
              </w:rPr>
              <w:t>临现有</w:t>
            </w:r>
            <w:r>
              <w:rPr>
                <w:rFonts w:hint="eastAsia" w:ascii="Times New Roman" w:hAnsi="Times New Roman" w:eastAsia="宋体" w:cs="Times New Roman"/>
                <w:szCs w:val="21"/>
              </w:rPr>
              <w:t>G219</w:t>
            </w:r>
            <w:r>
              <w:rPr>
                <w:rFonts w:ascii="Times New Roman" w:hAnsi="Times New Roman" w:eastAsia="宋体" w:cs="Times New Roman"/>
                <w:szCs w:val="21"/>
              </w:rPr>
              <w:t>公路边界</w:t>
            </w:r>
            <w:r>
              <w:rPr>
                <w:rFonts w:hint="eastAsia" w:ascii="Times New Roman" w:hAnsi="Times New Roman" w:eastAsia="宋体" w:cs="Times New Roman"/>
                <w:szCs w:val="21"/>
              </w:rPr>
              <w:t>35</w:t>
            </w:r>
            <w:r>
              <w:rPr>
                <w:rFonts w:ascii="Times New Roman" w:hAnsi="Times New Roman" w:eastAsia="宋体" w:cs="Times New Roman"/>
                <w:szCs w:val="21"/>
              </w:rPr>
              <w:t>m外第一排房</w:t>
            </w:r>
            <w:r>
              <w:rPr>
                <w:rFonts w:hint="eastAsia" w:ascii="Times New Roman" w:hAnsi="Times New Roman" w:eastAsia="宋体" w:cs="Times New Roman"/>
                <w:szCs w:val="21"/>
              </w:rPr>
              <w:t>1</w:t>
            </w:r>
            <w:r>
              <w:rPr>
                <w:rFonts w:ascii="Times New Roman" w:hAnsi="Times New Roman" w:eastAsia="宋体" w:cs="Times New Roman"/>
                <w:szCs w:val="21"/>
              </w:rPr>
              <w:t>层窗前1m，高度</w:t>
            </w:r>
            <w:r>
              <w:rPr>
                <w:rFonts w:hint="eastAsia" w:ascii="Times New Roman" w:hAnsi="Times New Roman" w:eastAsia="宋体" w:cs="Times New Roman"/>
                <w:szCs w:val="21"/>
              </w:rPr>
              <w:t>1</w:t>
            </w:r>
            <w:r>
              <w:rPr>
                <w:rFonts w:ascii="Times New Roman" w:hAnsi="Times New Roman" w:eastAsia="宋体" w:cs="Times New Roman"/>
                <w:szCs w:val="21"/>
              </w:rPr>
              <w:t>.2m；同步监测，并按大、中、小型车，记录现有</w:t>
            </w:r>
            <w:r>
              <w:rPr>
                <w:rFonts w:hint="eastAsia" w:ascii="Times New Roman" w:hAnsi="Times New Roman" w:eastAsia="宋体" w:cs="Times New Roman"/>
                <w:szCs w:val="21"/>
              </w:rPr>
              <w:t>G219</w:t>
            </w:r>
            <w:r>
              <w:rPr>
                <w:rFonts w:ascii="Times New Roman" w:hAnsi="Times New Roman" w:eastAsia="宋体" w:cs="Times New Roman"/>
                <w:szCs w:val="21"/>
              </w:rPr>
              <w:t>公路交通量。</w:t>
            </w:r>
          </w:p>
        </w:tc>
      </w:tr>
      <w:tr w14:paraId="67B27364">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267" w:type="dxa"/>
            <w:vMerge w:val="continue"/>
            <w:shd w:val="clear" w:color="auto" w:fill="auto"/>
            <w:vAlign w:val="center"/>
          </w:tcPr>
          <w:p w14:paraId="422BC5A1">
            <w:pPr>
              <w:widowControl/>
              <w:jc w:val="center"/>
              <w:rPr>
                <w:rFonts w:ascii="Times New Roman" w:hAnsi="Times New Roman" w:eastAsia="宋体" w:cs="Times New Roman"/>
                <w:kern w:val="0"/>
                <w:szCs w:val="21"/>
              </w:rPr>
            </w:pPr>
          </w:p>
        </w:tc>
        <w:tc>
          <w:tcPr>
            <w:tcW w:w="1325" w:type="dxa"/>
            <w:vMerge w:val="continue"/>
            <w:shd w:val="clear" w:color="auto" w:fill="auto"/>
            <w:vAlign w:val="center"/>
          </w:tcPr>
          <w:p w14:paraId="04B8B77C">
            <w:pPr>
              <w:jc w:val="center"/>
              <w:rPr>
                <w:rFonts w:ascii="Times New Roman" w:hAnsi="Times New Roman" w:eastAsia="宋体" w:cs="Times New Roman"/>
                <w:szCs w:val="21"/>
              </w:rPr>
            </w:pPr>
          </w:p>
        </w:tc>
        <w:tc>
          <w:tcPr>
            <w:tcW w:w="1134" w:type="dxa"/>
            <w:vMerge w:val="continue"/>
            <w:shd w:val="clear" w:color="auto" w:fill="auto"/>
            <w:vAlign w:val="center"/>
          </w:tcPr>
          <w:p w14:paraId="679DE1A6">
            <w:pPr>
              <w:jc w:val="center"/>
              <w:rPr>
                <w:rFonts w:ascii="Times New Roman" w:hAnsi="Times New Roman" w:eastAsia="宋体" w:cs="Times New Roman"/>
                <w:szCs w:val="21"/>
              </w:rPr>
            </w:pPr>
          </w:p>
        </w:tc>
        <w:tc>
          <w:tcPr>
            <w:tcW w:w="567" w:type="dxa"/>
            <w:vMerge w:val="continue"/>
            <w:shd w:val="clear" w:color="auto" w:fill="auto"/>
            <w:vAlign w:val="center"/>
          </w:tcPr>
          <w:p w14:paraId="5E41CF5B">
            <w:pPr>
              <w:jc w:val="center"/>
              <w:rPr>
                <w:rFonts w:ascii="Times New Roman" w:hAnsi="Times New Roman" w:eastAsia="宋体" w:cs="Times New Roman"/>
                <w:szCs w:val="21"/>
              </w:rPr>
            </w:pPr>
          </w:p>
        </w:tc>
        <w:tc>
          <w:tcPr>
            <w:tcW w:w="709" w:type="dxa"/>
            <w:vMerge w:val="continue"/>
            <w:shd w:val="clear" w:color="auto" w:fill="auto"/>
            <w:vAlign w:val="center"/>
          </w:tcPr>
          <w:p w14:paraId="65184AD3">
            <w:pPr>
              <w:jc w:val="center"/>
              <w:rPr>
                <w:rFonts w:ascii="Times New Roman" w:hAnsi="Times New Roman" w:eastAsia="宋体" w:cs="Times New Roman"/>
                <w:szCs w:val="21"/>
              </w:rPr>
            </w:pPr>
          </w:p>
        </w:tc>
        <w:tc>
          <w:tcPr>
            <w:tcW w:w="567" w:type="dxa"/>
            <w:shd w:val="clear" w:color="auto" w:fill="auto"/>
            <w:vAlign w:val="center"/>
          </w:tcPr>
          <w:p w14:paraId="06E2D8FA">
            <w:pPr>
              <w:jc w:val="center"/>
              <w:rPr>
                <w:rFonts w:ascii="Times New Roman" w:hAnsi="Times New Roman" w:eastAsia="宋体" w:cs="Times New Roman"/>
                <w:szCs w:val="21"/>
              </w:rPr>
            </w:pPr>
            <w:r>
              <w:rPr>
                <w:rFonts w:ascii="Times New Roman" w:hAnsi="Times New Roman" w:eastAsia="宋体" w:cs="Times New Roman"/>
                <w:szCs w:val="21"/>
              </w:rPr>
              <w:t>背景噪声</w:t>
            </w:r>
          </w:p>
        </w:tc>
        <w:tc>
          <w:tcPr>
            <w:tcW w:w="4283" w:type="dxa"/>
            <w:shd w:val="clear" w:color="auto" w:fill="auto"/>
            <w:vAlign w:val="center"/>
          </w:tcPr>
          <w:p w14:paraId="7652707F">
            <w:pPr>
              <w:jc w:val="left"/>
              <w:rPr>
                <w:rFonts w:ascii="Times New Roman" w:hAnsi="Times New Roman" w:eastAsia="宋体" w:cs="Times New Roman"/>
                <w:szCs w:val="21"/>
              </w:rPr>
            </w:pPr>
            <w:r>
              <w:rPr>
                <w:rFonts w:hint="eastAsia" w:ascii="Times New Roman" w:hAnsi="Times New Roman" w:eastAsia="宋体" w:cs="Times New Roman"/>
                <w:szCs w:val="21"/>
              </w:rPr>
              <w:t>远离现有G219</w:t>
            </w:r>
            <w:r>
              <w:rPr>
                <w:rFonts w:ascii="Times New Roman" w:hAnsi="Times New Roman" w:eastAsia="宋体" w:cs="Times New Roman"/>
                <w:kern w:val="0"/>
                <w:szCs w:val="21"/>
              </w:rPr>
              <w:t>公路200m以外，1层窗前1m，高度1.2m。</w:t>
            </w:r>
          </w:p>
        </w:tc>
      </w:tr>
      <w:tr w14:paraId="11318C65">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267" w:type="dxa"/>
            <w:vMerge w:val="restart"/>
            <w:shd w:val="clear" w:color="auto" w:fill="auto"/>
            <w:vAlign w:val="center"/>
          </w:tcPr>
          <w:p w14:paraId="1F36AB06">
            <w:pPr>
              <w:widowControl/>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4</w:t>
            </w:r>
          </w:p>
        </w:tc>
        <w:tc>
          <w:tcPr>
            <w:tcW w:w="1325" w:type="dxa"/>
            <w:vMerge w:val="restart"/>
            <w:shd w:val="clear" w:color="auto" w:fill="auto"/>
            <w:vAlign w:val="center"/>
          </w:tcPr>
          <w:p w14:paraId="032151FB">
            <w:pPr>
              <w:jc w:val="center"/>
              <w:rPr>
                <w:rFonts w:ascii="Times New Roman" w:hAnsi="Times New Roman" w:cs="Times New Roman" w:eastAsiaTheme="minorEastAsia"/>
              </w:rPr>
            </w:pPr>
            <w:r>
              <w:rPr>
                <w:rFonts w:ascii="Times New Roman" w:hAnsi="Times New Roman" w:cs="Times New Roman" w:eastAsiaTheme="minorEastAsia"/>
              </w:rPr>
              <w:t>K</w:t>
            </w:r>
            <w:r>
              <w:rPr>
                <w:rFonts w:hint="eastAsia" w:ascii="Times New Roman" w:hAnsi="Times New Roman" w:cs="Times New Roman" w:eastAsiaTheme="minorEastAsia"/>
              </w:rPr>
              <w:t>21</w:t>
            </w:r>
            <w:r>
              <w:rPr>
                <w:rFonts w:ascii="Times New Roman" w:hAnsi="Times New Roman" w:cs="Times New Roman" w:eastAsiaTheme="minorEastAsia"/>
              </w:rPr>
              <w:t>+</w:t>
            </w:r>
            <w:r>
              <w:rPr>
                <w:rFonts w:hint="eastAsia" w:ascii="Times New Roman" w:hAnsi="Times New Roman" w:cs="Times New Roman" w:eastAsiaTheme="minorEastAsia"/>
              </w:rPr>
              <w:t>90</w:t>
            </w:r>
            <w:r>
              <w:rPr>
                <w:rFonts w:ascii="Times New Roman" w:hAnsi="Times New Roman" w:cs="Times New Roman" w:eastAsiaTheme="minorEastAsia"/>
              </w:rPr>
              <w:t>0</w:t>
            </w:r>
          </w:p>
        </w:tc>
        <w:tc>
          <w:tcPr>
            <w:tcW w:w="1134" w:type="dxa"/>
            <w:vMerge w:val="restart"/>
            <w:shd w:val="clear" w:color="auto" w:fill="auto"/>
            <w:vAlign w:val="center"/>
          </w:tcPr>
          <w:p w14:paraId="2B57F9C5">
            <w:pPr>
              <w:jc w:val="center"/>
              <w:rPr>
                <w:rFonts w:ascii="Times New Roman" w:hAnsi="Times New Roman" w:cs="Times New Roman" w:eastAsiaTheme="minorEastAsia"/>
              </w:rPr>
            </w:pPr>
            <w:r>
              <w:rPr>
                <w:rFonts w:hint="eastAsia" w:ascii="Times New Roman" w:hAnsi="Times New Roman" w:cs="Times New Roman" w:eastAsiaTheme="minorEastAsia"/>
              </w:rPr>
              <w:t>英兰干村</w:t>
            </w:r>
          </w:p>
        </w:tc>
        <w:tc>
          <w:tcPr>
            <w:tcW w:w="567" w:type="dxa"/>
            <w:vMerge w:val="restart"/>
            <w:shd w:val="clear" w:color="auto" w:fill="auto"/>
            <w:vAlign w:val="center"/>
          </w:tcPr>
          <w:p w14:paraId="0BB35218">
            <w:pPr>
              <w:jc w:val="center"/>
              <w:rPr>
                <w:rFonts w:ascii="Times New Roman" w:hAnsi="Times New Roman" w:eastAsia="宋体" w:cs="Times New Roman"/>
                <w:szCs w:val="21"/>
              </w:rPr>
            </w:pPr>
            <w:r>
              <w:rPr>
                <w:rFonts w:hint="eastAsia" w:ascii="Times New Roman" w:hAnsi="Times New Roman" w:eastAsia="宋体" w:cs="Times New Roman"/>
                <w:szCs w:val="21"/>
              </w:rPr>
              <w:t>路左</w:t>
            </w:r>
          </w:p>
        </w:tc>
        <w:tc>
          <w:tcPr>
            <w:tcW w:w="709" w:type="dxa"/>
            <w:vMerge w:val="restart"/>
            <w:shd w:val="clear" w:color="auto" w:fill="auto"/>
            <w:vAlign w:val="center"/>
          </w:tcPr>
          <w:p w14:paraId="3900BEA8">
            <w:pPr>
              <w:jc w:val="center"/>
              <w:rPr>
                <w:rFonts w:ascii="Times New Roman" w:hAnsi="Times New Roman" w:eastAsia="宋体" w:cs="Times New Roman"/>
                <w:szCs w:val="21"/>
              </w:rPr>
            </w:pPr>
            <w:r>
              <w:rPr>
                <w:rFonts w:ascii="Times New Roman" w:hAnsi="Times New Roman" w:eastAsia="宋体" w:cs="Times New Roman"/>
                <w:szCs w:val="21"/>
              </w:rPr>
              <w:t>居民点</w:t>
            </w:r>
          </w:p>
        </w:tc>
        <w:tc>
          <w:tcPr>
            <w:tcW w:w="567" w:type="dxa"/>
            <w:shd w:val="clear" w:color="auto" w:fill="auto"/>
            <w:vAlign w:val="center"/>
          </w:tcPr>
          <w:p w14:paraId="1EEA0887">
            <w:pPr>
              <w:jc w:val="center"/>
              <w:rPr>
                <w:rFonts w:ascii="Times New Roman" w:hAnsi="Times New Roman" w:eastAsia="宋体" w:cs="Times New Roman"/>
                <w:szCs w:val="21"/>
              </w:rPr>
            </w:pPr>
            <w:r>
              <w:rPr>
                <w:rFonts w:ascii="Times New Roman" w:hAnsi="Times New Roman" w:eastAsia="宋体" w:cs="Times New Roman"/>
                <w:kern w:val="0"/>
                <w:szCs w:val="21"/>
              </w:rPr>
              <w:t>环境噪声</w:t>
            </w:r>
          </w:p>
        </w:tc>
        <w:tc>
          <w:tcPr>
            <w:tcW w:w="4283" w:type="dxa"/>
            <w:shd w:val="clear" w:color="auto" w:fill="auto"/>
            <w:vAlign w:val="center"/>
          </w:tcPr>
          <w:p w14:paraId="32A59791">
            <w:pPr>
              <w:jc w:val="left"/>
              <w:rPr>
                <w:rFonts w:ascii="Times New Roman" w:hAnsi="Times New Roman" w:eastAsia="宋体" w:cs="Times New Roman"/>
                <w:szCs w:val="21"/>
              </w:rPr>
            </w:pPr>
            <w:r>
              <w:rPr>
                <w:rFonts w:ascii="Times New Roman" w:hAnsi="Times New Roman" w:eastAsia="宋体" w:cs="Times New Roman"/>
                <w:szCs w:val="21"/>
              </w:rPr>
              <w:t>临现有</w:t>
            </w:r>
            <w:r>
              <w:rPr>
                <w:rFonts w:hint="eastAsia" w:ascii="Times New Roman" w:hAnsi="Times New Roman" w:eastAsia="宋体" w:cs="Times New Roman"/>
                <w:szCs w:val="21"/>
              </w:rPr>
              <w:t>G219</w:t>
            </w:r>
            <w:r>
              <w:rPr>
                <w:rFonts w:ascii="Times New Roman" w:hAnsi="Times New Roman" w:eastAsia="宋体" w:cs="Times New Roman"/>
                <w:kern w:val="0"/>
                <w:szCs w:val="21"/>
              </w:rPr>
              <w:t>公路第一排</w:t>
            </w:r>
            <w:r>
              <w:rPr>
                <w:rFonts w:hint="eastAsia" w:ascii="Times New Roman" w:hAnsi="Times New Roman" w:eastAsia="宋体" w:cs="Times New Roman"/>
                <w:kern w:val="0"/>
                <w:szCs w:val="21"/>
              </w:rPr>
              <w:t>房屋1</w:t>
            </w:r>
            <w:r>
              <w:rPr>
                <w:rFonts w:ascii="Times New Roman" w:hAnsi="Times New Roman" w:eastAsia="宋体" w:cs="Times New Roman"/>
                <w:szCs w:val="21"/>
              </w:rPr>
              <w:t>层窗前1m，高度</w:t>
            </w:r>
            <w:r>
              <w:rPr>
                <w:rFonts w:hint="eastAsia" w:ascii="Times New Roman" w:hAnsi="Times New Roman" w:eastAsia="宋体" w:cs="Times New Roman"/>
                <w:szCs w:val="21"/>
              </w:rPr>
              <w:t>1</w:t>
            </w:r>
            <w:r>
              <w:rPr>
                <w:rFonts w:ascii="Times New Roman" w:hAnsi="Times New Roman" w:eastAsia="宋体" w:cs="Times New Roman"/>
                <w:szCs w:val="21"/>
              </w:rPr>
              <w:t>.2m</w:t>
            </w:r>
            <w:r>
              <w:rPr>
                <w:rFonts w:hint="eastAsia" w:ascii="Times New Roman" w:hAnsi="Times New Roman" w:eastAsia="宋体" w:cs="Times New Roman"/>
                <w:szCs w:val="21"/>
              </w:rPr>
              <w:t>；</w:t>
            </w:r>
            <w:r>
              <w:rPr>
                <w:rFonts w:ascii="Times New Roman" w:hAnsi="Times New Roman" w:eastAsia="宋体" w:cs="Times New Roman"/>
                <w:szCs w:val="21"/>
              </w:rPr>
              <w:t>临现有</w:t>
            </w:r>
            <w:r>
              <w:rPr>
                <w:rFonts w:hint="eastAsia" w:ascii="Times New Roman" w:hAnsi="Times New Roman" w:eastAsia="宋体" w:cs="Times New Roman"/>
                <w:szCs w:val="21"/>
              </w:rPr>
              <w:t>G219</w:t>
            </w:r>
            <w:r>
              <w:rPr>
                <w:rFonts w:ascii="Times New Roman" w:hAnsi="Times New Roman" w:eastAsia="宋体" w:cs="Times New Roman"/>
                <w:szCs w:val="21"/>
              </w:rPr>
              <w:t>公路边界</w:t>
            </w:r>
            <w:r>
              <w:rPr>
                <w:rFonts w:hint="eastAsia" w:ascii="Times New Roman" w:hAnsi="Times New Roman" w:eastAsia="宋体" w:cs="Times New Roman"/>
                <w:szCs w:val="21"/>
              </w:rPr>
              <w:t>35</w:t>
            </w:r>
            <w:r>
              <w:rPr>
                <w:rFonts w:ascii="Times New Roman" w:hAnsi="Times New Roman" w:eastAsia="宋体" w:cs="Times New Roman"/>
                <w:szCs w:val="21"/>
              </w:rPr>
              <w:t>m外第一排房</w:t>
            </w:r>
            <w:r>
              <w:rPr>
                <w:rFonts w:hint="eastAsia" w:ascii="Times New Roman" w:hAnsi="Times New Roman" w:eastAsia="宋体" w:cs="Times New Roman"/>
                <w:szCs w:val="21"/>
              </w:rPr>
              <w:t>1</w:t>
            </w:r>
            <w:r>
              <w:rPr>
                <w:rFonts w:ascii="Times New Roman" w:hAnsi="Times New Roman" w:eastAsia="宋体" w:cs="Times New Roman"/>
                <w:szCs w:val="21"/>
              </w:rPr>
              <w:t>层窗前1m，高度</w:t>
            </w:r>
            <w:r>
              <w:rPr>
                <w:rFonts w:hint="eastAsia" w:ascii="Times New Roman" w:hAnsi="Times New Roman" w:eastAsia="宋体" w:cs="Times New Roman"/>
                <w:szCs w:val="21"/>
              </w:rPr>
              <w:t>1</w:t>
            </w:r>
            <w:r>
              <w:rPr>
                <w:rFonts w:ascii="Times New Roman" w:hAnsi="Times New Roman" w:eastAsia="宋体" w:cs="Times New Roman"/>
                <w:szCs w:val="21"/>
              </w:rPr>
              <w:t>.2m；同步监测，并按大、中、小型车，记录现有</w:t>
            </w:r>
            <w:r>
              <w:rPr>
                <w:rFonts w:hint="eastAsia" w:ascii="Times New Roman" w:hAnsi="Times New Roman" w:eastAsia="宋体" w:cs="Times New Roman"/>
                <w:szCs w:val="21"/>
              </w:rPr>
              <w:t>G219</w:t>
            </w:r>
            <w:r>
              <w:rPr>
                <w:rFonts w:ascii="Times New Roman" w:hAnsi="Times New Roman" w:eastAsia="宋体" w:cs="Times New Roman"/>
                <w:szCs w:val="21"/>
              </w:rPr>
              <w:t>公路交通量。</w:t>
            </w:r>
          </w:p>
        </w:tc>
      </w:tr>
      <w:tr w14:paraId="42258C7A">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267" w:type="dxa"/>
            <w:vMerge w:val="continue"/>
            <w:shd w:val="clear" w:color="auto" w:fill="auto"/>
            <w:vAlign w:val="center"/>
          </w:tcPr>
          <w:p w14:paraId="28761342">
            <w:pPr>
              <w:widowControl/>
              <w:jc w:val="center"/>
              <w:rPr>
                <w:rFonts w:ascii="Times New Roman" w:hAnsi="Times New Roman" w:eastAsia="宋体" w:cs="Times New Roman"/>
                <w:kern w:val="0"/>
                <w:szCs w:val="21"/>
              </w:rPr>
            </w:pPr>
          </w:p>
        </w:tc>
        <w:tc>
          <w:tcPr>
            <w:tcW w:w="1325" w:type="dxa"/>
            <w:vMerge w:val="continue"/>
            <w:shd w:val="clear" w:color="auto" w:fill="auto"/>
            <w:vAlign w:val="center"/>
          </w:tcPr>
          <w:p w14:paraId="25653B69">
            <w:pPr>
              <w:jc w:val="center"/>
              <w:rPr>
                <w:rFonts w:ascii="Times New Roman" w:hAnsi="Times New Roman" w:eastAsia="宋体" w:cs="Times New Roman"/>
                <w:szCs w:val="21"/>
              </w:rPr>
            </w:pPr>
          </w:p>
        </w:tc>
        <w:tc>
          <w:tcPr>
            <w:tcW w:w="1134" w:type="dxa"/>
            <w:vMerge w:val="continue"/>
            <w:shd w:val="clear" w:color="auto" w:fill="auto"/>
            <w:vAlign w:val="center"/>
          </w:tcPr>
          <w:p w14:paraId="461423D5">
            <w:pPr>
              <w:jc w:val="center"/>
              <w:rPr>
                <w:rFonts w:ascii="Times New Roman" w:hAnsi="Times New Roman" w:eastAsia="宋体" w:cs="Times New Roman"/>
                <w:szCs w:val="21"/>
              </w:rPr>
            </w:pPr>
          </w:p>
        </w:tc>
        <w:tc>
          <w:tcPr>
            <w:tcW w:w="567" w:type="dxa"/>
            <w:vMerge w:val="continue"/>
            <w:shd w:val="clear" w:color="auto" w:fill="auto"/>
            <w:vAlign w:val="center"/>
          </w:tcPr>
          <w:p w14:paraId="71375CD2">
            <w:pPr>
              <w:jc w:val="center"/>
              <w:rPr>
                <w:rFonts w:ascii="Times New Roman" w:hAnsi="Times New Roman" w:eastAsia="宋体" w:cs="Times New Roman"/>
                <w:szCs w:val="21"/>
              </w:rPr>
            </w:pPr>
          </w:p>
        </w:tc>
        <w:tc>
          <w:tcPr>
            <w:tcW w:w="709" w:type="dxa"/>
            <w:vMerge w:val="continue"/>
            <w:shd w:val="clear" w:color="auto" w:fill="auto"/>
            <w:vAlign w:val="center"/>
          </w:tcPr>
          <w:p w14:paraId="40C3C89E">
            <w:pPr>
              <w:jc w:val="center"/>
              <w:rPr>
                <w:rFonts w:ascii="Times New Roman" w:hAnsi="Times New Roman" w:eastAsia="宋体" w:cs="Times New Roman"/>
                <w:szCs w:val="21"/>
              </w:rPr>
            </w:pPr>
          </w:p>
        </w:tc>
        <w:tc>
          <w:tcPr>
            <w:tcW w:w="567" w:type="dxa"/>
            <w:shd w:val="clear" w:color="auto" w:fill="auto"/>
            <w:vAlign w:val="center"/>
          </w:tcPr>
          <w:p w14:paraId="163BFF41">
            <w:pPr>
              <w:jc w:val="center"/>
              <w:rPr>
                <w:rFonts w:ascii="Times New Roman" w:hAnsi="Times New Roman" w:eastAsia="宋体" w:cs="Times New Roman"/>
                <w:kern w:val="0"/>
                <w:szCs w:val="21"/>
              </w:rPr>
            </w:pPr>
            <w:r>
              <w:rPr>
                <w:rFonts w:ascii="Times New Roman" w:hAnsi="Times New Roman" w:eastAsia="宋体" w:cs="Times New Roman"/>
                <w:szCs w:val="21"/>
              </w:rPr>
              <w:t>背景噪声</w:t>
            </w:r>
          </w:p>
        </w:tc>
        <w:tc>
          <w:tcPr>
            <w:tcW w:w="4283" w:type="dxa"/>
            <w:shd w:val="clear" w:color="auto" w:fill="auto"/>
            <w:vAlign w:val="center"/>
          </w:tcPr>
          <w:p w14:paraId="7C6380EB">
            <w:pPr>
              <w:jc w:val="left"/>
              <w:rPr>
                <w:rFonts w:ascii="Times New Roman" w:hAnsi="Times New Roman" w:eastAsia="宋体" w:cs="Times New Roman"/>
                <w:szCs w:val="21"/>
              </w:rPr>
            </w:pPr>
            <w:r>
              <w:rPr>
                <w:rFonts w:hint="eastAsia" w:ascii="Times New Roman" w:hAnsi="Times New Roman" w:eastAsia="宋体" w:cs="Times New Roman"/>
                <w:szCs w:val="21"/>
              </w:rPr>
              <w:t>远离现有G219</w:t>
            </w:r>
            <w:r>
              <w:rPr>
                <w:rFonts w:ascii="Times New Roman" w:hAnsi="Times New Roman" w:eastAsia="宋体" w:cs="Times New Roman"/>
                <w:kern w:val="0"/>
                <w:szCs w:val="21"/>
              </w:rPr>
              <w:t>公路200m以外，1层窗前1m，高度1.2m。</w:t>
            </w:r>
          </w:p>
        </w:tc>
      </w:tr>
      <w:tr w14:paraId="0845C3AA">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267" w:type="dxa"/>
            <w:shd w:val="clear" w:color="auto" w:fill="auto"/>
            <w:vAlign w:val="center"/>
          </w:tcPr>
          <w:p w14:paraId="54D01CAA">
            <w:pPr>
              <w:widowControl/>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5</w:t>
            </w:r>
          </w:p>
        </w:tc>
        <w:tc>
          <w:tcPr>
            <w:tcW w:w="1325" w:type="dxa"/>
            <w:shd w:val="clear" w:color="auto" w:fill="auto"/>
            <w:vAlign w:val="center"/>
          </w:tcPr>
          <w:p w14:paraId="55F8B657">
            <w:pPr>
              <w:widowControl/>
              <w:jc w:val="center"/>
              <w:rPr>
                <w:rFonts w:ascii="Times New Roman" w:hAnsi="Times New Roman" w:cs="Times New Roman" w:eastAsiaTheme="minorEastAsia"/>
                <w:kern w:val="0"/>
              </w:rPr>
            </w:pPr>
            <w:r>
              <w:rPr>
                <w:rFonts w:ascii="Times New Roman" w:hAnsi="Times New Roman" w:cs="Times New Roman" w:eastAsiaTheme="minorEastAsia"/>
              </w:rPr>
              <w:t>K</w:t>
            </w:r>
            <w:r>
              <w:rPr>
                <w:rFonts w:hint="eastAsia" w:ascii="Times New Roman" w:hAnsi="Times New Roman" w:cs="Times New Roman" w:eastAsiaTheme="minorEastAsia"/>
              </w:rPr>
              <w:t>22</w:t>
            </w:r>
            <w:r>
              <w:rPr>
                <w:rFonts w:ascii="Times New Roman" w:hAnsi="Times New Roman" w:cs="Times New Roman" w:eastAsiaTheme="minorEastAsia"/>
              </w:rPr>
              <w:t>+</w:t>
            </w:r>
            <w:r>
              <w:rPr>
                <w:rFonts w:hint="eastAsia" w:ascii="Times New Roman" w:hAnsi="Times New Roman" w:cs="Times New Roman" w:eastAsiaTheme="minorEastAsia"/>
              </w:rPr>
              <w:t>150</w:t>
            </w:r>
          </w:p>
        </w:tc>
        <w:tc>
          <w:tcPr>
            <w:tcW w:w="1134" w:type="dxa"/>
            <w:shd w:val="clear" w:color="auto" w:fill="auto"/>
            <w:vAlign w:val="center"/>
          </w:tcPr>
          <w:p w14:paraId="5AEAC717">
            <w:pPr>
              <w:jc w:val="center"/>
              <w:rPr>
                <w:rFonts w:ascii="Times New Roman" w:hAnsi="Times New Roman" w:cs="Times New Roman" w:eastAsiaTheme="minorEastAsia"/>
              </w:rPr>
            </w:pPr>
            <w:r>
              <w:rPr>
                <w:rFonts w:hint="eastAsia" w:ascii="Times New Roman" w:hAnsi="Times New Roman" w:cs="Times New Roman" w:eastAsiaTheme="minorEastAsia"/>
              </w:rPr>
              <w:t>英兰干村幼儿园</w:t>
            </w:r>
          </w:p>
        </w:tc>
        <w:tc>
          <w:tcPr>
            <w:tcW w:w="567" w:type="dxa"/>
            <w:shd w:val="clear" w:color="auto" w:fill="auto"/>
            <w:vAlign w:val="center"/>
          </w:tcPr>
          <w:p w14:paraId="4A9EB367">
            <w:pPr>
              <w:jc w:val="center"/>
              <w:rPr>
                <w:rFonts w:ascii="Times New Roman" w:hAnsi="Times New Roman" w:eastAsia="宋体" w:cs="Times New Roman"/>
                <w:szCs w:val="21"/>
              </w:rPr>
            </w:pPr>
            <w:r>
              <w:rPr>
                <w:rFonts w:hint="eastAsia" w:ascii="Times New Roman" w:hAnsi="Times New Roman" w:eastAsia="宋体" w:cs="Times New Roman"/>
                <w:szCs w:val="21"/>
              </w:rPr>
              <w:t>路左</w:t>
            </w:r>
          </w:p>
        </w:tc>
        <w:tc>
          <w:tcPr>
            <w:tcW w:w="709" w:type="dxa"/>
            <w:shd w:val="clear" w:color="auto" w:fill="auto"/>
            <w:vAlign w:val="center"/>
          </w:tcPr>
          <w:p w14:paraId="7F9D40F0">
            <w:pPr>
              <w:jc w:val="center"/>
              <w:rPr>
                <w:rFonts w:ascii="Times New Roman" w:hAnsi="Times New Roman" w:eastAsia="宋体" w:cs="Times New Roman"/>
                <w:szCs w:val="21"/>
              </w:rPr>
            </w:pPr>
            <w:r>
              <w:rPr>
                <w:rFonts w:ascii="Times New Roman" w:hAnsi="Times New Roman" w:eastAsia="宋体" w:cs="Times New Roman"/>
                <w:szCs w:val="21"/>
              </w:rPr>
              <w:t>学校</w:t>
            </w:r>
          </w:p>
        </w:tc>
        <w:tc>
          <w:tcPr>
            <w:tcW w:w="567" w:type="dxa"/>
            <w:shd w:val="clear" w:color="auto" w:fill="auto"/>
            <w:vAlign w:val="center"/>
          </w:tcPr>
          <w:p w14:paraId="13FB752C">
            <w:pPr>
              <w:jc w:val="center"/>
              <w:rPr>
                <w:rFonts w:ascii="Times New Roman" w:hAnsi="Times New Roman" w:eastAsia="宋体" w:cs="Times New Roman"/>
                <w:szCs w:val="21"/>
              </w:rPr>
            </w:pPr>
            <w:r>
              <w:rPr>
                <w:rFonts w:ascii="Times New Roman" w:hAnsi="Times New Roman" w:eastAsia="宋体" w:cs="Times New Roman"/>
                <w:kern w:val="0"/>
                <w:szCs w:val="21"/>
              </w:rPr>
              <w:t>环境噪声</w:t>
            </w:r>
          </w:p>
        </w:tc>
        <w:tc>
          <w:tcPr>
            <w:tcW w:w="4283" w:type="dxa"/>
            <w:shd w:val="clear" w:color="auto" w:fill="auto"/>
            <w:vAlign w:val="center"/>
          </w:tcPr>
          <w:p w14:paraId="686F18BB">
            <w:pPr>
              <w:jc w:val="left"/>
              <w:rPr>
                <w:rFonts w:ascii="Times New Roman" w:hAnsi="Times New Roman" w:eastAsia="宋体" w:cs="Times New Roman"/>
                <w:szCs w:val="21"/>
              </w:rPr>
            </w:pPr>
            <w:r>
              <w:rPr>
                <w:rFonts w:ascii="Times New Roman" w:hAnsi="Times New Roman" w:eastAsia="宋体" w:cs="Times New Roman"/>
                <w:szCs w:val="21"/>
              </w:rPr>
              <w:t>临现有</w:t>
            </w:r>
            <w:r>
              <w:rPr>
                <w:rFonts w:hint="eastAsia" w:ascii="Times New Roman" w:hAnsi="Times New Roman" w:eastAsia="宋体" w:cs="Times New Roman"/>
                <w:szCs w:val="21"/>
              </w:rPr>
              <w:t>G219</w:t>
            </w:r>
            <w:r>
              <w:rPr>
                <w:rFonts w:ascii="Times New Roman" w:hAnsi="Times New Roman" w:eastAsia="宋体" w:cs="Times New Roman"/>
                <w:kern w:val="0"/>
                <w:szCs w:val="21"/>
              </w:rPr>
              <w:t>公路</w:t>
            </w:r>
            <w:r>
              <w:rPr>
                <w:rFonts w:ascii="Times New Roman" w:hAnsi="Times New Roman" w:eastAsia="宋体" w:cs="Times New Roman"/>
                <w:szCs w:val="21"/>
              </w:rPr>
              <w:t>第一排</w:t>
            </w:r>
            <w:r>
              <w:rPr>
                <w:rFonts w:hint="eastAsia" w:ascii="Times New Roman" w:hAnsi="Times New Roman" w:eastAsia="宋体" w:cs="Times New Roman"/>
                <w:szCs w:val="21"/>
              </w:rPr>
              <w:t>教学楼1</w:t>
            </w:r>
            <w:r>
              <w:rPr>
                <w:rFonts w:ascii="Times New Roman" w:hAnsi="Times New Roman" w:eastAsia="宋体" w:cs="Times New Roman"/>
                <w:szCs w:val="21"/>
              </w:rPr>
              <w:t>层窗前1m，高</w:t>
            </w:r>
            <w:r>
              <w:rPr>
                <w:rFonts w:hint="eastAsia" w:ascii="Times New Roman" w:hAnsi="Times New Roman" w:eastAsia="宋体" w:cs="Times New Roman"/>
                <w:szCs w:val="21"/>
              </w:rPr>
              <w:t>1</w:t>
            </w:r>
            <w:r>
              <w:rPr>
                <w:rFonts w:ascii="Times New Roman" w:hAnsi="Times New Roman" w:eastAsia="宋体" w:cs="Times New Roman"/>
                <w:szCs w:val="21"/>
              </w:rPr>
              <w:t>.2m</w:t>
            </w:r>
            <w:r>
              <w:rPr>
                <w:rFonts w:hint="eastAsia" w:ascii="Times New Roman" w:hAnsi="Times New Roman" w:eastAsia="宋体" w:cs="Times New Roman"/>
                <w:szCs w:val="21"/>
              </w:rPr>
              <w:t>，</w:t>
            </w:r>
            <w:r>
              <w:rPr>
                <w:rFonts w:ascii="Times New Roman" w:hAnsi="Times New Roman" w:eastAsia="宋体" w:cs="Times New Roman"/>
                <w:szCs w:val="21"/>
              </w:rPr>
              <w:t>并按大、中、小型车，记录现有G</w:t>
            </w:r>
            <w:r>
              <w:rPr>
                <w:rFonts w:hint="eastAsia" w:ascii="Times New Roman" w:hAnsi="Times New Roman" w:eastAsia="宋体" w:cs="Times New Roman"/>
                <w:szCs w:val="21"/>
              </w:rPr>
              <w:t>219</w:t>
            </w:r>
            <w:r>
              <w:rPr>
                <w:rFonts w:ascii="Times New Roman" w:hAnsi="Times New Roman" w:eastAsia="宋体" w:cs="Times New Roman"/>
                <w:szCs w:val="21"/>
              </w:rPr>
              <w:t>公路交通量。</w:t>
            </w:r>
          </w:p>
        </w:tc>
      </w:tr>
    </w:tbl>
    <w:p w14:paraId="7FD063F3">
      <w:pPr>
        <w:sectPr>
          <w:headerReference r:id="rId36" w:type="default"/>
          <w:pgSz w:w="11906" w:h="16838"/>
          <w:pgMar w:top="1440" w:right="1797" w:bottom="1560" w:left="1797" w:header="851" w:footer="992" w:gutter="0"/>
          <w:pgBorders>
            <w:top w:val="none" w:sz="0" w:space="0"/>
            <w:left w:val="none" w:sz="0" w:space="0"/>
            <w:bottom w:val="none" w:sz="0" w:space="0"/>
            <w:right w:val="none" w:sz="0" w:space="0"/>
          </w:pgBorders>
          <w:cols w:space="720" w:num="1"/>
          <w:docGrid w:linePitch="312" w:charSpace="0"/>
        </w:sectPr>
      </w:pPr>
    </w:p>
    <w:p w14:paraId="344F94B5">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宋体" w:cs="Times New Roman"/>
          <w:b/>
        </w:rPr>
      </w:pPr>
      <w:r>
        <w:rPr>
          <w:rFonts w:ascii="Times New Roman" w:hAnsi="Times New Roman" w:eastAsia="宋体" w:cs="Times New Roman"/>
          <w:b/>
          <w:szCs w:val="21"/>
        </w:rPr>
        <w:t>续</w:t>
      </w:r>
      <w:r>
        <w:rPr>
          <w:rFonts w:hint="eastAsia" w:ascii="Times New Roman" w:hAnsi="Times New Roman" w:eastAsia="宋体" w:cs="Times New Roman"/>
          <w:b/>
          <w:szCs w:val="21"/>
        </w:rPr>
        <w:t xml:space="preserve"> </w:t>
      </w:r>
      <w:r>
        <w:rPr>
          <w:rFonts w:ascii="Times New Roman" w:hAnsi="Times New Roman" w:eastAsia="宋体" w:cs="Times New Roman"/>
          <w:b/>
          <w:szCs w:val="21"/>
        </w:rPr>
        <w:t xml:space="preserve">表3.2-1  </w:t>
      </w:r>
      <w:r>
        <w:rPr>
          <w:rFonts w:ascii="Times New Roman" w:hAnsi="Times New Roman" w:eastAsia="宋体" w:cs="Times New Roman"/>
          <w:b/>
        </w:rPr>
        <w:t>声环境现状监测点位</w:t>
      </w:r>
    </w:p>
    <w:tbl>
      <w:tblPr>
        <w:tblStyle w:val="22"/>
        <w:tblW w:w="8852" w:type="dxa"/>
        <w:jc w:val="center"/>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fixed"/>
        <w:tblCellMar>
          <w:top w:w="0" w:type="dxa"/>
          <w:left w:w="28" w:type="dxa"/>
          <w:bottom w:w="0" w:type="dxa"/>
          <w:right w:w="28" w:type="dxa"/>
        </w:tblCellMar>
      </w:tblPr>
      <w:tblGrid>
        <w:gridCol w:w="267"/>
        <w:gridCol w:w="1325"/>
        <w:gridCol w:w="1134"/>
        <w:gridCol w:w="567"/>
        <w:gridCol w:w="709"/>
        <w:gridCol w:w="567"/>
        <w:gridCol w:w="4283"/>
      </w:tblGrid>
      <w:tr w14:paraId="7D7AEC0D">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cantSplit/>
          <w:tblHeader/>
          <w:jc w:val="center"/>
        </w:trPr>
        <w:tc>
          <w:tcPr>
            <w:tcW w:w="267" w:type="dxa"/>
            <w:shd w:val="clear" w:color="auto" w:fill="auto"/>
            <w:vAlign w:val="center"/>
          </w:tcPr>
          <w:p w14:paraId="0685CB68">
            <w:pPr>
              <w:jc w:val="center"/>
              <w:rPr>
                <w:rFonts w:ascii="Times New Roman" w:hAnsi="Times New Roman" w:eastAsia="宋体" w:cs="Times New Roman"/>
                <w:b/>
                <w:szCs w:val="21"/>
              </w:rPr>
            </w:pPr>
            <w:r>
              <w:rPr>
                <w:rFonts w:ascii="Times New Roman" w:hAnsi="Times New Roman" w:eastAsia="宋体" w:cs="Times New Roman"/>
                <w:b/>
                <w:szCs w:val="21"/>
              </w:rPr>
              <w:t>序号</w:t>
            </w:r>
          </w:p>
        </w:tc>
        <w:tc>
          <w:tcPr>
            <w:tcW w:w="1325" w:type="dxa"/>
            <w:shd w:val="clear" w:color="auto" w:fill="auto"/>
            <w:vAlign w:val="center"/>
          </w:tcPr>
          <w:p w14:paraId="02B5CEC5">
            <w:pPr>
              <w:jc w:val="center"/>
              <w:rPr>
                <w:rFonts w:ascii="Times New Roman" w:hAnsi="Times New Roman" w:eastAsia="宋体" w:cs="Times New Roman"/>
                <w:b/>
                <w:szCs w:val="21"/>
              </w:rPr>
            </w:pPr>
            <w:r>
              <w:rPr>
                <w:rFonts w:ascii="Times New Roman" w:hAnsi="Times New Roman" w:eastAsia="宋体" w:cs="Times New Roman"/>
                <w:b/>
                <w:szCs w:val="21"/>
              </w:rPr>
              <w:t>敏感点桩号</w:t>
            </w:r>
          </w:p>
        </w:tc>
        <w:tc>
          <w:tcPr>
            <w:tcW w:w="1134" w:type="dxa"/>
            <w:shd w:val="clear" w:color="auto" w:fill="auto"/>
            <w:vAlign w:val="center"/>
          </w:tcPr>
          <w:p w14:paraId="43047004">
            <w:pPr>
              <w:jc w:val="center"/>
              <w:rPr>
                <w:rFonts w:ascii="Times New Roman" w:hAnsi="Times New Roman" w:eastAsia="宋体" w:cs="Times New Roman"/>
                <w:b/>
                <w:szCs w:val="21"/>
              </w:rPr>
            </w:pPr>
            <w:r>
              <w:rPr>
                <w:rFonts w:ascii="Times New Roman" w:hAnsi="Times New Roman" w:eastAsia="宋体" w:cs="Times New Roman"/>
                <w:b/>
                <w:szCs w:val="21"/>
              </w:rPr>
              <w:t>监测点位</w:t>
            </w:r>
          </w:p>
        </w:tc>
        <w:tc>
          <w:tcPr>
            <w:tcW w:w="567" w:type="dxa"/>
            <w:shd w:val="clear" w:color="auto" w:fill="auto"/>
            <w:vAlign w:val="center"/>
          </w:tcPr>
          <w:p w14:paraId="33BCDA91">
            <w:pPr>
              <w:jc w:val="center"/>
              <w:rPr>
                <w:rFonts w:ascii="Times New Roman" w:hAnsi="Times New Roman" w:eastAsia="宋体" w:cs="Times New Roman"/>
                <w:b/>
                <w:szCs w:val="21"/>
              </w:rPr>
            </w:pPr>
            <w:r>
              <w:rPr>
                <w:rFonts w:ascii="Times New Roman" w:hAnsi="Times New Roman" w:eastAsia="宋体" w:cs="Times New Roman"/>
                <w:b/>
                <w:szCs w:val="21"/>
              </w:rPr>
              <w:t>方位</w:t>
            </w:r>
          </w:p>
        </w:tc>
        <w:tc>
          <w:tcPr>
            <w:tcW w:w="709" w:type="dxa"/>
            <w:shd w:val="clear" w:color="auto" w:fill="auto"/>
            <w:vAlign w:val="center"/>
          </w:tcPr>
          <w:p w14:paraId="1B58DB7D">
            <w:pPr>
              <w:jc w:val="center"/>
              <w:rPr>
                <w:rFonts w:ascii="Times New Roman" w:hAnsi="Times New Roman" w:eastAsia="宋体" w:cs="Times New Roman"/>
                <w:b/>
                <w:szCs w:val="21"/>
              </w:rPr>
            </w:pPr>
            <w:r>
              <w:rPr>
                <w:rFonts w:ascii="Times New Roman" w:hAnsi="Times New Roman" w:eastAsia="宋体" w:cs="Times New Roman"/>
                <w:b/>
                <w:szCs w:val="21"/>
              </w:rPr>
              <w:t>测点</w:t>
            </w:r>
          </w:p>
          <w:p w14:paraId="714ADE84">
            <w:pPr>
              <w:jc w:val="center"/>
              <w:rPr>
                <w:rFonts w:ascii="Times New Roman" w:hAnsi="Times New Roman" w:eastAsia="宋体" w:cs="Times New Roman"/>
                <w:b/>
                <w:szCs w:val="21"/>
              </w:rPr>
            </w:pPr>
            <w:r>
              <w:rPr>
                <w:rFonts w:ascii="Times New Roman" w:hAnsi="Times New Roman" w:eastAsia="宋体" w:cs="Times New Roman"/>
                <w:b/>
                <w:szCs w:val="21"/>
              </w:rPr>
              <w:t>类型</w:t>
            </w:r>
          </w:p>
        </w:tc>
        <w:tc>
          <w:tcPr>
            <w:tcW w:w="567" w:type="dxa"/>
            <w:shd w:val="clear" w:color="auto" w:fill="auto"/>
            <w:vAlign w:val="center"/>
          </w:tcPr>
          <w:p w14:paraId="16D5DBE8">
            <w:pPr>
              <w:jc w:val="center"/>
              <w:rPr>
                <w:rFonts w:ascii="Times New Roman" w:hAnsi="Times New Roman" w:eastAsia="宋体" w:cs="Times New Roman"/>
                <w:b/>
                <w:szCs w:val="21"/>
              </w:rPr>
            </w:pPr>
            <w:r>
              <w:rPr>
                <w:rFonts w:ascii="Times New Roman" w:hAnsi="Times New Roman" w:eastAsia="宋体" w:cs="Times New Roman"/>
                <w:b/>
                <w:szCs w:val="21"/>
              </w:rPr>
              <w:t>噪声类型</w:t>
            </w:r>
          </w:p>
        </w:tc>
        <w:tc>
          <w:tcPr>
            <w:tcW w:w="4283" w:type="dxa"/>
            <w:shd w:val="clear" w:color="auto" w:fill="auto"/>
            <w:vAlign w:val="center"/>
          </w:tcPr>
          <w:p w14:paraId="1A0FB6BE">
            <w:pPr>
              <w:jc w:val="center"/>
              <w:rPr>
                <w:rFonts w:ascii="Times New Roman" w:hAnsi="Times New Roman" w:eastAsia="宋体" w:cs="Times New Roman"/>
                <w:b/>
                <w:szCs w:val="21"/>
              </w:rPr>
            </w:pPr>
            <w:r>
              <w:rPr>
                <w:rFonts w:ascii="Times New Roman" w:hAnsi="Times New Roman" w:eastAsia="宋体" w:cs="Times New Roman"/>
                <w:b/>
                <w:szCs w:val="21"/>
              </w:rPr>
              <w:t>布点位置</w:t>
            </w:r>
          </w:p>
        </w:tc>
      </w:tr>
      <w:tr w14:paraId="71A105D4">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cantSplit/>
          <w:trHeight w:val="623" w:hRule="atLeast"/>
          <w:jc w:val="center"/>
        </w:trPr>
        <w:tc>
          <w:tcPr>
            <w:tcW w:w="267" w:type="dxa"/>
            <w:shd w:val="clear" w:color="auto" w:fill="auto"/>
            <w:vAlign w:val="center"/>
          </w:tcPr>
          <w:p w14:paraId="320691DF">
            <w:pPr>
              <w:widowControl/>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6</w:t>
            </w:r>
          </w:p>
        </w:tc>
        <w:tc>
          <w:tcPr>
            <w:tcW w:w="1325" w:type="dxa"/>
            <w:shd w:val="clear" w:color="auto" w:fill="auto"/>
            <w:vAlign w:val="center"/>
          </w:tcPr>
          <w:p w14:paraId="28A94077">
            <w:pPr>
              <w:widowControl/>
              <w:jc w:val="center"/>
              <w:rPr>
                <w:rFonts w:ascii="Times New Roman" w:hAnsi="Times New Roman" w:cs="Times New Roman" w:eastAsiaTheme="minorEastAsia"/>
                <w:kern w:val="0"/>
              </w:rPr>
            </w:pPr>
            <w:r>
              <w:rPr>
                <w:rFonts w:ascii="Times New Roman" w:hAnsi="Times New Roman" w:cs="Times New Roman" w:eastAsiaTheme="minorEastAsia"/>
              </w:rPr>
              <w:t>K</w:t>
            </w:r>
            <w:r>
              <w:rPr>
                <w:rFonts w:hint="eastAsia" w:ascii="Times New Roman" w:hAnsi="Times New Roman" w:cs="Times New Roman" w:eastAsiaTheme="minorEastAsia"/>
              </w:rPr>
              <w:t>24</w:t>
            </w:r>
            <w:r>
              <w:rPr>
                <w:rFonts w:ascii="Times New Roman" w:hAnsi="Times New Roman" w:cs="Times New Roman" w:eastAsiaTheme="minorEastAsia"/>
              </w:rPr>
              <w:t>+</w:t>
            </w:r>
            <w:r>
              <w:rPr>
                <w:rFonts w:hint="eastAsia" w:ascii="Times New Roman" w:hAnsi="Times New Roman" w:cs="Times New Roman" w:eastAsiaTheme="minorEastAsia"/>
              </w:rPr>
              <w:t>150</w:t>
            </w:r>
          </w:p>
        </w:tc>
        <w:tc>
          <w:tcPr>
            <w:tcW w:w="1134" w:type="dxa"/>
            <w:shd w:val="clear" w:color="auto" w:fill="auto"/>
            <w:vAlign w:val="center"/>
          </w:tcPr>
          <w:p w14:paraId="5A8B013A">
            <w:pPr>
              <w:widowControl/>
              <w:jc w:val="center"/>
              <w:rPr>
                <w:rFonts w:ascii="Times New Roman" w:hAnsi="Times New Roman" w:cs="Times New Roman" w:eastAsiaTheme="minorEastAsia"/>
                <w:kern w:val="0"/>
              </w:rPr>
            </w:pPr>
            <w:r>
              <w:rPr>
                <w:rFonts w:hint="eastAsia" w:ascii="Times New Roman" w:cs="Times New Roman" w:hAnsiTheme="minorEastAsia" w:eastAsiaTheme="minorEastAsia"/>
              </w:rPr>
              <w:t>阿亚格勒格勒德玛小学</w:t>
            </w:r>
          </w:p>
        </w:tc>
        <w:tc>
          <w:tcPr>
            <w:tcW w:w="567" w:type="dxa"/>
            <w:shd w:val="clear" w:color="auto" w:fill="auto"/>
            <w:vAlign w:val="center"/>
          </w:tcPr>
          <w:p w14:paraId="09A41069">
            <w:pPr>
              <w:jc w:val="center"/>
              <w:rPr>
                <w:rFonts w:ascii="Times New Roman" w:hAnsi="Times New Roman" w:eastAsia="宋体" w:cs="Times New Roman"/>
                <w:szCs w:val="21"/>
              </w:rPr>
            </w:pPr>
            <w:r>
              <w:rPr>
                <w:rFonts w:hint="eastAsia" w:ascii="Times New Roman" w:hAnsi="Times New Roman" w:eastAsia="宋体" w:cs="Times New Roman"/>
                <w:szCs w:val="21"/>
              </w:rPr>
              <w:t>路左</w:t>
            </w:r>
          </w:p>
        </w:tc>
        <w:tc>
          <w:tcPr>
            <w:tcW w:w="709" w:type="dxa"/>
            <w:shd w:val="clear" w:color="auto" w:fill="auto"/>
            <w:vAlign w:val="center"/>
          </w:tcPr>
          <w:p w14:paraId="36768684">
            <w:pPr>
              <w:jc w:val="center"/>
              <w:rPr>
                <w:rFonts w:ascii="Times New Roman" w:hAnsi="Times New Roman" w:eastAsia="宋体" w:cs="Times New Roman"/>
                <w:szCs w:val="21"/>
              </w:rPr>
            </w:pPr>
            <w:r>
              <w:rPr>
                <w:rFonts w:ascii="Times New Roman" w:hAnsi="Times New Roman" w:eastAsia="宋体" w:cs="Times New Roman"/>
                <w:szCs w:val="21"/>
              </w:rPr>
              <w:t>学校</w:t>
            </w:r>
          </w:p>
        </w:tc>
        <w:tc>
          <w:tcPr>
            <w:tcW w:w="567" w:type="dxa"/>
            <w:shd w:val="clear" w:color="auto" w:fill="auto"/>
            <w:vAlign w:val="center"/>
          </w:tcPr>
          <w:p w14:paraId="6C05CDB6">
            <w:pPr>
              <w:jc w:val="center"/>
              <w:rPr>
                <w:rFonts w:ascii="Times New Roman" w:hAnsi="Times New Roman" w:eastAsia="宋体" w:cs="Times New Roman"/>
                <w:szCs w:val="21"/>
              </w:rPr>
            </w:pPr>
            <w:r>
              <w:rPr>
                <w:rFonts w:ascii="Times New Roman" w:hAnsi="Times New Roman" w:eastAsia="宋体" w:cs="Times New Roman"/>
                <w:kern w:val="0"/>
                <w:szCs w:val="21"/>
              </w:rPr>
              <w:t>环境噪声</w:t>
            </w:r>
          </w:p>
        </w:tc>
        <w:tc>
          <w:tcPr>
            <w:tcW w:w="4283" w:type="dxa"/>
            <w:shd w:val="clear" w:color="auto" w:fill="auto"/>
            <w:vAlign w:val="center"/>
          </w:tcPr>
          <w:p w14:paraId="0AB51A1A">
            <w:pPr>
              <w:jc w:val="left"/>
              <w:rPr>
                <w:rFonts w:ascii="Times New Roman" w:hAnsi="Times New Roman" w:eastAsia="宋体" w:cs="Times New Roman"/>
                <w:szCs w:val="21"/>
              </w:rPr>
            </w:pPr>
            <w:r>
              <w:rPr>
                <w:rFonts w:ascii="Times New Roman" w:hAnsi="Times New Roman" w:eastAsia="宋体" w:cs="Times New Roman"/>
                <w:szCs w:val="21"/>
              </w:rPr>
              <w:t>临现有</w:t>
            </w:r>
            <w:r>
              <w:rPr>
                <w:rFonts w:hint="eastAsia" w:ascii="Times New Roman" w:hAnsi="Times New Roman" w:eastAsia="宋体" w:cs="Times New Roman"/>
                <w:szCs w:val="21"/>
              </w:rPr>
              <w:t>G219</w:t>
            </w:r>
            <w:r>
              <w:rPr>
                <w:rFonts w:ascii="Times New Roman" w:hAnsi="Times New Roman" w:eastAsia="宋体" w:cs="Times New Roman"/>
                <w:kern w:val="0"/>
                <w:szCs w:val="21"/>
              </w:rPr>
              <w:t>公路</w:t>
            </w:r>
            <w:r>
              <w:rPr>
                <w:rFonts w:ascii="Times New Roman" w:hAnsi="Times New Roman" w:eastAsia="宋体" w:cs="Times New Roman"/>
                <w:szCs w:val="21"/>
              </w:rPr>
              <w:t>第一排</w:t>
            </w:r>
            <w:r>
              <w:rPr>
                <w:rFonts w:hint="eastAsia" w:ascii="Times New Roman" w:hAnsi="Times New Roman" w:eastAsia="宋体" w:cs="Times New Roman"/>
                <w:szCs w:val="21"/>
              </w:rPr>
              <w:t>教学楼1、3</w:t>
            </w:r>
            <w:r>
              <w:rPr>
                <w:rFonts w:ascii="Times New Roman" w:hAnsi="Times New Roman" w:eastAsia="宋体" w:cs="Times New Roman"/>
                <w:szCs w:val="21"/>
              </w:rPr>
              <w:t>层窗前1m，高</w:t>
            </w:r>
            <w:r>
              <w:rPr>
                <w:rFonts w:hint="eastAsia" w:ascii="Times New Roman" w:hAnsi="Times New Roman" w:eastAsia="宋体" w:cs="Times New Roman"/>
                <w:szCs w:val="21"/>
              </w:rPr>
              <w:t>1</w:t>
            </w:r>
            <w:r>
              <w:rPr>
                <w:rFonts w:ascii="Times New Roman" w:hAnsi="Times New Roman" w:eastAsia="宋体" w:cs="Times New Roman"/>
                <w:szCs w:val="21"/>
              </w:rPr>
              <w:t>.2m</w:t>
            </w:r>
            <w:r>
              <w:rPr>
                <w:rFonts w:hint="eastAsia" w:ascii="Times New Roman" w:hAnsi="Times New Roman" w:eastAsia="宋体" w:cs="Times New Roman"/>
                <w:szCs w:val="21"/>
              </w:rPr>
              <w:t>、7</w:t>
            </w:r>
            <w:r>
              <w:rPr>
                <w:rFonts w:ascii="Times New Roman" w:hAnsi="Times New Roman" w:eastAsia="宋体" w:cs="Times New Roman"/>
                <w:szCs w:val="21"/>
              </w:rPr>
              <w:t>.2</w:t>
            </w:r>
            <w:r>
              <w:rPr>
                <w:rFonts w:hint="eastAsia" w:ascii="Times New Roman" w:hAnsi="Times New Roman" w:eastAsia="宋体" w:cs="Times New Roman"/>
                <w:szCs w:val="21"/>
              </w:rPr>
              <w:t>m，</w:t>
            </w:r>
            <w:r>
              <w:rPr>
                <w:rFonts w:ascii="Times New Roman" w:hAnsi="Times New Roman" w:eastAsia="宋体" w:cs="Times New Roman"/>
                <w:szCs w:val="21"/>
              </w:rPr>
              <w:t>同步监测，并按大、中、小型车，记录现有G</w:t>
            </w:r>
            <w:r>
              <w:rPr>
                <w:rFonts w:hint="eastAsia" w:ascii="Times New Roman" w:hAnsi="Times New Roman" w:eastAsia="宋体" w:cs="Times New Roman"/>
                <w:szCs w:val="21"/>
              </w:rPr>
              <w:t>219</w:t>
            </w:r>
            <w:r>
              <w:rPr>
                <w:rFonts w:ascii="Times New Roman" w:hAnsi="Times New Roman" w:eastAsia="宋体" w:cs="Times New Roman"/>
                <w:szCs w:val="21"/>
              </w:rPr>
              <w:t>公路交通量。</w:t>
            </w:r>
          </w:p>
        </w:tc>
      </w:tr>
      <w:tr w14:paraId="766B723C">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cantSplit/>
          <w:trHeight w:val="780" w:hRule="atLeast"/>
          <w:jc w:val="center"/>
        </w:trPr>
        <w:tc>
          <w:tcPr>
            <w:tcW w:w="267" w:type="dxa"/>
            <w:vMerge w:val="restart"/>
            <w:shd w:val="clear" w:color="auto" w:fill="auto"/>
            <w:vAlign w:val="center"/>
          </w:tcPr>
          <w:p w14:paraId="77A29963">
            <w:pPr>
              <w:widowControl/>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7</w:t>
            </w:r>
          </w:p>
        </w:tc>
        <w:tc>
          <w:tcPr>
            <w:tcW w:w="1325" w:type="dxa"/>
            <w:vMerge w:val="restart"/>
            <w:shd w:val="clear" w:color="auto" w:fill="auto"/>
            <w:vAlign w:val="center"/>
          </w:tcPr>
          <w:p w14:paraId="73FDEB48">
            <w:pPr>
              <w:widowControl/>
              <w:jc w:val="center"/>
              <w:rPr>
                <w:rFonts w:ascii="Times New Roman" w:hAnsi="Times New Roman" w:cs="Times New Roman" w:eastAsiaTheme="minorEastAsia"/>
                <w:kern w:val="0"/>
              </w:rPr>
            </w:pPr>
            <w:r>
              <w:rPr>
                <w:rFonts w:ascii="Times New Roman" w:hAnsi="Times New Roman" w:cs="Times New Roman" w:eastAsiaTheme="minorEastAsia"/>
              </w:rPr>
              <w:t>K</w:t>
            </w:r>
            <w:r>
              <w:rPr>
                <w:rFonts w:hint="eastAsia" w:ascii="Times New Roman" w:hAnsi="Times New Roman" w:cs="Times New Roman" w:eastAsiaTheme="minorEastAsia"/>
              </w:rPr>
              <w:t>24</w:t>
            </w:r>
            <w:r>
              <w:rPr>
                <w:rFonts w:ascii="Times New Roman" w:hAnsi="Times New Roman" w:cs="Times New Roman" w:eastAsiaTheme="minorEastAsia"/>
              </w:rPr>
              <w:t>+</w:t>
            </w:r>
            <w:r>
              <w:rPr>
                <w:rFonts w:hint="eastAsia" w:ascii="Times New Roman" w:hAnsi="Times New Roman" w:cs="Times New Roman" w:eastAsiaTheme="minorEastAsia"/>
              </w:rPr>
              <w:t>20</w:t>
            </w:r>
            <w:r>
              <w:rPr>
                <w:rFonts w:ascii="Times New Roman" w:hAnsi="Times New Roman" w:cs="Times New Roman" w:eastAsiaTheme="minorEastAsia"/>
              </w:rPr>
              <w:t>0</w:t>
            </w:r>
          </w:p>
        </w:tc>
        <w:tc>
          <w:tcPr>
            <w:tcW w:w="1134" w:type="dxa"/>
            <w:vMerge w:val="restart"/>
            <w:shd w:val="clear" w:color="auto" w:fill="auto"/>
            <w:vAlign w:val="center"/>
          </w:tcPr>
          <w:p w14:paraId="54ED3442">
            <w:pPr>
              <w:widowControl/>
              <w:jc w:val="center"/>
              <w:rPr>
                <w:rFonts w:ascii="Times New Roman" w:hAnsi="Times New Roman" w:cs="Times New Roman" w:eastAsiaTheme="minorEastAsia"/>
                <w:kern w:val="0"/>
              </w:rPr>
            </w:pPr>
            <w:r>
              <w:rPr>
                <w:rFonts w:hint="eastAsia" w:ascii="Times New Roman" w:cs="Times New Roman" w:hAnsiTheme="minorEastAsia" w:eastAsiaTheme="minorEastAsia"/>
              </w:rPr>
              <w:t>阿亚克里格勒迪玛村</w:t>
            </w:r>
          </w:p>
        </w:tc>
        <w:tc>
          <w:tcPr>
            <w:tcW w:w="567" w:type="dxa"/>
            <w:vMerge w:val="restart"/>
            <w:shd w:val="clear" w:color="auto" w:fill="auto"/>
            <w:vAlign w:val="center"/>
          </w:tcPr>
          <w:p w14:paraId="70B026A9">
            <w:pPr>
              <w:jc w:val="center"/>
              <w:rPr>
                <w:rFonts w:ascii="Times New Roman" w:hAnsi="Times New Roman" w:eastAsia="宋体" w:cs="Times New Roman"/>
                <w:szCs w:val="21"/>
              </w:rPr>
            </w:pPr>
            <w:r>
              <w:rPr>
                <w:rFonts w:hint="eastAsia" w:ascii="Times New Roman" w:hAnsi="Times New Roman" w:eastAsia="宋体" w:cs="Times New Roman"/>
                <w:szCs w:val="21"/>
              </w:rPr>
              <w:t>路左</w:t>
            </w:r>
          </w:p>
        </w:tc>
        <w:tc>
          <w:tcPr>
            <w:tcW w:w="709" w:type="dxa"/>
            <w:vMerge w:val="restart"/>
            <w:shd w:val="clear" w:color="auto" w:fill="auto"/>
            <w:vAlign w:val="center"/>
          </w:tcPr>
          <w:p w14:paraId="0F560488">
            <w:pPr>
              <w:jc w:val="center"/>
              <w:rPr>
                <w:rFonts w:ascii="Times New Roman" w:hAnsi="Times New Roman" w:eastAsia="宋体" w:cs="Times New Roman"/>
                <w:szCs w:val="21"/>
              </w:rPr>
            </w:pPr>
            <w:r>
              <w:rPr>
                <w:rFonts w:ascii="Times New Roman" w:hAnsi="Times New Roman" w:eastAsia="宋体" w:cs="Times New Roman"/>
                <w:szCs w:val="21"/>
              </w:rPr>
              <w:t>居民点</w:t>
            </w:r>
          </w:p>
        </w:tc>
        <w:tc>
          <w:tcPr>
            <w:tcW w:w="567" w:type="dxa"/>
            <w:shd w:val="clear" w:color="auto" w:fill="auto"/>
            <w:vAlign w:val="center"/>
          </w:tcPr>
          <w:p w14:paraId="7CF84128">
            <w:pPr>
              <w:jc w:val="center"/>
              <w:rPr>
                <w:rFonts w:ascii="Times New Roman" w:hAnsi="Times New Roman" w:eastAsia="宋体" w:cs="Times New Roman"/>
                <w:szCs w:val="21"/>
              </w:rPr>
            </w:pPr>
            <w:r>
              <w:rPr>
                <w:rFonts w:ascii="Times New Roman" w:hAnsi="Times New Roman" w:eastAsia="宋体" w:cs="Times New Roman"/>
                <w:kern w:val="0"/>
                <w:szCs w:val="21"/>
              </w:rPr>
              <w:t>环境噪声</w:t>
            </w:r>
          </w:p>
        </w:tc>
        <w:tc>
          <w:tcPr>
            <w:tcW w:w="4283" w:type="dxa"/>
            <w:shd w:val="clear" w:color="auto" w:fill="auto"/>
            <w:vAlign w:val="center"/>
          </w:tcPr>
          <w:p w14:paraId="412FD154">
            <w:pPr>
              <w:jc w:val="left"/>
              <w:rPr>
                <w:rFonts w:ascii="Times New Roman" w:hAnsi="Times New Roman" w:eastAsia="宋体" w:cs="Times New Roman"/>
                <w:szCs w:val="21"/>
              </w:rPr>
            </w:pPr>
            <w:r>
              <w:rPr>
                <w:rFonts w:ascii="Times New Roman" w:hAnsi="Times New Roman" w:eastAsia="宋体" w:cs="Times New Roman"/>
                <w:szCs w:val="21"/>
              </w:rPr>
              <w:t>临现有</w:t>
            </w:r>
            <w:r>
              <w:rPr>
                <w:rFonts w:hint="eastAsia" w:ascii="Times New Roman" w:hAnsi="Times New Roman" w:eastAsia="宋体" w:cs="Times New Roman"/>
                <w:szCs w:val="21"/>
              </w:rPr>
              <w:t>G219</w:t>
            </w:r>
            <w:r>
              <w:rPr>
                <w:rFonts w:ascii="Times New Roman" w:hAnsi="Times New Roman" w:eastAsia="宋体" w:cs="Times New Roman"/>
                <w:kern w:val="0"/>
                <w:szCs w:val="21"/>
              </w:rPr>
              <w:t>公路第一排</w:t>
            </w:r>
            <w:r>
              <w:rPr>
                <w:rFonts w:hint="eastAsia" w:ascii="Times New Roman" w:hAnsi="Times New Roman" w:eastAsia="宋体" w:cs="Times New Roman"/>
                <w:kern w:val="0"/>
                <w:szCs w:val="21"/>
              </w:rPr>
              <w:t>房屋1</w:t>
            </w:r>
            <w:r>
              <w:rPr>
                <w:rFonts w:ascii="Times New Roman" w:hAnsi="Times New Roman" w:eastAsia="宋体" w:cs="Times New Roman"/>
                <w:szCs w:val="21"/>
              </w:rPr>
              <w:t>层窗前1m，高度</w:t>
            </w:r>
            <w:r>
              <w:rPr>
                <w:rFonts w:hint="eastAsia" w:ascii="Times New Roman" w:hAnsi="Times New Roman" w:eastAsia="宋体" w:cs="Times New Roman"/>
                <w:szCs w:val="21"/>
              </w:rPr>
              <w:t>1</w:t>
            </w:r>
            <w:r>
              <w:rPr>
                <w:rFonts w:ascii="Times New Roman" w:hAnsi="Times New Roman" w:eastAsia="宋体" w:cs="Times New Roman"/>
                <w:szCs w:val="21"/>
              </w:rPr>
              <w:t>.2m</w:t>
            </w:r>
            <w:r>
              <w:rPr>
                <w:rFonts w:hint="eastAsia" w:ascii="Times New Roman" w:hAnsi="Times New Roman" w:eastAsia="宋体" w:cs="Times New Roman"/>
                <w:szCs w:val="21"/>
              </w:rPr>
              <w:t>；</w:t>
            </w:r>
            <w:r>
              <w:rPr>
                <w:rFonts w:ascii="Times New Roman" w:hAnsi="Times New Roman" w:eastAsia="宋体" w:cs="Times New Roman"/>
                <w:szCs w:val="21"/>
              </w:rPr>
              <w:t>临现有</w:t>
            </w:r>
            <w:r>
              <w:rPr>
                <w:rFonts w:hint="eastAsia" w:ascii="Times New Roman" w:hAnsi="Times New Roman" w:eastAsia="宋体" w:cs="Times New Roman"/>
                <w:szCs w:val="21"/>
              </w:rPr>
              <w:t>G219</w:t>
            </w:r>
            <w:r>
              <w:rPr>
                <w:rFonts w:ascii="Times New Roman" w:hAnsi="Times New Roman" w:eastAsia="宋体" w:cs="Times New Roman"/>
                <w:szCs w:val="21"/>
              </w:rPr>
              <w:t>公路边界</w:t>
            </w:r>
            <w:r>
              <w:rPr>
                <w:rFonts w:hint="eastAsia" w:ascii="Times New Roman" w:hAnsi="Times New Roman" w:eastAsia="宋体" w:cs="Times New Roman"/>
                <w:szCs w:val="21"/>
              </w:rPr>
              <w:t>35</w:t>
            </w:r>
            <w:r>
              <w:rPr>
                <w:rFonts w:ascii="Times New Roman" w:hAnsi="Times New Roman" w:eastAsia="宋体" w:cs="Times New Roman"/>
                <w:szCs w:val="21"/>
              </w:rPr>
              <w:t>m外第一排房</w:t>
            </w:r>
            <w:r>
              <w:rPr>
                <w:rFonts w:hint="eastAsia" w:ascii="Times New Roman" w:hAnsi="Times New Roman" w:eastAsia="宋体" w:cs="Times New Roman"/>
                <w:szCs w:val="21"/>
              </w:rPr>
              <w:t>1</w:t>
            </w:r>
            <w:r>
              <w:rPr>
                <w:rFonts w:ascii="Times New Roman" w:hAnsi="Times New Roman" w:eastAsia="宋体" w:cs="Times New Roman"/>
                <w:szCs w:val="21"/>
              </w:rPr>
              <w:t>层窗前1m，高度</w:t>
            </w:r>
            <w:r>
              <w:rPr>
                <w:rFonts w:hint="eastAsia" w:ascii="Times New Roman" w:hAnsi="Times New Roman" w:eastAsia="宋体" w:cs="Times New Roman"/>
                <w:szCs w:val="21"/>
              </w:rPr>
              <w:t>1</w:t>
            </w:r>
            <w:r>
              <w:rPr>
                <w:rFonts w:ascii="Times New Roman" w:hAnsi="Times New Roman" w:eastAsia="宋体" w:cs="Times New Roman"/>
                <w:szCs w:val="21"/>
              </w:rPr>
              <w:t>.2m；同步监测，并按大、中、小型车，记录现有</w:t>
            </w:r>
            <w:r>
              <w:rPr>
                <w:rFonts w:hint="eastAsia" w:ascii="Times New Roman" w:hAnsi="Times New Roman" w:eastAsia="宋体" w:cs="Times New Roman"/>
                <w:szCs w:val="21"/>
              </w:rPr>
              <w:t>G219</w:t>
            </w:r>
            <w:r>
              <w:rPr>
                <w:rFonts w:ascii="Times New Roman" w:hAnsi="Times New Roman" w:eastAsia="宋体" w:cs="Times New Roman"/>
                <w:szCs w:val="21"/>
              </w:rPr>
              <w:t>公路交通量。</w:t>
            </w:r>
          </w:p>
        </w:tc>
      </w:tr>
      <w:tr w14:paraId="0FD72FCD">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cantSplit/>
          <w:trHeight w:val="372" w:hRule="atLeast"/>
          <w:jc w:val="center"/>
        </w:trPr>
        <w:tc>
          <w:tcPr>
            <w:tcW w:w="267" w:type="dxa"/>
            <w:vMerge w:val="continue"/>
            <w:shd w:val="clear" w:color="auto" w:fill="auto"/>
            <w:vAlign w:val="center"/>
          </w:tcPr>
          <w:p w14:paraId="327EC032">
            <w:pPr>
              <w:widowControl/>
              <w:jc w:val="center"/>
              <w:rPr>
                <w:rFonts w:ascii="Times New Roman" w:hAnsi="Times New Roman" w:eastAsia="宋体" w:cs="Times New Roman"/>
                <w:kern w:val="0"/>
                <w:szCs w:val="21"/>
              </w:rPr>
            </w:pPr>
          </w:p>
        </w:tc>
        <w:tc>
          <w:tcPr>
            <w:tcW w:w="1325" w:type="dxa"/>
            <w:vMerge w:val="continue"/>
            <w:shd w:val="clear" w:color="auto" w:fill="auto"/>
            <w:vAlign w:val="center"/>
          </w:tcPr>
          <w:p w14:paraId="296AA5ED">
            <w:pPr>
              <w:widowControl/>
              <w:jc w:val="center"/>
              <w:rPr>
                <w:rFonts w:ascii="Times New Roman" w:hAnsi="Times New Roman" w:cs="Times New Roman" w:eastAsiaTheme="minorEastAsia"/>
              </w:rPr>
            </w:pPr>
          </w:p>
        </w:tc>
        <w:tc>
          <w:tcPr>
            <w:tcW w:w="1134" w:type="dxa"/>
            <w:vMerge w:val="continue"/>
            <w:shd w:val="clear" w:color="auto" w:fill="auto"/>
            <w:vAlign w:val="center"/>
          </w:tcPr>
          <w:p w14:paraId="26D801D8">
            <w:pPr>
              <w:widowControl/>
              <w:jc w:val="center"/>
              <w:rPr>
                <w:rFonts w:ascii="Times New Roman" w:cs="Times New Roman" w:hAnsiTheme="minorEastAsia" w:eastAsiaTheme="minorEastAsia"/>
              </w:rPr>
            </w:pPr>
          </w:p>
        </w:tc>
        <w:tc>
          <w:tcPr>
            <w:tcW w:w="567" w:type="dxa"/>
            <w:vMerge w:val="continue"/>
            <w:shd w:val="clear" w:color="auto" w:fill="auto"/>
            <w:vAlign w:val="center"/>
          </w:tcPr>
          <w:p w14:paraId="09AC5411">
            <w:pPr>
              <w:jc w:val="center"/>
              <w:rPr>
                <w:rFonts w:ascii="Times New Roman" w:hAnsi="Times New Roman" w:eastAsia="宋体" w:cs="Times New Roman"/>
                <w:szCs w:val="21"/>
              </w:rPr>
            </w:pPr>
          </w:p>
        </w:tc>
        <w:tc>
          <w:tcPr>
            <w:tcW w:w="709" w:type="dxa"/>
            <w:vMerge w:val="continue"/>
            <w:shd w:val="clear" w:color="auto" w:fill="auto"/>
            <w:vAlign w:val="center"/>
          </w:tcPr>
          <w:p w14:paraId="72A1D306">
            <w:pPr>
              <w:jc w:val="center"/>
              <w:rPr>
                <w:rFonts w:ascii="Times New Roman" w:hAnsi="Times New Roman" w:eastAsia="宋体" w:cs="Times New Roman"/>
                <w:szCs w:val="21"/>
              </w:rPr>
            </w:pPr>
          </w:p>
        </w:tc>
        <w:tc>
          <w:tcPr>
            <w:tcW w:w="567" w:type="dxa"/>
            <w:shd w:val="clear" w:color="auto" w:fill="auto"/>
            <w:vAlign w:val="center"/>
          </w:tcPr>
          <w:p w14:paraId="26ADD891">
            <w:pPr>
              <w:jc w:val="center"/>
              <w:rPr>
                <w:rFonts w:ascii="Times New Roman" w:hAnsi="Times New Roman" w:eastAsia="宋体" w:cs="Times New Roman"/>
                <w:szCs w:val="21"/>
              </w:rPr>
            </w:pPr>
            <w:r>
              <w:rPr>
                <w:rFonts w:ascii="Times New Roman" w:hAnsi="Times New Roman" w:eastAsia="宋体" w:cs="Times New Roman"/>
                <w:szCs w:val="21"/>
              </w:rPr>
              <w:t>背景噪声</w:t>
            </w:r>
          </w:p>
        </w:tc>
        <w:tc>
          <w:tcPr>
            <w:tcW w:w="4283" w:type="dxa"/>
            <w:shd w:val="clear" w:color="auto" w:fill="auto"/>
            <w:vAlign w:val="center"/>
          </w:tcPr>
          <w:p w14:paraId="63E55BA6">
            <w:pPr>
              <w:jc w:val="left"/>
              <w:rPr>
                <w:rFonts w:ascii="Times New Roman" w:hAnsi="Times New Roman" w:eastAsia="宋体" w:cs="Times New Roman"/>
                <w:szCs w:val="21"/>
              </w:rPr>
            </w:pPr>
            <w:r>
              <w:rPr>
                <w:rFonts w:hint="eastAsia" w:ascii="Times New Roman" w:hAnsi="Times New Roman" w:eastAsia="宋体" w:cs="Times New Roman"/>
                <w:szCs w:val="21"/>
              </w:rPr>
              <w:t>远离现有G219</w:t>
            </w:r>
            <w:r>
              <w:rPr>
                <w:rFonts w:ascii="Times New Roman" w:hAnsi="Times New Roman" w:eastAsia="宋体" w:cs="Times New Roman"/>
                <w:kern w:val="0"/>
                <w:szCs w:val="21"/>
              </w:rPr>
              <w:t>公路200m以外，1层窗前1m，高度1.2m。</w:t>
            </w:r>
          </w:p>
        </w:tc>
      </w:tr>
      <w:tr w14:paraId="6F64E4BE">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cantSplit/>
          <w:trHeight w:val="780" w:hRule="atLeast"/>
          <w:jc w:val="center"/>
        </w:trPr>
        <w:tc>
          <w:tcPr>
            <w:tcW w:w="267" w:type="dxa"/>
            <w:vMerge w:val="restart"/>
            <w:shd w:val="clear" w:color="auto" w:fill="auto"/>
            <w:vAlign w:val="center"/>
          </w:tcPr>
          <w:p w14:paraId="7C964325">
            <w:pPr>
              <w:widowControl/>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8</w:t>
            </w:r>
          </w:p>
        </w:tc>
        <w:tc>
          <w:tcPr>
            <w:tcW w:w="1325" w:type="dxa"/>
            <w:vMerge w:val="restart"/>
            <w:shd w:val="clear" w:color="auto" w:fill="auto"/>
            <w:vAlign w:val="center"/>
          </w:tcPr>
          <w:p w14:paraId="2C3F4D04">
            <w:pPr>
              <w:jc w:val="center"/>
              <w:rPr>
                <w:rFonts w:ascii="Times New Roman" w:hAnsi="Times New Roman" w:cs="Times New Roman" w:eastAsiaTheme="minorEastAsia"/>
              </w:rPr>
            </w:pPr>
            <w:r>
              <w:rPr>
                <w:rFonts w:ascii="Times New Roman" w:hAnsi="Times New Roman" w:cs="Times New Roman" w:eastAsiaTheme="minorEastAsia"/>
              </w:rPr>
              <w:t>K</w:t>
            </w:r>
            <w:r>
              <w:rPr>
                <w:rFonts w:hint="eastAsia" w:ascii="Times New Roman" w:hAnsi="Times New Roman" w:cs="Times New Roman" w:eastAsiaTheme="minorEastAsia"/>
              </w:rPr>
              <w:t>28</w:t>
            </w:r>
            <w:r>
              <w:rPr>
                <w:rFonts w:ascii="Times New Roman" w:hAnsi="Times New Roman" w:cs="Times New Roman" w:eastAsiaTheme="minorEastAsia"/>
              </w:rPr>
              <w:t>+</w:t>
            </w:r>
            <w:r>
              <w:rPr>
                <w:rFonts w:hint="eastAsia" w:ascii="Times New Roman" w:hAnsi="Times New Roman" w:cs="Times New Roman" w:eastAsiaTheme="minorEastAsia"/>
              </w:rPr>
              <w:t>40</w:t>
            </w:r>
            <w:r>
              <w:rPr>
                <w:rFonts w:ascii="Times New Roman" w:hAnsi="Times New Roman" w:cs="Times New Roman" w:eastAsiaTheme="minorEastAsia"/>
              </w:rPr>
              <w:t>0</w:t>
            </w:r>
          </w:p>
        </w:tc>
        <w:tc>
          <w:tcPr>
            <w:tcW w:w="1134" w:type="dxa"/>
            <w:vMerge w:val="restart"/>
            <w:shd w:val="clear" w:color="auto" w:fill="auto"/>
            <w:vAlign w:val="center"/>
          </w:tcPr>
          <w:p w14:paraId="4A3837DD">
            <w:pPr>
              <w:jc w:val="center"/>
              <w:rPr>
                <w:rFonts w:ascii="Times New Roman" w:hAnsi="Times New Roman" w:cs="Times New Roman" w:eastAsiaTheme="minorEastAsia"/>
              </w:rPr>
            </w:pPr>
            <w:r>
              <w:rPr>
                <w:rFonts w:hint="eastAsia" w:ascii="Times New Roman" w:hAnsi="Times New Roman" w:cs="Times New Roman" w:eastAsiaTheme="minorEastAsia"/>
              </w:rPr>
              <w:t>夏合亚迪村</w:t>
            </w:r>
          </w:p>
        </w:tc>
        <w:tc>
          <w:tcPr>
            <w:tcW w:w="567" w:type="dxa"/>
            <w:vMerge w:val="restart"/>
            <w:shd w:val="clear" w:color="auto" w:fill="auto"/>
            <w:vAlign w:val="center"/>
          </w:tcPr>
          <w:p w14:paraId="0008854B">
            <w:pPr>
              <w:jc w:val="center"/>
              <w:rPr>
                <w:rFonts w:ascii="Times New Roman" w:hAnsi="Times New Roman" w:eastAsia="宋体" w:cs="Times New Roman"/>
                <w:szCs w:val="21"/>
              </w:rPr>
            </w:pPr>
            <w:r>
              <w:rPr>
                <w:rFonts w:hint="eastAsia" w:ascii="Times New Roman" w:hAnsi="Times New Roman" w:eastAsia="宋体" w:cs="Times New Roman"/>
                <w:szCs w:val="21"/>
              </w:rPr>
              <w:t>路右</w:t>
            </w:r>
          </w:p>
        </w:tc>
        <w:tc>
          <w:tcPr>
            <w:tcW w:w="709" w:type="dxa"/>
            <w:vMerge w:val="restart"/>
            <w:shd w:val="clear" w:color="auto" w:fill="auto"/>
            <w:vAlign w:val="center"/>
          </w:tcPr>
          <w:p w14:paraId="218B0B40">
            <w:pPr>
              <w:jc w:val="center"/>
              <w:rPr>
                <w:rFonts w:ascii="Times New Roman" w:hAnsi="Times New Roman" w:eastAsia="宋体" w:cs="Times New Roman"/>
                <w:szCs w:val="21"/>
              </w:rPr>
            </w:pPr>
            <w:r>
              <w:rPr>
                <w:rFonts w:ascii="Times New Roman" w:hAnsi="Times New Roman" w:eastAsia="宋体" w:cs="Times New Roman"/>
                <w:szCs w:val="21"/>
              </w:rPr>
              <w:t>居民点</w:t>
            </w:r>
          </w:p>
        </w:tc>
        <w:tc>
          <w:tcPr>
            <w:tcW w:w="567" w:type="dxa"/>
            <w:shd w:val="clear" w:color="auto" w:fill="auto"/>
            <w:vAlign w:val="center"/>
          </w:tcPr>
          <w:p w14:paraId="14283D38">
            <w:pPr>
              <w:jc w:val="center"/>
              <w:rPr>
                <w:rFonts w:ascii="Times New Roman" w:hAnsi="Times New Roman" w:eastAsia="宋体" w:cs="Times New Roman"/>
                <w:szCs w:val="21"/>
              </w:rPr>
            </w:pPr>
            <w:r>
              <w:rPr>
                <w:rFonts w:ascii="Times New Roman" w:hAnsi="Times New Roman" w:eastAsia="宋体" w:cs="Times New Roman"/>
                <w:kern w:val="0"/>
                <w:szCs w:val="21"/>
              </w:rPr>
              <w:t>环境噪声</w:t>
            </w:r>
          </w:p>
        </w:tc>
        <w:tc>
          <w:tcPr>
            <w:tcW w:w="4283" w:type="dxa"/>
            <w:shd w:val="clear" w:color="auto" w:fill="auto"/>
            <w:vAlign w:val="center"/>
          </w:tcPr>
          <w:p w14:paraId="73CAC3BD">
            <w:pPr>
              <w:jc w:val="left"/>
              <w:rPr>
                <w:rFonts w:ascii="Times New Roman" w:hAnsi="Times New Roman" w:eastAsia="宋体" w:cs="Times New Roman"/>
                <w:szCs w:val="21"/>
              </w:rPr>
            </w:pPr>
            <w:r>
              <w:rPr>
                <w:rFonts w:ascii="Times New Roman" w:hAnsi="Times New Roman" w:eastAsia="宋体" w:cs="Times New Roman"/>
                <w:szCs w:val="21"/>
              </w:rPr>
              <w:t>临现有</w:t>
            </w:r>
            <w:r>
              <w:rPr>
                <w:rFonts w:hint="eastAsia" w:ascii="Times New Roman" w:hAnsi="Times New Roman" w:eastAsia="宋体" w:cs="Times New Roman"/>
                <w:szCs w:val="21"/>
              </w:rPr>
              <w:t>G219</w:t>
            </w:r>
            <w:r>
              <w:rPr>
                <w:rFonts w:ascii="Times New Roman" w:hAnsi="Times New Roman" w:eastAsia="宋体" w:cs="Times New Roman"/>
                <w:kern w:val="0"/>
                <w:szCs w:val="21"/>
              </w:rPr>
              <w:t>公路第一排</w:t>
            </w:r>
            <w:r>
              <w:rPr>
                <w:rFonts w:hint="eastAsia" w:ascii="Times New Roman" w:hAnsi="Times New Roman" w:eastAsia="宋体" w:cs="Times New Roman"/>
                <w:kern w:val="0"/>
                <w:szCs w:val="21"/>
              </w:rPr>
              <w:t>房屋1</w:t>
            </w:r>
            <w:r>
              <w:rPr>
                <w:rFonts w:ascii="Times New Roman" w:hAnsi="Times New Roman" w:eastAsia="宋体" w:cs="Times New Roman"/>
                <w:szCs w:val="21"/>
              </w:rPr>
              <w:t>层窗前1m，高度</w:t>
            </w:r>
            <w:r>
              <w:rPr>
                <w:rFonts w:hint="eastAsia" w:ascii="Times New Roman" w:hAnsi="Times New Roman" w:eastAsia="宋体" w:cs="Times New Roman"/>
                <w:szCs w:val="21"/>
              </w:rPr>
              <w:t>1</w:t>
            </w:r>
            <w:r>
              <w:rPr>
                <w:rFonts w:ascii="Times New Roman" w:hAnsi="Times New Roman" w:eastAsia="宋体" w:cs="Times New Roman"/>
                <w:szCs w:val="21"/>
              </w:rPr>
              <w:t>.2m</w:t>
            </w:r>
            <w:r>
              <w:rPr>
                <w:rFonts w:hint="eastAsia" w:ascii="Times New Roman" w:hAnsi="Times New Roman" w:eastAsia="宋体" w:cs="Times New Roman"/>
                <w:szCs w:val="21"/>
              </w:rPr>
              <w:t>；</w:t>
            </w:r>
            <w:r>
              <w:rPr>
                <w:rFonts w:ascii="Times New Roman" w:hAnsi="Times New Roman" w:eastAsia="宋体" w:cs="Times New Roman"/>
                <w:szCs w:val="21"/>
              </w:rPr>
              <w:t>临现有</w:t>
            </w:r>
            <w:r>
              <w:rPr>
                <w:rFonts w:hint="eastAsia" w:ascii="Times New Roman" w:hAnsi="Times New Roman" w:eastAsia="宋体" w:cs="Times New Roman"/>
                <w:szCs w:val="21"/>
              </w:rPr>
              <w:t>G219</w:t>
            </w:r>
            <w:r>
              <w:rPr>
                <w:rFonts w:ascii="Times New Roman" w:hAnsi="Times New Roman" w:eastAsia="宋体" w:cs="Times New Roman"/>
                <w:szCs w:val="21"/>
              </w:rPr>
              <w:t>公路边界</w:t>
            </w:r>
            <w:r>
              <w:rPr>
                <w:rFonts w:hint="eastAsia" w:ascii="Times New Roman" w:hAnsi="Times New Roman" w:eastAsia="宋体" w:cs="Times New Roman"/>
                <w:szCs w:val="21"/>
              </w:rPr>
              <w:t>35</w:t>
            </w:r>
            <w:r>
              <w:rPr>
                <w:rFonts w:ascii="Times New Roman" w:hAnsi="Times New Roman" w:eastAsia="宋体" w:cs="Times New Roman"/>
                <w:szCs w:val="21"/>
              </w:rPr>
              <w:t>m外第一排房</w:t>
            </w:r>
            <w:r>
              <w:rPr>
                <w:rFonts w:hint="eastAsia" w:ascii="Times New Roman" w:hAnsi="Times New Roman" w:eastAsia="宋体" w:cs="Times New Roman"/>
                <w:szCs w:val="21"/>
              </w:rPr>
              <w:t>1</w:t>
            </w:r>
            <w:r>
              <w:rPr>
                <w:rFonts w:ascii="Times New Roman" w:hAnsi="Times New Roman" w:eastAsia="宋体" w:cs="Times New Roman"/>
                <w:szCs w:val="21"/>
              </w:rPr>
              <w:t>层窗前1m，高度</w:t>
            </w:r>
            <w:r>
              <w:rPr>
                <w:rFonts w:hint="eastAsia" w:ascii="Times New Roman" w:hAnsi="Times New Roman" w:eastAsia="宋体" w:cs="Times New Roman"/>
                <w:szCs w:val="21"/>
              </w:rPr>
              <w:t>1</w:t>
            </w:r>
            <w:r>
              <w:rPr>
                <w:rFonts w:ascii="Times New Roman" w:hAnsi="Times New Roman" w:eastAsia="宋体" w:cs="Times New Roman"/>
                <w:szCs w:val="21"/>
              </w:rPr>
              <w:t>.2m；同步监测，并按大、中、小型车，记录现有</w:t>
            </w:r>
            <w:r>
              <w:rPr>
                <w:rFonts w:hint="eastAsia" w:ascii="Times New Roman" w:hAnsi="Times New Roman" w:eastAsia="宋体" w:cs="Times New Roman"/>
                <w:szCs w:val="21"/>
              </w:rPr>
              <w:t>G219</w:t>
            </w:r>
            <w:r>
              <w:rPr>
                <w:rFonts w:ascii="Times New Roman" w:hAnsi="Times New Roman" w:eastAsia="宋体" w:cs="Times New Roman"/>
                <w:szCs w:val="21"/>
              </w:rPr>
              <w:t>公路交通量。</w:t>
            </w:r>
          </w:p>
        </w:tc>
      </w:tr>
      <w:tr w14:paraId="72975E9B">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cantSplit/>
          <w:trHeight w:val="372" w:hRule="atLeast"/>
          <w:jc w:val="center"/>
        </w:trPr>
        <w:tc>
          <w:tcPr>
            <w:tcW w:w="267" w:type="dxa"/>
            <w:vMerge w:val="continue"/>
            <w:shd w:val="clear" w:color="auto" w:fill="auto"/>
            <w:vAlign w:val="center"/>
          </w:tcPr>
          <w:p w14:paraId="53496BC1">
            <w:pPr>
              <w:widowControl/>
              <w:jc w:val="center"/>
              <w:rPr>
                <w:rFonts w:ascii="Times New Roman" w:hAnsi="Times New Roman" w:eastAsia="宋体" w:cs="Times New Roman"/>
                <w:kern w:val="0"/>
                <w:szCs w:val="21"/>
              </w:rPr>
            </w:pPr>
          </w:p>
        </w:tc>
        <w:tc>
          <w:tcPr>
            <w:tcW w:w="1325" w:type="dxa"/>
            <w:vMerge w:val="continue"/>
            <w:shd w:val="clear" w:color="auto" w:fill="auto"/>
            <w:vAlign w:val="center"/>
          </w:tcPr>
          <w:p w14:paraId="6F239F5A">
            <w:pPr>
              <w:widowControl/>
              <w:jc w:val="center"/>
              <w:rPr>
                <w:rFonts w:ascii="Times New Roman" w:hAnsi="Times New Roman" w:cs="Times New Roman" w:eastAsiaTheme="minorEastAsia"/>
              </w:rPr>
            </w:pPr>
          </w:p>
        </w:tc>
        <w:tc>
          <w:tcPr>
            <w:tcW w:w="1134" w:type="dxa"/>
            <w:vMerge w:val="continue"/>
            <w:shd w:val="clear" w:color="auto" w:fill="auto"/>
            <w:vAlign w:val="center"/>
          </w:tcPr>
          <w:p w14:paraId="09A5AFCB">
            <w:pPr>
              <w:widowControl/>
              <w:jc w:val="center"/>
              <w:rPr>
                <w:rFonts w:ascii="Times New Roman" w:cs="Times New Roman" w:hAnsiTheme="minorEastAsia" w:eastAsiaTheme="minorEastAsia"/>
              </w:rPr>
            </w:pPr>
          </w:p>
        </w:tc>
        <w:tc>
          <w:tcPr>
            <w:tcW w:w="567" w:type="dxa"/>
            <w:vMerge w:val="continue"/>
            <w:shd w:val="clear" w:color="auto" w:fill="auto"/>
            <w:vAlign w:val="center"/>
          </w:tcPr>
          <w:p w14:paraId="2EABF170">
            <w:pPr>
              <w:jc w:val="center"/>
              <w:rPr>
                <w:rFonts w:ascii="Times New Roman" w:hAnsi="Times New Roman" w:eastAsia="宋体" w:cs="Times New Roman"/>
                <w:szCs w:val="21"/>
              </w:rPr>
            </w:pPr>
          </w:p>
        </w:tc>
        <w:tc>
          <w:tcPr>
            <w:tcW w:w="709" w:type="dxa"/>
            <w:vMerge w:val="continue"/>
            <w:shd w:val="clear" w:color="auto" w:fill="auto"/>
            <w:vAlign w:val="center"/>
          </w:tcPr>
          <w:p w14:paraId="19C8985A">
            <w:pPr>
              <w:jc w:val="center"/>
              <w:rPr>
                <w:rFonts w:ascii="Times New Roman" w:hAnsi="Times New Roman" w:eastAsia="宋体" w:cs="Times New Roman"/>
                <w:szCs w:val="21"/>
              </w:rPr>
            </w:pPr>
          </w:p>
        </w:tc>
        <w:tc>
          <w:tcPr>
            <w:tcW w:w="567" w:type="dxa"/>
            <w:shd w:val="clear" w:color="auto" w:fill="auto"/>
            <w:vAlign w:val="center"/>
          </w:tcPr>
          <w:p w14:paraId="775A0A1B">
            <w:pPr>
              <w:jc w:val="center"/>
              <w:rPr>
                <w:rFonts w:ascii="Times New Roman" w:hAnsi="Times New Roman" w:eastAsia="宋体" w:cs="Times New Roman"/>
                <w:szCs w:val="21"/>
              </w:rPr>
            </w:pPr>
            <w:r>
              <w:rPr>
                <w:rFonts w:ascii="Times New Roman" w:hAnsi="Times New Roman" w:eastAsia="宋体" w:cs="Times New Roman"/>
                <w:szCs w:val="21"/>
              </w:rPr>
              <w:t>背景噪声</w:t>
            </w:r>
          </w:p>
        </w:tc>
        <w:tc>
          <w:tcPr>
            <w:tcW w:w="4283" w:type="dxa"/>
            <w:shd w:val="clear" w:color="auto" w:fill="auto"/>
            <w:vAlign w:val="center"/>
          </w:tcPr>
          <w:p w14:paraId="1262AAEC">
            <w:pPr>
              <w:jc w:val="left"/>
              <w:rPr>
                <w:rFonts w:ascii="Times New Roman" w:hAnsi="Times New Roman" w:eastAsia="宋体" w:cs="Times New Roman"/>
                <w:szCs w:val="21"/>
              </w:rPr>
            </w:pPr>
            <w:r>
              <w:rPr>
                <w:rFonts w:hint="eastAsia" w:ascii="Times New Roman" w:hAnsi="Times New Roman" w:eastAsia="宋体" w:cs="Times New Roman"/>
                <w:szCs w:val="21"/>
              </w:rPr>
              <w:t>远离现有G219</w:t>
            </w:r>
            <w:r>
              <w:rPr>
                <w:rFonts w:ascii="Times New Roman" w:hAnsi="Times New Roman" w:eastAsia="宋体" w:cs="Times New Roman"/>
                <w:kern w:val="0"/>
                <w:szCs w:val="21"/>
              </w:rPr>
              <w:t>公路200m以外，1层窗前1m，高度1.2m。</w:t>
            </w:r>
          </w:p>
        </w:tc>
      </w:tr>
      <w:tr w14:paraId="3D0FA15B">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cantSplit/>
          <w:trHeight w:val="623" w:hRule="atLeast"/>
          <w:jc w:val="center"/>
        </w:trPr>
        <w:tc>
          <w:tcPr>
            <w:tcW w:w="267" w:type="dxa"/>
            <w:shd w:val="clear" w:color="auto" w:fill="auto"/>
            <w:vAlign w:val="center"/>
          </w:tcPr>
          <w:p w14:paraId="57D886C4">
            <w:pPr>
              <w:widowControl/>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9</w:t>
            </w:r>
          </w:p>
        </w:tc>
        <w:tc>
          <w:tcPr>
            <w:tcW w:w="1325" w:type="dxa"/>
            <w:shd w:val="clear" w:color="auto" w:fill="auto"/>
            <w:vAlign w:val="center"/>
          </w:tcPr>
          <w:p w14:paraId="1AF200AF">
            <w:pPr>
              <w:widowControl/>
              <w:jc w:val="center"/>
              <w:rPr>
                <w:rFonts w:ascii="Times New Roman" w:hAnsi="Times New Roman" w:cs="Times New Roman" w:eastAsiaTheme="minorEastAsia"/>
                <w:kern w:val="0"/>
              </w:rPr>
            </w:pPr>
            <w:r>
              <w:rPr>
                <w:rFonts w:ascii="Times New Roman" w:hAnsi="Times New Roman" w:cs="Times New Roman" w:eastAsiaTheme="minorEastAsia"/>
              </w:rPr>
              <w:t>K</w:t>
            </w:r>
            <w:r>
              <w:rPr>
                <w:rFonts w:hint="eastAsia" w:ascii="Times New Roman" w:hAnsi="Times New Roman" w:cs="Times New Roman" w:eastAsiaTheme="minorEastAsia"/>
              </w:rPr>
              <w:t>28</w:t>
            </w:r>
            <w:r>
              <w:rPr>
                <w:rFonts w:ascii="Times New Roman" w:hAnsi="Times New Roman" w:cs="Times New Roman" w:eastAsiaTheme="minorEastAsia"/>
              </w:rPr>
              <w:t>+</w:t>
            </w:r>
            <w:r>
              <w:rPr>
                <w:rFonts w:hint="eastAsia" w:ascii="Times New Roman" w:hAnsi="Times New Roman" w:cs="Times New Roman" w:eastAsiaTheme="minorEastAsia"/>
              </w:rPr>
              <w:t>50</w:t>
            </w:r>
            <w:r>
              <w:rPr>
                <w:rFonts w:ascii="Times New Roman" w:hAnsi="Times New Roman" w:cs="Times New Roman" w:eastAsiaTheme="minorEastAsia"/>
              </w:rPr>
              <w:t>0</w:t>
            </w:r>
          </w:p>
        </w:tc>
        <w:tc>
          <w:tcPr>
            <w:tcW w:w="1134" w:type="dxa"/>
            <w:shd w:val="clear" w:color="auto" w:fill="auto"/>
            <w:vAlign w:val="center"/>
          </w:tcPr>
          <w:p w14:paraId="35FCF109">
            <w:pPr>
              <w:jc w:val="center"/>
              <w:rPr>
                <w:rFonts w:ascii="Times New Roman" w:hAnsi="Times New Roman" w:cs="Times New Roman" w:eastAsiaTheme="minorEastAsia"/>
              </w:rPr>
            </w:pPr>
            <w:r>
              <w:rPr>
                <w:rFonts w:hint="eastAsia" w:ascii="Times New Roman" w:cs="Times New Roman" w:hAnsiTheme="minorEastAsia" w:eastAsiaTheme="minorEastAsia"/>
              </w:rPr>
              <w:t>夏合亚迪村小学</w:t>
            </w:r>
          </w:p>
        </w:tc>
        <w:tc>
          <w:tcPr>
            <w:tcW w:w="567" w:type="dxa"/>
            <w:shd w:val="clear" w:color="auto" w:fill="auto"/>
            <w:vAlign w:val="center"/>
          </w:tcPr>
          <w:p w14:paraId="3B7C7571">
            <w:pPr>
              <w:widowControl/>
              <w:jc w:val="center"/>
              <w:rPr>
                <w:rFonts w:ascii="Times New Roman" w:hAnsi="Times New Roman" w:cs="Times New Roman" w:eastAsiaTheme="minorEastAsia"/>
                <w:kern w:val="0"/>
              </w:rPr>
            </w:pPr>
            <w:r>
              <w:rPr>
                <w:rFonts w:ascii="Times New Roman" w:cs="Times New Roman" w:hAnsiTheme="minorEastAsia" w:eastAsiaTheme="minorEastAsia"/>
              </w:rPr>
              <w:t>路右</w:t>
            </w:r>
          </w:p>
        </w:tc>
        <w:tc>
          <w:tcPr>
            <w:tcW w:w="709" w:type="dxa"/>
            <w:shd w:val="clear" w:color="auto" w:fill="auto"/>
            <w:vAlign w:val="center"/>
          </w:tcPr>
          <w:p w14:paraId="2C2DEE44">
            <w:pPr>
              <w:jc w:val="center"/>
              <w:rPr>
                <w:rFonts w:ascii="Times New Roman" w:hAnsi="Times New Roman" w:eastAsia="宋体" w:cs="Times New Roman"/>
                <w:szCs w:val="21"/>
              </w:rPr>
            </w:pPr>
            <w:r>
              <w:rPr>
                <w:rFonts w:ascii="Times New Roman" w:hAnsi="Times New Roman" w:eastAsia="宋体" w:cs="Times New Roman"/>
                <w:szCs w:val="21"/>
              </w:rPr>
              <w:t>学校</w:t>
            </w:r>
          </w:p>
        </w:tc>
        <w:tc>
          <w:tcPr>
            <w:tcW w:w="567" w:type="dxa"/>
            <w:shd w:val="clear" w:color="auto" w:fill="auto"/>
            <w:vAlign w:val="center"/>
          </w:tcPr>
          <w:p w14:paraId="3CA36877">
            <w:pPr>
              <w:jc w:val="center"/>
              <w:rPr>
                <w:rFonts w:ascii="Times New Roman" w:hAnsi="Times New Roman" w:eastAsia="宋体" w:cs="Times New Roman"/>
                <w:szCs w:val="21"/>
              </w:rPr>
            </w:pPr>
            <w:r>
              <w:rPr>
                <w:rFonts w:ascii="Times New Roman" w:hAnsi="Times New Roman" w:eastAsia="宋体" w:cs="Times New Roman"/>
                <w:kern w:val="0"/>
                <w:szCs w:val="21"/>
              </w:rPr>
              <w:t>环境噪声</w:t>
            </w:r>
          </w:p>
        </w:tc>
        <w:tc>
          <w:tcPr>
            <w:tcW w:w="4283" w:type="dxa"/>
            <w:shd w:val="clear" w:color="auto" w:fill="auto"/>
            <w:vAlign w:val="center"/>
          </w:tcPr>
          <w:p w14:paraId="7C9AB1B2">
            <w:pPr>
              <w:jc w:val="left"/>
              <w:rPr>
                <w:rFonts w:ascii="Times New Roman" w:hAnsi="Times New Roman" w:eastAsia="宋体" w:cs="Times New Roman"/>
                <w:szCs w:val="21"/>
              </w:rPr>
            </w:pPr>
            <w:r>
              <w:rPr>
                <w:rFonts w:ascii="Times New Roman" w:hAnsi="Times New Roman" w:eastAsia="宋体" w:cs="Times New Roman"/>
                <w:szCs w:val="21"/>
              </w:rPr>
              <w:t>临现有</w:t>
            </w:r>
            <w:r>
              <w:rPr>
                <w:rFonts w:hint="eastAsia" w:ascii="Times New Roman" w:hAnsi="Times New Roman" w:eastAsia="宋体" w:cs="Times New Roman"/>
                <w:szCs w:val="21"/>
              </w:rPr>
              <w:t>G219</w:t>
            </w:r>
            <w:r>
              <w:rPr>
                <w:rFonts w:ascii="Times New Roman" w:hAnsi="Times New Roman" w:eastAsia="宋体" w:cs="Times New Roman"/>
                <w:kern w:val="0"/>
                <w:szCs w:val="21"/>
              </w:rPr>
              <w:t>公路</w:t>
            </w:r>
            <w:r>
              <w:rPr>
                <w:rFonts w:ascii="Times New Roman" w:hAnsi="Times New Roman" w:eastAsia="宋体" w:cs="Times New Roman"/>
                <w:szCs w:val="21"/>
              </w:rPr>
              <w:t>第一排</w:t>
            </w:r>
            <w:r>
              <w:rPr>
                <w:rFonts w:hint="eastAsia" w:ascii="Times New Roman" w:hAnsi="Times New Roman" w:eastAsia="宋体" w:cs="Times New Roman"/>
                <w:szCs w:val="21"/>
              </w:rPr>
              <w:t>教学楼2</w:t>
            </w:r>
            <w:r>
              <w:rPr>
                <w:rFonts w:ascii="Times New Roman" w:hAnsi="Times New Roman" w:eastAsia="宋体" w:cs="Times New Roman"/>
                <w:szCs w:val="21"/>
              </w:rPr>
              <w:t>层窗前1m，高</w:t>
            </w:r>
            <w:r>
              <w:rPr>
                <w:rFonts w:hint="eastAsia" w:ascii="Times New Roman" w:hAnsi="Times New Roman" w:eastAsia="宋体" w:cs="Times New Roman"/>
                <w:szCs w:val="21"/>
              </w:rPr>
              <w:t>4</w:t>
            </w:r>
            <w:r>
              <w:rPr>
                <w:rFonts w:ascii="Times New Roman" w:hAnsi="Times New Roman" w:eastAsia="宋体" w:cs="Times New Roman"/>
                <w:szCs w:val="21"/>
              </w:rPr>
              <w:t>.2</w:t>
            </w:r>
            <w:r>
              <w:rPr>
                <w:rFonts w:hint="eastAsia" w:ascii="Times New Roman" w:hAnsi="Times New Roman" w:eastAsia="宋体" w:cs="Times New Roman"/>
                <w:szCs w:val="21"/>
              </w:rPr>
              <w:t>m，</w:t>
            </w:r>
            <w:r>
              <w:rPr>
                <w:rFonts w:ascii="Times New Roman" w:hAnsi="Times New Roman" w:eastAsia="宋体" w:cs="Times New Roman"/>
                <w:szCs w:val="21"/>
              </w:rPr>
              <w:t>并按大、中、小型车，记录现有G</w:t>
            </w:r>
            <w:r>
              <w:rPr>
                <w:rFonts w:hint="eastAsia" w:ascii="Times New Roman" w:hAnsi="Times New Roman" w:eastAsia="宋体" w:cs="Times New Roman"/>
                <w:szCs w:val="21"/>
              </w:rPr>
              <w:t>219</w:t>
            </w:r>
            <w:r>
              <w:rPr>
                <w:rFonts w:ascii="Times New Roman" w:hAnsi="Times New Roman" w:eastAsia="宋体" w:cs="Times New Roman"/>
                <w:szCs w:val="21"/>
              </w:rPr>
              <w:t>公路交通量。</w:t>
            </w:r>
          </w:p>
        </w:tc>
      </w:tr>
      <w:tr w14:paraId="07E403AA">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cantSplit/>
          <w:trHeight w:val="623" w:hRule="atLeast"/>
          <w:jc w:val="center"/>
        </w:trPr>
        <w:tc>
          <w:tcPr>
            <w:tcW w:w="267" w:type="dxa"/>
            <w:shd w:val="clear" w:color="auto" w:fill="auto"/>
            <w:vAlign w:val="center"/>
          </w:tcPr>
          <w:p w14:paraId="62E35ADE">
            <w:pPr>
              <w:widowControl/>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10</w:t>
            </w:r>
          </w:p>
        </w:tc>
        <w:tc>
          <w:tcPr>
            <w:tcW w:w="1325" w:type="dxa"/>
            <w:shd w:val="clear" w:color="auto" w:fill="auto"/>
            <w:vAlign w:val="center"/>
          </w:tcPr>
          <w:p w14:paraId="3B1B7840">
            <w:pPr>
              <w:widowControl/>
              <w:jc w:val="center"/>
              <w:rPr>
                <w:rFonts w:ascii="Times New Roman" w:hAnsi="Times New Roman" w:cs="Times New Roman" w:eastAsiaTheme="minorEastAsia"/>
                <w:kern w:val="0"/>
              </w:rPr>
            </w:pPr>
            <w:r>
              <w:rPr>
                <w:rFonts w:ascii="Times New Roman" w:hAnsi="Times New Roman" w:cs="Times New Roman" w:eastAsiaTheme="minorEastAsia"/>
              </w:rPr>
              <w:t>K</w:t>
            </w:r>
            <w:r>
              <w:rPr>
                <w:rFonts w:hint="eastAsia" w:ascii="Times New Roman" w:hAnsi="Times New Roman" w:cs="Times New Roman" w:eastAsiaTheme="minorEastAsia"/>
              </w:rPr>
              <w:t>28</w:t>
            </w:r>
            <w:r>
              <w:rPr>
                <w:rFonts w:ascii="Times New Roman" w:hAnsi="Times New Roman" w:cs="Times New Roman" w:eastAsiaTheme="minorEastAsia"/>
              </w:rPr>
              <w:t>+</w:t>
            </w:r>
            <w:r>
              <w:rPr>
                <w:rFonts w:hint="eastAsia" w:ascii="Times New Roman" w:hAnsi="Times New Roman" w:cs="Times New Roman" w:eastAsiaTheme="minorEastAsia"/>
              </w:rPr>
              <w:t>67</w:t>
            </w:r>
            <w:r>
              <w:rPr>
                <w:rFonts w:ascii="Times New Roman" w:hAnsi="Times New Roman" w:cs="Times New Roman" w:eastAsiaTheme="minorEastAsia"/>
              </w:rPr>
              <w:t>0</w:t>
            </w:r>
          </w:p>
        </w:tc>
        <w:tc>
          <w:tcPr>
            <w:tcW w:w="1134" w:type="dxa"/>
            <w:shd w:val="clear" w:color="auto" w:fill="auto"/>
            <w:vAlign w:val="center"/>
          </w:tcPr>
          <w:p w14:paraId="2F5FF9B9">
            <w:pPr>
              <w:widowControl/>
              <w:jc w:val="center"/>
              <w:rPr>
                <w:rFonts w:ascii="Times New Roman" w:hAnsi="Times New Roman" w:cs="Times New Roman" w:eastAsiaTheme="minorEastAsia"/>
                <w:kern w:val="0"/>
              </w:rPr>
            </w:pPr>
            <w:r>
              <w:rPr>
                <w:rFonts w:hint="eastAsia" w:ascii="Times New Roman" w:cs="Times New Roman" w:hAnsiTheme="minorEastAsia" w:eastAsiaTheme="minorEastAsia"/>
              </w:rPr>
              <w:t>伽师县和夏阿瓦提镇夏合亚迪村幼儿园</w:t>
            </w:r>
          </w:p>
        </w:tc>
        <w:tc>
          <w:tcPr>
            <w:tcW w:w="567" w:type="dxa"/>
            <w:shd w:val="clear" w:color="auto" w:fill="auto"/>
            <w:vAlign w:val="center"/>
          </w:tcPr>
          <w:p w14:paraId="0B8D5A2E">
            <w:pPr>
              <w:jc w:val="center"/>
              <w:rPr>
                <w:rFonts w:ascii="Times New Roman" w:hAnsi="Times New Roman" w:eastAsia="宋体" w:cs="Times New Roman"/>
                <w:szCs w:val="21"/>
              </w:rPr>
            </w:pPr>
            <w:r>
              <w:rPr>
                <w:rFonts w:hint="eastAsia" w:ascii="Times New Roman" w:hAnsi="Times New Roman" w:eastAsia="宋体" w:cs="Times New Roman"/>
                <w:szCs w:val="21"/>
              </w:rPr>
              <w:t>路左</w:t>
            </w:r>
          </w:p>
        </w:tc>
        <w:tc>
          <w:tcPr>
            <w:tcW w:w="709" w:type="dxa"/>
            <w:shd w:val="clear" w:color="auto" w:fill="auto"/>
            <w:vAlign w:val="center"/>
          </w:tcPr>
          <w:p w14:paraId="3B533142">
            <w:pPr>
              <w:jc w:val="center"/>
              <w:rPr>
                <w:rFonts w:ascii="Times New Roman" w:hAnsi="Times New Roman" w:eastAsia="宋体" w:cs="Times New Roman"/>
                <w:szCs w:val="21"/>
              </w:rPr>
            </w:pPr>
            <w:r>
              <w:rPr>
                <w:rFonts w:ascii="Times New Roman" w:hAnsi="Times New Roman" w:eastAsia="宋体" w:cs="Times New Roman"/>
                <w:szCs w:val="21"/>
              </w:rPr>
              <w:t>学校</w:t>
            </w:r>
          </w:p>
        </w:tc>
        <w:tc>
          <w:tcPr>
            <w:tcW w:w="567" w:type="dxa"/>
            <w:shd w:val="clear" w:color="auto" w:fill="auto"/>
            <w:vAlign w:val="center"/>
          </w:tcPr>
          <w:p w14:paraId="1939B02C">
            <w:pPr>
              <w:jc w:val="center"/>
              <w:rPr>
                <w:rFonts w:ascii="Times New Roman" w:hAnsi="Times New Roman" w:eastAsia="宋体" w:cs="Times New Roman"/>
                <w:szCs w:val="21"/>
              </w:rPr>
            </w:pPr>
            <w:r>
              <w:rPr>
                <w:rFonts w:ascii="Times New Roman" w:hAnsi="Times New Roman" w:eastAsia="宋体" w:cs="Times New Roman"/>
                <w:kern w:val="0"/>
                <w:szCs w:val="21"/>
              </w:rPr>
              <w:t>环境噪声</w:t>
            </w:r>
          </w:p>
        </w:tc>
        <w:tc>
          <w:tcPr>
            <w:tcW w:w="4283" w:type="dxa"/>
            <w:shd w:val="clear" w:color="auto" w:fill="auto"/>
            <w:vAlign w:val="center"/>
          </w:tcPr>
          <w:p w14:paraId="2F5688FE">
            <w:pPr>
              <w:jc w:val="left"/>
              <w:rPr>
                <w:rFonts w:ascii="Times New Roman" w:hAnsi="Times New Roman" w:eastAsia="宋体" w:cs="Times New Roman"/>
                <w:szCs w:val="21"/>
              </w:rPr>
            </w:pPr>
            <w:r>
              <w:rPr>
                <w:rFonts w:ascii="Times New Roman" w:hAnsi="Times New Roman" w:eastAsia="宋体" w:cs="Times New Roman"/>
                <w:szCs w:val="21"/>
              </w:rPr>
              <w:t>临现有</w:t>
            </w:r>
            <w:r>
              <w:rPr>
                <w:rFonts w:hint="eastAsia" w:ascii="Times New Roman" w:hAnsi="Times New Roman" w:eastAsia="宋体" w:cs="Times New Roman"/>
                <w:szCs w:val="21"/>
              </w:rPr>
              <w:t>G219</w:t>
            </w:r>
            <w:r>
              <w:rPr>
                <w:rFonts w:ascii="Times New Roman" w:hAnsi="Times New Roman" w:eastAsia="宋体" w:cs="Times New Roman"/>
                <w:kern w:val="0"/>
                <w:szCs w:val="21"/>
              </w:rPr>
              <w:t>公路</w:t>
            </w:r>
            <w:r>
              <w:rPr>
                <w:rFonts w:ascii="Times New Roman" w:hAnsi="Times New Roman" w:eastAsia="宋体" w:cs="Times New Roman"/>
                <w:szCs w:val="21"/>
              </w:rPr>
              <w:t>第一排</w:t>
            </w:r>
            <w:r>
              <w:rPr>
                <w:rFonts w:hint="eastAsia" w:ascii="Times New Roman" w:hAnsi="Times New Roman" w:eastAsia="宋体" w:cs="Times New Roman"/>
                <w:szCs w:val="21"/>
              </w:rPr>
              <w:t>教学楼2</w:t>
            </w:r>
            <w:r>
              <w:rPr>
                <w:rFonts w:ascii="Times New Roman" w:hAnsi="Times New Roman" w:eastAsia="宋体" w:cs="Times New Roman"/>
                <w:szCs w:val="21"/>
              </w:rPr>
              <w:t>层窗前1m，高</w:t>
            </w:r>
            <w:r>
              <w:rPr>
                <w:rFonts w:hint="eastAsia" w:ascii="Times New Roman" w:hAnsi="Times New Roman" w:eastAsia="宋体" w:cs="Times New Roman"/>
                <w:szCs w:val="21"/>
              </w:rPr>
              <w:t>4</w:t>
            </w:r>
            <w:r>
              <w:rPr>
                <w:rFonts w:ascii="Times New Roman" w:hAnsi="Times New Roman" w:eastAsia="宋体" w:cs="Times New Roman"/>
                <w:szCs w:val="21"/>
              </w:rPr>
              <w:t>.2</w:t>
            </w:r>
            <w:r>
              <w:rPr>
                <w:rFonts w:hint="eastAsia" w:ascii="Times New Roman" w:hAnsi="Times New Roman" w:eastAsia="宋体" w:cs="Times New Roman"/>
                <w:szCs w:val="21"/>
              </w:rPr>
              <w:t>m，</w:t>
            </w:r>
            <w:r>
              <w:rPr>
                <w:rFonts w:ascii="Times New Roman" w:hAnsi="Times New Roman" w:eastAsia="宋体" w:cs="Times New Roman"/>
                <w:szCs w:val="21"/>
              </w:rPr>
              <w:t>并按大、中、小型车，记录现有G</w:t>
            </w:r>
            <w:r>
              <w:rPr>
                <w:rFonts w:hint="eastAsia" w:ascii="Times New Roman" w:hAnsi="Times New Roman" w:eastAsia="宋体" w:cs="Times New Roman"/>
                <w:szCs w:val="21"/>
              </w:rPr>
              <w:t>219</w:t>
            </w:r>
            <w:r>
              <w:rPr>
                <w:rFonts w:ascii="Times New Roman" w:hAnsi="Times New Roman" w:eastAsia="宋体" w:cs="Times New Roman"/>
                <w:szCs w:val="21"/>
              </w:rPr>
              <w:t>公路交通量。</w:t>
            </w:r>
          </w:p>
        </w:tc>
      </w:tr>
      <w:tr w14:paraId="028A4FEF">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cantSplit/>
          <w:trHeight w:val="780" w:hRule="atLeast"/>
          <w:jc w:val="center"/>
        </w:trPr>
        <w:tc>
          <w:tcPr>
            <w:tcW w:w="267" w:type="dxa"/>
            <w:vMerge w:val="restart"/>
            <w:shd w:val="clear" w:color="auto" w:fill="auto"/>
            <w:vAlign w:val="center"/>
          </w:tcPr>
          <w:p w14:paraId="4D0E1D39">
            <w:pPr>
              <w:widowControl/>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11</w:t>
            </w:r>
          </w:p>
        </w:tc>
        <w:tc>
          <w:tcPr>
            <w:tcW w:w="1325" w:type="dxa"/>
            <w:vMerge w:val="restart"/>
            <w:shd w:val="clear" w:color="auto" w:fill="auto"/>
            <w:vAlign w:val="center"/>
          </w:tcPr>
          <w:p w14:paraId="4C369613">
            <w:pPr>
              <w:widowControl/>
              <w:jc w:val="center"/>
              <w:rPr>
                <w:rFonts w:ascii="Times New Roman" w:hAnsi="Times New Roman" w:cs="Times New Roman" w:eastAsiaTheme="minorEastAsia"/>
                <w:kern w:val="0"/>
              </w:rPr>
            </w:pPr>
            <w:r>
              <w:rPr>
                <w:rFonts w:ascii="Times New Roman" w:hAnsi="Times New Roman" w:cs="Times New Roman" w:eastAsiaTheme="minorEastAsia"/>
              </w:rPr>
              <w:t>K</w:t>
            </w:r>
            <w:r>
              <w:rPr>
                <w:rFonts w:hint="eastAsia" w:ascii="Times New Roman" w:hAnsi="Times New Roman" w:cs="Times New Roman" w:eastAsiaTheme="minorEastAsia"/>
              </w:rPr>
              <w:t>31</w:t>
            </w:r>
            <w:r>
              <w:rPr>
                <w:rFonts w:ascii="Times New Roman" w:hAnsi="Times New Roman" w:cs="Times New Roman" w:eastAsiaTheme="minorEastAsia"/>
              </w:rPr>
              <w:t>+</w:t>
            </w:r>
            <w:r>
              <w:rPr>
                <w:rFonts w:hint="eastAsia" w:ascii="Times New Roman" w:hAnsi="Times New Roman" w:cs="Times New Roman" w:eastAsiaTheme="minorEastAsia"/>
              </w:rPr>
              <w:t>2</w:t>
            </w:r>
            <w:r>
              <w:rPr>
                <w:rFonts w:ascii="Times New Roman" w:hAnsi="Times New Roman" w:cs="Times New Roman" w:eastAsiaTheme="minorEastAsia"/>
              </w:rPr>
              <w:t>00</w:t>
            </w:r>
          </w:p>
        </w:tc>
        <w:tc>
          <w:tcPr>
            <w:tcW w:w="1134" w:type="dxa"/>
            <w:vMerge w:val="restart"/>
            <w:shd w:val="clear" w:color="auto" w:fill="auto"/>
            <w:vAlign w:val="center"/>
          </w:tcPr>
          <w:p w14:paraId="7B797496">
            <w:pPr>
              <w:widowControl/>
              <w:jc w:val="center"/>
              <w:rPr>
                <w:rFonts w:ascii="Times New Roman" w:hAnsi="Times New Roman" w:cs="Times New Roman" w:eastAsiaTheme="minorEastAsia"/>
                <w:kern w:val="0"/>
              </w:rPr>
            </w:pPr>
            <w:r>
              <w:rPr>
                <w:rFonts w:hint="eastAsia" w:ascii="Times New Roman" w:cs="Times New Roman" w:hAnsiTheme="minorEastAsia" w:eastAsiaTheme="minorEastAsia"/>
              </w:rPr>
              <w:t>帕合塔买里斯村</w:t>
            </w:r>
          </w:p>
        </w:tc>
        <w:tc>
          <w:tcPr>
            <w:tcW w:w="567" w:type="dxa"/>
            <w:vMerge w:val="restart"/>
            <w:shd w:val="clear" w:color="auto" w:fill="auto"/>
            <w:vAlign w:val="center"/>
          </w:tcPr>
          <w:p w14:paraId="7C07A234">
            <w:pPr>
              <w:jc w:val="center"/>
              <w:rPr>
                <w:rFonts w:ascii="Times New Roman" w:hAnsi="Times New Roman" w:eastAsia="宋体" w:cs="Times New Roman"/>
                <w:szCs w:val="21"/>
              </w:rPr>
            </w:pPr>
            <w:r>
              <w:rPr>
                <w:rFonts w:hint="eastAsia" w:ascii="Times New Roman" w:hAnsi="Times New Roman" w:eastAsia="宋体" w:cs="Times New Roman"/>
                <w:szCs w:val="21"/>
              </w:rPr>
              <w:t>路左</w:t>
            </w:r>
          </w:p>
        </w:tc>
        <w:tc>
          <w:tcPr>
            <w:tcW w:w="709" w:type="dxa"/>
            <w:vMerge w:val="restart"/>
            <w:shd w:val="clear" w:color="auto" w:fill="auto"/>
            <w:vAlign w:val="center"/>
          </w:tcPr>
          <w:p w14:paraId="60B61028">
            <w:pPr>
              <w:jc w:val="center"/>
              <w:rPr>
                <w:rFonts w:ascii="Times New Roman" w:hAnsi="Times New Roman" w:eastAsia="宋体" w:cs="Times New Roman"/>
                <w:szCs w:val="21"/>
              </w:rPr>
            </w:pPr>
            <w:r>
              <w:rPr>
                <w:rFonts w:ascii="Times New Roman" w:hAnsi="Times New Roman" w:eastAsia="宋体" w:cs="Times New Roman"/>
                <w:szCs w:val="21"/>
              </w:rPr>
              <w:t>居民点</w:t>
            </w:r>
          </w:p>
        </w:tc>
        <w:tc>
          <w:tcPr>
            <w:tcW w:w="567" w:type="dxa"/>
            <w:shd w:val="clear" w:color="auto" w:fill="auto"/>
            <w:vAlign w:val="center"/>
          </w:tcPr>
          <w:p w14:paraId="1EC09D50">
            <w:pPr>
              <w:jc w:val="center"/>
              <w:rPr>
                <w:rFonts w:ascii="Times New Roman" w:hAnsi="Times New Roman" w:eastAsia="宋体" w:cs="Times New Roman"/>
                <w:szCs w:val="21"/>
              </w:rPr>
            </w:pPr>
            <w:r>
              <w:rPr>
                <w:rFonts w:ascii="Times New Roman" w:hAnsi="Times New Roman" w:eastAsia="宋体" w:cs="Times New Roman"/>
                <w:kern w:val="0"/>
                <w:szCs w:val="21"/>
              </w:rPr>
              <w:t>环境噪声</w:t>
            </w:r>
          </w:p>
        </w:tc>
        <w:tc>
          <w:tcPr>
            <w:tcW w:w="4283" w:type="dxa"/>
            <w:shd w:val="clear" w:color="auto" w:fill="auto"/>
            <w:vAlign w:val="center"/>
          </w:tcPr>
          <w:p w14:paraId="73972D74">
            <w:pPr>
              <w:jc w:val="left"/>
              <w:rPr>
                <w:rFonts w:ascii="Times New Roman" w:hAnsi="Times New Roman" w:eastAsia="宋体" w:cs="Times New Roman"/>
                <w:szCs w:val="21"/>
              </w:rPr>
            </w:pPr>
            <w:r>
              <w:rPr>
                <w:rFonts w:ascii="Times New Roman" w:hAnsi="Times New Roman" w:eastAsia="宋体" w:cs="Times New Roman"/>
                <w:szCs w:val="21"/>
              </w:rPr>
              <w:t>临现有</w:t>
            </w:r>
            <w:r>
              <w:rPr>
                <w:rFonts w:hint="eastAsia" w:ascii="Times New Roman" w:hAnsi="Times New Roman" w:eastAsia="宋体" w:cs="Times New Roman"/>
                <w:szCs w:val="21"/>
              </w:rPr>
              <w:t>G219</w:t>
            </w:r>
            <w:r>
              <w:rPr>
                <w:rFonts w:ascii="Times New Roman" w:hAnsi="Times New Roman" w:eastAsia="宋体" w:cs="Times New Roman"/>
                <w:kern w:val="0"/>
                <w:szCs w:val="21"/>
              </w:rPr>
              <w:t>公路第一排</w:t>
            </w:r>
            <w:r>
              <w:rPr>
                <w:rFonts w:hint="eastAsia" w:ascii="Times New Roman" w:hAnsi="Times New Roman" w:eastAsia="宋体" w:cs="Times New Roman"/>
                <w:kern w:val="0"/>
                <w:szCs w:val="21"/>
              </w:rPr>
              <w:t>房屋1</w:t>
            </w:r>
            <w:r>
              <w:rPr>
                <w:rFonts w:ascii="Times New Roman" w:hAnsi="Times New Roman" w:eastAsia="宋体" w:cs="Times New Roman"/>
                <w:szCs w:val="21"/>
              </w:rPr>
              <w:t>层窗前1m，高度</w:t>
            </w:r>
            <w:r>
              <w:rPr>
                <w:rFonts w:hint="eastAsia" w:ascii="Times New Roman" w:hAnsi="Times New Roman" w:eastAsia="宋体" w:cs="Times New Roman"/>
                <w:szCs w:val="21"/>
              </w:rPr>
              <w:t>1</w:t>
            </w:r>
            <w:r>
              <w:rPr>
                <w:rFonts w:ascii="Times New Roman" w:hAnsi="Times New Roman" w:eastAsia="宋体" w:cs="Times New Roman"/>
                <w:szCs w:val="21"/>
              </w:rPr>
              <w:t>.2m</w:t>
            </w:r>
            <w:r>
              <w:rPr>
                <w:rFonts w:hint="eastAsia" w:ascii="Times New Roman" w:hAnsi="Times New Roman" w:eastAsia="宋体" w:cs="Times New Roman"/>
                <w:szCs w:val="21"/>
              </w:rPr>
              <w:t>；</w:t>
            </w:r>
            <w:r>
              <w:rPr>
                <w:rFonts w:ascii="Times New Roman" w:hAnsi="Times New Roman" w:eastAsia="宋体" w:cs="Times New Roman"/>
                <w:szCs w:val="21"/>
              </w:rPr>
              <w:t>临现有</w:t>
            </w:r>
            <w:r>
              <w:rPr>
                <w:rFonts w:hint="eastAsia" w:ascii="Times New Roman" w:hAnsi="Times New Roman" w:eastAsia="宋体" w:cs="Times New Roman"/>
                <w:szCs w:val="21"/>
              </w:rPr>
              <w:t>G219</w:t>
            </w:r>
            <w:r>
              <w:rPr>
                <w:rFonts w:ascii="Times New Roman" w:hAnsi="Times New Roman" w:eastAsia="宋体" w:cs="Times New Roman"/>
                <w:szCs w:val="21"/>
              </w:rPr>
              <w:t>公路边界</w:t>
            </w:r>
            <w:r>
              <w:rPr>
                <w:rFonts w:hint="eastAsia" w:ascii="Times New Roman" w:hAnsi="Times New Roman" w:eastAsia="宋体" w:cs="Times New Roman"/>
                <w:szCs w:val="21"/>
              </w:rPr>
              <w:t>35</w:t>
            </w:r>
            <w:r>
              <w:rPr>
                <w:rFonts w:ascii="Times New Roman" w:hAnsi="Times New Roman" w:eastAsia="宋体" w:cs="Times New Roman"/>
                <w:szCs w:val="21"/>
              </w:rPr>
              <w:t>m外第一排房</w:t>
            </w:r>
            <w:r>
              <w:rPr>
                <w:rFonts w:hint="eastAsia" w:ascii="Times New Roman" w:hAnsi="Times New Roman" w:eastAsia="宋体" w:cs="Times New Roman"/>
                <w:szCs w:val="21"/>
              </w:rPr>
              <w:t>1</w:t>
            </w:r>
            <w:r>
              <w:rPr>
                <w:rFonts w:ascii="Times New Roman" w:hAnsi="Times New Roman" w:eastAsia="宋体" w:cs="Times New Roman"/>
                <w:szCs w:val="21"/>
              </w:rPr>
              <w:t>层窗前1m，高度</w:t>
            </w:r>
            <w:r>
              <w:rPr>
                <w:rFonts w:hint="eastAsia" w:ascii="Times New Roman" w:hAnsi="Times New Roman" w:eastAsia="宋体" w:cs="Times New Roman"/>
                <w:szCs w:val="21"/>
              </w:rPr>
              <w:t>1</w:t>
            </w:r>
            <w:r>
              <w:rPr>
                <w:rFonts w:ascii="Times New Roman" w:hAnsi="Times New Roman" w:eastAsia="宋体" w:cs="Times New Roman"/>
                <w:szCs w:val="21"/>
              </w:rPr>
              <w:t>.2m；同步监测，并按大、中、小型车，记录现有</w:t>
            </w:r>
            <w:r>
              <w:rPr>
                <w:rFonts w:hint="eastAsia" w:ascii="Times New Roman" w:hAnsi="Times New Roman" w:eastAsia="宋体" w:cs="Times New Roman"/>
                <w:szCs w:val="21"/>
              </w:rPr>
              <w:t>G219</w:t>
            </w:r>
            <w:r>
              <w:rPr>
                <w:rFonts w:ascii="Times New Roman" w:hAnsi="Times New Roman" w:eastAsia="宋体" w:cs="Times New Roman"/>
                <w:szCs w:val="21"/>
              </w:rPr>
              <w:t>公路交通量。</w:t>
            </w:r>
          </w:p>
        </w:tc>
      </w:tr>
      <w:tr w14:paraId="5B91503D">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cantSplit/>
          <w:trHeight w:val="372" w:hRule="atLeast"/>
          <w:jc w:val="center"/>
        </w:trPr>
        <w:tc>
          <w:tcPr>
            <w:tcW w:w="267" w:type="dxa"/>
            <w:vMerge w:val="continue"/>
            <w:shd w:val="clear" w:color="auto" w:fill="auto"/>
            <w:vAlign w:val="center"/>
          </w:tcPr>
          <w:p w14:paraId="72F07837">
            <w:pPr>
              <w:widowControl/>
              <w:jc w:val="center"/>
              <w:rPr>
                <w:rFonts w:ascii="Times New Roman" w:hAnsi="Times New Roman" w:eastAsia="宋体" w:cs="Times New Roman"/>
                <w:kern w:val="0"/>
                <w:szCs w:val="21"/>
              </w:rPr>
            </w:pPr>
          </w:p>
        </w:tc>
        <w:tc>
          <w:tcPr>
            <w:tcW w:w="1325" w:type="dxa"/>
            <w:vMerge w:val="continue"/>
            <w:shd w:val="clear" w:color="auto" w:fill="auto"/>
            <w:vAlign w:val="center"/>
          </w:tcPr>
          <w:p w14:paraId="245A927D">
            <w:pPr>
              <w:widowControl/>
              <w:jc w:val="center"/>
              <w:rPr>
                <w:rFonts w:ascii="Times New Roman" w:hAnsi="Times New Roman" w:cs="Times New Roman" w:eastAsiaTheme="minorEastAsia"/>
              </w:rPr>
            </w:pPr>
          </w:p>
        </w:tc>
        <w:tc>
          <w:tcPr>
            <w:tcW w:w="1134" w:type="dxa"/>
            <w:vMerge w:val="continue"/>
            <w:shd w:val="clear" w:color="auto" w:fill="auto"/>
            <w:vAlign w:val="center"/>
          </w:tcPr>
          <w:p w14:paraId="732E592F">
            <w:pPr>
              <w:widowControl/>
              <w:jc w:val="center"/>
              <w:rPr>
                <w:rFonts w:ascii="Times New Roman" w:cs="Times New Roman" w:hAnsiTheme="minorEastAsia" w:eastAsiaTheme="minorEastAsia"/>
              </w:rPr>
            </w:pPr>
          </w:p>
        </w:tc>
        <w:tc>
          <w:tcPr>
            <w:tcW w:w="567" w:type="dxa"/>
            <w:vMerge w:val="continue"/>
            <w:shd w:val="clear" w:color="auto" w:fill="auto"/>
            <w:vAlign w:val="center"/>
          </w:tcPr>
          <w:p w14:paraId="5E510216">
            <w:pPr>
              <w:jc w:val="center"/>
              <w:rPr>
                <w:rFonts w:ascii="Times New Roman" w:hAnsi="Times New Roman" w:eastAsia="宋体" w:cs="Times New Roman"/>
                <w:szCs w:val="21"/>
              </w:rPr>
            </w:pPr>
          </w:p>
        </w:tc>
        <w:tc>
          <w:tcPr>
            <w:tcW w:w="709" w:type="dxa"/>
            <w:vMerge w:val="continue"/>
            <w:shd w:val="clear" w:color="auto" w:fill="auto"/>
            <w:vAlign w:val="center"/>
          </w:tcPr>
          <w:p w14:paraId="57F35B91">
            <w:pPr>
              <w:jc w:val="center"/>
              <w:rPr>
                <w:rFonts w:ascii="Times New Roman" w:hAnsi="Times New Roman" w:eastAsia="宋体" w:cs="Times New Roman"/>
                <w:szCs w:val="21"/>
              </w:rPr>
            </w:pPr>
          </w:p>
        </w:tc>
        <w:tc>
          <w:tcPr>
            <w:tcW w:w="567" w:type="dxa"/>
            <w:shd w:val="clear" w:color="auto" w:fill="auto"/>
            <w:vAlign w:val="center"/>
          </w:tcPr>
          <w:p w14:paraId="3F053774">
            <w:pPr>
              <w:jc w:val="center"/>
              <w:rPr>
                <w:rFonts w:ascii="Times New Roman" w:hAnsi="Times New Roman" w:eastAsia="宋体" w:cs="Times New Roman"/>
                <w:szCs w:val="21"/>
              </w:rPr>
            </w:pPr>
            <w:r>
              <w:rPr>
                <w:rFonts w:ascii="Times New Roman" w:hAnsi="Times New Roman" w:eastAsia="宋体" w:cs="Times New Roman"/>
                <w:szCs w:val="21"/>
              </w:rPr>
              <w:t>背景噪声</w:t>
            </w:r>
          </w:p>
        </w:tc>
        <w:tc>
          <w:tcPr>
            <w:tcW w:w="4283" w:type="dxa"/>
            <w:shd w:val="clear" w:color="auto" w:fill="auto"/>
            <w:vAlign w:val="center"/>
          </w:tcPr>
          <w:p w14:paraId="4F243ECD">
            <w:pPr>
              <w:jc w:val="left"/>
              <w:rPr>
                <w:rFonts w:ascii="Times New Roman" w:hAnsi="Times New Roman" w:eastAsia="宋体" w:cs="Times New Roman"/>
                <w:szCs w:val="21"/>
              </w:rPr>
            </w:pPr>
            <w:r>
              <w:rPr>
                <w:rFonts w:hint="eastAsia" w:ascii="Times New Roman" w:hAnsi="Times New Roman" w:eastAsia="宋体" w:cs="Times New Roman"/>
                <w:szCs w:val="21"/>
              </w:rPr>
              <w:t>远离现有G219</w:t>
            </w:r>
            <w:r>
              <w:rPr>
                <w:rFonts w:ascii="Times New Roman" w:hAnsi="Times New Roman" w:eastAsia="宋体" w:cs="Times New Roman"/>
                <w:kern w:val="0"/>
                <w:szCs w:val="21"/>
              </w:rPr>
              <w:t>公路200m以外，1层窗前1m，高度1.2m。</w:t>
            </w:r>
          </w:p>
        </w:tc>
      </w:tr>
      <w:tr w14:paraId="55E90C25">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cantSplit/>
          <w:trHeight w:val="780" w:hRule="atLeast"/>
          <w:jc w:val="center"/>
        </w:trPr>
        <w:tc>
          <w:tcPr>
            <w:tcW w:w="267" w:type="dxa"/>
            <w:vMerge w:val="restart"/>
            <w:shd w:val="clear" w:color="auto" w:fill="auto"/>
            <w:vAlign w:val="center"/>
          </w:tcPr>
          <w:p w14:paraId="1C34CFBD">
            <w:pPr>
              <w:widowControl/>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12</w:t>
            </w:r>
          </w:p>
        </w:tc>
        <w:tc>
          <w:tcPr>
            <w:tcW w:w="1325" w:type="dxa"/>
            <w:vMerge w:val="restart"/>
            <w:shd w:val="clear" w:color="auto" w:fill="auto"/>
            <w:vAlign w:val="center"/>
          </w:tcPr>
          <w:p w14:paraId="645269E8">
            <w:pPr>
              <w:widowControl/>
              <w:jc w:val="center"/>
              <w:rPr>
                <w:rFonts w:ascii="Times New Roman" w:hAnsi="Times New Roman" w:cs="Times New Roman" w:eastAsiaTheme="minorEastAsia"/>
                <w:kern w:val="0"/>
              </w:rPr>
            </w:pPr>
            <w:r>
              <w:rPr>
                <w:rFonts w:ascii="Times New Roman" w:hAnsi="Times New Roman" w:cs="Times New Roman" w:eastAsiaTheme="minorEastAsia"/>
              </w:rPr>
              <w:t>K</w:t>
            </w:r>
            <w:r>
              <w:rPr>
                <w:rFonts w:hint="eastAsia" w:ascii="Times New Roman" w:hAnsi="Times New Roman" w:cs="Times New Roman" w:eastAsiaTheme="minorEastAsia"/>
              </w:rPr>
              <w:t>36</w:t>
            </w:r>
            <w:r>
              <w:rPr>
                <w:rFonts w:ascii="Times New Roman" w:hAnsi="Times New Roman" w:cs="Times New Roman" w:eastAsiaTheme="minorEastAsia"/>
              </w:rPr>
              <w:t>+</w:t>
            </w:r>
            <w:r>
              <w:rPr>
                <w:rFonts w:hint="eastAsia" w:ascii="Times New Roman" w:hAnsi="Times New Roman" w:cs="Times New Roman" w:eastAsiaTheme="minorEastAsia"/>
              </w:rPr>
              <w:t>3</w:t>
            </w:r>
            <w:r>
              <w:rPr>
                <w:rFonts w:ascii="Times New Roman" w:hAnsi="Times New Roman" w:cs="Times New Roman" w:eastAsiaTheme="minorEastAsia"/>
              </w:rPr>
              <w:t>00</w:t>
            </w:r>
          </w:p>
        </w:tc>
        <w:tc>
          <w:tcPr>
            <w:tcW w:w="1134" w:type="dxa"/>
            <w:vMerge w:val="restart"/>
            <w:shd w:val="clear" w:color="auto" w:fill="auto"/>
            <w:vAlign w:val="center"/>
          </w:tcPr>
          <w:p w14:paraId="271071F6">
            <w:pPr>
              <w:widowControl/>
              <w:jc w:val="center"/>
              <w:rPr>
                <w:rFonts w:ascii="Times New Roman" w:hAnsi="Times New Roman" w:cs="Times New Roman" w:eastAsiaTheme="minorEastAsia"/>
                <w:kern w:val="0"/>
              </w:rPr>
            </w:pPr>
            <w:r>
              <w:rPr>
                <w:rFonts w:hint="eastAsia" w:ascii="Times New Roman" w:cs="Times New Roman" w:hAnsiTheme="minorEastAsia" w:eastAsiaTheme="minorEastAsia"/>
              </w:rPr>
              <w:t>兰干</w:t>
            </w:r>
          </w:p>
        </w:tc>
        <w:tc>
          <w:tcPr>
            <w:tcW w:w="567" w:type="dxa"/>
            <w:vMerge w:val="restart"/>
            <w:shd w:val="clear" w:color="auto" w:fill="auto"/>
            <w:vAlign w:val="center"/>
          </w:tcPr>
          <w:p w14:paraId="2DE5A294">
            <w:pPr>
              <w:jc w:val="center"/>
              <w:rPr>
                <w:rFonts w:ascii="Times New Roman" w:hAnsi="Times New Roman" w:eastAsia="宋体" w:cs="Times New Roman"/>
                <w:szCs w:val="21"/>
              </w:rPr>
            </w:pPr>
            <w:r>
              <w:rPr>
                <w:rFonts w:hint="eastAsia" w:ascii="Times New Roman" w:hAnsi="Times New Roman" w:eastAsia="宋体" w:cs="Times New Roman"/>
                <w:szCs w:val="21"/>
              </w:rPr>
              <w:t>路右</w:t>
            </w:r>
          </w:p>
        </w:tc>
        <w:tc>
          <w:tcPr>
            <w:tcW w:w="709" w:type="dxa"/>
            <w:vMerge w:val="restart"/>
            <w:shd w:val="clear" w:color="auto" w:fill="auto"/>
            <w:vAlign w:val="center"/>
          </w:tcPr>
          <w:p w14:paraId="3738EF6B">
            <w:pPr>
              <w:jc w:val="center"/>
              <w:rPr>
                <w:rFonts w:ascii="Times New Roman" w:hAnsi="Times New Roman" w:eastAsia="宋体" w:cs="Times New Roman"/>
                <w:szCs w:val="21"/>
              </w:rPr>
            </w:pPr>
            <w:r>
              <w:rPr>
                <w:rFonts w:ascii="Times New Roman" w:hAnsi="Times New Roman" w:eastAsia="宋体" w:cs="Times New Roman"/>
                <w:szCs w:val="21"/>
              </w:rPr>
              <w:t>居民点</w:t>
            </w:r>
          </w:p>
        </w:tc>
        <w:tc>
          <w:tcPr>
            <w:tcW w:w="567" w:type="dxa"/>
            <w:shd w:val="clear" w:color="auto" w:fill="auto"/>
            <w:vAlign w:val="center"/>
          </w:tcPr>
          <w:p w14:paraId="20971DB9">
            <w:pPr>
              <w:jc w:val="center"/>
              <w:rPr>
                <w:rFonts w:ascii="Times New Roman" w:hAnsi="Times New Roman" w:eastAsia="宋体" w:cs="Times New Roman"/>
                <w:szCs w:val="21"/>
              </w:rPr>
            </w:pPr>
            <w:r>
              <w:rPr>
                <w:rFonts w:ascii="Times New Roman" w:hAnsi="Times New Roman" w:eastAsia="宋体" w:cs="Times New Roman"/>
                <w:kern w:val="0"/>
                <w:szCs w:val="21"/>
              </w:rPr>
              <w:t>环境噪声</w:t>
            </w:r>
          </w:p>
        </w:tc>
        <w:tc>
          <w:tcPr>
            <w:tcW w:w="4283" w:type="dxa"/>
            <w:shd w:val="clear" w:color="auto" w:fill="auto"/>
            <w:vAlign w:val="center"/>
          </w:tcPr>
          <w:p w14:paraId="6C16F776">
            <w:pPr>
              <w:jc w:val="left"/>
              <w:rPr>
                <w:rFonts w:ascii="Times New Roman" w:hAnsi="Times New Roman" w:eastAsia="宋体" w:cs="Times New Roman"/>
                <w:szCs w:val="21"/>
              </w:rPr>
            </w:pPr>
            <w:r>
              <w:rPr>
                <w:rFonts w:ascii="Times New Roman" w:hAnsi="Times New Roman" w:eastAsia="宋体" w:cs="Times New Roman"/>
                <w:szCs w:val="21"/>
              </w:rPr>
              <w:t>临现有</w:t>
            </w:r>
            <w:r>
              <w:rPr>
                <w:rFonts w:hint="eastAsia" w:ascii="Times New Roman" w:hAnsi="Times New Roman" w:eastAsia="宋体" w:cs="Times New Roman"/>
                <w:szCs w:val="21"/>
              </w:rPr>
              <w:t>G219</w:t>
            </w:r>
            <w:r>
              <w:rPr>
                <w:rFonts w:ascii="Times New Roman" w:hAnsi="Times New Roman" w:eastAsia="宋体" w:cs="Times New Roman"/>
                <w:kern w:val="0"/>
                <w:szCs w:val="21"/>
              </w:rPr>
              <w:t>公路第一排</w:t>
            </w:r>
            <w:r>
              <w:rPr>
                <w:rFonts w:hint="eastAsia" w:ascii="Times New Roman" w:hAnsi="Times New Roman" w:eastAsia="宋体" w:cs="Times New Roman"/>
                <w:kern w:val="0"/>
                <w:szCs w:val="21"/>
              </w:rPr>
              <w:t>房屋1</w:t>
            </w:r>
            <w:r>
              <w:rPr>
                <w:rFonts w:ascii="Times New Roman" w:hAnsi="Times New Roman" w:eastAsia="宋体" w:cs="Times New Roman"/>
                <w:szCs w:val="21"/>
              </w:rPr>
              <w:t>层窗前1m，高度</w:t>
            </w:r>
            <w:r>
              <w:rPr>
                <w:rFonts w:hint="eastAsia" w:ascii="Times New Roman" w:hAnsi="Times New Roman" w:eastAsia="宋体" w:cs="Times New Roman"/>
                <w:szCs w:val="21"/>
              </w:rPr>
              <w:t>1</w:t>
            </w:r>
            <w:r>
              <w:rPr>
                <w:rFonts w:ascii="Times New Roman" w:hAnsi="Times New Roman" w:eastAsia="宋体" w:cs="Times New Roman"/>
                <w:szCs w:val="21"/>
              </w:rPr>
              <w:t>.2m</w:t>
            </w:r>
            <w:r>
              <w:rPr>
                <w:rFonts w:hint="eastAsia" w:ascii="Times New Roman" w:hAnsi="Times New Roman" w:eastAsia="宋体" w:cs="Times New Roman"/>
                <w:szCs w:val="21"/>
              </w:rPr>
              <w:t>；</w:t>
            </w:r>
            <w:r>
              <w:rPr>
                <w:rFonts w:ascii="Times New Roman" w:hAnsi="Times New Roman" w:eastAsia="宋体" w:cs="Times New Roman"/>
                <w:szCs w:val="21"/>
              </w:rPr>
              <w:t>临现有</w:t>
            </w:r>
            <w:r>
              <w:rPr>
                <w:rFonts w:hint="eastAsia" w:ascii="Times New Roman" w:hAnsi="Times New Roman" w:eastAsia="宋体" w:cs="Times New Roman"/>
                <w:szCs w:val="21"/>
              </w:rPr>
              <w:t>G219</w:t>
            </w:r>
            <w:r>
              <w:rPr>
                <w:rFonts w:ascii="Times New Roman" w:hAnsi="Times New Roman" w:eastAsia="宋体" w:cs="Times New Roman"/>
                <w:szCs w:val="21"/>
              </w:rPr>
              <w:t>公路边界</w:t>
            </w:r>
            <w:r>
              <w:rPr>
                <w:rFonts w:hint="eastAsia" w:ascii="Times New Roman" w:hAnsi="Times New Roman" w:eastAsia="宋体" w:cs="Times New Roman"/>
                <w:szCs w:val="21"/>
              </w:rPr>
              <w:t>35</w:t>
            </w:r>
            <w:r>
              <w:rPr>
                <w:rFonts w:ascii="Times New Roman" w:hAnsi="Times New Roman" w:eastAsia="宋体" w:cs="Times New Roman"/>
                <w:szCs w:val="21"/>
              </w:rPr>
              <w:t>m外第一排房</w:t>
            </w:r>
            <w:r>
              <w:rPr>
                <w:rFonts w:hint="eastAsia" w:ascii="Times New Roman" w:hAnsi="Times New Roman" w:eastAsia="宋体" w:cs="Times New Roman"/>
                <w:szCs w:val="21"/>
              </w:rPr>
              <w:t>1</w:t>
            </w:r>
            <w:r>
              <w:rPr>
                <w:rFonts w:ascii="Times New Roman" w:hAnsi="Times New Roman" w:eastAsia="宋体" w:cs="Times New Roman"/>
                <w:szCs w:val="21"/>
              </w:rPr>
              <w:t>层窗前1m，高度</w:t>
            </w:r>
            <w:r>
              <w:rPr>
                <w:rFonts w:hint="eastAsia" w:ascii="Times New Roman" w:hAnsi="Times New Roman" w:eastAsia="宋体" w:cs="Times New Roman"/>
                <w:szCs w:val="21"/>
              </w:rPr>
              <w:t>1</w:t>
            </w:r>
            <w:r>
              <w:rPr>
                <w:rFonts w:ascii="Times New Roman" w:hAnsi="Times New Roman" w:eastAsia="宋体" w:cs="Times New Roman"/>
                <w:szCs w:val="21"/>
              </w:rPr>
              <w:t>.2m；同步监测，并按大、中、小型车，记录现有</w:t>
            </w:r>
            <w:r>
              <w:rPr>
                <w:rFonts w:hint="eastAsia" w:ascii="Times New Roman" w:hAnsi="Times New Roman" w:eastAsia="宋体" w:cs="Times New Roman"/>
                <w:szCs w:val="21"/>
              </w:rPr>
              <w:t>G219</w:t>
            </w:r>
            <w:r>
              <w:rPr>
                <w:rFonts w:ascii="Times New Roman" w:hAnsi="Times New Roman" w:eastAsia="宋体" w:cs="Times New Roman"/>
                <w:szCs w:val="21"/>
              </w:rPr>
              <w:t>公路交通量。</w:t>
            </w:r>
          </w:p>
        </w:tc>
      </w:tr>
      <w:tr w14:paraId="46FE8507">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cantSplit/>
          <w:trHeight w:val="372" w:hRule="atLeast"/>
          <w:jc w:val="center"/>
        </w:trPr>
        <w:tc>
          <w:tcPr>
            <w:tcW w:w="267" w:type="dxa"/>
            <w:vMerge w:val="continue"/>
            <w:shd w:val="clear" w:color="auto" w:fill="auto"/>
            <w:vAlign w:val="center"/>
          </w:tcPr>
          <w:p w14:paraId="09BF857E">
            <w:pPr>
              <w:widowControl/>
              <w:jc w:val="center"/>
              <w:rPr>
                <w:rFonts w:ascii="Times New Roman" w:hAnsi="Times New Roman" w:eastAsia="宋体" w:cs="Times New Roman"/>
                <w:kern w:val="0"/>
                <w:szCs w:val="21"/>
              </w:rPr>
            </w:pPr>
          </w:p>
        </w:tc>
        <w:tc>
          <w:tcPr>
            <w:tcW w:w="1325" w:type="dxa"/>
            <w:vMerge w:val="continue"/>
            <w:shd w:val="clear" w:color="auto" w:fill="auto"/>
            <w:vAlign w:val="center"/>
          </w:tcPr>
          <w:p w14:paraId="02DD30A7">
            <w:pPr>
              <w:widowControl/>
              <w:jc w:val="center"/>
              <w:rPr>
                <w:rFonts w:ascii="Times New Roman" w:hAnsi="Times New Roman" w:cs="Times New Roman" w:eastAsiaTheme="minorEastAsia"/>
              </w:rPr>
            </w:pPr>
          </w:p>
        </w:tc>
        <w:tc>
          <w:tcPr>
            <w:tcW w:w="1134" w:type="dxa"/>
            <w:vMerge w:val="continue"/>
            <w:shd w:val="clear" w:color="auto" w:fill="auto"/>
            <w:vAlign w:val="center"/>
          </w:tcPr>
          <w:p w14:paraId="769E29D0">
            <w:pPr>
              <w:widowControl/>
              <w:jc w:val="center"/>
              <w:rPr>
                <w:rFonts w:ascii="Times New Roman" w:cs="Times New Roman" w:hAnsiTheme="minorEastAsia" w:eastAsiaTheme="minorEastAsia"/>
              </w:rPr>
            </w:pPr>
          </w:p>
        </w:tc>
        <w:tc>
          <w:tcPr>
            <w:tcW w:w="567" w:type="dxa"/>
            <w:vMerge w:val="continue"/>
            <w:shd w:val="clear" w:color="auto" w:fill="auto"/>
            <w:vAlign w:val="center"/>
          </w:tcPr>
          <w:p w14:paraId="2F54FA2E">
            <w:pPr>
              <w:jc w:val="center"/>
              <w:rPr>
                <w:rFonts w:ascii="Times New Roman" w:hAnsi="Times New Roman" w:eastAsia="宋体" w:cs="Times New Roman"/>
                <w:szCs w:val="21"/>
              </w:rPr>
            </w:pPr>
          </w:p>
        </w:tc>
        <w:tc>
          <w:tcPr>
            <w:tcW w:w="709" w:type="dxa"/>
            <w:vMerge w:val="continue"/>
            <w:shd w:val="clear" w:color="auto" w:fill="auto"/>
            <w:vAlign w:val="center"/>
          </w:tcPr>
          <w:p w14:paraId="2865FF56">
            <w:pPr>
              <w:jc w:val="center"/>
              <w:rPr>
                <w:rFonts w:ascii="Times New Roman" w:hAnsi="Times New Roman" w:eastAsia="宋体" w:cs="Times New Roman"/>
                <w:szCs w:val="21"/>
              </w:rPr>
            </w:pPr>
          </w:p>
        </w:tc>
        <w:tc>
          <w:tcPr>
            <w:tcW w:w="567" w:type="dxa"/>
            <w:shd w:val="clear" w:color="auto" w:fill="auto"/>
            <w:vAlign w:val="center"/>
          </w:tcPr>
          <w:p w14:paraId="71CEAF0D">
            <w:pPr>
              <w:jc w:val="center"/>
              <w:rPr>
                <w:rFonts w:ascii="Times New Roman" w:hAnsi="Times New Roman" w:eastAsia="宋体" w:cs="Times New Roman"/>
                <w:szCs w:val="21"/>
              </w:rPr>
            </w:pPr>
            <w:r>
              <w:rPr>
                <w:rFonts w:ascii="Times New Roman" w:hAnsi="Times New Roman" w:eastAsia="宋体" w:cs="Times New Roman"/>
                <w:szCs w:val="21"/>
              </w:rPr>
              <w:t>背景噪声</w:t>
            </w:r>
          </w:p>
        </w:tc>
        <w:tc>
          <w:tcPr>
            <w:tcW w:w="4283" w:type="dxa"/>
            <w:shd w:val="clear" w:color="auto" w:fill="auto"/>
            <w:vAlign w:val="center"/>
          </w:tcPr>
          <w:p w14:paraId="1D36EC25">
            <w:pPr>
              <w:jc w:val="left"/>
              <w:rPr>
                <w:rFonts w:ascii="Times New Roman" w:hAnsi="Times New Roman" w:eastAsia="宋体" w:cs="Times New Roman"/>
                <w:szCs w:val="21"/>
              </w:rPr>
            </w:pPr>
            <w:r>
              <w:rPr>
                <w:rFonts w:hint="eastAsia" w:ascii="Times New Roman" w:hAnsi="Times New Roman" w:eastAsia="宋体" w:cs="Times New Roman"/>
                <w:szCs w:val="21"/>
              </w:rPr>
              <w:t>远离现有G219</w:t>
            </w:r>
            <w:r>
              <w:rPr>
                <w:rFonts w:ascii="Times New Roman" w:hAnsi="Times New Roman" w:eastAsia="宋体" w:cs="Times New Roman"/>
                <w:kern w:val="0"/>
                <w:szCs w:val="21"/>
              </w:rPr>
              <w:t>公路200m以外，1层窗前1m，高度1.2m。</w:t>
            </w:r>
          </w:p>
        </w:tc>
      </w:tr>
      <w:tr w14:paraId="2308305D">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cantSplit/>
          <w:trHeight w:val="623" w:hRule="atLeast"/>
          <w:jc w:val="center"/>
        </w:trPr>
        <w:tc>
          <w:tcPr>
            <w:tcW w:w="267" w:type="dxa"/>
            <w:shd w:val="clear" w:color="auto" w:fill="auto"/>
            <w:vAlign w:val="center"/>
          </w:tcPr>
          <w:p w14:paraId="586F333A">
            <w:pPr>
              <w:widowControl/>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13</w:t>
            </w:r>
          </w:p>
        </w:tc>
        <w:tc>
          <w:tcPr>
            <w:tcW w:w="1325" w:type="dxa"/>
            <w:shd w:val="clear" w:color="auto" w:fill="auto"/>
            <w:vAlign w:val="center"/>
          </w:tcPr>
          <w:p w14:paraId="5B291D09">
            <w:pPr>
              <w:widowControl/>
              <w:jc w:val="center"/>
              <w:rPr>
                <w:rFonts w:ascii="Times New Roman" w:hAnsi="Times New Roman" w:cs="Times New Roman" w:eastAsiaTheme="minorEastAsia"/>
                <w:kern w:val="0"/>
              </w:rPr>
            </w:pPr>
            <w:r>
              <w:rPr>
                <w:rFonts w:ascii="Times New Roman" w:hAnsi="Times New Roman" w:cs="Times New Roman" w:eastAsiaTheme="minorEastAsia"/>
              </w:rPr>
              <w:t>K</w:t>
            </w:r>
            <w:r>
              <w:rPr>
                <w:rFonts w:hint="eastAsia" w:ascii="Times New Roman" w:hAnsi="Times New Roman" w:cs="Times New Roman" w:eastAsiaTheme="minorEastAsia"/>
              </w:rPr>
              <w:t>36</w:t>
            </w:r>
            <w:r>
              <w:rPr>
                <w:rFonts w:ascii="Times New Roman" w:hAnsi="Times New Roman" w:cs="Times New Roman" w:eastAsiaTheme="minorEastAsia"/>
              </w:rPr>
              <w:t>+</w:t>
            </w:r>
            <w:r>
              <w:rPr>
                <w:rFonts w:hint="eastAsia" w:ascii="Times New Roman" w:hAnsi="Times New Roman" w:cs="Times New Roman" w:eastAsiaTheme="minorEastAsia"/>
              </w:rPr>
              <w:t>4</w:t>
            </w:r>
            <w:r>
              <w:rPr>
                <w:rFonts w:ascii="Times New Roman" w:hAnsi="Times New Roman" w:cs="Times New Roman" w:eastAsiaTheme="minorEastAsia"/>
              </w:rPr>
              <w:t>00</w:t>
            </w:r>
          </w:p>
        </w:tc>
        <w:tc>
          <w:tcPr>
            <w:tcW w:w="1134" w:type="dxa"/>
            <w:shd w:val="clear" w:color="auto" w:fill="auto"/>
            <w:vAlign w:val="center"/>
          </w:tcPr>
          <w:p w14:paraId="1666AEF9">
            <w:pPr>
              <w:widowControl/>
              <w:jc w:val="center"/>
              <w:rPr>
                <w:rFonts w:ascii="Times New Roman" w:hAnsi="Times New Roman" w:cs="Times New Roman" w:eastAsiaTheme="minorEastAsia"/>
                <w:kern w:val="0"/>
              </w:rPr>
            </w:pPr>
            <w:r>
              <w:rPr>
                <w:rFonts w:hint="eastAsia" w:ascii="Times New Roman" w:cs="Times New Roman" w:hAnsiTheme="minorEastAsia" w:eastAsiaTheme="minorEastAsia"/>
              </w:rPr>
              <w:t>伽师县中等职业技术学校</w:t>
            </w:r>
          </w:p>
        </w:tc>
        <w:tc>
          <w:tcPr>
            <w:tcW w:w="567" w:type="dxa"/>
            <w:shd w:val="clear" w:color="auto" w:fill="auto"/>
            <w:vAlign w:val="center"/>
          </w:tcPr>
          <w:p w14:paraId="1DB34C07">
            <w:pPr>
              <w:jc w:val="center"/>
              <w:rPr>
                <w:rFonts w:ascii="Times New Roman" w:hAnsi="Times New Roman" w:eastAsia="宋体" w:cs="Times New Roman"/>
                <w:szCs w:val="21"/>
              </w:rPr>
            </w:pPr>
            <w:r>
              <w:rPr>
                <w:rFonts w:hint="eastAsia" w:ascii="Times New Roman" w:hAnsi="Times New Roman" w:eastAsia="宋体" w:cs="Times New Roman"/>
                <w:szCs w:val="21"/>
              </w:rPr>
              <w:t>路左</w:t>
            </w:r>
          </w:p>
        </w:tc>
        <w:tc>
          <w:tcPr>
            <w:tcW w:w="709" w:type="dxa"/>
            <w:shd w:val="clear" w:color="auto" w:fill="auto"/>
            <w:vAlign w:val="center"/>
          </w:tcPr>
          <w:p w14:paraId="278E093E">
            <w:pPr>
              <w:jc w:val="center"/>
              <w:rPr>
                <w:rFonts w:ascii="Times New Roman" w:hAnsi="Times New Roman" w:eastAsia="宋体" w:cs="Times New Roman"/>
                <w:szCs w:val="21"/>
              </w:rPr>
            </w:pPr>
            <w:r>
              <w:rPr>
                <w:rFonts w:ascii="Times New Roman" w:hAnsi="Times New Roman" w:eastAsia="宋体" w:cs="Times New Roman"/>
                <w:szCs w:val="21"/>
              </w:rPr>
              <w:t>学校</w:t>
            </w:r>
          </w:p>
        </w:tc>
        <w:tc>
          <w:tcPr>
            <w:tcW w:w="567" w:type="dxa"/>
            <w:shd w:val="clear" w:color="auto" w:fill="auto"/>
            <w:vAlign w:val="center"/>
          </w:tcPr>
          <w:p w14:paraId="4E845859">
            <w:pPr>
              <w:jc w:val="center"/>
              <w:rPr>
                <w:rFonts w:ascii="Times New Roman" w:hAnsi="Times New Roman" w:eastAsia="宋体" w:cs="Times New Roman"/>
                <w:szCs w:val="21"/>
              </w:rPr>
            </w:pPr>
            <w:r>
              <w:rPr>
                <w:rFonts w:ascii="Times New Roman" w:hAnsi="Times New Roman" w:eastAsia="宋体" w:cs="Times New Roman"/>
                <w:kern w:val="0"/>
                <w:szCs w:val="21"/>
              </w:rPr>
              <w:t>环境噪声</w:t>
            </w:r>
          </w:p>
        </w:tc>
        <w:tc>
          <w:tcPr>
            <w:tcW w:w="4283" w:type="dxa"/>
            <w:shd w:val="clear" w:color="auto" w:fill="auto"/>
            <w:vAlign w:val="center"/>
          </w:tcPr>
          <w:p w14:paraId="7CF1ACBE">
            <w:pPr>
              <w:jc w:val="left"/>
              <w:rPr>
                <w:rFonts w:ascii="Times New Roman" w:hAnsi="Times New Roman" w:eastAsia="宋体" w:cs="Times New Roman"/>
                <w:szCs w:val="21"/>
              </w:rPr>
            </w:pPr>
            <w:r>
              <w:rPr>
                <w:rFonts w:ascii="Times New Roman" w:hAnsi="Times New Roman" w:eastAsia="宋体" w:cs="Times New Roman"/>
                <w:szCs w:val="21"/>
              </w:rPr>
              <w:t>临现有</w:t>
            </w:r>
            <w:r>
              <w:rPr>
                <w:rFonts w:hint="eastAsia" w:ascii="Times New Roman" w:hAnsi="Times New Roman" w:eastAsia="宋体" w:cs="Times New Roman"/>
                <w:szCs w:val="21"/>
              </w:rPr>
              <w:t>G219</w:t>
            </w:r>
            <w:r>
              <w:rPr>
                <w:rFonts w:ascii="Times New Roman" w:hAnsi="Times New Roman" w:eastAsia="宋体" w:cs="Times New Roman"/>
                <w:kern w:val="0"/>
                <w:szCs w:val="21"/>
              </w:rPr>
              <w:t>公路</w:t>
            </w:r>
            <w:r>
              <w:rPr>
                <w:rFonts w:ascii="Times New Roman" w:hAnsi="Times New Roman" w:eastAsia="宋体" w:cs="Times New Roman"/>
                <w:szCs w:val="21"/>
              </w:rPr>
              <w:t>第一排</w:t>
            </w:r>
            <w:r>
              <w:rPr>
                <w:rFonts w:hint="eastAsia" w:ascii="Times New Roman" w:hAnsi="Times New Roman" w:eastAsia="宋体" w:cs="Times New Roman"/>
                <w:szCs w:val="21"/>
              </w:rPr>
              <w:t>办公楼2、4</w:t>
            </w:r>
            <w:r>
              <w:rPr>
                <w:rFonts w:ascii="Times New Roman" w:hAnsi="Times New Roman" w:eastAsia="宋体" w:cs="Times New Roman"/>
                <w:szCs w:val="21"/>
              </w:rPr>
              <w:t>层窗前1m，高</w:t>
            </w:r>
            <w:r>
              <w:rPr>
                <w:rFonts w:hint="eastAsia" w:ascii="Times New Roman" w:hAnsi="Times New Roman" w:eastAsia="宋体" w:cs="Times New Roman"/>
                <w:szCs w:val="21"/>
              </w:rPr>
              <w:t>4</w:t>
            </w:r>
            <w:r>
              <w:rPr>
                <w:rFonts w:ascii="Times New Roman" w:hAnsi="Times New Roman" w:eastAsia="宋体" w:cs="Times New Roman"/>
                <w:szCs w:val="21"/>
              </w:rPr>
              <w:t>.2m</w:t>
            </w:r>
            <w:r>
              <w:rPr>
                <w:rFonts w:hint="eastAsia" w:ascii="Times New Roman" w:hAnsi="Times New Roman" w:eastAsia="宋体" w:cs="Times New Roman"/>
                <w:szCs w:val="21"/>
              </w:rPr>
              <w:t>、10</w:t>
            </w:r>
            <w:r>
              <w:rPr>
                <w:rFonts w:ascii="Times New Roman" w:hAnsi="Times New Roman" w:eastAsia="宋体" w:cs="Times New Roman"/>
                <w:szCs w:val="21"/>
              </w:rPr>
              <w:t>.2</w:t>
            </w:r>
            <w:r>
              <w:rPr>
                <w:rFonts w:hint="eastAsia" w:ascii="Times New Roman" w:hAnsi="Times New Roman" w:eastAsia="宋体" w:cs="Times New Roman"/>
                <w:szCs w:val="21"/>
              </w:rPr>
              <w:t>m，</w:t>
            </w:r>
            <w:r>
              <w:rPr>
                <w:rFonts w:ascii="Times New Roman" w:hAnsi="Times New Roman" w:eastAsia="宋体" w:cs="Times New Roman"/>
                <w:szCs w:val="21"/>
              </w:rPr>
              <w:t>同步监测，并按大、中、小型车，记录现有G</w:t>
            </w:r>
            <w:r>
              <w:rPr>
                <w:rFonts w:hint="eastAsia" w:ascii="Times New Roman" w:hAnsi="Times New Roman" w:eastAsia="宋体" w:cs="Times New Roman"/>
                <w:szCs w:val="21"/>
              </w:rPr>
              <w:t>219</w:t>
            </w:r>
            <w:r>
              <w:rPr>
                <w:rFonts w:ascii="Times New Roman" w:hAnsi="Times New Roman" w:eastAsia="宋体" w:cs="Times New Roman"/>
                <w:szCs w:val="21"/>
              </w:rPr>
              <w:t>公路交通量。</w:t>
            </w:r>
          </w:p>
        </w:tc>
      </w:tr>
      <w:tr w14:paraId="6578BD30">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cantSplit/>
          <w:trHeight w:val="780" w:hRule="atLeast"/>
          <w:jc w:val="center"/>
        </w:trPr>
        <w:tc>
          <w:tcPr>
            <w:tcW w:w="267" w:type="dxa"/>
            <w:vMerge w:val="restart"/>
            <w:shd w:val="clear" w:color="auto" w:fill="auto"/>
            <w:vAlign w:val="center"/>
          </w:tcPr>
          <w:p w14:paraId="41C375DE">
            <w:pPr>
              <w:widowControl/>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14</w:t>
            </w:r>
          </w:p>
        </w:tc>
        <w:tc>
          <w:tcPr>
            <w:tcW w:w="1325" w:type="dxa"/>
            <w:vMerge w:val="restart"/>
            <w:shd w:val="clear" w:color="auto" w:fill="auto"/>
            <w:vAlign w:val="center"/>
          </w:tcPr>
          <w:p w14:paraId="42355D65">
            <w:pPr>
              <w:widowControl/>
              <w:jc w:val="center"/>
              <w:rPr>
                <w:rFonts w:ascii="Times New Roman" w:hAnsi="Times New Roman" w:cs="Times New Roman" w:eastAsiaTheme="minorEastAsia"/>
                <w:kern w:val="0"/>
              </w:rPr>
            </w:pPr>
            <w:r>
              <w:rPr>
                <w:rFonts w:ascii="Times New Roman" w:hAnsi="Times New Roman" w:cs="Times New Roman" w:eastAsiaTheme="minorEastAsia"/>
              </w:rPr>
              <w:t>K</w:t>
            </w:r>
            <w:r>
              <w:rPr>
                <w:rFonts w:hint="eastAsia" w:ascii="Times New Roman" w:hAnsi="Times New Roman" w:cs="Times New Roman" w:eastAsiaTheme="minorEastAsia"/>
              </w:rPr>
              <w:t>38</w:t>
            </w:r>
            <w:r>
              <w:rPr>
                <w:rFonts w:ascii="Times New Roman" w:hAnsi="Times New Roman" w:cs="Times New Roman" w:eastAsiaTheme="minorEastAsia"/>
              </w:rPr>
              <w:t>+</w:t>
            </w:r>
            <w:r>
              <w:rPr>
                <w:rFonts w:hint="eastAsia" w:ascii="Times New Roman" w:hAnsi="Times New Roman" w:cs="Times New Roman" w:eastAsiaTheme="minorEastAsia"/>
              </w:rPr>
              <w:t>45</w:t>
            </w:r>
            <w:r>
              <w:rPr>
                <w:rFonts w:ascii="Times New Roman" w:hAnsi="Times New Roman" w:cs="Times New Roman" w:eastAsiaTheme="minorEastAsia"/>
              </w:rPr>
              <w:t>0</w:t>
            </w:r>
          </w:p>
        </w:tc>
        <w:tc>
          <w:tcPr>
            <w:tcW w:w="1134" w:type="dxa"/>
            <w:vMerge w:val="restart"/>
            <w:shd w:val="clear" w:color="auto" w:fill="auto"/>
            <w:vAlign w:val="center"/>
          </w:tcPr>
          <w:p w14:paraId="7E7F0E8C">
            <w:pPr>
              <w:widowControl/>
              <w:jc w:val="center"/>
              <w:rPr>
                <w:rFonts w:ascii="Times New Roman" w:hAnsi="Times New Roman" w:cs="Times New Roman" w:eastAsiaTheme="minorEastAsia"/>
                <w:kern w:val="0"/>
              </w:rPr>
            </w:pPr>
            <w:r>
              <w:rPr>
                <w:rFonts w:hint="eastAsia" w:ascii="Times New Roman" w:cs="Times New Roman" w:hAnsiTheme="minorEastAsia" w:eastAsiaTheme="minorEastAsia"/>
              </w:rPr>
              <w:t>提木村</w:t>
            </w:r>
          </w:p>
        </w:tc>
        <w:tc>
          <w:tcPr>
            <w:tcW w:w="567" w:type="dxa"/>
            <w:vMerge w:val="restart"/>
            <w:shd w:val="clear" w:color="auto" w:fill="auto"/>
            <w:vAlign w:val="center"/>
          </w:tcPr>
          <w:p w14:paraId="66BD0561">
            <w:pPr>
              <w:jc w:val="center"/>
              <w:rPr>
                <w:rFonts w:ascii="Times New Roman" w:hAnsi="Times New Roman" w:eastAsia="宋体" w:cs="Times New Roman"/>
                <w:szCs w:val="21"/>
              </w:rPr>
            </w:pPr>
            <w:r>
              <w:rPr>
                <w:rFonts w:hint="eastAsia" w:ascii="Times New Roman" w:hAnsi="Times New Roman" w:eastAsia="宋体" w:cs="Times New Roman"/>
                <w:szCs w:val="21"/>
              </w:rPr>
              <w:t>路右</w:t>
            </w:r>
          </w:p>
        </w:tc>
        <w:tc>
          <w:tcPr>
            <w:tcW w:w="709" w:type="dxa"/>
            <w:vMerge w:val="restart"/>
            <w:shd w:val="clear" w:color="auto" w:fill="auto"/>
            <w:vAlign w:val="center"/>
          </w:tcPr>
          <w:p w14:paraId="1FECD859">
            <w:pPr>
              <w:jc w:val="center"/>
              <w:rPr>
                <w:rFonts w:ascii="Times New Roman" w:hAnsi="Times New Roman" w:eastAsia="宋体" w:cs="Times New Roman"/>
                <w:szCs w:val="21"/>
              </w:rPr>
            </w:pPr>
            <w:r>
              <w:rPr>
                <w:rFonts w:ascii="Times New Roman" w:hAnsi="Times New Roman" w:eastAsia="宋体" w:cs="Times New Roman"/>
                <w:szCs w:val="21"/>
              </w:rPr>
              <w:t>居民点</w:t>
            </w:r>
          </w:p>
        </w:tc>
        <w:tc>
          <w:tcPr>
            <w:tcW w:w="567" w:type="dxa"/>
            <w:shd w:val="clear" w:color="auto" w:fill="auto"/>
            <w:vAlign w:val="center"/>
          </w:tcPr>
          <w:p w14:paraId="4BB692FD">
            <w:pPr>
              <w:jc w:val="center"/>
              <w:rPr>
                <w:rFonts w:ascii="Times New Roman" w:hAnsi="Times New Roman" w:eastAsia="宋体" w:cs="Times New Roman"/>
                <w:szCs w:val="21"/>
              </w:rPr>
            </w:pPr>
            <w:r>
              <w:rPr>
                <w:rFonts w:ascii="Times New Roman" w:hAnsi="Times New Roman" w:eastAsia="宋体" w:cs="Times New Roman"/>
                <w:kern w:val="0"/>
                <w:szCs w:val="21"/>
              </w:rPr>
              <w:t>环境噪声</w:t>
            </w:r>
          </w:p>
        </w:tc>
        <w:tc>
          <w:tcPr>
            <w:tcW w:w="4283" w:type="dxa"/>
            <w:shd w:val="clear" w:color="auto" w:fill="auto"/>
            <w:vAlign w:val="center"/>
          </w:tcPr>
          <w:p w14:paraId="4006FBE5">
            <w:pPr>
              <w:jc w:val="left"/>
              <w:rPr>
                <w:rFonts w:ascii="Times New Roman" w:hAnsi="Times New Roman" w:eastAsia="宋体" w:cs="Times New Roman"/>
                <w:szCs w:val="21"/>
              </w:rPr>
            </w:pPr>
            <w:r>
              <w:rPr>
                <w:rFonts w:ascii="Times New Roman" w:hAnsi="Times New Roman" w:eastAsia="宋体" w:cs="Times New Roman"/>
                <w:szCs w:val="21"/>
              </w:rPr>
              <w:t>临现有</w:t>
            </w:r>
            <w:r>
              <w:rPr>
                <w:rFonts w:hint="eastAsia" w:ascii="Times New Roman" w:hAnsi="Times New Roman" w:eastAsia="宋体" w:cs="Times New Roman"/>
                <w:szCs w:val="21"/>
              </w:rPr>
              <w:t>G219</w:t>
            </w:r>
            <w:r>
              <w:rPr>
                <w:rFonts w:ascii="Times New Roman" w:hAnsi="Times New Roman" w:eastAsia="宋体" w:cs="Times New Roman"/>
                <w:kern w:val="0"/>
                <w:szCs w:val="21"/>
              </w:rPr>
              <w:t>公路第一排</w:t>
            </w:r>
            <w:r>
              <w:rPr>
                <w:rFonts w:hint="eastAsia" w:ascii="Times New Roman" w:hAnsi="Times New Roman" w:eastAsia="宋体" w:cs="Times New Roman"/>
                <w:kern w:val="0"/>
                <w:szCs w:val="21"/>
              </w:rPr>
              <w:t>房屋1</w:t>
            </w:r>
            <w:r>
              <w:rPr>
                <w:rFonts w:ascii="Times New Roman" w:hAnsi="Times New Roman" w:eastAsia="宋体" w:cs="Times New Roman"/>
                <w:szCs w:val="21"/>
              </w:rPr>
              <w:t>层窗前1m，高度</w:t>
            </w:r>
            <w:r>
              <w:rPr>
                <w:rFonts w:hint="eastAsia" w:ascii="Times New Roman" w:hAnsi="Times New Roman" w:eastAsia="宋体" w:cs="Times New Roman"/>
                <w:szCs w:val="21"/>
              </w:rPr>
              <w:t>1</w:t>
            </w:r>
            <w:r>
              <w:rPr>
                <w:rFonts w:ascii="Times New Roman" w:hAnsi="Times New Roman" w:eastAsia="宋体" w:cs="Times New Roman"/>
                <w:szCs w:val="21"/>
              </w:rPr>
              <w:t>.2m</w:t>
            </w:r>
            <w:r>
              <w:rPr>
                <w:rFonts w:hint="eastAsia" w:ascii="Times New Roman" w:hAnsi="Times New Roman" w:eastAsia="宋体" w:cs="Times New Roman"/>
                <w:szCs w:val="21"/>
              </w:rPr>
              <w:t>；</w:t>
            </w:r>
            <w:r>
              <w:rPr>
                <w:rFonts w:ascii="Times New Roman" w:hAnsi="Times New Roman" w:eastAsia="宋体" w:cs="Times New Roman"/>
                <w:szCs w:val="21"/>
              </w:rPr>
              <w:t>临现有</w:t>
            </w:r>
            <w:r>
              <w:rPr>
                <w:rFonts w:hint="eastAsia" w:ascii="Times New Roman" w:hAnsi="Times New Roman" w:eastAsia="宋体" w:cs="Times New Roman"/>
                <w:szCs w:val="21"/>
              </w:rPr>
              <w:t>G219</w:t>
            </w:r>
            <w:r>
              <w:rPr>
                <w:rFonts w:ascii="Times New Roman" w:hAnsi="Times New Roman" w:eastAsia="宋体" w:cs="Times New Roman"/>
                <w:szCs w:val="21"/>
              </w:rPr>
              <w:t>公路边界</w:t>
            </w:r>
            <w:r>
              <w:rPr>
                <w:rFonts w:hint="eastAsia" w:ascii="Times New Roman" w:hAnsi="Times New Roman" w:eastAsia="宋体" w:cs="Times New Roman"/>
                <w:szCs w:val="21"/>
              </w:rPr>
              <w:t>35</w:t>
            </w:r>
            <w:r>
              <w:rPr>
                <w:rFonts w:ascii="Times New Roman" w:hAnsi="Times New Roman" w:eastAsia="宋体" w:cs="Times New Roman"/>
                <w:szCs w:val="21"/>
              </w:rPr>
              <w:t>m外第一排房</w:t>
            </w:r>
            <w:r>
              <w:rPr>
                <w:rFonts w:hint="eastAsia" w:ascii="Times New Roman" w:hAnsi="Times New Roman" w:eastAsia="宋体" w:cs="Times New Roman"/>
                <w:szCs w:val="21"/>
              </w:rPr>
              <w:t>1</w:t>
            </w:r>
            <w:r>
              <w:rPr>
                <w:rFonts w:ascii="Times New Roman" w:hAnsi="Times New Roman" w:eastAsia="宋体" w:cs="Times New Roman"/>
                <w:szCs w:val="21"/>
              </w:rPr>
              <w:t>层窗前1m，高度</w:t>
            </w:r>
            <w:r>
              <w:rPr>
                <w:rFonts w:hint="eastAsia" w:ascii="Times New Roman" w:hAnsi="Times New Roman" w:eastAsia="宋体" w:cs="Times New Roman"/>
                <w:szCs w:val="21"/>
              </w:rPr>
              <w:t>1</w:t>
            </w:r>
            <w:r>
              <w:rPr>
                <w:rFonts w:ascii="Times New Roman" w:hAnsi="Times New Roman" w:eastAsia="宋体" w:cs="Times New Roman"/>
                <w:szCs w:val="21"/>
              </w:rPr>
              <w:t>.2m；同步监测，并按大、中、小型车，记录现有</w:t>
            </w:r>
            <w:r>
              <w:rPr>
                <w:rFonts w:hint="eastAsia" w:ascii="Times New Roman" w:hAnsi="Times New Roman" w:eastAsia="宋体" w:cs="Times New Roman"/>
                <w:szCs w:val="21"/>
              </w:rPr>
              <w:t>G219</w:t>
            </w:r>
            <w:r>
              <w:rPr>
                <w:rFonts w:ascii="Times New Roman" w:hAnsi="Times New Roman" w:eastAsia="宋体" w:cs="Times New Roman"/>
                <w:szCs w:val="21"/>
              </w:rPr>
              <w:t>公路交通量。</w:t>
            </w:r>
          </w:p>
        </w:tc>
      </w:tr>
      <w:tr w14:paraId="46E26601">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cantSplit/>
          <w:trHeight w:val="372" w:hRule="atLeast"/>
          <w:jc w:val="center"/>
        </w:trPr>
        <w:tc>
          <w:tcPr>
            <w:tcW w:w="267" w:type="dxa"/>
            <w:vMerge w:val="continue"/>
            <w:shd w:val="clear" w:color="auto" w:fill="auto"/>
            <w:vAlign w:val="center"/>
          </w:tcPr>
          <w:p w14:paraId="0D46F169">
            <w:pPr>
              <w:widowControl/>
              <w:jc w:val="center"/>
              <w:rPr>
                <w:rFonts w:ascii="Times New Roman" w:hAnsi="Times New Roman" w:eastAsia="宋体" w:cs="Times New Roman"/>
                <w:kern w:val="0"/>
                <w:szCs w:val="21"/>
              </w:rPr>
            </w:pPr>
          </w:p>
        </w:tc>
        <w:tc>
          <w:tcPr>
            <w:tcW w:w="1325" w:type="dxa"/>
            <w:vMerge w:val="continue"/>
            <w:shd w:val="clear" w:color="auto" w:fill="auto"/>
            <w:vAlign w:val="center"/>
          </w:tcPr>
          <w:p w14:paraId="6C6E0293">
            <w:pPr>
              <w:widowControl/>
              <w:jc w:val="center"/>
              <w:rPr>
                <w:rFonts w:ascii="Times New Roman" w:hAnsi="Times New Roman" w:cs="Times New Roman" w:eastAsiaTheme="minorEastAsia"/>
              </w:rPr>
            </w:pPr>
          </w:p>
        </w:tc>
        <w:tc>
          <w:tcPr>
            <w:tcW w:w="1134" w:type="dxa"/>
            <w:vMerge w:val="continue"/>
            <w:shd w:val="clear" w:color="auto" w:fill="auto"/>
            <w:vAlign w:val="center"/>
          </w:tcPr>
          <w:p w14:paraId="55C8B852">
            <w:pPr>
              <w:widowControl/>
              <w:jc w:val="center"/>
              <w:rPr>
                <w:rFonts w:ascii="Times New Roman" w:cs="Times New Roman" w:hAnsiTheme="minorEastAsia" w:eastAsiaTheme="minorEastAsia"/>
              </w:rPr>
            </w:pPr>
          </w:p>
        </w:tc>
        <w:tc>
          <w:tcPr>
            <w:tcW w:w="567" w:type="dxa"/>
            <w:vMerge w:val="continue"/>
            <w:shd w:val="clear" w:color="auto" w:fill="auto"/>
            <w:vAlign w:val="center"/>
          </w:tcPr>
          <w:p w14:paraId="1E8098FC">
            <w:pPr>
              <w:jc w:val="center"/>
              <w:rPr>
                <w:rFonts w:ascii="Times New Roman" w:hAnsi="Times New Roman" w:eastAsia="宋体" w:cs="Times New Roman"/>
                <w:szCs w:val="21"/>
              </w:rPr>
            </w:pPr>
          </w:p>
        </w:tc>
        <w:tc>
          <w:tcPr>
            <w:tcW w:w="709" w:type="dxa"/>
            <w:vMerge w:val="continue"/>
            <w:shd w:val="clear" w:color="auto" w:fill="auto"/>
            <w:vAlign w:val="center"/>
          </w:tcPr>
          <w:p w14:paraId="6905A766">
            <w:pPr>
              <w:jc w:val="center"/>
              <w:rPr>
                <w:rFonts w:ascii="Times New Roman" w:hAnsi="Times New Roman" w:eastAsia="宋体" w:cs="Times New Roman"/>
                <w:szCs w:val="21"/>
              </w:rPr>
            </w:pPr>
          </w:p>
        </w:tc>
        <w:tc>
          <w:tcPr>
            <w:tcW w:w="567" w:type="dxa"/>
            <w:shd w:val="clear" w:color="auto" w:fill="auto"/>
            <w:vAlign w:val="center"/>
          </w:tcPr>
          <w:p w14:paraId="0AC3E84F">
            <w:pPr>
              <w:jc w:val="center"/>
              <w:rPr>
                <w:rFonts w:ascii="Times New Roman" w:hAnsi="Times New Roman" w:eastAsia="宋体" w:cs="Times New Roman"/>
                <w:szCs w:val="21"/>
              </w:rPr>
            </w:pPr>
            <w:r>
              <w:rPr>
                <w:rFonts w:ascii="Times New Roman" w:hAnsi="Times New Roman" w:eastAsia="宋体" w:cs="Times New Roman"/>
                <w:szCs w:val="21"/>
              </w:rPr>
              <w:t>背景噪声</w:t>
            </w:r>
          </w:p>
        </w:tc>
        <w:tc>
          <w:tcPr>
            <w:tcW w:w="4283" w:type="dxa"/>
            <w:shd w:val="clear" w:color="auto" w:fill="auto"/>
            <w:vAlign w:val="center"/>
          </w:tcPr>
          <w:p w14:paraId="2B8720C7">
            <w:pPr>
              <w:jc w:val="left"/>
              <w:rPr>
                <w:rFonts w:ascii="Times New Roman" w:hAnsi="Times New Roman" w:eastAsia="宋体" w:cs="Times New Roman"/>
                <w:szCs w:val="21"/>
              </w:rPr>
            </w:pPr>
            <w:r>
              <w:rPr>
                <w:rFonts w:hint="eastAsia" w:ascii="Times New Roman" w:hAnsi="Times New Roman" w:eastAsia="宋体" w:cs="Times New Roman"/>
                <w:szCs w:val="21"/>
              </w:rPr>
              <w:t>远离现有G219</w:t>
            </w:r>
            <w:r>
              <w:rPr>
                <w:rFonts w:ascii="Times New Roman" w:hAnsi="Times New Roman" w:eastAsia="宋体" w:cs="Times New Roman"/>
                <w:kern w:val="0"/>
                <w:szCs w:val="21"/>
              </w:rPr>
              <w:t>公路200m以外，1层窗前1m，高度1.2m。</w:t>
            </w:r>
          </w:p>
        </w:tc>
      </w:tr>
    </w:tbl>
    <w:p w14:paraId="743C40E7">
      <w:pPr>
        <w:sectPr>
          <w:headerReference r:id="rId37" w:type="default"/>
          <w:pgSz w:w="11906" w:h="16838"/>
          <w:pgMar w:top="1440" w:right="1797" w:bottom="1560" w:left="1797" w:header="851" w:footer="992" w:gutter="0"/>
          <w:pgBorders>
            <w:top w:val="none" w:sz="0" w:space="0"/>
            <w:left w:val="none" w:sz="0" w:space="0"/>
            <w:bottom w:val="none" w:sz="0" w:space="0"/>
            <w:right w:val="none" w:sz="0" w:space="0"/>
          </w:pgBorders>
          <w:cols w:space="720" w:num="1"/>
          <w:docGrid w:linePitch="312" w:charSpace="0"/>
        </w:sectPr>
      </w:pPr>
    </w:p>
    <w:p w14:paraId="7F1A74D7">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宋体" w:cs="Times New Roman"/>
          <w:b/>
        </w:rPr>
      </w:pPr>
      <w:r>
        <w:rPr>
          <w:rFonts w:ascii="Times New Roman" w:hAnsi="Times New Roman" w:eastAsia="宋体" w:cs="Times New Roman"/>
          <w:b/>
          <w:szCs w:val="21"/>
        </w:rPr>
        <w:t>续</w:t>
      </w:r>
      <w:r>
        <w:rPr>
          <w:rFonts w:hint="eastAsia" w:ascii="Times New Roman" w:hAnsi="Times New Roman" w:eastAsia="宋体" w:cs="Times New Roman"/>
          <w:b/>
          <w:szCs w:val="21"/>
        </w:rPr>
        <w:t xml:space="preserve"> </w:t>
      </w:r>
      <w:r>
        <w:rPr>
          <w:rFonts w:ascii="Times New Roman" w:hAnsi="Times New Roman" w:eastAsia="宋体" w:cs="Times New Roman"/>
          <w:b/>
          <w:szCs w:val="21"/>
        </w:rPr>
        <w:t xml:space="preserve">表3.2-1  </w:t>
      </w:r>
      <w:r>
        <w:rPr>
          <w:rFonts w:ascii="Times New Roman" w:hAnsi="Times New Roman" w:eastAsia="宋体" w:cs="Times New Roman"/>
          <w:b/>
        </w:rPr>
        <w:t>声环境现状监测点位</w:t>
      </w:r>
    </w:p>
    <w:tbl>
      <w:tblPr>
        <w:tblStyle w:val="22"/>
        <w:tblW w:w="8654" w:type="dxa"/>
        <w:jc w:val="center"/>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fixed"/>
        <w:tblCellMar>
          <w:top w:w="0" w:type="dxa"/>
          <w:left w:w="28" w:type="dxa"/>
          <w:bottom w:w="0" w:type="dxa"/>
          <w:right w:w="28" w:type="dxa"/>
        </w:tblCellMar>
      </w:tblPr>
      <w:tblGrid>
        <w:gridCol w:w="267"/>
        <w:gridCol w:w="1259"/>
        <w:gridCol w:w="1002"/>
        <w:gridCol w:w="567"/>
        <w:gridCol w:w="709"/>
        <w:gridCol w:w="567"/>
        <w:gridCol w:w="4283"/>
      </w:tblGrid>
      <w:tr w14:paraId="495235BF">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cantSplit/>
          <w:tblHeader/>
          <w:jc w:val="center"/>
        </w:trPr>
        <w:tc>
          <w:tcPr>
            <w:tcW w:w="267" w:type="dxa"/>
            <w:shd w:val="clear" w:color="auto" w:fill="auto"/>
            <w:vAlign w:val="center"/>
          </w:tcPr>
          <w:p w14:paraId="2E4D6631">
            <w:pPr>
              <w:jc w:val="center"/>
              <w:rPr>
                <w:rFonts w:ascii="Times New Roman" w:hAnsi="Times New Roman" w:eastAsia="宋体" w:cs="Times New Roman"/>
                <w:b/>
                <w:szCs w:val="21"/>
              </w:rPr>
            </w:pPr>
            <w:r>
              <w:rPr>
                <w:rFonts w:ascii="Times New Roman" w:hAnsi="Times New Roman" w:eastAsia="宋体" w:cs="Times New Roman"/>
                <w:b/>
                <w:szCs w:val="21"/>
              </w:rPr>
              <w:t>序号</w:t>
            </w:r>
          </w:p>
        </w:tc>
        <w:tc>
          <w:tcPr>
            <w:tcW w:w="1259" w:type="dxa"/>
            <w:shd w:val="clear" w:color="auto" w:fill="auto"/>
            <w:vAlign w:val="center"/>
          </w:tcPr>
          <w:p w14:paraId="66FF61A8">
            <w:pPr>
              <w:jc w:val="center"/>
              <w:rPr>
                <w:rFonts w:ascii="Times New Roman" w:hAnsi="Times New Roman" w:eastAsia="宋体" w:cs="Times New Roman"/>
                <w:b/>
                <w:szCs w:val="21"/>
              </w:rPr>
            </w:pPr>
            <w:r>
              <w:rPr>
                <w:rFonts w:ascii="Times New Roman" w:hAnsi="Times New Roman" w:eastAsia="宋体" w:cs="Times New Roman"/>
                <w:b/>
                <w:szCs w:val="21"/>
              </w:rPr>
              <w:t>敏感点桩号</w:t>
            </w:r>
          </w:p>
        </w:tc>
        <w:tc>
          <w:tcPr>
            <w:tcW w:w="1002" w:type="dxa"/>
            <w:shd w:val="clear" w:color="auto" w:fill="auto"/>
            <w:vAlign w:val="center"/>
          </w:tcPr>
          <w:p w14:paraId="7A87C0C7">
            <w:pPr>
              <w:jc w:val="center"/>
              <w:rPr>
                <w:rFonts w:ascii="Times New Roman" w:hAnsi="Times New Roman" w:eastAsia="宋体" w:cs="Times New Roman"/>
                <w:b/>
                <w:szCs w:val="21"/>
              </w:rPr>
            </w:pPr>
            <w:r>
              <w:rPr>
                <w:rFonts w:ascii="Times New Roman" w:hAnsi="Times New Roman" w:eastAsia="宋体" w:cs="Times New Roman"/>
                <w:b/>
                <w:szCs w:val="21"/>
              </w:rPr>
              <w:t>监测点位</w:t>
            </w:r>
          </w:p>
        </w:tc>
        <w:tc>
          <w:tcPr>
            <w:tcW w:w="567" w:type="dxa"/>
            <w:shd w:val="clear" w:color="auto" w:fill="auto"/>
            <w:vAlign w:val="center"/>
          </w:tcPr>
          <w:p w14:paraId="0E8F3DFE">
            <w:pPr>
              <w:jc w:val="center"/>
              <w:rPr>
                <w:rFonts w:ascii="Times New Roman" w:hAnsi="Times New Roman" w:eastAsia="宋体" w:cs="Times New Roman"/>
                <w:b/>
                <w:szCs w:val="21"/>
              </w:rPr>
            </w:pPr>
            <w:r>
              <w:rPr>
                <w:rFonts w:ascii="Times New Roman" w:hAnsi="Times New Roman" w:eastAsia="宋体" w:cs="Times New Roman"/>
                <w:b/>
                <w:szCs w:val="21"/>
              </w:rPr>
              <w:t>方位</w:t>
            </w:r>
          </w:p>
        </w:tc>
        <w:tc>
          <w:tcPr>
            <w:tcW w:w="709" w:type="dxa"/>
            <w:shd w:val="clear" w:color="auto" w:fill="auto"/>
            <w:vAlign w:val="center"/>
          </w:tcPr>
          <w:p w14:paraId="64E23635">
            <w:pPr>
              <w:jc w:val="center"/>
              <w:rPr>
                <w:rFonts w:ascii="Times New Roman" w:hAnsi="Times New Roman" w:eastAsia="宋体" w:cs="Times New Roman"/>
                <w:b/>
                <w:szCs w:val="21"/>
              </w:rPr>
            </w:pPr>
            <w:r>
              <w:rPr>
                <w:rFonts w:ascii="Times New Roman" w:hAnsi="Times New Roman" w:eastAsia="宋体" w:cs="Times New Roman"/>
                <w:b/>
                <w:szCs w:val="21"/>
              </w:rPr>
              <w:t>测点</w:t>
            </w:r>
          </w:p>
          <w:p w14:paraId="1D7D758A">
            <w:pPr>
              <w:jc w:val="center"/>
              <w:rPr>
                <w:rFonts w:ascii="Times New Roman" w:hAnsi="Times New Roman" w:eastAsia="宋体" w:cs="Times New Roman"/>
                <w:b/>
                <w:szCs w:val="21"/>
              </w:rPr>
            </w:pPr>
            <w:r>
              <w:rPr>
                <w:rFonts w:ascii="Times New Roman" w:hAnsi="Times New Roman" w:eastAsia="宋体" w:cs="Times New Roman"/>
                <w:b/>
                <w:szCs w:val="21"/>
              </w:rPr>
              <w:t>类型</w:t>
            </w:r>
          </w:p>
        </w:tc>
        <w:tc>
          <w:tcPr>
            <w:tcW w:w="567" w:type="dxa"/>
            <w:shd w:val="clear" w:color="auto" w:fill="auto"/>
            <w:vAlign w:val="center"/>
          </w:tcPr>
          <w:p w14:paraId="456C3EA2">
            <w:pPr>
              <w:jc w:val="center"/>
              <w:rPr>
                <w:rFonts w:ascii="Times New Roman" w:hAnsi="Times New Roman" w:eastAsia="宋体" w:cs="Times New Roman"/>
                <w:b/>
                <w:szCs w:val="21"/>
              </w:rPr>
            </w:pPr>
            <w:r>
              <w:rPr>
                <w:rFonts w:ascii="Times New Roman" w:hAnsi="Times New Roman" w:eastAsia="宋体" w:cs="Times New Roman"/>
                <w:b/>
                <w:szCs w:val="21"/>
              </w:rPr>
              <w:t>噪声类型</w:t>
            </w:r>
          </w:p>
        </w:tc>
        <w:tc>
          <w:tcPr>
            <w:tcW w:w="4283" w:type="dxa"/>
            <w:shd w:val="clear" w:color="auto" w:fill="auto"/>
            <w:vAlign w:val="center"/>
          </w:tcPr>
          <w:p w14:paraId="3AAF7FC9">
            <w:pPr>
              <w:jc w:val="center"/>
              <w:rPr>
                <w:rFonts w:ascii="Times New Roman" w:hAnsi="Times New Roman" w:eastAsia="宋体" w:cs="Times New Roman"/>
                <w:b/>
                <w:szCs w:val="21"/>
              </w:rPr>
            </w:pPr>
            <w:r>
              <w:rPr>
                <w:rFonts w:ascii="Times New Roman" w:hAnsi="Times New Roman" w:eastAsia="宋体" w:cs="Times New Roman"/>
                <w:b/>
                <w:szCs w:val="21"/>
              </w:rPr>
              <w:t>布点位置</w:t>
            </w:r>
          </w:p>
        </w:tc>
      </w:tr>
      <w:tr w14:paraId="1CA2558C">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cantSplit/>
          <w:trHeight w:val="780" w:hRule="atLeast"/>
          <w:jc w:val="center"/>
        </w:trPr>
        <w:tc>
          <w:tcPr>
            <w:tcW w:w="267" w:type="dxa"/>
            <w:vMerge w:val="restart"/>
            <w:shd w:val="clear" w:color="auto" w:fill="auto"/>
            <w:vAlign w:val="center"/>
          </w:tcPr>
          <w:p w14:paraId="127FFBDC">
            <w:pPr>
              <w:widowControl/>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15</w:t>
            </w:r>
          </w:p>
        </w:tc>
        <w:tc>
          <w:tcPr>
            <w:tcW w:w="1259" w:type="dxa"/>
            <w:vMerge w:val="restart"/>
            <w:shd w:val="clear" w:color="auto" w:fill="auto"/>
            <w:vAlign w:val="center"/>
          </w:tcPr>
          <w:p w14:paraId="7230B917">
            <w:pPr>
              <w:widowControl/>
              <w:jc w:val="center"/>
              <w:rPr>
                <w:rFonts w:ascii="Times New Roman" w:hAnsi="Times New Roman" w:cs="Times New Roman" w:eastAsiaTheme="minorEastAsia"/>
                <w:kern w:val="0"/>
              </w:rPr>
            </w:pPr>
            <w:r>
              <w:rPr>
                <w:rFonts w:ascii="Times New Roman" w:hAnsi="Times New Roman" w:cs="Times New Roman" w:eastAsiaTheme="minorEastAsia"/>
              </w:rPr>
              <w:t>K</w:t>
            </w:r>
            <w:r>
              <w:rPr>
                <w:rFonts w:hint="eastAsia" w:ascii="Times New Roman" w:hAnsi="Times New Roman" w:cs="Times New Roman" w:eastAsiaTheme="minorEastAsia"/>
              </w:rPr>
              <w:t>42</w:t>
            </w:r>
            <w:r>
              <w:rPr>
                <w:rFonts w:ascii="Times New Roman" w:hAnsi="Times New Roman" w:cs="Times New Roman" w:eastAsiaTheme="minorEastAsia"/>
              </w:rPr>
              <w:t>+</w:t>
            </w:r>
            <w:r>
              <w:rPr>
                <w:rFonts w:hint="eastAsia" w:ascii="Times New Roman" w:hAnsi="Times New Roman" w:cs="Times New Roman" w:eastAsiaTheme="minorEastAsia"/>
              </w:rPr>
              <w:t>900</w:t>
            </w:r>
          </w:p>
        </w:tc>
        <w:tc>
          <w:tcPr>
            <w:tcW w:w="1002" w:type="dxa"/>
            <w:vMerge w:val="restart"/>
            <w:shd w:val="clear" w:color="auto" w:fill="auto"/>
            <w:vAlign w:val="center"/>
          </w:tcPr>
          <w:p w14:paraId="65D95415">
            <w:pPr>
              <w:widowControl/>
              <w:jc w:val="center"/>
              <w:rPr>
                <w:rFonts w:ascii="Times New Roman" w:hAnsi="Times New Roman" w:cs="Times New Roman" w:eastAsiaTheme="minorEastAsia"/>
                <w:kern w:val="0"/>
              </w:rPr>
            </w:pPr>
            <w:r>
              <w:rPr>
                <w:rFonts w:hint="eastAsia" w:ascii="Times New Roman" w:cs="Times New Roman" w:hAnsiTheme="minorEastAsia" w:eastAsiaTheme="minorEastAsia"/>
              </w:rPr>
              <w:t>吐碗</w:t>
            </w:r>
          </w:p>
        </w:tc>
        <w:tc>
          <w:tcPr>
            <w:tcW w:w="567" w:type="dxa"/>
            <w:vMerge w:val="restart"/>
            <w:shd w:val="clear" w:color="auto" w:fill="auto"/>
            <w:vAlign w:val="center"/>
          </w:tcPr>
          <w:p w14:paraId="45456A0F">
            <w:pPr>
              <w:jc w:val="center"/>
              <w:rPr>
                <w:rFonts w:ascii="Times New Roman" w:hAnsi="Times New Roman" w:eastAsia="宋体" w:cs="Times New Roman"/>
                <w:szCs w:val="21"/>
              </w:rPr>
            </w:pPr>
            <w:r>
              <w:rPr>
                <w:rFonts w:hint="eastAsia" w:ascii="Times New Roman" w:hAnsi="Times New Roman" w:eastAsia="宋体" w:cs="Times New Roman"/>
                <w:szCs w:val="21"/>
              </w:rPr>
              <w:t>路右</w:t>
            </w:r>
          </w:p>
        </w:tc>
        <w:tc>
          <w:tcPr>
            <w:tcW w:w="709" w:type="dxa"/>
            <w:vMerge w:val="restart"/>
            <w:shd w:val="clear" w:color="auto" w:fill="auto"/>
            <w:vAlign w:val="center"/>
          </w:tcPr>
          <w:p w14:paraId="00733D9E">
            <w:pPr>
              <w:jc w:val="center"/>
              <w:rPr>
                <w:rFonts w:ascii="Times New Roman" w:hAnsi="Times New Roman" w:eastAsia="宋体" w:cs="Times New Roman"/>
                <w:szCs w:val="21"/>
              </w:rPr>
            </w:pPr>
            <w:r>
              <w:rPr>
                <w:rFonts w:ascii="Times New Roman" w:hAnsi="Times New Roman" w:eastAsia="宋体" w:cs="Times New Roman"/>
                <w:szCs w:val="21"/>
              </w:rPr>
              <w:t>居民点</w:t>
            </w:r>
          </w:p>
        </w:tc>
        <w:tc>
          <w:tcPr>
            <w:tcW w:w="567" w:type="dxa"/>
            <w:shd w:val="clear" w:color="auto" w:fill="auto"/>
            <w:vAlign w:val="center"/>
          </w:tcPr>
          <w:p w14:paraId="7FD5A59E">
            <w:pPr>
              <w:jc w:val="center"/>
              <w:rPr>
                <w:rFonts w:ascii="Times New Roman" w:hAnsi="Times New Roman" w:eastAsia="宋体" w:cs="Times New Roman"/>
                <w:szCs w:val="21"/>
              </w:rPr>
            </w:pPr>
            <w:r>
              <w:rPr>
                <w:rFonts w:ascii="Times New Roman" w:hAnsi="Times New Roman" w:eastAsia="宋体" w:cs="Times New Roman"/>
                <w:kern w:val="0"/>
                <w:szCs w:val="21"/>
              </w:rPr>
              <w:t>环境噪声</w:t>
            </w:r>
          </w:p>
        </w:tc>
        <w:tc>
          <w:tcPr>
            <w:tcW w:w="4283" w:type="dxa"/>
            <w:shd w:val="clear" w:color="auto" w:fill="auto"/>
            <w:vAlign w:val="center"/>
          </w:tcPr>
          <w:p w14:paraId="0E39C097">
            <w:pPr>
              <w:jc w:val="left"/>
              <w:rPr>
                <w:rFonts w:ascii="Times New Roman" w:hAnsi="Times New Roman" w:eastAsia="宋体" w:cs="Times New Roman"/>
                <w:szCs w:val="21"/>
              </w:rPr>
            </w:pPr>
            <w:r>
              <w:rPr>
                <w:rFonts w:ascii="Times New Roman" w:hAnsi="Times New Roman" w:eastAsia="宋体" w:cs="Times New Roman"/>
                <w:szCs w:val="21"/>
              </w:rPr>
              <w:t>临现有</w:t>
            </w:r>
            <w:r>
              <w:rPr>
                <w:rFonts w:hint="eastAsia" w:ascii="Times New Roman" w:hAnsi="Times New Roman" w:eastAsia="宋体" w:cs="Times New Roman"/>
                <w:szCs w:val="21"/>
              </w:rPr>
              <w:t>G219</w:t>
            </w:r>
            <w:r>
              <w:rPr>
                <w:rFonts w:ascii="Times New Roman" w:hAnsi="Times New Roman" w:eastAsia="宋体" w:cs="Times New Roman"/>
                <w:kern w:val="0"/>
                <w:szCs w:val="21"/>
              </w:rPr>
              <w:t>公路第一排</w:t>
            </w:r>
            <w:r>
              <w:rPr>
                <w:rFonts w:hint="eastAsia" w:ascii="Times New Roman" w:hAnsi="Times New Roman" w:eastAsia="宋体" w:cs="Times New Roman"/>
                <w:kern w:val="0"/>
                <w:szCs w:val="21"/>
              </w:rPr>
              <w:t>房屋1</w:t>
            </w:r>
            <w:r>
              <w:rPr>
                <w:rFonts w:ascii="Times New Roman" w:hAnsi="Times New Roman" w:eastAsia="宋体" w:cs="Times New Roman"/>
                <w:szCs w:val="21"/>
              </w:rPr>
              <w:t>层窗前1m，高度</w:t>
            </w:r>
            <w:r>
              <w:rPr>
                <w:rFonts w:hint="eastAsia" w:ascii="Times New Roman" w:hAnsi="Times New Roman" w:eastAsia="宋体" w:cs="Times New Roman"/>
                <w:szCs w:val="21"/>
              </w:rPr>
              <w:t>1</w:t>
            </w:r>
            <w:r>
              <w:rPr>
                <w:rFonts w:ascii="Times New Roman" w:hAnsi="Times New Roman" w:eastAsia="宋体" w:cs="Times New Roman"/>
                <w:szCs w:val="21"/>
              </w:rPr>
              <w:t>.2m</w:t>
            </w:r>
            <w:r>
              <w:rPr>
                <w:rFonts w:hint="eastAsia" w:ascii="Times New Roman" w:hAnsi="Times New Roman" w:eastAsia="宋体" w:cs="Times New Roman"/>
                <w:szCs w:val="21"/>
              </w:rPr>
              <w:t>；</w:t>
            </w:r>
            <w:r>
              <w:rPr>
                <w:rFonts w:ascii="Times New Roman" w:hAnsi="Times New Roman" w:eastAsia="宋体" w:cs="Times New Roman"/>
                <w:szCs w:val="21"/>
              </w:rPr>
              <w:t>临现有</w:t>
            </w:r>
            <w:r>
              <w:rPr>
                <w:rFonts w:hint="eastAsia" w:ascii="Times New Roman" w:hAnsi="Times New Roman" w:eastAsia="宋体" w:cs="Times New Roman"/>
                <w:szCs w:val="21"/>
              </w:rPr>
              <w:t>G219</w:t>
            </w:r>
            <w:r>
              <w:rPr>
                <w:rFonts w:ascii="Times New Roman" w:hAnsi="Times New Roman" w:eastAsia="宋体" w:cs="Times New Roman"/>
                <w:szCs w:val="21"/>
              </w:rPr>
              <w:t>公路边界</w:t>
            </w:r>
            <w:r>
              <w:rPr>
                <w:rFonts w:hint="eastAsia" w:ascii="Times New Roman" w:hAnsi="Times New Roman" w:eastAsia="宋体" w:cs="Times New Roman"/>
                <w:szCs w:val="21"/>
              </w:rPr>
              <w:t>35</w:t>
            </w:r>
            <w:r>
              <w:rPr>
                <w:rFonts w:ascii="Times New Roman" w:hAnsi="Times New Roman" w:eastAsia="宋体" w:cs="Times New Roman"/>
                <w:szCs w:val="21"/>
              </w:rPr>
              <w:t>m外第一排房</w:t>
            </w:r>
            <w:r>
              <w:rPr>
                <w:rFonts w:hint="eastAsia" w:ascii="Times New Roman" w:hAnsi="Times New Roman" w:eastAsia="宋体" w:cs="Times New Roman"/>
                <w:szCs w:val="21"/>
              </w:rPr>
              <w:t>1</w:t>
            </w:r>
            <w:r>
              <w:rPr>
                <w:rFonts w:ascii="Times New Roman" w:hAnsi="Times New Roman" w:eastAsia="宋体" w:cs="Times New Roman"/>
                <w:szCs w:val="21"/>
              </w:rPr>
              <w:t>层窗前1m，高度</w:t>
            </w:r>
            <w:r>
              <w:rPr>
                <w:rFonts w:hint="eastAsia" w:ascii="Times New Roman" w:hAnsi="Times New Roman" w:eastAsia="宋体" w:cs="Times New Roman"/>
                <w:szCs w:val="21"/>
              </w:rPr>
              <w:t>1</w:t>
            </w:r>
            <w:r>
              <w:rPr>
                <w:rFonts w:ascii="Times New Roman" w:hAnsi="Times New Roman" w:eastAsia="宋体" w:cs="Times New Roman"/>
                <w:szCs w:val="21"/>
              </w:rPr>
              <w:t>.2m；同步监测，并按大、中、小型车，记录现有</w:t>
            </w:r>
            <w:r>
              <w:rPr>
                <w:rFonts w:hint="eastAsia" w:ascii="Times New Roman" w:hAnsi="Times New Roman" w:eastAsia="宋体" w:cs="Times New Roman"/>
                <w:szCs w:val="21"/>
              </w:rPr>
              <w:t>G219</w:t>
            </w:r>
            <w:r>
              <w:rPr>
                <w:rFonts w:ascii="Times New Roman" w:hAnsi="Times New Roman" w:eastAsia="宋体" w:cs="Times New Roman"/>
                <w:szCs w:val="21"/>
              </w:rPr>
              <w:t>公路交通量。</w:t>
            </w:r>
          </w:p>
        </w:tc>
      </w:tr>
      <w:tr w14:paraId="347890FD">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cantSplit/>
          <w:trHeight w:val="372" w:hRule="atLeast"/>
          <w:jc w:val="center"/>
        </w:trPr>
        <w:tc>
          <w:tcPr>
            <w:tcW w:w="267" w:type="dxa"/>
            <w:vMerge w:val="continue"/>
            <w:shd w:val="clear" w:color="auto" w:fill="auto"/>
            <w:vAlign w:val="center"/>
          </w:tcPr>
          <w:p w14:paraId="21BFA02D">
            <w:pPr>
              <w:widowControl/>
              <w:jc w:val="center"/>
              <w:rPr>
                <w:rFonts w:ascii="Times New Roman" w:hAnsi="Times New Roman" w:eastAsia="宋体" w:cs="Times New Roman"/>
                <w:kern w:val="0"/>
                <w:szCs w:val="21"/>
              </w:rPr>
            </w:pPr>
          </w:p>
        </w:tc>
        <w:tc>
          <w:tcPr>
            <w:tcW w:w="1259" w:type="dxa"/>
            <w:vMerge w:val="continue"/>
            <w:shd w:val="clear" w:color="auto" w:fill="auto"/>
            <w:vAlign w:val="center"/>
          </w:tcPr>
          <w:p w14:paraId="0D9AD8B4">
            <w:pPr>
              <w:widowControl/>
              <w:jc w:val="center"/>
              <w:rPr>
                <w:rFonts w:ascii="Times New Roman" w:hAnsi="Times New Roman" w:cs="Times New Roman" w:eastAsiaTheme="minorEastAsia"/>
              </w:rPr>
            </w:pPr>
          </w:p>
        </w:tc>
        <w:tc>
          <w:tcPr>
            <w:tcW w:w="1002" w:type="dxa"/>
            <w:vMerge w:val="continue"/>
            <w:shd w:val="clear" w:color="auto" w:fill="auto"/>
            <w:vAlign w:val="center"/>
          </w:tcPr>
          <w:p w14:paraId="366610A1">
            <w:pPr>
              <w:widowControl/>
              <w:jc w:val="center"/>
              <w:rPr>
                <w:rFonts w:ascii="Times New Roman" w:cs="Times New Roman" w:hAnsiTheme="minorEastAsia" w:eastAsiaTheme="minorEastAsia"/>
              </w:rPr>
            </w:pPr>
          </w:p>
        </w:tc>
        <w:tc>
          <w:tcPr>
            <w:tcW w:w="567" w:type="dxa"/>
            <w:vMerge w:val="continue"/>
            <w:shd w:val="clear" w:color="auto" w:fill="auto"/>
            <w:vAlign w:val="center"/>
          </w:tcPr>
          <w:p w14:paraId="492E87B1">
            <w:pPr>
              <w:jc w:val="center"/>
              <w:rPr>
                <w:rFonts w:ascii="Times New Roman" w:hAnsi="Times New Roman" w:eastAsia="宋体" w:cs="Times New Roman"/>
                <w:szCs w:val="21"/>
              </w:rPr>
            </w:pPr>
          </w:p>
        </w:tc>
        <w:tc>
          <w:tcPr>
            <w:tcW w:w="709" w:type="dxa"/>
            <w:vMerge w:val="continue"/>
            <w:shd w:val="clear" w:color="auto" w:fill="auto"/>
            <w:vAlign w:val="center"/>
          </w:tcPr>
          <w:p w14:paraId="34459BEE">
            <w:pPr>
              <w:jc w:val="center"/>
              <w:rPr>
                <w:rFonts w:ascii="Times New Roman" w:hAnsi="Times New Roman" w:eastAsia="宋体" w:cs="Times New Roman"/>
                <w:szCs w:val="21"/>
              </w:rPr>
            </w:pPr>
          </w:p>
        </w:tc>
        <w:tc>
          <w:tcPr>
            <w:tcW w:w="567" w:type="dxa"/>
            <w:shd w:val="clear" w:color="auto" w:fill="auto"/>
            <w:vAlign w:val="center"/>
          </w:tcPr>
          <w:p w14:paraId="38FF1A43">
            <w:pPr>
              <w:jc w:val="center"/>
              <w:rPr>
                <w:rFonts w:ascii="Times New Roman" w:hAnsi="Times New Roman" w:eastAsia="宋体" w:cs="Times New Roman"/>
                <w:szCs w:val="21"/>
              </w:rPr>
            </w:pPr>
            <w:r>
              <w:rPr>
                <w:rFonts w:ascii="Times New Roman" w:hAnsi="Times New Roman" w:eastAsia="宋体" w:cs="Times New Roman"/>
                <w:szCs w:val="21"/>
              </w:rPr>
              <w:t>背景噪声</w:t>
            </w:r>
          </w:p>
        </w:tc>
        <w:tc>
          <w:tcPr>
            <w:tcW w:w="4283" w:type="dxa"/>
            <w:shd w:val="clear" w:color="auto" w:fill="auto"/>
            <w:vAlign w:val="center"/>
          </w:tcPr>
          <w:p w14:paraId="60CA2174">
            <w:pPr>
              <w:jc w:val="left"/>
              <w:rPr>
                <w:rFonts w:ascii="Times New Roman" w:hAnsi="Times New Roman" w:eastAsia="宋体" w:cs="Times New Roman"/>
                <w:szCs w:val="21"/>
              </w:rPr>
            </w:pPr>
            <w:r>
              <w:rPr>
                <w:rFonts w:hint="eastAsia" w:ascii="Times New Roman" w:hAnsi="Times New Roman" w:eastAsia="宋体" w:cs="Times New Roman"/>
                <w:szCs w:val="21"/>
              </w:rPr>
              <w:t>远离现有G219</w:t>
            </w:r>
            <w:r>
              <w:rPr>
                <w:rFonts w:ascii="Times New Roman" w:hAnsi="Times New Roman" w:eastAsia="宋体" w:cs="Times New Roman"/>
                <w:kern w:val="0"/>
                <w:szCs w:val="21"/>
              </w:rPr>
              <w:t>公路200m以外，1层窗前1m，高度1.2m。</w:t>
            </w:r>
          </w:p>
        </w:tc>
      </w:tr>
      <w:tr w14:paraId="46AEA8E6">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cantSplit/>
          <w:trHeight w:val="623" w:hRule="atLeast"/>
          <w:jc w:val="center"/>
        </w:trPr>
        <w:tc>
          <w:tcPr>
            <w:tcW w:w="267" w:type="dxa"/>
            <w:shd w:val="clear" w:color="auto" w:fill="auto"/>
            <w:vAlign w:val="center"/>
          </w:tcPr>
          <w:p w14:paraId="5CF279AE">
            <w:pPr>
              <w:widowControl/>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16</w:t>
            </w:r>
          </w:p>
        </w:tc>
        <w:tc>
          <w:tcPr>
            <w:tcW w:w="1259" w:type="dxa"/>
            <w:shd w:val="clear" w:color="auto" w:fill="auto"/>
            <w:vAlign w:val="center"/>
          </w:tcPr>
          <w:p w14:paraId="34D01FD5">
            <w:pPr>
              <w:widowControl/>
              <w:jc w:val="center"/>
              <w:rPr>
                <w:rFonts w:ascii="Times New Roman" w:hAnsi="Times New Roman" w:cs="Times New Roman" w:eastAsiaTheme="minorEastAsia"/>
                <w:kern w:val="0"/>
              </w:rPr>
            </w:pPr>
            <w:r>
              <w:rPr>
                <w:rFonts w:ascii="Times New Roman" w:hAnsi="Times New Roman" w:cs="Times New Roman" w:eastAsiaTheme="minorEastAsia"/>
              </w:rPr>
              <w:t>K</w:t>
            </w:r>
            <w:r>
              <w:rPr>
                <w:rFonts w:hint="eastAsia" w:ascii="Times New Roman" w:hAnsi="Times New Roman" w:cs="Times New Roman" w:eastAsiaTheme="minorEastAsia"/>
              </w:rPr>
              <w:t>44</w:t>
            </w:r>
            <w:r>
              <w:rPr>
                <w:rFonts w:ascii="Times New Roman" w:hAnsi="Times New Roman" w:cs="Times New Roman" w:eastAsiaTheme="minorEastAsia"/>
              </w:rPr>
              <w:t>+</w:t>
            </w:r>
            <w:r>
              <w:rPr>
                <w:rFonts w:hint="eastAsia" w:ascii="Times New Roman" w:hAnsi="Times New Roman" w:cs="Times New Roman" w:eastAsiaTheme="minorEastAsia"/>
              </w:rPr>
              <w:t>270</w:t>
            </w:r>
          </w:p>
        </w:tc>
        <w:tc>
          <w:tcPr>
            <w:tcW w:w="1002" w:type="dxa"/>
            <w:shd w:val="clear" w:color="auto" w:fill="auto"/>
            <w:vAlign w:val="center"/>
          </w:tcPr>
          <w:p w14:paraId="29F01D8D">
            <w:pPr>
              <w:widowControl/>
              <w:jc w:val="center"/>
              <w:rPr>
                <w:rFonts w:ascii="Times New Roman" w:hAnsi="Times New Roman" w:cs="Times New Roman" w:eastAsiaTheme="minorEastAsia"/>
                <w:kern w:val="0"/>
              </w:rPr>
            </w:pPr>
            <w:r>
              <w:rPr>
                <w:rFonts w:hint="eastAsia" w:ascii="Times New Roman" w:cs="Times New Roman" w:hAnsiTheme="minorEastAsia" w:eastAsiaTheme="minorEastAsia"/>
              </w:rPr>
              <w:t>其维克村</w:t>
            </w:r>
          </w:p>
        </w:tc>
        <w:tc>
          <w:tcPr>
            <w:tcW w:w="567" w:type="dxa"/>
            <w:shd w:val="clear" w:color="auto" w:fill="auto"/>
            <w:vAlign w:val="center"/>
          </w:tcPr>
          <w:p w14:paraId="5B008B4F">
            <w:pPr>
              <w:jc w:val="center"/>
              <w:rPr>
                <w:rFonts w:ascii="Times New Roman" w:hAnsi="Times New Roman" w:eastAsia="宋体" w:cs="Times New Roman"/>
                <w:szCs w:val="21"/>
              </w:rPr>
            </w:pPr>
            <w:r>
              <w:rPr>
                <w:rFonts w:hint="eastAsia" w:ascii="Times New Roman" w:hAnsi="Times New Roman" w:eastAsia="宋体" w:cs="Times New Roman"/>
                <w:szCs w:val="21"/>
              </w:rPr>
              <w:t>路左</w:t>
            </w:r>
          </w:p>
        </w:tc>
        <w:tc>
          <w:tcPr>
            <w:tcW w:w="709" w:type="dxa"/>
            <w:shd w:val="clear" w:color="auto" w:fill="auto"/>
            <w:vAlign w:val="center"/>
          </w:tcPr>
          <w:p w14:paraId="6A21D7F7">
            <w:pPr>
              <w:jc w:val="center"/>
              <w:rPr>
                <w:rFonts w:ascii="Times New Roman" w:hAnsi="Times New Roman" w:eastAsia="宋体" w:cs="Times New Roman"/>
                <w:szCs w:val="21"/>
              </w:rPr>
            </w:pPr>
            <w:r>
              <w:rPr>
                <w:rFonts w:ascii="Times New Roman" w:hAnsi="Times New Roman" w:eastAsia="宋体" w:cs="Times New Roman"/>
                <w:szCs w:val="21"/>
              </w:rPr>
              <w:t>居民点</w:t>
            </w:r>
          </w:p>
        </w:tc>
        <w:tc>
          <w:tcPr>
            <w:tcW w:w="567" w:type="dxa"/>
            <w:shd w:val="clear" w:color="auto" w:fill="auto"/>
            <w:vAlign w:val="center"/>
          </w:tcPr>
          <w:p w14:paraId="2FBD0354">
            <w:pPr>
              <w:jc w:val="center"/>
              <w:rPr>
                <w:rFonts w:ascii="Times New Roman" w:hAnsi="Times New Roman" w:eastAsia="宋体" w:cs="Times New Roman"/>
                <w:szCs w:val="21"/>
              </w:rPr>
            </w:pPr>
            <w:r>
              <w:rPr>
                <w:rFonts w:ascii="Times New Roman" w:hAnsi="Times New Roman" w:eastAsia="宋体" w:cs="Times New Roman"/>
                <w:kern w:val="0"/>
                <w:szCs w:val="21"/>
              </w:rPr>
              <w:t>环境噪声</w:t>
            </w:r>
          </w:p>
        </w:tc>
        <w:tc>
          <w:tcPr>
            <w:tcW w:w="4283" w:type="dxa"/>
            <w:shd w:val="clear" w:color="auto" w:fill="auto"/>
            <w:vAlign w:val="center"/>
          </w:tcPr>
          <w:p w14:paraId="5082E848">
            <w:pPr>
              <w:jc w:val="left"/>
              <w:rPr>
                <w:rFonts w:ascii="Times New Roman" w:hAnsi="Times New Roman" w:eastAsia="宋体" w:cs="Times New Roman"/>
                <w:szCs w:val="21"/>
              </w:rPr>
            </w:pPr>
            <w:r>
              <w:rPr>
                <w:rFonts w:hint="eastAsia" w:ascii="Times New Roman" w:hAnsi="Times New Roman" w:eastAsia="宋体" w:cs="Times New Roman"/>
                <w:szCs w:val="21"/>
              </w:rPr>
              <w:t>远离现有G219</w:t>
            </w:r>
            <w:r>
              <w:rPr>
                <w:rFonts w:hint="eastAsia" w:ascii="Times New Roman" w:hAnsi="Times New Roman" w:eastAsia="宋体" w:cs="Times New Roman"/>
                <w:kern w:val="0"/>
                <w:szCs w:val="21"/>
              </w:rPr>
              <w:t>且</w:t>
            </w:r>
            <w:r>
              <w:rPr>
                <w:rFonts w:ascii="Times New Roman" w:hAnsi="Times New Roman" w:eastAsia="宋体" w:cs="Times New Roman"/>
                <w:szCs w:val="21"/>
              </w:rPr>
              <w:t>临现有</w:t>
            </w:r>
            <w:r>
              <w:rPr>
                <w:rFonts w:hint="eastAsia" w:ascii="Times New Roman" w:hAnsi="Times New Roman" w:eastAsia="宋体" w:cs="Times New Roman"/>
                <w:szCs w:val="21"/>
              </w:rPr>
              <w:t>S311</w:t>
            </w:r>
            <w:r>
              <w:rPr>
                <w:rFonts w:ascii="Times New Roman" w:hAnsi="Times New Roman" w:eastAsia="宋体" w:cs="Times New Roman"/>
                <w:szCs w:val="21"/>
              </w:rPr>
              <w:t>公路第一排房</w:t>
            </w:r>
            <w:r>
              <w:rPr>
                <w:rFonts w:hint="eastAsia" w:ascii="Times New Roman" w:hAnsi="Times New Roman" w:eastAsia="宋体" w:cs="Times New Roman"/>
                <w:szCs w:val="21"/>
              </w:rPr>
              <w:t>1</w:t>
            </w:r>
            <w:r>
              <w:rPr>
                <w:rFonts w:ascii="Times New Roman" w:hAnsi="Times New Roman" w:eastAsia="宋体" w:cs="Times New Roman"/>
                <w:szCs w:val="21"/>
              </w:rPr>
              <w:t>层窗</w:t>
            </w:r>
            <w:r>
              <w:rPr>
                <w:rFonts w:hint="eastAsia" w:ascii="Times New Roman" w:hAnsi="Times New Roman" w:eastAsia="宋体" w:cs="Times New Roman"/>
                <w:szCs w:val="21"/>
              </w:rPr>
              <w:t>1</w:t>
            </w:r>
            <w:r>
              <w:rPr>
                <w:rFonts w:ascii="Times New Roman" w:hAnsi="Times New Roman" w:eastAsia="宋体" w:cs="Times New Roman"/>
                <w:szCs w:val="21"/>
              </w:rPr>
              <w:t>m，高度</w:t>
            </w:r>
            <w:r>
              <w:rPr>
                <w:rFonts w:hint="eastAsia" w:ascii="Times New Roman" w:hAnsi="Times New Roman" w:eastAsia="宋体" w:cs="Times New Roman"/>
                <w:szCs w:val="21"/>
              </w:rPr>
              <w:t>1</w:t>
            </w:r>
            <w:r>
              <w:rPr>
                <w:rFonts w:ascii="Times New Roman" w:hAnsi="Times New Roman" w:eastAsia="宋体" w:cs="Times New Roman"/>
                <w:szCs w:val="21"/>
              </w:rPr>
              <w:t>.2m</w:t>
            </w:r>
            <w:r>
              <w:rPr>
                <w:rFonts w:hint="eastAsia" w:ascii="Times New Roman" w:hAnsi="Times New Roman" w:eastAsia="宋体" w:cs="Times New Roman"/>
                <w:szCs w:val="21"/>
              </w:rPr>
              <w:t>；远离现有G219</w:t>
            </w:r>
            <w:r>
              <w:rPr>
                <w:rFonts w:hint="eastAsia" w:ascii="Times New Roman" w:hAnsi="Times New Roman" w:eastAsia="宋体" w:cs="Times New Roman"/>
                <w:kern w:val="0"/>
                <w:szCs w:val="21"/>
              </w:rPr>
              <w:t>且</w:t>
            </w:r>
            <w:r>
              <w:rPr>
                <w:rFonts w:ascii="Times New Roman" w:hAnsi="Times New Roman" w:eastAsia="宋体" w:cs="Times New Roman"/>
                <w:szCs w:val="21"/>
              </w:rPr>
              <w:t>临现有</w:t>
            </w:r>
            <w:r>
              <w:rPr>
                <w:rFonts w:hint="eastAsia" w:ascii="Times New Roman" w:hAnsi="Times New Roman" w:eastAsia="宋体" w:cs="Times New Roman"/>
                <w:szCs w:val="21"/>
              </w:rPr>
              <w:t>S311</w:t>
            </w:r>
            <w:r>
              <w:rPr>
                <w:rFonts w:ascii="Times New Roman" w:hAnsi="Times New Roman" w:eastAsia="宋体" w:cs="Times New Roman"/>
                <w:szCs w:val="21"/>
              </w:rPr>
              <w:t>公路边界</w:t>
            </w:r>
            <w:r>
              <w:rPr>
                <w:rFonts w:hint="eastAsia" w:ascii="Times New Roman" w:hAnsi="Times New Roman" w:eastAsia="宋体" w:cs="Times New Roman"/>
                <w:szCs w:val="21"/>
              </w:rPr>
              <w:t>35</w:t>
            </w:r>
            <w:r>
              <w:rPr>
                <w:rFonts w:ascii="Times New Roman" w:hAnsi="Times New Roman" w:eastAsia="宋体" w:cs="Times New Roman"/>
                <w:szCs w:val="21"/>
              </w:rPr>
              <w:t>m外第一排房</w:t>
            </w:r>
            <w:r>
              <w:rPr>
                <w:rFonts w:hint="eastAsia" w:ascii="Times New Roman" w:hAnsi="Times New Roman" w:eastAsia="宋体" w:cs="Times New Roman"/>
                <w:szCs w:val="21"/>
              </w:rPr>
              <w:t>1</w:t>
            </w:r>
            <w:r>
              <w:rPr>
                <w:rFonts w:ascii="Times New Roman" w:hAnsi="Times New Roman" w:eastAsia="宋体" w:cs="Times New Roman"/>
                <w:szCs w:val="21"/>
              </w:rPr>
              <w:t>层窗前1m，高度</w:t>
            </w:r>
            <w:r>
              <w:rPr>
                <w:rFonts w:hint="eastAsia" w:ascii="Times New Roman" w:hAnsi="Times New Roman" w:eastAsia="宋体" w:cs="Times New Roman"/>
                <w:szCs w:val="21"/>
              </w:rPr>
              <w:t>1</w:t>
            </w:r>
            <w:r>
              <w:rPr>
                <w:rFonts w:ascii="Times New Roman" w:hAnsi="Times New Roman" w:eastAsia="宋体" w:cs="Times New Roman"/>
                <w:szCs w:val="21"/>
              </w:rPr>
              <w:t>.2m；同步监测，并按大、中、小型车，记录现有</w:t>
            </w:r>
            <w:r>
              <w:rPr>
                <w:rFonts w:hint="eastAsia" w:ascii="Times New Roman" w:hAnsi="Times New Roman" w:eastAsia="宋体" w:cs="Times New Roman"/>
                <w:szCs w:val="21"/>
              </w:rPr>
              <w:t>S311</w:t>
            </w:r>
            <w:r>
              <w:rPr>
                <w:rFonts w:ascii="Times New Roman" w:hAnsi="Times New Roman" w:eastAsia="宋体" w:cs="Times New Roman"/>
                <w:szCs w:val="21"/>
              </w:rPr>
              <w:t>公路交通量。</w:t>
            </w:r>
          </w:p>
        </w:tc>
      </w:tr>
      <w:tr w14:paraId="64A29A2A">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cantSplit/>
          <w:trHeight w:val="780" w:hRule="atLeast"/>
          <w:jc w:val="center"/>
        </w:trPr>
        <w:tc>
          <w:tcPr>
            <w:tcW w:w="267" w:type="dxa"/>
            <w:vMerge w:val="restart"/>
            <w:shd w:val="clear" w:color="auto" w:fill="auto"/>
            <w:vAlign w:val="center"/>
          </w:tcPr>
          <w:p w14:paraId="41038132">
            <w:pPr>
              <w:widowControl/>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17</w:t>
            </w:r>
          </w:p>
        </w:tc>
        <w:tc>
          <w:tcPr>
            <w:tcW w:w="1259" w:type="dxa"/>
            <w:vMerge w:val="restart"/>
            <w:shd w:val="clear" w:color="auto" w:fill="auto"/>
            <w:vAlign w:val="center"/>
          </w:tcPr>
          <w:p w14:paraId="74A8D465">
            <w:pPr>
              <w:widowControl/>
              <w:jc w:val="center"/>
              <w:rPr>
                <w:rFonts w:ascii="Times New Roman" w:hAnsi="Times New Roman" w:cs="Times New Roman" w:eastAsiaTheme="minorEastAsia"/>
                <w:kern w:val="0"/>
              </w:rPr>
            </w:pPr>
            <w:r>
              <w:rPr>
                <w:rFonts w:ascii="Times New Roman" w:hAnsi="Times New Roman" w:cs="Times New Roman" w:eastAsiaTheme="minorEastAsia"/>
              </w:rPr>
              <w:t>K</w:t>
            </w:r>
            <w:r>
              <w:rPr>
                <w:rFonts w:hint="eastAsia" w:ascii="Times New Roman" w:hAnsi="Times New Roman" w:cs="Times New Roman" w:eastAsiaTheme="minorEastAsia"/>
              </w:rPr>
              <w:t>45</w:t>
            </w:r>
            <w:r>
              <w:rPr>
                <w:rFonts w:ascii="Times New Roman" w:hAnsi="Times New Roman" w:cs="Times New Roman" w:eastAsiaTheme="minorEastAsia"/>
              </w:rPr>
              <w:t>+</w:t>
            </w:r>
            <w:r>
              <w:rPr>
                <w:rFonts w:hint="eastAsia" w:ascii="Times New Roman" w:hAnsi="Times New Roman" w:cs="Times New Roman" w:eastAsiaTheme="minorEastAsia"/>
              </w:rPr>
              <w:t>800</w:t>
            </w:r>
          </w:p>
        </w:tc>
        <w:tc>
          <w:tcPr>
            <w:tcW w:w="1002" w:type="dxa"/>
            <w:vMerge w:val="restart"/>
            <w:shd w:val="clear" w:color="auto" w:fill="auto"/>
            <w:vAlign w:val="center"/>
          </w:tcPr>
          <w:p w14:paraId="34CB0437">
            <w:pPr>
              <w:jc w:val="center"/>
              <w:rPr>
                <w:rFonts w:ascii="Times New Roman" w:hAnsi="Times New Roman" w:cs="Times New Roman" w:eastAsiaTheme="minorEastAsia"/>
              </w:rPr>
            </w:pPr>
            <w:r>
              <w:rPr>
                <w:rFonts w:hint="eastAsia" w:ascii="Times New Roman" w:cs="Times New Roman" w:hAnsiTheme="minorEastAsia" w:eastAsiaTheme="minorEastAsia"/>
                <w:snapToGrid w:val="0"/>
                <w:kern w:val="0"/>
              </w:rPr>
              <w:t>布鲁胡其</w:t>
            </w:r>
          </w:p>
        </w:tc>
        <w:tc>
          <w:tcPr>
            <w:tcW w:w="567" w:type="dxa"/>
            <w:vMerge w:val="restart"/>
            <w:shd w:val="clear" w:color="auto" w:fill="auto"/>
            <w:vAlign w:val="center"/>
          </w:tcPr>
          <w:p w14:paraId="4FA40EB7">
            <w:pPr>
              <w:jc w:val="center"/>
              <w:rPr>
                <w:rFonts w:ascii="Times New Roman" w:hAnsi="Times New Roman" w:eastAsia="宋体" w:cs="Times New Roman"/>
                <w:szCs w:val="21"/>
              </w:rPr>
            </w:pPr>
            <w:r>
              <w:rPr>
                <w:rFonts w:hint="eastAsia" w:ascii="Times New Roman" w:hAnsi="Times New Roman" w:eastAsia="宋体" w:cs="Times New Roman"/>
                <w:szCs w:val="21"/>
              </w:rPr>
              <w:t>路右</w:t>
            </w:r>
          </w:p>
        </w:tc>
        <w:tc>
          <w:tcPr>
            <w:tcW w:w="709" w:type="dxa"/>
            <w:vMerge w:val="restart"/>
            <w:shd w:val="clear" w:color="auto" w:fill="auto"/>
            <w:vAlign w:val="center"/>
          </w:tcPr>
          <w:p w14:paraId="17ED9C0F">
            <w:pPr>
              <w:jc w:val="center"/>
              <w:rPr>
                <w:rFonts w:ascii="Times New Roman" w:hAnsi="Times New Roman" w:eastAsia="宋体" w:cs="Times New Roman"/>
                <w:szCs w:val="21"/>
              </w:rPr>
            </w:pPr>
            <w:r>
              <w:rPr>
                <w:rFonts w:ascii="Times New Roman" w:hAnsi="Times New Roman" w:eastAsia="宋体" w:cs="Times New Roman"/>
                <w:szCs w:val="21"/>
              </w:rPr>
              <w:t>居民点</w:t>
            </w:r>
          </w:p>
        </w:tc>
        <w:tc>
          <w:tcPr>
            <w:tcW w:w="567" w:type="dxa"/>
            <w:shd w:val="clear" w:color="auto" w:fill="auto"/>
            <w:vAlign w:val="center"/>
          </w:tcPr>
          <w:p w14:paraId="1B72C3B9">
            <w:pPr>
              <w:jc w:val="center"/>
              <w:rPr>
                <w:rFonts w:ascii="Times New Roman" w:hAnsi="Times New Roman" w:eastAsia="宋体" w:cs="Times New Roman"/>
                <w:szCs w:val="21"/>
              </w:rPr>
            </w:pPr>
            <w:r>
              <w:rPr>
                <w:rFonts w:ascii="Times New Roman" w:hAnsi="Times New Roman" w:eastAsia="宋体" w:cs="Times New Roman"/>
                <w:kern w:val="0"/>
                <w:szCs w:val="21"/>
              </w:rPr>
              <w:t>环境噪声</w:t>
            </w:r>
          </w:p>
        </w:tc>
        <w:tc>
          <w:tcPr>
            <w:tcW w:w="4283" w:type="dxa"/>
            <w:shd w:val="clear" w:color="auto" w:fill="auto"/>
            <w:vAlign w:val="center"/>
          </w:tcPr>
          <w:p w14:paraId="5ACE18FF">
            <w:pPr>
              <w:jc w:val="left"/>
              <w:rPr>
                <w:rFonts w:ascii="Times New Roman" w:hAnsi="Times New Roman" w:eastAsia="宋体" w:cs="Times New Roman"/>
                <w:szCs w:val="21"/>
              </w:rPr>
            </w:pPr>
            <w:r>
              <w:rPr>
                <w:rFonts w:ascii="Times New Roman" w:hAnsi="Times New Roman" w:eastAsia="宋体" w:cs="Times New Roman"/>
                <w:szCs w:val="21"/>
              </w:rPr>
              <w:t>临现有</w:t>
            </w:r>
            <w:r>
              <w:rPr>
                <w:rFonts w:hint="eastAsia" w:ascii="Times New Roman" w:hAnsi="Times New Roman" w:eastAsia="宋体" w:cs="Times New Roman"/>
                <w:szCs w:val="21"/>
              </w:rPr>
              <w:t>G219</w:t>
            </w:r>
            <w:r>
              <w:rPr>
                <w:rFonts w:ascii="Times New Roman" w:hAnsi="Times New Roman" w:eastAsia="宋体" w:cs="Times New Roman"/>
                <w:kern w:val="0"/>
                <w:szCs w:val="21"/>
              </w:rPr>
              <w:t>公路第一排</w:t>
            </w:r>
            <w:r>
              <w:rPr>
                <w:rFonts w:hint="eastAsia" w:ascii="Times New Roman" w:hAnsi="Times New Roman" w:eastAsia="宋体" w:cs="Times New Roman"/>
                <w:kern w:val="0"/>
                <w:szCs w:val="21"/>
              </w:rPr>
              <w:t>房屋1</w:t>
            </w:r>
            <w:r>
              <w:rPr>
                <w:rFonts w:ascii="Times New Roman" w:hAnsi="Times New Roman" w:eastAsia="宋体" w:cs="Times New Roman"/>
                <w:szCs w:val="21"/>
              </w:rPr>
              <w:t>层窗前1m，高度</w:t>
            </w:r>
            <w:r>
              <w:rPr>
                <w:rFonts w:hint="eastAsia" w:ascii="Times New Roman" w:hAnsi="Times New Roman" w:eastAsia="宋体" w:cs="Times New Roman"/>
                <w:szCs w:val="21"/>
              </w:rPr>
              <w:t>1</w:t>
            </w:r>
            <w:r>
              <w:rPr>
                <w:rFonts w:ascii="Times New Roman" w:hAnsi="Times New Roman" w:eastAsia="宋体" w:cs="Times New Roman"/>
                <w:szCs w:val="21"/>
              </w:rPr>
              <w:t>.2m</w:t>
            </w:r>
            <w:r>
              <w:rPr>
                <w:rFonts w:hint="eastAsia" w:ascii="Times New Roman" w:hAnsi="Times New Roman" w:eastAsia="宋体" w:cs="Times New Roman"/>
                <w:szCs w:val="21"/>
              </w:rPr>
              <w:t>；</w:t>
            </w:r>
            <w:r>
              <w:rPr>
                <w:rFonts w:ascii="Times New Roman" w:hAnsi="Times New Roman" w:eastAsia="宋体" w:cs="Times New Roman"/>
                <w:szCs w:val="21"/>
              </w:rPr>
              <w:t>临现有</w:t>
            </w:r>
            <w:r>
              <w:rPr>
                <w:rFonts w:hint="eastAsia" w:ascii="Times New Roman" w:hAnsi="Times New Roman" w:eastAsia="宋体" w:cs="Times New Roman"/>
                <w:szCs w:val="21"/>
              </w:rPr>
              <w:t>G219</w:t>
            </w:r>
            <w:r>
              <w:rPr>
                <w:rFonts w:ascii="Times New Roman" w:hAnsi="Times New Roman" w:eastAsia="宋体" w:cs="Times New Roman"/>
                <w:szCs w:val="21"/>
              </w:rPr>
              <w:t>公路边界</w:t>
            </w:r>
            <w:r>
              <w:rPr>
                <w:rFonts w:hint="eastAsia" w:ascii="Times New Roman" w:hAnsi="Times New Roman" w:eastAsia="宋体" w:cs="Times New Roman"/>
                <w:szCs w:val="21"/>
              </w:rPr>
              <w:t>35</w:t>
            </w:r>
            <w:r>
              <w:rPr>
                <w:rFonts w:ascii="Times New Roman" w:hAnsi="Times New Roman" w:eastAsia="宋体" w:cs="Times New Roman"/>
                <w:szCs w:val="21"/>
              </w:rPr>
              <w:t>m外第一排房</w:t>
            </w:r>
            <w:r>
              <w:rPr>
                <w:rFonts w:hint="eastAsia" w:ascii="Times New Roman" w:hAnsi="Times New Roman" w:eastAsia="宋体" w:cs="Times New Roman"/>
                <w:szCs w:val="21"/>
              </w:rPr>
              <w:t>1</w:t>
            </w:r>
            <w:r>
              <w:rPr>
                <w:rFonts w:ascii="Times New Roman" w:hAnsi="Times New Roman" w:eastAsia="宋体" w:cs="Times New Roman"/>
                <w:szCs w:val="21"/>
              </w:rPr>
              <w:t>层窗前1m，高度</w:t>
            </w:r>
            <w:r>
              <w:rPr>
                <w:rFonts w:hint="eastAsia" w:ascii="Times New Roman" w:hAnsi="Times New Roman" w:eastAsia="宋体" w:cs="Times New Roman"/>
                <w:szCs w:val="21"/>
              </w:rPr>
              <w:t>1</w:t>
            </w:r>
            <w:r>
              <w:rPr>
                <w:rFonts w:ascii="Times New Roman" w:hAnsi="Times New Roman" w:eastAsia="宋体" w:cs="Times New Roman"/>
                <w:szCs w:val="21"/>
              </w:rPr>
              <w:t>.2m；同步监测，并按大、中、小型车，记录现有</w:t>
            </w:r>
            <w:r>
              <w:rPr>
                <w:rFonts w:hint="eastAsia" w:ascii="Times New Roman" w:hAnsi="Times New Roman" w:eastAsia="宋体" w:cs="Times New Roman"/>
                <w:szCs w:val="21"/>
              </w:rPr>
              <w:t>G219</w:t>
            </w:r>
            <w:r>
              <w:rPr>
                <w:rFonts w:ascii="Times New Roman" w:hAnsi="Times New Roman" w:eastAsia="宋体" w:cs="Times New Roman"/>
                <w:szCs w:val="21"/>
              </w:rPr>
              <w:t>公路交通量。</w:t>
            </w:r>
          </w:p>
        </w:tc>
      </w:tr>
      <w:tr w14:paraId="27D64C38">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cantSplit/>
          <w:trHeight w:val="372" w:hRule="atLeast"/>
          <w:jc w:val="center"/>
        </w:trPr>
        <w:tc>
          <w:tcPr>
            <w:tcW w:w="267" w:type="dxa"/>
            <w:vMerge w:val="continue"/>
            <w:shd w:val="clear" w:color="auto" w:fill="auto"/>
            <w:vAlign w:val="center"/>
          </w:tcPr>
          <w:p w14:paraId="0CC84679">
            <w:pPr>
              <w:widowControl/>
              <w:jc w:val="center"/>
              <w:rPr>
                <w:rFonts w:ascii="Times New Roman" w:hAnsi="Times New Roman" w:eastAsia="宋体" w:cs="Times New Roman"/>
                <w:kern w:val="0"/>
                <w:szCs w:val="21"/>
              </w:rPr>
            </w:pPr>
          </w:p>
        </w:tc>
        <w:tc>
          <w:tcPr>
            <w:tcW w:w="1259" w:type="dxa"/>
            <w:vMerge w:val="continue"/>
            <w:shd w:val="clear" w:color="auto" w:fill="auto"/>
            <w:vAlign w:val="center"/>
          </w:tcPr>
          <w:p w14:paraId="2C319FC0">
            <w:pPr>
              <w:widowControl/>
              <w:jc w:val="center"/>
              <w:rPr>
                <w:rFonts w:ascii="Times New Roman" w:hAnsi="Times New Roman" w:cs="Times New Roman" w:eastAsiaTheme="minorEastAsia"/>
              </w:rPr>
            </w:pPr>
          </w:p>
        </w:tc>
        <w:tc>
          <w:tcPr>
            <w:tcW w:w="1002" w:type="dxa"/>
            <w:vMerge w:val="continue"/>
            <w:shd w:val="clear" w:color="auto" w:fill="auto"/>
            <w:vAlign w:val="center"/>
          </w:tcPr>
          <w:p w14:paraId="641C8F9A">
            <w:pPr>
              <w:widowControl/>
              <w:jc w:val="center"/>
              <w:rPr>
                <w:rFonts w:ascii="Times New Roman" w:cs="Times New Roman" w:hAnsiTheme="minorEastAsia" w:eastAsiaTheme="minorEastAsia"/>
              </w:rPr>
            </w:pPr>
          </w:p>
        </w:tc>
        <w:tc>
          <w:tcPr>
            <w:tcW w:w="567" w:type="dxa"/>
            <w:vMerge w:val="continue"/>
            <w:shd w:val="clear" w:color="auto" w:fill="auto"/>
            <w:vAlign w:val="center"/>
          </w:tcPr>
          <w:p w14:paraId="26E7B637">
            <w:pPr>
              <w:jc w:val="center"/>
              <w:rPr>
                <w:rFonts w:ascii="Times New Roman" w:hAnsi="Times New Roman" w:eastAsia="宋体" w:cs="Times New Roman"/>
                <w:szCs w:val="21"/>
              </w:rPr>
            </w:pPr>
          </w:p>
        </w:tc>
        <w:tc>
          <w:tcPr>
            <w:tcW w:w="709" w:type="dxa"/>
            <w:vMerge w:val="continue"/>
            <w:shd w:val="clear" w:color="auto" w:fill="auto"/>
            <w:vAlign w:val="center"/>
          </w:tcPr>
          <w:p w14:paraId="7AAFA1EA">
            <w:pPr>
              <w:jc w:val="center"/>
              <w:rPr>
                <w:rFonts w:ascii="Times New Roman" w:hAnsi="Times New Roman" w:eastAsia="宋体" w:cs="Times New Roman"/>
                <w:szCs w:val="21"/>
              </w:rPr>
            </w:pPr>
          </w:p>
        </w:tc>
        <w:tc>
          <w:tcPr>
            <w:tcW w:w="567" w:type="dxa"/>
            <w:shd w:val="clear" w:color="auto" w:fill="auto"/>
            <w:vAlign w:val="center"/>
          </w:tcPr>
          <w:p w14:paraId="4A1C7916">
            <w:pPr>
              <w:jc w:val="center"/>
              <w:rPr>
                <w:rFonts w:ascii="Times New Roman" w:hAnsi="Times New Roman" w:eastAsia="宋体" w:cs="Times New Roman"/>
                <w:szCs w:val="21"/>
              </w:rPr>
            </w:pPr>
            <w:r>
              <w:rPr>
                <w:rFonts w:ascii="Times New Roman" w:hAnsi="Times New Roman" w:eastAsia="宋体" w:cs="Times New Roman"/>
                <w:szCs w:val="21"/>
              </w:rPr>
              <w:t>背景噪声</w:t>
            </w:r>
          </w:p>
        </w:tc>
        <w:tc>
          <w:tcPr>
            <w:tcW w:w="4283" w:type="dxa"/>
            <w:shd w:val="clear" w:color="auto" w:fill="auto"/>
            <w:vAlign w:val="center"/>
          </w:tcPr>
          <w:p w14:paraId="403325C4">
            <w:pPr>
              <w:jc w:val="left"/>
              <w:rPr>
                <w:rFonts w:ascii="Times New Roman" w:hAnsi="Times New Roman" w:eastAsia="宋体" w:cs="Times New Roman"/>
                <w:szCs w:val="21"/>
              </w:rPr>
            </w:pPr>
            <w:r>
              <w:rPr>
                <w:rFonts w:hint="eastAsia" w:ascii="Times New Roman" w:hAnsi="Times New Roman" w:eastAsia="宋体" w:cs="Times New Roman"/>
                <w:szCs w:val="21"/>
              </w:rPr>
              <w:t>远离现有G219</w:t>
            </w:r>
            <w:r>
              <w:rPr>
                <w:rFonts w:ascii="Times New Roman" w:hAnsi="Times New Roman" w:eastAsia="宋体" w:cs="Times New Roman"/>
                <w:kern w:val="0"/>
                <w:szCs w:val="21"/>
              </w:rPr>
              <w:t>公路200m以外，1层窗前1m，高度1.2m。</w:t>
            </w:r>
          </w:p>
        </w:tc>
      </w:tr>
      <w:tr w14:paraId="040E82F7">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cantSplit/>
          <w:trHeight w:val="780" w:hRule="atLeast"/>
          <w:jc w:val="center"/>
        </w:trPr>
        <w:tc>
          <w:tcPr>
            <w:tcW w:w="267" w:type="dxa"/>
            <w:vMerge w:val="restart"/>
            <w:shd w:val="clear" w:color="auto" w:fill="auto"/>
            <w:vAlign w:val="center"/>
          </w:tcPr>
          <w:p w14:paraId="3C1800AB">
            <w:pPr>
              <w:widowControl/>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18</w:t>
            </w:r>
          </w:p>
        </w:tc>
        <w:tc>
          <w:tcPr>
            <w:tcW w:w="1259" w:type="dxa"/>
            <w:vMerge w:val="restart"/>
            <w:shd w:val="clear" w:color="auto" w:fill="auto"/>
            <w:vAlign w:val="center"/>
          </w:tcPr>
          <w:p w14:paraId="5138D3A5">
            <w:pPr>
              <w:widowControl/>
              <w:jc w:val="center"/>
              <w:rPr>
                <w:rFonts w:ascii="Times New Roman" w:hAnsi="Times New Roman" w:cs="Times New Roman" w:eastAsiaTheme="minorEastAsia"/>
                <w:kern w:val="0"/>
              </w:rPr>
            </w:pPr>
            <w:r>
              <w:rPr>
                <w:rFonts w:ascii="Times New Roman" w:hAnsi="Times New Roman" w:cs="Times New Roman" w:eastAsiaTheme="minorEastAsia"/>
              </w:rPr>
              <w:t>K</w:t>
            </w:r>
            <w:r>
              <w:rPr>
                <w:rFonts w:hint="eastAsia" w:ascii="Times New Roman" w:hAnsi="Times New Roman" w:cs="Times New Roman" w:eastAsiaTheme="minorEastAsia"/>
              </w:rPr>
              <w:t>48</w:t>
            </w:r>
            <w:r>
              <w:rPr>
                <w:rFonts w:ascii="Times New Roman" w:hAnsi="Times New Roman" w:cs="Times New Roman" w:eastAsiaTheme="minorEastAsia"/>
              </w:rPr>
              <w:t>+</w:t>
            </w:r>
            <w:r>
              <w:rPr>
                <w:rFonts w:hint="eastAsia" w:ascii="Times New Roman" w:hAnsi="Times New Roman" w:cs="Times New Roman" w:eastAsiaTheme="minorEastAsia"/>
              </w:rPr>
              <w:t>90</w:t>
            </w:r>
            <w:r>
              <w:rPr>
                <w:rFonts w:ascii="Times New Roman" w:hAnsi="Times New Roman" w:cs="Times New Roman" w:eastAsiaTheme="minorEastAsia"/>
              </w:rPr>
              <w:t>0</w:t>
            </w:r>
          </w:p>
        </w:tc>
        <w:tc>
          <w:tcPr>
            <w:tcW w:w="1002" w:type="dxa"/>
            <w:vMerge w:val="restart"/>
            <w:shd w:val="clear" w:color="auto" w:fill="auto"/>
            <w:vAlign w:val="center"/>
          </w:tcPr>
          <w:p w14:paraId="482CEADC">
            <w:pPr>
              <w:jc w:val="center"/>
              <w:rPr>
                <w:rFonts w:ascii="Times New Roman" w:hAnsi="Times New Roman" w:cs="Times New Roman" w:eastAsiaTheme="minorEastAsia"/>
              </w:rPr>
            </w:pPr>
            <w:r>
              <w:rPr>
                <w:rFonts w:hint="eastAsia" w:ascii="Times New Roman" w:cs="Times New Roman" w:hAnsiTheme="minorEastAsia" w:eastAsiaTheme="minorEastAsia"/>
              </w:rPr>
              <w:t>土木拉克</w:t>
            </w:r>
          </w:p>
        </w:tc>
        <w:tc>
          <w:tcPr>
            <w:tcW w:w="567" w:type="dxa"/>
            <w:vMerge w:val="restart"/>
            <w:shd w:val="clear" w:color="auto" w:fill="auto"/>
            <w:vAlign w:val="center"/>
          </w:tcPr>
          <w:p w14:paraId="0C9E1A1C">
            <w:pPr>
              <w:jc w:val="center"/>
              <w:rPr>
                <w:rFonts w:ascii="Times New Roman" w:hAnsi="Times New Roman" w:eastAsia="宋体" w:cs="Times New Roman"/>
                <w:szCs w:val="21"/>
              </w:rPr>
            </w:pPr>
            <w:r>
              <w:rPr>
                <w:rFonts w:hint="eastAsia" w:ascii="Times New Roman" w:hAnsi="Times New Roman" w:eastAsia="宋体" w:cs="Times New Roman"/>
                <w:szCs w:val="21"/>
              </w:rPr>
              <w:t>路左</w:t>
            </w:r>
          </w:p>
        </w:tc>
        <w:tc>
          <w:tcPr>
            <w:tcW w:w="709" w:type="dxa"/>
            <w:vMerge w:val="restart"/>
            <w:shd w:val="clear" w:color="auto" w:fill="auto"/>
            <w:vAlign w:val="center"/>
          </w:tcPr>
          <w:p w14:paraId="09542AE1">
            <w:pPr>
              <w:jc w:val="center"/>
              <w:rPr>
                <w:rFonts w:ascii="Times New Roman" w:hAnsi="Times New Roman" w:eastAsia="宋体" w:cs="Times New Roman"/>
                <w:szCs w:val="21"/>
              </w:rPr>
            </w:pPr>
            <w:r>
              <w:rPr>
                <w:rFonts w:ascii="Times New Roman" w:hAnsi="Times New Roman" w:eastAsia="宋体" w:cs="Times New Roman"/>
                <w:szCs w:val="21"/>
              </w:rPr>
              <w:t>居民点</w:t>
            </w:r>
          </w:p>
        </w:tc>
        <w:tc>
          <w:tcPr>
            <w:tcW w:w="567" w:type="dxa"/>
            <w:shd w:val="clear" w:color="auto" w:fill="auto"/>
            <w:vAlign w:val="center"/>
          </w:tcPr>
          <w:p w14:paraId="343D117C">
            <w:pPr>
              <w:jc w:val="center"/>
              <w:rPr>
                <w:rFonts w:ascii="Times New Roman" w:hAnsi="Times New Roman" w:eastAsia="宋体" w:cs="Times New Roman"/>
                <w:szCs w:val="21"/>
              </w:rPr>
            </w:pPr>
            <w:r>
              <w:rPr>
                <w:rFonts w:ascii="Times New Roman" w:hAnsi="Times New Roman" w:eastAsia="宋体" w:cs="Times New Roman"/>
                <w:kern w:val="0"/>
                <w:szCs w:val="21"/>
              </w:rPr>
              <w:t>环境噪声</w:t>
            </w:r>
          </w:p>
        </w:tc>
        <w:tc>
          <w:tcPr>
            <w:tcW w:w="4283" w:type="dxa"/>
            <w:shd w:val="clear" w:color="auto" w:fill="auto"/>
            <w:vAlign w:val="center"/>
          </w:tcPr>
          <w:p w14:paraId="765AB479">
            <w:pPr>
              <w:jc w:val="left"/>
              <w:rPr>
                <w:rFonts w:ascii="Times New Roman" w:hAnsi="Times New Roman" w:eastAsia="宋体" w:cs="Times New Roman"/>
                <w:szCs w:val="21"/>
              </w:rPr>
            </w:pPr>
            <w:r>
              <w:rPr>
                <w:rFonts w:ascii="Times New Roman" w:hAnsi="Times New Roman" w:eastAsia="宋体" w:cs="Times New Roman"/>
                <w:szCs w:val="21"/>
              </w:rPr>
              <w:t>临现有</w:t>
            </w:r>
            <w:r>
              <w:rPr>
                <w:rFonts w:hint="eastAsia" w:ascii="Times New Roman" w:hAnsi="Times New Roman" w:eastAsia="宋体" w:cs="Times New Roman"/>
                <w:szCs w:val="21"/>
              </w:rPr>
              <w:t>G219</w:t>
            </w:r>
            <w:r>
              <w:rPr>
                <w:rFonts w:ascii="Times New Roman" w:hAnsi="Times New Roman" w:eastAsia="宋体" w:cs="Times New Roman"/>
                <w:kern w:val="0"/>
                <w:szCs w:val="21"/>
              </w:rPr>
              <w:t>公路第一排</w:t>
            </w:r>
            <w:r>
              <w:rPr>
                <w:rFonts w:hint="eastAsia" w:ascii="Times New Roman" w:hAnsi="Times New Roman" w:eastAsia="宋体" w:cs="Times New Roman"/>
                <w:kern w:val="0"/>
                <w:szCs w:val="21"/>
              </w:rPr>
              <w:t>房屋1</w:t>
            </w:r>
            <w:r>
              <w:rPr>
                <w:rFonts w:ascii="Times New Roman" w:hAnsi="Times New Roman" w:eastAsia="宋体" w:cs="Times New Roman"/>
                <w:szCs w:val="21"/>
              </w:rPr>
              <w:t>层窗前1m，高度</w:t>
            </w:r>
            <w:r>
              <w:rPr>
                <w:rFonts w:hint="eastAsia" w:ascii="Times New Roman" w:hAnsi="Times New Roman" w:eastAsia="宋体" w:cs="Times New Roman"/>
                <w:szCs w:val="21"/>
              </w:rPr>
              <w:t>1</w:t>
            </w:r>
            <w:r>
              <w:rPr>
                <w:rFonts w:ascii="Times New Roman" w:hAnsi="Times New Roman" w:eastAsia="宋体" w:cs="Times New Roman"/>
                <w:szCs w:val="21"/>
              </w:rPr>
              <w:t>.2m</w:t>
            </w:r>
            <w:r>
              <w:rPr>
                <w:rFonts w:hint="eastAsia" w:ascii="Times New Roman" w:hAnsi="Times New Roman" w:eastAsia="宋体" w:cs="Times New Roman"/>
                <w:szCs w:val="21"/>
              </w:rPr>
              <w:t>；</w:t>
            </w:r>
            <w:r>
              <w:rPr>
                <w:rFonts w:ascii="Times New Roman" w:hAnsi="Times New Roman" w:eastAsia="宋体" w:cs="Times New Roman"/>
                <w:szCs w:val="21"/>
              </w:rPr>
              <w:t>临现有</w:t>
            </w:r>
            <w:r>
              <w:rPr>
                <w:rFonts w:hint="eastAsia" w:ascii="Times New Roman" w:hAnsi="Times New Roman" w:eastAsia="宋体" w:cs="Times New Roman"/>
                <w:szCs w:val="21"/>
              </w:rPr>
              <w:t>G219</w:t>
            </w:r>
            <w:r>
              <w:rPr>
                <w:rFonts w:ascii="Times New Roman" w:hAnsi="Times New Roman" w:eastAsia="宋体" w:cs="Times New Roman"/>
                <w:szCs w:val="21"/>
              </w:rPr>
              <w:t>公路边界</w:t>
            </w:r>
            <w:r>
              <w:rPr>
                <w:rFonts w:hint="eastAsia" w:ascii="Times New Roman" w:hAnsi="Times New Roman" w:eastAsia="宋体" w:cs="Times New Roman"/>
                <w:szCs w:val="21"/>
              </w:rPr>
              <w:t>35</w:t>
            </w:r>
            <w:r>
              <w:rPr>
                <w:rFonts w:ascii="Times New Roman" w:hAnsi="Times New Roman" w:eastAsia="宋体" w:cs="Times New Roman"/>
                <w:szCs w:val="21"/>
              </w:rPr>
              <w:t>m外第一排房</w:t>
            </w:r>
            <w:r>
              <w:rPr>
                <w:rFonts w:hint="eastAsia" w:ascii="Times New Roman" w:hAnsi="Times New Roman" w:eastAsia="宋体" w:cs="Times New Roman"/>
                <w:szCs w:val="21"/>
              </w:rPr>
              <w:t>1</w:t>
            </w:r>
            <w:r>
              <w:rPr>
                <w:rFonts w:ascii="Times New Roman" w:hAnsi="Times New Roman" w:eastAsia="宋体" w:cs="Times New Roman"/>
                <w:szCs w:val="21"/>
              </w:rPr>
              <w:t>层窗前1m，高度</w:t>
            </w:r>
            <w:r>
              <w:rPr>
                <w:rFonts w:hint="eastAsia" w:ascii="Times New Roman" w:hAnsi="Times New Roman" w:eastAsia="宋体" w:cs="Times New Roman"/>
                <w:szCs w:val="21"/>
              </w:rPr>
              <w:t>1</w:t>
            </w:r>
            <w:r>
              <w:rPr>
                <w:rFonts w:ascii="Times New Roman" w:hAnsi="Times New Roman" w:eastAsia="宋体" w:cs="Times New Roman"/>
                <w:szCs w:val="21"/>
              </w:rPr>
              <w:t>.2m；同步监测，并按大、中、小型车，记录现有</w:t>
            </w:r>
            <w:r>
              <w:rPr>
                <w:rFonts w:hint="eastAsia" w:ascii="Times New Roman" w:hAnsi="Times New Roman" w:eastAsia="宋体" w:cs="Times New Roman"/>
                <w:szCs w:val="21"/>
              </w:rPr>
              <w:t>G219</w:t>
            </w:r>
            <w:r>
              <w:rPr>
                <w:rFonts w:ascii="Times New Roman" w:hAnsi="Times New Roman" w:eastAsia="宋体" w:cs="Times New Roman"/>
                <w:szCs w:val="21"/>
              </w:rPr>
              <w:t>公路交通量。</w:t>
            </w:r>
          </w:p>
        </w:tc>
      </w:tr>
      <w:tr w14:paraId="189E3249">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cantSplit/>
          <w:trHeight w:val="372" w:hRule="atLeast"/>
          <w:jc w:val="center"/>
        </w:trPr>
        <w:tc>
          <w:tcPr>
            <w:tcW w:w="267" w:type="dxa"/>
            <w:vMerge w:val="continue"/>
            <w:shd w:val="clear" w:color="auto" w:fill="auto"/>
            <w:vAlign w:val="center"/>
          </w:tcPr>
          <w:p w14:paraId="41F8A21C">
            <w:pPr>
              <w:widowControl/>
              <w:jc w:val="center"/>
              <w:rPr>
                <w:rFonts w:ascii="Times New Roman" w:hAnsi="Times New Roman" w:eastAsia="宋体" w:cs="Times New Roman"/>
                <w:kern w:val="0"/>
                <w:szCs w:val="21"/>
              </w:rPr>
            </w:pPr>
          </w:p>
        </w:tc>
        <w:tc>
          <w:tcPr>
            <w:tcW w:w="1259" w:type="dxa"/>
            <w:vMerge w:val="continue"/>
            <w:shd w:val="clear" w:color="auto" w:fill="auto"/>
            <w:vAlign w:val="center"/>
          </w:tcPr>
          <w:p w14:paraId="299D848A">
            <w:pPr>
              <w:widowControl/>
              <w:jc w:val="center"/>
              <w:rPr>
                <w:rFonts w:ascii="Times New Roman" w:hAnsi="Times New Roman" w:cs="Times New Roman" w:eastAsiaTheme="minorEastAsia"/>
              </w:rPr>
            </w:pPr>
          </w:p>
        </w:tc>
        <w:tc>
          <w:tcPr>
            <w:tcW w:w="1002" w:type="dxa"/>
            <w:vMerge w:val="continue"/>
            <w:shd w:val="clear" w:color="auto" w:fill="auto"/>
            <w:vAlign w:val="center"/>
          </w:tcPr>
          <w:p w14:paraId="5ABCA08C">
            <w:pPr>
              <w:widowControl/>
              <w:jc w:val="center"/>
              <w:rPr>
                <w:rFonts w:ascii="Times New Roman" w:cs="Times New Roman" w:hAnsiTheme="minorEastAsia" w:eastAsiaTheme="minorEastAsia"/>
              </w:rPr>
            </w:pPr>
          </w:p>
        </w:tc>
        <w:tc>
          <w:tcPr>
            <w:tcW w:w="567" w:type="dxa"/>
            <w:vMerge w:val="continue"/>
            <w:shd w:val="clear" w:color="auto" w:fill="auto"/>
            <w:vAlign w:val="center"/>
          </w:tcPr>
          <w:p w14:paraId="3D1E62AD">
            <w:pPr>
              <w:jc w:val="center"/>
              <w:rPr>
                <w:rFonts w:ascii="Times New Roman" w:hAnsi="Times New Roman" w:eastAsia="宋体" w:cs="Times New Roman"/>
                <w:szCs w:val="21"/>
              </w:rPr>
            </w:pPr>
          </w:p>
        </w:tc>
        <w:tc>
          <w:tcPr>
            <w:tcW w:w="709" w:type="dxa"/>
            <w:vMerge w:val="continue"/>
            <w:shd w:val="clear" w:color="auto" w:fill="auto"/>
            <w:vAlign w:val="center"/>
          </w:tcPr>
          <w:p w14:paraId="68EA6D5C">
            <w:pPr>
              <w:jc w:val="center"/>
              <w:rPr>
                <w:rFonts w:ascii="Times New Roman" w:hAnsi="Times New Roman" w:eastAsia="宋体" w:cs="Times New Roman"/>
                <w:szCs w:val="21"/>
              </w:rPr>
            </w:pPr>
          </w:p>
        </w:tc>
        <w:tc>
          <w:tcPr>
            <w:tcW w:w="567" w:type="dxa"/>
            <w:shd w:val="clear" w:color="auto" w:fill="auto"/>
            <w:vAlign w:val="center"/>
          </w:tcPr>
          <w:p w14:paraId="072857F3">
            <w:pPr>
              <w:jc w:val="center"/>
              <w:rPr>
                <w:rFonts w:ascii="Times New Roman" w:hAnsi="Times New Roman" w:eastAsia="宋体" w:cs="Times New Roman"/>
                <w:szCs w:val="21"/>
              </w:rPr>
            </w:pPr>
            <w:r>
              <w:rPr>
                <w:rFonts w:ascii="Times New Roman" w:hAnsi="Times New Roman" w:eastAsia="宋体" w:cs="Times New Roman"/>
                <w:szCs w:val="21"/>
              </w:rPr>
              <w:t>背景噪声</w:t>
            </w:r>
          </w:p>
        </w:tc>
        <w:tc>
          <w:tcPr>
            <w:tcW w:w="4283" w:type="dxa"/>
            <w:shd w:val="clear" w:color="auto" w:fill="auto"/>
            <w:vAlign w:val="center"/>
          </w:tcPr>
          <w:p w14:paraId="1292CCE4">
            <w:pPr>
              <w:jc w:val="left"/>
              <w:rPr>
                <w:rFonts w:ascii="Times New Roman" w:hAnsi="Times New Roman" w:eastAsia="宋体" w:cs="Times New Roman"/>
                <w:szCs w:val="21"/>
              </w:rPr>
            </w:pPr>
            <w:r>
              <w:rPr>
                <w:rFonts w:hint="eastAsia" w:ascii="Times New Roman" w:hAnsi="Times New Roman" w:eastAsia="宋体" w:cs="Times New Roman"/>
                <w:szCs w:val="21"/>
              </w:rPr>
              <w:t>远离现有G219</w:t>
            </w:r>
            <w:r>
              <w:rPr>
                <w:rFonts w:ascii="Times New Roman" w:hAnsi="Times New Roman" w:eastAsia="宋体" w:cs="Times New Roman"/>
                <w:kern w:val="0"/>
                <w:szCs w:val="21"/>
              </w:rPr>
              <w:t>公路200m以外，1层窗前1m，高度1.2m。</w:t>
            </w:r>
          </w:p>
        </w:tc>
      </w:tr>
      <w:tr w14:paraId="7F09FAE9">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cantSplit/>
          <w:trHeight w:val="780" w:hRule="atLeast"/>
          <w:jc w:val="center"/>
        </w:trPr>
        <w:tc>
          <w:tcPr>
            <w:tcW w:w="267" w:type="dxa"/>
            <w:vMerge w:val="restart"/>
            <w:shd w:val="clear" w:color="auto" w:fill="auto"/>
            <w:vAlign w:val="center"/>
          </w:tcPr>
          <w:p w14:paraId="40A93F1A">
            <w:pPr>
              <w:widowControl/>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19</w:t>
            </w:r>
          </w:p>
        </w:tc>
        <w:tc>
          <w:tcPr>
            <w:tcW w:w="1259" w:type="dxa"/>
            <w:vMerge w:val="restart"/>
            <w:shd w:val="clear" w:color="auto" w:fill="auto"/>
            <w:vAlign w:val="center"/>
          </w:tcPr>
          <w:p w14:paraId="27231FC5">
            <w:pPr>
              <w:widowControl/>
              <w:jc w:val="center"/>
              <w:rPr>
                <w:rFonts w:ascii="Times New Roman" w:hAnsi="Times New Roman" w:cs="Times New Roman" w:eastAsiaTheme="minorEastAsia"/>
                <w:kern w:val="0"/>
              </w:rPr>
            </w:pPr>
            <w:r>
              <w:rPr>
                <w:rFonts w:ascii="Times New Roman" w:hAnsi="Times New Roman" w:cs="Times New Roman" w:eastAsiaTheme="minorEastAsia"/>
              </w:rPr>
              <w:t>K</w:t>
            </w:r>
            <w:r>
              <w:rPr>
                <w:rFonts w:hint="eastAsia" w:ascii="Times New Roman" w:hAnsi="Times New Roman" w:cs="Times New Roman" w:eastAsiaTheme="minorEastAsia"/>
              </w:rPr>
              <w:t>58</w:t>
            </w:r>
            <w:r>
              <w:rPr>
                <w:rFonts w:ascii="Times New Roman" w:hAnsi="Times New Roman" w:cs="Times New Roman" w:eastAsiaTheme="minorEastAsia"/>
              </w:rPr>
              <w:t>+</w:t>
            </w:r>
            <w:r>
              <w:rPr>
                <w:rFonts w:hint="eastAsia" w:ascii="Times New Roman" w:hAnsi="Times New Roman" w:cs="Times New Roman" w:eastAsiaTheme="minorEastAsia"/>
              </w:rPr>
              <w:t>200</w:t>
            </w:r>
          </w:p>
        </w:tc>
        <w:tc>
          <w:tcPr>
            <w:tcW w:w="1002" w:type="dxa"/>
            <w:vMerge w:val="restart"/>
            <w:shd w:val="clear" w:color="auto" w:fill="auto"/>
            <w:vAlign w:val="center"/>
          </w:tcPr>
          <w:p w14:paraId="5C98B0B2">
            <w:pPr>
              <w:jc w:val="center"/>
              <w:rPr>
                <w:rFonts w:ascii="Times New Roman" w:hAnsi="Times New Roman" w:cs="Times New Roman" w:eastAsiaTheme="minorEastAsia"/>
              </w:rPr>
            </w:pPr>
            <w:r>
              <w:rPr>
                <w:rFonts w:hint="eastAsia" w:ascii="Times New Roman" w:cs="Times New Roman" w:hAnsiTheme="minorEastAsia" w:eastAsiaTheme="minorEastAsia"/>
              </w:rPr>
              <w:t>阿亚格乔拉克村</w:t>
            </w:r>
          </w:p>
        </w:tc>
        <w:tc>
          <w:tcPr>
            <w:tcW w:w="567" w:type="dxa"/>
            <w:vMerge w:val="restart"/>
            <w:shd w:val="clear" w:color="auto" w:fill="auto"/>
            <w:vAlign w:val="center"/>
          </w:tcPr>
          <w:p w14:paraId="2499422C">
            <w:pPr>
              <w:jc w:val="center"/>
              <w:rPr>
                <w:rFonts w:ascii="Times New Roman" w:hAnsi="Times New Roman" w:eastAsia="宋体" w:cs="Times New Roman"/>
                <w:szCs w:val="21"/>
              </w:rPr>
            </w:pPr>
            <w:r>
              <w:rPr>
                <w:rFonts w:hint="eastAsia" w:ascii="Times New Roman" w:hAnsi="Times New Roman" w:eastAsia="宋体" w:cs="Times New Roman"/>
                <w:szCs w:val="21"/>
              </w:rPr>
              <w:t>路左</w:t>
            </w:r>
          </w:p>
        </w:tc>
        <w:tc>
          <w:tcPr>
            <w:tcW w:w="709" w:type="dxa"/>
            <w:vMerge w:val="restart"/>
            <w:shd w:val="clear" w:color="auto" w:fill="auto"/>
            <w:vAlign w:val="center"/>
          </w:tcPr>
          <w:p w14:paraId="69A2D8FA">
            <w:pPr>
              <w:jc w:val="center"/>
              <w:rPr>
                <w:rFonts w:ascii="Times New Roman" w:hAnsi="Times New Roman" w:eastAsia="宋体" w:cs="Times New Roman"/>
                <w:szCs w:val="21"/>
              </w:rPr>
            </w:pPr>
            <w:r>
              <w:rPr>
                <w:rFonts w:ascii="Times New Roman" w:hAnsi="Times New Roman" w:eastAsia="宋体" w:cs="Times New Roman"/>
                <w:szCs w:val="21"/>
              </w:rPr>
              <w:t>居民点</w:t>
            </w:r>
          </w:p>
        </w:tc>
        <w:tc>
          <w:tcPr>
            <w:tcW w:w="567" w:type="dxa"/>
            <w:shd w:val="clear" w:color="auto" w:fill="auto"/>
            <w:vAlign w:val="center"/>
          </w:tcPr>
          <w:p w14:paraId="20369D47">
            <w:pPr>
              <w:jc w:val="center"/>
              <w:rPr>
                <w:rFonts w:ascii="Times New Roman" w:hAnsi="Times New Roman" w:eastAsia="宋体" w:cs="Times New Roman"/>
                <w:szCs w:val="21"/>
              </w:rPr>
            </w:pPr>
            <w:r>
              <w:rPr>
                <w:rFonts w:ascii="Times New Roman" w:hAnsi="Times New Roman" w:eastAsia="宋体" w:cs="Times New Roman"/>
                <w:kern w:val="0"/>
                <w:szCs w:val="21"/>
              </w:rPr>
              <w:t>环境噪声</w:t>
            </w:r>
          </w:p>
        </w:tc>
        <w:tc>
          <w:tcPr>
            <w:tcW w:w="4283" w:type="dxa"/>
            <w:shd w:val="clear" w:color="auto" w:fill="auto"/>
            <w:vAlign w:val="center"/>
          </w:tcPr>
          <w:p w14:paraId="28783355">
            <w:pPr>
              <w:jc w:val="left"/>
              <w:rPr>
                <w:rFonts w:ascii="Times New Roman" w:hAnsi="Times New Roman" w:eastAsia="宋体" w:cs="Times New Roman"/>
                <w:szCs w:val="21"/>
              </w:rPr>
            </w:pPr>
            <w:r>
              <w:rPr>
                <w:rFonts w:ascii="Times New Roman" w:hAnsi="Times New Roman" w:eastAsia="宋体" w:cs="Times New Roman"/>
                <w:szCs w:val="21"/>
              </w:rPr>
              <w:t>临现有</w:t>
            </w:r>
            <w:r>
              <w:rPr>
                <w:rFonts w:hint="eastAsia" w:ascii="Times New Roman" w:hAnsi="Times New Roman" w:eastAsia="宋体" w:cs="Times New Roman"/>
                <w:szCs w:val="21"/>
              </w:rPr>
              <w:t>G219</w:t>
            </w:r>
            <w:r>
              <w:rPr>
                <w:rFonts w:ascii="Times New Roman" w:hAnsi="Times New Roman" w:eastAsia="宋体" w:cs="Times New Roman"/>
                <w:kern w:val="0"/>
                <w:szCs w:val="21"/>
              </w:rPr>
              <w:t>公路第一排</w:t>
            </w:r>
            <w:r>
              <w:rPr>
                <w:rFonts w:hint="eastAsia" w:ascii="Times New Roman" w:hAnsi="Times New Roman" w:eastAsia="宋体" w:cs="Times New Roman"/>
                <w:kern w:val="0"/>
                <w:szCs w:val="21"/>
              </w:rPr>
              <w:t>房屋1</w:t>
            </w:r>
            <w:r>
              <w:rPr>
                <w:rFonts w:ascii="Times New Roman" w:hAnsi="Times New Roman" w:eastAsia="宋体" w:cs="Times New Roman"/>
                <w:szCs w:val="21"/>
              </w:rPr>
              <w:t>层窗前1m，高度</w:t>
            </w:r>
            <w:r>
              <w:rPr>
                <w:rFonts w:hint="eastAsia" w:ascii="Times New Roman" w:hAnsi="Times New Roman" w:eastAsia="宋体" w:cs="Times New Roman"/>
                <w:szCs w:val="21"/>
              </w:rPr>
              <w:t>1</w:t>
            </w:r>
            <w:r>
              <w:rPr>
                <w:rFonts w:ascii="Times New Roman" w:hAnsi="Times New Roman" w:eastAsia="宋体" w:cs="Times New Roman"/>
                <w:szCs w:val="21"/>
              </w:rPr>
              <w:t>.2m</w:t>
            </w:r>
            <w:r>
              <w:rPr>
                <w:rFonts w:hint="eastAsia" w:ascii="Times New Roman" w:hAnsi="Times New Roman" w:eastAsia="宋体" w:cs="Times New Roman"/>
                <w:szCs w:val="21"/>
              </w:rPr>
              <w:t>；</w:t>
            </w:r>
            <w:r>
              <w:rPr>
                <w:rFonts w:ascii="Times New Roman" w:hAnsi="Times New Roman" w:eastAsia="宋体" w:cs="Times New Roman"/>
                <w:szCs w:val="21"/>
              </w:rPr>
              <w:t>临现有</w:t>
            </w:r>
            <w:r>
              <w:rPr>
                <w:rFonts w:hint="eastAsia" w:ascii="Times New Roman" w:hAnsi="Times New Roman" w:eastAsia="宋体" w:cs="Times New Roman"/>
                <w:szCs w:val="21"/>
              </w:rPr>
              <w:t>G219</w:t>
            </w:r>
            <w:r>
              <w:rPr>
                <w:rFonts w:ascii="Times New Roman" w:hAnsi="Times New Roman" w:eastAsia="宋体" w:cs="Times New Roman"/>
                <w:szCs w:val="21"/>
              </w:rPr>
              <w:t>公路边界</w:t>
            </w:r>
            <w:r>
              <w:rPr>
                <w:rFonts w:hint="eastAsia" w:ascii="Times New Roman" w:hAnsi="Times New Roman" w:eastAsia="宋体" w:cs="Times New Roman"/>
                <w:szCs w:val="21"/>
              </w:rPr>
              <w:t>35</w:t>
            </w:r>
            <w:r>
              <w:rPr>
                <w:rFonts w:ascii="Times New Roman" w:hAnsi="Times New Roman" w:eastAsia="宋体" w:cs="Times New Roman"/>
                <w:szCs w:val="21"/>
              </w:rPr>
              <w:t>m外第一排房</w:t>
            </w:r>
            <w:r>
              <w:rPr>
                <w:rFonts w:hint="eastAsia" w:ascii="Times New Roman" w:hAnsi="Times New Roman" w:eastAsia="宋体" w:cs="Times New Roman"/>
                <w:szCs w:val="21"/>
              </w:rPr>
              <w:t>1</w:t>
            </w:r>
            <w:r>
              <w:rPr>
                <w:rFonts w:ascii="Times New Roman" w:hAnsi="Times New Roman" w:eastAsia="宋体" w:cs="Times New Roman"/>
                <w:szCs w:val="21"/>
              </w:rPr>
              <w:t>层窗前1m，高度</w:t>
            </w:r>
            <w:r>
              <w:rPr>
                <w:rFonts w:hint="eastAsia" w:ascii="Times New Roman" w:hAnsi="Times New Roman" w:eastAsia="宋体" w:cs="Times New Roman"/>
                <w:szCs w:val="21"/>
              </w:rPr>
              <w:t>1</w:t>
            </w:r>
            <w:r>
              <w:rPr>
                <w:rFonts w:ascii="Times New Roman" w:hAnsi="Times New Roman" w:eastAsia="宋体" w:cs="Times New Roman"/>
                <w:szCs w:val="21"/>
              </w:rPr>
              <w:t>.2m；同步监测，并按大、中、小型车，记录现有</w:t>
            </w:r>
            <w:r>
              <w:rPr>
                <w:rFonts w:hint="eastAsia" w:ascii="Times New Roman" w:hAnsi="Times New Roman" w:eastAsia="宋体" w:cs="Times New Roman"/>
                <w:szCs w:val="21"/>
              </w:rPr>
              <w:t>G219</w:t>
            </w:r>
            <w:r>
              <w:rPr>
                <w:rFonts w:ascii="Times New Roman" w:hAnsi="Times New Roman" w:eastAsia="宋体" w:cs="Times New Roman"/>
                <w:szCs w:val="21"/>
              </w:rPr>
              <w:t>公路交通量。</w:t>
            </w:r>
          </w:p>
        </w:tc>
      </w:tr>
      <w:tr w14:paraId="1D35DA75">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cantSplit/>
          <w:trHeight w:val="372" w:hRule="atLeast"/>
          <w:jc w:val="center"/>
        </w:trPr>
        <w:tc>
          <w:tcPr>
            <w:tcW w:w="267" w:type="dxa"/>
            <w:vMerge w:val="continue"/>
            <w:shd w:val="clear" w:color="auto" w:fill="auto"/>
            <w:vAlign w:val="center"/>
          </w:tcPr>
          <w:p w14:paraId="2A02CDF9">
            <w:pPr>
              <w:widowControl/>
              <w:jc w:val="center"/>
              <w:rPr>
                <w:rFonts w:ascii="Times New Roman" w:hAnsi="Times New Roman" w:eastAsia="宋体" w:cs="Times New Roman"/>
                <w:kern w:val="0"/>
                <w:szCs w:val="21"/>
              </w:rPr>
            </w:pPr>
          </w:p>
        </w:tc>
        <w:tc>
          <w:tcPr>
            <w:tcW w:w="1259" w:type="dxa"/>
            <w:vMerge w:val="continue"/>
            <w:shd w:val="clear" w:color="auto" w:fill="auto"/>
            <w:vAlign w:val="center"/>
          </w:tcPr>
          <w:p w14:paraId="26DBD258">
            <w:pPr>
              <w:widowControl/>
              <w:jc w:val="center"/>
              <w:rPr>
                <w:rFonts w:ascii="Times New Roman" w:hAnsi="Times New Roman" w:cs="Times New Roman" w:eastAsiaTheme="minorEastAsia"/>
              </w:rPr>
            </w:pPr>
          </w:p>
        </w:tc>
        <w:tc>
          <w:tcPr>
            <w:tcW w:w="1002" w:type="dxa"/>
            <w:vMerge w:val="continue"/>
            <w:shd w:val="clear" w:color="auto" w:fill="auto"/>
            <w:vAlign w:val="center"/>
          </w:tcPr>
          <w:p w14:paraId="632558E0">
            <w:pPr>
              <w:widowControl/>
              <w:jc w:val="center"/>
              <w:rPr>
                <w:rFonts w:ascii="Times New Roman" w:cs="Times New Roman" w:hAnsiTheme="minorEastAsia" w:eastAsiaTheme="minorEastAsia"/>
              </w:rPr>
            </w:pPr>
          </w:p>
        </w:tc>
        <w:tc>
          <w:tcPr>
            <w:tcW w:w="567" w:type="dxa"/>
            <w:vMerge w:val="continue"/>
            <w:shd w:val="clear" w:color="auto" w:fill="auto"/>
            <w:vAlign w:val="center"/>
          </w:tcPr>
          <w:p w14:paraId="22E6BB0A">
            <w:pPr>
              <w:jc w:val="center"/>
              <w:rPr>
                <w:rFonts w:ascii="Times New Roman" w:hAnsi="Times New Roman" w:eastAsia="宋体" w:cs="Times New Roman"/>
                <w:szCs w:val="21"/>
              </w:rPr>
            </w:pPr>
          </w:p>
        </w:tc>
        <w:tc>
          <w:tcPr>
            <w:tcW w:w="709" w:type="dxa"/>
            <w:vMerge w:val="continue"/>
            <w:shd w:val="clear" w:color="auto" w:fill="auto"/>
            <w:vAlign w:val="center"/>
          </w:tcPr>
          <w:p w14:paraId="643C37E0">
            <w:pPr>
              <w:jc w:val="center"/>
              <w:rPr>
                <w:rFonts w:ascii="Times New Roman" w:hAnsi="Times New Roman" w:eastAsia="宋体" w:cs="Times New Roman"/>
                <w:szCs w:val="21"/>
              </w:rPr>
            </w:pPr>
          </w:p>
        </w:tc>
        <w:tc>
          <w:tcPr>
            <w:tcW w:w="567" w:type="dxa"/>
            <w:shd w:val="clear" w:color="auto" w:fill="auto"/>
            <w:vAlign w:val="center"/>
          </w:tcPr>
          <w:p w14:paraId="6FA16D42">
            <w:pPr>
              <w:jc w:val="center"/>
              <w:rPr>
                <w:rFonts w:ascii="Times New Roman" w:hAnsi="Times New Roman" w:eastAsia="宋体" w:cs="Times New Roman"/>
                <w:szCs w:val="21"/>
              </w:rPr>
            </w:pPr>
            <w:r>
              <w:rPr>
                <w:rFonts w:ascii="Times New Roman" w:hAnsi="Times New Roman" w:eastAsia="宋体" w:cs="Times New Roman"/>
                <w:szCs w:val="21"/>
              </w:rPr>
              <w:t>背景噪声</w:t>
            </w:r>
          </w:p>
        </w:tc>
        <w:tc>
          <w:tcPr>
            <w:tcW w:w="4283" w:type="dxa"/>
            <w:shd w:val="clear" w:color="auto" w:fill="auto"/>
            <w:vAlign w:val="center"/>
          </w:tcPr>
          <w:p w14:paraId="247FE8C8">
            <w:pPr>
              <w:jc w:val="left"/>
              <w:rPr>
                <w:rFonts w:ascii="Times New Roman" w:hAnsi="Times New Roman" w:eastAsia="宋体" w:cs="Times New Roman"/>
                <w:szCs w:val="21"/>
              </w:rPr>
            </w:pPr>
            <w:r>
              <w:rPr>
                <w:rFonts w:hint="eastAsia" w:ascii="Times New Roman" w:hAnsi="Times New Roman" w:eastAsia="宋体" w:cs="Times New Roman"/>
                <w:szCs w:val="21"/>
              </w:rPr>
              <w:t>远离现有G219</w:t>
            </w:r>
            <w:r>
              <w:rPr>
                <w:rFonts w:ascii="Times New Roman" w:hAnsi="Times New Roman" w:eastAsia="宋体" w:cs="Times New Roman"/>
                <w:kern w:val="0"/>
                <w:szCs w:val="21"/>
              </w:rPr>
              <w:t>公路200m以外，1层窗前1m，高度1.2m。</w:t>
            </w:r>
          </w:p>
        </w:tc>
      </w:tr>
      <w:tr w14:paraId="3772BDC8">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267" w:type="dxa"/>
            <w:vMerge w:val="restart"/>
            <w:shd w:val="clear" w:color="auto" w:fill="auto"/>
            <w:vAlign w:val="center"/>
          </w:tcPr>
          <w:p w14:paraId="1D5F4814">
            <w:pPr>
              <w:widowControl/>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20</w:t>
            </w:r>
          </w:p>
        </w:tc>
        <w:tc>
          <w:tcPr>
            <w:tcW w:w="1259" w:type="dxa"/>
            <w:vMerge w:val="restart"/>
            <w:shd w:val="clear" w:color="auto" w:fill="auto"/>
            <w:vAlign w:val="center"/>
          </w:tcPr>
          <w:p w14:paraId="64348249">
            <w:pPr>
              <w:jc w:val="center"/>
              <w:rPr>
                <w:rFonts w:ascii="Times New Roman" w:hAnsi="Times New Roman" w:eastAsia="宋体" w:cs="Times New Roman"/>
                <w:szCs w:val="21"/>
              </w:rPr>
            </w:pPr>
            <w:r>
              <w:rPr>
                <w:rFonts w:ascii="Times New Roman" w:hAnsi="Times New Roman" w:cs="Times New Roman" w:eastAsiaTheme="minorEastAsia"/>
              </w:rPr>
              <w:t>K</w:t>
            </w:r>
            <w:r>
              <w:rPr>
                <w:rFonts w:hint="eastAsia" w:ascii="Times New Roman" w:hAnsi="Times New Roman" w:cs="Times New Roman" w:eastAsiaTheme="minorEastAsia"/>
              </w:rPr>
              <w:t>68</w:t>
            </w:r>
            <w:r>
              <w:rPr>
                <w:rFonts w:ascii="Times New Roman" w:hAnsi="Times New Roman" w:cs="Times New Roman" w:eastAsiaTheme="minorEastAsia"/>
              </w:rPr>
              <w:t>+</w:t>
            </w:r>
            <w:r>
              <w:rPr>
                <w:rFonts w:hint="eastAsia" w:ascii="Times New Roman" w:hAnsi="Times New Roman" w:cs="Times New Roman" w:eastAsiaTheme="minorEastAsia"/>
              </w:rPr>
              <w:t>8</w:t>
            </w:r>
            <w:r>
              <w:rPr>
                <w:rFonts w:ascii="Times New Roman" w:hAnsi="Times New Roman" w:cs="Times New Roman" w:eastAsiaTheme="minorEastAsia"/>
              </w:rPr>
              <w:t>00</w:t>
            </w:r>
          </w:p>
        </w:tc>
        <w:tc>
          <w:tcPr>
            <w:tcW w:w="1002" w:type="dxa"/>
            <w:vMerge w:val="restart"/>
            <w:shd w:val="clear" w:color="auto" w:fill="auto"/>
            <w:vAlign w:val="center"/>
          </w:tcPr>
          <w:p w14:paraId="5495BCC5">
            <w:pPr>
              <w:jc w:val="center"/>
              <w:rPr>
                <w:rFonts w:ascii="Times New Roman" w:hAnsi="Times New Roman" w:eastAsia="宋体" w:cs="Times New Roman"/>
                <w:szCs w:val="21"/>
              </w:rPr>
            </w:pPr>
            <w:bookmarkStart w:id="185" w:name="OLE_LINK12"/>
            <w:r>
              <w:rPr>
                <w:rFonts w:hint="eastAsia" w:ascii="Times New Roman" w:cs="Times New Roman" w:hAnsiTheme="minorEastAsia" w:eastAsiaTheme="minorEastAsia"/>
              </w:rPr>
              <w:t>托万克阿帕霍加</w:t>
            </w:r>
            <w:bookmarkEnd w:id="185"/>
          </w:p>
        </w:tc>
        <w:tc>
          <w:tcPr>
            <w:tcW w:w="567" w:type="dxa"/>
            <w:vMerge w:val="restart"/>
            <w:shd w:val="clear" w:color="auto" w:fill="auto"/>
            <w:vAlign w:val="center"/>
          </w:tcPr>
          <w:p w14:paraId="15D75543">
            <w:pPr>
              <w:jc w:val="center"/>
              <w:rPr>
                <w:rFonts w:ascii="Times New Roman" w:hAnsi="Times New Roman" w:eastAsia="宋体" w:cs="Times New Roman"/>
                <w:szCs w:val="21"/>
              </w:rPr>
            </w:pPr>
            <w:r>
              <w:rPr>
                <w:rFonts w:hint="eastAsia" w:ascii="Times New Roman" w:hAnsi="Times New Roman" w:eastAsia="宋体" w:cs="Times New Roman"/>
                <w:szCs w:val="21"/>
              </w:rPr>
              <w:t>路右</w:t>
            </w:r>
          </w:p>
        </w:tc>
        <w:tc>
          <w:tcPr>
            <w:tcW w:w="709" w:type="dxa"/>
            <w:vMerge w:val="restart"/>
            <w:shd w:val="clear" w:color="auto" w:fill="auto"/>
            <w:vAlign w:val="center"/>
          </w:tcPr>
          <w:p w14:paraId="31B660B1">
            <w:pPr>
              <w:jc w:val="center"/>
              <w:rPr>
                <w:rFonts w:ascii="Times New Roman" w:hAnsi="Times New Roman" w:eastAsia="宋体" w:cs="Times New Roman"/>
                <w:szCs w:val="21"/>
              </w:rPr>
            </w:pPr>
            <w:r>
              <w:rPr>
                <w:rFonts w:ascii="Times New Roman" w:hAnsi="Times New Roman" w:eastAsia="宋体" w:cs="Times New Roman"/>
                <w:szCs w:val="21"/>
              </w:rPr>
              <w:t>居民点</w:t>
            </w:r>
          </w:p>
        </w:tc>
        <w:tc>
          <w:tcPr>
            <w:tcW w:w="567" w:type="dxa"/>
            <w:shd w:val="clear" w:color="auto" w:fill="auto"/>
            <w:vAlign w:val="center"/>
          </w:tcPr>
          <w:p w14:paraId="5CF7E14B">
            <w:pPr>
              <w:jc w:val="center"/>
              <w:rPr>
                <w:rFonts w:ascii="Times New Roman" w:hAnsi="Times New Roman" w:eastAsia="宋体" w:cs="Times New Roman"/>
                <w:szCs w:val="21"/>
              </w:rPr>
            </w:pPr>
            <w:r>
              <w:rPr>
                <w:rFonts w:ascii="Times New Roman" w:hAnsi="Times New Roman" w:eastAsia="宋体" w:cs="Times New Roman"/>
                <w:kern w:val="0"/>
                <w:szCs w:val="21"/>
              </w:rPr>
              <w:t>环境噪声</w:t>
            </w:r>
          </w:p>
        </w:tc>
        <w:tc>
          <w:tcPr>
            <w:tcW w:w="4283" w:type="dxa"/>
            <w:shd w:val="clear" w:color="auto" w:fill="auto"/>
            <w:vAlign w:val="center"/>
          </w:tcPr>
          <w:p w14:paraId="14BCFDEA">
            <w:pPr>
              <w:jc w:val="left"/>
              <w:rPr>
                <w:rFonts w:ascii="Times New Roman" w:hAnsi="Times New Roman" w:eastAsia="宋体" w:cs="Times New Roman"/>
                <w:szCs w:val="21"/>
              </w:rPr>
            </w:pPr>
            <w:r>
              <w:rPr>
                <w:rFonts w:ascii="Times New Roman" w:hAnsi="Times New Roman" w:eastAsia="宋体" w:cs="Times New Roman"/>
                <w:szCs w:val="21"/>
              </w:rPr>
              <w:t>临现有</w:t>
            </w:r>
            <w:r>
              <w:rPr>
                <w:rFonts w:hint="eastAsia" w:ascii="Times New Roman" w:hAnsi="Times New Roman" w:eastAsia="宋体" w:cs="Times New Roman"/>
                <w:szCs w:val="21"/>
              </w:rPr>
              <w:t>G219</w:t>
            </w:r>
            <w:r>
              <w:rPr>
                <w:rFonts w:ascii="Times New Roman" w:hAnsi="Times New Roman" w:eastAsia="宋体" w:cs="Times New Roman"/>
                <w:kern w:val="0"/>
                <w:szCs w:val="21"/>
              </w:rPr>
              <w:t>公路第一排</w:t>
            </w:r>
            <w:r>
              <w:rPr>
                <w:rFonts w:hint="eastAsia" w:ascii="Times New Roman" w:hAnsi="Times New Roman" w:eastAsia="宋体" w:cs="Times New Roman"/>
                <w:kern w:val="0"/>
                <w:szCs w:val="21"/>
              </w:rPr>
              <w:t>房屋1</w:t>
            </w:r>
            <w:r>
              <w:rPr>
                <w:rFonts w:ascii="Times New Roman" w:hAnsi="Times New Roman" w:eastAsia="宋体" w:cs="Times New Roman"/>
                <w:szCs w:val="21"/>
              </w:rPr>
              <w:t>层窗前1m，高度</w:t>
            </w:r>
            <w:r>
              <w:rPr>
                <w:rFonts w:hint="eastAsia" w:ascii="Times New Roman" w:hAnsi="Times New Roman" w:eastAsia="宋体" w:cs="Times New Roman"/>
                <w:szCs w:val="21"/>
              </w:rPr>
              <w:t>1</w:t>
            </w:r>
            <w:r>
              <w:rPr>
                <w:rFonts w:ascii="Times New Roman" w:hAnsi="Times New Roman" w:eastAsia="宋体" w:cs="Times New Roman"/>
                <w:szCs w:val="21"/>
              </w:rPr>
              <w:t>.2m</w:t>
            </w:r>
            <w:r>
              <w:rPr>
                <w:rFonts w:hint="eastAsia" w:ascii="Times New Roman" w:hAnsi="Times New Roman" w:eastAsia="宋体" w:cs="Times New Roman"/>
                <w:szCs w:val="21"/>
              </w:rPr>
              <w:t>；</w:t>
            </w:r>
            <w:r>
              <w:rPr>
                <w:rFonts w:ascii="Times New Roman" w:hAnsi="Times New Roman" w:eastAsia="宋体" w:cs="Times New Roman"/>
                <w:szCs w:val="21"/>
              </w:rPr>
              <w:t>临现有</w:t>
            </w:r>
            <w:r>
              <w:rPr>
                <w:rFonts w:hint="eastAsia" w:ascii="Times New Roman" w:hAnsi="Times New Roman" w:eastAsia="宋体" w:cs="Times New Roman"/>
                <w:szCs w:val="21"/>
              </w:rPr>
              <w:t>G219</w:t>
            </w:r>
            <w:r>
              <w:rPr>
                <w:rFonts w:ascii="Times New Roman" w:hAnsi="Times New Roman" w:eastAsia="宋体" w:cs="Times New Roman"/>
                <w:szCs w:val="21"/>
              </w:rPr>
              <w:t>公路边界</w:t>
            </w:r>
            <w:r>
              <w:rPr>
                <w:rFonts w:hint="eastAsia" w:ascii="Times New Roman" w:hAnsi="Times New Roman" w:eastAsia="宋体" w:cs="Times New Roman"/>
                <w:szCs w:val="21"/>
              </w:rPr>
              <w:t>35</w:t>
            </w:r>
            <w:r>
              <w:rPr>
                <w:rFonts w:ascii="Times New Roman" w:hAnsi="Times New Roman" w:eastAsia="宋体" w:cs="Times New Roman"/>
                <w:szCs w:val="21"/>
              </w:rPr>
              <w:t>m外第一排房</w:t>
            </w:r>
            <w:r>
              <w:rPr>
                <w:rFonts w:hint="eastAsia" w:ascii="Times New Roman" w:hAnsi="Times New Roman" w:eastAsia="宋体" w:cs="Times New Roman"/>
                <w:szCs w:val="21"/>
              </w:rPr>
              <w:t>1</w:t>
            </w:r>
            <w:r>
              <w:rPr>
                <w:rFonts w:ascii="Times New Roman" w:hAnsi="Times New Roman" w:eastAsia="宋体" w:cs="Times New Roman"/>
                <w:szCs w:val="21"/>
              </w:rPr>
              <w:t>层窗前1m，高度</w:t>
            </w:r>
            <w:r>
              <w:rPr>
                <w:rFonts w:hint="eastAsia" w:ascii="Times New Roman" w:hAnsi="Times New Roman" w:eastAsia="宋体" w:cs="Times New Roman"/>
                <w:szCs w:val="21"/>
              </w:rPr>
              <w:t>1</w:t>
            </w:r>
            <w:r>
              <w:rPr>
                <w:rFonts w:ascii="Times New Roman" w:hAnsi="Times New Roman" w:eastAsia="宋体" w:cs="Times New Roman"/>
                <w:szCs w:val="21"/>
              </w:rPr>
              <w:t>.2m；同步监测，并按大、中、小型车，记录现有</w:t>
            </w:r>
            <w:r>
              <w:rPr>
                <w:rFonts w:hint="eastAsia" w:ascii="Times New Roman" w:hAnsi="Times New Roman" w:eastAsia="宋体" w:cs="Times New Roman"/>
                <w:szCs w:val="21"/>
              </w:rPr>
              <w:t>G219</w:t>
            </w:r>
            <w:r>
              <w:rPr>
                <w:rFonts w:ascii="Times New Roman" w:hAnsi="Times New Roman" w:eastAsia="宋体" w:cs="Times New Roman"/>
                <w:szCs w:val="21"/>
              </w:rPr>
              <w:t>公路交通量。</w:t>
            </w:r>
          </w:p>
        </w:tc>
      </w:tr>
      <w:tr w14:paraId="38992296">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267" w:type="dxa"/>
            <w:vMerge w:val="continue"/>
            <w:shd w:val="clear" w:color="auto" w:fill="auto"/>
            <w:vAlign w:val="center"/>
          </w:tcPr>
          <w:p w14:paraId="28291AD1">
            <w:pPr>
              <w:widowControl/>
              <w:jc w:val="center"/>
              <w:rPr>
                <w:rFonts w:ascii="Times New Roman" w:hAnsi="Times New Roman" w:eastAsia="宋体" w:cs="Times New Roman"/>
                <w:kern w:val="0"/>
                <w:szCs w:val="21"/>
              </w:rPr>
            </w:pPr>
          </w:p>
        </w:tc>
        <w:tc>
          <w:tcPr>
            <w:tcW w:w="1259" w:type="dxa"/>
            <w:vMerge w:val="continue"/>
            <w:shd w:val="clear" w:color="auto" w:fill="auto"/>
            <w:vAlign w:val="center"/>
          </w:tcPr>
          <w:p w14:paraId="2F815E2C">
            <w:pPr>
              <w:jc w:val="center"/>
              <w:rPr>
                <w:rFonts w:ascii="Times New Roman" w:hAnsi="Times New Roman" w:eastAsia="宋体" w:cs="Times New Roman"/>
                <w:szCs w:val="21"/>
              </w:rPr>
            </w:pPr>
          </w:p>
        </w:tc>
        <w:tc>
          <w:tcPr>
            <w:tcW w:w="1002" w:type="dxa"/>
            <w:vMerge w:val="continue"/>
            <w:shd w:val="clear" w:color="auto" w:fill="auto"/>
            <w:vAlign w:val="center"/>
          </w:tcPr>
          <w:p w14:paraId="76B1CC74">
            <w:pPr>
              <w:jc w:val="center"/>
              <w:rPr>
                <w:rFonts w:ascii="Times New Roman" w:hAnsi="Times New Roman" w:eastAsia="宋体" w:cs="Times New Roman"/>
                <w:szCs w:val="21"/>
              </w:rPr>
            </w:pPr>
          </w:p>
        </w:tc>
        <w:tc>
          <w:tcPr>
            <w:tcW w:w="567" w:type="dxa"/>
            <w:vMerge w:val="continue"/>
            <w:shd w:val="clear" w:color="auto" w:fill="auto"/>
            <w:vAlign w:val="center"/>
          </w:tcPr>
          <w:p w14:paraId="1440FF32">
            <w:pPr>
              <w:jc w:val="center"/>
              <w:rPr>
                <w:rFonts w:ascii="Times New Roman" w:hAnsi="Times New Roman" w:eastAsia="宋体" w:cs="Times New Roman"/>
                <w:szCs w:val="21"/>
              </w:rPr>
            </w:pPr>
          </w:p>
        </w:tc>
        <w:tc>
          <w:tcPr>
            <w:tcW w:w="709" w:type="dxa"/>
            <w:vMerge w:val="continue"/>
            <w:shd w:val="clear" w:color="auto" w:fill="auto"/>
            <w:vAlign w:val="center"/>
          </w:tcPr>
          <w:p w14:paraId="7EAA1C59">
            <w:pPr>
              <w:jc w:val="center"/>
              <w:rPr>
                <w:rFonts w:ascii="Times New Roman" w:hAnsi="Times New Roman" w:eastAsia="宋体" w:cs="Times New Roman"/>
                <w:szCs w:val="21"/>
              </w:rPr>
            </w:pPr>
          </w:p>
        </w:tc>
        <w:tc>
          <w:tcPr>
            <w:tcW w:w="567" w:type="dxa"/>
            <w:shd w:val="clear" w:color="auto" w:fill="auto"/>
            <w:vAlign w:val="center"/>
          </w:tcPr>
          <w:p w14:paraId="0F0AEEC1">
            <w:pPr>
              <w:jc w:val="center"/>
              <w:rPr>
                <w:rFonts w:ascii="Times New Roman" w:hAnsi="Times New Roman" w:eastAsia="宋体" w:cs="Times New Roman"/>
                <w:szCs w:val="21"/>
              </w:rPr>
            </w:pPr>
            <w:r>
              <w:rPr>
                <w:rFonts w:ascii="Times New Roman" w:hAnsi="Times New Roman" w:eastAsia="宋体" w:cs="Times New Roman"/>
                <w:szCs w:val="21"/>
              </w:rPr>
              <w:t>背景噪声</w:t>
            </w:r>
          </w:p>
        </w:tc>
        <w:tc>
          <w:tcPr>
            <w:tcW w:w="4283" w:type="dxa"/>
            <w:shd w:val="clear" w:color="auto" w:fill="auto"/>
            <w:vAlign w:val="center"/>
          </w:tcPr>
          <w:p w14:paraId="53CD3419">
            <w:pPr>
              <w:jc w:val="left"/>
              <w:rPr>
                <w:rFonts w:ascii="Times New Roman" w:hAnsi="Times New Roman" w:eastAsia="宋体" w:cs="Times New Roman"/>
                <w:szCs w:val="21"/>
              </w:rPr>
            </w:pPr>
            <w:r>
              <w:rPr>
                <w:rFonts w:hint="eastAsia" w:ascii="Times New Roman" w:hAnsi="Times New Roman" w:eastAsia="宋体" w:cs="Times New Roman"/>
                <w:szCs w:val="21"/>
              </w:rPr>
              <w:t>远离现有G219</w:t>
            </w:r>
            <w:r>
              <w:rPr>
                <w:rFonts w:ascii="Times New Roman" w:hAnsi="Times New Roman" w:eastAsia="宋体" w:cs="Times New Roman"/>
                <w:kern w:val="0"/>
                <w:szCs w:val="21"/>
              </w:rPr>
              <w:t>公路200m以外，1层窗前1m，高度1.2m。</w:t>
            </w:r>
          </w:p>
        </w:tc>
      </w:tr>
    </w:tbl>
    <w:p w14:paraId="547BA7EE">
      <w:pPr>
        <w:adjustRightInd w:val="0"/>
        <w:rPr>
          <w:rFonts w:ascii="Times New Roman" w:hAnsi="宋体" w:eastAsia="宋体" w:cs="Times New Roman"/>
          <w:szCs w:val="21"/>
        </w:rPr>
      </w:pPr>
      <w:bookmarkStart w:id="186" w:name="_Hlk187134874"/>
      <w:r>
        <w:rPr>
          <w:rFonts w:ascii="Times New Roman" w:hAnsi="宋体" w:eastAsia="宋体" w:cs="Times New Roman"/>
          <w:szCs w:val="21"/>
        </w:rPr>
        <w:t>注</w:t>
      </w:r>
      <w:r>
        <w:rPr>
          <w:rFonts w:hint="eastAsia" w:ascii="Times New Roman" w:hAnsi="宋体" w:eastAsia="宋体" w:cs="Times New Roman"/>
          <w:szCs w:val="21"/>
        </w:rPr>
        <w:t>：</w:t>
      </w:r>
      <w:r>
        <w:rPr>
          <w:rFonts w:ascii="Times New Roman" w:hAnsi="宋体" w:eastAsia="宋体" w:cs="Times New Roman"/>
          <w:szCs w:val="21"/>
        </w:rPr>
        <w:t>鉴于拟建公路沿线无大型噪声污染物</w:t>
      </w:r>
      <w:r>
        <w:rPr>
          <w:rFonts w:hint="eastAsia" w:ascii="Times New Roman" w:hAnsi="宋体" w:eastAsia="宋体" w:cs="Times New Roman"/>
          <w:szCs w:val="21"/>
        </w:rPr>
        <w:t>，</w:t>
      </w:r>
      <w:r>
        <w:rPr>
          <w:rFonts w:ascii="Times New Roman" w:hAnsi="宋体" w:eastAsia="宋体" w:cs="Times New Roman"/>
          <w:szCs w:val="21"/>
        </w:rPr>
        <w:t>主要噪声源为既有道路交通噪声和社会生活噪声</w:t>
      </w:r>
      <w:r>
        <w:rPr>
          <w:rFonts w:hint="eastAsia" w:ascii="Times New Roman" w:hAnsi="宋体" w:eastAsia="宋体" w:cs="Times New Roman"/>
          <w:szCs w:val="21"/>
        </w:rPr>
        <w:t>，</w:t>
      </w:r>
      <w:r>
        <w:rPr>
          <w:rFonts w:ascii="Times New Roman" w:hAnsi="宋体" w:eastAsia="宋体" w:cs="Times New Roman"/>
          <w:szCs w:val="21"/>
        </w:rPr>
        <w:t>在敏感点不受或基本不受本项目既有公路</w:t>
      </w:r>
      <w:r>
        <w:rPr>
          <w:rFonts w:hint="eastAsia" w:ascii="Times New Roman" w:hAnsi="宋体" w:eastAsia="宋体" w:cs="Times New Roman"/>
          <w:szCs w:val="21"/>
        </w:rPr>
        <w:t>交通</w:t>
      </w:r>
      <w:r>
        <w:rPr>
          <w:rFonts w:ascii="Times New Roman" w:hAnsi="宋体" w:eastAsia="宋体" w:cs="Times New Roman"/>
          <w:szCs w:val="21"/>
        </w:rPr>
        <w:t>影响的监测点处可代表公路扩建后4a、2类背景值</w:t>
      </w:r>
      <w:r>
        <w:rPr>
          <w:rFonts w:hint="eastAsia" w:ascii="Times New Roman" w:hAnsi="宋体" w:eastAsia="宋体" w:cs="Times New Roman"/>
          <w:szCs w:val="21"/>
        </w:rPr>
        <w:t>。</w:t>
      </w:r>
    </w:p>
    <w:p w14:paraId="78D1477D">
      <w:pPr>
        <w:spacing w:beforeLines="50"/>
        <w:jc w:val="center"/>
        <w:rPr>
          <w:rFonts w:ascii="Times New Roman" w:hAnsi="Times New Roman" w:eastAsia="宋体" w:cs="Times New Roman"/>
          <w:b/>
        </w:rPr>
      </w:pPr>
      <w:r>
        <w:rPr>
          <w:rFonts w:ascii="Times New Roman" w:hAnsi="Times New Roman" w:eastAsia="宋体" w:cs="Times New Roman"/>
          <w:b/>
        </w:rPr>
        <w:t>表3.</w:t>
      </w:r>
      <w:r>
        <w:rPr>
          <w:rFonts w:hint="eastAsia" w:ascii="Times New Roman" w:hAnsi="Times New Roman" w:eastAsia="宋体" w:cs="Times New Roman"/>
          <w:b/>
        </w:rPr>
        <w:t>2</w:t>
      </w:r>
      <w:r>
        <w:rPr>
          <w:rFonts w:ascii="Times New Roman" w:hAnsi="Times New Roman" w:eastAsia="宋体" w:cs="Times New Roman"/>
          <w:b/>
        </w:rPr>
        <w:t>-</w:t>
      </w:r>
      <w:r>
        <w:rPr>
          <w:rFonts w:hint="eastAsia" w:ascii="Times New Roman" w:hAnsi="Times New Roman" w:eastAsia="宋体" w:cs="Times New Roman"/>
          <w:b/>
        </w:rPr>
        <w:t>2</w:t>
      </w:r>
      <w:r>
        <w:rPr>
          <w:rFonts w:ascii="Times New Roman" w:hAnsi="Times New Roman" w:eastAsia="宋体" w:cs="Times New Roman"/>
          <w:b/>
        </w:rPr>
        <w:t xml:space="preserve">  交通噪声监测断面布设表</w:t>
      </w:r>
    </w:p>
    <w:tbl>
      <w:tblPr>
        <w:tblStyle w:val="22"/>
        <w:tblW w:w="5036" w:type="pct"/>
        <w:jc w:val="center"/>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522"/>
        <w:gridCol w:w="1185"/>
        <w:gridCol w:w="1279"/>
        <w:gridCol w:w="565"/>
        <w:gridCol w:w="570"/>
        <w:gridCol w:w="565"/>
        <w:gridCol w:w="3746"/>
      </w:tblGrid>
      <w:tr w14:paraId="598016F7">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309" w:type="pct"/>
            <w:vAlign w:val="center"/>
          </w:tcPr>
          <w:p w14:paraId="0ED1DE67">
            <w:pPr>
              <w:jc w:val="center"/>
              <w:rPr>
                <w:rFonts w:ascii="Times New Roman" w:hAnsi="Times New Roman" w:eastAsia="宋体" w:cs="Times New Roman"/>
                <w:b/>
                <w:szCs w:val="21"/>
              </w:rPr>
            </w:pPr>
            <w:r>
              <w:rPr>
                <w:rFonts w:hint="eastAsia" w:ascii="Times New Roman" w:hAnsi="Times New Roman" w:eastAsia="宋体" w:cs="Times New Roman"/>
                <w:b/>
                <w:szCs w:val="21"/>
              </w:rPr>
              <w:t>序号</w:t>
            </w:r>
          </w:p>
        </w:tc>
        <w:tc>
          <w:tcPr>
            <w:tcW w:w="702" w:type="pct"/>
            <w:vAlign w:val="center"/>
          </w:tcPr>
          <w:p w14:paraId="26659765">
            <w:pPr>
              <w:jc w:val="center"/>
              <w:rPr>
                <w:rFonts w:ascii="Times New Roman" w:hAnsi="Times New Roman" w:eastAsia="宋体" w:cs="Times New Roman"/>
                <w:b/>
              </w:rPr>
            </w:pPr>
            <w:r>
              <w:rPr>
                <w:rFonts w:hint="eastAsia" w:ascii="Times New Roman" w:hAnsi="Times New Roman" w:eastAsia="宋体" w:cs="Times New Roman"/>
                <w:b/>
              </w:rPr>
              <w:t>桩号</w:t>
            </w:r>
          </w:p>
        </w:tc>
        <w:tc>
          <w:tcPr>
            <w:tcW w:w="758" w:type="pct"/>
            <w:vAlign w:val="center"/>
          </w:tcPr>
          <w:p w14:paraId="69D0F9FF">
            <w:pPr>
              <w:jc w:val="center"/>
              <w:rPr>
                <w:rFonts w:ascii="Times New Roman" w:hAnsi="Times New Roman" w:eastAsia="宋体" w:cs="Times New Roman"/>
                <w:b/>
                <w:szCs w:val="21"/>
              </w:rPr>
            </w:pPr>
            <w:r>
              <w:rPr>
                <w:rFonts w:ascii="Times New Roman" w:hAnsi="Times New Roman" w:eastAsia="宋体" w:cs="Times New Roman"/>
                <w:b/>
                <w:szCs w:val="21"/>
              </w:rPr>
              <w:t>监测点位</w:t>
            </w:r>
          </w:p>
        </w:tc>
        <w:tc>
          <w:tcPr>
            <w:tcW w:w="335" w:type="pct"/>
            <w:vAlign w:val="center"/>
          </w:tcPr>
          <w:p w14:paraId="26767339">
            <w:pPr>
              <w:jc w:val="center"/>
              <w:rPr>
                <w:rFonts w:ascii="Times New Roman" w:hAnsi="Times New Roman" w:eastAsia="宋体" w:cs="Times New Roman"/>
                <w:b/>
                <w:szCs w:val="21"/>
              </w:rPr>
            </w:pPr>
            <w:r>
              <w:rPr>
                <w:rFonts w:hint="eastAsia" w:ascii="Times New Roman" w:hAnsi="Times New Roman" w:eastAsia="宋体" w:cs="Times New Roman"/>
                <w:b/>
                <w:szCs w:val="21"/>
              </w:rPr>
              <w:t>方位</w:t>
            </w:r>
          </w:p>
        </w:tc>
        <w:tc>
          <w:tcPr>
            <w:tcW w:w="338" w:type="pct"/>
            <w:vAlign w:val="center"/>
          </w:tcPr>
          <w:p w14:paraId="1373A529">
            <w:pPr>
              <w:jc w:val="center"/>
              <w:rPr>
                <w:rFonts w:ascii="Times New Roman" w:hAnsi="Times New Roman" w:eastAsia="宋体" w:cs="Times New Roman"/>
                <w:b/>
                <w:szCs w:val="21"/>
              </w:rPr>
            </w:pPr>
            <w:r>
              <w:rPr>
                <w:rFonts w:ascii="Times New Roman" w:hAnsi="Times New Roman" w:eastAsia="宋体" w:cs="Times New Roman"/>
                <w:b/>
                <w:szCs w:val="21"/>
              </w:rPr>
              <w:t>测点类型</w:t>
            </w:r>
          </w:p>
        </w:tc>
        <w:tc>
          <w:tcPr>
            <w:tcW w:w="335" w:type="pct"/>
            <w:vAlign w:val="center"/>
          </w:tcPr>
          <w:p w14:paraId="79882FD3">
            <w:pPr>
              <w:jc w:val="center"/>
              <w:rPr>
                <w:rFonts w:ascii="Times New Roman" w:hAnsi="Times New Roman" w:eastAsia="宋体" w:cs="Times New Roman"/>
                <w:b/>
                <w:szCs w:val="21"/>
              </w:rPr>
            </w:pPr>
            <w:r>
              <w:rPr>
                <w:rFonts w:ascii="Times New Roman" w:hAnsi="Times New Roman" w:eastAsia="宋体" w:cs="Times New Roman"/>
                <w:b/>
                <w:szCs w:val="21"/>
              </w:rPr>
              <w:t>噪声类型</w:t>
            </w:r>
          </w:p>
        </w:tc>
        <w:tc>
          <w:tcPr>
            <w:tcW w:w="2219" w:type="pct"/>
            <w:vAlign w:val="center"/>
          </w:tcPr>
          <w:p w14:paraId="47D3A508">
            <w:pPr>
              <w:jc w:val="center"/>
              <w:rPr>
                <w:rFonts w:ascii="Times New Roman" w:hAnsi="Times New Roman" w:eastAsia="宋体" w:cs="Times New Roman"/>
                <w:b/>
                <w:szCs w:val="21"/>
              </w:rPr>
            </w:pPr>
            <w:r>
              <w:rPr>
                <w:rFonts w:ascii="Times New Roman" w:hAnsi="Times New Roman" w:eastAsia="宋体" w:cs="Times New Roman"/>
                <w:b/>
                <w:szCs w:val="21"/>
              </w:rPr>
              <w:t>布点位置</w:t>
            </w:r>
          </w:p>
        </w:tc>
      </w:tr>
      <w:tr w14:paraId="784D1643">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309" w:type="pct"/>
            <w:vAlign w:val="center"/>
          </w:tcPr>
          <w:p w14:paraId="0E2DAFFE">
            <w:pPr>
              <w:jc w:val="center"/>
              <w:rPr>
                <w:rFonts w:ascii="Times New Roman" w:hAnsi="Times New Roman" w:eastAsia="宋体" w:cs="Times New Roman"/>
                <w:szCs w:val="21"/>
              </w:rPr>
            </w:pPr>
            <w:r>
              <w:rPr>
                <w:rFonts w:hint="eastAsia" w:ascii="Times New Roman" w:hAnsi="Times New Roman" w:eastAsia="宋体" w:cs="Times New Roman"/>
                <w:szCs w:val="21"/>
              </w:rPr>
              <w:t>1</w:t>
            </w:r>
          </w:p>
        </w:tc>
        <w:tc>
          <w:tcPr>
            <w:tcW w:w="702" w:type="pct"/>
            <w:vAlign w:val="center"/>
          </w:tcPr>
          <w:p w14:paraId="44101177">
            <w:pPr>
              <w:jc w:val="center"/>
              <w:rPr>
                <w:rFonts w:ascii="Times New Roman" w:hAnsi="Times New Roman" w:eastAsia="宋体" w:cs="Times New Roman"/>
              </w:rPr>
            </w:pPr>
            <w:r>
              <w:rPr>
                <w:rFonts w:hint="eastAsia" w:ascii="Times New Roman" w:hAnsi="Times New Roman" w:eastAsia="宋体" w:cs="Times New Roman"/>
              </w:rPr>
              <w:t>K37+200</w:t>
            </w:r>
          </w:p>
        </w:tc>
        <w:tc>
          <w:tcPr>
            <w:tcW w:w="758" w:type="pct"/>
            <w:vAlign w:val="center"/>
          </w:tcPr>
          <w:p w14:paraId="78877D83">
            <w:pPr>
              <w:jc w:val="center"/>
              <w:rPr>
                <w:rFonts w:ascii="Times New Roman" w:hAnsi="Times New Roman" w:eastAsia="宋体" w:cs="Times New Roman"/>
              </w:rPr>
            </w:pPr>
            <w:r>
              <w:rPr>
                <w:rFonts w:hint="eastAsia" w:ascii="Times New Roman" w:hAnsi="Times New Roman" w:eastAsia="宋体" w:cs="Times New Roman"/>
                <w:szCs w:val="21"/>
              </w:rPr>
              <w:t>G219</w:t>
            </w:r>
          </w:p>
        </w:tc>
        <w:tc>
          <w:tcPr>
            <w:tcW w:w="335" w:type="pct"/>
            <w:vAlign w:val="center"/>
          </w:tcPr>
          <w:p w14:paraId="019838D2">
            <w:pPr>
              <w:jc w:val="center"/>
              <w:rPr>
                <w:rFonts w:ascii="Times New Roman" w:hAnsi="Times New Roman" w:eastAsia="宋体" w:cs="Times New Roman"/>
                <w:szCs w:val="21"/>
              </w:rPr>
            </w:pPr>
            <w:r>
              <w:rPr>
                <w:rFonts w:hint="eastAsia" w:ascii="Times New Roman" w:hAnsi="Times New Roman" w:eastAsia="宋体" w:cs="Times New Roman"/>
                <w:szCs w:val="21"/>
              </w:rPr>
              <w:t>左</w:t>
            </w:r>
          </w:p>
        </w:tc>
        <w:tc>
          <w:tcPr>
            <w:tcW w:w="338" w:type="pct"/>
            <w:vAlign w:val="center"/>
          </w:tcPr>
          <w:p w14:paraId="32BE11BC">
            <w:pPr>
              <w:jc w:val="center"/>
              <w:rPr>
                <w:rFonts w:ascii="Times New Roman" w:hAnsi="Times New Roman" w:eastAsia="宋体" w:cs="Times New Roman"/>
                <w:szCs w:val="21"/>
              </w:rPr>
            </w:pPr>
            <w:r>
              <w:rPr>
                <w:rFonts w:hint="eastAsia" w:ascii="Times New Roman" w:hAnsi="Times New Roman" w:eastAsia="宋体" w:cs="Times New Roman"/>
                <w:szCs w:val="21"/>
              </w:rPr>
              <w:t>公路</w:t>
            </w:r>
          </w:p>
        </w:tc>
        <w:tc>
          <w:tcPr>
            <w:tcW w:w="335" w:type="pct"/>
            <w:vAlign w:val="center"/>
          </w:tcPr>
          <w:p w14:paraId="0E7224C8">
            <w:pPr>
              <w:jc w:val="center"/>
              <w:rPr>
                <w:rFonts w:ascii="Times New Roman" w:hAnsi="Times New Roman" w:eastAsia="宋体" w:cs="Times New Roman"/>
                <w:szCs w:val="21"/>
              </w:rPr>
            </w:pPr>
            <w:r>
              <w:rPr>
                <w:rFonts w:ascii="Times New Roman" w:hAnsi="Times New Roman" w:eastAsia="宋体" w:cs="Times New Roman"/>
                <w:szCs w:val="21"/>
              </w:rPr>
              <w:t>交通噪声</w:t>
            </w:r>
          </w:p>
        </w:tc>
        <w:tc>
          <w:tcPr>
            <w:tcW w:w="2219" w:type="pct"/>
            <w:vAlign w:val="center"/>
          </w:tcPr>
          <w:p w14:paraId="625D71C1">
            <w:pPr>
              <w:jc w:val="left"/>
              <w:rPr>
                <w:rFonts w:ascii="Times New Roman" w:hAnsi="Times New Roman" w:eastAsia="宋体" w:cs="Times New Roman"/>
                <w:szCs w:val="21"/>
              </w:rPr>
            </w:pPr>
            <w:r>
              <w:rPr>
                <w:rFonts w:ascii="Times New Roman" w:hAnsi="Times New Roman" w:eastAsia="宋体" w:cs="Times New Roman"/>
                <w:szCs w:val="21"/>
              </w:rPr>
              <w:t>距</w:t>
            </w:r>
            <w:r>
              <w:rPr>
                <w:rFonts w:hint="eastAsia" w:ascii="Times New Roman" w:hAnsi="Times New Roman" w:eastAsia="宋体" w:cs="Times New Roman"/>
                <w:szCs w:val="21"/>
              </w:rPr>
              <w:t>G219</w:t>
            </w:r>
            <w:r>
              <w:rPr>
                <w:rFonts w:ascii="Times New Roman" w:hAnsi="Times New Roman" w:eastAsia="宋体" w:cs="Times New Roman"/>
                <w:szCs w:val="21"/>
              </w:rPr>
              <w:t>公路中心线20m、40m、60m、80m、120m设监测断面，高度1.2m</w:t>
            </w:r>
          </w:p>
        </w:tc>
      </w:tr>
    </w:tbl>
    <w:p w14:paraId="5D931881">
      <w:pPr>
        <w:adjustRightInd w:val="0"/>
        <w:rPr>
          <w:rFonts w:ascii="Times New Roman" w:hAnsi="宋体" w:eastAsia="宋体" w:cs="Times New Roman"/>
          <w:szCs w:val="21"/>
        </w:rPr>
      </w:pPr>
    </w:p>
    <w:p w14:paraId="6F92AEE7">
      <w:pPr>
        <w:adjustRightInd w:val="0"/>
        <w:rPr>
          <w:rFonts w:ascii="Times New Roman" w:hAnsi="宋体" w:eastAsia="宋体" w:cs="Times New Roman"/>
          <w:szCs w:val="21"/>
        </w:rPr>
      </w:pPr>
    </w:p>
    <w:bookmarkEnd w:id="186"/>
    <w:p w14:paraId="736BA5C9">
      <w:pPr>
        <w:spacing w:line="30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w:t>
      </w:r>
      <w:r>
        <w:rPr>
          <w:rFonts w:hint="eastAsia" w:ascii="Times New Roman" w:hAnsi="Times New Roman" w:eastAsia="宋体" w:cs="Times New Roman"/>
          <w:sz w:val="24"/>
        </w:rPr>
        <w:t>3</w:t>
      </w:r>
      <w:r>
        <w:rPr>
          <w:rFonts w:ascii="Times New Roman" w:hAnsi="Times New Roman" w:eastAsia="宋体" w:cs="Times New Roman"/>
          <w:sz w:val="24"/>
        </w:rPr>
        <w:t>) 监测项目</w:t>
      </w:r>
    </w:p>
    <w:p w14:paraId="4C3435DD">
      <w:pPr>
        <w:spacing w:line="30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每组L</w:t>
      </w:r>
      <w:r>
        <w:rPr>
          <w:rFonts w:ascii="Times New Roman" w:hAnsi="Times New Roman" w:eastAsia="宋体" w:cs="Times New Roman"/>
          <w:sz w:val="24"/>
          <w:vertAlign w:val="subscript"/>
        </w:rPr>
        <w:t>Aeq</w:t>
      </w:r>
      <w:r>
        <w:rPr>
          <w:rFonts w:ascii="Times New Roman" w:hAnsi="Times New Roman" w:eastAsia="宋体" w:cs="Times New Roman"/>
          <w:sz w:val="24"/>
        </w:rPr>
        <w:t>、</w:t>
      </w:r>
      <w:bookmarkStart w:id="187" w:name="OLE_LINK73"/>
      <w:r>
        <w:rPr>
          <w:rFonts w:ascii="Times New Roman" w:hAnsi="Times New Roman" w:eastAsia="宋体" w:cs="Times New Roman"/>
          <w:sz w:val="24"/>
        </w:rPr>
        <w:t>L</w:t>
      </w:r>
      <w:r>
        <w:rPr>
          <w:rFonts w:ascii="Times New Roman" w:hAnsi="Times New Roman" w:eastAsia="宋体" w:cs="Times New Roman"/>
          <w:sz w:val="24"/>
          <w:vertAlign w:val="subscript"/>
        </w:rPr>
        <w:t>10</w:t>
      </w:r>
      <w:r>
        <w:rPr>
          <w:rFonts w:ascii="Times New Roman" w:hAnsi="Times New Roman" w:eastAsia="宋体" w:cs="Times New Roman"/>
          <w:sz w:val="24"/>
        </w:rPr>
        <w:t>、L</w:t>
      </w:r>
      <w:r>
        <w:rPr>
          <w:rFonts w:ascii="Times New Roman" w:hAnsi="Times New Roman" w:eastAsia="宋体" w:cs="Times New Roman"/>
          <w:sz w:val="24"/>
          <w:vertAlign w:val="subscript"/>
        </w:rPr>
        <w:t>50</w:t>
      </w:r>
      <w:r>
        <w:rPr>
          <w:rFonts w:ascii="Times New Roman" w:hAnsi="Times New Roman" w:eastAsia="宋体" w:cs="Times New Roman"/>
          <w:sz w:val="24"/>
        </w:rPr>
        <w:t>、L</w:t>
      </w:r>
      <w:r>
        <w:rPr>
          <w:rFonts w:ascii="Times New Roman" w:hAnsi="Times New Roman" w:eastAsia="宋体" w:cs="Times New Roman"/>
          <w:sz w:val="24"/>
          <w:vertAlign w:val="subscript"/>
        </w:rPr>
        <w:t>90</w:t>
      </w:r>
      <w:r>
        <w:rPr>
          <w:rFonts w:ascii="Times New Roman" w:hAnsi="Times New Roman" w:eastAsia="宋体" w:cs="Times New Roman"/>
          <w:sz w:val="24"/>
        </w:rPr>
        <w:t>、L</w:t>
      </w:r>
      <w:r>
        <w:rPr>
          <w:rFonts w:hint="eastAsia" w:ascii="Times New Roman" w:hAnsi="Times New Roman" w:eastAsia="宋体" w:cs="Times New Roman"/>
          <w:sz w:val="24"/>
          <w:vertAlign w:val="subscript"/>
        </w:rPr>
        <w:t>max</w:t>
      </w:r>
      <w:r>
        <w:rPr>
          <w:rFonts w:ascii="Times New Roman" w:hAnsi="Times New Roman" w:eastAsia="宋体" w:cs="Times New Roman"/>
          <w:sz w:val="24"/>
        </w:rPr>
        <w:t>值</w:t>
      </w:r>
      <w:bookmarkEnd w:id="187"/>
      <w:r>
        <w:rPr>
          <w:rFonts w:ascii="Times New Roman" w:hAnsi="Times New Roman" w:eastAsia="宋体" w:cs="Times New Roman"/>
          <w:sz w:val="24"/>
        </w:rPr>
        <w:t>。</w:t>
      </w:r>
    </w:p>
    <w:p w14:paraId="2B0ACEB4">
      <w:pPr>
        <w:spacing w:line="30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w:t>
      </w:r>
      <w:r>
        <w:rPr>
          <w:rFonts w:hint="eastAsia" w:ascii="Times New Roman" w:hAnsi="Times New Roman" w:eastAsia="宋体" w:cs="Times New Roman"/>
          <w:sz w:val="24"/>
        </w:rPr>
        <w:t>4</w:t>
      </w:r>
      <w:r>
        <w:rPr>
          <w:rFonts w:ascii="Times New Roman" w:hAnsi="Times New Roman" w:eastAsia="宋体" w:cs="Times New Roman"/>
          <w:sz w:val="24"/>
        </w:rPr>
        <w:t>) 监测频次</w:t>
      </w:r>
    </w:p>
    <w:p w14:paraId="0A18AF22">
      <w:pPr>
        <w:spacing w:line="300" w:lineRule="auto"/>
        <w:ind w:firstLine="480" w:firstLineChars="200"/>
        <w:rPr>
          <w:rFonts w:ascii="Times New Roman" w:hAnsi="Times New Roman" w:eastAsia="宋体" w:cs="Times New Roman"/>
          <w:sz w:val="24"/>
        </w:rPr>
      </w:pPr>
      <w:r>
        <w:rPr>
          <w:rFonts w:hint="eastAsia" w:ascii="宋体" w:hAnsi="宋体" w:eastAsia="宋体" w:cs="宋体"/>
          <w:sz w:val="24"/>
        </w:rPr>
        <w:t>①</w:t>
      </w:r>
      <w:r>
        <w:rPr>
          <w:rFonts w:ascii="Times New Roman" w:hAnsi="Times New Roman" w:eastAsia="宋体" w:cs="Times New Roman"/>
          <w:sz w:val="24"/>
        </w:rPr>
        <w:t xml:space="preserve"> 背景噪声监测</w:t>
      </w:r>
    </w:p>
    <w:p w14:paraId="7F2B4717">
      <w:pPr>
        <w:widowControl w:val="0"/>
        <w:tabs>
          <w:tab w:val="left" w:pos="993"/>
        </w:tabs>
        <w:adjustRightInd w:val="0"/>
        <w:spacing w:line="300" w:lineRule="auto"/>
        <w:ind w:firstLine="480" w:firstLineChars="200"/>
        <w:jc w:val="both"/>
        <w:textAlignment w:val="baseline"/>
        <w:rPr>
          <w:rFonts w:ascii="Times New Roman" w:hAnsi="Times New Roman" w:eastAsia="宋体" w:cs="Times New Roman"/>
          <w:kern w:val="2"/>
          <w:sz w:val="24"/>
          <w:szCs w:val="20"/>
          <w:lang w:val="en-US" w:eastAsia="zh-CN" w:bidi="ar-SA"/>
        </w:rPr>
      </w:pPr>
      <w:r>
        <w:rPr>
          <w:rFonts w:ascii="Times New Roman" w:hAnsi="Times New Roman" w:eastAsia="宋体" w:cs="Times New Roman"/>
          <w:kern w:val="2"/>
          <w:sz w:val="24"/>
          <w:szCs w:val="20"/>
          <w:lang w:val="en-US" w:eastAsia="zh-CN" w:bidi="ar-SA"/>
        </w:rPr>
        <w:t>监测点测2天，每天昼间和夜间各测1次，每次声环境监测时间不少于20分钟。昼间监测时段为</w:t>
      </w:r>
      <w:r>
        <w:rPr>
          <w:rFonts w:hint="eastAsia" w:ascii="Times New Roman" w:hAnsi="Times New Roman" w:eastAsia="宋体" w:cs="Times New Roman"/>
          <w:kern w:val="2"/>
          <w:sz w:val="24"/>
          <w:szCs w:val="20"/>
          <w:lang w:val="en-US" w:eastAsia="zh-CN" w:bidi="ar-SA"/>
        </w:rPr>
        <w:t>08</w:t>
      </w:r>
      <w:r>
        <w:rPr>
          <w:rFonts w:ascii="Times New Roman" w:hAnsi="Times New Roman" w:eastAsia="宋体" w:cs="Times New Roman"/>
          <w:kern w:val="2"/>
          <w:sz w:val="24"/>
          <w:szCs w:val="20"/>
          <w:lang w:val="en-US" w:eastAsia="zh-CN" w:bidi="ar-SA"/>
        </w:rPr>
        <w:t>:00～2</w:t>
      </w:r>
      <w:r>
        <w:rPr>
          <w:rFonts w:hint="eastAsia" w:ascii="Times New Roman" w:hAnsi="Times New Roman" w:eastAsia="宋体" w:cs="Times New Roman"/>
          <w:kern w:val="2"/>
          <w:sz w:val="24"/>
          <w:szCs w:val="20"/>
          <w:lang w:val="en-US" w:eastAsia="zh-CN" w:bidi="ar-SA"/>
        </w:rPr>
        <w:t>4</w:t>
      </w:r>
      <w:r>
        <w:rPr>
          <w:rFonts w:ascii="Times New Roman" w:hAnsi="Times New Roman" w:eastAsia="宋体" w:cs="Times New Roman"/>
          <w:kern w:val="2"/>
          <w:sz w:val="24"/>
          <w:szCs w:val="20"/>
          <w:lang w:val="en-US" w:eastAsia="zh-CN" w:bidi="ar-SA"/>
        </w:rPr>
        <w:t>:00，夜间监测时段为2</w:t>
      </w:r>
      <w:r>
        <w:rPr>
          <w:rFonts w:hint="eastAsia" w:ascii="Times New Roman" w:hAnsi="Times New Roman" w:eastAsia="宋体" w:cs="Times New Roman"/>
          <w:kern w:val="2"/>
          <w:sz w:val="24"/>
          <w:szCs w:val="20"/>
          <w:lang w:val="en-US" w:eastAsia="zh-CN" w:bidi="ar-SA"/>
        </w:rPr>
        <w:t>4</w:t>
      </w:r>
      <w:r>
        <w:rPr>
          <w:rFonts w:ascii="Times New Roman" w:hAnsi="Times New Roman" w:eastAsia="宋体" w:cs="Times New Roman"/>
          <w:kern w:val="2"/>
          <w:sz w:val="24"/>
          <w:szCs w:val="20"/>
          <w:lang w:val="en-US" w:eastAsia="zh-CN" w:bidi="ar-SA"/>
        </w:rPr>
        <w:t>:00～次日</w:t>
      </w:r>
      <w:r>
        <w:rPr>
          <w:rFonts w:hint="eastAsia" w:ascii="Times New Roman" w:hAnsi="Times New Roman" w:eastAsia="宋体" w:cs="Times New Roman"/>
          <w:kern w:val="2"/>
          <w:sz w:val="24"/>
          <w:szCs w:val="20"/>
          <w:lang w:val="en-US" w:eastAsia="zh-CN" w:bidi="ar-SA"/>
        </w:rPr>
        <w:t>08</w:t>
      </w:r>
      <w:r>
        <w:rPr>
          <w:rFonts w:ascii="Times New Roman" w:hAnsi="Times New Roman" w:eastAsia="宋体" w:cs="Times New Roman"/>
          <w:kern w:val="2"/>
          <w:sz w:val="24"/>
          <w:szCs w:val="20"/>
          <w:lang w:val="en-US" w:eastAsia="zh-CN" w:bidi="ar-SA"/>
        </w:rPr>
        <w:t>:00。监测点位应远离现有交通干线。</w:t>
      </w:r>
    </w:p>
    <w:p w14:paraId="2EDF95CC">
      <w:pPr>
        <w:spacing w:line="300" w:lineRule="auto"/>
        <w:ind w:firstLine="480" w:firstLineChars="200"/>
        <w:rPr>
          <w:rFonts w:ascii="Times New Roman" w:hAnsi="Times New Roman" w:eastAsia="宋体" w:cs="Times New Roman"/>
          <w:sz w:val="24"/>
        </w:rPr>
      </w:pPr>
      <w:r>
        <w:rPr>
          <w:rFonts w:hint="eastAsia" w:ascii="宋体" w:hAnsi="宋体" w:eastAsia="宋体" w:cs="宋体"/>
          <w:sz w:val="24"/>
        </w:rPr>
        <w:t>②</w:t>
      </w:r>
      <w:r>
        <w:rPr>
          <w:rFonts w:ascii="Times New Roman" w:hAnsi="Times New Roman" w:eastAsia="宋体" w:cs="Times New Roman"/>
          <w:sz w:val="24"/>
        </w:rPr>
        <w:t xml:space="preserve"> 受交通干线影响的环境噪声监测</w:t>
      </w:r>
    </w:p>
    <w:p w14:paraId="6D03D572">
      <w:pPr>
        <w:widowControl w:val="0"/>
        <w:tabs>
          <w:tab w:val="left" w:pos="993"/>
        </w:tabs>
        <w:adjustRightInd w:val="0"/>
        <w:spacing w:line="300" w:lineRule="auto"/>
        <w:ind w:firstLine="480" w:firstLineChars="200"/>
        <w:jc w:val="both"/>
        <w:textAlignment w:val="baseline"/>
        <w:rPr>
          <w:rFonts w:ascii="Times New Roman" w:hAnsi="Times New Roman" w:eastAsia="宋体" w:cs="Times New Roman"/>
          <w:kern w:val="2"/>
          <w:sz w:val="24"/>
          <w:szCs w:val="20"/>
          <w:lang w:val="en-US" w:eastAsia="zh-CN" w:bidi="ar-SA"/>
        </w:rPr>
      </w:pPr>
      <w:r>
        <w:rPr>
          <w:rFonts w:ascii="Times New Roman" w:hAnsi="Times New Roman" w:eastAsia="宋体" w:cs="Times New Roman"/>
          <w:kern w:val="2"/>
          <w:sz w:val="24"/>
          <w:szCs w:val="20"/>
          <w:lang w:val="en-US" w:eastAsia="zh-CN" w:bidi="ar-SA"/>
        </w:rPr>
        <w:t>监测点测2天，每天昼间和夜间各测1次，每次声环境监测时间不少于20分钟，同步分小、中、大</w:t>
      </w:r>
      <w:r>
        <w:rPr>
          <w:rFonts w:hint="eastAsia" w:ascii="Times New Roman" w:hAnsi="Times New Roman" w:eastAsia="宋体" w:cs="Times New Roman"/>
          <w:kern w:val="2"/>
          <w:sz w:val="24"/>
          <w:szCs w:val="20"/>
          <w:lang w:val="en-US" w:eastAsia="zh-CN" w:bidi="ar-SA"/>
        </w:rPr>
        <w:t>型</w:t>
      </w:r>
      <w:r>
        <w:rPr>
          <w:rFonts w:ascii="Times New Roman" w:hAnsi="Times New Roman" w:eastAsia="宋体" w:cs="Times New Roman"/>
          <w:kern w:val="2"/>
          <w:sz w:val="24"/>
          <w:szCs w:val="20"/>
          <w:lang w:val="en-US" w:eastAsia="zh-CN" w:bidi="ar-SA"/>
        </w:rPr>
        <w:t>车记录现有道路的交通量，说明现有公路的名称及等级。</w:t>
      </w:r>
    </w:p>
    <w:p w14:paraId="5B4D6797">
      <w:pPr>
        <w:widowControl w:val="0"/>
        <w:tabs>
          <w:tab w:val="left" w:pos="993"/>
        </w:tabs>
        <w:adjustRightInd w:val="0"/>
        <w:spacing w:line="300" w:lineRule="auto"/>
        <w:ind w:firstLine="480" w:firstLineChars="200"/>
        <w:jc w:val="both"/>
        <w:textAlignment w:val="baseline"/>
        <w:rPr>
          <w:rFonts w:ascii="Times New Roman" w:hAnsi="Times New Roman" w:eastAsia="宋体" w:cs="Times New Roman"/>
          <w:kern w:val="2"/>
          <w:sz w:val="24"/>
          <w:szCs w:val="20"/>
          <w:lang w:val="en-US" w:eastAsia="zh-CN" w:bidi="ar-SA"/>
        </w:rPr>
      </w:pPr>
      <w:r>
        <w:rPr>
          <w:rFonts w:hint="eastAsia" w:ascii="宋体" w:hAnsi="宋体" w:eastAsia="宋体" w:cs="宋体"/>
          <w:kern w:val="2"/>
          <w:sz w:val="24"/>
          <w:szCs w:val="20"/>
          <w:lang w:val="en-US" w:eastAsia="zh-CN" w:bidi="ar-SA"/>
        </w:rPr>
        <w:t>③</w:t>
      </w:r>
      <w:r>
        <w:rPr>
          <w:rFonts w:ascii="Times New Roman" w:hAnsi="Times New Roman" w:eastAsia="宋体" w:cs="Times New Roman"/>
          <w:kern w:val="2"/>
          <w:sz w:val="24"/>
          <w:szCs w:val="20"/>
          <w:lang w:val="en-US" w:eastAsia="zh-CN" w:bidi="ar-SA"/>
        </w:rPr>
        <w:t xml:space="preserve"> 交通噪声断面监测</w:t>
      </w:r>
    </w:p>
    <w:p w14:paraId="1D0B6AF8">
      <w:pPr>
        <w:widowControl w:val="0"/>
        <w:spacing w:line="300" w:lineRule="auto"/>
        <w:ind w:firstLine="465" w:firstLineChars="0"/>
        <w:jc w:val="both"/>
        <w:rPr>
          <w:rFonts w:ascii="Times New Roman" w:hAnsi="Times New Roman" w:eastAsia="宋体" w:cs="Times New Roman"/>
          <w:kern w:val="2"/>
          <w:sz w:val="24"/>
          <w:szCs w:val="20"/>
          <w:lang w:val="en-US" w:eastAsia="zh-CN" w:bidi="ar-SA"/>
        </w:rPr>
      </w:pPr>
      <w:r>
        <w:rPr>
          <w:rFonts w:ascii="Times New Roman" w:hAnsi="Times New Roman" w:eastAsia="宋体" w:cs="Times New Roman"/>
          <w:kern w:val="2"/>
          <w:sz w:val="24"/>
          <w:szCs w:val="20"/>
          <w:lang w:val="en-US" w:eastAsia="zh-CN" w:bidi="ar-SA"/>
        </w:rPr>
        <w:t>每个交通噪声断面连续监测2天，每天昼间和夜间各测1次，每次监测时间不少于20分钟，</w:t>
      </w:r>
      <w:r>
        <w:rPr>
          <w:rFonts w:hint="eastAsia" w:ascii="Times New Roman" w:hAnsi="Times New Roman" w:eastAsia="宋体" w:cs="Times New Roman"/>
          <w:kern w:val="2"/>
          <w:sz w:val="24"/>
          <w:szCs w:val="20"/>
          <w:lang w:val="en-US" w:eastAsia="zh-CN" w:bidi="ar-SA"/>
        </w:rPr>
        <w:t>5</w:t>
      </w:r>
      <w:r>
        <w:rPr>
          <w:rFonts w:ascii="Times New Roman" w:hAnsi="Times New Roman" w:eastAsia="宋体" w:cs="Times New Roman"/>
          <w:kern w:val="2"/>
          <w:sz w:val="24"/>
          <w:szCs w:val="20"/>
          <w:lang w:val="en-US" w:eastAsia="zh-CN" w:bidi="ar-SA"/>
        </w:rPr>
        <w:t>个点位同步监测，同步分小、中、大</w:t>
      </w:r>
      <w:r>
        <w:rPr>
          <w:rFonts w:hint="eastAsia" w:ascii="Times New Roman" w:hAnsi="Times New Roman" w:eastAsia="宋体" w:cs="Times New Roman"/>
          <w:kern w:val="2"/>
          <w:sz w:val="24"/>
          <w:szCs w:val="20"/>
          <w:lang w:val="en-US" w:eastAsia="zh-CN" w:bidi="ar-SA"/>
        </w:rPr>
        <w:t>型</w:t>
      </w:r>
      <w:r>
        <w:rPr>
          <w:rFonts w:ascii="Times New Roman" w:hAnsi="Times New Roman" w:eastAsia="宋体" w:cs="Times New Roman"/>
          <w:kern w:val="2"/>
          <w:sz w:val="24"/>
          <w:szCs w:val="20"/>
          <w:lang w:val="en-US" w:eastAsia="zh-CN" w:bidi="ar-SA"/>
        </w:rPr>
        <w:t>车记录现有道路的交通量。</w:t>
      </w:r>
    </w:p>
    <w:p w14:paraId="336F2359">
      <w:pPr>
        <w:spacing w:line="30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w:t>
      </w:r>
      <w:r>
        <w:rPr>
          <w:rFonts w:hint="eastAsia" w:ascii="Times New Roman" w:hAnsi="Times New Roman" w:eastAsia="宋体" w:cs="Times New Roman"/>
          <w:sz w:val="24"/>
        </w:rPr>
        <w:t>5</w:t>
      </w:r>
      <w:r>
        <w:rPr>
          <w:rFonts w:ascii="Times New Roman" w:hAnsi="Times New Roman" w:eastAsia="宋体" w:cs="Times New Roman"/>
          <w:sz w:val="24"/>
        </w:rPr>
        <w:t>) 监测方法</w:t>
      </w:r>
    </w:p>
    <w:p w14:paraId="5D166B3C">
      <w:pPr>
        <w:spacing w:line="300" w:lineRule="auto"/>
        <w:ind w:firstLine="480" w:firstLineChars="200"/>
        <w:rPr>
          <w:rFonts w:ascii="Times New Roman" w:hAnsi="Times New Roman" w:eastAsia="宋体" w:cs="Times New Roman"/>
          <w:sz w:val="24"/>
          <w:szCs w:val="20"/>
        </w:rPr>
      </w:pPr>
      <w:r>
        <w:rPr>
          <w:rFonts w:ascii="Times New Roman" w:hAnsi="Times New Roman" w:eastAsia="宋体" w:cs="Times New Roman"/>
          <w:sz w:val="24"/>
          <w:szCs w:val="20"/>
        </w:rPr>
        <w:t>具体测量时间、测量仪器、仪器校准、测量方法均按照国标《声环境质量标准》（GB3096-2008）中有关规定进行。监测同时记录监测点主要噪声源和周围环境特征、车流量等。</w:t>
      </w:r>
    </w:p>
    <w:p w14:paraId="2BC9A680">
      <w:pPr>
        <w:spacing w:line="30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w:t>
      </w:r>
      <w:r>
        <w:rPr>
          <w:rFonts w:hint="eastAsia" w:ascii="Times New Roman" w:hAnsi="Times New Roman" w:eastAsia="宋体" w:cs="Times New Roman"/>
          <w:sz w:val="24"/>
        </w:rPr>
        <w:t>6</w:t>
      </w:r>
      <w:r>
        <w:rPr>
          <w:rFonts w:ascii="Times New Roman" w:hAnsi="Times New Roman" w:eastAsia="宋体" w:cs="Times New Roman"/>
          <w:sz w:val="24"/>
        </w:rPr>
        <w:t>) 监测仪器</w:t>
      </w:r>
    </w:p>
    <w:p w14:paraId="740F2196">
      <w:pPr>
        <w:spacing w:line="30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AWA6228多功能声级计。</w:t>
      </w:r>
    </w:p>
    <w:p w14:paraId="0C50A8BD">
      <w:pPr>
        <w:keepNext/>
        <w:keepLines/>
        <w:widowControl w:val="0"/>
        <w:adjustRightInd w:val="0"/>
        <w:spacing w:before="120" w:after="120" w:line="300" w:lineRule="auto"/>
        <w:jc w:val="both"/>
        <w:textAlignment w:val="baseline"/>
        <w:outlineLvl w:val="2"/>
        <w:rPr>
          <w:rFonts w:ascii="Times New Roman" w:hAnsi="Times New Roman" w:eastAsia="宋体" w:cs="Times New Roman"/>
          <w:b/>
          <w:bCs w:val="0"/>
          <w:color w:val="auto"/>
          <w:kern w:val="0"/>
          <w:sz w:val="24"/>
          <w:szCs w:val="32"/>
          <w:lang w:val="en-US" w:eastAsia="zh-CN" w:bidi="ar-SA"/>
        </w:rPr>
      </w:pPr>
      <w:bookmarkStart w:id="188" w:name="_Toc175213212"/>
      <w:bookmarkStart w:id="189" w:name="_Toc187528259"/>
      <w:r>
        <w:rPr>
          <w:rFonts w:hint="eastAsia" w:ascii="Times New Roman" w:hAnsi="Times New Roman" w:eastAsia="宋体" w:cs="Times New Roman"/>
          <w:b/>
          <w:bCs w:val="0"/>
          <w:color w:val="auto"/>
          <w:kern w:val="0"/>
          <w:sz w:val="24"/>
          <w:szCs w:val="32"/>
          <w:lang w:val="en-US" w:eastAsia="zh-CN" w:bidi="ar-SA"/>
        </w:rPr>
        <w:t>3</w:t>
      </w:r>
      <w:r>
        <w:rPr>
          <w:rFonts w:ascii="Times New Roman" w:hAnsi="Times New Roman" w:eastAsia="宋体" w:cs="Times New Roman"/>
          <w:b/>
          <w:bCs w:val="0"/>
          <w:color w:val="auto"/>
          <w:kern w:val="0"/>
          <w:sz w:val="24"/>
          <w:szCs w:val="32"/>
          <w:lang w:val="en-US" w:eastAsia="zh-CN" w:bidi="ar-SA"/>
        </w:rPr>
        <w:t xml:space="preserve">.2.2 </w:t>
      </w:r>
      <w:r>
        <w:rPr>
          <w:rFonts w:hint="eastAsia" w:ascii="Times New Roman" w:hAnsi="Times New Roman" w:eastAsia="宋体" w:cs="Times New Roman"/>
          <w:b/>
          <w:bCs w:val="0"/>
          <w:color w:val="auto"/>
          <w:kern w:val="0"/>
          <w:sz w:val="24"/>
          <w:szCs w:val="32"/>
          <w:lang w:val="en-US" w:eastAsia="zh-CN" w:bidi="ar-SA"/>
        </w:rPr>
        <w:t>监测结果分析与评价</w:t>
      </w:r>
      <w:bookmarkEnd w:id="188"/>
      <w:bookmarkEnd w:id="189"/>
    </w:p>
    <w:bookmarkEnd w:id="38"/>
    <w:bookmarkEnd w:id="39"/>
    <w:bookmarkEnd w:id="40"/>
    <w:bookmarkEnd w:id="41"/>
    <w:bookmarkEnd w:id="42"/>
    <w:bookmarkEnd w:id="43"/>
    <w:bookmarkEnd w:id="44"/>
    <w:bookmarkEnd w:id="45"/>
    <w:bookmarkEnd w:id="46"/>
    <w:bookmarkEnd w:id="47"/>
    <w:bookmarkEnd w:id="166"/>
    <w:bookmarkEnd w:id="167"/>
    <w:p w14:paraId="44FE95CE">
      <w:pPr>
        <w:pStyle w:val="98"/>
        <w:rPr>
          <w:color w:val="auto"/>
        </w:rPr>
      </w:pPr>
      <w:bookmarkStart w:id="190" w:name="_Toc298750319"/>
      <w:bookmarkStart w:id="191" w:name="_Toc22716314"/>
      <w:bookmarkStart w:id="192" w:name="_Toc187830027"/>
      <w:bookmarkStart w:id="193" w:name="_Toc516646365"/>
      <w:bookmarkStart w:id="194" w:name="_Toc450811178"/>
      <w:bookmarkStart w:id="195" w:name="_Toc516882483"/>
      <w:bookmarkStart w:id="196" w:name="_Toc22716441"/>
      <w:bookmarkStart w:id="197" w:name="_Toc533797450"/>
      <w:bookmarkStart w:id="198" w:name="_Toc65582223"/>
      <w:bookmarkStart w:id="199" w:name="_Toc286754860"/>
      <w:bookmarkStart w:id="200" w:name="_Toc114245882"/>
      <w:bookmarkStart w:id="201" w:name="_Toc237075117"/>
      <w:bookmarkStart w:id="202" w:name="_Toc66000258"/>
      <w:bookmarkStart w:id="203" w:name="_Toc75346430"/>
      <w:bookmarkStart w:id="204" w:name="_Toc106965841"/>
      <w:bookmarkStart w:id="205" w:name="_Toc292191908"/>
      <w:bookmarkStart w:id="206" w:name="_Toc132099632"/>
      <w:bookmarkStart w:id="207" w:name="_Toc114380179"/>
      <w:bookmarkStart w:id="208" w:name="_Toc114245980"/>
      <w:bookmarkStart w:id="209" w:name="_Toc51482791"/>
      <w:bookmarkStart w:id="210" w:name="_Toc114308289"/>
      <w:bookmarkStart w:id="211" w:name="_Toc198447145"/>
      <w:bookmarkStart w:id="212" w:name="_Toc103214673"/>
      <w:bookmarkStart w:id="213" w:name="_Toc54065340"/>
      <w:bookmarkStart w:id="214" w:name="_Toc298750540"/>
      <w:bookmarkStart w:id="215" w:name="_Toc51421561"/>
      <w:r>
        <w:rPr>
          <w:rFonts w:hint="eastAsia"/>
          <w:color w:val="auto"/>
        </w:rPr>
        <w:t>1</w:t>
      </w:r>
      <w:r>
        <w:rPr>
          <w:color w:val="auto"/>
        </w:rPr>
        <w:t>.</w:t>
      </w:r>
      <w:r>
        <w:rPr>
          <w:rFonts w:hint="eastAsia"/>
          <w:color w:val="auto"/>
        </w:rPr>
        <w:t xml:space="preserve"> 现状监测点位</w:t>
      </w:r>
    </w:p>
    <w:p w14:paraId="56EC0905">
      <w:pPr>
        <w:spacing w:line="300" w:lineRule="auto"/>
        <w:ind w:firstLine="480" w:firstLineChars="200"/>
        <w:rPr>
          <w:rFonts w:ascii="Times New Roman" w:hAnsi="Times New Roman" w:eastAsia="宋体" w:cs="Times New Roman"/>
          <w:color w:val="auto"/>
          <w:highlight w:val="yellow"/>
        </w:rPr>
      </w:pPr>
      <w:r>
        <w:rPr>
          <w:rFonts w:hint="eastAsia" w:ascii="Times New Roman" w:hAnsi="Times New Roman" w:eastAsia="宋体" w:cs="Times New Roman"/>
          <w:color w:val="auto"/>
          <w:sz w:val="24"/>
        </w:rPr>
        <w:t>声环境敏感点现状监测结果及达标分析见表</w:t>
      </w:r>
      <w:r>
        <w:rPr>
          <w:rFonts w:ascii="Times New Roman" w:hAnsi="Times New Roman" w:eastAsia="宋体" w:cs="Times New Roman"/>
          <w:color w:val="auto"/>
          <w:sz w:val="24"/>
        </w:rPr>
        <w:t>3.2-3</w:t>
      </w:r>
      <w:r>
        <w:rPr>
          <w:rFonts w:hint="eastAsia" w:ascii="Times New Roman" w:hAnsi="Times New Roman" w:eastAsia="宋体" w:cs="Times New Roman"/>
          <w:color w:val="auto"/>
          <w:sz w:val="24"/>
        </w:rPr>
        <w:t>。</w:t>
      </w:r>
    </w:p>
    <w:p w14:paraId="4895AC4F">
      <w:pPr>
        <w:spacing w:line="300" w:lineRule="auto"/>
        <w:ind w:firstLine="538" w:firstLineChars="217"/>
        <w:rPr>
          <w:color w:val="FF0000"/>
          <w:spacing w:val="4"/>
          <w:sz w:val="24"/>
          <w:highlight w:val="yellow"/>
        </w:rPr>
        <w:sectPr>
          <w:headerReference r:id="rId38" w:type="default"/>
          <w:pgSz w:w="11906" w:h="16838"/>
          <w:pgMar w:top="1440" w:right="1797" w:bottom="1560" w:left="1797" w:header="851" w:footer="992" w:gutter="0"/>
          <w:pgBorders>
            <w:top w:val="none" w:sz="0" w:space="0"/>
            <w:left w:val="none" w:sz="0" w:space="0"/>
            <w:bottom w:val="none" w:sz="0" w:space="0"/>
            <w:right w:val="none" w:sz="0" w:space="0"/>
          </w:pgBorders>
          <w:cols w:space="720" w:num="1"/>
          <w:docGrid w:linePitch="312" w:charSpace="0"/>
        </w:sectPr>
      </w:pPr>
    </w:p>
    <w:p w14:paraId="33CDFE6C">
      <w:pPr>
        <w:spacing w:beforeLines="50"/>
        <w:jc w:val="center"/>
        <w:rPr>
          <w:rFonts w:ascii="Times New Roman" w:hAnsi="Times New Roman" w:eastAsia="宋体" w:cs="Times New Roman"/>
          <w:b/>
          <w:bCs/>
          <w:color w:val="auto"/>
          <w:szCs w:val="21"/>
        </w:rPr>
      </w:pPr>
      <w:r>
        <w:rPr>
          <w:rFonts w:hint="eastAsia" w:ascii="Times New Roman" w:hAnsi="Times New Roman" w:eastAsia="宋体" w:cs="Times New Roman"/>
          <w:b/>
          <w:bCs/>
          <w:color w:val="auto"/>
          <w:spacing w:val="4"/>
          <w:szCs w:val="21"/>
        </w:rPr>
        <w:t>表</w:t>
      </w:r>
      <w:r>
        <w:rPr>
          <w:rFonts w:ascii="Times New Roman" w:hAnsi="Times New Roman" w:eastAsia="宋体" w:cs="Times New Roman"/>
          <w:b/>
          <w:bCs/>
          <w:color w:val="auto"/>
          <w:spacing w:val="4"/>
          <w:szCs w:val="21"/>
        </w:rPr>
        <w:t xml:space="preserve">3.2-3 </w:t>
      </w:r>
      <w:r>
        <w:rPr>
          <w:rFonts w:hint="eastAsia" w:ascii="Times New Roman" w:hAnsi="Times New Roman" w:eastAsia="宋体" w:cs="Times New Roman"/>
          <w:b/>
          <w:bCs/>
          <w:color w:val="auto"/>
          <w:spacing w:val="4"/>
          <w:szCs w:val="21"/>
        </w:rPr>
        <w:t xml:space="preserve"> </w:t>
      </w:r>
      <w:r>
        <w:rPr>
          <w:rFonts w:ascii="Times New Roman" w:hAnsi="Times New Roman" w:eastAsia="宋体" w:cs="Times New Roman"/>
          <w:b/>
          <w:bCs/>
          <w:color w:val="auto"/>
          <w:szCs w:val="21"/>
        </w:rPr>
        <w:t>拟建</w:t>
      </w:r>
      <w:r>
        <w:rPr>
          <w:rFonts w:hint="eastAsia" w:ascii="Times New Roman" w:hAnsi="Times New Roman" w:eastAsia="宋体" w:cs="Times New Roman"/>
          <w:b/>
          <w:bCs/>
          <w:color w:val="auto"/>
          <w:szCs w:val="21"/>
        </w:rPr>
        <w:t>公路敏感点声</w:t>
      </w:r>
      <w:r>
        <w:rPr>
          <w:rFonts w:ascii="Times New Roman" w:hAnsi="Times New Roman" w:eastAsia="宋体" w:cs="Times New Roman"/>
          <w:b/>
          <w:bCs/>
          <w:color w:val="auto"/>
          <w:szCs w:val="21"/>
        </w:rPr>
        <w:t>环境</w:t>
      </w:r>
      <w:r>
        <w:rPr>
          <w:rFonts w:hint="eastAsia" w:ascii="Times New Roman" w:hAnsi="Times New Roman" w:eastAsia="宋体" w:cs="Times New Roman"/>
          <w:b/>
          <w:bCs/>
          <w:color w:val="auto"/>
          <w:szCs w:val="21"/>
        </w:rPr>
        <w:t>现状</w:t>
      </w:r>
      <w:r>
        <w:rPr>
          <w:rFonts w:ascii="Times New Roman" w:hAnsi="Times New Roman" w:eastAsia="宋体" w:cs="Times New Roman"/>
          <w:b/>
          <w:bCs/>
          <w:color w:val="auto"/>
          <w:szCs w:val="21"/>
        </w:rPr>
        <w:t>监测结果及达标分析表</w:t>
      </w:r>
    </w:p>
    <w:tbl>
      <w:tblPr>
        <w:tblStyle w:val="22"/>
        <w:tblW w:w="5000" w:type="pct"/>
        <w:jc w:val="center"/>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42"/>
        <w:gridCol w:w="1352"/>
        <w:gridCol w:w="1133"/>
        <w:gridCol w:w="2268"/>
        <w:gridCol w:w="1417"/>
        <w:gridCol w:w="849"/>
        <w:gridCol w:w="1417"/>
        <w:gridCol w:w="950"/>
        <w:gridCol w:w="950"/>
        <w:gridCol w:w="950"/>
        <w:gridCol w:w="970"/>
        <w:gridCol w:w="1057"/>
      </w:tblGrid>
      <w:tr w14:paraId="744B4DF5">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264" w:type="pct"/>
            <w:vMerge w:val="restart"/>
            <w:noWrap/>
            <w:vAlign w:val="center"/>
          </w:tcPr>
          <w:p w14:paraId="04403080">
            <w:pPr>
              <w:spacing w:line="240" w:lineRule="exact"/>
              <w:jc w:val="center"/>
              <w:rPr>
                <w:rFonts w:ascii="Times New Roman" w:hAnsi="Times New Roman" w:eastAsia="宋体" w:cs="Times New Roman"/>
                <w:b/>
                <w:color w:val="auto"/>
                <w:kern w:val="0"/>
              </w:rPr>
            </w:pPr>
            <w:r>
              <w:rPr>
                <w:rFonts w:hint="eastAsia" w:ascii="Times New Roman" w:hAnsi="Times New Roman" w:eastAsia="宋体" w:cs="Times New Roman"/>
                <w:b/>
                <w:color w:val="auto"/>
                <w:kern w:val="0"/>
              </w:rPr>
              <w:t>序号</w:t>
            </w:r>
          </w:p>
        </w:tc>
        <w:tc>
          <w:tcPr>
            <w:tcW w:w="481" w:type="pct"/>
            <w:vMerge w:val="restart"/>
            <w:noWrap/>
            <w:vAlign w:val="center"/>
          </w:tcPr>
          <w:p w14:paraId="7EBE9367">
            <w:pPr>
              <w:spacing w:line="240" w:lineRule="exact"/>
              <w:jc w:val="center"/>
              <w:rPr>
                <w:rFonts w:ascii="Times New Roman" w:hAnsi="Times New Roman" w:eastAsia="宋体" w:cs="Times New Roman"/>
                <w:b/>
                <w:color w:val="auto"/>
                <w:kern w:val="0"/>
              </w:rPr>
            </w:pPr>
            <w:r>
              <w:rPr>
                <w:rFonts w:ascii="Times New Roman" w:hAnsi="Times New Roman" w:eastAsia="宋体" w:cs="Times New Roman"/>
                <w:b/>
                <w:color w:val="auto"/>
                <w:kern w:val="0"/>
              </w:rPr>
              <w:t>监测点位</w:t>
            </w:r>
          </w:p>
        </w:tc>
        <w:tc>
          <w:tcPr>
            <w:tcW w:w="1210" w:type="pct"/>
            <w:gridSpan w:val="2"/>
            <w:vMerge w:val="restart"/>
            <w:noWrap/>
            <w:vAlign w:val="center"/>
          </w:tcPr>
          <w:p w14:paraId="0FA496C5">
            <w:pPr>
              <w:spacing w:line="240" w:lineRule="exact"/>
              <w:jc w:val="center"/>
              <w:rPr>
                <w:rFonts w:ascii="Times New Roman" w:hAnsi="Times New Roman" w:eastAsia="宋体" w:cs="Times New Roman"/>
                <w:b/>
                <w:color w:val="auto"/>
                <w:kern w:val="0"/>
              </w:rPr>
            </w:pPr>
            <w:r>
              <w:rPr>
                <w:rFonts w:ascii="Times New Roman" w:hAnsi="Times New Roman" w:eastAsia="宋体" w:cs="Times New Roman"/>
                <w:b/>
                <w:color w:val="auto"/>
                <w:kern w:val="0"/>
              </w:rPr>
              <w:t>噪声类型</w:t>
            </w:r>
          </w:p>
        </w:tc>
        <w:tc>
          <w:tcPr>
            <w:tcW w:w="806" w:type="pct"/>
            <w:gridSpan w:val="2"/>
            <w:noWrap/>
            <w:vAlign w:val="center"/>
          </w:tcPr>
          <w:p w14:paraId="63D4603D">
            <w:pPr>
              <w:spacing w:line="240" w:lineRule="exact"/>
              <w:jc w:val="center"/>
              <w:rPr>
                <w:rFonts w:ascii="Times New Roman" w:hAnsi="Times New Roman" w:eastAsia="宋体" w:cs="Times New Roman"/>
                <w:b/>
                <w:color w:val="auto"/>
                <w:kern w:val="0"/>
              </w:rPr>
            </w:pPr>
            <w:r>
              <w:rPr>
                <w:rFonts w:ascii="Times New Roman" w:hAnsi="Times New Roman" w:eastAsia="宋体" w:cs="Times New Roman"/>
                <w:b/>
                <w:color w:val="auto"/>
                <w:kern w:val="0"/>
              </w:rPr>
              <w:t>监测时间</w:t>
            </w:r>
          </w:p>
        </w:tc>
        <w:tc>
          <w:tcPr>
            <w:tcW w:w="504" w:type="pct"/>
            <w:vMerge w:val="restart"/>
            <w:vAlign w:val="center"/>
          </w:tcPr>
          <w:p w14:paraId="04832C99">
            <w:pPr>
              <w:spacing w:line="240" w:lineRule="exact"/>
              <w:jc w:val="center"/>
              <w:rPr>
                <w:rFonts w:ascii="Times New Roman" w:hAnsi="Times New Roman" w:eastAsia="宋体" w:cs="Times New Roman"/>
                <w:b/>
                <w:color w:val="auto"/>
                <w:kern w:val="0"/>
              </w:rPr>
            </w:pPr>
            <w:r>
              <w:rPr>
                <w:rFonts w:hint="eastAsia" w:ascii="Times New Roman" w:hAnsi="Times New Roman" w:eastAsia="宋体" w:cs="Times New Roman"/>
                <w:b/>
                <w:bCs/>
                <w:color w:val="auto"/>
              </w:rPr>
              <w:t>监测结果Leq（dB）</w:t>
            </w:r>
          </w:p>
        </w:tc>
        <w:tc>
          <w:tcPr>
            <w:tcW w:w="1014" w:type="pct"/>
            <w:gridSpan w:val="3"/>
            <w:noWrap/>
            <w:vAlign w:val="center"/>
          </w:tcPr>
          <w:p w14:paraId="04B8926D">
            <w:pPr>
              <w:spacing w:line="240" w:lineRule="exact"/>
              <w:jc w:val="center"/>
              <w:rPr>
                <w:rFonts w:ascii="Times New Roman" w:hAnsi="Times New Roman" w:eastAsia="宋体" w:cs="Times New Roman"/>
                <w:b/>
                <w:color w:val="auto"/>
                <w:kern w:val="0"/>
              </w:rPr>
            </w:pPr>
            <w:r>
              <w:rPr>
                <w:rFonts w:ascii="Times New Roman" w:hAnsi="Times New Roman" w:eastAsia="宋体" w:cs="Times New Roman"/>
                <w:b/>
                <w:color w:val="auto"/>
                <w:kern w:val="0"/>
              </w:rPr>
              <w:t>车流量（辆/</w:t>
            </w:r>
            <w:r>
              <w:rPr>
                <w:rFonts w:hint="eastAsia" w:ascii="Times New Roman" w:hAnsi="Times New Roman" w:eastAsia="宋体" w:cs="Times New Roman"/>
                <w:b/>
                <w:color w:val="auto"/>
                <w:kern w:val="0"/>
              </w:rPr>
              <w:t>h</w:t>
            </w:r>
            <w:r>
              <w:rPr>
                <w:rFonts w:ascii="Times New Roman" w:hAnsi="Times New Roman" w:eastAsia="宋体" w:cs="Times New Roman"/>
                <w:b/>
                <w:color w:val="auto"/>
                <w:kern w:val="0"/>
              </w:rPr>
              <w:t>）</w:t>
            </w:r>
          </w:p>
        </w:tc>
        <w:tc>
          <w:tcPr>
            <w:tcW w:w="345" w:type="pct"/>
            <w:vMerge w:val="restart"/>
            <w:vAlign w:val="center"/>
          </w:tcPr>
          <w:p w14:paraId="60C072DC">
            <w:pPr>
              <w:spacing w:line="240" w:lineRule="exact"/>
              <w:jc w:val="center"/>
              <w:rPr>
                <w:rFonts w:ascii="Times New Roman" w:hAnsi="Times New Roman" w:eastAsia="宋体" w:cs="Times New Roman"/>
                <w:b/>
                <w:color w:val="auto"/>
                <w:kern w:val="0"/>
              </w:rPr>
            </w:pPr>
            <w:r>
              <w:rPr>
                <w:rFonts w:ascii="Times New Roman" w:hAnsi="Times New Roman" w:eastAsia="宋体" w:cs="Times New Roman"/>
                <w:b/>
                <w:color w:val="auto"/>
                <w:kern w:val="0"/>
              </w:rPr>
              <w:t>评价标准</w:t>
            </w:r>
          </w:p>
        </w:tc>
        <w:tc>
          <w:tcPr>
            <w:tcW w:w="376" w:type="pct"/>
            <w:vMerge w:val="restart"/>
            <w:noWrap/>
            <w:vAlign w:val="center"/>
          </w:tcPr>
          <w:p w14:paraId="79F33054">
            <w:pPr>
              <w:spacing w:line="240" w:lineRule="exact"/>
              <w:jc w:val="center"/>
              <w:rPr>
                <w:rFonts w:ascii="Times New Roman" w:hAnsi="Times New Roman" w:eastAsia="宋体" w:cs="Times New Roman"/>
                <w:b/>
                <w:color w:val="auto"/>
                <w:kern w:val="0"/>
              </w:rPr>
            </w:pPr>
            <w:r>
              <w:rPr>
                <w:rFonts w:ascii="Times New Roman" w:hAnsi="Times New Roman" w:eastAsia="宋体" w:cs="Times New Roman"/>
                <w:b/>
                <w:color w:val="auto"/>
                <w:kern w:val="0"/>
              </w:rPr>
              <w:t>达标情况</w:t>
            </w:r>
          </w:p>
        </w:tc>
      </w:tr>
      <w:tr w14:paraId="37105855">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264" w:type="pct"/>
            <w:vMerge w:val="continue"/>
            <w:vAlign w:val="center"/>
          </w:tcPr>
          <w:p w14:paraId="4CEFCCCB">
            <w:pPr>
              <w:spacing w:line="240" w:lineRule="exact"/>
              <w:jc w:val="center"/>
              <w:rPr>
                <w:rFonts w:ascii="Times New Roman" w:hAnsi="Times New Roman" w:eastAsia="宋体" w:cs="Times New Roman"/>
                <w:b/>
                <w:color w:val="auto"/>
                <w:kern w:val="0"/>
              </w:rPr>
            </w:pPr>
          </w:p>
        </w:tc>
        <w:tc>
          <w:tcPr>
            <w:tcW w:w="481" w:type="pct"/>
            <w:vMerge w:val="continue"/>
            <w:vAlign w:val="center"/>
          </w:tcPr>
          <w:p w14:paraId="5B4E9986">
            <w:pPr>
              <w:spacing w:line="240" w:lineRule="exact"/>
              <w:jc w:val="center"/>
              <w:rPr>
                <w:rFonts w:ascii="Times New Roman" w:hAnsi="Times New Roman" w:eastAsia="宋体" w:cs="Times New Roman"/>
                <w:b/>
                <w:color w:val="auto"/>
                <w:kern w:val="0"/>
              </w:rPr>
            </w:pPr>
          </w:p>
        </w:tc>
        <w:tc>
          <w:tcPr>
            <w:tcW w:w="1210" w:type="pct"/>
            <w:gridSpan w:val="2"/>
            <w:vMerge w:val="continue"/>
            <w:vAlign w:val="center"/>
          </w:tcPr>
          <w:p w14:paraId="6B04EE67">
            <w:pPr>
              <w:spacing w:line="240" w:lineRule="exact"/>
              <w:jc w:val="center"/>
              <w:rPr>
                <w:rFonts w:ascii="Times New Roman" w:hAnsi="Times New Roman" w:eastAsia="宋体" w:cs="Times New Roman"/>
                <w:b/>
                <w:color w:val="auto"/>
                <w:kern w:val="0"/>
              </w:rPr>
            </w:pPr>
          </w:p>
        </w:tc>
        <w:tc>
          <w:tcPr>
            <w:tcW w:w="504" w:type="pct"/>
            <w:vAlign w:val="center"/>
          </w:tcPr>
          <w:p w14:paraId="324DAF00">
            <w:pPr>
              <w:spacing w:line="240" w:lineRule="exact"/>
              <w:jc w:val="center"/>
              <w:rPr>
                <w:rFonts w:ascii="Times New Roman" w:hAnsi="Times New Roman" w:eastAsia="宋体" w:cs="Times New Roman"/>
                <w:b/>
                <w:color w:val="auto"/>
                <w:kern w:val="0"/>
              </w:rPr>
            </w:pPr>
            <w:r>
              <w:rPr>
                <w:rFonts w:ascii="Times New Roman" w:hAnsi="Times New Roman" w:eastAsia="宋体" w:cs="Times New Roman"/>
                <w:b/>
                <w:color w:val="auto"/>
                <w:kern w:val="0"/>
              </w:rPr>
              <w:t>日期</w:t>
            </w:r>
          </w:p>
        </w:tc>
        <w:tc>
          <w:tcPr>
            <w:tcW w:w="302" w:type="pct"/>
            <w:vAlign w:val="center"/>
          </w:tcPr>
          <w:p w14:paraId="69B756CA">
            <w:pPr>
              <w:spacing w:line="240" w:lineRule="exact"/>
              <w:jc w:val="center"/>
              <w:rPr>
                <w:rFonts w:ascii="Times New Roman" w:hAnsi="Times New Roman" w:eastAsia="宋体" w:cs="Times New Roman"/>
                <w:b/>
                <w:color w:val="auto"/>
                <w:kern w:val="0"/>
              </w:rPr>
            </w:pPr>
            <w:r>
              <w:rPr>
                <w:rFonts w:ascii="Times New Roman" w:hAnsi="Times New Roman" w:eastAsia="宋体" w:cs="Times New Roman"/>
                <w:b/>
                <w:color w:val="auto"/>
                <w:kern w:val="0"/>
              </w:rPr>
              <w:t>时段</w:t>
            </w:r>
          </w:p>
        </w:tc>
        <w:tc>
          <w:tcPr>
            <w:tcW w:w="504" w:type="pct"/>
            <w:vMerge w:val="continue"/>
            <w:vAlign w:val="center"/>
          </w:tcPr>
          <w:p w14:paraId="008DA219">
            <w:pPr>
              <w:spacing w:line="240" w:lineRule="exact"/>
              <w:jc w:val="center"/>
              <w:rPr>
                <w:rFonts w:ascii="Times New Roman" w:hAnsi="Times New Roman" w:eastAsia="宋体" w:cs="Times New Roman"/>
                <w:b/>
                <w:color w:val="auto"/>
              </w:rPr>
            </w:pPr>
          </w:p>
        </w:tc>
        <w:tc>
          <w:tcPr>
            <w:tcW w:w="338" w:type="pct"/>
            <w:noWrap/>
            <w:vAlign w:val="center"/>
          </w:tcPr>
          <w:p w14:paraId="4F541F13">
            <w:pPr>
              <w:spacing w:line="240" w:lineRule="exact"/>
              <w:jc w:val="center"/>
              <w:rPr>
                <w:rFonts w:ascii="Times New Roman" w:hAnsi="Times New Roman" w:eastAsia="宋体" w:cs="Times New Roman"/>
                <w:b/>
                <w:color w:val="auto"/>
                <w:kern w:val="0"/>
              </w:rPr>
            </w:pPr>
            <w:r>
              <w:rPr>
                <w:rFonts w:ascii="Times New Roman" w:hAnsi="Times New Roman" w:eastAsia="宋体" w:cs="Times New Roman"/>
                <w:b/>
                <w:color w:val="auto"/>
                <w:kern w:val="0"/>
              </w:rPr>
              <w:t>大</w:t>
            </w:r>
          </w:p>
        </w:tc>
        <w:tc>
          <w:tcPr>
            <w:tcW w:w="338" w:type="pct"/>
            <w:noWrap/>
            <w:vAlign w:val="center"/>
          </w:tcPr>
          <w:p w14:paraId="4F2521BE">
            <w:pPr>
              <w:spacing w:line="240" w:lineRule="exact"/>
              <w:jc w:val="center"/>
              <w:rPr>
                <w:rFonts w:ascii="Times New Roman" w:hAnsi="Times New Roman" w:eastAsia="宋体" w:cs="Times New Roman"/>
                <w:b/>
                <w:color w:val="auto"/>
                <w:kern w:val="0"/>
              </w:rPr>
            </w:pPr>
            <w:r>
              <w:rPr>
                <w:rFonts w:ascii="Times New Roman" w:hAnsi="Times New Roman" w:eastAsia="宋体" w:cs="Times New Roman"/>
                <w:b/>
                <w:color w:val="auto"/>
                <w:kern w:val="0"/>
              </w:rPr>
              <w:t>中</w:t>
            </w:r>
          </w:p>
        </w:tc>
        <w:tc>
          <w:tcPr>
            <w:tcW w:w="338" w:type="pct"/>
            <w:noWrap/>
            <w:vAlign w:val="center"/>
          </w:tcPr>
          <w:p w14:paraId="13EF2B42">
            <w:pPr>
              <w:spacing w:line="240" w:lineRule="exact"/>
              <w:jc w:val="center"/>
              <w:rPr>
                <w:rFonts w:ascii="Times New Roman" w:hAnsi="Times New Roman" w:eastAsia="宋体" w:cs="Times New Roman"/>
                <w:b/>
                <w:color w:val="auto"/>
                <w:kern w:val="0"/>
              </w:rPr>
            </w:pPr>
            <w:r>
              <w:rPr>
                <w:rFonts w:ascii="Times New Roman" w:hAnsi="Times New Roman" w:eastAsia="宋体" w:cs="Times New Roman"/>
                <w:b/>
                <w:color w:val="auto"/>
                <w:kern w:val="0"/>
              </w:rPr>
              <w:t>小</w:t>
            </w:r>
          </w:p>
        </w:tc>
        <w:tc>
          <w:tcPr>
            <w:tcW w:w="345" w:type="pct"/>
            <w:vMerge w:val="continue"/>
            <w:vAlign w:val="center"/>
          </w:tcPr>
          <w:p w14:paraId="426B6ADA">
            <w:pPr>
              <w:spacing w:line="240" w:lineRule="exact"/>
              <w:jc w:val="center"/>
              <w:rPr>
                <w:rFonts w:ascii="Times New Roman" w:hAnsi="Times New Roman" w:eastAsia="宋体" w:cs="Times New Roman"/>
                <w:b/>
                <w:color w:val="auto"/>
                <w:kern w:val="0"/>
              </w:rPr>
            </w:pPr>
          </w:p>
        </w:tc>
        <w:tc>
          <w:tcPr>
            <w:tcW w:w="376" w:type="pct"/>
            <w:vMerge w:val="continue"/>
            <w:vAlign w:val="center"/>
          </w:tcPr>
          <w:p w14:paraId="30165FD8">
            <w:pPr>
              <w:spacing w:line="240" w:lineRule="exact"/>
              <w:jc w:val="center"/>
              <w:rPr>
                <w:rFonts w:ascii="Times New Roman" w:hAnsi="Times New Roman" w:eastAsia="宋体" w:cs="Times New Roman"/>
                <w:b/>
                <w:color w:val="auto"/>
                <w:kern w:val="0"/>
              </w:rPr>
            </w:pPr>
          </w:p>
        </w:tc>
      </w:tr>
      <w:tr w14:paraId="5A63B1BC">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4" w:type="pct"/>
            <w:vMerge w:val="restart"/>
            <w:noWrap/>
            <w:vAlign w:val="center"/>
          </w:tcPr>
          <w:p w14:paraId="4C1854DA">
            <w:pPr>
              <w:spacing w:line="240" w:lineRule="exact"/>
              <w:jc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w:t>
            </w:r>
          </w:p>
        </w:tc>
        <w:tc>
          <w:tcPr>
            <w:tcW w:w="481" w:type="pct"/>
            <w:vMerge w:val="restart"/>
            <w:noWrap/>
            <w:vAlign w:val="center"/>
          </w:tcPr>
          <w:p w14:paraId="2EED0BD6">
            <w:pPr>
              <w:spacing w:line="240" w:lineRule="exact"/>
              <w:jc w:val="center"/>
              <w:rPr>
                <w:rFonts w:ascii="Times New Roman" w:hAnsi="Times New Roman" w:cs="Times New Roman" w:eastAsiaTheme="minorEastAsia"/>
                <w:color w:val="auto"/>
              </w:rPr>
            </w:pPr>
            <w:r>
              <w:rPr>
                <w:rFonts w:hint="eastAsia" w:ascii="Times New Roman" w:cs="Times New Roman" w:hAnsiTheme="minorEastAsia" w:eastAsiaTheme="minorEastAsia"/>
                <w:color w:val="auto"/>
              </w:rPr>
              <w:t>格达良乡</w:t>
            </w:r>
            <w:r>
              <w:rPr>
                <w:rFonts w:ascii="Times New Roman" w:cs="Times New Roman" w:hAnsiTheme="minorEastAsia" w:eastAsiaTheme="minorEastAsia"/>
                <w:color w:val="auto"/>
              </w:rPr>
              <w:t>卫生院</w:t>
            </w:r>
          </w:p>
        </w:tc>
        <w:tc>
          <w:tcPr>
            <w:tcW w:w="403" w:type="pct"/>
            <w:vMerge w:val="restart"/>
            <w:vAlign w:val="center"/>
          </w:tcPr>
          <w:p w14:paraId="7D11C173">
            <w:pPr>
              <w:spacing w:line="240" w:lineRule="exact"/>
              <w:jc w:val="center"/>
              <w:rPr>
                <w:rFonts w:ascii="Times New Roman" w:hAnsi="Times New Roman" w:eastAsia="宋体" w:cs="Times New Roman"/>
                <w:color w:val="auto"/>
                <w:kern w:val="0"/>
              </w:rPr>
            </w:pPr>
            <w:r>
              <w:rPr>
                <w:rFonts w:ascii="Times New Roman" w:hAnsi="Times New Roman" w:eastAsia="宋体" w:cs="Times New Roman"/>
                <w:color w:val="auto"/>
                <w:kern w:val="0"/>
              </w:rPr>
              <w:t>环境噪声</w:t>
            </w:r>
          </w:p>
        </w:tc>
        <w:tc>
          <w:tcPr>
            <w:tcW w:w="807" w:type="pct"/>
            <w:vMerge w:val="restart"/>
            <w:vAlign w:val="center"/>
          </w:tcPr>
          <w:p w14:paraId="3D3454BF">
            <w:pPr>
              <w:spacing w:line="240" w:lineRule="exact"/>
              <w:jc w:val="center"/>
              <w:rPr>
                <w:rFonts w:ascii="Times New Roman" w:hAnsi="Times New Roman" w:eastAsia="宋体" w:cs="Times New Roman"/>
                <w:color w:val="auto"/>
                <w:kern w:val="0"/>
              </w:rPr>
            </w:pPr>
            <w:r>
              <w:rPr>
                <w:rFonts w:ascii="Times New Roman" w:hAnsi="Times New Roman" w:eastAsia="宋体" w:cs="Times New Roman"/>
                <w:color w:val="auto"/>
              </w:rPr>
              <w:t>临现有</w:t>
            </w:r>
            <w:r>
              <w:rPr>
                <w:rFonts w:hint="eastAsia" w:ascii="Times New Roman" w:hAnsi="Times New Roman" w:eastAsia="宋体" w:cs="Times New Roman"/>
                <w:color w:val="auto"/>
              </w:rPr>
              <w:t>G219</w:t>
            </w:r>
            <w:r>
              <w:rPr>
                <w:rFonts w:ascii="Times New Roman" w:hAnsi="Times New Roman" w:eastAsia="宋体" w:cs="Times New Roman"/>
                <w:color w:val="auto"/>
              </w:rPr>
              <w:t>第一排</w:t>
            </w:r>
            <w:r>
              <w:rPr>
                <w:rFonts w:hint="eastAsia" w:ascii="Times New Roman" w:hAnsi="Times New Roman" w:eastAsia="宋体" w:cs="Times New Roman"/>
                <w:color w:val="auto"/>
              </w:rPr>
              <w:t>住院楼1</w:t>
            </w:r>
            <w:r>
              <w:rPr>
                <w:rFonts w:ascii="Times New Roman" w:hAnsi="Times New Roman" w:eastAsia="宋体" w:cs="Times New Roman"/>
                <w:color w:val="auto"/>
              </w:rPr>
              <w:t>层</w:t>
            </w:r>
          </w:p>
        </w:tc>
        <w:tc>
          <w:tcPr>
            <w:tcW w:w="504" w:type="pct"/>
            <w:noWrap/>
            <w:vAlign w:val="center"/>
          </w:tcPr>
          <w:p w14:paraId="04CFA6F7">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2026.4.21</w:t>
            </w:r>
          </w:p>
        </w:tc>
        <w:tc>
          <w:tcPr>
            <w:tcW w:w="302" w:type="pct"/>
            <w:vAlign w:val="center"/>
          </w:tcPr>
          <w:p w14:paraId="370B6FB8">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昼间</w:t>
            </w:r>
          </w:p>
        </w:tc>
        <w:tc>
          <w:tcPr>
            <w:tcW w:w="504" w:type="pct"/>
            <w:vAlign w:val="center"/>
          </w:tcPr>
          <w:p w14:paraId="3155B04C">
            <w:pPr>
              <w:tabs>
                <w:tab w:val="left" w:pos="4326"/>
              </w:tabs>
              <w:adjustRightInd w:val="0"/>
              <w:snapToGrid w:val="0"/>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48</w:t>
            </w:r>
          </w:p>
        </w:tc>
        <w:tc>
          <w:tcPr>
            <w:tcW w:w="338" w:type="pct"/>
            <w:noWrap/>
            <w:vAlign w:val="center"/>
          </w:tcPr>
          <w:p w14:paraId="77706612">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46</w:t>
            </w:r>
          </w:p>
        </w:tc>
        <w:tc>
          <w:tcPr>
            <w:tcW w:w="338" w:type="pct"/>
            <w:noWrap/>
            <w:vAlign w:val="center"/>
          </w:tcPr>
          <w:p w14:paraId="23D51D81">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36</w:t>
            </w:r>
          </w:p>
        </w:tc>
        <w:tc>
          <w:tcPr>
            <w:tcW w:w="338" w:type="pct"/>
            <w:noWrap/>
            <w:vAlign w:val="center"/>
          </w:tcPr>
          <w:p w14:paraId="2F78135C">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120</w:t>
            </w:r>
          </w:p>
        </w:tc>
        <w:tc>
          <w:tcPr>
            <w:tcW w:w="345" w:type="pct"/>
            <w:vMerge w:val="restart"/>
            <w:noWrap/>
            <w:vAlign w:val="center"/>
          </w:tcPr>
          <w:p w14:paraId="2473AB6A">
            <w:pPr>
              <w:spacing w:line="240" w:lineRule="exact"/>
              <w:jc w:val="center"/>
              <w:rPr>
                <w:rFonts w:ascii="Times New Roman" w:hAnsi="Times New Roman" w:eastAsia="宋体" w:cs="Times New Roman"/>
                <w:color w:val="auto"/>
                <w:kern w:val="0"/>
              </w:rPr>
            </w:pPr>
            <w:r>
              <w:rPr>
                <w:rFonts w:ascii="Times New Roman" w:hAnsi="Times New Roman" w:eastAsia="宋体" w:cs="Times New Roman"/>
                <w:color w:val="auto"/>
                <w:kern w:val="0"/>
              </w:rPr>
              <w:t>2类</w:t>
            </w:r>
          </w:p>
        </w:tc>
        <w:tc>
          <w:tcPr>
            <w:tcW w:w="376" w:type="pct"/>
            <w:noWrap/>
            <w:vAlign w:val="center"/>
          </w:tcPr>
          <w:p w14:paraId="3DFCED7D">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55A31F14">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4" w:type="pct"/>
            <w:vMerge w:val="continue"/>
            <w:vAlign w:val="center"/>
          </w:tcPr>
          <w:p w14:paraId="77C5DD0C">
            <w:pPr>
              <w:spacing w:line="240" w:lineRule="exact"/>
              <w:jc w:val="center"/>
              <w:rPr>
                <w:rFonts w:ascii="Times New Roman" w:hAnsi="Times New Roman" w:eastAsia="宋体" w:cs="Times New Roman"/>
                <w:color w:val="auto"/>
                <w:kern w:val="0"/>
              </w:rPr>
            </w:pPr>
          </w:p>
        </w:tc>
        <w:tc>
          <w:tcPr>
            <w:tcW w:w="481" w:type="pct"/>
            <w:vMerge w:val="continue"/>
            <w:vAlign w:val="center"/>
          </w:tcPr>
          <w:p w14:paraId="6C53E0DB">
            <w:pPr>
              <w:spacing w:line="240" w:lineRule="exact"/>
              <w:jc w:val="center"/>
              <w:rPr>
                <w:rFonts w:ascii="Times New Roman" w:hAnsi="Times New Roman" w:eastAsia="宋体" w:cs="Times New Roman"/>
                <w:color w:val="auto"/>
                <w:kern w:val="0"/>
              </w:rPr>
            </w:pPr>
          </w:p>
        </w:tc>
        <w:tc>
          <w:tcPr>
            <w:tcW w:w="403" w:type="pct"/>
            <w:vMerge w:val="continue"/>
            <w:vAlign w:val="center"/>
          </w:tcPr>
          <w:p w14:paraId="79226C84">
            <w:pPr>
              <w:spacing w:line="240" w:lineRule="exact"/>
              <w:jc w:val="center"/>
              <w:rPr>
                <w:rFonts w:ascii="Times New Roman" w:hAnsi="Times New Roman" w:eastAsia="宋体" w:cs="Times New Roman"/>
                <w:color w:val="auto"/>
                <w:kern w:val="0"/>
              </w:rPr>
            </w:pPr>
          </w:p>
        </w:tc>
        <w:tc>
          <w:tcPr>
            <w:tcW w:w="807" w:type="pct"/>
            <w:vMerge w:val="continue"/>
            <w:vAlign w:val="center"/>
          </w:tcPr>
          <w:p w14:paraId="26E5C4A7">
            <w:pPr>
              <w:spacing w:line="240" w:lineRule="exact"/>
              <w:jc w:val="center"/>
              <w:rPr>
                <w:rFonts w:ascii="Times New Roman" w:hAnsi="Times New Roman" w:eastAsia="宋体" w:cs="Times New Roman"/>
                <w:color w:val="auto"/>
                <w:kern w:val="0"/>
              </w:rPr>
            </w:pPr>
          </w:p>
        </w:tc>
        <w:tc>
          <w:tcPr>
            <w:tcW w:w="504" w:type="pct"/>
            <w:noWrap/>
            <w:vAlign w:val="center"/>
          </w:tcPr>
          <w:p w14:paraId="6C15EBB5">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2026.4.22</w:t>
            </w:r>
          </w:p>
        </w:tc>
        <w:tc>
          <w:tcPr>
            <w:tcW w:w="302" w:type="pct"/>
            <w:vAlign w:val="center"/>
          </w:tcPr>
          <w:p w14:paraId="778F82DA">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夜间</w:t>
            </w:r>
          </w:p>
        </w:tc>
        <w:tc>
          <w:tcPr>
            <w:tcW w:w="504" w:type="pct"/>
            <w:vAlign w:val="center"/>
          </w:tcPr>
          <w:p w14:paraId="34E7F170">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42</w:t>
            </w:r>
          </w:p>
        </w:tc>
        <w:tc>
          <w:tcPr>
            <w:tcW w:w="338" w:type="pct"/>
            <w:noWrap/>
            <w:vAlign w:val="center"/>
          </w:tcPr>
          <w:p w14:paraId="008CD6EF">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27</w:t>
            </w:r>
          </w:p>
        </w:tc>
        <w:tc>
          <w:tcPr>
            <w:tcW w:w="338" w:type="pct"/>
            <w:noWrap/>
            <w:vAlign w:val="center"/>
          </w:tcPr>
          <w:p w14:paraId="2D6787CA">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9</w:t>
            </w:r>
          </w:p>
        </w:tc>
        <w:tc>
          <w:tcPr>
            <w:tcW w:w="338" w:type="pct"/>
            <w:noWrap/>
            <w:vAlign w:val="center"/>
          </w:tcPr>
          <w:p w14:paraId="7BA7952E">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33</w:t>
            </w:r>
          </w:p>
        </w:tc>
        <w:tc>
          <w:tcPr>
            <w:tcW w:w="345" w:type="pct"/>
            <w:vMerge w:val="continue"/>
            <w:noWrap/>
            <w:vAlign w:val="center"/>
          </w:tcPr>
          <w:p w14:paraId="222C2F17">
            <w:pPr>
              <w:spacing w:line="240" w:lineRule="exact"/>
              <w:jc w:val="center"/>
              <w:rPr>
                <w:rFonts w:ascii="Times New Roman" w:hAnsi="Times New Roman" w:eastAsia="宋体" w:cs="Times New Roman"/>
                <w:color w:val="auto"/>
                <w:kern w:val="0"/>
              </w:rPr>
            </w:pPr>
          </w:p>
        </w:tc>
        <w:tc>
          <w:tcPr>
            <w:tcW w:w="376" w:type="pct"/>
            <w:noWrap/>
            <w:vAlign w:val="center"/>
          </w:tcPr>
          <w:p w14:paraId="2DC2C8C0">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7B0529E7">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4" w:type="pct"/>
            <w:vMerge w:val="continue"/>
            <w:vAlign w:val="center"/>
          </w:tcPr>
          <w:p w14:paraId="62B3267E">
            <w:pPr>
              <w:spacing w:line="240" w:lineRule="exact"/>
              <w:jc w:val="center"/>
              <w:rPr>
                <w:rFonts w:ascii="Times New Roman" w:hAnsi="Times New Roman" w:eastAsia="宋体" w:cs="Times New Roman"/>
                <w:color w:val="auto"/>
                <w:kern w:val="0"/>
              </w:rPr>
            </w:pPr>
          </w:p>
        </w:tc>
        <w:tc>
          <w:tcPr>
            <w:tcW w:w="481" w:type="pct"/>
            <w:vMerge w:val="continue"/>
            <w:vAlign w:val="center"/>
          </w:tcPr>
          <w:p w14:paraId="77C70021">
            <w:pPr>
              <w:spacing w:line="240" w:lineRule="exact"/>
              <w:jc w:val="center"/>
              <w:rPr>
                <w:rFonts w:ascii="Times New Roman" w:hAnsi="Times New Roman" w:eastAsia="宋体" w:cs="Times New Roman"/>
                <w:color w:val="auto"/>
                <w:kern w:val="0"/>
              </w:rPr>
            </w:pPr>
          </w:p>
        </w:tc>
        <w:tc>
          <w:tcPr>
            <w:tcW w:w="403" w:type="pct"/>
            <w:vMerge w:val="continue"/>
            <w:vAlign w:val="center"/>
          </w:tcPr>
          <w:p w14:paraId="369ED867">
            <w:pPr>
              <w:spacing w:line="240" w:lineRule="exact"/>
              <w:jc w:val="center"/>
              <w:rPr>
                <w:rFonts w:ascii="Times New Roman" w:hAnsi="Times New Roman" w:eastAsia="宋体" w:cs="Times New Roman"/>
                <w:color w:val="auto"/>
                <w:kern w:val="0"/>
              </w:rPr>
            </w:pPr>
          </w:p>
        </w:tc>
        <w:tc>
          <w:tcPr>
            <w:tcW w:w="807" w:type="pct"/>
            <w:vMerge w:val="continue"/>
            <w:vAlign w:val="center"/>
          </w:tcPr>
          <w:p w14:paraId="77425B94">
            <w:pPr>
              <w:spacing w:line="240" w:lineRule="exact"/>
              <w:jc w:val="center"/>
              <w:rPr>
                <w:rFonts w:ascii="Times New Roman" w:hAnsi="Times New Roman" w:eastAsia="宋体" w:cs="Times New Roman"/>
                <w:color w:val="auto"/>
                <w:kern w:val="0"/>
              </w:rPr>
            </w:pPr>
          </w:p>
        </w:tc>
        <w:tc>
          <w:tcPr>
            <w:tcW w:w="504" w:type="pct"/>
            <w:noWrap/>
            <w:vAlign w:val="center"/>
          </w:tcPr>
          <w:p w14:paraId="1D622321">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2026.4.22</w:t>
            </w:r>
          </w:p>
        </w:tc>
        <w:tc>
          <w:tcPr>
            <w:tcW w:w="302" w:type="pct"/>
            <w:vAlign w:val="center"/>
          </w:tcPr>
          <w:p w14:paraId="637B2999">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昼间</w:t>
            </w:r>
          </w:p>
        </w:tc>
        <w:tc>
          <w:tcPr>
            <w:tcW w:w="504" w:type="pct"/>
            <w:vAlign w:val="center"/>
          </w:tcPr>
          <w:p w14:paraId="6750EF56">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47</w:t>
            </w:r>
          </w:p>
        </w:tc>
        <w:tc>
          <w:tcPr>
            <w:tcW w:w="338" w:type="pct"/>
            <w:noWrap/>
            <w:vAlign w:val="center"/>
          </w:tcPr>
          <w:p w14:paraId="3EEDBF33">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53</w:t>
            </w:r>
          </w:p>
        </w:tc>
        <w:tc>
          <w:tcPr>
            <w:tcW w:w="338" w:type="pct"/>
            <w:noWrap/>
            <w:vAlign w:val="center"/>
          </w:tcPr>
          <w:p w14:paraId="3C3FF425">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30</w:t>
            </w:r>
          </w:p>
        </w:tc>
        <w:tc>
          <w:tcPr>
            <w:tcW w:w="338" w:type="pct"/>
            <w:noWrap/>
            <w:vAlign w:val="center"/>
          </w:tcPr>
          <w:p w14:paraId="15374916">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117</w:t>
            </w:r>
          </w:p>
        </w:tc>
        <w:tc>
          <w:tcPr>
            <w:tcW w:w="345" w:type="pct"/>
            <w:vMerge w:val="continue"/>
            <w:noWrap/>
            <w:vAlign w:val="center"/>
          </w:tcPr>
          <w:p w14:paraId="0BFD2DE3">
            <w:pPr>
              <w:spacing w:line="240" w:lineRule="exact"/>
              <w:jc w:val="center"/>
              <w:rPr>
                <w:rFonts w:ascii="Times New Roman" w:hAnsi="Times New Roman" w:eastAsia="宋体" w:cs="Times New Roman"/>
                <w:color w:val="auto"/>
                <w:kern w:val="0"/>
              </w:rPr>
            </w:pPr>
          </w:p>
        </w:tc>
        <w:tc>
          <w:tcPr>
            <w:tcW w:w="376" w:type="pct"/>
            <w:noWrap/>
            <w:vAlign w:val="center"/>
          </w:tcPr>
          <w:p w14:paraId="5732461A">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3302DC50">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4" w:type="pct"/>
            <w:vMerge w:val="continue"/>
            <w:vAlign w:val="center"/>
          </w:tcPr>
          <w:p w14:paraId="65FECE17">
            <w:pPr>
              <w:spacing w:line="240" w:lineRule="exact"/>
              <w:jc w:val="center"/>
              <w:rPr>
                <w:rFonts w:ascii="Times New Roman" w:hAnsi="Times New Roman" w:eastAsia="宋体" w:cs="Times New Roman"/>
                <w:color w:val="auto"/>
                <w:kern w:val="0"/>
              </w:rPr>
            </w:pPr>
          </w:p>
        </w:tc>
        <w:tc>
          <w:tcPr>
            <w:tcW w:w="481" w:type="pct"/>
            <w:vMerge w:val="continue"/>
            <w:vAlign w:val="center"/>
          </w:tcPr>
          <w:p w14:paraId="7EAF5915">
            <w:pPr>
              <w:spacing w:line="240" w:lineRule="exact"/>
              <w:jc w:val="center"/>
              <w:rPr>
                <w:rFonts w:ascii="Times New Roman" w:hAnsi="Times New Roman" w:eastAsia="宋体" w:cs="Times New Roman"/>
                <w:color w:val="auto"/>
                <w:kern w:val="0"/>
              </w:rPr>
            </w:pPr>
          </w:p>
        </w:tc>
        <w:tc>
          <w:tcPr>
            <w:tcW w:w="403" w:type="pct"/>
            <w:vMerge w:val="continue"/>
            <w:vAlign w:val="center"/>
          </w:tcPr>
          <w:p w14:paraId="56E4815A">
            <w:pPr>
              <w:spacing w:line="240" w:lineRule="exact"/>
              <w:jc w:val="center"/>
              <w:rPr>
                <w:rFonts w:ascii="Times New Roman" w:hAnsi="Times New Roman" w:eastAsia="宋体" w:cs="Times New Roman"/>
                <w:color w:val="auto"/>
                <w:kern w:val="0"/>
              </w:rPr>
            </w:pPr>
          </w:p>
        </w:tc>
        <w:tc>
          <w:tcPr>
            <w:tcW w:w="807" w:type="pct"/>
            <w:vMerge w:val="continue"/>
            <w:vAlign w:val="center"/>
          </w:tcPr>
          <w:p w14:paraId="62C875B6">
            <w:pPr>
              <w:spacing w:line="240" w:lineRule="exact"/>
              <w:jc w:val="center"/>
              <w:rPr>
                <w:rFonts w:ascii="Times New Roman" w:hAnsi="Times New Roman" w:eastAsia="宋体" w:cs="Times New Roman"/>
                <w:color w:val="auto"/>
                <w:kern w:val="0"/>
              </w:rPr>
            </w:pPr>
          </w:p>
        </w:tc>
        <w:tc>
          <w:tcPr>
            <w:tcW w:w="504" w:type="pct"/>
            <w:noWrap/>
            <w:vAlign w:val="center"/>
          </w:tcPr>
          <w:p w14:paraId="2B9E54EF">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2026.4.23</w:t>
            </w:r>
          </w:p>
        </w:tc>
        <w:tc>
          <w:tcPr>
            <w:tcW w:w="302" w:type="pct"/>
            <w:vAlign w:val="center"/>
          </w:tcPr>
          <w:p w14:paraId="7EBAE9B1">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夜间</w:t>
            </w:r>
          </w:p>
        </w:tc>
        <w:tc>
          <w:tcPr>
            <w:tcW w:w="504" w:type="pct"/>
            <w:vAlign w:val="center"/>
          </w:tcPr>
          <w:p w14:paraId="566C668D">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41</w:t>
            </w:r>
          </w:p>
        </w:tc>
        <w:tc>
          <w:tcPr>
            <w:tcW w:w="338" w:type="pct"/>
            <w:noWrap/>
            <w:vAlign w:val="center"/>
          </w:tcPr>
          <w:p w14:paraId="34549DE2">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26</w:t>
            </w:r>
          </w:p>
        </w:tc>
        <w:tc>
          <w:tcPr>
            <w:tcW w:w="338" w:type="pct"/>
            <w:noWrap/>
            <w:vAlign w:val="center"/>
          </w:tcPr>
          <w:p w14:paraId="1BEA3303">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9</w:t>
            </w:r>
          </w:p>
        </w:tc>
        <w:tc>
          <w:tcPr>
            <w:tcW w:w="338" w:type="pct"/>
            <w:noWrap/>
            <w:vAlign w:val="center"/>
          </w:tcPr>
          <w:p w14:paraId="2E5DB650">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30</w:t>
            </w:r>
          </w:p>
        </w:tc>
        <w:tc>
          <w:tcPr>
            <w:tcW w:w="345" w:type="pct"/>
            <w:vMerge w:val="continue"/>
            <w:noWrap/>
            <w:vAlign w:val="center"/>
          </w:tcPr>
          <w:p w14:paraId="563DCD10">
            <w:pPr>
              <w:spacing w:line="240" w:lineRule="exact"/>
              <w:jc w:val="center"/>
              <w:rPr>
                <w:rFonts w:ascii="Times New Roman" w:hAnsi="Times New Roman" w:eastAsia="宋体" w:cs="Times New Roman"/>
                <w:color w:val="auto"/>
                <w:kern w:val="0"/>
              </w:rPr>
            </w:pPr>
          </w:p>
        </w:tc>
        <w:tc>
          <w:tcPr>
            <w:tcW w:w="376" w:type="pct"/>
            <w:noWrap/>
            <w:vAlign w:val="center"/>
          </w:tcPr>
          <w:p w14:paraId="4122A2A6">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1DC026B3">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4" w:type="pct"/>
            <w:vMerge w:val="continue"/>
            <w:noWrap/>
            <w:vAlign w:val="center"/>
          </w:tcPr>
          <w:p w14:paraId="400F4D5A">
            <w:pPr>
              <w:spacing w:line="240" w:lineRule="exact"/>
              <w:jc w:val="center"/>
              <w:rPr>
                <w:rFonts w:ascii="Times New Roman" w:hAnsi="Times New Roman" w:eastAsia="宋体" w:cs="Times New Roman"/>
                <w:color w:val="auto"/>
                <w:kern w:val="0"/>
              </w:rPr>
            </w:pPr>
          </w:p>
        </w:tc>
        <w:tc>
          <w:tcPr>
            <w:tcW w:w="481" w:type="pct"/>
            <w:vMerge w:val="continue"/>
            <w:noWrap/>
            <w:vAlign w:val="center"/>
          </w:tcPr>
          <w:p w14:paraId="10A46B14">
            <w:pPr>
              <w:spacing w:line="240" w:lineRule="exact"/>
              <w:jc w:val="center"/>
              <w:rPr>
                <w:rFonts w:ascii="Times New Roman" w:hAnsi="Times New Roman" w:eastAsia="宋体" w:cs="Times New Roman"/>
                <w:color w:val="auto"/>
                <w:kern w:val="0"/>
              </w:rPr>
            </w:pPr>
          </w:p>
        </w:tc>
        <w:tc>
          <w:tcPr>
            <w:tcW w:w="403" w:type="pct"/>
            <w:vMerge w:val="continue"/>
            <w:vAlign w:val="center"/>
          </w:tcPr>
          <w:p w14:paraId="29FFA899">
            <w:pPr>
              <w:spacing w:line="240" w:lineRule="exact"/>
              <w:jc w:val="center"/>
              <w:rPr>
                <w:rFonts w:ascii="Times New Roman" w:hAnsi="Times New Roman" w:eastAsia="宋体" w:cs="Times New Roman"/>
                <w:color w:val="auto"/>
                <w:kern w:val="0"/>
              </w:rPr>
            </w:pPr>
          </w:p>
        </w:tc>
        <w:tc>
          <w:tcPr>
            <w:tcW w:w="807" w:type="pct"/>
            <w:vMerge w:val="restart"/>
            <w:vAlign w:val="center"/>
          </w:tcPr>
          <w:p w14:paraId="54DE5A89">
            <w:pPr>
              <w:spacing w:line="240" w:lineRule="exact"/>
              <w:jc w:val="center"/>
              <w:rPr>
                <w:rFonts w:ascii="Times New Roman" w:hAnsi="Times New Roman" w:eastAsia="宋体" w:cs="Times New Roman"/>
                <w:color w:val="auto"/>
                <w:kern w:val="0"/>
              </w:rPr>
            </w:pPr>
            <w:r>
              <w:rPr>
                <w:rFonts w:ascii="Times New Roman" w:hAnsi="Times New Roman" w:eastAsia="宋体" w:cs="Times New Roman"/>
                <w:color w:val="auto"/>
              </w:rPr>
              <w:t>临现有</w:t>
            </w:r>
            <w:r>
              <w:rPr>
                <w:rFonts w:hint="eastAsia" w:ascii="Times New Roman" w:hAnsi="Times New Roman" w:eastAsia="宋体" w:cs="Times New Roman"/>
                <w:color w:val="auto"/>
              </w:rPr>
              <w:t>G219</w:t>
            </w:r>
            <w:r>
              <w:rPr>
                <w:rFonts w:ascii="Times New Roman" w:hAnsi="Times New Roman" w:eastAsia="宋体" w:cs="Times New Roman"/>
                <w:color w:val="auto"/>
              </w:rPr>
              <w:t>第一排</w:t>
            </w:r>
            <w:r>
              <w:rPr>
                <w:rFonts w:hint="eastAsia" w:ascii="Times New Roman" w:hAnsi="Times New Roman" w:eastAsia="宋体" w:cs="Times New Roman"/>
                <w:color w:val="auto"/>
              </w:rPr>
              <w:t>住院楼3</w:t>
            </w:r>
            <w:r>
              <w:rPr>
                <w:rFonts w:ascii="Times New Roman" w:hAnsi="Times New Roman" w:eastAsia="宋体" w:cs="Times New Roman"/>
                <w:color w:val="auto"/>
              </w:rPr>
              <w:t>层</w:t>
            </w:r>
          </w:p>
        </w:tc>
        <w:tc>
          <w:tcPr>
            <w:tcW w:w="504" w:type="pct"/>
            <w:noWrap/>
            <w:vAlign w:val="center"/>
          </w:tcPr>
          <w:p w14:paraId="56184182">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2026.4.21</w:t>
            </w:r>
          </w:p>
        </w:tc>
        <w:tc>
          <w:tcPr>
            <w:tcW w:w="302" w:type="pct"/>
            <w:vAlign w:val="center"/>
          </w:tcPr>
          <w:p w14:paraId="6C64FB76">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昼间</w:t>
            </w:r>
          </w:p>
        </w:tc>
        <w:tc>
          <w:tcPr>
            <w:tcW w:w="504" w:type="pct"/>
            <w:vAlign w:val="center"/>
          </w:tcPr>
          <w:p w14:paraId="43577EA5">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52</w:t>
            </w:r>
          </w:p>
        </w:tc>
        <w:tc>
          <w:tcPr>
            <w:tcW w:w="338" w:type="pct"/>
            <w:noWrap/>
            <w:vAlign w:val="center"/>
          </w:tcPr>
          <w:p w14:paraId="59A3011F">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46</w:t>
            </w:r>
          </w:p>
        </w:tc>
        <w:tc>
          <w:tcPr>
            <w:tcW w:w="338" w:type="pct"/>
            <w:noWrap/>
            <w:vAlign w:val="center"/>
          </w:tcPr>
          <w:p w14:paraId="0E2FCFCE">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36</w:t>
            </w:r>
          </w:p>
        </w:tc>
        <w:tc>
          <w:tcPr>
            <w:tcW w:w="338" w:type="pct"/>
            <w:noWrap/>
            <w:vAlign w:val="center"/>
          </w:tcPr>
          <w:p w14:paraId="1B6DA6CD">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120</w:t>
            </w:r>
          </w:p>
        </w:tc>
        <w:tc>
          <w:tcPr>
            <w:tcW w:w="345" w:type="pct"/>
            <w:vMerge w:val="continue"/>
            <w:noWrap/>
            <w:vAlign w:val="center"/>
          </w:tcPr>
          <w:p w14:paraId="0DF0619F">
            <w:pPr>
              <w:spacing w:line="240" w:lineRule="exact"/>
              <w:jc w:val="center"/>
              <w:rPr>
                <w:rFonts w:ascii="Times New Roman" w:hAnsi="Times New Roman" w:eastAsia="宋体" w:cs="Times New Roman"/>
                <w:color w:val="auto"/>
                <w:kern w:val="0"/>
              </w:rPr>
            </w:pPr>
          </w:p>
        </w:tc>
        <w:tc>
          <w:tcPr>
            <w:tcW w:w="376" w:type="pct"/>
            <w:noWrap/>
            <w:vAlign w:val="center"/>
          </w:tcPr>
          <w:p w14:paraId="35841236">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3A8600CB">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4" w:type="pct"/>
            <w:vMerge w:val="continue"/>
            <w:vAlign w:val="center"/>
          </w:tcPr>
          <w:p w14:paraId="03B7B301">
            <w:pPr>
              <w:spacing w:line="240" w:lineRule="exact"/>
              <w:jc w:val="center"/>
              <w:rPr>
                <w:rFonts w:ascii="Times New Roman" w:hAnsi="Times New Roman" w:eastAsia="宋体" w:cs="Times New Roman"/>
                <w:color w:val="auto"/>
                <w:kern w:val="0"/>
              </w:rPr>
            </w:pPr>
          </w:p>
        </w:tc>
        <w:tc>
          <w:tcPr>
            <w:tcW w:w="481" w:type="pct"/>
            <w:vMerge w:val="continue"/>
            <w:vAlign w:val="center"/>
          </w:tcPr>
          <w:p w14:paraId="47027775">
            <w:pPr>
              <w:spacing w:line="240" w:lineRule="exact"/>
              <w:jc w:val="center"/>
              <w:rPr>
                <w:rFonts w:ascii="Times New Roman" w:hAnsi="Times New Roman" w:eastAsia="宋体" w:cs="Times New Roman"/>
                <w:color w:val="auto"/>
                <w:kern w:val="0"/>
              </w:rPr>
            </w:pPr>
          </w:p>
        </w:tc>
        <w:tc>
          <w:tcPr>
            <w:tcW w:w="403" w:type="pct"/>
            <w:vMerge w:val="continue"/>
            <w:vAlign w:val="center"/>
          </w:tcPr>
          <w:p w14:paraId="2A362F13">
            <w:pPr>
              <w:spacing w:line="240" w:lineRule="exact"/>
              <w:jc w:val="center"/>
              <w:rPr>
                <w:rFonts w:ascii="Times New Roman" w:hAnsi="Times New Roman" w:eastAsia="宋体" w:cs="Times New Roman"/>
                <w:color w:val="auto"/>
                <w:kern w:val="0"/>
              </w:rPr>
            </w:pPr>
          </w:p>
        </w:tc>
        <w:tc>
          <w:tcPr>
            <w:tcW w:w="807" w:type="pct"/>
            <w:vMerge w:val="continue"/>
            <w:vAlign w:val="center"/>
          </w:tcPr>
          <w:p w14:paraId="69739F6B">
            <w:pPr>
              <w:spacing w:line="240" w:lineRule="exact"/>
              <w:jc w:val="center"/>
              <w:rPr>
                <w:rFonts w:ascii="Times New Roman" w:hAnsi="Times New Roman" w:eastAsia="宋体" w:cs="Times New Roman"/>
                <w:color w:val="auto"/>
                <w:kern w:val="0"/>
              </w:rPr>
            </w:pPr>
          </w:p>
        </w:tc>
        <w:tc>
          <w:tcPr>
            <w:tcW w:w="504" w:type="pct"/>
            <w:noWrap/>
            <w:vAlign w:val="center"/>
          </w:tcPr>
          <w:p w14:paraId="0440A011">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2026.4.22</w:t>
            </w:r>
          </w:p>
        </w:tc>
        <w:tc>
          <w:tcPr>
            <w:tcW w:w="302" w:type="pct"/>
            <w:vAlign w:val="center"/>
          </w:tcPr>
          <w:p w14:paraId="6D8EE2AD">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夜间</w:t>
            </w:r>
          </w:p>
        </w:tc>
        <w:tc>
          <w:tcPr>
            <w:tcW w:w="504" w:type="pct"/>
            <w:vAlign w:val="center"/>
          </w:tcPr>
          <w:p w14:paraId="0C2DEB44">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45</w:t>
            </w:r>
          </w:p>
        </w:tc>
        <w:tc>
          <w:tcPr>
            <w:tcW w:w="338" w:type="pct"/>
            <w:noWrap/>
            <w:vAlign w:val="center"/>
          </w:tcPr>
          <w:p w14:paraId="22DC63FD">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27</w:t>
            </w:r>
          </w:p>
        </w:tc>
        <w:tc>
          <w:tcPr>
            <w:tcW w:w="338" w:type="pct"/>
            <w:noWrap/>
            <w:vAlign w:val="center"/>
          </w:tcPr>
          <w:p w14:paraId="630ECFF2">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9</w:t>
            </w:r>
          </w:p>
        </w:tc>
        <w:tc>
          <w:tcPr>
            <w:tcW w:w="338" w:type="pct"/>
            <w:noWrap/>
            <w:vAlign w:val="center"/>
          </w:tcPr>
          <w:p w14:paraId="226001FE">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33</w:t>
            </w:r>
          </w:p>
        </w:tc>
        <w:tc>
          <w:tcPr>
            <w:tcW w:w="345" w:type="pct"/>
            <w:vMerge w:val="continue"/>
            <w:noWrap/>
            <w:vAlign w:val="center"/>
          </w:tcPr>
          <w:p w14:paraId="03B2F7EF">
            <w:pPr>
              <w:spacing w:line="240" w:lineRule="exact"/>
              <w:jc w:val="center"/>
              <w:rPr>
                <w:rFonts w:ascii="Times New Roman" w:hAnsi="Times New Roman" w:eastAsia="宋体" w:cs="Times New Roman"/>
                <w:color w:val="auto"/>
                <w:kern w:val="0"/>
              </w:rPr>
            </w:pPr>
          </w:p>
        </w:tc>
        <w:tc>
          <w:tcPr>
            <w:tcW w:w="376" w:type="pct"/>
            <w:noWrap/>
            <w:vAlign w:val="center"/>
          </w:tcPr>
          <w:p w14:paraId="2A8D62EB">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3E7D133E">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4" w:type="pct"/>
            <w:vMerge w:val="continue"/>
            <w:vAlign w:val="center"/>
          </w:tcPr>
          <w:p w14:paraId="7A0A5467">
            <w:pPr>
              <w:spacing w:line="240" w:lineRule="exact"/>
              <w:jc w:val="center"/>
              <w:rPr>
                <w:rFonts w:ascii="Times New Roman" w:hAnsi="Times New Roman" w:eastAsia="宋体" w:cs="Times New Roman"/>
                <w:color w:val="auto"/>
                <w:kern w:val="0"/>
              </w:rPr>
            </w:pPr>
          </w:p>
        </w:tc>
        <w:tc>
          <w:tcPr>
            <w:tcW w:w="481" w:type="pct"/>
            <w:vMerge w:val="continue"/>
            <w:vAlign w:val="center"/>
          </w:tcPr>
          <w:p w14:paraId="07B67E81">
            <w:pPr>
              <w:spacing w:line="240" w:lineRule="exact"/>
              <w:jc w:val="center"/>
              <w:rPr>
                <w:rFonts w:ascii="Times New Roman" w:hAnsi="Times New Roman" w:eastAsia="宋体" w:cs="Times New Roman"/>
                <w:color w:val="auto"/>
                <w:kern w:val="0"/>
              </w:rPr>
            </w:pPr>
          </w:p>
        </w:tc>
        <w:tc>
          <w:tcPr>
            <w:tcW w:w="403" w:type="pct"/>
            <w:vMerge w:val="continue"/>
            <w:vAlign w:val="center"/>
          </w:tcPr>
          <w:p w14:paraId="2D9FD796">
            <w:pPr>
              <w:spacing w:line="240" w:lineRule="exact"/>
              <w:jc w:val="center"/>
              <w:rPr>
                <w:rFonts w:ascii="Times New Roman" w:hAnsi="Times New Roman" w:eastAsia="宋体" w:cs="Times New Roman"/>
                <w:color w:val="auto"/>
                <w:kern w:val="0"/>
              </w:rPr>
            </w:pPr>
          </w:p>
        </w:tc>
        <w:tc>
          <w:tcPr>
            <w:tcW w:w="807" w:type="pct"/>
            <w:vMerge w:val="continue"/>
            <w:vAlign w:val="center"/>
          </w:tcPr>
          <w:p w14:paraId="65EC7EE3">
            <w:pPr>
              <w:spacing w:line="240" w:lineRule="exact"/>
              <w:jc w:val="center"/>
              <w:rPr>
                <w:rFonts w:ascii="Times New Roman" w:hAnsi="Times New Roman" w:eastAsia="宋体" w:cs="Times New Roman"/>
                <w:color w:val="auto"/>
                <w:kern w:val="0"/>
              </w:rPr>
            </w:pPr>
          </w:p>
        </w:tc>
        <w:tc>
          <w:tcPr>
            <w:tcW w:w="504" w:type="pct"/>
            <w:noWrap/>
            <w:vAlign w:val="center"/>
          </w:tcPr>
          <w:p w14:paraId="4C060CA0">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2026.4.22</w:t>
            </w:r>
          </w:p>
        </w:tc>
        <w:tc>
          <w:tcPr>
            <w:tcW w:w="302" w:type="pct"/>
            <w:vAlign w:val="center"/>
          </w:tcPr>
          <w:p w14:paraId="358AE50B">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昼间</w:t>
            </w:r>
          </w:p>
        </w:tc>
        <w:tc>
          <w:tcPr>
            <w:tcW w:w="504" w:type="pct"/>
            <w:vAlign w:val="center"/>
          </w:tcPr>
          <w:p w14:paraId="5DFD2EA6">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51</w:t>
            </w:r>
          </w:p>
        </w:tc>
        <w:tc>
          <w:tcPr>
            <w:tcW w:w="338" w:type="pct"/>
            <w:noWrap/>
            <w:vAlign w:val="center"/>
          </w:tcPr>
          <w:p w14:paraId="1E28ED71">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53</w:t>
            </w:r>
          </w:p>
        </w:tc>
        <w:tc>
          <w:tcPr>
            <w:tcW w:w="338" w:type="pct"/>
            <w:noWrap/>
            <w:vAlign w:val="center"/>
          </w:tcPr>
          <w:p w14:paraId="2BF975AD">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30</w:t>
            </w:r>
          </w:p>
        </w:tc>
        <w:tc>
          <w:tcPr>
            <w:tcW w:w="338" w:type="pct"/>
            <w:noWrap/>
            <w:vAlign w:val="center"/>
          </w:tcPr>
          <w:p w14:paraId="7867129A">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117</w:t>
            </w:r>
          </w:p>
        </w:tc>
        <w:tc>
          <w:tcPr>
            <w:tcW w:w="345" w:type="pct"/>
            <w:vMerge w:val="continue"/>
            <w:noWrap/>
            <w:vAlign w:val="center"/>
          </w:tcPr>
          <w:p w14:paraId="3205D263">
            <w:pPr>
              <w:spacing w:line="240" w:lineRule="exact"/>
              <w:jc w:val="center"/>
              <w:rPr>
                <w:rFonts w:ascii="Times New Roman" w:hAnsi="Times New Roman" w:eastAsia="宋体" w:cs="Times New Roman"/>
                <w:color w:val="auto"/>
                <w:kern w:val="0"/>
              </w:rPr>
            </w:pPr>
          </w:p>
        </w:tc>
        <w:tc>
          <w:tcPr>
            <w:tcW w:w="376" w:type="pct"/>
            <w:noWrap/>
            <w:vAlign w:val="center"/>
          </w:tcPr>
          <w:p w14:paraId="735F7620">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30AA7359">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4" w:type="pct"/>
            <w:vMerge w:val="continue"/>
            <w:vAlign w:val="center"/>
          </w:tcPr>
          <w:p w14:paraId="48A7DAC1">
            <w:pPr>
              <w:spacing w:line="240" w:lineRule="exact"/>
              <w:jc w:val="center"/>
              <w:rPr>
                <w:rFonts w:ascii="Times New Roman" w:hAnsi="Times New Roman" w:eastAsia="宋体" w:cs="Times New Roman"/>
                <w:color w:val="auto"/>
                <w:kern w:val="0"/>
              </w:rPr>
            </w:pPr>
          </w:p>
        </w:tc>
        <w:tc>
          <w:tcPr>
            <w:tcW w:w="481" w:type="pct"/>
            <w:vMerge w:val="continue"/>
            <w:vAlign w:val="center"/>
          </w:tcPr>
          <w:p w14:paraId="0D43D758">
            <w:pPr>
              <w:spacing w:line="240" w:lineRule="exact"/>
              <w:jc w:val="center"/>
              <w:rPr>
                <w:rFonts w:ascii="Times New Roman" w:hAnsi="Times New Roman" w:eastAsia="宋体" w:cs="Times New Roman"/>
                <w:color w:val="auto"/>
                <w:kern w:val="0"/>
              </w:rPr>
            </w:pPr>
          </w:p>
        </w:tc>
        <w:tc>
          <w:tcPr>
            <w:tcW w:w="403" w:type="pct"/>
            <w:vMerge w:val="continue"/>
            <w:vAlign w:val="center"/>
          </w:tcPr>
          <w:p w14:paraId="70240701">
            <w:pPr>
              <w:spacing w:line="240" w:lineRule="exact"/>
              <w:jc w:val="center"/>
              <w:rPr>
                <w:rFonts w:ascii="Times New Roman" w:hAnsi="Times New Roman" w:eastAsia="宋体" w:cs="Times New Roman"/>
                <w:color w:val="auto"/>
                <w:kern w:val="0"/>
              </w:rPr>
            </w:pPr>
          </w:p>
        </w:tc>
        <w:tc>
          <w:tcPr>
            <w:tcW w:w="807" w:type="pct"/>
            <w:vMerge w:val="continue"/>
            <w:vAlign w:val="center"/>
          </w:tcPr>
          <w:p w14:paraId="5D908A5A">
            <w:pPr>
              <w:spacing w:line="240" w:lineRule="exact"/>
              <w:jc w:val="center"/>
              <w:rPr>
                <w:rFonts w:ascii="Times New Roman" w:hAnsi="Times New Roman" w:eastAsia="宋体" w:cs="Times New Roman"/>
                <w:color w:val="auto"/>
                <w:kern w:val="0"/>
              </w:rPr>
            </w:pPr>
          </w:p>
        </w:tc>
        <w:tc>
          <w:tcPr>
            <w:tcW w:w="504" w:type="pct"/>
            <w:noWrap/>
            <w:vAlign w:val="center"/>
          </w:tcPr>
          <w:p w14:paraId="2772D0FD">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2026.4.23</w:t>
            </w:r>
          </w:p>
        </w:tc>
        <w:tc>
          <w:tcPr>
            <w:tcW w:w="302" w:type="pct"/>
            <w:vAlign w:val="center"/>
          </w:tcPr>
          <w:p w14:paraId="450C0B24">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夜间</w:t>
            </w:r>
          </w:p>
        </w:tc>
        <w:tc>
          <w:tcPr>
            <w:tcW w:w="504" w:type="pct"/>
            <w:vAlign w:val="center"/>
          </w:tcPr>
          <w:p w14:paraId="77520804">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46</w:t>
            </w:r>
          </w:p>
        </w:tc>
        <w:tc>
          <w:tcPr>
            <w:tcW w:w="338" w:type="pct"/>
            <w:noWrap/>
            <w:vAlign w:val="center"/>
          </w:tcPr>
          <w:p w14:paraId="13F62D0F">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26</w:t>
            </w:r>
          </w:p>
        </w:tc>
        <w:tc>
          <w:tcPr>
            <w:tcW w:w="338" w:type="pct"/>
            <w:noWrap/>
            <w:vAlign w:val="center"/>
          </w:tcPr>
          <w:p w14:paraId="3D92D12B">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9</w:t>
            </w:r>
          </w:p>
        </w:tc>
        <w:tc>
          <w:tcPr>
            <w:tcW w:w="338" w:type="pct"/>
            <w:noWrap/>
            <w:vAlign w:val="center"/>
          </w:tcPr>
          <w:p w14:paraId="31E946E5">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30</w:t>
            </w:r>
          </w:p>
        </w:tc>
        <w:tc>
          <w:tcPr>
            <w:tcW w:w="345" w:type="pct"/>
            <w:vMerge w:val="continue"/>
            <w:noWrap/>
            <w:vAlign w:val="center"/>
          </w:tcPr>
          <w:p w14:paraId="5802CC3F">
            <w:pPr>
              <w:spacing w:line="240" w:lineRule="exact"/>
              <w:jc w:val="center"/>
              <w:rPr>
                <w:rFonts w:ascii="Times New Roman" w:hAnsi="Times New Roman" w:eastAsia="宋体" w:cs="Times New Roman"/>
                <w:color w:val="auto"/>
                <w:kern w:val="0"/>
              </w:rPr>
            </w:pPr>
          </w:p>
        </w:tc>
        <w:tc>
          <w:tcPr>
            <w:tcW w:w="376" w:type="pct"/>
            <w:noWrap/>
            <w:vAlign w:val="center"/>
          </w:tcPr>
          <w:p w14:paraId="1FD5317D">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63BC4627">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4" w:type="pct"/>
            <w:vMerge w:val="restart"/>
            <w:noWrap/>
            <w:vAlign w:val="center"/>
          </w:tcPr>
          <w:p w14:paraId="509B2AF6">
            <w:pPr>
              <w:spacing w:line="240" w:lineRule="exact"/>
              <w:jc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w:t>
            </w:r>
          </w:p>
        </w:tc>
        <w:tc>
          <w:tcPr>
            <w:tcW w:w="481" w:type="pct"/>
            <w:vMerge w:val="restart"/>
            <w:noWrap/>
            <w:vAlign w:val="center"/>
          </w:tcPr>
          <w:p w14:paraId="25B2FBAE">
            <w:pPr>
              <w:spacing w:line="240" w:lineRule="exact"/>
              <w:jc w:val="center"/>
              <w:rPr>
                <w:rFonts w:ascii="Times New Roman" w:hAnsi="Times New Roman" w:cs="Times New Roman" w:eastAsiaTheme="minorEastAsia"/>
                <w:color w:val="auto"/>
              </w:rPr>
            </w:pPr>
            <w:r>
              <w:rPr>
                <w:rFonts w:ascii="Times New Roman" w:hAnsi="Times New Roman" w:cs="Times New Roman" w:eastAsiaTheme="minorEastAsia"/>
                <w:color w:val="auto"/>
                <w:kern w:val="0"/>
              </w:rPr>
              <w:t>格达良乡中心小学</w:t>
            </w:r>
          </w:p>
        </w:tc>
        <w:tc>
          <w:tcPr>
            <w:tcW w:w="403" w:type="pct"/>
            <w:vMerge w:val="restart"/>
            <w:vAlign w:val="center"/>
          </w:tcPr>
          <w:p w14:paraId="63578701">
            <w:pPr>
              <w:spacing w:line="240" w:lineRule="exact"/>
              <w:jc w:val="center"/>
              <w:rPr>
                <w:rFonts w:ascii="Times New Roman" w:hAnsi="Times New Roman" w:eastAsia="宋体" w:cs="Times New Roman"/>
                <w:color w:val="auto"/>
                <w:kern w:val="0"/>
              </w:rPr>
            </w:pPr>
            <w:r>
              <w:rPr>
                <w:rFonts w:ascii="Times New Roman" w:hAnsi="Times New Roman" w:eastAsia="宋体" w:cs="Times New Roman"/>
                <w:color w:val="auto"/>
                <w:kern w:val="0"/>
              </w:rPr>
              <w:t>环境噪声</w:t>
            </w:r>
          </w:p>
        </w:tc>
        <w:tc>
          <w:tcPr>
            <w:tcW w:w="807" w:type="pct"/>
            <w:vMerge w:val="restart"/>
            <w:vAlign w:val="center"/>
          </w:tcPr>
          <w:p w14:paraId="7000DD3F">
            <w:pPr>
              <w:spacing w:line="240" w:lineRule="exact"/>
              <w:jc w:val="center"/>
              <w:rPr>
                <w:rFonts w:ascii="Times New Roman" w:hAnsi="Times New Roman" w:eastAsia="宋体" w:cs="Times New Roman"/>
                <w:color w:val="auto"/>
                <w:kern w:val="0"/>
              </w:rPr>
            </w:pPr>
            <w:r>
              <w:rPr>
                <w:rFonts w:ascii="Times New Roman" w:hAnsi="Times New Roman" w:eastAsia="宋体" w:cs="Times New Roman"/>
                <w:color w:val="auto"/>
              </w:rPr>
              <w:t>临现有</w:t>
            </w:r>
            <w:r>
              <w:rPr>
                <w:rFonts w:hint="eastAsia" w:ascii="Times New Roman" w:hAnsi="Times New Roman" w:eastAsia="宋体" w:cs="Times New Roman"/>
                <w:color w:val="auto"/>
              </w:rPr>
              <w:t>G219</w:t>
            </w:r>
            <w:r>
              <w:rPr>
                <w:rFonts w:ascii="Times New Roman" w:hAnsi="Times New Roman" w:eastAsia="宋体" w:cs="Times New Roman"/>
                <w:color w:val="auto"/>
              </w:rPr>
              <w:t>第一排</w:t>
            </w:r>
            <w:r>
              <w:rPr>
                <w:rFonts w:hint="eastAsia" w:ascii="Times New Roman" w:hAnsi="Times New Roman" w:eastAsia="宋体" w:cs="Times New Roman"/>
                <w:color w:val="auto"/>
              </w:rPr>
              <w:t>教学楼1</w:t>
            </w:r>
            <w:r>
              <w:rPr>
                <w:rFonts w:ascii="Times New Roman" w:hAnsi="Times New Roman" w:eastAsia="宋体" w:cs="Times New Roman"/>
                <w:color w:val="auto"/>
              </w:rPr>
              <w:t>层</w:t>
            </w:r>
          </w:p>
        </w:tc>
        <w:tc>
          <w:tcPr>
            <w:tcW w:w="504" w:type="pct"/>
            <w:noWrap/>
            <w:vAlign w:val="center"/>
          </w:tcPr>
          <w:p w14:paraId="3F51B0B1">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2026.4.21</w:t>
            </w:r>
          </w:p>
        </w:tc>
        <w:tc>
          <w:tcPr>
            <w:tcW w:w="302" w:type="pct"/>
            <w:vAlign w:val="center"/>
          </w:tcPr>
          <w:p w14:paraId="161EB6B4">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昼间</w:t>
            </w:r>
          </w:p>
        </w:tc>
        <w:tc>
          <w:tcPr>
            <w:tcW w:w="504" w:type="pct"/>
            <w:vAlign w:val="center"/>
          </w:tcPr>
          <w:p w14:paraId="25C71625">
            <w:pPr>
              <w:tabs>
                <w:tab w:val="left" w:pos="4326"/>
              </w:tabs>
              <w:adjustRightInd w:val="0"/>
              <w:snapToGrid w:val="0"/>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49</w:t>
            </w:r>
          </w:p>
        </w:tc>
        <w:tc>
          <w:tcPr>
            <w:tcW w:w="338" w:type="pct"/>
            <w:noWrap/>
            <w:vAlign w:val="center"/>
          </w:tcPr>
          <w:p w14:paraId="75E59EF2">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47</w:t>
            </w:r>
          </w:p>
        </w:tc>
        <w:tc>
          <w:tcPr>
            <w:tcW w:w="338" w:type="pct"/>
            <w:noWrap/>
            <w:vAlign w:val="center"/>
          </w:tcPr>
          <w:p w14:paraId="121CC3C5">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33</w:t>
            </w:r>
          </w:p>
        </w:tc>
        <w:tc>
          <w:tcPr>
            <w:tcW w:w="338" w:type="pct"/>
            <w:noWrap/>
            <w:vAlign w:val="center"/>
          </w:tcPr>
          <w:p w14:paraId="51333821">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126</w:t>
            </w:r>
          </w:p>
        </w:tc>
        <w:tc>
          <w:tcPr>
            <w:tcW w:w="345" w:type="pct"/>
            <w:vMerge w:val="restart"/>
            <w:noWrap/>
            <w:vAlign w:val="center"/>
          </w:tcPr>
          <w:p w14:paraId="0DA2E5EC">
            <w:pPr>
              <w:spacing w:line="240" w:lineRule="exact"/>
              <w:jc w:val="center"/>
              <w:rPr>
                <w:rFonts w:ascii="Times New Roman" w:hAnsi="Times New Roman" w:eastAsia="宋体" w:cs="Times New Roman"/>
                <w:color w:val="auto"/>
                <w:kern w:val="0"/>
              </w:rPr>
            </w:pPr>
            <w:r>
              <w:rPr>
                <w:rFonts w:ascii="Times New Roman" w:hAnsi="Times New Roman" w:eastAsia="宋体" w:cs="Times New Roman"/>
                <w:color w:val="auto"/>
                <w:kern w:val="0"/>
              </w:rPr>
              <w:t>2类</w:t>
            </w:r>
          </w:p>
        </w:tc>
        <w:tc>
          <w:tcPr>
            <w:tcW w:w="376" w:type="pct"/>
            <w:noWrap/>
            <w:vAlign w:val="center"/>
          </w:tcPr>
          <w:p w14:paraId="466B37C3">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1E379AE2">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4" w:type="pct"/>
            <w:vMerge w:val="continue"/>
            <w:vAlign w:val="center"/>
          </w:tcPr>
          <w:p w14:paraId="6C6663E6">
            <w:pPr>
              <w:spacing w:line="240" w:lineRule="exact"/>
              <w:jc w:val="center"/>
              <w:rPr>
                <w:rFonts w:ascii="Times New Roman" w:hAnsi="Times New Roman" w:eastAsia="宋体" w:cs="Times New Roman"/>
                <w:color w:val="auto"/>
                <w:kern w:val="0"/>
              </w:rPr>
            </w:pPr>
          </w:p>
        </w:tc>
        <w:tc>
          <w:tcPr>
            <w:tcW w:w="481" w:type="pct"/>
            <w:vMerge w:val="continue"/>
            <w:vAlign w:val="center"/>
          </w:tcPr>
          <w:p w14:paraId="481DD39C">
            <w:pPr>
              <w:spacing w:line="240" w:lineRule="exact"/>
              <w:jc w:val="center"/>
              <w:rPr>
                <w:rFonts w:ascii="Times New Roman" w:hAnsi="Times New Roman" w:eastAsia="宋体" w:cs="Times New Roman"/>
                <w:color w:val="auto"/>
                <w:kern w:val="0"/>
              </w:rPr>
            </w:pPr>
          </w:p>
        </w:tc>
        <w:tc>
          <w:tcPr>
            <w:tcW w:w="403" w:type="pct"/>
            <w:vMerge w:val="continue"/>
            <w:vAlign w:val="center"/>
          </w:tcPr>
          <w:p w14:paraId="108362E7">
            <w:pPr>
              <w:spacing w:line="240" w:lineRule="exact"/>
              <w:jc w:val="center"/>
              <w:rPr>
                <w:rFonts w:ascii="Times New Roman" w:hAnsi="Times New Roman" w:eastAsia="宋体" w:cs="Times New Roman"/>
                <w:color w:val="auto"/>
                <w:kern w:val="0"/>
              </w:rPr>
            </w:pPr>
          </w:p>
        </w:tc>
        <w:tc>
          <w:tcPr>
            <w:tcW w:w="807" w:type="pct"/>
            <w:vMerge w:val="continue"/>
            <w:vAlign w:val="center"/>
          </w:tcPr>
          <w:p w14:paraId="1B0A6961">
            <w:pPr>
              <w:spacing w:line="240" w:lineRule="exact"/>
              <w:jc w:val="center"/>
              <w:rPr>
                <w:rFonts w:ascii="Times New Roman" w:hAnsi="Times New Roman" w:eastAsia="宋体" w:cs="Times New Roman"/>
                <w:color w:val="auto"/>
                <w:kern w:val="0"/>
              </w:rPr>
            </w:pPr>
          </w:p>
        </w:tc>
        <w:tc>
          <w:tcPr>
            <w:tcW w:w="504" w:type="pct"/>
            <w:noWrap/>
            <w:vAlign w:val="center"/>
          </w:tcPr>
          <w:p w14:paraId="6072B19A">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2026.4.22</w:t>
            </w:r>
          </w:p>
        </w:tc>
        <w:tc>
          <w:tcPr>
            <w:tcW w:w="302" w:type="pct"/>
            <w:vAlign w:val="center"/>
          </w:tcPr>
          <w:p w14:paraId="072952CD">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夜间</w:t>
            </w:r>
          </w:p>
        </w:tc>
        <w:tc>
          <w:tcPr>
            <w:tcW w:w="504" w:type="pct"/>
            <w:vAlign w:val="center"/>
          </w:tcPr>
          <w:p w14:paraId="74FACAB5">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42</w:t>
            </w:r>
          </w:p>
        </w:tc>
        <w:tc>
          <w:tcPr>
            <w:tcW w:w="338" w:type="pct"/>
            <w:noWrap/>
            <w:vAlign w:val="center"/>
          </w:tcPr>
          <w:p w14:paraId="1FF93213">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26</w:t>
            </w:r>
          </w:p>
        </w:tc>
        <w:tc>
          <w:tcPr>
            <w:tcW w:w="338" w:type="pct"/>
            <w:noWrap/>
            <w:vAlign w:val="center"/>
          </w:tcPr>
          <w:p w14:paraId="024563F0">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12</w:t>
            </w:r>
          </w:p>
        </w:tc>
        <w:tc>
          <w:tcPr>
            <w:tcW w:w="338" w:type="pct"/>
            <w:noWrap/>
            <w:vAlign w:val="center"/>
          </w:tcPr>
          <w:p w14:paraId="76CE3970">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33</w:t>
            </w:r>
          </w:p>
        </w:tc>
        <w:tc>
          <w:tcPr>
            <w:tcW w:w="345" w:type="pct"/>
            <w:vMerge w:val="continue"/>
            <w:noWrap/>
            <w:vAlign w:val="center"/>
          </w:tcPr>
          <w:p w14:paraId="3E84F978">
            <w:pPr>
              <w:spacing w:line="240" w:lineRule="exact"/>
              <w:jc w:val="center"/>
              <w:rPr>
                <w:rFonts w:ascii="Times New Roman" w:hAnsi="Times New Roman" w:eastAsia="宋体" w:cs="Times New Roman"/>
                <w:color w:val="auto"/>
                <w:kern w:val="0"/>
              </w:rPr>
            </w:pPr>
          </w:p>
        </w:tc>
        <w:tc>
          <w:tcPr>
            <w:tcW w:w="376" w:type="pct"/>
            <w:noWrap/>
            <w:vAlign w:val="center"/>
          </w:tcPr>
          <w:p w14:paraId="16036795">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60EE6F64">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4" w:type="pct"/>
            <w:vMerge w:val="continue"/>
            <w:vAlign w:val="center"/>
          </w:tcPr>
          <w:p w14:paraId="37C7EC61">
            <w:pPr>
              <w:spacing w:line="240" w:lineRule="exact"/>
              <w:jc w:val="center"/>
              <w:rPr>
                <w:rFonts w:ascii="Times New Roman" w:hAnsi="Times New Roman" w:eastAsia="宋体" w:cs="Times New Roman"/>
                <w:color w:val="auto"/>
                <w:kern w:val="0"/>
              </w:rPr>
            </w:pPr>
          </w:p>
        </w:tc>
        <w:tc>
          <w:tcPr>
            <w:tcW w:w="481" w:type="pct"/>
            <w:vMerge w:val="continue"/>
            <w:vAlign w:val="center"/>
          </w:tcPr>
          <w:p w14:paraId="73E7F0E1">
            <w:pPr>
              <w:spacing w:line="240" w:lineRule="exact"/>
              <w:jc w:val="center"/>
              <w:rPr>
                <w:rFonts w:ascii="Times New Roman" w:hAnsi="Times New Roman" w:eastAsia="宋体" w:cs="Times New Roman"/>
                <w:color w:val="auto"/>
                <w:kern w:val="0"/>
              </w:rPr>
            </w:pPr>
          </w:p>
        </w:tc>
        <w:tc>
          <w:tcPr>
            <w:tcW w:w="403" w:type="pct"/>
            <w:vMerge w:val="continue"/>
            <w:vAlign w:val="center"/>
          </w:tcPr>
          <w:p w14:paraId="6AD9B9D2">
            <w:pPr>
              <w:spacing w:line="240" w:lineRule="exact"/>
              <w:jc w:val="center"/>
              <w:rPr>
                <w:rFonts w:ascii="Times New Roman" w:hAnsi="Times New Roman" w:eastAsia="宋体" w:cs="Times New Roman"/>
                <w:color w:val="auto"/>
                <w:kern w:val="0"/>
              </w:rPr>
            </w:pPr>
          </w:p>
        </w:tc>
        <w:tc>
          <w:tcPr>
            <w:tcW w:w="807" w:type="pct"/>
            <w:vMerge w:val="continue"/>
            <w:vAlign w:val="center"/>
          </w:tcPr>
          <w:p w14:paraId="2EA938CC">
            <w:pPr>
              <w:spacing w:line="240" w:lineRule="exact"/>
              <w:jc w:val="center"/>
              <w:rPr>
                <w:rFonts w:ascii="Times New Roman" w:hAnsi="Times New Roman" w:eastAsia="宋体" w:cs="Times New Roman"/>
                <w:color w:val="auto"/>
                <w:kern w:val="0"/>
              </w:rPr>
            </w:pPr>
          </w:p>
        </w:tc>
        <w:tc>
          <w:tcPr>
            <w:tcW w:w="504" w:type="pct"/>
            <w:noWrap/>
            <w:vAlign w:val="center"/>
          </w:tcPr>
          <w:p w14:paraId="2999446A">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2026.4.22</w:t>
            </w:r>
          </w:p>
        </w:tc>
        <w:tc>
          <w:tcPr>
            <w:tcW w:w="302" w:type="pct"/>
            <w:vAlign w:val="center"/>
          </w:tcPr>
          <w:p w14:paraId="4D83C706">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昼间</w:t>
            </w:r>
          </w:p>
        </w:tc>
        <w:tc>
          <w:tcPr>
            <w:tcW w:w="504" w:type="pct"/>
            <w:vAlign w:val="center"/>
          </w:tcPr>
          <w:p w14:paraId="0F083F39">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47</w:t>
            </w:r>
          </w:p>
        </w:tc>
        <w:tc>
          <w:tcPr>
            <w:tcW w:w="338" w:type="pct"/>
            <w:noWrap/>
            <w:vAlign w:val="center"/>
          </w:tcPr>
          <w:p w14:paraId="66D6A1FD">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41</w:t>
            </w:r>
          </w:p>
        </w:tc>
        <w:tc>
          <w:tcPr>
            <w:tcW w:w="338" w:type="pct"/>
            <w:noWrap/>
            <w:vAlign w:val="center"/>
          </w:tcPr>
          <w:p w14:paraId="33B9257C">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33</w:t>
            </w:r>
          </w:p>
        </w:tc>
        <w:tc>
          <w:tcPr>
            <w:tcW w:w="338" w:type="pct"/>
            <w:noWrap/>
            <w:vAlign w:val="center"/>
          </w:tcPr>
          <w:p w14:paraId="0CB87721">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105</w:t>
            </w:r>
          </w:p>
        </w:tc>
        <w:tc>
          <w:tcPr>
            <w:tcW w:w="345" w:type="pct"/>
            <w:vMerge w:val="continue"/>
            <w:noWrap/>
            <w:vAlign w:val="center"/>
          </w:tcPr>
          <w:p w14:paraId="16B7F15D">
            <w:pPr>
              <w:spacing w:line="240" w:lineRule="exact"/>
              <w:jc w:val="center"/>
              <w:rPr>
                <w:rFonts w:ascii="Times New Roman" w:hAnsi="Times New Roman" w:eastAsia="宋体" w:cs="Times New Roman"/>
                <w:color w:val="auto"/>
                <w:kern w:val="0"/>
              </w:rPr>
            </w:pPr>
          </w:p>
        </w:tc>
        <w:tc>
          <w:tcPr>
            <w:tcW w:w="376" w:type="pct"/>
            <w:noWrap/>
            <w:vAlign w:val="center"/>
          </w:tcPr>
          <w:p w14:paraId="10DFF441">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33B4F8DF">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4" w:type="pct"/>
            <w:vMerge w:val="continue"/>
            <w:vAlign w:val="center"/>
          </w:tcPr>
          <w:p w14:paraId="0896E30B">
            <w:pPr>
              <w:spacing w:line="240" w:lineRule="exact"/>
              <w:jc w:val="center"/>
              <w:rPr>
                <w:rFonts w:ascii="Times New Roman" w:hAnsi="Times New Roman" w:eastAsia="宋体" w:cs="Times New Roman"/>
                <w:color w:val="auto"/>
                <w:kern w:val="0"/>
              </w:rPr>
            </w:pPr>
          </w:p>
        </w:tc>
        <w:tc>
          <w:tcPr>
            <w:tcW w:w="481" w:type="pct"/>
            <w:vMerge w:val="continue"/>
            <w:vAlign w:val="center"/>
          </w:tcPr>
          <w:p w14:paraId="3E8BE4C6">
            <w:pPr>
              <w:spacing w:line="240" w:lineRule="exact"/>
              <w:jc w:val="center"/>
              <w:rPr>
                <w:rFonts w:ascii="Times New Roman" w:hAnsi="Times New Roman" w:eastAsia="宋体" w:cs="Times New Roman"/>
                <w:color w:val="auto"/>
                <w:kern w:val="0"/>
              </w:rPr>
            </w:pPr>
          </w:p>
        </w:tc>
        <w:tc>
          <w:tcPr>
            <w:tcW w:w="403" w:type="pct"/>
            <w:vMerge w:val="continue"/>
            <w:vAlign w:val="center"/>
          </w:tcPr>
          <w:p w14:paraId="79116A33">
            <w:pPr>
              <w:spacing w:line="240" w:lineRule="exact"/>
              <w:jc w:val="center"/>
              <w:rPr>
                <w:rFonts w:ascii="Times New Roman" w:hAnsi="Times New Roman" w:eastAsia="宋体" w:cs="Times New Roman"/>
                <w:color w:val="auto"/>
                <w:kern w:val="0"/>
              </w:rPr>
            </w:pPr>
          </w:p>
        </w:tc>
        <w:tc>
          <w:tcPr>
            <w:tcW w:w="807" w:type="pct"/>
            <w:vMerge w:val="continue"/>
            <w:vAlign w:val="center"/>
          </w:tcPr>
          <w:p w14:paraId="756A39A8">
            <w:pPr>
              <w:spacing w:line="240" w:lineRule="exact"/>
              <w:jc w:val="center"/>
              <w:rPr>
                <w:rFonts w:ascii="Times New Roman" w:hAnsi="Times New Roman" w:eastAsia="宋体" w:cs="Times New Roman"/>
                <w:color w:val="auto"/>
                <w:kern w:val="0"/>
              </w:rPr>
            </w:pPr>
          </w:p>
        </w:tc>
        <w:tc>
          <w:tcPr>
            <w:tcW w:w="504" w:type="pct"/>
            <w:noWrap/>
            <w:vAlign w:val="center"/>
          </w:tcPr>
          <w:p w14:paraId="126FA52A">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2026.4.23</w:t>
            </w:r>
          </w:p>
        </w:tc>
        <w:tc>
          <w:tcPr>
            <w:tcW w:w="302" w:type="pct"/>
            <w:vAlign w:val="center"/>
          </w:tcPr>
          <w:p w14:paraId="5F26C921">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夜间</w:t>
            </w:r>
          </w:p>
        </w:tc>
        <w:tc>
          <w:tcPr>
            <w:tcW w:w="504" w:type="pct"/>
            <w:vAlign w:val="center"/>
          </w:tcPr>
          <w:p w14:paraId="3C8AA7A4">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41</w:t>
            </w:r>
          </w:p>
        </w:tc>
        <w:tc>
          <w:tcPr>
            <w:tcW w:w="338" w:type="pct"/>
            <w:noWrap/>
            <w:vAlign w:val="center"/>
          </w:tcPr>
          <w:p w14:paraId="394F7F1E">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28</w:t>
            </w:r>
          </w:p>
        </w:tc>
        <w:tc>
          <w:tcPr>
            <w:tcW w:w="338" w:type="pct"/>
            <w:noWrap/>
            <w:vAlign w:val="center"/>
          </w:tcPr>
          <w:p w14:paraId="608D821E">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15</w:t>
            </w:r>
          </w:p>
        </w:tc>
        <w:tc>
          <w:tcPr>
            <w:tcW w:w="338" w:type="pct"/>
            <w:noWrap/>
            <w:vAlign w:val="center"/>
          </w:tcPr>
          <w:p w14:paraId="0EF0301C">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30</w:t>
            </w:r>
          </w:p>
        </w:tc>
        <w:tc>
          <w:tcPr>
            <w:tcW w:w="345" w:type="pct"/>
            <w:vMerge w:val="continue"/>
            <w:noWrap/>
            <w:vAlign w:val="center"/>
          </w:tcPr>
          <w:p w14:paraId="6B8D7263">
            <w:pPr>
              <w:spacing w:line="240" w:lineRule="exact"/>
              <w:jc w:val="center"/>
              <w:rPr>
                <w:rFonts w:ascii="Times New Roman" w:hAnsi="Times New Roman" w:eastAsia="宋体" w:cs="Times New Roman"/>
                <w:color w:val="auto"/>
                <w:kern w:val="0"/>
              </w:rPr>
            </w:pPr>
          </w:p>
        </w:tc>
        <w:tc>
          <w:tcPr>
            <w:tcW w:w="376" w:type="pct"/>
            <w:noWrap/>
            <w:vAlign w:val="center"/>
          </w:tcPr>
          <w:p w14:paraId="214B3628">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2579C2C1">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4" w:type="pct"/>
            <w:vMerge w:val="continue"/>
            <w:noWrap/>
            <w:vAlign w:val="center"/>
          </w:tcPr>
          <w:p w14:paraId="0FBF0293">
            <w:pPr>
              <w:spacing w:line="240" w:lineRule="exact"/>
              <w:jc w:val="center"/>
              <w:rPr>
                <w:rFonts w:ascii="Times New Roman" w:hAnsi="Times New Roman" w:eastAsia="宋体" w:cs="Times New Roman"/>
                <w:color w:val="auto"/>
                <w:kern w:val="0"/>
              </w:rPr>
            </w:pPr>
          </w:p>
        </w:tc>
        <w:tc>
          <w:tcPr>
            <w:tcW w:w="481" w:type="pct"/>
            <w:vMerge w:val="continue"/>
            <w:noWrap/>
            <w:vAlign w:val="center"/>
          </w:tcPr>
          <w:p w14:paraId="36DDC39D">
            <w:pPr>
              <w:spacing w:line="240" w:lineRule="exact"/>
              <w:jc w:val="center"/>
              <w:rPr>
                <w:rFonts w:ascii="Times New Roman" w:hAnsi="Times New Roman" w:eastAsia="宋体" w:cs="Times New Roman"/>
                <w:color w:val="auto"/>
                <w:kern w:val="0"/>
              </w:rPr>
            </w:pPr>
          </w:p>
        </w:tc>
        <w:tc>
          <w:tcPr>
            <w:tcW w:w="403" w:type="pct"/>
            <w:vMerge w:val="continue"/>
            <w:vAlign w:val="center"/>
          </w:tcPr>
          <w:p w14:paraId="11983BC3">
            <w:pPr>
              <w:spacing w:line="240" w:lineRule="exact"/>
              <w:jc w:val="center"/>
              <w:rPr>
                <w:rFonts w:ascii="Times New Roman" w:hAnsi="Times New Roman" w:eastAsia="宋体" w:cs="Times New Roman"/>
                <w:color w:val="auto"/>
                <w:kern w:val="0"/>
              </w:rPr>
            </w:pPr>
          </w:p>
        </w:tc>
        <w:tc>
          <w:tcPr>
            <w:tcW w:w="807" w:type="pct"/>
            <w:vMerge w:val="restart"/>
            <w:vAlign w:val="center"/>
          </w:tcPr>
          <w:p w14:paraId="6E2D9636">
            <w:pPr>
              <w:spacing w:line="240" w:lineRule="exact"/>
              <w:jc w:val="center"/>
              <w:rPr>
                <w:rFonts w:ascii="Times New Roman" w:hAnsi="Times New Roman" w:eastAsia="宋体" w:cs="Times New Roman"/>
                <w:color w:val="auto"/>
                <w:kern w:val="0"/>
              </w:rPr>
            </w:pPr>
            <w:r>
              <w:rPr>
                <w:rFonts w:ascii="Times New Roman" w:hAnsi="Times New Roman" w:eastAsia="宋体" w:cs="Times New Roman"/>
                <w:color w:val="auto"/>
              </w:rPr>
              <w:t>临现有</w:t>
            </w:r>
            <w:r>
              <w:rPr>
                <w:rFonts w:hint="eastAsia" w:ascii="Times New Roman" w:hAnsi="Times New Roman" w:eastAsia="宋体" w:cs="Times New Roman"/>
                <w:color w:val="auto"/>
              </w:rPr>
              <w:t>G219</w:t>
            </w:r>
            <w:r>
              <w:rPr>
                <w:rFonts w:ascii="Times New Roman" w:hAnsi="Times New Roman" w:eastAsia="宋体" w:cs="Times New Roman"/>
                <w:color w:val="auto"/>
              </w:rPr>
              <w:t>第一排</w:t>
            </w:r>
            <w:r>
              <w:rPr>
                <w:rFonts w:hint="eastAsia" w:ascii="Times New Roman" w:hAnsi="Times New Roman" w:eastAsia="宋体" w:cs="Times New Roman"/>
                <w:color w:val="auto"/>
              </w:rPr>
              <w:t>教学楼3</w:t>
            </w:r>
            <w:r>
              <w:rPr>
                <w:rFonts w:ascii="Times New Roman" w:hAnsi="Times New Roman" w:eastAsia="宋体" w:cs="Times New Roman"/>
                <w:color w:val="auto"/>
              </w:rPr>
              <w:t>层</w:t>
            </w:r>
          </w:p>
        </w:tc>
        <w:tc>
          <w:tcPr>
            <w:tcW w:w="504" w:type="pct"/>
            <w:noWrap/>
            <w:vAlign w:val="center"/>
          </w:tcPr>
          <w:p w14:paraId="54C8DD9A">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2026.4.21</w:t>
            </w:r>
          </w:p>
        </w:tc>
        <w:tc>
          <w:tcPr>
            <w:tcW w:w="302" w:type="pct"/>
            <w:vAlign w:val="center"/>
          </w:tcPr>
          <w:p w14:paraId="78081FB8">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昼间</w:t>
            </w:r>
          </w:p>
        </w:tc>
        <w:tc>
          <w:tcPr>
            <w:tcW w:w="504" w:type="pct"/>
            <w:vAlign w:val="center"/>
          </w:tcPr>
          <w:p w14:paraId="3F280EE9">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54</w:t>
            </w:r>
          </w:p>
        </w:tc>
        <w:tc>
          <w:tcPr>
            <w:tcW w:w="338" w:type="pct"/>
            <w:noWrap/>
            <w:vAlign w:val="center"/>
          </w:tcPr>
          <w:p w14:paraId="3F177023">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47</w:t>
            </w:r>
          </w:p>
        </w:tc>
        <w:tc>
          <w:tcPr>
            <w:tcW w:w="338" w:type="pct"/>
            <w:noWrap/>
            <w:vAlign w:val="center"/>
          </w:tcPr>
          <w:p w14:paraId="396B7B02">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33</w:t>
            </w:r>
          </w:p>
        </w:tc>
        <w:tc>
          <w:tcPr>
            <w:tcW w:w="338" w:type="pct"/>
            <w:noWrap/>
            <w:vAlign w:val="center"/>
          </w:tcPr>
          <w:p w14:paraId="39E0AA98">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126</w:t>
            </w:r>
          </w:p>
        </w:tc>
        <w:tc>
          <w:tcPr>
            <w:tcW w:w="345" w:type="pct"/>
            <w:vMerge w:val="continue"/>
            <w:noWrap/>
            <w:vAlign w:val="center"/>
          </w:tcPr>
          <w:p w14:paraId="30C6A3B1">
            <w:pPr>
              <w:spacing w:line="240" w:lineRule="exact"/>
              <w:jc w:val="center"/>
              <w:rPr>
                <w:rFonts w:ascii="Times New Roman" w:hAnsi="Times New Roman" w:eastAsia="宋体" w:cs="Times New Roman"/>
                <w:color w:val="auto"/>
                <w:kern w:val="0"/>
              </w:rPr>
            </w:pPr>
          </w:p>
        </w:tc>
        <w:tc>
          <w:tcPr>
            <w:tcW w:w="376" w:type="pct"/>
            <w:noWrap/>
            <w:vAlign w:val="center"/>
          </w:tcPr>
          <w:p w14:paraId="29C5FBF2">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10E71BB7">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4" w:type="pct"/>
            <w:vMerge w:val="continue"/>
            <w:vAlign w:val="center"/>
          </w:tcPr>
          <w:p w14:paraId="05A0CBE5">
            <w:pPr>
              <w:spacing w:line="240" w:lineRule="exact"/>
              <w:jc w:val="center"/>
              <w:rPr>
                <w:rFonts w:ascii="Times New Roman" w:hAnsi="Times New Roman" w:eastAsia="宋体" w:cs="Times New Roman"/>
                <w:color w:val="auto"/>
                <w:kern w:val="0"/>
              </w:rPr>
            </w:pPr>
          </w:p>
        </w:tc>
        <w:tc>
          <w:tcPr>
            <w:tcW w:w="481" w:type="pct"/>
            <w:vMerge w:val="continue"/>
            <w:vAlign w:val="center"/>
          </w:tcPr>
          <w:p w14:paraId="698B53B4">
            <w:pPr>
              <w:spacing w:line="240" w:lineRule="exact"/>
              <w:jc w:val="center"/>
              <w:rPr>
                <w:rFonts w:ascii="Times New Roman" w:hAnsi="Times New Roman" w:eastAsia="宋体" w:cs="Times New Roman"/>
                <w:color w:val="auto"/>
                <w:kern w:val="0"/>
              </w:rPr>
            </w:pPr>
          </w:p>
        </w:tc>
        <w:tc>
          <w:tcPr>
            <w:tcW w:w="403" w:type="pct"/>
            <w:vMerge w:val="continue"/>
            <w:vAlign w:val="center"/>
          </w:tcPr>
          <w:p w14:paraId="3EACCE22">
            <w:pPr>
              <w:spacing w:line="240" w:lineRule="exact"/>
              <w:jc w:val="center"/>
              <w:rPr>
                <w:rFonts w:ascii="Times New Roman" w:hAnsi="Times New Roman" w:eastAsia="宋体" w:cs="Times New Roman"/>
                <w:color w:val="auto"/>
                <w:kern w:val="0"/>
              </w:rPr>
            </w:pPr>
          </w:p>
        </w:tc>
        <w:tc>
          <w:tcPr>
            <w:tcW w:w="807" w:type="pct"/>
            <w:vMerge w:val="continue"/>
            <w:vAlign w:val="center"/>
          </w:tcPr>
          <w:p w14:paraId="4AE92F70">
            <w:pPr>
              <w:spacing w:line="240" w:lineRule="exact"/>
              <w:jc w:val="center"/>
              <w:rPr>
                <w:rFonts w:ascii="Times New Roman" w:hAnsi="Times New Roman" w:eastAsia="宋体" w:cs="Times New Roman"/>
                <w:color w:val="auto"/>
                <w:kern w:val="0"/>
              </w:rPr>
            </w:pPr>
          </w:p>
        </w:tc>
        <w:tc>
          <w:tcPr>
            <w:tcW w:w="504" w:type="pct"/>
            <w:noWrap/>
            <w:vAlign w:val="center"/>
          </w:tcPr>
          <w:p w14:paraId="073FAD30">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2026.4.22</w:t>
            </w:r>
          </w:p>
        </w:tc>
        <w:tc>
          <w:tcPr>
            <w:tcW w:w="302" w:type="pct"/>
            <w:vAlign w:val="center"/>
          </w:tcPr>
          <w:p w14:paraId="43951846">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夜间</w:t>
            </w:r>
          </w:p>
        </w:tc>
        <w:tc>
          <w:tcPr>
            <w:tcW w:w="504" w:type="pct"/>
            <w:vAlign w:val="center"/>
          </w:tcPr>
          <w:p w14:paraId="4CEA1343">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46</w:t>
            </w:r>
          </w:p>
        </w:tc>
        <w:tc>
          <w:tcPr>
            <w:tcW w:w="338" w:type="pct"/>
            <w:noWrap/>
            <w:vAlign w:val="center"/>
          </w:tcPr>
          <w:p w14:paraId="2847569D">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26</w:t>
            </w:r>
          </w:p>
        </w:tc>
        <w:tc>
          <w:tcPr>
            <w:tcW w:w="338" w:type="pct"/>
            <w:noWrap/>
            <w:vAlign w:val="center"/>
          </w:tcPr>
          <w:p w14:paraId="13672B27">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12</w:t>
            </w:r>
          </w:p>
        </w:tc>
        <w:tc>
          <w:tcPr>
            <w:tcW w:w="338" w:type="pct"/>
            <w:noWrap/>
            <w:vAlign w:val="center"/>
          </w:tcPr>
          <w:p w14:paraId="23B26E8C">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33</w:t>
            </w:r>
          </w:p>
        </w:tc>
        <w:tc>
          <w:tcPr>
            <w:tcW w:w="345" w:type="pct"/>
            <w:vMerge w:val="continue"/>
            <w:noWrap/>
            <w:vAlign w:val="center"/>
          </w:tcPr>
          <w:p w14:paraId="7FDB4AAD">
            <w:pPr>
              <w:spacing w:line="240" w:lineRule="exact"/>
              <w:jc w:val="center"/>
              <w:rPr>
                <w:rFonts w:ascii="Times New Roman" w:hAnsi="Times New Roman" w:eastAsia="宋体" w:cs="Times New Roman"/>
                <w:color w:val="auto"/>
                <w:kern w:val="0"/>
              </w:rPr>
            </w:pPr>
          </w:p>
        </w:tc>
        <w:tc>
          <w:tcPr>
            <w:tcW w:w="376" w:type="pct"/>
            <w:noWrap/>
            <w:vAlign w:val="center"/>
          </w:tcPr>
          <w:p w14:paraId="6943A175">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4816054D">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4" w:type="pct"/>
            <w:vMerge w:val="continue"/>
            <w:vAlign w:val="center"/>
          </w:tcPr>
          <w:p w14:paraId="1893D94E">
            <w:pPr>
              <w:spacing w:line="240" w:lineRule="exact"/>
              <w:jc w:val="center"/>
              <w:rPr>
                <w:rFonts w:ascii="Times New Roman" w:hAnsi="Times New Roman" w:eastAsia="宋体" w:cs="Times New Roman"/>
                <w:color w:val="auto"/>
                <w:kern w:val="0"/>
              </w:rPr>
            </w:pPr>
          </w:p>
        </w:tc>
        <w:tc>
          <w:tcPr>
            <w:tcW w:w="481" w:type="pct"/>
            <w:vMerge w:val="continue"/>
            <w:vAlign w:val="center"/>
          </w:tcPr>
          <w:p w14:paraId="3572D656">
            <w:pPr>
              <w:spacing w:line="240" w:lineRule="exact"/>
              <w:jc w:val="center"/>
              <w:rPr>
                <w:rFonts w:ascii="Times New Roman" w:hAnsi="Times New Roman" w:eastAsia="宋体" w:cs="Times New Roman"/>
                <w:color w:val="auto"/>
                <w:kern w:val="0"/>
              </w:rPr>
            </w:pPr>
          </w:p>
        </w:tc>
        <w:tc>
          <w:tcPr>
            <w:tcW w:w="403" w:type="pct"/>
            <w:vMerge w:val="continue"/>
            <w:vAlign w:val="center"/>
          </w:tcPr>
          <w:p w14:paraId="02D9F4FD">
            <w:pPr>
              <w:spacing w:line="240" w:lineRule="exact"/>
              <w:jc w:val="center"/>
              <w:rPr>
                <w:rFonts w:ascii="Times New Roman" w:hAnsi="Times New Roman" w:eastAsia="宋体" w:cs="Times New Roman"/>
                <w:color w:val="auto"/>
                <w:kern w:val="0"/>
              </w:rPr>
            </w:pPr>
          </w:p>
        </w:tc>
        <w:tc>
          <w:tcPr>
            <w:tcW w:w="807" w:type="pct"/>
            <w:vMerge w:val="continue"/>
            <w:vAlign w:val="center"/>
          </w:tcPr>
          <w:p w14:paraId="50B25222">
            <w:pPr>
              <w:spacing w:line="240" w:lineRule="exact"/>
              <w:jc w:val="center"/>
              <w:rPr>
                <w:rFonts w:ascii="Times New Roman" w:hAnsi="Times New Roman" w:eastAsia="宋体" w:cs="Times New Roman"/>
                <w:color w:val="auto"/>
                <w:kern w:val="0"/>
              </w:rPr>
            </w:pPr>
          </w:p>
        </w:tc>
        <w:tc>
          <w:tcPr>
            <w:tcW w:w="504" w:type="pct"/>
            <w:noWrap/>
            <w:vAlign w:val="center"/>
          </w:tcPr>
          <w:p w14:paraId="72E5A827">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2026.4.22</w:t>
            </w:r>
          </w:p>
        </w:tc>
        <w:tc>
          <w:tcPr>
            <w:tcW w:w="302" w:type="pct"/>
            <w:vAlign w:val="center"/>
          </w:tcPr>
          <w:p w14:paraId="6BB27FA9">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昼间</w:t>
            </w:r>
          </w:p>
        </w:tc>
        <w:tc>
          <w:tcPr>
            <w:tcW w:w="504" w:type="pct"/>
            <w:vAlign w:val="center"/>
          </w:tcPr>
          <w:p w14:paraId="2248F629">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51</w:t>
            </w:r>
          </w:p>
        </w:tc>
        <w:tc>
          <w:tcPr>
            <w:tcW w:w="338" w:type="pct"/>
            <w:noWrap/>
            <w:vAlign w:val="center"/>
          </w:tcPr>
          <w:p w14:paraId="001E3169">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41</w:t>
            </w:r>
          </w:p>
        </w:tc>
        <w:tc>
          <w:tcPr>
            <w:tcW w:w="338" w:type="pct"/>
            <w:noWrap/>
            <w:vAlign w:val="center"/>
          </w:tcPr>
          <w:p w14:paraId="42547593">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33</w:t>
            </w:r>
          </w:p>
        </w:tc>
        <w:tc>
          <w:tcPr>
            <w:tcW w:w="338" w:type="pct"/>
            <w:noWrap/>
            <w:vAlign w:val="center"/>
          </w:tcPr>
          <w:p w14:paraId="1BED6FD8">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105</w:t>
            </w:r>
          </w:p>
        </w:tc>
        <w:tc>
          <w:tcPr>
            <w:tcW w:w="345" w:type="pct"/>
            <w:vMerge w:val="continue"/>
            <w:noWrap/>
            <w:vAlign w:val="center"/>
          </w:tcPr>
          <w:p w14:paraId="394A6289">
            <w:pPr>
              <w:spacing w:line="240" w:lineRule="exact"/>
              <w:jc w:val="center"/>
              <w:rPr>
                <w:rFonts w:ascii="Times New Roman" w:hAnsi="Times New Roman" w:eastAsia="宋体" w:cs="Times New Roman"/>
                <w:color w:val="auto"/>
                <w:kern w:val="0"/>
              </w:rPr>
            </w:pPr>
          </w:p>
        </w:tc>
        <w:tc>
          <w:tcPr>
            <w:tcW w:w="376" w:type="pct"/>
            <w:noWrap/>
            <w:vAlign w:val="center"/>
          </w:tcPr>
          <w:p w14:paraId="2D7CE429">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6F85C46B">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4" w:type="pct"/>
            <w:vMerge w:val="continue"/>
            <w:vAlign w:val="center"/>
          </w:tcPr>
          <w:p w14:paraId="7672E7C3">
            <w:pPr>
              <w:spacing w:line="240" w:lineRule="exact"/>
              <w:jc w:val="center"/>
              <w:rPr>
                <w:rFonts w:ascii="Times New Roman" w:hAnsi="Times New Roman" w:eastAsia="宋体" w:cs="Times New Roman"/>
                <w:color w:val="auto"/>
                <w:kern w:val="0"/>
              </w:rPr>
            </w:pPr>
          </w:p>
        </w:tc>
        <w:tc>
          <w:tcPr>
            <w:tcW w:w="481" w:type="pct"/>
            <w:vMerge w:val="continue"/>
            <w:vAlign w:val="center"/>
          </w:tcPr>
          <w:p w14:paraId="01782FE9">
            <w:pPr>
              <w:spacing w:line="240" w:lineRule="exact"/>
              <w:jc w:val="center"/>
              <w:rPr>
                <w:rFonts w:ascii="Times New Roman" w:hAnsi="Times New Roman" w:eastAsia="宋体" w:cs="Times New Roman"/>
                <w:color w:val="auto"/>
                <w:kern w:val="0"/>
              </w:rPr>
            </w:pPr>
          </w:p>
        </w:tc>
        <w:tc>
          <w:tcPr>
            <w:tcW w:w="403" w:type="pct"/>
            <w:vMerge w:val="continue"/>
            <w:vAlign w:val="center"/>
          </w:tcPr>
          <w:p w14:paraId="2067F444">
            <w:pPr>
              <w:spacing w:line="240" w:lineRule="exact"/>
              <w:jc w:val="center"/>
              <w:rPr>
                <w:rFonts w:ascii="Times New Roman" w:hAnsi="Times New Roman" w:eastAsia="宋体" w:cs="Times New Roman"/>
                <w:color w:val="auto"/>
                <w:kern w:val="0"/>
              </w:rPr>
            </w:pPr>
          </w:p>
        </w:tc>
        <w:tc>
          <w:tcPr>
            <w:tcW w:w="807" w:type="pct"/>
            <w:vMerge w:val="continue"/>
            <w:vAlign w:val="center"/>
          </w:tcPr>
          <w:p w14:paraId="020D87A3">
            <w:pPr>
              <w:spacing w:line="240" w:lineRule="exact"/>
              <w:jc w:val="center"/>
              <w:rPr>
                <w:rFonts w:ascii="Times New Roman" w:hAnsi="Times New Roman" w:eastAsia="宋体" w:cs="Times New Roman"/>
                <w:color w:val="auto"/>
                <w:kern w:val="0"/>
              </w:rPr>
            </w:pPr>
          </w:p>
        </w:tc>
        <w:tc>
          <w:tcPr>
            <w:tcW w:w="504" w:type="pct"/>
            <w:noWrap/>
            <w:vAlign w:val="center"/>
          </w:tcPr>
          <w:p w14:paraId="57F640DB">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2026.4.23</w:t>
            </w:r>
          </w:p>
        </w:tc>
        <w:tc>
          <w:tcPr>
            <w:tcW w:w="302" w:type="pct"/>
            <w:vAlign w:val="center"/>
          </w:tcPr>
          <w:p w14:paraId="0F1E581D">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夜间</w:t>
            </w:r>
          </w:p>
        </w:tc>
        <w:tc>
          <w:tcPr>
            <w:tcW w:w="504" w:type="pct"/>
            <w:vAlign w:val="center"/>
          </w:tcPr>
          <w:p w14:paraId="5C7D1322">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46</w:t>
            </w:r>
          </w:p>
        </w:tc>
        <w:tc>
          <w:tcPr>
            <w:tcW w:w="338" w:type="pct"/>
            <w:noWrap/>
            <w:vAlign w:val="center"/>
          </w:tcPr>
          <w:p w14:paraId="68D24AEE">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28</w:t>
            </w:r>
          </w:p>
        </w:tc>
        <w:tc>
          <w:tcPr>
            <w:tcW w:w="338" w:type="pct"/>
            <w:noWrap/>
            <w:vAlign w:val="center"/>
          </w:tcPr>
          <w:p w14:paraId="758C4738">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15</w:t>
            </w:r>
          </w:p>
        </w:tc>
        <w:tc>
          <w:tcPr>
            <w:tcW w:w="338" w:type="pct"/>
            <w:noWrap/>
            <w:vAlign w:val="center"/>
          </w:tcPr>
          <w:p w14:paraId="07F9ECF6">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30</w:t>
            </w:r>
          </w:p>
        </w:tc>
        <w:tc>
          <w:tcPr>
            <w:tcW w:w="345" w:type="pct"/>
            <w:vMerge w:val="continue"/>
            <w:noWrap/>
            <w:vAlign w:val="center"/>
          </w:tcPr>
          <w:p w14:paraId="74466F97">
            <w:pPr>
              <w:spacing w:line="240" w:lineRule="exact"/>
              <w:jc w:val="center"/>
              <w:rPr>
                <w:rFonts w:ascii="Times New Roman" w:hAnsi="Times New Roman" w:eastAsia="宋体" w:cs="Times New Roman"/>
                <w:color w:val="auto"/>
                <w:kern w:val="0"/>
              </w:rPr>
            </w:pPr>
          </w:p>
        </w:tc>
        <w:tc>
          <w:tcPr>
            <w:tcW w:w="376" w:type="pct"/>
            <w:noWrap/>
            <w:vAlign w:val="center"/>
          </w:tcPr>
          <w:p w14:paraId="294EA64D">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1C184CAC">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4" w:type="pct"/>
            <w:vMerge w:val="restart"/>
            <w:noWrap/>
            <w:vAlign w:val="center"/>
          </w:tcPr>
          <w:p w14:paraId="3FAC6AC3">
            <w:pPr>
              <w:spacing w:line="240" w:lineRule="exact"/>
              <w:jc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w:t>
            </w:r>
          </w:p>
        </w:tc>
        <w:tc>
          <w:tcPr>
            <w:tcW w:w="481" w:type="pct"/>
            <w:vMerge w:val="restart"/>
            <w:noWrap/>
            <w:vAlign w:val="center"/>
          </w:tcPr>
          <w:p w14:paraId="08F0E042">
            <w:pPr>
              <w:spacing w:line="240" w:lineRule="exact"/>
              <w:jc w:val="center"/>
              <w:rPr>
                <w:rFonts w:ascii="Times New Roman" w:hAnsi="Times New Roman" w:eastAsia="宋体" w:cs="Times New Roman"/>
                <w:color w:val="auto"/>
                <w:kern w:val="0"/>
              </w:rPr>
            </w:pPr>
            <w:r>
              <w:rPr>
                <w:rFonts w:hint="eastAsia" w:ascii="Times New Roman" w:cs="Times New Roman" w:hAnsiTheme="minorEastAsia" w:eastAsiaTheme="minorEastAsia"/>
                <w:color w:val="auto"/>
              </w:rPr>
              <w:t>库尔干村</w:t>
            </w:r>
          </w:p>
        </w:tc>
        <w:tc>
          <w:tcPr>
            <w:tcW w:w="403" w:type="pct"/>
            <w:vMerge w:val="restart"/>
            <w:vAlign w:val="center"/>
          </w:tcPr>
          <w:p w14:paraId="5DB8D70A">
            <w:pPr>
              <w:spacing w:line="240" w:lineRule="exact"/>
              <w:jc w:val="center"/>
              <w:rPr>
                <w:rFonts w:ascii="Times New Roman" w:hAnsi="Times New Roman" w:eastAsia="宋体" w:cs="Times New Roman"/>
                <w:color w:val="auto"/>
                <w:kern w:val="0"/>
              </w:rPr>
            </w:pPr>
            <w:r>
              <w:rPr>
                <w:rFonts w:ascii="Times New Roman" w:hAnsi="Times New Roman" w:eastAsia="宋体" w:cs="Times New Roman"/>
                <w:color w:val="auto"/>
                <w:kern w:val="0"/>
              </w:rPr>
              <w:t>环境噪声</w:t>
            </w:r>
          </w:p>
        </w:tc>
        <w:tc>
          <w:tcPr>
            <w:tcW w:w="807" w:type="pct"/>
            <w:vMerge w:val="restart"/>
            <w:vAlign w:val="center"/>
          </w:tcPr>
          <w:p w14:paraId="6B3E73AA">
            <w:pPr>
              <w:spacing w:line="240" w:lineRule="exact"/>
              <w:jc w:val="center"/>
              <w:rPr>
                <w:rFonts w:ascii="Times New Roman" w:hAnsi="Times New Roman" w:eastAsia="宋体" w:cs="Times New Roman"/>
                <w:color w:val="auto"/>
                <w:kern w:val="0"/>
              </w:rPr>
            </w:pPr>
            <w:r>
              <w:rPr>
                <w:rFonts w:ascii="Times New Roman" w:hAnsi="Times New Roman" w:eastAsia="宋体" w:cs="Times New Roman"/>
                <w:color w:val="auto"/>
              </w:rPr>
              <w:t>临现有</w:t>
            </w:r>
            <w:r>
              <w:rPr>
                <w:rFonts w:hint="eastAsia" w:ascii="Times New Roman" w:hAnsi="Times New Roman" w:eastAsia="宋体" w:cs="Times New Roman"/>
                <w:color w:val="auto"/>
              </w:rPr>
              <w:t>G219</w:t>
            </w:r>
            <w:r>
              <w:rPr>
                <w:rFonts w:ascii="Times New Roman" w:hAnsi="Times New Roman" w:eastAsia="宋体" w:cs="Times New Roman"/>
                <w:color w:val="auto"/>
              </w:rPr>
              <w:t>第一排房</w:t>
            </w:r>
            <w:r>
              <w:rPr>
                <w:rFonts w:hint="eastAsia" w:ascii="Times New Roman" w:hAnsi="Times New Roman" w:eastAsia="宋体" w:cs="Times New Roman"/>
                <w:color w:val="auto"/>
              </w:rPr>
              <w:t>1</w:t>
            </w:r>
            <w:r>
              <w:rPr>
                <w:rFonts w:ascii="Times New Roman" w:hAnsi="Times New Roman" w:eastAsia="宋体" w:cs="Times New Roman"/>
                <w:color w:val="auto"/>
              </w:rPr>
              <w:t>层</w:t>
            </w:r>
          </w:p>
        </w:tc>
        <w:tc>
          <w:tcPr>
            <w:tcW w:w="504" w:type="pct"/>
            <w:noWrap/>
            <w:vAlign w:val="center"/>
          </w:tcPr>
          <w:p w14:paraId="44C54805">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2026.4.21</w:t>
            </w:r>
          </w:p>
        </w:tc>
        <w:tc>
          <w:tcPr>
            <w:tcW w:w="302" w:type="pct"/>
            <w:vAlign w:val="center"/>
          </w:tcPr>
          <w:p w14:paraId="0513D62D">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昼间</w:t>
            </w:r>
          </w:p>
        </w:tc>
        <w:tc>
          <w:tcPr>
            <w:tcW w:w="504" w:type="pct"/>
            <w:vAlign w:val="center"/>
          </w:tcPr>
          <w:p w14:paraId="39A2D8A7">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55</w:t>
            </w:r>
          </w:p>
        </w:tc>
        <w:tc>
          <w:tcPr>
            <w:tcW w:w="338" w:type="pct"/>
            <w:noWrap/>
            <w:vAlign w:val="center"/>
          </w:tcPr>
          <w:p w14:paraId="4D660A4F">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48</w:t>
            </w:r>
          </w:p>
        </w:tc>
        <w:tc>
          <w:tcPr>
            <w:tcW w:w="338" w:type="pct"/>
            <w:noWrap/>
            <w:vAlign w:val="center"/>
          </w:tcPr>
          <w:p w14:paraId="60F851F5">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30</w:t>
            </w:r>
          </w:p>
        </w:tc>
        <w:tc>
          <w:tcPr>
            <w:tcW w:w="338" w:type="pct"/>
            <w:noWrap/>
            <w:vAlign w:val="center"/>
          </w:tcPr>
          <w:p w14:paraId="037BB555">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114</w:t>
            </w:r>
          </w:p>
        </w:tc>
        <w:tc>
          <w:tcPr>
            <w:tcW w:w="345" w:type="pct"/>
            <w:vMerge w:val="restart"/>
            <w:noWrap/>
            <w:vAlign w:val="center"/>
          </w:tcPr>
          <w:p w14:paraId="6CF1AE80">
            <w:pPr>
              <w:spacing w:line="240" w:lineRule="exact"/>
              <w:jc w:val="center"/>
              <w:rPr>
                <w:rFonts w:ascii="Times New Roman" w:hAnsi="Times New Roman" w:eastAsia="宋体" w:cs="Times New Roman"/>
                <w:color w:val="auto"/>
                <w:kern w:val="0"/>
              </w:rPr>
            </w:pPr>
            <w:r>
              <w:rPr>
                <w:rFonts w:ascii="Times New Roman" w:hAnsi="Times New Roman" w:eastAsia="宋体" w:cs="Times New Roman"/>
                <w:color w:val="auto"/>
                <w:kern w:val="0"/>
              </w:rPr>
              <w:t>4a类</w:t>
            </w:r>
          </w:p>
        </w:tc>
        <w:tc>
          <w:tcPr>
            <w:tcW w:w="376" w:type="pct"/>
            <w:noWrap/>
            <w:vAlign w:val="center"/>
          </w:tcPr>
          <w:p w14:paraId="1F41D489">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0A8D6CD1">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4" w:type="pct"/>
            <w:vMerge w:val="continue"/>
            <w:vAlign w:val="center"/>
          </w:tcPr>
          <w:p w14:paraId="192A5C5B">
            <w:pPr>
              <w:spacing w:line="240" w:lineRule="exact"/>
              <w:jc w:val="center"/>
              <w:rPr>
                <w:rFonts w:ascii="Times New Roman" w:hAnsi="Times New Roman" w:eastAsia="宋体" w:cs="Times New Roman"/>
                <w:color w:val="auto"/>
                <w:kern w:val="0"/>
              </w:rPr>
            </w:pPr>
          </w:p>
        </w:tc>
        <w:tc>
          <w:tcPr>
            <w:tcW w:w="481" w:type="pct"/>
            <w:vMerge w:val="continue"/>
            <w:vAlign w:val="center"/>
          </w:tcPr>
          <w:p w14:paraId="0A6E483A">
            <w:pPr>
              <w:spacing w:line="240" w:lineRule="exact"/>
              <w:jc w:val="center"/>
              <w:rPr>
                <w:rFonts w:ascii="Times New Roman" w:hAnsi="Times New Roman" w:eastAsia="宋体" w:cs="Times New Roman"/>
                <w:color w:val="auto"/>
                <w:kern w:val="0"/>
              </w:rPr>
            </w:pPr>
          </w:p>
        </w:tc>
        <w:tc>
          <w:tcPr>
            <w:tcW w:w="403" w:type="pct"/>
            <w:vMerge w:val="continue"/>
            <w:vAlign w:val="center"/>
          </w:tcPr>
          <w:p w14:paraId="4B982063">
            <w:pPr>
              <w:spacing w:line="240" w:lineRule="exact"/>
              <w:jc w:val="center"/>
              <w:rPr>
                <w:rFonts w:ascii="Times New Roman" w:hAnsi="Times New Roman" w:eastAsia="宋体" w:cs="Times New Roman"/>
                <w:color w:val="auto"/>
                <w:kern w:val="0"/>
              </w:rPr>
            </w:pPr>
          </w:p>
        </w:tc>
        <w:tc>
          <w:tcPr>
            <w:tcW w:w="807" w:type="pct"/>
            <w:vMerge w:val="continue"/>
            <w:vAlign w:val="center"/>
          </w:tcPr>
          <w:p w14:paraId="3435F670">
            <w:pPr>
              <w:spacing w:line="240" w:lineRule="exact"/>
              <w:jc w:val="center"/>
              <w:rPr>
                <w:rFonts w:ascii="Times New Roman" w:hAnsi="Times New Roman" w:eastAsia="宋体" w:cs="Times New Roman"/>
                <w:color w:val="auto"/>
                <w:kern w:val="0"/>
              </w:rPr>
            </w:pPr>
          </w:p>
        </w:tc>
        <w:tc>
          <w:tcPr>
            <w:tcW w:w="504" w:type="pct"/>
            <w:noWrap/>
            <w:vAlign w:val="center"/>
          </w:tcPr>
          <w:p w14:paraId="4DC32B98">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2026.4.22</w:t>
            </w:r>
          </w:p>
        </w:tc>
        <w:tc>
          <w:tcPr>
            <w:tcW w:w="302" w:type="pct"/>
            <w:vAlign w:val="center"/>
          </w:tcPr>
          <w:p w14:paraId="1F5B96FB">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夜间</w:t>
            </w:r>
          </w:p>
        </w:tc>
        <w:tc>
          <w:tcPr>
            <w:tcW w:w="504" w:type="pct"/>
            <w:vAlign w:val="center"/>
          </w:tcPr>
          <w:p w14:paraId="02566CDB">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50</w:t>
            </w:r>
          </w:p>
        </w:tc>
        <w:tc>
          <w:tcPr>
            <w:tcW w:w="338" w:type="pct"/>
            <w:noWrap/>
            <w:vAlign w:val="center"/>
          </w:tcPr>
          <w:p w14:paraId="4C14E8FF">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24</w:t>
            </w:r>
          </w:p>
        </w:tc>
        <w:tc>
          <w:tcPr>
            <w:tcW w:w="338" w:type="pct"/>
            <w:noWrap/>
            <w:vAlign w:val="center"/>
          </w:tcPr>
          <w:p w14:paraId="147E6003">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12</w:t>
            </w:r>
          </w:p>
        </w:tc>
        <w:tc>
          <w:tcPr>
            <w:tcW w:w="338" w:type="pct"/>
            <w:noWrap/>
            <w:vAlign w:val="center"/>
          </w:tcPr>
          <w:p w14:paraId="28E98761">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30</w:t>
            </w:r>
          </w:p>
        </w:tc>
        <w:tc>
          <w:tcPr>
            <w:tcW w:w="345" w:type="pct"/>
            <w:vMerge w:val="continue"/>
            <w:noWrap/>
            <w:vAlign w:val="center"/>
          </w:tcPr>
          <w:p w14:paraId="7A5F9AC7">
            <w:pPr>
              <w:spacing w:line="240" w:lineRule="exact"/>
              <w:jc w:val="center"/>
              <w:rPr>
                <w:rFonts w:ascii="Times New Roman" w:hAnsi="Times New Roman" w:eastAsia="宋体" w:cs="Times New Roman"/>
                <w:color w:val="auto"/>
                <w:kern w:val="0"/>
              </w:rPr>
            </w:pPr>
          </w:p>
        </w:tc>
        <w:tc>
          <w:tcPr>
            <w:tcW w:w="376" w:type="pct"/>
            <w:noWrap/>
            <w:vAlign w:val="center"/>
          </w:tcPr>
          <w:p w14:paraId="5B1DE1B0">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2183A470">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4" w:type="pct"/>
            <w:vMerge w:val="continue"/>
            <w:vAlign w:val="center"/>
          </w:tcPr>
          <w:p w14:paraId="55FC9B18">
            <w:pPr>
              <w:spacing w:line="240" w:lineRule="exact"/>
              <w:jc w:val="center"/>
              <w:rPr>
                <w:rFonts w:ascii="Times New Roman" w:hAnsi="Times New Roman" w:eastAsia="宋体" w:cs="Times New Roman"/>
                <w:color w:val="auto"/>
                <w:kern w:val="0"/>
              </w:rPr>
            </w:pPr>
          </w:p>
        </w:tc>
        <w:tc>
          <w:tcPr>
            <w:tcW w:w="481" w:type="pct"/>
            <w:vMerge w:val="continue"/>
            <w:vAlign w:val="center"/>
          </w:tcPr>
          <w:p w14:paraId="39A8C615">
            <w:pPr>
              <w:spacing w:line="240" w:lineRule="exact"/>
              <w:jc w:val="center"/>
              <w:rPr>
                <w:rFonts w:ascii="Times New Roman" w:hAnsi="Times New Roman" w:eastAsia="宋体" w:cs="Times New Roman"/>
                <w:color w:val="auto"/>
                <w:kern w:val="0"/>
              </w:rPr>
            </w:pPr>
          </w:p>
        </w:tc>
        <w:tc>
          <w:tcPr>
            <w:tcW w:w="403" w:type="pct"/>
            <w:vMerge w:val="continue"/>
            <w:vAlign w:val="center"/>
          </w:tcPr>
          <w:p w14:paraId="14D89CCB">
            <w:pPr>
              <w:spacing w:line="240" w:lineRule="exact"/>
              <w:jc w:val="center"/>
              <w:rPr>
                <w:rFonts w:ascii="Times New Roman" w:hAnsi="Times New Roman" w:eastAsia="宋体" w:cs="Times New Roman"/>
                <w:color w:val="auto"/>
                <w:kern w:val="0"/>
              </w:rPr>
            </w:pPr>
          </w:p>
        </w:tc>
        <w:tc>
          <w:tcPr>
            <w:tcW w:w="807" w:type="pct"/>
            <w:vMerge w:val="continue"/>
            <w:vAlign w:val="center"/>
          </w:tcPr>
          <w:p w14:paraId="4B346DE1">
            <w:pPr>
              <w:spacing w:line="240" w:lineRule="exact"/>
              <w:jc w:val="center"/>
              <w:rPr>
                <w:rFonts w:ascii="Times New Roman" w:hAnsi="Times New Roman" w:eastAsia="宋体" w:cs="Times New Roman"/>
                <w:color w:val="auto"/>
                <w:kern w:val="0"/>
              </w:rPr>
            </w:pPr>
          </w:p>
        </w:tc>
        <w:tc>
          <w:tcPr>
            <w:tcW w:w="504" w:type="pct"/>
            <w:noWrap/>
            <w:vAlign w:val="center"/>
          </w:tcPr>
          <w:p w14:paraId="2288C35B">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2026.4.22</w:t>
            </w:r>
          </w:p>
        </w:tc>
        <w:tc>
          <w:tcPr>
            <w:tcW w:w="302" w:type="pct"/>
            <w:vAlign w:val="center"/>
          </w:tcPr>
          <w:p w14:paraId="12876550">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昼间</w:t>
            </w:r>
          </w:p>
        </w:tc>
        <w:tc>
          <w:tcPr>
            <w:tcW w:w="504" w:type="pct"/>
            <w:vAlign w:val="center"/>
          </w:tcPr>
          <w:p w14:paraId="711DEA40">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57</w:t>
            </w:r>
          </w:p>
        </w:tc>
        <w:tc>
          <w:tcPr>
            <w:tcW w:w="338" w:type="pct"/>
            <w:noWrap/>
            <w:vAlign w:val="center"/>
          </w:tcPr>
          <w:p w14:paraId="38CEF64F">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48</w:t>
            </w:r>
          </w:p>
        </w:tc>
        <w:tc>
          <w:tcPr>
            <w:tcW w:w="338" w:type="pct"/>
            <w:noWrap/>
            <w:vAlign w:val="center"/>
          </w:tcPr>
          <w:p w14:paraId="472A22BE">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27</w:t>
            </w:r>
          </w:p>
        </w:tc>
        <w:tc>
          <w:tcPr>
            <w:tcW w:w="338" w:type="pct"/>
            <w:noWrap/>
            <w:vAlign w:val="center"/>
          </w:tcPr>
          <w:p w14:paraId="5EFE4410">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117</w:t>
            </w:r>
          </w:p>
        </w:tc>
        <w:tc>
          <w:tcPr>
            <w:tcW w:w="345" w:type="pct"/>
            <w:vMerge w:val="continue"/>
            <w:noWrap/>
            <w:vAlign w:val="center"/>
          </w:tcPr>
          <w:p w14:paraId="684B0761">
            <w:pPr>
              <w:spacing w:line="240" w:lineRule="exact"/>
              <w:jc w:val="center"/>
              <w:rPr>
                <w:rFonts w:ascii="Times New Roman" w:hAnsi="Times New Roman" w:eastAsia="宋体" w:cs="Times New Roman"/>
                <w:color w:val="auto"/>
                <w:kern w:val="0"/>
              </w:rPr>
            </w:pPr>
          </w:p>
        </w:tc>
        <w:tc>
          <w:tcPr>
            <w:tcW w:w="376" w:type="pct"/>
            <w:noWrap/>
            <w:vAlign w:val="center"/>
          </w:tcPr>
          <w:p w14:paraId="5A69082F">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5FCCAB09">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4" w:type="pct"/>
            <w:vMerge w:val="continue"/>
            <w:vAlign w:val="center"/>
          </w:tcPr>
          <w:p w14:paraId="7B4A2961">
            <w:pPr>
              <w:spacing w:line="240" w:lineRule="exact"/>
              <w:jc w:val="center"/>
              <w:rPr>
                <w:rFonts w:ascii="Times New Roman" w:hAnsi="Times New Roman" w:eastAsia="宋体" w:cs="Times New Roman"/>
                <w:color w:val="auto"/>
                <w:kern w:val="0"/>
              </w:rPr>
            </w:pPr>
          </w:p>
        </w:tc>
        <w:tc>
          <w:tcPr>
            <w:tcW w:w="481" w:type="pct"/>
            <w:vMerge w:val="continue"/>
            <w:vAlign w:val="center"/>
          </w:tcPr>
          <w:p w14:paraId="76B9F495">
            <w:pPr>
              <w:spacing w:line="240" w:lineRule="exact"/>
              <w:jc w:val="center"/>
              <w:rPr>
                <w:rFonts w:ascii="Times New Roman" w:hAnsi="Times New Roman" w:eastAsia="宋体" w:cs="Times New Roman"/>
                <w:color w:val="auto"/>
                <w:kern w:val="0"/>
              </w:rPr>
            </w:pPr>
          </w:p>
        </w:tc>
        <w:tc>
          <w:tcPr>
            <w:tcW w:w="403" w:type="pct"/>
            <w:vMerge w:val="continue"/>
            <w:vAlign w:val="center"/>
          </w:tcPr>
          <w:p w14:paraId="7F419C6B">
            <w:pPr>
              <w:spacing w:line="240" w:lineRule="exact"/>
              <w:jc w:val="center"/>
              <w:rPr>
                <w:rFonts w:ascii="Times New Roman" w:hAnsi="Times New Roman" w:eastAsia="宋体" w:cs="Times New Roman"/>
                <w:color w:val="auto"/>
                <w:kern w:val="0"/>
              </w:rPr>
            </w:pPr>
          </w:p>
        </w:tc>
        <w:tc>
          <w:tcPr>
            <w:tcW w:w="807" w:type="pct"/>
            <w:vMerge w:val="continue"/>
            <w:vAlign w:val="center"/>
          </w:tcPr>
          <w:p w14:paraId="5291D0CC">
            <w:pPr>
              <w:spacing w:line="240" w:lineRule="exact"/>
              <w:jc w:val="center"/>
              <w:rPr>
                <w:rFonts w:ascii="Times New Roman" w:hAnsi="Times New Roman" w:eastAsia="宋体" w:cs="Times New Roman"/>
                <w:color w:val="auto"/>
                <w:kern w:val="0"/>
              </w:rPr>
            </w:pPr>
          </w:p>
        </w:tc>
        <w:tc>
          <w:tcPr>
            <w:tcW w:w="504" w:type="pct"/>
            <w:noWrap/>
            <w:vAlign w:val="center"/>
          </w:tcPr>
          <w:p w14:paraId="01DF622D">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2026.4.23</w:t>
            </w:r>
          </w:p>
        </w:tc>
        <w:tc>
          <w:tcPr>
            <w:tcW w:w="302" w:type="pct"/>
            <w:vAlign w:val="center"/>
          </w:tcPr>
          <w:p w14:paraId="101BA132">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夜间</w:t>
            </w:r>
          </w:p>
        </w:tc>
        <w:tc>
          <w:tcPr>
            <w:tcW w:w="504" w:type="pct"/>
            <w:vAlign w:val="center"/>
          </w:tcPr>
          <w:p w14:paraId="6A225102">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52</w:t>
            </w:r>
          </w:p>
        </w:tc>
        <w:tc>
          <w:tcPr>
            <w:tcW w:w="338" w:type="pct"/>
            <w:noWrap/>
            <w:vAlign w:val="center"/>
          </w:tcPr>
          <w:p w14:paraId="3907E1F0">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26</w:t>
            </w:r>
          </w:p>
        </w:tc>
        <w:tc>
          <w:tcPr>
            <w:tcW w:w="338" w:type="pct"/>
            <w:noWrap/>
            <w:vAlign w:val="center"/>
          </w:tcPr>
          <w:p w14:paraId="2E3F7C47">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12</w:t>
            </w:r>
          </w:p>
        </w:tc>
        <w:tc>
          <w:tcPr>
            <w:tcW w:w="338" w:type="pct"/>
            <w:noWrap/>
            <w:vAlign w:val="center"/>
          </w:tcPr>
          <w:p w14:paraId="7F8E97DF">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27</w:t>
            </w:r>
          </w:p>
        </w:tc>
        <w:tc>
          <w:tcPr>
            <w:tcW w:w="345" w:type="pct"/>
            <w:vMerge w:val="continue"/>
            <w:noWrap/>
            <w:vAlign w:val="center"/>
          </w:tcPr>
          <w:p w14:paraId="2B9D7ED2">
            <w:pPr>
              <w:spacing w:line="240" w:lineRule="exact"/>
              <w:jc w:val="center"/>
              <w:rPr>
                <w:rFonts w:ascii="Times New Roman" w:hAnsi="Times New Roman" w:eastAsia="宋体" w:cs="Times New Roman"/>
                <w:color w:val="auto"/>
                <w:kern w:val="0"/>
              </w:rPr>
            </w:pPr>
          </w:p>
        </w:tc>
        <w:tc>
          <w:tcPr>
            <w:tcW w:w="376" w:type="pct"/>
            <w:noWrap/>
            <w:vAlign w:val="center"/>
          </w:tcPr>
          <w:p w14:paraId="24318828">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4785F996">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4" w:type="pct"/>
            <w:vMerge w:val="continue"/>
            <w:vAlign w:val="center"/>
          </w:tcPr>
          <w:p w14:paraId="4DAF03A8">
            <w:pPr>
              <w:spacing w:line="240" w:lineRule="exact"/>
              <w:jc w:val="center"/>
              <w:rPr>
                <w:rFonts w:ascii="Times New Roman" w:hAnsi="Times New Roman" w:eastAsia="宋体" w:cs="Times New Roman"/>
                <w:color w:val="auto"/>
                <w:kern w:val="0"/>
              </w:rPr>
            </w:pPr>
          </w:p>
        </w:tc>
        <w:tc>
          <w:tcPr>
            <w:tcW w:w="481" w:type="pct"/>
            <w:vMerge w:val="continue"/>
            <w:vAlign w:val="center"/>
          </w:tcPr>
          <w:p w14:paraId="5F83C43B">
            <w:pPr>
              <w:spacing w:line="240" w:lineRule="exact"/>
              <w:jc w:val="center"/>
              <w:rPr>
                <w:rFonts w:ascii="Times New Roman" w:hAnsi="Times New Roman" w:eastAsia="宋体" w:cs="Times New Roman"/>
                <w:color w:val="auto"/>
                <w:kern w:val="0"/>
              </w:rPr>
            </w:pPr>
          </w:p>
        </w:tc>
        <w:tc>
          <w:tcPr>
            <w:tcW w:w="403" w:type="pct"/>
            <w:vMerge w:val="continue"/>
            <w:vAlign w:val="center"/>
          </w:tcPr>
          <w:p w14:paraId="5E6CA914">
            <w:pPr>
              <w:spacing w:line="240" w:lineRule="exact"/>
              <w:jc w:val="center"/>
              <w:rPr>
                <w:rFonts w:ascii="Times New Roman" w:hAnsi="Times New Roman" w:eastAsia="宋体" w:cs="Times New Roman"/>
                <w:color w:val="auto"/>
                <w:kern w:val="0"/>
              </w:rPr>
            </w:pPr>
          </w:p>
        </w:tc>
        <w:tc>
          <w:tcPr>
            <w:tcW w:w="807" w:type="pct"/>
            <w:vMerge w:val="restart"/>
            <w:vAlign w:val="center"/>
          </w:tcPr>
          <w:p w14:paraId="5A3149A2">
            <w:pPr>
              <w:spacing w:line="240" w:lineRule="exact"/>
              <w:jc w:val="center"/>
              <w:rPr>
                <w:rFonts w:ascii="Times New Roman" w:hAnsi="Times New Roman" w:eastAsia="宋体" w:cs="Times New Roman"/>
                <w:color w:val="auto"/>
                <w:kern w:val="0"/>
              </w:rPr>
            </w:pPr>
            <w:r>
              <w:rPr>
                <w:rFonts w:ascii="Times New Roman" w:hAnsi="Times New Roman" w:eastAsia="宋体" w:cs="Times New Roman"/>
                <w:color w:val="auto"/>
              </w:rPr>
              <w:t>临现有</w:t>
            </w:r>
            <w:r>
              <w:rPr>
                <w:rFonts w:hint="eastAsia" w:ascii="Times New Roman" w:hAnsi="Times New Roman" w:eastAsia="宋体" w:cs="Times New Roman"/>
                <w:color w:val="auto"/>
              </w:rPr>
              <w:t>G219</w:t>
            </w:r>
            <w:r>
              <w:rPr>
                <w:rFonts w:ascii="Times New Roman" w:hAnsi="Times New Roman" w:eastAsia="宋体" w:cs="Times New Roman"/>
                <w:color w:val="auto"/>
              </w:rPr>
              <w:t>边界</w:t>
            </w:r>
            <w:r>
              <w:rPr>
                <w:rFonts w:hint="eastAsia" w:ascii="Times New Roman" w:hAnsi="Times New Roman" w:eastAsia="宋体" w:cs="Times New Roman"/>
                <w:color w:val="auto"/>
              </w:rPr>
              <w:t>35</w:t>
            </w:r>
            <w:r>
              <w:rPr>
                <w:rFonts w:ascii="Times New Roman" w:hAnsi="Times New Roman" w:eastAsia="宋体" w:cs="Times New Roman"/>
                <w:color w:val="auto"/>
              </w:rPr>
              <w:t>m外第一排房</w:t>
            </w:r>
            <w:r>
              <w:rPr>
                <w:rFonts w:hint="eastAsia" w:ascii="Times New Roman" w:hAnsi="Times New Roman" w:eastAsia="宋体" w:cs="Times New Roman"/>
                <w:color w:val="auto"/>
              </w:rPr>
              <w:t>1</w:t>
            </w:r>
            <w:r>
              <w:rPr>
                <w:rFonts w:ascii="Times New Roman" w:hAnsi="Times New Roman" w:eastAsia="宋体" w:cs="Times New Roman"/>
                <w:color w:val="auto"/>
              </w:rPr>
              <w:t>层</w:t>
            </w:r>
          </w:p>
        </w:tc>
        <w:tc>
          <w:tcPr>
            <w:tcW w:w="504" w:type="pct"/>
            <w:noWrap/>
            <w:vAlign w:val="center"/>
          </w:tcPr>
          <w:p w14:paraId="01BE169C">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2026.4.21</w:t>
            </w:r>
          </w:p>
        </w:tc>
        <w:tc>
          <w:tcPr>
            <w:tcW w:w="302" w:type="pct"/>
            <w:vAlign w:val="center"/>
          </w:tcPr>
          <w:p w14:paraId="09D9F58F">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昼间</w:t>
            </w:r>
          </w:p>
        </w:tc>
        <w:tc>
          <w:tcPr>
            <w:tcW w:w="504" w:type="pct"/>
            <w:vAlign w:val="center"/>
          </w:tcPr>
          <w:p w14:paraId="2F74C55B">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52</w:t>
            </w:r>
          </w:p>
        </w:tc>
        <w:tc>
          <w:tcPr>
            <w:tcW w:w="338" w:type="pct"/>
            <w:noWrap/>
            <w:vAlign w:val="center"/>
          </w:tcPr>
          <w:p w14:paraId="7948C8EE">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48</w:t>
            </w:r>
          </w:p>
        </w:tc>
        <w:tc>
          <w:tcPr>
            <w:tcW w:w="338" w:type="pct"/>
            <w:noWrap/>
            <w:vAlign w:val="center"/>
          </w:tcPr>
          <w:p w14:paraId="371081C9">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30</w:t>
            </w:r>
          </w:p>
        </w:tc>
        <w:tc>
          <w:tcPr>
            <w:tcW w:w="338" w:type="pct"/>
            <w:noWrap/>
            <w:vAlign w:val="center"/>
          </w:tcPr>
          <w:p w14:paraId="53024164">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114</w:t>
            </w:r>
          </w:p>
        </w:tc>
        <w:tc>
          <w:tcPr>
            <w:tcW w:w="345" w:type="pct"/>
            <w:vMerge w:val="restart"/>
            <w:noWrap/>
            <w:vAlign w:val="center"/>
          </w:tcPr>
          <w:p w14:paraId="38C5C7D4">
            <w:pPr>
              <w:spacing w:line="240" w:lineRule="exact"/>
              <w:jc w:val="center"/>
              <w:rPr>
                <w:rFonts w:ascii="Times New Roman" w:hAnsi="Times New Roman" w:eastAsia="宋体" w:cs="Times New Roman"/>
                <w:color w:val="auto"/>
                <w:kern w:val="0"/>
              </w:rPr>
            </w:pPr>
            <w:r>
              <w:rPr>
                <w:rFonts w:ascii="Times New Roman" w:hAnsi="Times New Roman" w:eastAsia="宋体" w:cs="Times New Roman"/>
                <w:color w:val="auto"/>
                <w:kern w:val="0"/>
              </w:rPr>
              <w:t>2类</w:t>
            </w:r>
          </w:p>
        </w:tc>
        <w:tc>
          <w:tcPr>
            <w:tcW w:w="376" w:type="pct"/>
            <w:noWrap/>
            <w:vAlign w:val="center"/>
          </w:tcPr>
          <w:p w14:paraId="00DE1372">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25B71021">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4" w:type="pct"/>
            <w:vMerge w:val="continue"/>
            <w:vAlign w:val="center"/>
          </w:tcPr>
          <w:p w14:paraId="7B5F885F">
            <w:pPr>
              <w:spacing w:line="240" w:lineRule="exact"/>
              <w:jc w:val="center"/>
              <w:rPr>
                <w:rFonts w:ascii="Times New Roman" w:hAnsi="Times New Roman" w:eastAsia="宋体" w:cs="Times New Roman"/>
                <w:color w:val="auto"/>
                <w:kern w:val="0"/>
              </w:rPr>
            </w:pPr>
          </w:p>
        </w:tc>
        <w:tc>
          <w:tcPr>
            <w:tcW w:w="481" w:type="pct"/>
            <w:vMerge w:val="continue"/>
            <w:vAlign w:val="center"/>
          </w:tcPr>
          <w:p w14:paraId="4709AB2F">
            <w:pPr>
              <w:spacing w:line="240" w:lineRule="exact"/>
              <w:jc w:val="center"/>
              <w:rPr>
                <w:rFonts w:ascii="Times New Roman" w:hAnsi="Times New Roman" w:eastAsia="宋体" w:cs="Times New Roman"/>
                <w:color w:val="auto"/>
                <w:kern w:val="0"/>
              </w:rPr>
            </w:pPr>
          </w:p>
        </w:tc>
        <w:tc>
          <w:tcPr>
            <w:tcW w:w="403" w:type="pct"/>
            <w:vMerge w:val="continue"/>
            <w:vAlign w:val="center"/>
          </w:tcPr>
          <w:p w14:paraId="63BF9881">
            <w:pPr>
              <w:spacing w:line="240" w:lineRule="exact"/>
              <w:jc w:val="center"/>
              <w:rPr>
                <w:rFonts w:ascii="Times New Roman" w:hAnsi="Times New Roman" w:eastAsia="宋体" w:cs="Times New Roman"/>
                <w:color w:val="auto"/>
                <w:kern w:val="0"/>
              </w:rPr>
            </w:pPr>
          </w:p>
        </w:tc>
        <w:tc>
          <w:tcPr>
            <w:tcW w:w="807" w:type="pct"/>
            <w:vMerge w:val="continue"/>
            <w:vAlign w:val="center"/>
          </w:tcPr>
          <w:p w14:paraId="7FBA1173">
            <w:pPr>
              <w:spacing w:line="240" w:lineRule="exact"/>
              <w:jc w:val="center"/>
              <w:rPr>
                <w:rFonts w:ascii="Times New Roman" w:hAnsi="Times New Roman" w:eastAsia="宋体" w:cs="Times New Roman"/>
                <w:color w:val="auto"/>
                <w:kern w:val="0"/>
              </w:rPr>
            </w:pPr>
          </w:p>
        </w:tc>
        <w:tc>
          <w:tcPr>
            <w:tcW w:w="504" w:type="pct"/>
            <w:noWrap/>
            <w:vAlign w:val="center"/>
          </w:tcPr>
          <w:p w14:paraId="3D37AB86">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2026.4.22</w:t>
            </w:r>
          </w:p>
        </w:tc>
        <w:tc>
          <w:tcPr>
            <w:tcW w:w="302" w:type="pct"/>
            <w:vAlign w:val="center"/>
          </w:tcPr>
          <w:p w14:paraId="5BB1C4A2">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夜间</w:t>
            </w:r>
          </w:p>
        </w:tc>
        <w:tc>
          <w:tcPr>
            <w:tcW w:w="504" w:type="pct"/>
            <w:vAlign w:val="center"/>
          </w:tcPr>
          <w:p w14:paraId="63D544CF">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48</w:t>
            </w:r>
          </w:p>
        </w:tc>
        <w:tc>
          <w:tcPr>
            <w:tcW w:w="338" w:type="pct"/>
            <w:noWrap/>
            <w:vAlign w:val="center"/>
          </w:tcPr>
          <w:p w14:paraId="28C905AC">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24</w:t>
            </w:r>
          </w:p>
        </w:tc>
        <w:tc>
          <w:tcPr>
            <w:tcW w:w="338" w:type="pct"/>
            <w:noWrap/>
            <w:vAlign w:val="center"/>
          </w:tcPr>
          <w:p w14:paraId="625BD615">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12</w:t>
            </w:r>
          </w:p>
        </w:tc>
        <w:tc>
          <w:tcPr>
            <w:tcW w:w="338" w:type="pct"/>
            <w:noWrap/>
            <w:vAlign w:val="center"/>
          </w:tcPr>
          <w:p w14:paraId="08E3DC9D">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30</w:t>
            </w:r>
          </w:p>
        </w:tc>
        <w:tc>
          <w:tcPr>
            <w:tcW w:w="345" w:type="pct"/>
            <w:vMerge w:val="continue"/>
            <w:noWrap/>
            <w:vAlign w:val="center"/>
          </w:tcPr>
          <w:p w14:paraId="12A3AA24">
            <w:pPr>
              <w:spacing w:line="240" w:lineRule="exact"/>
              <w:jc w:val="center"/>
              <w:rPr>
                <w:rFonts w:ascii="Times New Roman" w:hAnsi="Times New Roman" w:eastAsia="宋体" w:cs="Times New Roman"/>
                <w:color w:val="auto"/>
                <w:kern w:val="0"/>
              </w:rPr>
            </w:pPr>
          </w:p>
        </w:tc>
        <w:tc>
          <w:tcPr>
            <w:tcW w:w="376" w:type="pct"/>
            <w:noWrap/>
            <w:vAlign w:val="center"/>
          </w:tcPr>
          <w:p w14:paraId="7FDDEFE5">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3BCEABA5">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4" w:type="pct"/>
            <w:vMerge w:val="continue"/>
            <w:vAlign w:val="center"/>
          </w:tcPr>
          <w:p w14:paraId="2B36CBDA">
            <w:pPr>
              <w:spacing w:line="240" w:lineRule="exact"/>
              <w:jc w:val="center"/>
              <w:rPr>
                <w:rFonts w:ascii="Times New Roman" w:hAnsi="Times New Roman" w:eastAsia="宋体" w:cs="Times New Roman"/>
                <w:color w:val="auto"/>
                <w:kern w:val="0"/>
              </w:rPr>
            </w:pPr>
          </w:p>
        </w:tc>
        <w:tc>
          <w:tcPr>
            <w:tcW w:w="481" w:type="pct"/>
            <w:vMerge w:val="continue"/>
            <w:vAlign w:val="center"/>
          </w:tcPr>
          <w:p w14:paraId="4A016B41">
            <w:pPr>
              <w:spacing w:line="240" w:lineRule="exact"/>
              <w:jc w:val="center"/>
              <w:rPr>
                <w:rFonts w:ascii="Times New Roman" w:hAnsi="Times New Roman" w:eastAsia="宋体" w:cs="Times New Roman"/>
                <w:color w:val="auto"/>
                <w:kern w:val="0"/>
              </w:rPr>
            </w:pPr>
          </w:p>
        </w:tc>
        <w:tc>
          <w:tcPr>
            <w:tcW w:w="403" w:type="pct"/>
            <w:vMerge w:val="continue"/>
            <w:vAlign w:val="center"/>
          </w:tcPr>
          <w:p w14:paraId="452B4E4F">
            <w:pPr>
              <w:spacing w:line="240" w:lineRule="exact"/>
              <w:jc w:val="center"/>
              <w:rPr>
                <w:rFonts w:ascii="Times New Roman" w:hAnsi="Times New Roman" w:eastAsia="宋体" w:cs="Times New Roman"/>
                <w:color w:val="auto"/>
                <w:kern w:val="0"/>
              </w:rPr>
            </w:pPr>
          </w:p>
        </w:tc>
        <w:tc>
          <w:tcPr>
            <w:tcW w:w="807" w:type="pct"/>
            <w:vMerge w:val="continue"/>
            <w:vAlign w:val="center"/>
          </w:tcPr>
          <w:p w14:paraId="3F78A575">
            <w:pPr>
              <w:spacing w:line="240" w:lineRule="exact"/>
              <w:jc w:val="center"/>
              <w:rPr>
                <w:rFonts w:ascii="Times New Roman" w:hAnsi="Times New Roman" w:eastAsia="宋体" w:cs="Times New Roman"/>
                <w:color w:val="auto"/>
                <w:kern w:val="0"/>
              </w:rPr>
            </w:pPr>
          </w:p>
        </w:tc>
        <w:tc>
          <w:tcPr>
            <w:tcW w:w="504" w:type="pct"/>
            <w:noWrap/>
            <w:vAlign w:val="center"/>
          </w:tcPr>
          <w:p w14:paraId="1B101A7B">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2026.4.22</w:t>
            </w:r>
          </w:p>
        </w:tc>
        <w:tc>
          <w:tcPr>
            <w:tcW w:w="302" w:type="pct"/>
            <w:vAlign w:val="center"/>
          </w:tcPr>
          <w:p w14:paraId="4B490340">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昼间</w:t>
            </w:r>
          </w:p>
        </w:tc>
        <w:tc>
          <w:tcPr>
            <w:tcW w:w="504" w:type="pct"/>
            <w:vAlign w:val="center"/>
          </w:tcPr>
          <w:p w14:paraId="5ADB927D">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52</w:t>
            </w:r>
          </w:p>
        </w:tc>
        <w:tc>
          <w:tcPr>
            <w:tcW w:w="338" w:type="pct"/>
            <w:noWrap/>
            <w:vAlign w:val="center"/>
          </w:tcPr>
          <w:p w14:paraId="12A40426">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48</w:t>
            </w:r>
          </w:p>
        </w:tc>
        <w:tc>
          <w:tcPr>
            <w:tcW w:w="338" w:type="pct"/>
            <w:noWrap/>
            <w:vAlign w:val="center"/>
          </w:tcPr>
          <w:p w14:paraId="74FDA3A2">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27</w:t>
            </w:r>
          </w:p>
        </w:tc>
        <w:tc>
          <w:tcPr>
            <w:tcW w:w="338" w:type="pct"/>
            <w:noWrap/>
            <w:vAlign w:val="center"/>
          </w:tcPr>
          <w:p w14:paraId="51317A1C">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117</w:t>
            </w:r>
          </w:p>
        </w:tc>
        <w:tc>
          <w:tcPr>
            <w:tcW w:w="345" w:type="pct"/>
            <w:vMerge w:val="continue"/>
            <w:noWrap/>
            <w:vAlign w:val="center"/>
          </w:tcPr>
          <w:p w14:paraId="39F0424B">
            <w:pPr>
              <w:spacing w:line="240" w:lineRule="exact"/>
              <w:jc w:val="center"/>
              <w:rPr>
                <w:rFonts w:ascii="Times New Roman" w:hAnsi="Times New Roman" w:eastAsia="宋体" w:cs="Times New Roman"/>
                <w:color w:val="auto"/>
                <w:kern w:val="0"/>
              </w:rPr>
            </w:pPr>
          </w:p>
        </w:tc>
        <w:tc>
          <w:tcPr>
            <w:tcW w:w="376" w:type="pct"/>
            <w:noWrap/>
            <w:vAlign w:val="center"/>
          </w:tcPr>
          <w:p w14:paraId="4857B921">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353F3A9E">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4" w:type="pct"/>
            <w:vMerge w:val="continue"/>
            <w:vAlign w:val="center"/>
          </w:tcPr>
          <w:p w14:paraId="4F547B56">
            <w:pPr>
              <w:spacing w:line="240" w:lineRule="exact"/>
              <w:jc w:val="center"/>
              <w:rPr>
                <w:rFonts w:ascii="Times New Roman" w:hAnsi="Times New Roman" w:eastAsia="宋体" w:cs="Times New Roman"/>
                <w:color w:val="auto"/>
                <w:kern w:val="0"/>
              </w:rPr>
            </w:pPr>
          </w:p>
        </w:tc>
        <w:tc>
          <w:tcPr>
            <w:tcW w:w="481" w:type="pct"/>
            <w:vMerge w:val="continue"/>
            <w:vAlign w:val="center"/>
          </w:tcPr>
          <w:p w14:paraId="5DA2D00A">
            <w:pPr>
              <w:spacing w:line="240" w:lineRule="exact"/>
              <w:jc w:val="center"/>
              <w:rPr>
                <w:rFonts w:ascii="Times New Roman" w:hAnsi="Times New Roman" w:eastAsia="宋体" w:cs="Times New Roman"/>
                <w:color w:val="auto"/>
                <w:kern w:val="0"/>
              </w:rPr>
            </w:pPr>
          </w:p>
        </w:tc>
        <w:tc>
          <w:tcPr>
            <w:tcW w:w="403" w:type="pct"/>
            <w:vMerge w:val="continue"/>
            <w:vAlign w:val="center"/>
          </w:tcPr>
          <w:p w14:paraId="4BFF3BBE">
            <w:pPr>
              <w:spacing w:line="240" w:lineRule="exact"/>
              <w:jc w:val="center"/>
              <w:rPr>
                <w:rFonts w:ascii="Times New Roman" w:hAnsi="Times New Roman" w:eastAsia="宋体" w:cs="Times New Roman"/>
                <w:color w:val="auto"/>
                <w:kern w:val="0"/>
              </w:rPr>
            </w:pPr>
          </w:p>
        </w:tc>
        <w:tc>
          <w:tcPr>
            <w:tcW w:w="807" w:type="pct"/>
            <w:vMerge w:val="continue"/>
            <w:vAlign w:val="center"/>
          </w:tcPr>
          <w:p w14:paraId="520E0980">
            <w:pPr>
              <w:spacing w:line="240" w:lineRule="exact"/>
              <w:jc w:val="center"/>
              <w:rPr>
                <w:rFonts w:ascii="Times New Roman" w:hAnsi="Times New Roman" w:eastAsia="宋体" w:cs="Times New Roman"/>
                <w:color w:val="auto"/>
                <w:kern w:val="0"/>
              </w:rPr>
            </w:pPr>
          </w:p>
        </w:tc>
        <w:tc>
          <w:tcPr>
            <w:tcW w:w="504" w:type="pct"/>
            <w:noWrap/>
            <w:vAlign w:val="center"/>
          </w:tcPr>
          <w:p w14:paraId="2D7EE5E9">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2026.4.23</w:t>
            </w:r>
          </w:p>
        </w:tc>
        <w:tc>
          <w:tcPr>
            <w:tcW w:w="302" w:type="pct"/>
            <w:vAlign w:val="center"/>
          </w:tcPr>
          <w:p w14:paraId="0BA6D6CA">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夜间</w:t>
            </w:r>
          </w:p>
        </w:tc>
        <w:tc>
          <w:tcPr>
            <w:tcW w:w="504" w:type="pct"/>
            <w:vAlign w:val="center"/>
          </w:tcPr>
          <w:p w14:paraId="4C5B2B7A">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46</w:t>
            </w:r>
          </w:p>
        </w:tc>
        <w:tc>
          <w:tcPr>
            <w:tcW w:w="338" w:type="pct"/>
            <w:noWrap/>
            <w:vAlign w:val="center"/>
          </w:tcPr>
          <w:p w14:paraId="0B397541">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26</w:t>
            </w:r>
          </w:p>
        </w:tc>
        <w:tc>
          <w:tcPr>
            <w:tcW w:w="338" w:type="pct"/>
            <w:noWrap/>
            <w:vAlign w:val="center"/>
          </w:tcPr>
          <w:p w14:paraId="2916E4B2">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12</w:t>
            </w:r>
          </w:p>
        </w:tc>
        <w:tc>
          <w:tcPr>
            <w:tcW w:w="338" w:type="pct"/>
            <w:noWrap/>
            <w:vAlign w:val="center"/>
          </w:tcPr>
          <w:p w14:paraId="04EC1DBF">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27</w:t>
            </w:r>
          </w:p>
        </w:tc>
        <w:tc>
          <w:tcPr>
            <w:tcW w:w="345" w:type="pct"/>
            <w:vMerge w:val="continue"/>
            <w:noWrap/>
            <w:vAlign w:val="center"/>
          </w:tcPr>
          <w:p w14:paraId="2FCC007A">
            <w:pPr>
              <w:spacing w:line="240" w:lineRule="exact"/>
              <w:jc w:val="center"/>
              <w:rPr>
                <w:rFonts w:ascii="Times New Roman" w:hAnsi="Times New Roman" w:eastAsia="宋体" w:cs="Times New Roman"/>
                <w:color w:val="auto"/>
                <w:kern w:val="0"/>
              </w:rPr>
            </w:pPr>
          </w:p>
        </w:tc>
        <w:tc>
          <w:tcPr>
            <w:tcW w:w="376" w:type="pct"/>
            <w:noWrap/>
            <w:vAlign w:val="center"/>
          </w:tcPr>
          <w:p w14:paraId="383E9273">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2B3C6D30">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4" w:type="pct"/>
            <w:vMerge w:val="continue"/>
            <w:noWrap/>
            <w:vAlign w:val="center"/>
          </w:tcPr>
          <w:p w14:paraId="3AC47D6F">
            <w:pPr>
              <w:spacing w:line="240" w:lineRule="exact"/>
              <w:jc w:val="center"/>
              <w:rPr>
                <w:rFonts w:ascii="Times New Roman" w:hAnsi="Times New Roman" w:eastAsia="宋体" w:cs="Times New Roman"/>
                <w:color w:val="auto"/>
                <w:kern w:val="0"/>
              </w:rPr>
            </w:pPr>
          </w:p>
        </w:tc>
        <w:tc>
          <w:tcPr>
            <w:tcW w:w="481" w:type="pct"/>
            <w:vMerge w:val="continue"/>
            <w:noWrap/>
            <w:vAlign w:val="center"/>
          </w:tcPr>
          <w:p w14:paraId="3BC6E2F5">
            <w:pPr>
              <w:spacing w:line="240" w:lineRule="exact"/>
              <w:jc w:val="center"/>
              <w:rPr>
                <w:rFonts w:ascii="Times New Roman" w:hAnsi="Times New Roman" w:eastAsia="宋体" w:cs="Times New Roman"/>
                <w:color w:val="auto"/>
                <w:kern w:val="0"/>
              </w:rPr>
            </w:pPr>
          </w:p>
        </w:tc>
        <w:tc>
          <w:tcPr>
            <w:tcW w:w="403" w:type="pct"/>
            <w:vMerge w:val="restart"/>
            <w:vAlign w:val="center"/>
          </w:tcPr>
          <w:p w14:paraId="15C221C5">
            <w:pPr>
              <w:spacing w:line="240" w:lineRule="exact"/>
              <w:jc w:val="center"/>
              <w:rPr>
                <w:rFonts w:ascii="Times New Roman" w:hAnsi="Times New Roman" w:eastAsia="宋体" w:cs="Times New Roman"/>
                <w:color w:val="auto"/>
                <w:kern w:val="0"/>
              </w:rPr>
            </w:pPr>
            <w:r>
              <w:rPr>
                <w:rFonts w:ascii="Times New Roman" w:hAnsi="Times New Roman" w:eastAsia="宋体" w:cs="Times New Roman"/>
                <w:color w:val="auto"/>
                <w:kern w:val="0"/>
              </w:rPr>
              <w:t>背景噪声</w:t>
            </w:r>
          </w:p>
        </w:tc>
        <w:tc>
          <w:tcPr>
            <w:tcW w:w="807" w:type="pct"/>
            <w:vMerge w:val="restart"/>
            <w:vAlign w:val="center"/>
          </w:tcPr>
          <w:p w14:paraId="205FE52A">
            <w:pPr>
              <w:spacing w:line="240" w:lineRule="exact"/>
              <w:jc w:val="center"/>
              <w:rPr>
                <w:rFonts w:ascii="Times New Roman" w:hAnsi="Times New Roman" w:eastAsia="宋体" w:cs="Times New Roman"/>
                <w:color w:val="auto"/>
                <w:kern w:val="0"/>
              </w:rPr>
            </w:pPr>
            <w:r>
              <w:rPr>
                <w:rFonts w:hint="eastAsia" w:ascii="Times New Roman" w:hAnsi="Times New Roman" w:eastAsia="宋体" w:cs="Times New Roman"/>
                <w:color w:val="auto"/>
                <w:szCs w:val="21"/>
              </w:rPr>
              <w:t>远离现有G219</w:t>
            </w:r>
            <w:r>
              <w:rPr>
                <w:rFonts w:ascii="Times New Roman" w:hAnsi="Times New Roman" w:eastAsia="宋体" w:cs="Times New Roman"/>
                <w:color w:val="auto"/>
                <w:kern w:val="0"/>
                <w:szCs w:val="21"/>
              </w:rPr>
              <w:t>公路200m外</w:t>
            </w:r>
          </w:p>
        </w:tc>
        <w:tc>
          <w:tcPr>
            <w:tcW w:w="504" w:type="pct"/>
            <w:noWrap/>
            <w:vAlign w:val="center"/>
          </w:tcPr>
          <w:p w14:paraId="2A5272B4">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2026.4.21</w:t>
            </w:r>
          </w:p>
        </w:tc>
        <w:tc>
          <w:tcPr>
            <w:tcW w:w="302" w:type="pct"/>
            <w:vAlign w:val="center"/>
          </w:tcPr>
          <w:p w14:paraId="6BD5D336">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昼间</w:t>
            </w:r>
          </w:p>
        </w:tc>
        <w:tc>
          <w:tcPr>
            <w:tcW w:w="504" w:type="pct"/>
            <w:vAlign w:val="center"/>
          </w:tcPr>
          <w:p w14:paraId="66A16F2F">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42</w:t>
            </w:r>
          </w:p>
        </w:tc>
        <w:tc>
          <w:tcPr>
            <w:tcW w:w="338" w:type="pct"/>
            <w:noWrap/>
            <w:vAlign w:val="center"/>
          </w:tcPr>
          <w:p w14:paraId="59FE2FD6">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38" w:type="pct"/>
            <w:noWrap/>
            <w:vAlign w:val="center"/>
          </w:tcPr>
          <w:p w14:paraId="052D5D86">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38" w:type="pct"/>
            <w:noWrap/>
            <w:vAlign w:val="center"/>
          </w:tcPr>
          <w:p w14:paraId="4DA8A542">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45" w:type="pct"/>
            <w:vMerge w:val="continue"/>
            <w:noWrap/>
            <w:vAlign w:val="center"/>
          </w:tcPr>
          <w:p w14:paraId="0629B1EB">
            <w:pPr>
              <w:spacing w:line="240" w:lineRule="exact"/>
              <w:jc w:val="center"/>
              <w:rPr>
                <w:rFonts w:ascii="Times New Roman" w:hAnsi="Times New Roman" w:eastAsia="宋体" w:cs="Times New Roman"/>
                <w:color w:val="auto"/>
                <w:kern w:val="0"/>
              </w:rPr>
            </w:pPr>
          </w:p>
        </w:tc>
        <w:tc>
          <w:tcPr>
            <w:tcW w:w="376" w:type="pct"/>
            <w:noWrap/>
            <w:vAlign w:val="center"/>
          </w:tcPr>
          <w:p w14:paraId="04595E65">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39B768B8">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4" w:type="pct"/>
            <w:vMerge w:val="continue"/>
            <w:vAlign w:val="center"/>
          </w:tcPr>
          <w:p w14:paraId="69976509">
            <w:pPr>
              <w:spacing w:line="240" w:lineRule="exact"/>
              <w:jc w:val="center"/>
              <w:rPr>
                <w:rFonts w:ascii="Times New Roman" w:hAnsi="Times New Roman" w:eastAsia="宋体" w:cs="Times New Roman"/>
                <w:color w:val="auto"/>
                <w:kern w:val="0"/>
              </w:rPr>
            </w:pPr>
          </w:p>
        </w:tc>
        <w:tc>
          <w:tcPr>
            <w:tcW w:w="481" w:type="pct"/>
            <w:vMerge w:val="continue"/>
            <w:vAlign w:val="center"/>
          </w:tcPr>
          <w:p w14:paraId="78414CE8">
            <w:pPr>
              <w:spacing w:line="240" w:lineRule="exact"/>
              <w:jc w:val="center"/>
              <w:rPr>
                <w:rFonts w:ascii="Times New Roman" w:hAnsi="Times New Roman" w:eastAsia="宋体" w:cs="Times New Roman"/>
                <w:color w:val="auto"/>
                <w:kern w:val="0"/>
              </w:rPr>
            </w:pPr>
          </w:p>
        </w:tc>
        <w:tc>
          <w:tcPr>
            <w:tcW w:w="403" w:type="pct"/>
            <w:vMerge w:val="continue"/>
            <w:vAlign w:val="center"/>
          </w:tcPr>
          <w:p w14:paraId="4F9237B9">
            <w:pPr>
              <w:spacing w:line="240" w:lineRule="exact"/>
              <w:jc w:val="center"/>
              <w:rPr>
                <w:rFonts w:ascii="Times New Roman" w:hAnsi="Times New Roman" w:eastAsia="宋体" w:cs="Times New Roman"/>
                <w:color w:val="auto"/>
                <w:kern w:val="0"/>
              </w:rPr>
            </w:pPr>
          </w:p>
        </w:tc>
        <w:tc>
          <w:tcPr>
            <w:tcW w:w="807" w:type="pct"/>
            <w:vMerge w:val="continue"/>
            <w:vAlign w:val="center"/>
          </w:tcPr>
          <w:p w14:paraId="2C433C57">
            <w:pPr>
              <w:spacing w:line="240" w:lineRule="exact"/>
              <w:jc w:val="center"/>
              <w:rPr>
                <w:rFonts w:ascii="Times New Roman" w:hAnsi="Times New Roman" w:eastAsia="宋体" w:cs="Times New Roman"/>
                <w:color w:val="auto"/>
                <w:kern w:val="0"/>
              </w:rPr>
            </w:pPr>
          </w:p>
        </w:tc>
        <w:tc>
          <w:tcPr>
            <w:tcW w:w="504" w:type="pct"/>
            <w:noWrap/>
            <w:vAlign w:val="center"/>
          </w:tcPr>
          <w:p w14:paraId="6A35424A">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2026.4.22</w:t>
            </w:r>
          </w:p>
        </w:tc>
        <w:tc>
          <w:tcPr>
            <w:tcW w:w="302" w:type="pct"/>
            <w:vAlign w:val="center"/>
          </w:tcPr>
          <w:p w14:paraId="07200127">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夜间</w:t>
            </w:r>
          </w:p>
        </w:tc>
        <w:tc>
          <w:tcPr>
            <w:tcW w:w="504" w:type="pct"/>
            <w:vAlign w:val="center"/>
          </w:tcPr>
          <w:p w14:paraId="02076BF1">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37</w:t>
            </w:r>
          </w:p>
        </w:tc>
        <w:tc>
          <w:tcPr>
            <w:tcW w:w="338" w:type="pct"/>
            <w:noWrap/>
            <w:vAlign w:val="center"/>
          </w:tcPr>
          <w:p w14:paraId="23310446">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38" w:type="pct"/>
            <w:noWrap/>
            <w:vAlign w:val="center"/>
          </w:tcPr>
          <w:p w14:paraId="38113133">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38" w:type="pct"/>
            <w:noWrap/>
            <w:vAlign w:val="center"/>
          </w:tcPr>
          <w:p w14:paraId="01C270D8">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45" w:type="pct"/>
            <w:vMerge w:val="continue"/>
            <w:noWrap/>
            <w:vAlign w:val="center"/>
          </w:tcPr>
          <w:p w14:paraId="053EBB8A">
            <w:pPr>
              <w:spacing w:line="240" w:lineRule="exact"/>
              <w:jc w:val="center"/>
              <w:rPr>
                <w:rFonts w:ascii="Times New Roman" w:hAnsi="Times New Roman" w:eastAsia="宋体" w:cs="Times New Roman"/>
                <w:color w:val="auto"/>
                <w:kern w:val="0"/>
              </w:rPr>
            </w:pPr>
          </w:p>
        </w:tc>
        <w:tc>
          <w:tcPr>
            <w:tcW w:w="376" w:type="pct"/>
            <w:noWrap/>
            <w:vAlign w:val="center"/>
          </w:tcPr>
          <w:p w14:paraId="7BA7BA94">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3301EE63">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4" w:type="pct"/>
            <w:vMerge w:val="continue"/>
            <w:vAlign w:val="center"/>
          </w:tcPr>
          <w:p w14:paraId="5F20A494">
            <w:pPr>
              <w:spacing w:line="240" w:lineRule="exact"/>
              <w:jc w:val="center"/>
              <w:rPr>
                <w:rFonts w:ascii="Times New Roman" w:hAnsi="Times New Roman" w:eastAsia="宋体" w:cs="Times New Roman"/>
                <w:color w:val="auto"/>
                <w:kern w:val="0"/>
              </w:rPr>
            </w:pPr>
          </w:p>
        </w:tc>
        <w:tc>
          <w:tcPr>
            <w:tcW w:w="481" w:type="pct"/>
            <w:vMerge w:val="continue"/>
            <w:vAlign w:val="center"/>
          </w:tcPr>
          <w:p w14:paraId="3E2C4BEF">
            <w:pPr>
              <w:spacing w:line="240" w:lineRule="exact"/>
              <w:jc w:val="center"/>
              <w:rPr>
                <w:rFonts w:ascii="Times New Roman" w:hAnsi="Times New Roman" w:eastAsia="宋体" w:cs="Times New Roman"/>
                <w:color w:val="auto"/>
                <w:kern w:val="0"/>
              </w:rPr>
            </w:pPr>
          </w:p>
        </w:tc>
        <w:tc>
          <w:tcPr>
            <w:tcW w:w="403" w:type="pct"/>
            <w:vMerge w:val="continue"/>
            <w:vAlign w:val="center"/>
          </w:tcPr>
          <w:p w14:paraId="5DA08981">
            <w:pPr>
              <w:spacing w:line="240" w:lineRule="exact"/>
              <w:jc w:val="center"/>
              <w:rPr>
                <w:rFonts w:ascii="Times New Roman" w:hAnsi="Times New Roman" w:eastAsia="宋体" w:cs="Times New Roman"/>
                <w:color w:val="auto"/>
                <w:kern w:val="0"/>
              </w:rPr>
            </w:pPr>
          </w:p>
        </w:tc>
        <w:tc>
          <w:tcPr>
            <w:tcW w:w="807" w:type="pct"/>
            <w:vMerge w:val="continue"/>
            <w:vAlign w:val="center"/>
          </w:tcPr>
          <w:p w14:paraId="43DF1641">
            <w:pPr>
              <w:spacing w:line="240" w:lineRule="exact"/>
              <w:jc w:val="center"/>
              <w:rPr>
                <w:rFonts w:ascii="Times New Roman" w:hAnsi="Times New Roman" w:eastAsia="宋体" w:cs="Times New Roman"/>
                <w:color w:val="auto"/>
                <w:kern w:val="0"/>
              </w:rPr>
            </w:pPr>
          </w:p>
        </w:tc>
        <w:tc>
          <w:tcPr>
            <w:tcW w:w="504" w:type="pct"/>
            <w:noWrap/>
            <w:vAlign w:val="center"/>
          </w:tcPr>
          <w:p w14:paraId="1D136990">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2026.4.22</w:t>
            </w:r>
          </w:p>
        </w:tc>
        <w:tc>
          <w:tcPr>
            <w:tcW w:w="302" w:type="pct"/>
            <w:vAlign w:val="center"/>
          </w:tcPr>
          <w:p w14:paraId="130D49C4">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昼间</w:t>
            </w:r>
          </w:p>
        </w:tc>
        <w:tc>
          <w:tcPr>
            <w:tcW w:w="504" w:type="pct"/>
            <w:vAlign w:val="center"/>
          </w:tcPr>
          <w:p w14:paraId="6C131531">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41</w:t>
            </w:r>
          </w:p>
        </w:tc>
        <w:tc>
          <w:tcPr>
            <w:tcW w:w="338" w:type="pct"/>
            <w:noWrap/>
            <w:vAlign w:val="center"/>
          </w:tcPr>
          <w:p w14:paraId="2E71F9A2">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38" w:type="pct"/>
            <w:noWrap/>
            <w:vAlign w:val="center"/>
          </w:tcPr>
          <w:p w14:paraId="678402AC">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38" w:type="pct"/>
            <w:noWrap/>
            <w:vAlign w:val="center"/>
          </w:tcPr>
          <w:p w14:paraId="5C4750A1">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45" w:type="pct"/>
            <w:vMerge w:val="continue"/>
            <w:noWrap/>
            <w:vAlign w:val="center"/>
          </w:tcPr>
          <w:p w14:paraId="3EABF741">
            <w:pPr>
              <w:spacing w:line="240" w:lineRule="exact"/>
              <w:jc w:val="center"/>
              <w:rPr>
                <w:rFonts w:ascii="Times New Roman" w:hAnsi="Times New Roman" w:eastAsia="宋体" w:cs="Times New Roman"/>
                <w:color w:val="auto"/>
                <w:kern w:val="0"/>
              </w:rPr>
            </w:pPr>
          </w:p>
        </w:tc>
        <w:tc>
          <w:tcPr>
            <w:tcW w:w="376" w:type="pct"/>
            <w:noWrap/>
            <w:vAlign w:val="center"/>
          </w:tcPr>
          <w:p w14:paraId="10B887A4">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5CFEF975">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4" w:type="pct"/>
            <w:vMerge w:val="continue"/>
            <w:vAlign w:val="center"/>
          </w:tcPr>
          <w:p w14:paraId="6E92E029">
            <w:pPr>
              <w:spacing w:line="240" w:lineRule="exact"/>
              <w:jc w:val="center"/>
              <w:rPr>
                <w:rFonts w:ascii="Times New Roman" w:hAnsi="Times New Roman" w:eastAsia="宋体" w:cs="Times New Roman"/>
                <w:color w:val="auto"/>
                <w:kern w:val="0"/>
              </w:rPr>
            </w:pPr>
          </w:p>
        </w:tc>
        <w:tc>
          <w:tcPr>
            <w:tcW w:w="481" w:type="pct"/>
            <w:vMerge w:val="continue"/>
            <w:vAlign w:val="center"/>
          </w:tcPr>
          <w:p w14:paraId="4D00733F">
            <w:pPr>
              <w:spacing w:line="240" w:lineRule="exact"/>
              <w:jc w:val="center"/>
              <w:rPr>
                <w:rFonts w:ascii="Times New Roman" w:hAnsi="Times New Roman" w:eastAsia="宋体" w:cs="Times New Roman"/>
                <w:color w:val="auto"/>
                <w:kern w:val="0"/>
              </w:rPr>
            </w:pPr>
          </w:p>
        </w:tc>
        <w:tc>
          <w:tcPr>
            <w:tcW w:w="403" w:type="pct"/>
            <w:vMerge w:val="continue"/>
            <w:vAlign w:val="center"/>
          </w:tcPr>
          <w:p w14:paraId="1A1C5833">
            <w:pPr>
              <w:spacing w:line="240" w:lineRule="exact"/>
              <w:jc w:val="center"/>
              <w:rPr>
                <w:rFonts w:ascii="Times New Roman" w:hAnsi="Times New Roman" w:eastAsia="宋体" w:cs="Times New Roman"/>
                <w:color w:val="auto"/>
                <w:kern w:val="0"/>
              </w:rPr>
            </w:pPr>
          </w:p>
        </w:tc>
        <w:tc>
          <w:tcPr>
            <w:tcW w:w="807" w:type="pct"/>
            <w:vMerge w:val="continue"/>
            <w:vAlign w:val="center"/>
          </w:tcPr>
          <w:p w14:paraId="4A059642">
            <w:pPr>
              <w:spacing w:line="240" w:lineRule="exact"/>
              <w:jc w:val="center"/>
              <w:rPr>
                <w:rFonts w:ascii="Times New Roman" w:hAnsi="Times New Roman" w:eastAsia="宋体" w:cs="Times New Roman"/>
                <w:color w:val="auto"/>
                <w:kern w:val="0"/>
              </w:rPr>
            </w:pPr>
          </w:p>
        </w:tc>
        <w:tc>
          <w:tcPr>
            <w:tcW w:w="504" w:type="pct"/>
            <w:noWrap/>
            <w:vAlign w:val="center"/>
          </w:tcPr>
          <w:p w14:paraId="54EE3CFA">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2026.4.23</w:t>
            </w:r>
          </w:p>
        </w:tc>
        <w:tc>
          <w:tcPr>
            <w:tcW w:w="302" w:type="pct"/>
            <w:vAlign w:val="center"/>
          </w:tcPr>
          <w:p w14:paraId="5F885744">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夜间</w:t>
            </w:r>
          </w:p>
        </w:tc>
        <w:tc>
          <w:tcPr>
            <w:tcW w:w="504" w:type="pct"/>
            <w:vAlign w:val="center"/>
          </w:tcPr>
          <w:p w14:paraId="50D5024B">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38</w:t>
            </w:r>
          </w:p>
        </w:tc>
        <w:tc>
          <w:tcPr>
            <w:tcW w:w="338" w:type="pct"/>
            <w:noWrap/>
            <w:vAlign w:val="center"/>
          </w:tcPr>
          <w:p w14:paraId="27E3BBF7">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38" w:type="pct"/>
            <w:noWrap/>
            <w:vAlign w:val="center"/>
          </w:tcPr>
          <w:p w14:paraId="2724C437">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38" w:type="pct"/>
            <w:noWrap/>
            <w:vAlign w:val="center"/>
          </w:tcPr>
          <w:p w14:paraId="5FD3ADD5">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45" w:type="pct"/>
            <w:vMerge w:val="continue"/>
            <w:noWrap/>
            <w:vAlign w:val="center"/>
          </w:tcPr>
          <w:p w14:paraId="241AE127">
            <w:pPr>
              <w:spacing w:line="240" w:lineRule="exact"/>
              <w:jc w:val="center"/>
              <w:rPr>
                <w:rFonts w:ascii="Times New Roman" w:hAnsi="Times New Roman" w:eastAsia="宋体" w:cs="Times New Roman"/>
                <w:color w:val="auto"/>
                <w:kern w:val="0"/>
              </w:rPr>
            </w:pPr>
          </w:p>
        </w:tc>
        <w:tc>
          <w:tcPr>
            <w:tcW w:w="376" w:type="pct"/>
            <w:noWrap/>
            <w:vAlign w:val="center"/>
          </w:tcPr>
          <w:p w14:paraId="04375D74">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bl>
    <w:p w14:paraId="49203698">
      <w:pPr>
        <w:rPr>
          <w:color w:val="auto"/>
          <w:highlight w:val="yellow"/>
        </w:rPr>
        <w:sectPr>
          <w:footerReference r:id="rId39" w:type="default"/>
          <w:footerReference r:id="rId40" w:type="even"/>
          <w:pgSz w:w="16838" w:h="11906" w:orient="landscape"/>
          <w:pgMar w:top="1560" w:right="1440" w:bottom="1560" w:left="1559" w:header="851" w:footer="992" w:gutter="0"/>
          <w:pgBorders>
            <w:top w:val="none" w:sz="0" w:space="0"/>
            <w:left w:val="none" w:sz="0" w:space="0"/>
            <w:bottom w:val="none" w:sz="0" w:space="0"/>
            <w:right w:val="none" w:sz="0" w:space="0"/>
          </w:pgBorders>
          <w:cols w:space="720" w:num="1"/>
          <w:docGrid w:linePitch="312" w:charSpace="0"/>
        </w:sectPr>
      </w:pPr>
    </w:p>
    <w:p w14:paraId="0C9413AC">
      <w:pPr>
        <w:spacing w:beforeLines="50"/>
        <w:jc w:val="center"/>
        <w:rPr>
          <w:rFonts w:ascii="Times New Roman" w:hAnsi="Times New Roman" w:eastAsia="宋体" w:cs="Times New Roman"/>
          <w:b/>
          <w:bCs/>
          <w:color w:val="auto"/>
          <w:szCs w:val="21"/>
        </w:rPr>
      </w:pPr>
      <w:r>
        <w:rPr>
          <w:rFonts w:hint="eastAsia" w:ascii="Times New Roman" w:hAnsi="Times New Roman" w:eastAsia="宋体" w:cs="Times New Roman"/>
          <w:b/>
          <w:bCs/>
          <w:color w:val="auto"/>
          <w:spacing w:val="4"/>
          <w:szCs w:val="21"/>
        </w:rPr>
        <w:t>续 表</w:t>
      </w:r>
      <w:r>
        <w:rPr>
          <w:rFonts w:ascii="Times New Roman" w:hAnsi="Times New Roman" w:eastAsia="宋体" w:cs="Times New Roman"/>
          <w:b/>
          <w:bCs/>
          <w:color w:val="auto"/>
          <w:spacing w:val="4"/>
          <w:szCs w:val="21"/>
        </w:rPr>
        <w:t xml:space="preserve">3.2-3 </w:t>
      </w:r>
      <w:r>
        <w:rPr>
          <w:rFonts w:hint="eastAsia" w:ascii="Times New Roman" w:hAnsi="Times New Roman" w:eastAsia="宋体" w:cs="Times New Roman"/>
          <w:b/>
          <w:bCs/>
          <w:color w:val="auto"/>
          <w:spacing w:val="4"/>
          <w:szCs w:val="21"/>
        </w:rPr>
        <w:t xml:space="preserve"> </w:t>
      </w:r>
      <w:r>
        <w:rPr>
          <w:rFonts w:ascii="Times New Roman" w:hAnsi="Times New Roman" w:eastAsia="宋体" w:cs="Times New Roman"/>
          <w:b/>
          <w:bCs/>
          <w:color w:val="auto"/>
          <w:szCs w:val="21"/>
        </w:rPr>
        <w:t>拟建</w:t>
      </w:r>
      <w:r>
        <w:rPr>
          <w:rFonts w:hint="eastAsia" w:ascii="Times New Roman" w:hAnsi="Times New Roman" w:eastAsia="宋体" w:cs="Times New Roman"/>
          <w:b/>
          <w:bCs/>
          <w:color w:val="auto"/>
          <w:szCs w:val="21"/>
        </w:rPr>
        <w:t>公路敏感点声</w:t>
      </w:r>
      <w:r>
        <w:rPr>
          <w:rFonts w:ascii="Times New Roman" w:hAnsi="Times New Roman" w:eastAsia="宋体" w:cs="Times New Roman"/>
          <w:b/>
          <w:bCs/>
          <w:color w:val="auto"/>
          <w:szCs w:val="21"/>
        </w:rPr>
        <w:t>环境</w:t>
      </w:r>
      <w:r>
        <w:rPr>
          <w:rFonts w:hint="eastAsia" w:ascii="Times New Roman" w:hAnsi="Times New Roman" w:eastAsia="宋体" w:cs="Times New Roman"/>
          <w:b/>
          <w:bCs/>
          <w:color w:val="auto"/>
          <w:szCs w:val="21"/>
        </w:rPr>
        <w:t>现状</w:t>
      </w:r>
      <w:r>
        <w:rPr>
          <w:rFonts w:ascii="Times New Roman" w:hAnsi="Times New Roman" w:eastAsia="宋体" w:cs="Times New Roman"/>
          <w:b/>
          <w:bCs/>
          <w:color w:val="auto"/>
          <w:szCs w:val="21"/>
        </w:rPr>
        <w:t>监测结果及达标分析表</w:t>
      </w:r>
    </w:p>
    <w:tbl>
      <w:tblPr>
        <w:tblStyle w:val="22"/>
        <w:tblW w:w="5000" w:type="pct"/>
        <w:jc w:val="center"/>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43"/>
        <w:gridCol w:w="1328"/>
        <w:gridCol w:w="1133"/>
        <w:gridCol w:w="2291"/>
        <w:gridCol w:w="1417"/>
        <w:gridCol w:w="849"/>
        <w:gridCol w:w="1417"/>
        <w:gridCol w:w="950"/>
        <w:gridCol w:w="950"/>
        <w:gridCol w:w="950"/>
        <w:gridCol w:w="970"/>
        <w:gridCol w:w="1057"/>
      </w:tblGrid>
      <w:tr w14:paraId="44547706">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264" w:type="pct"/>
            <w:vMerge w:val="restart"/>
            <w:noWrap/>
            <w:vAlign w:val="center"/>
          </w:tcPr>
          <w:p w14:paraId="537E0936">
            <w:pPr>
              <w:spacing w:line="240" w:lineRule="exact"/>
              <w:jc w:val="center"/>
              <w:rPr>
                <w:rFonts w:ascii="Times New Roman" w:hAnsi="Times New Roman" w:eastAsia="宋体" w:cs="Times New Roman"/>
                <w:b/>
                <w:color w:val="auto"/>
                <w:kern w:val="0"/>
              </w:rPr>
            </w:pPr>
            <w:r>
              <w:rPr>
                <w:rFonts w:hint="eastAsia" w:ascii="Times New Roman" w:hAnsi="Times New Roman" w:eastAsia="宋体" w:cs="Times New Roman"/>
                <w:b/>
                <w:color w:val="auto"/>
                <w:kern w:val="0"/>
              </w:rPr>
              <w:t>序号</w:t>
            </w:r>
          </w:p>
        </w:tc>
        <w:tc>
          <w:tcPr>
            <w:tcW w:w="472" w:type="pct"/>
            <w:vMerge w:val="restart"/>
            <w:noWrap/>
            <w:vAlign w:val="center"/>
          </w:tcPr>
          <w:p w14:paraId="3891C64C">
            <w:pPr>
              <w:spacing w:line="240" w:lineRule="exact"/>
              <w:jc w:val="center"/>
              <w:rPr>
                <w:rFonts w:ascii="Times New Roman" w:hAnsi="Times New Roman" w:eastAsia="宋体" w:cs="Times New Roman"/>
                <w:b/>
                <w:color w:val="auto"/>
                <w:kern w:val="0"/>
              </w:rPr>
            </w:pPr>
            <w:r>
              <w:rPr>
                <w:rFonts w:ascii="Times New Roman" w:hAnsi="Times New Roman" w:eastAsia="宋体" w:cs="Times New Roman"/>
                <w:b/>
                <w:color w:val="auto"/>
                <w:kern w:val="0"/>
              </w:rPr>
              <w:t>监测点位</w:t>
            </w:r>
          </w:p>
        </w:tc>
        <w:tc>
          <w:tcPr>
            <w:tcW w:w="1218" w:type="pct"/>
            <w:gridSpan w:val="2"/>
            <w:vMerge w:val="restart"/>
            <w:noWrap/>
            <w:vAlign w:val="center"/>
          </w:tcPr>
          <w:p w14:paraId="33F4B2A6">
            <w:pPr>
              <w:spacing w:line="240" w:lineRule="exact"/>
              <w:jc w:val="center"/>
              <w:rPr>
                <w:rFonts w:ascii="Times New Roman" w:hAnsi="Times New Roman" w:eastAsia="宋体" w:cs="Times New Roman"/>
                <w:b/>
                <w:color w:val="auto"/>
                <w:kern w:val="0"/>
              </w:rPr>
            </w:pPr>
            <w:r>
              <w:rPr>
                <w:rFonts w:ascii="Times New Roman" w:hAnsi="Times New Roman" w:eastAsia="宋体" w:cs="Times New Roman"/>
                <w:b/>
                <w:color w:val="auto"/>
                <w:kern w:val="0"/>
              </w:rPr>
              <w:t>噪声类型</w:t>
            </w:r>
          </w:p>
        </w:tc>
        <w:tc>
          <w:tcPr>
            <w:tcW w:w="806" w:type="pct"/>
            <w:gridSpan w:val="2"/>
            <w:noWrap/>
            <w:vAlign w:val="center"/>
          </w:tcPr>
          <w:p w14:paraId="7A14CE6B">
            <w:pPr>
              <w:spacing w:line="240" w:lineRule="exact"/>
              <w:jc w:val="center"/>
              <w:rPr>
                <w:rFonts w:ascii="Times New Roman" w:hAnsi="Times New Roman" w:eastAsia="宋体" w:cs="Times New Roman"/>
                <w:b/>
                <w:color w:val="auto"/>
                <w:kern w:val="0"/>
              </w:rPr>
            </w:pPr>
            <w:r>
              <w:rPr>
                <w:rFonts w:ascii="Times New Roman" w:hAnsi="Times New Roman" w:eastAsia="宋体" w:cs="Times New Roman"/>
                <w:b/>
                <w:color w:val="auto"/>
                <w:kern w:val="0"/>
              </w:rPr>
              <w:t>监测时间</w:t>
            </w:r>
          </w:p>
        </w:tc>
        <w:tc>
          <w:tcPr>
            <w:tcW w:w="504" w:type="pct"/>
            <w:vMerge w:val="restart"/>
            <w:vAlign w:val="center"/>
          </w:tcPr>
          <w:p w14:paraId="60975A53">
            <w:pPr>
              <w:spacing w:line="240" w:lineRule="exact"/>
              <w:jc w:val="center"/>
              <w:rPr>
                <w:rFonts w:ascii="Times New Roman" w:hAnsi="Times New Roman" w:eastAsia="宋体" w:cs="Times New Roman"/>
                <w:b/>
                <w:color w:val="auto"/>
                <w:kern w:val="0"/>
              </w:rPr>
            </w:pPr>
            <w:r>
              <w:rPr>
                <w:rFonts w:hint="eastAsia" w:ascii="Times New Roman" w:hAnsi="Times New Roman" w:eastAsia="宋体" w:cs="Times New Roman"/>
                <w:b/>
                <w:bCs/>
                <w:color w:val="auto"/>
              </w:rPr>
              <w:t>监测结果Leq（dB）</w:t>
            </w:r>
          </w:p>
        </w:tc>
        <w:tc>
          <w:tcPr>
            <w:tcW w:w="1014" w:type="pct"/>
            <w:gridSpan w:val="3"/>
            <w:noWrap/>
            <w:vAlign w:val="center"/>
          </w:tcPr>
          <w:p w14:paraId="0467F04E">
            <w:pPr>
              <w:spacing w:line="240" w:lineRule="exact"/>
              <w:jc w:val="center"/>
              <w:rPr>
                <w:rFonts w:ascii="Times New Roman" w:hAnsi="Times New Roman" w:eastAsia="宋体" w:cs="Times New Roman"/>
                <w:b/>
                <w:color w:val="auto"/>
                <w:kern w:val="0"/>
              </w:rPr>
            </w:pPr>
            <w:r>
              <w:rPr>
                <w:rFonts w:ascii="Times New Roman" w:hAnsi="Times New Roman" w:eastAsia="宋体" w:cs="Times New Roman"/>
                <w:b/>
                <w:color w:val="auto"/>
                <w:kern w:val="0"/>
              </w:rPr>
              <w:t>车流量（辆/</w:t>
            </w:r>
            <w:r>
              <w:rPr>
                <w:rFonts w:hint="eastAsia" w:ascii="Times New Roman" w:hAnsi="Times New Roman" w:eastAsia="宋体" w:cs="Times New Roman"/>
                <w:b/>
                <w:color w:val="auto"/>
                <w:kern w:val="0"/>
              </w:rPr>
              <w:t>h</w:t>
            </w:r>
            <w:r>
              <w:rPr>
                <w:rFonts w:ascii="Times New Roman" w:hAnsi="Times New Roman" w:eastAsia="宋体" w:cs="Times New Roman"/>
                <w:b/>
                <w:color w:val="auto"/>
                <w:kern w:val="0"/>
              </w:rPr>
              <w:t>）</w:t>
            </w:r>
          </w:p>
        </w:tc>
        <w:tc>
          <w:tcPr>
            <w:tcW w:w="345" w:type="pct"/>
            <w:vMerge w:val="restart"/>
            <w:vAlign w:val="center"/>
          </w:tcPr>
          <w:p w14:paraId="6032528E">
            <w:pPr>
              <w:spacing w:line="240" w:lineRule="exact"/>
              <w:jc w:val="center"/>
              <w:rPr>
                <w:rFonts w:ascii="Times New Roman" w:hAnsi="Times New Roman" w:eastAsia="宋体" w:cs="Times New Roman"/>
                <w:b/>
                <w:color w:val="auto"/>
                <w:kern w:val="0"/>
              </w:rPr>
            </w:pPr>
            <w:r>
              <w:rPr>
                <w:rFonts w:ascii="Times New Roman" w:hAnsi="Times New Roman" w:eastAsia="宋体" w:cs="Times New Roman"/>
                <w:b/>
                <w:color w:val="auto"/>
                <w:kern w:val="0"/>
              </w:rPr>
              <w:t>评价标准</w:t>
            </w:r>
          </w:p>
        </w:tc>
        <w:tc>
          <w:tcPr>
            <w:tcW w:w="376" w:type="pct"/>
            <w:vMerge w:val="restart"/>
            <w:noWrap/>
            <w:vAlign w:val="center"/>
          </w:tcPr>
          <w:p w14:paraId="57C49AEA">
            <w:pPr>
              <w:spacing w:line="240" w:lineRule="exact"/>
              <w:jc w:val="center"/>
              <w:rPr>
                <w:rFonts w:ascii="Times New Roman" w:hAnsi="Times New Roman" w:eastAsia="宋体" w:cs="Times New Roman"/>
                <w:b/>
                <w:color w:val="auto"/>
                <w:kern w:val="0"/>
              </w:rPr>
            </w:pPr>
            <w:r>
              <w:rPr>
                <w:rFonts w:ascii="Times New Roman" w:hAnsi="Times New Roman" w:eastAsia="宋体" w:cs="Times New Roman"/>
                <w:b/>
                <w:color w:val="auto"/>
                <w:kern w:val="0"/>
              </w:rPr>
              <w:t>达标情况</w:t>
            </w:r>
          </w:p>
        </w:tc>
      </w:tr>
      <w:tr w14:paraId="3213B2FF">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264" w:type="pct"/>
            <w:vMerge w:val="continue"/>
            <w:vAlign w:val="center"/>
          </w:tcPr>
          <w:p w14:paraId="530A0964">
            <w:pPr>
              <w:spacing w:line="240" w:lineRule="exact"/>
              <w:jc w:val="center"/>
              <w:rPr>
                <w:rFonts w:ascii="Times New Roman" w:hAnsi="Times New Roman" w:eastAsia="宋体" w:cs="Times New Roman"/>
                <w:b/>
                <w:color w:val="auto"/>
                <w:kern w:val="0"/>
              </w:rPr>
            </w:pPr>
          </w:p>
        </w:tc>
        <w:tc>
          <w:tcPr>
            <w:tcW w:w="472" w:type="pct"/>
            <w:vMerge w:val="continue"/>
            <w:vAlign w:val="center"/>
          </w:tcPr>
          <w:p w14:paraId="124AE928">
            <w:pPr>
              <w:spacing w:line="240" w:lineRule="exact"/>
              <w:jc w:val="center"/>
              <w:rPr>
                <w:rFonts w:ascii="Times New Roman" w:hAnsi="Times New Roman" w:eastAsia="宋体" w:cs="Times New Roman"/>
                <w:b/>
                <w:color w:val="auto"/>
                <w:kern w:val="0"/>
              </w:rPr>
            </w:pPr>
          </w:p>
        </w:tc>
        <w:tc>
          <w:tcPr>
            <w:tcW w:w="1218" w:type="pct"/>
            <w:gridSpan w:val="2"/>
            <w:vMerge w:val="continue"/>
            <w:vAlign w:val="center"/>
          </w:tcPr>
          <w:p w14:paraId="399E7507">
            <w:pPr>
              <w:spacing w:line="240" w:lineRule="exact"/>
              <w:jc w:val="center"/>
              <w:rPr>
                <w:rFonts w:ascii="Times New Roman" w:hAnsi="Times New Roman" w:eastAsia="宋体" w:cs="Times New Roman"/>
                <w:b/>
                <w:color w:val="auto"/>
                <w:kern w:val="0"/>
              </w:rPr>
            </w:pPr>
          </w:p>
        </w:tc>
        <w:tc>
          <w:tcPr>
            <w:tcW w:w="504" w:type="pct"/>
            <w:vAlign w:val="center"/>
          </w:tcPr>
          <w:p w14:paraId="03611D57">
            <w:pPr>
              <w:spacing w:line="240" w:lineRule="exact"/>
              <w:jc w:val="center"/>
              <w:rPr>
                <w:rFonts w:ascii="Times New Roman" w:hAnsi="Times New Roman" w:eastAsia="宋体" w:cs="Times New Roman"/>
                <w:b/>
                <w:color w:val="auto"/>
                <w:kern w:val="0"/>
              </w:rPr>
            </w:pPr>
            <w:r>
              <w:rPr>
                <w:rFonts w:ascii="Times New Roman" w:hAnsi="Times New Roman" w:eastAsia="宋体" w:cs="Times New Roman"/>
                <w:b/>
                <w:color w:val="auto"/>
                <w:kern w:val="0"/>
              </w:rPr>
              <w:t>日期</w:t>
            </w:r>
          </w:p>
        </w:tc>
        <w:tc>
          <w:tcPr>
            <w:tcW w:w="302" w:type="pct"/>
            <w:vAlign w:val="center"/>
          </w:tcPr>
          <w:p w14:paraId="3236BA29">
            <w:pPr>
              <w:spacing w:line="240" w:lineRule="exact"/>
              <w:jc w:val="center"/>
              <w:rPr>
                <w:rFonts w:ascii="Times New Roman" w:hAnsi="Times New Roman" w:eastAsia="宋体" w:cs="Times New Roman"/>
                <w:b/>
                <w:color w:val="auto"/>
                <w:kern w:val="0"/>
              </w:rPr>
            </w:pPr>
            <w:r>
              <w:rPr>
                <w:rFonts w:ascii="Times New Roman" w:hAnsi="Times New Roman" w:eastAsia="宋体" w:cs="Times New Roman"/>
                <w:b/>
                <w:color w:val="auto"/>
                <w:kern w:val="0"/>
              </w:rPr>
              <w:t>时段</w:t>
            </w:r>
          </w:p>
        </w:tc>
        <w:tc>
          <w:tcPr>
            <w:tcW w:w="504" w:type="pct"/>
            <w:vMerge w:val="continue"/>
            <w:vAlign w:val="center"/>
          </w:tcPr>
          <w:p w14:paraId="7424C70F">
            <w:pPr>
              <w:spacing w:line="240" w:lineRule="exact"/>
              <w:jc w:val="center"/>
              <w:rPr>
                <w:rFonts w:ascii="Times New Roman" w:hAnsi="Times New Roman" w:eastAsia="宋体" w:cs="Times New Roman"/>
                <w:b/>
                <w:color w:val="auto"/>
              </w:rPr>
            </w:pPr>
          </w:p>
        </w:tc>
        <w:tc>
          <w:tcPr>
            <w:tcW w:w="338" w:type="pct"/>
            <w:noWrap/>
            <w:vAlign w:val="center"/>
          </w:tcPr>
          <w:p w14:paraId="1005C75A">
            <w:pPr>
              <w:spacing w:line="240" w:lineRule="exact"/>
              <w:jc w:val="center"/>
              <w:rPr>
                <w:rFonts w:ascii="Times New Roman" w:hAnsi="Times New Roman" w:eastAsia="宋体" w:cs="Times New Roman"/>
                <w:b/>
                <w:color w:val="auto"/>
                <w:kern w:val="0"/>
              </w:rPr>
            </w:pPr>
            <w:r>
              <w:rPr>
                <w:rFonts w:ascii="Times New Roman" w:hAnsi="Times New Roman" w:eastAsia="宋体" w:cs="Times New Roman"/>
                <w:b/>
                <w:color w:val="auto"/>
                <w:kern w:val="0"/>
              </w:rPr>
              <w:t>大</w:t>
            </w:r>
          </w:p>
        </w:tc>
        <w:tc>
          <w:tcPr>
            <w:tcW w:w="338" w:type="pct"/>
            <w:noWrap/>
            <w:vAlign w:val="center"/>
          </w:tcPr>
          <w:p w14:paraId="1D450E47">
            <w:pPr>
              <w:spacing w:line="240" w:lineRule="exact"/>
              <w:jc w:val="center"/>
              <w:rPr>
                <w:rFonts w:ascii="Times New Roman" w:hAnsi="Times New Roman" w:eastAsia="宋体" w:cs="Times New Roman"/>
                <w:b/>
                <w:color w:val="auto"/>
                <w:kern w:val="0"/>
              </w:rPr>
            </w:pPr>
            <w:r>
              <w:rPr>
                <w:rFonts w:ascii="Times New Roman" w:hAnsi="Times New Roman" w:eastAsia="宋体" w:cs="Times New Roman"/>
                <w:b/>
                <w:color w:val="auto"/>
                <w:kern w:val="0"/>
              </w:rPr>
              <w:t>中</w:t>
            </w:r>
          </w:p>
        </w:tc>
        <w:tc>
          <w:tcPr>
            <w:tcW w:w="338" w:type="pct"/>
            <w:noWrap/>
            <w:vAlign w:val="center"/>
          </w:tcPr>
          <w:p w14:paraId="7372D5DB">
            <w:pPr>
              <w:spacing w:line="240" w:lineRule="exact"/>
              <w:jc w:val="center"/>
              <w:rPr>
                <w:rFonts w:ascii="Times New Roman" w:hAnsi="Times New Roman" w:eastAsia="宋体" w:cs="Times New Roman"/>
                <w:b/>
                <w:color w:val="auto"/>
                <w:kern w:val="0"/>
              </w:rPr>
            </w:pPr>
            <w:r>
              <w:rPr>
                <w:rFonts w:ascii="Times New Roman" w:hAnsi="Times New Roman" w:eastAsia="宋体" w:cs="Times New Roman"/>
                <w:b/>
                <w:color w:val="auto"/>
                <w:kern w:val="0"/>
              </w:rPr>
              <w:t>小</w:t>
            </w:r>
          </w:p>
        </w:tc>
        <w:tc>
          <w:tcPr>
            <w:tcW w:w="345" w:type="pct"/>
            <w:vMerge w:val="continue"/>
            <w:vAlign w:val="center"/>
          </w:tcPr>
          <w:p w14:paraId="152926AC">
            <w:pPr>
              <w:spacing w:line="240" w:lineRule="exact"/>
              <w:jc w:val="center"/>
              <w:rPr>
                <w:rFonts w:ascii="Times New Roman" w:hAnsi="Times New Roman" w:eastAsia="宋体" w:cs="Times New Roman"/>
                <w:b/>
                <w:color w:val="auto"/>
                <w:kern w:val="0"/>
              </w:rPr>
            </w:pPr>
          </w:p>
        </w:tc>
        <w:tc>
          <w:tcPr>
            <w:tcW w:w="376" w:type="pct"/>
            <w:vMerge w:val="continue"/>
            <w:vAlign w:val="center"/>
          </w:tcPr>
          <w:p w14:paraId="683BE818">
            <w:pPr>
              <w:spacing w:line="240" w:lineRule="exact"/>
              <w:jc w:val="center"/>
              <w:rPr>
                <w:rFonts w:ascii="Times New Roman" w:hAnsi="Times New Roman" w:eastAsia="宋体" w:cs="Times New Roman"/>
                <w:b/>
                <w:color w:val="auto"/>
                <w:kern w:val="0"/>
              </w:rPr>
            </w:pPr>
          </w:p>
        </w:tc>
      </w:tr>
      <w:tr w14:paraId="79525B36">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4" w:type="pct"/>
            <w:vMerge w:val="restart"/>
            <w:noWrap/>
            <w:vAlign w:val="center"/>
          </w:tcPr>
          <w:p w14:paraId="44B8B710">
            <w:pPr>
              <w:spacing w:line="240" w:lineRule="exact"/>
              <w:jc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w:t>
            </w:r>
          </w:p>
        </w:tc>
        <w:tc>
          <w:tcPr>
            <w:tcW w:w="472" w:type="pct"/>
            <w:vMerge w:val="restart"/>
            <w:noWrap/>
            <w:vAlign w:val="center"/>
          </w:tcPr>
          <w:p w14:paraId="14D5C85F">
            <w:pPr>
              <w:spacing w:line="240" w:lineRule="exact"/>
              <w:jc w:val="center"/>
              <w:rPr>
                <w:rFonts w:ascii="Times New Roman" w:hAnsi="Times New Roman" w:eastAsia="宋体" w:cs="Times New Roman"/>
                <w:color w:val="auto"/>
                <w:kern w:val="0"/>
              </w:rPr>
            </w:pPr>
            <w:r>
              <w:rPr>
                <w:rFonts w:hint="eastAsia" w:ascii="Times New Roman" w:hAnsi="Times New Roman" w:cs="Times New Roman" w:eastAsiaTheme="minorEastAsia"/>
                <w:color w:val="auto"/>
              </w:rPr>
              <w:t>英兰干村</w:t>
            </w:r>
          </w:p>
        </w:tc>
        <w:tc>
          <w:tcPr>
            <w:tcW w:w="403" w:type="pct"/>
            <w:vMerge w:val="restart"/>
            <w:vAlign w:val="center"/>
          </w:tcPr>
          <w:p w14:paraId="3D3C8E8D">
            <w:pPr>
              <w:spacing w:line="240" w:lineRule="exact"/>
              <w:jc w:val="center"/>
              <w:rPr>
                <w:rFonts w:ascii="Times New Roman" w:hAnsi="Times New Roman" w:eastAsia="宋体" w:cs="Times New Roman"/>
                <w:color w:val="auto"/>
                <w:kern w:val="0"/>
              </w:rPr>
            </w:pPr>
            <w:r>
              <w:rPr>
                <w:rFonts w:ascii="Times New Roman" w:hAnsi="Times New Roman" w:eastAsia="宋体" w:cs="Times New Roman"/>
                <w:color w:val="auto"/>
                <w:kern w:val="0"/>
              </w:rPr>
              <w:t>环境噪声</w:t>
            </w:r>
          </w:p>
        </w:tc>
        <w:tc>
          <w:tcPr>
            <w:tcW w:w="815" w:type="pct"/>
            <w:vMerge w:val="restart"/>
            <w:vAlign w:val="center"/>
          </w:tcPr>
          <w:p w14:paraId="192698D8">
            <w:pPr>
              <w:spacing w:line="240" w:lineRule="exact"/>
              <w:jc w:val="center"/>
              <w:rPr>
                <w:rFonts w:ascii="Times New Roman" w:hAnsi="Times New Roman" w:eastAsia="宋体" w:cs="Times New Roman"/>
                <w:color w:val="auto"/>
                <w:kern w:val="0"/>
              </w:rPr>
            </w:pPr>
            <w:r>
              <w:rPr>
                <w:rFonts w:ascii="Times New Roman" w:hAnsi="Times New Roman" w:eastAsia="宋体" w:cs="Times New Roman"/>
                <w:color w:val="auto"/>
              </w:rPr>
              <w:t>临现有</w:t>
            </w:r>
            <w:r>
              <w:rPr>
                <w:rFonts w:hint="eastAsia" w:ascii="Times New Roman" w:hAnsi="Times New Roman" w:eastAsia="宋体" w:cs="Times New Roman"/>
                <w:color w:val="auto"/>
              </w:rPr>
              <w:t>G219</w:t>
            </w:r>
            <w:r>
              <w:rPr>
                <w:rFonts w:ascii="Times New Roman" w:hAnsi="Times New Roman" w:eastAsia="宋体" w:cs="Times New Roman"/>
                <w:color w:val="auto"/>
              </w:rPr>
              <w:t>第一排房</w:t>
            </w:r>
            <w:r>
              <w:rPr>
                <w:rFonts w:hint="eastAsia" w:ascii="Times New Roman" w:hAnsi="Times New Roman" w:eastAsia="宋体" w:cs="Times New Roman"/>
                <w:color w:val="auto"/>
              </w:rPr>
              <w:t>1</w:t>
            </w:r>
            <w:r>
              <w:rPr>
                <w:rFonts w:ascii="Times New Roman" w:hAnsi="Times New Roman" w:eastAsia="宋体" w:cs="Times New Roman"/>
                <w:color w:val="auto"/>
              </w:rPr>
              <w:t>层</w:t>
            </w:r>
          </w:p>
        </w:tc>
        <w:tc>
          <w:tcPr>
            <w:tcW w:w="504" w:type="pct"/>
            <w:noWrap/>
            <w:vAlign w:val="center"/>
          </w:tcPr>
          <w:p w14:paraId="5AA70522">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2026.4.21</w:t>
            </w:r>
          </w:p>
        </w:tc>
        <w:tc>
          <w:tcPr>
            <w:tcW w:w="302" w:type="pct"/>
            <w:vAlign w:val="center"/>
          </w:tcPr>
          <w:p w14:paraId="298C56FD">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昼间</w:t>
            </w:r>
          </w:p>
        </w:tc>
        <w:tc>
          <w:tcPr>
            <w:tcW w:w="504" w:type="pct"/>
            <w:vAlign w:val="center"/>
          </w:tcPr>
          <w:p w14:paraId="485EA61C">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58</w:t>
            </w:r>
          </w:p>
        </w:tc>
        <w:tc>
          <w:tcPr>
            <w:tcW w:w="338" w:type="pct"/>
            <w:noWrap/>
            <w:vAlign w:val="center"/>
          </w:tcPr>
          <w:p w14:paraId="3386421B">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49</w:t>
            </w:r>
          </w:p>
        </w:tc>
        <w:tc>
          <w:tcPr>
            <w:tcW w:w="338" w:type="pct"/>
            <w:noWrap/>
            <w:vAlign w:val="center"/>
          </w:tcPr>
          <w:p w14:paraId="6AA13064">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27</w:t>
            </w:r>
          </w:p>
        </w:tc>
        <w:tc>
          <w:tcPr>
            <w:tcW w:w="338" w:type="pct"/>
            <w:noWrap/>
            <w:vAlign w:val="center"/>
          </w:tcPr>
          <w:p w14:paraId="4B86975D">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117</w:t>
            </w:r>
          </w:p>
        </w:tc>
        <w:tc>
          <w:tcPr>
            <w:tcW w:w="345" w:type="pct"/>
            <w:vMerge w:val="restart"/>
            <w:noWrap/>
            <w:vAlign w:val="center"/>
          </w:tcPr>
          <w:p w14:paraId="399BF73F">
            <w:pPr>
              <w:spacing w:line="240" w:lineRule="exact"/>
              <w:jc w:val="center"/>
              <w:rPr>
                <w:rFonts w:ascii="Times New Roman" w:hAnsi="Times New Roman" w:eastAsia="宋体" w:cs="Times New Roman"/>
                <w:color w:val="auto"/>
                <w:kern w:val="0"/>
              </w:rPr>
            </w:pPr>
            <w:r>
              <w:rPr>
                <w:rFonts w:ascii="Times New Roman" w:hAnsi="Times New Roman" w:eastAsia="宋体" w:cs="Times New Roman"/>
                <w:color w:val="auto"/>
                <w:kern w:val="0"/>
              </w:rPr>
              <w:t>4a类</w:t>
            </w:r>
          </w:p>
        </w:tc>
        <w:tc>
          <w:tcPr>
            <w:tcW w:w="376" w:type="pct"/>
            <w:noWrap/>
            <w:vAlign w:val="center"/>
          </w:tcPr>
          <w:p w14:paraId="683DD978">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737680E4">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4" w:type="pct"/>
            <w:vMerge w:val="continue"/>
            <w:vAlign w:val="center"/>
          </w:tcPr>
          <w:p w14:paraId="03C8555D">
            <w:pPr>
              <w:spacing w:line="240" w:lineRule="exact"/>
              <w:jc w:val="center"/>
              <w:rPr>
                <w:rFonts w:ascii="Times New Roman" w:hAnsi="Times New Roman" w:eastAsia="宋体" w:cs="Times New Roman"/>
                <w:color w:val="auto"/>
                <w:kern w:val="0"/>
              </w:rPr>
            </w:pPr>
          </w:p>
        </w:tc>
        <w:tc>
          <w:tcPr>
            <w:tcW w:w="472" w:type="pct"/>
            <w:vMerge w:val="continue"/>
            <w:vAlign w:val="center"/>
          </w:tcPr>
          <w:p w14:paraId="7029D2F1">
            <w:pPr>
              <w:spacing w:line="240" w:lineRule="exact"/>
              <w:jc w:val="center"/>
              <w:rPr>
                <w:rFonts w:ascii="Times New Roman" w:hAnsi="Times New Roman" w:eastAsia="宋体" w:cs="Times New Roman"/>
                <w:color w:val="auto"/>
                <w:kern w:val="0"/>
              </w:rPr>
            </w:pPr>
          </w:p>
        </w:tc>
        <w:tc>
          <w:tcPr>
            <w:tcW w:w="403" w:type="pct"/>
            <w:vMerge w:val="continue"/>
            <w:vAlign w:val="center"/>
          </w:tcPr>
          <w:p w14:paraId="67719E3C">
            <w:pPr>
              <w:spacing w:line="240" w:lineRule="exact"/>
              <w:jc w:val="center"/>
              <w:rPr>
                <w:rFonts w:ascii="Times New Roman" w:hAnsi="Times New Roman" w:eastAsia="宋体" w:cs="Times New Roman"/>
                <w:color w:val="auto"/>
                <w:kern w:val="0"/>
              </w:rPr>
            </w:pPr>
          </w:p>
        </w:tc>
        <w:tc>
          <w:tcPr>
            <w:tcW w:w="815" w:type="pct"/>
            <w:vMerge w:val="continue"/>
            <w:vAlign w:val="center"/>
          </w:tcPr>
          <w:p w14:paraId="1850E650">
            <w:pPr>
              <w:spacing w:line="240" w:lineRule="exact"/>
              <w:jc w:val="center"/>
              <w:rPr>
                <w:rFonts w:ascii="Times New Roman" w:hAnsi="Times New Roman" w:eastAsia="宋体" w:cs="Times New Roman"/>
                <w:color w:val="auto"/>
                <w:kern w:val="0"/>
              </w:rPr>
            </w:pPr>
          </w:p>
        </w:tc>
        <w:tc>
          <w:tcPr>
            <w:tcW w:w="504" w:type="pct"/>
            <w:noWrap/>
            <w:vAlign w:val="center"/>
          </w:tcPr>
          <w:p w14:paraId="7A210EB0">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2026.4.22</w:t>
            </w:r>
          </w:p>
        </w:tc>
        <w:tc>
          <w:tcPr>
            <w:tcW w:w="302" w:type="pct"/>
            <w:vAlign w:val="center"/>
          </w:tcPr>
          <w:p w14:paraId="32CE35B2">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夜间</w:t>
            </w:r>
          </w:p>
        </w:tc>
        <w:tc>
          <w:tcPr>
            <w:tcW w:w="504" w:type="pct"/>
            <w:vAlign w:val="center"/>
          </w:tcPr>
          <w:p w14:paraId="7E471C05">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51</w:t>
            </w:r>
          </w:p>
        </w:tc>
        <w:tc>
          <w:tcPr>
            <w:tcW w:w="338" w:type="pct"/>
            <w:noWrap/>
            <w:vAlign w:val="center"/>
          </w:tcPr>
          <w:p w14:paraId="37D771F9">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24</w:t>
            </w:r>
          </w:p>
        </w:tc>
        <w:tc>
          <w:tcPr>
            <w:tcW w:w="338" w:type="pct"/>
            <w:noWrap/>
            <w:vAlign w:val="center"/>
          </w:tcPr>
          <w:p w14:paraId="5E6A7BF4">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15</w:t>
            </w:r>
          </w:p>
        </w:tc>
        <w:tc>
          <w:tcPr>
            <w:tcW w:w="338" w:type="pct"/>
            <w:noWrap/>
            <w:vAlign w:val="center"/>
          </w:tcPr>
          <w:p w14:paraId="7672EA8F">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30</w:t>
            </w:r>
          </w:p>
        </w:tc>
        <w:tc>
          <w:tcPr>
            <w:tcW w:w="345" w:type="pct"/>
            <w:vMerge w:val="continue"/>
            <w:noWrap/>
            <w:vAlign w:val="center"/>
          </w:tcPr>
          <w:p w14:paraId="4A8851B2">
            <w:pPr>
              <w:spacing w:line="240" w:lineRule="exact"/>
              <w:jc w:val="center"/>
              <w:rPr>
                <w:rFonts w:ascii="Times New Roman" w:hAnsi="Times New Roman" w:eastAsia="宋体" w:cs="Times New Roman"/>
                <w:color w:val="auto"/>
                <w:kern w:val="0"/>
              </w:rPr>
            </w:pPr>
          </w:p>
        </w:tc>
        <w:tc>
          <w:tcPr>
            <w:tcW w:w="376" w:type="pct"/>
            <w:noWrap/>
            <w:vAlign w:val="center"/>
          </w:tcPr>
          <w:p w14:paraId="1097D429">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39D239DF">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4" w:type="pct"/>
            <w:vMerge w:val="continue"/>
            <w:vAlign w:val="center"/>
          </w:tcPr>
          <w:p w14:paraId="370AF5B7">
            <w:pPr>
              <w:spacing w:line="240" w:lineRule="exact"/>
              <w:jc w:val="center"/>
              <w:rPr>
                <w:rFonts w:ascii="Times New Roman" w:hAnsi="Times New Roman" w:eastAsia="宋体" w:cs="Times New Roman"/>
                <w:color w:val="auto"/>
                <w:kern w:val="0"/>
              </w:rPr>
            </w:pPr>
          </w:p>
        </w:tc>
        <w:tc>
          <w:tcPr>
            <w:tcW w:w="472" w:type="pct"/>
            <w:vMerge w:val="continue"/>
            <w:vAlign w:val="center"/>
          </w:tcPr>
          <w:p w14:paraId="187D4D6D">
            <w:pPr>
              <w:spacing w:line="240" w:lineRule="exact"/>
              <w:jc w:val="center"/>
              <w:rPr>
                <w:rFonts w:ascii="Times New Roman" w:hAnsi="Times New Roman" w:eastAsia="宋体" w:cs="Times New Roman"/>
                <w:color w:val="auto"/>
                <w:kern w:val="0"/>
              </w:rPr>
            </w:pPr>
          </w:p>
        </w:tc>
        <w:tc>
          <w:tcPr>
            <w:tcW w:w="403" w:type="pct"/>
            <w:vMerge w:val="continue"/>
            <w:vAlign w:val="center"/>
          </w:tcPr>
          <w:p w14:paraId="0660FBE0">
            <w:pPr>
              <w:spacing w:line="240" w:lineRule="exact"/>
              <w:jc w:val="center"/>
              <w:rPr>
                <w:rFonts w:ascii="Times New Roman" w:hAnsi="Times New Roman" w:eastAsia="宋体" w:cs="Times New Roman"/>
                <w:color w:val="auto"/>
                <w:kern w:val="0"/>
              </w:rPr>
            </w:pPr>
          </w:p>
        </w:tc>
        <w:tc>
          <w:tcPr>
            <w:tcW w:w="815" w:type="pct"/>
            <w:vMerge w:val="continue"/>
            <w:vAlign w:val="center"/>
          </w:tcPr>
          <w:p w14:paraId="044381D8">
            <w:pPr>
              <w:spacing w:line="240" w:lineRule="exact"/>
              <w:jc w:val="center"/>
              <w:rPr>
                <w:rFonts w:ascii="Times New Roman" w:hAnsi="Times New Roman" w:eastAsia="宋体" w:cs="Times New Roman"/>
                <w:color w:val="auto"/>
                <w:kern w:val="0"/>
              </w:rPr>
            </w:pPr>
          </w:p>
        </w:tc>
        <w:tc>
          <w:tcPr>
            <w:tcW w:w="504" w:type="pct"/>
            <w:noWrap/>
            <w:vAlign w:val="center"/>
          </w:tcPr>
          <w:p w14:paraId="453A767F">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2026.4.22</w:t>
            </w:r>
          </w:p>
        </w:tc>
        <w:tc>
          <w:tcPr>
            <w:tcW w:w="302" w:type="pct"/>
            <w:vAlign w:val="center"/>
          </w:tcPr>
          <w:p w14:paraId="4BFE55DA">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昼间</w:t>
            </w:r>
          </w:p>
        </w:tc>
        <w:tc>
          <w:tcPr>
            <w:tcW w:w="504" w:type="pct"/>
            <w:vAlign w:val="center"/>
          </w:tcPr>
          <w:p w14:paraId="5D41B049">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60</w:t>
            </w:r>
          </w:p>
        </w:tc>
        <w:tc>
          <w:tcPr>
            <w:tcW w:w="338" w:type="pct"/>
            <w:noWrap/>
            <w:vAlign w:val="center"/>
          </w:tcPr>
          <w:p w14:paraId="771010B3">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46</w:t>
            </w:r>
          </w:p>
        </w:tc>
        <w:tc>
          <w:tcPr>
            <w:tcW w:w="338" w:type="pct"/>
            <w:noWrap/>
            <w:vAlign w:val="center"/>
          </w:tcPr>
          <w:p w14:paraId="10D28573">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24</w:t>
            </w:r>
          </w:p>
        </w:tc>
        <w:tc>
          <w:tcPr>
            <w:tcW w:w="338" w:type="pct"/>
            <w:noWrap/>
            <w:vAlign w:val="center"/>
          </w:tcPr>
          <w:p w14:paraId="614F4CB8">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120</w:t>
            </w:r>
          </w:p>
        </w:tc>
        <w:tc>
          <w:tcPr>
            <w:tcW w:w="345" w:type="pct"/>
            <w:vMerge w:val="continue"/>
            <w:noWrap/>
            <w:vAlign w:val="center"/>
          </w:tcPr>
          <w:p w14:paraId="7D001159">
            <w:pPr>
              <w:spacing w:line="240" w:lineRule="exact"/>
              <w:jc w:val="center"/>
              <w:rPr>
                <w:rFonts w:ascii="Times New Roman" w:hAnsi="Times New Roman" w:eastAsia="宋体" w:cs="Times New Roman"/>
                <w:color w:val="auto"/>
                <w:kern w:val="0"/>
              </w:rPr>
            </w:pPr>
          </w:p>
        </w:tc>
        <w:tc>
          <w:tcPr>
            <w:tcW w:w="376" w:type="pct"/>
            <w:noWrap/>
            <w:vAlign w:val="center"/>
          </w:tcPr>
          <w:p w14:paraId="40873638">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6CD82E44">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4" w:type="pct"/>
            <w:vMerge w:val="continue"/>
            <w:vAlign w:val="center"/>
          </w:tcPr>
          <w:p w14:paraId="7C857029">
            <w:pPr>
              <w:spacing w:line="240" w:lineRule="exact"/>
              <w:jc w:val="center"/>
              <w:rPr>
                <w:rFonts w:ascii="Times New Roman" w:hAnsi="Times New Roman" w:eastAsia="宋体" w:cs="Times New Roman"/>
                <w:color w:val="auto"/>
                <w:kern w:val="0"/>
              </w:rPr>
            </w:pPr>
          </w:p>
        </w:tc>
        <w:tc>
          <w:tcPr>
            <w:tcW w:w="472" w:type="pct"/>
            <w:vMerge w:val="continue"/>
            <w:vAlign w:val="center"/>
          </w:tcPr>
          <w:p w14:paraId="1AC8E942">
            <w:pPr>
              <w:spacing w:line="240" w:lineRule="exact"/>
              <w:jc w:val="center"/>
              <w:rPr>
                <w:rFonts w:ascii="Times New Roman" w:hAnsi="Times New Roman" w:eastAsia="宋体" w:cs="Times New Roman"/>
                <w:color w:val="auto"/>
                <w:kern w:val="0"/>
              </w:rPr>
            </w:pPr>
          </w:p>
        </w:tc>
        <w:tc>
          <w:tcPr>
            <w:tcW w:w="403" w:type="pct"/>
            <w:vMerge w:val="continue"/>
            <w:vAlign w:val="center"/>
          </w:tcPr>
          <w:p w14:paraId="0BE4496F">
            <w:pPr>
              <w:spacing w:line="240" w:lineRule="exact"/>
              <w:jc w:val="center"/>
              <w:rPr>
                <w:rFonts w:ascii="Times New Roman" w:hAnsi="Times New Roman" w:eastAsia="宋体" w:cs="Times New Roman"/>
                <w:color w:val="auto"/>
                <w:kern w:val="0"/>
              </w:rPr>
            </w:pPr>
          </w:p>
        </w:tc>
        <w:tc>
          <w:tcPr>
            <w:tcW w:w="815" w:type="pct"/>
            <w:vMerge w:val="continue"/>
            <w:vAlign w:val="center"/>
          </w:tcPr>
          <w:p w14:paraId="5D1DC8FB">
            <w:pPr>
              <w:spacing w:line="240" w:lineRule="exact"/>
              <w:jc w:val="center"/>
              <w:rPr>
                <w:rFonts w:ascii="Times New Roman" w:hAnsi="Times New Roman" w:eastAsia="宋体" w:cs="Times New Roman"/>
                <w:color w:val="auto"/>
                <w:kern w:val="0"/>
              </w:rPr>
            </w:pPr>
          </w:p>
        </w:tc>
        <w:tc>
          <w:tcPr>
            <w:tcW w:w="504" w:type="pct"/>
            <w:noWrap/>
            <w:vAlign w:val="center"/>
          </w:tcPr>
          <w:p w14:paraId="6272DC52">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2026.4.23</w:t>
            </w:r>
          </w:p>
        </w:tc>
        <w:tc>
          <w:tcPr>
            <w:tcW w:w="302" w:type="pct"/>
            <w:vAlign w:val="center"/>
          </w:tcPr>
          <w:p w14:paraId="06CD0913">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夜间</w:t>
            </w:r>
          </w:p>
        </w:tc>
        <w:tc>
          <w:tcPr>
            <w:tcW w:w="504" w:type="pct"/>
            <w:vAlign w:val="center"/>
          </w:tcPr>
          <w:p w14:paraId="0DF3E9AF">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52</w:t>
            </w:r>
          </w:p>
        </w:tc>
        <w:tc>
          <w:tcPr>
            <w:tcW w:w="338" w:type="pct"/>
            <w:noWrap/>
            <w:vAlign w:val="center"/>
          </w:tcPr>
          <w:p w14:paraId="250FC37C">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26</w:t>
            </w:r>
          </w:p>
        </w:tc>
        <w:tc>
          <w:tcPr>
            <w:tcW w:w="338" w:type="pct"/>
            <w:noWrap/>
            <w:vAlign w:val="center"/>
          </w:tcPr>
          <w:p w14:paraId="35F7547B">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12</w:t>
            </w:r>
          </w:p>
        </w:tc>
        <w:tc>
          <w:tcPr>
            <w:tcW w:w="338" w:type="pct"/>
            <w:noWrap/>
            <w:vAlign w:val="center"/>
          </w:tcPr>
          <w:p w14:paraId="2C76B5B5">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30</w:t>
            </w:r>
          </w:p>
        </w:tc>
        <w:tc>
          <w:tcPr>
            <w:tcW w:w="345" w:type="pct"/>
            <w:vMerge w:val="continue"/>
            <w:noWrap/>
            <w:vAlign w:val="center"/>
          </w:tcPr>
          <w:p w14:paraId="7DB9F233">
            <w:pPr>
              <w:spacing w:line="240" w:lineRule="exact"/>
              <w:jc w:val="center"/>
              <w:rPr>
                <w:rFonts w:ascii="Times New Roman" w:hAnsi="Times New Roman" w:eastAsia="宋体" w:cs="Times New Roman"/>
                <w:color w:val="auto"/>
                <w:kern w:val="0"/>
              </w:rPr>
            </w:pPr>
          </w:p>
        </w:tc>
        <w:tc>
          <w:tcPr>
            <w:tcW w:w="376" w:type="pct"/>
            <w:noWrap/>
            <w:vAlign w:val="center"/>
          </w:tcPr>
          <w:p w14:paraId="47974687">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042CC291">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4" w:type="pct"/>
            <w:vMerge w:val="continue"/>
            <w:vAlign w:val="center"/>
          </w:tcPr>
          <w:p w14:paraId="2A650AF2">
            <w:pPr>
              <w:spacing w:line="240" w:lineRule="exact"/>
              <w:jc w:val="center"/>
              <w:rPr>
                <w:rFonts w:ascii="Times New Roman" w:hAnsi="Times New Roman" w:eastAsia="宋体" w:cs="Times New Roman"/>
                <w:color w:val="auto"/>
                <w:kern w:val="0"/>
              </w:rPr>
            </w:pPr>
          </w:p>
        </w:tc>
        <w:tc>
          <w:tcPr>
            <w:tcW w:w="472" w:type="pct"/>
            <w:vMerge w:val="continue"/>
            <w:vAlign w:val="center"/>
          </w:tcPr>
          <w:p w14:paraId="72F3FB4A">
            <w:pPr>
              <w:spacing w:line="240" w:lineRule="exact"/>
              <w:jc w:val="center"/>
              <w:rPr>
                <w:rFonts w:ascii="Times New Roman" w:hAnsi="Times New Roman" w:eastAsia="宋体" w:cs="Times New Roman"/>
                <w:color w:val="auto"/>
                <w:kern w:val="0"/>
              </w:rPr>
            </w:pPr>
          </w:p>
        </w:tc>
        <w:tc>
          <w:tcPr>
            <w:tcW w:w="403" w:type="pct"/>
            <w:vMerge w:val="continue"/>
            <w:vAlign w:val="center"/>
          </w:tcPr>
          <w:p w14:paraId="12FE7474">
            <w:pPr>
              <w:spacing w:line="240" w:lineRule="exact"/>
              <w:jc w:val="center"/>
              <w:rPr>
                <w:rFonts w:ascii="Times New Roman" w:hAnsi="Times New Roman" w:eastAsia="宋体" w:cs="Times New Roman"/>
                <w:color w:val="auto"/>
                <w:kern w:val="0"/>
              </w:rPr>
            </w:pPr>
          </w:p>
        </w:tc>
        <w:tc>
          <w:tcPr>
            <w:tcW w:w="815" w:type="pct"/>
            <w:vMerge w:val="restart"/>
            <w:vAlign w:val="center"/>
          </w:tcPr>
          <w:p w14:paraId="51047259">
            <w:pPr>
              <w:spacing w:line="240" w:lineRule="exact"/>
              <w:jc w:val="center"/>
              <w:rPr>
                <w:rFonts w:ascii="Times New Roman" w:hAnsi="Times New Roman" w:eastAsia="宋体" w:cs="Times New Roman"/>
                <w:color w:val="auto"/>
                <w:kern w:val="0"/>
              </w:rPr>
            </w:pPr>
            <w:r>
              <w:rPr>
                <w:rFonts w:ascii="Times New Roman" w:hAnsi="Times New Roman" w:eastAsia="宋体" w:cs="Times New Roman"/>
                <w:color w:val="auto"/>
              </w:rPr>
              <w:t>临现有</w:t>
            </w:r>
            <w:r>
              <w:rPr>
                <w:rFonts w:hint="eastAsia" w:ascii="Times New Roman" w:hAnsi="Times New Roman" w:eastAsia="宋体" w:cs="Times New Roman"/>
                <w:color w:val="auto"/>
              </w:rPr>
              <w:t>G219</w:t>
            </w:r>
            <w:r>
              <w:rPr>
                <w:rFonts w:ascii="Times New Roman" w:hAnsi="Times New Roman" w:eastAsia="宋体" w:cs="Times New Roman"/>
                <w:color w:val="auto"/>
              </w:rPr>
              <w:t>边界</w:t>
            </w:r>
            <w:r>
              <w:rPr>
                <w:rFonts w:hint="eastAsia" w:ascii="Times New Roman" w:hAnsi="Times New Roman" w:eastAsia="宋体" w:cs="Times New Roman"/>
                <w:color w:val="auto"/>
              </w:rPr>
              <w:t>35</w:t>
            </w:r>
            <w:r>
              <w:rPr>
                <w:rFonts w:ascii="Times New Roman" w:hAnsi="Times New Roman" w:eastAsia="宋体" w:cs="Times New Roman"/>
                <w:color w:val="auto"/>
              </w:rPr>
              <w:t>m外第一排房</w:t>
            </w:r>
            <w:r>
              <w:rPr>
                <w:rFonts w:hint="eastAsia" w:ascii="Times New Roman" w:hAnsi="Times New Roman" w:eastAsia="宋体" w:cs="Times New Roman"/>
                <w:color w:val="auto"/>
              </w:rPr>
              <w:t>1</w:t>
            </w:r>
            <w:r>
              <w:rPr>
                <w:rFonts w:ascii="Times New Roman" w:hAnsi="Times New Roman" w:eastAsia="宋体" w:cs="Times New Roman"/>
                <w:color w:val="auto"/>
              </w:rPr>
              <w:t>层</w:t>
            </w:r>
          </w:p>
        </w:tc>
        <w:tc>
          <w:tcPr>
            <w:tcW w:w="504" w:type="pct"/>
            <w:noWrap/>
            <w:vAlign w:val="center"/>
          </w:tcPr>
          <w:p w14:paraId="31FC3C2D">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2026.4.21</w:t>
            </w:r>
          </w:p>
        </w:tc>
        <w:tc>
          <w:tcPr>
            <w:tcW w:w="302" w:type="pct"/>
            <w:vAlign w:val="center"/>
          </w:tcPr>
          <w:p w14:paraId="107D75B9">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昼间</w:t>
            </w:r>
          </w:p>
        </w:tc>
        <w:tc>
          <w:tcPr>
            <w:tcW w:w="504" w:type="pct"/>
            <w:vAlign w:val="center"/>
          </w:tcPr>
          <w:p w14:paraId="137EF9B6">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52</w:t>
            </w:r>
          </w:p>
        </w:tc>
        <w:tc>
          <w:tcPr>
            <w:tcW w:w="338" w:type="pct"/>
            <w:noWrap/>
            <w:vAlign w:val="center"/>
          </w:tcPr>
          <w:p w14:paraId="79CB168E">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49</w:t>
            </w:r>
          </w:p>
        </w:tc>
        <w:tc>
          <w:tcPr>
            <w:tcW w:w="338" w:type="pct"/>
            <w:noWrap/>
            <w:vAlign w:val="center"/>
          </w:tcPr>
          <w:p w14:paraId="4CE9DA9C">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27</w:t>
            </w:r>
          </w:p>
        </w:tc>
        <w:tc>
          <w:tcPr>
            <w:tcW w:w="338" w:type="pct"/>
            <w:noWrap/>
            <w:vAlign w:val="center"/>
          </w:tcPr>
          <w:p w14:paraId="3227385D">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117</w:t>
            </w:r>
          </w:p>
        </w:tc>
        <w:tc>
          <w:tcPr>
            <w:tcW w:w="345" w:type="pct"/>
            <w:vMerge w:val="restart"/>
            <w:noWrap/>
            <w:vAlign w:val="center"/>
          </w:tcPr>
          <w:p w14:paraId="4042F36D">
            <w:pPr>
              <w:spacing w:line="240" w:lineRule="exact"/>
              <w:jc w:val="center"/>
              <w:rPr>
                <w:rFonts w:ascii="Times New Roman" w:hAnsi="Times New Roman" w:eastAsia="宋体" w:cs="Times New Roman"/>
                <w:color w:val="auto"/>
                <w:kern w:val="0"/>
              </w:rPr>
            </w:pPr>
            <w:r>
              <w:rPr>
                <w:rFonts w:ascii="Times New Roman" w:hAnsi="Times New Roman" w:eastAsia="宋体" w:cs="Times New Roman"/>
                <w:color w:val="auto"/>
                <w:kern w:val="0"/>
              </w:rPr>
              <w:t>2类</w:t>
            </w:r>
          </w:p>
        </w:tc>
        <w:tc>
          <w:tcPr>
            <w:tcW w:w="376" w:type="pct"/>
            <w:noWrap/>
            <w:vAlign w:val="center"/>
          </w:tcPr>
          <w:p w14:paraId="25AC66F1">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7A6DAA6D">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4" w:type="pct"/>
            <w:vMerge w:val="continue"/>
            <w:vAlign w:val="center"/>
          </w:tcPr>
          <w:p w14:paraId="09792CB9">
            <w:pPr>
              <w:spacing w:line="240" w:lineRule="exact"/>
              <w:jc w:val="center"/>
              <w:rPr>
                <w:rFonts w:ascii="Times New Roman" w:hAnsi="Times New Roman" w:eastAsia="宋体" w:cs="Times New Roman"/>
                <w:color w:val="auto"/>
                <w:kern w:val="0"/>
              </w:rPr>
            </w:pPr>
          </w:p>
        </w:tc>
        <w:tc>
          <w:tcPr>
            <w:tcW w:w="472" w:type="pct"/>
            <w:vMerge w:val="continue"/>
            <w:vAlign w:val="center"/>
          </w:tcPr>
          <w:p w14:paraId="10BFEF8F">
            <w:pPr>
              <w:spacing w:line="240" w:lineRule="exact"/>
              <w:jc w:val="center"/>
              <w:rPr>
                <w:rFonts w:ascii="Times New Roman" w:hAnsi="Times New Roman" w:eastAsia="宋体" w:cs="Times New Roman"/>
                <w:color w:val="auto"/>
                <w:kern w:val="0"/>
              </w:rPr>
            </w:pPr>
          </w:p>
        </w:tc>
        <w:tc>
          <w:tcPr>
            <w:tcW w:w="403" w:type="pct"/>
            <w:vMerge w:val="continue"/>
            <w:vAlign w:val="center"/>
          </w:tcPr>
          <w:p w14:paraId="3D99FB1F">
            <w:pPr>
              <w:spacing w:line="240" w:lineRule="exact"/>
              <w:jc w:val="center"/>
              <w:rPr>
                <w:rFonts w:ascii="Times New Roman" w:hAnsi="Times New Roman" w:eastAsia="宋体" w:cs="Times New Roman"/>
                <w:color w:val="auto"/>
                <w:kern w:val="0"/>
              </w:rPr>
            </w:pPr>
          </w:p>
        </w:tc>
        <w:tc>
          <w:tcPr>
            <w:tcW w:w="815" w:type="pct"/>
            <w:vMerge w:val="continue"/>
            <w:vAlign w:val="center"/>
          </w:tcPr>
          <w:p w14:paraId="1BA81BAF">
            <w:pPr>
              <w:spacing w:line="240" w:lineRule="exact"/>
              <w:jc w:val="center"/>
              <w:rPr>
                <w:rFonts w:ascii="Times New Roman" w:hAnsi="Times New Roman" w:eastAsia="宋体" w:cs="Times New Roman"/>
                <w:color w:val="auto"/>
                <w:kern w:val="0"/>
              </w:rPr>
            </w:pPr>
          </w:p>
        </w:tc>
        <w:tc>
          <w:tcPr>
            <w:tcW w:w="504" w:type="pct"/>
            <w:noWrap/>
            <w:vAlign w:val="center"/>
          </w:tcPr>
          <w:p w14:paraId="4026A11A">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2026.4.22</w:t>
            </w:r>
          </w:p>
        </w:tc>
        <w:tc>
          <w:tcPr>
            <w:tcW w:w="302" w:type="pct"/>
            <w:vAlign w:val="center"/>
          </w:tcPr>
          <w:p w14:paraId="41FFC1FD">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夜间</w:t>
            </w:r>
          </w:p>
        </w:tc>
        <w:tc>
          <w:tcPr>
            <w:tcW w:w="504" w:type="pct"/>
            <w:vAlign w:val="center"/>
          </w:tcPr>
          <w:p w14:paraId="19E6893B">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46</w:t>
            </w:r>
          </w:p>
        </w:tc>
        <w:tc>
          <w:tcPr>
            <w:tcW w:w="338" w:type="pct"/>
            <w:noWrap/>
            <w:vAlign w:val="center"/>
          </w:tcPr>
          <w:p w14:paraId="29EADA82">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24</w:t>
            </w:r>
          </w:p>
        </w:tc>
        <w:tc>
          <w:tcPr>
            <w:tcW w:w="338" w:type="pct"/>
            <w:noWrap/>
            <w:vAlign w:val="center"/>
          </w:tcPr>
          <w:p w14:paraId="759EDF19">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15</w:t>
            </w:r>
          </w:p>
        </w:tc>
        <w:tc>
          <w:tcPr>
            <w:tcW w:w="338" w:type="pct"/>
            <w:noWrap/>
            <w:vAlign w:val="center"/>
          </w:tcPr>
          <w:p w14:paraId="75F88F44">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30</w:t>
            </w:r>
          </w:p>
        </w:tc>
        <w:tc>
          <w:tcPr>
            <w:tcW w:w="345" w:type="pct"/>
            <w:vMerge w:val="continue"/>
            <w:noWrap/>
            <w:vAlign w:val="center"/>
          </w:tcPr>
          <w:p w14:paraId="0638A9F1">
            <w:pPr>
              <w:spacing w:line="240" w:lineRule="exact"/>
              <w:jc w:val="center"/>
              <w:rPr>
                <w:rFonts w:ascii="Times New Roman" w:hAnsi="Times New Roman" w:eastAsia="宋体" w:cs="Times New Roman"/>
                <w:color w:val="auto"/>
                <w:kern w:val="0"/>
              </w:rPr>
            </w:pPr>
          </w:p>
        </w:tc>
        <w:tc>
          <w:tcPr>
            <w:tcW w:w="376" w:type="pct"/>
            <w:noWrap/>
            <w:vAlign w:val="center"/>
          </w:tcPr>
          <w:p w14:paraId="5AFBF3AA">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714A8337">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4" w:type="pct"/>
            <w:vMerge w:val="continue"/>
            <w:vAlign w:val="center"/>
          </w:tcPr>
          <w:p w14:paraId="598309B7">
            <w:pPr>
              <w:spacing w:line="240" w:lineRule="exact"/>
              <w:jc w:val="center"/>
              <w:rPr>
                <w:rFonts w:ascii="Times New Roman" w:hAnsi="Times New Roman" w:eastAsia="宋体" w:cs="Times New Roman"/>
                <w:color w:val="auto"/>
                <w:kern w:val="0"/>
              </w:rPr>
            </w:pPr>
          </w:p>
        </w:tc>
        <w:tc>
          <w:tcPr>
            <w:tcW w:w="472" w:type="pct"/>
            <w:vMerge w:val="continue"/>
            <w:vAlign w:val="center"/>
          </w:tcPr>
          <w:p w14:paraId="689115BE">
            <w:pPr>
              <w:spacing w:line="240" w:lineRule="exact"/>
              <w:jc w:val="center"/>
              <w:rPr>
                <w:rFonts w:ascii="Times New Roman" w:hAnsi="Times New Roman" w:eastAsia="宋体" w:cs="Times New Roman"/>
                <w:color w:val="auto"/>
                <w:kern w:val="0"/>
              </w:rPr>
            </w:pPr>
          </w:p>
        </w:tc>
        <w:tc>
          <w:tcPr>
            <w:tcW w:w="403" w:type="pct"/>
            <w:vMerge w:val="continue"/>
            <w:vAlign w:val="center"/>
          </w:tcPr>
          <w:p w14:paraId="61DFD53A">
            <w:pPr>
              <w:spacing w:line="240" w:lineRule="exact"/>
              <w:jc w:val="center"/>
              <w:rPr>
                <w:rFonts w:ascii="Times New Roman" w:hAnsi="Times New Roman" w:eastAsia="宋体" w:cs="Times New Roman"/>
                <w:color w:val="auto"/>
                <w:kern w:val="0"/>
              </w:rPr>
            </w:pPr>
          </w:p>
        </w:tc>
        <w:tc>
          <w:tcPr>
            <w:tcW w:w="815" w:type="pct"/>
            <w:vMerge w:val="continue"/>
            <w:vAlign w:val="center"/>
          </w:tcPr>
          <w:p w14:paraId="730AD6E1">
            <w:pPr>
              <w:spacing w:line="240" w:lineRule="exact"/>
              <w:jc w:val="center"/>
              <w:rPr>
                <w:rFonts w:ascii="Times New Roman" w:hAnsi="Times New Roman" w:eastAsia="宋体" w:cs="Times New Roman"/>
                <w:color w:val="auto"/>
                <w:kern w:val="0"/>
              </w:rPr>
            </w:pPr>
          </w:p>
        </w:tc>
        <w:tc>
          <w:tcPr>
            <w:tcW w:w="504" w:type="pct"/>
            <w:noWrap/>
            <w:vAlign w:val="center"/>
          </w:tcPr>
          <w:p w14:paraId="05676A10">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2026.4.22</w:t>
            </w:r>
          </w:p>
        </w:tc>
        <w:tc>
          <w:tcPr>
            <w:tcW w:w="302" w:type="pct"/>
            <w:vAlign w:val="center"/>
          </w:tcPr>
          <w:p w14:paraId="29E3C301">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昼间</w:t>
            </w:r>
          </w:p>
        </w:tc>
        <w:tc>
          <w:tcPr>
            <w:tcW w:w="504" w:type="pct"/>
            <w:vAlign w:val="center"/>
          </w:tcPr>
          <w:p w14:paraId="67C4AC48">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54</w:t>
            </w:r>
          </w:p>
        </w:tc>
        <w:tc>
          <w:tcPr>
            <w:tcW w:w="338" w:type="pct"/>
            <w:noWrap/>
            <w:vAlign w:val="center"/>
          </w:tcPr>
          <w:p w14:paraId="1065523E">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46</w:t>
            </w:r>
          </w:p>
        </w:tc>
        <w:tc>
          <w:tcPr>
            <w:tcW w:w="338" w:type="pct"/>
            <w:noWrap/>
            <w:vAlign w:val="center"/>
          </w:tcPr>
          <w:p w14:paraId="42634E8E">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24</w:t>
            </w:r>
          </w:p>
        </w:tc>
        <w:tc>
          <w:tcPr>
            <w:tcW w:w="338" w:type="pct"/>
            <w:noWrap/>
            <w:vAlign w:val="center"/>
          </w:tcPr>
          <w:p w14:paraId="0F8A3D8D">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120</w:t>
            </w:r>
          </w:p>
        </w:tc>
        <w:tc>
          <w:tcPr>
            <w:tcW w:w="345" w:type="pct"/>
            <w:vMerge w:val="continue"/>
            <w:noWrap/>
            <w:vAlign w:val="center"/>
          </w:tcPr>
          <w:p w14:paraId="316DE3E5">
            <w:pPr>
              <w:spacing w:line="240" w:lineRule="exact"/>
              <w:jc w:val="center"/>
              <w:rPr>
                <w:rFonts w:ascii="Times New Roman" w:hAnsi="Times New Roman" w:eastAsia="宋体" w:cs="Times New Roman"/>
                <w:color w:val="auto"/>
                <w:kern w:val="0"/>
              </w:rPr>
            </w:pPr>
          </w:p>
        </w:tc>
        <w:tc>
          <w:tcPr>
            <w:tcW w:w="376" w:type="pct"/>
            <w:noWrap/>
            <w:vAlign w:val="center"/>
          </w:tcPr>
          <w:p w14:paraId="38715C70">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55E4E8AB">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4" w:type="pct"/>
            <w:vMerge w:val="continue"/>
            <w:vAlign w:val="center"/>
          </w:tcPr>
          <w:p w14:paraId="47037937">
            <w:pPr>
              <w:spacing w:line="240" w:lineRule="exact"/>
              <w:jc w:val="center"/>
              <w:rPr>
                <w:rFonts w:ascii="Times New Roman" w:hAnsi="Times New Roman" w:eastAsia="宋体" w:cs="Times New Roman"/>
                <w:color w:val="auto"/>
                <w:kern w:val="0"/>
              </w:rPr>
            </w:pPr>
          </w:p>
        </w:tc>
        <w:tc>
          <w:tcPr>
            <w:tcW w:w="472" w:type="pct"/>
            <w:vMerge w:val="continue"/>
            <w:vAlign w:val="center"/>
          </w:tcPr>
          <w:p w14:paraId="050DF084">
            <w:pPr>
              <w:spacing w:line="240" w:lineRule="exact"/>
              <w:jc w:val="center"/>
              <w:rPr>
                <w:rFonts w:ascii="Times New Roman" w:hAnsi="Times New Roman" w:eastAsia="宋体" w:cs="Times New Roman"/>
                <w:color w:val="auto"/>
                <w:kern w:val="0"/>
              </w:rPr>
            </w:pPr>
          </w:p>
        </w:tc>
        <w:tc>
          <w:tcPr>
            <w:tcW w:w="403" w:type="pct"/>
            <w:vMerge w:val="continue"/>
            <w:vAlign w:val="center"/>
          </w:tcPr>
          <w:p w14:paraId="7DE9E55E">
            <w:pPr>
              <w:spacing w:line="240" w:lineRule="exact"/>
              <w:jc w:val="center"/>
              <w:rPr>
                <w:rFonts w:ascii="Times New Roman" w:hAnsi="Times New Roman" w:eastAsia="宋体" w:cs="Times New Roman"/>
                <w:color w:val="auto"/>
                <w:kern w:val="0"/>
              </w:rPr>
            </w:pPr>
          </w:p>
        </w:tc>
        <w:tc>
          <w:tcPr>
            <w:tcW w:w="815" w:type="pct"/>
            <w:vMerge w:val="continue"/>
            <w:vAlign w:val="center"/>
          </w:tcPr>
          <w:p w14:paraId="0E60A75C">
            <w:pPr>
              <w:spacing w:line="240" w:lineRule="exact"/>
              <w:jc w:val="center"/>
              <w:rPr>
                <w:rFonts w:ascii="Times New Roman" w:hAnsi="Times New Roman" w:eastAsia="宋体" w:cs="Times New Roman"/>
                <w:color w:val="auto"/>
                <w:kern w:val="0"/>
              </w:rPr>
            </w:pPr>
          </w:p>
        </w:tc>
        <w:tc>
          <w:tcPr>
            <w:tcW w:w="504" w:type="pct"/>
            <w:noWrap/>
            <w:vAlign w:val="center"/>
          </w:tcPr>
          <w:p w14:paraId="63AD3EB9">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2026.4.23</w:t>
            </w:r>
          </w:p>
        </w:tc>
        <w:tc>
          <w:tcPr>
            <w:tcW w:w="302" w:type="pct"/>
            <w:vAlign w:val="center"/>
          </w:tcPr>
          <w:p w14:paraId="68C4C6D8">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夜间</w:t>
            </w:r>
          </w:p>
        </w:tc>
        <w:tc>
          <w:tcPr>
            <w:tcW w:w="504" w:type="pct"/>
            <w:vAlign w:val="center"/>
          </w:tcPr>
          <w:p w14:paraId="74DF1B21">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48</w:t>
            </w:r>
          </w:p>
        </w:tc>
        <w:tc>
          <w:tcPr>
            <w:tcW w:w="338" w:type="pct"/>
            <w:noWrap/>
            <w:vAlign w:val="center"/>
          </w:tcPr>
          <w:p w14:paraId="3B2D1FDB">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26</w:t>
            </w:r>
          </w:p>
        </w:tc>
        <w:tc>
          <w:tcPr>
            <w:tcW w:w="338" w:type="pct"/>
            <w:noWrap/>
            <w:vAlign w:val="center"/>
          </w:tcPr>
          <w:p w14:paraId="4853ED50">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12</w:t>
            </w:r>
          </w:p>
        </w:tc>
        <w:tc>
          <w:tcPr>
            <w:tcW w:w="338" w:type="pct"/>
            <w:noWrap/>
            <w:vAlign w:val="center"/>
          </w:tcPr>
          <w:p w14:paraId="555B8D71">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30</w:t>
            </w:r>
          </w:p>
        </w:tc>
        <w:tc>
          <w:tcPr>
            <w:tcW w:w="345" w:type="pct"/>
            <w:vMerge w:val="continue"/>
            <w:noWrap/>
            <w:vAlign w:val="center"/>
          </w:tcPr>
          <w:p w14:paraId="434F3E05">
            <w:pPr>
              <w:spacing w:line="240" w:lineRule="exact"/>
              <w:jc w:val="center"/>
              <w:rPr>
                <w:rFonts w:ascii="Times New Roman" w:hAnsi="Times New Roman" w:eastAsia="宋体" w:cs="Times New Roman"/>
                <w:color w:val="auto"/>
                <w:kern w:val="0"/>
              </w:rPr>
            </w:pPr>
          </w:p>
        </w:tc>
        <w:tc>
          <w:tcPr>
            <w:tcW w:w="376" w:type="pct"/>
            <w:noWrap/>
            <w:vAlign w:val="center"/>
          </w:tcPr>
          <w:p w14:paraId="5BC58507">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78FC0C05">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4" w:type="pct"/>
            <w:vMerge w:val="continue"/>
            <w:noWrap/>
            <w:vAlign w:val="center"/>
          </w:tcPr>
          <w:p w14:paraId="5F238649">
            <w:pPr>
              <w:spacing w:line="240" w:lineRule="exact"/>
              <w:jc w:val="center"/>
              <w:rPr>
                <w:rFonts w:ascii="Times New Roman" w:hAnsi="Times New Roman" w:eastAsia="宋体" w:cs="Times New Roman"/>
                <w:color w:val="auto"/>
                <w:kern w:val="0"/>
              </w:rPr>
            </w:pPr>
          </w:p>
        </w:tc>
        <w:tc>
          <w:tcPr>
            <w:tcW w:w="472" w:type="pct"/>
            <w:vMerge w:val="continue"/>
            <w:noWrap/>
            <w:vAlign w:val="center"/>
          </w:tcPr>
          <w:p w14:paraId="2769EAD7">
            <w:pPr>
              <w:spacing w:line="240" w:lineRule="exact"/>
              <w:jc w:val="center"/>
              <w:rPr>
                <w:rFonts w:ascii="Times New Roman" w:hAnsi="Times New Roman" w:eastAsia="宋体" w:cs="Times New Roman"/>
                <w:color w:val="auto"/>
                <w:kern w:val="0"/>
              </w:rPr>
            </w:pPr>
          </w:p>
        </w:tc>
        <w:tc>
          <w:tcPr>
            <w:tcW w:w="403" w:type="pct"/>
            <w:vMerge w:val="restart"/>
            <w:vAlign w:val="center"/>
          </w:tcPr>
          <w:p w14:paraId="621313E9">
            <w:pPr>
              <w:spacing w:line="240" w:lineRule="exact"/>
              <w:jc w:val="center"/>
              <w:rPr>
                <w:rFonts w:ascii="Times New Roman" w:hAnsi="Times New Roman" w:eastAsia="宋体" w:cs="Times New Roman"/>
                <w:color w:val="auto"/>
                <w:kern w:val="0"/>
              </w:rPr>
            </w:pPr>
            <w:r>
              <w:rPr>
                <w:rFonts w:ascii="Times New Roman" w:hAnsi="Times New Roman" w:eastAsia="宋体" w:cs="Times New Roman"/>
                <w:color w:val="auto"/>
                <w:kern w:val="0"/>
              </w:rPr>
              <w:t>背景噪声</w:t>
            </w:r>
          </w:p>
        </w:tc>
        <w:tc>
          <w:tcPr>
            <w:tcW w:w="815" w:type="pct"/>
            <w:vMerge w:val="restart"/>
            <w:vAlign w:val="center"/>
          </w:tcPr>
          <w:p w14:paraId="1206C350">
            <w:pPr>
              <w:spacing w:line="240" w:lineRule="exact"/>
              <w:jc w:val="center"/>
              <w:rPr>
                <w:rFonts w:ascii="Times New Roman" w:hAnsi="Times New Roman" w:eastAsia="宋体" w:cs="Times New Roman"/>
                <w:color w:val="auto"/>
                <w:kern w:val="0"/>
              </w:rPr>
            </w:pPr>
            <w:r>
              <w:rPr>
                <w:rFonts w:hint="eastAsia" w:ascii="Times New Roman" w:hAnsi="Times New Roman" w:eastAsia="宋体" w:cs="Times New Roman"/>
                <w:color w:val="auto"/>
                <w:szCs w:val="21"/>
              </w:rPr>
              <w:t>远离现有G219</w:t>
            </w:r>
            <w:r>
              <w:rPr>
                <w:rFonts w:ascii="Times New Roman" w:hAnsi="Times New Roman" w:eastAsia="宋体" w:cs="Times New Roman"/>
                <w:color w:val="auto"/>
                <w:kern w:val="0"/>
                <w:szCs w:val="21"/>
              </w:rPr>
              <w:t>公路200m外</w:t>
            </w:r>
          </w:p>
        </w:tc>
        <w:tc>
          <w:tcPr>
            <w:tcW w:w="504" w:type="pct"/>
            <w:noWrap/>
            <w:vAlign w:val="center"/>
          </w:tcPr>
          <w:p w14:paraId="590BEFB1">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2026.4.21</w:t>
            </w:r>
          </w:p>
        </w:tc>
        <w:tc>
          <w:tcPr>
            <w:tcW w:w="302" w:type="pct"/>
            <w:vAlign w:val="center"/>
          </w:tcPr>
          <w:p w14:paraId="4804CFE3">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昼间</w:t>
            </w:r>
          </w:p>
        </w:tc>
        <w:tc>
          <w:tcPr>
            <w:tcW w:w="504" w:type="pct"/>
            <w:vAlign w:val="center"/>
          </w:tcPr>
          <w:p w14:paraId="578652CF">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43</w:t>
            </w:r>
          </w:p>
        </w:tc>
        <w:tc>
          <w:tcPr>
            <w:tcW w:w="338" w:type="pct"/>
            <w:noWrap/>
            <w:vAlign w:val="center"/>
          </w:tcPr>
          <w:p w14:paraId="76040C5A">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38" w:type="pct"/>
            <w:noWrap/>
            <w:vAlign w:val="center"/>
          </w:tcPr>
          <w:p w14:paraId="066BAE76">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38" w:type="pct"/>
            <w:noWrap/>
            <w:vAlign w:val="center"/>
          </w:tcPr>
          <w:p w14:paraId="284096ED">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45" w:type="pct"/>
            <w:vMerge w:val="continue"/>
            <w:noWrap/>
            <w:vAlign w:val="center"/>
          </w:tcPr>
          <w:p w14:paraId="5E89D5FC">
            <w:pPr>
              <w:spacing w:line="240" w:lineRule="exact"/>
              <w:jc w:val="center"/>
              <w:rPr>
                <w:rFonts w:ascii="Times New Roman" w:hAnsi="Times New Roman" w:eastAsia="宋体" w:cs="Times New Roman"/>
                <w:color w:val="auto"/>
                <w:kern w:val="0"/>
              </w:rPr>
            </w:pPr>
          </w:p>
        </w:tc>
        <w:tc>
          <w:tcPr>
            <w:tcW w:w="376" w:type="pct"/>
            <w:noWrap/>
            <w:vAlign w:val="center"/>
          </w:tcPr>
          <w:p w14:paraId="0FA2D22E">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6878F407">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4" w:type="pct"/>
            <w:vMerge w:val="continue"/>
            <w:vAlign w:val="center"/>
          </w:tcPr>
          <w:p w14:paraId="4765ED68">
            <w:pPr>
              <w:spacing w:line="240" w:lineRule="exact"/>
              <w:jc w:val="center"/>
              <w:rPr>
                <w:rFonts w:ascii="Times New Roman" w:hAnsi="Times New Roman" w:eastAsia="宋体" w:cs="Times New Roman"/>
                <w:color w:val="auto"/>
                <w:kern w:val="0"/>
              </w:rPr>
            </w:pPr>
          </w:p>
        </w:tc>
        <w:tc>
          <w:tcPr>
            <w:tcW w:w="472" w:type="pct"/>
            <w:vMerge w:val="continue"/>
            <w:vAlign w:val="center"/>
          </w:tcPr>
          <w:p w14:paraId="20E612F5">
            <w:pPr>
              <w:spacing w:line="240" w:lineRule="exact"/>
              <w:jc w:val="center"/>
              <w:rPr>
                <w:rFonts w:ascii="Times New Roman" w:hAnsi="Times New Roman" w:eastAsia="宋体" w:cs="Times New Roman"/>
                <w:color w:val="auto"/>
                <w:kern w:val="0"/>
              </w:rPr>
            </w:pPr>
          </w:p>
        </w:tc>
        <w:tc>
          <w:tcPr>
            <w:tcW w:w="403" w:type="pct"/>
            <w:vMerge w:val="continue"/>
            <w:vAlign w:val="center"/>
          </w:tcPr>
          <w:p w14:paraId="5BA8202D">
            <w:pPr>
              <w:spacing w:line="240" w:lineRule="exact"/>
              <w:jc w:val="center"/>
              <w:rPr>
                <w:rFonts w:ascii="Times New Roman" w:hAnsi="Times New Roman" w:eastAsia="宋体" w:cs="Times New Roman"/>
                <w:color w:val="auto"/>
                <w:kern w:val="0"/>
              </w:rPr>
            </w:pPr>
          </w:p>
        </w:tc>
        <w:tc>
          <w:tcPr>
            <w:tcW w:w="815" w:type="pct"/>
            <w:vMerge w:val="continue"/>
            <w:vAlign w:val="center"/>
          </w:tcPr>
          <w:p w14:paraId="280A6259">
            <w:pPr>
              <w:spacing w:line="240" w:lineRule="exact"/>
              <w:jc w:val="center"/>
              <w:rPr>
                <w:rFonts w:ascii="Times New Roman" w:hAnsi="Times New Roman" w:eastAsia="宋体" w:cs="Times New Roman"/>
                <w:color w:val="auto"/>
                <w:kern w:val="0"/>
              </w:rPr>
            </w:pPr>
          </w:p>
        </w:tc>
        <w:tc>
          <w:tcPr>
            <w:tcW w:w="504" w:type="pct"/>
            <w:noWrap/>
            <w:vAlign w:val="center"/>
          </w:tcPr>
          <w:p w14:paraId="47CBC10E">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2026.4.22</w:t>
            </w:r>
          </w:p>
        </w:tc>
        <w:tc>
          <w:tcPr>
            <w:tcW w:w="302" w:type="pct"/>
            <w:vAlign w:val="center"/>
          </w:tcPr>
          <w:p w14:paraId="4529A134">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夜间</w:t>
            </w:r>
          </w:p>
        </w:tc>
        <w:tc>
          <w:tcPr>
            <w:tcW w:w="504" w:type="pct"/>
            <w:vAlign w:val="center"/>
          </w:tcPr>
          <w:p w14:paraId="6F91AA9E">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39</w:t>
            </w:r>
          </w:p>
        </w:tc>
        <w:tc>
          <w:tcPr>
            <w:tcW w:w="338" w:type="pct"/>
            <w:noWrap/>
            <w:vAlign w:val="center"/>
          </w:tcPr>
          <w:p w14:paraId="29E2D2FE">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38" w:type="pct"/>
            <w:noWrap/>
            <w:vAlign w:val="center"/>
          </w:tcPr>
          <w:p w14:paraId="2586FB28">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38" w:type="pct"/>
            <w:noWrap/>
            <w:vAlign w:val="center"/>
          </w:tcPr>
          <w:p w14:paraId="7BBC15EC">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45" w:type="pct"/>
            <w:vMerge w:val="continue"/>
            <w:noWrap/>
            <w:vAlign w:val="center"/>
          </w:tcPr>
          <w:p w14:paraId="38F14F8F">
            <w:pPr>
              <w:spacing w:line="240" w:lineRule="exact"/>
              <w:jc w:val="center"/>
              <w:rPr>
                <w:rFonts w:ascii="Times New Roman" w:hAnsi="Times New Roman" w:eastAsia="宋体" w:cs="Times New Roman"/>
                <w:color w:val="auto"/>
                <w:kern w:val="0"/>
              </w:rPr>
            </w:pPr>
          </w:p>
        </w:tc>
        <w:tc>
          <w:tcPr>
            <w:tcW w:w="376" w:type="pct"/>
            <w:noWrap/>
            <w:vAlign w:val="center"/>
          </w:tcPr>
          <w:p w14:paraId="2127191A">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1F09120A">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4" w:type="pct"/>
            <w:vMerge w:val="continue"/>
            <w:vAlign w:val="center"/>
          </w:tcPr>
          <w:p w14:paraId="123D1D1B">
            <w:pPr>
              <w:spacing w:line="240" w:lineRule="exact"/>
              <w:jc w:val="center"/>
              <w:rPr>
                <w:rFonts w:ascii="Times New Roman" w:hAnsi="Times New Roman" w:eastAsia="宋体" w:cs="Times New Roman"/>
                <w:color w:val="auto"/>
                <w:kern w:val="0"/>
              </w:rPr>
            </w:pPr>
          </w:p>
        </w:tc>
        <w:tc>
          <w:tcPr>
            <w:tcW w:w="472" w:type="pct"/>
            <w:vMerge w:val="continue"/>
            <w:vAlign w:val="center"/>
          </w:tcPr>
          <w:p w14:paraId="16F7436E">
            <w:pPr>
              <w:spacing w:line="240" w:lineRule="exact"/>
              <w:jc w:val="center"/>
              <w:rPr>
                <w:rFonts w:ascii="Times New Roman" w:hAnsi="Times New Roman" w:eastAsia="宋体" w:cs="Times New Roman"/>
                <w:color w:val="auto"/>
                <w:kern w:val="0"/>
              </w:rPr>
            </w:pPr>
          </w:p>
        </w:tc>
        <w:tc>
          <w:tcPr>
            <w:tcW w:w="403" w:type="pct"/>
            <w:vMerge w:val="continue"/>
            <w:vAlign w:val="center"/>
          </w:tcPr>
          <w:p w14:paraId="0799EF81">
            <w:pPr>
              <w:spacing w:line="240" w:lineRule="exact"/>
              <w:jc w:val="center"/>
              <w:rPr>
                <w:rFonts w:ascii="Times New Roman" w:hAnsi="Times New Roman" w:eastAsia="宋体" w:cs="Times New Roman"/>
                <w:color w:val="auto"/>
                <w:kern w:val="0"/>
              </w:rPr>
            </w:pPr>
          </w:p>
        </w:tc>
        <w:tc>
          <w:tcPr>
            <w:tcW w:w="815" w:type="pct"/>
            <w:vMerge w:val="continue"/>
            <w:vAlign w:val="center"/>
          </w:tcPr>
          <w:p w14:paraId="6284B382">
            <w:pPr>
              <w:spacing w:line="240" w:lineRule="exact"/>
              <w:jc w:val="center"/>
              <w:rPr>
                <w:rFonts w:ascii="Times New Roman" w:hAnsi="Times New Roman" w:eastAsia="宋体" w:cs="Times New Roman"/>
                <w:color w:val="auto"/>
                <w:kern w:val="0"/>
              </w:rPr>
            </w:pPr>
          </w:p>
        </w:tc>
        <w:tc>
          <w:tcPr>
            <w:tcW w:w="504" w:type="pct"/>
            <w:noWrap/>
            <w:vAlign w:val="center"/>
          </w:tcPr>
          <w:p w14:paraId="7F21C52C">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2026.4.22</w:t>
            </w:r>
          </w:p>
        </w:tc>
        <w:tc>
          <w:tcPr>
            <w:tcW w:w="302" w:type="pct"/>
            <w:vAlign w:val="center"/>
          </w:tcPr>
          <w:p w14:paraId="78316119">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昼间</w:t>
            </w:r>
          </w:p>
        </w:tc>
        <w:tc>
          <w:tcPr>
            <w:tcW w:w="504" w:type="pct"/>
            <w:vAlign w:val="center"/>
          </w:tcPr>
          <w:p w14:paraId="54EF2B51">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44</w:t>
            </w:r>
          </w:p>
        </w:tc>
        <w:tc>
          <w:tcPr>
            <w:tcW w:w="338" w:type="pct"/>
            <w:noWrap/>
            <w:vAlign w:val="center"/>
          </w:tcPr>
          <w:p w14:paraId="69F0B689">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38" w:type="pct"/>
            <w:noWrap/>
            <w:vAlign w:val="center"/>
          </w:tcPr>
          <w:p w14:paraId="68A3F1DB">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38" w:type="pct"/>
            <w:noWrap/>
            <w:vAlign w:val="center"/>
          </w:tcPr>
          <w:p w14:paraId="7BB46BFA">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45" w:type="pct"/>
            <w:vMerge w:val="continue"/>
            <w:noWrap/>
            <w:vAlign w:val="center"/>
          </w:tcPr>
          <w:p w14:paraId="26B2EBD3">
            <w:pPr>
              <w:spacing w:line="240" w:lineRule="exact"/>
              <w:jc w:val="center"/>
              <w:rPr>
                <w:rFonts w:ascii="Times New Roman" w:hAnsi="Times New Roman" w:eastAsia="宋体" w:cs="Times New Roman"/>
                <w:color w:val="auto"/>
                <w:kern w:val="0"/>
              </w:rPr>
            </w:pPr>
          </w:p>
        </w:tc>
        <w:tc>
          <w:tcPr>
            <w:tcW w:w="376" w:type="pct"/>
            <w:noWrap/>
            <w:vAlign w:val="center"/>
          </w:tcPr>
          <w:p w14:paraId="31D5049F">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15DF7728">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4" w:type="pct"/>
            <w:vMerge w:val="continue"/>
            <w:vAlign w:val="center"/>
          </w:tcPr>
          <w:p w14:paraId="40197E16">
            <w:pPr>
              <w:spacing w:line="240" w:lineRule="exact"/>
              <w:jc w:val="center"/>
              <w:rPr>
                <w:rFonts w:ascii="Times New Roman" w:hAnsi="Times New Roman" w:eastAsia="宋体" w:cs="Times New Roman"/>
                <w:color w:val="auto"/>
                <w:kern w:val="0"/>
              </w:rPr>
            </w:pPr>
          </w:p>
        </w:tc>
        <w:tc>
          <w:tcPr>
            <w:tcW w:w="472" w:type="pct"/>
            <w:vMerge w:val="continue"/>
            <w:vAlign w:val="center"/>
          </w:tcPr>
          <w:p w14:paraId="21EB476B">
            <w:pPr>
              <w:spacing w:line="240" w:lineRule="exact"/>
              <w:jc w:val="center"/>
              <w:rPr>
                <w:rFonts w:ascii="Times New Roman" w:hAnsi="Times New Roman" w:eastAsia="宋体" w:cs="Times New Roman"/>
                <w:color w:val="auto"/>
                <w:kern w:val="0"/>
              </w:rPr>
            </w:pPr>
          </w:p>
        </w:tc>
        <w:tc>
          <w:tcPr>
            <w:tcW w:w="403" w:type="pct"/>
            <w:vMerge w:val="continue"/>
            <w:vAlign w:val="center"/>
          </w:tcPr>
          <w:p w14:paraId="7318D645">
            <w:pPr>
              <w:spacing w:line="240" w:lineRule="exact"/>
              <w:jc w:val="center"/>
              <w:rPr>
                <w:rFonts w:ascii="Times New Roman" w:hAnsi="Times New Roman" w:eastAsia="宋体" w:cs="Times New Roman"/>
                <w:color w:val="auto"/>
                <w:kern w:val="0"/>
              </w:rPr>
            </w:pPr>
          </w:p>
        </w:tc>
        <w:tc>
          <w:tcPr>
            <w:tcW w:w="815" w:type="pct"/>
            <w:vMerge w:val="continue"/>
            <w:vAlign w:val="center"/>
          </w:tcPr>
          <w:p w14:paraId="0C7BDC59">
            <w:pPr>
              <w:spacing w:line="240" w:lineRule="exact"/>
              <w:jc w:val="center"/>
              <w:rPr>
                <w:rFonts w:ascii="Times New Roman" w:hAnsi="Times New Roman" w:eastAsia="宋体" w:cs="Times New Roman"/>
                <w:color w:val="auto"/>
                <w:kern w:val="0"/>
              </w:rPr>
            </w:pPr>
          </w:p>
        </w:tc>
        <w:tc>
          <w:tcPr>
            <w:tcW w:w="504" w:type="pct"/>
            <w:noWrap/>
            <w:vAlign w:val="center"/>
          </w:tcPr>
          <w:p w14:paraId="68C31B66">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2026.4.23</w:t>
            </w:r>
          </w:p>
        </w:tc>
        <w:tc>
          <w:tcPr>
            <w:tcW w:w="302" w:type="pct"/>
            <w:vAlign w:val="center"/>
          </w:tcPr>
          <w:p w14:paraId="6DDD9B34">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夜间</w:t>
            </w:r>
          </w:p>
        </w:tc>
        <w:tc>
          <w:tcPr>
            <w:tcW w:w="504" w:type="pct"/>
            <w:vAlign w:val="center"/>
          </w:tcPr>
          <w:p w14:paraId="23DE2418">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38</w:t>
            </w:r>
          </w:p>
        </w:tc>
        <w:tc>
          <w:tcPr>
            <w:tcW w:w="338" w:type="pct"/>
            <w:noWrap/>
            <w:vAlign w:val="center"/>
          </w:tcPr>
          <w:p w14:paraId="6A0AC964">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38" w:type="pct"/>
            <w:noWrap/>
            <w:vAlign w:val="center"/>
          </w:tcPr>
          <w:p w14:paraId="70F8B8C5">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38" w:type="pct"/>
            <w:noWrap/>
            <w:vAlign w:val="center"/>
          </w:tcPr>
          <w:p w14:paraId="6BC4C73C">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45" w:type="pct"/>
            <w:vMerge w:val="continue"/>
            <w:noWrap/>
            <w:vAlign w:val="center"/>
          </w:tcPr>
          <w:p w14:paraId="67C5269D">
            <w:pPr>
              <w:spacing w:line="240" w:lineRule="exact"/>
              <w:jc w:val="center"/>
              <w:rPr>
                <w:rFonts w:ascii="Times New Roman" w:hAnsi="Times New Roman" w:eastAsia="宋体" w:cs="Times New Roman"/>
                <w:color w:val="auto"/>
                <w:kern w:val="0"/>
              </w:rPr>
            </w:pPr>
          </w:p>
        </w:tc>
        <w:tc>
          <w:tcPr>
            <w:tcW w:w="376" w:type="pct"/>
            <w:noWrap/>
            <w:vAlign w:val="center"/>
          </w:tcPr>
          <w:p w14:paraId="4726E713">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76AD2501">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4" w:type="pct"/>
            <w:vMerge w:val="restart"/>
            <w:noWrap/>
            <w:vAlign w:val="center"/>
          </w:tcPr>
          <w:p w14:paraId="5EE425C6">
            <w:pPr>
              <w:spacing w:line="240" w:lineRule="exact"/>
              <w:jc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5</w:t>
            </w:r>
          </w:p>
        </w:tc>
        <w:tc>
          <w:tcPr>
            <w:tcW w:w="472" w:type="pct"/>
            <w:vMerge w:val="restart"/>
            <w:noWrap/>
            <w:vAlign w:val="center"/>
          </w:tcPr>
          <w:p w14:paraId="357A53CF">
            <w:pPr>
              <w:spacing w:line="240" w:lineRule="exact"/>
              <w:jc w:val="center"/>
              <w:rPr>
                <w:rFonts w:ascii="Times New Roman" w:hAnsi="Times New Roman" w:cs="Times New Roman" w:eastAsiaTheme="minorEastAsia"/>
                <w:color w:val="auto"/>
              </w:rPr>
            </w:pPr>
            <w:r>
              <w:rPr>
                <w:rFonts w:hint="eastAsia" w:ascii="Times New Roman" w:hAnsi="Times New Roman" w:cs="Times New Roman" w:eastAsiaTheme="minorEastAsia"/>
                <w:color w:val="auto"/>
              </w:rPr>
              <w:t>英兰干村幼儿园</w:t>
            </w:r>
          </w:p>
        </w:tc>
        <w:tc>
          <w:tcPr>
            <w:tcW w:w="403" w:type="pct"/>
            <w:vMerge w:val="restart"/>
            <w:vAlign w:val="center"/>
          </w:tcPr>
          <w:p w14:paraId="612EAD6C">
            <w:pPr>
              <w:spacing w:line="240" w:lineRule="exact"/>
              <w:jc w:val="center"/>
              <w:rPr>
                <w:rFonts w:ascii="Times New Roman" w:hAnsi="Times New Roman" w:eastAsia="宋体" w:cs="Times New Roman"/>
                <w:color w:val="auto"/>
                <w:kern w:val="0"/>
              </w:rPr>
            </w:pPr>
            <w:r>
              <w:rPr>
                <w:rFonts w:ascii="Times New Roman" w:hAnsi="Times New Roman" w:eastAsia="宋体" w:cs="Times New Roman"/>
                <w:color w:val="auto"/>
                <w:kern w:val="0"/>
              </w:rPr>
              <w:t>环境噪声</w:t>
            </w:r>
          </w:p>
        </w:tc>
        <w:tc>
          <w:tcPr>
            <w:tcW w:w="815" w:type="pct"/>
            <w:vMerge w:val="restart"/>
            <w:vAlign w:val="center"/>
          </w:tcPr>
          <w:p w14:paraId="17C6A695">
            <w:pPr>
              <w:spacing w:line="240" w:lineRule="exact"/>
              <w:jc w:val="center"/>
              <w:rPr>
                <w:rFonts w:ascii="Times New Roman" w:hAnsi="Times New Roman" w:eastAsia="宋体" w:cs="Times New Roman"/>
                <w:color w:val="auto"/>
                <w:kern w:val="0"/>
              </w:rPr>
            </w:pPr>
            <w:r>
              <w:rPr>
                <w:rFonts w:ascii="Times New Roman" w:hAnsi="Times New Roman" w:eastAsia="宋体" w:cs="Times New Roman"/>
                <w:color w:val="auto"/>
              </w:rPr>
              <w:t>临现有</w:t>
            </w:r>
            <w:r>
              <w:rPr>
                <w:rFonts w:hint="eastAsia" w:ascii="Times New Roman" w:hAnsi="Times New Roman" w:eastAsia="宋体" w:cs="Times New Roman"/>
                <w:color w:val="auto"/>
              </w:rPr>
              <w:t>G219</w:t>
            </w:r>
            <w:r>
              <w:rPr>
                <w:rFonts w:ascii="Times New Roman" w:hAnsi="Times New Roman" w:eastAsia="宋体" w:cs="Times New Roman"/>
                <w:color w:val="auto"/>
              </w:rPr>
              <w:t>第一排</w:t>
            </w:r>
            <w:r>
              <w:rPr>
                <w:rFonts w:hint="eastAsia" w:ascii="Times New Roman" w:hAnsi="Times New Roman" w:eastAsia="宋体" w:cs="Times New Roman"/>
                <w:color w:val="auto"/>
              </w:rPr>
              <w:t>教学楼1</w:t>
            </w:r>
            <w:r>
              <w:rPr>
                <w:rFonts w:ascii="Times New Roman" w:hAnsi="Times New Roman" w:eastAsia="宋体" w:cs="Times New Roman"/>
                <w:color w:val="auto"/>
              </w:rPr>
              <w:t>层</w:t>
            </w:r>
          </w:p>
        </w:tc>
        <w:tc>
          <w:tcPr>
            <w:tcW w:w="504" w:type="pct"/>
            <w:noWrap/>
            <w:vAlign w:val="center"/>
          </w:tcPr>
          <w:p w14:paraId="5B4CED88">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2026.4.21</w:t>
            </w:r>
          </w:p>
        </w:tc>
        <w:tc>
          <w:tcPr>
            <w:tcW w:w="302" w:type="pct"/>
            <w:vAlign w:val="center"/>
          </w:tcPr>
          <w:p w14:paraId="7C4B1906">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昼间</w:t>
            </w:r>
          </w:p>
        </w:tc>
        <w:tc>
          <w:tcPr>
            <w:tcW w:w="504" w:type="pct"/>
            <w:vAlign w:val="center"/>
          </w:tcPr>
          <w:p w14:paraId="6879FAA9">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53</w:t>
            </w:r>
          </w:p>
        </w:tc>
        <w:tc>
          <w:tcPr>
            <w:tcW w:w="338" w:type="pct"/>
            <w:noWrap/>
            <w:vAlign w:val="center"/>
          </w:tcPr>
          <w:p w14:paraId="24F56789">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43</w:t>
            </w:r>
          </w:p>
        </w:tc>
        <w:tc>
          <w:tcPr>
            <w:tcW w:w="338" w:type="pct"/>
            <w:noWrap/>
            <w:vAlign w:val="center"/>
          </w:tcPr>
          <w:p w14:paraId="3641E793">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29</w:t>
            </w:r>
          </w:p>
        </w:tc>
        <w:tc>
          <w:tcPr>
            <w:tcW w:w="338" w:type="pct"/>
            <w:noWrap/>
            <w:vAlign w:val="center"/>
          </w:tcPr>
          <w:p w14:paraId="38A65ACF">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129</w:t>
            </w:r>
          </w:p>
        </w:tc>
        <w:tc>
          <w:tcPr>
            <w:tcW w:w="345" w:type="pct"/>
            <w:vMerge w:val="restart"/>
            <w:noWrap/>
            <w:vAlign w:val="center"/>
          </w:tcPr>
          <w:p w14:paraId="492185D8">
            <w:pPr>
              <w:spacing w:line="240" w:lineRule="exact"/>
              <w:jc w:val="center"/>
              <w:rPr>
                <w:rFonts w:ascii="Times New Roman" w:hAnsi="Times New Roman" w:eastAsia="宋体" w:cs="Times New Roman"/>
                <w:color w:val="auto"/>
                <w:kern w:val="0"/>
              </w:rPr>
            </w:pPr>
            <w:r>
              <w:rPr>
                <w:rFonts w:ascii="Times New Roman" w:hAnsi="Times New Roman" w:eastAsia="宋体" w:cs="Times New Roman"/>
                <w:color w:val="auto"/>
                <w:kern w:val="0"/>
              </w:rPr>
              <w:t>2类</w:t>
            </w:r>
          </w:p>
        </w:tc>
        <w:tc>
          <w:tcPr>
            <w:tcW w:w="376" w:type="pct"/>
            <w:noWrap/>
            <w:vAlign w:val="center"/>
          </w:tcPr>
          <w:p w14:paraId="5D46DEB1">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064073C7">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4" w:type="pct"/>
            <w:vMerge w:val="continue"/>
            <w:vAlign w:val="center"/>
          </w:tcPr>
          <w:p w14:paraId="07D2E5E8">
            <w:pPr>
              <w:spacing w:line="240" w:lineRule="exact"/>
              <w:jc w:val="center"/>
              <w:rPr>
                <w:rFonts w:ascii="Times New Roman" w:hAnsi="Times New Roman" w:eastAsia="宋体" w:cs="Times New Roman"/>
                <w:color w:val="auto"/>
                <w:kern w:val="0"/>
              </w:rPr>
            </w:pPr>
          </w:p>
        </w:tc>
        <w:tc>
          <w:tcPr>
            <w:tcW w:w="472" w:type="pct"/>
            <w:vMerge w:val="continue"/>
            <w:vAlign w:val="center"/>
          </w:tcPr>
          <w:p w14:paraId="60B278BF">
            <w:pPr>
              <w:spacing w:line="240" w:lineRule="exact"/>
              <w:jc w:val="center"/>
              <w:rPr>
                <w:rFonts w:ascii="Times New Roman" w:hAnsi="Times New Roman" w:eastAsia="宋体" w:cs="Times New Roman"/>
                <w:color w:val="auto"/>
                <w:kern w:val="0"/>
              </w:rPr>
            </w:pPr>
          </w:p>
        </w:tc>
        <w:tc>
          <w:tcPr>
            <w:tcW w:w="403" w:type="pct"/>
            <w:vMerge w:val="continue"/>
            <w:vAlign w:val="center"/>
          </w:tcPr>
          <w:p w14:paraId="76118EFE">
            <w:pPr>
              <w:spacing w:line="240" w:lineRule="exact"/>
              <w:jc w:val="center"/>
              <w:rPr>
                <w:rFonts w:ascii="Times New Roman" w:hAnsi="Times New Roman" w:eastAsia="宋体" w:cs="Times New Roman"/>
                <w:color w:val="auto"/>
                <w:kern w:val="0"/>
              </w:rPr>
            </w:pPr>
          </w:p>
        </w:tc>
        <w:tc>
          <w:tcPr>
            <w:tcW w:w="815" w:type="pct"/>
            <w:vMerge w:val="continue"/>
            <w:vAlign w:val="center"/>
          </w:tcPr>
          <w:p w14:paraId="5099B119">
            <w:pPr>
              <w:spacing w:line="240" w:lineRule="exact"/>
              <w:jc w:val="center"/>
              <w:rPr>
                <w:rFonts w:ascii="Times New Roman" w:hAnsi="Times New Roman" w:eastAsia="宋体" w:cs="Times New Roman"/>
                <w:color w:val="auto"/>
                <w:kern w:val="0"/>
              </w:rPr>
            </w:pPr>
          </w:p>
        </w:tc>
        <w:tc>
          <w:tcPr>
            <w:tcW w:w="504" w:type="pct"/>
            <w:noWrap/>
            <w:vAlign w:val="center"/>
          </w:tcPr>
          <w:p w14:paraId="1DE12370">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2026.4.22</w:t>
            </w:r>
          </w:p>
        </w:tc>
        <w:tc>
          <w:tcPr>
            <w:tcW w:w="302" w:type="pct"/>
            <w:vAlign w:val="center"/>
          </w:tcPr>
          <w:p w14:paraId="29D3FB30">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夜间</w:t>
            </w:r>
          </w:p>
        </w:tc>
        <w:tc>
          <w:tcPr>
            <w:tcW w:w="504" w:type="pct"/>
            <w:vAlign w:val="center"/>
          </w:tcPr>
          <w:p w14:paraId="3A99B95B">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47</w:t>
            </w:r>
          </w:p>
        </w:tc>
        <w:tc>
          <w:tcPr>
            <w:tcW w:w="338" w:type="pct"/>
            <w:noWrap/>
            <w:vAlign w:val="center"/>
          </w:tcPr>
          <w:p w14:paraId="66550142">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26</w:t>
            </w:r>
          </w:p>
        </w:tc>
        <w:tc>
          <w:tcPr>
            <w:tcW w:w="338" w:type="pct"/>
            <w:noWrap/>
            <w:vAlign w:val="center"/>
          </w:tcPr>
          <w:p w14:paraId="23BFC2AA">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17</w:t>
            </w:r>
          </w:p>
        </w:tc>
        <w:tc>
          <w:tcPr>
            <w:tcW w:w="338" w:type="pct"/>
            <w:noWrap/>
            <w:vAlign w:val="center"/>
          </w:tcPr>
          <w:p w14:paraId="45DE68FB">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33</w:t>
            </w:r>
          </w:p>
        </w:tc>
        <w:tc>
          <w:tcPr>
            <w:tcW w:w="345" w:type="pct"/>
            <w:vMerge w:val="continue"/>
            <w:noWrap/>
            <w:vAlign w:val="center"/>
          </w:tcPr>
          <w:p w14:paraId="0763478D">
            <w:pPr>
              <w:spacing w:line="240" w:lineRule="exact"/>
              <w:jc w:val="center"/>
              <w:rPr>
                <w:rFonts w:ascii="Times New Roman" w:hAnsi="Times New Roman" w:eastAsia="宋体" w:cs="Times New Roman"/>
                <w:color w:val="auto"/>
                <w:kern w:val="0"/>
              </w:rPr>
            </w:pPr>
          </w:p>
        </w:tc>
        <w:tc>
          <w:tcPr>
            <w:tcW w:w="376" w:type="pct"/>
            <w:noWrap/>
            <w:vAlign w:val="center"/>
          </w:tcPr>
          <w:p w14:paraId="42ABF33D">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360E3038">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4" w:type="pct"/>
            <w:vMerge w:val="continue"/>
            <w:vAlign w:val="center"/>
          </w:tcPr>
          <w:p w14:paraId="7779721A">
            <w:pPr>
              <w:spacing w:line="240" w:lineRule="exact"/>
              <w:jc w:val="center"/>
              <w:rPr>
                <w:rFonts w:ascii="Times New Roman" w:hAnsi="Times New Roman" w:eastAsia="宋体" w:cs="Times New Roman"/>
                <w:color w:val="auto"/>
                <w:kern w:val="0"/>
              </w:rPr>
            </w:pPr>
          </w:p>
        </w:tc>
        <w:tc>
          <w:tcPr>
            <w:tcW w:w="472" w:type="pct"/>
            <w:vMerge w:val="continue"/>
            <w:vAlign w:val="center"/>
          </w:tcPr>
          <w:p w14:paraId="2C1450E2">
            <w:pPr>
              <w:spacing w:line="240" w:lineRule="exact"/>
              <w:jc w:val="center"/>
              <w:rPr>
                <w:rFonts w:ascii="Times New Roman" w:hAnsi="Times New Roman" w:eastAsia="宋体" w:cs="Times New Roman"/>
                <w:color w:val="auto"/>
                <w:kern w:val="0"/>
              </w:rPr>
            </w:pPr>
          </w:p>
        </w:tc>
        <w:tc>
          <w:tcPr>
            <w:tcW w:w="403" w:type="pct"/>
            <w:vMerge w:val="continue"/>
            <w:vAlign w:val="center"/>
          </w:tcPr>
          <w:p w14:paraId="463F4ED6">
            <w:pPr>
              <w:spacing w:line="240" w:lineRule="exact"/>
              <w:jc w:val="center"/>
              <w:rPr>
                <w:rFonts w:ascii="Times New Roman" w:hAnsi="Times New Roman" w:eastAsia="宋体" w:cs="Times New Roman"/>
                <w:color w:val="auto"/>
                <w:kern w:val="0"/>
              </w:rPr>
            </w:pPr>
          </w:p>
        </w:tc>
        <w:tc>
          <w:tcPr>
            <w:tcW w:w="815" w:type="pct"/>
            <w:vMerge w:val="continue"/>
            <w:vAlign w:val="center"/>
          </w:tcPr>
          <w:p w14:paraId="0BDD921F">
            <w:pPr>
              <w:spacing w:line="240" w:lineRule="exact"/>
              <w:jc w:val="center"/>
              <w:rPr>
                <w:rFonts w:ascii="Times New Roman" w:hAnsi="Times New Roman" w:eastAsia="宋体" w:cs="Times New Roman"/>
                <w:color w:val="auto"/>
                <w:kern w:val="0"/>
              </w:rPr>
            </w:pPr>
          </w:p>
        </w:tc>
        <w:tc>
          <w:tcPr>
            <w:tcW w:w="504" w:type="pct"/>
            <w:noWrap/>
            <w:vAlign w:val="center"/>
          </w:tcPr>
          <w:p w14:paraId="186AFE37">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2026.4.22</w:t>
            </w:r>
          </w:p>
        </w:tc>
        <w:tc>
          <w:tcPr>
            <w:tcW w:w="302" w:type="pct"/>
            <w:vAlign w:val="center"/>
          </w:tcPr>
          <w:p w14:paraId="55E3373D">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昼间</w:t>
            </w:r>
          </w:p>
        </w:tc>
        <w:tc>
          <w:tcPr>
            <w:tcW w:w="504" w:type="pct"/>
            <w:vAlign w:val="center"/>
          </w:tcPr>
          <w:p w14:paraId="462AC295">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55</w:t>
            </w:r>
          </w:p>
        </w:tc>
        <w:tc>
          <w:tcPr>
            <w:tcW w:w="338" w:type="pct"/>
            <w:noWrap/>
            <w:vAlign w:val="center"/>
          </w:tcPr>
          <w:p w14:paraId="2FFBB2CF">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45</w:t>
            </w:r>
          </w:p>
        </w:tc>
        <w:tc>
          <w:tcPr>
            <w:tcW w:w="338" w:type="pct"/>
            <w:noWrap/>
            <w:vAlign w:val="center"/>
          </w:tcPr>
          <w:p w14:paraId="6779C847">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28</w:t>
            </w:r>
          </w:p>
        </w:tc>
        <w:tc>
          <w:tcPr>
            <w:tcW w:w="338" w:type="pct"/>
            <w:noWrap/>
            <w:vAlign w:val="center"/>
          </w:tcPr>
          <w:p w14:paraId="65463043">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138</w:t>
            </w:r>
          </w:p>
        </w:tc>
        <w:tc>
          <w:tcPr>
            <w:tcW w:w="345" w:type="pct"/>
            <w:vMerge w:val="continue"/>
            <w:noWrap/>
            <w:vAlign w:val="center"/>
          </w:tcPr>
          <w:p w14:paraId="61C56BA6">
            <w:pPr>
              <w:spacing w:line="240" w:lineRule="exact"/>
              <w:jc w:val="center"/>
              <w:rPr>
                <w:rFonts w:ascii="Times New Roman" w:hAnsi="Times New Roman" w:eastAsia="宋体" w:cs="Times New Roman"/>
                <w:color w:val="auto"/>
                <w:kern w:val="0"/>
              </w:rPr>
            </w:pPr>
          </w:p>
        </w:tc>
        <w:tc>
          <w:tcPr>
            <w:tcW w:w="376" w:type="pct"/>
            <w:noWrap/>
            <w:vAlign w:val="center"/>
          </w:tcPr>
          <w:p w14:paraId="2344FFE1">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697E6F83">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4" w:type="pct"/>
            <w:vMerge w:val="continue"/>
            <w:vAlign w:val="center"/>
          </w:tcPr>
          <w:p w14:paraId="425EFA86">
            <w:pPr>
              <w:spacing w:line="240" w:lineRule="exact"/>
              <w:jc w:val="center"/>
              <w:rPr>
                <w:rFonts w:ascii="Times New Roman" w:hAnsi="Times New Roman" w:eastAsia="宋体" w:cs="Times New Roman"/>
                <w:color w:val="auto"/>
                <w:kern w:val="0"/>
              </w:rPr>
            </w:pPr>
          </w:p>
        </w:tc>
        <w:tc>
          <w:tcPr>
            <w:tcW w:w="472" w:type="pct"/>
            <w:vMerge w:val="continue"/>
            <w:vAlign w:val="center"/>
          </w:tcPr>
          <w:p w14:paraId="70085D60">
            <w:pPr>
              <w:spacing w:line="240" w:lineRule="exact"/>
              <w:jc w:val="center"/>
              <w:rPr>
                <w:rFonts w:ascii="Times New Roman" w:hAnsi="Times New Roman" w:eastAsia="宋体" w:cs="Times New Roman"/>
                <w:color w:val="auto"/>
                <w:kern w:val="0"/>
              </w:rPr>
            </w:pPr>
          </w:p>
        </w:tc>
        <w:tc>
          <w:tcPr>
            <w:tcW w:w="403" w:type="pct"/>
            <w:vMerge w:val="continue"/>
            <w:vAlign w:val="center"/>
          </w:tcPr>
          <w:p w14:paraId="58F9A001">
            <w:pPr>
              <w:spacing w:line="240" w:lineRule="exact"/>
              <w:jc w:val="center"/>
              <w:rPr>
                <w:rFonts w:ascii="Times New Roman" w:hAnsi="Times New Roman" w:eastAsia="宋体" w:cs="Times New Roman"/>
                <w:color w:val="auto"/>
                <w:kern w:val="0"/>
              </w:rPr>
            </w:pPr>
          </w:p>
        </w:tc>
        <w:tc>
          <w:tcPr>
            <w:tcW w:w="815" w:type="pct"/>
            <w:vMerge w:val="continue"/>
            <w:vAlign w:val="center"/>
          </w:tcPr>
          <w:p w14:paraId="007DAE27">
            <w:pPr>
              <w:spacing w:line="240" w:lineRule="exact"/>
              <w:jc w:val="center"/>
              <w:rPr>
                <w:rFonts w:ascii="Times New Roman" w:hAnsi="Times New Roman" w:eastAsia="宋体" w:cs="Times New Roman"/>
                <w:color w:val="auto"/>
                <w:kern w:val="0"/>
              </w:rPr>
            </w:pPr>
          </w:p>
        </w:tc>
        <w:tc>
          <w:tcPr>
            <w:tcW w:w="504" w:type="pct"/>
            <w:noWrap/>
            <w:vAlign w:val="center"/>
          </w:tcPr>
          <w:p w14:paraId="2E1B4C4E">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2026.4.23</w:t>
            </w:r>
          </w:p>
        </w:tc>
        <w:tc>
          <w:tcPr>
            <w:tcW w:w="302" w:type="pct"/>
            <w:vAlign w:val="center"/>
          </w:tcPr>
          <w:p w14:paraId="7359A25D">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夜间</w:t>
            </w:r>
          </w:p>
        </w:tc>
        <w:tc>
          <w:tcPr>
            <w:tcW w:w="504" w:type="pct"/>
            <w:vAlign w:val="center"/>
          </w:tcPr>
          <w:p w14:paraId="7DDCE62B">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45</w:t>
            </w:r>
          </w:p>
        </w:tc>
        <w:tc>
          <w:tcPr>
            <w:tcW w:w="338" w:type="pct"/>
            <w:noWrap/>
            <w:vAlign w:val="center"/>
          </w:tcPr>
          <w:p w14:paraId="3E5EF60D">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24</w:t>
            </w:r>
          </w:p>
        </w:tc>
        <w:tc>
          <w:tcPr>
            <w:tcW w:w="338" w:type="pct"/>
            <w:noWrap/>
            <w:vAlign w:val="center"/>
          </w:tcPr>
          <w:p w14:paraId="07A37490">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11</w:t>
            </w:r>
          </w:p>
        </w:tc>
        <w:tc>
          <w:tcPr>
            <w:tcW w:w="338" w:type="pct"/>
            <w:noWrap/>
            <w:vAlign w:val="center"/>
          </w:tcPr>
          <w:p w14:paraId="4354AC99">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30</w:t>
            </w:r>
          </w:p>
        </w:tc>
        <w:tc>
          <w:tcPr>
            <w:tcW w:w="345" w:type="pct"/>
            <w:vMerge w:val="continue"/>
            <w:noWrap/>
            <w:vAlign w:val="center"/>
          </w:tcPr>
          <w:p w14:paraId="15010DDC">
            <w:pPr>
              <w:spacing w:line="240" w:lineRule="exact"/>
              <w:jc w:val="center"/>
              <w:rPr>
                <w:rFonts w:ascii="Times New Roman" w:hAnsi="Times New Roman" w:eastAsia="宋体" w:cs="Times New Roman"/>
                <w:color w:val="auto"/>
                <w:kern w:val="0"/>
              </w:rPr>
            </w:pPr>
          </w:p>
        </w:tc>
        <w:tc>
          <w:tcPr>
            <w:tcW w:w="376" w:type="pct"/>
            <w:noWrap/>
            <w:vAlign w:val="center"/>
          </w:tcPr>
          <w:p w14:paraId="39658DD4">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524D6087">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4" w:type="pct"/>
            <w:vMerge w:val="restart"/>
            <w:noWrap/>
            <w:vAlign w:val="center"/>
          </w:tcPr>
          <w:p w14:paraId="6F63FB4F">
            <w:pPr>
              <w:spacing w:line="240" w:lineRule="exact"/>
              <w:jc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6</w:t>
            </w:r>
          </w:p>
        </w:tc>
        <w:tc>
          <w:tcPr>
            <w:tcW w:w="472" w:type="pct"/>
            <w:vMerge w:val="restart"/>
            <w:noWrap/>
            <w:vAlign w:val="center"/>
          </w:tcPr>
          <w:p w14:paraId="58A61F84">
            <w:pPr>
              <w:spacing w:line="240" w:lineRule="exact"/>
              <w:jc w:val="center"/>
              <w:rPr>
                <w:rFonts w:ascii="Times New Roman" w:hAnsi="Times New Roman" w:cs="Times New Roman" w:eastAsiaTheme="minorEastAsia"/>
                <w:color w:val="auto"/>
              </w:rPr>
            </w:pPr>
            <w:r>
              <w:rPr>
                <w:rFonts w:hint="eastAsia" w:ascii="Times New Roman" w:cs="Times New Roman" w:hAnsiTheme="minorEastAsia" w:eastAsiaTheme="minorEastAsia"/>
                <w:color w:val="auto"/>
              </w:rPr>
              <w:t>阿亚格勒格勒德玛小学</w:t>
            </w:r>
          </w:p>
        </w:tc>
        <w:tc>
          <w:tcPr>
            <w:tcW w:w="403" w:type="pct"/>
            <w:vMerge w:val="restart"/>
            <w:vAlign w:val="center"/>
          </w:tcPr>
          <w:p w14:paraId="3C2AFE14">
            <w:pPr>
              <w:spacing w:line="240" w:lineRule="exact"/>
              <w:jc w:val="center"/>
              <w:rPr>
                <w:rFonts w:ascii="Times New Roman" w:hAnsi="Times New Roman" w:eastAsia="宋体" w:cs="Times New Roman"/>
                <w:color w:val="auto"/>
                <w:kern w:val="0"/>
              </w:rPr>
            </w:pPr>
            <w:r>
              <w:rPr>
                <w:rFonts w:ascii="Times New Roman" w:hAnsi="Times New Roman" w:eastAsia="宋体" w:cs="Times New Roman"/>
                <w:color w:val="auto"/>
                <w:kern w:val="0"/>
              </w:rPr>
              <w:t>环境噪声</w:t>
            </w:r>
          </w:p>
        </w:tc>
        <w:tc>
          <w:tcPr>
            <w:tcW w:w="815" w:type="pct"/>
            <w:vMerge w:val="restart"/>
            <w:vAlign w:val="center"/>
          </w:tcPr>
          <w:p w14:paraId="2FCB33E9">
            <w:pPr>
              <w:spacing w:line="240" w:lineRule="exact"/>
              <w:jc w:val="center"/>
              <w:rPr>
                <w:rFonts w:ascii="Times New Roman" w:hAnsi="Times New Roman" w:eastAsia="宋体" w:cs="Times New Roman"/>
                <w:color w:val="auto"/>
                <w:kern w:val="0"/>
              </w:rPr>
            </w:pPr>
            <w:r>
              <w:rPr>
                <w:rFonts w:ascii="Times New Roman" w:hAnsi="Times New Roman" w:eastAsia="宋体" w:cs="Times New Roman"/>
                <w:color w:val="auto"/>
              </w:rPr>
              <w:t>临现有</w:t>
            </w:r>
            <w:r>
              <w:rPr>
                <w:rFonts w:hint="eastAsia" w:ascii="Times New Roman" w:hAnsi="Times New Roman" w:eastAsia="宋体" w:cs="Times New Roman"/>
                <w:color w:val="auto"/>
              </w:rPr>
              <w:t>G219</w:t>
            </w:r>
            <w:r>
              <w:rPr>
                <w:rFonts w:ascii="Times New Roman" w:hAnsi="Times New Roman" w:eastAsia="宋体" w:cs="Times New Roman"/>
                <w:color w:val="auto"/>
              </w:rPr>
              <w:t>第一排</w:t>
            </w:r>
            <w:r>
              <w:rPr>
                <w:rFonts w:hint="eastAsia" w:ascii="Times New Roman" w:hAnsi="Times New Roman" w:eastAsia="宋体" w:cs="Times New Roman"/>
                <w:color w:val="auto"/>
              </w:rPr>
              <w:t>教学楼1</w:t>
            </w:r>
            <w:r>
              <w:rPr>
                <w:rFonts w:ascii="Times New Roman" w:hAnsi="Times New Roman" w:eastAsia="宋体" w:cs="Times New Roman"/>
                <w:color w:val="auto"/>
              </w:rPr>
              <w:t>层</w:t>
            </w:r>
          </w:p>
        </w:tc>
        <w:tc>
          <w:tcPr>
            <w:tcW w:w="504" w:type="pct"/>
            <w:noWrap/>
            <w:vAlign w:val="center"/>
          </w:tcPr>
          <w:p w14:paraId="35AED1D0">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2026.4.21</w:t>
            </w:r>
          </w:p>
        </w:tc>
        <w:tc>
          <w:tcPr>
            <w:tcW w:w="302" w:type="pct"/>
            <w:vAlign w:val="center"/>
          </w:tcPr>
          <w:p w14:paraId="3486BB17">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昼间</w:t>
            </w:r>
          </w:p>
        </w:tc>
        <w:tc>
          <w:tcPr>
            <w:tcW w:w="504" w:type="pct"/>
            <w:vAlign w:val="center"/>
          </w:tcPr>
          <w:p w14:paraId="137F3FA3">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51</w:t>
            </w:r>
          </w:p>
        </w:tc>
        <w:tc>
          <w:tcPr>
            <w:tcW w:w="338" w:type="pct"/>
            <w:noWrap/>
            <w:vAlign w:val="center"/>
          </w:tcPr>
          <w:p w14:paraId="443D38E0">
            <w:pPr>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50</w:t>
            </w:r>
          </w:p>
        </w:tc>
        <w:tc>
          <w:tcPr>
            <w:tcW w:w="338" w:type="pct"/>
            <w:noWrap/>
            <w:vAlign w:val="center"/>
          </w:tcPr>
          <w:p w14:paraId="34372A3D">
            <w:pPr>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30</w:t>
            </w:r>
          </w:p>
        </w:tc>
        <w:tc>
          <w:tcPr>
            <w:tcW w:w="338" w:type="pct"/>
            <w:noWrap/>
            <w:vAlign w:val="center"/>
          </w:tcPr>
          <w:p w14:paraId="733560A6">
            <w:pPr>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111</w:t>
            </w:r>
          </w:p>
        </w:tc>
        <w:tc>
          <w:tcPr>
            <w:tcW w:w="345" w:type="pct"/>
            <w:vMerge w:val="restart"/>
            <w:noWrap/>
            <w:vAlign w:val="center"/>
          </w:tcPr>
          <w:p w14:paraId="4DA2528E">
            <w:pPr>
              <w:spacing w:line="240" w:lineRule="exact"/>
              <w:jc w:val="center"/>
              <w:rPr>
                <w:rFonts w:ascii="Times New Roman" w:hAnsi="Times New Roman" w:eastAsia="宋体" w:cs="Times New Roman"/>
                <w:color w:val="auto"/>
                <w:kern w:val="0"/>
              </w:rPr>
            </w:pPr>
            <w:r>
              <w:rPr>
                <w:rFonts w:ascii="Times New Roman" w:hAnsi="Times New Roman" w:eastAsia="宋体" w:cs="Times New Roman"/>
                <w:color w:val="auto"/>
                <w:kern w:val="0"/>
              </w:rPr>
              <w:t>2类</w:t>
            </w:r>
          </w:p>
        </w:tc>
        <w:tc>
          <w:tcPr>
            <w:tcW w:w="376" w:type="pct"/>
            <w:noWrap/>
            <w:vAlign w:val="center"/>
          </w:tcPr>
          <w:p w14:paraId="53B2D997">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6D81D2FB">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4" w:type="pct"/>
            <w:vMerge w:val="continue"/>
            <w:vAlign w:val="center"/>
          </w:tcPr>
          <w:p w14:paraId="6BC4F0B2">
            <w:pPr>
              <w:spacing w:line="240" w:lineRule="exact"/>
              <w:jc w:val="center"/>
              <w:rPr>
                <w:rFonts w:ascii="Times New Roman" w:hAnsi="Times New Roman" w:eastAsia="宋体" w:cs="Times New Roman"/>
                <w:color w:val="auto"/>
                <w:kern w:val="0"/>
              </w:rPr>
            </w:pPr>
          </w:p>
        </w:tc>
        <w:tc>
          <w:tcPr>
            <w:tcW w:w="472" w:type="pct"/>
            <w:vMerge w:val="continue"/>
            <w:vAlign w:val="center"/>
          </w:tcPr>
          <w:p w14:paraId="4144F163">
            <w:pPr>
              <w:spacing w:line="240" w:lineRule="exact"/>
              <w:jc w:val="center"/>
              <w:rPr>
                <w:rFonts w:ascii="Times New Roman" w:hAnsi="Times New Roman" w:eastAsia="宋体" w:cs="Times New Roman"/>
                <w:color w:val="auto"/>
                <w:kern w:val="0"/>
              </w:rPr>
            </w:pPr>
          </w:p>
        </w:tc>
        <w:tc>
          <w:tcPr>
            <w:tcW w:w="403" w:type="pct"/>
            <w:vMerge w:val="continue"/>
            <w:vAlign w:val="center"/>
          </w:tcPr>
          <w:p w14:paraId="178DECFC">
            <w:pPr>
              <w:spacing w:line="240" w:lineRule="exact"/>
              <w:jc w:val="center"/>
              <w:rPr>
                <w:rFonts w:ascii="Times New Roman" w:hAnsi="Times New Roman" w:eastAsia="宋体" w:cs="Times New Roman"/>
                <w:color w:val="auto"/>
                <w:kern w:val="0"/>
              </w:rPr>
            </w:pPr>
          </w:p>
        </w:tc>
        <w:tc>
          <w:tcPr>
            <w:tcW w:w="815" w:type="pct"/>
            <w:vMerge w:val="continue"/>
            <w:vAlign w:val="center"/>
          </w:tcPr>
          <w:p w14:paraId="591F99A1">
            <w:pPr>
              <w:spacing w:line="240" w:lineRule="exact"/>
              <w:jc w:val="center"/>
              <w:rPr>
                <w:rFonts w:ascii="Times New Roman" w:hAnsi="Times New Roman" w:eastAsia="宋体" w:cs="Times New Roman"/>
                <w:color w:val="auto"/>
                <w:kern w:val="0"/>
              </w:rPr>
            </w:pPr>
          </w:p>
        </w:tc>
        <w:tc>
          <w:tcPr>
            <w:tcW w:w="504" w:type="pct"/>
            <w:noWrap/>
            <w:vAlign w:val="center"/>
          </w:tcPr>
          <w:p w14:paraId="2C02DA69">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2026.4.22</w:t>
            </w:r>
          </w:p>
        </w:tc>
        <w:tc>
          <w:tcPr>
            <w:tcW w:w="302" w:type="pct"/>
            <w:vAlign w:val="center"/>
          </w:tcPr>
          <w:p w14:paraId="6FCC256D">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夜间</w:t>
            </w:r>
          </w:p>
        </w:tc>
        <w:tc>
          <w:tcPr>
            <w:tcW w:w="504" w:type="pct"/>
            <w:vAlign w:val="center"/>
          </w:tcPr>
          <w:p w14:paraId="19B249A3">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44</w:t>
            </w:r>
          </w:p>
        </w:tc>
        <w:tc>
          <w:tcPr>
            <w:tcW w:w="338" w:type="pct"/>
            <w:noWrap/>
            <w:vAlign w:val="center"/>
          </w:tcPr>
          <w:p w14:paraId="2838A8FD">
            <w:pPr>
              <w:jc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30</w:t>
            </w:r>
          </w:p>
        </w:tc>
        <w:tc>
          <w:tcPr>
            <w:tcW w:w="338" w:type="pct"/>
            <w:noWrap/>
            <w:vAlign w:val="center"/>
          </w:tcPr>
          <w:p w14:paraId="6565EB36">
            <w:pPr>
              <w:jc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15</w:t>
            </w:r>
          </w:p>
        </w:tc>
        <w:tc>
          <w:tcPr>
            <w:tcW w:w="338" w:type="pct"/>
            <w:noWrap/>
            <w:vAlign w:val="center"/>
          </w:tcPr>
          <w:p w14:paraId="15A9E5C5">
            <w:pPr>
              <w:jc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54</w:t>
            </w:r>
          </w:p>
        </w:tc>
        <w:tc>
          <w:tcPr>
            <w:tcW w:w="345" w:type="pct"/>
            <w:vMerge w:val="continue"/>
            <w:noWrap/>
            <w:vAlign w:val="center"/>
          </w:tcPr>
          <w:p w14:paraId="6803DD9D">
            <w:pPr>
              <w:spacing w:line="240" w:lineRule="exact"/>
              <w:jc w:val="center"/>
              <w:rPr>
                <w:rFonts w:ascii="Times New Roman" w:hAnsi="Times New Roman" w:eastAsia="宋体" w:cs="Times New Roman"/>
                <w:color w:val="auto"/>
                <w:kern w:val="0"/>
              </w:rPr>
            </w:pPr>
          </w:p>
        </w:tc>
        <w:tc>
          <w:tcPr>
            <w:tcW w:w="376" w:type="pct"/>
            <w:noWrap/>
            <w:vAlign w:val="center"/>
          </w:tcPr>
          <w:p w14:paraId="396FCE36">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4869E48B">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4" w:type="pct"/>
            <w:vMerge w:val="continue"/>
            <w:vAlign w:val="center"/>
          </w:tcPr>
          <w:p w14:paraId="14C62C6B">
            <w:pPr>
              <w:spacing w:line="240" w:lineRule="exact"/>
              <w:jc w:val="center"/>
              <w:rPr>
                <w:rFonts w:ascii="Times New Roman" w:hAnsi="Times New Roman" w:eastAsia="宋体" w:cs="Times New Roman"/>
                <w:color w:val="auto"/>
                <w:kern w:val="0"/>
              </w:rPr>
            </w:pPr>
          </w:p>
        </w:tc>
        <w:tc>
          <w:tcPr>
            <w:tcW w:w="472" w:type="pct"/>
            <w:vMerge w:val="continue"/>
            <w:vAlign w:val="center"/>
          </w:tcPr>
          <w:p w14:paraId="03EACA17">
            <w:pPr>
              <w:spacing w:line="240" w:lineRule="exact"/>
              <w:jc w:val="center"/>
              <w:rPr>
                <w:rFonts w:ascii="Times New Roman" w:hAnsi="Times New Roman" w:eastAsia="宋体" w:cs="Times New Roman"/>
                <w:color w:val="auto"/>
                <w:kern w:val="0"/>
              </w:rPr>
            </w:pPr>
          </w:p>
        </w:tc>
        <w:tc>
          <w:tcPr>
            <w:tcW w:w="403" w:type="pct"/>
            <w:vMerge w:val="continue"/>
            <w:vAlign w:val="center"/>
          </w:tcPr>
          <w:p w14:paraId="794BF05C">
            <w:pPr>
              <w:spacing w:line="240" w:lineRule="exact"/>
              <w:jc w:val="center"/>
              <w:rPr>
                <w:rFonts w:ascii="Times New Roman" w:hAnsi="Times New Roman" w:eastAsia="宋体" w:cs="Times New Roman"/>
                <w:color w:val="auto"/>
                <w:kern w:val="0"/>
              </w:rPr>
            </w:pPr>
          </w:p>
        </w:tc>
        <w:tc>
          <w:tcPr>
            <w:tcW w:w="815" w:type="pct"/>
            <w:vMerge w:val="continue"/>
            <w:vAlign w:val="center"/>
          </w:tcPr>
          <w:p w14:paraId="1BBCD7F6">
            <w:pPr>
              <w:spacing w:line="240" w:lineRule="exact"/>
              <w:jc w:val="center"/>
              <w:rPr>
                <w:rFonts w:ascii="Times New Roman" w:hAnsi="Times New Roman" w:eastAsia="宋体" w:cs="Times New Roman"/>
                <w:color w:val="auto"/>
                <w:kern w:val="0"/>
              </w:rPr>
            </w:pPr>
          </w:p>
        </w:tc>
        <w:tc>
          <w:tcPr>
            <w:tcW w:w="504" w:type="pct"/>
            <w:noWrap/>
            <w:vAlign w:val="center"/>
          </w:tcPr>
          <w:p w14:paraId="24E319CB">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2026.4.22</w:t>
            </w:r>
          </w:p>
        </w:tc>
        <w:tc>
          <w:tcPr>
            <w:tcW w:w="302" w:type="pct"/>
            <w:vAlign w:val="center"/>
          </w:tcPr>
          <w:p w14:paraId="04F9C628">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昼间</w:t>
            </w:r>
          </w:p>
        </w:tc>
        <w:tc>
          <w:tcPr>
            <w:tcW w:w="504" w:type="pct"/>
            <w:vAlign w:val="center"/>
          </w:tcPr>
          <w:p w14:paraId="69CD47AA">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52</w:t>
            </w:r>
          </w:p>
        </w:tc>
        <w:tc>
          <w:tcPr>
            <w:tcW w:w="338" w:type="pct"/>
            <w:noWrap/>
            <w:vAlign w:val="center"/>
          </w:tcPr>
          <w:p w14:paraId="2B6E29C4">
            <w:pPr>
              <w:jc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53</w:t>
            </w:r>
          </w:p>
        </w:tc>
        <w:tc>
          <w:tcPr>
            <w:tcW w:w="338" w:type="pct"/>
            <w:noWrap/>
            <w:vAlign w:val="center"/>
          </w:tcPr>
          <w:p w14:paraId="0B41646D">
            <w:pPr>
              <w:jc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42</w:t>
            </w:r>
          </w:p>
        </w:tc>
        <w:tc>
          <w:tcPr>
            <w:tcW w:w="338" w:type="pct"/>
            <w:noWrap/>
            <w:vAlign w:val="center"/>
          </w:tcPr>
          <w:p w14:paraId="23EF3C76">
            <w:pPr>
              <w:jc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139</w:t>
            </w:r>
          </w:p>
        </w:tc>
        <w:tc>
          <w:tcPr>
            <w:tcW w:w="345" w:type="pct"/>
            <w:vMerge w:val="continue"/>
            <w:noWrap/>
            <w:vAlign w:val="center"/>
          </w:tcPr>
          <w:p w14:paraId="21D53A64">
            <w:pPr>
              <w:spacing w:line="240" w:lineRule="exact"/>
              <w:jc w:val="center"/>
              <w:rPr>
                <w:rFonts w:ascii="Times New Roman" w:hAnsi="Times New Roman" w:eastAsia="宋体" w:cs="Times New Roman"/>
                <w:color w:val="auto"/>
                <w:kern w:val="0"/>
              </w:rPr>
            </w:pPr>
          </w:p>
        </w:tc>
        <w:tc>
          <w:tcPr>
            <w:tcW w:w="376" w:type="pct"/>
            <w:noWrap/>
            <w:vAlign w:val="center"/>
          </w:tcPr>
          <w:p w14:paraId="70F44B7C">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3414839E">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4" w:type="pct"/>
            <w:vMerge w:val="continue"/>
            <w:vAlign w:val="center"/>
          </w:tcPr>
          <w:p w14:paraId="2498F6A7">
            <w:pPr>
              <w:spacing w:line="240" w:lineRule="exact"/>
              <w:jc w:val="center"/>
              <w:rPr>
                <w:rFonts w:ascii="Times New Roman" w:hAnsi="Times New Roman" w:eastAsia="宋体" w:cs="Times New Roman"/>
                <w:color w:val="auto"/>
                <w:kern w:val="0"/>
              </w:rPr>
            </w:pPr>
          </w:p>
        </w:tc>
        <w:tc>
          <w:tcPr>
            <w:tcW w:w="472" w:type="pct"/>
            <w:vMerge w:val="continue"/>
            <w:vAlign w:val="center"/>
          </w:tcPr>
          <w:p w14:paraId="66C1B912">
            <w:pPr>
              <w:spacing w:line="240" w:lineRule="exact"/>
              <w:jc w:val="center"/>
              <w:rPr>
                <w:rFonts w:ascii="Times New Roman" w:hAnsi="Times New Roman" w:eastAsia="宋体" w:cs="Times New Roman"/>
                <w:color w:val="auto"/>
                <w:kern w:val="0"/>
              </w:rPr>
            </w:pPr>
          </w:p>
        </w:tc>
        <w:tc>
          <w:tcPr>
            <w:tcW w:w="403" w:type="pct"/>
            <w:vMerge w:val="continue"/>
            <w:vAlign w:val="center"/>
          </w:tcPr>
          <w:p w14:paraId="004673BF">
            <w:pPr>
              <w:spacing w:line="240" w:lineRule="exact"/>
              <w:jc w:val="center"/>
              <w:rPr>
                <w:rFonts w:ascii="Times New Roman" w:hAnsi="Times New Roman" w:eastAsia="宋体" w:cs="Times New Roman"/>
                <w:color w:val="auto"/>
                <w:kern w:val="0"/>
              </w:rPr>
            </w:pPr>
          </w:p>
        </w:tc>
        <w:tc>
          <w:tcPr>
            <w:tcW w:w="815" w:type="pct"/>
            <w:vMerge w:val="continue"/>
            <w:vAlign w:val="center"/>
          </w:tcPr>
          <w:p w14:paraId="6129E38E">
            <w:pPr>
              <w:spacing w:line="240" w:lineRule="exact"/>
              <w:jc w:val="center"/>
              <w:rPr>
                <w:rFonts w:ascii="Times New Roman" w:hAnsi="Times New Roman" w:eastAsia="宋体" w:cs="Times New Roman"/>
                <w:color w:val="auto"/>
                <w:kern w:val="0"/>
              </w:rPr>
            </w:pPr>
          </w:p>
        </w:tc>
        <w:tc>
          <w:tcPr>
            <w:tcW w:w="504" w:type="pct"/>
            <w:noWrap/>
            <w:vAlign w:val="center"/>
          </w:tcPr>
          <w:p w14:paraId="0FF49C5B">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2026.4.23</w:t>
            </w:r>
          </w:p>
        </w:tc>
        <w:tc>
          <w:tcPr>
            <w:tcW w:w="302" w:type="pct"/>
            <w:vAlign w:val="center"/>
          </w:tcPr>
          <w:p w14:paraId="4095CA84">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夜间</w:t>
            </w:r>
          </w:p>
        </w:tc>
        <w:tc>
          <w:tcPr>
            <w:tcW w:w="504" w:type="pct"/>
            <w:vAlign w:val="center"/>
          </w:tcPr>
          <w:p w14:paraId="106EC621">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45</w:t>
            </w:r>
          </w:p>
        </w:tc>
        <w:tc>
          <w:tcPr>
            <w:tcW w:w="338" w:type="pct"/>
            <w:noWrap/>
            <w:vAlign w:val="center"/>
          </w:tcPr>
          <w:p w14:paraId="788131C4">
            <w:pPr>
              <w:jc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24</w:t>
            </w:r>
          </w:p>
        </w:tc>
        <w:tc>
          <w:tcPr>
            <w:tcW w:w="338" w:type="pct"/>
            <w:noWrap/>
            <w:vAlign w:val="center"/>
          </w:tcPr>
          <w:p w14:paraId="15CE9CAA">
            <w:pPr>
              <w:jc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21</w:t>
            </w:r>
          </w:p>
        </w:tc>
        <w:tc>
          <w:tcPr>
            <w:tcW w:w="338" w:type="pct"/>
            <w:noWrap/>
            <w:vAlign w:val="center"/>
          </w:tcPr>
          <w:p w14:paraId="66AE7651">
            <w:pPr>
              <w:jc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60</w:t>
            </w:r>
          </w:p>
        </w:tc>
        <w:tc>
          <w:tcPr>
            <w:tcW w:w="345" w:type="pct"/>
            <w:vMerge w:val="continue"/>
            <w:noWrap/>
            <w:vAlign w:val="center"/>
          </w:tcPr>
          <w:p w14:paraId="0863D595">
            <w:pPr>
              <w:spacing w:line="240" w:lineRule="exact"/>
              <w:jc w:val="center"/>
              <w:rPr>
                <w:rFonts w:ascii="Times New Roman" w:hAnsi="Times New Roman" w:eastAsia="宋体" w:cs="Times New Roman"/>
                <w:color w:val="auto"/>
                <w:kern w:val="0"/>
              </w:rPr>
            </w:pPr>
          </w:p>
        </w:tc>
        <w:tc>
          <w:tcPr>
            <w:tcW w:w="376" w:type="pct"/>
            <w:noWrap/>
            <w:vAlign w:val="center"/>
          </w:tcPr>
          <w:p w14:paraId="474E3351">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771F4020">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4" w:type="pct"/>
            <w:vMerge w:val="continue"/>
            <w:noWrap/>
            <w:vAlign w:val="center"/>
          </w:tcPr>
          <w:p w14:paraId="470CA498">
            <w:pPr>
              <w:spacing w:line="240" w:lineRule="exact"/>
              <w:jc w:val="center"/>
              <w:rPr>
                <w:rFonts w:ascii="Times New Roman" w:hAnsi="Times New Roman" w:eastAsia="宋体" w:cs="Times New Roman"/>
                <w:color w:val="auto"/>
                <w:kern w:val="0"/>
              </w:rPr>
            </w:pPr>
          </w:p>
        </w:tc>
        <w:tc>
          <w:tcPr>
            <w:tcW w:w="472" w:type="pct"/>
            <w:vMerge w:val="continue"/>
            <w:noWrap/>
            <w:vAlign w:val="center"/>
          </w:tcPr>
          <w:p w14:paraId="2D250396">
            <w:pPr>
              <w:spacing w:line="240" w:lineRule="exact"/>
              <w:jc w:val="center"/>
              <w:rPr>
                <w:rFonts w:ascii="Times New Roman" w:hAnsi="Times New Roman" w:eastAsia="宋体" w:cs="Times New Roman"/>
                <w:color w:val="auto"/>
                <w:kern w:val="0"/>
              </w:rPr>
            </w:pPr>
          </w:p>
        </w:tc>
        <w:tc>
          <w:tcPr>
            <w:tcW w:w="403" w:type="pct"/>
            <w:vMerge w:val="continue"/>
            <w:vAlign w:val="center"/>
          </w:tcPr>
          <w:p w14:paraId="2368A902">
            <w:pPr>
              <w:spacing w:line="240" w:lineRule="exact"/>
              <w:jc w:val="center"/>
              <w:rPr>
                <w:rFonts w:ascii="Times New Roman" w:hAnsi="Times New Roman" w:eastAsia="宋体" w:cs="Times New Roman"/>
                <w:color w:val="auto"/>
                <w:kern w:val="0"/>
              </w:rPr>
            </w:pPr>
          </w:p>
        </w:tc>
        <w:tc>
          <w:tcPr>
            <w:tcW w:w="815" w:type="pct"/>
            <w:vMerge w:val="restart"/>
            <w:vAlign w:val="center"/>
          </w:tcPr>
          <w:p w14:paraId="00513B66">
            <w:pPr>
              <w:spacing w:line="240" w:lineRule="exact"/>
              <w:jc w:val="center"/>
              <w:rPr>
                <w:rFonts w:ascii="Times New Roman" w:hAnsi="Times New Roman" w:eastAsia="宋体" w:cs="Times New Roman"/>
                <w:color w:val="auto"/>
                <w:kern w:val="0"/>
              </w:rPr>
            </w:pPr>
            <w:r>
              <w:rPr>
                <w:rFonts w:ascii="Times New Roman" w:hAnsi="Times New Roman" w:eastAsia="宋体" w:cs="Times New Roman"/>
                <w:color w:val="auto"/>
              </w:rPr>
              <w:t>临现有</w:t>
            </w:r>
            <w:r>
              <w:rPr>
                <w:rFonts w:hint="eastAsia" w:ascii="Times New Roman" w:hAnsi="Times New Roman" w:eastAsia="宋体" w:cs="Times New Roman"/>
                <w:color w:val="auto"/>
              </w:rPr>
              <w:t>G219</w:t>
            </w:r>
            <w:r>
              <w:rPr>
                <w:rFonts w:ascii="Times New Roman" w:hAnsi="Times New Roman" w:eastAsia="宋体" w:cs="Times New Roman"/>
                <w:color w:val="auto"/>
              </w:rPr>
              <w:t>第一排</w:t>
            </w:r>
            <w:r>
              <w:rPr>
                <w:rFonts w:hint="eastAsia" w:ascii="Times New Roman" w:hAnsi="Times New Roman" w:eastAsia="宋体" w:cs="Times New Roman"/>
                <w:color w:val="auto"/>
              </w:rPr>
              <w:t>教学楼3</w:t>
            </w:r>
            <w:r>
              <w:rPr>
                <w:rFonts w:ascii="Times New Roman" w:hAnsi="Times New Roman" w:eastAsia="宋体" w:cs="Times New Roman"/>
                <w:color w:val="auto"/>
              </w:rPr>
              <w:t>层</w:t>
            </w:r>
          </w:p>
        </w:tc>
        <w:tc>
          <w:tcPr>
            <w:tcW w:w="504" w:type="pct"/>
            <w:noWrap/>
            <w:vAlign w:val="center"/>
          </w:tcPr>
          <w:p w14:paraId="45EE09F0">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2026.4.21</w:t>
            </w:r>
          </w:p>
        </w:tc>
        <w:tc>
          <w:tcPr>
            <w:tcW w:w="302" w:type="pct"/>
            <w:vAlign w:val="center"/>
          </w:tcPr>
          <w:p w14:paraId="5A0C8B76">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昼间</w:t>
            </w:r>
          </w:p>
        </w:tc>
        <w:tc>
          <w:tcPr>
            <w:tcW w:w="504" w:type="pct"/>
            <w:vAlign w:val="center"/>
          </w:tcPr>
          <w:p w14:paraId="23136668">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53</w:t>
            </w:r>
          </w:p>
        </w:tc>
        <w:tc>
          <w:tcPr>
            <w:tcW w:w="338" w:type="pct"/>
            <w:noWrap/>
            <w:vAlign w:val="center"/>
          </w:tcPr>
          <w:p w14:paraId="0573D13E">
            <w:pPr>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50</w:t>
            </w:r>
          </w:p>
        </w:tc>
        <w:tc>
          <w:tcPr>
            <w:tcW w:w="338" w:type="pct"/>
            <w:noWrap/>
            <w:vAlign w:val="center"/>
          </w:tcPr>
          <w:p w14:paraId="613C5639">
            <w:pPr>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30</w:t>
            </w:r>
          </w:p>
        </w:tc>
        <w:tc>
          <w:tcPr>
            <w:tcW w:w="338" w:type="pct"/>
            <w:noWrap/>
            <w:vAlign w:val="center"/>
          </w:tcPr>
          <w:p w14:paraId="68255193">
            <w:pPr>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111</w:t>
            </w:r>
          </w:p>
        </w:tc>
        <w:tc>
          <w:tcPr>
            <w:tcW w:w="345" w:type="pct"/>
            <w:vMerge w:val="continue"/>
            <w:noWrap/>
            <w:vAlign w:val="center"/>
          </w:tcPr>
          <w:p w14:paraId="59876092">
            <w:pPr>
              <w:spacing w:line="240" w:lineRule="exact"/>
              <w:jc w:val="center"/>
              <w:rPr>
                <w:rFonts w:ascii="Times New Roman" w:hAnsi="Times New Roman" w:eastAsia="宋体" w:cs="Times New Roman"/>
                <w:color w:val="auto"/>
                <w:kern w:val="0"/>
              </w:rPr>
            </w:pPr>
          </w:p>
        </w:tc>
        <w:tc>
          <w:tcPr>
            <w:tcW w:w="376" w:type="pct"/>
            <w:noWrap/>
            <w:vAlign w:val="center"/>
          </w:tcPr>
          <w:p w14:paraId="4F42A4F6">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182F2ECC">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4" w:type="pct"/>
            <w:vMerge w:val="continue"/>
            <w:vAlign w:val="center"/>
          </w:tcPr>
          <w:p w14:paraId="6A0BB085">
            <w:pPr>
              <w:spacing w:line="240" w:lineRule="exact"/>
              <w:jc w:val="center"/>
              <w:rPr>
                <w:rFonts w:ascii="Times New Roman" w:hAnsi="Times New Roman" w:eastAsia="宋体" w:cs="Times New Roman"/>
                <w:color w:val="auto"/>
                <w:kern w:val="0"/>
              </w:rPr>
            </w:pPr>
          </w:p>
        </w:tc>
        <w:tc>
          <w:tcPr>
            <w:tcW w:w="472" w:type="pct"/>
            <w:vMerge w:val="continue"/>
            <w:vAlign w:val="center"/>
          </w:tcPr>
          <w:p w14:paraId="7E41CBF9">
            <w:pPr>
              <w:spacing w:line="240" w:lineRule="exact"/>
              <w:jc w:val="center"/>
              <w:rPr>
                <w:rFonts w:ascii="Times New Roman" w:hAnsi="Times New Roman" w:eastAsia="宋体" w:cs="Times New Roman"/>
                <w:color w:val="auto"/>
                <w:kern w:val="0"/>
              </w:rPr>
            </w:pPr>
          </w:p>
        </w:tc>
        <w:tc>
          <w:tcPr>
            <w:tcW w:w="403" w:type="pct"/>
            <w:vMerge w:val="continue"/>
            <w:vAlign w:val="center"/>
          </w:tcPr>
          <w:p w14:paraId="53A3D8B9">
            <w:pPr>
              <w:spacing w:line="240" w:lineRule="exact"/>
              <w:jc w:val="center"/>
              <w:rPr>
                <w:rFonts w:ascii="Times New Roman" w:hAnsi="Times New Roman" w:eastAsia="宋体" w:cs="Times New Roman"/>
                <w:color w:val="auto"/>
                <w:kern w:val="0"/>
              </w:rPr>
            </w:pPr>
          </w:p>
        </w:tc>
        <w:tc>
          <w:tcPr>
            <w:tcW w:w="815" w:type="pct"/>
            <w:vMerge w:val="continue"/>
            <w:vAlign w:val="center"/>
          </w:tcPr>
          <w:p w14:paraId="5F1DE858">
            <w:pPr>
              <w:spacing w:line="240" w:lineRule="exact"/>
              <w:jc w:val="center"/>
              <w:rPr>
                <w:rFonts w:ascii="Times New Roman" w:hAnsi="Times New Roman" w:eastAsia="宋体" w:cs="Times New Roman"/>
                <w:color w:val="auto"/>
                <w:kern w:val="0"/>
              </w:rPr>
            </w:pPr>
          </w:p>
        </w:tc>
        <w:tc>
          <w:tcPr>
            <w:tcW w:w="504" w:type="pct"/>
            <w:noWrap/>
            <w:vAlign w:val="center"/>
          </w:tcPr>
          <w:p w14:paraId="17F5740A">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2026.4.22</w:t>
            </w:r>
          </w:p>
        </w:tc>
        <w:tc>
          <w:tcPr>
            <w:tcW w:w="302" w:type="pct"/>
            <w:vAlign w:val="center"/>
          </w:tcPr>
          <w:p w14:paraId="38A82303">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夜间</w:t>
            </w:r>
          </w:p>
        </w:tc>
        <w:tc>
          <w:tcPr>
            <w:tcW w:w="504" w:type="pct"/>
            <w:vAlign w:val="center"/>
          </w:tcPr>
          <w:p w14:paraId="09F655BB">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47</w:t>
            </w:r>
          </w:p>
        </w:tc>
        <w:tc>
          <w:tcPr>
            <w:tcW w:w="338" w:type="pct"/>
            <w:noWrap/>
            <w:vAlign w:val="center"/>
          </w:tcPr>
          <w:p w14:paraId="1D06ED76">
            <w:pPr>
              <w:jc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30</w:t>
            </w:r>
          </w:p>
        </w:tc>
        <w:tc>
          <w:tcPr>
            <w:tcW w:w="338" w:type="pct"/>
            <w:noWrap/>
            <w:vAlign w:val="center"/>
          </w:tcPr>
          <w:p w14:paraId="089CE385">
            <w:pPr>
              <w:jc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15</w:t>
            </w:r>
          </w:p>
        </w:tc>
        <w:tc>
          <w:tcPr>
            <w:tcW w:w="338" w:type="pct"/>
            <w:noWrap/>
            <w:vAlign w:val="center"/>
          </w:tcPr>
          <w:p w14:paraId="4D6A4447">
            <w:pPr>
              <w:jc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54</w:t>
            </w:r>
          </w:p>
        </w:tc>
        <w:tc>
          <w:tcPr>
            <w:tcW w:w="345" w:type="pct"/>
            <w:vMerge w:val="continue"/>
            <w:noWrap/>
            <w:vAlign w:val="center"/>
          </w:tcPr>
          <w:p w14:paraId="589222F6">
            <w:pPr>
              <w:spacing w:line="240" w:lineRule="exact"/>
              <w:jc w:val="center"/>
              <w:rPr>
                <w:rFonts w:ascii="Times New Roman" w:hAnsi="Times New Roman" w:eastAsia="宋体" w:cs="Times New Roman"/>
                <w:color w:val="auto"/>
                <w:kern w:val="0"/>
              </w:rPr>
            </w:pPr>
          </w:p>
        </w:tc>
        <w:tc>
          <w:tcPr>
            <w:tcW w:w="376" w:type="pct"/>
            <w:noWrap/>
            <w:vAlign w:val="center"/>
          </w:tcPr>
          <w:p w14:paraId="4AF24E77">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226C79EA">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4" w:type="pct"/>
            <w:vMerge w:val="continue"/>
            <w:vAlign w:val="center"/>
          </w:tcPr>
          <w:p w14:paraId="51C834FE">
            <w:pPr>
              <w:spacing w:line="240" w:lineRule="exact"/>
              <w:jc w:val="center"/>
              <w:rPr>
                <w:rFonts w:ascii="Times New Roman" w:hAnsi="Times New Roman" w:eastAsia="宋体" w:cs="Times New Roman"/>
                <w:color w:val="auto"/>
                <w:kern w:val="0"/>
              </w:rPr>
            </w:pPr>
          </w:p>
        </w:tc>
        <w:tc>
          <w:tcPr>
            <w:tcW w:w="472" w:type="pct"/>
            <w:vMerge w:val="continue"/>
            <w:vAlign w:val="center"/>
          </w:tcPr>
          <w:p w14:paraId="6FEC6B81">
            <w:pPr>
              <w:spacing w:line="240" w:lineRule="exact"/>
              <w:jc w:val="center"/>
              <w:rPr>
                <w:rFonts w:ascii="Times New Roman" w:hAnsi="Times New Roman" w:eastAsia="宋体" w:cs="Times New Roman"/>
                <w:color w:val="auto"/>
                <w:kern w:val="0"/>
              </w:rPr>
            </w:pPr>
          </w:p>
        </w:tc>
        <w:tc>
          <w:tcPr>
            <w:tcW w:w="403" w:type="pct"/>
            <w:vMerge w:val="continue"/>
            <w:vAlign w:val="center"/>
          </w:tcPr>
          <w:p w14:paraId="041B53F8">
            <w:pPr>
              <w:spacing w:line="240" w:lineRule="exact"/>
              <w:jc w:val="center"/>
              <w:rPr>
                <w:rFonts w:ascii="Times New Roman" w:hAnsi="Times New Roman" w:eastAsia="宋体" w:cs="Times New Roman"/>
                <w:color w:val="auto"/>
                <w:kern w:val="0"/>
              </w:rPr>
            </w:pPr>
          </w:p>
        </w:tc>
        <w:tc>
          <w:tcPr>
            <w:tcW w:w="815" w:type="pct"/>
            <w:vMerge w:val="continue"/>
            <w:vAlign w:val="center"/>
          </w:tcPr>
          <w:p w14:paraId="1FE3F00A">
            <w:pPr>
              <w:spacing w:line="240" w:lineRule="exact"/>
              <w:jc w:val="center"/>
              <w:rPr>
                <w:rFonts w:ascii="Times New Roman" w:hAnsi="Times New Roman" w:eastAsia="宋体" w:cs="Times New Roman"/>
                <w:color w:val="auto"/>
                <w:kern w:val="0"/>
              </w:rPr>
            </w:pPr>
          </w:p>
        </w:tc>
        <w:tc>
          <w:tcPr>
            <w:tcW w:w="504" w:type="pct"/>
            <w:noWrap/>
            <w:vAlign w:val="center"/>
          </w:tcPr>
          <w:p w14:paraId="24AC37CB">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2026.4.22</w:t>
            </w:r>
          </w:p>
        </w:tc>
        <w:tc>
          <w:tcPr>
            <w:tcW w:w="302" w:type="pct"/>
            <w:vAlign w:val="center"/>
          </w:tcPr>
          <w:p w14:paraId="7BEF5C22">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昼间</w:t>
            </w:r>
          </w:p>
        </w:tc>
        <w:tc>
          <w:tcPr>
            <w:tcW w:w="504" w:type="pct"/>
            <w:vAlign w:val="center"/>
          </w:tcPr>
          <w:p w14:paraId="6379C958">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55</w:t>
            </w:r>
          </w:p>
        </w:tc>
        <w:tc>
          <w:tcPr>
            <w:tcW w:w="338" w:type="pct"/>
            <w:noWrap/>
            <w:vAlign w:val="center"/>
          </w:tcPr>
          <w:p w14:paraId="635C15FE">
            <w:pPr>
              <w:jc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53</w:t>
            </w:r>
          </w:p>
        </w:tc>
        <w:tc>
          <w:tcPr>
            <w:tcW w:w="338" w:type="pct"/>
            <w:noWrap/>
            <w:vAlign w:val="center"/>
          </w:tcPr>
          <w:p w14:paraId="61C93E6B">
            <w:pPr>
              <w:jc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42</w:t>
            </w:r>
          </w:p>
        </w:tc>
        <w:tc>
          <w:tcPr>
            <w:tcW w:w="338" w:type="pct"/>
            <w:noWrap/>
            <w:vAlign w:val="center"/>
          </w:tcPr>
          <w:p w14:paraId="7D8318A8">
            <w:pPr>
              <w:jc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139</w:t>
            </w:r>
          </w:p>
        </w:tc>
        <w:tc>
          <w:tcPr>
            <w:tcW w:w="345" w:type="pct"/>
            <w:vMerge w:val="continue"/>
            <w:noWrap/>
            <w:vAlign w:val="center"/>
          </w:tcPr>
          <w:p w14:paraId="1FA87BED">
            <w:pPr>
              <w:spacing w:line="240" w:lineRule="exact"/>
              <w:jc w:val="center"/>
              <w:rPr>
                <w:rFonts w:ascii="Times New Roman" w:hAnsi="Times New Roman" w:eastAsia="宋体" w:cs="Times New Roman"/>
                <w:color w:val="auto"/>
                <w:kern w:val="0"/>
              </w:rPr>
            </w:pPr>
          </w:p>
        </w:tc>
        <w:tc>
          <w:tcPr>
            <w:tcW w:w="376" w:type="pct"/>
            <w:noWrap/>
            <w:vAlign w:val="center"/>
          </w:tcPr>
          <w:p w14:paraId="476CB205">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26540833">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4" w:type="pct"/>
            <w:vMerge w:val="continue"/>
            <w:vAlign w:val="center"/>
          </w:tcPr>
          <w:p w14:paraId="263EDF31">
            <w:pPr>
              <w:spacing w:line="240" w:lineRule="exact"/>
              <w:jc w:val="center"/>
              <w:rPr>
                <w:rFonts w:ascii="Times New Roman" w:hAnsi="Times New Roman" w:eastAsia="宋体" w:cs="Times New Roman"/>
                <w:color w:val="auto"/>
                <w:kern w:val="0"/>
              </w:rPr>
            </w:pPr>
          </w:p>
        </w:tc>
        <w:tc>
          <w:tcPr>
            <w:tcW w:w="472" w:type="pct"/>
            <w:vMerge w:val="continue"/>
            <w:vAlign w:val="center"/>
          </w:tcPr>
          <w:p w14:paraId="4D9F8E22">
            <w:pPr>
              <w:spacing w:line="240" w:lineRule="exact"/>
              <w:jc w:val="center"/>
              <w:rPr>
                <w:rFonts w:ascii="Times New Roman" w:hAnsi="Times New Roman" w:eastAsia="宋体" w:cs="Times New Roman"/>
                <w:color w:val="auto"/>
                <w:kern w:val="0"/>
              </w:rPr>
            </w:pPr>
          </w:p>
        </w:tc>
        <w:tc>
          <w:tcPr>
            <w:tcW w:w="403" w:type="pct"/>
            <w:vMerge w:val="continue"/>
            <w:vAlign w:val="center"/>
          </w:tcPr>
          <w:p w14:paraId="211C1ACA">
            <w:pPr>
              <w:spacing w:line="240" w:lineRule="exact"/>
              <w:jc w:val="center"/>
              <w:rPr>
                <w:rFonts w:ascii="Times New Roman" w:hAnsi="Times New Roman" w:eastAsia="宋体" w:cs="Times New Roman"/>
                <w:color w:val="auto"/>
                <w:kern w:val="0"/>
              </w:rPr>
            </w:pPr>
          </w:p>
        </w:tc>
        <w:tc>
          <w:tcPr>
            <w:tcW w:w="815" w:type="pct"/>
            <w:vMerge w:val="continue"/>
            <w:vAlign w:val="center"/>
          </w:tcPr>
          <w:p w14:paraId="1B57C830">
            <w:pPr>
              <w:spacing w:line="240" w:lineRule="exact"/>
              <w:jc w:val="center"/>
              <w:rPr>
                <w:rFonts w:ascii="Times New Roman" w:hAnsi="Times New Roman" w:eastAsia="宋体" w:cs="Times New Roman"/>
                <w:color w:val="auto"/>
                <w:kern w:val="0"/>
              </w:rPr>
            </w:pPr>
          </w:p>
        </w:tc>
        <w:tc>
          <w:tcPr>
            <w:tcW w:w="504" w:type="pct"/>
            <w:noWrap/>
            <w:vAlign w:val="center"/>
          </w:tcPr>
          <w:p w14:paraId="5E950515">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2026.4.23</w:t>
            </w:r>
          </w:p>
        </w:tc>
        <w:tc>
          <w:tcPr>
            <w:tcW w:w="302" w:type="pct"/>
            <w:vAlign w:val="center"/>
          </w:tcPr>
          <w:p w14:paraId="1C4C30B2">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夜间</w:t>
            </w:r>
          </w:p>
        </w:tc>
        <w:tc>
          <w:tcPr>
            <w:tcW w:w="504" w:type="pct"/>
            <w:vAlign w:val="center"/>
          </w:tcPr>
          <w:p w14:paraId="12C35186">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48</w:t>
            </w:r>
          </w:p>
        </w:tc>
        <w:tc>
          <w:tcPr>
            <w:tcW w:w="338" w:type="pct"/>
            <w:noWrap/>
            <w:vAlign w:val="center"/>
          </w:tcPr>
          <w:p w14:paraId="281C4135">
            <w:pPr>
              <w:jc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24</w:t>
            </w:r>
          </w:p>
        </w:tc>
        <w:tc>
          <w:tcPr>
            <w:tcW w:w="338" w:type="pct"/>
            <w:noWrap/>
            <w:vAlign w:val="center"/>
          </w:tcPr>
          <w:p w14:paraId="1400F21D">
            <w:pPr>
              <w:jc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21</w:t>
            </w:r>
          </w:p>
        </w:tc>
        <w:tc>
          <w:tcPr>
            <w:tcW w:w="338" w:type="pct"/>
            <w:noWrap/>
            <w:vAlign w:val="center"/>
          </w:tcPr>
          <w:p w14:paraId="0091661D">
            <w:pPr>
              <w:jc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60</w:t>
            </w:r>
          </w:p>
        </w:tc>
        <w:tc>
          <w:tcPr>
            <w:tcW w:w="345" w:type="pct"/>
            <w:vMerge w:val="continue"/>
            <w:noWrap/>
            <w:vAlign w:val="center"/>
          </w:tcPr>
          <w:p w14:paraId="2F64FDB7">
            <w:pPr>
              <w:spacing w:line="240" w:lineRule="exact"/>
              <w:jc w:val="center"/>
              <w:rPr>
                <w:rFonts w:ascii="Times New Roman" w:hAnsi="Times New Roman" w:eastAsia="宋体" w:cs="Times New Roman"/>
                <w:color w:val="auto"/>
                <w:kern w:val="0"/>
              </w:rPr>
            </w:pPr>
          </w:p>
        </w:tc>
        <w:tc>
          <w:tcPr>
            <w:tcW w:w="376" w:type="pct"/>
            <w:noWrap/>
            <w:vAlign w:val="center"/>
          </w:tcPr>
          <w:p w14:paraId="47895AFF">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bl>
    <w:p w14:paraId="51E6D122">
      <w:pPr>
        <w:rPr>
          <w:color w:val="auto"/>
          <w:highlight w:val="yellow"/>
        </w:rPr>
        <w:sectPr>
          <w:footerReference r:id="rId41" w:type="default"/>
          <w:footerReference r:id="rId42" w:type="even"/>
          <w:pgSz w:w="16838" w:h="11906" w:orient="landscape"/>
          <w:pgMar w:top="1560" w:right="1440" w:bottom="1560" w:left="1559" w:header="851" w:footer="992" w:gutter="0"/>
          <w:pgBorders>
            <w:top w:val="none" w:sz="0" w:space="0"/>
            <w:left w:val="none" w:sz="0" w:space="0"/>
            <w:bottom w:val="none" w:sz="0" w:space="0"/>
            <w:right w:val="none" w:sz="0" w:space="0"/>
          </w:pgBorders>
          <w:cols w:space="720" w:num="1"/>
          <w:docGrid w:linePitch="312" w:charSpace="0"/>
        </w:sectPr>
      </w:pPr>
    </w:p>
    <w:p w14:paraId="6A0C89E7">
      <w:pPr>
        <w:spacing w:beforeLines="50"/>
        <w:jc w:val="center"/>
        <w:rPr>
          <w:rFonts w:ascii="Times New Roman" w:hAnsi="Times New Roman" w:eastAsia="宋体" w:cs="Times New Roman"/>
          <w:b/>
          <w:bCs/>
          <w:color w:val="auto"/>
          <w:szCs w:val="21"/>
        </w:rPr>
      </w:pPr>
      <w:r>
        <w:rPr>
          <w:rFonts w:hint="eastAsia" w:ascii="Times New Roman" w:hAnsi="Times New Roman" w:eastAsia="宋体" w:cs="Times New Roman"/>
          <w:b/>
          <w:bCs/>
          <w:color w:val="auto"/>
          <w:spacing w:val="4"/>
          <w:szCs w:val="21"/>
        </w:rPr>
        <w:t>续 表</w:t>
      </w:r>
      <w:r>
        <w:rPr>
          <w:rFonts w:ascii="Times New Roman" w:hAnsi="Times New Roman" w:eastAsia="宋体" w:cs="Times New Roman"/>
          <w:b/>
          <w:bCs/>
          <w:color w:val="auto"/>
          <w:spacing w:val="4"/>
          <w:szCs w:val="21"/>
        </w:rPr>
        <w:t xml:space="preserve">3.2-3 </w:t>
      </w:r>
      <w:r>
        <w:rPr>
          <w:rFonts w:hint="eastAsia" w:ascii="Times New Roman" w:hAnsi="Times New Roman" w:eastAsia="宋体" w:cs="Times New Roman"/>
          <w:b/>
          <w:bCs/>
          <w:color w:val="auto"/>
          <w:spacing w:val="4"/>
          <w:szCs w:val="21"/>
        </w:rPr>
        <w:t xml:space="preserve"> </w:t>
      </w:r>
      <w:r>
        <w:rPr>
          <w:rFonts w:ascii="Times New Roman" w:hAnsi="Times New Roman" w:eastAsia="宋体" w:cs="Times New Roman"/>
          <w:b/>
          <w:bCs/>
          <w:color w:val="auto"/>
          <w:szCs w:val="21"/>
        </w:rPr>
        <w:t>拟建</w:t>
      </w:r>
      <w:r>
        <w:rPr>
          <w:rFonts w:hint="eastAsia" w:ascii="Times New Roman" w:hAnsi="Times New Roman" w:eastAsia="宋体" w:cs="Times New Roman"/>
          <w:b/>
          <w:bCs/>
          <w:color w:val="auto"/>
          <w:szCs w:val="21"/>
        </w:rPr>
        <w:t>公路敏感点声</w:t>
      </w:r>
      <w:r>
        <w:rPr>
          <w:rFonts w:ascii="Times New Roman" w:hAnsi="Times New Roman" w:eastAsia="宋体" w:cs="Times New Roman"/>
          <w:b/>
          <w:bCs/>
          <w:color w:val="auto"/>
          <w:szCs w:val="21"/>
        </w:rPr>
        <w:t>环境</w:t>
      </w:r>
      <w:r>
        <w:rPr>
          <w:rFonts w:hint="eastAsia" w:ascii="Times New Roman" w:hAnsi="Times New Roman" w:eastAsia="宋体" w:cs="Times New Roman"/>
          <w:b/>
          <w:bCs/>
          <w:color w:val="auto"/>
          <w:szCs w:val="21"/>
        </w:rPr>
        <w:t>现状</w:t>
      </w:r>
      <w:r>
        <w:rPr>
          <w:rFonts w:ascii="Times New Roman" w:hAnsi="Times New Roman" w:eastAsia="宋体" w:cs="Times New Roman"/>
          <w:b/>
          <w:bCs/>
          <w:color w:val="auto"/>
          <w:szCs w:val="21"/>
        </w:rPr>
        <w:t>监测结果及达标分析表</w:t>
      </w:r>
    </w:p>
    <w:tbl>
      <w:tblPr>
        <w:tblStyle w:val="22"/>
        <w:tblW w:w="5000" w:type="pct"/>
        <w:jc w:val="center"/>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42"/>
        <w:gridCol w:w="1352"/>
        <w:gridCol w:w="1133"/>
        <w:gridCol w:w="2268"/>
        <w:gridCol w:w="1417"/>
        <w:gridCol w:w="849"/>
        <w:gridCol w:w="1417"/>
        <w:gridCol w:w="950"/>
        <w:gridCol w:w="950"/>
        <w:gridCol w:w="950"/>
        <w:gridCol w:w="970"/>
        <w:gridCol w:w="1057"/>
      </w:tblGrid>
      <w:tr w14:paraId="374F0415">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264" w:type="pct"/>
            <w:vMerge w:val="restart"/>
            <w:noWrap/>
            <w:vAlign w:val="center"/>
          </w:tcPr>
          <w:p w14:paraId="22B8EDD7">
            <w:pPr>
              <w:spacing w:line="240" w:lineRule="exact"/>
              <w:jc w:val="center"/>
              <w:rPr>
                <w:rFonts w:ascii="Times New Roman" w:hAnsi="Times New Roman" w:eastAsia="宋体" w:cs="Times New Roman"/>
                <w:b/>
                <w:color w:val="auto"/>
                <w:kern w:val="0"/>
              </w:rPr>
            </w:pPr>
            <w:r>
              <w:rPr>
                <w:rFonts w:hint="eastAsia" w:ascii="Times New Roman" w:hAnsi="Times New Roman" w:eastAsia="宋体" w:cs="Times New Roman"/>
                <w:b/>
                <w:color w:val="auto"/>
                <w:kern w:val="0"/>
              </w:rPr>
              <w:t>序号</w:t>
            </w:r>
          </w:p>
        </w:tc>
        <w:tc>
          <w:tcPr>
            <w:tcW w:w="481" w:type="pct"/>
            <w:vMerge w:val="restart"/>
            <w:noWrap/>
            <w:vAlign w:val="center"/>
          </w:tcPr>
          <w:p w14:paraId="066F4655">
            <w:pPr>
              <w:spacing w:line="240" w:lineRule="exact"/>
              <w:jc w:val="center"/>
              <w:rPr>
                <w:rFonts w:ascii="Times New Roman" w:hAnsi="Times New Roman" w:eastAsia="宋体" w:cs="Times New Roman"/>
                <w:b/>
                <w:color w:val="auto"/>
                <w:kern w:val="0"/>
              </w:rPr>
            </w:pPr>
            <w:r>
              <w:rPr>
                <w:rFonts w:ascii="Times New Roman" w:hAnsi="Times New Roman" w:eastAsia="宋体" w:cs="Times New Roman"/>
                <w:b/>
                <w:color w:val="auto"/>
                <w:kern w:val="0"/>
              </w:rPr>
              <w:t>监测点位</w:t>
            </w:r>
          </w:p>
        </w:tc>
        <w:tc>
          <w:tcPr>
            <w:tcW w:w="1210" w:type="pct"/>
            <w:gridSpan w:val="2"/>
            <w:vMerge w:val="restart"/>
            <w:noWrap/>
            <w:vAlign w:val="center"/>
          </w:tcPr>
          <w:p w14:paraId="6BC75398">
            <w:pPr>
              <w:spacing w:line="240" w:lineRule="exact"/>
              <w:jc w:val="center"/>
              <w:rPr>
                <w:rFonts w:ascii="Times New Roman" w:hAnsi="Times New Roman" w:eastAsia="宋体" w:cs="Times New Roman"/>
                <w:b/>
                <w:color w:val="auto"/>
                <w:kern w:val="0"/>
              </w:rPr>
            </w:pPr>
            <w:r>
              <w:rPr>
                <w:rFonts w:ascii="Times New Roman" w:hAnsi="Times New Roman" w:eastAsia="宋体" w:cs="Times New Roman"/>
                <w:b/>
                <w:color w:val="auto"/>
                <w:kern w:val="0"/>
              </w:rPr>
              <w:t>噪声类型</w:t>
            </w:r>
          </w:p>
        </w:tc>
        <w:tc>
          <w:tcPr>
            <w:tcW w:w="806" w:type="pct"/>
            <w:gridSpan w:val="2"/>
            <w:noWrap/>
            <w:vAlign w:val="center"/>
          </w:tcPr>
          <w:p w14:paraId="39BBF014">
            <w:pPr>
              <w:spacing w:line="240" w:lineRule="exact"/>
              <w:jc w:val="center"/>
              <w:rPr>
                <w:rFonts w:ascii="Times New Roman" w:hAnsi="Times New Roman" w:eastAsia="宋体" w:cs="Times New Roman"/>
                <w:b/>
                <w:color w:val="auto"/>
                <w:kern w:val="0"/>
              </w:rPr>
            </w:pPr>
            <w:r>
              <w:rPr>
                <w:rFonts w:ascii="Times New Roman" w:hAnsi="Times New Roman" w:eastAsia="宋体" w:cs="Times New Roman"/>
                <w:b/>
                <w:color w:val="auto"/>
                <w:kern w:val="0"/>
              </w:rPr>
              <w:t>监测时间</w:t>
            </w:r>
          </w:p>
        </w:tc>
        <w:tc>
          <w:tcPr>
            <w:tcW w:w="504" w:type="pct"/>
            <w:vMerge w:val="restart"/>
            <w:vAlign w:val="center"/>
          </w:tcPr>
          <w:p w14:paraId="1245D0A5">
            <w:pPr>
              <w:spacing w:line="240" w:lineRule="exact"/>
              <w:jc w:val="center"/>
              <w:rPr>
                <w:rFonts w:ascii="Times New Roman" w:hAnsi="Times New Roman" w:eastAsia="宋体" w:cs="Times New Roman"/>
                <w:b/>
                <w:color w:val="auto"/>
                <w:kern w:val="0"/>
              </w:rPr>
            </w:pPr>
            <w:r>
              <w:rPr>
                <w:rFonts w:hint="eastAsia" w:ascii="Times New Roman" w:hAnsi="Times New Roman" w:eastAsia="宋体" w:cs="Times New Roman"/>
                <w:b/>
                <w:bCs/>
                <w:color w:val="auto"/>
              </w:rPr>
              <w:t>监测结果Leq（dB）</w:t>
            </w:r>
          </w:p>
        </w:tc>
        <w:tc>
          <w:tcPr>
            <w:tcW w:w="1014" w:type="pct"/>
            <w:gridSpan w:val="3"/>
            <w:noWrap/>
            <w:vAlign w:val="center"/>
          </w:tcPr>
          <w:p w14:paraId="0AE2050E">
            <w:pPr>
              <w:spacing w:line="240" w:lineRule="exact"/>
              <w:jc w:val="center"/>
              <w:rPr>
                <w:rFonts w:ascii="Times New Roman" w:hAnsi="Times New Roman" w:eastAsia="宋体" w:cs="Times New Roman"/>
                <w:b/>
                <w:color w:val="auto"/>
                <w:kern w:val="0"/>
              </w:rPr>
            </w:pPr>
            <w:r>
              <w:rPr>
                <w:rFonts w:ascii="Times New Roman" w:hAnsi="Times New Roman" w:eastAsia="宋体" w:cs="Times New Roman"/>
                <w:b/>
                <w:color w:val="auto"/>
                <w:kern w:val="0"/>
              </w:rPr>
              <w:t>车流量（辆/</w:t>
            </w:r>
            <w:r>
              <w:rPr>
                <w:rFonts w:hint="eastAsia" w:ascii="Times New Roman" w:hAnsi="Times New Roman" w:eastAsia="宋体" w:cs="Times New Roman"/>
                <w:b/>
                <w:color w:val="auto"/>
                <w:kern w:val="0"/>
              </w:rPr>
              <w:t>h</w:t>
            </w:r>
            <w:r>
              <w:rPr>
                <w:rFonts w:ascii="Times New Roman" w:hAnsi="Times New Roman" w:eastAsia="宋体" w:cs="Times New Roman"/>
                <w:b/>
                <w:color w:val="auto"/>
                <w:kern w:val="0"/>
              </w:rPr>
              <w:t>）</w:t>
            </w:r>
          </w:p>
        </w:tc>
        <w:tc>
          <w:tcPr>
            <w:tcW w:w="345" w:type="pct"/>
            <w:vMerge w:val="restart"/>
            <w:vAlign w:val="center"/>
          </w:tcPr>
          <w:p w14:paraId="0360F885">
            <w:pPr>
              <w:spacing w:line="240" w:lineRule="exact"/>
              <w:jc w:val="center"/>
              <w:rPr>
                <w:rFonts w:ascii="Times New Roman" w:hAnsi="Times New Roman" w:eastAsia="宋体" w:cs="Times New Roman"/>
                <w:b/>
                <w:color w:val="auto"/>
                <w:kern w:val="0"/>
              </w:rPr>
            </w:pPr>
            <w:r>
              <w:rPr>
                <w:rFonts w:ascii="Times New Roman" w:hAnsi="Times New Roman" w:eastAsia="宋体" w:cs="Times New Roman"/>
                <w:b/>
                <w:color w:val="auto"/>
                <w:kern w:val="0"/>
              </w:rPr>
              <w:t>评价标准</w:t>
            </w:r>
          </w:p>
        </w:tc>
        <w:tc>
          <w:tcPr>
            <w:tcW w:w="376" w:type="pct"/>
            <w:vMerge w:val="restart"/>
            <w:noWrap/>
            <w:vAlign w:val="center"/>
          </w:tcPr>
          <w:p w14:paraId="74A3FA28">
            <w:pPr>
              <w:spacing w:line="240" w:lineRule="exact"/>
              <w:jc w:val="center"/>
              <w:rPr>
                <w:rFonts w:ascii="Times New Roman" w:hAnsi="Times New Roman" w:eastAsia="宋体" w:cs="Times New Roman"/>
                <w:b/>
                <w:color w:val="auto"/>
                <w:kern w:val="0"/>
              </w:rPr>
            </w:pPr>
            <w:r>
              <w:rPr>
                <w:rFonts w:ascii="Times New Roman" w:hAnsi="Times New Roman" w:eastAsia="宋体" w:cs="Times New Roman"/>
                <w:b/>
                <w:color w:val="auto"/>
                <w:kern w:val="0"/>
              </w:rPr>
              <w:t>达标情况</w:t>
            </w:r>
          </w:p>
        </w:tc>
      </w:tr>
      <w:tr w14:paraId="2DA7E85A">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264" w:type="pct"/>
            <w:vMerge w:val="continue"/>
            <w:vAlign w:val="center"/>
          </w:tcPr>
          <w:p w14:paraId="10A97CA1">
            <w:pPr>
              <w:spacing w:line="240" w:lineRule="exact"/>
              <w:jc w:val="center"/>
              <w:rPr>
                <w:rFonts w:ascii="Times New Roman" w:hAnsi="Times New Roman" w:eastAsia="宋体" w:cs="Times New Roman"/>
                <w:b/>
                <w:color w:val="auto"/>
                <w:kern w:val="0"/>
              </w:rPr>
            </w:pPr>
          </w:p>
        </w:tc>
        <w:tc>
          <w:tcPr>
            <w:tcW w:w="481" w:type="pct"/>
            <w:vMerge w:val="continue"/>
            <w:vAlign w:val="center"/>
          </w:tcPr>
          <w:p w14:paraId="3E2C5A1B">
            <w:pPr>
              <w:spacing w:line="240" w:lineRule="exact"/>
              <w:jc w:val="center"/>
              <w:rPr>
                <w:rFonts w:ascii="Times New Roman" w:hAnsi="Times New Roman" w:eastAsia="宋体" w:cs="Times New Roman"/>
                <w:b/>
                <w:color w:val="auto"/>
                <w:kern w:val="0"/>
              </w:rPr>
            </w:pPr>
          </w:p>
        </w:tc>
        <w:tc>
          <w:tcPr>
            <w:tcW w:w="1210" w:type="pct"/>
            <w:gridSpan w:val="2"/>
            <w:vMerge w:val="continue"/>
            <w:vAlign w:val="center"/>
          </w:tcPr>
          <w:p w14:paraId="7D32A9E2">
            <w:pPr>
              <w:spacing w:line="240" w:lineRule="exact"/>
              <w:jc w:val="center"/>
              <w:rPr>
                <w:rFonts w:ascii="Times New Roman" w:hAnsi="Times New Roman" w:eastAsia="宋体" w:cs="Times New Roman"/>
                <w:b/>
                <w:color w:val="auto"/>
                <w:kern w:val="0"/>
              </w:rPr>
            </w:pPr>
          </w:p>
        </w:tc>
        <w:tc>
          <w:tcPr>
            <w:tcW w:w="504" w:type="pct"/>
            <w:vAlign w:val="center"/>
          </w:tcPr>
          <w:p w14:paraId="74A32E28">
            <w:pPr>
              <w:spacing w:line="240" w:lineRule="exact"/>
              <w:jc w:val="center"/>
              <w:rPr>
                <w:rFonts w:ascii="Times New Roman" w:hAnsi="Times New Roman" w:eastAsia="宋体" w:cs="Times New Roman"/>
                <w:b/>
                <w:color w:val="auto"/>
                <w:kern w:val="0"/>
              </w:rPr>
            </w:pPr>
            <w:r>
              <w:rPr>
                <w:rFonts w:ascii="Times New Roman" w:hAnsi="Times New Roman" w:eastAsia="宋体" w:cs="Times New Roman"/>
                <w:b/>
                <w:color w:val="auto"/>
                <w:kern w:val="0"/>
              </w:rPr>
              <w:t>日期</w:t>
            </w:r>
          </w:p>
        </w:tc>
        <w:tc>
          <w:tcPr>
            <w:tcW w:w="302" w:type="pct"/>
            <w:vAlign w:val="center"/>
          </w:tcPr>
          <w:p w14:paraId="6AD60F07">
            <w:pPr>
              <w:spacing w:line="240" w:lineRule="exact"/>
              <w:jc w:val="center"/>
              <w:rPr>
                <w:rFonts w:ascii="Times New Roman" w:hAnsi="Times New Roman" w:eastAsia="宋体" w:cs="Times New Roman"/>
                <w:b/>
                <w:color w:val="auto"/>
                <w:kern w:val="0"/>
              </w:rPr>
            </w:pPr>
            <w:r>
              <w:rPr>
                <w:rFonts w:ascii="Times New Roman" w:hAnsi="Times New Roman" w:eastAsia="宋体" w:cs="Times New Roman"/>
                <w:b/>
                <w:color w:val="auto"/>
                <w:kern w:val="0"/>
              </w:rPr>
              <w:t>时段</w:t>
            </w:r>
          </w:p>
        </w:tc>
        <w:tc>
          <w:tcPr>
            <w:tcW w:w="504" w:type="pct"/>
            <w:vMerge w:val="continue"/>
            <w:vAlign w:val="center"/>
          </w:tcPr>
          <w:p w14:paraId="57A97B25">
            <w:pPr>
              <w:spacing w:line="240" w:lineRule="exact"/>
              <w:jc w:val="center"/>
              <w:rPr>
                <w:rFonts w:ascii="Times New Roman" w:hAnsi="Times New Roman" w:eastAsia="宋体" w:cs="Times New Roman"/>
                <w:b/>
                <w:color w:val="auto"/>
              </w:rPr>
            </w:pPr>
          </w:p>
        </w:tc>
        <w:tc>
          <w:tcPr>
            <w:tcW w:w="338" w:type="pct"/>
            <w:noWrap/>
            <w:vAlign w:val="center"/>
          </w:tcPr>
          <w:p w14:paraId="25C2C5DC">
            <w:pPr>
              <w:spacing w:line="240" w:lineRule="exact"/>
              <w:jc w:val="center"/>
              <w:rPr>
                <w:rFonts w:ascii="Times New Roman" w:hAnsi="Times New Roman" w:eastAsia="宋体" w:cs="Times New Roman"/>
                <w:b/>
                <w:color w:val="auto"/>
                <w:kern w:val="0"/>
              </w:rPr>
            </w:pPr>
            <w:r>
              <w:rPr>
                <w:rFonts w:ascii="Times New Roman" w:hAnsi="Times New Roman" w:eastAsia="宋体" w:cs="Times New Roman"/>
                <w:b/>
                <w:color w:val="auto"/>
                <w:kern w:val="0"/>
              </w:rPr>
              <w:t>大</w:t>
            </w:r>
          </w:p>
        </w:tc>
        <w:tc>
          <w:tcPr>
            <w:tcW w:w="338" w:type="pct"/>
            <w:noWrap/>
            <w:vAlign w:val="center"/>
          </w:tcPr>
          <w:p w14:paraId="05587E66">
            <w:pPr>
              <w:spacing w:line="240" w:lineRule="exact"/>
              <w:jc w:val="center"/>
              <w:rPr>
                <w:rFonts w:ascii="Times New Roman" w:hAnsi="Times New Roman" w:eastAsia="宋体" w:cs="Times New Roman"/>
                <w:b/>
                <w:color w:val="auto"/>
                <w:kern w:val="0"/>
              </w:rPr>
            </w:pPr>
            <w:r>
              <w:rPr>
                <w:rFonts w:ascii="Times New Roman" w:hAnsi="Times New Roman" w:eastAsia="宋体" w:cs="Times New Roman"/>
                <w:b/>
                <w:color w:val="auto"/>
                <w:kern w:val="0"/>
              </w:rPr>
              <w:t>中</w:t>
            </w:r>
          </w:p>
        </w:tc>
        <w:tc>
          <w:tcPr>
            <w:tcW w:w="338" w:type="pct"/>
            <w:noWrap/>
            <w:vAlign w:val="center"/>
          </w:tcPr>
          <w:p w14:paraId="41B0AEDA">
            <w:pPr>
              <w:spacing w:line="240" w:lineRule="exact"/>
              <w:jc w:val="center"/>
              <w:rPr>
                <w:rFonts w:ascii="Times New Roman" w:hAnsi="Times New Roman" w:eastAsia="宋体" w:cs="Times New Roman"/>
                <w:b/>
                <w:color w:val="auto"/>
                <w:kern w:val="0"/>
              </w:rPr>
            </w:pPr>
            <w:r>
              <w:rPr>
                <w:rFonts w:ascii="Times New Roman" w:hAnsi="Times New Roman" w:eastAsia="宋体" w:cs="Times New Roman"/>
                <w:b/>
                <w:color w:val="auto"/>
                <w:kern w:val="0"/>
              </w:rPr>
              <w:t>小</w:t>
            </w:r>
          </w:p>
        </w:tc>
        <w:tc>
          <w:tcPr>
            <w:tcW w:w="345" w:type="pct"/>
            <w:vMerge w:val="continue"/>
            <w:vAlign w:val="center"/>
          </w:tcPr>
          <w:p w14:paraId="1ACBEBB8">
            <w:pPr>
              <w:spacing w:line="240" w:lineRule="exact"/>
              <w:jc w:val="center"/>
              <w:rPr>
                <w:rFonts w:ascii="Times New Roman" w:hAnsi="Times New Roman" w:eastAsia="宋体" w:cs="Times New Roman"/>
                <w:b/>
                <w:color w:val="auto"/>
                <w:kern w:val="0"/>
              </w:rPr>
            </w:pPr>
          </w:p>
        </w:tc>
        <w:tc>
          <w:tcPr>
            <w:tcW w:w="376" w:type="pct"/>
            <w:vMerge w:val="continue"/>
            <w:vAlign w:val="center"/>
          </w:tcPr>
          <w:p w14:paraId="27EB6155">
            <w:pPr>
              <w:spacing w:line="240" w:lineRule="exact"/>
              <w:jc w:val="center"/>
              <w:rPr>
                <w:rFonts w:ascii="Times New Roman" w:hAnsi="Times New Roman" w:eastAsia="宋体" w:cs="Times New Roman"/>
                <w:b/>
                <w:color w:val="auto"/>
                <w:kern w:val="0"/>
              </w:rPr>
            </w:pPr>
          </w:p>
        </w:tc>
      </w:tr>
      <w:tr w14:paraId="5B99A629">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4" w:type="pct"/>
            <w:vMerge w:val="restart"/>
            <w:noWrap/>
            <w:vAlign w:val="center"/>
          </w:tcPr>
          <w:p w14:paraId="3DBFB1E5">
            <w:pPr>
              <w:spacing w:line="240" w:lineRule="exact"/>
              <w:jc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7</w:t>
            </w:r>
          </w:p>
        </w:tc>
        <w:tc>
          <w:tcPr>
            <w:tcW w:w="481" w:type="pct"/>
            <w:vMerge w:val="restart"/>
            <w:noWrap/>
            <w:vAlign w:val="center"/>
          </w:tcPr>
          <w:p w14:paraId="3106401F">
            <w:pPr>
              <w:spacing w:line="240" w:lineRule="exact"/>
              <w:jc w:val="center"/>
              <w:rPr>
                <w:rFonts w:ascii="Times New Roman" w:hAnsi="Times New Roman" w:eastAsia="宋体" w:cs="Times New Roman"/>
                <w:color w:val="auto"/>
                <w:kern w:val="0"/>
              </w:rPr>
            </w:pPr>
            <w:r>
              <w:rPr>
                <w:rFonts w:hint="eastAsia" w:ascii="Times New Roman" w:cs="Times New Roman" w:hAnsiTheme="minorEastAsia" w:eastAsiaTheme="minorEastAsia"/>
                <w:color w:val="auto"/>
              </w:rPr>
              <w:t>阿亚克里格勒迪玛村</w:t>
            </w:r>
          </w:p>
        </w:tc>
        <w:tc>
          <w:tcPr>
            <w:tcW w:w="403" w:type="pct"/>
            <w:vMerge w:val="restart"/>
            <w:vAlign w:val="center"/>
          </w:tcPr>
          <w:p w14:paraId="4BD00990">
            <w:pPr>
              <w:spacing w:line="240" w:lineRule="exact"/>
              <w:jc w:val="center"/>
              <w:rPr>
                <w:rFonts w:ascii="Times New Roman" w:hAnsi="Times New Roman" w:eastAsia="宋体" w:cs="Times New Roman"/>
                <w:color w:val="auto"/>
                <w:kern w:val="0"/>
              </w:rPr>
            </w:pPr>
            <w:r>
              <w:rPr>
                <w:rFonts w:ascii="Times New Roman" w:hAnsi="Times New Roman" w:eastAsia="宋体" w:cs="Times New Roman"/>
                <w:color w:val="auto"/>
                <w:kern w:val="0"/>
              </w:rPr>
              <w:t>环境噪声</w:t>
            </w:r>
          </w:p>
        </w:tc>
        <w:tc>
          <w:tcPr>
            <w:tcW w:w="807" w:type="pct"/>
            <w:vMerge w:val="restart"/>
            <w:vAlign w:val="center"/>
          </w:tcPr>
          <w:p w14:paraId="377AF4EF">
            <w:pPr>
              <w:spacing w:line="240" w:lineRule="exact"/>
              <w:jc w:val="center"/>
              <w:rPr>
                <w:rFonts w:ascii="Times New Roman" w:hAnsi="Times New Roman" w:eastAsia="宋体" w:cs="Times New Roman"/>
                <w:color w:val="auto"/>
                <w:kern w:val="0"/>
              </w:rPr>
            </w:pPr>
            <w:r>
              <w:rPr>
                <w:rFonts w:ascii="Times New Roman" w:hAnsi="Times New Roman" w:eastAsia="宋体" w:cs="Times New Roman"/>
                <w:color w:val="auto"/>
              </w:rPr>
              <w:t>临现有</w:t>
            </w:r>
            <w:r>
              <w:rPr>
                <w:rFonts w:hint="eastAsia" w:ascii="Times New Roman" w:hAnsi="Times New Roman" w:eastAsia="宋体" w:cs="Times New Roman"/>
                <w:color w:val="auto"/>
              </w:rPr>
              <w:t>G219</w:t>
            </w:r>
            <w:r>
              <w:rPr>
                <w:rFonts w:ascii="Times New Roman" w:hAnsi="Times New Roman" w:eastAsia="宋体" w:cs="Times New Roman"/>
                <w:color w:val="auto"/>
              </w:rPr>
              <w:t>第一排房</w:t>
            </w:r>
            <w:r>
              <w:rPr>
                <w:rFonts w:hint="eastAsia" w:ascii="Times New Roman" w:hAnsi="Times New Roman" w:eastAsia="宋体" w:cs="Times New Roman"/>
                <w:color w:val="auto"/>
              </w:rPr>
              <w:t>1</w:t>
            </w:r>
            <w:r>
              <w:rPr>
                <w:rFonts w:ascii="Times New Roman" w:hAnsi="Times New Roman" w:eastAsia="宋体" w:cs="Times New Roman"/>
                <w:color w:val="auto"/>
              </w:rPr>
              <w:t>层</w:t>
            </w:r>
          </w:p>
        </w:tc>
        <w:tc>
          <w:tcPr>
            <w:tcW w:w="504" w:type="pct"/>
            <w:noWrap/>
            <w:vAlign w:val="center"/>
          </w:tcPr>
          <w:p w14:paraId="35812C19">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2026.4.23</w:t>
            </w:r>
          </w:p>
        </w:tc>
        <w:tc>
          <w:tcPr>
            <w:tcW w:w="302" w:type="pct"/>
            <w:vAlign w:val="center"/>
          </w:tcPr>
          <w:p w14:paraId="2A79FD12">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昼间</w:t>
            </w:r>
          </w:p>
        </w:tc>
        <w:tc>
          <w:tcPr>
            <w:tcW w:w="504" w:type="pct"/>
            <w:vAlign w:val="center"/>
          </w:tcPr>
          <w:p w14:paraId="563D1988">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54</w:t>
            </w:r>
          </w:p>
        </w:tc>
        <w:tc>
          <w:tcPr>
            <w:tcW w:w="338" w:type="pct"/>
            <w:noWrap/>
            <w:vAlign w:val="center"/>
          </w:tcPr>
          <w:p w14:paraId="2742DE72">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50</w:t>
            </w:r>
          </w:p>
        </w:tc>
        <w:tc>
          <w:tcPr>
            <w:tcW w:w="338" w:type="pct"/>
            <w:noWrap/>
            <w:vAlign w:val="center"/>
          </w:tcPr>
          <w:p w14:paraId="494A277F">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24</w:t>
            </w:r>
          </w:p>
        </w:tc>
        <w:tc>
          <w:tcPr>
            <w:tcW w:w="338" w:type="pct"/>
            <w:noWrap/>
            <w:vAlign w:val="center"/>
          </w:tcPr>
          <w:p w14:paraId="4D1E614B">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114</w:t>
            </w:r>
          </w:p>
        </w:tc>
        <w:tc>
          <w:tcPr>
            <w:tcW w:w="345" w:type="pct"/>
            <w:vMerge w:val="restart"/>
            <w:noWrap/>
            <w:vAlign w:val="center"/>
          </w:tcPr>
          <w:p w14:paraId="5FB09B39">
            <w:pPr>
              <w:spacing w:line="240" w:lineRule="exact"/>
              <w:jc w:val="center"/>
              <w:rPr>
                <w:rFonts w:ascii="Times New Roman" w:hAnsi="Times New Roman" w:eastAsia="宋体" w:cs="Times New Roman"/>
                <w:color w:val="auto"/>
                <w:kern w:val="0"/>
              </w:rPr>
            </w:pPr>
            <w:r>
              <w:rPr>
                <w:rFonts w:ascii="Times New Roman" w:hAnsi="Times New Roman" w:eastAsia="宋体" w:cs="Times New Roman"/>
                <w:color w:val="auto"/>
                <w:kern w:val="0"/>
              </w:rPr>
              <w:t>4a类</w:t>
            </w:r>
          </w:p>
        </w:tc>
        <w:tc>
          <w:tcPr>
            <w:tcW w:w="376" w:type="pct"/>
            <w:noWrap/>
            <w:vAlign w:val="center"/>
          </w:tcPr>
          <w:p w14:paraId="323F5920">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7F020CC5">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4" w:type="pct"/>
            <w:vMerge w:val="continue"/>
            <w:vAlign w:val="center"/>
          </w:tcPr>
          <w:p w14:paraId="7708006A">
            <w:pPr>
              <w:spacing w:line="240" w:lineRule="exact"/>
              <w:jc w:val="center"/>
              <w:rPr>
                <w:rFonts w:ascii="Times New Roman" w:hAnsi="Times New Roman" w:eastAsia="宋体" w:cs="Times New Roman"/>
                <w:color w:val="auto"/>
                <w:kern w:val="0"/>
              </w:rPr>
            </w:pPr>
          </w:p>
        </w:tc>
        <w:tc>
          <w:tcPr>
            <w:tcW w:w="481" w:type="pct"/>
            <w:vMerge w:val="continue"/>
            <w:vAlign w:val="center"/>
          </w:tcPr>
          <w:p w14:paraId="663E520C">
            <w:pPr>
              <w:spacing w:line="240" w:lineRule="exact"/>
              <w:jc w:val="center"/>
              <w:rPr>
                <w:rFonts w:ascii="Times New Roman" w:hAnsi="Times New Roman" w:eastAsia="宋体" w:cs="Times New Roman"/>
                <w:color w:val="auto"/>
                <w:kern w:val="0"/>
              </w:rPr>
            </w:pPr>
          </w:p>
        </w:tc>
        <w:tc>
          <w:tcPr>
            <w:tcW w:w="403" w:type="pct"/>
            <w:vMerge w:val="continue"/>
            <w:vAlign w:val="center"/>
          </w:tcPr>
          <w:p w14:paraId="72017D11">
            <w:pPr>
              <w:spacing w:line="240" w:lineRule="exact"/>
              <w:jc w:val="center"/>
              <w:rPr>
                <w:rFonts w:ascii="Times New Roman" w:hAnsi="Times New Roman" w:eastAsia="宋体" w:cs="Times New Roman"/>
                <w:color w:val="auto"/>
                <w:kern w:val="0"/>
              </w:rPr>
            </w:pPr>
          </w:p>
        </w:tc>
        <w:tc>
          <w:tcPr>
            <w:tcW w:w="807" w:type="pct"/>
            <w:vMerge w:val="continue"/>
            <w:vAlign w:val="center"/>
          </w:tcPr>
          <w:p w14:paraId="23A16166">
            <w:pPr>
              <w:spacing w:line="240" w:lineRule="exact"/>
              <w:jc w:val="center"/>
              <w:rPr>
                <w:rFonts w:ascii="Times New Roman" w:hAnsi="Times New Roman" w:eastAsia="宋体" w:cs="Times New Roman"/>
                <w:color w:val="auto"/>
                <w:kern w:val="0"/>
              </w:rPr>
            </w:pPr>
          </w:p>
        </w:tc>
        <w:tc>
          <w:tcPr>
            <w:tcW w:w="504" w:type="pct"/>
            <w:noWrap/>
            <w:vAlign w:val="center"/>
          </w:tcPr>
          <w:p w14:paraId="466937A0">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2026.4.24</w:t>
            </w:r>
          </w:p>
        </w:tc>
        <w:tc>
          <w:tcPr>
            <w:tcW w:w="302" w:type="pct"/>
            <w:vAlign w:val="center"/>
          </w:tcPr>
          <w:p w14:paraId="09A1CC35">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夜间</w:t>
            </w:r>
          </w:p>
        </w:tc>
        <w:tc>
          <w:tcPr>
            <w:tcW w:w="504" w:type="pct"/>
            <w:vAlign w:val="center"/>
          </w:tcPr>
          <w:p w14:paraId="71BAF3A1">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48</w:t>
            </w:r>
          </w:p>
        </w:tc>
        <w:tc>
          <w:tcPr>
            <w:tcW w:w="338" w:type="pct"/>
            <w:noWrap/>
            <w:vAlign w:val="center"/>
          </w:tcPr>
          <w:p w14:paraId="16AA8755">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25</w:t>
            </w:r>
          </w:p>
        </w:tc>
        <w:tc>
          <w:tcPr>
            <w:tcW w:w="338" w:type="pct"/>
            <w:noWrap/>
            <w:vAlign w:val="center"/>
          </w:tcPr>
          <w:p w14:paraId="71C395C1">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12</w:t>
            </w:r>
          </w:p>
        </w:tc>
        <w:tc>
          <w:tcPr>
            <w:tcW w:w="338" w:type="pct"/>
            <w:noWrap/>
            <w:vAlign w:val="center"/>
          </w:tcPr>
          <w:p w14:paraId="30ED4AC4">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33</w:t>
            </w:r>
          </w:p>
        </w:tc>
        <w:tc>
          <w:tcPr>
            <w:tcW w:w="345" w:type="pct"/>
            <w:vMerge w:val="continue"/>
            <w:noWrap/>
            <w:vAlign w:val="center"/>
          </w:tcPr>
          <w:p w14:paraId="43A1F9A6">
            <w:pPr>
              <w:spacing w:line="240" w:lineRule="exact"/>
              <w:jc w:val="center"/>
              <w:rPr>
                <w:rFonts w:ascii="Times New Roman" w:hAnsi="Times New Roman" w:eastAsia="宋体" w:cs="Times New Roman"/>
                <w:color w:val="auto"/>
                <w:kern w:val="0"/>
              </w:rPr>
            </w:pPr>
          </w:p>
        </w:tc>
        <w:tc>
          <w:tcPr>
            <w:tcW w:w="376" w:type="pct"/>
            <w:noWrap/>
            <w:vAlign w:val="center"/>
          </w:tcPr>
          <w:p w14:paraId="4B239D93">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5E7E69EE">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4" w:type="pct"/>
            <w:vMerge w:val="continue"/>
            <w:vAlign w:val="center"/>
          </w:tcPr>
          <w:p w14:paraId="777EF88A">
            <w:pPr>
              <w:spacing w:line="240" w:lineRule="exact"/>
              <w:jc w:val="center"/>
              <w:rPr>
                <w:rFonts w:ascii="Times New Roman" w:hAnsi="Times New Roman" w:eastAsia="宋体" w:cs="Times New Roman"/>
                <w:color w:val="auto"/>
                <w:kern w:val="0"/>
              </w:rPr>
            </w:pPr>
          </w:p>
        </w:tc>
        <w:tc>
          <w:tcPr>
            <w:tcW w:w="481" w:type="pct"/>
            <w:vMerge w:val="continue"/>
            <w:vAlign w:val="center"/>
          </w:tcPr>
          <w:p w14:paraId="5A9168E4">
            <w:pPr>
              <w:spacing w:line="240" w:lineRule="exact"/>
              <w:jc w:val="center"/>
              <w:rPr>
                <w:rFonts w:ascii="Times New Roman" w:hAnsi="Times New Roman" w:eastAsia="宋体" w:cs="Times New Roman"/>
                <w:color w:val="auto"/>
                <w:kern w:val="0"/>
              </w:rPr>
            </w:pPr>
          </w:p>
        </w:tc>
        <w:tc>
          <w:tcPr>
            <w:tcW w:w="403" w:type="pct"/>
            <w:vMerge w:val="continue"/>
            <w:vAlign w:val="center"/>
          </w:tcPr>
          <w:p w14:paraId="3E3B6396">
            <w:pPr>
              <w:spacing w:line="240" w:lineRule="exact"/>
              <w:jc w:val="center"/>
              <w:rPr>
                <w:rFonts w:ascii="Times New Roman" w:hAnsi="Times New Roman" w:eastAsia="宋体" w:cs="Times New Roman"/>
                <w:color w:val="auto"/>
                <w:kern w:val="0"/>
              </w:rPr>
            </w:pPr>
          </w:p>
        </w:tc>
        <w:tc>
          <w:tcPr>
            <w:tcW w:w="807" w:type="pct"/>
            <w:vMerge w:val="continue"/>
            <w:vAlign w:val="center"/>
          </w:tcPr>
          <w:p w14:paraId="29FE488F">
            <w:pPr>
              <w:spacing w:line="240" w:lineRule="exact"/>
              <w:jc w:val="center"/>
              <w:rPr>
                <w:rFonts w:ascii="Times New Roman" w:hAnsi="Times New Roman" w:eastAsia="宋体" w:cs="Times New Roman"/>
                <w:color w:val="auto"/>
                <w:kern w:val="0"/>
              </w:rPr>
            </w:pPr>
          </w:p>
        </w:tc>
        <w:tc>
          <w:tcPr>
            <w:tcW w:w="504" w:type="pct"/>
            <w:noWrap/>
            <w:vAlign w:val="center"/>
          </w:tcPr>
          <w:p w14:paraId="6857AA01">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2026.4.24</w:t>
            </w:r>
          </w:p>
        </w:tc>
        <w:tc>
          <w:tcPr>
            <w:tcW w:w="302" w:type="pct"/>
            <w:vAlign w:val="center"/>
          </w:tcPr>
          <w:p w14:paraId="726C5D6D">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昼间</w:t>
            </w:r>
          </w:p>
        </w:tc>
        <w:tc>
          <w:tcPr>
            <w:tcW w:w="504" w:type="pct"/>
            <w:vAlign w:val="center"/>
          </w:tcPr>
          <w:p w14:paraId="69C3C779">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56</w:t>
            </w:r>
          </w:p>
        </w:tc>
        <w:tc>
          <w:tcPr>
            <w:tcW w:w="338" w:type="pct"/>
            <w:noWrap/>
            <w:vAlign w:val="center"/>
          </w:tcPr>
          <w:p w14:paraId="75362C15">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47</w:t>
            </w:r>
          </w:p>
        </w:tc>
        <w:tc>
          <w:tcPr>
            <w:tcW w:w="338" w:type="pct"/>
            <w:noWrap/>
            <w:vAlign w:val="center"/>
          </w:tcPr>
          <w:p w14:paraId="79578871">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21</w:t>
            </w:r>
          </w:p>
        </w:tc>
        <w:tc>
          <w:tcPr>
            <w:tcW w:w="338" w:type="pct"/>
            <w:noWrap/>
            <w:vAlign w:val="center"/>
          </w:tcPr>
          <w:p w14:paraId="3588E471">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123</w:t>
            </w:r>
          </w:p>
        </w:tc>
        <w:tc>
          <w:tcPr>
            <w:tcW w:w="345" w:type="pct"/>
            <w:vMerge w:val="continue"/>
            <w:noWrap/>
            <w:vAlign w:val="center"/>
          </w:tcPr>
          <w:p w14:paraId="1B061CD8">
            <w:pPr>
              <w:spacing w:line="240" w:lineRule="exact"/>
              <w:jc w:val="center"/>
              <w:rPr>
                <w:rFonts w:ascii="Times New Roman" w:hAnsi="Times New Roman" w:eastAsia="宋体" w:cs="Times New Roman"/>
                <w:color w:val="auto"/>
                <w:kern w:val="0"/>
              </w:rPr>
            </w:pPr>
          </w:p>
        </w:tc>
        <w:tc>
          <w:tcPr>
            <w:tcW w:w="376" w:type="pct"/>
            <w:noWrap/>
            <w:vAlign w:val="center"/>
          </w:tcPr>
          <w:p w14:paraId="529D151B">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6EFDD215">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4" w:type="pct"/>
            <w:vMerge w:val="continue"/>
            <w:vAlign w:val="center"/>
          </w:tcPr>
          <w:p w14:paraId="70A2BAFF">
            <w:pPr>
              <w:spacing w:line="240" w:lineRule="exact"/>
              <w:jc w:val="center"/>
              <w:rPr>
                <w:rFonts w:ascii="Times New Roman" w:hAnsi="Times New Roman" w:eastAsia="宋体" w:cs="Times New Roman"/>
                <w:color w:val="auto"/>
                <w:kern w:val="0"/>
              </w:rPr>
            </w:pPr>
          </w:p>
        </w:tc>
        <w:tc>
          <w:tcPr>
            <w:tcW w:w="481" w:type="pct"/>
            <w:vMerge w:val="continue"/>
            <w:vAlign w:val="center"/>
          </w:tcPr>
          <w:p w14:paraId="705AA111">
            <w:pPr>
              <w:spacing w:line="240" w:lineRule="exact"/>
              <w:jc w:val="center"/>
              <w:rPr>
                <w:rFonts w:ascii="Times New Roman" w:hAnsi="Times New Roman" w:eastAsia="宋体" w:cs="Times New Roman"/>
                <w:color w:val="auto"/>
                <w:kern w:val="0"/>
              </w:rPr>
            </w:pPr>
          </w:p>
        </w:tc>
        <w:tc>
          <w:tcPr>
            <w:tcW w:w="403" w:type="pct"/>
            <w:vMerge w:val="continue"/>
            <w:vAlign w:val="center"/>
          </w:tcPr>
          <w:p w14:paraId="246D2E9F">
            <w:pPr>
              <w:spacing w:line="240" w:lineRule="exact"/>
              <w:jc w:val="center"/>
              <w:rPr>
                <w:rFonts w:ascii="Times New Roman" w:hAnsi="Times New Roman" w:eastAsia="宋体" w:cs="Times New Roman"/>
                <w:color w:val="auto"/>
                <w:kern w:val="0"/>
              </w:rPr>
            </w:pPr>
          </w:p>
        </w:tc>
        <w:tc>
          <w:tcPr>
            <w:tcW w:w="807" w:type="pct"/>
            <w:vMerge w:val="continue"/>
            <w:vAlign w:val="center"/>
          </w:tcPr>
          <w:p w14:paraId="254A3127">
            <w:pPr>
              <w:spacing w:line="240" w:lineRule="exact"/>
              <w:jc w:val="center"/>
              <w:rPr>
                <w:rFonts w:ascii="Times New Roman" w:hAnsi="Times New Roman" w:eastAsia="宋体" w:cs="Times New Roman"/>
                <w:color w:val="auto"/>
                <w:kern w:val="0"/>
              </w:rPr>
            </w:pPr>
          </w:p>
        </w:tc>
        <w:tc>
          <w:tcPr>
            <w:tcW w:w="504" w:type="pct"/>
            <w:noWrap/>
            <w:vAlign w:val="center"/>
          </w:tcPr>
          <w:p w14:paraId="54268968">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2026.4.25</w:t>
            </w:r>
          </w:p>
        </w:tc>
        <w:tc>
          <w:tcPr>
            <w:tcW w:w="302" w:type="pct"/>
            <w:vAlign w:val="center"/>
          </w:tcPr>
          <w:p w14:paraId="2E86B6C4">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夜间</w:t>
            </w:r>
          </w:p>
        </w:tc>
        <w:tc>
          <w:tcPr>
            <w:tcW w:w="504" w:type="pct"/>
            <w:vAlign w:val="center"/>
          </w:tcPr>
          <w:p w14:paraId="77EB54F8">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49</w:t>
            </w:r>
          </w:p>
        </w:tc>
        <w:tc>
          <w:tcPr>
            <w:tcW w:w="338" w:type="pct"/>
            <w:noWrap/>
            <w:vAlign w:val="center"/>
          </w:tcPr>
          <w:p w14:paraId="42EDDFF4">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24</w:t>
            </w:r>
          </w:p>
        </w:tc>
        <w:tc>
          <w:tcPr>
            <w:tcW w:w="338" w:type="pct"/>
            <w:noWrap/>
            <w:vAlign w:val="center"/>
          </w:tcPr>
          <w:p w14:paraId="1EE6AC9D">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15</w:t>
            </w:r>
          </w:p>
        </w:tc>
        <w:tc>
          <w:tcPr>
            <w:tcW w:w="338" w:type="pct"/>
            <w:noWrap/>
            <w:vAlign w:val="center"/>
          </w:tcPr>
          <w:p w14:paraId="3A4CE33E">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27</w:t>
            </w:r>
          </w:p>
        </w:tc>
        <w:tc>
          <w:tcPr>
            <w:tcW w:w="345" w:type="pct"/>
            <w:vMerge w:val="continue"/>
            <w:noWrap/>
            <w:vAlign w:val="center"/>
          </w:tcPr>
          <w:p w14:paraId="676A9EAE">
            <w:pPr>
              <w:spacing w:line="240" w:lineRule="exact"/>
              <w:jc w:val="center"/>
              <w:rPr>
                <w:rFonts w:ascii="Times New Roman" w:hAnsi="Times New Roman" w:eastAsia="宋体" w:cs="Times New Roman"/>
                <w:color w:val="auto"/>
                <w:kern w:val="0"/>
              </w:rPr>
            </w:pPr>
          </w:p>
        </w:tc>
        <w:tc>
          <w:tcPr>
            <w:tcW w:w="376" w:type="pct"/>
            <w:noWrap/>
            <w:vAlign w:val="center"/>
          </w:tcPr>
          <w:p w14:paraId="4B935256">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70DB4876">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4" w:type="pct"/>
            <w:vMerge w:val="continue"/>
            <w:vAlign w:val="center"/>
          </w:tcPr>
          <w:p w14:paraId="0AB8C126">
            <w:pPr>
              <w:spacing w:line="240" w:lineRule="exact"/>
              <w:jc w:val="center"/>
              <w:rPr>
                <w:rFonts w:ascii="Times New Roman" w:hAnsi="Times New Roman" w:eastAsia="宋体" w:cs="Times New Roman"/>
                <w:color w:val="auto"/>
                <w:kern w:val="0"/>
              </w:rPr>
            </w:pPr>
          </w:p>
        </w:tc>
        <w:tc>
          <w:tcPr>
            <w:tcW w:w="481" w:type="pct"/>
            <w:vMerge w:val="continue"/>
            <w:vAlign w:val="center"/>
          </w:tcPr>
          <w:p w14:paraId="73D49F93">
            <w:pPr>
              <w:spacing w:line="240" w:lineRule="exact"/>
              <w:jc w:val="center"/>
              <w:rPr>
                <w:rFonts w:ascii="Times New Roman" w:hAnsi="Times New Roman" w:eastAsia="宋体" w:cs="Times New Roman"/>
                <w:color w:val="auto"/>
                <w:kern w:val="0"/>
              </w:rPr>
            </w:pPr>
          </w:p>
        </w:tc>
        <w:tc>
          <w:tcPr>
            <w:tcW w:w="403" w:type="pct"/>
            <w:vMerge w:val="continue"/>
            <w:vAlign w:val="center"/>
          </w:tcPr>
          <w:p w14:paraId="2C4650B1">
            <w:pPr>
              <w:spacing w:line="240" w:lineRule="exact"/>
              <w:jc w:val="center"/>
              <w:rPr>
                <w:rFonts w:ascii="Times New Roman" w:hAnsi="Times New Roman" w:eastAsia="宋体" w:cs="Times New Roman"/>
                <w:color w:val="auto"/>
                <w:kern w:val="0"/>
              </w:rPr>
            </w:pPr>
          </w:p>
        </w:tc>
        <w:tc>
          <w:tcPr>
            <w:tcW w:w="807" w:type="pct"/>
            <w:vMerge w:val="restart"/>
            <w:vAlign w:val="center"/>
          </w:tcPr>
          <w:p w14:paraId="2219BB55">
            <w:pPr>
              <w:spacing w:line="240" w:lineRule="exact"/>
              <w:jc w:val="center"/>
              <w:rPr>
                <w:rFonts w:ascii="Times New Roman" w:hAnsi="Times New Roman" w:eastAsia="宋体" w:cs="Times New Roman"/>
                <w:color w:val="auto"/>
                <w:kern w:val="0"/>
              </w:rPr>
            </w:pPr>
            <w:r>
              <w:rPr>
                <w:rFonts w:ascii="Times New Roman" w:hAnsi="Times New Roman" w:eastAsia="宋体" w:cs="Times New Roman"/>
                <w:color w:val="auto"/>
              </w:rPr>
              <w:t>临现有</w:t>
            </w:r>
            <w:r>
              <w:rPr>
                <w:rFonts w:hint="eastAsia" w:ascii="Times New Roman" w:hAnsi="Times New Roman" w:eastAsia="宋体" w:cs="Times New Roman"/>
                <w:color w:val="auto"/>
              </w:rPr>
              <w:t>G219</w:t>
            </w:r>
            <w:r>
              <w:rPr>
                <w:rFonts w:ascii="Times New Roman" w:hAnsi="Times New Roman" w:eastAsia="宋体" w:cs="Times New Roman"/>
                <w:color w:val="auto"/>
              </w:rPr>
              <w:t>边界</w:t>
            </w:r>
            <w:r>
              <w:rPr>
                <w:rFonts w:hint="eastAsia" w:ascii="Times New Roman" w:hAnsi="Times New Roman" w:eastAsia="宋体" w:cs="Times New Roman"/>
                <w:color w:val="auto"/>
              </w:rPr>
              <w:t>35</w:t>
            </w:r>
            <w:r>
              <w:rPr>
                <w:rFonts w:ascii="Times New Roman" w:hAnsi="Times New Roman" w:eastAsia="宋体" w:cs="Times New Roman"/>
                <w:color w:val="auto"/>
              </w:rPr>
              <w:t>m外第一排房</w:t>
            </w:r>
            <w:r>
              <w:rPr>
                <w:rFonts w:hint="eastAsia" w:ascii="Times New Roman" w:hAnsi="Times New Roman" w:eastAsia="宋体" w:cs="Times New Roman"/>
                <w:color w:val="auto"/>
              </w:rPr>
              <w:t>1</w:t>
            </w:r>
            <w:r>
              <w:rPr>
                <w:rFonts w:ascii="Times New Roman" w:hAnsi="Times New Roman" w:eastAsia="宋体" w:cs="Times New Roman"/>
                <w:color w:val="auto"/>
              </w:rPr>
              <w:t>层</w:t>
            </w:r>
          </w:p>
        </w:tc>
        <w:tc>
          <w:tcPr>
            <w:tcW w:w="504" w:type="pct"/>
            <w:noWrap/>
            <w:vAlign w:val="center"/>
          </w:tcPr>
          <w:p w14:paraId="16D8B873">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2026.4.23</w:t>
            </w:r>
          </w:p>
        </w:tc>
        <w:tc>
          <w:tcPr>
            <w:tcW w:w="302" w:type="pct"/>
            <w:vAlign w:val="center"/>
          </w:tcPr>
          <w:p w14:paraId="602978FF">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昼间</w:t>
            </w:r>
          </w:p>
        </w:tc>
        <w:tc>
          <w:tcPr>
            <w:tcW w:w="504" w:type="pct"/>
            <w:vAlign w:val="center"/>
          </w:tcPr>
          <w:p w14:paraId="5FC42E0B">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50</w:t>
            </w:r>
          </w:p>
        </w:tc>
        <w:tc>
          <w:tcPr>
            <w:tcW w:w="338" w:type="pct"/>
            <w:noWrap/>
            <w:vAlign w:val="center"/>
          </w:tcPr>
          <w:p w14:paraId="07F06FBF">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50</w:t>
            </w:r>
          </w:p>
        </w:tc>
        <w:tc>
          <w:tcPr>
            <w:tcW w:w="338" w:type="pct"/>
            <w:noWrap/>
            <w:vAlign w:val="center"/>
          </w:tcPr>
          <w:p w14:paraId="29510D47">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24</w:t>
            </w:r>
          </w:p>
        </w:tc>
        <w:tc>
          <w:tcPr>
            <w:tcW w:w="338" w:type="pct"/>
            <w:noWrap/>
            <w:vAlign w:val="center"/>
          </w:tcPr>
          <w:p w14:paraId="54F6FEB6">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114</w:t>
            </w:r>
          </w:p>
        </w:tc>
        <w:tc>
          <w:tcPr>
            <w:tcW w:w="345" w:type="pct"/>
            <w:vMerge w:val="restart"/>
            <w:noWrap/>
            <w:vAlign w:val="center"/>
          </w:tcPr>
          <w:p w14:paraId="436558D6">
            <w:pPr>
              <w:spacing w:line="240" w:lineRule="exact"/>
              <w:jc w:val="center"/>
              <w:rPr>
                <w:rFonts w:ascii="Times New Roman" w:hAnsi="Times New Roman" w:eastAsia="宋体" w:cs="Times New Roman"/>
                <w:color w:val="auto"/>
                <w:kern w:val="0"/>
              </w:rPr>
            </w:pPr>
            <w:r>
              <w:rPr>
                <w:rFonts w:ascii="Times New Roman" w:hAnsi="Times New Roman" w:eastAsia="宋体" w:cs="Times New Roman"/>
                <w:color w:val="auto"/>
                <w:kern w:val="0"/>
              </w:rPr>
              <w:t>2类</w:t>
            </w:r>
          </w:p>
        </w:tc>
        <w:tc>
          <w:tcPr>
            <w:tcW w:w="376" w:type="pct"/>
            <w:noWrap/>
            <w:vAlign w:val="center"/>
          </w:tcPr>
          <w:p w14:paraId="1F5CA278">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4BA142C1">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4" w:type="pct"/>
            <w:vMerge w:val="continue"/>
            <w:vAlign w:val="center"/>
          </w:tcPr>
          <w:p w14:paraId="63940D1A">
            <w:pPr>
              <w:spacing w:line="240" w:lineRule="exact"/>
              <w:jc w:val="center"/>
              <w:rPr>
                <w:rFonts w:ascii="Times New Roman" w:hAnsi="Times New Roman" w:eastAsia="宋体" w:cs="Times New Roman"/>
                <w:color w:val="auto"/>
                <w:kern w:val="0"/>
              </w:rPr>
            </w:pPr>
          </w:p>
        </w:tc>
        <w:tc>
          <w:tcPr>
            <w:tcW w:w="481" w:type="pct"/>
            <w:vMerge w:val="continue"/>
            <w:vAlign w:val="center"/>
          </w:tcPr>
          <w:p w14:paraId="141418D2">
            <w:pPr>
              <w:spacing w:line="240" w:lineRule="exact"/>
              <w:jc w:val="center"/>
              <w:rPr>
                <w:rFonts w:ascii="Times New Roman" w:hAnsi="Times New Roman" w:eastAsia="宋体" w:cs="Times New Roman"/>
                <w:color w:val="auto"/>
                <w:kern w:val="0"/>
              </w:rPr>
            </w:pPr>
          </w:p>
        </w:tc>
        <w:tc>
          <w:tcPr>
            <w:tcW w:w="403" w:type="pct"/>
            <w:vMerge w:val="continue"/>
            <w:vAlign w:val="center"/>
          </w:tcPr>
          <w:p w14:paraId="3EC4BAB3">
            <w:pPr>
              <w:spacing w:line="240" w:lineRule="exact"/>
              <w:jc w:val="center"/>
              <w:rPr>
                <w:rFonts w:ascii="Times New Roman" w:hAnsi="Times New Roman" w:eastAsia="宋体" w:cs="Times New Roman"/>
                <w:color w:val="auto"/>
                <w:kern w:val="0"/>
              </w:rPr>
            </w:pPr>
          </w:p>
        </w:tc>
        <w:tc>
          <w:tcPr>
            <w:tcW w:w="807" w:type="pct"/>
            <w:vMerge w:val="continue"/>
            <w:vAlign w:val="center"/>
          </w:tcPr>
          <w:p w14:paraId="37588A56">
            <w:pPr>
              <w:spacing w:line="240" w:lineRule="exact"/>
              <w:jc w:val="center"/>
              <w:rPr>
                <w:rFonts w:ascii="Times New Roman" w:hAnsi="Times New Roman" w:eastAsia="宋体" w:cs="Times New Roman"/>
                <w:color w:val="auto"/>
                <w:kern w:val="0"/>
              </w:rPr>
            </w:pPr>
          </w:p>
        </w:tc>
        <w:tc>
          <w:tcPr>
            <w:tcW w:w="504" w:type="pct"/>
            <w:noWrap/>
            <w:vAlign w:val="center"/>
          </w:tcPr>
          <w:p w14:paraId="1C7965E2">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2026.4.24</w:t>
            </w:r>
          </w:p>
        </w:tc>
        <w:tc>
          <w:tcPr>
            <w:tcW w:w="302" w:type="pct"/>
            <w:vAlign w:val="center"/>
          </w:tcPr>
          <w:p w14:paraId="5BDD990E">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夜间</w:t>
            </w:r>
          </w:p>
        </w:tc>
        <w:tc>
          <w:tcPr>
            <w:tcW w:w="504" w:type="pct"/>
            <w:vAlign w:val="center"/>
          </w:tcPr>
          <w:p w14:paraId="6661A7E7">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45</w:t>
            </w:r>
          </w:p>
        </w:tc>
        <w:tc>
          <w:tcPr>
            <w:tcW w:w="338" w:type="pct"/>
            <w:noWrap/>
            <w:vAlign w:val="center"/>
          </w:tcPr>
          <w:p w14:paraId="1F47EF26">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25</w:t>
            </w:r>
          </w:p>
        </w:tc>
        <w:tc>
          <w:tcPr>
            <w:tcW w:w="338" w:type="pct"/>
            <w:noWrap/>
            <w:vAlign w:val="center"/>
          </w:tcPr>
          <w:p w14:paraId="387D0D75">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12</w:t>
            </w:r>
          </w:p>
        </w:tc>
        <w:tc>
          <w:tcPr>
            <w:tcW w:w="338" w:type="pct"/>
            <w:noWrap/>
            <w:vAlign w:val="center"/>
          </w:tcPr>
          <w:p w14:paraId="1876A160">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33</w:t>
            </w:r>
          </w:p>
        </w:tc>
        <w:tc>
          <w:tcPr>
            <w:tcW w:w="345" w:type="pct"/>
            <w:vMerge w:val="continue"/>
            <w:noWrap/>
            <w:vAlign w:val="center"/>
          </w:tcPr>
          <w:p w14:paraId="1B372F7C">
            <w:pPr>
              <w:spacing w:line="240" w:lineRule="exact"/>
              <w:jc w:val="center"/>
              <w:rPr>
                <w:rFonts w:ascii="Times New Roman" w:hAnsi="Times New Roman" w:eastAsia="宋体" w:cs="Times New Roman"/>
                <w:color w:val="auto"/>
                <w:kern w:val="0"/>
              </w:rPr>
            </w:pPr>
          </w:p>
        </w:tc>
        <w:tc>
          <w:tcPr>
            <w:tcW w:w="376" w:type="pct"/>
            <w:noWrap/>
            <w:vAlign w:val="center"/>
          </w:tcPr>
          <w:p w14:paraId="7D37C106">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6EADBA85">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4" w:type="pct"/>
            <w:vMerge w:val="continue"/>
            <w:vAlign w:val="center"/>
          </w:tcPr>
          <w:p w14:paraId="6D897E81">
            <w:pPr>
              <w:spacing w:line="240" w:lineRule="exact"/>
              <w:jc w:val="center"/>
              <w:rPr>
                <w:rFonts w:ascii="Times New Roman" w:hAnsi="Times New Roman" w:eastAsia="宋体" w:cs="Times New Roman"/>
                <w:color w:val="auto"/>
                <w:kern w:val="0"/>
              </w:rPr>
            </w:pPr>
          </w:p>
        </w:tc>
        <w:tc>
          <w:tcPr>
            <w:tcW w:w="481" w:type="pct"/>
            <w:vMerge w:val="continue"/>
            <w:vAlign w:val="center"/>
          </w:tcPr>
          <w:p w14:paraId="1895DB55">
            <w:pPr>
              <w:spacing w:line="240" w:lineRule="exact"/>
              <w:jc w:val="center"/>
              <w:rPr>
                <w:rFonts w:ascii="Times New Roman" w:hAnsi="Times New Roman" w:eastAsia="宋体" w:cs="Times New Roman"/>
                <w:color w:val="auto"/>
                <w:kern w:val="0"/>
              </w:rPr>
            </w:pPr>
          </w:p>
        </w:tc>
        <w:tc>
          <w:tcPr>
            <w:tcW w:w="403" w:type="pct"/>
            <w:vMerge w:val="continue"/>
            <w:vAlign w:val="center"/>
          </w:tcPr>
          <w:p w14:paraId="3D7FCB59">
            <w:pPr>
              <w:spacing w:line="240" w:lineRule="exact"/>
              <w:jc w:val="center"/>
              <w:rPr>
                <w:rFonts w:ascii="Times New Roman" w:hAnsi="Times New Roman" w:eastAsia="宋体" w:cs="Times New Roman"/>
                <w:color w:val="auto"/>
                <w:kern w:val="0"/>
              </w:rPr>
            </w:pPr>
          </w:p>
        </w:tc>
        <w:tc>
          <w:tcPr>
            <w:tcW w:w="807" w:type="pct"/>
            <w:vMerge w:val="continue"/>
            <w:vAlign w:val="center"/>
          </w:tcPr>
          <w:p w14:paraId="6548F340">
            <w:pPr>
              <w:spacing w:line="240" w:lineRule="exact"/>
              <w:jc w:val="center"/>
              <w:rPr>
                <w:rFonts w:ascii="Times New Roman" w:hAnsi="Times New Roman" w:eastAsia="宋体" w:cs="Times New Roman"/>
                <w:color w:val="auto"/>
                <w:kern w:val="0"/>
              </w:rPr>
            </w:pPr>
          </w:p>
        </w:tc>
        <w:tc>
          <w:tcPr>
            <w:tcW w:w="504" w:type="pct"/>
            <w:noWrap/>
            <w:vAlign w:val="center"/>
          </w:tcPr>
          <w:p w14:paraId="0009558F">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2026.4.24</w:t>
            </w:r>
          </w:p>
        </w:tc>
        <w:tc>
          <w:tcPr>
            <w:tcW w:w="302" w:type="pct"/>
            <w:vAlign w:val="center"/>
          </w:tcPr>
          <w:p w14:paraId="0AE8F1BE">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昼间</w:t>
            </w:r>
          </w:p>
        </w:tc>
        <w:tc>
          <w:tcPr>
            <w:tcW w:w="504" w:type="pct"/>
            <w:vAlign w:val="center"/>
          </w:tcPr>
          <w:p w14:paraId="2C969BFE">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51</w:t>
            </w:r>
          </w:p>
        </w:tc>
        <w:tc>
          <w:tcPr>
            <w:tcW w:w="338" w:type="pct"/>
            <w:noWrap/>
            <w:vAlign w:val="center"/>
          </w:tcPr>
          <w:p w14:paraId="645FC73E">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47</w:t>
            </w:r>
          </w:p>
        </w:tc>
        <w:tc>
          <w:tcPr>
            <w:tcW w:w="338" w:type="pct"/>
            <w:noWrap/>
            <w:vAlign w:val="center"/>
          </w:tcPr>
          <w:p w14:paraId="6F1E93B5">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21</w:t>
            </w:r>
          </w:p>
        </w:tc>
        <w:tc>
          <w:tcPr>
            <w:tcW w:w="338" w:type="pct"/>
            <w:noWrap/>
            <w:vAlign w:val="center"/>
          </w:tcPr>
          <w:p w14:paraId="66C3E5E6">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123</w:t>
            </w:r>
          </w:p>
        </w:tc>
        <w:tc>
          <w:tcPr>
            <w:tcW w:w="345" w:type="pct"/>
            <w:vMerge w:val="continue"/>
            <w:noWrap/>
            <w:vAlign w:val="center"/>
          </w:tcPr>
          <w:p w14:paraId="5780295E">
            <w:pPr>
              <w:spacing w:line="240" w:lineRule="exact"/>
              <w:jc w:val="center"/>
              <w:rPr>
                <w:rFonts w:ascii="Times New Roman" w:hAnsi="Times New Roman" w:eastAsia="宋体" w:cs="Times New Roman"/>
                <w:color w:val="auto"/>
                <w:kern w:val="0"/>
              </w:rPr>
            </w:pPr>
          </w:p>
        </w:tc>
        <w:tc>
          <w:tcPr>
            <w:tcW w:w="376" w:type="pct"/>
            <w:noWrap/>
            <w:vAlign w:val="center"/>
          </w:tcPr>
          <w:p w14:paraId="0AF4F906">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4FBE0416">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4" w:type="pct"/>
            <w:vMerge w:val="continue"/>
            <w:vAlign w:val="center"/>
          </w:tcPr>
          <w:p w14:paraId="171C82F4">
            <w:pPr>
              <w:spacing w:line="240" w:lineRule="exact"/>
              <w:jc w:val="center"/>
              <w:rPr>
                <w:rFonts w:ascii="Times New Roman" w:hAnsi="Times New Roman" w:eastAsia="宋体" w:cs="Times New Roman"/>
                <w:color w:val="auto"/>
                <w:kern w:val="0"/>
              </w:rPr>
            </w:pPr>
          </w:p>
        </w:tc>
        <w:tc>
          <w:tcPr>
            <w:tcW w:w="481" w:type="pct"/>
            <w:vMerge w:val="continue"/>
            <w:vAlign w:val="center"/>
          </w:tcPr>
          <w:p w14:paraId="3C951910">
            <w:pPr>
              <w:spacing w:line="240" w:lineRule="exact"/>
              <w:jc w:val="center"/>
              <w:rPr>
                <w:rFonts w:ascii="Times New Roman" w:hAnsi="Times New Roman" w:eastAsia="宋体" w:cs="Times New Roman"/>
                <w:color w:val="auto"/>
                <w:kern w:val="0"/>
              </w:rPr>
            </w:pPr>
          </w:p>
        </w:tc>
        <w:tc>
          <w:tcPr>
            <w:tcW w:w="403" w:type="pct"/>
            <w:vMerge w:val="continue"/>
            <w:vAlign w:val="center"/>
          </w:tcPr>
          <w:p w14:paraId="7DE7D988">
            <w:pPr>
              <w:spacing w:line="240" w:lineRule="exact"/>
              <w:jc w:val="center"/>
              <w:rPr>
                <w:rFonts w:ascii="Times New Roman" w:hAnsi="Times New Roman" w:eastAsia="宋体" w:cs="Times New Roman"/>
                <w:color w:val="auto"/>
                <w:kern w:val="0"/>
              </w:rPr>
            </w:pPr>
          </w:p>
        </w:tc>
        <w:tc>
          <w:tcPr>
            <w:tcW w:w="807" w:type="pct"/>
            <w:vMerge w:val="continue"/>
            <w:vAlign w:val="center"/>
          </w:tcPr>
          <w:p w14:paraId="4899E675">
            <w:pPr>
              <w:spacing w:line="240" w:lineRule="exact"/>
              <w:jc w:val="center"/>
              <w:rPr>
                <w:rFonts w:ascii="Times New Roman" w:hAnsi="Times New Roman" w:eastAsia="宋体" w:cs="Times New Roman"/>
                <w:color w:val="auto"/>
                <w:kern w:val="0"/>
              </w:rPr>
            </w:pPr>
          </w:p>
        </w:tc>
        <w:tc>
          <w:tcPr>
            <w:tcW w:w="504" w:type="pct"/>
            <w:noWrap/>
            <w:vAlign w:val="center"/>
          </w:tcPr>
          <w:p w14:paraId="0D3577C4">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2026.4.25</w:t>
            </w:r>
          </w:p>
        </w:tc>
        <w:tc>
          <w:tcPr>
            <w:tcW w:w="302" w:type="pct"/>
            <w:vAlign w:val="center"/>
          </w:tcPr>
          <w:p w14:paraId="1678BBF3">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夜间</w:t>
            </w:r>
          </w:p>
        </w:tc>
        <w:tc>
          <w:tcPr>
            <w:tcW w:w="504" w:type="pct"/>
            <w:vAlign w:val="center"/>
          </w:tcPr>
          <w:p w14:paraId="07482596">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46</w:t>
            </w:r>
          </w:p>
        </w:tc>
        <w:tc>
          <w:tcPr>
            <w:tcW w:w="338" w:type="pct"/>
            <w:noWrap/>
            <w:vAlign w:val="center"/>
          </w:tcPr>
          <w:p w14:paraId="438BC0FE">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24</w:t>
            </w:r>
          </w:p>
        </w:tc>
        <w:tc>
          <w:tcPr>
            <w:tcW w:w="338" w:type="pct"/>
            <w:noWrap/>
            <w:vAlign w:val="center"/>
          </w:tcPr>
          <w:p w14:paraId="6FB911C8">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15</w:t>
            </w:r>
          </w:p>
        </w:tc>
        <w:tc>
          <w:tcPr>
            <w:tcW w:w="338" w:type="pct"/>
            <w:noWrap/>
            <w:vAlign w:val="center"/>
          </w:tcPr>
          <w:p w14:paraId="71DD6F1C">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27</w:t>
            </w:r>
          </w:p>
        </w:tc>
        <w:tc>
          <w:tcPr>
            <w:tcW w:w="345" w:type="pct"/>
            <w:vMerge w:val="continue"/>
            <w:noWrap/>
            <w:vAlign w:val="center"/>
          </w:tcPr>
          <w:p w14:paraId="2D25A95C">
            <w:pPr>
              <w:spacing w:line="240" w:lineRule="exact"/>
              <w:jc w:val="center"/>
              <w:rPr>
                <w:rFonts w:ascii="Times New Roman" w:hAnsi="Times New Roman" w:eastAsia="宋体" w:cs="Times New Roman"/>
                <w:color w:val="auto"/>
                <w:kern w:val="0"/>
              </w:rPr>
            </w:pPr>
          </w:p>
        </w:tc>
        <w:tc>
          <w:tcPr>
            <w:tcW w:w="376" w:type="pct"/>
            <w:noWrap/>
            <w:vAlign w:val="center"/>
          </w:tcPr>
          <w:p w14:paraId="5D0B0CEC">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384613E2">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4" w:type="pct"/>
            <w:vMerge w:val="continue"/>
            <w:noWrap/>
            <w:vAlign w:val="center"/>
          </w:tcPr>
          <w:p w14:paraId="31D890DD">
            <w:pPr>
              <w:spacing w:line="240" w:lineRule="exact"/>
              <w:jc w:val="center"/>
              <w:rPr>
                <w:rFonts w:ascii="Times New Roman" w:hAnsi="Times New Roman" w:eastAsia="宋体" w:cs="Times New Roman"/>
                <w:color w:val="auto"/>
                <w:kern w:val="0"/>
              </w:rPr>
            </w:pPr>
          </w:p>
        </w:tc>
        <w:tc>
          <w:tcPr>
            <w:tcW w:w="481" w:type="pct"/>
            <w:vMerge w:val="continue"/>
            <w:noWrap/>
            <w:vAlign w:val="center"/>
          </w:tcPr>
          <w:p w14:paraId="4491F7B7">
            <w:pPr>
              <w:spacing w:line="240" w:lineRule="exact"/>
              <w:jc w:val="center"/>
              <w:rPr>
                <w:rFonts w:ascii="Times New Roman" w:hAnsi="Times New Roman" w:eastAsia="宋体" w:cs="Times New Roman"/>
                <w:color w:val="auto"/>
                <w:kern w:val="0"/>
              </w:rPr>
            </w:pPr>
          </w:p>
        </w:tc>
        <w:tc>
          <w:tcPr>
            <w:tcW w:w="403" w:type="pct"/>
            <w:vMerge w:val="restart"/>
            <w:vAlign w:val="center"/>
          </w:tcPr>
          <w:p w14:paraId="0854C354">
            <w:pPr>
              <w:spacing w:line="240" w:lineRule="exact"/>
              <w:jc w:val="center"/>
              <w:rPr>
                <w:rFonts w:ascii="Times New Roman" w:hAnsi="Times New Roman" w:eastAsia="宋体" w:cs="Times New Roman"/>
                <w:color w:val="auto"/>
                <w:kern w:val="0"/>
              </w:rPr>
            </w:pPr>
            <w:r>
              <w:rPr>
                <w:rFonts w:ascii="Times New Roman" w:hAnsi="Times New Roman" w:eastAsia="宋体" w:cs="Times New Roman"/>
                <w:color w:val="auto"/>
                <w:kern w:val="0"/>
              </w:rPr>
              <w:t>背景噪声</w:t>
            </w:r>
          </w:p>
        </w:tc>
        <w:tc>
          <w:tcPr>
            <w:tcW w:w="807" w:type="pct"/>
            <w:vMerge w:val="restart"/>
            <w:vAlign w:val="center"/>
          </w:tcPr>
          <w:p w14:paraId="5BCF27DA">
            <w:pPr>
              <w:spacing w:line="240" w:lineRule="exact"/>
              <w:jc w:val="center"/>
              <w:rPr>
                <w:rFonts w:ascii="Times New Roman" w:hAnsi="Times New Roman" w:eastAsia="宋体" w:cs="Times New Roman"/>
                <w:color w:val="auto"/>
                <w:kern w:val="0"/>
              </w:rPr>
            </w:pPr>
            <w:r>
              <w:rPr>
                <w:rFonts w:hint="eastAsia" w:ascii="Times New Roman" w:hAnsi="Times New Roman" w:eastAsia="宋体" w:cs="Times New Roman"/>
                <w:color w:val="auto"/>
                <w:szCs w:val="21"/>
              </w:rPr>
              <w:t>远离现有G219</w:t>
            </w:r>
            <w:r>
              <w:rPr>
                <w:rFonts w:ascii="Times New Roman" w:hAnsi="Times New Roman" w:eastAsia="宋体" w:cs="Times New Roman"/>
                <w:color w:val="auto"/>
                <w:kern w:val="0"/>
                <w:szCs w:val="21"/>
              </w:rPr>
              <w:t>公路200m外</w:t>
            </w:r>
          </w:p>
        </w:tc>
        <w:tc>
          <w:tcPr>
            <w:tcW w:w="504" w:type="pct"/>
            <w:noWrap/>
            <w:vAlign w:val="center"/>
          </w:tcPr>
          <w:p w14:paraId="65163167">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2026.4.23</w:t>
            </w:r>
          </w:p>
        </w:tc>
        <w:tc>
          <w:tcPr>
            <w:tcW w:w="302" w:type="pct"/>
            <w:vAlign w:val="center"/>
          </w:tcPr>
          <w:p w14:paraId="17999A7B">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昼间</w:t>
            </w:r>
          </w:p>
        </w:tc>
        <w:tc>
          <w:tcPr>
            <w:tcW w:w="504" w:type="pct"/>
            <w:vAlign w:val="center"/>
          </w:tcPr>
          <w:p w14:paraId="5934286A">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43</w:t>
            </w:r>
          </w:p>
        </w:tc>
        <w:tc>
          <w:tcPr>
            <w:tcW w:w="338" w:type="pct"/>
            <w:noWrap/>
            <w:vAlign w:val="center"/>
          </w:tcPr>
          <w:p w14:paraId="7FE57FD2">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38" w:type="pct"/>
            <w:noWrap/>
            <w:vAlign w:val="center"/>
          </w:tcPr>
          <w:p w14:paraId="4AF840FB">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38" w:type="pct"/>
            <w:noWrap/>
            <w:vAlign w:val="center"/>
          </w:tcPr>
          <w:p w14:paraId="60580E9F">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45" w:type="pct"/>
            <w:vMerge w:val="continue"/>
            <w:noWrap/>
            <w:vAlign w:val="center"/>
          </w:tcPr>
          <w:p w14:paraId="3303C1FD">
            <w:pPr>
              <w:spacing w:line="240" w:lineRule="exact"/>
              <w:jc w:val="center"/>
              <w:rPr>
                <w:rFonts w:ascii="Times New Roman" w:hAnsi="Times New Roman" w:eastAsia="宋体" w:cs="Times New Roman"/>
                <w:color w:val="auto"/>
                <w:kern w:val="0"/>
              </w:rPr>
            </w:pPr>
          </w:p>
        </w:tc>
        <w:tc>
          <w:tcPr>
            <w:tcW w:w="376" w:type="pct"/>
            <w:noWrap/>
            <w:vAlign w:val="center"/>
          </w:tcPr>
          <w:p w14:paraId="4EFD1A38">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55965DD2">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4" w:type="pct"/>
            <w:vMerge w:val="continue"/>
            <w:vAlign w:val="center"/>
          </w:tcPr>
          <w:p w14:paraId="22428C4F">
            <w:pPr>
              <w:spacing w:line="240" w:lineRule="exact"/>
              <w:jc w:val="center"/>
              <w:rPr>
                <w:rFonts w:ascii="Times New Roman" w:hAnsi="Times New Roman" w:eastAsia="宋体" w:cs="Times New Roman"/>
                <w:color w:val="auto"/>
                <w:kern w:val="0"/>
              </w:rPr>
            </w:pPr>
          </w:p>
        </w:tc>
        <w:tc>
          <w:tcPr>
            <w:tcW w:w="481" w:type="pct"/>
            <w:vMerge w:val="continue"/>
            <w:vAlign w:val="center"/>
          </w:tcPr>
          <w:p w14:paraId="11DA69C7">
            <w:pPr>
              <w:spacing w:line="240" w:lineRule="exact"/>
              <w:jc w:val="center"/>
              <w:rPr>
                <w:rFonts w:ascii="Times New Roman" w:hAnsi="Times New Roman" w:eastAsia="宋体" w:cs="Times New Roman"/>
                <w:color w:val="auto"/>
                <w:kern w:val="0"/>
              </w:rPr>
            </w:pPr>
          </w:p>
        </w:tc>
        <w:tc>
          <w:tcPr>
            <w:tcW w:w="403" w:type="pct"/>
            <w:vMerge w:val="continue"/>
            <w:vAlign w:val="center"/>
          </w:tcPr>
          <w:p w14:paraId="43E7B1FF">
            <w:pPr>
              <w:spacing w:line="240" w:lineRule="exact"/>
              <w:jc w:val="center"/>
              <w:rPr>
                <w:rFonts w:ascii="Times New Roman" w:hAnsi="Times New Roman" w:eastAsia="宋体" w:cs="Times New Roman"/>
                <w:color w:val="auto"/>
                <w:kern w:val="0"/>
              </w:rPr>
            </w:pPr>
          </w:p>
        </w:tc>
        <w:tc>
          <w:tcPr>
            <w:tcW w:w="807" w:type="pct"/>
            <w:vMerge w:val="continue"/>
            <w:vAlign w:val="center"/>
          </w:tcPr>
          <w:p w14:paraId="1C8597F2">
            <w:pPr>
              <w:spacing w:line="240" w:lineRule="exact"/>
              <w:jc w:val="center"/>
              <w:rPr>
                <w:rFonts w:ascii="Times New Roman" w:hAnsi="Times New Roman" w:eastAsia="宋体" w:cs="Times New Roman"/>
                <w:color w:val="auto"/>
                <w:kern w:val="0"/>
              </w:rPr>
            </w:pPr>
          </w:p>
        </w:tc>
        <w:tc>
          <w:tcPr>
            <w:tcW w:w="504" w:type="pct"/>
            <w:noWrap/>
            <w:vAlign w:val="center"/>
          </w:tcPr>
          <w:p w14:paraId="0DFCF20C">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2026.4.24</w:t>
            </w:r>
          </w:p>
        </w:tc>
        <w:tc>
          <w:tcPr>
            <w:tcW w:w="302" w:type="pct"/>
            <w:vAlign w:val="center"/>
          </w:tcPr>
          <w:p w14:paraId="0711677D">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夜间</w:t>
            </w:r>
          </w:p>
        </w:tc>
        <w:tc>
          <w:tcPr>
            <w:tcW w:w="504" w:type="pct"/>
            <w:vAlign w:val="center"/>
          </w:tcPr>
          <w:p w14:paraId="03689CD0">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37</w:t>
            </w:r>
          </w:p>
        </w:tc>
        <w:tc>
          <w:tcPr>
            <w:tcW w:w="338" w:type="pct"/>
            <w:noWrap/>
            <w:vAlign w:val="center"/>
          </w:tcPr>
          <w:p w14:paraId="7DEA1DA7">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38" w:type="pct"/>
            <w:noWrap/>
            <w:vAlign w:val="center"/>
          </w:tcPr>
          <w:p w14:paraId="598AEF08">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38" w:type="pct"/>
            <w:noWrap/>
            <w:vAlign w:val="center"/>
          </w:tcPr>
          <w:p w14:paraId="0F25365A">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45" w:type="pct"/>
            <w:vMerge w:val="continue"/>
            <w:noWrap/>
            <w:vAlign w:val="center"/>
          </w:tcPr>
          <w:p w14:paraId="65E5BFFE">
            <w:pPr>
              <w:spacing w:line="240" w:lineRule="exact"/>
              <w:jc w:val="center"/>
              <w:rPr>
                <w:rFonts w:ascii="Times New Roman" w:hAnsi="Times New Roman" w:eastAsia="宋体" w:cs="Times New Roman"/>
                <w:color w:val="auto"/>
                <w:kern w:val="0"/>
              </w:rPr>
            </w:pPr>
          </w:p>
        </w:tc>
        <w:tc>
          <w:tcPr>
            <w:tcW w:w="376" w:type="pct"/>
            <w:noWrap/>
            <w:vAlign w:val="center"/>
          </w:tcPr>
          <w:p w14:paraId="79032C16">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12792E0B">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4" w:type="pct"/>
            <w:vMerge w:val="continue"/>
            <w:vAlign w:val="center"/>
          </w:tcPr>
          <w:p w14:paraId="6B67642B">
            <w:pPr>
              <w:spacing w:line="240" w:lineRule="exact"/>
              <w:jc w:val="center"/>
              <w:rPr>
                <w:rFonts w:ascii="Times New Roman" w:hAnsi="Times New Roman" w:eastAsia="宋体" w:cs="Times New Roman"/>
                <w:color w:val="auto"/>
                <w:kern w:val="0"/>
              </w:rPr>
            </w:pPr>
          </w:p>
        </w:tc>
        <w:tc>
          <w:tcPr>
            <w:tcW w:w="481" w:type="pct"/>
            <w:vMerge w:val="continue"/>
            <w:vAlign w:val="center"/>
          </w:tcPr>
          <w:p w14:paraId="3A408EB1">
            <w:pPr>
              <w:spacing w:line="240" w:lineRule="exact"/>
              <w:jc w:val="center"/>
              <w:rPr>
                <w:rFonts w:ascii="Times New Roman" w:hAnsi="Times New Roman" w:eastAsia="宋体" w:cs="Times New Roman"/>
                <w:color w:val="auto"/>
                <w:kern w:val="0"/>
              </w:rPr>
            </w:pPr>
          </w:p>
        </w:tc>
        <w:tc>
          <w:tcPr>
            <w:tcW w:w="403" w:type="pct"/>
            <w:vMerge w:val="continue"/>
            <w:vAlign w:val="center"/>
          </w:tcPr>
          <w:p w14:paraId="25ECCA81">
            <w:pPr>
              <w:spacing w:line="240" w:lineRule="exact"/>
              <w:jc w:val="center"/>
              <w:rPr>
                <w:rFonts w:ascii="Times New Roman" w:hAnsi="Times New Roman" w:eastAsia="宋体" w:cs="Times New Roman"/>
                <w:color w:val="auto"/>
                <w:kern w:val="0"/>
              </w:rPr>
            </w:pPr>
          </w:p>
        </w:tc>
        <w:tc>
          <w:tcPr>
            <w:tcW w:w="807" w:type="pct"/>
            <w:vMerge w:val="continue"/>
            <w:vAlign w:val="center"/>
          </w:tcPr>
          <w:p w14:paraId="7794DD6B">
            <w:pPr>
              <w:spacing w:line="240" w:lineRule="exact"/>
              <w:jc w:val="center"/>
              <w:rPr>
                <w:rFonts w:ascii="Times New Roman" w:hAnsi="Times New Roman" w:eastAsia="宋体" w:cs="Times New Roman"/>
                <w:color w:val="auto"/>
                <w:kern w:val="0"/>
              </w:rPr>
            </w:pPr>
          </w:p>
        </w:tc>
        <w:tc>
          <w:tcPr>
            <w:tcW w:w="504" w:type="pct"/>
            <w:noWrap/>
            <w:vAlign w:val="center"/>
          </w:tcPr>
          <w:p w14:paraId="1EDA40D2">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2026.4.24</w:t>
            </w:r>
          </w:p>
        </w:tc>
        <w:tc>
          <w:tcPr>
            <w:tcW w:w="302" w:type="pct"/>
            <w:vAlign w:val="center"/>
          </w:tcPr>
          <w:p w14:paraId="79AD0AD7">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昼间</w:t>
            </w:r>
          </w:p>
        </w:tc>
        <w:tc>
          <w:tcPr>
            <w:tcW w:w="504" w:type="pct"/>
            <w:vAlign w:val="center"/>
          </w:tcPr>
          <w:p w14:paraId="258E6493">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45</w:t>
            </w:r>
          </w:p>
        </w:tc>
        <w:tc>
          <w:tcPr>
            <w:tcW w:w="338" w:type="pct"/>
            <w:noWrap/>
            <w:vAlign w:val="center"/>
          </w:tcPr>
          <w:p w14:paraId="4E35EBDC">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38" w:type="pct"/>
            <w:noWrap/>
            <w:vAlign w:val="center"/>
          </w:tcPr>
          <w:p w14:paraId="40206304">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38" w:type="pct"/>
            <w:noWrap/>
            <w:vAlign w:val="center"/>
          </w:tcPr>
          <w:p w14:paraId="01367729">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45" w:type="pct"/>
            <w:vMerge w:val="continue"/>
            <w:noWrap/>
            <w:vAlign w:val="center"/>
          </w:tcPr>
          <w:p w14:paraId="37A970F6">
            <w:pPr>
              <w:spacing w:line="240" w:lineRule="exact"/>
              <w:jc w:val="center"/>
              <w:rPr>
                <w:rFonts w:ascii="Times New Roman" w:hAnsi="Times New Roman" w:eastAsia="宋体" w:cs="Times New Roman"/>
                <w:color w:val="auto"/>
                <w:kern w:val="0"/>
              </w:rPr>
            </w:pPr>
          </w:p>
        </w:tc>
        <w:tc>
          <w:tcPr>
            <w:tcW w:w="376" w:type="pct"/>
            <w:noWrap/>
            <w:vAlign w:val="center"/>
          </w:tcPr>
          <w:p w14:paraId="03FA8297">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24ADC0CE">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4" w:type="pct"/>
            <w:vMerge w:val="continue"/>
            <w:vAlign w:val="center"/>
          </w:tcPr>
          <w:p w14:paraId="1A8DE917">
            <w:pPr>
              <w:spacing w:line="240" w:lineRule="exact"/>
              <w:jc w:val="center"/>
              <w:rPr>
                <w:rFonts w:ascii="Times New Roman" w:hAnsi="Times New Roman" w:eastAsia="宋体" w:cs="Times New Roman"/>
                <w:color w:val="auto"/>
                <w:kern w:val="0"/>
              </w:rPr>
            </w:pPr>
          </w:p>
        </w:tc>
        <w:tc>
          <w:tcPr>
            <w:tcW w:w="481" w:type="pct"/>
            <w:vMerge w:val="continue"/>
            <w:vAlign w:val="center"/>
          </w:tcPr>
          <w:p w14:paraId="3D14391A">
            <w:pPr>
              <w:spacing w:line="240" w:lineRule="exact"/>
              <w:jc w:val="center"/>
              <w:rPr>
                <w:rFonts w:ascii="Times New Roman" w:hAnsi="Times New Roman" w:eastAsia="宋体" w:cs="Times New Roman"/>
                <w:color w:val="auto"/>
                <w:kern w:val="0"/>
              </w:rPr>
            </w:pPr>
          </w:p>
        </w:tc>
        <w:tc>
          <w:tcPr>
            <w:tcW w:w="403" w:type="pct"/>
            <w:vMerge w:val="continue"/>
            <w:vAlign w:val="center"/>
          </w:tcPr>
          <w:p w14:paraId="696B0210">
            <w:pPr>
              <w:spacing w:line="240" w:lineRule="exact"/>
              <w:jc w:val="center"/>
              <w:rPr>
                <w:rFonts w:ascii="Times New Roman" w:hAnsi="Times New Roman" w:eastAsia="宋体" w:cs="Times New Roman"/>
                <w:color w:val="auto"/>
                <w:kern w:val="0"/>
              </w:rPr>
            </w:pPr>
          </w:p>
        </w:tc>
        <w:tc>
          <w:tcPr>
            <w:tcW w:w="807" w:type="pct"/>
            <w:vMerge w:val="continue"/>
            <w:vAlign w:val="center"/>
          </w:tcPr>
          <w:p w14:paraId="66BCDD45">
            <w:pPr>
              <w:spacing w:line="240" w:lineRule="exact"/>
              <w:jc w:val="center"/>
              <w:rPr>
                <w:rFonts w:ascii="Times New Roman" w:hAnsi="Times New Roman" w:eastAsia="宋体" w:cs="Times New Roman"/>
                <w:color w:val="auto"/>
                <w:kern w:val="0"/>
              </w:rPr>
            </w:pPr>
          </w:p>
        </w:tc>
        <w:tc>
          <w:tcPr>
            <w:tcW w:w="504" w:type="pct"/>
            <w:noWrap/>
            <w:vAlign w:val="center"/>
          </w:tcPr>
          <w:p w14:paraId="6B87AB69">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2026.4.25</w:t>
            </w:r>
          </w:p>
        </w:tc>
        <w:tc>
          <w:tcPr>
            <w:tcW w:w="302" w:type="pct"/>
            <w:vAlign w:val="center"/>
          </w:tcPr>
          <w:p w14:paraId="03F18456">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夜间</w:t>
            </w:r>
          </w:p>
        </w:tc>
        <w:tc>
          <w:tcPr>
            <w:tcW w:w="504" w:type="pct"/>
            <w:vAlign w:val="center"/>
          </w:tcPr>
          <w:p w14:paraId="660C3D41">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38</w:t>
            </w:r>
          </w:p>
        </w:tc>
        <w:tc>
          <w:tcPr>
            <w:tcW w:w="338" w:type="pct"/>
            <w:noWrap/>
            <w:vAlign w:val="center"/>
          </w:tcPr>
          <w:p w14:paraId="3E77DE1C">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38" w:type="pct"/>
            <w:noWrap/>
            <w:vAlign w:val="center"/>
          </w:tcPr>
          <w:p w14:paraId="5D110BB7">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38" w:type="pct"/>
            <w:noWrap/>
            <w:vAlign w:val="center"/>
          </w:tcPr>
          <w:p w14:paraId="4E3AE602">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45" w:type="pct"/>
            <w:vMerge w:val="continue"/>
            <w:noWrap/>
            <w:vAlign w:val="center"/>
          </w:tcPr>
          <w:p w14:paraId="7BEEA903">
            <w:pPr>
              <w:spacing w:line="240" w:lineRule="exact"/>
              <w:jc w:val="center"/>
              <w:rPr>
                <w:rFonts w:ascii="Times New Roman" w:hAnsi="Times New Roman" w:eastAsia="宋体" w:cs="Times New Roman"/>
                <w:color w:val="auto"/>
                <w:kern w:val="0"/>
              </w:rPr>
            </w:pPr>
          </w:p>
        </w:tc>
        <w:tc>
          <w:tcPr>
            <w:tcW w:w="376" w:type="pct"/>
            <w:noWrap/>
            <w:vAlign w:val="center"/>
          </w:tcPr>
          <w:p w14:paraId="6B27239A">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0121CA5F">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4" w:type="pct"/>
            <w:vMerge w:val="restart"/>
            <w:noWrap/>
            <w:vAlign w:val="center"/>
          </w:tcPr>
          <w:p w14:paraId="39EC0CE7">
            <w:pPr>
              <w:spacing w:line="240" w:lineRule="exact"/>
              <w:jc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8</w:t>
            </w:r>
          </w:p>
        </w:tc>
        <w:tc>
          <w:tcPr>
            <w:tcW w:w="481" w:type="pct"/>
            <w:vMerge w:val="restart"/>
            <w:noWrap/>
            <w:vAlign w:val="center"/>
          </w:tcPr>
          <w:p w14:paraId="4FC5E432">
            <w:pPr>
              <w:spacing w:line="240" w:lineRule="exact"/>
              <w:jc w:val="center"/>
              <w:rPr>
                <w:rFonts w:ascii="Times New Roman" w:hAnsi="Times New Roman" w:eastAsia="宋体" w:cs="Times New Roman"/>
                <w:color w:val="auto"/>
                <w:kern w:val="0"/>
              </w:rPr>
            </w:pPr>
            <w:r>
              <w:rPr>
                <w:rFonts w:hint="eastAsia" w:ascii="Times New Roman" w:hAnsi="Times New Roman" w:cs="Times New Roman" w:eastAsiaTheme="minorEastAsia"/>
                <w:color w:val="auto"/>
              </w:rPr>
              <w:t>夏合亚迪村</w:t>
            </w:r>
          </w:p>
        </w:tc>
        <w:tc>
          <w:tcPr>
            <w:tcW w:w="403" w:type="pct"/>
            <w:vMerge w:val="restart"/>
            <w:vAlign w:val="center"/>
          </w:tcPr>
          <w:p w14:paraId="6924792A">
            <w:pPr>
              <w:spacing w:line="240" w:lineRule="exact"/>
              <w:jc w:val="center"/>
              <w:rPr>
                <w:rFonts w:ascii="Times New Roman" w:hAnsi="Times New Roman" w:eastAsia="宋体" w:cs="Times New Roman"/>
                <w:color w:val="auto"/>
                <w:kern w:val="0"/>
              </w:rPr>
            </w:pPr>
            <w:r>
              <w:rPr>
                <w:rFonts w:ascii="Times New Roman" w:hAnsi="Times New Roman" w:eastAsia="宋体" w:cs="Times New Roman"/>
                <w:color w:val="auto"/>
                <w:kern w:val="0"/>
              </w:rPr>
              <w:t>环境噪声</w:t>
            </w:r>
          </w:p>
        </w:tc>
        <w:tc>
          <w:tcPr>
            <w:tcW w:w="807" w:type="pct"/>
            <w:vMerge w:val="restart"/>
            <w:vAlign w:val="center"/>
          </w:tcPr>
          <w:p w14:paraId="0426D262">
            <w:pPr>
              <w:spacing w:line="240" w:lineRule="exact"/>
              <w:jc w:val="center"/>
              <w:rPr>
                <w:rFonts w:ascii="Times New Roman" w:hAnsi="Times New Roman" w:eastAsia="宋体" w:cs="Times New Roman"/>
                <w:color w:val="auto"/>
                <w:kern w:val="0"/>
              </w:rPr>
            </w:pPr>
            <w:r>
              <w:rPr>
                <w:rFonts w:ascii="Times New Roman" w:hAnsi="Times New Roman" w:eastAsia="宋体" w:cs="Times New Roman"/>
                <w:color w:val="auto"/>
              </w:rPr>
              <w:t>临现有</w:t>
            </w:r>
            <w:r>
              <w:rPr>
                <w:rFonts w:hint="eastAsia" w:ascii="Times New Roman" w:hAnsi="Times New Roman" w:eastAsia="宋体" w:cs="Times New Roman"/>
                <w:color w:val="auto"/>
              </w:rPr>
              <w:t>G219</w:t>
            </w:r>
            <w:r>
              <w:rPr>
                <w:rFonts w:ascii="Times New Roman" w:hAnsi="Times New Roman" w:eastAsia="宋体" w:cs="Times New Roman"/>
                <w:color w:val="auto"/>
              </w:rPr>
              <w:t>第一排房</w:t>
            </w:r>
            <w:r>
              <w:rPr>
                <w:rFonts w:hint="eastAsia" w:ascii="Times New Roman" w:hAnsi="Times New Roman" w:eastAsia="宋体" w:cs="Times New Roman"/>
                <w:color w:val="auto"/>
              </w:rPr>
              <w:t>1</w:t>
            </w:r>
            <w:r>
              <w:rPr>
                <w:rFonts w:ascii="Times New Roman" w:hAnsi="Times New Roman" w:eastAsia="宋体" w:cs="Times New Roman"/>
                <w:color w:val="auto"/>
              </w:rPr>
              <w:t>层</w:t>
            </w:r>
          </w:p>
        </w:tc>
        <w:tc>
          <w:tcPr>
            <w:tcW w:w="504" w:type="pct"/>
            <w:noWrap/>
            <w:vAlign w:val="center"/>
          </w:tcPr>
          <w:p w14:paraId="4E56A6B9">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2026.4.23</w:t>
            </w:r>
          </w:p>
        </w:tc>
        <w:tc>
          <w:tcPr>
            <w:tcW w:w="302" w:type="pct"/>
            <w:vAlign w:val="center"/>
          </w:tcPr>
          <w:p w14:paraId="498E3A56">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昼间</w:t>
            </w:r>
          </w:p>
        </w:tc>
        <w:tc>
          <w:tcPr>
            <w:tcW w:w="504" w:type="pct"/>
            <w:vAlign w:val="center"/>
          </w:tcPr>
          <w:p w14:paraId="187B8060">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60</w:t>
            </w:r>
          </w:p>
        </w:tc>
        <w:tc>
          <w:tcPr>
            <w:tcW w:w="338" w:type="pct"/>
            <w:noWrap/>
            <w:vAlign w:val="center"/>
          </w:tcPr>
          <w:p w14:paraId="13EFCEA4">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52</w:t>
            </w:r>
          </w:p>
        </w:tc>
        <w:tc>
          <w:tcPr>
            <w:tcW w:w="338" w:type="pct"/>
            <w:noWrap/>
            <w:vAlign w:val="center"/>
          </w:tcPr>
          <w:p w14:paraId="37D70845">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36</w:t>
            </w:r>
          </w:p>
        </w:tc>
        <w:tc>
          <w:tcPr>
            <w:tcW w:w="338" w:type="pct"/>
            <w:noWrap/>
            <w:vAlign w:val="center"/>
          </w:tcPr>
          <w:p w14:paraId="67BF2A97">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126</w:t>
            </w:r>
          </w:p>
        </w:tc>
        <w:tc>
          <w:tcPr>
            <w:tcW w:w="345" w:type="pct"/>
            <w:vMerge w:val="restart"/>
            <w:noWrap/>
            <w:vAlign w:val="center"/>
          </w:tcPr>
          <w:p w14:paraId="67018C45">
            <w:pPr>
              <w:spacing w:line="240" w:lineRule="exact"/>
              <w:jc w:val="center"/>
              <w:rPr>
                <w:rFonts w:ascii="Times New Roman" w:hAnsi="Times New Roman" w:eastAsia="宋体" w:cs="Times New Roman"/>
                <w:color w:val="auto"/>
                <w:kern w:val="0"/>
              </w:rPr>
            </w:pPr>
            <w:r>
              <w:rPr>
                <w:rFonts w:ascii="Times New Roman" w:hAnsi="Times New Roman" w:eastAsia="宋体" w:cs="Times New Roman"/>
                <w:color w:val="auto"/>
                <w:kern w:val="0"/>
              </w:rPr>
              <w:t>4a类</w:t>
            </w:r>
          </w:p>
        </w:tc>
        <w:tc>
          <w:tcPr>
            <w:tcW w:w="376" w:type="pct"/>
            <w:noWrap/>
            <w:vAlign w:val="center"/>
          </w:tcPr>
          <w:p w14:paraId="57EDCA68">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3FD6C834">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4" w:type="pct"/>
            <w:vMerge w:val="continue"/>
            <w:vAlign w:val="center"/>
          </w:tcPr>
          <w:p w14:paraId="00B38E0E">
            <w:pPr>
              <w:spacing w:line="240" w:lineRule="exact"/>
              <w:jc w:val="center"/>
              <w:rPr>
                <w:rFonts w:ascii="Times New Roman" w:hAnsi="Times New Roman" w:eastAsia="宋体" w:cs="Times New Roman"/>
                <w:color w:val="auto"/>
                <w:kern w:val="0"/>
              </w:rPr>
            </w:pPr>
          </w:p>
        </w:tc>
        <w:tc>
          <w:tcPr>
            <w:tcW w:w="481" w:type="pct"/>
            <w:vMerge w:val="continue"/>
            <w:vAlign w:val="center"/>
          </w:tcPr>
          <w:p w14:paraId="0B1E30A9">
            <w:pPr>
              <w:spacing w:line="240" w:lineRule="exact"/>
              <w:jc w:val="center"/>
              <w:rPr>
                <w:rFonts w:ascii="Times New Roman" w:hAnsi="Times New Roman" w:eastAsia="宋体" w:cs="Times New Roman"/>
                <w:color w:val="auto"/>
                <w:kern w:val="0"/>
              </w:rPr>
            </w:pPr>
          </w:p>
        </w:tc>
        <w:tc>
          <w:tcPr>
            <w:tcW w:w="403" w:type="pct"/>
            <w:vMerge w:val="continue"/>
            <w:vAlign w:val="center"/>
          </w:tcPr>
          <w:p w14:paraId="40A3297C">
            <w:pPr>
              <w:spacing w:line="240" w:lineRule="exact"/>
              <w:jc w:val="center"/>
              <w:rPr>
                <w:rFonts w:ascii="Times New Roman" w:hAnsi="Times New Roman" w:eastAsia="宋体" w:cs="Times New Roman"/>
                <w:color w:val="auto"/>
                <w:kern w:val="0"/>
              </w:rPr>
            </w:pPr>
          </w:p>
        </w:tc>
        <w:tc>
          <w:tcPr>
            <w:tcW w:w="807" w:type="pct"/>
            <w:vMerge w:val="continue"/>
            <w:vAlign w:val="center"/>
          </w:tcPr>
          <w:p w14:paraId="1189472E">
            <w:pPr>
              <w:spacing w:line="240" w:lineRule="exact"/>
              <w:jc w:val="center"/>
              <w:rPr>
                <w:rFonts w:ascii="Times New Roman" w:hAnsi="Times New Roman" w:eastAsia="宋体" w:cs="Times New Roman"/>
                <w:color w:val="auto"/>
                <w:kern w:val="0"/>
              </w:rPr>
            </w:pPr>
          </w:p>
        </w:tc>
        <w:tc>
          <w:tcPr>
            <w:tcW w:w="504" w:type="pct"/>
            <w:noWrap/>
            <w:vAlign w:val="center"/>
          </w:tcPr>
          <w:p w14:paraId="0DA9F5FA">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2026.4.24</w:t>
            </w:r>
          </w:p>
        </w:tc>
        <w:tc>
          <w:tcPr>
            <w:tcW w:w="302" w:type="pct"/>
            <w:vAlign w:val="center"/>
          </w:tcPr>
          <w:p w14:paraId="3B40A66C">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夜间</w:t>
            </w:r>
          </w:p>
        </w:tc>
        <w:tc>
          <w:tcPr>
            <w:tcW w:w="504" w:type="pct"/>
            <w:vAlign w:val="center"/>
          </w:tcPr>
          <w:p w14:paraId="1FAFE2CD">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49</w:t>
            </w:r>
          </w:p>
        </w:tc>
        <w:tc>
          <w:tcPr>
            <w:tcW w:w="338" w:type="pct"/>
            <w:noWrap/>
            <w:vAlign w:val="center"/>
          </w:tcPr>
          <w:p w14:paraId="025FA287">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24</w:t>
            </w:r>
          </w:p>
        </w:tc>
        <w:tc>
          <w:tcPr>
            <w:tcW w:w="338" w:type="pct"/>
            <w:noWrap/>
            <w:vAlign w:val="center"/>
          </w:tcPr>
          <w:p w14:paraId="1037816C">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18</w:t>
            </w:r>
          </w:p>
        </w:tc>
        <w:tc>
          <w:tcPr>
            <w:tcW w:w="338" w:type="pct"/>
            <w:noWrap/>
            <w:vAlign w:val="center"/>
          </w:tcPr>
          <w:p w14:paraId="76AA57F8">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31</w:t>
            </w:r>
          </w:p>
        </w:tc>
        <w:tc>
          <w:tcPr>
            <w:tcW w:w="345" w:type="pct"/>
            <w:vMerge w:val="continue"/>
            <w:noWrap/>
            <w:vAlign w:val="center"/>
          </w:tcPr>
          <w:p w14:paraId="4956F814">
            <w:pPr>
              <w:spacing w:line="240" w:lineRule="exact"/>
              <w:jc w:val="center"/>
              <w:rPr>
                <w:rFonts w:ascii="Times New Roman" w:hAnsi="Times New Roman" w:eastAsia="宋体" w:cs="Times New Roman"/>
                <w:color w:val="auto"/>
                <w:kern w:val="0"/>
              </w:rPr>
            </w:pPr>
          </w:p>
        </w:tc>
        <w:tc>
          <w:tcPr>
            <w:tcW w:w="376" w:type="pct"/>
            <w:noWrap/>
            <w:vAlign w:val="center"/>
          </w:tcPr>
          <w:p w14:paraId="54A8F4E9">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76DC7381">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4" w:type="pct"/>
            <w:vMerge w:val="continue"/>
            <w:vAlign w:val="center"/>
          </w:tcPr>
          <w:p w14:paraId="14C6FA33">
            <w:pPr>
              <w:spacing w:line="240" w:lineRule="exact"/>
              <w:jc w:val="center"/>
              <w:rPr>
                <w:rFonts w:ascii="Times New Roman" w:hAnsi="Times New Roman" w:eastAsia="宋体" w:cs="Times New Roman"/>
                <w:color w:val="auto"/>
                <w:kern w:val="0"/>
              </w:rPr>
            </w:pPr>
          </w:p>
        </w:tc>
        <w:tc>
          <w:tcPr>
            <w:tcW w:w="481" w:type="pct"/>
            <w:vMerge w:val="continue"/>
            <w:vAlign w:val="center"/>
          </w:tcPr>
          <w:p w14:paraId="49EA9C9C">
            <w:pPr>
              <w:spacing w:line="240" w:lineRule="exact"/>
              <w:jc w:val="center"/>
              <w:rPr>
                <w:rFonts w:ascii="Times New Roman" w:hAnsi="Times New Roman" w:eastAsia="宋体" w:cs="Times New Roman"/>
                <w:color w:val="auto"/>
                <w:kern w:val="0"/>
              </w:rPr>
            </w:pPr>
          </w:p>
        </w:tc>
        <w:tc>
          <w:tcPr>
            <w:tcW w:w="403" w:type="pct"/>
            <w:vMerge w:val="continue"/>
            <w:vAlign w:val="center"/>
          </w:tcPr>
          <w:p w14:paraId="1ECD7DE8">
            <w:pPr>
              <w:spacing w:line="240" w:lineRule="exact"/>
              <w:jc w:val="center"/>
              <w:rPr>
                <w:rFonts w:ascii="Times New Roman" w:hAnsi="Times New Roman" w:eastAsia="宋体" w:cs="Times New Roman"/>
                <w:color w:val="auto"/>
                <w:kern w:val="0"/>
              </w:rPr>
            </w:pPr>
          </w:p>
        </w:tc>
        <w:tc>
          <w:tcPr>
            <w:tcW w:w="807" w:type="pct"/>
            <w:vMerge w:val="continue"/>
            <w:vAlign w:val="center"/>
          </w:tcPr>
          <w:p w14:paraId="4C32D33B">
            <w:pPr>
              <w:spacing w:line="240" w:lineRule="exact"/>
              <w:jc w:val="center"/>
              <w:rPr>
                <w:rFonts w:ascii="Times New Roman" w:hAnsi="Times New Roman" w:eastAsia="宋体" w:cs="Times New Roman"/>
                <w:color w:val="auto"/>
                <w:kern w:val="0"/>
              </w:rPr>
            </w:pPr>
          </w:p>
        </w:tc>
        <w:tc>
          <w:tcPr>
            <w:tcW w:w="504" w:type="pct"/>
            <w:noWrap/>
            <w:vAlign w:val="center"/>
          </w:tcPr>
          <w:p w14:paraId="01A81444">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2026.4.24</w:t>
            </w:r>
          </w:p>
        </w:tc>
        <w:tc>
          <w:tcPr>
            <w:tcW w:w="302" w:type="pct"/>
            <w:vAlign w:val="center"/>
          </w:tcPr>
          <w:p w14:paraId="431B9521">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昼间</w:t>
            </w:r>
          </w:p>
        </w:tc>
        <w:tc>
          <w:tcPr>
            <w:tcW w:w="504" w:type="pct"/>
            <w:vAlign w:val="center"/>
          </w:tcPr>
          <w:p w14:paraId="6CF12E76">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61</w:t>
            </w:r>
          </w:p>
        </w:tc>
        <w:tc>
          <w:tcPr>
            <w:tcW w:w="338" w:type="pct"/>
            <w:noWrap/>
            <w:vAlign w:val="center"/>
          </w:tcPr>
          <w:p w14:paraId="705D1B8C">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46</w:t>
            </w:r>
          </w:p>
        </w:tc>
        <w:tc>
          <w:tcPr>
            <w:tcW w:w="338" w:type="pct"/>
            <w:noWrap/>
            <w:vAlign w:val="center"/>
          </w:tcPr>
          <w:p w14:paraId="2D61ED70">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27</w:t>
            </w:r>
          </w:p>
        </w:tc>
        <w:tc>
          <w:tcPr>
            <w:tcW w:w="338" w:type="pct"/>
            <w:noWrap/>
            <w:vAlign w:val="center"/>
          </w:tcPr>
          <w:p w14:paraId="63733D72">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111</w:t>
            </w:r>
          </w:p>
        </w:tc>
        <w:tc>
          <w:tcPr>
            <w:tcW w:w="345" w:type="pct"/>
            <w:vMerge w:val="continue"/>
            <w:noWrap/>
            <w:vAlign w:val="center"/>
          </w:tcPr>
          <w:p w14:paraId="727F0E54">
            <w:pPr>
              <w:spacing w:line="240" w:lineRule="exact"/>
              <w:jc w:val="center"/>
              <w:rPr>
                <w:rFonts w:ascii="Times New Roman" w:hAnsi="Times New Roman" w:eastAsia="宋体" w:cs="Times New Roman"/>
                <w:color w:val="auto"/>
                <w:kern w:val="0"/>
              </w:rPr>
            </w:pPr>
          </w:p>
        </w:tc>
        <w:tc>
          <w:tcPr>
            <w:tcW w:w="376" w:type="pct"/>
            <w:noWrap/>
            <w:vAlign w:val="center"/>
          </w:tcPr>
          <w:p w14:paraId="7B187BB0">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087014EC">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4" w:type="pct"/>
            <w:vMerge w:val="continue"/>
            <w:vAlign w:val="center"/>
          </w:tcPr>
          <w:p w14:paraId="67AB42B4">
            <w:pPr>
              <w:spacing w:line="240" w:lineRule="exact"/>
              <w:jc w:val="center"/>
              <w:rPr>
                <w:rFonts w:ascii="Times New Roman" w:hAnsi="Times New Roman" w:eastAsia="宋体" w:cs="Times New Roman"/>
                <w:color w:val="auto"/>
                <w:kern w:val="0"/>
              </w:rPr>
            </w:pPr>
          </w:p>
        </w:tc>
        <w:tc>
          <w:tcPr>
            <w:tcW w:w="481" w:type="pct"/>
            <w:vMerge w:val="continue"/>
            <w:vAlign w:val="center"/>
          </w:tcPr>
          <w:p w14:paraId="525C0A28">
            <w:pPr>
              <w:spacing w:line="240" w:lineRule="exact"/>
              <w:jc w:val="center"/>
              <w:rPr>
                <w:rFonts w:ascii="Times New Roman" w:hAnsi="Times New Roman" w:eastAsia="宋体" w:cs="Times New Roman"/>
                <w:color w:val="auto"/>
                <w:kern w:val="0"/>
              </w:rPr>
            </w:pPr>
          </w:p>
        </w:tc>
        <w:tc>
          <w:tcPr>
            <w:tcW w:w="403" w:type="pct"/>
            <w:vMerge w:val="continue"/>
            <w:vAlign w:val="center"/>
          </w:tcPr>
          <w:p w14:paraId="64687070">
            <w:pPr>
              <w:spacing w:line="240" w:lineRule="exact"/>
              <w:jc w:val="center"/>
              <w:rPr>
                <w:rFonts w:ascii="Times New Roman" w:hAnsi="Times New Roman" w:eastAsia="宋体" w:cs="Times New Roman"/>
                <w:color w:val="auto"/>
                <w:kern w:val="0"/>
              </w:rPr>
            </w:pPr>
          </w:p>
        </w:tc>
        <w:tc>
          <w:tcPr>
            <w:tcW w:w="807" w:type="pct"/>
            <w:vMerge w:val="continue"/>
            <w:vAlign w:val="center"/>
          </w:tcPr>
          <w:p w14:paraId="735E4B5C">
            <w:pPr>
              <w:spacing w:line="240" w:lineRule="exact"/>
              <w:jc w:val="center"/>
              <w:rPr>
                <w:rFonts w:ascii="Times New Roman" w:hAnsi="Times New Roman" w:eastAsia="宋体" w:cs="Times New Roman"/>
                <w:color w:val="auto"/>
                <w:kern w:val="0"/>
              </w:rPr>
            </w:pPr>
          </w:p>
        </w:tc>
        <w:tc>
          <w:tcPr>
            <w:tcW w:w="504" w:type="pct"/>
            <w:noWrap/>
            <w:vAlign w:val="center"/>
          </w:tcPr>
          <w:p w14:paraId="2CF72385">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2026.4.25</w:t>
            </w:r>
          </w:p>
        </w:tc>
        <w:tc>
          <w:tcPr>
            <w:tcW w:w="302" w:type="pct"/>
            <w:vAlign w:val="center"/>
          </w:tcPr>
          <w:p w14:paraId="17155DC8">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夜间</w:t>
            </w:r>
          </w:p>
        </w:tc>
        <w:tc>
          <w:tcPr>
            <w:tcW w:w="504" w:type="pct"/>
            <w:vAlign w:val="center"/>
          </w:tcPr>
          <w:p w14:paraId="44511194">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48</w:t>
            </w:r>
          </w:p>
        </w:tc>
        <w:tc>
          <w:tcPr>
            <w:tcW w:w="338" w:type="pct"/>
            <w:noWrap/>
            <w:vAlign w:val="center"/>
          </w:tcPr>
          <w:p w14:paraId="5B22227E">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28</w:t>
            </w:r>
          </w:p>
        </w:tc>
        <w:tc>
          <w:tcPr>
            <w:tcW w:w="338" w:type="pct"/>
            <w:noWrap/>
            <w:vAlign w:val="center"/>
          </w:tcPr>
          <w:p w14:paraId="7F7B906F">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18</w:t>
            </w:r>
          </w:p>
        </w:tc>
        <w:tc>
          <w:tcPr>
            <w:tcW w:w="338" w:type="pct"/>
            <w:noWrap/>
            <w:vAlign w:val="center"/>
          </w:tcPr>
          <w:p w14:paraId="6AB91F9E">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30</w:t>
            </w:r>
          </w:p>
        </w:tc>
        <w:tc>
          <w:tcPr>
            <w:tcW w:w="345" w:type="pct"/>
            <w:vMerge w:val="continue"/>
            <w:noWrap/>
            <w:vAlign w:val="center"/>
          </w:tcPr>
          <w:p w14:paraId="58BF2F0E">
            <w:pPr>
              <w:spacing w:line="240" w:lineRule="exact"/>
              <w:jc w:val="center"/>
              <w:rPr>
                <w:rFonts w:ascii="Times New Roman" w:hAnsi="Times New Roman" w:eastAsia="宋体" w:cs="Times New Roman"/>
                <w:color w:val="auto"/>
                <w:kern w:val="0"/>
              </w:rPr>
            </w:pPr>
          </w:p>
        </w:tc>
        <w:tc>
          <w:tcPr>
            <w:tcW w:w="376" w:type="pct"/>
            <w:noWrap/>
            <w:vAlign w:val="center"/>
          </w:tcPr>
          <w:p w14:paraId="4735DE4E">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75D48600">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4" w:type="pct"/>
            <w:vMerge w:val="continue"/>
            <w:vAlign w:val="center"/>
          </w:tcPr>
          <w:p w14:paraId="6D293643">
            <w:pPr>
              <w:spacing w:line="240" w:lineRule="exact"/>
              <w:jc w:val="center"/>
              <w:rPr>
                <w:rFonts w:ascii="Times New Roman" w:hAnsi="Times New Roman" w:eastAsia="宋体" w:cs="Times New Roman"/>
                <w:color w:val="auto"/>
                <w:kern w:val="0"/>
              </w:rPr>
            </w:pPr>
          </w:p>
        </w:tc>
        <w:tc>
          <w:tcPr>
            <w:tcW w:w="481" w:type="pct"/>
            <w:vMerge w:val="continue"/>
            <w:vAlign w:val="center"/>
          </w:tcPr>
          <w:p w14:paraId="5DE29098">
            <w:pPr>
              <w:spacing w:line="240" w:lineRule="exact"/>
              <w:jc w:val="center"/>
              <w:rPr>
                <w:rFonts w:ascii="Times New Roman" w:hAnsi="Times New Roman" w:eastAsia="宋体" w:cs="Times New Roman"/>
                <w:color w:val="auto"/>
                <w:kern w:val="0"/>
              </w:rPr>
            </w:pPr>
          </w:p>
        </w:tc>
        <w:tc>
          <w:tcPr>
            <w:tcW w:w="403" w:type="pct"/>
            <w:vMerge w:val="continue"/>
            <w:vAlign w:val="center"/>
          </w:tcPr>
          <w:p w14:paraId="664FC206">
            <w:pPr>
              <w:spacing w:line="240" w:lineRule="exact"/>
              <w:jc w:val="center"/>
              <w:rPr>
                <w:rFonts w:ascii="Times New Roman" w:hAnsi="Times New Roman" w:eastAsia="宋体" w:cs="Times New Roman"/>
                <w:color w:val="auto"/>
                <w:kern w:val="0"/>
              </w:rPr>
            </w:pPr>
          </w:p>
        </w:tc>
        <w:tc>
          <w:tcPr>
            <w:tcW w:w="807" w:type="pct"/>
            <w:vMerge w:val="restart"/>
            <w:vAlign w:val="center"/>
          </w:tcPr>
          <w:p w14:paraId="4F357784">
            <w:pPr>
              <w:spacing w:line="240" w:lineRule="exact"/>
              <w:jc w:val="center"/>
              <w:rPr>
                <w:rFonts w:ascii="Times New Roman" w:hAnsi="Times New Roman" w:eastAsia="宋体" w:cs="Times New Roman"/>
                <w:color w:val="auto"/>
                <w:kern w:val="0"/>
              </w:rPr>
            </w:pPr>
            <w:r>
              <w:rPr>
                <w:rFonts w:ascii="Times New Roman" w:hAnsi="Times New Roman" w:eastAsia="宋体" w:cs="Times New Roman"/>
                <w:color w:val="auto"/>
              </w:rPr>
              <w:t>临现有</w:t>
            </w:r>
            <w:r>
              <w:rPr>
                <w:rFonts w:hint="eastAsia" w:ascii="Times New Roman" w:hAnsi="Times New Roman" w:eastAsia="宋体" w:cs="Times New Roman"/>
                <w:color w:val="auto"/>
              </w:rPr>
              <w:t>G219</w:t>
            </w:r>
            <w:r>
              <w:rPr>
                <w:rFonts w:ascii="Times New Roman" w:hAnsi="Times New Roman" w:eastAsia="宋体" w:cs="Times New Roman"/>
                <w:color w:val="auto"/>
              </w:rPr>
              <w:t>边界</w:t>
            </w:r>
            <w:r>
              <w:rPr>
                <w:rFonts w:hint="eastAsia" w:ascii="Times New Roman" w:hAnsi="Times New Roman" w:eastAsia="宋体" w:cs="Times New Roman"/>
                <w:color w:val="auto"/>
              </w:rPr>
              <w:t>35</w:t>
            </w:r>
            <w:r>
              <w:rPr>
                <w:rFonts w:ascii="Times New Roman" w:hAnsi="Times New Roman" w:eastAsia="宋体" w:cs="Times New Roman"/>
                <w:color w:val="auto"/>
              </w:rPr>
              <w:t>m外第一排房</w:t>
            </w:r>
            <w:r>
              <w:rPr>
                <w:rFonts w:hint="eastAsia" w:ascii="Times New Roman" w:hAnsi="Times New Roman" w:eastAsia="宋体" w:cs="Times New Roman"/>
                <w:color w:val="auto"/>
              </w:rPr>
              <w:t>1</w:t>
            </w:r>
            <w:r>
              <w:rPr>
                <w:rFonts w:ascii="Times New Roman" w:hAnsi="Times New Roman" w:eastAsia="宋体" w:cs="Times New Roman"/>
                <w:color w:val="auto"/>
              </w:rPr>
              <w:t>层</w:t>
            </w:r>
          </w:p>
        </w:tc>
        <w:tc>
          <w:tcPr>
            <w:tcW w:w="504" w:type="pct"/>
            <w:noWrap/>
            <w:vAlign w:val="center"/>
          </w:tcPr>
          <w:p w14:paraId="3AF3EECD">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2026.4.23</w:t>
            </w:r>
          </w:p>
        </w:tc>
        <w:tc>
          <w:tcPr>
            <w:tcW w:w="302" w:type="pct"/>
            <w:vAlign w:val="center"/>
          </w:tcPr>
          <w:p w14:paraId="1B2863EF">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昼间</w:t>
            </w:r>
          </w:p>
        </w:tc>
        <w:tc>
          <w:tcPr>
            <w:tcW w:w="504" w:type="pct"/>
            <w:vAlign w:val="center"/>
          </w:tcPr>
          <w:p w14:paraId="0A043E29">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55</w:t>
            </w:r>
          </w:p>
        </w:tc>
        <w:tc>
          <w:tcPr>
            <w:tcW w:w="338" w:type="pct"/>
            <w:noWrap/>
            <w:vAlign w:val="center"/>
          </w:tcPr>
          <w:p w14:paraId="4055A356">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52</w:t>
            </w:r>
          </w:p>
        </w:tc>
        <w:tc>
          <w:tcPr>
            <w:tcW w:w="338" w:type="pct"/>
            <w:noWrap/>
            <w:vAlign w:val="center"/>
          </w:tcPr>
          <w:p w14:paraId="7934FFD6">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36</w:t>
            </w:r>
          </w:p>
        </w:tc>
        <w:tc>
          <w:tcPr>
            <w:tcW w:w="338" w:type="pct"/>
            <w:noWrap/>
            <w:vAlign w:val="center"/>
          </w:tcPr>
          <w:p w14:paraId="7E0B90CF">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126</w:t>
            </w:r>
          </w:p>
        </w:tc>
        <w:tc>
          <w:tcPr>
            <w:tcW w:w="345" w:type="pct"/>
            <w:vMerge w:val="restart"/>
            <w:noWrap/>
            <w:vAlign w:val="center"/>
          </w:tcPr>
          <w:p w14:paraId="0188D9F3">
            <w:pPr>
              <w:spacing w:line="240" w:lineRule="exact"/>
              <w:jc w:val="center"/>
              <w:rPr>
                <w:rFonts w:ascii="Times New Roman" w:hAnsi="Times New Roman" w:eastAsia="宋体" w:cs="Times New Roman"/>
                <w:color w:val="auto"/>
                <w:kern w:val="0"/>
              </w:rPr>
            </w:pPr>
            <w:r>
              <w:rPr>
                <w:rFonts w:ascii="Times New Roman" w:hAnsi="Times New Roman" w:eastAsia="宋体" w:cs="Times New Roman"/>
                <w:color w:val="auto"/>
                <w:kern w:val="0"/>
              </w:rPr>
              <w:t>2类</w:t>
            </w:r>
          </w:p>
        </w:tc>
        <w:tc>
          <w:tcPr>
            <w:tcW w:w="376" w:type="pct"/>
            <w:noWrap/>
            <w:vAlign w:val="center"/>
          </w:tcPr>
          <w:p w14:paraId="14A518A9">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524C0AEC">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4" w:type="pct"/>
            <w:vMerge w:val="continue"/>
            <w:vAlign w:val="center"/>
          </w:tcPr>
          <w:p w14:paraId="0509FB41">
            <w:pPr>
              <w:spacing w:line="240" w:lineRule="exact"/>
              <w:jc w:val="center"/>
              <w:rPr>
                <w:rFonts w:ascii="Times New Roman" w:hAnsi="Times New Roman" w:eastAsia="宋体" w:cs="Times New Roman"/>
                <w:color w:val="auto"/>
                <w:kern w:val="0"/>
              </w:rPr>
            </w:pPr>
          </w:p>
        </w:tc>
        <w:tc>
          <w:tcPr>
            <w:tcW w:w="481" w:type="pct"/>
            <w:vMerge w:val="continue"/>
            <w:vAlign w:val="center"/>
          </w:tcPr>
          <w:p w14:paraId="30C66F65">
            <w:pPr>
              <w:spacing w:line="240" w:lineRule="exact"/>
              <w:jc w:val="center"/>
              <w:rPr>
                <w:rFonts w:ascii="Times New Roman" w:hAnsi="Times New Roman" w:eastAsia="宋体" w:cs="Times New Roman"/>
                <w:color w:val="auto"/>
                <w:kern w:val="0"/>
              </w:rPr>
            </w:pPr>
          </w:p>
        </w:tc>
        <w:tc>
          <w:tcPr>
            <w:tcW w:w="403" w:type="pct"/>
            <w:vMerge w:val="continue"/>
            <w:vAlign w:val="center"/>
          </w:tcPr>
          <w:p w14:paraId="6C28D74A">
            <w:pPr>
              <w:spacing w:line="240" w:lineRule="exact"/>
              <w:jc w:val="center"/>
              <w:rPr>
                <w:rFonts w:ascii="Times New Roman" w:hAnsi="Times New Roman" w:eastAsia="宋体" w:cs="Times New Roman"/>
                <w:color w:val="auto"/>
                <w:kern w:val="0"/>
              </w:rPr>
            </w:pPr>
          </w:p>
        </w:tc>
        <w:tc>
          <w:tcPr>
            <w:tcW w:w="807" w:type="pct"/>
            <w:vMerge w:val="continue"/>
            <w:vAlign w:val="center"/>
          </w:tcPr>
          <w:p w14:paraId="0DCEE05D">
            <w:pPr>
              <w:spacing w:line="240" w:lineRule="exact"/>
              <w:jc w:val="center"/>
              <w:rPr>
                <w:rFonts w:ascii="Times New Roman" w:hAnsi="Times New Roman" w:eastAsia="宋体" w:cs="Times New Roman"/>
                <w:color w:val="auto"/>
                <w:kern w:val="0"/>
              </w:rPr>
            </w:pPr>
          </w:p>
        </w:tc>
        <w:tc>
          <w:tcPr>
            <w:tcW w:w="504" w:type="pct"/>
            <w:noWrap/>
            <w:vAlign w:val="center"/>
          </w:tcPr>
          <w:p w14:paraId="34F0B6BE">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2026.4.24</w:t>
            </w:r>
          </w:p>
        </w:tc>
        <w:tc>
          <w:tcPr>
            <w:tcW w:w="302" w:type="pct"/>
            <w:vAlign w:val="center"/>
          </w:tcPr>
          <w:p w14:paraId="44167A4A">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夜间</w:t>
            </w:r>
          </w:p>
        </w:tc>
        <w:tc>
          <w:tcPr>
            <w:tcW w:w="504" w:type="pct"/>
            <w:vAlign w:val="center"/>
          </w:tcPr>
          <w:p w14:paraId="1AAFE828">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47</w:t>
            </w:r>
          </w:p>
        </w:tc>
        <w:tc>
          <w:tcPr>
            <w:tcW w:w="338" w:type="pct"/>
            <w:noWrap/>
            <w:vAlign w:val="center"/>
          </w:tcPr>
          <w:p w14:paraId="0A375069">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24</w:t>
            </w:r>
          </w:p>
        </w:tc>
        <w:tc>
          <w:tcPr>
            <w:tcW w:w="338" w:type="pct"/>
            <w:noWrap/>
            <w:vAlign w:val="center"/>
          </w:tcPr>
          <w:p w14:paraId="58C6FD06">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18</w:t>
            </w:r>
          </w:p>
        </w:tc>
        <w:tc>
          <w:tcPr>
            <w:tcW w:w="338" w:type="pct"/>
            <w:noWrap/>
            <w:vAlign w:val="center"/>
          </w:tcPr>
          <w:p w14:paraId="1347C7ED">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31</w:t>
            </w:r>
          </w:p>
        </w:tc>
        <w:tc>
          <w:tcPr>
            <w:tcW w:w="345" w:type="pct"/>
            <w:vMerge w:val="continue"/>
            <w:noWrap/>
            <w:vAlign w:val="center"/>
          </w:tcPr>
          <w:p w14:paraId="06744E3D">
            <w:pPr>
              <w:spacing w:line="240" w:lineRule="exact"/>
              <w:jc w:val="center"/>
              <w:rPr>
                <w:rFonts w:ascii="Times New Roman" w:hAnsi="Times New Roman" w:eastAsia="宋体" w:cs="Times New Roman"/>
                <w:color w:val="auto"/>
                <w:kern w:val="0"/>
              </w:rPr>
            </w:pPr>
          </w:p>
        </w:tc>
        <w:tc>
          <w:tcPr>
            <w:tcW w:w="376" w:type="pct"/>
            <w:noWrap/>
            <w:vAlign w:val="center"/>
          </w:tcPr>
          <w:p w14:paraId="51191B3D">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46A04B03">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4" w:type="pct"/>
            <w:vMerge w:val="continue"/>
            <w:vAlign w:val="center"/>
          </w:tcPr>
          <w:p w14:paraId="2316E15A">
            <w:pPr>
              <w:spacing w:line="240" w:lineRule="exact"/>
              <w:jc w:val="center"/>
              <w:rPr>
                <w:rFonts w:ascii="Times New Roman" w:hAnsi="Times New Roman" w:eastAsia="宋体" w:cs="Times New Roman"/>
                <w:color w:val="auto"/>
                <w:kern w:val="0"/>
              </w:rPr>
            </w:pPr>
          </w:p>
        </w:tc>
        <w:tc>
          <w:tcPr>
            <w:tcW w:w="481" w:type="pct"/>
            <w:vMerge w:val="continue"/>
            <w:vAlign w:val="center"/>
          </w:tcPr>
          <w:p w14:paraId="42A39F33">
            <w:pPr>
              <w:spacing w:line="240" w:lineRule="exact"/>
              <w:jc w:val="center"/>
              <w:rPr>
                <w:rFonts w:ascii="Times New Roman" w:hAnsi="Times New Roman" w:eastAsia="宋体" w:cs="Times New Roman"/>
                <w:color w:val="auto"/>
                <w:kern w:val="0"/>
              </w:rPr>
            </w:pPr>
          </w:p>
        </w:tc>
        <w:tc>
          <w:tcPr>
            <w:tcW w:w="403" w:type="pct"/>
            <w:vMerge w:val="continue"/>
            <w:vAlign w:val="center"/>
          </w:tcPr>
          <w:p w14:paraId="4EC19E6E">
            <w:pPr>
              <w:spacing w:line="240" w:lineRule="exact"/>
              <w:jc w:val="center"/>
              <w:rPr>
                <w:rFonts w:ascii="Times New Roman" w:hAnsi="Times New Roman" w:eastAsia="宋体" w:cs="Times New Roman"/>
                <w:color w:val="auto"/>
                <w:kern w:val="0"/>
              </w:rPr>
            </w:pPr>
          </w:p>
        </w:tc>
        <w:tc>
          <w:tcPr>
            <w:tcW w:w="807" w:type="pct"/>
            <w:vMerge w:val="continue"/>
            <w:vAlign w:val="center"/>
          </w:tcPr>
          <w:p w14:paraId="009D9DCE">
            <w:pPr>
              <w:spacing w:line="240" w:lineRule="exact"/>
              <w:jc w:val="center"/>
              <w:rPr>
                <w:rFonts w:ascii="Times New Roman" w:hAnsi="Times New Roman" w:eastAsia="宋体" w:cs="Times New Roman"/>
                <w:color w:val="auto"/>
                <w:kern w:val="0"/>
              </w:rPr>
            </w:pPr>
          </w:p>
        </w:tc>
        <w:tc>
          <w:tcPr>
            <w:tcW w:w="504" w:type="pct"/>
            <w:noWrap/>
            <w:vAlign w:val="center"/>
          </w:tcPr>
          <w:p w14:paraId="4597C5C8">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2026.4.24</w:t>
            </w:r>
          </w:p>
        </w:tc>
        <w:tc>
          <w:tcPr>
            <w:tcW w:w="302" w:type="pct"/>
            <w:vAlign w:val="center"/>
          </w:tcPr>
          <w:p w14:paraId="755A6A92">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昼间</w:t>
            </w:r>
          </w:p>
        </w:tc>
        <w:tc>
          <w:tcPr>
            <w:tcW w:w="504" w:type="pct"/>
            <w:vAlign w:val="center"/>
          </w:tcPr>
          <w:p w14:paraId="2EB03AC7">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55</w:t>
            </w:r>
          </w:p>
        </w:tc>
        <w:tc>
          <w:tcPr>
            <w:tcW w:w="338" w:type="pct"/>
            <w:noWrap/>
            <w:vAlign w:val="center"/>
          </w:tcPr>
          <w:p w14:paraId="4F265EF7">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46</w:t>
            </w:r>
          </w:p>
        </w:tc>
        <w:tc>
          <w:tcPr>
            <w:tcW w:w="338" w:type="pct"/>
            <w:noWrap/>
            <w:vAlign w:val="center"/>
          </w:tcPr>
          <w:p w14:paraId="0137E2B8">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27</w:t>
            </w:r>
          </w:p>
        </w:tc>
        <w:tc>
          <w:tcPr>
            <w:tcW w:w="338" w:type="pct"/>
            <w:noWrap/>
            <w:vAlign w:val="center"/>
          </w:tcPr>
          <w:p w14:paraId="01049370">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111</w:t>
            </w:r>
          </w:p>
        </w:tc>
        <w:tc>
          <w:tcPr>
            <w:tcW w:w="345" w:type="pct"/>
            <w:vMerge w:val="continue"/>
            <w:noWrap/>
            <w:vAlign w:val="center"/>
          </w:tcPr>
          <w:p w14:paraId="5EB607B5">
            <w:pPr>
              <w:spacing w:line="240" w:lineRule="exact"/>
              <w:jc w:val="center"/>
              <w:rPr>
                <w:rFonts w:ascii="Times New Roman" w:hAnsi="Times New Roman" w:eastAsia="宋体" w:cs="Times New Roman"/>
                <w:color w:val="auto"/>
                <w:kern w:val="0"/>
              </w:rPr>
            </w:pPr>
          </w:p>
        </w:tc>
        <w:tc>
          <w:tcPr>
            <w:tcW w:w="376" w:type="pct"/>
            <w:noWrap/>
            <w:vAlign w:val="center"/>
          </w:tcPr>
          <w:p w14:paraId="4974B3AA">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0BF30E52">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4" w:type="pct"/>
            <w:vMerge w:val="continue"/>
            <w:vAlign w:val="center"/>
          </w:tcPr>
          <w:p w14:paraId="56AA7592">
            <w:pPr>
              <w:spacing w:line="240" w:lineRule="exact"/>
              <w:jc w:val="center"/>
              <w:rPr>
                <w:rFonts w:ascii="Times New Roman" w:hAnsi="Times New Roman" w:eastAsia="宋体" w:cs="Times New Roman"/>
                <w:color w:val="auto"/>
                <w:kern w:val="0"/>
              </w:rPr>
            </w:pPr>
          </w:p>
        </w:tc>
        <w:tc>
          <w:tcPr>
            <w:tcW w:w="481" w:type="pct"/>
            <w:vMerge w:val="continue"/>
            <w:vAlign w:val="center"/>
          </w:tcPr>
          <w:p w14:paraId="2D0B1064">
            <w:pPr>
              <w:spacing w:line="240" w:lineRule="exact"/>
              <w:jc w:val="center"/>
              <w:rPr>
                <w:rFonts w:ascii="Times New Roman" w:hAnsi="Times New Roman" w:eastAsia="宋体" w:cs="Times New Roman"/>
                <w:color w:val="auto"/>
                <w:kern w:val="0"/>
              </w:rPr>
            </w:pPr>
          </w:p>
        </w:tc>
        <w:tc>
          <w:tcPr>
            <w:tcW w:w="403" w:type="pct"/>
            <w:vMerge w:val="continue"/>
            <w:vAlign w:val="center"/>
          </w:tcPr>
          <w:p w14:paraId="7359AC41">
            <w:pPr>
              <w:spacing w:line="240" w:lineRule="exact"/>
              <w:jc w:val="center"/>
              <w:rPr>
                <w:rFonts w:ascii="Times New Roman" w:hAnsi="Times New Roman" w:eastAsia="宋体" w:cs="Times New Roman"/>
                <w:color w:val="auto"/>
                <w:kern w:val="0"/>
              </w:rPr>
            </w:pPr>
          </w:p>
        </w:tc>
        <w:tc>
          <w:tcPr>
            <w:tcW w:w="807" w:type="pct"/>
            <w:vMerge w:val="continue"/>
            <w:vAlign w:val="center"/>
          </w:tcPr>
          <w:p w14:paraId="3D3D9612">
            <w:pPr>
              <w:spacing w:line="240" w:lineRule="exact"/>
              <w:jc w:val="center"/>
              <w:rPr>
                <w:rFonts w:ascii="Times New Roman" w:hAnsi="Times New Roman" w:eastAsia="宋体" w:cs="Times New Roman"/>
                <w:color w:val="auto"/>
                <w:kern w:val="0"/>
              </w:rPr>
            </w:pPr>
          </w:p>
        </w:tc>
        <w:tc>
          <w:tcPr>
            <w:tcW w:w="504" w:type="pct"/>
            <w:noWrap/>
            <w:vAlign w:val="center"/>
          </w:tcPr>
          <w:p w14:paraId="67AF5BA2">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2026.4.25</w:t>
            </w:r>
          </w:p>
        </w:tc>
        <w:tc>
          <w:tcPr>
            <w:tcW w:w="302" w:type="pct"/>
            <w:vAlign w:val="center"/>
          </w:tcPr>
          <w:p w14:paraId="51DA49A9">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夜间</w:t>
            </w:r>
          </w:p>
        </w:tc>
        <w:tc>
          <w:tcPr>
            <w:tcW w:w="504" w:type="pct"/>
            <w:vAlign w:val="center"/>
          </w:tcPr>
          <w:p w14:paraId="42482B32">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46</w:t>
            </w:r>
          </w:p>
        </w:tc>
        <w:tc>
          <w:tcPr>
            <w:tcW w:w="338" w:type="pct"/>
            <w:noWrap/>
            <w:vAlign w:val="center"/>
          </w:tcPr>
          <w:p w14:paraId="3BB88D21">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28</w:t>
            </w:r>
          </w:p>
        </w:tc>
        <w:tc>
          <w:tcPr>
            <w:tcW w:w="338" w:type="pct"/>
            <w:noWrap/>
            <w:vAlign w:val="center"/>
          </w:tcPr>
          <w:p w14:paraId="1192DC77">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18</w:t>
            </w:r>
          </w:p>
        </w:tc>
        <w:tc>
          <w:tcPr>
            <w:tcW w:w="338" w:type="pct"/>
            <w:noWrap/>
            <w:vAlign w:val="center"/>
          </w:tcPr>
          <w:p w14:paraId="76E237DE">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30</w:t>
            </w:r>
          </w:p>
        </w:tc>
        <w:tc>
          <w:tcPr>
            <w:tcW w:w="345" w:type="pct"/>
            <w:vMerge w:val="continue"/>
            <w:noWrap/>
            <w:vAlign w:val="center"/>
          </w:tcPr>
          <w:p w14:paraId="19EEBD10">
            <w:pPr>
              <w:spacing w:line="240" w:lineRule="exact"/>
              <w:jc w:val="center"/>
              <w:rPr>
                <w:rFonts w:ascii="Times New Roman" w:hAnsi="Times New Roman" w:eastAsia="宋体" w:cs="Times New Roman"/>
                <w:color w:val="auto"/>
                <w:kern w:val="0"/>
              </w:rPr>
            </w:pPr>
          </w:p>
        </w:tc>
        <w:tc>
          <w:tcPr>
            <w:tcW w:w="376" w:type="pct"/>
            <w:noWrap/>
            <w:vAlign w:val="center"/>
          </w:tcPr>
          <w:p w14:paraId="29BAF7F0">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07F059D0">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4" w:type="pct"/>
            <w:vMerge w:val="continue"/>
            <w:noWrap/>
            <w:vAlign w:val="center"/>
          </w:tcPr>
          <w:p w14:paraId="4D7FB8A2">
            <w:pPr>
              <w:spacing w:line="240" w:lineRule="exact"/>
              <w:jc w:val="center"/>
              <w:rPr>
                <w:rFonts w:ascii="Times New Roman" w:hAnsi="Times New Roman" w:eastAsia="宋体" w:cs="Times New Roman"/>
                <w:color w:val="auto"/>
                <w:kern w:val="0"/>
              </w:rPr>
            </w:pPr>
          </w:p>
        </w:tc>
        <w:tc>
          <w:tcPr>
            <w:tcW w:w="481" w:type="pct"/>
            <w:vMerge w:val="continue"/>
            <w:noWrap/>
            <w:vAlign w:val="center"/>
          </w:tcPr>
          <w:p w14:paraId="3CAC01D6">
            <w:pPr>
              <w:spacing w:line="240" w:lineRule="exact"/>
              <w:jc w:val="center"/>
              <w:rPr>
                <w:rFonts w:ascii="Times New Roman" w:hAnsi="Times New Roman" w:eastAsia="宋体" w:cs="Times New Roman"/>
                <w:color w:val="auto"/>
                <w:kern w:val="0"/>
              </w:rPr>
            </w:pPr>
          </w:p>
        </w:tc>
        <w:tc>
          <w:tcPr>
            <w:tcW w:w="403" w:type="pct"/>
            <w:vMerge w:val="restart"/>
            <w:vAlign w:val="center"/>
          </w:tcPr>
          <w:p w14:paraId="3825C2CB">
            <w:pPr>
              <w:spacing w:line="240" w:lineRule="exact"/>
              <w:jc w:val="center"/>
              <w:rPr>
                <w:rFonts w:ascii="Times New Roman" w:hAnsi="Times New Roman" w:eastAsia="宋体" w:cs="Times New Roman"/>
                <w:color w:val="auto"/>
                <w:kern w:val="0"/>
              </w:rPr>
            </w:pPr>
            <w:r>
              <w:rPr>
                <w:rFonts w:ascii="Times New Roman" w:hAnsi="Times New Roman" w:eastAsia="宋体" w:cs="Times New Roman"/>
                <w:color w:val="auto"/>
                <w:kern w:val="0"/>
              </w:rPr>
              <w:t>背景噪声</w:t>
            </w:r>
          </w:p>
        </w:tc>
        <w:tc>
          <w:tcPr>
            <w:tcW w:w="807" w:type="pct"/>
            <w:vMerge w:val="restart"/>
            <w:vAlign w:val="center"/>
          </w:tcPr>
          <w:p w14:paraId="04E38702">
            <w:pPr>
              <w:spacing w:line="240" w:lineRule="exact"/>
              <w:jc w:val="center"/>
              <w:rPr>
                <w:rFonts w:ascii="Times New Roman" w:hAnsi="Times New Roman" w:eastAsia="宋体" w:cs="Times New Roman"/>
                <w:color w:val="auto"/>
                <w:kern w:val="0"/>
              </w:rPr>
            </w:pPr>
            <w:r>
              <w:rPr>
                <w:rFonts w:hint="eastAsia" w:ascii="Times New Roman" w:hAnsi="Times New Roman" w:eastAsia="宋体" w:cs="Times New Roman"/>
                <w:color w:val="auto"/>
                <w:szCs w:val="21"/>
              </w:rPr>
              <w:t>远离现有G219</w:t>
            </w:r>
            <w:r>
              <w:rPr>
                <w:rFonts w:ascii="Times New Roman" w:hAnsi="Times New Roman" w:eastAsia="宋体" w:cs="Times New Roman"/>
                <w:color w:val="auto"/>
                <w:kern w:val="0"/>
                <w:szCs w:val="21"/>
              </w:rPr>
              <w:t>公路200m外</w:t>
            </w:r>
          </w:p>
        </w:tc>
        <w:tc>
          <w:tcPr>
            <w:tcW w:w="504" w:type="pct"/>
            <w:noWrap/>
            <w:vAlign w:val="center"/>
          </w:tcPr>
          <w:p w14:paraId="4682F2F1">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2026.4.23</w:t>
            </w:r>
          </w:p>
        </w:tc>
        <w:tc>
          <w:tcPr>
            <w:tcW w:w="302" w:type="pct"/>
            <w:vAlign w:val="center"/>
          </w:tcPr>
          <w:p w14:paraId="36ABAE2D">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昼间</w:t>
            </w:r>
          </w:p>
        </w:tc>
        <w:tc>
          <w:tcPr>
            <w:tcW w:w="504" w:type="pct"/>
            <w:vAlign w:val="center"/>
          </w:tcPr>
          <w:p w14:paraId="053D83CD">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45</w:t>
            </w:r>
          </w:p>
        </w:tc>
        <w:tc>
          <w:tcPr>
            <w:tcW w:w="338" w:type="pct"/>
            <w:noWrap/>
            <w:vAlign w:val="center"/>
          </w:tcPr>
          <w:p w14:paraId="464E4A5F">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38" w:type="pct"/>
            <w:noWrap/>
            <w:vAlign w:val="center"/>
          </w:tcPr>
          <w:p w14:paraId="19A43DC7">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38" w:type="pct"/>
            <w:noWrap/>
            <w:vAlign w:val="center"/>
          </w:tcPr>
          <w:p w14:paraId="7C09D498">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45" w:type="pct"/>
            <w:vMerge w:val="continue"/>
            <w:noWrap/>
            <w:vAlign w:val="center"/>
          </w:tcPr>
          <w:p w14:paraId="667F8284">
            <w:pPr>
              <w:spacing w:line="240" w:lineRule="exact"/>
              <w:jc w:val="center"/>
              <w:rPr>
                <w:rFonts w:ascii="Times New Roman" w:hAnsi="Times New Roman" w:eastAsia="宋体" w:cs="Times New Roman"/>
                <w:color w:val="auto"/>
                <w:kern w:val="0"/>
              </w:rPr>
            </w:pPr>
          </w:p>
        </w:tc>
        <w:tc>
          <w:tcPr>
            <w:tcW w:w="376" w:type="pct"/>
            <w:noWrap/>
            <w:vAlign w:val="center"/>
          </w:tcPr>
          <w:p w14:paraId="55D170AE">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15637BAB">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4" w:type="pct"/>
            <w:vMerge w:val="continue"/>
            <w:vAlign w:val="center"/>
          </w:tcPr>
          <w:p w14:paraId="1084275F">
            <w:pPr>
              <w:spacing w:line="240" w:lineRule="exact"/>
              <w:jc w:val="center"/>
              <w:rPr>
                <w:rFonts w:ascii="Times New Roman" w:hAnsi="Times New Roman" w:eastAsia="宋体" w:cs="Times New Roman"/>
                <w:color w:val="auto"/>
                <w:kern w:val="0"/>
              </w:rPr>
            </w:pPr>
          </w:p>
        </w:tc>
        <w:tc>
          <w:tcPr>
            <w:tcW w:w="481" w:type="pct"/>
            <w:vMerge w:val="continue"/>
            <w:vAlign w:val="center"/>
          </w:tcPr>
          <w:p w14:paraId="20D8265E">
            <w:pPr>
              <w:spacing w:line="240" w:lineRule="exact"/>
              <w:jc w:val="center"/>
              <w:rPr>
                <w:rFonts w:ascii="Times New Roman" w:hAnsi="Times New Roman" w:eastAsia="宋体" w:cs="Times New Roman"/>
                <w:color w:val="auto"/>
                <w:kern w:val="0"/>
              </w:rPr>
            </w:pPr>
          </w:p>
        </w:tc>
        <w:tc>
          <w:tcPr>
            <w:tcW w:w="403" w:type="pct"/>
            <w:vMerge w:val="continue"/>
            <w:vAlign w:val="center"/>
          </w:tcPr>
          <w:p w14:paraId="56ADFA50">
            <w:pPr>
              <w:spacing w:line="240" w:lineRule="exact"/>
              <w:jc w:val="center"/>
              <w:rPr>
                <w:rFonts w:ascii="Times New Roman" w:hAnsi="Times New Roman" w:eastAsia="宋体" w:cs="Times New Roman"/>
                <w:color w:val="auto"/>
                <w:kern w:val="0"/>
              </w:rPr>
            </w:pPr>
          </w:p>
        </w:tc>
        <w:tc>
          <w:tcPr>
            <w:tcW w:w="807" w:type="pct"/>
            <w:vMerge w:val="continue"/>
            <w:vAlign w:val="center"/>
          </w:tcPr>
          <w:p w14:paraId="5BB51D76">
            <w:pPr>
              <w:spacing w:line="240" w:lineRule="exact"/>
              <w:jc w:val="center"/>
              <w:rPr>
                <w:rFonts w:ascii="Times New Roman" w:hAnsi="Times New Roman" w:eastAsia="宋体" w:cs="Times New Roman"/>
                <w:color w:val="auto"/>
                <w:kern w:val="0"/>
              </w:rPr>
            </w:pPr>
          </w:p>
        </w:tc>
        <w:tc>
          <w:tcPr>
            <w:tcW w:w="504" w:type="pct"/>
            <w:noWrap/>
            <w:vAlign w:val="center"/>
          </w:tcPr>
          <w:p w14:paraId="0BEC1C69">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2026.4.24</w:t>
            </w:r>
          </w:p>
        </w:tc>
        <w:tc>
          <w:tcPr>
            <w:tcW w:w="302" w:type="pct"/>
            <w:vAlign w:val="center"/>
          </w:tcPr>
          <w:p w14:paraId="08DAB7B9">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夜间</w:t>
            </w:r>
          </w:p>
        </w:tc>
        <w:tc>
          <w:tcPr>
            <w:tcW w:w="504" w:type="pct"/>
            <w:vAlign w:val="center"/>
          </w:tcPr>
          <w:p w14:paraId="2359D991">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39</w:t>
            </w:r>
          </w:p>
        </w:tc>
        <w:tc>
          <w:tcPr>
            <w:tcW w:w="338" w:type="pct"/>
            <w:noWrap/>
            <w:vAlign w:val="center"/>
          </w:tcPr>
          <w:p w14:paraId="07467B96">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38" w:type="pct"/>
            <w:noWrap/>
            <w:vAlign w:val="center"/>
          </w:tcPr>
          <w:p w14:paraId="5B99CB7D">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38" w:type="pct"/>
            <w:noWrap/>
            <w:vAlign w:val="center"/>
          </w:tcPr>
          <w:p w14:paraId="355224FE">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45" w:type="pct"/>
            <w:vMerge w:val="continue"/>
            <w:noWrap/>
            <w:vAlign w:val="center"/>
          </w:tcPr>
          <w:p w14:paraId="1F17A663">
            <w:pPr>
              <w:spacing w:line="240" w:lineRule="exact"/>
              <w:jc w:val="center"/>
              <w:rPr>
                <w:rFonts w:ascii="Times New Roman" w:hAnsi="Times New Roman" w:eastAsia="宋体" w:cs="Times New Roman"/>
                <w:color w:val="auto"/>
                <w:kern w:val="0"/>
              </w:rPr>
            </w:pPr>
          </w:p>
        </w:tc>
        <w:tc>
          <w:tcPr>
            <w:tcW w:w="376" w:type="pct"/>
            <w:noWrap/>
            <w:vAlign w:val="center"/>
          </w:tcPr>
          <w:p w14:paraId="783528EC">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2DB0A6AA">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4" w:type="pct"/>
            <w:vMerge w:val="continue"/>
            <w:vAlign w:val="center"/>
          </w:tcPr>
          <w:p w14:paraId="28062CA2">
            <w:pPr>
              <w:spacing w:line="240" w:lineRule="exact"/>
              <w:jc w:val="center"/>
              <w:rPr>
                <w:rFonts w:ascii="Times New Roman" w:hAnsi="Times New Roman" w:eastAsia="宋体" w:cs="Times New Roman"/>
                <w:color w:val="auto"/>
                <w:kern w:val="0"/>
              </w:rPr>
            </w:pPr>
          </w:p>
        </w:tc>
        <w:tc>
          <w:tcPr>
            <w:tcW w:w="481" w:type="pct"/>
            <w:vMerge w:val="continue"/>
            <w:vAlign w:val="center"/>
          </w:tcPr>
          <w:p w14:paraId="29125B78">
            <w:pPr>
              <w:spacing w:line="240" w:lineRule="exact"/>
              <w:jc w:val="center"/>
              <w:rPr>
                <w:rFonts w:ascii="Times New Roman" w:hAnsi="Times New Roman" w:eastAsia="宋体" w:cs="Times New Roman"/>
                <w:color w:val="auto"/>
                <w:kern w:val="0"/>
              </w:rPr>
            </w:pPr>
          </w:p>
        </w:tc>
        <w:tc>
          <w:tcPr>
            <w:tcW w:w="403" w:type="pct"/>
            <w:vMerge w:val="continue"/>
            <w:vAlign w:val="center"/>
          </w:tcPr>
          <w:p w14:paraId="59731A22">
            <w:pPr>
              <w:spacing w:line="240" w:lineRule="exact"/>
              <w:jc w:val="center"/>
              <w:rPr>
                <w:rFonts w:ascii="Times New Roman" w:hAnsi="Times New Roman" w:eastAsia="宋体" w:cs="Times New Roman"/>
                <w:color w:val="auto"/>
                <w:kern w:val="0"/>
              </w:rPr>
            </w:pPr>
          </w:p>
        </w:tc>
        <w:tc>
          <w:tcPr>
            <w:tcW w:w="807" w:type="pct"/>
            <w:vMerge w:val="continue"/>
            <w:vAlign w:val="center"/>
          </w:tcPr>
          <w:p w14:paraId="4D189431">
            <w:pPr>
              <w:spacing w:line="240" w:lineRule="exact"/>
              <w:jc w:val="center"/>
              <w:rPr>
                <w:rFonts w:ascii="Times New Roman" w:hAnsi="Times New Roman" w:eastAsia="宋体" w:cs="Times New Roman"/>
                <w:color w:val="auto"/>
                <w:kern w:val="0"/>
              </w:rPr>
            </w:pPr>
          </w:p>
        </w:tc>
        <w:tc>
          <w:tcPr>
            <w:tcW w:w="504" w:type="pct"/>
            <w:noWrap/>
            <w:vAlign w:val="center"/>
          </w:tcPr>
          <w:p w14:paraId="0A95CA76">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2026.4.24</w:t>
            </w:r>
          </w:p>
        </w:tc>
        <w:tc>
          <w:tcPr>
            <w:tcW w:w="302" w:type="pct"/>
            <w:vAlign w:val="center"/>
          </w:tcPr>
          <w:p w14:paraId="0091E804">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昼间</w:t>
            </w:r>
          </w:p>
        </w:tc>
        <w:tc>
          <w:tcPr>
            <w:tcW w:w="504" w:type="pct"/>
            <w:vAlign w:val="center"/>
          </w:tcPr>
          <w:p w14:paraId="703B7BCE">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46</w:t>
            </w:r>
          </w:p>
        </w:tc>
        <w:tc>
          <w:tcPr>
            <w:tcW w:w="338" w:type="pct"/>
            <w:noWrap/>
            <w:vAlign w:val="center"/>
          </w:tcPr>
          <w:p w14:paraId="7FF8C96D">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38" w:type="pct"/>
            <w:noWrap/>
            <w:vAlign w:val="center"/>
          </w:tcPr>
          <w:p w14:paraId="37B26760">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38" w:type="pct"/>
            <w:noWrap/>
            <w:vAlign w:val="center"/>
          </w:tcPr>
          <w:p w14:paraId="15FBD945">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45" w:type="pct"/>
            <w:vMerge w:val="continue"/>
            <w:noWrap/>
            <w:vAlign w:val="center"/>
          </w:tcPr>
          <w:p w14:paraId="1A0236FA">
            <w:pPr>
              <w:spacing w:line="240" w:lineRule="exact"/>
              <w:jc w:val="center"/>
              <w:rPr>
                <w:rFonts w:ascii="Times New Roman" w:hAnsi="Times New Roman" w:eastAsia="宋体" w:cs="Times New Roman"/>
                <w:color w:val="auto"/>
                <w:kern w:val="0"/>
              </w:rPr>
            </w:pPr>
          </w:p>
        </w:tc>
        <w:tc>
          <w:tcPr>
            <w:tcW w:w="376" w:type="pct"/>
            <w:noWrap/>
            <w:vAlign w:val="center"/>
          </w:tcPr>
          <w:p w14:paraId="4B11930D">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4FFFFB81">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4" w:type="pct"/>
            <w:vMerge w:val="continue"/>
            <w:vAlign w:val="center"/>
          </w:tcPr>
          <w:p w14:paraId="64FD038E">
            <w:pPr>
              <w:spacing w:line="240" w:lineRule="exact"/>
              <w:jc w:val="center"/>
              <w:rPr>
                <w:rFonts w:ascii="Times New Roman" w:hAnsi="Times New Roman" w:eastAsia="宋体" w:cs="Times New Roman"/>
                <w:color w:val="auto"/>
                <w:kern w:val="0"/>
              </w:rPr>
            </w:pPr>
          </w:p>
        </w:tc>
        <w:tc>
          <w:tcPr>
            <w:tcW w:w="481" w:type="pct"/>
            <w:vMerge w:val="continue"/>
            <w:vAlign w:val="center"/>
          </w:tcPr>
          <w:p w14:paraId="642C795C">
            <w:pPr>
              <w:spacing w:line="240" w:lineRule="exact"/>
              <w:jc w:val="center"/>
              <w:rPr>
                <w:rFonts w:ascii="Times New Roman" w:hAnsi="Times New Roman" w:eastAsia="宋体" w:cs="Times New Roman"/>
                <w:color w:val="auto"/>
                <w:kern w:val="0"/>
              </w:rPr>
            </w:pPr>
          </w:p>
        </w:tc>
        <w:tc>
          <w:tcPr>
            <w:tcW w:w="403" w:type="pct"/>
            <w:vMerge w:val="continue"/>
            <w:vAlign w:val="center"/>
          </w:tcPr>
          <w:p w14:paraId="70ABD073">
            <w:pPr>
              <w:spacing w:line="240" w:lineRule="exact"/>
              <w:jc w:val="center"/>
              <w:rPr>
                <w:rFonts w:ascii="Times New Roman" w:hAnsi="Times New Roman" w:eastAsia="宋体" w:cs="Times New Roman"/>
                <w:color w:val="auto"/>
                <w:kern w:val="0"/>
              </w:rPr>
            </w:pPr>
          </w:p>
        </w:tc>
        <w:tc>
          <w:tcPr>
            <w:tcW w:w="807" w:type="pct"/>
            <w:vMerge w:val="continue"/>
            <w:vAlign w:val="center"/>
          </w:tcPr>
          <w:p w14:paraId="11D773F1">
            <w:pPr>
              <w:spacing w:line="240" w:lineRule="exact"/>
              <w:jc w:val="center"/>
              <w:rPr>
                <w:rFonts w:ascii="Times New Roman" w:hAnsi="Times New Roman" w:eastAsia="宋体" w:cs="Times New Roman"/>
                <w:color w:val="auto"/>
                <w:kern w:val="0"/>
              </w:rPr>
            </w:pPr>
          </w:p>
        </w:tc>
        <w:tc>
          <w:tcPr>
            <w:tcW w:w="504" w:type="pct"/>
            <w:noWrap/>
            <w:vAlign w:val="center"/>
          </w:tcPr>
          <w:p w14:paraId="2216F11F">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2026.4.25</w:t>
            </w:r>
          </w:p>
        </w:tc>
        <w:tc>
          <w:tcPr>
            <w:tcW w:w="302" w:type="pct"/>
            <w:vAlign w:val="center"/>
          </w:tcPr>
          <w:p w14:paraId="2AB3FE79">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夜间</w:t>
            </w:r>
          </w:p>
        </w:tc>
        <w:tc>
          <w:tcPr>
            <w:tcW w:w="504" w:type="pct"/>
            <w:vAlign w:val="center"/>
          </w:tcPr>
          <w:p w14:paraId="408A7785">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38</w:t>
            </w:r>
          </w:p>
        </w:tc>
        <w:tc>
          <w:tcPr>
            <w:tcW w:w="338" w:type="pct"/>
            <w:noWrap/>
            <w:vAlign w:val="center"/>
          </w:tcPr>
          <w:p w14:paraId="227D56AB">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38" w:type="pct"/>
            <w:noWrap/>
            <w:vAlign w:val="center"/>
          </w:tcPr>
          <w:p w14:paraId="7529D90E">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38" w:type="pct"/>
            <w:noWrap/>
            <w:vAlign w:val="center"/>
          </w:tcPr>
          <w:p w14:paraId="42839155">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45" w:type="pct"/>
            <w:vMerge w:val="continue"/>
            <w:noWrap/>
            <w:vAlign w:val="center"/>
          </w:tcPr>
          <w:p w14:paraId="6D1E1AF2">
            <w:pPr>
              <w:spacing w:line="240" w:lineRule="exact"/>
              <w:jc w:val="center"/>
              <w:rPr>
                <w:rFonts w:ascii="Times New Roman" w:hAnsi="Times New Roman" w:eastAsia="宋体" w:cs="Times New Roman"/>
                <w:color w:val="auto"/>
                <w:kern w:val="0"/>
              </w:rPr>
            </w:pPr>
          </w:p>
        </w:tc>
        <w:tc>
          <w:tcPr>
            <w:tcW w:w="376" w:type="pct"/>
            <w:noWrap/>
            <w:vAlign w:val="center"/>
          </w:tcPr>
          <w:p w14:paraId="5C81480F">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2198FCE3">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4" w:type="pct"/>
            <w:vMerge w:val="restart"/>
            <w:noWrap/>
            <w:vAlign w:val="center"/>
          </w:tcPr>
          <w:p w14:paraId="38862E78">
            <w:pPr>
              <w:spacing w:line="240" w:lineRule="exact"/>
              <w:jc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9</w:t>
            </w:r>
          </w:p>
        </w:tc>
        <w:tc>
          <w:tcPr>
            <w:tcW w:w="481" w:type="pct"/>
            <w:vMerge w:val="restart"/>
            <w:noWrap/>
            <w:vAlign w:val="center"/>
          </w:tcPr>
          <w:p w14:paraId="277E84AB">
            <w:pPr>
              <w:spacing w:line="240" w:lineRule="exact"/>
              <w:jc w:val="center"/>
              <w:rPr>
                <w:rFonts w:ascii="Times New Roman" w:hAnsi="Times New Roman" w:cs="Times New Roman" w:eastAsiaTheme="minorEastAsia"/>
                <w:color w:val="auto"/>
              </w:rPr>
            </w:pPr>
            <w:r>
              <w:rPr>
                <w:rFonts w:hint="eastAsia" w:ascii="Times New Roman" w:cs="Times New Roman" w:hAnsiTheme="minorEastAsia" w:eastAsiaTheme="minorEastAsia"/>
                <w:color w:val="auto"/>
              </w:rPr>
              <w:t>夏合亚迪村小学</w:t>
            </w:r>
          </w:p>
        </w:tc>
        <w:tc>
          <w:tcPr>
            <w:tcW w:w="403" w:type="pct"/>
            <w:vMerge w:val="restart"/>
            <w:vAlign w:val="center"/>
          </w:tcPr>
          <w:p w14:paraId="3AD215A0">
            <w:pPr>
              <w:spacing w:line="240" w:lineRule="exact"/>
              <w:jc w:val="center"/>
              <w:rPr>
                <w:rFonts w:ascii="Times New Roman" w:hAnsi="Times New Roman" w:eastAsia="宋体" w:cs="Times New Roman"/>
                <w:color w:val="auto"/>
                <w:kern w:val="0"/>
              </w:rPr>
            </w:pPr>
            <w:r>
              <w:rPr>
                <w:rFonts w:ascii="Times New Roman" w:hAnsi="Times New Roman" w:eastAsia="宋体" w:cs="Times New Roman"/>
                <w:color w:val="auto"/>
                <w:kern w:val="0"/>
              </w:rPr>
              <w:t>环境噪声</w:t>
            </w:r>
          </w:p>
        </w:tc>
        <w:tc>
          <w:tcPr>
            <w:tcW w:w="807" w:type="pct"/>
            <w:vMerge w:val="restart"/>
            <w:vAlign w:val="center"/>
          </w:tcPr>
          <w:p w14:paraId="5A58C313">
            <w:pPr>
              <w:spacing w:line="240" w:lineRule="exact"/>
              <w:jc w:val="center"/>
              <w:rPr>
                <w:rFonts w:ascii="Times New Roman" w:hAnsi="Times New Roman" w:eastAsia="宋体" w:cs="Times New Roman"/>
                <w:color w:val="auto"/>
                <w:kern w:val="0"/>
              </w:rPr>
            </w:pPr>
            <w:r>
              <w:rPr>
                <w:rFonts w:ascii="Times New Roman" w:hAnsi="Times New Roman" w:eastAsia="宋体" w:cs="Times New Roman"/>
                <w:color w:val="auto"/>
              </w:rPr>
              <w:t>临现有</w:t>
            </w:r>
            <w:r>
              <w:rPr>
                <w:rFonts w:hint="eastAsia" w:ascii="Times New Roman" w:hAnsi="Times New Roman" w:eastAsia="宋体" w:cs="Times New Roman"/>
                <w:color w:val="auto"/>
              </w:rPr>
              <w:t>G219</w:t>
            </w:r>
            <w:r>
              <w:rPr>
                <w:rFonts w:ascii="Times New Roman" w:hAnsi="Times New Roman" w:eastAsia="宋体" w:cs="Times New Roman"/>
                <w:color w:val="auto"/>
              </w:rPr>
              <w:t>第一排</w:t>
            </w:r>
            <w:r>
              <w:rPr>
                <w:rFonts w:hint="eastAsia" w:ascii="Times New Roman" w:hAnsi="Times New Roman" w:eastAsia="宋体" w:cs="Times New Roman"/>
                <w:color w:val="auto"/>
              </w:rPr>
              <w:t>教学楼2</w:t>
            </w:r>
            <w:r>
              <w:rPr>
                <w:rFonts w:ascii="Times New Roman" w:hAnsi="Times New Roman" w:eastAsia="宋体" w:cs="Times New Roman"/>
                <w:color w:val="auto"/>
              </w:rPr>
              <w:t>层</w:t>
            </w:r>
          </w:p>
        </w:tc>
        <w:tc>
          <w:tcPr>
            <w:tcW w:w="504" w:type="pct"/>
            <w:noWrap/>
            <w:vAlign w:val="center"/>
          </w:tcPr>
          <w:p w14:paraId="2334AD28">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2026.4.23</w:t>
            </w:r>
          </w:p>
        </w:tc>
        <w:tc>
          <w:tcPr>
            <w:tcW w:w="302" w:type="pct"/>
            <w:vAlign w:val="center"/>
          </w:tcPr>
          <w:p w14:paraId="62331C5D">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昼间</w:t>
            </w:r>
          </w:p>
        </w:tc>
        <w:tc>
          <w:tcPr>
            <w:tcW w:w="504" w:type="pct"/>
            <w:vAlign w:val="center"/>
          </w:tcPr>
          <w:p w14:paraId="00EC1CBC">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54</w:t>
            </w:r>
          </w:p>
        </w:tc>
        <w:tc>
          <w:tcPr>
            <w:tcW w:w="338" w:type="pct"/>
            <w:noWrap/>
            <w:vAlign w:val="center"/>
          </w:tcPr>
          <w:p w14:paraId="21FAB250">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45</w:t>
            </w:r>
          </w:p>
        </w:tc>
        <w:tc>
          <w:tcPr>
            <w:tcW w:w="338" w:type="pct"/>
            <w:noWrap/>
            <w:vAlign w:val="center"/>
          </w:tcPr>
          <w:p w14:paraId="0C5D43D3">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33</w:t>
            </w:r>
          </w:p>
        </w:tc>
        <w:tc>
          <w:tcPr>
            <w:tcW w:w="338" w:type="pct"/>
            <w:noWrap/>
            <w:vAlign w:val="center"/>
          </w:tcPr>
          <w:p w14:paraId="1A521EC5">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129</w:t>
            </w:r>
          </w:p>
        </w:tc>
        <w:tc>
          <w:tcPr>
            <w:tcW w:w="345" w:type="pct"/>
            <w:vMerge w:val="restart"/>
            <w:noWrap/>
            <w:vAlign w:val="center"/>
          </w:tcPr>
          <w:p w14:paraId="1BD10322">
            <w:pPr>
              <w:spacing w:line="240" w:lineRule="exact"/>
              <w:jc w:val="center"/>
              <w:rPr>
                <w:rFonts w:ascii="Times New Roman" w:hAnsi="Times New Roman" w:eastAsia="宋体" w:cs="Times New Roman"/>
                <w:color w:val="auto"/>
                <w:kern w:val="0"/>
              </w:rPr>
            </w:pPr>
            <w:r>
              <w:rPr>
                <w:rFonts w:ascii="Times New Roman" w:hAnsi="Times New Roman" w:eastAsia="宋体" w:cs="Times New Roman"/>
                <w:color w:val="auto"/>
                <w:kern w:val="0"/>
              </w:rPr>
              <w:t>2类</w:t>
            </w:r>
          </w:p>
        </w:tc>
        <w:tc>
          <w:tcPr>
            <w:tcW w:w="376" w:type="pct"/>
            <w:noWrap/>
            <w:vAlign w:val="center"/>
          </w:tcPr>
          <w:p w14:paraId="76CFD7F1">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04E1A2F9">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4" w:type="pct"/>
            <w:vMerge w:val="continue"/>
            <w:vAlign w:val="center"/>
          </w:tcPr>
          <w:p w14:paraId="7E9659C2">
            <w:pPr>
              <w:spacing w:line="240" w:lineRule="exact"/>
              <w:jc w:val="center"/>
              <w:rPr>
                <w:rFonts w:ascii="Times New Roman" w:hAnsi="Times New Roman" w:eastAsia="宋体" w:cs="Times New Roman"/>
                <w:color w:val="auto"/>
                <w:kern w:val="0"/>
              </w:rPr>
            </w:pPr>
          </w:p>
        </w:tc>
        <w:tc>
          <w:tcPr>
            <w:tcW w:w="481" w:type="pct"/>
            <w:vMerge w:val="continue"/>
            <w:vAlign w:val="center"/>
          </w:tcPr>
          <w:p w14:paraId="766DBF9C">
            <w:pPr>
              <w:spacing w:line="240" w:lineRule="exact"/>
              <w:jc w:val="center"/>
              <w:rPr>
                <w:rFonts w:ascii="Times New Roman" w:hAnsi="Times New Roman" w:eastAsia="宋体" w:cs="Times New Roman"/>
                <w:color w:val="auto"/>
                <w:kern w:val="0"/>
              </w:rPr>
            </w:pPr>
          </w:p>
        </w:tc>
        <w:tc>
          <w:tcPr>
            <w:tcW w:w="403" w:type="pct"/>
            <w:vMerge w:val="continue"/>
            <w:vAlign w:val="center"/>
          </w:tcPr>
          <w:p w14:paraId="2245C93E">
            <w:pPr>
              <w:spacing w:line="240" w:lineRule="exact"/>
              <w:jc w:val="center"/>
              <w:rPr>
                <w:rFonts w:ascii="Times New Roman" w:hAnsi="Times New Roman" w:eastAsia="宋体" w:cs="Times New Roman"/>
                <w:color w:val="auto"/>
                <w:kern w:val="0"/>
              </w:rPr>
            </w:pPr>
          </w:p>
        </w:tc>
        <w:tc>
          <w:tcPr>
            <w:tcW w:w="807" w:type="pct"/>
            <w:vMerge w:val="continue"/>
            <w:vAlign w:val="center"/>
          </w:tcPr>
          <w:p w14:paraId="1CB7D5C2">
            <w:pPr>
              <w:spacing w:line="240" w:lineRule="exact"/>
              <w:jc w:val="center"/>
              <w:rPr>
                <w:rFonts w:ascii="Times New Roman" w:hAnsi="Times New Roman" w:eastAsia="宋体" w:cs="Times New Roman"/>
                <w:color w:val="auto"/>
                <w:kern w:val="0"/>
              </w:rPr>
            </w:pPr>
          </w:p>
        </w:tc>
        <w:tc>
          <w:tcPr>
            <w:tcW w:w="504" w:type="pct"/>
            <w:noWrap/>
            <w:vAlign w:val="center"/>
          </w:tcPr>
          <w:p w14:paraId="287A6BC9">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2026.4.24</w:t>
            </w:r>
          </w:p>
        </w:tc>
        <w:tc>
          <w:tcPr>
            <w:tcW w:w="302" w:type="pct"/>
            <w:vAlign w:val="center"/>
          </w:tcPr>
          <w:p w14:paraId="61F13D7D">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夜间</w:t>
            </w:r>
          </w:p>
        </w:tc>
        <w:tc>
          <w:tcPr>
            <w:tcW w:w="504" w:type="pct"/>
            <w:vAlign w:val="center"/>
          </w:tcPr>
          <w:p w14:paraId="772A2682">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45</w:t>
            </w:r>
          </w:p>
        </w:tc>
        <w:tc>
          <w:tcPr>
            <w:tcW w:w="338" w:type="pct"/>
            <w:noWrap/>
            <w:vAlign w:val="center"/>
          </w:tcPr>
          <w:p w14:paraId="40CDF1EF">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26</w:t>
            </w:r>
          </w:p>
        </w:tc>
        <w:tc>
          <w:tcPr>
            <w:tcW w:w="338" w:type="pct"/>
            <w:noWrap/>
            <w:vAlign w:val="center"/>
          </w:tcPr>
          <w:p w14:paraId="48ECA98D">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22</w:t>
            </w:r>
          </w:p>
        </w:tc>
        <w:tc>
          <w:tcPr>
            <w:tcW w:w="338" w:type="pct"/>
            <w:noWrap/>
            <w:vAlign w:val="center"/>
          </w:tcPr>
          <w:p w14:paraId="07557344">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30</w:t>
            </w:r>
          </w:p>
        </w:tc>
        <w:tc>
          <w:tcPr>
            <w:tcW w:w="345" w:type="pct"/>
            <w:vMerge w:val="continue"/>
            <w:noWrap/>
            <w:vAlign w:val="center"/>
          </w:tcPr>
          <w:p w14:paraId="5F7165BA">
            <w:pPr>
              <w:spacing w:line="240" w:lineRule="exact"/>
              <w:jc w:val="center"/>
              <w:rPr>
                <w:rFonts w:ascii="Times New Roman" w:hAnsi="Times New Roman" w:eastAsia="宋体" w:cs="Times New Roman"/>
                <w:color w:val="auto"/>
                <w:kern w:val="0"/>
              </w:rPr>
            </w:pPr>
          </w:p>
        </w:tc>
        <w:tc>
          <w:tcPr>
            <w:tcW w:w="376" w:type="pct"/>
            <w:noWrap/>
            <w:vAlign w:val="center"/>
          </w:tcPr>
          <w:p w14:paraId="34F406C2">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752C6825">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4" w:type="pct"/>
            <w:vMerge w:val="continue"/>
            <w:vAlign w:val="center"/>
          </w:tcPr>
          <w:p w14:paraId="1EC23C31">
            <w:pPr>
              <w:spacing w:line="240" w:lineRule="exact"/>
              <w:jc w:val="center"/>
              <w:rPr>
                <w:rFonts w:ascii="Times New Roman" w:hAnsi="Times New Roman" w:eastAsia="宋体" w:cs="Times New Roman"/>
                <w:color w:val="auto"/>
                <w:kern w:val="0"/>
              </w:rPr>
            </w:pPr>
          </w:p>
        </w:tc>
        <w:tc>
          <w:tcPr>
            <w:tcW w:w="481" w:type="pct"/>
            <w:vMerge w:val="continue"/>
            <w:vAlign w:val="center"/>
          </w:tcPr>
          <w:p w14:paraId="73B587EA">
            <w:pPr>
              <w:spacing w:line="240" w:lineRule="exact"/>
              <w:jc w:val="center"/>
              <w:rPr>
                <w:rFonts w:ascii="Times New Roman" w:hAnsi="Times New Roman" w:eastAsia="宋体" w:cs="Times New Roman"/>
                <w:color w:val="auto"/>
                <w:kern w:val="0"/>
              </w:rPr>
            </w:pPr>
          </w:p>
        </w:tc>
        <w:tc>
          <w:tcPr>
            <w:tcW w:w="403" w:type="pct"/>
            <w:vMerge w:val="continue"/>
            <w:vAlign w:val="center"/>
          </w:tcPr>
          <w:p w14:paraId="40B6440E">
            <w:pPr>
              <w:spacing w:line="240" w:lineRule="exact"/>
              <w:jc w:val="center"/>
              <w:rPr>
                <w:rFonts w:ascii="Times New Roman" w:hAnsi="Times New Roman" w:eastAsia="宋体" w:cs="Times New Roman"/>
                <w:color w:val="auto"/>
                <w:kern w:val="0"/>
              </w:rPr>
            </w:pPr>
          </w:p>
        </w:tc>
        <w:tc>
          <w:tcPr>
            <w:tcW w:w="807" w:type="pct"/>
            <w:vMerge w:val="continue"/>
            <w:vAlign w:val="center"/>
          </w:tcPr>
          <w:p w14:paraId="323E6ED9">
            <w:pPr>
              <w:spacing w:line="240" w:lineRule="exact"/>
              <w:jc w:val="center"/>
              <w:rPr>
                <w:rFonts w:ascii="Times New Roman" w:hAnsi="Times New Roman" w:eastAsia="宋体" w:cs="Times New Roman"/>
                <w:color w:val="auto"/>
                <w:kern w:val="0"/>
              </w:rPr>
            </w:pPr>
          </w:p>
        </w:tc>
        <w:tc>
          <w:tcPr>
            <w:tcW w:w="504" w:type="pct"/>
            <w:noWrap/>
            <w:vAlign w:val="center"/>
          </w:tcPr>
          <w:p w14:paraId="15663A08">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2026.4.24</w:t>
            </w:r>
          </w:p>
        </w:tc>
        <w:tc>
          <w:tcPr>
            <w:tcW w:w="302" w:type="pct"/>
            <w:vAlign w:val="center"/>
          </w:tcPr>
          <w:p w14:paraId="076D16DD">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昼间</w:t>
            </w:r>
          </w:p>
        </w:tc>
        <w:tc>
          <w:tcPr>
            <w:tcW w:w="504" w:type="pct"/>
            <w:vAlign w:val="center"/>
          </w:tcPr>
          <w:p w14:paraId="54C723D6">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53</w:t>
            </w:r>
          </w:p>
        </w:tc>
        <w:tc>
          <w:tcPr>
            <w:tcW w:w="338" w:type="pct"/>
            <w:noWrap/>
            <w:vAlign w:val="center"/>
          </w:tcPr>
          <w:p w14:paraId="6464AB4B">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41</w:t>
            </w:r>
          </w:p>
        </w:tc>
        <w:tc>
          <w:tcPr>
            <w:tcW w:w="338" w:type="pct"/>
            <w:noWrap/>
            <w:vAlign w:val="center"/>
          </w:tcPr>
          <w:p w14:paraId="5976F244">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27</w:t>
            </w:r>
          </w:p>
        </w:tc>
        <w:tc>
          <w:tcPr>
            <w:tcW w:w="338" w:type="pct"/>
            <w:noWrap/>
            <w:vAlign w:val="center"/>
          </w:tcPr>
          <w:p w14:paraId="4EAEA1B3">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138</w:t>
            </w:r>
          </w:p>
        </w:tc>
        <w:tc>
          <w:tcPr>
            <w:tcW w:w="345" w:type="pct"/>
            <w:vMerge w:val="continue"/>
            <w:noWrap/>
            <w:vAlign w:val="center"/>
          </w:tcPr>
          <w:p w14:paraId="4D00180E">
            <w:pPr>
              <w:spacing w:line="240" w:lineRule="exact"/>
              <w:jc w:val="center"/>
              <w:rPr>
                <w:rFonts w:ascii="Times New Roman" w:hAnsi="Times New Roman" w:eastAsia="宋体" w:cs="Times New Roman"/>
                <w:color w:val="auto"/>
                <w:kern w:val="0"/>
              </w:rPr>
            </w:pPr>
          </w:p>
        </w:tc>
        <w:tc>
          <w:tcPr>
            <w:tcW w:w="376" w:type="pct"/>
            <w:noWrap/>
            <w:vAlign w:val="center"/>
          </w:tcPr>
          <w:p w14:paraId="5B7647C2">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3B235FFA">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4" w:type="pct"/>
            <w:vMerge w:val="continue"/>
            <w:vAlign w:val="center"/>
          </w:tcPr>
          <w:p w14:paraId="0BA78351">
            <w:pPr>
              <w:spacing w:line="240" w:lineRule="exact"/>
              <w:jc w:val="center"/>
              <w:rPr>
                <w:rFonts w:ascii="Times New Roman" w:hAnsi="Times New Roman" w:eastAsia="宋体" w:cs="Times New Roman"/>
                <w:color w:val="auto"/>
                <w:kern w:val="0"/>
              </w:rPr>
            </w:pPr>
          </w:p>
        </w:tc>
        <w:tc>
          <w:tcPr>
            <w:tcW w:w="481" w:type="pct"/>
            <w:vMerge w:val="continue"/>
            <w:vAlign w:val="center"/>
          </w:tcPr>
          <w:p w14:paraId="43EB2953">
            <w:pPr>
              <w:spacing w:line="240" w:lineRule="exact"/>
              <w:jc w:val="center"/>
              <w:rPr>
                <w:rFonts w:ascii="Times New Roman" w:hAnsi="Times New Roman" w:eastAsia="宋体" w:cs="Times New Roman"/>
                <w:color w:val="auto"/>
                <w:kern w:val="0"/>
              </w:rPr>
            </w:pPr>
          </w:p>
        </w:tc>
        <w:tc>
          <w:tcPr>
            <w:tcW w:w="403" w:type="pct"/>
            <w:vMerge w:val="continue"/>
            <w:vAlign w:val="center"/>
          </w:tcPr>
          <w:p w14:paraId="51A0BB1B">
            <w:pPr>
              <w:spacing w:line="240" w:lineRule="exact"/>
              <w:jc w:val="center"/>
              <w:rPr>
                <w:rFonts w:ascii="Times New Roman" w:hAnsi="Times New Roman" w:eastAsia="宋体" w:cs="Times New Roman"/>
                <w:color w:val="auto"/>
                <w:kern w:val="0"/>
              </w:rPr>
            </w:pPr>
          </w:p>
        </w:tc>
        <w:tc>
          <w:tcPr>
            <w:tcW w:w="807" w:type="pct"/>
            <w:vMerge w:val="continue"/>
            <w:vAlign w:val="center"/>
          </w:tcPr>
          <w:p w14:paraId="1D401D46">
            <w:pPr>
              <w:spacing w:line="240" w:lineRule="exact"/>
              <w:jc w:val="center"/>
              <w:rPr>
                <w:rFonts w:ascii="Times New Roman" w:hAnsi="Times New Roman" w:eastAsia="宋体" w:cs="Times New Roman"/>
                <w:color w:val="auto"/>
                <w:kern w:val="0"/>
              </w:rPr>
            </w:pPr>
          </w:p>
        </w:tc>
        <w:tc>
          <w:tcPr>
            <w:tcW w:w="504" w:type="pct"/>
            <w:noWrap/>
            <w:vAlign w:val="center"/>
          </w:tcPr>
          <w:p w14:paraId="13A588A0">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2026.4.25</w:t>
            </w:r>
          </w:p>
        </w:tc>
        <w:tc>
          <w:tcPr>
            <w:tcW w:w="302" w:type="pct"/>
            <w:vAlign w:val="center"/>
          </w:tcPr>
          <w:p w14:paraId="78225B35">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夜间</w:t>
            </w:r>
          </w:p>
        </w:tc>
        <w:tc>
          <w:tcPr>
            <w:tcW w:w="504" w:type="pct"/>
            <w:vAlign w:val="center"/>
          </w:tcPr>
          <w:p w14:paraId="1273C4DC">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46</w:t>
            </w:r>
          </w:p>
        </w:tc>
        <w:tc>
          <w:tcPr>
            <w:tcW w:w="338" w:type="pct"/>
            <w:noWrap/>
            <w:vAlign w:val="center"/>
          </w:tcPr>
          <w:p w14:paraId="19224FD7">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24</w:t>
            </w:r>
          </w:p>
        </w:tc>
        <w:tc>
          <w:tcPr>
            <w:tcW w:w="338" w:type="pct"/>
            <w:noWrap/>
            <w:vAlign w:val="center"/>
          </w:tcPr>
          <w:p w14:paraId="46FFC62F">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21</w:t>
            </w:r>
          </w:p>
        </w:tc>
        <w:tc>
          <w:tcPr>
            <w:tcW w:w="338" w:type="pct"/>
            <w:noWrap/>
            <w:vAlign w:val="center"/>
          </w:tcPr>
          <w:p w14:paraId="29BE6906">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28</w:t>
            </w:r>
          </w:p>
        </w:tc>
        <w:tc>
          <w:tcPr>
            <w:tcW w:w="345" w:type="pct"/>
            <w:vMerge w:val="continue"/>
            <w:noWrap/>
            <w:vAlign w:val="center"/>
          </w:tcPr>
          <w:p w14:paraId="246E0CBC">
            <w:pPr>
              <w:spacing w:line="240" w:lineRule="exact"/>
              <w:jc w:val="center"/>
              <w:rPr>
                <w:rFonts w:ascii="Times New Roman" w:hAnsi="Times New Roman" w:eastAsia="宋体" w:cs="Times New Roman"/>
                <w:color w:val="auto"/>
                <w:kern w:val="0"/>
              </w:rPr>
            </w:pPr>
          </w:p>
        </w:tc>
        <w:tc>
          <w:tcPr>
            <w:tcW w:w="376" w:type="pct"/>
            <w:noWrap/>
            <w:vAlign w:val="center"/>
          </w:tcPr>
          <w:p w14:paraId="496AC6F7">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bl>
    <w:p w14:paraId="172E5A07">
      <w:pPr>
        <w:rPr>
          <w:color w:val="auto"/>
          <w:highlight w:val="yellow"/>
        </w:rPr>
        <w:sectPr>
          <w:footerReference r:id="rId43" w:type="default"/>
          <w:footerReference r:id="rId44" w:type="even"/>
          <w:pgSz w:w="16838" w:h="11906" w:orient="landscape"/>
          <w:pgMar w:top="1560" w:right="1440" w:bottom="1560" w:left="1559" w:header="851" w:footer="992" w:gutter="0"/>
          <w:pgBorders>
            <w:top w:val="none" w:sz="0" w:space="0"/>
            <w:left w:val="none" w:sz="0" w:space="0"/>
            <w:bottom w:val="none" w:sz="0" w:space="0"/>
            <w:right w:val="none" w:sz="0" w:space="0"/>
          </w:pgBorders>
          <w:cols w:space="720" w:num="1"/>
          <w:docGrid w:linePitch="312" w:charSpace="0"/>
        </w:sectPr>
      </w:pPr>
    </w:p>
    <w:p w14:paraId="519C49E1">
      <w:pPr>
        <w:spacing w:beforeLines="50"/>
        <w:jc w:val="center"/>
        <w:rPr>
          <w:rFonts w:ascii="Times New Roman" w:hAnsi="Times New Roman" w:eastAsia="宋体" w:cs="Times New Roman"/>
          <w:b/>
          <w:bCs/>
          <w:color w:val="auto"/>
          <w:szCs w:val="21"/>
        </w:rPr>
      </w:pPr>
      <w:r>
        <w:rPr>
          <w:rFonts w:hint="eastAsia" w:ascii="Times New Roman" w:hAnsi="Times New Roman" w:eastAsia="宋体" w:cs="Times New Roman"/>
          <w:b/>
          <w:bCs/>
          <w:color w:val="auto"/>
          <w:spacing w:val="4"/>
          <w:szCs w:val="21"/>
        </w:rPr>
        <w:t>续 表</w:t>
      </w:r>
      <w:r>
        <w:rPr>
          <w:rFonts w:ascii="Times New Roman" w:hAnsi="Times New Roman" w:eastAsia="宋体" w:cs="Times New Roman"/>
          <w:b/>
          <w:bCs/>
          <w:color w:val="auto"/>
          <w:spacing w:val="4"/>
          <w:szCs w:val="21"/>
        </w:rPr>
        <w:t xml:space="preserve">3.2-3 </w:t>
      </w:r>
      <w:r>
        <w:rPr>
          <w:rFonts w:hint="eastAsia" w:ascii="Times New Roman" w:hAnsi="Times New Roman" w:eastAsia="宋体" w:cs="Times New Roman"/>
          <w:b/>
          <w:bCs/>
          <w:color w:val="auto"/>
          <w:spacing w:val="4"/>
          <w:szCs w:val="21"/>
        </w:rPr>
        <w:t xml:space="preserve"> </w:t>
      </w:r>
      <w:r>
        <w:rPr>
          <w:rFonts w:ascii="Times New Roman" w:hAnsi="Times New Roman" w:eastAsia="宋体" w:cs="Times New Roman"/>
          <w:b/>
          <w:bCs/>
          <w:color w:val="auto"/>
          <w:szCs w:val="21"/>
        </w:rPr>
        <w:t>拟建</w:t>
      </w:r>
      <w:r>
        <w:rPr>
          <w:rFonts w:hint="eastAsia" w:ascii="Times New Roman" w:hAnsi="Times New Roman" w:eastAsia="宋体" w:cs="Times New Roman"/>
          <w:b/>
          <w:bCs/>
          <w:color w:val="auto"/>
          <w:szCs w:val="21"/>
        </w:rPr>
        <w:t>公路敏感点声</w:t>
      </w:r>
      <w:r>
        <w:rPr>
          <w:rFonts w:ascii="Times New Roman" w:hAnsi="Times New Roman" w:eastAsia="宋体" w:cs="Times New Roman"/>
          <w:b/>
          <w:bCs/>
          <w:color w:val="auto"/>
          <w:szCs w:val="21"/>
        </w:rPr>
        <w:t>环境</w:t>
      </w:r>
      <w:r>
        <w:rPr>
          <w:rFonts w:hint="eastAsia" w:ascii="Times New Roman" w:hAnsi="Times New Roman" w:eastAsia="宋体" w:cs="Times New Roman"/>
          <w:b/>
          <w:bCs/>
          <w:color w:val="auto"/>
          <w:szCs w:val="21"/>
        </w:rPr>
        <w:t>现状</w:t>
      </w:r>
      <w:r>
        <w:rPr>
          <w:rFonts w:ascii="Times New Roman" w:hAnsi="Times New Roman" w:eastAsia="宋体" w:cs="Times New Roman"/>
          <w:b/>
          <w:bCs/>
          <w:color w:val="auto"/>
          <w:szCs w:val="21"/>
        </w:rPr>
        <w:t>监测结果及达标分析表</w:t>
      </w:r>
    </w:p>
    <w:tbl>
      <w:tblPr>
        <w:tblStyle w:val="22"/>
        <w:tblW w:w="5051" w:type="pct"/>
        <w:jc w:val="center"/>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25"/>
        <w:gridCol w:w="1346"/>
        <w:gridCol w:w="1298"/>
        <w:gridCol w:w="2269"/>
        <w:gridCol w:w="1417"/>
        <w:gridCol w:w="849"/>
        <w:gridCol w:w="1417"/>
        <w:gridCol w:w="951"/>
        <w:gridCol w:w="951"/>
        <w:gridCol w:w="951"/>
        <w:gridCol w:w="971"/>
        <w:gridCol w:w="1053"/>
      </w:tblGrid>
      <w:tr w14:paraId="71A53548">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255" w:type="pct"/>
            <w:vMerge w:val="restart"/>
            <w:noWrap/>
            <w:vAlign w:val="center"/>
          </w:tcPr>
          <w:p w14:paraId="7E0457AB">
            <w:pPr>
              <w:spacing w:line="240" w:lineRule="exact"/>
              <w:jc w:val="center"/>
              <w:rPr>
                <w:rFonts w:ascii="Times New Roman" w:hAnsi="Times New Roman" w:eastAsia="宋体" w:cs="Times New Roman"/>
                <w:b/>
                <w:color w:val="auto"/>
                <w:kern w:val="0"/>
              </w:rPr>
            </w:pPr>
            <w:r>
              <w:rPr>
                <w:rFonts w:hint="eastAsia" w:ascii="Times New Roman" w:hAnsi="Times New Roman" w:eastAsia="宋体" w:cs="Times New Roman"/>
                <w:b/>
                <w:color w:val="auto"/>
                <w:kern w:val="0"/>
              </w:rPr>
              <w:t>序号</w:t>
            </w:r>
          </w:p>
        </w:tc>
        <w:tc>
          <w:tcPr>
            <w:tcW w:w="474" w:type="pct"/>
            <w:vMerge w:val="restart"/>
            <w:noWrap/>
            <w:vAlign w:val="center"/>
          </w:tcPr>
          <w:p w14:paraId="60F1BC43">
            <w:pPr>
              <w:spacing w:line="240" w:lineRule="exact"/>
              <w:jc w:val="center"/>
              <w:rPr>
                <w:rFonts w:ascii="Times New Roman" w:hAnsi="Times New Roman" w:eastAsia="宋体" w:cs="Times New Roman"/>
                <w:b/>
                <w:color w:val="auto"/>
                <w:kern w:val="0"/>
              </w:rPr>
            </w:pPr>
            <w:r>
              <w:rPr>
                <w:rFonts w:ascii="Times New Roman" w:hAnsi="Times New Roman" w:eastAsia="宋体" w:cs="Times New Roman"/>
                <w:b/>
                <w:color w:val="auto"/>
                <w:kern w:val="0"/>
              </w:rPr>
              <w:t>监测点位</w:t>
            </w:r>
          </w:p>
        </w:tc>
        <w:tc>
          <w:tcPr>
            <w:tcW w:w="1256" w:type="pct"/>
            <w:gridSpan w:val="2"/>
            <w:vMerge w:val="restart"/>
            <w:noWrap/>
            <w:vAlign w:val="center"/>
          </w:tcPr>
          <w:p w14:paraId="049FB995">
            <w:pPr>
              <w:spacing w:line="240" w:lineRule="exact"/>
              <w:jc w:val="center"/>
              <w:rPr>
                <w:rFonts w:ascii="Times New Roman" w:hAnsi="Times New Roman" w:eastAsia="宋体" w:cs="Times New Roman"/>
                <w:b/>
                <w:color w:val="auto"/>
                <w:kern w:val="0"/>
              </w:rPr>
            </w:pPr>
            <w:r>
              <w:rPr>
                <w:rFonts w:ascii="Times New Roman" w:hAnsi="Times New Roman" w:eastAsia="宋体" w:cs="Times New Roman"/>
                <w:b/>
                <w:color w:val="auto"/>
                <w:kern w:val="0"/>
              </w:rPr>
              <w:t>噪声类型</w:t>
            </w:r>
          </w:p>
        </w:tc>
        <w:tc>
          <w:tcPr>
            <w:tcW w:w="798" w:type="pct"/>
            <w:gridSpan w:val="2"/>
            <w:noWrap/>
            <w:vAlign w:val="center"/>
          </w:tcPr>
          <w:p w14:paraId="1EC0305A">
            <w:pPr>
              <w:spacing w:line="240" w:lineRule="exact"/>
              <w:jc w:val="center"/>
              <w:rPr>
                <w:rFonts w:ascii="Times New Roman" w:hAnsi="Times New Roman" w:eastAsia="宋体" w:cs="Times New Roman"/>
                <w:b/>
                <w:color w:val="auto"/>
                <w:kern w:val="0"/>
              </w:rPr>
            </w:pPr>
            <w:r>
              <w:rPr>
                <w:rFonts w:ascii="Times New Roman" w:hAnsi="Times New Roman" w:eastAsia="宋体" w:cs="Times New Roman"/>
                <w:b/>
                <w:color w:val="auto"/>
                <w:kern w:val="0"/>
              </w:rPr>
              <w:t>监测时间</w:t>
            </w:r>
          </w:p>
        </w:tc>
        <w:tc>
          <w:tcPr>
            <w:tcW w:w="499" w:type="pct"/>
            <w:vMerge w:val="restart"/>
            <w:vAlign w:val="center"/>
          </w:tcPr>
          <w:p w14:paraId="7E0AA2D5">
            <w:pPr>
              <w:spacing w:line="240" w:lineRule="exact"/>
              <w:jc w:val="center"/>
              <w:rPr>
                <w:rFonts w:ascii="Times New Roman" w:hAnsi="Times New Roman" w:eastAsia="宋体" w:cs="Times New Roman"/>
                <w:b/>
                <w:color w:val="auto"/>
                <w:kern w:val="0"/>
              </w:rPr>
            </w:pPr>
            <w:r>
              <w:rPr>
                <w:rFonts w:hint="eastAsia" w:ascii="Times New Roman" w:hAnsi="Times New Roman" w:eastAsia="宋体" w:cs="Times New Roman"/>
                <w:b/>
                <w:bCs/>
                <w:color w:val="auto"/>
              </w:rPr>
              <w:t>监测结果Leq（dB）</w:t>
            </w:r>
          </w:p>
        </w:tc>
        <w:tc>
          <w:tcPr>
            <w:tcW w:w="1005" w:type="pct"/>
            <w:gridSpan w:val="3"/>
            <w:noWrap/>
            <w:vAlign w:val="center"/>
          </w:tcPr>
          <w:p w14:paraId="4790B82E">
            <w:pPr>
              <w:spacing w:line="240" w:lineRule="exact"/>
              <w:jc w:val="center"/>
              <w:rPr>
                <w:rFonts w:ascii="Times New Roman" w:hAnsi="Times New Roman" w:eastAsia="宋体" w:cs="Times New Roman"/>
                <w:b/>
                <w:color w:val="auto"/>
                <w:kern w:val="0"/>
              </w:rPr>
            </w:pPr>
            <w:r>
              <w:rPr>
                <w:rFonts w:ascii="Times New Roman" w:hAnsi="Times New Roman" w:eastAsia="宋体" w:cs="Times New Roman"/>
                <w:b/>
                <w:color w:val="auto"/>
                <w:kern w:val="0"/>
              </w:rPr>
              <w:t>车流量（辆/</w:t>
            </w:r>
            <w:r>
              <w:rPr>
                <w:rFonts w:hint="eastAsia" w:ascii="Times New Roman" w:hAnsi="Times New Roman" w:eastAsia="宋体" w:cs="Times New Roman"/>
                <w:b/>
                <w:color w:val="auto"/>
                <w:kern w:val="0"/>
              </w:rPr>
              <w:t>h</w:t>
            </w:r>
            <w:r>
              <w:rPr>
                <w:rFonts w:ascii="Times New Roman" w:hAnsi="Times New Roman" w:eastAsia="宋体" w:cs="Times New Roman"/>
                <w:b/>
                <w:color w:val="auto"/>
                <w:kern w:val="0"/>
              </w:rPr>
              <w:t>）</w:t>
            </w:r>
          </w:p>
        </w:tc>
        <w:tc>
          <w:tcPr>
            <w:tcW w:w="342" w:type="pct"/>
            <w:vMerge w:val="restart"/>
            <w:vAlign w:val="center"/>
          </w:tcPr>
          <w:p w14:paraId="49D53C83">
            <w:pPr>
              <w:spacing w:line="240" w:lineRule="exact"/>
              <w:jc w:val="center"/>
              <w:rPr>
                <w:rFonts w:ascii="Times New Roman" w:hAnsi="Times New Roman" w:eastAsia="宋体" w:cs="Times New Roman"/>
                <w:b/>
                <w:color w:val="auto"/>
                <w:kern w:val="0"/>
              </w:rPr>
            </w:pPr>
            <w:r>
              <w:rPr>
                <w:rFonts w:ascii="Times New Roman" w:hAnsi="Times New Roman" w:eastAsia="宋体" w:cs="Times New Roman"/>
                <w:b/>
                <w:color w:val="auto"/>
                <w:kern w:val="0"/>
              </w:rPr>
              <w:t>评价标准</w:t>
            </w:r>
          </w:p>
        </w:tc>
        <w:tc>
          <w:tcPr>
            <w:tcW w:w="371" w:type="pct"/>
            <w:vMerge w:val="restart"/>
            <w:noWrap/>
            <w:vAlign w:val="center"/>
          </w:tcPr>
          <w:p w14:paraId="2CF8875F">
            <w:pPr>
              <w:spacing w:line="240" w:lineRule="exact"/>
              <w:jc w:val="center"/>
              <w:rPr>
                <w:rFonts w:ascii="Times New Roman" w:hAnsi="Times New Roman" w:eastAsia="宋体" w:cs="Times New Roman"/>
                <w:b/>
                <w:color w:val="auto"/>
                <w:kern w:val="0"/>
              </w:rPr>
            </w:pPr>
            <w:r>
              <w:rPr>
                <w:rFonts w:ascii="Times New Roman" w:hAnsi="Times New Roman" w:eastAsia="宋体" w:cs="Times New Roman"/>
                <w:b/>
                <w:color w:val="auto"/>
                <w:kern w:val="0"/>
              </w:rPr>
              <w:t>达标情况</w:t>
            </w:r>
          </w:p>
        </w:tc>
      </w:tr>
      <w:tr w14:paraId="0D43F7BB">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255" w:type="pct"/>
            <w:vMerge w:val="continue"/>
            <w:vAlign w:val="center"/>
          </w:tcPr>
          <w:p w14:paraId="6558CEF4">
            <w:pPr>
              <w:spacing w:line="240" w:lineRule="exact"/>
              <w:jc w:val="center"/>
              <w:rPr>
                <w:rFonts w:ascii="Times New Roman" w:hAnsi="Times New Roman" w:eastAsia="宋体" w:cs="Times New Roman"/>
                <w:b/>
                <w:color w:val="auto"/>
                <w:kern w:val="0"/>
              </w:rPr>
            </w:pPr>
          </w:p>
        </w:tc>
        <w:tc>
          <w:tcPr>
            <w:tcW w:w="474" w:type="pct"/>
            <w:vMerge w:val="continue"/>
            <w:vAlign w:val="center"/>
          </w:tcPr>
          <w:p w14:paraId="15840AA8">
            <w:pPr>
              <w:spacing w:line="240" w:lineRule="exact"/>
              <w:jc w:val="center"/>
              <w:rPr>
                <w:rFonts w:ascii="Times New Roman" w:hAnsi="Times New Roman" w:eastAsia="宋体" w:cs="Times New Roman"/>
                <w:b/>
                <w:color w:val="auto"/>
                <w:kern w:val="0"/>
              </w:rPr>
            </w:pPr>
          </w:p>
        </w:tc>
        <w:tc>
          <w:tcPr>
            <w:tcW w:w="1256" w:type="pct"/>
            <w:gridSpan w:val="2"/>
            <w:vMerge w:val="continue"/>
            <w:vAlign w:val="center"/>
          </w:tcPr>
          <w:p w14:paraId="35C2EEAC">
            <w:pPr>
              <w:spacing w:line="240" w:lineRule="exact"/>
              <w:jc w:val="center"/>
              <w:rPr>
                <w:rFonts w:ascii="Times New Roman" w:hAnsi="Times New Roman" w:eastAsia="宋体" w:cs="Times New Roman"/>
                <w:b/>
                <w:color w:val="auto"/>
                <w:kern w:val="0"/>
              </w:rPr>
            </w:pPr>
          </w:p>
        </w:tc>
        <w:tc>
          <w:tcPr>
            <w:tcW w:w="499" w:type="pct"/>
            <w:vAlign w:val="center"/>
          </w:tcPr>
          <w:p w14:paraId="0B222583">
            <w:pPr>
              <w:spacing w:line="240" w:lineRule="exact"/>
              <w:jc w:val="center"/>
              <w:rPr>
                <w:rFonts w:ascii="Times New Roman" w:hAnsi="Times New Roman" w:eastAsia="宋体" w:cs="Times New Roman"/>
                <w:b/>
                <w:color w:val="auto"/>
                <w:kern w:val="0"/>
              </w:rPr>
            </w:pPr>
            <w:r>
              <w:rPr>
                <w:rFonts w:ascii="Times New Roman" w:hAnsi="Times New Roman" w:eastAsia="宋体" w:cs="Times New Roman"/>
                <w:b/>
                <w:color w:val="auto"/>
                <w:kern w:val="0"/>
              </w:rPr>
              <w:t>日期</w:t>
            </w:r>
          </w:p>
        </w:tc>
        <w:tc>
          <w:tcPr>
            <w:tcW w:w="299" w:type="pct"/>
            <w:vAlign w:val="center"/>
          </w:tcPr>
          <w:p w14:paraId="25E09CFC">
            <w:pPr>
              <w:spacing w:line="240" w:lineRule="exact"/>
              <w:jc w:val="center"/>
              <w:rPr>
                <w:rFonts w:ascii="Times New Roman" w:hAnsi="Times New Roman" w:eastAsia="宋体" w:cs="Times New Roman"/>
                <w:b/>
                <w:color w:val="auto"/>
                <w:kern w:val="0"/>
              </w:rPr>
            </w:pPr>
            <w:r>
              <w:rPr>
                <w:rFonts w:ascii="Times New Roman" w:hAnsi="Times New Roman" w:eastAsia="宋体" w:cs="Times New Roman"/>
                <w:b/>
                <w:color w:val="auto"/>
                <w:kern w:val="0"/>
              </w:rPr>
              <w:t>时段</w:t>
            </w:r>
          </w:p>
        </w:tc>
        <w:tc>
          <w:tcPr>
            <w:tcW w:w="499" w:type="pct"/>
            <w:vMerge w:val="continue"/>
            <w:vAlign w:val="center"/>
          </w:tcPr>
          <w:p w14:paraId="499DFF22">
            <w:pPr>
              <w:spacing w:line="240" w:lineRule="exact"/>
              <w:jc w:val="center"/>
              <w:rPr>
                <w:rFonts w:ascii="Times New Roman" w:hAnsi="Times New Roman" w:eastAsia="宋体" w:cs="Times New Roman"/>
                <w:b/>
                <w:color w:val="auto"/>
              </w:rPr>
            </w:pPr>
          </w:p>
        </w:tc>
        <w:tc>
          <w:tcPr>
            <w:tcW w:w="335" w:type="pct"/>
            <w:noWrap/>
            <w:vAlign w:val="center"/>
          </w:tcPr>
          <w:p w14:paraId="1B0187AB">
            <w:pPr>
              <w:spacing w:line="240" w:lineRule="exact"/>
              <w:jc w:val="center"/>
              <w:rPr>
                <w:rFonts w:ascii="Times New Roman" w:hAnsi="Times New Roman" w:eastAsia="宋体" w:cs="Times New Roman"/>
                <w:b/>
                <w:color w:val="auto"/>
                <w:kern w:val="0"/>
              </w:rPr>
            </w:pPr>
            <w:r>
              <w:rPr>
                <w:rFonts w:ascii="Times New Roman" w:hAnsi="Times New Roman" w:eastAsia="宋体" w:cs="Times New Roman"/>
                <w:b/>
                <w:color w:val="auto"/>
                <w:kern w:val="0"/>
              </w:rPr>
              <w:t>大</w:t>
            </w:r>
          </w:p>
        </w:tc>
        <w:tc>
          <w:tcPr>
            <w:tcW w:w="335" w:type="pct"/>
            <w:noWrap/>
            <w:vAlign w:val="center"/>
          </w:tcPr>
          <w:p w14:paraId="6344781B">
            <w:pPr>
              <w:spacing w:line="240" w:lineRule="exact"/>
              <w:jc w:val="center"/>
              <w:rPr>
                <w:rFonts w:ascii="Times New Roman" w:hAnsi="Times New Roman" w:eastAsia="宋体" w:cs="Times New Roman"/>
                <w:b/>
                <w:color w:val="auto"/>
                <w:kern w:val="0"/>
              </w:rPr>
            </w:pPr>
            <w:r>
              <w:rPr>
                <w:rFonts w:ascii="Times New Roman" w:hAnsi="Times New Roman" w:eastAsia="宋体" w:cs="Times New Roman"/>
                <w:b/>
                <w:color w:val="auto"/>
                <w:kern w:val="0"/>
              </w:rPr>
              <w:t>中</w:t>
            </w:r>
          </w:p>
        </w:tc>
        <w:tc>
          <w:tcPr>
            <w:tcW w:w="335" w:type="pct"/>
            <w:noWrap/>
            <w:vAlign w:val="center"/>
          </w:tcPr>
          <w:p w14:paraId="1DC5100B">
            <w:pPr>
              <w:spacing w:line="240" w:lineRule="exact"/>
              <w:jc w:val="center"/>
              <w:rPr>
                <w:rFonts w:ascii="Times New Roman" w:hAnsi="Times New Roman" w:eastAsia="宋体" w:cs="Times New Roman"/>
                <w:b/>
                <w:color w:val="auto"/>
                <w:kern w:val="0"/>
              </w:rPr>
            </w:pPr>
            <w:r>
              <w:rPr>
                <w:rFonts w:ascii="Times New Roman" w:hAnsi="Times New Roman" w:eastAsia="宋体" w:cs="Times New Roman"/>
                <w:b/>
                <w:color w:val="auto"/>
                <w:kern w:val="0"/>
              </w:rPr>
              <w:t>小</w:t>
            </w:r>
          </w:p>
        </w:tc>
        <w:tc>
          <w:tcPr>
            <w:tcW w:w="342" w:type="pct"/>
            <w:vMerge w:val="continue"/>
            <w:vAlign w:val="center"/>
          </w:tcPr>
          <w:p w14:paraId="71CF32AC">
            <w:pPr>
              <w:spacing w:line="240" w:lineRule="exact"/>
              <w:jc w:val="center"/>
              <w:rPr>
                <w:rFonts w:ascii="Times New Roman" w:hAnsi="Times New Roman" w:eastAsia="宋体" w:cs="Times New Roman"/>
                <w:b/>
                <w:color w:val="auto"/>
                <w:kern w:val="0"/>
              </w:rPr>
            </w:pPr>
          </w:p>
        </w:tc>
        <w:tc>
          <w:tcPr>
            <w:tcW w:w="371" w:type="pct"/>
            <w:vMerge w:val="continue"/>
            <w:vAlign w:val="center"/>
          </w:tcPr>
          <w:p w14:paraId="508EC7FD">
            <w:pPr>
              <w:spacing w:line="240" w:lineRule="exact"/>
              <w:jc w:val="center"/>
              <w:rPr>
                <w:rFonts w:ascii="Times New Roman" w:hAnsi="Times New Roman" w:eastAsia="宋体" w:cs="Times New Roman"/>
                <w:b/>
                <w:color w:val="auto"/>
                <w:kern w:val="0"/>
              </w:rPr>
            </w:pPr>
          </w:p>
        </w:tc>
      </w:tr>
      <w:tr w14:paraId="0CF9F289">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restart"/>
            <w:noWrap/>
            <w:vAlign w:val="center"/>
          </w:tcPr>
          <w:p w14:paraId="75F5378A">
            <w:pPr>
              <w:spacing w:line="240" w:lineRule="exact"/>
              <w:jc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10</w:t>
            </w:r>
          </w:p>
        </w:tc>
        <w:tc>
          <w:tcPr>
            <w:tcW w:w="474" w:type="pct"/>
            <w:vMerge w:val="restart"/>
            <w:noWrap/>
            <w:vAlign w:val="center"/>
          </w:tcPr>
          <w:p w14:paraId="0A538DEF">
            <w:pPr>
              <w:spacing w:line="240" w:lineRule="exact"/>
              <w:jc w:val="center"/>
              <w:rPr>
                <w:rFonts w:ascii="Times New Roman" w:hAnsi="Times New Roman" w:cs="Times New Roman" w:eastAsiaTheme="minorEastAsia"/>
                <w:color w:val="auto"/>
              </w:rPr>
            </w:pPr>
            <w:r>
              <w:rPr>
                <w:rFonts w:hint="eastAsia" w:ascii="Times New Roman" w:cs="Times New Roman" w:hAnsiTheme="minorEastAsia" w:eastAsiaTheme="minorEastAsia"/>
                <w:color w:val="auto"/>
              </w:rPr>
              <w:t>伽师县和夏阿瓦提镇夏合亚迪村幼儿园</w:t>
            </w:r>
          </w:p>
        </w:tc>
        <w:tc>
          <w:tcPr>
            <w:tcW w:w="457" w:type="pct"/>
            <w:vMerge w:val="restart"/>
            <w:vAlign w:val="center"/>
          </w:tcPr>
          <w:p w14:paraId="6EAC0B37">
            <w:pPr>
              <w:spacing w:line="240" w:lineRule="exact"/>
              <w:jc w:val="center"/>
              <w:rPr>
                <w:rFonts w:ascii="Times New Roman" w:hAnsi="Times New Roman" w:eastAsia="宋体" w:cs="Times New Roman"/>
                <w:color w:val="auto"/>
                <w:kern w:val="0"/>
              </w:rPr>
            </w:pPr>
            <w:r>
              <w:rPr>
                <w:rFonts w:ascii="Times New Roman" w:hAnsi="Times New Roman" w:eastAsia="宋体" w:cs="Times New Roman"/>
                <w:color w:val="auto"/>
                <w:kern w:val="0"/>
              </w:rPr>
              <w:t>环境噪声</w:t>
            </w:r>
          </w:p>
        </w:tc>
        <w:tc>
          <w:tcPr>
            <w:tcW w:w="799" w:type="pct"/>
            <w:vMerge w:val="restart"/>
            <w:vAlign w:val="center"/>
          </w:tcPr>
          <w:p w14:paraId="2D6CFF36">
            <w:pPr>
              <w:spacing w:line="240" w:lineRule="exact"/>
              <w:jc w:val="center"/>
              <w:rPr>
                <w:rFonts w:ascii="Times New Roman" w:hAnsi="Times New Roman" w:eastAsia="宋体" w:cs="Times New Roman"/>
                <w:color w:val="auto"/>
                <w:kern w:val="0"/>
              </w:rPr>
            </w:pPr>
            <w:r>
              <w:rPr>
                <w:rFonts w:ascii="Times New Roman" w:hAnsi="Times New Roman" w:eastAsia="宋体" w:cs="Times New Roman"/>
                <w:color w:val="auto"/>
              </w:rPr>
              <w:t>临现有</w:t>
            </w:r>
            <w:r>
              <w:rPr>
                <w:rFonts w:hint="eastAsia" w:ascii="Times New Roman" w:hAnsi="Times New Roman" w:eastAsia="宋体" w:cs="Times New Roman"/>
                <w:color w:val="auto"/>
              </w:rPr>
              <w:t>G219</w:t>
            </w:r>
            <w:r>
              <w:rPr>
                <w:rFonts w:ascii="Times New Roman" w:hAnsi="Times New Roman" w:eastAsia="宋体" w:cs="Times New Roman"/>
                <w:color w:val="auto"/>
              </w:rPr>
              <w:t>第一排</w:t>
            </w:r>
            <w:r>
              <w:rPr>
                <w:rFonts w:hint="eastAsia" w:ascii="Times New Roman" w:hAnsi="Times New Roman" w:eastAsia="宋体" w:cs="Times New Roman"/>
                <w:color w:val="auto"/>
              </w:rPr>
              <w:t>教学楼2</w:t>
            </w:r>
            <w:r>
              <w:rPr>
                <w:rFonts w:ascii="Times New Roman" w:hAnsi="Times New Roman" w:eastAsia="宋体" w:cs="Times New Roman"/>
                <w:color w:val="auto"/>
              </w:rPr>
              <w:t>层</w:t>
            </w:r>
          </w:p>
        </w:tc>
        <w:tc>
          <w:tcPr>
            <w:tcW w:w="499" w:type="pct"/>
            <w:noWrap/>
            <w:vAlign w:val="center"/>
          </w:tcPr>
          <w:p w14:paraId="24203862">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2026.4.23</w:t>
            </w:r>
          </w:p>
        </w:tc>
        <w:tc>
          <w:tcPr>
            <w:tcW w:w="299" w:type="pct"/>
            <w:vAlign w:val="center"/>
          </w:tcPr>
          <w:p w14:paraId="74A6B759">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昼间</w:t>
            </w:r>
          </w:p>
        </w:tc>
        <w:tc>
          <w:tcPr>
            <w:tcW w:w="499" w:type="pct"/>
            <w:vAlign w:val="center"/>
          </w:tcPr>
          <w:p w14:paraId="06692F54">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55</w:t>
            </w:r>
          </w:p>
        </w:tc>
        <w:tc>
          <w:tcPr>
            <w:tcW w:w="335" w:type="pct"/>
            <w:noWrap/>
            <w:vAlign w:val="center"/>
          </w:tcPr>
          <w:p w14:paraId="7B2AA742">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37</w:t>
            </w:r>
          </w:p>
        </w:tc>
        <w:tc>
          <w:tcPr>
            <w:tcW w:w="335" w:type="pct"/>
            <w:noWrap/>
            <w:vAlign w:val="center"/>
          </w:tcPr>
          <w:p w14:paraId="4119A944">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39</w:t>
            </w:r>
          </w:p>
        </w:tc>
        <w:tc>
          <w:tcPr>
            <w:tcW w:w="335" w:type="pct"/>
            <w:noWrap/>
            <w:vAlign w:val="center"/>
          </w:tcPr>
          <w:p w14:paraId="5E539BB8">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129</w:t>
            </w:r>
          </w:p>
        </w:tc>
        <w:tc>
          <w:tcPr>
            <w:tcW w:w="342" w:type="pct"/>
            <w:vMerge w:val="restart"/>
            <w:noWrap/>
            <w:vAlign w:val="center"/>
          </w:tcPr>
          <w:p w14:paraId="4926B747">
            <w:pPr>
              <w:spacing w:line="240" w:lineRule="exact"/>
              <w:jc w:val="center"/>
              <w:rPr>
                <w:rFonts w:ascii="Times New Roman" w:hAnsi="Times New Roman" w:eastAsia="宋体" w:cs="Times New Roman"/>
                <w:color w:val="auto"/>
                <w:kern w:val="0"/>
              </w:rPr>
            </w:pPr>
            <w:r>
              <w:rPr>
                <w:rFonts w:ascii="Times New Roman" w:hAnsi="Times New Roman" w:eastAsia="宋体" w:cs="Times New Roman"/>
                <w:color w:val="auto"/>
                <w:kern w:val="0"/>
              </w:rPr>
              <w:t>2类</w:t>
            </w:r>
          </w:p>
        </w:tc>
        <w:tc>
          <w:tcPr>
            <w:tcW w:w="371" w:type="pct"/>
            <w:noWrap/>
            <w:vAlign w:val="center"/>
          </w:tcPr>
          <w:p w14:paraId="2E8F2EF5">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7DF1DED6">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vAlign w:val="center"/>
          </w:tcPr>
          <w:p w14:paraId="7D76FAFD">
            <w:pPr>
              <w:spacing w:line="240" w:lineRule="exact"/>
              <w:jc w:val="center"/>
              <w:rPr>
                <w:rFonts w:ascii="Times New Roman" w:hAnsi="Times New Roman" w:eastAsia="宋体" w:cs="Times New Roman"/>
                <w:color w:val="auto"/>
                <w:kern w:val="0"/>
              </w:rPr>
            </w:pPr>
          </w:p>
        </w:tc>
        <w:tc>
          <w:tcPr>
            <w:tcW w:w="474" w:type="pct"/>
            <w:vMerge w:val="continue"/>
            <w:vAlign w:val="center"/>
          </w:tcPr>
          <w:p w14:paraId="2CEA5E7C">
            <w:pPr>
              <w:spacing w:line="240" w:lineRule="exact"/>
              <w:jc w:val="center"/>
              <w:rPr>
                <w:rFonts w:ascii="Times New Roman" w:hAnsi="Times New Roman" w:eastAsia="宋体" w:cs="Times New Roman"/>
                <w:color w:val="auto"/>
                <w:kern w:val="0"/>
              </w:rPr>
            </w:pPr>
          </w:p>
        </w:tc>
        <w:tc>
          <w:tcPr>
            <w:tcW w:w="457" w:type="pct"/>
            <w:vMerge w:val="continue"/>
            <w:vAlign w:val="center"/>
          </w:tcPr>
          <w:p w14:paraId="322F8672">
            <w:pPr>
              <w:spacing w:line="240" w:lineRule="exact"/>
              <w:jc w:val="center"/>
              <w:rPr>
                <w:rFonts w:ascii="Times New Roman" w:hAnsi="Times New Roman" w:eastAsia="宋体" w:cs="Times New Roman"/>
                <w:color w:val="auto"/>
                <w:kern w:val="0"/>
              </w:rPr>
            </w:pPr>
          </w:p>
        </w:tc>
        <w:tc>
          <w:tcPr>
            <w:tcW w:w="799" w:type="pct"/>
            <w:vMerge w:val="continue"/>
            <w:vAlign w:val="center"/>
          </w:tcPr>
          <w:p w14:paraId="56D9CDF5">
            <w:pPr>
              <w:spacing w:line="240" w:lineRule="exact"/>
              <w:jc w:val="center"/>
              <w:rPr>
                <w:rFonts w:ascii="Times New Roman" w:hAnsi="Times New Roman" w:eastAsia="宋体" w:cs="Times New Roman"/>
                <w:color w:val="auto"/>
                <w:kern w:val="0"/>
              </w:rPr>
            </w:pPr>
          </w:p>
        </w:tc>
        <w:tc>
          <w:tcPr>
            <w:tcW w:w="499" w:type="pct"/>
            <w:noWrap/>
            <w:vAlign w:val="center"/>
          </w:tcPr>
          <w:p w14:paraId="0BD795AB">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2026.4.24</w:t>
            </w:r>
          </w:p>
        </w:tc>
        <w:tc>
          <w:tcPr>
            <w:tcW w:w="299" w:type="pct"/>
            <w:vAlign w:val="center"/>
          </w:tcPr>
          <w:p w14:paraId="4D50ECEA">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夜间</w:t>
            </w:r>
          </w:p>
        </w:tc>
        <w:tc>
          <w:tcPr>
            <w:tcW w:w="499" w:type="pct"/>
            <w:vAlign w:val="center"/>
          </w:tcPr>
          <w:p w14:paraId="7F91C35A">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47</w:t>
            </w:r>
          </w:p>
        </w:tc>
        <w:tc>
          <w:tcPr>
            <w:tcW w:w="335" w:type="pct"/>
            <w:noWrap/>
            <w:vAlign w:val="center"/>
          </w:tcPr>
          <w:p w14:paraId="500ECBB0">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25</w:t>
            </w:r>
          </w:p>
        </w:tc>
        <w:tc>
          <w:tcPr>
            <w:tcW w:w="335" w:type="pct"/>
            <w:noWrap/>
            <w:vAlign w:val="center"/>
          </w:tcPr>
          <w:p w14:paraId="4F7D1106">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23</w:t>
            </w:r>
          </w:p>
        </w:tc>
        <w:tc>
          <w:tcPr>
            <w:tcW w:w="335" w:type="pct"/>
            <w:noWrap/>
            <w:vAlign w:val="center"/>
          </w:tcPr>
          <w:p w14:paraId="684EBBF3">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30</w:t>
            </w:r>
          </w:p>
        </w:tc>
        <w:tc>
          <w:tcPr>
            <w:tcW w:w="342" w:type="pct"/>
            <w:vMerge w:val="continue"/>
            <w:noWrap/>
            <w:vAlign w:val="center"/>
          </w:tcPr>
          <w:p w14:paraId="69D15532">
            <w:pPr>
              <w:spacing w:line="240" w:lineRule="exact"/>
              <w:jc w:val="center"/>
              <w:rPr>
                <w:rFonts w:ascii="Times New Roman" w:hAnsi="Times New Roman" w:eastAsia="宋体" w:cs="Times New Roman"/>
                <w:color w:val="auto"/>
                <w:kern w:val="0"/>
              </w:rPr>
            </w:pPr>
          </w:p>
        </w:tc>
        <w:tc>
          <w:tcPr>
            <w:tcW w:w="371" w:type="pct"/>
            <w:noWrap/>
            <w:vAlign w:val="center"/>
          </w:tcPr>
          <w:p w14:paraId="36B46A3F">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16ED5C62">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vAlign w:val="center"/>
          </w:tcPr>
          <w:p w14:paraId="61E31F89">
            <w:pPr>
              <w:spacing w:line="240" w:lineRule="exact"/>
              <w:jc w:val="center"/>
              <w:rPr>
                <w:rFonts w:ascii="Times New Roman" w:hAnsi="Times New Roman" w:eastAsia="宋体" w:cs="Times New Roman"/>
                <w:color w:val="auto"/>
                <w:kern w:val="0"/>
              </w:rPr>
            </w:pPr>
          </w:p>
        </w:tc>
        <w:tc>
          <w:tcPr>
            <w:tcW w:w="474" w:type="pct"/>
            <w:vMerge w:val="continue"/>
            <w:vAlign w:val="center"/>
          </w:tcPr>
          <w:p w14:paraId="29894495">
            <w:pPr>
              <w:spacing w:line="240" w:lineRule="exact"/>
              <w:jc w:val="center"/>
              <w:rPr>
                <w:rFonts w:ascii="Times New Roman" w:hAnsi="Times New Roman" w:eastAsia="宋体" w:cs="Times New Roman"/>
                <w:color w:val="auto"/>
                <w:kern w:val="0"/>
              </w:rPr>
            </w:pPr>
          </w:p>
        </w:tc>
        <w:tc>
          <w:tcPr>
            <w:tcW w:w="457" w:type="pct"/>
            <w:vMerge w:val="continue"/>
            <w:vAlign w:val="center"/>
          </w:tcPr>
          <w:p w14:paraId="31417797">
            <w:pPr>
              <w:spacing w:line="240" w:lineRule="exact"/>
              <w:jc w:val="center"/>
              <w:rPr>
                <w:rFonts w:ascii="Times New Roman" w:hAnsi="Times New Roman" w:eastAsia="宋体" w:cs="Times New Roman"/>
                <w:color w:val="auto"/>
                <w:kern w:val="0"/>
              </w:rPr>
            </w:pPr>
          </w:p>
        </w:tc>
        <w:tc>
          <w:tcPr>
            <w:tcW w:w="799" w:type="pct"/>
            <w:vMerge w:val="continue"/>
            <w:vAlign w:val="center"/>
          </w:tcPr>
          <w:p w14:paraId="2098E9F8">
            <w:pPr>
              <w:spacing w:line="240" w:lineRule="exact"/>
              <w:jc w:val="center"/>
              <w:rPr>
                <w:rFonts w:ascii="Times New Roman" w:hAnsi="Times New Roman" w:eastAsia="宋体" w:cs="Times New Roman"/>
                <w:color w:val="auto"/>
                <w:kern w:val="0"/>
              </w:rPr>
            </w:pPr>
          </w:p>
        </w:tc>
        <w:tc>
          <w:tcPr>
            <w:tcW w:w="499" w:type="pct"/>
            <w:noWrap/>
            <w:vAlign w:val="center"/>
          </w:tcPr>
          <w:p w14:paraId="3D013F61">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2026.4.24</w:t>
            </w:r>
          </w:p>
        </w:tc>
        <w:tc>
          <w:tcPr>
            <w:tcW w:w="299" w:type="pct"/>
            <w:vAlign w:val="center"/>
          </w:tcPr>
          <w:p w14:paraId="1572C461">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昼间</w:t>
            </w:r>
          </w:p>
        </w:tc>
        <w:tc>
          <w:tcPr>
            <w:tcW w:w="499" w:type="pct"/>
            <w:vAlign w:val="center"/>
          </w:tcPr>
          <w:p w14:paraId="79D0A911">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53</w:t>
            </w:r>
          </w:p>
        </w:tc>
        <w:tc>
          <w:tcPr>
            <w:tcW w:w="335" w:type="pct"/>
            <w:noWrap/>
            <w:vAlign w:val="center"/>
          </w:tcPr>
          <w:p w14:paraId="2563B5DD">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44</w:t>
            </w:r>
          </w:p>
        </w:tc>
        <w:tc>
          <w:tcPr>
            <w:tcW w:w="335" w:type="pct"/>
            <w:noWrap/>
            <w:vAlign w:val="center"/>
          </w:tcPr>
          <w:p w14:paraId="32F24FFC">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39</w:t>
            </w:r>
          </w:p>
        </w:tc>
        <w:tc>
          <w:tcPr>
            <w:tcW w:w="335" w:type="pct"/>
            <w:noWrap/>
            <w:vAlign w:val="center"/>
          </w:tcPr>
          <w:p w14:paraId="0FE7A46A">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105</w:t>
            </w:r>
          </w:p>
        </w:tc>
        <w:tc>
          <w:tcPr>
            <w:tcW w:w="342" w:type="pct"/>
            <w:vMerge w:val="continue"/>
            <w:noWrap/>
            <w:vAlign w:val="center"/>
          </w:tcPr>
          <w:p w14:paraId="33B5D9B4">
            <w:pPr>
              <w:spacing w:line="240" w:lineRule="exact"/>
              <w:jc w:val="center"/>
              <w:rPr>
                <w:rFonts w:ascii="Times New Roman" w:hAnsi="Times New Roman" w:eastAsia="宋体" w:cs="Times New Roman"/>
                <w:color w:val="auto"/>
                <w:kern w:val="0"/>
              </w:rPr>
            </w:pPr>
          </w:p>
        </w:tc>
        <w:tc>
          <w:tcPr>
            <w:tcW w:w="371" w:type="pct"/>
            <w:noWrap/>
            <w:vAlign w:val="center"/>
          </w:tcPr>
          <w:p w14:paraId="17DE9F7E">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7ADC514B">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vAlign w:val="center"/>
          </w:tcPr>
          <w:p w14:paraId="159C0338">
            <w:pPr>
              <w:spacing w:line="240" w:lineRule="exact"/>
              <w:jc w:val="center"/>
              <w:rPr>
                <w:rFonts w:ascii="Times New Roman" w:hAnsi="Times New Roman" w:eastAsia="宋体" w:cs="Times New Roman"/>
                <w:color w:val="auto"/>
                <w:kern w:val="0"/>
              </w:rPr>
            </w:pPr>
          </w:p>
        </w:tc>
        <w:tc>
          <w:tcPr>
            <w:tcW w:w="474" w:type="pct"/>
            <w:vMerge w:val="continue"/>
            <w:vAlign w:val="center"/>
          </w:tcPr>
          <w:p w14:paraId="3B630668">
            <w:pPr>
              <w:spacing w:line="240" w:lineRule="exact"/>
              <w:jc w:val="center"/>
              <w:rPr>
                <w:rFonts w:ascii="Times New Roman" w:hAnsi="Times New Roman" w:eastAsia="宋体" w:cs="Times New Roman"/>
                <w:color w:val="auto"/>
                <w:kern w:val="0"/>
              </w:rPr>
            </w:pPr>
          </w:p>
        </w:tc>
        <w:tc>
          <w:tcPr>
            <w:tcW w:w="457" w:type="pct"/>
            <w:vMerge w:val="continue"/>
            <w:vAlign w:val="center"/>
          </w:tcPr>
          <w:p w14:paraId="407650AD">
            <w:pPr>
              <w:spacing w:line="240" w:lineRule="exact"/>
              <w:jc w:val="center"/>
              <w:rPr>
                <w:rFonts w:ascii="Times New Roman" w:hAnsi="Times New Roman" w:eastAsia="宋体" w:cs="Times New Roman"/>
                <w:color w:val="auto"/>
                <w:kern w:val="0"/>
              </w:rPr>
            </w:pPr>
          </w:p>
        </w:tc>
        <w:tc>
          <w:tcPr>
            <w:tcW w:w="799" w:type="pct"/>
            <w:vMerge w:val="continue"/>
            <w:vAlign w:val="center"/>
          </w:tcPr>
          <w:p w14:paraId="1EDE62F2">
            <w:pPr>
              <w:spacing w:line="240" w:lineRule="exact"/>
              <w:jc w:val="center"/>
              <w:rPr>
                <w:rFonts w:ascii="Times New Roman" w:hAnsi="Times New Roman" w:eastAsia="宋体" w:cs="Times New Roman"/>
                <w:color w:val="auto"/>
                <w:kern w:val="0"/>
              </w:rPr>
            </w:pPr>
          </w:p>
        </w:tc>
        <w:tc>
          <w:tcPr>
            <w:tcW w:w="499" w:type="pct"/>
            <w:noWrap/>
            <w:vAlign w:val="center"/>
          </w:tcPr>
          <w:p w14:paraId="7B8A6C0C">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2026.4.25</w:t>
            </w:r>
          </w:p>
        </w:tc>
        <w:tc>
          <w:tcPr>
            <w:tcW w:w="299" w:type="pct"/>
            <w:vAlign w:val="center"/>
          </w:tcPr>
          <w:p w14:paraId="11D30147">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夜间</w:t>
            </w:r>
          </w:p>
        </w:tc>
        <w:tc>
          <w:tcPr>
            <w:tcW w:w="499" w:type="pct"/>
            <w:vAlign w:val="center"/>
          </w:tcPr>
          <w:p w14:paraId="1C7D1EEF">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42</w:t>
            </w:r>
          </w:p>
        </w:tc>
        <w:tc>
          <w:tcPr>
            <w:tcW w:w="335" w:type="pct"/>
            <w:noWrap/>
            <w:vAlign w:val="center"/>
          </w:tcPr>
          <w:p w14:paraId="0CD58A3F">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24</w:t>
            </w:r>
          </w:p>
        </w:tc>
        <w:tc>
          <w:tcPr>
            <w:tcW w:w="335" w:type="pct"/>
            <w:noWrap/>
            <w:vAlign w:val="center"/>
          </w:tcPr>
          <w:p w14:paraId="19347D32">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21</w:t>
            </w:r>
          </w:p>
        </w:tc>
        <w:tc>
          <w:tcPr>
            <w:tcW w:w="335" w:type="pct"/>
            <w:noWrap/>
            <w:vAlign w:val="center"/>
          </w:tcPr>
          <w:p w14:paraId="22B88B71">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28</w:t>
            </w:r>
          </w:p>
        </w:tc>
        <w:tc>
          <w:tcPr>
            <w:tcW w:w="342" w:type="pct"/>
            <w:vMerge w:val="continue"/>
            <w:noWrap/>
            <w:vAlign w:val="center"/>
          </w:tcPr>
          <w:p w14:paraId="6B48525A">
            <w:pPr>
              <w:spacing w:line="240" w:lineRule="exact"/>
              <w:jc w:val="center"/>
              <w:rPr>
                <w:rFonts w:ascii="Times New Roman" w:hAnsi="Times New Roman" w:eastAsia="宋体" w:cs="Times New Roman"/>
                <w:color w:val="auto"/>
                <w:kern w:val="0"/>
              </w:rPr>
            </w:pPr>
          </w:p>
        </w:tc>
        <w:tc>
          <w:tcPr>
            <w:tcW w:w="371" w:type="pct"/>
            <w:noWrap/>
            <w:vAlign w:val="center"/>
          </w:tcPr>
          <w:p w14:paraId="725AD132">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6F0C10DF">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restart"/>
            <w:noWrap/>
            <w:vAlign w:val="center"/>
          </w:tcPr>
          <w:p w14:paraId="77278193">
            <w:pPr>
              <w:spacing w:line="240" w:lineRule="exact"/>
              <w:jc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11</w:t>
            </w:r>
          </w:p>
        </w:tc>
        <w:tc>
          <w:tcPr>
            <w:tcW w:w="474" w:type="pct"/>
            <w:vMerge w:val="restart"/>
            <w:noWrap/>
            <w:vAlign w:val="center"/>
          </w:tcPr>
          <w:p w14:paraId="31F32D41">
            <w:pPr>
              <w:spacing w:line="240" w:lineRule="exact"/>
              <w:jc w:val="center"/>
              <w:rPr>
                <w:rFonts w:ascii="Times New Roman" w:hAnsi="Times New Roman" w:eastAsia="宋体" w:cs="Times New Roman"/>
                <w:color w:val="auto"/>
                <w:kern w:val="0"/>
              </w:rPr>
            </w:pPr>
            <w:r>
              <w:rPr>
                <w:rFonts w:hint="eastAsia" w:ascii="Times New Roman" w:cs="Times New Roman" w:hAnsiTheme="minorEastAsia" w:eastAsiaTheme="minorEastAsia"/>
                <w:color w:val="auto"/>
              </w:rPr>
              <w:t>帕合塔买里斯村</w:t>
            </w:r>
          </w:p>
        </w:tc>
        <w:tc>
          <w:tcPr>
            <w:tcW w:w="457" w:type="pct"/>
            <w:vMerge w:val="restart"/>
            <w:vAlign w:val="center"/>
          </w:tcPr>
          <w:p w14:paraId="0042FDE3">
            <w:pPr>
              <w:spacing w:line="240" w:lineRule="exact"/>
              <w:jc w:val="center"/>
              <w:rPr>
                <w:rFonts w:ascii="Times New Roman" w:hAnsi="Times New Roman" w:eastAsia="宋体" w:cs="Times New Roman"/>
                <w:color w:val="auto"/>
                <w:kern w:val="0"/>
              </w:rPr>
            </w:pPr>
            <w:r>
              <w:rPr>
                <w:rFonts w:ascii="Times New Roman" w:hAnsi="Times New Roman" w:eastAsia="宋体" w:cs="Times New Roman"/>
                <w:color w:val="auto"/>
                <w:kern w:val="0"/>
              </w:rPr>
              <w:t>环境噪声</w:t>
            </w:r>
          </w:p>
        </w:tc>
        <w:tc>
          <w:tcPr>
            <w:tcW w:w="799" w:type="pct"/>
            <w:vMerge w:val="restart"/>
            <w:vAlign w:val="center"/>
          </w:tcPr>
          <w:p w14:paraId="745F0848">
            <w:pPr>
              <w:spacing w:line="240" w:lineRule="exact"/>
              <w:jc w:val="center"/>
              <w:rPr>
                <w:rFonts w:ascii="Times New Roman" w:hAnsi="Times New Roman" w:eastAsia="宋体" w:cs="Times New Roman"/>
                <w:color w:val="auto"/>
                <w:kern w:val="0"/>
              </w:rPr>
            </w:pPr>
            <w:r>
              <w:rPr>
                <w:rFonts w:ascii="Times New Roman" w:hAnsi="Times New Roman" w:eastAsia="宋体" w:cs="Times New Roman"/>
                <w:color w:val="auto"/>
              </w:rPr>
              <w:t>临现有</w:t>
            </w:r>
            <w:r>
              <w:rPr>
                <w:rFonts w:hint="eastAsia" w:ascii="Times New Roman" w:hAnsi="Times New Roman" w:eastAsia="宋体" w:cs="Times New Roman"/>
                <w:color w:val="auto"/>
              </w:rPr>
              <w:t>G219</w:t>
            </w:r>
            <w:r>
              <w:rPr>
                <w:rFonts w:ascii="Times New Roman" w:hAnsi="Times New Roman" w:eastAsia="宋体" w:cs="Times New Roman"/>
                <w:color w:val="auto"/>
              </w:rPr>
              <w:t>第一排房</w:t>
            </w:r>
            <w:r>
              <w:rPr>
                <w:rFonts w:hint="eastAsia" w:ascii="Times New Roman" w:hAnsi="Times New Roman" w:eastAsia="宋体" w:cs="Times New Roman"/>
                <w:color w:val="auto"/>
              </w:rPr>
              <w:t>1</w:t>
            </w:r>
            <w:r>
              <w:rPr>
                <w:rFonts w:ascii="Times New Roman" w:hAnsi="Times New Roman" w:eastAsia="宋体" w:cs="Times New Roman"/>
                <w:color w:val="auto"/>
              </w:rPr>
              <w:t>层</w:t>
            </w:r>
          </w:p>
        </w:tc>
        <w:tc>
          <w:tcPr>
            <w:tcW w:w="499" w:type="pct"/>
            <w:noWrap/>
            <w:vAlign w:val="center"/>
          </w:tcPr>
          <w:p w14:paraId="12DE3AF3">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2026.4.23</w:t>
            </w:r>
          </w:p>
        </w:tc>
        <w:tc>
          <w:tcPr>
            <w:tcW w:w="299" w:type="pct"/>
            <w:vAlign w:val="center"/>
          </w:tcPr>
          <w:p w14:paraId="2C5C5BB9">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昼间</w:t>
            </w:r>
          </w:p>
        </w:tc>
        <w:tc>
          <w:tcPr>
            <w:tcW w:w="499" w:type="pct"/>
            <w:vAlign w:val="center"/>
          </w:tcPr>
          <w:p w14:paraId="4ACFAF88">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58</w:t>
            </w:r>
          </w:p>
        </w:tc>
        <w:tc>
          <w:tcPr>
            <w:tcW w:w="335" w:type="pct"/>
            <w:noWrap/>
            <w:vAlign w:val="center"/>
          </w:tcPr>
          <w:p w14:paraId="172725D6">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50</w:t>
            </w:r>
          </w:p>
        </w:tc>
        <w:tc>
          <w:tcPr>
            <w:tcW w:w="335" w:type="pct"/>
            <w:noWrap/>
            <w:vAlign w:val="center"/>
          </w:tcPr>
          <w:p w14:paraId="00CFE503">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21</w:t>
            </w:r>
          </w:p>
        </w:tc>
        <w:tc>
          <w:tcPr>
            <w:tcW w:w="335" w:type="pct"/>
            <w:noWrap/>
            <w:vAlign w:val="center"/>
          </w:tcPr>
          <w:p w14:paraId="641221EB">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117</w:t>
            </w:r>
          </w:p>
        </w:tc>
        <w:tc>
          <w:tcPr>
            <w:tcW w:w="342" w:type="pct"/>
            <w:vMerge w:val="restart"/>
            <w:noWrap/>
            <w:vAlign w:val="center"/>
          </w:tcPr>
          <w:p w14:paraId="213B3780">
            <w:pPr>
              <w:spacing w:line="240" w:lineRule="exact"/>
              <w:jc w:val="center"/>
              <w:rPr>
                <w:rFonts w:ascii="Times New Roman" w:hAnsi="Times New Roman" w:eastAsia="宋体" w:cs="Times New Roman"/>
                <w:color w:val="auto"/>
                <w:kern w:val="0"/>
              </w:rPr>
            </w:pPr>
            <w:r>
              <w:rPr>
                <w:rFonts w:ascii="Times New Roman" w:hAnsi="Times New Roman" w:eastAsia="宋体" w:cs="Times New Roman"/>
                <w:color w:val="auto"/>
                <w:kern w:val="0"/>
              </w:rPr>
              <w:t>4a类</w:t>
            </w:r>
          </w:p>
        </w:tc>
        <w:tc>
          <w:tcPr>
            <w:tcW w:w="371" w:type="pct"/>
            <w:noWrap/>
            <w:vAlign w:val="center"/>
          </w:tcPr>
          <w:p w14:paraId="427610C2">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211628E9">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vAlign w:val="center"/>
          </w:tcPr>
          <w:p w14:paraId="0DDC4F33">
            <w:pPr>
              <w:spacing w:line="240" w:lineRule="exact"/>
              <w:jc w:val="center"/>
              <w:rPr>
                <w:rFonts w:ascii="Times New Roman" w:hAnsi="Times New Roman" w:eastAsia="宋体" w:cs="Times New Roman"/>
                <w:color w:val="auto"/>
                <w:kern w:val="0"/>
              </w:rPr>
            </w:pPr>
          </w:p>
        </w:tc>
        <w:tc>
          <w:tcPr>
            <w:tcW w:w="474" w:type="pct"/>
            <w:vMerge w:val="continue"/>
            <w:vAlign w:val="center"/>
          </w:tcPr>
          <w:p w14:paraId="1116ADF7">
            <w:pPr>
              <w:spacing w:line="240" w:lineRule="exact"/>
              <w:jc w:val="center"/>
              <w:rPr>
                <w:rFonts w:ascii="Times New Roman" w:hAnsi="Times New Roman" w:eastAsia="宋体" w:cs="Times New Roman"/>
                <w:color w:val="auto"/>
                <w:kern w:val="0"/>
              </w:rPr>
            </w:pPr>
          </w:p>
        </w:tc>
        <w:tc>
          <w:tcPr>
            <w:tcW w:w="457" w:type="pct"/>
            <w:vMerge w:val="continue"/>
            <w:vAlign w:val="center"/>
          </w:tcPr>
          <w:p w14:paraId="7E4E339E">
            <w:pPr>
              <w:spacing w:line="240" w:lineRule="exact"/>
              <w:jc w:val="center"/>
              <w:rPr>
                <w:rFonts w:ascii="Times New Roman" w:hAnsi="Times New Roman" w:eastAsia="宋体" w:cs="Times New Roman"/>
                <w:color w:val="auto"/>
                <w:kern w:val="0"/>
              </w:rPr>
            </w:pPr>
          </w:p>
        </w:tc>
        <w:tc>
          <w:tcPr>
            <w:tcW w:w="799" w:type="pct"/>
            <w:vMerge w:val="continue"/>
            <w:vAlign w:val="center"/>
          </w:tcPr>
          <w:p w14:paraId="72D65E8B">
            <w:pPr>
              <w:spacing w:line="240" w:lineRule="exact"/>
              <w:jc w:val="center"/>
              <w:rPr>
                <w:rFonts w:ascii="Times New Roman" w:hAnsi="Times New Roman" w:eastAsia="宋体" w:cs="Times New Roman"/>
                <w:color w:val="auto"/>
                <w:kern w:val="0"/>
              </w:rPr>
            </w:pPr>
          </w:p>
        </w:tc>
        <w:tc>
          <w:tcPr>
            <w:tcW w:w="499" w:type="pct"/>
            <w:noWrap/>
            <w:vAlign w:val="center"/>
          </w:tcPr>
          <w:p w14:paraId="2D4E11FC">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2026.4.24</w:t>
            </w:r>
          </w:p>
        </w:tc>
        <w:tc>
          <w:tcPr>
            <w:tcW w:w="299" w:type="pct"/>
            <w:vAlign w:val="center"/>
          </w:tcPr>
          <w:p w14:paraId="224B805C">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夜间</w:t>
            </w:r>
          </w:p>
        </w:tc>
        <w:tc>
          <w:tcPr>
            <w:tcW w:w="499" w:type="pct"/>
            <w:vAlign w:val="center"/>
          </w:tcPr>
          <w:p w14:paraId="0ADB6CB1">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47</w:t>
            </w:r>
          </w:p>
        </w:tc>
        <w:tc>
          <w:tcPr>
            <w:tcW w:w="335" w:type="pct"/>
            <w:noWrap/>
            <w:vAlign w:val="center"/>
          </w:tcPr>
          <w:p w14:paraId="1DCE2DCF">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25</w:t>
            </w:r>
          </w:p>
        </w:tc>
        <w:tc>
          <w:tcPr>
            <w:tcW w:w="335" w:type="pct"/>
            <w:noWrap/>
            <w:vAlign w:val="center"/>
          </w:tcPr>
          <w:p w14:paraId="79144010">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18</w:t>
            </w:r>
          </w:p>
        </w:tc>
        <w:tc>
          <w:tcPr>
            <w:tcW w:w="335" w:type="pct"/>
            <w:noWrap/>
            <w:vAlign w:val="center"/>
          </w:tcPr>
          <w:p w14:paraId="10B2CBC8">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30</w:t>
            </w:r>
          </w:p>
        </w:tc>
        <w:tc>
          <w:tcPr>
            <w:tcW w:w="342" w:type="pct"/>
            <w:vMerge w:val="continue"/>
            <w:noWrap/>
            <w:vAlign w:val="center"/>
          </w:tcPr>
          <w:p w14:paraId="04207A9D">
            <w:pPr>
              <w:spacing w:line="240" w:lineRule="exact"/>
              <w:jc w:val="center"/>
              <w:rPr>
                <w:rFonts w:ascii="Times New Roman" w:hAnsi="Times New Roman" w:eastAsia="宋体" w:cs="Times New Roman"/>
                <w:color w:val="auto"/>
                <w:kern w:val="0"/>
              </w:rPr>
            </w:pPr>
          </w:p>
        </w:tc>
        <w:tc>
          <w:tcPr>
            <w:tcW w:w="371" w:type="pct"/>
            <w:noWrap/>
            <w:vAlign w:val="center"/>
          </w:tcPr>
          <w:p w14:paraId="590E976F">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79C327FF">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vAlign w:val="center"/>
          </w:tcPr>
          <w:p w14:paraId="063BDB9A">
            <w:pPr>
              <w:spacing w:line="240" w:lineRule="exact"/>
              <w:jc w:val="center"/>
              <w:rPr>
                <w:rFonts w:ascii="Times New Roman" w:hAnsi="Times New Roman" w:eastAsia="宋体" w:cs="Times New Roman"/>
                <w:color w:val="auto"/>
                <w:kern w:val="0"/>
              </w:rPr>
            </w:pPr>
          </w:p>
        </w:tc>
        <w:tc>
          <w:tcPr>
            <w:tcW w:w="474" w:type="pct"/>
            <w:vMerge w:val="continue"/>
            <w:vAlign w:val="center"/>
          </w:tcPr>
          <w:p w14:paraId="72C73FDD">
            <w:pPr>
              <w:spacing w:line="240" w:lineRule="exact"/>
              <w:jc w:val="center"/>
              <w:rPr>
                <w:rFonts w:ascii="Times New Roman" w:hAnsi="Times New Roman" w:eastAsia="宋体" w:cs="Times New Roman"/>
                <w:color w:val="auto"/>
                <w:kern w:val="0"/>
              </w:rPr>
            </w:pPr>
          </w:p>
        </w:tc>
        <w:tc>
          <w:tcPr>
            <w:tcW w:w="457" w:type="pct"/>
            <w:vMerge w:val="continue"/>
            <w:vAlign w:val="center"/>
          </w:tcPr>
          <w:p w14:paraId="734D828C">
            <w:pPr>
              <w:spacing w:line="240" w:lineRule="exact"/>
              <w:jc w:val="center"/>
              <w:rPr>
                <w:rFonts w:ascii="Times New Roman" w:hAnsi="Times New Roman" w:eastAsia="宋体" w:cs="Times New Roman"/>
                <w:color w:val="auto"/>
                <w:kern w:val="0"/>
              </w:rPr>
            </w:pPr>
          </w:p>
        </w:tc>
        <w:tc>
          <w:tcPr>
            <w:tcW w:w="799" w:type="pct"/>
            <w:vMerge w:val="continue"/>
            <w:vAlign w:val="center"/>
          </w:tcPr>
          <w:p w14:paraId="5F9AF196">
            <w:pPr>
              <w:spacing w:line="240" w:lineRule="exact"/>
              <w:jc w:val="center"/>
              <w:rPr>
                <w:rFonts w:ascii="Times New Roman" w:hAnsi="Times New Roman" w:eastAsia="宋体" w:cs="Times New Roman"/>
                <w:color w:val="auto"/>
                <w:kern w:val="0"/>
              </w:rPr>
            </w:pPr>
          </w:p>
        </w:tc>
        <w:tc>
          <w:tcPr>
            <w:tcW w:w="499" w:type="pct"/>
            <w:noWrap/>
            <w:vAlign w:val="center"/>
          </w:tcPr>
          <w:p w14:paraId="78E9E271">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2026.4.24</w:t>
            </w:r>
          </w:p>
        </w:tc>
        <w:tc>
          <w:tcPr>
            <w:tcW w:w="299" w:type="pct"/>
            <w:vAlign w:val="center"/>
          </w:tcPr>
          <w:p w14:paraId="2B97AD10">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昼间</w:t>
            </w:r>
          </w:p>
        </w:tc>
        <w:tc>
          <w:tcPr>
            <w:tcW w:w="499" w:type="pct"/>
            <w:vAlign w:val="center"/>
          </w:tcPr>
          <w:p w14:paraId="1000D69B">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55</w:t>
            </w:r>
          </w:p>
        </w:tc>
        <w:tc>
          <w:tcPr>
            <w:tcW w:w="335" w:type="pct"/>
            <w:noWrap/>
            <w:vAlign w:val="center"/>
          </w:tcPr>
          <w:p w14:paraId="5AD70596">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46</w:t>
            </w:r>
          </w:p>
        </w:tc>
        <w:tc>
          <w:tcPr>
            <w:tcW w:w="335" w:type="pct"/>
            <w:noWrap/>
            <w:vAlign w:val="center"/>
          </w:tcPr>
          <w:p w14:paraId="6984B799">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24</w:t>
            </w:r>
          </w:p>
        </w:tc>
        <w:tc>
          <w:tcPr>
            <w:tcW w:w="335" w:type="pct"/>
            <w:noWrap/>
            <w:vAlign w:val="center"/>
          </w:tcPr>
          <w:p w14:paraId="46DE9B9B">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120</w:t>
            </w:r>
          </w:p>
        </w:tc>
        <w:tc>
          <w:tcPr>
            <w:tcW w:w="342" w:type="pct"/>
            <w:vMerge w:val="continue"/>
            <w:noWrap/>
            <w:vAlign w:val="center"/>
          </w:tcPr>
          <w:p w14:paraId="69A15A72">
            <w:pPr>
              <w:spacing w:line="240" w:lineRule="exact"/>
              <w:jc w:val="center"/>
              <w:rPr>
                <w:rFonts w:ascii="Times New Roman" w:hAnsi="Times New Roman" w:eastAsia="宋体" w:cs="Times New Roman"/>
                <w:color w:val="auto"/>
                <w:kern w:val="0"/>
              </w:rPr>
            </w:pPr>
          </w:p>
        </w:tc>
        <w:tc>
          <w:tcPr>
            <w:tcW w:w="371" w:type="pct"/>
            <w:noWrap/>
            <w:vAlign w:val="center"/>
          </w:tcPr>
          <w:p w14:paraId="0B7B25B9">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1F52A76C">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vAlign w:val="center"/>
          </w:tcPr>
          <w:p w14:paraId="75529BB2">
            <w:pPr>
              <w:spacing w:line="240" w:lineRule="exact"/>
              <w:jc w:val="center"/>
              <w:rPr>
                <w:rFonts w:ascii="Times New Roman" w:hAnsi="Times New Roman" w:eastAsia="宋体" w:cs="Times New Roman"/>
                <w:color w:val="auto"/>
                <w:kern w:val="0"/>
              </w:rPr>
            </w:pPr>
          </w:p>
        </w:tc>
        <w:tc>
          <w:tcPr>
            <w:tcW w:w="474" w:type="pct"/>
            <w:vMerge w:val="continue"/>
            <w:vAlign w:val="center"/>
          </w:tcPr>
          <w:p w14:paraId="426C5305">
            <w:pPr>
              <w:spacing w:line="240" w:lineRule="exact"/>
              <w:jc w:val="center"/>
              <w:rPr>
                <w:rFonts w:ascii="Times New Roman" w:hAnsi="Times New Roman" w:eastAsia="宋体" w:cs="Times New Roman"/>
                <w:color w:val="auto"/>
                <w:kern w:val="0"/>
              </w:rPr>
            </w:pPr>
          </w:p>
        </w:tc>
        <w:tc>
          <w:tcPr>
            <w:tcW w:w="457" w:type="pct"/>
            <w:vMerge w:val="continue"/>
            <w:vAlign w:val="center"/>
          </w:tcPr>
          <w:p w14:paraId="482971AD">
            <w:pPr>
              <w:spacing w:line="240" w:lineRule="exact"/>
              <w:jc w:val="center"/>
              <w:rPr>
                <w:rFonts w:ascii="Times New Roman" w:hAnsi="Times New Roman" w:eastAsia="宋体" w:cs="Times New Roman"/>
                <w:color w:val="auto"/>
                <w:kern w:val="0"/>
              </w:rPr>
            </w:pPr>
          </w:p>
        </w:tc>
        <w:tc>
          <w:tcPr>
            <w:tcW w:w="799" w:type="pct"/>
            <w:vMerge w:val="continue"/>
            <w:vAlign w:val="center"/>
          </w:tcPr>
          <w:p w14:paraId="27962368">
            <w:pPr>
              <w:spacing w:line="240" w:lineRule="exact"/>
              <w:jc w:val="center"/>
              <w:rPr>
                <w:rFonts w:ascii="Times New Roman" w:hAnsi="Times New Roman" w:eastAsia="宋体" w:cs="Times New Roman"/>
                <w:color w:val="auto"/>
                <w:kern w:val="0"/>
              </w:rPr>
            </w:pPr>
          </w:p>
        </w:tc>
        <w:tc>
          <w:tcPr>
            <w:tcW w:w="499" w:type="pct"/>
            <w:noWrap/>
            <w:vAlign w:val="center"/>
          </w:tcPr>
          <w:p w14:paraId="790D4800">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2026.4.25</w:t>
            </w:r>
          </w:p>
        </w:tc>
        <w:tc>
          <w:tcPr>
            <w:tcW w:w="299" w:type="pct"/>
            <w:vAlign w:val="center"/>
          </w:tcPr>
          <w:p w14:paraId="27D30E43">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夜间</w:t>
            </w:r>
          </w:p>
        </w:tc>
        <w:tc>
          <w:tcPr>
            <w:tcW w:w="499" w:type="pct"/>
            <w:vAlign w:val="center"/>
          </w:tcPr>
          <w:p w14:paraId="4952DF0C">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48</w:t>
            </w:r>
          </w:p>
        </w:tc>
        <w:tc>
          <w:tcPr>
            <w:tcW w:w="335" w:type="pct"/>
            <w:noWrap/>
            <w:vAlign w:val="center"/>
          </w:tcPr>
          <w:p w14:paraId="664D8D5D">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26</w:t>
            </w:r>
          </w:p>
        </w:tc>
        <w:tc>
          <w:tcPr>
            <w:tcW w:w="335" w:type="pct"/>
            <w:noWrap/>
            <w:vAlign w:val="center"/>
          </w:tcPr>
          <w:p w14:paraId="1D10316C">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15</w:t>
            </w:r>
          </w:p>
        </w:tc>
        <w:tc>
          <w:tcPr>
            <w:tcW w:w="335" w:type="pct"/>
            <w:noWrap/>
            <w:vAlign w:val="center"/>
          </w:tcPr>
          <w:p w14:paraId="6FF5104D">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30</w:t>
            </w:r>
          </w:p>
        </w:tc>
        <w:tc>
          <w:tcPr>
            <w:tcW w:w="342" w:type="pct"/>
            <w:vMerge w:val="continue"/>
            <w:noWrap/>
            <w:vAlign w:val="center"/>
          </w:tcPr>
          <w:p w14:paraId="29FAE9E1">
            <w:pPr>
              <w:spacing w:line="240" w:lineRule="exact"/>
              <w:jc w:val="center"/>
              <w:rPr>
                <w:rFonts w:ascii="Times New Roman" w:hAnsi="Times New Roman" w:eastAsia="宋体" w:cs="Times New Roman"/>
                <w:color w:val="auto"/>
                <w:kern w:val="0"/>
              </w:rPr>
            </w:pPr>
          </w:p>
        </w:tc>
        <w:tc>
          <w:tcPr>
            <w:tcW w:w="371" w:type="pct"/>
            <w:noWrap/>
            <w:vAlign w:val="center"/>
          </w:tcPr>
          <w:p w14:paraId="51AFAE1C">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2EF64A7F">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vAlign w:val="center"/>
          </w:tcPr>
          <w:p w14:paraId="2D6A5E45">
            <w:pPr>
              <w:spacing w:line="240" w:lineRule="exact"/>
              <w:jc w:val="center"/>
              <w:rPr>
                <w:rFonts w:ascii="Times New Roman" w:hAnsi="Times New Roman" w:eastAsia="宋体" w:cs="Times New Roman"/>
                <w:color w:val="auto"/>
                <w:kern w:val="0"/>
              </w:rPr>
            </w:pPr>
          </w:p>
        </w:tc>
        <w:tc>
          <w:tcPr>
            <w:tcW w:w="474" w:type="pct"/>
            <w:vMerge w:val="continue"/>
            <w:vAlign w:val="center"/>
          </w:tcPr>
          <w:p w14:paraId="5A71EA03">
            <w:pPr>
              <w:spacing w:line="240" w:lineRule="exact"/>
              <w:jc w:val="center"/>
              <w:rPr>
                <w:rFonts w:ascii="Times New Roman" w:hAnsi="Times New Roman" w:eastAsia="宋体" w:cs="Times New Roman"/>
                <w:color w:val="auto"/>
                <w:kern w:val="0"/>
              </w:rPr>
            </w:pPr>
          </w:p>
        </w:tc>
        <w:tc>
          <w:tcPr>
            <w:tcW w:w="457" w:type="pct"/>
            <w:vMerge w:val="continue"/>
            <w:vAlign w:val="center"/>
          </w:tcPr>
          <w:p w14:paraId="32D87060">
            <w:pPr>
              <w:spacing w:line="240" w:lineRule="exact"/>
              <w:jc w:val="center"/>
              <w:rPr>
                <w:rFonts w:ascii="Times New Roman" w:hAnsi="Times New Roman" w:eastAsia="宋体" w:cs="Times New Roman"/>
                <w:color w:val="auto"/>
                <w:kern w:val="0"/>
              </w:rPr>
            </w:pPr>
          </w:p>
        </w:tc>
        <w:tc>
          <w:tcPr>
            <w:tcW w:w="799" w:type="pct"/>
            <w:vMerge w:val="restart"/>
            <w:vAlign w:val="center"/>
          </w:tcPr>
          <w:p w14:paraId="6C52B340">
            <w:pPr>
              <w:spacing w:line="240" w:lineRule="exact"/>
              <w:jc w:val="center"/>
              <w:rPr>
                <w:rFonts w:ascii="Times New Roman" w:hAnsi="Times New Roman" w:eastAsia="宋体" w:cs="Times New Roman"/>
                <w:color w:val="auto"/>
                <w:kern w:val="0"/>
              </w:rPr>
            </w:pPr>
            <w:r>
              <w:rPr>
                <w:rFonts w:ascii="Times New Roman" w:hAnsi="Times New Roman" w:eastAsia="宋体" w:cs="Times New Roman"/>
                <w:color w:val="auto"/>
              </w:rPr>
              <w:t>临现有</w:t>
            </w:r>
            <w:r>
              <w:rPr>
                <w:rFonts w:hint="eastAsia" w:ascii="Times New Roman" w:hAnsi="Times New Roman" w:eastAsia="宋体" w:cs="Times New Roman"/>
                <w:color w:val="auto"/>
              </w:rPr>
              <w:t>G219</w:t>
            </w:r>
            <w:r>
              <w:rPr>
                <w:rFonts w:ascii="Times New Roman" w:hAnsi="Times New Roman" w:eastAsia="宋体" w:cs="Times New Roman"/>
                <w:color w:val="auto"/>
              </w:rPr>
              <w:t>边界</w:t>
            </w:r>
            <w:r>
              <w:rPr>
                <w:rFonts w:hint="eastAsia" w:ascii="Times New Roman" w:hAnsi="Times New Roman" w:eastAsia="宋体" w:cs="Times New Roman"/>
                <w:color w:val="auto"/>
              </w:rPr>
              <w:t>35</w:t>
            </w:r>
            <w:r>
              <w:rPr>
                <w:rFonts w:ascii="Times New Roman" w:hAnsi="Times New Roman" w:eastAsia="宋体" w:cs="Times New Roman"/>
                <w:color w:val="auto"/>
              </w:rPr>
              <w:t>m外第一排房</w:t>
            </w:r>
            <w:r>
              <w:rPr>
                <w:rFonts w:hint="eastAsia" w:ascii="Times New Roman" w:hAnsi="Times New Roman" w:eastAsia="宋体" w:cs="Times New Roman"/>
                <w:color w:val="auto"/>
              </w:rPr>
              <w:t>1</w:t>
            </w:r>
            <w:r>
              <w:rPr>
                <w:rFonts w:ascii="Times New Roman" w:hAnsi="Times New Roman" w:eastAsia="宋体" w:cs="Times New Roman"/>
                <w:color w:val="auto"/>
              </w:rPr>
              <w:t>层</w:t>
            </w:r>
          </w:p>
        </w:tc>
        <w:tc>
          <w:tcPr>
            <w:tcW w:w="499" w:type="pct"/>
            <w:noWrap/>
            <w:vAlign w:val="center"/>
          </w:tcPr>
          <w:p w14:paraId="7C97A7D1">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2026.4.23</w:t>
            </w:r>
          </w:p>
        </w:tc>
        <w:tc>
          <w:tcPr>
            <w:tcW w:w="299" w:type="pct"/>
            <w:vAlign w:val="center"/>
          </w:tcPr>
          <w:p w14:paraId="746E2874">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昼间</w:t>
            </w:r>
          </w:p>
        </w:tc>
        <w:tc>
          <w:tcPr>
            <w:tcW w:w="499" w:type="pct"/>
            <w:vAlign w:val="center"/>
          </w:tcPr>
          <w:p w14:paraId="3EB239B4">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53</w:t>
            </w:r>
          </w:p>
        </w:tc>
        <w:tc>
          <w:tcPr>
            <w:tcW w:w="335" w:type="pct"/>
            <w:noWrap/>
            <w:vAlign w:val="center"/>
          </w:tcPr>
          <w:p w14:paraId="6537CA05">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50</w:t>
            </w:r>
          </w:p>
        </w:tc>
        <w:tc>
          <w:tcPr>
            <w:tcW w:w="335" w:type="pct"/>
            <w:noWrap/>
            <w:vAlign w:val="center"/>
          </w:tcPr>
          <w:p w14:paraId="56AAE7A1">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21</w:t>
            </w:r>
          </w:p>
        </w:tc>
        <w:tc>
          <w:tcPr>
            <w:tcW w:w="335" w:type="pct"/>
            <w:noWrap/>
            <w:vAlign w:val="center"/>
          </w:tcPr>
          <w:p w14:paraId="73AA0B4F">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117</w:t>
            </w:r>
          </w:p>
        </w:tc>
        <w:tc>
          <w:tcPr>
            <w:tcW w:w="342" w:type="pct"/>
            <w:vMerge w:val="restart"/>
            <w:noWrap/>
            <w:vAlign w:val="center"/>
          </w:tcPr>
          <w:p w14:paraId="22EB577D">
            <w:pPr>
              <w:spacing w:line="240" w:lineRule="exact"/>
              <w:jc w:val="center"/>
              <w:rPr>
                <w:rFonts w:ascii="Times New Roman" w:hAnsi="Times New Roman" w:eastAsia="宋体" w:cs="Times New Roman"/>
                <w:color w:val="auto"/>
                <w:kern w:val="0"/>
              </w:rPr>
            </w:pPr>
            <w:r>
              <w:rPr>
                <w:rFonts w:ascii="Times New Roman" w:hAnsi="Times New Roman" w:eastAsia="宋体" w:cs="Times New Roman"/>
                <w:color w:val="auto"/>
                <w:kern w:val="0"/>
              </w:rPr>
              <w:t>2类</w:t>
            </w:r>
          </w:p>
        </w:tc>
        <w:tc>
          <w:tcPr>
            <w:tcW w:w="371" w:type="pct"/>
            <w:noWrap/>
            <w:vAlign w:val="center"/>
          </w:tcPr>
          <w:p w14:paraId="202238B7">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6274EB6E">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vAlign w:val="center"/>
          </w:tcPr>
          <w:p w14:paraId="7D53089F">
            <w:pPr>
              <w:spacing w:line="240" w:lineRule="exact"/>
              <w:jc w:val="center"/>
              <w:rPr>
                <w:rFonts w:ascii="Times New Roman" w:hAnsi="Times New Roman" w:eastAsia="宋体" w:cs="Times New Roman"/>
                <w:color w:val="auto"/>
                <w:kern w:val="0"/>
              </w:rPr>
            </w:pPr>
          </w:p>
        </w:tc>
        <w:tc>
          <w:tcPr>
            <w:tcW w:w="474" w:type="pct"/>
            <w:vMerge w:val="continue"/>
            <w:vAlign w:val="center"/>
          </w:tcPr>
          <w:p w14:paraId="021C1DCB">
            <w:pPr>
              <w:spacing w:line="240" w:lineRule="exact"/>
              <w:jc w:val="center"/>
              <w:rPr>
                <w:rFonts w:ascii="Times New Roman" w:hAnsi="Times New Roman" w:eastAsia="宋体" w:cs="Times New Roman"/>
                <w:color w:val="auto"/>
                <w:kern w:val="0"/>
              </w:rPr>
            </w:pPr>
          </w:p>
        </w:tc>
        <w:tc>
          <w:tcPr>
            <w:tcW w:w="457" w:type="pct"/>
            <w:vMerge w:val="continue"/>
            <w:vAlign w:val="center"/>
          </w:tcPr>
          <w:p w14:paraId="1E445684">
            <w:pPr>
              <w:spacing w:line="240" w:lineRule="exact"/>
              <w:jc w:val="center"/>
              <w:rPr>
                <w:rFonts w:ascii="Times New Roman" w:hAnsi="Times New Roman" w:eastAsia="宋体" w:cs="Times New Roman"/>
                <w:color w:val="auto"/>
                <w:kern w:val="0"/>
              </w:rPr>
            </w:pPr>
          </w:p>
        </w:tc>
        <w:tc>
          <w:tcPr>
            <w:tcW w:w="799" w:type="pct"/>
            <w:vMerge w:val="continue"/>
            <w:vAlign w:val="center"/>
          </w:tcPr>
          <w:p w14:paraId="639F6595">
            <w:pPr>
              <w:spacing w:line="240" w:lineRule="exact"/>
              <w:jc w:val="center"/>
              <w:rPr>
                <w:rFonts w:ascii="Times New Roman" w:hAnsi="Times New Roman" w:eastAsia="宋体" w:cs="Times New Roman"/>
                <w:color w:val="auto"/>
                <w:kern w:val="0"/>
              </w:rPr>
            </w:pPr>
          </w:p>
        </w:tc>
        <w:tc>
          <w:tcPr>
            <w:tcW w:w="499" w:type="pct"/>
            <w:noWrap/>
            <w:vAlign w:val="center"/>
          </w:tcPr>
          <w:p w14:paraId="0B3B2556">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2026.4.24</w:t>
            </w:r>
          </w:p>
        </w:tc>
        <w:tc>
          <w:tcPr>
            <w:tcW w:w="299" w:type="pct"/>
            <w:vAlign w:val="center"/>
          </w:tcPr>
          <w:p w14:paraId="61A6797F">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夜间</w:t>
            </w:r>
          </w:p>
        </w:tc>
        <w:tc>
          <w:tcPr>
            <w:tcW w:w="499" w:type="pct"/>
            <w:vAlign w:val="center"/>
          </w:tcPr>
          <w:p w14:paraId="40BAEF3D">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43</w:t>
            </w:r>
          </w:p>
        </w:tc>
        <w:tc>
          <w:tcPr>
            <w:tcW w:w="335" w:type="pct"/>
            <w:noWrap/>
            <w:vAlign w:val="center"/>
          </w:tcPr>
          <w:p w14:paraId="5904422D">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25</w:t>
            </w:r>
          </w:p>
        </w:tc>
        <w:tc>
          <w:tcPr>
            <w:tcW w:w="335" w:type="pct"/>
            <w:noWrap/>
            <w:vAlign w:val="center"/>
          </w:tcPr>
          <w:p w14:paraId="5695EE3A">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18</w:t>
            </w:r>
          </w:p>
        </w:tc>
        <w:tc>
          <w:tcPr>
            <w:tcW w:w="335" w:type="pct"/>
            <w:noWrap/>
            <w:vAlign w:val="center"/>
          </w:tcPr>
          <w:p w14:paraId="257811D8">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30</w:t>
            </w:r>
          </w:p>
        </w:tc>
        <w:tc>
          <w:tcPr>
            <w:tcW w:w="342" w:type="pct"/>
            <w:vMerge w:val="continue"/>
            <w:noWrap/>
            <w:vAlign w:val="center"/>
          </w:tcPr>
          <w:p w14:paraId="50C58A22">
            <w:pPr>
              <w:spacing w:line="240" w:lineRule="exact"/>
              <w:jc w:val="center"/>
              <w:rPr>
                <w:rFonts w:ascii="Times New Roman" w:hAnsi="Times New Roman" w:eastAsia="宋体" w:cs="Times New Roman"/>
                <w:color w:val="auto"/>
                <w:kern w:val="0"/>
              </w:rPr>
            </w:pPr>
          </w:p>
        </w:tc>
        <w:tc>
          <w:tcPr>
            <w:tcW w:w="371" w:type="pct"/>
            <w:noWrap/>
            <w:vAlign w:val="center"/>
          </w:tcPr>
          <w:p w14:paraId="6287F5D4">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4A690762">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vAlign w:val="center"/>
          </w:tcPr>
          <w:p w14:paraId="62962AD2">
            <w:pPr>
              <w:spacing w:line="240" w:lineRule="exact"/>
              <w:jc w:val="center"/>
              <w:rPr>
                <w:rFonts w:ascii="Times New Roman" w:hAnsi="Times New Roman" w:eastAsia="宋体" w:cs="Times New Roman"/>
                <w:color w:val="auto"/>
                <w:kern w:val="0"/>
              </w:rPr>
            </w:pPr>
          </w:p>
        </w:tc>
        <w:tc>
          <w:tcPr>
            <w:tcW w:w="474" w:type="pct"/>
            <w:vMerge w:val="continue"/>
            <w:vAlign w:val="center"/>
          </w:tcPr>
          <w:p w14:paraId="079DB83A">
            <w:pPr>
              <w:spacing w:line="240" w:lineRule="exact"/>
              <w:jc w:val="center"/>
              <w:rPr>
                <w:rFonts w:ascii="Times New Roman" w:hAnsi="Times New Roman" w:eastAsia="宋体" w:cs="Times New Roman"/>
                <w:color w:val="auto"/>
                <w:kern w:val="0"/>
              </w:rPr>
            </w:pPr>
          </w:p>
        </w:tc>
        <w:tc>
          <w:tcPr>
            <w:tcW w:w="457" w:type="pct"/>
            <w:vMerge w:val="continue"/>
            <w:vAlign w:val="center"/>
          </w:tcPr>
          <w:p w14:paraId="2B4DE3AC">
            <w:pPr>
              <w:spacing w:line="240" w:lineRule="exact"/>
              <w:jc w:val="center"/>
              <w:rPr>
                <w:rFonts w:ascii="Times New Roman" w:hAnsi="Times New Roman" w:eastAsia="宋体" w:cs="Times New Roman"/>
                <w:color w:val="auto"/>
                <w:kern w:val="0"/>
              </w:rPr>
            </w:pPr>
          </w:p>
        </w:tc>
        <w:tc>
          <w:tcPr>
            <w:tcW w:w="799" w:type="pct"/>
            <w:vMerge w:val="continue"/>
            <w:vAlign w:val="center"/>
          </w:tcPr>
          <w:p w14:paraId="0ED43F01">
            <w:pPr>
              <w:spacing w:line="240" w:lineRule="exact"/>
              <w:jc w:val="center"/>
              <w:rPr>
                <w:rFonts w:ascii="Times New Roman" w:hAnsi="Times New Roman" w:eastAsia="宋体" w:cs="Times New Roman"/>
                <w:color w:val="auto"/>
                <w:kern w:val="0"/>
              </w:rPr>
            </w:pPr>
          </w:p>
        </w:tc>
        <w:tc>
          <w:tcPr>
            <w:tcW w:w="499" w:type="pct"/>
            <w:noWrap/>
            <w:vAlign w:val="center"/>
          </w:tcPr>
          <w:p w14:paraId="0490E898">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2026.4.24</w:t>
            </w:r>
          </w:p>
        </w:tc>
        <w:tc>
          <w:tcPr>
            <w:tcW w:w="299" w:type="pct"/>
            <w:vAlign w:val="center"/>
          </w:tcPr>
          <w:p w14:paraId="57475337">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昼间</w:t>
            </w:r>
          </w:p>
        </w:tc>
        <w:tc>
          <w:tcPr>
            <w:tcW w:w="499" w:type="pct"/>
            <w:vAlign w:val="center"/>
          </w:tcPr>
          <w:p w14:paraId="7897C7EB">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52</w:t>
            </w:r>
          </w:p>
        </w:tc>
        <w:tc>
          <w:tcPr>
            <w:tcW w:w="335" w:type="pct"/>
            <w:noWrap/>
            <w:vAlign w:val="center"/>
          </w:tcPr>
          <w:p w14:paraId="5719EE10">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46</w:t>
            </w:r>
          </w:p>
        </w:tc>
        <w:tc>
          <w:tcPr>
            <w:tcW w:w="335" w:type="pct"/>
            <w:noWrap/>
            <w:vAlign w:val="center"/>
          </w:tcPr>
          <w:p w14:paraId="278FAAEE">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24</w:t>
            </w:r>
          </w:p>
        </w:tc>
        <w:tc>
          <w:tcPr>
            <w:tcW w:w="335" w:type="pct"/>
            <w:noWrap/>
            <w:vAlign w:val="center"/>
          </w:tcPr>
          <w:p w14:paraId="4FE14D2A">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120</w:t>
            </w:r>
          </w:p>
        </w:tc>
        <w:tc>
          <w:tcPr>
            <w:tcW w:w="342" w:type="pct"/>
            <w:vMerge w:val="continue"/>
            <w:noWrap/>
            <w:vAlign w:val="center"/>
          </w:tcPr>
          <w:p w14:paraId="08C7FAD2">
            <w:pPr>
              <w:spacing w:line="240" w:lineRule="exact"/>
              <w:jc w:val="center"/>
              <w:rPr>
                <w:rFonts w:ascii="Times New Roman" w:hAnsi="Times New Roman" w:eastAsia="宋体" w:cs="Times New Roman"/>
                <w:color w:val="auto"/>
                <w:kern w:val="0"/>
              </w:rPr>
            </w:pPr>
          </w:p>
        </w:tc>
        <w:tc>
          <w:tcPr>
            <w:tcW w:w="371" w:type="pct"/>
            <w:noWrap/>
            <w:vAlign w:val="center"/>
          </w:tcPr>
          <w:p w14:paraId="241D5FF2">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19A9CEF3">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vAlign w:val="center"/>
          </w:tcPr>
          <w:p w14:paraId="21AF2221">
            <w:pPr>
              <w:spacing w:line="240" w:lineRule="exact"/>
              <w:jc w:val="center"/>
              <w:rPr>
                <w:rFonts w:ascii="Times New Roman" w:hAnsi="Times New Roman" w:eastAsia="宋体" w:cs="Times New Roman"/>
                <w:color w:val="auto"/>
                <w:kern w:val="0"/>
              </w:rPr>
            </w:pPr>
          </w:p>
        </w:tc>
        <w:tc>
          <w:tcPr>
            <w:tcW w:w="474" w:type="pct"/>
            <w:vMerge w:val="continue"/>
            <w:vAlign w:val="center"/>
          </w:tcPr>
          <w:p w14:paraId="465AE1CD">
            <w:pPr>
              <w:spacing w:line="240" w:lineRule="exact"/>
              <w:jc w:val="center"/>
              <w:rPr>
                <w:rFonts w:ascii="Times New Roman" w:hAnsi="Times New Roman" w:eastAsia="宋体" w:cs="Times New Roman"/>
                <w:color w:val="auto"/>
                <w:kern w:val="0"/>
              </w:rPr>
            </w:pPr>
          </w:p>
        </w:tc>
        <w:tc>
          <w:tcPr>
            <w:tcW w:w="457" w:type="pct"/>
            <w:vMerge w:val="continue"/>
            <w:vAlign w:val="center"/>
          </w:tcPr>
          <w:p w14:paraId="4CF0E9E8">
            <w:pPr>
              <w:spacing w:line="240" w:lineRule="exact"/>
              <w:jc w:val="center"/>
              <w:rPr>
                <w:rFonts w:ascii="Times New Roman" w:hAnsi="Times New Roman" w:eastAsia="宋体" w:cs="Times New Roman"/>
                <w:color w:val="auto"/>
                <w:kern w:val="0"/>
              </w:rPr>
            </w:pPr>
          </w:p>
        </w:tc>
        <w:tc>
          <w:tcPr>
            <w:tcW w:w="799" w:type="pct"/>
            <w:vMerge w:val="continue"/>
            <w:vAlign w:val="center"/>
          </w:tcPr>
          <w:p w14:paraId="47144FBC">
            <w:pPr>
              <w:spacing w:line="240" w:lineRule="exact"/>
              <w:jc w:val="center"/>
              <w:rPr>
                <w:rFonts w:ascii="Times New Roman" w:hAnsi="Times New Roman" w:eastAsia="宋体" w:cs="Times New Roman"/>
                <w:color w:val="auto"/>
                <w:kern w:val="0"/>
              </w:rPr>
            </w:pPr>
          </w:p>
        </w:tc>
        <w:tc>
          <w:tcPr>
            <w:tcW w:w="499" w:type="pct"/>
            <w:noWrap/>
            <w:vAlign w:val="center"/>
          </w:tcPr>
          <w:p w14:paraId="60D91E69">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2026.4.25</w:t>
            </w:r>
          </w:p>
        </w:tc>
        <w:tc>
          <w:tcPr>
            <w:tcW w:w="299" w:type="pct"/>
            <w:vAlign w:val="center"/>
          </w:tcPr>
          <w:p w14:paraId="2AAF6766">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夜间</w:t>
            </w:r>
          </w:p>
        </w:tc>
        <w:tc>
          <w:tcPr>
            <w:tcW w:w="499" w:type="pct"/>
            <w:vAlign w:val="center"/>
          </w:tcPr>
          <w:p w14:paraId="36AD1473">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45</w:t>
            </w:r>
          </w:p>
        </w:tc>
        <w:tc>
          <w:tcPr>
            <w:tcW w:w="335" w:type="pct"/>
            <w:noWrap/>
            <w:vAlign w:val="center"/>
          </w:tcPr>
          <w:p w14:paraId="4DE52EC6">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26</w:t>
            </w:r>
          </w:p>
        </w:tc>
        <w:tc>
          <w:tcPr>
            <w:tcW w:w="335" w:type="pct"/>
            <w:noWrap/>
            <w:vAlign w:val="center"/>
          </w:tcPr>
          <w:p w14:paraId="24BC1172">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15</w:t>
            </w:r>
          </w:p>
        </w:tc>
        <w:tc>
          <w:tcPr>
            <w:tcW w:w="335" w:type="pct"/>
            <w:noWrap/>
            <w:vAlign w:val="center"/>
          </w:tcPr>
          <w:p w14:paraId="045A5C9C">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30</w:t>
            </w:r>
          </w:p>
        </w:tc>
        <w:tc>
          <w:tcPr>
            <w:tcW w:w="342" w:type="pct"/>
            <w:vMerge w:val="continue"/>
            <w:noWrap/>
            <w:vAlign w:val="center"/>
          </w:tcPr>
          <w:p w14:paraId="7D67FB0B">
            <w:pPr>
              <w:spacing w:line="240" w:lineRule="exact"/>
              <w:jc w:val="center"/>
              <w:rPr>
                <w:rFonts w:ascii="Times New Roman" w:hAnsi="Times New Roman" w:eastAsia="宋体" w:cs="Times New Roman"/>
                <w:color w:val="auto"/>
                <w:kern w:val="0"/>
              </w:rPr>
            </w:pPr>
          </w:p>
        </w:tc>
        <w:tc>
          <w:tcPr>
            <w:tcW w:w="371" w:type="pct"/>
            <w:noWrap/>
            <w:vAlign w:val="center"/>
          </w:tcPr>
          <w:p w14:paraId="693F9464">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0D105F16">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noWrap/>
            <w:vAlign w:val="center"/>
          </w:tcPr>
          <w:p w14:paraId="628D8357">
            <w:pPr>
              <w:spacing w:line="240" w:lineRule="exact"/>
              <w:jc w:val="center"/>
              <w:rPr>
                <w:rFonts w:ascii="Times New Roman" w:hAnsi="Times New Roman" w:eastAsia="宋体" w:cs="Times New Roman"/>
                <w:color w:val="auto"/>
                <w:kern w:val="0"/>
              </w:rPr>
            </w:pPr>
          </w:p>
        </w:tc>
        <w:tc>
          <w:tcPr>
            <w:tcW w:w="474" w:type="pct"/>
            <w:vMerge w:val="continue"/>
            <w:noWrap/>
            <w:vAlign w:val="center"/>
          </w:tcPr>
          <w:p w14:paraId="2C09DF87">
            <w:pPr>
              <w:spacing w:line="240" w:lineRule="exact"/>
              <w:jc w:val="center"/>
              <w:rPr>
                <w:rFonts w:ascii="Times New Roman" w:hAnsi="Times New Roman" w:eastAsia="宋体" w:cs="Times New Roman"/>
                <w:color w:val="auto"/>
                <w:kern w:val="0"/>
              </w:rPr>
            </w:pPr>
          </w:p>
        </w:tc>
        <w:tc>
          <w:tcPr>
            <w:tcW w:w="457" w:type="pct"/>
            <w:vMerge w:val="restart"/>
            <w:vAlign w:val="center"/>
          </w:tcPr>
          <w:p w14:paraId="48B0DB10">
            <w:pPr>
              <w:spacing w:line="240" w:lineRule="exact"/>
              <w:jc w:val="center"/>
              <w:rPr>
                <w:rFonts w:ascii="Times New Roman" w:hAnsi="Times New Roman" w:eastAsia="宋体" w:cs="Times New Roman"/>
                <w:color w:val="auto"/>
                <w:kern w:val="0"/>
              </w:rPr>
            </w:pPr>
            <w:r>
              <w:rPr>
                <w:rFonts w:ascii="Times New Roman" w:hAnsi="Times New Roman" w:eastAsia="宋体" w:cs="Times New Roman"/>
                <w:color w:val="auto"/>
                <w:kern w:val="0"/>
              </w:rPr>
              <w:t>背景噪声</w:t>
            </w:r>
          </w:p>
        </w:tc>
        <w:tc>
          <w:tcPr>
            <w:tcW w:w="799" w:type="pct"/>
            <w:vMerge w:val="restart"/>
            <w:vAlign w:val="center"/>
          </w:tcPr>
          <w:p w14:paraId="40C2B127">
            <w:pPr>
              <w:spacing w:line="240" w:lineRule="exact"/>
              <w:jc w:val="center"/>
              <w:rPr>
                <w:rFonts w:ascii="Times New Roman" w:hAnsi="Times New Roman" w:eastAsia="宋体" w:cs="Times New Roman"/>
                <w:color w:val="auto"/>
                <w:kern w:val="0"/>
              </w:rPr>
            </w:pPr>
            <w:r>
              <w:rPr>
                <w:rFonts w:hint="eastAsia" w:ascii="Times New Roman" w:hAnsi="Times New Roman" w:eastAsia="宋体" w:cs="Times New Roman"/>
                <w:color w:val="auto"/>
                <w:szCs w:val="21"/>
              </w:rPr>
              <w:t>远离现有G219</w:t>
            </w:r>
            <w:r>
              <w:rPr>
                <w:rFonts w:ascii="Times New Roman" w:hAnsi="Times New Roman" w:eastAsia="宋体" w:cs="Times New Roman"/>
                <w:color w:val="auto"/>
                <w:kern w:val="0"/>
                <w:szCs w:val="21"/>
              </w:rPr>
              <w:t>公路200m外</w:t>
            </w:r>
          </w:p>
        </w:tc>
        <w:tc>
          <w:tcPr>
            <w:tcW w:w="499" w:type="pct"/>
            <w:noWrap/>
            <w:vAlign w:val="center"/>
          </w:tcPr>
          <w:p w14:paraId="475AA655">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2026.4.23</w:t>
            </w:r>
          </w:p>
        </w:tc>
        <w:tc>
          <w:tcPr>
            <w:tcW w:w="299" w:type="pct"/>
            <w:vAlign w:val="center"/>
          </w:tcPr>
          <w:p w14:paraId="0A73E2AA">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昼间</w:t>
            </w:r>
          </w:p>
        </w:tc>
        <w:tc>
          <w:tcPr>
            <w:tcW w:w="499" w:type="pct"/>
            <w:vAlign w:val="center"/>
          </w:tcPr>
          <w:p w14:paraId="5E3585A5">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45</w:t>
            </w:r>
          </w:p>
        </w:tc>
        <w:tc>
          <w:tcPr>
            <w:tcW w:w="335" w:type="pct"/>
            <w:noWrap/>
            <w:vAlign w:val="center"/>
          </w:tcPr>
          <w:p w14:paraId="114F37B7">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35" w:type="pct"/>
            <w:noWrap/>
            <w:vAlign w:val="center"/>
          </w:tcPr>
          <w:p w14:paraId="40F0980A">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35" w:type="pct"/>
            <w:noWrap/>
            <w:vAlign w:val="center"/>
          </w:tcPr>
          <w:p w14:paraId="4BABEB0B">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42" w:type="pct"/>
            <w:vMerge w:val="continue"/>
            <w:noWrap/>
            <w:vAlign w:val="center"/>
          </w:tcPr>
          <w:p w14:paraId="015156CD">
            <w:pPr>
              <w:spacing w:line="240" w:lineRule="exact"/>
              <w:jc w:val="center"/>
              <w:rPr>
                <w:rFonts w:ascii="Times New Roman" w:hAnsi="Times New Roman" w:eastAsia="宋体" w:cs="Times New Roman"/>
                <w:color w:val="auto"/>
                <w:kern w:val="0"/>
              </w:rPr>
            </w:pPr>
          </w:p>
        </w:tc>
        <w:tc>
          <w:tcPr>
            <w:tcW w:w="371" w:type="pct"/>
            <w:noWrap/>
            <w:vAlign w:val="center"/>
          </w:tcPr>
          <w:p w14:paraId="3362A745">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45A7AA56">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vAlign w:val="center"/>
          </w:tcPr>
          <w:p w14:paraId="38BEC525">
            <w:pPr>
              <w:spacing w:line="240" w:lineRule="exact"/>
              <w:jc w:val="center"/>
              <w:rPr>
                <w:rFonts w:ascii="Times New Roman" w:hAnsi="Times New Roman" w:eastAsia="宋体" w:cs="Times New Roman"/>
                <w:color w:val="auto"/>
                <w:kern w:val="0"/>
              </w:rPr>
            </w:pPr>
          </w:p>
        </w:tc>
        <w:tc>
          <w:tcPr>
            <w:tcW w:w="474" w:type="pct"/>
            <w:vMerge w:val="continue"/>
            <w:vAlign w:val="center"/>
          </w:tcPr>
          <w:p w14:paraId="7F9234A0">
            <w:pPr>
              <w:spacing w:line="240" w:lineRule="exact"/>
              <w:jc w:val="center"/>
              <w:rPr>
                <w:rFonts w:ascii="Times New Roman" w:hAnsi="Times New Roman" w:eastAsia="宋体" w:cs="Times New Roman"/>
                <w:color w:val="auto"/>
                <w:kern w:val="0"/>
              </w:rPr>
            </w:pPr>
          </w:p>
        </w:tc>
        <w:tc>
          <w:tcPr>
            <w:tcW w:w="457" w:type="pct"/>
            <w:vMerge w:val="continue"/>
            <w:vAlign w:val="center"/>
          </w:tcPr>
          <w:p w14:paraId="5A4B03F2">
            <w:pPr>
              <w:spacing w:line="240" w:lineRule="exact"/>
              <w:jc w:val="center"/>
              <w:rPr>
                <w:rFonts w:ascii="Times New Roman" w:hAnsi="Times New Roman" w:eastAsia="宋体" w:cs="Times New Roman"/>
                <w:color w:val="auto"/>
                <w:kern w:val="0"/>
              </w:rPr>
            </w:pPr>
          </w:p>
        </w:tc>
        <w:tc>
          <w:tcPr>
            <w:tcW w:w="799" w:type="pct"/>
            <w:vMerge w:val="continue"/>
            <w:vAlign w:val="center"/>
          </w:tcPr>
          <w:p w14:paraId="68E608B0">
            <w:pPr>
              <w:spacing w:line="240" w:lineRule="exact"/>
              <w:jc w:val="center"/>
              <w:rPr>
                <w:rFonts w:ascii="Times New Roman" w:hAnsi="Times New Roman" w:eastAsia="宋体" w:cs="Times New Roman"/>
                <w:color w:val="auto"/>
                <w:kern w:val="0"/>
              </w:rPr>
            </w:pPr>
          </w:p>
        </w:tc>
        <w:tc>
          <w:tcPr>
            <w:tcW w:w="499" w:type="pct"/>
            <w:noWrap/>
            <w:vAlign w:val="center"/>
          </w:tcPr>
          <w:p w14:paraId="3AB30A7A">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2026.4.24</w:t>
            </w:r>
          </w:p>
        </w:tc>
        <w:tc>
          <w:tcPr>
            <w:tcW w:w="299" w:type="pct"/>
            <w:vAlign w:val="center"/>
          </w:tcPr>
          <w:p w14:paraId="4C6A3E92">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夜间</w:t>
            </w:r>
          </w:p>
        </w:tc>
        <w:tc>
          <w:tcPr>
            <w:tcW w:w="499" w:type="pct"/>
            <w:vAlign w:val="center"/>
          </w:tcPr>
          <w:p w14:paraId="2909A834">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37</w:t>
            </w:r>
          </w:p>
        </w:tc>
        <w:tc>
          <w:tcPr>
            <w:tcW w:w="335" w:type="pct"/>
            <w:noWrap/>
            <w:vAlign w:val="center"/>
          </w:tcPr>
          <w:p w14:paraId="5B60C2BC">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35" w:type="pct"/>
            <w:noWrap/>
            <w:vAlign w:val="center"/>
          </w:tcPr>
          <w:p w14:paraId="5E238EAB">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35" w:type="pct"/>
            <w:noWrap/>
            <w:vAlign w:val="center"/>
          </w:tcPr>
          <w:p w14:paraId="4C8FFC54">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42" w:type="pct"/>
            <w:vMerge w:val="continue"/>
            <w:noWrap/>
            <w:vAlign w:val="center"/>
          </w:tcPr>
          <w:p w14:paraId="56240639">
            <w:pPr>
              <w:spacing w:line="240" w:lineRule="exact"/>
              <w:jc w:val="center"/>
              <w:rPr>
                <w:rFonts w:ascii="Times New Roman" w:hAnsi="Times New Roman" w:eastAsia="宋体" w:cs="Times New Roman"/>
                <w:color w:val="auto"/>
                <w:kern w:val="0"/>
              </w:rPr>
            </w:pPr>
          </w:p>
        </w:tc>
        <w:tc>
          <w:tcPr>
            <w:tcW w:w="371" w:type="pct"/>
            <w:noWrap/>
            <w:vAlign w:val="center"/>
          </w:tcPr>
          <w:p w14:paraId="15E6BFA4">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54EA5F3F">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vAlign w:val="center"/>
          </w:tcPr>
          <w:p w14:paraId="7A56D3AB">
            <w:pPr>
              <w:spacing w:line="240" w:lineRule="exact"/>
              <w:jc w:val="center"/>
              <w:rPr>
                <w:rFonts w:ascii="Times New Roman" w:hAnsi="Times New Roman" w:eastAsia="宋体" w:cs="Times New Roman"/>
                <w:color w:val="auto"/>
                <w:kern w:val="0"/>
              </w:rPr>
            </w:pPr>
          </w:p>
        </w:tc>
        <w:tc>
          <w:tcPr>
            <w:tcW w:w="474" w:type="pct"/>
            <w:vMerge w:val="continue"/>
            <w:vAlign w:val="center"/>
          </w:tcPr>
          <w:p w14:paraId="0E9C4A3E">
            <w:pPr>
              <w:spacing w:line="240" w:lineRule="exact"/>
              <w:jc w:val="center"/>
              <w:rPr>
                <w:rFonts w:ascii="Times New Roman" w:hAnsi="Times New Roman" w:eastAsia="宋体" w:cs="Times New Roman"/>
                <w:color w:val="auto"/>
                <w:kern w:val="0"/>
              </w:rPr>
            </w:pPr>
          </w:p>
        </w:tc>
        <w:tc>
          <w:tcPr>
            <w:tcW w:w="457" w:type="pct"/>
            <w:vMerge w:val="continue"/>
            <w:vAlign w:val="center"/>
          </w:tcPr>
          <w:p w14:paraId="601E9A41">
            <w:pPr>
              <w:spacing w:line="240" w:lineRule="exact"/>
              <w:jc w:val="center"/>
              <w:rPr>
                <w:rFonts w:ascii="Times New Roman" w:hAnsi="Times New Roman" w:eastAsia="宋体" w:cs="Times New Roman"/>
                <w:color w:val="auto"/>
                <w:kern w:val="0"/>
              </w:rPr>
            </w:pPr>
          </w:p>
        </w:tc>
        <w:tc>
          <w:tcPr>
            <w:tcW w:w="799" w:type="pct"/>
            <w:vMerge w:val="continue"/>
            <w:vAlign w:val="center"/>
          </w:tcPr>
          <w:p w14:paraId="7ADA0BBD">
            <w:pPr>
              <w:spacing w:line="240" w:lineRule="exact"/>
              <w:jc w:val="center"/>
              <w:rPr>
                <w:rFonts w:ascii="Times New Roman" w:hAnsi="Times New Roman" w:eastAsia="宋体" w:cs="Times New Roman"/>
                <w:color w:val="auto"/>
                <w:kern w:val="0"/>
              </w:rPr>
            </w:pPr>
          </w:p>
        </w:tc>
        <w:tc>
          <w:tcPr>
            <w:tcW w:w="499" w:type="pct"/>
            <w:noWrap/>
            <w:vAlign w:val="center"/>
          </w:tcPr>
          <w:p w14:paraId="1FAAF4B9">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2026.4.24</w:t>
            </w:r>
          </w:p>
        </w:tc>
        <w:tc>
          <w:tcPr>
            <w:tcW w:w="299" w:type="pct"/>
            <w:vAlign w:val="center"/>
          </w:tcPr>
          <w:p w14:paraId="43171002">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昼间</w:t>
            </w:r>
          </w:p>
        </w:tc>
        <w:tc>
          <w:tcPr>
            <w:tcW w:w="499" w:type="pct"/>
            <w:vAlign w:val="center"/>
          </w:tcPr>
          <w:p w14:paraId="29234A2C">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44</w:t>
            </w:r>
          </w:p>
        </w:tc>
        <w:tc>
          <w:tcPr>
            <w:tcW w:w="335" w:type="pct"/>
            <w:noWrap/>
            <w:vAlign w:val="center"/>
          </w:tcPr>
          <w:p w14:paraId="20721D37">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35" w:type="pct"/>
            <w:noWrap/>
            <w:vAlign w:val="center"/>
          </w:tcPr>
          <w:p w14:paraId="10F0EAA9">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35" w:type="pct"/>
            <w:noWrap/>
            <w:vAlign w:val="center"/>
          </w:tcPr>
          <w:p w14:paraId="5501B768">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42" w:type="pct"/>
            <w:vMerge w:val="continue"/>
            <w:noWrap/>
            <w:vAlign w:val="center"/>
          </w:tcPr>
          <w:p w14:paraId="340DD31E">
            <w:pPr>
              <w:spacing w:line="240" w:lineRule="exact"/>
              <w:jc w:val="center"/>
              <w:rPr>
                <w:rFonts w:ascii="Times New Roman" w:hAnsi="Times New Roman" w:eastAsia="宋体" w:cs="Times New Roman"/>
                <w:color w:val="auto"/>
                <w:kern w:val="0"/>
              </w:rPr>
            </w:pPr>
          </w:p>
        </w:tc>
        <w:tc>
          <w:tcPr>
            <w:tcW w:w="371" w:type="pct"/>
            <w:noWrap/>
            <w:vAlign w:val="center"/>
          </w:tcPr>
          <w:p w14:paraId="35FE12BE">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2D437E0F">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vAlign w:val="center"/>
          </w:tcPr>
          <w:p w14:paraId="1A8A6EC5">
            <w:pPr>
              <w:spacing w:line="240" w:lineRule="exact"/>
              <w:jc w:val="center"/>
              <w:rPr>
                <w:rFonts w:ascii="Times New Roman" w:hAnsi="Times New Roman" w:eastAsia="宋体" w:cs="Times New Roman"/>
                <w:color w:val="auto"/>
                <w:kern w:val="0"/>
              </w:rPr>
            </w:pPr>
          </w:p>
        </w:tc>
        <w:tc>
          <w:tcPr>
            <w:tcW w:w="474" w:type="pct"/>
            <w:vMerge w:val="continue"/>
            <w:vAlign w:val="center"/>
          </w:tcPr>
          <w:p w14:paraId="5B0C7FE4">
            <w:pPr>
              <w:spacing w:line="240" w:lineRule="exact"/>
              <w:jc w:val="center"/>
              <w:rPr>
                <w:rFonts w:ascii="Times New Roman" w:hAnsi="Times New Roman" w:eastAsia="宋体" w:cs="Times New Roman"/>
                <w:color w:val="auto"/>
                <w:kern w:val="0"/>
              </w:rPr>
            </w:pPr>
          </w:p>
        </w:tc>
        <w:tc>
          <w:tcPr>
            <w:tcW w:w="457" w:type="pct"/>
            <w:vMerge w:val="continue"/>
            <w:vAlign w:val="center"/>
          </w:tcPr>
          <w:p w14:paraId="2B3AD5DA">
            <w:pPr>
              <w:spacing w:line="240" w:lineRule="exact"/>
              <w:jc w:val="center"/>
              <w:rPr>
                <w:rFonts w:ascii="Times New Roman" w:hAnsi="Times New Roman" w:eastAsia="宋体" w:cs="Times New Roman"/>
                <w:color w:val="auto"/>
                <w:kern w:val="0"/>
              </w:rPr>
            </w:pPr>
          </w:p>
        </w:tc>
        <w:tc>
          <w:tcPr>
            <w:tcW w:w="799" w:type="pct"/>
            <w:vMerge w:val="continue"/>
            <w:vAlign w:val="center"/>
          </w:tcPr>
          <w:p w14:paraId="7A571A50">
            <w:pPr>
              <w:spacing w:line="240" w:lineRule="exact"/>
              <w:jc w:val="center"/>
              <w:rPr>
                <w:rFonts w:ascii="Times New Roman" w:hAnsi="Times New Roman" w:eastAsia="宋体" w:cs="Times New Roman"/>
                <w:color w:val="auto"/>
                <w:kern w:val="0"/>
              </w:rPr>
            </w:pPr>
          </w:p>
        </w:tc>
        <w:tc>
          <w:tcPr>
            <w:tcW w:w="499" w:type="pct"/>
            <w:noWrap/>
            <w:vAlign w:val="center"/>
          </w:tcPr>
          <w:p w14:paraId="7E1853DF">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2026.4.25</w:t>
            </w:r>
          </w:p>
        </w:tc>
        <w:tc>
          <w:tcPr>
            <w:tcW w:w="299" w:type="pct"/>
            <w:vAlign w:val="center"/>
          </w:tcPr>
          <w:p w14:paraId="0740A537">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夜间</w:t>
            </w:r>
          </w:p>
        </w:tc>
        <w:tc>
          <w:tcPr>
            <w:tcW w:w="499" w:type="pct"/>
            <w:vAlign w:val="center"/>
          </w:tcPr>
          <w:p w14:paraId="76063D4D">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38</w:t>
            </w:r>
          </w:p>
        </w:tc>
        <w:tc>
          <w:tcPr>
            <w:tcW w:w="335" w:type="pct"/>
            <w:noWrap/>
            <w:vAlign w:val="center"/>
          </w:tcPr>
          <w:p w14:paraId="4DB0BC07">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35" w:type="pct"/>
            <w:noWrap/>
            <w:vAlign w:val="center"/>
          </w:tcPr>
          <w:p w14:paraId="012BA74B">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35" w:type="pct"/>
            <w:noWrap/>
            <w:vAlign w:val="center"/>
          </w:tcPr>
          <w:p w14:paraId="546232BD">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42" w:type="pct"/>
            <w:vMerge w:val="continue"/>
            <w:noWrap/>
            <w:vAlign w:val="center"/>
          </w:tcPr>
          <w:p w14:paraId="5764D803">
            <w:pPr>
              <w:spacing w:line="240" w:lineRule="exact"/>
              <w:jc w:val="center"/>
              <w:rPr>
                <w:rFonts w:ascii="Times New Roman" w:hAnsi="Times New Roman" w:eastAsia="宋体" w:cs="Times New Roman"/>
                <w:color w:val="auto"/>
                <w:kern w:val="0"/>
              </w:rPr>
            </w:pPr>
          </w:p>
        </w:tc>
        <w:tc>
          <w:tcPr>
            <w:tcW w:w="371" w:type="pct"/>
            <w:noWrap/>
            <w:vAlign w:val="center"/>
          </w:tcPr>
          <w:p w14:paraId="0F04DA8A">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08C13B9A">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restart"/>
            <w:noWrap/>
            <w:vAlign w:val="center"/>
          </w:tcPr>
          <w:p w14:paraId="2EC7CE86">
            <w:pPr>
              <w:spacing w:line="240" w:lineRule="exact"/>
              <w:jc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12</w:t>
            </w:r>
          </w:p>
        </w:tc>
        <w:tc>
          <w:tcPr>
            <w:tcW w:w="474" w:type="pct"/>
            <w:vMerge w:val="restart"/>
            <w:noWrap/>
            <w:vAlign w:val="center"/>
          </w:tcPr>
          <w:p w14:paraId="181A9F1B">
            <w:pPr>
              <w:spacing w:line="240" w:lineRule="exact"/>
              <w:jc w:val="center"/>
              <w:rPr>
                <w:rFonts w:ascii="Times New Roman" w:hAnsi="Times New Roman" w:eastAsia="宋体" w:cs="Times New Roman"/>
                <w:color w:val="auto"/>
                <w:kern w:val="0"/>
              </w:rPr>
            </w:pPr>
            <w:r>
              <w:rPr>
                <w:rFonts w:hint="eastAsia" w:ascii="Times New Roman" w:cs="Times New Roman" w:hAnsiTheme="minorEastAsia" w:eastAsiaTheme="minorEastAsia"/>
                <w:color w:val="auto"/>
              </w:rPr>
              <w:t>兰干</w:t>
            </w:r>
          </w:p>
        </w:tc>
        <w:tc>
          <w:tcPr>
            <w:tcW w:w="457" w:type="pct"/>
            <w:vMerge w:val="restart"/>
            <w:vAlign w:val="center"/>
          </w:tcPr>
          <w:p w14:paraId="7B7BA592">
            <w:pPr>
              <w:spacing w:line="240" w:lineRule="exact"/>
              <w:jc w:val="center"/>
              <w:rPr>
                <w:rFonts w:ascii="Times New Roman" w:hAnsi="Times New Roman" w:eastAsia="宋体" w:cs="Times New Roman"/>
                <w:color w:val="auto"/>
                <w:kern w:val="0"/>
              </w:rPr>
            </w:pPr>
            <w:r>
              <w:rPr>
                <w:rFonts w:ascii="Times New Roman" w:hAnsi="Times New Roman" w:eastAsia="宋体" w:cs="Times New Roman"/>
                <w:color w:val="auto"/>
                <w:kern w:val="0"/>
              </w:rPr>
              <w:t>环境噪声</w:t>
            </w:r>
          </w:p>
        </w:tc>
        <w:tc>
          <w:tcPr>
            <w:tcW w:w="799" w:type="pct"/>
            <w:vMerge w:val="restart"/>
            <w:vAlign w:val="center"/>
          </w:tcPr>
          <w:p w14:paraId="708155E7">
            <w:pPr>
              <w:spacing w:line="240" w:lineRule="exact"/>
              <w:jc w:val="center"/>
              <w:rPr>
                <w:rFonts w:ascii="Times New Roman" w:hAnsi="Times New Roman" w:eastAsia="宋体" w:cs="Times New Roman"/>
                <w:color w:val="auto"/>
                <w:kern w:val="0"/>
              </w:rPr>
            </w:pPr>
            <w:r>
              <w:rPr>
                <w:rFonts w:ascii="Times New Roman" w:hAnsi="Times New Roman" w:eastAsia="宋体" w:cs="Times New Roman"/>
                <w:color w:val="auto"/>
              </w:rPr>
              <w:t>临现有</w:t>
            </w:r>
            <w:r>
              <w:rPr>
                <w:rFonts w:hint="eastAsia" w:ascii="Times New Roman" w:hAnsi="Times New Roman" w:eastAsia="宋体" w:cs="Times New Roman"/>
                <w:color w:val="auto"/>
              </w:rPr>
              <w:t>G219</w:t>
            </w:r>
            <w:r>
              <w:rPr>
                <w:rFonts w:ascii="Times New Roman" w:hAnsi="Times New Roman" w:eastAsia="宋体" w:cs="Times New Roman"/>
                <w:color w:val="auto"/>
              </w:rPr>
              <w:t>第一排房</w:t>
            </w:r>
            <w:r>
              <w:rPr>
                <w:rFonts w:hint="eastAsia" w:ascii="Times New Roman" w:hAnsi="Times New Roman" w:eastAsia="宋体" w:cs="Times New Roman"/>
                <w:color w:val="auto"/>
              </w:rPr>
              <w:t>1</w:t>
            </w:r>
            <w:r>
              <w:rPr>
                <w:rFonts w:ascii="Times New Roman" w:hAnsi="Times New Roman" w:eastAsia="宋体" w:cs="Times New Roman"/>
                <w:color w:val="auto"/>
              </w:rPr>
              <w:t>层</w:t>
            </w:r>
          </w:p>
        </w:tc>
        <w:tc>
          <w:tcPr>
            <w:tcW w:w="499" w:type="pct"/>
            <w:noWrap/>
            <w:vAlign w:val="center"/>
          </w:tcPr>
          <w:p w14:paraId="0E417648">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2026.4.23</w:t>
            </w:r>
          </w:p>
        </w:tc>
        <w:tc>
          <w:tcPr>
            <w:tcW w:w="299" w:type="pct"/>
            <w:vAlign w:val="center"/>
          </w:tcPr>
          <w:p w14:paraId="3DE364F4">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昼间</w:t>
            </w:r>
          </w:p>
        </w:tc>
        <w:tc>
          <w:tcPr>
            <w:tcW w:w="499" w:type="pct"/>
            <w:vAlign w:val="center"/>
          </w:tcPr>
          <w:p w14:paraId="385454AB">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55</w:t>
            </w:r>
          </w:p>
        </w:tc>
        <w:tc>
          <w:tcPr>
            <w:tcW w:w="335" w:type="pct"/>
            <w:noWrap/>
            <w:vAlign w:val="center"/>
          </w:tcPr>
          <w:p w14:paraId="232638BA">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48</w:t>
            </w:r>
          </w:p>
        </w:tc>
        <w:tc>
          <w:tcPr>
            <w:tcW w:w="335" w:type="pct"/>
            <w:noWrap/>
            <w:vAlign w:val="center"/>
          </w:tcPr>
          <w:p w14:paraId="53B88D08">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27</w:t>
            </w:r>
          </w:p>
        </w:tc>
        <w:tc>
          <w:tcPr>
            <w:tcW w:w="335" w:type="pct"/>
            <w:noWrap/>
            <w:vAlign w:val="center"/>
          </w:tcPr>
          <w:p w14:paraId="4D6996EB">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111</w:t>
            </w:r>
          </w:p>
        </w:tc>
        <w:tc>
          <w:tcPr>
            <w:tcW w:w="342" w:type="pct"/>
            <w:vMerge w:val="restart"/>
            <w:noWrap/>
            <w:vAlign w:val="center"/>
          </w:tcPr>
          <w:p w14:paraId="44A47919">
            <w:pPr>
              <w:spacing w:line="240" w:lineRule="exact"/>
              <w:jc w:val="center"/>
              <w:rPr>
                <w:rFonts w:ascii="Times New Roman" w:hAnsi="Times New Roman" w:eastAsia="宋体" w:cs="Times New Roman"/>
                <w:color w:val="auto"/>
                <w:kern w:val="0"/>
              </w:rPr>
            </w:pPr>
            <w:r>
              <w:rPr>
                <w:rFonts w:ascii="Times New Roman" w:hAnsi="Times New Roman" w:eastAsia="宋体" w:cs="Times New Roman"/>
                <w:color w:val="auto"/>
                <w:kern w:val="0"/>
              </w:rPr>
              <w:t>4a类</w:t>
            </w:r>
          </w:p>
        </w:tc>
        <w:tc>
          <w:tcPr>
            <w:tcW w:w="371" w:type="pct"/>
            <w:noWrap/>
            <w:vAlign w:val="center"/>
          </w:tcPr>
          <w:p w14:paraId="00259F09">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517263CC">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vAlign w:val="center"/>
          </w:tcPr>
          <w:p w14:paraId="73922FBC">
            <w:pPr>
              <w:spacing w:line="240" w:lineRule="exact"/>
              <w:jc w:val="center"/>
              <w:rPr>
                <w:rFonts w:ascii="Times New Roman" w:hAnsi="Times New Roman" w:eastAsia="宋体" w:cs="Times New Roman"/>
                <w:color w:val="auto"/>
                <w:kern w:val="0"/>
              </w:rPr>
            </w:pPr>
          </w:p>
        </w:tc>
        <w:tc>
          <w:tcPr>
            <w:tcW w:w="474" w:type="pct"/>
            <w:vMerge w:val="continue"/>
            <w:vAlign w:val="center"/>
          </w:tcPr>
          <w:p w14:paraId="3E6BC6B9">
            <w:pPr>
              <w:spacing w:line="240" w:lineRule="exact"/>
              <w:jc w:val="center"/>
              <w:rPr>
                <w:rFonts w:ascii="Times New Roman" w:hAnsi="Times New Roman" w:eastAsia="宋体" w:cs="Times New Roman"/>
                <w:color w:val="auto"/>
                <w:kern w:val="0"/>
              </w:rPr>
            </w:pPr>
          </w:p>
        </w:tc>
        <w:tc>
          <w:tcPr>
            <w:tcW w:w="457" w:type="pct"/>
            <w:vMerge w:val="continue"/>
            <w:vAlign w:val="center"/>
          </w:tcPr>
          <w:p w14:paraId="12FC0A66">
            <w:pPr>
              <w:spacing w:line="240" w:lineRule="exact"/>
              <w:jc w:val="center"/>
              <w:rPr>
                <w:rFonts w:ascii="Times New Roman" w:hAnsi="Times New Roman" w:eastAsia="宋体" w:cs="Times New Roman"/>
                <w:color w:val="auto"/>
                <w:kern w:val="0"/>
              </w:rPr>
            </w:pPr>
          </w:p>
        </w:tc>
        <w:tc>
          <w:tcPr>
            <w:tcW w:w="799" w:type="pct"/>
            <w:vMerge w:val="continue"/>
            <w:vAlign w:val="center"/>
          </w:tcPr>
          <w:p w14:paraId="4F6B7A4A">
            <w:pPr>
              <w:spacing w:line="240" w:lineRule="exact"/>
              <w:jc w:val="center"/>
              <w:rPr>
                <w:rFonts w:ascii="Times New Roman" w:hAnsi="Times New Roman" w:eastAsia="宋体" w:cs="Times New Roman"/>
                <w:color w:val="auto"/>
                <w:kern w:val="0"/>
              </w:rPr>
            </w:pPr>
          </w:p>
        </w:tc>
        <w:tc>
          <w:tcPr>
            <w:tcW w:w="499" w:type="pct"/>
            <w:noWrap/>
            <w:vAlign w:val="center"/>
          </w:tcPr>
          <w:p w14:paraId="6F1F8579">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2026.4.24</w:t>
            </w:r>
          </w:p>
        </w:tc>
        <w:tc>
          <w:tcPr>
            <w:tcW w:w="299" w:type="pct"/>
            <w:vAlign w:val="center"/>
          </w:tcPr>
          <w:p w14:paraId="5A6ECC28">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夜间</w:t>
            </w:r>
          </w:p>
        </w:tc>
        <w:tc>
          <w:tcPr>
            <w:tcW w:w="499" w:type="pct"/>
            <w:vAlign w:val="center"/>
          </w:tcPr>
          <w:p w14:paraId="492BA918">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48</w:t>
            </w:r>
          </w:p>
        </w:tc>
        <w:tc>
          <w:tcPr>
            <w:tcW w:w="335" w:type="pct"/>
            <w:noWrap/>
            <w:vAlign w:val="center"/>
          </w:tcPr>
          <w:p w14:paraId="73DF0A95">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25</w:t>
            </w:r>
          </w:p>
        </w:tc>
        <w:tc>
          <w:tcPr>
            <w:tcW w:w="335" w:type="pct"/>
            <w:noWrap/>
            <w:vAlign w:val="center"/>
          </w:tcPr>
          <w:p w14:paraId="175AEC34">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18</w:t>
            </w:r>
          </w:p>
        </w:tc>
        <w:tc>
          <w:tcPr>
            <w:tcW w:w="335" w:type="pct"/>
            <w:noWrap/>
            <w:vAlign w:val="center"/>
          </w:tcPr>
          <w:p w14:paraId="5AF1849D">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33</w:t>
            </w:r>
          </w:p>
        </w:tc>
        <w:tc>
          <w:tcPr>
            <w:tcW w:w="342" w:type="pct"/>
            <w:vMerge w:val="continue"/>
            <w:noWrap/>
            <w:vAlign w:val="center"/>
          </w:tcPr>
          <w:p w14:paraId="2809B1FF">
            <w:pPr>
              <w:spacing w:line="240" w:lineRule="exact"/>
              <w:jc w:val="center"/>
              <w:rPr>
                <w:rFonts w:ascii="Times New Roman" w:hAnsi="Times New Roman" w:eastAsia="宋体" w:cs="Times New Roman"/>
                <w:color w:val="auto"/>
                <w:kern w:val="0"/>
              </w:rPr>
            </w:pPr>
          </w:p>
        </w:tc>
        <w:tc>
          <w:tcPr>
            <w:tcW w:w="371" w:type="pct"/>
            <w:noWrap/>
            <w:vAlign w:val="center"/>
          </w:tcPr>
          <w:p w14:paraId="7E4A7844">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41EDA66E">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vAlign w:val="center"/>
          </w:tcPr>
          <w:p w14:paraId="20519B0A">
            <w:pPr>
              <w:spacing w:line="240" w:lineRule="exact"/>
              <w:jc w:val="center"/>
              <w:rPr>
                <w:rFonts w:ascii="Times New Roman" w:hAnsi="Times New Roman" w:eastAsia="宋体" w:cs="Times New Roman"/>
                <w:color w:val="auto"/>
                <w:kern w:val="0"/>
              </w:rPr>
            </w:pPr>
          </w:p>
        </w:tc>
        <w:tc>
          <w:tcPr>
            <w:tcW w:w="474" w:type="pct"/>
            <w:vMerge w:val="continue"/>
            <w:vAlign w:val="center"/>
          </w:tcPr>
          <w:p w14:paraId="183F2040">
            <w:pPr>
              <w:spacing w:line="240" w:lineRule="exact"/>
              <w:jc w:val="center"/>
              <w:rPr>
                <w:rFonts w:ascii="Times New Roman" w:hAnsi="Times New Roman" w:eastAsia="宋体" w:cs="Times New Roman"/>
                <w:color w:val="auto"/>
                <w:kern w:val="0"/>
              </w:rPr>
            </w:pPr>
          </w:p>
        </w:tc>
        <w:tc>
          <w:tcPr>
            <w:tcW w:w="457" w:type="pct"/>
            <w:vMerge w:val="continue"/>
            <w:vAlign w:val="center"/>
          </w:tcPr>
          <w:p w14:paraId="31E883DB">
            <w:pPr>
              <w:spacing w:line="240" w:lineRule="exact"/>
              <w:jc w:val="center"/>
              <w:rPr>
                <w:rFonts w:ascii="Times New Roman" w:hAnsi="Times New Roman" w:eastAsia="宋体" w:cs="Times New Roman"/>
                <w:color w:val="auto"/>
                <w:kern w:val="0"/>
              </w:rPr>
            </w:pPr>
          </w:p>
        </w:tc>
        <w:tc>
          <w:tcPr>
            <w:tcW w:w="799" w:type="pct"/>
            <w:vMerge w:val="continue"/>
            <w:vAlign w:val="center"/>
          </w:tcPr>
          <w:p w14:paraId="1BF069FB">
            <w:pPr>
              <w:spacing w:line="240" w:lineRule="exact"/>
              <w:jc w:val="center"/>
              <w:rPr>
                <w:rFonts w:ascii="Times New Roman" w:hAnsi="Times New Roman" w:eastAsia="宋体" w:cs="Times New Roman"/>
                <w:color w:val="auto"/>
                <w:kern w:val="0"/>
              </w:rPr>
            </w:pPr>
          </w:p>
        </w:tc>
        <w:tc>
          <w:tcPr>
            <w:tcW w:w="499" w:type="pct"/>
            <w:noWrap/>
            <w:vAlign w:val="center"/>
          </w:tcPr>
          <w:p w14:paraId="79AB2CA4">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2026.4.24</w:t>
            </w:r>
          </w:p>
        </w:tc>
        <w:tc>
          <w:tcPr>
            <w:tcW w:w="299" w:type="pct"/>
            <w:vAlign w:val="center"/>
          </w:tcPr>
          <w:p w14:paraId="7B7B2AC2">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昼间</w:t>
            </w:r>
          </w:p>
        </w:tc>
        <w:tc>
          <w:tcPr>
            <w:tcW w:w="499" w:type="pct"/>
            <w:vAlign w:val="center"/>
          </w:tcPr>
          <w:p w14:paraId="42D3A7FA">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55</w:t>
            </w:r>
          </w:p>
        </w:tc>
        <w:tc>
          <w:tcPr>
            <w:tcW w:w="335" w:type="pct"/>
            <w:noWrap/>
            <w:vAlign w:val="center"/>
          </w:tcPr>
          <w:p w14:paraId="1759C9EF">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46</w:t>
            </w:r>
          </w:p>
        </w:tc>
        <w:tc>
          <w:tcPr>
            <w:tcW w:w="335" w:type="pct"/>
            <w:noWrap/>
            <w:vAlign w:val="center"/>
          </w:tcPr>
          <w:p w14:paraId="77F2F670">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24</w:t>
            </w:r>
          </w:p>
        </w:tc>
        <w:tc>
          <w:tcPr>
            <w:tcW w:w="335" w:type="pct"/>
            <w:noWrap/>
            <w:vAlign w:val="center"/>
          </w:tcPr>
          <w:p w14:paraId="35AF0CB5">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120</w:t>
            </w:r>
          </w:p>
        </w:tc>
        <w:tc>
          <w:tcPr>
            <w:tcW w:w="342" w:type="pct"/>
            <w:vMerge w:val="continue"/>
            <w:noWrap/>
            <w:vAlign w:val="center"/>
          </w:tcPr>
          <w:p w14:paraId="66F9F830">
            <w:pPr>
              <w:spacing w:line="240" w:lineRule="exact"/>
              <w:jc w:val="center"/>
              <w:rPr>
                <w:rFonts w:ascii="Times New Roman" w:hAnsi="Times New Roman" w:eastAsia="宋体" w:cs="Times New Roman"/>
                <w:color w:val="auto"/>
                <w:kern w:val="0"/>
              </w:rPr>
            </w:pPr>
          </w:p>
        </w:tc>
        <w:tc>
          <w:tcPr>
            <w:tcW w:w="371" w:type="pct"/>
            <w:noWrap/>
            <w:vAlign w:val="center"/>
          </w:tcPr>
          <w:p w14:paraId="64FDD690">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7A9D5561">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vAlign w:val="center"/>
          </w:tcPr>
          <w:p w14:paraId="14BD1243">
            <w:pPr>
              <w:spacing w:line="240" w:lineRule="exact"/>
              <w:jc w:val="center"/>
              <w:rPr>
                <w:rFonts w:ascii="Times New Roman" w:hAnsi="Times New Roman" w:eastAsia="宋体" w:cs="Times New Roman"/>
                <w:color w:val="auto"/>
                <w:kern w:val="0"/>
              </w:rPr>
            </w:pPr>
          </w:p>
        </w:tc>
        <w:tc>
          <w:tcPr>
            <w:tcW w:w="474" w:type="pct"/>
            <w:vMerge w:val="continue"/>
            <w:vAlign w:val="center"/>
          </w:tcPr>
          <w:p w14:paraId="64776AA8">
            <w:pPr>
              <w:spacing w:line="240" w:lineRule="exact"/>
              <w:jc w:val="center"/>
              <w:rPr>
                <w:rFonts w:ascii="Times New Roman" w:hAnsi="Times New Roman" w:eastAsia="宋体" w:cs="Times New Roman"/>
                <w:color w:val="auto"/>
                <w:kern w:val="0"/>
              </w:rPr>
            </w:pPr>
          </w:p>
        </w:tc>
        <w:tc>
          <w:tcPr>
            <w:tcW w:w="457" w:type="pct"/>
            <w:vMerge w:val="continue"/>
            <w:vAlign w:val="center"/>
          </w:tcPr>
          <w:p w14:paraId="459E52B5">
            <w:pPr>
              <w:spacing w:line="240" w:lineRule="exact"/>
              <w:jc w:val="center"/>
              <w:rPr>
                <w:rFonts w:ascii="Times New Roman" w:hAnsi="Times New Roman" w:eastAsia="宋体" w:cs="Times New Roman"/>
                <w:color w:val="auto"/>
                <w:kern w:val="0"/>
              </w:rPr>
            </w:pPr>
          </w:p>
        </w:tc>
        <w:tc>
          <w:tcPr>
            <w:tcW w:w="799" w:type="pct"/>
            <w:vMerge w:val="continue"/>
            <w:vAlign w:val="center"/>
          </w:tcPr>
          <w:p w14:paraId="7A652CBD">
            <w:pPr>
              <w:spacing w:line="240" w:lineRule="exact"/>
              <w:jc w:val="center"/>
              <w:rPr>
                <w:rFonts w:ascii="Times New Roman" w:hAnsi="Times New Roman" w:eastAsia="宋体" w:cs="Times New Roman"/>
                <w:color w:val="auto"/>
                <w:kern w:val="0"/>
              </w:rPr>
            </w:pPr>
          </w:p>
        </w:tc>
        <w:tc>
          <w:tcPr>
            <w:tcW w:w="499" w:type="pct"/>
            <w:noWrap/>
            <w:vAlign w:val="center"/>
          </w:tcPr>
          <w:p w14:paraId="3A6E3629">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2026.4.25</w:t>
            </w:r>
          </w:p>
        </w:tc>
        <w:tc>
          <w:tcPr>
            <w:tcW w:w="299" w:type="pct"/>
            <w:vAlign w:val="center"/>
          </w:tcPr>
          <w:p w14:paraId="18CA0B02">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夜间</w:t>
            </w:r>
          </w:p>
        </w:tc>
        <w:tc>
          <w:tcPr>
            <w:tcW w:w="499" w:type="pct"/>
            <w:vAlign w:val="center"/>
          </w:tcPr>
          <w:p w14:paraId="325DBE10">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48</w:t>
            </w:r>
          </w:p>
        </w:tc>
        <w:tc>
          <w:tcPr>
            <w:tcW w:w="335" w:type="pct"/>
            <w:noWrap/>
            <w:vAlign w:val="center"/>
          </w:tcPr>
          <w:p w14:paraId="2C169EED">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26</w:t>
            </w:r>
          </w:p>
        </w:tc>
        <w:tc>
          <w:tcPr>
            <w:tcW w:w="335" w:type="pct"/>
            <w:noWrap/>
            <w:vAlign w:val="center"/>
          </w:tcPr>
          <w:p w14:paraId="1EEF280C">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15</w:t>
            </w:r>
          </w:p>
        </w:tc>
        <w:tc>
          <w:tcPr>
            <w:tcW w:w="335" w:type="pct"/>
            <w:noWrap/>
            <w:vAlign w:val="center"/>
          </w:tcPr>
          <w:p w14:paraId="0E4C1031">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30</w:t>
            </w:r>
          </w:p>
        </w:tc>
        <w:tc>
          <w:tcPr>
            <w:tcW w:w="342" w:type="pct"/>
            <w:vMerge w:val="continue"/>
            <w:noWrap/>
            <w:vAlign w:val="center"/>
          </w:tcPr>
          <w:p w14:paraId="057E1561">
            <w:pPr>
              <w:spacing w:line="240" w:lineRule="exact"/>
              <w:jc w:val="center"/>
              <w:rPr>
                <w:rFonts w:ascii="Times New Roman" w:hAnsi="Times New Roman" w:eastAsia="宋体" w:cs="Times New Roman"/>
                <w:color w:val="auto"/>
                <w:kern w:val="0"/>
              </w:rPr>
            </w:pPr>
          </w:p>
        </w:tc>
        <w:tc>
          <w:tcPr>
            <w:tcW w:w="371" w:type="pct"/>
            <w:noWrap/>
            <w:vAlign w:val="center"/>
          </w:tcPr>
          <w:p w14:paraId="716100C7">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7A2CCC65">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vAlign w:val="center"/>
          </w:tcPr>
          <w:p w14:paraId="7F6FDF30">
            <w:pPr>
              <w:spacing w:line="240" w:lineRule="exact"/>
              <w:jc w:val="center"/>
              <w:rPr>
                <w:rFonts w:ascii="Times New Roman" w:hAnsi="Times New Roman" w:eastAsia="宋体" w:cs="Times New Roman"/>
                <w:color w:val="auto"/>
                <w:kern w:val="0"/>
              </w:rPr>
            </w:pPr>
          </w:p>
        </w:tc>
        <w:tc>
          <w:tcPr>
            <w:tcW w:w="474" w:type="pct"/>
            <w:vMerge w:val="continue"/>
            <w:vAlign w:val="center"/>
          </w:tcPr>
          <w:p w14:paraId="4CA128C9">
            <w:pPr>
              <w:spacing w:line="240" w:lineRule="exact"/>
              <w:jc w:val="center"/>
              <w:rPr>
                <w:rFonts w:ascii="Times New Roman" w:hAnsi="Times New Roman" w:eastAsia="宋体" w:cs="Times New Roman"/>
                <w:color w:val="auto"/>
                <w:kern w:val="0"/>
              </w:rPr>
            </w:pPr>
          </w:p>
        </w:tc>
        <w:tc>
          <w:tcPr>
            <w:tcW w:w="457" w:type="pct"/>
            <w:vMerge w:val="continue"/>
            <w:vAlign w:val="center"/>
          </w:tcPr>
          <w:p w14:paraId="2BF036FF">
            <w:pPr>
              <w:spacing w:line="240" w:lineRule="exact"/>
              <w:jc w:val="center"/>
              <w:rPr>
                <w:rFonts w:ascii="Times New Roman" w:hAnsi="Times New Roman" w:eastAsia="宋体" w:cs="Times New Roman"/>
                <w:color w:val="auto"/>
                <w:kern w:val="0"/>
              </w:rPr>
            </w:pPr>
          </w:p>
        </w:tc>
        <w:tc>
          <w:tcPr>
            <w:tcW w:w="799" w:type="pct"/>
            <w:vMerge w:val="restart"/>
            <w:vAlign w:val="center"/>
          </w:tcPr>
          <w:p w14:paraId="5C114D16">
            <w:pPr>
              <w:spacing w:line="240" w:lineRule="exact"/>
              <w:jc w:val="center"/>
              <w:rPr>
                <w:rFonts w:ascii="Times New Roman" w:hAnsi="Times New Roman" w:eastAsia="宋体" w:cs="Times New Roman"/>
                <w:color w:val="auto"/>
                <w:kern w:val="0"/>
              </w:rPr>
            </w:pPr>
            <w:r>
              <w:rPr>
                <w:rFonts w:ascii="Times New Roman" w:hAnsi="Times New Roman" w:eastAsia="宋体" w:cs="Times New Roman"/>
                <w:color w:val="auto"/>
              </w:rPr>
              <w:t>临现有</w:t>
            </w:r>
            <w:r>
              <w:rPr>
                <w:rFonts w:hint="eastAsia" w:ascii="Times New Roman" w:hAnsi="Times New Roman" w:eastAsia="宋体" w:cs="Times New Roman"/>
                <w:color w:val="auto"/>
              </w:rPr>
              <w:t>G219</w:t>
            </w:r>
            <w:r>
              <w:rPr>
                <w:rFonts w:ascii="Times New Roman" w:hAnsi="Times New Roman" w:eastAsia="宋体" w:cs="Times New Roman"/>
                <w:color w:val="auto"/>
              </w:rPr>
              <w:t>边界</w:t>
            </w:r>
            <w:r>
              <w:rPr>
                <w:rFonts w:hint="eastAsia" w:ascii="Times New Roman" w:hAnsi="Times New Roman" w:eastAsia="宋体" w:cs="Times New Roman"/>
                <w:color w:val="auto"/>
              </w:rPr>
              <w:t>35</w:t>
            </w:r>
            <w:r>
              <w:rPr>
                <w:rFonts w:ascii="Times New Roman" w:hAnsi="Times New Roman" w:eastAsia="宋体" w:cs="Times New Roman"/>
                <w:color w:val="auto"/>
              </w:rPr>
              <w:t>m外第一排房</w:t>
            </w:r>
            <w:r>
              <w:rPr>
                <w:rFonts w:hint="eastAsia" w:ascii="Times New Roman" w:hAnsi="Times New Roman" w:eastAsia="宋体" w:cs="Times New Roman"/>
                <w:color w:val="auto"/>
              </w:rPr>
              <w:t>1</w:t>
            </w:r>
            <w:r>
              <w:rPr>
                <w:rFonts w:ascii="Times New Roman" w:hAnsi="Times New Roman" w:eastAsia="宋体" w:cs="Times New Roman"/>
                <w:color w:val="auto"/>
              </w:rPr>
              <w:t>层</w:t>
            </w:r>
          </w:p>
        </w:tc>
        <w:tc>
          <w:tcPr>
            <w:tcW w:w="499" w:type="pct"/>
            <w:noWrap/>
            <w:vAlign w:val="center"/>
          </w:tcPr>
          <w:p w14:paraId="30384BB0">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2026.4.23</w:t>
            </w:r>
          </w:p>
        </w:tc>
        <w:tc>
          <w:tcPr>
            <w:tcW w:w="299" w:type="pct"/>
            <w:vAlign w:val="center"/>
          </w:tcPr>
          <w:p w14:paraId="50468B45">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昼间</w:t>
            </w:r>
          </w:p>
        </w:tc>
        <w:tc>
          <w:tcPr>
            <w:tcW w:w="499" w:type="pct"/>
            <w:vAlign w:val="center"/>
          </w:tcPr>
          <w:p w14:paraId="465969D1">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51</w:t>
            </w:r>
          </w:p>
        </w:tc>
        <w:tc>
          <w:tcPr>
            <w:tcW w:w="335" w:type="pct"/>
            <w:noWrap/>
            <w:vAlign w:val="center"/>
          </w:tcPr>
          <w:p w14:paraId="35ED08B1">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48</w:t>
            </w:r>
          </w:p>
        </w:tc>
        <w:tc>
          <w:tcPr>
            <w:tcW w:w="335" w:type="pct"/>
            <w:noWrap/>
            <w:vAlign w:val="center"/>
          </w:tcPr>
          <w:p w14:paraId="44F4E1EC">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27</w:t>
            </w:r>
          </w:p>
        </w:tc>
        <w:tc>
          <w:tcPr>
            <w:tcW w:w="335" w:type="pct"/>
            <w:noWrap/>
            <w:vAlign w:val="center"/>
          </w:tcPr>
          <w:p w14:paraId="5F9B8F9C">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111</w:t>
            </w:r>
          </w:p>
        </w:tc>
        <w:tc>
          <w:tcPr>
            <w:tcW w:w="342" w:type="pct"/>
            <w:vMerge w:val="restart"/>
            <w:noWrap/>
            <w:vAlign w:val="center"/>
          </w:tcPr>
          <w:p w14:paraId="41CF9EB3">
            <w:pPr>
              <w:spacing w:line="240" w:lineRule="exact"/>
              <w:jc w:val="center"/>
              <w:rPr>
                <w:rFonts w:ascii="Times New Roman" w:hAnsi="Times New Roman" w:eastAsia="宋体" w:cs="Times New Roman"/>
                <w:color w:val="auto"/>
                <w:kern w:val="0"/>
              </w:rPr>
            </w:pPr>
            <w:r>
              <w:rPr>
                <w:rFonts w:ascii="Times New Roman" w:hAnsi="Times New Roman" w:eastAsia="宋体" w:cs="Times New Roman"/>
                <w:color w:val="auto"/>
                <w:kern w:val="0"/>
              </w:rPr>
              <w:t>2类</w:t>
            </w:r>
          </w:p>
        </w:tc>
        <w:tc>
          <w:tcPr>
            <w:tcW w:w="371" w:type="pct"/>
            <w:noWrap/>
            <w:vAlign w:val="center"/>
          </w:tcPr>
          <w:p w14:paraId="14F42357">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3351161E">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vAlign w:val="center"/>
          </w:tcPr>
          <w:p w14:paraId="22589D31">
            <w:pPr>
              <w:spacing w:line="240" w:lineRule="exact"/>
              <w:jc w:val="center"/>
              <w:rPr>
                <w:rFonts w:ascii="Times New Roman" w:hAnsi="Times New Roman" w:eastAsia="宋体" w:cs="Times New Roman"/>
                <w:color w:val="auto"/>
                <w:kern w:val="0"/>
              </w:rPr>
            </w:pPr>
          </w:p>
        </w:tc>
        <w:tc>
          <w:tcPr>
            <w:tcW w:w="474" w:type="pct"/>
            <w:vMerge w:val="continue"/>
            <w:vAlign w:val="center"/>
          </w:tcPr>
          <w:p w14:paraId="5E1ADD78">
            <w:pPr>
              <w:spacing w:line="240" w:lineRule="exact"/>
              <w:jc w:val="center"/>
              <w:rPr>
                <w:rFonts w:ascii="Times New Roman" w:hAnsi="Times New Roman" w:eastAsia="宋体" w:cs="Times New Roman"/>
                <w:color w:val="auto"/>
                <w:kern w:val="0"/>
              </w:rPr>
            </w:pPr>
          </w:p>
        </w:tc>
        <w:tc>
          <w:tcPr>
            <w:tcW w:w="457" w:type="pct"/>
            <w:vMerge w:val="continue"/>
            <w:vAlign w:val="center"/>
          </w:tcPr>
          <w:p w14:paraId="31026C5E">
            <w:pPr>
              <w:spacing w:line="240" w:lineRule="exact"/>
              <w:jc w:val="center"/>
              <w:rPr>
                <w:rFonts w:ascii="Times New Roman" w:hAnsi="Times New Roman" w:eastAsia="宋体" w:cs="Times New Roman"/>
                <w:color w:val="auto"/>
                <w:kern w:val="0"/>
              </w:rPr>
            </w:pPr>
          </w:p>
        </w:tc>
        <w:tc>
          <w:tcPr>
            <w:tcW w:w="799" w:type="pct"/>
            <w:vMerge w:val="continue"/>
            <w:vAlign w:val="center"/>
          </w:tcPr>
          <w:p w14:paraId="6C21B028">
            <w:pPr>
              <w:spacing w:line="240" w:lineRule="exact"/>
              <w:jc w:val="center"/>
              <w:rPr>
                <w:rFonts w:ascii="Times New Roman" w:hAnsi="Times New Roman" w:eastAsia="宋体" w:cs="Times New Roman"/>
                <w:color w:val="auto"/>
                <w:kern w:val="0"/>
              </w:rPr>
            </w:pPr>
          </w:p>
        </w:tc>
        <w:tc>
          <w:tcPr>
            <w:tcW w:w="499" w:type="pct"/>
            <w:noWrap/>
            <w:vAlign w:val="center"/>
          </w:tcPr>
          <w:p w14:paraId="4803821F">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2026.4.24</w:t>
            </w:r>
          </w:p>
        </w:tc>
        <w:tc>
          <w:tcPr>
            <w:tcW w:w="299" w:type="pct"/>
            <w:vAlign w:val="center"/>
          </w:tcPr>
          <w:p w14:paraId="6394D143">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夜间</w:t>
            </w:r>
          </w:p>
        </w:tc>
        <w:tc>
          <w:tcPr>
            <w:tcW w:w="499" w:type="pct"/>
            <w:vAlign w:val="center"/>
          </w:tcPr>
          <w:p w14:paraId="3425F8EC">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43</w:t>
            </w:r>
          </w:p>
        </w:tc>
        <w:tc>
          <w:tcPr>
            <w:tcW w:w="335" w:type="pct"/>
            <w:noWrap/>
            <w:vAlign w:val="center"/>
          </w:tcPr>
          <w:p w14:paraId="65722467">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25</w:t>
            </w:r>
          </w:p>
        </w:tc>
        <w:tc>
          <w:tcPr>
            <w:tcW w:w="335" w:type="pct"/>
            <w:noWrap/>
            <w:vAlign w:val="center"/>
          </w:tcPr>
          <w:p w14:paraId="451A02FC">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18</w:t>
            </w:r>
          </w:p>
        </w:tc>
        <w:tc>
          <w:tcPr>
            <w:tcW w:w="335" w:type="pct"/>
            <w:noWrap/>
            <w:vAlign w:val="center"/>
          </w:tcPr>
          <w:p w14:paraId="41CF5A65">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33</w:t>
            </w:r>
          </w:p>
        </w:tc>
        <w:tc>
          <w:tcPr>
            <w:tcW w:w="342" w:type="pct"/>
            <w:vMerge w:val="continue"/>
            <w:noWrap/>
            <w:vAlign w:val="center"/>
          </w:tcPr>
          <w:p w14:paraId="5F413AD3">
            <w:pPr>
              <w:spacing w:line="240" w:lineRule="exact"/>
              <w:jc w:val="center"/>
              <w:rPr>
                <w:rFonts w:ascii="Times New Roman" w:hAnsi="Times New Roman" w:eastAsia="宋体" w:cs="Times New Roman"/>
                <w:color w:val="auto"/>
                <w:kern w:val="0"/>
              </w:rPr>
            </w:pPr>
          </w:p>
        </w:tc>
        <w:tc>
          <w:tcPr>
            <w:tcW w:w="371" w:type="pct"/>
            <w:noWrap/>
            <w:vAlign w:val="center"/>
          </w:tcPr>
          <w:p w14:paraId="4A34B2BC">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4E0CEFFB">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PrEx>
        <w:trPr>
          <w:jc w:val="center"/>
        </w:trPr>
        <w:tc>
          <w:tcPr>
            <w:tcW w:w="255" w:type="pct"/>
            <w:vMerge w:val="continue"/>
            <w:vAlign w:val="center"/>
          </w:tcPr>
          <w:p w14:paraId="51F825CC">
            <w:pPr>
              <w:spacing w:line="240" w:lineRule="exact"/>
              <w:jc w:val="center"/>
              <w:rPr>
                <w:rFonts w:ascii="Times New Roman" w:hAnsi="Times New Roman" w:eastAsia="宋体" w:cs="Times New Roman"/>
                <w:color w:val="auto"/>
                <w:kern w:val="0"/>
              </w:rPr>
            </w:pPr>
          </w:p>
        </w:tc>
        <w:tc>
          <w:tcPr>
            <w:tcW w:w="474" w:type="pct"/>
            <w:vMerge w:val="continue"/>
            <w:vAlign w:val="center"/>
          </w:tcPr>
          <w:p w14:paraId="6737C7D1">
            <w:pPr>
              <w:spacing w:line="240" w:lineRule="exact"/>
              <w:jc w:val="center"/>
              <w:rPr>
                <w:rFonts w:ascii="Times New Roman" w:hAnsi="Times New Roman" w:eastAsia="宋体" w:cs="Times New Roman"/>
                <w:color w:val="auto"/>
                <w:kern w:val="0"/>
              </w:rPr>
            </w:pPr>
          </w:p>
        </w:tc>
        <w:tc>
          <w:tcPr>
            <w:tcW w:w="457" w:type="pct"/>
            <w:vMerge w:val="continue"/>
            <w:vAlign w:val="center"/>
          </w:tcPr>
          <w:p w14:paraId="38236208">
            <w:pPr>
              <w:spacing w:line="240" w:lineRule="exact"/>
              <w:jc w:val="center"/>
              <w:rPr>
                <w:rFonts w:ascii="Times New Roman" w:hAnsi="Times New Roman" w:eastAsia="宋体" w:cs="Times New Roman"/>
                <w:color w:val="auto"/>
                <w:kern w:val="0"/>
              </w:rPr>
            </w:pPr>
          </w:p>
        </w:tc>
        <w:tc>
          <w:tcPr>
            <w:tcW w:w="799" w:type="pct"/>
            <w:vMerge w:val="continue"/>
            <w:vAlign w:val="center"/>
          </w:tcPr>
          <w:p w14:paraId="3A0ED4D3">
            <w:pPr>
              <w:spacing w:line="240" w:lineRule="exact"/>
              <w:jc w:val="center"/>
              <w:rPr>
                <w:rFonts w:ascii="Times New Roman" w:hAnsi="Times New Roman" w:eastAsia="宋体" w:cs="Times New Roman"/>
                <w:color w:val="auto"/>
                <w:kern w:val="0"/>
              </w:rPr>
            </w:pPr>
          </w:p>
        </w:tc>
        <w:tc>
          <w:tcPr>
            <w:tcW w:w="499" w:type="pct"/>
            <w:noWrap/>
            <w:vAlign w:val="center"/>
          </w:tcPr>
          <w:p w14:paraId="4B7A6516">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2026.4.24</w:t>
            </w:r>
          </w:p>
        </w:tc>
        <w:tc>
          <w:tcPr>
            <w:tcW w:w="299" w:type="pct"/>
            <w:vAlign w:val="center"/>
          </w:tcPr>
          <w:p w14:paraId="30E1DB64">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昼间</w:t>
            </w:r>
          </w:p>
        </w:tc>
        <w:tc>
          <w:tcPr>
            <w:tcW w:w="499" w:type="pct"/>
            <w:vAlign w:val="center"/>
          </w:tcPr>
          <w:p w14:paraId="1F0161B5">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53</w:t>
            </w:r>
          </w:p>
        </w:tc>
        <w:tc>
          <w:tcPr>
            <w:tcW w:w="335" w:type="pct"/>
            <w:noWrap/>
            <w:vAlign w:val="center"/>
          </w:tcPr>
          <w:p w14:paraId="171E3E3D">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46</w:t>
            </w:r>
          </w:p>
        </w:tc>
        <w:tc>
          <w:tcPr>
            <w:tcW w:w="335" w:type="pct"/>
            <w:noWrap/>
            <w:vAlign w:val="center"/>
          </w:tcPr>
          <w:p w14:paraId="216BB902">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24</w:t>
            </w:r>
          </w:p>
        </w:tc>
        <w:tc>
          <w:tcPr>
            <w:tcW w:w="335" w:type="pct"/>
            <w:noWrap/>
            <w:vAlign w:val="center"/>
          </w:tcPr>
          <w:p w14:paraId="3814718A">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120</w:t>
            </w:r>
          </w:p>
        </w:tc>
        <w:tc>
          <w:tcPr>
            <w:tcW w:w="342" w:type="pct"/>
            <w:vMerge w:val="continue"/>
            <w:noWrap/>
            <w:vAlign w:val="center"/>
          </w:tcPr>
          <w:p w14:paraId="0C4DD51D">
            <w:pPr>
              <w:spacing w:line="240" w:lineRule="exact"/>
              <w:jc w:val="center"/>
              <w:rPr>
                <w:rFonts w:ascii="Times New Roman" w:hAnsi="Times New Roman" w:eastAsia="宋体" w:cs="Times New Roman"/>
                <w:color w:val="auto"/>
                <w:kern w:val="0"/>
              </w:rPr>
            </w:pPr>
          </w:p>
        </w:tc>
        <w:tc>
          <w:tcPr>
            <w:tcW w:w="371" w:type="pct"/>
            <w:noWrap/>
            <w:vAlign w:val="center"/>
          </w:tcPr>
          <w:p w14:paraId="3B07A941">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0239A3EE">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vAlign w:val="center"/>
          </w:tcPr>
          <w:p w14:paraId="3433E811">
            <w:pPr>
              <w:spacing w:line="240" w:lineRule="exact"/>
              <w:jc w:val="center"/>
              <w:rPr>
                <w:rFonts w:ascii="Times New Roman" w:hAnsi="Times New Roman" w:eastAsia="宋体" w:cs="Times New Roman"/>
                <w:color w:val="auto"/>
                <w:kern w:val="0"/>
              </w:rPr>
            </w:pPr>
          </w:p>
        </w:tc>
        <w:tc>
          <w:tcPr>
            <w:tcW w:w="474" w:type="pct"/>
            <w:vMerge w:val="continue"/>
            <w:vAlign w:val="center"/>
          </w:tcPr>
          <w:p w14:paraId="45AEBEC0">
            <w:pPr>
              <w:spacing w:line="240" w:lineRule="exact"/>
              <w:jc w:val="center"/>
              <w:rPr>
                <w:rFonts w:ascii="Times New Roman" w:hAnsi="Times New Roman" w:eastAsia="宋体" w:cs="Times New Roman"/>
                <w:color w:val="auto"/>
                <w:kern w:val="0"/>
              </w:rPr>
            </w:pPr>
          </w:p>
        </w:tc>
        <w:tc>
          <w:tcPr>
            <w:tcW w:w="457" w:type="pct"/>
            <w:vMerge w:val="continue"/>
            <w:vAlign w:val="center"/>
          </w:tcPr>
          <w:p w14:paraId="43461929">
            <w:pPr>
              <w:spacing w:line="240" w:lineRule="exact"/>
              <w:jc w:val="center"/>
              <w:rPr>
                <w:rFonts w:ascii="Times New Roman" w:hAnsi="Times New Roman" w:eastAsia="宋体" w:cs="Times New Roman"/>
                <w:color w:val="auto"/>
                <w:kern w:val="0"/>
              </w:rPr>
            </w:pPr>
          </w:p>
        </w:tc>
        <w:tc>
          <w:tcPr>
            <w:tcW w:w="799" w:type="pct"/>
            <w:vMerge w:val="continue"/>
            <w:vAlign w:val="center"/>
          </w:tcPr>
          <w:p w14:paraId="3535A58D">
            <w:pPr>
              <w:spacing w:line="240" w:lineRule="exact"/>
              <w:jc w:val="center"/>
              <w:rPr>
                <w:rFonts w:ascii="Times New Roman" w:hAnsi="Times New Roman" w:eastAsia="宋体" w:cs="Times New Roman"/>
                <w:color w:val="auto"/>
                <w:kern w:val="0"/>
              </w:rPr>
            </w:pPr>
          </w:p>
        </w:tc>
        <w:tc>
          <w:tcPr>
            <w:tcW w:w="499" w:type="pct"/>
            <w:noWrap/>
            <w:vAlign w:val="center"/>
          </w:tcPr>
          <w:p w14:paraId="5983984A">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2026.4.25</w:t>
            </w:r>
          </w:p>
        </w:tc>
        <w:tc>
          <w:tcPr>
            <w:tcW w:w="299" w:type="pct"/>
            <w:vAlign w:val="center"/>
          </w:tcPr>
          <w:p w14:paraId="761C1C36">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夜间</w:t>
            </w:r>
          </w:p>
        </w:tc>
        <w:tc>
          <w:tcPr>
            <w:tcW w:w="499" w:type="pct"/>
            <w:vAlign w:val="center"/>
          </w:tcPr>
          <w:p w14:paraId="269DA990">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45</w:t>
            </w:r>
          </w:p>
        </w:tc>
        <w:tc>
          <w:tcPr>
            <w:tcW w:w="335" w:type="pct"/>
            <w:noWrap/>
            <w:vAlign w:val="center"/>
          </w:tcPr>
          <w:p w14:paraId="72A6F434">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26</w:t>
            </w:r>
          </w:p>
        </w:tc>
        <w:tc>
          <w:tcPr>
            <w:tcW w:w="335" w:type="pct"/>
            <w:noWrap/>
            <w:vAlign w:val="center"/>
          </w:tcPr>
          <w:p w14:paraId="4F26AA93">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15</w:t>
            </w:r>
          </w:p>
        </w:tc>
        <w:tc>
          <w:tcPr>
            <w:tcW w:w="335" w:type="pct"/>
            <w:noWrap/>
            <w:vAlign w:val="center"/>
          </w:tcPr>
          <w:p w14:paraId="6D1D8B2D">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30</w:t>
            </w:r>
          </w:p>
        </w:tc>
        <w:tc>
          <w:tcPr>
            <w:tcW w:w="342" w:type="pct"/>
            <w:vMerge w:val="continue"/>
            <w:noWrap/>
            <w:vAlign w:val="center"/>
          </w:tcPr>
          <w:p w14:paraId="501F7300">
            <w:pPr>
              <w:spacing w:line="240" w:lineRule="exact"/>
              <w:jc w:val="center"/>
              <w:rPr>
                <w:rFonts w:ascii="Times New Roman" w:hAnsi="Times New Roman" w:eastAsia="宋体" w:cs="Times New Roman"/>
                <w:color w:val="auto"/>
                <w:kern w:val="0"/>
              </w:rPr>
            </w:pPr>
          </w:p>
        </w:tc>
        <w:tc>
          <w:tcPr>
            <w:tcW w:w="371" w:type="pct"/>
            <w:noWrap/>
            <w:vAlign w:val="center"/>
          </w:tcPr>
          <w:p w14:paraId="19CEEC5C">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19D3939E">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noWrap/>
            <w:vAlign w:val="center"/>
          </w:tcPr>
          <w:p w14:paraId="5CAB0B44">
            <w:pPr>
              <w:spacing w:line="240" w:lineRule="exact"/>
              <w:jc w:val="center"/>
              <w:rPr>
                <w:rFonts w:ascii="Times New Roman" w:hAnsi="Times New Roman" w:eastAsia="宋体" w:cs="Times New Roman"/>
                <w:color w:val="auto"/>
                <w:kern w:val="0"/>
              </w:rPr>
            </w:pPr>
          </w:p>
        </w:tc>
        <w:tc>
          <w:tcPr>
            <w:tcW w:w="474" w:type="pct"/>
            <w:vMerge w:val="continue"/>
            <w:noWrap/>
            <w:vAlign w:val="center"/>
          </w:tcPr>
          <w:p w14:paraId="354EAC56">
            <w:pPr>
              <w:spacing w:line="240" w:lineRule="exact"/>
              <w:jc w:val="center"/>
              <w:rPr>
                <w:rFonts w:ascii="Times New Roman" w:hAnsi="Times New Roman" w:eastAsia="宋体" w:cs="Times New Roman"/>
                <w:color w:val="auto"/>
                <w:kern w:val="0"/>
              </w:rPr>
            </w:pPr>
          </w:p>
        </w:tc>
        <w:tc>
          <w:tcPr>
            <w:tcW w:w="457" w:type="pct"/>
            <w:vMerge w:val="restart"/>
            <w:vAlign w:val="center"/>
          </w:tcPr>
          <w:p w14:paraId="5A017538">
            <w:pPr>
              <w:spacing w:line="240" w:lineRule="exact"/>
              <w:jc w:val="center"/>
              <w:rPr>
                <w:rFonts w:ascii="Times New Roman" w:hAnsi="Times New Roman" w:eastAsia="宋体" w:cs="Times New Roman"/>
                <w:color w:val="auto"/>
                <w:kern w:val="0"/>
              </w:rPr>
            </w:pPr>
            <w:r>
              <w:rPr>
                <w:rFonts w:ascii="Times New Roman" w:hAnsi="Times New Roman" w:eastAsia="宋体" w:cs="Times New Roman"/>
                <w:color w:val="auto"/>
                <w:kern w:val="0"/>
              </w:rPr>
              <w:t>背景噪声</w:t>
            </w:r>
          </w:p>
        </w:tc>
        <w:tc>
          <w:tcPr>
            <w:tcW w:w="799" w:type="pct"/>
            <w:vMerge w:val="restart"/>
            <w:vAlign w:val="center"/>
          </w:tcPr>
          <w:p w14:paraId="3C77F9D6">
            <w:pPr>
              <w:spacing w:line="240" w:lineRule="exact"/>
              <w:jc w:val="center"/>
              <w:rPr>
                <w:rFonts w:ascii="Times New Roman" w:hAnsi="Times New Roman" w:eastAsia="宋体" w:cs="Times New Roman"/>
                <w:color w:val="auto"/>
                <w:kern w:val="0"/>
              </w:rPr>
            </w:pPr>
            <w:r>
              <w:rPr>
                <w:rFonts w:hint="eastAsia" w:ascii="Times New Roman" w:hAnsi="Times New Roman" w:eastAsia="宋体" w:cs="Times New Roman"/>
                <w:color w:val="auto"/>
                <w:szCs w:val="21"/>
              </w:rPr>
              <w:t>远离现有G219</w:t>
            </w:r>
            <w:r>
              <w:rPr>
                <w:rFonts w:ascii="Times New Roman" w:hAnsi="Times New Roman" w:eastAsia="宋体" w:cs="Times New Roman"/>
                <w:color w:val="auto"/>
                <w:kern w:val="0"/>
                <w:szCs w:val="21"/>
              </w:rPr>
              <w:t>公路200m外</w:t>
            </w:r>
          </w:p>
        </w:tc>
        <w:tc>
          <w:tcPr>
            <w:tcW w:w="499" w:type="pct"/>
            <w:noWrap/>
            <w:vAlign w:val="center"/>
          </w:tcPr>
          <w:p w14:paraId="2F246BA2">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2026.4.23</w:t>
            </w:r>
          </w:p>
        </w:tc>
        <w:tc>
          <w:tcPr>
            <w:tcW w:w="299" w:type="pct"/>
            <w:vAlign w:val="center"/>
          </w:tcPr>
          <w:p w14:paraId="23B9A91B">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昼间</w:t>
            </w:r>
          </w:p>
        </w:tc>
        <w:tc>
          <w:tcPr>
            <w:tcW w:w="499" w:type="pct"/>
            <w:vAlign w:val="center"/>
          </w:tcPr>
          <w:p w14:paraId="6038FC00">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43</w:t>
            </w:r>
          </w:p>
        </w:tc>
        <w:tc>
          <w:tcPr>
            <w:tcW w:w="335" w:type="pct"/>
            <w:noWrap/>
            <w:vAlign w:val="center"/>
          </w:tcPr>
          <w:p w14:paraId="6F9B7258">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35" w:type="pct"/>
            <w:noWrap/>
            <w:vAlign w:val="center"/>
          </w:tcPr>
          <w:p w14:paraId="6B02D479">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35" w:type="pct"/>
            <w:noWrap/>
            <w:vAlign w:val="center"/>
          </w:tcPr>
          <w:p w14:paraId="5C7843DA">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42" w:type="pct"/>
            <w:vMerge w:val="continue"/>
            <w:noWrap/>
            <w:vAlign w:val="center"/>
          </w:tcPr>
          <w:p w14:paraId="24FAC130">
            <w:pPr>
              <w:spacing w:line="240" w:lineRule="exact"/>
              <w:jc w:val="center"/>
              <w:rPr>
                <w:rFonts w:ascii="Times New Roman" w:hAnsi="Times New Roman" w:eastAsia="宋体" w:cs="Times New Roman"/>
                <w:color w:val="auto"/>
                <w:kern w:val="0"/>
              </w:rPr>
            </w:pPr>
          </w:p>
        </w:tc>
        <w:tc>
          <w:tcPr>
            <w:tcW w:w="371" w:type="pct"/>
            <w:noWrap/>
            <w:vAlign w:val="center"/>
          </w:tcPr>
          <w:p w14:paraId="354158AC">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74AEF000">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vAlign w:val="center"/>
          </w:tcPr>
          <w:p w14:paraId="7D009405">
            <w:pPr>
              <w:spacing w:line="240" w:lineRule="exact"/>
              <w:jc w:val="center"/>
              <w:rPr>
                <w:rFonts w:ascii="Times New Roman" w:hAnsi="Times New Roman" w:eastAsia="宋体" w:cs="Times New Roman"/>
                <w:color w:val="auto"/>
                <w:kern w:val="0"/>
              </w:rPr>
            </w:pPr>
          </w:p>
        </w:tc>
        <w:tc>
          <w:tcPr>
            <w:tcW w:w="474" w:type="pct"/>
            <w:vMerge w:val="continue"/>
            <w:vAlign w:val="center"/>
          </w:tcPr>
          <w:p w14:paraId="3F598EAA">
            <w:pPr>
              <w:spacing w:line="240" w:lineRule="exact"/>
              <w:jc w:val="center"/>
              <w:rPr>
                <w:rFonts w:ascii="Times New Roman" w:hAnsi="Times New Roman" w:eastAsia="宋体" w:cs="Times New Roman"/>
                <w:color w:val="auto"/>
                <w:kern w:val="0"/>
              </w:rPr>
            </w:pPr>
          </w:p>
        </w:tc>
        <w:tc>
          <w:tcPr>
            <w:tcW w:w="457" w:type="pct"/>
            <w:vMerge w:val="continue"/>
            <w:vAlign w:val="center"/>
          </w:tcPr>
          <w:p w14:paraId="7AF6F941">
            <w:pPr>
              <w:spacing w:line="240" w:lineRule="exact"/>
              <w:jc w:val="center"/>
              <w:rPr>
                <w:rFonts w:ascii="Times New Roman" w:hAnsi="Times New Roman" w:eastAsia="宋体" w:cs="Times New Roman"/>
                <w:color w:val="auto"/>
                <w:kern w:val="0"/>
              </w:rPr>
            </w:pPr>
          </w:p>
        </w:tc>
        <w:tc>
          <w:tcPr>
            <w:tcW w:w="799" w:type="pct"/>
            <w:vMerge w:val="continue"/>
            <w:vAlign w:val="center"/>
          </w:tcPr>
          <w:p w14:paraId="05E47196">
            <w:pPr>
              <w:spacing w:line="240" w:lineRule="exact"/>
              <w:jc w:val="center"/>
              <w:rPr>
                <w:rFonts w:ascii="Times New Roman" w:hAnsi="Times New Roman" w:eastAsia="宋体" w:cs="Times New Roman"/>
                <w:color w:val="auto"/>
                <w:kern w:val="0"/>
              </w:rPr>
            </w:pPr>
          </w:p>
        </w:tc>
        <w:tc>
          <w:tcPr>
            <w:tcW w:w="499" w:type="pct"/>
            <w:noWrap/>
            <w:vAlign w:val="center"/>
          </w:tcPr>
          <w:p w14:paraId="1995C069">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2026.4.24</w:t>
            </w:r>
          </w:p>
        </w:tc>
        <w:tc>
          <w:tcPr>
            <w:tcW w:w="299" w:type="pct"/>
            <w:vAlign w:val="center"/>
          </w:tcPr>
          <w:p w14:paraId="4E9EC07D">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夜间</w:t>
            </w:r>
          </w:p>
        </w:tc>
        <w:tc>
          <w:tcPr>
            <w:tcW w:w="499" w:type="pct"/>
            <w:vAlign w:val="center"/>
          </w:tcPr>
          <w:p w14:paraId="2EDF26CD">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36</w:t>
            </w:r>
          </w:p>
        </w:tc>
        <w:tc>
          <w:tcPr>
            <w:tcW w:w="335" w:type="pct"/>
            <w:noWrap/>
            <w:vAlign w:val="center"/>
          </w:tcPr>
          <w:p w14:paraId="503A37AC">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35" w:type="pct"/>
            <w:noWrap/>
            <w:vAlign w:val="center"/>
          </w:tcPr>
          <w:p w14:paraId="4CDE1448">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35" w:type="pct"/>
            <w:noWrap/>
            <w:vAlign w:val="center"/>
          </w:tcPr>
          <w:p w14:paraId="4DAD64AB">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42" w:type="pct"/>
            <w:vMerge w:val="continue"/>
            <w:noWrap/>
            <w:vAlign w:val="center"/>
          </w:tcPr>
          <w:p w14:paraId="036F7FCD">
            <w:pPr>
              <w:spacing w:line="240" w:lineRule="exact"/>
              <w:jc w:val="center"/>
              <w:rPr>
                <w:rFonts w:ascii="Times New Roman" w:hAnsi="Times New Roman" w:eastAsia="宋体" w:cs="Times New Roman"/>
                <w:color w:val="auto"/>
                <w:kern w:val="0"/>
              </w:rPr>
            </w:pPr>
          </w:p>
        </w:tc>
        <w:tc>
          <w:tcPr>
            <w:tcW w:w="371" w:type="pct"/>
            <w:noWrap/>
            <w:vAlign w:val="center"/>
          </w:tcPr>
          <w:p w14:paraId="3219DB05">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67054E2B">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vAlign w:val="center"/>
          </w:tcPr>
          <w:p w14:paraId="2A295A3A">
            <w:pPr>
              <w:spacing w:line="240" w:lineRule="exact"/>
              <w:jc w:val="center"/>
              <w:rPr>
                <w:rFonts w:ascii="Times New Roman" w:hAnsi="Times New Roman" w:eastAsia="宋体" w:cs="Times New Roman"/>
                <w:color w:val="auto"/>
                <w:kern w:val="0"/>
              </w:rPr>
            </w:pPr>
          </w:p>
        </w:tc>
        <w:tc>
          <w:tcPr>
            <w:tcW w:w="474" w:type="pct"/>
            <w:vMerge w:val="continue"/>
            <w:vAlign w:val="center"/>
          </w:tcPr>
          <w:p w14:paraId="1DF5EDBE">
            <w:pPr>
              <w:spacing w:line="240" w:lineRule="exact"/>
              <w:jc w:val="center"/>
              <w:rPr>
                <w:rFonts w:ascii="Times New Roman" w:hAnsi="Times New Roman" w:eastAsia="宋体" w:cs="Times New Roman"/>
                <w:color w:val="auto"/>
                <w:kern w:val="0"/>
              </w:rPr>
            </w:pPr>
          </w:p>
        </w:tc>
        <w:tc>
          <w:tcPr>
            <w:tcW w:w="457" w:type="pct"/>
            <w:vMerge w:val="continue"/>
            <w:vAlign w:val="center"/>
          </w:tcPr>
          <w:p w14:paraId="7E3A88DE">
            <w:pPr>
              <w:spacing w:line="240" w:lineRule="exact"/>
              <w:jc w:val="center"/>
              <w:rPr>
                <w:rFonts w:ascii="Times New Roman" w:hAnsi="Times New Roman" w:eastAsia="宋体" w:cs="Times New Roman"/>
                <w:color w:val="auto"/>
                <w:kern w:val="0"/>
              </w:rPr>
            </w:pPr>
          </w:p>
        </w:tc>
        <w:tc>
          <w:tcPr>
            <w:tcW w:w="799" w:type="pct"/>
            <w:vMerge w:val="continue"/>
            <w:vAlign w:val="center"/>
          </w:tcPr>
          <w:p w14:paraId="29445F28">
            <w:pPr>
              <w:spacing w:line="240" w:lineRule="exact"/>
              <w:jc w:val="center"/>
              <w:rPr>
                <w:rFonts w:ascii="Times New Roman" w:hAnsi="Times New Roman" w:eastAsia="宋体" w:cs="Times New Roman"/>
                <w:color w:val="auto"/>
                <w:kern w:val="0"/>
              </w:rPr>
            </w:pPr>
          </w:p>
        </w:tc>
        <w:tc>
          <w:tcPr>
            <w:tcW w:w="499" w:type="pct"/>
            <w:noWrap/>
            <w:vAlign w:val="center"/>
          </w:tcPr>
          <w:p w14:paraId="31AAD6B9">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2026.4.24</w:t>
            </w:r>
          </w:p>
        </w:tc>
        <w:tc>
          <w:tcPr>
            <w:tcW w:w="299" w:type="pct"/>
            <w:vAlign w:val="center"/>
          </w:tcPr>
          <w:p w14:paraId="28171D64">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昼间</w:t>
            </w:r>
          </w:p>
        </w:tc>
        <w:tc>
          <w:tcPr>
            <w:tcW w:w="499" w:type="pct"/>
            <w:vAlign w:val="center"/>
          </w:tcPr>
          <w:p w14:paraId="6BBDD5B3">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45</w:t>
            </w:r>
          </w:p>
        </w:tc>
        <w:tc>
          <w:tcPr>
            <w:tcW w:w="335" w:type="pct"/>
            <w:noWrap/>
            <w:vAlign w:val="center"/>
          </w:tcPr>
          <w:p w14:paraId="6F50FFEB">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35" w:type="pct"/>
            <w:noWrap/>
            <w:vAlign w:val="center"/>
          </w:tcPr>
          <w:p w14:paraId="15336BAC">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35" w:type="pct"/>
            <w:noWrap/>
            <w:vAlign w:val="center"/>
          </w:tcPr>
          <w:p w14:paraId="33A306F7">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42" w:type="pct"/>
            <w:vMerge w:val="continue"/>
            <w:noWrap/>
            <w:vAlign w:val="center"/>
          </w:tcPr>
          <w:p w14:paraId="3A78D2EF">
            <w:pPr>
              <w:spacing w:line="240" w:lineRule="exact"/>
              <w:jc w:val="center"/>
              <w:rPr>
                <w:rFonts w:ascii="Times New Roman" w:hAnsi="Times New Roman" w:eastAsia="宋体" w:cs="Times New Roman"/>
                <w:color w:val="auto"/>
                <w:kern w:val="0"/>
              </w:rPr>
            </w:pPr>
          </w:p>
        </w:tc>
        <w:tc>
          <w:tcPr>
            <w:tcW w:w="371" w:type="pct"/>
            <w:noWrap/>
            <w:vAlign w:val="center"/>
          </w:tcPr>
          <w:p w14:paraId="2282C3A2">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5B8A21D5">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vAlign w:val="center"/>
          </w:tcPr>
          <w:p w14:paraId="52FBF95B">
            <w:pPr>
              <w:spacing w:line="240" w:lineRule="exact"/>
              <w:jc w:val="center"/>
              <w:rPr>
                <w:rFonts w:ascii="Times New Roman" w:hAnsi="Times New Roman" w:eastAsia="宋体" w:cs="Times New Roman"/>
                <w:color w:val="auto"/>
                <w:kern w:val="0"/>
              </w:rPr>
            </w:pPr>
          </w:p>
        </w:tc>
        <w:tc>
          <w:tcPr>
            <w:tcW w:w="474" w:type="pct"/>
            <w:vMerge w:val="continue"/>
            <w:vAlign w:val="center"/>
          </w:tcPr>
          <w:p w14:paraId="3D18A999">
            <w:pPr>
              <w:spacing w:line="240" w:lineRule="exact"/>
              <w:jc w:val="center"/>
              <w:rPr>
                <w:rFonts w:ascii="Times New Roman" w:hAnsi="Times New Roman" w:eastAsia="宋体" w:cs="Times New Roman"/>
                <w:color w:val="auto"/>
                <w:kern w:val="0"/>
              </w:rPr>
            </w:pPr>
          </w:p>
        </w:tc>
        <w:tc>
          <w:tcPr>
            <w:tcW w:w="457" w:type="pct"/>
            <w:vMerge w:val="continue"/>
            <w:vAlign w:val="center"/>
          </w:tcPr>
          <w:p w14:paraId="6E4D9CD2">
            <w:pPr>
              <w:spacing w:line="240" w:lineRule="exact"/>
              <w:jc w:val="center"/>
              <w:rPr>
                <w:rFonts w:ascii="Times New Roman" w:hAnsi="Times New Roman" w:eastAsia="宋体" w:cs="Times New Roman"/>
                <w:color w:val="auto"/>
                <w:kern w:val="0"/>
              </w:rPr>
            </w:pPr>
          </w:p>
        </w:tc>
        <w:tc>
          <w:tcPr>
            <w:tcW w:w="799" w:type="pct"/>
            <w:vMerge w:val="continue"/>
            <w:vAlign w:val="center"/>
          </w:tcPr>
          <w:p w14:paraId="63F7A4AC">
            <w:pPr>
              <w:spacing w:line="240" w:lineRule="exact"/>
              <w:jc w:val="center"/>
              <w:rPr>
                <w:rFonts w:ascii="Times New Roman" w:hAnsi="Times New Roman" w:eastAsia="宋体" w:cs="Times New Roman"/>
                <w:color w:val="auto"/>
                <w:kern w:val="0"/>
              </w:rPr>
            </w:pPr>
          </w:p>
        </w:tc>
        <w:tc>
          <w:tcPr>
            <w:tcW w:w="499" w:type="pct"/>
            <w:noWrap/>
            <w:vAlign w:val="center"/>
          </w:tcPr>
          <w:p w14:paraId="6A6D7880">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2026.4.25</w:t>
            </w:r>
          </w:p>
        </w:tc>
        <w:tc>
          <w:tcPr>
            <w:tcW w:w="299" w:type="pct"/>
            <w:vAlign w:val="center"/>
          </w:tcPr>
          <w:p w14:paraId="50688C33">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夜间</w:t>
            </w:r>
          </w:p>
        </w:tc>
        <w:tc>
          <w:tcPr>
            <w:tcW w:w="499" w:type="pct"/>
            <w:vAlign w:val="center"/>
          </w:tcPr>
          <w:p w14:paraId="70536826">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37</w:t>
            </w:r>
          </w:p>
        </w:tc>
        <w:tc>
          <w:tcPr>
            <w:tcW w:w="335" w:type="pct"/>
            <w:noWrap/>
            <w:vAlign w:val="center"/>
          </w:tcPr>
          <w:p w14:paraId="49A4C1AD">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35" w:type="pct"/>
            <w:noWrap/>
            <w:vAlign w:val="center"/>
          </w:tcPr>
          <w:p w14:paraId="3BF25352">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35" w:type="pct"/>
            <w:noWrap/>
            <w:vAlign w:val="center"/>
          </w:tcPr>
          <w:p w14:paraId="2208ED85">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42" w:type="pct"/>
            <w:vMerge w:val="continue"/>
            <w:noWrap/>
            <w:vAlign w:val="center"/>
          </w:tcPr>
          <w:p w14:paraId="748533AC">
            <w:pPr>
              <w:spacing w:line="240" w:lineRule="exact"/>
              <w:jc w:val="center"/>
              <w:rPr>
                <w:rFonts w:ascii="Times New Roman" w:hAnsi="Times New Roman" w:eastAsia="宋体" w:cs="Times New Roman"/>
                <w:color w:val="auto"/>
                <w:kern w:val="0"/>
              </w:rPr>
            </w:pPr>
          </w:p>
        </w:tc>
        <w:tc>
          <w:tcPr>
            <w:tcW w:w="371" w:type="pct"/>
            <w:noWrap/>
            <w:vAlign w:val="center"/>
          </w:tcPr>
          <w:p w14:paraId="4F40A816">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bl>
    <w:p w14:paraId="45E8F13E">
      <w:pPr>
        <w:rPr>
          <w:color w:val="auto"/>
          <w:highlight w:val="yellow"/>
        </w:rPr>
        <w:sectPr>
          <w:footerReference r:id="rId45" w:type="default"/>
          <w:footerReference r:id="rId46" w:type="even"/>
          <w:pgSz w:w="16838" w:h="11906" w:orient="landscape"/>
          <w:pgMar w:top="1560" w:right="1440" w:bottom="1560" w:left="1559" w:header="851" w:footer="992" w:gutter="0"/>
          <w:pgBorders>
            <w:top w:val="none" w:sz="0" w:space="0"/>
            <w:left w:val="none" w:sz="0" w:space="0"/>
            <w:bottom w:val="none" w:sz="0" w:space="0"/>
            <w:right w:val="none" w:sz="0" w:space="0"/>
          </w:pgBorders>
          <w:cols w:space="720" w:num="1"/>
          <w:docGrid w:linePitch="312" w:charSpace="0"/>
        </w:sectPr>
      </w:pPr>
    </w:p>
    <w:p w14:paraId="1FC7C742">
      <w:pPr>
        <w:spacing w:beforeLines="50"/>
        <w:jc w:val="center"/>
        <w:rPr>
          <w:rFonts w:ascii="Times New Roman" w:hAnsi="Times New Roman" w:eastAsia="宋体" w:cs="Times New Roman"/>
          <w:b/>
          <w:bCs/>
          <w:color w:val="auto"/>
          <w:szCs w:val="21"/>
        </w:rPr>
      </w:pPr>
      <w:r>
        <w:rPr>
          <w:rFonts w:hint="eastAsia" w:ascii="Times New Roman" w:hAnsi="Times New Roman" w:eastAsia="宋体" w:cs="Times New Roman"/>
          <w:b/>
          <w:bCs/>
          <w:color w:val="auto"/>
          <w:spacing w:val="4"/>
          <w:szCs w:val="21"/>
        </w:rPr>
        <w:t>续 表</w:t>
      </w:r>
      <w:r>
        <w:rPr>
          <w:rFonts w:ascii="Times New Roman" w:hAnsi="Times New Roman" w:eastAsia="宋体" w:cs="Times New Roman"/>
          <w:b/>
          <w:bCs/>
          <w:color w:val="auto"/>
          <w:spacing w:val="4"/>
          <w:szCs w:val="21"/>
        </w:rPr>
        <w:t xml:space="preserve">3.2-3 </w:t>
      </w:r>
      <w:r>
        <w:rPr>
          <w:rFonts w:hint="eastAsia" w:ascii="Times New Roman" w:hAnsi="Times New Roman" w:eastAsia="宋体" w:cs="Times New Roman"/>
          <w:b/>
          <w:bCs/>
          <w:color w:val="auto"/>
          <w:spacing w:val="4"/>
          <w:szCs w:val="21"/>
        </w:rPr>
        <w:t xml:space="preserve"> </w:t>
      </w:r>
      <w:r>
        <w:rPr>
          <w:rFonts w:ascii="Times New Roman" w:hAnsi="Times New Roman" w:eastAsia="宋体" w:cs="Times New Roman"/>
          <w:b/>
          <w:bCs/>
          <w:color w:val="auto"/>
          <w:szCs w:val="21"/>
        </w:rPr>
        <w:t>拟建</w:t>
      </w:r>
      <w:r>
        <w:rPr>
          <w:rFonts w:hint="eastAsia" w:ascii="Times New Roman" w:hAnsi="Times New Roman" w:eastAsia="宋体" w:cs="Times New Roman"/>
          <w:b/>
          <w:bCs/>
          <w:color w:val="auto"/>
          <w:szCs w:val="21"/>
        </w:rPr>
        <w:t>公路敏感点声</w:t>
      </w:r>
      <w:r>
        <w:rPr>
          <w:rFonts w:ascii="Times New Roman" w:hAnsi="Times New Roman" w:eastAsia="宋体" w:cs="Times New Roman"/>
          <w:b/>
          <w:bCs/>
          <w:color w:val="auto"/>
          <w:szCs w:val="21"/>
        </w:rPr>
        <w:t>环境</w:t>
      </w:r>
      <w:r>
        <w:rPr>
          <w:rFonts w:hint="eastAsia" w:ascii="Times New Roman" w:hAnsi="Times New Roman" w:eastAsia="宋体" w:cs="Times New Roman"/>
          <w:b/>
          <w:bCs/>
          <w:color w:val="auto"/>
          <w:szCs w:val="21"/>
        </w:rPr>
        <w:t>现状</w:t>
      </w:r>
      <w:r>
        <w:rPr>
          <w:rFonts w:ascii="Times New Roman" w:hAnsi="Times New Roman" w:eastAsia="宋体" w:cs="Times New Roman"/>
          <w:b/>
          <w:bCs/>
          <w:color w:val="auto"/>
          <w:szCs w:val="21"/>
        </w:rPr>
        <w:t>监测结果及达标分析表</w:t>
      </w:r>
    </w:p>
    <w:tbl>
      <w:tblPr>
        <w:tblStyle w:val="22"/>
        <w:tblW w:w="5051" w:type="pct"/>
        <w:jc w:val="center"/>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25"/>
        <w:gridCol w:w="1346"/>
        <w:gridCol w:w="1298"/>
        <w:gridCol w:w="2269"/>
        <w:gridCol w:w="1417"/>
        <w:gridCol w:w="849"/>
        <w:gridCol w:w="1417"/>
        <w:gridCol w:w="951"/>
        <w:gridCol w:w="951"/>
        <w:gridCol w:w="951"/>
        <w:gridCol w:w="971"/>
        <w:gridCol w:w="1053"/>
      </w:tblGrid>
      <w:tr w14:paraId="01DB5642">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255" w:type="pct"/>
            <w:vMerge w:val="restart"/>
            <w:noWrap/>
            <w:vAlign w:val="center"/>
          </w:tcPr>
          <w:p w14:paraId="2A185141">
            <w:pPr>
              <w:spacing w:line="240" w:lineRule="exact"/>
              <w:jc w:val="center"/>
              <w:rPr>
                <w:rFonts w:ascii="Times New Roman" w:hAnsi="Times New Roman" w:eastAsia="宋体" w:cs="Times New Roman"/>
                <w:b/>
                <w:color w:val="auto"/>
                <w:kern w:val="0"/>
              </w:rPr>
            </w:pPr>
            <w:r>
              <w:rPr>
                <w:rFonts w:hint="eastAsia" w:ascii="Times New Roman" w:hAnsi="Times New Roman" w:eastAsia="宋体" w:cs="Times New Roman"/>
                <w:b/>
                <w:color w:val="auto"/>
                <w:kern w:val="0"/>
              </w:rPr>
              <w:t>序号</w:t>
            </w:r>
          </w:p>
        </w:tc>
        <w:tc>
          <w:tcPr>
            <w:tcW w:w="474" w:type="pct"/>
            <w:vMerge w:val="restart"/>
            <w:noWrap/>
            <w:vAlign w:val="center"/>
          </w:tcPr>
          <w:p w14:paraId="675083FD">
            <w:pPr>
              <w:spacing w:line="240" w:lineRule="exact"/>
              <w:jc w:val="center"/>
              <w:rPr>
                <w:rFonts w:ascii="Times New Roman" w:hAnsi="Times New Roman" w:eastAsia="宋体" w:cs="Times New Roman"/>
                <w:b/>
                <w:color w:val="auto"/>
                <w:kern w:val="0"/>
              </w:rPr>
            </w:pPr>
            <w:r>
              <w:rPr>
                <w:rFonts w:ascii="Times New Roman" w:hAnsi="Times New Roman" w:eastAsia="宋体" w:cs="Times New Roman"/>
                <w:b/>
                <w:color w:val="auto"/>
                <w:kern w:val="0"/>
              </w:rPr>
              <w:t>监测点位</w:t>
            </w:r>
          </w:p>
        </w:tc>
        <w:tc>
          <w:tcPr>
            <w:tcW w:w="1256" w:type="pct"/>
            <w:gridSpan w:val="2"/>
            <w:vMerge w:val="restart"/>
            <w:noWrap/>
            <w:vAlign w:val="center"/>
          </w:tcPr>
          <w:p w14:paraId="0352543C">
            <w:pPr>
              <w:spacing w:line="240" w:lineRule="exact"/>
              <w:jc w:val="center"/>
              <w:rPr>
                <w:rFonts w:ascii="Times New Roman" w:hAnsi="Times New Roman" w:eastAsia="宋体" w:cs="Times New Roman"/>
                <w:b/>
                <w:color w:val="auto"/>
                <w:kern w:val="0"/>
              </w:rPr>
            </w:pPr>
            <w:r>
              <w:rPr>
                <w:rFonts w:ascii="Times New Roman" w:hAnsi="Times New Roman" w:eastAsia="宋体" w:cs="Times New Roman"/>
                <w:b/>
                <w:color w:val="auto"/>
                <w:kern w:val="0"/>
              </w:rPr>
              <w:t>噪声类型</w:t>
            </w:r>
          </w:p>
        </w:tc>
        <w:tc>
          <w:tcPr>
            <w:tcW w:w="798" w:type="pct"/>
            <w:gridSpan w:val="2"/>
            <w:noWrap/>
            <w:vAlign w:val="center"/>
          </w:tcPr>
          <w:p w14:paraId="14156834">
            <w:pPr>
              <w:spacing w:line="240" w:lineRule="exact"/>
              <w:jc w:val="center"/>
              <w:rPr>
                <w:rFonts w:ascii="Times New Roman" w:hAnsi="Times New Roman" w:eastAsia="宋体" w:cs="Times New Roman"/>
                <w:b/>
                <w:color w:val="auto"/>
                <w:kern w:val="0"/>
              </w:rPr>
            </w:pPr>
            <w:r>
              <w:rPr>
                <w:rFonts w:ascii="Times New Roman" w:hAnsi="Times New Roman" w:eastAsia="宋体" w:cs="Times New Roman"/>
                <w:b/>
                <w:color w:val="auto"/>
                <w:kern w:val="0"/>
              </w:rPr>
              <w:t>监测时间</w:t>
            </w:r>
          </w:p>
        </w:tc>
        <w:tc>
          <w:tcPr>
            <w:tcW w:w="499" w:type="pct"/>
            <w:vMerge w:val="restart"/>
            <w:vAlign w:val="center"/>
          </w:tcPr>
          <w:p w14:paraId="3275DBE2">
            <w:pPr>
              <w:spacing w:line="240" w:lineRule="exact"/>
              <w:jc w:val="center"/>
              <w:rPr>
                <w:rFonts w:ascii="Times New Roman" w:hAnsi="Times New Roman" w:eastAsia="宋体" w:cs="Times New Roman"/>
                <w:b/>
                <w:color w:val="auto"/>
                <w:kern w:val="0"/>
              </w:rPr>
            </w:pPr>
            <w:r>
              <w:rPr>
                <w:rFonts w:hint="eastAsia" w:ascii="Times New Roman" w:hAnsi="Times New Roman" w:eastAsia="宋体" w:cs="Times New Roman"/>
                <w:b/>
                <w:bCs/>
                <w:color w:val="auto"/>
              </w:rPr>
              <w:t>监测结果Leq（dB）</w:t>
            </w:r>
          </w:p>
        </w:tc>
        <w:tc>
          <w:tcPr>
            <w:tcW w:w="1005" w:type="pct"/>
            <w:gridSpan w:val="3"/>
            <w:noWrap/>
            <w:vAlign w:val="center"/>
          </w:tcPr>
          <w:p w14:paraId="7B5C94C7">
            <w:pPr>
              <w:spacing w:line="240" w:lineRule="exact"/>
              <w:jc w:val="center"/>
              <w:rPr>
                <w:rFonts w:ascii="Times New Roman" w:hAnsi="Times New Roman" w:eastAsia="宋体" w:cs="Times New Roman"/>
                <w:b/>
                <w:color w:val="auto"/>
                <w:kern w:val="0"/>
              </w:rPr>
            </w:pPr>
            <w:r>
              <w:rPr>
                <w:rFonts w:ascii="Times New Roman" w:hAnsi="Times New Roman" w:eastAsia="宋体" w:cs="Times New Roman"/>
                <w:b/>
                <w:color w:val="auto"/>
                <w:kern w:val="0"/>
              </w:rPr>
              <w:t>车流量（辆/</w:t>
            </w:r>
            <w:r>
              <w:rPr>
                <w:rFonts w:hint="eastAsia" w:ascii="Times New Roman" w:hAnsi="Times New Roman" w:eastAsia="宋体" w:cs="Times New Roman"/>
                <w:b/>
                <w:color w:val="auto"/>
                <w:kern w:val="0"/>
              </w:rPr>
              <w:t>h</w:t>
            </w:r>
            <w:r>
              <w:rPr>
                <w:rFonts w:ascii="Times New Roman" w:hAnsi="Times New Roman" w:eastAsia="宋体" w:cs="Times New Roman"/>
                <w:b/>
                <w:color w:val="auto"/>
                <w:kern w:val="0"/>
              </w:rPr>
              <w:t>）</w:t>
            </w:r>
          </w:p>
        </w:tc>
        <w:tc>
          <w:tcPr>
            <w:tcW w:w="342" w:type="pct"/>
            <w:vMerge w:val="restart"/>
            <w:vAlign w:val="center"/>
          </w:tcPr>
          <w:p w14:paraId="6C580930">
            <w:pPr>
              <w:spacing w:line="240" w:lineRule="exact"/>
              <w:jc w:val="center"/>
              <w:rPr>
                <w:rFonts w:ascii="Times New Roman" w:hAnsi="Times New Roman" w:eastAsia="宋体" w:cs="Times New Roman"/>
                <w:b/>
                <w:color w:val="auto"/>
                <w:kern w:val="0"/>
              </w:rPr>
            </w:pPr>
            <w:r>
              <w:rPr>
                <w:rFonts w:ascii="Times New Roman" w:hAnsi="Times New Roman" w:eastAsia="宋体" w:cs="Times New Roman"/>
                <w:b/>
                <w:color w:val="auto"/>
                <w:kern w:val="0"/>
              </w:rPr>
              <w:t>评价标准</w:t>
            </w:r>
          </w:p>
        </w:tc>
        <w:tc>
          <w:tcPr>
            <w:tcW w:w="371" w:type="pct"/>
            <w:vMerge w:val="restart"/>
            <w:noWrap/>
            <w:vAlign w:val="center"/>
          </w:tcPr>
          <w:p w14:paraId="43AFCF08">
            <w:pPr>
              <w:spacing w:line="240" w:lineRule="exact"/>
              <w:jc w:val="center"/>
              <w:rPr>
                <w:rFonts w:ascii="Times New Roman" w:hAnsi="Times New Roman" w:eastAsia="宋体" w:cs="Times New Roman"/>
                <w:b/>
                <w:color w:val="auto"/>
                <w:kern w:val="0"/>
              </w:rPr>
            </w:pPr>
            <w:r>
              <w:rPr>
                <w:rFonts w:ascii="Times New Roman" w:hAnsi="Times New Roman" w:eastAsia="宋体" w:cs="Times New Roman"/>
                <w:b/>
                <w:color w:val="auto"/>
                <w:kern w:val="0"/>
              </w:rPr>
              <w:t>达标情况</w:t>
            </w:r>
          </w:p>
        </w:tc>
      </w:tr>
      <w:tr w14:paraId="438EDEFC">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255" w:type="pct"/>
            <w:vMerge w:val="continue"/>
            <w:vAlign w:val="center"/>
          </w:tcPr>
          <w:p w14:paraId="6164F687">
            <w:pPr>
              <w:spacing w:line="240" w:lineRule="exact"/>
              <w:jc w:val="center"/>
              <w:rPr>
                <w:rFonts w:ascii="Times New Roman" w:hAnsi="Times New Roman" w:eastAsia="宋体" w:cs="Times New Roman"/>
                <w:b/>
                <w:color w:val="auto"/>
                <w:kern w:val="0"/>
              </w:rPr>
            </w:pPr>
          </w:p>
        </w:tc>
        <w:tc>
          <w:tcPr>
            <w:tcW w:w="474" w:type="pct"/>
            <w:vMerge w:val="continue"/>
            <w:vAlign w:val="center"/>
          </w:tcPr>
          <w:p w14:paraId="18FCCB4B">
            <w:pPr>
              <w:spacing w:line="240" w:lineRule="exact"/>
              <w:jc w:val="center"/>
              <w:rPr>
                <w:rFonts w:ascii="Times New Roman" w:hAnsi="Times New Roman" w:eastAsia="宋体" w:cs="Times New Roman"/>
                <w:b/>
                <w:color w:val="auto"/>
                <w:kern w:val="0"/>
              </w:rPr>
            </w:pPr>
          </w:p>
        </w:tc>
        <w:tc>
          <w:tcPr>
            <w:tcW w:w="1256" w:type="pct"/>
            <w:gridSpan w:val="2"/>
            <w:vMerge w:val="continue"/>
            <w:vAlign w:val="center"/>
          </w:tcPr>
          <w:p w14:paraId="3C324829">
            <w:pPr>
              <w:spacing w:line="240" w:lineRule="exact"/>
              <w:jc w:val="center"/>
              <w:rPr>
                <w:rFonts w:ascii="Times New Roman" w:hAnsi="Times New Roman" w:eastAsia="宋体" w:cs="Times New Roman"/>
                <w:b/>
                <w:color w:val="auto"/>
                <w:kern w:val="0"/>
              </w:rPr>
            </w:pPr>
          </w:p>
        </w:tc>
        <w:tc>
          <w:tcPr>
            <w:tcW w:w="499" w:type="pct"/>
            <w:vAlign w:val="center"/>
          </w:tcPr>
          <w:p w14:paraId="137DD05A">
            <w:pPr>
              <w:spacing w:line="240" w:lineRule="exact"/>
              <w:jc w:val="center"/>
              <w:rPr>
                <w:rFonts w:ascii="Times New Roman" w:hAnsi="Times New Roman" w:eastAsia="宋体" w:cs="Times New Roman"/>
                <w:b/>
                <w:color w:val="auto"/>
                <w:kern w:val="0"/>
              </w:rPr>
            </w:pPr>
            <w:r>
              <w:rPr>
                <w:rFonts w:ascii="Times New Roman" w:hAnsi="Times New Roman" w:eastAsia="宋体" w:cs="Times New Roman"/>
                <w:b/>
                <w:color w:val="auto"/>
                <w:kern w:val="0"/>
              </w:rPr>
              <w:t>日期</w:t>
            </w:r>
          </w:p>
        </w:tc>
        <w:tc>
          <w:tcPr>
            <w:tcW w:w="299" w:type="pct"/>
            <w:vAlign w:val="center"/>
          </w:tcPr>
          <w:p w14:paraId="4BAC63E1">
            <w:pPr>
              <w:spacing w:line="240" w:lineRule="exact"/>
              <w:jc w:val="center"/>
              <w:rPr>
                <w:rFonts w:ascii="Times New Roman" w:hAnsi="Times New Roman" w:eastAsia="宋体" w:cs="Times New Roman"/>
                <w:b/>
                <w:color w:val="auto"/>
                <w:kern w:val="0"/>
              </w:rPr>
            </w:pPr>
            <w:r>
              <w:rPr>
                <w:rFonts w:ascii="Times New Roman" w:hAnsi="Times New Roman" w:eastAsia="宋体" w:cs="Times New Roman"/>
                <w:b/>
                <w:color w:val="auto"/>
                <w:kern w:val="0"/>
              </w:rPr>
              <w:t>时段</w:t>
            </w:r>
          </w:p>
        </w:tc>
        <w:tc>
          <w:tcPr>
            <w:tcW w:w="499" w:type="pct"/>
            <w:vMerge w:val="continue"/>
            <w:vAlign w:val="center"/>
          </w:tcPr>
          <w:p w14:paraId="00B7A6F9">
            <w:pPr>
              <w:spacing w:line="240" w:lineRule="exact"/>
              <w:jc w:val="center"/>
              <w:rPr>
                <w:rFonts w:ascii="Times New Roman" w:hAnsi="Times New Roman" w:eastAsia="宋体" w:cs="Times New Roman"/>
                <w:b/>
                <w:color w:val="auto"/>
              </w:rPr>
            </w:pPr>
          </w:p>
        </w:tc>
        <w:tc>
          <w:tcPr>
            <w:tcW w:w="335" w:type="pct"/>
            <w:noWrap/>
            <w:vAlign w:val="center"/>
          </w:tcPr>
          <w:p w14:paraId="4C22A492">
            <w:pPr>
              <w:spacing w:line="240" w:lineRule="exact"/>
              <w:jc w:val="center"/>
              <w:rPr>
                <w:rFonts w:ascii="Times New Roman" w:hAnsi="Times New Roman" w:eastAsia="宋体" w:cs="Times New Roman"/>
                <w:b/>
                <w:color w:val="auto"/>
                <w:kern w:val="0"/>
              </w:rPr>
            </w:pPr>
            <w:r>
              <w:rPr>
                <w:rFonts w:ascii="Times New Roman" w:hAnsi="Times New Roman" w:eastAsia="宋体" w:cs="Times New Roman"/>
                <w:b/>
                <w:color w:val="auto"/>
                <w:kern w:val="0"/>
              </w:rPr>
              <w:t>大</w:t>
            </w:r>
          </w:p>
        </w:tc>
        <w:tc>
          <w:tcPr>
            <w:tcW w:w="335" w:type="pct"/>
            <w:noWrap/>
            <w:vAlign w:val="center"/>
          </w:tcPr>
          <w:p w14:paraId="483BFEC4">
            <w:pPr>
              <w:spacing w:line="240" w:lineRule="exact"/>
              <w:jc w:val="center"/>
              <w:rPr>
                <w:rFonts w:ascii="Times New Roman" w:hAnsi="Times New Roman" w:eastAsia="宋体" w:cs="Times New Roman"/>
                <w:b/>
                <w:color w:val="auto"/>
                <w:kern w:val="0"/>
              </w:rPr>
            </w:pPr>
            <w:r>
              <w:rPr>
                <w:rFonts w:ascii="Times New Roman" w:hAnsi="Times New Roman" w:eastAsia="宋体" w:cs="Times New Roman"/>
                <w:b/>
                <w:color w:val="auto"/>
                <w:kern w:val="0"/>
              </w:rPr>
              <w:t>中</w:t>
            </w:r>
          </w:p>
        </w:tc>
        <w:tc>
          <w:tcPr>
            <w:tcW w:w="335" w:type="pct"/>
            <w:noWrap/>
            <w:vAlign w:val="center"/>
          </w:tcPr>
          <w:p w14:paraId="769E9B5A">
            <w:pPr>
              <w:spacing w:line="240" w:lineRule="exact"/>
              <w:jc w:val="center"/>
              <w:rPr>
                <w:rFonts w:ascii="Times New Roman" w:hAnsi="Times New Roman" w:eastAsia="宋体" w:cs="Times New Roman"/>
                <w:b/>
                <w:color w:val="auto"/>
                <w:kern w:val="0"/>
              </w:rPr>
            </w:pPr>
            <w:r>
              <w:rPr>
                <w:rFonts w:ascii="Times New Roman" w:hAnsi="Times New Roman" w:eastAsia="宋体" w:cs="Times New Roman"/>
                <w:b/>
                <w:color w:val="auto"/>
                <w:kern w:val="0"/>
              </w:rPr>
              <w:t>小</w:t>
            </w:r>
          </w:p>
        </w:tc>
        <w:tc>
          <w:tcPr>
            <w:tcW w:w="342" w:type="pct"/>
            <w:vMerge w:val="continue"/>
            <w:vAlign w:val="center"/>
          </w:tcPr>
          <w:p w14:paraId="183F942A">
            <w:pPr>
              <w:spacing w:line="240" w:lineRule="exact"/>
              <w:jc w:val="center"/>
              <w:rPr>
                <w:rFonts w:ascii="Times New Roman" w:hAnsi="Times New Roman" w:eastAsia="宋体" w:cs="Times New Roman"/>
                <w:b/>
                <w:color w:val="auto"/>
                <w:kern w:val="0"/>
              </w:rPr>
            </w:pPr>
          </w:p>
        </w:tc>
        <w:tc>
          <w:tcPr>
            <w:tcW w:w="371" w:type="pct"/>
            <w:vMerge w:val="continue"/>
            <w:vAlign w:val="center"/>
          </w:tcPr>
          <w:p w14:paraId="735CAE3E">
            <w:pPr>
              <w:spacing w:line="240" w:lineRule="exact"/>
              <w:jc w:val="center"/>
              <w:rPr>
                <w:rFonts w:ascii="Times New Roman" w:hAnsi="Times New Roman" w:eastAsia="宋体" w:cs="Times New Roman"/>
                <w:b/>
                <w:color w:val="auto"/>
                <w:kern w:val="0"/>
              </w:rPr>
            </w:pPr>
          </w:p>
        </w:tc>
      </w:tr>
      <w:tr w14:paraId="6316F724">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restart"/>
            <w:noWrap/>
            <w:vAlign w:val="center"/>
          </w:tcPr>
          <w:p w14:paraId="5F6C5E0B">
            <w:pPr>
              <w:spacing w:line="240" w:lineRule="exact"/>
              <w:jc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13</w:t>
            </w:r>
          </w:p>
        </w:tc>
        <w:tc>
          <w:tcPr>
            <w:tcW w:w="474" w:type="pct"/>
            <w:vMerge w:val="restart"/>
            <w:noWrap/>
            <w:vAlign w:val="center"/>
          </w:tcPr>
          <w:p w14:paraId="1760C7B7">
            <w:pPr>
              <w:spacing w:line="240" w:lineRule="exact"/>
              <w:jc w:val="center"/>
              <w:rPr>
                <w:rFonts w:ascii="Times New Roman" w:hAnsi="Times New Roman" w:cs="Times New Roman" w:eastAsiaTheme="minorEastAsia"/>
                <w:color w:val="auto"/>
              </w:rPr>
            </w:pPr>
            <w:r>
              <w:rPr>
                <w:rFonts w:hint="eastAsia" w:ascii="Times New Roman" w:cs="Times New Roman" w:hAnsiTheme="minorEastAsia" w:eastAsiaTheme="minorEastAsia"/>
                <w:color w:val="auto"/>
              </w:rPr>
              <w:t>伽师县中等职业技术学校</w:t>
            </w:r>
          </w:p>
        </w:tc>
        <w:tc>
          <w:tcPr>
            <w:tcW w:w="457" w:type="pct"/>
            <w:vMerge w:val="restart"/>
            <w:vAlign w:val="center"/>
          </w:tcPr>
          <w:p w14:paraId="78FC856C">
            <w:pPr>
              <w:spacing w:line="240" w:lineRule="exact"/>
              <w:jc w:val="center"/>
              <w:rPr>
                <w:rFonts w:ascii="Times New Roman" w:hAnsi="Times New Roman" w:eastAsia="宋体" w:cs="Times New Roman"/>
                <w:color w:val="auto"/>
                <w:kern w:val="0"/>
              </w:rPr>
            </w:pPr>
            <w:r>
              <w:rPr>
                <w:rFonts w:ascii="Times New Roman" w:hAnsi="Times New Roman" w:eastAsia="宋体" w:cs="Times New Roman"/>
                <w:color w:val="auto"/>
                <w:kern w:val="0"/>
              </w:rPr>
              <w:t>环境噪声</w:t>
            </w:r>
          </w:p>
        </w:tc>
        <w:tc>
          <w:tcPr>
            <w:tcW w:w="799" w:type="pct"/>
            <w:vMerge w:val="restart"/>
            <w:vAlign w:val="center"/>
          </w:tcPr>
          <w:p w14:paraId="3BBF457D">
            <w:pPr>
              <w:spacing w:line="240" w:lineRule="exact"/>
              <w:jc w:val="center"/>
              <w:rPr>
                <w:rFonts w:ascii="Times New Roman" w:hAnsi="Times New Roman" w:eastAsia="宋体" w:cs="Times New Roman"/>
                <w:color w:val="auto"/>
                <w:kern w:val="0"/>
              </w:rPr>
            </w:pPr>
            <w:r>
              <w:rPr>
                <w:rFonts w:ascii="Times New Roman" w:hAnsi="Times New Roman" w:eastAsia="宋体" w:cs="Times New Roman"/>
                <w:color w:val="auto"/>
              </w:rPr>
              <w:t>临现有</w:t>
            </w:r>
            <w:r>
              <w:rPr>
                <w:rFonts w:hint="eastAsia" w:ascii="Times New Roman" w:hAnsi="Times New Roman" w:eastAsia="宋体" w:cs="Times New Roman"/>
                <w:color w:val="auto"/>
              </w:rPr>
              <w:t>G219</w:t>
            </w:r>
            <w:r>
              <w:rPr>
                <w:rFonts w:ascii="Times New Roman" w:hAnsi="Times New Roman" w:eastAsia="宋体" w:cs="Times New Roman"/>
                <w:color w:val="auto"/>
              </w:rPr>
              <w:t>第一排</w:t>
            </w:r>
            <w:r>
              <w:rPr>
                <w:rFonts w:hint="eastAsia" w:ascii="Times New Roman" w:hAnsi="Times New Roman" w:eastAsia="宋体" w:cs="Times New Roman"/>
                <w:color w:val="auto"/>
              </w:rPr>
              <w:t>教学楼2</w:t>
            </w:r>
            <w:r>
              <w:rPr>
                <w:rFonts w:ascii="Times New Roman" w:hAnsi="Times New Roman" w:eastAsia="宋体" w:cs="Times New Roman"/>
                <w:color w:val="auto"/>
              </w:rPr>
              <w:t>层</w:t>
            </w:r>
          </w:p>
        </w:tc>
        <w:tc>
          <w:tcPr>
            <w:tcW w:w="499" w:type="pct"/>
            <w:noWrap/>
            <w:vAlign w:val="center"/>
          </w:tcPr>
          <w:p w14:paraId="1F04C165">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2026.4.23</w:t>
            </w:r>
          </w:p>
        </w:tc>
        <w:tc>
          <w:tcPr>
            <w:tcW w:w="299" w:type="pct"/>
            <w:vAlign w:val="center"/>
          </w:tcPr>
          <w:p w14:paraId="2A26E582">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昼间</w:t>
            </w:r>
          </w:p>
        </w:tc>
        <w:tc>
          <w:tcPr>
            <w:tcW w:w="499" w:type="pct"/>
            <w:vAlign w:val="center"/>
          </w:tcPr>
          <w:p w14:paraId="37AD64D4">
            <w:pPr>
              <w:tabs>
                <w:tab w:val="left" w:pos="4326"/>
              </w:tabs>
              <w:adjustRightInd w:val="0"/>
              <w:snapToGrid w:val="0"/>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52</w:t>
            </w:r>
          </w:p>
        </w:tc>
        <w:tc>
          <w:tcPr>
            <w:tcW w:w="335" w:type="pct"/>
            <w:noWrap/>
            <w:vAlign w:val="center"/>
          </w:tcPr>
          <w:p w14:paraId="2099D5C1">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51</w:t>
            </w:r>
          </w:p>
        </w:tc>
        <w:tc>
          <w:tcPr>
            <w:tcW w:w="335" w:type="pct"/>
            <w:noWrap/>
            <w:vAlign w:val="center"/>
          </w:tcPr>
          <w:p w14:paraId="4F34A039">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36</w:t>
            </w:r>
          </w:p>
        </w:tc>
        <w:tc>
          <w:tcPr>
            <w:tcW w:w="335" w:type="pct"/>
            <w:noWrap/>
            <w:vAlign w:val="center"/>
          </w:tcPr>
          <w:p w14:paraId="5490F868">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114</w:t>
            </w:r>
          </w:p>
        </w:tc>
        <w:tc>
          <w:tcPr>
            <w:tcW w:w="342" w:type="pct"/>
            <w:vMerge w:val="restart"/>
            <w:noWrap/>
            <w:vAlign w:val="center"/>
          </w:tcPr>
          <w:p w14:paraId="5616C3B1">
            <w:pPr>
              <w:spacing w:line="240" w:lineRule="exact"/>
              <w:jc w:val="center"/>
              <w:rPr>
                <w:rFonts w:ascii="Times New Roman" w:hAnsi="Times New Roman" w:eastAsia="宋体" w:cs="Times New Roman"/>
                <w:color w:val="auto"/>
                <w:kern w:val="0"/>
              </w:rPr>
            </w:pPr>
            <w:r>
              <w:rPr>
                <w:rFonts w:ascii="Times New Roman" w:hAnsi="Times New Roman" w:eastAsia="宋体" w:cs="Times New Roman"/>
                <w:color w:val="auto"/>
                <w:kern w:val="0"/>
              </w:rPr>
              <w:t>2类</w:t>
            </w:r>
          </w:p>
        </w:tc>
        <w:tc>
          <w:tcPr>
            <w:tcW w:w="371" w:type="pct"/>
            <w:noWrap/>
            <w:vAlign w:val="center"/>
          </w:tcPr>
          <w:p w14:paraId="10ECD8D9">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29D6D0E8">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vAlign w:val="center"/>
          </w:tcPr>
          <w:p w14:paraId="44B10AB2">
            <w:pPr>
              <w:spacing w:line="240" w:lineRule="exact"/>
              <w:jc w:val="center"/>
              <w:rPr>
                <w:rFonts w:ascii="Times New Roman" w:hAnsi="Times New Roman" w:eastAsia="宋体" w:cs="Times New Roman"/>
                <w:color w:val="auto"/>
                <w:kern w:val="0"/>
              </w:rPr>
            </w:pPr>
          </w:p>
        </w:tc>
        <w:tc>
          <w:tcPr>
            <w:tcW w:w="474" w:type="pct"/>
            <w:vMerge w:val="continue"/>
            <w:vAlign w:val="center"/>
          </w:tcPr>
          <w:p w14:paraId="58E8383C">
            <w:pPr>
              <w:spacing w:line="240" w:lineRule="exact"/>
              <w:jc w:val="center"/>
              <w:rPr>
                <w:rFonts w:ascii="Times New Roman" w:hAnsi="Times New Roman" w:eastAsia="宋体" w:cs="Times New Roman"/>
                <w:color w:val="auto"/>
                <w:kern w:val="0"/>
              </w:rPr>
            </w:pPr>
          </w:p>
        </w:tc>
        <w:tc>
          <w:tcPr>
            <w:tcW w:w="457" w:type="pct"/>
            <w:vMerge w:val="continue"/>
            <w:vAlign w:val="center"/>
          </w:tcPr>
          <w:p w14:paraId="654D8EA7">
            <w:pPr>
              <w:spacing w:line="240" w:lineRule="exact"/>
              <w:jc w:val="center"/>
              <w:rPr>
                <w:rFonts w:ascii="Times New Roman" w:hAnsi="Times New Roman" w:eastAsia="宋体" w:cs="Times New Roman"/>
                <w:color w:val="auto"/>
                <w:kern w:val="0"/>
              </w:rPr>
            </w:pPr>
          </w:p>
        </w:tc>
        <w:tc>
          <w:tcPr>
            <w:tcW w:w="799" w:type="pct"/>
            <w:vMerge w:val="continue"/>
            <w:vAlign w:val="center"/>
          </w:tcPr>
          <w:p w14:paraId="060B435D">
            <w:pPr>
              <w:spacing w:line="240" w:lineRule="exact"/>
              <w:jc w:val="center"/>
              <w:rPr>
                <w:rFonts w:ascii="Times New Roman" w:hAnsi="Times New Roman" w:eastAsia="宋体" w:cs="Times New Roman"/>
                <w:color w:val="auto"/>
                <w:kern w:val="0"/>
              </w:rPr>
            </w:pPr>
          </w:p>
        </w:tc>
        <w:tc>
          <w:tcPr>
            <w:tcW w:w="499" w:type="pct"/>
            <w:noWrap/>
            <w:vAlign w:val="center"/>
          </w:tcPr>
          <w:p w14:paraId="7943D2B7">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2026.4.24</w:t>
            </w:r>
          </w:p>
        </w:tc>
        <w:tc>
          <w:tcPr>
            <w:tcW w:w="299" w:type="pct"/>
            <w:vAlign w:val="center"/>
          </w:tcPr>
          <w:p w14:paraId="570AA71C">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夜间</w:t>
            </w:r>
          </w:p>
        </w:tc>
        <w:tc>
          <w:tcPr>
            <w:tcW w:w="499" w:type="pct"/>
            <w:vAlign w:val="center"/>
          </w:tcPr>
          <w:p w14:paraId="5CFE7159">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43</w:t>
            </w:r>
          </w:p>
        </w:tc>
        <w:tc>
          <w:tcPr>
            <w:tcW w:w="335" w:type="pct"/>
            <w:noWrap/>
            <w:vAlign w:val="center"/>
          </w:tcPr>
          <w:p w14:paraId="5EF41EFC">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30</w:t>
            </w:r>
          </w:p>
        </w:tc>
        <w:tc>
          <w:tcPr>
            <w:tcW w:w="335" w:type="pct"/>
            <w:noWrap/>
            <w:vAlign w:val="center"/>
          </w:tcPr>
          <w:p w14:paraId="0B377DF5">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15</w:t>
            </w:r>
          </w:p>
        </w:tc>
        <w:tc>
          <w:tcPr>
            <w:tcW w:w="335" w:type="pct"/>
            <w:noWrap/>
            <w:vAlign w:val="center"/>
          </w:tcPr>
          <w:p w14:paraId="7F4765C7">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54</w:t>
            </w:r>
          </w:p>
        </w:tc>
        <w:tc>
          <w:tcPr>
            <w:tcW w:w="342" w:type="pct"/>
            <w:vMerge w:val="continue"/>
            <w:noWrap/>
            <w:vAlign w:val="center"/>
          </w:tcPr>
          <w:p w14:paraId="43D180D8">
            <w:pPr>
              <w:spacing w:line="240" w:lineRule="exact"/>
              <w:jc w:val="center"/>
              <w:rPr>
                <w:rFonts w:ascii="Times New Roman" w:hAnsi="Times New Roman" w:eastAsia="宋体" w:cs="Times New Roman"/>
                <w:color w:val="auto"/>
                <w:kern w:val="0"/>
              </w:rPr>
            </w:pPr>
          </w:p>
        </w:tc>
        <w:tc>
          <w:tcPr>
            <w:tcW w:w="371" w:type="pct"/>
            <w:noWrap/>
            <w:vAlign w:val="center"/>
          </w:tcPr>
          <w:p w14:paraId="1E0FC073">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0F115618">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vAlign w:val="center"/>
          </w:tcPr>
          <w:p w14:paraId="4071BEC9">
            <w:pPr>
              <w:spacing w:line="240" w:lineRule="exact"/>
              <w:jc w:val="center"/>
              <w:rPr>
                <w:rFonts w:ascii="Times New Roman" w:hAnsi="Times New Roman" w:eastAsia="宋体" w:cs="Times New Roman"/>
                <w:color w:val="auto"/>
                <w:kern w:val="0"/>
              </w:rPr>
            </w:pPr>
          </w:p>
        </w:tc>
        <w:tc>
          <w:tcPr>
            <w:tcW w:w="474" w:type="pct"/>
            <w:vMerge w:val="continue"/>
            <w:vAlign w:val="center"/>
          </w:tcPr>
          <w:p w14:paraId="758FFB12">
            <w:pPr>
              <w:spacing w:line="240" w:lineRule="exact"/>
              <w:jc w:val="center"/>
              <w:rPr>
                <w:rFonts w:ascii="Times New Roman" w:hAnsi="Times New Roman" w:eastAsia="宋体" w:cs="Times New Roman"/>
                <w:color w:val="auto"/>
                <w:kern w:val="0"/>
              </w:rPr>
            </w:pPr>
          </w:p>
        </w:tc>
        <w:tc>
          <w:tcPr>
            <w:tcW w:w="457" w:type="pct"/>
            <w:vMerge w:val="continue"/>
            <w:vAlign w:val="center"/>
          </w:tcPr>
          <w:p w14:paraId="1AD550E9">
            <w:pPr>
              <w:spacing w:line="240" w:lineRule="exact"/>
              <w:jc w:val="center"/>
              <w:rPr>
                <w:rFonts w:ascii="Times New Roman" w:hAnsi="Times New Roman" w:eastAsia="宋体" w:cs="Times New Roman"/>
                <w:color w:val="auto"/>
                <w:kern w:val="0"/>
              </w:rPr>
            </w:pPr>
          </w:p>
        </w:tc>
        <w:tc>
          <w:tcPr>
            <w:tcW w:w="799" w:type="pct"/>
            <w:vMerge w:val="continue"/>
            <w:vAlign w:val="center"/>
          </w:tcPr>
          <w:p w14:paraId="4FCEFD3E">
            <w:pPr>
              <w:spacing w:line="240" w:lineRule="exact"/>
              <w:jc w:val="center"/>
              <w:rPr>
                <w:rFonts w:ascii="Times New Roman" w:hAnsi="Times New Roman" w:eastAsia="宋体" w:cs="Times New Roman"/>
                <w:color w:val="auto"/>
                <w:kern w:val="0"/>
              </w:rPr>
            </w:pPr>
          </w:p>
        </w:tc>
        <w:tc>
          <w:tcPr>
            <w:tcW w:w="499" w:type="pct"/>
            <w:noWrap/>
            <w:vAlign w:val="center"/>
          </w:tcPr>
          <w:p w14:paraId="1608E6E2">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2026.4.24</w:t>
            </w:r>
          </w:p>
        </w:tc>
        <w:tc>
          <w:tcPr>
            <w:tcW w:w="299" w:type="pct"/>
            <w:vAlign w:val="center"/>
          </w:tcPr>
          <w:p w14:paraId="091344E6">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昼间</w:t>
            </w:r>
          </w:p>
        </w:tc>
        <w:tc>
          <w:tcPr>
            <w:tcW w:w="499" w:type="pct"/>
            <w:vAlign w:val="center"/>
          </w:tcPr>
          <w:p w14:paraId="13FDCFB0">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52</w:t>
            </w:r>
          </w:p>
        </w:tc>
        <w:tc>
          <w:tcPr>
            <w:tcW w:w="335" w:type="pct"/>
            <w:noWrap/>
            <w:vAlign w:val="center"/>
          </w:tcPr>
          <w:p w14:paraId="1EECD53A">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53</w:t>
            </w:r>
          </w:p>
        </w:tc>
        <w:tc>
          <w:tcPr>
            <w:tcW w:w="335" w:type="pct"/>
            <w:noWrap/>
            <w:vAlign w:val="center"/>
          </w:tcPr>
          <w:p w14:paraId="16919597">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42</w:t>
            </w:r>
          </w:p>
        </w:tc>
        <w:tc>
          <w:tcPr>
            <w:tcW w:w="335" w:type="pct"/>
            <w:noWrap/>
            <w:vAlign w:val="center"/>
          </w:tcPr>
          <w:p w14:paraId="69B8E141">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169</w:t>
            </w:r>
          </w:p>
        </w:tc>
        <w:tc>
          <w:tcPr>
            <w:tcW w:w="342" w:type="pct"/>
            <w:vMerge w:val="continue"/>
            <w:noWrap/>
            <w:vAlign w:val="center"/>
          </w:tcPr>
          <w:p w14:paraId="2F09DAA1">
            <w:pPr>
              <w:spacing w:line="240" w:lineRule="exact"/>
              <w:jc w:val="center"/>
              <w:rPr>
                <w:rFonts w:ascii="Times New Roman" w:hAnsi="Times New Roman" w:eastAsia="宋体" w:cs="Times New Roman"/>
                <w:color w:val="auto"/>
                <w:kern w:val="0"/>
              </w:rPr>
            </w:pPr>
          </w:p>
        </w:tc>
        <w:tc>
          <w:tcPr>
            <w:tcW w:w="371" w:type="pct"/>
            <w:noWrap/>
            <w:vAlign w:val="center"/>
          </w:tcPr>
          <w:p w14:paraId="196FB022">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0C780262">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vAlign w:val="center"/>
          </w:tcPr>
          <w:p w14:paraId="54C707A5">
            <w:pPr>
              <w:spacing w:line="240" w:lineRule="exact"/>
              <w:jc w:val="center"/>
              <w:rPr>
                <w:rFonts w:ascii="Times New Roman" w:hAnsi="Times New Roman" w:eastAsia="宋体" w:cs="Times New Roman"/>
                <w:color w:val="auto"/>
                <w:kern w:val="0"/>
              </w:rPr>
            </w:pPr>
          </w:p>
        </w:tc>
        <w:tc>
          <w:tcPr>
            <w:tcW w:w="474" w:type="pct"/>
            <w:vMerge w:val="continue"/>
            <w:vAlign w:val="center"/>
          </w:tcPr>
          <w:p w14:paraId="5B0C792F">
            <w:pPr>
              <w:spacing w:line="240" w:lineRule="exact"/>
              <w:jc w:val="center"/>
              <w:rPr>
                <w:rFonts w:ascii="Times New Roman" w:hAnsi="Times New Roman" w:eastAsia="宋体" w:cs="Times New Roman"/>
                <w:color w:val="auto"/>
                <w:kern w:val="0"/>
              </w:rPr>
            </w:pPr>
          </w:p>
        </w:tc>
        <w:tc>
          <w:tcPr>
            <w:tcW w:w="457" w:type="pct"/>
            <w:vMerge w:val="continue"/>
            <w:vAlign w:val="center"/>
          </w:tcPr>
          <w:p w14:paraId="4A622819">
            <w:pPr>
              <w:spacing w:line="240" w:lineRule="exact"/>
              <w:jc w:val="center"/>
              <w:rPr>
                <w:rFonts w:ascii="Times New Roman" w:hAnsi="Times New Roman" w:eastAsia="宋体" w:cs="Times New Roman"/>
                <w:color w:val="auto"/>
                <w:kern w:val="0"/>
              </w:rPr>
            </w:pPr>
          </w:p>
        </w:tc>
        <w:tc>
          <w:tcPr>
            <w:tcW w:w="799" w:type="pct"/>
            <w:vMerge w:val="continue"/>
            <w:vAlign w:val="center"/>
          </w:tcPr>
          <w:p w14:paraId="610423F7">
            <w:pPr>
              <w:spacing w:line="240" w:lineRule="exact"/>
              <w:jc w:val="center"/>
              <w:rPr>
                <w:rFonts w:ascii="Times New Roman" w:hAnsi="Times New Roman" w:eastAsia="宋体" w:cs="Times New Roman"/>
                <w:color w:val="auto"/>
                <w:kern w:val="0"/>
              </w:rPr>
            </w:pPr>
          </w:p>
        </w:tc>
        <w:tc>
          <w:tcPr>
            <w:tcW w:w="499" w:type="pct"/>
            <w:noWrap/>
            <w:vAlign w:val="center"/>
          </w:tcPr>
          <w:p w14:paraId="02D316B7">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2026.4.25</w:t>
            </w:r>
          </w:p>
        </w:tc>
        <w:tc>
          <w:tcPr>
            <w:tcW w:w="299" w:type="pct"/>
            <w:vAlign w:val="center"/>
          </w:tcPr>
          <w:p w14:paraId="64215762">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夜间</w:t>
            </w:r>
          </w:p>
        </w:tc>
        <w:tc>
          <w:tcPr>
            <w:tcW w:w="499" w:type="pct"/>
            <w:vAlign w:val="center"/>
          </w:tcPr>
          <w:p w14:paraId="3A4E4F9C">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46</w:t>
            </w:r>
          </w:p>
        </w:tc>
        <w:tc>
          <w:tcPr>
            <w:tcW w:w="335" w:type="pct"/>
            <w:noWrap/>
            <w:vAlign w:val="center"/>
          </w:tcPr>
          <w:p w14:paraId="69C51B88">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30</w:t>
            </w:r>
          </w:p>
        </w:tc>
        <w:tc>
          <w:tcPr>
            <w:tcW w:w="335" w:type="pct"/>
            <w:noWrap/>
            <w:vAlign w:val="center"/>
          </w:tcPr>
          <w:p w14:paraId="35313726">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21</w:t>
            </w:r>
          </w:p>
        </w:tc>
        <w:tc>
          <w:tcPr>
            <w:tcW w:w="335" w:type="pct"/>
            <w:noWrap/>
            <w:vAlign w:val="center"/>
          </w:tcPr>
          <w:p w14:paraId="0DC1904C">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51</w:t>
            </w:r>
          </w:p>
        </w:tc>
        <w:tc>
          <w:tcPr>
            <w:tcW w:w="342" w:type="pct"/>
            <w:vMerge w:val="continue"/>
            <w:noWrap/>
            <w:vAlign w:val="center"/>
          </w:tcPr>
          <w:p w14:paraId="404C07DA">
            <w:pPr>
              <w:spacing w:line="240" w:lineRule="exact"/>
              <w:jc w:val="center"/>
              <w:rPr>
                <w:rFonts w:ascii="Times New Roman" w:hAnsi="Times New Roman" w:eastAsia="宋体" w:cs="Times New Roman"/>
                <w:color w:val="auto"/>
                <w:kern w:val="0"/>
              </w:rPr>
            </w:pPr>
          </w:p>
        </w:tc>
        <w:tc>
          <w:tcPr>
            <w:tcW w:w="371" w:type="pct"/>
            <w:noWrap/>
            <w:vAlign w:val="center"/>
          </w:tcPr>
          <w:p w14:paraId="1B434D12">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1135840B">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noWrap/>
            <w:vAlign w:val="center"/>
          </w:tcPr>
          <w:p w14:paraId="5897E26D">
            <w:pPr>
              <w:spacing w:line="240" w:lineRule="exact"/>
              <w:jc w:val="center"/>
              <w:rPr>
                <w:rFonts w:ascii="Times New Roman" w:hAnsi="Times New Roman" w:eastAsia="宋体" w:cs="Times New Roman"/>
                <w:color w:val="auto"/>
                <w:kern w:val="0"/>
              </w:rPr>
            </w:pPr>
          </w:p>
        </w:tc>
        <w:tc>
          <w:tcPr>
            <w:tcW w:w="474" w:type="pct"/>
            <w:vMerge w:val="continue"/>
            <w:noWrap/>
            <w:vAlign w:val="center"/>
          </w:tcPr>
          <w:p w14:paraId="65629257">
            <w:pPr>
              <w:spacing w:line="240" w:lineRule="exact"/>
              <w:jc w:val="center"/>
              <w:rPr>
                <w:rFonts w:ascii="Times New Roman" w:hAnsi="Times New Roman" w:cs="Times New Roman" w:eastAsiaTheme="minorEastAsia"/>
                <w:color w:val="auto"/>
              </w:rPr>
            </w:pPr>
          </w:p>
        </w:tc>
        <w:tc>
          <w:tcPr>
            <w:tcW w:w="457" w:type="pct"/>
            <w:vMerge w:val="continue"/>
            <w:vAlign w:val="center"/>
          </w:tcPr>
          <w:p w14:paraId="4CACF6A5">
            <w:pPr>
              <w:spacing w:line="240" w:lineRule="exact"/>
              <w:jc w:val="center"/>
              <w:rPr>
                <w:rFonts w:ascii="Times New Roman" w:hAnsi="Times New Roman" w:eastAsia="宋体" w:cs="Times New Roman"/>
                <w:color w:val="auto"/>
                <w:kern w:val="0"/>
              </w:rPr>
            </w:pPr>
          </w:p>
        </w:tc>
        <w:tc>
          <w:tcPr>
            <w:tcW w:w="799" w:type="pct"/>
            <w:vMerge w:val="restart"/>
            <w:vAlign w:val="center"/>
          </w:tcPr>
          <w:p w14:paraId="7AE6EF10">
            <w:pPr>
              <w:spacing w:line="240" w:lineRule="exact"/>
              <w:jc w:val="center"/>
              <w:rPr>
                <w:rFonts w:ascii="Times New Roman" w:hAnsi="Times New Roman" w:eastAsia="宋体" w:cs="Times New Roman"/>
                <w:color w:val="auto"/>
                <w:kern w:val="0"/>
              </w:rPr>
            </w:pPr>
            <w:r>
              <w:rPr>
                <w:rFonts w:ascii="Times New Roman" w:hAnsi="Times New Roman" w:eastAsia="宋体" w:cs="Times New Roman"/>
                <w:color w:val="auto"/>
              </w:rPr>
              <w:t>临现有</w:t>
            </w:r>
            <w:r>
              <w:rPr>
                <w:rFonts w:hint="eastAsia" w:ascii="Times New Roman" w:hAnsi="Times New Roman" w:eastAsia="宋体" w:cs="Times New Roman"/>
                <w:color w:val="auto"/>
              </w:rPr>
              <w:t>G219</w:t>
            </w:r>
            <w:r>
              <w:rPr>
                <w:rFonts w:ascii="Times New Roman" w:hAnsi="Times New Roman" w:eastAsia="宋体" w:cs="Times New Roman"/>
                <w:color w:val="auto"/>
              </w:rPr>
              <w:t>第一排</w:t>
            </w:r>
            <w:r>
              <w:rPr>
                <w:rFonts w:hint="eastAsia" w:ascii="Times New Roman" w:hAnsi="Times New Roman" w:eastAsia="宋体" w:cs="Times New Roman"/>
                <w:color w:val="auto"/>
              </w:rPr>
              <w:t>教学楼4</w:t>
            </w:r>
            <w:r>
              <w:rPr>
                <w:rFonts w:ascii="Times New Roman" w:hAnsi="Times New Roman" w:eastAsia="宋体" w:cs="Times New Roman"/>
                <w:color w:val="auto"/>
              </w:rPr>
              <w:t>层</w:t>
            </w:r>
          </w:p>
        </w:tc>
        <w:tc>
          <w:tcPr>
            <w:tcW w:w="499" w:type="pct"/>
            <w:noWrap/>
            <w:vAlign w:val="center"/>
          </w:tcPr>
          <w:p w14:paraId="5FB88D61">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2026.4.23</w:t>
            </w:r>
          </w:p>
        </w:tc>
        <w:tc>
          <w:tcPr>
            <w:tcW w:w="299" w:type="pct"/>
            <w:vAlign w:val="center"/>
          </w:tcPr>
          <w:p w14:paraId="1DCD9DF1">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昼间</w:t>
            </w:r>
          </w:p>
        </w:tc>
        <w:tc>
          <w:tcPr>
            <w:tcW w:w="499" w:type="pct"/>
            <w:vAlign w:val="center"/>
          </w:tcPr>
          <w:p w14:paraId="4DDD9626">
            <w:pPr>
              <w:tabs>
                <w:tab w:val="left" w:pos="4326"/>
              </w:tabs>
              <w:adjustRightInd w:val="0"/>
              <w:snapToGrid w:val="0"/>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54</w:t>
            </w:r>
          </w:p>
        </w:tc>
        <w:tc>
          <w:tcPr>
            <w:tcW w:w="335" w:type="pct"/>
            <w:noWrap/>
            <w:vAlign w:val="center"/>
          </w:tcPr>
          <w:p w14:paraId="6625043D">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51</w:t>
            </w:r>
          </w:p>
        </w:tc>
        <w:tc>
          <w:tcPr>
            <w:tcW w:w="335" w:type="pct"/>
            <w:noWrap/>
            <w:vAlign w:val="center"/>
          </w:tcPr>
          <w:p w14:paraId="0B68E439">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36</w:t>
            </w:r>
          </w:p>
        </w:tc>
        <w:tc>
          <w:tcPr>
            <w:tcW w:w="335" w:type="pct"/>
            <w:noWrap/>
            <w:vAlign w:val="center"/>
          </w:tcPr>
          <w:p w14:paraId="47A7934C">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114</w:t>
            </w:r>
          </w:p>
        </w:tc>
        <w:tc>
          <w:tcPr>
            <w:tcW w:w="342" w:type="pct"/>
            <w:vMerge w:val="continue"/>
            <w:noWrap/>
            <w:vAlign w:val="center"/>
          </w:tcPr>
          <w:p w14:paraId="11782C03">
            <w:pPr>
              <w:spacing w:line="240" w:lineRule="exact"/>
              <w:jc w:val="center"/>
              <w:rPr>
                <w:rFonts w:ascii="Times New Roman" w:hAnsi="Times New Roman" w:eastAsia="宋体" w:cs="Times New Roman"/>
                <w:color w:val="auto"/>
                <w:kern w:val="0"/>
              </w:rPr>
            </w:pPr>
          </w:p>
        </w:tc>
        <w:tc>
          <w:tcPr>
            <w:tcW w:w="371" w:type="pct"/>
            <w:noWrap/>
            <w:vAlign w:val="center"/>
          </w:tcPr>
          <w:p w14:paraId="5BD27019">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006B8C81">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vAlign w:val="center"/>
          </w:tcPr>
          <w:p w14:paraId="086EE05B">
            <w:pPr>
              <w:spacing w:line="240" w:lineRule="exact"/>
              <w:jc w:val="center"/>
              <w:rPr>
                <w:rFonts w:ascii="Times New Roman" w:hAnsi="Times New Roman" w:eastAsia="宋体" w:cs="Times New Roman"/>
                <w:color w:val="auto"/>
                <w:kern w:val="0"/>
              </w:rPr>
            </w:pPr>
          </w:p>
        </w:tc>
        <w:tc>
          <w:tcPr>
            <w:tcW w:w="474" w:type="pct"/>
            <w:vMerge w:val="continue"/>
            <w:vAlign w:val="center"/>
          </w:tcPr>
          <w:p w14:paraId="6000F24A">
            <w:pPr>
              <w:spacing w:line="240" w:lineRule="exact"/>
              <w:jc w:val="center"/>
              <w:rPr>
                <w:rFonts w:ascii="Times New Roman" w:hAnsi="Times New Roman" w:eastAsia="宋体" w:cs="Times New Roman"/>
                <w:color w:val="auto"/>
                <w:kern w:val="0"/>
              </w:rPr>
            </w:pPr>
          </w:p>
        </w:tc>
        <w:tc>
          <w:tcPr>
            <w:tcW w:w="457" w:type="pct"/>
            <w:vMerge w:val="continue"/>
            <w:vAlign w:val="center"/>
          </w:tcPr>
          <w:p w14:paraId="09A6BF4A">
            <w:pPr>
              <w:spacing w:line="240" w:lineRule="exact"/>
              <w:jc w:val="center"/>
              <w:rPr>
                <w:rFonts w:ascii="Times New Roman" w:hAnsi="Times New Roman" w:eastAsia="宋体" w:cs="Times New Roman"/>
                <w:color w:val="auto"/>
                <w:kern w:val="0"/>
              </w:rPr>
            </w:pPr>
          </w:p>
        </w:tc>
        <w:tc>
          <w:tcPr>
            <w:tcW w:w="799" w:type="pct"/>
            <w:vMerge w:val="continue"/>
            <w:vAlign w:val="center"/>
          </w:tcPr>
          <w:p w14:paraId="145D273B">
            <w:pPr>
              <w:spacing w:line="240" w:lineRule="exact"/>
              <w:jc w:val="center"/>
              <w:rPr>
                <w:rFonts w:ascii="Times New Roman" w:hAnsi="Times New Roman" w:eastAsia="宋体" w:cs="Times New Roman"/>
                <w:color w:val="auto"/>
                <w:kern w:val="0"/>
              </w:rPr>
            </w:pPr>
          </w:p>
        </w:tc>
        <w:tc>
          <w:tcPr>
            <w:tcW w:w="499" w:type="pct"/>
            <w:noWrap/>
            <w:vAlign w:val="center"/>
          </w:tcPr>
          <w:p w14:paraId="4164ED88">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2026.4.24</w:t>
            </w:r>
          </w:p>
        </w:tc>
        <w:tc>
          <w:tcPr>
            <w:tcW w:w="299" w:type="pct"/>
            <w:vAlign w:val="center"/>
          </w:tcPr>
          <w:p w14:paraId="0AF505D4">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夜间</w:t>
            </w:r>
          </w:p>
        </w:tc>
        <w:tc>
          <w:tcPr>
            <w:tcW w:w="499" w:type="pct"/>
            <w:vAlign w:val="center"/>
          </w:tcPr>
          <w:p w14:paraId="2B2F64EB">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45</w:t>
            </w:r>
          </w:p>
        </w:tc>
        <w:tc>
          <w:tcPr>
            <w:tcW w:w="335" w:type="pct"/>
            <w:noWrap/>
            <w:vAlign w:val="center"/>
          </w:tcPr>
          <w:p w14:paraId="595CEF1C">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30</w:t>
            </w:r>
          </w:p>
        </w:tc>
        <w:tc>
          <w:tcPr>
            <w:tcW w:w="335" w:type="pct"/>
            <w:noWrap/>
            <w:vAlign w:val="center"/>
          </w:tcPr>
          <w:p w14:paraId="0D2AECF8">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15</w:t>
            </w:r>
          </w:p>
        </w:tc>
        <w:tc>
          <w:tcPr>
            <w:tcW w:w="335" w:type="pct"/>
            <w:noWrap/>
            <w:vAlign w:val="center"/>
          </w:tcPr>
          <w:p w14:paraId="6DAA44A5">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54</w:t>
            </w:r>
          </w:p>
        </w:tc>
        <w:tc>
          <w:tcPr>
            <w:tcW w:w="342" w:type="pct"/>
            <w:vMerge w:val="continue"/>
            <w:noWrap/>
            <w:vAlign w:val="center"/>
          </w:tcPr>
          <w:p w14:paraId="0E2C8CA5">
            <w:pPr>
              <w:spacing w:line="240" w:lineRule="exact"/>
              <w:jc w:val="center"/>
              <w:rPr>
                <w:rFonts w:ascii="Times New Roman" w:hAnsi="Times New Roman" w:eastAsia="宋体" w:cs="Times New Roman"/>
                <w:color w:val="auto"/>
                <w:kern w:val="0"/>
              </w:rPr>
            </w:pPr>
          </w:p>
        </w:tc>
        <w:tc>
          <w:tcPr>
            <w:tcW w:w="371" w:type="pct"/>
            <w:noWrap/>
            <w:vAlign w:val="center"/>
          </w:tcPr>
          <w:p w14:paraId="289B8CCF">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4050C821">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vAlign w:val="center"/>
          </w:tcPr>
          <w:p w14:paraId="7DC6A6AA">
            <w:pPr>
              <w:spacing w:line="240" w:lineRule="exact"/>
              <w:jc w:val="center"/>
              <w:rPr>
                <w:rFonts w:ascii="Times New Roman" w:hAnsi="Times New Roman" w:eastAsia="宋体" w:cs="Times New Roman"/>
                <w:color w:val="auto"/>
                <w:kern w:val="0"/>
              </w:rPr>
            </w:pPr>
          </w:p>
        </w:tc>
        <w:tc>
          <w:tcPr>
            <w:tcW w:w="474" w:type="pct"/>
            <w:vMerge w:val="continue"/>
            <w:vAlign w:val="center"/>
          </w:tcPr>
          <w:p w14:paraId="21D4C86C">
            <w:pPr>
              <w:spacing w:line="240" w:lineRule="exact"/>
              <w:jc w:val="center"/>
              <w:rPr>
                <w:rFonts w:ascii="Times New Roman" w:hAnsi="Times New Roman" w:eastAsia="宋体" w:cs="Times New Roman"/>
                <w:color w:val="auto"/>
                <w:kern w:val="0"/>
              </w:rPr>
            </w:pPr>
          </w:p>
        </w:tc>
        <w:tc>
          <w:tcPr>
            <w:tcW w:w="457" w:type="pct"/>
            <w:vMerge w:val="continue"/>
            <w:vAlign w:val="center"/>
          </w:tcPr>
          <w:p w14:paraId="5201FDFF">
            <w:pPr>
              <w:spacing w:line="240" w:lineRule="exact"/>
              <w:jc w:val="center"/>
              <w:rPr>
                <w:rFonts w:ascii="Times New Roman" w:hAnsi="Times New Roman" w:eastAsia="宋体" w:cs="Times New Roman"/>
                <w:color w:val="auto"/>
                <w:kern w:val="0"/>
              </w:rPr>
            </w:pPr>
          </w:p>
        </w:tc>
        <w:tc>
          <w:tcPr>
            <w:tcW w:w="799" w:type="pct"/>
            <w:vMerge w:val="continue"/>
            <w:vAlign w:val="center"/>
          </w:tcPr>
          <w:p w14:paraId="319270C6">
            <w:pPr>
              <w:spacing w:line="240" w:lineRule="exact"/>
              <w:jc w:val="center"/>
              <w:rPr>
                <w:rFonts w:ascii="Times New Roman" w:hAnsi="Times New Roman" w:eastAsia="宋体" w:cs="Times New Roman"/>
                <w:color w:val="auto"/>
                <w:kern w:val="0"/>
              </w:rPr>
            </w:pPr>
          </w:p>
        </w:tc>
        <w:tc>
          <w:tcPr>
            <w:tcW w:w="499" w:type="pct"/>
            <w:noWrap/>
            <w:vAlign w:val="center"/>
          </w:tcPr>
          <w:p w14:paraId="49C8CFC9">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2026.4.24</w:t>
            </w:r>
          </w:p>
        </w:tc>
        <w:tc>
          <w:tcPr>
            <w:tcW w:w="299" w:type="pct"/>
            <w:vAlign w:val="center"/>
          </w:tcPr>
          <w:p w14:paraId="0BBA9C83">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昼间</w:t>
            </w:r>
          </w:p>
        </w:tc>
        <w:tc>
          <w:tcPr>
            <w:tcW w:w="499" w:type="pct"/>
            <w:vAlign w:val="center"/>
          </w:tcPr>
          <w:p w14:paraId="26EFF31A">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55</w:t>
            </w:r>
          </w:p>
        </w:tc>
        <w:tc>
          <w:tcPr>
            <w:tcW w:w="335" w:type="pct"/>
            <w:noWrap/>
            <w:vAlign w:val="center"/>
          </w:tcPr>
          <w:p w14:paraId="79719B26">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53</w:t>
            </w:r>
          </w:p>
        </w:tc>
        <w:tc>
          <w:tcPr>
            <w:tcW w:w="335" w:type="pct"/>
            <w:noWrap/>
            <w:vAlign w:val="center"/>
          </w:tcPr>
          <w:p w14:paraId="4B958494">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42</w:t>
            </w:r>
          </w:p>
        </w:tc>
        <w:tc>
          <w:tcPr>
            <w:tcW w:w="335" w:type="pct"/>
            <w:noWrap/>
            <w:vAlign w:val="center"/>
          </w:tcPr>
          <w:p w14:paraId="73602BAD">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169</w:t>
            </w:r>
          </w:p>
        </w:tc>
        <w:tc>
          <w:tcPr>
            <w:tcW w:w="342" w:type="pct"/>
            <w:vMerge w:val="continue"/>
            <w:noWrap/>
            <w:vAlign w:val="center"/>
          </w:tcPr>
          <w:p w14:paraId="01B10BC0">
            <w:pPr>
              <w:spacing w:line="240" w:lineRule="exact"/>
              <w:jc w:val="center"/>
              <w:rPr>
                <w:rFonts w:ascii="Times New Roman" w:hAnsi="Times New Roman" w:eastAsia="宋体" w:cs="Times New Roman"/>
                <w:color w:val="auto"/>
                <w:kern w:val="0"/>
              </w:rPr>
            </w:pPr>
          </w:p>
        </w:tc>
        <w:tc>
          <w:tcPr>
            <w:tcW w:w="371" w:type="pct"/>
            <w:noWrap/>
            <w:vAlign w:val="center"/>
          </w:tcPr>
          <w:p w14:paraId="33892981">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6E5C4FD3">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vAlign w:val="center"/>
          </w:tcPr>
          <w:p w14:paraId="588C97CF">
            <w:pPr>
              <w:spacing w:line="240" w:lineRule="exact"/>
              <w:jc w:val="center"/>
              <w:rPr>
                <w:rFonts w:ascii="Times New Roman" w:hAnsi="Times New Roman" w:eastAsia="宋体" w:cs="Times New Roman"/>
                <w:color w:val="auto"/>
                <w:kern w:val="0"/>
              </w:rPr>
            </w:pPr>
          </w:p>
        </w:tc>
        <w:tc>
          <w:tcPr>
            <w:tcW w:w="474" w:type="pct"/>
            <w:vMerge w:val="continue"/>
            <w:vAlign w:val="center"/>
          </w:tcPr>
          <w:p w14:paraId="47B81E07">
            <w:pPr>
              <w:spacing w:line="240" w:lineRule="exact"/>
              <w:jc w:val="center"/>
              <w:rPr>
                <w:rFonts w:ascii="Times New Roman" w:hAnsi="Times New Roman" w:eastAsia="宋体" w:cs="Times New Roman"/>
                <w:color w:val="auto"/>
                <w:kern w:val="0"/>
              </w:rPr>
            </w:pPr>
          </w:p>
        </w:tc>
        <w:tc>
          <w:tcPr>
            <w:tcW w:w="457" w:type="pct"/>
            <w:vMerge w:val="continue"/>
            <w:vAlign w:val="center"/>
          </w:tcPr>
          <w:p w14:paraId="7DE092F8">
            <w:pPr>
              <w:spacing w:line="240" w:lineRule="exact"/>
              <w:jc w:val="center"/>
              <w:rPr>
                <w:rFonts w:ascii="Times New Roman" w:hAnsi="Times New Roman" w:eastAsia="宋体" w:cs="Times New Roman"/>
                <w:color w:val="auto"/>
                <w:kern w:val="0"/>
              </w:rPr>
            </w:pPr>
          </w:p>
        </w:tc>
        <w:tc>
          <w:tcPr>
            <w:tcW w:w="799" w:type="pct"/>
            <w:vMerge w:val="continue"/>
            <w:vAlign w:val="center"/>
          </w:tcPr>
          <w:p w14:paraId="7E02564C">
            <w:pPr>
              <w:spacing w:line="240" w:lineRule="exact"/>
              <w:jc w:val="center"/>
              <w:rPr>
                <w:rFonts w:ascii="Times New Roman" w:hAnsi="Times New Roman" w:eastAsia="宋体" w:cs="Times New Roman"/>
                <w:color w:val="auto"/>
                <w:kern w:val="0"/>
              </w:rPr>
            </w:pPr>
          </w:p>
        </w:tc>
        <w:tc>
          <w:tcPr>
            <w:tcW w:w="499" w:type="pct"/>
            <w:noWrap/>
            <w:vAlign w:val="center"/>
          </w:tcPr>
          <w:p w14:paraId="2B9211EF">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2026.4.25</w:t>
            </w:r>
          </w:p>
        </w:tc>
        <w:tc>
          <w:tcPr>
            <w:tcW w:w="299" w:type="pct"/>
            <w:vAlign w:val="center"/>
          </w:tcPr>
          <w:p w14:paraId="44FCC595">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夜间</w:t>
            </w:r>
          </w:p>
        </w:tc>
        <w:tc>
          <w:tcPr>
            <w:tcW w:w="499" w:type="pct"/>
            <w:vAlign w:val="center"/>
          </w:tcPr>
          <w:p w14:paraId="74873451">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48</w:t>
            </w:r>
          </w:p>
        </w:tc>
        <w:tc>
          <w:tcPr>
            <w:tcW w:w="335" w:type="pct"/>
            <w:noWrap/>
            <w:vAlign w:val="center"/>
          </w:tcPr>
          <w:p w14:paraId="2B3639CC">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30</w:t>
            </w:r>
          </w:p>
        </w:tc>
        <w:tc>
          <w:tcPr>
            <w:tcW w:w="335" w:type="pct"/>
            <w:noWrap/>
            <w:vAlign w:val="center"/>
          </w:tcPr>
          <w:p w14:paraId="46F48E9C">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21</w:t>
            </w:r>
          </w:p>
        </w:tc>
        <w:tc>
          <w:tcPr>
            <w:tcW w:w="335" w:type="pct"/>
            <w:noWrap/>
            <w:vAlign w:val="center"/>
          </w:tcPr>
          <w:p w14:paraId="42A8E0F5">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51</w:t>
            </w:r>
          </w:p>
        </w:tc>
        <w:tc>
          <w:tcPr>
            <w:tcW w:w="342" w:type="pct"/>
            <w:vMerge w:val="continue"/>
            <w:noWrap/>
            <w:vAlign w:val="center"/>
          </w:tcPr>
          <w:p w14:paraId="1F47180A">
            <w:pPr>
              <w:spacing w:line="240" w:lineRule="exact"/>
              <w:jc w:val="center"/>
              <w:rPr>
                <w:rFonts w:ascii="Times New Roman" w:hAnsi="Times New Roman" w:eastAsia="宋体" w:cs="Times New Roman"/>
                <w:color w:val="auto"/>
                <w:kern w:val="0"/>
              </w:rPr>
            </w:pPr>
          </w:p>
        </w:tc>
        <w:tc>
          <w:tcPr>
            <w:tcW w:w="371" w:type="pct"/>
            <w:noWrap/>
            <w:vAlign w:val="center"/>
          </w:tcPr>
          <w:p w14:paraId="008CB081">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54A251F4">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restart"/>
            <w:noWrap/>
            <w:vAlign w:val="center"/>
          </w:tcPr>
          <w:p w14:paraId="7196CA02">
            <w:pPr>
              <w:spacing w:line="240" w:lineRule="exact"/>
              <w:jc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14</w:t>
            </w:r>
          </w:p>
        </w:tc>
        <w:tc>
          <w:tcPr>
            <w:tcW w:w="474" w:type="pct"/>
            <w:vMerge w:val="restart"/>
            <w:noWrap/>
            <w:vAlign w:val="center"/>
          </w:tcPr>
          <w:p w14:paraId="7EEE26BD">
            <w:pPr>
              <w:spacing w:line="240" w:lineRule="exact"/>
              <w:jc w:val="center"/>
              <w:rPr>
                <w:rFonts w:ascii="Times New Roman" w:hAnsi="Times New Roman" w:eastAsia="宋体" w:cs="Times New Roman"/>
                <w:color w:val="auto"/>
                <w:kern w:val="0"/>
              </w:rPr>
            </w:pPr>
            <w:r>
              <w:rPr>
                <w:rFonts w:hint="eastAsia" w:ascii="Times New Roman" w:cs="Times New Roman" w:hAnsiTheme="minorEastAsia" w:eastAsiaTheme="minorEastAsia"/>
                <w:color w:val="auto"/>
              </w:rPr>
              <w:t>提木村</w:t>
            </w:r>
          </w:p>
        </w:tc>
        <w:tc>
          <w:tcPr>
            <w:tcW w:w="457" w:type="pct"/>
            <w:vMerge w:val="restart"/>
            <w:vAlign w:val="center"/>
          </w:tcPr>
          <w:p w14:paraId="681EB729">
            <w:pPr>
              <w:spacing w:line="240" w:lineRule="exact"/>
              <w:jc w:val="center"/>
              <w:rPr>
                <w:rFonts w:ascii="Times New Roman" w:hAnsi="Times New Roman" w:eastAsia="宋体" w:cs="Times New Roman"/>
                <w:color w:val="auto"/>
                <w:kern w:val="0"/>
              </w:rPr>
            </w:pPr>
            <w:r>
              <w:rPr>
                <w:rFonts w:ascii="Times New Roman" w:hAnsi="Times New Roman" w:eastAsia="宋体" w:cs="Times New Roman"/>
                <w:color w:val="auto"/>
                <w:kern w:val="0"/>
              </w:rPr>
              <w:t>环境噪声</w:t>
            </w:r>
          </w:p>
        </w:tc>
        <w:tc>
          <w:tcPr>
            <w:tcW w:w="799" w:type="pct"/>
            <w:vMerge w:val="restart"/>
            <w:vAlign w:val="center"/>
          </w:tcPr>
          <w:p w14:paraId="37FC7263">
            <w:pPr>
              <w:spacing w:line="240" w:lineRule="exact"/>
              <w:jc w:val="center"/>
              <w:rPr>
                <w:rFonts w:ascii="Times New Roman" w:hAnsi="Times New Roman" w:eastAsia="宋体" w:cs="Times New Roman"/>
                <w:color w:val="auto"/>
                <w:kern w:val="0"/>
              </w:rPr>
            </w:pPr>
            <w:r>
              <w:rPr>
                <w:rFonts w:ascii="Times New Roman" w:hAnsi="Times New Roman" w:eastAsia="宋体" w:cs="Times New Roman"/>
                <w:color w:val="auto"/>
              </w:rPr>
              <w:t>临现有</w:t>
            </w:r>
            <w:r>
              <w:rPr>
                <w:rFonts w:hint="eastAsia" w:ascii="Times New Roman" w:hAnsi="Times New Roman" w:eastAsia="宋体" w:cs="Times New Roman"/>
                <w:color w:val="auto"/>
              </w:rPr>
              <w:t>G219</w:t>
            </w:r>
            <w:r>
              <w:rPr>
                <w:rFonts w:ascii="Times New Roman" w:hAnsi="Times New Roman" w:eastAsia="宋体" w:cs="Times New Roman"/>
                <w:color w:val="auto"/>
              </w:rPr>
              <w:t>第一排房</w:t>
            </w:r>
            <w:r>
              <w:rPr>
                <w:rFonts w:hint="eastAsia" w:ascii="Times New Roman" w:hAnsi="Times New Roman" w:eastAsia="宋体" w:cs="Times New Roman"/>
                <w:color w:val="auto"/>
              </w:rPr>
              <w:t>1</w:t>
            </w:r>
            <w:r>
              <w:rPr>
                <w:rFonts w:ascii="Times New Roman" w:hAnsi="Times New Roman" w:eastAsia="宋体" w:cs="Times New Roman"/>
                <w:color w:val="auto"/>
              </w:rPr>
              <w:t>层</w:t>
            </w:r>
          </w:p>
        </w:tc>
        <w:tc>
          <w:tcPr>
            <w:tcW w:w="499" w:type="pct"/>
            <w:noWrap/>
            <w:vAlign w:val="center"/>
          </w:tcPr>
          <w:p w14:paraId="0A8A1331">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2026.4.27</w:t>
            </w:r>
          </w:p>
        </w:tc>
        <w:tc>
          <w:tcPr>
            <w:tcW w:w="299" w:type="pct"/>
            <w:vAlign w:val="center"/>
          </w:tcPr>
          <w:p w14:paraId="105F86F1">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昼间</w:t>
            </w:r>
          </w:p>
        </w:tc>
        <w:tc>
          <w:tcPr>
            <w:tcW w:w="499" w:type="pct"/>
            <w:vAlign w:val="center"/>
          </w:tcPr>
          <w:p w14:paraId="4833477A">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57</w:t>
            </w:r>
          </w:p>
        </w:tc>
        <w:tc>
          <w:tcPr>
            <w:tcW w:w="335" w:type="pct"/>
            <w:noWrap/>
            <w:vAlign w:val="center"/>
          </w:tcPr>
          <w:p w14:paraId="45373E45">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49</w:t>
            </w:r>
          </w:p>
        </w:tc>
        <w:tc>
          <w:tcPr>
            <w:tcW w:w="335" w:type="pct"/>
            <w:noWrap/>
            <w:vAlign w:val="center"/>
          </w:tcPr>
          <w:p w14:paraId="5A9FD0A0">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27</w:t>
            </w:r>
          </w:p>
        </w:tc>
        <w:tc>
          <w:tcPr>
            <w:tcW w:w="335" w:type="pct"/>
            <w:noWrap/>
            <w:vAlign w:val="center"/>
          </w:tcPr>
          <w:p w14:paraId="6830832B">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117</w:t>
            </w:r>
          </w:p>
        </w:tc>
        <w:tc>
          <w:tcPr>
            <w:tcW w:w="342" w:type="pct"/>
            <w:vMerge w:val="restart"/>
            <w:noWrap/>
            <w:vAlign w:val="center"/>
          </w:tcPr>
          <w:p w14:paraId="59BC5A15">
            <w:pPr>
              <w:spacing w:line="240" w:lineRule="exact"/>
              <w:jc w:val="center"/>
              <w:rPr>
                <w:rFonts w:ascii="Times New Roman" w:hAnsi="Times New Roman" w:eastAsia="宋体" w:cs="Times New Roman"/>
                <w:color w:val="auto"/>
                <w:kern w:val="0"/>
              </w:rPr>
            </w:pPr>
            <w:r>
              <w:rPr>
                <w:rFonts w:ascii="Times New Roman" w:hAnsi="Times New Roman" w:eastAsia="宋体" w:cs="Times New Roman"/>
                <w:color w:val="auto"/>
                <w:kern w:val="0"/>
              </w:rPr>
              <w:t>4a类</w:t>
            </w:r>
          </w:p>
        </w:tc>
        <w:tc>
          <w:tcPr>
            <w:tcW w:w="371" w:type="pct"/>
            <w:noWrap/>
            <w:vAlign w:val="center"/>
          </w:tcPr>
          <w:p w14:paraId="5AD49AC2">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161D074F">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vAlign w:val="center"/>
          </w:tcPr>
          <w:p w14:paraId="421A7E4B">
            <w:pPr>
              <w:spacing w:line="240" w:lineRule="exact"/>
              <w:jc w:val="center"/>
              <w:rPr>
                <w:rFonts w:ascii="Times New Roman" w:hAnsi="Times New Roman" w:eastAsia="宋体" w:cs="Times New Roman"/>
                <w:color w:val="auto"/>
                <w:kern w:val="0"/>
              </w:rPr>
            </w:pPr>
          </w:p>
        </w:tc>
        <w:tc>
          <w:tcPr>
            <w:tcW w:w="474" w:type="pct"/>
            <w:vMerge w:val="continue"/>
            <w:vAlign w:val="center"/>
          </w:tcPr>
          <w:p w14:paraId="28053492">
            <w:pPr>
              <w:spacing w:line="240" w:lineRule="exact"/>
              <w:jc w:val="center"/>
              <w:rPr>
                <w:rFonts w:ascii="Times New Roman" w:hAnsi="Times New Roman" w:eastAsia="宋体" w:cs="Times New Roman"/>
                <w:color w:val="auto"/>
                <w:kern w:val="0"/>
              </w:rPr>
            </w:pPr>
          </w:p>
        </w:tc>
        <w:tc>
          <w:tcPr>
            <w:tcW w:w="457" w:type="pct"/>
            <w:vMerge w:val="continue"/>
            <w:vAlign w:val="center"/>
          </w:tcPr>
          <w:p w14:paraId="4B2AD51C">
            <w:pPr>
              <w:spacing w:line="240" w:lineRule="exact"/>
              <w:jc w:val="center"/>
              <w:rPr>
                <w:rFonts w:ascii="Times New Roman" w:hAnsi="Times New Roman" w:eastAsia="宋体" w:cs="Times New Roman"/>
                <w:color w:val="auto"/>
                <w:kern w:val="0"/>
              </w:rPr>
            </w:pPr>
          </w:p>
        </w:tc>
        <w:tc>
          <w:tcPr>
            <w:tcW w:w="799" w:type="pct"/>
            <w:vMerge w:val="continue"/>
            <w:vAlign w:val="center"/>
          </w:tcPr>
          <w:p w14:paraId="62A0F87E">
            <w:pPr>
              <w:spacing w:line="240" w:lineRule="exact"/>
              <w:jc w:val="center"/>
              <w:rPr>
                <w:rFonts w:ascii="Times New Roman" w:hAnsi="Times New Roman" w:eastAsia="宋体" w:cs="Times New Roman"/>
                <w:color w:val="auto"/>
                <w:kern w:val="0"/>
              </w:rPr>
            </w:pPr>
          </w:p>
        </w:tc>
        <w:tc>
          <w:tcPr>
            <w:tcW w:w="499" w:type="pct"/>
            <w:noWrap/>
            <w:vAlign w:val="center"/>
          </w:tcPr>
          <w:p w14:paraId="61D94F21">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2026.4.28</w:t>
            </w:r>
          </w:p>
        </w:tc>
        <w:tc>
          <w:tcPr>
            <w:tcW w:w="299" w:type="pct"/>
            <w:vAlign w:val="center"/>
          </w:tcPr>
          <w:p w14:paraId="1DEDB5D8">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夜间</w:t>
            </w:r>
          </w:p>
        </w:tc>
        <w:tc>
          <w:tcPr>
            <w:tcW w:w="499" w:type="pct"/>
            <w:vAlign w:val="center"/>
          </w:tcPr>
          <w:p w14:paraId="422D0DA4">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47</w:t>
            </w:r>
          </w:p>
        </w:tc>
        <w:tc>
          <w:tcPr>
            <w:tcW w:w="335" w:type="pct"/>
            <w:noWrap/>
            <w:vAlign w:val="center"/>
          </w:tcPr>
          <w:p w14:paraId="736FEB56">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25</w:t>
            </w:r>
          </w:p>
        </w:tc>
        <w:tc>
          <w:tcPr>
            <w:tcW w:w="335" w:type="pct"/>
            <w:noWrap/>
            <w:vAlign w:val="center"/>
          </w:tcPr>
          <w:p w14:paraId="37293719">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18</w:t>
            </w:r>
          </w:p>
        </w:tc>
        <w:tc>
          <w:tcPr>
            <w:tcW w:w="335" w:type="pct"/>
            <w:noWrap/>
            <w:vAlign w:val="center"/>
          </w:tcPr>
          <w:p w14:paraId="3854AE88">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30</w:t>
            </w:r>
          </w:p>
        </w:tc>
        <w:tc>
          <w:tcPr>
            <w:tcW w:w="342" w:type="pct"/>
            <w:vMerge w:val="continue"/>
            <w:noWrap/>
            <w:vAlign w:val="center"/>
          </w:tcPr>
          <w:p w14:paraId="7A91CA52">
            <w:pPr>
              <w:spacing w:line="240" w:lineRule="exact"/>
              <w:jc w:val="center"/>
              <w:rPr>
                <w:rFonts w:ascii="Times New Roman" w:hAnsi="Times New Roman" w:eastAsia="宋体" w:cs="Times New Roman"/>
                <w:color w:val="auto"/>
                <w:kern w:val="0"/>
              </w:rPr>
            </w:pPr>
          </w:p>
        </w:tc>
        <w:tc>
          <w:tcPr>
            <w:tcW w:w="371" w:type="pct"/>
            <w:noWrap/>
            <w:vAlign w:val="center"/>
          </w:tcPr>
          <w:p w14:paraId="0EF96234">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554C72C2">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vAlign w:val="center"/>
          </w:tcPr>
          <w:p w14:paraId="047B0957">
            <w:pPr>
              <w:spacing w:line="240" w:lineRule="exact"/>
              <w:jc w:val="center"/>
              <w:rPr>
                <w:rFonts w:ascii="Times New Roman" w:hAnsi="Times New Roman" w:eastAsia="宋体" w:cs="Times New Roman"/>
                <w:color w:val="auto"/>
                <w:kern w:val="0"/>
              </w:rPr>
            </w:pPr>
          </w:p>
        </w:tc>
        <w:tc>
          <w:tcPr>
            <w:tcW w:w="474" w:type="pct"/>
            <w:vMerge w:val="continue"/>
            <w:vAlign w:val="center"/>
          </w:tcPr>
          <w:p w14:paraId="468FB185">
            <w:pPr>
              <w:spacing w:line="240" w:lineRule="exact"/>
              <w:jc w:val="center"/>
              <w:rPr>
                <w:rFonts w:ascii="Times New Roman" w:hAnsi="Times New Roman" w:eastAsia="宋体" w:cs="Times New Roman"/>
                <w:color w:val="auto"/>
                <w:kern w:val="0"/>
              </w:rPr>
            </w:pPr>
          </w:p>
        </w:tc>
        <w:tc>
          <w:tcPr>
            <w:tcW w:w="457" w:type="pct"/>
            <w:vMerge w:val="continue"/>
            <w:vAlign w:val="center"/>
          </w:tcPr>
          <w:p w14:paraId="1EABDBB0">
            <w:pPr>
              <w:spacing w:line="240" w:lineRule="exact"/>
              <w:jc w:val="center"/>
              <w:rPr>
                <w:rFonts w:ascii="Times New Roman" w:hAnsi="Times New Roman" w:eastAsia="宋体" w:cs="Times New Roman"/>
                <w:color w:val="auto"/>
                <w:kern w:val="0"/>
              </w:rPr>
            </w:pPr>
          </w:p>
        </w:tc>
        <w:tc>
          <w:tcPr>
            <w:tcW w:w="799" w:type="pct"/>
            <w:vMerge w:val="continue"/>
            <w:vAlign w:val="center"/>
          </w:tcPr>
          <w:p w14:paraId="2CFBC9B9">
            <w:pPr>
              <w:spacing w:line="240" w:lineRule="exact"/>
              <w:jc w:val="center"/>
              <w:rPr>
                <w:rFonts w:ascii="Times New Roman" w:hAnsi="Times New Roman" w:eastAsia="宋体" w:cs="Times New Roman"/>
                <w:color w:val="auto"/>
                <w:kern w:val="0"/>
              </w:rPr>
            </w:pPr>
          </w:p>
        </w:tc>
        <w:tc>
          <w:tcPr>
            <w:tcW w:w="499" w:type="pct"/>
            <w:noWrap/>
            <w:vAlign w:val="center"/>
          </w:tcPr>
          <w:p w14:paraId="3410B984">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2026.4.28</w:t>
            </w:r>
          </w:p>
        </w:tc>
        <w:tc>
          <w:tcPr>
            <w:tcW w:w="299" w:type="pct"/>
            <w:vAlign w:val="center"/>
          </w:tcPr>
          <w:p w14:paraId="2E2523BF">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昼间</w:t>
            </w:r>
          </w:p>
        </w:tc>
        <w:tc>
          <w:tcPr>
            <w:tcW w:w="499" w:type="pct"/>
            <w:vAlign w:val="center"/>
          </w:tcPr>
          <w:p w14:paraId="5727D656">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56</w:t>
            </w:r>
          </w:p>
        </w:tc>
        <w:tc>
          <w:tcPr>
            <w:tcW w:w="335" w:type="pct"/>
            <w:noWrap/>
            <w:vAlign w:val="center"/>
          </w:tcPr>
          <w:p w14:paraId="4B96004A">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45</w:t>
            </w:r>
          </w:p>
        </w:tc>
        <w:tc>
          <w:tcPr>
            <w:tcW w:w="335" w:type="pct"/>
            <w:noWrap/>
            <w:vAlign w:val="center"/>
          </w:tcPr>
          <w:p w14:paraId="5A2AB1B9">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24</w:t>
            </w:r>
          </w:p>
        </w:tc>
        <w:tc>
          <w:tcPr>
            <w:tcW w:w="335" w:type="pct"/>
            <w:noWrap/>
            <w:vAlign w:val="center"/>
          </w:tcPr>
          <w:p w14:paraId="1BC53FEE">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126</w:t>
            </w:r>
          </w:p>
        </w:tc>
        <w:tc>
          <w:tcPr>
            <w:tcW w:w="342" w:type="pct"/>
            <w:vMerge w:val="continue"/>
            <w:noWrap/>
            <w:vAlign w:val="center"/>
          </w:tcPr>
          <w:p w14:paraId="37C7A963">
            <w:pPr>
              <w:spacing w:line="240" w:lineRule="exact"/>
              <w:jc w:val="center"/>
              <w:rPr>
                <w:rFonts w:ascii="Times New Roman" w:hAnsi="Times New Roman" w:eastAsia="宋体" w:cs="Times New Roman"/>
                <w:color w:val="auto"/>
                <w:kern w:val="0"/>
              </w:rPr>
            </w:pPr>
          </w:p>
        </w:tc>
        <w:tc>
          <w:tcPr>
            <w:tcW w:w="371" w:type="pct"/>
            <w:noWrap/>
            <w:vAlign w:val="center"/>
          </w:tcPr>
          <w:p w14:paraId="1673F473">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114E2C5F">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vAlign w:val="center"/>
          </w:tcPr>
          <w:p w14:paraId="5265BA29">
            <w:pPr>
              <w:spacing w:line="240" w:lineRule="exact"/>
              <w:jc w:val="center"/>
              <w:rPr>
                <w:rFonts w:ascii="Times New Roman" w:hAnsi="Times New Roman" w:eastAsia="宋体" w:cs="Times New Roman"/>
                <w:color w:val="auto"/>
                <w:kern w:val="0"/>
              </w:rPr>
            </w:pPr>
          </w:p>
        </w:tc>
        <w:tc>
          <w:tcPr>
            <w:tcW w:w="474" w:type="pct"/>
            <w:vMerge w:val="continue"/>
            <w:vAlign w:val="center"/>
          </w:tcPr>
          <w:p w14:paraId="157A5BF1">
            <w:pPr>
              <w:spacing w:line="240" w:lineRule="exact"/>
              <w:jc w:val="center"/>
              <w:rPr>
                <w:rFonts w:ascii="Times New Roman" w:hAnsi="Times New Roman" w:eastAsia="宋体" w:cs="Times New Roman"/>
                <w:color w:val="auto"/>
                <w:kern w:val="0"/>
              </w:rPr>
            </w:pPr>
          </w:p>
        </w:tc>
        <w:tc>
          <w:tcPr>
            <w:tcW w:w="457" w:type="pct"/>
            <w:vMerge w:val="continue"/>
            <w:vAlign w:val="center"/>
          </w:tcPr>
          <w:p w14:paraId="76F2FC94">
            <w:pPr>
              <w:spacing w:line="240" w:lineRule="exact"/>
              <w:jc w:val="center"/>
              <w:rPr>
                <w:rFonts w:ascii="Times New Roman" w:hAnsi="Times New Roman" w:eastAsia="宋体" w:cs="Times New Roman"/>
                <w:color w:val="auto"/>
                <w:kern w:val="0"/>
              </w:rPr>
            </w:pPr>
          </w:p>
        </w:tc>
        <w:tc>
          <w:tcPr>
            <w:tcW w:w="799" w:type="pct"/>
            <w:vMerge w:val="continue"/>
            <w:vAlign w:val="center"/>
          </w:tcPr>
          <w:p w14:paraId="01AC25BC">
            <w:pPr>
              <w:spacing w:line="240" w:lineRule="exact"/>
              <w:jc w:val="center"/>
              <w:rPr>
                <w:rFonts w:ascii="Times New Roman" w:hAnsi="Times New Roman" w:eastAsia="宋体" w:cs="Times New Roman"/>
                <w:color w:val="auto"/>
                <w:kern w:val="0"/>
              </w:rPr>
            </w:pPr>
          </w:p>
        </w:tc>
        <w:tc>
          <w:tcPr>
            <w:tcW w:w="499" w:type="pct"/>
            <w:noWrap/>
            <w:vAlign w:val="center"/>
          </w:tcPr>
          <w:p w14:paraId="13AC4A79">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2026.4.29</w:t>
            </w:r>
          </w:p>
        </w:tc>
        <w:tc>
          <w:tcPr>
            <w:tcW w:w="299" w:type="pct"/>
            <w:vAlign w:val="center"/>
          </w:tcPr>
          <w:p w14:paraId="42D398F4">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夜间</w:t>
            </w:r>
          </w:p>
        </w:tc>
        <w:tc>
          <w:tcPr>
            <w:tcW w:w="499" w:type="pct"/>
            <w:vAlign w:val="center"/>
          </w:tcPr>
          <w:p w14:paraId="35731FAC">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46</w:t>
            </w:r>
          </w:p>
        </w:tc>
        <w:tc>
          <w:tcPr>
            <w:tcW w:w="335" w:type="pct"/>
            <w:noWrap/>
            <w:vAlign w:val="center"/>
          </w:tcPr>
          <w:p w14:paraId="4C758CF6">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26</w:t>
            </w:r>
          </w:p>
        </w:tc>
        <w:tc>
          <w:tcPr>
            <w:tcW w:w="335" w:type="pct"/>
            <w:noWrap/>
            <w:vAlign w:val="center"/>
          </w:tcPr>
          <w:p w14:paraId="5BF9E1A0">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15</w:t>
            </w:r>
          </w:p>
        </w:tc>
        <w:tc>
          <w:tcPr>
            <w:tcW w:w="335" w:type="pct"/>
            <w:noWrap/>
            <w:vAlign w:val="center"/>
          </w:tcPr>
          <w:p w14:paraId="3C1ED0F5">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30</w:t>
            </w:r>
          </w:p>
        </w:tc>
        <w:tc>
          <w:tcPr>
            <w:tcW w:w="342" w:type="pct"/>
            <w:vMerge w:val="continue"/>
            <w:noWrap/>
            <w:vAlign w:val="center"/>
          </w:tcPr>
          <w:p w14:paraId="7ADCA106">
            <w:pPr>
              <w:spacing w:line="240" w:lineRule="exact"/>
              <w:jc w:val="center"/>
              <w:rPr>
                <w:rFonts w:ascii="Times New Roman" w:hAnsi="Times New Roman" w:eastAsia="宋体" w:cs="Times New Roman"/>
                <w:color w:val="auto"/>
                <w:kern w:val="0"/>
              </w:rPr>
            </w:pPr>
          </w:p>
        </w:tc>
        <w:tc>
          <w:tcPr>
            <w:tcW w:w="371" w:type="pct"/>
            <w:noWrap/>
            <w:vAlign w:val="center"/>
          </w:tcPr>
          <w:p w14:paraId="60BAAA14">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229F0CDE">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vAlign w:val="center"/>
          </w:tcPr>
          <w:p w14:paraId="3ACDC45F">
            <w:pPr>
              <w:spacing w:line="240" w:lineRule="exact"/>
              <w:jc w:val="center"/>
              <w:rPr>
                <w:rFonts w:ascii="Times New Roman" w:hAnsi="Times New Roman" w:eastAsia="宋体" w:cs="Times New Roman"/>
                <w:color w:val="auto"/>
                <w:kern w:val="0"/>
              </w:rPr>
            </w:pPr>
          </w:p>
        </w:tc>
        <w:tc>
          <w:tcPr>
            <w:tcW w:w="474" w:type="pct"/>
            <w:vMerge w:val="continue"/>
            <w:vAlign w:val="center"/>
          </w:tcPr>
          <w:p w14:paraId="6D2F64EE">
            <w:pPr>
              <w:spacing w:line="240" w:lineRule="exact"/>
              <w:jc w:val="center"/>
              <w:rPr>
                <w:rFonts w:ascii="Times New Roman" w:hAnsi="Times New Roman" w:eastAsia="宋体" w:cs="Times New Roman"/>
                <w:color w:val="auto"/>
                <w:kern w:val="0"/>
              </w:rPr>
            </w:pPr>
          </w:p>
        </w:tc>
        <w:tc>
          <w:tcPr>
            <w:tcW w:w="457" w:type="pct"/>
            <w:vMerge w:val="continue"/>
            <w:vAlign w:val="center"/>
          </w:tcPr>
          <w:p w14:paraId="4224C8F9">
            <w:pPr>
              <w:spacing w:line="240" w:lineRule="exact"/>
              <w:jc w:val="center"/>
              <w:rPr>
                <w:rFonts w:ascii="Times New Roman" w:hAnsi="Times New Roman" w:eastAsia="宋体" w:cs="Times New Roman"/>
                <w:color w:val="auto"/>
                <w:kern w:val="0"/>
              </w:rPr>
            </w:pPr>
          </w:p>
        </w:tc>
        <w:tc>
          <w:tcPr>
            <w:tcW w:w="799" w:type="pct"/>
            <w:vMerge w:val="restart"/>
            <w:vAlign w:val="center"/>
          </w:tcPr>
          <w:p w14:paraId="53229D83">
            <w:pPr>
              <w:spacing w:line="240" w:lineRule="exact"/>
              <w:jc w:val="center"/>
              <w:rPr>
                <w:rFonts w:ascii="Times New Roman" w:hAnsi="Times New Roman" w:eastAsia="宋体" w:cs="Times New Roman"/>
                <w:color w:val="auto"/>
                <w:kern w:val="0"/>
              </w:rPr>
            </w:pPr>
            <w:r>
              <w:rPr>
                <w:rFonts w:ascii="Times New Roman" w:hAnsi="Times New Roman" w:eastAsia="宋体" w:cs="Times New Roman"/>
                <w:color w:val="auto"/>
              </w:rPr>
              <w:t>临现有</w:t>
            </w:r>
            <w:r>
              <w:rPr>
                <w:rFonts w:hint="eastAsia" w:ascii="Times New Roman" w:hAnsi="Times New Roman" w:eastAsia="宋体" w:cs="Times New Roman"/>
                <w:color w:val="auto"/>
              </w:rPr>
              <w:t>G219</w:t>
            </w:r>
            <w:r>
              <w:rPr>
                <w:rFonts w:ascii="Times New Roman" w:hAnsi="Times New Roman" w:eastAsia="宋体" w:cs="Times New Roman"/>
                <w:color w:val="auto"/>
              </w:rPr>
              <w:t>边界</w:t>
            </w:r>
            <w:r>
              <w:rPr>
                <w:rFonts w:hint="eastAsia" w:ascii="Times New Roman" w:hAnsi="Times New Roman" w:eastAsia="宋体" w:cs="Times New Roman"/>
                <w:color w:val="auto"/>
              </w:rPr>
              <w:t>35</w:t>
            </w:r>
            <w:r>
              <w:rPr>
                <w:rFonts w:ascii="Times New Roman" w:hAnsi="Times New Roman" w:eastAsia="宋体" w:cs="Times New Roman"/>
                <w:color w:val="auto"/>
              </w:rPr>
              <w:t>m外第一排房</w:t>
            </w:r>
            <w:r>
              <w:rPr>
                <w:rFonts w:hint="eastAsia" w:ascii="Times New Roman" w:hAnsi="Times New Roman" w:eastAsia="宋体" w:cs="Times New Roman"/>
                <w:color w:val="auto"/>
              </w:rPr>
              <w:t>1</w:t>
            </w:r>
            <w:r>
              <w:rPr>
                <w:rFonts w:ascii="Times New Roman" w:hAnsi="Times New Roman" w:eastAsia="宋体" w:cs="Times New Roman"/>
                <w:color w:val="auto"/>
              </w:rPr>
              <w:t>层</w:t>
            </w:r>
          </w:p>
        </w:tc>
        <w:tc>
          <w:tcPr>
            <w:tcW w:w="499" w:type="pct"/>
            <w:noWrap/>
            <w:vAlign w:val="center"/>
          </w:tcPr>
          <w:p w14:paraId="40A4432E">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2026.4.27</w:t>
            </w:r>
          </w:p>
        </w:tc>
        <w:tc>
          <w:tcPr>
            <w:tcW w:w="299" w:type="pct"/>
            <w:vAlign w:val="center"/>
          </w:tcPr>
          <w:p w14:paraId="56BEAC91">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昼间</w:t>
            </w:r>
          </w:p>
        </w:tc>
        <w:tc>
          <w:tcPr>
            <w:tcW w:w="499" w:type="pct"/>
            <w:vAlign w:val="center"/>
          </w:tcPr>
          <w:p w14:paraId="3CA1AB94">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53</w:t>
            </w:r>
          </w:p>
        </w:tc>
        <w:tc>
          <w:tcPr>
            <w:tcW w:w="335" w:type="pct"/>
            <w:noWrap/>
            <w:vAlign w:val="center"/>
          </w:tcPr>
          <w:p w14:paraId="447E305E">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49</w:t>
            </w:r>
          </w:p>
        </w:tc>
        <w:tc>
          <w:tcPr>
            <w:tcW w:w="335" w:type="pct"/>
            <w:noWrap/>
            <w:vAlign w:val="center"/>
          </w:tcPr>
          <w:p w14:paraId="588C8FE5">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27</w:t>
            </w:r>
          </w:p>
        </w:tc>
        <w:tc>
          <w:tcPr>
            <w:tcW w:w="335" w:type="pct"/>
            <w:noWrap/>
            <w:vAlign w:val="center"/>
          </w:tcPr>
          <w:p w14:paraId="3ADC708C">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117</w:t>
            </w:r>
          </w:p>
        </w:tc>
        <w:tc>
          <w:tcPr>
            <w:tcW w:w="342" w:type="pct"/>
            <w:vMerge w:val="restart"/>
            <w:noWrap/>
            <w:vAlign w:val="center"/>
          </w:tcPr>
          <w:p w14:paraId="5EFB4355">
            <w:pPr>
              <w:spacing w:line="240" w:lineRule="exact"/>
              <w:jc w:val="center"/>
              <w:rPr>
                <w:rFonts w:ascii="Times New Roman" w:hAnsi="Times New Roman" w:eastAsia="宋体" w:cs="Times New Roman"/>
                <w:color w:val="auto"/>
                <w:kern w:val="0"/>
              </w:rPr>
            </w:pPr>
            <w:r>
              <w:rPr>
                <w:rFonts w:ascii="Times New Roman" w:hAnsi="Times New Roman" w:eastAsia="宋体" w:cs="Times New Roman"/>
                <w:color w:val="auto"/>
                <w:kern w:val="0"/>
              </w:rPr>
              <w:t>2类</w:t>
            </w:r>
          </w:p>
        </w:tc>
        <w:tc>
          <w:tcPr>
            <w:tcW w:w="371" w:type="pct"/>
            <w:noWrap/>
            <w:vAlign w:val="center"/>
          </w:tcPr>
          <w:p w14:paraId="0D127887">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44AADB06">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vAlign w:val="center"/>
          </w:tcPr>
          <w:p w14:paraId="4C955B3B">
            <w:pPr>
              <w:spacing w:line="240" w:lineRule="exact"/>
              <w:jc w:val="center"/>
              <w:rPr>
                <w:rFonts w:ascii="Times New Roman" w:hAnsi="Times New Roman" w:eastAsia="宋体" w:cs="Times New Roman"/>
                <w:color w:val="auto"/>
                <w:kern w:val="0"/>
              </w:rPr>
            </w:pPr>
          </w:p>
        </w:tc>
        <w:tc>
          <w:tcPr>
            <w:tcW w:w="474" w:type="pct"/>
            <w:vMerge w:val="continue"/>
            <w:vAlign w:val="center"/>
          </w:tcPr>
          <w:p w14:paraId="2D4317EB">
            <w:pPr>
              <w:spacing w:line="240" w:lineRule="exact"/>
              <w:jc w:val="center"/>
              <w:rPr>
                <w:rFonts w:ascii="Times New Roman" w:hAnsi="Times New Roman" w:eastAsia="宋体" w:cs="Times New Roman"/>
                <w:color w:val="auto"/>
                <w:kern w:val="0"/>
              </w:rPr>
            </w:pPr>
          </w:p>
        </w:tc>
        <w:tc>
          <w:tcPr>
            <w:tcW w:w="457" w:type="pct"/>
            <w:vMerge w:val="continue"/>
            <w:vAlign w:val="center"/>
          </w:tcPr>
          <w:p w14:paraId="200F37A3">
            <w:pPr>
              <w:spacing w:line="240" w:lineRule="exact"/>
              <w:jc w:val="center"/>
              <w:rPr>
                <w:rFonts w:ascii="Times New Roman" w:hAnsi="Times New Roman" w:eastAsia="宋体" w:cs="Times New Roman"/>
                <w:color w:val="auto"/>
                <w:kern w:val="0"/>
              </w:rPr>
            </w:pPr>
          </w:p>
        </w:tc>
        <w:tc>
          <w:tcPr>
            <w:tcW w:w="799" w:type="pct"/>
            <w:vMerge w:val="continue"/>
            <w:vAlign w:val="center"/>
          </w:tcPr>
          <w:p w14:paraId="2110817E">
            <w:pPr>
              <w:spacing w:line="240" w:lineRule="exact"/>
              <w:jc w:val="center"/>
              <w:rPr>
                <w:rFonts w:ascii="Times New Roman" w:hAnsi="Times New Roman" w:eastAsia="宋体" w:cs="Times New Roman"/>
                <w:color w:val="auto"/>
                <w:kern w:val="0"/>
              </w:rPr>
            </w:pPr>
          </w:p>
        </w:tc>
        <w:tc>
          <w:tcPr>
            <w:tcW w:w="499" w:type="pct"/>
            <w:noWrap/>
            <w:vAlign w:val="center"/>
          </w:tcPr>
          <w:p w14:paraId="61CD42F2">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2026.4.28</w:t>
            </w:r>
          </w:p>
        </w:tc>
        <w:tc>
          <w:tcPr>
            <w:tcW w:w="299" w:type="pct"/>
            <w:vAlign w:val="center"/>
          </w:tcPr>
          <w:p w14:paraId="4928CE53">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夜间</w:t>
            </w:r>
          </w:p>
        </w:tc>
        <w:tc>
          <w:tcPr>
            <w:tcW w:w="499" w:type="pct"/>
            <w:vAlign w:val="center"/>
          </w:tcPr>
          <w:p w14:paraId="7373DB21">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44</w:t>
            </w:r>
          </w:p>
        </w:tc>
        <w:tc>
          <w:tcPr>
            <w:tcW w:w="335" w:type="pct"/>
            <w:noWrap/>
            <w:vAlign w:val="center"/>
          </w:tcPr>
          <w:p w14:paraId="3DAC07FB">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25</w:t>
            </w:r>
          </w:p>
        </w:tc>
        <w:tc>
          <w:tcPr>
            <w:tcW w:w="335" w:type="pct"/>
            <w:noWrap/>
            <w:vAlign w:val="center"/>
          </w:tcPr>
          <w:p w14:paraId="672EEABD">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18</w:t>
            </w:r>
          </w:p>
        </w:tc>
        <w:tc>
          <w:tcPr>
            <w:tcW w:w="335" w:type="pct"/>
            <w:noWrap/>
            <w:vAlign w:val="center"/>
          </w:tcPr>
          <w:p w14:paraId="6C2E67D9">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30</w:t>
            </w:r>
          </w:p>
        </w:tc>
        <w:tc>
          <w:tcPr>
            <w:tcW w:w="342" w:type="pct"/>
            <w:vMerge w:val="continue"/>
            <w:noWrap/>
            <w:vAlign w:val="center"/>
          </w:tcPr>
          <w:p w14:paraId="2918FCDC">
            <w:pPr>
              <w:spacing w:line="240" w:lineRule="exact"/>
              <w:jc w:val="center"/>
              <w:rPr>
                <w:rFonts w:ascii="Times New Roman" w:hAnsi="Times New Roman" w:eastAsia="宋体" w:cs="Times New Roman"/>
                <w:color w:val="auto"/>
                <w:kern w:val="0"/>
              </w:rPr>
            </w:pPr>
          </w:p>
        </w:tc>
        <w:tc>
          <w:tcPr>
            <w:tcW w:w="371" w:type="pct"/>
            <w:noWrap/>
            <w:vAlign w:val="center"/>
          </w:tcPr>
          <w:p w14:paraId="3DDC275C">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209275E4">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vAlign w:val="center"/>
          </w:tcPr>
          <w:p w14:paraId="71C0681B">
            <w:pPr>
              <w:spacing w:line="240" w:lineRule="exact"/>
              <w:jc w:val="center"/>
              <w:rPr>
                <w:rFonts w:ascii="Times New Roman" w:hAnsi="Times New Roman" w:eastAsia="宋体" w:cs="Times New Roman"/>
                <w:color w:val="auto"/>
                <w:kern w:val="0"/>
              </w:rPr>
            </w:pPr>
          </w:p>
        </w:tc>
        <w:tc>
          <w:tcPr>
            <w:tcW w:w="474" w:type="pct"/>
            <w:vMerge w:val="continue"/>
            <w:vAlign w:val="center"/>
          </w:tcPr>
          <w:p w14:paraId="746FCCDF">
            <w:pPr>
              <w:spacing w:line="240" w:lineRule="exact"/>
              <w:jc w:val="center"/>
              <w:rPr>
                <w:rFonts w:ascii="Times New Roman" w:hAnsi="Times New Roman" w:eastAsia="宋体" w:cs="Times New Roman"/>
                <w:color w:val="auto"/>
                <w:kern w:val="0"/>
              </w:rPr>
            </w:pPr>
          </w:p>
        </w:tc>
        <w:tc>
          <w:tcPr>
            <w:tcW w:w="457" w:type="pct"/>
            <w:vMerge w:val="continue"/>
            <w:vAlign w:val="center"/>
          </w:tcPr>
          <w:p w14:paraId="4E260CFD">
            <w:pPr>
              <w:spacing w:line="240" w:lineRule="exact"/>
              <w:jc w:val="center"/>
              <w:rPr>
                <w:rFonts w:ascii="Times New Roman" w:hAnsi="Times New Roman" w:eastAsia="宋体" w:cs="Times New Roman"/>
                <w:color w:val="auto"/>
                <w:kern w:val="0"/>
              </w:rPr>
            </w:pPr>
          </w:p>
        </w:tc>
        <w:tc>
          <w:tcPr>
            <w:tcW w:w="799" w:type="pct"/>
            <w:vMerge w:val="continue"/>
            <w:vAlign w:val="center"/>
          </w:tcPr>
          <w:p w14:paraId="328C35DE">
            <w:pPr>
              <w:spacing w:line="240" w:lineRule="exact"/>
              <w:jc w:val="center"/>
              <w:rPr>
                <w:rFonts w:ascii="Times New Roman" w:hAnsi="Times New Roman" w:eastAsia="宋体" w:cs="Times New Roman"/>
                <w:color w:val="auto"/>
                <w:kern w:val="0"/>
              </w:rPr>
            </w:pPr>
          </w:p>
        </w:tc>
        <w:tc>
          <w:tcPr>
            <w:tcW w:w="499" w:type="pct"/>
            <w:noWrap/>
            <w:vAlign w:val="center"/>
          </w:tcPr>
          <w:p w14:paraId="308E9625">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2026.4.28</w:t>
            </w:r>
          </w:p>
        </w:tc>
        <w:tc>
          <w:tcPr>
            <w:tcW w:w="299" w:type="pct"/>
            <w:vAlign w:val="center"/>
          </w:tcPr>
          <w:p w14:paraId="75A1DF54">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昼间</w:t>
            </w:r>
          </w:p>
        </w:tc>
        <w:tc>
          <w:tcPr>
            <w:tcW w:w="499" w:type="pct"/>
            <w:vAlign w:val="center"/>
          </w:tcPr>
          <w:p w14:paraId="66E13EFA">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52</w:t>
            </w:r>
          </w:p>
        </w:tc>
        <w:tc>
          <w:tcPr>
            <w:tcW w:w="335" w:type="pct"/>
            <w:noWrap/>
            <w:vAlign w:val="center"/>
          </w:tcPr>
          <w:p w14:paraId="0FFC1D98">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45</w:t>
            </w:r>
          </w:p>
        </w:tc>
        <w:tc>
          <w:tcPr>
            <w:tcW w:w="335" w:type="pct"/>
            <w:noWrap/>
            <w:vAlign w:val="center"/>
          </w:tcPr>
          <w:p w14:paraId="3EBE285E">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24</w:t>
            </w:r>
          </w:p>
        </w:tc>
        <w:tc>
          <w:tcPr>
            <w:tcW w:w="335" w:type="pct"/>
            <w:noWrap/>
            <w:vAlign w:val="center"/>
          </w:tcPr>
          <w:p w14:paraId="62B62199">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126</w:t>
            </w:r>
          </w:p>
        </w:tc>
        <w:tc>
          <w:tcPr>
            <w:tcW w:w="342" w:type="pct"/>
            <w:vMerge w:val="continue"/>
            <w:noWrap/>
            <w:vAlign w:val="center"/>
          </w:tcPr>
          <w:p w14:paraId="07A2CA43">
            <w:pPr>
              <w:spacing w:line="240" w:lineRule="exact"/>
              <w:jc w:val="center"/>
              <w:rPr>
                <w:rFonts w:ascii="Times New Roman" w:hAnsi="Times New Roman" w:eastAsia="宋体" w:cs="Times New Roman"/>
                <w:color w:val="auto"/>
                <w:kern w:val="0"/>
              </w:rPr>
            </w:pPr>
          </w:p>
        </w:tc>
        <w:tc>
          <w:tcPr>
            <w:tcW w:w="371" w:type="pct"/>
            <w:noWrap/>
            <w:vAlign w:val="center"/>
          </w:tcPr>
          <w:p w14:paraId="19A358A1">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1503C215">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vAlign w:val="center"/>
          </w:tcPr>
          <w:p w14:paraId="1C0815D0">
            <w:pPr>
              <w:spacing w:line="240" w:lineRule="exact"/>
              <w:jc w:val="center"/>
              <w:rPr>
                <w:rFonts w:ascii="Times New Roman" w:hAnsi="Times New Roman" w:eastAsia="宋体" w:cs="Times New Roman"/>
                <w:color w:val="auto"/>
                <w:kern w:val="0"/>
              </w:rPr>
            </w:pPr>
          </w:p>
        </w:tc>
        <w:tc>
          <w:tcPr>
            <w:tcW w:w="474" w:type="pct"/>
            <w:vMerge w:val="continue"/>
            <w:vAlign w:val="center"/>
          </w:tcPr>
          <w:p w14:paraId="0CF7897A">
            <w:pPr>
              <w:spacing w:line="240" w:lineRule="exact"/>
              <w:jc w:val="center"/>
              <w:rPr>
                <w:rFonts w:ascii="Times New Roman" w:hAnsi="Times New Roman" w:eastAsia="宋体" w:cs="Times New Roman"/>
                <w:color w:val="auto"/>
                <w:kern w:val="0"/>
              </w:rPr>
            </w:pPr>
          </w:p>
        </w:tc>
        <w:tc>
          <w:tcPr>
            <w:tcW w:w="457" w:type="pct"/>
            <w:vMerge w:val="continue"/>
            <w:vAlign w:val="center"/>
          </w:tcPr>
          <w:p w14:paraId="6AFFCD17">
            <w:pPr>
              <w:spacing w:line="240" w:lineRule="exact"/>
              <w:jc w:val="center"/>
              <w:rPr>
                <w:rFonts w:ascii="Times New Roman" w:hAnsi="Times New Roman" w:eastAsia="宋体" w:cs="Times New Roman"/>
                <w:color w:val="auto"/>
                <w:kern w:val="0"/>
              </w:rPr>
            </w:pPr>
          </w:p>
        </w:tc>
        <w:tc>
          <w:tcPr>
            <w:tcW w:w="799" w:type="pct"/>
            <w:vMerge w:val="continue"/>
            <w:vAlign w:val="center"/>
          </w:tcPr>
          <w:p w14:paraId="474A7364">
            <w:pPr>
              <w:spacing w:line="240" w:lineRule="exact"/>
              <w:jc w:val="center"/>
              <w:rPr>
                <w:rFonts w:ascii="Times New Roman" w:hAnsi="Times New Roman" w:eastAsia="宋体" w:cs="Times New Roman"/>
                <w:color w:val="auto"/>
                <w:kern w:val="0"/>
              </w:rPr>
            </w:pPr>
          </w:p>
        </w:tc>
        <w:tc>
          <w:tcPr>
            <w:tcW w:w="499" w:type="pct"/>
            <w:noWrap/>
            <w:vAlign w:val="center"/>
          </w:tcPr>
          <w:p w14:paraId="424A369B">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2026.4.29</w:t>
            </w:r>
          </w:p>
        </w:tc>
        <w:tc>
          <w:tcPr>
            <w:tcW w:w="299" w:type="pct"/>
            <w:vAlign w:val="center"/>
          </w:tcPr>
          <w:p w14:paraId="102A2043">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夜间</w:t>
            </w:r>
          </w:p>
        </w:tc>
        <w:tc>
          <w:tcPr>
            <w:tcW w:w="499" w:type="pct"/>
            <w:vAlign w:val="center"/>
          </w:tcPr>
          <w:p w14:paraId="2797D3F0">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43</w:t>
            </w:r>
          </w:p>
        </w:tc>
        <w:tc>
          <w:tcPr>
            <w:tcW w:w="335" w:type="pct"/>
            <w:noWrap/>
            <w:vAlign w:val="center"/>
          </w:tcPr>
          <w:p w14:paraId="0D3680B8">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26</w:t>
            </w:r>
          </w:p>
        </w:tc>
        <w:tc>
          <w:tcPr>
            <w:tcW w:w="335" w:type="pct"/>
            <w:noWrap/>
            <w:vAlign w:val="center"/>
          </w:tcPr>
          <w:p w14:paraId="681BE198">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15</w:t>
            </w:r>
          </w:p>
        </w:tc>
        <w:tc>
          <w:tcPr>
            <w:tcW w:w="335" w:type="pct"/>
            <w:noWrap/>
            <w:vAlign w:val="center"/>
          </w:tcPr>
          <w:p w14:paraId="26E6C8A2">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30</w:t>
            </w:r>
          </w:p>
        </w:tc>
        <w:tc>
          <w:tcPr>
            <w:tcW w:w="342" w:type="pct"/>
            <w:vMerge w:val="continue"/>
            <w:noWrap/>
            <w:vAlign w:val="center"/>
          </w:tcPr>
          <w:p w14:paraId="2B1EA47A">
            <w:pPr>
              <w:spacing w:line="240" w:lineRule="exact"/>
              <w:jc w:val="center"/>
              <w:rPr>
                <w:rFonts w:ascii="Times New Roman" w:hAnsi="Times New Roman" w:eastAsia="宋体" w:cs="Times New Roman"/>
                <w:color w:val="auto"/>
                <w:kern w:val="0"/>
              </w:rPr>
            </w:pPr>
          </w:p>
        </w:tc>
        <w:tc>
          <w:tcPr>
            <w:tcW w:w="371" w:type="pct"/>
            <w:noWrap/>
            <w:vAlign w:val="center"/>
          </w:tcPr>
          <w:p w14:paraId="49D7F97D">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73364447">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noWrap/>
            <w:vAlign w:val="center"/>
          </w:tcPr>
          <w:p w14:paraId="68381CA9">
            <w:pPr>
              <w:spacing w:line="240" w:lineRule="exact"/>
              <w:jc w:val="center"/>
              <w:rPr>
                <w:rFonts w:ascii="Times New Roman" w:hAnsi="Times New Roman" w:eastAsia="宋体" w:cs="Times New Roman"/>
                <w:color w:val="auto"/>
                <w:kern w:val="0"/>
              </w:rPr>
            </w:pPr>
          </w:p>
        </w:tc>
        <w:tc>
          <w:tcPr>
            <w:tcW w:w="474" w:type="pct"/>
            <w:vMerge w:val="continue"/>
            <w:noWrap/>
            <w:vAlign w:val="center"/>
          </w:tcPr>
          <w:p w14:paraId="6EC41B26">
            <w:pPr>
              <w:spacing w:line="240" w:lineRule="exact"/>
              <w:jc w:val="center"/>
              <w:rPr>
                <w:rFonts w:ascii="Times New Roman" w:hAnsi="Times New Roman" w:eastAsia="宋体" w:cs="Times New Roman"/>
                <w:color w:val="auto"/>
                <w:kern w:val="0"/>
              </w:rPr>
            </w:pPr>
          </w:p>
        </w:tc>
        <w:tc>
          <w:tcPr>
            <w:tcW w:w="457" w:type="pct"/>
            <w:vMerge w:val="restart"/>
            <w:vAlign w:val="center"/>
          </w:tcPr>
          <w:p w14:paraId="72AE9CCB">
            <w:pPr>
              <w:spacing w:line="240" w:lineRule="exact"/>
              <w:jc w:val="center"/>
              <w:rPr>
                <w:rFonts w:ascii="Times New Roman" w:hAnsi="Times New Roman" w:eastAsia="宋体" w:cs="Times New Roman"/>
                <w:color w:val="auto"/>
                <w:kern w:val="0"/>
              </w:rPr>
            </w:pPr>
            <w:r>
              <w:rPr>
                <w:rFonts w:ascii="Times New Roman" w:hAnsi="Times New Roman" w:eastAsia="宋体" w:cs="Times New Roman"/>
                <w:color w:val="auto"/>
                <w:kern w:val="0"/>
              </w:rPr>
              <w:t>背景噪声</w:t>
            </w:r>
          </w:p>
        </w:tc>
        <w:tc>
          <w:tcPr>
            <w:tcW w:w="799" w:type="pct"/>
            <w:vMerge w:val="restart"/>
            <w:vAlign w:val="center"/>
          </w:tcPr>
          <w:p w14:paraId="07B6E058">
            <w:pPr>
              <w:spacing w:line="240" w:lineRule="exact"/>
              <w:jc w:val="center"/>
              <w:rPr>
                <w:rFonts w:ascii="Times New Roman" w:hAnsi="Times New Roman" w:eastAsia="宋体" w:cs="Times New Roman"/>
                <w:color w:val="auto"/>
                <w:kern w:val="0"/>
              </w:rPr>
            </w:pPr>
            <w:r>
              <w:rPr>
                <w:rFonts w:hint="eastAsia" w:ascii="Times New Roman" w:hAnsi="Times New Roman" w:eastAsia="宋体" w:cs="Times New Roman"/>
                <w:color w:val="auto"/>
                <w:szCs w:val="21"/>
              </w:rPr>
              <w:t>远离现有G219</w:t>
            </w:r>
            <w:r>
              <w:rPr>
                <w:rFonts w:ascii="Times New Roman" w:hAnsi="Times New Roman" w:eastAsia="宋体" w:cs="Times New Roman"/>
                <w:color w:val="auto"/>
                <w:kern w:val="0"/>
                <w:szCs w:val="21"/>
              </w:rPr>
              <w:t>公路200m外</w:t>
            </w:r>
          </w:p>
        </w:tc>
        <w:tc>
          <w:tcPr>
            <w:tcW w:w="499" w:type="pct"/>
            <w:noWrap/>
            <w:vAlign w:val="center"/>
          </w:tcPr>
          <w:p w14:paraId="06D08309">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2026.4.27</w:t>
            </w:r>
          </w:p>
        </w:tc>
        <w:tc>
          <w:tcPr>
            <w:tcW w:w="299" w:type="pct"/>
            <w:vAlign w:val="center"/>
          </w:tcPr>
          <w:p w14:paraId="0BDD1F44">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昼间</w:t>
            </w:r>
          </w:p>
        </w:tc>
        <w:tc>
          <w:tcPr>
            <w:tcW w:w="499" w:type="pct"/>
            <w:vAlign w:val="center"/>
          </w:tcPr>
          <w:p w14:paraId="46079D95">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45</w:t>
            </w:r>
          </w:p>
        </w:tc>
        <w:tc>
          <w:tcPr>
            <w:tcW w:w="335" w:type="pct"/>
            <w:noWrap/>
            <w:vAlign w:val="center"/>
          </w:tcPr>
          <w:p w14:paraId="320CD804">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35" w:type="pct"/>
            <w:noWrap/>
            <w:vAlign w:val="center"/>
          </w:tcPr>
          <w:p w14:paraId="0FB35445">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35" w:type="pct"/>
            <w:noWrap/>
            <w:vAlign w:val="center"/>
          </w:tcPr>
          <w:p w14:paraId="5534ECFF">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42" w:type="pct"/>
            <w:vMerge w:val="continue"/>
            <w:noWrap/>
            <w:vAlign w:val="center"/>
          </w:tcPr>
          <w:p w14:paraId="45F53FCD">
            <w:pPr>
              <w:spacing w:line="240" w:lineRule="exact"/>
              <w:jc w:val="center"/>
              <w:rPr>
                <w:rFonts w:ascii="Times New Roman" w:hAnsi="Times New Roman" w:eastAsia="宋体" w:cs="Times New Roman"/>
                <w:color w:val="auto"/>
                <w:kern w:val="0"/>
              </w:rPr>
            </w:pPr>
          </w:p>
        </w:tc>
        <w:tc>
          <w:tcPr>
            <w:tcW w:w="371" w:type="pct"/>
            <w:noWrap/>
            <w:vAlign w:val="center"/>
          </w:tcPr>
          <w:p w14:paraId="5C33C4DE">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038941EF">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vAlign w:val="center"/>
          </w:tcPr>
          <w:p w14:paraId="6A503723">
            <w:pPr>
              <w:spacing w:line="240" w:lineRule="exact"/>
              <w:jc w:val="center"/>
              <w:rPr>
                <w:rFonts w:ascii="Times New Roman" w:hAnsi="Times New Roman" w:eastAsia="宋体" w:cs="Times New Roman"/>
                <w:color w:val="auto"/>
                <w:kern w:val="0"/>
              </w:rPr>
            </w:pPr>
          </w:p>
        </w:tc>
        <w:tc>
          <w:tcPr>
            <w:tcW w:w="474" w:type="pct"/>
            <w:vMerge w:val="continue"/>
            <w:vAlign w:val="center"/>
          </w:tcPr>
          <w:p w14:paraId="4A393450">
            <w:pPr>
              <w:spacing w:line="240" w:lineRule="exact"/>
              <w:jc w:val="center"/>
              <w:rPr>
                <w:rFonts w:ascii="Times New Roman" w:hAnsi="Times New Roman" w:eastAsia="宋体" w:cs="Times New Roman"/>
                <w:color w:val="auto"/>
                <w:kern w:val="0"/>
              </w:rPr>
            </w:pPr>
          </w:p>
        </w:tc>
        <w:tc>
          <w:tcPr>
            <w:tcW w:w="457" w:type="pct"/>
            <w:vMerge w:val="continue"/>
            <w:vAlign w:val="center"/>
          </w:tcPr>
          <w:p w14:paraId="7094BF05">
            <w:pPr>
              <w:spacing w:line="240" w:lineRule="exact"/>
              <w:jc w:val="center"/>
              <w:rPr>
                <w:rFonts w:ascii="Times New Roman" w:hAnsi="Times New Roman" w:eastAsia="宋体" w:cs="Times New Roman"/>
                <w:color w:val="auto"/>
                <w:kern w:val="0"/>
              </w:rPr>
            </w:pPr>
          </w:p>
        </w:tc>
        <w:tc>
          <w:tcPr>
            <w:tcW w:w="799" w:type="pct"/>
            <w:vMerge w:val="continue"/>
            <w:vAlign w:val="center"/>
          </w:tcPr>
          <w:p w14:paraId="6885F7E9">
            <w:pPr>
              <w:spacing w:line="240" w:lineRule="exact"/>
              <w:jc w:val="center"/>
              <w:rPr>
                <w:rFonts w:ascii="Times New Roman" w:hAnsi="Times New Roman" w:eastAsia="宋体" w:cs="Times New Roman"/>
                <w:color w:val="auto"/>
                <w:kern w:val="0"/>
              </w:rPr>
            </w:pPr>
          </w:p>
        </w:tc>
        <w:tc>
          <w:tcPr>
            <w:tcW w:w="499" w:type="pct"/>
            <w:noWrap/>
            <w:vAlign w:val="center"/>
          </w:tcPr>
          <w:p w14:paraId="133EA2A8">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2026.4.28</w:t>
            </w:r>
          </w:p>
        </w:tc>
        <w:tc>
          <w:tcPr>
            <w:tcW w:w="299" w:type="pct"/>
            <w:vAlign w:val="center"/>
          </w:tcPr>
          <w:p w14:paraId="121D6422">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夜间</w:t>
            </w:r>
          </w:p>
        </w:tc>
        <w:tc>
          <w:tcPr>
            <w:tcW w:w="499" w:type="pct"/>
            <w:vAlign w:val="center"/>
          </w:tcPr>
          <w:p w14:paraId="04B9051A">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38</w:t>
            </w:r>
          </w:p>
        </w:tc>
        <w:tc>
          <w:tcPr>
            <w:tcW w:w="335" w:type="pct"/>
            <w:noWrap/>
            <w:vAlign w:val="center"/>
          </w:tcPr>
          <w:p w14:paraId="624A6003">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35" w:type="pct"/>
            <w:noWrap/>
            <w:vAlign w:val="center"/>
          </w:tcPr>
          <w:p w14:paraId="40B2292C">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35" w:type="pct"/>
            <w:noWrap/>
            <w:vAlign w:val="center"/>
          </w:tcPr>
          <w:p w14:paraId="5F3C7922">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42" w:type="pct"/>
            <w:vMerge w:val="continue"/>
            <w:noWrap/>
            <w:vAlign w:val="center"/>
          </w:tcPr>
          <w:p w14:paraId="37EC3B93">
            <w:pPr>
              <w:spacing w:line="240" w:lineRule="exact"/>
              <w:jc w:val="center"/>
              <w:rPr>
                <w:rFonts w:ascii="Times New Roman" w:hAnsi="Times New Roman" w:eastAsia="宋体" w:cs="Times New Roman"/>
                <w:color w:val="auto"/>
                <w:kern w:val="0"/>
              </w:rPr>
            </w:pPr>
          </w:p>
        </w:tc>
        <w:tc>
          <w:tcPr>
            <w:tcW w:w="371" w:type="pct"/>
            <w:noWrap/>
            <w:vAlign w:val="center"/>
          </w:tcPr>
          <w:p w14:paraId="276F1D80">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35845957">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vAlign w:val="center"/>
          </w:tcPr>
          <w:p w14:paraId="048EE7BA">
            <w:pPr>
              <w:spacing w:line="240" w:lineRule="exact"/>
              <w:jc w:val="center"/>
              <w:rPr>
                <w:rFonts w:ascii="Times New Roman" w:hAnsi="Times New Roman" w:eastAsia="宋体" w:cs="Times New Roman"/>
                <w:color w:val="auto"/>
                <w:kern w:val="0"/>
              </w:rPr>
            </w:pPr>
          </w:p>
        </w:tc>
        <w:tc>
          <w:tcPr>
            <w:tcW w:w="474" w:type="pct"/>
            <w:vMerge w:val="continue"/>
            <w:vAlign w:val="center"/>
          </w:tcPr>
          <w:p w14:paraId="03DE3DAF">
            <w:pPr>
              <w:spacing w:line="240" w:lineRule="exact"/>
              <w:jc w:val="center"/>
              <w:rPr>
                <w:rFonts w:ascii="Times New Roman" w:hAnsi="Times New Roman" w:eastAsia="宋体" w:cs="Times New Roman"/>
                <w:color w:val="auto"/>
                <w:kern w:val="0"/>
              </w:rPr>
            </w:pPr>
          </w:p>
        </w:tc>
        <w:tc>
          <w:tcPr>
            <w:tcW w:w="457" w:type="pct"/>
            <w:vMerge w:val="continue"/>
            <w:vAlign w:val="center"/>
          </w:tcPr>
          <w:p w14:paraId="06BD8047">
            <w:pPr>
              <w:spacing w:line="240" w:lineRule="exact"/>
              <w:jc w:val="center"/>
              <w:rPr>
                <w:rFonts w:ascii="Times New Roman" w:hAnsi="Times New Roman" w:eastAsia="宋体" w:cs="Times New Roman"/>
                <w:color w:val="auto"/>
                <w:kern w:val="0"/>
              </w:rPr>
            </w:pPr>
          </w:p>
        </w:tc>
        <w:tc>
          <w:tcPr>
            <w:tcW w:w="799" w:type="pct"/>
            <w:vMerge w:val="continue"/>
            <w:vAlign w:val="center"/>
          </w:tcPr>
          <w:p w14:paraId="25485213">
            <w:pPr>
              <w:spacing w:line="240" w:lineRule="exact"/>
              <w:jc w:val="center"/>
              <w:rPr>
                <w:rFonts w:ascii="Times New Roman" w:hAnsi="Times New Roman" w:eastAsia="宋体" w:cs="Times New Roman"/>
                <w:color w:val="auto"/>
                <w:kern w:val="0"/>
              </w:rPr>
            </w:pPr>
          </w:p>
        </w:tc>
        <w:tc>
          <w:tcPr>
            <w:tcW w:w="499" w:type="pct"/>
            <w:noWrap/>
            <w:vAlign w:val="center"/>
          </w:tcPr>
          <w:p w14:paraId="2596FF39">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2026.4.28</w:t>
            </w:r>
          </w:p>
        </w:tc>
        <w:tc>
          <w:tcPr>
            <w:tcW w:w="299" w:type="pct"/>
            <w:vAlign w:val="center"/>
          </w:tcPr>
          <w:p w14:paraId="43DF2639">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昼间</w:t>
            </w:r>
          </w:p>
        </w:tc>
        <w:tc>
          <w:tcPr>
            <w:tcW w:w="499" w:type="pct"/>
            <w:vAlign w:val="center"/>
          </w:tcPr>
          <w:p w14:paraId="5D967471">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44</w:t>
            </w:r>
          </w:p>
        </w:tc>
        <w:tc>
          <w:tcPr>
            <w:tcW w:w="335" w:type="pct"/>
            <w:noWrap/>
            <w:vAlign w:val="center"/>
          </w:tcPr>
          <w:p w14:paraId="2C29D2FD">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35" w:type="pct"/>
            <w:noWrap/>
            <w:vAlign w:val="center"/>
          </w:tcPr>
          <w:p w14:paraId="6C185A0D">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35" w:type="pct"/>
            <w:noWrap/>
            <w:vAlign w:val="center"/>
          </w:tcPr>
          <w:p w14:paraId="04E8A492">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42" w:type="pct"/>
            <w:vMerge w:val="continue"/>
            <w:noWrap/>
            <w:vAlign w:val="center"/>
          </w:tcPr>
          <w:p w14:paraId="0F9E4DF0">
            <w:pPr>
              <w:spacing w:line="240" w:lineRule="exact"/>
              <w:jc w:val="center"/>
              <w:rPr>
                <w:rFonts w:ascii="Times New Roman" w:hAnsi="Times New Roman" w:eastAsia="宋体" w:cs="Times New Roman"/>
                <w:color w:val="auto"/>
                <w:kern w:val="0"/>
              </w:rPr>
            </w:pPr>
          </w:p>
        </w:tc>
        <w:tc>
          <w:tcPr>
            <w:tcW w:w="371" w:type="pct"/>
            <w:noWrap/>
            <w:vAlign w:val="center"/>
          </w:tcPr>
          <w:p w14:paraId="43A546AA">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606A7A1A">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vAlign w:val="center"/>
          </w:tcPr>
          <w:p w14:paraId="07DEBEAD">
            <w:pPr>
              <w:spacing w:line="240" w:lineRule="exact"/>
              <w:jc w:val="center"/>
              <w:rPr>
                <w:rFonts w:ascii="Times New Roman" w:hAnsi="Times New Roman" w:eastAsia="宋体" w:cs="Times New Roman"/>
                <w:color w:val="auto"/>
                <w:kern w:val="0"/>
              </w:rPr>
            </w:pPr>
          </w:p>
        </w:tc>
        <w:tc>
          <w:tcPr>
            <w:tcW w:w="474" w:type="pct"/>
            <w:vMerge w:val="continue"/>
            <w:vAlign w:val="center"/>
          </w:tcPr>
          <w:p w14:paraId="6A3F6C71">
            <w:pPr>
              <w:spacing w:line="240" w:lineRule="exact"/>
              <w:jc w:val="center"/>
              <w:rPr>
                <w:rFonts w:ascii="Times New Roman" w:hAnsi="Times New Roman" w:eastAsia="宋体" w:cs="Times New Roman"/>
                <w:color w:val="auto"/>
                <w:kern w:val="0"/>
              </w:rPr>
            </w:pPr>
          </w:p>
        </w:tc>
        <w:tc>
          <w:tcPr>
            <w:tcW w:w="457" w:type="pct"/>
            <w:vMerge w:val="continue"/>
            <w:vAlign w:val="center"/>
          </w:tcPr>
          <w:p w14:paraId="6BBC6838">
            <w:pPr>
              <w:spacing w:line="240" w:lineRule="exact"/>
              <w:jc w:val="center"/>
              <w:rPr>
                <w:rFonts w:ascii="Times New Roman" w:hAnsi="Times New Roman" w:eastAsia="宋体" w:cs="Times New Roman"/>
                <w:color w:val="auto"/>
                <w:kern w:val="0"/>
              </w:rPr>
            </w:pPr>
          </w:p>
        </w:tc>
        <w:tc>
          <w:tcPr>
            <w:tcW w:w="799" w:type="pct"/>
            <w:vMerge w:val="continue"/>
            <w:vAlign w:val="center"/>
          </w:tcPr>
          <w:p w14:paraId="5BD5B4A9">
            <w:pPr>
              <w:spacing w:line="240" w:lineRule="exact"/>
              <w:jc w:val="center"/>
              <w:rPr>
                <w:rFonts w:ascii="Times New Roman" w:hAnsi="Times New Roman" w:eastAsia="宋体" w:cs="Times New Roman"/>
                <w:color w:val="auto"/>
                <w:kern w:val="0"/>
              </w:rPr>
            </w:pPr>
          </w:p>
        </w:tc>
        <w:tc>
          <w:tcPr>
            <w:tcW w:w="499" w:type="pct"/>
            <w:noWrap/>
            <w:vAlign w:val="center"/>
          </w:tcPr>
          <w:p w14:paraId="33C2404F">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2026.4.29</w:t>
            </w:r>
          </w:p>
        </w:tc>
        <w:tc>
          <w:tcPr>
            <w:tcW w:w="299" w:type="pct"/>
            <w:vAlign w:val="center"/>
          </w:tcPr>
          <w:p w14:paraId="15EFBA5C">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夜间</w:t>
            </w:r>
          </w:p>
        </w:tc>
        <w:tc>
          <w:tcPr>
            <w:tcW w:w="499" w:type="pct"/>
            <w:vAlign w:val="center"/>
          </w:tcPr>
          <w:p w14:paraId="26DAE8BD">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36</w:t>
            </w:r>
          </w:p>
        </w:tc>
        <w:tc>
          <w:tcPr>
            <w:tcW w:w="335" w:type="pct"/>
            <w:noWrap/>
            <w:vAlign w:val="center"/>
          </w:tcPr>
          <w:p w14:paraId="652E2289">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35" w:type="pct"/>
            <w:noWrap/>
            <w:vAlign w:val="center"/>
          </w:tcPr>
          <w:p w14:paraId="5765EDF0">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35" w:type="pct"/>
            <w:noWrap/>
            <w:vAlign w:val="center"/>
          </w:tcPr>
          <w:p w14:paraId="19C0C33B">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42" w:type="pct"/>
            <w:vMerge w:val="continue"/>
            <w:noWrap/>
            <w:vAlign w:val="center"/>
          </w:tcPr>
          <w:p w14:paraId="45D62912">
            <w:pPr>
              <w:spacing w:line="240" w:lineRule="exact"/>
              <w:jc w:val="center"/>
              <w:rPr>
                <w:rFonts w:ascii="Times New Roman" w:hAnsi="Times New Roman" w:eastAsia="宋体" w:cs="Times New Roman"/>
                <w:color w:val="auto"/>
                <w:kern w:val="0"/>
              </w:rPr>
            </w:pPr>
          </w:p>
        </w:tc>
        <w:tc>
          <w:tcPr>
            <w:tcW w:w="371" w:type="pct"/>
            <w:noWrap/>
            <w:vAlign w:val="center"/>
          </w:tcPr>
          <w:p w14:paraId="1D876629">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bl>
    <w:p w14:paraId="1106A327">
      <w:pPr>
        <w:rPr>
          <w:color w:val="auto"/>
          <w:highlight w:val="yellow"/>
        </w:rPr>
        <w:sectPr>
          <w:footerReference r:id="rId47" w:type="default"/>
          <w:footerReference r:id="rId48" w:type="even"/>
          <w:pgSz w:w="16838" w:h="11906" w:orient="landscape"/>
          <w:pgMar w:top="1560" w:right="1440" w:bottom="1560" w:left="1559" w:header="851" w:footer="992" w:gutter="0"/>
          <w:pgBorders>
            <w:top w:val="none" w:sz="0" w:space="0"/>
            <w:left w:val="none" w:sz="0" w:space="0"/>
            <w:bottom w:val="none" w:sz="0" w:space="0"/>
            <w:right w:val="none" w:sz="0" w:space="0"/>
          </w:pgBorders>
          <w:cols w:space="720" w:num="1"/>
          <w:docGrid w:linePitch="312" w:charSpace="0"/>
        </w:sectPr>
      </w:pPr>
    </w:p>
    <w:p w14:paraId="1F0EC9D6">
      <w:pPr>
        <w:spacing w:beforeLines="50"/>
        <w:jc w:val="center"/>
        <w:rPr>
          <w:rFonts w:ascii="Times New Roman" w:hAnsi="Times New Roman" w:eastAsia="宋体" w:cs="Times New Roman"/>
          <w:b/>
          <w:bCs/>
          <w:color w:val="auto"/>
          <w:szCs w:val="21"/>
        </w:rPr>
      </w:pPr>
      <w:r>
        <w:rPr>
          <w:rFonts w:hint="eastAsia" w:ascii="Times New Roman" w:hAnsi="Times New Roman" w:eastAsia="宋体" w:cs="Times New Roman"/>
          <w:b/>
          <w:bCs/>
          <w:color w:val="auto"/>
          <w:spacing w:val="4"/>
          <w:szCs w:val="21"/>
        </w:rPr>
        <w:t>续 表</w:t>
      </w:r>
      <w:r>
        <w:rPr>
          <w:rFonts w:ascii="Times New Roman" w:hAnsi="Times New Roman" w:eastAsia="宋体" w:cs="Times New Roman"/>
          <w:b/>
          <w:bCs/>
          <w:color w:val="auto"/>
          <w:spacing w:val="4"/>
          <w:szCs w:val="21"/>
        </w:rPr>
        <w:t xml:space="preserve">3.2-3 </w:t>
      </w:r>
      <w:r>
        <w:rPr>
          <w:rFonts w:hint="eastAsia" w:ascii="Times New Roman" w:hAnsi="Times New Roman" w:eastAsia="宋体" w:cs="Times New Roman"/>
          <w:b/>
          <w:bCs/>
          <w:color w:val="auto"/>
          <w:spacing w:val="4"/>
          <w:szCs w:val="21"/>
        </w:rPr>
        <w:t xml:space="preserve"> </w:t>
      </w:r>
      <w:r>
        <w:rPr>
          <w:rFonts w:ascii="Times New Roman" w:hAnsi="Times New Roman" w:eastAsia="宋体" w:cs="Times New Roman"/>
          <w:b/>
          <w:bCs/>
          <w:color w:val="auto"/>
          <w:szCs w:val="21"/>
        </w:rPr>
        <w:t>拟建</w:t>
      </w:r>
      <w:r>
        <w:rPr>
          <w:rFonts w:hint="eastAsia" w:ascii="Times New Roman" w:hAnsi="Times New Roman" w:eastAsia="宋体" w:cs="Times New Roman"/>
          <w:b/>
          <w:bCs/>
          <w:color w:val="auto"/>
          <w:szCs w:val="21"/>
        </w:rPr>
        <w:t>公路敏感点声</w:t>
      </w:r>
      <w:r>
        <w:rPr>
          <w:rFonts w:ascii="Times New Roman" w:hAnsi="Times New Roman" w:eastAsia="宋体" w:cs="Times New Roman"/>
          <w:b/>
          <w:bCs/>
          <w:color w:val="auto"/>
          <w:szCs w:val="21"/>
        </w:rPr>
        <w:t>环境</w:t>
      </w:r>
      <w:r>
        <w:rPr>
          <w:rFonts w:hint="eastAsia" w:ascii="Times New Roman" w:hAnsi="Times New Roman" w:eastAsia="宋体" w:cs="Times New Roman"/>
          <w:b/>
          <w:bCs/>
          <w:color w:val="auto"/>
          <w:szCs w:val="21"/>
        </w:rPr>
        <w:t>现状</w:t>
      </w:r>
      <w:r>
        <w:rPr>
          <w:rFonts w:ascii="Times New Roman" w:hAnsi="Times New Roman" w:eastAsia="宋体" w:cs="Times New Roman"/>
          <w:b/>
          <w:bCs/>
          <w:color w:val="auto"/>
          <w:szCs w:val="21"/>
        </w:rPr>
        <w:t>监测结果及达标分析表</w:t>
      </w:r>
    </w:p>
    <w:tbl>
      <w:tblPr>
        <w:tblStyle w:val="22"/>
        <w:tblW w:w="5051" w:type="pct"/>
        <w:jc w:val="center"/>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25"/>
        <w:gridCol w:w="1346"/>
        <w:gridCol w:w="1298"/>
        <w:gridCol w:w="2269"/>
        <w:gridCol w:w="1417"/>
        <w:gridCol w:w="849"/>
        <w:gridCol w:w="1417"/>
        <w:gridCol w:w="951"/>
        <w:gridCol w:w="951"/>
        <w:gridCol w:w="951"/>
        <w:gridCol w:w="971"/>
        <w:gridCol w:w="1053"/>
      </w:tblGrid>
      <w:tr w14:paraId="10F63C1D">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255" w:type="pct"/>
            <w:vMerge w:val="restart"/>
            <w:noWrap/>
            <w:vAlign w:val="center"/>
          </w:tcPr>
          <w:p w14:paraId="74031522">
            <w:pPr>
              <w:spacing w:line="240" w:lineRule="exact"/>
              <w:jc w:val="center"/>
              <w:rPr>
                <w:rFonts w:ascii="Times New Roman" w:hAnsi="Times New Roman" w:eastAsia="宋体" w:cs="Times New Roman"/>
                <w:b/>
                <w:color w:val="auto"/>
                <w:kern w:val="0"/>
              </w:rPr>
            </w:pPr>
            <w:r>
              <w:rPr>
                <w:rFonts w:hint="eastAsia" w:ascii="Times New Roman" w:hAnsi="Times New Roman" w:eastAsia="宋体" w:cs="Times New Roman"/>
                <w:b/>
                <w:color w:val="auto"/>
                <w:kern w:val="0"/>
              </w:rPr>
              <w:t>序号</w:t>
            </w:r>
          </w:p>
        </w:tc>
        <w:tc>
          <w:tcPr>
            <w:tcW w:w="474" w:type="pct"/>
            <w:vMerge w:val="restart"/>
            <w:noWrap/>
            <w:vAlign w:val="center"/>
          </w:tcPr>
          <w:p w14:paraId="002E0CC6">
            <w:pPr>
              <w:spacing w:line="240" w:lineRule="exact"/>
              <w:jc w:val="center"/>
              <w:rPr>
                <w:rFonts w:ascii="Times New Roman" w:hAnsi="Times New Roman" w:eastAsia="宋体" w:cs="Times New Roman"/>
                <w:b/>
                <w:color w:val="auto"/>
                <w:kern w:val="0"/>
              </w:rPr>
            </w:pPr>
            <w:r>
              <w:rPr>
                <w:rFonts w:ascii="Times New Roman" w:hAnsi="Times New Roman" w:eastAsia="宋体" w:cs="Times New Roman"/>
                <w:b/>
                <w:color w:val="auto"/>
                <w:kern w:val="0"/>
              </w:rPr>
              <w:t>监测点位</w:t>
            </w:r>
          </w:p>
        </w:tc>
        <w:tc>
          <w:tcPr>
            <w:tcW w:w="1256" w:type="pct"/>
            <w:gridSpan w:val="2"/>
            <w:vMerge w:val="restart"/>
            <w:noWrap/>
            <w:vAlign w:val="center"/>
          </w:tcPr>
          <w:p w14:paraId="4B705D67">
            <w:pPr>
              <w:spacing w:line="240" w:lineRule="exact"/>
              <w:jc w:val="center"/>
              <w:rPr>
                <w:rFonts w:ascii="Times New Roman" w:hAnsi="Times New Roman" w:eastAsia="宋体" w:cs="Times New Roman"/>
                <w:b/>
                <w:color w:val="auto"/>
                <w:kern w:val="0"/>
              </w:rPr>
            </w:pPr>
            <w:r>
              <w:rPr>
                <w:rFonts w:ascii="Times New Roman" w:hAnsi="Times New Roman" w:eastAsia="宋体" w:cs="Times New Roman"/>
                <w:b/>
                <w:color w:val="auto"/>
                <w:kern w:val="0"/>
              </w:rPr>
              <w:t>噪声类型</w:t>
            </w:r>
          </w:p>
        </w:tc>
        <w:tc>
          <w:tcPr>
            <w:tcW w:w="798" w:type="pct"/>
            <w:gridSpan w:val="2"/>
            <w:noWrap/>
            <w:vAlign w:val="center"/>
          </w:tcPr>
          <w:p w14:paraId="2F339BFC">
            <w:pPr>
              <w:spacing w:line="240" w:lineRule="exact"/>
              <w:jc w:val="center"/>
              <w:rPr>
                <w:rFonts w:ascii="Times New Roman" w:hAnsi="Times New Roman" w:eastAsia="宋体" w:cs="Times New Roman"/>
                <w:b/>
                <w:color w:val="auto"/>
                <w:kern w:val="0"/>
              </w:rPr>
            </w:pPr>
            <w:r>
              <w:rPr>
                <w:rFonts w:ascii="Times New Roman" w:hAnsi="Times New Roman" w:eastAsia="宋体" w:cs="Times New Roman"/>
                <w:b/>
                <w:color w:val="auto"/>
                <w:kern w:val="0"/>
              </w:rPr>
              <w:t>监测时间</w:t>
            </w:r>
          </w:p>
        </w:tc>
        <w:tc>
          <w:tcPr>
            <w:tcW w:w="499" w:type="pct"/>
            <w:vMerge w:val="restart"/>
            <w:vAlign w:val="center"/>
          </w:tcPr>
          <w:p w14:paraId="385B2EE1">
            <w:pPr>
              <w:spacing w:line="240" w:lineRule="exact"/>
              <w:jc w:val="center"/>
              <w:rPr>
                <w:rFonts w:ascii="Times New Roman" w:hAnsi="Times New Roman" w:eastAsia="宋体" w:cs="Times New Roman"/>
                <w:b/>
                <w:color w:val="auto"/>
                <w:kern w:val="0"/>
              </w:rPr>
            </w:pPr>
            <w:r>
              <w:rPr>
                <w:rFonts w:hint="eastAsia" w:ascii="Times New Roman" w:hAnsi="Times New Roman" w:eastAsia="宋体" w:cs="Times New Roman"/>
                <w:b/>
                <w:bCs/>
                <w:color w:val="auto"/>
              </w:rPr>
              <w:t>监测结果Leq（dB）</w:t>
            </w:r>
          </w:p>
        </w:tc>
        <w:tc>
          <w:tcPr>
            <w:tcW w:w="1005" w:type="pct"/>
            <w:gridSpan w:val="3"/>
            <w:noWrap/>
            <w:vAlign w:val="center"/>
          </w:tcPr>
          <w:p w14:paraId="6C98F5B9">
            <w:pPr>
              <w:spacing w:line="240" w:lineRule="exact"/>
              <w:jc w:val="center"/>
              <w:rPr>
                <w:rFonts w:ascii="Times New Roman" w:hAnsi="Times New Roman" w:eastAsia="宋体" w:cs="Times New Roman"/>
                <w:b/>
                <w:color w:val="auto"/>
                <w:kern w:val="0"/>
              </w:rPr>
            </w:pPr>
            <w:r>
              <w:rPr>
                <w:rFonts w:ascii="Times New Roman" w:hAnsi="Times New Roman" w:eastAsia="宋体" w:cs="Times New Roman"/>
                <w:b/>
                <w:color w:val="auto"/>
                <w:kern w:val="0"/>
              </w:rPr>
              <w:t>车流量（辆/</w:t>
            </w:r>
            <w:r>
              <w:rPr>
                <w:rFonts w:hint="eastAsia" w:ascii="Times New Roman" w:hAnsi="Times New Roman" w:eastAsia="宋体" w:cs="Times New Roman"/>
                <w:b/>
                <w:color w:val="auto"/>
                <w:kern w:val="0"/>
              </w:rPr>
              <w:t>h</w:t>
            </w:r>
            <w:r>
              <w:rPr>
                <w:rFonts w:ascii="Times New Roman" w:hAnsi="Times New Roman" w:eastAsia="宋体" w:cs="Times New Roman"/>
                <w:b/>
                <w:color w:val="auto"/>
                <w:kern w:val="0"/>
              </w:rPr>
              <w:t>）</w:t>
            </w:r>
          </w:p>
        </w:tc>
        <w:tc>
          <w:tcPr>
            <w:tcW w:w="342" w:type="pct"/>
            <w:vMerge w:val="restart"/>
            <w:vAlign w:val="center"/>
          </w:tcPr>
          <w:p w14:paraId="06B2A7AE">
            <w:pPr>
              <w:spacing w:line="240" w:lineRule="exact"/>
              <w:jc w:val="center"/>
              <w:rPr>
                <w:rFonts w:ascii="Times New Roman" w:hAnsi="Times New Roman" w:eastAsia="宋体" w:cs="Times New Roman"/>
                <w:b/>
                <w:color w:val="auto"/>
                <w:kern w:val="0"/>
              </w:rPr>
            </w:pPr>
            <w:r>
              <w:rPr>
                <w:rFonts w:ascii="Times New Roman" w:hAnsi="Times New Roman" w:eastAsia="宋体" w:cs="Times New Roman"/>
                <w:b/>
                <w:color w:val="auto"/>
                <w:kern w:val="0"/>
              </w:rPr>
              <w:t>评价标准</w:t>
            </w:r>
          </w:p>
        </w:tc>
        <w:tc>
          <w:tcPr>
            <w:tcW w:w="371" w:type="pct"/>
            <w:vMerge w:val="restart"/>
            <w:noWrap/>
            <w:vAlign w:val="center"/>
          </w:tcPr>
          <w:p w14:paraId="2E18AEDC">
            <w:pPr>
              <w:spacing w:line="240" w:lineRule="exact"/>
              <w:jc w:val="center"/>
              <w:rPr>
                <w:rFonts w:ascii="Times New Roman" w:hAnsi="Times New Roman" w:eastAsia="宋体" w:cs="Times New Roman"/>
                <w:b/>
                <w:color w:val="auto"/>
                <w:kern w:val="0"/>
              </w:rPr>
            </w:pPr>
            <w:r>
              <w:rPr>
                <w:rFonts w:ascii="Times New Roman" w:hAnsi="Times New Roman" w:eastAsia="宋体" w:cs="Times New Roman"/>
                <w:b/>
                <w:color w:val="auto"/>
                <w:kern w:val="0"/>
              </w:rPr>
              <w:t>达标情况</w:t>
            </w:r>
          </w:p>
        </w:tc>
      </w:tr>
      <w:tr w14:paraId="36A48D90">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255" w:type="pct"/>
            <w:vMerge w:val="continue"/>
            <w:vAlign w:val="center"/>
          </w:tcPr>
          <w:p w14:paraId="6C040485">
            <w:pPr>
              <w:spacing w:line="240" w:lineRule="exact"/>
              <w:jc w:val="center"/>
              <w:rPr>
                <w:rFonts w:ascii="Times New Roman" w:hAnsi="Times New Roman" w:eastAsia="宋体" w:cs="Times New Roman"/>
                <w:b/>
                <w:color w:val="auto"/>
                <w:kern w:val="0"/>
              </w:rPr>
            </w:pPr>
          </w:p>
        </w:tc>
        <w:tc>
          <w:tcPr>
            <w:tcW w:w="474" w:type="pct"/>
            <w:vMerge w:val="continue"/>
            <w:vAlign w:val="center"/>
          </w:tcPr>
          <w:p w14:paraId="13E01779">
            <w:pPr>
              <w:spacing w:line="240" w:lineRule="exact"/>
              <w:jc w:val="center"/>
              <w:rPr>
                <w:rFonts w:ascii="Times New Roman" w:hAnsi="Times New Roman" w:eastAsia="宋体" w:cs="Times New Roman"/>
                <w:b/>
                <w:color w:val="auto"/>
                <w:kern w:val="0"/>
              </w:rPr>
            </w:pPr>
          </w:p>
        </w:tc>
        <w:tc>
          <w:tcPr>
            <w:tcW w:w="1256" w:type="pct"/>
            <w:gridSpan w:val="2"/>
            <w:vMerge w:val="continue"/>
            <w:vAlign w:val="center"/>
          </w:tcPr>
          <w:p w14:paraId="07A9973C">
            <w:pPr>
              <w:spacing w:line="240" w:lineRule="exact"/>
              <w:jc w:val="center"/>
              <w:rPr>
                <w:rFonts w:ascii="Times New Roman" w:hAnsi="Times New Roman" w:eastAsia="宋体" w:cs="Times New Roman"/>
                <w:b/>
                <w:color w:val="auto"/>
                <w:kern w:val="0"/>
              </w:rPr>
            </w:pPr>
          </w:p>
        </w:tc>
        <w:tc>
          <w:tcPr>
            <w:tcW w:w="499" w:type="pct"/>
            <w:vAlign w:val="center"/>
          </w:tcPr>
          <w:p w14:paraId="21549DF9">
            <w:pPr>
              <w:spacing w:line="240" w:lineRule="exact"/>
              <w:jc w:val="center"/>
              <w:rPr>
                <w:rFonts w:ascii="Times New Roman" w:hAnsi="Times New Roman" w:eastAsia="宋体" w:cs="Times New Roman"/>
                <w:b/>
                <w:color w:val="auto"/>
                <w:kern w:val="0"/>
              </w:rPr>
            </w:pPr>
            <w:r>
              <w:rPr>
                <w:rFonts w:ascii="Times New Roman" w:hAnsi="Times New Roman" w:eastAsia="宋体" w:cs="Times New Roman"/>
                <w:b/>
                <w:color w:val="auto"/>
                <w:kern w:val="0"/>
              </w:rPr>
              <w:t>日期</w:t>
            </w:r>
          </w:p>
        </w:tc>
        <w:tc>
          <w:tcPr>
            <w:tcW w:w="299" w:type="pct"/>
            <w:vAlign w:val="center"/>
          </w:tcPr>
          <w:p w14:paraId="3BD3296F">
            <w:pPr>
              <w:spacing w:line="240" w:lineRule="exact"/>
              <w:jc w:val="center"/>
              <w:rPr>
                <w:rFonts w:ascii="Times New Roman" w:hAnsi="Times New Roman" w:eastAsia="宋体" w:cs="Times New Roman"/>
                <w:b/>
                <w:color w:val="auto"/>
                <w:kern w:val="0"/>
              </w:rPr>
            </w:pPr>
            <w:r>
              <w:rPr>
                <w:rFonts w:ascii="Times New Roman" w:hAnsi="Times New Roman" w:eastAsia="宋体" w:cs="Times New Roman"/>
                <w:b/>
                <w:color w:val="auto"/>
                <w:kern w:val="0"/>
              </w:rPr>
              <w:t>时段</w:t>
            </w:r>
          </w:p>
        </w:tc>
        <w:tc>
          <w:tcPr>
            <w:tcW w:w="499" w:type="pct"/>
            <w:vMerge w:val="continue"/>
            <w:vAlign w:val="center"/>
          </w:tcPr>
          <w:p w14:paraId="4A72B21D">
            <w:pPr>
              <w:spacing w:line="240" w:lineRule="exact"/>
              <w:jc w:val="center"/>
              <w:rPr>
                <w:rFonts w:ascii="Times New Roman" w:hAnsi="Times New Roman" w:eastAsia="宋体" w:cs="Times New Roman"/>
                <w:b/>
                <w:color w:val="auto"/>
              </w:rPr>
            </w:pPr>
          </w:p>
        </w:tc>
        <w:tc>
          <w:tcPr>
            <w:tcW w:w="335" w:type="pct"/>
            <w:noWrap/>
            <w:vAlign w:val="center"/>
          </w:tcPr>
          <w:p w14:paraId="52AC1A32">
            <w:pPr>
              <w:spacing w:line="240" w:lineRule="exact"/>
              <w:jc w:val="center"/>
              <w:rPr>
                <w:rFonts w:ascii="Times New Roman" w:hAnsi="Times New Roman" w:eastAsia="宋体" w:cs="Times New Roman"/>
                <w:b/>
                <w:color w:val="auto"/>
                <w:kern w:val="0"/>
              </w:rPr>
            </w:pPr>
            <w:r>
              <w:rPr>
                <w:rFonts w:ascii="Times New Roman" w:hAnsi="Times New Roman" w:eastAsia="宋体" w:cs="Times New Roman"/>
                <w:b/>
                <w:color w:val="auto"/>
                <w:kern w:val="0"/>
              </w:rPr>
              <w:t>大</w:t>
            </w:r>
          </w:p>
        </w:tc>
        <w:tc>
          <w:tcPr>
            <w:tcW w:w="335" w:type="pct"/>
            <w:noWrap/>
            <w:vAlign w:val="center"/>
          </w:tcPr>
          <w:p w14:paraId="6C68423F">
            <w:pPr>
              <w:spacing w:line="240" w:lineRule="exact"/>
              <w:jc w:val="center"/>
              <w:rPr>
                <w:rFonts w:ascii="Times New Roman" w:hAnsi="Times New Roman" w:eastAsia="宋体" w:cs="Times New Roman"/>
                <w:b/>
                <w:color w:val="auto"/>
                <w:kern w:val="0"/>
              </w:rPr>
            </w:pPr>
            <w:r>
              <w:rPr>
                <w:rFonts w:ascii="Times New Roman" w:hAnsi="Times New Roman" w:eastAsia="宋体" w:cs="Times New Roman"/>
                <w:b/>
                <w:color w:val="auto"/>
                <w:kern w:val="0"/>
              </w:rPr>
              <w:t>中</w:t>
            </w:r>
          </w:p>
        </w:tc>
        <w:tc>
          <w:tcPr>
            <w:tcW w:w="335" w:type="pct"/>
            <w:noWrap/>
            <w:vAlign w:val="center"/>
          </w:tcPr>
          <w:p w14:paraId="00AA5DDC">
            <w:pPr>
              <w:spacing w:line="240" w:lineRule="exact"/>
              <w:jc w:val="center"/>
              <w:rPr>
                <w:rFonts w:ascii="Times New Roman" w:hAnsi="Times New Roman" w:eastAsia="宋体" w:cs="Times New Roman"/>
                <w:b/>
                <w:color w:val="auto"/>
                <w:kern w:val="0"/>
              </w:rPr>
            </w:pPr>
            <w:r>
              <w:rPr>
                <w:rFonts w:ascii="Times New Roman" w:hAnsi="Times New Roman" w:eastAsia="宋体" w:cs="Times New Roman"/>
                <w:b/>
                <w:color w:val="auto"/>
                <w:kern w:val="0"/>
              </w:rPr>
              <w:t>小</w:t>
            </w:r>
          </w:p>
        </w:tc>
        <w:tc>
          <w:tcPr>
            <w:tcW w:w="342" w:type="pct"/>
            <w:vMerge w:val="continue"/>
            <w:vAlign w:val="center"/>
          </w:tcPr>
          <w:p w14:paraId="4CFD429A">
            <w:pPr>
              <w:spacing w:line="240" w:lineRule="exact"/>
              <w:jc w:val="center"/>
              <w:rPr>
                <w:rFonts w:ascii="Times New Roman" w:hAnsi="Times New Roman" w:eastAsia="宋体" w:cs="Times New Roman"/>
                <w:b/>
                <w:color w:val="auto"/>
                <w:kern w:val="0"/>
              </w:rPr>
            </w:pPr>
          </w:p>
        </w:tc>
        <w:tc>
          <w:tcPr>
            <w:tcW w:w="371" w:type="pct"/>
            <w:vMerge w:val="continue"/>
            <w:vAlign w:val="center"/>
          </w:tcPr>
          <w:p w14:paraId="6102F99F">
            <w:pPr>
              <w:spacing w:line="240" w:lineRule="exact"/>
              <w:jc w:val="center"/>
              <w:rPr>
                <w:rFonts w:ascii="Times New Roman" w:hAnsi="Times New Roman" w:eastAsia="宋体" w:cs="Times New Roman"/>
                <w:b/>
                <w:color w:val="auto"/>
                <w:kern w:val="0"/>
              </w:rPr>
            </w:pPr>
          </w:p>
        </w:tc>
      </w:tr>
      <w:tr w14:paraId="22A263F7">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restart"/>
            <w:noWrap/>
            <w:vAlign w:val="center"/>
          </w:tcPr>
          <w:p w14:paraId="28C4747E">
            <w:pPr>
              <w:spacing w:line="240" w:lineRule="exact"/>
              <w:jc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15</w:t>
            </w:r>
          </w:p>
        </w:tc>
        <w:tc>
          <w:tcPr>
            <w:tcW w:w="474" w:type="pct"/>
            <w:vMerge w:val="restart"/>
            <w:noWrap/>
            <w:vAlign w:val="center"/>
          </w:tcPr>
          <w:p w14:paraId="17F7C152">
            <w:pPr>
              <w:spacing w:line="240" w:lineRule="exact"/>
              <w:jc w:val="center"/>
              <w:rPr>
                <w:rFonts w:ascii="Times New Roman" w:hAnsi="Times New Roman" w:eastAsia="宋体" w:cs="Times New Roman"/>
                <w:color w:val="auto"/>
                <w:kern w:val="0"/>
              </w:rPr>
            </w:pPr>
            <w:r>
              <w:rPr>
                <w:rFonts w:hint="eastAsia" w:ascii="Times New Roman" w:cs="Times New Roman" w:hAnsiTheme="minorEastAsia" w:eastAsiaTheme="minorEastAsia"/>
                <w:color w:val="auto"/>
              </w:rPr>
              <w:t>吐碗</w:t>
            </w:r>
          </w:p>
        </w:tc>
        <w:tc>
          <w:tcPr>
            <w:tcW w:w="457" w:type="pct"/>
            <w:vMerge w:val="restart"/>
            <w:vAlign w:val="center"/>
          </w:tcPr>
          <w:p w14:paraId="5ABCC96E">
            <w:pPr>
              <w:spacing w:line="240" w:lineRule="exact"/>
              <w:jc w:val="center"/>
              <w:rPr>
                <w:rFonts w:ascii="Times New Roman" w:hAnsi="Times New Roman" w:eastAsia="宋体" w:cs="Times New Roman"/>
                <w:color w:val="auto"/>
                <w:kern w:val="0"/>
              </w:rPr>
            </w:pPr>
            <w:r>
              <w:rPr>
                <w:rFonts w:ascii="Times New Roman" w:hAnsi="Times New Roman" w:eastAsia="宋体" w:cs="Times New Roman"/>
                <w:color w:val="auto"/>
                <w:kern w:val="0"/>
              </w:rPr>
              <w:t>环境噪声</w:t>
            </w:r>
          </w:p>
        </w:tc>
        <w:tc>
          <w:tcPr>
            <w:tcW w:w="799" w:type="pct"/>
            <w:vMerge w:val="restart"/>
            <w:vAlign w:val="center"/>
          </w:tcPr>
          <w:p w14:paraId="6E3FDADE">
            <w:pPr>
              <w:spacing w:line="240" w:lineRule="exact"/>
              <w:jc w:val="center"/>
              <w:rPr>
                <w:rFonts w:ascii="Times New Roman" w:hAnsi="Times New Roman" w:eastAsia="宋体" w:cs="Times New Roman"/>
                <w:color w:val="auto"/>
                <w:kern w:val="0"/>
              </w:rPr>
            </w:pPr>
            <w:r>
              <w:rPr>
                <w:rFonts w:ascii="Times New Roman" w:hAnsi="Times New Roman" w:eastAsia="宋体" w:cs="Times New Roman"/>
                <w:color w:val="auto"/>
              </w:rPr>
              <w:t>临现有</w:t>
            </w:r>
            <w:r>
              <w:rPr>
                <w:rFonts w:hint="eastAsia" w:ascii="Times New Roman" w:hAnsi="Times New Roman" w:eastAsia="宋体" w:cs="Times New Roman"/>
                <w:color w:val="auto"/>
              </w:rPr>
              <w:t>G219</w:t>
            </w:r>
            <w:r>
              <w:rPr>
                <w:rFonts w:ascii="Times New Roman" w:hAnsi="Times New Roman" w:eastAsia="宋体" w:cs="Times New Roman"/>
                <w:color w:val="auto"/>
              </w:rPr>
              <w:t>第一排房</w:t>
            </w:r>
            <w:r>
              <w:rPr>
                <w:rFonts w:hint="eastAsia" w:ascii="Times New Roman" w:hAnsi="Times New Roman" w:eastAsia="宋体" w:cs="Times New Roman"/>
                <w:color w:val="auto"/>
              </w:rPr>
              <w:t>1</w:t>
            </w:r>
            <w:r>
              <w:rPr>
                <w:rFonts w:ascii="Times New Roman" w:hAnsi="Times New Roman" w:eastAsia="宋体" w:cs="Times New Roman"/>
                <w:color w:val="auto"/>
              </w:rPr>
              <w:t>层</w:t>
            </w:r>
          </w:p>
        </w:tc>
        <w:tc>
          <w:tcPr>
            <w:tcW w:w="499" w:type="pct"/>
            <w:noWrap/>
            <w:vAlign w:val="center"/>
          </w:tcPr>
          <w:p w14:paraId="43143099">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2026.4.27</w:t>
            </w:r>
          </w:p>
        </w:tc>
        <w:tc>
          <w:tcPr>
            <w:tcW w:w="299" w:type="pct"/>
            <w:vAlign w:val="center"/>
          </w:tcPr>
          <w:p w14:paraId="2937B629">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昼间</w:t>
            </w:r>
          </w:p>
        </w:tc>
        <w:tc>
          <w:tcPr>
            <w:tcW w:w="499" w:type="pct"/>
            <w:vAlign w:val="center"/>
          </w:tcPr>
          <w:p w14:paraId="04AE4D53">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55</w:t>
            </w:r>
          </w:p>
        </w:tc>
        <w:tc>
          <w:tcPr>
            <w:tcW w:w="335" w:type="pct"/>
            <w:noWrap/>
            <w:vAlign w:val="center"/>
          </w:tcPr>
          <w:p w14:paraId="60B123AC">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48</w:t>
            </w:r>
          </w:p>
        </w:tc>
        <w:tc>
          <w:tcPr>
            <w:tcW w:w="335" w:type="pct"/>
            <w:noWrap/>
            <w:vAlign w:val="center"/>
          </w:tcPr>
          <w:p w14:paraId="621A6EA4">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30</w:t>
            </w:r>
          </w:p>
        </w:tc>
        <w:tc>
          <w:tcPr>
            <w:tcW w:w="335" w:type="pct"/>
            <w:noWrap/>
            <w:vAlign w:val="center"/>
          </w:tcPr>
          <w:p w14:paraId="5FE1BB61">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120</w:t>
            </w:r>
          </w:p>
        </w:tc>
        <w:tc>
          <w:tcPr>
            <w:tcW w:w="342" w:type="pct"/>
            <w:vMerge w:val="restart"/>
            <w:noWrap/>
            <w:vAlign w:val="center"/>
          </w:tcPr>
          <w:p w14:paraId="780F46FB">
            <w:pPr>
              <w:spacing w:line="240" w:lineRule="exact"/>
              <w:jc w:val="center"/>
              <w:rPr>
                <w:rFonts w:ascii="Times New Roman" w:hAnsi="Times New Roman" w:eastAsia="宋体" w:cs="Times New Roman"/>
                <w:color w:val="auto"/>
                <w:kern w:val="0"/>
              </w:rPr>
            </w:pPr>
            <w:r>
              <w:rPr>
                <w:rFonts w:ascii="Times New Roman" w:hAnsi="Times New Roman" w:eastAsia="宋体" w:cs="Times New Roman"/>
                <w:color w:val="auto"/>
                <w:kern w:val="0"/>
              </w:rPr>
              <w:t>4a类</w:t>
            </w:r>
          </w:p>
        </w:tc>
        <w:tc>
          <w:tcPr>
            <w:tcW w:w="371" w:type="pct"/>
            <w:noWrap/>
            <w:vAlign w:val="center"/>
          </w:tcPr>
          <w:p w14:paraId="1A2684CC">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64C2BC4E">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vAlign w:val="center"/>
          </w:tcPr>
          <w:p w14:paraId="1CE81BBD">
            <w:pPr>
              <w:spacing w:line="240" w:lineRule="exact"/>
              <w:jc w:val="center"/>
              <w:rPr>
                <w:rFonts w:ascii="Times New Roman" w:hAnsi="Times New Roman" w:eastAsia="宋体" w:cs="Times New Roman"/>
                <w:color w:val="auto"/>
                <w:kern w:val="0"/>
              </w:rPr>
            </w:pPr>
          </w:p>
        </w:tc>
        <w:tc>
          <w:tcPr>
            <w:tcW w:w="474" w:type="pct"/>
            <w:vMerge w:val="continue"/>
            <w:vAlign w:val="center"/>
          </w:tcPr>
          <w:p w14:paraId="1D7108EF">
            <w:pPr>
              <w:spacing w:line="240" w:lineRule="exact"/>
              <w:jc w:val="center"/>
              <w:rPr>
                <w:rFonts w:ascii="Times New Roman" w:hAnsi="Times New Roman" w:eastAsia="宋体" w:cs="Times New Roman"/>
                <w:color w:val="auto"/>
                <w:kern w:val="0"/>
              </w:rPr>
            </w:pPr>
          </w:p>
        </w:tc>
        <w:tc>
          <w:tcPr>
            <w:tcW w:w="457" w:type="pct"/>
            <w:vMerge w:val="continue"/>
            <w:vAlign w:val="center"/>
          </w:tcPr>
          <w:p w14:paraId="2FCF45AA">
            <w:pPr>
              <w:spacing w:line="240" w:lineRule="exact"/>
              <w:jc w:val="center"/>
              <w:rPr>
                <w:rFonts w:ascii="Times New Roman" w:hAnsi="Times New Roman" w:eastAsia="宋体" w:cs="Times New Roman"/>
                <w:color w:val="auto"/>
                <w:kern w:val="0"/>
              </w:rPr>
            </w:pPr>
          </w:p>
        </w:tc>
        <w:tc>
          <w:tcPr>
            <w:tcW w:w="799" w:type="pct"/>
            <w:vMerge w:val="continue"/>
            <w:vAlign w:val="center"/>
          </w:tcPr>
          <w:p w14:paraId="69357CAD">
            <w:pPr>
              <w:spacing w:line="240" w:lineRule="exact"/>
              <w:jc w:val="center"/>
              <w:rPr>
                <w:rFonts w:ascii="Times New Roman" w:hAnsi="Times New Roman" w:eastAsia="宋体" w:cs="Times New Roman"/>
                <w:color w:val="auto"/>
                <w:kern w:val="0"/>
              </w:rPr>
            </w:pPr>
          </w:p>
        </w:tc>
        <w:tc>
          <w:tcPr>
            <w:tcW w:w="499" w:type="pct"/>
            <w:noWrap/>
            <w:vAlign w:val="center"/>
          </w:tcPr>
          <w:p w14:paraId="619D010E">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2026.4.28</w:t>
            </w:r>
          </w:p>
        </w:tc>
        <w:tc>
          <w:tcPr>
            <w:tcW w:w="299" w:type="pct"/>
            <w:vAlign w:val="center"/>
          </w:tcPr>
          <w:p w14:paraId="09E2D175">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夜间</w:t>
            </w:r>
          </w:p>
        </w:tc>
        <w:tc>
          <w:tcPr>
            <w:tcW w:w="499" w:type="pct"/>
            <w:vAlign w:val="center"/>
          </w:tcPr>
          <w:p w14:paraId="5BFC976E">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49</w:t>
            </w:r>
          </w:p>
        </w:tc>
        <w:tc>
          <w:tcPr>
            <w:tcW w:w="335" w:type="pct"/>
            <w:noWrap/>
            <w:vAlign w:val="center"/>
          </w:tcPr>
          <w:p w14:paraId="47F0DE49">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27</w:t>
            </w:r>
          </w:p>
        </w:tc>
        <w:tc>
          <w:tcPr>
            <w:tcW w:w="335" w:type="pct"/>
            <w:noWrap/>
            <w:vAlign w:val="center"/>
          </w:tcPr>
          <w:p w14:paraId="68197886">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21</w:t>
            </w:r>
          </w:p>
        </w:tc>
        <w:tc>
          <w:tcPr>
            <w:tcW w:w="335" w:type="pct"/>
            <w:noWrap/>
            <w:vAlign w:val="center"/>
          </w:tcPr>
          <w:p w14:paraId="1BD6006A">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33</w:t>
            </w:r>
          </w:p>
        </w:tc>
        <w:tc>
          <w:tcPr>
            <w:tcW w:w="342" w:type="pct"/>
            <w:vMerge w:val="continue"/>
            <w:noWrap/>
            <w:vAlign w:val="center"/>
          </w:tcPr>
          <w:p w14:paraId="643CDD7D">
            <w:pPr>
              <w:spacing w:line="240" w:lineRule="exact"/>
              <w:jc w:val="center"/>
              <w:rPr>
                <w:rFonts w:ascii="Times New Roman" w:hAnsi="Times New Roman" w:eastAsia="宋体" w:cs="Times New Roman"/>
                <w:color w:val="auto"/>
                <w:kern w:val="0"/>
              </w:rPr>
            </w:pPr>
          </w:p>
        </w:tc>
        <w:tc>
          <w:tcPr>
            <w:tcW w:w="371" w:type="pct"/>
            <w:noWrap/>
            <w:vAlign w:val="center"/>
          </w:tcPr>
          <w:p w14:paraId="48AAF026">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689A9210">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vAlign w:val="center"/>
          </w:tcPr>
          <w:p w14:paraId="6D3A435C">
            <w:pPr>
              <w:spacing w:line="240" w:lineRule="exact"/>
              <w:jc w:val="center"/>
              <w:rPr>
                <w:rFonts w:ascii="Times New Roman" w:hAnsi="Times New Roman" w:eastAsia="宋体" w:cs="Times New Roman"/>
                <w:color w:val="auto"/>
                <w:kern w:val="0"/>
              </w:rPr>
            </w:pPr>
          </w:p>
        </w:tc>
        <w:tc>
          <w:tcPr>
            <w:tcW w:w="474" w:type="pct"/>
            <w:vMerge w:val="continue"/>
            <w:vAlign w:val="center"/>
          </w:tcPr>
          <w:p w14:paraId="6A47CF98">
            <w:pPr>
              <w:spacing w:line="240" w:lineRule="exact"/>
              <w:jc w:val="center"/>
              <w:rPr>
                <w:rFonts w:ascii="Times New Roman" w:hAnsi="Times New Roman" w:eastAsia="宋体" w:cs="Times New Roman"/>
                <w:color w:val="auto"/>
                <w:kern w:val="0"/>
              </w:rPr>
            </w:pPr>
          </w:p>
        </w:tc>
        <w:tc>
          <w:tcPr>
            <w:tcW w:w="457" w:type="pct"/>
            <w:vMerge w:val="continue"/>
            <w:vAlign w:val="center"/>
          </w:tcPr>
          <w:p w14:paraId="7A586504">
            <w:pPr>
              <w:spacing w:line="240" w:lineRule="exact"/>
              <w:jc w:val="center"/>
              <w:rPr>
                <w:rFonts w:ascii="Times New Roman" w:hAnsi="Times New Roman" w:eastAsia="宋体" w:cs="Times New Roman"/>
                <w:color w:val="auto"/>
                <w:kern w:val="0"/>
              </w:rPr>
            </w:pPr>
          </w:p>
        </w:tc>
        <w:tc>
          <w:tcPr>
            <w:tcW w:w="799" w:type="pct"/>
            <w:vMerge w:val="continue"/>
            <w:vAlign w:val="center"/>
          </w:tcPr>
          <w:p w14:paraId="5020BD74">
            <w:pPr>
              <w:spacing w:line="240" w:lineRule="exact"/>
              <w:jc w:val="center"/>
              <w:rPr>
                <w:rFonts w:ascii="Times New Roman" w:hAnsi="Times New Roman" w:eastAsia="宋体" w:cs="Times New Roman"/>
                <w:color w:val="auto"/>
                <w:kern w:val="0"/>
              </w:rPr>
            </w:pPr>
          </w:p>
        </w:tc>
        <w:tc>
          <w:tcPr>
            <w:tcW w:w="499" w:type="pct"/>
            <w:noWrap/>
            <w:vAlign w:val="center"/>
          </w:tcPr>
          <w:p w14:paraId="60CF70D3">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2026.4.28</w:t>
            </w:r>
          </w:p>
        </w:tc>
        <w:tc>
          <w:tcPr>
            <w:tcW w:w="299" w:type="pct"/>
            <w:vAlign w:val="center"/>
          </w:tcPr>
          <w:p w14:paraId="4A82F036">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昼间</w:t>
            </w:r>
          </w:p>
        </w:tc>
        <w:tc>
          <w:tcPr>
            <w:tcW w:w="499" w:type="pct"/>
            <w:vAlign w:val="center"/>
          </w:tcPr>
          <w:p w14:paraId="1BBD26E0">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58</w:t>
            </w:r>
          </w:p>
        </w:tc>
        <w:tc>
          <w:tcPr>
            <w:tcW w:w="335" w:type="pct"/>
            <w:noWrap/>
            <w:vAlign w:val="center"/>
          </w:tcPr>
          <w:p w14:paraId="28DA8C65">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46</w:t>
            </w:r>
          </w:p>
        </w:tc>
        <w:tc>
          <w:tcPr>
            <w:tcW w:w="335" w:type="pct"/>
            <w:noWrap/>
            <w:vAlign w:val="center"/>
          </w:tcPr>
          <w:p w14:paraId="3F683F9D">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24</w:t>
            </w:r>
          </w:p>
        </w:tc>
        <w:tc>
          <w:tcPr>
            <w:tcW w:w="335" w:type="pct"/>
            <w:noWrap/>
            <w:vAlign w:val="center"/>
          </w:tcPr>
          <w:p w14:paraId="2F72AF89">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126</w:t>
            </w:r>
          </w:p>
        </w:tc>
        <w:tc>
          <w:tcPr>
            <w:tcW w:w="342" w:type="pct"/>
            <w:vMerge w:val="continue"/>
            <w:noWrap/>
            <w:vAlign w:val="center"/>
          </w:tcPr>
          <w:p w14:paraId="430362DB">
            <w:pPr>
              <w:spacing w:line="240" w:lineRule="exact"/>
              <w:jc w:val="center"/>
              <w:rPr>
                <w:rFonts w:ascii="Times New Roman" w:hAnsi="Times New Roman" w:eastAsia="宋体" w:cs="Times New Roman"/>
                <w:color w:val="auto"/>
                <w:kern w:val="0"/>
              </w:rPr>
            </w:pPr>
          </w:p>
        </w:tc>
        <w:tc>
          <w:tcPr>
            <w:tcW w:w="371" w:type="pct"/>
            <w:noWrap/>
            <w:vAlign w:val="center"/>
          </w:tcPr>
          <w:p w14:paraId="60B5E9C1">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2727A261">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vAlign w:val="center"/>
          </w:tcPr>
          <w:p w14:paraId="77E4E7E4">
            <w:pPr>
              <w:spacing w:line="240" w:lineRule="exact"/>
              <w:jc w:val="center"/>
              <w:rPr>
                <w:rFonts w:ascii="Times New Roman" w:hAnsi="Times New Roman" w:eastAsia="宋体" w:cs="Times New Roman"/>
                <w:color w:val="auto"/>
                <w:kern w:val="0"/>
              </w:rPr>
            </w:pPr>
          </w:p>
        </w:tc>
        <w:tc>
          <w:tcPr>
            <w:tcW w:w="474" w:type="pct"/>
            <w:vMerge w:val="continue"/>
            <w:vAlign w:val="center"/>
          </w:tcPr>
          <w:p w14:paraId="352F0A69">
            <w:pPr>
              <w:spacing w:line="240" w:lineRule="exact"/>
              <w:jc w:val="center"/>
              <w:rPr>
                <w:rFonts w:ascii="Times New Roman" w:hAnsi="Times New Roman" w:eastAsia="宋体" w:cs="Times New Roman"/>
                <w:color w:val="auto"/>
                <w:kern w:val="0"/>
              </w:rPr>
            </w:pPr>
          </w:p>
        </w:tc>
        <w:tc>
          <w:tcPr>
            <w:tcW w:w="457" w:type="pct"/>
            <w:vMerge w:val="continue"/>
            <w:vAlign w:val="center"/>
          </w:tcPr>
          <w:p w14:paraId="47E5459B">
            <w:pPr>
              <w:spacing w:line="240" w:lineRule="exact"/>
              <w:jc w:val="center"/>
              <w:rPr>
                <w:rFonts w:ascii="Times New Roman" w:hAnsi="Times New Roman" w:eastAsia="宋体" w:cs="Times New Roman"/>
                <w:color w:val="auto"/>
                <w:kern w:val="0"/>
              </w:rPr>
            </w:pPr>
          </w:p>
        </w:tc>
        <w:tc>
          <w:tcPr>
            <w:tcW w:w="799" w:type="pct"/>
            <w:vMerge w:val="continue"/>
            <w:vAlign w:val="center"/>
          </w:tcPr>
          <w:p w14:paraId="3DF8D627">
            <w:pPr>
              <w:spacing w:line="240" w:lineRule="exact"/>
              <w:jc w:val="center"/>
              <w:rPr>
                <w:rFonts w:ascii="Times New Roman" w:hAnsi="Times New Roman" w:eastAsia="宋体" w:cs="Times New Roman"/>
                <w:color w:val="auto"/>
                <w:kern w:val="0"/>
              </w:rPr>
            </w:pPr>
          </w:p>
        </w:tc>
        <w:tc>
          <w:tcPr>
            <w:tcW w:w="499" w:type="pct"/>
            <w:noWrap/>
            <w:vAlign w:val="center"/>
          </w:tcPr>
          <w:p w14:paraId="25A85A18">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2026.4.29</w:t>
            </w:r>
          </w:p>
        </w:tc>
        <w:tc>
          <w:tcPr>
            <w:tcW w:w="299" w:type="pct"/>
            <w:vAlign w:val="center"/>
          </w:tcPr>
          <w:p w14:paraId="2CB1F98E">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夜间</w:t>
            </w:r>
          </w:p>
        </w:tc>
        <w:tc>
          <w:tcPr>
            <w:tcW w:w="499" w:type="pct"/>
            <w:vAlign w:val="center"/>
          </w:tcPr>
          <w:p w14:paraId="74717913">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45</w:t>
            </w:r>
          </w:p>
        </w:tc>
        <w:tc>
          <w:tcPr>
            <w:tcW w:w="335" w:type="pct"/>
            <w:noWrap/>
            <w:vAlign w:val="center"/>
          </w:tcPr>
          <w:p w14:paraId="1E028D60">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26</w:t>
            </w:r>
          </w:p>
        </w:tc>
        <w:tc>
          <w:tcPr>
            <w:tcW w:w="335" w:type="pct"/>
            <w:noWrap/>
            <w:vAlign w:val="center"/>
          </w:tcPr>
          <w:p w14:paraId="03CCEE68">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18</w:t>
            </w:r>
          </w:p>
        </w:tc>
        <w:tc>
          <w:tcPr>
            <w:tcW w:w="335" w:type="pct"/>
            <w:noWrap/>
            <w:vAlign w:val="center"/>
          </w:tcPr>
          <w:p w14:paraId="332B9E45">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36</w:t>
            </w:r>
          </w:p>
        </w:tc>
        <w:tc>
          <w:tcPr>
            <w:tcW w:w="342" w:type="pct"/>
            <w:vMerge w:val="continue"/>
            <w:noWrap/>
            <w:vAlign w:val="center"/>
          </w:tcPr>
          <w:p w14:paraId="6FD8C461">
            <w:pPr>
              <w:spacing w:line="240" w:lineRule="exact"/>
              <w:jc w:val="center"/>
              <w:rPr>
                <w:rFonts w:ascii="Times New Roman" w:hAnsi="Times New Roman" w:eastAsia="宋体" w:cs="Times New Roman"/>
                <w:color w:val="auto"/>
                <w:kern w:val="0"/>
              </w:rPr>
            </w:pPr>
          </w:p>
        </w:tc>
        <w:tc>
          <w:tcPr>
            <w:tcW w:w="371" w:type="pct"/>
            <w:noWrap/>
            <w:vAlign w:val="center"/>
          </w:tcPr>
          <w:p w14:paraId="0BE1620F">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65267D28">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vAlign w:val="center"/>
          </w:tcPr>
          <w:p w14:paraId="784D6A87">
            <w:pPr>
              <w:spacing w:line="240" w:lineRule="exact"/>
              <w:jc w:val="center"/>
              <w:rPr>
                <w:rFonts w:ascii="Times New Roman" w:hAnsi="Times New Roman" w:eastAsia="宋体" w:cs="Times New Roman"/>
                <w:color w:val="auto"/>
                <w:kern w:val="0"/>
              </w:rPr>
            </w:pPr>
          </w:p>
        </w:tc>
        <w:tc>
          <w:tcPr>
            <w:tcW w:w="474" w:type="pct"/>
            <w:vMerge w:val="continue"/>
            <w:vAlign w:val="center"/>
          </w:tcPr>
          <w:p w14:paraId="640D4CE4">
            <w:pPr>
              <w:spacing w:line="240" w:lineRule="exact"/>
              <w:jc w:val="center"/>
              <w:rPr>
                <w:rFonts w:ascii="Times New Roman" w:hAnsi="Times New Roman" w:eastAsia="宋体" w:cs="Times New Roman"/>
                <w:color w:val="auto"/>
                <w:kern w:val="0"/>
              </w:rPr>
            </w:pPr>
          </w:p>
        </w:tc>
        <w:tc>
          <w:tcPr>
            <w:tcW w:w="457" w:type="pct"/>
            <w:vMerge w:val="continue"/>
            <w:vAlign w:val="center"/>
          </w:tcPr>
          <w:p w14:paraId="56945A3B">
            <w:pPr>
              <w:spacing w:line="240" w:lineRule="exact"/>
              <w:jc w:val="center"/>
              <w:rPr>
                <w:rFonts w:ascii="Times New Roman" w:hAnsi="Times New Roman" w:eastAsia="宋体" w:cs="Times New Roman"/>
                <w:color w:val="auto"/>
                <w:kern w:val="0"/>
              </w:rPr>
            </w:pPr>
          </w:p>
        </w:tc>
        <w:tc>
          <w:tcPr>
            <w:tcW w:w="799" w:type="pct"/>
            <w:vMerge w:val="restart"/>
            <w:vAlign w:val="center"/>
          </w:tcPr>
          <w:p w14:paraId="62CE40A2">
            <w:pPr>
              <w:spacing w:line="240" w:lineRule="exact"/>
              <w:jc w:val="center"/>
              <w:rPr>
                <w:rFonts w:ascii="Times New Roman" w:hAnsi="Times New Roman" w:eastAsia="宋体" w:cs="Times New Roman"/>
                <w:color w:val="auto"/>
                <w:kern w:val="0"/>
              </w:rPr>
            </w:pPr>
            <w:r>
              <w:rPr>
                <w:rFonts w:ascii="Times New Roman" w:hAnsi="Times New Roman" w:eastAsia="宋体" w:cs="Times New Roman"/>
                <w:color w:val="auto"/>
              </w:rPr>
              <w:t>临现有</w:t>
            </w:r>
            <w:r>
              <w:rPr>
                <w:rFonts w:hint="eastAsia" w:ascii="Times New Roman" w:hAnsi="Times New Roman" w:eastAsia="宋体" w:cs="Times New Roman"/>
                <w:color w:val="auto"/>
              </w:rPr>
              <w:t>G219</w:t>
            </w:r>
            <w:r>
              <w:rPr>
                <w:rFonts w:ascii="Times New Roman" w:hAnsi="Times New Roman" w:eastAsia="宋体" w:cs="Times New Roman"/>
                <w:color w:val="auto"/>
              </w:rPr>
              <w:t>边界</w:t>
            </w:r>
            <w:r>
              <w:rPr>
                <w:rFonts w:hint="eastAsia" w:ascii="Times New Roman" w:hAnsi="Times New Roman" w:eastAsia="宋体" w:cs="Times New Roman"/>
                <w:color w:val="auto"/>
              </w:rPr>
              <w:t>35</w:t>
            </w:r>
            <w:r>
              <w:rPr>
                <w:rFonts w:ascii="Times New Roman" w:hAnsi="Times New Roman" w:eastAsia="宋体" w:cs="Times New Roman"/>
                <w:color w:val="auto"/>
              </w:rPr>
              <w:t>m外第一排房</w:t>
            </w:r>
            <w:r>
              <w:rPr>
                <w:rFonts w:hint="eastAsia" w:ascii="Times New Roman" w:hAnsi="Times New Roman" w:eastAsia="宋体" w:cs="Times New Roman"/>
                <w:color w:val="auto"/>
              </w:rPr>
              <w:t>1</w:t>
            </w:r>
            <w:r>
              <w:rPr>
                <w:rFonts w:ascii="Times New Roman" w:hAnsi="Times New Roman" w:eastAsia="宋体" w:cs="Times New Roman"/>
                <w:color w:val="auto"/>
              </w:rPr>
              <w:t>层</w:t>
            </w:r>
          </w:p>
        </w:tc>
        <w:tc>
          <w:tcPr>
            <w:tcW w:w="499" w:type="pct"/>
            <w:noWrap/>
            <w:vAlign w:val="center"/>
          </w:tcPr>
          <w:p w14:paraId="2039B213">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2026.4.27</w:t>
            </w:r>
          </w:p>
        </w:tc>
        <w:tc>
          <w:tcPr>
            <w:tcW w:w="299" w:type="pct"/>
            <w:vAlign w:val="center"/>
          </w:tcPr>
          <w:p w14:paraId="31B72B4E">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昼间</w:t>
            </w:r>
          </w:p>
        </w:tc>
        <w:tc>
          <w:tcPr>
            <w:tcW w:w="499" w:type="pct"/>
            <w:vAlign w:val="center"/>
          </w:tcPr>
          <w:p w14:paraId="3FC0F067">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52</w:t>
            </w:r>
          </w:p>
        </w:tc>
        <w:tc>
          <w:tcPr>
            <w:tcW w:w="335" w:type="pct"/>
            <w:noWrap/>
            <w:vAlign w:val="center"/>
          </w:tcPr>
          <w:p w14:paraId="5EC70FDF">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48</w:t>
            </w:r>
          </w:p>
        </w:tc>
        <w:tc>
          <w:tcPr>
            <w:tcW w:w="335" w:type="pct"/>
            <w:noWrap/>
            <w:vAlign w:val="center"/>
          </w:tcPr>
          <w:p w14:paraId="230605CC">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30</w:t>
            </w:r>
          </w:p>
        </w:tc>
        <w:tc>
          <w:tcPr>
            <w:tcW w:w="335" w:type="pct"/>
            <w:noWrap/>
            <w:vAlign w:val="center"/>
          </w:tcPr>
          <w:p w14:paraId="0145BCEA">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120</w:t>
            </w:r>
          </w:p>
        </w:tc>
        <w:tc>
          <w:tcPr>
            <w:tcW w:w="342" w:type="pct"/>
            <w:vMerge w:val="restart"/>
            <w:noWrap/>
            <w:vAlign w:val="center"/>
          </w:tcPr>
          <w:p w14:paraId="3250DC1F">
            <w:pPr>
              <w:spacing w:line="240" w:lineRule="exact"/>
              <w:jc w:val="center"/>
              <w:rPr>
                <w:rFonts w:ascii="Times New Roman" w:hAnsi="Times New Roman" w:eastAsia="宋体" w:cs="Times New Roman"/>
                <w:color w:val="auto"/>
                <w:kern w:val="0"/>
              </w:rPr>
            </w:pPr>
            <w:r>
              <w:rPr>
                <w:rFonts w:ascii="Times New Roman" w:hAnsi="Times New Roman" w:eastAsia="宋体" w:cs="Times New Roman"/>
                <w:color w:val="auto"/>
                <w:kern w:val="0"/>
              </w:rPr>
              <w:t>2类</w:t>
            </w:r>
          </w:p>
        </w:tc>
        <w:tc>
          <w:tcPr>
            <w:tcW w:w="371" w:type="pct"/>
            <w:noWrap/>
            <w:vAlign w:val="center"/>
          </w:tcPr>
          <w:p w14:paraId="7CDE1426">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6C60E84D">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vAlign w:val="center"/>
          </w:tcPr>
          <w:p w14:paraId="15C24F57">
            <w:pPr>
              <w:spacing w:line="240" w:lineRule="exact"/>
              <w:jc w:val="center"/>
              <w:rPr>
                <w:rFonts w:ascii="Times New Roman" w:hAnsi="Times New Roman" w:eastAsia="宋体" w:cs="Times New Roman"/>
                <w:color w:val="auto"/>
                <w:kern w:val="0"/>
              </w:rPr>
            </w:pPr>
          </w:p>
        </w:tc>
        <w:tc>
          <w:tcPr>
            <w:tcW w:w="474" w:type="pct"/>
            <w:vMerge w:val="continue"/>
            <w:vAlign w:val="center"/>
          </w:tcPr>
          <w:p w14:paraId="64A31163">
            <w:pPr>
              <w:spacing w:line="240" w:lineRule="exact"/>
              <w:jc w:val="center"/>
              <w:rPr>
                <w:rFonts w:ascii="Times New Roman" w:hAnsi="Times New Roman" w:eastAsia="宋体" w:cs="Times New Roman"/>
                <w:color w:val="auto"/>
                <w:kern w:val="0"/>
              </w:rPr>
            </w:pPr>
          </w:p>
        </w:tc>
        <w:tc>
          <w:tcPr>
            <w:tcW w:w="457" w:type="pct"/>
            <w:vMerge w:val="continue"/>
            <w:vAlign w:val="center"/>
          </w:tcPr>
          <w:p w14:paraId="6124DE3B">
            <w:pPr>
              <w:spacing w:line="240" w:lineRule="exact"/>
              <w:jc w:val="center"/>
              <w:rPr>
                <w:rFonts w:ascii="Times New Roman" w:hAnsi="Times New Roman" w:eastAsia="宋体" w:cs="Times New Roman"/>
                <w:color w:val="auto"/>
                <w:kern w:val="0"/>
              </w:rPr>
            </w:pPr>
          </w:p>
        </w:tc>
        <w:tc>
          <w:tcPr>
            <w:tcW w:w="799" w:type="pct"/>
            <w:vMerge w:val="continue"/>
            <w:vAlign w:val="center"/>
          </w:tcPr>
          <w:p w14:paraId="043B5B33">
            <w:pPr>
              <w:spacing w:line="240" w:lineRule="exact"/>
              <w:jc w:val="center"/>
              <w:rPr>
                <w:rFonts w:ascii="Times New Roman" w:hAnsi="Times New Roman" w:eastAsia="宋体" w:cs="Times New Roman"/>
                <w:color w:val="auto"/>
                <w:kern w:val="0"/>
              </w:rPr>
            </w:pPr>
          </w:p>
        </w:tc>
        <w:tc>
          <w:tcPr>
            <w:tcW w:w="499" w:type="pct"/>
            <w:noWrap/>
            <w:vAlign w:val="center"/>
          </w:tcPr>
          <w:p w14:paraId="3DE2C3B5">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2026.4.28</w:t>
            </w:r>
          </w:p>
        </w:tc>
        <w:tc>
          <w:tcPr>
            <w:tcW w:w="299" w:type="pct"/>
            <w:vAlign w:val="center"/>
          </w:tcPr>
          <w:p w14:paraId="3F736AC5">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夜间</w:t>
            </w:r>
          </w:p>
        </w:tc>
        <w:tc>
          <w:tcPr>
            <w:tcW w:w="499" w:type="pct"/>
            <w:vAlign w:val="center"/>
          </w:tcPr>
          <w:p w14:paraId="5F195AA7">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45</w:t>
            </w:r>
          </w:p>
        </w:tc>
        <w:tc>
          <w:tcPr>
            <w:tcW w:w="335" w:type="pct"/>
            <w:noWrap/>
            <w:vAlign w:val="center"/>
          </w:tcPr>
          <w:p w14:paraId="17BEBAAE">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27</w:t>
            </w:r>
          </w:p>
        </w:tc>
        <w:tc>
          <w:tcPr>
            <w:tcW w:w="335" w:type="pct"/>
            <w:noWrap/>
            <w:vAlign w:val="center"/>
          </w:tcPr>
          <w:p w14:paraId="64B9FE0F">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21</w:t>
            </w:r>
          </w:p>
        </w:tc>
        <w:tc>
          <w:tcPr>
            <w:tcW w:w="335" w:type="pct"/>
            <w:noWrap/>
            <w:vAlign w:val="center"/>
          </w:tcPr>
          <w:p w14:paraId="18A28543">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33</w:t>
            </w:r>
          </w:p>
        </w:tc>
        <w:tc>
          <w:tcPr>
            <w:tcW w:w="342" w:type="pct"/>
            <w:vMerge w:val="continue"/>
            <w:noWrap/>
            <w:vAlign w:val="center"/>
          </w:tcPr>
          <w:p w14:paraId="15BBEA3A">
            <w:pPr>
              <w:spacing w:line="240" w:lineRule="exact"/>
              <w:jc w:val="center"/>
              <w:rPr>
                <w:rFonts w:ascii="Times New Roman" w:hAnsi="Times New Roman" w:eastAsia="宋体" w:cs="Times New Roman"/>
                <w:color w:val="auto"/>
                <w:kern w:val="0"/>
              </w:rPr>
            </w:pPr>
          </w:p>
        </w:tc>
        <w:tc>
          <w:tcPr>
            <w:tcW w:w="371" w:type="pct"/>
            <w:noWrap/>
            <w:vAlign w:val="center"/>
          </w:tcPr>
          <w:p w14:paraId="1A13DB07">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2C14AB51">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vAlign w:val="center"/>
          </w:tcPr>
          <w:p w14:paraId="3AEF94EB">
            <w:pPr>
              <w:spacing w:line="240" w:lineRule="exact"/>
              <w:jc w:val="center"/>
              <w:rPr>
                <w:rFonts w:ascii="Times New Roman" w:hAnsi="Times New Roman" w:eastAsia="宋体" w:cs="Times New Roman"/>
                <w:color w:val="auto"/>
                <w:kern w:val="0"/>
              </w:rPr>
            </w:pPr>
          </w:p>
        </w:tc>
        <w:tc>
          <w:tcPr>
            <w:tcW w:w="474" w:type="pct"/>
            <w:vMerge w:val="continue"/>
            <w:vAlign w:val="center"/>
          </w:tcPr>
          <w:p w14:paraId="202899C1">
            <w:pPr>
              <w:spacing w:line="240" w:lineRule="exact"/>
              <w:jc w:val="center"/>
              <w:rPr>
                <w:rFonts w:ascii="Times New Roman" w:hAnsi="Times New Roman" w:eastAsia="宋体" w:cs="Times New Roman"/>
                <w:color w:val="auto"/>
                <w:kern w:val="0"/>
              </w:rPr>
            </w:pPr>
          </w:p>
        </w:tc>
        <w:tc>
          <w:tcPr>
            <w:tcW w:w="457" w:type="pct"/>
            <w:vMerge w:val="continue"/>
            <w:vAlign w:val="center"/>
          </w:tcPr>
          <w:p w14:paraId="48CE18A4">
            <w:pPr>
              <w:spacing w:line="240" w:lineRule="exact"/>
              <w:jc w:val="center"/>
              <w:rPr>
                <w:rFonts w:ascii="Times New Roman" w:hAnsi="Times New Roman" w:eastAsia="宋体" w:cs="Times New Roman"/>
                <w:color w:val="auto"/>
                <w:kern w:val="0"/>
              </w:rPr>
            </w:pPr>
          </w:p>
        </w:tc>
        <w:tc>
          <w:tcPr>
            <w:tcW w:w="799" w:type="pct"/>
            <w:vMerge w:val="continue"/>
            <w:vAlign w:val="center"/>
          </w:tcPr>
          <w:p w14:paraId="4E823EB4">
            <w:pPr>
              <w:spacing w:line="240" w:lineRule="exact"/>
              <w:jc w:val="center"/>
              <w:rPr>
                <w:rFonts w:ascii="Times New Roman" w:hAnsi="Times New Roman" w:eastAsia="宋体" w:cs="Times New Roman"/>
                <w:color w:val="auto"/>
                <w:kern w:val="0"/>
              </w:rPr>
            </w:pPr>
          </w:p>
        </w:tc>
        <w:tc>
          <w:tcPr>
            <w:tcW w:w="499" w:type="pct"/>
            <w:noWrap/>
            <w:vAlign w:val="center"/>
          </w:tcPr>
          <w:p w14:paraId="3FD3FDED">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2026.4.28</w:t>
            </w:r>
          </w:p>
        </w:tc>
        <w:tc>
          <w:tcPr>
            <w:tcW w:w="299" w:type="pct"/>
            <w:vAlign w:val="center"/>
          </w:tcPr>
          <w:p w14:paraId="71DAE8FB">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昼间</w:t>
            </w:r>
          </w:p>
        </w:tc>
        <w:tc>
          <w:tcPr>
            <w:tcW w:w="499" w:type="pct"/>
            <w:vAlign w:val="center"/>
          </w:tcPr>
          <w:p w14:paraId="09A513A8">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54</w:t>
            </w:r>
          </w:p>
        </w:tc>
        <w:tc>
          <w:tcPr>
            <w:tcW w:w="335" w:type="pct"/>
            <w:noWrap/>
            <w:vAlign w:val="center"/>
          </w:tcPr>
          <w:p w14:paraId="35520483">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46</w:t>
            </w:r>
          </w:p>
        </w:tc>
        <w:tc>
          <w:tcPr>
            <w:tcW w:w="335" w:type="pct"/>
            <w:noWrap/>
            <w:vAlign w:val="center"/>
          </w:tcPr>
          <w:p w14:paraId="320FA5B5">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24</w:t>
            </w:r>
          </w:p>
        </w:tc>
        <w:tc>
          <w:tcPr>
            <w:tcW w:w="335" w:type="pct"/>
            <w:noWrap/>
            <w:vAlign w:val="center"/>
          </w:tcPr>
          <w:p w14:paraId="56D45431">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126</w:t>
            </w:r>
          </w:p>
        </w:tc>
        <w:tc>
          <w:tcPr>
            <w:tcW w:w="342" w:type="pct"/>
            <w:vMerge w:val="continue"/>
            <w:noWrap/>
            <w:vAlign w:val="center"/>
          </w:tcPr>
          <w:p w14:paraId="647ACE5C">
            <w:pPr>
              <w:spacing w:line="240" w:lineRule="exact"/>
              <w:jc w:val="center"/>
              <w:rPr>
                <w:rFonts w:ascii="Times New Roman" w:hAnsi="Times New Roman" w:eastAsia="宋体" w:cs="Times New Roman"/>
                <w:color w:val="auto"/>
                <w:kern w:val="0"/>
              </w:rPr>
            </w:pPr>
          </w:p>
        </w:tc>
        <w:tc>
          <w:tcPr>
            <w:tcW w:w="371" w:type="pct"/>
            <w:noWrap/>
            <w:vAlign w:val="center"/>
          </w:tcPr>
          <w:p w14:paraId="1D282326">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7C9BC17A">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vAlign w:val="center"/>
          </w:tcPr>
          <w:p w14:paraId="34A34D6B">
            <w:pPr>
              <w:spacing w:line="240" w:lineRule="exact"/>
              <w:jc w:val="center"/>
              <w:rPr>
                <w:rFonts w:ascii="Times New Roman" w:hAnsi="Times New Roman" w:eastAsia="宋体" w:cs="Times New Roman"/>
                <w:color w:val="auto"/>
                <w:kern w:val="0"/>
              </w:rPr>
            </w:pPr>
          </w:p>
        </w:tc>
        <w:tc>
          <w:tcPr>
            <w:tcW w:w="474" w:type="pct"/>
            <w:vMerge w:val="continue"/>
            <w:vAlign w:val="center"/>
          </w:tcPr>
          <w:p w14:paraId="4F169266">
            <w:pPr>
              <w:spacing w:line="240" w:lineRule="exact"/>
              <w:jc w:val="center"/>
              <w:rPr>
                <w:rFonts w:ascii="Times New Roman" w:hAnsi="Times New Roman" w:eastAsia="宋体" w:cs="Times New Roman"/>
                <w:color w:val="auto"/>
                <w:kern w:val="0"/>
              </w:rPr>
            </w:pPr>
          </w:p>
        </w:tc>
        <w:tc>
          <w:tcPr>
            <w:tcW w:w="457" w:type="pct"/>
            <w:vMerge w:val="continue"/>
            <w:vAlign w:val="center"/>
          </w:tcPr>
          <w:p w14:paraId="17EB6E6E">
            <w:pPr>
              <w:spacing w:line="240" w:lineRule="exact"/>
              <w:jc w:val="center"/>
              <w:rPr>
                <w:rFonts w:ascii="Times New Roman" w:hAnsi="Times New Roman" w:eastAsia="宋体" w:cs="Times New Roman"/>
                <w:color w:val="auto"/>
                <w:kern w:val="0"/>
              </w:rPr>
            </w:pPr>
          </w:p>
        </w:tc>
        <w:tc>
          <w:tcPr>
            <w:tcW w:w="799" w:type="pct"/>
            <w:vMerge w:val="continue"/>
            <w:vAlign w:val="center"/>
          </w:tcPr>
          <w:p w14:paraId="0A974819">
            <w:pPr>
              <w:spacing w:line="240" w:lineRule="exact"/>
              <w:jc w:val="center"/>
              <w:rPr>
                <w:rFonts w:ascii="Times New Roman" w:hAnsi="Times New Roman" w:eastAsia="宋体" w:cs="Times New Roman"/>
                <w:color w:val="auto"/>
                <w:kern w:val="0"/>
              </w:rPr>
            </w:pPr>
          </w:p>
        </w:tc>
        <w:tc>
          <w:tcPr>
            <w:tcW w:w="499" w:type="pct"/>
            <w:noWrap/>
            <w:vAlign w:val="center"/>
          </w:tcPr>
          <w:p w14:paraId="098E3880">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2026.4.29</w:t>
            </w:r>
          </w:p>
        </w:tc>
        <w:tc>
          <w:tcPr>
            <w:tcW w:w="299" w:type="pct"/>
            <w:vAlign w:val="center"/>
          </w:tcPr>
          <w:p w14:paraId="258DD329">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夜间</w:t>
            </w:r>
          </w:p>
        </w:tc>
        <w:tc>
          <w:tcPr>
            <w:tcW w:w="499" w:type="pct"/>
            <w:vAlign w:val="center"/>
          </w:tcPr>
          <w:p w14:paraId="361D9487">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43</w:t>
            </w:r>
          </w:p>
        </w:tc>
        <w:tc>
          <w:tcPr>
            <w:tcW w:w="335" w:type="pct"/>
            <w:noWrap/>
            <w:vAlign w:val="center"/>
          </w:tcPr>
          <w:p w14:paraId="4BFA490A">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26</w:t>
            </w:r>
          </w:p>
        </w:tc>
        <w:tc>
          <w:tcPr>
            <w:tcW w:w="335" w:type="pct"/>
            <w:noWrap/>
            <w:vAlign w:val="center"/>
          </w:tcPr>
          <w:p w14:paraId="08542AF7">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18</w:t>
            </w:r>
          </w:p>
        </w:tc>
        <w:tc>
          <w:tcPr>
            <w:tcW w:w="335" w:type="pct"/>
            <w:noWrap/>
            <w:vAlign w:val="center"/>
          </w:tcPr>
          <w:p w14:paraId="04DE9299">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36</w:t>
            </w:r>
          </w:p>
        </w:tc>
        <w:tc>
          <w:tcPr>
            <w:tcW w:w="342" w:type="pct"/>
            <w:vMerge w:val="continue"/>
            <w:noWrap/>
            <w:vAlign w:val="center"/>
          </w:tcPr>
          <w:p w14:paraId="523B2515">
            <w:pPr>
              <w:spacing w:line="240" w:lineRule="exact"/>
              <w:jc w:val="center"/>
              <w:rPr>
                <w:rFonts w:ascii="Times New Roman" w:hAnsi="Times New Roman" w:eastAsia="宋体" w:cs="Times New Roman"/>
                <w:color w:val="auto"/>
                <w:kern w:val="0"/>
              </w:rPr>
            </w:pPr>
          </w:p>
        </w:tc>
        <w:tc>
          <w:tcPr>
            <w:tcW w:w="371" w:type="pct"/>
            <w:noWrap/>
            <w:vAlign w:val="center"/>
          </w:tcPr>
          <w:p w14:paraId="785DB62E">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59D07259">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noWrap/>
            <w:vAlign w:val="center"/>
          </w:tcPr>
          <w:p w14:paraId="27820A0E">
            <w:pPr>
              <w:spacing w:line="240" w:lineRule="exact"/>
              <w:jc w:val="center"/>
              <w:rPr>
                <w:rFonts w:ascii="Times New Roman" w:hAnsi="Times New Roman" w:eastAsia="宋体" w:cs="Times New Roman"/>
                <w:color w:val="auto"/>
                <w:kern w:val="0"/>
              </w:rPr>
            </w:pPr>
          </w:p>
        </w:tc>
        <w:tc>
          <w:tcPr>
            <w:tcW w:w="474" w:type="pct"/>
            <w:vMerge w:val="continue"/>
            <w:noWrap/>
            <w:vAlign w:val="center"/>
          </w:tcPr>
          <w:p w14:paraId="10A72175">
            <w:pPr>
              <w:spacing w:line="240" w:lineRule="exact"/>
              <w:jc w:val="center"/>
              <w:rPr>
                <w:rFonts w:ascii="Times New Roman" w:hAnsi="Times New Roman" w:eastAsia="宋体" w:cs="Times New Roman"/>
                <w:color w:val="auto"/>
                <w:kern w:val="0"/>
              </w:rPr>
            </w:pPr>
          </w:p>
        </w:tc>
        <w:tc>
          <w:tcPr>
            <w:tcW w:w="457" w:type="pct"/>
            <w:vMerge w:val="restart"/>
            <w:vAlign w:val="center"/>
          </w:tcPr>
          <w:p w14:paraId="2DA15161">
            <w:pPr>
              <w:spacing w:line="240" w:lineRule="exact"/>
              <w:jc w:val="center"/>
              <w:rPr>
                <w:rFonts w:ascii="Times New Roman" w:hAnsi="Times New Roman" w:eastAsia="宋体" w:cs="Times New Roman"/>
                <w:color w:val="auto"/>
                <w:kern w:val="0"/>
              </w:rPr>
            </w:pPr>
            <w:r>
              <w:rPr>
                <w:rFonts w:ascii="Times New Roman" w:hAnsi="Times New Roman" w:eastAsia="宋体" w:cs="Times New Roman"/>
                <w:color w:val="auto"/>
                <w:kern w:val="0"/>
              </w:rPr>
              <w:t>背景噪声</w:t>
            </w:r>
          </w:p>
        </w:tc>
        <w:tc>
          <w:tcPr>
            <w:tcW w:w="799" w:type="pct"/>
            <w:vMerge w:val="restart"/>
            <w:vAlign w:val="center"/>
          </w:tcPr>
          <w:p w14:paraId="62E18067">
            <w:pPr>
              <w:spacing w:line="240" w:lineRule="exact"/>
              <w:jc w:val="center"/>
              <w:rPr>
                <w:rFonts w:ascii="Times New Roman" w:hAnsi="Times New Roman" w:eastAsia="宋体" w:cs="Times New Roman"/>
                <w:color w:val="auto"/>
                <w:kern w:val="0"/>
              </w:rPr>
            </w:pPr>
            <w:r>
              <w:rPr>
                <w:rFonts w:hint="eastAsia" w:ascii="Times New Roman" w:hAnsi="Times New Roman" w:eastAsia="宋体" w:cs="Times New Roman"/>
                <w:color w:val="auto"/>
                <w:szCs w:val="21"/>
              </w:rPr>
              <w:t>远离现有G219</w:t>
            </w:r>
            <w:r>
              <w:rPr>
                <w:rFonts w:ascii="Times New Roman" w:hAnsi="Times New Roman" w:eastAsia="宋体" w:cs="Times New Roman"/>
                <w:color w:val="auto"/>
                <w:kern w:val="0"/>
                <w:szCs w:val="21"/>
              </w:rPr>
              <w:t>公路200m外</w:t>
            </w:r>
          </w:p>
        </w:tc>
        <w:tc>
          <w:tcPr>
            <w:tcW w:w="499" w:type="pct"/>
            <w:noWrap/>
            <w:vAlign w:val="center"/>
          </w:tcPr>
          <w:p w14:paraId="4117C570">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2026.4.27</w:t>
            </w:r>
          </w:p>
        </w:tc>
        <w:tc>
          <w:tcPr>
            <w:tcW w:w="299" w:type="pct"/>
            <w:vAlign w:val="center"/>
          </w:tcPr>
          <w:p w14:paraId="06E8EBC0">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昼间</w:t>
            </w:r>
          </w:p>
        </w:tc>
        <w:tc>
          <w:tcPr>
            <w:tcW w:w="499" w:type="pct"/>
            <w:vAlign w:val="center"/>
          </w:tcPr>
          <w:p w14:paraId="064FE5E5">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46</w:t>
            </w:r>
          </w:p>
        </w:tc>
        <w:tc>
          <w:tcPr>
            <w:tcW w:w="335" w:type="pct"/>
            <w:noWrap/>
            <w:vAlign w:val="center"/>
          </w:tcPr>
          <w:p w14:paraId="26E12512">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35" w:type="pct"/>
            <w:noWrap/>
            <w:vAlign w:val="center"/>
          </w:tcPr>
          <w:p w14:paraId="4F73D05A">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35" w:type="pct"/>
            <w:noWrap/>
            <w:vAlign w:val="center"/>
          </w:tcPr>
          <w:p w14:paraId="317841BF">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42" w:type="pct"/>
            <w:vMerge w:val="continue"/>
            <w:noWrap/>
            <w:vAlign w:val="center"/>
          </w:tcPr>
          <w:p w14:paraId="77E15CAC">
            <w:pPr>
              <w:spacing w:line="240" w:lineRule="exact"/>
              <w:jc w:val="center"/>
              <w:rPr>
                <w:rFonts w:ascii="Times New Roman" w:hAnsi="Times New Roman" w:eastAsia="宋体" w:cs="Times New Roman"/>
                <w:color w:val="auto"/>
                <w:kern w:val="0"/>
              </w:rPr>
            </w:pPr>
          </w:p>
        </w:tc>
        <w:tc>
          <w:tcPr>
            <w:tcW w:w="371" w:type="pct"/>
            <w:noWrap/>
            <w:vAlign w:val="center"/>
          </w:tcPr>
          <w:p w14:paraId="1EDE6ECA">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4A1B150A">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vAlign w:val="center"/>
          </w:tcPr>
          <w:p w14:paraId="76E7288C">
            <w:pPr>
              <w:spacing w:line="240" w:lineRule="exact"/>
              <w:jc w:val="center"/>
              <w:rPr>
                <w:rFonts w:ascii="Times New Roman" w:hAnsi="Times New Roman" w:eastAsia="宋体" w:cs="Times New Roman"/>
                <w:color w:val="auto"/>
                <w:kern w:val="0"/>
              </w:rPr>
            </w:pPr>
          </w:p>
        </w:tc>
        <w:tc>
          <w:tcPr>
            <w:tcW w:w="474" w:type="pct"/>
            <w:vMerge w:val="continue"/>
            <w:vAlign w:val="center"/>
          </w:tcPr>
          <w:p w14:paraId="126309F5">
            <w:pPr>
              <w:spacing w:line="240" w:lineRule="exact"/>
              <w:jc w:val="center"/>
              <w:rPr>
                <w:rFonts w:ascii="Times New Roman" w:hAnsi="Times New Roman" w:eastAsia="宋体" w:cs="Times New Roman"/>
                <w:color w:val="auto"/>
                <w:kern w:val="0"/>
              </w:rPr>
            </w:pPr>
          </w:p>
        </w:tc>
        <w:tc>
          <w:tcPr>
            <w:tcW w:w="457" w:type="pct"/>
            <w:vMerge w:val="continue"/>
            <w:vAlign w:val="center"/>
          </w:tcPr>
          <w:p w14:paraId="6F83374E">
            <w:pPr>
              <w:spacing w:line="240" w:lineRule="exact"/>
              <w:jc w:val="center"/>
              <w:rPr>
                <w:rFonts w:ascii="Times New Roman" w:hAnsi="Times New Roman" w:eastAsia="宋体" w:cs="Times New Roman"/>
                <w:color w:val="auto"/>
                <w:kern w:val="0"/>
              </w:rPr>
            </w:pPr>
          </w:p>
        </w:tc>
        <w:tc>
          <w:tcPr>
            <w:tcW w:w="799" w:type="pct"/>
            <w:vMerge w:val="continue"/>
            <w:vAlign w:val="center"/>
          </w:tcPr>
          <w:p w14:paraId="108C347D">
            <w:pPr>
              <w:spacing w:line="240" w:lineRule="exact"/>
              <w:jc w:val="center"/>
              <w:rPr>
                <w:rFonts w:ascii="Times New Roman" w:hAnsi="Times New Roman" w:eastAsia="宋体" w:cs="Times New Roman"/>
                <w:color w:val="auto"/>
                <w:kern w:val="0"/>
              </w:rPr>
            </w:pPr>
          </w:p>
        </w:tc>
        <w:tc>
          <w:tcPr>
            <w:tcW w:w="499" w:type="pct"/>
            <w:noWrap/>
            <w:vAlign w:val="center"/>
          </w:tcPr>
          <w:p w14:paraId="331E13E7">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2026.4.28</w:t>
            </w:r>
          </w:p>
        </w:tc>
        <w:tc>
          <w:tcPr>
            <w:tcW w:w="299" w:type="pct"/>
            <w:vAlign w:val="center"/>
          </w:tcPr>
          <w:p w14:paraId="3EB642D1">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夜间</w:t>
            </w:r>
          </w:p>
        </w:tc>
        <w:tc>
          <w:tcPr>
            <w:tcW w:w="499" w:type="pct"/>
            <w:vAlign w:val="center"/>
          </w:tcPr>
          <w:p w14:paraId="4AD13AAE">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37</w:t>
            </w:r>
          </w:p>
        </w:tc>
        <w:tc>
          <w:tcPr>
            <w:tcW w:w="335" w:type="pct"/>
            <w:noWrap/>
            <w:vAlign w:val="center"/>
          </w:tcPr>
          <w:p w14:paraId="67DCB3AA">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35" w:type="pct"/>
            <w:noWrap/>
            <w:vAlign w:val="center"/>
          </w:tcPr>
          <w:p w14:paraId="4A12D7FE">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35" w:type="pct"/>
            <w:noWrap/>
            <w:vAlign w:val="center"/>
          </w:tcPr>
          <w:p w14:paraId="105633D8">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42" w:type="pct"/>
            <w:vMerge w:val="continue"/>
            <w:noWrap/>
            <w:vAlign w:val="center"/>
          </w:tcPr>
          <w:p w14:paraId="0B00C467">
            <w:pPr>
              <w:spacing w:line="240" w:lineRule="exact"/>
              <w:jc w:val="center"/>
              <w:rPr>
                <w:rFonts w:ascii="Times New Roman" w:hAnsi="Times New Roman" w:eastAsia="宋体" w:cs="Times New Roman"/>
                <w:color w:val="auto"/>
                <w:kern w:val="0"/>
              </w:rPr>
            </w:pPr>
          </w:p>
        </w:tc>
        <w:tc>
          <w:tcPr>
            <w:tcW w:w="371" w:type="pct"/>
            <w:noWrap/>
            <w:vAlign w:val="center"/>
          </w:tcPr>
          <w:p w14:paraId="569A9556">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5204D4E1">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vAlign w:val="center"/>
          </w:tcPr>
          <w:p w14:paraId="14412896">
            <w:pPr>
              <w:spacing w:line="240" w:lineRule="exact"/>
              <w:jc w:val="center"/>
              <w:rPr>
                <w:rFonts w:ascii="Times New Roman" w:hAnsi="Times New Roman" w:eastAsia="宋体" w:cs="Times New Roman"/>
                <w:color w:val="auto"/>
                <w:kern w:val="0"/>
              </w:rPr>
            </w:pPr>
          </w:p>
        </w:tc>
        <w:tc>
          <w:tcPr>
            <w:tcW w:w="474" w:type="pct"/>
            <w:vMerge w:val="continue"/>
            <w:vAlign w:val="center"/>
          </w:tcPr>
          <w:p w14:paraId="40571B15">
            <w:pPr>
              <w:spacing w:line="240" w:lineRule="exact"/>
              <w:jc w:val="center"/>
              <w:rPr>
                <w:rFonts w:ascii="Times New Roman" w:hAnsi="Times New Roman" w:eastAsia="宋体" w:cs="Times New Roman"/>
                <w:color w:val="auto"/>
                <w:kern w:val="0"/>
              </w:rPr>
            </w:pPr>
          </w:p>
        </w:tc>
        <w:tc>
          <w:tcPr>
            <w:tcW w:w="457" w:type="pct"/>
            <w:vMerge w:val="continue"/>
            <w:vAlign w:val="center"/>
          </w:tcPr>
          <w:p w14:paraId="455A274B">
            <w:pPr>
              <w:spacing w:line="240" w:lineRule="exact"/>
              <w:jc w:val="center"/>
              <w:rPr>
                <w:rFonts w:ascii="Times New Roman" w:hAnsi="Times New Roman" w:eastAsia="宋体" w:cs="Times New Roman"/>
                <w:color w:val="auto"/>
                <w:kern w:val="0"/>
              </w:rPr>
            </w:pPr>
          </w:p>
        </w:tc>
        <w:tc>
          <w:tcPr>
            <w:tcW w:w="799" w:type="pct"/>
            <w:vMerge w:val="continue"/>
            <w:vAlign w:val="center"/>
          </w:tcPr>
          <w:p w14:paraId="6A62854A">
            <w:pPr>
              <w:spacing w:line="240" w:lineRule="exact"/>
              <w:jc w:val="center"/>
              <w:rPr>
                <w:rFonts w:ascii="Times New Roman" w:hAnsi="Times New Roman" w:eastAsia="宋体" w:cs="Times New Roman"/>
                <w:color w:val="auto"/>
                <w:kern w:val="0"/>
              </w:rPr>
            </w:pPr>
          </w:p>
        </w:tc>
        <w:tc>
          <w:tcPr>
            <w:tcW w:w="499" w:type="pct"/>
            <w:noWrap/>
            <w:vAlign w:val="center"/>
          </w:tcPr>
          <w:p w14:paraId="09570690">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2026.4.28</w:t>
            </w:r>
          </w:p>
        </w:tc>
        <w:tc>
          <w:tcPr>
            <w:tcW w:w="299" w:type="pct"/>
            <w:vAlign w:val="center"/>
          </w:tcPr>
          <w:p w14:paraId="52E5A1DD">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昼间</w:t>
            </w:r>
          </w:p>
        </w:tc>
        <w:tc>
          <w:tcPr>
            <w:tcW w:w="499" w:type="pct"/>
            <w:vAlign w:val="center"/>
          </w:tcPr>
          <w:p w14:paraId="7C05A351">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43</w:t>
            </w:r>
          </w:p>
        </w:tc>
        <w:tc>
          <w:tcPr>
            <w:tcW w:w="335" w:type="pct"/>
            <w:noWrap/>
            <w:vAlign w:val="center"/>
          </w:tcPr>
          <w:p w14:paraId="1D446DED">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35" w:type="pct"/>
            <w:noWrap/>
            <w:vAlign w:val="center"/>
          </w:tcPr>
          <w:p w14:paraId="31396583">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35" w:type="pct"/>
            <w:noWrap/>
            <w:vAlign w:val="center"/>
          </w:tcPr>
          <w:p w14:paraId="63F31E24">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42" w:type="pct"/>
            <w:vMerge w:val="continue"/>
            <w:noWrap/>
            <w:vAlign w:val="center"/>
          </w:tcPr>
          <w:p w14:paraId="0A1A1D53">
            <w:pPr>
              <w:spacing w:line="240" w:lineRule="exact"/>
              <w:jc w:val="center"/>
              <w:rPr>
                <w:rFonts w:ascii="Times New Roman" w:hAnsi="Times New Roman" w:eastAsia="宋体" w:cs="Times New Roman"/>
                <w:color w:val="auto"/>
                <w:kern w:val="0"/>
              </w:rPr>
            </w:pPr>
          </w:p>
        </w:tc>
        <w:tc>
          <w:tcPr>
            <w:tcW w:w="371" w:type="pct"/>
            <w:noWrap/>
            <w:vAlign w:val="center"/>
          </w:tcPr>
          <w:p w14:paraId="148CB91E">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719014CA">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vAlign w:val="center"/>
          </w:tcPr>
          <w:p w14:paraId="7FC7ABA5">
            <w:pPr>
              <w:spacing w:line="240" w:lineRule="exact"/>
              <w:jc w:val="center"/>
              <w:rPr>
                <w:rFonts w:ascii="Times New Roman" w:hAnsi="Times New Roman" w:eastAsia="宋体" w:cs="Times New Roman"/>
                <w:color w:val="auto"/>
                <w:kern w:val="0"/>
              </w:rPr>
            </w:pPr>
          </w:p>
        </w:tc>
        <w:tc>
          <w:tcPr>
            <w:tcW w:w="474" w:type="pct"/>
            <w:vMerge w:val="continue"/>
            <w:vAlign w:val="center"/>
          </w:tcPr>
          <w:p w14:paraId="6B8D8C3B">
            <w:pPr>
              <w:spacing w:line="240" w:lineRule="exact"/>
              <w:jc w:val="center"/>
              <w:rPr>
                <w:rFonts w:ascii="Times New Roman" w:hAnsi="Times New Roman" w:eastAsia="宋体" w:cs="Times New Roman"/>
                <w:color w:val="auto"/>
                <w:kern w:val="0"/>
              </w:rPr>
            </w:pPr>
          </w:p>
        </w:tc>
        <w:tc>
          <w:tcPr>
            <w:tcW w:w="457" w:type="pct"/>
            <w:vMerge w:val="continue"/>
            <w:vAlign w:val="center"/>
          </w:tcPr>
          <w:p w14:paraId="1409703D">
            <w:pPr>
              <w:spacing w:line="240" w:lineRule="exact"/>
              <w:jc w:val="center"/>
              <w:rPr>
                <w:rFonts w:ascii="Times New Roman" w:hAnsi="Times New Roman" w:eastAsia="宋体" w:cs="Times New Roman"/>
                <w:color w:val="auto"/>
                <w:kern w:val="0"/>
              </w:rPr>
            </w:pPr>
          </w:p>
        </w:tc>
        <w:tc>
          <w:tcPr>
            <w:tcW w:w="799" w:type="pct"/>
            <w:vMerge w:val="continue"/>
            <w:vAlign w:val="center"/>
          </w:tcPr>
          <w:p w14:paraId="4804FBA8">
            <w:pPr>
              <w:spacing w:line="240" w:lineRule="exact"/>
              <w:jc w:val="center"/>
              <w:rPr>
                <w:rFonts w:ascii="Times New Roman" w:hAnsi="Times New Roman" w:eastAsia="宋体" w:cs="Times New Roman"/>
                <w:color w:val="auto"/>
                <w:kern w:val="0"/>
              </w:rPr>
            </w:pPr>
          </w:p>
        </w:tc>
        <w:tc>
          <w:tcPr>
            <w:tcW w:w="499" w:type="pct"/>
            <w:noWrap/>
            <w:vAlign w:val="center"/>
          </w:tcPr>
          <w:p w14:paraId="72021826">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2026.4.29</w:t>
            </w:r>
          </w:p>
        </w:tc>
        <w:tc>
          <w:tcPr>
            <w:tcW w:w="299" w:type="pct"/>
            <w:vAlign w:val="center"/>
          </w:tcPr>
          <w:p w14:paraId="76846058">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夜间</w:t>
            </w:r>
          </w:p>
        </w:tc>
        <w:tc>
          <w:tcPr>
            <w:tcW w:w="499" w:type="pct"/>
            <w:vAlign w:val="center"/>
          </w:tcPr>
          <w:p w14:paraId="3F8B2157">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38</w:t>
            </w:r>
          </w:p>
        </w:tc>
        <w:tc>
          <w:tcPr>
            <w:tcW w:w="335" w:type="pct"/>
            <w:noWrap/>
            <w:vAlign w:val="center"/>
          </w:tcPr>
          <w:p w14:paraId="209335FC">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35" w:type="pct"/>
            <w:noWrap/>
            <w:vAlign w:val="center"/>
          </w:tcPr>
          <w:p w14:paraId="7FABE4B9">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35" w:type="pct"/>
            <w:noWrap/>
            <w:vAlign w:val="center"/>
          </w:tcPr>
          <w:p w14:paraId="3475D59B">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42" w:type="pct"/>
            <w:vMerge w:val="continue"/>
            <w:noWrap/>
            <w:vAlign w:val="center"/>
          </w:tcPr>
          <w:p w14:paraId="31306E1E">
            <w:pPr>
              <w:spacing w:line="240" w:lineRule="exact"/>
              <w:jc w:val="center"/>
              <w:rPr>
                <w:rFonts w:ascii="Times New Roman" w:hAnsi="Times New Roman" w:eastAsia="宋体" w:cs="Times New Roman"/>
                <w:color w:val="auto"/>
                <w:kern w:val="0"/>
              </w:rPr>
            </w:pPr>
          </w:p>
        </w:tc>
        <w:tc>
          <w:tcPr>
            <w:tcW w:w="371" w:type="pct"/>
            <w:noWrap/>
            <w:vAlign w:val="center"/>
          </w:tcPr>
          <w:p w14:paraId="1F156F8C">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44724B65">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restart"/>
            <w:noWrap/>
            <w:vAlign w:val="center"/>
          </w:tcPr>
          <w:p w14:paraId="483A439C">
            <w:pPr>
              <w:spacing w:line="240" w:lineRule="exact"/>
              <w:jc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16</w:t>
            </w:r>
          </w:p>
        </w:tc>
        <w:tc>
          <w:tcPr>
            <w:tcW w:w="474" w:type="pct"/>
            <w:vMerge w:val="restart"/>
            <w:noWrap/>
            <w:vAlign w:val="center"/>
          </w:tcPr>
          <w:p w14:paraId="1B0CC07D">
            <w:pPr>
              <w:spacing w:line="240" w:lineRule="exact"/>
              <w:jc w:val="center"/>
              <w:rPr>
                <w:rFonts w:ascii="Times New Roman" w:hAnsi="Times New Roman" w:eastAsia="宋体" w:cs="Times New Roman"/>
                <w:color w:val="auto"/>
                <w:kern w:val="0"/>
              </w:rPr>
            </w:pPr>
            <w:r>
              <w:rPr>
                <w:rFonts w:hint="eastAsia" w:ascii="Times New Roman" w:cs="Times New Roman" w:hAnsiTheme="minorEastAsia" w:eastAsiaTheme="minorEastAsia"/>
                <w:color w:val="auto"/>
              </w:rPr>
              <w:t>其维克村</w:t>
            </w:r>
          </w:p>
        </w:tc>
        <w:tc>
          <w:tcPr>
            <w:tcW w:w="457" w:type="pct"/>
            <w:vMerge w:val="restart"/>
            <w:vAlign w:val="center"/>
          </w:tcPr>
          <w:p w14:paraId="1013CDFC">
            <w:pPr>
              <w:spacing w:line="240" w:lineRule="exact"/>
              <w:jc w:val="center"/>
              <w:rPr>
                <w:rFonts w:ascii="Times New Roman" w:hAnsi="Times New Roman" w:eastAsia="宋体" w:cs="Times New Roman"/>
                <w:color w:val="auto"/>
                <w:kern w:val="0"/>
              </w:rPr>
            </w:pPr>
            <w:r>
              <w:rPr>
                <w:rFonts w:ascii="Times New Roman" w:hAnsi="Times New Roman" w:eastAsia="宋体" w:cs="Times New Roman"/>
                <w:color w:val="auto"/>
                <w:kern w:val="0"/>
              </w:rPr>
              <w:t>环境噪声</w:t>
            </w:r>
          </w:p>
        </w:tc>
        <w:tc>
          <w:tcPr>
            <w:tcW w:w="799" w:type="pct"/>
            <w:vMerge w:val="restart"/>
            <w:vAlign w:val="center"/>
          </w:tcPr>
          <w:p w14:paraId="782CF4E0">
            <w:pPr>
              <w:spacing w:line="240" w:lineRule="exact"/>
              <w:jc w:val="center"/>
              <w:rPr>
                <w:rFonts w:ascii="Times New Roman" w:hAnsi="Times New Roman" w:eastAsia="宋体" w:cs="Times New Roman"/>
                <w:color w:val="auto"/>
                <w:kern w:val="0"/>
              </w:rPr>
            </w:pPr>
            <w:r>
              <w:rPr>
                <w:rFonts w:hint="eastAsia" w:ascii="Times New Roman" w:hAnsi="Times New Roman" w:eastAsia="宋体" w:cs="Times New Roman"/>
                <w:color w:val="auto"/>
              </w:rPr>
              <w:t>远离</w:t>
            </w:r>
            <w:r>
              <w:rPr>
                <w:rFonts w:ascii="Times New Roman" w:hAnsi="Times New Roman" w:eastAsia="宋体" w:cs="Times New Roman"/>
                <w:color w:val="auto"/>
              </w:rPr>
              <w:t>现有</w:t>
            </w:r>
            <w:r>
              <w:rPr>
                <w:rFonts w:hint="eastAsia" w:ascii="Times New Roman" w:hAnsi="Times New Roman" w:eastAsia="宋体" w:cs="Times New Roman"/>
                <w:color w:val="auto"/>
              </w:rPr>
              <w:t>G219且临现有S311公路</w:t>
            </w:r>
            <w:r>
              <w:rPr>
                <w:rFonts w:ascii="Times New Roman" w:hAnsi="Times New Roman" w:eastAsia="宋体" w:cs="Times New Roman"/>
                <w:color w:val="auto"/>
              </w:rPr>
              <w:t>第一排房</w:t>
            </w:r>
            <w:r>
              <w:rPr>
                <w:rFonts w:hint="eastAsia" w:ascii="Times New Roman" w:hAnsi="Times New Roman" w:eastAsia="宋体" w:cs="Times New Roman"/>
                <w:color w:val="auto"/>
              </w:rPr>
              <w:t>1</w:t>
            </w:r>
            <w:r>
              <w:rPr>
                <w:rFonts w:ascii="Times New Roman" w:hAnsi="Times New Roman" w:eastAsia="宋体" w:cs="Times New Roman"/>
                <w:color w:val="auto"/>
              </w:rPr>
              <w:t>层</w:t>
            </w:r>
          </w:p>
        </w:tc>
        <w:tc>
          <w:tcPr>
            <w:tcW w:w="499" w:type="pct"/>
            <w:noWrap/>
            <w:vAlign w:val="center"/>
          </w:tcPr>
          <w:p w14:paraId="7379E327">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2026.4.27</w:t>
            </w:r>
          </w:p>
        </w:tc>
        <w:tc>
          <w:tcPr>
            <w:tcW w:w="299" w:type="pct"/>
            <w:vAlign w:val="center"/>
          </w:tcPr>
          <w:p w14:paraId="47376A11">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昼间</w:t>
            </w:r>
          </w:p>
        </w:tc>
        <w:tc>
          <w:tcPr>
            <w:tcW w:w="499" w:type="pct"/>
            <w:vAlign w:val="center"/>
          </w:tcPr>
          <w:p w14:paraId="6494193A">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55</w:t>
            </w:r>
          </w:p>
        </w:tc>
        <w:tc>
          <w:tcPr>
            <w:tcW w:w="335" w:type="pct"/>
            <w:noWrap/>
            <w:vAlign w:val="center"/>
          </w:tcPr>
          <w:p w14:paraId="490A6827">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48</w:t>
            </w:r>
          </w:p>
        </w:tc>
        <w:tc>
          <w:tcPr>
            <w:tcW w:w="335" w:type="pct"/>
            <w:noWrap/>
            <w:vAlign w:val="center"/>
          </w:tcPr>
          <w:p w14:paraId="4931E823">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33</w:t>
            </w:r>
          </w:p>
        </w:tc>
        <w:tc>
          <w:tcPr>
            <w:tcW w:w="335" w:type="pct"/>
            <w:noWrap/>
            <w:vAlign w:val="center"/>
          </w:tcPr>
          <w:p w14:paraId="11CEB339">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111</w:t>
            </w:r>
          </w:p>
        </w:tc>
        <w:tc>
          <w:tcPr>
            <w:tcW w:w="342" w:type="pct"/>
            <w:vMerge w:val="restart"/>
            <w:noWrap/>
            <w:vAlign w:val="center"/>
          </w:tcPr>
          <w:p w14:paraId="3A90F68D">
            <w:pPr>
              <w:spacing w:line="240" w:lineRule="exact"/>
              <w:jc w:val="center"/>
              <w:rPr>
                <w:rFonts w:ascii="Times New Roman" w:hAnsi="Times New Roman" w:eastAsia="宋体" w:cs="Times New Roman"/>
                <w:color w:val="auto"/>
                <w:kern w:val="0"/>
              </w:rPr>
            </w:pPr>
            <w:r>
              <w:rPr>
                <w:rFonts w:ascii="Times New Roman" w:hAnsi="Times New Roman" w:eastAsia="宋体" w:cs="Times New Roman"/>
                <w:color w:val="auto"/>
                <w:kern w:val="0"/>
              </w:rPr>
              <w:t>4a类</w:t>
            </w:r>
          </w:p>
        </w:tc>
        <w:tc>
          <w:tcPr>
            <w:tcW w:w="371" w:type="pct"/>
            <w:noWrap/>
            <w:vAlign w:val="center"/>
          </w:tcPr>
          <w:p w14:paraId="593C3FF7">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66AE90FD">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vAlign w:val="center"/>
          </w:tcPr>
          <w:p w14:paraId="755302C2">
            <w:pPr>
              <w:spacing w:line="240" w:lineRule="exact"/>
              <w:jc w:val="center"/>
              <w:rPr>
                <w:rFonts w:ascii="Times New Roman" w:hAnsi="Times New Roman" w:eastAsia="宋体" w:cs="Times New Roman"/>
                <w:color w:val="auto"/>
                <w:kern w:val="0"/>
              </w:rPr>
            </w:pPr>
          </w:p>
        </w:tc>
        <w:tc>
          <w:tcPr>
            <w:tcW w:w="474" w:type="pct"/>
            <w:vMerge w:val="continue"/>
            <w:vAlign w:val="center"/>
          </w:tcPr>
          <w:p w14:paraId="520EC428">
            <w:pPr>
              <w:spacing w:line="240" w:lineRule="exact"/>
              <w:jc w:val="center"/>
              <w:rPr>
                <w:rFonts w:ascii="Times New Roman" w:hAnsi="Times New Roman" w:eastAsia="宋体" w:cs="Times New Roman"/>
                <w:color w:val="auto"/>
                <w:kern w:val="0"/>
              </w:rPr>
            </w:pPr>
          </w:p>
        </w:tc>
        <w:tc>
          <w:tcPr>
            <w:tcW w:w="457" w:type="pct"/>
            <w:vMerge w:val="continue"/>
            <w:vAlign w:val="center"/>
          </w:tcPr>
          <w:p w14:paraId="01B30507">
            <w:pPr>
              <w:spacing w:line="240" w:lineRule="exact"/>
              <w:jc w:val="center"/>
              <w:rPr>
                <w:rFonts w:ascii="Times New Roman" w:hAnsi="Times New Roman" w:eastAsia="宋体" w:cs="Times New Roman"/>
                <w:color w:val="auto"/>
                <w:kern w:val="0"/>
              </w:rPr>
            </w:pPr>
          </w:p>
        </w:tc>
        <w:tc>
          <w:tcPr>
            <w:tcW w:w="799" w:type="pct"/>
            <w:vMerge w:val="continue"/>
            <w:vAlign w:val="center"/>
          </w:tcPr>
          <w:p w14:paraId="3F877BC4">
            <w:pPr>
              <w:spacing w:line="240" w:lineRule="exact"/>
              <w:jc w:val="center"/>
              <w:rPr>
                <w:rFonts w:ascii="Times New Roman" w:hAnsi="Times New Roman" w:eastAsia="宋体" w:cs="Times New Roman"/>
                <w:color w:val="auto"/>
                <w:kern w:val="0"/>
              </w:rPr>
            </w:pPr>
          </w:p>
        </w:tc>
        <w:tc>
          <w:tcPr>
            <w:tcW w:w="499" w:type="pct"/>
            <w:noWrap/>
            <w:vAlign w:val="center"/>
          </w:tcPr>
          <w:p w14:paraId="6081C2AC">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2026.4.28</w:t>
            </w:r>
          </w:p>
        </w:tc>
        <w:tc>
          <w:tcPr>
            <w:tcW w:w="299" w:type="pct"/>
            <w:vAlign w:val="center"/>
          </w:tcPr>
          <w:p w14:paraId="5B7C8B76">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夜间</w:t>
            </w:r>
          </w:p>
        </w:tc>
        <w:tc>
          <w:tcPr>
            <w:tcW w:w="499" w:type="pct"/>
            <w:vAlign w:val="center"/>
          </w:tcPr>
          <w:p w14:paraId="095D5D5C">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44</w:t>
            </w:r>
          </w:p>
        </w:tc>
        <w:tc>
          <w:tcPr>
            <w:tcW w:w="335" w:type="pct"/>
            <w:noWrap/>
            <w:vAlign w:val="center"/>
          </w:tcPr>
          <w:p w14:paraId="7170E100">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30</w:t>
            </w:r>
          </w:p>
        </w:tc>
        <w:tc>
          <w:tcPr>
            <w:tcW w:w="335" w:type="pct"/>
            <w:noWrap/>
            <w:vAlign w:val="center"/>
          </w:tcPr>
          <w:p w14:paraId="6763E116">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18</w:t>
            </w:r>
          </w:p>
        </w:tc>
        <w:tc>
          <w:tcPr>
            <w:tcW w:w="335" w:type="pct"/>
            <w:noWrap/>
            <w:vAlign w:val="center"/>
          </w:tcPr>
          <w:p w14:paraId="7FEB520E">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37</w:t>
            </w:r>
          </w:p>
        </w:tc>
        <w:tc>
          <w:tcPr>
            <w:tcW w:w="342" w:type="pct"/>
            <w:vMerge w:val="continue"/>
            <w:noWrap/>
            <w:vAlign w:val="center"/>
          </w:tcPr>
          <w:p w14:paraId="067E353C">
            <w:pPr>
              <w:spacing w:line="240" w:lineRule="exact"/>
              <w:jc w:val="center"/>
              <w:rPr>
                <w:rFonts w:ascii="Times New Roman" w:hAnsi="Times New Roman" w:eastAsia="宋体" w:cs="Times New Roman"/>
                <w:color w:val="auto"/>
                <w:kern w:val="0"/>
              </w:rPr>
            </w:pPr>
          </w:p>
        </w:tc>
        <w:tc>
          <w:tcPr>
            <w:tcW w:w="371" w:type="pct"/>
            <w:noWrap/>
            <w:vAlign w:val="center"/>
          </w:tcPr>
          <w:p w14:paraId="348F2013">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11946CF6">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vAlign w:val="center"/>
          </w:tcPr>
          <w:p w14:paraId="7438991A">
            <w:pPr>
              <w:spacing w:line="240" w:lineRule="exact"/>
              <w:jc w:val="center"/>
              <w:rPr>
                <w:rFonts w:ascii="Times New Roman" w:hAnsi="Times New Roman" w:eastAsia="宋体" w:cs="Times New Roman"/>
                <w:color w:val="auto"/>
                <w:kern w:val="0"/>
              </w:rPr>
            </w:pPr>
          </w:p>
        </w:tc>
        <w:tc>
          <w:tcPr>
            <w:tcW w:w="474" w:type="pct"/>
            <w:vMerge w:val="continue"/>
            <w:vAlign w:val="center"/>
          </w:tcPr>
          <w:p w14:paraId="3F476B74">
            <w:pPr>
              <w:spacing w:line="240" w:lineRule="exact"/>
              <w:jc w:val="center"/>
              <w:rPr>
                <w:rFonts w:ascii="Times New Roman" w:hAnsi="Times New Roman" w:eastAsia="宋体" w:cs="Times New Roman"/>
                <w:color w:val="auto"/>
                <w:kern w:val="0"/>
              </w:rPr>
            </w:pPr>
          </w:p>
        </w:tc>
        <w:tc>
          <w:tcPr>
            <w:tcW w:w="457" w:type="pct"/>
            <w:vMerge w:val="continue"/>
            <w:vAlign w:val="center"/>
          </w:tcPr>
          <w:p w14:paraId="5FC1E6EE">
            <w:pPr>
              <w:spacing w:line="240" w:lineRule="exact"/>
              <w:jc w:val="center"/>
              <w:rPr>
                <w:rFonts w:ascii="Times New Roman" w:hAnsi="Times New Roman" w:eastAsia="宋体" w:cs="Times New Roman"/>
                <w:color w:val="auto"/>
                <w:kern w:val="0"/>
              </w:rPr>
            </w:pPr>
          </w:p>
        </w:tc>
        <w:tc>
          <w:tcPr>
            <w:tcW w:w="799" w:type="pct"/>
            <w:vMerge w:val="continue"/>
            <w:vAlign w:val="center"/>
          </w:tcPr>
          <w:p w14:paraId="0209B148">
            <w:pPr>
              <w:spacing w:line="240" w:lineRule="exact"/>
              <w:jc w:val="center"/>
              <w:rPr>
                <w:rFonts w:ascii="Times New Roman" w:hAnsi="Times New Roman" w:eastAsia="宋体" w:cs="Times New Roman"/>
                <w:color w:val="auto"/>
                <w:kern w:val="0"/>
              </w:rPr>
            </w:pPr>
          </w:p>
        </w:tc>
        <w:tc>
          <w:tcPr>
            <w:tcW w:w="499" w:type="pct"/>
            <w:noWrap/>
            <w:vAlign w:val="center"/>
          </w:tcPr>
          <w:p w14:paraId="67A73ABF">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2026.4.28</w:t>
            </w:r>
          </w:p>
        </w:tc>
        <w:tc>
          <w:tcPr>
            <w:tcW w:w="299" w:type="pct"/>
            <w:vAlign w:val="center"/>
          </w:tcPr>
          <w:p w14:paraId="7BCDC2AC">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昼间</w:t>
            </w:r>
          </w:p>
        </w:tc>
        <w:tc>
          <w:tcPr>
            <w:tcW w:w="499" w:type="pct"/>
            <w:vAlign w:val="center"/>
          </w:tcPr>
          <w:p w14:paraId="31DE6031">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55</w:t>
            </w:r>
          </w:p>
        </w:tc>
        <w:tc>
          <w:tcPr>
            <w:tcW w:w="335" w:type="pct"/>
            <w:noWrap/>
            <w:vAlign w:val="center"/>
          </w:tcPr>
          <w:p w14:paraId="047780F1">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54</w:t>
            </w:r>
          </w:p>
        </w:tc>
        <w:tc>
          <w:tcPr>
            <w:tcW w:w="335" w:type="pct"/>
            <w:noWrap/>
            <w:vAlign w:val="center"/>
          </w:tcPr>
          <w:p w14:paraId="0D15E38C">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42</w:t>
            </w:r>
          </w:p>
        </w:tc>
        <w:tc>
          <w:tcPr>
            <w:tcW w:w="335" w:type="pct"/>
            <w:noWrap/>
            <w:vAlign w:val="center"/>
          </w:tcPr>
          <w:p w14:paraId="1D822A4B">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129</w:t>
            </w:r>
          </w:p>
        </w:tc>
        <w:tc>
          <w:tcPr>
            <w:tcW w:w="342" w:type="pct"/>
            <w:vMerge w:val="continue"/>
            <w:noWrap/>
            <w:vAlign w:val="center"/>
          </w:tcPr>
          <w:p w14:paraId="4FDE3880">
            <w:pPr>
              <w:spacing w:line="240" w:lineRule="exact"/>
              <w:jc w:val="center"/>
              <w:rPr>
                <w:rFonts w:ascii="Times New Roman" w:hAnsi="Times New Roman" w:eastAsia="宋体" w:cs="Times New Roman"/>
                <w:color w:val="auto"/>
                <w:kern w:val="0"/>
              </w:rPr>
            </w:pPr>
          </w:p>
        </w:tc>
        <w:tc>
          <w:tcPr>
            <w:tcW w:w="371" w:type="pct"/>
            <w:noWrap/>
            <w:vAlign w:val="center"/>
          </w:tcPr>
          <w:p w14:paraId="6788D289">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5E7A7556">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vAlign w:val="center"/>
          </w:tcPr>
          <w:p w14:paraId="40B849C9">
            <w:pPr>
              <w:spacing w:line="240" w:lineRule="exact"/>
              <w:jc w:val="center"/>
              <w:rPr>
                <w:rFonts w:ascii="Times New Roman" w:hAnsi="Times New Roman" w:eastAsia="宋体" w:cs="Times New Roman"/>
                <w:color w:val="auto"/>
                <w:kern w:val="0"/>
              </w:rPr>
            </w:pPr>
          </w:p>
        </w:tc>
        <w:tc>
          <w:tcPr>
            <w:tcW w:w="474" w:type="pct"/>
            <w:vMerge w:val="continue"/>
            <w:vAlign w:val="center"/>
          </w:tcPr>
          <w:p w14:paraId="3F6CD37D">
            <w:pPr>
              <w:spacing w:line="240" w:lineRule="exact"/>
              <w:jc w:val="center"/>
              <w:rPr>
                <w:rFonts w:ascii="Times New Roman" w:hAnsi="Times New Roman" w:eastAsia="宋体" w:cs="Times New Roman"/>
                <w:color w:val="auto"/>
                <w:kern w:val="0"/>
              </w:rPr>
            </w:pPr>
          </w:p>
        </w:tc>
        <w:tc>
          <w:tcPr>
            <w:tcW w:w="457" w:type="pct"/>
            <w:vMerge w:val="continue"/>
            <w:vAlign w:val="center"/>
          </w:tcPr>
          <w:p w14:paraId="4ABD5BAC">
            <w:pPr>
              <w:spacing w:line="240" w:lineRule="exact"/>
              <w:jc w:val="center"/>
              <w:rPr>
                <w:rFonts w:ascii="Times New Roman" w:hAnsi="Times New Roman" w:eastAsia="宋体" w:cs="Times New Roman"/>
                <w:color w:val="auto"/>
                <w:kern w:val="0"/>
              </w:rPr>
            </w:pPr>
          </w:p>
        </w:tc>
        <w:tc>
          <w:tcPr>
            <w:tcW w:w="799" w:type="pct"/>
            <w:vMerge w:val="continue"/>
            <w:vAlign w:val="center"/>
          </w:tcPr>
          <w:p w14:paraId="7C532EAC">
            <w:pPr>
              <w:spacing w:line="240" w:lineRule="exact"/>
              <w:jc w:val="center"/>
              <w:rPr>
                <w:rFonts w:ascii="Times New Roman" w:hAnsi="Times New Roman" w:eastAsia="宋体" w:cs="Times New Roman"/>
                <w:color w:val="auto"/>
                <w:kern w:val="0"/>
              </w:rPr>
            </w:pPr>
          </w:p>
        </w:tc>
        <w:tc>
          <w:tcPr>
            <w:tcW w:w="499" w:type="pct"/>
            <w:noWrap/>
            <w:vAlign w:val="center"/>
          </w:tcPr>
          <w:p w14:paraId="3655921B">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2026.4.29</w:t>
            </w:r>
          </w:p>
        </w:tc>
        <w:tc>
          <w:tcPr>
            <w:tcW w:w="299" w:type="pct"/>
            <w:vAlign w:val="center"/>
          </w:tcPr>
          <w:p w14:paraId="62B47ECE">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夜间</w:t>
            </w:r>
          </w:p>
        </w:tc>
        <w:tc>
          <w:tcPr>
            <w:tcW w:w="499" w:type="pct"/>
            <w:vAlign w:val="center"/>
          </w:tcPr>
          <w:p w14:paraId="257E5DBD">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48</w:t>
            </w:r>
          </w:p>
        </w:tc>
        <w:tc>
          <w:tcPr>
            <w:tcW w:w="335" w:type="pct"/>
            <w:noWrap/>
            <w:vAlign w:val="center"/>
          </w:tcPr>
          <w:p w14:paraId="637A0416">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27</w:t>
            </w:r>
          </w:p>
        </w:tc>
        <w:tc>
          <w:tcPr>
            <w:tcW w:w="335" w:type="pct"/>
            <w:noWrap/>
            <w:vAlign w:val="center"/>
          </w:tcPr>
          <w:p w14:paraId="74204FF4">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21</w:t>
            </w:r>
          </w:p>
        </w:tc>
        <w:tc>
          <w:tcPr>
            <w:tcW w:w="335" w:type="pct"/>
            <w:noWrap/>
            <w:vAlign w:val="center"/>
          </w:tcPr>
          <w:p w14:paraId="1C3093C0">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40</w:t>
            </w:r>
          </w:p>
        </w:tc>
        <w:tc>
          <w:tcPr>
            <w:tcW w:w="342" w:type="pct"/>
            <w:vMerge w:val="continue"/>
            <w:noWrap/>
            <w:vAlign w:val="center"/>
          </w:tcPr>
          <w:p w14:paraId="54CFD39A">
            <w:pPr>
              <w:spacing w:line="240" w:lineRule="exact"/>
              <w:jc w:val="center"/>
              <w:rPr>
                <w:rFonts w:ascii="Times New Roman" w:hAnsi="Times New Roman" w:eastAsia="宋体" w:cs="Times New Roman"/>
                <w:color w:val="auto"/>
                <w:kern w:val="0"/>
              </w:rPr>
            </w:pPr>
          </w:p>
        </w:tc>
        <w:tc>
          <w:tcPr>
            <w:tcW w:w="371" w:type="pct"/>
            <w:noWrap/>
            <w:vAlign w:val="center"/>
          </w:tcPr>
          <w:p w14:paraId="24FB8B68">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3ED98D47">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vAlign w:val="center"/>
          </w:tcPr>
          <w:p w14:paraId="0262F5B6">
            <w:pPr>
              <w:spacing w:line="240" w:lineRule="exact"/>
              <w:jc w:val="center"/>
              <w:rPr>
                <w:rFonts w:ascii="Times New Roman" w:hAnsi="Times New Roman" w:eastAsia="宋体" w:cs="Times New Roman"/>
                <w:color w:val="auto"/>
                <w:kern w:val="0"/>
              </w:rPr>
            </w:pPr>
          </w:p>
        </w:tc>
        <w:tc>
          <w:tcPr>
            <w:tcW w:w="474" w:type="pct"/>
            <w:vMerge w:val="continue"/>
            <w:vAlign w:val="center"/>
          </w:tcPr>
          <w:p w14:paraId="64B3B272">
            <w:pPr>
              <w:spacing w:line="240" w:lineRule="exact"/>
              <w:jc w:val="center"/>
              <w:rPr>
                <w:rFonts w:ascii="Times New Roman" w:hAnsi="Times New Roman" w:eastAsia="宋体" w:cs="Times New Roman"/>
                <w:color w:val="auto"/>
                <w:kern w:val="0"/>
              </w:rPr>
            </w:pPr>
          </w:p>
        </w:tc>
        <w:tc>
          <w:tcPr>
            <w:tcW w:w="457" w:type="pct"/>
            <w:vMerge w:val="continue"/>
            <w:vAlign w:val="center"/>
          </w:tcPr>
          <w:p w14:paraId="3B130CB3">
            <w:pPr>
              <w:spacing w:line="240" w:lineRule="exact"/>
              <w:jc w:val="center"/>
              <w:rPr>
                <w:rFonts w:ascii="Times New Roman" w:hAnsi="Times New Roman" w:eastAsia="宋体" w:cs="Times New Roman"/>
                <w:color w:val="auto"/>
                <w:kern w:val="0"/>
              </w:rPr>
            </w:pPr>
          </w:p>
        </w:tc>
        <w:tc>
          <w:tcPr>
            <w:tcW w:w="799" w:type="pct"/>
            <w:vMerge w:val="restart"/>
            <w:vAlign w:val="center"/>
          </w:tcPr>
          <w:p w14:paraId="4D872D47">
            <w:pPr>
              <w:spacing w:line="240" w:lineRule="exact"/>
              <w:jc w:val="center"/>
              <w:rPr>
                <w:rFonts w:ascii="Times New Roman" w:hAnsi="Times New Roman" w:eastAsia="宋体" w:cs="Times New Roman"/>
                <w:color w:val="auto"/>
                <w:kern w:val="0"/>
              </w:rPr>
            </w:pPr>
            <w:r>
              <w:rPr>
                <w:rFonts w:hint="eastAsia" w:ascii="Times New Roman" w:hAnsi="Times New Roman" w:eastAsia="宋体" w:cs="Times New Roman"/>
                <w:color w:val="auto"/>
              </w:rPr>
              <w:t>远离</w:t>
            </w:r>
            <w:r>
              <w:rPr>
                <w:rFonts w:ascii="Times New Roman" w:hAnsi="Times New Roman" w:eastAsia="宋体" w:cs="Times New Roman"/>
                <w:color w:val="auto"/>
              </w:rPr>
              <w:t>现有</w:t>
            </w:r>
            <w:r>
              <w:rPr>
                <w:rFonts w:hint="eastAsia" w:ascii="Times New Roman" w:hAnsi="Times New Roman" w:eastAsia="宋体" w:cs="Times New Roman"/>
                <w:color w:val="auto"/>
              </w:rPr>
              <w:t>G219且临现有S311公路</w:t>
            </w:r>
            <w:r>
              <w:rPr>
                <w:rFonts w:ascii="Times New Roman" w:hAnsi="Times New Roman" w:eastAsia="宋体" w:cs="Times New Roman"/>
                <w:color w:val="auto"/>
              </w:rPr>
              <w:t>边界</w:t>
            </w:r>
            <w:r>
              <w:rPr>
                <w:rFonts w:hint="eastAsia" w:ascii="Times New Roman" w:hAnsi="Times New Roman" w:eastAsia="宋体" w:cs="Times New Roman"/>
                <w:color w:val="auto"/>
              </w:rPr>
              <w:t>35</w:t>
            </w:r>
            <w:r>
              <w:rPr>
                <w:rFonts w:ascii="Times New Roman" w:hAnsi="Times New Roman" w:eastAsia="宋体" w:cs="Times New Roman"/>
                <w:color w:val="auto"/>
              </w:rPr>
              <w:t>m外第一排房</w:t>
            </w:r>
            <w:r>
              <w:rPr>
                <w:rFonts w:hint="eastAsia" w:ascii="Times New Roman" w:hAnsi="Times New Roman" w:eastAsia="宋体" w:cs="Times New Roman"/>
                <w:color w:val="auto"/>
              </w:rPr>
              <w:t>1</w:t>
            </w:r>
            <w:r>
              <w:rPr>
                <w:rFonts w:ascii="Times New Roman" w:hAnsi="Times New Roman" w:eastAsia="宋体" w:cs="Times New Roman"/>
                <w:color w:val="auto"/>
              </w:rPr>
              <w:t>层</w:t>
            </w:r>
          </w:p>
        </w:tc>
        <w:tc>
          <w:tcPr>
            <w:tcW w:w="499" w:type="pct"/>
            <w:noWrap/>
            <w:vAlign w:val="center"/>
          </w:tcPr>
          <w:p w14:paraId="6CCAC67E">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2026.4.27</w:t>
            </w:r>
          </w:p>
        </w:tc>
        <w:tc>
          <w:tcPr>
            <w:tcW w:w="299" w:type="pct"/>
            <w:vAlign w:val="center"/>
          </w:tcPr>
          <w:p w14:paraId="7707013D">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昼间</w:t>
            </w:r>
          </w:p>
        </w:tc>
        <w:tc>
          <w:tcPr>
            <w:tcW w:w="499" w:type="pct"/>
            <w:vAlign w:val="center"/>
          </w:tcPr>
          <w:p w14:paraId="29FA6CDB">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52</w:t>
            </w:r>
          </w:p>
        </w:tc>
        <w:tc>
          <w:tcPr>
            <w:tcW w:w="335" w:type="pct"/>
            <w:noWrap/>
            <w:vAlign w:val="center"/>
          </w:tcPr>
          <w:p w14:paraId="29AF1274">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48</w:t>
            </w:r>
          </w:p>
        </w:tc>
        <w:tc>
          <w:tcPr>
            <w:tcW w:w="335" w:type="pct"/>
            <w:noWrap/>
            <w:vAlign w:val="center"/>
          </w:tcPr>
          <w:p w14:paraId="75ED2B54">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33</w:t>
            </w:r>
          </w:p>
        </w:tc>
        <w:tc>
          <w:tcPr>
            <w:tcW w:w="335" w:type="pct"/>
            <w:noWrap/>
            <w:vAlign w:val="center"/>
          </w:tcPr>
          <w:p w14:paraId="2CAB7295">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111</w:t>
            </w:r>
          </w:p>
        </w:tc>
        <w:tc>
          <w:tcPr>
            <w:tcW w:w="342" w:type="pct"/>
            <w:vMerge w:val="restart"/>
            <w:noWrap/>
            <w:vAlign w:val="center"/>
          </w:tcPr>
          <w:p w14:paraId="75D01829">
            <w:pPr>
              <w:spacing w:line="240" w:lineRule="exact"/>
              <w:jc w:val="center"/>
              <w:rPr>
                <w:rFonts w:ascii="Times New Roman" w:hAnsi="Times New Roman" w:eastAsia="宋体" w:cs="Times New Roman"/>
                <w:color w:val="auto"/>
                <w:kern w:val="0"/>
              </w:rPr>
            </w:pPr>
            <w:r>
              <w:rPr>
                <w:rFonts w:ascii="Times New Roman" w:hAnsi="Times New Roman" w:eastAsia="宋体" w:cs="Times New Roman"/>
                <w:color w:val="auto"/>
                <w:kern w:val="0"/>
              </w:rPr>
              <w:t>2类</w:t>
            </w:r>
          </w:p>
        </w:tc>
        <w:tc>
          <w:tcPr>
            <w:tcW w:w="371" w:type="pct"/>
            <w:noWrap/>
            <w:vAlign w:val="center"/>
          </w:tcPr>
          <w:p w14:paraId="10AB0FAE">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3004B1A5">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vAlign w:val="center"/>
          </w:tcPr>
          <w:p w14:paraId="7DBF0468">
            <w:pPr>
              <w:spacing w:line="240" w:lineRule="exact"/>
              <w:jc w:val="center"/>
              <w:rPr>
                <w:rFonts w:ascii="Times New Roman" w:hAnsi="Times New Roman" w:eastAsia="宋体" w:cs="Times New Roman"/>
                <w:color w:val="auto"/>
                <w:kern w:val="0"/>
              </w:rPr>
            </w:pPr>
          </w:p>
        </w:tc>
        <w:tc>
          <w:tcPr>
            <w:tcW w:w="474" w:type="pct"/>
            <w:vMerge w:val="continue"/>
            <w:vAlign w:val="center"/>
          </w:tcPr>
          <w:p w14:paraId="55071D88">
            <w:pPr>
              <w:spacing w:line="240" w:lineRule="exact"/>
              <w:jc w:val="center"/>
              <w:rPr>
                <w:rFonts w:ascii="Times New Roman" w:hAnsi="Times New Roman" w:eastAsia="宋体" w:cs="Times New Roman"/>
                <w:color w:val="auto"/>
                <w:kern w:val="0"/>
              </w:rPr>
            </w:pPr>
          </w:p>
        </w:tc>
        <w:tc>
          <w:tcPr>
            <w:tcW w:w="457" w:type="pct"/>
            <w:vMerge w:val="continue"/>
            <w:vAlign w:val="center"/>
          </w:tcPr>
          <w:p w14:paraId="2D9D5A5A">
            <w:pPr>
              <w:spacing w:line="240" w:lineRule="exact"/>
              <w:jc w:val="center"/>
              <w:rPr>
                <w:rFonts w:ascii="Times New Roman" w:hAnsi="Times New Roman" w:eastAsia="宋体" w:cs="Times New Roman"/>
                <w:color w:val="auto"/>
                <w:kern w:val="0"/>
              </w:rPr>
            </w:pPr>
          </w:p>
        </w:tc>
        <w:tc>
          <w:tcPr>
            <w:tcW w:w="799" w:type="pct"/>
            <w:vMerge w:val="continue"/>
            <w:vAlign w:val="center"/>
          </w:tcPr>
          <w:p w14:paraId="0845CE19">
            <w:pPr>
              <w:spacing w:line="240" w:lineRule="exact"/>
              <w:jc w:val="center"/>
              <w:rPr>
                <w:rFonts w:ascii="Times New Roman" w:hAnsi="Times New Roman" w:eastAsia="宋体" w:cs="Times New Roman"/>
                <w:color w:val="auto"/>
                <w:kern w:val="0"/>
              </w:rPr>
            </w:pPr>
          </w:p>
        </w:tc>
        <w:tc>
          <w:tcPr>
            <w:tcW w:w="499" w:type="pct"/>
            <w:noWrap/>
            <w:vAlign w:val="center"/>
          </w:tcPr>
          <w:p w14:paraId="3C4FFE29">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2026.4.28</w:t>
            </w:r>
          </w:p>
        </w:tc>
        <w:tc>
          <w:tcPr>
            <w:tcW w:w="299" w:type="pct"/>
            <w:vAlign w:val="center"/>
          </w:tcPr>
          <w:p w14:paraId="16B5062C">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夜间</w:t>
            </w:r>
          </w:p>
        </w:tc>
        <w:tc>
          <w:tcPr>
            <w:tcW w:w="499" w:type="pct"/>
            <w:vAlign w:val="center"/>
          </w:tcPr>
          <w:p w14:paraId="51AC7D0C">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42</w:t>
            </w:r>
          </w:p>
        </w:tc>
        <w:tc>
          <w:tcPr>
            <w:tcW w:w="335" w:type="pct"/>
            <w:noWrap/>
            <w:vAlign w:val="center"/>
          </w:tcPr>
          <w:p w14:paraId="2E41A34B">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30</w:t>
            </w:r>
          </w:p>
        </w:tc>
        <w:tc>
          <w:tcPr>
            <w:tcW w:w="335" w:type="pct"/>
            <w:noWrap/>
            <w:vAlign w:val="center"/>
          </w:tcPr>
          <w:p w14:paraId="38C950FB">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18</w:t>
            </w:r>
          </w:p>
        </w:tc>
        <w:tc>
          <w:tcPr>
            <w:tcW w:w="335" w:type="pct"/>
            <w:noWrap/>
            <w:vAlign w:val="center"/>
          </w:tcPr>
          <w:p w14:paraId="5FDB8038">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37</w:t>
            </w:r>
          </w:p>
        </w:tc>
        <w:tc>
          <w:tcPr>
            <w:tcW w:w="342" w:type="pct"/>
            <w:vMerge w:val="continue"/>
            <w:noWrap/>
            <w:vAlign w:val="center"/>
          </w:tcPr>
          <w:p w14:paraId="7AE818B0">
            <w:pPr>
              <w:spacing w:line="240" w:lineRule="exact"/>
              <w:jc w:val="center"/>
              <w:rPr>
                <w:rFonts w:ascii="Times New Roman" w:hAnsi="Times New Roman" w:eastAsia="宋体" w:cs="Times New Roman"/>
                <w:color w:val="auto"/>
                <w:kern w:val="0"/>
              </w:rPr>
            </w:pPr>
          </w:p>
        </w:tc>
        <w:tc>
          <w:tcPr>
            <w:tcW w:w="371" w:type="pct"/>
            <w:noWrap/>
            <w:vAlign w:val="center"/>
          </w:tcPr>
          <w:p w14:paraId="64959245">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7FB3BA6F">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vAlign w:val="center"/>
          </w:tcPr>
          <w:p w14:paraId="76485519">
            <w:pPr>
              <w:spacing w:line="240" w:lineRule="exact"/>
              <w:jc w:val="center"/>
              <w:rPr>
                <w:rFonts w:ascii="Times New Roman" w:hAnsi="Times New Roman" w:eastAsia="宋体" w:cs="Times New Roman"/>
                <w:color w:val="auto"/>
                <w:kern w:val="0"/>
              </w:rPr>
            </w:pPr>
          </w:p>
        </w:tc>
        <w:tc>
          <w:tcPr>
            <w:tcW w:w="474" w:type="pct"/>
            <w:vMerge w:val="continue"/>
            <w:vAlign w:val="center"/>
          </w:tcPr>
          <w:p w14:paraId="756FE373">
            <w:pPr>
              <w:spacing w:line="240" w:lineRule="exact"/>
              <w:jc w:val="center"/>
              <w:rPr>
                <w:rFonts w:ascii="Times New Roman" w:hAnsi="Times New Roman" w:eastAsia="宋体" w:cs="Times New Roman"/>
                <w:color w:val="auto"/>
                <w:kern w:val="0"/>
              </w:rPr>
            </w:pPr>
          </w:p>
        </w:tc>
        <w:tc>
          <w:tcPr>
            <w:tcW w:w="457" w:type="pct"/>
            <w:vMerge w:val="continue"/>
            <w:vAlign w:val="center"/>
          </w:tcPr>
          <w:p w14:paraId="1D450DEE">
            <w:pPr>
              <w:spacing w:line="240" w:lineRule="exact"/>
              <w:jc w:val="center"/>
              <w:rPr>
                <w:rFonts w:ascii="Times New Roman" w:hAnsi="Times New Roman" w:eastAsia="宋体" w:cs="Times New Roman"/>
                <w:color w:val="auto"/>
                <w:kern w:val="0"/>
              </w:rPr>
            </w:pPr>
          </w:p>
        </w:tc>
        <w:tc>
          <w:tcPr>
            <w:tcW w:w="799" w:type="pct"/>
            <w:vMerge w:val="continue"/>
            <w:vAlign w:val="center"/>
          </w:tcPr>
          <w:p w14:paraId="0EC54429">
            <w:pPr>
              <w:spacing w:line="240" w:lineRule="exact"/>
              <w:jc w:val="center"/>
              <w:rPr>
                <w:rFonts w:ascii="Times New Roman" w:hAnsi="Times New Roman" w:eastAsia="宋体" w:cs="Times New Roman"/>
                <w:color w:val="auto"/>
                <w:kern w:val="0"/>
              </w:rPr>
            </w:pPr>
          </w:p>
        </w:tc>
        <w:tc>
          <w:tcPr>
            <w:tcW w:w="499" w:type="pct"/>
            <w:noWrap/>
            <w:vAlign w:val="center"/>
          </w:tcPr>
          <w:p w14:paraId="4580317E">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2026.4.28</w:t>
            </w:r>
          </w:p>
        </w:tc>
        <w:tc>
          <w:tcPr>
            <w:tcW w:w="299" w:type="pct"/>
            <w:vAlign w:val="center"/>
          </w:tcPr>
          <w:p w14:paraId="0FE89828">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昼间</w:t>
            </w:r>
          </w:p>
        </w:tc>
        <w:tc>
          <w:tcPr>
            <w:tcW w:w="499" w:type="pct"/>
            <w:vAlign w:val="center"/>
          </w:tcPr>
          <w:p w14:paraId="09FBC3F9">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52</w:t>
            </w:r>
          </w:p>
        </w:tc>
        <w:tc>
          <w:tcPr>
            <w:tcW w:w="335" w:type="pct"/>
            <w:noWrap/>
            <w:vAlign w:val="center"/>
          </w:tcPr>
          <w:p w14:paraId="60088D00">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54</w:t>
            </w:r>
          </w:p>
        </w:tc>
        <w:tc>
          <w:tcPr>
            <w:tcW w:w="335" w:type="pct"/>
            <w:noWrap/>
            <w:vAlign w:val="center"/>
          </w:tcPr>
          <w:p w14:paraId="23393B9F">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42</w:t>
            </w:r>
          </w:p>
        </w:tc>
        <w:tc>
          <w:tcPr>
            <w:tcW w:w="335" w:type="pct"/>
            <w:noWrap/>
            <w:vAlign w:val="center"/>
          </w:tcPr>
          <w:p w14:paraId="5A3FEC54">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129</w:t>
            </w:r>
          </w:p>
        </w:tc>
        <w:tc>
          <w:tcPr>
            <w:tcW w:w="342" w:type="pct"/>
            <w:vMerge w:val="continue"/>
            <w:noWrap/>
            <w:vAlign w:val="center"/>
          </w:tcPr>
          <w:p w14:paraId="663B67A9">
            <w:pPr>
              <w:spacing w:line="240" w:lineRule="exact"/>
              <w:jc w:val="center"/>
              <w:rPr>
                <w:rFonts w:ascii="Times New Roman" w:hAnsi="Times New Roman" w:eastAsia="宋体" w:cs="Times New Roman"/>
                <w:color w:val="auto"/>
                <w:kern w:val="0"/>
              </w:rPr>
            </w:pPr>
          </w:p>
        </w:tc>
        <w:tc>
          <w:tcPr>
            <w:tcW w:w="371" w:type="pct"/>
            <w:noWrap/>
            <w:vAlign w:val="center"/>
          </w:tcPr>
          <w:p w14:paraId="3D5C230C">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7F9FA82E">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vAlign w:val="center"/>
          </w:tcPr>
          <w:p w14:paraId="7B2B8D14">
            <w:pPr>
              <w:spacing w:line="240" w:lineRule="exact"/>
              <w:jc w:val="center"/>
              <w:rPr>
                <w:rFonts w:ascii="Times New Roman" w:hAnsi="Times New Roman" w:eastAsia="宋体" w:cs="Times New Roman"/>
                <w:color w:val="auto"/>
                <w:kern w:val="0"/>
              </w:rPr>
            </w:pPr>
          </w:p>
        </w:tc>
        <w:tc>
          <w:tcPr>
            <w:tcW w:w="474" w:type="pct"/>
            <w:vMerge w:val="continue"/>
            <w:vAlign w:val="center"/>
          </w:tcPr>
          <w:p w14:paraId="4D716E88">
            <w:pPr>
              <w:spacing w:line="240" w:lineRule="exact"/>
              <w:jc w:val="center"/>
              <w:rPr>
                <w:rFonts w:ascii="Times New Roman" w:hAnsi="Times New Roman" w:eastAsia="宋体" w:cs="Times New Roman"/>
                <w:color w:val="auto"/>
                <w:kern w:val="0"/>
              </w:rPr>
            </w:pPr>
          </w:p>
        </w:tc>
        <w:tc>
          <w:tcPr>
            <w:tcW w:w="457" w:type="pct"/>
            <w:vMerge w:val="continue"/>
            <w:vAlign w:val="center"/>
          </w:tcPr>
          <w:p w14:paraId="1FA44EE2">
            <w:pPr>
              <w:spacing w:line="240" w:lineRule="exact"/>
              <w:jc w:val="center"/>
              <w:rPr>
                <w:rFonts w:ascii="Times New Roman" w:hAnsi="Times New Roman" w:eastAsia="宋体" w:cs="Times New Roman"/>
                <w:color w:val="auto"/>
                <w:kern w:val="0"/>
              </w:rPr>
            </w:pPr>
          </w:p>
        </w:tc>
        <w:tc>
          <w:tcPr>
            <w:tcW w:w="799" w:type="pct"/>
            <w:vMerge w:val="continue"/>
            <w:vAlign w:val="center"/>
          </w:tcPr>
          <w:p w14:paraId="7EFDF71C">
            <w:pPr>
              <w:spacing w:line="240" w:lineRule="exact"/>
              <w:jc w:val="center"/>
              <w:rPr>
                <w:rFonts w:ascii="Times New Roman" w:hAnsi="Times New Roman" w:eastAsia="宋体" w:cs="Times New Roman"/>
                <w:color w:val="auto"/>
                <w:kern w:val="0"/>
              </w:rPr>
            </w:pPr>
          </w:p>
        </w:tc>
        <w:tc>
          <w:tcPr>
            <w:tcW w:w="499" w:type="pct"/>
            <w:noWrap/>
            <w:vAlign w:val="center"/>
          </w:tcPr>
          <w:p w14:paraId="117DF9B0">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2026.4.29</w:t>
            </w:r>
          </w:p>
        </w:tc>
        <w:tc>
          <w:tcPr>
            <w:tcW w:w="299" w:type="pct"/>
            <w:vAlign w:val="center"/>
          </w:tcPr>
          <w:p w14:paraId="60984026">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夜间</w:t>
            </w:r>
          </w:p>
        </w:tc>
        <w:tc>
          <w:tcPr>
            <w:tcW w:w="499" w:type="pct"/>
            <w:vAlign w:val="center"/>
          </w:tcPr>
          <w:p w14:paraId="64732C80">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45</w:t>
            </w:r>
          </w:p>
        </w:tc>
        <w:tc>
          <w:tcPr>
            <w:tcW w:w="335" w:type="pct"/>
            <w:noWrap/>
            <w:vAlign w:val="center"/>
          </w:tcPr>
          <w:p w14:paraId="08A41E9F">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27</w:t>
            </w:r>
          </w:p>
        </w:tc>
        <w:tc>
          <w:tcPr>
            <w:tcW w:w="335" w:type="pct"/>
            <w:noWrap/>
            <w:vAlign w:val="center"/>
          </w:tcPr>
          <w:p w14:paraId="42B8F23B">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21</w:t>
            </w:r>
          </w:p>
        </w:tc>
        <w:tc>
          <w:tcPr>
            <w:tcW w:w="335" w:type="pct"/>
            <w:noWrap/>
            <w:vAlign w:val="center"/>
          </w:tcPr>
          <w:p w14:paraId="651EF8E2">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40</w:t>
            </w:r>
          </w:p>
        </w:tc>
        <w:tc>
          <w:tcPr>
            <w:tcW w:w="342" w:type="pct"/>
            <w:vMerge w:val="continue"/>
            <w:noWrap/>
            <w:vAlign w:val="center"/>
          </w:tcPr>
          <w:p w14:paraId="44FAA021">
            <w:pPr>
              <w:spacing w:line="240" w:lineRule="exact"/>
              <w:jc w:val="center"/>
              <w:rPr>
                <w:rFonts w:ascii="Times New Roman" w:hAnsi="Times New Roman" w:eastAsia="宋体" w:cs="Times New Roman"/>
                <w:color w:val="auto"/>
                <w:kern w:val="0"/>
              </w:rPr>
            </w:pPr>
          </w:p>
        </w:tc>
        <w:tc>
          <w:tcPr>
            <w:tcW w:w="371" w:type="pct"/>
            <w:noWrap/>
            <w:vAlign w:val="center"/>
          </w:tcPr>
          <w:p w14:paraId="4ACDCCEF">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bl>
    <w:p w14:paraId="6DBD357F">
      <w:pPr>
        <w:rPr>
          <w:color w:val="auto"/>
          <w:highlight w:val="yellow"/>
        </w:rPr>
        <w:sectPr>
          <w:footerReference r:id="rId49" w:type="default"/>
          <w:footerReference r:id="rId50" w:type="even"/>
          <w:pgSz w:w="16838" w:h="11906" w:orient="landscape"/>
          <w:pgMar w:top="1560" w:right="1440" w:bottom="1560" w:left="1559" w:header="851" w:footer="992" w:gutter="0"/>
          <w:pgBorders>
            <w:top w:val="none" w:sz="0" w:space="0"/>
            <w:left w:val="none" w:sz="0" w:space="0"/>
            <w:bottom w:val="none" w:sz="0" w:space="0"/>
            <w:right w:val="none" w:sz="0" w:space="0"/>
          </w:pgBorders>
          <w:cols w:space="720" w:num="1"/>
          <w:docGrid w:linePitch="312" w:charSpace="0"/>
        </w:sectPr>
      </w:pPr>
    </w:p>
    <w:p w14:paraId="05B2062F">
      <w:pPr>
        <w:spacing w:beforeLines="50"/>
        <w:jc w:val="center"/>
        <w:rPr>
          <w:rFonts w:ascii="Times New Roman" w:hAnsi="Times New Roman" w:eastAsia="宋体" w:cs="Times New Roman"/>
          <w:b/>
          <w:bCs/>
          <w:color w:val="auto"/>
          <w:szCs w:val="21"/>
        </w:rPr>
      </w:pPr>
      <w:r>
        <w:rPr>
          <w:rFonts w:hint="eastAsia" w:ascii="Times New Roman" w:hAnsi="Times New Roman" w:eastAsia="宋体" w:cs="Times New Roman"/>
          <w:b/>
          <w:bCs/>
          <w:color w:val="auto"/>
          <w:spacing w:val="4"/>
          <w:szCs w:val="21"/>
        </w:rPr>
        <w:t>续 表</w:t>
      </w:r>
      <w:r>
        <w:rPr>
          <w:rFonts w:ascii="Times New Roman" w:hAnsi="Times New Roman" w:eastAsia="宋体" w:cs="Times New Roman"/>
          <w:b/>
          <w:bCs/>
          <w:color w:val="auto"/>
          <w:spacing w:val="4"/>
          <w:szCs w:val="21"/>
        </w:rPr>
        <w:t xml:space="preserve">3.2-3 </w:t>
      </w:r>
      <w:r>
        <w:rPr>
          <w:rFonts w:hint="eastAsia" w:ascii="Times New Roman" w:hAnsi="Times New Roman" w:eastAsia="宋体" w:cs="Times New Roman"/>
          <w:b/>
          <w:bCs/>
          <w:color w:val="auto"/>
          <w:spacing w:val="4"/>
          <w:szCs w:val="21"/>
        </w:rPr>
        <w:t xml:space="preserve"> </w:t>
      </w:r>
      <w:r>
        <w:rPr>
          <w:rFonts w:ascii="Times New Roman" w:hAnsi="Times New Roman" w:eastAsia="宋体" w:cs="Times New Roman"/>
          <w:b/>
          <w:bCs/>
          <w:color w:val="auto"/>
          <w:szCs w:val="21"/>
        </w:rPr>
        <w:t>拟建</w:t>
      </w:r>
      <w:r>
        <w:rPr>
          <w:rFonts w:hint="eastAsia" w:ascii="Times New Roman" w:hAnsi="Times New Roman" w:eastAsia="宋体" w:cs="Times New Roman"/>
          <w:b/>
          <w:bCs/>
          <w:color w:val="auto"/>
          <w:szCs w:val="21"/>
        </w:rPr>
        <w:t>公路敏感点声</w:t>
      </w:r>
      <w:r>
        <w:rPr>
          <w:rFonts w:ascii="Times New Roman" w:hAnsi="Times New Roman" w:eastAsia="宋体" w:cs="Times New Roman"/>
          <w:b/>
          <w:bCs/>
          <w:color w:val="auto"/>
          <w:szCs w:val="21"/>
        </w:rPr>
        <w:t>环境</w:t>
      </w:r>
      <w:r>
        <w:rPr>
          <w:rFonts w:hint="eastAsia" w:ascii="Times New Roman" w:hAnsi="Times New Roman" w:eastAsia="宋体" w:cs="Times New Roman"/>
          <w:b/>
          <w:bCs/>
          <w:color w:val="auto"/>
          <w:szCs w:val="21"/>
        </w:rPr>
        <w:t>现状</w:t>
      </w:r>
      <w:r>
        <w:rPr>
          <w:rFonts w:ascii="Times New Roman" w:hAnsi="Times New Roman" w:eastAsia="宋体" w:cs="Times New Roman"/>
          <w:b/>
          <w:bCs/>
          <w:color w:val="auto"/>
          <w:szCs w:val="21"/>
        </w:rPr>
        <w:t>监测结果及达标分析表</w:t>
      </w:r>
    </w:p>
    <w:tbl>
      <w:tblPr>
        <w:tblStyle w:val="22"/>
        <w:tblW w:w="5051" w:type="pct"/>
        <w:jc w:val="center"/>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25"/>
        <w:gridCol w:w="1346"/>
        <w:gridCol w:w="1298"/>
        <w:gridCol w:w="2269"/>
        <w:gridCol w:w="1417"/>
        <w:gridCol w:w="849"/>
        <w:gridCol w:w="1417"/>
        <w:gridCol w:w="951"/>
        <w:gridCol w:w="951"/>
        <w:gridCol w:w="951"/>
        <w:gridCol w:w="971"/>
        <w:gridCol w:w="1053"/>
      </w:tblGrid>
      <w:tr w14:paraId="6555937E">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255" w:type="pct"/>
            <w:vMerge w:val="restart"/>
            <w:noWrap/>
            <w:vAlign w:val="center"/>
          </w:tcPr>
          <w:p w14:paraId="29D62BF3">
            <w:pPr>
              <w:spacing w:line="240" w:lineRule="exact"/>
              <w:jc w:val="center"/>
              <w:rPr>
                <w:rFonts w:ascii="Times New Roman" w:hAnsi="Times New Roman" w:eastAsia="宋体" w:cs="Times New Roman"/>
                <w:b/>
                <w:color w:val="auto"/>
                <w:kern w:val="0"/>
              </w:rPr>
            </w:pPr>
            <w:r>
              <w:rPr>
                <w:rFonts w:hint="eastAsia" w:ascii="Times New Roman" w:hAnsi="Times New Roman" w:eastAsia="宋体" w:cs="Times New Roman"/>
                <w:b/>
                <w:color w:val="auto"/>
                <w:kern w:val="0"/>
              </w:rPr>
              <w:t>序号</w:t>
            </w:r>
          </w:p>
        </w:tc>
        <w:tc>
          <w:tcPr>
            <w:tcW w:w="474" w:type="pct"/>
            <w:vMerge w:val="restart"/>
            <w:noWrap/>
            <w:vAlign w:val="center"/>
          </w:tcPr>
          <w:p w14:paraId="1710C087">
            <w:pPr>
              <w:spacing w:line="240" w:lineRule="exact"/>
              <w:jc w:val="center"/>
              <w:rPr>
                <w:rFonts w:ascii="Times New Roman" w:hAnsi="Times New Roman" w:eastAsia="宋体" w:cs="Times New Roman"/>
                <w:b/>
                <w:color w:val="auto"/>
                <w:kern w:val="0"/>
              </w:rPr>
            </w:pPr>
            <w:r>
              <w:rPr>
                <w:rFonts w:ascii="Times New Roman" w:hAnsi="Times New Roman" w:eastAsia="宋体" w:cs="Times New Roman"/>
                <w:b/>
                <w:color w:val="auto"/>
                <w:kern w:val="0"/>
              </w:rPr>
              <w:t>监测点位</w:t>
            </w:r>
          </w:p>
        </w:tc>
        <w:tc>
          <w:tcPr>
            <w:tcW w:w="1256" w:type="pct"/>
            <w:gridSpan w:val="2"/>
            <w:vMerge w:val="restart"/>
            <w:noWrap/>
            <w:vAlign w:val="center"/>
          </w:tcPr>
          <w:p w14:paraId="04D76423">
            <w:pPr>
              <w:spacing w:line="240" w:lineRule="exact"/>
              <w:jc w:val="center"/>
              <w:rPr>
                <w:rFonts w:ascii="Times New Roman" w:hAnsi="Times New Roman" w:eastAsia="宋体" w:cs="Times New Roman"/>
                <w:b/>
                <w:color w:val="auto"/>
                <w:kern w:val="0"/>
              </w:rPr>
            </w:pPr>
            <w:r>
              <w:rPr>
                <w:rFonts w:ascii="Times New Roman" w:hAnsi="Times New Roman" w:eastAsia="宋体" w:cs="Times New Roman"/>
                <w:b/>
                <w:color w:val="auto"/>
                <w:kern w:val="0"/>
              </w:rPr>
              <w:t>噪声类型</w:t>
            </w:r>
          </w:p>
        </w:tc>
        <w:tc>
          <w:tcPr>
            <w:tcW w:w="798" w:type="pct"/>
            <w:gridSpan w:val="2"/>
            <w:noWrap/>
            <w:vAlign w:val="center"/>
          </w:tcPr>
          <w:p w14:paraId="60C5D9F1">
            <w:pPr>
              <w:spacing w:line="240" w:lineRule="exact"/>
              <w:jc w:val="center"/>
              <w:rPr>
                <w:rFonts w:ascii="Times New Roman" w:hAnsi="Times New Roman" w:eastAsia="宋体" w:cs="Times New Roman"/>
                <w:b/>
                <w:color w:val="auto"/>
                <w:kern w:val="0"/>
              </w:rPr>
            </w:pPr>
            <w:r>
              <w:rPr>
                <w:rFonts w:ascii="Times New Roman" w:hAnsi="Times New Roman" w:eastAsia="宋体" w:cs="Times New Roman"/>
                <w:b/>
                <w:color w:val="auto"/>
                <w:kern w:val="0"/>
              </w:rPr>
              <w:t>监测时间</w:t>
            </w:r>
          </w:p>
        </w:tc>
        <w:tc>
          <w:tcPr>
            <w:tcW w:w="499" w:type="pct"/>
            <w:vMerge w:val="restart"/>
            <w:vAlign w:val="center"/>
          </w:tcPr>
          <w:p w14:paraId="0E744030">
            <w:pPr>
              <w:spacing w:line="240" w:lineRule="exact"/>
              <w:jc w:val="center"/>
              <w:rPr>
                <w:rFonts w:ascii="Times New Roman" w:hAnsi="Times New Roman" w:eastAsia="宋体" w:cs="Times New Roman"/>
                <w:b/>
                <w:color w:val="auto"/>
                <w:kern w:val="0"/>
              </w:rPr>
            </w:pPr>
            <w:r>
              <w:rPr>
                <w:rFonts w:hint="eastAsia" w:ascii="Times New Roman" w:hAnsi="Times New Roman" w:eastAsia="宋体" w:cs="Times New Roman"/>
                <w:b/>
                <w:bCs/>
                <w:color w:val="auto"/>
              </w:rPr>
              <w:t>监测结果Leq（dB）</w:t>
            </w:r>
          </w:p>
        </w:tc>
        <w:tc>
          <w:tcPr>
            <w:tcW w:w="1005" w:type="pct"/>
            <w:gridSpan w:val="3"/>
            <w:noWrap/>
            <w:vAlign w:val="center"/>
          </w:tcPr>
          <w:p w14:paraId="11E37C08">
            <w:pPr>
              <w:spacing w:line="240" w:lineRule="exact"/>
              <w:jc w:val="center"/>
              <w:rPr>
                <w:rFonts w:ascii="Times New Roman" w:hAnsi="Times New Roman" w:eastAsia="宋体" w:cs="Times New Roman"/>
                <w:b/>
                <w:color w:val="auto"/>
                <w:kern w:val="0"/>
              </w:rPr>
            </w:pPr>
            <w:r>
              <w:rPr>
                <w:rFonts w:ascii="Times New Roman" w:hAnsi="Times New Roman" w:eastAsia="宋体" w:cs="Times New Roman"/>
                <w:b/>
                <w:color w:val="auto"/>
                <w:kern w:val="0"/>
              </w:rPr>
              <w:t>车流量（辆/</w:t>
            </w:r>
            <w:r>
              <w:rPr>
                <w:rFonts w:hint="eastAsia" w:ascii="Times New Roman" w:hAnsi="Times New Roman" w:eastAsia="宋体" w:cs="Times New Roman"/>
                <w:b/>
                <w:color w:val="auto"/>
                <w:kern w:val="0"/>
              </w:rPr>
              <w:t>h</w:t>
            </w:r>
            <w:r>
              <w:rPr>
                <w:rFonts w:ascii="Times New Roman" w:hAnsi="Times New Roman" w:eastAsia="宋体" w:cs="Times New Roman"/>
                <w:b/>
                <w:color w:val="auto"/>
                <w:kern w:val="0"/>
              </w:rPr>
              <w:t>）</w:t>
            </w:r>
          </w:p>
        </w:tc>
        <w:tc>
          <w:tcPr>
            <w:tcW w:w="342" w:type="pct"/>
            <w:vMerge w:val="restart"/>
            <w:vAlign w:val="center"/>
          </w:tcPr>
          <w:p w14:paraId="7C93EB7F">
            <w:pPr>
              <w:spacing w:line="240" w:lineRule="exact"/>
              <w:jc w:val="center"/>
              <w:rPr>
                <w:rFonts w:ascii="Times New Roman" w:hAnsi="Times New Roman" w:eastAsia="宋体" w:cs="Times New Roman"/>
                <w:b/>
                <w:color w:val="auto"/>
                <w:kern w:val="0"/>
              </w:rPr>
            </w:pPr>
            <w:r>
              <w:rPr>
                <w:rFonts w:ascii="Times New Roman" w:hAnsi="Times New Roman" w:eastAsia="宋体" w:cs="Times New Roman"/>
                <w:b/>
                <w:color w:val="auto"/>
                <w:kern w:val="0"/>
              </w:rPr>
              <w:t>评价标准</w:t>
            </w:r>
          </w:p>
        </w:tc>
        <w:tc>
          <w:tcPr>
            <w:tcW w:w="371" w:type="pct"/>
            <w:vMerge w:val="restart"/>
            <w:noWrap/>
            <w:vAlign w:val="center"/>
          </w:tcPr>
          <w:p w14:paraId="107AA2FA">
            <w:pPr>
              <w:spacing w:line="240" w:lineRule="exact"/>
              <w:jc w:val="center"/>
              <w:rPr>
                <w:rFonts w:ascii="Times New Roman" w:hAnsi="Times New Roman" w:eastAsia="宋体" w:cs="Times New Roman"/>
                <w:b/>
                <w:color w:val="auto"/>
                <w:kern w:val="0"/>
              </w:rPr>
            </w:pPr>
            <w:r>
              <w:rPr>
                <w:rFonts w:ascii="Times New Roman" w:hAnsi="Times New Roman" w:eastAsia="宋体" w:cs="Times New Roman"/>
                <w:b/>
                <w:color w:val="auto"/>
                <w:kern w:val="0"/>
              </w:rPr>
              <w:t>达标情况</w:t>
            </w:r>
          </w:p>
        </w:tc>
      </w:tr>
      <w:tr w14:paraId="1ADA1986">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255" w:type="pct"/>
            <w:vMerge w:val="continue"/>
            <w:vAlign w:val="center"/>
          </w:tcPr>
          <w:p w14:paraId="2A4B3910">
            <w:pPr>
              <w:spacing w:line="240" w:lineRule="exact"/>
              <w:jc w:val="center"/>
              <w:rPr>
                <w:rFonts w:ascii="Times New Roman" w:hAnsi="Times New Roman" w:eastAsia="宋体" w:cs="Times New Roman"/>
                <w:b/>
                <w:color w:val="auto"/>
                <w:kern w:val="0"/>
              </w:rPr>
            </w:pPr>
          </w:p>
        </w:tc>
        <w:tc>
          <w:tcPr>
            <w:tcW w:w="474" w:type="pct"/>
            <w:vMerge w:val="continue"/>
            <w:vAlign w:val="center"/>
          </w:tcPr>
          <w:p w14:paraId="29408B45">
            <w:pPr>
              <w:spacing w:line="240" w:lineRule="exact"/>
              <w:jc w:val="center"/>
              <w:rPr>
                <w:rFonts w:ascii="Times New Roman" w:hAnsi="Times New Roman" w:eastAsia="宋体" w:cs="Times New Roman"/>
                <w:b/>
                <w:color w:val="auto"/>
                <w:kern w:val="0"/>
              </w:rPr>
            </w:pPr>
          </w:p>
        </w:tc>
        <w:tc>
          <w:tcPr>
            <w:tcW w:w="1256" w:type="pct"/>
            <w:gridSpan w:val="2"/>
            <w:vMerge w:val="continue"/>
            <w:vAlign w:val="center"/>
          </w:tcPr>
          <w:p w14:paraId="68F70C30">
            <w:pPr>
              <w:spacing w:line="240" w:lineRule="exact"/>
              <w:jc w:val="center"/>
              <w:rPr>
                <w:rFonts w:ascii="Times New Roman" w:hAnsi="Times New Roman" w:eastAsia="宋体" w:cs="Times New Roman"/>
                <w:b/>
                <w:color w:val="auto"/>
                <w:kern w:val="0"/>
              </w:rPr>
            </w:pPr>
          </w:p>
        </w:tc>
        <w:tc>
          <w:tcPr>
            <w:tcW w:w="499" w:type="pct"/>
            <w:vAlign w:val="center"/>
          </w:tcPr>
          <w:p w14:paraId="6AC4628F">
            <w:pPr>
              <w:spacing w:line="240" w:lineRule="exact"/>
              <w:jc w:val="center"/>
              <w:rPr>
                <w:rFonts w:ascii="Times New Roman" w:hAnsi="Times New Roman" w:eastAsia="宋体" w:cs="Times New Roman"/>
                <w:b/>
                <w:color w:val="auto"/>
                <w:kern w:val="0"/>
              </w:rPr>
            </w:pPr>
            <w:r>
              <w:rPr>
                <w:rFonts w:ascii="Times New Roman" w:hAnsi="Times New Roman" w:eastAsia="宋体" w:cs="Times New Roman"/>
                <w:b/>
                <w:color w:val="auto"/>
                <w:kern w:val="0"/>
              </w:rPr>
              <w:t>日期</w:t>
            </w:r>
          </w:p>
        </w:tc>
        <w:tc>
          <w:tcPr>
            <w:tcW w:w="299" w:type="pct"/>
            <w:vAlign w:val="center"/>
          </w:tcPr>
          <w:p w14:paraId="38F4C170">
            <w:pPr>
              <w:spacing w:line="240" w:lineRule="exact"/>
              <w:jc w:val="center"/>
              <w:rPr>
                <w:rFonts w:ascii="Times New Roman" w:hAnsi="Times New Roman" w:eastAsia="宋体" w:cs="Times New Roman"/>
                <w:b/>
                <w:color w:val="auto"/>
                <w:kern w:val="0"/>
              </w:rPr>
            </w:pPr>
            <w:r>
              <w:rPr>
                <w:rFonts w:ascii="Times New Roman" w:hAnsi="Times New Roman" w:eastAsia="宋体" w:cs="Times New Roman"/>
                <w:b/>
                <w:color w:val="auto"/>
                <w:kern w:val="0"/>
              </w:rPr>
              <w:t>时段</w:t>
            </w:r>
          </w:p>
        </w:tc>
        <w:tc>
          <w:tcPr>
            <w:tcW w:w="499" w:type="pct"/>
            <w:vMerge w:val="continue"/>
            <w:vAlign w:val="center"/>
          </w:tcPr>
          <w:p w14:paraId="209992ED">
            <w:pPr>
              <w:spacing w:line="240" w:lineRule="exact"/>
              <w:jc w:val="center"/>
              <w:rPr>
                <w:rFonts w:ascii="Times New Roman" w:hAnsi="Times New Roman" w:eastAsia="宋体" w:cs="Times New Roman"/>
                <w:b/>
                <w:color w:val="auto"/>
              </w:rPr>
            </w:pPr>
          </w:p>
        </w:tc>
        <w:tc>
          <w:tcPr>
            <w:tcW w:w="335" w:type="pct"/>
            <w:noWrap/>
            <w:vAlign w:val="center"/>
          </w:tcPr>
          <w:p w14:paraId="50BE3A50">
            <w:pPr>
              <w:spacing w:line="240" w:lineRule="exact"/>
              <w:jc w:val="center"/>
              <w:rPr>
                <w:rFonts w:ascii="Times New Roman" w:hAnsi="Times New Roman" w:eastAsia="宋体" w:cs="Times New Roman"/>
                <w:b/>
                <w:color w:val="auto"/>
                <w:kern w:val="0"/>
              </w:rPr>
            </w:pPr>
            <w:r>
              <w:rPr>
                <w:rFonts w:ascii="Times New Roman" w:hAnsi="Times New Roman" w:eastAsia="宋体" w:cs="Times New Roman"/>
                <w:b/>
                <w:color w:val="auto"/>
                <w:kern w:val="0"/>
              </w:rPr>
              <w:t>大</w:t>
            </w:r>
          </w:p>
        </w:tc>
        <w:tc>
          <w:tcPr>
            <w:tcW w:w="335" w:type="pct"/>
            <w:noWrap/>
            <w:vAlign w:val="center"/>
          </w:tcPr>
          <w:p w14:paraId="685EE25C">
            <w:pPr>
              <w:spacing w:line="240" w:lineRule="exact"/>
              <w:jc w:val="center"/>
              <w:rPr>
                <w:rFonts w:ascii="Times New Roman" w:hAnsi="Times New Roman" w:eastAsia="宋体" w:cs="Times New Roman"/>
                <w:b/>
                <w:color w:val="auto"/>
                <w:kern w:val="0"/>
              </w:rPr>
            </w:pPr>
            <w:r>
              <w:rPr>
                <w:rFonts w:ascii="Times New Roman" w:hAnsi="Times New Roman" w:eastAsia="宋体" w:cs="Times New Roman"/>
                <w:b/>
                <w:color w:val="auto"/>
                <w:kern w:val="0"/>
              </w:rPr>
              <w:t>中</w:t>
            </w:r>
          </w:p>
        </w:tc>
        <w:tc>
          <w:tcPr>
            <w:tcW w:w="335" w:type="pct"/>
            <w:noWrap/>
            <w:vAlign w:val="center"/>
          </w:tcPr>
          <w:p w14:paraId="104AA881">
            <w:pPr>
              <w:spacing w:line="240" w:lineRule="exact"/>
              <w:jc w:val="center"/>
              <w:rPr>
                <w:rFonts w:ascii="Times New Roman" w:hAnsi="Times New Roman" w:eastAsia="宋体" w:cs="Times New Roman"/>
                <w:b/>
                <w:color w:val="auto"/>
                <w:kern w:val="0"/>
              </w:rPr>
            </w:pPr>
            <w:r>
              <w:rPr>
                <w:rFonts w:ascii="Times New Roman" w:hAnsi="Times New Roman" w:eastAsia="宋体" w:cs="Times New Roman"/>
                <w:b/>
                <w:color w:val="auto"/>
                <w:kern w:val="0"/>
              </w:rPr>
              <w:t>小</w:t>
            </w:r>
          </w:p>
        </w:tc>
        <w:tc>
          <w:tcPr>
            <w:tcW w:w="342" w:type="pct"/>
            <w:vMerge w:val="continue"/>
            <w:vAlign w:val="center"/>
          </w:tcPr>
          <w:p w14:paraId="379CED61">
            <w:pPr>
              <w:spacing w:line="240" w:lineRule="exact"/>
              <w:jc w:val="center"/>
              <w:rPr>
                <w:rFonts w:ascii="Times New Roman" w:hAnsi="Times New Roman" w:eastAsia="宋体" w:cs="Times New Roman"/>
                <w:b/>
                <w:color w:val="auto"/>
                <w:kern w:val="0"/>
              </w:rPr>
            </w:pPr>
          </w:p>
        </w:tc>
        <w:tc>
          <w:tcPr>
            <w:tcW w:w="371" w:type="pct"/>
            <w:vMerge w:val="continue"/>
            <w:vAlign w:val="center"/>
          </w:tcPr>
          <w:p w14:paraId="18C8424B">
            <w:pPr>
              <w:spacing w:line="240" w:lineRule="exact"/>
              <w:jc w:val="center"/>
              <w:rPr>
                <w:rFonts w:ascii="Times New Roman" w:hAnsi="Times New Roman" w:eastAsia="宋体" w:cs="Times New Roman"/>
                <w:b/>
                <w:color w:val="auto"/>
                <w:kern w:val="0"/>
              </w:rPr>
            </w:pPr>
          </w:p>
        </w:tc>
      </w:tr>
      <w:tr w14:paraId="5DAD4F34">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restart"/>
            <w:noWrap/>
            <w:vAlign w:val="center"/>
          </w:tcPr>
          <w:p w14:paraId="4B96729F">
            <w:pPr>
              <w:spacing w:line="240" w:lineRule="exact"/>
              <w:jc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17</w:t>
            </w:r>
          </w:p>
        </w:tc>
        <w:tc>
          <w:tcPr>
            <w:tcW w:w="474" w:type="pct"/>
            <w:vMerge w:val="restart"/>
            <w:noWrap/>
            <w:vAlign w:val="center"/>
          </w:tcPr>
          <w:p w14:paraId="2840B6F4">
            <w:pPr>
              <w:spacing w:line="240" w:lineRule="exact"/>
              <w:jc w:val="center"/>
              <w:rPr>
                <w:rFonts w:ascii="Times New Roman" w:hAnsi="Times New Roman" w:eastAsia="宋体" w:cs="Times New Roman"/>
                <w:color w:val="auto"/>
                <w:kern w:val="0"/>
              </w:rPr>
            </w:pPr>
            <w:r>
              <w:rPr>
                <w:rFonts w:hint="eastAsia" w:ascii="Times New Roman" w:cs="Times New Roman" w:hAnsiTheme="minorEastAsia" w:eastAsiaTheme="minorEastAsia"/>
                <w:snapToGrid w:val="0"/>
                <w:color w:val="auto"/>
                <w:kern w:val="0"/>
              </w:rPr>
              <w:t>布鲁胡其</w:t>
            </w:r>
          </w:p>
        </w:tc>
        <w:tc>
          <w:tcPr>
            <w:tcW w:w="457" w:type="pct"/>
            <w:vMerge w:val="restart"/>
            <w:vAlign w:val="center"/>
          </w:tcPr>
          <w:p w14:paraId="657D24A2">
            <w:pPr>
              <w:spacing w:line="240" w:lineRule="exact"/>
              <w:jc w:val="center"/>
              <w:rPr>
                <w:rFonts w:ascii="Times New Roman" w:hAnsi="Times New Roman" w:eastAsia="宋体" w:cs="Times New Roman"/>
                <w:color w:val="auto"/>
                <w:kern w:val="0"/>
              </w:rPr>
            </w:pPr>
            <w:r>
              <w:rPr>
                <w:rFonts w:ascii="Times New Roman" w:hAnsi="Times New Roman" w:eastAsia="宋体" w:cs="Times New Roman"/>
                <w:color w:val="auto"/>
                <w:kern w:val="0"/>
              </w:rPr>
              <w:t>环境噪声</w:t>
            </w:r>
          </w:p>
        </w:tc>
        <w:tc>
          <w:tcPr>
            <w:tcW w:w="799" w:type="pct"/>
            <w:vMerge w:val="restart"/>
            <w:vAlign w:val="center"/>
          </w:tcPr>
          <w:p w14:paraId="6894C13E">
            <w:pPr>
              <w:spacing w:line="240" w:lineRule="exact"/>
              <w:jc w:val="center"/>
              <w:rPr>
                <w:rFonts w:ascii="Times New Roman" w:hAnsi="Times New Roman" w:eastAsia="宋体" w:cs="Times New Roman"/>
                <w:color w:val="auto"/>
                <w:kern w:val="0"/>
              </w:rPr>
            </w:pPr>
            <w:r>
              <w:rPr>
                <w:rFonts w:ascii="Times New Roman" w:hAnsi="Times New Roman" w:eastAsia="宋体" w:cs="Times New Roman"/>
                <w:color w:val="auto"/>
              </w:rPr>
              <w:t>临现有</w:t>
            </w:r>
            <w:r>
              <w:rPr>
                <w:rFonts w:hint="eastAsia" w:ascii="Times New Roman" w:hAnsi="Times New Roman" w:eastAsia="宋体" w:cs="Times New Roman"/>
                <w:color w:val="auto"/>
              </w:rPr>
              <w:t>G219</w:t>
            </w:r>
            <w:r>
              <w:rPr>
                <w:rFonts w:ascii="Times New Roman" w:hAnsi="Times New Roman" w:eastAsia="宋体" w:cs="Times New Roman"/>
                <w:color w:val="auto"/>
              </w:rPr>
              <w:t>第一排房</w:t>
            </w:r>
            <w:r>
              <w:rPr>
                <w:rFonts w:hint="eastAsia" w:ascii="Times New Roman" w:hAnsi="Times New Roman" w:eastAsia="宋体" w:cs="Times New Roman"/>
                <w:color w:val="auto"/>
              </w:rPr>
              <w:t>1</w:t>
            </w:r>
            <w:r>
              <w:rPr>
                <w:rFonts w:ascii="Times New Roman" w:hAnsi="Times New Roman" w:eastAsia="宋体" w:cs="Times New Roman"/>
                <w:color w:val="auto"/>
              </w:rPr>
              <w:t>层</w:t>
            </w:r>
          </w:p>
        </w:tc>
        <w:tc>
          <w:tcPr>
            <w:tcW w:w="499" w:type="pct"/>
            <w:noWrap/>
            <w:vAlign w:val="center"/>
          </w:tcPr>
          <w:p w14:paraId="68661E52">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2026.4.27</w:t>
            </w:r>
          </w:p>
        </w:tc>
        <w:tc>
          <w:tcPr>
            <w:tcW w:w="299" w:type="pct"/>
            <w:vAlign w:val="center"/>
          </w:tcPr>
          <w:p w14:paraId="2610B8A7">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昼间</w:t>
            </w:r>
          </w:p>
        </w:tc>
        <w:tc>
          <w:tcPr>
            <w:tcW w:w="499" w:type="pct"/>
            <w:vAlign w:val="center"/>
          </w:tcPr>
          <w:p w14:paraId="75089F2A">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59</w:t>
            </w:r>
          </w:p>
        </w:tc>
        <w:tc>
          <w:tcPr>
            <w:tcW w:w="335" w:type="pct"/>
            <w:noWrap/>
            <w:vAlign w:val="center"/>
          </w:tcPr>
          <w:p w14:paraId="7AFF00A3">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49</w:t>
            </w:r>
          </w:p>
        </w:tc>
        <w:tc>
          <w:tcPr>
            <w:tcW w:w="335" w:type="pct"/>
            <w:noWrap/>
            <w:vAlign w:val="center"/>
          </w:tcPr>
          <w:p w14:paraId="78761ABB">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30</w:t>
            </w:r>
          </w:p>
        </w:tc>
        <w:tc>
          <w:tcPr>
            <w:tcW w:w="335" w:type="pct"/>
            <w:noWrap/>
            <w:vAlign w:val="center"/>
          </w:tcPr>
          <w:p w14:paraId="73CBD6D7">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117</w:t>
            </w:r>
          </w:p>
        </w:tc>
        <w:tc>
          <w:tcPr>
            <w:tcW w:w="342" w:type="pct"/>
            <w:vMerge w:val="restart"/>
            <w:noWrap/>
            <w:vAlign w:val="center"/>
          </w:tcPr>
          <w:p w14:paraId="7B59D75F">
            <w:pPr>
              <w:spacing w:line="240" w:lineRule="exact"/>
              <w:jc w:val="center"/>
              <w:rPr>
                <w:rFonts w:ascii="Times New Roman" w:hAnsi="Times New Roman" w:eastAsia="宋体" w:cs="Times New Roman"/>
                <w:color w:val="auto"/>
                <w:kern w:val="0"/>
              </w:rPr>
            </w:pPr>
            <w:r>
              <w:rPr>
                <w:rFonts w:ascii="Times New Roman" w:hAnsi="Times New Roman" w:eastAsia="宋体" w:cs="Times New Roman"/>
                <w:color w:val="auto"/>
                <w:kern w:val="0"/>
              </w:rPr>
              <w:t>4a类</w:t>
            </w:r>
          </w:p>
        </w:tc>
        <w:tc>
          <w:tcPr>
            <w:tcW w:w="371" w:type="pct"/>
            <w:noWrap/>
            <w:vAlign w:val="center"/>
          </w:tcPr>
          <w:p w14:paraId="0F414668">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39B987C1">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vAlign w:val="center"/>
          </w:tcPr>
          <w:p w14:paraId="0F45140E">
            <w:pPr>
              <w:spacing w:line="240" w:lineRule="exact"/>
              <w:jc w:val="center"/>
              <w:rPr>
                <w:rFonts w:ascii="Times New Roman" w:hAnsi="Times New Roman" w:eastAsia="宋体" w:cs="Times New Roman"/>
                <w:color w:val="auto"/>
                <w:kern w:val="0"/>
              </w:rPr>
            </w:pPr>
          </w:p>
        </w:tc>
        <w:tc>
          <w:tcPr>
            <w:tcW w:w="474" w:type="pct"/>
            <w:vMerge w:val="continue"/>
            <w:vAlign w:val="center"/>
          </w:tcPr>
          <w:p w14:paraId="6E2BDECE">
            <w:pPr>
              <w:spacing w:line="240" w:lineRule="exact"/>
              <w:jc w:val="center"/>
              <w:rPr>
                <w:rFonts w:ascii="Times New Roman" w:hAnsi="Times New Roman" w:eastAsia="宋体" w:cs="Times New Roman"/>
                <w:color w:val="auto"/>
                <w:kern w:val="0"/>
              </w:rPr>
            </w:pPr>
          </w:p>
        </w:tc>
        <w:tc>
          <w:tcPr>
            <w:tcW w:w="457" w:type="pct"/>
            <w:vMerge w:val="continue"/>
            <w:vAlign w:val="center"/>
          </w:tcPr>
          <w:p w14:paraId="09D61DBB">
            <w:pPr>
              <w:spacing w:line="240" w:lineRule="exact"/>
              <w:jc w:val="center"/>
              <w:rPr>
                <w:rFonts w:ascii="Times New Roman" w:hAnsi="Times New Roman" w:eastAsia="宋体" w:cs="Times New Roman"/>
                <w:color w:val="auto"/>
                <w:kern w:val="0"/>
              </w:rPr>
            </w:pPr>
          </w:p>
        </w:tc>
        <w:tc>
          <w:tcPr>
            <w:tcW w:w="799" w:type="pct"/>
            <w:vMerge w:val="continue"/>
            <w:vAlign w:val="center"/>
          </w:tcPr>
          <w:p w14:paraId="5319DD94">
            <w:pPr>
              <w:spacing w:line="240" w:lineRule="exact"/>
              <w:jc w:val="center"/>
              <w:rPr>
                <w:rFonts w:ascii="Times New Roman" w:hAnsi="Times New Roman" w:eastAsia="宋体" w:cs="Times New Roman"/>
                <w:color w:val="auto"/>
                <w:kern w:val="0"/>
              </w:rPr>
            </w:pPr>
          </w:p>
        </w:tc>
        <w:tc>
          <w:tcPr>
            <w:tcW w:w="499" w:type="pct"/>
            <w:noWrap/>
            <w:vAlign w:val="center"/>
          </w:tcPr>
          <w:p w14:paraId="74E96592">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2026.4.28</w:t>
            </w:r>
          </w:p>
        </w:tc>
        <w:tc>
          <w:tcPr>
            <w:tcW w:w="299" w:type="pct"/>
            <w:vAlign w:val="center"/>
          </w:tcPr>
          <w:p w14:paraId="546E0A27">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夜间</w:t>
            </w:r>
          </w:p>
        </w:tc>
        <w:tc>
          <w:tcPr>
            <w:tcW w:w="499" w:type="pct"/>
            <w:vAlign w:val="center"/>
          </w:tcPr>
          <w:p w14:paraId="7D63E019">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48</w:t>
            </w:r>
          </w:p>
        </w:tc>
        <w:tc>
          <w:tcPr>
            <w:tcW w:w="335" w:type="pct"/>
            <w:noWrap/>
            <w:vAlign w:val="center"/>
          </w:tcPr>
          <w:p w14:paraId="6F3A6CF8">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25</w:t>
            </w:r>
          </w:p>
        </w:tc>
        <w:tc>
          <w:tcPr>
            <w:tcW w:w="335" w:type="pct"/>
            <w:noWrap/>
            <w:vAlign w:val="center"/>
          </w:tcPr>
          <w:p w14:paraId="597C66A8">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18</w:t>
            </w:r>
          </w:p>
        </w:tc>
        <w:tc>
          <w:tcPr>
            <w:tcW w:w="335" w:type="pct"/>
            <w:noWrap/>
            <w:vAlign w:val="center"/>
          </w:tcPr>
          <w:p w14:paraId="2A9CBFFD">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30</w:t>
            </w:r>
          </w:p>
        </w:tc>
        <w:tc>
          <w:tcPr>
            <w:tcW w:w="342" w:type="pct"/>
            <w:vMerge w:val="continue"/>
            <w:noWrap/>
            <w:vAlign w:val="center"/>
          </w:tcPr>
          <w:p w14:paraId="78A534E3">
            <w:pPr>
              <w:spacing w:line="240" w:lineRule="exact"/>
              <w:jc w:val="center"/>
              <w:rPr>
                <w:rFonts w:ascii="Times New Roman" w:hAnsi="Times New Roman" w:eastAsia="宋体" w:cs="Times New Roman"/>
                <w:color w:val="auto"/>
                <w:kern w:val="0"/>
              </w:rPr>
            </w:pPr>
          </w:p>
        </w:tc>
        <w:tc>
          <w:tcPr>
            <w:tcW w:w="371" w:type="pct"/>
            <w:noWrap/>
            <w:vAlign w:val="center"/>
          </w:tcPr>
          <w:p w14:paraId="59051CC3">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592F68D0">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vAlign w:val="center"/>
          </w:tcPr>
          <w:p w14:paraId="09DD9ABE">
            <w:pPr>
              <w:spacing w:line="240" w:lineRule="exact"/>
              <w:jc w:val="center"/>
              <w:rPr>
                <w:rFonts w:ascii="Times New Roman" w:hAnsi="Times New Roman" w:eastAsia="宋体" w:cs="Times New Roman"/>
                <w:color w:val="auto"/>
                <w:kern w:val="0"/>
              </w:rPr>
            </w:pPr>
          </w:p>
        </w:tc>
        <w:tc>
          <w:tcPr>
            <w:tcW w:w="474" w:type="pct"/>
            <w:vMerge w:val="continue"/>
            <w:vAlign w:val="center"/>
          </w:tcPr>
          <w:p w14:paraId="0F3EB9A9">
            <w:pPr>
              <w:spacing w:line="240" w:lineRule="exact"/>
              <w:jc w:val="center"/>
              <w:rPr>
                <w:rFonts w:ascii="Times New Roman" w:hAnsi="Times New Roman" w:eastAsia="宋体" w:cs="Times New Roman"/>
                <w:color w:val="auto"/>
                <w:kern w:val="0"/>
              </w:rPr>
            </w:pPr>
          </w:p>
        </w:tc>
        <w:tc>
          <w:tcPr>
            <w:tcW w:w="457" w:type="pct"/>
            <w:vMerge w:val="continue"/>
            <w:vAlign w:val="center"/>
          </w:tcPr>
          <w:p w14:paraId="4B11579D">
            <w:pPr>
              <w:spacing w:line="240" w:lineRule="exact"/>
              <w:jc w:val="center"/>
              <w:rPr>
                <w:rFonts w:ascii="Times New Roman" w:hAnsi="Times New Roman" w:eastAsia="宋体" w:cs="Times New Roman"/>
                <w:color w:val="auto"/>
                <w:kern w:val="0"/>
              </w:rPr>
            </w:pPr>
          </w:p>
        </w:tc>
        <w:tc>
          <w:tcPr>
            <w:tcW w:w="799" w:type="pct"/>
            <w:vMerge w:val="continue"/>
            <w:vAlign w:val="center"/>
          </w:tcPr>
          <w:p w14:paraId="5259E4FB">
            <w:pPr>
              <w:spacing w:line="240" w:lineRule="exact"/>
              <w:jc w:val="center"/>
              <w:rPr>
                <w:rFonts w:ascii="Times New Roman" w:hAnsi="Times New Roman" w:eastAsia="宋体" w:cs="Times New Roman"/>
                <w:color w:val="auto"/>
                <w:kern w:val="0"/>
              </w:rPr>
            </w:pPr>
          </w:p>
        </w:tc>
        <w:tc>
          <w:tcPr>
            <w:tcW w:w="499" w:type="pct"/>
            <w:noWrap/>
            <w:vAlign w:val="center"/>
          </w:tcPr>
          <w:p w14:paraId="289AB499">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2026.4.28</w:t>
            </w:r>
          </w:p>
        </w:tc>
        <w:tc>
          <w:tcPr>
            <w:tcW w:w="299" w:type="pct"/>
            <w:vAlign w:val="center"/>
          </w:tcPr>
          <w:p w14:paraId="000299BA">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昼间</w:t>
            </w:r>
          </w:p>
        </w:tc>
        <w:tc>
          <w:tcPr>
            <w:tcW w:w="499" w:type="pct"/>
            <w:vAlign w:val="center"/>
          </w:tcPr>
          <w:p w14:paraId="05E857B5">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58</w:t>
            </w:r>
          </w:p>
        </w:tc>
        <w:tc>
          <w:tcPr>
            <w:tcW w:w="335" w:type="pct"/>
            <w:noWrap/>
            <w:vAlign w:val="center"/>
          </w:tcPr>
          <w:p w14:paraId="1A6CD1E5">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47</w:t>
            </w:r>
          </w:p>
        </w:tc>
        <w:tc>
          <w:tcPr>
            <w:tcW w:w="335" w:type="pct"/>
            <w:noWrap/>
            <w:vAlign w:val="center"/>
          </w:tcPr>
          <w:p w14:paraId="23BB88C9">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24</w:t>
            </w:r>
          </w:p>
        </w:tc>
        <w:tc>
          <w:tcPr>
            <w:tcW w:w="335" w:type="pct"/>
            <w:noWrap/>
            <w:vAlign w:val="center"/>
          </w:tcPr>
          <w:p w14:paraId="6EE361CB">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120</w:t>
            </w:r>
          </w:p>
        </w:tc>
        <w:tc>
          <w:tcPr>
            <w:tcW w:w="342" w:type="pct"/>
            <w:vMerge w:val="continue"/>
            <w:noWrap/>
            <w:vAlign w:val="center"/>
          </w:tcPr>
          <w:p w14:paraId="460254F7">
            <w:pPr>
              <w:spacing w:line="240" w:lineRule="exact"/>
              <w:jc w:val="center"/>
              <w:rPr>
                <w:rFonts w:ascii="Times New Roman" w:hAnsi="Times New Roman" w:eastAsia="宋体" w:cs="Times New Roman"/>
                <w:color w:val="auto"/>
                <w:kern w:val="0"/>
              </w:rPr>
            </w:pPr>
          </w:p>
        </w:tc>
        <w:tc>
          <w:tcPr>
            <w:tcW w:w="371" w:type="pct"/>
            <w:noWrap/>
            <w:vAlign w:val="center"/>
          </w:tcPr>
          <w:p w14:paraId="61850001">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22411263">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vAlign w:val="center"/>
          </w:tcPr>
          <w:p w14:paraId="5E696F5D">
            <w:pPr>
              <w:spacing w:line="240" w:lineRule="exact"/>
              <w:jc w:val="center"/>
              <w:rPr>
                <w:rFonts w:ascii="Times New Roman" w:hAnsi="Times New Roman" w:eastAsia="宋体" w:cs="Times New Roman"/>
                <w:color w:val="auto"/>
                <w:kern w:val="0"/>
              </w:rPr>
            </w:pPr>
          </w:p>
        </w:tc>
        <w:tc>
          <w:tcPr>
            <w:tcW w:w="474" w:type="pct"/>
            <w:vMerge w:val="continue"/>
            <w:vAlign w:val="center"/>
          </w:tcPr>
          <w:p w14:paraId="2DA766D4">
            <w:pPr>
              <w:spacing w:line="240" w:lineRule="exact"/>
              <w:jc w:val="center"/>
              <w:rPr>
                <w:rFonts w:ascii="Times New Roman" w:hAnsi="Times New Roman" w:eastAsia="宋体" w:cs="Times New Roman"/>
                <w:color w:val="auto"/>
                <w:kern w:val="0"/>
              </w:rPr>
            </w:pPr>
          </w:p>
        </w:tc>
        <w:tc>
          <w:tcPr>
            <w:tcW w:w="457" w:type="pct"/>
            <w:vMerge w:val="continue"/>
            <w:vAlign w:val="center"/>
          </w:tcPr>
          <w:p w14:paraId="492C241E">
            <w:pPr>
              <w:spacing w:line="240" w:lineRule="exact"/>
              <w:jc w:val="center"/>
              <w:rPr>
                <w:rFonts w:ascii="Times New Roman" w:hAnsi="Times New Roman" w:eastAsia="宋体" w:cs="Times New Roman"/>
                <w:color w:val="auto"/>
                <w:kern w:val="0"/>
              </w:rPr>
            </w:pPr>
          </w:p>
        </w:tc>
        <w:tc>
          <w:tcPr>
            <w:tcW w:w="799" w:type="pct"/>
            <w:vMerge w:val="continue"/>
            <w:vAlign w:val="center"/>
          </w:tcPr>
          <w:p w14:paraId="2B5BFCD1">
            <w:pPr>
              <w:spacing w:line="240" w:lineRule="exact"/>
              <w:jc w:val="center"/>
              <w:rPr>
                <w:rFonts w:ascii="Times New Roman" w:hAnsi="Times New Roman" w:eastAsia="宋体" w:cs="Times New Roman"/>
                <w:color w:val="auto"/>
                <w:kern w:val="0"/>
              </w:rPr>
            </w:pPr>
          </w:p>
        </w:tc>
        <w:tc>
          <w:tcPr>
            <w:tcW w:w="499" w:type="pct"/>
            <w:noWrap/>
            <w:vAlign w:val="center"/>
          </w:tcPr>
          <w:p w14:paraId="4A3E5779">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2026.4.29</w:t>
            </w:r>
          </w:p>
        </w:tc>
        <w:tc>
          <w:tcPr>
            <w:tcW w:w="299" w:type="pct"/>
            <w:vAlign w:val="center"/>
          </w:tcPr>
          <w:p w14:paraId="42F89CFC">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夜间</w:t>
            </w:r>
          </w:p>
        </w:tc>
        <w:tc>
          <w:tcPr>
            <w:tcW w:w="499" w:type="pct"/>
            <w:vAlign w:val="center"/>
          </w:tcPr>
          <w:p w14:paraId="45163D6A">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49</w:t>
            </w:r>
          </w:p>
        </w:tc>
        <w:tc>
          <w:tcPr>
            <w:tcW w:w="335" w:type="pct"/>
            <w:noWrap/>
            <w:vAlign w:val="center"/>
          </w:tcPr>
          <w:p w14:paraId="45AB35AC">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26</w:t>
            </w:r>
          </w:p>
        </w:tc>
        <w:tc>
          <w:tcPr>
            <w:tcW w:w="335" w:type="pct"/>
            <w:noWrap/>
            <w:vAlign w:val="center"/>
          </w:tcPr>
          <w:p w14:paraId="1AE21770">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15</w:t>
            </w:r>
          </w:p>
        </w:tc>
        <w:tc>
          <w:tcPr>
            <w:tcW w:w="335" w:type="pct"/>
            <w:noWrap/>
            <w:vAlign w:val="center"/>
          </w:tcPr>
          <w:p w14:paraId="36C21FBD">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36</w:t>
            </w:r>
          </w:p>
        </w:tc>
        <w:tc>
          <w:tcPr>
            <w:tcW w:w="342" w:type="pct"/>
            <w:vMerge w:val="continue"/>
            <w:noWrap/>
            <w:vAlign w:val="center"/>
          </w:tcPr>
          <w:p w14:paraId="47AAEC48">
            <w:pPr>
              <w:spacing w:line="240" w:lineRule="exact"/>
              <w:jc w:val="center"/>
              <w:rPr>
                <w:rFonts w:ascii="Times New Roman" w:hAnsi="Times New Roman" w:eastAsia="宋体" w:cs="Times New Roman"/>
                <w:color w:val="auto"/>
                <w:kern w:val="0"/>
              </w:rPr>
            </w:pPr>
          </w:p>
        </w:tc>
        <w:tc>
          <w:tcPr>
            <w:tcW w:w="371" w:type="pct"/>
            <w:noWrap/>
            <w:vAlign w:val="center"/>
          </w:tcPr>
          <w:p w14:paraId="19A52D64">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678B306B">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vAlign w:val="center"/>
          </w:tcPr>
          <w:p w14:paraId="6FDEAAEA">
            <w:pPr>
              <w:spacing w:line="240" w:lineRule="exact"/>
              <w:jc w:val="center"/>
              <w:rPr>
                <w:rFonts w:ascii="Times New Roman" w:hAnsi="Times New Roman" w:eastAsia="宋体" w:cs="Times New Roman"/>
                <w:color w:val="auto"/>
                <w:kern w:val="0"/>
              </w:rPr>
            </w:pPr>
          </w:p>
        </w:tc>
        <w:tc>
          <w:tcPr>
            <w:tcW w:w="474" w:type="pct"/>
            <w:vMerge w:val="continue"/>
            <w:vAlign w:val="center"/>
          </w:tcPr>
          <w:p w14:paraId="6A2B2B5E">
            <w:pPr>
              <w:spacing w:line="240" w:lineRule="exact"/>
              <w:jc w:val="center"/>
              <w:rPr>
                <w:rFonts w:ascii="Times New Roman" w:hAnsi="Times New Roman" w:eastAsia="宋体" w:cs="Times New Roman"/>
                <w:color w:val="auto"/>
                <w:kern w:val="0"/>
              </w:rPr>
            </w:pPr>
          </w:p>
        </w:tc>
        <w:tc>
          <w:tcPr>
            <w:tcW w:w="457" w:type="pct"/>
            <w:vMerge w:val="continue"/>
            <w:vAlign w:val="center"/>
          </w:tcPr>
          <w:p w14:paraId="1662C66C">
            <w:pPr>
              <w:spacing w:line="240" w:lineRule="exact"/>
              <w:jc w:val="center"/>
              <w:rPr>
                <w:rFonts w:ascii="Times New Roman" w:hAnsi="Times New Roman" w:eastAsia="宋体" w:cs="Times New Roman"/>
                <w:color w:val="auto"/>
                <w:kern w:val="0"/>
              </w:rPr>
            </w:pPr>
          </w:p>
        </w:tc>
        <w:tc>
          <w:tcPr>
            <w:tcW w:w="799" w:type="pct"/>
            <w:vMerge w:val="restart"/>
            <w:vAlign w:val="center"/>
          </w:tcPr>
          <w:p w14:paraId="7F9695A7">
            <w:pPr>
              <w:spacing w:line="240" w:lineRule="exact"/>
              <w:jc w:val="center"/>
              <w:rPr>
                <w:rFonts w:ascii="Times New Roman" w:hAnsi="Times New Roman" w:eastAsia="宋体" w:cs="Times New Roman"/>
                <w:color w:val="auto"/>
                <w:kern w:val="0"/>
              </w:rPr>
            </w:pPr>
            <w:r>
              <w:rPr>
                <w:rFonts w:ascii="Times New Roman" w:hAnsi="Times New Roman" w:eastAsia="宋体" w:cs="Times New Roman"/>
                <w:color w:val="auto"/>
              </w:rPr>
              <w:t>临现有</w:t>
            </w:r>
            <w:r>
              <w:rPr>
                <w:rFonts w:hint="eastAsia" w:ascii="Times New Roman" w:hAnsi="Times New Roman" w:eastAsia="宋体" w:cs="Times New Roman"/>
                <w:color w:val="auto"/>
              </w:rPr>
              <w:t>G219</w:t>
            </w:r>
            <w:r>
              <w:rPr>
                <w:rFonts w:ascii="Times New Roman" w:hAnsi="Times New Roman" w:eastAsia="宋体" w:cs="Times New Roman"/>
                <w:color w:val="auto"/>
              </w:rPr>
              <w:t>边界</w:t>
            </w:r>
            <w:r>
              <w:rPr>
                <w:rFonts w:hint="eastAsia" w:ascii="Times New Roman" w:hAnsi="Times New Roman" w:eastAsia="宋体" w:cs="Times New Roman"/>
                <w:color w:val="auto"/>
              </w:rPr>
              <w:t>35</w:t>
            </w:r>
            <w:r>
              <w:rPr>
                <w:rFonts w:ascii="Times New Roman" w:hAnsi="Times New Roman" w:eastAsia="宋体" w:cs="Times New Roman"/>
                <w:color w:val="auto"/>
              </w:rPr>
              <w:t>m外第一排房</w:t>
            </w:r>
            <w:r>
              <w:rPr>
                <w:rFonts w:hint="eastAsia" w:ascii="Times New Roman" w:hAnsi="Times New Roman" w:eastAsia="宋体" w:cs="Times New Roman"/>
                <w:color w:val="auto"/>
              </w:rPr>
              <w:t>1</w:t>
            </w:r>
            <w:r>
              <w:rPr>
                <w:rFonts w:ascii="Times New Roman" w:hAnsi="Times New Roman" w:eastAsia="宋体" w:cs="Times New Roman"/>
                <w:color w:val="auto"/>
              </w:rPr>
              <w:t>层</w:t>
            </w:r>
          </w:p>
        </w:tc>
        <w:tc>
          <w:tcPr>
            <w:tcW w:w="499" w:type="pct"/>
            <w:noWrap/>
            <w:vAlign w:val="center"/>
          </w:tcPr>
          <w:p w14:paraId="1AC6A428">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2026.4.27</w:t>
            </w:r>
          </w:p>
        </w:tc>
        <w:tc>
          <w:tcPr>
            <w:tcW w:w="299" w:type="pct"/>
            <w:vAlign w:val="center"/>
          </w:tcPr>
          <w:p w14:paraId="7A52D5F6">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昼间</w:t>
            </w:r>
          </w:p>
        </w:tc>
        <w:tc>
          <w:tcPr>
            <w:tcW w:w="499" w:type="pct"/>
            <w:vAlign w:val="center"/>
          </w:tcPr>
          <w:p w14:paraId="615F4432">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54</w:t>
            </w:r>
          </w:p>
        </w:tc>
        <w:tc>
          <w:tcPr>
            <w:tcW w:w="335" w:type="pct"/>
            <w:noWrap/>
            <w:vAlign w:val="center"/>
          </w:tcPr>
          <w:p w14:paraId="7B75EFB4">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49</w:t>
            </w:r>
          </w:p>
        </w:tc>
        <w:tc>
          <w:tcPr>
            <w:tcW w:w="335" w:type="pct"/>
            <w:noWrap/>
            <w:vAlign w:val="center"/>
          </w:tcPr>
          <w:p w14:paraId="5034254B">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30</w:t>
            </w:r>
          </w:p>
        </w:tc>
        <w:tc>
          <w:tcPr>
            <w:tcW w:w="335" w:type="pct"/>
            <w:noWrap/>
            <w:vAlign w:val="center"/>
          </w:tcPr>
          <w:p w14:paraId="1115E8C2">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117</w:t>
            </w:r>
          </w:p>
        </w:tc>
        <w:tc>
          <w:tcPr>
            <w:tcW w:w="342" w:type="pct"/>
            <w:vMerge w:val="restart"/>
            <w:noWrap/>
            <w:vAlign w:val="center"/>
          </w:tcPr>
          <w:p w14:paraId="0442A5B3">
            <w:pPr>
              <w:spacing w:line="240" w:lineRule="exact"/>
              <w:jc w:val="center"/>
              <w:rPr>
                <w:rFonts w:ascii="Times New Roman" w:hAnsi="Times New Roman" w:eastAsia="宋体" w:cs="Times New Roman"/>
                <w:color w:val="auto"/>
                <w:kern w:val="0"/>
              </w:rPr>
            </w:pPr>
            <w:r>
              <w:rPr>
                <w:rFonts w:ascii="Times New Roman" w:hAnsi="Times New Roman" w:eastAsia="宋体" w:cs="Times New Roman"/>
                <w:color w:val="auto"/>
                <w:kern w:val="0"/>
              </w:rPr>
              <w:t>2类</w:t>
            </w:r>
          </w:p>
        </w:tc>
        <w:tc>
          <w:tcPr>
            <w:tcW w:w="371" w:type="pct"/>
            <w:noWrap/>
            <w:vAlign w:val="center"/>
          </w:tcPr>
          <w:p w14:paraId="517C7CF0">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3F8611CB">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vAlign w:val="center"/>
          </w:tcPr>
          <w:p w14:paraId="144E5215">
            <w:pPr>
              <w:spacing w:line="240" w:lineRule="exact"/>
              <w:jc w:val="center"/>
              <w:rPr>
                <w:rFonts w:ascii="Times New Roman" w:hAnsi="Times New Roman" w:eastAsia="宋体" w:cs="Times New Roman"/>
                <w:color w:val="auto"/>
                <w:kern w:val="0"/>
              </w:rPr>
            </w:pPr>
          </w:p>
        </w:tc>
        <w:tc>
          <w:tcPr>
            <w:tcW w:w="474" w:type="pct"/>
            <w:vMerge w:val="continue"/>
            <w:vAlign w:val="center"/>
          </w:tcPr>
          <w:p w14:paraId="7B123D11">
            <w:pPr>
              <w:spacing w:line="240" w:lineRule="exact"/>
              <w:jc w:val="center"/>
              <w:rPr>
                <w:rFonts w:ascii="Times New Roman" w:hAnsi="Times New Roman" w:eastAsia="宋体" w:cs="Times New Roman"/>
                <w:color w:val="auto"/>
                <w:kern w:val="0"/>
              </w:rPr>
            </w:pPr>
          </w:p>
        </w:tc>
        <w:tc>
          <w:tcPr>
            <w:tcW w:w="457" w:type="pct"/>
            <w:vMerge w:val="continue"/>
            <w:vAlign w:val="center"/>
          </w:tcPr>
          <w:p w14:paraId="78F07D89">
            <w:pPr>
              <w:spacing w:line="240" w:lineRule="exact"/>
              <w:jc w:val="center"/>
              <w:rPr>
                <w:rFonts w:ascii="Times New Roman" w:hAnsi="Times New Roman" w:eastAsia="宋体" w:cs="Times New Roman"/>
                <w:color w:val="auto"/>
                <w:kern w:val="0"/>
              </w:rPr>
            </w:pPr>
          </w:p>
        </w:tc>
        <w:tc>
          <w:tcPr>
            <w:tcW w:w="799" w:type="pct"/>
            <w:vMerge w:val="continue"/>
            <w:vAlign w:val="center"/>
          </w:tcPr>
          <w:p w14:paraId="54FCB508">
            <w:pPr>
              <w:spacing w:line="240" w:lineRule="exact"/>
              <w:jc w:val="center"/>
              <w:rPr>
                <w:rFonts w:ascii="Times New Roman" w:hAnsi="Times New Roman" w:eastAsia="宋体" w:cs="Times New Roman"/>
                <w:color w:val="auto"/>
                <w:kern w:val="0"/>
              </w:rPr>
            </w:pPr>
          </w:p>
        </w:tc>
        <w:tc>
          <w:tcPr>
            <w:tcW w:w="499" w:type="pct"/>
            <w:noWrap/>
            <w:vAlign w:val="center"/>
          </w:tcPr>
          <w:p w14:paraId="14032615">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2026.4.28</w:t>
            </w:r>
          </w:p>
        </w:tc>
        <w:tc>
          <w:tcPr>
            <w:tcW w:w="299" w:type="pct"/>
            <w:vAlign w:val="center"/>
          </w:tcPr>
          <w:p w14:paraId="0F7B17D1">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夜间</w:t>
            </w:r>
          </w:p>
        </w:tc>
        <w:tc>
          <w:tcPr>
            <w:tcW w:w="499" w:type="pct"/>
            <w:vAlign w:val="center"/>
          </w:tcPr>
          <w:p w14:paraId="59E4FCF9">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45</w:t>
            </w:r>
          </w:p>
        </w:tc>
        <w:tc>
          <w:tcPr>
            <w:tcW w:w="335" w:type="pct"/>
            <w:noWrap/>
            <w:vAlign w:val="center"/>
          </w:tcPr>
          <w:p w14:paraId="3EF07821">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25</w:t>
            </w:r>
          </w:p>
        </w:tc>
        <w:tc>
          <w:tcPr>
            <w:tcW w:w="335" w:type="pct"/>
            <w:noWrap/>
            <w:vAlign w:val="center"/>
          </w:tcPr>
          <w:p w14:paraId="7364E24F">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18</w:t>
            </w:r>
          </w:p>
        </w:tc>
        <w:tc>
          <w:tcPr>
            <w:tcW w:w="335" w:type="pct"/>
            <w:noWrap/>
            <w:vAlign w:val="center"/>
          </w:tcPr>
          <w:p w14:paraId="55067B29">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30</w:t>
            </w:r>
          </w:p>
        </w:tc>
        <w:tc>
          <w:tcPr>
            <w:tcW w:w="342" w:type="pct"/>
            <w:vMerge w:val="continue"/>
            <w:noWrap/>
            <w:vAlign w:val="center"/>
          </w:tcPr>
          <w:p w14:paraId="58E0DF39">
            <w:pPr>
              <w:spacing w:line="240" w:lineRule="exact"/>
              <w:jc w:val="center"/>
              <w:rPr>
                <w:rFonts w:ascii="Times New Roman" w:hAnsi="Times New Roman" w:eastAsia="宋体" w:cs="Times New Roman"/>
                <w:color w:val="auto"/>
                <w:kern w:val="0"/>
              </w:rPr>
            </w:pPr>
          </w:p>
        </w:tc>
        <w:tc>
          <w:tcPr>
            <w:tcW w:w="371" w:type="pct"/>
            <w:noWrap/>
            <w:vAlign w:val="center"/>
          </w:tcPr>
          <w:p w14:paraId="6BBC96B2">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207FC1B7">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vAlign w:val="center"/>
          </w:tcPr>
          <w:p w14:paraId="52BBFFE2">
            <w:pPr>
              <w:spacing w:line="240" w:lineRule="exact"/>
              <w:jc w:val="center"/>
              <w:rPr>
                <w:rFonts w:ascii="Times New Roman" w:hAnsi="Times New Roman" w:eastAsia="宋体" w:cs="Times New Roman"/>
                <w:color w:val="auto"/>
                <w:kern w:val="0"/>
              </w:rPr>
            </w:pPr>
          </w:p>
        </w:tc>
        <w:tc>
          <w:tcPr>
            <w:tcW w:w="474" w:type="pct"/>
            <w:vMerge w:val="continue"/>
            <w:vAlign w:val="center"/>
          </w:tcPr>
          <w:p w14:paraId="0A1B67C7">
            <w:pPr>
              <w:spacing w:line="240" w:lineRule="exact"/>
              <w:jc w:val="center"/>
              <w:rPr>
                <w:rFonts w:ascii="Times New Roman" w:hAnsi="Times New Roman" w:eastAsia="宋体" w:cs="Times New Roman"/>
                <w:color w:val="auto"/>
                <w:kern w:val="0"/>
              </w:rPr>
            </w:pPr>
          </w:p>
        </w:tc>
        <w:tc>
          <w:tcPr>
            <w:tcW w:w="457" w:type="pct"/>
            <w:vMerge w:val="continue"/>
            <w:vAlign w:val="center"/>
          </w:tcPr>
          <w:p w14:paraId="292E5591">
            <w:pPr>
              <w:spacing w:line="240" w:lineRule="exact"/>
              <w:jc w:val="center"/>
              <w:rPr>
                <w:rFonts w:ascii="Times New Roman" w:hAnsi="Times New Roman" w:eastAsia="宋体" w:cs="Times New Roman"/>
                <w:color w:val="auto"/>
                <w:kern w:val="0"/>
              </w:rPr>
            </w:pPr>
          </w:p>
        </w:tc>
        <w:tc>
          <w:tcPr>
            <w:tcW w:w="799" w:type="pct"/>
            <w:vMerge w:val="continue"/>
            <w:vAlign w:val="center"/>
          </w:tcPr>
          <w:p w14:paraId="0CA8BEA9">
            <w:pPr>
              <w:spacing w:line="240" w:lineRule="exact"/>
              <w:jc w:val="center"/>
              <w:rPr>
                <w:rFonts w:ascii="Times New Roman" w:hAnsi="Times New Roman" w:eastAsia="宋体" w:cs="Times New Roman"/>
                <w:color w:val="auto"/>
                <w:kern w:val="0"/>
              </w:rPr>
            </w:pPr>
          </w:p>
        </w:tc>
        <w:tc>
          <w:tcPr>
            <w:tcW w:w="499" w:type="pct"/>
            <w:noWrap/>
            <w:vAlign w:val="center"/>
          </w:tcPr>
          <w:p w14:paraId="2E15368F">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2026.4.28</w:t>
            </w:r>
          </w:p>
        </w:tc>
        <w:tc>
          <w:tcPr>
            <w:tcW w:w="299" w:type="pct"/>
            <w:vAlign w:val="center"/>
          </w:tcPr>
          <w:p w14:paraId="528A7B26">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昼间</w:t>
            </w:r>
          </w:p>
        </w:tc>
        <w:tc>
          <w:tcPr>
            <w:tcW w:w="499" w:type="pct"/>
            <w:vAlign w:val="center"/>
          </w:tcPr>
          <w:p w14:paraId="589B20ED">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54</w:t>
            </w:r>
          </w:p>
        </w:tc>
        <w:tc>
          <w:tcPr>
            <w:tcW w:w="335" w:type="pct"/>
            <w:noWrap/>
            <w:vAlign w:val="center"/>
          </w:tcPr>
          <w:p w14:paraId="17264D9D">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47</w:t>
            </w:r>
          </w:p>
        </w:tc>
        <w:tc>
          <w:tcPr>
            <w:tcW w:w="335" w:type="pct"/>
            <w:noWrap/>
            <w:vAlign w:val="center"/>
          </w:tcPr>
          <w:p w14:paraId="5E868819">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24</w:t>
            </w:r>
          </w:p>
        </w:tc>
        <w:tc>
          <w:tcPr>
            <w:tcW w:w="335" w:type="pct"/>
            <w:noWrap/>
            <w:vAlign w:val="center"/>
          </w:tcPr>
          <w:p w14:paraId="77058565">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120</w:t>
            </w:r>
          </w:p>
        </w:tc>
        <w:tc>
          <w:tcPr>
            <w:tcW w:w="342" w:type="pct"/>
            <w:vMerge w:val="continue"/>
            <w:noWrap/>
            <w:vAlign w:val="center"/>
          </w:tcPr>
          <w:p w14:paraId="30C542E8">
            <w:pPr>
              <w:spacing w:line="240" w:lineRule="exact"/>
              <w:jc w:val="center"/>
              <w:rPr>
                <w:rFonts w:ascii="Times New Roman" w:hAnsi="Times New Roman" w:eastAsia="宋体" w:cs="Times New Roman"/>
                <w:color w:val="auto"/>
                <w:kern w:val="0"/>
              </w:rPr>
            </w:pPr>
          </w:p>
        </w:tc>
        <w:tc>
          <w:tcPr>
            <w:tcW w:w="371" w:type="pct"/>
            <w:noWrap/>
            <w:vAlign w:val="center"/>
          </w:tcPr>
          <w:p w14:paraId="475BF185">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6C76B119">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vAlign w:val="center"/>
          </w:tcPr>
          <w:p w14:paraId="6A6D9F3E">
            <w:pPr>
              <w:spacing w:line="240" w:lineRule="exact"/>
              <w:jc w:val="center"/>
              <w:rPr>
                <w:rFonts w:ascii="Times New Roman" w:hAnsi="Times New Roman" w:eastAsia="宋体" w:cs="Times New Roman"/>
                <w:color w:val="auto"/>
                <w:kern w:val="0"/>
              </w:rPr>
            </w:pPr>
          </w:p>
        </w:tc>
        <w:tc>
          <w:tcPr>
            <w:tcW w:w="474" w:type="pct"/>
            <w:vMerge w:val="continue"/>
            <w:vAlign w:val="center"/>
          </w:tcPr>
          <w:p w14:paraId="48FE8B08">
            <w:pPr>
              <w:spacing w:line="240" w:lineRule="exact"/>
              <w:jc w:val="center"/>
              <w:rPr>
                <w:rFonts w:ascii="Times New Roman" w:hAnsi="Times New Roman" w:eastAsia="宋体" w:cs="Times New Roman"/>
                <w:color w:val="auto"/>
                <w:kern w:val="0"/>
              </w:rPr>
            </w:pPr>
          </w:p>
        </w:tc>
        <w:tc>
          <w:tcPr>
            <w:tcW w:w="457" w:type="pct"/>
            <w:vMerge w:val="continue"/>
            <w:vAlign w:val="center"/>
          </w:tcPr>
          <w:p w14:paraId="17C998A5">
            <w:pPr>
              <w:spacing w:line="240" w:lineRule="exact"/>
              <w:jc w:val="center"/>
              <w:rPr>
                <w:rFonts w:ascii="Times New Roman" w:hAnsi="Times New Roman" w:eastAsia="宋体" w:cs="Times New Roman"/>
                <w:color w:val="auto"/>
                <w:kern w:val="0"/>
              </w:rPr>
            </w:pPr>
          </w:p>
        </w:tc>
        <w:tc>
          <w:tcPr>
            <w:tcW w:w="799" w:type="pct"/>
            <w:vMerge w:val="continue"/>
            <w:vAlign w:val="center"/>
          </w:tcPr>
          <w:p w14:paraId="1E620800">
            <w:pPr>
              <w:spacing w:line="240" w:lineRule="exact"/>
              <w:jc w:val="center"/>
              <w:rPr>
                <w:rFonts w:ascii="Times New Roman" w:hAnsi="Times New Roman" w:eastAsia="宋体" w:cs="Times New Roman"/>
                <w:color w:val="auto"/>
                <w:kern w:val="0"/>
              </w:rPr>
            </w:pPr>
          </w:p>
        </w:tc>
        <w:tc>
          <w:tcPr>
            <w:tcW w:w="499" w:type="pct"/>
            <w:noWrap/>
            <w:vAlign w:val="center"/>
          </w:tcPr>
          <w:p w14:paraId="4BAC80C1">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2026.4.29</w:t>
            </w:r>
          </w:p>
        </w:tc>
        <w:tc>
          <w:tcPr>
            <w:tcW w:w="299" w:type="pct"/>
            <w:vAlign w:val="center"/>
          </w:tcPr>
          <w:p w14:paraId="011235C2">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夜间</w:t>
            </w:r>
          </w:p>
        </w:tc>
        <w:tc>
          <w:tcPr>
            <w:tcW w:w="499" w:type="pct"/>
            <w:vAlign w:val="center"/>
          </w:tcPr>
          <w:p w14:paraId="7ED7C364">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44</w:t>
            </w:r>
          </w:p>
        </w:tc>
        <w:tc>
          <w:tcPr>
            <w:tcW w:w="335" w:type="pct"/>
            <w:noWrap/>
            <w:vAlign w:val="center"/>
          </w:tcPr>
          <w:p w14:paraId="60B513CD">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26</w:t>
            </w:r>
          </w:p>
        </w:tc>
        <w:tc>
          <w:tcPr>
            <w:tcW w:w="335" w:type="pct"/>
            <w:noWrap/>
            <w:vAlign w:val="center"/>
          </w:tcPr>
          <w:p w14:paraId="6076CA66">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15</w:t>
            </w:r>
          </w:p>
        </w:tc>
        <w:tc>
          <w:tcPr>
            <w:tcW w:w="335" w:type="pct"/>
            <w:noWrap/>
            <w:vAlign w:val="center"/>
          </w:tcPr>
          <w:p w14:paraId="6CEEA834">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36</w:t>
            </w:r>
          </w:p>
        </w:tc>
        <w:tc>
          <w:tcPr>
            <w:tcW w:w="342" w:type="pct"/>
            <w:vMerge w:val="continue"/>
            <w:noWrap/>
            <w:vAlign w:val="center"/>
          </w:tcPr>
          <w:p w14:paraId="3536ACA7">
            <w:pPr>
              <w:spacing w:line="240" w:lineRule="exact"/>
              <w:jc w:val="center"/>
              <w:rPr>
                <w:rFonts w:ascii="Times New Roman" w:hAnsi="Times New Roman" w:eastAsia="宋体" w:cs="Times New Roman"/>
                <w:color w:val="auto"/>
                <w:kern w:val="0"/>
              </w:rPr>
            </w:pPr>
          </w:p>
        </w:tc>
        <w:tc>
          <w:tcPr>
            <w:tcW w:w="371" w:type="pct"/>
            <w:noWrap/>
            <w:vAlign w:val="center"/>
          </w:tcPr>
          <w:p w14:paraId="6A3A6DA2">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19D19F45">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noWrap/>
            <w:vAlign w:val="center"/>
          </w:tcPr>
          <w:p w14:paraId="1EFA028C">
            <w:pPr>
              <w:spacing w:line="240" w:lineRule="exact"/>
              <w:jc w:val="center"/>
              <w:rPr>
                <w:rFonts w:ascii="Times New Roman" w:hAnsi="Times New Roman" w:eastAsia="宋体" w:cs="Times New Roman"/>
                <w:color w:val="auto"/>
                <w:kern w:val="0"/>
              </w:rPr>
            </w:pPr>
          </w:p>
        </w:tc>
        <w:tc>
          <w:tcPr>
            <w:tcW w:w="474" w:type="pct"/>
            <w:vMerge w:val="continue"/>
            <w:noWrap/>
            <w:vAlign w:val="center"/>
          </w:tcPr>
          <w:p w14:paraId="52CE2309">
            <w:pPr>
              <w:spacing w:line="240" w:lineRule="exact"/>
              <w:jc w:val="center"/>
              <w:rPr>
                <w:rFonts w:ascii="Times New Roman" w:hAnsi="Times New Roman" w:eastAsia="宋体" w:cs="Times New Roman"/>
                <w:color w:val="auto"/>
                <w:kern w:val="0"/>
              </w:rPr>
            </w:pPr>
          </w:p>
        </w:tc>
        <w:tc>
          <w:tcPr>
            <w:tcW w:w="457" w:type="pct"/>
            <w:vMerge w:val="restart"/>
            <w:vAlign w:val="center"/>
          </w:tcPr>
          <w:p w14:paraId="0F77AF3F">
            <w:pPr>
              <w:spacing w:line="240" w:lineRule="exact"/>
              <w:jc w:val="center"/>
              <w:rPr>
                <w:rFonts w:ascii="Times New Roman" w:hAnsi="Times New Roman" w:eastAsia="宋体" w:cs="Times New Roman"/>
                <w:color w:val="auto"/>
                <w:kern w:val="0"/>
              </w:rPr>
            </w:pPr>
            <w:r>
              <w:rPr>
                <w:rFonts w:ascii="Times New Roman" w:hAnsi="Times New Roman" w:eastAsia="宋体" w:cs="Times New Roman"/>
                <w:color w:val="auto"/>
                <w:kern w:val="0"/>
              </w:rPr>
              <w:t>背景噪声</w:t>
            </w:r>
          </w:p>
        </w:tc>
        <w:tc>
          <w:tcPr>
            <w:tcW w:w="799" w:type="pct"/>
            <w:vMerge w:val="restart"/>
            <w:vAlign w:val="center"/>
          </w:tcPr>
          <w:p w14:paraId="706C0966">
            <w:pPr>
              <w:spacing w:line="240" w:lineRule="exact"/>
              <w:jc w:val="center"/>
              <w:rPr>
                <w:rFonts w:ascii="Times New Roman" w:hAnsi="Times New Roman" w:eastAsia="宋体" w:cs="Times New Roman"/>
                <w:color w:val="auto"/>
                <w:kern w:val="0"/>
              </w:rPr>
            </w:pPr>
            <w:r>
              <w:rPr>
                <w:rFonts w:hint="eastAsia" w:ascii="Times New Roman" w:hAnsi="Times New Roman" w:eastAsia="宋体" w:cs="Times New Roman"/>
                <w:color w:val="auto"/>
                <w:szCs w:val="21"/>
              </w:rPr>
              <w:t>远离现有G219</w:t>
            </w:r>
            <w:r>
              <w:rPr>
                <w:rFonts w:ascii="Times New Roman" w:hAnsi="Times New Roman" w:eastAsia="宋体" w:cs="Times New Roman"/>
                <w:color w:val="auto"/>
                <w:kern w:val="0"/>
                <w:szCs w:val="21"/>
              </w:rPr>
              <w:t>公路200m外</w:t>
            </w:r>
          </w:p>
        </w:tc>
        <w:tc>
          <w:tcPr>
            <w:tcW w:w="499" w:type="pct"/>
            <w:noWrap/>
            <w:vAlign w:val="center"/>
          </w:tcPr>
          <w:p w14:paraId="2E0CD48F">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2026.4.27</w:t>
            </w:r>
          </w:p>
        </w:tc>
        <w:tc>
          <w:tcPr>
            <w:tcW w:w="299" w:type="pct"/>
            <w:vAlign w:val="center"/>
          </w:tcPr>
          <w:p w14:paraId="043CDC1C">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昼间</w:t>
            </w:r>
          </w:p>
        </w:tc>
        <w:tc>
          <w:tcPr>
            <w:tcW w:w="499" w:type="pct"/>
            <w:vAlign w:val="center"/>
          </w:tcPr>
          <w:p w14:paraId="1D09EFBE">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46</w:t>
            </w:r>
          </w:p>
        </w:tc>
        <w:tc>
          <w:tcPr>
            <w:tcW w:w="335" w:type="pct"/>
            <w:noWrap/>
            <w:vAlign w:val="center"/>
          </w:tcPr>
          <w:p w14:paraId="5AAC3B3B">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35" w:type="pct"/>
            <w:noWrap/>
            <w:vAlign w:val="center"/>
          </w:tcPr>
          <w:p w14:paraId="546EC501">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35" w:type="pct"/>
            <w:noWrap/>
            <w:vAlign w:val="center"/>
          </w:tcPr>
          <w:p w14:paraId="0EB40D49">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42" w:type="pct"/>
            <w:vMerge w:val="continue"/>
            <w:noWrap/>
            <w:vAlign w:val="center"/>
          </w:tcPr>
          <w:p w14:paraId="4DFBB06F">
            <w:pPr>
              <w:spacing w:line="240" w:lineRule="exact"/>
              <w:jc w:val="center"/>
              <w:rPr>
                <w:rFonts w:ascii="Times New Roman" w:hAnsi="Times New Roman" w:eastAsia="宋体" w:cs="Times New Roman"/>
                <w:color w:val="auto"/>
                <w:kern w:val="0"/>
              </w:rPr>
            </w:pPr>
          </w:p>
        </w:tc>
        <w:tc>
          <w:tcPr>
            <w:tcW w:w="371" w:type="pct"/>
            <w:noWrap/>
            <w:vAlign w:val="center"/>
          </w:tcPr>
          <w:p w14:paraId="36CAA294">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4987325C">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vAlign w:val="center"/>
          </w:tcPr>
          <w:p w14:paraId="217CD164">
            <w:pPr>
              <w:spacing w:line="240" w:lineRule="exact"/>
              <w:jc w:val="center"/>
              <w:rPr>
                <w:rFonts w:ascii="Times New Roman" w:hAnsi="Times New Roman" w:eastAsia="宋体" w:cs="Times New Roman"/>
                <w:color w:val="auto"/>
                <w:kern w:val="0"/>
              </w:rPr>
            </w:pPr>
          </w:p>
        </w:tc>
        <w:tc>
          <w:tcPr>
            <w:tcW w:w="474" w:type="pct"/>
            <w:vMerge w:val="continue"/>
            <w:vAlign w:val="center"/>
          </w:tcPr>
          <w:p w14:paraId="6347B3E6">
            <w:pPr>
              <w:spacing w:line="240" w:lineRule="exact"/>
              <w:jc w:val="center"/>
              <w:rPr>
                <w:rFonts w:ascii="Times New Roman" w:hAnsi="Times New Roman" w:eastAsia="宋体" w:cs="Times New Roman"/>
                <w:color w:val="auto"/>
                <w:kern w:val="0"/>
              </w:rPr>
            </w:pPr>
          </w:p>
        </w:tc>
        <w:tc>
          <w:tcPr>
            <w:tcW w:w="457" w:type="pct"/>
            <w:vMerge w:val="continue"/>
            <w:vAlign w:val="center"/>
          </w:tcPr>
          <w:p w14:paraId="7110F5B9">
            <w:pPr>
              <w:spacing w:line="240" w:lineRule="exact"/>
              <w:jc w:val="center"/>
              <w:rPr>
                <w:rFonts w:ascii="Times New Roman" w:hAnsi="Times New Roman" w:eastAsia="宋体" w:cs="Times New Roman"/>
                <w:color w:val="auto"/>
                <w:kern w:val="0"/>
              </w:rPr>
            </w:pPr>
          </w:p>
        </w:tc>
        <w:tc>
          <w:tcPr>
            <w:tcW w:w="799" w:type="pct"/>
            <w:vMerge w:val="continue"/>
            <w:vAlign w:val="center"/>
          </w:tcPr>
          <w:p w14:paraId="4418061C">
            <w:pPr>
              <w:spacing w:line="240" w:lineRule="exact"/>
              <w:jc w:val="center"/>
              <w:rPr>
                <w:rFonts w:ascii="Times New Roman" w:hAnsi="Times New Roman" w:eastAsia="宋体" w:cs="Times New Roman"/>
                <w:color w:val="auto"/>
                <w:kern w:val="0"/>
              </w:rPr>
            </w:pPr>
          </w:p>
        </w:tc>
        <w:tc>
          <w:tcPr>
            <w:tcW w:w="499" w:type="pct"/>
            <w:noWrap/>
            <w:vAlign w:val="center"/>
          </w:tcPr>
          <w:p w14:paraId="0C244580">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2026.4.28</w:t>
            </w:r>
          </w:p>
        </w:tc>
        <w:tc>
          <w:tcPr>
            <w:tcW w:w="299" w:type="pct"/>
            <w:vAlign w:val="center"/>
          </w:tcPr>
          <w:p w14:paraId="32CE1F89">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夜间</w:t>
            </w:r>
          </w:p>
        </w:tc>
        <w:tc>
          <w:tcPr>
            <w:tcW w:w="499" w:type="pct"/>
            <w:vAlign w:val="center"/>
          </w:tcPr>
          <w:p w14:paraId="4C855B22">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38</w:t>
            </w:r>
          </w:p>
        </w:tc>
        <w:tc>
          <w:tcPr>
            <w:tcW w:w="335" w:type="pct"/>
            <w:noWrap/>
            <w:vAlign w:val="center"/>
          </w:tcPr>
          <w:p w14:paraId="59BB2097">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35" w:type="pct"/>
            <w:noWrap/>
            <w:vAlign w:val="center"/>
          </w:tcPr>
          <w:p w14:paraId="518EF188">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35" w:type="pct"/>
            <w:noWrap/>
            <w:vAlign w:val="center"/>
          </w:tcPr>
          <w:p w14:paraId="1DA6C3DC">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42" w:type="pct"/>
            <w:vMerge w:val="continue"/>
            <w:noWrap/>
            <w:vAlign w:val="center"/>
          </w:tcPr>
          <w:p w14:paraId="0C8187A9">
            <w:pPr>
              <w:spacing w:line="240" w:lineRule="exact"/>
              <w:jc w:val="center"/>
              <w:rPr>
                <w:rFonts w:ascii="Times New Roman" w:hAnsi="Times New Roman" w:eastAsia="宋体" w:cs="Times New Roman"/>
                <w:color w:val="auto"/>
                <w:kern w:val="0"/>
              </w:rPr>
            </w:pPr>
          </w:p>
        </w:tc>
        <w:tc>
          <w:tcPr>
            <w:tcW w:w="371" w:type="pct"/>
            <w:noWrap/>
            <w:vAlign w:val="center"/>
          </w:tcPr>
          <w:p w14:paraId="0BD448AC">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35D33908">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vAlign w:val="center"/>
          </w:tcPr>
          <w:p w14:paraId="675DE7B6">
            <w:pPr>
              <w:spacing w:line="240" w:lineRule="exact"/>
              <w:jc w:val="center"/>
              <w:rPr>
                <w:rFonts w:ascii="Times New Roman" w:hAnsi="Times New Roman" w:eastAsia="宋体" w:cs="Times New Roman"/>
                <w:color w:val="auto"/>
                <w:kern w:val="0"/>
              </w:rPr>
            </w:pPr>
          </w:p>
        </w:tc>
        <w:tc>
          <w:tcPr>
            <w:tcW w:w="474" w:type="pct"/>
            <w:vMerge w:val="continue"/>
            <w:vAlign w:val="center"/>
          </w:tcPr>
          <w:p w14:paraId="5D32F110">
            <w:pPr>
              <w:spacing w:line="240" w:lineRule="exact"/>
              <w:jc w:val="center"/>
              <w:rPr>
                <w:rFonts w:ascii="Times New Roman" w:hAnsi="Times New Roman" w:eastAsia="宋体" w:cs="Times New Roman"/>
                <w:color w:val="auto"/>
                <w:kern w:val="0"/>
              </w:rPr>
            </w:pPr>
          </w:p>
        </w:tc>
        <w:tc>
          <w:tcPr>
            <w:tcW w:w="457" w:type="pct"/>
            <w:vMerge w:val="continue"/>
            <w:vAlign w:val="center"/>
          </w:tcPr>
          <w:p w14:paraId="37ED501B">
            <w:pPr>
              <w:spacing w:line="240" w:lineRule="exact"/>
              <w:jc w:val="center"/>
              <w:rPr>
                <w:rFonts w:ascii="Times New Roman" w:hAnsi="Times New Roman" w:eastAsia="宋体" w:cs="Times New Roman"/>
                <w:color w:val="auto"/>
                <w:kern w:val="0"/>
              </w:rPr>
            </w:pPr>
          </w:p>
        </w:tc>
        <w:tc>
          <w:tcPr>
            <w:tcW w:w="799" w:type="pct"/>
            <w:vMerge w:val="continue"/>
            <w:vAlign w:val="center"/>
          </w:tcPr>
          <w:p w14:paraId="72479282">
            <w:pPr>
              <w:spacing w:line="240" w:lineRule="exact"/>
              <w:jc w:val="center"/>
              <w:rPr>
                <w:rFonts w:ascii="Times New Roman" w:hAnsi="Times New Roman" w:eastAsia="宋体" w:cs="Times New Roman"/>
                <w:color w:val="auto"/>
                <w:kern w:val="0"/>
              </w:rPr>
            </w:pPr>
          </w:p>
        </w:tc>
        <w:tc>
          <w:tcPr>
            <w:tcW w:w="499" w:type="pct"/>
            <w:noWrap/>
            <w:vAlign w:val="center"/>
          </w:tcPr>
          <w:p w14:paraId="13621BDD">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2026.4.28</w:t>
            </w:r>
          </w:p>
        </w:tc>
        <w:tc>
          <w:tcPr>
            <w:tcW w:w="299" w:type="pct"/>
            <w:vAlign w:val="center"/>
          </w:tcPr>
          <w:p w14:paraId="23FED5D5">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昼间</w:t>
            </w:r>
          </w:p>
        </w:tc>
        <w:tc>
          <w:tcPr>
            <w:tcW w:w="499" w:type="pct"/>
            <w:vAlign w:val="center"/>
          </w:tcPr>
          <w:p w14:paraId="037A8C53">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44</w:t>
            </w:r>
          </w:p>
        </w:tc>
        <w:tc>
          <w:tcPr>
            <w:tcW w:w="335" w:type="pct"/>
            <w:noWrap/>
            <w:vAlign w:val="center"/>
          </w:tcPr>
          <w:p w14:paraId="77BC1A97">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35" w:type="pct"/>
            <w:noWrap/>
            <w:vAlign w:val="center"/>
          </w:tcPr>
          <w:p w14:paraId="4E4B5C69">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35" w:type="pct"/>
            <w:noWrap/>
            <w:vAlign w:val="center"/>
          </w:tcPr>
          <w:p w14:paraId="655F0555">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42" w:type="pct"/>
            <w:vMerge w:val="continue"/>
            <w:noWrap/>
            <w:vAlign w:val="center"/>
          </w:tcPr>
          <w:p w14:paraId="08275250">
            <w:pPr>
              <w:spacing w:line="240" w:lineRule="exact"/>
              <w:jc w:val="center"/>
              <w:rPr>
                <w:rFonts w:ascii="Times New Roman" w:hAnsi="Times New Roman" w:eastAsia="宋体" w:cs="Times New Roman"/>
                <w:color w:val="auto"/>
                <w:kern w:val="0"/>
              </w:rPr>
            </w:pPr>
          </w:p>
        </w:tc>
        <w:tc>
          <w:tcPr>
            <w:tcW w:w="371" w:type="pct"/>
            <w:noWrap/>
            <w:vAlign w:val="center"/>
          </w:tcPr>
          <w:p w14:paraId="222B95C2">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5230AAA5">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vAlign w:val="center"/>
          </w:tcPr>
          <w:p w14:paraId="026218AB">
            <w:pPr>
              <w:spacing w:line="240" w:lineRule="exact"/>
              <w:jc w:val="center"/>
              <w:rPr>
                <w:rFonts w:ascii="Times New Roman" w:hAnsi="Times New Roman" w:eastAsia="宋体" w:cs="Times New Roman"/>
                <w:color w:val="auto"/>
                <w:kern w:val="0"/>
              </w:rPr>
            </w:pPr>
          </w:p>
        </w:tc>
        <w:tc>
          <w:tcPr>
            <w:tcW w:w="474" w:type="pct"/>
            <w:vMerge w:val="continue"/>
            <w:vAlign w:val="center"/>
          </w:tcPr>
          <w:p w14:paraId="3836C5E8">
            <w:pPr>
              <w:spacing w:line="240" w:lineRule="exact"/>
              <w:jc w:val="center"/>
              <w:rPr>
                <w:rFonts w:ascii="Times New Roman" w:hAnsi="Times New Roman" w:eastAsia="宋体" w:cs="Times New Roman"/>
                <w:color w:val="auto"/>
                <w:kern w:val="0"/>
              </w:rPr>
            </w:pPr>
          </w:p>
        </w:tc>
        <w:tc>
          <w:tcPr>
            <w:tcW w:w="457" w:type="pct"/>
            <w:vMerge w:val="continue"/>
            <w:vAlign w:val="center"/>
          </w:tcPr>
          <w:p w14:paraId="067C0407">
            <w:pPr>
              <w:spacing w:line="240" w:lineRule="exact"/>
              <w:jc w:val="center"/>
              <w:rPr>
                <w:rFonts w:ascii="Times New Roman" w:hAnsi="Times New Roman" w:eastAsia="宋体" w:cs="Times New Roman"/>
                <w:color w:val="auto"/>
                <w:kern w:val="0"/>
              </w:rPr>
            </w:pPr>
          </w:p>
        </w:tc>
        <w:tc>
          <w:tcPr>
            <w:tcW w:w="799" w:type="pct"/>
            <w:vMerge w:val="continue"/>
            <w:vAlign w:val="center"/>
          </w:tcPr>
          <w:p w14:paraId="1A5BF3A5">
            <w:pPr>
              <w:spacing w:line="240" w:lineRule="exact"/>
              <w:jc w:val="center"/>
              <w:rPr>
                <w:rFonts w:ascii="Times New Roman" w:hAnsi="Times New Roman" w:eastAsia="宋体" w:cs="Times New Roman"/>
                <w:color w:val="auto"/>
                <w:kern w:val="0"/>
              </w:rPr>
            </w:pPr>
          </w:p>
        </w:tc>
        <w:tc>
          <w:tcPr>
            <w:tcW w:w="499" w:type="pct"/>
            <w:noWrap/>
            <w:vAlign w:val="center"/>
          </w:tcPr>
          <w:p w14:paraId="31C432AE">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2026.4.29</w:t>
            </w:r>
          </w:p>
        </w:tc>
        <w:tc>
          <w:tcPr>
            <w:tcW w:w="299" w:type="pct"/>
            <w:vAlign w:val="center"/>
          </w:tcPr>
          <w:p w14:paraId="42557324">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夜间</w:t>
            </w:r>
          </w:p>
        </w:tc>
        <w:tc>
          <w:tcPr>
            <w:tcW w:w="499" w:type="pct"/>
            <w:vAlign w:val="center"/>
          </w:tcPr>
          <w:p w14:paraId="1BBC4DF9">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36</w:t>
            </w:r>
          </w:p>
        </w:tc>
        <w:tc>
          <w:tcPr>
            <w:tcW w:w="335" w:type="pct"/>
            <w:noWrap/>
            <w:vAlign w:val="center"/>
          </w:tcPr>
          <w:p w14:paraId="3ED93CF7">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35" w:type="pct"/>
            <w:noWrap/>
            <w:vAlign w:val="center"/>
          </w:tcPr>
          <w:p w14:paraId="4B46785E">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35" w:type="pct"/>
            <w:noWrap/>
            <w:vAlign w:val="center"/>
          </w:tcPr>
          <w:p w14:paraId="2E7AD81B">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42" w:type="pct"/>
            <w:vMerge w:val="continue"/>
            <w:noWrap/>
            <w:vAlign w:val="center"/>
          </w:tcPr>
          <w:p w14:paraId="1D39485F">
            <w:pPr>
              <w:spacing w:line="240" w:lineRule="exact"/>
              <w:jc w:val="center"/>
              <w:rPr>
                <w:rFonts w:ascii="Times New Roman" w:hAnsi="Times New Roman" w:eastAsia="宋体" w:cs="Times New Roman"/>
                <w:color w:val="auto"/>
                <w:kern w:val="0"/>
              </w:rPr>
            </w:pPr>
          </w:p>
        </w:tc>
        <w:tc>
          <w:tcPr>
            <w:tcW w:w="371" w:type="pct"/>
            <w:noWrap/>
            <w:vAlign w:val="center"/>
          </w:tcPr>
          <w:p w14:paraId="17D3D606">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5FD67B67">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restart"/>
            <w:noWrap/>
            <w:vAlign w:val="center"/>
          </w:tcPr>
          <w:p w14:paraId="26867775">
            <w:pPr>
              <w:spacing w:line="240" w:lineRule="exact"/>
              <w:jc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18</w:t>
            </w:r>
          </w:p>
        </w:tc>
        <w:tc>
          <w:tcPr>
            <w:tcW w:w="474" w:type="pct"/>
            <w:vMerge w:val="restart"/>
            <w:noWrap/>
            <w:vAlign w:val="center"/>
          </w:tcPr>
          <w:p w14:paraId="294B162A">
            <w:pPr>
              <w:spacing w:line="240" w:lineRule="exact"/>
              <w:jc w:val="center"/>
              <w:rPr>
                <w:rFonts w:ascii="Times New Roman" w:hAnsi="Times New Roman" w:eastAsia="宋体" w:cs="Times New Roman"/>
                <w:color w:val="auto"/>
                <w:kern w:val="0"/>
              </w:rPr>
            </w:pPr>
            <w:r>
              <w:rPr>
                <w:rFonts w:hint="eastAsia" w:ascii="Times New Roman" w:cs="Times New Roman" w:hAnsiTheme="minorEastAsia" w:eastAsiaTheme="minorEastAsia"/>
                <w:color w:val="auto"/>
              </w:rPr>
              <w:t>土木拉克</w:t>
            </w:r>
          </w:p>
        </w:tc>
        <w:tc>
          <w:tcPr>
            <w:tcW w:w="457" w:type="pct"/>
            <w:vMerge w:val="restart"/>
            <w:vAlign w:val="center"/>
          </w:tcPr>
          <w:p w14:paraId="579E17D1">
            <w:pPr>
              <w:spacing w:line="240" w:lineRule="exact"/>
              <w:jc w:val="center"/>
              <w:rPr>
                <w:rFonts w:ascii="Times New Roman" w:hAnsi="Times New Roman" w:eastAsia="宋体" w:cs="Times New Roman"/>
                <w:color w:val="auto"/>
                <w:kern w:val="0"/>
              </w:rPr>
            </w:pPr>
            <w:r>
              <w:rPr>
                <w:rFonts w:ascii="Times New Roman" w:hAnsi="Times New Roman" w:eastAsia="宋体" w:cs="Times New Roman"/>
                <w:color w:val="auto"/>
                <w:kern w:val="0"/>
              </w:rPr>
              <w:t>环境噪声</w:t>
            </w:r>
          </w:p>
        </w:tc>
        <w:tc>
          <w:tcPr>
            <w:tcW w:w="799" w:type="pct"/>
            <w:vMerge w:val="restart"/>
            <w:vAlign w:val="center"/>
          </w:tcPr>
          <w:p w14:paraId="7886FA9D">
            <w:pPr>
              <w:spacing w:line="240" w:lineRule="exact"/>
              <w:jc w:val="center"/>
              <w:rPr>
                <w:rFonts w:ascii="Times New Roman" w:hAnsi="Times New Roman" w:eastAsia="宋体" w:cs="Times New Roman"/>
                <w:color w:val="auto"/>
                <w:kern w:val="0"/>
              </w:rPr>
            </w:pPr>
            <w:r>
              <w:rPr>
                <w:rFonts w:ascii="Times New Roman" w:hAnsi="Times New Roman" w:eastAsia="宋体" w:cs="Times New Roman"/>
                <w:color w:val="auto"/>
              </w:rPr>
              <w:t>临现有</w:t>
            </w:r>
            <w:r>
              <w:rPr>
                <w:rFonts w:hint="eastAsia" w:ascii="Times New Roman" w:hAnsi="Times New Roman" w:eastAsia="宋体" w:cs="Times New Roman"/>
                <w:color w:val="auto"/>
              </w:rPr>
              <w:t>G219</w:t>
            </w:r>
            <w:r>
              <w:rPr>
                <w:rFonts w:ascii="Times New Roman" w:hAnsi="Times New Roman" w:eastAsia="宋体" w:cs="Times New Roman"/>
                <w:color w:val="auto"/>
              </w:rPr>
              <w:t>第一排房</w:t>
            </w:r>
            <w:r>
              <w:rPr>
                <w:rFonts w:hint="eastAsia" w:ascii="Times New Roman" w:hAnsi="Times New Roman" w:eastAsia="宋体" w:cs="Times New Roman"/>
                <w:color w:val="auto"/>
              </w:rPr>
              <w:t>1</w:t>
            </w:r>
            <w:r>
              <w:rPr>
                <w:rFonts w:ascii="Times New Roman" w:hAnsi="Times New Roman" w:eastAsia="宋体" w:cs="Times New Roman"/>
                <w:color w:val="auto"/>
              </w:rPr>
              <w:t>层</w:t>
            </w:r>
          </w:p>
        </w:tc>
        <w:tc>
          <w:tcPr>
            <w:tcW w:w="499" w:type="pct"/>
            <w:noWrap/>
            <w:vAlign w:val="center"/>
          </w:tcPr>
          <w:p w14:paraId="426991FC">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2026.4.27</w:t>
            </w:r>
          </w:p>
        </w:tc>
        <w:tc>
          <w:tcPr>
            <w:tcW w:w="299" w:type="pct"/>
            <w:vAlign w:val="center"/>
          </w:tcPr>
          <w:p w14:paraId="6323970E">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昼间</w:t>
            </w:r>
          </w:p>
        </w:tc>
        <w:tc>
          <w:tcPr>
            <w:tcW w:w="499" w:type="pct"/>
            <w:vAlign w:val="center"/>
          </w:tcPr>
          <w:p w14:paraId="0A60195A">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57</w:t>
            </w:r>
          </w:p>
        </w:tc>
        <w:tc>
          <w:tcPr>
            <w:tcW w:w="335" w:type="pct"/>
            <w:noWrap/>
            <w:vAlign w:val="center"/>
          </w:tcPr>
          <w:p w14:paraId="2ADC22CD">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48</w:t>
            </w:r>
          </w:p>
        </w:tc>
        <w:tc>
          <w:tcPr>
            <w:tcW w:w="335" w:type="pct"/>
            <w:noWrap/>
            <w:vAlign w:val="center"/>
          </w:tcPr>
          <w:p w14:paraId="653449D2">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27</w:t>
            </w:r>
          </w:p>
        </w:tc>
        <w:tc>
          <w:tcPr>
            <w:tcW w:w="335" w:type="pct"/>
            <w:noWrap/>
            <w:vAlign w:val="center"/>
          </w:tcPr>
          <w:p w14:paraId="5207A0B2">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111</w:t>
            </w:r>
          </w:p>
        </w:tc>
        <w:tc>
          <w:tcPr>
            <w:tcW w:w="342" w:type="pct"/>
            <w:vMerge w:val="restart"/>
            <w:noWrap/>
            <w:vAlign w:val="center"/>
          </w:tcPr>
          <w:p w14:paraId="338870B4">
            <w:pPr>
              <w:spacing w:line="240" w:lineRule="exact"/>
              <w:jc w:val="center"/>
              <w:rPr>
                <w:rFonts w:ascii="Times New Roman" w:hAnsi="Times New Roman" w:eastAsia="宋体" w:cs="Times New Roman"/>
                <w:color w:val="auto"/>
                <w:kern w:val="0"/>
              </w:rPr>
            </w:pPr>
            <w:r>
              <w:rPr>
                <w:rFonts w:ascii="Times New Roman" w:hAnsi="Times New Roman" w:eastAsia="宋体" w:cs="Times New Roman"/>
                <w:color w:val="auto"/>
                <w:kern w:val="0"/>
              </w:rPr>
              <w:t>4a类</w:t>
            </w:r>
          </w:p>
        </w:tc>
        <w:tc>
          <w:tcPr>
            <w:tcW w:w="371" w:type="pct"/>
            <w:noWrap/>
            <w:vAlign w:val="center"/>
          </w:tcPr>
          <w:p w14:paraId="10BBC529">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02715FEC">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vAlign w:val="center"/>
          </w:tcPr>
          <w:p w14:paraId="67E4E103">
            <w:pPr>
              <w:spacing w:line="240" w:lineRule="exact"/>
              <w:jc w:val="center"/>
              <w:rPr>
                <w:rFonts w:ascii="Times New Roman" w:hAnsi="Times New Roman" w:eastAsia="宋体" w:cs="Times New Roman"/>
                <w:color w:val="auto"/>
                <w:kern w:val="0"/>
              </w:rPr>
            </w:pPr>
          </w:p>
        </w:tc>
        <w:tc>
          <w:tcPr>
            <w:tcW w:w="474" w:type="pct"/>
            <w:vMerge w:val="continue"/>
            <w:vAlign w:val="center"/>
          </w:tcPr>
          <w:p w14:paraId="15E14593">
            <w:pPr>
              <w:spacing w:line="240" w:lineRule="exact"/>
              <w:jc w:val="center"/>
              <w:rPr>
                <w:rFonts w:ascii="Times New Roman" w:hAnsi="Times New Roman" w:eastAsia="宋体" w:cs="Times New Roman"/>
                <w:color w:val="auto"/>
                <w:kern w:val="0"/>
              </w:rPr>
            </w:pPr>
          </w:p>
        </w:tc>
        <w:tc>
          <w:tcPr>
            <w:tcW w:w="457" w:type="pct"/>
            <w:vMerge w:val="continue"/>
            <w:vAlign w:val="center"/>
          </w:tcPr>
          <w:p w14:paraId="0F5A94F3">
            <w:pPr>
              <w:spacing w:line="240" w:lineRule="exact"/>
              <w:jc w:val="center"/>
              <w:rPr>
                <w:rFonts w:ascii="Times New Roman" w:hAnsi="Times New Roman" w:eastAsia="宋体" w:cs="Times New Roman"/>
                <w:color w:val="auto"/>
                <w:kern w:val="0"/>
              </w:rPr>
            </w:pPr>
          </w:p>
        </w:tc>
        <w:tc>
          <w:tcPr>
            <w:tcW w:w="799" w:type="pct"/>
            <w:vMerge w:val="continue"/>
            <w:vAlign w:val="center"/>
          </w:tcPr>
          <w:p w14:paraId="0420437F">
            <w:pPr>
              <w:spacing w:line="240" w:lineRule="exact"/>
              <w:jc w:val="center"/>
              <w:rPr>
                <w:rFonts w:ascii="Times New Roman" w:hAnsi="Times New Roman" w:eastAsia="宋体" w:cs="Times New Roman"/>
                <w:color w:val="auto"/>
                <w:kern w:val="0"/>
              </w:rPr>
            </w:pPr>
          </w:p>
        </w:tc>
        <w:tc>
          <w:tcPr>
            <w:tcW w:w="499" w:type="pct"/>
            <w:noWrap/>
            <w:vAlign w:val="center"/>
          </w:tcPr>
          <w:p w14:paraId="444D5624">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2026.4.28</w:t>
            </w:r>
          </w:p>
        </w:tc>
        <w:tc>
          <w:tcPr>
            <w:tcW w:w="299" w:type="pct"/>
            <w:vAlign w:val="center"/>
          </w:tcPr>
          <w:p w14:paraId="6950D477">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夜间</w:t>
            </w:r>
          </w:p>
        </w:tc>
        <w:tc>
          <w:tcPr>
            <w:tcW w:w="499" w:type="pct"/>
            <w:vAlign w:val="center"/>
          </w:tcPr>
          <w:p w14:paraId="0C13C522">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47</w:t>
            </w:r>
          </w:p>
        </w:tc>
        <w:tc>
          <w:tcPr>
            <w:tcW w:w="335" w:type="pct"/>
            <w:noWrap/>
            <w:vAlign w:val="center"/>
          </w:tcPr>
          <w:p w14:paraId="48C84397">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26</w:t>
            </w:r>
          </w:p>
        </w:tc>
        <w:tc>
          <w:tcPr>
            <w:tcW w:w="335" w:type="pct"/>
            <w:noWrap/>
            <w:vAlign w:val="center"/>
          </w:tcPr>
          <w:p w14:paraId="42E948BA">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18</w:t>
            </w:r>
          </w:p>
        </w:tc>
        <w:tc>
          <w:tcPr>
            <w:tcW w:w="335" w:type="pct"/>
            <w:noWrap/>
            <w:vAlign w:val="center"/>
          </w:tcPr>
          <w:p w14:paraId="602AF47E">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30</w:t>
            </w:r>
          </w:p>
        </w:tc>
        <w:tc>
          <w:tcPr>
            <w:tcW w:w="342" w:type="pct"/>
            <w:vMerge w:val="continue"/>
            <w:noWrap/>
            <w:vAlign w:val="center"/>
          </w:tcPr>
          <w:p w14:paraId="69A04129">
            <w:pPr>
              <w:spacing w:line="240" w:lineRule="exact"/>
              <w:jc w:val="center"/>
              <w:rPr>
                <w:rFonts w:ascii="Times New Roman" w:hAnsi="Times New Roman" w:eastAsia="宋体" w:cs="Times New Roman"/>
                <w:color w:val="auto"/>
                <w:kern w:val="0"/>
              </w:rPr>
            </w:pPr>
          </w:p>
        </w:tc>
        <w:tc>
          <w:tcPr>
            <w:tcW w:w="371" w:type="pct"/>
            <w:noWrap/>
            <w:vAlign w:val="center"/>
          </w:tcPr>
          <w:p w14:paraId="5FF75E99">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0721DB40">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vAlign w:val="center"/>
          </w:tcPr>
          <w:p w14:paraId="594F7235">
            <w:pPr>
              <w:spacing w:line="240" w:lineRule="exact"/>
              <w:jc w:val="center"/>
              <w:rPr>
                <w:rFonts w:ascii="Times New Roman" w:hAnsi="Times New Roman" w:eastAsia="宋体" w:cs="Times New Roman"/>
                <w:color w:val="auto"/>
                <w:kern w:val="0"/>
              </w:rPr>
            </w:pPr>
          </w:p>
        </w:tc>
        <w:tc>
          <w:tcPr>
            <w:tcW w:w="474" w:type="pct"/>
            <w:vMerge w:val="continue"/>
            <w:vAlign w:val="center"/>
          </w:tcPr>
          <w:p w14:paraId="219866D9">
            <w:pPr>
              <w:spacing w:line="240" w:lineRule="exact"/>
              <w:jc w:val="center"/>
              <w:rPr>
                <w:rFonts w:ascii="Times New Roman" w:hAnsi="Times New Roman" w:eastAsia="宋体" w:cs="Times New Roman"/>
                <w:color w:val="auto"/>
                <w:kern w:val="0"/>
              </w:rPr>
            </w:pPr>
          </w:p>
        </w:tc>
        <w:tc>
          <w:tcPr>
            <w:tcW w:w="457" w:type="pct"/>
            <w:vMerge w:val="continue"/>
            <w:vAlign w:val="center"/>
          </w:tcPr>
          <w:p w14:paraId="5D1D494B">
            <w:pPr>
              <w:spacing w:line="240" w:lineRule="exact"/>
              <w:jc w:val="center"/>
              <w:rPr>
                <w:rFonts w:ascii="Times New Roman" w:hAnsi="Times New Roman" w:eastAsia="宋体" w:cs="Times New Roman"/>
                <w:color w:val="auto"/>
                <w:kern w:val="0"/>
              </w:rPr>
            </w:pPr>
          </w:p>
        </w:tc>
        <w:tc>
          <w:tcPr>
            <w:tcW w:w="799" w:type="pct"/>
            <w:vMerge w:val="continue"/>
            <w:vAlign w:val="center"/>
          </w:tcPr>
          <w:p w14:paraId="736AFB65">
            <w:pPr>
              <w:spacing w:line="240" w:lineRule="exact"/>
              <w:jc w:val="center"/>
              <w:rPr>
                <w:rFonts w:ascii="Times New Roman" w:hAnsi="Times New Roman" w:eastAsia="宋体" w:cs="Times New Roman"/>
                <w:color w:val="auto"/>
                <w:kern w:val="0"/>
              </w:rPr>
            </w:pPr>
          </w:p>
        </w:tc>
        <w:tc>
          <w:tcPr>
            <w:tcW w:w="499" w:type="pct"/>
            <w:noWrap/>
            <w:vAlign w:val="center"/>
          </w:tcPr>
          <w:p w14:paraId="655EB10E">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2026.4.28</w:t>
            </w:r>
          </w:p>
        </w:tc>
        <w:tc>
          <w:tcPr>
            <w:tcW w:w="299" w:type="pct"/>
            <w:vAlign w:val="center"/>
          </w:tcPr>
          <w:p w14:paraId="295C6068">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昼间</w:t>
            </w:r>
          </w:p>
        </w:tc>
        <w:tc>
          <w:tcPr>
            <w:tcW w:w="499" w:type="pct"/>
            <w:vAlign w:val="center"/>
          </w:tcPr>
          <w:p w14:paraId="6F0B6F17">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58</w:t>
            </w:r>
          </w:p>
        </w:tc>
        <w:tc>
          <w:tcPr>
            <w:tcW w:w="335" w:type="pct"/>
            <w:noWrap/>
            <w:vAlign w:val="center"/>
          </w:tcPr>
          <w:p w14:paraId="4857A958">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46</w:t>
            </w:r>
          </w:p>
        </w:tc>
        <w:tc>
          <w:tcPr>
            <w:tcW w:w="335" w:type="pct"/>
            <w:noWrap/>
            <w:vAlign w:val="center"/>
          </w:tcPr>
          <w:p w14:paraId="525EE5A2">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27</w:t>
            </w:r>
          </w:p>
        </w:tc>
        <w:tc>
          <w:tcPr>
            <w:tcW w:w="335" w:type="pct"/>
            <w:noWrap/>
            <w:vAlign w:val="center"/>
          </w:tcPr>
          <w:p w14:paraId="40258FD7">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108</w:t>
            </w:r>
          </w:p>
        </w:tc>
        <w:tc>
          <w:tcPr>
            <w:tcW w:w="342" w:type="pct"/>
            <w:vMerge w:val="continue"/>
            <w:noWrap/>
            <w:vAlign w:val="center"/>
          </w:tcPr>
          <w:p w14:paraId="636B48D5">
            <w:pPr>
              <w:spacing w:line="240" w:lineRule="exact"/>
              <w:jc w:val="center"/>
              <w:rPr>
                <w:rFonts w:ascii="Times New Roman" w:hAnsi="Times New Roman" w:eastAsia="宋体" w:cs="Times New Roman"/>
                <w:color w:val="auto"/>
                <w:kern w:val="0"/>
              </w:rPr>
            </w:pPr>
          </w:p>
        </w:tc>
        <w:tc>
          <w:tcPr>
            <w:tcW w:w="371" w:type="pct"/>
            <w:noWrap/>
            <w:vAlign w:val="center"/>
          </w:tcPr>
          <w:p w14:paraId="1331644E">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67692EF7">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vAlign w:val="center"/>
          </w:tcPr>
          <w:p w14:paraId="2E5E0473">
            <w:pPr>
              <w:spacing w:line="240" w:lineRule="exact"/>
              <w:jc w:val="center"/>
              <w:rPr>
                <w:rFonts w:ascii="Times New Roman" w:hAnsi="Times New Roman" w:eastAsia="宋体" w:cs="Times New Roman"/>
                <w:color w:val="auto"/>
                <w:kern w:val="0"/>
              </w:rPr>
            </w:pPr>
          </w:p>
        </w:tc>
        <w:tc>
          <w:tcPr>
            <w:tcW w:w="474" w:type="pct"/>
            <w:vMerge w:val="continue"/>
            <w:vAlign w:val="center"/>
          </w:tcPr>
          <w:p w14:paraId="65C1663A">
            <w:pPr>
              <w:spacing w:line="240" w:lineRule="exact"/>
              <w:jc w:val="center"/>
              <w:rPr>
                <w:rFonts w:ascii="Times New Roman" w:hAnsi="Times New Roman" w:eastAsia="宋体" w:cs="Times New Roman"/>
                <w:color w:val="auto"/>
                <w:kern w:val="0"/>
              </w:rPr>
            </w:pPr>
          </w:p>
        </w:tc>
        <w:tc>
          <w:tcPr>
            <w:tcW w:w="457" w:type="pct"/>
            <w:vMerge w:val="continue"/>
            <w:vAlign w:val="center"/>
          </w:tcPr>
          <w:p w14:paraId="0FB3D321">
            <w:pPr>
              <w:spacing w:line="240" w:lineRule="exact"/>
              <w:jc w:val="center"/>
              <w:rPr>
                <w:rFonts w:ascii="Times New Roman" w:hAnsi="Times New Roman" w:eastAsia="宋体" w:cs="Times New Roman"/>
                <w:color w:val="auto"/>
                <w:kern w:val="0"/>
              </w:rPr>
            </w:pPr>
          </w:p>
        </w:tc>
        <w:tc>
          <w:tcPr>
            <w:tcW w:w="799" w:type="pct"/>
            <w:vMerge w:val="continue"/>
            <w:vAlign w:val="center"/>
          </w:tcPr>
          <w:p w14:paraId="32927C79">
            <w:pPr>
              <w:spacing w:line="240" w:lineRule="exact"/>
              <w:jc w:val="center"/>
              <w:rPr>
                <w:rFonts w:ascii="Times New Roman" w:hAnsi="Times New Roman" w:eastAsia="宋体" w:cs="Times New Roman"/>
                <w:color w:val="auto"/>
                <w:kern w:val="0"/>
              </w:rPr>
            </w:pPr>
          </w:p>
        </w:tc>
        <w:tc>
          <w:tcPr>
            <w:tcW w:w="499" w:type="pct"/>
            <w:noWrap/>
            <w:vAlign w:val="center"/>
          </w:tcPr>
          <w:p w14:paraId="28BD4D4E">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2026.4.29</w:t>
            </w:r>
          </w:p>
        </w:tc>
        <w:tc>
          <w:tcPr>
            <w:tcW w:w="299" w:type="pct"/>
            <w:vAlign w:val="center"/>
          </w:tcPr>
          <w:p w14:paraId="1185B4A3">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夜间</w:t>
            </w:r>
          </w:p>
        </w:tc>
        <w:tc>
          <w:tcPr>
            <w:tcW w:w="499" w:type="pct"/>
            <w:vAlign w:val="center"/>
          </w:tcPr>
          <w:p w14:paraId="284F0587">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46</w:t>
            </w:r>
          </w:p>
        </w:tc>
        <w:tc>
          <w:tcPr>
            <w:tcW w:w="335" w:type="pct"/>
            <w:noWrap/>
            <w:vAlign w:val="center"/>
          </w:tcPr>
          <w:p w14:paraId="75C73103">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26</w:t>
            </w:r>
          </w:p>
        </w:tc>
        <w:tc>
          <w:tcPr>
            <w:tcW w:w="335" w:type="pct"/>
            <w:noWrap/>
            <w:vAlign w:val="center"/>
          </w:tcPr>
          <w:p w14:paraId="2727BAF3">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18</w:t>
            </w:r>
          </w:p>
        </w:tc>
        <w:tc>
          <w:tcPr>
            <w:tcW w:w="335" w:type="pct"/>
            <w:noWrap/>
            <w:vAlign w:val="center"/>
          </w:tcPr>
          <w:p w14:paraId="2D7A657C">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30</w:t>
            </w:r>
          </w:p>
        </w:tc>
        <w:tc>
          <w:tcPr>
            <w:tcW w:w="342" w:type="pct"/>
            <w:vMerge w:val="continue"/>
            <w:noWrap/>
            <w:vAlign w:val="center"/>
          </w:tcPr>
          <w:p w14:paraId="66775CE1">
            <w:pPr>
              <w:spacing w:line="240" w:lineRule="exact"/>
              <w:jc w:val="center"/>
              <w:rPr>
                <w:rFonts w:ascii="Times New Roman" w:hAnsi="Times New Roman" w:eastAsia="宋体" w:cs="Times New Roman"/>
                <w:color w:val="auto"/>
                <w:kern w:val="0"/>
              </w:rPr>
            </w:pPr>
          </w:p>
        </w:tc>
        <w:tc>
          <w:tcPr>
            <w:tcW w:w="371" w:type="pct"/>
            <w:noWrap/>
            <w:vAlign w:val="center"/>
          </w:tcPr>
          <w:p w14:paraId="210A456D">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6808E168">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vAlign w:val="center"/>
          </w:tcPr>
          <w:p w14:paraId="0B8E3791">
            <w:pPr>
              <w:spacing w:line="240" w:lineRule="exact"/>
              <w:jc w:val="center"/>
              <w:rPr>
                <w:rFonts w:ascii="Times New Roman" w:hAnsi="Times New Roman" w:eastAsia="宋体" w:cs="Times New Roman"/>
                <w:color w:val="auto"/>
                <w:kern w:val="0"/>
              </w:rPr>
            </w:pPr>
          </w:p>
        </w:tc>
        <w:tc>
          <w:tcPr>
            <w:tcW w:w="474" w:type="pct"/>
            <w:vMerge w:val="continue"/>
            <w:vAlign w:val="center"/>
          </w:tcPr>
          <w:p w14:paraId="1DDC57E9">
            <w:pPr>
              <w:spacing w:line="240" w:lineRule="exact"/>
              <w:jc w:val="center"/>
              <w:rPr>
                <w:rFonts w:ascii="Times New Roman" w:hAnsi="Times New Roman" w:eastAsia="宋体" w:cs="Times New Roman"/>
                <w:color w:val="auto"/>
                <w:kern w:val="0"/>
              </w:rPr>
            </w:pPr>
          </w:p>
        </w:tc>
        <w:tc>
          <w:tcPr>
            <w:tcW w:w="457" w:type="pct"/>
            <w:vMerge w:val="continue"/>
            <w:vAlign w:val="center"/>
          </w:tcPr>
          <w:p w14:paraId="2DCDF3CA">
            <w:pPr>
              <w:spacing w:line="240" w:lineRule="exact"/>
              <w:jc w:val="center"/>
              <w:rPr>
                <w:rFonts w:ascii="Times New Roman" w:hAnsi="Times New Roman" w:eastAsia="宋体" w:cs="Times New Roman"/>
                <w:color w:val="auto"/>
                <w:kern w:val="0"/>
              </w:rPr>
            </w:pPr>
          </w:p>
        </w:tc>
        <w:tc>
          <w:tcPr>
            <w:tcW w:w="799" w:type="pct"/>
            <w:vMerge w:val="restart"/>
            <w:vAlign w:val="center"/>
          </w:tcPr>
          <w:p w14:paraId="179AC194">
            <w:pPr>
              <w:spacing w:line="240" w:lineRule="exact"/>
              <w:jc w:val="center"/>
              <w:rPr>
                <w:rFonts w:ascii="Times New Roman" w:hAnsi="Times New Roman" w:eastAsia="宋体" w:cs="Times New Roman"/>
                <w:color w:val="auto"/>
                <w:kern w:val="0"/>
              </w:rPr>
            </w:pPr>
            <w:r>
              <w:rPr>
                <w:rFonts w:ascii="Times New Roman" w:hAnsi="Times New Roman" w:eastAsia="宋体" w:cs="Times New Roman"/>
                <w:color w:val="auto"/>
              </w:rPr>
              <w:t>临现有</w:t>
            </w:r>
            <w:r>
              <w:rPr>
                <w:rFonts w:hint="eastAsia" w:ascii="Times New Roman" w:hAnsi="Times New Roman" w:eastAsia="宋体" w:cs="Times New Roman"/>
                <w:color w:val="auto"/>
              </w:rPr>
              <w:t>G219</w:t>
            </w:r>
            <w:r>
              <w:rPr>
                <w:rFonts w:ascii="Times New Roman" w:hAnsi="Times New Roman" w:eastAsia="宋体" w:cs="Times New Roman"/>
                <w:color w:val="auto"/>
              </w:rPr>
              <w:t>边界</w:t>
            </w:r>
            <w:r>
              <w:rPr>
                <w:rFonts w:hint="eastAsia" w:ascii="Times New Roman" w:hAnsi="Times New Roman" w:eastAsia="宋体" w:cs="Times New Roman"/>
                <w:color w:val="auto"/>
              </w:rPr>
              <w:t>35</w:t>
            </w:r>
            <w:r>
              <w:rPr>
                <w:rFonts w:ascii="Times New Roman" w:hAnsi="Times New Roman" w:eastAsia="宋体" w:cs="Times New Roman"/>
                <w:color w:val="auto"/>
              </w:rPr>
              <w:t>m外第一排房</w:t>
            </w:r>
            <w:r>
              <w:rPr>
                <w:rFonts w:hint="eastAsia" w:ascii="Times New Roman" w:hAnsi="Times New Roman" w:eastAsia="宋体" w:cs="Times New Roman"/>
                <w:color w:val="auto"/>
              </w:rPr>
              <w:t>1</w:t>
            </w:r>
            <w:r>
              <w:rPr>
                <w:rFonts w:ascii="Times New Roman" w:hAnsi="Times New Roman" w:eastAsia="宋体" w:cs="Times New Roman"/>
                <w:color w:val="auto"/>
              </w:rPr>
              <w:t>层</w:t>
            </w:r>
          </w:p>
        </w:tc>
        <w:tc>
          <w:tcPr>
            <w:tcW w:w="499" w:type="pct"/>
            <w:noWrap/>
            <w:vAlign w:val="center"/>
          </w:tcPr>
          <w:p w14:paraId="048EC22D">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2026.4.27</w:t>
            </w:r>
          </w:p>
        </w:tc>
        <w:tc>
          <w:tcPr>
            <w:tcW w:w="299" w:type="pct"/>
            <w:vAlign w:val="center"/>
          </w:tcPr>
          <w:p w14:paraId="03D912D7">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昼间</w:t>
            </w:r>
          </w:p>
        </w:tc>
        <w:tc>
          <w:tcPr>
            <w:tcW w:w="499" w:type="pct"/>
            <w:vAlign w:val="center"/>
          </w:tcPr>
          <w:p w14:paraId="2C42877A">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53</w:t>
            </w:r>
          </w:p>
        </w:tc>
        <w:tc>
          <w:tcPr>
            <w:tcW w:w="335" w:type="pct"/>
            <w:noWrap/>
            <w:vAlign w:val="center"/>
          </w:tcPr>
          <w:p w14:paraId="56D92D24">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48</w:t>
            </w:r>
          </w:p>
        </w:tc>
        <w:tc>
          <w:tcPr>
            <w:tcW w:w="335" w:type="pct"/>
            <w:noWrap/>
            <w:vAlign w:val="center"/>
          </w:tcPr>
          <w:p w14:paraId="29801D40">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27</w:t>
            </w:r>
          </w:p>
        </w:tc>
        <w:tc>
          <w:tcPr>
            <w:tcW w:w="335" w:type="pct"/>
            <w:noWrap/>
            <w:vAlign w:val="center"/>
          </w:tcPr>
          <w:p w14:paraId="0C1AC188">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111</w:t>
            </w:r>
          </w:p>
        </w:tc>
        <w:tc>
          <w:tcPr>
            <w:tcW w:w="342" w:type="pct"/>
            <w:vMerge w:val="restart"/>
            <w:noWrap/>
            <w:vAlign w:val="center"/>
          </w:tcPr>
          <w:p w14:paraId="762D8D0C">
            <w:pPr>
              <w:spacing w:line="240" w:lineRule="exact"/>
              <w:jc w:val="center"/>
              <w:rPr>
                <w:rFonts w:ascii="Times New Roman" w:hAnsi="Times New Roman" w:eastAsia="宋体" w:cs="Times New Roman"/>
                <w:color w:val="auto"/>
                <w:kern w:val="0"/>
              </w:rPr>
            </w:pPr>
            <w:r>
              <w:rPr>
                <w:rFonts w:ascii="Times New Roman" w:hAnsi="Times New Roman" w:eastAsia="宋体" w:cs="Times New Roman"/>
                <w:color w:val="auto"/>
                <w:kern w:val="0"/>
              </w:rPr>
              <w:t>2类</w:t>
            </w:r>
          </w:p>
        </w:tc>
        <w:tc>
          <w:tcPr>
            <w:tcW w:w="371" w:type="pct"/>
            <w:noWrap/>
            <w:vAlign w:val="center"/>
          </w:tcPr>
          <w:p w14:paraId="482B3E1B">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0FB72273">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vAlign w:val="center"/>
          </w:tcPr>
          <w:p w14:paraId="455987E4">
            <w:pPr>
              <w:spacing w:line="240" w:lineRule="exact"/>
              <w:jc w:val="center"/>
              <w:rPr>
                <w:rFonts w:ascii="Times New Roman" w:hAnsi="Times New Roman" w:eastAsia="宋体" w:cs="Times New Roman"/>
                <w:color w:val="auto"/>
                <w:kern w:val="0"/>
              </w:rPr>
            </w:pPr>
          </w:p>
        </w:tc>
        <w:tc>
          <w:tcPr>
            <w:tcW w:w="474" w:type="pct"/>
            <w:vMerge w:val="continue"/>
            <w:vAlign w:val="center"/>
          </w:tcPr>
          <w:p w14:paraId="194E334B">
            <w:pPr>
              <w:spacing w:line="240" w:lineRule="exact"/>
              <w:jc w:val="center"/>
              <w:rPr>
                <w:rFonts w:ascii="Times New Roman" w:hAnsi="Times New Roman" w:eastAsia="宋体" w:cs="Times New Roman"/>
                <w:color w:val="auto"/>
                <w:kern w:val="0"/>
              </w:rPr>
            </w:pPr>
          </w:p>
        </w:tc>
        <w:tc>
          <w:tcPr>
            <w:tcW w:w="457" w:type="pct"/>
            <w:vMerge w:val="continue"/>
            <w:vAlign w:val="center"/>
          </w:tcPr>
          <w:p w14:paraId="1BFE9512">
            <w:pPr>
              <w:spacing w:line="240" w:lineRule="exact"/>
              <w:jc w:val="center"/>
              <w:rPr>
                <w:rFonts w:ascii="Times New Roman" w:hAnsi="Times New Roman" w:eastAsia="宋体" w:cs="Times New Roman"/>
                <w:color w:val="auto"/>
                <w:kern w:val="0"/>
              </w:rPr>
            </w:pPr>
          </w:p>
        </w:tc>
        <w:tc>
          <w:tcPr>
            <w:tcW w:w="799" w:type="pct"/>
            <w:vMerge w:val="continue"/>
            <w:vAlign w:val="center"/>
          </w:tcPr>
          <w:p w14:paraId="76BADC8D">
            <w:pPr>
              <w:spacing w:line="240" w:lineRule="exact"/>
              <w:jc w:val="center"/>
              <w:rPr>
                <w:rFonts w:ascii="Times New Roman" w:hAnsi="Times New Roman" w:eastAsia="宋体" w:cs="Times New Roman"/>
                <w:color w:val="auto"/>
                <w:kern w:val="0"/>
              </w:rPr>
            </w:pPr>
          </w:p>
        </w:tc>
        <w:tc>
          <w:tcPr>
            <w:tcW w:w="499" w:type="pct"/>
            <w:noWrap/>
            <w:vAlign w:val="center"/>
          </w:tcPr>
          <w:p w14:paraId="4D660BF3">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2026.4.28</w:t>
            </w:r>
          </w:p>
        </w:tc>
        <w:tc>
          <w:tcPr>
            <w:tcW w:w="299" w:type="pct"/>
            <w:vAlign w:val="center"/>
          </w:tcPr>
          <w:p w14:paraId="0EC62772">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夜间</w:t>
            </w:r>
          </w:p>
        </w:tc>
        <w:tc>
          <w:tcPr>
            <w:tcW w:w="499" w:type="pct"/>
            <w:vAlign w:val="center"/>
          </w:tcPr>
          <w:p w14:paraId="611FFA85">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43</w:t>
            </w:r>
          </w:p>
        </w:tc>
        <w:tc>
          <w:tcPr>
            <w:tcW w:w="335" w:type="pct"/>
            <w:noWrap/>
            <w:vAlign w:val="center"/>
          </w:tcPr>
          <w:p w14:paraId="74905237">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26</w:t>
            </w:r>
          </w:p>
        </w:tc>
        <w:tc>
          <w:tcPr>
            <w:tcW w:w="335" w:type="pct"/>
            <w:noWrap/>
            <w:vAlign w:val="center"/>
          </w:tcPr>
          <w:p w14:paraId="0361DB7F">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18</w:t>
            </w:r>
          </w:p>
        </w:tc>
        <w:tc>
          <w:tcPr>
            <w:tcW w:w="335" w:type="pct"/>
            <w:noWrap/>
            <w:vAlign w:val="center"/>
          </w:tcPr>
          <w:p w14:paraId="3447409A">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30</w:t>
            </w:r>
          </w:p>
        </w:tc>
        <w:tc>
          <w:tcPr>
            <w:tcW w:w="342" w:type="pct"/>
            <w:vMerge w:val="continue"/>
            <w:noWrap/>
            <w:vAlign w:val="center"/>
          </w:tcPr>
          <w:p w14:paraId="0EC566AC">
            <w:pPr>
              <w:spacing w:line="240" w:lineRule="exact"/>
              <w:jc w:val="center"/>
              <w:rPr>
                <w:rFonts w:ascii="Times New Roman" w:hAnsi="Times New Roman" w:eastAsia="宋体" w:cs="Times New Roman"/>
                <w:color w:val="auto"/>
                <w:kern w:val="0"/>
              </w:rPr>
            </w:pPr>
          </w:p>
        </w:tc>
        <w:tc>
          <w:tcPr>
            <w:tcW w:w="371" w:type="pct"/>
            <w:noWrap/>
            <w:vAlign w:val="center"/>
          </w:tcPr>
          <w:p w14:paraId="718E8988">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5021EE0A">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vAlign w:val="center"/>
          </w:tcPr>
          <w:p w14:paraId="555F6595">
            <w:pPr>
              <w:spacing w:line="240" w:lineRule="exact"/>
              <w:jc w:val="center"/>
              <w:rPr>
                <w:rFonts w:ascii="Times New Roman" w:hAnsi="Times New Roman" w:eastAsia="宋体" w:cs="Times New Roman"/>
                <w:color w:val="auto"/>
                <w:kern w:val="0"/>
              </w:rPr>
            </w:pPr>
          </w:p>
        </w:tc>
        <w:tc>
          <w:tcPr>
            <w:tcW w:w="474" w:type="pct"/>
            <w:vMerge w:val="continue"/>
            <w:vAlign w:val="center"/>
          </w:tcPr>
          <w:p w14:paraId="334EF682">
            <w:pPr>
              <w:spacing w:line="240" w:lineRule="exact"/>
              <w:jc w:val="center"/>
              <w:rPr>
                <w:rFonts w:ascii="Times New Roman" w:hAnsi="Times New Roman" w:eastAsia="宋体" w:cs="Times New Roman"/>
                <w:color w:val="auto"/>
                <w:kern w:val="0"/>
              </w:rPr>
            </w:pPr>
          </w:p>
        </w:tc>
        <w:tc>
          <w:tcPr>
            <w:tcW w:w="457" w:type="pct"/>
            <w:vMerge w:val="continue"/>
            <w:vAlign w:val="center"/>
          </w:tcPr>
          <w:p w14:paraId="2AADEF86">
            <w:pPr>
              <w:spacing w:line="240" w:lineRule="exact"/>
              <w:jc w:val="center"/>
              <w:rPr>
                <w:rFonts w:ascii="Times New Roman" w:hAnsi="Times New Roman" w:eastAsia="宋体" w:cs="Times New Roman"/>
                <w:color w:val="auto"/>
                <w:kern w:val="0"/>
              </w:rPr>
            </w:pPr>
          </w:p>
        </w:tc>
        <w:tc>
          <w:tcPr>
            <w:tcW w:w="799" w:type="pct"/>
            <w:vMerge w:val="continue"/>
            <w:vAlign w:val="center"/>
          </w:tcPr>
          <w:p w14:paraId="2B9C02D1">
            <w:pPr>
              <w:spacing w:line="240" w:lineRule="exact"/>
              <w:jc w:val="center"/>
              <w:rPr>
                <w:rFonts w:ascii="Times New Roman" w:hAnsi="Times New Roman" w:eastAsia="宋体" w:cs="Times New Roman"/>
                <w:color w:val="auto"/>
                <w:kern w:val="0"/>
              </w:rPr>
            </w:pPr>
          </w:p>
        </w:tc>
        <w:tc>
          <w:tcPr>
            <w:tcW w:w="499" w:type="pct"/>
            <w:noWrap/>
            <w:vAlign w:val="center"/>
          </w:tcPr>
          <w:p w14:paraId="62F4A8C9">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2026.4.28</w:t>
            </w:r>
          </w:p>
        </w:tc>
        <w:tc>
          <w:tcPr>
            <w:tcW w:w="299" w:type="pct"/>
            <w:vAlign w:val="center"/>
          </w:tcPr>
          <w:p w14:paraId="1C3278B8">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昼间</w:t>
            </w:r>
          </w:p>
        </w:tc>
        <w:tc>
          <w:tcPr>
            <w:tcW w:w="499" w:type="pct"/>
            <w:vAlign w:val="center"/>
          </w:tcPr>
          <w:p w14:paraId="5CEB9340">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54</w:t>
            </w:r>
          </w:p>
        </w:tc>
        <w:tc>
          <w:tcPr>
            <w:tcW w:w="335" w:type="pct"/>
            <w:noWrap/>
            <w:vAlign w:val="center"/>
          </w:tcPr>
          <w:p w14:paraId="08C3FB82">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46</w:t>
            </w:r>
          </w:p>
        </w:tc>
        <w:tc>
          <w:tcPr>
            <w:tcW w:w="335" w:type="pct"/>
            <w:noWrap/>
            <w:vAlign w:val="center"/>
          </w:tcPr>
          <w:p w14:paraId="63D058F9">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27</w:t>
            </w:r>
          </w:p>
        </w:tc>
        <w:tc>
          <w:tcPr>
            <w:tcW w:w="335" w:type="pct"/>
            <w:noWrap/>
            <w:vAlign w:val="center"/>
          </w:tcPr>
          <w:p w14:paraId="52B1D0AB">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108</w:t>
            </w:r>
          </w:p>
        </w:tc>
        <w:tc>
          <w:tcPr>
            <w:tcW w:w="342" w:type="pct"/>
            <w:vMerge w:val="continue"/>
            <w:noWrap/>
            <w:vAlign w:val="center"/>
          </w:tcPr>
          <w:p w14:paraId="4AE31E09">
            <w:pPr>
              <w:spacing w:line="240" w:lineRule="exact"/>
              <w:jc w:val="center"/>
              <w:rPr>
                <w:rFonts w:ascii="Times New Roman" w:hAnsi="Times New Roman" w:eastAsia="宋体" w:cs="Times New Roman"/>
                <w:color w:val="auto"/>
                <w:kern w:val="0"/>
              </w:rPr>
            </w:pPr>
          </w:p>
        </w:tc>
        <w:tc>
          <w:tcPr>
            <w:tcW w:w="371" w:type="pct"/>
            <w:noWrap/>
            <w:vAlign w:val="center"/>
          </w:tcPr>
          <w:p w14:paraId="0498D3E4">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114F14BF">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vAlign w:val="center"/>
          </w:tcPr>
          <w:p w14:paraId="17B0D71A">
            <w:pPr>
              <w:spacing w:line="240" w:lineRule="exact"/>
              <w:jc w:val="center"/>
              <w:rPr>
                <w:rFonts w:ascii="Times New Roman" w:hAnsi="Times New Roman" w:eastAsia="宋体" w:cs="Times New Roman"/>
                <w:color w:val="auto"/>
                <w:kern w:val="0"/>
              </w:rPr>
            </w:pPr>
          </w:p>
        </w:tc>
        <w:tc>
          <w:tcPr>
            <w:tcW w:w="474" w:type="pct"/>
            <w:vMerge w:val="continue"/>
            <w:vAlign w:val="center"/>
          </w:tcPr>
          <w:p w14:paraId="612635AF">
            <w:pPr>
              <w:spacing w:line="240" w:lineRule="exact"/>
              <w:jc w:val="center"/>
              <w:rPr>
                <w:rFonts w:ascii="Times New Roman" w:hAnsi="Times New Roman" w:eastAsia="宋体" w:cs="Times New Roman"/>
                <w:color w:val="auto"/>
                <w:kern w:val="0"/>
              </w:rPr>
            </w:pPr>
          </w:p>
        </w:tc>
        <w:tc>
          <w:tcPr>
            <w:tcW w:w="457" w:type="pct"/>
            <w:vMerge w:val="continue"/>
            <w:vAlign w:val="center"/>
          </w:tcPr>
          <w:p w14:paraId="5D8D4F00">
            <w:pPr>
              <w:spacing w:line="240" w:lineRule="exact"/>
              <w:jc w:val="center"/>
              <w:rPr>
                <w:rFonts w:ascii="Times New Roman" w:hAnsi="Times New Roman" w:eastAsia="宋体" w:cs="Times New Roman"/>
                <w:color w:val="auto"/>
                <w:kern w:val="0"/>
              </w:rPr>
            </w:pPr>
          </w:p>
        </w:tc>
        <w:tc>
          <w:tcPr>
            <w:tcW w:w="799" w:type="pct"/>
            <w:vMerge w:val="continue"/>
            <w:vAlign w:val="center"/>
          </w:tcPr>
          <w:p w14:paraId="32593B9A">
            <w:pPr>
              <w:spacing w:line="240" w:lineRule="exact"/>
              <w:jc w:val="center"/>
              <w:rPr>
                <w:rFonts w:ascii="Times New Roman" w:hAnsi="Times New Roman" w:eastAsia="宋体" w:cs="Times New Roman"/>
                <w:color w:val="auto"/>
                <w:kern w:val="0"/>
              </w:rPr>
            </w:pPr>
          </w:p>
        </w:tc>
        <w:tc>
          <w:tcPr>
            <w:tcW w:w="499" w:type="pct"/>
            <w:noWrap/>
            <w:vAlign w:val="center"/>
          </w:tcPr>
          <w:p w14:paraId="7B3FA380">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2026.4.29</w:t>
            </w:r>
          </w:p>
        </w:tc>
        <w:tc>
          <w:tcPr>
            <w:tcW w:w="299" w:type="pct"/>
            <w:vAlign w:val="center"/>
          </w:tcPr>
          <w:p w14:paraId="602F14ED">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夜间</w:t>
            </w:r>
          </w:p>
        </w:tc>
        <w:tc>
          <w:tcPr>
            <w:tcW w:w="499" w:type="pct"/>
            <w:vAlign w:val="center"/>
          </w:tcPr>
          <w:p w14:paraId="40640437">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44</w:t>
            </w:r>
          </w:p>
        </w:tc>
        <w:tc>
          <w:tcPr>
            <w:tcW w:w="335" w:type="pct"/>
            <w:noWrap/>
            <w:vAlign w:val="center"/>
          </w:tcPr>
          <w:p w14:paraId="1C2ECCF5">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26</w:t>
            </w:r>
          </w:p>
        </w:tc>
        <w:tc>
          <w:tcPr>
            <w:tcW w:w="335" w:type="pct"/>
            <w:noWrap/>
            <w:vAlign w:val="center"/>
          </w:tcPr>
          <w:p w14:paraId="19DD92CC">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18</w:t>
            </w:r>
          </w:p>
        </w:tc>
        <w:tc>
          <w:tcPr>
            <w:tcW w:w="335" w:type="pct"/>
            <w:noWrap/>
            <w:vAlign w:val="center"/>
          </w:tcPr>
          <w:p w14:paraId="738D9DCE">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30</w:t>
            </w:r>
          </w:p>
        </w:tc>
        <w:tc>
          <w:tcPr>
            <w:tcW w:w="342" w:type="pct"/>
            <w:vMerge w:val="continue"/>
            <w:noWrap/>
            <w:vAlign w:val="center"/>
          </w:tcPr>
          <w:p w14:paraId="0E5DD433">
            <w:pPr>
              <w:spacing w:line="240" w:lineRule="exact"/>
              <w:jc w:val="center"/>
              <w:rPr>
                <w:rFonts w:ascii="Times New Roman" w:hAnsi="Times New Roman" w:eastAsia="宋体" w:cs="Times New Roman"/>
                <w:color w:val="auto"/>
                <w:kern w:val="0"/>
              </w:rPr>
            </w:pPr>
          </w:p>
        </w:tc>
        <w:tc>
          <w:tcPr>
            <w:tcW w:w="371" w:type="pct"/>
            <w:noWrap/>
            <w:vAlign w:val="center"/>
          </w:tcPr>
          <w:p w14:paraId="07F8DE9A">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5D66E35E">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noWrap/>
            <w:vAlign w:val="center"/>
          </w:tcPr>
          <w:p w14:paraId="2BAD826A">
            <w:pPr>
              <w:spacing w:line="240" w:lineRule="exact"/>
              <w:jc w:val="center"/>
              <w:rPr>
                <w:rFonts w:ascii="Times New Roman" w:hAnsi="Times New Roman" w:eastAsia="宋体" w:cs="Times New Roman"/>
                <w:color w:val="auto"/>
                <w:kern w:val="0"/>
              </w:rPr>
            </w:pPr>
          </w:p>
        </w:tc>
        <w:tc>
          <w:tcPr>
            <w:tcW w:w="474" w:type="pct"/>
            <w:vMerge w:val="continue"/>
            <w:noWrap/>
            <w:vAlign w:val="center"/>
          </w:tcPr>
          <w:p w14:paraId="447B67D2">
            <w:pPr>
              <w:spacing w:line="240" w:lineRule="exact"/>
              <w:jc w:val="center"/>
              <w:rPr>
                <w:rFonts w:ascii="Times New Roman" w:hAnsi="Times New Roman" w:eastAsia="宋体" w:cs="Times New Roman"/>
                <w:color w:val="auto"/>
                <w:kern w:val="0"/>
              </w:rPr>
            </w:pPr>
          </w:p>
        </w:tc>
        <w:tc>
          <w:tcPr>
            <w:tcW w:w="457" w:type="pct"/>
            <w:vMerge w:val="restart"/>
            <w:vAlign w:val="center"/>
          </w:tcPr>
          <w:p w14:paraId="520AD703">
            <w:pPr>
              <w:spacing w:line="240" w:lineRule="exact"/>
              <w:jc w:val="center"/>
              <w:rPr>
                <w:rFonts w:ascii="Times New Roman" w:hAnsi="Times New Roman" w:eastAsia="宋体" w:cs="Times New Roman"/>
                <w:color w:val="auto"/>
                <w:kern w:val="0"/>
              </w:rPr>
            </w:pPr>
            <w:r>
              <w:rPr>
                <w:rFonts w:ascii="Times New Roman" w:hAnsi="Times New Roman" w:eastAsia="宋体" w:cs="Times New Roman"/>
                <w:color w:val="auto"/>
                <w:kern w:val="0"/>
              </w:rPr>
              <w:t>背景噪声</w:t>
            </w:r>
          </w:p>
        </w:tc>
        <w:tc>
          <w:tcPr>
            <w:tcW w:w="799" w:type="pct"/>
            <w:vMerge w:val="restart"/>
            <w:vAlign w:val="center"/>
          </w:tcPr>
          <w:p w14:paraId="50D5CDF7">
            <w:pPr>
              <w:spacing w:line="240" w:lineRule="exact"/>
              <w:jc w:val="center"/>
              <w:rPr>
                <w:rFonts w:ascii="Times New Roman" w:hAnsi="Times New Roman" w:eastAsia="宋体" w:cs="Times New Roman"/>
                <w:color w:val="auto"/>
                <w:kern w:val="0"/>
              </w:rPr>
            </w:pPr>
            <w:r>
              <w:rPr>
                <w:rFonts w:hint="eastAsia" w:ascii="Times New Roman" w:hAnsi="Times New Roman" w:eastAsia="宋体" w:cs="Times New Roman"/>
                <w:color w:val="auto"/>
                <w:szCs w:val="21"/>
              </w:rPr>
              <w:t>远离现有G219</w:t>
            </w:r>
            <w:r>
              <w:rPr>
                <w:rFonts w:ascii="Times New Roman" w:hAnsi="Times New Roman" w:eastAsia="宋体" w:cs="Times New Roman"/>
                <w:color w:val="auto"/>
                <w:kern w:val="0"/>
                <w:szCs w:val="21"/>
              </w:rPr>
              <w:t>公路200m外</w:t>
            </w:r>
          </w:p>
        </w:tc>
        <w:tc>
          <w:tcPr>
            <w:tcW w:w="499" w:type="pct"/>
            <w:noWrap/>
            <w:vAlign w:val="center"/>
          </w:tcPr>
          <w:p w14:paraId="5C10EB75">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2026.4.27</w:t>
            </w:r>
          </w:p>
        </w:tc>
        <w:tc>
          <w:tcPr>
            <w:tcW w:w="299" w:type="pct"/>
            <w:vAlign w:val="center"/>
          </w:tcPr>
          <w:p w14:paraId="5B3CEA56">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昼间</w:t>
            </w:r>
          </w:p>
        </w:tc>
        <w:tc>
          <w:tcPr>
            <w:tcW w:w="499" w:type="pct"/>
            <w:vAlign w:val="center"/>
          </w:tcPr>
          <w:p w14:paraId="7540C8E6">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45</w:t>
            </w:r>
          </w:p>
        </w:tc>
        <w:tc>
          <w:tcPr>
            <w:tcW w:w="335" w:type="pct"/>
            <w:noWrap/>
            <w:vAlign w:val="center"/>
          </w:tcPr>
          <w:p w14:paraId="7F8D9BD8">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35" w:type="pct"/>
            <w:noWrap/>
            <w:vAlign w:val="center"/>
          </w:tcPr>
          <w:p w14:paraId="18427B15">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35" w:type="pct"/>
            <w:noWrap/>
            <w:vAlign w:val="center"/>
          </w:tcPr>
          <w:p w14:paraId="4F4EB96E">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42" w:type="pct"/>
            <w:vMerge w:val="continue"/>
            <w:noWrap/>
            <w:vAlign w:val="center"/>
          </w:tcPr>
          <w:p w14:paraId="73B12861">
            <w:pPr>
              <w:spacing w:line="240" w:lineRule="exact"/>
              <w:jc w:val="center"/>
              <w:rPr>
                <w:rFonts w:ascii="Times New Roman" w:hAnsi="Times New Roman" w:eastAsia="宋体" w:cs="Times New Roman"/>
                <w:color w:val="auto"/>
                <w:kern w:val="0"/>
              </w:rPr>
            </w:pPr>
          </w:p>
        </w:tc>
        <w:tc>
          <w:tcPr>
            <w:tcW w:w="371" w:type="pct"/>
            <w:noWrap/>
            <w:vAlign w:val="center"/>
          </w:tcPr>
          <w:p w14:paraId="1B3E6510">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3FDE08DA">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vAlign w:val="center"/>
          </w:tcPr>
          <w:p w14:paraId="781B3E1F">
            <w:pPr>
              <w:spacing w:line="240" w:lineRule="exact"/>
              <w:jc w:val="center"/>
              <w:rPr>
                <w:rFonts w:ascii="Times New Roman" w:hAnsi="Times New Roman" w:eastAsia="宋体" w:cs="Times New Roman"/>
                <w:color w:val="auto"/>
                <w:kern w:val="0"/>
              </w:rPr>
            </w:pPr>
          </w:p>
        </w:tc>
        <w:tc>
          <w:tcPr>
            <w:tcW w:w="474" w:type="pct"/>
            <w:vMerge w:val="continue"/>
            <w:vAlign w:val="center"/>
          </w:tcPr>
          <w:p w14:paraId="35309D3C">
            <w:pPr>
              <w:spacing w:line="240" w:lineRule="exact"/>
              <w:jc w:val="center"/>
              <w:rPr>
                <w:rFonts w:ascii="Times New Roman" w:hAnsi="Times New Roman" w:eastAsia="宋体" w:cs="Times New Roman"/>
                <w:color w:val="auto"/>
                <w:kern w:val="0"/>
              </w:rPr>
            </w:pPr>
          </w:p>
        </w:tc>
        <w:tc>
          <w:tcPr>
            <w:tcW w:w="457" w:type="pct"/>
            <w:vMerge w:val="continue"/>
            <w:vAlign w:val="center"/>
          </w:tcPr>
          <w:p w14:paraId="65FD1E10">
            <w:pPr>
              <w:spacing w:line="240" w:lineRule="exact"/>
              <w:jc w:val="center"/>
              <w:rPr>
                <w:rFonts w:ascii="Times New Roman" w:hAnsi="Times New Roman" w:eastAsia="宋体" w:cs="Times New Roman"/>
                <w:color w:val="auto"/>
                <w:kern w:val="0"/>
              </w:rPr>
            </w:pPr>
          </w:p>
        </w:tc>
        <w:tc>
          <w:tcPr>
            <w:tcW w:w="799" w:type="pct"/>
            <w:vMerge w:val="continue"/>
            <w:vAlign w:val="center"/>
          </w:tcPr>
          <w:p w14:paraId="35984FBC">
            <w:pPr>
              <w:spacing w:line="240" w:lineRule="exact"/>
              <w:jc w:val="center"/>
              <w:rPr>
                <w:rFonts w:ascii="Times New Roman" w:hAnsi="Times New Roman" w:eastAsia="宋体" w:cs="Times New Roman"/>
                <w:color w:val="auto"/>
                <w:kern w:val="0"/>
              </w:rPr>
            </w:pPr>
          </w:p>
        </w:tc>
        <w:tc>
          <w:tcPr>
            <w:tcW w:w="499" w:type="pct"/>
            <w:noWrap/>
            <w:vAlign w:val="center"/>
          </w:tcPr>
          <w:p w14:paraId="58D534B5">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2026.4.28</w:t>
            </w:r>
          </w:p>
        </w:tc>
        <w:tc>
          <w:tcPr>
            <w:tcW w:w="299" w:type="pct"/>
            <w:vAlign w:val="center"/>
          </w:tcPr>
          <w:p w14:paraId="09699E5B">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夜间</w:t>
            </w:r>
          </w:p>
        </w:tc>
        <w:tc>
          <w:tcPr>
            <w:tcW w:w="499" w:type="pct"/>
            <w:vAlign w:val="center"/>
          </w:tcPr>
          <w:p w14:paraId="67976A07">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37</w:t>
            </w:r>
          </w:p>
        </w:tc>
        <w:tc>
          <w:tcPr>
            <w:tcW w:w="335" w:type="pct"/>
            <w:noWrap/>
            <w:vAlign w:val="center"/>
          </w:tcPr>
          <w:p w14:paraId="245D3484">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35" w:type="pct"/>
            <w:noWrap/>
            <w:vAlign w:val="center"/>
          </w:tcPr>
          <w:p w14:paraId="596E35D4">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35" w:type="pct"/>
            <w:noWrap/>
            <w:vAlign w:val="center"/>
          </w:tcPr>
          <w:p w14:paraId="1588A4A3">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42" w:type="pct"/>
            <w:vMerge w:val="continue"/>
            <w:noWrap/>
            <w:vAlign w:val="center"/>
          </w:tcPr>
          <w:p w14:paraId="06A46EFA">
            <w:pPr>
              <w:spacing w:line="240" w:lineRule="exact"/>
              <w:jc w:val="center"/>
              <w:rPr>
                <w:rFonts w:ascii="Times New Roman" w:hAnsi="Times New Roman" w:eastAsia="宋体" w:cs="Times New Roman"/>
                <w:color w:val="auto"/>
                <w:kern w:val="0"/>
              </w:rPr>
            </w:pPr>
          </w:p>
        </w:tc>
        <w:tc>
          <w:tcPr>
            <w:tcW w:w="371" w:type="pct"/>
            <w:noWrap/>
            <w:vAlign w:val="center"/>
          </w:tcPr>
          <w:p w14:paraId="3EADB569">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0C61455B">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vAlign w:val="center"/>
          </w:tcPr>
          <w:p w14:paraId="2387A83D">
            <w:pPr>
              <w:spacing w:line="240" w:lineRule="exact"/>
              <w:jc w:val="center"/>
              <w:rPr>
                <w:rFonts w:ascii="Times New Roman" w:hAnsi="Times New Roman" w:eastAsia="宋体" w:cs="Times New Roman"/>
                <w:color w:val="auto"/>
                <w:kern w:val="0"/>
              </w:rPr>
            </w:pPr>
          </w:p>
        </w:tc>
        <w:tc>
          <w:tcPr>
            <w:tcW w:w="474" w:type="pct"/>
            <w:vMerge w:val="continue"/>
            <w:vAlign w:val="center"/>
          </w:tcPr>
          <w:p w14:paraId="0BD32312">
            <w:pPr>
              <w:spacing w:line="240" w:lineRule="exact"/>
              <w:jc w:val="center"/>
              <w:rPr>
                <w:rFonts w:ascii="Times New Roman" w:hAnsi="Times New Roman" w:eastAsia="宋体" w:cs="Times New Roman"/>
                <w:color w:val="auto"/>
                <w:kern w:val="0"/>
              </w:rPr>
            </w:pPr>
          </w:p>
        </w:tc>
        <w:tc>
          <w:tcPr>
            <w:tcW w:w="457" w:type="pct"/>
            <w:vMerge w:val="continue"/>
            <w:vAlign w:val="center"/>
          </w:tcPr>
          <w:p w14:paraId="378A94FE">
            <w:pPr>
              <w:spacing w:line="240" w:lineRule="exact"/>
              <w:jc w:val="center"/>
              <w:rPr>
                <w:rFonts w:ascii="Times New Roman" w:hAnsi="Times New Roman" w:eastAsia="宋体" w:cs="Times New Roman"/>
                <w:color w:val="auto"/>
                <w:kern w:val="0"/>
              </w:rPr>
            </w:pPr>
          </w:p>
        </w:tc>
        <w:tc>
          <w:tcPr>
            <w:tcW w:w="799" w:type="pct"/>
            <w:vMerge w:val="continue"/>
            <w:vAlign w:val="center"/>
          </w:tcPr>
          <w:p w14:paraId="4DDFEA38">
            <w:pPr>
              <w:spacing w:line="240" w:lineRule="exact"/>
              <w:jc w:val="center"/>
              <w:rPr>
                <w:rFonts w:ascii="Times New Roman" w:hAnsi="Times New Roman" w:eastAsia="宋体" w:cs="Times New Roman"/>
                <w:color w:val="auto"/>
                <w:kern w:val="0"/>
              </w:rPr>
            </w:pPr>
          </w:p>
        </w:tc>
        <w:tc>
          <w:tcPr>
            <w:tcW w:w="499" w:type="pct"/>
            <w:noWrap/>
            <w:vAlign w:val="center"/>
          </w:tcPr>
          <w:p w14:paraId="1E1DEE91">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2026.4.28</w:t>
            </w:r>
          </w:p>
        </w:tc>
        <w:tc>
          <w:tcPr>
            <w:tcW w:w="299" w:type="pct"/>
            <w:vAlign w:val="center"/>
          </w:tcPr>
          <w:p w14:paraId="4925EDE0">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昼间</w:t>
            </w:r>
          </w:p>
        </w:tc>
        <w:tc>
          <w:tcPr>
            <w:tcW w:w="499" w:type="pct"/>
            <w:vAlign w:val="center"/>
          </w:tcPr>
          <w:p w14:paraId="70B2DC98">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46</w:t>
            </w:r>
          </w:p>
        </w:tc>
        <w:tc>
          <w:tcPr>
            <w:tcW w:w="335" w:type="pct"/>
            <w:noWrap/>
            <w:vAlign w:val="center"/>
          </w:tcPr>
          <w:p w14:paraId="0B771B39">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35" w:type="pct"/>
            <w:noWrap/>
            <w:vAlign w:val="center"/>
          </w:tcPr>
          <w:p w14:paraId="7A3528E3">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35" w:type="pct"/>
            <w:noWrap/>
            <w:vAlign w:val="center"/>
          </w:tcPr>
          <w:p w14:paraId="1ACF91E2">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42" w:type="pct"/>
            <w:vMerge w:val="continue"/>
            <w:noWrap/>
            <w:vAlign w:val="center"/>
          </w:tcPr>
          <w:p w14:paraId="7C69695E">
            <w:pPr>
              <w:spacing w:line="240" w:lineRule="exact"/>
              <w:jc w:val="center"/>
              <w:rPr>
                <w:rFonts w:ascii="Times New Roman" w:hAnsi="Times New Roman" w:eastAsia="宋体" w:cs="Times New Roman"/>
                <w:color w:val="auto"/>
                <w:kern w:val="0"/>
              </w:rPr>
            </w:pPr>
          </w:p>
        </w:tc>
        <w:tc>
          <w:tcPr>
            <w:tcW w:w="371" w:type="pct"/>
            <w:noWrap/>
            <w:vAlign w:val="center"/>
          </w:tcPr>
          <w:p w14:paraId="66F91DE2">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74E1364A">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vAlign w:val="center"/>
          </w:tcPr>
          <w:p w14:paraId="74E482F2">
            <w:pPr>
              <w:spacing w:line="240" w:lineRule="exact"/>
              <w:jc w:val="center"/>
              <w:rPr>
                <w:rFonts w:ascii="Times New Roman" w:hAnsi="Times New Roman" w:eastAsia="宋体" w:cs="Times New Roman"/>
                <w:color w:val="auto"/>
                <w:kern w:val="0"/>
              </w:rPr>
            </w:pPr>
          </w:p>
        </w:tc>
        <w:tc>
          <w:tcPr>
            <w:tcW w:w="474" w:type="pct"/>
            <w:vMerge w:val="continue"/>
            <w:vAlign w:val="center"/>
          </w:tcPr>
          <w:p w14:paraId="4A21B280">
            <w:pPr>
              <w:spacing w:line="240" w:lineRule="exact"/>
              <w:jc w:val="center"/>
              <w:rPr>
                <w:rFonts w:ascii="Times New Roman" w:hAnsi="Times New Roman" w:eastAsia="宋体" w:cs="Times New Roman"/>
                <w:color w:val="auto"/>
                <w:kern w:val="0"/>
              </w:rPr>
            </w:pPr>
          </w:p>
        </w:tc>
        <w:tc>
          <w:tcPr>
            <w:tcW w:w="457" w:type="pct"/>
            <w:vMerge w:val="continue"/>
            <w:vAlign w:val="center"/>
          </w:tcPr>
          <w:p w14:paraId="1CA7712E">
            <w:pPr>
              <w:spacing w:line="240" w:lineRule="exact"/>
              <w:jc w:val="center"/>
              <w:rPr>
                <w:rFonts w:ascii="Times New Roman" w:hAnsi="Times New Roman" w:eastAsia="宋体" w:cs="Times New Roman"/>
                <w:color w:val="auto"/>
                <w:kern w:val="0"/>
              </w:rPr>
            </w:pPr>
          </w:p>
        </w:tc>
        <w:tc>
          <w:tcPr>
            <w:tcW w:w="799" w:type="pct"/>
            <w:vMerge w:val="continue"/>
            <w:vAlign w:val="center"/>
          </w:tcPr>
          <w:p w14:paraId="6CAC0295">
            <w:pPr>
              <w:spacing w:line="240" w:lineRule="exact"/>
              <w:jc w:val="center"/>
              <w:rPr>
                <w:rFonts w:ascii="Times New Roman" w:hAnsi="Times New Roman" w:eastAsia="宋体" w:cs="Times New Roman"/>
                <w:color w:val="auto"/>
                <w:kern w:val="0"/>
              </w:rPr>
            </w:pPr>
          </w:p>
        </w:tc>
        <w:tc>
          <w:tcPr>
            <w:tcW w:w="499" w:type="pct"/>
            <w:noWrap/>
            <w:vAlign w:val="center"/>
          </w:tcPr>
          <w:p w14:paraId="7DA4CACA">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2026.4.29</w:t>
            </w:r>
          </w:p>
        </w:tc>
        <w:tc>
          <w:tcPr>
            <w:tcW w:w="299" w:type="pct"/>
            <w:vAlign w:val="center"/>
          </w:tcPr>
          <w:p w14:paraId="31953F34">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夜间</w:t>
            </w:r>
          </w:p>
        </w:tc>
        <w:tc>
          <w:tcPr>
            <w:tcW w:w="499" w:type="pct"/>
            <w:vAlign w:val="center"/>
          </w:tcPr>
          <w:p w14:paraId="33357E91">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38</w:t>
            </w:r>
          </w:p>
        </w:tc>
        <w:tc>
          <w:tcPr>
            <w:tcW w:w="335" w:type="pct"/>
            <w:noWrap/>
            <w:vAlign w:val="center"/>
          </w:tcPr>
          <w:p w14:paraId="62578ABE">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35" w:type="pct"/>
            <w:noWrap/>
            <w:vAlign w:val="center"/>
          </w:tcPr>
          <w:p w14:paraId="16188737">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35" w:type="pct"/>
            <w:noWrap/>
            <w:vAlign w:val="center"/>
          </w:tcPr>
          <w:p w14:paraId="17752EAF">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42" w:type="pct"/>
            <w:vMerge w:val="continue"/>
            <w:noWrap/>
            <w:vAlign w:val="center"/>
          </w:tcPr>
          <w:p w14:paraId="0CE441EF">
            <w:pPr>
              <w:spacing w:line="240" w:lineRule="exact"/>
              <w:jc w:val="center"/>
              <w:rPr>
                <w:rFonts w:ascii="Times New Roman" w:hAnsi="Times New Roman" w:eastAsia="宋体" w:cs="Times New Roman"/>
                <w:color w:val="auto"/>
                <w:kern w:val="0"/>
              </w:rPr>
            </w:pPr>
          </w:p>
        </w:tc>
        <w:tc>
          <w:tcPr>
            <w:tcW w:w="371" w:type="pct"/>
            <w:noWrap/>
            <w:vAlign w:val="center"/>
          </w:tcPr>
          <w:p w14:paraId="5F5590C1">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bl>
    <w:p w14:paraId="2B02C3B0">
      <w:pPr>
        <w:rPr>
          <w:color w:val="auto"/>
          <w:highlight w:val="yellow"/>
        </w:rPr>
        <w:sectPr>
          <w:footerReference r:id="rId51" w:type="default"/>
          <w:footerReference r:id="rId52" w:type="even"/>
          <w:pgSz w:w="16838" w:h="11906" w:orient="landscape"/>
          <w:pgMar w:top="1560" w:right="1440" w:bottom="1560" w:left="1559" w:header="851" w:footer="992" w:gutter="0"/>
          <w:pgBorders>
            <w:top w:val="none" w:sz="0" w:space="0"/>
            <w:left w:val="none" w:sz="0" w:space="0"/>
            <w:bottom w:val="none" w:sz="0" w:space="0"/>
            <w:right w:val="none" w:sz="0" w:space="0"/>
          </w:pgBorders>
          <w:cols w:space="720" w:num="1"/>
          <w:docGrid w:linePitch="312" w:charSpace="0"/>
        </w:sectPr>
      </w:pPr>
    </w:p>
    <w:p w14:paraId="41295768">
      <w:pPr>
        <w:spacing w:beforeLines="50"/>
        <w:jc w:val="center"/>
        <w:rPr>
          <w:rFonts w:ascii="Times New Roman" w:hAnsi="Times New Roman" w:eastAsia="宋体" w:cs="Times New Roman"/>
          <w:b/>
          <w:bCs/>
          <w:color w:val="auto"/>
          <w:szCs w:val="21"/>
        </w:rPr>
      </w:pPr>
      <w:r>
        <w:rPr>
          <w:rFonts w:hint="eastAsia" w:ascii="Times New Roman" w:hAnsi="Times New Roman" w:eastAsia="宋体" w:cs="Times New Roman"/>
          <w:b/>
          <w:bCs/>
          <w:color w:val="auto"/>
          <w:spacing w:val="4"/>
          <w:szCs w:val="21"/>
        </w:rPr>
        <w:t>续 表</w:t>
      </w:r>
      <w:r>
        <w:rPr>
          <w:rFonts w:ascii="Times New Roman" w:hAnsi="Times New Roman" w:eastAsia="宋体" w:cs="Times New Roman"/>
          <w:b/>
          <w:bCs/>
          <w:color w:val="auto"/>
          <w:spacing w:val="4"/>
          <w:szCs w:val="21"/>
        </w:rPr>
        <w:t xml:space="preserve">3.2-3 </w:t>
      </w:r>
      <w:r>
        <w:rPr>
          <w:rFonts w:hint="eastAsia" w:ascii="Times New Roman" w:hAnsi="Times New Roman" w:eastAsia="宋体" w:cs="Times New Roman"/>
          <w:b/>
          <w:bCs/>
          <w:color w:val="auto"/>
          <w:spacing w:val="4"/>
          <w:szCs w:val="21"/>
        </w:rPr>
        <w:t xml:space="preserve"> </w:t>
      </w:r>
      <w:r>
        <w:rPr>
          <w:rFonts w:ascii="Times New Roman" w:hAnsi="Times New Roman" w:eastAsia="宋体" w:cs="Times New Roman"/>
          <w:b/>
          <w:bCs/>
          <w:color w:val="auto"/>
          <w:szCs w:val="21"/>
        </w:rPr>
        <w:t>拟建</w:t>
      </w:r>
      <w:r>
        <w:rPr>
          <w:rFonts w:hint="eastAsia" w:ascii="Times New Roman" w:hAnsi="Times New Roman" w:eastAsia="宋体" w:cs="Times New Roman"/>
          <w:b/>
          <w:bCs/>
          <w:color w:val="auto"/>
          <w:szCs w:val="21"/>
        </w:rPr>
        <w:t>公路敏感点声</w:t>
      </w:r>
      <w:r>
        <w:rPr>
          <w:rFonts w:ascii="Times New Roman" w:hAnsi="Times New Roman" w:eastAsia="宋体" w:cs="Times New Roman"/>
          <w:b/>
          <w:bCs/>
          <w:color w:val="auto"/>
          <w:szCs w:val="21"/>
        </w:rPr>
        <w:t>环境</w:t>
      </w:r>
      <w:r>
        <w:rPr>
          <w:rFonts w:hint="eastAsia" w:ascii="Times New Roman" w:hAnsi="Times New Roman" w:eastAsia="宋体" w:cs="Times New Roman"/>
          <w:b/>
          <w:bCs/>
          <w:color w:val="auto"/>
          <w:szCs w:val="21"/>
        </w:rPr>
        <w:t>现状</w:t>
      </w:r>
      <w:r>
        <w:rPr>
          <w:rFonts w:ascii="Times New Roman" w:hAnsi="Times New Roman" w:eastAsia="宋体" w:cs="Times New Roman"/>
          <w:b/>
          <w:bCs/>
          <w:color w:val="auto"/>
          <w:szCs w:val="21"/>
        </w:rPr>
        <w:t>监测结果及达标分析表</w:t>
      </w:r>
    </w:p>
    <w:tbl>
      <w:tblPr>
        <w:tblStyle w:val="22"/>
        <w:tblW w:w="5051" w:type="pct"/>
        <w:jc w:val="center"/>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25"/>
        <w:gridCol w:w="1346"/>
        <w:gridCol w:w="1298"/>
        <w:gridCol w:w="2269"/>
        <w:gridCol w:w="1417"/>
        <w:gridCol w:w="849"/>
        <w:gridCol w:w="1417"/>
        <w:gridCol w:w="951"/>
        <w:gridCol w:w="951"/>
        <w:gridCol w:w="951"/>
        <w:gridCol w:w="971"/>
        <w:gridCol w:w="1053"/>
      </w:tblGrid>
      <w:tr w14:paraId="63BB7244">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255" w:type="pct"/>
            <w:vMerge w:val="restart"/>
            <w:noWrap/>
            <w:vAlign w:val="center"/>
          </w:tcPr>
          <w:p w14:paraId="59DD15D3">
            <w:pPr>
              <w:spacing w:line="240" w:lineRule="exact"/>
              <w:jc w:val="center"/>
              <w:rPr>
                <w:rFonts w:ascii="Times New Roman" w:hAnsi="Times New Roman" w:eastAsia="宋体" w:cs="Times New Roman"/>
                <w:b/>
                <w:color w:val="auto"/>
                <w:kern w:val="0"/>
              </w:rPr>
            </w:pPr>
            <w:r>
              <w:rPr>
                <w:rFonts w:hint="eastAsia" w:ascii="Times New Roman" w:hAnsi="Times New Roman" w:eastAsia="宋体" w:cs="Times New Roman"/>
                <w:b/>
                <w:color w:val="auto"/>
                <w:kern w:val="0"/>
              </w:rPr>
              <w:t>序号</w:t>
            </w:r>
          </w:p>
        </w:tc>
        <w:tc>
          <w:tcPr>
            <w:tcW w:w="474" w:type="pct"/>
            <w:vMerge w:val="restart"/>
            <w:noWrap/>
            <w:vAlign w:val="center"/>
          </w:tcPr>
          <w:p w14:paraId="5FE70CFC">
            <w:pPr>
              <w:spacing w:line="240" w:lineRule="exact"/>
              <w:jc w:val="center"/>
              <w:rPr>
                <w:rFonts w:ascii="Times New Roman" w:hAnsi="Times New Roman" w:eastAsia="宋体" w:cs="Times New Roman"/>
                <w:b/>
                <w:color w:val="auto"/>
                <w:kern w:val="0"/>
              </w:rPr>
            </w:pPr>
            <w:r>
              <w:rPr>
                <w:rFonts w:ascii="Times New Roman" w:hAnsi="Times New Roman" w:eastAsia="宋体" w:cs="Times New Roman"/>
                <w:b/>
                <w:color w:val="auto"/>
                <w:kern w:val="0"/>
              </w:rPr>
              <w:t>监测点位</w:t>
            </w:r>
          </w:p>
        </w:tc>
        <w:tc>
          <w:tcPr>
            <w:tcW w:w="1256" w:type="pct"/>
            <w:gridSpan w:val="2"/>
            <w:vMerge w:val="restart"/>
            <w:noWrap/>
            <w:vAlign w:val="center"/>
          </w:tcPr>
          <w:p w14:paraId="2D64B120">
            <w:pPr>
              <w:spacing w:line="240" w:lineRule="exact"/>
              <w:jc w:val="center"/>
              <w:rPr>
                <w:rFonts w:ascii="Times New Roman" w:hAnsi="Times New Roman" w:eastAsia="宋体" w:cs="Times New Roman"/>
                <w:b/>
                <w:color w:val="auto"/>
                <w:kern w:val="0"/>
              </w:rPr>
            </w:pPr>
            <w:r>
              <w:rPr>
                <w:rFonts w:ascii="Times New Roman" w:hAnsi="Times New Roman" w:eastAsia="宋体" w:cs="Times New Roman"/>
                <w:b/>
                <w:color w:val="auto"/>
                <w:kern w:val="0"/>
              </w:rPr>
              <w:t>噪声类型</w:t>
            </w:r>
          </w:p>
        </w:tc>
        <w:tc>
          <w:tcPr>
            <w:tcW w:w="798" w:type="pct"/>
            <w:gridSpan w:val="2"/>
            <w:noWrap/>
            <w:vAlign w:val="center"/>
          </w:tcPr>
          <w:p w14:paraId="0C4EC5CA">
            <w:pPr>
              <w:spacing w:line="240" w:lineRule="exact"/>
              <w:jc w:val="center"/>
              <w:rPr>
                <w:rFonts w:ascii="Times New Roman" w:hAnsi="Times New Roman" w:eastAsia="宋体" w:cs="Times New Roman"/>
                <w:b/>
                <w:color w:val="auto"/>
                <w:kern w:val="0"/>
              </w:rPr>
            </w:pPr>
            <w:r>
              <w:rPr>
                <w:rFonts w:ascii="Times New Roman" w:hAnsi="Times New Roman" w:eastAsia="宋体" w:cs="Times New Roman"/>
                <w:b/>
                <w:color w:val="auto"/>
                <w:kern w:val="0"/>
              </w:rPr>
              <w:t>监测时间</w:t>
            </w:r>
          </w:p>
        </w:tc>
        <w:tc>
          <w:tcPr>
            <w:tcW w:w="499" w:type="pct"/>
            <w:vMerge w:val="restart"/>
            <w:vAlign w:val="center"/>
          </w:tcPr>
          <w:p w14:paraId="19EE3B91">
            <w:pPr>
              <w:spacing w:line="240" w:lineRule="exact"/>
              <w:jc w:val="center"/>
              <w:rPr>
                <w:rFonts w:ascii="Times New Roman" w:hAnsi="Times New Roman" w:eastAsia="宋体" w:cs="Times New Roman"/>
                <w:b/>
                <w:color w:val="auto"/>
                <w:kern w:val="0"/>
              </w:rPr>
            </w:pPr>
            <w:r>
              <w:rPr>
                <w:rFonts w:hint="eastAsia" w:ascii="Times New Roman" w:hAnsi="Times New Roman" w:eastAsia="宋体" w:cs="Times New Roman"/>
                <w:b/>
                <w:bCs/>
                <w:color w:val="auto"/>
              </w:rPr>
              <w:t>监测结果Leq（dB）</w:t>
            </w:r>
          </w:p>
        </w:tc>
        <w:tc>
          <w:tcPr>
            <w:tcW w:w="1005" w:type="pct"/>
            <w:gridSpan w:val="3"/>
            <w:noWrap/>
            <w:vAlign w:val="center"/>
          </w:tcPr>
          <w:p w14:paraId="3054E920">
            <w:pPr>
              <w:spacing w:line="240" w:lineRule="exact"/>
              <w:jc w:val="center"/>
              <w:rPr>
                <w:rFonts w:ascii="Times New Roman" w:hAnsi="Times New Roman" w:eastAsia="宋体" w:cs="Times New Roman"/>
                <w:b/>
                <w:color w:val="auto"/>
                <w:kern w:val="0"/>
              </w:rPr>
            </w:pPr>
            <w:r>
              <w:rPr>
                <w:rFonts w:ascii="Times New Roman" w:hAnsi="Times New Roman" w:eastAsia="宋体" w:cs="Times New Roman"/>
                <w:b/>
                <w:color w:val="auto"/>
                <w:kern w:val="0"/>
              </w:rPr>
              <w:t>车流量（辆/</w:t>
            </w:r>
            <w:r>
              <w:rPr>
                <w:rFonts w:hint="eastAsia" w:ascii="Times New Roman" w:hAnsi="Times New Roman" w:eastAsia="宋体" w:cs="Times New Roman"/>
                <w:b/>
                <w:color w:val="auto"/>
                <w:kern w:val="0"/>
              </w:rPr>
              <w:t>h</w:t>
            </w:r>
            <w:r>
              <w:rPr>
                <w:rFonts w:ascii="Times New Roman" w:hAnsi="Times New Roman" w:eastAsia="宋体" w:cs="Times New Roman"/>
                <w:b/>
                <w:color w:val="auto"/>
                <w:kern w:val="0"/>
              </w:rPr>
              <w:t>）</w:t>
            </w:r>
          </w:p>
        </w:tc>
        <w:tc>
          <w:tcPr>
            <w:tcW w:w="342" w:type="pct"/>
            <w:vMerge w:val="restart"/>
            <w:vAlign w:val="center"/>
          </w:tcPr>
          <w:p w14:paraId="5B677D7D">
            <w:pPr>
              <w:spacing w:line="240" w:lineRule="exact"/>
              <w:jc w:val="center"/>
              <w:rPr>
                <w:rFonts w:ascii="Times New Roman" w:hAnsi="Times New Roman" w:eastAsia="宋体" w:cs="Times New Roman"/>
                <w:b/>
                <w:color w:val="auto"/>
                <w:kern w:val="0"/>
              </w:rPr>
            </w:pPr>
            <w:r>
              <w:rPr>
                <w:rFonts w:ascii="Times New Roman" w:hAnsi="Times New Roman" w:eastAsia="宋体" w:cs="Times New Roman"/>
                <w:b/>
                <w:color w:val="auto"/>
                <w:kern w:val="0"/>
              </w:rPr>
              <w:t>评价标准</w:t>
            </w:r>
          </w:p>
        </w:tc>
        <w:tc>
          <w:tcPr>
            <w:tcW w:w="371" w:type="pct"/>
            <w:vMerge w:val="restart"/>
            <w:noWrap/>
            <w:vAlign w:val="center"/>
          </w:tcPr>
          <w:p w14:paraId="4B295FDA">
            <w:pPr>
              <w:spacing w:line="240" w:lineRule="exact"/>
              <w:jc w:val="center"/>
              <w:rPr>
                <w:rFonts w:ascii="Times New Roman" w:hAnsi="Times New Roman" w:eastAsia="宋体" w:cs="Times New Roman"/>
                <w:b/>
                <w:color w:val="auto"/>
                <w:kern w:val="0"/>
              </w:rPr>
            </w:pPr>
            <w:r>
              <w:rPr>
                <w:rFonts w:ascii="Times New Roman" w:hAnsi="Times New Roman" w:eastAsia="宋体" w:cs="Times New Roman"/>
                <w:b/>
                <w:color w:val="auto"/>
                <w:kern w:val="0"/>
              </w:rPr>
              <w:t>达标情况</w:t>
            </w:r>
          </w:p>
        </w:tc>
      </w:tr>
      <w:tr w14:paraId="1E45FCC1">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255" w:type="pct"/>
            <w:vMerge w:val="continue"/>
            <w:vAlign w:val="center"/>
          </w:tcPr>
          <w:p w14:paraId="33214F79">
            <w:pPr>
              <w:spacing w:line="240" w:lineRule="exact"/>
              <w:jc w:val="center"/>
              <w:rPr>
                <w:rFonts w:ascii="Times New Roman" w:hAnsi="Times New Roman" w:eastAsia="宋体" w:cs="Times New Roman"/>
                <w:b/>
                <w:color w:val="auto"/>
                <w:kern w:val="0"/>
              </w:rPr>
            </w:pPr>
          </w:p>
        </w:tc>
        <w:tc>
          <w:tcPr>
            <w:tcW w:w="474" w:type="pct"/>
            <w:vMerge w:val="continue"/>
            <w:vAlign w:val="center"/>
          </w:tcPr>
          <w:p w14:paraId="4858B8D6">
            <w:pPr>
              <w:spacing w:line="240" w:lineRule="exact"/>
              <w:jc w:val="center"/>
              <w:rPr>
                <w:rFonts w:ascii="Times New Roman" w:hAnsi="Times New Roman" w:eastAsia="宋体" w:cs="Times New Roman"/>
                <w:b/>
                <w:color w:val="auto"/>
                <w:kern w:val="0"/>
              </w:rPr>
            </w:pPr>
          </w:p>
        </w:tc>
        <w:tc>
          <w:tcPr>
            <w:tcW w:w="1256" w:type="pct"/>
            <w:gridSpan w:val="2"/>
            <w:vMerge w:val="continue"/>
            <w:vAlign w:val="center"/>
          </w:tcPr>
          <w:p w14:paraId="760C7CE6">
            <w:pPr>
              <w:spacing w:line="240" w:lineRule="exact"/>
              <w:jc w:val="center"/>
              <w:rPr>
                <w:rFonts w:ascii="Times New Roman" w:hAnsi="Times New Roman" w:eastAsia="宋体" w:cs="Times New Roman"/>
                <w:b/>
                <w:color w:val="auto"/>
                <w:kern w:val="0"/>
              </w:rPr>
            </w:pPr>
          </w:p>
        </w:tc>
        <w:tc>
          <w:tcPr>
            <w:tcW w:w="499" w:type="pct"/>
            <w:vAlign w:val="center"/>
          </w:tcPr>
          <w:p w14:paraId="0BE91D59">
            <w:pPr>
              <w:spacing w:line="240" w:lineRule="exact"/>
              <w:jc w:val="center"/>
              <w:rPr>
                <w:rFonts w:ascii="Times New Roman" w:hAnsi="Times New Roman" w:eastAsia="宋体" w:cs="Times New Roman"/>
                <w:b/>
                <w:color w:val="auto"/>
                <w:kern w:val="0"/>
              </w:rPr>
            </w:pPr>
            <w:r>
              <w:rPr>
                <w:rFonts w:ascii="Times New Roman" w:hAnsi="Times New Roman" w:eastAsia="宋体" w:cs="Times New Roman"/>
                <w:b/>
                <w:color w:val="auto"/>
                <w:kern w:val="0"/>
              </w:rPr>
              <w:t>日期</w:t>
            </w:r>
          </w:p>
        </w:tc>
        <w:tc>
          <w:tcPr>
            <w:tcW w:w="299" w:type="pct"/>
            <w:vAlign w:val="center"/>
          </w:tcPr>
          <w:p w14:paraId="04234656">
            <w:pPr>
              <w:spacing w:line="240" w:lineRule="exact"/>
              <w:jc w:val="center"/>
              <w:rPr>
                <w:rFonts w:ascii="Times New Roman" w:hAnsi="Times New Roman" w:eastAsia="宋体" w:cs="Times New Roman"/>
                <w:b/>
                <w:color w:val="auto"/>
                <w:kern w:val="0"/>
              </w:rPr>
            </w:pPr>
            <w:r>
              <w:rPr>
                <w:rFonts w:ascii="Times New Roman" w:hAnsi="Times New Roman" w:eastAsia="宋体" w:cs="Times New Roman"/>
                <w:b/>
                <w:color w:val="auto"/>
                <w:kern w:val="0"/>
              </w:rPr>
              <w:t>时段</w:t>
            </w:r>
          </w:p>
        </w:tc>
        <w:tc>
          <w:tcPr>
            <w:tcW w:w="499" w:type="pct"/>
            <w:vMerge w:val="continue"/>
            <w:vAlign w:val="center"/>
          </w:tcPr>
          <w:p w14:paraId="6334A19E">
            <w:pPr>
              <w:spacing w:line="240" w:lineRule="exact"/>
              <w:jc w:val="center"/>
              <w:rPr>
                <w:rFonts w:ascii="Times New Roman" w:hAnsi="Times New Roman" w:eastAsia="宋体" w:cs="Times New Roman"/>
                <w:b/>
                <w:color w:val="auto"/>
              </w:rPr>
            </w:pPr>
          </w:p>
        </w:tc>
        <w:tc>
          <w:tcPr>
            <w:tcW w:w="335" w:type="pct"/>
            <w:noWrap/>
            <w:vAlign w:val="center"/>
          </w:tcPr>
          <w:p w14:paraId="2789D138">
            <w:pPr>
              <w:spacing w:line="240" w:lineRule="exact"/>
              <w:jc w:val="center"/>
              <w:rPr>
                <w:rFonts w:ascii="Times New Roman" w:hAnsi="Times New Roman" w:eastAsia="宋体" w:cs="Times New Roman"/>
                <w:b/>
                <w:color w:val="auto"/>
                <w:kern w:val="0"/>
              </w:rPr>
            </w:pPr>
            <w:r>
              <w:rPr>
                <w:rFonts w:ascii="Times New Roman" w:hAnsi="Times New Roman" w:eastAsia="宋体" w:cs="Times New Roman"/>
                <w:b/>
                <w:color w:val="auto"/>
                <w:kern w:val="0"/>
              </w:rPr>
              <w:t>大</w:t>
            </w:r>
          </w:p>
        </w:tc>
        <w:tc>
          <w:tcPr>
            <w:tcW w:w="335" w:type="pct"/>
            <w:noWrap/>
            <w:vAlign w:val="center"/>
          </w:tcPr>
          <w:p w14:paraId="5C9AD3FD">
            <w:pPr>
              <w:spacing w:line="240" w:lineRule="exact"/>
              <w:jc w:val="center"/>
              <w:rPr>
                <w:rFonts w:ascii="Times New Roman" w:hAnsi="Times New Roman" w:eastAsia="宋体" w:cs="Times New Roman"/>
                <w:b/>
                <w:color w:val="auto"/>
                <w:kern w:val="0"/>
              </w:rPr>
            </w:pPr>
            <w:r>
              <w:rPr>
                <w:rFonts w:ascii="Times New Roman" w:hAnsi="Times New Roman" w:eastAsia="宋体" w:cs="Times New Roman"/>
                <w:b/>
                <w:color w:val="auto"/>
                <w:kern w:val="0"/>
              </w:rPr>
              <w:t>中</w:t>
            </w:r>
          </w:p>
        </w:tc>
        <w:tc>
          <w:tcPr>
            <w:tcW w:w="335" w:type="pct"/>
            <w:noWrap/>
            <w:vAlign w:val="center"/>
          </w:tcPr>
          <w:p w14:paraId="2B94C962">
            <w:pPr>
              <w:spacing w:line="240" w:lineRule="exact"/>
              <w:jc w:val="center"/>
              <w:rPr>
                <w:rFonts w:ascii="Times New Roman" w:hAnsi="Times New Roman" w:eastAsia="宋体" w:cs="Times New Roman"/>
                <w:b/>
                <w:color w:val="auto"/>
                <w:kern w:val="0"/>
              </w:rPr>
            </w:pPr>
            <w:r>
              <w:rPr>
                <w:rFonts w:ascii="Times New Roman" w:hAnsi="Times New Roman" w:eastAsia="宋体" w:cs="Times New Roman"/>
                <w:b/>
                <w:color w:val="auto"/>
                <w:kern w:val="0"/>
              </w:rPr>
              <w:t>小</w:t>
            </w:r>
          </w:p>
        </w:tc>
        <w:tc>
          <w:tcPr>
            <w:tcW w:w="342" w:type="pct"/>
            <w:vMerge w:val="continue"/>
            <w:vAlign w:val="center"/>
          </w:tcPr>
          <w:p w14:paraId="131BD2C7">
            <w:pPr>
              <w:spacing w:line="240" w:lineRule="exact"/>
              <w:jc w:val="center"/>
              <w:rPr>
                <w:rFonts w:ascii="Times New Roman" w:hAnsi="Times New Roman" w:eastAsia="宋体" w:cs="Times New Roman"/>
                <w:b/>
                <w:color w:val="auto"/>
                <w:kern w:val="0"/>
              </w:rPr>
            </w:pPr>
          </w:p>
        </w:tc>
        <w:tc>
          <w:tcPr>
            <w:tcW w:w="371" w:type="pct"/>
            <w:vMerge w:val="continue"/>
            <w:vAlign w:val="center"/>
          </w:tcPr>
          <w:p w14:paraId="2A307D04">
            <w:pPr>
              <w:spacing w:line="240" w:lineRule="exact"/>
              <w:jc w:val="center"/>
              <w:rPr>
                <w:rFonts w:ascii="Times New Roman" w:hAnsi="Times New Roman" w:eastAsia="宋体" w:cs="Times New Roman"/>
                <w:b/>
                <w:color w:val="auto"/>
                <w:kern w:val="0"/>
              </w:rPr>
            </w:pPr>
          </w:p>
        </w:tc>
      </w:tr>
      <w:tr w14:paraId="74BBD0FB">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restart"/>
            <w:noWrap/>
            <w:vAlign w:val="center"/>
          </w:tcPr>
          <w:p w14:paraId="1E642747">
            <w:pPr>
              <w:spacing w:line="240" w:lineRule="exact"/>
              <w:jc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19</w:t>
            </w:r>
          </w:p>
        </w:tc>
        <w:tc>
          <w:tcPr>
            <w:tcW w:w="474" w:type="pct"/>
            <w:vMerge w:val="restart"/>
            <w:noWrap/>
            <w:vAlign w:val="center"/>
          </w:tcPr>
          <w:p w14:paraId="10E9B65D">
            <w:pPr>
              <w:spacing w:line="240" w:lineRule="exact"/>
              <w:jc w:val="center"/>
              <w:rPr>
                <w:rFonts w:ascii="Times New Roman" w:hAnsi="Times New Roman" w:eastAsia="宋体" w:cs="Times New Roman"/>
                <w:color w:val="auto"/>
                <w:kern w:val="0"/>
              </w:rPr>
            </w:pPr>
            <w:r>
              <w:rPr>
                <w:rFonts w:hint="eastAsia" w:ascii="Times New Roman" w:cs="Times New Roman" w:hAnsiTheme="minorEastAsia" w:eastAsiaTheme="minorEastAsia"/>
                <w:color w:val="auto"/>
              </w:rPr>
              <w:t>阿亚格乔拉克村</w:t>
            </w:r>
          </w:p>
        </w:tc>
        <w:tc>
          <w:tcPr>
            <w:tcW w:w="457" w:type="pct"/>
            <w:vMerge w:val="restart"/>
            <w:vAlign w:val="center"/>
          </w:tcPr>
          <w:p w14:paraId="7958C4DE">
            <w:pPr>
              <w:spacing w:line="240" w:lineRule="exact"/>
              <w:jc w:val="center"/>
              <w:rPr>
                <w:rFonts w:ascii="Times New Roman" w:hAnsi="Times New Roman" w:eastAsia="宋体" w:cs="Times New Roman"/>
                <w:color w:val="auto"/>
                <w:kern w:val="0"/>
              </w:rPr>
            </w:pPr>
            <w:r>
              <w:rPr>
                <w:rFonts w:ascii="Times New Roman" w:hAnsi="Times New Roman" w:eastAsia="宋体" w:cs="Times New Roman"/>
                <w:color w:val="auto"/>
                <w:kern w:val="0"/>
              </w:rPr>
              <w:t>环境噪声</w:t>
            </w:r>
          </w:p>
        </w:tc>
        <w:tc>
          <w:tcPr>
            <w:tcW w:w="799" w:type="pct"/>
            <w:vMerge w:val="restart"/>
            <w:vAlign w:val="center"/>
          </w:tcPr>
          <w:p w14:paraId="1FB951E6">
            <w:pPr>
              <w:spacing w:line="240" w:lineRule="exact"/>
              <w:jc w:val="center"/>
              <w:rPr>
                <w:rFonts w:ascii="Times New Roman" w:hAnsi="Times New Roman" w:eastAsia="宋体" w:cs="Times New Roman"/>
                <w:color w:val="auto"/>
                <w:kern w:val="0"/>
              </w:rPr>
            </w:pPr>
            <w:r>
              <w:rPr>
                <w:rFonts w:ascii="Times New Roman" w:hAnsi="Times New Roman" w:eastAsia="宋体" w:cs="Times New Roman"/>
                <w:color w:val="auto"/>
              </w:rPr>
              <w:t>临现有</w:t>
            </w:r>
            <w:r>
              <w:rPr>
                <w:rFonts w:hint="eastAsia" w:ascii="Times New Roman" w:hAnsi="Times New Roman" w:eastAsia="宋体" w:cs="Times New Roman"/>
                <w:color w:val="auto"/>
              </w:rPr>
              <w:t>G219</w:t>
            </w:r>
            <w:r>
              <w:rPr>
                <w:rFonts w:ascii="Times New Roman" w:hAnsi="Times New Roman" w:eastAsia="宋体" w:cs="Times New Roman"/>
                <w:color w:val="auto"/>
              </w:rPr>
              <w:t>第一排房</w:t>
            </w:r>
            <w:r>
              <w:rPr>
                <w:rFonts w:hint="eastAsia" w:ascii="Times New Roman" w:hAnsi="Times New Roman" w:eastAsia="宋体" w:cs="Times New Roman"/>
                <w:color w:val="auto"/>
              </w:rPr>
              <w:t>1</w:t>
            </w:r>
            <w:r>
              <w:rPr>
                <w:rFonts w:ascii="Times New Roman" w:hAnsi="Times New Roman" w:eastAsia="宋体" w:cs="Times New Roman"/>
                <w:color w:val="auto"/>
              </w:rPr>
              <w:t>层</w:t>
            </w:r>
          </w:p>
        </w:tc>
        <w:tc>
          <w:tcPr>
            <w:tcW w:w="499" w:type="pct"/>
            <w:noWrap/>
            <w:vAlign w:val="center"/>
          </w:tcPr>
          <w:p w14:paraId="6D5D524F">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2026.4.27</w:t>
            </w:r>
          </w:p>
        </w:tc>
        <w:tc>
          <w:tcPr>
            <w:tcW w:w="299" w:type="pct"/>
            <w:vAlign w:val="center"/>
          </w:tcPr>
          <w:p w14:paraId="592D9828">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昼间</w:t>
            </w:r>
          </w:p>
        </w:tc>
        <w:tc>
          <w:tcPr>
            <w:tcW w:w="499" w:type="pct"/>
            <w:vAlign w:val="center"/>
          </w:tcPr>
          <w:p w14:paraId="71BA98FB">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59</w:t>
            </w:r>
          </w:p>
        </w:tc>
        <w:tc>
          <w:tcPr>
            <w:tcW w:w="335" w:type="pct"/>
            <w:noWrap/>
            <w:vAlign w:val="center"/>
          </w:tcPr>
          <w:p w14:paraId="169AF30E">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49</w:t>
            </w:r>
          </w:p>
        </w:tc>
        <w:tc>
          <w:tcPr>
            <w:tcW w:w="335" w:type="pct"/>
            <w:noWrap/>
            <w:vAlign w:val="center"/>
          </w:tcPr>
          <w:p w14:paraId="2598828C">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30</w:t>
            </w:r>
          </w:p>
        </w:tc>
        <w:tc>
          <w:tcPr>
            <w:tcW w:w="335" w:type="pct"/>
            <w:noWrap/>
            <w:vAlign w:val="center"/>
          </w:tcPr>
          <w:p w14:paraId="6639550F">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117</w:t>
            </w:r>
          </w:p>
        </w:tc>
        <w:tc>
          <w:tcPr>
            <w:tcW w:w="342" w:type="pct"/>
            <w:vMerge w:val="restart"/>
            <w:noWrap/>
            <w:vAlign w:val="center"/>
          </w:tcPr>
          <w:p w14:paraId="33880237">
            <w:pPr>
              <w:spacing w:line="240" w:lineRule="exact"/>
              <w:jc w:val="center"/>
              <w:rPr>
                <w:rFonts w:ascii="Times New Roman" w:hAnsi="Times New Roman" w:eastAsia="宋体" w:cs="Times New Roman"/>
                <w:color w:val="auto"/>
                <w:kern w:val="0"/>
              </w:rPr>
            </w:pPr>
            <w:r>
              <w:rPr>
                <w:rFonts w:ascii="Times New Roman" w:hAnsi="Times New Roman" w:eastAsia="宋体" w:cs="Times New Roman"/>
                <w:color w:val="auto"/>
                <w:kern w:val="0"/>
              </w:rPr>
              <w:t>4a类</w:t>
            </w:r>
          </w:p>
        </w:tc>
        <w:tc>
          <w:tcPr>
            <w:tcW w:w="371" w:type="pct"/>
            <w:noWrap/>
            <w:vAlign w:val="center"/>
          </w:tcPr>
          <w:p w14:paraId="37743A2E">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0736A0A8">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vAlign w:val="center"/>
          </w:tcPr>
          <w:p w14:paraId="0D8D1130">
            <w:pPr>
              <w:spacing w:line="240" w:lineRule="exact"/>
              <w:jc w:val="center"/>
              <w:rPr>
                <w:rFonts w:ascii="Times New Roman" w:hAnsi="Times New Roman" w:eastAsia="宋体" w:cs="Times New Roman"/>
                <w:color w:val="auto"/>
                <w:kern w:val="0"/>
              </w:rPr>
            </w:pPr>
          </w:p>
        </w:tc>
        <w:tc>
          <w:tcPr>
            <w:tcW w:w="474" w:type="pct"/>
            <w:vMerge w:val="continue"/>
            <w:vAlign w:val="center"/>
          </w:tcPr>
          <w:p w14:paraId="02B7A196">
            <w:pPr>
              <w:spacing w:line="240" w:lineRule="exact"/>
              <w:jc w:val="center"/>
              <w:rPr>
                <w:rFonts w:ascii="Times New Roman" w:hAnsi="Times New Roman" w:eastAsia="宋体" w:cs="Times New Roman"/>
                <w:color w:val="auto"/>
                <w:kern w:val="0"/>
              </w:rPr>
            </w:pPr>
          </w:p>
        </w:tc>
        <w:tc>
          <w:tcPr>
            <w:tcW w:w="457" w:type="pct"/>
            <w:vMerge w:val="continue"/>
            <w:vAlign w:val="center"/>
          </w:tcPr>
          <w:p w14:paraId="7AA64332">
            <w:pPr>
              <w:spacing w:line="240" w:lineRule="exact"/>
              <w:jc w:val="center"/>
              <w:rPr>
                <w:rFonts w:ascii="Times New Roman" w:hAnsi="Times New Roman" w:eastAsia="宋体" w:cs="Times New Roman"/>
                <w:color w:val="auto"/>
                <w:kern w:val="0"/>
              </w:rPr>
            </w:pPr>
          </w:p>
        </w:tc>
        <w:tc>
          <w:tcPr>
            <w:tcW w:w="799" w:type="pct"/>
            <w:vMerge w:val="continue"/>
            <w:vAlign w:val="center"/>
          </w:tcPr>
          <w:p w14:paraId="621CD629">
            <w:pPr>
              <w:spacing w:line="240" w:lineRule="exact"/>
              <w:jc w:val="center"/>
              <w:rPr>
                <w:rFonts w:ascii="Times New Roman" w:hAnsi="Times New Roman" w:eastAsia="宋体" w:cs="Times New Roman"/>
                <w:color w:val="auto"/>
                <w:kern w:val="0"/>
              </w:rPr>
            </w:pPr>
          </w:p>
        </w:tc>
        <w:tc>
          <w:tcPr>
            <w:tcW w:w="499" w:type="pct"/>
            <w:noWrap/>
            <w:vAlign w:val="center"/>
          </w:tcPr>
          <w:p w14:paraId="50F9A242">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2026.4.28</w:t>
            </w:r>
          </w:p>
        </w:tc>
        <w:tc>
          <w:tcPr>
            <w:tcW w:w="299" w:type="pct"/>
            <w:vAlign w:val="center"/>
          </w:tcPr>
          <w:p w14:paraId="38FB4387">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夜间</w:t>
            </w:r>
          </w:p>
        </w:tc>
        <w:tc>
          <w:tcPr>
            <w:tcW w:w="499" w:type="pct"/>
            <w:vAlign w:val="center"/>
          </w:tcPr>
          <w:p w14:paraId="65831079">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45</w:t>
            </w:r>
          </w:p>
        </w:tc>
        <w:tc>
          <w:tcPr>
            <w:tcW w:w="335" w:type="pct"/>
            <w:noWrap/>
            <w:vAlign w:val="center"/>
          </w:tcPr>
          <w:p w14:paraId="372041EE">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25</w:t>
            </w:r>
          </w:p>
        </w:tc>
        <w:tc>
          <w:tcPr>
            <w:tcW w:w="335" w:type="pct"/>
            <w:noWrap/>
            <w:vAlign w:val="center"/>
          </w:tcPr>
          <w:p w14:paraId="3298B263">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21</w:t>
            </w:r>
          </w:p>
        </w:tc>
        <w:tc>
          <w:tcPr>
            <w:tcW w:w="335" w:type="pct"/>
            <w:noWrap/>
            <w:vAlign w:val="center"/>
          </w:tcPr>
          <w:p w14:paraId="2CDCFAE8">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36</w:t>
            </w:r>
          </w:p>
        </w:tc>
        <w:tc>
          <w:tcPr>
            <w:tcW w:w="342" w:type="pct"/>
            <w:vMerge w:val="continue"/>
            <w:noWrap/>
            <w:vAlign w:val="center"/>
          </w:tcPr>
          <w:p w14:paraId="275DE89F">
            <w:pPr>
              <w:spacing w:line="240" w:lineRule="exact"/>
              <w:jc w:val="center"/>
              <w:rPr>
                <w:rFonts w:ascii="Times New Roman" w:hAnsi="Times New Roman" w:eastAsia="宋体" w:cs="Times New Roman"/>
                <w:color w:val="auto"/>
                <w:kern w:val="0"/>
              </w:rPr>
            </w:pPr>
          </w:p>
        </w:tc>
        <w:tc>
          <w:tcPr>
            <w:tcW w:w="371" w:type="pct"/>
            <w:noWrap/>
            <w:vAlign w:val="center"/>
          </w:tcPr>
          <w:p w14:paraId="5AE249D5">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0375D404">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vAlign w:val="center"/>
          </w:tcPr>
          <w:p w14:paraId="16B06336">
            <w:pPr>
              <w:spacing w:line="240" w:lineRule="exact"/>
              <w:jc w:val="center"/>
              <w:rPr>
                <w:rFonts w:ascii="Times New Roman" w:hAnsi="Times New Roman" w:eastAsia="宋体" w:cs="Times New Roman"/>
                <w:color w:val="auto"/>
                <w:kern w:val="0"/>
              </w:rPr>
            </w:pPr>
          </w:p>
        </w:tc>
        <w:tc>
          <w:tcPr>
            <w:tcW w:w="474" w:type="pct"/>
            <w:vMerge w:val="continue"/>
            <w:vAlign w:val="center"/>
          </w:tcPr>
          <w:p w14:paraId="436DF8DF">
            <w:pPr>
              <w:spacing w:line="240" w:lineRule="exact"/>
              <w:jc w:val="center"/>
              <w:rPr>
                <w:rFonts w:ascii="Times New Roman" w:hAnsi="Times New Roman" w:eastAsia="宋体" w:cs="Times New Roman"/>
                <w:color w:val="auto"/>
                <w:kern w:val="0"/>
              </w:rPr>
            </w:pPr>
          </w:p>
        </w:tc>
        <w:tc>
          <w:tcPr>
            <w:tcW w:w="457" w:type="pct"/>
            <w:vMerge w:val="continue"/>
            <w:vAlign w:val="center"/>
          </w:tcPr>
          <w:p w14:paraId="76E0EF30">
            <w:pPr>
              <w:spacing w:line="240" w:lineRule="exact"/>
              <w:jc w:val="center"/>
              <w:rPr>
                <w:rFonts w:ascii="Times New Roman" w:hAnsi="Times New Roman" w:eastAsia="宋体" w:cs="Times New Roman"/>
                <w:color w:val="auto"/>
                <w:kern w:val="0"/>
              </w:rPr>
            </w:pPr>
          </w:p>
        </w:tc>
        <w:tc>
          <w:tcPr>
            <w:tcW w:w="799" w:type="pct"/>
            <w:vMerge w:val="continue"/>
            <w:vAlign w:val="center"/>
          </w:tcPr>
          <w:p w14:paraId="3F1EADEB">
            <w:pPr>
              <w:spacing w:line="240" w:lineRule="exact"/>
              <w:jc w:val="center"/>
              <w:rPr>
                <w:rFonts w:ascii="Times New Roman" w:hAnsi="Times New Roman" w:eastAsia="宋体" w:cs="Times New Roman"/>
                <w:color w:val="auto"/>
                <w:kern w:val="0"/>
              </w:rPr>
            </w:pPr>
          </w:p>
        </w:tc>
        <w:tc>
          <w:tcPr>
            <w:tcW w:w="499" w:type="pct"/>
            <w:noWrap/>
            <w:vAlign w:val="center"/>
          </w:tcPr>
          <w:p w14:paraId="59042243">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2026.4.28</w:t>
            </w:r>
          </w:p>
        </w:tc>
        <w:tc>
          <w:tcPr>
            <w:tcW w:w="299" w:type="pct"/>
            <w:vAlign w:val="center"/>
          </w:tcPr>
          <w:p w14:paraId="4A68C441">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昼间</w:t>
            </w:r>
          </w:p>
        </w:tc>
        <w:tc>
          <w:tcPr>
            <w:tcW w:w="499" w:type="pct"/>
            <w:vAlign w:val="center"/>
          </w:tcPr>
          <w:p w14:paraId="5ACCD3B6">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58</w:t>
            </w:r>
          </w:p>
        </w:tc>
        <w:tc>
          <w:tcPr>
            <w:tcW w:w="335" w:type="pct"/>
            <w:noWrap/>
            <w:vAlign w:val="center"/>
          </w:tcPr>
          <w:p w14:paraId="7CB0E4F2">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50</w:t>
            </w:r>
          </w:p>
        </w:tc>
        <w:tc>
          <w:tcPr>
            <w:tcW w:w="335" w:type="pct"/>
            <w:noWrap/>
            <w:vAlign w:val="center"/>
          </w:tcPr>
          <w:p w14:paraId="3C650305">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33</w:t>
            </w:r>
          </w:p>
        </w:tc>
        <w:tc>
          <w:tcPr>
            <w:tcW w:w="335" w:type="pct"/>
            <w:noWrap/>
            <w:vAlign w:val="center"/>
          </w:tcPr>
          <w:p w14:paraId="1425B7A6">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114</w:t>
            </w:r>
          </w:p>
        </w:tc>
        <w:tc>
          <w:tcPr>
            <w:tcW w:w="342" w:type="pct"/>
            <w:vMerge w:val="continue"/>
            <w:noWrap/>
            <w:vAlign w:val="center"/>
          </w:tcPr>
          <w:p w14:paraId="1E69246A">
            <w:pPr>
              <w:spacing w:line="240" w:lineRule="exact"/>
              <w:jc w:val="center"/>
              <w:rPr>
                <w:rFonts w:ascii="Times New Roman" w:hAnsi="Times New Roman" w:eastAsia="宋体" w:cs="Times New Roman"/>
                <w:color w:val="auto"/>
                <w:kern w:val="0"/>
              </w:rPr>
            </w:pPr>
          </w:p>
        </w:tc>
        <w:tc>
          <w:tcPr>
            <w:tcW w:w="371" w:type="pct"/>
            <w:noWrap/>
            <w:vAlign w:val="center"/>
          </w:tcPr>
          <w:p w14:paraId="5E9DAB17">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33E26723">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vAlign w:val="center"/>
          </w:tcPr>
          <w:p w14:paraId="5C7C75CD">
            <w:pPr>
              <w:spacing w:line="240" w:lineRule="exact"/>
              <w:jc w:val="center"/>
              <w:rPr>
                <w:rFonts w:ascii="Times New Roman" w:hAnsi="Times New Roman" w:eastAsia="宋体" w:cs="Times New Roman"/>
                <w:color w:val="auto"/>
                <w:kern w:val="0"/>
              </w:rPr>
            </w:pPr>
          </w:p>
        </w:tc>
        <w:tc>
          <w:tcPr>
            <w:tcW w:w="474" w:type="pct"/>
            <w:vMerge w:val="continue"/>
            <w:vAlign w:val="center"/>
          </w:tcPr>
          <w:p w14:paraId="5C225BA5">
            <w:pPr>
              <w:spacing w:line="240" w:lineRule="exact"/>
              <w:jc w:val="center"/>
              <w:rPr>
                <w:rFonts w:ascii="Times New Roman" w:hAnsi="Times New Roman" w:eastAsia="宋体" w:cs="Times New Roman"/>
                <w:color w:val="auto"/>
                <w:kern w:val="0"/>
              </w:rPr>
            </w:pPr>
          </w:p>
        </w:tc>
        <w:tc>
          <w:tcPr>
            <w:tcW w:w="457" w:type="pct"/>
            <w:vMerge w:val="continue"/>
            <w:vAlign w:val="center"/>
          </w:tcPr>
          <w:p w14:paraId="0F9B621E">
            <w:pPr>
              <w:spacing w:line="240" w:lineRule="exact"/>
              <w:jc w:val="center"/>
              <w:rPr>
                <w:rFonts w:ascii="Times New Roman" w:hAnsi="Times New Roman" w:eastAsia="宋体" w:cs="Times New Roman"/>
                <w:color w:val="auto"/>
                <w:kern w:val="0"/>
              </w:rPr>
            </w:pPr>
          </w:p>
        </w:tc>
        <w:tc>
          <w:tcPr>
            <w:tcW w:w="799" w:type="pct"/>
            <w:vMerge w:val="continue"/>
            <w:vAlign w:val="center"/>
          </w:tcPr>
          <w:p w14:paraId="26837E45">
            <w:pPr>
              <w:spacing w:line="240" w:lineRule="exact"/>
              <w:jc w:val="center"/>
              <w:rPr>
                <w:rFonts w:ascii="Times New Roman" w:hAnsi="Times New Roman" w:eastAsia="宋体" w:cs="Times New Roman"/>
                <w:color w:val="auto"/>
                <w:kern w:val="0"/>
              </w:rPr>
            </w:pPr>
          </w:p>
        </w:tc>
        <w:tc>
          <w:tcPr>
            <w:tcW w:w="499" w:type="pct"/>
            <w:noWrap/>
            <w:vAlign w:val="center"/>
          </w:tcPr>
          <w:p w14:paraId="5260BF35">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2026.4.29</w:t>
            </w:r>
          </w:p>
        </w:tc>
        <w:tc>
          <w:tcPr>
            <w:tcW w:w="299" w:type="pct"/>
            <w:vAlign w:val="center"/>
          </w:tcPr>
          <w:p w14:paraId="43BBD6FF">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夜间</w:t>
            </w:r>
          </w:p>
        </w:tc>
        <w:tc>
          <w:tcPr>
            <w:tcW w:w="499" w:type="pct"/>
            <w:vAlign w:val="center"/>
          </w:tcPr>
          <w:p w14:paraId="6932F401">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46</w:t>
            </w:r>
          </w:p>
        </w:tc>
        <w:tc>
          <w:tcPr>
            <w:tcW w:w="335" w:type="pct"/>
            <w:noWrap/>
            <w:vAlign w:val="center"/>
          </w:tcPr>
          <w:p w14:paraId="2B9EA106">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26</w:t>
            </w:r>
          </w:p>
        </w:tc>
        <w:tc>
          <w:tcPr>
            <w:tcW w:w="335" w:type="pct"/>
            <w:noWrap/>
            <w:vAlign w:val="center"/>
          </w:tcPr>
          <w:p w14:paraId="78CEE512">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15</w:t>
            </w:r>
          </w:p>
        </w:tc>
        <w:tc>
          <w:tcPr>
            <w:tcW w:w="335" w:type="pct"/>
            <w:noWrap/>
            <w:vAlign w:val="center"/>
          </w:tcPr>
          <w:p w14:paraId="72DFFDC2">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33</w:t>
            </w:r>
          </w:p>
        </w:tc>
        <w:tc>
          <w:tcPr>
            <w:tcW w:w="342" w:type="pct"/>
            <w:vMerge w:val="continue"/>
            <w:noWrap/>
            <w:vAlign w:val="center"/>
          </w:tcPr>
          <w:p w14:paraId="1A770359">
            <w:pPr>
              <w:spacing w:line="240" w:lineRule="exact"/>
              <w:jc w:val="center"/>
              <w:rPr>
                <w:rFonts w:ascii="Times New Roman" w:hAnsi="Times New Roman" w:eastAsia="宋体" w:cs="Times New Roman"/>
                <w:color w:val="auto"/>
                <w:kern w:val="0"/>
              </w:rPr>
            </w:pPr>
          </w:p>
        </w:tc>
        <w:tc>
          <w:tcPr>
            <w:tcW w:w="371" w:type="pct"/>
            <w:noWrap/>
            <w:vAlign w:val="center"/>
          </w:tcPr>
          <w:p w14:paraId="549D4F74">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6475D7CE">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vAlign w:val="center"/>
          </w:tcPr>
          <w:p w14:paraId="744205FF">
            <w:pPr>
              <w:spacing w:line="240" w:lineRule="exact"/>
              <w:jc w:val="center"/>
              <w:rPr>
                <w:rFonts w:ascii="Times New Roman" w:hAnsi="Times New Roman" w:eastAsia="宋体" w:cs="Times New Roman"/>
                <w:color w:val="auto"/>
                <w:kern w:val="0"/>
              </w:rPr>
            </w:pPr>
          </w:p>
        </w:tc>
        <w:tc>
          <w:tcPr>
            <w:tcW w:w="474" w:type="pct"/>
            <w:vMerge w:val="continue"/>
            <w:vAlign w:val="center"/>
          </w:tcPr>
          <w:p w14:paraId="2DC0DF1D">
            <w:pPr>
              <w:spacing w:line="240" w:lineRule="exact"/>
              <w:jc w:val="center"/>
              <w:rPr>
                <w:rFonts w:ascii="Times New Roman" w:hAnsi="Times New Roman" w:eastAsia="宋体" w:cs="Times New Roman"/>
                <w:color w:val="auto"/>
                <w:kern w:val="0"/>
              </w:rPr>
            </w:pPr>
          </w:p>
        </w:tc>
        <w:tc>
          <w:tcPr>
            <w:tcW w:w="457" w:type="pct"/>
            <w:vMerge w:val="continue"/>
            <w:vAlign w:val="center"/>
          </w:tcPr>
          <w:p w14:paraId="1AF0ACBF">
            <w:pPr>
              <w:spacing w:line="240" w:lineRule="exact"/>
              <w:jc w:val="center"/>
              <w:rPr>
                <w:rFonts w:ascii="Times New Roman" w:hAnsi="Times New Roman" w:eastAsia="宋体" w:cs="Times New Roman"/>
                <w:color w:val="auto"/>
                <w:kern w:val="0"/>
              </w:rPr>
            </w:pPr>
          </w:p>
        </w:tc>
        <w:tc>
          <w:tcPr>
            <w:tcW w:w="799" w:type="pct"/>
            <w:vMerge w:val="restart"/>
            <w:vAlign w:val="center"/>
          </w:tcPr>
          <w:p w14:paraId="2A28F260">
            <w:pPr>
              <w:spacing w:line="240" w:lineRule="exact"/>
              <w:jc w:val="center"/>
              <w:rPr>
                <w:rFonts w:ascii="Times New Roman" w:hAnsi="Times New Roman" w:eastAsia="宋体" w:cs="Times New Roman"/>
                <w:color w:val="auto"/>
                <w:kern w:val="0"/>
              </w:rPr>
            </w:pPr>
            <w:r>
              <w:rPr>
                <w:rFonts w:ascii="Times New Roman" w:hAnsi="Times New Roman" w:eastAsia="宋体" w:cs="Times New Roman"/>
                <w:color w:val="auto"/>
              </w:rPr>
              <w:t>临现有</w:t>
            </w:r>
            <w:r>
              <w:rPr>
                <w:rFonts w:hint="eastAsia" w:ascii="Times New Roman" w:hAnsi="Times New Roman" w:eastAsia="宋体" w:cs="Times New Roman"/>
                <w:color w:val="auto"/>
              </w:rPr>
              <w:t>G219</w:t>
            </w:r>
            <w:r>
              <w:rPr>
                <w:rFonts w:ascii="Times New Roman" w:hAnsi="Times New Roman" w:eastAsia="宋体" w:cs="Times New Roman"/>
                <w:color w:val="auto"/>
              </w:rPr>
              <w:t>边界</w:t>
            </w:r>
            <w:r>
              <w:rPr>
                <w:rFonts w:hint="eastAsia" w:ascii="Times New Roman" w:hAnsi="Times New Roman" w:eastAsia="宋体" w:cs="Times New Roman"/>
                <w:color w:val="auto"/>
              </w:rPr>
              <w:t>35</w:t>
            </w:r>
            <w:r>
              <w:rPr>
                <w:rFonts w:ascii="Times New Roman" w:hAnsi="Times New Roman" w:eastAsia="宋体" w:cs="Times New Roman"/>
                <w:color w:val="auto"/>
              </w:rPr>
              <w:t>m外第一排房</w:t>
            </w:r>
            <w:r>
              <w:rPr>
                <w:rFonts w:hint="eastAsia" w:ascii="Times New Roman" w:hAnsi="Times New Roman" w:eastAsia="宋体" w:cs="Times New Roman"/>
                <w:color w:val="auto"/>
              </w:rPr>
              <w:t>1</w:t>
            </w:r>
            <w:r>
              <w:rPr>
                <w:rFonts w:ascii="Times New Roman" w:hAnsi="Times New Roman" w:eastAsia="宋体" w:cs="Times New Roman"/>
                <w:color w:val="auto"/>
              </w:rPr>
              <w:t>层</w:t>
            </w:r>
          </w:p>
        </w:tc>
        <w:tc>
          <w:tcPr>
            <w:tcW w:w="499" w:type="pct"/>
            <w:noWrap/>
            <w:vAlign w:val="center"/>
          </w:tcPr>
          <w:p w14:paraId="489DF250">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2026.4.27</w:t>
            </w:r>
          </w:p>
        </w:tc>
        <w:tc>
          <w:tcPr>
            <w:tcW w:w="299" w:type="pct"/>
            <w:vAlign w:val="center"/>
          </w:tcPr>
          <w:p w14:paraId="5DBAB162">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昼间</w:t>
            </w:r>
          </w:p>
        </w:tc>
        <w:tc>
          <w:tcPr>
            <w:tcW w:w="499" w:type="pct"/>
            <w:vAlign w:val="center"/>
          </w:tcPr>
          <w:p w14:paraId="3808BD8A">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56</w:t>
            </w:r>
          </w:p>
        </w:tc>
        <w:tc>
          <w:tcPr>
            <w:tcW w:w="335" w:type="pct"/>
            <w:noWrap/>
            <w:vAlign w:val="center"/>
          </w:tcPr>
          <w:p w14:paraId="0552D38F">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49</w:t>
            </w:r>
          </w:p>
        </w:tc>
        <w:tc>
          <w:tcPr>
            <w:tcW w:w="335" w:type="pct"/>
            <w:noWrap/>
            <w:vAlign w:val="center"/>
          </w:tcPr>
          <w:p w14:paraId="0F5EA8D9">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30</w:t>
            </w:r>
          </w:p>
        </w:tc>
        <w:tc>
          <w:tcPr>
            <w:tcW w:w="335" w:type="pct"/>
            <w:noWrap/>
            <w:vAlign w:val="center"/>
          </w:tcPr>
          <w:p w14:paraId="4BC6C6D6">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117</w:t>
            </w:r>
          </w:p>
        </w:tc>
        <w:tc>
          <w:tcPr>
            <w:tcW w:w="342" w:type="pct"/>
            <w:vMerge w:val="restart"/>
            <w:noWrap/>
            <w:vAlign w:val="center"/>
          </w:tcPr>
          <w:p w14:paraId="2477FF79">
            <w:pPr>
              <w:spacing w:line="240" w:lineRule="exact"/>
              <w:jc w:val="center"/>
              <w:rPr>
                <w:rFonts w:ascii="Times New Roman" w:hAnsi="Times New Roman" w:eastAsia="宋体" w:cs="Times New Roman"/>
                <w:color w:val="auto"/>
                <w:kern w:val="0"/>
              </w:rPr>
            </w:pPr>
            <w:r>
              <w:rPr>
                <w:rFonts w:ascii="Times New Roman" w:hAnsi="Times New Roman" w:eastAsia="宋体" w:cs="Times New Roman"/>
                <w:color w:val="auto"/>
                <w:kern w:val="0"/>
              </w:rPr>
              <w:t>2类</w:t>
            </w:r>
          </w:p>
        </w:tc>
        <w:tc>
          <w:tcPr>
            <w:tcW w:w="371" w:type="pct"/>
            <w:noWrap/>
            <w:vAlign w:val="center"/>
          </w:tcPr>
          <w:p w14:paraId="49F78F7A">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7096A390">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vAlign w:val="center"/>
          </w:tcPr>
          <w:p w14:paraId="78C6FD2F">
            <w:pPr>
              <w:spacing w:line="240" w:lineRule="exact"/>
              <w:jc w:val="center"/>
              <w:rPr>
                <w:rFonts w:ascii="Times New Roman" w:hAnsi="Times New Roman" w:eastAsia="宋体" w:cs="Times New Roman"/>
                <w:color w:val="auto"/>
                <w:kern w:val="0"/>
              </w:rPr>
            </w:pPr>
          </w:p>
        </w:tc>
        <w:tc>
          <w:tcPr>
            <w:tcW w:w="474" w:type="pct"/>
            <w:vMerge w:val="continue"/>
            <w:vAlign w:val="center"/>
          </w:tcPr>
          <w:p w14:paraId="43B42207">
            <w:pPr>
              <w:spacing w:line="240" w:lineRule="exact"/>
              <w:jc w:val="center"/>
              <w:rPr>
                <w:rFonts w:ascii="Times New Roman" w:hAnsi="Times New Roman" w:eastAsia="宋体" w:cs="Times New Roman"/>
                <w:color w:val="auto"/>
                <w:kern w:val="0"/>
              </w:rPr>
            </w:pPr>
          </w:p>
        </w:tc>
        <w:tc>
          <w:tcPr>
            <w:tcW w:w="457" w:type="pct"/>
            <w:vMerge w:val="continue"/>
            <w:vAlign w:val="center"/>
          </w:tcPr>
          <w:p w14:paraId="20F55C0A">
            <w:pPr>
              <w:spacing w:line="240" w:lineRule="exact"/>
              <w:jc w:val="center"/>
              <w:rPr>
                <w:rFonts w:ascii="Times New Roman" w:hAnsi="Times New Roman" w:eastAsia="宋体" w:cs="Times New Roman"/>
                <w:color w:val="auto"/>
                <w:kern w:val="0"/>
              </w:rPr>
            </w:pPr>
          </w:p>
        </w:tc>
        <w:tc>
          <w:tcPr>
            <w:tcW w:w="799" w:type="pct"/>
            <w:vMerge w:val="continue"/>
            <w:vAlign w:val="center"/>
          </w:tcPr>
          <w:p w14:paraId="2053D632">
            <w:pPr>
              <w:spacing w:line="240" w:lineRule="exact"/>
              <w:jc w:val="center"/>
              <w:rPr>
                <w:rFonts w:ascii="Times New Roman" w:hAnsi="Times New Roman" w:eastAsia="宋体" w:cs="Times New Roman"/>
                <w:color w:val="auto"/>
                <w:kern w:val="0"/>
              </w:rPr>
            </w:pPr>
          </w:p>
        </w:tc>
        <w:tc>
          <w:tcPr>
            <w:tcW w:w="499" w:type="pct"/>
            <w:noWrap/>
            <w:vAlign w:val="center"/>
          </w:tcPr>
          <w:p w14:paraId="25AA1125">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2026.4.28</w:t>
            </w:r>
          </w:p>
        </w:tc>
        <w:tc>
          <w:tcPr>
            <w:tcW w:w="299" w:type="pct"/>
            <w:vAlign w:val="center"/>
          </w:tcPr>
          <w:p w14:paraId="1B52A3E3">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夜间</w:t>
            </w:r>
          </w:p>
        </w:tc>
        <w:tc>
          <w:tcPr>
            <w:tcW w:w="499" w:type="pct"/>
            <w:vAlign w:val="center"/>
          </w:tcPr>
          <w:p w14:paraId="22F2B6D6">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43</w:t>
            </w:r>
          </w:p>
        </w:tc>
        <w:tc>
          <w:tcPr>
            <w:tcW w:w="335" w:type="pct"/>
            <w:noWrap/>
            <w:vAlign w:val="center"/>
          </w:tcPr>
          <w:p w14:paraId="0F016EE8">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25</w:t>
            </w:r>
          </w:p>
        </w:tc>
        <w:tc>
          <w:tcPr>
            <w:tcW w:w="335" w:type="pct"/>
            <w:noWrap/>
            <w:vAlign w:val="center"/>
          </w:tcPr>
          <w:p w14:paraId="5AE80A82">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21</w:t>
            </w:r>
          </w:p>
        </w:tc>
        <w:tc>
          <w:tcPr>
            <w:tcW w:w="335" w:type="pct"/>
            <w:noWrap/>
            <w:vAlign w:val="center"/>
          </w:tcPr>
          <w:p w14:paraId="43D23984">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36</w:t>
            </w:r>
          </w:p>
        </w:tc>
        <w:tc>
          <w:tcPr>
            <w:tcW w:w="342" w:type="pct"/>
            <w:vMerge w:val="continue"/>
            <w:noWrap/>
            <w:vAlign w:val="center"/>
          </w:tcPr>
          <w:p w14:paraId="2366E612">
            <w:pPr>
              <w:spacing w:line="240" w:lineRule="exact"/>
              <w:jc w:val="center"/>
              <w:rPr>
                <w:rFonts w:ascii="Times New Roman" w:hAnsi="Times New Roman" w:eastAsia="宋体" w:cs="Times New Roman"/>
                <w:color w:val="auto"/>
                <w:kern w:val="0"/>
              </w:rPr>
            </w:pPr>
          </w:p>
        </w:tc>
        <w:tc>
          <w:tcPr>
            <w:tcW w:w="371" w:type="pct"/>
            <w:noWrap/>
            <w:vAlign w:val="center"/>
          </w:tcPr>
          <w:p w14:paraId="18A7F7B5">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27EC7D5C">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vAlign w:val="center"/>
          </w:tcPr>
          <w:p w14:paraId="731F4892">
            <w:pPr>
              <w:spacing w:line="240" w:lineRule="exact"/>
              <w:jc w:val="center"/>
              <w:rPr>
                <w:rFonts w:ascii="Times New Roman" w:hAnsi="Times New Roman" w:eastAsia="宋体" w:cs="Times New Roman"/>
                <w:color w:val="auto"/>
                <w:kern w:val="0"/>
              </w:rPr>
            </w:pPr>
          </w:p>
        </w:tc>
        <w:tc>
          <w:tcPr>
            <w:tcW w:w="474" w:type="pct"/>
            <w:vMerge w:val="continue"/>
            <w:vAlign w:val="center"/>
          </w:tcPr>
          <w:p w14:paraId="70D6AA93">
            <w:pPr>
              <w:spacing w:line="240" w:lineRule="exact"/>
              <w:jc w:val="center"/>
              <w:rPr>
                <w:rFonts w:ascii="Times New Roman" w:hAnsi="Times New Roman" w:eastAsia="宋体" w:cs="Times New Roman"/>
                <w:color w:val="auto"/>
                <w:kern w:val="0"/>
              </w:rPr>
            </w:pPr>
          </w:p>
        </w:tc>
        <w:tc>
          <w:tcPr>
            <w:tcW w:w="457" w:type="pct"/>
            <w:vMerge w:val="continue"/>
            <w:vAlign w:val="center"/>
          </w:tcPr>
          <w:p w14:paraId="585E479F">
            <w:pPr>
              <w:spacing w:line="240" w:lineRule="exact"/>
              <w:jc w:val="center"/>
              <w:rPr>
                <w:rFonts w:ascii="Times New Roman" w:hAnsi="Times New Roman" w:eastAsia="宋体" w:cs="Times New Roman"/>
                <w:color w:val="auto"/>
                <w:kern w:val="0"/>
              </w:rPr>
            </w:pPr>
          </w:p>
        </w:tc>
        <w:tc>
          <w:tcPr>
            <w:tcW w:w="799" w:type="pct"/>
            <w:vMerge w:val="continue"/>
            <w:vAlign w:val="center"/>
          </w:tcPr>
          <w:p w14:paraId="6D5BE92D">
            <w:pPr>
              <w:spacing w:line="240" w:lineRule="exact"/>
              <w:jc w:val="center"/>
              <w:rPr>
                <w:rFonts w:ascii="Times New Roman" w:hAnsi="Times New Roman" w:eastAsia="宋体" w:cs="Times New Roman"/>
                <w:color w:val="auto"/>
                <w:kern w:val="0"/>
              </w:rPr>
            </w:pPr>
          </w:p>
        </w:tc>
        <w:tc>
          <w:tcPr>
            <w:tcW w:w="499" w:type="pct"/>
            <w:noWrap/>
            <w:vAlign w:val="center"/>
          </w:tcPr>
          <w:p w14:paraId="1C06F39A">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2026.4.28</w:t>
            </w:r>
          </w:p>
        </w:tc>
        <w:tc>
          <w:tcPr>
            <w:tcW w:w="299" w:type="pct"/>
            <w:vAlign w:val="center"/>
          </w:tcPr>
          <w:p w14:paraId="606B8D03">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昼间</w:t>
            </w:r>
          </w:p>
        </w:tc>
        <w:tc>
          <w:tcPr>
            <w:tcW w:w="499" w:type="pct"/>
            <w:vAlign w:val="center"/>
          </w:tcPr>
          <w:p w14:paraId="232E99C0">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54</w:t>
            </w:r>
          </w:p>
        </w:tc>
        <w:tc>
          <w:tcPr>
            <w:tcW w:w="335" w:type="pct"/>
            <w:noWrap/>
            <w:vAlign w:val="center"/>
          </w:tcPr>
          <w:p w14:paraId="3718279D">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50</w:t>
            </w:r>
          </w:p>
        </w:tc>
        <w:tc>
          <w:tcPr>
            <w:tcW w:w="335" w:type="pct"/>
            <w:noWrap/>
            <w:vAlign w:val="center"/>
          </w:tcPr>
          <w:p w14:paraId="34EF9D8E">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33</w:t>
            </w:r>
          </w:p>
        </w:tc>
        <w:tc>
          <w:tcPr>
            <w:tcW w:w="335" w:type="pct"/>
            <w:noWrap/>
            <w:vAlign w:val="center"/>
          </w:tcPr>
          <w:p w14:paraId="20C91F78">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114</w:t>
            </w:r>
          </w:p>
        </w:tc>
        <w:tc>
          <w:tcPr>
            <w:tcW w:w="342" w:type="pct"/>
            <w:vMerge w:val="continue"/>
            <w:noWrap/>
            <w:vAlign w:val="center"/>
          </w:tcPr>
          <w:p w14:paraId="61E70BCB">
            <w:pPr>
              <w:spacing w:line="240" w:lineRule="exact"/>
              <w:jc w:val="center"/>
              <w:rPr>
                <w:rFonts w:ascii="Times New Roman" w:hAnsi="Times New Roman" w:eastAsia="宋体" w:cs="Times New Roman"/>
                <w:color w:val="auto"/>
                <w:kern w:val="0"/>
              </w:rPr>
            </w:pPr>
          </w:p>
        </w:tc>
        <w:tc>
          <w:tcPr>
            <w:tcW w:w="371" w:type="pct"/>
            <w:noWrap/>
            <w:vAlign w:val="center"/>
          </w:tcPr>
          <w:p w14:paraId="6635FB48">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61A0CAC4">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vAlign w:val="center"/>
          </w:tcPr>
          <w:p w14:paraId="53A6775D">
            <w:pPr>
              <w:spacing w:line="240" w:lineRule="exact"/>
              <w:jc w:val="center"/>
              <w:rPr>
                <w:rFonts w:ascii="Times New Roman" w:hAnsi="Times New Roman" w:eastAsia="宋体" w:cs="Times New Roman"/>
                <w:color w:val="auto"/>
                <w:kern w:val="0"/>
              </w:rPr>
            </w:pPr>
          </w:p>
        </w:tc>
        <w:tc>
          <w:tcPr>
            <w:tcW w:w="474" w:type="pct"/>
            <w:vMerge w:val="continue"/>
            <w:vAlign w:val="center"/>
          </w:tcPr>
          <w:p w14:paraId="3C71BE3B">
            <w:pPr>
              <w:spacing w:line="240" w:lineRule="exact"/>
              <w:jc w:val="center"/>
              <w:rPr>
                <w:rFonts w:ascii="Times New Roman" w:hAnsi="Times New Roman" w:eastAsia="宋体" w:cs="Times New Roman"/>
                <w:color w:val="auto"/>
                <w:kern w:val="0"/>
              </w:rPr>
            </w:pPr>
          </w:p>
        </w:tc>
        <w:tc>
          <w:tcPr>
            <w:tcW w:w="457" w:type="pct"/>
            <w:vMerge w:val="continue"/>
            <w:vAlign w:val="center"/>
          </w:tcPr>
          <w:p w14:paraId="78CB4901">
            <w:pPr>
              <w:spacing w:line="240" w:lineRule="exact"/>
              <w:jc w:val="center"/>
              <w:rPr>
                <w:rFonts w:ascii="Times New Roman" w:hAnsi="Times New Roman" w:eastAsia="宋体" w:cs="Times New Roman"/>
                <w:color w:val="auto"/>
                <w:kern w:val="0"/>
              </w:rPr>
            </w:pPr>
          </w:p>
        </w:tc>
        <w:tc>
          <w:tcPr>
            <w:tcW w:w="799" w:type="pct"/>
            <w:vMerge w:val="continue"/>
            <w:vAlign w:val="center"/>
          </w:tcPr>
          <w:p w14:paraId="0395FB80">
            <w:pPr>
              <w:spacing w:line="240" w:lineRule="exact"/>
              <w:jc w:val="center"/>
              <w:rPr>
                <w:rFonts w:ascii="Times New Roman" w:hAnsi="Times New Roman" w:eastAsia="宋体" w:cs="Times New Roman"/>
                <w:color w:val="auto"/>
                <w:kern w:val="0"/>
              </w:rPr>
            </w:pPr>
          </w:p>
        </w:tc>
        <w:tc>
          <w:tcPr>
            <w:tcW w:w="499" w:type="pct"/>
            <w:noWrap/>
            <w:vAlign w:val="center"/>
          </w:tcPr>
          <w:p w14:paraId="2CE85B89">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2026.4.29</w:t>
            </w:r>
          </w:p>
        </w:tc>
        <w:tc>
          <w:tcPr>
            <w:tcW w:w="299" w:type="pct"/>
            <w:vAlign w:val="center"/>
          </w:tcPr>
          <w:p w14:paraId="3F7EF7D9">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夜间</w:t>
            </w:r>
          </w:p>
        </w:tc>
        <w:tc>
          <w:tcPr>
            <w:tcW w:w="499" w:type="pct"/>
            <w:vAlign w:val="center"/>
          </w:tcPr>
          <w:p w14:paraId="004EA928">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43</w:t>
            </w:r>
          </w:p>
        </w:tc>
        <w:tc>
          <w:tcPr>
            <w:tcW w:w="335" w:type="pct"/>
            <w:noWrap/>
            <w:vAlign w:val="center"/>
          </w:tcPr>
          <w:p w14:paraId="75C3AD50">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26</w:t>
            </w:r>
          </w:p>
        </w:tc>
        <w:tc>
          <w:tcPr>
            <w:tcW w:w="335" w:type="pct"/>
            <w:noWrap/>
            <w:vAlign w:val="center"/>
          </w:tcPr>
          <w:p w14:paraId="05A5EC4E">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15</w:t>
            </w:r>
          </w:p>
        </w:tc>
        <w:tc>
          <w:tcPr>
            <w:tcW w:w="335" w:type="pct"/>
            <w:noWrap/>
            <w:vAlign w:val="center"/>
          </w:tcPr>
          <w:p w14:paraId="0C92439F">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33</w:t>
            </w:r>
          </w:p>
        </w:tc>
        <w:tc>
          <w:tcPr>
            <w:tcW w:w="342" w:type="pct"/>
            <w:vMerge w:val="continue"/>
            <w:noWrap/>
            <w:vAlign w:val="center"/>
          </w:tcPr>
          <w:p w14:paraId="68759684">
            <w:pPr>
              <w:spacing w:line="240" w:lineRule="exact"/>
              <w:jc w:val="center"/>
              <w:rPr>
                <w:rFonts w:ascii="Times New Roman" w:hAnsi="Times New Roman" w:eastAsia="宋体" w:cs="Times New Roman"/>
                <w:color w:val="auto"/>
                <w:kern w:val="0"/>
              </w:rPr>
            </w:pPr>
          </w:p>
        </w:tc>
        <w:tc>
          <w:tcPr>
            <w:tcW w:w="371" w:type="pct"/>
            <w:noWrap/>
            <w:vAlign w:val="center"/>
          </w:tcPr>
          <w:p w14:paraId="4A34596C">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6424B1FB">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noWrap/>
            <w:vAlign w:val="center"/>
          </w:tcPr>
          <w:p w14:paraId="5AADB06E">
            <w:pPr>
              <w:spacing w:line="240" w:lineRule="exact"/>
              <w:jc w:val="center"/>
              <w:rPr>
                <w:rFonts w:ascii="Times New Roman" w:hAnsi="Times New Roman" w:eastAsia="宋体" w:cs="Times New Roman"/>
                <w:color w:val="auto"/>
                <w:kern w:val="0"/>
              </w:rPr>
            </w:pPr>
          </w:p>
        </w:tc>
        <w:tc>
          <w:tcPr>
            <w:tcW w:w="474" w:type="pct"/>
            <w:vMerge w:val="continue"/>
            <w:noWrap/>
            <w:vAlign w:val="center"/>
          </w:tcPr>
          <w:p w14:paraId="66A67DB9">
            <w:pPr>
              <w:spacing w:line="240" w:lineRule="exact"/>
              <w:jc w:val="center"/>
              <w:rPr>
                <w:rFonts w:ascii="Times New Roman" w:hAnsi="Times New Roman" w:eastAsia="宋体" w:cs="Times New Roman"/>
                <w:color w:val="auto"/>
                <w:kern w:val="0"/>
              </w:rPr>
            </w:pPr>
          </w:p>
        </w:tc>
        <w:tc>
          <w:tcPr>
            <w:tcW w:w="457" w:type="pct"/>
            <w:vMerge w:val="restart"/>
            <w:vAlign w:val="center"/>
          </w:tcPr>
          <w:p w14:paraId="1F4B3BAD">
            <w:pPr>
              <w:spacing w:line="240" w:lineRule="exact"/>
              <w:jc w:val="center"/>
              <w:rPr>
                <w:rFonts w:ascii="Times New Roman" w:hAnsi="Times New Roman" w:eastAsia="宋体" w:cs="Times New Roman"/>
                <w:color w:val="auto"/>
                <w:kern w:val="0"/>
              </w:rPr>
            </w:pPr>
            <w:r>
              <w:rPr>
                <w:rFonts w:ascii="Times New Roman" w:hAnsi="Times New Roman" w:eastAsia="宋体" w:cs="Times New Roman"/>
                <w:color w:val="auto"/>
                <w:kern w:val="0"/>
              </w:rPr>
              <w:t>背景噪声</w:t>
            </w:r>
          </w:p>
        </w:tc>
        <w:tc>
          <w:tcPr>
            <w:tcW w:w="799" w:type="pct"/>
            <w:vMerge w:val="restart"/>
            <w:vAlign w:val="center"/>
          </w:tcPr>
          <w:p w14:paraId="7124C85B">
            <w:pPr>
              <w:spacing w:line="240" w:lineRule="exact"/>
              <w:jc w:val="center"/>
              <w:rPr>
                <w:rFonts w:ascii="Times New Roman" w:hAnsi="Times New Roman" w:eastAsia="宋体" w:cs="Times New Roman"/>
                <w:color w:val="auto"/>
                <w:kern w:val="0"/>
              </w:rPr>
            </w:pPr>
            <w:r>
              <w:rPr>
                <w:rFonts w:hint="eastAsia" w:ascii="Times New Roman" w:hAnsi="Times New Roman" w:eastAsia="宋体" w:cs="Times New Roman"/>
                <w:color w:val="auto"/>
                <w:szCs w:val="21"/>
              </w:rPr>
              <w:t>远离现有G219</w:t>
            </w:r>
            <w:r>
              <w:rPr>
                <w:rFonts w:ascii="Times New Roman" w:hAnsi="Times New Roman" w:eastAsia="宋体" w:cs="Times New Roman"/>
                <w:color w:val="auto"/>
                <w:kern w:val="0"/>
                <w:szCs w:val="21"/>
              </w:rPr>
              <w:t>公路200m外</w:t>
            </w:r>
          </w:p>
        </w:tc>
        <w:tc>
          <w:tcPr>
            <w:tcW w:w="499" w:type="pct"/>
            <w:noWrap/>
            <w:vAlign w:val="center"/>
          </w:tcPr>
          <w:p w14:paraId="7777BBDB">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2026.4.27</w:t>
            </w:r>
          </w:p>
        </w:tc>
        <w:tc>
          <w:tcPr>
            <w:tcW w:w="299" w:type="pct"/>
            <w:vAlign w:val="center"/>
          </w:tcPr>
          <w:p w14:paraId="3365BED5">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昼间</w:t>
            </w:r>
          </w:p>
        </w:tc>
        <w:tc>
          <w:tcPr>
            <w:tcW w:w="499" w:type="pct"/>
            <w:vAlign w:val="center"/>
          </w:tcPr>
          <w:p w14:paraId="350A22F1">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44</w:t>
            </w:r>
          </w:p>
        </w:tc>
        <w:tc>
          <w:tcPr>
            <w:tcW w:w="335" w:type="pct"/>
            <w:noWrap/>
            <w:vAlign w:val="center"/>
          </w:tcPr>
          <w:p w14:paraId="37A11A28">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35" w:type="pct"/>
            <w:noWrap/>
            <w:vAlign w:val="center"/>
          </w:tcPr>
          <w:p w14:paraId="4AEF892D">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35" w:type="pct"/>
            <w:noWrap/>
            <w:vAlign w:val="center"/>
          </w:tcPr>
          <w:p w14:paraId="35BAFB5A">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42" w:type="pct"/>
            <w:vMerge w:val="continue"/>
            <w:noWrap/>
            <w:vAlign w:val="center"/>
          </w:tcPr>
          <w:p w14:paraId="4036653A">
            <w:pPr>
              <w:spacing w:line="240" w:lineRule="exact"/>
              <w:jc w:val="center"/>
              <w:rPr>
                <w:rFonts w:ascii="Times New Roman" w:hAnsi="Times New Roman" w:eastAsia="宋体" w:cs="Times New Roman"/>
                <w:color w:val="auto"/>
                <w:kern w:val="0"/>
              </w:rPr>
            </w:pPr>
          </w:p>
        </w:tc>
        <w:tc>
          <w:tcPr>
            <w:tcW w:w="371" w:type="pct"/>
            <w:noWrap/>
            <w:vAlign w:val="center"/>
          </w:tcPr>
          <w:p w14:paraId="6CE6948B">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2E577452">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vAlign w:val="center"/>
          </w:tcPr>
          <w:p w14:paraId="46AAB495">
            <w:pPr>
              <w:spacing w:line="240" w:lineRule="exact"/>
              <w:jc w:val="center"/>
              <w:rPr>
                <w:rFonts w:ascii="Times New Roman" w:hAnsi="Times New Roman" w:eastAsia="宋体" w:cs="Times New Roman"/>
                <w:color w:val="auto"/>
                <w:kern w:val="0"/>
              </w:rPr>
            </w:pPr>
          </w:p>
        </w:tc>
        <w:tc>
          <w:tcPr>
            <w:tcW w:w="474" w:type="pct"/>
            <w:vMerge w:val="continue"/>
            <w:vAlign w:val="center"/>
          </w:tcPr>
          <w:p w14:paraId="51CA02D8">
            <w:pPr>
              <w:spacing w:line="240" w:lineRule="exact"/>
              <w:jc w:val="center"/>
              <w:rPr>
                <w:rFonts w:ascii="Times New Roman" w:hAnsi="Times New Roman" w:eastAsia="宋体" w:cs="Times New Roman"/>
                <w:color w:val="auto"/>
                <w:kern w:val="0"/>
              </w:rPr>
            </w:pPr>
          </w:p>
        </w:tc>
        <w:tc>
          <w:tcPr>
            <w:tcW w:w="457" w:type="pct"/>
            <w:vMerge w:val="continue"/>
            <w:vAlign w:val="center"/>
          </w:tcPr>
          <w:p w14:paraId="3F2ADB96">
            <w:pPr>
              <w:spacing w:line="240" w:lineRule="exact"/>
              <w:jc w:val="center"/>
              <w:rPr>
                <w:rFonts w:ascii="Times New Roman" w:hAnsi="Times New Roman" w:eastAsia="宋体" w:cs="Times New Roman"/>
                <w:color w:val="auto"/>
                <w:kern w:val="0"/>
              </w:rPr>
            </w:pPr>
          </w:p>
        </w:tc>
        <w:tc>
          <w:tcPr>
            <w:tcW w:w="799" w:type="pct"/>
            <w:vMerge w:val="continue"/>
            <w:vAlign w:val="center"/>
          </w:tcPr>
          <w:p w14:paraId="0DBE1045">
            <w:pPr>
              <w:spacing w:line="240" w:lineRule="exact"/>
              <w:jc w:val="center"/>
              <w:rPr>
                <w:rFonts w:ascii="Times New Roman" w:hAnsi="Times New Roman" w:eastAsia="宋体" w:cs="Times New Roman"/>
                <w:color w:val="auto"/>
                <w:kern w:val="0"/>
              </w:rPr>
            </w:pPr>
          </w:p>
        </w:tc>
        <w:tc>
          <w:tcPr>
            <w:tcW w:w="499" w:type="pct"/>
            <w:noWrap/>
            <w:vAlign w:val="center"/>
          </w:tcPr>
          <w:p w14:paraId="5A30453D">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2026.4.28</w:t>
            </w:r>
          </w:p>
        </w:tc>
        <w:tc>
          <w:tcPr>
            <w:tcW w:w="299" w:type="pct"/>
            <w:vAlign w:val="center"/>
          </w:tcPr>
          <w:p w14:paraId="2FD2C3D4">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夜间</w:t>
            </w:r>
          </w:p>
        </w:tc>
        <w:tc>
          <w:tcPr>
            <w:tcW w:w="499" w:type="pct"/>
            <w:vAlign w:val="center"/>
          </w:tcPr>
          <w:p w14:paraId="4D48FF48">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37</w:t>
            </w:r>
          </w:p>
        </w:tc>
        <w:tc>
          <w:tcPr>
            <w:tcW w:w="335" w:type="pct"/>
            <w:noWrap/>
            <w:vAlign w:val="center"/>
          </w:tcPr>
          <w:p w14:paraId="5A42CC39">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35" w:type="pct"/>
            <w:noWrap/>
            <w:vAlign w:val="center"/>
          </w:tcPr>
          <w:p w14:paraId="2ECB2AAB">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35" w:type="pct"/>
            <w:noWrap/>
            <w:vAlign w:val="center"/>
          </w:tcPr>
          <w:p w14:paraId="099EF98B">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42" w:type="pct"/>
            <w:vMerge w:val="continue"/>
            <w:noWrap/>
            <w:vAlign w:val="center"/>
          </w:tcPr>
          <w:p w14:paraId="2D68867F">
            <w:pPr>
              <w:spacing w:line="240" w:lineRule="exact"/>
              <w:jc w:val="center"/>
              <w:rPr>
                <w:rFonts w:ascii="Times New Roman" w:hAnsi="Times New Roman" w:eastAsia="宋体" w:cs="Times New Roman"/>
                <w:color w:val="auto"/>
                <w:kern w:val="0"/>
              </w:rPr>
            </w:pPr>
          </w:p>
        </w:tc>
        <w:tc>
          <w:tcPr>
            <w:tcW w:w="371" w:type="pct"/>
            <w:noWrap/>
            <w:vAlign w:val="center"/>
          </w:tcPr>
          <w:p w14:paraId="56432DAA">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3A27B9FA">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vAlign w:val="center"/>
          </w:tcPr>
          <w:p w14:paraId="27E75852">
            <w:pPr>
              <w:spacing w:line="240" w:lineRule="exact"/>
              <w:jc w:val="center"/>
              <w:rPr>
                <w:rFonts w:ascii="Times New Roman" w:hAnsi="Times New Roman" w:eastAsia="宋体" w:cs="Times New Roman"/>
                <w:color w:val="auto"/>
                <w:kern w:val="0"/>
              </w:rPr>
            </w:pPr>
          </w:p>
        </w:tc>
        <w:tc>
          <w:tcPr>
            <w:tcW w:w="474" w:type="pct"/>
            <w:vMerge w:val="continue"/>
            <w:vAlign w:val="center"/>
          </w:tcPr>
          <w:p w14:paraId="7E1A32FB">
            <w:pPr>
              <w:spacing w:line="240" w:lineRule="exact"/>
              <w:jc w:val="center"/>
              <w:rPr>
                <w:rFonts w:ascii="Times New Roman" w:hAnsi="Times New Roman" w:eastAsia="宋体" w:cs="Times New Roman"/>
                <w:color w:val="auto"/>
                <w:kern w:val="0"/>
              </w:rPr>
            </w:pPr>
          </w:p>
        </w:tc>
        <w:tc>
          <w:tcPr>
            <w:tcW w:w="457" w:type="pct"/>
            <w:vMerge w:val="continue"/>
            <w:vAlign w:val="center"/>
          </w:tcPr>
          <w:p w14:paraId="4B70BAD4">
            <w:pPr>
              <w:spacing w:line="240" w:lineRule="exact"/>
              <w:jc w:val="center"/>
              <w:rPr>
                <w:rFonts w:ascii="Times New Roman" w:hAnsi="Times New Roman" w:eastAsia="宋体" w:cs="Times New Roman"/>
                <w:color w:val="auto"/>
                <w:kern w:val="0"/>
              </w:rPr>
            </w:pPr>
          </w:p>
        </w:tc>
        <w:tc>
          <w:tcPr>
            <w:tcW w:w="799" w:type="pct"/>
            <w:vMerge w:val="continue"/>
            <w:vAlign w:val="center"/>
          </w:tcPr>
          <w:p w14:paraId="40D4230B">
            <w:pPr>
              <w:spacing w:line="240" w:lineRule="exact"/>
              <w:jc w:val="center"/>
              <w:rPr>
                <w:rFonts w:ascii="Times New Roman" w:hAnsi="Times New Roman" w:eastAsia="宋体" w:cs="Times New Roman"/>
                <w:color w:val="auto"/>
                <w:kern w:val="0"/>
              </w:rPr>
            </w:pPr>
          </w:p>
        </w:tc>
        <w:tc>
          <w:tcPr>
            <w:tcW w:w="499" w:type="pct"/>
            <w:noWrap/>
            <w:vAlign w:val="center"/>
          </w:tcPr>
          <w:p w14:paraId="4039CB71">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2026.4.28</w:t>
            </w:r>
          </w:p>
        </w:tc>
        <w:tc>
          <w:tcPr>
            <w:tcW w:w="299" w:type="pct"/>
            <w:vAlign w:val="center"/>
          </w:tcPr>
          <w:p w14:paraId="76813C0C">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昼间</w:t>
            </w:r>
          </w:p>
        </w:tc>
        <w:tc>
          <w:tcPr>
            <w:tcW w:w="499" w:type="pct"/>
            <w:vAlign w:val="center"/>
          </w:tcPr>
          <w:p w14:paraId="31534436">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46</w:t>
            </w:r>
          </w:p>
        </w:tc>
        <w:tc>
          <w:tcPr>
            <w:tcW w:w="335" w:type="pct"/>
            <w:noWrap/>
            <w:vAlign w:val="center"/>
          </w:tcPr>
          <w:p w14:paraId="6CF80157">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35" w:type="pct"/>
            <w:noWrap/>
            <w:vAlign w:val="center"/>
          </w:tcPr>
          <w:p w14:paraId="564BBA6E">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35" w:type="pct"/>
            <w:noWrap/>
            <w:vAlign w:val="center"/>
          </w:tcPr>
          <w:p w14:paraId="545C5C81">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42" w:type="pct"/>
            <w:vMerge w:val="continue"/>
            <w:noWrap/>
            <w:vAlign w:val="center"/>
          </w:tcPr>
          <w:p w14:paraId="7EA5626E">
            <w:pPr>
              <w:spacing w:line="240" w:lineRule="exact"/>
              <w:jc w:val="center"/>
              <w:rPr>
                <w:rFonts w:ascii="Times New Roman" w:hAnsi="Times New Roman" w:eastAsia="宋体" w:cs="Times New Roman"/>
                <w:color w:val="auto"/>
                <w:kern w:val="0"/>
              </w:rPr>
            </w:pPr>
          </w:p>
        </w:tc>
        <w:tc>
          <w:tcPr>
            <w:tcW w:w="371" w:type="pct"/>
            <w:noWrap/>
            <w:vAlign w:val="center"/>
          </w:tcPr>
          <w:p w14:paraId="46361C94">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331F10BB">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vAlign w:val="center"/>
          </w:tcPr>
          <w:p w14:paraId="6FC2458F">
            <w:pPr>
              <w:spacing w:line="240" w:lineRule="exact"/>
              <w:jc w:val="center"/>
              <w:rPr>
                <w:rFonts w:ascii="Times New Roman" w:hAnsi="Times New Roman" w:eastAsia="宋体" w:cs="Times New Roman"/>
                <w:color w:val="auto"/>
                <w:kern w:val="0"/>
              </w:rPr>
            </w:pPr>
          </w:p>
        </w:tc>
        <w:tc>
          <w:tcPr>
            <w:tcW w:w="474" w:type="pct"/>
            <w:vMerge w:val="continue"/>
            <w:vAlign w:val="center"/>
          </w:tcPr>
          <w:p w14:paraId="38616757">
            <w:pPr>
              <w:spacing w:line="240" w:lineRule="exact"/>
              <w:jc w:val="center"/>
              <w:rPr>
                <w:rFonts w:ascii="Times New Roman" w:hAnsi="Times New Roman" w:eastAsia="宋体" w:cs="Times New Roman"/>
                <w:color w:val="auto"/>
                <w:kern w:val="0"/>
              </w:rPr>
            </w:pPr>
          </w:p>
        </w:tc>
        <w:tc>
          <w:tcPr>
            <w:tcW w:w="457" w:type="pct"/>
            <w:vMerge w:val="continue"/>
            <w:vAlign w:val="center"/>
          </w:tcPr>
          <w:p w14:paraId="3466F8C4">
            <w:pPr>
              <w:spacing w:line="240" w:lineRule="exact"/>
              <w:jc w:val="center"/>
              <w:rPr>
                <w:rFonts w:ascii="Times New Roman" w:hAnsi="Times New Roman" w:eastAsia="宋体" w:cs="Times New Roman"/>
                <w:color w:val="auto"/>
                <w:kern w:val="0"/>
              </w:rPr>
            </w:pPr>
          </w:p>
        </w:tc>
        <w:tc>
          <w:tcPr>
            <w:tcW w:w="799" w:type="pct"/>
            <w:vMerge w:val="continue"/>
            <w:vAlign w:val="center"/>
          </w:tcPr>
          <w:p w14:paraId="1B71913D">
            <w:pPr>
              <w:spacing w:line="240" w:lineRule="exact"/>
              <w:jc w:val="center"/>
              <w:rPr>
                <w:rFonts w:ascii="Times New Roman" w:hAnsi="Times New Roman" w:eastAsia="宋体" w:cs="Times New Roman"/>
                <w:color w:val="auto"/>
                <w:kern w:val="0"/>
              </w:rPr>
            </w:pPr>
          </w:p>
        </w:tc>
        <w:tc>
          <w:tcPr>
            <w:tcW w:w="499" w:type="pct"/>
            <w:noWrap/>
            <w:vAlign w:val="center"/>
          </w:tcPr>
          <w:p w14:paraId="6FBE428C">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2026.4.29</w:t>
            </w:r>
          </w:p>
        </w:tc>
        <w:tc>
          <w:tcPr>
            <w:tcW w:w="299" w:type="pct"/>
            <w:vAlign w:val="center"/>
          </w:tcPr>
          <w:p w14:paraId="12A4D44A">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夜间</w:t>
            </w:r>
          </w:p>
        </w:tc>
        <w:tc>
          <w:tcPr>
            <w:tcW w:w="499" w:type="pct"/>
            <w:vAlign w:val="center"/>
          </w:tcPr>
          <w:p w14:paraId="2BF69D28">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38</w:t>
            </w:r>
          </w:p>
        </w:tc>
        <w:tc>
          <w:tcPr>
            <w:tcW w:w="335" w:type="pct"/>
            <w:noWrap/>
            <w:vAlign w:val="center"/>
          </w:tcPr>
          <w:p w14:paraId="3A7FE9FA">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35" w:type="pct"/>
            <w:noWrap/>
            <w:vAlign w:val="center"/>
          </w:tcPr>
          <w:p w14:paraId="55563E76">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35" w:type="pct"/>
            <w:noWrap/>
            <w:vAlign w:val="center"/>
          </w:tcPr>
          <w:p w14:paraId="271E5BDF">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42" w:type="pct"/>
            <w:vMerge w:val="continue"/>
            <w:noWrap/>
            <w:vAlign w:val="center"/>
          </w:tcPr>
          <w:p w14:paraId="2F8503B6">
            <w:pPr>
              <w:spacing w:line="240" w:lineRule="exact"/>
              <w:jc w:val="center"/>
              <w:rPr>
                <w:rFonts w:ascii="Times New Roman" w:hAnsi="Times New Roman" w:eastAsia="宋体" w:cs="Times New Roman"/>
                <w:color w:val="auto"/>
                <w:kern w:val="0"/>
              </w:rPr>
            </w:pPr>
          </w:p>
        </w:tc>
        <w:tc>
          <w:tcPr>
            <w:tcW w:w="371" w:type="pct"/>
            <w:noWrap/>
            <w:vAlign w:val="center"/>
          </w:tcPr>
          <w:p w14:paraId="28310582">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54A7AF20">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restart"/>
            <w:noWrap/>
            <w:vAlign w:val="center"/>
          </w:tcPr>
          <w:p w14:paraId="5F3DAEDE">
            <w:pPr>
              <w:spacing w:line="240" w:lineRule="exact"/>
              <w:jc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20</w:t>
            </w:r>
          </w:p>
        </w:tc>
        <w:tc>
          <w:tcPr>
            <w:tcW w:w="474" w:type="pct"/>
            <w:vMerge w:val="restart"/>
            <w:noWrap/>
            <w:vAlign w:val="center"/>
          </w:tcPr>
          <w:p w14:paraId="590D7374">
            <w:pPr>
              <w:spacing w:line="240" w:lineRule="exact"/>
              <w:jc w:val="center"/>
              <w:rPr>
                <w:rFonts w:ascii="Times New Roman" w:hAnsi="Times New Roman" w:eastAsia="宋体" w:cs="Times New Roman"/>
                <w:color w:val="auto"/>
                <w:kern w:val="0"/>
              </w:rPr>
            </w:pPr>
            <w:r>
              <w:rPr>
                <w:rFonts w:hint="eastAsia" w:ascii="Times New Roman" w:cs="Times New Roman" w:hAnsiTheme="minorEastAsia" w:eastAsiaTheme="minorEastAsia"/>
                <w:color w:val="auto"/>
              </w:rPr>
              <w:t>托万克阿帕霍加</w:t>
            </w:r>
          </w:p>
        </w:tc>
        <w:tc>
          <w:tcPr>
            <w:tcW w:w="457" w:type="pct"/>
            <w:vMerge w:val="restart"/>
            <w:vAlign w:val="center"/>
          </w:tcPr>
          <w:p w14:paraId="01248E72">
            <w:pPr>
              <w:spacing w:line="240" w:lineRule="exact"/>
              <w:jc w:val="center"/>
              <w:rPr>
                <w:rFonts w:ascii="Times New Roman" w:hAnsi="Times New Roman" w:eastAsia="宋体" w:cs="Times New Roman"/>
                <w:color w:val="auto"/>
                <w:kern w:val="0"/>
              </w:rPr>
            </w:pPr>
            <w:r>
              <w:rPr>
                <w:rFonts w:ascii="Times New Roman" w:hAnsi="Times New Roman" w:eastAsia="宋体" w:cs="Times New Roman"/>
                <w:color w:val="auto"/>
                <w:kern w:val="0"/>
              </w:rPr>
              <w:t>环境噪声</w:t>
            </w:r>
          </w:p>
        </w:tc>
        <w:tc>
          <w:tcPr>
            <w:tcW w:w="799" w:type="pct"/>
            <w:vMerge w:val="restart"/>
            <w:vAlign w:val="center"/>
          </w:tcPr>
          <w:p w14:paraId="307DB7D3">
            <w:pPr>
              <w:spacing w:line="240" w:lineRule="exact"/>
              <w:jc w:val="center"/>
              <w:rPr>
                <w:rFonts w:ascii="Times New Roman" w:hAnsi="Times New Roman" w:eastAsia="宋体" w:cs="Times New Roman"/>
                <w:color w:val="auto"/>
                <w:kern w:val="0"/>
              </w:rPr>
            </w:pPr>
            <w:r>
              <w:rPr>
                <w:rFonts w:ascii="Times New Roman" w:hAnsi="Times New Roman" w:eastAsia="宋体" w:cs="Times New Roman"/>
                <w:color w:val="auto"/>
              </w:rPr>
              <w:t>临现有</w:t>
            </w:r>
            <w:r>
              <w:rPr>
                <w:rFonts w:hint="eastAsia" w:ascii="Times New Roman" w:hAnsi="Times New Roman" w:eastAsia="宋体" w:cs="Times New Roman"/>
                <w:color w:val="auto"/>
              </w:rPr>
              <w:t>G219</w:t>
            </w:r>
            <w:r>
              <w:rPr>
                <w:rFonts w:ascii="Times New Roman" w:hAnsi="Times New Roman" w:eastAsia="宋体" w:cs="Times New Roman"/>
                <w:color w:val="auto"/>
              </w:rPr>
              <w:t>第一排房</w:t>
            </w:r>
            <w:r>
              <w:rPr>
                <w:rFonts w:hint="eastAsia" w:ascii="Times New Roman" w:hAnsi="Times New Roman" w:eastAsia="宋体" w:cs="Times New Roman"/>
                <w:color w:val="auto"/>
              </w:rPr>
              <w:t>1</w:t>
            </w:r>
            <w:r>
              <w:rPr>
                <w:rFonts w:ascii="Times New Roman" w:hAnsi="Times New Roman" w:eastAsia="宋体" w:cs="Times New Roman"/>
                <w:color w:val="auto"/>
              </w:rPr>
              <w:t>层</w:t>
            </w:r>
          </w:p>
        </w:tc>
        <w:tc>
          <w:tcPr>
            <w:tcW w:w="499" w:type="pct"/>
            <w:noWrap/>
            <w:vAlign w:val="center"/>
          </w:tcPr>
          <w:p w14:paraId="757DF638">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2026.4.27</w:t>
            </w:r>
          </w:p>
        </w:tc>
        <w:tc>
          <w:tcPr>
            <w:tcW w:w="299" w:type="pct"/>
            <w:vAlign w:val="center"/>
          </w:tcPr>
          <w:p w14:paraId="5D728CD9">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昼间</w:t>
            </w:r>
          </w:p>
        </w:tc>
        <w:tc>
          <w:tcPr>
            <w:tcW w:w="499" w:type="pct"/>
            <w:vAlign w:val="center"/>
          </w:tcPr>
          <w:p w14:paraId="44C0924C">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55</w:t>
            </w:r>
          </w:p>
        </w:tc>
        <w:tc>
          <w:tcPr>
            <w:tcW w:w="335" w:type="pct"/>
            <w:noWrap/>
            <w:vAlign w:val="center"/>
          </w:tcPr>
          <w:p w14:paraId="713948FC">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53</w:t>
            </w:r>
          </w:p>
        </w:tc>
        <w:tc>
          <w:tcPr>
            <w:tcW w:w="335" w:type="pct"/>
            <w:noWrap/>
            <w:vAlign w:val="center"/>
          </w:tcPr>
          <w:p w14:paraId="7A538037">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36</w:t>
            </w:r>
          </w:p>
        </w:tc>
        <w:tc>
          <w:tcPr>
            <w:tcW w:w="335" w:type="pct"/>
            <w:noWrap/>
            <w:vAlign w:val="center"/>
          </w:tcPr>
          <w:p w14:paraId="637903CF">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114</w:t>
            </w:r>
          </w:p>
        </w:tc>
        <w:tc>
          <w:tcPr>
            <w:tcW w:w="342" w:type="pct"/>
            <w:vMerge w:val="restart"/>
            <w:noWrap/>
            <w:vAlign w:val="center"/>
          </w:tcPr>
          <w:p w14:paraId="528E27AA">
            <w:pPr>
              <w:spacing w:line="240" w:lineRule="exact"/>
              <w:jc w:val="center"/>
              <w:rPr>
                <w:rFonts w:ascii="Times New Roman" w:hAnsi="Times New Roman" w:eastAsia="宋体" w:cs="Times New Roman"/>
                <w:color w:val="auto"/>
                <w:kern w:val="0"/>
              </w:rPr>
            </w:pPr>
            <w:r>
              <w:rPr>
                <w:rFonts w:ascii="Times New Roman" w:hAnsi="Times New Roman" w:eastAsia="宋体" w:cs="Times New Roman"/>
                <w:color w:val="auto"/>
                <w:kern w:val="0"/>
              </w:rPr>
              <w:t>4a类</w:t>
            </w:r>
          </w:p>
        </w:tc>
        <w:tc>
          <w:tcPr>
            <w:tcW w:w="371" w:type="pct"/>
            <w:noWrap/>
            <w:vAlign w:val="center"/>
          </w:tcPr>
          <w:p w14:paraId="297B9117">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5162D8FB">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vAlign w:val="center"/>
          </w:tcPr>
          <w:p w14:paraId="07D26D0A">
            <w:pPr>
              <w:spacing w:line="240" w:lineRule="exact"/>
              <w:jc w:val="center"/>
              <w:rPr>
                <w:rFonts w:ascii="Times New Roman" w:hAnsi="Times New Roman" w:eastAsia="宋体" w:cs="Times New Roman"/>
                <w:color w:val="auto"/>
                <w:kern w:val="0"/>
              </w:rPr>
            </w:pPr>
          </w:p>
        </w:tc>
        <w:tc>
          <w:tcPr>
            <w:tcW w:w="474" w:type="pct"/>
            <w:vMerge w:val="continue"/>
            <w:vAlign w:val="center"/>
          </w:tcPr>
          <w:p w14:paraId="06FDA916">
            <w:pPr>
              <w:spacing w:line="240" w:lineRule="exact"/>
              <w:jc w:val="center"/>
              <w:rPr>
                <w:rFonts w:ascii="Times New Roman" w:hAnsi="Times New Roman" w:eastAsia="宋体" w:cs="Times New Roman"/>
                <w:color w:val="auto"/>
                <w:kern w:val="0"/>
              </w:rPr>
            </w:pPr>
          </w:p>
        </w:tc>
        <w:tc>
          <w:tcPr>
            <w:tcW w:w="457" w:type="pct"/>
            <w:vMerge w:val="continue"/>
            <w:vAlign w:val="center"/>
          </w:tcPr>
          <w:p w14:paraId="21573433">
            <w:pPr>
              <w:spacing w:line="240" w:lineRule="exact"/>
              <w:jc w:val="center"/>
              <w:rPr>
                <w:rFonts w:ascii="Times New Roman" w:hAnsi="Times New Roman" w:eastAsia="宋体" w:cs="Times New Roman"/>
                <w:color w:val="auto"/>
                <w:kern w:val="0"/>
              </w:rPr>
            </w:pPr>
          </w:p>
        </w:tc>
        <w:tc>
          <w:tcPr>
            <w:tcW w:w="799" w:type="pct"/>
            <w:vMerge w:val="continue"/>
            <w:vAlign w:val="center"/>
          </w:tcPr>
          <w:p w14:paraId="3932B56B">
            <w:pPr>
              <w:spacing w:line="240" w:lineRule="exact"/>
              <w:jc w:val="center"/>
              <w:rPr>
                <w:rFonts w:ascii="Times New Roman" w:hAnsi="Times New Roman" w:eastAsia="宋体" w:cs="Times New Roman"/>
                <w:color w:val="auto"/>
                <w:kern w:val="0"/>
              </w:rPr>
            </w:pPr>
          </w:p>
        </w:tc>
        <w:tc>
          <w:tcPr>
            <w:tcW w:w="499" w:type="pct"/>
            <w:noWrap/>
            <w:vAlign w:val="center"/>
          </w:tcPr>
          <w:p w14:paraId="4D1DC8F2">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2026.4.28</w:t>
            </w:r>
          </w:p>
        </w:tc>
        <w:tc>
          <w:tcPr>
            <w:tcW w:w="299" w:type="pct"/>
            <w:vAlign w:val="center"/>
          </w:tcPr>
          <w:p w14:paraId="54E419F0">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夜间</w:t>
            </w:r>
          </w:p>
        </w:tc>
        <w:tc>
          <w:tcPr>
            <w:tcW w:w="499" w:type="pct"/>
            <w:vAlign w:val="center"/>
          </w:tcPr>
          <w:p w14:paraId="3BC5A494">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48</w:t>
            </w:r>
          </w:p>
        </w:tc>
        <w:tc>
          <w:tcPr>
            <w:tcW w:w="335" w:type="pct"/>
            <w:noWrap/>
            <w:vAlign w:val="center"/>
          </w:tcPr>
          <w:p w14:paraId="252C94B9">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27</w:t>
            </w:r>
          </w:p>
        </w:tc>
        <w:tc>
          <w:tcPr>
            <w:tcW w:w="335" w:type="pct"/>
            <w:noWrap/>
            <w:vAlign w:val="center"/>
          </w:tcPr>
          <w:p w14:paraId="7F83DB21">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18</w:t>
            </w:r>
          </w:p>
        </w:tc>
        <w:tc>
          <w:tcPr>
            <w:tcW w:w="335" w:type="pct"/>
            <w:noWrap/>
            <w:vAlign w:val="center"/>
          </w:tcPr>
          <w:p w14:paraId="416E2A94">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33</w:t>
            </w:r>
          </w:p>
        </w:tc>
        <w:tc>
          <w:tcPr>
            <w:tcW w:w="342" w:type="pct"/>
            <w:vMerge w:val="continue"/>
            <w:noWrap/>
            <w:vAlign w:val="center"/>
          </w:tcPr>
          <w:p w14:paraId="522B59D9">
            <w:pPr>
              <w:spacing w:line="240" w:lineRule="exact"/>
              <w:jc w:val="center"/>
              <w:rPr>
                <w:rFonts w:ascii="Times New Roman" w:hAnsi="Times New Roman" w:eastAsia="宋体" w:cs="Times New Roman"/>
                <w:color w:val="auto"/>
                <w:kern w:val="0"/>
              </w:rPr>
            </w:pPr>
          </w:p>
        </w:tc>
        <w:tc>
          <w:tcPr>
            <w:tcW w:w="371" w:type="pct"/>
            <w:noWrap/>
            <w:vAlign w:val="center"/>
          </w:tcPr>
          <w:p w14:paraId="7F480DF4">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2B41AC3E">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vAlign w:val="center"/>
          </w:tcPr>
          <w:p w14:paraId="5EDC2833">
            <w:pPr>
              <w:spacing w:line="240" w:lineRule="exact"/>
              <w:jc w:val="center"/>
              <w:rPr>
                <w:rFonts w:ascii="Times New Roman" w:hAnsi="Times New Roman" w:eastAsia="宋体" w:cs="Times New Roman"/>
                <w:color w:val="auto"/>
                <w:kern w:val="0"/>
              </w:rPr>
            </w:pPr>
          </w:p>
        </w:tc>
        <w:tc>
          <w:tcPr>
            <w:tcW w:w="474" w:type="pct"/>
            <w:vMerge w:val="continue"/>
            <w:vAlign w:val="center"/>
          </w:tcPr>
          <w:p w14:paraId="4E1FC50E">
            <w:pPr>
              <w:spacing w:line="240" w:lineRule="exact"/>
              <w:jc w:val="center"/>
              <w:rPr>
                <w:rFonts w:ascii="Times New Roman" w:hAnsi="Times New Roman" w:eastAsia="宋体" w:cs="Times New Roman"/>
                <w:color w:val="auto"/>
                <w:kern w:val="0"/>
              </w:rPr>
            </w:pPr>
          </w:p>
        </w:tc>
        <w:tc>
          <w:tcPr>
            <w:tcW w:w="457" w:type="pct"/>
            <w:vMerge w:val="continue"/>
            <w:vAlign w:val="center"/>
          </w:tcPr>
          <w:p w14:paraId="6592655B">
            <w:pPr>
              <w:spacing w:line="240" w:lineRule="exact"/>
              <w:jc w:val="center"/>
              <w:rPr>
                <w:rFonts w:ascii="Times New Roman" w:hAnsi="Times New Roman" w:eastAsia="宋体" w:cs="Times New Roman"/>
                <w:color w:val="auto"/>
                <w:kern w:val="0"/>
              </w:rPr>
            </w:pPr>
          </w:p>
        </w:tc>
        <w:tc>
          <w:tcPr>
            <w:tcW w:w="799" w:type="pct"/>
            <w:vMerge w:val="continue"/>
            <w:vAlign w:val="center"/>
          </w:tcPr>
          <w:p w14:paraId="66997FDE">
            <w:pPr>
              <w:spacing w:line="240" w:lineRule="exact"/>
              <w:jc w:val="center"/>
              <w:rPr>
                <w:rFonts w:ascii="Times New Roman" w:hAnsi="Times New Roman" w:eastAsia="宋体" w:cs="Times New Roman"/>
                <w:color w:val="auto"/>
                <w:kern w:val="0"/>
              </w:rPr>
            </w:pPr>
          </w:p>
        </w:tc>
        <w:tc>
          <w:tcPr>
            <w:tcW w:w="499" w:type="pct"/>
            <w:noWrap/>
            <w:vAlign w:val="center"/>
          </w:tcPr>
          <w:p w14:paraId="0362BA76">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2026.4.28</w:t>
            </w:r>
          </w:p>
        </w:tc>
        <w:tc>
          <w:tcPr>
            <w:tcW w:w="299" w:type="pct"/>
            <w:vAlign w:val="center"/>
          </w:tcPr>
          <w:p w14:paraId="0AEFED63">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昼间</w:t>
            </w:r>
          </w:p>
        </w:tc>
        <w:tc>
          <w:tcPr>
            <w:tcW w:w="499" w:type="pct"/>
            <w:vAlign w:val="center"/>
          </w:tcPr>
          <w:p w14:paraId="414D35A3">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57</w:t>
            </w:r>
          </w:p>
        </w:tc>
        <w:tc>
          <w:tcPr>
            <w:tcW w:w="335" w:type="pct"/>
            <w:noWrap/>
            <w:vAlign w:val="center"/>
          </w:tcPr>
          <w:p w14:paraId="3EB06E31">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47</w:t>
            </w:r>
          </w:p>
        </w:tc>
        <w:tc>
          <w:tcPr>
            <w:tcW w:w="335" w:type="pct"/>
            <w:noWrap/>
            <w:vAlign w:val="center"/>
          </w:tcPr>
          <w:p w14:paraId="19B8A7FA">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27</w:t>
            </w:r>
          </w:p>
        </w:tc>
        <w:tc>
          <w:tcPr>
            <w:tcW w:w="335" w:type="pct"/>
            <w:noWrap/>
            <w:vAlign w:val="center"/>
          </w:tcPr>
          <w:p w14:paraId="0F438581">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120</w:t>
            </w:r>
          </w:p>
        </w:tc>
        <w:tc>
          <w:tcPr>
            <w:tcW w:w="342" w:type="pct"/>
            <w:vMerge w:val="continue"/>
            <w:noWrap/>
            <w:vAlign w:val="center"/>
          </w:tcPr>
          <w:p w14:paraId="0745F805">
            <w:pPr>
              <w:spacing w:line="240" w:lineRule="exact"/>
              <w:jc w:val="center"/>
              <w:rPr>
                <w:rFonts w:ascii="Times New Roman" w:hAnsi="Times New Roman" w:eastAsia="宋体" w:cs="Times New Roman"/>
                <w:color w:val="auto"/>
                <w:kern w:val="0"/>
              </w:rPr>
            </w:pPr>
          </w:p>
        </w:tc>
        <w:tc>
          <w:tcPr>
            <w:tcW w:w="371" w:type="pct"/>
            <w:noWrap/>
            <w:vAlign w:val="center"/>
          </w:tcPr>
          <w:p w14:paraId="4CF2F9C7">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020DF568">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vAlign w:val="center"/>
          </w:tcPr>
          <w:p w14:paraId="30B1B977">
            <w:pPr>
              <w:spacing w:line="240" w:lineRule="exact"/>
              <w:jc w:val="center"/>
              <w:rPr>
                <w:rFonts w:ascii="Times New Roman" w:hAnsi="Times New Roman" w:eastAsia="宋体" w:cs="Times New Roman"/>
                <w:color w:val="auto"/>
                <w:kern w:val="0"/>
              </w:rPr>
            </w:pPr>
          </w:p>
        </w:tc>
        <w:tc>
          <w:tcPr>
            <w:tcW w:w="474" w:type="pct"/>
            <w:vMerge w:val="continue"/>
            <w:vAlign w:val="center"/>
          </w:tcPr>
          <w:p w14:paraId="5DEAF64C">
            <w:pPr>
              <w:spacing w:line="240" w:lineRule="exact"/>
              <w:jc w:val="center"/>
              <w:rPr>
                <w:rFonts w:ascii="Times New Roman" w:hAnsi="Times New Roman" w:eastAsia="宋体" w:cs="Times New Roman"/>
                <w:color w:val="auto"/>
                <w:kern w:val="0"/>
              </w:rPr>
            </w:pPr>
          </w:p>
        </w:tc>
        <w:tc>
          <w:tcPr>
            <w:tcW w:w="457" w:type="pct"/>
            <w:vMerge w:val="continue"/>
            <w:vAlign w:val="center"/>
          </w:tcPr>
          <w:p w14:paraId="2F8FCC0B">
            <w:pPr>
              <w:spacing w:line="240" w:lineRule="exact"/>
              <w:jc w:val="center"/>
              <w:rPr>
                <w:rFonts w:ascii="Times New Roman" w:hAnsi="Times New Roman" w:eastAsia="宋体" w:cs="Times New Roman"/>
                <w:color w:val="auto"/>
                <w:kern w:val="0"/>
              </w:rPr>
            </w:pPr>
          </w:p>
        </w:tc>
        <w:tc>
          <w:tcPr>
            <w:tcW w:w="799" w:type="pct"/>
            <w:vMerge w:val="continue"/>
            <w:vAlign w:val="center"/>
          </w:tcPr>
          <w:p w14:paraId="67915194">
            <w:pPr>
              <w:spacing w:line="240" w:lineRule="exact"/>
              <w:jc w:val="center"/>
              <w:rPr>
                <w:rFonts w:ascii="Times New Roman" w:hAnsi="Times New Roman" w:eastAsia="宋体" w:cs="Times New Roman"/>
                <w:color w:val="auto"/>
                <w:kern w:val="0"/>
              </w:rPr>
            </w:pPr>
          </w:p>
        </w:tc>
        <w:tc>
          <w:tcPr>
            <w:tcW w:w="499" w:type="pct"/>
            <w:noWrap/>
            <w:vAlign w:val="center"/>
          </w:tcPr>
          <w:p w14:paraId="182ABA0E">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2026.4.29</w:t>
            </w:r>
          </w:p>
        </w:tc>
        <w:tc>
          <w:tcPr>
            <w:tcW w:w="299" w:type="pct"/>
            <w:vAlign w:val="center"/>
          </w:tcPr>
          <w:p w14:paraId="466BA7DB">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夜间</w:t>
            </w:r>
          </w:p>
        </w:tc>
        <w:tc>
          <w:tcPr>
            <w:tcW w:w="499" w:type="pct"/>
            <w:vAlign w:val="center"/>
          </w:tcPr>
          <w:p w14:paraId="7C13298E">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48</w:t>
            </w:r>
          </w:p>
        </w:tc>
        <w:tc>
          <w:tcPr>
            <w:tcW w:w="335" w:type="pct"/>
            <w:noWrap/>
            <w:vAlign w:val="center"/>
          </w:tcPr>
          <w:p w14:paraId="0ABA017C">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29</w:t>
            </w:r>
          </w:p>
        </w:tc>
        <w:tc>
          <w:tcPr>
            <w:tcW w:w="335" w:type="pct"/>
            <w:noWrap/>
            <w:vAlign w:val="center"/>
          </w:tcPr>
          <w:p w14:paraId="64E1F654">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21</w:t>
            </w:r>
          </w:p>
        </w:tc>
        <w:tc>
          <w:tcPr>
            <w:tcW w:w="335" w:type="pct"/>
            <w:noWrap/>
            <w:vAlign w:val="center"/>
          </w:tcPr>
          <w:p w14:paraId="6653A01F">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36</w:t>
            </w:r>
          </w:p>
        </w:tc>
        <w:tc>
          <w:tcPr>
            <w:tcW w:w="342" w:type="pct"/>
            <w:vMerge w:val="continue"/>
            <w:noWrap/>
            <w:vAlign w:val="center"/>
          </w:tcPr>
          <w:p w14:paraId="71DEEFC9">
            <w:pPr>
              <w:spacing w:line="240" w:lineRule="exact"/>
              <w:jc w:val="center"/>
              <w:rPr>
                <w:rFonts w:ascii="Times New Roman" w:hAnsi="Times New Roman" w:eastAsia="宋体" w:cs="Times New Roman"/>
                <w:color w:val="auto"/>
                <w:kern w:val="0"/>
              </w:rPr>
            </w:pPr>
          </w:p>
        </w:tc>
        <w:tc>
          <w:tcPr>
            <w:tcW w:w="371" w:type="pct"/>
            <w:noWrap/>
            <w:vAlign w:val="center"/>
          </w:tcPr>
          <w:p w14:paraId="6D3D487C">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1DACAD48">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vAlign w:val="center"/>
          </w:tcPr>
          <w:p w14:paraId="5E88DD22">
            <w:pPr>
              <w:spacing w:line="240" w:lineRule="exact"/>
              <w:jc w:val="center"/>
              <w:rPr>
                <w:rFonts w:ascii="Times New Roman" w:hAnsi="Times New Roman" w:eastAsia="宋体" w:cs="Times New Roman"/>
                <w:color w:val="auto"/>
                <w:kern w:val="0"/>
              </w:rPr>
            </w:pPr>
          </w:p>
        </w:tc>
        <w:tc>
          <w:tcPr>
            <w:tcW w:w="474" w:type="pct"/>
            <w:vMerge w:val="continue"/>
            <w:vAlign w:val="center"/>
          </w:tcPr>
          <w:p w14:paraId="2ADB7062">
            <w:pPr>
              <w:spacing w:line="240" w:lineRule="exact"/>
              <w:jc w:val="center"/>
              <w:rPr>
                <w:rFonts w:ascii="Times New Roman" w:hAnsi="Times New Roman" w:eastAsia="宋体" w:cs="Times New Roman"/>
                <w:color w:val="auto"/>
                <w:kern w:val="0"/>
              </w:rPr>
            </w:pPr>
          </w:p>
        </w:tc>
        <w:tc>
          <w:tcPr>
            <w:tcW w:w="457" w:type="pct"/>
            <w:vMerge w:val="continue"/>
            <w:vAlign w:val="center"/>
          </w:tcPr>
          <w:p w14:paraId="2F096ADB">
            <w:pPr>
              <w:spacing w:line="240" w:lineRule="exact"/>
              <w:jc w:val="center"/>
              <w:rPr>
                <w:rFonts w:ascii="Times New Roman" w:hAnsi="Times New Roman" w:eastAsia="宋体" w:cs="Times New Roman"/>
                <w:color w:val="auto"/>
                <w:kern w:val="0"/>
              </w:rPr>
            </w:pPr>
          </w:p>
        </w:tc>
        <w:tc>
          <w:tcPr>
            <w:tcW w:w="799" w:type="pct"/>
            <w:vMerge w:val="restart"/>
            <w:vAlign w:val="center"/>
          </w:tcPr>
          <w:p w14:paraId="7B81D92D">
            <w:pPr>
              <w:spacing w:line="240" w:lineRule="exact"/>
              <w:jc w:val="center"/>
              <w:rPr>
                <w:rFonts w:ascii="Times New Roman" w:hAnsi="Times New Roman" w:eastAsia="宋体" w:cs="Times New Roman"/>
                <w:color w:val="auto"/>
                <w:kern w:val="0"/>
              </w:rPr>
            </w:pPr>
            <w:r>
              <w:rPr>
                <w:rFonts w:ascii="Times New Roman" w:hAnsi="Times New Roman" w:eastAsia="宋体" w:cs="Times New Roman"/>
                <w:color w:val="auto"/>
              </w:rPr>
              <w:t>临现有</w:t>
            </w:r>
            <w:r>
              <w:rPr>
                <w:rFonts w:hint="eastAsia" w:ascii="Times New Roman" w:hAnsi="Times New Roman" w:eastAsia="宋体" w:cs="Times New Roman"/>
                <w:color w:val="auto"/>
              </w:rPr>
              <w:t>G219</w:t>
            </w:r>
            <w:r>
              <w:rPr>
                <w:rFonts w:ascii="Times New Roman" w:hAnsi="Times New Roman" w:eastAsia="宋体" w:cs="Times New Roman"/>
                <w:color w:val="auto"/>
              </w:rPr>
              <w:t>边界</w:t>
            </w:r>
            <w:r>
              <w:rPr>
                <w:rFonts w:hint="eastAsia" w:ascii="Times New Roman" w:hAnsi="Times New Roman" w:eastAsia="宋体" w:cs="Times New Roman"/>
                <w:color w:val="auto"/>
              </w:rPr>
              <w:t>35</w:t>
            </w:r>
            <w:r>
              <w:rPr>
                <w:rFonts w:ascii="Times New Roman" w:hAnsi="Times New Roman" w:eastAsia="宋体" w:cs="Times New Roman"/>
                <w:color w:val="auto"/>
              </w:rPr>
              <w:t>m外第一排房</w:t>
            </w:r>
            <w:r>
              <w:rPr>
                <w:rFonts w:hint="eastAsia" w:ascii="Times New Roman" w:hAnsi="Times New Roman" w:eastAsia="宋体" w:cs="Times New Roman"/>
                <w:color w:val="auto"/>
              </w:rPr>
              <w:t>1</w:t>
            </w:r>
            <w:r>
              <w:rPr>
                <w:rFonts w:ascii="Times New Roman" w:hAnsi="Times New Roman" w:eastAsia="宋体" w:cs="Times New Roman"/>
                <w:color w:val="auto"/>
              </w:rPr>
              <w:t>层</w:t>
            </w:r>
          </w:p>
        </w:tc>
        <w:tc>
          <w:tcPr>
            <w:tcW w:w="499" w:type="pct"/>
            <w:noWrap/>
            <w:vAlign w:val="center"/>
          </w:tcPr>
          <w:p w14:paraId="4DD8F35A">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2026.4.27</w:t>
            </w:r>
          </w:p>
        </w:tc>
        <w:tc>
          <w:tcPr>
            <w:tcW w:w="299" w:type="pct"/>
            <w:vAlign w:val="center"/>
          </w:tcPr>
          <w:p w14:paraId="73FFA9B2">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昼间</w:t>
            </w:r>
          </w:p>
        </w:tc>
        <w:tc>
          <w:tcPr>
            <w:tcW w:w="499" w:type="pct"/>
            <w:vAlign w:val="center"/>
          </w:tcPr>
          <w:p w14:paraId="651E7B6D">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52</w:t>
            </w:r>
          </w:p>
        </w:tc>
        <w:tc>
          <w:tcPr>
            <w:tcW w:w="335" w:type="pct"/>
            <w:noWrap/>
            <w:vAlign w:val="center"/>
          </w:tcPr>
          <w:p w14:paraId="05830EE2">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53</w:t>
            </w:r>
          </w:p>
        </w:tc>
        <w:tc>
          <w:tcPr>
            <w:tcW w:w="335" w:type="pct"/>
            <w:noWrap/>
            <w:vAlign w:val="center"/>
          </w:tcPr>
          <w:p w14:paraId="74C7D85C">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36</w:t>
            </w:r>
          </w:p>
        </w:tc>
        <w:tc>
          <w:tcPr>
            <w:tcW w:w="335" w:type="pct"/>
            <w:noWrap/>
            <w:vAlign w:val="center"/>
          </w:tcPr>
          <w:p w14:paraId="3399112F">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114</w:t>
            </w:r>
          </w:p>
        </w:tc>
        <w:tc>
          <w:tcPr>
            <w:tcW w:w="342" w:type="pct"/>
            <w:vMerge w:val="restart"/>
            <w:noWrap/>
            <w:vAlign w:val="center"/>
          </w:tcPr>
          <w:p w14:paraId="45D58703">
            <w:pPr>
              <w:spacing w:line="240" w:lineRule="exact"/>
              <w:jc w:val="center"/>
              <w:rPr>
                <w:rFonts w:ascii="Times New Roman" w:hAnsi="Times New Roman" w:eastAsia="宋体" w:cs="Times New Roman"/>
                <w:color w:val="auto"/>
                <w:kern w:val="0"/>
              </w:rPr>
            </w:pPr>
            <w:r>
              <w:rPr>
                <w:rFonts w:ascii="Times New Roman" w:hAnsi="Times New Roman" w:eastAsia="宋体" w:cs="Times New Roman"/>
                <w:color w:val="auto"/>
                <w:kern w:val="0"/>
              </w:rPr>
              <w:t>2类</w:t>
            </w:r>
          </w:p>
        </w:tc>
        <w:tc>
          <w:tcPr>
            <w:tcW w:w="371" w:type="pct"/>
            <w:noWrap/>
            <w:vAlign w:val="center"/>
          </w:tcPr>
          <w:p w14:paraId="248E84CE">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6D3B03A7">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vAlign w:val="center"/>
          </w:tcPr>
          <w:p w14:paraId="7D215835">
            <w:pPr>
              <w:spacing w:line="240" w:lineRule="exact"/>
              <w:jc w:val="center"/>
              <w:rPr>
                <w:rFonts w:ascii="Times New Roman" w:hAnsi="Times New Roman" w:eastAsia="宋体" w:cs="Times New Roman"/>
                <w:color w:val="auto"/>
                <w:kern w:val="0"/>
              </w:rPr>
            </w:pPr>
          </w:p>
        </w:tc>
        <w:tc>
          <w:tcPr>
            <w:tcW w:w="474" w:type="pct"/>
            <w:vMerge w:val="continue"/>
            <w:vAlign w:val="center"/>
          </w:tcPr>
          <w:p w14:paraId="20413BEE">
            <w:pPr>
              <w:spacing w:line="240" w:lineRule="exact"/>
              <w:jc w:val="center"/>
              <w:rPr>
                <w:rFonts w:ascii="Times New Roman" w:hAnsi="Times New Roman" w:eastAsia="宋体" w:cs="Times New Roman"/>
                <w:color w:val="auto"/>
                <w:kern w:val="0"/>
              </w:rPr>
            </w:pPr>
          </w:p>
        </w:tc>
        <w:tc>
          <w:tcPr>
            <w:tcW w:w="457" w:type="pct"/>
            <w:vMerge w:val="continue"/>
            <w:vAlign w:val="center"/>
          </w:tcPr>
          <w:p w14:paraId="1E39FC9E">
            <w:pPr>
              <w:spacing w:line="240" w:lineRule="exact"/>
              <w:jc w:val="center"/>
              <w:rPr>
                <w:rFonts w:ascii="Times New Roman" w:hAnsi="Times New Roman" w:eastAsia="宋体" w:cs="Times New Roman"/>
                <w:color w:val="auto"/>
                <w:kern w:val="0"/>
              </w:rPr>
            </w:pPr>
          </w:p>
        </w:tc>
        <w:tc>
          <w:tcPr>
            <w:tcW w:w="799" w:type="pct"/>
            <w:vMerge w:val="continue"/>
            <w:vAlign w:val="center"/>
          </w:tcPr>
          <w:p w14:paraId="3EEE78BD">
            <w:pPr>
              <w:spacing w:line="240" w:lineRule="exact"/>
              <w:jc w:val="center"/>
              <w:rPr>
                <w:rFonts w:ascii="Times New Roman" w:hAnsi="Times New Roman" w:eastAsia="宋体" w:cs="Times New Roman"/>
                <w:color w:val="auto"/>
                <w:kern w:val="0"/>
              </w:rPr>
            </w:pPr>
          </w:p>
        </w:tc>
        <w:tc>
          <w:tcPr>
            <w:tcW w:w="499" w:type="pct"/>
            <w:noWrap/>
            <w:vAlign w:val="center"/>
          </w:tcPr>
          <w:p w14:paraId="675806AC">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2026.4.28</w:t>
            </w:r>
          </w:p>
        </w:tc>
        <w:tc>
          <w:tcPr>
            <w:tcW w:w="299" w:type="pct"/>
            <w:vAlign w:val="center"/>
          </w:tcPr>
          <w:p w14:paraId="12462E57">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夜间</w:t>
            </w:r>
          </w:p>
        </w:tc>
        <w:tc>
          <w:tcPr>
            <w:tcW w:w="499" w:type="pct"/>
            <w:vAlign w:val="center"/>
          </w:tcPr>
          <w:p w14:paraId="5812B073">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44</w:t>
            </w:r>
          </w:p>
        </w:tc>
        <w:tc>
          <w:tcPr>
            <w:tcW w:w="335" w:type="pct"/>
            <w:noWrap/>
            <w:vAlign w:val="center"/>
          </w:tcPr>
          <w:p w14:paraId="1E0AD27F">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27</w:t>
            </w:r>
          </w:p>
        </w:tc>
        <w:tc>
          <w:tcPr>
            <w:tcW w:w="335" w:type="pct"/>
            <w:noWrap/>
            <w:vAlign w:val="center"/>
          </w:tcPr>
          <w:p w14:paraId="31CA919F">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18</w:t>
            </w:r>
          </w:p>
        </w:tc>
        <w:tc>
          <w:tcPr>
            <w:tcW w:w="335" w:type="pct"/>
            <w:noWrap/>
            <w:vAlign w:val="center"/>
          </w:tcPr>
          <w:p w14:paraId="564165AC">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33</w:t>
            </w:r>
          </w:p>
        </w:tc>
        <w:tc>
          <w:tcPr>
            <w:tcW w:w="342" w:type="pct"/>
            <w:vMerge w:val="continue"/>
            <w:noWrap/>
            <w:vAlign w:val="center"/>
          </w:tcPr>
          <w:p w14:paraId="56FABE47">
            <w:pPr>
              <w:spacing w:line="240" w:lineRule="exact"/>
              <w:jc w:val="center"/>
              <w:rPr>
                <w:rFonts w:ascii="Times New Roman" w:hAnsi="Times New Roman" w:eastAsia="宋体" w:cs="Times New Roman"/>
                <w:color w:val="auto"/>
                <w:kern w:val="0"/>
              </w:rPr>
            </w:pPr>
          </w:p>
        </w:tc>
        <w:tc>
          <w:tcPr>
            <w:tcW w:w="371" w:type="pct"/>
            <w:noWrap/>
            <w:vAlign w:val="center"/>
          </w:tcPr>
          <w:p w14:paraId="0780AF01">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5DAF6136">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vAlign w:val="center"/>
          </w:tcPr>
          <w:p w14:paraId="384CAF85">
            <w:pPr>
              <w:spacing w:line="240" w:lineRule="exact"/>
              <w:jc w:val="center"/>
              <w:rPr>
                <w:rFonts w:ascii="Times New Roman" w:hAnsi="Times New Roman" w:eastAsia="宋体" w:cs="Times New Roman"/>
                <w:color w:val="auto"/>
                <w:kern w:val="0"/>
              </w:rPr>
            </w:pPr>
          </w:p>
        </w:tc>
        <w:tc>
          <w:tcPr>
            <w:tcW w:w="474" w:type="pct"/>
            <w:vMerge w:val="continue"/>
            <w:vAlign w:val="center"/>
          </w:tcPr>
          <w:p w14:paraId="176FA009">
            <w:pPr>
              <w:spacing w:line="240" w:lineRule="exact"/>
              <w:jc w:val="center"/>
              <w:rPr>
                <w:rFonts w:ascii="Times New Roman" w:hAnsi="Times New Roman" w:eastAsia="宋体" w:cs="Times New Roman"/>
                <w:color w:val="auto"/>
                <w:kern w:val="0"/>
              </w:rPr>
            </w:pPr>
          </w:p>
        </w:tc>
        <w:tc>
          <w:tcPr>
            <w:tcW w:w="457" w:type="pct"/>
            <w:vMerge w:val="continue"/>
            <w:vAlign w:val="center"/>
          </w:tcPr>
          <w:p w14:paraId="3FA3F9D2">
            <w:pPr>
              <w:spacing w:line="240" w:lineRule="exact"/>
              <w:jc w:val="center"/>
              <w:rPr>
                <w:rFonts w:ascii="Times New Roman" w:hAnsi="Times New Roman" w:eastAsia="宋体" w:cs="Times New Roman"/>
                <w:color w:val="auto"/>
                <w:kern w:val="0"/>
              </w:rPr>
            </w:pPr>
          </w:p>
        </w:tc>
        <w:tc>
          <w:tcPr>
            <w:tcW w:w="799" w:type="pct"/>
            <w:vMerge w:val="continue"/>
            <w:vAlign w:val="center"/>
          </w:tcPr>
          <w:p w14:paraId="2C35C221">
            <w:pPr>
              <w:spacing w:line="240" w:lineRule="exact"/>
              <w:jc w:val="center"/>
              <w:rPr>
                <w:rFonts w:ascii="Times New Roman" w:hAnsi="Times New Roman" w:eastAsia="宋体" w:cs="Times New Roman"/>
                <w:color w:val="auto"/>
                <w:kern w:val="0"/>
              </w:rPr>
            </w:pPr>
          </w:p>
        </w:tc>
        <w:tc>
          <w:tcPr>
            <w:tcW w:w="499" w:type="pct"/>
            <w:noWrap/>
            <w:vAlign w:val="center"/>
          </w:tcPr>
          <w:p w14:paraId="4958FD8A">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2026.4.28</w:t>
            </w:r>
          </w:p>
        </w:tc>
        <w:tc>
          <w:tcPr>
            <w:tcW w:w="299" w:type="pct"/>
            <w:vAlign w:val="center"/>
          </w:tcPr>
          <w:p w14:paraId="29FCB4FE">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昼间</w:t>
            </w:r>
          </w:p>
        </w:tc>
        <w:tc>
          <w:tcPr>
            <w:tcW w:w="499" w:type="pct"/>
            <w:vAlign w:val="center"/>
          </w:tcPr>
          <w:p w14:paraId="125D1FA5">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54</w:t>
            </w:r>
          </w:p>
        </w:tc>
        <w:tc>
          <w:tcPr>
            <w:tcW w:w="335" w:type="pct"/>
            <w:noWrap/>
            <w:vAlign w:val="center"/>
          </w:tcPr>
          <w:p w14:paraId="67B21D10">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47</w:t>
            </w:r>
          </w:p>
        </w:tc>
        <w:tc>
          <w:tcPr>
            <w:tcW w:w="335" w:type="pct"/>
            <w:noWrap/>
            <w:vAlign w:val="center"/>
          </w:tcPr>
          <w:p w14:paraId="2115C575">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27</w:t>
            </w:r>
          </w:p>
        </w:tc>
        <w:tc>
          <w:tcPr>
            <w:tcW w:w="335" w:type="pct"/>
            <w:noWrap/>
            <w:vAlign w:val="center"/>
          </w:tcPr>
          <w:p w14:paraId="3190D505">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120</w:t>
            </w:r>
          </w:p>
        </w:tc>
        <w:tc>
          <w:tcPr>
            <w:tcW w:w="342" w:type="pct"/>
            <w:vMerge w:val="continue"/>
            <w:noWrap/>
            <w:vAlign w:val="center"/>
          </w:tcPr>
          <w:p w14:paraId="1BCFC86F">
            <w:pPr>
              <w:spacing w:line="240" w:lineRule="exact"/>
              <w:jc w:val="center"/>
              <w:rPr>
                <w:rFonts w:ascii="Times New Roman" w:hAnsi="Times New Roman" w:eastAsia="宋体" w:cs="Times New Roman"/>
                <w:color w:val="auto"/>
                <w:kern w:val="0"/>
              </w:rPr>
            </w:pPr>
          </w:p>
        </w:tc>
        <w:tc>
          <w:tcPr>
            <w:tcW w:w="371" w:type="pct"/>
            <w:noWrap/>
            <w:vAlign w:val="center"/>
          </w:tcPr>
          <w:p w14:paraId="3727953D">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3EDB0A26">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vAlign w:val="center"/>
          </w:tcPr>
          <w:p w14:paraId="1312F614">
            <w:pPr>
              <w:spacing w:line="240" w:lineRule="exact"/>
              <w:jc w:val="center"/>
              <w:rPr>
                <w:rFonts w:ascii="Times New Roman" w:hAnsi="Times New Roman" w:eastAsia="宋体" w:cs="Times New Roman"/>
                <w:color w:val="auto"/>
                <w:kern w:val="0"/>
              </w:rPr>
            </w:pPr>
          </w:p>
        </w:tc>
        <w:tc>
          <w:tcPr>
            <w:tcW w:w="474" w:type="pct"/>
            <w:vMerge w:val="continue"/>
            <w:vAlign w:val="center"/>
          </w:tcPr>
          <w:p w14:paraId="65B18D5E">
            <w:pPr>
              <w:spacing w:line="240" w:lineRule="exact"/>
              <w:jc w:val="center"/>
              <w:rPr>
                <w:rFonts w:ascii="Times New Roman" w:hAnsi="Times New Roman" w:eastAsia="宋体" w:cs="Times New Roman"/>
                <w:color w:val="auto"/>
                <w:kern w:val="0"/>
              </w:rPr>
            </w:pPr>
          </w:p>
        </w:tc>
        <w:tc>
          <w:tcPr>
            <w:tcW w:w="457" w:type="pct"/>
            <w:vMerge w:val="continue"/>
            <w:vAlign w:val="center"/>
          </w:tcPr>
          <w:p w14:paraId="57394FFD">
            <w:pPr>
              <w:spacing w:line="240" w:lineRule="exact"/>
              <w:jc w:val="center"/>
              <w:rPr>
                <w:rFonts w:ascii="Times New Roman" w:hAnsi="Times New Roman" w:eastAsia="宋体" w:cs="Times New Roman"/>
                <w:color w:val="auto"/>
                <w:kern w:val="0"/>
              </w:rPr>
            </w:pPr>
          </w:p>
        </w:tc>
        <w:tc>
          <w:tcPr>
            <w:tcW w:w="799" w:type="pct"/>
            <w:vMerge w:val="continue"/>
            <w:vAlign w:val="center"/>
          </w:tcPr>
          <w:p w14:paraId="618D17EF">
            <w:pPr>
              <w:spacing w:line="240" w:lineRule="exact"/>
              <w:jc w:val="center"/>
              <w:rPr>
                <w:rFonts w:ascii="Times New Roman" w:hAnsi="Times New Roman" w:eastAsia="宋体" w:cs="Times New Roman"/>
                <w:color w:val="auto"/>
                <w:kern w:val="0"/>
              </w:rPr>
            </w:pPr>
          </w:p>
        </w:tc>
        <w:tc>
          <w:tcPr>
            <w:tcW w:w="499" w:type="pct"/>
            <w:noWrap/>
            <w:vAlign w:val="center"/>
          </w:tcPr>
          <w:p w14:paraId="40E4F9BE">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2026.4.29</w:t>
            </w:r>
          </w:p>
        </w:tc>
        <w:tc>
          <w:tcPr>
            <w:tcW w:w="299" w:type="pct"/>
            <w:vAlign w:val="center"/>
          </w:tcPr>
          <w:p w14:paraId="2C08FBD7">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夜间</w:t>
            </w:r>
          </w:p>
        </w:tc>
        <w:tc>
          <w:tcPr>
            <w:tcW w:w="499" w:type="pct"/>
            <w:vAlign w:val="center"/>
          </w:tcPr>
          <w:p w14:paraId="3BCB22E8">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45</w:t>
            </w:r>
          </w:p>
        </w:tc>
        <w:tc>
          <w:tcPr>
            <w:tcW w:w="335" w:type="pct"/>
            <w:noWrap/>
            <w:vAlign w:val="center"/>
          </w:tcPr>
          <w:p w14:paraId="038F44B8">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29</w:t>
            </w:r>
          </w:p>
        </w:tc>
        <w:tc>
          <w:tcPr>
            <w:tcW w:w="335" w:type="pct"/>
            <w:noWrap/>
            <w:vAlign w:val="center"/>
          </w:tcPr>
          <w:p w14:paraId="087C027E">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21</w:t>
            </w:r>
          </w:p>
        </w:tc>
        <w:tc>
          <w:tcPr>
            <w:tcW w:w="335" w:type="pct"/>
            <w:noWrap/>
            <w:vAlign w:val="center"/>
          </w:tcPr>
          <w:p w14:paraId="6D717833">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36</w:t>
            </w:r>
          </w:p>
        </w:tc>
        <w:tc>
          <w:tcPr>
            <w:tcW w:w="342" w:type="pct"/>
            <w:vMerge w:val="continue"/>
            <w:noWrap/>
            <w:vAlign w:val="center"/>
          </w:tcPr>
          <w:p w14:paraId="2A49E14F">
            <w:pPr>
              <w:spacing w:line="240" w:lineRule="exact"/>
              <w:jc w:val="center"/>
              <w:rPr>
                <w:rFonts w:ascii="Times New Roman" w:hAnsi="Times New Roman" w:eastAsia="宋体" w:cs="Times New Roman"/>
                <w:color w:val="auto"/>
                <w:kern w:val="0"/>
              </w:rPr>
            </w:pPr>
          </w:p>
        </w:tc>
        <w:tc>
          <w:tcPr>
            <w:tcW w:w="371" w:type="pct"/>
            <w:noWrap/>
            <w:vAlign w:val="center"/>
          </w:tcPr>
          <w:p w14:paraId="5AEC97F8">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2B44DD79">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noWrap/>
            <w:vAlign w:val="center"/>
          </w:tcPr>
          <w:p w14:paraId="2758F513">
            <w:pPr>
              <w:spacing w:line="240" w:lineRule="exact"/>
              <w:jc w:val="center"/>
              <w:rPr>
                <w:rFonts w:ascii="Times New Roman" w:hAnsi="Times New Roman" w:eastAsia="宋体" w:cs="Times New Roman"/>
                <w:color w:val="auto"/>
                <w:kern w:val="0"/>
              </w:rPr>
            </w:pPr>
          </w:p>
        </w:tc>
        <w:tc>
          <w:tcPr>
            <w:tcW w:w="474" w:type="pct"/>
            <w:vMerge w:val="continue"/>
            <w:noWrap/>
            <w:vAlign w:val="center"/>
          </w:tcPr>
          <w:p w14:paraId="6160D020">
            <w:pPr>
              <w:spacing w:line="240" w:lineRule="exact"/>
              <w:jc w:val="center"/>
              <w:rPr>
                <w:rFonts w:ascii="Times New Roman" w:hAnsi="Times New Roman" w:eastAsia="宋体" w:cs="Times New Roman"/>
                <w:color w:val="auto"/>
                <w:kern w:val="0"/>
              </w:rPr>
            </w:pPr>
          </w:p>
        </w:tc>
        <w:tc>
          <w:tcPr>
            <w:tcW w:w="457" w:type="pct"/>
            <w:vMerge w:val="restart"/>
            <w:vAlign w:val="center"/>
          </w:tcPr>
          <w:p w14:paraId="00933FA1">
            <w:pPr>
              <w:spacing w:line="240" w:lineRule="exact"/>
              <w:jc w:val="center"/>
              <w:rPr>
                <w:rFonts w:ascii="Times New Roman" w:hAnsi="Times New Roman" w:eastAsia="宋体" w:cs="Times New Roman"/>
                <w:color w:val="auto"/>
                <w:kern w:val="0"/>
              </w:rPr>
            </w:pPr>
            <w:r>
              <w:rPr>
                <w:rFonts w:ascii="Times New Roman" w:hAnsi="Times New Roman" w:eastAsia="宋体" w:cs="Times New Roman"/>
                <w:color w:val="auto"/>
                <w:kern w:val="0"/>
              </w:rPr>
              <w:t>背景噪声</w:t>
            </w:r>
          </w:p>
        </w:tc>
        <w:tc>
          <w:tcPr>
            <w:tcW w:w="799" w:type="pct"/>
            <w:vMerge w:val="restart"/>
            <w:vAlign w:val="center"/>
          </w:tcPr>
          <w:p w14:paraId="10413B64">
            <w:pPr>
              <w:spacing w:line="240" w:lineRule="exact"/>
              <w:jc w:val="center"/>
              <w:rPr>
                <w:rFonts w:ascii="Times New Roman" w:hAnsi="Times New Roman" w:eastAsia="宋体" w:cs="Times New Roman"/>
                <w:color w:val="auto"/>
                <w:kern w:val="0"/>
              </w:rPr>
            </w:pPr>
            <w:r>
              <w:rPr>
                <w:rFonts w:hint="eastAsia" w:ascii="Times New Roman" w:hAnsi="Times New Roman" w:eastAsia="宋体" w:cs="Times New Roman"/>
                <w:color w:val="auto"/>
                <w:szCs w:val="21"/>
              </w:rPr>
              <w:t>远离现有G219</w:t>
            </w:r>
            <w:r>
              <w:rPr>
                <w:rFonts w:ascii="Times New Roman" w:hAnsi="Times New Roman" w:eastAsia="宋体" w:cs="Times New Roman"/>
                <w:color w:val="auto"/>
                <w:kern w:val="0"/>
                <w:szCs w:val="21"/>
              </w:rPr>
              <w:t>公路200m外</w:t>
            </w:r>
          </w:p>
        </w:tc>
        <w:tc>
          <w:tcPr>
            <w:tcW w:w="499" w:type="pct"/>
            <w:noWrap/>
            <w:vAlign w:val="center"/>
          </w:tcPr>
          <w:p w14:paraId="2A3B1961">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2026.4.27</w:t>
            </w:r>
          </w:p>
        </w:tc>
        <w:tc>
          <w:tcPr>
            <w:tcW w:w="299" w:type="pct"/>
            <w:vAlign w:val="center"/>
          </w:tcPr>
          <w:p w14:paraId="6D86FEC9">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昼间</w:t>
            </w:r>
          </w:p>
        </w:tc>
        <w:tc>
          <w:tcPr>
            <w:tcW w:w="499" w:type="pct"/>
            <w:vAlign w:val="center"/>
          </w:tcPr>
          <w:p w14:paraId="5222CD10">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45</w:t>
            </w:r>
          </w:p>
        </w:tc>
        <w:tc>
          <w:tcPr>
            <w:tcW w:w="335" w:type="pct"/>
            <w:noWrap/>
            <w:vAlign w:val="center"/>
          </w:tcPr>
          <w:p w14:paraId="1A3BCA4E">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35" w:type="pct"/>
            <w:noWrap/>
            <w:vAlign w:val="center"/>
          </w:tcPr>
          <w:p w14:paraId="5A4D6158">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35" w:type="pct"/>
            <w:noWrap/>
            <w:vAlign w:val="center"/>
          </w:tcPr>
          <w:p w14:paraId="4E7948B4">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42" w:type="pct"/>
            <w:vMerge w:val="continue"/>
            <w:noWrap/>
            <w:vAlign w:val="center"/>
          </w:tcPr>
          <w:p w14:paraId="35BC6581">
            <w:pPr>
              <w:spacing w:line="240" w:lineRule="exact"/>
              <w:jc w:val="center"/>
              <w:rPr>
                <w:rFonts w:ascii="Times New Roman" w:hAnsi="Times New Roman" w:eastAsia="宋体" w:cs="Times New Roman"/>
                <w:color w:val="auto"/>
                <w:kern w:val="0"/>
              </w:rPr>
            </w:pPr>
          </w:p>
        </w:tc>
        <w:tc>
          <w:tcPr>
            <w:tcW w:w="371" w:type="pct"/>
            <w:noWrap/>
            <w:vAlign w:val="center"/>
          </w:tcPr>
          <w:p w14:paraId="14191B8C">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65A955EB">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vAlign w:val="center"/>
          </w:tcPr>
          <w:p w14:paraId="6226AB8F">
            <w:pPr>
              <w:spacing w:line="240" w:lineRule="exact"/>
              <w:jc w:val="center"/>
              <w:rPr>
                <w:rFonts w:ascii="Times New Roman" w:hAnsi="Times New Roman" w:eastAsia="宋体" w:cs="Times New Roman"/>
                <w:color w:val="auto"/>
                <w:kern w:val="0"/>
              </w:rPr>
            </w:pPr>
          </w:p>
        </w:tc>
        <w:tc>
          <w:tcPr>
            <w:tcW w:w="474" w:type="pct"/>
            <w:vMerge w:val="continue"/>
            <w:vAlign w:val="center"/>
          </w:tcPr>
          <w:p w14:paraId="23FBDDA6">
            <w:pPr>
              <w:spacing w:line="240" w:lineRule="exact"/>
              <w:jc w:val="center"/>
              <w:rPr>
                <w:rFonts w:ascii="Times New Roman" w:hAnsi="Times New Roman" w:eastAsia="宋体" w:cs="Times New Roman"/>
                <w:color w:val="auto"/>
                <w:kern w:val="0"/>
              </w:rPr>
            </w:pPr>
          </w:p>
        </w:tc>
        <w:tc>
          <w:tcPr>
            <w:tcW w:w="457" w:type="pct"/>
            <w:vMerge w:val="continue"/>
            <w:vAlign w:val="center"/>
          </w:tcPr>
          <w:p w14:paraId="530224BB">
            <w:pPr>
              <w:spacing w:line="240" w:lineRule="exact"/>
              <w:jc w:val="center"/>
              <w:rPr>
                <w:rFonts w:ascii="Times New Roman" w:hAnsi="Times New Roman" w:eastAsia="宋体" w:cs="Times New Roman"/>
                <w:color w:val="auto"/>
                <w:kern w:val="0"/>
              </w:rPr>
            </w:pPr>
          </w:p>
        </w:tc>
        <w:tc>
          <w:tcPr>
            <w:tcW w:w="799" w:type="pct"/>
            <w:vMerge w:val="continue"/>
            <w:vAlign w:val="center"/>
          </w:tcPr>
          <w:p w14:paraId="3B85E07E">
            <w:pPr>
              <w:spacing w:line="240" w:lineRule="exact"/>
              <w:jc w:val="center"/>
              <w:rPr>
                <w:rFonts w:ascii="Times New Roman" w:hAnsi="Times New Roman" w:eastAsia="宋体" w:cs="Times New Roman"/>
                <w:color w:val="auto"/>
                <w:kern w:val="0"/>
              </w:rPr>
            </w:pPr>
          </w:p>
        </w:tc>
        <w:tc>
          <w:tcPr>
            <w:tcW w:w="499" w:type="pct"/>
            <w:noWrap/>
            <w:vAlign w:val="center"/>
          </w:tcPr>
          <w:p w14:paraId="7E4FF955">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2026.4.28</w:t>
            </w:r>
          </w:p>
        </w:tc>
        <w:tc>
          <w:tcPr>
            <w:tcW w:w="299" w:type="pct"/>
            <w:vAlign w:val="center"/>
          </w:tcPr>
          <w:p w14:paraId="2D53CD18">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夜间</w:t>
            </w:r>
          </w:p>
        </w:tc>
        <w:tc>
          <w:tcPr>
            <w:tcW w:w="499" w:type="pct"/>
            <w:vAlign w:val="center"/>
          </w:tcPr>
          <w:p w14:paraId="4A55419D">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37</w:t>
            </w:r>
          </w:p>
        </w:tc>
        <w:tc>
          <w:tcPr>
            <w:tcW w:w="335" w:type="pct"/>
            <w:noWrap/>
            <w:vAlign w:val="center"/>
          </w:tcPr>
          <w:p w14:paraId="1CA01CA6">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35" w:type="pct"/>
            <w:noWrap/>
            <w:vAlign w:val="center"/>
          </w:tcPr>
          <w:p w14:paraId="26F52212">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35" w:type="pct"/>
            <w:noWrap/>
            <w:vAlign w:val="center"/>
          </w:tcPr>
          <w:p w14:paraId="36E16981">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42" w:type="pct"/>
            <w:vMerge w:val="continue"/>
            <w:noWrap/>
            <w:vAlign w:val="center"/>
          </w:tcPr>
          <w:p w14:paraId="2E63F297">
            <w:pPr>
              <w:spacing w:line="240" w:lineRule="exact"/>
              <w:jc w:val="center"/>
              <w:rPr>
                <w:rFonts w:ascii="Times New Roman" w:hAnsi="Times New Roman" w:eastAsia="宋体" w:cs="Times New Roman"/>
                <w:color w:val="auto"/>
                <w:kern w:val="0"/>
              </w:rPr>
            </w:pPr>
          </w:p>
        </w:tc>
        <w:tc>
          <w:tcPr>
            <w:tcW w:w="371" w:type="pct"/>
            <w:noWrap/>
            <w:vAlign w:val="center"/>
          </w:tcPr>
          <w:p w14:paraId="2A3BC091">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03BA68F2">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vAlign w:val="center"/>
          </w:tcPr>
          <w:p w14:paraId="6CE2F713">
            <w:pPr>
              <w:spacing w:line="240" w:lineRule="exact"/>
              <w:jc w:val="center"/>
              <w:rPr>
                <w:rFonts w:ascii="Times New Roman" w:hAnsi="Times New Roman" w:eastAsia="宋体" w:cs="Times New Roman"/>
                <w:color w:val="auto"/>
                <w:kern w:val="0"/>
              </w:rPr>
            </w:pPr>
          </w:p>
        </w:tc>
        <w:tc>
          <w:tcPr>
            <w:tcW w:w="474" w:type="pct"/>
            <w:vMerge w:val="continue"/>
            <w:vAlign w:val="center"/>
          </w:tcPr>
          <w:p w14:paraId="10584564">
            <w:pPr>
              <w:spacing w:line="240" w:lineRule="exact"/>
              <w:jc w:val="center"/>
              <w:rPr>
                <w:rFonts w:ascii="Times New Roman" w:hAnsi="Times New Roman" w:eastAsia="宋体" w:cs="Times New Roman"/>
                <w:color w:val="auto"/>
                <w:kern w:val="0"/>
              </w:rPr>
            </w:pPr>
          </w:p>
        </w:tc>
        <w:tc>
          <w:tcPr>
            <w:tcW w:w="457" w:type="pct"/>
            <w:vMerge w:val="continue"/>
            <w:vAlign w:val="center"/>
          </w:tcPr>
          <w:p w14:paraId="58B26A97">
            <w:pPr>
              <w:spacing w:line="240" w:lineRule="exact"/>
              <w:jc w:val="center"/>
              <w:rPr>
                <w:rFonts w:ascii="Times New Roman" w:hAnsi="Times New Roman" w:eastAsia="宋体" w:cs="Times New Roman"/>
                <w:color w:val="auto"/>
                <w:kern w:val="0"/>
              </w:rPr>
            </w:pPr>
          </w:p>
        </w:tc>
        <w:tc>
          <w:tcPr>
            <w:tcW w:w="799" w:type="pct"/>
            <w:vMerge w:val="continue"/>
            <w:vAlign w:val="center"/>
          </w:tcPr>
          <w:p w14:paraId="0708F4B9">
            <w:pPr>
              <w:spacing w:line="240" w:lineRule="exact"/>
              <w:jc w:val="center"/>
              <w:rPr>
                <w:rFonts w:ascii="Times New Roman" w:hAnsi="Times New Roman" w:eastAsia="宋体" w:cs="Times New Roman"/>
                <w:color w:val="auto"/>
                <w:kern w:val="0"/>
              </w:rPr>
            </w:pPr>
          </w:p>
        </w:tc>
        <w:tc>
          <w:tcPr>
            <w:tcW w:w="499" w:type="pct"/>
            <w:noWrap/>
            <w:vAlign w:val="center"/>
          </w:tcPr>
          <w:p w14:paraId="04698C6C">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2026.4.28</w:t>
            </w:r>
          </w:p>
        </w:tc>
        <w:tc>
          <w:tcPr>
            <w:tcW w:w="299" w:type="pct"/>
            <w:vAlign w:val="center"/>
          </w:tcPr>
          <w:p w14:paraId="72C1CC6E">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昼间</w:t>
            </w:r>
          </w:p>
        </w:tc>
        <w:tc>
          <w:tcPr>
            <w:tcW w:w="499" w:type="pct"/>
            <w:vAlign w:val="center"/>
          </w:tcPr>
          <w:p w14:paraId="65D6E5F2">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43</w:t>
            </w:r>
          </w:p>
        </w:tc>
        <w:tc>
          <w:tcPr>
            <w:tcW w:w="335" w:type="pct"/>
            <w:noWrap/>
            <w:vAlign w:val="center"/>
          </w:tcPr>
          <w:p w14:paraId="4ED65FF7">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35" w:type="pct"/>
            <w:noWrap/>
            <w:vAlign w:val="center"/>
          </w:tcPr>
          <w:p w14:paraId="280D2B12">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35" w:type="pct"/>
            <w:noWrap/>
            <w:vAlign w:val="center"/>
          </w:tcPr>
          <w:p w14:paraId="009F1CA0">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42" w:type="pct"/>
            <w:vMerge w:val="continue"/>
            <w:noWrap/>
            <w:vAlign w:val="center"/>
          </w:tcPr>
          <w:p w14:paraId="3958FD0E">
            <w:pPr>
              <w:spacing w:line="240" w:lineRule="exact"/>
              <w:jc w:val="center"/>
              <w:rPr>
                <w:rFonts w:ascii="Times New Roman" w:hAnsi="Times New Roman" w:eastAsia="宋体" w:cs="Times New Roman"/>
                <w:color w:val="auto"/>
                <w:kern w:val="0"/>
              </w:rPr>
            </w:pPr>
          </w:p>
        </w:tc>
        <w:tc>
          <w:tcPr>
            <w:tcW w:w="371" w:type="pct"/>
            <w:noWrap/>
            <w:vAlign w:val="center"/>
          </w:tcPr>
          <w:p w14:paraId="646EE62E">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r w14:paraId="719D4BE3">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55" w:type="pct"/>
            <w:vMerge w:val="continue"/>
            <w:vAlign w:val="center"/>
          </w:tcPr>
          <w:p w14:paraId="1F7F391B">
            <w:pPr>
              <w:spacing w:line="240" w:lineRule="exact"/>
              <w:jc w:val="center"/>
              <w:rPr>
                <w:rFonts w:ascii="Times New Roman" w:hAnsi="Times New Roman" w:eastAsia="宋体" w:cs="Times New Roman"/>
                <w:color w:val="auto"/>
                <w:kern w:val="0"/>
              </w:rPr>
            </w:pPr>
          </w:p>
        </w:tc>
        <w:tc>
          <w:tcPr>
            <w:tcW w:w="474" w:type="pct"/>
            <w:vMerge w:val="continue"/>
            <w:vAlign w:val="center"/>
          </w:tcPr>
          <w:p w14:paraId="1AC67507">
            <w:pPr>
              <w:spacing w:line="240" w:lineRule="exact"/>
              <w:jc w:val="center"/>
              <w:rPr>
                <w:rFonts w:ascii="Times New Roman" w:hAnsi="Times New Roman" w:eastAsia="宋体" w:cs="Times New Roman"/>
                <w:color w:val="auto"/>
                <w:kern w:val="0"/>
              </w:rPr>
            </w:pPr>
          </w:p>
        </w:tc>
        <w:tc>
          <w:tcPr>
            <w:tcW w:w="457" w:type="pct"/>
            <w:vMerge w:val="continue"/>
            <w:vAlign w:val="center"/>
          </w:tcPr>
          <w:p w14:paraId="607ACA3A">
            <w:pPr>
              <w:spacing w:line="240" w:lineRule="exact"/>
              <w:jc w:val="center"/>
              <w:rPr>
                <w:rFonts w:ascii="Times New Roman" w:hAnsi="Times New Roman" w:eastAsia="宋体" w:cs="Times New Roman"/>
                <w:color w:val="auto"/>
                <w:kern w:val="0"/>
              </w:rPr>
            </w:pPr>
          </w:p>
        </w:tc>
        <w:tc>
          <w:tcPr>
            <w:tcW w:w="799" w:type="pct"/>
            <w:vMerge w:val="continue"/>
            <w:vAlign w:val="center"/>
          </w:tcPr>
          <w:p w14:paraId="21860ACD">
            <w:pPr>
              <w:spacing w:line="240" w:lineRule="exact"/>
              <w:jc w:val="center"/>
              <w:rPr>
                <w:rFonts w:ascii="Times New Roman" w:hAnsi="Times New Roman" w:eastAsia="宋体" w:cs="Times New Roman"/>
                <w:color w:val="auto"/>
                <w:kern w:val="0"/>
              </w:rPr>
            </w:pPr>
          </w:p>
        </w:tc>
        <w:tc>
          <w:tcPr>
            <w:tcW w:w="499" w:type="pct"/>
            <w:noWrap/>
            <w:vAlign w:val="center"/>
          </w:tcPr>
          <w:p w14:paraId="1741AA15">
            <w:pPr>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2026.4.29</w:t>
            </w:r>
          </w:p>
        </w:tc>
        <w:tc>
          <w:tcPr>
            <w:tcW w:w="299" w:type="pct"/>
            <w:vAlign w:val="center"/>
          </w:tcPr>
          <w:p w14:paraId="279B5698">
            <w:pPr>
              <w:spacing w:before="100" w:beforeAutospacing="1" w:after="100" w:afterAutospacing="1" w:line="240" w:lineRule="exact"/>
              <w:jc w:val="center"/>
              <w:rPr>
                <w:rFonts w:ascii="Times New Roman" w:hAnsi="Times New Roman" w:eastAsia="宋体" w:cs="Times New Roman"/>
                <w:color w:val="auto"/>
              </w:rPr>
            </w:pPr>
            <w:r>
              <w:rPr>
                <w:rFonts w:ascii="Times New Roman" w:hAnsi="Times New Roman" w:eastAsia="宋体" w:cs="Times New Roman"/>
                <w:color w:val="auto"/>
              </w:rPr>
              <w:t>夜间</w:t>
            </w:r>
          </w:p>
        </w:tc>
        <w:tc>
          <w:tcPr>
            <w:tcW w:w="499" w:type="pct"/>
            <w:vAlign w:val="center"/>
          </w:tcPr>
          <w:p w14:paraId="79E901CE">
            <w:pPr>
              <w:spacing w:line="240" w:lineRule="exact"/>
              <w:jc w:val="center"/>
              <w:textAlignment w:val="center"/>
              <w:rPr>
                <w:rFonts w:ascii="Times New Roman" w:hAnsi="Times New Roman" w:eastAsia="宋体" w:cs="Times New Roman"/>
                <w:color w:val="auto"/>
                <w:kern w:val="0"/>
              </w:rPr>
            </w:pPr>
            <w:r>
              <w:rPr>
                <w:rFonts w:hint="eastAsia" w:ascii="Times New Roman" w:hAnsi="Times New Roman" w:eastAsia="宋体" w:cs="Times New Roman"/>
                <w:color w:val="auto"/>
                <w:kern w:val="0"/>
              </w:rPr>
              <w:t>38</w:t>
            </w:r>
          </w:p>
        </w:tc>
        <w:tc>
          <w:tcPr>
            <w:tcW w:w="335" w:type="pct"/>
            <w:noWrap/>
            <w:vAlign w:val="center"/>
          </w:tcPr>
          <w:p w14:paraId="7027C35C">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35" w:type="pct"/>
            <w:noWrap/>
            <w:vAlign w:val="center"/>
          </w:tcPr>
          <w:p w14:paraId="7489C105">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35" w:type="pct"/>
            <w:noWrap/>
            <w:vAlign w:val="center"/>
          </w:tcPr>
          <w:p w14:paraId="047400E9">
            <w:pPr>
              <w:spacing w:line="240" w:lineRule="exact"/>
              <w:jc w:val="center"/>
              <w:textAlignment w:val="center"/>
              <w:rPr>
                <w:rFonts w:ascii="Times New Roman" w:hAnsi="Times New Roman" w:eastAsia="宋体" w:cs="Times New Roman"/>
                <w:color w:val="auto"/>
                <w:kern w:val="0"/>
              </w:rPr>
            </w:pPr>
            <w:r>
              <w:rPr>
                <w:rFonts w:ascii="Times New Roman" w:hAnsi="Times New Roman" w:eastAsia="宋体" w:cs="Times New Roman"/>
                <w:color w:val="auto"/>
                <w:kern w:val="0"/>
              </w:rPr>
              <w:t>/</w:t>
            </w:r>
          </w:p>
        </w:tc>
        <w:tc>
          <w:tcPr>
            <w:tcW w:w="342" w:type="pct"/>
            <w:vMerge w:val="continue"/>
            <w:noWrap/>
            <w:vAlign w:val="center"/>
          </w:tcPr>
          <w:p w14:paraId="51BB46F4">
            <w:pPr>
              <w:spacing w:line="240" w:lineRule="exact"/>
              <w:jc w:val="center"/>
              <w:rPr>
                <w:rFonts w:ascii="Times New Roman" w:hAnsi="Times New Roman" w:eastAsia="宋体" w:cs="Times New Roman"/>
                <w:color w:val="auto"/>
                <w:kern w:val="0"/>
              </w:rPr>
            </w:pPr>
          </w:p>
        </w:tc>
        <w:tc>
          <w:tcPr>
            <w:tcW w:w="371" w:type="pct"/>
            <w:noWrap/>
            <w:vAlign w:val="center"/>
          </w:tcPr>
          <w:p w14:paraId="45F8596A">
            <w:pPr>
              <w:spacing w:line="240" w:lineRule="exact"/>
              <w:jc w:val="center"/>
              <w:rPr>
                <w:rFonts w:ascii="Times New Roman" w:hAnsi="Times New Roman" w:eastAsia="宋体" w:cs="Times New Roman"/>
                <w:color w:val="auto"/>
              </w:rPr>
            </w:pPr>
            <w:r>
              <w:rPr>
                <w:rFonts w:ascii="Times New Roman" w:hAnsi="Times New Roman" w:eastAsia="宋体" w:cs="Times New Roman"/>
                <w:color w:val="auto"/>
              </w:rPr>
              <w:t>达标</w:t>
            </w:r>
          </w:p>
        </w:tc>
      </w:tr>
    </w:tbl>
    <w:p w14:paraId="3DC7AA96">
      <w:pPr>
        <w:rPr>
          <w:rFonts w:ascii="Times New Roman" w:hAnsi="Times New Roman" w:eastAsia="宋体" w:cs="Times New Roman"/>
          <w:color w:val="auto"/>
          <w:highlight w:val="yellow"/>
        </w:rPr>
      </w:pPr>
    </w:p>
    <w:p w14:paraId="25F14139">
      <w:pPr>
        <w:rPr>
          <w:color w:val="auto"/>
          <w:highlight w:val="yellow"/>
        </w:rPr>
        <w:sectPr>
          <w:footerReference r:id="rId53" w:type="default"/>
          <w:footerReference r:id="rId54" w:type="even"/>
          <w:pgSz w:w="16838" w:h="11906" w:orient="landscape"/>
          <w:pgMar w:top="1560" w:right="1440" w:bottom="1560" w:left="1559" w:header="851" w:footer="992" w:gutter="0"/>
          <w:pgBorders>
            <w:top w:val="none" w:sz="0" w:space="0"/>
            <w:left w:val="none" w:sz="0" w:space="0"/>
            <w:bottom w:val="none" w:sz="0" w:space="0"/>
            <w:right w:val="none" w:sz="0" w:space="0"/>
          </w:pgBorders>
          <w:cols w:space="720" w:num="1"/>
          <w:docGrid w:linePitch="312" w:charSpace="0"/>
        </w:sectPr>
      </w:pPr>
    </w:p>
    <w:p w14:paraId="77D0031C">
      <w:pPr>
        <w:spacing w:line="300" w:lineRule="auto"/>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由表</w:t>
      </w:r>
      <w:r>
        <w:rPr>
          <w:rFonts w:ascii="Times New Roman" w:hAnsi="Times New Roman" w:eastAsia="宋体" w:cs="Times New Roman"/>
          <w:color w:val="auto"/>
          <w:sz w:val="24"/>
        </w:rPr>
        <w:t>3.2-3</w:t>
      </w:r>
      <w:r>
        <w:rPr>
          <w:rFonts w:hint="eastAsia" w:ascii="Times New Roman" w:hAnsi="Times New Roman" w:eastAsia="宋体" w:cs="Times New Roman"/>
          <w:color w:val="auto"/>
          <w:sz w:val="24"/>
        </w:rPr>
        <w:t>可知，</w:t>
      </w:r>
      <w:bookmarkStart w:id="216" w:name="_Hlk187523508"/>
      <w:r>
        <w:rPr>
          <w:rFonts w:hint="eastAsia" w:ascii="Times New Roman" w:hAnsi="Times New Roman" w:eastAsia="宋体" w:cs="Times New Roman"/>
          <w:color w:val="auto"/>
          <w:sz w:val="24"/>
        </w:rPr>
        <w:t>声环境质量现状监测结果表明，沿线布设代表性的20处监测点位昼、夜环境噪声均可以达到《声环境质量标准》（GB3096-2008）的相应标准要求。</w:t>
      </w:r>
    </w:p>
    <w:p w14:paraId="197E94A2">
      <w:pPr>
        <w:pStyle w:val="98"/>
        <w:rPr>
          <w:color w:val="auto"/>
        </w:rPr>
      </w:pPr>
      <w:r>
        <w:rPr>
          <w:rFonts w:hint="eastAsia"/>
          <w:color w:val="auto"/>
        </w:rPr>
        <w:t>2</w:t>
      </w:r>
      <w:r>
        <w:rPr>
          <w:color w:val="auto"/>
        </w:rPr>
        <w:t>.</w:t>
      </w:r>
      <w:r>
        <w:rPr>
          <w:rFonts w:hint="eastAsia"/>
          <w:color w:val="auto"/>
        </w:rPr>
        <w:t xml:space="preserve"> 未监测点位</w:t>
      </w:r>
    </w:p>
    <w:p w14:paraId="43BE4D62">
      <w:pPr>
        <w:spacing w:line="300" w:lineRule="auto"/>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拟建公路沿线9处声环境保护目标未开展声环境现状监测，评价采用类比分析法，未监测点位类比分析达标情况及可行性见表3.2-4。</w:t>
      </w:r>
    </w:p>
    <w:bookmarkEnd w:id="216"/>
    <w:p w14:paraId="49F77CFA">
      <w:pPr>
        <w:spacing w:beforeLines="50"/>
        <w:jc w:val="center"/>
        <w:rPr>
          <w:rFonts w:ascii="Times New Roman" w:hAnsi="宋体" w:eastAsia="宋体" w:cs="Times New Roman"/>
          <w:b/>
          <w:bCs/>
          <w:color w:val="auto"/>
          <w:szCs w:val="18"/>
        </w:rPr>
      </w:pPr>
      <w:r>
        <w:rPr>
          <w:rFonts w:ascii="Times New Roman" w:hAnsi="宋体" w:eastAsia="宋体" w:cs="Times New Roman"/>
          <w:b/>
          <w:bCs/>
          <w:color w:val="auto"/>
          <w:szCs w:val="18"/>
        </w:rPr>
        <w:t>表</w:t>
      </w:r>
      <w:r>
        <w:rPr>
          <w:rFonts w:hint="eastAsia" w:ascii="Times New Roman" w:hAnsi="Times New Roman" w:eastAsia="宋体" w:cs="Times New Roman"/>
          <w:b/>
          <w:bCs/>
          <w:color w:val="auto"/>
          <w:szCs w:val="18"/>
        </w:rPr>
        <w:t>3</w:t>
      </w:r>
      <w:r>
        <w:rPr>
          <w:rFonts w:ascii="Times New Roman" w:hAnsi="Times New Roman" w:eastAsia="宋体" w:cs="Times New Roman"/>
          <w:b/>
          <w:bCs/>
          <w:color w:val="auto"/>
          <w:szCs w:val="18"/>
        </w:rPr>
        <w:t>.2-</w:t>
      </w:r>
      <w:r>
        <w:rPr>
          <w:rFonts w:hint="eastAsia" w:ascii="Times New Roman" w:hAnsi="Times New Roman" w:eastAsia="宋体" w:cs="Times New Roman"/>
          <w:b/>
          <w:bCs/>
          <w:color w:val="auto"/>
          <w:szCs w:val="18"/>
        </w:rPr>
        <w:t>4</w:t>
      </w:r>
      <w:r>
        <w:rPr>
          <w:rFonts w:ascii="Times New Roman" w:hAnsi="Times New Roman" w:eastAsia="宋体" w:cs="Times New Roman"/>
          <w:b/>
          <w:bCs/>
          <w:color w:val="auto"/>
          <w:szCs w:val="18"/>
        </w:rPr>
        <w:t xml:space="preserve">  </w:t>
      </w:r>
      <w:r>
        <w:rPr>
          <w:rFonts w:hint="eastAsia" w:ascii="Times New Roman" w:hAnsi="宋体" w:eastAsia="宋体" w:cs="Times New Roman"/>
          <w:b/>
          <w:bCs/>
          <w:color w:val="auto"/>
          <w:szCs w:val="18"/>
        </w:rPr>
        <w:t>未监测点位声环境现状类比可行性分析</w:t>
      </w:r>
      <w:r>
        <w:rPr>
          <w:rFonts w:ascii="Times New Roman" w:hAnsi="宋体" w:eastAsia="宋体" w:cs="Times New Roman"/>
          <w:b/>
          <w:bCs/>
          <w:color w:val="auto"/>
          <w:szCs w:val="18"/>
        </w:rPr>
        <w:t>一览表</w:t>
      </w:r>
    </w:p>
    <w:tbl>
      <w:tblPr>
        <w:tblStyle w:val="22"/>
        <w:tblW w:w="5000" w:type="pct"/>
        <w:jc w:val="center"/>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597"/>
        <w:gridCol w:w="1133"/>
        <w:gridCol w:w="1134"/>
        <w:gridCol w:w="1134"/>
        <w:gridCol w:w="4374"/>
      </w:tblGrid>
      <w:tr w14:paraId="2B0582C0">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cantSplit/>
          <w:tblHeader/>
          <w:jc w:val="center"/>
        </w:trPr>
        <w:tc>
          <w:tcPr>
            <w:tcW w:w="357" w:type="pct"/>
            <w:vAlign w:val="center"/>
          </w:tcPr>
          <w:p w14:paraId="4D488DEE">
            <w:pPr>
              <w:spacing w:line="260" w:lineRule="exact"/>
              <w:ind w:left="105" w:leftChars="50" w:right="105" w:rightChars="50"/>
              <w:jc w:val="center"/>
              <w:rPr>
                <w:rFonts w:ascii="Times New Roman" w:hAnsi="宋体" w:eastAsia="宋体" w:cs="Times New Roman"/>
                <w:b/>
                <w:bCs/>
                <w:color w:val="auto"/>
                <w:szCs w:val="21"/>
              </w:rPr>
            </w:pPr>
            <w:r>
              <w:rPr>
                <w:rFonts w:ascii="Times New Roman" w:hAnsi="宋体" w:eastAsia="宋体" w:cs="Times New Roman"/>
                <w:b/>
                <w:bCs/>
                <w:color w:val="auto"/>
                <w:szCs w:val="21"/>
              </w:rPr>
              <w:t>序号</w:t>
            </w:r>
          </w:p>
        </w:tc>
        <w:tc>
          <w:tcPr>
            <w:tcW w:w="677" w:type="pct"/>
            <w:vAlign w:val="center"/>
          </w:tcPr>
          <w:p w14:paraId="678DC314">
            <w:pPr>
              <w:spacing w:line="260" w:lineRule="exact"/>
              <w:ind w:left="105" w:leftChars="50" w:right="105" w:rightChars="50"/>
              <w:jc w:val="center"/>
              <w:rPr>
                <w:rFonts w:ascii="Times New Roman" w:hAnsi="Times New Roman" w:eastAsia="宋体" w:cs="Times New Roman"/>
                <w:b/>
                <w:bCs/>
                <w:color w:val="auto"/>
                <w:szCs w:val="21"/>
              </w:rPr>
            </w:pPr>
            <w:r>
              <w:rPr>
                <w:rFonts w:ascii="Times New Roman" w:hAnsi="宋体" w:eastAsia="宋体" w:cs="Times New Roman"/>
                <w:b/>
                <w:bCs/>
                <w:color w:val="auto"/>
                <w:szCs w:val="21"/>
              </w:rPr>
              <w:t>敏感点名称</w:t>
            </w:r>
          </w:p>
        </w:tc>
        <w:tc>
          <w:tcPr>
            <w:tcW w:w="677" w:type="pct"/>
            <w:vAlign w:val="center"/>
          </w:tcPr>
          <w:p w14:paraId="3723D84D">
            <w:pPr>
              <w:spacing w:line="260" w:lineRule="exact"/>
              <w:ind w:left="105" w:leftChars="50" w:right="105" w:rightChars="50"/>
              <w:jc w:val="center"/>
              <w:rPr>
                <w:rFonts w:ascii="Times New Roman" w:hAnsi="Times New Roman" w:eastAsia="宋体" w:cs="Times New Roman"/>
                <w:b/>
                <w:bCs/>
                <w:color w:val="auto"/>
                <w:szCs w:val="21"/>
              </w:rPr>
            </w:pPr>
            <w:r>
              <w:rPr>
                <w:rFonts w:ascii="Times New Roman" w:hAnsi="宋体" w:eastAsia="宋体" w:cs="Times New Roman"/>
                <w:b/>
                <w:bCs/>
                <w:color w:val="auto"/>
                <w:szCs w:val="21"/>
              </w:rPr>
              <w:t>可代表点位</w:t>
            </w:r>
          </w:p>
        </w:tc>
        <w:tc>
          <w:tcPr>
            <w:tcW w:w="677" w:type="pct"/>
            <w:vAlign w:val="center"/>
          </w:tcPr>
          <w:p w14:paraId="746D08FC">
            <w:pPr>
              <w:spacing w:line="260" w:lineRule="exact"/>
              <w:ind w:left="105" w:leftChars="50" w:right="105" w:rightChars="50"/>
              <w:jc w:val="center"/>
              <w:rPr>
                <w:rFonts w:ascii="Times New Roman" w:hAnsi="宋体" w:eastAsia="宋体" w:cs="Times New Roman"/>
                <w:b/>
                <w:bCs/>
                <w:color w:val="auto"/>
                <w:szCs w:val="21"/>
              </w:rPr>
            </w:pPr>
            <w:r>
              <w:rPr>
                <w:rFonts w:ascii="Times New Roman" w:hAnsi="Times New Roman" w:eastAsia="宋体" w:cs="Times New Roman"/>
                <w:b/>
                <w:color w:val="auto"/>
                <w:kern w:val="0"/>
              </w:rPr>
              <w:t>达标情况</w:t>
            </w:r>
          </w:p>
        </w:tc>
        <w:tc>
          <w:tcPr>
            <w:tcW w:w="2612" w:type="pct"/>
            <w:vAlign w:val="center"/>
          </w:tcPr>
          <w:p w14:paraId="063A13CB">
            <w:pPr>
              <w:spacing w:line="260" w:lineRule="exact"/>
              <w:ind w:left="105" w:leftChars="50" w:right="105" w:rightChars="50"/>
              <w:jc w:val="center"/>
              <w:rPr>
                <w:rFonts w:ascii="Times New Roman" w:hAnsi="Times New Roman" w:eastAsia="宋体" w:cs="Times New Roman"/>
                <w:b/>
                <w:bCs/>
                <w:color w:val="auto"/>
                <w:szCs w:val="21"/>
              </w:rPr>
            </w:pPr>
            <w:r>
              <w:rPr>
                <w:rFonts w:ascii="Times New Roman" w:hAnsi="宋体" w:eastAsia="宋体" w:cs="Times New Roman"/>
                <w:b/>
                <w:bCs/>
                <w:color w:val="auto"/>
                <w:szCs w:val="21"/>
              </w:rPr>
              <w:t>未监测点位</w:t>
            </w:r>
            <w:r>
              <w:rPr>
                <w:rFonts w:hint="eastAsia" w:ascii="Times New Roman" w:hAnsi="宋体" w:eastAsia="宋体" w:cs="Times New Roman"/>
                <w:b/>
                <w:bCs/>
                <w:color w:val="auto"/>
                <w:szCs w:val="21"/>
              </w:rPr>
              <w:t>类比可行性</w:t>
            </w:r>
            <w:r>
              <w:rPr>
                <w:rFonts w:ascii="Times New Roman" w:hAnsi="宋体" w:eastAsia="宋体" w:cs="Times New Roman"/>
                <w:b/>
                <w:bCs/>
                <w:color w:val="auto"/>
                <w:szCs w:val="21"/>
              </w:rPr>
              <w:t>分析</w:t>
            </w:r>
          </w:p>
        </w:tc>
      </w:tr>
      <w:tr w14:paraId="7D9012A4">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357" w:type="pct"/>
            <w:vAlign w:val="center"/>
          </w:tcPr>
          <w:p w14:paraId="357AD586">
            <w:pPr>
              <w:jc w:val="center"/>
              <w:rPr>
                <w:rFonts w:ascii="Times New Roman" w:hAnsi="Times New Roman" w:eastAsia="宋体" w:cs="Times New Roman"/>
                <w:color w:val="auto"/>
              </w:rPr>
            </w:pPr>
            <w:r>
              <w:rPr>
                <w:rFonts w:hint="eastAsia" w:ascii="Times New Roman" w:hAnsi="Times New Roman" w:eastAsia="宋体" w:cs="Times New Roman"/>
                <w:color w:val="auto"/>
              </w:rPr>
              <w:t>1</w:t>
            </w:r>
          </w:p>
        </w:tc>
        <w:tc>
          <w:tcPr>
            <w:tcW w:w="677" w:type="pct"/>
            <w:vAlign w:val="center"/>
          </w:tcPr>
          <w:p w14:paraId="46F88F5C">
            <w:pPr>
              <w:widowControl/>
              <w:adjustRightInd w:val="0"/>
              <w:snapToGrid w:val="0"/>
              <w:spacing w:line="240" w:lineRule="exact"/>
              <w:jc w:val="center"/>
              <w:rPr>
                <w:rFonts w:ascii="Times New Roman" w:hAnsi="Times New Roman" w:eastAsia="宋体" w:cs="Times New Roman"/>
                <w:snapToGrid w:val="0"/>
                <w:color w:val="auto"/>
                <w:kern w:val="0"/>
                <w:szCs w:val="21"/>
              </w:rPr>
            </w:pPr>
            <w:r>
              <w:rPr>
                <w:rFonts w:ascii="Times New Roman" w:hAnsi="Times New Roman" w:eastAsia="宋体" w:cs="Times New Roman"/>
                <w:snapToGrid w:val="0"/>
                <w:color w:val="auto"/>
                <w:kern w:val="0"/>
                <w:szCs w:val="21"/>
              </w:rPr>
              <w:t>艾拉木艾日克</w:t>
            </w:r>
          </w:p>
        </w:tc>
        <w:tc>
          <w:tcPr>
            <w:tcW w:w="677" w:type="pct"/>
            <w:vAlign w:val="center"/>
          </w:tcPr>
          <w:p w14:paraId="70406BB7">
            <w:pPr>
              <w:spacing w:line="260" w:lineRule="exact"/>
              <w:jc w:val="center"/>
              <w:rPr>
                <w:rFonts w:ascii="Times New Roman" w:hAnsi="Times New Roman" w:eastAsia="宋体" w:cs="Times New Roman"/>
                <w:color w:val="auto"/>
                <w:szCs w:val="21"/>
              </w:rPr>
            </w:pPr>
            <w:r>
              <w:rPr>
                <w:rFonts w:hint="eastAsia" w:ascii="Times New Roman" w:cs="Times New Roman" w:hAnsiTheme="minorEastAsia" w:eastAsiaTheme="minorEastAsia"/>
                <w:color w:val="auto"/>
              </w:rPr>
              <w:t>库尔干村</w:t>
            </w:r>
          </w:p>
        </w:tc>
        <w:tc>
          <w:tcPr>
            <w:tcW w:w="677" w:type="pct"/>
            <w:vAlign w:val="center"/>
          </w:tcPr>
          <w:p w14:paraId="3AEBD1C1">
            <w:pPr>
              <w:spacing w:line="260" w:lineRule="exact"/>
              <w:jc w:val="center"/>
              <w:rPr>
                <w:rFonts w:ascii="Times New Roman" w:hAnsi="Times New Roman" w:eastAsia="宋体" w:cs="Times New Roman"/>
                <w:snapToGrid w:val="0"/>
                <w:color w:val="auto"/>
                <w:kern w:val="0"/>
                <w:szCs w:val="21"/>
              </w:rPr>
            </w:pPr>
            <w:r>
              <w:rPr>
                <w:rFonts w:ascii="Times New Roman" w:hAnsi="Times New Roman" w:eastAsia="宋体" w:cs="Times New Roman"/>
                <w:snapToGrid w:val="0"/>
                <w:color w:val="auto"/>
                <w:kern w:val="0"/>
                <w:szCs w:val="21"/>
              </w:rPr>
              <w:t>达标</w:t>
            </w:r>
          </w:p>
        </w:tc>
        <w:tc>
          <w:tcPr>
            <w:tcW w:w="2612" w:type="pct"/>
            <w:vAlign w:val="center"/>
          </w:tcPr>
          <w:p w14:paraId="67146D6D">
            <w:pPr>
              <w:spacing w:line="260" w:lineRule="exact"/>
              <w:rPr>
                <w:rFonts w:ascii="Times New Roman" w:hAnsi="Times New Roman" w:eastAsia="宋体" w:cs="Times New Roman"/>
                <w:color w:val="auto"/>
                <w:szCs w:val="21"/>
              </w:rPr>
            </w:pPr>
            <w:r>
              <w:rPr>
                <w:rFonts w:ascii="Times New Roman" w:hAnsi="Times New Roman" w:eastAsia="宋体" w:cs="Times New Roman"/>
                <w:snapToGrid w:val="0"/>
                <w:color w:val="auto"/>
                <w:kern w:val="0"/>
                <w:szCs w:val="21"/>
              </w:rPr>
              <w:t>艾拉木艾日克</w:t>
            </w:r>
            <w:r>
              <w:rPr>
                <w:rFonts w:hint="eastAsia" w:ascii="Times New Roman" w:hAnsi="Times New Roman" w:eastAsia="宋体" w:cs="Times New Roman"/>
                <w:snapToGrid w:val="0"/>
                <w:color w:val="auto"/>
                <w:kern w:val="0"/>
                <w:szCs w:val="21"/>
              </w:rPr>
              <w:t>与</w:t>
            </w:r>
            <w:r>
              <w:rPr>
                <w:rFonts w:hint="eastAsia" w:ascii="Times New Roman" w:cs="Times New Roman" w:hAnsiTheme="minorEastAsia" w:eastAsiaTheme="minorEastAsia"/>
                <w:color w:val="auto"/>
              </w:rPr>
              <w:t>库尔干村</w:t>
            </w:r>
            <w:r>
              <w:rPr>
                <w:rFonts w:ascii="Times New Roman" w:hAnsi="宋体" w:eastAsia="宋体" w:cs="Times New Roman"/>
                <w:color w:val="auto"/>
                <w:szCs w:val="21"/>
              </w:rPr>
              <w:t>位置相近</w:t>
            </w:r>
            <w:r>
              <w:rPr>
                <w:rFonts w:hint="eastAsia" w:ascii="Times New Roman" w:hAnsi="宋体" w:eastAsia="宋体" w:cs="Times New Roman"/>
                <w:color w:val="auto"/>
                <w:szCs w:val="21"/>
              </w:rPr>
              <w:t>，位于同一路段内，与既有公路距离、高差相近，</w:t>
            </w:r>
            <w:r>
              <w:rPr>
                <w:rFonts w:ascii="Times New Roman" w:hAnsi="宋体" w:eastAsia="宋体" w:cs="Times New Roman"/>
                <w:color w:val="auto"/>
                <w:szCs w:val="21"/>
              </w:rPr>
              <w:t>主要噪声源均为现有</w:t>
            </w:r>
            <w:r>
              <w:rPr>
                <w:rFonts w:hint="eastAsia" w:ascii="Times New Roman" w:hAnsi="宋体" w:eastAsia="宋体" w:cs="Times New Roman"/>
                <w:color w:val="auto"/>
                <w:szCs w:val="21"/>
              </w:rPr>
              <w:t>G219</w:t>
            </w:r>
            <w:r>
              <w:rPr>
                <w:rFonts w:ascii="Times New Roman" w:hAnsi="宋体" w:eastAsia="宋体" w:cs="Times New Roman"/>
                <w:color w:val="auto"/>
                <w:szCs w:val="21"/>
              </w:rPr>
              <w:t>交通噪声和社会生活噪声</w:t>
            </w:r>
            <w:r>
              <w:rPr>
                <w:rFonts w:hint="eastAsia" w:ascii="Times New Roman" w:hAnsi="宋体" w:eastAsia="宋体" w:cs="Times New Roman"/>
                <w:color w:val="auto"/>
                <w:szCs w:val="21"/>
              </w:rPr>
              <w:t>，</w:t>
            </w:r>
            <w:r>
              <w:rPr>
                <w:rFonts w:ascii="Times New Roman" w:hAnsi="宋体" w:eastAsia="宋体" w:cs="Times New Roman"/>
                <w:color w:val="auto"/>
                <w:szCs w:val="21"/>
              </w:rPr>
              <w:t>无其它强噪声源，声环境特征相似，因此</w:t>
            </w:r>
            <w:r>
              <w:rPr>
                <w:rFonts w:hint="eastAsia" w:ascii="Times New Roman" w:cs="Times New Roman" w:hAnsiTheme="minorEastAsia" w:eastAsiaTheme="minorEastAsia"/>
                <w:color w:val="auto"/>
              </w:rPr>
              <w:t>库尔干村</w:t>
            </w:r>
            <w:r>
              <w:rPr>
                <w:rFonts w:hint="eastAsia" w:ascii="Times New Roman" w:hAnsi="宋体" w:eastAsia="宋体" w:cs="Times New Roman"/>
                <w:bCs/>
                <w:color w:val="auto"/>
                <w:szCs w:val="21"/>
              </w:rPr>
              <w:t>监测值可代表其环境现状噪声值。</w:t>
            </w:r>
          </w:p>
        </w:tc>
      </w:tr>
      <w:tr w14:paraId="5E93C64A">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357" w:type="pct"/>
            <w:vAlign w:val="center"/>
          </w:tcPr>
          <w:p w14:paraId="47A1F597">
            <w:pPr>
              <w:jc w:val="center"/>
              <w:rPr>
                <w:rFonts w:ascii="Times New Roman" w:hAnsi="Times New Roman" w:eastAsia="宋体" w:cs="Times New Roman"/>
                <w:color w:val="auto"/>
              </w:rPr>
            </w:pPr>
            <w:r>
              <w:rPr>
                <w:rFonts w:hint="eastAsia" w:ascii="Times New Roman" w:hAnsi="Times New Roman" w:eastAsia="宋体" w:cs="Times New Roman"/>
                <w:color w:val="auto"/>
              </w:rPr>
              <w:t>2</w:t>
            </w:r>
          </w:p>
        </w:tc>
        <w:tc>
          <w:tcPr>
            <w:tcW w:w="677" w:type="pct"/>
            <w:vAlign w:val="center"/>
          </w:tcPr>
          <w:p w14:paraId="2E33B67E">
            <w:pPr>
              <w:widowControl/>
              <w:adjustRightInd w:val="0"/>
              <w:snapToGrid w:val="0"/>
              <w:spacing w:line="240" w:lineRule="exact"/>
              <w:jc w:val="center"/>
              <w:rPr>
                <w:rFonts w:ascii="Times New Roman" w:hAnsi="Times New Roman" w:eastAsia="宋体" w:cs="Times New Roman"/>
                <w:snapToGrid w:val="0"/>
                <w:color w:val="auto"/>
                <w:kern w:val="0"/>
                <w:szCs w:val="21"/>
              </w:rPr>
            </w:pPr>
            <w:r>
              <w:rPr>
                <w:rFonts w:hint="eastAsia" w:ascii="Times New Roman" w:hAnsi="Times New Roman" w:eastAsia="宋体" w:cs="Times New Roman"/>
                <w:snapToGrid w:val="0"/>
                <w:color w:val="auto"/>
                <w:kern w:val="0"/>
                <w:szCs w:val="21"/>
              </w:rPr>
              <w:t>巴什央艾日克村</w:t>
            </w:r>
          </w:p>
        </w:tc>
        <w:tc>
          <w:tcPr>
            <w:tcW w:w="677" w:type="pct"/>
            <w:vAlign w:val="center"/>
          </w:tcPr>
          <w:p w14:paraId="46121937">
            <w:pPr>
              <w:widowControl/>
              <w:adjustRightInd w:val="0"/>
              <w:snapToGrid w:val="0"/>
              <w:spacing w:line="240" w:lineRule="exact"/>
              <w:jc w:val="center"/>
              <w:rPr>
                <w:rFonts w:ascii="Times New Roman" w:hAnsi="Times New Roman" w:eastAsia="宋体" w:cs="Times New Roman"/>
                <w:snapToGrid w:val="0"/>
                <w:color w:val="auto"/>
                <w:kern w:val="0"/>
                <w:szCs w:val="21"/>
              </w:rPr>
            </w:pPr>
            <w:r>
              <w:rPr>
                <w:rFonts w:hint="eastAsia" w:ascii="Times New Roman" w:hAnsi="Times New Roman" w:cs="Times New Roman" w:eastAsiaTheme="minorEastAsia"/>
                <w:color w:val="auto"/>
              </w:rPr>
              <w:t>英兰干村</w:t>
            </w:r>
          </w:p>
        </w:tc>
        <w:tc>
          <w:tcPr>
            <w:tcW w:w="677" w:type="pct"/>
            <w:vAlign w:val="center"/>
          </w:tcPr>
          <w:p w14:paraId="630E30B3">
            <w:pPr>
              <w:spacing w:line="260" w:lineRule="exact"/>
              <w:jc w:val="center"/>
              <w:rPr>
                <w:rFonts w:ascii="Times New Roman" w:hAnsi="宋体" w:eastAsia="宋体" w:cs="Times New Roman"/>
                <w:color w:val="auto"/>
                <w:szCs w:val="21"/>
              </w:rPr>
            </w:pPr>
            <w:r>
              <w:rPr>
                <w:rFonts w:ascii="Times New Roman" w:hAnsi="Times New Roman" w:eastAsia="宋体" w:cs="Times New Roman"/>
                <w:snapToGrid w:val="0"/>
                <w:color w:val="auto"/>
                <w:kern w:val="0"/>
                <w:szCs w:val="21"/>
              </w:rPr>
              <w:t>达标</w:t>
            </w:r>
          </w:p>
        </w:tc>
        <w:tc>
          <w:tcPr>
            <w:tcW w:w="2612" w:type="pct"/>
            <w:vAlign w:val="center"/>
          </w:tcPr>
          <w:p w14:paraId="14D79626">
            <w:pPr>
              <w:spacing w:line="260" w:lineRule="exact"/>
              <w:rPr>
                <w:rFonts w:ascii="Times New Roman" w:hAnsi="Times New Roman" w:eastAsia="宋体" w:cs="Times New Roman"/>
                <w:color w:val="auto"/>
                <w:szCs w:val="21"/>
              </w:rPr>
            </w:pPr>
            <w:r>
              <w:rPr>
                <w:rFonts w:hint="eastAsia" w:ascii="Times New Roman" w:hAnsi="Times New Roman" w:eastAsia="宋体" w:cs="Times New Roman"/>
                <w:snapToGrid w:val="0"/>
                <w:color w:val="auto"/>
                <w:kern w:val="0"/>
                <w:szCs w:val="21"/>
              </w:rPr>
              <w:t>巴什央艾日克村与</w:t>
            </w:r>
            <w:r>
              <w:rPr>
                <w:rFonts w:hint="eastAsia" w:ascii="Times New Roman" w:hAnsi="Times New Roman" w:cs="Times New Roman" w:eastAsiaTheme="minorEastAsia"/>
                <w:color w:val="auto"/>
              </w:rPr>
              <w:t>英兰干村</w:t>
            </w:r>
            <w:r>
              <w:rPr>
                <w:rFonts w:ascii="Times New Roman" w:hAnsi="宋体" w:eastAsia="宋体" w:cs="Times New Roman"/>
                <w:color w:val="auto"/>
                <w:szCs w:val="21"/>
              </w:rPr>
              <w:t>位置相近</w:t>
            </w:r>
            <w:r>
              <w:rPr>
                <w:rFonts w:hint="eastAsia" w:ascii="Times New Roman" w:hAnsi="宋体" w:eastAsia="宋体" w:cs="Times New Roman"/>
                <w:color w:val="auto"/>
                <w:szCs w:val="21"/>
              </w:rPr>
              <w:t>，位于同一路段内，与既有公路距离、高差相近，</w:t>
            </w:r>
            <w:r>
              <w:rPr>
                <w:rFonts w:ascii="Times New Roman" w:hAnsi="宋体" w:eastAsia="宋体" w:cs="Times New Roman"/>
                <w:color w:val="auto"/>
                <w:szCs w:val="21"/>
              </w:rPr>
              <w:t>主要噪声源均为现有</w:t>
            </w:r>
            <w:r>
              <w:rPr>
                <w:rFonts w:hint="eastAsia" w:ascii="Times New Roman" w:hAnsi="宋体" w:eastAsia="宋体" w:cs="Times New Roman"/>
                <w:color w:val="auto"/>
                <w:szCs w:val="21"/>
              </w:rPr>
              <w:t>G219</w:t>
            </w:r>
            <w:r>
              <w:rPr>
                <w:rFonts w:ascii="Times New Roman" w:hAnsi="宋体" w:eastAsia="宋体" w:cs="Times New Roman"/>
                <w:color w:val="auto"/>
                <w:szCs w:val="21"/>
              </w:rPr>
              <w:t>交通噪声和社会生活噪声</w:t>
            </w:r>
            <w:r>
              <w:rPr>
                <w:rFonts w:hint="eastAsia" w:ascii="Times New Roman" w:hAnsi="宋体" w:eastAsia="宋体" w:cs="Times New Roman"/>
                <w:color w:val="auto"/>
                <w:szCs w:val="21"/>
              </w:rPr>
              <w:t>，</w:t>
            </w:r>
            <w:r>
              <w:rPr>
                <w:rFonts w:ascii="Times New Roman" w:hAnsi="宋体" w:eastAsia="宋体" w:cs="Times New Roman"/>
                <w:color w:val="auto"/>
                <w:szCs w:val="21"/>
              </w:rPr>
              <w:t>无其它强噪声源，声环境特征相似，因此</w:t>
            </w:r>
            <w:r>
              <w:rPr>
                <w:rFonts w:hint="eastAsia" w:ascii="Times New Roman" w:hAnsi="Times New Roman" w:cs="Times New Roman" w:eastAsiaTheme="minorEastAsia"/>
                <w:color w:val="auto"/>
              </w:rPr>
              <w:t>英兰干村</w:t>
            </w:r>
            <w:r>
              <w:rPr>
                <w:rFonts w:hint="eastAsia" w:ascii="Times New Roman" w:hAnsi="宋体" w:eastAsia="宋体" w:cs="Times New Roman"/>
                <w:bCs/>
                <w:color w:val="auto"/>
                <w:szCs w:val="21"/>
              </w:rPr>
              <w:t>监测值可代表其环境现状噪声值。</w:t>
            </w:r>
          </w:p>
        </w:tc>
      </w:tr>
      <w:tr w14:paraId="7FF5457D">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cantSplit/>
          <w:trHeight w:val="419" w:hRule="atLeast"/>
          <w:jc w:val="center"/>
        </w:trPr>
        <w:tc>
          <w:tcPr>
            <w:tcW w:w="357" w:type="pct"/>
            <w:vAlign w:val="center"/>
          </w:tcPr>
          <w:p w14:paraId="48689126">
            <w:pPr>
              <w:jc w:val="center"/>
              <w:rPr>
                <w:rFonts w:ascii="Times New Roman" w:hAnsi="Times New Roman" w:eastAsia="宋体" w:cs="Times New Roman"/>
                <w:color w:val="auto"/>
              </w:rPr>
            </w:pPr>
            <w:r>
              <w:rPr>
                <w:rFonts w:hint="eastAsia" w:ascii="Times New Roman" w:hAnsi="Times New Roman" w:eastAsia="宋体" w:cs="Times New Roman"/>
                <w:color w:val="auto"/>
              </w:rPr>
              <w:t>3</w:t>
            </w:r>
          </w:p>
        </w:tc>
        <w:tc>
          <w:tcPr>
            <w:tcW w:w="677" w:type="pct"/>
            <w:vAlign w:val="center"/>
          </w:tcPr>
          <w:p w14:paraId="77B153D0">
            <w:pPr>
              <w:spacing w:line="260" w:lineRule="exact"/>
              <w:jc w:val="center"/>
              <w:rPr>
                <w:rFonts w:ascii="Times New Roman" w:hAnsi="Times New Roman" w:eastAsia="宋体" w:cs="Times New Roman"/>
                <w:color w:val="auto"/>
                <w:szCs w:val="21"/>
              </w:rPr>
            </w:pPr>
            <w:r>
              <w:rPr>
                <w:rFonts w:hint="eastAsia" w:ascii="Times New Roman" w:hAnsi="Times New Roman" w:eastAsia="宋体" w:cs="Times New Roman"/>
                <w:color w:val="auto"/>
                <w:szCs w:val="21"/>
              </w:rPr>
              <w:t>勒格里地玛央艾日克村</w:t>
            </w:r>
          </w:p>
        </w:tc>
        <w:tc>
          <w:tcPr>
            <w:tcW w:w="677" w:type="pct"/>
            <w:vAlign w:val="center"/>
          </w:tcPr>
          <w:p w14:paraId="16AEBD8D">
            <w:pPr>
              <w:spacing w:line="260" w:lineRule="exact"/>
              <w:jc w:val="center"/>
              <w:rPr>
                <w:rFonts w:ascii="Times New Roman" w:hAnsi="Times New Roman" w:eastAsia="宋体" w:cs="Times New Roman"/>
                <w:color w:val="auto"/>
                <w:szCs w:val="21"/>
              </w:rPr>
            </w:pPr>
            <w:r>
              <w:rPr>
                <w:rFonts w:hint="eastAsia" w:ascii="Times New Roman" w:cs="Times New Roman" w:hAnsiTheme="minorEastAsia" w:eastAsiaTheme="minorEastAsia"/>
                <w:color w:val="auto"/>
              </w:rPr>
              <w:t>阿亚克里格勒迪玛村</w:t>
            </w:r>
          </w:p>
        </w:tc>
        <w:tc>
          <w:tcPr>
            <w:tcW w:w="677" w:type="pct"/>
            <w:vAlign w:val="center"/>
          </w:tcPr>
          <w:p w14:paraId="0646474F">
            <w:pPr>
              <w:spacing w:line="260" w:lineRule="exact"/>
              <w:jc w:val="center"/>
              <w:rPr>
                <w:rFonts w:ascii="Times New Roman" w:hAnsi="宋体" w:eastAsia="宋体" w:cs="Times New Roman"/>
                <w:color w:val="auto"/>
                <w:szCs w:val="21"/>
              </w:rPr>
            </w:pPr>
            <w:r>
              <w:rPr>
                <w:rFonts w:ascii="Times New Roman" w:hAnsi="Times New Roman" w:eastAsia="宋体" w:cs="Times New Roman"/>
                <w:snapToGrid w:val="0"/>
                <w:color w:val="auto"/>
                <w:kern w:val="0"/>
                <w:szCs w:val="21"/>
              </w:rPr>
              <w:t>达标</w:t>
            </w:r>
          </w:p>
        </w:tc>
        <w:tc>
          <w:tcPr>
            <w:tcW w:w="2612" w:type="pct"/>
            <w:vAlign w:val="center"/>
          </w:tcPr>
          <w:p w14:paraId="23272A6D">
            <w:pPr>
              <w:spacing w:line="260" w:lineRule="exact"/>
              <w:rPr>
                <w:rFonts w:ascii="Times New Roman" w:hAnsi="Times New Roman" w:eastAsia="宋体" w:cs="Times New Roman"/>
                <w:color w:val="auto"/>
                <w:szCs w:val="21"/>
              </w:rPr>
            </w:pPr>
            <w:r>
              <w:rPr>
                <w:rFonts w:hint="eastAsia" w:ascii="Times New Roman" w:hAnsi="Times New Roman" w:eastAsia="宋体" w:cs="Times New Roman"/>
                <w:color w:val="auto"/>
                <w:szCs w:val="21"/>
              </w:rPr>
              <w:t>勒格里地玛央艾日克村</w:t>
            </w:r>
            <w:r>
              <w:rPr>
                <w:rFonts w:hint="eastAsia" w:ascii="Times New Roman" w:hAnsi="Times New Roman" w:eastAsia="宋体" w:cs="Times New Roman"/>
                <w:snapToGrid w:val="0"/>
                <w:color w:val="auto"/>
                <w:kern w:val="0"/>
                <w:szCs w:val="21"/>
              </w:rPr>
              <w:t>与</w:t>
            </w:r>
            <w:r>
              <w:rPr>
                <w:rFonts w:hint="eastAsia" w:ascii="Times New Roman" w:cs="Times New Roman" w:hAnsiTheme="minorEastAsia" w:eastAsiaTheme="minorEastAsia"/>
                <w:color w:val="auto"/>
              </w:rPr>
              <w:t>阿亚克里格勒迪玛村</w:t>
            </w:r>
            <w:r>
              <w:rPr>
                <w:rFonts w:ascii="Times New Roman" w:hAnsi="宋体" w:eastAsia="宋体" w:cs="Times New Roman"/>
                <w:color w:val="auto"/>
                <w:szCs w:val="21"/>
              </w:rPr>
              <w:t>位置相近</w:t>
            </w:r>
            <w:r>
              <w:rPr>
                <w:rFonts w:hint="eastAsia" w:ascii="Times New Roman" w:hAnsi="宋体" w:eastAsia="宋体" w:cs="Times New Roman"/>
                <w:color w:val="auto"/>
                <w:szCs w:val="21"/>
              </w:rPr>
              <w:t>，位于同一路段内，与既有公路距离、高差相近，</w:t>
            </w:r>
            <w:r>
              <w:rPr>
                <w:rFonts w:ascii="Times New Roman" w:hAnsi="宋体" w:eastAsia="宋体" w:cs="Times New Roman"/>
                <w:color w:val="auto"/>
                <w:szCs w:val="21"/>
              </w:rPr>
              <w:t>主要噪声源均为现有</w:t>
            </w:r>
            <w:r>
              <w:rPr>
                <w:rFonts w:hint="eastAsia" w:ascii="Times New Roman" w:hAnsi="宋体" w:eastAsia="宋体" w:cs="Times New Roman"/>
                <w:color w:val="auto"/>
                <w:szCs w:val="21"/>
              </w:rPr>
              <w:t>G219</w:t>
            </w:r>
            <w:r>
              <w:rPr>
                <w:rFonts w:ascii="Times New Roman" w:hAnsi="宋体" w:eastAsia="宋体" w:cs="Times New Roman"/>
                <w:color w:val="auto"/>
                <w:szCs w:val="21"/>
              </w:rPr>
              <w:t>交通噪声和社会生活噪声</w:t>
            </w:r>
            <w:r>
              <w:rPr>
                <w:rFonts w:hint="eastAsia" w:ascii="Times New Roman" w:hAnsi="宋体" w:eastAsia="宋体" w:cs="Times New Roman"/>
                <w:color w:val="auto"/>
                <w:szCs w:val="21"/>
              </w:rPr>
              <w:t>，</w:t>
            </w:r>
            <w:r>
              <w:rPr>
                <w:rFonts w:ascii="Times New Roman" w:hAnsi="宋体" w:eastAsia="宋体" w:cs="Times New Roman"/>
                <w:color w:val="auto"/>
                <w:szCs w:val="21"/>
              </w:rPr>
              <w:t>无其它强噪声源，声环境特征相似，因此</w:t>
            </w:r>
            <w:r>
              <w:rPr>
                <w:rFonts w:hint="eastAsia" w:ascii="Times New Roman" w:cs="Times New Roman" w:hAnsiTheme="minorEastAsia" w:eastAsiaTheme="minorEastAsia"/>
                <w:color w:val="auto"/>
              </w:rPr>
              <w:t>阿亚克里格勒迪玛村</w:t>
            </w:r>
            <w:r>
              <w:rPr>
                <w:rFonts w:hint="eastAsia" w:ascii="Times New Roman" w:hAnsi="宋体" w:eastAsia="宋体" w:cs="Times New Roman"/>
                <w:bCs/>
                <w:color w:val="auto"/>
                <w:szCs w:val="21"/>
              </w:rPr>
              <w:t>监测值可代表其环境现状噪声值。</w:t>
            </w:r>
          </w:p>
        </w:tc>
      </w:tr>
      <w:tr w14:paraId="077E92B7">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cantSplit/>
          <w:trHeight w:val="127" w:hRule="atLeast"/>
          <w:jc w:val="center"/>
        </w:trPr>
        <w:tc>
          <w:tcPr>
            <w:tcW w:w="357" w:type="pct"/>
            <w:vAlign w:val="center"/>
          </w:tcPr>
          <w:p w14:paraId="115EEB01">
            <w:pPr>
              <w:jc w:val="center"/>
              <w:rPr>
                <w:rFonts w:ascii="Times New Roman" w:hAnsi="Times New Roman" w:eastAsia="宋体" w:cs="Times New Roman"/>
                <w:color w:val="auto"/>
              </w:rPr>
            </w:pPr>
            <w:r>
              <w:rPr>
                <w:rFonts w:hint="eastAsia" w:ascii="Times New Roman" w:hAnsi="Times New Roman" w:eastAsia="宋体" w:cs="Times New Roman"/>
                <w:color w:val="auto"/>
              </w:rPr>
              <w:t>4</w:t>
            </w:r>
          </w:p>
        </w:tc>
        <w:tc>
          <w:tcPr>
            <w:tcW w:w="677" w:type="pct"/>
            <w:vAlign w:val="center"/>
          </w:tcPr>
          <w:p w14:paraId="37B86B0F">
            <w:pPr>
              <w:spacing w:line="260" w:lineRule="exact"/>
              <w:jc w:val="center"/>
              <w:rPr>
                <w:rFonts w:ascii="Times New Roman" w:hAnsi="Times New Roman" w:eastAsia="宋体" w:cs="Times New Roman"/>
                <w:color w:val="auto"/>
                <w:szCs w:val="21"/>
              </w:rPr>
            </w:pPr>
            <w:r>
              <w:rPr>
                <w:rFonts w:hint="eastAsia" w:ascii="Times New Roman" w:hAnsi="Times New Roman" w:eastAsia="宋体" w:cs="Times New Roman"/>
                <w:color w:val="auto"/>
                <w:szCs w:val="21"/>
              </w:rPr>
              <w:t>巴什英买里村</w:t>
            </w:r>
          </w:p>
        </w:tc>
        <w:tc>
          <w:tcPr>
            <w:tcW w:w="677" w:type="pct"/>
            <w:vAlign w:val="center"/>
          </w:tcPr>
          <w:p w14:paraId="59517ED7">
            <w:pPr>
              <w:spacing w:line="260" w:lineRule="exact"/>
              <w:jc w:val="center"/>
              <w:rPr>
                <w:rFonts w:ascii="Times New Roman" w:hAnsi="Times New Roman" w:eastAsia="宋体" w:cs="Times New Roman"/>
                <w:color w:val="auto"/>
                <w:szCs w:val="21"/>
              </w:rPr>
            </w:pPr>
            <w:r>
              <w:rPr>
                <w:rFonts w:hint="eastAsia" w:ascii="Times New Roman" w:hAnsi="Times New Roman" w:cs="Times New Roman" w:eastAsiaTheme="minorEastAsia"/>
                <w:color w:val="auto"/>
              </w:rPr>
              <w:t>夏合亚迪村</w:t>
            </w:r>
          </w:p>
        </w:tc>
        <w:tc>
          <w:tcPr>
            <w:tcW w:w="677" w:type="pct"/>
            <w:vAlign w:val="center"/>
          </w:tcPr>
          <w:p w14:paraId="61187C33">
            <w:pPr>
              <w:spacing w:line="260" w:lineRule="exact"/>
              <w:jc w:val="center"/>
              <w:rPr>
                <w:rFonts w:ascii="Times New Roman" w:hAnsi="宋体" w:eastAsia="宋体" w:cs="Times New Roman"/>
                <w:color w:val="auto"/>
                <w:szCs w:val="21"/>
              </w:rPr>
            </w:pPr>
            <w:r>
              <w:rPr>
                <w:rFonts w:ascii="Times New Roman" w:hAnsi="Times New Roman" w:eastAsia="宋体" w:cs="Times New Roman"/>
                <w:snapToGrid w:val="0"/>
                <w:color w:val="auto"/>
                <w:kern w:val="0"/>
                <w:szCs w:val="21"/>
              </w:rPr>
              <w:t>达标</w:t>
            </w:r>
          </w:p>
        </w:tc>
        <w:tc>
          <w:tcPr>
            <w:tcW w:w="2612" w:type="pct"/>
            <w:vAlign w:val="center"/>
          </w:tcPr>
          <w:p w14:paraId="7C6792C8">
            <w:pPr>
              <w:spacing w:line="260" w:lineRule="exact"/>
              <w:rPr>
                <w:rFonts w:ascii="Times New Roman" w:hAnsi="Times New Roman" w:eastAsia="宋体" w:cs="Times New Roman"/>
                <w:color w:val="auto"/>
                <w:szCs w:val="21"/>
              </w:rPr>
            </w:pPr>
            <w:r>
              <w:rPr>
                <w:rFonts w:hint="eastAsia" w:ascii="Times New Roman" w:hAnsi="Times New Roman" w:eastAsia="宋体" w:cs="Times New Roman"/>
                <w:color w:val="auto"/>
                <w:szCs w:val="21"/>
              </w:rPr>
              <w:t>巴什英买里村</w:t>
            </w:r>
            <w:r>
              <w:rPr>
                <w:rFonts w:hint="eastAsia" w:ascii="Times New Roman" w:hAnsi="Times New Roman" w:eastAsia="宋体" w:cs="Times New Roman"/>
                <w:snapToGrid w:val="0"/>
                <w:color w:val="auto"/>
                <w:kern w:val="0"/>
                <w:szCs w:val="21"/>
              </w:rPr>
              <w:t>与</w:t>
            </w:r>
            <w:r>
              <w:rPr>
                <w:rFonts w:hint="eastAsia" w:ascii="Times New Roman" w:hAnsi="Times New Roman" w:cs="Times New Roman" w:eastAsiaTheme="minorEastAsia"/>
                <w:color w:val="auto"/>
              </w:rPr>
              <w:t>夏合亚迪村</w:t>
            </w:r>
            <w:r>
              <w:rPr>
                <w:rFonts w:ascii="Times New Roman" w:hAnsi="宋体" w:eastAsia="宋体" w:cs="Times New Roman"/>
                <w:color w:val="auto"/>
                <w:szCs w:val="21"/>
              </w:rPr>
              <w:t>位置相近</w:t>
            </w:r>
            <w:r>
              <w:rPr>
                <w:rFonts w:hint="eastAsia" w:ascii="Times New Roman" w:hAnsi="宋体" w:eastAsia="宋体" w:cs="Times New Roman"/>
                <w:color w:val="auto"/>
                <w:szCs w:val="21"/>
              </w:rPr>
              <w:t>，位于同一路段内，与既有公路距离、高差相近，</w:t>
            </w:r>
            <w:r>
              <w:rPr>
                <w:rFonts w:ascii="Times New Roman" w:hAnsi="宋体" w:eastAsia="宋体" w:cs="Times New Roman"/>
                <w:color w:val="auto"/>
                <w:szCs w:val="21"/>
              </w:rPr>
              <w:t>主要噪声源均为现有</w:t>
            </w:r>
            <w:r>
              <w:rPr>
                <w:rFonts w:hint="eastAsia" w:ascii="Times New Roman" w:hAnsi="宋体" w:eastAsia="宋体" w:cs="Times New Roman"/>
                <w:color w:val="auto"/>
                <w:szCs w:val="21"/>
              </w:rPr>
              <w:t>G219</w:t>
            </w:r>
            <w:r>
              <w:rPr>
                <w:rFonts w:ascii="Times New Roman" w:hAnsi="宋体" w:eastAsia="宋体" w:cs="Times New Roman"/>
                <w:color w:val="auto"/>
                <w:szCs w:val="21"/>
              </w:rPr>
              <w:t>交通噪声和社会生活噪声</w:t>
            </w:r>
            <w:r>
              <w:rPr>
                <w:rFonts w:hint="eastAsia" w:ascii="Times New Roman" w:hAnsi="宋体" w:eastAsia="宋体" w:cs="Times New Roman"/>
                <w:color w:val="auto"/>
                <w:szCs w:val="21"/>
              </w:rPr>
              <w:t>，</w:t>
            </w:r>
            <w:r>
              <w:rPr>
                <w:rFonts w:ascii="Times New Roman" w:hAnsi="宋体" w:eastAsia="宋体" w:cs="Times New Roman"/>
                <w:color w:val="auto"/>
                <w:szCs w:val="21"/>
              </w:rPr>
              <w:t>无其它强噪声源，声环境特征相似，因此</w:t>
            </w:r>
            <w:r>
              <w:rPr>
                <w:rFonts w:hint="eastAsia" w:ascii="Times New Roman" w:hAnsi="Times New Roman" w:cs="Times New Roman" w:eastAsiaTheme="minorEastAsia"/>
                <w:color w:val="auto"/>
              </w:rPr>
              <w:t>夏合亚迪村</w:t>
            </w:r>
            <w:r>
              <w:rPr>
                <w:rFonts w:hint="eastAsia" w:ascii="Times New Roman" w:hAnsi="宋体" w:eastAsia="宋体" w:cs="Times New Roman"/>
                <w:bCs/>
                <w:color w:val="auto"/>
                <w:szCs w:val="21"/>
              </w:rPr>
              <w:t>监测值可代表其环境现状噪声值。</w:t>
            </w:r>
          </w:p>
        </w:tc>
      </w:tr>
      <w:tr w14:paraId="4A925448">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357" w:type="pct"/>
            <w:vAlign w:val="center"/>
          </w:tcPr>
          <w:p w14:paraId="74CF33E8">
            <w:pPr>
              <w:jc w:val="center"/>
              <w:rPr>
                <w:rFonts w:ascii="Times New Roman" w:hAnsi="Times New Roman" w:eastAsia="宋体" w:cs="Times New Roman"/>
                <w:color w:val="auto"/>
              </w:rPr>
            </w:pPr>
            <w:r>
              <w:rPr>
                <w:rFonts w:hint="eastAsia" w:ascii="Times New Roman" w:hAnsi="Times New Roman" w:eastAsia="宋体" w:cs="Times New Roman"/>
                <w:color w:val="auto"/>
              </w:rPr>
              <w:t>5</w:t>
            </w:r>
          </w:p>
        </w:tc>
        <w:tc>
          <w:tcPr>
            <w:tcW w:w="677" w:type="pct"/>
            <w:vAlign w:val="center"/>
          </w:tcPr>
          <w:p w14:paraId="1DD27511">
            <w:pPr>
              <w:widowControl/>
              <w:adjustRightInd w:val="0"/>
              <w:snapToGrid w:val="0"/>
              <w:spacing w:line="240" w:lineRule="exact"/>
              <w:jc w:val="center"/>
              <w:rPr>
                <w:rFonts w:ascii="Times New Roman" w:hAnsi="宋体" w:eastAsia="宋体" w:cs="Times New Roman"/>
                <w:snapToGrid w:val="0"/>
                <w:color w:val="auto"/>
                <w:kern w:val="0"/>
                <w:szCs w:val="21"/>
              </w:rPr>
            </w:pPr>
            <w:r>
              <w:rPr>
                <w:rFonts w:hint="eastAsia" w:ascii="Times New Roman" w:hAnsi="宋体" w:eastAsia="宋体" w:cs="Times New Roman"/>
                <w:snapToGrid w:val="0"/>
                <w:color w:val="auto"/>
                <w:kern w:val="0"/>
                <w:szCs w:val="21"/>
              </w:rPr>
              <w:t>霍加艾日克村</w:t>
            </w:r>
          </w:p>
        </w:tc>
        <w:tc>
          <w:tcPr>
            <w:tcW w:w="677" w:type="pct"/>
            <w:vAlign w:val="center"/>
          </w:tcPr>
          <w:p w14:paraId="7ECA36E3">
            <w:pPr>
              <w:adjustRightInd w:val="0"/>
              <w:snapToGrid w:val="0"/>
              <w:spacing w:line="240" w:lineRule="exact"/>
              <w:jc w:val="center"/>
              <w:rPr>
                <w:rFonts w:ascii="Times New Roman" w:hAnsi="宋体" w:eastAsia="宋体" w:cs="Times New Roman"/>
                <w:color w:val="auto"/>
                <w:szCs w:val="21"/>
              </w:rPr>
            </w:pPr>
            <w:r>
              <w:rPr>
                <w:rFonts w:hint="eastAsia" w:ascii="Times New Roman" w:cs="Times New Roman" w:hAnsiTheme="minorEastAsia" w:eastAsiaTheme="minorEastAsia"/>
                <w:color w:val="auto"/>
              </w:rPr>
              <w:t>提木村</w:t>
            </w:r>
          </w:p>
        </w:tc>
        <w:tc>
          <w:tcPr>
            <w:tcW w:w="677" w:type="pct"/>
            <w:vAlign w:val="center"/>
          </w:tcPr>
          <w:p w14:paraId="78B020C5">
            <w:pPr>
              <w:jc w:val="center"/>
              <w:rPr>
                <w:rFonts w:ascii="Times New Roman" w:hAnsi="宋体" w:eastAsia="宋体" w:cs="Times New Roman"/>
                <w:color w:val="auto"/>
                <w:szCs w:val="21"/>
              </w:rPr>
            </w:pPr>
            <w:r>
              <w:rPr>
                <w:rFonts w:ascii="Times New Roman" w:hAnsi="Times New Roman" w:eastAsia="宋体" w:cs="Times New Roman"/>
                <w:snapToGrid w:val="0"/>
                <w:color w:val="auto"/>
                <w:kern w:val="0"/>
                <w:szCs w:val="21"/>
              </w:rPr>
              <w:t>达标</w:t>
            </w:r>
          </w:p>
        </w:tc>
        <w:tc>
          <w:tcPr>
            <w:tcW w:w="2612" w:type="pct"/>
          </w:tcPr>
          <w:p w14:paraId="6FBFD15B">
            <w:pPr>
              <w:rPr>
                <w:rFonts w:ascii="Times New Roman" w:hAnsi="Times New Roman" w:eastAsia="宋体" w:cs="Times New Roman"/>
                <w:color w:val="auto"/>
              </w:rPr>
            </w:pPr>
            <w:r>
              <w:rPr>
                <w:rFonts w:hint="eastAsia" w:ascii="Times New Roman" w:hAnsi="宋体" w:eastAsia="宋体" w:cs="Times New Roman"/>
                <w:snapToGrid w:val="0"/>
                <w:color w:val="auto"/>
                <w:kern w:val="0"/>
                <w:szCs w:val="21"/>
              </w:rPr>
              <w:t>霍加艾日克村</w:t>
            </w:r>
            <w:r>
              <w:rPr>
                <w:rFonts w:hint="eastAsia" w:ascii="Times New Roman" w:hAnsi="Times New Roman" w:eastAsia="宋体" w:cs="Times New Roman"/>
                <w:snapToGrid w:val="0"/>
                <w:color w:val="auto"/>
                <w:kern w:val="0"/>
                <w:szCs w:val="21"/>
              </w:rPr>
              <w:t>与</w:t>
            </w:r>
            <w:r>
              <w:rPr>
                <w:rFonts w:hint="eastAsia" w:ascii="Times New Roman" w:cs="Times New Roman" w:hAnsiTheme="minorEastAsia" w:eastAsiaTheme="minorEastAsia"/>
                <w:color w:val="auto"/>
              </w:rPr>
              <w:t>提木村</w:t>
            </w:r>
            <w:r>
              <w:rPr>
                <w:rFonts w:ascii="Times New Roman" w:hAnsi="宋体" w:eastAsia="宋体" w:cs="Times New Roman"/>
                <w:color w:val="auto"/>
                <w:szCs w:val="21"/>
              </w:rPr>
              <w:t>位置相近</w:t>
            </w:r>
            <w:r>
              <w:rPr>
                <w:rFonts w:hint="eastAsia" w:ascii="Times New Roman" w:hAnsi="宋体" w:eastAsia="宋体" w:cs="Times New Roman"/>
                <w:color w:val="auto"/>
                <w:szCs w:val="21"/>
              </w:rPr>
              <w:t>，位于同一路段内，与既有公路距离、高差相近，</w:t>
            </w:r>
            <w:r>
              <w:rPr>
                <w:rFonts w:ascii="Times New Roman" w:hAnsi="宋体" w:eastAsia="宋体" w:cs="Times New Roman"/>
                <w:color w:val="auto"/>
                <w:szCs w:val="21"/>
              </w:rPr>
              <w:t>主要噪声源均为现有</w:t>
            </w:r>
            <w:r>
              <w:rPr>
                <w:rFonts w:hint="eastAsia" w:ascii="Times New Roman" w:hAnsi="宋体" w:eastAsia="宋体" w:cs="Times New Roman"/>
                <w:color w:val="auto"/>
                <w:szCs w:val="21"/>
              </w:rPr>
              <w:t>G219</w:t>
            </w:r>
            <w:r>
              <w:rPr>
                <w:rFonts w:ascii="Times New Roman" w:hAnsi="宋体" w:eastAsia="宋体" w:cs="Times New Roman"/>
                <w:color w:val="auto"/>
                <w:szCs w:val="21"/>
              </w:rPr>
              <w:t>交通噪声和社会生活噪声</w:t>
            </w:r>
            <w:r>
              <w:rPr>
                <w:rFonts w:hint="eastAsia" w:ascii="Times New Roman" w:hAnsi="宋体" w:eastAsia="宋体" w:cs="Times New Roman"/>
                <w:color w:val="auto"/>
                <w:szCs w:val="21"/>
              </w:rPr>
              <w:t>，</w:t>
            </w:r>
            <w:r>
              <w:rPr>
                <w:rFonts w:ascii="Times New Roman" w:hAnsi="宋体" w:eastAsia="宋体" w:cs="Times New Roman"/>
                <w:color w:val="auto"/>
                <w:szCs w:val="21"/>
              </w:rPr>
              <w:t>无其它强噪声源，声环境特征相似，因此</w:t>
            </w:r>
            <w:r>
              <w:rPr>
                <w:rFonts w:hint="eastAsia" w:ascii="Times New Roman" w:cs="Times New Roman" w:hAnsiTheme="minorEastAsia" w:eastAsiaTheme="minorEastAsia"/>
                <w:color w:val="auto"/>
              </w:rPr>
              <w:t>提木村</w:t>
            </w:r>
            <w:r>
              <w:rPr>
                <w:rFonts w:hint="eastAsia" w:ascii="Times New Roman" w:hAnsi="宋体" w:eastAsia="宋体" w:cs="Times New Roman"/>
                <w:bCs/>
                <w:color w:val="auto"/>
                <w:szCs w:val="21"/>
              </w:rPr>
              <w:t>监测值可代表其环境现状噪声值。</w:t>
            </w:r>
          </w:p>
        </w:tc>
      </w:tr>
      <w:tr w14:paraId="273CDB07">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cantSplit/>
          <w:trHeight w:val="419" w:hRule="atLeast"/>
          <w:jc w:val="center"/>
        </w:trPr>
        <w:tc>
          <w:tcPr>
            <w:tcW w:w="357" w:type="pct"/>
            <w:vAlign w:val="center"/>
          </w:tcPr>
          <w:p w14:paraId="7EDFF228">
            <w:pPr>
              <w:jc w:val="center"/>
              <w:rPr>
                <w:rFonts w:ascii="Times New Roman" w:hAnsi="Times New Roman" w:eastAsia="宋体" w:cs="Times New Roman"/>
                <w:color w:val="auto"/>
              </w:rPr>
            </w:pPr>
            <w:r>
              <w:rPr>
                <w:rFonts w:hint="eastAsia" w:ascii="Times New Roman" w:hAnsi="Times New Roman" w:eastAsia="宋体" w:cs="Times New Roman"/>
                <w:color w:val="auto"/>
              </w:rPr>
              <w:t>6</w:t>
            </w:r>
          </w:p>
        </w:tc>
        <w:tc>
          <w:tcPr>
            <w:tcW w:w="677" w:type="pct"/>
            <w:vAlign w:val="center"/>
          </w:tcPr>
          <w:p w14:paraId="6F8F0236">
            <w:pPr>
              <w:adjustRightInd w:val="0"/>
              <w:snapToGrid w:val="0"/>
              <w:spacing w:line="240" w:lineRule="exact"/>
              <w:jc w:val="center"/>
              <w:rPr>
                <w:rFonts w:ascii="Times New Roman" w:hAnsi="Times New Roman" w:eastAsia="宋体" w:cs="Times New Roman"/>
                <w:color w:val="auto"/>
                <w:szCs w:val="21"/>
              </w:rPr>
            </w:pPr>
            <w:r>
              <w:rPr>
                <w:rFonts w:hint="eastAsia" w:ascii="Times New Roman" w:hAnsi="Times New Roman" w:eastAsia="宋体" w:cs="Times New Roman"/>
                <w:color w:val="auto"/>
                <w:szCs w:val="21"/>
              </w:rPr>
              <w:t>丘如克</w:t>
            </w:r>
          </w:p>
        </w:tc>
        <w:tc>
          <w:tcPr>
            <w:tcW w:w="677" w:type="pct"/>
            <w:vAlign w:val="center"/>
          </w:tcPr>
          <w:p w14:paraId="45CA0A8F">
            <w:pPr>
              <w:adjustRightInd w:val="0"/>
              <w:snapToGrid w:val="0"/>
              <w:spacing w:line="240" w:lineRule="exact"/>
              <w:jc w:val="center"/>
              <w:rPr>
                <w:rFonts w:ascii="Times New Roman" w:hAnsi="宋体" w:eastAsia="宋体" w:cs="Times New Roman"/>
                <w:color w:val="auto"/>
                <w:szCs w:val="21"/>
              </w:rPr>
            </w:pPr>
            <w:r>
              <w:rPr>
                <w:rFonts w:hint="eastAsia" w:ascii="Times New Roman" w:cs="Times New Roman" w:hAnsiTheme="minorEastAsia" w:eastAsiaTheme="minorEastAsia"/>
                <w:color w:val="auto"/>
              </w:rPr>
              <w:t>其维克村</w:t>
            </w:r>
          </w:p>
        </w:tc>
        <w:tc>
          <w:tcPr>
            <w:tcW w:w="677" w:type="pct"/>
            <w:vAlign w:val="center"/>
          </w:tcPr>
          <w:p w14:paraId="6A105D70">
            <w:pPr>
              <w:jc w:val="center"/>
              <w:rPr>
                <w:rFonts w:ascii="Times New Roman" w:hAnsi="宋体" w:eastAsia="宋体" w:cs="Times New Roman"/>
                <w:color w:val="auto"/>
                <w:szCs w:val="21"/>
              </w:rPr>
            </w:pPr>
            <w:r>
              <w:rPr>
                <w:rFonts w:ascii="Times New Roman" w:hAnsi="Times New Roman" w:eastAsia="宋体" w:cs="Times New Roman"/>
                <w:snapToGrid w:val="0"/>
                <w:color w:val="auto"/>
                <w:kern w:val="0"/>
                <w:szCs w:val="21"/>
              </w:rPr>
              <w:t>达标</w:t>
            </w:r>
          </w:p>
        </w:tc>
        <w:tc>
          <w:tcPr>
            <w:tcW w:w="2612" w:type="pct"/>
          </w:tcPr>
          <w:p w14:paraId="6B8571E2">
            <w:pPr>
              <w:rPr>
                <w:rFonts w:ascii="Times New Roman" w:hAnsi="Times New Roman" w:eastAsia="宋体" w:cs="Times New Roman"/>
                <w:color w:val="auto"/>
              </w:rPr>
            </w:pPr>
            <w:r>
              <w:rPr>
                <w:rFonts w:hint="eastAsia" w:ascii="Times New Roman" w:hAnsi="Times New Roman" w:eastAsia="宋体" w:cs="Times New Roman"/>
                <w:color w:val="auto"/>
                <w:szCs w:val="21"/>
              </w:rPr>
              <w:t>丘如克</w:t>
            </w:r>
            <w:r>
              <w:rPr>
                <w:rFonts w:hint="eastAsia" w:ascii="Times New Roman" w:hAnsi="Times New Roman" w:eastAsia="宋体" w:cs="Times New Roman"/>
                <w:snapToGrid w:val="0"/>
                <w:color w:val="auto"/>
                <w:kern w:val="0"/>
                <w:szCs w:val="21"/>
              </w:rPr>
              <w:t>与</w:t>
            </w:r>
            <w:r>
              <w:rPr>
                <w:rFonts w:hint="eastAsia" w:ascii="Times New Roman" w:cs="Times New Roman" w:hAnsiTheme="minorEastAsia" w:eastAsiaTheme="minorEastAsia"/>
                <w:color w:val="auto"/>
              </w:rPr>
              <w:t>其维克村</w:t>
            </w:r>
            <w:r>
              <w:rPr>
                <w:rFonts w:ascii="Times New Roman" w:hAnsi="宋体" w:eastAsia="宋体" w:cs="Times New Roman"/>
                <w:color w:val="auto"/>
                <w:szCs w:val="21"/>
              </w:rPr>
              <w:t>位置相近</w:t>
            </w:r>
            <w:r>
              <w:rPr>
                <w:rFonts w:hint="eastAsia" w:ascii="Times New Roman" w:hAnsi="宋体" w:eastAsia="宋体" w:cs="Times New Roman"/>
                <w:color w:val="auto"/>
                <w:szCs w:val="21"/>
              </w:rPr>
              <w:t>，位于同一路段内，与既有公路距离、高差相近，</w:t>
            </w:r>
            <w:r>
              <w:rPr>
                <w:rFonts w:ascii="Times New Roman" w:hAnsi="宋体" w:eastAsia="宋体" w:cs="Times New Roman"/>
                <w:color w:val="auto"/>
                <w:szCs w:val="21"/>
              </w:rPr>
              <w:t>主要噪声源均为现有</w:t>
            </w:r>
            <w:r>
              <w:rPr>
                <w:rFonts w:hint="eastAsia" w:ascii="Times New Roman" w:hAnsi="宋体" w:eastAsia="宋体" w:cs="Times New Roman"/>
                <w:color w:val="auto"/>
                <w:szCs w:val="21"/>
              </w:rPr>
              <w:t>G219</w:t>
            </w:r>
            <w:r>
              <w:rPr>
                <w:rFonts w:ascii="Times New Roman" w:hAnsi="宋体" w:eastAsia="宋体" w:cs="Times New Roman"/>
                <w:color w:val="auto"/>
                <w:szCs w:val="21"/>
              </w:rPr>
              <w:t>交通噪声和社会生活噪声</w:t>
            </w:r>
            <w:r>
              <w:rPr>
                <w:rFonts w:hint="eastAsia" w:ascii="Times New Roman" w:hAnsi="宋体" w:eastAsia="宋体" w:cs="Times New Roman"/>
                <w:color w:val="auto"/>
                <w:szCs w:val="21"/>
              </w:rPr>
              <w:t>，</w:t>
            </w:r>
            <w:r>
              <w:rPr>
                <w:rFonts w:ascii="Times New Roman" w:hAnsi="宋体" w:eastAsia="宋体" w:cs="Times New Roman"/>
                <w:color w:val="auto"/>
                <w:szCs w:val="21"/>
              </w:rPr>
              <w:t>无其它强噪声源，声环境特征相似，因此</w:t>
            </w:r>
            <w:r>
              <w:rPr>
                <w:rFonts w:hint="eastAsia" w:ascii="Times New Roman" w:cs="Times New Roman" w:hAnsiTheme="minorEastAsia" w:eastAsiaTheme="minorEastAsia"/>
                <w:color w:val="auto"/>
              </w:rPr>
              <w:t>其维克村</w:t>
            </w:r>
            <w:r>
              <w:rPr>
                <w:rFonts w:hint="eastAsia" w:ascii="Times New Roman" w:hAnsi="宋体" w:eastAsia="宋体" w:cs="Times New Roman"/>
                <w:bCs/>
                <w:color w:val="auto"/>
                <w:szCs w:val="21"/>
              </w:rPr>
              <w:t>监测值可代表其环境现状噪声值。</w:t>
            </w:r>
          </w:p>
        </w:tc>
      </w:tr>
      <w:tr w14:paraId="55EE1E9E">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cantSplit/>
          <w:trHeight w:val="146" w:hRule="atLeast"/>
          <w:jc w:val="center"/>
        </w:trPr>
        <w:tc>
          <w:tcPr>
            <w:tcW w:w="357" w:type="pct"/>
            <w:vAlign w:val="center"/>
          </w:tcPr>
          <w:p w14:paraId="70FF3ECF">
            <w:pPr>
              <w:jc w:val="center"/>
              <w:rPr>
                <w:rFonts w:ascii="Times New Roman" w:hAnsi="Times New Roman" w:eastAsia="宋体" w:cs="Times New Roman"/>
                <w:color w:val="auto"/>
              </w:rPr>
            </w:pPr>
            <w:r>
              <w:rPr>
                <w:rFonts w:hint="eastAsia" w:ascii="Times New Roman" w:hAnsi="Times New Roman" w:eastAsia="宋体" w:cs="Times New Roman"/>
                <w:color w:val="auto"/>
              </w:rPr>
              <w:t>7</w:t>
            </w:r>
          </w:p>
        </w:tc>
        <w:tc>
          <w:tcPr>
            <w:tcW w:w="677" w:type="pct"/>
            <w:vAlign w:val="center"/>
          </w:tcPr>
          <w:p w14:paraId="21A98352">
            <w:pPr>
              <w:adjustRightInd w:val="0"/>
              <w:snapToGrid w:val="0"/>
              <w:spacing w:line="240" w:lineRule="exact"/>
              <w:jc w:val="center"/>
              <w:rPr>
                <w:rFonts w:ascii="Times New Roman" w:hAnsi="Times New Roman" w:eastAsia="宋体" w:cs="Times New Roman"/>
                <w:color w:val="auto"/>
                <w:szCs w:val="21"/>
              </w:rPr>
            </w:pPr>
            <w:r>
              <w:rPr>
                <w:rFonts w:hint="eastAsia" w:ascii="Times New Roman" w:hAnsi="Times New Roman" w:eastAsia="宋体" w:cs="Times New Roman"/>
                <w:color w:val="auto"/>
                <w:szCs w:val="21"/>
              </w:rPr>
              <w:t>阿克霍伊拉卡尔瓦克</w:t>
            </w:r>
          </w:p>
        </w:tc>
        <w:tc>
          <w:tcPr>
            <w:tcW w:w="677" w:type="pct"/>
            <w:vAlign w:val="center"/>
          </w:tcPr>
          <w:p w14:paraId="0526F05E">
            <w:pPr>
              <w:adjustRightInd w:val="0"/>
              <w:snapToGrid w:val="0"/>
              <w:spacing w:line="240" w:lineRule="exact"/>
              <w:jc w:val="center"/>
              <w:rPr>
                <w:rFonts w:ascii="Times New Roman" w:hAnsi="宋体" w:eastAsia="宋体" w:cs="Times New Roman"/>
                <w:color w:val="auto"/>
                <w:szCs w:val="21"/>
              </w:rPr>
            </w:pPr>
            <w:r>
              <w:rPr>
                <w:rFonts w:hint="eastAsia" w:ascii="Times New Roman" w:cs="Times New Roman" w:hAnsiTheme="minorEastAsia" w:eastAsiaTheme="minorEastAsia"/>
                <w:color w:val="auto"/>
              </w:rPr>
              <w:t>土木拉克</w:t>
            </w:r>
          </w:p>
        </w:tc>
        <w:tc>
          <w:tcPr>
            <w:tcW w:w="677" w:type="pct"/>
            <w:vAlign w:val="center"/>
          </w:tcPr>
          <w:p w14:paraId="32CD0970">
            <w:pPr>
              <w:jc w:val="center"/>
              <w:rPr>
                <w:rFonts w:ascii="Times New Roman" w:hAnsi="宋体" w:eastAsia="宋体" w:cs="Times New Roman"/>
                <w:color w:val="auto"/>
                <w:szCs w:val="21"/>
              </w:rPr>
            </w:pPr>
            <w:r>
              <w:rPr>
                <w:rFonts w:ascii="Times New Roman" w:hAnsi="Times New Roman" w:eastAsia="宋体" w:cs="Times New Roman"/>
                <w:snapToGrid w:val="0"/>
                <w:color w:val="auto"/>
                <w:kern w:val="0"/>
                <w:szCs w:val="21"/>
              </w:rPr>
              <w:t>达标</w:t>
            </w:r>
          </w:p>
        </w:tc>
        <w:tc>
          <w:tcPr>
            <w:tcW w:w="2612" w:type="pct"/>
          </w:tcPr>
          <w:p w14:paraId="1EB6CB09">
            <w:pPr>
              <w:rPr>
                <w:rFonts w:ascii="Times New Roman" w:hAnsi="Times New Roman" w:eastAsia="宋体" w:cs="Times New Roman"/>
                <w:color w:val="auto"/>
              </w:rPr>
            </w:pPr>
            <w:r>
              <w:rPr>
                <w:rFonts w:hint="eastAsia" w:ascii="Times New Roman" w:hAnsi="Times New Roman" w:eastAsia="宋体" w:cs="Times New Roman"/>
                <w:color w:val="auto"/>
                <w:szCs w:val="21"/>
              </w:rPr>
              <w:t>阿克霍伊拉卡尔瓦克</w:t>
            </w:r>
            <w:r>
              <w:rPr>
                <w:rFonts w:hint="eastAsia" w:ascii="Times New Roman" w:hAnsi="Times New Roman" w:eastAsia="宋体" w:cs="Times New Roman"/>
                <w:snapToGrid w:val="0"/>
                <w:color w:val="auto"/>
                <w:kern w:val="0"/>
                <w:szCs w:val="21"/>
              </w:rPr>
              <w:t>与</w:t>
            </w:r>
            <w:r>
              <w:rPr>
                <w:rFonts w:hint="eastAsia" w:ascii="Times New Roman" w:cs="Times New Roman" w:hAnsiTheme="minorEastAsia" w:eastAsiaTheme="minorEastAsia"/>
                <w:color w:val="auto"/>
              </w:rPr>
              <w:t>土木拉克</w:t>
            </w:r>
            <w:r>
              <w:rPr>
                <w:rFonts w:ascii="Times New Roman" w:hAnsi="宋体" w:eastAsia="宋体" w:cs="Times New Roman"/>
                <w:color w:val="auto"/>
                <w:szCs w:val="21"/>
              </w:rPr>
              <w:t>位置相近</w:t>
            </w:r>
            <w:r>
              <w:rPr>
                <w:rFonts w:hint="eastAsia" w:ascii="Times New Roman" w:hAnsi="宋体" w:eastAsia="宋体" w:cs="Times New Roman"/>
                <w:color w:val="auto"/>
                <w:szCs w:val="21"/>
              </w:rPr>
              <w:t>，位于同一路段内，与既有公路距离、高差相近，</w:t>
            </w:r>
            <w:r>
              <w:rPr>
                <w:rFonts w:ascii="Times New Roman" w:hAnsi="宋体" w:eastAsia="宋体" w:cs="Times New Roman"/>
                <w:color w:val="auto"/>
                <w:szCs w:val="21"/>
              </w:rPr>
              <w:t>主要噪声源均为现有</w:t>
            </w:r>
            <w:r>
              <w:rPr>
                <w:rFonts w:hint="eastAsia" w:ascii="Times New Roman" w:hAnsi="宋体" w:eastAsia="宋体" w:cs="Times New Roman"/>
                <w:color w:val="auto"/>
                <w:szCs w:val="21"/>
              </w:rPr>
              <w:t>G219</w:t>
            </w:r>
            <w:r>
              <w:rPr>
                <w:rFonts w:ascii="Times New Roman" w:hAnsi="宋体" w:eastAsia="宋体" w:cs="Times New Roman"/>
                <w:color w:val="auto"/>
                <w:szCs w:val="21"/>
              </w:rPr>
              <w:t>交通噪声和社会生活噪声</w:t>
            </w:r>
            <w:r>
              <w:rPr>
                <w:rFonts w:hint="eastAsia" w:ascii="Times New Roman" w:hAnsi="宋体" w:eastAsia="宋体" w:cs="Times New Roman"/>
                <w:color w:val="auto"/>
                <w:szCs w:val="21"/>
              </w:rPr>
              <w:t>，</w:t>
            </w:r>
            <w:r>
              <w:rPr>
                <w:rFonts w:ascii="Times New Roman" w:hAnsi="宋体" w:eastAsia="宋体" w:cs="Times New Roman"/>
                <w:color w:val="auto"/>
                <w:szCs w:val="21"/>
              </w:rPr>
              <w:t>无其它强噪声源，声环境特征相似，因此</w:t>
            </w:r>
            <w:r>
              <w:rPr>
                <w:rFonts w:hint="eastAsia" w:ascii="Times New Roman" w:cs="Times New Roman" w:hAnsiTheme="minorEastAsia" w:eastAsiaTheme="minorEastAsia"/>
                <w:color w:val="auto"/>
              </w:rPr>
              <w:t>土木拉克</w:t>
            </w:r>
            <w:r>
              <w:rPr>
                <w:rFonts w:hint="eastAsia" w:ascii="Times New Roman" w:hAnsi="宋体" w:eastAsia="宋体" w:cs="Times New Roman"/>
                <w:bCs/>
                <w:color w:val="auto"/>
                <w:szCs w:val="21"/>
              </w:rPr>
              <w:t>监测值可代表其环境现状噪声值。</w:t>
            </w:r>
          </w:p>
        </w:tc>
      </w:tr>
    </w:tbl>
    <w:p w14:paraId="3EBBAD49">
      <w:pPr>
        <w:rPr>
          <w:color w:val="auto"/>
        </w:rPr>
        <w:sectPr>
          <w:headerReference r:id="rId55" w:type="default"/>
          <w:footerReference r:id="rId56" w:type="default"/>
          <w:pgSz w:w="11906" w:h="16838"/>
          <w:pgMar w:top="1440" w:right="1797" w:bottom="1560" w:left="1797" w:header="851" w:footer="992" w:gutter="0"/>
          <w:pgBorders>
            <w:top w:val="none" w:sz="0" w:space="0"/>
            <w:left w:val="none" w:sz="0" w:space="0"/>
            <w:bottom w:val="none" w:sz="0" w:space="0"/>
            <w:right w:val="none" w:sz="0" w:space="0"/>
          </w:pgBorders>
          <w:cols w:space="720" w:num="1"/>
          <w:docGrid w:linePitch="312" w:charSpace="0"/>
        </w:sectPr>
      </w:pPr>
    </w:p>
    <w:p w14:paraId="532C6DFE">
      <w:pPr>
        <w:spacing w:beforeLines="50"/>
        <w:jc w:val="center"/>
        <w:rPr>
          <w:rFonts w:ascii="Times New Roman" w:hAnsi="宋体" w:eastAsia="宋体" w:cs="Times New Roman"/>
          <w:b/>
          <w:bCs/>
          <w:color w:val="auto"/>
          <w:szCs w:val="18"/>
        </w:rPr>
      </w:pPr>
      <w:r>
        <w:rPr>
          <w:rFonts w:ascii="Times New Roman" w:hAnsi="宋体" w:eastAsia="宋体" w:cs="Times New Roman"/>
          <w:b/>
          <w:bCs/>
          <w:color w:val="auto"/>
          <w:szCs w:val="18"/>
        </w:rPr>
        <w:t>续</w:t>
      </w:r>
      <w:r>
        <w:rPr>
          <w:rFonts w:hint="eastAsia" w:ascii="Times New Roman" w:hAnsi="宋体" w:eastAsia="宋体" w:cs="Times New Roman"/>
          <w:b/>
          <w:bCs/>
          <w:color w:val="auto"/>
          <w:szCs w:val="18"/>
        </w:rPr>
        <w:t xml:space="preserve"> </w:t>
      </w:r>
      <w:r>
        <w:rPr>
          <w:rFonts w:ascii="Times New Roman" w:hAnsi="宋体" w:eastAsia="宋体" w:cs="Times New Roman"/>
          <w:b/>
          <w:bCs/>
          <w:color w:val="auto"/>
          <w:szCs w:val="18"/>
        </w:rPr>
        <w:t>表</w:t>
      </w:r>
      <w:r>
        <w:rPr>
          <w:rFonts w:hint="eastAsia" w:ascii="Times New Roman" w:hAnsi="Times New Roman" w:eastAsia="宋体" w:cs="Times New Roman"/>
          <w:b/>
          <w:bCs/>
          <w:color w:val="auto"/>
          <w:szCs w:val="18"/>
        </w:rPr>
        <w:t>3</w:t>
      </w:r>
      <w:r>
        <w:rPr>
          <w:rFonts w:ascii="Times New Roman" w:hAnsi="Times New Roman" w:eastAsia="宋体" w:cs="Times New Roman"/>
          <w:b/>
          <w:bCs/>
          <w:color w:val="auto"/>
          <w:szCs w:val="18"/>
        </w:rPr>
        <w:t>.2-</w:t>
      </w:r>
      <w:r>
        <w:rPr>
          <w:rFonts w:hint="eastAsia" w:ascii="Times New Roman" w:hAnsi="Times New Roman" w:eastAsia="宋体" w:cs="Times New Roman"/>
          <w:b/>
          <w:bCs/>
          <w:color w:val="auto"/>
          <w:szCs w:val="18"/>
        </w:rPr>
        <w:t>4</w:t>
      </w:r>
      <w:r>
        <w:rPr>
          <w:rFonts w:ascii="Times New Roman" w:hAnsi="Times New Roman" w:eastAsia="宋体" w:cs="Times New Roman"/>
          <w:b/>
          <w:bCs/>
          <w:color w:val="auto"/>
          <w:szCs w:val="18"/>
        </w:rPr>
        <w:t xml:space="preserve">  </w:t>
      </w:r>
      <w:r>
        <w:rPr>
          <w:rFonts w:hint="eastAsia" w:ascii="Times New Roman" w:hAnsi="宋体" w:eastAsia="宋体" w:cs="Times New Roman"/>
          <w:b/>
          <w:bCs/>
          <w:color w:val="auto"/>
          <w:szCs w:val="18"/>
        </w:rPr>
        <w:t>未监测点位声环境现状类比可行性分析</w:t>
      </w:r>
      <w:r>
        <w:rPr>
          <w:rFonts w:ascii="Times New Roman" w:hAnsi="宋体" w:eastAsia="宋体" w:cs="Times New Roman"/>
          <w:b/>
          <w:bCs/>
          <w:color w:val="auto"/>
          <w:szCs w:val="18"/>
        </w:rPr>
        <w:t>一览表</w:t>
      </w:r>
    </w:p>
    <w:tbl>
      <w:tblPr>
        <w:tblStyle w:val="22"/>
        <w:tblW w:w="5000" w:type="pct"/>
        <w:jc w:val="center"/>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597"/>
        <w:gridCol w:w="1133"/>
        <w:gridCol w:w="1134"/>
        <w:gridCol w:w="1134"/>
        <w:gridCol w:w="4374"/>
      </w:tblGrid>
      <w:tr w14:paraId="057E4240">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cantSplit/>
          <w:tblHeader/>
          <w:jc w:val="center"/>
        </w:trPr>
        <w:tc>
          <w:tcPr>
            <w:tcW w:w="357" w:type="pct"/>
            <w:vAlign w:val="center"/>
          </w:tcPr>
          <w:p w14:paraId="0F7DAC8E">
            <w:pPr>
              <w:spacing w:line="260" w:lineRule="exact"/>
              <w:ind w:left="105" w:leftChars="50" w:right="105" w:rightChars="50"/>
              <w:jc w:val="center"/>
              <w:rPr>
                <w:rFonts w:ascii="Times New Roman" w:hAnsi="宋体" w:eastAsia="宋体" w:cs="Times New Roman"/>
                <w:b/>
                <w:bCs/>
                <w:color w:val="auto"/>
                <w:szCs w:val="21"/>
              </w:rPr>
            </w:pPr>
            <w:r>
              <w:rPr>
                <w:rFonts w:ascii="Times New Roman" w:hAnsi="宋体" w:eastAsia="宋体" w:cs="Times New Roman"/>
                <w:b/>
                <w:bCs/>
                <w:color w:val="auto"/>
                <w:szCs w:val="21"/>
              </w:rPr>
              <w:t>序号</w:t>
            </w:r>
          </w:p>
        </w:tc>
        <w:tc>
          <w:tcPr>
            <w:tcW w:w="677" w:type="pct"/>
            <w:vAlign w:val="center"/>
          </w:tcPr>
          <w:p w14:paraId="4FEC6B6F">
            <w:pPr>
              <w:spacing w:line="260" w:lineRule="exact"/>
              <w:ind w:left="105" w:leftChars="50" w:right="105" w:rightChars="50"/>
              <w:jc w:val="center"/>
              <w:rPr>
                <w:rFonts w:ascii="Times New Roman" w:hAnsi="Times New Roman" w:eastAsia="宋体" w:cs="Times New Roman"/>
                <w:b/>
                <w:bCs/>
                <w:color w:val="auto"/>
                <w:szCs w:val="21"/>
              </w:rPr>
            </w:pPr>
            <w:r>
              <w:rPr>
                <w:rFonts w:ascii="Times New Roman" w:hAnsi="宋体" w:eastAsia="宋体" w:cs="Times New Roman"/>
                <w:b/>
                <w:bCs/>
                <w:color w:val="auto"/>
                <w:szCs w:val="21"/>
              </w:rPr>
              <w:t>敏感点名称</w:t>
            </w:r>
          </w:p>
        </w:tc>
        <w:tc>
          <w:tcPr>
            <w:tcW w:w="677" w:type="pct"/>
            <w:vAlign w:val="center"/>
          </w:tcPr>
          <w:p w14:paraId="611FA07D">
            <w:pPr>
              <w:spacing w:line="260" w:lineRule="exact"/>
              <w:ind w:left="105" w:leftChars="50" w:right="105" w:rightChars="50"/>
              <w:jc w:val="center"/>
              <w:rPr>
                <w:rFonts w:ascii="Times New Roman" w:hAnsi="Times New Roman" w:eastAsia="宋体" w:cs="Times New Roman"/>
                <w:b/>
                <w:bCs/>
                <w:color w:val="auto"/>
                <w:szCs w:val="21"/>
              </w:rPr>
            </w:pPr>
            <w:r>
              <w:rPr>
                <w:rFonts w:ascii="Times New Roman" w:hAnsi="宋体" w:eastAsia="宋体" w:cs="Times New Roman"/>
                <w:b/>
                <w:bCs/>
                <w:color w:val="auto"/>
                <w:szCs w:val="21"/>
              </w:rPr>
              <w:t>可代表点位</w:t>
            </w:r>
          </w:p>
        </w:tc>
        <w:tc>
          <w:tcPr>
            <w:tcW w:w="677" w:type="pct"/>
            <w:vAlign w:val="center"/>
          </w:tcPr>
          <w:p w14:paraId="153A1BF4">
            <w:pPr>
              <w:spacing w:line="260" w:lineRule="exact"/>
              <w:ind w:left="105" w:leftChars="50" w:right="105" w:rightChars="50"/>
              <w:jc w:val="center"/>
              <w:rPr>
                <w:rFonts w:ascii="Times New Roman" w:hAnsi="宋体" w:eastAsia="宋体" w:cs="Times New Roman"/>
                <w:b/>
                <w:bCs/>
                <w:color w:val="auto"/>
                <w:szCs w:val="21"/>
              </w:rPr>
            </w:pPr>
            <w:r>
              <w:rPr>
                <w:rFonts w:ascii="Times New Roman" w:hAnsi="Times New Roman" w:eastAsia="宋体" w:cs="Times New Roman"/>
                <w:b/>
                <w:color w:val="auto"/>
                <w:kern w:val="0"/>
              </w:rPr>
              <w:t>达标情况</w:t>
            </w:r>
          </w:p>
        </w:tc>
        <w:tc>
          <w:tcPr>
            <w:tcW w:w="2612" w:type="pct"/>
            <w:vAlign w:val="center"/>
          </w:tcPr>
          <w:p w14:paraId="1898AAD0">
            <w:pPr>
              <w:spacing w:line="260" w:lineRule="exact"/>
              <w:ind w:left="105" w:leftChars="50" w:right="105" w:rightChars="50"/>
              <w:jc w:val="center"/>
              <w:rPr>
                <w:rFonts w:ascii="Times New Roman" w:hAnsi="Times New Roman" w:eastAsia="宋体" w:cs="Times New Roman"/>
                <w:b/>
                <w:bCs/>
                <w:color w:val="auto"/>
                <w:szCs w:val="21"/>
              </w:rPr>
            </w:pPr>
            <w:r>
              <w:rPr>
                <w:rFonts w:ascii="Times New Roman" w:hAnsi="宋体" w:eastAsia="宋体" w:cs="Times New Roman"/>
                <w:b/>
                <w:bCs/>
                <w:color w:val="auto"/>
                <w:szCs w:val="21"/>
              </w:rPr>
              <w:t>未监测点位</w:t>
            </w:r>
            <w:r>
              <w:rPr>
                <w:rFonts w:hint="eastAsia" w:ascii="Times New Roman" w:hAnsi="宋体" w:eastAsia="宋体" w:cs="Times New Roman"/>
                <w:b/>
                <w:bCs/>
                <w:color w:val="auto"/>
                <w:szCs w:val="21"/>
              </w:rPr>
              <w:t>类比可行性</w:t>
            </w:r>
            <w:r>
              <w:rPr>
                <w:rFonts w:ascii="Times New Roman" w:hAnsi="宋体" w:eastAsia="宋体" w:cs="Times New Roman"/>
                <w:b/>
                <w:bCs/>
                <w:color w:val="auto"/>
                <w:szCs w:val="21"/>
              </w:rPr>
              <w:t>分析</w:t>
            </w:r>
          </w:p>
        </w:tc>
      </w:tr>
      <w:tr w14:paraId="3392D4A0">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cantSplit/>
          <w:trHeight w:val="127" w:hRule="atLeast"/>
          <w:jc w:val="center"/>
        </w:trPr>
        <w:tc>
          <w:tcPr>
            <w:tcW w:w="357" w:type="pct"/>
            <w:vAlign w:val="center"/>
          </w:tcPr>
          <w:p w14:paraId="2770BC2B">
            <w:pPr>
              <w:jc w:val="center"/>
              <w:rPr>
                <w:rFonts w:ascii="Times New Roman" w:hAnsi="Times New Roman" w:eastAsia="宋体" w:cs="Times New Roman"/>
                <w:color w:val="auto"/>
              </w:rPr>
            </w:pPr>
            <w:r>
              <w:rPr>
                <w:rFonts w:hint="eastAsia" w:ascii="Times New Roman" w:hAnsi="Times New Roman" w:eastAsia="宋体" w:cs="Times New Roman"/>
                <w:color w:val="auto"/>
              </w:rPr>
              <w:t>8</w:t>
            </w:r>
          </w:p>
        </w:tc>
        <w:tc>
          <w:tcPr>
            <w:tcW w:w="677" w:type="pct"/>
            <w:vAlign w:val="center"/>
          </w:tcPr>
          <w:p w14:paraId="6CFFE26E">
            <w:pPr>
              <w:adjustRightInd w:val="0"/>
              <w:snapToGrid w:val="0"/>
              <w:spacing w:line="240" w:lineRule="exact"/>
              <w:jc w:val="center"/>
              <w:rPr>
                <w:rFonts w:ascii="Times New Roman" w:hAnsi="Times New Roman" w:eastAsia="宋体" w:cs="Times New Roman"/>
                <w:color w:val="auto"/>
                <w:szCs w:val="21"/>
              </w:rPr>
            </w:pPr>
            <w:r>
              <w:rPr>
                <w:rFonts w:hint="eastAsia" w:ascii="Times New Roman" w:hAnsi="Times New Roman" w:eastAsia="宋体" w:cs="Times New Roman"/>
                <w:color w:val="auto"/>
                <w:szCs w:val="21"/>
              </w:rPr>
              <w:t>克孜勒吉依木村</w:t>
            </w:r>
          </w:p>
        </w:tc>
        <w:tc>
          <w:tcPr>
            <w:tcW w:w="677" w:type="pct"/>
            <w:vAlign w:val="center"/>
          </w:tcPr>
          <w:p w14:paraId="179EE716">
            <w:pPr>
              <w:adjustRightInd w:val="0"/>
              <w:snapToGrid w:val="0"/>
              <w:spacing w:line="240" w:lineRule="exact"/>
              <w:jc w:val="center"/>
              <w:rPr>
                <w:rFonts w:ascii="Times New Roman" w:hAnsi="宋体" w:eastAsia="宋体" w:cs="Times New Roman"/>
                <w:color w:val="auto"/>
                <w:szCs w:val="21"/>
              </w:rPr>
            </w:pPr>
            <w:r>
              <w:rPr>
                <w:rFonts w:hint="eastAsia" w:ascii="Times New Roman" w:cs="Times New Roman" w:hAnsiTheme="minorEastAsia" w:eastAsiaTheme="minorEastAsia"/>
                <w:color w:val="auto"/>
              </w:rPr>
              <w:t>土木拉克</w:t>
            </w:r>
          </w:p>
        </w:tc>
        <w:tc>
          <w:tcPr>
            <w:tcW w:w="677" w:type="pct"/>
            <w:vAlign w:val="center"/>
          </w:tcPr>
          <w:p w14:paraId="1A3E75FB">
            <w:pPr>
              <w:jc w:val="center"/>
              <w:rPr>
                <w:rFonts w:ascii="Times New Roman" w:hAnsi="宋体" w:eastAsia="宋体" w:cs="Times New Roman"/>
                <w:color w:val="auto"/>
                <w:szCs w:val="21"/>
              </w:rPr>
            </w:pPr>
            <w:r>
              <w:rPr>
                <w:rFonts w:ascii="Times New Roman" w:hAnsi="Times New Roman" w:eastAsia="宋体" w:cs="Times New Roman"/>
                <w:snapToGrid w:val="0"/>
                <w:color w:val="auto"/>
                <w:kern w:val="0"/>
                <w:szCs w:val="21"/>
              </w:rPr>
              <w:t>达标</w:t>
            </w:r>
          </w:p>
        </w:tc>
        <w:tc>
          <w:tcPr>
            <w:tcW w:w="2612" w:type="pct"/>
          </w:tcPr>
          <w:p w14:paraId="0D123FDA">
            <w:pPr>
              <w:rPr>
                <w:rFonts w:ascii="Times New Roman" w:hAnsi="Times New Roman" w:eastAsia="宋体" w:cs="Times New Roman"/>
                <w:color w:val="auto"/>
              </w:rPr>
            </w:pPr>
            <w:r>
              <w:rPr>
                <w:rFonts w:hint="eastAsia" w:ascii="Times New Roman" w:hAnsi="Times New Roman" w:eastAsia="宋体" w:cs="Times New Roman"/>
                <w:color w:val="auto"/>
                <w:szCs w:val="21"/>
              </w:rPr>
              <w:t>克孜勒吉依木村</w:t>
            </w:r>
            <w:r>
              <w:rPr>
                <w:rFonts w:hint="eastAsia" w:ascii="Times New Roman" w:hAnsi="Times New Roman" w:eastAsia="宋体" w:cs="Times New Roman"/>
                <w:snapToGrid w:val="0"/>
                <w:color w:val="auto"/>
                <w:kern w:val="0"/>
                <w:szCs w:val="21"/>
              </w:rPr>
              <w:t>与</w:t>
            </w:r>
            <w:r>
              <w:rPr>
                <w:rFonts w:hint="eastAsia" w:ascii="Times New Roman" w:cs="Times New Roman" w:hAnsiTheme="minorEastAsia" w:eastAsiaTheme="minorEastAsia"/>
                <w:color w:val="auto"/>
              </w:rPr>
              <w:t>土木拉克</w:t>
            </w:r>
            <w:r>
              <w:rPr>
                <w:rFonts w:ascii="Times New Roman" w:hAnsi="宋体" w:eastAsia="宋体" w:cs="Times New Roman"/>
                <w:color w:val="auto"/>
                <w:szCs w:val="21"/>
              </w:rPr>
              <w:t>位置相近</w:t>
            </w:r>
            <w:r>
              <w:rPr>
                <w:rFonts w:hint="eastAsia" w:ascii="Times New Roman" w:hAnsi="宋体" w:eastAsia="宋体" w:cs="Times New Roman"/>
                <w:color w:val="auto"/>
                <w:szCs w:val="21"/>
              </w:rPr>
              <w:t>，位于同一路段内，与既有公路距离、高差相近，</w:t>
            </w:r>
            <w:r>
              <w:rPr>
                <w:rFonts w:ascii="Times New Roman" w:hAnsi="宋体" w:eastAsia="宋体" w:cs="Times New Roman"/>
                <w:color w:val="auto"/>
                <w:szCs w:val="21"/>
              </w:rPr>
              <w:t>主要噪声源均为现有</w:t>
            </w:r>
            <w:r>
              <w:rPr>
                <w:rFonts w:hint="eastAsia" w:ascii="Times New Roman" w:hAnsi="宋体" w:eastAsia="宋体" w:cs="Times New Roman"/>
                <w:color w:val="auto"/>
                <w:szCs w:val="21"/>
              </w:rPr>
              <w:t>G219</w:t>
            </w:r>
            <w:r>
              <w:rPr>
                <w:rFonts w:ascii="Times New Roman" w:hAnsi="宋体" w:eastAsia="宋体" w:cs="Times New Roman"/>
                <w:color w:val="auto"/>
                <w:szCs w:val="21"/>
              </w:rPr>
              <w:t>交通噪声和社会生活噪声</w:t>
            </w:r>
            <w:r>
              <w:rPr>
                <w:rFonts w:hint="eastAsia" w:ascii="Times New Roman" w:hAnsi="宋体" w:eastAsia="宋体" w:cs="Times New Roman"/>
                <w:color w:val="auto"/>
                <w:szCs w:val="21"/>
              </w:rPr>
              <w:t>，</w:t>
            </w:r>
            <w:r>
              <w:rPr>
                <w:rFonts w:ascii="Times New Roman" w:hAnsi="宋体" w:eastAsia="宋体" w:cs="Times New Roman"/>
                <w:color w:val="auto"/>
                <w:szCs w:val="21"/>
              </w:rPr>
              <w:t>无其它强噪声源，声环境特征相似，因此</w:t>
            </w:r>
            <w:r>
              <w:rPr>
                <w:rFonts w:hint="eastAsia" w:ascii="Times New Roman" w:cs="Times New Roman" w:hAnsiTheme="minorEastAsia" w:eastAsiaTheme="minorEastAsia"/>
                <w:color w:val="auto"/>
              </w:rPr>
              <w:t>土木拉克</w:t>
            </w:r>
            <w:r>
              <w:rPr>
                <w:rFonts w:hint="eastAsia" w:ascii="Times New Roman" w:hAnsi="宋体" w:eastAsia="宋体" w:cs="Times New Roman"/>
                <w:bCs/>
                <w:color w:val="auto"/>
                <w:szCs w:val="21"/>
              </w:rPr>
              <w:t>监测值可代表其环境现状噪声值。</w:t>
            </w:r>
          </w:p>
        </w:tc>
      </w:tr>
      <w:tr w14:paraId="16491737">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357" w:type="pct"/>
            <w:vAlign w:val="center"/>
          </w:tcPr>
          <w:p w14:paraId="145AF2FF">
            <w:pPr>
              <w:jc w:val="center"/>
              <w:rPr>
                <w:rFonts w:ascii="Times New Roman" w:hAnsi="Times New Roman" w:eastAsia="宋体" w:cs="Times New Roman"/>
                <w:color w:val="auto"/>
              </w:rPr>
            </w:pPr>
            <w:r>
              <w:rPr>
                <w:rFonts w:hint="eastAsia" w:ascii="Times New Roman" w:hAnsi="Times New Roman" w:eastAsia="宋体" w:cs="Times New Roman"/>
                <w:color w:val="auto"/>
              </w:rPr>
              <w:t>9</w:t>
            </w:r>
          </w:p>
        </w:tc>
        <w:tc>
          <w:tcPr>
            <w:tcW w:w="677" w:type="pct"/>
            <w:vAlign w:val="center"/>
          </w:tcPr>
          <w:p w14:paraId="29FAF1A9">
            <w:pPr>
              <w:adjustRightInd w:val="0"/>
              <w:snapToGrid w:val="0"/>
              <w:spacing w:line="240" w:lineRule="exact"/>
              <w:jc w:val="center"/>
              <w:rPr>
                <w:rFonts w:ascii="Times New Roman" w:hAnsi="宋体" w:eastAsia="宋体" w:cs="Times New Roman"/>
                <w:color w:val="auto"/>
                <w:szCs w:val="21"/>
              </w:rPr>
            </w:pPr>
            <w:r>
              <w:rPr>
                <w:rFonts w:hint="eastAsia" w:ascii="Times New Roman" w:hAnsi="宋体" w:eastAsia="宋体" w:cs="Times New Roman"/>
                <w:color w:val="auto"/>
                <w:szCs w:val="21"/>
              </w:rPr>
              <w:t>江巴孜村</w:t>
            </w:r>
          </w:p>
        </w:tc>
        <w:tc>
          <w:tcPr>
            <w:tcW w:w="677" w:type="pct"/>
            <w:vAlign w:val="center"/>
          </w:tcPr>
          <w:p w14:paraId="3B0D47D1">
            <w:pPr>
              <w:adjustRightInd w:val="0"/>
              <w:snapToGrid w:val="0"/>
              <w:spacing w:line="240" w:lineRule="exact"/>
              <w:jc w:val="center"/>
              <w:rPr>
                <w:rFonts w:ascii="Times New Roman" w:hAnsi="宋体" w:eastAsia="宋体" w:cs="Times New Roman"/>
                <w:color w:val="auto"/>
                <w:szCs w:val="21"/>
              </w:rPr>
            </w:pPr>
            <w:r>
              <w:rPr>
                <w:rFonts w:hint="eastAsia" w:ascii="Times New Roman" w:cs="Times New Roman" w:hAnsiTheme="minorEastAsia" w:eastAsiaTheme="minorEastAsia"/>
                <w:color w:val="auto"/>
              </w:rPr>
              <w:t>土木拉克</w:t>
            </w:r>
          </w:p>
        </w:tc>
        <w:tc>
          <w:tcPr>
            <w:tcW w:w="677" w:type="pct"/>
            <w:vAlign w:val="center"/>
          </w:tcPr>
          <w:p w14:paraId="69D49BD5">
            <w:pPr>
              <w:jc w:val="center"/>
              <w:rPr>
                <w:rFonts w:ascii="Times New Roman" w:hAnsi="宋体" w:eastAsia="宋体" w:cs="Times New Roman"/>
                <w:color w:val="auto"/>
                <w:szCs w:val="21"/>
              </w:rPr>
            </w:pPr>
            <w:r>
              <w:rPr>
                <w:rFonts w:ascii="Times New Roman" w:hAnsi="Times New Roman" w:eastAsia="宋体" w:cs="Times New Roman"/>
                <w:snapToGrid w:val="0"/>
                <w:color w:val="auto"/>
                <w:kern w:val="0"/>
                <w:szCs w:val="21"/>
              </w:rPr>
              <w:t>达标</w:t>
            </w:r>
          </w:p>
        </w:tc>
        <w:tc>
          <w:tcPr>
            <w:tcW w:w="2612" w:type="pct"/>
          </w:tcPr>
          <w:p w14:paraId="6C0A6694">
            <w:pPr>
              <w:rPr>
                <w:rFonts w:ascii="Times New Roman" w:hAnsi="Times New Roman" w:eastAsia="宋体" w:cs="Times New Roman"/>
                <w:color w:val="auto"/>
              </w:rPr>
            </w:pPr>
            <w:r>
              <w:rPr>
                <w:rFonts w:hint="eastAsia" w:ascii="Times New Roman" w:hAnsi="宋体" w:eastAsia="宋体" w:cs="Times New Roman"/>
                <w:color w:val="auto"/>
                <w:szCs w:val="21"/>
              </w:rPr>
              <w:t>江巴孜村</w:t>
            </w:r>
            <w:r>
              <w:rPr>
                <w:rFonts w:hint="eastAsia" w:ascii="Times New Roman" w:hAnsi="Times New Roman" w:eastAsia="宋体" w:cs="Times New Roman"/>
                <w:snapToGrid w:val="0"/>
                <w:color w:val="auto"/>
                <w:kern w:val="0"/>
                <w:szCs w:val="21"/>
              </w:rPr>
              <w:t>与</w:t>
            </w:r>
            <w:r>
              <w:rPr>
                <w:rFonts w:hint="eastAsia" w:ascii="Times New Roman" w:cs="Times New Roman" w:hAnsiTheme="minorEastAsia" w:eastAsiaTheme="minorEastAsia"/>
                <w:color w:val="auto"/>
              </w:rPr>
              <w:t>土木拉克</w:t>
            </w:r>
            <w:r>
              <w:rPr>
                <w:rFonts w:ascii="Times New Roman" w:hAnsi="宋体" w:eastAsia="宋体" w:cs="Times New Roman"/>
                <w:color w:val="auto"/>
                <w:szCs w:val="21"/>
              </w:rPr>
              <w:t>位置相近</w:t>
            </w:r>
            <w:r>
              <w:rPr>
                <w:rFonts w:hint="eastAsia" w:ascii="Times New Roman" w:hAnsi="宋体" w:eastAsia="宋体" w:cs="Times New Roman"/>
                <w:color w:val="auto"/>
                <w:szCs w:val="21"/>
              </w:rPr>
              <w:t>，位于同一路段内，与既有公路距离、高差相近，</w:t>
            </w:r>
            <w:r>
              <w:rPr>
                <w:rFonts w:ascii="Times New Roman" w:hAnsi="宋体" w:eastAsia="宋体" w:cs="Times New Roman"/>
                <w:color w:val="auto"/>
                <w:szCs w:val="21"/>
              </w:rPr>
              <w:t>主要噪声源均为现有</w:t>
            </w:r>
            <w:r>
              <w:rPr>
                <w:rFonts w:hint="eastAsia" w:ascii="Times New Roman" w:hAnsi="宋体" w:eastAsia="宋体" w:cs="Times New Roman"/>
                <w:color w:val="auto"/>
                <w:szCs w:val="21"/>
              </w:rPr>
              <w:t>G219</w:t>
            </w:r>
            <w:r>
              <w:rPr>
                <w:rFonts w:ascii="Times New Roman" w:hAnsi="宋体" w:eastAsia="宋体" w:cs="Times New Roman"/>
                <w:color w:val="auto"/>
                <w:szCs w:val="21"/>
              </w:rPr>
              <w:t>交通噪声和社会生活噪声</w:t>
            </w:r>
            <w:r>
              <w:rPr>
                <w:rFonts w:hint="eastAsia" w:ascii="Times New Roman" w:hAnsi="宋体" w:eastAsia="宋体" w:cs="Times New Roman"/>
                <w:color w:val="auto"/>
                <w:szCs w:val="21"/>
              </w:rPr>
              <w:t>，</w:t>
            </w:r>
            <w:r>
              <w:rPr>
                <w:rFonts w:ascii="Times New Roman" w:hAnsi="宋体" w:eastAsia="宋体" w:cs="Times New Roman"/>
                <w:color w:val="auto"/>
                <w:szCs w:val="21"/>
              </w:rPr>
              <w:t>无其它强噪声源，声环境特征相似，因此</w:t>
            </w:r>
            <w:r>
              <w:rPr>
                <w:rFonts w:hint="eastAsia" w:ascii="Times New Roman" w:cs="Times New Roman" w:hAnsiTheme="minorEastAsia" w:eastAsiaTheme="minorEastAsia"/>
                <w:color w:val="auto"/>
              </w:rPr>
              <w:t>土木拉克</w:t>
            </w:r>
            <w:r>
              <w:rPr>
                <w:rFonts w:hint="eastAsia" w:ascii="Times New Roman" w:hAnsi="宋体" w:eastAsia="宋体" w:cs="Times New Roman"/>
                <w:bCs/>
                <w:color w:val="auto"/>
                <w:szCs w:val="21"/>
              </w:rPr>
              <w:t>监测值可代表其环境现状噪声值。</w:t>
            </w:r>
          </w:p>
        </w:tc>
      </w:tr>
    </w:tbl>
    <w:p w14:paraId="31AE189C">
      <w:pPr>
        <w:rPr>
          <w:rFonts w:ascii="Times New Roman" w:hAnsi="Times New Roman" w:eastAsia="宋体" w:cs="Times New Roman"/>
          <w:color w:val="auto"/>
        </w:rPr>
      </w:pPr>
    </w:p>
    <w:p w14:paraId="545ED899">
      <w:pPr>
        <w:spacing w:line="300" w:lineRule="auto"/>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由表</w:t>
      </w:r>
      <w:r>
        <w:rPr>
          <w:rFonts w:ascii="Times New Roman" w:hAnsi="Times New Roman" w:eastAsia="宋体" w:cs="Times New Roman"/>
          <w:color w:val="auto"/>
          <w:sz w:val="24"/>
        </w:rPr>
        <w:t>3.2-</w:t>
      </w:r>
      <w:r>
        <w:rPr>
          <w:rFonts w:hint="eastAsia" w:ascii="Times New Roman" w:hAnsi="Times New Roman" w:eastAsia="宋体" w:cs="Times New Roman"/>
          <w:color w:val="auto"/>
          <w:sz w:val="24"/>
        </w:rPr>
        <w:t>4可知，根据代表性监测点位类比分析，拟建公路沿线9处未监测点位昼、夜环境噪声均也可以达到《声环境质量标准》（GB3096-2008）的相应标准要求。</w:t>
      </w:r>
    </w:p>
    <w:p w14:paraId="388F29E1">
      <w:pPr>
        <w:spacing w:line="300" w:lineRule="auto"/>
        <w:ind w:firstLine="496" w:firstLineChars="200"/>
        <w:rPr>
          <w:rFonts w:ascii="Times New Roman" w:hAnsi="Times New Roman" w:eastAsia="宋体" w:cs="Times New Roman"/>
          <w:color w:val="auto"/>
          <w:spacing w:val="4"/>
          <w:sz w:val="24"/>
        </w:rPr>
      </w:pPr>
      <w:r>
        <w:rPr>
          <w:rFonts w:hint="eastAsia" w:ascii="Times New Roman" w:hAnsi="Times New Roman" w:eastAsia="宋体" w:cs="Times New Roman"/>
          <w:color w:val="auto"/>
          <w:spacing w:val="4"/>
          <w:sz w:val="24"/>
        </w:rPr>
        <w:t>2</w:t>
      </w:r>
      <w:r>
        <w:rPr>
          <w:rFonts w:ascii="Times New Roman" w:hAnsi="Times New Roman" w:eastAsia="宋体" w:cs="Times New Roman"/>
          <w:color w:val="auto"/>
          <w:spacing w:val="4"/>
          <w:sz w:val="24"/>
        </w:rPr>
        <w:t xml:space="preserve">. </w:t>
      </w:r>
      <w:r>
        <w:rPr>
          <w:rFonts w:hint="eastAsia" w:ascii="Times New Roman" w:hAnsi="Times New Roman" w:eastAsia="宋体" w:cs="Times New Roman"/>
          <w:color w:val="auto"/>
          <w:sz w:val="24"/>
        </w:rPr>
        <w:t>交通噪声衰减断面监测</w:t>
      </w:r>
    </w:p>
    <w:p w14:paraId="7B769C3F">
      <w:pPr>
        <w:spacing w:line="300" w:lineRule="auto"/>
        <w:ind w:firstLine="496" w:firstLineChars="200"/>
        <w:rPr>
          <w:rFonts w:ascii="Times New Roman" w:hAnsi="Times New Roman" w:eastAsia="宋体" w:cs="Times New Roman"/>
          <w:spacing w:val="4"/>
          <w:sz w:val="24"/>
        </w:rPr>
      </w:pPr>
      <w:r>
        <w:rPr>
          <w:rFonts w:hint="eastAsia" w:ascii="Times New Roman" w:hAnsi="Times New Roman" w:eastAsia="宋体" w:cs="Times New Roman"/>
          <w:color w:val="auto"/>
          <w:spacing w:val="4"/>
          <w:sz w:val="24"/>
        </w:rPr>
        <w:t>交通噪声衰减断面监测结果见表</w:t>
      </w:r>
      <w:r>
        <w:rPr>
          <w:rFonts w:ascii="Times New Roman" w:hAnsi="Times New Roman" w:eastAsia="宋体" w:cs="Times New Roman"/>
          <w:spacing w:val="4"/>
          <w:sz w:val="24"/>
        </w:rPr>
        <w:t>3.2-</w:t>
      </w:r>
      <w:r>
        <w:rPr>
          <w:rFonts w:hint="eastAsia" w:ascii="Times New Roman" w:hAnsi="Times New Roman" w:eastAsia="宋体" w:cs="Times New Roman"/>
          <w:spacing w:val="4"/>
          <w:sz w:val="24"/>
        </w:rPr>
        <w:t>5。监测断面交通噪声衰减示意图见图</w:t>
      </w:r>
      <w:r>
        <w:rPr>
          <w:rFonts w:ascii="Times New Roman" w:hAnsi="Times New Roman" w:eastAsia="宋体" w:cs="Times New Roman"/>
          <w:spacing w:val="4"/>
          <w:sz w:val="24"/>
        </w:rPr>
        <w:t>3.2-1</w:t>
      </w:r>
      <w:r>
        <w:rPr>
          <w:rFonts w:hint="eastAsia" w:ascii="Times New Roman" w:hAnsi="Times New Roman" w:eastAsia="宋体" w:cs="Times New Roman"/>
          <w:spacing w:val="4"/>
          <w:sz w:val="24"/>
        </w:rPr>
        <w:t>。</w:t>
      </w:r>
    </w:p>
    <w:p w14:paraId="3D7BAD4A">
      <w:pPr>
        <w:spacing w:beforeLines="50"/>
        <w:jc w:val="center"/>
        <w:rPr>
          <w:rFonts w:ascii="Times New Roman" w:hAnsi="Times New Roman" w:eastAsia="宋体" w:cs="Times New Roman"/>
          <w:b/>
          <w:bCs/>
          <w:szCs w:val="21"/>
        </w:rPr>
      </w:pPr>
      <w:r>
        <w:rPr>
          <w:rFonts w:hint="eastAsia" w:ascii="Times New Roman" w:hAnsi="Times New Roman" w:eastAsia="宋体" w:cs="Times New Roman"/>
          <w:b/>
          <w:bCs/>
          <w:szCs w:val="21"/>
        </w:rPr>
        <w:t>表</w:t>
      </w:r>
      <w:r>
        <w:rPr>
          <w:rFonts w:ascii="Times New Roman" w:hAnsi="Times New Roman" w:eastAsia="宋体" w:cs="Times New Roman"/>
          <w:b/>
          <w:bCs/>
          <w:szCs w:val="21"/>
        </w:rPr>
        <w:t>3.2-</w:t>
      </w:r>
      <w:r>
        <w:rPr>
          <w:rFonts w:hint="eastAsia" w:ascii="Times New Roman" w:hAnsi="Times New Roman" w:eastAsia="宋体" w:cs="Times New Roman"/>
          <w:b/>
          <w:bCs/>
          <w:szCs w:val="21"/>
        </w:rPr>
        <w:t>5</w:t>
      </w:r>
      <w:r>
        <w:rPr>
          <w:rFonts w:ascii="Times New Roman" w:hAnsi="Times New Roman" w:eastAsia="宋体" w:cs="Times New Roman"/>
          <w:b/>
          <w:bCs/>
          <w:szCs w:val="21"/>
        </w:rPr>
        <w:t xml:space="preserve">  </w:t>
      </w:r>
      <w:r>
        <w:rPr>
          <w:rFonts w:hint="eastAsia" w:ascii="Times New Roman" w:hAnsi="Times New Roman" w:eastAsia="宋体" w:cs="Times New Roman"/>
          <w:b/>
          <w:bCs/>
          <w:szCs w:val="21"/>
        </w:rPr>
        <w:t>拟建公路沿线既有道路交通噪声衰减断面监测结果</w:t>
      </w:r>
    </w:p>
    <w:tbl>
      <w:tblPr>
        <w:tblStyle w:val="22"/>
        <w:tblW w:w="5050" w:type="pct"/>
        <w:tblInd w:w="0" w:type="dxa"/>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139"/>
        <w:gridCol w:w="879"/>
        <w:gridCol w:w="734"/>
        <w:gridCol w:w="763"/>
        <w:gridCol w:w="763"/>
        <w:gridCol w:w="763"/>
        <w:gridCol w:w="763"/>
        <w:gridCol w:w="765"/>
        <w:gridCol w:w="663"/>
        <w:gridCol w:w="649"/>
        <w:gridCol w:w="732"/>
      </w:tblGrid>
      <w:tr w14:paraId="47427669">
        <w:tblPrEx>
          <w:tblCellMar>
            <w:top w:w="0" w:type="dxa"/>
            <w:left w:w="108" w:type="dxa"/>
            <w:bottom w:w="0" w:type="dxa"/>
            <w:right w:w="108" w:type="dxa"/>
          </w:tblCellMar>
        </w:tblPrEx>
        <w:trPr>
          <w:trHeight w:val="432" w:hRule="atLeast"/>
        </w:trPr>
        <w:tc>
          <w:tcPr>
            <w:tcW w:w="661" w:type="pct"/>
            <w:vMerge w:val="restart"/>
            <w:shd w:val="clear" w:color="auto" w:fill="auto"/>
            <w:vAlign w:val="center"/>
          </w:tcPr>
          <w:p w14:paraId="4929620A">
            <w:pPr>
              <w:widowControl/>
              <w:jc w:val="center"/>
              <w:rPr>
                <w:rFonts w:ascii="Times New Roman" w:hAnsi="Times New Roman" w:eastAsia="宋体" w:cs="Times New Roman"/>
                <w:b/>
                <w:kern w:val="0"/>
              </w:rPr>
            </w:pPr>
            <w:r>
              <w:rPr>
                <w:rFonts w:ascii="Times New Roman" w:hAnsi="Times New Roman" w:eastAsia="宋体" w:cs="Times New Roman"/>
                <w:b/>
                <w:kern w:val="0"/>
              </w:rPr>
              <w:t>监测点位</w:t>
            </w:r>
          </w:p>
        </w:tc>
        <w:tc>
          <w:tcPr>
            <w:tcW w:w="936" w:type="pct"/>
            <w:gridSpan w:val="2"/>
            <w:vMerge w:val="restart"/>
            <w:shd w:val="clear" w:color="auto" w:fill="auto"/>
            <w:vAlign w:val="center"/>
          </w:tcPr>
          <w:p w14:paraId="232F19F1">
            <w:pPr>
              <w:widowControl/>
              <w:jc w:val="center"/>
              <w:rPr>
                <w:rFonts w:ascii="Times New Roman" w:hAnsi="Times New Roman" w:eastAsia="宋体" w:cs="Times New Roman"/>
                <w:b/>
                <w:kern w:val="0"/>
              </w:rPr>
            </w:pPr>
            <w:r>
              <w:rPr>
                <w:rFonts w:ascii="Times New Roman" w:hAnsi="Times New Roman" w:eastAsia="宋体" w:cs="Times New Roman"/>
                <w:b/>
                <w:kern w:val="0"/>
              </w:rPr>
              <w:t>监测时间</w:t>
            </w:r>
          </w:p>
        </w:tc>
        <w:tc>
          <w:tcPr>
            <w:tcW w:w="2216" w:type="pct"/>
            <w:gridSpan w:val="5"/>
            <w:shd w:val="clear" w:color="auto" w:fill="auto"/>
            <w:vAlign w:val="center"/>
          </w:tcPr>
          <w:p w14:paraId="7CA1EB51">
            <w:pPr>
              <w:widowControl/>
              <w:jc w:val="center"/>
              <w:rPr>
                <w:rFonts w:ascii="Times New Roman" w:hAnsi="Times New Roman" w:eastAsia="宋体" w:cs="Times New Roman"/>
                <w:b/>
                <w:kern w:val="0"/>
              </w:rPr>
            </w:pPr>
            <w:r>
              <w:rPr>
                <w:rFonts w:ascii="Times New Roman" w:hAnsi="Times New Roman" w:eastAsia="宋体" w:cs="Times New Roman"/>
                <w:b/>
                <w:kern w:val="0"/>
              </w:rPr>
              <w:t>噪声监测值Leq（dB）/距路中心线距离</w:t>
            </w:r>
          </w:p>
        </w:tc>
        <w:tc>
          <w:tcPr>
            <w:tcW w:w="1187" w:type="pct"/>
            <w:gridSpan w:val="3"/>
            <w:shd w:val="clear" w:color="auto" w:fill="auto"/>
            <w:vAlign w:val="center"/>
          </w:tcPr>
          <w:p w14:paraId="440E759E">
            <w:pPr>
              <w:widowControl/>
              <w:jc w:val="center"/>
              <w:rPr>
                <w:rFonts w:ascii="Times New Roman" w:hAnsi="Times New Roman" w:eastAsia="宋体" w:cs="Times New Roman"/>
                <w:b/>
                <w:kern w:val="0"/>
              </w:rPr>
            </w:pPr>
            <w:r>
              <w:rPr>
                <w:rFonts w:ascii="Times New Roman" w:hAnsi="Times New Roman" w:eastAsia="宋体" w:cs="Times New Roman"/>
                <w:b/>
                <w:kern w:val="0"/>
              </w:rPr>
              <w:t>车流量（辆/</w:t>
            </w:r>
            <w:r>
              <w:rPr>
                <w:rFonts w:hint="eastAsia" w:ascii="Times New Roman" w:hAnsi="Times New Roman" w:eastAsia="宋体" w:cs="Times New Roman"/>
                <w:b/>
                <w:kern w:val="0"/>
              </w:rPr>
              <w:t>h</w:t>
            </w:r>
            <w:r>
              <w:rPr>
                <w:rFonts w:ascii="Times New Roman" w:hAnsi="Times New Roman" w:eastAsia="宋体" w:cs="Times New Roman"/>
                <w:b/>
                <w:kern w:val="0"/>
              </w:rPr>
              <w:t>）</w:t>
            </w:r>
          </w:p>
        </w:tc>
      </w:tr>
      <w:tr w14:paraId="17B744B9">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98" w:hRule="atLeast"/>
        </w:trPr>
        <w:tc>
          <w:tcPr>
            <w:tcW w:w="661" w:type="pct"/>
            <w:vMerge w:val="continue"/>
            <w:shd w:val="clear" w:color="auto" w:fill="auto"/>
            <w:vAlign w:val="center"/>
          </w:tcPr>
          <w:p w14:paraId="55EDF3E8">
            <w:pPr>
              <w:widowControl/>
              <w:jc w:val="center"/>
              <w:rPr>
                <w:rFonts w:ascii="Times New Roman" w:hAnsi="Times New Roman" w:eastAsia="宋体" w:cs="Times New Roman"/>
                <w:b/>
                <w:kern w:val="0"/>
              </w:rPr>
            </w:pPr>
          </w:p>
        </w:tc>
        <w:tc>
          <w:tcPr>
            <w:tcW w:w="936" w:type="pct"/>
            <w:gridSpan w:val="2"/>
            <w:vMerge w:val="continue"/>
            <w:shd w:val="clear" w:color="auto" w:fill="auto"/>
            <w:vAlign w:val="center"/>
          </w:tcPr>
          <w:p w14:paraId="6924B0CE">
            <w:pPr>
              <w:widowControl/>
              <w:jc w:val="center"/>
              <w:rPr>
                <w:rFonts w:ascii="Times New Roman" w:hAnsi="Times New Roman" w:eastAsia="宋体" w:cs="Times New Roman"/>
                <w:b/>
                <w:kern w:val="0"/>
              </w:rPr>
            </w:pPr>
          </w:p>
        </w:tc>
        <w:tc>
          <w:tcPr>
            <w:tcW w:w="443" w:type="pct"/>
            <w:shd w:val="clear" w:color="auto" w:fill="auto"/>
            <w:vAlign w:val="center"/>
          </w:tcPr>
          <w:p w14:paraId="11F7AA9D">
            <w:pPr>
              <w:widowControl/>
              <w:jc w:val="center"/>
              <w:rPr>
                <w:rFonts w:ascii="Times New Roman" w:hAnsi="Times New Roman" w:eastAsia="宋体" w:cs="Times New Roman"/>
                <w:b/>
                <w:kern w:val="0"/>
              </w:rPr>
            </w:pPr>
            <w:r>
              <w:rPr>
                <w:rFonts w:ascii="Times New Roman" w:hAnsi="Times New Roman" w:eastAsia="宋体" w:cs="Times New Roman"/>
                <w:b/>
                <w:kern w:val="0"/>
              </w:rPr>
              <w:t>20m</w:t>
            </w:r>
          </w:p>
        </w:tc>
        <w:tc>
          <w:tcPr>
            <w:tcW w:w="443" w:type="pct"/>
            <w:shd w:val="clear" w:color="auto" w:fill="auto"/>
            <w:vAlign w:val="center"/>
          </w:tcPr>
          <w:p w14:paraId="792B0AEA">
            <w:pPr>
              <w:widowControl/>
              <w:jc w:val="center"/>
              <w:rPr>
                <w:rFonts w:ascii="Times New Roman" w:hAnsi="Times New Roman" w:eastAsia="宋体" w:cs="Times New Roman"/>
                <w:b/>
                <w:kern w:val="0"/>
              </w:rPr>
            </w:pPr>
            <w:r>
              <w:rPr>
                <w:rFonts w:ascii="Times New Roman" w:hAnsi="Times New Roman" w:eastAsia="宋体" w:cs="Times New Roman"/>
                <w:b/>
                <w:kern w:val="0"/>
              </w:rPr>
              <w:t>40m</w:t>
            </w:r>
          </w:p>
        </w:tc>
        <w:tc>
          <w:tcPr>
            <w:tcW w:w="443" w:type="pct"/>
            <w:shd w:val="clear" w:color="auto" w:fill="auto"/>
            <w:vAlign w:val="center"/>
          </w:tcPr>
          <w:p w14:paraId="500D3E11">
            <w:pPr>
              <w:widowControl/>
              <w:jc w:val="center"/>
              <w:rPr>
                <w:rFonts w:ascii="Times New Roman" w:hAnsi="Times New Roman" w:eastAsia="宋体" w:cs="Times New Roman"/>
                <w:b/>
                <w:kern w:val="0"/>
              </w:rPr>
            </w:pPr>
            <w:r>
              <w:rPr>
                <w:rFonts w:ascii="Times New Roman" w:hAnsi="Times New Roman" w:eastAsia="宋体" w:cs="Times New Roman"/>
                <w:b/>
                <w:kern w:val="0"/>
              </w:rPr>
              <w:t>60m</w:t>
            </w:r>
          </w:p>
        </w:tc>
        <w:tc>
          <w:tcPr>
            <w:tcW w:w="443" w:type="pct"/>
            <w:shd w:val="clear" w:color="auto" w:fill="auto"/>
            <w:vAlign w:val="center"/>
          </w:tcPr>
          <w:p w14:paraId="6E940750">
            <w:pPr>
              <w:widowControl/>
              <w:jc w:val="center"/>
              <w:rPr>
                <w:rFonts w:ascii="Times New Roman" w:hAnsi="Times New Roman" w:eastAsia="宋体" w:cs="Times New Roman"/>
                <w:b/>
                <w:kern w:val="0"/>
              </w:rPr>
            </w:pPr>
            <w:r>
              <w:rPr>
                <w:rFonts w:ascii="Times New Roman" w:hAnsi="Times New Roman" w:eastAsia="宋体" w:cs="Times New Roman"/>
                <w:b/>
                <w:kern w:val="0"/>
              </w:rPr>
              <w:t>80m</w:t>
            </w:r>
          </w:p>
        </w:tc>
        <w:tc>
          <w:tcPr>
            <w:tcW w:w="444" w:type="pct"/>
            <w:shd w:val="clear" w:color="auto" w:fill="auto"/>
            <w:vAlign w:val="center"/>
          </w:tcPr>
          <w:p w14:paraId="07C62DB4">
            <w:pPr>
              <w:widowControl/>
              <w:jc w:val="center"/>
              <w:rPr>
                <w:rFonts w:ascii="Times New Roman" w:hAnsi="Times New Roman" w:eastAsia="宋体" w:cs="Times New Roman"/>
                <w:b/>
                <w:kern w:val="0"/>
              </w:rPr>
            </w:pPr>
            <w:r>
              <w:rPr>
                <w:rFonts w:ascii="Times New Roman" w:hAnsi="Times New Roman" w:eastAsia="宋体" w:cs="Times New Roman"/>
                <w:b/>
                <w:kern w:val="0"/>
              </w:rPr>
              <w:t>120m</w:t>
            </w:r>
          </w:p>
        </w:tc>
        <w:tc>
          <w:tcPr>
            <w:tcW w:w="385" w:type="pct"/>
            <w:shd w:val="clear" w:color="auto" w:fill="auto"/>
            <w:vAlign w:val="center"/>
          </w:tcPr>
          <w:p w14:paraId="2F876874">
            <w:pPr>
              <w:widowControl/>
              <w:jc w:val="center"/>
              <w:rPr>
                <w:rFonts w:ascii="Times New Roman" w:hAnsi="Times New Roman" w:eastAsia="宋体" w:cs="Times New Roman"/>
                <w:b/>
                <w:kern w:val="0"/>
              </w:rPr>
            </w:pPr>
            <w:r>
              <w:rPr>
                <w:rFonts w:ascii="Times New Roman" w:hAnsi="Times New Roman" w:eastAsia="宋体" w:cs="Times New Roman"/>
                <w:b/>
                <w:kern w:val="0"/>
              </w:rPr>
              <w:t>大</w:t>
            </w:r>
          </w:p>
        </w:tc>
        <w:tc>
          <w:tcPr>
            <w:tcW w:w="377" w:type="pct"/>
            <w:shd w:val="clear" w:color="auto" w:fill="auto"/>
            <w:vAlign w:val="center"/>
          </w:tcPr>
          <w:p w14:paraId="26849354">
            <w:pPr>
              <w:widowControl/>
              <w:jc w:val="center"/>
              <w:rPr>
                <w:rFonts w:ascii="Times New Roman" w:hAnsi="Times New Roman" w:eastAsia="宋体" w:cs="Times New Roman"/>
                <w:b/>
                <w:kern w:val="0"/>
              </w:rPr>
            </w:pPr>
            <w:r>
              <w:rPr>
                <w:rFonts w:ascii="Times New Roman" w:hAnsi="Times New Roman" w:eastAsia="宋体" w:cs="Times New Roman"/>
                <w:b/>
                <w:kern w:val="0"/>
              </w:rPr>
              <w:t>中</w:t>
            </w:r>
          </w:p>
        </w:tc>
        <w:tc>
          <w:tcPr>
            <w:tcW w:w="425" w:type="pct"/>
            <w:shd w:val="clear" w:color="auto" w:fill="auto"/>
            <w:vAlign w:val="center"/>
          </w:tcPr>
          <w:p w14:paraId="6959EA1B">
            <w:pPr>
              <w:widowControl/>
              <w:jc w:val="center"/>
              <w:rPr>
                <w:rFonts w:ascii="Times New Roman" w:hAnsi="Times New Roman" w:eastAsia="宋体" w:cs="Times New Roman"/>
                <w:b/>
                <w:kern w:val="0"/>
              </w:rPr>
            </w:pPr>
            <w:r>
              <w:rPr>
                <w:rFonts w:ascii="Times New Roman" w:hAnsi="Times New Roman" w:eastAsia="宋体" w:cs="Times New Roman"/>
                <w:b/>
                <w:kern w:val="0"/>
              </w:rPr>
              <w:t>小</w:t>
            </w:r>
          </w:p>
        </w:tc>
      </w:tr>
      <w:tr w14:paraId="033E1531">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119" w:hRule="atLeast"/>
        </w:trPr>
        <w:tc>
          <w:tcPr>
            <w:tcW w:w="661" w:type="pct"/>
            <w:vMerge w:val="restart"/>
            <w:shd w:val="clear" w:color="auto" w:fill="auto"/>
            <w:vAlign w:val="center"/>
          </w:tcPr>
          <w:p w14:paraId="7C64C57B">
            <w:pPr>
              <w:jc w:val="center"/>
              <w:rPr>
                <w:rFonts w:ascii="Times New Roman" w:hAnsi="Times New Roman" w:eastAsia="宋体" w:cs="Times New Roman"/>
                <w:kern w:val="0"/>
              </w:rPr>
            </w:pPr>
            <w:r>
              <w:rPr>
                <w:rFonts w:ascii="Times New Roman" w:hAnsi="Times New Roman" w:eastAsia="宋体" w:cs="Times New Roman"/>
                <w:szCs w:val="21"/>
              </w:rPr>
              <w:t>G</w:t>
            </w:r>
            <w:r>
              <w:rPr>
                <w:rFonts w:hint="eastAsia" w:ascii="Times New Roman" w:hAnsi="Times New Roman" w:eastAsia="宋体" w:cs="Times New Roman"/>
                <w:szCs w:val="21"/>
              </w:rPr>
              <w:t>219（</w:t>
            </w:r>
            <w:r>
              <w:rPr>
                <w:rFonts w:ascii="Times New Roman" w:hAnsi="Times New Roman" w:eastAsia="宋体" w:cs="Times New Roman"/>
                <w:szCs w:val="21"/>
              </w:rPr>
              <w:t>K</w:t>
            </w:r>
            <w:r>
              <w:rPr>
                <w:rFonts w:hint="eastAsia" w:ascii="Times New Roman" w:hAnsi="Times New Roman" w:eastAsia="宋体" w:cs="Times New Roman"/>
                <w:szCs w:val="21"/>
              </w:rPr>
              <w:t>37</w:t>
            </w:r>
            <w:r>
              <w:rPr>
                <w:rFonts w:ascii="Times New Roman" w:hAnsi="Times New Roman" w:eastAsia="宋体" w:cs="Times New Roman"/>
                <w:szCs w:val="21"/>
              </w:rPr>
              <w:t>+</w:t>
            </w:r>
            <w:r>
              <w:rPr>
                <w:rFonts w:hint="eastAsia" w:ascii="Times New Roman" w:hAnsi="Times New Roman" w:eastAsia="宋体" w:cs="Times New Roman"/>
                <w:szCs w:val="21"/>
              </w:rPr>
              <w:t>2</w:t>
            </w:r>
            <w:r>
              <w:rPr>
                <w:rFonts w:ascii="Times New Roman" w:hAnsi="Times New Roman" w:eastAsia="宋体" w:cs="Times New Roman"/>
                <w:szCs w:val="21"/>
              </w:rPr>
              <w:t>00</w:t>
            </w:r>
            <w:r>
              <w:rPr>
                <w:rFonts w:hint="eastAsia" w:ascii="Times New Roman" w:hAnsi="Times New Roman" w:eastAsia="宋体" w:cs="Times New Roman"/>
                <w:szCs w:val="21"/>
              </w:rPr>
              <w:t>）</w:t>
            </w:r>
          </w:p>
        </w:tc>
        <w:tc>
          <w:tcPr>
            <w:tcW w:w="510" w:type="pct"/>
            <w:vMerge w:val="restart"/>
            <w:shd w:val="clear" w:color="auto" w:fill="auto"/>
            <w:vAlign w:val="center"/>
          </w:tcPr>
          <w:p w14:paraId="133A7ADE">
            <w:pPr>
              <w:jc w:val="center"/>
              <w:rPr>
                <w:rFonts w:ascii="Times New Roman" w:hAnsi="Times New Roman" w:eastAsia="宋体" w:cs="Times New Roman"/>
                <w:kern w:val="0"/>
              </w:rPr>
            </w:pPr>
            <w:r>
              <w:rPr>
                <w:rFonts w:hint="eastAsia" w:ascii="Times New Roman" w:hAnsi="Times New Roman" w:eastAsia="宋体" w:cs="Times New Roman"/>
                <w:kern w:val="0"/>
              </w:rPr>
              <w:t>2026.4.21</w:t>
            </w:r>
          </w:p>
        </w:tc>
        <w:tc>
          <w:tcPr>
            <w:tcW w:w="426" w:type="pct"/>
            <w:shd w:val="clear" w:color="auto" w:fill="auto"/>
            <w:vAlign w:val="center"/>
          </w:tcPr>
          <w:p w14:paraId="112A0764">
            <w:pPr>
              <w:widowControl/>
              <w:jc w:val="center"/>
              <w:rPr>
                <w:rFonts w:ascii="Times New Roman" w:hAnsi="Times New Roman" w:eastAsia="宋体" w:cs="Times New Roman"/>
                <w:kern w:val="0"/>
              </w:rPr>
            </w:pPr>
            <w:r>
              <w:rPr>
                <w:rFonts w:ascii="Times New Roman" w:hAnsi="Times New Roman" w:eastAsia="宋体" w:cs="Times New Roman"/>
                <w:kern w:val="0"/>
              </w:rPr>
              <w:t>昼间</w:t>
            </w:r>
          </w:p>
        </w:tc>
        <w:tc>
          <w:tcPr>
            <w:tcW w:w="443" w:type="pct"/>
            <w:shd w:val="clear" w:color="auto" w:fill="auto"/>
            <w:vAlign w:val="center"/>
          </w:tcPr>
          <w:p w14:paraId="7B6A9008">
            <w:pPr>
              <w:jc w:val="center"/>
              <w:rPr>
                <w:rFonts w:ascii="Times New Roman" w:hAnsi="Times New Roman" w:eastAsia="宋体" w:cs="Times New Roman"/>
                <w:kern w:val="0"/>
              </w:rPr>
            </w:pPr>
            <w:r>
              <w:rPr>
                <w:rFonts w:hint="eastAsia" w:ascii="Times New Roman" w:hAnsi="Times New Roman" w:eastAsia="宋体" w:cs="Times New Roman"/>
                <w:kern w:val="0"/>
              </w:rPr>
              <w:t>62.1</w:t>
            </w:r>
          </w:p>
        </w:tc>
        <w:tc>
          <w:tcPr>
            <w:tcW w:w="443" w:type="pct"/>
            <w:shd w:val="clear" w:color="auto" w:fill="auto"/>
            <w:vAlign w:val="center"/>
          </w:tcPr>
          <w:p w14:paraId="73A502DD">
            <w:pPr>
              <w:jc w:val="center"/>
              <w:rPr>
                <w:rFonts w:ascii="Times New Roman" w:hAnsi="Times New Roman" w:eastAsia="宋体" w:cs="Times New Roman"/>
                <w:kern w:val="0"/>
              </w:rPr>
            </w:pPr>
            <w:r>
              <w:rPr>
                <w:rFonts w:hint="eastAsia" w:ascii="Times New Roman" w:hAnsi="Times New Roman" w:eastAsia="宋体" w:cs="Times New Roman"/>
                <w:kern w:val="0"/>
              </w:rPr>
              <w:t>58.6</w:t>
            </w:r>
          </w:p>
        </w:tc>
        <w:tc>
          <w:tcPr>
            <w:tcW w:w="443" w:type="pct"/>
            <w:shd w:val="clear" w:color="auto" w:fill="auto"/>
            <w:vAlign w:val="center"/>
          </w:tcPr>
          <w:p w14:paraId="75E09344">
            <w:pPr>
              <w:jc w:val="center"/>
              <w:rPr>
                <w:rFonts w:ascii="Times New Roman" w:hAnsi="Times New Roman" w:eastAsia="宋体" w:cs="Times New Roman"/>
                <w:kern w:val="0"/>
              </w:rPr>
            </w:pPr>
            <w:r>
              <w:rPr>
                <w:rFonts w:hint="eastAsia" w:ascii="Times New Roman" w:hAnsi="Times New Roman" w:eastAsia="宋体" w:cs="Times New Roman"/>
                <w:kern w:val="0"/>
              </w:rPr>
              <w:t>54.0</w:t>
            </w:r>
          </w:p>
        </w:tc>
        <w:tc>
          <w:tcPr>
            <w:tcW w:w="443" w:type="pct"/>
            <w:shd w:val="clear" w:color="auto" w:fill="auto"/>
            <w:vAlign w:val="center"/>
          </w:tcPr>
          <w:p w14:paraId="72F4D846">
            <w:pPr>
              <w:jc w:val="center"/>
              <w:rPr>
                <w:rFonts w:ascii="Times New Roman" w:hAnsi="Times New Roman" w:eastAsia="宋体" w:cs="Times New Roman"/>
                <w:kern w:val="0"/>
              </w:rPr>
            </w:pPr>
            <w:r>
              <w:rPr>
                <w:rFonts w:hint="eastAsia" w:ascii="Times New Roman" w:hAnsi="Times New Roman" w:eastAsia="宋体" w:cs="Times New Roman"/>
                <w:kern w:val="0"/>
              </w:rPr>
              <w:t>51.4</w:t>
            </w:r>
          </w:p>
        </w:tc>
        <w:tc>
          <w:tcPr>
            <w:tcW w:w="444" w:type="pct"/>
            <w:shd w:val="clear" w:color="auto" w:fill="auto"/>
            <w:vAlign w:val="center"/>
          </w:tcPr>
          <w:p w14:paraId="1C0EC57F">
            <w:pPr>
              <w:jc w:val="center"/>
              <w:rPr>
                <w:rFonts w:ascii="Times New Roman" w:hAnsi="Times New Roman" w:eastAsia="宋体" w:cs="Times New Roman"/>
                <w:kern w:val="0"/>
              </w:rPr>
            </w:pPr>
            <w:r>
              <w:rPr>
                <w:rFonts w:hint="eastAsia" w:ascii="Times New Roman" w:hAnsi="Times New Roman" w:eastAsia="宋体" w:cs="Times New Roman"/>
                <w:kern w:val="0"/>
              </w:rPr>
              <w:t>45.7</w:t>
            </w:r>
          </w:p>
        </w:tc>
        <w:tc>
          <w:tcPr>
            <w:tcW w:w="385" w:type="pct"/>
            <w:shd w:val="clear" w:color="auto" w:fill="auto"/>
            <w:vAlign w:val="center"/>
          </w:tcPr>
          <w:p w14:paraId="43FE8F56">
            <w:pPr>
              <w:jc w:val="center"/>
              <w:rPr>
                <w:rFonts w:ascii="Times New Roman" w:hAnsi="Times New Roman" w:eastAsia="宋体" w:cs="Times New Roman"/>
                <w:kern w:val="0"/>
              </w:rPr>
            </w:pPr>
            <w:r>
              <w:rPr>
                <w:rFonts w:hint="eastAsia" w:ascii="Times New Roman" w:hAnsi="Times New Roman" w:eastAsia="宋体" w:cs="Times New Roman"/>
                <w:kern w:val="0"/>
              </w:rPr>
              <w:t>49</w:t>
            </w:r>
          </w:p>
        </w:tc>
        <w:tc>
          <w:tcPr>
            <w:tcW w:w="377" w:type="pct"/>
            <w:shd w:val="clear" w:color="auto" w:fill="auto"/>
            <w:vAlign w:val="center"/>
          </w:tcPr>
          <w:p w14:paraId="40B7C08D">
            <w:pPr>
              <w:jc w:val="center"/>
              <w:rPr>
                <w:rFonts w:ascii="Times New Roman" w:hAnsi="Times New Roman" w:eastAsia="宋体" w:cs="Times New Roman"/>
                <w:kern w:val="0"/>
              </w:rPr>
            </w:pPr>
            <w:r>
              <w:rPr>
                <w:rFonts w:hint="eastAsia" w:ascii="Times New Roman" w:hAnsi="Times New Roman" w:eastAsia="宋体" w:cs="Times New Roman"/>
                <w:kern w:val="0"/>
              </w:rPr>
              <w:t>23</w:t>
            </w:r>
          </w:p>
        </w:tc>
        <w:tc>
          <w:tcPr>
            <w:tcW w:w="425" w:type="pct"/>
            <w:shd w:val="clear" w:color="auto" w:fill="auto"/>
            <w:vAlign w:val="center"/>
          </w:tcPr>
          <w:p w14:paraId="4A4AFF5D">
            <w:pPr>
              <w:jc w:val="center"/>
              <w:rPr>
                <w:rFonts w:ascii="Times New Roman" w:hAnsi="Times New Roman" w:eastAsia="宋体" w:cs="Times New Roman"/>
                <w:kern w:val="0"/>
              </w:rPr>
            </w:pPr>
            <w:r>
              <w:rPr>
                <w:rFonts w:hint="eastAsia" w:ascii="Times New Roman" w:hAnsi="Times New Roman" w:eastAsia="宋体" w:cs="Times New Roman"/>
                <w:kern w:val="0"/>
              </w:rPr>
              <w:t>120</w:t>
            </w:r>
          </w:p>
        </w:tc>
      </w:tr>
      <w:tr w14:paraId="3CF8939A">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105" w:hRule="atLeast"/>
        </w:trPr>
        <w:tc>
          <w:tcPr>
            <w:tcW w:w="661" w:type="pct"/>
            <w:vMerge w:val="continue"/>
            <w:shd w:val="clear" w:color="auto" w:fill="auto"/>
            <w:vAlign w:val="center"/>
          </w:tcPr>
          <w:p w14:paraId="31950D29">
            <w:pPr>
              <w:jc w:val="center"/>
              <w:rPr>
                <w:rFonts w:ascii="Times New Roman" w:hAnsi="Times New Roman" w:eastAsia="宋体" w:cs="Times New Roman"/>
                <w:kern w:val="0"/>
              </w:rPr>
            </w:pPr>
          </w:p>
        </w:tc>
        <w:tc>
          <w:tcPr>
            <w:tcW w:w="510" w:type="pct"/>
            <w:vMerge w:val="continue"/>
            <w:shd w:val="clear" w:color="auto" w:fill="auto"/>
            <w:vAlign w:val="center"/>
          </w:tcPr>
          <w:p w14:paraId="3ABC6B57">
            <w:pPr>
              <w:jc w:val="center"/>
              <w:rPr>
                <w:rFonts w:ascii="Times New Roman" w:hAnsi="Times New Roman" w:eastAsia="宋体" w:cs="Times New Roman"/>
                <w:kern w:val="0"/>
              </w:rPr>
            </w:pPr>
          </w:p>
        </w:tc>
        <w:tc>
          <w:tcPr>
            <w:tcW w:w="426" w:type="pct"/>
            <w:shd w:val="clear" w:color="auto" w:fill="auto"/>
            <w:vAlign w:val="center"/>
          </w:tcPr>
          <w:p w14:paraId="4C75D6AB">
            <w:pPr>
              <w:widowControl/>
              <w:jc w:val="center"/>
              <w:rPr>
                <w:rFonts w:ascii="Times New Roman" w:hAnsi="Times New Roman" w:eastAsia="宋体" w:cs="Times New Roman"/>
                <w:kern w:val="0"/>
              </w:rPr>
            </w:pPr>
            <w:r>
              <w:rPr>
                <w:rFonts w:ascii="Times New Roman" w:hAnsi="Times New Roman" w:eastAsia="宋体" w:cs="Times New Roman"/>
                <w:kern w:val="0"/>
              </w:rPr>
              <w:t>夜间</w:t>
            </w:r>
          </w:p>
        </w:tc>
        <w:tc>
          <w:tcPr>
            <w:tcW w:w="443" w:type="pct"/>
            <w:shd w:val="clear" w:color="auto" w:fill="auto"/>
            <w:vAlign w:val="center"/>
          </w:tcPr>
          <w:p w14:paraId="38F9DAAE">
            <w:pPr>
              <w:jc w:val="center"/>
              <w:rPr>
                <w:rFonts w:ascii="Times New Roman" w:hAnsi="Times New Roman" w:eastAsia="宋体" w:cs="Times New Roman"/>
                <w:kern w:val="0"/>
              </w:rPr>
            </w:pPr>
            <w:r>
              <w:rPr>
                <w:rFonts w:hint="eastAsia" w:ascii="Times New Roman" w:hAnsi="Times New Roman" w:eastAsia="宋体" w:cs="Times New Roman"/>
                <w:kern w:val="0"/>
              </w:rPr>
              <w:t>48.2</w:t>
            </w:r>
          </w:p>
        </w:tc>
        <w:tc>
          <w:tcPr>
            <w:tcW w:w="443" w:type="pct"/>
            <w:shd w:val="clear" w:color="auto" w:fill="auto"/>
            <w:vAlign w:val="center"/>
          </w:tcPr>
          <w:p w14:paraId="50CF1C38">
            <w:pPr>
              <w:jc w:val="center"/>
              <w:rPr>
                <w:rFonts w:ascii="Times New Roman" w:hAnsi="Times New Roman" w:eastAsia="宋体" w:cs="Times New Roman"/>
                <w:kern w:val="0"/>
              </w:rPr>
            </w:pPr>
            <w:r>
              <w:rPr>
                <w:rFonts w:hint="eastAsia" w:ascii="Times New Roman" w:hAnsi="Times New Roman" w:eastAsia="宋体" w:cs="Times New Roman"/>
                <w:kern w:val="0"/>
              </w:rPr>
              <w:t>45.5</w:t>
            </w:r>
          </w:p>
        </w:tc>
        <w:tc>
          <w:tcPr>
            <w:tcW w:w="443" w:type="pct"/>
            <w:shd w:val="clear" w:color="auto" w:fill="auto"/>
            <w:vAlign w:val="center"/>
          </w:tcPr>
          <w:p w14:paraId="3BCC1D41">
            <w:pPr>
              <w:jc w:val="center"/>
              <w:rPr>
                <w:rFonts w:ascii="Times New Roman" w:hAnsi="Times New Roman" w:eastAsia="宋体" w:cs="Times New Roman"/>
                <w:kern w:val="0"/>
              </w:rPr>
            </w:pPr>
            <w:r>
              <w:rPr>
                <w:rFonts w:hint="eastAsia" w:ascii="Times New Roman" w:hAnsi="Times New Roman" w:eastAsia="宋体" w:cs="Times New Roman"/>
                <w:kern w:val="0"/>
              </w:rPr>
              <w:t>42.0</w:t>
            </w:r>
          </w:p>
        </w:tc>
        <w:tc>
          <w:tcPr>
            <w:tcW w:w="443" w:type="pct"/>
            <w:shd w:val="clear" w:color="auto" w:fill="auto"/>
            <w:vAlign w:val="center"/>
          </w:tcPr>
          <w:p w14:paraId="560BCA9C">
            <w:pPr>
              <w:jc w:val="center"/>
              <w:rPr>
                <w:rFonts w:ascii="Times New Roman" w:hAnsi="Times New Roman" w:eastAsia="宋体" w:cs="Times New Roman"/>
                <w:kern w:val="0"/>
              </w:rPr>
            </w:pPr>
            <w:r>
              <w:rPr>
                <w:rFonts w:hint="eastAsia" w:ascii="Times New Roman" w:hAnsi="Times New Roman" w:eastAsia="宋体" w:cs="Times New Roman"/>
                <w:kern w:val="0"/>
              </w:rPr>
              <w:t>40.0</w:t>
            </w:r>
          </w:p>
        </w:tc>
        <w:tc>
          <w:tcPr>
            <w:tcW w:w="444" w:type="pct"/>
            <w:shd w:val="clear" w:color="auto" w:fill="auto"/>
            <w:vAlign w:val="center"/>
          </w:tcPr>
          <w:p w14:paraId="6B5C136A">
            <w:pPr>
              <w:jc w:val="center"/>
              <w:rPr>
                <w:rFonts w:ascii="Times New Roman" w:hAnsi="Times New Roman" w:eastAsia="宋体" w:cs="Times New Roman"/>
                <w:kern w:val="0"/>
              </w:rPr>
            </w:pPr>
            <w:r>
              <w:rPr>
                <w:rFonts w:hint="eastAsia" w:ascii="Times New Roman" w:hAnsi="Times New Roman" w:eastAsia="宋体" w:cs="Times New Roman"/>
                <w:kern w:val="0"/>
              </w:rPr>
              <w:t>38.3</w:t>
            </w:r>
          </w:p>
        </w:tc>
        <w:tc>
          <w:tcPr>
            <w:tcW w:w="385" w:type="pct"/>
            <w:shd w:val="clear" w:color="auto" w:fill="auto"/>
            <w:vAlign w:val="center"/>
          </w:tcPr>
          <w:p w14:paraId="5B8AB385">
            <w:pPr>
              <w:jc w:val="center"/>
              <w:rPr>
                <w:rFonts w:ascii="Times New Roman" w:hAnsi="Times New Roman" w:eastAsia="宋体" w:cs="Times New Roman"/>
                <w:kern w:val="0"/>
              </w:rPr>
            </w:pPr>
            <w:r>
              <w:rPr>
                <w:rFonts w:hint="eastAsia" w:ascii="Times New Roman" w:hAnsi="Times New Roman" w:eastAsia="宋体" w:cs="Times New Roman"/>
                <w:kern w:val="0"/>
              </w:rPr>
              <w:t>24</w:t>
            </w:r>
          </w:p>
        </w:tc>
        <w:tc>
          <w:tcPr>
            <w:tcW w:w="377" w:type="pct"/>
            <w:shd w:val="clear" w:color="auto" w:fill="auto"/>
            <w:vAlign w:val="center"/>
          </w:tcPr>
          <w:p w14:paraId="1C6A4256">
            <w:pPr>
              <w:jc w:val="center"/>
              <w:rPr>
                <w:rFonts w:ascii="Times New Roman" w:hAnsi="Times New Roman" w:eastAsia="宋体" w:cs="Times New Roman"/>
                <w:kern w:val="0"/>
              </w:rPr>
            </w:pPr>
            <w:r>
              <w:rPr>
                <w:rFonts w:hint="eastAsia" w:ascii="Times New Roman" w:hAnsi="Times New Roman" w:eastAsia="宋体" w:cs="Times New Roman"/>
                <w:kern w:val="0"/>
              </w:rPr>
              <w:t>9</w:t>
            </w:r>
          </w:p>
        </w:tc>
        <w:tc>
          <w:tcPr>
            <w:tcW w:w="425" w:type="pct"/>
            <w:shd w:val="clear" w:color="auto" w:fill="auto"/>
            <w:vAlign w:val="center"/>
          </w:tcPr>
          <w:p w14:paraId="124AEA17">
            <w:pPr>
              <w:jc w:val="center"/>
              <w:rPr>
                <w:rFonts w:ascii="Times New Roman" w:hAnsi="Times New Roman" w:eastAsia="宋体" w:cs="Times New Roman"/>
                <w:kern w:val="0"/>
              </w:rPr>
            </w:pPr>
            <w:r>
              <w:rPr>
                <w:rFonts w:hint="eastAsia" w:ascii="Times New Roman" w:hAnsi="Times New Roman" w:eastAsia="宋体" w:cs="Times New Roman"/>
                <w:kern w:val="0"/>
              </w:rPr>
              <w:t>43</w:t>
            </w:r>
          </w:p>
        </w:tc>
      </w:tr>
      <w:tr w14:paraId="7ED027AF">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119" w:hRule="atLeast"/>
        </w:trPr>
        <w:tc>
          <w:tcPr>
            <w:tcW w:w="661" w:type="pct"/>
            <w:vMerge w:val="continue"/>
            <w:shd w:val="clear" w:color="auto" w:fill="auto"/>
            <w:vAlign w:val="center"/>
          </w:tcPr>
          <w:p w14:paraId="69B0949E">
            <w:pPr>
              <w:jc w:val="center"/>
              <w:rPr>
                <w:rFonts w:ascii="Times New Roman" w:hAnsi="Times New Roman" w:eastAsia="宋体" w:cs="Times New Roman"/>
                <w:kern w:val="0"/>
              </w:rPr>
            </w:pPr>
          </w:p>
        </w:tc>
        <w:tc>
          <w:tcPr>
            <w:tcW w:w="510" w:type="pct"/>
            <w:vMerge w:val="restart"/>
            <w:shd w:val="clear" w:color="auto" w:fill="auto"/>
            <w:vAlign w:val="center"/>
          </w:tcPr>
          <w:p w14:paraId="6480EE31">
            <w:pPr>
              <w:jc w:val="center"/>
              <w:rPr>
                <w:rFonts w:ascii="Times New Roman" w:hAnsi="Times New Roman" w:eastAsia="宋体" w:cs="Times New Roman"/>
                <w:kern w:val="0"/>
              </w:rPr>
            </w:pPr>
            <w:r>
              <w:rPr>
                <w:rFonts w:hint="eastAsia" w:ascii="Times New Roman" w:hAnsi="Times New Roman" w:eastAsia="宋体" w:cs="Times New Roman"/>
                <w:kern w:val="0"/>
              </w:rPr>
              <w:t>2026.4.22</w:t>
            </w:r>
          </w:p>
        </w:tc>
        <w:tc>
          <w:tcPr>
            <w:tcW w:w="426" w:type="pct"/>
            <w:shd w:val="clear" w:color="auto" w:fill="auto"/>
            <w:vAlign w:val="center"/>
          </w:tcPr>
          <w:p w14:paraId="2E201F06">
            <w:pPr>
              <w:widowControl/>
              <w:jc w:val="center"/>
              <w:rPr>
                <w:rFonts w:ascii="Times New Roman" w:hAnsi="Times New Roman" w:eastAsia="宋体" w:cs="Times New Roman"/>
                <w:kern w:val="0"/>
              </w:rPr>
            </w:pPr>
            <w:r>
              <w:rPr>
                <w:rFonts w:ascii="Times New Roman" w:hAnsi="Times New Roman" w:eastAsia="宋体" w:cs="Times New Roman"/>
                <w:kern w:val="0"/>
              </w:rPr>
              <w:t>昼间</w:t>
            </w:r>
          </w:p>
        </w:tc>
        <w:tc>
          <w:tcPr>
            <w:tcW w:w="443" w:type="pct"/>
            <w:shd w:val="clear" w:color="auto" w:fill="auto"/>
            <w:vAlign w:val="center"/>
          </w:tcPr>
          <w:p w14:paraId="2E997F1B">
            <w:pPr>
              <w:jc w:val="center"/>
              <w:rPr>
                <w:rFonts w:ascii="Times New Roman" w:hAnsi="Times New Roman" w:eastAsia="宋体" w:cs="Times New Roman"/>
                <w:kern w:val="0"/>
              </w:rPr>
            </w:pPr>
            <w:r>
              <w:rPr>
                <w:rFonts w:hint="eastAsia" w:ascii="Times New Roman" w:hAnsi="Times New Roman" w:eastAsia="宋体" w:cs="Times New Roman"/>
                <w:kern w:val="0"/>
              </w:rPr>
              <w:t>59.7</w:t>
            </w:r>
          </w:p>
        </w:tc>
        <w:tc>
          <w:tcPr>
            <w:tcW w:w="443" w:type="pct"/>
            <w:shd w:val="clear" w:color="auto" w:fill="auto"/>
            <w:vAlign w:val="center"/>
          </w:tcPr>
          <w:p w14:paraId="46D29B62">
            <w:pPr>
              <w:jc w:val="center"/>
              <w:rPr>
                <w:rFonts w:ascii="Times New Roman" w:hAnsi="Times New Roman" w:eastAsia="宋体" w:cs="Times New Roman"/>
                <w:kern w:val="0"/>
              </w:rPr>
            </w:pPr>
            <w:r>
              <w:rPr>
                <w:rFonts w:hint="eastAsia" w:ascii="Times New Roman" w:hAnsi="Times New Roman" w:eastAsia="宋体" w:cs="Times New Roman"/>
                <w:kern w:val="0"/>
              </w:rPr>
              <w:t>55.0</w:t>
            </w:r>
          </w:p>
        </w:tc>
        <w:tc>
          <w:tcPr>
            <w:tcW w:w="443" w:type="pct"/>
            <w:shd w:val="clear" w:color="auto" w:fill="auto"/>
            <w:vAlign w:val="center"/>
          </w:tcPr>
          <w:p w14:paraId="4E0FDAA2">
            <w:pPr>
              <w:jc w:val="center"/>
              <w:rPr>
                <w:rFonts w:ascii="Times New Roman" w:hAnsi="Times New Roman" w:eastAsia="宋体" w:cs="Times New Roman"/>
                <w:kern w:val="0"/>
              </w:rPr>
            </w:pPr>
            <w:r>
              <w:rPr>
                <w:rFonts w:hint="eastAsia" w:ascii="Times New Roman" w:hAnsi="Times New Roman" w:eastAsia="宋体" w:cs="Times New Roman"/>
                <w:kern w:val="0"/>
              </w:rPr>
              <w:t>50.0</w:t>
            </w:r>
          </w:p>
        </w:tc>
        <w:tc>
          <w:tcPr>
            <w:tcW w:w="443" w:type="pct"/>
            <w:shd w:val="clear" w:color="auto" w:fill="auto"/>
            <w:vAlign w:val="center"/>
          </w:tcPr>
          <w:p w14:paraId="5D502004">
            <w:pPr>
              <w:jc w:val="center"/>
              <w:rPr>
                <w:rFonts w:ascii="Times New Roman" w:hAnsi="Times New Roman" w:eastAsia="宋体" w:cs="Times New Roman"/>
                <w:kern w:val="0"/>
              </w:rPr>
            </w:pPr>
            <w:r>
              <w:rPr>
                <w:rFonts w:hint="eastAsia" w:ascii="Times New Roman" w:hAnsi="Times New Roman" w:eastAsia="宋体" w:cs="Times New Roman"/>
                <w:kern w:val="0"/>
              </w:rPr>
              <w:t>47.9</w:t>
            </w:r>
          </w:p>
        </w:tc>
        <w:tc>
          <w:tcPr>
            <w:tcW w:w="444" w:type="pct"/>
            <w:shd w:val="clear" w:color="auto" w:fill="auto"/>
            <w:vAlign w:val="center"/>
          </w:tcPr>
          <w:p w14:paraId="4CE3A929">
            <w:pPr>
              <w:jc w:val="center"/>
              <w:rPr>
                <w:rFonts w:ascii="Times New Roman" w:hAnsi="Times New Roman" w:eastAsia="宋体" w:cs="Times New Roman"/>
                <w:kern w:val="0"/>
              </w:rPr>
            </w:pPr>
            <w:r>
              <w:rPr>
                <w:rFonts w:hint="eastAsia" w:ascii="Times New Roman" w:hAnsi="Times New Roman" w:eastAsia="宋体" w:cs="Times New Roman"/>
                <w:kern w:val="0"/>
              </w:rPr>
              <w:t>43.4</w:t>
            </w:r>
          </w:p>
        </w:tc>
        <w:tc>
          <w:tcPr>
            <w:tcW w:w="385" w:type="pct"/>
            <w:shd w:val="clear" w:color="auto" w:fill="auto"/>
            <w:vAlign w:val="center"/>
          </w:tcPr>
          <w:p w14:paraId="0C0D8ED4">
            <w:pPr>
              <w:jc w:val="center"/>
              <w:rPr>
                <w:rFonts w:ascii="Times New Roman" w:hAnsi="Times New Roman" w:eastAsia="宋体" w:cs="Times New Roman"/>
                <w:kern w:val="0"/>
              </w:rPr>
            </w:pPr>
            <w:r>
              <w:rPr>
                <w:rFonts w:hint="eastAsia" w:ascii="Times New Roman" w:hAnsi="Times New Roman" w:eastAsia="宋体" w:cs="Times New Roman"/>
                <w:kern w:val="0"/>
              </w:rPr>
              <w:t>43</w:t>
            </w:r>
          </w:p>
        </w:tc>
        <w:tc>
          <w:tcPr>
            <w:tcW w:w="377" w:type="pct"/>
            <w:shd w:val="clear" w:color="auto" w:fill="auto"/>
            <w:vAlign w:val="center"/>
          </w:tcPr>
          <w:p w14:paraId="520D35F0">
            <w:pPr>
              <w:jc w:val="center"/>
              <w:rPr>
                <w:rFonts w:ascii="Times New Roman" w:hAnsi="Times New Roman" w:eastAsia="宋体" w:cs="Times New Roman"/>
                <w:kern w:val="0"/>
              </w:rPr>
            </w:pPr>
            <w:r>
              <w:rPr>
                <w:rFonts w:hint="eastAsia" w:ascii="Times New Roman" w:hAnsi="Times New Roman" w:eastAsia="宋体" w:cs="Times New Roman"/>
                <w:kern w:val="0"/>
              </w:rPr>
              <w:t>17</w:t>
            </w:r>
          </w:p>
        </w:tc>
        <w:tc>
          <w:tcPr>
            <w:tcW w:w="425" w:type="pct"/>
            <w:shd w:val="clear" w:color="auto" w:fill="auto"/>
            <w:vAlign w:val="center"/>
          </w:tcPr>
          <w:p w14:paraId="199F0F8D">
            <w:pPr>
              <w:jc w:val="center"/>
              <w:rPr>
                <w:rFonts w:ascii="Times New Roman" w:hAnsi="Times New Roman" w:eastAsia="宋体" w:cs="Times New Roman"/>
                <w:kern w:val="0"/>
              </w:rPr>
            </w:pPr>
            <w:r>
              <w:rPr>
                <w:rFonts w:hint="eastAsia" w:ascii="Times New Roman" w:hAnsi="Times New Roman" w:eastAsia="宋体" w:cs="Times New Roman"/>
                <w:kern w:val="0"/>
              </w:rPr>
              <w:t>99</w:t>
            </w:r>
          </w:p>
        </w:tc>
      </w:tr>
      <w:tr w14:paraId="38631D60">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105" w:hRule="atLeast"/>
        </w:trPr>
        <w:tc>
          <w:tcPr>
            <w:tcW w:w="661" w:type="pct"/>
            <w:vMerge w:val="continue"/>
            <w:shd w:val="clear" w:color="auto" w:fill="auto"/>
            <w:vAlign w:val="center"/>
          </w:tcPr>
          <w:p w14:paraId="59BEC472">
            <w:pPr>
              <w:jc w:val="center"/>
              <w:rPr>
                <w:rFonts w:ascii="Times New Roman" w:hAnsi="Times New Roman" w:eastAsia="宋体" w:cs="Times New Roman"/>
                <w:kern w:val="0"/>
              </w:rPr>
            </w:pPr>
          </w:p>
        </w:tc>
        <w:tc>
          <w:tcPr>
            <w:tcW w:w="510" w:type="pct"/>
            <w:vMerge w:val="continue"/>
            <w:shd w:val="clear" w:color="auto" w:fill="auto"/>
            <w:vAlign w:val="center"/>
          </w:tcPr>
          <w:p w14:paraId="090E59E4">
            <w:pPr>
              <w:jc w:val="center"/>
              <w:rPr>
                <w:rFonts w:ascii="Times New Roman" w:hAnsi="Times New Roman" w:eastAsia="宋体" w:cs="Times New Roman"/>
                <w:kern w:val="0"/>
              </w:rPr>
            </w:pPr>
          </w:p>
        </w:tc>
        <w:tc>
          <w:tcPr>
            <w:tcW w:w="426" w:type="pct"/>
            <w:shd w:val="clear" w:color="auto" w:fill="auto"/>
            <w:vAlign w:val="center"/>
          </w:tcPr>
          <w:p w14:paraId="2B5EB92E">
            <w:pPr>
              <w:widowControl/>
              <w:jc w:val="center"/>
              <w:rPr>
                <w:rFonts w:ascii="Times New Roman" w:hAnsi="Times New Roman" w:eastAsia="宋体" w:cs="Times New Roman"/>
                <w:kern w:val="0"/>
              </w:rPr>
            </w:pPr>
            <w:r>
              <w:rPr>
                <w:rFonts w:ascii="Times New Roman" w:hAnsi="Times New Roman" w:eastAsia="宋体" w:cs="Times New Roman"/>
                <w:kern w:val="0"/>
              </w:rPr>
              <w:t>夜间</w:t>
            </w:r>
          </w:p>
        </w:tc>
        <w:tc>
          <w:tcPr>
            <w:tcW w:w="443" w:type="pct"/>
            <w:shd w:val="clear" w:color="auto" w:fill="auto"/>
            <w:vAlign w:val="center"/>
          </w:tcPr>
          <w:p w14:paraId="53E5A5E3">
            <w:pPr>
              <w:jc w:val="center"/>
              <w:rPr>
                <w:rFonts w:ascii="Times New Roman" w:hAnsi="Times New Roman" w:eastAsia="宋体" w:cs="Times New Roman"/>
                <w:kern w:val="0"/>
              </w:rPr>
            </w:pPr>
            <w:r>
              <w:rPr>
                <w:rFonts w:hint="eastAsia" w:ascii="Times New Roman" w:hAnsi="Times New Roman" w:eastAsia="宋体" w:cs="Times New Roman"/>
                <w:kern w:val="0"/>
              </w:rPr>
              <w:t>54.2</w:t>
            </w:r>
          </w:p>
        </w:tc>
        <w:tc>
          <w:tcPr>
            <w:tcW w:w="443" w:type="pct"/>
            <w:shd w:val="clear" w:color="auto" w:fill="auto"/>
            <w:vAlign w:val="center"/>
          </w:tcPr>
          <w:p w14:paraId="3EF9CC77">
            <w:pPr>
              <w:jc w:val="center"/>
              <w:rPr>
                <w:rFonts w:ascii="Times New Roman" w:hAnsi="Times New Roman" w:eastAsia="宋体" w:cs="Times New Roman"/>
                <w:kern w:val="0"/>
              </w:rPr>
            </w:pPr>
            <w:r>
              <w:rPr>
                <w:rFonts w:hint="eastAsia" w:ascii="Times New Roman" w:hAnsi="Times New Roman" w:eastAsia="宋体" w:cs="Times New Roman"/>
                <w:kern w:val="0"/>
              </w:rPr>
              <w:t>51.0</w:t>
            </w:r>
          </w:p>
        </w:tc>
        <w:tc>
          <w:tcPr>
            <w:tcW w:w="443" w:type="pct"/>
            <w:shd w:val="clear" w:color="auto" w:fill="auto"/>
            <w:vAlign w:val="center"/>
          </w:tcPr>
          <w:p w14:paraId="1C908C42">
            <w:pPr>
              <w:jc w:val="center"/>
              <w:rPr>
                <w:rFonts w:ascii="Times New Roman" w:hAnsi="Times New Roman" w:eastAsia="宋体" w:cs="Times New Roman"/>
                <w:kern w:val="0"/>
              </w:rPr>
            </w:pPr>
            <w:r>
              <w:rPr>
                <w:rFonts w:hint="eastAsia" w:ascii="Times New Roman" w:hAnsi="Times New Roman" w:eastAsia="宋体" w:cs="Times New Roman"/>
                <w:kern w:val="0"/>
              </w:rPr>
              <w:t>47.2</w:t>
            </w:r>
          </w:p>
        </w:tc>
        <w:tc>
          <w:tcPr>
            <w:tcW w:w="443" w:type="pct"/>
            <w:shd w:val="clear" w:color="auto" w:fill="auto"/>
            <w:vAlign w:val="center"/>
          </w:tcPr>
          <w:p w14:paraId="34A43313">
            <w:pPr>
              <w:jc w:val="center"/>
              <w:rPr>
                <w:rFonts w:ascii="Times New Roman" w:hAnsi="Times New Roman" w:eastAsia="宋体" w:cs="Times New Roman"/>
                <w:kern w:val="0"/>
              </w:rPr>
            </w:pPr>
            <w:r>
              <w:rPr>
                <w:rFonts w:hint="eastAsia" w:ascii="Times New Roman" w:hAnsi="Times New Roman" w:eastAsia="宋体" w:cs="Times New Roman"/>
                <w:kern w:val="0"/>
              </w:rPr>
              <w:t>43.5</w:t>
            </w:r>
          </w:p>
        </w:tc>
        <w:tc>
          <w:tcPr>
            <w:tcW w:w="444" w:type="pct"/>
            <w:shd w:val="clear" w:color="auto" w:fill="auto"/>
            <w:vAlign w:val="center"/>
          </w:tcPr>
          <w:p w14:paraId="43C482CB">
            <w:pPr>
              <w:jc w:val="center"/>
              <w:rPr>
                <w:rFonts w:ascii="Times New Roman" w:hAnsi="Times New Roman" w:eastAsia="宋体" w:cs="Times New Roman"/>
                <w:kern w:val="0"/>
              </w:rPr>
            </w:pPr>
            <w:r>
              <w:rPr>
                <w:rFonts w:hint="eastAsia" w:ascii="Times New Roman" w:hAnsi="Times New Roman" w:eastAsia="宋体" w:cs="Times New Roman"/>
                <w:kern w:val="0"/>
              </w:rPr>
              <w:t>39.5</w:t>
            </w:r>
          </w:p>
        </w:tc>
        <w:tc>
          <w:tcPr>
            <w:tcW w:w="385" w:type="pct"/>
            <w:shd w:val="clear" w:color="auto" w:fill="auto"/>
            <w:vAlign w:val="center"/>
          </w:tcPr>
          <w:p w14:paraId="621D4F6C">
            <w:pPr>
              <w:jc w:val="center"/>
              <w:rPr>
                <w:rFonts w:ascii="Times New Roman" w:hAnsi="Times New Roman" w:eastAsia="宋体" w:cs="Times New Roman"/>
                <w:kern w:val="0"/>
              </w:rPr>
            </w:pPr>
            <w:r>
              <w:rPr>
                <w:rFonts w:hint="eastAsia" w:ascii="Times New Roman" w:hAnsi="Times New Roman" w:eastAsia="宋体" w:cs="Times New Roman"/>
                <w:kern w:val="0"/>
              </w:rPr>
              <w:t>30</w:t>
            </w:r>
          </w:p>
        </w:tc>
        <w:tc>
          <w:tcPr>
            <w:tcW w:w="377" w:type="pct"/>
            <w:shd w:val="clear" w:color="auto" w:fill="auto"/>
            <w:vAlign w:val="center"/>
          </w:tcPr>
          <w:p w14:paraId="2D440ABF">
            <w:pPr>
              <w:jc w:val="center"/>
              <w:rPr>
                <w:rFonts w:ascii="Times New Roman" w:hAnsi="Times New Roman" w:eastAsia="宋体" w:cs="Times New Roman"/>
                <w:kern w:val="0"/>
              </w:rPr>
            </w:pPr>
            <w:r>
              <w:rPr>
                <w:rFonts w:hint="eastAsia" w:ascii="Times New Roman" w:hAnsi="Times New Roman" w:eastAsia="宋体" w:cs="Times New Roman"/>
                <w:kern w:val="0"/>
              </w:rPr>
              <w:t>12</w:t>
            </w:r>
          </w:p>
        </w:tc>
        <w:tc>
          <w:tcPr>
            <w:tcW w:w="425" w:type="pct"/>
            <w:shd w:val="clear" w:color="auto" w:fill="auto"/>
            <w:vAlign w:val="center"/>
          </w:tcPr>
          <w:p w14:paraId="193CE2F6">
            <w:pPr>
              <w:jc w:val="center"/>
              <w:rPr>
                <w:rFonts w:ascii="Times New Roman" w:hAnsi="Times New Roman" w:eastAsia="宋体" w:cs="Times New Roman"/>
                <w:kern w:val="0"/>
              </w:rPr>
            </w:pPr>
            <w:r>
              <w:rPr>
                <w:rFonts w:hint="eastAsia" w:ascii="Times New Roman" w:hAnsi="Times New Roman" w:eastAsia="宋体" w:cs="Times New Roman"/>
                <w:kern w:val="0"/>
              </w:rPr>
              <w:t>45</w:t>
            </w:r>
          </w:p>
        </w:tc>
      </w:tr>
    </w:tbl>
    <w:p w14:paraId="37383498">
      <w:pPr>
        <w:rPr>
          <w:rFonts w:ascii="Times New Roman" w:hAnsi="Times New Roman" w:eastAsia="宋体" w:cs="Times New Roman"/>
          <w:highlight w:val="yellow"/>
        </w:rPr>
      </w:pPr>
    </w:p>
    <w:p w14:paraId="7C6202A4">
      <w:pPr>
        <w:spacing w:beforeLines="50" w:line="300" w:lineRule="auto"/>
        <w:jc w:val="center"/>
        <w:rPr>
          <w:rFonts w:ascii="Times New Roman" w:hAnsi="Times New Roman" w:eastAsia="宋体" w:cs="Times New Roman"/>
          <w:spacing w:val="4"/>
          <w:sz w:val="24"/>
        </w:rPr>
      </w:pPr>
      <w:r>
        <w:rPr>
          <w:rFonts w:ascii="Times New Roman" w:hAnsi="Times New Roman" w:eastAsia="宋体" w:cs="Times New Roman"/>
          <w:spacing w:val="4"/>
          <w:sz w:val="24"/>
        </w:rPr>
        <w:drawing>
          <wp:inline distT="0" distB="0" distL="0" distR="0">
            <wp:extent cx="5181600" cy="2571750"/>
            <wp:effectExtent l="4445" t="4445" r="14605" b="14605"/>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8"/>
              </a:graphicData>
            </a:graphic>
          </wp:inline>
        </w:drawing>
      </w:r>
    </w:p>
    <w:p w14:paraId="740C7942">
      <w:pPr>
        <w:spacing w:beforeLines="50" w:afterLines="50"/>
        <w:jc w:val="center"/>
        <w:rPr>
          <w:rFonts w:ascii="Times New Roman" w:hAnsi="Times New Roman" w:eastAsia="宋体" w:cs="Times New Roman"/>
          <w:b/>
          <w:bCs/>
          <w:spacing w:val="4"/>
          <w:szCs w:val="21"/>
        </w:rPr>
      </w:pPr>
      <w:r>
        <w:rPr>
          <w:rFonts w:hint="eastAsia" w:ascii="Times New Roman" w:hAnsi="Times New Roman" w:eastAsia="宋体" w:cs="Times New Roman"/>
          <w:b/>
          <w:bCs/>
          <w:spacing w:val="4"/>
          <w:szCs w:val="21"/>
        </w:rPr>
        <w:t>图</w:t>
      </w:r>
      <w:r>
        <w:rPr>
          <w:rFonts w:ascii="Times New Roman" w:hAnsi="Times New Roman" w:eastAsia="宋体" w:cs="Times New Roman"/>
          <w:b/>
          <w:bCs/>
          <w:spacing w:val="4"/>
          <w:szCs w:val="21"/>
        </w:rPr>
        <w:t xml:space="preserve">3.2-2 </w:t>
      </w:r>
      <w:r>
        <w:rPr>
          <w:rFonts w:hint="eastAsia" w:ascii="Times New Roman" w:hAnsi="Times New Roman" w:eastAsia="宋体" w:cs="Times New Roman"/>
          <w:b/>
          <w:bCs/>
          <w:szCs w:val="21"/>
        </w:rPr>
        <w:t>既有</w:t>
      </w:r>
      <w:r>
        <w:rPr>
          <w:rFonts w:ascii="Times New Roman" w:hAnsi="Times New Roman" w:eastAsia="宋体" w:cs="Times New Roman"/>
          <w:b/>
          <w:bCs/>
          <w:szCs w:val="21"/>
        </w:rPr>
        <w:t>G227</w:t>
      </w:r>
      <w:r>
        <w:rPr>
          <w:rFonts w:hint="eastAsia" w:ascii="Times New Roman" w:hAnsi="Times New Roman" w:eastAsia="宋体" w:cs="Times New Roman"/>
          <w:b/>
          <w:bCs/>
          <w:szCs w:val="21"/>
        </w:rPr>
        <w:t>（</w:t>
      </w:r>
      <w:r>
        <w:rPr>
          <w:rFonts w:ascii="Times New Roman" w:hAnsi="Times New Roman" w:eastAsia="宋体" w:cs="Times New Roman"/>
          <w:b/>
          <w:bCs/>
          <w:szCs w:val="21"/>
        </w:rPr>
        <w:t>K</w:t>
      </w:r>
      <w:r>
        <w:rPr>
          <w:rFonts w:hint="eastAsia" w:ascii="Times New Roman" w:hAnsi="Times New Roman" w:eastAsia="宋体" w:cs="Times New Roman"/>
          <w:b/>
          <w:bCs/>
          <w:szCs w:val="21"/>
        </w:rPr>
        <w:t>37</w:t>
      </w:r>
      <w:r>
        <w:rPr>
          <w:rFonts w:ascii="Times New Roman" w:hAnsi="Times New Roman" w:eastAsia="宋体" w:cs="Times New Roman"/>
          <w:b/>
          <w:bCs/>
          <w:szCs w:val="21"/>
        </w:rPr>
        <w:t>+</w:t>
      </w:r>
      <w:r>
        <w:rPr>
          <w:rFonts w:hint="eastAsia" w:ascii="Times New Roman" w:hAnsi="Times New Roman" w:eastAsia="宋体" w:cs="Times New Roman"/>
          <w:b/>
          <w:bCs/>
          <w:szCs w:val="21"/>
        </w:rPr>
        <w:t>2</w:t>
      </w:r>
      <w:r>
        <w:rPr>
          <w:rFonts w:ascii="Times New Roman" w:hAnsi="Times New Roman" w:eastAsia="宋体" w:cs="Times New Roman"/>
          <w:b/>
          <w:bCs/>
          <w:szCs w:val="21"/>
        </w:rPr>
        <w:t>00</w:t>
      </w:r>
      <w:r>
        <w:rPr>
          <w:rFonts w:hint="eastAsia" w:ascii="Times New Roman" w:hAnsi="Times New Roman" w:eastAsia="宋体" w:cs="Times New Roman"/>
          <w:b/>
          <w:bCs/>
          <w:szCs w:val="21"/>
        </w:rPr>
        <w:t>）交通噪声断面监测衰减示意图</w:t>
      </w:r>
    </w:p>
    <w:p w14:paraId="76EB582F">
      <w:pPr>
        <w:spacing w:beforeLines="50" w:line="300" w:lineRule="auto"/>
        <w:ind w:firstLine="538" w:firstLineChars="217"/>
        <w:rPr>
          <w:rFonts w:ascii="Times New Roman" w:hAnsi="Times New Roman" w:eastAsia="宋体" w:cs="Times New Roman"/>
          <w:spacing w:val="4"/>
          <w:sz w:val="24"/>
        </w:rPr>
      </w:pPr>
      <w:r>
        <w:rPr>
          <w:rFonts w:hint="eastAsia" w:ascii="Times New Roman" w:hAnsi="Times New Roman" w:eastAsia="宋体" w:cs="Times New Roman"/>
          <w:spacing w:val="4"/>
          <w:sz w:val="24"/>
        </w:rPr>
        <w:t>从交通噪声断面监测结果可以看出，本项目既有老路的交通噪声昼间值为43.4~62.1dB，夜间值为38.3~54.2dB。交通噪声随距离的变化一般规律为：随着距离公路越远，交通噪声带来的影响逐步降低。</w:t>
      </w:r>
    </w:p>
    <w:p w14:paraId="62F5C6C6">
      <w:pPr>
        <w:spacing w:line="300" w:lineRule="auto"/>
        <w:ind w:firstLine="538" w:firstLineChars="217"/>
        <w:rPr>
          <w:spacing w:val="4"/>
          <w:sz w:val="24"/>
        </w:rPr>
        <w:sectPr>
          <w:footerReference r:id="rId57" w:type="default"/>
          <w:footerReference r:id="rId58" w:type="even"/>
          <w:pgSz w:w="11906" w:h="16838"/>
          <w:pgMar w:top="1440" w:right="1797" w:bottom="1559" w:left="1797" w:header="851" w:footer="992" w:gutter="0"/>
          <w:pgBorders>
            <w:top w:val="none" w:sz="0" w:space="0"/>
            <w:left w:val="none" w:sz="0" w:space="0"/>
            <w:bottom w:val="none" w:sz="0" w:space="0"/>
            <w:right w:val="none" w:sz="0" w:space="0"/>
          </w:pgBorders>
          <w:cols w:space="720" w:num="1"/>
          <w:docGrid w:linePitch="312" w:charSpace="0"/>
        </w:sectPr>
      </w:pPr>
    </w:p>
    <w:p w14:paraId="47B21BEC">
      <w:pPr>
        <w:keepNext/>
        <w:keepLines/>
        <w:widowControl w:val="0"/>
        <w:tabs>
          <w:tab w:val="center" w:pos="4252"/>
          <w:tab w:val="left" w:pos="6855"/>
        </w:tabs>
        <w:spacing w:before="480" w:after="480"/>
        <w:jc w:val="center"/>
        <w:outlineLvl w:val="0"/>
        <w:rPr>
          <w:rFonts w:ascii="Times New Roman" w:hAnsi="Times New Roman" w:eastAsia="黑体" w:cs="Times New Roman"/>
          <w:snapToGrid w:val="0"/>
          <w:kern w:val="0"/>
          <w:sz w:val="32"/>
          <w:szCs w:val="32"/>
          <w:lang w:val="en-US" w:eastAsia="zh-CN" w:bidi="ar-SA"/>
        </w:rPr>
      </w:pPr>
      <w:bookmarkStart w:id="217" w:name="_Toc187528260"/>
      <w:r>
        <w:rPr>
          <w:rFonts w:ascii="Times New Roman" w:hAnsi="Times New Roman" w:eastAsia="黑体" w:cs="Times New Roman"/>
          <w:snapToGrid w:val="0"/>
          <w:kern w:val="0"/>
          <w:sz w:val="32"/>
          <w:szCs w:val="32"/>
          <w:lang w:val="en-US" w:eastAsia="zh-CN" w:bidi="ar-SA"/>
        </w:rPr>
        <w:t>4 声环境影响预测评价</w:t>
      </w:r>
      <w:bookmarkEnd w:id="217"/>
    </w:p>
    <w:p w14:paraId="2F47E39F">
      <w:pPr>
        <w:keepNext/>
        <w:keepLines/>
        <w:widowControl w:val="0"/>
        <w:adjustRightInd w:val="0"/>
        <w:spacing w:before="240" w:after="240" w:line="240" w:lineRule="auto"/>
        <w:jc w:val="both"/>
        <w:textAlignment w:val="baseline"/>
        <w:outlineLvl w:val="1"/>
        <w:rPr>
          <w:rFonts w:ascii="Times New Roman" w:hAnsi="Times New Roman" w:eastAsia="宋体" w:cs="Times New Roman"/>
          <w:b/>
          <w:bCs/>
          <w:kern w:val="0"/>
          <w:sz w:val="28"/>
          <w:szCs w:val="32"/>
          <w:lang w:val="en-US" w:eastAsia="zh-CN" w:bidi="ar-SA"/>
        </w:rPr>
      </w:pPr>
      <w:bookmarkStart w:id="218" w:name="_Toc187528261"/>
      <w:r>
        <w:rPr>
          <w:rFonts w:ascii="Times New Roman" w:hAnsi="Times New Roman" w:eastAsia="宋体" w:cs="Times New Roman"/>
          <w:b/>
          <w:bCs/>
          <w:kern w:val="0"/>
          <w:sz w:val="28"/>
          <w:szCs w:val="32"/>
          <w:lang w:val="en-US" w:eastAsia="zh-CN" w:bidi="ar-SA"/>
        </w:rPr>
        <w:t>4.1 施工期声环境影响评价</w:t>
      </w:r>
      <w:bookmarkEnd w:id="218"/>
    </w:p>
    <w:p w14:paraId="0BF1B4FB">
      <w:pPr>
        <w:spacing w:line="300" w:lineRule="auto"/>
        <w:ind w:firstLine="480" w:firstLineChars="200"/>
        <w:rPr>
          <w:rFonts w:ascii="Times New Roman" w:hAnsi="Times New Roman" w:eastAsia="宋体" w:cs="Times New Roman"/>
          <w:snapToGrid w:val="0"/>
          <w:sz w:val="24"/>
        </w:rPr>
      </w:pPr>
      <w:r>
        <w:rPr>
          <w:rFonts w:ascii="Times New Roman" w:hAnsi="Times New Roman" w:eastAsia="宋体" w:cs="Times New Roman"/>
          <w:snapToGrid w:val="0"/>
          <w:sz w:val="24"/>
        </w:rPr>
        <w:t>1. 施工期噪声污染源及其特点</w:t>
      </w:r>
    </w:p>
    <w:p w14:paraId="36B7BD7A">
      <w:pPr>
        <w:spacing w:line="300" w:lineRule="auto"/>
        <w:ind w:firstLine="480" w:firstLineChars="200"/>
        <w:rPr>
          <w:rFonts w:ascii="Times New Roman" w:hAnsi="Times New Roman" w:eastAsia="宋体" w:cs="Times New Roman"/>
          <w:snapToGrid w:val="0"/>
          <w:sz w:val="24"/>
        </w:rPr>
      </w:pPr>
      <w:r>
        <w:rPr>
          <w:rFonts w:ascii="Times New Roman" w:hAnsi="Times New Roman" w:eastAsia="宋体" w:cs="Times New Roman"/>
          <w:snapToGrid w:val="0"/>
          <w:sz w:val="24"/>
        </w:rPr>
        <w:t>拟建</w:t>
      </w:r>
      <w:r>
        <w:rPr>
          <w:rFonts w:hint="eastAsia" w:ascii="Times New Roman" w:hAnsi="Times New Roman" w:eastAsia="宋体" w:cs="Times New Roman"/>
          <w:snapToGrid w:val="0"/>
          <w:sz w:val="24"/>
        </w:rPr>
        <w:t>公路</w:t>
      </w:r>
      <w:r>
        <w:rPr>
          <w:rFonts w:ascii="Times New Roman" w:hAnsi="Times New Roman" w:eastAsia="宋体" w:cs="Times New Roman"/>
          <w:snapToGrid w:val="0"/>
          <w:sz w:val="24"/>
        </w:rPr>
        <w:t>建设工期历时</w:t>
      </w:r>
      <w:r>
        <w:rPr>
          <w:rFonts w:hint="eastAsia" w:ascii="Times New Roman" w:hAnsi="Times New Roman" w:eastAsia="宋体" w:cs="Times New Roman"/>
          <w:snapToGrid w:val="0"/>
          <w:sz w:val="24"/>
        </w:rPr>
        <w:t>2</w:t>
      </w:r>
      <w:r>
        <w:rPr>
          <w:rFonts w:ascii="Times New Roman" w:hAnsi="Times New Roman" w:eastAsia="宋体" w:cs="Times New Roman"/>
          <w:snapToGrid w:val="0"/>
          <w:sz w:val="24"/>
        </w:rPr>
        <w:t>年，施工中将使用多种大中型设备进行机械化施工作业。施工机械噪声的特点是，噪声值高，而且无规则，往往会对施工场地附近的</w:t>
      </w:r>
      <w:r>
        <w:rPr>
          <w:rFonts w:hint="eastAsia" w:ascii="Times New Roman" w:hAnsi="Times New Roman" w:eastAsia="宋体" w:cs="Times New Roman"/>
          <w:snapToGrid w:val="0"/>
          <w:sz w:val="24"/>
        </w:rPr>
        <w:t>居民区</w:t>
      </w:r>
      <w:r>
        <w:rPr>
          <w:rFonts w:ascii="Times New Roman" w:hAnsi="Times New Roman" w:eastAsia="宋体" w:cs="Times New Roman"/>
          <w:snapToGrid w:val="0"/>
          <w:sz w:val="24"/>
        </w:rPr>
        <w:t>等声环境敏感点产生较大的影响，因此，公路工程施工所产生的施工机械噪声必须十分重视。应对工程施工期噪声进行分析评价，以便更好的制定相应的施工管理计划，工程施工期保护好</w:t>
      </w:r>
      <w:r>
        <w:rPr>
          <w:rFonts w:hint="eastAsia" w:ascii="Times New Roman" w:hAnsi="Times New Roman" w:eastAsia="宋体" w:cs="Times New Roman"/>
          <w:snapToGrid w:val="0"/>
          <w:sz w:val="24"/>
        </w:rPr>
        <w:t>公路</w:t>
      </w:r>
      <w:r>
        <w:rPr>
          <w:rFonts w:ascii="Times New Roman" w:hAnsi="Times New Roman" w:eastAsia="宋体" w:cs="Times New Roman"/>
          <w:snapToGrid w:val="0"/>
          <w:sz w:val="24"/>
        </w:rPr>
        <w:t>沿线地区居民良好的居住声环境。</w:t>
      </w:r>
    </w:p>
    <w:p w14:paraId="5124721F">
      <w:pPr>
        <w:spacing w:line="300" w:lineRule="auto"/>
        <w:ind w:firstLine="480" w:firstLineChars="200"/>
        <w:rPr>
          <w:rFonts w:ascii="Times New Roman" w:hAnsi="Times New Roman" w:eastAsia="宋体" w:cs="Times New Roman"/>
          <w:snapToGrid w:val="0"/>
          <w:sz w:val="24"/>
        </w:rPr>
      </w:pPr>
      <w:r>
        <w:rPr>
          <w:rFonts w:ascii="Times New Roman" w:hAnsi="Times New Roman" w:eastAsia="宋体" w:cs="Times New Roman"/>
          <w:snapToGrid w:val="0"/>
          <w:sz w:val="24"/>
        </w:rPr>
        <w:t>公路施工机械噪声污染具有噪声值高、无规则的特点，主要表现为：</w:t>
      </w:r>
    </w:p>
    <w:p w14:paraId="59CAC579">
      <w:pPr>
        <w:spacing w:line="300" w:lineRule="auto"/>
        <w:ind w:firstLine="480" w:firstLineChars="200"/>
        <w:rPr>
          <w:rFonts w:ascii="Times New Roman" w:hAnsi="Times New Roman" w:eastAsia="宋体" w:cs="Times New Roman"/>
          <w:snapToGrid w:val="0"/>
          <w:sz w:val="24"/>
        </w:rPr>
      </w:pPr>
      <w:r>
        <w:rPr>
          <w:rFonts w:ascii="Times New Roman" w:hAnsi="Times New Roman" w:eastAsia="宋体" w:cs="Times New Roman"/>
          <w:snapToGrid w:val="0"/>
          <w:sz w:val="24"/>
        </w:rPr>
        <w:t>(1) 施工机械种类繁多，不同的施工阶段有不同的施工机械，同一施工阶段投入的施工机械也有多有少，导致了施工噪声的随意性和无规律性。</w:t>
      </w:r>
    </w:p>
    <w:p w14:paraId="470CB2F6">
      <w:pPr>
        <w:spacing w:line="300" w:lineRule="auto"/>
        <w:ind w:firstLine="480" w:firstLineChars="200"/>
        <w:rPr>
          <w:rFonts w:ascii="Times New Roman" w:hAnsi="Times New Roman" w:eastAsia="宋体" w:cs="Times New Roman"/>
          <w:snapToGrid w:val="0"/>
          <w:sz w:val="24"/>
        </w:rPr>
      </w:pPr>
      <w:r>
        <w:rPr>
          <w:rFonts w:ascii="Times New Roman" w:hAnsi="Times New Roman" w:eastAsia="宋体" w:cs="Times New Roman"/>
          <w:snapToGrid w:val="0"/>
          <w:sz w:val="24"/>
        </w:rPr>
        <w:t>(2) 不同设备的噪声源特性不同，其中有些设备噪声呈振动式的、突发的及脉冲特性的，对人的影响较大；有些设备（如搅拌机）频率低沉，不易衰减，易使人感觉烦躁；施工机械的噪声均较大，但它们之间声级相差仍很大。</w:t>
      </w:r>
    </w:p>
    <w:p w14:paraId="7D3842DF">
      <w:pPr>
        <w:spacing w:line="300" w:lineRule="auto"/>
        <w:ind w:firstLine="480" w:firstLineChars="200"/>
        <w:rPr>
          <w:rFonts w:ascii="Times New Roman" w:hAnsi="Times New Roman" w:eastAsia="宋体" w:cs="Times New Roman"/>
          <w:snapToGrid w:val="0"/>
          <w:sz w:val="24"/>
        </w:rPr>
      </w:pPr>
      <w:r>
        <w:rPr>
          <w:rFonts w:ascii="Times New Roman" w:hAnsi="Times New Roman" w:eastAsia="宋体" w:cs="Times New Roman"/>
          <w:snapToGrid w:val="0"/>
          <w:sz w:val="24"/>
        </w:rPr>
        <w:t>(3) 施工噪声源与一般的固定噪声源及流动噪声源有所不同，施工机械往往都是暴露在室外的，而且它们会在某段时间内在一定的小范围内移动，这与固定噪声源相比增加了这段时间内的噪声污染范围，但与流动噪声源相比施工噪声污染还是在局部范围内的。总体来说，施工机械噪声一般可视为点声源处理。</w:t>
      </w:r>
    </w:p>
    <w:p w14:paraId="70496078">
      <w:pPr>
        <w:spacing w:line="300" w:lineRule="auto"/>
        <w:ind w:firstLine="480" w:firstLineChars="200"/>
        <w:rPr>
          <w:rFonts w:ascii="Times New Roman" w:hAnsi="Times New Roman" w:eastAsia="宋体" w:cs="Times New Roman"/>
          <w:snapToGrid w:val="0"/>
          <w:sz w:val="24"/>
        </w:rPr>
      </w:pPr>
      <w:r>
        <w:rPr>
          <w:rFonts w:ascii="Times New Roman" w:hAnsi="Times New Roman" w:eastAsia="宋体" w:cs="Times New Roman"/>
          <w:snapToGrid w:val="0"/>
          <w:sz w:val="24"/>
        </w:rPr>
        <w:t>2. 施工期不同施工阶段施工噪声源分析</w:t>
      </w:r>
    </w:p>
    <w:p w14:paraId="6F96ACF3">
      <w:pPr>
        <w:spacing w:line="300" w:lineRule="auto"/>
        <w:ind w:firstLine="480" w:firstLineChars="200"/>
        <w:rPr>
          <w:rFonts w:ascii="Times New Roman" w:hAnsi="Times New Roman" w:eastAsia="宋体" w:cs="Times New Roman"/>
          <w:snapToGrid w:val="0"/>
          <w:sz w:val="24"/>
        </w:rPr>
      </w:pPr>
      <w:r>
        <w:rPr>
          <w:rFonts w:ascii="Times New Roman" w:hAnsi="Times New Roman" w:eastAsia="宋体" w:cs="Times New Roman"/>
          <w:snapToGrid w:val="0"/>
          <w:sz w:val="24"/>
        </w:rPr>
        <w:t>根据公路施工特点，可以把施工阶段分为</w:t>
      </w:r>
      <w:r>
        <w:rPr>
          <w:rFonts w:hint="eastAsia" w:ascii="Times New Roman" w:hAnsi="Times New Roman" w:eastAsia="宋体" w:cs="Times New Roman"/>
          <w:snapToGrid w:val="0"/>
          <w:sz w:val="24"/>
        </w:rPr>
        <w:t>四</w:t>
      </w:r>
      <w:r>
        <w:rPr>
          <w:rFonts w:ascii="Times New Roman" w:hAnsi="Times New Roman" w:eastAsia="宋体" w:cs="Times New Roman"/>
          <w:snapToGrid w:val="0"/>
          <w:sz w:val="24"/>
        </w:rPr>
        <w:t>个阶段，即工程前期拆迁</w:t>
      </w:r>
      <w:r>
        <w:rPr>
          <w:rFonts w:hint="eastAsia" w:ascii="Times New Roman" w:hAnsi="Times New Roman" w:eastAsia="宋体" w:cs="Times New Roman"/>
          <w:snapToGrid w:val="0"/>
          <w:sz w:val="24"/>
        </w:rPr>
        <w:t>、</w:t>
      </w:r>
      <w:r>
        <w:rPr>
          <w:rFonts w:ascii="Times New Roman" w:hAnsi="Times New Roman" w:eastAsia="宋体" w:cs="Times New Roman"/>
          <w:snapToGrid w:val="0"/>
          <w:sz w:val="24"/>
        </w:rPr>
        <w:t>基础施工、路面施工、交通工程施工。</w:t>
      </w:r>
    </w:p>
    <w:p w14:paraId="767FA335">
      <w:pPr>
        <w:spacing w:line="300" w:lineRule="auto"/>
        <w:ind w:firstLine="480" w:firstLineChars="200"/>
        <w:rPr>
          <w:rFonts w:ascii="Times New Roman" w:hAnsi="Times New Roman" w:eastAsia="宋体" w:cs="Times New Roman"/>
          <w:snapToGrid w:val="0"/>
          <w:sz w:val="24"/>
        </w:rPr>
      </w:pPr>
      <w:r>
        <w:rPr>
          <w:rFonts w:ascii="Times New Roman" w:hAnsi="Times New Roman" w:eastAsia="宋体" w:cs="Times New Roman"/>
          <w:snapToGrid w:val="0"/>
          <w:sz w:val="24"/>
        </w:rPr>
        <w:t>(1)</w:t>
      </w:r>
      <w:r>
        <w:rPr>
          <w:rFonts w:hint="eastAsia" w:ascii="Times New Roman" w:hAnsi="Times New Roman" w:eastAsia="宋体" w:cs="Times New Roman"/>
          <w:snapToGrid w:val="0"/>
          <w:sz w:val="24"/>
        </w:rPr>
        <w:t xml:space="preserve"> </w:t>
      </w:r>
      <w:r>
        <w:rPr>
          <w:rFonts w:ascii="Times New Roman" w:hAnsi="Times New Roman" w:eastAsia="宋体" w:cs="Times New Roman"/>
          <w:snapToGrid w:val="0"/>
          <w:sz w:val="24"/>
        </w:rPr>
        <w:t>工程前期拆迁</w:t>
      </w:r>
      <w:r>
        <w:rPr>
          <w:rFonts w:hint="eastAsia" w:ascii="Times New Roman" w:hAnsi="Times New Roman" w:eastAsia="宋体" w:cs="Times New Roman"/>
          <w:snapToGrid w:val="0"/>
          <w:sz w:val="24"/>
        </w:rPr>
        <w:t>：主要为原有路面的拆除以及建筑物拆迁、场地平整等，主要施工机械有</w:t>
      </w:r>
      <w:r>
        <w:rPr>
          <w:rFonts w:ascii="Times New Roman" w:hAnsi="Times New Roman" w:eastAsia="宋体" w:cs="Times New Roman"/>
          <w:snapToGrid w:val="0"/>
          <w:sz w:val="24"/>
        </w:rPr>
        <w:t>挖掘机</w:t>
      </w:r>
      <w:r>
        <w:rPr>
          <w:rFonts w:hint="eastAsia" w:ascii="Times New Roman" w:hAnsi="Times New Roman" w:eastAsia="宋体" w:cs="Times New Roman"/>
          <w:snapToGrid w:val="0"/>
          <w:sz w:val="24"/>
        </w:rPr>
        <w:t>、</w:t>
      </w:r>
      <w:r>
        <w:rPr>
          <w:rFonts w:ascii="Times New Roman" w:hAnsi="Times New Roman" w:eastAsia="宋体" w:cs="Times New Roman"/>
          <w:snapToGrid w:val="0"/>
          <w:sz w:val="24"/>
        </w:rPr>
        <w:t>推土机</w:t>
      </w:r>
      <w:r>
        <w:rPr>
          <w:rFonts w:hint="eastAsia" w:ascii="Times New Roman" w:hAnsi="Times New Roman" w:eastAsia="宋体" w:cs="Times New Roman"/>
          <w:snapToGrid w:val="0"/>
          <w:sz w:val="24"/>
        </w:rPr>
        <w:t>、</w:t>
      </w:r>
      <w:r>
        <w:rPr>
          <w:rFonts w:ascii="Times New Roman" w:hAnsi="Times New Roman" w:eastAsia="宋体" w:cs="Times New Roman"/>
          <w:snapToGrid w:val="0"/>
          <w:sz w:val="24"/>
        </w:rPr>
        <w:t>风镐</w:t>
      </w:r>
      <w:r>
        <w:rPr>
          <w:rFonts w:hint="eastAsia" w:ascii="Times New Roman" w:hAnsi="Times New Roman" w:eastAsia="宋体" w:cs="Times New Roman"/>
          <w:snapToGrid w:val="0"/>
          <w:sz w:val="24"/>
        </w:rPr>
        <w:t>、</w:t>
      </w:r>
      <w:r>
        <w:rPr>
          <w:rFonts w:ascii="Times New Roman" w:hAnsi="Times New Roman" w:eastAsia="宋体" w:cs="Times New Roman"/>
          <w:snapToGrid w:val="0"/>
          <w:sz w:val="24"/>
        </w:rPr>
        <w:t>平地机等</w:t>
      </w:r>
      <w:r>
        <w:rPr>
          <w:rFonts w:hint="eastAsia" w:ascii="Times New Roman" w:hAnsi="Times New Roman" w:eastAsia="宋体" w:cs="Times New Roman"/>
          <w:snapToGrid w:val="0"/>
          <w:sz w:val="24"/>
        </w:rPr>
        <w:t>。</w:t>
      </w:r>
    </w:p>
    <w:p w14:paraId="1E6D8E13">
      <w:pPr>
        <w:spacing w:line="300" w:lineRule="auto"/>
        <w:ind w:firstLine="480" w:firstLineChars="200"/>
        <w:rPr>
          <w:rFonts w:ascii="Times New Roman" w:hAnsi="Times New Roman" w:eastAsia="宋体" w:cs="Times New Roman"/>
          <w:snapToGrid w:val="0"/>
          <w:sz w:val="24"/>
        </w:rPr>
      </w:pPr>
      <w:r>
        <w:rPr>
          <w:rFonts w:ascii="Times New Roman" w:hAnsi="Times New Roman" w:eastAsia="宋体" w:cs="Times New Roman"/>
          <w:snapToGrid w:val="0"/>
          <w:sz w:val="24"/>
        </w:rPr>
        <w:t>(</w:t>
      </w:r>
      <w:r>
        <w:rPr>
          <w:rFonts w:hint="eastAsia" w:ascii="Times New Roman" w:hAnsi="Times New Roman" w:eastAsia="宋体" w:cs="Times New Roman"/>
          <w:snapToGrid w:val="0"/>
          <w:sz w:val="24"/>
        </w:rPr>
        <w:t>2</w:t>
      </w:r>
      <w:r>
        <w:rPr>
          <w:rFonts w:ascii="Times New Roman" w:hAnsi="Times New Roman" w:eastAsia="宋体" w:cs="Times New Roman"/>
          <w:snapToGrid w:val="0"/>
          <w:sz w:val="24"/>
        </w:rPr>
        <w:t>)</w:t>
      </w:r>
      <w:r>
        <w:rPr>
          <w:rFonts w:hint="eastAsia" w:ascii="宋体" w:hAnsi="宋体" w:eastAsia="宋体" w:cs="宋体"/>
          <w:snapToGrid w:val="0"/>
          <w:sz w:val="24"/>
        </w:rPr>
        <w:t xml:space="preserve"> </w:t>
      </w:r>
      <w:r>
        <w:rPr>
          <w:rFonts w:ascii="Times New Roman" w:hAnsi="Times New Roman" w:eastAsia="宋体" w:cs="Times New Roman"/>
          <w:snapToGrid w:val="0"/>
          <w:sz w:val="24"/>
        </w:rPr>
        <w:t>基础施工：这一工序是公路耗时最长、所用施工机械最多、噪声最强的阶段，主要包括路基施工、桥梁施工、隧道施工等方面：</w:t>
      </w:r>
    </w:p>
    <w:p w14:paraId="38027669">
      <w:pPr>
        <w:spacing w:line="300" w:lineRule="auto"/>
        <w:ind w:firstLine="480" w:firstLineChars="200"/>
        <w:rPr>
          <w:rFonts w:ascii="Times New Roman" w:hAnsi="Times New Roman" w:eastAsia="宋体" w:cs="Times New Roman"/>
          <w:snapToGrid w:val="0"/>
          <w:sz w:val="24"/>
        </w:rPr>
      </w:pPr>
      <w:r>
        <w:rPr>
          <w:rFonts w:ascii="宋体" w:hAnsi="宋体" w:eastAsia="宋体" w:cs="Times New Roman"/>
          <w:snapToGrid w:val="0"/>
          <w:sz w:val="24"/>
        </w:rPr>
        <w:t>①</w:t>
      </w:r>
      <w:r>
        <w:rPr>
          <w:rFonts w:ascii="Times New Roman" w:hAnsi="Times New Roman" w:eastAsia="宋体" w:cs="Times New Roman"/>
          <w:snapToGrid w:val="0"/>
          <w:sz w:val="24"/>
        </w:rPr>
        <w:t xml:space="preserve"> </w:t>
      </w:r>
      <w:r>
        <w:rPr>
          <w:rFonts w:ascii="Times New Roman" w:hAnsi="宋体" w:eastAsia="宋体" w:cs="Times New Roman"/>
          <w:snapToGrid w:val="0"/>
          <w:sz w:val="24"/>
        </w:rPr>
        <w:t>路基施工：主要包括地基处理、路基平整、挖填土方、逐层压实等工程，所使用的施工机械主要为挖掘机、推土机、压路机、平地机等；</w:t>
      </w:r>
    </w:p>
    <w:p w14:paraId="7D5A3570">
      <w:pPr>
        <w:spacing w:line="300" w:lineRule="auto"/>
        <w:ind w:firstLine="480" w:firstLineChars="200"/>
        <w:rPr>
          <w:rFonts w:ascii="Times New Roman" w:hAnsi="Times New Roman" w:eastAsia="宋体" w:cs="Times New Roman"/>
          <w:snapToGrid w:val="0"/>
          <w:sz w:val="24"/>
        </w:rPr>
      </w:pPr>
      <w:r>
        <w:rPr>
          <w:rFonts w:ascii="宋体" w:hAnsi="宋体" w:eastAsia="宋体" w:cs="Times New Roman"/>
          <w:snapToGrid w:val="0"/>
          <w:sz w:val="24"/>
        </w:rPr>
        <w:t>②</w:t>
      </w:r>
      <w:r>
        <w:rPr>
          <w:rFonts w:ascii="Times New Roman" w:hAnsi="Times New Roman" w:eastAsia="宋体" w:cs="Times New Roman"/>
          <w:snapToGrid w:val="0"/>
          <w:sz w:val="24"/>
        </w:rPr>
        <w:t xml:space="preserve"> </w:t>
      </w:r>
      <w:r>
        <w:rPr>
          <w:rFonts w:ascii="Times New Roman" w:hAnsi="宋体" w:eastAsia="宋体" w:cs="Times New Roman"/>
          <w:snapToGrid w:val="0"/>
          <w:sz w:val="24"/>
        </w:rPr>
        <w:t>桥梁施工：主要为桥梁基础施工及结构施工，所使用的施工机械主要为打桩机、灰土搅拌机、起吊机等。</w:t>
      </w:r>
    </w:p>
    <w:p w14:paraId="5A6BDF79">
      <w:pPr>
        <w:spacing w:line="300" w:lineRule="auto"/>
        <w:ind w:firstLine="480" w:firstLineChars="200"/>
        <w:rPr>
          <w:rFonts w:ascii="Times New Roman" w:hAnsi="Times New Roman" w:eastAsia="宋体" w:cs="Times New Roman"/>
          <w:snapToGrid w:val="0"/>
          <w:sz w:val="24"/>
        </w:rPr>
      </w:pPr>
      <w:r>
        <w:rPr>
          <w:rFonts w:ascii="Times New Roman" w:hAnsi="Times New Roman" w:eastAsia="宋体" w:cs="Times New Roman"/>
          <w:snapToGrid w:val="0"/>
          <w:sz w:val="24"/>
        </w:rPr>
        <w:t>(</w:t>
      </w:r>
      <w:r>
        <w:rPr>
          <w:rFonts w:hint="eastAsia" w:ascii="Times New Roman" w:hAnsi="Times New Roman" w:eastAsia="宋体" w:cs="Times New Roman"/>
          <w:snapToGrid w:val="0"/>
          <w:sz w:val="24"/>
        </w:rPr>
        <w:t>3</w:t>
      </w:r>
      <w:r>
        <w:rPr>
          <w:rFonts w:ascii="Times New Roman" w:hAnsi="Times New Roman" w:eastAsia="宋体" w:cs="Times New Roman"/>
          <w:snapToGrid w:val="0"/>
          <w:sz w:val="24"/>
        </w:rPr>
        <w:t>)</w:t>
      </w:r>
      <w:r>
        <w:rPr>
          <w:rFonts w:hint="eastAsia" w:ascii="宋体" w:hAnsi="宋体" w:eastAsia="宋体" w:cs="宋体"/>
          <w:snapToGrid w:val="0"/>
          <w:sz w:val="24"/>
        </w:rPr>
        <w:t xml:space="preserve"> </w:t>
      </w:r>
      <w:r>
        <w:rPr>
          <w:rFonts w:ascii="Times New Roman" w:hAnsi="Times New Roman" w:eastAsia="宋体" w:cs="Times New Roman"/>
          <w:snapToGrid w:val="0"/>
          <w:sz w:val="24"/>
        </w:rPr>
        <w:t>路面施工：这一工序继路基施工结束后开展，主要是对全线摊铺沥青，用到的施工机械主要是大型沥青摊铺机，根据国内对公路施工期进行的一些噪声监测，该阶段公路施工噪声相对路基施工段较小。</w:t>
      </w:r>
    </w:p>
    <w:p w14:paraId="78AAD079">
      <w:pPr>
        <w:spacing w:line="300" w:lineRule="auto"/>
        <w:ind w:firstLine="480" w:firstLineChars="200"/>
        <w:rPr>
          <w:rFonts w:ascii="Times New Roman" w:hAnsi="Times New Roman" w:eastAsia="宋体" w:cs="Times New Roman"/>
          <w:snapToGrid w:val="0"/>
          <w:sz w:val="24"/>
        </w:rPr>
      </w:pPr>
      <w:r>
        <w:rPr>
          <w:rFonts w:ascii="Times New Roman" w:hAnsi="Times New Roman" w:eastAsia="宋体" w:cs="Times New Roman"/>
          <w:snapToGrid w:val="0"/>
          <w:sz w:val="24"/>
        </w:rPr>
        <w:t>(</w:t>
      </w:r>
      <w:r>
        <w:rPr>
          <w:rFonts w:hint="eastAsia" w:ascii="Times New Roman" w:hAnsi="Times New Roman" w:eastAsia="宋体" w:cs="Times New Roman"/>
          <w:snapToGrid w:val="0"/>
          <w:sz w:val="24"/>
        </w:rPr>
        <w:t>4</w:t>
      </w:r>
      <w:r>
        <w:rPr>
          <w:rFonts w:ascii="Times New Roman" w:hAnsi="Times New Roman" w:eastAsia="宋体" w:cs="Times New Roman"/>
          <w:snapToGrid w:val="0"/>
          <w:sz w:val="24"/>
        </w:rPr>
        <w:t>)</w:t>
      </w:r>
      <w:r>
        <w:rPr>
          <w:rFonts w:hint="eastAsia" w:ascii="宋体" w:hAnsi="宋体" w:eastAsia="宋体" w:cs="宋体"/>
          <w:snapToGrid w:val="0"/>
          <w:sz w:val="24"/>
        </w:rPr>
        <w:t xml:space="preserve"> </w:t>
      </w:r>
      <w:r>
        <w:rPr>
          <w:rFonts w:ascii="Times New Roman" w:hAnsi="Times New Roman" w:eastAsia="宋体" w:cs="Times New Roman"/>
          <w:snapToGrid w:val="0"/>
          <w:sz w:val="24"/>
        </w:rPr>
        <w:t>交通工程施工：这一工序主要是对公路的交通通讯设施进行安装、标志标线进行完善，该工序基本不用大型施工机械，因此噪声的影响轻微</w:t>
      </w:r>
      <w:r>
        <w:rPr>
          <w:rFonts w:hint="eastAsia" w:ascii="Times New Roman" w:hAnsi="Times New Roman" w:eastAsia="宋体" w:cs="Times New Roman"/>
          <w:snapToGrid w:val="0"/>
          <w:sz w:val="24"/>
        </w:rPr>
        <w:t>。</w:t>
      </w:r>
    </w:p>
    <w:p w14:paraId="628CC3BF">
      <w:pPr>
        <w:spacing w:line="300" w:lineRule="auto"/>
        <w:ind w:firstLine="480" w:firstLineChars="200"/>
        <w:rPr>
          <w:rFonts w:ascii="Times New Roman" w:hAnsi="Times New Roman" w:eastAsia="宋体" w:cs="Times New Roman"/>
          <w:snapToGrid w:val="0"/>
          <w:sz w:val="24"/>
        </w:rPr>
      </w:pPr>
      <w:r>
        <w:rPr>
          <w:rFonts w:ascii="Times New Roman" w:hAnsi="Times New Roman" w:eastAsia="宋体" w:cs="Times New Roman"/>
          <w:snapToGrid w:val="0"/>
          <w:sz w:val="24"/>
        </w:rPr>
        <w:t>综上所述，公路基础施工阶段是噪声影响最大的阶段，在基础施工作业过程中，伴有建筑材料的运输车辆所带来的噪声，建材运输时，运输道路会不避免的选择一些敏感点附近的现有道路，这些运输车辆发出的噪声会对沿线声环境敏感点产生一定的影响。</w:t>
      </w:r>
    </w:p>
    <w:p w14:paraId="0D591AC9">
      <w:pPr>
        <w:spacing w:line="300" w:lineRule="auto"/>
        <w:ind w:firstLine="480" w:firstLineChars="200"/>
        <w:rPr>
          <w:rFonts w:ascii="Times New Roman" w:hAnsi="Times New Roman" w:eastAsia="宋体" w:cs="Times New Roman"/>
          <w:snapToGrid w:val="0"/>
          <w:sz w:val="24"/>
        </w:rPr>
      </w:pPr>
      <w:r>
        <w:rPr>
          <w:rFonts w:ascii="Times New Roman" w:hAnsi="Times New Roman" w:eastAsia="宋体" w:cs="Times New Roman"/>
          <w:snapToGrid w:val="0"/>
          <w:sz w:val="24"/>
        </w:rPr>
        <w:t>3. 施工噪声源的源强与分布</w:t>
      </w:r>
    </w:p>
    <w:p w14:paraId="42413D86">
      <w:pPr>
        <w:spacing w:line="300" w:lineRule="auto"/>
        <w:ind w:firstLine="480" w:firstLineChars="200"/>
        <w:rPr>
          <w:rFonts w:ascii="Times New Roman" w:hAnsi="Times New Roman" w:eastAsia="宋体" w:cs="Times New Roman"/>
          <w:snapToGrid w:val="0"/>
          <w:sz w:val="24"/>
        </w:rPr>
      </w:pPr>
      <w:r>
        <w:rPr>
          <w:rFonts w:ascii="Times New Roman" w:hAnsi="Times New Roman" w:eastAsia="宋体" w:cs="Times New Roman"/>
          <w:snapToGrid w:val="0"/>
          <w:sz w:val="24"/>
        </w:rPr>
        <w:t>(1) 噪声源强</w:t>
      </w:r>
    </w:p>
    <w:p w14:paraId="5D151CF8">
      <w:pPr>
        <w:spacing w:line="300" w:lineRule="auto"/>
        <w:ind w:firstLine="480" w:firstLineChars="200"/>
        <w:rPr>
          <w:rFonts w:ascii="Times New Roman" w:hAnsi="Times New Roman" w:eastAsia="宋体" w:cs="Times New Roman"/>
          <w:snapToGrid w:val="0"/>
          <w:sz w:val="24"/>
        </w:rPr>
      </w:pPr>
      <w:r>
        <w:rPr>
          <w:rFonts w:ascii="Times New Roman" w:hAnsi="Times New Roman" w:eastAsia="宋体" w:cs="Times New Roman"/>
          <w:snapToGrid w:val="0"/>
          <w:sz w:val="24"/>
        </w:rPr>
        <w:t>公路施工</w:t>
      </w:r>
      <w:r>
        <w:rPr>
          <w:rFonts w:hint="eastAsia" w:ascii="Times New Roman" w:hAnsi="Times New Roman" w:eastAsia="宋体" w:cs="Times New Roman"/>
          <w:snapToGrid w:val="0"/>
          <w:sz w:val="24"/>
        </w:rPr>
        <w:t>主要</w:t>
      </w:r>
      <w:r>
        <w:rPr>
          <w:rFonts w:ascii="Times New Roman" w:hAnsi="Times New Roman" w:eastAsia="宋体" w:cs="Times New Roman"/>
          <w:snapToGrid w:val="0"/>
          <w:sz w:val="24"/>
        </w:rPr>
        <w:t>使用的机械有挖掘机、筑路机、搅拌机、装载机等，还有其它施工机械，如空压机、汽锤等，但均为短期使用</w:t>
      </w:r>
      <w:r>
        <w:rPr>
          <w:rFonts w:hint="eastAsia" w:ascii="Times New Roman" w:hAnsi="Times New Roman" w:eastAsia="宋体" w:cs="Times New Roman"/>
          <w:snapToGrid w:val="0"/>
          <w:sz w:val="24"/>
        </w:rPr>
        <w:t>，</w:t>
      </w:r>
      <w:r>
        <w:rPr>
          <w:rFonts w:ascii="Times New Roman" w:hAnsi="Times New Roman" w:eastAsia="宋体" w:cs="Times New Roman"/>
          <w:snapToGrid w:val="0"/>
          <w:sz w:val="24"/>
        </w:rPr>
        <w:t>此外还有运输车辆等。公路主要施工机械施工噪声</w:t>
      </w:r>
      <w:r>
        <w:rPr>
          <w:rFonts w:hint="eastAsia" w:ascii="Times New Roman" w:hAnsi="Times New Roman" w:eastAsia="宋体" w:cs="Times New Roman"/>
          <w:snapToGrid w:val="0"/>
          <w:sz w:val="24"/>
        </w:rPr>
        <w:t>源强</w:t>
      </w:r>
      <w:r>
        <w:rPr>
          <w:rFonts w:ascii="Times New Roman" w:hAnsi="Times New Roman" w:eastAsia="宋体" w:cs="Times New Roman"/>
          <w:snapToGrid w:val="0"/>
          <w:sz w:val="24"/>
        </w:rPr>
        <w:t>见表2.</w:t>
      </w:r>
      <w:r>
        <w:rPr>
          <w:rFonts w:hint="eastAsia" w:ascii="Times New Roman" w:hAnsi="Times New Roman" w:eastAsia="宋体" w:cs="Times New Roman"/>
          <w:snapToGrid w:val="0"/>
          <w:sz w:val="24"/>
        </w:rPr>
        <w:t>5</w:t>
      </w:r>
      <w:r>
        <w:rPr>
          <w:rFonts w:ascii="Times New Roman" w:hAnsi="Times New Roman" w:eastAsia="宋体" w:cs="Times New Roman"/>
          <w:snapToGrid w:val="0"/>
          <w:sz w:val="24"/>
        </w:rPr>
        <w:t>-1</w:t>
      </w:r>
      <w:r>
        <w:rPr>
          <w:rFonts w:hint="eastAsia" w:ascii="Times New Roman" w:hAnsi="Times New Roman" w:eastAsia="宋体" w:cs="Times New Roman"/>
          <w:snapToGrid w:val="0"/>
          <w:sz w:val="24"/>
        </w:rPr>
        <w:t>~</w:t>
      </w:r>
      <w:r>
        <w:rPr>
          <w:rFonts w:ascii="Times New Roman" w:hAnsi="Times New Roman" w:eastAsia="宋体" w:cs="Times New Roman"/>
          <w:snapToGrid w:val="0"/>
          <w:sz w:val="24"/>
        </w:rPr>
        <w:t>2.</w:t>
      </w:r>
      <w:r>
        <w:rPr>
          <w:rFonts w:hint="eastAsia" w:ascii="Times New Roman" w:hAnsi="Times New Roman" w:eastAsia="宋体" w:cs="Times New Roman"/>
          <w:snapToGrid w:val="0"/>
          <w:sz w:val="24"/>
        </w:rPr>
        <w:t>5-</w:t>
      </w:r>
      <w:r>
        <w:rPr>
          <w:rFonts w:ascii="Times New Roman" w:hAnsi="Times New Roman" w:eastAsia="宋体" w:cs="Times New Roman"/>
          <w:snapToGrid w:val="0"/>
          <w:sz w:val="24"/>
        </w:rPr>
        <w:t>2。</w:t>
      </w:r>
    </w:p>
    <w:p w14:paraId="730630EF">
      <w:pPr>
        <w:spacing w:line="300" w:lineRule="auto"/>
        <w:ind w:firstLine="480" w:firstLineChars="200"/>
        <w:rPr>
          <w:rFonts w:ascii="Times New Roman" w:hAnsi="Times New Roman" w:eastAsia="宋体" w:cs="Times New Roman"/>
          <w:snapToGrid w:val="0"/>
          <w:sz w:val="24"/>
        </w:rPr>
      </w:pPr>
      <w:r>
        <w:rPr>
          <w:rFonts w:ascii="Times New Roman" w:hAnsi="Times New Roman" w:eastAsia="宋体" w:cs="Times New Roman"/>
          <w:snapToGrid w:val="0"/>
          <w:sz w:val="24"/>
        </w:rPr>
        <w:t>(</w:t>
      </w:r>
      <w:r>
        <w:rPr>
          <w:rFonts w:hint="eastAsia" w:ascii="Times New Roman" w:hAnsi="Times New Roman" w:eastAsia="宋体" w:cs="Times New Roman"/>
          <w:snapToGrid w:val="0"/>
          <w:sz w:val="24"/>
        </w:rPr>
        <w:t>2</w:t>
      </w:r>
      <w:r>
        <w:rPr>
          <w:rFonts w:ascii="Times New Roman" w:hAnsi="Times New Roman" w:eastAsia="宋体" w:cs="Times New Roman"/>
          <w:snapToGrid w:val="0"/>
          <w:sz w:val="24"/>
        </w:rPr>
        <w:t>) 噪声源分布</w:t>
      </w:r>
    </w:p>
    <w:p w14:paraId="66BF97D3">
      <w:pPr>
        <w:spacing w:line="300" w:lineRule="auto"/>
        <w:ind w:firstLine="480" w:firstLineChars="200"/>
        <w:rPr>
          <w:rFonts w:ascii="Times New Roman" w:hAnsi="Times New Roman" w:eastAsia="宋体" w:cs="Times New Roman"/>
          <w:snapToGrid w:val="0"/>
          <w:sz w:val="24"/>
        </w:rPr>
      </w:pPr>
      <w:r>
        <w:rPr>
          <w:rFonts w:ascii="Times New Roman" w:hAnsi="Times New Roman" w:eastAsia="宋体" w:cs="Times New Roman"/>
          <w:snapToGrid w:val="0"/>
          <w:sz w:val="24"/>
        </w:rPr>
        <w:t>根据拟建公路工程的施工特点</w:t>
      </w:r>
      <w:r>
        <w:rPr>
          <w:rFonts w:hint="eastAsia" w:ascii="Times New Roman" w:hAnsi="Times New Roman" w:eastAsia="宋体" w:cs="Times New Roman"/>
          <w:snapToGrid w:val="0"/>
          <w:sz w:val="24"/>
        </w:rPr>
        <w:t>，</w:t>
      </w:r>
      <w:r>
        <w:rPr>
          <w:rFonts w:ascii="Times New Roman" w:hAnsi="Times New Roman" w:eastAsia="宋体" w:cs="Times New Roman"/>
          <w:snapToGrid w:val="0"/>
          <w:sz w:val="24"/>
        </w:rPr>
        <w:t>结合施工组织情况，</w:t>
      </w:r>
      <w:r>
        <w:rPr>
          <w:rFonts w:hint="eastAsia" w:ascii="Times New Roman" w:hAnsi="Times New Roman" w:eastAsia="宋体" w:cs="Times New Roman"/>
          <w:snapToGrid w:val="0"/>
          <w:sz w:val="24"/>
        </w:rPr>
        <w:t>拟建</w:t>
      </w:r>
      <w:r>
        <w:rPr>
          <w:rFonts w:ascii="Times New Roman" w:hAnsi="Times New Roman" w:eastAsia="宋体" w:cs="Times New Roman"/>
          <w:snapToGrid w:val="0"/>
          <w:sz w:val="24"/>
        </w:rPr>
        <w:t>公路各施工环节主要施工机械使用情况见</w:t>
      </w:r>
      <w:r>
        <w:rPr>
          <w:rFonts w:hint="eastAsia" w:ascii="Times New Roman" w:hAnsi="Times New Roman" w:eastAsia="宋体" w:cs="Times New Roman"/>
          <w:snapToGrid w:val="0"/>
          <w:sz w:val="24"/>
        </w:rPr>
        <w:t>表4</w:t>
      </w:r>
      <w:r>
        <w:rPr>
          <w:rFonts w:ascii="Times New Roman" w:hAnsi="Times New Roman" w:eastAsia="宋体" w:cs="Times New Roman"/>
          <w:snapToGrid w:val="0"/>
          <w:sz w:val="24"/>
        </w:rPr>
        <w:t>.1</w:t>
      </w:r>
      <w:r>
        <w:rPr>
          <w:rFonts w:hint="eastAsia" w:ascii="Times New Roman" w:hAnsi="Times New Roman" w:eastAsia="宋体" w:cs="Times New Roman"/>
          <w:snapToGrid w:val="0"/>
          <w:sz w:val="24"/>
        </w:rPr>
        <w:t>-</w:t>
      </w:r>
      <w:r>
        <w:rPr>
          <w:rFonts w:ascii="Times New Roman" w:hAnsi="Times New Roman" w:eastAsia="宋体" w:cs="Times New Roman"/>
          <w:snapToGrid w:val="0"/>
          <w:sz w:val="24"/>
        </w:rPr>
        <w:t>1。</w:t>
      </w:r>
    </w:p>
    <w:p w14:paraId="22D5F734">
      <w:pPr>
        <w:spacing w:line="400" w:lineRule="exact"/>
        <w:ind w:firstLine="480"/>
        <w:jc w:val="center"/>
        <w:rPr>
          <w:rFonts w:ascii="Times New Roman" w:hAnsi="Times New Roman" w:eastAsia="宋体" w:cs="Times New Roman"/>
        </w:rPr>
      </w:pPr>
      <w:r>
        <w:rPr>
          <w:rFonts w:ascii="Times New Roman" w:hAnsi="Times New Roman" w:eastAsia="宋体" w:cs="Times New Roman"/>
          <w:b/>
          <w:spacing w:val="-4"/>
        </w:rPr>
        <w:t xml:space="preserve">表4.1-1  </w:t>
      </w:r>
      <w:r>
        <w:rPr>
          <w:rFonts w:hint="eastAsia" w:ascii="Times New Roman" w:hAnsi="Times New Roman" w:eastAsia="宋体" w:cs="Times New Roman"/>
          <w:b/>
          <w:spacing w:val="-4"/>
        </w:rPr>
        <w:t>拟建</w:t>
      </w:r>
      <w:r>
        <w:rPr>
          <w:rFonts w:ascii="Times New Roman" w:hAnsi="Times New Roman" w:eastAsia="宋体" w:cs="Times New Roman"/>
          <w:b/>
          <w:spacing w:val="-4"/>
        </w:rPr>
        <w:t>公路施工主要施工机械</w:t>
      </w:r>
      <w:r>
        <w:rPr>
          <w:rFonts w:hint="eastAsia" w:ascii="Times New Roman" w:hAnsi="Times New Roman" w:eastAsia="宋体" w:cs="Times New Roman"/>
          <w:b/>
          <w:spacing w:val="-4"/>
        </w:rPr>
        <w:t>一览表</w:t>
      </w:r>
    </w:p>
    <w:tbl>
      <w:tblPr>
        <w:tblStyle w:val="22"/>
        <w:tblW w:w="5000" w:type="pct"/>
        <w:jc w:val="center"/>
        <w:tblBorders>
          <w:top w:val="thinThickSmallGap" w:color="000000" w:sz="12" w:space="0"/>
          <w:left w:val="thinThickSmallGap" w:color="000000" w:sz="12" w:space="0"/>
          <w:bottom w:val="thickThinSmallGap" w:color="000000" w:sz="12" w:space="0"/>
          <w:right w:val="thickThinSmallGap" w:color="000000" w:sz="12" w:space="0"/>
          <w:insideH w:val="single" w:color="000000" w:sz="6" w:space="0"/>
          <w:insideV w:val="single" w:color="000000" w:sz="6" w:space="0"/>
        </w:tblBorders>
        <w:tblLayout w:type="autofit"/>
        <w:tblCellMar>
          <w:top w:w="0" w:type="dxa"/>
          <w:left w:w="0" w:type="dxa"/>
          <w:bottom w:w="0" w:type="dxa"/>
          <w:right w:w="0" w:type="dxa"/>
        </w:tblCellMar>
      </w:tblPr>
      <w:tblGrid>
        <w:gridCol w:w="2627"/>
        <w:gridCol w:w="5937"/>
      </w:tblGrid>
      <w:tr w14:paraId="51E3A9F2">
        <w:tblPrEx>
          <w:tblBorders>
            <w:top w:val="thinThickSmallGap" w:color="000000" w:sz="12" w:space="0"/>
            <w:left w:val="thinThickSmallGap" w:color="000000" w:sz="12" w:space="0"/>
            <w:bottom w:val="thickThinSmallGap" w:color="000000" w:sz="12" w:space="0"/>
            <w:right w:val="thickThinSmallGap"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1534" w:type="pct"/>
            <w:vAlign w:val="center"/>
          </w:tcPr>
          <w:p w14:paraId="727FDD5C">
            <w:pPr>
              <w:widowControl w:val="0"/>
              <w:spacing w:line="240" w:lineRule="exact"/>
              <w:jc w:val="center"/>
              <w:rPr>
                <w:rFonts w:ascii="Times New Roman" w:hAnsi="Times New Roman" w:eastAsia="宋体" w:cs="Times New Roman"/>
                <w:b/>
                <w:kern w:val="2"/>
                <w:sz w:val="21"/>
                <w:szCs w:val="24"/>
                <w:lang w:val="en-US" w:eastAsia="zh-CN" w:bidi="ar-SA"/>
              </w:rPr>
            </w:pPr>
            <w:r>
              <w:rPr>
                <w:rFonts w:ascii="Times New Roman" w:hAnsi="Times New Roman" w:eastAsia="宋体" w:cs="Times New Roman"/>
                <w:b/>
                <w:spacing w:val="-3"/>
                <w:kern w:val="2"/>
                <w:sz w:val="21"/>
                <w:szCs w:val="24"/>
                <w:lang w:val="en-US" w:eastAsia="zh-CN" w:bidi="ar-SA"/>
              </w:rPr>
              <w:t>施工</w:t>
            </w:r>
            <w:r>
              <w:rPr>
                <w:rFonts w:hint="eastAsia" w:ascii="Times New Roman" w:hAnsi="Times New Roman" w:eastAsia="宋体" w:cs="Times New Roman"/>
                <w:b/>
                <w:spacing w:val="-3"/>
                <w:kern w:val="2"/>
                <w:sz w:val="21"/>
                <w:szCs w:val="24"/>
                <w:lang w:val="en-US" w:eastAsia="zh-CN" w:bidi="ar-SA"/>
              </w:rPr>
              <w:t>环节</w:t>
            </w:r>
          </w:p>
        </w:tc>
        <w:tc>
          <w:tcPr>
            <w:tcW w:w="3466" w:type="pct"/>
            <w:vAlign w:val="center"/>
          </w:tcPr>
          <w:p w14:paraId="6D636BC7">
            <w:pPr>
              <w:widowControl w:val="0"/>
              <w:spacing w:line="240" w:lineRule="exact"/>
              <w:jc w:val="center"/>
              <w:rPr>
                <w:rFonts w:ascii="Times New Roman" w:hAnsi="Times New Roman" w:eastAsia="宋体" w:cs="Times New Roman"/>
                <w:b/>
                <w:kern w:val="2"/>
                <w:sz w:val="21"/>
                <w:szCs w:val="24"/>
                <w:lang w:val="en-US" w:eastAsia="zh-CN" w:bidi="ar-SA"/>
              </w:rPr>
            </w:pPr>
            <w:r>
              <w:rPr>
                <w:rFonts w:ascii="Times New Roman" w:hAnsi="Times New Roman" w:eastAsia="宋体" w:cs="Times New Roman"/>
                <w:b/>
                <w:spacing w:val="-3"/>
                <w:kern w:val="2"/>
                <w:sz w:val="21"/>
                <w:szCs w:val="24"/>
                <w:lang w:val="en-US" w:eastAsia="zh-CN" w:bidi="ar-SA"/>
              </w:rPr>
              <w:t>施工机械</w:t>
            </w:r>
          </w:p>
        </w:tc>
      </w:tr>
      <w:tr w14:paraId="32F3F2E8">
        <w:tblPrEx>
          <w:tblBorders>
            <w:top w:val="thinThickSmallGap" w:color="000000" w:sz="12" w:space="0"/>
            <w:left w:val="thinThickSmallGap" w:color="000000" w:sz="12" w:space="0"/>
            <w:bottom w:val="thickThinSmallGap" w:color="000000" w:sz="12" w:space="0"/>
            <w:right w:val="thickThinSmallGap"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1534" w:type="pct"/>
            <w:vMerge w:val="restart"/>
            <w:vAlign w:val="center"/>
          </w:tcPr>
          <w:p w14:paraId="7C77C368">
            <w:pPr>
              <w:widowControl w:val="0"/>
              <w:spacing w:line="240" w:lineRule="exact"/>
              <w:jc w:val="center"/>
              <w:rPr>
                <w:rFonts w:ascii="Times New Roman" w:hAnsi="Times New Roman" w:eastAsia="宋体" w:cs="Times New Roman"/>
                <w:kern w:val="2"/>
                <w:sz w:val="21"/>
                <w:szCs w:val="24"/>
                <w:lang w:val="en-US" w:eastAsia="zh-CN" w:bidi="ar-SA"/>
              </w:rPr>
            </w:pPr>
            <w:r>
              <w:rPr>
                <w:rFonts w:ascii="Times New Roman" w:hAnsi="Times New Roman" w:eastAsia="宋体" w:cs="Times New Roman"/>
                <w:spacing w:val="-4"/>
                <w:kern w:val="2"/>
                <w:sz w:val="21"/>
                <w:szCs w:val="24"/>
                <w:lang w:val="en-US" w:eastAsia="zh-CN" w:bidi="ar-SA"/>
              </w:rPr>
              <w:t>工程前期</w:t>
            </w:r>
            <w:r>
              <w:rPr>
                <w:rFonts w:ascii="Times New Roman" w:hAnsi="Times New Roman" w:eastAsia="宋体" w:cs="Times New Roman"/>
                <w:spacing w:val="-6"/>
                <w:kern w:val="2"/>
                <w:sz w:val="21"/>
                <w:szCs w:val="24"/>
                <w:lang w:val="en-US" w:eastAsia="zh-CN" w:bidi="ar-SA"/>
              </w:rPr>
              <w:t>拆迁</w:t>
            </w:r>
          </w:p>
        </w:tc>
        <w:tc>
          <w:tcPr>
            <w:tcW w:w="3466" w:type="pct"/>
            <w:vAlign w:val="center"/>
          </w:tcPr>
          <w:p w14:paraId="4C017987">
            <w:pPr>
              <w:widowControl w:val="0"/>
              <w:spacing w:line="240" w:lineRule="exact"/>
              <w:jc w:val="center"/>
              <w:rPr>
                <w:rFonts w:ascii="Times New Roman" w:hAnsi="Times New Roman" w:eastAsia="宋体" w:cs="Times New Roman"/>
                <w:kern w:val="2"/>
                <w:sz w:val="21"/>
                <w:szCs w:val="24"/>
                <w:lang w:val="en-US" w:eastAsia="zh-CN" w:bidi="ar-SA"/>
              </w:rPr>
            </w:pPr>
            <w:r>
              <w:rPr>
                <w:rFonts w:ascii="Times New Roman" w:hAnsi="Times New Roman" w:eastAsia="宋体" w:cs="Times New Roman"/>
                <w:spacing w:val="-4"/>
                <w:kern w:val="2"/>
                <w:sz w:val="21"/>
                <w:szCs w:val="24"/>
                <w:lang w:val="en-US" w:eastAsia="zh-CN" w:bidi="ar-SA"/>
              </w:rPr>
              <w:t>挖掘机</w:t>
            </w:r>
          </w:p>
        </w:tc>
      </w:tr>
      <w:tr w14:paraId="7181846E">
        <w:tblPrEx>
          <w:tblBorders>
            <w:top w:val="thinThickSmallGap" w:color="000000" w:sz="12" w:space="0"/>
            <w:left w:val="thinThickSmallGap" w:color="000000" w:sz="12" w:space="0"/>
            <w:bottom w:val="thickThinSmallGap" w:color="000000" w:sz="12" w:space="0"/>
            <w:right w:val="thickThinSmallGap"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1534" w:type="pct"/>
            <w:vMerge w:val="continue"/>
            <w:vAlign w:val="center"/>
          </w:tcPr>
          <w:p w14:paraId="497D6B77">
            <w:pPr>
              <w:widowControl/>
              <w:spacing w:line="240" w:lineRule="exact"/>
              <w:jc w:val="center"/>
              <w:rPr>
                <w:rFonts w:ascii="Times New Roman" w:hAnsi="Times New Roman" w:eastAsia="宋体" w:cs="Times New Roman"/>
                <w:sz w:val="2"/>
                <w:szCs w:val="2"/>
              </w:rPr>
            </w:pPr>
          </w:p>
        </w:tc>
        <w:tc>
          <w:tcPr>
            <w:tcW w:w="3466" w:type="pct"/>
            <w:vAlign w:val="center"/>
          </w:tcPr>
          <w:p w14:paraId="20B5BBB6">
            <w:pPr>
              <w:widowControl w:val="0"/>
              <w:spacing w:line="240" w:lineRule="exact"/>
              <w:jc w:val="center"/>
              <w:rPr>
                <w:rFonts w:ascii="Times New Roman" w:hAnsi="Times New Roman" w:eastAsia="宋体" w:cs="Times New Roman"/>
                <w:kern w:val="2"/>
                <w:sz w:val="21"/>
                <w:szCs w:val="24"/>
                <w:lang w:val="en-US" w:eastAsia="zh-CN" w:bidi="ar-SA"/>
              </w:rPr>
            </w:pPr>
            <w:r>
              <w:rPr>
                <w:rFonts w:ascii="Times New Roman" w:hAnsi="Times New Roman" w:eastAsia="宋体" w:cs="Times New Roman"/>
                <w:spacing w:val="-4"/>
                <w:kern w:val="2"/>
                <w:sz w:val="21"/>
                <w:szCs w:val="24"/>
                <w:lang w:val="en-US" w:eastAsia="zh-CN" w:bidi="ar-SA"/>
              </w:rPr>
              <w:t>推土机</w:t>
            </w:r>
          </w:p>
        </w:tc>
      </w:tr>
      <w:tr w14:paraId="45A9C175">
        <w:tblPrEx>
          <w:tblBorders>
            <w:top w:val="thinThickSmallGap" w:color="000000" w:sz="12" w:space="0"/>
            <w:left w:val="thinThickSmallGap" w:color="000000" w:sz="12" w:space="0"/>
            <w:bottom w:val="thickThinSmallGap" w:color="000000" w:sz="12" w:space="0"/>
            <w:right w:val="thickThinSmallGap"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1534" w:type="pct"/>
            <w:vMerge w:val="continue"/>
            <w:vAlign w:val="center"/>
          </w:tcPr>
          <w:p w14:paraId="191CA23B">
            <w:pPr>
              <w:widowControl/>
              <w:spacing w:line="240" w:lineRule="exact"/>
              <w:jc w:val="center"/>
              <w:rPr>
                <w:rFonts w:ascii="Times New Roman" w:hAnsi="Times New Roman" w:eastAsia="宋体" w:cs="Times New Roman"/>
                <w:sz w:val="2"/>
                <w:szCs w:val="2"/>
              </w:rPr>
            </w:pPr>
          </w:p>
        </w:tc>
        <w:tc>
          <w:tcPr>
            <w:tcW w:w="3466" w:type="pct"/>
            <w:vAlign w:val="center"/>
          </w:tcPr>
          <w:p w14:paraId="28CA43B0">
            <w:pPr>
              <w:widowControl w:val="0"/>
              <w:spacing w:line="240" w:lineRule="exact"/>
              <w:jc w:val="center"/>
              <w:rPr>
                <w:rFonts w:ascii="Times New Roman" w:hAnsi="Times New Roman" w:eastAsia="宋体" w:cs="Times New Roman"/>
                <w:kern w:val="2"/>
                <w:sz w:val="21"/>
                <w:szCs w:val="24"/>
                <w:lang w:val="en-US" w:eastAsia="zh-CN" w:bidi="ar-SA"/>
              </w:rPr>
            </w:pPr>
            <w:r>
              <w:rPr>
                <w:rFonts w:ascii="Times New Roman" w:hAnsi="Times New Roman" w:eastAsia="宋体" w:cs="Times New Roman"/>
                <w:spacing w:val="-5"/>
                <w:kern w:val="2"/>
                <w:sz w:val="21"/>
                <w:szCs w:val="24"/>
                <w:lang w:val="en-US" w:eastAsia="zh-CN" w:bidi="ar-SA"/>
              </w:rPr>
              <w:t>风镐</w:t>
            </w:r>
          </w:p>
        </w:tc>
      </w:tr>
      <w:tr w14:paraId="11DA7119">
        <w:tblPrEx>
          <w:tblBorders>
            <w:top w:val="thinThickSmallGap" w:color="000000" w:sz="12" w:space="0"/>
            <w:left w:val="thinThickSmallGap" w:color="000000" w:sz="12" w:space="0"/>
            <w:bottom w:val="thickThinSmallGap" w:color="000000" w:sz="12" w:space="0"/>
            <w:right w:val="thickThinSmallGap"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1534" w:type="pct"/>
            <w:vMerge w:val="continue"/>
            <w:vAlign w:val="center"/>
          </w:tcPr>
          <w:p w14:paraId="0E54A1AF">
            <w:pPr>
              <w:widowControl/>
              <w:spacing w:line="240" w:lineRule="exact"/>
              <w:jc w:val="center"/>
              <w:rPr>
                <w:rFonts w:ascii="Times New Roman" w:hAnsi="Times New Roman" w:eastAsia="宋体" w:cs="Times New Roman"/>
                <w:sz w:val="2"/>
                <w:szCs w:val="2"/>
              </w:rPr>
            </w:pPr>
          </w:p>
        </w:tc>
        <w:tc>
          <w:tcPr>
            <w:tcW w:w="3466" w:type="pct"/>
            <w:vAlign w:val="center"/>
          </w:tcPr>
          <w:p w14:paraId="3C736B41">
            <w:pPr>
              <w:widowControl w:val="0"/>
              <w:spacing w:line="240" w:lineRule="exact"/>
              <w:jc w:val="center"/>
              <w:rPr>
                <w:rFonts w:ascii="Times New Roman" w:hAnsi="Times New Roman" w:eastAsia="宋体" w:cs="Times New Roman"/>
                <w:kern w:val="2"/>
                <w:sz w:val="21"/>
                <w:szCs w:val="24"/>
                <w:lang w:val="en-US" w:eastAsia="zh-CN" w:bidi="ar-SA"/>
              </w:rPr>
            </w:pPr>
            <w:r>
              <w:rPr>
                <w:rFonts w:ascii="Times New Roman" w:hAnsi="Times New Roman" w:eastAsia="宋体" w:cs="Times New Roman"/>
                <w:spacing w:val="-4"/>
                <w:kern w:val="2"/>
                <w:sz w:val="21"/>
                <w:szCs w:val="24"/>
                <w:lang w:val="en-US" w:eastAsia="zh-CN" w:bidi="ar-SA"/>
              </w:rPr>
              <w:t>平地机</w:t>
            </w:r>
          </w:p>
        </w:tc>
      </w:tr>
      <w:tr w14:paraId="1CE07B4B">
        <w:tblPrEx>
          <w:tblBorders>
            <w:top w:val="thinThickSmallGap" w:color="000000" w:sz="12" w:space="0"/>
            <w:left w:val="thinThickSmallGap" w:color="000000" w:sz="12" w:space="0"/>
            <w:bottom w:val="thickThinSmallGap" w:color="000000" w:sz="12" w:space="0"/>
            <w:right w:val="thickThinSmallGap"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1534" w:type="pct"/>
            <w:vMerge w:val="continue"/>
            <w:vAlign w:val="center"/>
          </w:tcPr>
          <w:p w14:paraId="6DAAE455">
            <w:pPr>
              <w:widowControl/>
              <w:spacing w:line="240" w:lineRule="exact"/>
              <w:jc w:val="center"/>
              <w:rPr>
                <w:rFonts w:ascii="Times New Roman" w:hAnsi="Times New Roman" w:eastAsia="宋体" w:cs="Times New Roman"/>
                <w:sz w:val="2"/>
                <w:szCs w:val="2"/>
              </w:rPr>
            </w:pPr>
          </w:p>
        </w:tc>
        <w:tc>
          <w:tcPr>
            <w:tcW w:w="3466" w:type="pct"/>
            <w:vAlign w:val="center"/>
          </w:tcPr>
          <w:p w14:paraId="1691A786">
            <w:pPr>
              <w:widowControl w:val="0"/>
              <w:spacing w:line="240" w:lineRule="exact"/>
              <w:jc w:val="center"/>
              <w:rPr>
                <w:rFonts w:ascii="Times New Roman" w:hAnsi="Times New Roman" w:eastAsia="宋体" w:cs="Times New Roman"/>
                <w:kern w:val="2"/>
                <w:sz w:val="21"/>
                <w:szCs w:val="24"/>
                <w:lang w:val="en-US" w:eastAsia="zh-CN" w:bidi="ar-SA"/>
              </w:rPr>
            </w:pPr>
            <w:r>
              <w:rPr>
                <w:rFonts w:ascii="Times New Roman" w:hAnsi="Times New Roman" w:eastAsia="宋体" w:cs="Times New Roman"/>
                <w:spacing w:val="-4"/>
                <w:kern w:val="2"/>
                <w:sz w:val="21"/>
                <w:szCs w:val="24"/>
                <w:lang w:val="en-US" w:eastAsia="zh-CN" w:bidi="ar-SA"/>
              </w:rPr>
              <w:t>运输车辆</w:t>
            </w:r>
          </w:p>
        </w:tc>
      </w:tr>
      <w:tr w14:paraId="55C9B116">
        <w:tblPrEx>
          <w:tblBorders>
            <w:top w:val="thinThickSmallGap" w:color="000000" w:sz="12" w:space="0"/>
            <w:left w:val="thinThickSmallGap" w:color="000000" w:sz="12" w:space="0"/>
            <w:bottom w:val="thickThinSmallGap" w:color="000000" w:sz="12" w:space="0"/>
            <w:right w:val="thickThinSmallGap"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1534" w:type="pct"/>
            <w:vMerge w:val="restart"/>
            <w:vAlign w:val="center"/>
          </w:tcPr>
          <w:p w14:paraId="090873C2">
            <w:pPr>
              <w:widowControl w:val="0"/>
              <w:spacing w:line="240" w:lineRule="exact"/>
              <w:jc w:val="center"/>
              <w:rPr>
                <w:rFonts w:ascii="Times New Roman" w:hAnsi="Times New Roman" w:eastAsia="宋体" w:cs="Times New Roman"/>
                <w:kern w:val="2"/>
                <w:sz w:val="21"/>
                <w:szCs w:val="24"/>
                <w:lang w:val="en-US" w:eastAsia="zh-CN" w:bidi="ar-SA"/>
              </w:rPr>
            </w:pPr>
            <w:r>
              <w:rPr>
                <w:rFonts w:ascii="Times New Roman" w:hAnsi="Times New Roman" w:eastAsia="宋体" w:cs="Times New Roman"/>
                <w:spacing w:val="-4"/>
                <w:kern w:val="2"/>
                <w:sz w:val="21"/>
                <w:szCs w:val="24"/>
                <w:lang w:val="en-US" w:eastAsia="zh-CN" w:bidi="ar-SA"/>
              </w:rPr>
              <w:t>桥梁施工</w:t>
            </w:r>
          </w:p>
        </w:tc>
        <w:tc>
          <w:tcPr>
            <w:tcW w:w="3466" w:type="pct"/>
            <w:vAlign w:val="center"/>
          </w:tcPr>
          <w:p w14:paraId="3EBE8E30">
            <w:pPr>
              <w:widowControl w:val="0"/>
              <w:spacing w:line="240" w:lineRule="exact"/>
              <w:jc w:val="center"/>
              <w:rPr>
                <w:rFonts w:ascii="Times New Roman" w:hAnsi="Times New Roman" w:eastAsia="宋体" w:cs="Times New Roman"/>
                <w:kern w:val="2"/>
                <w:sz w:val="21"/>
                <w:szCs w:val="24"/>
                <w:lang w:val="en-US" w:eastAsia="zh-CN" w:bidi="ar-SA"/>
              </w:rPr>
            </w:pPr>
            <w:r>
              <w:rPr>
                <w:rFonts w:ascii="Times New Roman" w:hAnsi="Times New Roman" w:eastAsia="宋体" w:cs="Times New Roman"/>
                <w:spacing w:val="-4"/>
                <w:kern w:val="2"/>
                <w:sz w:val="21"/>
                <w:szCs w:val="24"/>
                <w:lang w:val="en-US" w:eastAsia="zh-CN" w:bidi="ar-SA"/>
              </w:rPr>
              <w:t>静式压桩机</w:t>
            </w:r>
          </w:p>
        </w:tc>
      </w:tr>
      <w:tr w14:paraId="348935DC">
        <w:tblPrEx>
          <w:tblBorders>
            <w:top w:val="thinThickSmallGap" w:color="000000" w:sz="12" w:space="0"/>
            <w:left w:val="thinThickSmallGap" w:color="000000" w:sz="12" w:space="0"/>
            <w:bottom w:val="thickThinSmallGap" w:color="000000" w:sz="12" w:space="0"/>
            <w:right w:val="thickThinSmallGap"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1534" w:type="pct"/>
            <w:vMerge w:val="continue"/>
            <w:vAlign w:val="center"/>
          </w:tcPr>
          <w:p w14:paraId="40933823">
            <w:pPr>
              <w:widowControl/>
              <w:spacing w:line="240" w:lineRule="exact"/>
              <w:jc w:val="center"/>
              <w:rPr>
                <w:rFonts w:ascii="Times New Roman" w:hAnsi="Times New Roman" w:eastAsia="宋体" w:cs="Times New Roman"/>
                <w:sz w:val="2"/>
                <w:szCs w:val="2"/>
              </w:rPr>
            </w:pPr>
          </w:p>
        </w:tc>
        <w:tc>
          <w:tcPr>
            <w:tcW w:w="3466" w:type="pct"/>
            <w:vAlign w:val="center"/>
          </w:tcPr>
          <w:p w14:paraId="16BD473D">
            <w:pPr>
              <w:widowControl w:val="0"/>
              <w:spacing w:line="240" w:lineRule="exact"/>
              <w:jc w:val="center"/>
              <w:rPr>
                <w:rFonts w:ascii="Times New Roman" w:hAnsi="Times New Roman" w:eastAsia="宋体" w:cs="Times New Roman"/>
                <w:kern w:val="2"/>
                <w:sz w:val="21"/>
                <w:szCs w:val="24"/>
                <w:lang w:val="en-US" w:eastAsia="zh-CN" w:bidi="ar-SA"/>
              </w:rPr>
            </w:pPr>
            <w:r>
              <w:rPr>
                <w:rFonts w:ascii="Times New Roman" w:hAnsi="Times New Roman" w:eastAsia="宋体" w:cs="Times New Roman"/>
                <w:spacing w:val="-4"/>
                <w:kern w:val="2"/>
                <w:sz w:val="21"/>
                <w:szCs w:val="24"/>
                <w:lang w:val="en-US" w:eastAsia="zh-CN" w:bidi="ar-SA"/>
              </w:rPr>
              <w:t>钻孔机</w:t>
            </w:r>
          </w:p>
        </w:tc>
      </w:tr>
      <w:tr w14:paraId="54CFBA96">
        <w:tblPrEx>
          <w:tblBorders>
            <w:top w:val="thinThickSmallGap" w:color="000000" w:sz="12" w:space="0"/>
            <w:left w:val="thinThickSmallGap" w:color="000000" w:sz="12" w:space="0"/>
            <w:bottom w:val="thickThinSmallGap" w:color="000000" w:sz="12" w:space="0"/>
            <w:right w:val="thickThinSmallGap"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1534" w:type="pct"/>
            <w:vMerge w:val="continue"/>
            <w:vAlign w:val="center"/>
          </w:tcPr>
          <w:p w14:paraId="42B1E745">
            <w:pPr>
              <w:widowControl/>
              <w:spacing w:line="240" w:lineRule="exact"/>
              <w:jc w:val="center"/>
              <w:rPr>
                <w:rFonts w:ascii="Times New Roman" w:hAnsi="Times New Roman" w:eastAsia="宋体" w:cs="Times New Roman"/>
                <w:sz w:val="2"/>
                <w:szCs w:val="2"/>
              </w:rPr>
            </w:pPr>
          </w:p>
        </w:tc>
        <w:tc>
          <w:tcPr>
            <w:tcW w:w="3466" w:type="pct"/>
            <w:vAlign w:val="center"/>
          </w:tcPr>
          <w:p w14:paraId="1A53818C">
            <w:pPr>
              <w:widowControl w:val="0"/>
              <w:spacing w:line="240" w:lineRule="exact"/>
              <w:jc w:val="center"/>
              <w:rPr>
                <w:rFonts w:ascii="Times New Roman" w:hAnsi="Times New Roman" w:eastAsia="宋体" w:cs="Times New Roman"/>
                <w:kern w:val="2"/>
                <w:sz w:val="21"/>
                <w:szCs w:val="24"/>
                <w:lang w:val="en-US" w:eastAsia="zh-CN" w:bidi="ar-SA"/>
              </w:rPr>
            </w:pPr>
            <w:r>
              <w:rPr>
                <w:rFonts w:ascii="Times New Roman" w:hAnsi="Times New Roman" w:eastAsia="宋体" w:cs="Times New Roman"/>
                <w:spacing w:val="-5"/>
                <w:kern w:val="2"/>
                <w:sz w:val="21"/>
                <w:szCs w:val="24"/>
                <w:lang w:val="en-US" w:eastAsia="zh-CN" w:bidi="ar-SA"/>
              </w:rPr>
              <w:t>吊车</w:t>
            </w:r>
          </w:p>
        </w:tc>
      </w:tr>
      <w:tr w14:paraId="65EFA228">
        <w:tblPrEx>
          <w:tblBorders>
            <w:top w:val="thinThickSmallGap" w:color="000000" w:sz="12" w:space="0"/>
            <w:left w:val="thinThickSmallGap" w:color="000000" w:sz="12" w:space="0"/>
            <w:bottom w:val="thickThinSmallGap" w:color="000000" w:sz="12" w:space="0"/>
            <w:right w:val="thickThinSmallGap"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1534" w:type="pct"/>
            <w:vMerge w:val="continue"/>
            <w:vAlign w:val="center"/>
          </w:tcPr>
          <w:p w14:paraId="711EAC42">
            <w:pPr>
              <w:widowControl/>
              <w:spacing w:line="240" w:lineRule="exact"/>
              <w:jc w:val="center"/>
              <w:rPr>
                <w:rFonts w:ascii="Times New Roman" w:hAnsi="Times New Roman" w:eastAsia="宋体" w:cs="Times New Roman"/>
                <w:sz w:val="2"/>
                <w:szCs w:val="2"/>
              </w:rPr>
            </w:pPr>
          </w:p>
        </w:tc>
        <w:tc>
          <w:tcPr>
            <w:tcW w:w="3466" w:type="pct"/>
            <w:vAlign w:val="center"/>
          </w:tcPr>
          <w:p w14:paraId="5B23DEF3">
            <w:pPr>
              <w:widowControl w:val="0"/>
              <w:spacing w:line="240" w:lineRule="exact"/>
              <w:jc w:val="center"/>
              <w:rPr>
                <w:rFonts w:ascii="Times New Roman" w:hAnsi="Times New Roman" w:eastAsia="宋体" w:cs="Times New Roman"/>
                <w:kern w:val="2"/>
                <w:sz w:val="21"/>
                <w:szCs w:val="24"/>
                <w:lang w:val="en-US" w:eastAsia="zh-CN" w:bidi="ar-SA"/>
              </w:rPr>
            </w:pPr>
            <w:r>
              <w:rPr>
                <w:rFonts w:ascii="Times New Roman" w:hAnsi="Times New Roman" w:eastAsia="宋体" w:cs="Times New Roman"/>
                <w:spacing w:val="-4"/>
                <w:kern w:val="2"/>
                <w:sz w:val="21"/>
                <w:szCs w:val="24"/>
                <w:lang w:val="en-US" w:eastAsia="zh-CN" w:bidi="ar-SA"/>
              </w:rPr>
              <w:t>运输车辆</w:t>
            </w:r>
          </w:p>
        </w:tc>
      </w:tr>
      <w:tr w14:paraId="76784A97">
        <w:tblPrEx>
          <w:tblBorders>
            <w:top w:val="thinThickSmallGap" w:color="000000" w:sz="12" w:space="0"/>
            <w:left w:val="thinThickSmallGap" w:color="000000" w:sz="12" w:space="0"/>
            <w:bottom w:val="thickThinSmallGap" w:color="000000" w:sz="12" w:space="0"/>
            <w:right w:val="thickThinSmallGap"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1534" w:type="pct"/>
            <w:vMerge w:val="restart"/>
            <w:vAlign w:val="center"/>
          </w:tcPr>
          <w:p w14:paraId="0105C4E6">
            <w:pPr>
              <w:widowControl w:val="0"/>
              <w:spacing w:line="240" w:lineRule="exact"/>
              <w:jc w:val="center"/>
              <w:rPr>
                <w:rFonts w:ascii="Times New Roman" w:hAnsi="Times New Roman" w:eastAsia="宋体" w:cs="Times New Roman"/>
                <w:kern w:val="2"/>
                <w:sz w:val="21"/>
                <w:szCs w:val="24"/>
                <w:lang w:val="en-US" w:eastAsia="zh-CN" w:bidi="ar-SA"/>
              </w:rPr>
            </w:pPr>
            <w:r>
              <w:rPr>
                <w:rFonts w:ascii="Times New Roman" w:hAnsi="Times New Roman" w:eastAsia="宋体" w:cs="Times New Roman"/>
                <w:spacing w:val="-4"/>
                <w:kern w:val="2"/>
                <w:sz w:val="21"/>
                <w:szCs w:val="24"/>
                <w:lang w:val="en-US" w:eastAsia="zh-CN" w:bidi="ar-SA"/>
              </w:rPr>
              <w:t>大临场地</w:t>
            </w:r>
            <w:r>
              <w:rPr>
                <w:rFonts w:ascii="Times New Roman" w:hAnsi="Times New Roman" w:eastAsia="宋体" w:cs="Times New Roman"/>
                <w:spacing w:val="-6"/>
                <w:kern w:val="2"/>
                <w:sz w:val="21"/>
                <w:szCs w:val="24"/>
                <w:lang w:val="en-US" w:eastAsia="zh-CN" w:bidi="ar-SA"/>
              </w:rPr>
              <w:t>施工</w:t>
            </w:r>
          </w:p>
        </w:tc>
        <w:tc>
          <w:tcPr>
            <w:tcW w:w="3466" w:type="pct"/>
            <w:vAlign w:val="center"/>
          </w:tcPr>
          <w:p w14:paraId="0C8743A9">
            <w:pPr>
              <w:widowControl w:val="0"/>
              <w:spacing w:line="240" w:lineRule="exact"/>
              <w:jc w:val="center"/>
              <w:rPr>
                <w:rFonts w:ascii="Times New Roman" w:hAnsi="Times New Roman" w:eastAsia="宋体" w:cs="Times New Roman"/>
                <w:kern w:val="2"/>
                <w:sz w:val="21"/>
                <w:szCs w:val="24"/>
                <w:lang w:val="en-US" w:eastAsia="zh-CN" w:bidi="ar-SA"/>
              </w:rPr>
            </w:pPr>
            <w:r>
              <w:rPr>
                <w:rFonts w:ascii="Times New Roman" w:hAnsi="Times New Roman" w:eastAsia="宋体" w:cs="Times New Roman"/>
                <w:spacing w:val="-4"/>
                <w:kern w:val="2"/>
                <w:sz w:val="21"/>
                <w:szCs w:val="24"/>
                <w:lang w:val="en-US" w:eastAsia="zh-CN" w:bidi="ar-SA"/>
              </w:rPr>
              <w:t>拌合机</w:t>
            </w:r>
          </w:p>
        </w:tc>
      </w:tr>
      <w:tr w14:paraId="78780E20">
        <w:tblPrEx>
          <w:tblBorders>
            <w:top w:val="thinThickSmallGap" w:color="000000" w:sz="12" w:space="0"/>
            <w:left w:val="thinThickSmallGap" w:color="000000" w:sz="12" w:space="0"/>
            <w:bottom w:val="thickThinSmallGap" w:color="000000" w:sz="12" w:space="0"/>
            <w:right w:val="thickThinSmallGap"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1534" w:type="pct"/>
            <w:vMerge w:val="continue"/>
            <w:vAlign w:val="center"/>
          </w:tcPr>
          <w:p w14:paraId="6E40DD81">
            <w:pPr>
              <w:widowControl/>
              <w:spacing w:line="240" w:lineRule="exact"/>
              <w:jc w:val="center"/>
              <w:rPr>
                <w:rFonts w:ascii="Times New Roman" w:hAnsi="Times New Roman" w:eastAsia="宋体" w:cs="Times New Roman"/>
                <w:sz w:val="2"/>
                <w:szCs w:val="2"/>
              </w:rPr>
            </w:pPr>
          </w:p>
        </w:tc>
        <w:tc>
          <w:tcPr>
            <w:tcW w:w="3466" w:type="pct"/>
            <w:vAlign w:val="center"/>
          </w:tcPr>
          <w:p w14:paraId="314DC1D6">
            <w:pPr>
              <w:widowControl w:val="0"/>
              <w:spacing w:line="240" w:lineRule="exact"/>
              <w:jc w:val="center"/>
              <w:rPr>
                <w:rFonts w:ascii="Times New Roman" w:hAnsi="Times New Roman" w:eastAsia="宋体" w:cs="Times New Roman"/>
                <w:kern w:val="2"/>
                <w:sz w:val="21"/>
                <w:szCs w:val="24"/>
                <w:lang w:val="en-US" w:eastAsia="zh-CN" w:bidi="ar-SA"/>
              </w:rPr>
            </w:pPr>
            <w:r>
              <w:rPr>
                <w:rFonts w:ascii="Times New Roman" w:hAnsi="Times New Roman" w:eastAsia="宋体" w:cs="Times New Roman"/>
                <w:spacing w:val="-4"/>
                <w:kern w:val="2"/>
                <w:sz w:val="21"/>
                <w:szCs w:val="24"/>
                <w:lang w:val="en-US" w:eastAsia="zh-CN" w:bidi="ar-SA"/>
              </w:rPr>
              <w:t>运输车辆</w:t>
            </w:r>
          </w:p>
        </w:tc>
      </w:tr>
      <w:tr w14:paraId="69C02EFF">
        <w:tblPrEx>
          <w:tblBorders>
            <w:top w:val="thinThickSmallGap" w:color="000000" w:sz="12" w:space="0"/>
            <w:left w:val="thinThickSmallGap" w:color="000000" w:sz="12" w:space="0"/>
            <w:bottom w:val="thickThinSmallGap" w:color="000000" w:sz="12" w:space="0"/>
            <w:right w:val="thickThinSmallGap"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1534" w:type="pct"/>
            <w:vMerge w:val="continue"/>
            <w:vAlign w:val="center"/>
          </w:tcPr>
          <w:p w14:paraId="7E943CF8">
            <w:pPr>
              <w:widowControl/>
              <w:spacing w:line="240" w:lineRule="exact"/>
              <w:jc w:val="center"/>
              <w:rPr>
                <w:rFonts w:ascii="Times New Roman" w:hAnsi="Times New Roman" w:eastAsia="宋体" w:cs="Times New Roman"/>
                <w:sz w:val="2"/>
                <w:szCs w:val="2"/>
              </w:rPr>
            </w:pPr>
          </w:p>
        </w:tc>
        <w:tc>
          <w:tcPr>
            <w:tcW w:w="3466" w:type="pct"/>
            <w:vAlign w:val="center"/>
          </w:tcPr>
          <w:p w14:paraId="04E22DFE">
            <w:pPr>
              <w:widowControl w:val="0"/>
              <w:spacing w:line="240" w:lineRule="exact"/>
              <w:jc w:val="center"/>
              <w:rPr>
                <w:rFonts w:ascii="Times New Roman" w:hAnsi="Times New Roman" w:eastAsia="宋体" w:cs="Times New Roman"/>
                <w:kern w:val="2"/>
                <w:sz w:val="21"/>
                <w:szCs w:val="24"/>
                <w:lang w:val="en-US" w:eastAsia="zh-CN" w:bidi="ar-SA"/>
              </w:rPr>
            </w:pPr>
            <w:r>
              <w:rPr>
                <w:rFonts w:hint="eastAsia" w:ascii="Times New Roman" w:hAnsi="Times New Roman" w:eastAsia="宋体" w:cs="Times New Roman"/>
                <w:spacing w:val="-4"/>
                <w:kern w:val="2"/>
                <w:sz w:val="21"/>
                <w:szCs w:val="24"/>
                <w:lang w:val="en-US" w:eastAsia="zh-CN" w:bidi="ar-SA"/>
              </w:rPr>
              <w:t>云石机、角磨机</w:t>
            </w:r>
          </w:p>
        </w:tc>
      </w:tr>
      <w:tr w14:paraId="07DE180D">
        <w:tblPrEx>
          <w:tblBorders>
            <w:top w:val="thinThickSmallGap" w:color="000000" w:sz="12" w:space="0"/>
            <w:left w:val="thinThickSmallGap" w:color="000000" w:sz="12" w:space="0"/>
            <w:bottom w:val="thickThinSmallGap" w:color="000000" w:sz="12" w:space="0"/>
            <w:right w:val="thickThinSmallGap"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1534" w:type="pct"/>
            <w:vMerge w:val="restart"/>
            <w:vAlign w:val="center"/>
          </w:tcPr>
          <w:p w14:paraId="11591C47">
            <w:pPr>
              <w:widowControl w:val="0"/>
              <w:spacing w:line="240" w:lineRule="exact"/>
              <w:jc w:val="center"/>
              <w:rPr>
                <w:rFonts w:ascii="Times New Roman" w:hAnsi="Times New Roman" w:eastAsia="宋体" w:cs="Times New Roman"/>
                <w:kern w:val="2"/>
                <w:sz w:val="21"/>
                <w:szCs w:val="24"/>
                <w:lang w:val="en-US" w:eastAsia="zh-CN" w:bidi="ar-SA"/>
              </w:rPr>
            </w:pPr>
            <w:r>
              <w:rPr>
                <w:rFonts w:ascii="Times New Roman" w:hAnsi="Times New Roman" w:eastAsia="宋体" w:cs="Times New Roman"/>
                <w:spacing w:val="-4"/>
                <w:kern w:val="2"/>
                <w:sz w:val="21"/>
                <w:szCs w:val="24"/>
                <w:lang w:val="en-US" w:eastAsia="zh-CN" w:bidi="ar-SA"/>
              </w:rPr>
              <w:t>路基填筑</w:t>
            </w:r>
          </w:p>
        </w:tc>
        <w:tc>
          <w:tcPr>
            <w:tcW w:w="3466" w:type="pct"/>
            <w:vAlign w:val="center"/>
          </w:tcPr>
          <w:p w14:paraId="7F67E543">
            <w:pPr>
              <w:widowControl w:val="0"/>
              <w:spacing w:line="240" w:lineRule="exact"/>
              <w:jc w:val="center"/>
              <w:rPr>
                <w:rFonts w:ascii="Times New Roman" w:hAnsi="Times New Roman" w:eastAsia="宋体" w:cs="Times New Roman"/>
                <w:kern w:val="2"/>
                <w:sz w:val="21"/>
                <w:szCs w:val="24"/>
                <w:lang w:val="en-US" w:eastAsia="zh-CN" w:bidi="ar-SA"/>
              </w:rPr>
            </w:pPr>
            <w:r>
              <w:rPr>
                <w:rFonts w:ascii="Times New Roman" w:hAnsi="Times New Roman" w:eastAsia="宋体" w:cs="Times New Roman"/>
                <w:spacing w:val="-4"/>
                <w:kern w:val="2"/>
                <w:sz w:val="21"/>
                <w:szCs w:val="24"/>
                <w:lang w:val="en-US" w:eastAsia="zh-CN" w:bidi="ar-SA"/>
              </w:rPr>
              <w:t>推土机</w:t>
            </w:r>
          </w:p>
        </w:tc>
      </w:tr>
      <w:tr w14:paraId="44164CBC">
        <w:tblPrEx>
          <w:tblBorders>
            <w:top w:val="thinThickSmallGap" w:color="000000" w:sz="12" w:space="0"/>
            <w:left w:val="thinThickSmallGap" w:color="000000" w:sz="12" w:space="0"/>
            <w:bottom w:val="thickThinSmallGap" w:color="000000" w:sz="12" w:space="0"/>
            <w:right w:val="thickThinSmallGap"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1534" w:type="pct"/>
            <w:vMerge w:val="continue"/>
            <w:vAlign w:val="center"/>
          </w:tcPr>
          <w:p w14:paraId="0B779E70">
            <w:pPr>
              <w:widowControl/>
              <w:spacing w:line="240" w:lineRule="exact"/>
              <w:jc w:val="center"/>
              <w:rPr>
                <w:rFonts w:ascii="Times New Roman" w:hAnsi="Times New Roman" w:eastAsia="宋体" w:cs="Times New Roman"/>
                <w:sz w:val="2"/>
                <w:szCs w:val="2"/>
              </w:rPr>
            </w:pPr>
          </w:p>
        </w:tc>
        <w:tc>
          <w:tcPr>
            <w:tcW w:w="3466" w:type="pct"/>
            <w:vAlign w:val="center"/>
          </w:tcPr>
          <w:p w14:paraId="7309F4AD">
            <w:pPr>
              <w:widowControl w:val="0"/>
              <w:spacing w:line="240" w:lineRule="exact"/>
              <w:jc w:val="center"/>
              <w:rPr>
                <w:rFonts w:ascii="Times New Roman" w:hAnsi="Times New Roman" w:eastAsia="宋体" w:cs="Times New Roman"/>
                <w:kern w:val="2"/>
                <w:sz w:val="21"/>
                <w:szCs w:val="24"/>
                <w:lang w:val="en-US" w:eastAsia="zh-CN" w:bidi="ar-SA"/>
              </w:rPr>
            </w:pPr>
            <w:r>
              <w:rPr>
                <w:rFonts w:ascii="Times New Roman" w:hAnsi="Times New Roman" w:eastAsia="宋体" w:cs="Times New Roman"/>
                <w:spacing w:val="-4"/>
                <w:kern w:val="2"/>
                <w:sz w:val="21"/>
                <w:szCs w:val="24"/>
                <w:lang w:val="en-US" w:eastAsia="zh-CN" w:bidi="ar-SA"/>
              </w:rPr>
              <w:t>挖掘机</w:t>
            </w:r>
          </w:p>
        </w:tc>
      </w:tr>
      <w:tr w14:paraId="168E11B4">
        <w:tblPrEx>
          <w:tblBorders>
            <w:top w:val="thinThickSmallGap" w:color="000000" w:sz="12" w:space="0"/>
            <w:left w:val="thinThickSmallGap" w:color="000000" w:sz="12" w:space="0"/>
            <w:bottom w:val="thickThinSmallGap" w:color="000000" w:sz="12" w:space="0"/>
            <w:right w:val="thickThinSmallGap"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1534" w:type="pct"/>
            <w:vMerge w:val="continue"/>
            <w:vAlign w:val="center"/>
          </w:tcPr>
          <w:p w14:paraId="1ED6F6D9">
            <w:pPr>
              <w:widowControl/>
              <w:spacing w:line="240" w:lineRule="exact"/>
              <w:jc w:val="center"/>
              <w:rPr>
                <w:rFonts w:ascii="Times New Roman" w:hAnsi="Times New Roman" w:eastAsia="宋体" w:cs="Times New Roman"/>
                <w:sz w:val="2"/>
                <w:szCs w:val="2"/>
              </w:rPr>
            </w:pPr>
          </w:p>
        </w:tc>
        <w:tc>
          <w:tcPr>
            <w:tcW w:w="3466" w:type="pct"/>
            <w:vAlign w:val="center"/>
          </w:tcPr>
          <w:p w14:paraId="6BB06E2F">
            <w:pPr>
              <w:widowControl w:val="0"/>
              <w:spacing w:line="240" w:lineRule="exact"/>
              <w:jc w:val="center"/>
              <w:rPr>
                <w:rFonts w:ascii="Times New Roman" w:hAnsi="Times New Roman" w:eastAsia="宋体" w:cs="Times New Roman"/>
                <w:kern w:val="2"/>
                <w:sz w:val="21"/>
                <w:szCs w:val="24"/>
                <w:lang w:val="en-US" w:eastAsia="zh-CN" w:bidi="ar-SA"/>
              </w:rPr>
            </w:pPr>
            <w:r>
              <w:rPr>
                <w:rFonts w:ascii="Times New Roman" w:hAnsi="Times New Roman" w:eastAsia="宋体" w:cs="Times New Roman"/>
                <w:spacing w:val="-4"/>
                <w:kern w:val="2"/>
                <w:sz w:val="21"/>
                <w:szCs w:val="24"/>
                <w:lang w:val="en-US" w:eastAsia="zh-CN" w:bidi="ar-SA"/>
              </w:rPr>
              <w:t>平地机</w:t>
            </w:r>
          </w:p>
        </w:tc>
      </w:tr>
      <w:tr w14:paraId="595DAA13">
        <w:tblPrEx>
          <w:tblBorders>
            <w:top w:val="thinThickSmallGap" w:color="000000" w:sz="12" w:space="0"/>
            <w:left w:val="thinThickSmallGap" w:color="000000" w:sz="12" w:space="0"/>
            <w:bottom w:val="thickThinSmallGap" w:color="000000" w:sz="12" w:space="0"/>
            <w:right w:val="thickThinSmallGap"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1534" w:type="pct"/>
            <w:vMerge w:val="continue"/>
            <w:vAlign w:val="center"/>
          </w:tcPr>
          <w:p w14:paraId="6C46508F">
            <w:pPr>
              <w:widowControl/>
              <w:spacing w:line="240" w:lineRule="exact"/>
              <w:jc w:val="center"/>
              <w:rPr>
                <w:rFonts w:ascii="Times New Roman" w:hAnsi="Times New Roman" w:eastAsia="宋体" w:cs="Times New Roman"/>
                <w:sz w:val="2"/>
                <w:szCs w:val="2"/>
              </w:rPr>
            </w:pPr>
          </w:p>
        </w:tc>
        <w:tc>
          <w:tcPr>
            <w:tcW w:w="3466" w:type="pct"/>
            <w:vAlign w:val="center"/>
          </w:tcPr>
          <w:p w14:paraId="4B59FB8A">
            <w:pPr>
              <w:widowControl w:val="0"/>
              <w:spacing w:line="240" w:lineRule="exact"/>
              <w:jc w:val="center"/>
              <w:rPr>
                <w:rFonts w:ascii="Times New Roman" w:hAnsi="Times New Roman" w:eastAsia="宋体" w:cs="Times New Roman"/>
                <w:kern w:val="2"/>
                <w:sz w:val="21"/>
                <w:szCs w:val="24"/>
                <w:lang w:val="en-US" w:eastAsia="zh-CN" w:bidi="ar-SA"/>
              </w:rPr>
            </w:pPr>
            <w:r>
              <w:rPr>
                <w:rFonts w:ascii="Times New Roman" w:hAnsi="Times New Roman" w:eastAsia="宋体" w:cs="Times New Roman"/>
                <w:spacing w:val="-4"/>
                <w:kern w:val="2"/>
                <w:sz w:val="21"/>
                <w:szCs w:val="24"/>
                <w:lang w:val="en-US" w:eastAsia="zh-CN" w:bidi="ar-SA"/>
              </w:rPr>
              <w:t>压路机</w:t>
            </w:r>
          </w:p>
        </w:tc>
      </w:tr>
      <w:tr w14:paraId="672EC469">
        <w:tblPrEx>
          <w:tblBorders>
            <w:top w:val="thinThickSmallGap" w:color="000000" w:sz="12" w:space="0"/>
            <w:left w:val="thinThickSmallGap" w:color="000000" w:sz="12" w:space="0"/>
            <w:bottom w:val="thickThinSmallGap" w:color="000000" w:sz="12" w:space="0"/>
            <w:right w:val="thickThinSmallGap"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1534" w:type="pct"/>
            <w:vMerge w:val="continue"/>
            <w:vAlign w:val="center"/>
          </w:tcPr>
          <w:p w14:paraId="6FC4F1B9">
            <w:pPr>
              <w:widowControl/>
              <w:spacing w:line="240" w:lineRule="exact"/>
              <w:jc w:val="center"/>
              <w:rPr>
                <w:rFonts w:ascii="Times New Roman" w:hAnsi="Times New Roman" w:eastAsia="宋体" w:cs="Times New Roman"/>
                <w:sz w:val="2"/>
                <w:szCs w:val="2"/>
              </w:rPr>
            </w:pPr>
          </w:p>
        </w:tc>
        <w:tc>
          <w:tcPr>
            <w:tcW w:w="3466" w:type="pct"/>
            <w:vAlign w:val="center"/>
          </w:tcPr>
          <w:p w14:paraId="39A481DB">
            <w:pPr>
              <w:widowControl w:val="0"/>
              <w:spacing w:line="240" w:lineRule="exact"/>
              <w:jc w:val="center"/>
              <w:rPr>
                <w:rFonts w:ascii="Times New Roman" w:hAnsi="Times New Roman" w:eastAsia="宋体" w:cs="Times New Roman"/>
                <w:kern w:val="2"/>
                <w:sz w:val="21"/>
                <w:szCs w:val="24"/>
                <w:lang w:val="en-US" w:eastAsia="zh-CN" w:bidi="ar-SA"/>
              </w:rPr>
            </w:pPr>
            <w:r>
              <w:rPr>
                <w:rFonts w:ascii="Times New Roman" w:hAnsi="Times New Roman" w:eastAsia="宋体" w:cs="Times New Roman"/>
                <w:spacing w:val="-4"/>
                <w:kern w:val="2"/>
                <w:sz w:val="21"/>
                <w:szCs w:val="24"/>
                <w:lang w:val="en-US" w:eastAsia="zh-CN" w:bidi="ar-SA"/>
              </w:rPr>
              <w:t>运输车辆</w:t>
            </w:r>
          </w:p>
        </w:tc>
      </w:tr>
      <w:tr w14:paraId="7761A581">
        <w:tblPrEx>
          <w:tblBorders>
            <w:top w:val="thinThickSmallGap" w:color="000000" w:sz="12" w:space="0"/>
            <w:left w:val="thinThickSmallGap" w:color="000000" w:sz="12" w:space="0"/>
            <w:bottom w:val="thickThinSmallGap" w:color="000000" w:sz="12" w:space="0"/>
            <w:right w:val="thickThinSmallGap"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1534" w:type="pct"/>
            <w:vMerge w:val="restart"/>
            <w:vAlign w:val="center"/>
          </w:tcPr>
          <w:p w14:paraId="6A01EA85">
            <w:pPr>
              <w:widowControl w:val="0"/>
              <w:spacing w:line="240" w:lineRule="exact"/>
              <w:jc w:val="center"/>
              <w:rPr>
                <w:rFonts w:ascii="Times New Roman" w:hAnsi="Times New Roman" w:eastAsia="宋体" w:cs="Times New Roman"/>
                <w:kern w:val="2"/>
                <w:sz w:val="21"/>
                <w:szCs w:val="24"/>
                <w:lang w:val="en-US" w:eastAsia="zh-CN" w:bidi="ar-SA"/>
              </w:rPr>
            </w:pPr>
            <w:r>
              <w:rPr>
                <w:rFonts w:ascii="Times New Roman" w:hAnsi="Times New Roman" w:eastAsia="宋体" w:cs="Times New Roman"/>
                <w:spacing w:val="-4"/>
                <w:kern w:val="2"/>
                <w:sz w:val="21"/>
                <w:szCs w:val="24"/>
                <w:lang w:val="en-US" w:eastAsia="zh-CN" w:bidi="ar-SA"/>
              </w:rPr>
              <w:t>路面施工</w:t>
            </w:r>
          </w:p>
        </w:tc>
        <w:tc>
          <w:tcPr>
            <w:tcW w:w="3466" w:type="pct"/>
            <w:vAlign w:val="center"/>
          </w:tcPr>
          <w:p w14:paraId="00A115A2">
            <w:pPr>
              <w:widowControl w:val="0"/>
              <w:spacing w:line="240" w:lineRule="exact"/>
              <w:jc w:val="center"/>
              <w:rPr>
                <w:rFonts w:ascii="Times New Roman" w:hAnsi="Times New Roman" w:eastAsia="宋体" w:cs="Times New Roman"/>
                <w:kern w:val="2"/>
                <w:sz w:val="21"/>
                <w:szCs w:val="24"/>
                <w:lang w:val="en-US" w:eastAsia="zh-CN" w:bidi="ar-SA"/>
              </w:rPr>
            </w:pPr>
            <w:r>
              <w:rPr>
                <w:rFonts w:ascii="Times New Roman" w:hAnsi="Times New Roman" w:eastAsia="宋体" w:cs="Times New Roman"/>
                <w:spacing w:val="-4"/>
                <w:kern w:val="2"/>
                <w:sz w:val="21"/>
                <w:szCs w:val="24"/>
                <w:lang w:val="en-US" w:eastAsia="zh-CN" w:bidi="ar-SA"/>
              </w:rPr>
              <w:t>摊铺机</w:t>
            </w:r>
          </w:p>
        </w:tc>
      </w:tr>
      <w:tr w14:paraId="1D9D35A3">
        <w:tblPrEx>
          <w:tblBorders>
            <w:top w:val="thinThickSmallGap" w:color="000000" w:sz="12" w:space="0"/>
            <w:left w:val="thinThickSmallGap" w:color="000000" w:sz="12" w:space="0"/>
            <w:bottom w:val="thickThinSmallGap" w:color="000000" w:sz="12" w:space="0"/>
            <w:right w:val="thickThinSmallGap"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1534" w:type="pct"/>
            <w:vMerge w:val="continue"/>
            <w:vAlign w:val="center"/>
          </w:tcPr>
          <w:p w14:paraId="1D943CFC">
            <w:pPr>
              <w:widowControl/>
              <w:spacing w:line="240" w:lineRule="exact"/>
              <w:jc w:val="center"/>
              <w:rPr>
                <w:rFonts w:ascii="Times New Roman" w:hAnsi="Times New Roman" w:eastAsia="宋体" w:cs="Times New Roman"/>
                <w:sz w:val="2"/>
                <w:szCs w:val="2"/>
              </w:rPr>
            </w:pPr>
          </w:p>
        </w:tc>
        <w:tc>
          <w:tcPr>
            <w:tcW w:w="3466" w:type="pct"/>
            <w:vAlign w:val="center"/>
          </w:tcPr>
          <w:p w14:paraId="546A362D">
            <w:pPr>
              <w:widowControl w:val="0"/>
              <w:spacing w:line="240" w:lineRule="exact"/>
              <w:jc w:val="center"/>
              <w:rPr>
                <w:rFonts w:ascii="Times New Roman" w:hAnsi="Times New Roman" w:eastAsia="宋体" w:cs="Times New Roman"/>
                <w:kern w:val="2"/>
                <w:sz w:val="21"/>
                <w:szCs w:val="24"/>
                <w:lang w:val="en-US" w:eastAsia="zh-CN" w:bidi="ar-SA"/>
              </w:rPr>
            </w:pPr>
            <w:r>
              <w:rPr>
                <w:rFonts w:ascii="Times New Roman" w:hAnsi="Times New Roman" w:eastAsia="宋体" w:cs="Times New Roman"/>
                <w:spacing w:val="-4"/>
                <w:kern w:val="2"/>
                <w:sz w:val="21"/>
                <w:szCs w:val="24"/>
                <w:lang w:val="en-US" w:eastAsia="zh-CN" w:bidi="ar-SA"/>
              </w:rPr>
              <w:t>运输车辆</w:t>
            </w:r>
          </w:p>
        </w:tc>
      </w:tr>
    </w:tbl>
    <w:p w14:paraId="382FCFF6">
      <w:pPr>
        <w:rPr>
          <w:rFonts w:ascii="Times New Roman" w:hAnsi="Times New Roman" w:eastAsia="宋体" w:cs="Times New Roman"/>
        </w:rPr>
      </w:pPr>
    </w:p>
    <w:p w14:paraId="1D85076B">
      <w:pPr>
        <w:widowControl w:val="0"/>
        <w:spacing w:after="0" w:line="300" w:lineRule="auto"/>
        <w:ind w:left="0" w:leftChars="0" w:firstLine="480" w:firstLineChars="200"/>
        <w:jc w:val="both"/>
        <w:rPr>
          <w:rFonts w:ascii="Times New Roman" w:hAnsi="Times New Roman" w:eastAsia="宋体" w:cs="Times New Roman"/>
          <w:kern w:val="0"/>
          <w:sz w:val="24"/>
          <w:szCs w:val="20"/>
          <w:lang w:val="en-US" w:eastAsia="zh-CN" w:bidi="ar-SA"/>
        </w:rPr>
      </w:pPr>
      <w:r>
        <w:rPr>
          <w:rFonts w:hint="eastAsia" w:ascii="Times New Roman" w:hAnsi="Times New Roman" w:eastAsia="宋体" w:cs="Times New Roman"/>
          <w:kern w:val="0"/>
          <w:sz w:val="24"/>
          <w:szCs w:val="20"/>
          <w:lang w:val="en-US" w:eastAsia="zh-CN" w:bidi="ar-SA"/>
        </w:rPr>
        <w:t>4</w:t>
      </w:r>
      <w:r>
        <w:rPr>
          <w:rFonts w:ascii="Times New Roman" w:hAnsi="Times New Roman" w:eastAsia="宋体" w:cs="Times New Roman"/>
          <w:kern w:val="0"/>
          <w:sz w:val="24"/>
          <w:szCs w:val="20"/>
          <w:lang w:val="en-US" w:eastAsia="zh-CN" w:bidi="ar-SA"/>
        </w:rPr>
        <w:t>. 施工噪声预测方法和预测模式</w:t>
      </w:r>
    </w:p>
    <w:p w14:paraId="34BCB6A6">
      <w:pPr>
        <w:spacing w:line="30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施工噪声可近似视为点声源处理，根据点声源噪声衰减模式，估算出离声源不同距离处的噪声值，预测模式如下：</w:t>
      </w:r>
    </w:p>
    <w:p w14:paraId="7F6436B6">
      <w:pPr>
        <w:jc w:val="center"/>
        <w:rPr>
          <w:rFonts w:ascii="Times New Roman" w:hAnsi="Times New Roman" w:eastAsia="宋体" w:cs="Times New Roman"/>
          <w:szCs w:val="20"/>
        </w:rPr>
      </w:pPr>
      <w:r>
        <w:rPr>
          <w:rFonts w:ascii="Times New Roman" w:hAnsi="Times New Roman" w:eastAsia="宋体" w:cs="Times New Roman"/>
          <w:position w:val="-32"/>
        </w:rPr>
        <w:object>
          <v:shape id="_x0000_i1051" o:spt="75" type="#_x0000_t75" style="height:33pt;width:78.75pt;" o:ole="t" filled="f" o:preferrelative="t" stroked="f" coordsize="21600,21600">
            <v:path/>
            <v:fill on="f" focussize="0,0"/>
            <v:stroke on="f" joinstyle="miter"/>
            <v:imagedata r:id="rId230" o:title=""/>
            <o:lock v:ext="edit" aspectratio="t"/>
            <w10:wrap type="none"/>
            <w10:anchorlock/>
          </v:shape>
          <o:OLEObject Type="Embed" ProgID="Equation.DSMT4" ShapeID="_x0000_i1051" DrawAspect="Content" ObjectID="_1468075751" r:id="rId229">
            <o:LockedField>false</o:LockedField>
          </o:OLEObject>
        </w:object>
      </w:r>
      <w:r>
        <w:rPr>
          <w:rFonts w:hint="eastAsia" w:ascii="Times New Roman" w:hAnsi="Times New Roman" w:eastAsia="宋体" w:cs="Times New Roman"/>
        </w:rPr>
        <w:t xml:space="preserve">         </w:t>
      </w:r>
    </w:p>
    <w:p w14:paraId="63B29C5D">
      <w:pPr>
        <w:spacing w:line="300" w:lineRule="auto"/>
        <w:rPr>
          <w:rFonts w:ascii="Times New Roman" w:hAnsi="Times New Roman" w:eastAsia="宋体" w:cs="Times New Roman"/>
          <w:sz w:val="24"/>
        </w:rPr>
      </w:pPr>
      <w:r>
        <w:rPr>
          <w:rFonts w:ascii="Times New Roman" w:hAnsi="Times New Roman" w:eastAsia="宋体" w:cs="Times New Roman"/>
          <w:sz w:val="24"/>
        </w:rPr>
        <w:t>式中：L</w:t>
      </w:r>
      <w:r>
        <w:rPr>
          <w:rFonts w:ascii="Times New Roman" w:hAnsi="Times New Roman" w:eastAsia="宋体" w:cs="Times New Roman"/>
          <w:sz w:val="24"/>
          <w:vertAlign w:val="subscript"/>
        </w:rPr>
        <w:t>i</w:t>
      </w:r>
      <w:r>
        <w:rPr>
          <w:rFonts w:ascii="Times New Roman" w:hAnsi="Times New Roman" w:eastAsia="宋体" w:cs="Times New Roman"/>
          <w:sz w:val="24"/>
        </w:rPr>
        <w:t>——</w:t>
      </w:r>
      <w:r>
        <w:rPr>
          <w:rFonts w:hint="eastAsia" w:ascii="Times New Roman" w:hAnsi="Times New Roman" w:eastAsia="宋体" w:cs="Times New Roman"/>
          <w:sz w:val="24"/>
        </w:rPr>
        <w:t>预测点处的声压级，dB(A)；</w:t>
      </w:r>
    </w:p>
    <w:p w14:paraId="147FDA62">
      <w:pPr>
        <w:spacing w:line="300" w:lineRule="auto"/>
        <w:ind w:firstLine="720" w:firstLineChars="300"/>
        <w:rPr>
          <w:rFonts w:ascii="Times New Roman" w:hAnsi="Times New Roman" w:eastAsia="宋体" w:cs="Times New Roman"/>
          <w:sz w:val="24"/>
        </w:rPr>
      </w:pPr>
      <w:r>
        <w:rPr>
          <w:rFonts w:ascii="Times New Roman" w:hAnsi="Times New Roman" w:eastAsia="宋体" w:cs="Times New Roman"/>
          <w:sz w:val="24"/>
        </w:rPr>
        <w:t>L</w:t>
      </w:r>
      <w:r>
        <w:rPr>
          <w:rFonts w:ascii="Times New Roman" w:hAnsi="Times New Roman" w:eastAsia="宋体" w:cs="Times New Roman"/>
          <w:sz w:val="24"/>
          <w:vertAlign w:val="subscript"/>
        </w:rPr>
        <w:t>o</w:t>
      </w:r>
      <w:r>
        <w:rPr>
          <w:rFonts w:ascii="Times New Roman" w:hAnsi="Times New Roman" w:eastAsia="宋体" w:cs="Times New Roman"/>
          <w:sz w:val="24"/>
        </w:rPr>
        <w:t>——</w:t>
      </w:r>
      <w:r>
        <w:rPr>
          <w:rFonts w:hint="eastAsia" w:ascii="Times New Roman" w:hAnsi="Times New Roman" w:eastAsia="宋体" w:cs="Times New Roman"/>
          <w:sz w:val="24"/>
        </w:rPr>
        <w:t>参照点处的声压级，dB(A)，参照</w:t>
      </w:r>
      <w:r>
        <w:rPr>
          <w:rFonts w:ascii="Times New Roman" w:hAnsi="Times New Roman" w:eastAsia="宋体" w:cs="Times New Roman"/>
          <w:snapToGrid w:val="0"/>
          <w:sz w:val="24"/>
        </w:rPr>
        <w:t>表2.</w:t>
      </w:r>
      <w:r>
        <w:rPr>
          <w:rFonts w:hint="eastAsia" w:ascii="Times New Roman" w:hAnsi="Times New Roman" w:eastAsia="宋体" w:cs="Times New Roman"/>
          <w:snapToGrid w:val="0"/>
          <w:sz w:val="24"/>
        </w:rPr>
        <w:t>5</w:t>
      </w:r>
      <w:r>
        <w:rPr>
          <w:rFonts w:ascii="Times New Roman" w:hAnsi="Times New Roman" w:eastAsia="宋体" w:cs="Times New Roman"/>
          <w:snapToGrid w:val="0"/>
          <w:sz w:val="24"/>
        </w:rPr>
        <w:t>-1</w:t>
      </w:r>
      <w:r>
        <w:rPr>
          <w:rFonts w:hint="eastAsia" w:ascii="Times New Roman" w:hAnsi="Times New Roman" w:eastAsia="宋体" w:cs="Times New Roman"/>
          <w:snapToGrid w:val="0"/>
          <w:sz w:val="24"/>
        </w:rPr>
        <w:t>~表</w:t>
      </w:r>
      <w:r>
        <w:rPr>
          <w:rFonts w:ascii="Times New Roman" w:hAnsi="Times New Roman" w:eastAsia="宋体" w:cs="Times New Roman"/>
          <w:snapToGrid w:val="0"/>
          <w:sz w:val="24"/>
        </w:rPr>
        <w:t>2.</w:t>
      </w:r>
      <w:r>
        <w:rPr>
          <w:rFonts w:hint="eastAsia" w:ascii="Times New Roman" w:hAnsi="Times New Roman" w:eastAsia="宋体" w:cs="Times New Roman"/>
          <w:snapToGrid w:val="0"/>
          <w:sz w:val="24"/>
        </w:rPr>
        <w:t>5</w:t>
      </w:r>
      <w:r>
        <w:rPr>
          <w:rFonts w:ascii="Times New Roman" w:hAnsi="Times New Roman" w:eastAsia="宋体" w:cs="Times New Roman"/>
          <w:snapToGrid w:val="0"/>
          <w:sz w:val="24"/>
        </w:rPr>
        <w:t>-2</w:t>
      </w:r>
      <w:r>
        <w:rPr>
          <w:rFonts w:hint="eastAsia" w:ascii="Times New Roman" w:hAnsi="Times New Roman" w:eastAsia="宋体" w:cs="Times New Roman"/>
          <w:sz w:val="24"/>
        </w:rPr>
        <w:t>确定；</w:t>
      </w:r>
    </w:p>
    <w:p w14:paraId="3F997C98">
      <w:pPr>
        <w:widowControl w:val="0"/>
        <w:spacing w:line="300" w:lineRule="auto"/>
        <w:ind w:firstLine="720" w:firstLineChars="300"/>
        <w:jc w:val="both"/>
        <w:rPr>
          <w:rFonts w:ascii="Times New Roman" w:hAnsi="Times New Roman" w:eastAsia="宋体" w:cs="Times New Roman"/>
          <w:kern w:val="2"/>
          <w:sz w:val="24"/>
          <w:szCs w:val="24"/>
          <w:lang w:val="en-US" w:eastAsia="zh-CN" w:bidi="ar-SA"/>
        </w:rPr>
      </w:pPr>
      <w:r>
        <w:rPr>
          <w:rFonts w:hint="eastAsia" w:ascii="Times New Roman" w:hAnsi="Times New Roman" w:eastAsia="宋体" w:cs="Times New Roman"/>
          <w:i/>
          <w:iCs/>
          <w:kern w:val="2"/>
          <w:sz w:val="24"/>
          <w:szCs w:val="24"/>
          <w:lang w:val="en-US" w:eastAsia="zh-CN" w:bidi="ar-SA"/>
        </w:rPr>
        <w:t>r</w:t>
      </w:r>
      <w:r>
        <w:rPr>
          <w:rFonts w:ascii="Times New Roman" w:hAnsi="Times New Roman" w:eastAsia="宋体" w:cs="Times New Roman"/>
          <w:kern w:val="2"/>
          <w:sz w:val="24"/>
          <w:szCs w:val="24"/>
          <w:vertAlign w:val="subscript"/>
          <w:lang w:val="en-US" w:eastAsia="zh-CN" w:bidi="ar-SA"/>
        </w:rPr>
        <w:t>i</w:t>
      </w:r>
      <w:r>
        <w:rPr>
          <w:rFonts w:ascii="Times New Roman" w:hAnsi="Times New Roman" w:eastAsia="宋体" w:cs="Times New Roman"/>
          <w:kern w:val="2"/>
          <w:sz w:val="24"/>
          <w:szCs w:val="24"/>
          <w:lang w:val="en-US" w:eastAsia="zh-CN" w:bidi="ar-SA"/>
        </w:rPr>
        <w:t>——</w:t>
      </w:r>
      <w:r>
        <w:rPr>
          <w:rFonts w:hint="eastAsia" w:ascii="Times New Roman" w:hAnsi="Times New Roman" w:eastAsia="宋体" w:cs="Times New Roman"/>
          <w:kern w:val="2"/>
          <w:sz w:val="24"/>
          <w:szCs w:val="24"/>
          <w:lang w:val="en-US" w:eastAsia="zh-CN" w:bidi="ar-SA"/>
        </w:rPr>
        <w:t>预测点距声源的距离，m；</w:t>
      </w:r>
    </w:p>
    <w:p w14:paraId="67F25E8E">
      <w:pPr>
        <w:widowControl w:val="0"/>
        <w:spacing w:line="300" w:lineRule="auto"/>
        <w:ind w:firstLine="720" w:firstLineChars="300"/>
        <w:jc w:val="both"/>
        <w:rPr>
          <w:rFonts w:ascii="Times New Roman" w:hAnsi="Times New Roman" w:eastAsia="宋体" w:cs="Times New Roman"/>
          <w:kern w:val="2"/>
          <w:sz w:val="24"/>
          <w:szCs w:val="24"/>
          <w:lang w:val="en-US" w:eastAsia="zh-CN" w:bidi="ar-SA"/>
        </w:rPr>
      </w:pPr>
      <w:r>
        <w:rPr>
          <w:rFonts w:hint="eastAsia" w:ascii="Times New Roman" w:hAnsi="Times New Roman" w:eastAsia="宋体" w:cs="Times New Roman"/>
          <w:i/>
          <w:iCs/>
          <w:kern w:val="2"/>
          <w:sz w:val="24"/>
          <w:szCs w:val="24"/>
          <w:lang w:val="en-US" w:eastAsia="zh-CN" w:bidi="ar-SA"/>
        </w:rPr>
        <w:t>r</w:t>
      </w:r>
      <w:r>
        <w:rPr>
          <w:rFonts w:ascii="Times New Roman" w:hAnsi="Times New Roman" w:eastAsia="宋体" w:cs="Times New Roman"/>
          <w:kern w:val="2"/>
          <w:sz w:val="24"/>
          <w:szCs w:val="24"/>
          <w:vertAlign w:val="subscript"/>
          <w:lang w:val="en-US" w:eastAsia="zh-CN" w:bidi="ar-SA"/>
        </w:rPr>
        <w:t>0</w:t>
      </w:r>
      <w:r>
        <w:rPr>
          <w:rFonts w:ascii="Times New Roman" w:hAnsi="Times New Roman" w:eastAsia="宋体" w:cs="Times New Roman"/>
          <w:kern w:val="2"/>
          <w:sz w:val="24"/>
          <w:szCs w:val="24"/>
          <w:lang w:val="en-US" w:eastAsia="zh-CN" w:bidi="ar-SA"/>
        </w:rPr>
        <w:t>——</w:t>
      </w:r>
      <w:r>
        <w:rPr>
          <w:rFonts w:hint="eastAsia" w:ascii="Times New Roman" w:hAnsi="Times New Roman" w:eastAsia="宋体" w:cs="Times New Roman"/>
          <w:kern w:val="2"/>
          <w:sz w:val="24"/>
          <w:szCs w:val="24"/>
          <w:lang w:val="en-US" w:eastAsia="zh-CN" w:bidi="ar-SA"/>
        </w:rPr>
        <w:t>参照点距声源的距离，m。</w:t>
      </w:r>
    </w:p>
    <w:p w14:paraId="458A2C2F">
      <w:pPr>
        <w:widowControl w:val="0"/>
        <w:spacing w:line="300" w:lineRule="auto"/>
        <w:ind w:firstLine="480" w:firstLineChars="200"/>
        <w:jc w:val="both"/>
        <w:rPr>
          <w:rFonts w:ascii="Times New Roman" w:hAnsi="Times New Roman" w:eastAsia="宋体" w:cs="Times New Roman"/>
          <w:kern w:val="2"/>
          <w:sz w:val="24"/>
          <w:szCs w:val="24"/>
          <w:lang w:val="en-US" w:eastAsia="zh-CN" w:bidi="ar-SA"/>
        </w:rPr>
      </w:pPr>
      <w:r>
        <w:rPr>
          <w:rFonts w:ascii="Times New Roman" w:hAnsi="Times New Roman" w:eastAsia="宋体" w:cs="Times New Roman"/>
          <w:kern w:val="2"/>
          <w:sz w:val="24"/>
          <w:szCs w:val="24"/>
          <w:lang w:val="en-US" w:eastAsia="zh-CN" w:bidi="ar-SA"/>
        </w:rPr>
        <w:t>对于多台施工机械对</w:t>
      </w:r>
      <w:r>
        <w:rPr>
          <w:rFonts w:hint="eastAsia" w:ascii="Times New Roman" w:hAnsi="Times New Roman" w:eastAsia="宋体" w:cs="Times New Roman"/>
          <w:kern w:val="2"/>
          <w:sz w:val="24"/>
          <w:szCs w:val="24"/>
          <w:lang w:val="en-US" w:eastAsia="zh-CN" w:bidi="ar-SA"/>
        </w:rPr>
        <w:t>同一保护目标</w:t>
      </w:r>
      <w:r>
        <w:rPr>
          <w:rFonts w:ascii="Times New Roman" w:hAnsi="Times New Roman" w:eastAsia="宋体" w:cs="Times New Roman"/>
          <w:kern w:val="2"/>
          <w:sz w:val="24"/>
          <w:szCs w:val="24"/>
          <w:lang w:val="en-US" w:eastAsia="zh-CN" w:bidi="ar-SA"/>
        </w:rPr>
        <w:t>的影响，应进行声级叠加，按</w:t>
      </w:r>
      <w:r>
        <w:rPr>
          <w:rFonts w:hint="eastAsia" w:ascii="Times New Roman" w:hAnsi="Times New Roman" w:eastAsia="宋体" w:cs="Times New Roman"/>
          <w:kern w:val="2"/>
          <w:sz w:val="24"/>
          <w:szCs w:val="24"/>
          <w:lang w:val="en-US" w:eastAsia="zh-CN" w:bidi="ar-SA"/>
        </w:rPr>
        <w:t>如下</w:t>
      </w:r>
      <w:r>
        <w:rPr>
          <w:rFonts w:ascii="Times New Roman" w:hAnsi="Times New Roman" w:eastAsia="宋体" w:cs="Times New Roman"/>
          <w:kern w:val="2"/>
          <w:sz w:val="24"/>
          <w:szCs w:val="24"/>
          <w:lang w:val="en-US" w:eastAsia="zh-CN" w:bidi="ar-SA"/>
        </w:rPr>
        <w:t>公式计算</w:t>
      </w:r>
      <w:r>
        <w:rPr>
          <w:rFonts w:hint="eastAsia" w:ascii="Times New Roman" w:hAnsi="Times New Roman" w:eastAsia="宋体" w:cs="Times New Roman"/>
          <w:kern w:val="2"/>
          <w:sz w:val="24"/>
          <w:szCs w:val="24"/>
          <w:lang w:val="en-US" w:eastAsia="zh-CN" w:bidi="ar-SA"/>
        </w:rPr>
        <w:t>：</w:t>
      </w:r>
    </w:p>
    <w:p w14:paraId="37B7B9A7">
      <w:pPr>
        <w:spacing w:beforeLines="50" w:afterLines="50" w:line="300" w:lineRule="auto"/>
        <w:ind w:firstLine="420" w:firstLineChars="200"/>
        <w:jc w:val="center"/>
        <w:rPr>
          <w:rFonts w:ascii="Times New Roman" w:hAnsi="Times New Roman" w:eastAsia="宋体" w:cs="Times New Roman"/>
          <w:sz w:val="24"/>
        </w:rPr>
      </w:pPr>
      <w:r>
        <w:rPr>
          <w:rFonts w:ascii="Times New Roman" w:hAnsi="Times New Roman" w:eastAsia="宋体" w:cs="Times New Roman"/>
          <w:position w:val="-10"/>
          <w:szCs w:val="21"/>
        </w:rPr>
        <w:object>
          <v:shape id="_x0000_i1052" o:spt="75" type="#_x0000_t75" style="height:18.75pt;width:90.75pt;" o:ole="t" filled="f" o:preferrelative="t" stroked="f" coordsize="21600,21600">
            <v:path/>
            <v:fill on="f" focussize="0,0"/>
            <v:stroke on="f" joinstyle="miter"/>
            <v:imagedata r:id="rId232" o:title=""/>
            <o:lock v:ext="edit" aspectratio="t"/>
            <w10:wrap type="none"/>
            <w10:anchorlock/>
          </v:shape>
          <o:OLEObject Type="Embed" ProgID="Equation.DSMT4" ShapeID="_x0000_i1052" DrawAspect="Content" ObjectID="_1468075752" r:id="rId231">
            <o:LockedField>false</o:LockedField>
          </o:OLEObject>
        </w:object>
      </w:r>
    </w:p>
    <w:p w14:paraId="38B0367C">
      <w:pPr>
        <w:spacing w:line="30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式中</w:t>
      </w:r>
      <w:r>
        <w:rPr>
          <w:rFonts w:hint="eastAsia" w:ascii="Times New Roman" w:hAnsi="Times New Roman" w:eastAsia="宋体" w:cs="Times New Roman"/>
          <w:sz w:val="24"/>
        </w:rPr>
        <w:t>：</w:t>
      </w:r>
      <w:r>
        <w:rPr>
          <w:rFonts w:ascii="Times New Roman" w:hAnsi="Times New Roman" w:eastAsia="宋体" w:cs="Times New Roman"/>
          <w:i/>
          <w:iCs/>
          <w:sz w:val="24"/>
        </w:rPr>
        <w:t>L</w:t>
      </w:r>
      <w:r>
        <w:rPr>
          <w:rFonts w:ascii="Times New Roman" w:hAnsi="Times New Roman" w:eastAsia="宋体" w:cs="Times New Roman"/>
          <w:sz w:val="24"/>
        </w:rPr>
        <w:t>——</w:t>
      </w:r>
      <w:r>
        <w:rPr>
          <w:rFonts w:hint="eastAsia" w:ascii="Times New Roman" w:hAnsi="Times New Roman" w:eastAsia="宋体" w:cs="Times New Roman"/>
          <w:sz w:val="24"/>
        </w:rPr>
        <w:t>多台施工机械在保护目标处叠加的声压</w:t>
      </w:r>
      <w:r>
        <w:rPr>
          <w:rFonts w:ascii="Times New Roman" w:hAnsi="Times New Roman" w:eastAsia="宋体" w:cs="Times New Roman"/>
          <w:sz w:val="24"/>
        </w:rPr>
        <w:t>级，dB</w:t>
      </w:r>
      <w:r>
        <w:rPr>
          <w:rFonts w:hint="eastAsia" w:ascii="Times New Roman" w:hAnsi="Times New Roman" w:eastAsia="宋体" w:cs="Times New Roman"/>
          <w:sz w:val="24"/>
        </w:rPr>
        <w:t>(</w:t>
      </w:r>
      <w:r>
        <w:rPr>
          <w:rFonts w:ascii="Times New Roman" w:hAnsi="Times New Roman" w:eastAsia="宋体" w:cs="Times New Roman"/>
          <w:sz w:val="24"/>
        </w:rPr>
        <w:t>A</w:t>
      </w:r>
      <w:r>
        <w:rPr>
          <w:rFonts w:hint="eastAsia" w:ascii="Times New Roman" w:hAnsi="Times New Roman" w:eastAsia="宋体" w:cs="Times New Roman"/>
          <w:sz w:val="24"/>
        </w:rPr>
        <w:t>)；</w:t>
      </w:r>
    </w:p>
    <w:p w14:paraId="01A32C9D">
      <w:pPr>
        <w:spacing w:line="300" w:lineRule="auto"/>
        <w:ind w:firstLine="1200" w:firstLineChars="500"/>
        <w:rPr>
          <w:rFonts w:ascii="Times New Roman" w:hAnsi="Times New Roman" w:eastAsia="宋体" w:cs="Times New Roman"/>
          <w:sz w:val="24"/>
        </w:rPr>
      </w:pPr>
      <w:r>
        <w:rPr>
          <w:rFonts w:ascii="Times New Roman" w:hAnsi="Times New Roman" w:eastAsia="宋体" w:cs="Times New Roman"/>
          <w:i/>
          <w:iCs/>
          <w:sz w:val="24"/>
        </w:rPr>
        <w:t>L</w:t>
      </w:r>
      <w:r>
        <w:rPr>
          <w:rFonts w:ascii="Times New Roman" w:hAnsi="Times New Roman" w:eastAsia="宋体" w:cs="Times New Roman"/>
          <w:sz w:val="24"/>
          <w:vertAlign w:val="subscript"/>
        </w:rPr>
        <w:t>i</w:t>
      </w:r>
      <w:r>
        <w:rPr>
          <w:rFonts w:ascii="Times New Roman" w:hAnsi="Times New Roman" w:eastAsia="宋体" w:cs="Times New Roman"/>
          <w:sz w:val="24"/>
        </w:rPr>
        <w:t>——</w:t>
      </w:r>
      <w:r>
        <w:rPr>
          <w:rFonts w:hint="eastAsia" w:ascii="Times New Roman" w:hAnsi="Times New Roman" w:eastAsia="宋体" w:cs="Times New Roman"/>
          <w:sz w:val="24"/>
        </w:rPr>
        <w:t>第</w:t>
      </w:r>
      <w:r>
        <w:rPr>
          <w:rFonts w:hint="eastAsia" w:ascii="Times New Roman" w:hAnsi="Times New Roman" w:eastAsia="宋体" w:cs="Times New Roman"/>
          <w:i/>
          <w:iCs/>
          <w:sz w:val="24"/>
        </w:rPr>
        <w:t>i</w:t>
      </w:r>
      <w:r>
        <w:rPr>
          <w:rFonts w:hint="eastAsia" w:ascii="Times New Roman" w:hAnsi="Times New Roman" w:eastAsia="宋体" w:cs="Times New Roman"/>
          <w:sz w:val="24"/>
        </w:rPr>
        <w:t>台施工机械在保护目标处的声压</w:t>
      </w:r>
      <w:r>
        <w:rPr>
          <w:rFonts w:ascii="Times New Roman" w:hAnsi="Times New Roman" w:eastAsia="宋体" w:cs="Times New Roman"/>
          <w:sz w:val="24"/>
        </w:rPr>
        <w:t>级，dB</w:t>
      </w:r>
      <w:r>
        <w:rPr>
          <w:rFonts w:hint="eastAsia" w:ascii="Times New Roman" w:hAnsi="Times New Roman" w:eastAsia="宋体" w:cs="Times New Roman"/>
          <w:sz w:val="24"/>
        </w:rPr>
        <w:t>(</w:t>
      </w:r>
      <w:r>
        <w:rPr>
          <w:rFonts w:ascii="Times New Roman" w:hAnsi="Times New Roman" w:eastAsia="宋体" w:cs="Times New Roman"/>
          <w:sz w:val="24"/>
        </w:rPr>
        <w:t>A</w:t>
      </w:r>
      <w:r>
        <w:rPr>
          <w:rFonts w:hint="eastAsia" w:ascii="Times New Roman" w:hAnsi="Times New Roman" w:eastAsia="宋体" w:cs="Times New Roman"/>
          <w:sz w:val="24"/>
        </w:rPr>
        <w:t>)。</w:t>
      </w:r>
    </w:p>
    <w:p w14:paraId="76018850">
      <w:pPr>
        <w:widowControl w:val="0"/>
        <w:spacing w:after="0" w:line="300" w:lineRule="auto"/>
        <w:ind w:left="0" w:leftChars="0" w:firstLine="480" w:firstLineChars="200"/>
        <w:jc w:val="both"/>
        <w:rPr>
          <w:rFonts w:ascii="Times New Roman" w:hAnsi="Times New Roman" w:eastAsia="宋体" w:cs="Times New Roman"/>
          <w:kern w:val="0"/>
          <w:sz w:val="24"/>
          <w:szCs w:val="20"/>
          <w:lang w:val="en-US" w:eastAsia="zh-CN" w:bidi="ar-SA"/>
        </w:rPr>
      </w:pPr>
      <w:r>
        <w:rPr>
          <w:rFonts w:ascii="Times New Roman" w:hAnsi="Times New Roman" w:eastAsia="宋体" w:cs="Times New Roman"/>
          <w:kern w:val="0"/>
          <w:sz w:val="24"/>
          <w:szCs w:val="20"/>
          <w:lang w:val="en-US" w:eastAsia="zh-CN" w:bidi="ar-SA"/>
        </w:rPr>
        <w:t>5. 施工噪声影响范围计算和影响分析</w:t>
      </w:r>
    </w:p>
    <w:p w14:paraId="271F3D83">
      <w:pPr>
        <w:spacing w:line="300" w:lineRule="auto"/>
        <w:ind w:firstLine="480" w:firstLineChars="200"/>
        <w:rPr>
          <w:rFonts w:ascii="Times New Roman" w:hAnsi="Times New Roman" w:eastAsia="宋体" w:cs="Times New Roman"/>
          <w:sz w:val="24"/>
        </w:rPr>
      </w:pPr>
      <w:bookmarkStart w:id="219" w:name="_Toc187528262"/>
      <w:r>
        <w:rPr>
          <w:rFonts w:ascii="Times New Roman" w:hAnsi="Times New Roman" w:eastAsia="宋体" w:cs="Times New Roman"/>
          <w:sz w:val="24"/>
        </w:rPr>
        <w:t>根据前述的预测方法和预测模式，对各设备噪声</w:t>
      </w:r>
      <w:r>
        <w:rPr>
          <w:rFonts w:ascii="Times New Roman" w:hAnsi="Times New Roman" w:eastAsia="宋体" w:cs="Times New Roman"/>
          <w:bCs/>
          <w:sz w:val="24"/>
        </w:rPr>
        <w:t>衰减</w:t>
      </w:r>
      <w:r>
        <w:rPr>
          <w:rFonts w:ascii="Times New Roman" w:hAnsi="Times New Roman" w:eastAsia="宋体" w:cs="Times New Roman"/>
          <w:sz w:val="24"/>
        </w:rPr>
        <w:t>及不同阶段各工程施工噪声影响范围进行计算，预测结果见表4.</w:t>
      </w:r>
      <w:r>
        <w:rPr>
          <w:rFonts w:hint="eastAsia" w:ascii="Times New Roman" w:hAnsi="Times New Roman" w:eastAsia="宋体" w:cs="Times New Roman"/>
          <w:sz w:val="24"/>
        </w:rPr>
        <w:t>1</w:t>
      </w:r>
      <w:r>
        <w:rPr>
          <w:rFonts w:ascii="Times New Roman" w:hAnsi="Times New Roman" w:eastAsia="宋体" w:cs="Times New Roman"/>
          <w:sz w:val="24"/>
        </w:rPr>
        <w:t>-2和表4.</w:t>
      </w:r>
      <w:r>
        <w:rPr>
          <w:rFonts w:hint="eastAsia" w:ascii="Times New Roman" w:hAnsi="Times New Roman" w:eastAsia="宋体" w:cs="Times New Roman"/>
          <w:sz w:val="24"/>
        </w:rPr>
        <w:t>1</w:t>
      </w:r>
      <w:r>
        <w:rPr>
          <w:rFonts w:ascii="Times New Roman" w:hAnsi="Times New Roman" w:eastAsia="宋体" w:cs="Times New Roman"/>
          <w:sz w:val="24"/>
        </w:rPr>
        <w:t>-3。</w:t>
      </w:r>
    </w:p>
    <w:p w14:paraId="24773FBE">
      <w:pPr>
        <w:spacing w:beforeLines="50"/>
        <w:jc w:val="center"/>
        <w:rPr>
          <w:rFonts w:ascii="Times New Roman" w:hAnsi="Times New Roman" w:eastAsia="宋体" w:cs="Times New Roman"/>
          <w:b/>
          <w:bCs/>
        </w:rPr>
      </w:pPr>
      <w:r>
        <w:rPr>
          <w:rFonts w:ascii="Times New Roman" w:hAnsi="Times New Roman" w:eastAsia="宋体" w:cs="Times New Roman"/>
          <w:b/>
          <w:bCs/>
        </w:rPr>
        <w:t>表4.</w:t>
      </w:r>
      <w:r>
        <w:rPr>
          <w:rFonts w:hint="eastAsia" w:ascii="Times New Roman" w:hAnsi="Times New Roman" w:eastAsia="宋体" w:cs="Times New Roman"/>
          <w:b/>
          <w:bCs/>
        </w:rPr>
        <w:t>1</w:t>
      </w:r>
      <w:r>
        <w:rPr>
          <w:rFonts w:ascii="Times New Roman" w:hAnsi="Times New Roman" w:eastAsia="宋体" w:cs="Times New Roman"/>
          <w:b/>
          <w:bCs/>
        </w:rPr>
        <w:t>-2  施工机械运行噪声随距离衰减预测结果单位：</w:t>
      </w:r>
      <w:r>
        <w:rPr>
          <w:rFonts w:ascii="Times New Roman" w:hAnsi="Times New Roman" w:eastAsia="宋体" w:cs="Times New Roman"/>
          <w:b/>
          <w:sz w:val="24"/>
        </w:rPr>
        <w:t>dB(A)</w:t>
      </w:r>
    </w:p>
    <w:tbl>
      <w:tblPr>
        <w:tblStyle w:val="22"/>
        <w:tblW w:w="8720" w:type="dxa"/>
        <w:tblInd w:w="0" w:type="dxa"/>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34"/>
        <w:gridCol w:w="1559"/>
        <w:gridCol w:w="662"/>
        <w:gridCol w:w="663"/>
        <w:gridCol w:w="663"/>
        <w:gridCol w:w="662"/>
        <w:gridCol w:w="663"/>
        <w:gridCol w:w="663"/>
        <w:gridCol w:w="662"/>
        <w:gridCol w:w="663"/>
        <w:gridCol w:w="663"/>
        <w:gridCol w:w="663"/>
      </w:tblGrid>
      <w:tr w14:paraId="6EDA0E65">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534" w:type="dxa"/>
            <w:vMerge w:val="restart"/>
            <w:tcBorders>
              <w:top w:val="thinThickSmallGap" w:color="auto" w:sz="12" w:space="0"/>
              <w:left w:val="thinThickSmallGap" w:color="auto" w:sz="12" w:space="0"/>
              <w:bottom w:val="single" w:color="auto" w:sz="6" w:space="0"/>
              <w:right w:val="single" w:color="auto" w:sz="6" w:space="0"/>
            </w:tcBorders>
            <w:vAlign w:val="center"/>
          </w:tcPr>
          <w:p w14:paraId="31474E00">
            <w:pPr>
              <w:jc w:val="center"/>
              <w:rPr>
                <w:rFonts w:ascii="Times New Roman" w:hAnsi="Times New Roman" w:eastAsia="宋体" w:cs="Times New Roman"/>
                <w:b/>
              </w:rPr>
            </w:pPr>
            <w:r>
              <w:rPr>
                <w:rFonts w:ascii="Times New Roman" w:hAnsi="Times New Roman" w:eastAsia="宋体" w:cs="Times New Roman"/>
                <w:b/>
              </w:rPr>
              <w:t>序号</w:t>
            </w:r>
          </w:p>
        </w:tc>
        <w:tc>
          <w:tcPr>
            <w:tcW w:w="1559" w:type="dxa"/>
            <w:vMerge w:val="restart"/>
            <w:tcBorders>
              <w:top w:val="thinThickSmallGap" w:color="auto" w:sz="12" w:space="0"/>
              <w:left w:val="single" w:color="auto" w:sz="6" w:space="0"/>
              <w:bottom w:val="single" w:color="auto" w:sz="6" w:space="0"/>
              <w:right w:val="single" w:color="auto" w:sz="6" w:space="0"/>
            </w:tcBorders>
            <w:vAlign w:val="center"/>
          </w:tcPr>
          <w:p w14:paraId="09B18760">
            <w:pPr>
              <w:jc w:val="center"/>
              <w:rPr>
                <w:rFonts w:ascii="Times New Roman" w:hAnsi="Times New Roman" w:eastAsia="宋体" w:cs="Times New Roman"/>
                <w:b/>
              </w:rPr>
            </w:pPr>
            <w:r>
              <w:rPr>
                <w:rFonts w:ascii="Times New Roman" w:hAnsi="Times New Roman" w:eastAsia="宋体" w:cs="Times New Roman"/>
                <w:b/>
              </w:rPr>
              <w:t>机械类型</w:t>
            </w:r>
          </w:p>
        </w:tc>
        <w:tc>
          <w:tcPr>
            <w:tcW w:w="6627" w:type="dxa"/>
            <w:gridSpan w:val="10"/>
            <w:tcBorders>
              <w:top w:val="thinThickSmallGap" w:color="auto" w:sz="12" w:space="0"/>
              <w:left w:val="single" w:color="auto" w:sz="6" w:space="0"/>
              <w:bottom w:val="single" w:color="auto" w:sz="6" w:space="0"/>
              <w:right w:val="thickThinSmallGap" w:color="auto" w:sz="12" w:space="0"/>
            </w:tcBorders>
            <w:vAlign w:val="center"/>
          </w:tcPr>
          <w:p w14:paraId="304582C7">
            <w:pPr>
              <w:jc w:val="center"/>
              <w:rPr>
                <w:rFonts w:ascii="Times New Roman" w:hAnsi="Times New Roman" w:eastAsia="宋体" w:cs="Times New Roman"/>
                <w:b/>
              </w:rPr>
            </w:pPr>
            <w:r>
              <w:rPr>
                <w:rFonts w:ascii="Times New Roman" w:hAnsi="Times New Roman" w:eastAsia="宋体" w:cs="Times New Roman"/>
                <w:b/>
              </w:rPr>
              <w:t>最大声压级</w:t>
            </w:r>
          </w:p>
        </w:tc>
      </w:tr>
      <w:tr w14:paraId="6C1C89A4">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534" w:type="dxa"/>
            <w:vMerge w:val="continue"/>
            <w:tcBorders>
              <w:top w:val="thinThickSmallGap" w:color="auto" w:sz="12" w:space="0"/>
              <w:left w:val="thinThickSmallGap" w:color="auto" w:sz="12" w:space="0"/>
              <w:bottom w:val="single" w:color="auto" w:sz="6" w:space="0"/>
              <w:right w:val="single" w:color="auto" w:sz="6" w:space="0"/>
            </w:tcBorders>
            <w:vAlign w:val="center"/>
          </w:tcPr>
          <w:p w14:paraId="33F3CEA2">
            <w:pPr>
              <w:jc w:val="center"/>
              <w:rPr>
                <w:rFonts w:ascii="Times New Roman" w:hAnsi="Times New Roman" w:eastAsia="宋体" w:cs="Times New Roman"/>
                <w:b/>
              </w:rPr>
            </w:pPr>
          </w:p>
        </w:tc>
        <w:tc>
          <w:tcPr>
            <w:tcW w:w="1559" w:type="dxa"/>
            <w:vMerge w:val="continue"/>
            <w:tcBorders>
              <w:top w:val="thinThickSmallGap" w:color="auto" w:sz="12" w:space="0"/>
              <w:left w:val="single" w:color="auto" w:sz="6" w:space="0"/>
              <w:bottom w:val="single" w:color="auto" w:sz="6" w:space="0"/>
              <w:right w:val="single" w:color="auto" w:sz="6" w:space="0"/>
            </w:tcBorders>
            <w:vAlign w:val="center"/>
          </w:tcPr>
          <w:p w14:paraId="335928DB">
            <w:pPr>
              <w:jc w:val="center"/>
              <w:rPr>
                <w:rFonts w:ascii="Times New Roman" w:hAnsi="Times New Roman" w:eastAsia="宋体" w:cs="Times New Roman"/>
                <w:b/>
              </w:rPr>
            </w:pPr>
          </w:p>
        </w:tc>
        <w:tc>
          <w:tcPr>
            <w:tcW w:w="6627" w:type="dxa"/>
            <w:gridSpan w:val="10"/>
            <w:tcBorders>
              <w:top w:val="single" w:color="auto" w:sz="6" w:space="0"/>
              <w:left w:val="single" w:color="auto" w:sz="6" w:space="0"/>
              <w:bottom w:val="single" w:color="auto" w:sz="6" w:space="0"/>
              <w:right w:val="thickThinSmallGap" w:color="auto" w:sz="12" w:space="0"/>
            </w:tcBorders>
            <w:vAlign w:val="center"/>
          </w:tcPr>
          <w:p w14:paraId="2D1E8CCE">
            <w:pPr>
              <w:jc w:val="center"/>
              <w:rPr>
                <w:rFonts w:ascii="Times New Roman" w:hAnsi="Times New Roman" w:eastAsia="宋体" w:cs="Times New Roman"/>
                <w:b/>
              </w:rPr>
            </w:pPr>
            <w:r>
              <w:rPr>
                <w:rFonts w:ascii="Times New Roman" w:hAnsi="Times New Roman" w:eastAsia="宋体" w:cs="Times New Roman"/>
                <w:b/>
              </w:rPr>
              <w:t>距声源距离(m)</w:t>
            </w:r>
          </w:p>
        </w:tc>
      </w:tr>
      <w:tr w14:paraId="3C9102F0">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534" w:type="dxa"/>
            <w:vMerge w:val="continue"/>
            <w:tcBorders>
              <w:top w:val="thinThickSmallGap" w:color="auto" w:sz="12" w:space="0"/>
              <w:left w:val="thinThickSmallGap" w:color="auto" w:sz="12" w:space="0"/>
              <w:bottom w:val="single" w:color="auto" w:sz="6" w:space="0"/>
              <w:right w:val="single" w:color="auto" w:sz="6" w:space="0"/>
            </w:tcBorders>
            <w:vAlign w:val="center"/>
          </w:tcPr>
          <w:p w14:paraId="6085899F">
            <w:pPr>
              <w:jc w:val="center"/>
              <w:rPr>
                <w:rFonts w:ascii="Times New Roman" w:hAnsi="Times New Roman" w:eastAsia="宋体" w:cs="Times New Roman"/>
                <w:b/>
              </w:rPr>
            </w:pPr>
          </w:p>
        </w:tc>
        <w:tc>
          <w:tcPr>
            <w:tcW w:w="1559" w:type="dxa"/>
            <w:vMerge w:val="continue"/>
            <w:tcBorders>
              <w:top w:val="thinThickSmallGap" w:color="auto" w:sz="12" w:space="0"/>
              <w:left w:val="single" w:color="auto" w:sz="6" w:space="0"/>
              <w:bottom w:val="single" w:color="auto" w:sz="6" w:space="0"/>
              <w:right w:val="single" w:color="auto" w:sz="6" w:space="0"/>
            </w:tcBorders>
            <w:vAlign w:val="center"/>
          </w:tcPr>
          <w:p w14:paraId="77A661A5">
            <w:pPr>
              <w:jc w:val="center"/>
              <w:rPr>
                <w:rFonts w:ascii="Times New Roman" w:hAnsi="Times New Roman" w:eastAsia="宋体" w:cs="Times New Roman"/>
                <w:b/>
              </w:rPr>
            </w:pPr>
          </w:p>
        </w:tc>
        <w:tc>
          <w:tcPr>
            <w:tcW w:w="662" w:type="dxa"/>
            <w:tcBorders>
              <w:top w:val="single" w:color="auto" w:sz="6" w:space="0"/>
              <w:left w:val="single" w:color="auto" w:sz="6" w:space="0"/>
              <w:bottom w:val="single" w:color="auto" w:sz="6" w:space="0"/>
              <w:right w:val="single" w:color="auto" w:sz="6" w:space="0"/>
            </w:tcBorders>
            <w:vAlign w:val="center"/>
          </w:tcPr>
          <w:p w14:paraId="2F327611">
            <w:pPr>
              <w:jc w:val="center"/>
              <w:rPr>
                <w:rFonts w:ascii="Times New Roman" w:hAnsi="Times New Roman" w:eastAsia="宋体" w:cs="Times New Roman"/>
                <w:b/>
              </w:rPr>
            </w:pPr>
            <w:r>
              <w:rPr>
                <w:rFonts w:ascii="Times New Roman" w:hAnsi="Times New Roman" w:eastAsia="宋体" w:cs="Times New Roman"/>
                <w:b/>
              </w:rPr>
              <w:t>5</w:t>
            </w:r>
          </w:p>
        </w:tc>
        <w:tc>
          <w:tcPr>
            <w:tcW w:w="663" w:type="dxa"/>
            <w:tcBorders>
              <w:top w:val="single" w:color="auto" w:sz="6" w:space="0"/>
              <w:left w:val="single" w:color="auto" w:sz="6" w:space="0"/>
              <w:bottom w:val="single" w:color="auto" w:sz="6" w:space="0"/>
              <w:right w:val="single" w:color="auto" w:sz="6" w:space="0"/>
            </w:tcBorders>
            <w:vAlign w:val="center"/>
          </w:tcPr>
          <w:p w14:paraId="55DE1248">
            <w:pPr>
              <w:jc w:val="center"/>
              <w:rPr>
                <w:rFonts w:ascii="Times New Roman" w:hAnsi="Times New Roman" w:eastAsia="宋体" w:cs="Times New Roman"/>
                <w:b/>
              </w:rPr>
            </w:pPr>
            <w:r>
              <w:rPr>
                <w:rFonts w:ascii="Times New Roman" w:hAnsi="Times New Roman" w:eastAsia="宋体" w:cs="Times New Roman"/>
                <w:b/>
              </w:rPr>
              <w:t>10</w:t>
            </w:r>
          </w:p>
        </w:tc>
        <w:tc>
          <w:tcPr>
            <w:tcW w:w="663" w:type="dxa"/>
            <w:tcBorders>
              <w:top w:val="single" w:color="auto" w:sz="6" w:space="0"/>
              <w:left w:val="single" w:color="auto" w:sz="6" w:space="0"/>
              <w:bottom w:val="single" w:color="auto" w:sz="6" w:space="0"/>
              <w:right w:val="single" w:color="auto" w:sz="6" w:space="0"/>
            </w:tcBorders>
            <w:vAlign w:val="center"/>
          </w:tcPr>
          <w:p w14:paraId="3F42AD72">
            <w:pPr>
              <w:jc w:val="center"/>
              <w:rPr>
                <w:rFonts w:ascii="Times New Roman" w:hAnsi="Times New Roman" w:eastAsia="宋体" w:cs="Times New Roman"/>
                <w:b/>
              </w:rPr>
            </w:pPr>
            <w:r>
              <w:rPr>
                <w:rFonts w:ascii="Times New Roman" w:hAnsi="Times New Roman" w:eastAsia="宋体" w:cs="Times New Roman"/>
                <w:b/>
              </w:rPr>
              <w:t>20</w:t>
            </w:r>
          </w:p>
        </w:tc>
        <w:tc>
          <w:tcPr>
            <w:tcW w:w="662" w:type="dxa"/>
            <w:tcBorders>
              <w:top w:val="single" w:color="auto" w:sz="6" w:space="0"/>
              <w:left w:val="single" w:color="auto" w:sz="6" w:space="0"/>
              <w:bottom w:val="single" w:color="auto" w:sz="6" w:space="0"/>
              <w:right w:val="single" w:color="auto" w:sz="6" w:space="0"/>
            </w:tcBorders>
            <w:vAlign w:val="center"/>
          </w:tcPr>
          <w:p w14:paraId="12E59320">
            <w:pPr>
              <w:jc w:val="center"/>
              <w:rPr>
                <w:rFonts w:ascii="Times New Roman" w:hAnsi="Times New Roman" w:eastAsia="宋体" w:cs="Times New Roman"/>
                <w:b/>
              </w:rPr>
            </w:pPr>
            <w:r>
              <w:rPr>
                <w:rFonts w:ascii="Times New Roman" w:hAnsi="Times New Roman" w:eastAsia="宋体" w:cs="Times New Roman"/>
                <w:b/>
              </w:rPr>
              <w:t>40</w:t>
            </w:r>
          </w:p>
        </w:tc>
        <w:tc>
          <w:tcPr>
            <w:tcW w:w="663" w:type="dxa"/>
            <w:tcBorders>
              <w:top w:val="single" w:color="auto" w:sz="6" w:space="0"/>
              <w:left w:val="single" w:color="auto" w:sz="6" w:space="0"/>
              <w:bottom w:val="single" w:color="auto" w:sz="6" w:space="0"/>
              <w:right w:val="single" w:color="auto" w:sz="6" w:space="0"/>
            </w:tcBorders>
            <w:vAlign w:val="center"/>
          </w:tcPr>
          <w:p w14:paraId="3E910FFA">
            <w:pPr>
              <w:jc w:val="center"/>
              <w:rPr>
                <w:rFonts w:ascii="Times New Roman" w:hAnsi="Times New Roman" w:eastAsia="宋体" w:cs="Times New Roman"/>
                <w:b/>
              </w:rPr>
            </w:pPr>
            <w:r>
              <w:rPr>
                <w:rFonts w:ascii="Times New Roman" w:hAnsi="Times New Roman" w:eastAsia="宋体" w:cs="Times New Roman"/>
                <w:b/>
              </w:rPr>
              <w:t>60</w:t>
            </w:r>
          </w:p>
        </w:tc>
        <w:tc>
          <w:tcPr>
            <w:tcW w:w="663" w:type="dxa"/>
            <w:tcBorders>
              <w:top w:val="single" w:color="auto" w:sz="6" w:space="0"/>
              <w:left w:val="single" w:color="auto" w:sz="6" w:space="0"/>
              <w:bottom w:val="single" w:color="auto" w:sz="6" w:space="0"/>
              <w:right w:val="single" w:color="auto" w:sz="6" w:space="0"/>
            </w:tcBorders>
            <w:vAlign w:val="center"/>
          </w:tcPr>
          <w:p w14:paraId="3E1753AC">
            <w:pPr>
              <w:jc w:val="center"/>
              <w:rPr>
                <w:rFonts w:ascii="Times New Roman" w:hAnsi="Times New Roman" w:eastAsia="宋体" w:cs="Times New Roman"/>
                <w:b/>
              </w:rPr>
            </w:pPr>
            <w:r>
              <w:rPr>
                <w:rFonts w:ascii="Times New Roman" w:hAnsi="Times New Roman" w:eastAsia="宋体" w:cs="Times New Roman"/>
                <w:b/>
              </w:rPr>
              <w:t>80</w:t>
            </w:r>
          </w:p>
        </w:tc>
        <w:tc>
          <w:tcPr>
            <w:tcW w:w="662" w:type="dxa"/>
            <w:tcBorders>
              <w:top w:val="single" w:color="auto" w:sz="6" w:space="0"/>
              <w:left w:val="single" w:color="auto" w:sz="6" w:space="0"/>
              <w:bottom w:val="single" w:color="auto" w:sz="6" w:space="0"/>
              <w:right w:val="single" w:color="auto" w:sz="6" w:space="0"/>
            </w:tcBorders>
            <w:vAlign w:val="center"/>
          </w:tcPr>
          <w:p w14:paraId="773DDFA4">
            <w:pPr>
              <w:jc w:val="center"/>
              <w:rPr>
                <w:rFonts w:ascii="Times New Roman" w:hAnsi="Times New Roman" w:eastAsia="宋体" w:cs="Times New Roman"/>
                <w:b/>
              </w:rPr>
            </w:pPr>
            <w:r>
              <w:rPr>
                <w:rFonts w:ascii="Times New Roman" w:hAnsi="Times New Roman" w:eastAsia="宋体" w:cs="Times New Roman"/>
                <w:b/>
              </w:rPr>
              <w:t>100</w:t>
            </w:r>
          </w:p>
        </w:tc>
        <w:tc>
          <w:tcPr>
            <w:tcW w:w="663" w:type="dxa"/>
            <w:tcBorders>
              <w:top w:val="single" w:color="auto" w:sz="6" w:space="0"/>
              <w:left w:val="single" w:color="auto" w:sz="6" w:space="0"/>
              <w:bottom w:val="single" w:color="auto" w:sz="6" w:space="0"/>
              <w:right w:val="single" w:color="auto" w:sz="6" w:space="0"/>
            </w:tcBorders>
            <w:vAlign w:val="center"/>
          </w:tcPr>
          <w:p w14:paraId="6406C907">
            <w:pPr>
              <w:jc w:val="center"/>
              <w:rPr>
                <w:rFonts w:ascii="Times New Roman" w:hAnsi="Times New Roman" w:eastAsia="宋体" w:cs="Times New Roman"/>
                <w:b/>
              </w:rPr>
            </w:pPr>
            <w:r>
              <w:rPr>
                <w:rFonts w:ascii="Times New Roman" w:hAnsi="Times New Roman" w:eastAsia="宋体" w:cs="Times New Roman"/>
                <w:b/>
              </w:rPr>
              <w:t>120</w:t>
            </w:r>
          </w:p>
        </w:tc>
        <w:tc>
          <w:tcPr>
            <w:tcW w:w="663" w:type="dxa"/>
            <w:tcBorders>
              <w:top w:val="single" w:color="auto" w:sz="6" w:space="0"/>
              <w:left w:val="single" w:color="auto" w:sz="6" w:space="0"/>
              <w:bottom w:val="single" w:color="auto" w:sz="6" w:space="0"/>
              <w:right w:val="single" w:color="auto" w:sz="6" w:space="0"/>
            </w:tcBorders>
            <w:vAlign w:val="center"/>
          </w:tcPr>
          <w:p w14:paraId="6690E1ED">
            <w:pPr>
              <w:jc w:val="center"/>
              <w:rPr>
                <w:rFonts w:ascii="Times New Roman" w:hAnsi="Times New Roman" w:eastAsia="宋体" w:cs="Times New Roman"/>
                <w:b/>
              </w:rPr>
            </w:pPr>
            <w:r>
              <w:rPr>
                <w:rFonts w:ascii="Times New Roman" w:hAnsi="Times New Roman" w:eastAsia="宋体" w:cs="Times New Roman"/>
                <w:b/>
              </w:rPr>
              <w:t>160</w:t>
            </w:r>
          </w:p>
        </w:tc>
        <w:tc>
          <w:tcPr>
            <w:tcW w:w="663" w:type="dxa"/>
            <w:tcBorders>
              <w:top w:val="single" w:color="auto" w:sz="6" w:space="0"/>
              <w:left w:val="single" w:color="auto" w:sz="6" w:space="0"/>
              <w:bottom w:val="single" w:color="auto" w:sz="6" w:space="0"/>
              <w:right w:val="thickThinSmallGap" w:color="auto" w:sz="12" w:space="0"/>
            </w:tcBorders>
            <w:vAlign w:val="center"/>
          </w:tcPr>
          <w:p w14:paraId="21E7D304">
            <w:pPr>
              <w:jc w:val="center"/>
              <w:rPr>
                <w:rFonts w:ascii="Times New Roman" w:hAnsi="Times New Roman" w:eastAsia="宋体" w:cs="Times New Roman"/>
                <w:b/>
              </w:rPr>
            </w:pPr>
            <w:r>
              <w:rPr>
                <w:rFonts w:ascii="Times New Roman" w:hAnsi="Times New Roman" w:eastAsia="宋体" w:cs="Times New Roman"/>
                <w:b/>
              </w:rPr>
              <w:t>200</w:t>
            </w:r>
          </w:p>
        </w:tc>
      </w:tr>
      <w:tr w14:paraId="6EED76D1">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534" w:type="dxa"/>
            <w:tcBorders>
              <w:top w:val="single" w:color="auto" w:sz="6" w:space="0"/>
              <w:left w:val="thinThickSmallGap" w:color="auto" w:sz="12" w:space="0"/>
              <w:bottom w:val="single" w:color="auto" w:sz="6" w:space="0"/>
              <w:right w:val="single" w:color="auto" w:sz="6" w:space="0"/>
            </w:tcBorders>
            <w:vAlign w:val="center"/>
          </w:tcPr>
          <w:p w14:paraId="15C20740">
            <w:pPr>
              <w:jc w:val="center"/>
              <w:rPr>
                <w:rFonts w:ascii="Times New Roman" w:hAnsi="Times New Roman" w:eastAsia="宋体" w:cs="Times New Roman"/>
              </w:rPr>
            </w:pPr>
            <w:r>
              <w:rPr>
                <w:rFonts w:ascii="Times New Roman" w:hAnsi="Times New Roman" w:eastAsia="宋体" w:cs="Times New Roman"/>
              </w:rPr>
              <w:t>1</w:t>
            </w:r>
          </w:p>
        </w:tc>
        <w:tc>
          <w:tcPr>
            <w:tcW w:w="1559" w:type="dxa"/>
            <w:tcBorders>
              <w:top w:val="single" w:color="auto" w:sz="6" w:space="0"/>
              <w:left w:val="single" w:color="auto" w:sz="6" w:space="0"/>
              <w:bottom w:val="single" w:color="auto" w:sz="6" w:space="0"/>
              <w:right w:val="single" w:color="auto" w:sz="6" w:space="0"/>
            </w:tcBorders>
            <w:vAlign w:val="center"/>
          </w:tcPr>
          <w:p w14:paraId="4D4EC593">
            <w:pPr>
              <w:jc w:val="center"/>
              <w:rPr>
                <w:rFonts w:ascii="Times New Roman" w:hAnsi="Times New Roman" w:eastAsia="宋体" w:cs="Times New Roman"/>
              </w:rPr>
            </w:pPr>
            <w:r>
              <w:rPr>
                <w:rFonts w:ascii="Times New Roman" w:hAnsi="Times New Roman" w:eastAsia="宋体" w:cs="Times New Roman"/>
              </w:rPr>
              <w:t>液压挖掘机</w:t>
            </w:r>
          </w:p>
        </w:tc>
        <w:tc>
          <w:tcPr>
            <w:tcW w:w="662" w:type="dxa"/>
            <w:tcBorders>
              <w:top w:val="single" w:color="auto" w:sz="6" w:space="0"/>
              <w:left w:val="single" w:color="auto" w:sz="6" w:space="0"/>
              <w:bottom w:val="single" w:color="auto" w:sz="6" w:space="0"/>
              <w:right w:val="single" w:color="auto" w:sz="6" w:space="0"/>
            </w:tcBorders>
            <w:vAlign w:val="center"/>
          </w:tcPr>
          <w:p w14:paraId="744B6C96">
            <w:pPr>
              <w:jc w:val="center"/>
              <w:rPr>
                <w:rFonts w:ascii="Times New Roman" w:hAnsi="Times New Roman" w:eastAsia="宋体" w:cs="Times New Roman"/>
              </w:rPr>
            </w:pPr>
            <w:r>
              <w:rPr>
                <w:rFonts w:ascii="Times New Roman" w:hAnsi="Times New Roman" w:eastAsia="宋体" w:cs="Times New Roman"/>
              </w:rPr>
              <w:t>90</w:t>
            </w:r>
          </w:p>
        </w:tc>
        <w:tc>
          <w:tcPr>
            <w:tcW w:w="663" w:type="dxa"/>
            <w:tcBorders>
              <w:top w:val="single" w:color="auto" w:sz="6" w:space="0"/>
              <w:left w:val="single" w:color="auto" w:sz="6" w:space="0"/>
              <w:bottom w:val="single" w:color="auto" w:sz="6" w:space="0"/>
              <w:right w:val="single" w:color="auto" w:sz="6" w:space="0"/>
            </w:tcBorders>
            <w:vAlign w:val="center"/>
          </w:tcPr>
          <w:p w14:paraId="226AA279">
            <w:pPr>
              <w:jc w:val="center"/>
              <w:rPr>
                <w:rFonts w:ascii="Times New Roman" w:hAnsi="Times New Roman" w:eastAsia="宋体" w:cs="Times New Roman"/>
              </w:rPr>
            </w:pPr>
            <w:r>
              <w:rPr>
                <w:rFonts w:ascii="Times New Roman" w:hAnsi="Times New Roman" w:eastAsia="宋体" w:cs="Times New Roman"/>
              </w:rPr>
              <w:t>84</w:t>
            </w:r>
          </w:p>
        </w:tc>
        <w:tc>
          <w:tcPr>
            <w:tcW w:w="663" w:type="dxa"/>
            <w:tcBorders>
              <w:top w:val="single" w:color="auto" w:sz="6" w:space="0"/>
              <w:left w:val="single" w:color="auto" w:sz="6" w:space="0"/>
              <w:bottom w:val="single" w:color="auto" w:sz="6" w:space="0"/>
              <w:right w:val="single" w:color="auto" w:sz="6" w:space="0"/>
            </w:tcBorders>
            <w:vAlign w:val="center"/>
          </w:tcPr>
          <w:p w14:paraId="52FFA0EF">
            <w:pPr>
              <w:jc w:val="center"/>
              <w:rPr>
                <w:rFonts w:ascii="Times New Roman" w:hAnsi="Times New Roman" w:eastAsia="宋体" w:cs="Times New Roman"/>
              </w:rPr>
            </w:pPr>
            <w:r>
              <w:rPr>
                <w:rFonts w:ascii="Times New Roman" w:hAnsi="Times New Roman" w:eastAsia="宋体" w:cs="Times New Roman"/>
              </w:rPr>
              <w:t>78</w:t>
            </w:r>
          </w:p>
        </w:tc>
        <w:tc>
          <w:tcPr>
            <w:tcW w:w="662" w:type="dxa"/>
            <w:tcBorders>
              <w:top w:val="single" w:color="auto" w:sz="6" w:space="0"/>
              <w:left w:val="single" w:color="auto" w:sz="6" w:space="0"/>
              <w:bottom w:val="single" w:color="auto" w:sz="6" w:space="0"/>
              <w:right w:val="single" w:color="auto" w:sz="6" w:space="0"/>
            </w:tcBorders>
            <w:vAlign w:val="center"/>
          </w:tcPr>
          <w:p w14:paraId="14DB3EB9">
            <w:pPr>
              <w:jc w:val="center"/>
              <w:rPr>
                <w:rFonts w:ascii="Times New Roman" w:hAnsi="Times New Roman" w:eastAsia="宋体" w:cs="Times New Roman"/>
              </w:rPr>
            </w:pPr>
            <w:r>
              <w:rPr>
                <w:rFonts w:ascii="Times New Roman" w:hAnsi="Times New Roman" w:eastAsia="宋体" w:cs="Times New Roman"/>
              </w:rPr>
              <w:t>72</w:t>
            </w:r>
          </w:p>
        </w:tc>
        <w:tc>
          <w:tcPr>
            <w:tcW w:w="663" w:type="dxa"/>
            <w:tcBorders>
              <w:top w:val="single" w:color="auto" w:sz="6" w:space="0"/>
              <w:left w:val="single" w:color="auto" w:sz="6" w:space="0"/>
              <w:bottom w:val="single" w:color="auto" w:sz="6" w:space="0"/>
              <w:right w:val="single" w:color="auto" w:sz="6" w:space="0"/>
            </w:tcBorders>
            <w:vAlign w:val="center"/>
          </w:tcPr>
          <w:p w14:paraId="59D66B3E">
            <w:pPr>
              <w:jc w:val="center"/>
              <w:rPr>
                <w:rFonts w:ascii="Times New Roman" w:hAnsi="Times New Roman" w:eastAsia="宋体" w:cs="Times New Roman"/>
              </w:rPr>
            </w:pPr>
            <w:r>
              <w:rPr>
                <w:rFonts w:ascii="Times New Roman" w:hAnsi="Times New Roman" w:eastAsia="宋体" w:cs="Times New Roman"/>
              </w:rPr>
              <w:t>68</w:t>
            </w:r>
          </w:p>
        </w:tc>
        <w:tc>
          <w:tcPr>
            <w:tcW w:w="663" w:type="dxa"/>
            <w:tcBorders>
              <w:top w:val="single" w:color="auto" w:sz="6" w:space="0"/>
              <w:left w:val="single" w:color="auto" w:sz="6" w:space="0"/>
              <w:bottom w:val="single" w:color="auto" w:sz="6" w:space="0"/>
              <w:right w:val="single" w:color="auto" w:sz="6" w:space="0"/>
            </w:tcBorders>
            <w:vAlign w:val="center"/>
          </w:tcPr>
          <w:p w14:paraId="29FB565E">
            <w:pPr>
              <w:jc w:val="center"/>
              <w:rPr>
                <w:rFonts w:ascii="Times New Roman" w:hAnsi="Times New Roman" w:eastAsia="宋体" w:cs="Times New Roman"/>
              </w:rPr>
            </w:pPr>
            <w:r>
              <w:rPr>
                <w:rFonts w:ascii="Times New Roman" w:hAnsi="Times New Roman" w:eastAsia="宋体" w:cs="Times New Roman"/>
              </w:rPr>
              <w:t>66</w:t>
            </w:r>
          </w:p>
        </w:tc>
        <w:tc>
          <w:tcPr>
            <w:tcW w:w="662" w:type="dxa"/>
            <w:tcBorders>
              <w:top w:val="single" w:color="auto" w:sz="6" w:space="0"/>
              <w:left w:val="single" w:color="auto" w:sz="6" w:space="0"/>
              <w:bottom w:val="single" w:color="auto" w:sz="6" w:space="0"/>
              <w:right w:val="single" w:color="auto" w:sz="6" w:space="0"/>
            </w:tcBorders>
            <w:vAlign w:val="center"/>
          </w:tcPr>
          <w:p w14:paraId="736D7B46">
            <w:pPr>
              <w:jc w:val="center"/>
              <w:rPr>
                <w:rFonts w:ascii="Times New Roman" w:hAnsi="Times New Roman" w:eastAsia="宋体" w:cs="Times New Roman"/>
              </w:rPr>
            </w:pPr>
            <w:r>
              <w:rPr>
                <w:rFonts w:ascii="Times New Roman" w:hAnsi="Times New Roman" w:eastAsia="宋体" w:cs="Times New Roman"/>
              </w:rPr>
              <w:t>64</w:t>
            </w:r>
          </w:p>
        </w:tc>
        <w:tc>
          <w:tcPr>
            <w:tcW w:w="663" w:type="dxa"/>
            <w:tcBorders>
              <w:top w:val="single" w:color="auto" w:sz="6" w:space="0"/>
              <w:left w:val="single" w:color="auto" w:sz="6" w:space="0"/>
              <w:bottom w:val="single" w:color="auto" w:sz="6" w:space="0"/>
              <w:right w:val="single" w:color="auto" w:sz="6" w:space="0"/>
            </w:tcBorders>
            <w:vAlign w:val="center"/>
          </w:tcPr>
          <w:p w14:paraId="4310D516">
            <w:pPr>
              <w:jc w:val="center"/>
              <w:rPr>
                <w:rFonts w:ascii="Times New Roman" w:hAnsi="Times New Roman" w:eastAsia="宋体" w:cs="Times New Roman"/>
              </w:rPr>
            </w:pPr>
            <w:r>
              <w:rPr>
                <w:rFonts w:ascii="Times New Roman" w:hAnsi="Times New Roman" w:eastAsia="宋体" w:cs="Times New Roman"/>
              </w:rPr>
              <w:t>62</w:t>
            </w:r>
          </w:p>
        </w:tc>
        <w:tc>
          <w:tcPr>
            <w:tcW w:w="663" w:type="dxa"/>
            <w:tcBorders>
              <w:top w:val="single" w:color="auto" w:sz="6" w:space="0"/>
              <w:left w:val="single" w:color="auto" w:sz="6" w:space="0"/>
              <w:bottom w:val="single" w:color="auto" w:sz="6" w:space="0"/>
              <w:right w:val="single" w:color="auto" w:sz="6" w:space="0"/>
            </w:tcBorders>
            <w:vAlign w:val="center"/>
          </w:tcPr>
          <w:p w14:paraId="5562EFC6">
            <w:pPr>
              <w:jc w:val="center"/>
              <w:rPr>
                <w:rFonts w:ascii="Times New Roman" w:hAnsi="Times New Roman" w:eastAsia="宋体" w:cs="Times New Roman"/>
              </w:rPr>
            </w:pPr>
            <w:r>
              <w:rPr>
                <w:rFonts w:ascii="Times New Roman" w:hAnsi="Times New Roman" w:eastAsia="宋体" w:cs="Times New Roman"/>
              </w:rPr>
              <w:t>60</w:t>
            </w:r>
          </w:p>
        </w:tc>
        <w:tc>
          <w:tcPr>
            <w:tcW w:w="663" w:type="dxa"/>
            <w:tcBorders>
              <w:top w:val="single" w:color="auto" w:sz="6" w:space="0"/>
              <w:left w:val="single" w:color="auto" w:sz="6" w:space="0"/>
              <w:bottom w:val="single" w:color="auto" w:sz="6" w:space="0"/>
              <w:right w:val="thickThinSmallGap" w:color="auto" w:sz="12" w:space="0"/>
            </w:tcBorders>
            <w:vAlign w:val="center"/>
          </w:tcPr>
          <w:p w14:paraId="71570F75">
            <w:pPr>
              <w:jc w:val="center"/>
              <w:rPr>
                <w:rFonts w:ascii="Times New Roman" w:hAnsi="Times New Roman" w:eastAsia="宋体" w:cs="Times New Roman"/>
              </w:rPr>
            </w:pPr>
            <w:r>
              <w:rPr>
                <w:rFonts w:ascii="Times New Roman" w:hAnsi="Times New Roman" w:eastAsia="宋体" w:cs="Times New Roman"/>
              </w:rPr>
              <w:t>58</w:t>
            </w:r>
          </w:p>
        </w:tc>
      </w:tr>
      <w:tr w14:paraId="4C6FCD87">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534" w:type="dxa"/>
            <w:tcBorders>
              <w:top w:val="single" w:color="auto" w:sz="6" w:space="0"/>
              <w:left w:val="thinThickSmallGap" w:color="auto" w:sz="12" w:space="0"/>
              <w:bottom w:val="single" w:color="auto" w:sz="6" w:space="0"/>
              <w:right w:val="single" w:color="auto" w:sz="6" w:space="0"/>
            </w:tcBorders>
            <w:vAlign w:val="center"/>
          </w:tcPr>
          <w:p w14:paraId="70622AA0">
            <w:pPr>
              <w:jc w:val="center"/>
              <w:rPr>
                <w:rFonts w:ascii="Times New Roman" w:hAnsi="Times New Roman" w:eastAsia="宋体" w:cs="Times New Roman"/>
              </w:rPr>
            </w:pPr>
            <w:r>
              <w:rPr>
                <w:rFonts w:ascii="Times New Roman" w:hAnsi="Times New Roman" w:eastAsia="宋体" w:cs="Times New Roman"/>
              </w:rPr>
              <w:t>2</w:t>
            </w:r>
          </w:p>
        </w:tc>
        <w:tc>
          <w:tcPr>
            <w:tcW w:w="1559" w:type="dxa"/>
            <w:tcBorders>
              <w:top w:val="single" w:color="auto" w:sz="6" w:space="0"/>
              <w:left w:val="single" w:color="auto" w:sz="6" w:space="0"/>
              <w:bottom w:val="single" w:color="auto" w:sz="6" w:space="0"/>
              <w:right w:val="single" w:color="auto" w:sz="6" w:space="0"/>
            </w:tcBorders>
            <w:vAlign w:val="center"/>
          </w:tcPr>
          <w:p w14:paraId="0038F566">
            <w:pPr>
              <w:jc w:val="center"/>
              <w:rPr>
                <w:rFonts w:ascii="Times New Roman" w:hAnsi="Times New Roman" w:eastAsia="宋体" w:cs="Times New Roman"/>
              </w:rPr>
            </w:pPr>
            <w:r>
              <w:rPr>
                <w:rFonts w:ascii="Times New Roman" w:hAnsi="Times New Roman" w:eastAsia="宋体" w:cs="Times New Roman"/>
              </w:rPr>
              <w:t>电动挖掘机</w:t>
            </w:r>
          </w:p>
        </w:tc>
        <w:tc>
          <w:tcPr>
            <w:tcW w:w="662" w:type="dxa"/>
            <w:tcBorders>
              <w:top w:val="single" w:color="auto" w:sz="6" w:space="0"/>
              <w:left w:val="single" w:color="auto" w:sz="6" w:space="0"/>
              <w:bottom w:val="single" w:color="auto" w:sz="6" w:space="0"/>
              <w:right w:val="single" w:color="auto" w:sz="6" w:space="0"/>
            </w:tcBorders>
            <w:vAlign w:val="center"/>
          </w:tcPr>
          <w:p w14:paraId="1D2C078A">
            <w:pPr>
              <w:jc w:val="center"/>
              <w:rPr>
                <w:rFonts w:ascii="Times New Roman" w:hAnsi="Times New Roman" w:eastAsia="宋体" w:cs="Times New Roman"/>
              </w:rPr>
            </w:pPr>
            <w:r>
              <w:rPr>
                <w:rFonts w:ascii="Times New Roman" w:hAnsi="Times New Roman" w:eastAsia="宋体" w:cs="Times New Roman"/>
              </w:rPr>
              <w:t>86</w:t>
            </w:r>
          </w:p>
        </w:tc>
        <w:tc>
          <w:tcPr>
            <w:tcW w:w="663" w:type="dxa"/>
            <w:tcBorders>
              <w:top w:val="single" w:color="auto" w:sz="6" w:space="0"/>
              <w:left w:val="single" w:color="auto" w:sz="6" w:space="0"/>
              <w:bottom w:val="single" w:color="auto" w:sz="6" w:space="0"/>
              <w:right w:val="single" w:color="auto" w:sz="6" w:space="0"/>
            </w:tcBorders>
            <w:vAlign w:val="center"/>
          </w:tcPr>
          <w:p w14:paraId="3B82ADB8">
            <w:pPr>
              <w:jc w:val="center"/>
              <w:rPr>
                <w:rFonts w:ascii="Times New Roman" w:hAnsi="Times New Roman" w:eastAsia="宋体" w:cs="Times New Roman"/>
              </w:rPr>
            </w:pPr>
            <w:r>
              <w:rPr>
                <w:rFonts w:ascii="Times New Roman" w:hAnsi="Times New Roman" w:eastAsia="宋体" w:cs="Times New Roman"/>
              </w:rPr>
              <w:t>80</w:t>
            </w:r>
          </w:p>
        </w:tc>
        <w:tc>
          <w:tcPr>
            <w:tcW w:w="663" w:type="dxa"/>
            <w:tcBorders>
              <w:top w:val="single" w:color="auto" w:sz="6" w:space="0"/>
              <w:left w:val="single" w:color="auto" w:sz="6" w:space="0"/>
              <w:bottom w:val="single" w:color="auto" w:sz="6" w:space="0"/>
              <w:right w:val="single" w:color="auto" w:sz="6" w:space="0"/>
            </w:tcBorders>
            <w:vAlign w:val="center"/>
          </w:tcPr>
          <w:p w14:paraId="21275503">
            <w:pPr>
              <w:jc w:val="center"/>
              <w:rPr>
                <w:rFonts w:ascii="Times New Roman" w:hAnsi="Times New Roman" w:eastAsia="宋体" w:cs="Times New Roman"/>
              </w:rPr>
            </w:pPr>
            <w:r>
              <w:rPr>
                <w:rFonts w:ascii="Times New Roman" w:hAnsi="Times New Roman" w:eastAsia="宋体" w:cs="Times New Roman"/>
              </w:rPr>
              <w:t>74</w:t>
            </w:r>
          </w:p>
        </w:tc>
        <w:tc>
          <w:tcPr>
            <w:tcW w:w="662" w:type="dxa"/>
            <w:tcBorders>
              <w:top w:val="single" w:color="auto" w:sz="6" w:space="0"/>
              <w:left w:val="single" w:color="auto" w:sz="6" w:space="0"/>
              <w:bottom w:val="single" w:color="auto" w:sz="6" w:space="0"/>
              <w:right w:val="single" w:color="auto" w:sz="6" w:space="0"/>
            </w:tcBorders>
            <w:vAlign w:val="center"/>
          </w:tcPr>
          <w:p w14:paraId="5999F9C7">
            <w:pPr>
              <w:jc w:val="center"/>
              <w:rPr>
                <w:rFonts w:ascii="Times New Roman" w:hAnsi="Times New Roman" w:eastAsia="宋体" w:cs="Times New Roman"/>
              </w:rPr>
            </w:pPr>
            <w:r>
              <w:rPr>
                <w:rFonts w:ascii="Times New Roman" w:hAnsi="Times New Roman" w:eastAsia="宋体" w:cs="Times New Roman"/>
              </w:rPr>
              <w:t>68</w:t>
            </w:r>
          </w:p>
        </w:tc>
        <w:tc>
          <w:tcPr>
            <w:tcW w:w="663" w:type="dxa"/>
            <w:tcBorders>
              <w:top w:val="single" w:color="auto" w:sz="6" w:space="0"/>
              <w:left w:val="single" w:color="auto" w:sz="6" w:space="0"/>
              <w:bottom w:val="single" w:color="auto" w:sz="6" w:space="0"/>
              <w:right w:val="single" w:color="auto" w:sz="6" w:space="0"/>
            </w:tcBorders>
            <w:vAlign w:val="center"/>
          </w:tcPr>
          <w:p w14:paraId="1A47FF62">
            <w:pPr>
              <w:jc w:val="center"/>
              <w:rPr>
                <w:rFonts w:ascii="Times New Roman" w:hAnsi="Times New Roman" w:eastAsia="宋体" w:cs="Times New Roman"/>
              </w:rPr>
            </w:pPr>
            <w:r>
              <w:rPr>
                <w:rFonts w:ascii="Times New Roman" w:hAnsi="Times New Roman" w:eastAsia="宋体" w:cs="Times New Roman"/>
              </w:rPr>
              <w:t>64</w:t>
            </w:r>
          </w:p>
        </w:tc>
        <w:tc>
          <w:tcPr>
            <w:tcW w:w="663" w:type="dxa"/>
            <w:tcBorders>
              <w:top w:val="single" w:color="auto" w:sz="6" w:space="0"/>
              <w:left w:val="single" w:color="auto" w:sz="6" w:space="0"/>
              <w:bottom w:val="single" w:color="auto" w:sz="6" w:space="0"/>
              <w:right w:val="single" w:color="auto" w:sz="6" w:space="0"/>
            </w:tcBorders>
            <w:vAlign w:val="center"/>
          </w:tcPr>
          <w:p w14:paraId="46BD2CA8">
            <w:pPr>
              <w:jc w:val="center"/>
              <w:rPr>
                <w:rFonts w:ascii="Times New Roman" w:hAnsi="Times New Roman" w:eastAsia="宋体" w:cs="Times New Roman"/>
              </w:rPr>
            </w:pPr>
            <w:r>
              <w:rPr>
                <w:rFonts w:ascii="Times New Roman" w:hAnsi="Times New Roman" w:eastAsia="宋体" w:cs="Times New Roman"/>
              </w:rPr>
              <w:t>62</w:t>
            </w:r>
          </w:p>
        </w:tc>
        <w:tc>
          <w:tcPr>
            <w:tcW w:w="662" w:type="dxa"/>
            <w:tcBorders>
              <w:top w:val="single" w:color="auto" w:sz="6" w:space="0"/>
              <w:left w:val="single" w:color="auto" w:sz="6" w:space="0"/>
              <w:bottom w:val="single" w:color="auto" w:sz="6" w:space="0"/>
              <w:right w:val="single" w:color="auto" w:sz="6" w:space="0"/>
            </w:tcBorders>
            <w:vAlign w:val="center"/>
          </w:tcPr>
          <w:p w14:paraId="161F414E">
            <w:pPr>
              <w:jc w:val="center"/>
              <w:rPr>
                <w:rFonts w:ascii="Times New Roman" w:hAnsi="Times New Roman" w:eastAsia="宋体" w:cs="Times New Roman"/>
              </w:rPr>
            </w:pPr>
            <w:r>
              <w:rPr>
                <w:rFonts w:ascii="Times New Roman" w:hAnsi="Times New Roman" w:eastAsia="宋体" w:cs="Times New Roman"/>
              </w:rPr>
              <w:t>60</w:t>
            </w:r>
          </w:p>
        </w:tc>
        <w:tc>
          <w:tcPr>
            <w:tcW w:w="663" w:type="dxa"/>
            <w:tcBorders>
              <w:top w:val="single" w:color="auto" w:sz="6" w:space="0"/>
              <w:left w:val="single" w:color="auto" w:sz="6" w:space="0"/>
              <w:bottom w:val="single" w:color="auto" w:sz="6" w:space="0"/>
              <w:right w:val="single" w:color="auto" w:sz="6" w:space="0"/>
            </w:tcBorders>
            <w:vAlign w:val="center"/>
          </w:tcPr>
          <w:p w14:paraId="4755FEA1">
            <w:pPr>
              <w:jc w:val="center"/>
              <w:rPr>
                <w:rFonts w:ascii="Times New Roman" w:hAnsi="Times New Roman" w:eastAsia="宋体" w:cs="Times New Roman"/>
              </w:rPr>
            </w:pPr>
            <w:r>
              <w:rPr>
                <w:rFonts w:ascii="Times New Roman" w:hAnsi="Times New Roman" w:eastAsia="宋体" w:cs="Times New Roman"/>
              </w:rPr>
              <w:t>58</w:t>
            </w:r>
          </w:p>
        </w:tc>
        <w:tc>
          <w:tcPr>
            <w:tcW w:w="663" w:type="dxa"/>
            <w:tcBorders>
              <w:top w:val="single" w:color="auto" w:sz="6" w:space="0"/>
              <w:left w:val="single" w:color="auto" w:sz="6" w:space="0"/>
              <w:bottom w:val="single" w:color="auto" w:sz="6" w:space="0"/>
              <w:right w:val="single" w:color="auto" w:sz="6" w:space="0"/>
            </w:tcBorders>
            <w:vAlign w:val="center"/>
          </w:tcPr>
          <w:p w14:paraId="6326FAC7">
            <w:pPr>
              <w:jc w:val="center"/>
              <w:rPr>
                <w:rFonts w:ascii="Times New Roman" w:hAnsi="Times New Roman" w:eastAsia="宋体" w:cs="Times New Roman"/>
              </w:rPr>
            </w:pPr>
            <w:r>
              <w:rPr>
                <w:rFonts w:ascii="Times New Roman" w:hAnsi="Times New Roman" w:eastAsia="宋体" w:cs="Times New Roman"/>
              </w:rPr>
              <w:t>56</w:t>
            </w:r>
          </w:p>
        </w:tc>
        <w:tc>
          <w:tcPr>
            <w:tcW w:w="663" w:type="dxa"/>
            <w:tcBorders>
              <w:top w:val="single" w:color="auto" w:sz="6" w:space="0"/>
              <w:left w:val="single" w:color="auto" w:sz="6" w:space="0"/>
              <w:bottom w:val="single" w:color="auto" w:sz="6" w:space="0"/>
              <w:right w:val="thickThinSmallGap" w:color="auto" w:sz="12" w:space="0"/>
            </w:tcBorders>
            <w:vAlign w:val="center"/>
          </w:tcPr>
          <w:p w14:paraId="520A7A32">
            <w:pPr>
              <w:jc w:val="center"/>
              <w:rPr>
                <w:rFonts w:ascii="Times New Roman" w:hAnsi="Times New Roman" w:eastAsia="宋体" w:cs="Times New Roman"/>
              </w:rPr>
            </w:pPr>
            <w:r>
              <w:rPr>
                <w:rFonts w:ascii="Times New Roman" w:hAnsi="Times New Roman" w:eastAsia="宋体" w:cs="Times New Roman"/>
              </w:rPr>
              <w:t>54</w:t>
            </w:r>
          </w:p>
        </w:tc>
      </w:tr>
      <w:tr w14:paraId="243AA1F3">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534" w:type="dxa"/>
            <w:tcBorders>
              <w:top w:val="single" w:color="auto" w:sz="6" w:space="0"/>
              <w:left w:val="thinThickSmallGap" w:color="auto" w:sz="12" w:space="0"/>
              <w:bottom w:val="single" w:color="auto" w:sz="6" w:space="0"/>
              <w:right w:val="single" w:color="auto" w:sz="6" w:space="0"/>
            </w:tcBorders>
            <w:vAlign w:val="center"/>
          </w:tcPr>
          <w:p w14:paraId="42973213">
            <w:pPr>
              <w:jc w:val="center"/>
              <w:rPr>
                <w:rFonts w:ascii="Times New Roman" w:hAnsi="Times New Roman" w:eastAsia="宋体" w:cs="Times New Roman"/>
              </w:rPr>
            </w:pPr>
            <w:r>
              <w:rPr>
                <w:rFonts w:ascii="Times New Roman" w:hAnsi="Times New Roman" w:eastAsia="宋体" w:cs="Times New Roman"/>
              </w:rPr>
              <w:t>3</w:t>
            </w:r>
          </w:p>
        </w:tc>
        <w:tc>
          <w:tcPr>
            <w:tcW w:w="1559" w:type="dxa"/>
            <w:tcBorders>
              <w:top w:val="single" w:color="auto" w:sz="6" w:space="0"/>
              <w:left w:val="single" w:color="auto" w:sz="6" w:space="0"/>
              <w:bottom w:val="single" w:color="auto" w:sz="6" w:space="0"/>
              <w:right w:val="single" w:color="auto" w:sz="6" w:space="0"/>
            </w:tcBorders>
            <w:vAlign w:val="center"/>
          </w:tcPr>
          <w:p w14:paraId="7AB8F2D9">
            <w:pPr>
              <w:jc w:val="center"/>
              <w:rPr>
                <w:rFonts w:ascii="Times New Roman" w:hAnsi="Times New Roman" w:eastAsia="宋体" w:cs="Times New Roman"/>
              </w:rPr>
            </w:pPr>
            <w:r>
              <w:rPr>
                <w:rFonts w:ascii="Times New Roman" w:hAnsi="Times New Roman" w:eastAsia="宋体" w:cs="Times New Roman"/>
              </w:rPr>
              <w:t>轮式装载机</w:t>
            </w:r>
          </w:p>
        </w:tc>
        <w:tc>
          <w:tcPr>
            <w:tcW w:w="662" w:type="dxa"/>
            <w:tcBorders>
              <w:top w:val="single" w:color="auto" w:sz="6" w:space="0"/>
              <w:left w:val="single" w:color="auto" w:sz="6" w:space="0"/>
              <w:bottom w:val="single" w:color="auto" w:sz="6" w:space="0"/>
              <w:right w:val="single" w:color="auto" w:sz="6" w:space="0"/>
            </w:tcBorders>
            <w:vAlign w:val="center"/>
          </w:tcPr>
          <w:p w14:paraId="1B69A443">
            <w:pPr>
              <w:jc w:val="center"/>
              <w:rPr>
                <w:rFonts w:ascii="Times New Roman" w:hAnsi="Times New Roman" w:eastAsia="宋体" w:cs="Times New Roman"/>
              </w:rPr>
            </w:pPr>
            <w:r>
              <w:rPr>
                <w:rFonts w:ascii="Times New Roman" w:hAnsi="Times New Roman" w:eastAsia="宋体" w:cs="Times New Roman"/>
              </w:rPr>
              <w:t>95</w:t>
            </w:r>
          </w:p>
        </w:tc>
        <w:tc>
          <w:tcPr>
            <w:tcW w:w="663" w:type="dxa"/>
            <w:tcBorders>
              <w:top w:val="single" w:color="auto" w:sz="6" w:space="0"/>
              <w:left w:val="single" w:color="auto" w:sz="6" w:space="0"/>
              <w:bottom w:val="single" w:color="auto" w:sz="6" w:space="0"/>
              <w:right w:val="single" w:color="auto" w:sz="6" w:space="0"/>
            </w:tcBorders>
            <w:vAlign w:val="center"/>
          </w:tcPr>
          <w:p w14:paraId="62C30F7D">
            <w:pPr>
              <w:jc w:val="center"/>
              <w:rPr>
                <w:rFonts w:ascii="Times New Roman" w:hAnsi="Times New Roman" w:eastAsia="宋体" w:cs="Times New Roman"/>
              </w:rPr>
            </w:pPr>
            <w:r>
              <w:rPr>
                <w:rFonts w:ascii="Times New Roman" w:hAnsi="Times New Roman" w:eastAsia="宋体" w:cs="Times New Roman"/>
              </w:rPr>
              <w:t>89</w:t>
            </w:r>
          </w:p>
        </w:tc>
        <w:tc>
          <w:tcPr>
            <w:tcW w:w="663" w:type="dxa"/>
            <w:tcBorders>
              <w:top w:val="single" w:color="auto" w:sz="6" w:space="0"/>
              <w:left w:val="single" w:color="auto" w:sz="6" w:space="0"/>
              <w:bottom w:val="single" w:color="auto" w:sz="6" w:space="0"/>
              <w:right w:val="single" w:color="auto" w:sz="6" w:space="0"/>
            </w:tcBorders>
            <w:vAlign w:val="center"/>
          </w:tcPr>
          <w:p w14:paraId="7ADA9676">
            <w:pPr>
              <w:jc w:val="center"/>
              <w:rPr>
                <w:rFonts w:ascii="Times New Roman" w:hAnsi="Times New Roman" w:eastAsia="宋体" w:cs="Times New Roman"/>
              </w:rPr>
            </w:pPr>
            <w:r>
              <w:rPr>
                <w:rFonts w:ascii="Times New Roman" w:hAnsi="Times New Roman" w:eastAsia="宋体" w:cs="Times New Roman"/>
              </w:rPr>
              <w:t>83</w:t>
            </w:r>
          </w:p>
        </w:tc>
        <w:tc>
          <w:tcPr>
            <w:tcW w:w="662" w:type="dxa"/>
            <w:tcBorders>
              <w:top w:val="single" w:color="auto" w:sz="6" w:space="0"/>
              <w:left w:val="single" w:color="auto" w:sz="6" w:space="0"/>
              <w:bottom w:val="single" w:color="auto" w:sz="6" w:space="0"/>
              <w:right w:val="single" w:color="auto" w:sz="6" w:space="0"/>
            </w:tcBorders>
            <w:vAlign w:val="center"/>
          </w:tcPr>
          <w:p w14:paraId="14EDC142">
            <w:pPr>
              <w:jc w:val="center"/>
              <w:rPr>
                <w:rFonts w:ascii="Times New Roman" w:hAnsi="Times New Roman" w:eastAsia="宋体" w:cs="Times New Roman"/>
              </w:rPr>
            </w:pPr>
            <w:r>
              <w:rPr>
                <w:rFonts w:ascii="Times New Roman" w:hAnsi="Times New Roman" w:eastAsia="宋体" w:cs="Times New Roman"/>
              </w:rPr>
              <w:t>77</w:t>
            </w:r>
          </w:p>
        </w:tc>
        <w:tc>
          <w:tcPr>
            <w:tcW w:w="663" w:type="dxa"/>
            <w:tcBorders>
              <w:top w:val="single" w:color="auto" w:sz="6" w:space="0"/>
              <w:left w:val="single" w:color="auto" w:sz="6" w:space="0"/>
              <w:bottom w:val="single" w:color="auto" w:sz="6" w:space="0"/>
              <w:right w:val="single" w:color="auto" w:sz="6" w:space="0"/>
            </w:tcBorders>
            <w:vAlign w:val="center"/>
          </w:tcPr>
          <w:p w14:paraId="074C7E63">
            <w:pPr>
              <w:jc w:val="center"/>
              <w:rPr>
                <w:rFonts w:ascii="Times New Roman" w:hAnsi="Times New Roman" w:eastAsia="宋体" w:cs="Times New Roman"/>
              </w:rPr>
            </w:pPr>
            <w:r>
              <w:rPr>
                <w:rFonts w:ascii="Times New Roman" w:hAnsi="Times New Roman" w:eastAsia="宋体" w:cs="Times New Roman"/>
              </w:rPr>
              <w:t>73</w:t>
            </w:r>
          </w:p>
        </w:tc>
        <w:tc>
          <w:tcPr>
            <w:tcW w:w="663" w:type="dxa"/>
            <w:tcBorders>
              <w:top w:val="single" w:color="auto" w:sz="6" w:space="0"/>
              <w:left w:val="single" w:color="auto" w:sz="6" w:space="0"/>
              <w:bottom w:val="single" w:color="auto" w:sz="6" w:space="0"/>
              <w:right w:val="single" w:color="auto" w:sz="6" w:space="0"/>
            </w:tcBorders>
            <w:vAlign w:val="center"/>
          </w:tcPr>
          <w:p w14:paraId="1ED54FF2">
            <w:pPr>
              <w:jc w:val="center"/>
              <w:rPr>
                <w:rFonts w:ascii="Times New Roman" w:hAnsi="Times New Roman" w:eastAsia="宋体" w:cs="Times New Roman"/>
              </w:rPr>
            </w:pPr>
            <w:r>
              <w:rPr>
                <w:rFonts w:ascii="Times New Roman" w:hAnsi="Times New Roman" w:eastAsia="宋体" w:cs="Times New Roman"/>
              </w:rPr>
              <w:t>71</w:t>
            </w:r>
          </w:p>
        </w:tc>
        <w:tc>
          <w:tcPr>
            <w:tcW w:w="662" w:type="dxa"/>
            <w:tcBorders>
              <w:top w:val="single" w:color="auto" w:sz="6" w:space="0"/>
              <w:left w:val="single" w:color="auto" w:sz="6" w:space="0"/>
              <w:bottom w:val="single" w:color="auto" w:sz="6" w:space="0"/>
              <w:right w:val="single" w:color="auto" w:sz="6" w:space="0"/>
            </w:tcBorders>
            <w:vAlign w:val="center"/>
          </w:tcPr>
          <w:p w14:paraId="10BE42B2">
            <w:pPr>
              <w:jc w:val="center"/>
              <w:rPr>
                <w:rFonts w:ascii="Times New Roman" w:hAnsi="Times New Roman" w:eastAsia="宋体" w:cs="Times New Roman"/>
              </w:rPr>
            </w:pPr>
            <w:r>
              <w:rPr>
                <w:rFonts w:ascii="Times New Roman" w:hAnsi="Times New Roman" w:eastAsia="宋体" w:cs="Times New Roman"/>
              </w:rPr>
              <w:t>69</w:t>
            </w:r>
          </w:p>
        </w:tc>
        <w:tc>
          <w:tcPr>
            <w:tcW w:w="663" w:type="dxa"/>
            <w:tcBorders>
              <w:top w:val="single" w:color="auto" w:sz="6" w:space="0"/>
              <w:left w:val="single" w:color="auto" w:sz="6" w:space="0"/>
              <w:bottom w:val="single" w:color="auto" w:sz="6" w:space="0"/>
              <w:right w:val="single" w:color="auto" w:sz="6" w:space="0"/>
            </w:tcBorders>
            <w:vAlign w:val="center"/>
          </w:tcPr>
          <w:p w14:paraId="570E3F0D">
            <w:pPr>
              <w:jc w:val="center"/>
              <w:rPr>
                <w:rFonts w:ascii="Times New Roman" w:hAnsi="Times New Roman" w:eastAsia="宋体" w:cs="Times New Roman"/>
              </w:rPr>
            </w:pPr>
            <w:r>
              <w:rPr>
                <w:rFonts w:ascii="Times New Roman" w:hAnsi="Times New Roman" w:eastAsia="宋体" w:cs="Times New Roman"/>
              </w:rPr>
              <w:t>67</w:t>
            </w:r>
          </w:p>
        </w:tc>
        <w:tc>
          <w:tcPr>
            <w:tcW w:w="663" w:type="dxa"/>
            <w:tcBorders>
              <w:top w:val="single" w:color="auto" w:sz="6" w:space="0"/>
              <w:left w:val="single" w:color="auto" w:sz="6" w:space="0"/>
              <w:bottom w:val="single" w:color="auto" w:sz="6" w:space="0"/>
              <w:right w:val="single" w:color="auto" w:sz="6" w:space="0"/>
            </w:tcBorders>
            <w:vAlign w:val="center"/>
          </w:tcPr>
          <w:p w14:paraId="4581C316">
            <w:pPr>
              <w:jc w:val="center"/>
              <w:rPr>
                <w:rFonts w:ascii="Times New Roman" w:hAnsi="Times New Roman" w:eastAsia="宋体" w:cs="Times New Roman"/>
              </w:rPr>
            </w:pPr>
            <w:r>
              <w:rPr>
                <w:rFonts w:ascii="Times New Roman" w:hAnsi="Times New Roman" w:eastAsia="宋体" w:cs="Times New Roman"/>
              </w:rPr>
              <w:t>65</w:t>
            </w:r>
          </w:p>
        </w:tc>
        <w:tc>
          <w:tcPr>
            <w:tcW w:w="663" w:type="dxa"/>
            <w:tcBorders>
              <w:top w:val="single" w:color="auto" w:sz="6" w:space="0"/>
              <w:left w:val="single" w:color="auto" w:sz="6" w:space="0"/>
              <w:bottom w:val="single" w:color="auto" w:sz="6" w:space="0"/>
              <w:right w:val="thickThinSmallGap" w:color="auto" w:sz="12" w:space="0"/>
            </w:tcBorders>
            <w:vAlign w:val="center"/>
          </w:tcPr>
          <w:p w14:paraId="225A2C5B">
            <w:pPr>
              <w:jc w:val="center"/>
              <w:rPr>
                <w:rFonts w:ascii="Times New Roman" w:hAnsi="Times New Roman" w:eastAsia="宋体" w:cs="Times New Roman"/>
              </w:rPr>
            </w:pPr>
            <w:r>
              <w:rPr>
                <w:rFonts w:ascii="Times New Roman" w:hAnsi="Times New Roman" w:eastAsia="宋体" w:cs="Times New Roman"/>
              </w:rPr>
              <w:t>63</w:t>
            </w:r>
          </w:p>
        </w:tc>
      </w:tr>
      <w:tr w14:paraId="4E0FF200">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534" w:type="dxa"/>
            <w:tcBorders>
              <w:top w:val="single" w:color="auto" w:sz="6" w:space="0"/>
              <w:left w:val="thinThickSmallGap" w:color="auto" w:sz="12" w:space="0"/>
              <w:bottom w:val="single" w:color="auto" w:sz="6" w:space="0"/>
              <w:right w:val="single" w:color="auto" w:sz="6" w:space="0"/>
            </w:tcBorders>
            <w:vAlign w:val="center"/>
          </w:tcPr>
          <w:p w14:paraId="3A17A712">
            <w:pPr>
              <w:jc w:val="center"/>
              <w:rPr>
                <w:rFonts w:ascii="Times New Roman" w:hAnsi="Times New Roman" w:eastAsia="宋体" w:cs="Times New Roman"/>
              </w:rPr>
            </w:pPr>
            <w:r>
              <w:rPr>
                <w:rFonts w:ascii="Times New Roman" w:hAnsi="Times New Roman" w:eastAsia="宋体" w:cs="Times New Roman"/>
              </w:rPr>
              <w:t>4</w:t>
            </w:r>
          </w:p>
        </w:tc>
        <w:tc>
          <w:tcPr>
            <w:tcW w:w="1559" w:type="dxa"/>
            <w:tcBorders>
              <w:top w:val="single" w:color="auto" w:sz="6" w:space="0"/>
              <w:left w:val="single" w:color="auto" w:sz="6" w:space="0"/>
              <w:bottom w:val="single" w:color="auto" w:sz="6" w:space="0"/>
              <w:right w:val="single" w:color="auto" w:sz="6" w:space="0"/>
            </w:tcBorders>
            <w:vAlign w:val="center"/>
          </w:tcPr>
          <w:p w14:paraId="4EF90FCA">
            <w:pPr>
              <w:jc w:val="center"/>
              <w:rPr>
                <w:rFonts w:ascii="Times New Roman" w:hAnsi="Times New Roman" w:eastAsia="宋体" w:cs="Times New Roman"/>
              </w:rPr>
            </w:pPr>
            <w:r>
              <w:rPr>
                <w:rFonts w:ascii="Times New Roman" w:hAnsi="Times New Roman" w:eastAsia="宋体" w:cs="Times New Roman"/>
              </w:rPr>
              <w:t>推土机</w:t>
            </w:r>
          </w:p>
        </w:tc>
        <w:tc>
          <w:tcPr>
            <w:tcW w:w="662" w:type="dxa"/>
            <w:tcBorders>
              <w:top w:val="single" w:color="auto" w:sz="6" w:space="0"/>
              <w:left w:val="single" w:color="auto" w:sz="6" w:space="0"/>
              <w:bottom w:val="single" w:color="auto" w:sz="6" w:space="0"/>
              <w:right w:val="single" w:color="auto" w:sz="6" w:space="0"/>
            </w:tcBorders>
            <w:vAlign w:val="center"/>
          </w:tcPr>
          <w:p w14:paraId="0C89C92F">
            <w:pPr>
              <w:jc w:val="center"/>
              <w:rPr>
                <w:rFonts w:ascii="Times New Roman" w:hAnsi="Times New Roman" w:eastAsia="宋体" w:cs="Times New Roman"/>
              </w:rPr>
            </w:pPr>
            <w:r>
              <w:rPr>
                <w:rFonts w:ascii="Times New Roman" w:hAnsi="Times New Roman" w:eastAsia="宋体" w:cs="Times New Roman"/>
              </w:rPr>
              <w:t>88</w:t>
            </w:r>
          </w:p>
        </w:tc>
        <w:tc>
          <w:tcPr>
            <w:tcW w:w="663" w:type="dxa"/>
            <w:tcBorders>
              <w:top w:val="single" w:color="auto" w:sz="6" w:space="0"/>
              <w:left w:val="single" w:color="auto" w:sz="6" w:space="0"/>
              <w:bottom w:val="single" w:color="auto" w:sz="6" w:space="0"/>
              <w:right w:val="single" w:color="auto" w:sz="6" w:space="0"/>
            </w:tcBorders>
            <w:vAlign w:val="center"/>
          </w:tcPr>
          <w:p w14:paraId="4B062BB0">
            <w:pPr>
              <w:jc w:val="center"/>
              <w:rPr>
                <w:rFonts w:ascii="Times New Roman" w:hAnsi="Times New Roman" w:eastAsia="宋体" w:cs="Times New Roman"/>
              </w:rPr>
            </w:pPr>
            <w:r>
              <w:rPr>
                <w:rFonts w:ascii="Times New Roman" w:hAnsi="Times New Roman" w:eastAsia="宋体" w:cs="Times New Roman"/>
              </w:rPr>
              <w:t>82</w:t>
            </w:r>
          </w:p>
        </w:tc>
        <w:tc>
          <w:tcPr>
            <w:tcW w:w="663" w:type="dxa"/>
            <w:tcBorders>
              <w:top w:val="single" w:color="auto" w:sz="6" w:space="0"/>
              <w:left w:val="single" w:color="auto" w:sz="6" w:space="0"/>
              <w:bottom w:val="single" w:color="auto" w:sz="6" w:space="0"/>
              <w:right w:val="single" w:color="auto" w:sz="6" w:space="0"/>
            </w:tcBorders>
            <w:vAlign w:val="center"/>
          </w:tcPr>
          <w:p w14:paraId="4A3D5D27">
            <w:pPr>
              <w:jc w:val="center"/>
              <w:rPr>
                <w:rFonts w:ascii="Times New Roman" w:hAnsi="Times New Roman" w:eastAsia="宋体" w:cs="Times New Roman"/>
              </w:rPr>
            </w:pPr>
            <w:r>
              <w:rPr>
                <w:rFonts w:ascii="Times New Roman" w:hAnsi="Times New Roman" w:eastAsia="宋体" w:cs="Times New Roman"/>
              </w:rPr>
              <w:t>76</w:t>
            </w:r>
          </w:p>
        </w:tc>
        <w:tc>
          <w:tcPr>
            <w:tcW w:w="662" w:type="dxa"/>
            <w:tcBorders>
              <w:top w:val="single" w:color="auto" w:sz="6" w:space="0"/>
              <w:left w:val="single" w:color="auto" w:sz="6" w:space="0"/>
              <w:bottom w:val="single" w:color="auto" w:sz="6" w:space="0"/>
              <w:right w:val="single" w:color="auto" w:sz="6" w:space="0"/>
            </w:tcBorders>
            <w:vAlign w:val="center"/>
          </w:tcPr>
          <w:p w14:paraId="74E8DDFC">
            <w:pPr>
              <w:jc w:val="center"/>
              <w:rPr>
                <w:rFonts w:ascii="Times New Roman" w:hAnsi="Times New Roman" w:eastAsia="宋体" w:cs="Times New Roman"/>
              </w:rPr>
            </w:pPr>
            <w:r>
              <w:rPr>
                <w:rFonts w:ascii="Times New Roman" w:hAnsi="Times New Roman" w:eastAsia="宋体" w:cs="Times New Roman"/>
              </w:rPr>
              <w:t>70</w:t>
            </w:r>
          </w:p>
        </w:tc>
        <w:tc>
          <w:tcPr>
            <w:tcW w:w="663" w:type="dxa"/>
            <w:tcBorders>
              <w:top w:val="single" w:color="auto" w:sz="6" w:space="0"/>
              <w:left w:val="single" w:color="auto" w:sz="6" w:space="0"/>
              <w:bottom w:val="single" w:color="auto" w:sz="6" w:space="0"/>
              <w:right w:val="single" w:color="auto" w:sz="6" w:space="0"/>
            </w:tcBorders>
            <w:vAlign w:val="center"/>
          </w:tcPr>
          <w:p w14:paraId="787D902A">
            <w:pPr>
              <w:jc w:val="center"/>
              <w:rPr>
                <w:rFonts w:ascii="Times New Roman" w:hAnsi="Times New Roman" w:eastAsia="宋体" w:cs="Times New Roman"/>
              </w:rPr>
            </w:pPr>
            <w:r>
              <w:rPr>
                <w:rFonts w:ascii="Times New Roman" w:hAnsi="Times New Roman" w:eastAsia="宋体" w:cs="Times New Roman"/>
              </w:rPr>
              <w:t>66</w:t>
            </w:r>
          </w:p>
        </w:tc>
        <w:tc>
          <w:tcPr>
            <w:tcW w:w="663" w:type="dxa"/>
            <w:tcBorders>
              <w:top w:val="single" w:color="auto" w:sz="6" w:space="0"/>
              <w:left w:val="single" w:color="auto" w:sz="6" w:space="0"/>
              <w:bottom w:val="single" w:color="auto" w:sz="6" w:space="0"/>
              <w:right w:val="single" w:color="auto" w:sz="6" w:space="0"/>
            </w:tcBorders>
            <w:vAlign w:val="center"/>
          </w:tcPr>
          <w:p w14:paraId="24B9FFF6">
            <w:pPr>
              <w:jc w:val="center"/>
              <w:rPr>
                <w:rFonts w:ascii="Times New Roman" w:hAnsi="Times New Roman" w:eastAsia="宋体" w:cs="Times New Roman"/>
              </w:rPr>
            </w:pPr>
            <w:r>
              <w:rPr>
                <w:rFonts w:ascii="Times New Roman" w:hAnsi="Times New Roman" w:eastAsia="宋体" w:cs="Times New Roman"/>
              </w:rPr>
              <w:t>64</w:t>
            </w:r>
          </w:p>
        </w:tc>
        <w:tc>
          <w:tcPr>
            <w:tcW w:w="662" w:type="dxa"/>
            <w:tcBorders>
              <w:top w:val="single" w:color="auto" w:sz="6" w:space="0"/>
              <w:left w:val="single" w:color="auto" w:sz="6" w:space="0"/>
              <w:bottom w:val="single" w:color="auto" w:sz="6" w:space="0"/>
              <w:right w:val="single" w:color="auto" w:sz="6" w:space="0"/>
            </w:tcBorders>
            <w:vAlign w:val="center"/>
          </w:tcPr>
          <w:p w14:paraId="0FAAFEBF">
            <w:pPr>
              <w:jc w:val="center"/>
              <w:rPr>
                <w:rFonts w:ascii="Times New Roman" w:hAnsi="Times New Roman" w:eastAsia="宋体" w:cs="Times New Roman"/>
              </w:rPr>
            </w:pPr>
            <w:r>
              <w:rPr>
                <w:rFonts w:ascii="Times New Roman" w:hAnsi="Times New Roman" w:eastAsia="宋体" w:cs="Times New Roman"/>
              </w:rPr>
              <w:t>62</w:t>
            </w:r>
          </w:p>
        </w:tc>
        <w:tc>
          <w:tcPr>
            <w:tcW w:w="663" w:type="dxa"/>
            <w:tcBorders>
              <w:top w:val="single" w:color="auto" w:sz="6" w:space="0"/>
              <w:left w:val="single" w:color="auto" w:sz="6" w:space="0"/>
              <w:bottom w:val="single" w:color="auto" w:sz="6" w:space="0"/>
              <w:right w:val="single" w:color="auto" w:sz="6" w:space="0"/>
            </w:tcBorders>
            <w:vAlign w:val="center"/>
          </w:tcPr>
          <w:p w14:paraId="345F18F0">
            <w:pPr>
              <w:jc w:val="center"/>
              <w:rPr>
                <w:rFonts w:ascii="Times New Roman" w:hAnsi="Times New Roman" w:eastAsia="宋体" w:cs="Times New Roman"/>
              </w:rPr>
            </w:pPr>
            <w:r>
              <w:rPr>
                <w:rFonts w:ascii="Times New Roman" w:hAnsi="Times New Roman" w:eastAsia="宋体" w:cs="Times New Roman"/>
              </w:rPr>
              <w:t>60</w:t>
            </w:r>
          </w:p>
        </w:tc>
        <w:tc>
          <w:tcPr>
            <w:tcW w:w="663" w:type="dxa"/>
            <w:tcBorders>
              <w:top w:val="single" w:color="auto" w:sz="6" w:space="0"/>
              <w:left w:val="single" w:color="auto" w:sz="6" w:space="0"/>
              <w:bottom w:val="single" w:color="auto" w:sz="6" w:space="0"/>
              <w:right w:val="single" w:color="auto" w:sz="6" w:space="0"/>
            </w:tcBorders>
            <w:vAlign w:val="center"/>
          </w:tcPr>
          <w:p w14:paraId="3EA2DE5E">
            <w:pPr>
              <w:jc w:val="center"/>
              <w:rPr>
                <w:rFonts w:ascii="Times New Roman" w:hAnsi="Times New Roman" w:eastAsia="宋体" w:cs="Times New Roman"/>
              </w:rPr>
            </w:pPr>
            <w:r>
              <w:rPr>
                <w:rFonts w:ascii="Times New Roman" w:hAnsi="Times New Roman" w:eastAsia="宋体" w:cs="Times New Roman"/>
              </w:rPr>
              <w:t>58</w:t>
            </w:r>
          </w:p>
        </w:tc>
        <w:tc>
          <w:tcPr>
            <w:tcW w:w="663" w:type="dxa"/>
            <w:tcBorders>
              <w:top w:val="single" w:color="auto" w:sz="6" w:space="0"/>
              <w:left w:val="single" w:color="auto" w:sz="6" w:space="0"/>
              <w:bottom w:val="single" w:color="auto" w:sz="6" w:space="0"/>
              <w:right w:val="thickThinSmallGap" w:color="auto" w:sz="12" w:space="0"/>
            </w:tcBorders>
            <w:vAlign w:val="center"/>
          </w:tcPr>
          <w:p w14:paraId="538F786F">
            <w:pPr>
              <w:jc w:val="center"/>
              <w:rPr>
                <w:rFonts w:ascii="Times New Roman" w:hAnsi="Times New Roman" w:eastAsia="宋体" w:cs="Times New Roman"/>
              </w:rPr>
            </w:pPr>
            <w:r>
              <w:rPr>
                <w:rFonts w:ascii="Times New Roman" w:hAnsi="Times New Roman" w:eastAsia="宋体" w:cs="Times New Roman"/>
              </w:rPr>
              <w:t>56</w:t>
            </w:r>
          </w:p>
        </w:tc>
      </w:tr>
      <w:tr w14:paraId="4C33F072">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534" w:type="dxa"/>
            <w:tcBorders>
              <w:top w:val="single" w:color="auto" w:sz="6" w:space="0"/>
              <w:left w:val="thinThickSmallGap" w:color="auto" w:sz="12" w:space="0"/>
              <w:bottom w:val="single" w:color="auto" w:sz="6" w:space="0"/>
              <w:right w:val="single" w:color="auto" w:sz="6" w:space="0"/>
            </w:tcBorders>
            <w:vAlign w:val="center"/>
          </w:tcPr>
          <w:p w14:paraId="770F686D">
            <w:pPr>
              <w:jc w:val="center"/>
              <w:rPr>
                <w:rFonts w:ascii="Times New Roman" w:hAnsi="Times New Roman" w:eastAsia="宋体" w:cs="Times New Roman"/>
              </w:rPr>
            </w:pPr>
            <w:r>
              <w:rPr>
                <w:rFonts w:ascii="Times New Roman" w:hAnsi="Times New Roman" w:eastAsia="宋体" w:cs="Times New Roman"/>
              </w:rPr>
              <w:t>5</w:t>
            </w:r>
          </w:p>
        </w:tc>
        <w:tc>
          <w:tcPr>
            <w:tcW w:w="1559" w:type="dxa"/>
            <w:tcBorders>
              <w:top w:val="single" w:color="auto" w:sz="6" w:space="0"/>
              <w:left w:val="single" w:color="auto" w:sz="6" w:space="0"/>
              <w:bottom w:val="single" w:color="auto" w:sz="6" w:space="0"/>
              <w:right w:val="single" w:color="auto" w:sz="6" w:space="0"/>
            </w:tcBorders>
            <w:vAlign w:val="center"/>
          </w:tcPr>
          <w:p w14:paraId="58D14D84">
            <w:pPr>
              <w:jc w:val="center"/>
              <w:rPr>
                <w:rFonts w:ascii="Times New Roman" w:hAnsi="Times New Roman" w:eastAsia="宋体" w:cs="Times New Roman"/>
              </w:rPr>
            </w:pPr>
            <w:r>
              <w:rPr>
                <w:rFonts w:ascii="Times New Roman" w:hAnsi="Times New Roman" w:eastAsia="宋体" w:cs="Times New Roman"/>
              </w:rPr>
              <w:t>移动式发电机</w:t>
            </w:r>
          </w:p>
        </w:tc>
        <w:tc>
          <w:tcPr>
            <w:tcW w:w="662" w:type="dxa"/>
            <w:tcBorders>
              <w:top w:val="single" w:color="auto" w:sz="6" w:space="0"/>
              <w:left w:val="single" w:color="auto" w:sz="6" w:space="0"/>
              <w:bottom w:val="single" w:color="auto" w:sz="6" w:space="0"/>
              <w:right w:val="single" w:color="auto" w:sz="6" w:space="0"/>
            </w:tcBorders>
            <w:vAlign w:val="center"/>
          </w:tcPr>
          <w:p w14:paraId="2E62747A">
            <w:pPr>
              <w:jc w:val="center"/>
              <w:rPr>
                <w:rFonts w:ascii="Times New Roman" w:hAnsi="Times New Roman" w:eastAsia="宋体" w:cs="Times New Roman"/>
              </w:rPr>
            </w:pPr>
            <w:r>
              <w:rPr>
                <w:rFonts w:ascii="Times New Roman" w:hAnsi="Times New Roman" w:eastAsia="宋体" w:cs="Times New Roman"/>
              </w:rPr>
              <w:t>102</w:t>
            </w:r>
          </w:p>
        </w:tc>
        <w:tc>
          <w:tcPr>
            <w:tcW w:w="663" w:type="dxa"/>
            <w:tcBorders>
              <w:top w:val="single" w:color="auto" w:sz="6" w:space="0"/>
              <w:left w:val="single" w:color="auto" w:sz="6" w:space="0"/>
              <w:bottom w:val="single" w:color="auto" w:sz="6" w:space="0"/>
              <w:right w:val="single" w:color="auto" w:sz="6" w:space="0"/>
            </w:tcBorders>
            <w:vAlign w:val="center"/>
          </w:tcPr>
          <w:p w14:paraId="478DC923">
            <w:pPr>
              <w:jc w:val="center"/>
              <w:rPr>
                <w:rFonts w:ascii="Times New Roman" w:hAnsi="Times New Roman" w:eastAsia="宋体" w:cs="Times New Roman"/>
              </w:rPr>
            </w:pPr>
            <w:r>
              <w:rPr>
                <w:rFonts w:ascii="Times New Roman" w:hAnsi="Times New Roman" w:eastAsia="宋体" w:cs="Times New Roman"/>
              </w:rPr>
              <w:t>96</w:t>
            </w:r>
          </w:p>
        </w:tc>
        <w:tc>
          <w:tcPr>
            <w:tcW w:w="663" w:type="dxa"/>
            <w:tcBorders>
              <w:top w:val="single" w:color="auto" w:sz="6" w:space="0"/>
              <w:left w:val="single" w:color="auto" w:sz="6" w:space="0"/>
              <w:bottom w:val="single" w:color="auto" w:sz="6" w:space="0"/>
              <w:right w:val="single" w:color="auto" w:sz="6" w:space="0"/>
            </w:tcBorders>
            <w:vAlign w:val="center"/>
          </w:tcPr>
          <w:p w14:paraId="6679F84A">
            <w:pPr>
              <w:jc w:val="center"/>
              <w:rPr>
                <w:rFonts w:ascii="Times New Roman" w:hAnsi="Times New Roman" w:eastAsia="宋体" w:cs="Times New Roman"/>
              </w:rPr>
            </w:pPr>
            <w:r>
              <w:rPr>
                <w:rFonts w:ascii="Times New Roman" w:hAnsi="Times New Roman" w:eastAsia="宋体" w:cs="Times New Roman"/>
              </w:rPr>
              <w:t>90</w:t>
            </w:r>
          </w:p>
        </w:tc>
        <w:tc>
          <w:tcPr>
            <w:tcW w:w="662" w:type="dxa"/>
            <w:tcBorders>
              <w:top w:val="single" w:color="auto" w:sz="6" w:space="0"/>
              <w:left w:val="single" w:color="auto" w:sz="6" w:space="0"/>
              <w:bottom w:val="single" w:color="auto" w:sz="6" w:space="0"/>
              <w:right w:val="single" w:color="auto" w:sz="6" w:space="0"/>
            </w:tcBorders>
            <w:vAlign w:val="center"/>
          </w:tcPr>
          <w:p w14:paraId="2ECAC34C">
            <w:pPr>
              <w:jc w:val="center"/>
              <w:rPr>
                <w:rFonts w:ascii="Times New Roman" w:hAnsi="Times New Roman" w:eastAsia="宋体" w:cs="Times New Roman"/>
              </w:rPr>
            </w:pPr>
            <w:r>
              <w:rPr>
                <w:rFonts w:ascii="Times New Roman" w:hAnsi="Times New Roman" w:eastAsia="宋体" w:cs="Times New Roman"/>
              </w:rPr>
              <w:t>84</w:t>
            </w:r>
          </w:p>
        </w:tc>
        <w:tc>
          <w:tcPr>
            <w:tcW w:w="663" w:type="dxa"/>
            <w:tcBorders>
              <w:top w:val="single" w:color="auto" w:sz="6" w:space="0"/>
              <w:left w:val="single" w:color="auto" w:sz="6" w:space="0"/>
              <w:bottom w:val="single" w:color="auto" w:sz="6" w:space="0"/>
              <w:right w:val="single" w:color="auto" w:sz="6" w:space="0"/>
            </w:tcBorders>
            <w:vAlign w:val="center"/>
          </w:tcPr>
          <w:p w14:paraId="079DC902">
            <w:pPr>
              <w:jc w:val="center"/>
              <w:rPr>
                <w:rFonts w:ascii="Times New Roman" w:hAnsi="Times New Roman" w:eastAsia="宋体" w:cs="Times New Roman"/>
              </w:rPr>
            </w:pPr>
            <w:r>
              <w:rPr>
                <w:rFonts w:ascii="Times New Roman" w:hAnsi="Times New Roman" w:eastAsia="宋体" w:cs="Times New Roman"/>
              </w:rPr>
              <w:t>80</w:t>
            </w:r>
          </w:p>
        </w:tc>
        <w:tc>
          <w:tcPr>
            <w:tcW w:w="663" w:type="dxa"/>
            <w:tcBorders>
              <w:top w:val="single" w:color="auto" w:sz="6" w:space="0"/>
              <w:left w:val="single" w:color="auto" w:sz="6" w:space="0"/>
              <w:bottom w:val="single" w:color="auto" w:sz="6" w:space="0"/>
              <w:right w:val="single" w:color="auto" w:sz="6" w:space="0"/>
            </w:tcBorders>
            <w:vAlign w:val="center"/>
          </w:tcPr>
          <w:p w14:paraId="63813C86">
            <w:pPr>
              <w:jc w:val="center"/>
              <w:rPr>
                <w:rFonts w:ascii="Times New Roman" w:hAnsi="Times New Roman" w:eastAsia="宋体" w:cs="Times New Roman"/>
              </w:rPr>
            </w:pPr>
            <w:r>
              <w:rPr>
                <w:rFonts w:ascii="Times New Roman" w:hAnsi="Times New Roman" w:eastAsia="宋体" w:cs="Times New Roman"/>
              </w:rPr>
              <w:t>78</w:t>
            </w:r>
          </w:p>
        </w:tc>
        <w:tc>
          <w:tcPr>
            <w:tcW w:w="662" w:type="dxa"/>
            <w:tcBorders>
              <w:top w:val="single" w:color="auto" w:sz="6" w:space="0"/>
              <w:left w:val="single" w:color="auto" w:sz="6" w:space="0"/>
              <w:bottom w:val="single" w:color="auto" w:sz="6" w:space="0"/>
              <w:right w:val="single" w:color="auto" w:sz="6" w:space="0"/>
            </w:tcBorders>
            <w:vAlign w:val="center"/>
          </w:tcPr>
          <w:p w14:paraId="420151E0">
            <w:pPr>
              <w:jc w:val="center"/>
              <w:rPr>
                <w:rFonts w:ascii="Times New Roman" w:hAnsi="Times New Roman" w:eastAsia="宋体" w:cs="Times New Roman"/>
              </w:rPr>
            </w:pPr>
            <w:r>
              <w:rPr>
                <w:rFonts w:ascii="Times New Roman" w:hAnsi="Times New Roman" w:eastAsia="宋体" w:cs="Times New Roman"/>
              </w:rPr>
              <w:t>76</w:t>
            </w:r>
          </w:p>
        </w:tc>
        <w:tc>
          <w:tcPr>
            <w:tcW w:w="663" w:type="dxa"/>
            <w:tcBorders>
              <w:top w:val="single" w:color="auto" w:sz="6" w:space="0"/>
              <w:left w:val="single" w:color="auto" w:sz="6" w:space="0"/>
              <w:bottom w:val="single" w:color="auto" w:sz="6" w:space="0"/>
              <w:right w:val="single" w:color="auto" w:sz="6" w:space="0"/>
            </w:tcBorders>
            <w:vAlign w:val="center"/>
          </w:tcPr>
          <w:p w14:paraId="70FB5218">
            <w:pPr>
              <w:jc w:val="center"/>
              <w:rPr>
                <w:rFonts w:ascii="Times New Roman" w:hAnsi="Times New Roman" w:eastAsia="宋体" w:cs="Times New Roman"/>
              </w:rPr>
            </w:pPr>
            <w:r>
              <w:rPr>
                <w:rFonts w:ascii="Times New Roman" w:hAnsi="Times New Roman" w:eastAsia="宋体" w:cs="Times New Roman"/>
              </w:rPr>
              <w:t>74</w:t>
            </w:r>
          </w:p>
        </w:tc>
        <w:tc>
          <w:tcPr>
            <w:tcW w:w="663" w:type="dxa"/>
            <w:tcBorders>
              <w:top w:val="single" w:color="auto" w:sz="6" w:space="0"/>
              <w:left w:val="single" w:color="auto" w:sz="6" w:space="0"/>
              <w:bottom w:val="single" w:color="auto" w:sz="6" w:space="0"/>
              <w:right w:val="single" w:color="auto" w:sz="6" w:space="0"/>
            </w:tcBorders>
            <w:vAlign w:val="center"/>
          </w:tcPr>
          <w:p w14:paraId="3F1B116E">
            <w:pPr>
              <w:jc w:val="center"/>
              <w:rPr>
                <w:rFonts w:ascii="Times New Roman" w:hAnsi="Times New Roman" w:eastAsia="宋体" w:cs="Times New Roman"/>
              </w:rPr>
            </w:pPr>
            <w:r>
              <w:rPr>
                <w:rFonts w:ascii="Times New Roman" w:hAnsi="Times New Roman" w:eastAsia="宋体" w:cs="Times New Roman"/>
              </w:rPr>
              <w:t>72</w:t>
            </w:r>
          </w:p>
        </w:tc>
        <w:tc>
          <w:tcPr>
            <w:tcW w:w="663" w:type="dxa"/>
            <w:tcBorders>
              <w:top w:val="single" w:color="auto" w:sz="6" w:space="0"/>
              <w:left w:val="single" w:color="auto" w:sz="6" w:space="0"/>
              <w:bottom w:val="single" w:color="auto" w:sz="6" w:space="0"/>
              <w:right w:val="thickThinSmallGap" w:color="auto" w:sz="12" w:space="0"/>
            </w:tcBorders>
            <w:vAlign w:val="center"/>
          </w:tcPr>
          <w:p w14:paraId="1B7A192A">
            <w:pPr>
              <w:jc w:val="center"/>
              <w:rPr>
                <w:rFonts w:ascii="Times New Roman" w:hAnsi="Times New Roman" w:eastAsia="宋体" w:cs="Times New Roman"/>
              </w:rPr>
            </w:pPr>
            <w:r>
              <w:rPr>
                <w:rFonts w:ascii="Times New Roman" w:hAnsi="Times New Roman" w:eastAsia="宋体" w:cs="Times New Roman"/>
              </w:rPr>
              <w:t>70</w:t>
            </w:r>
          </w:p>
        </w:tc>
      </w:tr>
      <w:tr w14:paraId="6A9B0AE3">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534" w:type="dxa"/>
            <w:tcBorders>
              <w:top w:val="single" w:color="auto" w:sz="6" w:space="0"/>
              <w:left w:val="thinThickSmallGap" w:color="auto" w:sz="12" w:space="0"/>
              <w:bottom w:val="single" w:color="auto" w:sz="6" w:space="0"/>
              <w:right w:val="single" w:color="auto" w:sz="6" w:space="0"/>
            </w:tcBorders>
            <w:vAlign w:val="center"/>
          </w:tcPr>
          <w:p w14:paraId="53A6D244">
            <w:pPr>
              <w:jc w:val="center"/>
              <w:rPr>
                <w:rFonts w:ascii="Times New Roman" w:hAnsi="Times New Roman" w:eastAsia="宋体" w:cs="Times New Roman"/>
              </w:rPr>
            </w:pPr>
            <w:r>
              <w:rPr>
                <w:rFonts w:ascii="Times New Roman" w:hAnsi="Times New Roman" w:eastAsia="宋体" w:cs="Times New Roman"/>
              </w:rPr>
              <w:t>6</w:t>
            </w:r>
          </w:p>
        </w:tc>
        <w:tc>
          <w:tcPr>
            <w:tcW w:w="1559" w:type="dxa"/>
            <w:tcBorders>
              <w:top w:val="single" w:color="auto" w:sz="6" w:space="0"/>
              <w:left w:val="single" w:color="auto" w:sz="6" w:space="0"/>
              <w:bottom w:val="single" w:color="auto" w:sz="6" w:space="0"/>
              <w:right w:val="single" w:color="auto" w:sz="6" w:space="0"/>
            </w:tcBorders>
            <w:vAlign w:val="center"/>
          </w:tcPr>
          <w:p w14:paraId="2AE9F58C">
            <w:pPr>
              <w:jc w:val="center"/>
              <w:rPr>
                <w:rFonts w:ascii="Times New Roman" w:hAnsi="Times New Roman" w:eastAsia="宋体" w:cs="Times New Roman"/>
              </w:rPr>
            </w:pPr>
            <w:r>
              <w:rPr>
                <w:rFonts w:ascii="Times New Roman" w:hAnsi="Times New Roman" w:eastAsia="宋体" w:cs="Times New Roman"/>
              </w:rPr>
              <w:t>各类压路机</w:t>
            </w:r>
          </w:p>
        </w:tc>
        <w:tc>
          <w:tcPr>
            <w:tcW w:w="662" w:type="dxa"/>
            <w:tcBorders>
              <w:top w:val="single" w:color="auto" w:sz="6" w:space="0"/>
              <w:left w:val="single" w:color="auto" w:sz="6" w:space="0"/>
              <w:bottom w:val="single" w:color="auto" w:sz="6" w:space="0"/>
              <w:right w:val="single" w:color="auto" w:sz="6" w:space="0"/>
            </w:tcBorders>
            <w:vAlign w:val="center"/>
          </w:tcPr>
          <w:p w14:paraId="5FE5B4C9">
            <w:pPr>
              <w:jc w:val="center"/>
              <w:rPr>
                <w:rFonts w:ascii="Times New Roman" w:hAnsi="Times New Roman" w:eastAsia="宋体" w:cs="Times New Roman"/>
              </w:rPr>
            </w:pPr>
            <w:r>
              <w:rPr>
                <w:rFonts w:ascii="Times New Roman" w:hAnsi="Times New Roman" w:eastAsia="宋体" w:cs="Times New Roman"/>
              </w:rPr>
              <w:t>90</w:t>
            </w:r>
          </w:p>
        </w:tc>
        <w:tc>
          <w:tcPr>
            <w:tcW w:w="663" w:type="dxa"/>
            <w:tcBorders>
              <w:top w:val="single" w:color="auto" w:sz="6" w:space="0"/>
              <w:left w:val="single" w:color="auto" w:sz="6" w:space="0"/>
              <w:bottom w:val="single" w:color="auto" w:sz="6" w:space="0"/>
              <w:right w:val="single" w:color="auto" w:sz="6" w:space="0"/>
            </w:tcBorders>
            <w:vAlign w:val="center"/>
          </w:tcPr>
          <w:p w14:paraId="5444A772">
            <w:pPr>
              <w:jc w:val="center"/>
              <w:rPr>
                <w:rFonts w:ascii="Times New Roman" w:hAnsi="Times New Roman" w:eastAsia="宋体" w:cs="Times New Roman"/>
              </w:rPr>
            </w:pPr>
            <w:r>
              <w:rPr>
                <w:rFonts w:ascii="Times New Roman" w:hAnsi="Times New Roman" w:eastAsia="宋体" w:cs="Times New Roman"/>
              </w:rPr>
              <w:t>84</w:t>
            </w:r>
          </w:p>
        </w:tc>
        <w:tc>
          <w:tcPr>
            <w:tcW w:w="663" w:type="dxa"/>
            <w:tcBorders>
              <w:top w:val="single" w:color="auto" w:sz="6" w:space="0"/>
              <w:left w:val="single" w:color="auto" w:sz="6" w:space="0"/>
              <w:bottom w:val="single" w:color="auto" w:sz="6" w:space="0"/>
              <w:right w:val="single" w:color="auto" w:sz="6" w:space="0"/>
            </w:tcBorders>
            <w:vAlign w:val="center"/>
          </w:tcPr>
          <w:p w14:paraId="39707578">
            <w:pPr>
              <w:jc w:val="center"/>
              <w:rPr>
                <w:rFonts w:ascii="Times New Roman" w:hAnsi="Times New Roman" w:eastAsia="宋体" w:cs="Times New Roman"/>
              </w:rPr>
            </w:pPr>
            <w:r>
              <w:rPr>
                <w:rFonts w:ascii="Times New Roman" w:hAnsi="Times New Roman" w:eastAsia="宋体" w:cs="Times New Roman"/>
              </w:rPr>
              <w:t>78</w:t>
            </w:r>
          </w:p>
        </w:tc>
        <w:tc>
          <w:tcPr>
            <w:tcW w:w="662" w:type="dxa"/>
            <w:tcBorders>
              <w:top w:val="single" w:color="auto" w:sz="6" w:space="0"/>
              <w:left w:val="single" w:color="auto" w:sz="6" w:space="0"/>
              <w:bottom w:val="single" w:color="auto" w:sz="6" w:space="0"/>
              <w:right w:val="single" w:color="auto" w:sz="6" w:space="0"/>
            </w:tcBorders>
            <w:vAlign w:val="center"/>
          </w:tcPr>
          <w:p w14:paraId="0029E7CB">
            <w:pPr>
              <w:jc w:val="center"/>
              <w:rPr>
                <w:rFonts w:ascii="Times New Roman" w:hAnsi="Times New Roman" w:eastAsia="宋体" w:cs="Times New Roman"/>
              </w:rPr>
            </w:pPr>
            <w:r>
              <w:rPr>
                <w:rFonts w:ascii="Times New Roman" w:hAnsi="Times New Roman" w:eastAsia="宋体" w:cs="Times New Roman"/>
              </w:rPr>
              <w:t>72</w:t>
            </w:r>
          </w:p>
        </w:tc>
        <w:tc>
          <w:tcPr>
            <w:tcW w:w="663" w:type="dxa"/>
            <w:tcBorders>
              <w:top w:val="single" w:color="auto" w:sz="6" w:space="0"/>
              <w:left w:val="single" w:color="auto" w:sz="6" w:space="0"/>
              <w:bottom w:val="single" w:color="auto" w:sz="6" w:space="0"/>
              <w:right w:val="single" w:color="auto" w:sz="6" w:space="0"/>
            </w:tcBorders>
            <w:vAlign w:val="center"/>
          </w:tcPr>
          <w:p w14:paraId="0119A2FB">
            <w:pPr>
              <w:jc w:val="center"/>
              <w:rPr>
                <w:rFonts w:ascii="Times New Roman" w:hAnsi="Times New Roman" w:eastAsia="宋体" w:cs="Times New Roman"/>
              </w:rPr>
            </w:pPr>
            <w:r>
              <w:rPr>
                <w:rFonts w:ascii="Times New Roman" w:hAnsi="Times New Roman" w:eastAsia="宋体" w:cs="Times New Roman"/>
              </w:rPr>
              <w:t>68</w:t>
            </w:r>
          </w:p>
        </w:tc>
        <w:tc>
          <w:tcPr>
            <w:tcW w:w="663" w:type="dxa"/>
            <w:tcBorders>
              <w:top w:val="single" w:color="auto" w:sz="6" w:space="0"/>
              <w:left w:val="single" w:color="auto" w:sz="6" w:space="0"/>
              <w:bottom w:val="single" w:color="auto" w:sz="6" w:space="0"/>
              <w:right w:val="single" w:color="auto" w:sz="6" w:space="0"/>
            </w:tcBorders>
            <w:vAlign w:val="center"/>
          </w:tcPr>
          <w:p w14:paraId="39DBB27B">
            <w:pPr>
              <w:jc w:val="center"/>
              <w:rPr>
                <w:rFonts w:ascii="Times New Roman" w:hAnsi="Times New Roman" w:eastAsia="宋体" w:cs="Times New Roman"/>
              </w:rPr>
            </w:pPr>
            <w:r>
              <w:rPr>
                <w:rFonts w:ascii="Times New Roman" w:hAnsi="Times New Roman" w:eastAsia="宋体" w:cs="Times New Roman"/>
              </w:rPr>
              <w:t>66</w:t>
            </w:r>
          </w:p>
        </w:tc>
        <w:tc>
          <w:tcPr>
            <w:tcW w:w="662" w:type="dxa"/>
            <w:tcBorders>
              <w:top w:val="single" w:color="auto" w:sz="6" w:space="0"/>
              <w:left w:val="single" w:color="auto" w:sz="6" w:space="0"/>
              <w:bottom w:val="single" w:color="auto" w:sz="6" w:space="0"/>
              <w:right w:val="single" w:color="auto" w:sz="6" w:space="0"/>
            </w:tcBorders>
            <w:vAlign w:val="center"/>
          </w:tcPr>
          <w:p w14:paraId="0CB557C8">
            <w:pPr>
              <w:jc w:val="center"/>
              <w:rPr>
                <w:rFonts w:ascii="Times New Roman" w:hAnsi="Times New Roman" w:eastAsia="宋体" w:cs="Times New Roman"/>
              </w:rPr>
            </w:pPr>
            <w:r>
              <w:rPr>
                <w:rFonts w:ascii="Times New Roman" w:hAnsi="Times New Roman" w:eastAsia="宋体" w:cs="Times New Roman"/>
              </w:rPr>
              <w:t>64</w:t>
            </w:r>
          </w:p>
        </w:tc>
        <w:tc>
          <w:tcPr>
            <w:tcW w:w="663" w:type="dxa"/>
            <w:tcBorders>
              <w:top w:val="single" w:color="auto" w:sz="6" w:space="0"/>
              <w:left w:val="single" w:color="auto" w:sz="6" w:space="0"/>
              <w:bottom w:val="single" w:color="auto" w:sz="6" w:space="0"/>
              <w:right w:val="single" w:color="auto" w:sz="6" w:space="0"/>
            </w:tcBorders>
            <w:vAlign w:val="center"/>
          </w:tcPr>
          <w:p w14:paraId="5B0F8780">
            <w:pPr>
              <w:jc w:val="center"/>
              <w:rPr>
                <w:rFonts w:ascii="Times New Roman" w:hAnsi="Times New Roman" w:eastAsia="宋体" w:cs="Times New Roman"/>
              </w:rPr>
            </w:pPr>
            <w:r>
              <w:rPr>
                <w:rFonts w:ascii="Times New Roman" w:hAnsi="Times New Roman" w:eastAsia="宋体" w:cs="Times New Roman"/>
              </w:rPr>
              <w:t>62</w:t>
            </w:r>
          </w:p>
        </w:tc>
        <w:tc>
          <w:tcPr>
            <w:tcW w:w="663" w:type="dxa"/>
            <w:tcBorders>
              <w:top w:val="single" w:color="auto" w:sz="6" w:space="0"/>
              <w:left w:val="single" w:color="auto" w:sz="6" w:space="0"/>
              <w:bottom w:val="single" w:color="auto" w:sz="6" w:space="0"/>
              <w:right w:val="single" w:color="auto" w:sz="6" w:space="0"/>
            </w:tcBorders>
            <w:vAlign w:val="center"/>
          </w:tcPr>
          <w:p w14:paraId="41E91B5A">
            <w:pPr>
              <w:jc w:val="center"/>
              <w:rPr>
                <w:rFonts w:ascii="Times New Roman" w:hAnsi="Times New Roman" w:eastAsia="宋体" w:cs="Times New Roman"/>
              </w:rPr>
            </w:pPr>
            <w:r>
              <w:rPr>
                <w:rFonts w:ascii="Times New Roman" w:hAnsi="Times New Roman" w:eastAsia="宋体" w:cs="Times New Roman"/>
              </w:rPr>
              <w:t>60</w:t>
            </w:r>
          </w:p>
        </w:tc>
        <w:tc>
          <w:tcPr>
            <w:tcW w:w="663" w:type="dxa"/>
            <w:tcBorders>
              <w:top w:val="single" w:color="auto" w:sz="6" w:space="0"/>
              <w:left w:val="single" w:color="auto" w:sz="6" w:space="0"/>
              <w:bottom w:val="single" w:color="auto" w:sz="6" w:space="0"/>
              <w:right w:val="thickThinSmallGap" w:color="auto" w:sz="12" w:space="0"/>
            </w:tcBorders>
            <w:vAlign w:val="center"/>
          </w:tcPr>
          <w:p w14:paraId="46D05E9F">
            <w:pPr>
              <w:jc w:val="center"/>
              <w:rPr>
                <w:rFonts w:ascii="Times New Roman" w:hAnsi="Times New Roman" w:eastAsia="宋体" w:cs="Times New Roman"/>
              </w:rPr>
            </w:pPr>
            <w:r>
              <w:rPr>
                <w:rFonts w:ascii="Times New Roman" w:hAnsi="Times New Roman" w:eastAsia="宋体" w:cs="Times New Roman"/>
              </w:rPr>
              <w:t>58</w:t>
            </w:r>
          </w:p>
        </w:tc>
      </w:tr>
      <w:tr w14:paraId="11F3B4FD">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534" w:type="dxa"/>
            <w:tcBorders>
              <w:top w:val="single" w:color="auto" w:sz="6" w:space="0"/>
              <w:left w:val="thinThickSmallGap" w:color="auto" w:sz="12" w:space="0"/>
              <w:bottom w:val="single" w:color="auto" w:sz="6" w:space="0"/>
              <w:right w:val="single" w:color="auto" w:sz="6" w:space="0"/>
            </w:tcBorders>
            <w:vAlign w:val="center"/>
          </w:tcPr>
          <w:p w14:paraId="4B7B827D">
            <w:pPr>
              <w:jc w:val="center"/>
              <w:rPr>
                <w:rFonts w:ascii="Times New Roman" w:hAnsi="Times New Roman" w:eastAsia="宋体" w:cs="Times New Roman"/>
              </w:rPr>
            </w:pPr>
            <w:r>
              <w:rPr>
                <w:rFonts w:ascii="Times New Roman" w:hAnsi="Times New Roman" w:eastAsia="宋体" w:cs="Times New Roman"/>
              </w:rPr>
              <w:t>7</w:t>
            </w:r>
          </w:p>
        </w:tc>
        <w:tc>
          <w:tcPr>
            <w:tcW w:w="1559" w:type="dxa"/>
            <w:tcBorders>
              <w:top w:val="single" w:color="auto" w:sz="6" w:space="0"/>
              <w:left w:val="single" w:color="auto" w:sz="6" w:space="0"/>
              <w:bottom w:val="single" w:color="auto" w:sz="6" w:space="0"/>
              <w:right w:val="single" w:color="auto" w:sz="6" w:space="0"/>
            </w:tcBorders>
            <w:vAlign w:val="center"/>
          </w:tcPr>
          <w:p w14:paraId="73752A70">
            <w:pPr>
              <w:jc w:val="center"/>
              <w:rPr>
                <w:rFonts w:ascii="Times New Roman" w:hAnsi="Times New Roman" w:eastAsia="宋体" w:cs="Times New Roman"/>
              </w:rPr>
            </w:pPr>
            <w:r>
              <w:rPr>
                <w:rFonts w:ascii="Times New Roman" w:hAnsi="Times New Roman" w:eastAsia="宋体" w:cs="Times New Roman"/>
              </w:rPr>
              <w:t>木工电锯</w:t>
            </w:r>
          </w:p>
        </w:tc>
        <w:tc>
          <w:tcPr>
            <w:tcW w:w="662" w:type="dxa"/>
            <w:tcBorders>
              <w:top w:val="single" w:color="auto" w:sz="6" w:space="0"/>
              <w:left w:val="single" w:color="auto" w:sz="6" w:space="0"/>
              <w:bottom w:val="single" w:color="auto" w:sz="6" w:space="0"/>
              <w:right w:val="single" w:color="auto" w:sz="6" w:space="0"/>
            </w:tcBorders>
            <w:vAlign w:val="center"/>
          </w:tcPr>
          <w:p w14:paraId="3DC7AA16">
            <w:pPr>
              <w:jc w:val="center"/>
              <w:rPr>
                <w:rFonts w:ascii="Times New Roman" w:hAnsi="Times New Roman" w:eastAsia="宋体" w:cs="Times New Roman"/>
              </w:rPr>
            </w:pPr>
            <w:r>
              <w:rPr>
                <w:rFonts w:ascii="Times New Roman" w:hAnsi="Times New Roman" w:eastAsia="宋体" w:cs="Times New Roman"/>
              </w:rPr>
              <w:t>99</w:t>
            </w:r>
          </w:p>
        </w:tc>
        <w:tc>
          <w:tcPr>
            <w:tcW w:w="663" w:type="dxa"/>
            <w:tcBorders>
              <w:top w:val="single" w:color="auto" w:sz="6" w:space="0"/>
              <w:left w:val="single" w:color="auto" w:sz="6" w:space="0"/>
              <w:bottom w:val="single" w:color="auto" w:sz="6" w:space="0"/>
              <w:right w:val="single" w:color="auto" w:sz="6" w:space="0"/>
            </w:tcBorders>
            <w:vAlign w:val="center"/>
          </w:tcPr>
          <w:p w14:paraId="291127BC">
            <w:pPr>
              <w:jc w:val="center"/>
              <w:rPr>
                <w:rFonts w:ascii="Times New Roman" w:hAnsi="Times New Roman" w:eastAsia="宋体" w:cs="Times New Roman"/>
              </w:rPr>
            </w:pPr>
            <w:r>
              <w:rPr>
                <w:rFonts w:ascii="Times New Roman" w:hAnsi="Times New Roman" w:eastAsia="宋体" w:cs="Times New Roman"/>
              </w:rPr>
              <w:t>93</w:t>
            </w:r>
          </w:p>
        </w:tc>
        <w:tc>
          <w:tcPr>
            <w:tcW w:w="663" w:type="dxa"/>
            <w:tcBorders>
              <w:top w:val="single" w:color="auto" w:sz="6" w:space="0"/>
              <w:left w:val="single" w:color="auto" w:sz="6" w:space="0"/>
              <w:bottom w:val="single" w:color="auto" w:sz="6" w:space="0"/>
              <w:right w:val="single" w:color="auto" w:sz="6" w:space="0"/>
            </w:tcBorders>
            <w:vAlign w:val="center"/>
          </w:tcPr>
          <w:p w14:paraId="3D20B49D">
            <w:pPr>
              <w:jc w:val="center"/>
              <w:rPr>
                <w:rFonts w:ascii="Times New Roman" w:hAnsi="Times New Roman" w:eastAsia="宋体" w:cs="Times New Roman"/>
              </w:rPr>
            </w:pPr>
            <w:r>
              <w:rPr>
                <w:rFonts w:ascii="Times New Roman" w:hAnsi="Times New Roman" w:eastAsia="宋体" w:cs="Times New Roman"/>
              </w:rPr>
              <w:t>87</w:t>
            </w:r>
          </w:p>
        </w:tc>
        <w:tc>
          <w:tcPr>
            <w:tcW w:w="662" w:type="dxa"/>
            <w:tcBorders>
              <w:top w:val="single" w:color="auto" w:sz="6" w:space="0"/>
              <w:left w:val="single" w:color="auto" w:sz="6" w:space="0"/>
              <w:bottom w:val="single" w:color="auto" w:sz="6" w:space="0"/>
              <w:right w:val="single" w:color="auto" w:sz="6" w:space="0"/>
            </w:tcBorders>
            <w:vAlign w:val="center"/>
          </w:tcPr>
          <w:p w14:paraId="2B2CEBD6">
            <w:pPr>
              <w:jc w:val="center"/>
              <w:rPr>
                <w:rFonts w:ascii="Times New Roman" w:hAnsi="Times New Roman" w:eastAsia="宋体" w:cs="Times New Roman"/>
              </w:rPr>
            </w:pPr>
            <w:r>
              <w:rPr>
                <w:rFonts w:ascii="Times New Roman" w:hAnsi="Times New Roman" w:eastAsia="宋体" w:cs="Times New Roman"/>
              </w:rPr>
              <w:t>81</w:t>
            </w:r>
          </w:p>
        </w:tc>
        <w:tc>
          <w:tcPr>
            <w:tcW w:w="663" w:type="dxa"/>
            <w:tcBorders>
              <w:top w:val="single" w:color="auto" w:sz="6" w:space="0"/>
              <w:left w:val="single" w:color="auto" w:sz="6" w:space="0"/>
              <w:bottom w:val="single" w:color="auto" w:sz="6" w:space="0"/>
              <w:right w:val="single" w:color="auto" w:sz="6" w:space="0"/>
            </w:tcBorders>
            <w:vAlign w:val="center"/>
          </w:tcPr>
          <w:p w14:paraId="415BC52D">
            <w:pPr>
              <w:jc w:val="center"/>
              <w:rPr>
                <w:rFonts w:ascii="Times New Roman" w:hAnsi="Times New Roman" w:eastAsia="宋体" w:cs="Times New Roman"/>
              </w:rPr>
            </w:pPr>
            <w:r>
              <w:rPr>
                <w:rFonts w:ascii="Times New Roman" w:hAnsi="Times New Roman" w:eastAsia="宋体" w:cs="Times New Roman"/>
              </w:rPr>
              <w:t>77</w:t>
            </w:r>
          </w:p>
        </w:tc>
        <w:tc>
          <w:tcPr>
            <w:tcW w:w="663" w:type="dxa"/>
            <w:tcBorders>
              <w:top w:val="single" w:color="auto" w:sz="6" w:space="0"/>
              <w:left w:val="single" w:color="auto" w:sz="6" w:space="0"/>
              <w:bottom w:val="single" w:color="auto" w:sz="6" w:space="0"/>
              <w:right w:val="single" w:color="auto" w:sz="6" w:space="0"/>
            </w:tcBorders>
            <w:vAlign w:val="center"/>
          </w:tcPr>
          <w:p w14:paraId="2EA818F1">
            <w:pPr>
              <w:jc w:val="center"/>
              <w:rPr>
                <w:rFonts w:ascii="Times New Roman" w:hAnsi="Times New Roman" w:eastAsia="宋体" w:cs="Times New Roman"/>
              </w:rPr>
            </w:pPr>
            <w:r>
              <w:rPr>
                <w:rFonts w:ascii="Times New Roman" w:hAnsi="Times New Roman" w:eastAsia="宋体" w:cs="Times New Roman"/>
              </w:rPr>
              <w:t>75</w:t>
            </w:r>
          </w:p>
        </w:tc>
        <w:tc>
          <w:tcPr>
            <w:tcW w:w="662" w:type="dxa"/>
            <w:tcBorders>
              <w:top w:val="single" w:color="auto" w:sz="6" w:space="0"/>
              <w:left w:val="single" w:color="auto" w:sz="6" w:space="0"/>
              <w:bottom w:val="single" w:color="auto" w:sz="6" w:space="0"/>
              <w:right w:val="single" w:color="auto" w:sz="6" w:space="0"/>
            </w:tcBorders>
            <w:vAlign w:val="center"/>
          </w:tcPr>
          <w:p w14:paraId="1F919B20">
            <w:pPr>
              <w:jc w:val="center"/>
              <w:rPr>
                <w:rFonts w:ascii="Times New Roman" w:hAnsi="Times New Roman" w:eastAsia="宋体" w:cs="Times New Roman"/>
              </w:rPr>
            </w:pPr>
            <w:r>
              <w:rPr>
                <w:rFonts w:ascii="Times New Roman" w:hAnsi="Times New Roman" w:eastAsia="宋体" w:cs="Times New Roman"/>
              </w:rPr>
              <w:t>73</w:t>
            </w:r>
          </w:p>
        </w:tc>
        <w:tc>
          <w:tcPr>
            <w:tcW w:w="663" w:type="dxa"/>
            <w:tcBorders>
              <w:top w:val="single" w:color="auto" w:sz="6" w:space="0"/>
              <w:left w:val="single" w:color="auto" w:sz="6" w:space="0"/>
              <w:bottom w:val="single" w:color="auto" w:sz="6" w:space="0"/>
              <w:right w:val="single" w:color="auto" w:sz="6" w:space="0"/>
            </w:tcBorders>
            <w:vAlign w:val="center"/>
          </w:tcPr>
          <w:p w14:paraId="3C538548">
            <w:pPr>
              <w:jc w:val="center"/>
              <w:rPr>
                <w:rFonts w:ascii="Times New Roman" w:hAnsi="Times New Roman" w:eastAsia="宋体" w:cs="Times New Roman"/>
              </w:rPr>
            </w:pPr>
            <w:r>
              <w:rPr>
                <w:rFonts w:ascii="Times New Roman" w:hAnsi="Times New Roman" w:eastAsia="宋体" w:cs="Times New Roman"/>
              </w:rPr>
              <w:t>71</w:t>
            </w:r>
          </w:p>
        </w:tc>
        <w:tc>
          <w:tcPr>
            <w:tcW w:w="663" w:type="dxa"/>
            <w:tcBorders>
              <w:top w:val="single" w:color="auto" w:sz="6" w:space="0"/>
              <w:left w:val="single" w:color="auto" w:sz="6" w:space="0"/>
              <w:bottom w:val="single" w:color="auto" w:sz="6" w:space="0"/>
              <w:right w:val="single" w:color="auto" w:sz="6" w:space="0"/>
            </w:tcBorders>
            <w:vAlign w:val="center"/>
          </w:tcPr>
          <w:p w14:paraId="002485F7">
            <w:pPr>
              <w:jc w:val="center"/>
              <w:rPr>
                <w:rFonts w:ascii="Times New Roman" w:hAnsi="Times New Roman" w:eastAsia="宋体" w:cs="Times New Roman"/>
              </w:rPr>
            </w:pPr>
            <w:r>
              <w:rPr>
                <w:rFonts w:ascii="Times New Roman" w:hAnsi="Times New Roman" w:eastAsia="宋体" w:cs="Times New Roman"/>
              </w:rPr>
              <w:t>69</w:t>
            </w:r>
          </w:p>
        </w:tc>
        <w:tc>
          <w:tcPr>
            <w:tcW w:w="663" w:type="dxa"/>
            <w:tcBorders>
              <w:top w:val="single" w:color="auto" w:sz="6" w:space="0"/>
              <w:left w:val="single" w:color="auto" w:sz="6" w:space="0"/>
              <w:bottom w:val="single" w:color="auto" w:sz="6" w:space="0"/>
              <w:right w:val="thickThinSmallGap" w:color="auto" w:sz="12" w:space="0"/>
            </w:tcBorders>
            <w:vAlign w:val="center"/>
          </w:tcPr>
          <w:p w14:paraId="521E14E5">
            <w:pPr>
              <w:jc w:val="center"/>
              <w:rPr>
                <w:rFonts w:ascii="Times New Roman" w:hAnsi="Times New Roman" w:eastAsia="宋体" w:cs="Times New Roman"/>
              </w:rPr>
            </w:pPr>
            <w:r>
              <w:rPr>
                <w:rFonts w:ascii="Times New Roman" w:hAnsi="Times New Roman" w:eastAsia="宋体" w:cs="Times New Roman"/>
              </w:rPr>
              <w:t>67</w:t>
            </w:r>
          </w:p>
        </w:tc>
      </w:tr>
      <w:tr w14:paraId="5956E347">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534" w:type="dxa"/>
            <w:tcBorders>
              <w:top w:val="single" w:color="auto" w:sz="6" w:space="0"/>
              <w:left w:val="thinThickSmallGap" w:color="auto" w:sz="12" w:space="0"/>
              <w:bottom w:val="single" w:color="auto" w:sz="6" w:space="0"/>
              <w:right w:val="single" w:color="auto" w:sz="6" w:space="0"/>
            </w:tcBorders>
            <w:vAlign w:val="center"/>
          </w:tcPr>
          <w:p w14:paraId="0473EB04">
            <w:pPr>
              <w:jc w:val="center"/>
              <w:rPr>
                <w:rFonts w:ascii="Times New Roman" w:hAnsi="Times New Roman" w:eastAsia="宋体" w:cs="Times New Roman"/>
              </w:rPr>
            </w:pPr>
            <w:r>
              <w:rPr>
                <w:rFonts w:ascii="Times New Roman" w:hAnsi="Times New Roman" w:eastAsia="宋体" w:cs="Times New Roman"/>
              </w:rPr>
              <w:t>8</w:t>
            </w:r>
          </w:p>
        </w:tc>
        <w:tc>
          <w:tcPr>
            <w:tcW w:w="1559" w:type="dxa"/>
            <w:tcBorders>
              <w:top w:val="single" w:color="auto" w:sz="6" w:space="0"/>
              <w:left w:val="single" w:color="auto" w:sz="6" w:space="0"/>
              <w:bottom w:val="single" w:color="auto" w:sz="6" w:space="0"/>
              <w:right w:val="single" w:color="auto" w:sz="6" w:space="0"/>
            </w:tcBorders>
            <w:vAlign w:val="center"/>
          </w:tcPr>
          <w:p w14:paraId="67AF82A6">
            <w:pPr>
              <w:jc w:val="center"/>
              <w:rPr>
                <w:rFonts w:ascii="Times New Roman" w:hAnsi="Times New Roman" w:eastAsia="宋体" w:cs="Times New Roman"/>
              </w:rPr>
            </w:pPr>
            <w:r>
              <w:rPr>
                <w:rFonts w:ascii="Times New Roman" w:hAnsi="Times New Roman" w:eastAsia="宋体" w:cs="Times New Roman"/>
              </w:rPr>
              <w:t>电锤</w:t>
            </w:r>
          </w:p>
        </w:tc>
        <w:tc>
          <w:tcPr>
            <w:tcW w:w="662" w:type="dxa"/>
            <w:tcBorders>
              <w:top w:val="single" w:color="auto" w:sz="6" w:space="0"/>
              <w:left w:val="single" w:color="auto" w:sz="6" w:space="0"/>
              <w:bottom w:val="single" w:color="auto" w:sz="6" w:space="0"/>
              <w:right w:val="single" w:color="auto" w:sz="6" w:space="0"/>
            </w:tcBorders>
            <w:vAlign w:val="center"/>
          </w:tcPr>
          <w:p w14:paraId="6662DACC">
            <w:pPr>
              <w:jc w:val="center"/>
              <w:rPr>
                <w:rFonts w:ascii="Times New Roman" w:hAnsi="Times New Roman" w:eastAsia="宋体" w:cs="Times New Roman"/>
              </w:rPr>
            </w:pPr>
            <w:r>
              <w:rPr>
                <w:rFonts w:ascii="Times New Roman" w:hAnsi="Times New Roman" w:eastAsia="宋体" w:cs="Times New Roman"/>
              </w:rPr>
              <w:t>105</w:t>
            </w:r>
          </w:p>
        </w:tc>
        <w:tc>
          <w:tcPr>
            <w:tcW w:w="663" w:type="dxa"/>
            <w:tcBorders>
              <w:top w:val="single" w:color="auto" w:sz="6" w:space="0"/>
              <w:left w:val="single" w:color="auto" w:sz="6" w:space="0"/>
              <w:bottom w:val="single" w:color="auto" w:sz="6" w:space="0"/>
              <w:right w:val="single" w:color="auto" w:sz="6" w:space="0"/>
            </w:tcBorders>
            <w:vAlign w:val="center"/>
          </w:tcPr>
          <w:p w14:paraId="09F513CF">
            <w:pPr>
              <w:jc w:val="center"/>
              <w:rPr>
                <w:rFonts w:ascii="Times New Roman" w:hAnsi="Times New Roman" w:eastAsia="宋体" w:cs="Times New Roman"/>
              </w:rPr>
            </w:pPr>
            <w:r>
              <w:rPr>
                <w:rFonts w:ascii="Times New Roman" w:hAnsi="Times New Roman" w:eastAsia="宋体" w:cs="Times New Roman"/>
              </w:rPr>
              <w:t>99</w:t>
            </w:r>
          </w:p>
        </w:tc>
        <w:tc>
          <w:tcPr>
            <w:tcW w:w="663" w:type="dxa"/>
            <w:tcBorders>
              <w:top w:val="single" w:color="auto" w:sz="6" w:space="0"/>
              <w:left w:val="single" w:color="auto" w:sz="6" w:space="0"/>
              <w:bottom w:val="single" w:color="auto" w:sz="6" w:space="0"/>
              <w:right w:val="single" w:color="auto" w:sz="6" w:space="0"/>
            </w:tcBorders>
            <w:vAlign w:val="center"/>
          </w:tcPr>
          <w:p w14:paraId="05D099C9">
            <w:pPr>
              <w:jc w:val="center"/>
              <w:rPr>
                <w:rFonts w:ascii="Times New Roman" w:hAnsi="Times New Roman" w:eastAsia="宋体" w:cs="Times New Roman"/>
              </w:rPr>
            </w:pPr>
            <w:r>
              <w:rPr>
                <w:rFonts w:ascii="Times New Roman" w:hAnsi="Times New Roman" w:eastAsia="宋体" w:cs="Times New Roman"/>
              </w:rPr>
              <w:t>93</w:t>
            </w:r>
          </w:p>
        </w:tc>
        <w:tc>
          <w:tcPr>
            <w:tcW w:w="662" w:type="dxa"/>
            <w:tcBorders>
              <w:top w:val="single" w:color="auto" w:sz="6" w:space="0"/>
              <w:left w:val="single" w:color="auto" w:sz="6" w:space="0"/>
              <w:bottom w:val="single" w:color="auto" w:sz="6" w:space="0"/>
              <w:right w:val="single" w:color="auto" w:sz="6" w:space="0"/>
            </w:tcBorders>
            <w:vAlign w:val="center"/>
          </w:tcPr>
          <w:p w14:paraId="77C96482">
            <w:pPr>
              <w:jc w:val="center"/>
              <w:rPr>
                <w:rFonts w:ascii="Times New Roman" w:hAnsi="Times New Roman" w:eastAsia="宋体" w:cs="Times New Roman"/>
              </w:rPr>
            </w:pPr>
            <w:r>
              <w:rPr>
                <w:rFonts w:ascii="Times New Roman" w:hAnsi="Times New Roman" w:eastAsia="宋体" w:cs="Times New Roman"/>
              </w:rPr>
              <w:t>87</w:t>
            </w:r>
          </w:p>
        </w:tc>
        <w:tc>
          <w:tcPr>
            <w:tcW w:w="663" w:type="dxa"/>
            <w:tcBorders>
              <w:top w:val="single" w:color="auto" w:sz="6" w:space="0"/>
              <w:left w:val="single" w:color="auto" w:sz="6" w:space="0"/>
              <w:bottom w:val="single" w:color="auto" w:sz="6" w:space="0"/>
              <w:right w:val="single" w:color="auto" w:sz="6" w:space="0"/>
            </w:tcBorders>
            <w:vAlign w:val="center"/>
          </w:tcPr>
          <w:p w14:paraId="5C20A8DC">
            <w:pPr>
              <w:jc w:val="center"/>
              <w:rPr>
                <w:rFonts w:ascii="Times New Roman" w:hAnsi="Times New Roman" w:eastAsia="宋体" w:cs="Times New Roman"/>
              </w:rPr>
            </w:pPr>
            <w:r>
              <w:rPr>
                <w:rFonts w:ascii="Times New Roman" w:hAnsi="Times New Roman" w:eastAsia="宋体" w:cs="Times New Roman"/>
              </w:rPr>
              <w:t>83</w:t>
            </w:r>
          </w:p>
        </w:tc>
        <w:tc>
          <w:tcPr>
            <w:tcW w:w="663" w:type="dxa"/>
            <w:tcBorders>
              <w:top w:val="single" w:color="auto" w:sz="6" w:space="0"/>
              <w:left w:val="single" w:color="auto" w:sz="6" w:space="0"/>
              <w:bottom w:val="single" w:color="auto" w:sz="6" w:space="0"/>
              <w:right w:val="single" w:color="auto" w:sz="6" w:space="0"/>
            </w:tcBorders>
            <w:vAlign w:val="center"/>
          </w:tcPr>
          <w:p w14:paraId="6D04F068">
            <w:pPr>
              <w:jc w:val="center"/>
              <w:rPr>
                <w:rFonts w:ascii="Times New Roman" w:hAnsi="Times New Roman" w:eastAsia="宋体" w:cs="Times New Roman"/>
              </w:rPr>
            </w:pPr>
            <w:r>
              <w:rPr>
                <w:rFonts w:ascii="Times New Roman" w:hAnsi="Times New Roman" w:eastAsia="宋体" w:cs="Times New Roman"/>
              </w:rPr>
              <w:t>81</w:t>
            </w:r>
          </w:p>
        </w:tc>
        <w:tc>
          <w:tcPr>
            <w:tcW w:w="662" w:type="dxa"/>
            <w:tcBorders>
              <w:top w:val="single" w:color="auto" w:sz="6" w:space="0"/>
              <w:left w:val="single" w:color="auto" w:sz="6" w:space="0"/>
              <w:bottom w:val="single" w:color="auto" w:sz="6" w:space="0"/>
              <w:right w:val="single" w:color="auto" w:sz="6" w:space="0"/>
            </w:tcBorders>
            <w:vAlign w:val="center"/>
          </w:tcPr>
          <w:p w14:paraId="1CC3D8A4">
            <w:pPr>
              <w:jc w:val="center"/>
              <w:rPr>
                <w:rFonts w:ascii="Times New Roman" w:hAnsi="Times New Roman" w:eastAsia="宋体" w:cs="Times New Roman"/>
              </w:rPr>
            </w:pPr>
            <w:r>
              <w:rPr>
                <w:rFonts w:ascii="Times New Roman" w:hAnsi="Times New Roman" w:eastAsia="宋体" w:cs="Times New Roman"/>
              </w:rPr>
              <w:t>79</w:t>
            </w:r>
          </w:p>
        </w:tc>
        <w:tc>
          <w:tcPr>
            <w:tcW w:w="663" w:type="dxa"/>
            <w:tcBorders>
              <w:top w:val="single" w:color="auto" w:sz="6" w:space="0"/>
              <w:left w:val="single" w:color="auto" w:sz="6" w:space="0"/>
              <w:bottom w:val="single" w:color="auto" w:sz="6" w:space="0"/>
              <w:right w:val="single" w:color="auto" w:sz="6" w:space="0"/>
            </w:tcBorders>
            <w:vAlign w:val="center"/>
          </w:tcPr>
          <w:p w14:paraId="6ECAFFBF">
            <w:pPr>
              <w:jc w:val="center"/>
              <w:rPr>
                <w:rFonts w:ascii="Times New Roman" w:hAnsi="Times New Roman" w:eastAsia="宋体" w:cs="Times New Roman"/>
              </w:rPr>
            </w:pPr>
            <w:r>
              <w:rPr>
                <w:rFonts w:ascii="Times New Roman" w:hAnsi="Times New Roman" w:eastAsia="宋体" w:cs="Times New Roman"/>
              </w:rPr>
              <w:t>77</w:t>
            </w:r>
          </w:p>
        </w:tc>
        <w:tc>
          <w:tcPr>
            <w:tcW w:w="663" w:type="dxa"/>
            <w:tcBorders>
              <w:top w:val="single" w:color="auto" w:sz="6" w:space="0"/>
              <w:left w:val="single" w:color="auto" w:sz="6" w:space="0"/>
              <w:bottom w:val="single" w:color="auto" w:sz="6" w:space="0"/>
              <w:right w:val="single" w:color="auto" w:sz="6" w:space="0"/>
            </w:tcBorders>
            <w:vAlign w:val="center"/>
          </w:tcPr>
          <w:p w14:paraId="37218022">
            <w:pPr>
              <w:jc w:val="center"/>
              <w:rPr>
                <w:rFonts w:ascii="Times New Roman" w:hAnsi="Times New Roman" w:eastAsia="宋体" w:cs="Times New Roman"/>
              </w:rPr>
            </w:pPr>
            <w:r>
              <w:rPr>
                <w:rFonts w:ascii="Times New Roman" w:hAnsi="Times New Roman" w:eastAsia="宋体" w:cs="Times New Roman"/>
              </w:rPr>
              <w:t>75</w:t>
            </w:r>
          </w:p>
        </w:tc>
        <w:tc>
          <w:tcPr>
            <w:tcW w:w="663" w:type="dxa"/>
            <w:tcBorders>
              <w:top w:val="single" w:color="auto" w:sz="6" w:space="0"/>
              <w:left w:val="single" w:color="auto" w:sz="6" w:space="0"/>
              <w:bottom w:val="single" w:color="auto" w:sz="6" w:space="0"/>
              <w:right w:val="thickThinSmallGap" w:color="auto" w:sz="12" w:space="0"/>
            </w:tcBorders>
            <w:vAlign w:val="center"/>
          </w:tcPr>
          <w:p w14:paraId="262A5B51">
            <w:pPr>
              <w:jc w:val="center"/>
              <w:rPr>
                <w:rFonts w:ascii="Times New Roman" w:hAnsi="Times New Roman" w:eastAsia="宋体" w:cs="Times New Roman"/>
              </w:rPr>
            </w:pPr>
            <w:r>
              <w:rPr>
                <w:rFonts w:ascii="Times New Roman" w:hAnsi="Times New Roman" w:eastAsia="宋体" w:cs="Times New Roman"/>
              </w:rPr>
              <w:t>73</w:t>
            </w:r>
          </w:p>
        </w:tc>
      </w:tr>
      <w:tr w14:paraId="0377BFE3">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534" w:type="dxa"/>
            <w:tcBorders>
              <w:top w:val="single" w:color="auto" w:sz="6" w:space="0"/>
              <w:left w:val="thinThickSmallGap" w:color="auto" w:sz="12" w:space="0"/>
              <w:bottom w:val="single" w:color="auto" w:sz="6" w:space="0"/>
              <w:right w:val="single" w:color="auto" w:sz="6" w:space="0"/>
            </w:tcBorders>
            <w:vAlign w:val="center"/>
          </w:tcPr>
          <w:p w14:paraId="623469A4">
            <w:pPr>
              <w:jc w:val="center"/>
              <w:rPr>
                <w:rFonts w:ascii="Times New Roman" w:hAnsi="Times New Roman" w:eastAsia="宋体" w:cs="Times New Roman"/>
              </w:rPr>
            </w:pPr>
            <w:r>
              <w:rPr>
                <w:rFonts w:ascii="Times New Roman" w:hAnsi="Times New Roman" w:eastAsia="宋体" w:cs="Times New Roman"/>
              </w:rPr>
              <w:t>9</w:t>
            </w:r>
          </w:p>
        </w:tc>
        <w:tc>
          <w:tcPr>
            <w:tcW w:w="1559" w:type="dxa"/>
            <w:tcBorders>
              <w:top w:val="single" w:color="auto" w:sz="6" w:space="0"/>
              <w:left w:val="single" w:color="auto" w:sz="6" w:space="0"/>
              <w:bottom w:val="single" w:color="auto" w:sz="6" w:space="0"/>
              <w:right w:val="single" w:color="auto" w:sz="6" w:space="0"/>
            </w:tcBorders>
            <w:vAlign w:val="center"/>
          </w:tcPr>
          <w:p w14:paraId="19584C91">
            <w:pPr>
              <w:jc w:val="center"/>
              <w:rPr>
                <w:rFonts w:ascii="Times New Roman" w:hAnsi="Times New Roman" w:eastAsia="宋体" w:cs="Times New Roman"/>
              </w:rPr>
            </w:pPr>
            <w:r>
              <w:rPr>
                <w:rFonts w:ascii="Times New Roman" w:hAnsi="Times New Roman" w:eastAsia="宋体" w:cs="Times New Roman"/>
              </w:rPr>
              <w:t>振动夯锤</w:t>
            </w:r>
          </w:p>
        </w:tc>
        <w:tc>
          <w:tcPr>
            <w:tcW w:w="662" w:type="dxa"/>
            <w:tcBorders>
              <w:top w:val="single" w:color="auto" w:sz="6" w:space="0"/>
              <w:left w:val="single" w:color="auto" w:sz="6" w:space="0"/>
              <w:bottom w:val="single" w:color="auto" w:sz="6" w:space="0"/>
              <w:right w:val="single" w:color="auto" w:sz="6" w:space="0"/>
            </w:tcBorders>
            <w:vAlign w:val="center"/>
          </w:tcPr>
          <w:p w14:paraId="4B104E34">
            <w:pPr>
              <w:jc w:val="center"/>
              <w:rPr>
                <w:rFonts w:ascii="Times New Roman" w:hAnsi="Times New Roman" w:eastAsia="宋体" w:cs="Times New Roman"/>
              </w:rPr>
            </w:pPr>
            <w:r>
              <w:rPr>
                <w:rFonts w:ascii="Times New Roman" w:hAnsi="Times New Roman" w:eastAsia="宋体" w:cs="Times New Roman"/>
              </w:rPr>
              <w:t>100</w:t>
            </w:r>
          </w:p>
        </w:tc>
        <w:tc>
          <w:tcPr>
            <w:tcW w:w="663" w:type="dxa"/>
            <w:tcBorders>
              <w:top w:val="single" w:color="auto" w:sz="6" w:space="0"/>
              <w:left w:val="single" w:color="auto" w:sz="6" w:space="0"/>
              <w:bottom w:val="single" w:color="auto" w:sz="6" w:space="0"/>
              <w:right w:val="single" w:color="auto" w:sz="6" w:space="0"/>
            </w:tcBorders>
            <w:vAlign w:val="center"/>
          </w:tcPr>
          <w:p w14:paraId="31558ACA">
            <w:pPr>
              <w:jc w:val="center"/>
              <w:rPr>
                <w:rFonts w:ascii="Times New Roman" w:hAnsi="Times New Roman" w:eastAsia="宋体" w:cs="Times New Roman"/>
              </w:rPr>
            </w:pPr>
            <w:r>
              <w:rPr>
                <w:rFonts w:ascii="Times New Roman" w:hAnsi="Times New Roman" w:eastAsia="宋体" w:cs="Times New Roman"/>
              </w:rPr>
              <w:t>94</w:t>
            </w:r>
          </w:p>
        </w:tc>
        <w:tc>
          <w:tcPr>
            <w:tcW w:w="663" w:type="dxa"/>
            <w:tcBorders>
              <w:top w:val="single" w:color="auto" w:sz="6" w:space="0"/>
              <w:left w:val="single" w:color="auto" w:sz="6" w:space="0"/>
              <w:bottom w:val="single" w:color="auto" w:sz="6" w:space="0"/>
              <w:right w:val="single" w:color="auto" w:sz="6" w:space="0"/>
            </w:tcBorders>
            <w:vAlign w:val="center"/>
          </w:tcPr>
          <w:p w14:paraId="33B5F587">
            <w:pPr>
              <w:jc w:val="center"/>
              <w:rPr>
                <w:rFonts w:ascii="Times New Roman" w:hAnsi="Times New Roman" w:eastAsia="宋体" w:cs="Times New Roman"/>
              </w:rPr>
            </w:pPr>
            <w:r>
              <w:rPr>
                <w:rFonts w:ascii="Times New Roman" w:hAnsi="Times New Roman" w:eastAsia="宋体" w:cs="Times New Roman"/>
              </w:rPr>
              <w:t>88</w:t>
            </w:r>
          </w:p>
        </w:tc>
        <w:tc>
          <w:tcPr>
            <w:tcW w:w="662" w:type="dxa"/>
            <w:tcBorders>
              <w:top w:val="single" w:color="auto" w:sz="6" w:space="0"/>
              <w:left w:val="single" w:color="auto" w:sz="6" w:space="0"/>
              <w:bottom w:val="single" w:color="auto" w:sz="6" w:space="0"/>
              <w:right w:val="single" w:color="auto" w:sz="6" w:space="0"/>
            </w:tcBorders>
            <w:vAlign w:val="center"/>
          </w:tcPr>
          <w:p w14:paraId="64F7AE23">
            <w:pPr>
              <w:jc w:val="center"/>
              <w:rPr>
                <w:rFonts w:ascii="Times New Roman" w:hAnsi="Times New Roman" w:eastAsia="宋体" w:cs="Times New Roman"/>
              </w:rPr>
            </w:pPr>
            <w:r>
              <w:rPr>
                <w:rFonts w:ascii="Times New Roman" w:hAnsi="Times New Roman" w:eastAsia="宋体" w:cs="Times New Roman"/>
              </w:rPr>
              <w:t>82</w:t>
            </w:r>
          </w:p>
        </w:tc>
        <w:tc>
          <w:tcPr>
            <w:tcW w:w="663" w:type="dxa"/>
            <w:tcBorders>
              <w:top w:val="single" w:color="auto" w:sz="6" w:space="0"/>
              <w:left w:val="single" w:color="auto" w:sz="6" w:space="0"/>
              <w:bottom w:val="single" w:color="auto" w:sz="6" w:space="0"/>
              <w:right w:val="single" w:color="auto" w:sz="6" w:space="0"/>
            </w:tcBorders>
            <w:vAlign w:val="center"/>
          </w:tcPr>
          <w:p w14:paraId="2E140997">
            <w:pPr>
              <w:jc w:val="center"/>
              <w:rPr>
                <w:rFonts w:ascii="Times New Roman" w:hAnsi="Times New Roman" w:eastAsia="宋体" w:cs="Times New Roman"/>
              </w:rPr>
            </w:pPr>
            <w:r>
              <w:rPr>
                <w:rFonts w:ascii="Times New Roman" w:hAnsi="Times New Roman" w:eastAsia="宋体" w:cs="Times New Roman"/>
              </w:rPr>
              <w:t>78</w:t>
            </w:r>
          </w:p>
        </w:tc>
        <w:tc>
          <w:tcPr>
            <w:tcW w:w="663" w:type="dxa"/>
            <w:tcBorders>
              <w:top w:val="single" w:color="auto" w:sz="6" w:space="0"/>
              <w:left w:val="single" w:color="auto" w:sz="6" w:space="0"/>
              <w:bottom w:val="single" w:color="auto" w:sz="6" w:space="0"/>
              <w:right w:val="single" w:color="auto" w:sz="6" w:space="0"/>
            </w:tcBorders>
            <w:vAlign w:val="center"/>
          </w:tcPr>
          <w:p w14:paraId="725D9EF7">
            <w:pPr>
              <w:jc w:val="center"/>
              <w:rPr>
                <w:rFonts w:ascii="Times New Roman" w:hAnsi="Times New Roman" w:eastAsia="宋体" w:cs="Times New Roman"/>
              </w:rPr>
            </w:pPr>
            <w:r>
              <w:rPr>
                <w:rFonts w:ascii="Times New Roman" w:hAnsi="Times New Roman" w:eastAsia="宋体" w:cs="Times New Roman"/>
              </w:rPr>
              <w:t>76</w:t>
            </w:r>
          </w:p>
        </w:tc>
        <w:tc>
          <w:tcPr>
            <w:tcW w:w="662" w:type="dxa"/>
            <w:tcBorders>
              <w:top w:val="single" w:color="auto" w:sz="6" w:space="0"/>
              <w:left w:val="single" w:color="auto" w:sz="6" w:space="0"/>
              <w:bottom w:val="single" w:color="auto" w:sz="6" w:space="0"/>
              <w:right w:val="single" w:color="auto" w:sz="6" w:space="0"/>
            </w:tcBorders>
            <w:vAlign w:val="center"/>
          </w:tcPr>
          <w:p w14:paraId="0D34A876">
            <w:pPr>
              <w:jc w:val="center"/>
              <w:rPr>
                <w:rFonts w:ascii="Times New Roman" w:hAnsi="Times New Roman" w:eastAsia="宋体" w:cs="Times New Roman"/>
              </w:rPr>
            </w:pPr>
            <w:r>
              <w:rPr>
                <w:rFonts w:ascii="Times New Roman" w:hAnsi="Times New Roman" w:eastAsia="宋体" w:cs="Times New Roman"/>
              </w:rPr>
              <w:t>74</w:t>
            </w:r>
          </w:p>
        </w:tc>
        <w:tc>
          <w:tcPr>
            <w:tcW w:w="663" w:type="dxa"/>
            <w:tcBorders>
              <w:top w:val="single" w:color="auto" w:sz="6" w:space="0"/>
              <w:left w:val="single" w:color="auto" w:sz="6" w:space="0"/>
              <w:bottom w:val="single" w:color="auto" w:sz="6" w:space="0"/>
              <w:right w:val="single" w:color="auto" w:sz="6" w:space="0"/>
            </w:tcBorders>
            <w:vAlign w:val="center"/>
          </w:tcPr>
          <w:p w14:paraId="6D27EE39">
            <w:pPr>
              <w:jc w:val="center"/>
              <w:rPr>
                <w:rFonts w:ascii="Times New Roman" w:hAnsi="Times New Roman" w:eastAsia="宋体" w:cs="Times New Roman"/>
              </w:rPr>
            </w:pPr>
            <w:r>
              <w:rPr>
                <w:rFonts w:ascii="Times New Roman" w:hAnsi="Times New Roman" w:eastAsia="宋体" w:cs="Times New Roman"/>
              </w:rPr>
              <w:t>72</w:t>
            </w:r>
          </w:p>
        </w:tc>
        <w:tc>
          <w:tcPr>
            <w:tcW w:w="663" w:type="dxa"/>
            <w:tcBorders>
              <w:top w:val="single" w:color="auto" w:sz="6" w:space="0"/>
              <w:left w:val="single" w:color="auto" w:sz="6" w:space="0"/>
              <w:bottom w:val="single" w:color="auto" w:sz="6" w:space="0"/>
              <w:right w:val="single" w:color="auto" w:sz="6" w:space="0"/>
            </w:tcBorders>
            <w:vAlign w:val="center"/>
          </w:tcPr>
          <w:p w14:paraId="5D12DFBC">
            <w:pPr>
              <w:jc w:val="center"/>
              <w:rPr>
                <w:rFonts w:ascii="Times New Roman" w:hAnsi="Times New Roman" w:eastAsia="宋体" w:cs="Times New Roman"/>
              </w:rPr>
            </w:pPr>
            <w:r>
              <w:rPr>
                <w:rFonts w:ascii="Times New Roman" w:hAnsi="Times New Roman" w:eastAsia="宋体" w:cs="Times New Roman"/>
              </w:rPr>
              <w:t>70</w:t>
            </w:r>
          </w:p>
        </w:tc>
        <w:tc>
          <w:tcPr>
            <w:tcW w:w="663" w:type="dxa"/>
            <w:tcBorders>
              <w:top w:val="single" w:color="auto" w:sz="6" w:space="0"/>
              <w:left w:val="single" w:color="auto" w:sz="6" w:space="0"/>
              <w:bottom w:val="single" w:color="auto" w:sz="6" w:space="0"/>
              <w:right w:val="thickThinSmallGap" w:color="auto" w:sz="12" w:space="0"/>
            </w:tcBorders>
            <w:vAlign w:val="center"/>
          </w:tcPr>
          <w:p w14:paraId="765848EC">
            <w:pPr>
              <w:jc w:val="center"/>
              <w:rPr>
                <w:rFonts w:ascii="Times New Roman" w:hAnsi="Times New Roman" w:eastAsia="宋体" w:cs="Times New Roman"/>
              </w:rPr>
            </w:pPr>
            <w:r>
              <w:rPr>
                <w:rFonts w:ascii="Times New Roman" w:hAnsi="Times New Roman" w:eastAsia="宋体" w:cs="Times New Roman"/>
              </w:rPr>
              <w:t>68</w:t>
            </w:r>
          </w:p>
        </w:tc>
      </w:tr>
      <w:tr w14:paraId="7130651B">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534" w:type="dxa"/>
            <w:tcBorders>
              <w:top w:val="single" w:color="auto" w:sz="6" w:space="0"/>
              <w:left w:val="thinThickSmallGap" w:color="auto" w:sz="12" w:space="0"/>
              <w:bottom w:val="single" w:color="auto" w:sz="6" w:space="0"/>
              <w:right w:val="single" w:color="auto" w:sz="6" w:space="0"/>
            </w:tcBorders>
            <w:vAlign w:val="center"/>
          </w:tcPr>
          <w:p w14:paraId="2495D03C">
            <w:pPr>
              <w:jc w:val="center"/>
              <w:rPr>
                <w:rFonts w:ascii="Times New Roman" w:hAnsi="Times New Roman" w:eastAsia="宋体" w:cs="Times New Roman"/>
              </w:rPr>
            </w:pPr>
            <w:r>
              <w:rPr>
                <w:rFonts w:ascii="Times New Roman" w:hAnsi="Times New Roman" w:eastAsia="宋体" w:cs="Times New Roman"/>
              </w:rPr>
              <w:t>10</w:t>
            </w:r>
          </w:p>
        </w:tc>
        <w:tc>
          <w:tcPr>
            <w:tcW w:w="1559" w:type="dxa"/>
            <w:tcBorders>
              <w:top w:val="single" w:color="auto" w:sz="6" w:space="0"/>
              <w:left w:val="single" w:color="auto" w:sz="6" w:space="0"/>
              <w:bottom w:val="single" w:color="auto" w:sz="6" w:space="0"/>
              <w:right w:val="single" w:color="auto" w:sz="6" w:space="0"/>
            </w:tcBorders>
            <w:vAlign w:val="center"/>
          </w:tcPr>
          <w:p w14:paraId="6AAE0F63">
            <w:pPr>
              <w:jc w:val="center"/>
              <w:rPr>
                <w:rFonts w:ascii="Times New Roman" w:hAnsi="Times New Roman" w:eastAsia="宋体" w:cs="Times New Roman"/>
              </w:rPr>
            </w:pPr>
            <w:r>
              <w:rPr>
                <w:rFonts w:ascii="Times New Roman" w:hAnsi="Times New Roman" w:eastAsia="宋体" w:cs="Times New Roman"/>
              </w:rPr>
              <w:t>打桩机</w:t>
            </w:r>
          </w:p>
        </w:tc>
        <w:tc>
          <w:tcPr>
            <w:tcW w:w="662" w:type="dxa"/>
            <w:tcBorders>
              <w:top w:val="single" w:color="auto" w:sz="6" w:space="0"/>
              <w:left w:val="single" w:color="auto" w:sz="6" w:space="0"/>
              <w:bottom w:val="single" w:color="auto" w:sz="6" w:space="0"/>
              <w:right w:val="single" w:color="auto" w:sz="6" w:space="0"/>
            </w:tcBorders>
            <w:vAlign w:val="center"/>
          </w:tcPr>
          <w:p w14:paraId="23F34D5F">
            <w:pPr>
              <w:jc w:val="center"/>
              <w:rPr>
                <w:rFonts w:ascii="Times New Roman" w:hAnsi="Times New Roman" w:eastAsia="宋体" w:cs="Times New Roman"/>
              </w:rPr>
            </w:pPr>
            <w:r>
              <w:rPr>
                <w:rFonts w:ascii="Times New Roman" w:hAnsi="Times New Roman" w:eastAsia="宋体" w:cs="Times New Roman"/>
              </w:rPr>
              <w:t>110</w:t>
            </w:r>
          </w:p>
        </w:tc>
        <w:tc>
          <w:tcPr>
            <w:tcW w:w="663" w:type="dxa"/>
            <w:tcBorders>
              <w:top w:val="single" w:color="auto" w:sz="6" w:space="0"/>
              <w:left w:val="single" w:color="auto" w:sz="6" w:space="0"/>
              <w:bottom w:val="single" w:color="auto" w:sz="6" w:space="0"/>
              <w:right w:val="single" w:color="auto" w:sz="6" w:space="0"/>
            </w:tcBorders>
            <w:vAlign w:val="center"/>
          </w:tcPr>
          <w:p w14:paraId="637B378F">
            <w:pPr>
              <w:jc w:val="center"/>
              <w:rPr>
                <w:rFonts w:ascii="Times New Roman" w:hAnsi="Times New Roman" w:eastAsia="宋体" w:cs="Times New Roman"/>
              </w:rPr>
            </w:pPr>
            <w:r>
              <w:rPr>
                <w:rFonts w:ascii="Times New Roman" w:hAnsi="Times New Roman" w:eastAsia="宋体" w:cs="Times New Roman"/>
              </w:rPr>
              <w:t>104</w:t>
            </w:r>
          </w:p>
        </w:tc>
        <w:tc>
          <w:tcPr>
            <w:tcW w:w="663" w:type="dxa"/>
            <w:tcBorders>
              <w:top w:val="single" w:color="auto" w:sz="6" w:space="0"/>
              <w:left w:val="single" w:color="auto" w:sz="6" w:space="0"/>
              <w:bottom w:val="single" w:color="auto" w:sz="6" w:space="0"/>
              <w:right w:val="single" w:color="auto" w:sz="6" w:space="0"/>
            </w:tcBorders>
            <w:vAlign w:val="center"/>
          </w:tcPr>
          <w:p w14:paraId="63AA9309">
            <w:pPr>
              <w:jc w:val="center"/>
              <w:rPr>
                <w:rFonts w:ascii="Times New Roman" w:hAnsi="Times New Roman" w:eastAsia="宋体" w:cs="Times New Roman"/>
              </w:rPr>
            </w:pPr>
            <w:r>
              <w:rPr>
                <w:rFonts w:ascii="Times New Roman" w:hAnsi="Times New Roman" w:eastAsia="宋体" w:cs="Times New Roman"/>
              </w:rPr>
              <w:t>98</w:t>
            </w:r>
          </w:p>
        </w:tc>
        <w:tc>
          <w:tcPr>
            <w:tcW w:w="662" w:type="dxa"/>
            <w:tcBorders>
              <w:top w:val="single" w:color="auto" w:sz="6" w:space="0"/>
              <w:left w:val="single" w:color="auto" w:sz="6" w:space="0"/>
              <w:bottom w:val="single" w:color="auto" w:sz="6" w:space="0"/>
              <w:right w:val="single" w:color="auto" w:sz="6" w:space="0"/>
            </w:tcBorders>
            <w:vAlign w:val="center"/>
          </w:tcPr>
          <w:p w14:paraId="5F6EDD3C">
            <w:pPr>
              <w:jc w:val="center"/>
              <w:rPr>
                <w:rFonts w:ascii="Times New Roman" w:hAnsi="Times New Roman" w:eastAsia="宋体" w:cs="Times New Roman"/>
              </w:rPr>
            </w:pPr>
            <w:r>
              <w:rPr>
                <w:rFonts w:ascii="Times New Roman" w:hAnsi="Times New Roman" w:eastAsia="宋体" w:cs="Times New Roman"/>
              </w:rPr>
              <w:t>92</w:t>
            </w:r>
          </w:p>
        </w:tc>
        <w:tc>
          <w:tcPr>
            <w:tcW w:w="663" w:type="dxa"/>
            <w:tcBorders>
              <w:top w:val="single" w:color="auto" w:sz="6" w:space="0"/>
              <w:left w:val="single" w:color="auto" w:sz="6" w:space="0"/>
              <w:bottom w:val="single" w:color="auto" w:sz="6" w:space="0"/>
              <w:right w:val="single" w:color="auto" w:sz="6" w:space="0"/>
            </w:tcBorders>
            <w:vAlign w:val="center"/>
          </w:tcPr>
          <w:p w14:paraId="64E21FDC">
            <w:pPr>
              <w:jc w:val="center"/>
              <w:rPr>
                <w:rFonts w:ascii="Times New Roman" w:hAnsi="Times New Roman" w:eastAsia="宋体" w:cs="Times New Roman"/>
              </w:rPr>
            </w:pPr>
            <w:r>
              <w:rPr>
                <w:rFonts w:ascii="Times New Roman" w:hAnsi="Times New Roman" w:eastAsia="宋体" w:cs="Times New Roman"/>
              </w:rPr>
              <w:t>88</w:t>
            </w:r>
          </w:p>
        </w:tc>
        <w:tc>
          <w:tcPr>
            <w:tcW w:w="663" w:type="dxa"/>
            <w:tcBorders>
              <w:top w:val="single" w:color="auto" w:sz="6" w:space="0"/>
              <w:left w:val="single" w:color="auto" w:sz="6" w:space="0"/>
              <w:bottom w:val="single" w:color="auto" w:sz="6" w:space="0"/>
              <w:right w:val="single" w:color="auto" w:sz="6" w:space="0"/>
            </w:tcBorders>
            <w:vAlign w:val="center"/>
          </w:tcPr>
          <w:p w14:paraId="1F3CAD03">
            <w:pPr>
              <w:jc w:val="center"/>
              <w:rPr>
                <w:rFonts w:ascii="Times New Roman" w:hAnsi="Times New Roman" w:eastAsia="宋体" w:cs="Times New Roman"/>
              </w:rPr>
            </w:pPr>
            <w:r>
              <w:rPr>
                <w:rFonts w:ascii="Times New Roman" w:hAnsi="Times New Roman" w:eastAsia="宋体" w:cs="Times New Roman"/>
              </w:rPr>
              <w:t>86</w:t>
            </w:r>
          </w:p>
        </w:tc>
        <w:tc>
          <w:tcPr>
            <w:tcW w:w="662" w:type="dxa"/>
            <w:tcBorders>
              <w:top w:val="single" w:color="auto" w:sz="6" w:space="0"/>
              <w:left w:val="single" w:color="auto" w:sz="6" w:space="0"/>
              <w:bottom w:val="single" w:color="auto" w:sz="6" w:space="0"/>
              <w:right w:val="single" w:color="auto" w:sz="6" w:space="0"/>
            </w:tcBorders>
            <w:vAlign w:val="center"/>
          </w:tcPr>
          <w:p w14:paraId="46BF3C70">
            <w:pPr>
              <w:jc w:val="center"/>
              <w:rPr>
                <w:rFonts w:ascii="Times New Roman" w:hAnsi="Times New Roman" w:eastAsia="宋体" w:cs="Times New Roman"/>
              </w:rPr>
            </w:pPr>
            <w:r>
              <w:rPr>
                <w:rFonts w:ascii="Times New Roman" w:hAnsi="Times New Roman" w:eastAsia="宋体" w:cs="Times New Roman"/>
              </w:rPr>
              <w:t>84</w:t>
            </w:r>
          </w:p>
        </w:tc>
        <w:tc>
          <w:tcPr>
            <w:tcW w:w="663" w:type="dxa"/>
            <w:tcBorders>
              <w:top w:val="single" w:color="auto" w:sz="6" w:space="0"/>
              <w:left w:val="single" w:color="auto" w:sz="6" w:space="0"/>
              <w:bottom w:val="single" w:color="auto" w:sz="6" w:space="0"/>
              <w:right w:val="single" w:color="auto" w:sz="6" w:space="0"/>
            </w:tcBorders>
            <w:vAlign w:val="center"/>
          </w:tcPr>
          <w:p w14:paraId="434C48C6">
            <w:pPr>
              <w:jc w:val="center"/>
              <w:rPr>
                <w:rFonts w:ascii="Times New Roman" w:hAnsi="Times New Roman" w:eastAsia="宋体" w:cs="Times New Roman"/>
              </w:rPr>
            </w:pPr>
            <w:r>
              <w:rPr>
                <w:rFonts w:ascii="Times New Roman" w:hAnsi="Times New Roman" w:eastAsia="宋体" w:cs="Times New Roman"/>
              </w:rPr>
              <w:t>82</w:t>
            </w:r>
          </w:p>
        </w:tc>
        <w:tc>
          <w:tcPr>
            <w:tcW w:w="663" w:type="dxa"/>
            <w:tcBorders>
              <w:top w:val="single" w:color="auto" w:sz="6" w:space="0"/>
              <w:left w:val="single" w:color="auto" w:sz="6" w:space="0"/>
              <w:bottom w:val="single" w:color="auto" w:sz="6" w:space="0"/>
              <w:right w:val="single" w:color="auto" w:sz="6" w:space="0"/>
            </w:tcBorders>
            <w:vAlign w:val="center"/>
          </w:tcPr>
          <w:p w14:paraId="268304BD">
            <w:pPr>
              <w:jc w:val="center"/>
              <w:rPr>
                <w:rFonts w:ascii="Times New Roman" w:hAnsi="Times New Roman" w:eastAsia="宋体" w:cs="Times New Roman"/>
              </w:rPr>
            </w:pPr>
            <w:r>
              <w:rPr>
                <w:rFonts w:ascii="Times New Roman" w:hAnsi="Times New Roman" w:eastAsia="宋体" w:cs="Times New Roman"/>
              </w:rPr>
              <w:t>80</w:t>
            </w:r>
          </w:p>
        </w:tc>
        <w:tc>
          <w:tcPr>
            <w:tcW w:w="663" w:type="dxa"/>
            <w:tcBorders>
              <w:top w:val="single" w:color="auto" w:sz="6" w:space="0"/>
              <w:left w:val="single" w:color="auto" w:sz="6" w:space="0"/>
              <w:bottom w:val="single" w:color="auto" w:sz="6" w:space="0"/>
              <w:right w:val="thickThinSmallGap" w:color="auto" w:sz="12" w:space="0"/>
            </w:tcBorders>
            <w:vAlign w:val="center"/>
          </w:tcPr>
          <w:p w14:paraId="01ED8960">
            <w:pPr>
              <w:jc w:val="center"/>
              <w:rPr>
                <w:rFonts w:ascii="Times New Roman" w:hAnsi="Times New Roman" w:eastAsia="宋体" w:cs="Times New Roman"/>
              </w:rPr>
            </w:pPr>
            <w:r>
              <w:rPr>
                <w:rFonts w:ascii="Times New Roman" w:hAnsi="Times New Roman" w:eastAsia="宋体" w:cs="Times New Roman"/>
              </w:rPr>
              <w:t>78</w:t>
            </w:r>
          </w:p>
        </w:tc>
      </w:tr>
      <w:tr w14:paraId="3E94F337">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534" w:type="dxa"/>
            <w:tcBorders>
              <w:top w:val="single" w:color="auto" w:sz="6" w:space="0"/>
              <w:left w:val="thinThickSmallGap" w:color="auto" w:sz="12" w:space="0"/>
              <w:bottom w:val="single" w:color="auto" w:sz="6" w:space="0"/>
              <w:right w:val="single" w:color="auto" w:sz="6" w:space="0"/>
            </w:tcBorders>
            <w:vAlign w:val="center"/>
          </w:tcPr>
          <w:p w14:paraId="39611294">
            <w:pPr>
              <w:jc w:val="center"/>
              <w:rPr>
                <w:rFonts w:ascii="Times New Roman" w:hAnsi="Times New Roman" w:eastAsia="宋体" w:cs="Times New Roman"/>
              </w:rPr>
            </w:pPr>
            <w:r>
              <w:rPr>
                <w:rFonts w:ascii="Times New Roman" w:hAnsi="Times New Roman" w:eastAsia="宋体" w:cs="Times New Roman"/>
              </w:rPr>
              <w:t>11</w:t>
            </w:r>
          </w:p>
        </w:tc>
        <w:tc>
          <w:tcPr>
            <w:tcW w:w="1559" w:type="dxa"/>
            <w:tcBorders>
              <w:top w:val="single" w:color="auto" w:sz="6" w:space="0"/>
              <w:left w:val="single" w:color="auto" w:sz="6" w:space="0"/>
              <w:bottom w:val="single" w:color="auto" w:sz="6" w:space="0"/>
              <w:right w:val="single" w:color="auto" w:sz="6" w:space="0"/>
            </w:tcBorders>
            <w:vAlign w:val="center"/>
          </w:tcPr>
          <w:p w14:paraId="1A2032ED">
            <w:pPr>
              <w:jc w:val="center"/>
              <w:rPr>
                <w:rFonts w:ascii="Times New Roman" w:hAnsi="Times New Roman" w:eastAsia="宋体" w:cs="Times New Roman"/>
              </w:rPr>
            </w:pPr>
            <w:r>
              <w:rPr>
                <w:rFonts w:ascii="Times New Roman" w:hAnsi="Times New Roman" w:eastAsia="宋体" w:cs="Times New Roman"/>
              </w:rPr>
              <w:t>静力压桩机</w:t>
            </w:r>
          </w:p>
        </w:tc>
        <w:tc>
          <w:tcPr>
            <w:tcW w:w="662" w:type="dxa"/>
            <w:tcBorders>
              <w:top w:val="single" w:color="auto" w:sz="6" w:space="0"/>
              <w:left w:val="single" w:color="auto" w:sz="6" w:space="0"/>
              <w:bottom w:val="single" w:color="auto" w:sz="6" w:space="0"/>
              <w:right w:val="single" w:color="auto" w:sz="6" w:space="0"/>
            </w:tcBorders>
            <w:vAlign w:val="center"/>
          </w:tcPr>
          <w:p w14:paraId="0A72D9F9">
            <w:pPr>
              <w:jc w:val="center"/>
              <w:rPr>
                <w:rFonts w:ascii="Times New Roman" w:hAnsi="Times New Roman" w:eastAsia="宋体" w:cs="Times New Roman"/>
              </w:rPr>
            </w:pPr>
            <w:r>
              <w:rPr>
                <w:rFonts w:ascii="Times New Roman" w:hAnsi="Times New Roman" w:eastAsia="宋体" w:cs="Times New Roman"/>
              </w:rPr>
              <w:t>75</w:t>
            </w:r>
          </w:p>
        </w:tc>
        <w:tc>
          <w:tcPr>
            <w:tcW w:w="663" w:type="dxa"/>
            <w:tcBorders>
              <w:top w:val="single" w:color="auto" w:sz="6" w:space="0"/>
              <w:left w:val="single" w:color="auto" w:sz="6" w:space="0"/>
              <w:bottom w:val="single" w:color="auto" w:sz="6" w:space="0"/>
              <w:right w:val="single" w:color="auto" w:sz="6" w:space="0"/>
            </w:tcBorders>
            <w:vAlign w:val="center"/>
          </w:tcPr>
          <w:p w14:paraId="1A82EBD1">
            <w:pPr>
              <w:jc w:val="center"/>
              <w:rPr>
                <w:rFonts w:ascii="Times New Roman" w:hAnsi="Times New Roman" w:eastAsia="宋体" w:cs="Times New Roman"/>
              </w:rPr>
            </w:pPr>
            <w:r>
              <w:rPr>
                <w:rFonts w:ascii="Times New Roman" w:hAnsi="Times New Roman" w:eastAsia="宋体" w:cs="Times New Roman"/>
              </w:rPr>
              <w:t>69</w:t>
            </w:r>
          </w:p>
        </w:tc>
        <w:tc>
          <w:tcPr>
            <w:tcW w:w="663" w:type="dxa"/>
            <w:tcBorders>
              <w:top w:val="single" w:color="auto" w:sz="6" w:space="0"/>
              <w:left w:val="single" w:color="auto" w:sz="6" w:space="0"/>
              <w:bottom w:val="single" w:color="auto" w:sz="6" w:space="0"/>
              <w:right w:val="single" w:color="auto" w:sz="6" w:space="0"/>
            </w:tcBorders>
            <w:vAlign w:val="center"/>
          </w:tcPr>
          <w:p w14:paraId="5DF43BB5">
            <w:pPr>
              <w:jc w:val="center"/>
              <w:rPr>
                <w:rFonts w:ascii="Times New Roman" w:hAnsi="Times New Roman" w:eastAsia="宋体" w:cs="Times New Roman"/>
              </w:rPr>
            </w:pPr>
            <w:r>
              <w:rPr>
                <w:rFonts w:ascii="Times New Roman" w:hAnsi="Times New Roman" w:eastAsia="宋体" w:cs="Times New Roman"/>
              </w:rPr>
              <w:t>63</w:t>
            </w:r>
          </w:p>
        </w:tc>
        <w:tc>
          <w:tcPr>
            <w:tcW w:w="662" w:type="dxa"/>
            <w:tcBorders>
              <w:top w:val="single" w:color="auto" w:sz="6" w:space="0"/>
              <w:left w:val="single" w:color="auto" w:sz="6" w:space="0"/>
              <w:bottom w:val="single" w:color="auto" w:sz="6" w:space="0"/>
              <w:right w:val="single" w:color="auto" w:sz="6" w:space="0"/>
            </w:tcBorders>
            <w:vAlign w:val="center"/>
          </w:tcPr>
          <w:p w14:paraId="127A81B0">
            <w:pPr>
              <w:jc w:val="center"/>
              <w:rPr>
                <w:rFonts w:ascii="Times New Roman" w:hAnsi="Times New Roman" w:eastAsia="宋体" w:cs="Times New Roman"/>
              </w:rPr>
            </w:pPr>
            <w:r>
              <w:rPr>
                <w:rFonts w:ascii="Times New Roman" w:hAnsi="Times New Roman" w:eastAsia="宋体" w:cs="Times New Roman"/>
              </w:rPr>
              <w:t>57</w:t>
            </w:r>
          </w:p>
        </w:tc>
        <w:tc>
          <w:tcPr>
            <w:tcW w:w="663" w:type="dxa"/>
            <w:tcBorders>
              <w:top w:val="single" w:color="auto" w:sz="6" w:space="0"/>
              <w:left w:val="single" w:color="auto" w:sz="6" w:space="0"/>
              <w:bottom w:val="single" w:color="auto" w:sz="6" w:space="0"/>
              <w:right w:val="single" w:color="auto" w:sz="6" w:space="0"/>
            </w:tcBorders>
            <w:vAlign w:val="center"/>
          </w:tcPr>
          <w:p w14:paraId="6B9AFC98">
            <w:pPr>
              <w:jc w:val="center"/>
              <w:rPr>
                <w:rFonts w:ascii="Times New Roman" w:hAnsi="Times New Roman" w:eastAsia="宋体" w:cs="Times New Roman"/>
              </w:rPr>
            </w:pPr>
            <w:r>
              <w:rPr>
                <w:rFonts w:ascii="Times New Roman" w:hAnsi="Times New Roman" w:eastAsia="宋体" w:cs="Times New Roman"/>
              </w:rPr>
              <w:t>53</w:t>
            </w:r>
          </w:p>
        </w:tc>
        <w:tc>
          <w:tcPr>
            <w:tcW w:w="663" w:type="dxa"/>
            <w:tcBorders>
              <w:top w:val="single" w:color="auto" w:sz="6" w:space="0"/>
              <w:left w:val="single" w:color="auto" w:sz="6" w:space="0"/>
              <w:bottom w:val="single" w:color="auto" w:sz="6" w:space="0"/>
              <w:right w:val="single" w:color="auto" w:sz="6" w:space="0"/>
            </w:tcBorders>
            <w:vAlign w:val="center"/>
          </w:tcPr>
          <w:p w14:paraId="3E7A79B1">
            <w:pPr>
              <w:jc w:val="center"/>
              <w:rPr>
                <w:rFonts w:ascii="Times New Roman" w:hAnsi="Times New Roman" w:eastAsia="宋体" w:cs="Times New Roman"/>
              </w:rPr>
            </w:pPr>
            <w:r>
              <w:rPr>
                <w:rFonts w:ascii="Times New Roman" w:hAnsi="Times New Roman" w:eastAsia="宋体" w:cs="Times New Roman"/>
              </w:rPr>
              <w:t>51</w:t>
            </w:r>
          </w:p>
        </w:tc>
        <w:tc>
          <w:tcPr>
            <w:tcW w:w="662" w:type="dxa"/>
            <w:tcBorders>
              <w:top w:val="single" w:color="auto" w:sz="6" w:space="0"/>
              <w:left w:val="single" w:color="auto" w:sz="6" w:space="0"/>
              <w:bottom w:val="single" w:color="auto" w:sz="6" w:space="0"/>
              <w:right w:val="single" w:color="auto" w:sz="6" w:space="0"/>
            </w:tcBorders>
            <w:vAlign w:val="center"/>
          </w:tcPr>
          <w:p w14:paraId="4E21DFA5">
            <w:pPr>
              <w:jc w:val="center"/>
              <w:rPr>
                <w:rFonts w:ascii="Times New Roman" w:hAnsi="Times New Roman" w:eastAsia="宋体" w:cs="Times New Roman"/>
              </w:rPr>
            </w:pPr>
            <w:r>
              <w:rPr>
                <w:rFonts w:ascii="Times New Roman" w:hAnsi="Times New Roman" w:eastAsia="宋体" w:cs="Times New Roman"/>
              </w:rPr>
              <w:t>49</w:t>
            </w:r>
          </w:p>
        </w:tc>
        <w:tc>
          <w:tcPr>
            <w:tcW w:w="663" w:type="dxa"/>
            <w:tcBorders>
              <w:top w:val="single" w:color="auto" w:sz="6" w:space="0"/>
              <w:left w:val="single" w:color="auto" w:sz="6" w:space="0"/>
              <w:bottom w:val="single" w:color="auto" w:sz="6" w:space="0"/>
              <w:right w:val="single" w:color="auto" w:sz="6" w:space="0"/>
            </w:tcBorders>
            <w:vAlign w:val="center"/>
          </w:tcPr>
          <w:p w14:paraId="6B0B522E">
            <w:pPr>
              <w:jc w:val="center"/>
              <w:rPr>
                <w:rFonts w:ascii="Times New Roman" w:hAnsi="Times New Roman" w:eastAsia="宋体" w:cs="Times New Roman"/>
              </w:rPr>
            </w:pPr>
            <w:r>
              <w:rPr>
                <w:rFonts w:ascii="Times New Roman" w:hAnsi="Times New Roman" w:eastAsia="宋体" w:cs="Times New Roman"/>
              </w:rPr>
              <w:t>47</w:t>
            </w:r>
          </w:p>
        </w:tc>
        <w:tc>
          <w:tcPr>
            <w:tcW w:w="663" w:type="dxa"/>
            <w:tcBorders>
              <w:top w:val="single" w:color="auto" w:sz="6" w:space="0"/>
              <w:left w:val="single" w:color="auto" w:sz="6" w:space="0"/>
              <w:bottom w:val="single" w:color="auto" w:sz="6" w:space="0"/>
              <w:right w:val="single" w:color="auto" w:sz="6" w:space="0"/>
            </w:tcBorders>
            <w:vAlign w:val="center"/>
          </w:tcPr>
          <w:p w14:paraId="2D976C6B">
            <w:pPr>
              <w:jc w:val="center"/>
              <w:rPr>
                <w:rFonts w:ascii="Times New Roman" w:hAnsi="Times New Roman" w:eastAsia="宋体" w:cs="Times New Roman"/>
              </w:rPr>
            </w:pPr>
            <w:r>
              <w:rPr>
                <w:rFonts w:ascii="Times New Roman" w:hAnsi="Times New Roman" w:eastAsia="宋体" w:cs="Times New Roman"/>
              </w:rPr>
              <w:t>45</w:t>
            </w:r>
          </w:p>
        </w:tc>
        <w:tc>
          <w:tcPr>
            <w:tcW w:w="663" w:type="dxa"/>
            <w:tcBorders>
              <w:top w:val="single" w:color="auto" w:sz="6" w:space="0"/>
              <w:left w:val="single" w:color="auto" w:sz="6" w:space="0"/>
              <w:bottom w:val="single" w:color="auto" w:sz="6" w:space="0"/>
              <w:right w:val="thickThinSmallGap" w:color="auto" w:sz="12" w:space="0"/>
            </w:tcBorders>
            <w:vAlign w:val="center"/>
          </w:tcPr>
          <w:p w14:paraId="48442AB0">
            <w:pPr>
              <w:jc w:val="center"/>
              <w:rPr>
                <w:rFonts w:ascii="Times New Roman" w:hAnsi="Times New Roman" w:eastAsia="宋体" w:cs="Times New Roman"/>
              </w:rPr>
            </w:pPr>
            <w:r>
              <w:rPr>
                <w:rFonts w:ascii="Times New Roman" w:hAnsi="Times New Roman" w:eastAsia="宋体" w:cs="Times New Roman"/>
              </w:rPr>
              <w:t>43</w:t>
            </w:r>
          </w:p>
        </w:tc>
      </w:tr>
      <w:tr w14:paraId="20E43280">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534" w:type="dxa"/>
            <w:tcBorders>
              <w:top w:val="single" w:color="auto" w:sz="6" w:space="0"/>
              <w:left w:val="thinThickSmallGap" w:color="auto" w:sz="12" w:space="0"/>
              <w:bottom w:val="single" w:color="auto" w:sz="6" w:space="0"/>
              <w:right w:val="single" w:color="auto" w:sz="6" w:space="0"/>
            </w:tcBorders>
            <w:vAlign w:val="center"/>
          </w:tcPr>
          <w:p w14:paraId="04FD1C92">
            <w:pPr>
              <w:jc w:val="center"/>
              <w:rPr>
                <w:rFonts w:ascii="Times New Roman" w:hAnsi="Times New Roman" w:eastAsia="宋体" w:cs="Times New Roman"/>
              </w:rPr>
            </w:pPr>
            <w:r>
              <w:rPr>
                <w:rFonts w:ascii="Times New Roman" w:hAnsi="Times New Roman" w:eastAsia="宋体" w:cs="Times New Roman"/>
              </w:rPr>
              <w:t>12</w:t>
            </w:r>
          </w:p>
        </w:tc>
        <w:tc>
          <w:tcPr>
            <w:tcW w:w="1559" w:type="dxa"/>
            <w:tcBorders>
              <w:top w:val="single" w:color="auto" w:sz="6" w:space="0"/>
              <w:left w:val="single" w:color="auto" w:sz="6" w:space="0"/>
              <w:bottom w:val="single" w:color="auto" w:sz="6" w:space="0"/>
              <w:right w:val="single" w:color="auto" w:sz="6" w:space="0"/>
            </w:tcBorders>
            <w:vAlign w:val="center"/>
          </w:tcPr>
          <w:p w14:paraId="5F638570">
            <w:pPr>
              <w:jc w:val="center"/>
              <w:rPr>
                <w:rFonts w:ascii="Times New Roman" w:hAnsi="Times New Roman" w:eastAsia="宋体" w:cs="Times New Roman"/>
              </w:rPr>
            </w:pPr>
            <w:r>
              <w:rPr>
                <w:rFonts w:ascii="Times New Roman" w:hAnsi="Times New Roman" w:eastAsia="宋体" w:cs="Times New Roman"/>
              </w:rPr>
              <w:t>风镐</w:t>
            </w:r>
          </w:p>
        </w:tc>
        <w:tc>
          <w:tcPr>
            <w:tcW w:w="662" w:type="dxa"/>
            <w:tcBorders>
              <w:top w:val="single" w:color="auto" w:sz="6" w:space="0"/>
              <w:left w:val="single" w:color="auto" w:sz="6" w:space="0"/>
              <w:bottom w:val="single" w:color="auto" w:sz="6" w:space="0"/>
              <w:right w:val="single" w:color="auto" w:sz="6" w:space="0"/>
            </w:tcBorders>
            <w:vAlign w:val="center"/>
          </w:tcPr>
          <w:p w14:paraId="0EAEA809">
            <w:pPr>
              <w:jc w:val="center"/>
              <w:rPr>
                <w:rFonts w:ascii="Times New Roman" w:hAnsi="Times New Roman" w:eastAsia="宋体" w:cs="Times New Roman"/>
              </w:rPr>
            </w:pPr>
            <w:r>
              <w:rPr>
                <w:rFonts w:ascii="Times New Roman" w:hAnsi="Times New Roman" w:eastAsia="宋体" w:cs="Times New Roman"/>
              </w:rPr>
              <w:t>92</w:t>
            </w:r>
          </w:p>
        </w:tc>
        <w:tc>
          <w:tcPr>
            <w:tcW w:w="663" w:type="dxa"/>
            <w:tcBorders>
              <w:top w:val="single" w:color="auto" w:sz="6" w:space="0"/>
              <w:left w:val="single" w:color="auto" w:sz="6" w:space="0"/>
              <w:bottom w:val="single" w:color="auto" w:sz="6" w:space="0"/>
              <w:right w:val="single" w:color="auto" w:sz="6" w:space="0"/>
            </w:tcBorders>
            <w:vAlign w:val="center"/>
          </w:tcPr>
          <w:p w14:paraId="4B8FFBA2">
            <w:pPr>
              <w:jc w:val="center"/>
              <w:rPr>
                <w:rFonts w:ascii="Times New Roman" w:hAnsi="Times New Roman" w:eastAsia="宋体" w:cs="Times New Roman"/>
              </w:rPr>
            </w:pPr>
            <w:r>
              <w:rPr>
                <w:rFonts w:ascii="Times New Roman" w:hAnsi="Times New Roman" w:eastAsia="宋体" w:cs="Times New Roman"/>
              </w:rPr>
              <w:t>86</w:t>
            </w:r>
          </w:p>
        </w:tc>
        <w:tc>
          <w:tcPr>
            <w:tcW w:w="663" w:type="dxa"/>
            <w:tcBorders>
              <w:top w:val="single" w:color="auto" w:sz="6" w:space="0"/>
              <w:left w:val="single" w:color="auto" w:sz="6" w:space="0"/>
              <w:bottom w:val="single" w:color="auto" w:sz="6" w:space="0"/>
              <w:right w:val="single" w:color="auto" w:sz="6" w:space="0"/>
            </w:tcBorders>
            <w:vAlign w:val="center"/>
          </w:tcPr>
          <w:p w14:paraId="4D12746C">
            <w:pPr>
              <w:jc w:val="center"/>
              <w:rPr>
                <w:rFonts w:ascii="Times New Roman" w:hAnsi="Times New Roman" w:eastAsia="宋体" w:cs="Times New Roman"/>
              </w:rPr>
            </w:pPr>
            <w:r>
              <w:rPr>
                <w:rFonts w:ascii="Times New Roman" w:hAnsi="Times New Roman" w:eastAsia="宋体" w:cs="Times New Roman"/>
              </w:rPr>
              <w:t>80</w:t>
            </w:r>
          </w:p>
        </w:tc>
        <w:tc>
          <w:tcPr>
            <w:tcW w:w="662" w:type="dxa"/>
            <w:tcBorders>
              <w:top w:val="single" w:color="auto" w:sz="6" w:space="0"/>
              <w:left w:val="single" w:color="auto" w:sz="6" w:space="0"/>
              <w:bottom w:val="single" w:color="auto" w:sz="6" w:space="0"/>
              <w:right w:val="single" w:color="auto" w:sz="6" w:space="0"/>
            </w:tcBorders>
            <w:vAlign w:val="center"/>
          </w:tcPr>
          <w:p w14:paraId="7EA95532">
            <w:pPr>
              <w:jc w:val="center"/>
              <w:rPr>
                <w:rFonts w:ascii="Times New Roman" w:hAnsi="Times New Roman" w:eastAsia="宋体" w:cs="Times New Roman"/>
              </w:rPr>
            </w:pPr>
            <w:r>
              <w:rPr>
                <w:rFonts w:ascii="Times New Roman" w:hAnsi="Times New Roman" w:eastAsia="宋体" w:cs="Times New Roman"/>
              </w:rPr>
              <w:t>74</w:t>
            </w:r>
          </w:p>
        </w:tc>
        <w:tc>
          <w:tcPr>
            <w:tcW w:w="663" w:type="dxa"/>
            <w:tcBorders>
              <w:top w:val="single" w:color="auto" w:sz="6" w:space="0"/>
              <w:left w:val="single" w:color="auto" w:sz="6" w:space="0"/>
              <w:bottom w:val="single" w:color="auto" w:sz="6" w:space="0"/>
              <w:right w:val="single" w:color="auto" w:sz="6" w:space="0"/>
            </w:tcBorders>
            <w:vAlign w:val="center"/>
          </w:tcPr>
          <w:p w14:paraId="0D732EDB">
            <w:pPr>
              <w:jc w:val="center"/>
              <w:rPr>
                <w:rFonts w:ascii="Times New Roman" w:hAnsi="Times New Roman" w:eastAsia="宋体" w:cs="Times New Roman"/>
              </w:rPr>
            </w:pPr>
            <w:r>
              <w:rPr>
                <w:rFonts w:ascii="Times New Roman" w:hAnsi="Times New Roman" w:eastAsia="宋体" w:cs="Times New Roman"/>
              </w:rPr>
              <w:t>70</w:t>
            </w:r>
          </w:p>
        </w:tc>
        <w:tc>
          <w:tcPr>
            <w:tcW w:w="663" w:type="dxa"/>
            <w:tcBorders>
              <w:top w:val="single" w:color="auto" w:sz="6" w:space="0"/>
              <w:left w:val="single" w:color="auto" w:sz="6" w:space="0"/>
              <w:bottom w:val="single" w:color="auto" w:sz="6" w:space="0"/>
              <w:right w:val="single" w:color="auto" w:sz="6" w:space="0"/>
            </w:tcBorders>
            <w:vAlign w:val="center"/>
          </w:tcPr>
          <w:p w14:paraId="107E0490">
            <w:pPr>
              <w:jc w:val="center"/>
              <w:rPr>
                <w:rFonts w:ascii="Times New Roman" w:hAnsi="Times New Roman" w:eastAsia="宋体" w:cs="Times New Roman"/>
              </w:rPr>
            </w:pPr>
            <w:r>
              <w:rPr>
                <w:rFonts w:ascii="Times New Roman" w:hAnsi="Times New Roman" w:eastAsia="宋体" w:cs="Times New Roman"/>
              </w:rPr>
              <w:t>68</w:t>
            </w:r>
          </w:p>
        </w:tc>
        <w:tc>
          <w:tcPr>
            <w:tcW w:w="662" w:type="dxa"/>
            <w:tcBorders>
              <w:top w:val="single" w:color="auto" w:sz="6" w:space="0"/>
              <w:left w:val="single" w:color="auto" w:sz="6" w:space="0"/>
              <w:bottom w:val="single" w:color="auto" w:sz="6" w:space="0"/>
              <w:right w:val="single" w:color="auto" w:sz="6" w:space="0"/>
            </w:tcBorders>
            <w:vAlign w:val="center"/>
          </w:tcPr>
          <w:p w14:paraId="4B4E4E44">
            <w:pPr>
              <w:jc w:val="center"/>
              <w:rPr>
                <w:rFonts w:ascii="Times New Roman" w:hAnsi="Times New Roman" w:eastAsia="宋体" w:cs="Times New Roman"/>
              </w:rPr>
            </w:pPr>
            <w:r>
              <w:rPr>
                <w:rFonts w:ascii="Times New Roman" w:hAnsi="Times New Roman" w:eastAsia="宋体" w:cs="Times New Roman"/>
              </w:rPr>
              <w:t>66</w:t>
            </w:r>
          </w:p>
        </w:tc>
        <w:tc>
          <w:tcPr>
            <w:tcW w:w="663" w:type="dxa"/>
            <w:tcBorders>
              <w:top w:val="single" w:color="auto" w:sz="6" w:space="0"/>
              <w:left w:val="single" w:color="auto" w:sz="6" w:space="0"/>
              <w:bottom w:val="single" w:color="auto" w:sz="6" w:space="0"/>
              <w:right w:val="single" w:color="auto" w:sz="6" w:space="0"/>
            </w:tcBorders>
            <w:vAlign w:val="center"/>
          </w:tcPr>
          <w:p w14:paraId="4AB3F08E">
            <w:pPr>
              <w:jc w:val="center"/>
              <w:rPr>
                <w:rFonts w:ascii="Times New Roman" w:hAnsi="Times New Roman" w:eastAsia="宋体" w:cs="Times New Roman"/>
              </w:rPr>
            </w:pPr>
            <w:r>
              <w:rPr>
                <w:rFonts w:ascii="Times New Roman" w:hAnsi="Times New Roman" w:eastAsia="宋体" w:cs="Times New Roman"/>
              </w:rPr>
              <w:t>64</w:t>
            </w:r>
          </w:p>
        </w:tc>
        <w:tc>
          <w:tcPr>
            <w:tcW w:w="663" w:type="dxa"/>
            <w:tcBorders>
              <w:top w:val="single" w:color="auto" w:sz="6" w:space="0"/>
              <w:left w:val="single" w:color="auto" w:sz="6" w:space="0"/>
              <w:bottom w:val="single" w:color="auto" w:sz="6" w:space="0"/>
              <w:right w:val="single" w:color="auto" w:sz="6" w:space="0"/>
            </w:tcBorders>
            <w:vAlign w:val="center"/>
          </w:tcPr>
          <w:p w14:paraId="1016ED58">
            <w:pPr>
              <w:jc w:val="center"/>
              <w:rPr>
                <w:rFonts w:ascii="Times New Roman" w:hAnsi="Times New Roman" w:eastAsia="宋体" w:cs="Times New Roman"/>
              </w:rPr>
            </w:pPr>
            <w:r>
              <w:rPr>
                <w:rFonts w:ascii="Times New Roman" w:hAnsi="Times New Roman" w:eastAsia="宋体" w:cs="Times New Roman"/>
              </w:rPr>
              <w:t>62</w:t>
            </w:r>
          </w:p>
        </w:tc>
        <w:tc>
          <w:tcPr>
            <w:tcW w:w="663" w:type="dxa"/>
            <w:tcBorders>
              <w:top w:val="single" w:color="auto" w:sz="6" w:space="0"/>
              <w:left w:val="single" w:color="auto" w:sz="6" w:space="0"/>
              <w:bottom w:val="single" w:color="auto" w:sz="6" w:space="0"/>
              <w:right w:val="thickThinSmallGap" w:color="auto" w:sz="12" w:space="0"/>
            </w:tcBorders>
            <w:vAlign w:val="center"/>
          </w:tcPr>
          <w:p w14:paraId="6A328573">
            <w:pPr>
              <w:jc w:val="center"/>
              <w:rPr>
                <w:rFonts w:ascii="Times New Roman" w:hAnsi="Times New Roman" w:eastAsia="宋体" w:cs="Times New Roman"/>
              </w:rPr>
            </w:pPr>
            <w:r>
              <w:rPr>
                <w:rFonts w:ascii="Times New Roman" w:hAnsi="Times New Roman" w:eastAsia="宋体" w:cs="Times New Roman"/>
              </w:rPr>
              <w:t>60</w:t>
            </w:r>
          </w:p>
        </w:tc>
      </w:tr>
      <w:tr w14:paraId="30C4DF33">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534" w:type="dxa"/>
            <w:tcBorders>
              <w:top w:val="single" w:color="auto" w:sz="6" w:space="0"/>
              <w:left w:val="thinThickSmallGap" w:color="auto" w:sz="12" w:space="0"/>
              <w:bottom w:val="single" w:color="auto" w:sz="6" w:space="0"/>
              <w:right w:val="single" w:color="auto" w:sz="6" w:space="0"/>
            </w:tcBorders>
            <w:vAlign w:val="center"/>
          </w:tcPr>
          <w:p w14:paraId="233C3046">
            <w:pPr>
              <w:jc w:val="center"/>
              <w:rPr>
                <w:rFonts w:ascii="Times New Roman" w:hAnsi="Times New Roman" w:eastAsia="宋体" w:cs="Times New Roman"/>
              </w:rPr>
            </w:pPr>
            <w:r>
              <w:rPr>
                <w:rFonts w:ascii="Times New Roman" w:hAnsi="Times New Roman" w:eastAsia="宋体" w:cs="Times New Roman"/>
              </w:rPr>
              <w:t>13</w:t>
            </w:r>
          </w:p>
        </w:tc>
        <w:tc>
          <w:tcPr>
            <w:tcW w:w="1559" w:type="dxa"/>
            <w:tcBorders>
              <w:top w:val="single" w:color="auto" w:sz="6" w:space="0"/>
              <w:left w:val="single" w:color="auto" w:sz="6" w:space="0"/>
              <w:bottom w:val="single" w:color="auto" w:sz="6" w:space="0"/>
              <w:right w:val="single" w:color="auto" w:sz="6" w:space="0"/>
            </w:tcBorders>
            <w:vAlign w:val="center"/>
          </w:tcPr>
          <w:p w14:paraId="7F3FABE6">
            <w:pPr>
              <w:jc w:val="center"/>
              <w:rPr>
                <w:rFonts w:ascii="Times New Roman" w:hAnsi="Times New Roman" w:eastAsia="宋体" w:cs="Times New Roman"/>
              </w:rPr>
            </w:pPr>
            <w:r>
              <w:rPr>
                <w:rFonts w:ascii="Times New Roman" w:hAnsi="Times New Roman" w:eastAsia="宋体" w:cs="Times New Roman"/>
              </w:rPr>
              <w:t>混凝土输送泵</w:t>
            </w:r>
          </w:p>
        </w:tc>
        <w:tc>
          <w:tcPr>
            <w:tcW w:w="662" w:type="dxa"/>
            <w:tcBorders>
              <w:top w:val="single" w:color="auto" w:sz="6" w:space="0"/>
              <w:left w:val="single" w:color="auto" w:sz="6" w:space="0"/>
              <w:bottom w:val="single" w:color="auto" w:sz="6" w:space="0"/>
              <w:right w:val="single" w:color="auto" w:sz="6" w:space="0"/>
            </w:tcBorders>
            <w:vAlign w:val="center"/>
          </w:tcPr>
          <w:p w14:paraId="6AEE1737">
            <w:pPr>
              <w:jc w:val="center"/>
              <w:rPr>
                <w:rFonts w:ascii="Times New Roman" w:hAnsi="Times New Roman" w:eastAsia="宋体" w:cs="Times New Roman"/>
              </w:rPr>
            </w:pPr>
            <w:r>
              <w:rPr>
                <w:rFonts w:ascii="Times New Roman" w:hAnsi="Times New Roman" w:eastAsia="宋体" w:cs="Times New Roman"/>
              </w:rPr>
              <w:t>95</w:t>
            </w:r>
          </w:p>
        </w:tc>
        <w:tc>
          <w:tcPr>
            <w:tcW w:w="663" w:type="dxa"/>
            <w:tcBorders>
              <w:top w:val="single" w:color="auto" w:sz="6" w:space="0"/>
              <w:left w:val="single" w:color="auto" w:sz="6" w:space="0"/>
              <w:bottom w:val="single" w:color="auto" w:sz="6" w:space="0"/>
              <w:right w:val="single" w:color="auto" w:sz="6" w:space="0"/>
            </w:tcBorders>
            <w:vAlign w:val="center"/>
          </w:tcPr>
          <w:p w14:paraId="04448DBD">
            <w:pPr>
              <w:jc w:val="center"/>
              <w:rPr>
                <w:rFonts w:ascii="Times New Roman" w:hAnsi="Times New Roman" w:eastAsia="宋体" w:cs="Times New Roman"/>
              </w:rPr>
            </w:pPr>
            <w:r>
              <w:rPr>
                <w:rFonts w:ascii="Times New Roman" w:hAnsi="Times New Roman" w:eastAsia="宋体" w:cs="Times New Roman"/>
              </w:rPr>
              <w:t>89</w:t>
            </w:r>
          </w:p>
        </w:tc>
        <w:tc>
          <w:tcPr>
            <w:tcW w:w="663" w:type="dxa"/>
            <w:tcBorders>
              <w:top w:val="single" w:color="auto" w:sz="6" w:space="0"/>
              <w:left w:val="single" w:color="auto" w:sz="6" w:space="0"/>
              <w:bottom w:val="single" w:color="auto" w:sz="6" w:space="0"/>
              <w:right w:val="single" w:color="auto" w:sz="6" w:space="0"/>
            </w:tcBorders>
            <w:vAlign w:val="center"/>
          </w:tcPr>
          <w:p w14:paraId="4B0B1214">
            <w:pPr>
              <w:jc w:val="center"/>
              <w:rPr>
                <w:rFonts w:ascii="Times New Roman" w:hAnsi="Times New Roman" w:eastAsia="宋体" w:cs="Times New Roman"/>
              </w:rPr>
            </w:pPr>
            <w:r>
              <w:rPr>
                <w:rFonts w:ascii="Times New Roman" w:hAnsi="Times New Roman" w:eastAsia="宋体" w:cs="Times New Roman"/>
              </w:rPr>
              <w:t>83</w:t>
            </w:r>
          </w:p>
        </w:tc>
        <w:tc>
          <w:tcPr>
            <w:tcW w:w="662" w:type="dxa"/>
            <w:tcBorders>
              <w:top w:val="single" w:color="auto" w:sz="6" w:space="0"/>
              <w:left w:val="single" w:color="auto" w:sz="6" w:space="0"/>
              <w:bottom w:val="single" w:color="auto" w:sz="6" w:space="0"/>
              <w:right w:val="single" w:color="auto" w:sz="6" w:space="0"/>
            </w:tcBorders>
            <w:vAlign w:val="center"/>
          </w:tcPr>
          <w:p w14:paraId="68810FCB">
            <w:pPr>
              <w:jc w:val="center"/>
              <w:rPr>
                <w:rFonts w:ascii="Times New Roman" w:hAnsi="Times New Roman" w:eastAsia="宋体" w:cs="Times New Roman"/>
              </w:rPr>
            </w:pPr>
            <w:r>
              <w:rPr>
                <w:rFonts w:ascii="Times New Roman" w:hAnsi="Times New Roman" w:eastAsia="宋体" w:cs="Times New Roman"/>
              </w:rPr>
              <w:t>77</w:t>
            </w:r>
          </w:p>
        </w:tc>
        <w:tc>
          <w:tcPr>
            <w:tcW w:w="663" w:type="dxa"/>
            <w:tcBorders>
              <w:top w:val="single" w:color="auto" w:sz="6" w:space="0"/>
              <w:left w:val="single" w:color="auto" w:sz="6" w:space="0"/>
              <w:bottom w:val="single" w:color="auto" w:sz="6" w:space="0"/>
              <w:right w:val="single" w:color="auto" w:sz="6" w:space="0"/>
            </w:tcBorders>
            <w:vAlign w:val="center"/>
          </w:tcPr>
          <w:p w14:paraId="62402DF9">
            <w:pPr>
              <w:jc w:val="center"/>
              <w:rPr>
                <w:rFonts w:ascii="Times New Roman" w:hAnsi="Times New Roman" w:eastAsia="宋体" w:cs="Times New Roman"/>
              </w:rPr>
            </w:pPr>
            <w:r>
              <w:rPr>
                <w:rFonts w:ascii="Times New Roman" w:hAnsi="Times New Roman" w:eastAsia="宋体" w:cs="Times New Roman"/>
              </w:rPr>
              <w:t>73</w:t>
            </w:r>
          </w:p>
        </w:tc>
        <w:tc>
          <w:tcPr>
            <w:tcW w:w="663" w:type="dxa"/>
            <w:tcBorders>
              <w:top w:val="single" w:color="auto" w:sz="6" w:space="0"/>
              <w:left w:val="single" w:color="auto" w:sz="6" w:space="0"/>
              <w:bottom w:val="single" w:color="auto" w:sz="6" w:space="0"/>
              <w:right w:val="single" w:color="auto" w:sz="6" w:space="0"/>
            </w:tcBorders>
            <w:vAlign w:val="center"/>
          </w:tcPr>
          <w:p w14:paraId="105CF947">
            <w:pPr>
              <w:jc w:val="center"/>
              <w:rPr>
                <w:rFonts w:ascii="Times New Roman" w:hAnsi="Times New Roman" w:eastAsia="宋体" w:cs="Times New Roman"/>
              </w:rPr>
            </w:pPr>
            <w:r>
              <w:rPr>
                <w:rFonts w:ascii="Times New Roman" w:hAnsi="Times New Roman" w:eastAsia="宋体" w:cs="Times New Roman"/>
              </w:rPr>
              <w:t>71</w:t>
            </w:r>
          </w:p>
        </w:tc>
        <w:tc>
          <w:tcPr>
            <w:tcW w:w="662" w:type="dxa"/>
            <w:tcBorders>
              <w:top w:val="single" w:color="auto" w:sz="6" w:space="0"/>
              <w:left w:val="single" w:color="auto" w:sz="6" w:space="0"/>
              <w:bottom w:val="single" w:color="auto" w:sz="6" w:space="0"/>
              <w:right w:val="single" w:color="auto" w:sz="6" w:space="0"/>
            </w:tcBorders>
            <w:vAlign w:val="center"/>
          </w:tcPr>
          <w:p w14:paraId="776D887C">
            <w:pPr>
              <w:jc w:val="center"/>
              <w:rPr>
                <w:rFonts w:ascii="Times New Roman" w:hAnsi="Times New Roman" w:eastAsia="宋体" w:cs="Times New Roman"/>
              </w:rPr>
            </w:pPr>
            <w:r>
              <w:rPr>
                <w:rFonts w:ascii="Times New Roman" w:hAnsi="Times New Roman" w:eastAsia="宋体" w:cs="Times New Roman"/>
              </w:rPr>
              <w:t>69</w:t>
            </w:r>
          </w:p>
        </w:tc>
        <w:tc>
          <w:tcPr>
            <w:tcW w:w="663" w:type="dxa"/>
            <w:tcBorders>
              <w:top w:val="single" w:color="auto" w:sz="6" w:space="0"/>
              <w:left w:val="single" w:color="auto" w:sz="6" w:space="0"/>
              <w:bottom w:val="single" w:color="auto" w:sz="6" w:space="0"/>
              <w:right w:val="single" w:color="auto" w:sz="6" w:space="0"/>
            </w:tcBorders>
            <w:vAlign w:val="center"/>
          </w:tcPr>
          <w:p w14:paraId="6AE873A6">
            <w:pPr>
              <w:jc w:val="center"/>
              <w:rPr>
                <w:rFonts w:ascii="Times New Roman" w:hAnsi="Times New Roman" w:eastAsia="宋体" w:cs="Times New Roman"/>
              </w:rPr>
            </w:pPr>
            <w:r>
              <w:rPr>
                <w:rFonts w:ascii="Times New Roman" w:hAnsi="Times New Roman" w:eastAsia="宋体" w:cs="Times New Roman"/>
              </w:rPr>
              <w:t>67</w:t>
            </w:r>
          </w:p>
        </w:tc>
        <w:tc>
          <w:tcPr>
            <w:tcW w:w="663" w:type="dxa"/>
            <w:tcBorders>
              <w:top w:val="single" w:color="auto" w:sz="6" w:space="0"/>
              <w:left w:val="single" w:color="auto" w:sz="6" w:space="0"/>
              <w:bottom w:val="single" w:color="auto" w:sz="6" w:space="0"/>
              <w:right w:val="single" w:color="auto" w:sz="6" w:space="0"/>
            </w:tcBorders>
            <w:vAlign w:val="center"/>
          </w:tcPr>
          <w:p w14:paraId="7395BC1F">
            <w:pPr>
              <w:jc w:val="center"/>
              <w:rPr>
                <w:rFonts w:ascii="Times New Roman" w:hAnsi="Times New Roman" w:eastAsia="宋体" w:cs="Times New Roman"/>
              </w:rPr>
            </w:pPr>
            <w:r>
              <w:rPr>
                <w:rFonts w:ascii="Times New Roman" w:hAnsi="Times New Roman" w:eastAsia="宋体" w:cs="Times New Roman"/>
              </w:rPr>
              <w:t>65</w:t>
            </w:r>
          </w:p>
        </w:tc>
        <w:tc>
          <w:tcPr>
            <w:tcW w:w="663" w:type="dxa"/>
            <w:tcBorders>
              <w:top w:val="single" w:color="auto" w:sz="6" w:space="0"/>
              <w:left w:val="single" w:color="auto" w:sz="6" w:space="0"/>
              <w:bottom w:val="single" w:color="auto" w:sz="6" w:space="0"/>
              <w:right w:val="thickThinSmallGap" w:color="auto" w:sz="12" w:space="0"/>
            </w:tcBorders>
            <w:vAlign w:val="center"/>
          </w:tcPr>
          <w:p w14:paraId="00F7B93A">
            <w:pPr>
              <w:jc w:val="center"/>
              <w:rPr>
                <w:rFonts w:ascii="Times New Roman" w:hAnsi="Times New Roman" w:eastAsia="宋体" w:cs="Times New Roman"/>
              </w:rPr>
            </w:pPr>
            <w:r>
              <w:rPr>
                <w:rFonts w:ascii="Times New Roman" w:hAnsi="Times New Roman" w:eastAsia="宋体" w:cs="Times New Roman"/>
              </w:rPr>
              <w:t>63</w:t>
            </w:r>
          </w:p>
        </w:tc>
      </w:tr>
      <w:tr w14:paraId="736CF79B">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534" w:type="dxa"/>
            <w:tcBorders>
              <w:top w:val="single" w:color="auto" w:sz="6" w:space="0"/>
              <w:left w:val="thinThickSmallGap" w:color="auto" w:sz="12" w:space="0"/>
              <w:bottom w:val="single" w:color="auto" w:sz="6" w:space="0"/>
              <w:right w:val="single" w:color="auto" w:sz="6" w:space="0"/>
            </w:tcBorders>
            <w:vAlign w:val="center"/>
          </w:tcPr>
          <w:p w14:paraId="18EB6A0A">
            <w:pPr>
              <w:jc w:val="center"/>
              <w:rPr>
                <w:rFonts w:ascii="Times New Roman" w:hAnsi="Times New Roman" w:eastAsia="宋体" w:cs="Times New Roman"/>
              </w:rPr>
            </w:pPr>
            <w:r>
              <w:rPr>
                <w:rFonts w:ascii="Times New Roman" w:hAnsi="Times New Roman" w:eastAsia="宋体" w:cs="Times New Roman"/>
              </w:rPr>
              <w:t>14</w:t>
            </w:r>
          </w:p>
        </w:tc>
        <w:tc>
          <w:tcPr>
            <w:tcW w:w="1559" w:type="dxa"/>
            <w:tcBorders>
              <w:top w:val="single" w:color="auto" w:sz="6" w:space="0"/>
              <w:left w:val="single" w:color="auto" w:sz="6" w:space="0"/>
              <w:bottom w:val="single" w:color="auto" w:sz="6" w:space="0"/>
              <w:right w:val="single" w:color="auto" w:sz="6" w:space="0"/>
            </w:tcBorders>
            <w:vAlign w:val="center"/>
          </w:tcPr>
          <w:p w14:paraId="2F965556">
            <w:pPr>
              <w:jc w:val="center"/>
              <w:rPr>
                <w:rFonts w:ascii="Times New Roman" w:hAnsi="Times New Roman" w:eastAsia="宋体" w:cs="Times New Roman"/>
              </w:rPr>
            </w:pPr>
            <w:r>
              <w:rPr>
                <w:rFonts w:ascii="Times New Roman" w:hAnsi="Times New Roman" w:eastAsia="宋体" w:cs="Times New Roman"/>
              </w:rPr>
              <w:t>商砼搅拌车</w:t>
            </w:r>
          </w:p>
        </w:tc>
        <w:tc>
          <w:tcPr>
            <w:tcW w:w="662" w:type="dxa"/>
            <w:tcBorders>
              <w:top w:val="single" w:color="auto" w:sz="6" w:space="0"/>
              <w:left w:val="single" w:color="auto" w:sz="6" w:space="0"/>
              <w:bottom w:val="single" w:color="auto" w:sz="6" w:space="0"/>
              <w:right w:val="single" w:color="auto" w:sz="6" w:space="0"/>
            </w:tcBorders>
            <w:vAlign w:val="center"/>
          </w:tcPr>
          <w:p w14:paraId="55D29ED1">
            <w:pPr>
              <w:jc w:val="center"/>
              <w:rPr>
                <w:rFonts w:ascii="Times New Roman" w:hAnsi="Times New Roman" w:eastAsia="宋体" w:cs="Times New Roman"/>
              </w:rPr>
            </w:pPr>
            <w:r>
              <w:rPr>
                <w:rFonts w:ascii="Times New Roman" w:hAnsi="Times New Roman" w:eastAsia="宋体" w:cs="Times New Roman"/>
              </w:rPr>
              <w:t>90</w:t>
            </w:r>
          </w:p>
        </w:tc>
        <w:tc>
          <w:tcPr>
            <w:tcW w:w="663" w:type="dxa"/>
            <w:tcBorders>
              <w:top w:val="single" w:color="auto" w:sz="6" w:space="0"/>
              <w:left w:val="single" w:color="auto" w:sz="6" w:space="0"/>
              <w:bottom w:val="single" w:color="auto" w:sz="6" w:space="0"/>
              <w:right w:val="single" w:color="auto" w:sz="6" w:space="0"/>
            </w:tcBorders>
            <w:vAlign w:val="center"/>
          </w:tcPr>
          <w:p w14:paraId="359BBBE2">
            <w:pPr>
              <w:jc w:val="center"/>
              <w:rPr>
                <w:rFonts w:ascii="Times New Roman" w:hAnsi="Times New Roman" w:eastAsia="宋体" w:cs="Times New Roman"/>
              </w:rPr>
            </w:pPr>
            <w:r>
              <w:rPr>
                <w:rFonts w:ascii="Times New Roman" w:hAnsi="Times New Roman" w:eastAsia="宋体" w:cs="Times New Roman"/>
              </w:rPr>
              <w:t>84</w:t>
            </w:r>
          </w:p>
        </w:tc>
        <w:tc>
          <w:tcPr>
            <w:tcW w:w="663" w:type="dxa"/>
            <w:tcBorders>
              <w:top w:val="single" w:color="auto" w:sz="6" w:space="0"/>
              <w:left w:val="single" w:color="auto" w:sz="6" w:space="0"/>
              <w:bottom w:val="single" w:color="auto" w:sz="6" w:space="0"/>
              <w:right w:val="single" w:color="auto" w:sz="6" w:space="0"/>
            </w:tcBorders>
            <w:vAlign w:val="center"/>
          </w:tcPr>
          <w:p w14:paraId="28DF8D7C">
            <w:pPr>
              <w:jc w:val="center"/>
              <w:rPr>
                <w:rFonts w:ascii="Times New Roman" w:hAnsi="Times New Roman" w:eastAsia="宋体" w:cs="Times New Roman"/>
              </w:rPr>
            </w:pPr>
            <w:r>
              <w:rPr>
                <w:rFonts w:ascii="Times New Roman" w:hAnsi="Times New Roman" w:eastAsia="宋体" w:cs="Times New Roman"/>
              </w:rPr>
              <w:t>78</w:t>
            </w:r>
          </w:p>
        </w:tc>
        <w:tc>
          <w:tcPr>
            <w:tcW w:w="662" w:type="dxa"/>
            <w:tcBorders>
              <w:top w:val="single" w:color="auto" w:sz="6" w:space="0"/>
              <w:left w:val="single" w:color="auto" w:sz="6" w:space="0"/>
              <w:bottom w:val="single" w:color="auto" w:sz="6" w:space="0"/>
              <w:right w:val="single" w:color="auto" w:sz="6" w:space="0"/>
            </w:tcBorders>
            <w:vAlign w:val="center"/>
          </w:tcPr>
          <w:p w14:paraId="5F4C013E">
            <w:pPr>
              <w:jc w:val="center"/>
              <w:rPr>
                <w:rFonts w:ascii="Times New Roman" w:hAnsi="Times New Roman" w:eastAsia="宋体" w:cs="Times New Roman"/>
              </w:rPr>
            </w:pPr>
            <w:r>
              <w:rPr>
                <w:rFonts w:ascii="Times New Roman" w:hAnsi="Times New Roman" w:eastAsia="宋体" w:cs="Times New Roman"/>
              </w:rPr>
              <w:t>72</w:t>
            </w:r>
          </w:p>
        </w:tc>
        <w:tc>
          <w:tcPr>
            <w:tcW w:w="663" w:type="dxa"/>
            <w:tcBorders>
              <w:top w:val="single" w:color="auto" w:sz="6" w:space="0"/>
              <w:left w:val="single" w:color="auto" w:sz="6" w:space="0"/>
              <w:bottom w:val="single" w:color="auto" w:sz="6" w:space="0"/>
              <w:right w:val="single" w:color="auto" w:sz="6" w:space="0"/>
            </w:tcBorders>
            <w:vAlign w:val="center"/>
          </w:tcPr>
          <w:p w14:paraId="602C3CD9">
            <w:pPr>
              <w:jc w:val="center"/>
              <w:rPr>
                <w:rFonts w:ascii="Times New Roman" w:hAnsi="Times New Roman" w:eastAsia="宋体" w:cs="Times New Roman"/>
              </w:rPr>
            </w:pPr>
            <w:r>
              <w:rPr>
                <w:rFonts w:ascii="Times New Roman" w:hAnsi="Times New Roman" w:eastAsia="宋体" w:cs="Times New Roman"/>
              </w:rPr>
              <w:t>68</w:t>
            </w:r>
          </w:p>
        </w:tc>
        <w:tc>
          <w:tcPr>
            <w:tcW w:w="663" w:type="dxa"/>
            <w:tcBorders>
              <w:top w:val="single" w:color="auto" w:sz="6" w:space="0"/>
              <w:left w:val="single" w:color="auto" w:sz="6" w:space="0"/>
              <w:bottom w:val="single" w:color="auto" w:sz="6" w:space="0"/>
              <w:right w:val="single" w:color="auto" w:sz="6" w:space="0"/>
            </w:tcBorders>
            <w:vAlign w:val="center"/>
          </w:tcPr>
          <w:p w14:paraId="2C91BE91">
            <w:pPr>
              <w:jc w:val="center"/>
              <w:rPr>
                <w:rFonts w:ascii="Times New Roman" w:hAnsi="Times New Roman" w:eastAsia="宋体" w:cs="Times New Roman"/>
              </w:rPr>
            </w:pPr>
            <w:r>
              <w:rPr>
                <w:rFonts w:ascii="Times New Roman" w:hAnsi="Times New Roman" w:eastAsia="宋体" w:cs="Times New Roman"/>
              </w:rPr>
              <w:t>66</w:t>
            </w:r>
          </w:p>
        </w:tc>
        <w:tc>
          <w:tcPr>
            <w:tcW w:w="662" w:type="dxa"/>
            <w:tcBorders>
              <w:top w:val="single" w:color="auto" w:sz="6" w:space="0"/>
              <w:left w:val="single" w:color="auto" w:sz="6" w:space="0"/>
              <w:bottom w:val="single" w:color="auto" w:sz="6" w:space="0"/>
              <w:right w:val="single" w:color="auto" w:sz="6" w:space="0"/>
            </w:tcBorders>
            <w:vAlign w:val="center"/>
          </w:tcPr>
          <w:p w14:paraId="34CE58E0">
            <w:pPr>
              <w:jc w:val="center"/>
              <w:rPr>
                <w:rFonts w:ascii="Times New Roman" w:hAnsi="Times New Roman" w:eastAsia="宋体" w:cs="Times New Roman"/>
              </w:rPr>
            </w:pPr>
            <w:r>
              <w:rPr>
                <w:rFonts w:ascii="Times New Roman" w:hAnsi="Times New Roman" w:eastAsia="宋体" w:cs="Times New Roman"/>
              </w:rPr>
              <w:t>64</w:t>
            </w:r>
          </w:p>
        </w:tc>
        <w:tc>
          <w:tcPr>
            <w:tcW w:w="663" w:type="dxa"/>
            <w:tcBorders>
              <w:top w:val="single" w:color="auto" w:sz="6" w:space="0"/>
              <w:left w:val="single" w:color="auto" w:sz="6" w:space="0"/>
              <w:bottom w:val="single" w:color="auto" w:sz="6" w:space="0"/>
              <w:right w:val="single" w:color="auto" w:sz="6" w:space="0"/>
            </w:tcBorders>
            <w:vAlign w:val="center"/>
          </w:tcPr>
          <w:p w14:paraId="7C0D9C2A">
            <w:pPr>
              <w:jc w:val="center"/>
              <w:rPr>
                <w:rFonts w:ascii="Times New Roman" w:hAnsi="Times New Roman" w:eastAsia="宋体" w:cs="Times New Roman"/>
              </w:rPr>
            </w:pPr>
            <w:r>
              <w:rPr>
                <w:rFonts w:ascii="Times New Roman" w:hAnsi="Times New Roman" w:eastAsia="宋体" w:cs="Times New Roman"/>
              </w:rPr>
              <w:t>62</w:t>
            </w:r>
          </w:p>
        </w:tc>
        <w:tc>
          <w:tcPr>
            <w:tcW w:w="663" w:type="dxa"/>
            <w:tcBorders>
              <w:top w:val="single" w:color="auto" w:sz="6" w:space="0"/>
              <w:left w:val="single" w:color="auto" w:sz="6" w:space="0"/>
              <w:bottom w:val="single" w:color="auto" w:sz="6" w:space="0"/>
              <w:right w:val="single" w:color="auto" w:sz="6" w:space="0"/>
            </w:tcBorders>
            <w:vAlign w:val="center"/>
          </w:tcPr>
          <w:p w14:paraId="6B5A7A0D">
            <w:pPr>
              <w:jc w:val="center"/>
              <w:rPr>
                <w:rFonts w:ascii="Times New Roman" w:hAnsi="Times New Roman" w:eastAsia="宋体" w:cs="Times New Roman"/>
              </w:rPr>
            </w:pPr>
            <w:r>
              <w:rPr>
                <w:rFonts w:ascii="Times New Roman" w:hAnsi="Times New Roman" w:eastAsia="宋体" w:cs="Times New Roman"/>
              </w:rPr>
              <w:t>60</w:t>
            </w:r>
          </w:p>
        </w:tc>
        <w:tc>
          <w:tcPr>
            <w:tcW w:w="663" w:type="dxa"/>
            <w:tcBorders>
              <w:top w:val="single" w:color="auto" w:sz="6" w:space="0"/>
              <w:left w:val="single" w:color="auto" w:sz="6" w:space="0"/>
              <w:bottom w:val="single" w:color="auto" w:sz="6" w:space="0"/>
              <w:right w:val="thickThinSmallGap" w:color="auto" w:sz="12" w:space="0"/>
            </w:tcBorders>
            <w:vAlign w:val="center"/>
          </w:tcPr>
          <w:p w14:paraId="4BF2EAC8">
            <w:pPr>
              <w:jc w:val="center"/>
              <w:rPr>
                <w:rFonts w:ascii="Times New Roman" w:hAnsi="Times New Roman" w:eastAsia="宋体" w:cs="Times New Roman"/>
              </w:rPr>
            </w:pPr>
            <w:r>
              <w:rPr>
                <w:rFonts w:ascii="Times New Roman" w:hAnsi="Times New Roman" w:eastAsia="宋体" w:cs="Times New Roman"/>
              </w:rPr>
              <w:t>58</w:t>
            </w:r>
          </w:p>
        </w:tc>
      </w:tr>
      <w:tr w14:paraId="5B1C4CED">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534" w:type="dxa"/>
            <w:tcBorders>
              <w:top w:val="single" w:color="auto" w:sz="6" w:space="0"/>
              <w:left w:val="thinThickSmallGap" w:color="auto" w:sz="12" w:space="0"/>
              <w:bottom w:val="single" w:color="auto" w:sz="6" w:space="0"/>
              <w:right w:val="single" w:color="auto" w:sz="6" w:space="0"/>
            </w:tcBorders>
            <w:vAlign w:val="center"/>
          </w:tcPr>
          <w:p w14:paraId="04AEEA90">
            <w:pPr>
              <w:jc w:val="center"/>
              <w:rPr>
                <w:rFonts w:ascii="Times New Roman" w:hAnsi="Times New Roman" w:eastAsia="宋体" w:cs="Times New Roman"/>
              </w:rPr>
            </w:pPr>
            <w:r>
              <w:rPr>
                <w:rFonts w:ascii="Times New Roman" w:hAnsi="Times New Roman" w:eastAsia="宋体" w:cs="Times New Roman"/>
              </w:rPr>
              <w:t>15</w:t>
            </w:r>
          </w:p>
        </w:tc>
        <w:tc>
          <w:tcPr>
            <w:tcW w:w="1559" w:type="dxa"/>
            <w:tcBorders>
              <w:top w:val="single" w:color="auto" w:sz="6" w:space="0"/>
              <w:left w:val="single" w:color="auto" w:sz="6" w:space="0"/>
              <w:bottom w:val="single" w:color="auto" w:sz="6" w:space="0"/>
              <w:right w:val="single" w:color="auto" w:sz="6" w:space="0"/>
            </w:tcBorders>
            <w:vAlign w:val="center"/>
          </w:tcPr>
          <w:p w14:paraId="65ACBE71">
            <w:pPr>
              <w:jc w:val="center"/>
              <w:rPr>
                <w:rFonts w:ascii="Times New Roman" w:hAnsi="Times New Roman" w:eastAsia="宋体" w:cs="Times New Roman"/>
              </w:rPr>
            </w:pPr>
            <w:r>
              <w:rPr>
                <w:rFonts w:ascii="Times New Roman" w:hAnsi="Times New Roman" w:eastAsia="宋体" w:cs="Times New Roman"/>
              </w:rPr>
              <w:t>混凝土振捣器</w:t>
            </w:r>
          </w:p>
        </w:tc>
        <w:tc>
          <w:tcPr>
            <w:tcW w:w="662" w:type="dxa"/>
            <w:tcBorders>
              <w:top w:val="single" w:color="auto" w:sz="6" w:space="0"/>
              <w:left w:val="single" w:color="auto" w:sz="6" w:space="0"/>
              <w:bottom w:val="single" w:color="auto" w:sz="6" w:space="0"/>
              <w:right w:val="single" w:color="auto" w:sz="6" w:space="0"/>
            </w:tcBorders>
            <w:vAlign w:val="center"/>
          </w:tcPr>
          <w:p w14:paraId="75B238F3">
            <w:pPr>
              <w:jc w:val="center"/>
              <w:rPr>
                <w:rFonts w:ascii="Times New Roman" w:hAnsi="Times New Roman" w:eastAsia="宋体" w:cs="Times New Roman"/>
              </w:rPr>
            </w:pPr>
            <w:r>
              <w:rPr>
                <w:rFonts w:ascii="Times New Roman" w:hAnsi="Times New Roman" w:eastAsia="宋体" w:cs="Times New Roman"/>
              </w:rPr>
              <w:t>88</w:t>
            </w:r>
          </w:p>
        </w:tc>
        <w:tc>
          <w:tcPr>
            <w:tcW w:w="663" w:type="dxa"/>
            <w:tcBorders>
              <w:top w:val="single" w:color="auto" w:sz="6" w:space="0"/>
              <w:left w:val="single" w:color="auto" w:sz="6" w:space="0"/>
              <w:bottom w:val="single" w:color="auto" w:sz="6" w:space="0"/>
              <w:right w:val="single" w:color="auto" w:sz="6" w:space="0"/>
            </w:tcBorders>
            <w:vAlign w:val="center"/>
          </w:tcPr>
          <w:p w14:paraId="1E65C7D4">
            <w:pPr>
              <w:jc w:val="center"/>
              <w:rPr>
                <w:rFonts w:ascii="Times New Roman" w:hAnsi="Times New Roman" w:eastAsia="宋体" w:cs="Times New Roman"/>
              </w:rPr>
            </w:pPr>
            <w:r>
              <w:rPr>
                <w:rFonts w:ascii="Times New Roman" w:hAnsi="Times New Roman" w:eastAsia="宋体" w:cs="Times New Roman"/>
              </w:rPr>
              <w:t>82</w:t>
            </w:r>
          </w:p>
        </w:tc>
        <w:tc>
          <w:tcPr>
            <w:tcW w:w="663" w:type="dxa"/>
            <w:tcBorders>
              <w:top w:val="single" w:color="auto" w:sz="6" w:space="0"/>
              <w:left w:val="single" w:color="auto" w:sz="6" w:space="0"/>
              <w:bottom w:val="single" w:color="auto" w:sz="6" w:space="0"/>
              <w:right w:val="single" w:color="auto" w:sz="6" w:space="0"/>
            </w:tcBorders>
            <w:vAlign w:val="center"/>
          </w:tcPr>
          <w:p w14:paraId="1766A7CC">
            <w:pPr>
              <w:jc w:val="center"/>
              <w:rPr>
                <w:rFonts w:ascii="Times New Roman" w:hAnsi="Times New Roman" w:eastAsia="宋体" w:cs="Times New Roman"/>
              </w:rPr>
            </w:pPr>
            <w:r>
              <w:rPr>
                <w:rFonts w:ascii="Times New Roman" w:hAnsi="Times New Roman" w:eastAsia="宋体" w:cs="Times New Roman"/>
              </w:rPr>
              <w:t>76</w:t>
            </w:r>
          </w:p>
        </w:tc>
        <w:tc>
          <w:tcPr>
            <w:tcW w:w="662" w:type="dxa"/>
            <w:tcBorders>
              <w:top w:val="single" w:color="auto" w:sz="6" w:space="0"/>
              <w:left w:val="single" w:color="auto" w:sz="6" w:space="0"/>
              <w:bottom w:val="single" w:color="auto" w:sz="6" w:space="0"/>
              <w:right w:val="single" w:color="auto" w:sz="6" w:space="0"/>
            </w:tcBorders>
            <w:vAlign w:val="center"/>
          </w:tcPr>
          <w:p w14:paraId="0569FA58">
            <w:pPr>
              <w:jc w:val="center"/>
              <w:rPr>
                <w:rFonts w:ascii="Times New Roman" w:hAnsi="Times New Roman" w:eastAsia="宋体" w:cs="Times New Roman"/>
              </w:rPr>
            </w:pPr>
            <w:r>
              <w:rPr>
                <w:rFonts w:ascii="Times New Roman" w:hAnsi="Times New Roman" w:eastAsia="宋体" w:cs="Times New Roman"/>
              </w:rPr>
              <w:t>70</w:t>
            </w:r>
          </w:p>
        </w:tc>
        <w:tc>
          <w:tcPr>
            <w:tcW w:w="663" w:type="dxa"/>
            <w:tcBorders>
              <w:top w:val="single" w:color="auto" w:sz="6" w:space="0"/>
              <w:left w:val="single" w:color="auto" w:sz="6" w:space="0"/>
              <w:bottom w:val="single" w:color="auto" w:sz="6" w:space="0"/>
              <w:right w:val="single" w:color="auto" w:sz="6" w:space="0"/>
            </w:tcBorders>
            <w:vAlign w:val="center"/>
          </w:tcPr>
          <w:p w14:paraId="05598498">
            <w:pPr>
              <w:jc w:val="center"/>
              <w:rPr>
                <w:rFonts w:ascii="Times New Roman" w:hAnsi="Times New Roman" w:eastAsia="宋体" w:cs="Times New Roman"/>
              </w:rPr>
            </w:pPr>
            <w:r>
              <w:rPr>
                <w:rFonts w:ascii="Times New Roman" w:hAnsi="Times New Roman" w:eastAsia="宋体" w:cs="Times New Roman"/>
              </w:rPr>
              <w:t>66</w:t>
            </w:r>
          </w:p>
        </w:tc>
        <w:tc>
          <w:tcPr>
            <w:tcW w:w="663" w:type="dxa"/>
            <w:tcBorders>
              <w:top w:val="single" w:color="auto" w:sz="6" w:space="0"/>
              <w:left w:val="single" w:color="auto" w:sz="6" w:space="0"/>
              <w:bottom w:val="single" w:color="auto" w:sz="6" w:space="0"/>
              <w:right w:val="single" w:color="auto" w:sz="6" w:space="0"/>
            </w:tcBorders>
            <w:vAlign w:val="center"/>
          </w:tcPr>
          <w:p w14:paraId="7F5F815F">
            <w:pPr>
              <w:jc w:val="center"/>
              <w:rPr>
                <w:rFonts w:ascii="Times New Roman" w:hAnsi="Times New Roman" w:eastAsia="宋体" w:cs="Times New Roman"/>
              </w:rPr>
            </w:pPr>
            <w:r>
              <w:rPr>
                <w:rFonts w:ascii="Times New Roman" w:hAnsi="Times New Roman" w:eastAsia="宋体" w:cs="Times New Roman"/>
              </w:rPr>
              <w:t>64</w:t>
            </w:r>
          </w:p>
        </w:tc>
        <w:tc>
          <w:tcPr>
            <w:tcW w:w="662" w:type="dxa"/>
            <w:tcBorders>
              <w:top w:val="single" w:color="auto" w:sz="6" w:space="0"/>
              <w:left w:val="single" w:color="auto" w:sz="6" w:space="0"/>
              <w:bottom w:val="single" w:color="auto" w:sz="6" w:space="0"/>
              <w:right w:val="single" w:color="auto" w:sz="6" w:space="0"/>
            </w:tcBorders>
            <w:vAlign w:val="center"/>
          </w:tcPr>
          <w:p w14:paraId="5D943845">
            <w:pPr>
              <w:jc w:val="center"/>
              <w:rPr>
                <w:rFonts w:ascii="Times New Roman" w:hAnsi="Times New Roman" w:eastAsia="宋体" w:cs="Times New Roman"/>
              </w:rPr>
            </w:pPr>
            <w:r>
              <w:rPr>
                <w:rFonts w:ascii="Times New Roman" w:hAnsi="Times New Roman" w:eastAsia="宋体" w:cs="Times New Roman"/>
              </w:rPr>
              <w:t>62</w:t>
            </w:r>
          </w:p>
        </w:tc>
        <w:tc>
          <w:tcPr>
            <w:tcW w:w="663" w:type="dxa"/>
            <w:tcBorders>
              <w:top w:val="single" w:color="auto" w:sz="6" w:space="0"/>
              <w:left w:val="single" w:color="auto" w:sz="6" w:space="0"/>
              <w:bottom w:val="single" w:color="auto" w:sz="6" w:space="0"/>
              <w:right w:val="single" w:color="auto" w:sz="6" w:space="0"/>
            </w:tcBorders>
            <w:vAlign w:val="center"/>
          </w:tcPr>
          <w:p w14:paraId="22C34451">
            <w:pPr>
              <w:jc w:val="center"/>
              <w:rPr>
                <w:rFonts w:ascii="Times New Roman" w:hAnsi="Times New Roman" w:eastAsia="宋体" w:cs="Times New Roman"/>
              </w:rPr>
            </w:pPr>
            <w:r>
              <w:rPr>
                <w:rFonts w:ascii="Times New Roman" w:hAnsi="Times New Roman" w:eastAsia="宋体" w:cs="Times New Roman"/>
              </w:rPr>
              <w:t>60</w:t>
            </w:r>
          </w:p>
        </w:tc>
        <w:tc>
          <w:tcPr>
            <w:tcW w:w="663" w:type="dxa"/>
            <w:tcBorders>
              <w:top w:val="single" w:color="auto" w:sz="6" w:space="0"/>
              <w:left w:val="single" w:color="auto" w:sz="6" w:space="0"/>
              <w:bottom w:val="single" w:color="auto" w:sz="6" w:space="0"/>
              <w:right w:val="single" w:color="auto" w:sz="6" w:space="0"/>
            </w:tcBorders>
            <w:vAlign w:val="center"/>
          </w:tcPr>
          <w:p w14:paraId="2313BB6D">
            <w:pPr>
              <w:jc w:val="center"/>
              <w:rPr>
                <w:rFonts w:ascii="Times New Roman" w:hAnsi="Times New Roman" w:eastAsia="宋体" w:cs="Times New Roman"/>
              </w:rPr>
            </w:pPr>
            <w:r>
              <w:rPr>
                <w:rFonts w:ascii="Times New Roman" w:hAnsi="Times New Roman" w:eastAsia="宋体" w:cs="Times New Roman"/>
              </w:rPr>
              <w:t>58</w:t>
            </w:r>
          </w:p>
        </w:tc>
        <w:tc>
          <w:tcPr>
            <w:tcW w:w="663" w:type="dxa"/>
            <w:tcBorders>
              <w:top w:val="single" w:color="auto" w:sz="6" w:space="0"/>
              <w:left w:val="single" w:color="auto" w:sz="6" w:space="0"/>
              <w:bottom w:val="single" w:color="auto" w:sz="6" w:space="0"/>
              <w:right w:val="thickThinSmallGap" w:color="auto" w:sz="12" w:space="0"/>
            </w:tcBorders>
            <w:vAlign w:val="center"/>
          </w:tcPr>
          <w:p w14:paraId="572276F6">
            <w:pPr>
              <w:jc w:val="center"/>
              <w:rPr>
                <w:rFonts w:ascii="Times New Roman" w:hAnsi="Times New Roman" w:eastAsia="宋体" w:cs="Times New Roman"/>
              </w:rPr>
            </w:pPr>
            <w:r>
              <w:rPr>
                <w:rFonts w:ascii="Times New Roman" w:hAnsi="Times New Roman" w:eastAsia="宋体" w:cs="Times New Roman"/>
              </w:rPr>
              <w:t>56</w:t>
            </w:r>
          </w:p>
        </w:tc>
      </w:tr>
      <w:tr w14:paraId="0EE4EC5F">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534" w:type="dxa"/>
            <w:tcBorders>
              <w:top w:val="single" w:color="auto" w:sz="6" w:space="0"/>
              <w:left w:val="thinThickSmallGap" w:color="auto" w:sz="12" w:space="0"/>
              <w:bottom w:val="single" w:color="auto" w:sz="6" w:space="0"/>
              <w:right w:val="single" w:color="auto" w:sz="6" w:space="0"/>
            </w:tcBorders>
            <w:vAlign w:val="center"/>
          </w:tcPr>
          <w:p w14:paraId="5DBCB26F">
            <w:pPr>
              <w:jc w:val="center"/>
              <w:rPr>
                <w:rFonts w:ascii="Times New Roman" w:hAnsi="Times New Roman" w:eastAsia="宋体" w:cs="Times New Roman"/>
              </w:rPr>
            </w:pPr>
            <w:r>
              <w:rPr>
                <w:rFonts w:ascii="Times New Roman" w:hAnsi="Times New Roman" w:eastAsia="宋体" w:cs="Times New Roman"/>
              </w:rPr>
              <w:t>16</w:t>
            </w:r>
          </w:p>
        </w:tc>
        <w:tc>
          <w:tcPr>
            <w:tcW w:w="1559" w:type="dxa"/>
            <w:tcBorders>
              <w:top w:val="single" w:color="auto" w:sz="6" w:space="0"/>
              <w:left w:val="single" w:color="auto" w:sz="6" w:space="0"/>
              <w:bottom w:val="single" w:color="auto" w:sz="6" w:space="0"/>
              <w:right w:val="single" w:color="auto" w:sz="6" w:space="0"/>
            </w:tcBorders>
            <w:vAlign w:val="center"/>
          </w:tcPr>
          <w:p w14:paraId="25776009">
            <w:pPr>
              <w:jc w:val="center"/>
              <w:rPr>
                <w:rFonts w:ascii="Times New Roman" w:hAnsi="Times New Roman" w:eastAsia="宋体" w:cs="Times New Roman"/>
              </w:rPr>
            </w:pPr>
            <w:r>
              <w:rPr>
                <w:rFonts w:ascii="Times New Roman" w:hAnsi="Times New Roman" w:eastAsia="宋体" w:cs="Times New Roman"/>
              </w:rPr>
              <w:t>云石机、角磨机</w:t>
            </w:r>
          </w:p>
        </w:tc>
        <w:tc>
          <w:tcPr>
            <w:tcW w:w="662" w:type="dxa"/>
            <w:tcBorders>
              <w:top w:val="single" w:color="auto" w:sz="6" w:space="0"/>
              <w:left w:val="single" w:color="auto" w:sz="6" w:space="0"/>
              <w:bottom w:val="single" w:color="auto" w:sz="6" w:space="0"/>
              <w:right w:val="single" w:color="auto" w:sz="6" w:space="0"/>
            </w:tcBorders>
            <w:vAlign w:val="center"/>
          </w:tcPr>
          <w:p w14:paraId="080B8BD9">
            <w:pPr>
              <w:jc w:val="center"/>
              <w:rPr>
                <w:rFonts w:ascii="Times New Roman" w:hAnsi="Times New Roman" w:eastAsia="宋体" w:cs="Times New Roman"/>
              </w:rPr>
            </w:pPr>
            <w:r>
              <w:rPr>
                <w:rFonts w:ascii="Times New Roman" w:hAnsi="Times New Roman" w:eastAsia="宋体" w:cs="Times New Roman"/>
              </w:rPr>
              <w:t>96</w:t>
            </w:r>
          </w:p>
        </w:tc>
        <w:tc>
          <w:tcPr>
            <w:tcW w:w="663" w:type="dxa"/>
            <w:tcBorders>
              <w:top w:val="single" w:color="auto" w:sz="6" w:space="0"/>
              <w:left w:val="single" w:color="auto" w:sz="6" w:space="0"/>
              <w:bottom w:val="single" w:color="auto" w:sz="6" w:space="0"/>
              <w:right w:val="single" w:color="auto" w:sz="6" w:space="0"/>
            </w:tcBorders>
            <w:vAlign w:val="center"/>
          </w:tcPr>
          <w:p w14:paraId="2B9BC5EA">
            <w:pPr>
              <w:jc w:val="center"/>
              <w:rPr>
                <w:rFonts w:ascii="Times New Roman" w:hAnsi="Times New Roman" w:eastAsia="宋体" w:cs="Times New Roman"/>
              </w:rPr>
            </w:pPr>
            <w:r>
              <w:rPr>
                <w:rFonts w:ascii="Times New Roman" w:hAnsi="Times New Roman" w:eastAsia="宋体" w:cs="Times New Roman"/>
              </w:rPr>
              <w:t>90</w:t>
            </w:r>
          </w:p>
        </w:tc>
        <w:tc>
          <w:tcPr>
            <w:tcW w:w="663" w:type="dxa"/>
            <w:tcBorders>
              <w:top w:val="single" w:color="auto" w:sz="6" w:space="0"/>
              <w:left w:val="single" w:color="auto" w:sz="6" w:space="0"/>
              <w:bottom w:val="single" w:color="auto" w:sz="6" w:space="0"/>
              <w:right w:val="single" w:color="auto" w:sz="6" w:space="0"/>
            </w:tcBorders>
            <w:vAlign w:val="center"/>
          </w:tcPr>
          <w:p w14:paraId="7C7102E6">
            <w:pPr>
              <w:jc w:val="center"/>
              <w:rPr>
                <w:rFonts w:ascii="Times New Roman" w:hAnsi="Times New Roman" w:eastAsia="宋体" w:cs="Times New Roman"/>
              </w:rPr>
            </w:pPr>
            <w:r>
              <w:rPr>
                <w:rFonts w:ascii="Times New Roman" w:hAnsi="Times New Roman" w:eastAsia="宋体" w:cs="Times New Roman"/>
              </w:rPr>
              <w:t>84</w:t>
            </w:r>
          </w:p>
        </w:tc>
        <w:tc>
          <w:tcPr>
            <w:tcW w:w="662" w:type="dxa"/>
            <w:tcBorders>
              <w:top w:val="single" w:color="auto" w:sz="6" w:space="0"/>
              <w:left w:val="single" w:color="auto" w:sz="6" w:space="0"/>
              <w:bottom w:val="single" w:color="auto" w:sz="6" w:space="0"/>
              <w:right w:val="single" w:color="auto" w:sz="6" w:space="0"/>
            </w:tcBorders>
            <w:vAlign w:val="center"/>
          </w:tcPr>
          <w:p w14:paraId="4484C860">
            <w:pPr>
              <w:jc w:val="center"/>
              <w:rPr>
                <w:rFonts w:ascii="Times New Roman" w:hAnsi="Times New Roman" w:eastAsia="宋体" w:cs="Times New Roman"/>
              </w:rPr>
            </w:pPr>
            <w:r>
              <w:rPr>
                <w:rFonts w:ascii="Times New Roman" w:hAnsi="Times New Roman" w:eastAsia="宋体" w:cs="Times New Roman"/>
              </w:rPr>
              <w:t>78</w:t>
            </w:r>
          </w:p>
        </w:tc>
        <w:tc>
          <w:tcPr>
            <w:tcW w:w="663" w:type="dxa"/>
            <w:tcBorders>
              <w:top w:val="single" w:color="auto" w:sz="6" w:space="0"/>
              <w:left w:val="single" w:color="auto" w:sz="6" w:space="0"/>
              <w:bottom w:val="single" w:color="auto" w:sz="6" w:space="0"/>
              <w:right w:val="single" w:color="auto" w:sz="6" w:space="0"/>
            </w:tcBorders>
            <w:vAlign w:val="center"/>
          </w:tcPr>
          <w:p w14:paraId="562BC135">
            <w:pPr>
              <w:jc w:val="center"/>
              <w:rPr>
                <w:rFonts w:ascii="Times New Roman" w:hAnsi="Times New Roman" w:eastAsia="宋体" w:cs="Times New Roman"/>
              </w:rPr>
            </w:pPr>
            <w:r>
              <w:rPr>
                <w:rFonts w:ascii="Times New Roman" w:hAnsi="Times New Roman" w:eastAsia="宋体" w:cs="Times New Roman"/>
              </w:rPr>
              <w:t>74</w:t>
            </w:r>
          </w:p>
        </w:tc>
        <w:tc>
          <w:tcPr>
            <w:tcW w:w="663" w:type="dxa"/>
            <w:tcBorders>
              <w:top w:val="single" w:color="auto" w:sz="6" w:space="0"/>
              <w:left w:val="single" w:color="auto" w:sz="6" w:space="0"/>
              <w:bottom w:val="single" w:color="auto" w:sz="6" w:space="0"/>
              <w:right w:val="single" w:color="auto" w:sz="6" w:space="0"/>
            </w:tcBorders>
            <w:vAlign w:val="center"/>
          </w:tcPr>
          <w:p w14:paraId="67552303">
            <w:pPr>
              <w:jc w:val="center"/>
              <w:rPr>
                <w:rFonts w:ascii="Times New Roman" w:hAnsi="Times New Roman" w:eastAsia="宋体" w:cs="Times New Roman"/>
              </w:rPr>
            </w:pPr>
            <w:r>
              <w:rPr>
                <w:rFonts w:ascii="Times New Roman" w:hAnsi="Times New Roman" w:eastAsia="宋体" w:cs="Times New Roman"/>
              </w:rPr>
              <w:t>72</w:t>
            </w:r>
          </w:p>
        </w:tc>
        <w:tc>
          <w:tcPr>
            <w:tcW w:w="662" w:type="dxa"/>
            <w:tcBorders>
              <w:top w:val="single" w:color="auto" w:sz="6" w:space="0"/>
              <w:left w:val="single" w:color="auto" w:sz="6" w:space="0"/>
              <w:bottom w:val="single" w:color="auto" w:sz="6" w:space="0"/>
              <w:right w:val="single" w:color="auto" w:sz="6" w:space="0"/>
            </w:tcBorders>
            <w:vAlign w:val="center"/>
          </w:tcPr>
          <w:p w14:paraId="404FB94E">
            <w:pPr>
              <w:jc w:val="center"/>
              <w:rPr>
                <w:rFonts w:ascii="Times New Roman" w:hAnsi="Times New Roman" w:eastAsia="宋体" w:cs="Times New Roman"/>
              </w:rPr>
            </w:pPr>
            <w:r>
              <w:rPr>
                <w:rFonts w:ascii="Times New Roman" w:hAnsi="Times New Roman" w:eastAsia="宋体" w:cs="Times New Roman"/>
              </w:rPr>
              <w:t>70</w:t>
            </w:r>
          </w:p>
        </w:tc>
        <w:tc>
          <w:tcPr>
            <w:tcW w:w="663" w:type="dxa"/>
            <w:tcBorders>
              <w:top w:val="single" w:color="auto" w:sz="6" w:space="0"/>
              <w:left w:val="single" w:color="auto" w:sz="6" w:space="0"/>
              <w:bottom w:val="single" w:color="auto" w:sz="6" w:space="0"/>
              <w:right w:val="single" w:color="auto" w:sz="6" w:space="0"/>
            </w:tcBorders>
            <w:vAlign w:val="center"/>
          </w:tcPr>
          <w:p w14:paraId="7BEAF3D9">
            <w:pPr>
              <w:jc w:val="center"/>
              <w:rPr>
                <w:rFonts w:ascii="Times New Roman" w:hAnsi="Times New Roman" w:eastAsia="宋体" w:cs="Times New Roman"/>
              </w:rPr>
            </w:pPr>
            <w:r>
              <w:rPr>
                <w:rFonts w:ascii="Times New Roman" w:hAnsi="Times New Roman" w:eastAsia="宋体" w:cs="Times New Roman"/>
              </w:rPr>
              <w:t>68</w:t>
            </w:r>
          </w:p>
        </w:tc>
        <w:tc>
          <w:tcPr>
            <w:tcW w:w="663" w:type="dxa"/>
            <w:tcBorders>
              <w:top w:val="single" w:color="auto" w:sz="6" w:space="0"/>
              <w:left w:val="single" w:color="auto" w:sz="6" w:space="0"/>
              <w:bottom w:val="single" w:color="auto" w:sz="6" w:space="0"/>
              <w:right w:val="single" w:color="auto" w:sz="6" w:space="0"/>
            </w:tcBorders>
            <w:vAlign w:val="center"/>
          </w:tcPr>
          <w:p w14:paraId="2286347C">
            <w:pPr>
              <w:jc w:val="center"/>
              <w:rPr>
                <w:rFonts w:ascii="Times New Roman" w:hAnsi="Times New Roman" w:eastAsia="宋体" w:cs="Times New Roman"/>
              </w:rPr>
            </w:pPr>
            <w:r>
              <w:rPr>
                <w:rFonts w:ascii="Times New Roman" w:hAnsi="Times New Roman" w:eastAsia="宋体" w:cs="Times New Roman"/>
              </w:rPr>
              <w:t>66</w:t>
            </w:r>
          </w:p>
        </w:tc>
        <w:tc>
          <w:tcPr>
            <w:tcW w:w="663" w:type="dxa"/>
            <w:tcBorders>
              <w:top w:val="single" w:color="auto" w:sz="6" w:space="0"/>
              <w:left w:val="single" w:color="auto" w:sz="6" w:space="0"/>
              <w:bottom w:val="single" w:color="auto" w:sz="6" w:space="0"/>
              <w:right w:val="thickThinSmallGap" w:color="auto" w:sz="12" w:space="0"/>
            </w:tcBorders>
            <w:vAlign w:val="center"/>
          </w:tcPr>
          <w:p w14:paraId="5ADB2D54">
            <w:pPr>
              <w:jc w:val="center"/>
              <w:rPr>
                <w:rFonts w:ascii="Times New Roman" w:hAnsi="Times New Roman" w:eastAsia="宋体" w:cs="Times New Roman"/>
              </w:rPr>
            </w:pPr>
            <w:r>
              <w:rPr>
                <w:rFonts w:ascii="Times New Roman" w:hAnsi="Times New Roman" w:eastAsia="宋体" w:cs="Times New Roman"/>
              </w:rPr>
              <w:t>64</w:t>
            </w:r>
          </w:p>
        </w:tc>
      </w:tr>
      <w:tr w14:paraId="7F138A29">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534" w:type="dxa"/>
            <w:tcBorders>
              <w:top w:val="single" w:color="auto" w:sz="6" w:space="0"/>
              <w:left w:val="thinThickSmallGap" w:color="auto" w:sz="12" w:space="0"/>
              <w:bottom w:val="single" w:color="auto" w:sz="6" w:space="0"/>
              <w:right w:val="single" w:color="auto" w:sz="6" w:space="0"/>
            </w:tcBorders>
            <w:vAlign w:val="center"/>
          </w:tcPr>
          <w:p w14:paraId="2D788DDB">
            <w:pPr>
              <w:jc w:val="center"/>
              <w:rPr>
                <w:rFonts w:ascii="Times New Roman" w:hAnsi="Times New Roman" w:eastAsia="宋体" w:cs="Times New Roman"/>
              </w:rPr>
            </w:pPr>
            <w:r>
              <w:rPr>
                <w:rFonts w:ascii="Times New Roman" w:hAnsi="Times New Roman" w:eastAsia="宋体" w:cs="Times New Roman"/>
              </w:rPr>
              <w:t>17</w:t>
            </w:r>
          </w:p>
        </w:tc>
        <w:tc>
          <w:tcPr>
            <w:tcW w:w="1559" w:type="dxa"/>
            <w:tcBorders>
              <w:top w:val="single" w:color="auto" w:sz="6" w:space="0"/>
              <w:left w:val="single" w:color="auto" w:sz="6" w:space="0"/>
              <w:bottom w:val="single" w:color="auto" w:sz="6" w:space="0"/>
              <w:right w:val="single" w:color="auto" w:sz="6" w:space="0"/>
            </w:tcBorders>
            <w:vAlign w:val="center"/>
          </w:tcPr>
          <w:p w14:paraId="2658E56B">
            <w:pPr>
              <w:jc w:val="center"/>
              <w:rPr>
                <w:rFonts w:ascii="Times New Roman" w:hAnsi="Times New Roman" w:eastAsia="宋体" w:cs="Times New Roman"/>
              </w:rPr>
            </w:pPr>
            <w:r>
              <w:rPr>
                <w:rFonts w:ascii="Times New Roman" w:hAnsi="Times New Roman" w:eastAsia="宋体" w:cs="Times New Roman"/>
              </w:rPr>
              <w:t>空压机</w:t>
            </w:r>
          </w:p>
        </w:tc>
        <w:tc>
          <w:tcPr>
            <w:tcW w:w="662" w:type="dxa"/>
            <w:tcBorders>
              <w:top w:val="single" w:color="auto" w:sz="6" w:space="0"/>
              <w:left w:val="single" w:color="auto" w:sz="6" w:space="0"/>
              <w:bottom w:val="single" w:color="auto" w:sz="6" w:space="0"/>
              <w:right w:val="single" w:color="auto" w:sz="6" w:space="0"/>
            </w:tcBorders>
            <w:vAlign w:val="center"/>
          </w:tcPr>
          <w:p w14:paraId="6F941A1F">
            <w:pPr>
              <w:jc w:val="center"/>
              <w:rPr>
                <w:rFonts w:ascii="Times New Roman" w:hAnsi="Times New Roman" w:eastAsia="宋体" w:cs="Times New Roman"/>
              </w:rPr>
            </w:pPr>
            <w:r>
              <w:rPr>
                <w:rFonts w:ascii="Times New Roman" w:hAnsi="Times New Roman" w:eastAsia="宋体" w:cs="Times New Roman"/>
              </w:rPr>
              <w:t>92</w:t>
            </w:r>
          </w:p>
        </w:tc>
        <w:tc>
          <w:tcPr>
            <w:tcW w:w="663" w:type="dxa"/>
            <w:tcBorders>
              <w:top w:val="single" w:color="auto" w:sz="6" w:space="0"/>
              <w:left w:val="single" w:color="auto" w:sz="6" w:space="0"/>
              <w:bottom w:val="single" w:color="auto" w:sz="6" w:space="0"/>
              <w:right w:val="single" w:color="auto" w:sz="6" w:space="0"/>
            </w:tcBorders>
            <w:vAlign w:val="center"/>
          </w:tcPr>
          <w:p w14:paraId="40AD3F15">
            <w:pPr>
              <w:jc w:val="center"/>
              <w:rPr>
                <w:rFonts w:ascii="Times New Roman" w:hAnsi="Times New Roman" w:eastAsia="宋体" w:cs="Times New Roman"/>
              </w:rPr>
            </w:pPr>
            <w:r>
              <w:rPr>
                <w:rFonts w:ascii="Times New Roman" w:hAnsi="Times New Roman" w:eastAsia="宋体" w:cs="Times New Roman"/>
              </w:rPr>
              <w:t>86</w:t>
            </w:r>
          </w:p>
        </w:tc>
        <w:tc>
          <w:tcPr>
            <w:tcW w:w="663" w:type="dxa"/>
            <w:tcBorders>
              <w:top w:val="single" w:color="auto" w:sz="6" w:space="0"/>
              <w:left w:val="single" w:color="auto" w:sz="6" w:space="0"/>
              <w:bottom w:val="single" w:color="auto" w:sz="6" w:space="0"/>
              <w:right w:val="single" w:color="auto" w:sz="6" w:space="0"/>
            </w:tcBorders>
            <w:vAlign w:val="center"/>
          </w:tcPr>
          <w:p w14:paraId="4046B868">
            <w:pPr>
              <w:jc w:val="center"/>
              <w:rPr>
                <w:rFonts w:ascii="Times New Roman" w:hAnsi="Times New Roman" w:eastAsia="宋体" w:cs="Times New Roman"/>
              </w:rPr>
            </w:pPr>
            <w:r>
              <w:rPr>
                <w:rFonts w:ascii="Times New Roman" w:hAnsi="Times New Roman" w:eastAsia="宋体" w:cs="Times New Roman"/>
              </w:rPr>
              <w:t>80</w:t>
            </w:r>
          </w:p>
        </w:tc>
        <w:tc>
          <w:tcPr>
            <w:tcW w:w="662" w:type="dxa"/>
            <w:tcBorders>
              <w:top w:val="single" w:color="auto" w:sz="6" w:space="0"/>
              <w:left w:val="single" w:color="auto" w:sz="6" w:space="0"/>
              <w:bottom w:val="single" w:color="auto" w:sz="6" w:space="0"/>
              <w:right w:val="single" w:color="auto" w:sz="6" w:space="0"/>
            </w:tcBorders>
            <w:vAlign w:val="center"/>
          </w:tcPr>
          <w:p w14:paraId="3F970871">
            <w:pPr>
              <w:jc w:val="center"/>
              <w:rPr>
                <w:rFonts w:ascii="Times New Roman" w:hAnsi="Times New Roman" w:eastAsia="宋体" w:cs="Times New Roman"/>
              </w:rPr>
            </w:pPr>
            <w:r>
              <w:rPr>
                <w:rFonts w:ascii="Times New Roman" w:hAnsi="Times New Roman" w:eastAsia="宋体" w:cs="Times New Roman"/>
              </w:rPr>
              <w:t>74</w:t>
            </w:r>
          </w:p>
        </w:tc>
        <w:tc>
          <w:tcPr>
            <w:tcW w:w="663" w:type="dxa"/>
            <w:tcBorders>
              <w:top w:val="single" w:color="auto" w:sz="6" w:space="0"/>
              <w:left w:val="single" w:color="auto" w:sz="6" w:space="0"/>
              <w:bottom w:val="single" w:color="auto" w:sz="6" w:space="0"/>
              <w:right w:val="single" w:color="auto" w:sz="6" w:space="0"/>
            </w:tcBorders>
            <w:vAlign w:val="center"/>
          </w:tcPr>
          <w:p w14:paraId="5BB713BB">
            <w:pPr>
              <w:jc w:val="center"/>
              <w:rPr>
                <w:rFonts w:ascii="Times New Roman" w:hAnsi="Times New Roman" w:eastAsia="宋体" w:cs="Times New Roman"/>
              </w:rPr>
            </w:pPr>
            <w:r>
              <w:rPr>
                <w:rFonts w:ascii="Times New Roman" w:hAnsi="Times New Roman" w:eastAsia="宋体" w:cs="Times New Roman"/>
              </w:rPr>
              <w:t>70</w:t>
            </w:r>
          </w:p>
        </w:tc>
        <w:tc>
          <w:tcPr>
            <w:tcW w:w="663" w:type="dxa"/>
            <w:tcBorders>
              <w:top w:val="single" w:color="auto" w:sz="6" w:space="0"/>
              <w:left w:val="single" w:color="auto" w:sz="6" w:space="0"/>
              <w:bottom w:val="single" w:color="auto" w:sz="6" w:space="0"/>
              <w:right w:val="single" w:color="auto" w:sz="6" w:space="0"/>
            </w:tcBorders>
            <w:vAlign w:val="center"/>
          </w:tcPr>
          <w:p w14:paraId="198C2CE7">
            <w:pPr>
              <w:jc w:val="center"/>
              <w:rPr>
                <w:rFonts w:ascii="Times New Roman" w:hAnsi="Times New Roman" w:eastAsia="宋体" w:cs="Times New Roman"/>
              </w:rPr>
            </w:pPr>
            <w:r>
              <w:rPr>
                <w:rFonts w:ascii="Times New Roman" w:hAnsi="Times New Roman" w:eastAsia="宋体" w:cs="Times New Roman"/>
              </w:rPr>
              <w:t>68</w:t>
            </w:r>
          </w:p>
        </w:tc>
        <w:tc>
          <w:tcPr>
            <w:tcW w:w="662" w:type="dxa"/>
            <w:tcBorders>
              <w:top w:val="single" w:color="auto" w:sz="6" w:space="0"/>
              <w:left w:val="single" w:color="auto" w:sz="6" w:space="0"/>
              <w:bottom w:val="single" w:color="auto" w:sz="6" w:space="0"/>
              <w:right w:val="single" w:color="auto" w:sz="6" w:space="0"/>
            </w:tcBorders>
            <w:vAlign w:val="center"/>
          </w:tcPr>
          <w:p w14:paraId="46844765">
            <w:pPr>
              <w:jc w:val="center"/>
              <w:rPr>
                <w:rFonts w:ascii="Times New Roman" w:hAnsi="Times New Roman" w:eastAsia="宋体" w:cs="Times New Roman"/>
              </w:rPr>
            </w:pPr>
            <w:r>
              <w:rPr>
                <w:rFonts w:ascii="Times New Roman" w:hAnsi="Times New Roman" w:eastAsia="宋体" w:cs="Times New Roman"/>
              </w:rPr>
              <w:t>66</w:t>
            </w:r>
          </w:p>
        </w:tc>
        <w:tc>
          <w:tcPr>
            <w:tcW w:w="663" w:type="dxa"/>
            <w:tcBorders>
              <w:top w:val="single" w:color="auto" w:sz="6" w:space="0"/>
              <w:left w:val="single" w:color="auto" w:sz="6" w:space="0"/>
              <w:bottom w:val="single" w:color="auto" w:sz="6" w:space="0"/>
              <w:right w:val="single" w:color="auto" w:sz="6" w:space="0"/>
            </w:tcBorders>
            <w:vAlign w:val="center"/>
          </w:tcPr>
          <w:p w14:paraId="56671886">
            <w:pPr>
              <w:jc w:val="center"/>
              <w:rPr>
                <w:rFonts w:ascii="Times New Roman" w:hAnsi="Times New Roman" w:eastAsia="宋体" w:cs="Times New Roman"/>
              </w:rPr>
            </w:pPr>
            <w:r>
              <w:rPr>
                <w:rFonts w:ascii="Times New Roman" w:hAnsi="Times New Roman" w:eastAsia="宋体" w:cs="Times New Roman"/>
              </w:rPr>
              <w:t>64</w:t>
            </w:r>
          </w:p>
        </w:tc>
        <w:tc>
          <w:tcPr>
            <w:tcW w:w="663" w:type="dxa"/>
            <w:tcBorders>
              <w:top w:val="single" w:color="auto" w:sz="6" w:space="0"/>
              <w:left w:val="single" w:color="auto" w:sz="6" w:space="0"/>
              <w:bottom w:val="single" w:color="auto" w:sz="6" w:space="0"/>
              <w:right w:val="single" w:color="auto" w:sz="6" w:space="0"/>
            </w:tcBorders>
            <w:vAlign w:val="center"/>
          </w:tcPr>
          <w:p w14:paraId="388AD39D">
            <w:pPr>
              <w:jc w:val="center"/>
              <w:rPr>
                <w:rFonts w:ascii="Times New Roman" w:hAnsi="Times New Roman" w:eastAsia="宋体" w:cs="Times New Roman"/>
              </w:rPr>
            </w:pPr>
            <w:r>
              <w:rPr>
                <w:rFonts w:ascii="Times New Roman" w:hAnsi="Times New Roman" w:eastAsia="宋体" w:cs="Times New Roman"/>
              </w:rPr>
              <w:t>62</w:t>
            </w:r>
          </w:p>
        </w:tc>
        <w:tc>
          <w:tcPr>
            <w:tcW w:w="663" w:type="dxa"/>
            <w:tcBorders>
              <w:top w:val="single" w:color="auto" w:sz="6" w:space="0"/>
              <w:left w:val="single" w:color="auto" w:sz="6" w:space="0"/>
              <w:bottom w:val="single" w:color="auto" w:sz="6" w:space="0"/>
              <w:right w:val="thickThinSmallGap" w:color="auto" w:sz="12" w:space="0"/>
            </w:tcBorders>
            <w:vAlign w:val="center"/>
          </w:tcPr>
          <w:p w14:paraId="28DD4C7C">
            <w:pPr>
              <w:jc w:val="center"/>
              <w:rPr>
                <w:rFonts w:ascii="Times New Roman" w:hAnsi="Times New Roman" w:eastAsia="宋体" w:cs="Times New Roman"/>
              </w:rPr>
            </w:pPr>
            <w:r>
              <w:rPr>
                <w:rFonts w:ascii="Times New Roman" w:hAnsi="Times New Roman" w:eastAsia="宋体" w:cs="Times New Roman"/>
              </w:rPr>
              <w:t>60</w:t>
            </w:r>
          </w:p>
        </w:tc>
      </w:tr>
      <w:tr w14:paraId="2BA5E532">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534" w:type="dxa"/>
            <w:tcBorders>
              <w:top w:val="single" w:color="auto" w:sz="6" w:space="0"/>
              <w:left w:val="thinThickSmallGap" w:color="auto" w:sz="12" w:space="0"/>
              <w:bottom w:val="thickThinSmallGap" w:color="auto" w:sz="12" w:space="0"/>
              <w:right w:val="single" w:color="auto" w:sz="6" w:space="0"/>
            </w:tcBorders>
            <w:vAlign w:val="center"/>
          </w:tcPr>
          <w:p w14:paraId="7142AEE4">
            <w:pPr>
              <w:jc w:val="center"/>
              <w:rPr>
                <w:rFonts w:ascii="Times New Roman" w:hAnsi="Times New Roman" w:eastAsia="宋体" w:cs="Times New Roman"/>
              </w:rPr>
            </w:pPr>
            <w:r>
              <w:rPr>
                <w:rFonts w:ascii="Times New Roman" w:hAnsi="Times New Roman" w:eastAsia="宋体" w:cs="Times New Roman"/>
              </w:rPr>
              <w:t>18</w:t>
            </w:r>
          </w:p>
        </w:tc>
        <w:tc>
          <w:tcPr>
            <w:tcW w:w="1559" w:type="dxa"/>
            <w:tcBorders>
              <w:top w:val="single" w:color="auto" w:sz="6" w:space="0"/>
              <w:left w:val="single" w:color="auto" w:sz="6" w:space="0"/>
              <w:bottom w:val="thickThinSmallGap" w:color="auto" w:sz="12" w:space="0"/>
              <w:right w:val="single" w:color="auto" w:sz="6" w:space="0"/>
            </w:tcBorders>
            <w:vAlign w:val="center"/>
          </w:tcPr>
          <w:p w14:paraId="7839BF5D">
            <w:pPr>
              <w:jc w:val="center"/>
              <w:rPr>
                <w:rFonts w:ascii="Times New Roman" w:hAnsi="Times New Roman" w:eastAsia="宋体" w:cs="Times New Roman"/>
              </w:rPr>
            </w:pPr>
            <w:r>
              <w:rPr>
                <w:rFonts w:ascii="Times New Roman" w:hAnsi="Times New Roman" w:eastAsia="宋体" w:cs="Times New Roman"/>
              </w:rPr>
              <w:t>沥青混凝土搅拌机</w:t>
            </w:r>
          </w:p>
        </w:tc>
        <w:tc>
          <w:tcPr>
            <w:tcW w:w="662" w:type="dxa"/>
            <w:tcBorders>
              <w:top w:val="single" w:color="auto" w:sz="6" w:space="0"/>
              <w:left w:val="single" w:color="auto" w:sz="6" w:space="0"/>
              <w:bottom w:val="thickThinSmallGap" w:color="auto" w:sz="12" w:space="0"/>
              <w:right w:val="single" w:color="auto" w:sz="6" w:space="0"/>
            </w:tcBorders>
            <w:vAlign w:val="center"/>
          </w:tcPr>
          <w:p w14:paraId="76371D5C">
            <w:pPr>
              <w:jc w:val="center"/>
              <w:rPr>
                <w:rFonts w:ascii="Times New Roman" w:hAnsi="Times New Roman" w:eastAsia="宋体" w:cs="Times New Roman"/>
              </w:rPr>
            </w:pPr>
            <w:r>
              <w:rPr>
                <w:rFonts w:ascii="Times New Roman" w:hAnsi="Times New Roman" w:eastAsia="宋体" w:cs="Times New Roman"/>
              </w:rPr>
              <w:t>82</w:t>
            </w:r>
          </w:p>
        </w:tc>
        <w:tc>
          <w:tcPr>
            <w:tcW w:w="663" w:type="dxa"/>
            <w:tcBorders>
              <w:top w:val="single" w:color="auto" w:sz="6" w:space="0"/>
              <w:left w:val="single" w:color="auto" w:sz="6" w:space="0"/>
              <w:bottom w:val="thickThinSmallGap" w:color="auto" w:sz="12" w:space="0"/>
              <w:right w:val="single" w:color="auto" w:sz="6" w:space="0"/>
            </w:tcBorders>
            <w:vAlign w:val="center"/>
          </w:tcPr>
          <w:p w14:paraId="6D305853">
            <w:pPr>
              <w:jc w:val="center"/>
              <w:rPr>
                <w:rFonts w:ascii="Times New Roman" w:hAnsi="Times New Roman" w:eastAsia="宋体" w:cs="Times New Roman"/>
              </w:rPr>
            </w:pPr>
            <w:r>
              <w:rPr>
                <w:rFonts w:ascii="Times New Roman" w:hAnsi="Times New Roman" w:eastAsia="宋体" w:cs="Times New Roman"/>
              </w:rPr>
              <w:t>76</w:t>
            </w:r>
          </w:p>
        </w:tc>
        <w:tc>
          <w:tcPr>
            <w:tcW w:w="663" w:type="dxa"/>
            <w:tcBorders>
              <w:top w:val="single" w:color="auto" w:sz="6" w:space="0"/>
              <w:left w:val="single" w:color="auto" w:sz="6" w:space="0"/>
              <w:bottom w:val="thickThinSmallGap" w:color="auto" w:sz="12" w:space="0"/>
              <w:right w:val="single" w:color="auto" w:sz="6" w:space="0"/>
            </w:tcBorders>
            <w:vAlign w:val="center"/>
          </w:tcPr>
          <w:p w14:paraId="1317898F">
            <w:pPr>
              <w:jc w:val="center"/>
              <w:rPr>
                <w:rFonts w:ascii="Times New Roman" w:hAnsi="Times New Roman" w:eastAsia="宋体" w:cs="Times New Roman"/>
              </w:rPr>
            </w:pPr>
            <w:r>
              <w:rPr>
                <w:rFonts w:ascii="Times New Roman" w:hAnsi="Times New Roman" w:eastAsia="宋体" w:cs="Times New Roman"/>
              </w:rPr>
              <w:t>70</w:t>
            </w:r>
          </w:p>
        </w:tc>
        <w:tc>
          <w:tcPr>
            <w:tcW w:w="662" w:type="dxa"/>
            <w:tcBorders>
              <w:top w:val="single" w:color="auto" w:sz="6" w:space="0"/>
              <w:left w:val="single" w:color="auto" w:sz="6" w:space="0"/>
              <w:bottom w:val="thickThinSmallGap" w:color="auto" w:sz="12" w:space="0"/>
              <w:right w:val="single" w:color="auto" w:sz="6" w:space="0"/>
            </w:tcBorders>
            <w:vAlign w:val="center"/>
          </w:tcPr>
          <w:p w14:paraId="73C12F71">
            <w:pPr>
              <w:jc w:val="center"/>
              <w:rPr>
                <w:rFonts w:ascii="Times New Roman" w:hAnsi="Times New Roman" w:eastAsia="宋体" w:cs="Times New Roman"/>
              </w:rPr>
            </w:pPr>
            <w:r>
              <w:rPr>
                <w:rFonts w:ascii="Times New Roman" w:hAnsi="Times New Roman" w:eastAsia="宋体" w:cs="Times New Roman"/>
              </w:rPr>
              <w:t>64</w:t>
            </w:r>
          </w:p>
        </w:tc>
        <w:tc>
          <w:tcPr>
            <w:tcW w:w="663" w:type="dxa"/>
            <w:tcBorders>
              <w:top w:val="single" w:color="auto" w:sz="6" w:space="0"/>
              <w:left w:val="single" w:color="auto" w:sz="6" w:space="0"/>
              <w:bottom w:val="thickThinSmallGap" w:color="auto" w:sz="12" w:space="0"/>
              <w:right w:val="single" w:color="auto" w:sz="6" w:space="0"/>
            </w:tcBorders>
            <w:vAlign w:val="center"/>
          </w:tcPr>
          <w:p w14:paraId="37ABC762">
            <w:pPr>
              <w:jc w:val="center"/>
              <w:rPr>
                <w:rFonts w:ascii="Times New Roman" w:hAnsi="Times New Roman" w:eastAsia="宋体" w:cs="Times New Roman"/>
              </w:rPr>
            </w:pPr>
            <w:r>
              <w:rPr>
                <w:rFonts w:ascii="Times New Roman" w:hAnsi="Times New Roman" w:eastAsia="宋体" w:cs="Times New Roman"/>
              </w:rPr>
              <w:t>60</w:t>
            </w:r>
          </w:p>
        </w:tc>
        <w:tc>
          <w:tcPr>
            <w:tcW w:w="663" w:type="dxa"/>
            <w:tcBorders>
              <w:top w:val="single" w:color="auto" w:sz="6" w:space="0"/>
              <w:left w:val="single" w:color="auto" w:sz="6" w:space="0"/>
              <w:bottom w:val="thickThinSmallGap" w:color="auto" w:sz="12" w:space="0"/>
              <w:right w:val="single" w:color="auto" w:sz="6" w:space="0"/>
            </w:tcBorders>
            <w:vAlign w:val="center"/>
          </w:tcPr>
          <w:p w14:paraId="1A9E7CDA">
            <w:pPr>
              <w:jc w:val="center"/>
              <w:rPr>
                <w:rFonts w:ascii="Times New Roman" w:hAnsi="Times New Roman" w:eastAsia="宋体" w:cs="Times New Roman"/>
              </w:rPr>
            </w:pPr>
            <w:r>
              <w:rPr>
                <w:rFonts w:ascii="Times New Roman" w:hAnsi="Times New Roman" w:eastAsia="宋体" w:cs="Times New Roman"/>
              </w:rPr>
              <w:t>58</w:t>
            </w:r>
          </w:p>
        </w:tc>
        <w:tc>
          <w:tcPr>
            <w:tcW w:w="662" w:type="dxa"/>
            <w:tcBorders>
              <w:top w:val="single" w:color="auto" w:sz="6" w:space="0"/>
              <w:left w:val="single" w:color="auto" w:sz="6" w:space="0"/>
              <w:bottom w:val="thickThinSmallGap" w:color="auto" w:sz="12" w:space="0"/>
              <w:right w:val="single" w:color="auto" w:sz="6" w:space="0"/>
            </w:tcBorders>
            <w:vAlign w:val="center"/>
          </w:tcPr>
          <w:p w14:paraId="754E0F4B">
            <w:pPr>
              <w:jc w:val="center"/>
              <w:rPr>
                <w:rFonts w:ascii="Times New Roman" w:hAnsi="Times New Roman" w:eastAsia="宋体" w:cs="Times New Roman"/>
              </w:rPr>
            </w:pPr>
            <w:r>
              <w:rPr>
                <w:rFonts w:ascii="Times New Roman" w:hAnsi="Times New Roman" w:eastAsia="宋体" w:cs="Times New Roman"/>
              </w:rPr>
              <w:t>56</w:t>
            </w:r>
          </w:p>
        </w:tc>
        <w:tc>
          <w:tcPr>
            <w:tcW w:w="663" w:type="dxa"/>
            <w:tcBorders>
              <w:top w:val="single" w:color="auto" w:sz="6" w:space="0"/>
              <w:left w:val="single" w:color="auto" w:sz="6" w:space="0"/>
              <w:bottom w:val="thickThinSmallGap" w:color="auto" w:sz="12" w:space="0"/>
              <w:right w:val="single" w:color="auto" w:sz="6" w:space="0"/>
            </w:tcBorders>
            <w:vAlign w:val="center"/>
          </w:tcPr>
          <w:p w14:paraId="03275285">
            <w:pPr>
              <w:jc w:val="center"/>
              <w:rPr>
                <w:rFonts w:ascii="Times New Roman" w:hAnsi="Times New Roman" w:eastAsia="宋体" w:cs="Times New Roman"/>
              </w:rPr>
            </w:pPr>
            <w:r>
              <w:rPr>
                <w:rFonts w:ascii="Times New Roman" w:hAnsi="Times New Roman" w:eastAsia="宋体" w:cs="Times New Roman"/>
              </w:rPr>
              <w:t>54</w:t>
            </w:r>
          </w:p>
        </w:tc>
        <w:tc>
          <w:tcPr>
            <w:tcW w:w="663" w:type="dxa"/>
            <w:tcBorders>
              <w:top w:val="single" w:color="auto" w:sz="6" w:space="0"/>
              <w:left w:val="single" w:color="auto" w:sz="6" w:space="0"/>
              <w:bottom w:val="thickThinSmallGap" w:color="auto" w:sz="12" w:space="0"/>
              <w:right w:val="single" w:color="auto" w:sz="6" w:space="0"/>
            </w:tcBorders>
            <w:vAlign w:val="center"/>
          </w:tcPr>
          <w:p w14:paraId="569EDFC8">
            <w:pPr>
              <w:jc w:val="center"/>
              <w:rPr>
                <w:rFonts w:ascii="Times New Roman" w:hAnsi="Times New Roman" w:eastAsia="宋体" w:cs="Times New Roman"/>
              </w:rPr>
            </w:pPr>
            <w:r>
              <w:rPr>
                <w:rFonts w:ascii="Times New Roman" w:hAnsi="Times New Roman" w:eastAsia="宋体" w:cs="Times New Roman"/>
              </w:rPr>
              <w:t>52</w:t>
            </w:r>
          </w:p>
        </w:tc>
        <w:tc>
          <w:tcPr>
            <w:tcW w:w="663" w:type="dxa"/>
            <w:tcBorders>
              <w:top w:val="single" w:color="auto" w:sz="6" w:space="0"/>
              <w:left w:val="single" w:color="auto" w:sz="6" w:space="0"/>
              <w:bottom w:val="thickThinSmallGap" w:color="auto" w:sz="12" w:space="0"/>
              <w:right w:val="thickThinSmallGap" w:color="auto" w:sz="12" w:space="0"/>
            </w:tcBorders>
            <w:vAlign w:val="center"/>
          </w:tcPr>
          <w:p w14:paraId="13501D8E">
            <w:pPr>
              <w:jc w:val="center"/>
              <w:rPr>
                <w:rFonts w:ascii="Times New Roman" w:hAnsi="Times New Roman" w:eastAsia="宋体" w:cs="Times New Roman"/>
              </w:rPr>
            </w:pPr>
            <w:r>
              <w:rPr>
                <w:rFonts w:ascii="Times New Roman" w:hAnsi="Times New Roman" w:eastAsia="宋体" w:cs="Times New Roman"/>
              </w:rPr>
              <w:t>50</w:t>
            </w:r>
          </w:p>
        </w:tc>
      </w:tr>
    </w:tbl>
    <w:p w14:paraId="0749110E">
      <w:pPr>
        <w:spacing w:beforeLines="50"/>
        <w:jc w:val="center"/>
        <w:rPr>
          <w:rFonts w:ascii="Times New Roman" w:hAnsi="Times New Roman" w:eastAsia="宋体" w:cs="Times New Roman"/>
          <w:b/>
          <w:bCs/>
          <w:szCs w:val="20"/>
        </w:rPr>
      </w:pPr>
      <w:r>
        <w:rPr>
          <w:rFonts w:ascii="Times New Roman" w:hAnsi="Times New Roman" w:eastAsia="宋体" w:cs="Times New Roman"/>
          <w:b/>
          <w:bCs/>
          <w:szCs w:val="20"/>
        </w:rPr>
        <w:br w:type="page"/>
      </w:r>
      <w:r>
        <w:rPr>
          <w:rFonts w:ascii="Times New Roman" w:hAnsi="Times New Roman" w:eastAsia="宋体" w:cs="Times New Roman"/>
          <w:b/>
          <w:bCs/>
          <w:szCs w:val="20"/>
        </w:rPr>
        <w:t>表4.1-</w:t>
      </w:r>
      <w:r>
        <w:rPr>
          <w:rFonts w:hint="eastAsia" w:ascii="Times New Roman" w:hAnsi="Times New Roman" w:eastAsia="宋体" w:cs="Times New Roman"/>
          <w:b/>
          <w:bCs/>
          <w:szCs w:val="20"/>
        </w:rPr>
        <w:t>3</w:t>
      </w:r>
      <w:r>
        <w:rPr>
          <w:rFonts w:ascii="Times New Roman" w:hAnsi="Times New Roman" w:eastAsia="宋体" w:cs="Times New Roman"/>
          <w:b/>
          <w:bCs/>
          <w:szCs w:val="20"/>
        </w:rPr>
        <w:t xml:space="preserve">  公路施工噪声的影响范围</w:t>
      </w:r>
    </w:p>
    <w:tbl>
      <w:tblPr>
        <w:tblStyle w:val="22"/>
        <w:tblW w:w="5000" w:type="pct"/>
        <w:tblInd w:w="0" w:type="dxa"/>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503"/>
        <w:gridCol w:w="722"/>
        <w:gridCol w:w="619"/>
        <w:gridCol w:w="612"/>
        <w:gridCol w:w="612"/>
        <w:gridCol w:w="612"/>
        <w:gridCol w:w="612"/>
        <w:gridCol w:w="612"/>
        <w:gridCol w:w="612"/>
        <w:gridCol w:w="619"/>
        <w:gridCol w:w="792"/>
        <w:gridCol w:w="793"/>
      </w:tblGrid>
      <w:tr w14:paraId="15D0235D">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862" w:type="pct"/>
            <w:vMerge w:val="restart"/>
            <w:noWrap/>
            <w:vAlign w:val="center"/>
          </w:tcPr>
          <w:p w14:paraId="66E1EB7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施工环节</w:t>
            </w:r>
          </w:p>
        </w:tc>
        <w:tc>
          <w:tcPr>
            <w:tcW w:w="3229" w:type="pct"/>
            <w:gridSpan w:val="9"/>
            <w:noWrap/>
            <w:vAlign w:val="center"/>
          </w:tcPr>
          <w:p w14:paraId="288F5485">
            <w:pPr>
              <w:jc w:val="center"/>
              <w:rPr>
                <w:rFonts w:ascii="Times New Roman" w:hAnsi="Times New Roman" w:eastAsia="宋体" w:cs="Times New Roman"/>
                <w:kern w:val="0"/>
                <w:szCs w:val="21"/>
              </w:rPr>
            </w:pPr>
            <w:r>
              <w:rPr>
                <w:rFonts w:ascii="Times New Roman" w:hAnsi="Times New Roman" w:eastAsia="宋体" w:cs="Times New Roman"/>
                <w:kern w:val="0"/>
                <w:szCs w:val="21"/>
              </w:rPr>
              <w:t>距场界不同距离</w:t>
            </w:r>
            <w:r>
              <w:rPr>
                <w:rFonts w:hint="eastAsia" w:ascii="Times New Roman" w:hAnsi="Times New Roman" w:eastAsia="宋体" w:cs="Times New Roman"/>
                <w:kern w:val="0"/>
                <w:szCs w:val="21"/>
              </w:rPr>
              <w:t>（</w:t>
            </w:r>
            <w:r>
              <w:rPr>
                <w:rFonts w:ascii="Times New Roman" w:hAnsi="Times New Roman" w:eastAsia="宋体" w:cs="Times New Roman"/>
                <w:kern w:val="0"/>
                <w:szCs w:val="21"/>
              </w:rPr>
              <w:t>m</w:t>
            </w:r>
            <w:r>
              <w:rPr>
                <w:rFonts w:hint="eastAsia" w:ascii="Times New Roman" w:hAnsi="Times New Roman" w:eastAsia="宋体" w:cs="Times New Roman"/>
                <w:kern w:val="0"/>
                <w:szCs w:val="21"/>
              </w:rPr>
              <w:t>）</w:t>
            </w:r>
          </w:p>
        </w:tc>
        <w:tc>
          <w:tcPr>
            <w:tcW w:w="908" w:type="pct"/>
            <w:gridSpan w:val="2"/>
            <w:noWrap/>
            <w:vAlign w:val="center"/>
          </w:tcPr>
          <w:p w14:paraId="4AE56FBD">
            <w:pPr>
              <w:jc w:val="center"/>
              <w:rPr>
                <w:rFonts w:ascii="Times New Roman" w:hAnsi="Times New Roman" w:eastAsia="宋体" w:cs="Times New Roman"/>
                <w:kern w:val="0"/>
                <w:szCs w:val="21"/>
              </w:rPr>
            </w:pPr>
            <w:r>
              <w:rPr>
                <w:rFonts w:ascii="Times New Roman" w:hAnsi="Times New Roman" w:eastAsia="宋体" w:cs="Times New Roman"/>
                <w:kern w:val="0"/>
                <w:szCs w:val="21"/>
              </w:rPr>
              <w:t>标准值</w:t>
            </w:r>
            <w:r>
              <w:rPr>
                <w:rFonts w:hint="eastAsia" w:ascii="Times New Roman" w:hAnsi="Times New Roman" w:eastAsia="宋体" w:cs="Times New Roman"/>
                <w:kern w:val="0"/>
                <w:szCs w:val="21"/>
              </w:rPr>
              <w:t>（dB）</w:t>
            </w:r>
          </w:p>
        </w:tc>
      </w:tr>
      <w:tr w14:paraId="25AFEB6F">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862" w:type="pct"/>
            <w:vMerge w:val="continue"/>
            <w:noWrap/>
            <w:vAlign w:val="center"/>
          </w:tcPr>
          <w:p w14:paraId="4CFA69CB">
            <w:pPr>
              <w:widowControl/>
              <w:jc w:val="center"/>
              <w:rPr>
                <w:rFonts w:ascii="Times New Roman" w:hAnsi="Times New Roman" w:eastAsia="宋体" w:cs="Times New Roman"/>
                <w:kern w:val="0"/>
                <w:szCs w:val="21"/>
              </w:rPr>
            </w:pPr>
          </w:p>
        </w:tc>
        <w:tc>
          <w:tcPr>
            <w:tcW w:w="414" w:type="pct"/>
            <w:noWrap/>
            <w:vAlign w:val="center"/>
          </w:tcPr>
          <w:p w14:paraId="4A53BC62">
            <w:pPr>
              <w:jc w:val="center"/>
              <w:rPr>
                <w:rFonts w:ascii="Times New Roman" w:hAnsi="Times New Roman" w:eastAsia="宋体" w:cs="Times New Roman"/>
                <w:szCs w:val="21"/>
              </w:rPr>
            </w:pPr>
            <w:r>
              <w:rPr>
                <w:rFonts w:ascii="Times New Roman" w:hAnsi="Times New Roman" w:eastAsia="宋体" w:cs="Times New Roman"/>
                <w:szCs w:val="21"/>
              </w:rPr>
              <w:t>5m</w:t>
            </w:r>
          </w:p>
        </w:tc>
        <w:tc>
          <w:tcPr>
            <w:tcW w:w="355" w:type="pct"/>
            <w:noWrap/>
            <w:vAlign w:val="center"/>
          </w:tcPr>
          <w:p w14:paraId="7261B690">
            <w:pPr>
              <w:jc w:val="center"/>
              <w:rPr>
                <w:rFonts w:ascii="Times New Roman" w:hAnsi="Times New Roman" w:eastAsia="宋体" w:cs="Times New Roman"/>
                <w:szCs w:val="21"/>
              </w:rPr>
            </w:pPr>
            <w:r>
              <w:rPr>
                <w:rFonts w:ascii="Times New Roman" w:hAnsi="Times New Roman" w:eastAsia="宋体" w:cs="Times New Roman"/>
                <w:szCs w:val="21"/>
              </w:rPr>
              <w:t>10m</w:t>
            </w:r>
          </w:p>
        </w:tc>
        <w:tc>
          <w:tcPr>
            <w:tcW w:w="351" w:type="pct"/>
            <w:noWrap/>
            <w:vAlign w:val="center"/>
          </w:tcPr>
          <w:p w14:paraId="30BCDDF5">
            <w:pPr>
              <w:jc w:val="center"/>
              <w:rPr>
                <w:rFonts w:ascii="Times New Roman" w:hAnsi="Times New Roman" w:eastAsia="等线" w:cs="Times New Roman"/>
                <w:szCs w:val="21"/>
              </w:rPr>
            </w:pPr>
            <w:r>
              <w:rPr>
                <w:rFonts w:ascii="Times New Roman" w:hAnsi="Times New Roman" w:eastAsia="等线" w:cs="Times New Roman"/>
                <w:szCs w:val="21"/>
              </w:rPr>
              <w:t>20</w:t>
            </w:r>
          </w:p>
        </w:tc>
        <w:tc>
          <w:tcPr>
            <w:tcW w:w="351" w:type="pct"/>
            <w:noWrap/>
            <w:vAlign w:val="center"/>
          </w:tcPr>
          <w:p w14:paraId="45120848">
            <w:pPr>
              <w:jc w:val="center"/>
              <w:rPr>
                <w:rFonts w:ascii="Times New Roman" w:hAnsi="Times New Roman" w:eastAsia="等线" w:cs="Times New Roman"/>
                <w:szCs w:val="21"/>
              </w:rPr>
            </w:pPr>
            <w:r>
              <w:rPr>
                <w:rFonts w:ascii="Times New Roman" w:hAnsi="Times New Roman" w:eastAsia="等线" w:cs="Times New Roman"/>
                <w:szCs w:val="21"/>
              </w:rPr>
              <w:t>40</w:t>
            </w:r>
          </w:p>
        </w:tc>
        <w:tc>
          <w:tcPr>
            <w:tcW w:w="351" w:type="pct"/>
            <w:noWrap/>
            <w:vAlign w:val="center"/>
          </w:tcPr>
          <w:p w14:paraId="3E5BE1E9">
            <w:pPr>
              <w:jc w:val="center"/>
              <w:rPr>
                <w:rFonts w:ascii="Times New Roman" w:hAnsi="Times New Roman" w:eastAsia="等线" w:cs="Times New Roman"/>
                <w:szCs w:val="21"/>
              </w:rPr>
            </w:pPr>
            <w:r>
              <w:rPr>
                <w:rFonts w:ascii="Times New Roman" w:hAnsi="Times New Roman" w:eastAsia="等线" w:cs="Times New Roman"/>
                <w:szCs w:val="21"/>
              </w:rPr>
              <w:t>60</w:t>
            </w:r>
          </w:p>
        </w:tc>
        <w:tc>
          <w:tcPr>
            <w:tcW w:w="351" w:type="pct"/>
            <w:noWrap/>
            <w:vAlign w:val="center"/>
          </w:tcPr>
          <w:p w14:paraId="129FE503">
            <w:pPr>
              <w:jc w:val="center"/>
              <w:rPr>
                <w:rFonts w:ascii="Times New Roman" w:hAnsi="Times New Roman" w:eastAsia="等线" w:cs="Times New Roman"/>
                <w:szCs w:val="21"/>
              </w:rPr>
            </w:pPr>
            <w:r>
              <w:rPr>
                <w:rFonts w:ascii="Times New Roman" w:hAnsi="Times New Roman" w:eastAsia="等线" w:cs="Times New Roman"/>
                <w:szCs w:val="21"/>
              </w:rPr>
              <w:t>80</w:t>
            </w:r>
          </w:p>
        </w:tc>
        <w:tc>
          <w:tcPr>
            <w:tcW w:w="351" w:type="pct"/>
            <w:noWrap/>
            <w:vAlign w:val="center"/>
          </w:tcPr>
          <w:p w14:paraId="42525F27">
            <w:pPr>
              <w:jc w:val="center"/>
              <w:rPr>
                <w:rFonts w:ascii="Times New Roman" w:hAnsi="Times New Roman" w:eastAsia="等线" w:cs="Times New Roman"/>
                <w:szCs w:val="21"/>
              </w:rPr>
            </w:pPr>
            <w:r>
              <w:rPr>
                <w:rFonts w:ascii="Times New Roman" w:hAnsi="Times New Roman" w:eastAsia="等线" w:cs="Times New Roman"/>
                <w:szCs w:val="21"/>
              </w:rPr>
              <w:t>100</w:t>
            </w:r>
          </w:p>
        </w:tc>
        <w:tc>
          <w:tcPr>
            <w:tcW w:w="351" w:type="pct"/>
            <w:noWrap/>
            <w:vAlign w:val="center"/>
          </w:tcPr>
          <w:p w14:paraId="478944D4">
            <w:pPr>
              <w:jc w:val="center"/>
              <w:rPr>
                <w:rFonts w:ascii="Times New Roman" w:hAnsi="Times New Roman" w:eastAsia="等线" w:cs="Times New Roman"/>
                <w:szCs w:val="21"/>
              </w:rPr>
            </w:pPr>
            <w:r>
              <w:rPr>
                <w:rFonts w:ascii="Times New Roman" w:hAnsi="Times New Roman" w:eastAsia="等线" w:cs="Times New Roman"/>
                <w:szCs w:val="21"/>
              </w:rPr>
              <w:t>150</w:t>
            </w:r>
          </w:p>
        </w:tc>
        <w:tc>
          <w:tcPr>
            <w:tcW w:w="355" w:type="pct"/>
            <w:noWrap/>
            <w:vAlign w:val="center"/>
          </w:tcPr>
          <w:p w14:paraId="47D69DF5">
            <w:pPr>
              <w:jc w:val="center"/>
              <w:rPr>
                <w:rFonts w:ascii="Times New Roman" w:hAnsi="Times New Roman" w:eastAsia="等线" w:cs="Times New Roman"/>
                <w:szCs w:val="21"/>
              </w:rPr>
            </w:pPr>
            <w:r>
              <w:rPr>
                <w:rFonts w:ascii="Times New Roman" w:hAnsi="Times New Roman" w:eastAsia="等线" w:cs="Times New Roman"/>
                <w:szCs w:val="21"/>
              </w:rPr>
              <w:t>200</w:t>
            </w:r>
          </w:p>
        </w:tc>
        <w:tc>
          <w:tcPr>
            <w:tcW w:w="454" w:type="pct"/>
            <w:noWrap/>
            <w:vAlign w:val="center"/>
          </w:tcPr>
          <w:p w14:paraId="44A7587E">
            <w:pPr>
              <w:jc w:val="center"/>
              <w:rPr>
                <w:rFonts w:ascii="Times New Roman" w:hAnsi="Times New Roman" w:eastAsia="等线" w:cs="Times New Roman"/>
                <w:szCs w:val="21"/>
              </w:rPr>
            </w:pPr>
            <w:r>
              <w:rPr>
                <w:rFonts w:ascii="Times New Roman" w:hAnsi="Times New Roman" w:eastAsia="等线" w:cs="Times New Roman"/>
                <w:szCs w:val="21"/>
              </w:rPr>
              <w:t>70</w:t>
            </w:r>
          </w:p>
        </w:tc>
        <w:tc>
          <w:tcPr>
            <w:tcW w:w="454" w:type="pct"/>
            <w:noWrap/>
            <w:vAlign w:val="center"/>
          </w:tcPr>
          <w:p w14:paraId="30E55531">
            <w:pPr>
              <w:jc w:val="center"/>
              <w:rPr>
                <w:rFonts w:ascii="Times New Roman" w:hAnsi="Times New Roman" w:eastAsia="等线" w:cs="Times New Roman"/>
                <w:szCs w:val="21"/>
              </w:rPr>
            </w:pPr>
            <w:r>
              <w:rPr>
                <w:rFonts w:ascii="Times New Roman" w:hAnsi="Times New Roman" w:eastAsia="等线" w:cs="Times New Roman"/>
                <w:szCs w:val="21"/>
              </w:rPr>
              <w:t>55</w:t>
            </w:r>
          </w:p>
        </w:tc>
      </w:tr>
      <w:tr w14:paraId="6B8E10FA">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862" w:type="pct"/>
            <w:noWrap/>
            <w:vAlign w:val="center"/>
          </w:tcPr>
          <w:p w14:paraId="0DDE45DB">
            <w:pPr>
              <w:jc w:val="center"/>
              <w:rPr>
                <w:rFonts w:ascii="Times New Roman" w:hAnsi="Times New Roman" w:eastAsia="宋体" w:cs="Times New Roman"/>
                <w:kern w:val="0"/>
                <w:szCs w:val="21"/>
              </w:rPr>
            </w:pPr>
            <w:r>
              <w:rPr>
                <w:rFonts w:ascii="Times New Roman" w:hAnsi="Times New Roman" w:eastAsia="宋体" w:cs="Times New Roman"/>
                <w:spacing w:val="-4"/>
                <w:szCs w:val="21"/>
              </w:rPr>
              <w:t>工程前期</w:t>
            </w:r>
            <w:r>
              <w:rPr>
                <w:rFonts w:ascii="Times New Roman" w:hAnsi="Times New Roman" w:eastAsia="宋体" w:cs="Times New Roman"/>
                <w:spacing w:val="-6"/>
                <w:szCs w:val="21"/>
              </w:rPr>
              <w:t>拆迁</w:t>
            </w:r>
          </w:p>
        </w:tc>
        <w:tc>
          <w:tcPr>
            <w:tcW w:w="414" w:type="pct"/>
            <w:noWrap/>
            <w:vAlign w:val="center"/>
          </w:tcPr>
          <w:p w14:paraId="0A45114E">
            <w:pPr>
              <w:jc w:val="center"/>
              <w:rPr>
                <w:rFonts w:ascii="Times New Roman" w:hAnsi="Times New Roman" w:eastAsia="宋体" w:cs="Times New Roman"/>
                <w:kern w:val="0"/>
                <w:szCs w:val="21"/>
              </w:rPr>
            </w:pPr>
            <w:r>
              <w:rPr>
                <w:rFonts w:ascii="Times New Roman" w:hAnsi="Times New Roman" w:eastAsia="等线" w:cs="Times New Roman"/>
                <w:szCs w:val="21"/>
              </w:rPr>
              <w:t>97.2</w:t>
            </w:r>
          </w:p>
        </w:tc>
        <w:tc>
          <w:tcPr>
            <w:tcW w:w="355" w:type="pct"/>
            <w:noWrap/>
            <w:vAlign w:val="center"/>
          </w:tcPr>
          <w:p w14:paraId="13030DAF">
            <w:pPr>
              <w:jc w:val="center"/>
              <w:rPr>
                <w:rFonts w:ascii="Times New Roman" w:hAnsi="Times New Roman" w:eastAsia="宋体" w:cs="Times New Roman"/>
                <w:kern w:val="0"/>
                <w:szCs w:val="21"/>
              </w:rPr>
            </w:pPr>
            <w:r>
              <w:rPr>
                <w:rFonts w:ascii="Times New Roman" w:hAnsi="Times New Roman" w:eastAsia="宋体" w:cs="Times New Roman"/>
                <w:kern w:val="0"/>
                <w:szCs w:val="21"/>
              </w:rPr>
              <w:t>91.1</w:t>
            </w:r>
          </w:p>
        </w:tc>
        <w:tc>
          <w:tcPr>
            <w:tcW w:w="351" w:type="pct"/>
            <w:noWrap/>
            <w:vAlign w:val="center"/>
          </w:tcPr>
          <w:p w14:paraId="059847BD">
            <w:pPr>
              <w:jc w:val="center"/>
              <w:rPr>
                <w:rFonts w:ascii="Times New Roman" w:hAnsi="Times New Roman" w:eastAsia="宋体" w:cs="Times New Roman"/>
                <w:kern w:val="0"/>
                <w:szCs w:val="21"/>
              </w:rPr>
            </w:pPr>
            <w:r>
              <w:rPr>
                <w:rFonts w:ascii="Times New Roman" w:hAnsi="Times New Roman" w:eastAsia="宋体" w:cs="Times New Roman"/>
                <w:kern w:val="0"/>
                <w:szCs w:val="21"/>
              </w:rPr>
              <w:t>85.1</w:t>
            </w:r>
          </w:p>
        </w:tc>
        <w:tc>
          <w:tcPr>
            <w:tcW w:w="351" w:type="pct"/>
            <w:noWrap/>
            <w:vAlign w:val="center"/>
          </w:tcPr>
          <w:p w14:paraId="7A06E172">
            <w:pPr>
              <w:jc w:val="center"/>
              <w:rPr>
                <w:rFonts w:ascii="Times New Roman" w:hAnsi="Times New Roman" w:eastAsia="宋体" w:cs="Times New Roman"/>
                <w:kern w:val="0"/>
                <w:szCs w:val="21"/>
              </w:rPr>
            </w:pPr>
            <w:r>
              <w:rPr>
                <w:rFonts w:ascii="Times New Roman" w:hAnsi="Times New Roman" w:eastAsia="宋体" w:cs="Times New Roman"/>
                <w:kern w:val="0"/>
                <w:szCs w:val="21"/>
              </w:rPr>
              <w:t>79.1</w:t>
            </w:r>
          </w:p>
        </w:tc>
        <w:tc>
          <w:tcPr>
            <w:tcW w:w="351" w:type="pct"/>
            <w:noWrap/>
            <w:vAlign w:val="center"/>
          </w:tcPr>
          <w:p w14:paraId="3C255648">
            <w:pPr>
              <w:jc w:val="center"/>
              <w:rPr>
                <w:rFonts w:ascii="Times New Roman" w:hAnsi="Times New Roman" w:eastAsia="宋体" w:cs="Times New Roman"/>
                <w:kern w:val="0"/>
                <w:szCs w:val="21"/>
              </w:rPr>
            </w:pPr>
            <w:r>
              <w:rPr>
                <w:rFonts w:ascii="Times New Roman" w:hAnsi="Times New Roman" w:eastAsia="宋体" w:cs="Times New Roman"/>
                <w:kern w:val="0"/>
                <w:szCs w:val="21"/>
              </w:rPr>
              <w:t>75.6</w:t>
            </w:r>
          </w:p>
        </w:tc>
        <w:tc>
          <w:tcPr>
            <w:tcW w:w="351" w:type="pct"/>
            <w:noWrap/>
            <w:vAlign w:val="center"/>
          </w:tcPr>
          <w:p w14:paraId="40400A5A">
            <w:pPr>
              <w:jc w:val="center"/>
              <w:rPr>
                <w:rFonts w:ascii="Times New Roman" w:hAnsi="Times New Roman" w:eastAsia="宋体" w:cs="Times New Roman"/>
                <w:kern w:val="0"/>
                <w:szCs w:val="21"/>
              </w:rPr>
            </w:pPr>
            <w:r>
              <w:rPr>
                <w:rFonts w:ascii="Times New Roman" w:hAnsi="Times New Roman" w:eastAsia="宋体" w:cs="Times New Roman"/>
                <w:kern w:val="0"/>
                <w:szCs w:val="21"/>
              </w:rPr>
              <w:t>73.1</w:t>
            </w:r>
          </w:p>
        </w:tc>
        <w:tc>
          <w:tcPr>
            <w:tcW w:w="351" w:type="pct"/>
            <w:noWrap/>
            <w:vAlign w:val="center"/>
          </w:tcPr>
          <w:p w14:paraId="6A42EADA">
            <w:pPr>
              <w:jc w:val="center"/>
              <w:rPr>
                <w:rFonts w:ascii="Times New Roman" w:hAnsi="Times New Roman" w:eastAsia="宋体" w:cs="Times New Roman"/>
                <w:kern w:val="0"/>
                <w:szCs w:val="21"/>
              </w:rPr>
            </w:pPr>
            <w:r>
              <w:rPr>
                <w:rFonts w:ascii="Times New Roman" w:hAnsi="Times New Roman" w:eastAsia="宋体" w:cs="Times New Roman"/>
                <w:kern w:val="0"/>
                <w:szCs w:val="21"/>
              </w:rPr>
              <w:t>71.1</w:t>
            </w:r>
          </w:p>
        </w:tc>
        <w:tc>
          <w:tcPr>
            <w:tcW w:w="351" w:type="pct"/>
            <w:noWrap/>
            <w:vAlign w:val="center"/>
          </w:tcPr>
          <w:p w14:paraId="697C0AE0">
            <w:pPr>
              <w:jc w:val="center"/>
              <w:rPr>
                <w:rFonts w:ascii="Times New Roman" w:hAnsi="Times New Roman" w:eastAsia="宋体" w:cs="Times New Roman"/>
                <w:kern w:val="0"/>
                <w:szCs w:val="21"/>
              </w:rPr>
            </w:pPr>
            <w:r>
              <w:rPr>
                <w:rFonts w:ascii="Times New Roman" w:hAnsi="Times New Roman" w:eastAsia="宋体" w:cs="Times New Roman"/>
                <w:kern w:val="0"/>
                <w:szCs w:val="21"/>
              </w:rPr>
              <w:t>67.6</w:t>
            </w:r>
          </w:p>
        </w:tc>
        <w:tc>
          <w:tcPr>
            <w:tcW w:w="355" w:type="pct"/>
            <w:noWrap/>
            <w:vAlign w:val="center"/>
          </w:tcPr>
          <w:p w14:paraId="3C26E010">
            <w:pPr>
              <w:jc w:val="center"/>
              <w:rPr>
                <w:rFonts w:ascii="Times New Roman" w:hAnsi="Times New Roman" w:eastAsia="宋体" w:cs="Times New Roman"/>
                <w:kern w:val="0"/>
                <w:szCs w:val="21"/>
              </w:rPr>
            </w:pPr>
            <w:r>
              <w:rPr>
                <w:rFonts w:ascii="Times New Roman" w:hAnsi="Times New Roman" w:eastAsia="宋体" w:cs="Times New Roman"/>
                <w:kern w:val="0"/>
                <w:szCs w:val="21"/>
              </w:rPr>
              <w:t>65.1</w:t>
            </w:r>
          </w:p>
        </w:tc>
        <w:tc>
          <w:tcPr>
            <w:tcW w:w="454" w:type="pct"/>
            <w:noWrap/>
            <w:vAlign w:val="center"/>
          </w:tcPr>
          <w:p w14:paraId="3815B486">
            <w:pPr>
              <w:jc w:val="center"/>
              <w:rPr>
                <w:rFonts w:ascii="Times New Roman" w:hAnsi="Times New Roman" w:eastAsia="宋体" w:cs="Times New Roman"/>
                <w:kern w:val="0"/>
                <w:szCs w:val="21"/>
              </w:rPr>
            </w:pPr>
            <w:r>
              <w:rPr>
                <w:rFonts w:ascii="Times New Roman" w:hAnsi="Times New Roman" w:eastAsia="宋体" w:cs="Times New Roman"/>
                <w:kern w:val="0"/>
                <w:szCs w:val="21"/>
              </w:rPr>
              <w:t>114.1</w:t>
            </w:r>
          </w:p>
        </w:tc>
        <w:tc>
          <w:tcPr>
            <w:tcW w:w="454" w:type="pct"/>
            <w:noWrap/>
            <w:vAlign w:val="center"/>
          </w:tcPr>
          <w:p w14:paraId="29655963">
            <w:pPr>
              <w:jc w:val="center"/>
              <w:rPr>
                <w:rFonts w:ascii="Times New Roman" w:hAnsi="Times New Roman" w:eastAsia="宋体" w:cs="Times New Roman"/>
                <w:kern w:val="0"/>
                <w:szCs w:val="21"/>
              </w:rPr>
            </w:pPr>
            <w:r>
              <w:rPr>
                <w:rFonts w:ascii="Times New Roman" w:hAnsi="Times New Roman" w:eastAsia="宋体" w:cs="Times New Roman"/>
                <w:kern w:val="0"/>
                <w:szCs w:val="21"/>
              </w:rPr>
              <w:t>641.9</w:t>
            </w:r>
          </w:p>
        </w:tc>
      </w:tr>
      <w:tr w14:paraId="10EC9480">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862" w:type="pct"/>
            <w:noWrap/>
            <w:vAlign w:val="center"/>
          </w:tcPr>
          <w:p w14:paraId="648A18C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路基施工</w:t>
            </w:r>
          </w:p>
        </w:tc>
        <w:tc>
          <w:tcPr>
            <w:tcW w:w="414" w:type="pct"/>
            <w:noWrap/>
            <w:vAlign w:val="center"/>
          </w:tcPr>
          <w:p w14:paraId="1613BCA6">
            <w:pPr>
              <w:widowControl/>
              <w:jc w:val="center"/>
              <w:rPr>
                <w:rFonts w:ascii="Times New Roman" w:hAnsi="Times New Roman" w:eastAsia="宋体" w:cs="Times New Roman"/>
                <w:kern w:val="0"/>
                <w:szCs w:val="21"/>
              </w:rPr>
            </w:pPr>
            <w:r>
              <w:rPr>
                <w:rFonts w:ascii="Times New Roman" w:hAnsi="Times New Roman" w:eastAsia="等线" w:cs="Times New Roman"/>
                <w:szCs w:val="21"/>
              </w:rPr>
              <w:t>96.7</w:t>
            </w:r>
          </w:p>
        </w:tc>
        <w:tc>
          <w:tcPr>
            <w:tcW w:w="355" w:type="pct"/>
            <w:noWrap/>
            <w:vAlign w:val="center"/>
          </w:tcPr>
          <w:p w14:paraId="33DE433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90.6</w:t>
            </w:r>
          </w:p>
        </w:tc>
        <w:tc>
          <w:tcPr>
            <w:tcW w:w="351" w:type="pct"/>
            <w:noWrap/>
            <w:vAlign w:val="center"/>
          </w:tcPr>
          <w:p w14:paraId="0178854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84.6</w:t>
            </w:r>
          </w:p>
        </w:tc>
        <w:tc>
          <w:tcPr>
            <w:tcW w:w="351" w:type="pct"/>
            <w:noWrap/>
            <w:vAlign w:val="center"/>
          </w:tcPr>
          <w:p w14:paraId="02B5C28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78.6</w:t>
            </w:r>
          </w:p>
        </w:tc>
        <w:tc>
          <w:tcPr>
            <w:tcW w:w="351" w:type="pct"/>
            <w:noWrap/>
            <w:vAlign w:val="center"/>
          </w:tcPr>
          <w:p w14:paraId="7198376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75.1</w:t>
            </w:r>
          </w:p>
        </w:tc>
        <w:tc>
          <w:tcPr>
            <w:tcW w:w="351" w:type="pct"/>
            <w:noWrap/>
            <w:vAlign w:val="center"/>
          </w:tcPr>
          <w:p w14:paraId="6CCC581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72.6</w:t>
            </w:r>
          </w:p>
        </w:tc>
        <w:tc>
          <w:tcPr>
            <w:tcW w:w="351" w:type="pct"/>
            <w:noWrap/>
            <w:vAlign w:val="center"/>
          </w:tcPr>
          <w:p w14:paraId="2340DEB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70.6</w:t>
            </w:r>
          </w:p>
        </w:tc>
        <w:tc>
          <w:tcPr>
            <w:tcW w:w="351" w:type="pct"/>
            <w:noWrap/>
            <w:vAlign w:val="center"/>
          </w:tcPr>
          <w:p w14:paraId="5C2F615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67.1</w:t>
            </w:r>
          </w:p>
        </w:tc>
        <w:tc>
          <w:tcPr>
            <w:tcW w:w="355" w:type="pct"/>
            <w:noWrap/>
            <w:vAlign w:val="center"/>
          </w:tcPr>
          <w:p w14:paraId="06B8476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64.6</w:t>
            </w:r>
          </w:p>
        </w:tc>
        <w:tc>
          <w:tcPr>
            <w:tcW w:w="454" w:type="pct"/>
            <w:noWrap/>
            <w:vAlign w:val="center"/>
          </w:tcPr>
          <w:p w14:paraId="34B60ED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107.6</w:t>
            </w:r>
          </w:p>
        </w:tc>
        <w:tc>
          <w:tcPr>
            <w:tcW w:w="454" w:type="pct"/>
            <w:noWrap/>
            <w:vAlign w:val="center"/>
          </w:tcPr>
          <w:p w14:paraId="15254B6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605.3</w:t>
            </w:r>
          </w:p>
        </w:tc>
      </w:tr>
      <w:tr w14:paraId="3426784E">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862" w:type="pct"/>
            <w:noWrap/>
            <w:vAlign w:val="center"/>
          </w:tcPr>
          <w:p w14:paraId="0477290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桥梁施工</w:t>
            </w:r>
          </w:p>
        </w:tc>
        <w:tc>
          <w:tcPr>
            <w:tcW w:w="414" w:type="pct"/>
            <w:noWrap/>
            <w:vAlign w:val="center"/>
          </w:tcPr>
          <w:p w14:paraId="4F099199">
            <w:pPr>
              <w:widowControl/>
              <w:jc w:val="center"/>
              <w:rPr>
                <w:rFonts w:ascii="Times New Roman" w:hAnsi="Times New Roman" w:eastAsia="宋体" w:cs="Times New Roman"/>
                <w:kern w:val="0"/>
                <w:szCs w:val="21"/>
              </w:rPr>
            </w:pPr>
            <w:r>
              <w:rPr>
                <w:rFonts w:ascii="Times New Roman" w:hAnsi="Times New Roman" w:eastAsia="等线" w:cs="Times New Roman"/>
                <w:szCs w:val="21"/>
              </w:rPr>
              <w:t>90.3</w:t>
            </w:r>
          </w:p>
        </w:tc>
        <w:tc>
          <w:tcPr>
            <w:tcW w:w="355" w:type="pct"/>
            <w:noWrap/>
            <w:vAlign w:val="center"/>
          </w:tcPr>
          <w:p w14:paraId="2C68AAB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84.3</w:t>
            </w:r>
          </w:p>
        </w:tc>
        <w:tc>
          <w:tcPr>
            <w:tcW w:w="351" w:type="pct"/>
            <w:noWrap/>
            <w:vAlign w:val="center"/>
          </w:tcPr>
          <w:p w14:paraId="6F388DD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78.3</w:t>
            </w:r>
          </w:p>
        </w:tc>
        <w:tc>
          <w:tcPr>
            <w:tcW w:w="351" w:type="pct"/>
            <w:noWrap/>
            <w:vAlign w:val="center"/>
          </w:tcPr>
          <w:p w14:paraId="5DA70D3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72.3</w:t>
            </w:r>
          </w:p>
        </w:tc>
        <w:tc>
          <w:tcPr>
            <w:tcW w:w="351" w:type="pct"/>
            <w:noWrap/>
            <w:vAlign w:val="center"/>
          </w:tcPr>
          <w:p w14:paraId="61C088A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68.8</w:t>
            </w:r>
          </w:p>
        </w:tc>
        <w:tc>
          <w:tcPr>
            <w:tcW w:w="351" w:type="pct"/>
            <w:noWrap/>
            <w:vAlign w:val="center"/>
          </w:tcPr>
          <w:p w14:paraId="06814D1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66.3</w:t>
            </w:r>
          </w:p>
        </w:tc>
        <w:tc>
          <w:tcPr>
            <w:tcW w:w="351" w:type="pct"/>
            <w:noWrap/>
            <w:vAlign w:val="center"/>
          </w:tcPr>
          <w:p w14:paraId="0946C61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64.3</w:t>
            </w:r>
          </w:p>
        </w:tc>
        <w:tc>
          <w:tcPr>
            <w:tcW w:w="351" w:type="pct"/>
            <w:noWrap/>
            <w:vAlign w:val="center"/>
          </w:tcPr>
          <w:p w14:paraId="3C9DF8D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60.8</w:t>
            </w:r>
          </w:p>
        </w:tc>
        <w:tc>
          <w:tcPr>
            <w:tcW w:w="355" w:type="pct"/>
            <w:noWrap/>
            <w:vAlign w:val="center"/>
          </w:tcPr>
          <w:p w14:paraId="319B774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58.3</w:t>
            </w:r>
          </w:p>
        </w:tc>
        <w:tc>
          <w:tcPr>
            <w:tcW w:w="454" w:type="pct"/>
            <w:noWrap/>
            <w:vAlign w:val="center"/>
          </w:tcPr>
          <w:p w14:paraId="3A74862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52.0</w:t>
            </w:r>
          </w:p>
        </w:tc>
        <w:tc>
          <w:tcPr>
            <w:tcW w:w="454" w:type="pct"/>
            <w:noWrap/>
            <w:vAlign w:val="center"/>
          </w:tcPr>
          <w:p w14:paraId="6D6228A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292.4</w:t>
            </w:r>
          </w:p>
        </w:tc>
      </w:tr>
      <w:tr w14:paraId="75EC6496">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862" w:type="pct"/>
            <w:noWrap/>
            <w:vAlign w:val="center"/>
          </w:tcPr>
          <w:p w14:paraId="11669C1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大临</w:t>
            </w:r>
            <w:r>
              <w:rPr>
                <w:rFonts w:ascii="Times New Roman" w:hAnsi="Times New Roman" w:eastAsia="宋体" w:cs="Times New Roman"/>
                <w:spacing w:val="-4"/>
                <w:szCs w:val="21"/>
              </w:rPr>
              <w:t>场地</w:t>
            </w:r>
            <w:r>
              <w:rPr>
                <w:rFonts w:ascii="Times New Roman" w:hAnsi="Times New Roman" w:eastAsia="宋体" w:cs="Times New Roman"/>
                <w:spacing w:val="-6"/>
                <w:szCs w:val="21"/>
              </w:rPr>
              <w:t>施工</w:t>
            </w:r>
          </w:p>
        </w:tc>
        <w:tc>
          <w:tcPr>
            <w:tcW w:w="414" w:type="pct"/>
            <w:noWrap/>
            <w:vAlign w:val="center"/>
          </w:tcPr>
          <w:p w14:paraId="4685EDB4">
            <w:pPr>
              <w:widowControl/>
              <w:jc w:val="center"/>
              <w:rPr>
                <w:rFonts w:ascii="Times New Roman" w:hAnsi="Times New Roman" w:eastAsia="宋体" w:cs="Times New Roman"/>
                <w:kern w:val="0"/>
                <w:szCs w:val="21"/>
              </w:rPr>
            </w:pPr>
            <w:r>
              <w:rPr>
                <w:rFonts w:ascii="Times New Roman" w:hAnsi="Times New Roman" w:eastAsia="等线" w:cs="Times New Roman"/>
                <w:szCs w:val="21"/>
              </w:rPr>
              <w:t>97.0</w:t>
            </w:r>
          </w:p>
        </w:tc>
        <w:tc>
          <w:tcPr>
            <w:tcW w:w="355" w:type="pct"/>
            <w:noWrap/>
            <w:vAlign w:val="center"/>
          </w:tcPr>
          <w:p w14:paraId="5265372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90.9</w:t>
            </w:r>
          </w:p>
        </w:tc>
        <w:tc>
          <w:tcPr>
            <w:tcW w:w="351" w:type="pct"/>
            <w:noWrap/>
            <w:vAlign w:val="center"/>
          </w:tcPr>
          <w:p w14:paraId="4FC7A6A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84.9</w:t>
            </w:r>
          </w:p>
        </w:tc>
        <w:tc>
          <w:tcPr>
            <w:tcW w:w="351" w:type="pct"/>
            <w:noWrap/>
            <w:vAlign w:val="center"/>
          </w:tcPr>
          <w:p w14:paraId="0527B0B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78.9</w:t>
            </w:r>
          </w:p>
        </w:tc>
        <w:tc>
          <w:tcPr>
            <w:tcW w:w="351" w:type="pct"/>
            <w:noWrap/>
            <w:vAlign w:val="center"/>
          </w:tcPr>
          <w:p w14:paraId="0461D99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75.4</w:t>
            </w:r>
          </w:p>
        </w:tc>
        <w:tc>
          <w:tcPr>
            <w:tcW w:w="351" w:type="pct"/>
            <w:noWrap/>
            <w:vAlign w:val="center"/>
          </w:tcPr>
          <w:p w14:paraId="55976F0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72.9</w:t>
            </w:r>
          </w:p>
        </w:tc>
        <w:tc>
          <w:tcPr>
            <w:tcW w:w="351" w:type="pct"/>
            <w:noWrap/>
            <w:vAlign w:val="center"/>
          </w:tcPr>
          <w:p w14:paraId="7452EFC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70.9</w:t>
            </w:r>
          </w:p>
        </w:tc>
        <w:tc>
          <w:tcPr>
            <w:tcW w:w="351" w:type="pct"/>
            <w:noWrap/>
            <w:vAlign w:val="center"/>
          </w:tcPr>
          <w:p w14:paraId="3CA607B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67.4</w:t>
            </w:r>
          </w:p>
        </w:tc>
        <w:tc>
          <w:tcPr>
            <w:tcW w:w="355" w:type="pct"/>
            <w:noWrap/>
            <w:vAlign w:val="center"/>
          </w:tcPr>
          <w:p w14:paraId="59DC5E7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64.9</w:t>
            </w:r>
          </w:p>
        </w:tc>
        <w:tc>
          <w:tcPr>
            <w:tcW w:w="454" w:type="pct"/>
            <w:noWrap/>
            <w:vAlign w:val="center"/>
          </w:tcPr>
          <w:p w14:paraId="1E18738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111.6</w:t>
            </w:r>
          </w:p>
        </w:tc>
        <w:tc>
          <w:tcPr>
            <w:tcW w:w="454" w:type="pct"/>
            <w:noWrap/>
            <w:vAlign w:val="center"/>
          </w:tcPr>
          <w:p w14:paraId="5EEFEB5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627.3</w:t>
            </w:r>
          </w:p>
        </w:tc>
      </w:tr>
      <w:tr w14:paraId="7B992C08">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862" w:type="pct"/>
            <w:noWrap/>
            <w:vAlign w:val="center"/>
          </w:tcPr>
          <w:p w14:paraId="3CF468C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路面施工</w:t>
            </w:r>
          </w:p>
        </w:tc>
        <w:tc>
          <w:tcPr>
            <w:tcW w:w="414" w:type="pct"/>
            <w:noWrap/>
            <w:vAlign w:val="center"/>
          </w:tcPr>
          <w:p w14:paraId="2104EB59">
            <w:pPr>
              <w:widowControl/>
              <w:jc w:val="center"/>
              <w:rPr>
                <w:rFonts w:ascii="Times New Roman" w:hAnsi="Times New Roman" w:eastAsia="宋体" w:cs="Times New Roman"/>
                <w:kern w:val="0"/>
                <w:szCs w:val="21"/>
              </w:rPr>
            </w:pPr>
            <w:r>
              <w:rPr>
                <w:rFonts w:ascii="Times New Roman" w:hAnsi="Times New Roman" w:eastAsia="等线" w:cs="Times New Roman"/>
                <w:szCs w:val="21"/>
              </w:rPr>
              <w:t>91.8</w:t>
            </w:r>
          </w:p>
        </w:tc>
        <w:tc>
          <w:tcPr>
            <w:tcW w:w="355" w:type="pct"/>
            <w:noWrap/>
            <w:vAlign w:val="center"/>
          </w:tcPr>
          <w:p w14:paraId="5546972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85.7</w:t>
            </w:r>
          </w:p>
        </w:tc>
        <w:tc>
          <w:tcPr>
            <w:tcW w:w="351" w:type="pct"/>
            <w:noWrap/>
            <w:vAlign w:val="center"/>
          </w:tcPr>
          <w:p w14:paraId="59181CD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79.7</w:t>
            </w:r>
          </w:p>
        </w:tc>
        <w:tc>
          <w:tcPr>
            <w:tcW w:w="351" w:type="pct"/>
            <w:noWrap/>
            <w:vAlign w:val="center"/>
          </w:tcPr>
          <w:p w14:paraId="2D40B01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73.7</w:t>
            </w:r>
          </w:p>
        </w:tc>
        <w:tc>
          <w:tcPr>
            <w:tcW w:w="351" w:type="pct"/>
            <w:noWrap/>
            <w:vAlign w:val="center"/>
          </w:tcPr>
          <w:p w14:paraId="2566704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70.2</w:t>
            </w:r>
          </w:p>
        </w:tc>
        <w:tc>
          <w:tcPr>
            <w:tcW w:w="351" w:type="pct"/>
            <w:noWrap/>
            <w:vAlign w:val="center"/>
          </w:tcPr>
          <w:p w14:paraId="62EB1CB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67.7</w:t>
            </w:r>
          </w:p>
        </w:tc>
        <w:tc>
          <w:tcPr>
            <w:tcW w:w="351" w:type="pct"/>
            <w:noWrap/>
            <w:vAlign w:val="center"/>
          </w:tcPr>
          <w:p w14:paraId="7302D70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65.7</w:t>
            </w:r>
          </w:p>
        </w:tc>
        <w:tc>
          <w:tcPr>
            <w:tcW w:w="351" w:type="pct"/>
            <w:noWrap/>
            <w:vAlign w:val="center"/>
          </w:tcPr>
          <w:p w14:paraId="656A886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62.2</w:t>
            </w:r>
          </w:p>
        </w:tc>
        <w:tc>
          <w:tcPr>
            <w:tcW w:w="355" w:type="pct"/>
            <w:noWrap/>
            <w:vAlign w:val="center"/>
          </w:tcPr>
          <w:p w14:paraId="544933B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59.7</w:t>
            </w:r>
          </w:p>
        </w:tc>
        <w:tc>
          <w:tcPr>
            <w:tcW w:w="454" w:type="pct"/>
            <w:noWrap/>
            <w:vAlign w:val="center"/>
          </w:tcPr>
          <w:p w14:paraId="3989042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61.2</w:t>
            </w:r>
          </w:p>
        </w:tc>
        <w:tc>
          <w:tcPr>
            <w:tcW w:w="454" w:type="pct"/>
            <w:noWrap/>
            <w:vAlign w:val="center"/>
          </w:tcPr>
          <w:p w14:paraId="686E27E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344.3</w:t>
            </w:r>
          </w:p>
        </w:tc>
      </w:tr>
    </w:tbl>
    <w:p w14:paraId="06E00DB1">
      <w:pPr>
        <w:rPr>
          <w:rFonts w:ascii="Times New Roman" w:hAnsi="Times New Roman" w:eastAsia="宋体" w:cs="Times New Roman"/>
          <w:szCs w:val="20"/>
        </w:rPr>
      </w:pPr>
    </w:p>
    <w:p w14:paraId="3450ABB4">
      <w:pPr>
        <w:spacing w:line="300" w:lineRule="auto"/>
        <w:ind w:firstLine="480" w:firstLineChars="200"/>
        <w:rPr>
          <w:rFonts w:ascii="Times New Roman" w:hAnsi="Times New Roman" w:eastAsia="宋体" w:cs="Times New Roman"/>
          <w:sz w:val="24"/>
        </w:rPr>
      </w:pPr>
      <w:r>
        <w:rPr>
          <w:rFonts w:ascii="Times New Roman" w:hAnsi="宋体" w:eastAsia="宋体" w:cs="Times New Roman"/>
          <w:sz w:val="24"/>
        </w:rPr>
        <w:t>由上表可以看出：</w:t>
      </w:r>
    </w:p>
    <w:p w14:paraId="0152A17D">
      <w:pPr>
        <w:spacing w:line="30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 xml:space="preserve">(1) </w:t>
      </w:r>
      <w:r>
        <w:rPr>
          <w:rFonts w:ascii="Times New Roman" w:hAnsi="宋体" w:eastAsia="宋体" w:cs="Times New Roman"/>
          <w:sz w:val="24"/>
        </w:rPr>
        <w:t>施工噪声因不同的施工机械影响的范围相差很大，昼夜施工场界噪声限值标准不同，夜间施工噪声的影响范围要比白天大得多。</w:t>
      </w:r>
    </w:p>
    <w:p w14:paraId="78B1516B">
      <w:pPr>
        <w:spacing w:line="300" w:lineRule="auto"/>
        <w:ind w:firstLine="480" w:firstLineChars="200"/>
        <w:rPr>
          <w:rFonts w:ascii="Times New Roman" w:hAnsi="Times New Roman" w:eastAsia="宋体" w:cs="Times New Roman"/>
          <w:sz w:val="24"/>
          <w:szCs w:val="20"/>
        </w:rPr>
      </w:pPr>
      <w:r>
        <w:rPr>
          <w:rFonts w:ascii="Times New Roman" w:hAnsi="Times New Roman" w:eastAsia="宋体" w:cs="Times New Roman"/>
          <w:sz w:val="24"/>
        </w:rPr>
        <w:t xml:space="preserve">(2) </w:t>
      </w:r>
      <w:r>
        <w:rPr>
          <w:rFonts w:ascii="Times New Roman" w:hAnsi="宋体" w:eastAsia="宋体" w:cs="Times New Roman"/>
          <w:sz w:val="24"/>
        </w:rPr>
        <w:t>各施工机械在场界处的噪声一般达不到《建筑施工场界环境噪声排放标准》（</w:t>
      </w:r>
      <w:r>
        <w:rPr>
          <w:rFonts w:ascii="Times New Roman" w:hAnsi="Times New Roman" w:eastAsia="宋体" w:cs="Times New Roman"/>
          <w:sz w:val="24"/>
        </w:rPr>
        <w:t>GB12523-2011</w:t>
      </w:r>
      <w:r>
        <w:rPr>
          <w:rFonts w:ascii="Times New Roman" w:hAnsi="宋体" w:eastAsia="宋体" w:cs="Times New Roman"/>
          <w:sz w:val="24"/>
        </w:rPr>
        <w:t>）的夜间限值的规定。</w:t>
      </w:r>
      <w:r>
        <w:rPr>
          <w:rFonts w:ascii="Times New Roman" w:hAnsi="宋体" w:eastAsia="宋体" w:cs="Times New Roman"/>
          <w:sz w:val="24"/>
          <w:szCs w:val="20"/>
        </w:rPr>
        <w:t>施工噪声将对沿线声环境质量产生一定的影响，这种噪声影响白天将主要出现在距施工场地</w:t>
      </w:r>
      <w:r>
        <w:rPr>
          <w:rFonts w:ascii="Times New Roman" w:hAnsi="Times New Roman" w:eastAsia="宋体" w:cs="Times New Roman"/>
          <w:sz w:val="24"/>
          <w:szCs w:val="20"/>
        </w:rPr>
        <w:t>115m</w:t>
      </w:r>
      <w:r>
        <w:rPr>
          <w:rFonts w:ascii="Times New Roman" w:hAnsi="宋体" w:eastAsia="宋体" w:cs="Times New Roman"/>
          <w:sz w:val="24"/>
          <w:szCs w:val="20"/>
        </w:rPr>
        <w:t>范围内，夜间将主要出现在距施工场地</w:t>
      </w:r>
      <w:r>
        <w:rPr>
          <w:rFonts w:ascii="Times New Roman" w:hAnsi="Times New Roman" w:eastAsia="宋体" w:cs="Times New Roman"/>
          <w:sz w:val="24"/>
          <w:szCs w:val="20"/>
        </w:rPr>
        <w:t>642m</w:t>
      </w:r>
      <w:r>
        <w:rPr>
          <w:rFonts w:ascii="Times New Roman" w:hAnsi="宋体" w:eastAsia="宋体" w:cs="Times New Roman"/>
          <w:sz w:val="24"/>
          <w:szCs w:val="20"/>
        </w:rPr>
        <w:t>范围内。从推算的结果看，噪声污染最严重的是前期拆迁、大临场地施工、路基施工环节。因此，做好上述时期施工期的噪声防护和治理工作十分重要。</w:t>
      </w:r>
    </w:p>
    <w:p w14:paraId="2FAAA61F">
      <w:pPr>
        <w:spacing w:line="30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w:t>
      </w:r>
      <w:r>
        <w:rPr>
          <w:rFonts w:hint="eastAsia" w:ascii="Times New Roman" w:hAnsi="Times New Roman" w:eastAsia="宋体" w:cs="Times New Roman"/>
          <w:sz w:val="24"/>
        </w:rPr>
        <w:t>3</w:t>
      </w:r>
      <w:r>
        <w:rPr>
          <w:rFonts w:ascii="Times New Roman" w:hAnsi="Times New Roman" w:eastAsia="宋体" w:cs="Times New Roman"/>
          <w:sz w:val="24"/>
        </w:rPr>
        <w:t>)</w:t>
      </w:r>
      <w:r>
        <w:rPr>
          <w:rFonts w:hint="eastAsia" w:ascii="Times New Roman" w:hAnsi="Times New Roman" w:eastAsia="宋体" w:cs="Times New Roman"/>
          <w:sz w:val="24"/>
        </w:rPr>
        <w:t xml:space="preserve"> </w:t>
      </w:r>
      <w:r>
        <w:rPr>
          <w:rFonts w:ascii="Times New Roman" w:hAnsi="Times New Roman" w:eastAsia="宋体" w:cs="Times New Roman"/>
          <w:sz w:val="24"/>
        </w:rPr>
        <w:t>主体工程施工期噪声影响分析</w:t>
      </w:r>
    </w:p>
    <w:p w14:paraId="1783DFAC">
      <w:pPr>
        <w:spacing w:line="300" w:lineRule="auto"/>
        <w:ind w:firstLine="480" w:firstLineChars="200"/>
        <w:rPr>
          <w:rFonts w:ascii="Times New Roman" w:hAnsi="宋体" w:eastAsia="宋体" w:cs="Times New Roman"/>
          <w:sz w:val="24"/>
          <w:szCs w:val="20"/>
        </w:rPr>
      </w:pPr>
      <w:r>
        <w:rPr>
          <w:rFonts w:ascii="Times New Roman" w:hAnsi="宋体" w:eastAsia="宋体" w:cs="Times New Roman"/>
          <w:sz w:val="24"/>
          <w:szCs w:val="20"/>
        </w:rPr>
        <w:t>拟建公路沿线评价范围内共有声环境保护目标</w:t>
      </w:r>
      <w:r>
        <w:rPr>
          <w:rFonts w:hint="eastAsia" w:ascii="Times New Roman" w:hAnsi="宋体" w:eastAsia="宋体" w:cs="Times New Roman"/>
          <w:sz w:val="24"/>
          <w:szCs w:val="20"/>
        </w:rPr>
        <w:t>29</w:t>
      </w:r>
      <w:r>
        <w:rPr>
          <w:rFonts w:ascii="Times New Roman" w:hAnsi="宋体" w:eastAsia="宋体" w:cs="Times New Roman"/>
          <w:sz w:val="24"/>
          <w:szCs w:val="20"/>
        </w:rPr>
        <w:t>处，详见表</w:t>
      </w:r>
      <w:r>
        <w:rPr>
          <w:rFonts w:hint="eastAsia" w:ascii="Times New Roman" w:hAnsi="Times New Roman" w:eastAsia="宋体" w:cs="Times New Roman"/>
          <w:sz w:val="24"/>
          <w:szCs w:val="20"/>
        </w:rPr>
        <w:t>1.6-1</w:t>
      </w:r>
      <w:r>
        <w:rPr>
          <w:rFonts w:ascii="Times New Roman" w:hAnsi="Times New Roman" w:eastAsia="宋体" w:cs="Times New Roman"/>
          <w:sz w:val="24"/>
          <w:szCs w:val="20"/>
        </w:rPr>
        <w:t>，其中</w:t>
      </w:r>
      <w:r>
        <w:rPr>
          <w:rFonts w:hint="eastAsia" w:ascii="Times New Roman" w:hAnsi="Times New Roman" w:eastAsia="宋体" w:cs="Times New Roman"/>
          <w:sz w:val="24"/>
          <w:szCs w:val="20"/>
        </w:rPr>
        <w:t>23</w:t>
      </w:r>
      <w:r>
        <w:rPr>
          <w:rFonts w:ascii="Times New Roman" w:hAnsi="Times New Roman" w:eastAsia="宋体" w:cs="Times New Roman"/>
          <w:sz w:val="24"/>
          <w:szCs w:val="20"/>
        </w:rPr>
        <w:t>处声环境保护目标位于道路边界线35m内，因此项目施工期噪声对声环境保护目标的影响相对较为突出，施工期应予以特别关注。</w:t>
      </w:r>
      <w:r>
        <w:rPr>
          <w:rFonts w:ascii="Times New Roman" w:hAnsi="宋体" w:eastAsia="宋体" w:cs="Times New Roman"/>
          <w:sz w:val="24"/>
          <w:szCs w:val="20"/>
        </w:rPr>
        <w:t>本次施工期噪声预测选择噪声最不利的路基工程和路面工程的源强对各声环境保护目标进行预测，施工机械源强均位于施工区域边界。</w:t>
      </w:r>
      <w:r>
        <w:rPr>
          <w:rFonts w:ascii="Times New Roman" w:hAnsi="宋体" w:eastAsia="宋体" w:cs="Times New Roman"/>
          <w:bCs/>
          <w:sz w:val="24"/>
          <w:szCs w:val="20"/>
        </w:rPr>
        <w:t>拟建公路施工期沿线各声环境保护目标施工厂界噪声预测结果见表</w:t>
      </w:r>
      <w:r>
        <w:rPr>
          <w:rFonts w:hint="eastAsia" w:ascii="Times New Roman" w:hAnsi="宋体" w:eastAsia="宋体" w:cs="Times New Roman"/>
          <w:bCs/>
          <w:sz w:val="24"/>
          <w:szCs w:val="20"/>
        </w:rPr>
        <w:t>4.1-4。</w:t>
      </w:r>
    </w:p>
    <w:p w14:paraId="4FE6DEEE">
      <w:pPr>
        <w:spacing w:line="300" w:lineRule="auto"/>
        <w:rPr>
          <w:rFonts w:hAnsi="宋体"/>
          <w:sz w:val="24"/>
          <w:szCs w:val="20"/>
        </w:rPr>
        <w:sectPr>
          <w:headerReference r:id="rId59" w:type="default"/>
          <w:footerReference r:id="rId60" w:type="default"/>
          <w:pgSz w:w="11906" w:h="16838"/>
          <w:pgMar w:top="1701" w:right="1701" w:bottom="1701" w:left="1701" w:header="1134" w:footer="1134" w:gutter="0"/>
          <w:pgBorders>
            <w:top w:val="none" w:sz="0" w:space="0"/>
            <w:left w:val="none" w:sz="0" w:space="0"/>
            <w:bottom w:val="none" w:sz="0" w:space="0"/>
            <w:right w:val="none" w:sz="0" w:space="0"/>
          </w:pgBorders>
          <w:cols w:space="720" w:num="1"/>
          <w:docGrid w:linePitch="312" w:charSpace="0"/>
        </w:sectPr>
      </w:pPr>
    </w:p>
    <w:p w14:paraId="65B2EE05">
      <w:pPr>
        <w:spacing w:beforeLines="50"/>
        <w:jc w:val="center"/>
        <w:rPr>
          <w:rFonts w:ascii="Times New Roman" w:hAnsi="Times New Roman" w:eastAsia="宋体" w:cs="Times New Roman"/>
          <w:b/>
          <w:szCs w:val="21"/>
        </w:rPr>
      </w:pPr>
      <w:r>
        <w:rPr>
          <w:rFonts w:ascii="Times New Roman" w:hAnsi="Times New Roman" w:eastAsia="宋体" w:cs="Times New Roman"/>
          <w:b/>
          <w:bCs/>
          <w:szCs w:val="21"/>
        </w:rPr>
        <w:t>表</w:t>
      </w:r>
      <w:r>
        <w:rPr>
          <w:rFonts w:hint="eastAsia" w:ascii="Times New Roman" w:hAnsi="Times New Roman" w:eastAsia="宋体" w:cs="Times New Roman"/>
          <w:b/>
          <w:bCs/>
          <w:szCs w:val="21"/>
        </w:rPr>
        <w:t>4.1</w:t>
      </w:r>
      <w:r>
        <w:rPr>
          <w:rFonts w:ascii="Times New Roman" w:hAnsi="Times New Roman" w:eastAsia="宋体" w:cs="Times New Roman"/>
          <w:b/>
          <w:bCs/>
          <w:szCs w:val="21"/>
        </w:rPr>
        <w:t>-4  拟建公路施工期沿线各声环境保护目标施工厂界噪声预测结果  单位：</w:t>
      </w:r>
      <w:r>
        <w:rPr>
          <w:rFonts w:ascii="Times New Roman" w:hAnsi="Times New Roman" w:eastAsia="宋体" w:cs="Times New Roman"/>
          <w:b/>
          <w:szCs w:val="21"/>
        </w:rPr>
        <w:t>dB(A)</w:t>
      </w:r>
    </w:p>
    <w:tbl>
      <w:tblPr>
        <w:tblStyle w:val="22"/>
        <w:tblW w:w="5000" w:type="pct"/>
        <w:jc w:val="center"/>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808"/>
        <w:gridCol w:w="1385"/>
        <w:gridCol w:w="829"/>
        <w:gridCol w:w="846"/>
        <w:gridCol w:w="1287"/>
        <w:gridCol w:w="743"/>
        <w:gridCol w:w="817"/>
        <w:gridCol w:w="755"/>
        <w:gridCol w:w="837"/>
        <w:gridCol w:w="747"/>
        <w:gridCol w:w="751"/>
        <w:gridCol w:w="747"/>
        <w:gridCol w:w="751"/>
        <w:gridCol w:w="747"/>
        <w:gridCol w:w="751"/>
        <w:gridCol w:w="747"/>
        <w:gridCol w:w="751"/>
        <w:gridCol w:w="747"/>
        <w:gridCol w:w="751"/>
        <w:gridCol w:w="747"/>
        <w:gridCol w:w="751"/>
        <w:gridCol w:w="3333"/>
      </w:tblGrid>
      <w:tr w14:paraId="6E1E5D6A">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96" w:type="pct"/>
            <w:vMerge w:val="restart"/>
            <w:shd w:val="clear" w:color="auto" w:fill="auto"/>
            <w:vAlign w:val="center"/>
          </w:tcPr>
          <w:p w14:paraId="7C30BC9C">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序号</w:t>
            </w:r>
          </w:p>
        </w:tc>
        <w:tc>
          <w:tcPr>
            <w:tcW w:w="336" w:type="pct"/>
            <w:vMerge w:val="restart"/>
            <w:shd w:val="clear" w:color="auto" w:fill="auto"/>
            <w:vAlign w:val="center"/>
          </w:tcPr>
          <w:p w14:paraId="0CB086BD">
            <w:pPr>
              <w:widowControl/>
              <w:jc w:val="center"/>
              <w:rPr>
                <w:rFonts w:ascii="Times New Roman" w:hAnsi="Times New Roman" w:eastAsia="宋体" w:cs="Times New Roman"/>
                <w:b/>
                <w:spacing w:val="-16"/>
                <w:kern w:val="0"/>
                <w:szCs w:val="21"/>
              </w:rPr>
            </w:pPr>
            <w:r>
              <w:rPr>
                <w:rFonts w:hint="eastAsia" w:ascii="宋体" w:hAnsi="宋体" w:eastAsia="宋体" w:cs="Times New Roman"/>
                <w:b/>
                <w:spacing w:val="-16"/>
                <w:kern w:val="0"/>
                <w:szCs w:val="21"/>
              </w:rPr>
              <w:t>声环境保护目标名称</w:t>
            </w:r>
          </w:p>
        </w:tc>
        <w:tc>
          <w:tcPr>
            <w:tcW w:w="201" w:type="pct"/>
            <w:vMerge w:val="restart"/>
            <w:shd w:val="clear" w:color="auto" w:fill="auto"/>
            <w:vAlign w:val="center"/>
          </w:tcPr>
          <w:p w14:paraId="59C4037F">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工程形式</w:t>
            </w:r>
          </w:p>
        </w:tc>
        <w:tc>
          <w:tcPr>
            <w:tcW w:w="205" w:type="pct"/>
            <w:vMerge w:val="restart"/>
            <w:shd w:val="clear" w:color="auto" w:fill="auto"/>
            <w:vAlign w:val="center"/>
          </w:tcPr>
          <w:p w14:paraId="3C2D89E2">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方位</w:t>
            </w:r>
          </w:p>
        </w:tc>
        <w:tc>
          <w:tcPr>
            <w:tcW w:w="312" w:type="pct"/>
            <w:vMerge w:val="restart"/>
            <w:shd w:val="clear" w:color="auto" w:fill="auto"/>
            <w:vAlign w:val="center"/>
          </w:tcPr>
          <w:p w14:paraId="6A284F60">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与道路施工场界距离</w:t>
            </w:r>
            <w:r>
              <w:rPr>
                <w:rFonts w:ascii="Times New Roman" w:hAnsi="Times New Roman" w:eastAsia="宋体" w:cs="Times New Roman"/>
                <w:b/>
                <w:spacing w:val="-16"/>
                <w:kern w:val="0"/>
                <w:szCs w:val="21"/>
              </w:rPr>
              <w:t>(m)</w:t>
            </w:r>
          </w:p>
        </w:tc>
        <w:tc>
          <w:tcPr>
            <w:tcW w:w="378" w:type="pct"/>
            <w:gridSpan w:val="2"/>
            <w:vMerge w:val="restart"/>
            <w:shd w:val="clear" w:color="auto" w:fill="auto"/>
            <w:vAlign w:val="center"/>
          </w:tcPr>
          <w:p w14:paraId="4AA03AD0">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标准值</w:t>
            </w:r>
          </w:p>
        </w:tc>
        <w:tc>
          <w:tcPr>
            <w:tcW w:w="386" w:type="pct"/>
            <w:gridSpan w:val="2"/>
            <w:vMerge w:val="restart"/>
            <w:shd w:val="clear" w:color="auto" w:fill="auto"/>
            <w:vAlign w:val="center"/>
          </w:tcPr>
          <w:p w14:paraId="326C319B">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现状噪声值</w:t>
            </w:r>
          </w:p>
        </w:tc>
        <w:tc>
          <w:tcPr>
            <w:tcW w:w="1089" w:type="pct"/>
            <w:gridSpan w:val="6"/>
            <w:shd w:val="clear" w:color="auto" w:fill="auto"/>
            <w:vAlign w:val="center"/>
          </w:tcPr>
          <w:p w14:paraId="2821E5DD">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路基施工</w:t>
            </w:r>
          </w:p>
        </w:tc>
        <w:tc>
          <w:tcPr>
            <w:tcW w:w="1089" w:type="pct"/>
            <w:gridSpan w:val="6"/>
            <w:shd w:val="clear" w:color="auto" w:fill="auto"/>
            <w:vAlign w:val="center"/>
          </w:tcPr>
          <w:p w14:paraId="675C4275">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路面施工</w:t>
            </w:r>
          </w:p>
        </w:tc>
        <w:tc>
          <w:tcPr>
            <w:tcW w:w="808" w:type="pct"/>
            <w:vMerge w:val="restart"/>
            <w:shd w:val="clear" w:color="auto" w:fill="auto"/>
            <w:vAlign w:val="center"/>
          </w:tcPr>
          <w:p w14:paraId="2D10DAB8">
            <w:pPr>
              <w:widowControl/>
              <w:jc w:val="center"/>
              <w:rPr>
                <w:rFonts w:ascii="Times New Roman" w:hAnsi="Times New Roman" w:eastAsia="宋体" w:cs="Times New Roman"/>
                <w:b/>
                <w:bCs/>
                <w:spacing w:val="-16"/>
                <w:kern w:val="0"/>
                <w:szCs w:val="21"/>
              </w:rPr>
            </w:pPr>
            <w:r>
              <w:rPr>
                <w:rFonts w:ascii="宋体" w:hAnsi="宋体" w:eastAsia="宋体" w:cs="Times New Roman"/>
                <w:b/>
                <w:bCs/>
                <w:spacing w:val="-16"/>
                <w:kern w:val="0"/>
                <w:szCs w:val="21"/>
              </w:rPr>
              <w:t>建议降噪措施</w:t>
            </w:r>
          </w:p>
        </w:tc>
      </w:tr>
      <w:tr w14:paraId="7AAD97FB">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96" w:type="pct"/>
            <w:vMerge w:val="continue"/>
            <w:vAlign w:val="center"/>
          </w:tcPr>
          <w:p w14:paraId="43A4B1A1">
            <w:pPr>
              <w:widowControl/>
              <w:jc w:val="center"/>
              <w:rPr>
                <w:rFonts w:ascii="Times New Roman" w:hAnsi="Times New Roman" w:eastAsia="宋体" w:cs="Times New Roman"/>
                <w:b/>
                <w:spacing w:val="-16"/>
                <w:kern w:val="0"/>
                <w:szCs w:val="21"/>
              </w:rPr>
            </w:pPr>
          </w:p>
        </w:tc>
        <w:tc>
          <w:tcPr>
            <w:tcW w:w="336" w:type="pct"/>
            <w:vMerge w:val="continue"/>
            <w:vAlign w:val="center"/>
          </w:tcPr>
          <w:p w14:paraId="10357E88">
            <w:pPr>
              <w:widowControl/>
              <w:jc w:val="center"/>
              <w:rPr>
                <w:rFonts w:ascii="Times New Roman" w:hAnsi="Times New Roman" w:eastAsia="宋体" w:cs="Times New Roman"/>
                <w:b/>
                <w:spacing w:val="-16"/>
                <w:kern w:val="0"/>
                <w:szCs w:val="21"/>
              </w:rPr>
            </w:pPr>
          </w:p>
        </w:tc>
        <w:tc>
          <w:tcPr>
            <w:tcW w:w="201" w:type="pct"/>
            <w:vMerge w:val="continue"/>
            <w:vAlign w:val="center"/>
          </w:tcPr>
          <w:p w14:paraId="729AAF3D">
            <w:pPr>
              <w:widowControl/>
              <w:jc w:val="center"/>
              <w:rPr>
                <w:rFonts w:ascii="Times New Roman" w:hAnsi="Times New Roman" w:eastAsia="宋体" w:cs="Times New Roman"/>
                <w:b/>
                <w:spacing w:val="-16"/>
                <w:kern w:val="0"/>
                <w:szCs w:val="21"/>
              </w:rPr>
            </w:pPr>
          </w:p>
        </w:tc>
        <w:tc>
          <w:tcPr>
            <w:tcW w:w="205" w:type="pct"/>
            <w:vMerge w:val="continue"/>
            <w:vAlign w:val="center"/>
          </w:tcPr>
          <w:p w14:paraId="12A12EED">
            <w:pPr>
              <w:widowControl/>
              <w:jc w:val="center"/>
              <w:rPr>
                <w:rFonts w:ascii="Times New Roman" w:hAnsi="Times New Roman" w:eastAsia="宋体" w:cs="Times New Roman"/>
                <w:b/>
                <w:spacing w:val="-16"/>
                <w:kern w:val="0"/>
                <w:szCs w:val="21"/>
              </w:rPr>
            </w:pPr>
          </w:p>
        </w:tc>
        <w:tc>
          <w:tcPr>
            <w:tcW w:w="312" w:type="pct"/>
            <w:vMerge w:val="continue"/>
            <w:vAlign w:val="center"/>
          </w:tcPr>
          <w:p w14:paraId="613A76C7">
            <w:pPr>
              <w:widowControl/>
              <w:jc w:val="center"/>
              <w:rPr>
                <w:rFonts w:ascii="Times New Roman" w:hAnsi="Times New Roman" w:eastAsia="宋体" w:cs="Times New Roman"/>
                <w:b/>
                <w:spacing w:val="-16"/>
                <w:kern w:val="0"/>
                <w:szCs w:val="21"/>
              </w:rPr>
            </w:pPr>
          </w:p>
        </w:tc>
        <w:tc>
          <w:tcPr>
            <w:tcW w:w="378" w:type="pct"/>
            <w:gridSpan w:val="2"/>
            <w:vMerge w:val="continue"/>
            <w:vAlign w:val="center"/>
          </w:tcPr>
          <w:p w14:paraId="746FD1A7">
            <w:pPr>
              <w:widowControl/>
              <w:jc w:val="center"/>
              <w:rPr>
                <w:rFonts w:ascii="Times New Roman" w:hAnsi="Times New Roman" w:eastAsia="宋体" w:cs="Times New Roman"/>
                <w:b/>
                <w:spacing w:val="-16"/>
                <w:kern w:val="0"/>
                <w:szCs w:val="21"/>
              </w:rPr>
            </w:pPr>
          </w:p>
        </w:tc>
        <w:tc>
          <w:tcPr>
            <w:tcW w:w="386" w:type="pct"/>
            <w:gridSpan w:val="2"/>
            <w:vMerge w:val="continue"/>
            <w:vAlign w:val="center"/>
          </w:tcPr>
          <w:p w14:paraId="2751EEA5">
            <w:pPr>
              <w:widowControl/>
              <w:jc w:val="center"/>
              <w:rPr>
                <w:rFonts w:ascii="Times New Roman" w:hAnsi="Times New Roman" w:eastAsia="宋体" w:cs="Times New Roman"/>
                <w:b/>
                <w:spacing w:val="-16"/>
                <w:kern w:val="0"/>
                <w:szCs w:val="21"/>
              </w:rPr>
            </w:pPr>
          </w:p>
        </w:tc>
        <w:tc>
          <w:tcPr>
            <w:tcW w:w="363" w:type="pct"/>
            <w:gridSpan w:val="2"/>
            <w:shd w:val="clear" w:color="auto" w:fill="auto"/>
            <w:vAlign w:val="center"/>
          </w:tcPr>
          <w:p w14:paraId="1F125023">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贡献值</w:t>
            </w:r>
          </w:p>
        </w:tc>
        <w:tc>
          <w:tcPr>
            <w:tcW w:w="363" w:type="pct"/>
            <w:gridSpan w:val="2"/>
            <w:shd w:val="clear" w:color="auto" w:fill="auto"/>
            <w:vAlign w:val="center"/>
          </w:tcPr>
          <w:p w14:paraId="54185629">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预测值</w:t>
            </w:r>
          </w:p>
        </w:tc>
        <w:tc>
          <w:tcPr>
            <w:tcW w:w="363" w:type="pct"/>
            <w:gridSpan w:val="2"/>
            <w:shd w:val="clear" w:color="auto" w:fill="auto"/>
            <w:vAlign w:val="center"/>
          </w:tcPr>
          <w:p w14:paraId="6A0F7925">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超标值</w:t>
            </w:r>
          </w:p>
        </w:tc>
        <w:tc>
          <w:tcPr>
            <w:tcW w:w="363" w:type="pct"/>
            <w:gridSpan w:val="2"/>
            <w:shd w:val="clear" w:color="auto" w:fill="auto"/>
            <w:vAlign w:val="center"/>
          </w:tcPr>
          <w:p w14:paraId="3E3D0F8F">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贡献值</w:t>
            </w:r>
          </w:p>
        </w:tc>
        <w:tc>
          <w:tcPr>
            <w:tcW w:w="363" w:type="pct"/>
            <w:gridSpan w:val="2"/>
            <w:shd w:val="clear" w:color="auto" w:fill="auto"/>
            <w:vAlign w:val="center"/>
          </w:tcPr>
          <w:p w14:paraId="4D1AF093">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预测值</w:t>
            </w:r>
          </w:p>
        </w:tc>
        <w:tc>
          <w:tcPr>
            <w:tcW w:w="363" w:type="pct"/>
            <w:gridSpan w:val="2"/>
            <w:shd w:val="clear" w:color="auto" w:fill="auto"/>
            <w:vAlign w:val="center"/>
          </w:tcPr>
          <w:p w14:paraId="45075BCA">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超标值</w:t>
            </w:r>
          </w:p>
        </w:tc>
        <w:tc>
          <w:tcPr>
            <w:tcW w:w="808" w:type="pct"/>
            <w:vMerge w:val="continue"/>
            <w:vAlign w:val="center"/>
          </w:tcPr>
          <w:p w14:paraId="49E7485C">
            <w:pPr>
              <w:widowControl/>
              <w:jc w:val="center"/>
              <w:rPr>
                <w:rFonts w:ascii="Times New Roman" w:hAnsi="Times New Roman" w:eastAsia="宋体" w:cs="Times New Roman"/>
                <w:b/>
                <w:bCs/>
                <w:spacing w:val="-16"/>
                <w:kern w:val="0"/>
                <w:szCs w:val="21"/>
              </w:rPr>
            </w:pPr>
          </w:p>
        </w:tc>
      </w:tr>
      <w:tr w14:paraId="771267CA">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96" w:type="pct"/>
            <w:vMerge w:val="continue"/>
            <w:vAlign w:val="center"/>
          </w:tcPr>
          <w:p w14:paraId="72147F15">
            <w:pPr>
              <w:widowControl/>
              <w:jc w:val="center"/>
              <w:rPr>
                <w:rFonts w:ascii="Times New Roman" w:hAnsi="Times New Roman" w:eastAsia="宋体" w:cs="Times New Roman"/>
                <w:b/>
                <w:spacing w:val="-16"/>
                <w:kern w:val="0"/>
                <w:szCs w:val="21"/>
              </w:rPr>
            </w:pPr>
          </w:p>
        </w:tc>
        <w:tc>
          <w:tcPr>
            <w:tcW w:w="336" w:type="pct"/>
            <w:vMerge w:val="continue"/>
            <w:vAlign w:val="center"/>
          </w:tcPr>
          <w:p w14:paraId="4CEF1FA2">
            <w:pPr>
              <w:widowControl/>
              <w:jc w:val="center"/>
              <w:rPr>
                <w:rFonts w:ascii="Times New Roman" w:hAnsi="Times New Roman" w:eastAsia="宋体" w:cs="Times New Roman"/>
                <w:b/>
                <w:spacing w:val="-16"/>
                <w:kern w:val="0"/>
                <w:szCs w:val="21"/>
              </w:rPr>
            </w:pPr>
          </w:p>
        </w:tc>
        <w:tc>
          <w:tcPr>
            <w:tcW w:w="201" w:type="pct"/>
            <w:vMerge w:val="continue"/>
            <w:vAlign w:val="center"/>
          </w:tcPr>
          <w:p w14:paraId="5D71BA31">
            <w:pPr>
              <w:widowControl/>
              <w:jc w:val="center"/>
              <w:rPr>
                <w:rFonts w:ascii="Times New Roman" w:hAnsi="Times New Roman" w:eastAsia="宋体" w:cs="Times New Roman"/>
                <w:b/>
                <w:spacing w:val="-16"/>
                <w:kern w:val="0"/>
                <w:szCs w:val="21"/>
              </w:rPr>
            </w:pPr>
          </w:p>
        </w:tc>
        <w:tc>
          <w:tcPr>
            <w:tcW w:w="205" w:type="pct"/>
            <w:vMerge w:val="continue"/>
            <w:vAlign w:val="center"/>
          </w:tcPr>
          <w:p w14:paraId="0DFECED5">
            <w:pPr>
              <w:widowControl/>
              <w:jc w:val="center"/>
              <w:rPr>
                <w:rFonts w:ascii="Times New Roman" w:hAnsi="Times New Roman" w:eastAsia="宋体" w:cs="Times New Roman"/>
                <w:b/>
                <w:spacing w:val="-16"/>
                <w:kern w:val="0"/>
                <w:szCs w:val="21"/>
              </w:rPr>
            </w:pPr>
          </w:p>
        </w:tc>
        <w:tc>
          <w:tcPr>
            <w:tcW w:w="312" w:type="pct"/>
            <w:vMerge w:val="continue"/>
            <w:vAlign w:val="center"/>
          </w:tcPr>
          <w:p w14:paraId="559494E1">
            <w:pPr>
              <w:widowControl/>
              <w:jc w:val="center"/>
              <w:rPr>
                <w:rFonts w:ascii="Times New Roman" w:hAnsi="Times New Roman" w:eastAsia="宋体" w:cs="Times New Roman"/>
                <w:b/>
                <w:spacing w:val="-16"/>
                <w:kern w:val="0"/>
                <w:szCs w:val="21"/>
              </w:rPr>
            </w:pPr>
          </w:p>
        </w:tc>
        <w:tc>
          <w:tcPr>
            <w:tcW w:w="180" w:type="pct"/>
            <w:shd w:val="clear" w:color="auto" w:fill="auto"/>
            <w:vAlign w:val="center"/>
          </w:tcPr>
          <w:p w14:paraId="49F59BD6">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昼间</w:t>
            </w:r>
          </w:p>
        </w:tc>
        <w:tc>
          <w:tcPr>
            <w:tcW w:w="198" w:type="pct"/>
            <w:shd w:val="clear" w:color="auto" w:fill="auto"/>
            <w:vAlign w:val="center"/>
          </w:tcPr>
          <w:p w14:paraId="64C20D07">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夜间</w:t>
            </w:r>
          </w:p>
        </w:tc>
        <w:tc>
          <w:tcPr>
            <w:tcW w:w="183" w:type="pct"/>
            <w:shd w:val="clear" w:color="auto" w:fill="auto"/>
            <w:vAlign w:val="center"/>
          </w:tcPr>
          <w:p w14:paraId="3F248EC5">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昼间</w:t>
            </w:r>
          </w:p>
        </w:tc>
        <w:tc>
          <w:tcPr>
            <w:tcW w:w="203" w:type="pct"/>
            <w:shd w:val="clear" w:color="auto" w:fill="auto"/>
            <w:vAlign w:val="center"/>
          </w:tcPr>
          <w:p w14:paraId="4133034E">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夜间</w:t>
            </w:r>
          </w:p>
        </w:tc>
        <w:tc>
          <w:tcPr>
            <w:tcW w:w="181" w:type="pct"/>
            <w:shd w:val="clear" w:color="auto" w:fill="auto"/>
            <w:vAlign w:val="center"/>
          </w:tcPr>
          <w:p w14:paraId="724A34D7">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昼间</w:t>
            </w:r>
          </w:p>
        </w:tc>
        <w:tc>
          <w:tcPr>
            <w:tcW w:w="182" w:type="pct"/>
            <w:shd w:val="clear" w:color="auto" w:fill="auto"/>
            <w:vAlign w:val="center"/>
          </w:tcPr>
          <w:p w14:paraId="4126B6CD">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夜间</w:t>
            </w:r>
          </w:p>
        </w:tc>
        <w:tc>
          <w:tcPr>
            <w:tcW w:w="181" w:type="pct"/>
            <w:shd w:val="clear" w:color="auto" w:fill="auto"/>
            <w:vAlign w:val="center"/>
          </w:tcPr>
          <w:p w14:paraId="1C06F427">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昼间</w:t>
            </w:r>
          </w:p>
        </w:tc>
        <w:tc>
          <w:tcPr>
            <w:tcW w:w="182" w:type="pct"/>
            <w:shd w:val="clear" w:color="auto" w:fill="auto"/>
            <w:vAlign w:val="center"/>
          </w:tcPr>
          <w:p w14:paraId="5731240E">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夜间</w:t>
            </w:r>
          </w:p>
        </w:tc>
        <w:tc>
          <w:tcPr>
            <w:tcW w:w="181" w:type="pct"/>
            <w:shd w:val="clear" w:color="auto" w:fill="auto"/>
            <w:vAlign w:val="center"/>
          </w:tcPr>
          <w:p w14:paraId="31D4A800">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昼间</w:t>
            </w:r>
          </w:p>
        </w:tc>
        <w:tc>
          <w:tcPr>
            <w:tcW w:w="182" w:type="pct"/>
            <w:shd w:val="clear" w:color="auto" w:fill="auto"/>
            <w:vAlign w:val="center"/>
          </w:tcPr>
          <w:p w14:paraId="2BE70582">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夜间</w:t>
            </w:r>
          </w:p>
        </w:tc>
        <w:tc>
          <w:tcPr>
            <w:tcW w:w="181" w:type="pct"/>
            <w:shd w:val="clear" w:color="auto" w:fill="auto"/>
            <w:vAlign w:val="center"/>
          </w:tcPr>
          <w:p w14:paraId="6F9AFF60">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昼间</w:t>
            </w:r>
          </w:p>
        </w:tc>
        <w:tc>
          <w:tcPr>
            <w:tcW w:w="182" w:type="pct"/>
            <w:shd w:val="clear" w:color="auto" w:fill="auto"/>
            <w:vAlign w:val="center"/>
          </w:tcPr>
          <w:p w14:paraId="1D9CA6C8">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夜间</w:t>
            </w:r>
          </w:p>
        </w:tc>
        <w:tc>
          <w:tcPr>
            <w:tcW w:w="181" w:type="pct"/>
            <w:shd w:val="clear" w:color="auto" w:fill="auto"/>
            <w:vAlign w:val="center"/>
          </w:tcPr>
          <w:p w14:paraId="479C7E66">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昼间</w:t>
            </w:r>
          </w:p>
        </w:tc>
        <w:tc>
          <w:tcPr>
            <w:tcW w:w="182" w:type="pct"/>
            <w:shd w:val="clear" w:color="auto" w:fill="auto"/>
            <w:vAlign w:val="center"/>
          </w:tcPr>
          <w:p w14:paraId="3CE4FD13">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夜间</w:t>
            </w:r>
          </w:p>
        </w:tc>
        <w:tc>
          <w:tcPr>
            <w:tcW w:w="181" w:type="pct"/>
            <w:shd w:val="clear" w:color="auto" w:fill="auto"/>
            <w:vAlign w:val="center"/>
          </w:tcPr>
          <w:p w14:paraId="52B6E5C3">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昼间</w:t>
            </w:r>
          </w:p>
        </w:tc>
        <w:tc>
          <w:tcPr>
            <w:tcW w:w="182" w:type="pct"/>
            <w:shd w:val="clear" w:color="auto" w:fill="auto"/>
            <w:vAlign w:val="center"/>
          </w:tcPr>
          <w:p w14:paraId="1DC4D8A9">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夜间</w:t>
            </w:r>
          </w:p>
        </w:tc>
        <w:tc>
          <w:tcPr>
            <w:tcW w:w="808" w:type="pct"/>
            <w:vMerge w:val="continue"/>
            <w:vAlign w:val="center"/>
          </w:tcPr>
          <w:p w14:paraId="31972A5F">
            <w:pPr>
              <w:widowControl/>
              <w:jc w:val="center"/>
              <w:rPr>
                <w:rFonts w:ascii="Times New Roman" w:hAnsi="Times New Roman" w:eastAsia="宋体" w:cs="Times New Roman"/>
                <w:b/>
                <w:bCs/>
                <w:spacing w:val="-16"/>
                <w:kern w:val="0"/>
                <w:szCs w:val="21"/>
              </w:rPr>
            </w:pPr>
          </w:p>
        </w:tc>
      </w:tr>
      <w:tr w14:paraId="6910FF36">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96" w:type="pct"/>
            <w:vMerge w:val="restart"/>
            <w:shd w:val="clear" w:color="auto" w:fill="auto"/>
            <w:vAlign w:val="center"/>
          </w:tcPr>
          <w:p w14:paraId="068AADA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w:t>
            </w:r>
          </w:p>
        </w:tc>
        <w:tc>
          <w:tcPr>
            <w:tcW w:w="336" w:type="pct"/>
            <w:vMerge w:val="restart"/>
            <w:shd w:val="clear" w:color="auto" w:fill="auto"/>
            <w:vAlign w:val="center"/>
          </w:tcPr>
          <w:p w14:paraId="3350841D">
            <w:pPr>
              <w:widowControl/>
              <w:jc w:val="center"/>
              <w:rPr>
                <w:rFonts w:ascii="宋体" w:hAnsi="宋体" w:eastAsia="宋体" w:cs="宋体"/>
                <w:kern w:val="0"/>
                <w:szCs w:val="21"/>
              </w:rPr>
            </w:pPr>
            <w:r>
              <w:rPr>
                <w:rFonts w:hint="eastAsia" w:ascii="宋体" w:hAnsi="宋体" w:eastAsia="宋体" w:cs="宋体"/>
                <w:kern w:val="0"/>
                <w:szCs w:val="21"/>
              </w:rPr>
              <w:t>库尔干村</w:t>
            </w:r>
          </w:p>
        </w:tc>
        <w:tc>
          <w:tcPr>
            <w:tcW w:w="201" w:type="pct"/>
            <w:vMerge w:val="restart"/>
            <w:shd w:val="clear" w:color="auto" w:fill="auto"/>
            <w:vAlign w:val="center"/>
          </w:tcPr>
          <w:p w14:paraId="451B08B1">
            <w:pPr>
              <w:widowControl/>
              <w:jc w:val="center"/>
              <w:rPr>
                <w:rFonts w:ascii="Times New Roman" w:hAnsi="Times New Roman" w:eastAsia="宋体" w:cs="Times New Roman"/>
                <w:kern w:val="0"/>
                <w:szCs w:val="21"/>
              </w:rPr>
            </w:pPr>
            <w:r>
              <w:rPr>
                <w:rFonts w:ascii="宋体" w:hAnsi="宋体" w:eastAsia="宋体" w:cs="Times New Roman"/>
                <w:kern w:val="0"/>
                <w:szCs w:val="21"/>
              </w:rPr>
              <w:t>路基</w:t>
            </w:r>
          </w:p>
        </w:tc>
        <w:tc>
          <w:tcPr>
            <w:tcW w:w="205" w:type="pct"/>
            <w:shd w:val="clear" w:color="auto" w:fill="auto"/>
            <w:vAlign w:val="center"/>
          </w:tcPr>
          <w:p w14:paraId="2E433B12">
            <w:pPr>
              <w:widowControl/>
              <w:jc w:val="center"/>
              <w:rPr>
                <w:rFonts w:ascii="Times New Roman" w:hAnsi="Times New Roman" w:eastAsia="宋体" w:cs="Times New Roman"/>
                <w:kern w:val="0"/>
                <w:szCs w:val="21"/>
              </w:rPr>
            </w:pPr>
            <w:r>
              <w:rPr>
                <w:rFonts w:ascii="宋体" w:hAnsi="宋体" w:eastAsia="宋体" w:cs="Times New Roman"/>
                <w:kern w:val="0"/>
                <w:szCs w:val="21"/>
              </w:rPr>
              <w:t>路右</w:t>
            </w:r>
          </w:p>
        </w:tc>
        <w:tc>
          <w:tcPr>
            <w:tcW w:w="312" w:type="pct"/>
            <w:shd w:val="clear" w:color="auto" w:fill="auto"/>
            <w:vAlign w:val="center"/>
          </w:tcPr>
          <w:p w14:paraId="1C2A2D7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18.5</w:t>
            </w:r>
          </w:p>
        </w:tc>
        <w:tc>
          <w:tcPr>
            <w:tcW w:w="180" w:type="pct"/>
            <w:shd w:val="clear" w:color="auto" w:fill="auto"/>
            <w:vAlign w:val="center"/>
          </w:tcPr>
          <w:p w14:paraId="6D25979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70</w:t>
            </w:r>
          </w:p>
        </w:tc>
        <w:tc>
          <w:tcPr>
            <w:tcW w:w="198" w:type="pct"/>
            <w:shd w:val="clear" w:color="auto" w:fill="auto"/>
            <w:vAlign w:val="center"/>
          </w:tcPr>
          <w:p w14:paraId="782D861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55</w:t>
            </w:r>
          </w:p>
        </w:tc>
        <w:tc>
          <w:tcPr>
            <w:tcW w:w="183" w:type="pct"/>
            <w:shd w:val="clear" w:color="auto" w:fill="auto"/>
            <w:vAlign w:val="center"/>
          </w:tcPr>
          <w:p w14:paraId="0445D75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41.5</w:t>
            </w:r>
          </w:p>
        </w:tc>
        <w:tc>
          <w:tcPr>
            <w:tcW w:w="203" w:type="pct"/>
            <w:shd w:val="clear" w:color="auto" w:fill="auto"/>
            <w:vAlign w:val="center"/>
          </w:tcPr>
          <w:p w14:paraId="256EBFC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37.5</w:t>
            </w:r>
          </w:p>
        </w:tc>
        <w:tc>
          <w:tcPr>
            <w:tcW w:w="181" w:type="pct"/>
            <w:shd w:val="clear" w:color="auto" w:fill="auto"/>
            <w:vAlign w:val="center"/>
          </w:tcPr>
          <w:p w14:paraId="25C10E8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80.7</w:t>
            </w:r>
          </w:p>
        </w:tc>
        <w:tc>
          <w:tcPr>
            <w:tcW w:w="182" w:type="pct"/>
            <w:shd w:val="clear" w:color="auto" w:fill="auto"/>
            <w:vAlign w:val="center"/>
          </w:tcPr>
          <w:p w14:paraId="1584B30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80.7</w:t>
            </w:r>
          </w:p>
        </w:tc>
        <w:tc>
          <w:tcPr>
            <w:tcW w:w="181" w:type="pct"/>
            <w:shd w:val="clear" w:color="auto" w:fill="auto"/>
            <w:vAlign w:val="center"/>
          </w:tcPr>
          <w:p w14:paraId="6984FBB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80.7</w:t>
            </w:r>
          </w:p>
        </w:tc>
        <w:tc>
          <w:tcPr>
            <w:tcW w:w="182" w:type="pct"/>
            <w:shd w:val="clear" w:color="auto" w:fill="auto"/>
            <w:vAlign w:val="center"/>
          </w:tcPr>
          <w:p w14:paraId="21B38BF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80.7</w:t>
            </w:r>
          </w:p>
        </w:tc>
        <w:tc>
          <w:tcPr>
            <w:tcW w:w="181" w:type="pct"/>
            <w:shd w:val="clear" w:color="auto" w:fill="auto"/>
            <w:vAlign w:val="center"/>
          </w:tcPr>
          <w:p w14:paraId="377E35F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10.7</w:t>
            </w:r>
          </w:p>
        </w:tc>
        <w:tc>
          <w:tcPr>
            <w:tcW w:w="182" w:type="pct"/>
            <w:shd w:val="clear" w:color="auto" w:fill="auto"/>
            <w:vAlign w:val="center"/>
          </w:tcPr>
          <w:p w14:paraId="1FACF71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25.7</w:t>
            </w:r>
          </w:p>
        </w:tc>
        <w:tc>
          <w:tcPr>
            <w:tcW w:w="181" w:type="pct"/>
            <w:shd w:val="clear" w:color="auto" w:fill="auto"/>
            <w:vAlign w:val="center"/>
          </w:tcPr>
          <w:p w14:paraId="263FB2B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75.8</w:t>
            </w:r>
          </w:p>
        </w:tc>
        <w:tc>
          <w:tcPr>
            <w:tcW w:w="182" w:type="pct"/>
            <w:shd w:val="clear" w:color="auto" w:fill="auto"/>
            <w:vAlign w:val="center"/>
          </w:tcPr>
          <w:p w14:paraId="524F511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75.8</w:t>
            </w:r>
          </w:p>
        </w:tc>
        <w:tc>
          <w:tcPr>
            <w:tcW w:w="181" w:type="pct"/>
            <w:shd w:val="clear" w:color="auto" w:fill="auto"/>
            <w:vAlign w:val="center"/>
          </w:tcPr>
          <w:p w14:paraId="7F9FC32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75.8</w:t>
            </w:r>
          </w:p>
        </w:tc>
        <w:tc>
          <w:tcPr>
            <w:tcW w:w="182" w:type="pct"/>
            <w:shd w:val="clear" w:color="auto" w:fill="auto"/>
            <w:vAlign w:val="center"/>
          </w:tcPr>
          <w:p w14:paraId="0968DE4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75.8</w:t>
            </w:r>
          </w:p>
        </w:tc>
        <w:tc>
          <w:tcPr>
            <w:tcW w:w="181" w:type="pct"/>
            <w:shd w:val="clear" w:color="auto" w:fill="auto"/>
            <w:vAlign w:val="center"/>
          </w:tcPr>
          <w:p w14:paraId="6E02105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w:t>
            </w:r>
          </w:p>
        </w:tc>
        <w:tc>
          <w:tcPr>
            <w:tcW w:w="182" w:type="pct"/>
            <w:shd w:val="clear" w:color="auto" w:fill="auto"/>
            <w:vAlign w:val="center"/>
          </w:tcPr>
          <w:p w14:paraId="1012F5D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20.8</w:t>
            </w:r>
          </w:p>
        </w:tc>
        <w:tc>
          <w:tcPr>
            <w:tcW w:w="808" w:type="pct"/>
            <w:vMerge w:val="restart"/>
            <w:shd w:val="clear" w:color="auto" w:fill="auto"/>
            <w:vAlign w:val="center"/>
          </w:tcPr>
          <w:p w14:paraId="11DFF3F8">
            <w:pPr>
              <w:widowControl/>
              <w:rPr>
                <w:rFonts w:ascii="Times New Roman" w:hAnsi="Times New Roman" w:eastAsia="宋体" w:cs="Times New Roman"/>
                <w:kern w:val="0"/>
                <w:szCs w:val="21"/>
              </w:rPr>
            </w:pPr>
            <w:r>
              <w:rPr>
                <w:rFonts w:hint="eastAsia" w:ascii="Times New Roman" w:hAnsi="Times New Roman" w:eastAsia="宋体" w:cs="Times New Roman"/>
              </w:rPr>
              <w:t>隔声房、隔声罩等消声减振装置；</w:t>
            </w:r>
            <w:r>
              <w:rPr>
                <w:rFonts w:hint="eastAsia" w:ascii="Times New Roman" w:hAnsi="Times New Roman" w:eastAsia="宋体" w:cs="Times New Roman"/>
                <w:szCs w:val="21"/>
              </w:rPr>
              <w:t>施工场界围挡内侧加装吸声板材或加高隔声围挡（声屏障）等降噪措施；使用静力压装机等低噪声施工机械</w:t>
            </w:r>
          </w:p>
        </w:tc>
      </w:tr>
      <w:tr w14:paraId="7A9D6105">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96" w:type="pct"/>
            <w:vMerge w:val="continue"/>
            <w:vAlign w:val="center"/>
          </w:tcPr>
          <w:p w14:paraId="28653237">
            <w:pPr>
              <w:widowControl/>
              <w:jc w:val="center"/>
              <w:rPr>
                <w:rFonts w:ascii="Times New Roman" w:hAnsi="Times New Roman" w:eastAsia="宋体" w:cs="Times New Roman"/>
                <w:kern w:val="0"/>
                <w:szCs w:val="21"/>
              </w:rPr>
            </w:pPr>
          </w:p>
        </w:tc>
        <w:tc>
          <w:tcPr>
            <w:tcW w:w="336" w:type="pct"/>
            <w:vMerge w:val="continue"/>
            <w:vAlign w:val="center"/>
          </w:tcPr>
          <w:p w14:paraId="4F365FA5">
            <w:pPr>
              <w:widowControl/>
              <w:jc w:val="center"/>
              <w:rPr>
                <w:rFonts w:ascii="宋体" w:hAnsi="宋体" w:eastAsia="宋体" w:cs="宋体"/>
                <w:kern w:val="0"/>
                <w:szCs w:val="21"/>
              </w:rPr>
            </w:pPr>
          </w:p>
        </w:tc>
        <w:tc>
          <w:tcPr>
            <w:tcW w:w="201" w:type="pct"/>
            <w:vMerge w:val="continue"/>
            <w:vAlign w:val="center"/>
          </w:tcPr>
          <w:p w14:paraId="522822F0">
            <w:pPr>
              <w:widowControl/>
              <w:jc w:val="center"/>
              <w:rPr>
                <w:rFonts w:ascii="Times New Roman" w:hAnsi="Times New Roman" w:eastAsia="宋体" w:cs="Times New Roman"/>
                <w:kern w:val="0"/>
                <w:szCs w:val="21"/>
              </w:rPr>
            </w:pPr>
          </w:p>
        </w:tc>
        <w:tc>
          <w:tcPr>
            <w:tcW w:w="205" w:type="pct"/>
            <w:shd w:val="clear" w:color="auto" w:fill="auto"/>
            <w:vAlign w:val="center"/>
          </w:tcPr>
          <w:p w14:paraId="48ED3466">
            <w:pPr>
              <w:widowControl/>
              <w:jc w:val="center"/>
              <w:rPr>
                <w:rFonts w:ascii="Times New Roman" w:hAnsi="Times New Roman" w:eastAsia="宋体" w:cs="Times New Roman"/>
                <w:kern w:val="0"/>
                <w:szCs w:val="21"/>
              </w:rPr>
            </w:pPr>
            <w:r>
              <w:rPr>
                <w:rFonts w:ascii="宋体" w:hAnsi="宋体" w:eastAsia="宋体" w:cs="Times New Roman"/>
                <w:kern w:val="0"/>
                <w:szCs w:val="21"/>
              </w:rPr>
              <w:t>两侧</w:t>
            </w:r>
          </w:p>
        </w:tc>
        <w:tc>
          <w:tcPr>
            <w:tcW w:w="312" w:type="pct"/>
            <w:shd w:val="clear" w:color="auto" w:fill="auto"/>
            <w:vAlign w:val="center"/>
          </w:tcPr>
          <w:p w14:paraId="66EA8AD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14.5</w:t>
            </w:r>
          </w:p>
        </w:tc>
        <w:tc>
          <w:tcPr>
            <w:tcW w:w="180" w:type="pct"/>
            <w:shd w:val="clear" w:color="auto" w:fill="auto"/>
            <w:vAlign w:val="center"/>
          </w:tcPr>
          <w:p w14:paraId="4F8F732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70</w:t>
            </w:r>
          </w:p>
        </w:tc>
        <w:tc>
          <w:tcPr>
            <w:tcW w:w="198" w:type="pct"/>
            <w:shd w:val="clear" w:color="auto" w:fill="auto"/>
            <w:vAlign w:val="center"/>
          </w:tcPr>
          <w:p w14:paraId="6A09076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55</w:t>
            </w:r>
          </w:p>
        </w:tc>
        <w:tc>
          <w:tcPr>
            <w:tcW w:w="183" w:type="pct"/>
            <w:shd w:val="clear" w:color="auto" w:fill="auto"/>
            <w:vAlign w:val="center"/>
          </w:tcPr>
          <w:p w14:paraId="6B01164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41.5</w:t>
            </w:r>
          </w:p>
        </w:tc>
        <w:tc>
          <w:tcPr>
            <w:tcW w:w="203" w:type="pct"/>
            <w:shd w:val="clear" w:color="auto" w:fill="auto"/>
            <w:vAlign w:val="center"/>
          </w:tcPr>
          <w:p w14:paraId="17641CB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37.5</w:t>
            </w:r>
          </w:p>
        </w:tc>
        <w:tc>
          <w:tcPr>
            <w:tcW w:w="181" w:type="pct"/>
            <w:shd w:val="clear" w:color="auto" w:fill="auto"/>
            <w:vAlign w:val="center"/>
          </w:tcPr>
          <w:p w14:paraId="65907E4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81.9</w:t>
            </w:r>
          </w:p>
        </w:tc>
        <w:tc>
          <w:tcPr>
            <w:tcW w:w="182" w:type="pct"/>
            <w:shd w:val="clear" w:color="auto" w:fill="auto"/>
            <w:vAlign w:val="center"/>
          </w:tcPr>
          <w:p w14:paraId="3A93178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81.9</w:t>
            </w:r>
          </w:p>
        </w:tc>
        <w:tc>
          <w:tcPr>
            <w:tcW w:w="181" w:type="pct"/>
            <w:shd w:val="clear" w:color="auto" w:fill="auto"/>
            <w:vAlign w:val="center"/>
          </w:tcPr>
          <w:p w14:paraId="141FE7E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81.9</w:t>
            </w:r>
          </w:p>
        </w:tc>
        <w:tc>
          <w:tcPr>
            <w:tcW w:w="182" w:type="pct"/>
            <w:shd w:val="clear" w:color="auto" w:fill="auto"/>
            <w:vAlign w:val="center"/>
          </w:tcPr>
          <w:p w14:paraId="2F6E683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81.9</w:t>
            </w:r>
          </w:p>
        </w:tc>
        <w:tc>
          <w:tcPr>
            <w:tcW w:w="181" w:type="pct"/>
            <w:shd w:val="clear" w:color="auto" w:fill="auto"/>
            <w:vAlign w:val="center"/>
          </w:tcPr>
          <w:p w14:paraId="5FF5D15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11.9</w:t>
            </w:r>
          </w:p>
        </w:tc>
        <w:tc>
          <w:tcPr>
            <w:tcW w:w="182" w:type="pct"/>
            <w:shd w:val="clear" w:color="auto" w:fill="auto"/>
            <w:vAlign w:val="center"/>
          </w:tcPr>
          <w:p w14:paraId="2FA10F5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26.9</w:t>
            </w:r>
          </w:p>
        </w:tc>
        <w:tc>
          <w:tcPr>
            <w:tcW w:w="181" w:type="pct"/>
            <w:shd w:val="clear" w:color="auto" w:fill="auto"/>
            <w:vAlign w:val="center"/>
          </w:tcPr>
          <w:p w14:paraId="5082242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77.0</w:t>
            </w:r>
          </w:p>
        </w:tc>
        <w:tc>
          <w:tcPr>
            <w:tcW w:w="182" w:type="pct"/>
            <w:shd w:val="clear" w:color="auto" w:fill="auto"/>
            <w:vAlign w:val="center"/>
          </w:tcPr>
          <w:p w14:paraId="0C2DC63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77.0</w:t>
            </w:r>
          </w:p>
        </w:tc>
        <w:tc>
          <w:tcPr>
            <w:tcW w:w="181" w:type="pct"/>
            <w:shd w:val="clear" w:color="auto" w:fill="auto"/>
            <w:vAlign w:val="center"/>
          </w:tcPr>
          <w:p w14:paraId="51A0E50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77.0</w:t>
            </w:r>
          </w:p>
        </w:tc>
        <w:tc>
          <w:tcPr>
            <w:tcW w:w="182" w:type="pct"/>
            <w:shd w:val="clear" w:color="auto" w:fill="auto"/>
            <w:vAlign w:val="center"/>
          </w:tcPr>
          <w:p w14:paraId="22D9735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77.0</w:t>
            </w:r>
          </w:p>
        </w:tc>
        <w:tc>
          <w:tcPr>
            <w:tcW w:w="181" w:type="pct"/>
            <w:shd w:val="clear" w:color="auto" w:fill="auto"/>
            <w:vAlign w:val="center"/>
          </w:tcPr>
          <w:p w14:paraId="78808A3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7.0</w:t>
            </w:r>
          </w:p>
        </w:tc>
        <w:tc>
          <w:tcPr>
            <w:tcW w:w="182" w:type="pct"/>
            <w:shd w:val="clear" w:color="auto" w:fill="auto"/>
            <w:vAlign w:val="center"/>
          </w:tcPr>
          <w:p w14:paraId="19CDED7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22.0</w:t>
            </w:r>
          </w:p>
        </w:tc>
        <w:tc>
          <w:tcPr>
            <w:tcW w:w="808" w:type="pct"/>
            <w:vMerge w:val="continue"/>
            <w:vAlign w:val="center"/>
          </w:tcPr>
          <w:p w14:paraId="44F73124">
            <w:pPr>
              <w:widowControl/>
              <w:rPr>
                <w:rFonts w:ascii="Times New Roman" w:hAnsi="Times New Roman" w:eastAsia="宋体" w:cs="Times New Roman"/>
                <w:kern w:val="0"/>
                <w:szCs w:val="21"/>
              </w:rPr>
            </w:pPr>
          </w:p>
        </w:tc>
      </w:tr>
      <w:tr w14:paraId="604F8A61">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96" w:type="pct"/>
            <w:shd w:val="clear" w:color="auto" w:fill="auto"/>
            <w:vAlign w:val="center"/>
          </w:tcPr>
          <w:p w14:paraId="3420028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w:t>
            </w:r>
          </w:p>
        </w:tc>
        <w:tc>
          <w:tcPr>
            <w:tcW w:w="336" w:type="pct"/>
            <w:shd w:val="clear" w:color="auto" w:fill="auto"/>
            <w:vAlign w:val="center"/>
          </w:tcPr>
          <w:p w14:paraId="4CE4FADD">
            <w:pPr>
              <w:widowControl/>
              <w:jc w:val="center"/>
              <w:rPr>
                <w:rFonts w:ascii="Times New Roman" w:hAnsi="Times New Roman" w:eastAsia="宋体" w:cs="Times New Roman"/>
                <w:kern w:val="0"/>
                <w:szCs w:val="21"/>
              </w:rPr>
            </w:pPr>
            <w:r>
              <w:rPr>
                <w:rFonts w:ascii="宋体" w:hAnsi="宋体" w:eastAsia="宋体" w:cs="Times New Roman"/>
                <w:kern w:val="0"/>
                <w:szCs w:val="21"/>
              </w:rPr>
              <w:t>格达良乡卫生院</w:t>
            </w:r>
          </w:p>
        </w:tc>
        <w:tc>
          <w:tcPr>
            <w:tcW w:w="201" w:type="pct"/>
            <w:shd w:val="clear" w:color="auto" w:fill="auto"/>
            <w:vAlign w:val="center"/>
          </w:tcPr>
          <w:p w14:paraId="59E45196">
            <w:pPr>
              <w:widowControl/>
              <w:jc w:val="center"/>
              <w:rPr>
                <w:rFonts w:ascii="Times New Roman" w:hAnsi="Times New Roman" w:eastAsia="宋体" w:cs="Times New Roman"/>
                <w:kern w:val="0"/>
                <w:szCs w:val="21"/>
              </w:rPr>
            </w:pPr>
            <w:r>
              <w:rPr>
                <w:rFonts w:ascii="宋体" w:hAnsi="宋体" w:eastAsia="宋体" w:cs="Times New Roman"/>
                <w:kern w:val="0"/>
                <w:szCs w:val="21"/>
              </w:rPr>
              <w:t>路基</w:t>
            </w:r>
          </w:p>
        </w:tc>
        <w:tc>
          <w:tcPr>
            <w:tcW w:w="205" w:type="pct"/>
            <w:shd w:val="clear" w:color="auto" w:fill="auto"/>
            <w:vAlign w:val="center"/>
          </w:tcPr>
          <w:p w14:paraId="090B7EA9">
            <w:pPr>
              <w:widowControl/>
              <w:jc w:val="center"/>
              <w:rPr>
                <w:rFonts w:ascii="Times New Roman" w:hAnsi="Times New Roman" w:eastAsia="宋体" w:cs="Times New Roman"/>
                <w:kern w:val="0"/>
                <w:szCs w:val="21"/>
              </w:rPr>
            </w:pPr>
            <w:r>
              <w:rPr>
                <w:rFonts w:ascii="宋体" w:hAnsi="宋体" w:eastAsia="宋体" w:cs="Times New Roman"/>
                <w:kern w:val="0"/>
                <w:szCs w:val="21"/>
              </w:rPr>
              <w:t>路左</w:t>
            </w:r>
          </w:p>
        </w:tc>
        <w:tc>
          <w:tcPr>
            <w:tcW w:w="312" w:type="pct"/>
            <w:shd w:val="clear" w:color="auto" w:fill="auto"/>
            <w:vAlign w:val="center"/>
          </w:tcPr>
          <w:p w14:paraId="19DA7BF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46.5</w:t>
            </w:r>
          </w:p>
        </w:tc>
        <w:tc>
          <w:tcPr>
            <w:tcW w:w="180" w:type="pct"/>
            <w:shd w:val="clear" w:color="auto" w:fill="auto"/>
            <w:vAlign w:val="center"/>
          </w:tcPr>
          <w:p w14:paraId="65B5D0D5">
            <w:pPr>
              <w:widowControl/>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60</w:t>
            </w:r>
          </w:p>
        </w:tc>
        <w:tc>
          <w:tcPr>
            <w:tcW w:w="198" w:type="pct"/>
            <w:shd w:val="clear" w:color="auto" w:fill="auto"/>
            <w:vAlign w:val="center"/>
          </w:tcPr>
          <w:p w14:paraId="0C3E9BE5">
            <w:pPr>
              <w:widowControl/>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50</w:t>
            </w:r>
          </w:p>
        </w:tc>
        <w:tc>
          <w:tcPr>
            <w:tcW w:w="183" w:type="pct"/>
            <w:shd w:val="clear" w:color="auto" w:fill="auto"/>
            <w:vAlign w:val="center"/>
          </w:tcPr>
          <w:p w14:paraId="29A396A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41.5</w:t>
            </w:r>
          </w:p>
        </w:tc>
        <w:tc>
          <w:tcPr>
            <w:tcW w:w="203" w:type="pct"/>
            <w:shd w:val="clear" w:color="auto" w:fill="auto"/>
            <w:vAlign w:val="center"/>
          </w:tcPr>
          <w:p w14:paraId="34AB486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37.5</w:t>
            </w:r>
          </w:p>
        </w:tc>
        <w:tc>
          <w:tcPr>
            <w:tcW w:w="181" w:type="pct"/>
            <w:shd w:val="clear" w:color="auto" w:fill="auto"/>
            <w:vAlign w:val="center"/>
          </w:tcPr>
          <w:p w14:paraId="4191F13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75.2</w:t>
            </w:r>
          </w:p>
        </w:tc>
        <w:tc>
          <w:tcPr>
            <w:tcW w:w="182" w:type="pct"/>
            <w:shd w:val="clear" w:color="auto" w:fill="auto"/>
            <w:vAlign w:val="center"/>
          </w:tcPr>
          <w:p w14:paraId="79DA070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75.2</w:t>
            </w:r>
          </w:p>
        </w:tc>
        <w:tc>
          <w:tcPr>
            <w:tcW w:w="181" w:type="pct"/>
            <w:shd w:val="clear" w:color="auto" w:fill="auto"/>
            <w:vAlign w:val="center"/>
          </w:tcPr>
          <w:p w14:paraId="4D17689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75.2</w:t>
            </w:r>
          </w:p>
        </w:tc>
        <w:tc>
          <w:tcPr>
            <w:tcW w:w="182" w:type="pct"/>
            <w:shd w:val="clear" w:color="auto" w:fill="auto"/>
            <w:vAlign w:val="center"/>
          </w:tcPr>
          <w:p w14:paraId="12A954D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75.2</w:t>
            </w:r>
          </w:p>
        </w:tc>
        <w:tc>
          <w:tcPr>
            <w:tcW w:w="181" w:type="pct"/>
            <w:shd w:val="clear" w:color="auto" w:fill="auto"/>
            <w:vAlign w:val="center"/>
          </w:tcPr>
          <w:p w14:paraId="0766A8B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15.2</w:t>
            </w:r>
          </w:p>
        </w:tc>
        <w:tc>
          <w:tcPr>
            <w:tcW w:w="182" w:type="pct"/>
            <w:shd w:val="clear" w:color="auto" w:fill="auto"/>
            <w:vAlign w:val="center"/>
          </w:tcPr>
          <w:p w14:paraId="5A4D8D5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25.2</w:t>
            </w:r>
          </w:p>
        </w:tc>
        <w:tc>
          <w:tcPr>
            <w:tcW w:w="181" w:type="pct"/>
            <w:shd w:val="clear" w:color="auto" w:fill="auto"/>
            <w:vAlign w:val="center"/>
          </w:tcPr>
          <w:p w14:paraId="28FAB58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70.2</w:t>
            </w:r>
          </w:p>
        </w:tc>
        <w:tc>
          <w:tcPr>
            <w:tcW w:w="182" w:type="pct"/>
            <w:shd w:val="clear" w:color="auto" w:fill="auto"/>
            <w:vAlign w:val="center"/>
          </w:tcPr>
          <w:p w14:paraId="53AA0C9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70.2</w:t>
            </w:r>
          </w:p>
        </w:tc>
        <w:tc>
          <w:tcPr>
            <w:tcW w:w="181" w:type="pct"/>
            <w:shd w:val="clear" w:color="auto" w:fill="auto"/>
            <w:vAlign w:val="center"/>
          </w:tcPr>
          <w:p w14:paraId="248A26B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70.2</w:t>
            </w:r>
          </w:p>
        </w:tc>
        <w:tc>
          <w:tcPr>
            <w:tcW w:w="182" w:type="pct"/>
            <w:shd w:val="clear" w:color="auto" w:fill="auto"/>
            <w:vAlign w:val="center"/>
          </w:tcPr>
          <w:p w14:paraId="20DA63D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70.2</w:t>
            </w:r>
          </w:p>
        </w:tc>
        <w:tc>
          <w:tcPr>
            <w:tcW w:w="181" w:type="pct"/>
            <w:shd w:val="clear" w:color="auto" w:fill="auto"/>
            <w:vAlign w:val="center"/>
          </w:tcPr>
          <w:p w14:paraId="4896552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10.2</w:t>
            </w:r>
          </w:p>
        </w:tc>
        <w:tc>
          <w:tcPr>
            <w:tcW w:w="182" w:type="pct"/>
            <w:shd w:val="clear" w:color="auto" w:fill="auto"/>
            <w:vAlign w:val="center"/>
          </w:tcPr>
          <w:p w14:paraId="399EF16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20.2</w:t>
            </w:r>
          </w:p>
        </w:tc>
        <w:tc>
          <w:tcPr>
            <w:tcW w:w="808" w:type="pct"/>
            <w:shd w:val="clear" w:color="auto" w:fill="auto"/>
            <w:vAlign w:val="center"/>
          </w:tcPr>
          <w:p w14:paraId="1A4E4D9C">
            <w:pPr>
              <w:widowControl/>
              <w:rPr>
                <w:rFonts w:ascii="Times New Roman" w:hAnsi="Times New Roman" w:eastAsia="宋体" w:cs="Times New Roman"/>
                <w:kern w:val="0"/>
                <w:szCs w:val="21"/>
              </w:rPr>
            </w:pPr>
            <w:r>
              <w:rPr>
                <w:rFonts w:hint="eastAsia" w:ascii="Times New Roman" w:hAnsi="Times New Roman" w:eastAsia="宋体" w:cs="Times New Roman"/>
                <w:szCs w:val="21"/>
              </w:rPr>
              <w:t>施工场界围挡内侧加装吸声板材或加高隔声围挡（声屏障）等降噪措施；使用静力压装机等低噪声施工机械</w:t>
            </w:r>
          </w:p>
        </w:tc>
      </w:tr>
      <w:tr w14:paraId="68F36963">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96" w:type="pct"/>
            <w:shd w:val="clear" w:color="auto" w:fill="auto"/>
            <w:vAlign w:val="center"/>
          </w:tcPr>
          <w:p w14:paraId="1B615DD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w:t>
            </w:r>
          </w:p>
        </w:tc>
        <w:tc>
          <w:tcPr>
            <w:tcW w:w="336" w:type="pct"/>
            <w:shd w:val="clear" w:color="auto" w:fill="auto"/>
            <w:vAlign w:val="center"/>
          </w:tcPr>
          <w:p w14:paraId="547C3406">
            <w:pPr>
              <w:widowControl/>
              <w:jc w:val="center"/>
              <w:rPr>
                <w:rFonts w:ascii="宋体" w:hAnsi="宋体" w:eastAsia="宋体" w:cs="宋体"/>
                <w:kern w:val="0"/>
                <w:szCs w:val="21"/>
              </w:rPr>
            </w:pPr>
            <w:r>
              <w:rPr>
                <w:rFonts w:hint="eastAsia" w:ascii="宋体" w:hAnsi="宋体" w:eastAsia="宋体" w:cs="宋体"/>
                <w:kern w:val="0"/>
                <w:szCs w:val="21"/>
              </w:rPr>
              <w:t>格达良乡中心小学</w:t>
            </w:r>
          </w:p>
        </w:tc>
        <w:tc>
          <w:tcPr>
            <w:tcW w:w="201" w:type="pct"/>
            <w:shd w:val="clear" w:color="auto" w:fill="auto"/>
            <w:vAlign w:val="center"/>
          </w:tcPr>
          <w:p w14:paraId="1A84F1B1">
            <w:pPr>
              <w:widowControl/>
              <w:jc w:val="center"/>
              <w:rPr>
                <w:rFonts w:ascii="Times New Roman" w:hAnsi="Times New Roman" w:eastAsia="宋体" w:cs="Times New Roman"/>
                <w:kern w:val="0"/>
                <w:szCs w:val="21"/>
              </w:rPr>
            </w:pPr>
            <w:r>
              <w:rPr>
                <w:rFonts w:ascii="宋体" w:hAnsi="宋体" w:eastAsia="宋体" w:cs="Times New Roman"/>
                <w:kern w:val="0"/>
                <w:szCs w:val="21"/>
              </w:rPr>
              <w:t>路基</w:t>
            </w:r>
          </w:p>
        </w:tc>
        <w:tc>
          <w:tcPr>
            <w:tcW w:w="205" w:type="pct"/>
            <w:shd w:val="clear" w:color="auto" w:fill="auto"/>
            <w:vAlign w:val="center"/>
          </w:tcPr>
          <w:p w14:paraId="24327D10">
            <w:pPr>
              <w:widowControl/>
              <w:jc w:val="center"/>
              <w:rPr>
                <w:rFonts w:ascii="Times New Roman" w:hAnsi="Times New Roman" w:eastAsia="宋体" w:cs="Times New Roman"/>
                <w:kern w:val="0"/>
                <w:szCs w:val="21"/>
              </w:rPr>
            </w:pPr>
            <w:r>
              <w:rPr>
                <w:rFonts w:ascii="宋体" w:hAnsi="宋体" w:eastAsia="宋体" w:cs="Times New Roman"/>
                <w:kern w:val="0"/>
                <w:szCs w:val="21"/>
              </w:rPr>
              <w:t>路右</w:t>
            </w:r>
          </w:p>
        </w:tc>
        <w:tc>
          <w:tcPr>
            <w:tcW w:w="312" w:type="pct"/>
            <w:shd w:val="clear" w:color="auto" w:fill="auto"/>
            <w:vAlign w:val="center"/>
          </w:tcPr>
          <w:p w14:paraId="3322D00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39.5</w:t>
            </w:r>
          </w:p>
        </w:tc>
        <w:tc>
          <w:tcPr>
            <w:tcW w:w="180" w:type="pct"/>
            <w:shd w:val="clear" w:color="auto" w:fill="auto"/>
            <w:vAlign w:val="center"/>
          </w:tcPr>
          <w:p w14:paraId="55B8A393">
            <w:pPr>
              <w:widowControl/>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60</w:t>
            </w:r>
          </w:p>
        </w:tc>
        <w:tc>
          <w:tcPr>
            <w:tcW w:w="198" w:type="pct"/>
            <w:shd w:val="clear" w:color="auto" w:fill="auto"/>
            <w:vAlign w:val="center"/>
          </w:tcPr>
          <w:p w14:paraId="42A74F73">
            <w:pPr>
              <w:widowControl/>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50</w:t>
            </w:r>
          </w:p>
        </w:tc>
        <w:tc>
          <w:tcPr>
            <w:tcW w:w="183" w:type="pct"/>
            <w:shd w:val="clear" w:color="auto" w:fill="auto"/>
            <w:vAlign w:val="center"/>
          </w:tcPr>
          <w:p w14:paraId="5D52CB8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41.5</w:t>
            </w:r>
          </w:p>
        </w:tc>
        <w:tc>
          <w:tcPr>
            <w:tcW w:w="203" w:type="pct"/>
            <w:shd w:val="clear" w:color="auto" w:fill="auto"/>
            <w:vAlign w:val="center"/>
          </w:tcPr>
          <w:p w14:paraId="4339310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37.5</w:t>
            </w:r>
          </w:p>
        </w:tc>
        <w:tc>
          <w:tcPr>
            <w:tcW w:w="181" w:type="pct"/>
            <w:shd w:val="clear" w:color="auto" w:fill="auto"/>
            <w:vAlign w:val="center"/>
          </w:tcPr>
          <w:p w14:paraId="1F3EC2C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76.3</w:t>
            </w:r>
          </w:p>
        </w:tc>
        <w:tc>
          <w:tcPr>
            <w:tcW w:w="182" w:type="pct"/>
            <w:shd w:val="clear" w:color="auto" w:fill="auto"/>
            <w:vAlign w:val="center"/>
          </w:tcPr>
          <w:p w14:paraId="51DD042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76.3</w:t>
            </w:r>
          </w:p>
        </w:tc>
        <w:tc>
          <w:tcPr>
            <w:tcW w:w="181" w:type="pct"/>
            <w:shd w:val="clear" w:color="auto" w:fill="auto"/>
            <w:vAlign w:val="center"/>
          </w:tcPr>
          <w:p w14:paraId="3362370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76.3</w:t>
            </w:r>
          </w:p>
        </w:tc>
        <w:tc>
          <w:tcPr>
            <w:tcW w:w="182" w:type="pct"/>
            <w:shd w:val="clear" w:color="auto" w:fill="auto"/>
            <w:vAlign w:val="center"/>
          </w:tcPr>
          <w:p w14:paraId="450EEF8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76.3</w:t>
            </w:r>
          </w:p>
        </w:tc>
        <w:tc>
          <w:tcPr>
            <w:tcW w:w="181" w:type="pct"/>
            <w:shd w:val="clear" w:color="auto" w:fill="auto"/>
            <w:vAlign w:val="center"/>
          </w:tcPr>
          <w:p w14:paraId="3E188E9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16.3</w:t>
            </w:r>
          </w:p>
        </w:tc>
        <w:tc>
          <w:tcPr>
            <w:tcW w:w="182" w:type="pct"/>
            <w:shd w:val="clear" w:color="auto" w:fill="auto"/>
            <w:vAlign w:val="center"/>
          </w:tcPr>
          <w:p w14:paraId="3224DF4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26.3</w:t>
            </w:r>
          </w:p>
        </w:tc>
        <w:tc>
          <w:tcPr>
            <w:tcW w:w="181" w:type="pct"/>
            <w:shd w:val="clear" w:color="auto" w:fill="auto"/>
            <w:vAlign w:val="center"/>
          </w:tcPr>
          <w:p w14:paraId="0991A32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71.3</w:t>
            </w:r>
          </w:p>
        </w:tc>
        <w:tc>
          <w:tcPr>
            <w:tcW w:w="182" w:type="pct"/>
            <w:shd w:val="clear" w:color="auto" w:fill="auto"/>
            <w:vAlign w:val="center"/>
          </w:tcPr>
          <w:p w14:paraId="32CF415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71.3</w:t>
            </w:r>
          </w:p>
        </w:tc>
        <w:tc>
          <w:tcPr>
            <w:tcW w:w="181" w:type="pct"/>
            <w:shd w:val="clear" w:color="auto" w:fill="auto"/>
            <w:vAlign w:val="center"/>
          </w:tcPr>
          <w:p w14:paraId="61EC609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71.3</w:t>
            </w:r>
          </w:p>
        </w:tc>
        <w:tc>
          <w:tcPr>
            <w:tcW w:w="182" w:type="pct"/>
            <w:shd w:val="clear" w:color="auto" w:fill="auto"/>
            <w:vAlign w:val="center"/>
          </w:tcPr>
          <w:p w14:paraId="126A6A1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71.3</w:t>
            </w:r>
          </w:p>
        </w:tc>
        <w:tc>
          <w:tcPr>
            <w:tcW w:w="181" w:type="pct"/>
            <w:shd w:val="clear" w:color="auto" w:fill="auto"/>
            <w:vAlign w:val="center"/>
          </w:tcPr>
          <w:p w14:paraId="532AB83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11.3</w:t>
            </w:r>
          </w:p>
        </w:tc>
        <w:tc>
          <w:tcPr>
            <w:tcW w:w="182" w:type="pct"/>
            <w:shd w:val="clear" w:color="auto" w:fill="auto"/>
            <w:vAlign w:val="center"/>
          </w:tcPr>
          <w:p w14:paraId="50032D5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21.3</w:t>
            </w:r>
          </w:p>
        </w:tc>
        <w:tc>
          <w:tcPr>
            <w:tcW w:w="808" w:type="pct"/>
            <w:shd w:val="clear" w:color="auto" w:fill="auto"/>
            <w:vAlign w:val="center"/>
          </w:tcPr>
          <w:p w14:paraId="7FE712D2">
            <w:pPr>
              <w:widowControl/>
              <w:rPr>
                <w:rFonts w:ascii="Times New Roman" w:hAnsi="Times New Roman" w:eastAsia="宋体" w:cs="Times New Roman"/>
                <w:kern w:val="0"/>
                <w:szCs w:val="21"/>
              </w:rPr>
            </w:pPr>
            <w:r>
              <w:rPr>
                <w:rFonts w:hint="eastAsia" w:ascii="Times New Roman" w:hAnsi="Times New Roman" w:eastAsia="宋体" w:cs="Times New Roman"/>
                <w:szCs w:val="21"/>
              </w:rPr>
              <w:t>施工场界围挡内侧加装吸声板材或加高隔声围挡（声屏障）等降噪措施；使用静力压装机等低噪声施工机械</w:t>
            </w:r>
          </w:p>
        </w:tc>
      </w:tr>
      <w:tr w14:paraId="0136345E">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96" w:type="pct"/>
            <w:vMerge w:val="restart"/>
            <w:shd w:val="clear" w:color="auto" w:fill="auto"/>
            <w:vAlign w:val="center"/>
          </w:tcPr>
          <w:p w14:paraId="4BEBEFC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w:t>
            </w:r>
          </w:p>
        </w:tc>
        <w:tc>
          <w:tcPr>
            <w:tcW w:w="336" w:type="pct"/>
            <w:vMerge w:val="restart"/>
            <w:shd w:val="clear" w:color="auto" w:fill="auto"/>
            <w:vAlign w:val="center"/>
          </w:tcPr>
          <w:p w14:paraId="2B7ABB07">
            <w:pPr>
              <w:widowControl/>
              <w:jc w:val="center"/>
              <w:rPr>
                <w:rFonts w:ascii="Times New Roman" w:hAnsi="Times New Roman" w:eastAsia="宋体" w:cs="Times New Roman"/>
                <w:kern w:val="0"/>
                <w:szCs w:val="21"/>
              </w:rPr>
            </w:pPr>
            <w:r>
              <w:rPr>
                <w:rFonts w:ascii="宋体" w:hAnsi="宋体" w:eastAsia="宋体" w:cs="Times New Roman"/>
                <w:kern w:val="0"/>
                <w:szCs w:val="21"/>
              </w:rPr>
              <w:t>艾拉木艾日克</w:t>
            </w:r>
          </w:p>
        </w:tc>
        <w:tc>
          <w:tcPr>
            <w:tcW w:w="201" w:type="pct"/>
            <w:vMerge w:val="restart"/>
            <w:shd w:val="clear" w:color="auto" w:fill="auto"/>
            <w:vAlign w:val="center"/>
          </w:tcPr>
          <w:p w14:paraId="62F29153">
            <w:pPr>
              <w:widowControl/>
              <w:jc w:val="center"/>
              <w:rPr>
                <w:rFonts w:ascii="Times New Roman" w:hAnsi="Times New Roman" w:eastAsia="宋体" w:cs="Times New Roman"/>
                <w:kern w:val="0"/>
                <w:szCs w:val="21"/>
              </w:rPr>
            </w:pPr>
            <w:r>
              <w:rPr>
                <w:rFonts w:ascii="宋体" w:hAnsi="宋体" w:eastAsia="宋体" w:cs="Times New Roman"/>
                <w:kern w:val="0"/>
                <w:szCs w:val="21"/>
              </w:rPr>
              <w:t>路基</w:t>
            </w:r>
          </w:p>
        </w:tc>
        <w:tc>
          <w:tcPr>
            <w:tcW w:w="205" w:type="pct"/>
            <w:vMerge w:val="restart"/>
            <w:shd w:val="clear" w:color="auto" w:fill="auto"/>
            <w:vAlign w:val="center"/>
          </w:tcPr>
          <w:p w14:paraId="2B17C2BE">
            <w:pPr>
              <w:widowControl/>
              <w:jc w:val="center"/>
              <w:rPr>
                <w:rFonts w:ascii="Times New Roman" w:hAnsi="Times New Roman" w:eastAsia="宋体" w:cs="Times New Roman"/>
                <w:kern w:val="0"/>
                <w:szCs w:val="21"/>
              </w:rPr>
            </w:pPr>
            <w:r>
              <w:rPr>
                <w:rFonts w:ascii="宋体" w:hAnsi="宋体" w:eastAsia="宋体" w:cs="Times New Roman"/>
                <w:kern w:val="0"/>
                <w:szCs w:val="21"/>
              </w:rPr>
              <w:t>路左</w:t>
            </w:r>
          </w:p>
        </w:tc>
        <w:tc>
          <w:tcPr>
            <w:tcW w:w="312" w:type="pct"/>
            <w:shd w:val="clear" w:color="auto" w:fill="auto"/>
            <w:vAlign w:val="center"/>
          </w:tcPr>
          <w:p w14:paraId="50E79F6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14.5</w:t>
            </w:r>
          </w:p>
        </w:tc>
        <w:tc>
          <w:tcPr>
            <w:tcW w:w="180" w:type="pct"/>
            <w:shd w:val="clear" w:color="auto" w:fill="auto"/>
            <w:vAlign w:val="center"/>
          </w:tcPr>
          <w:p w14:paraId="1F45FB5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70</w:t>
            </w:r>
          </w:p>
        </w:tc>
        <w:tc>
          <w:tcPr>
            <w:tcW w:w="198" w:type="pct"/>
            <w:shd w:val="clear" w:color="auto" w:fill="auto"/>
            <w:vAlign w:val="center"/>
          </w:tcPr>
          <w:p w14:paraId="0D0DB83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55</w:t>
            </w:r>
          </w:p>
        </w:tc>
        <w:tc>
          <w:tcPr>
            <w:tcW w:w="183" w:type="pct"/>
            <w:shd w:val="clear" w:color="auto" w:fill="auto"/>
            <w:vAlign w:val="center"/>
          </w:tcPr>
          <w:p w14:paraId="3B18E15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41.5</w:t>
            </w:r>
          </w:p>
        </w:tc>
        <w:tc>
          <w:tcPr>
            <w:tcW w:w="203" w:type="pct"/>
            <w:shd w:val="clear" w:color="auto" w:fill="auto"/>
            <w:vAlign w:val="center"/>
          </w:tcPr>
          <w:p w14:paraId="786BC8A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37.5</w:t>
            </w:r>
          </w:p>
        </w:tc>
        <w:tc>
          <w:tcPr>
            <w:tcW w:w="181" w:type="pct"/>
            <w:shd w:val="clear" w:color="auto" w:fill="auto"/>
            <w:vAlign w:val="center"/>
          </w:tcPr>
          <w:p w14:paraId="4FC9234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81.9</w:t>
            </w:r>
          </w:p>
        </w:tc>
        <w:tc>
          <w:tcPr>
            <w:tcW w:w="182" w:type="pct"/>
            <w:shd w:val="clear" w:color="auto" w:fill="auto"/>
            <w:vAlign w:val="center"/>
          </w:tcPr>
          <w:p w14:paraId="6E621BB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81.9</w:t>
            </w:r>
          </w:p>
        </w:tc>
        <w:tc>
          <w:tcPr>
            <w:tcW w:w="181" w:type="pct"/>
            <w:shd w:val="clear" w:color="auto" w:fill="auto"/>
            <w:vAlign w:val="center"/>
          </w:tcPr>
          <w:p w14:paraId="15DCFD4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81.9</w:t>
            </w:r>
          </w:p>
        </w:tc>
        <w:tc>
          <w:tcPr>
            <w:tcW w:w="182" w:type="pct"/>
            <w:shd w:val="clear" w:color="auto" w:fill="auto"/>
            <w:vAlign w:val="center"/>
          </w:tcPr>
          <w:p w14:paraId="43B5247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81.9</w:t>
            </w:r>
          </w:p>
        </w:tc>
        <w:tc>
          <w:tcPr>
            <w:tcW w:w="181" w:type="pct"/>
            <w:shd w:val="clear" w:color="auto" w:fill="auto"/>
            <w:vAlign w:val="center"/>
          </w:tcPr>
          <w:p w14:paraId="50BD99C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11.9</w:t>
            </w:r>
          </w:p>
        </w:tc>
        <w:tc>
          <w:tcPr>
            <w:tcW w:w="182" w:type="pct"/>
            <w:shd w:val="clear" w:color="auto" w:fill="auto"/>
            <w:vAlign w:val="center"/>
          </w:tcPr>
          <w:p w14:paraId="7C15EE1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26.9</w:t>
            </w:r>
          </w:p>
        </w:tc>
        <w:tc>
          <w:tcPr>
            <w:tcW w:w="181" w:type="pct"/>
            <w:shd w:val="clear" w:color="auto" w:fill="auto"/>
            <w:vAlign w:val="center"/>
          </w:tcPr>
          <w:p w14:paraId="138D70C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77.0</w:t>
            </w:r>
          </w:p>
        </w:tc>
        <w:tc>
          <w:tcPr>
            <w:tcW w:w="182" w:type="pct"/>
            <w:shd w:val="clear" w:color="auto" w:fill="auto"/>
            <w:vAlign w:val="center"/>
          </w:tcPr>
          <w:p w14:paraId="126867D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77.0</w:t>
            </w:r>
          </w:p>
        </w:tc>
        <w:tc>
          <w:tcPr>
            <w:tcW w:w="181" w:type="pct"/>
            <w:shd w:val="clear" w:color="auto" w:fill="auto"/>
            <w:vAlign w:val="center"/>
          </w:tcPr>
          <w:p w14:paraId="29C2AB0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77.0</w:t>
            </w:r>
          </w:p>
        </w:tc>
        <w:tc>
          <w:tcPr>
            <w:tcW w:w="182" w:type="pct"/>
            <w:shd w:val="clear" w:color="auto" w:fill="auto"/>
            <w:vAlign w:val="center"/>
          </w:tcPr>
          <w:p w14:paraId="45BC0B3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77.0</w:t>
            </w:r>
          </w:p>
        </w:tc>
        <w:tc>
          <w:tcPr>
            <w:tcW w:w="181" w:type="pct"/>
            <w:shd w:val="clear" w:color="auto" w:fill="auto"/>
            <w:vAlign w:val="center"/>
          </w:tcPr>
          <w:p w14:paraId="1C2CBA7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7.0</w:t>
            </w:r>
          </w:p>
        </w:tc>
        <w:tc>
          <w:tcPr>
            <w:tcW w:w="182" w:type="pct"/>
            <w:shd w:val="clear" w:color="auto" w:fill="auto"/>
            <w:vAlign w:val="center"/>
          </w:tcPr>
          <w:p w14:paraId="0A54051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22.0</w:t>
            </w:r>
          </w:p>
        </w:tc>
        <w:tc>
          <w:tcPr>
            <w:tcW w:w="808" w:type="pct"/>
            <w:shd w:val="clear" w:color="auto" w:fill="auto"/>
            <w:vAlign w:val="center"/>
          </w:tcPr>
          <w:p w14:paraId="75C898D6">
            <w:pPr>
              <w:widowControl/>
              <w:rPr>
                <w:rFonts w:ascii="Times New Roman" w:hAnsi="Times New Roman" w:eastAsia="宋体" w:cs="Times New Roman"/>
                <w:kern w:val="0"/>
                <w:szCs w:val="21"/>
              </w:rPr>
            </w:pPr>
            <w:r>
              <w:rPr>
                <w:rFonts w:hint="eastAsia" w:ascii="Times New Roman" w:hAnsi="Times New Roman" w:eastAsia="宋体" w:cs="Times New Roman"/>
              </w:rPr>
              <w:t>隔声房、隔声罩等消声减振装置；</w:t>
            </w:r>
            <w:r>
              <w:rPr>
                <w:rFonts w:hint="eastAsia" w:ascii="Times New Roman" w:hAnsi="Times New Roman" w:eastAsia="宋体" w:cs="Times New Roman"/>
                <w:szCs w:val="21"/>
              </w:rPr>
              <w:t>施工场界围挡内侧加装吸声板材或加高隔声围挡（声屏障）等降噪措施；使用静力压装机等低噪声施工机械</w:t>
            </w:r>
          </w:p>
        </w:tc>
      </w:tr>
      <w:tr w14:paraId="46F30A46">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96" w:type="pct"/>
            <w:vMerge w:val="continue"/>
            <w:vAlign w:val="center"/>
          </w:tcPr>
          <w:p w14:paraId="32F7DB1F">
            <w:pPr>
              <w:widowControl/>
              <w:jc w:val="center"/>
              <w:rPr>
                <w:rFonts w:ascii="Times New Roman" w:hAnsi="Times New Roman" w:eastAsia="宋体" w:cs="Times New Roman"/>
                <w:kern w:val="0"/>
                <w:szCs w:val="21"/>
              </w:rPr>
            </w:pPr>
          </w:p>
        </w:tc>
        <w:tc>
          <w:tcPr>
            <w:tcW w:w="336" w:type="pct"/>
            <w:vMerge w:val="continue"/>
            <w:vAlign w:val="center"/>
          </w:tcPr>
          <w:p w14:paraId="374B7511">
            <w:pPr>
              <w:widowControl/>
              <w:jc w:val="center"/>
              <w:rPr>
                <w:rFonts w:ascii="Times New Roman" w:hAnsi="Times New Roman" w:eastAsia="宋体" w:cs="Times New Roman"/>
                <w:kern w:val="0"/>
                <w:szCs w:val="21"/>
              </w:rPr>
            </w:pPr>
          </w:p>
        </w:tc>
        <w:tc>
          <w:tcPr>
            <w:tcW w:w="201" w:type="pct"/>
            <w:vMerge w:val="continue"/>
            <w:vAlign w:val="center"/>
          </w:tcPr>
          <w:p w14:paraId="0666A5A2">
            <w:pPr>
              <w:widowControl/>
              <w:jc w:val="center"/>
              <w:rPr>
                <w:rFonts w:ascii="Times New Roman" w:hAnsi="Times New Roman" w:eastAsia="宋体" w:cs="Times New Roman"/>
                <w:kern w:val="0"/>
                <w:szCs w:val="21"/>
              </w:rPr>
            </w:pPr>
          </w:p>
        </w:tc>
        <w:tc>
          <w:tcPr>
            <w:tcW w:w="205" w:type="pct"/>
            <w:vMerge w:val="continue"/>
            <w:vAlign w:val="center"/>
          </w:tcPr>
          <w:p w14:paraId="7105C9DC">
            <w:pPr>
              <w:widowControl/>
              <w:jc w:val="center"/>
              <w:rPr>
                <w:rFonts w:ascii="Times New Roman" w:hAnsi="Times New Roman" w:eastAsia="宋体" w:cs="Times New Roman"/>
                <w:kern w:val="0"/>
                <w:szCs w:val="21"/>
              </w:rPr>
            </w:pPr>
          </w:p>
        </w:tc>
        <w:tc>
          <w:tcPr>
            <w:tcW w:w="312" w:type="pct"/>
            <w:shd w:val="clear" w:color="auto" w:fill="auto"/>
            <w:vAlign w:val="center"/>
          </w:tcPr>
          <w:p w14:paraId="773FCBC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20.5</w:t>
            </w:r>
          </w:p>
        </w:tc>
        <w:tc>
          <w:tcPr>
            <w:tcW w:w="180" w:type="pct"/>
            <w:shd w:val="clear" w:color="auto" w:fill="auto"/>
            <w:vAlign w:val="center"/>
          </w:tcPr>
          <w:p w14:paraId="017EB1F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70</w:t>
            </w:r>
          </w:p>
        </w:tc>
        <w:tc>
          <w:tcPr>
            <w:tcW w:w="198" w:type="pct"/>
            <w:shd w:val="clear" w:color="auto" w:fill="auto"/>
            <w:vAlign w:val="center"/>
          </w:tcPr>
          <w:p w14:paraId="4D8398A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55</w:t>
            </w:r>
          </w:p>
        </w:tc>
        <w:tc>
          <w:tcPr>
            <w:tcW w:w="183" w:type="pct"/>
            <w:shd w:val="clear" w:color="auto" w:fill="auto"/>
            <w:vAlign w:val="center"/>
          </w:tcPr>
          <w:p w14:paraId="2ED6014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41.5</w:t>
            </w:r>
          </w:p>
        </w:tc>
        <w:tc>
          <w:tcPr>
            <w:tcW w:w="203" w:type="pct"/>
            <w:shd w:val="clear" w:color="auto" w:fill="auto"/>
            <w:vAlign w:val="center"/>
          </w:tcPr>
          <w:p w14:paraId="66E9F21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37.5</w:t>
            </w:r>
          </w:p>
        </w:tc>
        <w:tc>
          <w:tcPr>
            <w:tcW w:w="181" w:type="pct"/>
            <w:shd w:val="clear" w:color="auto" w:fill="auto"/>
            <w:vAlign w:val="center"/>
          </w:tcPr>
          <w:p w14:paraId="05A561D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80.2</w:t>
            </w:r>
          </w:p>
        </w:tc>
        <w:tc>
          <w:tcPr>
            <w:tcW w:w="182" w:type="pct"/>
            <w:shd w:val="clear" w:color="auto" w:fill="auto"/>
            <w:vAlign w:val="center"/>
          </w:tcPr>
          <w:p w14:paraId="6D6D690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80.2</w:t>
            </w:r>
          </w:p>
        </w:tc>
        <w:tc>
          <w:tcPr>
            <w:tcW w:w="181" w:type="pct"/>
            <w:shd w:val="clear" w:color="auto" w:fill="auto"/>
            <w:vAlign w:val="center"/>
          </w:tcPr>
          <w:p w14:paraId="02785DA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80.2</w:t>
            </w:r>
          </w:p>
        </w:tc>
        <w:tc>
          <w:tcPr>
            <w:tcW w:w="182" w:type="pct"/>
            <w:shd w:val="clear" w:color="auto" w:fill="auto"/>
            <w:vAlign w:val="center"/>
          </w:tcPr>
          <w:p w14:paraId="56F3EE3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80.2</w:t>
            </w:r>
          </w:p>
        </w:tc>
        <w:tc>
          <w:tcPr>
            <w:tcW w:w="181" w:type="pct"/>
            <w:shd w:val="clear" w:color="auto" w:fill="auto"/>
            <w:vAlign w:val="center"/>
          </w:tcPr>
          <w:p w14:paraId="3B84D71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10.2</w:t>
            </w:r>
          </w:p>
        </w:tc>
        <w:tc>
          <w:tcPr>
            <w:tcW w:w="182" w:type="pct"/>
            <w:shd w:val="clear" w:color="auto" w:fill="auto"/>
            <w:vAlign w:val="center"/>
          </w:tcPr>
          <w:p w14:paraId="7455E9D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25.2</w:t>
            </w:r>
          </w:p>
        </w:tc>
        <w:tc>
          <w:tcPr>
            <w:tcW w:w="181" w:type="pct"/>
            <w:shd w:val="clear" w:color="auto" w:fill="auto"/>
            <w:vAlign w:val="center"/>
          </w:tcPr>
          <w:p w14:paraId="09DE643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75.2</w:t>
            </w:r>
          </w:p>
        </w:tc>
        <w:tc>
          <w:tcPr>
            <w:tcW w:w="182" w:type="pct"/>
            <w:shd w:val="clear" w:color="auto" w:fill="auto"/>
            <w:vAlign w:val="center"/>
          </w:tcPr>
          <w:p w14:paraId="2B16052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75.2</w:t>
            </w:r>
          </w:p>
        </w:tc>
        <w:tc>
          <w:tcPr>
            <w:tcW w:w="181" w:type="pct"/>
            <w:shd w:val="clear" w:color="auto" w:fill="auto"/>
            <w:vAlign w:val="center"/>
          </w:tcPr>
          <w:p w14:paraId="0F8393E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75.2</w:t>
            </w:r>
          </w:p>
        </w:tc>
        <w:tc>
          <w:tcPr>
            <w:tcW w:w="182" w:type="pct"/>
            <w:shd w:val="clear" w:color="auto" w:fill="auto"/>
            <w:vAlign w:val="center"/>
          </w:tcPr>
          <w:p w14:paraId="7A2FF24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75.2</w:t>
            </w:r>
          </w:p>
        </w:tc>
        <w:tc>
          <w:tcPr>
            <w:tcW w:w="181" w:type="pct"/>
            <w:shd w:val="clear" w:color="auto" w:fill="auto"/>
            <w:vAlign w:val="center"/>
          </w:tcPr>
          <w:p w14:paraId="0BA5339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5.2</w:t>
            </w:r>
          </w:p>
        </w:tc>
        <w:tc>
          <w:tcPr>
            <w:tcW w:w="182" w:type="pct"/>
            <w:shd w:val="clear" w:color="auto" w:fill="auto"/>
            <w:vAlign w:val="center"/>
          </w:tcPr>
          <w:p w14:paraId="448696E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20.2</w:t>
            </w:r>
          </w:p>
        </w:tc>
        <w:tc>
          <w:tcPr>
            <w:tcW w:w="808" w:type="pct"/>
            <w:shd w:val="clear" w:color="auto" w:fill="auto"/>
            <w:vAlign w:val="center"/>
          </w:tcPr>
          <w:p w14:paraId="4769078A">
            <w:pPr>
              <w:widowControl/>
              <w:rPr>
                <w:rFonts w:ascii="Times New Roman" w:hAnsi="Times New Roman" w:eastAsia="宋体" w:cs="Times New Roman"/>
                <w:kern w:val="0"/>
                <w:szCs w:val="21"/>
              </w:rPr>
            </w:pPr>
            <w:r>
              <w:rPr>
                <w:rFonts w:hint="eastAsia" w:ascii="Times New Roman" w:hAnsi="Times New Roman" w:eastAsia="宋体" w:cs="Times New Roman"/>
                <w:szCs w:val="21"/>
              </w:rPr>
              <w:t>施工场界围挡内侧加装吸声板材或加高隔声围挡（声屏障）等降噪措施；使用静力压装机等低噪声施工机械</w:t>
            </w:r>
          </w:p>
        </w:tc>
      </w:tr>
      <w:tr w14:paraId="35BC7E1B">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96" w:type="pct"/>
            <w:shd w:val="clear" w:color="auto" w:fill="auto"/>
            <w:vAlign w:val="center"/>
          </w:tcPr>
          <w:p w14:paraId="0A316FB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w:t>
            </w:r>
          </w:p>
        </w:tc>
        <w:tc>
          <w:tcPr>
            <w:tcW w:w="336" w:type="pct"/>
            <w:shd w:val="clear" w:color="auto" w:fill="auto"/>
            <w:vAlign w:val="center"/>
          </w:tcPr>
          <w:p w14:paraId="4FF51744">
            <w:pPr>
              <w:widowControl/>
              <w:jc w:val="center"/>
              <w:rPr>
                <w:rFonts w:ascii="Times New Roman" w:hAnsi="Times New Roman" w:eastAsia="宋体" w:cs="Times New Roman"/>
                <w:kern w:val="0"/>
                <w:szCs w:val="21"/>
              </w:rPr>
            </w:pPr>
            <w:r>
              <w:rPr>
                <w:rFonts w:ascii="宋体" w:hAnsi="宋体" w:eastAsia="宋体" w:cs="Times New Roman"/>
                <w:kern w:val="0"/>
                <w:szCs w:val="21"/>
              </w:rPr>
              <w:t>巴什央艾日克村</w:t>
            </w:r>
          </w:p>
        </w:tc>
        <w:tc>
          <w:tcPr>
            <w:tcW w:w="201" w:type="pct"/>
            <w:shd w:val="clear" w:color="auto" w:fill="auto"/>
            <w:vAlign w:val="center"/>
          </w:tcPr>
          <w:p w14:paraId="0762BD27">
            <w:pPr>
              <w:widowControl/>
              <w:jc w:val="center"/>
              <w:rPr>
                <w:rFonts w:ascii="Times New Roman" w:hAnsi="Times New Roman" w:eastAsia="宋体" w:cs="Times New Roman"/>
                <w:kern w:val="0"/>
                <w:szCs w:val="21"/>
              </w:rPr>
            </w:pPr>
            <w:r>
              <w:rPr>
                <w:rFonts w:ascii="宋体" w:hAnsi="宋体" w:eastAsia="宋体" w:cs="Times New Roman"/>
                <w:kern w:val="0"/>
                <w:szCs w:val="21"/>
              </w:rPr>
              <w:t>路基</w:t>
            </w:r>
          </w:p>
        </w:tc>
        <w:tc>
          <w:tcPr>
            <w:tcW w:w="205" w:type="pct"/>
            <w:shd w:val="clear" w:color="auto" w:fill="auto"/>
            <w:vAlign w:val="center"/>
          </w:tcPr>
          <w:p w14:paraId="133B007F">
            <w:pPr>
              <w:widowControl/>
              <w:jc w:val="center"/>
              <w:rPr>
                <w:rFonts w:ascii="Times New Roman" w:hAnsi="Times New Roman" w:eastAsia="宋体" w:cs="Times New Roman"/>
                <w:kern w:val="0"/>
                <w:szCs w:val="21"/>
              </w:rPr>
            </w:pPr>
            <w:r>
              <w:rPr>
                <w:rFonts w:ascii="宋体" w:hAnsi="宋体" w:eastAsia="宋体" w:cs="Times New Roman"/>
                <w:kern w:val="0"/>
                <w:szCs w:val="21"/>
              </w:rPr>
              <w:t>两侧</w:t>
            </w:r>
          </w:p>
        </w:tc>
        <w:tc>
          <w:tcPr>
            <w:tcW w:w="312" w:type="pct"/>
            <w:shd w:val="clear" w:color="auto" w:fill="auto"/>
            <w:vAlign w:val="center"/>
          </w:tcPr>
          <w:p w14:paraId="7325D99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9</w:t>
            </w:r>
          </w:p>
        </w:tc>
        <w:tc>
          <w:tcPr>
            <w:tcW w:w="180" w:type="pct"/>
            <w:shd w:val="clear" w:color="auto" w:fill="auto"/>
            <w:vAlign w:val="center"/>
          </w:tcPr>
          <w:p w14:paraId="7401637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70</w:t>
            </w:r>
          </w:p>
        </w:tc>
        <w:tc>
          <w:tcPr>
            <w:tcW w:w="198" w:type="pct"/>
            <w:shd w:val="clear" w:color="auto" w:fill="auto"/>
            <w:vAlign w:val="center"/>
          </w:tcPr>
          <w:p w14:paraId="6DCDB11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55</w:t>
            </w:r>
          </w:p>
        </w:tc>
        <w:tc>
          <w:tcPr>
            <w:tcW w:w="183" w:type="pct"/>
            <w:shd w:val="clear" w:color="auto" w:fill="auto"/>
            <w:vAlign w:val="center"/>
          </w:tcPr>
          <w:p w14:paraId="65EB2A5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43.5</w:t>
            </w:r>
          </w:p>
        </w:tc>
        <w:tc>
          <w:tcPr>
            <w:tcW w:w="203" w:type="pct"/>
            <w:shd w:val="clear" w:color="auto" w:fill="auto"/>
            <w:vAlign w:val="center"/>
          </w:tcPr>
          <w:p w14:paraId="4F71D0C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38.5</w:t>
            </w:r>
          </w:p>
        </w:tc>
        <w:tc>
          <w:tcPr>
            <w:tcW w:w="181" w:type="pct"/>
            <w:shd w:val="clear" w:color="auto" w:fill="auto"/>
            <w:vAlign w:val="center"/>
          </w:tcPr>
          <w:p w14:paraId="17A594F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83.9</w:t>
            </w:r>
          </w:p>
        </w:tc>
        <w:tc>
          <w:tcPr>
            <w:tcW w:w="182" w:type="pct"/>
            <w:shd w:val="clear" w:color="auto" w:fill="auto"/>
            <w:vAlign w:val="center"/>
          </w:tcPr>
          <w:p w14:paraId="138B27C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83.9</w:t>
            </w:r>
          </w:p>
        </w:tc>
        <w:tc>
          <w:tcPr>
            <w:tcW w:w="181" w:type="pct"/>
            <w:shd w:val="clear" w:color="auto" w:fill="auto"/>
            <w:vAlign w:val="center"/>
          </w:tcPr>
          <w:p w14:paraId="36E4AD0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83.9</w:t>
            </w:r>
          </w:p>
        </w:tc>
        <w:tc>
          <w:tcPr>
            <w:tcW w:w="182" w:type="pct"/>
            <w:shd w:val="clear" w:color="auto" w:fill="auto"/>
            <w:vAlign w:val="center"/>
          </w:tcPr>
          <w:p w14:paraId="043C412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83.9</w:t>
            </w:r>
          </w:p>
        </w:tc>
        <w:tc>
          <w:tcPr>
            <w:tcW w:w="181" w:type="pct"/>
            <w:shd w:val="clear" w:color="auto" w:fill="auto"/>
            <w:vAlign w:val="center"/>
          </w:tcPr>
          <w:p w14:paraId="05A3D8C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13.9</w:t>
            </w:r>
          </w:p>
        </w:tc>
        <w:tc>
          <w:tcPr>
            <w:tcW w:w="182" w:type="pct"/>
            <w:shd w:val="clear" w:color="auto" w:fill="auto"/>
            <w:vAlign w:val="center"/>
          </w:tcPr>
          <w:p w14:paraId="4D7E51E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28.9</w:t>
            </w:r>
          </w:p>
        </w:tc>
        <w:tc>
          <w:tcPr>
            <w:tcW w:w="181" w:type="pct"/>
            <w:shd w:val="clear" w:color="auto" w:fill="auto"/>
            <w:vAlign w:val="center"/>
          </w:tcPr>
          <w:p w14:paraId="26E876C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78.9</w:t>
            </w:r>
          </w:p>
        </w:tc>
        <w:tc>
          <w:tcPr>
            <w:tcW w:w="182" w:type="pct"/>
            <w:shd w:val="clear" w:color="auto" w:fill="auto"/>
            <w:vAlign w:val="center"/>
          </w:tcPr>
          <w:p w14:paraId="33B8E61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78.9</w:t>
            </w:r>
          </w:p>
        </w:tc>
        <w:tc>
          <w:tcPr>
            <w:tcW w:w="181" w:type="pct"/>
            <w:shd w:val="clear" w:color="auto" w:fill="auto"/>
            <w:vAlign w:val="center"/>
          </w:tcPr>
          <w:p w14:paraId="6DC09DD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78.9</w:t>
            </w:r>
          </w:p>
        </w:tc>
        <w:tc>
          <w:tcPr>
            <w:tcW w:w="182" w:type="pct"/>
            <w:shd w:val="clear" w:color="auto" w:fill="auto"/>
            <w:vAlign w:val="center"/>
          </w:tcPr>
          <w:p w14:paraId="06688FD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78.9</w:t>
            </w:r>
          </w:p>
        </w:tc>
        <w:tc>
          <w:tcPr>
            <w:tcW w:w="181" w:type="pct"/>
            <w:shd w:val="clear" w:color="auto" w:fill="auto"/>
            <w:vAlign w:val="center"/>
          </w:tcPr>
          <w:p w14:paraId="1C157BD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8.9</w:t>
            </w:r>
          </w:p>
        </w:tc>
        <w:tc>
          <w:tcPr>
            <w:tcW w:w="182" w:type="pct"/>
            <w:shd w:val="clear" w:color="auto" w:fill="auto"/>
            <w:vAlign w:val="center"/>
          </w:tcPr>
          <w:p w14:paraId="6E22C65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23.9</w:t>
            </w:r>
          </w:p>
        </w:tc>
        <w:tc>
          <w:tcPr>
            <w:tcW w:w="808" w:type="pct"/>
            <w:shd w:val="clear" w:color="auto" w:fill="auto"/>
            <w:vAlign w:val="center"/>
          </w:tcPr>
          <w:p w14:paraId="38140F39">
            <w:pPr>
              <w:widowControl/>
              <w:rPr>
                <w:rFonts w:ascii="Times New Roman" w:hAnsi="Times New Roman" w:eastAsia="宋体" w:cs="Times New Roman"/>
                <w:kern w:val="0"/>
                <w:szCs w:val="21"/>
              </w:rPr>
            </w:pPr>
            <w:r>
              <w:rPr>
                <w:rFonts w:hint="eastAsia" w:ascii="Times New Roman" w:hAnsi="Times New Roman" w:eastAsia="宋体" w:cs="Times New Roman"/>
              </w:rPr>
              <w:t>隔声房、隔声罩等消声减振装置；</w:t>
            </w:r>
            <w:r>
              <w:rPr>
                <w:rFonts w:hint="eastAsia" w:ascii="Times New Roman" w:hAnsi="Times New Roman" w:eastAsia="宋体" w:cs="Times New Roman"/>
                <w:szCs w:val="21"/>
              </w:rPr>
              <w:t>施工场界围挡内侧加装吸声板材或加高隔声围挡（声屏障）等降噪措施；使用静力压装机等低噪声施工机械</w:t>
            </w:r>
          </w:p>
        </w:tc>
      </w:tr>
      <w:tr w14:paraId="4955743D">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96" w:type="pct"/>
            <w:shd w:val="clear" w:color="auto" w:fill="auto"/>
            <w:vAlign w:val="center"/>
          </w:tcPr>
          <w:p w14:paraId="1036DD0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w:t>
            </w:r>
          </w:p>
        </w:tc>
        <w:tc>
          <w:tcPr>
            <w:tcW w:w="336" w:type="pct"/>
            <w:shd w:val="clear" w:color="auto" w:fill="auto"/>
            <w:vAlign w:val="center"/>
          </w:tcPr>
          <w:p w14:paraId="64709AD2">
            <w:pPr>
              <w:widowControl/>
              <w:jc w:val="center"/>
              <w:rPr>
                <w:rFonts w:ascii="Times New Roman" w:hAnsi="Times New Roman" w:eastAsia="宋体" w:cs="Times New Roman"/>
                <w:kern w:val="0"/>
                <w:szCs w:val="21"/>
              </w:rPr>
            </w:pPr>
            <w:r>
              <w:rPr>
                <w:rFonts w:ascii="宋体" w:hAnsi="宋体" w:eastAsia="宋体" w:cs="Times New Roman"/>
                <w:kern w:val="0"/>
                <w:szCs w:val="21"/>
              </w:rPr>
              <w:t>英兰干村</w:t>
            </w:r>
          </w:p>
        </w:tc>
        <w:tc>
          <w:tcPr>
            <w:tcW w:w="201" w:type="pct"/>
            <w:shd w:val="clear" w:color="auto" w:fill="auto"/>
            <w:vAlign w:val="center"/>
          </w:tcPr>
          <w:p w14:paraId="28899398">
            <w:pPr>
              <w:widowControl/>
              <w:jc w:val="center"/>
              <w:rPr>
                <w:rFonts w:ascii="Times New Roman" w:hAnsi="Times New Roman" w:eastAsia="宋体" w:cs="Times New Roman"/>
                <w:kern w:val="0"/>
                <w:szCs w:val="21"/>
              </w:rPr>
            </w:pPr>
            <w:r>
              <w:rPr>
                <w:rFonts w:ascii="宋体" w:hAnsi="宋体" w:eastAsia="宋体" w:cs="Times New Roman"/>
                <w:kern w:val="0"/>
                <w:szCs w:val="21"/>
              </w:rPr>
              <w:t>路基</w:t>
            </w:r>
          </w:p>
        </w:tc>
        <w:tc>
          <w:tcPr>
            <w:tcW w:w="205" w:type="pct"/>
            <w:shd w:val="clear" w:color="auto" w:fill="auto"/>
            <w:vAlign w:val="center"/>
          </w:tcPr>
          <w:p w14:paraId="26B43AE6">
            <w:pPr>
              <w:widowControl/>
              <w:jc w:val="center"/>
              <w:rPr>
                <w:rFonts w:ascii="Times New Roman" w:hAnsi="Times New Roman" w:eastAsia="宋体" w:cs="Times New Roman"/>
                <w:kern w:val="0"/>
                <w:szCs w:val="21"/>
              </w:rPr>
            </w:pPr>
            <w:r>
              <w:rPr>
                <w:rFonts w:ascii="宋体" w:hAnsi="宋体" w:eastAsia="宋体" w:cs="Times New Roman"/>
                <w:kern w:val="0"/>
                <w:szCs w:val="21"/>
              </w:rPr>
              <w:t>两侧</w:t>
            </w:r>
          </w:p>
        </w:tc>
        <w:tc>
          <w:tcPr>
            <w:tcW w:w="312" w:type="pct"/>
            <w:shd w:val="clear" w:color="auto" w:fill="auto"/>
            <w:vAlign w:val="center"/>
          </w:tcPr>
          <w:p w14:paraId="543CB49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w:t>
            </w:r>
          </w:p>
        </w:tc>
        <w:tc>
          <w:tcPr>
            <w:tcW w:w="180" w:type="pct"/>
            <w:shd w:val="clear" w:color="auto" w:fill="auto"/>
            <w:vAlign w:val="center"/>
          </w:tcPr>
          <w:p w14:paraId="06C8959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70</w:t>
            </w:r>
          </w:p>
        </w:tc>
        <w:tc>
          <w:tcPr>
            <w:tcW w:w="198" w:type="pct"/>
            <w:shd w:val="clear" w:color="auto" w:fill="auto"/>
            <w:vAlign w:val="center"/>
          </w:tcPr>
          <w:p w14:paraId="2FFF354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55</w:t>
            </w:r>
          </w:p>
        </w:tc>
        <w:tc>
          <w:tcPr>
            <w:tcW w:w="183" w:type="pct"/>
            <w:shd w:val="clear" w:color="auto" w:fill="auto"/>
            <w:vAlign w:val="center"/>
          </w:tcPr>
          <w:p w14:paraId="4A9D7F2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43.5</w:t>
            </w:r>
          </w:p>
        </w:tc>
        <w:tc>
          <w:tcPr>
            <w:tcW w:w="203" w:type="pct"/>
            <w:shd w:val="clear" w:color="auto" w:fill="auto"/>
            <w:vAlign w:val="center"/>
          </w:tcPr>
          <w:p w14:paraId="0C8ABDB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38.5</w:t>
            </w:r>
          </w:p>
        </w:tc>
        <w:tc>
          <w:tcPr>
            <w:tcW w:w="181" w:type="pct"/>
            <w:shd w:val="clear" w:color="auto" w:fill="auto"/>
            <w:vAlign w:val="center"/>
          </w:tcPr>
          <w:p w14:paraId="16A1A5F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86.2</w:t>
            </w:r>
          </w:p>
        </w:tc>
        <w:tc>
          <w:tcPr>
            <w:tcW w:w="182" w:type="pct"/>
            <w:shd w:val="clear" w:color="auto" w:fill="auto"/>
            <w:vAlign w:val="center"/>
          </w:tcPr>
          <w:p w14:paraId="7C9595D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86.2</w:t>
            </w:r>
          </w:p>
        </w:tc>
        <w:tc>
          <w:tcPr>
            <w:tcW w:w="181" w:type="pct"/>
            <w:shd w:val="clear" w:color="auto" w:fill="auto"/>
            <w:vAlign w:val="center"/>
          </w:tcPr>
          <w:p w14:paraId="470BF5E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86.2</w:t>
            </w:r>
          </w:p>
        </w:tc>
        <w:tc>
          <w:tcPr>
            <w:tcW w:w="182" w:type="pct"/>
            <w:shd w:val="clear" w:color="auto" w:fill="auto"/>
            <w:vAlign w:val="center"/>
          </w:tcPr>
          <w:p w14:paraId="0E95B38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86.2</w:t>
            </w:r>
          </w:p>
        </w:tc>
        <w:tc>
          <w:tcPr>
            <w:tcW w:w="181" w:type="pct"/>
            <w:shd w:val="clear" w:color="auto" w:fill="auto"/>
            <w:vAlign w:val="center"/>
          </w:tcPr>
          <w:p w14:paraId="7351BC9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16.2</w:t>
            </w:r>
          </w:p>
        </w:tc>
        <w:tc>
          <w:tcPr>
            <w:tcW w:w="182" w:type="pct"/>
            <w:shd w:val="clear" w:color="auto" w:fill="auto"/>
            <w:vAlign w:val="center"/>
          </w:tcPr>
          <w:p w14:paraId="00CCADA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31.2</w:t>
            </w:r>
          </w:p>
        </w:tc>
        <w:tc>
          <w:tcPr>
            <w:tcW w:w="181" w:type="pct"/>
            <w:shd w:val="clear" w:color="auto" w:fill="auto"/>
            <w:vAlign w:val="center"/>
          </w:tcPr>
          <w:p w14:paraId="766A186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81.2</w:t>
            </w:r>
          </w:p>
        </w:tc>
        <w:tc>
          <w:tcPr>
            <w:tcW w:w="182" w:type="pct"/>
            <w:shd w:val="clear" w:color="auto" w:fill="auto"/>
            <w:vAlign w:val="center"/>
          </w:tcPr>
          <w:p w14:paraId="79D41AA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81.2</w:t>
            </w:r>
          </w:p>
        </w:tc>
        <w:tc>
          <w:tcPr>
            <w:tcW w:w="181" w:type="pct"/>
            <w:shd w:val="clear" w:color="auto" w:fill="auto"/>
            <w:vAlign w:val="center"/>
          </w:tcPr>
          <w:p w14:paraId="06FCCBF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81.2</w:t>
            </w:r>
          </w:p>
        </w:tc>
        <w:tc>
          <w:tcPr>
            <w:tcW w:w="182" w:type="pct"/>
            <w:shd w:val="clear" w:color="auto" w:fill="auto"/>
            <w:vAlign w:val="center"/>
          </w:tcPr>
          <w:p w14:paraId="4CC7A21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81.2</w:t>
            </w:r>
          </w:p>
        </w:tc>
        <w:tc>
          <w:tcPr>
            <w:tcW w:w="181" w:type="pct"/>
            <w:shd w:val="clear" w:color="auto" w:fill="auto"/>
            <w:vAlign w:val="center"/>
          </w:tcPr>
          <w:p w14:paraId="72D3BEE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11.2</w:t>
            </w:r>
          </w:p>
        </w:tc>
        <w:tc>
          <w:tcPr>
            <w:tcW w:w="182" w:type="pct"/>
            <w:shd w:val="clear" w:color="auto" w:fill="auto"/>
            <w:vAlign w:val="center"/>
          </w:tcPr>
          <w:p w14:paraId="445C14C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26.2</w:t>
            </w:r>
          </w:p>
        </w:tc>
        <w:tc>
          <w:tcPr>
            <w:tcW w:w="808" w:type="pct"/>
            <w:shd w:val="clear" w:color="auto" w:fill="auto"/>
            <w:vAlign w:val="center"/>
          </w:tcPr>
          <w:p w14:paraId="6C74DF8F">
            <w:pPr>
              <w:widowControl/>
              <w:rPr>
                <w:rFonts w:ascii="Times New Roman" w:hAnsi="Times New Roman" w:eastAsia="宋体" w:cs="Times New Roman"/>
                <w:kern w:val="0"/>
                <w:szCs w:val="21"/>
              </w:rPr>
            </w:pPr>
            <w:r>
              <w:rPr>
                <w:rFonts w:hint="eastAsia" w:ascii="Times New Roman" w:hAnsi="Times New Roman" w:eastAsia="宋体" w:cs="Times New Roman"/>
              </w:rPr>
              <w:t>隔声房、隔声罩等消声减振装置；</w:t>
            </w:r>
            <w:r>
              <w:rPr>
                <w:rFonts w:hint="eastAsia" w:ascii="Times New Roman" w:hAnsi="Times New Roman" w:eastAsia="宋体" w:cs="Times New Roman"/>
                <w:szCs w:val="21"/>
              </w:rPr>
              <w:t>施工场界围挡内侧加装吸声板材或加高隔声围挡（声屏障）等降噪措施；使用静力压装机等低噪声施工机械</w:t>
            </w:r>
          </w:p>
        </w:tc>
      </w:tr>
      <w:tr w14:paraId="3CE1D550">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96" w:type="pct"/>
            <w:shd w:val="clear" w:color="auto" w:fill="auto"/>
            <w:vAlign w:val="center"/>
          </w:tcPr>
          <w:p w14:paraId="73B5830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w:t>
            </w:r>
          </w:p>
        </w:tc>
        <w:tc>
          <w:tcPr>
            <w:tcW w:w="336" w:type="pct"/>
            <w:shd w:val="clear" w:color="auto" w:fill="auto"/>
            <w:vAlign w:val="center"/>
          </w:tcPr>
          <w:p w14:paraId="7F711F5E">
            <w:pPr>
              <w:widowControl/>
              <w:jc w:val="center"/>
              <w:rPr>
                <w:rFonts w:ascii="Times New Roman" w:hAnsi="Times New Roman" w:eastAsia="宋体" w:cs="Times New Roman"/>
                <w:kern w:val="0"/>
                <w:szCs w:val="21"/>
              </w:rPr>
            </w:pPr>
            <w:r>
              <w:rPr>
                <w:rFonts w:ascii="宋体" w:hAnsi="宋体" w:eastAsia="宋体" w:cs="Times New Roman"/>
                <w:kern w:val="0"/>
                <w:szCs w:val="21"/>
              </w:rPr>
              <w:t>英兰干村幼儿园</w:t>
            </w:r>
          </w:p>
        </w:tc>
        <w:tc>
          <w:tcPr>
            <w:tcW w:w="201" w:type="pct"/>
            <w:shd w:val="clear" w:color="auto" w:fill="auto"/>
            <w:vAlign w:val="center"/>
          </w:tcPr>
          <w:p w14:paraId="187A220C">
            <w:pPr>
              <w:widowControl/>
              <w:jc w:val="center"/>
              <w:rPr>
                <w:rFonts w:ascii="Times New Roman" w:hAnsi="Times New Roman" w:eastAsia="宋体" w:cs="Times New Roman"/>
                <w:kern w:val="0"/>
                <w:szCs w:val="21"/>
              </w:rPr>
            </w:pPr>
            <w:r>
              <w:rPr>
                <w:rFonts w:ascii="宋体" w:hAnsi="宋体" w:eastAsia="宋体" w:cs="Times New Roman"/>
                <w:kern w:val="0"/>
                <w:szCs w:val="21"/>
              </w:rPr>
              <w:t>路基</w:t>
            </w:r>
          </w:p>
        </w:tc>
        <w:tc>
          <w:tcPr>
            <w:tcW w:w="205" w:type="pct"/>
            <w:shd w:val="clear" w:color="auto" w:fill="auto"/>
            <w:vAlign w:val="center"/>
          </w:tcPr>
          <w:p w14:paraId="025652B5">
            <w:pPr>
              <w:widowControl/>
              <w:jc w:val="center"/>
              <w:rPr>
                <w:rFonts w:ascii="Times New Roman" w:hAnsi="Times New Roman" w:eastAsia="宋体" w:cs="Times New Roman"/>
                <w:kern w:val="0"/>
                <w:szCs w:val="21"/>
              </w:rPr>
            </w:pPr>
            <w:r>
              <w:rPr>
                <w:rFonts w:ascii="宋体" w:hAnsi="宋体" w:eastAsia="宋体" w:cs="Times New Roman"/>
                <w:kern w:val="0"/>
                <w:szCs w:val="21"/>
              </w:rPr>
              <w:t>路左</w:t>
            </w:r>
          </w:p>
        </w:tc>
        <w:tc>
          <w:tcPr>
            <w:tcW w:w="312" w:type="pct"/>
            <w:shd w:val="clear" w:color="auto" w:fill="auto"/>
            <w:vAlign w:val="center"/>
          </w:tcPr>
          <w:p w14:paraId="23DB06B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54</w:t>
            </w:r>
          </w:p>
        </w:tc>
        <w:tc>
          <w:tcPr>
            <w:tcW w:w="180" w:type="pct"/>
            <w:shd w:val="clear" w:color="auto" w:fill="auto"/>
            <w:vAlign w:val="center"/>
          </w:tcPr>
          <w:p w14:paraId="1E2404B6">
            <w:pPr>
              <w:widowControl/>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60</w:t>
            </w:r>
          </w:p>
        </w:tc>
        <w:tc>
          <w:tcPr>
            <w:tcW w:w="198" w:type="pct"/>
            <w:shd w:val="clear" w:color="auto" w:fill="auto"/>
            <w:vAlign w:val="center"/>
          </w:tcPr>
          <w:p w14:paraId="46C88F61">
            <w:pPr>
              <w:widowControl/>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50</w:t>
            </w:r>
          </w:p>
        </w:tc>
        <w:tc>
          <w:tcPr>
            <w:tcW w:w="183" w:type="pct"/>
            <w:shd w:val="clear" w:color="auto" w:fill="auto"/>
            <w:vAlign w:val="center"/>
          </w:tcPr>
          <w:p w14:paraId="50CA210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43.5</w:t>
            </w:r>
          </w:p>
        </w:tc>
        <w:tc>
          <w:tcPr>
            <w:tcW w:w="203" w:type="pct"/>
            <w:shd w:val="clear" w:color="auto" w:fill="auto"/>
            <w:vAlign w:val="center"/>
          </w:tcPr>
          <w:p w14:paraId="5E8FCC1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38.5</w:t>
            </w:r>
          </w:p>
        </w:tc>
        <w:tc>
          <w:tcPr>
            <w:tcW w:w="181" w:type="pct"/>
            <w:shd w:val="clear" w:color="auto" w:fill="auto"/>
            <w:vAlign w:val="center"/>
          </w:tcPr>
          <w:p w14:paraId="15B5E5A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74.2</w:t>
            </w:r>
          </w:p>
        </w:tc>
        <w:tc>
          <w:tcPr>
            <w:tcW w:w="182" w:type="pct"/>
            <w:shd w:val="clear" w:color="auto" w:fill="auto"/>
            <w:vAlign w:val="center"/>
          </w:tcPr>
          <w:p w14:paraId="555EA94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74.2</w:t>
            </w:r>
          </w:p>
        </w:tc>
        <w:tc>
          <w:tcPr>
            <w:tcW w:w="181" w:type="pct"/>
            <w:shd w:val="clear" w:color="auto" w:fill="auto"/>
            <w:vAlign w:val="center"/>
          </w:tcPr>
          <w:p w14:paraId="111838A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74.2</w:t>
            </w:r>
          </w:p>
        </w:tc>
        <w:tc>
          <w:tcPr>
            <w:tcW w:w="182" w:type="pct"/>
            <w:shd w:val="clear" w:color="auto" w:fill="auto"/>
            <w:vAlign w:val="center"/>
          </w:tcPr>
          <w:p w14:paraId="6EC68AD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74.2</w:t>
            </w:r>
          </w:p>
        </w:tc>
        <w:tc>
          <w:tcPr>
            <w:tcW w:w="181" w:type="pct"/>
            <w:shd w:val="clear" w:color="auto" w:fill="auto"/>
            <w:vAlign w:val="center"/>
          </w:tcPr>
          <w:p w14:paraId="420753E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14.2</w:t>
            </w:r>
          </w:p>
        </w:tc>
        <w:tc>
          <w:tcPr>
            <w:tcW w:w="182" w:type="pct"/>
            <w:shd w:val="clear" w:color="auto" w:fill="auto"/>
            <w:vAlign w:val="center"/>
          </w:tcPr>
          <w:p w14:paraId="741BE82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24.2</w:t>
            </w:r>
          </w:p>
        </w:tc>
        <w:tc>
          <w:tcPr>
            <w:tcW w:w="181" w:type="pct"/>
            <w:shd w:val="clear" w:color="auto" w:fill="auto"/>
            <w:vAlign w:val="center"/>
          </w:tcPr>
          <w:p w14:paraId="78887A8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69.2</w:t>
            </w:r>
          </w:p>
        </w:tc>
        <w:tc>
          <w:tcPr>
            <w:tcW w:w="182" w:type="pct"/>
            <w:shd w:val="clear" w:color="auto" w:fill="auto"/>
            <w:vAlign w:val="center"/>
          </w:tcPr>
          <w:p w14:paraId="6E11F52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69.2</w:t>
            </w:r>
          </w:p>
        </w:tc>
        <w:tc>
          <w:tcPr>
            <w:tcW w:w="181" w:type="pct"/>
            <w:shd w:val="clear" w:color="auto" w:fill="auto"/>
            <w:vAlign w:val="center"/>
          </w:tcPr>
          <w:p w14:paraId="5FE7A40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69.2</w:t>
            </w:r>
          </w:p>
        </w:tc>
        <w:tc>
          <w:tcPr>
            <w:tcW w:w="182" w:type="pct"/>
            <w:shd w:val="clear" w:color="auto" w:fill="auto"/>
            <w:vAlign w:val="center"/>
          </w:tcPr>
          <w:p w14:paraId="6F21940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69.2</w:t>
            </w:r>
          </w:p>
        </w:tc>
        <w:tc>
          <w:tcPr>
            <w:tcW w:w="181" w:type="pct"/>
            <w:shd w:val="clear" w:color="auto" w:fill="auto"/>
            <w:vAlign w:val="center"/>
          </w:tcPr>
          <w:p w14:paraId="6B08836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9.2</w:t>
            </w:r>
          </w:p>
        </w:tc>
        <w:tc>
          <w:tcPr>
            <w:tcW w:w="182" w:type="pct"/>
            <w:shd w:val="clear" w:color="auto" w:fill="auto"/>
            <w:vAlign w:val="center"/>
          </w:tcPr>
          <w:p w14:paraId="16675A9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19.2</w:t>
            </w:r>
          </w:p>
        </w:tc>
        <w:tc>
          <w:tcPr>
            <w:tcW w:w="808" w:type="pct"/>
            <w:shd w:val="clear" w:color="auto" w:fill="auto"/>
            <w:vAlign w:val="center"/>
          </w:tcPr>
          <w:p w14:paraId="6BB74094">
            <w:pPr>
              <w:widowControl/>
              <w:rPr>
                <w:rFonts w:ascii="Times New Roman" w:hAnsi="Times New Roman" w:eastAsia="宋体" w:cs="Times New Roman"/>
                <w:kern w:val="0"/>
                <w:szCs w:val="21"/>
              </w:rPr>
            </w:pPr>
            <w:r>
              <w:rPr>
                <w:rFonts w:hint="eastAsia" w:ascii="Times New Roman" w:hAnsi="Times New Roman" w:eastAsia="宋体" w:cs="Times New Roman"/>
              </w:rPr>
              <w:t>隔声房、隔声罩等消声减振装置、施工围挡；使用静力式压路机等低噪声施工机械</w:t>
            </w:r>
          </w:p>
        </w:tc>
      </w:tr>
      <w:tr w14:paraId="0D4DCB97">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96" w:type="pct"/>
            <w:shd w:val="clear" w:color="auto" w:fill="auto"/>
            <w:vAlign w:val="center"/>
          </w:tcPr>
          <w:p w14:paraId="312631E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w:t>
            </w:r>
          </w:p>
        </w:tc>
        <w:tc>
          <w:tcPr>
            <w:tcW w:w="336" w:type="pct"/>
            <w:shd w:val="clear" w:color="auto" w:fill="auto"/>
            <w:vAlign w:val="center"/>
          </w:tcPr>
          <w:p w14:paraId="48E4CB07">
            <w:pPr>
              <w:widowControl/>
              <w:jc w:val="center"/>
              <w:rPr>
                <w:rFonts w:ascii="Times New Roman" w:hAnsi="Times New Roman" w:eastAsia="宋体" w:cs="Times New Roman"/>
                <w:kern w:val="0"/>
                <w:szCs w:val="21"/>
              </w:rPr>
            </w:pPr>
            <w:r>
              <w:rPr>
                <w:rFonts w:ascii="宋体" w:hAnsi="宋体" w:eastAsia="宋体" w:cs="Times New Roman"/>
                <w:kern w:val="0"/>
                <w:szCs w:val="21"/>
              </w:rPr>
              <w:t>勒格里地玛央艾日克村</w:t>
            </w:r>
          </w:p>
        </w:tc>
        <w:tc>
          <w:tcPr>
            <w:tcW w:w="201" w:type="pct"/>
            <w:shd w:val="clear" w:color="auto" w:fill="auto"/>
            <w:vAlign w:val="center"/>
          </w:tcPr>
          <w:p w14:paraId="2CF8EB5B">
            <w:pPr>
              <w:widowControl/>
              <w:jc w:val="center"/>
              <w:rPr>
                <w:rFonts w:ascii="Times New Roman" w:hAnsi="Times New Roman" w:eastAsia="宋体" w:cs="Times New Roman"/>
                <w:kern w:val="0"/>
                <w:szCs w:val="21"/>
              </w:rPr>
            </w:pPr>
            <w:r>
              <w:rPr>
                <w:rFonts w:ascii="宋体" w:hAnsi="宋体" w:eastAsia="宋体" w:cs="Times New Roman"/>
                <w:kern w:val="0"/>
                <w:szCs w:val="21"/>
              </w:rPr>
              <w:t>路基</w:t>
            </w:r>
          </w:p>
        </w:tc>
        <w:tc>
          <w:tcPr>
            <w:tcW w:w="205" w:type="pct"/>
            <w:shd w:val="clear" w:color="auto" w:fill="auto"/>
            <w:vAlign w:val="center"/>
          </w:tcPr>
          <w:p w14:paraId="272EBB82">
            <w:pPr>
              <w:widowControl/>
              <w:jc w:val="center"/>
              <w:rPr>
                <w:rFonts w:ascii="Times New Roman" w:hAnsi="Times New Roman" w:eastAsia="宋体" w:cs="Times New Roman"/>
                <w:kern w:val="0"/>
                <w:szCs w:val="21"/>
              </w:rPr>
            </w:pPr>
            <w:r>
              <w:rPr>
                <w:rFonts w:ascii="宋体" w:hAnsi="宋体" w:eastAsia="宋体" w:cs="Times New Roman"/>
                <w:kern w:val="0"/>
                <w:szCs w:val="21"/>
              </w:rPr>
              <w:t>两侧</w:t>
            </w:r>
          </w:p>
        </w:tc>
        <w:tc>
          <w:tcPr>
            <w:tcW w:w="312" w:type="pct"/>
            <w:shd w:val="clear" w:color="auto" w:fill="auto"/>
            <w:vAlign w:val="center"/>
          </w:tcPr>
          <w:p w14:paraId="23CAD2F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3.5</w:t>
            </w:r>
          </w:p>
        </w:tc>
        <w:tc>
          <w:tcPr>
            <w:tcW w:w="180" w:type="pct"/>
            <w:shd w:val="clear" w:color="auto" w:fill="auto"/>
            <w:vAlign w:val="center"/>
          </w:tcPr>
          <w:p w14:paraId="31BBC60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70</w:t>
            </w:r>
          </w:p>
        </w:tc>
        <w:tc>
          <w:tcPr>
            <w:tcW w:w="198" w:type="pct"/>
            <w:shd w:val="clear" w:color="auto" w:fill="auto"/>
            <w:vAlign w:val="center"/>
          </w:tcPr>
          <w:p w14:paraId="4D4D4C7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55</w:t>
            </w:r>
          </w:p>
        </w:tc>
        <w:tc>
          <w:tcPr>
            <w:tcW w:w="183" w:type="pct"/>
            <w:shd w:val="clear" w:color="auto" w:fill="auto"/>
            <w:vAlign w:val="center"/>
          </w:tcPr>
          <w:p w14:paraId="29D6604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44.0</w:t>
            </w:r>
          </w:p>
        </w:tc>
        <w:tc>
          <w:tcPr>
            <w:tcW w:w="203" w:type="pct"/>
            <w:shd w:val="clear" w:color="auto" w:fill="auto"/>
            <w:vAlign w:val="center"/>
          </w:tcPr>
          <w:p w14:paraId="25ED1F8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37.5</w:t>
            </w:r>
          </w:p>
        </w:tc>
        <w:tc>
          <w:tcPr>
            <w:tcW w:w="181" w:type="pct"/>
            <w:shd w:val="clear" w:color="auto" w:fill="auto"/>
            <w:vAlign w:val="center"/>
          </w:tcPr>
          <w:p w14:paraId="2771EE3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86.4</w:t>
            </w:r>
          </w:p>
        </w:tc>
        <w:tc>
          <w:tcPr>
            <w:tcW w:w="182" w:type="pct"/>
            <w:shd w:val="clear" w:color="auto" w:fill="auto"/>
            <w:vAlign w:val="center"/>
          </w:tcPr>
          <w:p w14:paraId="0036282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86.4</w:t>
            </w:r>
          </w:p>
        </w:tc>
        <w:tc>
          <w:tcPr>
            <w:tcW w:w="181" w:type="pct"/>
            <w:shd w:val="clear" w:color="auto" w:fill="auto"/>
            <w:vAlign w:val="center"/>
          </w:tcPr>
          <w:p w14:paraId="7ECFEB5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86.4</w:t>
            </w:r>
          </w:p>
        </w:tc>
        <w:tc>
          <w:tcPr>
            <w:tcW w:w="182" w:type="pct"/>
            <w:shd w:val="clear" w:color="auto" w:fill="auto"/>
            <w:vAlign w:val="center"/>
          </w:tcPr>
          <w:p w14:paraId="329913F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86.4</w:t>
            </w:r>
          </w:p>
        </w:tc>
        <w:tc>
          <w:tcPr>
            <w:tcW w:w="181" w:type="pct"/>
            <w:shd w:val="clear" w:color="auto" w:fill="auto"/>
            <w:vAlign w:val="center"/>
          </w:tcPr>
          <w:p w14:paraId="4EC3EAA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16.4</w:t>
            </w:r>
          </w:p>
        </w:tc>
        <w:tc>
          <w:tcPr>
            <w:tcW w:w="182" w:type="pct"/>
            <w:shd w:val="clear" w:color="auto" w:fill="auto"/>
            <w:vAlign w:val="center"/>
          </w:tcPr>
          <w:p w14:paraId="4C2284A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31.4</w:t>
            </w:r>
          </w:p>
        </w:tc>
        <w:tc>
          <w:tcPr>
            <w:tcW w:w="181" w:type="pct"/>
            <w:shd w:val="clear" w:color="auto" w:fill="auto"/>
            <w:vAlign w:val="center"/>
          </w:tcPr>
          <w:p w14:paraId="7EBA85D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81.5</w:t>
            </w:r>
          </w:p>
        </w:tc>
        <w:tc>
          <w:tcPr>
            <w:tcW w:w="182" w:type="pct"/>
            <w:shd w:val="clear" w:color="auto" w:fill="auto"/>
            <w:vAlign w:val="center"/>
          </w:tcPr>
          <w:p w14:paraId="56CD5AF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81.5</w:t>
            </w:r>
          </w:p>
        </w:tc>
        <w:tc>
          <w:tcPr>
            <w:tcW w:w="181" w:type="pct"/>
            <w:shd w:val="clear" w:color="auto" w:fill="auto"/>
            <w:vAlign w:val="center"/>
          </w:tcPr>
          <w:p w14:paraId="0DF222F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81.5</w:t>
            </w:r>
          </w:p>
        </w:tc>
        <w:tc>
          <w:tcPr>
            <w:tcW w:w="182" w:type="pct"/>
            <w:shd w:val="clear" w:color="auto" w:fill="auto"/>
            <w:vAlign w:val="center"/>
          </w:tcPr>
          <w:p w14:paraId="785EF58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81.5</w:t>
            </w:r>
          </w:p>
        </w:tc>
        <w:tc>
          <w:tcPr>
            <w:tcW w:w="181" w:type="pct"/>
            <w:shd w:val="clear" w:color="auto" w:fill="auto"/>
            <w:vAlign w:val="center"/>
          </w:tcPr>
          <w:p w14:paraId="6BC7E94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11.5</w:t>
            </w:r>
          </w:p>
        </w:tc>
        <w:tc>
          <w:tcPr>
            <w:tcW w:w="182" w:type="pct"/>
            <w:shd w:val="clear" w:color="auto" w:fill="auto"/>
            <w:vAlign w:val="center"/>
          </w:tcPr>
          <w:p w14:paraId="3C76FC7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26.5</w:t>
            </w:r>
          </w:p>
        </w:tc>
        <w:tc>
          <w:tcPr>
            <w:tcW w:w="808" w:type="pct"/>
            <w:shd w:val="clear" w:color="auto" w:fill="auto"/>
            <w:vAlign w:val="center"/>
          </w:tcPr>
          <w:p w14:paraId="71DB5282">
            <w:pPr>
              <w:widowControl/>
              <w:rPr>
                <w:rFonts w:ascii="Times New Roman" w:hAnsi="Times New Roman" w:eastAsia="宋体" w:cs="Times New Roman"/>
                <w:kern w:val="0"/>
                <w:szCs w:val="21"/>
              </w:rPr>
            </w:pPr>
            <w:r>
              <w:rPr>
                <w:rFonts w:hint="eastAsia" w:ascii="Times New Roman" w:hAnsi="Times New Roman" w:eastAsia="宋体" w:cs="Times New Roman"/>
              </w:rPr>
              <w:t>隔声房、隔声罩等消声减振装置；</w:t>
            </w:r>
            <w:r>
              <w:rPr>
                <w:rFonts w:hint="eastAsia" w:ascii="Times New Roman" w:hAnsi="Times New Roman" w:eastAsia="宋体" w:cs="Times New Roman"/>
                <w:szCs w:val="21"/>
              </w:rPr>
              <w:t>施工场界围挡内侧加装吸声板材或加高隔声围挡（声屏障）等降噪措施；使用静力压装机等低噪声施工机械</w:t>
            </w:r>
          </w:p>
        </w:tc>
      </w:tr>
    </w:tbl>
    <w:p w14:paraId="413EF6E8">
      <w:pPr>
        <w:rPr>
          <w:rFonts w:ascii="Times New Roman" w:hAnsi="Times New Roman" w:eastAsia="宋体" w:cs="Times New Roman"/>
        </w:rPr>
      </w:pPr>
    </w:p>
    <w:p w14:paraId="756CEE28">
      <w:pPr>
        <w:sectPr>
          <w:footerReference r:id="rId61" w:type="default"/>
          <w:footerReference r:id="rId62" w:type="even"/>
          <w:pgSz w:w="23814" w:h="16840" w:orient="landscape"/>
          <w:pgMar w:top="1701" w:right="1701" w:bottom="1701" w:left="1701" w:header="1134" w:footer="1134" w:gutter="0"/>
          <w:pgBorders>
            <w:top w:val="none" w:sz="0" w:space="0"/>
            <w:left w:val="none" w:sz="0" w:space="0"/>
            <w:bottom w:val="none" w:sz="0" w:space="0"/>
            <w:right w:val="none" w:sz="0" w:space="0"/>
          </w:pgBorders>
          <w:cols w:space="720" w:num="1"/>
          <w:docGrid w:linePitch="312" w:charSpace="0"/>
        </w:sectPr>
      </w:pPr>
    </w:p>
    <w:p w14:paraId="581DE400">
      <w:pPr>
        <w:spacing w:beforeLines="50"/>
        <w:jc w:val="center"/>
        <w:rPr>
          <w:rFonts w:ascii="Times New Roman" w:hAnsi="Times New Roman" w:eastAsia="宋体" w:cs="Times New Roman"/>
          <w:b/>
          <w:szCs w:val="21"/>
        </w:rPr>
      </w:pPr>
      <w:r>
        <w:rPr>
          <w:rFonts w:ascii="Times New Roman" w:hAnsi="Times New Roman" w:eastAsia="宋体" w:cs="Times New Roman"/>
          <w:b/>
          <w:bCs/>
          <w:szCs w:val="21"/>
        </w:rPr>
        <w:t>续</w:t>
      </w:r>
      <w:r>
        <w:rPr>
          <w:rFonts w:hint="eastAsia" w:ascii="Times New Roman" w:hAnsi="Times New Roman" w:eastAsia="宋体" w:cs="Times New Roman"/>
          <w:b/>
          <w:bCs/>
          <w:szCs w:val="21"/>
        </w:rPr>
        <w:t xml:space="preserve"> </w:t>
      </w:r>
      <w:r>
        <w:rPr>
          <w:rFonts w:ascii="Times New Roman" w:hAnsi="Times New Roman" w:eastAsia="宋体" w:cs="Times New Roman"/>
          <w:b/>
          <w:bCs/>
          <w:szCs w:val="21"/>
        </w:rPr>
        <w:t>表</w:t>
      </w:r>
      <w:r>
        <w:rPr>
          <w:rFonts w:hint="eastAsia" w:ascii="Times New Roman" w:hAnsi="Times New Roman" w:eastAsia="宋体" w:cs="Times New Roman"/>
          <w:b/>
          <w:bCs/>
          <w:szCs w:val="21"/>
        </w:rPr>
        <w:t>4.1</w:t>
      </w:r>
      <w:r>
        <w:rPr>
          <w:rFonts w:ascii="Times New Roman" w:hAnsi="Times New Roman" w:eastAsia="宋体" w:cs="Times New Roman"/>
          <w:b/>
          <w:bCs/>
          <w:szCs w:val="21"/>
        </w:rPr>
        <w:t>-4  拟建公路施工期沿线各声环境保护目标施工厂界噪声预测结果  单位：</w:t>
      </w:r>
      <w:r>
        <w:rPr>
          <w:rFonts w:ascii="Times New Roman" w:hAnsi="Times New Roman" w:eastAsia="宋体" w:cs="Times New Roman"/>
          <w:b/>
          <w:szCs w:val="21"/>
        </w:rPr>
        <w:t>dB(A)</w:t>
      </w:r>
    </w:p>
    <w:tbl>
      <w:tblPr>
        <w:tblStyle w:val="22"/>
        <w:tblW w:w="5000" w:type="pct"/>
        <w:jc w:val="center"/>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808"/>
        <w:gridCol w:w="1385"/>
        <w:gridCol w:w="829"/>
        <w:gridCol w:w="846"/>
        <w:gridCol w:w="1287"/>
        <w:gridCol w:w="743"/>
        <w:gridCol w:w="817"/>
        <w:gridCol w:w="755"/>
        <w:gridCol w:w="837"/>
        <w:gridCol w:w="747"/>
        <w:gridCol w:w="751"/>
        <w:gridCol w:w="747"/>
        <w:gridCol w:w="751"/>
        <w:gridCol w:w="747"/>
        <w:gridCol w:w="751"/>
        <w:gridCol w:w="747"/>
        <w:gridCol w:w="751"/>
        <w:gridCol w:w="747"/>
        <w:gridCol w:w="751"/>
        <w:gridCol w:w="747"/>
        <w:gridCol w:w="751"/>
        <w:gridCol w:w="3333"/>
      </w:tblGrid>
      <w:tr w14:paraId="0285DB44">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96" w:type="pct"/>
            <w:vMerge w:val="restart"/>
            <w:shd w:val="clear" w:color="auto" w:fill="auto"/>
            <w:vAlign w:val="center"/>
          </w:tcPr>
          <w:p w14:paraId="158D4BB8">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序号</w:t>
            </w:r>
          </w:p>
        </w:tc>
        <w:tc>
          <w:tcPr>
            <w:tcW w:w="336" w:type="pct"/>
            <w:vMerge w:val="restart"/>
            <w:shd w:val="clear" w:color="auto" w:fill="auto"/>
            <w:vAlign w:val="center"/>
          </w:tcPr>
          <w:p w14:paraId="35E7C10D">
            <w:pPr>
              <w:widowControl/>
              <w:jc w:val="center"/>
              <w:rPr>
                <w:rFonts w:ascii="Times New Roman" w:hAnsi="Times New Roman" w:eastAsia="宋体" w:cs="Times New Roman"/>
                <w:b/>
                <w:spacing w:val="-16"/>
                <w:kern w:val="0"/>
                <w:szCs w:val="21"/>
              </w:rPr>
            </w:pPr>
            <w:r>
              <w:rPr>
                <w:rFonts w:hint="eastAsia" w:ascii="宋体" w:hAnsi="宋体" w:eastAsia="宋体" w:cs="Times New Roman"/>
                <w:b/>
                <w:spacing w:val="-16"/>
                <w:kern w:val="0"/>
                <w:szCs w:val="21"/>
              </w:rPr>
              <w:t>声环境保护目标名称</w:t>
            </w:r>
          </w:p>
        </w:tc>
        <w:tc>
          <w:tcPr>
            <w:tcW w:w="201" w:type="pct"/>
            <w:vMerge w:val="restart"/>
            <w:shd w:val="clear" w:color="auto" w:fill="auto"/>
            <w:vAlign w:val="center"/>
          </w:tcPr>
          <w:p w14:paraId="181BBD5E">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工程形式</w:t>
            </w:r>
          </w:p>
        </w:tc>
        <w:tc>
          <w:tcPr>
            <w:tcW w:w="205" w:type="pct"/>
            <w:vMerge w:val="restart"/>
            <w:shd w:val="clear" w:color="auto" w:fill="auto"/>
            <w:vAlign w:val="center"/>
          </w:tcPr>
          <w:p w14:paraId="48C8C865">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方位</w:t>
            </w:r>
          </w:p>
        </w:tc>
        <w:tc>
          <w:tcPr>
            <w:tcW w:w="312" w:type="pct"/>
            <w:vMerge w:val="restart"/>
            <w:shd w:val="clear" w:color="auto" w:fill="auto"/>
            <w:vAlign w:val="center"/>
          </w:tcPr>
          <w:p w14:paraId="53C529AC">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与道路施工场界距离</w:t>
            </w:r>
            <w:r>
              <w:rPr>
                <w:rFonts w:ascii="Times New Roman" w:hAnsi="Times New Roman" w:eastAsia="宋体" w:cs="Times New Roman"/>
                <w:b/>
                <w:spacing w:val="-16"/>
                <w:kern w:val="0"/>
                <w:szCs w:val="21"/>
              </w:rPr>
              <w:t>(m)</w:t>
            </w:r>
          </w:p>
        </w:tc>
        <w:tc>
          <w:tcPr>
            <w:tcW w:w="378" w:type="pct"/>
            <w:gridSpan w:val="2"/>
            <w:vMerge w:val="restart"/>
            <w:shd w:val="clear" w:color="auto" w:fill="auto"/>
            <w:vAlign w:val="center"/>
          </w:tcPr>
          <w:p w14:paraId="1C8AA5C6">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标准值</w:t>
            </w:r>
          </w:p>
        </w:tc>
        <w:tc>
          <w:tcPr>
            <w:tcW w:w="386" w:type="pct"/>
            <w:gridSpan w:val="2"/>
            <w:vMerge w:val="restart"/>
            <w:shd w:val="clear" w:color="auto" w:fill="auto"/>
            <w:vAlign w:val="center"/>
          </w:tcPr>
          <w:p w14:paraId="2B3B6043">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现状噪声值</w:t>
            </w:r>
          </w:p>
        </w:tc>
        <w:tc>
          <w:tcPr>
            <w:tcW w:w="1089" w:type="pct"/>
            <w:gridSpan w:val="6"/>
            <w:shd w:val="clear" w:color="auto" w:fill="auto"/>
            <w:vAlign w:val="center"/>
          </w:tcPr>
          <w:p w14:paraId="70B63A9A">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路基施工</w:t>
            </w:r>
          </w:p>
        </w:tc>
        <w:tc>
          <w:tcPr>
            <w:tcW w:w="1089" w:type="pct"/>
            <w:gridSpan w:val="6"/>
            <w:shd w:val="clear" w:color="auto" w:fill="auto"/>
            <w:vAlign w:val="center"/>
          </w:tcPr>
          <w:p w14:paraId="0155031B">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路面施工</w:t>
            </w:r>
          </w:p>
        </w:tc>
        <w:tc>
          <w:tcPr>
            <w:tcW w:w="808" w:type="pct"/>
            <w:vMerge w:val="restart"/>
            <w:shd w:val="clear" w:color="auto" w:fill="auto"/>
            <w:vAlign w:val="center"/>
          </w:tcPr>
          <w:p w14:paraId="209A7C27">
            <w:pPr>
              <w:widowControl/>
              <w:jc w:val="center"/>
              <w:rPr>
                <w:rFonts w:ascii="Times New Roman" w:hAnsi="Times New Roman" w:eastAsia="宋体" w:cs="Times New Roman"/>
                <w:b/>
                <w:bCs/>
                <w:spacing w:val="-16"/>
                <w:kern w:val="0"/>
                <w:szCs w:val="21"/>
              </w:rPr>
            </w:pPr>
            <w:r>
              <w:rPr>
                <w:rFonts w:ascii="宋体" w:hAnsi="宋体" w:eastAsia="宋体" w:cs="Times New Roman"/>
                <w:b/>
                <w:bCs/>
                <w:spacing w:val="-16"/>
                <w:kern w:val="0"/>
                <w:szCs w:val="21"/>
              </w:rPr>
              <w:t>建议降噪措施</w:t>
            </w:r>
          </w:p>
        </w:tc>
      </w:tr>
      <w:tr w14:paraId="56A852F3">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96" w:type="pct"/>
            <w:vMerge w:val="continue"/>
            <w:vAlign w:val="center"/>
          </w:tcPr>
          <w:p w14:paraId="0D5BF6ED">
            <w:pPr>
              <w:widowControl/>
              <w:jc w:val="center"/>
              <w:rPr>
                <w:rFonts w:ascii="Times New Roman" w:hAnsi="Times New Roman" w:eastAsia="宋体" w:cs="Times New Roman"/>
                <w:b/>
                <w:spacing w:val="-16"/>
                <w:kern w:val="0"/>
                <w:szCs w:val="21"/>
              </w:rPr>
            </w:pPr>
          </w:p>
        </w:tc>
        <w:tc>
          <w:tcPr>
            <w:tcW w:w="336" w:type="pct"/>
            <w:vMerge w:val="continue"/>
            <w:vAlign w:val="center"/>
          </w:tcPr>
          <w:p w14:paraId="115E16FC">
            <w:pPr>
              <w:widowControl/>
              <w:jc w:val="center"/>
              <w:rPr>
                <w:rFonts w:ascii="Times New Roman" w:hAnsi="Times New Roman" w:eastAsia="宋体" w:cs="Times New Roman"/>
                <w:b/>
                <w:spacing w:val="-16"/>
                <w:kern w:val="0"/>
                <w:szCs w:val="21"/>
              </w:rPr>
            </w:pPr>
          </w:p>
        </w:tc>
        <w:tc>
          <w:tcPr>
            <w:tcW w:w="201" w:type="pct"/>
            <w:vMerge w:val="continue"/>
            <w:vAlign w:val="center"/>
          </w:tcPr>
          <w:p w14:paraId="5A7D13A2">
            <w:pPr>
              <w:widowControl/>
              <w:jc w:val="center"/>
              <w:rPr>
                <w:rFonts w:ascii="Times New Roman" w:hAnsi="Times New Roman" w:eastAsia="宋体" w:cs="Times New Roman"/>
                <w:b/>
                <w:spacing w:val="-16"/>
                <w:kern w:val="0"/>
                <w:szCs w:val="21"/>
              </w:rPr>
            </w:pPr>
          </w:p>
        </w:tc>
        <w:tc>
          <w:tcPr>
            <w:tcW w:w="205" w:type="pct"/>
            <w:vMerge w:val="continue"/>
            <w:vAlign w:val="center"/>
          </w:tcPr>
          <w:p w14:paraId="3226EDB8">
            <w:pPr>
              <w:widowControl/>
              <w:jc w:val="center"/>
              <w:rPr>
                <w:rFonts w:ascii="Times New Roman" w:hAnsi="Times New Roman" w:eastAsia="宋体" w:cs="Times New Roman"/>
                <w:b/>
                <w:spacing w:val="-16"/>
                <w:kern w:val="0"/>
                <w:szCs w:val="21"/>
              </w:rPr>
            </w:pPr>
          </w:p>
        </w:tc>
        <w:tc>
          <w:tcPr>
            <w:tcW w:w="312" w:type="pct"/>
            <w:vMerge w:val="continue"/>
            <w:vAlign w:val="center"/>
          </w:tcPr>
          <w:p w14:paraId="2B138DD6">
            <w:pPr>
              <w:widowControl/>
              <w:jc w:val="center"/>
              <w:rPr>
                <w:rFonts w:ascii="Times New Roman" w:hAnsi="Times New Roman" w:eastAsia="宋体" w:cs="Times New Roman"/>
                <w:b/>
                <w:spacing w:val="-16"/>
                <w:kern w:val="0"/>
                <w:szCs w:val="21"/>
              </w:rPr>
            </w:pPr>
          </w:p>
        </w:tc>
        <w:tc>
          <w:tcPr>
            <w:tcW w:w="378" w:type="pct"/>
            <w:gridSpan w:val="2"/>
            <w:vMerge w:val="continue"/>
            <w:vAlign w:val="center"/>
          </w:tcPr>
          <w:p w14:paraId="22863044">
            <w:pPr>
              <w:widowControl/>
              <w:jc w:val="center"/>
              <w:rPr>
                <w:rFonts w:ascii="Times New Roman" w:hAnsi="Times New Roman" w:eastAsia="宋体" w:cs="Times New Roman"/>
                <w:b/>
                <w:spacing w:val="-16"/>
                <w:kern w:val="0"/>
                <w:szCs w:val="21"/>
              </w:rPr>
            </w:pPr>
          </w:p>
        </w:tc>
        <w:tc>
          <w:tcPr>
            <w:tcW w:w="386" w:type="pct"/>
            <w:gridSpan w:val="2"/>
            <w:vMerge w:val="continue"/>
            <w:vAlign w:val="center"/>
          </w:tcPr>
          <w:p w14:paraId="61A5675D">
            <w:pPr>
              <w:widowControl/>
              <w:jc w:val="center"/>
              <w:rPr>
                <w:rFonts w:ascii="Times New Roman" w:hAnsi="Times New Roman" w:eastAsia="宋体" w:cs="Times New Roman"/>
                <w:b/>
                <w:spacing w:val="-16"/>
                <w:kern w:val="0"/>
                <w:szCs w:val="21"/>
              </w:rPr>
            </w:pPr>
          </w:p>
        </w:tc>
        <w:tc>
          <w:tcPr>
            <w:tcW w:w="363" w:type="pct"/>
            <w:gridSpan w:val="2"/>
            <w:shd w:val="clear" w:color="auto" w:fill="auto"/>
            <w:vAlign w:val="center"/>
          </w:tcPr>
          <w:p w14:paraId="39DA3DF3">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贡献值</w:t>
            </w:r>
          </w:p>
        </w:tc>
        <w:tc>
          <w:tcPr>
            <w:tcW w:w="363" w:type="pct"/>
            <w:gridSpan w:val="2"/>
            <w:shd w:val="clear" w:color="auto" w:fill="auto"/>
            <w:vAlign w:val="center"/>
          </w:tcPr>
          <w:p w14:paraId="50A1D7C2">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预测值</w:t>
            </w:r>
          </w:p>
        </w:tc>
        <w:tc>
          <w:tcPr>
            <w:tcW w:w="363" w:type="pct"/>
            <w:gridSpan w:val="2"/>
            <w:shd w:val="clear" w:color="auto" w:fill="auto"/>
            <w:vAlign w:val="center"/>
          </w:tcPr>
          <w:p w14:paraId="3F5F12EF">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超标值</w:t>
            </w:r>
          </w:p>
        </w:tc>
        <w:tc>
          <w:tcPr>
            <w:tcW w:w="363" w:type="pct"/>
            <w:gridSpan w:val="2"/>
            <w:shd w:val="clear" w:color="auto" w:fill="auto"/>
            <w:vAlign w:val="center"/>
          </w:tcPr>
          <w:p w14:paraId="3EEF2149">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贡献值</w:t>
            </w:r>
          </w:p>
        </w:tc>
        <w:tc>
          <w:tcPr>
            <w:tcW w:w="363" w:type="pct"/>
            <w:gridSpan w:val="2"/>
            <w:shd w:val="clear" w:color="auto" w:fill="auto"/>
            <w:vAlign w:val="center"/>
          </w:tcPr>
          <w:p w14:paraId="753239C1">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预测值</w:t>
            </w:r>
          </w:p>
        </w:tc>
        <w:tc>
          <w:tcPr>
            <w:tcW w:w="363" w:type="pct"/>
            <w:gridSpan w:val="2"/>
            <w:shd w:val="clear" w:color="auto" w:fill="auto"/>
            <w:vAlign w:val="center"/>
          </w:tcPr>
          <w:p w14:paraId="47863EC4">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超标值</w:t>
            </w:r>
          </w:p>
        </w:tc>
        <w:tc>
          <w:tcPr>
            <w:tcW w:w="808" w:type="pct"/>
            <w:vMerge w:val="continue"/>
            <w:vAlign w:val="center"/>
          </w:tcPr>
          <w:p w14:paraId="37C9B958">
            <w:pPr>
              <w:widowControl/>
              <w:jc w:val="center"/>
              <w:rPr>
                <w:rFonts w:ascii="Times New Roman" w:hAnsi="Times New Roman" w:eastAsia="宋体" w:cs="Times New Roman"/>
                <w:b/>
                <w:bCs/>
                <w:spacing w:val="-16"/>
                <w:kern w:val="0"/>
                <w:szCs w:val="21"/>
              </w:rPr>
            </w:pPr>
          </w:p>
        </w:tc>
      </w:tr>
      <w:tr w14:paraId="2AD3AAFC">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96" w:type="pct"/>
            <w:vMerge w:val="continue"/>
            <w:vAlign w:val="center"/>
          </w:tcPr>
          <w:p w14:paraId="111E4A00">
            <w:pPr>
              <w:widowControl/>
              <w:jc w:val="center"/>
              <w:rPr>
                <w:rFonts w:ascii="Times New Roman" w:hAnsi="Times New Roman" w:eastAsia="宋体" w:cs="Times New Roman"/>
                <w:b/>
                <w:spacing w:val="-16"/>
                <w:kern w:val="0"/>
                <w:szCs w:val="21"/>
              </w:rPr>
            </w:pPr>
          </w:p>
        </w:tc>
        <w:tc>
          <w:tcPr>
            <w:tcW w:w="336" w:type="pct"/>
            <w:vMerge w:val="continue"/>
            <w:vAlign w:val="center"/>
          </w:tcPr>
          <w:p w14:paraId="192A2FDE">
            <w:pPr>
              <w:widowControl/>
              <w:jc w:val="center"/>
              <w:rPr>
                <w:rFonts w:ascii="Times New Roman" w:hAnsi="Times New Roman" w:eastAsia="宋体" w:cs="Times New Roman"/>
                <w:b/>
                <w:spacing w:val="-16"/>
                <w:kern w:val="0"/>
                <w:szCs w:val="21"/>
              </w:rPr>
            </w:pPr>
          </w:p>
        </w:tc>
        <w:tc>
          <w:tcPr>
            <w:tcW w:w="201" w:type="pct"/>
            <w:vMerge w:val="continue"/>
            <w:vAlign w:val="center"/>
          </w:tcPr>
          <w:p w14:paraId="2307E068">
            <w:pPr>
              <w:widowControl/>
              <w:jc w:val="center"/>
              <w:rPr>
                <w:rFonts w:ascii="Times New Roman" w:hAnsi="Times New Roman" w:eastAsia="宋体" w:cs="Times New Roman"/>
                <w:b/>
                <w:spacing w:val="-16"/>
                <w:kern w:val="0"/>
                <w:szCs w:val="21"/>
              </w:rPr>
            </w:pPr>
          </w:p>
        </w:tc>
        <w:tc>
          <w:tcPr>
            <w:tcW w:w="205" w:type="pct"/>
            <w:vMerge w:val="continue"/>
            <w:vAlign w:val="center"/>
          </w:tcPr>
          <w:p w14:paraId="47571DF1">
            <w:pPr>
              <w:widowControl/>
              <w:jc w:val="center"/>
              <w:rPr>
                <w:rFonts w:ascii="Times New Roman" w:hAnsi="Times New Roman" w:eastAsia="宋体" w:cs="Times New Roman"/>
                <w:b/>
                <w:spacing w:val="-16"/>
                <w:kern w:val="0"/>
                <w:szCs w:val="21"/>
              </w:rPr>
            </w:pPr>
          </w:p>
        </w:tc>
        <w:tc>
          <w:tcPr>
            <w:tcW w:w="312" w:type="pct"/>
            <w:vMerge w:val="continue"/>
            <w:vAlign w:val="center"/>
          </w:tcPr>
          <w:p w14:paraId="0246DA38">
            <w:pPr>
              <w:widowControl/>
              <w:jc w:val="center"/>
              <w:rPr>
                <w:rFonts w:ascii="Times New Roman" w:hAnsi="Times New Roman" w:eastAsia="宋体" w:cs="Times New Roman"/>
                <w:b/>
                <w:spacing w:val="-16"/>
                <w:kern w:val="0"/>
                <w:szCs w:val="21"/>
              </w:rPr>
            </w:pPr>
          </w:p>
        </w:tc>
        <w:tc>
          <w:tcPr>
            <w:tcW w:w="180" w:type="pct"/>
            <w:shd w:val="clear" w:color="auto" w:fill="auto"/>
            <w:vAlign w:val="center"/>
          </w:tcPr>
          <w:p w14:paraId="51E091F7">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昼间</w:t>
            </w:r>
          </w:p>
        </w:tc>
        <w:tc>
          <w:tcPr>
            <w:tcW w:w="198" w:type="pct"/>
            <w:shd w:val="clear" w:color="auto" w:fill="auto"/>
            <w:vAlign w:val="center"/>
          </w:tcPr>
          <w:p w14:paraId="362BA363">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夜间</w:t>
            </w:r>
          </w:p>
        </w:tc>
        <w:tc>
          <w:tcPr>
            <w:tcW w:w="183" w:type="pct"/>
            <w:shd w:val="clear" w:color="auto" w:fill="auto"/>
            <w:vAlign w:val="center"/>
          </w:tcPr>
          <w:p w14:paraId="367501B0">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昼间</w:t>
            </w:r>
          </w:p>
        </w:tc>
        <w:tc>
          <w:tcPr>
            <w:tcW w:w="203" w:type="pct"/>
            <w:shd w:val="clear" w:color="auto" w:fill="auto"/>
            <w:vAlign w:val="center"/>
          </w:tcPr>
          <w:p w14:paraId="15D6D632">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夜间</w:t>
            </w:r>
          </w:p>
        </w:tc>
        <w:tc>
          <w:tcPr>
            <w:tcW w:w="181" w:type="pct"/>
            <w:shd w:val="clear" w:color="auto" w:fill="auto"/>
            <w:vAlign w:val="center"/>
          </w:tcPr>
          <w:p w14:paraId="30EC55A3">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昼间</w:t>
            </w:r>
          </w:p>
        </w:tc>
        <w:tc>
          <w:tcPr>
            <w:tcW w:w="182" w:type="pct"/>
            <w:shd w:val="clear" w:color="auto" w:fill="auto"/>
            <w:vAlign w:val="center"/>
          </w:tcPr>
          <w:p w14:paraId="092FACB3">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夜间</w:t>
            </w:r>
          </w:p>
        </w:tc>
        <w:tc>
          <w:tcPr>
            <w:tcW w:w="181" w:type="pct"/>
            <w:shd w:val="clear" w:color="auto" w:fill="auto"/>
            <w:vAlign w:val="center"/>
          </w:tcPr>
          <w:p w14:paraId="1CEF7B4B">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昼间</w:t>
            </w:r>
          </w:p>
        </w:tc>
        <w:tc>
          <w:tcPr>
            <w:tcW w:w="182" w:type="pct"/>
            <w:shd w:val="clear" w:color="auto" w:fill="auto"/>
            <w:vAlign w:val="center"/>
          </w:tcPr>
          <w:p w14:paraId="6BFCD6CE">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夜间</w:t>
            </w:r>
          </w:p>
        </w:tc>
        <w:tc>
          <w:tcPr>
            <w:tcW w:w="181" w:type="pct"/>
            <w:shd w:val="clear" w:color="auto" w:fill="auto"/>
            <w:vAlign w:val="center"/>
          </w:tcPr>
          <w:p w14:paraId="0CFCBD0F">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昼间</w:t>
            </w:r>
          </w:p>
        </w:tc>
        <w:tc>
          <w:tcPr>
            <w:tcW w:w="182" w:type="pct"/>
            <w:shd w:val="clear" w:color="auto" w:fill="auto"/>
            <w:vAlign w:val="center"/>
          </w:tcPr>
          <w:p w14:paraId="167F151E">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夜间</w:t>
            </w:r>
          </w:p>
        </w:tc>
        <w:tc>
          <w:tcPr>
            <w:tcW w:w="181" w:type="pct"/>
            <w:shd w:val="clear" w:color="auto" w:fill="auto"/>
            <w:vAlign w:val="center"/>
          </w:tcPr>
          <w:p w14:paraId="3C2CA132">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昼间</w:t>
            </w:r>
          </w:p>
        </w:tc>
        <w:tc>
          <w:tcPr>
            <w:tcW w:w="182" w:type="pct"/>
            <w:shd w:val="clear" w:color="auto" w:fill="auto"/>
            <w:vAlign w:val="center"/>
          </w:tcPr>
          <w:p w14:paraId="2BB62605">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夜间</w:t>
            </w:r>
          </w:p>
        </w:tc>
        <w:tc>
          <w:tcPr>
            <w:tcW w:w="181" w:type="pct"/>
            <w:shd w:val="clear" w:color="auto" w:fill="auto"/>
            <w:vAlign w:val="center"/>
          </w:tcPr>
          <w:p w14:paraId="2F173422">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昼间</w:t>
            </w:r>
          </w:p>
        </w:tc>
        <w:tc>
          <w:tcPr>
            <w:tcW w:w="182" w:type="pct"/>
            <w:shd w:val="clear" w:color="auto" w:fill="auto"/>
            <w:vAlign w:val="center"/>
          </w:tcPr>
          <w:p w14:paraId="40B2004D">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夜间</w:t>
            </w:r>
          </w:p>
        </w:tc>
        <w:tc>
          <w:tcPr>
            <w:tcW w:w="181" w:type="pct"/>
            <w:shd w:val="clear" w:color="auto" w:fill="auto"/>
            <w:vAlign w:val="center"/>
          </w:tcPr>
          <w:p w14:paraId="54FB2412">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昼间</w:t>
            </w:r>
          </w:p>
        </w:tc>
        <w:tc>
          <w:tcPr>
            <w:tcW w:w="182" w:type="pct"/>
            <w:shd w:val="clear" w:color="auto" w:fill="auto"/>
            <w:vAlign w:val="center"/>
          </w:tcPr>
          <w:p w14:paraId="2D85FC1A">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夜间</w:t>
            </w:r>
          </w:p>
        </w:tc>
        <w:tc>
          <w:tcPr>
            <w:tcW w:w="808" w:type="pct"/>
            <w:vMerge w:val="continue"/>
            <w:vAlign w:val="center"/>
          </w:tcPr>
          <w:p w14:paraId="4E6E786A">
            <w:pPr>
              <w:widowControl/>
              <w:jc w:val="center"/>
              <w:rPr>
                <w:rFonts w:ascii="Times New Roman" w:hAnsi="Times New Roman" w:eastAsia="宋体" w:cs="Times New Roman"/>
                <w:b/>
                <w:bCs/>
                <w:spacing w:val="-16"/>
                <w:kern w:val="0"/>
                <w:szCs w:val="21"/>
              </w:rPr>
            </w:pPr>
          </w:p>
        </w:tc>
      </w:tr>
      <w:tr w14:paraId="76CF4F68">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96" w:type="pct"/>
            <w:shd w:val="clear" w:color="auto" w:fill="auto"/>
            <w:vAlign w:val="center"/>
          </w:tcPr>
          <w:p w14:paraId="37331FA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9</w:t>
            </w:r>
          </w:p>
        </w:tc>
        <w:tc>
          <w:tcPr>
            <w:tcW w:w="336" w:type="pct"/>
            <w:shd w:val="clear" w:color="auto" w:fill="auto"/>
            <w:vAlign w:val="center"/>
          </w:tcPr>
          <w:p w14:paraId="7C81DA65">
            <w:pPr>
              <w:widowControl/>
              <w:jc w:val="center"/>
              <w:rPr>
                <w:rFonts w:ascii="Times New Roman" w:hAnsi="Times New Roman" w:eastAsia="宋体" w:cs="Times New Roman"/>
                <w:kern w:val="0"/>
                <w:szCs w:val="21"/>
              </w:rPr>
            </w:pPr>
            <w:r>
              <w:rPr>
                <w:rFonts w:ascii="宋体" w:hAnsi="宋体" w:eastAsia="宋体" w:cs="Times New Roman"/>
                <w:kern w:val="0"/>
                <w:szCs w:val="21"/>
              </w:rPr>
              <w:t>阿亚克里格勒迪玛村</w:t>
            </w:r>
          </w:p>
        </w:tc>
        <w:tc>
          <w:tcPr>
            <w:tcW w:w="201" w:type="pct"/>
            <w:shd w:val="clear" w:color="auto" w:fill="auto"/>
            <w:vAlign w:val="center"/>
          </w:tcPr>
          <w:p w14:paraId="1FCD102A">
            <w:pPr>
              <w:widowControl/>
              <w:jc w:val="center"/>
              <w:rPr>
                <w:rFonts w:ascii="Times New Roman" w:hAnsi="Times New Roman" w:eastAsia="宋体" w:cs="Times New Roman"/>
                <w:kern w:val="0"/>
                <w:szCs w:val="21"/>
              </w:rPr>
            </w:pPr>
            <w:r>
              <w:rPr>
                <w:rFonts w:ascii="宋体" w:hAnsi="宋体" w:eastAsia="宋体" w:cs="Times New Roman"/>
                <w:kern w:val="0"/>
                <w:szCs w:val="21"/>
              </w:rPr>
              <w:t>路基</w:t>
            </w:r>
          </w:p>
        </w:tc>
        <w:tc>
          <w:tcPr>
            <w:tcW w:w="205" w:type="pct"/>
            <w:shd w:val="clear" w:color="auto" w:fill="auto"/>
            <w:vAlign w:val="center"/>
          </w:tcPr>
          <w:p w14:paraId="7FA48E33">
            <w:pPr>
              <w:widowControl/>
              <w:jc w:val="center"/>
              <w:rPr>
                <w:rFonts w:ascii="Times New Roman" w:hAnsi="Times New Roman" w:eastAsia="宋体" w:cs="Times New Roman"/>
                <w:kern w:val="0"/>
                <w:szCs w:val="21"/>
              </w:rPr>
            </w:pPr>
            <w:r>
              <w:rPr>
                <w:rFonts w:ascii="宋体" w:hAnsi="宋体" w:eastAsia="宋体" w:cs="Times New Roman"/>
                <w:kern w:val="0"/>
                <w:szCs w:val="21"/>
              </w:rPr>
              <w:t>两侧</w:t>
            </w:r>
          </w:p>
        </w:tc>
        <w:tc>
          <w:tcPr>
            <w:tcW w:w="312" w:type="pct"/>
            <w:shd w:val="clear" w:color="auto" w:fill="auto"/>
            <w:vAlign w:val="center"/>
          </w:tcPr>
          <w:p w14:paraId="5BC47E8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w:t>
            </w:r>
          </w:p>
        </w:tc>
        <w:tc>
          <w:tcPr>
            <w:tcW w:w="180" w:type="pct"/>
            <w:shd w:val="clear" w:color="auto" w:fill="auto"/>
            <w:vAlign w:val="center"/>
          </w:tcPr>
          <w:p w14:paraId="45F75DF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70</w:t>
            </w:r>
          </w:p>
        </w:tc>
        <w:tc>
          <w:tcPr>
            <w:tcW w:w="198" w:type="pct"/>
            <w:shd w:val="clear" w:color="auto" w:fill="auto"/>
            <w:vAlign w:val="center"/>
          </w:tcPr>
          <w:p w14:paraId="30FE228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55</w:t>
            </w:r>
          </w:p>
        </w:tc>
        <w:tc>
          <w:tcPr>
            <w:tcW w:w="183" w:type="pct"/>
            <w:shd w:val="clear" w:color="auto" w:fill="auto"/>
            <w:vAlign w:val="center"/>
          </w:tcPr>
          <w:p w14:paraId="408A168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44.0</w:t>
            </w:r>
          </w:p>
        </w:tc>
        <w:tc>
          <w:tcPr>
            <w:tcW w:w="203" w:type="pct"/>
            <w:shd w:val="clear" w:color="auto" w:fill="auto"/>
            <w:vAlign w:val="center"/>
          </w:tcPr>
          <w:p w14:paraId="6DAFCE3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37.5</w:t>
            </w:r>
          </w:p>
        </w:tc>
        <w:tc>
          <w:tcPr>
            <w:tcW w:w="181" w:type="pct"/>
            <w:shd w:val="clear" w:color="auto" w:fill="auto"/>
            <w:vAlign w:val="center"/>
          </w:tcPr>
          <w:p w14:paraId="030172F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85.2</w:t>
            </w:r>
          </w:p>
        </w:tc>
        <w:tc>
          <w:tcPr>
            <w:tcW w:w="182" w:type="pct"/>
            <w:shd w:val="clear" w:color="auto" w:fill="auto"/>
            <w:vAlign w:val="center"/>
          </w:tcPr>
          <w:p w14:paraId="7C8165F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85.2</w:t>
            </w:r>
          </w:p>
        </w:tc>
        <w:tc>
          <w:tcPr>
            <w:tcW w:w="181" w:type="pct"/>
            <w:shd w:val="clear" w:color="auto" w:fill="auto"/>
            <w:vAlign w:val="center"/>
          </w:tcPr>
          <w:p w14:paraId="30979D5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85.2</w:t>
            </w:r>
          </w:p>
        </w:tc>
        <w:tc>
          <w:tcPr>
            <w:tcW w:w="182" w:type="pct"/>
            <w:shd w:val="clear" w:color="auto" w:fill="auto"/>
            <w:vAlign w:val="center"/>
          </w:tcPr>
          <w:p w14:paraId="6E02C47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85.2</w:t>
            </w:r>
          </w:p>
        </w:tc>
        <w:tc>
          <w:tcPr>
            <w:tcW w:w="181" w:type="pct"/>
            <w:shd w:val="clear" w:color="auto" w:fill="auto"/>
            <w:vAlign w:val="center"/>
          </w:tcPr>
          <w:p w14:paraId="16EA8F4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15.2</w:t>
            </w:r>
          </w:p>
        </w:tc>
        <w:tc>
          <w:tcPr>
            <w:tcW w:w="182" w:type="pct"/>
            <w:shd w:val="clear" w:color="auto" w:fill="auto"/>
            <w:vAlign w:val="center"/>
          </w:tcPr>
          <w:p w14:paraId="442B793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30.2</w:t>
            </w:r>
          </w:p>
        </w:tc>
        <w:tc>
          <w:tcPr>
            <w:tcW w:w="181" w:type="pct"/>
            <w:shd w:val="clear" w:color="auto" w:fill="auto"/>
            <w:vAlign w:val="center"/>
          </w:tcPr>
          <w:p w14:paraId="725CD07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80.2</w:t>
            </w:r>
          </w:p>
        </w:tc>
        <w:tc>
          <w:tcPr>
            <w:tcW w:w="182" w:type="pct"/>
            <w:shd w:val="clear" w:color="auto" w:fill="auto"/>
            <w:vAlign w:val="center"/>
          </w:tcPr>
          <w:p w14:paraId="16802DD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80.2</w:t>
            </w:r>
          </w:p>
        </w:tc>
        <w:tc>
          <w:tcPr>
            <w:tcW w:w="181" w:type="pct"/>
            <w:shd w:val="clear" w:color="auto" w:fill="auto"/>
            <w:vAlign w:val="center"/>
          </w:tcPr>
          <w:p w14:paraId="76E97A9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80.2</w:t>
            </w:r>
          </w:p>
        </w:tc>
        <w:tc>
          <w:tcPr>
            <w:tcW w:w="182" w:type="pct"/>
            <w:shd w:val="clear" w:color="auto" w:fill="auto"/>
            <w:vAlign w:val="center"/>
          </w:tcPr>
          <w:p w14:paraId="2F12831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80.2</w:t>
            </w:r>
          </w:p>
        </w:tc>
        <w:tc>
          <w:tcPr>
            <w:tcW w:w="181" w:type="pct"/>
            <w:shd w:val="clear" w:color="auto" w:fill="auto"/>
            <w:vAlign w:val="center"/>
          </w:tcPr>
          <w:p w14:paraId="38A5991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10.2</w:t>
            </w:r>
          </w:p>
        </w:tc>
        <w:tc>
          <w:tcPr>
            <w:tcW w:w="182" w:type="pct"/>
            <w:shd w:val="clear" w:color="auto" w:fill="auto"/>
            <w:vAlign w:val="center"/>
          </w:tcPr>
          <w:p w14:paraId="244A8AF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25.2</w:t>
            </w:r>
          </w:p>
        </w:tc>
        <w:tc>
          <w:tcPr>
            <w:tcW w:w="808" w:type="pct"/>
            <w:shd w:val="clear" w:color="auto" w:fill="auto"/>
            <w:vAlign w:val="center"/>
          </w:tcPr>
          <w:p w14:paraId="0C2E052C">
            <w:pPr>
              <w:widowControl/>
              <w:rPr>
                <w:rFonts w:ascii="Times New Roman" w:hAnsi="Times New Roman" w:eastAsia="宋体" w:cs="Times New Roman"/>
                <w:kern w:val="0"/>
                <w:szCs w:val="21"/>
              </w:rPr>
            </w:pPr>
            <w:r>
              <w:rPr>
                <w:rFonts w:hint="eastAsia" w:ascii="Times New Roman" w:hAnsi="Times New Roman" w:eastAsia="宋体" w:cs="Times New Roman"/>
              </w:rPr>
              <w:t>隔声房、隔声罩等消声减振装置；</w:t>
            </w:r>
            <w:r>
              <w:rPr>
                <w:rFonts w:hint="eastAsia" w:ascii="Times New Roman" w:hAnsi="Times New Roman" w:eastAsia="宋体" w:cs="Times New Roman"/>
                <w:szCs w:val="21"/>
              </w:rPr>
              <w:t>施工场界围挡内侧加装吸声板材或加高隔声围挡（声屏障）等降噪措施；使用静力压装机等低噪声施工机械</w:t>
            </w:r>
          </w:p>
        </w:tc>
      </w:tr>
      <w:tr w14:paraId="6824D240">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96" w:type="pct"/>
            <w:shd w:val="clear" w:color="auto" w:fill="auto"/>
            <w:vAlign w:val="center"/>
          </w:tcPr>
          <w:p w14:paraId="1093790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10</w:t>
            </w:r>
          </w:p>
        </w:tc>
        <w:tc>
          <w:tcPr>
            <w:tcW w:w="336" w:type="pct"/>
            <w:shd w:val="clear" w:color="auto" w:fill="auto"/>
            <w:vAlign w:val="center"/>
          </w:tcPr>
          <w:p w14:paraId="44877C80">
            <w:pPr>
              <w:widowControl/>
              <w:jc w:val="center"/>
              <w:rPr>
                <w:rFonts w:ascii="宋体" w:hAnsi="宋体" w:eastAsia="宋体" w:cs="宋体"/>
                <w:kern w:val="0"/>
                <w:szCs w:val="21"/>
              </w:rPr>
            </w:pPr>
            <w:r>
              <w:rPr>
                <w:rFonts w:hint="eastAsia" w:ascii="宋体" w:hAnsi="宋体" w:eastAsia="宋体" w:cs="宋体"/>
                <w:kern w:val="0"/>
                <w:szCs w:val="21"/>
              </w:rPr>
              <w:t>阿亚格勒格勒德玛小学</w:t>
            </w:r>
          </w:p>
        </w:tc>
        <w:tc>
          <w:tcPr>
            <w:tcW w:w="201" w:type="pct"/>
            <w:shd w:val="clear" w:color="auto" w:fill="auto"/>
            <w:vAlign w:val="center"/>
          </w:tcPr>
          <w:p w14:paraId="4D48626E">
            <w:pPr>
              <w:widowControl/>
              <w:jc w:val="center"/>
              <w:rPr>
                <w:rFonts w:ascii="Times New Roman" w:hAnsi="Times New Roman" w:eastAsia="宋体" w:cs="Times New Roman"/>
                <w:kern w:val="0"/>
                <w:szCs w:val="21"/>
              </w:rPr>
            </w:pPr>
            <w:r>
              <w:rPr>
                <w:rFonts w:ascii="宋体" w:hAnsi="宋体" w:eastAsia="宋体" w:cs="Times New Roman"/>
                <w:kern w:val="0"/>
                <w:szCs w:val="21"/>
              </w:rPr>
              <w:t>路基</w:t>
            </w:r>
          </w:p>
        </w:tc>
        <w:tc>
          <w:tcPr>
            <w:tcW w:w="205" w:type="pct"/>
            <w:shd w:val="clear" w:color="auto" w:fill="auto"/>
            <w:vAlign w:val="center"/>
          </w:tcPr>
          <w:p w14:paraId="1A81BC6F">
            <w:pPr>
              <w:widowControl/>
              <w:jc w:val="center"/>
              <w:rPr>
                <w:rFonts w:ascii="Times New Roman" w:hAnsi="Times New Roman" w:eastAsia="宋体" w:cs="Times New Roman"/>
                <w:kern w:val="0"/>
                <w:szCs w:val="21"/>
              </w:rPr>
            </w:pPr>
            <w:r>
              <w:rPr>
                <w:rFonts w:ascii="宋体" w:hAnsi="宋体" w:eastAsia="宋体" w:cs="Times New Roman"/>
                <w:kern w:val="0"/>
                <w:szCs w:val="21"/>
              </w:rPr>
              <w:t>路左</w:t>
            </w:r>
          </w:p>
        </w:tc>
        <w:tc>
          <w:tcPr>
            <w:tcW w:w="312" w:type="pct"/>
            <w:shd w:val="clear" w:color="auto" w:fill="auto"/>
            <w:vAlign w:val="center"/>
          </w:tcPr>
          <w:p w14:paraId="24BB3E4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26</w:t>
            </w:r>
          </w:p>
        </w:tc>
        <w:tc>
          <w:tcPr>
            <w:tcW w:w="180" w:type="pct"/>
            <w:shd w:val="clear" w:color="auto" w:fill="auto"/>
            <w:vAlign w:val="center"/>
          </w:tcPr>
          <w:p w14:paraId="4FE2B8E0">
            <w:pPr>
              <w:widowControl/>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60</w:t>
            </w:r>
          </w:p>
        </w:tc>
        <w:tc>
          <w:tcPr>
            <w:tcW w:w="198" w:type="pct"/>
            <w:shd w:val="clear" w:color="auto" w:fill="auto"/>
            <w:vAlign w:val="center"/>
          </w:tcPr>
          <w:p w14:paraId="25FD825C">
            <w:pPr>
              <w:widowControl/>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50</w:t>
            </w:r>
          </w:p>
        </w:tc>
        <w:tc>
          <w:tcPr>
            <w:tcW w:w="183" w:type="pct"/>
            <w:shd w:val="clear" w:color="auto" w:fill="auto"/>
            <w:vAlign w:val="center"/>
          </w:tcPr>
          <w:p w14:paraId="574562A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44.0</w:t>
            </w:r>
          </w:p>
        </w:tc>
        <w:tc>
          <w:tcPr>
            <w:tcW w:w="203" w:type="pct"/>
            <w:shd w:val="clear" w:color="auto" w:fill="auto"/>
            <w:vAlign w:val="center"/>
          </w:tcPr>
          <w:p w14:paraId="0021BA3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37.5</w:t>
            </w:r>
          </w:p>
        </w:tc>
        <w:tc>
          <w:tcPr>
            <w:tcW w:w="181" w:type="pct"/>
            <w:shd w:val="clear" w:color="auto" w:fill="auto"/>
            <w:vAlign w:val="center"/>
          </w:tcPr>
          <w:p w14:paraId="78AE180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78.9</w:t>
            </w:r>
          </w:p>
        </w:tc>
        <w:tc>
          <w:tcPr>
            <w:tcW w:w="182" w:type="pct"/>
            <w:shd w:val="clear" w:color="auto" w:fill="auto"/>
            <w:vAlign w:val="center"/>
          </w:tcPr>
          <w:p w14:paraId="54054F6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78.9</w:t>
            </w:r>
          </w:p>
        </w:tc>
        <w:tc>
          <w:tcPr>
            <w:tcW w:w="181" w:type="pct"/>
            <w:shd w:val="clear" w:color="auto" w:fill="auto"/>
            <w:vAlign w:val="center"/>
          </w:tcPr>
          <w:p w14:paraId="47E3B78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78.9</w:t>
            </w:r>
          </w:p>
        </w:tc>
        <w:tc>
          <w:tcPr>
            <w:tcW w:w="182" w:type="pct"/>
            <w:shd w:val="clear" w:color="auto" w:fill="auto"/>
            <w:vAlign w:val="center"/>
          </w:tcPr>
          <w:p w14:paraId="27F8A96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78.9</w:t>
            </w:r>
          </w:p>
        </w:tc>
        <w:tc>
          <w:tcPr>
            <w:tcW w:w="181" w:type="pct"/>
            <w:shd w:val="clear" w:color="auto" w:fill="auto"/>
            <w:vAlign w:val="center"/>
          </w:tcPr>
          <w:p w14:paraId="39886DD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18.9</w:t>
            </w:r>
          </w:p>
        </w:tc>
        <w:tc>
          <w:tcPr>
            <w:tcW w:w="182" w:type="pct"/>
            <w:shd w:val="clear" w:color="auto" w:fill="auto"/>
            <w:vAlign w:val="center"/>
          </w:tcPr>
          <w:p w14:paraId="17ED082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28.9</w:t>
            </w:r>
          </w:p>
        </w:tc>
        <w:tc>
          <w:tcPr>
            <w:tcW w:w="181" w:type="pct"/>
            <w:shd w:val="clear" w:color="auto" w:fill="auto"/>
            <w:vAlign w:val="center"/>
          </w:tcPr>
          <w:p w14:paraId="503B264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73.9</w:t>
            </w:r>
          </w:p>
        </w:tc>
        <w:tc>
          <w:tcPr>
            <w:tcW w:w="182" w:type="pct"/>
            <w:shd w:val="clear" w:color="auto" w:fill="auto"/>
            <w:vAlign w:val="center"/>
          </w:tcPr>
          <w:p w14:paraId="4603C84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73.9</w:t>
            </w:r>
          </w:p>
        </w:tc>
        <w:tc>
          <w:tcPr>
            <w:tcW w:w="181" w:type="pct"/>
            <w:shd w:val="clear" w:color="auto" w:fill="auto"/>
            <w:vAlign w:val="center"/>
          </w:tcPr>
          <w:p w14:paraId="6A37D8E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73.9</w:t>
            </w:r>
          </w:p>
        </w:tc>
        <w:tc>
          <w:tcPr>
            <w:tcW w:w="182" w:type="pct"/>
            <w:shd w:val="clear" w:color="auto" w:fill="auto"/>
            <w:vAlign w:val="center"/>
          </w:tcPr>
          <w:p w14:paraId="78BCE26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73.9</w:t>
            </w:r>
          </w:p>
        </w:tc>
        <w:tc>
          <w:tcPr>
            <w:tcW w:w="181" w:type="pct"/>
            <w:shd w:val="clear" w:color="auto" w:fill="auto"/>
            <w:vAlign w:val="center"/>
          </w:tcPr>
          <w:p w14:paraId="5935573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13.9</w:t>
            </w:r>
          </w:p>
        </w:tc>
        <w:tc>
          <w:tcPr>
            <w:tcW w:w="182" w:type="pct"/>
            <w:shd w:val="clear" w:color="auto" w:fill="auto"/>
            <w:vAlign w:val="center"/>
          </w:tcPr>
          <w:p w14:paraId="76A407C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23.9</w:t>
            </w:r>
          </w:p>
        </w:tc>
        <w:tc>
          <w:tcPr>
            <w:tcW w:w="808" w:type="pct"/>
            <w:shd w:val="clear" w:color="auto" w:fill="auto"/>
            <w:vAlign w:val="center"/>
          </w:tcPr>
          <w:p w14:paraId="6683BDF6">
            <w:pPr>
              <w:widowControl/>
              <w:rPr>
                <w:rFonts w:ascii="Times New Roman" w:hAnsi="Times New Roman" w:eastAsia="宋体" w:cs="Times New Roman"/>
                <w:kern w:val="0"/>
                <w:szCs w:val="21"/>
              </w:rPr>
            </w:pPr>
            <w:r>
              <w:rPr>
                <w:rFonts w:hint="eastAsia" w:ascii="Times New Roman" w:hAnsi="Times New Roman" w:eastAsia="宋体" w:cs="Times New Roman"/>
                <w:szCs w:val="21"/>
              </w:rPr>
              <w:t>施工场界围挡内侧加装吸声板材或加高隔声围挡（声屏障）等降噪措施；使用静力压装机等低噪声施工机械</w:t>
            </w:r>
          </w:p>
        </w:tc>
      </w:tr>
      <w:tr w14:paraId="195FB423">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96" w:type="pct"/>
            <w:shd w:val="clear" w:color="auto" w:fill="auto"/>
            <w:vAlign w:val="center"/>
          </w:tcPr>
          <w:p w14:paraId="75AA9C7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11</w:t>
            </w:r>
          </w:p>
        </w:tc>
        <w:tc>
          <w:tcPr>
            <w:tcW w:w="336" w:type="pct"/>
            <w:shd w:val="clear" w:color="auto" w:fill="auto"/>
            <w:vAlign w:val="center"/>
          </w:tcPr>
          <w:p w14:paraId="7BA958BF">
            <w:pPr>
              <w:widowControl/>
              <w:jc w:val="center"/>
              <w:rPr>
                <w:rFonts w:ascii="Times New Roman" w:hAnsi="Times New Roman" w:eastAsia="宋体" w:cs="Times New Roman"/>
                <w:kern w:val="0"/>
                <w:szCs w:val="21"/>
              </w:rPr>
            </w:pPr>
            <w:r>
              <w:rPr>
                <w:rFonts w:ascii="宋体" w:hAnsi="宋体" w:eastAsia="宋体" w:cs="Times New Roman"/>
                <w:kern w:val="0"/>
                <w:szCs w:val="21"/>
              </w:rPr>
              <w:t>巴什英买里村</w:t>
            </w:r>
          </w:p>
        </w:tc>
        <w:tc>
          <w:tcPr>
            <w:tcW w:w="201" w:type="pct"/>
            <w:shd w:val="clear" w:color="auto" w:fill="auto"/>
            <w:vAlign w:val="center"/>
          </w:tcPr>
          <w:p w14:paraId="1FB65622">
            <w:pPr>
              <w:widowControl/>
              <w:jc w:val="center"/>
              <w:rPr>
                <w:rFonts w:ascii="Times New Roman" w:hAnsi="Times New Roman" w:eastAsia="宋体" w:cs="Times New Roman"/>
                <w:kern w:val="0"/>
                <w:szCs w:val="21"/>
              </w:rPr>
            </w:pPr>
            <w:r>
              <w:rPr>
                <w:rFonts w:ascii="宋体" w:hAnsi="宋体" w:eastAsia="宋体" w:cs="Times New Roman"/>
                <w:kern w:val="0"/>
                <w:szCs w:val="21"/>
              </w:rPr>
              <w:t>路基</w:t>
            </w:r>
          </w:p>
        </w:tc>
        <w:tc>
          <w:tcPr>
            <w:tcW w:w="205" w:type="pct"/>
            <w:shd w:val="clear" w:color="auto" w:fill="auto"/>
            <w:vAlign w:val="center"/>
          </w:tcPr>
          <w:p w14:paraId="6EC3F9AD">
            <w:pPr>
              <w:widowControl/>
              <w:jc w:val="center"/>
              <w:rPr>
                <w:rFonts w:ascii="Times New Roman" w:hAnsi="Times New Roman" w:eastAsia="宋体" w:cs="Times New Roman"/>
                <w:kern w:val="0"/>
                <w:szCs w:val="21"/>
              </w:rPr>
            </w:pPr>
            <w:r>
              <w:rPr>
                <w:rFonts w:ascii="宋体" w:hAnsi="宋体" w:eastAsia="宋体" w:cs="Times New Roman"/>
                <w:kern w:val="0"/>
                <w:szCs w:val="21"/>
              </w:rPr>
              <w:t>两侧</w:t>
            </w:r>
          </w:p>
        </w:tc>
        <w:tc>
          <w:tcPr>
            <w:tcW w:w="312" w:type="pct"/>
            <w:shd w:val="clear" w:color="auto" w:fill="auto"/>
            <w:vAlign w:val="center"/>
          </w:tcPr>
          <w:p w14:paraId="087D026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3.5</w:t>
            </w:r>
          </w:p>
        </w:tc>
        <w:tc>
          <w:tcPr>
            <w:tcW w:w="180" w:type="pct"/>
            <w:shd w:val="clear" w:color="auto" w:fill="auto"/>
            <w:vAlign w:val="center"/>
          </w:tcPr>
          <w:p w14:paraId="3F43646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70</w:t>
            </w:r>
          </w:p>
        </w:tc>
        <w:tc>
          <w:tcPr>
            <w:tcW w:w="198" w:type="pct"/>
            <w:shd w:val="clear" w:color="auto" w:fill="auto"/>
            <w:vAlign w:val="center"/>
          </w:tcPr>
          <w:p w14:paraId="3B94BEA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55</w:t>
            </w:r>
          </w:p>
        </w:tc>
        <w:tc>
          <w:tcPr>
            <w:tcW w:w="183" w:type="pct"/>
            <w:shd w:val="clear" w:color="auto" w:fill="auto"/>
            <w:vAlign w:val="center"/>
          </w:tcPr>
          <w:p w14:paraId="25AABA4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44.0</w:t>
            </w:r>
          </w:p>
        </w:tc>
        <w:tc>
          <w:tcPr>
            <w:tcW w:w="203" w:type="pct"/>
            <w:shd w:val="clear" w:color="auto" w:fill="auto"/>
            <w:vAlign w:val="center"/>
          </w:tcPr>
          <w:p w14:paraId="0AEE54E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37.5</w:t>
            </w:r>
          </w:p>
        </w:tc>
        <w:tc>
          <w:tcPr>
            <w:tcW w:w="181" w:type="pct"/>
            <w:shd w:val="clear" w:color="auto" w:fill="auto"/>
            <w:vAlign w:val="center"/>
          </w:tcPr>
          <w:p w14:paraId="554FB9F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86.4</w:t>
            </w:r>
          </w:p>
        </w:tc>
        <w:tc>
          <w:tcPr>
            <w:tcW w:w="182" w:type="pct"/>
            <w:shd w:val="clear" w:color="auto" w:fill="auto"/>
            <w:vAlign w:val="center"/>
          </w:tcPr>
          <w:p w14:paraId="4EBB2F0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86.4</w:t>
            </w:r>
          </w:p>
        </w:tc>
        <w:tc>
          <w:tcPr>
            <w:tcW w:w="181" w:type="pct"/>
            <w:shd w:val="clear" w:color="auto" w:fill="auto"/>
            <w:vAlign w:val="center"/>
          </w:tcPr>
          <w:p w14:paraId="74656B5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86.4</w:t>
            </w:r>
          </w:p>
        </w:tc>
        <w:tc>
          <w:tcPr>
            <w:tcW w:w="182" w:type="pct"/>
            <w:shd w:val="clear" w:color="auto" w:fill="auto"/>
            <w:vAlign w:val="center"/>
          </w:tcPr>
          <w:p w14:paraId="62F5B93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86.4</w:t>
            </w:r>
          </w:p>
        </w:tc>
        <w:tc>
          <w:tcPr>
            <w:tcW w:w="181" w:type="pct"/>
            <w:shd w:val="clear" w:color="auto" w:fill="auto"/>
            <w:vAlign w:val="center"/>
          </w:tcPr>
          <w:p w14:paraId="6C7BB68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16.4</w:t>
            </w:r>
          </w:p>
        </w:tc>
        <w:tc>
          <w:tcPr>
            <w:tcW w:w="182" w:type="pct"/>
            <w:shd w:val="clear" w:color="auto" w:fill="auto"/>
            <w:vAlign w:val="center"/>
          </w:tcPr>
          <w:p w14:paraId="2B30FAC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31.4</w:t>
            </w:r>
          </w:p>
        </w:tc>
        <w:tc>
          <w:tcPr>
            <w:tcW w:w="181" w:type="pct"/>
            <w:shd w:val="clear" w:color="auto" w:fill="auto"/>
            <w:vAlign w:val="center"/>
          </w:tcPr>
          <w:p w14:paraId="502D197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81.5</w:t>
            </w:r>
          </w:p>
        </w:tc>
        <w:tc>
          <w:tcPr>
            <w:tcW w:w="182" w:type="pct"/>
            <w:shd w:val="clear" w:color="auto" w:fill="auto"/>
            <w:vAlign w:val="center"/>
          </w:tcPr>
          <w:p w14:paraId="5050B3E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81.5</w:t>
            </w:r>
          </w:p>
        </w:tc>
        <w:tc>
          <w:tcPr>
            <w:tcW w:w="181" w:type="pct"/>
            <w:shd w:val="clear" w:color="auto" w:fill="auto"/>
            <w:vAlign w:val="center"/>
          </w:tcPr>
          <w:p w14:paraId="2174399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81.5</w:t>
            </w:r>
          </w:p>
        </w:tc>
        <w:tc>
          <w:tcPr>
            <w:tcW w:w="182" w:type="pct"/>
            <w:shd w:val="clear" w:color="auto" w:fill="auto"/>
            <w:vAlign w:val="center"/>
          </w:tcPr>
          <w:p w14:paraId="2F91FA6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81.5</w:t>
            </w:r>
          </w:p>
        </w:tc>
        <w:tc>
          <w:tcPr>
            <w:tcW w:w="181" w:type="pct"/>
            <w:shd w:val="clear" w:color="auto" w:fill="auto"/>
            <w:vAlign w:val="center"/>
          </w:tcPr>
          <w:p w14:paraId="31C9D88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11.5</w:t>
            </w:r>
          </w:p>
        </w:tc>
        <w:tc>
          <w:tcPr>
            <w:tcW w:w="182" w:type="pct"/>
            <w:shd w:val="clear" w:color="auto" w:fill="auto"/>
            <w:vAlign w:val="center"/>
          </w:tcPr>
          <w:p w14:paraId="01A47E5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26.5</w:t>
            </w:r>
          </w:p>
        </w:tc>
        <w:tc>
          <w:tcPr>
            <w:tcW w:w="808" w:type="pct"/>
            <w:shd w:val="clear" w:color="auto" w:fill="auto"/>
            <w:vAlign w:val="center"/>
          </w:tcPr>
          <w:p w14:paraId="716BA967">
            <w:pPr>
              <w:widowControl/>
              <w:rPr>
                <w:rFonts w:ascii="Times New Roman" w:hAnsi="Times New Roman" w:eastAsia="宋体" w:cs="Times New Roman"/>
                <w:kern w:val="0"/>
                <w:szCs w:val="21"/>
              </w:rPr>
            </w:pPr>
            <w:r>
              <w:rPr>
                <w:rFonts w:hint="eastAsia" w:ascii="Times New Roman" w:hAnsi="Times New Roman" w:eastAsia="宋体" w:cs="Times New Roman"/>
              </w:rPr>
              <w:t>隔声房、隔声罩等消声减振装置；</w:t>
            </w:r>
            <w:r>
              <w:rPr>
                <w:rFonts w:hint="eastAsia" w:ascii="Times New Roman" w:hAnsi="Times New Roman" w:eastAsia="宋体" w:cs="Times New Roman"/>
                <w:szCs w:val="21"/>
              </w:rPr>
              <w:t>施工场界围挡内侧加装吸声板材或加高隔声围挡（声屏障）等降噪措施；使用静力压装机等低噪声施工机械</w:t>
            </w:r>
          </w:p>
        </w:tc>
      </w:tr>
      <w:tr w14:paraId="0BC01612">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96" w:type="pct"/>
            <w:vMerge w:val="restart"/>
            <w:shd w:val="clear" w:color="auto" w:fill="auto"/>
            <w:vAlign w:val="center"/>
          </w:tcPr>
          <w:p w14:paraId="5B84234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12</w:t>
            </w:r>
          </w:p>
        </w:tc>
        <w:tc>
          <w:tcPr>
            <w:tcW w:w="336" w:type="pct"/>
            <w:vMerge w:val="restart"/>
            <w:shd w:val="clear" w:color="auto" w:fill="auto"/>
            <w:vAlign w:val="center"/>
          </w:tcPr>
          <w:p w14:paraId="46ACDA5D">
            <w:pPr>
              <w:widowControl/>
              <w:jc w:val="center"/>
              <w:rPr>
                <w:rFonts w:ascii="Times New Roman" w:hAnsi="Times New Roman" w:eastAsia="宋体" w:cs="Times New Roman"/>
                <w:kern w:val="0"/>
                <w:szCs w:val="21"/>
              </w:rPr>
            </w:pPr>
            <w:r>
              <w:rPr>
                <w:rFonts w:ascii="宋体" w:hAnsi="宋体" w:eastAsia="宋体" w:cs="Times New Roman"/>
                <w:kern w:val="0"/>
                <w:szCs w:val="21"/>
              </w:rPr>
              <w:t>夏合亚迪村</w:t>
            </w:r>
          </w:p>
        </w:tc>
        <w:tc>
          <w:tcPr>
            <w:tcW w:w="201" w:type="pct"/>
            <w:vMerge w:val="restart"/>
            <w:shd w:val="clear" w:color="auto" w:fill="auto"/>
            <w:vAlign w:val="center"/>
          </w:tcPr>
          <w:p w14:paraId="6ADFF3B6">
            <w:pPr>
              <w:widowControl/>
              <w:jc w:val="center"/>
              <w:rPr>
                <w:rFonts w:ascii="Times New Roman" w:hAnsi="Times New Roman" w:eastAsia="宋体" w:cs="Times New Roman"/>
                <w:kern w:val="0"/>
                <w:szCs w:val="21"/>
              </w:rPr>
            </w:pPr>
            <w:r>
              <w:rPr>
                <w:rFonts w:ascii="宋体" w:hAnsi="宋体" w:eastAsia="宋体" w:cs="Times New Roman"/>
                <w:kern w:val="0"/>
                <w:szCs w:val="21"/>
              </w:rPr>
              <w:t>路基</w:t>
            </w:r>
          </w:p>
        </w:tc>
        <w:tc>
          <w:tcPr>
            <w:tcW w:w="205" w:type="pct"/>
            <w:shd w:val="clear" w:color="auto" w:fill="auto"/>
            <w:vAlign w:val="center"/>
          </w:tcPr>
          <w:p w14:paraId="1673F7DA">
            <w:pPr>
              <w:widowControl/>
              <w:jc w:val="center"/>
              <w:rPr>
                <w:rFonts w:ascii="Times New Roman" w:hAnsi="Times New Roman" w:eastAsia="宋体" w:cs="Times New Roman"/>
                <w:kern w:val="0"/>
                <w:szCs w:val="21"/>
              </w:rPr>
            </w:pPr>
            <w:r>
              <w:rPr>
                <w:rFonts w:ascii="宋体" w:hAnsi="宋体" w:eastAsia="宋体" w:cs="Times New Roman"/>
                <w:kern w:val="0"/>
                <w:szCs w:val="21"/>
              </w:rPr>
              <w:t>路右</w:t>
            </w:r>
          </w:p>
        </w:tc>
        <w:tc>
          <w:tcPr>
            <w:tcW w:w="312" w:type="pct"/>
            <w:shd w:val="clear" w:color="auto" w:fill="auto"/>
            <w:vAlign w:val="center"/>
          </w:tcPr>
          <w:p w14:paraId="091F529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24</w:t>
            </w:r>
          </w:p>
        </w:tc>
        <w:tc>
          <w:tcPr>
            <w:tcW w:w="180" w:type="pct"/>
            <w:shd w:val="clear" w:color="auto" w:fill="auto"/>
            <w:vAlign w:val="center"/>
          </w:tcPr>
          <w:p w14:paraId="50CEA89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70</w:t>
            </w:r>
          </w:p>
        </w:tc>
        <w:tc>
          <w:tcPr>
            <w:tcW w:w="198" w:type="pct"/>
            <w:shd w:val="clear" w:color="auto" w:fill="auto"/>
            <w:vAlign w:val="center"/>
          </w:tcPr>
          <w:p w14:paraId="5AE0DED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55</w:t>
            </w:r>
          </w:p>
        </w:tc>
        <w:tc>
          <w:tcPr>
            <w:tcW w:w="183" w:type="pct"/>
            <w:shd w:val="clear" w:color="auto" w:fill="auto"/>
            <w:vAlign w:val="center"/>
          </w:tcPr>
          <w:p w14:paraId="625E847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45.5</w:t>
            </w:r>
          </w:p>
        </w:tc>
        <w:tc>
          <w:tcPr>
            <w:tcW w:w="203" w:type="pct"/>
            <w:shd w:val="clear" w:color="auto" w:fill="auto"/>
            <w:vAlign w:val="center"/>
          </w:tcPr>
          <w:p w14:paraId="5477995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38.5</w:t>
            </w:r>
          </w:p>
        </w:tc>
        <w:tc>
          <w:tcPr>
            <w:tcW w:w="181" w:type="pct"/>
            <w:shd w:val="clear" w:color="auto" w:fill="auto"/>
            <w:vAlign w:val="center"/>
          </w:tcPr>
          <w:p w14:paraId="5FA8950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79.3</w:t>
            </w:r>
          </w:p>
        </w:tc>
        <w:tc>
          <w:tcPr>
            <w:tcW w:w="182" w:type="pct"/>
            <w:shd w:val="clear" w:color="auto" w:fill="auto"/>
            <w:vAlign w:val="center"/>
          </w:tcPr>
          <w:p w14:paraId="5C7DE73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79.3</w:t>
            </w:r>
          </w:p>
        </w:tc>
        <w:tc>
          <w:tcPr>
            <w:tcW w:w="181" w:type="pct"/>
            <w:shd w:val="clear" w:color="auto" w:fill="auto"/>
            <w:vAlign w:val="center"/>
          </w:tcPr>
          <w:p w14:paraId="3D10A32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79.3</w:t>
            </w:r>
          </w:p>
        </w:tc>
        <w:tc>
          <w:tcPr>
            <w:tcW w:w="182" w:type="pct"/>
            <w:shd w:val="clear" w:color="auto" w:fill="auto"/>
            <w:vAlign w:val="center"/>
          </w:tcPr>
          <w:p w14:paraId="7F654E2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79.3</w:t>
            </w:r>
          </w:p>
        </w:tc>
        <w:tc>
          <w:tcPr>
            <w:tcW w:w="181" w:type="pct"/>
            <w:shd w:val="clear" w:color="auto" w:fill="auto"/>
            <w:vAlign w:val="center"/>
          </w:tcPr>
          <w:p w14:paraId="09B47D0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9.3</w:t>
            </w:r>
          </w:p>
        </w:tc>
        <w:tc>
          <w:tcPr>
            <w:tcW w:w="182" w:type="pct"/>
            <w:shd w:val="clear" w:color="auto" w:fill="auto"/>
            <w:vAlign w:val="center"/>
          </w:tcPr>
          <w:p w14:paraId="52EDBC6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24.3</w:t>
            </w:r>
          </w:p>
        </w:tc>
        <w:tc>
          <w:tcPr>
            <w:tcW w:w="181" w:type="pct"/>
            <w:shd w:val="clear" w:color="auto" w:fill="auto"/>
            <w:vAlign w:val="center"/>
          </w:tcPr>
          <w:p w14:paraId="6C04120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74.4</w:t>
            </w:r>
          </w:p>
        </w:tc>
        <w:tc>
          <w:tcPr>
            <w:tcW w:w="182" w:type="pct"/>
            <w:shd w:val="clear" w:color="auto" w:fill="auto"/>
            <w:vAlign w:val="center"/>
          </w:tcPr>
          <w:p w14:paraId="5991DB0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74.4</w:t>
            </w:r>
          </w:p>
        </w:tc>
        <w:tc>
          <w:tcPr>
            <w:tcW w:w="181" w:type="pct"/>
            <w:shd w:val="clear" w:color="auto" w:fill="auto"/>
            <w:vAlign w:val="center"/>
          </w:tcPr>
          <w:p w14:paraId="5504E3A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74.4</w:t>
            </w:r>
          </w:p>
        </w:tc>
        <w:tc>
          <w:tcPr>
            <w:tcW w:w="182" w:type="pct"/>
            <w:shd w:val="clear" w:color="auto" w:fill="auto"/>
            <w:vAlign w:val="center"/>
          </w:tcPr>
          <w:p w14:paraId="00CE25C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74.4</w:t>
            </w:r>
          </w:p>
        </w:tc>
        <w:tc>
          <w:tcPr>
            <w:tcW w:w="181" w:type="pct"/>
            <w:shd w:val="clear" w:color="auto" w:fill="auto"/>
            <w:vAlign w:val="center"/>
          </w:tcPr>
          <w:p w14:paraId="2015FE9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4.4</w:t>
            </w:r>
          </w:p>
        </w:tc>
        <w:tc>
          <w:tcPr>
            <w:tcW w:w="182" w:type="pct"/>
            <w:shd w:val="clear" w:color="auto" w:fill="auto"/>
            <w:vAlign w:val="center"/>
          </w:tcPr>
          <w:p w14:paraId="44BBF17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19.4</w:t>
            </w:r>
          </w:p>
        </w:tc>
        <w:tc>
          <w:tcPr>
            <w:tcW w:w="808" w:type="pct"/>
            <w:shd w:val="clear" w:color="auto" w:fill="auto"/>
            <w:vAlign w:val="center"/>
          </w:tcPr>
          <w:p w14:paraId="0F7BF1AB">
            <w:pPr>
              <w:widowControl/>
              <w:rPr>
                <w:rFonts w:ascii="Times New Roman" w:hAnsi="Times New Roman" w:eastAsia="宋体" w:cs="Times New Roman"/>
                <w:kern w:val="0"/>
                <w:szCs w:val="21"/>
              </w:rPr>
            </w:pPr>
            <w:r>
              <w:rPr>
                <w:rFonts w:hint="eastAsia" w:ascii="Times New Roman" w:hAnsi="Times New Roman" w:eastAsia="宋体" w:cs="Times New Roman"/>
                <w:szCs w:val="21"/>
              </w:rPr>
              <w:t>施工场界围挡内侧加装吸声板材或加高隔声围挡（声屏障）等降噪措施；使用静力压装机等低噪声施工机械</w:t>
            </w:r>
          </w:p>
        </w:tc>
      </w:tr>
      <w:tr w14:paraId="3F8F27C1">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96" w:type="pct"/>
            <w:vMerge w:val="continue"/>
            <w:vAlign w:val="center"/>
          </w:tcPr>
          <w:p w14:paraId="24D76FBE">
            <w:pPr>
              <w:widowControl/>
              <w:jc w:val="center"/>
              <w:rPr>
                <w:rFonts w:ascii="Times New Roman" w:hAnsi="Times New Roman" w:eastAsia="宋体" w:cs="Times New Roman"/>
                <w:kern w:val="0"/>
                <w:szCs w:val="21"/>
              </w:rPr>
            </w:pPr>
          </w:p>
        </w:tc>
        <w:tc>
          <w:tcPr>
            <w:tcW w:w="336" w:type="pct"/>
            <w:vMerge w:val="continue"/>
            <w:vAlign w:val="center"/>
          </w:tcPr>
          <w:p w14:paraId="0827666A">
            <w:pPr>
              <w:widowControl/>
              <w:jc w:val="center"/>
              <w:rPr>
                <w:rFonts w:ascii="Times New Roman" w:hAnsi="Times New Roman" w:eastAsia="宋体" w:cs="Times New Roman"/>
                <w:kern w:val="0"/>
                <w:szCs w:val="21"/>
              </w:rPr>
            </w:pPr>
          </w:p>
        </w:tc>
        <w:tc>
          <w:tcPr>
            <w:tcW w:w="201" w:type="pct"/>
            <w:vMerge w:val="continue"/>
            <w:vAlign w:val="center"/>
          </w:tcPr>
          <w:p w14:paraId="7FF76171">
            <w:pPr>
              <w:widowControl/>
              <w:jc w:val="center"/>
              <w:rPr>
                <w:rFonts w:ascii="Times New Roman" w:hAnsi="Times New Roman" w:eastAsia="宋体" w:cs="Times New Roman"/>
                <w:kern w:val="0"/>
                <w:szCs w:val="21"/>
              </w:rPr>
            </w:pPr>
          </w:p>
        </w:tc>
        <w:tc>
          <w:tcPr>
            <w:tcW w:w="205" w:type="pct"/>
            <w:shd w:val="clear" w:color="auto" w:fill="auto"/>
            <w:vAlign w:val="center"/>
          </w:tcPr>
          <w:p w14:paraId="3AD4D157">
            <w:pPr>
              <w:widowControl/>
              <w:jc w:val="center"/>
              <w:rPr>
                <w:rFonts w:ascii="Times New Roman" w:hAnsi="Times New Roman" w:eastAsia="宋体" w:cs="Times New Roman"/>
                <w:kern w:val="0"/>
                <w:szCs w:val="21"/>
              </w:rPr>
            </w:pPr>
            <w:r>
              <w:rPr>
                <w:rFonts w:ascii="宋体" w:hAnsi="宋体" w:eastAsia="宋体" w:cs="Times New Roman"/>
                <w:kern w:val="0"/>
                <w:szCs w:val="21"/>
              </w:rPr>
              <w:t>两侧</w:t>
            </w:r>
          </w:p>
        </w:tc>
        <w:tc>
          <w:tcPr>
            <w:tcW w:w="312" w:type="pct"/>
            <w:shd w:val="clear" w:color="auto" w:fill="auto"/>
            <w:vAlign w:val="center"/>
          </w:tcPr>
          <w:p w14:paraId="26ED56D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w:t>
            </w:r>
          </w:p>
        </w:tc>
        <w:tc>
          <w:tcPr>
            <w:tcW w:w="180" w:type="pct"/>
            <w:shd w:val="clear" w:color="auto" w:fill="auto"/>
            <w:vAlign w:val="center"/>
          </w:tcPr>
          <w:p w14:paraId="24CF448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70</w:t>
            </w:r>
          </w:p>
        </w:tc>
        <w:tc>
          <w:tcPr>
            <w:tcW w:w="198" w:type="pct"/>
            <w:shd w:val="clear" w:color="auto" w:fill="auto"/>
            <w:vAlign w:val="center"/>
          </w:tcPr>
          <w:p w14:paraId="730E9CB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55</w:t>
            </w:r>
          </w:p>
        </w:tc>
        <w:tc>
          <w:tcPr>
            <w:tcW w:w="183" w:type="pct"/>
            <w:shd w:val="clear" w:color="auto" w:fill="auto"/>
            <w:vAlign w:val="center"/>
          </w:tcPr>
          <w:p w14:paraId="1DB881C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45.5</w:t>
            </w:r>
          </w:p>
        </w:tc>
        <w:tc>
          <w:tcPr>
            <w:tcW w:w="203" w:type="pct"/>
            <w:shd w:val="clear" w:color="auto" w:fill="auto"/>
            <w:vAlign w:val="center"/>
          </w:tcPr>
          <w:p w14:paraId="5EBC4A2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38.5</w:t>
            </w:r>
          </w:p>
        </w:tc>
        <w:tc>
          <w:tcPr>
            <w:tcW w:w="181" w:type="pct"/>
            <w:shd w:val="clear" w:color="auto" w:fill="auto"/>
            <w:vAlign w:val="center"/>
          </w:tcPr>
          <w:p w14:paraId="402D980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85.2</w:t>
            </w:r>
          </w:p>
        </w:tc>
        <w:tc>
          <w:tcPr>
            <w:tcW w:w="182" w:type="pct"/>
            <w:shd w:val="clear" w:color="auto" w:fill="auto"/>
            <w:vAlign w:val="center"/>
          </w:tcPr>
          <w:p w14:paraId="337A0D3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85.2</w:t>
            </w:r>
          </w:p>
        </w:tc>
        <w:tc>
          <w:tcPr>
            <w:tcW w:w="181" w:type="pct"/>
            <w:shd w:val="clear" w:color="auto" w:fill="auto"/>
            <w:vAlign w:val="center"/>
          </w:tcPr>
          <w:p w14:paraId="20D3BFF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85.2</w:t>
            </w:r>
          </w:p>
        </w:tc>
        <w:tc>
          <w:tcPr>
            <w:tcW w:w="182" w:type="pct"/>
            <w:shd w:val="clear" w:color="auto" w:fill="auto"/>
            <w:vAlign w:val="center"/>
          </w:tcPr>
          <w:p w14:paraId="4A492F7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85.2</w:t>
            </w:r>
          </w:p>
        </w:tc>
        <w:tc>
          <w:tcPr>
            <w:tcW w:w="181" w:type="pct"/>
            <w:shd w:val="clear" w:color="auto" w:fill="auto"/>
            <w:vAlign w:val="center"/>
          </w:tcPr>
          <w:p w14:paraId="1FC9C9C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15.2</w:t>
            </w:r>
          </w:p>
        </w:tc>
        <w:tc>
          <w:tcPr>
            <w:tcW w:w="182" w:type="pct"/>
            <w:shd w:val="clear" w:color="auto" w:fill="auto"/>
            <w:vAlign w:val="center"/>
          </w:tcPr>
          <w:p w14:paraId="3701C9D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30.2</w:t>
            </w:r>
          </w:p>
        </w:tc>
        <w:tc>
          <w:tcPr>
            <w:tcW w:w="181" w:type="pct"/>
            <w:shd w:val="clear" w:color="auto" w:fill="auto"/>
            <w:vAlign w:val="center"/>
          </w:tcPr>
          <w:p w14:paraId="49BF259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80.2</w:t>
            </w:r>
          </w:p>
        </w:tc>
        <w:tc>
          <w:tcPr>
            <w:tcW w:w="182" w:type="pct"/>
            <w:shd w:val="clear" w:color="auto" w:fill="auto"/>
            <w:vAlign w:val="center"/>
          </w:tcPr>
          <w:p w14:paraId="1B2FBD0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80.2</w:t>
            </w:r>
          </w:p>
        </w:tc>
        <w:tc>
          <w:tcPr>
            <w:tcW w:w="181" w:type="pct"/>
            <w:shd w:val="clear" w:color="auto" w:fill="auto"/>
            <w:vAlign w:val="center"/>
          </w:tcPr>
          <w:p w14:paraId="4E9CD97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80.2</w:t>
            </w:r>
          </w:p>
        </w:tc>
        <w:tc>
          <w:tcPr>
            <w:tcW w:w="182" w:type="pct"/>
            <w:shd w:val="clear" w:color="auto" w:fill="auto"/>
            <w:vAlign w:val="center"/>
          </w:tcPr>
          <w:p w14:paraId="666E150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80.2</w:t>
            </w:r>
          </w:p>
        </w:tc>
        <w:tc>
          <w:tcPr>
            <w:tcW w:w="181" w:type="pct"/>
            <w:shd w:val="clear" w:color="auto" w:fill="auto"/>
            <w:vAlign w:val="center"/>
          </w:tcPr>
          <w:p w14:paraId="2BCBBF2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10.2</w:t>
            </w:r>
          </w:p>
        </w:tc>
        <w:tc>
          <w:tcPr>
            <w:tcW w:w="182" w:type="pct"/>
            <w:shd w:val="clear" w:color="auto" w:fill="auto"/>
            <w:vAlign w:val="center"/>
          </w:tcPr>
          <w:p w14:paraId="14EE8DA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25.2</w:t>
            </w:r>
          </w:p>
        </w:tc>
        <w:tc>
          <w:tcPr>
            <w:tcW w:w="808" w:type="pct"/>
            <w:shd w:val="clear" w:color="auto" w:fill="auto"/>
            <w:vAlign w:val="center"/>
          </w:tcPr>
          <w:p w14:paraId="6C850501">
            <w:pPr>
              <w:widowControl/>
              <w:rPr>
                <w:rFonts w:ascii="Times New Roman" w:hAnsi="Times New Roman" w:eastAsia="宋体" w:cs="Times New Roman"/>
                <w:kern w:val="0"/>
                <w:szCs w:val="21"/>
              </w:rPr>
            </w:pPr>
            <w:r>
              <w:rPr>
                <w:rFonts w:hint="eastAsia" w:ascii="Times New Roman" w:hAnsi="Times New Roman" w:eastAsia="宋体" w:cs="Times New Roman"/>
              </w:rPr>
              <w:t>隔声房、隔声罩等消声减振装置；</w:t>
            </w:r>
            <w:r>
              <w:rPr>
                <w:rFonts w:hint="eastAsia" w:ascii="Times New Roman" w:hAnsi="Times New Roman" w:eastAsia="宋体" w:cs="Times New Roman"/>
                <w:szCs w:val="21"/>
              </w:rPr>
              <w:t>施工场界围挡内侧加装吸声板材或加高隔声围挡（声屏障）等降噪措施；使用静力压装机等低噪声施工机械</w:t>
            </w:r>
          </w:p>
        </w:tc>
      </w:tr>
      <w:tr w14:paraId="7B219FAA">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96" w:type="pct"/>
            <w:shd w:val="clear" w:color="auto" w:fill="auto"/>
            <w:vAlign w:val="center"/>
          </w:tcPr>
          <w:p w14:paraId="4606D08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13</w:t>
            </w:r>
          </w:p>
        </w:tc>
        <w:tc>
          <w:tcPr>
            <w:tcW w:w="336" w:type="pct"/>
            <w:shd w:val="clear" w:color="auto" w:fill="auto"/>
            <w:vAlign w:val="center"/>
          </w:tcPr>
          <w:p w14:paraId="18085E8D">
            <w:pPr>
              <w:widowControl/>
              <w:jc w:val="center"/>
              <w:rPr>
                <w:rFonts w:ascii="Times New Roman" w:hAnsi="Times New Roman" w:eastAsia="宋体" w:cs="Times New Roman"/>
                <w:kern w:val="0"/>
                <w:szCs w:val="21"/>
              </w:rPr>
            </w:pPr>
            <w:r>
              <w:rPr>
                <w:rFonts w:ascii="宋体" w:hAnsi="宋体" w:eastAsia="宋体" w:cs="Times New Roman"/>
                <w:kern w:val="0"/>
                <w:szCs w:val="21"/>
              </w:rPr>
              <w:t>夏合亚迪村小学</w:t>
            </w:r>
          </w:p>
        </w:tc>
        <w:tc>
          <w:tcPr>
            <w:tcW w:w="201" w:type="pct"/>
            <w:shd w:val="clear" w:color="auto" w:fill="auto"/>
            <w:vAlign w:val="center"/>
          </w:tcPr>
          <w:p w14:paraId="60EDFBF5">
            <w:pPr>
              <w:widowControl/>
              <w:jc w:val="center"/>
              <w:rPr>
                <w:rFonts w:ascii="Times New Roman" w:hAnsi="Times New Roman" w:eastAsia="宋体" w:cs="Times New Roman"/>
                <w:kern w:val="0"/>
                <w:szCs w:val="21"/>
              </w:rPr>
            </w:pPr>
            <w:r>
              <w:rPr>
                <w:rFonts w:ascii="宋体" w:hAnsi="宋体" w:eastAsia="宋体" w:cs="Times New Roman"/>
                <w:kern w:val="0"/>
                <w:szCs w:val="21"/>
              </w:rPr>
              <w:t>路基</w:t>
            </w:r>
          </w:p>
        </w:tc>
        <w:tc>
          <w:tcPr>
            <w:tcW w:w="205" w:type="pct"/>
            <w:shd w:val="clear" w:color="auto" w:fill="auto"/>
            <w:vAlign w:val="center"/>
          </w:tcPr>
          <w:p w14:paraId="27B27C82">
            <w:pPr>
              <w:widowControl/>
              <w:jc w:val="center"/>
              <w:rPr>
                <w:rFonts w:ascii="Times New Roman" w:hAnsi="Times New Roman" w:eastAsia="宋体" w:cs="Times New Roman"/>
                <w:kern w:val="0"/>
                <w:szCs w:val="21"/>
              </w:rPr>
            </w:pPr>
            <w:r>
              <w:rPr>
                <w:rFonts w:ascii="宋体" w:hAnsi="宋体" w:eastAsia="宋体" w:cs="Times New Roman"/>
                <w:kern w:val="0"/>
                <w:szCs w:val="21"/>
              </w:rPr>
              <w:t>路右</w:t>
            </w:r>
          </w:p>
        </w:tc>
        <w:tc>
          <w:tcPr>
            <w:tcW w:w="312" w:type="pct"/>
            <w:shd w:val="clear" w:color="auto" w:fill="auto"/>
            <w:vAlign w:val="center"/>
          </w:tcPr>
          <w:p w14:paraId="46866EC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126</w:t>
            </w:r>
          </w:p>
        </w:tc>
        <w:tc>
          <w:tcPr>
            <w:tcW w:w="180" w:type="pct"/>
            <w:shd w:val="clear" w:color="auto" w:fill="auto"/>
            <w:vAlign w:val="center"/>
          </w:tcPr>
          <w:p w14:paraId="12FEEAE2">
            <w:pPr>
              <w:widowControl/>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60</w:t>
            </w:r>
          </w:p>
        </w:tc>
        <w:tc>
          <w:tcPr>
            <w:tcW w:w="198" w:type="pct"/>
            <w:shd w:val="clear" w:color="auto" w:fill="auto"/>
            <w:vAlign w:val="center"/>
          </w:tcPr>
          <w:p w14:paraId="07EF2FDE">
            <w:pPr>
              <w:widowControl/>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50</w:t>
            </w:r>
          </w:p>
        </w:tc>
        <w:tc>
          <w:tcPr>
            <w:tcW w:w="183" w:type="pct"/>
            <w:shd w:val="clear" w:color="auto" w:fill="auto"/>
            <w:vAlign w:val="center"/>
          </w:tcPr>
          <w:p w14:paraId="2C8CBA0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45.5</w:t>
            </w:r>
          </w:p>
        </w:tc>
        <w:tc>
          <w:tcPr>
            <w:tcW w:w="203" w:type="pct"/>
            <w:shd w:val="clear" w:color="auto" w:fill="auto"/>
            <w:vAlign w:val="center"/>
          </w:tcPr>
          <w:p w14:paraId="64AC118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38.5</w:t>
            </w:r>
          </w:p>
        </w:tc>
        <w:tc>
          <w:tcPr>
            <w:tcW w:w="181" w:type="pct"/>
            <w:shd w:val="clear" w:color="auto" w:fill="auto"/>
            <w:vAlign w:val="center"/>
          </w:tcPr>
          <w:p w14:paraId="33BD833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67.8</w:t>
            </w:r>
          </w:p>
        </w:tc>
        <w:tc>
          <w:tcPr>
            <w:tcW w:w="182" w:type="pct"/>
            <w:shd w:val="clear" w:color="auto" w:fill="auto"/>
            <w:vAlign w:val="center"/>
          </w:tcPr>
          <w:p w14:paraId="1DB7F6B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67.8</w:t>
            </w:r>
          </w:p>
        </w:tc>
        <w:tc>
          <w:tcPr>
            <w:tcW w:w="181" w:type="pct"/>
            <w:shd w:val="clear" w:color="auto" w:fill="auto"/>
            <w:vAlign w:val="center"/>
          </w:tcPr>
          <w:p w14:paraId="25696DD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67.8</w:t>
            </w:r>
          </w:p>
        </w:tc>
        <w:tc>
          <w:tcPr>
            <w:tcW w:w="182" w:type="pct"/>
            <w:shd w:val="clear" w:color="auto" w:fill="auto"/>
            <w:vAlign w:val="center"/>
          </w:tcPr>
          <w:p w14:paraId="5B40035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67.8</w:t>
            </w:r>
          </w:p>
        </w:tc>
        <w:tc>
          <w:tcPr>
            <w:tcW w:w="181" w:type="pct"/>
            <w:shd w:val="clear" w:color="auto" w:fill="auto"/>
            <w:vAlign w:val="center"/>
          </w:tcPr>
          <w:p w14:paraId="5292B97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7.8</w:t>
            </w:r>
          </w:p>
        </w:tc>
        <w:tc>
          <w:tcPr>
            <w:tcW w:w="182" w:type="pct"/>
            <w:shd w:val="clear" w:color="auto" w:fill="auto"/>
            <w:vAlign w:val="center"/>
          </w:tcPr>
          <w:p w14:paraId="3647867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17.8</w:t>
            </w:r>
          </w:p>
        </w:tc>
        <w:tc>
          <w:tcPr>
            <w:tcW w:w="181" w:type="pct"/>
            <w:shd w:val="clear" w:color="auto" w:fill="auto"/>
            <w:vAlign w:val="center"/>
          </w:tcPr>
          <w:p w14:paraId="0D961EC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62.8</w:t>
            </w:r>
          </w:p>
        </w:tc>
        <w:tc>
          <w:tcPr>
            <w:tcW w:w="182" w:type="pct"/>
            <w:shd w:val="clear" w:color="auto" w:fill="auto"/>
            <w:vAlign w:val="center"/>
          </w:tcPr>
          <w:p w14:paraId="29CCEB2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62.8</w:t>
            </w:r>
          </w:p>
        </w:tc>
        <w:tc>
          <w:tcPr>
            <w:tcW w:w="181" w:type="pct"/>
            <w:shd w:val="clear" w:color="auto" w:fill="auto"/>
            <w:vAlign w:val="center"/>
          </w:tcPr>
          <w:p w14:paraId="3453294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62.9</w:t>
            </w:r>
          </w:p>
        </w:tc>
        <w:tc>
          <w:tcPr>
            <w:tcW w:w="182" w:type="pct"/>
            <w:shd w:val="clear" w:color="auto" w:fill="auto"/>
            <w:vAlign w:val="center"/>
          </w:tcPr>
          <w:p w14:paraId="6F066CD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62.9</w:t>
            </w:r>
          </w:p>
        </w:tc>
        <w:tc>
          <w:tcPr>
            <w:tcW w:w="181" w:type="pct"/>
            <w:shd w:val="clear" w:color="auto" w:fill="auto"/>
            <w:vAlign w:val="center"/>
          </w:tcPr>
          <w:p w14:paraId="702F3C3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2.9</w:t>
            </w:r>
          </w:p>
        </w:tc>
        <w:tc>
          <w:tcPr>
            <w:tcW w:w="182" w:type="pct"/>
            <w:shd w:val="clear" w:color="auto" w:fill="auto"/>
            <w:vAlign w:val="center"/>
          </w:tcPr>
          <w:p w14:paraId="5389E6C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12.9</w:t>
            </w:r>
          </w:p>
        </w:tc>
        <w:tc>
          <w:tcPr>
            <w:tcW w:w="808" w:type="pct"/>
            <w:shd w:val="clear" w:color="auto" w:fill="auto"/>
            <w:vAlign w:val="center"/>
          </w:tcPr>
          <w:p w14:paraId="1F072A1B">
            <w:pPr>
              <w:widowControl/>
              <w:rPr>
                <w:rFonts w:ascii="Times New Roman" w:hAnsi="Times New Roman" w:eastAsia="宋体" w:cs="Times New Roman"/>
                <w:kern w:val="0"/>
                <w:szCs w:val="21"/>
              </w:rPr>
            </w:pPr>
            <w:r>
              <w:rPr>
                <w:rFonts w:hint="eastAsia" w:ascii="Times New Roman" w:hAnsi="Times New Roman" w:eastAsia="宋体" w:cs="Times New Roman"/>
              </w:rPr>
              <w:t>隔声房、隔声罩等消声减振装置、施工围挡；使用静力式压路机等低噪声施工机械</w:t>
            </w:r>
          </w:p>
        </w:tc>
      </w:tr>
      <w:tr w14:paraId="003043E1">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96" w:type="pct"/>
            <w:shd w:val="clear" w:color="auto" w:fill="auto"/>
            <w:vAlign w:val="center"/>
          </w:tcPr>
          <w:p w14:paraId="7255720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14</w:t>
            </w:r>
          </w:p>
        </w:tc>
        <w:tc>
          <w:tcPr>
            <w:tcW w:w="336" w:type="pct"/>
            <w:shd w:val="clear" w:color="auto" w:fill="auto"/>
            <w:vAlign w:val="center"/>
          </w:tcPr>
          <w:p w14:paraId="6FD1A182">
            <w:pPr>
              <w:widowControl/>
              <w:jc w:val="center"/>
              <w:rPr>
                <w:rFonts w:ascii="Times New Roman" w:hAnsi="Times New Roman" w:eastAsia="宋体" w:cs="Times New Roman"/>
                <w:kern w:val="0"/>
                <w:szCs w:val="21"/>
              </w:rPr>
            </w:pPr>
            <w:r>
              <w:rPr>
                <w:rFonts w:ascii="宋体" w:hAnsi="宋体" w:eastAsia="宋体" w:cs="Times New Roman"/>
                <w:kern w:val="0"/>
                <w:szCs w:val="21"/>
              </w:rPr>
              <w:t>伽师县和夏阿瓦提镇夏合亚迪村幼儿园</w:t>
            </w:r>
          </w:p>
        </w:tc>
        <w:tc>
          <w:tcPr>
            <w:tcW w:w="201" w:type="pct"/>
            <w:shd w:val="clear" w:color="auto" w:fill="auto"/>
            <w:vAlign w:val="center"/>
          </w:tcPr>
          <w:p w14:paraId="4044725A">
            <w:pPr>
              <w:widowControl/>
              <w:jc w:val="center"/>
              <w:rPr>
                <w:rFonts w:ascii="Times New Roman" w:hAnsi="Times New Roman" w:eastAsia="宋体" w:cs="Times New Roman"/>
                <w:kern w:val="0"/>
                <w:szCs w:val="21"/>
              </w:rPr>
            </w:pPr>
            <w:r>
              <w:rPr>
                <w:rFonts w:ascii="宋体" w:hAnsi="宋体" w:eastAsia="宋体" w:cs="Times New Roman"/>
                <w:kern w:val="0"/>
                <w:szCs w:val="21"/>
              </w:rPr>
              <w:t>路基</w:t>
            </w:r>
          </w:p>
        </w:tc>
        <w:tc>
          <w:tcPr>
            <w:tcW w:w="205" w:type="pct"/>
            <w:shd w:val="clear" w:color="auto" w:fill="auto"/>
            <w:vAlign w:val="center"/>
          </w:tcPr>
          <w:p w14:paraId="549EE2BD">
            <w:pPr>
              <w:widowControl/>
              <w:jc w:val="center"/>
              <w:rPr>
                <w:rFonts w:ascii="Times New Roman" w:hAnsi="Times New Roman" w:eastAsia="宋体" w:cs="Times New Roman"/>
                <w:kern w:val="0"/>
                <w:szCs w:val="21"/>
              </w:rPr>
            </w:pPr>
            <w:r>
              <w:rPr>
                <w:rFonts w:ascii="宋体" w:hAnsi="宋体" w:eastAsia="宋体" w:cs="Times New Roman"/>
                <w:kern w:val="0"/>
                <w:szCs w:val="21"/>
              </w:rPr>
              <w:t>路左</w:t>
            </w:r>
          </w:p>
        </w:tc>
        <w:tc>
          <w:tcPr>
            <w:tcW w:w="312" w:type="pct"/>
            <w:shd w:val="clear" w:color="auto" w:fill="auto"/>
            <w:vAlign w:val="center"/>
          </w:tcPr>
          <w:p w14:paraId="20B6157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51.5</w:t>
            </w:r>
          </w:p>
        </w:tc>
        <w:tc>
          <w:tcPr>
            <w:tcW w:w="180" w:type="pct"/>
            <w:shd w:val="clear" w:color="auto" w:fill="auto"/>
            <w:vAlign w:val="center"/>
          </w:tcPr>
          <w:p w14:paraId="76AB4E8C">
            <w:pPr>
              <w:widowControl/>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60</w:t>
            </w:r>
          </w:p>
        </w:tc>
        <w:tc>
          <w:tcPr>
            <w:tcW w:w="198" w:type="pct"/>
            <w:shd w:val="clear" w:color="auto" w:fill="auto"/>
            <w:vAlign w:val="center"/>
          </w:tcPr>
          <w:p w14:paraId="3764D0EE">
            <w:pPr>
              <w:widowControl/>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50</w:t>
            </w:r>
          </w:p>
        </w:tc>
        <w:tc>
          <w:tcPr>
            <w:tcW w:w="183" w:type="pct"/>
            <w:shd w:val="clear" w:color="auto" w:fill="auto"/>
            <w:vAlign w:val="center"/>
          </w:tcPr>
          <w:p w14:paraId="71A30CF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45.5</w:t>
            </w:r>
          </w:p>
        </w:tc>
        <w:tc>
          <w:tcPr>
            <w:tcW w:w="203" w:type="pct"/>
            <w:shd w:val="clear" w:color="auto" w:fill="auto"/>
            <w:vAlign w:val="center"/>
          </w:tcPr>
          <w:p w14:paraId="11AAE95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38.5</w:t>
            </w:r>
          </w:p>
        </w:tc>
        <w:tc>
          <w:tcPr>
            <w:tcW w:w="181" w:type="pct"/>
            <w:shd w:val="clear" w:color="auto" w:fill="auto"/>
            <w:vAlign w:val="center"/>
          </w:tcPr>
          <w:p w14:paraId="79BC991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74.5</w:t>
            </w:r>
          </w:p>
        </w:tc>
        <w:tc>
          <w:tcPr>
            <w:tcW w:w="182" w:type="pct"/>
            <w:shd w:val="clear" w:color="auto" w:fill="auto"/>
            <w:vAlign w:val="center"/>
          </w:tcPr>
          <w:p w14:paraId="51B3F70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74.5</w:t>
            </w:r>
          </w:p>
        </w:tc>
        <w:tc>
          <w:tcPr>
            <w:tcW w:w="181" w:type="pct"/>
            <w:shd w:val="clear" w:color="auto" w:fill="auto"/>
            <w:vAlign w:val="center"/>
          </w:tcPr>
          <w:p w14:paraId="722FEA7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74.5</w:t>
            </w:r>
          </w:p>
        </w:tc>
        <w:tc>
          <w:tcPr>
            <w:tcW w:w="182" w:type="pct"/>
            <w:shd w:val="clear" w:color="auto" w:fill="auto"/>
            <w:vAlign w:val="center"/>
          </w:tcPr>
          <w:p w14:paraId="1D6A97C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74.5</w:t>
            </w:r>
          </w:p>
        </w:tc>
        <w:tc>
          <w:tcPr>
            <w:tcW w:w="181" w:type="pct"/>
            <w:shd w:val="clear" w:color="auto" w:fill="auto"/>
            <w:vAlign w:val="center"/>
          </w:tcPr>
          <w:p w14:paraId="4B61C57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14.5</w:t>
            </w:r>
          </w:p>
        </w:tc>
        <w:tc>
          <w:tcPr>
            <w:tcW w:w="182" w:type="pct"/>
            <w:shd w:val="clear" w:color="auto" w:fill="auto"/>
            <w:vAlign w:val="center"/>
          </w:tcPr>
          <w:p w14:paraId="64F9AB0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24.5</w:t>
            </w:r>
          </w:p>
        </w:tc>
        <w:tc>
          <w:tcPr>
            <w:tcW w:w="181" w:type="pct"/>
            <w:shd w:val="clear" w:color="auto" w:fill="auto"/>
            <w:vAlign w:val="center"/>
          </w:tcPr>
          <w:p w14:paraId="785CF7C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69.5</w:t>
            </w:r>
          </w:p>
        </w:tc>
        <w:tc>
          <w:tcPr>
            <w:tcW w:w="182" w:type="pct"/>
            <w:shd w:val="clear" w:color="auto" w:fill="auto"/>
            <w:vAlign w:val="center"/>
          </w:tcPr>
          <w:p w14:paraId="6B9ACC7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69.5</w:t>
            </w:r>
          </w:p>
        </w:tc>
        <w:tc>
          <w:tcPr>
            <w:tcW w:w="181" w:type="pct"/>
            <w:shd w:val="clear" w:color="auto" w:fill="auto"/>
            <w:vAlign w:val="center"/>
          </w:tcPr>
          <w:p w14:paraId="2E771EB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69.5</w:t>
            </w:r>
          </w:p>
        </w:tc>
        <w:tc>
          <w:tcPr>
            <w:tcW w:w="182" w:type="pct"/>
            <w:shd w:val="clear" w:color="auto" w:fill="auto"/>
            <w:vAlign w:val="center"/>
          </w:tcPr>
          <w:p w14:paraId="78096C7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69.5</w:t>
            </w:r>
          </w:p>
        </w:tc>
        <w:tc>
          <w:tcPr>
            <w:tcW w:w="181" w:type="pct"/>
            <w:shd w:val="clear" w:color="auto" w:fill="auto"/>
            <w:vAlign w:val="center"/>
          </w:tcPr>
          <w:p w14:paraId="7C413BA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9.5</w:t>
            </w:r>
          </w:p>
        </w:tc>
        <w:tc>
          <w:tcPr>
            <w:tcW w:w="182" w:type="pct"/>
            <w:shd w:val="clear" w:color="auto" w:fill="auto"/>
            <w:vAlign w:val="center"/>
          </w:tcPr>
          <w:p w14:paraId="36B4D35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19.5</w:t>
            </w:r>
          </w:p>
        </w:tc>
        <w:tc>
          <w:tcPr>
            <w:tcW w:w="808" w:type="pct"/>
            <w:shd w:val="clear" w:color="auto" w:fill="auto"/>
            <w:vAlign w:val="center"/>
          </w:tcPr>
          <w:p w14:paraId="54F2613D">
            <w:pPr>
              <w:widowControl/>
              <w:rPr>
                <w:rFonts w:ascii="Times New Roman" w:hAnsi="Times New Roman" w:eastAsia="宋体" w:cs="Times New Roman"/>
                <w:kern w:val="0"/>
                <w:szCs w:val="21"/>
              </w:rPr>
            </w:pPr>
            <w:r>
              <w:rPr>
                <w:rFonts w:hint="eastAsia" w:ascii="Times New Roman" w:hAnsi="Times New Roman" w:eastAsia="宋体" w:cs="Times New Roman"/>
              </w:rPr>
              <w:t>隔声房、隔声罩等消声减振装置、施工围挡；使用静力式压路机等低噪声施工机械</w:t>
            </w:r>
          </w:p>
        </w:tc>
      </w:tr>
      <w:tr w14:paraId="3D8D2543">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96" w:type="pct"/>
            <w:shd w:val="clear" w:color="auto" w:fill="auto"/>
            <w:vAlign w:val="center"/>
          </w:tcPr>
          <w:p w14:paraId="294EBEF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15</w:t>
            </w:r>
          </w:p>
        </w:tc>
        <w:tc>
          <w:tcPr>
            <w:tcW w:w="336" w:type="pct"/>
            <w:shd w:val="clear" w:color="auto" w:fill="auto"/>
            <w:vAlign w:val="center"/>
          </w:tcPr>
          <w:p w14:paraId="4A11789E">
            <w:pPr>
              <w:widowControl/>
              <w:jc w:val="center"/>
              <w:rPr>
                <w:rFonts w:ascii="Times New Roman" w:hAnsi="Times New Roman" w:eastAsia="宋体" w:cs="Times New Roman"/>
                <w:kern w:val="0"/>
                <w:szCs w:val="21"/>
              </w:rPr>
            </w:pPr>
            <w:r>
              <w:rPr>
                <w:rFonts w:ascii="宋体" w:hAnsi="宋体" w:eastAsia="宋体" w:cs="Times New Roman"/>
                <w:kern w:val="0"/>
                <w:szCs w:val="21"/>
              </w:rPr>
              <w:t>帕合塔买里斯村</w:t>
            </w:r>
          </w:p>
        </w:tc>
        <w:tc>
          <w:tcPr>
            <w:tcW w:w="201" w:type="pct"/>
            <w:shd w:val="clear" w:color="auto" w:fill="auto"/>
            <w:vAlign w:val="center"/>
          </w:tcPr>
          <w:p w14:paraId="4565D224">
            <w:pPr>
              <w:widowControl/>
              <w:jc w:val="center"/>
              <w:rPr>
                <w:rFonts w:ascii="Times New Roman" w:hAnsi="Times New Roman" w:eastAsia="宋体" w:cs="Times New Roman"/>
                <w:kern w:val="0"/>
                <w:szCs w:val="21"/>
              </w:rPr>
            </w:pPr>
            <w:r>
              <w:rPr>
                <w:rFonts w:ascii="宋体" w:hAnsi="宋体" w:eastAsia="宋体" w:cs="Times New Roman"/>
                <w:kern w:val="0"/>
                <w:szCs w:val="21"/>
              </w:rPr>
              <w:t>路基</w:t>
            </w:r>
          </w:p>
        </w:tc>
        <w:tc>
          <w:tcPr>
            <w:tcW w:w="205" w:type="pct"/>
            <w:shd w:val="clear" w:color="auto" w:fill="auto"/>
            <w:vAlign w:val="center"/>
          </w:tcPr>
          <w:p w14:paraId="7371C872">
            <w:pPr>
              <w:widowControl/>
              <w:jc w:val="center"/>
              <w:rPr>
                <w:rFonts w:ascii="Times New Roman" w:hAnsi="Times New Roman" w:eastAsia="宋体" w:cs="Times New Roman"/>
                <w:kern w:val="0"/>
                <w:szCs w:val="21"/>
              </w:rPr>
            </w:pPr>
            <w:r>
              <w:rPr>
                <w:rFonts w:ascii="宋体" w:hAnsi="宋体" w:eastAsia="宋体" w:cs="Times New Roman"/>
                <w:kern w:val="0"/>
                <w:szCs w:val="21"/>
              </w:rPr>
              <w:t>两侧</w:t>
            </w:r>
          </w:p>
        </w:tc>
        <w:tc>
          <w:tcPr>
            <w:tcW w:w="312" w:type="pct"/>
            <w:shd w:val="clear" w:color="auto" w:fill="auto"/>
            <w:vAlign w:val="center"/>
          </w:tcPr>
          <w:p w14:paraId="77555EC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w:t>
            </w:r>
          </w:p>
        </w:tc>
        <w:tc>
          <w:tcPr>
            <w:tcW w:w="180" w:type="pct"/>
            <w:shd w:val="clear" w:color="auto" w:fill="auto"/>
            <w:vAlign w:val="center"/>
          </w:tcPr>
          <w:p w14:paraId="0277A62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70</w:t>
            </w:r>
          </w:p>
        </w:tc>
        <w:tc>
          <w:tcPr>
            <w:tcW w:w="198" w:type="pct"/>
            <w:shd w:val="clear" w:color="auto" w:fill="auto"/>
            <w:vAlign w:val="center"/>
          </w:tcPr>
          <w:p w14:paraId="5FF9A24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55</w:t>
            </w:r>
          </w:p>
        </w:tc>
        <w:tc>
          <w:tcPr>
            <w:tcW w:w="183" w:type="pct"/>
            <w:shd w:val="clear" w:color="auto" w:fill="auto"/>
            <w:vAlign w:val="center"/>
          </w:tcPr>
          <w:p w14:paraId="300184B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44.5</w:t>
            </w:r>
          </w:p>
        </w:tc>
        <w:tc>
          <w:tcPr>
            <w:tcW w:w="203" w:type="pct"/>
            <w:shd w:val="clear" w:color="auto" w:fill="auto"/>
            <w:vAlign w:val="center"/>
          </w:tcPr>
          <w:p w14:paraId="2A1CC9D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37.5</w:t>
            </w:r>
          </w:p>
        </w:tc>
        <w:tc>
          <w:tcPr>
            <w:tcW w:w="181" w:type="pct"/>
            <w:shd w:val="clear" w:color="auto" w:fill="auto"/>
            <w:vAlign w:val="center"/>
          </w:tcPr>
          <w:p w14:paraId="728D8F0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84.7</w:t>
            </w:r>
          </w:p>
        </w:tc>
        <w:tc>
          <w:tcPr>
            <w:tcW w:w="182" w:type="pct"/>
            <w:shd w:val="clear" w:color="auto" w:fill="auto"/>
            <w:vAlign w:val="center"/>
          </w:tcPr>
          <w:p w14:paraId="04E257C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84.7</w:t>
            </w:r>
          </w:p>
        </w:tc>
        <w:tc>
          <w:tcPr>
            <w:tcW w:w="181" w:type="pct"/>
            <w:shd w:val="clear" w:color="auto" w:fill="auto"/>
            <w:vAlign w:val="center"/>
          </w:tcPr>
          <w:p w14:paraId="1FADB24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84.7</w:t>
            </w:r>
          </w:p>
        </w:tc>
        <w:tc>
          <w:tcPr>
            <w:tcW w:w="182" w:type="pct"/>
            <w:shd w:val="clear" w:color="auto" w:fill="auto"/>
            <w:vAlign w:val="center"/>
          </w:tcPr>
          <w:p w14:paraId="2B96381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84.7</w:t>
            </w:r>
          </w:p>
        </w:tc>
        <w:tc>
          <w:tcPr>
            <w:tcW w:w="181" w:type="pct"/>
            <w:shd w:val="clear" w:color="auto" w:fill="auto"/>
            <w:vAlign w:val="center"/>
          </w:tcPr>
          <w:p w14:paraId="3FF94F8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14.7</w:t>
            </w:r>
          </w:p>
        </w:tc>
        <w:tc>
          <w:tcPr>
            <w:tcW w:w="182" w:type="pct"/>
            <w:shd w:val="clear" w:color="auto" w:fill="auto"/>
            <w:vAlign w:val="center"/>
          </w:tcPr>
          <w:p w14:paraId="3199B5C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29.7</w:t>
            </w:r>
          </w:p>
        </w:tc>
        <w:tc>
          <w:tcPr>
            <w:tcW w:w="181" w:type="pct"/>
            <w:shd w:val="clear" w:color="auto" w:fill="auto"/>
            <w:vAlign w:val="center"/>
          </w:tcPr>
          <w:p w14:paraId="07E68A7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79.8</w:t>
            </w:r>
          </w:p>
        </w:tc>
        <w:tc>
          <w:tcPr>
            <w:tcW w:w="182" w:type="pct"/>
            <w:shd w:val="clear" w:color="auto" w:fill="auto"/>
            <w:vAlign w:val="center"/>
          </w:tcPr>
          <w:p w14:paraId="7A8E2B8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79.8</w:t>
            </w:r>
          </w:p>
        </w:tc>
        <w:tc>
          <w:tcPr>
            <w:tcW w:w="181" w:type="pct"/>
            <w:shd w:val="clear" w:color="auto" w:fill="auto"/>
            <w:vAlign w:val="center"/>
          </w:tcPr>
          <w:p w14:paraId="3B69400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79.8</w:t>
            </w:r>
          </w:p>
        </w:tc>
        <w:tc>
          <w:tcPr>
            <w:tcW w:w="182" w:type="pct"/>
            <w:shd w:val="clear" w:color="auto" w:fill="auto"/>
            <w:vAlign w:val="center"/>
          </w:tcPr>
          <w:p w14:paraId="32CA5B0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79.8</w:t>
            </w:r>
          </w:p>
        </w:tc>
        <w:tc>
          <w:tcPr>
            <w:tcW w:w="181" w:type="pct"/>
            <w:shd w:val="clear" w:color="auto" w:fill="auto"/>
            <w:vAlign w:val="center"/>
          </w:tcPr>
          <w:p w14:paraId="61482F1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9.8</w:t>
            </w:r>
          </w:p>
        </w:tc>
        <w:tc>
          <w:tcPr>
            <w:tcW w:w="182" w:type="pct"/>
            <w:shd w:val="clear" w:color="auto" w:fill="auto"/>
            <w:vAlign w:val="center"/>
          </w:tcPr>
          <w:p w14:paraId="5B105EF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24.8</w:t>
            </w:r>
          </w:p>
        </w:tc>
        <w:tc>
          <w:tcPr>
            <w:tcW w:w="808" w:type="pct"/>
            <w:shd w:val="clear" w:color="auto" w:fill="auto"/>
            <w:vAlign w:val="center"/>
          </w:tcPr>
          <w:p w14:paraId="1F6A580C">
            <w:pPr>
              <w:widowControl/>
              <w:rPr>
                <w:rFonts w:ascii="Times New Roman" w:hAnsi="Times New Roman" w:eastAsia="宋体" w:cs="Times New Roman"/>
                <w:kern w:val="0"/>
                <w:szCs w:val="21"/>
              </w:rPr>
            </w:pPr>
            <w:r>
              <w:rPr>
                <w:rFonts w:hint="eastAsia" w:ascii="Times New Roman" w:hAnsi="Times New Roman" w:eastAsia="宋体" w:cs="Times New Roman"/>
              </w:rPr>
              <w:t>隔声房、隔声罩等消声减振装置；</w:t>
            </w:r>
            <w:r>
              <w:rPr>
                <w:rFonts w:hint="eastAsia" w:ascii="Times New Roman" w:hAnsi="Times New Roman" w:eastAsia="宋体" w:cs="Times New Roman"/>
                <w:szCs w:val="21"/>
              </w:rPr>
              <w:t>施工场界围挡内侧加装吸声板材或加高隔声围挡（声屏障）等降噪措施；使用静力压装机等低噪声施工机械</w:t>
            </w:r>
          </w:p>
        </w:tc>
      </w:tr>
      <w:tr w14:paraId="5CA7CACB">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96" w:type="pct"/>
            <w:shd w:val="clear" w:color="auto" w:fill="auto"/>
            <w:vAlign w:val="center"/>
          </w:tcPr>
          <w:p w14:paraId="0F9528D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16</w:t>
            </w:r>
          </w:p>
        </w:tc>
        <w:tc>
          <w:tcPr>
            <w:tcW w:w="336" w:type="pct"/>
            <w:shd w:val="clear" w:color="auto" w:fill="auto"/>
            <w:vAlign w:val="center"/>
          </w:tcPr>
          <w:p w14:paraId="13C4604E">
            <w:pPr>
              <w:widowControl/>
              <w:jc w:val="center"/>
              <w:rPr>
                <w:rFonts w:ascii="Times New Roman" w:hAnsi="Times New Roman" w:eastAsia="宋体" w:cs="Times New Roman"/>
                <w:kern w:val="0"/>
                <w:szCs w:val="21"/>
              </w:rPr>
            </w:pPr>
            <w:r>
              <w:rPr>
                <w:rFonts w:ascii="宋体" w:hAnsi="宋体" w:eastAsia="宋体" w:cs="Times New Roman"/>
                <w:kern w:val="0"/>
                <w:szCs w:val="21"/>
              </w:rPr>
              <w:t>兰干</w:t>
            </w:r>
          </w:p>
        </w:tc>
        <w:tc>
          <w:tcPr>
            <w:tcW w:w="201" w:type="pct"/>
            <w:shd w:val="clear" w:color="auto" w:fill="auto"/>
            <w:vAlign w:val="center"/>
          </w:tcPr>
          <w:p w14:paraId="318E1E56">
            <w:pPr>
              <w:widowControl/>
              <w:jc w:val="center"/>
              <w:rPr>
                <w:rFonts w:ascii="Times New Roman" w:hAnsi="Times New Roman" w:eastAsia="宋体" w:cs="Times New Roman"/>
                <w:kern w:val="0"/>
                <w:szCs w:val="21"/>
              </w:rPr>
            </w:pPr>
            <w:r>
              <w:rPr>
                <w:rFonts w:ascii="宋体" w:hAnsi="宋体" w:eastAsia="宋体" w:cs="Times New Roman"/>
                <w:kern w:val="0"/>
                <w:szCs w:val="21"/>
              </w:rPr>
              <w:t>路基</w:t>
            </w:r>
          </w:p>
        </w:tc>
        <w:tc>
          <w:tcPr>
            <w:tcW w:w="205" w:type="pct"/>
            <w:shd w:val="clear" w:color="auto" w:fill="auto"/>
            <w:vAlign w:val="center"/>
          </w:tcPr>
          <w:p w14:paraId="155AF228">
            <w:pPr>
              <w:widowControl/>
              <w:jc w:val="center"/>
              <w:rPr>
                <w:rFonts w:ascii="Times New Roman" w:hAnsi="Times New Roman" w:eastAsia="宋体" w:cs="Times New Roman"/>
                <w:kern w:val="0"/>
                <w:szCs w:val="21"/>
              </w:rPr>
            </w:pPr>
            <w:r>
              <w:rPr>
                <w:rFonts w:ascii="宋体" w:hAnsi="宋体" w:eastAsia="宋体" w:cs="Times New Roman"/>
                <w:kern w:val="0"/>
                <w:szCs w:val="21"/>
              </w:rPr>
              <w:t>路右</w:t>
            </w:r>
          </w:p>
        </w:tc>
        <w:tc>
          <w:tcPr>
            <w:tcW w:w="312" w:type="pct"/>
            <w:shd w:val="clear" w:color="auto" w:fill="auto"/>
            <w:vAlign w:val="center"/>
          </w:tcPr>
          <w:p w14:paraId="63C281A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w:t>
            </w:r>
          </w:p>
        </w:tc>
        <w:tc>
          <w:tcPr>
            <w:tcW w:w="180" w:type="pct"/>
            <w:shd w:val="clear" w:color="auto" w:fill="auto"/>
            <w:vAlign w:val="center"/>
          </w:tcPr>
          <w:p w14:paraId="76E550D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70</w:t>
            </w:r>
          </w:p>
        </w:tc>
        <w:tc>
          <w:tcPr>
            <w:tcW w:w="198" w:type="pct"/>
            <w:shd w:val="clear" w:color="auto" w:fill="auto"/>
            <w:vAlign w:val="center"/>
          </w:tcPr>
          <w:p w14:paraId="6AC1662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55</w:t>
            </w:r>
          </w:p>
        </w:tc>
        <w:tc>
          <w:tcPr>
            <w:tcW w:w="183" w:type="pct"/>
            <w:shd w:val="clear" w:color="auto" w:fill="auto"/>
            <w:vAlign w:val="center"/>
          </w:tcPr>
          <w:p w14:paraId="5F9240E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44.0</w:t>
            </w:r>
          </w:p>
        </w:tc>
        <w:tc>
          <w:tcPr>
            <w:tcW w:w="203" w:type="pct"/>
            <w:shd w:val="clear" w:color="auto" w:fill="auto"/>
            <w:vAlign w:val="center"/>
          </w:tcPr>
          <w:p w14:paraId="6AB8992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36.5</w:t>
            </w:r>
          </w:p>
        </w:tc>
        <w:tc>
          <w:tcPr>
            <w:tcW w:w="181" w:type="pct"/>
            <w:shd w:val="clear" w:color="auto" w:fill="auto"/>
            <w:vAlign w:val="center"/>
          </w:tcPr>
          <w:p w14:paraId="7D079EB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86.2</w:t>
            </w:r>
          </w:p>
        </w:tc>
        <w:tc>
          <w:tcPr>
            <w:tcW w:w="182" w:type="pct"/>
            <w:shd w:val="clear" w:color="auto" w:fill="auto"/>
            <w:vAlign w:val="center"/>
          </w:tcPr>
          <w:p w14:paraId="2511062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86.2</w:t>
            </w:r>
          </w:p>
        </w:tc>
        <w:tc>
          <w:tcPr>
            <w:tcW w:w="181" w:type="pct"/>
            <w:shd w:val="clear" w:color="auto" w:fill="auto"/>
            <w:vAlign w:val="center"/>
          </w:tcPr>
          <w:p w14:paraId="536CF46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86.2</w:t>
            </w:r>
          </w:p>
        </w:tc>
        <w:tc>
          <w:tcPr>
            <w:tcW w:w="182" w:type="pct"/>
            <w:shd w:val="clear" w:color="auto" w:fill="auto"/>
            <w:vAlign w:val="center"/>
          </w:tcPr>
          <w:p w14:paraId="1A4A62A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86.2</w:t>
            </w:r>
          </w:p>
        </w:tc>
        <w:tc>
          <w:tcPr>
            <w:tcW w:w="181" w:type="pct"/>
            <w:shd w:val="clear" w:color="auto" w:fill="auto"/>
            <w:vAlign w:val="center"/>
          </w:tcPr>
          <w:p w14:paraId="34A2B50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16.2</w:t>
            </w:r>
          </w:p>
        </w:tc>
        <w:tc>
          <w:tcPr>
            <w:tcW w:w="182" w:type="pct"/>
            <w:shd w:val="clear" w:color="auto" w:fill="auto"/>
            <w:vAlign w:val="center"/>
          </w:tcPr>
          <w:p w14:paraId="5AB56C0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31.2</w:t>
            </w:r>
          </w:p>
        </w:tc>
        <w:tc>
          <w:tcPr>
            <w:tcW w:w="181" w:type="pct"/>
            <w:shd w:val="clear" w:color="auto" w:fill="auto"/>
            <w:vAlign w:val="center"/>
          </w:tcPr>
          <w:p w14:paraId="3CA73B0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81.2</w:t>
            </w:r>
          </w:p>
        </w:tc>
        <w:tc>
          <w:tcPr>
            <w:tcW w:w="182" w:type="pct"/>
            <w:shd w:val="clear" w:color="auto" w:fill="auto"/>
            <w:vAlign w:val="center"/>
          </w:tcPr>
          <w:p w14:paraId="1826FD9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81.2</w:t>
            </w:r>
          </w:p>
        </w:tc>
        <w:tc>
          <w:tcPr>
            <w:tcW w:w="181" w:type="pct"/>
            <w:shd w:val="clear" w:color="auto" w:fill="auto"/>
            <w:vAlign w:val="center"/>
          </w:tcPr>
          <w:p w14:paraId="32D5DFD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81.2</w:t>
            </w:r>
          </w:p>
        </w:tc>
        <w:tc>
          <w:tcPr>
            <w:tcW w:w="182" w:type="pct"/>
            <w:shd w:val="clear" w:color="auto" w:fill="auto"/>
            <w:vAlign w:val="center"/>
          </w:tcPr>
          <w:p w14:paraId="1F61BAD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81.2</w:t>
            </w:r>
          </w:p>
        </w:tc>
        <w:tc>
          <w:tcPr>
            <w:tcW w:w="181" w:type="pct"/>
            <w:shd w:val="clear" w:color="auto" w:fill="auto"/>
            <w:vAlign w:val="center"/>
          </w:tcPr>
          <w:p w14:paraId="3E3C818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11.2</w:t>
            </w:r>
          </w:p>
        </w:tc>
        <w:tc>
          <w:tcPr>
            <w:tcW w:w="182" w:type="pct"/>
            <w:shd w:val="clear" w:color="auto" w:fill="auto"/>
            <w:vAlign w:val="center"/>
          </w:tcPr>
          <w:p w14:paraId="25287CC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26.2</w:t>
            </w:r>
          </w:p>
        </w:tc>
        <w:tc>
          <w:tcPr>
            <w:tcW w:w="808" w:type="pct"/>
            <w:shd w:val="clear" w:color="auto" w:fill="auto"/>
            <w:vAlign w:val="center"/>
          </w:tcPr>
          <w:p w14:paraId="0EC0957B">
            <w:pPr>
              <w:widowControl/>
              <w:rPr>
                <w:rFonts w:ascii="Times New Roman" w:hAnsi="Times New Roman" w:eastAsia="宋体" w:cs="Times New Roman"/>
                <w:kern w:val="0"/>
                <w:szCs w:val="21"/>
              </w:rPr>
            </w:pPr>
            <w:r>
              <w:rPr>
                <w:rFonts w:hint="eastAsia" w:ascii="Times New Roman" w:hAnsi="Times New Roman" w:eastAsia="宋体" w:cs="Times New Roman"/>
              </w:rPr>
              <w:t>隔声房、隔声罩等消声减振装置；</w:t>
            </w:r>
            <w:r>
              <w:rPr>
                <w:rFonts w:hint="eastAsia" w:ascii="Times New Roman" w:hAnsi="Times New Roman" w:eastAsia="宋体" w:cs="Times New Roman"/>
                <w:szCs w:val="21"/>
              </w:rPr>
              <w:t>施工场界围挡内侧加装吸声板材或加高隔声围挡（声屏障）等降噪措施；使用静力压装机等低噪声施工机械</w:t>
            </w:r>
          </w:p>
        </w:tc>
      </w:tr>
    </w:tbl>
    <w:p w14:paraId="5E4889F4">
      <w:pPr>
        <w:rPr>
          <w:rFonts w:ascii="Times New Roman" w:hAnsi="Times New Roman" w:eastAsia="宋体" w:cs="Times New Roman"/>
        </w:rPr>
      </w:pPr>
    </w:p>
    <w:p w14:paraId="6EC7919C">
      <w:pPr>
        <w:sectPr>
          <w:footerReference r:id="rId63" w:type="default"/>
          <w:footerReference r:id="rId64" w:type="even"/>
          <w:pgSz w:w="23814" w:h="16840" w:orient="landscape"/>
          <w:pgMar w:top="1701" w:right="1701" w:bottom="1701" w:left="1701" w:header="1134" w:footer="1134" w:gutter="0"/>
          <w:pgBorders>
            <w:top w:val="none" w:sz="0" w:space="0"/>
            <w:left w:val="none" w:sz="0" w:space="0"/>
            <w:bottom w:val="none" w:sz="0" w:space="0"/>
            <w:right w:val="none" w:sz="0" w:space="0"/>
          </w:pgBorders>
          <w:cols w:space="720" w:num="1"/>
          <w:docGrid w:linePitch="312" w:charSpace="0"/>
        </w:sectPr>
      </w:pPr>
    </w:p>
    <w:p w14:paraId="116DBD41">
      <w:pPr>
        <w:spacing w:beforeLines="50"/>
        <w:jc w:val="center"/>
        <w:rPr>
          <w:rFonts w:ascii="Times New Roman" w:hAnsi="Times New Roman" w:eastAsia="宋体" w:cs="Times New Roman"/>
          <w:b/>
          <w:szCs w:val="21"/>
        </w:rPr>
      </w:pPr>
      <w:r>
        <w:rPr>
          <w:rFonts w:ascii="Times New Roman" w:hAnsi="Times New Roman" w:eastAsia="宋体" w:cs="Times New Roman"/>
          <w:b/>
          <w:bCs/>
          <w:szCs w:val="21"/>
        </w:rPr>
        <w:t>续</w:t>
      </w:r>
      <w:r>
        <w:rPr>
          <w:rFonts w:hint="eastAsia" w:ascii="Times New Roman" w:hAnsi="Times New Roman" w:eastAsia="宋体" w:cs="Times New Roman"/>
          <w:b/>
          <w:bCs/>
          <w:szCs w:val="21"/>
        </w:rPr>
        <w:t xml:space="preserve"> </w:t>
      </w:r>
      <w:r>
        <w:rPr>
          <w:rFonts w:ascii="Times New Roman" w:hAnsi="Times New Roman" w:eastAsia="宋体" w:cs="Times New Roman"/>
          <w:b/>
          <w:bCs/>
          <w:szCs w:val="21"/>
        </w:rPr>
        <w:t>表</w:t>
      </w:r>
      <w:r>
        <w:rPr>
          <w:rFonts w:hint="eastAsia" w:ascii="Times New Roman" w:hAnsi="Times New Roman" w:eastAsia="宋体" w:cs="Times New Roman"/>
          <w:b/>
          <w:bCs/>
          <w:szCs w:val="21"/>
        </w:rPr>
        <w:t>4.1</w:t>
      </w:r>
      <w:r>
        <w:rPr>
          <w:rFonts w:ascii="Times New Roman" w:hAnsi="Times New Roman" w:eastAsia="宋体" w:cs="Times New Roman"/>
          <w:b/>
          <w:bCs/>
          <w:szCs w:val="21"/>
        </w:rPr>
        <w:t>-4  拟建公路施工期沿线各声环境保护目标施工厂界噪声预测结果  单位：</w:t>
      </w:r>
      <w:r>
        <w:rPr>
          <w:rFonts w:ascii="Times New Roman" w:hAnsi="Times New Roman" w:eastAsia="宋体" w:cs="Times New Roman"/>
          <w:b/>
          <w:szCs w:val="21"/>
        </w:rPr>
        <w:t>dB(A)</w:t>
      </w:r>
    </w:p>
    <w:tbl>
      <w:tblPr>
        <w:tblStyle w:val="22"/>
        <w:tblW w:w="5000" w:type="pct"/>
        <w:jc w:val="center"/>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808"/>
        <w:gridCol w:w="1385"/>
        <w:gridCol w:w="829"/>
        <w:gridCol w:w="846"/>
        <w:gridCol w:w="1287"/>
        <w:gridCol w:w="743"/>
        <w:gridCol w:w="817"/>
        <w:gridCol w:w="755"/>
        <w:gridCol w:w="837"/>
        <w:gridCol w:w="747"/>
        <w:gridCol w:w="751"/>
        <w:gridCol w:w="747"/>
        <w:gridCol w:w="751"/>
        <w:gridCol w:w="747"/>
        <w:gridCol w:w="751"/>
        <w:gridCol w:w="747"/>
        <w:gridCol w:w="751"/>
        <w:gridCol w:w="747"/>
        <w:gridCol w:w="751"/>
        <w:gridCol w:w="747"/>
        <w:gridCol w:w="751"/>
        <w:gridCol w:w="3333"/>
      </w:tblGrid>
      <w:tr w14:paraId="7061DC38">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96" w:type="pct"/>
            <w:vMerge w:val="restart"/>
            <w:shd w:val="clear" w:color="auto" w:fill="auto"/>
            <w:vAlign w:val="center"/>
          </w:tcPr>
          <w:p w14:paraId="20C29A86">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序号</w:t>
            </w:r>
          </w:p>
        </w:tc>
        <w:tc>
          <w:tcPr>
            <w:tcW w:w="336" w:type="pct"/>
            <w:vMerge w:val="restart"/>
            <w:shd w:val="clear" w:color="auto" w:fill="auto"/>
            <w:vAlign w:val="center"/>
          </w:tcPr>
          <w:p w14:paraId="1C932B90">
            <w:pPr>
              <w:widowControl/>
              <w:jc w:val="center"/>
              <w:rPr>
                <w:rFonts w:ascii="Times New Roman" w:hAnsi="Times New Roman" w:eastAsia="宋体" w:cs="Times New Roman"/>
                <w:b/>
                <w:spacing w:val="-16"/>
                <w:kern w:val="0"/>
                <w:szCs w:val="21"/>
              </w:rPr>
            </w:pPr>
            <w:r>
              <w:rPr>
                <w:rFonts w:hint="eastAsia" w:ascii="宋体" w:hAnsi="宋体" w:eastAsia="宋体" w:cs="Times New Roman"/>
                <w:b/>
                <w:spacing w:val="-16"/>
                <w:kern w:val="0"/>
                <w:szCs w:val="21"/>
              </w:rPr>
              <w:t>声环境保护目标名称</w:t>
            </w:r>
          </w:p>
        </w:tc>
        <w:tc>
          <w:tcPr>
            <w:tcW w:w="201" w:type="pct"/>
            <w:vMerge w:val="restart"/>
            <w:shd w:val="clear" w:color="auto" w:fill="auto"/>
            <w:vAlign w:val="center"/>
          </w:tcPr>
          <w:p w14:paraId="15F0A4D5">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工程形式</w:t>
            </w:r>
          </w:p>
        </w:tc>
        <w:tc>
          <w:tcPr>
            <w:tcW w:w="205" w:type="pct"/>
            <w:vMerge w:val="restart"/>
            <w:shd w:val="clear" w:color="auto" w:fill="auto"/>
            <w:vAlign w:val="center"/>
          </w:tcPr>
          <w:p w14:paraId="55E646E1">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方位</w:t>
            </w:r>
          </w:p>
        </w:tc>
        <w:tc>
          <w:tcPr>
            <w:tcW w:w="312" w:type="pct"/>
            <w:vMerge w:val="restart"/>
            <w:shd w:val="clear" w:color="auto" w:fill="auto"/>
            <w:vAlign w:val="center"/>
          </w:tcPr>
          <w:p w14:paraId="3409EC99">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与道路施工场界距离</w:t>
            </w:r>
            <w:r>
              <w:rPr>
                <w:rFonts w:ascii="Times New Roman" w:hAnsi="Times New Roman" w:eastAsia="宋体" w:cs="Times New Roman"/>
                <w:b/>
                <w:spacing w:val="-16"/>
                <w:kern w:val="0"/>
                <w:szCs w:val="21"/>
              </w:rPr>
              <w:t>(m)</w:t>
            </w:r>
          </w:p>
        </w:tc>
        <w:tc>
          <w:tcPr>
            <w:tcW w:w="378" w:type="pct"/>
            <w:gridSpan w:val="2"/>
            <w:vMerge w:val="restart"/>
            <w:shd w:val="clear" w:color="auto" w:fill="auto"/>
            <w:vAlign w:val="center"/>
          </w:tcPr>
          <w:p w14:paraId="5801EE03">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标准值</w:t>
            </w:r>
          </w:p>
        </w:tc>
        <w:tc>
          <w:tcPr>
            <w:tcW w:w="386" w:type="pct"/>
            <w:gridSpan w:val="2"/>
            <w:vMerge w:val="restart"/>
            <w:shd w:val="clear" w:color="auto" w:fill="auto"/>
            <w:vAlign w:val="center"/>
          </w:tcPr>
          <w:p w14:paraId="4C169F55">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现状噪声值</w:t>
            </w:r>
          </w:p>
        </w:tc>
        <w:tc>
          <w:tcPr>
            <w:tcW w:w="1089" w:type="pct"/>
            <w:gridSpan w:val="6"/>
            <w:shd w:val="clear" w:color="auto" w:fill="auto"/>
            <w:vAlign w:val="center"/>
          </w:tcPr>
          <w:p w14:paraId="34762114">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路基施工</w:t>
            </w:r>
          </w:p>
        </w:tc>
        <w:tc>
          <w:tcPr>
            <w:tcW w:w="1089" w:type="pct"/>
            <w:gridSpan w:val="6"/>
            <w:shd w:val="clear" w:color="auto" w:fill="auto"/>
            <w:vAlign w:val="center"/>
          </w:tcPr>
          <w:p w14:paraId="5CC98DCD">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路面施工</w:t>
            </w:r>
          </w:p>
        </w:tc>
        <w:tc>
          <w:tcPr>
            <w:tcW w:w="808" w:type="pct"/>
            <w:vMerge w:val="restart"/>
            <w:shd w:val="clear" w:color="auto" w:fill="auto"/>
            <w:vAlign w:val="center"/>
          </w:tcPr>
          <w:p w14:paraId="71D0AC3C">
            <w:pPr>
              <w:widowControl/>
              <w:jc w:val="center"/>
              <w:rPr>
                <w:rFonts w:ascii="Times New Roman" w:hAnsi="Times New Roman" w:eastAsia="宋体" w:cs="Times New Roman"/>
                <w:b/>
                <w:bCs/>
                <w:spacing w:val="-16"/>
                <w:kern w:val="0"/>
                <w:szCs w:val="21"/>
              </w:rPr>
            </w:pPr>
            <w:r>
              <w:rPr>
                <w:rFonts w:ascii="宋体" w:hAnsi="宋体" w:eastAsia="宋体" w:cs="Times New Roman"/>
                <w:b/>
                <w:bCs/>
                <w:spacing w:val="-16"/>
                <w:kern w:val="0"/>
                <w:szCs w:val="21"/>
              </w:rPr>
              <w:t>建议降噪措施</w:t>
            </w:r>
          </w:p>
        </w:tc>
      </w:tr>
      <w:tr w14:paraId="73D43C9F">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96" w:type="pct"/>
            <w:vMerge w:val="continue"/>
            <w:vAlign w:val="center"/>
          </w:tcPr>
          <w:p w14:paraId="4511C8E0">
            <w:pPr>
              <w:widowControl/>
              <w:jc w:val="center"/>
              <w:rPr>
                <w:rFonts w:ascii="Times New Roman" w:hAnsi="Times New Roman" w:eastAsia="宋体" w:cs="Times New Roman"/>
                <w:b/>
                <w:spacing w:val="-16"/>
                <w:kern w:val="0"/>
                <w:szCs w:val="21"/>
              </w:rPr>
            </w:pPr>
          </w:p>
        </w:tc>
        <w:tc>
          <w:tcPr>
            <w:tcW w:w="336" w:type="pct"/>
            <w:vMerge w:val="continue"/>
            <w:vAlign w:val="center"/>
          </w:tcPr>
          <w:p w14:paraId="6F84C978">
            <w:pPr>
              <w:widowControl/>
              <w:jc w:val="center"/>
              <w:rPr>
                <w:rFonts w:ascii="Times New Roman" w:hAnsi="Times New Roman" w:eastAsia="宋体" w:cs="Times New Roman"/>
                <w:b/>
                <w:spacing w:val="-16"/>
                <w:kern w:val="0"/>
                <w:szCs w:val="21"/>
              </w:rPr>
            </w:pPr>
          </w:p>
        </w:tc>
        <w:tc>
          <w:tcPr>
            <w:tcW w:w="201" w:type="pct"/>
            <w:vMerge w:val="continue"/>
            <w:vAlign w:val="center"/>
          </w:tcPr>
          <w:p w14:paraId="7B8D8132">
            <w:pPr>
              <w:widowControl/>
              <w:jc w:val="center"/>
              <w:rPr>
                <w:rFonts w:ascii="Times New Roman" w:hAnsi="Times New Roman" w:eastAsia="宋体" w:cs="Times New Roman"/>
                <w:b/>
                <w:spacing w:val="-16"/>
                <w:kern w:val="0"/>
                <w:szCs w:val="21"/>
              </w:rPr>
            </w:pPr>
          </w:p>
        </w:tc>
        <w:tc>
          <w:tcPr>
            <w:tcW w:w="205" w:type="pct"/>
            <w:vMerge w:val="continue"/>
            <w:vAlign w:val="center"/>
          </w:tcPr>
          <w:p w14:paraId="500345CE">
            <w:pPr>
              <w:widowControl/>
              <w:jc w:val="center"/>
              <w:rPr>
                <w:rFonts w:ascii="Times New Roman" w:hAnsi="Times New Roman" w:eastAsia="宋体" w:cs="Times New Roman"/>
                <w:b/>
                <w:spacing w:val="-16"/>
                <w:kern w:val="0"/>
                <w:szCs w:val="21"/>
              </w:rPr>
            </w:pPr>
          </w:p>
        </w:tc>
        <w:tc>
          <w:tcPr>
            <w:tcW w:w="312" w:type="pct"/>
            <w:vMerge w:val="continue"/>
            <w:vAlign w:val="center"/>
          </w:tcPr>
          <w:p w14:paraId="24DD5EEE">
            <w:pPr>
              <w:widowControl/>
              <w:jc w:val="center"/>
              <w:rPr>
                <w:rFonts w:ascii="Times New Roman" w:hAnsi="Times New Roman" w:eastAsia="宋体" w:cs="Times New Roman"/>
                <w:b/>
                <w:spacing w:val="-16"/>
                <w:kern w:val="0"/>
                <w:szCs w:val="21"/>
              </w:rPr>
            </w:pPr>
          </w:p>
        </w:tc>
        <w:tc>
          <w:tcPr>
            <w:tcW w:w="378" w:type="pct"/>
            <w:gridSpan w:val="2"/>
            <w:vMerge w:val="continue"/>
            <w:vAlign w:val="center"/>
          </w:tcPr>
          <w:p w14:paraId="550BEA14">
            <w:pPr>
              <w:widowControl/>
              <w:jc w:val="center"/>
              <w:rPr>
                <w:rFonts w:ascii="Times New Roman" w:hAnsi="Times New Roman" w:eastAsia="宋体" w:cs="Times New Roman"/>
                <w:b/>
                <w:spacing w:val="-16"/>
                <w:kern w:val="0"/>
                <w:szCs w:val="21"/>
              </w:rPr>
            </w:pPr>
          </w:p>
        </w:tc>
        <w:tc>
          <w:tcPr>
            <w:tcW w:w="386" w:type="pct"/>
            <w:gridSpan w:val="2"/>
            <w:vMerge w:val="continue"/>
            <w:vAlign w:val="center"/>
          </w:tcPr>
          <w:p w14:paraId="135C5BDB">
            <w:pPr>
              <w:widowControl/>
              <w:jc w:val="center"/>
              <w:rPr>
                <w:rFonts w:ascii="Times New Roman" w:hAnsi="Times New Roman" w:eastAsia="宋体" w:cs="Times New Roman"/>
                <w:b/>
                <w:spacing w:val="-16"/>
                <w:kern w:val="0"/>
                <w:szCs w:val="21"/>
              </w:rPr>
            </w:pPr>
          </w:p>
        </w:tc>
        <w:tc>
          <w:tcPr>
            <w:tcW w:w="363" w:type="pct"/>
            <w:gridSpan w:val="2"/>
            <w:shd w:val="clear" w:color="auto" w:fill="auto"/>
            <w:vAlign w:val="center"/>
          </w:tcPr>
          <w:p w14:paraId="2DAD3162">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贡献值</w:t>
            </w:r>
          </w:p>
        </w:tc>
        <w:tc>
          <w:tcPr>
            <w:tcW w:w="363" w:type="pct"/>
            <w:gridSpan w:val="2"/>
            <w:shd w:val="clear" w:color="auto" w:fill="auto"/>
            <w:vAlign w:val="center"/>
          </w:tcPr>
          <w:p w14:paraId="7ADCF275">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预测值</w:t>
            </w:r>
          </w:p>
        </w:tc>
        <w:tc>
          <w:tcPr>
            <w:tcW w:w="363" w:type="pct"/>
            <w:gridSpan w:val="2"/>
            <w:shd w:val="clear" w:color="auto" w:fill="auto"/>
            <w:vAlign w:val="center"/>
          </w:tcPr>
          <w:p w14:paraId="214042B1">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超标值</w:t>
            </w:r>
          </w:p>
        </w:tc>
        <w:tc>
          <w:tcPr>
            <w:tcW w:w="363" w:type="pct"/>
            <w:gridSpan w:val="2"/>
            <w:shd w:val="clear" w:color="auto" w:fill="auto"/>
            <w:vAlign w:val="center"/>
          </w:tcPr>
          <w:p w14:paraId="28E721D3">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贡献值</w:t>
            </w:r>
          </w:p>
        </w:tc>
        <w:tc>
          <w:tcPr>
            <w:tcW w:w="363" w:type="pct"/>
            <w:gridSpan w:val="2"/>
            <w:shd w:val="clear" w:color="auto" w:fill="auto"/>
            <w:vAlign w:val="center"/>
          </w:tcPr>
          <w:p w14:paraId="38CBDE42">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预测值</w:t>
            </w:r>
          </w:p>
        </w:tc>
        <w:tc>
          <w:tcPr>
            <w:tcW w:w="363" w:type="pct"/>
            <w:gridSpan w:val="2"/>
            <w:shd w:val="clear" w:color="auto" w:fill="auto"/>
            <w:vAlign w:val="center"/>
          </w:tcPr>
          <w:p w14:paraId="3D3B7457">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超标值</w:t>
            </w:r>
          </w:p>
        </w:tc>
        <w:tc>
          <w:tcPr>
            <w:tcW w:w="808" w:type="pct"/>
            <w:vMerge w:val="continue"/>
            <w:vAlign w:val="center"/>
          </w:tcPr>
          <w:p w14:paraId="6065806E">
            <w:pPr>
              <w:widowControl/>
              <w:jc w:val="center"/>
              <w:rPr>
                <w:rFonts w:ascii="Times New Roman" w:hAnsi="Times New Roman" w:eastAsia="宋体" w:cs="Times New Roman"/>
                <w:b/>
                <w:bCs/>
                <w:spacing w:val="-16"/>
                <w:kern w:val="0"/>
                <w:szCs w:val="21"/>
              </w:rPr>
            </w:pPr>
          </w:p>
        </w:tc>
      </w:tr>
      <w:tr w14:paraId="0990C6B6">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96" w:type="pct"/>
            <w:vMerge w:val="continue"/>
            <w:vAlign w:val="center"/>
          </w:tcPr>
          <w:p w14:paraId="36ED2A72">
            <w:pPr>
              <w:widowControl/>
              <w:jc w:val="center"/>
              <w:rPr>
                <w:rFonts w:ascii="Times New Roman" w:hAnsi="Times New Roman" w:eastAsia="宋体" w:cs="Times New Roman"/>
                <w:b/>
                <w:spacing w:val="-16"/>
                <w:kern w:val="0"/>
                <w:szCs w:val="21"/>
              </w:rPr>
            </w:pPr>
          </w:p>
        </w:tc>
        <w:tc>
          <w:tcPr>
            <w:tcW w:w="336" w:type="pct"/>
            <w:vMerge w:val="continue"/>
            <w:vAlign w:val="center"/>
          </w:tcPr>
          <w:p w14:paraId="4C7B278A">
            <w:pPr>
              <w:widowControl/>
              <w:jc w:val="center"/>
              <w:rPr>
                <w:rFonts w:ascii="Times New Roman" w:hAnsi="Times New Roman" w:eastAsia="宋体" w:cs="Times New Roman"/>
                <w:b/>
                <w:spacing w:val="-16"/>
                <w:kern w:val="0"/>
                <w:szCs w:val="21"/>
              </w:rPr>
            </w:pPr>
          </w:p>
        </w:tc>
        <w:tc>
          <w:tcPr>
            <w:tcW w:w="201" w:type="pct"/>
            <w:vMerge w:val="continue"/>
            <w:vAlign w:val="center"/>
          </w:tcPr>
          <w:p w14:paraId="0E6834B9">
            <w:pPr>
              <w:widowControl/>
              <w:jc w:val="center"/>
              <w:rPr>
                <w:rFonts w:ascii="Times New Roman" w:hAnsi="Times New Roman" w:eastAsia="宋体" w:cs="Times New Roman"/>
                <w:b/>
                <w:spacing w:val="-16"/>
                <w:kern w:val="0"/>
                <w:szCs w:val="21"/>
              </w:rPr>
            </w:pPr>
          </w:p>
        </w:tc>
        <w:tc>
          <w:tcPr>
            <w:tcW w:w="205" w:type="pct"/>
            <w:vMerge w:val="continue"/>
            <w:vAlign w:val="center"/>
          </w:tcPr>
          <w:p w14:paraId="42094BB8">
            <w:pPr>
              <w:widowControl/>
              <w:jc w:val="center"/>
              <w:rPr>
                <w:rFonts w:ascii="Times New Roman" w:hAnsi="Times New Roman" w:eastAsia="宋体" w:cs="Times New Roman"/>
                <w:b/>
                <w:spacing w:val="-16"/>
                <w:kern w:val="0"/>
                <w:szCs w:val="21"/>
              </w:rPr>
            </w:pPr>
          </w:p>
        </w:tc>
        <w:tc>
          <w:tcPr>
            <w:tcW w:w="312" w:type="pct"/>
            <w:vMerge w:val="continue"/>
            <w:vAlign w:val="center"/>
          </w:tcPr>
          <w:p w14:paraId="27A01D0D">
            <w:pPr>
              <w:widowControl/>
              <w:jc w:val="center"/>
              <w:rPr>
                <w:rFonts w:ascii="Times New Roman" w:hAnsi="Times New Roman" w:eastAsia="宋体" w:cs="Times New Roman"/>
                <w:b/>
                <w:spacing w:val="-16"/>
                <w:kern w:val="0"/>
                <w:szCs w:val="21"/>
              </w:rPr>
            </w:pPr>
          </w:p>
        </w:tc>
        <w:tc>
          <w:tcPr>
            <w:tcW w:w="180" w:type="pct"/>
            <w:shd w:val="clear" w:color="auto" w:fill="auto"/>
            <w:vAlign w:val="center"/>
          </w:tcPr>
          <w:p w14:paraId="5F3395FC">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昼间</w:t>
            </w:r>
          </w:p>
        </w:tc>
        <w:tc>
          <w:tcPr>
            <w:tcW w:w="198" w:type="pct"/>
            <w:shd w:val="clear" w:color="auto" w:fill="auto"/>
            <w:vAlign w:val="center"/>
          </w:tcPr>
          <w:p w14:paraId="2C3284E9">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夜间</w:t>
            </w:r>
          </w:p>
        </w:tc>
        <w:tc>
          <w:tcPr>
            <w:tcW w:w="183" w:type="pct"/>
            <w:shd w:val="clear" w:color="auto" w:fill="auto"/>
            <w:vAlign w:val="center"/>
          </w:tcPr>
          <w:p w14:paraId="76A30DA3">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昼间</w:t>
            </w:r>
          </w:p>
        </w:tc>
        <w:tc>
          <w:tcPr>
            <w:tcW w:w="203" w:type="pct"/>
            <w:shd w:val="clear" w:color="auto" w:fill="auto"/>
            <w:vAlign w:val="center"/>
          </w:tcPr>
          <w:p w14:paraId="29F77ABA">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夜间</w:t>
            </w:r>
          </w:p>
        </w:tc>
        <w:tc>
          <w:tcPr>
            <w:tcW w:w="181" w:type="pct"/>
            <w:shd w:val="clear" w:color="auto" w:fill="auto"/>
            <w:vAlign w:val="center"/>
          </w:tcPr>
          <w:p w14:paraId="4FDFEF69">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昼间</w:t>
            </w:r>
          </w:p>
        </w:tc>
        <w:tc>
          <w:tcPr>
            <w:tcW w:w="182" w:type="pct"/>
            <w:shd w:val="clear" w:color="auto" w:fill="auto"/>
            <w:vAlign w:val="center"/>
          </w:tcPr>
          <w:p w14:paraId="4E1704F2">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夜间</w:t>
            </w:r>
          </w:p>
        </w:tc>
        <w:tc>
          <w:tcPr>
            <w:tcW w:w="181" w:type="pct"/>
            <w:shd w:val="clear" w:color="auto" w:fill="auto"/>
            <w:vAlign w:val="center"/>
          </w:tcPr>
          <w:p w14:paraId="42A46317">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昼间</w:t>
            </w:r>
          </w:p>
        </w:tc>
        <w:tc>
          <w:tcPr>
            <w:tcW w:w="182" w:type="pct"/>
            <w:shd w:val="clear" w:color="auto" w:fill="auto"/>
            <w:vAlign w:val="center"/>
          </w:tcPr>
          <w:p w14:paraId="1CCE47D4">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夜间</w:t>
            </w:r>
          </w:p>
        </w:tc>
        <w:tc>
          <w:tcPr>
            <w:tcW w:w="181" w:type="pct"/>
            <w:shd w:val="clear" w:color="auto" w:fill="auto"/>
            <w:vAlign w:val="center"/>
          </w:tcPr>
          <w:p w14:paraId="6D55B833">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昼间</w:t>
            </w:r>
          </w:p>
        </w:tc>
        <w:tc>
          <w:tcPr>
            <w:tcW w:w="182" w:type="pct"/>
            <w:shd w:val="clear" w:color="auto" w:fill="auto"/>
            <w:vAlign w:val="center"/>
          </w:tcPr>
          <w:p w14:paraId="39551E77">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夜间</w:t>
            </w:r>
          </w:p>
        </w:tc>
        <w:tc>
          <w:tcPr>
            <w:tcW w:w="181" w:type="pct"/>
            <w:shd w:val="clear" w:color="auto" w:fill="auto"/>
            <w:vAlign w:val="center"/>
          </w:tcPr>
          <w:p w14:paraId="10343991">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昼间</w:t>
            </w:r>
          </w:p>
        </w:tc>
        <w:tc>
          <w:tcPr>
            <w:tcW w:w="182" w:type="pct"/>
            <w:shd w:val="clear" w:color="auto" w:fill="auto"/>
            <w:vAlign w:val="center"/>
          </w:tcPr>
          <w:p w14:paraId="0A3BCD2C">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夜间</w:t>
            </w:r>
          </w:p>
        </w:tc>
        <w:tc>
          <w:tcPr>
            <w:tcW w:w="181" w:type="pct"/>
            <w:shd w:val="clear" w:color="auto" w:fill="auto"/>
            <w:vAlign w:val="center"/>
          </w:tcPr>
          <w:p w14:paraId="31BDF2AF">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昼间</w:t>
            </w:r>
          </w:p>
        </w:tc>
        <w:tc>
          <w:tcPr>
            <w:tcW w:w="182" w:type="pct"/>
            <w:shd w:val="clear" w:color="auto" w:fill="auto"/>
            <w:vAlign w:val="center"/>
          </w:tcPr>
          <w:p w14:paraId="23422F61">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夜间</w:t>
            </w:r>
          </w:p>
        </w:tc>
        <w:tc>
          <w:tcPr>
            <w:tcW w:w="181" w:type="pct"/>
            <w:shd w:val="clear" w:color="auto" w:fill="auto"/>
            <w:vAlign w:val="center"/>
          </w:tcPr>
          <w:p w14:paraId="3F2AED98">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昼间</w:t>
            </w:r>
          </w:p>
        </w:tc>
        <w:tc>
          <w:tcPr>
            <w:tcW w:w="182" w:type="pct"/>
            <w:shd w:val="clear" w:color="auto" w:fill="auto"/>
            <w:vAlign w:val="center"/>
          </w:tcPr>
          <w:p w14:paraId="52AD402D">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夜间</w:t>
            </w:r>
          </w:p>
        </w:tc>
        <w:tc>
          <w:tcPr>
            <w:tcW w:w="808" w:type="pct"/>
            <w:vMerge w:val="continue"/>
            <w:vAlign w:val="center"/>
          </w:tcPr>
          <w:p w14:paraId="1E0D45D7">
            <w:pPr>
              <w:widowControl/>
              <w:jc w:val="center"/>
              <w:rPr>
                <w:rFonts w:ascii="Times New Roman" w:hAnsi="Times New Roman" w:eastAsia="宋体" w:cs="Times New Roman"/>
                <w:b/>
                <w:bCs/>
                <w:spacing w:val="-16"/>
                <w:kern w:val="0"/>
                <w:szCs w:val="21"/>
              </w:rPr>
            </w:pPr>
          </w:p>
        </w:tc>
      </w:tr>
      <w:tr w14:paraId="651A3BB6">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96" w:type="pct"/>
            <w:shd w:val="clear" w:color="auto" w:fill="auto"/>
            <w:vAlign w:val="center"/>
          </w:tcPr>
          <w:p w14:paraId="41F5B6F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17</w:t>
            </w:r>
          </w:p>
        </w:tc>
        <w:tc>
          <w:tcPr>
            <w:tcW w:w="336" w:type="pct"/>
            <w:shd w:val="clear" w:color="auto" w:fill="auto"/>
            <w:vAlign w:val="center"/>
          </w:tcPr>
          <w:p w14:paraId="17A1447A">
            <w:pPr>
              <w:widowControl/>
              <w:jc w:val="center"/>
              <w:rPr>
                <w:rFonts w:ascii="宋体" w:hAnsi="宋体" w:eastAsia="宋体" w:cs="宋体"/>
                <w:kern w:val="0"/>
                <w:szCs w:val="21"/>
              </w:rPr>
            </w:pPr>
            <w:r>
              <w:rPr>
                <w:rFonts w:hint="eastAsia" w:ascii="宋体" w:hAnsi="宋体" w:eastAsia="宋体" w:cs="宋体"/>
                <w:kern w:val="0"/>
                <w:szCs w:val="21"/>
              </w:rPr>
              <w:t>伽师县中等职业技术学校</w:t>
            </w:r>
          </w:p>
        </w:tc>
        <w:tc>
          <w:tcPr>
            <w:tcW w:w="201" w:type="pct"/>
            <w:shd w:val="clear" w:color="auto" w:fill="auto"/>
            <w:vAlign w:val="center"/>
          </w:tcPr>
          <w:p w14:paraId="0CFEC17A">
            <w:pPr>
              <w:widowControl/>
              <w:jc w:val="center"/>
              <w:rPr>
                <w:rFonts w:ascii="Times New Roman" w:hAnsi="Times New Roman" w:eastAsia="宋体" w:cs="Times New Roman"/>
                <w:kern w:val="0"/>
                <w:szCs w:val="21"/>
              </w:rPr>
            </w:pPr>
            <w:r>
              <w:rPr>
                <w:rFonts w:ascii="宋体" w:hAnsi="宋体" w:eastAsia="宋体" w:cs="Times New Roman"/>
                <w:kern w:val="0"/>
                <w:szCs w:val="21"/>
              </w:rPr>
              <w:t>路基</w:t>
            </w:r>
          </w:p>
        </w:tc>
        <w:tc>
          <w:tcPr>
            <w:tcW w:w="205" w:type="pct"/>
            <w:shd w:val="clear" w:color="auto" w:fill="auto"/>
            <w:vAlign w:val="center"/>
          </w:tcPr>
          <w:p w14:paraId="2407C6B4">
            <w:pPr>
              <w:widowControl/>
              <w:jc w:val="center"/>
              <w:rPr>
                <w:rFonts w:ascii="Times New Roman" w:hAnsi="Times New Roman" w:eastAsia="宋体" w:cs="Times New Roman"/>
                <w:kern w:val="0"/>
                <w:szCs w:val="21"/>
              </w:rPr>
            </w:pPr>
            <w:r>
              <w:rPr>
                <w:rFonts w:ascii="宋体" w:hAnsi="宋体" w:eastAsia="宋体" w:cs="Times New Roman"/>
                <w:kern w:val="0"/>
                <w:szCs w:val="21"/>
              </w:rPr>
              <w:t>路左</w:t>
            </w:r>
          </w:p>
        </w:tc>
        <w:tc>
          <w:tcPr>
            <w:tcW w:w="312" w:type="pct"/>
            <w:shd w:val="clear" w:color="auto" w:fill="auto"/>
            <w:vAlign w:val="center"/>
          </w:tcPr>
          <w:p w14:paraId="0E8FF96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40.5</w:t>
            </w:r>
          </w:p>
        </w:tc>
        <w:tc>
          <w:tcPr>
            <w:tcW w:w="180" w:type="pct"/>
            <w:shd w:val="clear" w:color="auto" w:fill="auto"/>
            <w:vAlign w:val="center"/>
          </w:tcPr>
          <w:p w14:paraId="6AD3A8DF">
            <w:pPr>
              <w:widowControl/>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60</w:t>
            </w:r>
          </w:p>
        </w:tc>
        <w:tc>
          <w:tcPr>
            <w:tcW w:w="198" w:type="pct"/>
            <w:shd w:val="clear" w:color="auto" w:fill="auto"/>
            <w:vAlign w:val="center"/>
          </w:tcPr>
          <w:p w14:paraId="5AF1260A">
            <w:pPr>
              <w:widowControl/>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50</w:t>
            </w:r>
          </w:p>
        </w:tc>
        <w:tc>
          <w:tcPr>
            <w:tcW w:w="183" w:type="pct"/>
            <w:shd w:val="clear" w:color="auto" w:fill="auto"/>
            <w:vAlign w:val="center"/>
          </w:tcPr>
          <w:p w14:paraId="18F42A8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44.0</w:t>
            </w:r>
          </w:p>
        </w:tc>
        <w:tc>
          <w:tcPr>
            <w:tcW w:w="203" w:type="pct"/>
            <w:shd w:val="clear" w:color="auto" w:fill="auto"/>
            <w:vAlign w:val="center"/>
          </w:tcPr>
          <w:p w14:paraId="448095D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36.5</w:t>
            </w:r>
          </w:p>
        </w:tc>
        <w:tc>
          <w:tcPr>
            <w:tcW w:w="181" w:type="pct"/>
            <w:shd w:val="clear" w:color="auto" w:fill="auto"/>
            <w:vAlign w:val="center"/>
          </w:tcPr>
          <w:p w14:paraId="50FCF74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76.1</w:t>
            </w:r>
          </w:p>
        </w:tc>
        <w:tc>
          <w:tcPr>
            <w:tcW w:w="182" w:type="pct"/>
            <w:shd w:val="clear" w:color="auto" w:fill="auto"/>
            <w:vAlign w:val="center"/>
          </w:tcPr>
          <w:p w14:paraId="5A7094D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76.1</w:t>
            </w:r>
          </w:p>
        </w:tc>
        <w:tc>
          <w:tcPr>
            <w:tcW w:w="181" w:type="pct"/>
            <w:shd w:val="clear" w:color="auto" w:fill="auto"/>
            <w:vAlign w:val="center"/>
          </w:tcPr>
          <w:p w14:paraId="5545E49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76.1</w:t>
            </w:r>
          </w:p>
        </w:tc>
        <w:tc>
          <w:tcPr>
            <w:tcW w:w="182" w:type="pct"/>
            <w:shd w:val="clear" w:color="auto" w:fill="auto"/>
            <w:vAlign w:val="center"/>
          </w:tcPr>
          <w:p w14:paraId="05358AC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76.1</w:t>
            </w:r>
          </w:p>
        </w:tc>
        <w:tc>
          <w:tcPr>
            <w:tcW w:w="181" w:type="pct"/>
            <w:shd w:val="clear" w:color="auto" w:fill="auto"/>
            <w:vAlign w:val="center"/>
          </w:tcPr>
          <w:p w14:paraId="3DC5552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16.1</w:t>
            </w:r>
          </w:p>
        </w:tc>
        <w:tc>
          <w:tcPr>
            <w:tcW w:w="182" w:type="pct"/>
            <w:shd w:val="clear" w:color="auto" w:fill="auto"/>
            <w:vAlign w:val="center"/>
          </w:tcPr>
          <w:p w14:paraId="0E8CB70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26.1</w:t>
            </w:r>
          </w:p>
        </w:tc>
        <w:tc>
          <w:tcPr>
            <w:tcW w:w="181" w:type="pct"/>
            <w:shd w:val="clear" w:color="auto" w:fill="auto"/>
            <w:vAlign w:val="center"/>
          </w:tcPr>
          <w:p w14:paraId="3BFAC62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71.2</w:t>
            </w:r>
          </w:p>
        </w:tc>
        <w:tc>
          <w:tcPr>
            <w:tcW w:w="182" w:type="pct"/>
            <w:shd w:val="clear" w:color="auto" w:fill="auto"/>
            <w:vAlign w:val="center"/>
          </w:tcPr>
          <w:p w14:paraId="4A79ED2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71.2</w:t>
            </w:r>
          </w:p>
        </w:tc>
        <w:tc>
          <w:tcPr>
            <w:tcW w:w="181" w:type="pct"/>
            <w:shd w:val="clear" w:color="auto" w:fill="auto"/>
            <w:vAlign w:val="center"/>
          </w:tcPr>
          <w:p w14:paraId="498C60C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71.2</w:t>
            </w:r>
          </w:p>
        </w:tc>
        <w:tc>
          <w:tcPr>
            <w:tcW w:w="182" w:type="pct"/>
            <w:shd w:val="clear" w:color="auto" w:fill="auto"/>
            <w:vAlign w:val="center"/>
          </w:tcPr>
          <w:p w14:paraId="1C9E079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71.2</w:t>
            </w:r>
          </w:p>
        </w:tc>
        <w:tc>
          <w:tcPr>
            <w:tcW w:w="181" w:type="pct"/>
            <w:shd w:val="clear" w:color="auto" w:fill="auto"/>
            <w:vAlign w:val="center"/>
          </w:tcPr>
          <w:p w14:paraId="4F67D61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11.2</w:t>
            </w:r>
          </w:p>
        </w:tc>
        <w:tc>
          <w:tcPr>
            <w:tcW w:w="182" w:type="pct"/>
            <w:shd w:val="clear" w:color="auto" w:fill="auto"/>
            <w:vAlign w:val="center"/>
          </w:tcPr>
          <w:p w14:paraId="090881A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21.2</w:t>
            </w:r>
          </w:p>
        </w:tc>
        <w:tc>
          <w:tcPr>
            <w:tcW w:w="808" w:type="pct"/>
            <w:shd w:val="clear" w:color="auto" w:fill="auto"/>
            <w:vAlign w:val="center"/>
          </w:tcPr>
          <w:p w14:paraId="4C2E2538">
            <w:pPr>
              <w:widowControl/>
              <w:rPr>
                <w:rFonts w:ascii="Times New Roman" w:hAnsi="Times New Roman" w:eastAsia="宋体" w:cs="Times New Roman"/>
                <w:kern w:val="0"/>
                <w:szCs w:val="21"/>
              </w:rPr>
            </w:pPr>
            <w:r>
              <w:rPr>
                <w:rFonts w:hint="eastAsia" w:ascii="Times New Roman" w:hAnsi="Times New Roman" w:eastAsia="宋体" w:cs="Times New Roman"/>
                <w:szCs w:val="21"/>
              </w:rPr>
              <w:t>施工场界围挡内侧加装吸声板材或加高隔声围挡（声屏障）等降噪措施；使用静力压装机等低噪声施工机械</w:t>
            </w:r>
          </w:p>
        </w:tc>
      </w:tr>
      <w:tr w14:paraId="1BFCB755">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96" w:type="pct"/>
            <w:shd w:val="clear" w:color="auto" w:fill="auto"/>
            <w:vAlign w:val="center"/>
          </w:tcPr>
          <w:p w14:paraId="1F36A7C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18</w:t>
            </w:r>
          </w:p>
        </w:tc>
        <w:tc>
          <w:tcPr>
            <w:tcW w:w="336" w:type="pct"/>
            <w:shd w:val="clear" w:color="auto" w:fill="auto"/>
            <w:vAlign w:val="center"/>
          </w:tcPr>
          <w:p w14:paraId="7DD27E61">
            <w:pPr>
              <w:widowControl/>
              <w:jc w:val="center"/>
              <w:rPr>
                <w:rFonts w:ascii="Times New Roman" w:hAnsi="Times New Roman" w:eastAsia="宋体" w:cs="Times New Roman"/>
                <w:kern w:val="0"/>
                <w:szCs w:val="21"/>
              </w:rPr>
            </w:pPr>
            <w:r>
              <w:rPr>
                <w:rFonts w:ascii="宋体" w:hAnsi="宋体" w:eastAsia="宋体" w:cs="Times New Roman"/>
                <w:kern w:val="0"/>
                <w:szCs w:val="21"/>
              </w:rPr>
              <w:t>霍加艾日克村</w:t>
            </w:r>
          </w:p>
        </w:tc>
        <w:tc>
          <w:tcPr>
            <w:tcW w:w="201" w:type="pct"/>
            <w:shd w:val="clear" w:color="auto" w:fill="auto"/>
            <w:vAlign w:val="center"/>
          </w:tcPr>
          <w:p w14:paraId="3509AE6D">
            <w:pPr>
              <w:widowControl/>
              <w:jc w:val="center"/>
              <w:rPr>
                <w:rFonts w:ascii="Times New Roman" w:hAnsi="Times New Roman" w:eastAsia="宋体" w:cs="Times New Roman"/>
                <w:kern w:val="0"/>
                <w:szCs w:val="21"/>
              </w:rPr>
            </w:pPr>
            <w:r>
              <w:rPr>
                <w:rFonts w:ascii="宋体" w:hAnsi="宋体" w:eastAsia="宋体" w:cs="Times New Roman"/>
                <w:kern w:val="0"/>
                <w:szCs w:val="21"/>
              </w:rPr>
              <w:t>路基</w:t>
            </w:r>
          </w:p>
        </w:tc>
        <w:tc>
          <w:tcPr>
            <w:tcW w:w="205" w:type="pct"/>
            <w:shd w:val="clear" w:color="auto" w:fill="auto"/>
            <w:vAlign w:val="center"/>
          </w:tcPr>
          <w:p w14:paraId="179CDBDA">
            <w:pPr>
              <w:widowControl/>
              <w:jc w:val="center"/>
              <w:rPr>
                <w:rFonts w:ascii="Times New Roman" w:hAnsi="Times New Roman" w:eastAsia="宋体" w:cs="Times New Roman"/>
                <w:kern w:val="0"/>
                <w:szCs w:val="21"/>
              </w:rPr>
            </w:pPr>
            <w:r>
              <w:rPr>
                <w:rFonts w:ascii="宋体" w:hAnsi="宋体" w:eastAsia="宋体" w:cs="Times New Roman"/>
                <w:kern w:val="0"/>
                <w:szCs w:val="21"/>
              </w:rPr>
              <w:t>两侧</w:t>
            </w:r>
          </w:p>
        </w:tc>
        <w:tc>
          <w:tcPr>
            <w:tcW w:w="312" w:type="pct"/>
            <w:shd w:val="clear" w:color="auto" w:fill="auto"/>
            <w:vAlign w:val="center"/>
          </w:tcPr>
          <w:p w14:paraId="6652C5F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w:t>
            </w:r>
          </w:p>
        </w:tc>
        <w:tc>
          <w:tcPr>
            <w:tcW w:w="180" w:type="pct"/>
            <w:shd w:val="clear" w:color="auto" w:fill="auto"/>
            <w:vAlign w:val="center"/>
          </w:tcPr>
          <w:p w14:paraId="0F08D8F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70</w:t>
            </w:r>
          </w:p>
        </w:tc>
        <w:tc>
          <w:tcPr>
            <w:tcW w:w="198" w:type="pct"/>
            <w:shd w:val="clear" w:color="auto" w:fill="auto"/>
            <w:vAlign w:val="center"/>
          </w:tcPr>
          <w:p w14:paraId="335D05B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55</w:t>
            </w:r>
          </w:p>
        </w:tc>
        <w:tc>
          <w:tcPr>
            <w:tcW w:w="183" w:type="pct"/>
            <w:shd w:val="clear" w:color="auto" w:fill="auto"/>
            <w:vAlign w:val="center"/>
          </w:tcPr>
          <w:p w14:paraId="67383FE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44.5</w:t>
            </w:r>
          </w:p>
        </w:tc>
        <w:tc>
          <w:tcPr>
            <w:tcW w:w="203" w:type="pct"/>
            <w:shd w:val="clear" w:color="auto" w:fill="auto"/>
            <w:vAlign w:val="center"/>
          </w:tcPr>
          <w:p w14:paraId="66C631A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37.0</w:t>
            </w:r>
          </w:p>
        </w:tc>
        <w:tc>
          <w:tcPr>
            <w:tcW w:w="181" w:type="pct"/>
            <w:shd w:val="clear" w:color="auto" w:fill="auto"/>
            <w:vAlign w:val="center"/>
          </w:tcPr>
          <w:p w14:paraId="5B850FC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85.2</w:t>
            </w:r>
          </w:p>
        </w:tc>
        <w:tc>
          <w:tcPr>
            <w:tcW w:w="182" w:type="pct"/>
            <w:shd w:val="clear" w:color="auto" w:fill="auto"/>
            <w:vAlign w:val="center"/>
          </w:tcPr>
          <w:p w14:paraId="38B5145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85.2</w:t>
            </w:r>
          </w:p>
        </w:tc>
        <w:tc>
          <w:tcPr>
            <w:tcW w:w="181" w:type="pct"/>
            <w:shd w:val="clear" w:color="auto" w:fill="auto"/>
            <w:vAlign w:val="center"/>
          </w:tcPr>
          <w:p w14:paraId="538CC66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85.2</w:t>
            </w:r>
          </w:p>
        </w:tc>
        <w:tc>
          <w:tcPr>
            <w:tcW w:w="182" w:type="pct"/>
            <w:shd w:val="clear" w:color="auto" w:fill="auto"/>
            <w:vAlign w:val="center"/>
          </w:tcPr>
          <w:p w14:paraId="7D28C43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85.2</w:t>
            </w:r>
          </w:p>
        </w:tc>
        <w:tc>
          <w:tcPr>
            <w:tcW w:w="181" w:type="pct"/>
            <w:shd w:val="clear" w:color="auto" w:fill="auto"/>
            <w:vAlign w:val="center"/>
          </w:tcPr>
          <w:p w14:paraId="5FA5430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15.2</w:t>
            </w:r>
          </w:p>
        </w:tc>
        <w:tc>
          <w:tcPr>
            <w:tcW w:w="182" w:type="pct"/>
            <w:shd w:val="clear" w:color="auto" w:fill="auto"/>
            <w:vAlign w:val="center"/>
          </w:tcPr>
          <w:p w14:paraId="0EDCA9C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30.2</w:t>
            </w:r>
          </w:p>
        </w:tc>
        <w:tc>
          <w:tcPr>
            <w:tcW w:w="181" w:type="pct"/>
            <w:shd w:val="clear" w:color="auto" w:fill="auto"/>
            <w:vAlign w:val="center"/>
          </w:tcPr>
          <w:p w14:paraId="23D8EF9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80.2</w:t>
            </w:r>
          </w:p>
        </w:tc>
        <w:tc>
          <w:tcPr>
            <w:tcW w:w="182" w:type="pct"/>
            <w:shd w:val="clear" w:color="auto" w:fill="auto"/>
            <w:vAlign w:val="center"/>
          </w:tcPr>
          <w:p w14:paraId="0E5E23A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80.2</w:t>
            </w:r>
          </w:p>
        </w:tc>
        <w:tc>
          <w:tcPr>
            <w:tcW w:w="181" w:type="pct"/>
            <w:shd w:val="clear" w:color="auto" w:fill="auto"/>
            <w:vAlign w:val="center"/>
          </w:tcPr>
          <w:p w14:paraId="65C1854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80.2</w:t>
            </w:r>
          </w:p>
        </w:tc>
        <w:tc>
          <w:tcPr>
            <w:tcW w:w="182" w:type="pct"/>
            <w:shd w:val="clear" w:color="auto" w:fill="auto"/>
            <w:vAlign w:val="center"/>
          </w:tcPr>
          <w:p w14:paraId="6BB85A6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80.2</w:t>
            </w:r>
          </w:p>
        </w:tc>
        <w:tc>
          <w:tcPr>
            <w:tcW w:w="181" w:type="pct"/>
            <w:shd w:val="clear" w:color="auto" w:fill="auto"/>
            <w:vAlign w:val="center"/>
          </w:tcPr>
          <w:p w14:paraId="3819850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10.2</w:t>
            </w:r>
          </w:p>
        </w:tc>
        <w:tc>
          <w:tcPr>
            <w:tcW w:w="182" w:type="pct"/>
            <w:shd w:val="clear" w:color="auto" w:fill="auto"/>
            <w:vAlign w:val="center"/>
          </w:tcPr>
          <w:p w14:paraId="67C3695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25.2</w:t>
            </w:r>
          </w:p>
        </w:tc>
        <w:tc>
          <w:tcPr>
            <w:tcW w:w="808" w:type="pct"/>
            <w:shd w:val="clear" w:color="auto" w:fill="auto"/>
            <w:vAlign w:val="center"/>
          </w:tcPr>
          <w:p w14:paraId="2F53AD73">
            <w:pPr>
              <w:widowControl/>
              <w:rPr>
                <w:rFonts w:ascii="Times New Roman" w:hAnsi="Times New Roman" w:eastAsia="宋体" w:cs="Times New Roman"/>
                <w:kern w:val="0"/>
                <w:szCs w:val="21"/>
              </w:rPr>
            </w:pPr>
            <w:r>
              <w:rPr>
                <w:rFonts w:hint="eastAsia" w:ascii="Times New Roman" w:hAnsi="Times New Roman" w:eastAsia="宋体" w:cs="Times New Roman"/>
              </w:rPr>
              <w:t>隔声房、隔声罩等消声减振装置；</w:t>
            </w:r>
            <w:r>
              <w:rPr>
                <w:rFonts w:hint="eastAsia" w:ascii="Times New Roman" w:hAnsi="Times New Roman" w:eastAsia="宋体" w:cs="Times New Roman"/>
                <w:szCs w:val="21"/>
              </w:rPr>
              <w:t>施工场界围挡内侧加装吸声板材或加高隔声围挡（声屏障）等降噪措施；使用静力压装机等低噪声施工机械</w:t>
            </w:r>
          </w:p>
        </w:tc>
      </w:tr>
      <w:tr w14:paraId="2CEC72F8">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96" w:type="pct"/>
            <w:shd w:val="clear" w:color="auto" w:fill="auto"/>
            <w:vAlign w:val="center"/>
          </w:tcPr>
          <w:p w14:paraId="0BDB3C4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19</w:t>
            </w:r>
          </w:p>
        </w:tc>
        <w:tc>
          <w:tcPr>
            <w:tcW w:w="336" w:type="pct"/>
            <w:shd w:val="clear" w:color="auto" w:fill="auto"/>
            <w:vAlign w:val="center"/>
          </w:tcPr>
          <w:p w14:paraId="13776AE3">
            <w:pPr>
              <w:widowControl/>
              <w:jc w:val="center"/>
              <w:rPr>
                <w:rFonts w:ascii="Times New Roman" w:hAnsi="Times New Roman" w:eastAsia="宋体" w:cs="Times New Roman"/>
                <w:kern w:val="0"/>
                <w:szCs w:val="21"/>
              </w:rPr>
            </w:pPr>
            <w:r>
              <w:rPr>
                <w:rFonts w:ascii="宋体" w:hAnsi="宋体" w:eastAsia="宋体" w:cs="Times New Roman"/>
                <w:kern w:val="0"/>
                <w:szCs w:val="21"/>
              </w:rPr>
              <w:t>提木村</w:t>
            </w:r>
          </w:p>
        </w:tc>
        <w:tc>
          <w:tcPr>
            <w:tcW w:w="201" w:type="pct"/>
            <w:shd w:val="clear" w:color="auto" w:fill="auto"/>
            <w:vAlign w:val="center"/>
          </w:tcPr>
          <w:p w14:paraId="433979B7">
            <w:pPr>
              <w:widowControl/>
              <w:jc w:val="center"/>
              <w:rPr>
                <w:rFonts w:ascii="Times New Roman" w:hAnsi="Times New Roman" w:eastAsia="宋体" w:cs="Times New Roman"/>
                <w:kern w:val="0"/>
                <w:szCs w:val="21"/>
              </w:rPr>
            </w:pPr>
            <w:r>
              <w:rPr>
                <w:rFonts w:ascii="宋体" w:hAnsi="宋体" w:eastAsia="宋体" w:cs="Times New Roman"/>
                <w:kern w:val="0"/>
                <w:szCs w:val="21"/>
              </w:rPr>
              <w:t>路基</w:t>
            </w:r>
          </w:p>
        </w:tc>
        <w:tc>
          <w:tcPr>
            <w:tcW w:w="205" w:type="pct"/>
            <w:shd w:val="clear" w:color="auto" w:fill="auto"/>
            <w:vAlign w:val="center"/>
          </w:tcPr>
          <w:p w14:paraId="6FFC3096">
            <w:pPr>
              <w:widowControl/>
              <w:jc w:val="center"/>
              <w:rPr>
                <w:rFonts w:ascii="Times New Roman" w:hAnsi="Times New Roman" w:eastAsia="宋体" w:cs="Times New Roman"/>
                <w:kern w:val="0"/>
                <w:szCs w:val="21"/>
              </w:rPr>
            </w:pPr>
            <w:r>
              <w:rPr>
                <w:rFonts w:ascii="宋体" w:hAnsi="宋体" w:eastAsia="宋体" w:cs="Times New Roman"/>
                <w:kern w:val="0"/>
                <w:szCs w:val="21"/>
              </w:rPr>
              <w:t>两侧</w:t>
            </w:r>
          </w:p>
        </w:tc>
        <w:tc>
          <w:tcPr>
            <w:tcW w:w="312" w:type="pct"/>
            <w:shd w:val="clear" w:color="auto" w:fill="auto"/>
            <w:vAlign w:val="center"/>
          </w:tcPr>
          <w:p w14:paraId="41EA6B0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w:t>
            </w:r>
          </w:p>
        </w:tc>
        <w:tc>
          <w:tcPr>
            <w:tcW w:w="180" w:type="pct"/>
            <w:shd w:val="clear" w:color="auto" w:fill="auto"/>
            <w:vAlign w:val="center"/>
          </w:tcPr>
          <w:p w14:paraId="0C33AC8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70</w:t>
            </w:r>
          </w:p>
        </w:tc>
        <w:tc>
          <w:tcPr>
            <w:tcW w:w="198" w:type="pct"/>
            <w:shd w:val="clear" w:color="auto" w:fill="auto"/>
            <w:vAlign w:val="center"/>
          </w:tcPr>
          <w:p w14:paraId="0B1CE74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55</w:t>
            </w:r>
          </w:p>
        </w:tc>
        <w:tc>
          <w:tcPr>
            <w:tcW w:w="183" w:type="pct"/>
            <w:shd w:val="clear" w:color="auto" w:fill="auto"/>
            <w:vAlign w:val="center"/>
          </w:tcPr>
          <w:p w14:paraId="00873F6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44.5</w:t>
            </w:r>
          </w:p>
        </w:tc>
        <w:tc>
          <w:tcPr>
            <w:tcW w:w="203" w:type="pct"/>
            <w:shd w:val="clear" w:color="auto" w:fill="auto"/>
            <w:vAlign w:val="center"/>
          </w:tcPr>
          <w:p w14:paraId="4236138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37.0</w:t>
            </w:r>
          </w:p>
        </w:tc>
        <w:tc>
          <w:tcPr>
            <w:tcW w:w="181" w:type="pct"/>
            <w:shd w:val="clear" w:color="auto" w:fill="auto"/>
            <w:vAlign w:val="center"/>
          </w:tcPr>
          <w:p w14:paraId="3813A78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86.2</w:t>
            </w:r>
          </w:p>
        </w:tc>
        <w:tc>
          <w:tcPr>
            <w:tcW w:w="182" w:type="pct"/>
            <w:shd w:val="clear" w:color="auto" w:fill="auto"/>
            <w:vAlign w:val="center"/>
          </w:tcPr>
          <w:p w14:paraId="1E13247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86.2</w:t>
            </w:r>
          </w:p>
        </w:tc>
        <w:tc>
          <w:tcPr>
            <w:tcW w:w="181" w:type="pct"/>
            <w:shd w:val="clear" w:color="auto" w:fill="auto"/>
            <w:vAlign w:val="center"/>
          </w:tcPr>
          <w:p w14:paraId="439041E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86.2</w:t>
            </w:r>
          </w:p>
        </w:tc>
        <w:tc>
          <w:tcPr>
            <w:tcW w:w="182" w:type="pct"/>
            <w:shd w:val="clear" w:color="auto" w:fill="auto"/>
            <w:vAlign w:val="center"/>
          </w:tcPr>
          <w:p w14:paraId="042FED5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86.2</w:t>
            </w:r>
          </w:p>
        </w:tc>
        <w:tc>
          <w:tcPr>
            <w:tcW w:w="181" w:type="pct"/>
            <w:shd w:val="clear" w:color="auto" w:fill="auto"/>
            <w:vAlign w:val="center"/>
          </w:tcPr>
          <w:p w14:paraId="3F9F254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16.2</w:t>
            </w:r>
          </w:p>
        </w:tc>
        <w:tc>
          <w:tcPr>
            <w:tcW w:w="182" w:type="pct"/>
            <w:shd w:val="clear" w:color="auto" w:fill="auto"/>
            <w:vAlign w:val="center"/>
          </w:tcPr>
          <w:p w14:paraId="20FD00E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31.2</w:t>
            </w:r>
          </w:p>
        </w:tc>
        <w:tc>
          <w:tcPr>
            <w:tcW w:w="181" w:type="pct"/>
            <w:shd w:val="clear" w:color="auto" w:fill="auto"/>
            <w:vAlign w:val="center"/>
          </w:tcPr>
          <w:p w14:paraId="6B3B2F7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81.2</w:t>
            </w:r>
          </w:p>
        </w:tc>
        <w:tc>
          <w:tcPr>
            <w:tcW w:w="182" w:type="pct"/>
            <w:shd w:val="clear" w:color="auto" w:fill="auto"/>
            <w:vAlign w:val="center"/>
          </w:tcPr>
          <w:p w14:paraId="5C6B04D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81.2</w:t>
            </w:r>
          </w:p>
        </w:tc>
        <w:tc>
          <w:tcPr>
            <w:tcW w:w="181" w:type="pct"/>
            <w:shd w:val="clear" w:color="auto" w:fill="auto"/>
            <w:vAlign w:val="center"/>
          </w:tcPr>
          <w:p w14:paraId="41AD021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81.2</w:t>
            </w:r>
          </w:p>
        </w:tc>
        <w:tc>
          <w:tcPr>
            <w:tcW w:w="182" w:type="pct"/>
            <w:shd w:val="clear" w:color="auto" w:fill="auto"/>
            <w:vAlign w:val="center"/>
          </w:tcPr>
          <w:p w14:paraId="6350EA6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81.2</w:t>
            </w:r>
          </w:p>
        </w:tc>
        <w:tc>
          <w:tcPr>
            <w:tcW w:w="181" w:type="pct"/>
            <w:shd w:val="clear" w:color="auto" w:fill="auto"/>
            <w:vAlign w:val="center"/>
          </w:tcPr>
          <w:p w14:paraId="305420A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11.2</w:t>
            </w:r>
          </w:p>
        </w:tc>
        <w:tc>
          <w:tcPr>
            <w:tcW w:w="182" w:type="pct"/>
            <w:shd w:val="clear" w:color="auto" w:fill="auto"/>
            <w:vAlign w:val="center"/>
          </w:tcPr>
          <w:p w14:paraId="656860C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26.2</w:t>
            </w:r>
          </w:p>
        </w:tc>
        <w:tc>
          <w:tcPr>
            <w:tcW w:w="808" w:type="pct"/>
            <w:shd w:val="clear" w:color="auto" w:fill="auto"/>
            <w:vAlign w:val="center"/>
          </w:tcPr>
          <w:p w14:paraId="461672F8">
            <w:pPr>
              <w:widowControl/>
              <w:rPr>
                <w:rFonts w:ascii="Times New Roman" w:hAnsi="Times New Roman" w:eastAsia="宋体" w:cs="Times New Roman"/>
                <w:kern w:val="0"/>
                <w:szCs w:val="21"/>
              </w:rPr>
            </w:pPr>
            <w:r>
              <w:rPr>
                <w:rFonts w:hint="eastAsia" w:ascii="Times New Roman" w:hAnsi="Times New Roman" w:eastAsia="宋体" w:cs="Times New Roman"/>
              </w:rPr>
              <w:t>隔声房、隔声罩等消声减振装置；</w:t>
            </w:r>
            <w:r>
              <w:rPr>
                <w:rFonts w:hint="eastAsia" w:ascii="Times New Roman" w:hAnsi="Times New Roman" w:eastAsia="宋体" w:cs="Times New Roman"/>
                <w:szCs w:val="21"/>
              </w:rPr>
              <w:t>施工场界围挡内侧加装吸声板材或加高隔声围挡（声屏障）等降噪措施；使用静力压装机等低噪声施工机械</w:t>
            </w:r>
          </w:p>
        </w:tc>
      </w:tr>
      <w:tr w14:paraId="704A417C">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96" w:type="pct"/>
            <w:vMerge w:val="restart"/>
            <w:shd w:val="clear" w:color="auto" w:fill="auto"/>
            <w:vAlign w:val="center"/>
          </w:tcPr>
          <w:p w14:paraId="49666F6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20</w:t>
            </w:r>
          </w:p>
        </w:tc>
        <w:tc>
          <w:tcPr>
            <w:tcW w:w="336" w:type="pct"/>
            <w:vMerge w:val="restart"/>
            <w:shd w:val="clear" w:color="auto" w:fill="auto"/>
            <w:vAlign w:val="center"/>
          </w:tcPr>
          <w:p w14:paraId="69E2315E">
            <w:pPr>
              <w:widowControl/>
              <w:jc w:val="center"/>
              <w:rPr>
                <w:rFonts w:ascii="Times New Roman" w:hAnsi="Times New Roman" w:eastAsia="宋体" w:cs="Times New Roman"/>
                <w:kern w:val="0"/>
                <w:szCs w:val="21"/>
              </w:rPr>
            </w:pPr>
            <w:r>
              <w:rPr>
                <w:rFonts w:ascii="宋体" w:hAnsi="宋体" w:eastAsia="宋体" w:cs="Times New Roman"/>
                <w:kern w:val="0"/>
                <w:szCs w:val="21"/>
              </w:rPr>
              <w:t>吐碗</w:t>
            </w:r>
          </w:p>
        </w:tc>
        <w:tc>
          <w:tcPr>
            <w:tcW w:w="201" w:type="pct"/>
            <w:vMerge w:val="restart"/>
            <w:shd w:val="clear" w:color="auto" w:fill="auto"/>
            <w:vAlign w:val="center"/>
          </w:tcPr>
          <w:p w14:paraId="49642511">
            <w:pPr>
              <w:widowControl/>
              <w:jc w:val="center"/>
              <w:rPr>
                <w:rFonts w:ascii="Times New Roman" w:hAnsi="Times New Roman" w:eastAsia="宋体" w:cs="Times New Roman"/>
                <w:kern w:val="0"/>
                <w:szCs w:val="21"/>
              </w:rPr>
            </w:pPr>
            <w:r>
              <w:rPr>
                <w:rFonts w:ascii="宋体" w:hAnsi="宋体" w:eastAsia="宋体" w:cs="Times New Roman"/>
                <w:kern w:val="0"/>
                <w:szCs w:val="21"/>
              </w:rPr>
              <w:t>路基</w:t>
            </w:r>
          </w:p>
        </w:tc>
        <w:tc>
          <w:tcPr>
            <w:tcW w:w="205" w:type="pct"/>
            <w:shd w:val="clear" w:color="auto" w:fill="auto"/>
            <w:vAlign w:val="center"/>
          </w:tcPr>
          <w:p w14:paraId="7B957F1B">
            <w:pPr>
              <w:widowControl/>
              <w:jc w:val="center"/>
              <w:rPr>
                <w:rFonts w:ascii="Times New Roman" w:hAnsi="Times New Roman" w:eastAsia="宋体" w:cs="Times New Roman"/>
                <w:kern w:val="0"/>
                <w:szCs w:val="21"/>
              </w:rPr>
            </w:pPr>
            <w:r>
              <w:rPr>
                <w:rFonts w:ascii="宋体" w:hAnsi="宋体" w:eastAsia="宋体" w:cs="Times New Roman"/>
                <w:kern w:val="0"/>
                <w:szCs w:val="21"/>
              </w:rPr>
              <w:t>路右</w:t>
            </w:r>
          </w:p>
        </w:tc>
        <w:tc>
          <w:tcPr>
            <w:tcW w:w="312" w:type="pct"/>
            <w:shd w:val="clear" w:color="auto" w:fill="auto"/>
            <w:vAlign w:val="center"/>
          </w:tcPr>
          <w:p w14:paraId="43B6CBB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3.5</w:t>
            </w:r>
          </w:p>
        </w:tc>
        <w:tc>
          <w:tcPr>
            <w:tcW w:w="180" w:type="pct"/>
            <w:shd w:val="clear" w:color="auto" w:fill="auto"/>
            <w:vAlign w:val="center"/>
          </w:tcPr>
          <w:p w14:paraId="31901D9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70</w:t>
            </w:r>
          </w:p>
        </w:tc>
        <w:tc>
          <w:tcPr>
            <w:tcW w:w="198" w:type="pct"/>
            <w:shd w:val="clear" w:color="auto" w:fill="auto"/>
            <w:vAlign w:val="center"/>
          </w:tcPr>
          <w:p w14:paraId="7130137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55</w:t>
            </w:r>
          </w:p>
        </w:tc>
        <w:tc>
          <w:tcPr>
            <w:tcW w:w="183" w:type="pct"/>
            <w:shd w:val="clear" w:color="auto" w:fill="auto"/>
            <w:vAlign w:val="center"/>
          </w:tcPr>
          <w:p w14:paraId="7F69B68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44.5</w:t>
            </w:r>
          </w:p>
        </w:tc>
        <w:tc>
          <w:tcPr>
            <w:tcW w:w="203" w:type="pct"/>
            <w:shd w:val="clear" w:color="auto" w:fill="auto"/>
            <w:vAlign w:val="center"/>
          </w:tcPr>
          <w:p w14:paraId="5E1ECEF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37.5</w:t>
            </w:r>
          </w:p>
        </w:tc>
        <w:tc>
          <w:tcPr>
            <w:tcW w:w="181" w:type="pct"/>
            <w:shd w:val="clear" w:color="auto" w:fill="auto"/>
            <w:vAlign w:val="center"/>
          </w:tcPr>
          <w:p w14:paraId="27F6C11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86.4</w:t>
            </w:r>
          </w:p>
        </w:tc>
        <w:tc>
          <w:tcPr>
            <w:tcW w:w="182" w:type="pct"/>
            <w:shd w:val="clear" w:color="auto" w:fill="auto"/>
            <w:vAlign w:val="center"/>
          </w:tcPr>
          <w:p w14:paraId="0E4C55D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86.4</w:t>
            </w:r>
          </w:p>
        </w:tc>
        <w:tc>
          <w:tcPr>
            <w:tcW w:w="181" w:type="pct"/>
            <w:shd w:val="clear" w:color="auto" w:fill="auto"/>
            <w:vAlign w:val="center"/>
          </w:tcPr>
          <w:p w14:paraId="27E3013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86.4</w:t>
            </w:r>
          </w:p>
        </w:tc>
        <w:tc>
          <w:tcPr>
            <w:tcW w:w="182" w:type="pct"/>
            <w:shd w:val="clear" w:color="auto" w:fill="auto"/>
            <w:vAlign w:val="center"/>
          </w:tcPr>
          <w:p w14:paraId="07057E0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86.4</w:t>
            </w:r>
          </w:p>
        </w:tc>
        <w:tc>
          <w:tcPr>
            <w:tcW w:w="181" w:type="pct"/>
            <w:shd w:val="clear" w:color="auto" w:fill="auto"/>
            <w:vAlign w:val="center"/>
          </w:tcPr>
          <w:p w14:paraId="3709793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16.4</w:t>
            </w:r>
          </w:p>
        </w:tc>
        <w:tc>
          <w:tcPr>
            <w:tcW w:w="182" w:type="pct"/>
            <w:shd w:val="clear" w:color="auto" w:fill="auto"/>
            <w:vAlign w:val="center"/>
          </w:tcPr>
          <w:p w14:paraId="41834C1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31.4</w:t>
            </w:r>
          </w:p>
        </w:tc>
        <w:tc>
          <w:tcPr>
            <w:tcW w:w="181" w:type="pct"/>
            <w:shd w:val="clear" w:color="auto" w:fill="auto"/>
            <w:vAlign w:val="center"/>
          </w:tcPr>
          <w:p w14:paraId="314A664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81.5</w:t>
            </w:r>
          </w:p>
        </w:tc>
        <w:tc>
          <w:tcPr>
            <w:tcW w:w="182" w:type="pct"/>
            <w:shd w:val="clear" w:color="auto" w:fill="auto"/>
            <w:vAlign w:val="center"/>
          </w:tcPr>
          <w:p w14:paraId="4FA0E24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81.5</w:t>
            </w:r>
          </w:p>
        </w:tc>
        <w:tc>
          <w:tcPr>
            <w:tcW w:w="181" w:type="pct"/>
            <w:shd w:val="clear" w:color="auto" w:fill="auto"/>
            <w:vAlign w:val="center"/>
          </w:tcPr>
          <w:p w14:paraId="03D72DD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81.5</w:t>
            </w:r>
          </w:p>
        </w:tc>
        <w:tc>
          <w:tcPr>
            <w:tcW w:w="182" w:type="pct"/>
            <w:shd w:val="clear" w:color="auto" w:fill="auto"/>
            <w:vAlign w:val="center"/>
          </w:tcPr>
          <w:p w14:paraId="5EE0FEF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81.5</w:t>
            </w:r>
          </w:p>
        </w:tc>
        <w:tc>
          <w:tcPr>
            <w:tcW w:w="181" w:type="pct"/>
            <w:shd w:val="clear" w:color="auto" w:fill="auto"/>
            <w:vAlign w:val="center"/>
          </w:tcPr>
          <w:p w14:paraId="5FFA048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11.5</w:t>
            </w:r>
          </w:p>
        </w:tc>
        <w:tc>
          <w:tcPr>
            <w:tcW w:w="182" w:type="pct"/>
            <w:shd w:val="clear" w:color="auto" w:fill="auto"/>
            <w:vAlign w:val="center"/>
          </w:tcPr>
          <w:p w14:paraId="51CBC3E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26.5</w:t>
            </w:r>
          </w:p>
        </w:tc>
        <w:tc>
          <w:tcPr>
            <w:tcW w:w="808" w:type="pct"/>
            <w:shd w:val="clear" w:color="auto" w:fill="auto"/>
            <w:vAlign w:val="center"/>
          </w:tcPr>
          <w:p w14:paraId="34DF1CF1">
            <w:pPr>
              <w:widowControl/>
              <w:rPr>
                <w:rFonts w:ascii="Times New Roman" w:hAnsi="Times New Roman" w:eastAsia="宋体" w:cs="Times New Roman"/>
                <w:kern w:val="0"/>
                <w:szCs w:val="21"/>
              </w:rPr>
            </w:pPr>
            <w:r>
              <w:rPr>
                <w:rFonts w:hint="eastAsia" w:ascii="Times New Roman" w:hAnsi="Times New Roman" w:eastAsia="宋体" w:cs="Times New Roman"/>
              </w:rPr>
              <w:t>隔声房、隔声罩等消声减振装置；</w:t>
            </w:r>
            <w:r>
              <w:rPr>
                <w:rFonts w:hint="eastAsia" w:ascii="Times New Roman" w:hAnsi="Times New Roman" w:eastAsia="宋体" w:cs="Times New Roman"/>
                <w:szCs w:val="21"/>
              </w:rPr>
              <w:t>施工场界围挡内侧加装吸声板材或加高隔声围挡（声屏障）等降噪措施；使用静力压装机等低噪声施工机械</w:t>
            </w:r>
          </w:p>
        </w:tc>
      </w:tr>
      <w:tr w14:paraId="06D99A5F">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96" w:type="pct"/>
            <w:vMerge w:val="continue"/>
            <w:vAlign w:val="center"/>
          </w:tcPr>
          <w:p w14:paraId="25375BD4">
            <w:pPr>
              <w:widowControl/>
              <w:jc w:val="center"/>
              <w:rPr>
                <w:rFonts w:ascii="Times New Roman" w:hAnsi="Times New Roman" w:eastAsia="宋体" w:cs="Times New Roman"/>
                <w:kern w:val="0"/>
                <w:szCs w:val="21"/>
              </w:rPr>
            </w:pPr>
          </w:p>
        </w:tc>
        <w:tc>
          <w:tcPr>
            <w:tcW w:w="336" w:type="pct"/>
            <w:vMerge w:val="continue"/>
            <w:vAlign w:val="center"/>
          </w:tcPr>
          <w:p w14:paraId="7798A163">
            <w:pPr>
              <w:widowControl/>
              <w:jc w:val="center"/>
              <w:rPr>
                <w:rFonts w:ascii="Times New Roman" w:hAnsi="Times New Roman" w:eastAsia="宋体" w:cs="Times New Roman"/>
                <w:kern w:val="0"/>
                <w:szCs w:val="21"/>
              </w:rPr>
            </w:pPr>
          </w:p>
        </w:tc>
        <w:tc>
          <w:tcPr>
            <w:tcW w:w="201" w:type="pct"/>
            <w:vMerge w:val="continue"/>
            <w:vAlign w:val="center"/>
          </w:tcPr>
          <w:p w14:paraId="2C05579E">
            <w:pPr>
              <w:widowControl/>
              <w:jc w:val="center"/>
              <w:rPr>
                <w:rFonts w:ascii="Times New Roman" w:hAnsi="Times New Roman" w:eastAsia="宋体" w:cs="Times New Roman"/>
                <w:kern w:val="0"/>
                <w:szCs w:val="21"/>
              </w:rPr>
            </w:pPr>
          </w:p>
        </w:tc>
        <w:tc>
          <w:tcPr>
            <w:tcW w:w="205" w:type="pct"/>
            <w:shd w:val="clear" w:color="auto" w:fill="auto"/>
            <w:vAlign w:val="center"/>
          </w:tcPr>
          <w:p w14:paraId="3434540D">
            <w:pPr>
              <w:widowControl/>
              <w:jc w:val="center"/>
              <w:rPr>
                <w:rFonts w:ascii="Times New Roman" w:hAnsi="Times New Roman" w:eastAsia="宋体" w:cs="Times New Roman"/>
                <w:kern w:val="0"/>
                <w:szCs w:val="21"/>
              </w:rPr>
            </w:pPr>
            <w:r>
              <w:rPr>
                <w:rFonts w:ascii="宋体" w:hAnsi="宋体" w:eastAsia="宋体" w:cs="Times New Roman"/>
                <w:kern w:val="0"/>
                <w:szCs w:val="21"/>
              </w:rPr>
              <w:t>路左</w:t>
            </w:r>
          </w:p>
        </w:tc>
        <w:tc>
          <w:tcPr>
            <w:tcW w:w="312" w:type="pct"/>
            <w:shd w:val="clear" w:color="auto" w:fill="auto"/>
            <w:vAlign w:val="center"/>
          </w:tcPr>
          <w:p w14:paraId="68075E5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7.5</w:t>
            </w:r>
          </w:p>
        </w:tc>
        <w:tc>
          <w:tcPr>
            <w:tcW w:w="180" w:type="pct"/>
            <w:shd w:val="clear" w:color="auto" w:fill="auto"/>
            <w:vAlign w:val="center"/>
          </w:tcPr>
          <w:p w14:paraId="15E6384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70</w:t>
            </w:r>
          </w:p>
        </w:tc>
        <w:tc>
          <w:tcPr>
            <w:tcW w:w="198" w:type="pct"/>
            <w:shd w:val="clear" w:color="auto" w:fill="auto"/>
            <w:vAlign w:val="center"/>
          </w:tcPr>
          <w:p w14:paraId="6CC9620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55</w:t>
            </w:r>
          </w:p>
        </w:tc>
        <w:tc>
          <w:tcPr>
            <w:tcW w:w="183" w:type="pct"/>
            <w:shd w:val="clear" w:color="auto" w:fill="auto"/>
            <w:vAlign w:val="center"/>
          </w:tcPr>
          <w:p w14:paraId="2F29C70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44.5</w:t>
            </w:r>
          </w:p>
        </w:tc>
        <w:tc>
          <w:tcPr>
            <w:tcW w:w="203" w:type="pct"/>
            <w:shd w:val="clear" w:color="auto" w:fill="auto"/>
            <w:vAlign w:val="center"/>
          </w:tcPr>
          <w:p w14:paraId="4E6F091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37.5</w:t>
            </w:r>
          </w:p>
        </w:tc>
        <w:tc>
          <w:tcPr>
            <w:tcW w:w="181" w:type="pct"/>
            <w:shd w:val="clear" w:color="auto" w:fill="auto"/>
            <w:vAlign w:val="center"/>
          </w:tcPr>
          <w:p w14:paraId="1056032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84.5</w:t>
            </w:r>
          </w:p>
        </w:tc>
        <w:tc>
          <w:tcPr>
            <w:tcW w:w="182" w:type="pct"/>
            <w:shd w:val="clear" w:color="auto" w:fill="auto"/>
            <w:vAlign w:val="center"/>
          </w:tcPr>
          <w:p w14:paraId="16007E7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84.5</w:t>
            </w:r>
          </w:p>
        </w:tc>
        <w:tc>
          <w:tcPr>
            <w:tcW w:w="181" w:type="pct"/>
            <w:shd w:val="clear" w:color="auto" w:fill="auto"/>
            <w:vAlign w:val="center"/>
          </w:tcPr>
          <w:p w14:paraId="59FD342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84.5</w:t>
            </w:r>
          </w:p>
        </w:tc>
        <w:tc>
          <w:tcPr>
            <w:tcW w:w="182" w:type="pct"/>
            <w:shd w:val="clear" w:color="auto" w:fill="auto"/>
            <w:vAlign w:val="center"/>
          </w:tcPr>
          <w:p w14:paraId="3D4C828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84.5</w:t>
            </w:r>
          </w:p>
        </w:tc>
        <w:tc>
          <w:tcPr>
            <w:tcW w:w="181" w:type="pct"/>
            <w:shd w:val="clear" w:color="auto" w:fill="auto"/>
            <w:vAlign w:val="center"/>
          </w:tcPr>
          <w:p w14:paraId="5502271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14.5</w:t>
            </w:r>
          </w:p>
        </w:tc>
        <w:tc>
          <w:tcPr>
            <w:tcW w:w="182" w:type="pct"/>
            <w:shd w:val="clear" w:color="auto" w:fill="auto"/>
            <w:vAlign w:val="center"/>
          </w:tcPr>
          <w:p w14:paraId="2101D8D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29.5</w:t>
            </w:r>
          </w:p>
        </w:tc>
        <w:tc>
          <w:tcPr>
            <w:tcW w:w="181" w:type="pct"/>
            <w:shd w:val="clear" w:color="auto" w:fill="auto"/>
            <w:vAlign w:val="center"/>
          </w:tcPr>
          <w:p w14:paraId="3656AAB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79.6</w:t>
            </w:r>
          </w:p>
        </w:tc>
        <w:tc>
          <w:tcPr>
            <w:tcW w:w="182" w:type="pct"/>
            <w:shd w:val="clear" w:color="auto" w:fill="auto"/>
            <w:vAlign w:val="center"/>
          </w:tcPr>
          <w:p w14:paraId="5684F6B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79.6</w:t>
            </w:r>
          </w:p>
        </w:tc>
        <w:tc>
          <w:tcPr>
            <w:tcW w:w="181" w:type="pct"/>
            <w:shd w:val="clear" w:color="auto" w:fill="auto"/>
            <w:vAlign w:val="center"/>
          </w:tcPr>
          <w:p w14:paraId="6E78B6E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79.6</w:t>
            </w:r>
          </w:p>
        </w:tc>
        <w:tc>
          <w:tcPr>
            <w:tcW w:w="182" w:type="pct"/>
            <w:shd w:val="clear" w:color="auto" w:fill="auto"/>
            <w:vAlign w:val="center"/>
          </w:tcPr>
          <w:p w14:paraId="321FD60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79.6</w:t>
            </w:r>
          </w:p>
        </w:tc>
        <w:tc>
          <w:tcPr>
            <w:tcW w:w="181" w:type="pct"/>
            <w:shd w:val="clear" w:color="auto" w:fill="auto"/>
            <w:vAlign w:val="center"/>
          </w:tcPr>
          <w:p w14:paraId="3A895EB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9.6</w:t>
            </w:r>
          </w:p>
        </w:tc>
        <w:tc>
          <w:tcPr>
            <w:tcW w:w="182" w:type="pct"/>
            <w:shd w:val="clear" w:color="auto" w:fill="auto"/>
            <w:vAlign w:val="center"/>
          </w:tcPr>
          <w:p w14:paraId="551C465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24.6</w:t>
            </w:r>
          </w:p>
        </w:tc>
        <w:tc>
          <w:tcPr>
            <w:tcW w:w="808" w:type="pct"/>
            <w:shd w:val="clear" w:color="auto" w:fill="auto"/>
            <w:vAlign w:val="center"/>
          </w:tcPr>
          <w:p w14:paraId="2586BC69">
            <w:pPr>
              <w:widowControl/>
              <w:rPr>
                <w:rFonts w:ascii="Times New Roman" w:hAnsi="Times New Roman" w:eastAsia="宋体" w:cs="Times New Roman"/>
                <w:kern w:val="0"/>
                <w:szCs w:val="21"/>
              </w:rPr>
            </w:pPr>
            <w:r>
              <w:rPr>
                <w:rFonts w:hint="eastAsia" w:ascii="Times New Roman" w:hAnsi="Times New Roman" w:eastAsia="宋体" w:cs="Times New Roman"/>
              </w:rPr>
              <w:t>隔声房、隔声罩等消声减振装置；</w:t>
            </w:r>
            <w:r>
              <w:rPr>
                <w:rFonts w:hint="eastAsia" w:ascii="Times New Roman" w:hAnsi="Times New Roman" w:eastAsia="宋体" w:cs="Times New Roman"/>
                <w:szCs w:val="21"/>
              </w:rPr>
              <w:t>施工场界围挡内侧加装吸声板材或加高隔声围挡（声屏障）等降噪措施；使用静力压装机等低噪声施工机械</w:t>
            </w:r>
          </w:p>
        </w:tc>
      </w:tr>
      <w:tr w14:paraId="64F6237E">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96" w:type="pct"/>
            <w:shd w:val="clear" w:color="auto" w:fill="auto"/>
            <w:vAlign w:val="center"/>
          </w:tcPr>
          <w:p w14:paraId="36C75DF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21</w:t>
            </w:r>
          </w:p>
        </w:tc>
        <w:tc>
          <w:tcPr>
            <w:tcW w:w="336" w:type="pct"/>
            <w:shd w:val="clear" w:color="auto" w:fill="auto"/>
            <w:vAlign w:val="center"/>
          </w:tcPr>
          <w:p w14:paraId="6545E7C5">
            <w:pPr>
              <w:widowControl/>
              <w:jc w:val="center"/>
              <w:rPr>
                <w:rFonts w:ascii="Times New Roman" w:hAnsi="Times New Roman" w:eastAsia="宋体" w:cs="Times New Roman"/>
                <w:kern w:val="0"/>
                <w:szCs w:val="21"/>
              </w:rPr>
            </w:pPr>
            <w:r>
              <w:rPr>
                <w:rFonts w:ascii="宋体" w:hAnsi="宋体" w:eastAsia="宋体" w:cs="Times New Roman"/>
                <w:kern w:val="0"/>
                <w:szCs w:val="21"/>
              </w:rPr>
              <w:t>其维克村</w:t>
            </w:r>
          </w:p>
        </w:tc>
        <w:tc>
          <w:tcPr>
            <w:tcW w:w="201" w:type="pct"/>
            <w:shd w:val="clear" w:color="auto" w:fill="auto"/>
            <w:vAlign w:val="center"/>
          </w:tcPr>
          <w:p w14:paraId="7547A8BF">
            <w:pPr>
              <w:widowControl/>
              <w:jc w:val="center"/>
              <w:rPr>
                <w:rFonts w:ascii="Times New Roman" w:hAnsi="Times New Roman" w:eastAsia="宋体" w:cs="Times New Roman"/>
                <w:kern w:val="0"/>
                <w:szCs w:val="21"/>
              </w:rPr>
            </w:pPr>
            <w:r>
              <w:rPr>
                <w:rFonts w:ascii="宋体" w:hAnsi="宋体" w:eastAsia="宋体" w:cs="Times New Roman"/>
                <w:kern w:val="0"/>
                <w:szCs w:val="21"/>
              </w:rPr>
              <w:t>路基</w:t>
            </w:r>
          </w:p>
        </w:tc>
        <w:tc>
          <w:tcPr>
            <w:tcW w:w="205" w:type="pct"/>
            <w:shd w:val="clear" w:color="auto" w:fill="auto"/>
            <w:vAlign w:val="center"/>
          </w:tcPr>
          <w:p w14:paraId="1BF2A3E6">
            <w:pPr>
              <w:widowControl/>
              <w:jc w:val="center"/>
              <w:rPr>
                <w:rFonts w:ascii="Times New Roman" w:hAnsi="Times New Roman" w:eastAsia="宋体" w:cs="Times New Roman"/>
                <w:kern w:val="0"/>
                <w:szCs w:val="21"/>
              </w:rPr>
            </w:pPr>
            <w:r>
              <w:rPr>
                <w:rFonts w:ascii="宋体" w:hAnsi="宋体" w:eastAsia="宋体" w:cs="Times New Roman"/>
                <w:kern w:val="0"/>
                <w:szCs w:val="21"/>
              </w:rPr>
              <w:t>两侧</w:t>
            </w:r>
          </w:p>
        </w:tc>
        <w:tc>
          <w:tcPr>
            <w:tcW w:w="312" w:type="pct"/>
            <w:shd w:val="clear" w:color="auto" w:fill="auto"/>
            <w:vAlign w:val="center"/>
          </w:tcPr>
          <w:p w14:paraId="5F30362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6.5</w:t>
            </w:r>
          </w:p>
        </w:tc>
        <w:tc>
          <w:tcPr>
            <w:tcW w:w="180" w:type="pct"/>
            <w:shd w:val="clear" w:color="auto" w:fill="auto"/>
            <w:vAlign w:val="center"/>
          </w:tcPr>
          <w:p w14:paraId="7BCCE5A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70</w:t>
            </w:r>
          </w:p>
        </w:tc>
        <w:tc>
          <w:tcPr>
            <w:tcW w:w="198" w:type="pct"/>
            <w:shd w:val="clear" w:color="auto" w:fill="auto"/>
            <w:vAlign w:val="center"/>
          </w:tcPr>
          <w:p w14:paraId="481E887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55</w:t>
            </w:r>
          </w:p>
        </w:tc>
        <w:tc>
          <w:tcPr>
            <w:tcW w:w="183" w:type="pct"/>
            <w:shd w:val="clear" w:color="auto" w:fill="auto"/>
            <w:vAlign w:val="center"/>
          </w:tcPr>
          <w:p w14:paraId="4B51E4E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55.0</w:t>
            </w:r>
          </w:p>
        </w:tc>
        <w:tc>
          <w:tcPr>
            <w:tcW w:w="203" w:type="pct"/>
            <w:shd w:val="clear" w:color="auto" w:fill="auto"/>
            <w:vAlign w:val="center"/>
          </w:tcPr>
          <w:p w14:paraId="48FB778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46.0</w:t>
            </w:r>
          </w:p>
        </w:tc>
        <w:tc>
          <w:tcPr>
            <w:tcW w:w="181" w:type="pct"/>
            <w:shd w:val="clear" w:color="auto" w:fill="auto"/>
            <w:vAlign w:val="center"/>
          </w:tcPr>
          <w:p w14:paraId="263CABF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85.0</w:t>
            </w:r>
          </w:p>
        </w:tc>
        <w:tc>
          <w:tcPr>
            <w:tcW w:w="182" w:type="pct"/>
            <w:shd w:val="clear" w:color="auto" w:fill="auto"/>
            <w:vAlign w:val="center"/>
          </w:tcPr>
          <w:p w14:paraId="52C40D1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85.0</w:t>
            </w:r>
          </w:p>
        </w:tc>
        <w:tc>
          <w:tcPr>
            <w:tcW w:w="181" w:type="pct"/>
            <w:shd w:val="clear" w:color="auto" w:fill="auto"/>
            <w:vAlign w:val="center"/>
          </w:tcPr>
          <w:p w14:paraId="65D6CAA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85.0</w:t>
            </w:r>
          </w:p>
        </w:tc>
        <w:tc>
          <w:tcPr>
            <w:tcW w:w="182" w:type="pct"/>
            <w:shd w:val="clear" w:color="auto" w:fill="auto"/>
            <w:vAlign w:val="center"/>
          </w:tcPr>
          <w:p w14:paraId="117EF37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85.0</w:t>
            </w:r>
          </w:p>
        </w:tc>
        <w:tc>
          <w:tcPr>
            <w:tcW w:w="181" w:type="pct"/>
            <w:shd w:val="clear" w:color="auto" w:fill="auto"/>
            <w:vAlign w:val="center"/>
          </w:tcPr>
          <w:p w14:paraId="1411E02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15.0</w:t>
            </w:r>
          </w:p>
        </w:tc>
        <w:tc>
          <w:tcPr>
            <w:tcW w:w="182" w:type="pct"/>
            <w:shd w:val="clear" w:color="auto" w:fill="auto"/>
            <w:vAlign w:val="center"/>
          </w:tcPr>
          <w:p w14:paraId="741D781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30.0</w:t>
            </w:r>
          </w:p>
        </w:tc>
        <w:tc>
          <w:tcPr>
            <w:tcW w:w="181" w:type="pct"/>
            <w:shd w:val="clear" w:color="auto" w:fill="auto"/>
            <w:vAlign w:val="center"/>
          </w:tcPr>
          <w:p w14:paraId="12BA8AB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80.0</w:t>
            </w:r>
          </w:p>
        </w:tc>
        <w:tc>
          <w:tcPr>
            <w:tcW w:w="182" w:type="pct"/>
            <w:shd w:val="clear" w:color="auto" w:fill="auto"/>
            <w:vAlign w:val="center"/>
          </w:tcPr>
          <w:p w14:paraId="2684EEE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80.0</w:t>
            </w:r>
          </w:p>
        </w:tc>
        <w:tc>
          <w:tcPr>
            <w:tcW w:w="181" w:type="pct"/>
            <w:shd w:val="clear" w:color="auto" w:fill="auto"/>
            <w:vAlign w:val="center"/>
          </w:tcPr>
          <w:p w14:paraId="7D18D2F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80.0</w:t>
            </w:r>
          </w:p>
        </w:tc>
        <w:tc>
          <w:tcPr>
            <w:tcW w:w="182" w:type="pct"/>
            <w:shd w:val="clear" w:color="auto" w:fill="auto"/>
            <w:vAlign w:val="center"/>
          </w:tcPr>
          <w:p w14:paraId="468966F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80.0</w:t>
            </w:r>
          </w:p>
        </w:tc>
        <w:tc>
          <w:tcPr>
            <w:tcW w:w="181" w:type="pct"/>
            <w:shd w:val="clear" w:color="auto" w:fill="auto"/>
            <w:vAlign w:val="center"/>
          </w:tcPr>
          <w:p w14:paraId="557A051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10.0</w:t>
            </w:r>
          </w:p>
        </w:tc>
        <w:tc>
          <w:tcPr>
            <w:tcW w:w="182" w:type="pct"/>
            <w:shd w:val="clear" w:color="auto" w:fill="auto"/>
            <w:vAlign w:val="center"/>
          </w:tcPr>
          <w:p w14:paraId="15D5144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25.0</w:t>
            </w:r>
          </w:p>
        </w:tc>
        <w:tc>
          <w:tcPr>
            <w:tcW w:w="808" w:type="pct"/>
            <w:shd w:val="clear" w:color="auto" w:fill="auto"/>
            <w:vAlign w:val="center"/>
          </w:tcPr>
          <w:p w14:paraId="542B0F70">
            <w:pPr>
              <w:widowControl/>
              <w:rPr>
                <w:rFonts w:ascii="Times New Roman" w:hAnsi="Times New Roman" w:eastAsia="宋体" w:cs="Times New Roman"/>
                <w:kern w:val="0"/>
                <w:szCs w:val="21"/>
              </w:rPr>
            </w:pPr>
            <w:r>
              <w:rPr>
                <w:rFonts w:hint="eastAsia" w:ascii="Times New Roman" w:hAnsi="Times New Roman" w:eastAsia="宋体" w:cs="Times New Roman"/>
              </w:rPr>
              <w:t>隔声房、隔声罩等消声减振装置；</w:t>
            </w:r>
            <w:r>
              <w:rPr>
                <w:rFonts w:hint="eastAsia" w:ascii="Times New Roman" w:hAnsi="Times New Roman" w:eastAsia="宋体" w:cs="Times New Roman"/>
                <w:szCs w:val="21"/>
              </w:rPr>
              <w:t>施工场界围挡内侧加装吸声板材或加高隔声围挡（声屏障）等降噪措施；使用静力压装机等低噪声施工机械</w:t>
            </w:r>
          </w:p>
        </w:tc>
      </w:tr>
      <w:tr w14:paraId="7B1C7274">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96" w:type="pct"/>
            <w:shd w:val="clear" w:color="auto" w:fill="auto"/>
            <w:vAlign w:val="center"/>
          </w:tcPr>
          <w:p w14:paraId="2FB06F0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22</w:t>
            </w:r>
          </w:p>
        </w:tc>
        <w:tc>
          <w:tcPr>
            <w:tcW w:w="336" w:type="pct"/>
            <w:shd w:val="clear" w:color="auto" w:fill="auto"/>
            <w:vAlign w:val="center"/>
          </w:tcPr>
          <w:p w14:paraId="0D1B57D9">
            <w:pPr>
              <w:widowControl/>
              <w:jc w:val="center"/>
              <w:rPr>
                <w:rFonts w:ascii="Times New Roman" w:hAnsi="Times New Roman" w:eastAsia="宋体" w:cs="Times New Roman"/>
                <w:kern w:val="0"/>
                <w:szCs w:val="21"/>
              </w:rPr>
            </w:pPr>
            <w:r>
              <w:rPr>
                <w:rFonts w:ascii="宋体" w:hAnsi="宋体" w:eastAsia="宋体" w:cs="Times New Roman"/>
                <w:kern w:val="0"/>
                <w:szCs w:val="21"/>
              </w:rPr>
              <w:t>丘如克</w:t>
            </w:r>
          </w:p>
        </w:tc>
        <w:tc>
          <w:tcPr>
            <w:tcW w:w="201" w:type="pct"/>
            <w:shd w:val="clear" w:color="auto" w:fill="auto"/>
            <w:vAlign w:val="center"/>
          </w:tcPr>
          <w:p w14:paraId="586B7E81">
            <w:pPr>
              <w:widowControl/>
              <w:jc w:val="center"/>
              <w:rPr>
                <w:rFonts w:ascii="Times New Roman" w:hAnsi="Times New Roman" w:eastAsia="宋体" w:cs="Times New Roman"/>
                <w:kern w:val="0"/>
                <w:szCs w:val="21"/>
              </w:rPr>
            </w:pPr>
            <w:r>
              <w:rPr>
                <w:rFonts w:ascii="宋体" w:hAnsi="宋体" w:eastAsia="宋体" w:cs="Times New Roman"/>
                <w:kern w:val="0"/>
                <w:szCs w:val="21"/>
              </w:rPr>
              <w:t>路基</w:t>
            </w:r>
          </w:p>
        </w:tc>
        <w:tc>
          <w:tcPr>
            <w:tcW w:w="205" w:type="pct"/>
            <w:shd w:val="clear" w:color="auto" w:fill="auto"/>
            <w:vAlign w:val="center"/>
          </w:tcPr>
          <w:p w14:paraId="02829FBC">
            <w:pPr>
              <w:widowControl/>
              <w:jc w:val="center"/>
              <w:rPr>
                <w:rFonts w:ascii="Times New Roman" w:hAnsi="Times New Roman" w:eastAsia="宋体" w:cs="Times New Roman"/>
                <w:kern w:val="0"/>
                <w:szCs w:val="21"/>
              </w:rPr>
            </w:pPr>
            <w:r>
              <w:rPr>
                <w:rFonts w:ascii="宋体" w:hAnsi="宋体" w:eastAsia="宋体" w:cs="Times New Roman"/>
                <w:kern w:val="0"/>
                <w:szCs w:val="21"/>
              </w:rPr>
              <w:t>两侧</w:t>
            </w:r>
          </w:p>
        </w:tc>
        <w:tc>
          <w:tcPr>
            <w:tcW w:w="312" w:type="pct"/>
            <w:shd w:val="clear" w:color="auto" w:fill="auto"/>
            <w:vAlign w:val="center"/>
          </w:tcPr>
          <w:p w14:paraId="1AD2FF5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w:t>
            </w:r>
          </w:p>
        </w:tc>
        <w:tc>
          <w:tcPr>
            <w:tcW w:w="180" w:type="pct"/>
            <w:shd w:val="clear" w:color="auto" w:fill="auto"/>
            <w:vAlign w:val="center"/>
          </w:tcPr>
          <w:p w14:paraId="652645A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70</w:t>
            </w:r>
          </w:p>
        </w:tc>
        <w:tc>
          <w:tcPr>
            <w:tcW w:w="198" w:type="pct"/>
            <w:shd w:val="clear" w:color="auto" w:fill="auto"/>
            <w:vAlign w:val="center"/>
          </w:tcPr>
          <w:p w14:paraId="2757BC9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55</w:t>
            </w:r>
          </w:p>
        </w:tc>
        <w:tc>
          <w:tcPr>
            <w:tcW w:w="183" w:type="pct"/>
            <w:shd w:val="clear" w:color="auto" w:fill="auto"/>
            <w:vAlign w:val="center"/>
          </w:tcPr>
          <w:p w14:paraId="4B65F59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45.0</w:t>
            </w:r>
          </w:p>
        </w:tc>
        <w:tc>
          <w:tcPr>
            <w:tcW w:w="203" w:type="pct"/>
            <w:shd w:val="clear" w:color="auto" w:fill="auto"/>
            <w:vAlign w:val="center"/>
          </w:tcPr>
          <w:p w14:paraId="6D7D278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37.0</w:t>
            </w:r>
          </w:p>
        </w:tc>
        <w:tc>
          <w:tcPr>
            <w:tcW w:w="181" w:type="pct"/>
            <w:shd w:val="clear" w:color="auto" w:fill="auto"/>
            <w:vAlign w:val="center"/>
          </w:tcPr>
          <w:p w14:paraId="26A7090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86.7</w:t>
            </w:r>
          </w:p>
        </w:tc>
        <w:tc>
          <w:tcPr>
            <w:tcW w:w="182" w:type="pct"/>
            <w:shd w:val="clear" w:color="auto" w:fill="auto"/>
            <w:vAlign w:val="center"/>
          </w:tcPr>
          <w:p w14:paraId="272DA42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86.7</w:t>
            </w:r>
          </w:p>
        </w:tc>
        <w:tc>
          <w:tcPr>
            <w:tcW w:w="181" w:type="pct"/>
            <w:shd w:val="clear" w:color="auto" w:fill="auto"/>
            <w:vAlign w:val="center"/>
          </w:tcPr>
          <w:p w14:paraId="47A2B01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86.7</w:t>
            </w:r>
          </w:p>
        </w:tc>
        <w:tc>
          <w:tcPr>
            <w:tcW w:w="182" w:type="pct"/>
            <w:shd w:val="clear" w:color="auto" w:fill="auto"/>
            <w:vAlign w:val="center"/>
          </w:tcPr>
          <w:p w14:paraId="2647B3C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86.7</w:t>
            </w:r>
          </w:p>
        </w:tc>
        <w:tc>
          <w:tcPr>
            <w:tcW w:w="181" w:type="pct"/>
            <w:shd w:val="clear" w:color="auto" w:fill="auto"/>
            <w:vAlign w:val="center"/>
          </w:tcPr>
          <w:p w14:paraId="59E6459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16.7</w:t>
            </w:r>
          </w:p>
        </w:tc>
        <w:tc>
          <w:tcPr>
            <w:tcW w:w="182" w:type="pct"/>
            <w:shd w:val="clear" w:color="auto" w:fill="auto"/>
            <w:vAlign w:val="center"/>
          </w:tcPr>
          <w:p w14:paraId="7B07F9D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31.7</w:t>
            </w:r>
          </w:p>
        </w:tc>
        <w:tc>
          <w:tcPr>
            <w:tcW w:w="181" w:type="pct"/>
            <w:shd w:val="clear" w:color="auto" w:fill="auto"/>
            <w:vAlign w:val="center"/>
          </w:tcPr>
          <w:p w14:paraId="054DA72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81.7</w:t>
            </w:r>
          </w:p>
        </w:tc>
        <w:tc>
          <w:tcPr>
            <w:tcW w:w="182" w:type="pct"/>
            <w:shd w:val="clear" w:color="auto" w:fill="auto"/>
            <w:vAlign w:val="center"/>
          </w:tcPr>
          <w:p w14:paraId="42CFBE4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81.7</w:t>
            </w:r>
          </w:p>
        </w:tc>
        <w:tc>
          <w:tcPr>
            <w:tcW w:w="181" w:type="pct"/>
            <w:shd w:val="clear" w:color="auto" w:fill="auto"/>
            <w:vAlign w:val="center"/>
          </w:tcPr>
          <w:p w14:paraId="1A525E6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81.7</w:t>
            </w:r>
          </w:p>
        </w:tc>
        <w:tc>
          <w:tcPr>
            <w:tcW w:w="182" w:type="pct"/>
            <w:shd w:val="clear" w:color="auto" w:fill="auto"/>
            <w:vAlign w:val="center"/>
          </w:tcPr>
          <w:p w14:paraId="34E8AD1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81.7</w:t>
            </w:r>
          </w:p>
        </w:tc>
        <w:tc>
          <w:tcPr>
            <w:tcW w:w="181" w:type="pct"/>
            <w:shd w:val="clear" w:color="auto" w:fill="auto"/>
            <w:vAlign w:val="center"/>
          </w:tcPr>
          <w:p w14:paraId="2F397CA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11.7</w:t>
            </w:r>
          </w:p>
        </w:tc>
        <w:tc>
          <w:tcPr>
            <w:tcW w:w="182" w:type="pct"/>
            <w:shd w:val="clear" w:color="auto" w:fill="auto"/>
            <w:vAlign w:val="center"/>
          </w:tcPr>
          <w:p w14:paraId="667B5AF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26.7</w:t>
            </w:r>
          </w:p>
        </w:tc>
        <w:tc>
          <w:tcPr>
            <w:tcW w:w="808" w:type="pct"/>
            <w:shd w:val="clear" w:color="auto" w:fill="auto"/>
            <w:vAlign w:val="center"/>
          </w:tcPr>
          <w:p w14:paraId="77F60181">
            <w:pPr>
              <w:widowControl/>
              <w:rPr>
                <w:rFonts w:ascii="Times New Roman" w:hAnsi="Times New Roman" w:eastAsia="宋体" w:cs="Times New Roman"/>
                <w:kern w:val="0"/>
                <w:szCs w:val="21"/>
              </w:rPr>
            </w:pPr>
            <w:r>
              <w:rPr>
                <w:rFonts w:hint="eastAsia" w:ascii="Times New Roman" w:hAnsi="Times New Roman" w:eastAsia="宋体" w:cs="Times New Roman"/>
              </w:rPr>
              <w:t>隔声房、隔声罩等消声减振装置；</w:t>
            </w:r>
            <w:r>
              <w:rPr>
                <w:rFonts w:hint="eastAsia" w:ascii="Times New Roman" w:hAnsi="Times New Roman" w:eastAsia="宋体" w:cs="Times New Roman"/>
                <w:szCs w:val="21"/>
              </w:rPr>
              <w:t>施工场界围挡内侧加装吸声板材或加高隔声围挡（声屏障）等降噪措施；使用静力压装机等低噪声施工机械</w:t>
            </w:r>
          </w:p>
        </w:tc>
      </w:tr>
      <w:tr w14:paraId="03F55A1D">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96" w:type="pct"/>
            <w:shd w:val="clear" w:color="auto" w:fill="auto"/>
            <w:vAlign w:val="center"/>
          </w:tcPr>
          <w:p w14:paraId="1847D12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23</w:t>
            </w:r>
          </w:p>
        </w:tc>
        <w:tc>
          <w:tcPr>
            <w:tcW w:w="336" w:type="pct"/>
            <w:shd w:val="clear" w:color="auto" w:fill="auto"/>
            <w:vAlign w:val="center"/>
          </w:tcPr>
          <w:p w14:paraId="02E0F025">
            <w:pPr>
              <w:widowControl/>
              <w:jc w:val="center"/>
              <w:rPr>
                <w:rFonts w:ascii="Times New Roman" w:hAnsi="Times New Roman" w:eastAsia="宋体" w:cs="Times New Roman"/>
                <w:kern w:val="0"/>
                <w:szCs w:val="21"/>
              </w:rPr>
            </w:pPr>
            <w:r>
              <w:rPr>
                <w:rFonts w:ascii="宋体" w:hAnsi="宋体" w:eastAsia="宋体" w:cs="Times New Roman"/>
                <w:kern w:val="0"/>
                <w:szCs w:val="21"/>
              </w:rPr>
              <w:t>布鲁胡其</w:t>
            </w:r>
          </w:p>
        </w:tc>
        <w:tc>
          <w:tcPr>
            <w:tcW w:w="201" w:type="pct"/>
            <w:shd w:val="clear" w:color="auto" w:fill="auto"/>
            <w:vAlign w:val="center"/>
          </w:tcPr>
          <w:p w14:paraId="0C9B8434">
            <w:pPr>
              <w:widowControl/>
              <w:jc w:val="center"/>
              <w:rPr>
                <w:rFonts w:ascii="Times New Roman" w:hAnsi="Times New Roman" w:eastAsia="宋体" w:cs="Times New Roman"/>
                <w:kern w:val="0"/>
                <w:szCs w:val="21"/>
              </w:rPr>
            </w:pPr>
            <w:r>
              <w:rPr>
                <w:rFonts w:ascii="宋体" w:hAnsi="宋体" w:eastAsia="宋体" w:cs="Times New Roman"/>
                <w:kern w:val="0"/>
                <w:szCs w:val="21"/>
              </w:rPr>
              <w:t>路基</w:t>
            </w:r>
          </w:p>
        </w:tc>
        <w:tc>
          <w:tcPr>
            <w:tcW w:w="205" w:type="pct"/>
            <w:shd w:val="clear" w:color="auto" w:fill="auto"/>
            <w:vAlign w:val="center"/>
          </w:tcPr>
          <w:p w14:paraId="6461608D">
            <w:pPr>
              <w:widowControl/>
              <w:jc w:val="center"/>
              <w:rPr>
                <w:rFonts w:ascii="Times New Roman" w:hAnsi="Times New Roman" w:eastAsia="宋体" w:cs="Times New Roman"/>
                <w:kern w:val="0"/>
                <w:szCs w:val="21"/>
              </w:rPr>
            </w:pPr>
            <w:r>
              <w:rPr>
                <w:rFonts w:ascii="宋体" w:hAnsi="宋体" w:eastAsia="宋体" w:cs="Times New Roman"/>
                <w:kern w:val="0"/>
                <w:szCs w:val="21"/>
              </w:rPr>
              <w:t>两侧</w:t>
            </w:r>
          </w:p>
        </w:tc>
        <w:tc>
          <w:tcPr>
            <w:tcW w:w="312" w:type="pct"/>
            <w:shd w:val="clear" w:color="auto" w:fill="auto"/>
            <w:vAlign w:val="center"/>
          </w:tcPr>
          <w:p w14:paraId="6603F5F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2.5</w:t>
            </w:r>
          </w:p>
        </w:tc>
        <w:tc>
          <w:tcPr>
            <w:tcW w:w="180" w:type="pct"/>
            <w:shd w:val="clear" w:color="auto" w:fill="auto"/>
            <w:vAlign w:val="center"/>
          </w:tcPr>
          <w:p w14:paraId="4A25774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70</w:t>
            </w:r>
          </w:p>
        </w:tc>
        <w:tc>
          <w:tcPr>
            <w:tcW w:w="198" w:type="pct"/>
            <w:shd w:val="clear" w:color="auto" w:fill="auto"/>
            <w:vAlign w:val="center"/>
          </w:tcPr>
          <w:p w14:paraId="701A09E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55</w:t>
            </w:r>
          </w:p>
        </w:tc>
        <w:tc>
          <w:tcPr>
            <w:tcW w:w="183" w:type="pct"/>
            <w:shd w:val="clear" w:color="auto" w:fill="auto"/>
            <w:vAlign w:val="center"/>
          </w:tcPr>
          <w:p w14:paraId="7C7952E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45.0</w:t>
            </w:r>
          </w:p>
        </w:tc>
        <w:tc>
          <w:tcPr>
            <w:tcW w:w="203" w:type="pct"/>
            <w:shd w:val="clear" w:color="auto" w:fill="auto"/>
            <w:vAlign w:val="center"/>
          </w:tcPr>
          <w:p w14:paraId="60D1823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37.0</w:t>
            </w:r>
          </w:p>
        </w:tc>
        <w:tc>
          <w:tcPr>
            <w:tcW w:w="181" w:type="pct"/>
            <w:shd w:val="clear" w:color="auto" w:fill="auto"/>
            <w:vAlign w:val="center"/>
          </w:tcPr>
          <w:p w14:paraId="30BDA59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87.0</w:t>
            </w:r>
          </w:p>
        </w:tc>
        <w:tc>
          <w:tcPr>
            <w:tcW w:w="182" w:type="pct"/>
            <w:shd w:val="clear" w:color="auto" w:fill="auto"/>
            <w:vAlign w:val="center"/>
          </w:tcPr>
          <w:p w14:paraId="58E385B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87.0</w:t>
            </w:r>
          </w:p>
        </w:tc>
        <w:tc>
          <w:tcPr>
            <w:tcW w:w="181" w:type="pct"/>
            <w:shd w:val="clear" w:color="auto" w:fill="auto"/>
            <w:vAlign w:val="center"/>
          </w:tcPr>
          <w:p w14:paraId="7DD23F2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87.0</w:t>
            </w:r>
          </w:p>
        </w:tc>
        <w:tc>
          <w:tcPr>
            <w:tcW w:w="182" w:type="pct"/>
            <w:shd w:val="clear" w:color="auto" w:fill="auto"/>
            <w:vAlign w:val="center"/>
          </w:tcPr>
          <w:p w14:paraId="61A3794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87.0</w:t>
            </w:r>
          </w:p>
        </w:tc>
        <w:tc>
          <w:tcPr>
            <w:tcW w:w="181" w:type="pct"/>
            <w:shd w:val="clear" w:color="auto" w:fill="auto"/>
            <w:vAlign w:val="center"/>
          </w:tcPr>
          <w:p w14:paraId="123A3FC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17.0</w:t>
            </w:r>
          </w:p>
        </w:tc>
        <w:tc>
          <w:tcPr>
            <w:tcW w:w="182" w:type="pct"/>
            <w:shd w:val="clear" w:color="auto" w:fill="auto"/>
            <w:vAlign w:val="center"/>
          </w:tcPr>
          <w:p w14:paraId="392D7C3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32.0</w:t>
            </w:r>
          </w:p>
        </w:tc>
        <w:tc>
          <w:tcPr>
            <w:tcW w:w="181" w:type="pct"/>
            <w:shd w:val="clear" w:color="auto" w:fill="auto"/>
            <w:vAlign w:val="center"/>
          </w:tcPr>
          <w:p w14:paraId="7B37906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82.0</w:t>
            </w:r>
          </w:p>
        </w:tc>
        <w:tc>
          <w:tcPr>
            <w:tcW w:w="182" w:type="pct"/>
            <w:shd w:val="clear" w:color="auto" w:fill="auto"/>
            <w:vAlign w:val="center"/>
          </w:tcPr>
          <w:p w14:paraId="072C566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82.0</w:t>
            </w:r>
          </w:p>
        </w:tc>
        <w:tc>
          <w:tcPr>
            <w:tcW w:w="181" w:type="pct"/>
            <w:shd w:val="clear" w:color="auto" w:fill="auto"/>
            <w:vAlign w:val="center"/>
          </w:tcPr>
          <w:p w14:paraId="629EE81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82.0</w:t>
            </w:r>
          </w:p>
        </w:tc>
        <w:tc>
          <w:tcPr>
            <w:tcW w:w="182" w:type="pct"/>
            <w:shd w:val="clear" w:color="auto" w:fill="auto"/>
            <w:vAlign w:val="center"/>
          </w:tcPr>
          <w:p w14:paraId="27A5306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82.0</w:t>
            </w:r>
          </w:p>
        </w:tc>
        <w:tc>
          <w:tcPr>
            <w:tcW w:w="181" w:type="pct"/>
            <w:shd w:val="clear" w:color="auto" w:fill="auto"/>
            <w:vAlign w:val="center"/>
          </w:tcPr>
          <w:p w14:paraId="4C8B4A8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12.0</w:t>
            </w:r>
          </w:p>
        </w:tc>
        <w:tc>
          <w:tcPr>
            <w:tcW w:w="182" w:type="pct"/>
            <w:shd w:val="clear" w:color="auto" w:fill="auto"/>
            <w:vAlign w:val="center"/>
          </w:tcPr>
          <w:p w14:paraId="60872EC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27.0</w:t>
            </w:r>
          </w:p>
        </w:tc>
        <w:tc>
          <w:tcPr>
            <w:tcW w:w="808" w:type="pct"/>
            <w:shd w:val="clear" w:color="auto" w:fill="auto"/>
            <w:vAlign w:val="center"/>
          </w:tcPr>
          <w:p w14:paraId="4AA66C96">
            <w:pPr>
              <w:widowControl/>
              <w:rPr>
                <w:rFonts w:ascii="Times New Roman" w:hAnsi="Times New Roman" w:eastAsia="宋体" w:cs="Times New Roman"/>
                <w:kern w:val="0"/>
                <w:szCs w:val="21"/>
              </w:rPr>
            </w:pPr>
            <w:r>
              <w:rPr>
                <w:rFonts w:hint="eastAsia" w:ascii="Times New Roman" w:hAnsi="Times New Roman" w:eastAsia="宋体" w:cs="Times New Roman"/>
              </w:rPr>
              <w:t>隔声房、隔声罩等消声减振装置；</w:t>
            </w:r>
            <w:r>
              <w:rPr>
                <w:rFonts w:hint="eastAsia" w:ascii="Times New Roman" w:hAnsi="Times New Roman" w:eastAsia="宋体" w:cs="Times New Roman"/>
                <w:szCs w:val="21"/>
              </w:rPr>
              <w:t>施工场界围挡内侧加装吸声板材或加高隔声围挡（声屏障）等降噪措施；使用静力压装机等低噪声施工机械</w:t>
            </w:r>
          </w:p>
        </w:tc>
      </w:tr>
    </w:tbl>
    <w:p w14:paraId="0A6656B6">
      <w:pPr>
        <w:rPr>
          <w:rFonts w:ascii="Times New Roman" w:hAnsi="Times New Roman" w:eastAsia="宋体" w:cs="Times New Roman"/>
        </w:rPr>
      </w:pPr>
    </w:p>
    <w:p w14:paraId="7577DCD3">
      <w:pPr>
        <w:sectPr>
          <w:footerReference r:id="rId65" w:type="default"/>
          <w:footerReference r:id="rId66" w:type="even"/>
          <w:pgSz w:w="23814" w:h="16840" w:orient="landscape"/>
          <w:pgMar w:top="1701" w:right="1701" w:bottom="1701" w:left="1701" w:header="1134" w:footer="1134" w:gutter="0"/>
          <w:pgBorders>
            <w:top w:val="none" w:sz="0" w:space="0"/>
            <w:left w:val="none" w:sz="0" w:space="0"/>
            <w:bottom w:val="none" w:sz="0" w:space="0"/>
            <w:right w:val="none" w:sz="0" w:space="0"/>
          </w:pgBorders>
          <w:cols w:space="720" w:num="1"/>
          <w:docGrid w:linePitch="312" w:charSpace="0"/>
        </w:sectPr>
      </w:pPr>
    </w:p>
    <w:p w14:paraId="2AA62392">
      <w:pPr>
        <w:spacing w:beforeLines="50"/>
        <w:jc w:val="center"/>
        <w:rPr>
          <w:rFonts w:ascii="Times New Roman" w:hAnsi="Times New Roman" w:eastAsia="宋体" w:cs="Times New Roman"/>
          <w:b/>
          <w:szCs w:val="21"/>
        </w:rPr>
      </w:pPr>
      <w:r>
        <w:rPr>
          <w:rFonts w:ascii="Times New Roman" w:hAnsi="Times New Roman" w:eastAsia="宋体" w:cs="Times New Roman"/>
          <w:b/>
          <w:bCs/>
          <w:szCs w:val="21"/>
        </w:rPr>
        <w:t>续</w:t>
      </w:r>
      <w:r>
        <w:rPr>
          <w:rFonts w:hint="eastAsia" w:ascii="Times New Roman" w:hAnsi="Times New Roman" w:eastAsia="宋体" w:cs="Times New Roman"/>
          <w:b/>
          <w:bCs/>
          <w:szCs w:val="21"/>
        </w:rPr>
        <w:t xml:space="preserve"> </w:t>
      </w:r>
      <w:r>
        <w:rPr>
          <w:rFonts w:ascii="Times New Roman" w:hAnsi="Times New Roman" w:eastAsia="宋体" w:cs="Times New Roman"/>
          <w:b/>
          <w:bCs/>
          <w:szCs w:val="21"/>
        </w:rPr>
        <w:t>表</w:t>
      </w:r>
      <w:r>
        <w:rPr>
          <w:rFonts w:hint="eastAsia" w:ascii="Times New Roman" w:hAnsi="Times New Roman" w:eastAsia="宋体" w:cs="Times New Roman"/>
          <w:b/>
          <w:bCs/>
          <w:szCs w:val="21"/>
        </w:rPr>
        <w:t>4.1</w:t>
      </w:r>
      <w:r>
        <w:rPr>
          <w:rFonts w:ascii="Times New Roman" w:hAnsi="Times New Roman" w:eastAsia="宋体" w:cs="Times New Roman"/>
          <w:b/>
          <w:bCs/>
          <w:szCs w:val="21"/>
        </w:rPr>
        <w:t>-4  拟建公路施工期沿线各声环境保护目标施工厂界噪声预测结果  单位：</w:t>
      </w:r>
      <w:r>
        <w:rPr>
          <w:rFonts w:ascii="Times New Roman" w:hAnsi="Times New Roman" w:eastAsia="宋体" w:cs="Times New Roman"/>
          <w:b/>
          <w:szCs w:val="21"/>
        </w:rPr>
        <w:t>dB(A)</w:t>
      </w:r>
    </w:p>
    <w:tbl>
      <w:tblPr>
        <w:tblStyle w:val="22"/>
        <w:tblW w:w="5000" w:type="pct"/>
        <w:jc w:val="center"/>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808"/>
        <w:gridCol w:w="1385"/>
        <w:gridCol w:w="829"/>
        <w:gridCol w:w="846"/>
        <w:gridCol w:w="1287"/>
        <w:gridCol w:w="743"/>
        <w:gridCol w:w="817"/>
        <w:gridCol w:w="755"/>
        <w:gridCol w:w="837"/>
        <w:gridCol w:w="747"/>
        <w:gridCol w:w="751"/>
        <w:gridCol w:w="747"/>
        <w:gridCol w:w="751"/>
        <w:gridCol w:w="747"/>
        <w:gridCol w:w="751"/>
        <w:gridCol w:w="747"/>
        <w:gridCol w:w="751"/>
        <w:gridCol w:w="747"/>
        <w:gridCol w:w="751"/>
        <w:gridCol w:w="747"/>
        <w:gridCol w:w="751"/>
        <w:gridCol w:w="3333"/>
      </w:tblGrid>
      <w:tr w14:paraId="5C24C079">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96" w:type="pct"/>
            <w:vMerge w:val="restart"/>
            <w:shd w:val="clear" w:color="auto" w:fill="auto"/>
            <w:vAlign w:val="center"/>
          </w:tcPr>
          <w:p w14:paraId="7DD939DC">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序号</w:t>
            </w:r>
          </w:p>
        </w:tc>
        <w:tc>
          <w:tcPr>
            <w:tcW w:w="336" w:type="pct"/>
            <w:vMerge w:val="restart"/>
            <w:shd w:val="clear" w:color="auto" w:fill="auto"/>
            <w:vAlign w:val="center"/>
          </w:tcPr>
          <w:p w14:paraId="2AA8FF85">
            <w:pPr>
              <w:widowControl/>
              <w:jc w:val="center"/>
              <w:rPr>
                <w:rFonts w:ascii="Times New Roman" w:hAnsi="Times New Roman" w:eastAsia="宋体" w:cs="Times New Roman"/>
                <w:b/>
                <w:spacing w:val="-16"/>
                <w:kern w:val="0"/>
                <w:szCs w:val="21"/>
              </w:rPr>
            </w:pPr>
            <w:r>
              <w:rPr>
                <w:rFonts w:hint="eastAsia" w:ascii="宋体" w:hAnsi="宋体" w:eastAsia="宋体" w:cs="Times New Roman"/>
                <w:b/>
                <w:spacing w:val="-16"/>
                <w:kern w:val="0"/>
                <w:szCs w:val="21"/>
              </w:rPr>
              <w:t>声环境保护目标名称</w:t>
            </w:r>
          </w:p>
        </w:tc>
        <w:tc>
          <w:tcPr>
            <w:tcW w:w="201" w:type="pct"/>
            <w:vMerge w:val="restart"/>
            <w:shd w:val="clear" w:color="auto" w:fill="auto"/>
            <w:vAlign w:val="center"/>
          </w:tcPr>
          <w:p w14:paraId="288B3AFF">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工程形式</w:t>
            </w:r>
          </w:p>
        </w:tc>
        <w:tc>
          <w:tcPr>
            <w:tcW w:w="205" w:type="pct"/>
            <w:vMerge w:val="restart"/>
            <w:shd w:val="clear" w:color="auto" w:fill="auto"/>
            <w:vAlign w:val="center"/>
          </w:tcPr>
          <w:p w14:paraId="47E897FA">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方位</w:t>
            </w:r>
          </w:p>
        </w:tc>
        <w:tc>
          <w:tcPr>
            <w:tcW w:w="312" w:type="pct"/>
            <w:vMerge w:val="restart"/>
            <w:shd w:val="clear" w:color="auto" w:fill="auto"/>
            <w:vAlign w:val="center"/>
          </w:tcPr>
          <w:p w14:paraId="44E513B6">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与道路施工场界距离</w:t>
            </w:r>
            <w:r>
              <w:rPr>
                <w:rFonts w:ascii="Times New Roman" w:hAnsi="Times New Roman" w:eastAsia="宋体" w:cs="Times New Roman"/>
                <w:b/>
                <w:spacing w:val="-16"/>
                <w:kern w:val="0"/>
                <w:szCs w:val="21"/>
              </w:rPr>
              <w:t>(m)</w:t>
            </w:r>
          </w:p>
        </w:tc>
        <w:tc>
          <w:tcPr>
            <w:tcW w:w="378" w:type="pct"/>
            <w:gridSpan w:val="2"/>
            <w:vMerge w:val="restart"/>
            <w:shd w:val="clear" w:color="auto" w:fill="auto"/>
            <w:vAlign w:val="center"/>
          </w:tcPr>
          <w:p w14:paraId="5267367A">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标准值</w:t>
            </w:r>
          </w:p>
        </w:tc>
        <w:tc>
          <w:tcPr>
            <w:tcW w:w="386" w:type="pct"/>
            <w:gridSpan w:val="2"/>
            <w:vMerge w:val="restart"/>
            <w:shd w:val="clear" w:color="auto" w:fill="auto"/>
            <w:vAlign w:val="center"/>
          </w:tcPr>
          <w:p w14:paraId="1A2F7A3C">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现状噪声值</w:t>
            </w:r>
          </w:p>
        </w:tc>
        <w:tc>
          <w:tcPr>
            <w:tcW w:w="1089" w:type="pct"/>
            <w:gridSpan w:val="6"/>
            <w:shd w:val="clear" w:color="auto" w:fill="auto"/>
            <w:vAlign w:val="center"/>
          </w:tcPr>
          <w:p w14:paraId="3ECBBD1E">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路基施工</w:t>
            </w:r>
          </w:p>
        </w:tc>
        <w:tc>
          <w:tcPr>
            <w:tcW w:w="1089" w:type="pct"/>
            <w:gridSpan w:val="6"/>
            <w:shd w:val="clear" w:color="auto" w:fill="auto"/>
            <w:vAlign w:val="center"/>
          </w:tcPr>
          <w:p w14:paraId="581BC0EF">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路面施工</w:t>
            </w:r>
          </w:p>
        </w:tc>
        <w:tc>
          <w:tcPr>
            <w:tcW w:w="808" w:type="pct"/>
            <w:vMerge w:val="restart"/>
            <w:shd w:val="clear" w:color="auto" w:fill="auto"/>
            <w:vAlign w:val="center"/>
          </w:tcPr>
          <w:p w14:paraId="271B47A0">
            <w:pPr>
              <w:widowControl/>
              <w:jc w:val="center"/>
              <w:rPr>
                <w:rFonts w:ascii="Times New Roman" w:hAnsi="Times New Roman" w:eastAsia="宋体" w:cs="Times New Roman"/>
                <w:b/>
                <w:bCs/>
                <w:spacing w:val="-16"/>
                <w:kern w:val="0"/>
                <w:szCs w:val="21"/>
              </w:rPr>
            </w:pPr>
            <w:r>
              <w:rPr>
                <w:rFonts w:ascii="宋体" w:hAnsi="宋体" w:eastAsia="宋体" w:cs="Times New Roman"/>
                <w:b/>
                <w:bCs/>
                <w:spacing w:val="-16"/>
                <w:kern w:val="0"/>
                <w:szCs w:val="21"/>
              </w:rPr>
              <w:t>建议降噪措施</w:t>
            </w:r>
          </w:p>
        </w:tc>
      </w:tr>
      <w:tr w14:paraId="672F21C1">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96" w:type="pct"/>
            <w:vMerge w:val="continue"/>
            <w:vAlign w:val="center"/>
          </w:tcPr>
          <w:p w14:paraId="2D4870A2">
            <w:pPr>
              <w:widowControl/>
              <w:jc w:val="center"/>
              <w:rPr>
                <w:rFonts w:ascii="Times New Roman" w:hAnsi="Times New Roman" w:eastAsia="宋体" w:cs="Times New Roman"/>
                <w:b/>
                <w:spacing w:val="-16"/>
                <w:kern w:val="0"/>
                <w:szCs w:val="21"/>
              </w:rPr>
            </w:pPr>
          </w:p>
        </w:tc>
        <w:tc>
          <w:tcPr>
            <w:tcW w:w="336" w:type="pct"/>
            <w:vMerge w:val="continue"/>
            <w:vAlign w:val="center"/>
          </w:tcPr>
          <w:p w14:paraId="335CFB64">
            <w:pPr>
              <w:widowControl/>
              <w:jc w:val="center"/>
              <w:rPr>
                <w:rFonts w:ascii="Times New Roman" w:hAnsi="Times New Roman" w:eastAsia="宋体" w:cs="Times New Roman"/>
                <w:b/>
                <w:spacing w:val="-16"/>
                <w:kern w:val="0"/>
                <w:szCs w:val="21"/>
              </w:rPr>
            </w:pPr>
          </w:p>
        </w:tc>
        <w:tc>
          <w:tcPr>
            <w:tcW w:w="201" w:type="pct"/>
            <w:vMerge w:val="continue"/>
            <w:vAlign w:val="center"/>
          </w:tcPr>
          <w:p w14:paraId="19A49D22">
            <w:pPr>
              <w:widowControl/>
              <w:jc w:val="center"/>
              <w:rPr>
                <w:rFonts w:ascii="Times New Roman" w:hAnsi="Times New Roman" w:eastAsia="宋体" w:cs="Times New Roman"/>
                <w:b/>
                <w:spacing w:val="-16"/>
                <w:kern w:val="0"/>
                <w:szCs w:val="21"/>
              </w:rPr>
            </w:pPr>
          </w:p>
        </w:tc>
        <w:tc>
          <w:tcPr>
            <w:tcW w:w="205" w:type="pct"/>
            <w:vMerge w:val="continue"/>
            <w:vAlign w:val="center"/>
          </w:tcPr>
          <w:p w14:paraId="08153F8A">
            <w:pPr>
              <w:widowControl/>
              <w:jc w:val="center"/>
              <w:rPr>
                <w:rFonts w:ascii="Times New Roman" w:hAnsi="Times New Roman" w:eastAsia="宋体" w:cs="Times New Roman"/>
                <w:b/>
                <w:spacing w:val="-16"/>
                <w:kern w:val="0"/>
                <w:szCs w:val="21"/>
              </w:rPr>
            </w:pPr>
          </w:p>
        </w:tc>
        <w:tc>
          <w:tcPr>
            <w:tcW w:w="312" w:type="pct"/>
            <w:vMerge w:val="continue"/>
            <w:vAlign w:val="center"/>
          </w:tcPr>
          <w:p w14:paraId="6BE330A7">
            <w:pPr>
              <w:widowControl/>
              <w:jc w:val="center"/>
              <w:rPr>
                <w:rFonts w:ascii="Times New Roman" w:hAnsi="Times New Roman" w:eastAsia="宋体" w:cs="Times New Roman"/>
                <w:b/>
                <w:spacing w:val="-16"/>
                <w:kern w:val="0"/>
                <w:szCs w:val="21"/>
              </w:rPr>
            </w:pPr>
          </w:p>
        </w:tc>
        <w:tc>
          <w:tcPr>
            <w:tcW w:w="378" w:type="pct"/>
            <w:gridSpan w:val="2"/>
            <w:vMerge w:val="continue"/>
            <w:vAlign w:val="center"/>
          </w:tcPr>
          <w:p w14:paraId="3E5D5F4B">
            <w:pPr>
              <w:widowControl/>
              <w:jc w:val="center"/>
              <w:rPr>
                <w:rFonts w:ascii="Times New Roman" w:hAnsi="Times New Roman" w:eastAsia="宋体" w:cs="Times New Roman"/>
                <w:b/>
                <w:spacing w:val="-16"/>
                <w:kern w:val="0"/>
                <w:szCs w:val="21"/>
              </w:rPr>
            </w:pPr>
          </w:p>
        </w:tc>
        <w:tc>
          <w:tcPr>
            <w:tcW w:w="386" w:type="pct"/>
            <w:gridSpan w:val="2"/>
            <w:vMerge w:val="continue"/>
            <w:vAlign w:val="center"/>
          </w:tcPr>
          <w:p w14:paraId="6582F333">
            <w:pPr>
              <w:widowControl/>
              <w:jc w:val="center"/>
              <w:rPr>
                <w:rFonts w:ascii="Times New Roman" w:hAnsi="Times New Roman" w:eastAsia="宋体" w:cs="Times New Roman"/>
                <w:b/>
                <w:spacing w:val="-16"/>
                <w:kern w:val="0"/>
                <w:szCs w:val="21"/>
              </w:rPr>
            </w:pPr>
          </w:p>
        </w:tc>
        <w:tc>
          <w:tcPr>
            <w:tcW w:w="363" w:type="pct"/>
            <w:gridSpan w:val="2"/>
            <w:shd w:val="clear" w:color="auto" w:fill="auto"/>
            <w:vAlign w:val="center"/>
          </w:tcPr>
          <w:p w14:paraId="043B86AC">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贡献值</w:t>
            </w:r>
          </w:p>
        </w:tc>
        <w:tc>
          <w:tcPr>
            <w:tcW w:w="363" w:type="pct"/>
            <w:gridSpan w:val="2"/>
            <w:shd w:val="clear" w:color="auto" w:fill="auto"/>
            <w:vAlign w:val="center"/>
          </w:tcPr>
          <w:p w14:paraId="2C0852A1">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预测值</w:t>
            </w:r>
          </w:p>
        </w:tc>
        <w:tc>
          <w:tcPr>
            <w:tcW w:w="363" w:type="pct"/>
            <w:gridSpan w:val="2"/>
            <w:shd w:val="clear" w:color="auto" w:fill="auto"/>
            <w:vAlign w:val="center"/>
          </w:tcPr>
          <w:p w14:paraId="492D96FC">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超标值</w:t>
            </w:r>
          </w:p>
        </w:tc>
        <w:tc>
          <w:tcPr>
            <w:tcW w:w="363" w:type="pct"/>
            <w:gridSpan w:val="2"/>
            <w:shd w:val="clear" w:color="auto" w:fill="auto"/>
            <w:vAlign w:val="center"/>
          </w:tcPr>
          <w:p w14:paraId="07B760C3">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贡献值</w:t>
            </w:r>
          </w:p>
        </w:tc>
        <w:tc>
          <w:tcPr>
            <w:tcW w:w="363" w:type="pct"/>
            <w:gridSpan w:val="2"/>
            <w:shd w:val="clear" w:color="auto" w:fill="auto"/>
            <w:vAlign w:val="center"/>
          </w:tcPr>
          <w:p w14:paraId="172ABAFF">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预测值</w:t>
            </w:r>
          </w:p>
        </w:tc>
        <w:tc>
          <w:tcPr>
            <w:tcW w:w="363" w:type="pct"/>
            <w:gridSpan w:val="2"/>
            <w:shd w:val="clear" w:color="auto" w:fill="auto"/>
            <w:vAlign w:val="center"/>
          </w:tcPr>
          <w:p w14:paraId="2AEFCF95">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超标值</w:t>
            </w:r>
          </w:p>
        </w:tc>
        <w:tc>
          <w:tcPr>
            <w:tcW w:w="808" w:type="pct"/>
            <w:vMerge w:val="continue"/>
            <w:vAlign w:val="center"/>
          </w:tcPr>
          <w:p w14:paraId="3CC0BF19">
            <w:pPr>
              <w:widowControl/>
              <w:jc w:val="center"/>
              <w:rPr>
                <w:rFonts w:ascii="Times New Roman" w:hAnsi="Times New Roman" w:eastAsia="宋体" w:cs="Times New Roman"/>
                <w:b/>
                <w:bCs/>
                <w:spacing w:val="-16"/>
                <w:kern w:val="0"/>
                <w:szCs w:val="21"/>
              </w:rPr>
            </w:pPr>
          </w:p>
        </w:tc>
      </w:tr>
      <w:tr w14:paraId="55DAD9FD">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96" w:type="pct"/>
            <w:vMerge w:val="continue"/>
            <w:vAlign w:val="center"/>
          </w:tcPr>
          <w:p w14:paraId="5407B269">
            <w:pPr>
              <w:widowControl/>
              <w:jc w:val="center"/>
              <w:rPr>
                <w:rFonts w:ascii="Times New Roman" w:hAnsi="Times New Roman" w:eastAsia="宋体" w:cs="Times New Roman"/>
                <w:b/>
                <w:spacing w:val="-16"/>
                <w:kern w:val="0"/>
                <w:szCs w:val="21"/>
              </w:rPr>
            </w:pPr>
          </w:p>
        </w:tc>
        <w:tc>
          <w:tcPr>
            <w:tcW w:w="336" w:type="pct"/>
            <w:vMerge w:val="continue"/>
            <w:vAlign w:val="center"/>
          </w:tcPr>
          <w:p w14:paraId="3F7C0640">
            <w:pPr>
              <w:widowControl/>
              <w:jc w:val="center"/>
              <w:rPr>
                <w:rFonts w:ascii="Times New Roman" w:hAnsi="Times New Roman" w:eastAsia="宋体" w:cs="Times New Roman"/>
                <w:b/>
                <w:spacing w:val="-16"/>
                <w:kern w:val="0"/>
                <w:szCs w:val="21"/>
              </w:rPr>
            </w:pPr>
          </w:p>
        </w:tc>
        <w:tc>
          <w:tcPr>
            <w:tcW w:w="201" w:type="pct"/>
            <w:vMerge w:val="continue"/>
            <w:vAlign w:val="center"/>
          </w:tcPr>
          <w:p w14:paraId="3E23CA3D">
            <w:pPr>
              <w:widowControl/>
              <w:jc w:val="center"/>
              <w:rPr>
                <w:rFonts w:ascii="Times New Roman" w:hAnsi="Times New Roman" w:eastAsia="宋体" w:cs="Times New Roman"/>
                <w:b/>
                <w:spacing w:val="-16"/>
                <w:kern w:val="0"/>
                <w:szCs w:val="21"/>
              </w:rPr>
            </w:pPr>
          </w:p>
        </w:tc>
        <w:tc>
          <w:tcPr>
            <w:tcW w:w="205" w:type="pct"/>
            <w:vMerge w:val="continue"/>
            <w:vAlign w:val="center"/>
          </w:tcPr>
          <w:p w14:paraId="5F678129">
            <w:pPr>
              <w:widowControl/>
              <w:jc w:val="center"/>
              <w:rPr>
                <w:rFonts w:ascii="Times New Roman" w:hAnsi="Times New Roman" w:eastAsia="宋体" w:cs="Times New Roman"/>
                <w:b/>
                <w:spacing w:val="-16"/>
                <w:kern w:val="0"/>
                <w:szCs w:val="21"/>
              </w:rPr>
            </w:pPr>
          </w:p>
        </w:tc>
        <w:tc>
          <w:tcPr>
            <w:tcW w:w="312" w:type="pct"/>
            <w:vMerge w:val="continue"/>
            <w:vAlign w:val="center"/>
          </w:tcPr>
          <w:p w14:paraId="70A331F8">
            <w:pPr>
              <w:widowControl/>
              <w:jc w:val="center"/>
              <w:rPr>
                <w:rFonts w:ascii="Times New Roman" w:hAnsi="Times New Roman" w:eastAsia="宋体" w:cs="Times New Roman"/>
                <w:b/>
                <w:spacing w:val="-16"/>
                <w:kern w:val="0"/>
                <w:szCs w:val="21"/>
              </w:rPr>
            </w:pPr>
          </w:p>
        </w:tc>
        <w:tc>
          <w:tcPr>
            <w:tcW w:w="180" w:type="pct"/>
            <w:shd w:val="clear" w:color="auto" w:fill="auto"/>
            <w:vAlign w:val="center"/>
          </w:tcPr>
          <w:p w14:paraId="7BB5E90C">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昼间</w:t>
            </w:r>
          </w:p>
        </w:tc>
        <w:tc>
          <w:tcPr>
            <w:tcW w:w="198" w:type="pct"/>
            <w:shd w:val="clear" w:color="auto" w:fill="auto"/>
            <w:vAlign w:val="center"/>
          </w:tcPr>
          <w:p w14:paraId="60C930D5">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夜间</w:t>
            </w:r>
          </w:p>
        </w:tc>
        <w:tc>
          <w:tcPr>
            <w:tcW w:w="183" w:type="pct"/>
            <w:shd w:val="clear" w:color="auto" w:fill="auto"/>
            <w:vAlign w:val="center"/>
          </w:tcPr>
          <w:p w14:paraId="13CCC566">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昼间</w:t>
            </w:r>
          </w:p>
        </w:tc>
        <w:tc>
          <w:tcPr>
            <w:tcW w:w="203" w:type="pct"/>
            <w:shd w:val="clear" w:color="auto" w:fill="auto"/>
            <w:vAlign w:val="center"/>
          </w:tcPr>
          <w:p w14:paraId="2427AA4B">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夜间</w:t>
            </w:r>
          </w:p>
        </w:tc>
        <w:tc>
          <w:tcPr>
            <w:tcW w:w="181" w:type="pct"/>
            <w:shd w:val="clear" w:color="auto" w:fill="auto"/>
            <w:vAlign w:val="center"/>
          </w:tcPr>
          <w:p w14:paraId="227787BD">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昼间</w:t>
            </w:r>
          </w:p>
        </w:tc>
        <w:tc>
          <w:tcPr>
            <w:tcW w:w="182" w:type="pct"/>
            <w:shd w:val="clear" w:color="auto" w:fill="auto"/>
            <w:vAlign w:val="center"/>
          </w:tcPr>
          <w:p w14:paraId="77A1C799">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夜间</w:t>
            </w:r>
          </w:p>
        </w:tc>
        <w:tc>
          <w:tcPr>
            <w:tcW w:w="181" w:type="pct"/>
            <w:shd w:val="clear" w:color="auto" w:fill="auto"/>
            <w:vAlign w:val="center"/>
          </w:tcPr>
          <w:p w14:paraId="0CF74FAD">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昼间</w:t>
            </w:r>
          </w:p>
        </w:tc>
        <w:tc>
          <w:tcPr>
            <w:tcW w:w="182" w:type="pct"/>
            <w:shd w:val="clear" w:color="auto" w:fill="auto"/>
            <w:vAlign w:val="center"/>
          </w:tcPr>
          <w:p w14:paraId="0C51F556">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夜间</w:t>
            </w:r>
          </w:p>
        </w:tc>
        <w:tc>
          <w:tcPr>
            <w:tcW w:w="181" w:type="pct"/>
            <w:shd w:val="clear" w:color="auto" w:fill="auto"/>
            <w:vAlign w:val="center"/>
          </w:tcPr>
          <w:p w14:paraId="0F235290">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昼间</w:t>
            </w:r>
          </w:p>
        </w:tc>
        <w:tc>
          <w:tcPr>
            <w:tcW w:w="182" w:type="pct"/>
            <w:shd w:val="clear" w:color="auto" w:fill="auto"/>
            <w:vAlign w:val="center"/>
          </w:tcPr>
          <w:p w14:paraId="039A3478">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夜间</w:t>
            </w:r>
          </w:p>
        </w:tc>
        <w:tc>
          <w:tcPr>
            <w:tcW w:w="181" w:type="pct"/>
            <w:shd w:val="clear" w:color="auto" w:fill="auto"/>
            <w:vAlign w:val="center"/>
          </w:tcPr>
          <w:p w14:paraId="1EE3F8C6">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昼间</w:t>
            </w:r>
          </w:p>
        </w:tc>
        <w:tc>
          <w:tcPr>
            <w:tcW w:w="182" w:type="pct"/>
            <w:shd w:val="clear" w:color="auto" w:fill="auto"/>
            <w:vAlign w:val="center"/>
          </w:tcPr>
          <w:p w14:paraId="36A19364">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夜间</w:t>
            </w:r>
          </w:p>
        </w:tc>
        <w:tc>
          <w:tcPr>
            <w:tcW w:w="181" w:type="pct"/>
            <w:shd w:val="clear" w:color="auto" w:fill="auto"/>
            <w:vAlign w:val="center"/>
          </w:tcPr>
          <w:p w14:paraId="65D5CC12">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昼间</w:t>
            </w:r>
          </w:p>
        </w:tc>
        <w:tc>
          <w:tcPr>
            <w:tcW w:w="182" w:type="pct"/>
            <w:shd w:val="clear" w:color="auto" w:fill="auto"/>
            <w:vAlign w:val="center"/>
          </w:tcPr>
          <w:p w14:paraId="6B3FC468">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夜间</w:t>
            </w:r>
          </w:p>
        </w:tc>
        <w:tc>
          <w:tcPr>
            <w:tcW w:w="181" w:type="pct"/>
            <w:shd w:val="clear" w:color="auto" w:fill="auto"/>
            <w:vAlign w:val="center"/>
          </w:tcPr>
          <w:p w14:paraId="29BCC769">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昼间</w:t>
            </w:r>
          </w:p>
        </w:tc>
        <w:tc>
          <w:tcPr>
            <w:tcW w:w="182" w:type="pct"/>
            <w:shd w:val="clear" w:color="auto" w:fill="auto"/>
            <w:vAlign w:val="center"/>
          </w:tcPr>
          <w:p w14:paraId="1CE7764D">
            <w:pPr>
              <w:widowControl/>
              <w:jc w:val="center"/>
              <w:rPr>
                <w:rFonts w:ascii="Times New Roman" w:hAnsi="Times New Roman" w:eastAsia="宋体" w:cs="Times New Roman"/>
                <w:b/>
                <w:spacing w:val="-16"/>
                <w:kern w:val="0"/>
                <w:szCs w:val="21"/>
              </w:rPr>
            </w:pPr>
            <w:r>
              <w:rPr>
                <w:rFonts w:ascii="宋体" w:hAnsi="宋体" w:eastAsia="宋体" w:cs="Times New Roman"/>
                <w:b/>
                <w:spacing w:val="-16"/>
                <w:kern w:val="0"/>
                <w:szCs w:val="21"/>
              </w:rPr>
              <w:t>夜间</w:t>
            </w:r>
          </w:p>
        </w:tc>
        <w:tc>
          <w:tcPr>
            <w:tcW w:w="808" w:type="pct"/>
            <w:vMerge w:val="continue"/>
            <w:vAlign w:val="center"/>
          </w:tcPr>
          <w:p w14:paraId="14B840BC">
            <w:pPr>
              <w:widowControl/>
              <w:jc w:val="center"/>
              <w:rPr>
                <w:rFonts w:ascii="Times New Roman" w:hAnsi="Times New Roman" w:eastAsia="宋体" w:cs="Times New Roman"/>
                <w:b/>
                <w:bCs/>
                <w:spacing w:val="-16"/>
                <w:kern w:val="0"/>
                <w:szCs w:val="21"/>
              </w:rPr>
            </w:pPr>
          </w:p>
        </w:tc>
      </w:tr>
      <w:tr w14:paraId="78E776F1">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96" w:type="pct"/>
            <w:shd w:val="clear" w:color="auto" w:fill="auto"/>
            <w:vAlign w:val="center"/>
          </w:tcPr>
          <w:p w14:paraId="7C60D4D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24</w:t>
            </w:r>
          </w:p>
        </w:tc>
        <w:tc>
          <w:tcPr>
            <w:tcW w:w="336" w:type="pct"/>
            <w:shd w:val="clear" w:color="auto" w:fill="auto"/>
            <w:vAlign w:val="center"/>
          </w:tcPr>
          <w:p w14:paraId="44CF186E">
            <w:pPr>
              <w:widowControl/>
              <w:jc w:val="center"/>
              <w:rPr>
                <w:rFonts w:ascii="Times New Roman" w:hAnsi="Times New Roman" w:eastAsia="宋体" w:cs="Times New Roman"/>
                <w:kern w:val="0"/>
                <w:szCs w:val="21"/>
              </w:rPr>
            </w:pPr>
            <w:r>
              <w:rPr>
                <w:rFonts w:ascii="宋体" w:hAnsi="宋体" w:eastAsia="宋体" w:cs="Times New Roman"/>
                <w:kern w:val="0"/>
                <w:szCs w:val="21"/>
              </w:rPr>
              <w:t>阿克霍伊拉卡尔瓦克</w:t>
            </w:r>
          </w:p>
        </w:tc>
        <w:tc>
          <w:tcPr>
            <w:tcW w:w="201" w:type="pct"/>
            <w:shd w:val="clear" w:color="auto" w:fill="auto"/>
            <w:vAlign w:val="center"/>
          </w:tcPr>
          <w:p w14:paraId="5B536DEF">
            <w:pPr>
              <w:widowControl/>
              <w:jc w:val="center"/>
              <w:rPr>
                <w:rFonts w:ascii="Times New Roman" w:hAnsi="Times New Roman" w:eastAsia="宋体" w:cs="Times New Roman"/>
                <w:kern w:val="0"/>
                <w:szCs w:val="21"/>
              </w:rPr>
            </w:pPr>
            <w:r>
              <w:rPr>
                <w:rFonts w:ascii="宋体" w:hAnsi="宋体" w:eastAsia="宋体" w:cs="Times New Roman"/>
                <w:kern w:val="0"/>
                <w:szCs w:val="21"/>
              </w:rPr>
              <w:t>路基</w:t>
            </w:r>
          </w:p>
        </w:tc>
        <w:tc>
          <w:tcPr>
            <w:tcW w:w="205" w:type="pct"/>
            <w:shd w:val="clear" w:color="auto" w:fill="auto"/>
            <w:vAlign w:val="center"/>
          </w:tcPr>
          <w:p w14:paraId="0CC12CCC">
            <w:pPr>
              <w:widowControl/>
              <w:jc w:val="center"/>
              <w:rPr>
                <w:rFonts w:ascii="Times New Roman" w:hAnsi="Times New Roman" w:eastAsia="宋体" w:cs="Times New Roman"/>
                <w:kern w:val="0"/>
                <w:szCs w:val="21"/>
              </w:rPr>
            </w:pPr>
            <w:r>
              <w:rPr>
                <w:rFonts w:ascii="宋体" w:hAnsi="宋体" w:eastAsia="宋体" w:cs="Times New Roman"/>
                <w:kern w:val="0"/>
                <w:szCs w:val="21"/>
              </w:rPr>
              <w:t>两侧</w:t>
            </w:r>
          </w:p>
        </w:tc>
        <w:tc>
          <w:tcPr>
            <w:tcW w:w="312" w:type="pct"/>
            <w:shd w:val="clear" w:color="auto" w:fill="auto"/>
            <w:vAlign w:val="center"/>
          </w:tcPr>
          <w:p w14:paraId="23606EA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w:t>
            </w:r>
          </w:p>
        </w:tc>
        <w:tc>
          <w:tcPr>
            <w:tcW w:w="180" w:type="pct"/>
            <w:shd w:val="clear" w:color="auto" w:fill="auto"/>
            <w:vAlign w:val="center"/>
          </w:tcPr>
          <w:p w14:paraId="00E9B29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70</w:t>
            </w:r>
          </w:p>
        </w:tc>
        <w:tc>
          <w:tcPr>
            <w:tcW w:w="198" w:type="pct"/>
            <w:shd w:val="clear" w:color="auto" w:fill="auto"/>
            <w:vAlign w:val="center"/>
          </w:tcPr>
          <w:p w14:paraId="1412A4B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55</w:t>
            </w:r>
          </w:p>
        </w:tc>
        <w:tc>
          <w:tcPr>
            <w:tcW w:w="183" w:type="pct"/>
            <w:shd w:val="clear" w:color="auto" w:fill="auto"/>
            <w:vAlign w:val="center"/>
          </w:tcPr>
          <w:p w14:paraId="398D540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45.0</w:t>
            </w:r>
          </w:p>
        </w:tc>
        <w:tc>
          <w:tcPr>
            <w:tcW w:w="203" w:type="pct"/>
            <w:shd w:val="clear" w:color="auto" w:fill="auto"/>
            <w:vAlign w:val="center"/>
          </w:tcPr>
          <w:p w14:paraId="20C6A67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37.0</w:t>
            </w:r>
          </w:p>
        </w:tc>
        <w:tc>
          <w:tcPr>
            <w:tcW w:w="181" w:type="pct"/>
            <w:shd w:val="clear" w:color="auto" w:fill="auto"/>
            <w:vAlign w:val="center"/>
          </w:tcPr>
          <w:p w14:paraId="458CCC3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86.2</w:t>
            </w:r>
          </w:p>
        </w:tc>
        <w:tc>
          <w:tcPr>
            <w:tcW w:w="182" w:type="pct"/>
            <w:shd w:val="clear" w:color="auto" w:fill="auto"/>
            <w:vAlign w:val="center"/>
          </w:tcPr>
          <w:p w14:paraId="2D958D4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86.2</w:t>
            </w:r>
          </w:p>
        </w:tc>
        <w:tc>
          <w:tcPr>
            <w:tcW w:w="181" w:type="pct"/>
            <w:shd w:val="clear" w:color="auto" w:fill="auto"/>
            <w:vAlign w:val="center"/>
          </w:tcPr>
          <w:p w14:paraId="42B6B9D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86.2</w:t>
            </w:r>
          </w:p>
        </w:tc>
        <w:tc>
          <w:tcPr>
            <w:tcW w:w="182" w:type="pct"/>
            <w:shd w:val="clear" w:color="auto" w:fill="auto"/>
            <w:vAlign w:val="center"/>
          </w:tcPr>
          <w:p w14:paraId="379CDC7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86.2</w:t>
            </w:r>
          </w:p>
        </w:tc>
        <w:tc>
          <w:tcPr>
            <w:tcW w:w="181" w:type="pct"/>
            <w:shd w:val="clear" w:color="auto" w:fill="auto"/>
            <w:vAlign w:val="center"/>
          </w:tcPr>
          <w:p w14:paraId="23FBA2A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16.2</w:t>
            </w:r>
          </w:p>
        </w:tc>
        <w:tc>
          <w:tcPr>
            <w:tcW w:w="182" w:type="pct"/>
            <w:shd w:val="clear" w:color="auto" w:fill="auto"/>
            <w:vAlign w:val="center"/>
          </w:tcPr>
          <w:p w14:paraId="438F7A9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31.2</w:t>
            </w:r>
          </w:p>
        </w:tc>
        <w:tc>
          <w:tcPr>
            <w:tcW w:w="181" w:type="pct"/>
            <w:shd w:val="clear" w:color="auto" w:fill="auto"/>
            <w:vAlign w:val="center"/>
          </w:tcPr>
          <w:p w14:paraId="4E3FEE8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81.2</w:t>
            </w:r>
          </w:p>
        </w:tc>
        <w:tc>
          <w:tcPr>
            <w:tcW w:w="182" w:type="pct"/>
            <w:shd w:val="clear" w:color="auto" w:fill="auto"/>
            <w:vAlign w:val="center"/>
          </w:tcPr>
          <w:p w14:paraId="0584F88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81.2</w:t>
            </w:r>
          </w:p>
        </w:tc>
        <w:tc>
          <w:tcPr>
            <w:tcW w:w="181" w:type="pct"/>
            <w:shd w:val="clear" w:color="auto" w:fill="auto"/>
            <w:vAlign w:val="center"/>
          </w:tcPr>
          <w:p w14:paraId="39D6B4A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81.2</w:t>
            </w:r>
          </w:p>
        </w:tc>
        <w:tc>
          <w:tcPr>
            <w:tcW w:w="182" w:type="pct"/>
            <w:shd w:val="clear" w:color="auto" w:fill="auto"/>
            <w:vAlign w:val="center"/>
          </w:tcPr>
          <w:p w14:paraId="1C32267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81.2</w:t>
            </w:r>
          </w:p>
        </w:tc>
        <w:tc>
          <w:tcPr>
            <w:tcW w:w="181" w:type="pct"/>
            <w:shd w:val="clear" w:color="auto" w:fill="auto"/>
            <w:vAlign w:val="center"/>
          </w:tcPr>
          <w:p w14:paraId="73E0D18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11.2</w:t>
            </w:r>
          </w:p>
        </w:tc>
        <w:tc>
          <w:tcPr>
            <w:tcW w:w="182" w:type="pct"/>
            <w:shd w:val="clear" w:color="auto" w:fill="auto"/>
            <w:vAlign w:val="center"/>
          </w:tcPr>
          <w:p w14:paraId="22B44D9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26.2</w:t>
            </w:r>
          </w:p>
        </w:tc>
        <w:tc>
          <w:tcPr>
            <w:tcW w:w="808" w:type="pct"/>
            <w:shd w:val="clear" w:color="auto" w:fill="auto"/>
            <w:vAlign w:val="center"/>
          </w:tcPr>
          <w:p w14:paraId="12A1CA50">
            <w:pPr>
              <w:widowControl/>
              <w:rPr>
                <w:rFonts w:ascii="Times New Roman" w:hAnsi="Times New Roman" w:eastAsia="宋体" w:cs="Times New Roman"/>
                <w:kern w:val="0"/>
                <w:szCs w:val="21"/>
              </w:rPr>
            </w:pPr>
            <w:r>
              <w:rPr>
                <w:rFonts w:hint="eastAsia" w:ascii="Times New Roman" w:hAnsi="Times New Roman" w:eastAsia="宋体" w:cs="Times New Roman"/>
              </w:rPr>
              <w:t>隔声房、隔声罩等消声减振装置；</w:t>
            </w:r>
            <w:r>
              <w:rPr>
                <w:rFonts w:hint="eastAsia" w:ascii="Times New Roman" w:hAnsi="Times New Roman" w:eastAsia="宋体" w:cs="Times New Roman"/>
                <w:szCs w:val="21"/>
              </w:rPr>
              <w:t>施工场界围挡内侧加装吸声板材或加高隔声围挡（声屏障）等降噪措施；使用静力压装机等低噪声施工机械</w:t>
            </w:r>
          </w:p>
        </w:tc>
      </w:tr>
      <w:tr w14:paraId="0861575B">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96" w:type="pct"/>
            <w:shd w:val="clear" w:color="auto" w:fill="auto"/>
            <w:vAlign w:val="center"/>
          </w:tcPr>
          <w:p w14:paraId="599A3BD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25</w:t>
            </w:r>
          </w:p>
        </w:tc>
        <w:tc>
          <w:tcPr>
            <w:tcW w:w="336" w:type="pct"/>
            <w:shd w:val="clear" w:color="auto" w:fill="auto"/>
            <w:vAlign w:val="center"/>
          </w:tcPr>
          <w:p w14:paraId="64F74BF0">
            <w:pPr>
              <w:widowControl/>
              <w:jc w:val="center"/>
              <w:rPr>
                <w:rFonts w:ascii="Times New Roman" w:hAnsi="Times New Roman" w:eastAsia="宋体" w:cs="Times New Roman"/>
                <w:kern w:val="0"/>
                <w:szCs w:val="21"/>
              </w:rPr>
            </w:pPr>
            <w:r>
              <w:rPr>
                <w:rFonts w:ascii="宋体" w:hAnsi="宋体" w:eastAsia="宋体" w:cs="Times New Roman"/>
                <w:kern w:val="0"/>
                <w:szCs w:val="21"/>
              </w:rPr>
              <w:t>克孜勒吉依木村</w:t>
            </w:r>
          </w:p>
        </w:tc>
        <w:tc>
          <w:tcPr>
            <w:tcW w:w="201" w:type="pct"/>
            <w:shd w:val="clear" w:color="auto" w:fill="auto"/>
            <w:vAlign w:val="center"/>
          </w:tcPr>
          <w:p w14:paraId="5E8C847A">
            <w:pPr>
              <w:widowControl/>
              <w:jc w:val="center"/>
              <w:rPr>
                <w:rFonts w:ascii="Times New Roman" w:hAnsi="Times New Roman" w:eastAsia="宋体" w:cs="Times New Roman"/>
                <w:kern w:val="0"/>
                <w:szCs w:val="21"/>
              </w:rPr>
            </w:pPr>
            <w:r>
              <w:rPr>
                <w:rFonts w:ascii="宋体" w:hAnsi="宋体" w:eastAsia="宋体" w:cs="Times New Roman"/>
                <w:kern w:val="0"/>
                <w:szCs w:val="21"/>
              </w:rPr>
              <w:t>路基</w:t>
            </w:r>
          </w:p>
        </w:tc>
        <w:tc>
          <w:tcPr>
            <w:tcW w:w="205" w:type="pct"/>
            <w:shd w:val="clear" w:color="auto" w:fill="auto"/>
            <w:vAlign w:val="center"/>
          </w:tcPr>
          <w:p w14:paraId="220B34E9">
            <w:pPr>
              <w:widowControl/>
              <w:jc w:val="center"/>
              <w:rPr>
                <w:rFonts w:ascii="Times New Roman" w:hAnsi="Times New Roman" w:eastAsia="宋体" w:cs="Times New Roman"/>
                <w:kern w:val="0"/>
                <w:szCs w:val="21"/>
              </w:rPr>
            </w:pPr>
            <w:r>
              <w:rPr>
                <w:rFonts w:ascii="宋体" w:hAnsi="宋体" w:eastAsia="宋体" w:cs="Times New Roman"/>
                <w:kern w:val="0"/>
                <w:szCs w:val="21"/>
              </w:rPr>
              <w:t>两侧</w:t>
            </w:r>
          </w:p>
        </w:tc>
        <w:tc>
          <w:tcPr>
            <w:tcW w:w="312" w:type="pct"/>
            <w:shd w:val="clear" w:color="auto" w:fill="auto"/>
            <w:vAlign w:val="center"/>
          </w:tcPr>
          <w:p w14:paraId="7690D0E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3.5</w:t>
            </w:r>
          </w:p>
        </w:tc>
        <w:tc>
          <w:tcPr>
            <w:tcW w:w="180" w:type="pct"/>
            <w:shd w:val="clear" w:color="auto" w:fill="auto"/>
            <w:vAlign w:val="center"/>
          </w:tcPr>
          <w:p w14:paraId="1BBF2C7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70</w:t>
            </w:r>
          </w:p>
        </w:tc>
        <w:tc>
          <w:tcPr>
            <w:tcW w:w="198" w:type="pct"/>
            <w:shd w:val="clear" w:color="auto" w:fill="auto"/>
            <w:vAlign w:val="center"/>
          </w:tcPr>
          <w:p w14:paraId="103094D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55</w:t>
            </w:r>
          </w:p>
        </w:tc>
        <w:tc>
          <w:tcPr>
            <w:tcW w:w="183" w:type="pct"/>
            <w:shd w:val="clear" w:color="auto" w:fill="auto"/>
            <w:vAlign w:val="center"/>
          </w:tcPr>
          <w:p w14:paraId="3BFFBD8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45.5</w:t>
            </w:r>
          </w:p>
        </w:tc>
        <w:tc>
          <w:tcPr>
            <w:tcW w:w="203" w:type="pct"/>
            <w:shd w:val="clear" w:color="auto" w:fill="auto"/>
            <w:vAlign w:val="center"/>
          </w:tcPr>
          <w:p w14:paraId="217FDA9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37.5</w:t>
            </w:r>
          </w:p>
        </w:tc>
        <w:tc>
          <w:tcPr>
            <w:tcW w:w="181" w:type="pct"/>
            <w:shd w:val="clear" w:color="auto" w:fill="auto"/>
            <w:vAlign w:val="center"/>
          </w:tcPr>
          <w:p w14:paraId="748C3B4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86.4</w:t>
            </w:r>
          </w:p>
        </w:tc>
        <w:tc>
          <w:tcPr>
            <w:tcW w:w="182" w:type="pct"/>
            <w:shd w:val="clear" w:color="auto" w:fill="auto"/>
            <w:vAlign w:val="center"/>
          </w:tcPr>
          <w:p w14:paraId="1FBD430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86.4</w:t>
            </w:r>
          </w:p>
        </w:tc>
        <w:tc>
          <w:tcPr>
            <w:tcW w:w="181" w:type="pct"/>
            <w:shd w:val="clear" w:color="auto" w:fill="auto"/>
            <w:vAlign w:val="center"/>
          </w:tcPr>
          <w:p w14:paraId="334AD47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86.4</w:t>
            </w:r>
          </w:p>
        </w:tc>
        <w:tc>
          <w:tcPr>
            <w:tcW w:w="182" w:type="pct"/>
            <w:shd w:val="clear" w:color="auto" w:fill="auto"/>
            <w:vAlign w:val="center"/>
          </w:tcPr>
          <w:p w14:paraId="60A17E6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86.4</w:t>
            </w:r>
          </w:p>
        </w:tc>
        <w:tc>
          <w:tcPr>
            <w:tcW w:w="181" w:type="pct"/>
            <w:shd w:val="clear" w:color="auto" w:fill="auto"/>
            <w:vAlign w:val="center"/>
          </w:tcPr>
          <w:p w14:paraId="7108FF5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16.4</w:t>
            </w:r>
          </w:p>
        </w:tc>
        <w:tc>
          <w:tcPr>
            <w:tcW w:w="182" w:type="pct"/>
            <w:shd w:val="clear" w:color="auto" w:fill="auto"/>
            <w:vAlign w:val="center"/>
          </w:tcPr>
          <w:p w14:paraId="66F9F2A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31.4</w:t>
            </w:r>
          </w:p>
        </w:tc>
        <w:tc>
          <w:tcPr>
            <w:tcW w:w="181" w:type="pct"/>
            <w:shd w:val="clear" w:color="auto" w:fill="auto"/>
            <w:vAlign w:val="center"/>
          </w:tcPr>
          <w:p w14:paraId="771B83B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81.5</w:t>
            </w:r>
          </w:p>
        </w:tc>
        <w:tc>
          <w:tcPr>
            <w:tcW w:w="182" w:type="pct"/>
            <w:shd w:val="clear" w:color="auto" w:fill="auto"/>
            <w:vAlign w:val="center"/>
          </w:tcPr>
          <w:p w14:paraId="530A04C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81.5</w:t>
            </w:r>
          </w:p>
        </w:tc>
        <w:tc>
          <w:tcPr>
            <w:tcW w:w="181" w:type="pct"/>
            <w:shd w:val="clear" w:color="auto" w:fill="auto"/>
            <w:vAlign w:val="center"/>
          </w:tcPr>
          <w:p w14:paraId="43438D3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81.5</w:t>
            </w:r>
          </w:p>
        </w:tc>
        <w:tc>
          <w:tcPr>
            <w:tcW w:w="182" w:type="pct"/>
            <w:shd w:val="clear" w:color="auto" w:fill="auto"/>
            <w:vAlign w:val="center"/>
          </w:tcPr>
          <w:p w14:paraId="19D17D0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81.5</w:t>
            </w:r>
          </w:p>
        </w:tc>
        <w:tc>
          <w:tcPr>
            <w:tcW w:w="181" w:type="pct"/>
            <w:shd w:val="clear" w:color="auto" w:fill="auto"/>
            <w:vAlign w:val="center"/>
          </w:tcPr>
          <w:p w14:paraId="66C6D79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11.5</w:t>
            </w:r>
          </w:p>
        </w:tc>
        <w:tc>
          <w:tcPr>
            <w:tcW w:w="182" w:type="pct"/>
            <w:shd w:val="clear" w:color="auto" w:fill="auto"/>
            <w:vAlign w:val="center"/>
          </w:tcPr>
          <w:p w14:paraId="1EE13FA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26.5</w:t>
            </w:r>
          </w:p>
        </w:tc>
        <w:tc>
          <w:tcPr>
            <w:tcW w:w="808" w:type="pct"/>
            <w:shd w:val="clear" w:color="auto" w:fill="auto"/>
            <w:vAlign w:val="center"/>
          </w:tcPr>
          <w:p w14:paraId="47911EFD">
            <w:pPr>
              <w:widowControl/>
              <w:rPr>
                <w:rFonts w:ascii="Times New Roman" w:hAnsi="Times New Roman" w:eastAsia="宋体" w:cs="Times New Roman"/>
                <w:kern w:val="0"/>
                <w:szCs w:val="21"/>
              </w:rPr>
            </w:pPr>
            <w:r>
              <w:rPr>
                <w:rFonts w:hint="eastAsia" w:ascii="Times New Roman" w:hAnsi="Times New Roman" w:eastAsia="宋体" w:cs="Times New Roman"/>
              </w:rPr>
              <w:t>隔声房、隔声罩等消声减振装置；</w:t>
            </w:r>
            <w:r>
              <w:rPr>
                <w:rFonts w:hint="eastAsia" w:ascii="Times New Roman" w:hAnsi="Times New Roman" w:eastAsia="宋体" w:cs="Times New Roman"/>
                <w:szCs w:val="21"/>
              </w:rPr>
              <w:t>施工场界围挡内侧加装吸声板材或加高隔声围挡（声屏障）等降噪措施；使用静力压装机等低噪声施工机械</w:t>
            </w:r>
          </w:p>
        </w:tc>
      </w:tr>
      <w:tr w14:paraId="54AC29FA">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96" w:type="pct"/>
            <w:shd w:val="clear" w:color="auto" w:fill="auto"/>
            <w:vAlign w:val="center"/>
          </w:tcPr>
          <w:p w14:paraId="55C6FD1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26</w:t>
            </w:r>
          </w:p>
        </w:tc>
        <w:tc>
          <w:tcPr>
            <w:tcW w:w="336" w:type="pct"/>
            <w:shd w:val="clear" w:color="auto" w:fill="auto"/>
            <w:vAlign w:val="center"/>
          </w:tcPr>
          <w:p w14:paraId="602F565D">
            <w:pPr>
              <w:widowControl/>
              <w:jc w:val="center"/>
              <w:rPr>
                <w:rFonts w:ascii="Times New Roman" w:hAnsi="Times New Roman" w:eastAsia="宋体" w:cs="Times New Roman"/>
                <w:kern w:val="0"/>
                <w:szCs w:val="21"/>
              </w:rPr>
            </w:pPr>
            <w:r>
              <w:rPr>
                <w:rFonts w:ascii="宋体" w:hAnsi="宋体" w:eastAsia="宋体" w:cs="Times New Roman"/>
                <w:kern w:val="0"/>
                <w:szCs w:val="21"/>
              </w:rPr>
              <w:t>土木拉克</w:t>
            </w:r>
          </w:p>
        </w:tc>
        <w:tc>
          <w:tcPr>
            <w:tcW w:w="201" w:type="pct"/>
            <w:shd w:val="clear" w:color="auto" w:fill="auto"/>
            <w:vAlign w:val="center"/>
          </w:tcPr>
          <w:p w14:paraId="3792B5D4">
            <w:pPr>
              <w:widowControl/>
              <w:jc w:val="center"/>
              <w:rPr>
                <w:rFonts w:ascii="Times New Roman" w:hAnsi="Times New Roman" w:eastAsia="宋体" w:cs="Times New Roman"/>
                <w:kern w:val="0"/>
                <w:szCs w:val="21"/>
              </w:rPr>
            </w:pPr>
            <w:r>
              <w:rPr>
                <w:rFonts w:ascii="宋体" w:hAnsi="宋体" w:eastAsia="宋体" w:cs="Times New Roman"/>
                <w:kern w:val="0"/>
                <w:szCs w:val="21"/>
              </w:rPr>
              <w:t>路基</w:t>
            </w:r>
          </w:p>
        </w:tc>
        <w:tc>
          <w:tcPr>
            <w:tcW w:w="205" w:type="pct"/>
            <w:shd w:val="clear" w:color="auto" w:fill="auto"/>
            <w:vAlign w:val="center"/>
          </w:tcPr>
          <w:p w14:paraId="50033F31">
            <w:pPr>
              <w:widowControl/>
              <w:jc w:val="center"/>
              <w:rPr>
                <w:rFonts w:ascii="Times New Roman" w:hAnsi="Times New Roman" w:eastAsia="宋体" w:cs="Times New Roman"/>
                <w:kern w:val="0"/>
                <w:szCs w:val="21"/>
              </w:rPr>
            </w:pPr>
            <w:r>
              <w:rPr>
                <w:rFonts w:ascii="宋体" w:hAnsi="宋体" w:eastAsia="宋体" w:cs="Times New Roman"/>
                <w:kern w:val="0"/>
                <w:szCs w:val="21"/>
              </w:rPr>
              <w:t>两侧</w:t>
            </w:r>
          </w:p>
        </w:tc>
        <w:tc>
          <w:tcPr>
            <w:tcW w:w="312" w:type="pct"/>
            <w:shd w:val="clear" w:color="auto" w:fill="auto"/>
            <w:vAlign w:val="center"/>
          </w:tcPr>
          <w:p w14:paraId="61E97A9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7.5</w:t>
            </w:r>
          </w:p>
        </w:tc>
        <w:tc>
          <w:tcPr>
            <w:tcW w:w="180" w:type="pct"/>
            <w:shd w:val="clear" w:color="auto" w:fill="auto"/>
            <w:vAlign w:val="center"/>
          </w:tcPr>
          <w:p w14:paraId="784EFE7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70</w:t>
            </w:r>
          </w:p>
        </w:tc>
        <w:tc>
          <w:tcPr>
            <w:tcW w:w="198" w:type="pct"/>
            <w:shd w:val="clear" w:color="auto" w:fill="auto"/>
            <w:vAlign w:val="center"/>
          </w:tcPr>
          <w:p w14:paraId="5D3D059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55</w:t>
            </w:r>
          </w:p>
        </w:tc>
        <w:tc>
          <w:tcPr>
            <w:tcW w:w="183" w:type="pct"/>
            <w:shd w:val="clear" w:color="auto" w:fill="auto"/>
            <w:vAlign w:val="center"/>
          </w:tcPr>
          <w:p w14:paraId="78BA934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45.5</w:t>
            </w:r>
          </w:p>
        </w:tc>
        <w:tc>
          <w:tcPr>
            <w:tcW w:w="203" w:type="pct"/>
            <w:shd w:val="clear" w:color="auto" w:fill="auto"/>
            <w:vAlign w:val="center"/>
          </w:tcPr>
          <w:p w14:paraId="268DF4A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37.5</w:t>
            </w:r>
          </w:p>
        </w:tc>
        <w:tc>
          <w:tcPr>
            <w:tcW w:w="181" w:type="pct"/>
            <w:shd w:val="clear" w:color="auto" w:fill="auto"/>
            <w:vAlign w:val="center"/>
          </w:tcPr>
          <w:p w14:paraId="52D5741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84.5</w:t>
            </w:r>
          </w:p>
        </w:tc>
        <w:tc>
          <w:tcPr>
            <w:tcW w:w="182" w:type="pct"/>
            <w:shd w:val="clear" w:color="auto" w:fill="auto"/>
            <w:vAlign w:val="center"/>
          </w:tcPr>
          <w:p w14:paraId="0CA9DC8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84.5</w:t>
            </w:r>
          </w:p>
        </w:tc>
        <w:tc>
          <w:tcPr>
            <w:tcW w:w="181" w:type="pct"/>
            <w:shd w:val="clear" w:color="auto" w:fill="auto"/>
            <w:vAlign w:val="center"/>
          </w:tcPr>
          <w:p w14:paraId="3BCDCF7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84.5</w:t>
            </w:r>
          </w:p>
        </w:tc>
        <w:tc>
          <w:tcPr>
            <w:tcW w:w="182" w:type="pct"/>
            <w:shd w:val="clear" w:color="auto" w:fill="auto"/>
            <w:vAlign w:val="center"/>
          </w:tcPr>
          <w:p w14:paraId="732D784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84.5</w:t>
            </w:r>
          </w:p>
        </w:tc>
        <w:tc>
          <w:tcPr>
            <w:tcW w:w="181" w:type="pct"/>
            <w:shd w:val="clear" w:color="auto" w:fill="auto"/>
            <w:vAlign w:val="center"/>
          </w:tcPr>
          <w:p w14:paraId="5A0D2DA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14.5</w:t>
            </w:r>
          </w:p>
        </w:tc>
        <w:tc>
          <w:tcPr>
            <w:tcW w:w="182" w:type="pct"/>
            <w:shd w:val="clear" w:color="auto" w:fill="auto"/>
            <w:vAlign w:val="center"/>
          </w:tcPr>
          <w:p w14:paraId="67A307D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29.5</w:t>
            </w:r>
          </w:p>
        </w:tc>
        <w:tc>
          <w:tcPr>
            <w:tcW w:w="181" w:type="pct"/>
            <w:shd w:val="clear" w:color="auto" w:fill="auto"/>
            <w:vAlign w:val="center"/>
          </w:tcPr>
          <w:p w14:paraId="5DB9DA3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79.6</w:t>
            </w:r>
          </w:p>
        </w:tc>
        <w:tc>
          <w:tcPr>
            <w:tcW w:w="182" w:type="pct"/>
            <w:shd w:val="clear" w:color="auto" w:fill="auto"/>
            <w:vAlign w:val="center"/>
          </w:tcPr>
          <w:p w14:paraId="234C4D1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79.6</w:t>
            </w:r>
          </w:p>
        </w:tc>
        <w:tc>
          <w:tcPr>
            <w:tcW w:w="181" w:type="pct"/>
            <w:shd w:val="clear" w:color="auto" w:fill="auto"/>
            <w:vAlign w:val="center"/>
          </w:tcPr>
          <w:p w14:paraId="7875091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79.6</w:t>
            </w:r>
          </w:p>
        </w:tc>
        <w:tc>
          <w:tcPr>
            <w:tcW w:w="182" w:type="pct"/>
            <w:shd w:val="clear" w:color="auto" w:fill="auto"/>
            <w:vAlign w:val="center"/>
          </w:tcPr>
          <w:p w14:paraId="3066764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79.6</w:t>
            </w:r>
          </w:p>
        </w:tc>
        <w:tc>
          <w:tcPr>
            <w:tcW w:w="181" w:type="pct"/>
            <w:shd w:val="clear" w:color="auto" w:fill="auto"/>
            <w:vAlign w:val="center"/>
          </w:tcPr>
          <w:p w14:paraId="45BC08B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9.6</w:t>
            </w:r>
          </w:p>
        </w:tc>
        <w:tc>
          <w:tcPr>
            <w:tcW w:w="182" w:type="pct"/>
            <w:shd w:val="clear" w:color="auto" w:fill="auto"/>
            <w:vAlign w:val="center"/>
          </w:tcPr>
          <w:p w14:paraId="496E3FB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24.6</w:t>
            </w:r>
          </w:p>
        </w:tc>
        <w:tc>
          <w:tcPr>
            <w:tcW w:w="808" w:type="pct"/>
            <w:shd w:val="clear" w:color="auto" w:fill="auto"/>
            <w:vAlign w:val="center"/>
          </w:tcPr>
          <w:p w14:paraId="6BDF5C31">
            <w:pPr>
              <w:widowControl/>
              <w:rPr>
                <w:rFonts w:ascii="Times New Roman" w:hAnsi="Times New Roman" w:eastAsia="宋体" w:cs="Times New Roman"/>
                <w:kern w:val="0"/>
                <w:szCs w:val="21"/>
              </w:rPr>
            </w:pPr>
            <w:r>
              <w:rPr>
                <w:rFonts w:hint="eastAsia" w:ascii="Times New Roman" w:hAnsi="Times New Roman" w:eastAsia="宋体" w:cs="Times New Roman"/>
              </w:rPr>
              <w:t>隔声房、隔声罩等消声减振装置；</w:t>
            </w:r>
            <w:r>
              <w:rPr>
                <w:rFonts w:hint="eastAsia" w:ascii="Times New Roman" w:hAnsi="Times New Roman" w:eastAsia="宋体" w:cs="Times New Roman"/>
                <w:szCs w:val="21"/>
              </w:rPr>
              <w:t>施工场界围挡内侧加装吸声板材或加高隔声围挡（声屏障）等降噪措施；使用静力压装机等低噪声施工机械</w:t>
            </w:r>
          </w:p>
        </w:tc>
      </w:tr>
      <w:tr w14:paraId="39D94D1E">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96" w:type="pct"/>
            <w:shd w:val="clear" w:color="auto" w:fill="auto"/>
            <w:vAlign w:val="center"/>
          </w:tcPr>
          <w:p w14:paraId="5B12F85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27</w:t>
            </w:r>
          </w:p>
        </w:tc>
        <w:tc>
          <w:tcPr>
            <w:tcW w:w="336" w:type="pct"/>
            <w:shd w:val="clear" w:color="auto" w:fill="auto"/>
            <w:vAlign w:val="center"/>
          </w:tcPr>
          <w:p w14:paraId="5DA5D72F">
            <w:pPr>
              <w:widowControl/>
              <w:jc w:val="center"/>
              <w:rPr>
                <w:rFonts w:ascii="Times New Roman" w:hAnsi="Times New Roman" w:eastAsia="宋体" w:cs="Times New Roman"/>
                <w:kern w:val="0"/>
                <w:szCs w:val="21"/>
              </w:rPr>
            </w:pPr>
            <w:r>
              <w:rPr>
                <w:rFonts w:ascii="宋体" w:hAnsi="宋体" w:eastAsia="宋体" w:cs="Times New Roman"/>
                <w:kern w:val="0"/>
                <w:szCs w:val="21"/>
              </w:rPr>
              <w:t>江巴孜村</w:t>
            </w:r>
          </w:p>
        </w:tc>
        <w:tc>
          <w:tcPr>
            <w:tcW w:w="201" w:type="pct"/>
            <w:shd w:val="clear" w:color="auto" w:fill="auto"/>
            <w:vAlign w:val="center"/>
          </w:tcPr>
          <w:p w14:paraId="1B40E889">
            <w:pPr>
              <w:widowControl/>
              <w:jc w:val="center"/>
              <w:rPr>
                <w:rFonts w:ascii="Times New Roman" w:hAnsi="Times New Roman" w:eastAsia="宋体" w:cs="Times New Roman"/>
                <w:kern w:val="0"/>
                <w:szCs w:val="21"/>
              </w:rPr>
            </w:pPr>
            <w:r>
              <w:rPr>
                <w:rFonts w:ascii="宋体" w:hAnsi="宋体" w:eastAsia="宋体" w:cs="Times New Roman"/>
                <w:kern w:val="0"/>
                <w:szCs w:val="21"/>
              </w:rPr>
              <w:t>路基</w:t>
            </w:r>
          </w:p>
        </w:tc>
        <w:tc>
          <w:tcPr>
            <w:tcW w:w="205" w:type="pct"/>
            <w:shd w:val="clear" w:color="auto" w:fill="auto"/>
            <w:vAlign w:val="center"/>
          </w:tcPr>
          <w:p w14:paraId="5226F4FF">
            <w:pPr>
              <w:widowControl/>
              <w:jc w:val="center"/>
              <w:rPr>
                <w:rFonts w:ascii="Times New Roman" w:hAnsi="Times New Roman" w:eastAsia="宋体" w:cs="Times New Roman"/>
                <w:kern w:val="0"/>
                <w:szCs w:val="21"/>
              </w:rPr>
            </w:pPr>
            <w:r>
              <w:rPr>
                <w:rFonts w:ascii="宋体" w:hAnsi="宋体" w:eastAsia="宋体" w:cs="Times New Roman"/>
                <w:kern w:val="0"/>
                <w:szCs w:val="21"/>
              </w:rPr>
              <w:t>两侧</w:t>
            </w:r>
          </w:p>
        </w:tc>
        <w:tc>
          <w:tcPr>
            <w:tcW w:w="312" w:type="pct"/>
            <w:shd w:val="clear" w:color="auto" w:fill="auto"/>
            <w:vAlign w:val="center"/>
          </w:tcPr>
          <w:p w14:paraId="03D9226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w:t>
            </w:r>
          </w:p>
        </w:tc>
        <w:tc>
          <w:tcPr>
            <w:tcW w:w="180" w:type="pct"/>
            <w:shd w:val="clear" w:color="auto" w:fill="auto"/>
            <w:vAlign w:val="center"/>
          </w:tcPr>
          <w:p w14:paraId="6F319FC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70</w:t>
            </w:r>
          </w:p>
        </w:tc>
        <w:tc>
          <w:tcPr>
            <w:tcW w:w="198" w:type="pct"/>
            <w:shd w:val="clear" w:color="auto" w:fill="auto"/>
            <w:vAlign w:val="center"/>
          </w:tcPr>
          <w:p w14:paraId="177F108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55</w:t>
            </w:r>
          </w:p>
        </w:tc>
        <w:tc>
          <w:tcPr>
            <w:tcW w:w="183" w:type="pct"/>
            <w:shd w:val="clear" w:color="auto" w:fill="auto"/>
            <w:vAlign w:val="center"/>
          </w:tcPr>
          <w:p w14:paraId="60724EF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45.5</w:t>
            </w:r>
          </w:p>
        </w:tc>
        <w:tc>
          <w:tcPr>
            <w:tcW w:w="203" w:type="pct"/>
            <w:shd w:val="clear" w:color="auto" w:fill="auto"/>
            <w:vAlign w:val="center"/>
          </w:tcPr>
          <w:p w14:paraId="56A6899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37.5</w:t>
            </w:r>
          </w:p>
        </w:tc>
        <w:tc>
          <w:tcPr>
            <w:tcW w:w="181" w:type="pct"/>
            <w:shd w:val="clear" w:color="auto" w:fill="auto"/>
            <w:vAlign w:val="center"/>
          </w:tcPr>
          <w:p w14:paraId="3EAFFA8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86.2</w:t>
            </w:r>
          </w:p>
        </w:tc>
        <w:tc>
          <w:tcPr>
            <w:tcW w:w="182" w:type="pct"/>
            <w:shd w:val="clear" w:color="auto" w:fill="auto"/>
            <w:vAlign w:val="center"/>
          </w:tcPr>
          <w:p w14:paraId="3558F0E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86.2</w:t>
            </w:r>
          </w:p>
        </w:tc>
        <w:tc>
          <w:tcPr>
            <w:tcW w:w="181" w:type="pct"/>
            <w:shd w:val="clear" w:color="auto" w:fill="auto"/>
            <w:vAlign w:val="center"/>
          </w:tcPr>
          <w:p w14:paraId="225643A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86.2</w:t>
            </w:r>
          </w:p>
        </w:tc>
        <w:tc>
          <w:tcPr>
            <w:tcW w:w="182" w:type="pct"/>
            <w:shd w:val="clear" w:color="auto" w:fill="auto"/>
            <w:vAlign w:val="center"/>
          </w:tcPr>
          <w:p w14:paraId="4F8ECC1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86.2</w:t>
            </w:r>
          </w:p>
        </w:tc>
        <w:tc>
          <w:tcPr>
            <w:tcW w:w="181" w:type="pct"/>
            <w:shd w:val="clear" w:color="auto" w:fill="auto"/>
            <w:vAlign w:val="center"/>
          </w:tcPr>
          <w:p w14:paraId="575E794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16.2</w:t>
            </w:r>
          </w:p>
        </w:tc>
        <w:tc>
          <w:tcPr>
            <w:tcW w:w="182" w:type="pct"/>
            <w:shd w:val="clear" w:color="auto" w:fill="auto"/>
            <w:vAlign w:val="center"/>
          </w:tcPr>
          <w:p w14:paraId="3174B1C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31.2</w:t>
            </w:r>
          </w:p>
        </w:tc>
        <w:tc>
          <w:tcPr>
            <w:tcW w:w="181" w:type="pct"/>
            <w:shd w:val="clear" w:color="auto" w:fill="auto"/>
            <w:vAlign w:val="center"/>
          </w:tcPr>
          <w:p w14:paraId="720A2F9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81.2</w:t>
            </w:r>
          </w:p>
        </w:tc>
        <w:tc>
          <w:tcPr>
            <w:tcW w:w="182" w:type="pct"/>
            <w:shd w:val="clear" w:color="auto" w:fill="auto"/>
            <w:vAlign w:val="center"/>
          </w:tcPr>
          <w:p w14:paraId="327B922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81.2</w:t>
            </w:r>
          </w:p>
        </w:tc>
        <w:tc>
          <w:tcPr>
            <w:tcW w:w="181" w:type="pct"/>
            <w:shd w:val="clear" w:color="auto" w:fill="auto"/>
            <w:vAlign w:val="center"/>
          </w:tcPr>
          <w:p w14:paraId="21E0CFA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81.2</w:t>
            </w:r>
          </w:p>
        </w:tc>
        <w:tc>
          <w:tcPr>
            <w:tcW w:w="182" w:type="pct"/>
            <w:shd w:val="clear" w:color="auto" w:fill="auto"/>
            <w:vAlign w:val="center"/>
          </w:tcPr>
          <w:p w14:paraId="5E872C6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81.2</w:t>
            </w:r>
          </w:p>
        </w:tc>
        <w:tc>
          <w:tcPr>
            <w:tcW w:w="181" w:type="pct"/>
            <w:shd w:val="clear" w:color="auto" w:fill="auto"/>
            <w:vAlign w:val="center"/>
          </w:tcPr>
          <w:p w14:paraId="19A8FA8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11.2</w:t>
            </w:r>
          </w:p>
        </w:tc>
        <w:tc>
          <w:tcPr>
            <w:tcW w:w="182" w:type="pct"/>
            <w:shd w:val="clear" w:color="auto" w:fill="auto"/>
            <w:vAlign w:val="center"/>
          </w:tcPr>
          <w:p w14:paraId="005BA85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26.2</w:t>
            </w:r>
          </w:p>
        </w:tc>
        <w:tc>
          <w:tcPr>
            <w:tcW w:w="808" w:type="pct"/>
            <w:shd w:val="clear" w:color="auto" w:fill="auto"/>
            <w:vAlign w:val="center"/>
          </w:tcPr>
          <w:p w14:paraId="45BA9141">
            <w:pPr>
              <w:widowControl/>
              <w:rPr>
                <w:rFonts w:ascii="Times New Roman" w:hAnsi="Times New Roman" w:eastAsia="宋体" w:cs="Times New Roman"/>
                <w:kern w:val="0"/>
                <w:szCs w:val="21"/>
              </w:rPr>
            </w:pPr>
            <w:r>
              <w:rPr>
                <w:rFonts w:hint="eastAsia" w:ascii="Times New Roman" w:hAnsi="Times New Roman" w:eastAsia="宋体" w:cs="Times New Roman"/>
              </w:rPr>
              <w:t>隔声房、隔声罩等消声减振装置；</w:t>
            </w:r>
            <w:r>
              <w:rPr>
                <w:rFonts w:hint="eastAsia" w:ascii="Times New Roman" w:hAnsi="Times New Roman" w:eastAsia="宋体" w:cs="Times New Roman"/>
                <w:szCs w:val="21"/>
              </w:rPr>
              <w:t>施工场界围挡内侧加装吸声板材或加高隔声围挡（声屏障）等降噪措施；使用静力压装机等低噪声施工机械</w:t>
            </w:r>
          </w:p>
        </w:tc>
      </w:tr>
      <w:tr w14:paraId="638AF652">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96" w:type="pct"/>
            <w:shd w:val="clear" w:color="auto" w:fill="auto"/>
            <w:vAlign w:val="center"/>
          </w:tcPr>
          <w:p w14:paraId="2E2A38F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28</w:t>
            </w:r>
          </w:p>
        </w:tc>
        <w:tc>
          <w:tcPr>
            <w:tcW w:w="336" w:type="pct"/>
            <w:shd w:val="clear" w:color="auto" w:fill="auto"/>
            <w:vAlign w:val="center"/>
          </w:tcPr>
          <w:p w14:paraId="2B916C97">
            <w:pPr>
              <w:widowControl/>
              <w:jc w:val="center"/>
              <w:rPr>
                <w:rFonts w:ascii="Times New Roman" w:hAnsi="Times New Roman" w:eastAsia="宋体" w:cs="Times New Roman"/>
                <w:kern w:val="0"/>
                <w:szCs w:val="21"/>
              </w:rPr>
            </w:pPr>
            <w:r>
              <w:rPr>
                <w:rFonts w:ascii="宋体" w:hAnsi="宋体" w:eastAsia="宋体" w:cs="Times New Roman"/>
                <w:kern w:val="0"/>
                <w:szCs w:val="21"/>
              </w:rPr>
              <w:t>阿亚格乔拉克村</w:t>
            </w:r>
          </w:p>
        </w:tc>
        <w:tc>
          <w:tcPr>
            <w:tcW w:w="201" w:type="pct"/>
            <w:shd w:val="clear" w:color="auto" w:fill="auto"/>
            <w:vAlign w:val="center"/>
          </w:tcPr>
          <w:p w14:paraId="7F588768">
            <w:pPr>
              <w:widowControl/>
              <w:jc w:val="center"/>
              <w:rPr>
                <w:rFonts w:ascii="Times New Roman" w:hAnsi="Times New Roman" w:eastAsia="宋体" w:cs="Times New Roman"/>
                <w:kern w:val="0"/>
                <w:szCs w:val="21"/>
              </w:rPr>
            </w:pPr>
            <w:r>
              <w:rPr>
                <w:rFonts w:ascii="宋体" w:hAnsi="宋体" w:eastAsia="宋体" w:cs="Times New Roman"/>
                <w:kern w:val="0"/>
                <w:szCs w:val="21"/>
              </w:rPr>
              <w:t>路基</w:t>
            </w:r>
          </w:p>
        </w:tc>
        <w:tc>
          <w:tcPr>
            <w:tcW w:w="205" w:type="pct"/>
            <w:shd w:val="clear" w:color="auto" w:fill="auto"/>
            <w:vAlign w:val="center"/>
          </w:tcPr>
          <w:p w14:paraId="1A8D6D8A">
            <w:pPr>
              <w:widowControl/>
              <w:jc w:val="center"/>
              <w:rPr>
                <w:rFonts w:ascii="Times New Roman" w:hAnsi="Times New Roman" w:eastAsia="宋体" w:cs="Times New Roman"/>
                <w:kern w:val="0"/>
                <w:szCs w:val="21"/>
              </w:rPr>
            </w:pPr>
            <w:r>
              <w:rPr>
                <w:rFonts w:ascii="宋体" w:hAnsi="宋体" w:eastAsia="宋体" w:cs="Times New Roman"/>
                <w:kern w:val="0"/>
                <w:szCs w:val="21"/>
              </w:rPr>
              <w:t>两侧</w:t>
            </w:r>
          </w:p>
        </w:tc>
        <w:tc>
          <w:tcPr>
            <w:tcW w:w="312" w:type="pct"/>
            <w:shd w:val="clear" w:color="auto" w:fill="auto"/>
            <w:vAlign w:val="center"/>
          </w:tcPr>
          <w:p w14:paraId="01837EB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w:t>
            </w:r>
          </w:p>
        </w:tc>
        <w:tc>
          <w:tcPr>
            <w:tcW w:w="180" w:type="pct"/>
            <w:shd w:val="clear" w:color="auto" w:fill="auto"/>
            <w:vAlign w:val="center"/>
          </w:tcPr>
          <w:p w14:paraId="0C4509D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70</w:t>
            </w:r>
          </w:p>
        </w:tc>
        <w:tc>
          <w:tcPr>
            <w:tcW w:w="198" w:type="pct"/>
            <w:shd w:val="clear" w:color="auto" w:fill="auto"/>
            <w:vAlign w:val="center"/>
          </w:tcPr>
          <w:p w14:paraId="707EC8E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55</w:t>
            </w:r>
          </w:p>
        </w:tc>
        <w:tc>
          <w:tcPr>
            <w:tcW w:w="183" w:type="pct"/>
            <w:shd w:val="clear" w:color="auto" w:fill="auto"/>
            <w:vAlign w:val="center"/>
          </w:tcPr>
          <w:p w14:paraId="6772029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45.0</w:t>
            </w:r>
          </w:p>
        </w:tc>
        <w:tc>
          <w:tcPr>
            <w:tcW w:w="203" w:type="pct"/>
            <w:shd w:val="clear" w:color="auto" w:fill="auto"/>
            <w:vAlign w:val="center"/>
          </w:tcPr>
          <w:p w14:paraId="61E947E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37.5</w:t>
            </w:r>
          </w:p>
        </w:tc>
        <w:tc>
          <w:tcPr>
            <w:tcW w:w="181" w:type="pct"/>
            <w:shd w:val="clear" w:color="auto" w:fill="auto"/>
            <w:vAlign w:val="center"/>
          </w:tcPr>
          <w:p w14:paraId="3A000EF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85.2</w:t>
            </w:r>
          </w:p>
        </w:tc>
        <w:tc>
          <w:tcPr>
            <w:tcW w:w="182" w:type="pct"/>
            <w:shd w:val="clear" w:color="auto" w:fill="auto"/>
            <w:vAlign w:val="center"/>
          </w:tcPr>
          <w:p w14:paraId="2D48C53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85.2</w:t>
            </w:r>
          </w:p>
        </w:tc>
        <w:tc>
          <w:tcPr>
            <w:tcW w:w="181" w:type="pct"/>
            <w:shd w:val="clear" w:color="auto" w:fill="auto"/>
            <w:vAlign w:val="center"/>
          </w:tcPr>
          <w:p w14:paraId="0AFB103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85.2</w:t>
            </w:r>
          </w:p>
        </w:tc>
        <w:tc>
          <w:tcPr>
            <w:tcW w:w="182" w:type="pct"/>
            <w:shd w:val="clear" w:color="auto" w:fill="auto"/>
            <w:vAlign w:val="center"/>
          </w:tcPr>
          <w:p w14:paraId="7FA3550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85.2</w:t>
            </w:r>
          </w:p>
        </w:tc>
        <w:tc>
          <w:tcPr>
            <w:tcW w:w="181" w:type="pct"/>
            <w:shd w:val="clear" w:color="auto" w:fill="auto"/>
            <w:vAlign w:val="center"/>
          </w:tcPr>
          <w:p w14:paraId="684E165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15.2</w:t>
            </w:r>
          </w:p>
        </w:tc>
        <w:tc>
          <w:tcPr>
            <w:tcW w:w="182" w:type="pct"/>
            <w:shd w:val="clear" w:color="auto" w:fill="auto"/>
            <w:vAlign w:val="center"/>
          </w:tcPr>
          <w:p w14:paraId="76963A8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30.2</w:t>
            </w:r>
          </w:p>
        </w:tc>
        <w:tc>
          <w:tcPr>
            <w:tcW w:w="181" w:type="pct"/>
            <w:shd w:val="clear" w:color="auto" w:fill="auto"/>
            <w:vAlign w:val="center"/>
          </w:tcPr>
          <w:p w14:paraId="36CC78A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80.2</w:t>
            </w:r>
          </w:p>
        </w:tc>
        <w:tc>
          <w:tcPr>
            <w:tcW w:w="182" w:type="pct"/>
            <w:shd w:val="clear" w:color="auto" w:fill="auto"/>
            <w:vAlign w:val="center"/>
          </w:tcPr>
          <w:p w14:paraId="1B096D2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80.2</w:t>
            </w:r>
          </w:p>
        </w:tc>
        <w:tc>
          <w:tcPr>
            <w:tcW w:w="181" w:type="pct"/>
            <w:shd w:val="clear" w:color="auto" w:fill="auto"/>
            <w:vAlign w:val="center"/>
          </w:tcPr>
          <w:p w14:paraId="39ED058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80.2</w:t>
            </w:r>
          </w:p>
        </w:tc>
        <w:tc>
          <w:tcPr>
            <w:tcW w:w="182" w:type="pct"/>
            <w:shd w:val="clear" w:color="auto" w:fill="auto"/>
            <w:vAlign w:val="center"/>
          </w:tcPr>
          <w:p w14:paraId="72A7C88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80.2</w:t>
            </w:r>
          </w:p>
        </w:tc>
        <w:tc>
          <w:tcPr>
            <w:tcW w:w="181" w:type="pct"/>
            <w:shd w:val="clear" w:color="auto" w:fill="auto"/>
            <w:vAlign w:val="center"/>
          </w:tcPr>
          <w:p w14:paraId="66C4FEE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10.2</w:t>
            </w:r>
          </w:p>
        </w:tc>
        <w:tc>
          <w:tcPr>
            <w:tcW w:w="182" w:type="pct"/>
            <w:shd w:val="clear" w:color="auto" w:fill="auto"/>
            <w:vAlign w:val="center"/>
          </w:tcPr>
          <w:p w14:paraId="30A67CB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25.2</w:t>
            </w:r>
          </w:p>
        </w:tc>
        <w:tc>
          <w:tcPr>
            <w:tcW w:w="808" w:type="pct"/>
            <w:shd w:val="clear" w:color="auto" w:fill="auto"/>
            <w:vAlign w:val="center"/>
          </w:tcPr>
          <w:p w14:paraId="5F9B181C">
            <w:pPr>
              <w:widowControl/>
              <w:rPr>
                <w:rFonts w:ascii="Times New Roman" w:hAnsi="Times New Roman" w:eastAsia="宋体" w:cs="Times New Roman"/>
                <w:kern w:val="0"/>
                <w:szCs w:val="21"/>
              </w:rPr>
            </w:pPr>
            <w:r>
              <w:rPr>
                <w:rFonts w:hint="eastAsia" w:ascii="Times New Roman" w:hAnsi="Times New Roman" w:eastAsia="宋体" w:cs="Times New Roman"/>
              </w:rPr>
              <w:t>隔声房、隔声罩等消声减振装置；</w:t>
            </w:r>
            <w:r>
              <w:rPr>
                <w:rFonts w:hint="eastAsia" w:ascii="Times New Roman" w:hAnsi="Times New Roman" w:eastAsia="宋体" w:cs="Times New Roman"/>
                <w:szCs w:val="21"/>
              </w:rPr>
              <w:t>施工场界围挡内侧加装吸声板材或加高隔声围挡（声屏障）等降噪措施；使用静力压装机等低噪声施工机械</w:t>
            </w:r>
          </w:p>
        </w:tc>
      </w:tr>
      <w:tr w14:paraId="43B56629">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96" w:type="pct"/>
            <w:shd w:val="clear" w:color="auto" w:fill="auto"/>
            <w:vAlign w:val="center"/>
          </w:tcPr>
          <w:p w14:paraId="142157C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29</w:t>
            </w:r>
          </w:p>
        </w:tc>
        <w:tc>
          <w:tcPr>
            <w:tcW w:w="336" w:type="pct"/>
            <w:shd w:val="clear" w:color="auto" w:fill="auto"/>
            <w:vAlign w:val="center"/>
          </w:tcPr>
          <w:p w14:paraId="7DC84893">
            <w:pPr>
              <w:widowControl/>
              <w:jc w:val="center"/>
              <w:rPr>
                <w:rFonts w:ascii="Times New Roman" w:hAnsi="Times New Roman" w:eastAsia="宋体" w:cs="Times New Roman"/>
                <w:kern w:val="0"/>
                <w:szCs w:val="21"/>
              </w:rPr>
            </w:pPr>
            <w:r>
              <w:rPr>
                <w:rFonts w:ascii="宋体" w:hAnsi="宋体" w:eastAsia="宋体" w:cs="Times New Roman"/>
                <w:kern w:val="0"/>
                <w:szCs w:val="21"/>
              </w:rPr>
              <w:t>托万克阿帕霍加</w:t>
            </w:r>
          </w:p>
        </w:tc>
        <w:tc>
          <w:tcPr>
            <w:tcW w:w="201" w:type="pct"/>
            <w:shd w:val="clear" w:color="auto" w:fill="auto"/>
            <w:vAlign w:val="center"/>
          </w:tcPr>
          <w:p w14:paraId="2CB31E37">
            <w:pPr>
              <w:widowControl/>
              <w:jc w:val="center"/>
              <w:rPr>
                <w:rFonts w:ascii="Times New Roman" w:hAnsi="Times New Roman" w:eastAsia="宋体" w:cs="Times New Roman"/>
                <w:kern w:val="0"/>
                <w:szCs w:val="21"/>
              </w:rPr>
            </w:pPr>
            <w:r>
              <w:rPr>
                <w:rFonts w:ascii="宋体" w:hAnsi="宋体" w:eastAsia="宋体" w:cs="Times New Roman"/>
                <w:kern w:val="0"/>
                <w:szCs w:val="21"/>
              </w:rPr>
              <w:t>路基</w:t>
            </w:r>
          </w:p>
        </w:tc>
        <w:tc>
          <w:tcPr>
            <w:tcW w:w="205" w:type="pct"/>
            <w:shd w:val="clear" w:color="auto" w:fill="auto"/>
            <w:vAlign w:val="center"/>
          </w:tcPr>
          <w:p w14:paraId="1FB87BD9">
            <w:pPr>
              <w:widowControl/>
              <w:jc w:val="center"/>
              <w:rPr>
                <w:rFonts w:ascii="Times New Roman" w:hAnsi="Times New Roman" w:eastAsia="宋体" w:cs="Times New Roman"/>
                <w:kern w:val="0"/>
                <w:szCs w:val="21"/>
              </w:rPr>
            </w:pPr>
            <w:r>
              <w:rPr>
                <w:rFonts w:ascii="宋体" w:hAnsi="宋体" w:eastAsia="宋体" w:cs="Times New Roman"/>
                <w:kern w:val="0"/>
                <w:szCs w:val="21"/>
              </w:rPr>
              <w:t>两侧</w:t>
            </w:r>
          </w:p>
        </w:tc>
        <w:tc>
          <w:tcPr>
            <w:tcW w:w="312" w:type="pct"/>
            <w:shd w:val="clear" w:color="auto" w:fill="auto"/>
            <w:vAlign w:val="center"/>
          </w:tcPr>
          <w:p w14:paraId="3F78140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w:t>
            </w:r>
          </w:p>
        </w:tc>
        <w:tc>
          <w:tcPr>
            <w:tcW w:w="180" w:type="pct"/>
            <w:shd w:val="clear" w:color="auto" w:fill="auto"/>
            <w:vAlign w:val="center"/>
          </w:tcPr>
          <w:p w14:paraId="4BD5F8F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70</w:t>
            </w:r>
          </w:p>
        </w:tc>
        <w:tc>
          <w:tcPr>
            <w:tcW w:w="198" w:type="pct"/>
            <w:shd w:val="clear" w:color="auto" w:fill="auto"/>
            <w:vAlign w:val="center"/>
          </w:tcPr>
          <w:p w14:paraId="370A80B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55</w:t>
            </w:r>
          </w:p>
        </w:tc>
        <w:tc>
          <w:tcPr>
            <w:tcW w:w="183" w:type="pct"/>
            <w:shd w:val="clear" w:color="auto" w:fill="auto"/>
            <w:vAlign w:val="center"/>
          </w:tcPr>
          <w:p w14:paraId="1310F5D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44.0</w:t>
            </w:r>
          </w:p>
        </w:tc>
        <w:tc>
          <w:tcPr>
            <w:tcW w:w="203" w:type="pct"/>
            <w:shd w:val="clear" w:color="auto" w:fill="auto"/>
            <w:vAlign w:val="center"/>
          </w:tcPr>
          <w:p w14:paraId="69E879B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37.5</w:t>
            </w:r>
          </w:p>
        </w:tc>
        <w:tc>
          <w:tcPr>
            <w:tcW w:w="181" w:type="pct"/>
            <w:shd w:val="clear" w:color="auto" w:fill="auto"/>
            <w:vAlign w:val="center"/>
          </w:tcPr>
          <w:p w14:paraId="476B635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85.7</w:t>
            </w:r>
          </w:p>
        </w:tc>
        <w:tc>
          <w:tcPr>
            <w:tcW w:w="182" w:type="pct"/>
            <w:shd w:val="clear" w:color="auto" w:fill="auto"/>
            <w:vAlign w:val="center"/>
          </w:tcPr>
          <w:p w14:paraId="01BF992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85.7</w:t>
            </w:r>
          </w:p>
        </w:tc>
        <w:tc>
          <w:tcPr>
            <w:tcW w:w="181" w:type="pct"/>
            <w:shd w:val="clear" w:color="auto" w:fill="auto"/>
            <w:vAlign w:val="center"/>
          </w:tcPr>
          <w:p w14:paraId="75F0EE7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85.7</w:t>
            </w:r>
          </w:p>
        </w:tc>
        <w:tc>
          <w:tcPr>
            <w:tcW w:w="182" w:type="pct"/>
            <w:shd w:val="clear" w:color="auto" w:fill="auto"/>
            <w:vAlign w:val="center"/>
          </w:tcPr>
          <w:p w14:paraId="237D2B8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85.7</w:t>
            </w:r>
          </w:p>
        </w:tc>
        <w:tc>
          <w:tcPr>
            <w:tcW w:w="181" w:type="pct"/>
            <w:shd w:val="clear" w:color="auto" w:fill="auto"/>
            <w:vAlign w:val="center"/>
          </w:tcPr>
          <w:p w14:paraId="0F88BA1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15.7</w:t>
            </w:r>
          </w:p>
        </w:tc>
        <w:tc>
          <w:tcPr>
            <w:tcW w:w="182" w:type="pct"/>
            <w:shd w:val="clear" w:color="auto" w:fill="auto"/>
            <w:vAlign w:val="center"/>
          </w:tcPr>
          <w:p w14:paraId="0E1BACE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30.7</w:t>
            </w:r>
          </w:p>
        </w:tc>
        <w:tc>
          <w:tcPr>
            <w:tcW w:w="181" w:type="pct"/>
            <w:shd w:val="clear" w:color="auto" w:fill="auto"/>
            <w:vAlign w:val="center"/>
          </w:tcPr>
          <w:p w14:paraId="33AE54E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80.7</w:t>
            </w:r>
          </w:p>
        </w:tc>
        <w:tc>
          <w:tcPr>
            <w:tcW w:w="182" w:type="pct"/>
            <w:shd w:val="clear" w:color="auto" w:fill="auto"/>
            <w:vAlign w:val="center"/>
          </w:tcPr>
          <w:p w14:paraId="3A2ECD1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80.7</w:t>
            </w:r>
          </w:p>
        </w:tc>
        <w:tc>
          <w:tcPr>
            <w:tcW w:w="181" w:type="pct"/>
            <w:shd w:val="clear" w:color="auto" w:fill="auto"/>
            <w:vAlign w:val="center"/>
          </w:tcPr>
          <w:p w14:paraId="683DFF2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80.7</w:t>
            </w:r>
          </w:p>
        </w:tc>
        <w:tc>
          <w:tcPr>
            <w:tcW w:w="182" w:type="pct"/>
            <w:shd w:val="clear" w:color="auto" w:fill="auto"/>
            <w:vAlign w:val="center"/>
          </w:tcPr>
          <w:p w14:paraId="47DFB6B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80.7</w:t>
            </w:r>
          </w:p>
        </w:tc>
        <w:tc>
          <w:tcPr>
            <w:tcW w:w="181" w:type="pct"/>
            <w:shd w:val="clear" w:color="auto" w:fill="auto"/>
            <w:vAlign w:val="center"/>
          </w:tcPr>
          <w:p w14:paraId="4BFC13F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10.7</w:t>
            </w:r>
          </w:p>
        </w:tc>
        <w:tc>
          <w:tcPr>
            <w:tcW w:w="182" w:type="pct"/>
            <w:shd w:val="clear" w:color="auto" w:fill="auto"/>
            <w:vAlign w:val="center"/>
          </w:tcPr>
          <w:p w14:paraId="3854A57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25.7</w:t>
            </w:r>
          </w:p>
        </w:tc>
        <w:tc>
          <w:tcPr>
            <w:tcW w:w="808" w:type="pct"/>
            <w:shd w:val="clear" w:color="auto" w:fill="auto"/>
            <w:vAlign w:val="center"/>
          </w:tcPr>
          <w:p w14:paraId="4C1956FE">
            <w:pPr>
              <w:widowControl/>
              <w:rPr>
                <w:rFonts w:ascii="Times New Roman" w:hAnsi="Times New Roman" w:eastAsia="宋体" w:cs="Times New Roman"/>
                <w:kern w:val="0"/>
                <w:szCs w:val="21"/>
              </w:rPr>
            </w:pPr>
            <w:r>
              <w:rPr>
                <w:rFonts w:hint="eastAsia" w:ascii="Times New Roman" w:hAnsi="Times New Roman" w:eastAsia="宋体" w:cs="Times New Roman"/>
              </w:rPr>
              <w:t>隔声房、隔声罩等消声减振装置；</w:t>
            </w:r>
            <w:r>
              <w:rPr>
                <w:rFonts w:hint="eastAsia" w:ascii="Times New Roman" w:hAnsi="Times New Roman" w:eastAsia="宋体" w:cs="Times New Roman"/>
                <w:szCs w:val="21"/>
              </w:rPr>
              <w:t>施工场界围挡内侧加装吸声板材或加高隔声围挡（声屏障）等降噪措施；使用静力压装机等低噪声施工机械</w:t>
            </w:r>
          </w:p>
        </w:tc>
      </w:tr>
    </w:tbl>
    <w:p w14:paraId="09E9D2AB">
      <w:pPr>
        <w:rPr>
          <w:rFonts w:ascii="Times New Roman" w:hAnsi="Times New Roman" w:eastAsia="宋体" w:cs="Times New Roman"/>
        </w:rPr>
      </w:pPr>
    </w:p>
    <w:p w14:paraId="5E96E5B7">
      <w:pPr>
        <w:sectPr>
          <w:footerReference r:id="rId67" w:type="default"/>
          <w:footerReference r:id="rId68" w:type="even"/>
          <w:pgSz w:w="23814" w:h="16840" w:orient="landscape"/>
          <w:pgMar w:top="1701" w:right="1701" w:bottom="1701" w:left="1701" w:header="1134" w:footer="1134" w:gutter="0"/>
          <w:pgBorders>
            <w:top w:val="none" w:sz="0" w:space="0"/>
            <w:left w:val="none" w:sz="0" w:space="0"/>
            <w:bottom w:val="none" w:sz="0" w:space="0"/>
            <w:right w:val="none" w:sz="0" w:space="0"/>
          </w:pgBorders>
          <w:cols w:space="720" w:num="1"/>
          <w:docGrid w:linePitch="312" w:charSpace="0"/>
        </w:sectPr>
      </w:pPr>
    </w:p>
    <w:p w14:paraId="06008689">
      <w:pPr>
        <w:spacing w:beforeLines="50"/>
        <w:jc w:val="center"/>
        <w:rPr>
          <w:rFonts w:ascii="Times New Roman" w:hAnsi="Times New Roman" w:eastAsia="宋体" w:cs="Times New Roman"/>
          <w:b/>
          <w:bCs/>
          <w:szCs w:val="21"/>
        </w:rPr>
      </w:pPr>
      <w:r>
        <w:rPr>
          <w:rFonts w:hint="eastAsia" w:ascii="Times New Roman" w:hAnsi="Times New Roman" w:eastAsia="宋体" w:cs="Times New Roman"/>
          <w:b/>
          <w:bCs/>
          <w:szCs w:val="21"/>
        </w:rPr>
        <w:t>表4.1</w:t>
      </w:r>
      <w:r>
        <w:rPr>
          <w:rFonts w:ascii="Times New Roman" w:hAnsi="Times New Roman" w:eastAsia="宋体" w:cs="Times New Roman"/>
          <w:b/>
          <w:bCs/>
          <w:szCs w:val="21"/>
        </w:rPr>
        <w:noBreakHyphen/>
      </w:r>
      <w:r>
        <w:rPr>
          <w:rFonts w:hint="eastAsia" w:ascii="Times New Roman" w:hAnsi="Times New Roman" w:eastAsia="宋体" w:cs="Times New Roman"/>
          <w:b/>
          <w:bCs/>
          <w:szCs w:val="21"/>
        </w:rPr>
        <w:t>5</w:t>
      </w:r>
      <w:r>
        <w:rPr>
          <w:rFonts w:ascii="Times New Roman" w:hAnsi="Times New Roman" w:eastAsia="宋体" w:cs="Times New Roman"/>
          <w:b/>
          <w:bCs/>
          <w:szCs w:val="21"/>
        </w:rPr>
        <w:t xml:space="preserve">  </w:t>
      </w:r>
      <w:r>
        <w:rPr>
          <w:rFonts w:hint="eastAsia" w:ascii="Times New Roman" w:hAnsi="Times New Roman" w:eastAsia="宋体" w:cs="Times New Roman"/>
          <w:b/>
          <w:bCs/>
          <w:szCs w:val="21"/>
        </w:rPr>
        <w:t>降噪措施效果</w:t>
      </w:r>
    </w:p>
    <w:tbl>
      <w:tblPr>
        <w:tblStyle w:val="22"/>
        <w:tblW w:w="4839" w:type="pct"/>
        <w:jc w:val="center"/>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754"/>
        <w:gridCol w:w="2923"/>
        <w:gridCol w:w="2576"/>
      </w:tblGrid>
      <w:tr w14:paraId="552CF8E8">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668" w:type="pct"/>
            <w:vAlign w:val="center"/>
          </w:tcPr>
          <w:p w14:paraId="044C7934">
            <w:pPr>
              <w:jc w:val="center"/>
              <w:rPr>
                <w:rFonts w:ascii="Times New Roman" w:hAnsi="Times New Roman" w:eastAsia="宋体" w:cs="Times New Roman"/>
                <w:b/>
                <w:bCs/>
                <w:szCs w:val="22"/>
              </w:rPr>
            </w:pPr>
            <w:r>
              <w:rPr>
                <w:rFonts w:hint="eastAsia" w:ascii="Times New Roman" w:hAnsi="Times New Roman" w:eastAsia="宋体" w:cs="Times New Roman"/>
                <w:b/>
                <w:bCs/>
                <w:szCs w:val="22"/>
              </w:rPr>
              <w:t>措施</w:t>
            </w:r>
          </w:p>
        </w:tc>
        <w:tc>
          <w:tcPr>
            <w:tcW w:w="1770" w:type="pct"/>
            <w:vAlign w:val="center"/>
          </w:tcPr>
          <w:p w14:paraId="3C1185BD">
            <w:pPr>
              <w:jc w:val="center"/>
              <w:rPr>
                <w:rFonts w:ascii="Times New Roman" w:hAnsi="Times New Roman" w:eastAsia="宋体" w:cs="Times New Roman"/>
                <w:b/>
                <w:bCs/>
                <w:szCs w:val="22"/>
              </w:rPr>
            </w:pPr>
            <w:r>
              <w:rPr>
                <w:rFonts w:hint="eastAsia" w:ascii="Times New Roman" w:hAnsi="Times New Roman" w:eastAsia="宋体" w:cs="Times New Roman"/>
                <w:b/>
                <w:bCs/>
                <w:szCs w:val="22"/>
              </w:rPr>
              <w:t>适用降噪对象</w:t>
            </w:r>
          </w:p>
        </w:tc>
        <w:tc>
          <w:tcPr>
            <w:tcW w:w="1560" w:type="pct"/>
            <w:vAlign w:val="center"/>
          </w:tcPr>
          <w:p w14:paraId="287A154B">
            <w:pPr>
              <w:jc w:val="center"/>
              <w:rPr>
                <w:rFonts w:ascii="Times New Roman" w:hAnsi="Times New Roman" w:eastAsia="宋体" w:cs="Times New Roman"/>
                <w:b/>
                <w:bCs/>
                <w:szCs w:val="22"/>
              </w:rPr>
            </w:pPr>
            <w:r>
              <w:rPr>
                <w:rFonts w:hint="eastAsia" w:ascii="Times New Roman" w:hAnsi="Times New Roman" w:eastAsia="宋体" w:cs="Times New Roman"/>
                <w:b/>
                <w:bCs/>
                <w:szCs w:val="22"/>
              </w:rPr>
              <w:t>降噪量d</w:t>
            </w:r>
            <w:r>
              <w:rPr>
                <w:rFonts w:ascii="Times New Roman" w:hAnsi="Times New Roman" w:eastAsia="宋体" w:cs="Times New Roman"/>
                <w:b/>
                <w:bCs/>
                <w:szCs w:val="22"/>
              </w:rPr>
              <w:t>B(A)</w:t>
            </w:r>
          </w:p>
        </w:tc>
      </w:tr>
      <w:tr w14:paraId="11DF6A2D">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668" w:type="pct"/>
            <w:vAlign w:val="center"/>
          </w:tcPr>
          <w:p w14:paraId="30D1A052">
            <w:pPr>
              <w:jc w:val="center"/>
              <w:rPr>
                <w:rFonts w:ascii="Times New Roman" w:hAnsi="Times New Roman" w:eastAsia="宋体" w:cs="Times New Roman"/>
                <w:szCs w:val="22"/>
              </w:rPr>
            </w:pPr>
            <w:r>
              <w:rPr>
                <w:rFonts w:hint="eastAsia" w:ascii="Times New Roman" w:hAnsi="Times New Roman" w:eastAsia="宋体" w:cs="Times New Roman"/>
                <w:szCs w:val="22"/>
              </w:rPr>
              <w:t>隔声罩</w:t>
            </w:r>
          </w:p>
        </w:tc>
        <w:tc>
          <w:tcPr>
            <w:tcW w:w="1770" w:type="pct"/>
            <w:vAlign w:val="center"/>
          </w:tcPr>
          <w:p w14:paraId="4742833D">
            <w:pPr>
              <w:jc w:val="center"/>
              <w:rPr>
                <w:rFonts w:ascii="Times New Roman" w:hAnsi="Times New Roman" w:eastAsia="宋体" w:cs="Times New Roman"/>
                <w:szCs w:val="22"/>
              </w:rPr>
            </w:pPr>
            <w:r>
              <w:rPr>
                <w:rFonts w:hint="eastAsia" w:ascii="Times New Roman" w:hAnsi="Times New Roman" w:eastAsia="宋体" w:cs="Times New Roman"/>
                <w:szCs w:val="22"/>
              </w:rPr>
              <w:t>小型可移动高噪声施工设备</w:t>
            </w:r>
          </w:p>
        </w:tc>
        <w:tc>
          <w:tcPr>
            <w:tcW w:w="1560" w:type="pct"/>
            <w:vAlign w:val="center"/>
          </w:tcPr>
          <w:p w14:paraId="0472A0B5">
            <w:pPr>
              <w:jc w:val="center"/>
              <w:rPr>
                <w:rFonts w:ascii="Times New Roman" w:hAnsi="Times New Roman" w:eastAsia="宋体" w:cs="Times New Roman"/>
                <w:szCs w:val="22"/>
              </w:rPr>
            </w:pPr>
            <w:r>
              <w:rPr>
                <w:rFonts w:hint="eastAsia" w:ascii="Times New Roman" w:hAnsi="Times New Roman" w:eastAsia="宋体" w:cs="Times New Roman"/>
                <w:szCs w:val="22"/>
              </w:rPr>
              <w:t>综合降噪量不宜低于1</w:t>
            </w:r>
            <w:r>
              <w:rPr>
                <w:rFonts w:ascii="Times New Roman" w:hAnsi="Times New Roman" w:eastAsia="宋体" w:cs="Times New Roman"/>
                <w:szCs w:val="22"/>
              </w:rPr>
              <w:t>0</w:t>
            </w:r>
          </w:p>
        </w:tc>
      </w:tr>
      <w:tr w14:paraId="52824CC3">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668" w:type="pct"/>
            <w:vAlign w:val="center"/>
          </w:tcPr>
          <w:p w14:paraId="7CBE36FB">
            <w:pPr>
              <w:jc w:val="center"/>
              <w:rPr>
                <w:rFonts w:ascii="Times New Roman" w:hAnsi="Times New Roman" w:eastAsia="宋体" w:cs="Times New Roman"/>
                <w:szCs w:val="22"/>
              </w:rPr>
            </w:pPr>
            <w:r>
              <w:rPr>
                <w:rFonts w:hint="eastAsia" w:ascii="Times New Roman" w:hAnsi="Times New Roman" w:eastAsia="宋体" w:cs="Times New Roman"/>
                <w:szCs w:val="22"/>
              </w:rPr>
              <w:t>隔声房</w:t>
            </w:r>
          </w:p>
        </w:tc>
        <w:tc>
          <w:tcPr>
            <w:tcW w:w="1770" w:type="pct"/>
            <w:vAlign w:val="center"/>
          </w:tcPr>
          <w:p w14:paraId="56CAAFBF">
            <w:pPr>
              <w:jc w:val="center"/>
              <w:rPr>
                <w:rFonts w:ascii="Times New Roman" w:hAnsi="Times New Roman" w:eastAsia="宋体" w:cs="Times New Roman"/>
                <w:szCs w:val="22"/>
              </w:rPr>
            </w:pPr>
            <w:r>
              <w:rPr>
                <w:rFonts w:hint="eastAsia" w:ascii="Times New Roman" w:hAnsi="Times New Roman" w:eastAsia="宋体" w:cs="Times New Roman"/>
                <w:szCs w:val="22"/>
              </w:rPr>
              <w:t>位置固定的空压机、发电机等高噪声施工设备</w:t>
            </w:r>
          </w:p>
        </w:tc>
        <w:tc>
          <w:tcPr>
            <w:tcW w:w="1560" w:type="pct"/>
            <w:vAlign w:val="center"/>
          </w:tcPr>
          <w:p w14:paraId="69251A64">
            <w:pPr>
              <w:jc w:val="center"/>
              <w:rPr>
                <w:rFonts w:ascii="Times New Roman" w:hAnsi="Times New Roman" w:eastAsia="宋体" w:cs="Times New Roman"/>
                <w:szCs w:val="22"/>
              </w:rPr>
            </w:pPr>
            <w:r>
              <w:rPr>
                <w:rFonts w:hint="eastAsia" w:ascii="Times New Roman" w:hAnsi="Times New Roman" w:eastAsia="宋体" w:cs="Times New Roman"/>
                <w:szCs w:val="22"/>
              </w:rPr>
              <w:t>综合降噪量不宜低于</w:t>
            </w:r>
            <w:r>
              <w:rPr>
                <w:rFonts w:ascii="Times New Roman" w:hAnsi="Times New Roman" w:eastAsia="宋体" w:cs="Times New Roman"/>
                <w:szCs w:val="22"/>
              </w:rPr>
              <w:t>20</w:t>
            </w:r>
          </w:p>
        </w:tc>
      </w:tr>
      <w:tr w14:paraId="1672FD56">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668" w:type="pct"/>
            <w:vAlign w:val="center"/>
          </w:tcPr>
          <w:p w14:paraId="3DC613D4">
            <w:pPr>
              <w:jc w:val="center"/>
              <w:rPr>
                <w:rFonts w:ascii="Times New Roman" w:hAnsi="Times New Roman" w:eastAsia="宋体" w:cs="Times New Roman"/>
                <w:szCs w:val="22"/>
              </w:rPr>
            </w:pPr>
            <w:r>
              <w:rPr>
                <w:rFonts w:hint="eastAsia" w:ascii="Times New Roman" w:hAnsi="Times New Roman" w:eastAsia="宋体" w:cs="Times New Roman"/>
                <w:szCs w:val="22"/>
              </w:rPr>
              <w:t>施工围挡或移动式声屏障</w:t>
            </w:r>
          </w:p>
        </w:tc>
        <w:tc>
          <w:tcPr>
            <w:tcW w:w="1770" w:type="pct"/>
            <w:vAlign w:val="center"/>
          </w:tcPr>
          <w:p w14:paraId="2DE7F00C">
            <w:pPr>
              <w:jc w:val="center"/>
              <w:rPr>
                <w:rFonts w:ascii="Times New Roman" w:hAnsi="Times New Roman" w:eastAsia="宋体" w:cs="Times New Roman"/>
                <w:szCs w:val="22"/>
              </w:rPr>
            </w:pPr>
            <w:r>
              <w:rPr>
                <w:rFonts w:hint="eastAsia" w:ascii="Times New Roman" w:hAnsi="Times New Roman" w:eastAsia="宋体" w:cs="Times New Roman"/>
                <w:szCs w:val="22"/>
              </w:rPr>
              <w:t>施工场地</w:t>
            </w:r>
          </w:p>
        </w:tc>
        <w:tc>
          <w:tcPr>
            <w:tcW w:w="1560" w:type="pct"/>
            <w:vAlign w:val="center"/>
          </w:tcPr>
          <w:p w14:paraId="379AC43A">
            <w:pPr>
              <w:jc w:val="center"/>
              <w:rPr>
                <w:rFonts w:ascii="Times New Roman" w:hAnsi="Times New Roman" w:eastAsia="宋体" w:cs="Times New Roman"/>
                <w:szCs w:val="22"/>
              </w:rPr>
            </w:pPr>
            <w:r>
              <w:rPr>
                <w:rFonts w:hint="eastAsia" w:ascii="Times New Roman" w:hAnsi="Times New Roman" w:eastAsia="宋体" w:cs="Times New Roman"/>
                <w:szCs w:val="22"/>
              </w:rPr>
              <w:t>计权隔声量不宜低于26</w:t>
            </w:r>
          </w:p>
        </w:tc>
      </w:tr>
    </w:tbl>
    <w:p w14:paraId="4F30EB02">
      <w:pPr>
        <w:rPr>
          <w:rFonts w:ascii="Times New Roman" w:hAnsi="Times New Roman" w:eastAsia="宋体" w:cs="Times New Roman"/>
          <w:sz w:val="24"/>
          <w:szCs w:val="22"/>
        </w:rPr>
      </w:pPr>
    </w:p>
    <w:p w14:paraId="10873E2E">
      <w:pPr>
        <w:spacing w:line="300" w:lineRule="auto"/>
        <w:ind w:firstLine="480" w:firstLineChars="200"/>
        <w:rPr>
          <w:rFonts w:ascii="Times New Roman" w:hAnsi="Times New Roman" w:eastAsia="宋体" w:cs="Times New Roman"/>
          <w:sz w:val="24"/>
          <w:szCs w:val="22"/>
        </w:rPr>
      </w:pPr>
      <w:r>
        <w:rPr>
          <w:rFonts w:ascii="Times New Roman" w:hAnsi="宋体" w:eastAsia="宋体" w:cs="Times New Roman"/>
          <w:sz w:val="24"/>
          <w:szCs w:val="20"/>
        </w:rPr>
        <w:t>根据表</w:t>
      </w:r>
      <w:r>
        <w:rPr>
          <w:rFonts w:hint="eastAsia" w:ascii="Times New Roman" w:hAnsi="宋体" w:eastAsia="宋体" w:cs="Times New Roman"/>
          <w:bCs/>
          <w:sz w:val="24"/>
          <w:szCs w:val="20"/>
        </w:rPr>
        <w:t>4.1-4</w:t>
      </w:r>
      <w:r>
        <w:rPr>
          <w:rFonts w:ascii="Times New Roman" w:hAnsi="宋体" w:eastAsia="宋体" w:cs="Times New Roman"/>
          <w:sz w:val="24"/>
          <w:szCs w:val="20"/>
        </w:rPr>
        <w:t>预测结果，在</w:t>
      </w:r>
      <w:r>
        <w:rPr>
          <w:rFonts w:hint="eastAsia" w:ascii="Times New Roman" w:hAnsi="宋体" w:eastAsia="宋体" w:cs="Times New Roman"/>
          <w:sz w:val="24"/>
          <w:szCs w:val="20"/>
        </w:rPr>
        <w:t>不</w:t>
      </w:r>
      <w:r>
        <w:rPr>
          <w:rFonts w:ascii="Times New Roman" w:hAnsi="宋体" w:eastAsia="宋体" w:cs="Times New Roman"/>
          <w:sz w:val="24"/>
          <w:szCs w:val="20"/>
        </w:rPr>
        <w:t>考虑房屋、地形等遮挡情况下，公路沿线两侧评价范围内昼、夜间</w:t>
      </w:r>
      <w:r>
        <w:rPr>
          <w:rFonts w:hint="eastAsia" w:ascii="Times New Roman" w:hAnsi="Times New Roman" w:eastAsia="宋体" w:cs="Times New Roman"/>
          <w:sz w:val="24"/>
          <w:szCs w:val="20"/>
        </w:rPr>
        <w:t>29</w:t>
      </w:r>
      <w:r>
        <w:rPr>
          <w:rFonts w:ascii="Times New Roman" w:hAnsi="宋体" w:eastAsia="宋体" w:cs="Times New Roman"/>
          <w:sz w:val="24"/>
          <w:szCs w:val="20"/>
        </w:rPr>
        <w:t>处声环境保护目标均超标。其中，路基施工阶段机械设备施工时，声环境保护目标昼间最大超标</w:t>
      </w:r>
      <w:r>
        <w:rPr>
          <w:rFonts w:hint="eastAsia" w:ascii="Times New Roman" w:hAnsi="宋体" w:eastAsia="宋体" w:cs="Times New Roman"/>
          <w:sz w:val="24"/>
          <w:szCs w:val="20"/>
        </w:rPr>
        <w:t>18.9</w:t>
      </w:r>
      <w:r>
        <w:rPr>
          <w:rFonts w:ascii="Times New Roman" w:hAnsi="宋体" w:eastAsia="宋体" w:cs="Times New Roman"/>
          <w:sz w:val="24"/>
          <w:szCs w:val="20"/>
        </w:rPr>
        <w:t>dB，夜间最大超标</w:t>
      </w:r>
      <w:r>
        <w:rPr>
          <w:rFonts w:hint="eastAsia" w:ascii="Times New Roman" w:hAnsi="宋体" w:eastAsia="宋体" w:cs="Times New Roman"/>
          <w:sz w:val="24"/>
          <w:szCs w:val="20"/>
        </w:rPr>
        <w:t>31.4</w:t>
      </w:r>
      <w:r>
        <w:rPr>
          <w:rFonts w:ascii="Times New Roman" w:hAnsi="宋体" w:eastAsia="宋体" w:cs="Times New Roman"/>
          <w:sz w:val="24"/>
          <w:szCs w:val="20"/>
        </w:rPr>
        <w:t>dB；路面施工时，声环境保护目标昼间最大超标</w:t>
      </w:r>
      <w:r>
        <w:rPr>
          <w:rFonts w:hint="eastAsia" w:ascii="Times New Roman" w:hAnsi="宋体" w:eastAsia="宋体" w:cs="Times New Roman"/>
          <w:sz w:val="24"/>
          <w:szCs w:val="20"/>
        </w:rPr>
        <w:t>13.9</w:t>
      </w:r>
      <w:r>
        <w:rPr>
          <w:rFonts w:ascii="Times New Roman" w:hAnsi="宋体" w:eastAsia="宋体" w:cs="Times New Roman"/>
          <w:sz w:val="24"/>
          <w:szCs w:val="20"/>
        </w:rPr>
        <w:t>dB，夜间最大超标</w:t>
      </w:r>
      <w:r>
        <w:rPr>
          <w:rFonts w:hint="eastAsia" w:ascii="Times New Roman" w:hAnsi="宋体" w:eastAsia="宋体" w:cs="Times New Roman"/>
          <w:sz w:val="24"/>
          <w:szCs w:val="20"/>
        </w:rPr>
        <w:t>26.5</w:t>
      </w:r>
      <w:r>
        <w:rPr>
          <w:rFonts w:ascii="Times New Roman" w:hAnsi="宋体" w:eastAsia="宋体" w:cs="Times New Roman"/>
          <w:sz w:val="24"/>
          <w:szCs w:val="20"/>
        </w:rPr>
        <w:t>dB。</w:t>
      </w:r>
      <w:r>
        <w:rPr>
          <w:rFonts w:hint="eastAsia" w:ascii="Times New Roman" w:hAnsi="Times New Roman" w:eastAsia="宋体" w:cs="Times New Roman"/>
          <w:sz w:val="24"/>
          <w:szCs w:val="22"/>
        </w:rPr>
        <w:t>为有效控制噪声，必须采取综合降噪措施：各施工环节严禁在夜间（24:00至次日08:00）进行产生环境噪声污染的作业，若工艺要求必须连续夜间作业，须提前向主管部门办理手续并获批准；在管理上，应优化施工工艺与设备选型，对超标量达20dB以上的保护目标，宜在施工场界围挡内侧加装吸声板材或加高隔声围挡（声屏障），其计权隔声量不宜低于26dB。此外，实际地形和建筑物遮挡会使噪声影响小于预测值。</w:t>
      </w:r>
    </w:p>
    <w:p w14:paraId="71FB0CC4">
      <w:pPr>
        <w:spacing w:line="300" w:lineRule="auto"/>
        <w:ind w:firstLine="480" w:firstLineChars="200"/>
        <w:rPr>
          <w:rFonts w:ascii="Times New Roman" w:hAnsi="宋体" w:eastAsia="宋体" w:cs="Times New Roman"/>
          <w:sz w:val="24"/>
        </w:rPr>
      </w:pPr>
      <w:r>
        <w:rPr>
          <w:rFonts w:ascii="Times New Roman" w:hAnsi="宋体" w:eastAsia="宋体" w:cs="Times New Roman"/>
          <w:sz w:val="24"/>
          <w:szCs w:val="20"/>
        </w:rPr>
        <w:t>拟建项目建设时间虽然较长，但对固定路段而言施工时间要短得多；另外，前面的受影响范围是以施工机械高负荷噪声并考虑施工机械叠加进行推算的，因此实际施工噪声的影响程度应比推算值低一些。通过采取严格控制作业时间</w:t>
      </w:r>
      <w:r>
        <w:rPr>
          <w:rFonts w:hint="eastAsia" w:ascii="Times New Roman" w:hAnsi="宋体" w:eastAsia="宋体" w:cs="Times New Roman"/>
          <w:sz w:val="24"/>
          <w:szCs w:val="20"/>
        </w:rPr>
        <w:t>、</w:t>
      </w:r>
      <w:r>
        <w:rPr>
          <w:rFonts w:ascii="Times New Roman" w:hAnsi="宋体" w:eastAsia="宋体" w:cs="Times New Roman"/>
          <w:sz w:val="24"/>
          <w:szCs w:val="20"/>
        </w:rPr>
        <w:t>选择低噪声设备</w:t>
      </w:r>
      <w:r>
        <w:rPr>
          <w:rFonts w:hint="eastAsia" w:ascii="Times New Roman" w:hAnsi="宋体" w:eastAsia="宋体" w:cs="Times New Roman"/>
          <w:sz w:val="24"/>
          <w:szCs w:val="20"/>
        </w:rPr>
        <w:t>、</w:t>
      </w:r>
      <w:r>
        <w:rPr>
          <w:rFonts w:ascii="Times New Roman" w:hAnsi="宋体" w:eastAsia="宋体" w:cs="Times New Roman"/>
          <w:sz w:val="24"/>
          <w:szCs w:val="20"/>
        </w:rPr>
        <w:t>合理布置施工机械位置</w:t>
      </w:r>
      <w:r>
        <w:rPr>
          <w:rFonts w:hint="eastAsia" w:ascii="Times New Roman" w:hAnsi="宋体" w:eastAsia="宋体" w:cs="Times New Roman"/>
          <w:sz w:val="24"/>
          <w:szCs w:val="20"/>
        </w:rPr>
        <w:t>、</w:t>
      </w:r>
      <w:r>
        <w:rPr>
          <w:rFonts w:ascii="Times New Roman" w:hAnsi="宋体" w:eastAsia="宋体" w:cs="Times New Roman"/>
          <w:sz w:val="24"/>
          <w:szCs w:val="20"/>
        </w:rPr>
        <w:t>临时围挡等</w:t>
      </w:r>
      <w:r>
        <w:rPr>
          <w:rFonts w:ascii="Times New Roman" w:hAnsi="宋体" w:eastAsia="宋体" w:cs="Times New Roman"/>
          <w:sz w:val="24"/>
        </w:rPr>
        <w:t>施工期噪声污染防治措施后，对沿线声环境影响是可控的。</w:t>
      </w:r>
    </w:p>
    <w:p w14:paraId="6E083F0F">
      <w:pPr>
        <w:spacing w:line="30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w:t>
      </w:r>
      <w:r>
        <w:rPr>
          <w:rFonts w:hint="eastAsia" w:ascii="Times New Roman" w:hAnsi="Times New Roman" w:eastAsia="宋体" w:cs="Times New Roman"/>
          <w:sz w:val="24"/>
        </w:rPr>
        <w:t>4</w:t>
      </w:r>
      <w:r>
        <w:rPr>
          <w:rFonts w:ascii="Times New Roman" w:hAnsi="Times New Roman" w:eastAsia="宋体" w:cs="Times New Roman"/>
          <w:sz w:val="24"/>
        </w:rPr>
        <w:t>)</w:t>
      </w:r>
      <w:r>
        <w:rPr>
          <w:rFonts w:hint="eastAsia" w:ascii="Times New Roman" w:hAnsi="Times New Roman" w:eastAsia="宋体" w:cs="Times New Roman"/>
          <w:sz w:val="24"/>
        </w:rPr>
        <w:t xml:space="preserve"> 施工运输车辆噪声</w:t>
      </w:r>
      <w:r>
        <w:rPr>
          <w:rFonts w:ascii="Times New Roman" w:hAnsi="Times New Roman" w:eastAsia="宋体" w:cs="Times New Roman"/>
          <w:sz w:val="24"/>
        </w:rPr>
        <w:t>影响分析</w:t>
      </w:r>
    </w:p>
    <w:p w14:paraId="2BC6CFD0">
      <w:pPr>
        <w:spacing w:line="300" w:lineRule="auto"/>
        <w:ind w:firstLine="480" w:firstLineChars="200"/>
        <w:rPr>
          <w:rFonts w:ascii="Times New Roman" w:hAnsi="Times New Roman" w:eastAsia="宋体" w:cs="Times New Roman"/>
          <w:sz w:val="24"/>
          <w:szCs w:val="20"/>
        </w:rPr>
      </w:pPr>
      <w:r>
        <w:rPr>
          <w:rFonts w:hint="eastAsia" w:ascii="Times New Roman" w:hAnsi="Times New Roman" w:eastAsia="宋体" w:cs="Times New Roman"/>
          <w:sz w:val="24"/>
          <w:szCs w:val="20"/>
        </w:rPr>
        <w:t>施工期往返于工地的重型运输车辆所产生的交通噪声将对周边声环境保护目标产生一定影响。由</w:t>
      </w:r>
      <w:r>
        <w:rPr>
          <w:rFonts w:ascii="Times New Roman" w:hAnsi="Times New Roman" w:eastAsia="宋体" w:cs="Times New Roman"/>
          <w:sz w:val="24"/>
          <w:szCs w:val="20"/>
        </w:rPr>
        <w:t>表</w:t>
      </w:r>
      <w:r>
        <w:rPr>
          <w:rFonts w:hint="eastAsia" w:ascii="Times New Roman" w:hAnsi="Times New Roman" w:eastAsia="宋体" w:cs="Times New Roman"/>
          <w:sz w:val="24"/>
          <w:szCs w:val="20"/>
        </w:rPr>
        <w:t>4.1-2可知，施工期间重型运输车辆的噪声影响显著：昼间在路侧40m处可满足4a类声环境质量标准，但夜间其影响范围延伸至200m处仍存在超标。因此，必须对重型运输车辆采取严格的噪声污染防治措施。</w:t>
      </w:r>
    </w:p>
    <w:p w14:paraId="67901D85">
      <w:pPr>
        <w:spacing w:line="300" w:lineRule="auto"/>
        <w:ind w:firstLine="480" w:firstLineChars="200"/>
        <w:rPr>
          <w:rFonts w:ascii="Times New Roman" w:hAnsi="Times New Roman" w:eastAsia="宋体" w:cs="Times New Roman"/>
          <w:sz w:val="24"/>
          <w:szCs w:val="20"/>
        </w:rPr>
      </w:pPr>
      <w:r>
        <w:rPr>
          <w:rFonts w:hint="eastAsia" w:ascii="Times New Roman" w:hAnsi="Times New Roman" w:eastAsia="宋体" w:cs="Times New Roman"/>
          <w:sz w:val="24"/>
          <w:szCs w:val="20"/>
        </w:rPr>
        <w:t>具体措施为：严禁夜间（24:00至次日8:00）进行物料运输，靠近居民区路段还应考虑避开午间休息时段；在路径规划上须主动避让居民区、学校、医院等敏感目标集中路段，尽可能利用现有交通干道绕行。在车辆本身方面，应优先选用低噪声车型，积极推广新能源重型运输车，并对现有车辆加强保养，确保车况良好。在行驶过程中，通过敏感路段时实行限速、禁止鸣笛，同时对物料进行有效苫盖、装载平稳，减少颠簸与碰撞噪声。此外，还应在运输沿线声环境保护目标设立噪声监测点，加强巡查与监管，并提前公告运输安排，建立公众沟通与投诉反馈渠道。通过落实以上综合措施，可最大限度降低运输车辆噪声对周边声环境的影响。</w:t>
      </w:r>
    </w:p>
    <w:p w14:paraId="0BF7B049">
      <w:pPr>
        <w:spacing w:line="30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w:t>
      </w:r>
      <w:r>
        <w:rPr>
          <w:rFonts w:hint="eastAsia" w:ascii="Times New Roman" w:hAnsi="Times New Roman" w:eastAsia="宋体" w:cs="Times New Roman"/>
          <w:sz w:val="24"/>
        </w:rPr>
        <w:t>5</w:t>
      </w:r>
      <w:r>
        <w:rPr>
          <w:rFonts w:ascii="Times New Roman" w:hAnsi="Times New Roman" w:eastAsia="宋体" w:cs="Times New Roman"/>
          <w:sz w:val="24"/>
        </w:rPr>
        <w:t>)</w:t>
      </w:r>
      <w:r>
        <w:rPr>
          <w:rFonts w:hint="eastAsia" w:ascii="Times New Roman" w:hAnsi="Times New Roman" w:eastAsia="宋体" w:cs="Times New Roman"/>
          <w:sz w:val="24"/>
        </w:rPr>
        <w:t xml:space="preserve"> 大临工程</w:t>
      </w:r>
      <w:r>
        <w:rPr>
          <w:rFonts w:ascii="Times New Roman" w:hAnsi="Times New Roman" w:eastAsia="宋体" w:cs="Times New Roman"/>
          <w:sz w:val="24"/>
        </w:rPr>
        <w:t>噪声影响分析</w:t>
      </w:r>
    </w:p>
    <w:p w14:paraId="4AF03796">
      <w:pPr>
        <w:spacing w:line="300"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拟建公路可能产生噪声影响的大临工程主要包括预制梁场、拌合站和钢筋加工场，经核实2处施工场站厂界外</w:t>
      </w:r>
      <w:r>
        <w:rPr>
          <w:rFonts w:ascii="Times New Roman" w:hAnsi="Times New Roman" w:eastAsia="宋体" w:cs="Times New Roman"/>
          <w:sz w:val="24"/>
        </w:rPr>
        <w:t>200m</w:t>
      </w:r>
      <w:r>
        <w:rPr>
          <w:rFonts w:hint="eastAsia" w:ascii="Times New Roman" w:hAnsi="Times New Roman" w:eastAsia="宋体" w:cs="Times New Roman"/>
          <w:sz w:val="24"/>
        </w:rPr>
        <w:t>内无声环境保护目标分布，</w:t>
      </w:r>
      <w:r>
        <w:rPr>
          <w:rFonts w:hint="eastAsia" w:ascii="Times New Roman" w:hAnsi="Times New Roman" w:eastAsia="宋体" w:cs="Times New Roman"/>
          <w:sz w:val="24"/>
          <w:szCs w:val="20"/>
        </w:rPr>
        <w:t>对周边声环境影响较小。</w:t>
      </w:r>
    </w:p>
    <w:p w14:paraId="6737E370">
      <w:pPr>
        <w:spacing w:line="300" w:lineRule="auto"/>
        <w:ind w:firstLine="523" w:firstLineChars="218"/>
        <w:rPr>
          <w:rFonts w:ascii="Times New Roman" w:hAnsi="Times New Roman" w:eastAsia="宋体" w:cs="Times New Roman"/>
          <w:sz w:val="24"/>
        </w:rPr>
      </w:pPr>
      <w:r>
        <w:rPr>
          <w:rFonts w:ascii="Times New Roman" w:hAnsi="宋体" w:eastAsia="宋体" w:cs="Times New Roman"/>
          <w:sz w:val="24"/>
        </w:rPr>
        <w:t>总体上看，公路施工噪声是社会发展过程中的短期污染行为，影响时间短，但是作为建设施工单位为保护沿线居民的正常生活和休息，应合理地安排施工进度和时间，文明施工、环保施工，并采取必要的噪声控制措施，降低施工噪声对环境的影响。</w:t>
      </w:r>
    </w:p>
    <w:p w14:paraId="7626AE2A">
      <w:pPr>
        <w:keepNext/>
        <w:keepLines/>
        <w:widowControl w:val="0"/>
        <w:adjustRightInd w:val="0"/>
        <w:spacing w:before="240" w:after="240" w:line="240" w:lineRule="auto"/>
        <w:jc w:val="both"/>
        <w:textAlignment w:val="baseline"/>
        <w:outlineLvl w:val="1"/>
        <w:rPr>
          <w:rFonts w:ascii="Times New Roman" w:hAnsi="Times New Roman" w:eastAsia="宋体" w:cs="Times New Roman"/>
          <w:b/>
          <w:bCs/>
          <w:kern w:val="0"/>
          <w:sz w:val="28"/>
          <w:szCs w:val="32"/>
          <w:lang w:val="en-US" w:eastAsia="zh-CN" w:bidi="ar-SA"/>
        </w:rPr>
      </w:pPr>
      <w:r>
        <w:rPr>
          <w:rFonts w:ascii="Times New Roman" w:hAnsi="Times New Roman" w:eastAsia="宋体" w:cs="Times New Roman"/>
          <w:b/>
          <w:bCs/>
          <w:kern w:val="0"/>
          <w:sz w:val="28"/>
          <w:szCs w:val="32"/>
          <w:lang w:val="en-US" w:eastAsia="zh-CN" w:bidi="ar-SA"/>
        </w:rPr>
        <w:t>4.2 营运期声环境影响评价</w:t>
      </w:r>
      <w:bookmarkEnd w:id="219"/>
    </w:p>
    <w:p w14:paraId="74C54F88">
      <w:pPr>
        <w:spacing w:line="300" w:lineRule="auto"/>
        <w:ind w:firstLine="480" w:firstLineChars="200"/>
        <w:rPr>
          <w:rFonts w:ascii="Times New Roman" w:hAnsi="Times New Roman" w:eastAsia="宋体" w:cs="Times New Roman"/>
          <w:snapToGrid w:val="0"/>
          <w:kern w:val="0"/>
          <w:sz w:val="24"/>
        </w:rPr>
      </w:pPr>
      <w:r>
        <w:rPr>
          <w:rFonts w:ascii="Times New Roman" w:hAnsi="Times New Roman" w:eastAsia="宋体" w:cs="Times New Roman"/>
          <w:snapToGrid w:val="0"/>
          <w:kern w:val="0"/>
          <w:sz w:val="24"/>
        </w:rPr>
        <w:t>1. 公路交通噪声预测模式</w:t>
      </w:r>
    </w:p>
    <w:p w14:paraId="61C937A0">
      <w:pPr>
        <w:spacing w:line="300"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根据拟建公路工程特点、沿线的环境特征，以及工程设计的交通量等因素，本评价采用《环境影响评价技术导则 公路建设项目》（HJ</w:t>
      </w:r>
      <w:r>
        <w:rPr>
          <w:rFonts w:ascii="Times New Roman" w:hAnsi="Times New Roman" w:eastAsia="宋体" w:cs="Times New Roman"/>
          <w:sz w:val="24"/>
        </w:rPr>
        <w:t>1358</w:t>
      </w:r>
      <w:r>
        <w:rPr>
          <w:rFonts w:hint="eastAsia" w:ascii="Times New Roman" w:hAnsi="Times New Roman" w:eastAsia="宋体" w:cs="Times New Roman"/>
          <w:sz w:val="24"/>
        </w:rPr>
        <w:t>-20</w:t>
      </w:r>
      <w:r>
        <w:rPr>
          <w:rFonts w:ascii="Times New Roman" w:hAnsi="Times New Roman" w:eastAsia="宋体" w:cs="Times New Roman"/>
          <w:sz w:val="24"/>
        </w:rPr>
        <w:t>24</w:t>
      </w:r>
      <w:r>
        <w:rPr>
          <w:rFonts w:hint="eastAsia" w:ascii="Times New Roman" w:hAnsi="Times New Roman" w:eastAsia="宋体" w:cs="Times New Roman"/>
          <w:sz w:val="24"/>
        </w:rPr>
        <w:t>）中的公路噪声预测模式进行预测。</w:t>
      </w:r>
    </w:p>
    <w:p w14:paraId="033E73D5">
      <w:pPr>
        <w:spacing w:line="300" w:lineRule="auto"/>
        <w:ind w:firstLine="480" w:firstLineChars="200"/>
        <w:rPr>
          <w:rFonts w:ascii="Times New Roman" w:hAnsi="Times New Roman" w:eastAsia="宋体" w:cs="Times New Roman"/>
          <w:sz w:val="24"/>
        </w:rPr>
      </w:pPr>
      <w:r>
        <w:rPr>
          <w:rFonts w:ascii="Times New Roman" w:hAnsi="Times New Roman" w:cs="Times New Roman" w:eastAsiaTheme="minorEastAsia"/>
          <w:sz w:val="24"/>
        </w:rPr>
        <w:t>(1)</w:t>
      </w:r>
      <w:r>
        <w:rPr>
          <w:rFonts w:hint="eastAsia" w:ascii="Times New Roman" w:hAnsi="Times New Roman" w:cs="Times New Roman" w:eastAsiaTheme="minorEastAsia"/>
          <w:sz w:val="24"/>
        </w:rPr>
        <w:t xml:space="preserve"> </w:t>
      </w:r>
      <w:r>
        <w:rPr>
          <w:rFonts w:hint="eastAsia" w:ascii="Times New Roman" w:hAnsi="Times New Roman" w:eastAsia="宋体" w:cs="Times New Roman"/>
          <w:sz w:val="24"/>
        </w:rPr>
        <w:t>第i类车等效声级的预测模型</w:t>
      </w:r>
      <w:r>
        <w:rPr>
          <w:rFonts w:ascii="Times New Roman" w:hAnsi="Times New Roman" w:eastAsia="宋体" w:cs="Times New Roman"/>
          <w:sz w:val="24"/>
        </w:rPr>
        <w:t>：</w:t>
      </w:r>
    </w:p>
    <w:p w14:paraId="45AE3ADF">
      <w:pPr>
        <w:autoSpaceDE w:val="0"/>
        <w:autoSpaceDN w:val="0"/>
        <w:spacing w:line="300" w:lineRule="auto"/>
        <w:jc w:val="center"/>
        <w:rPr>
          <w:rFonts w:ascii="Times New Roman" w:hAnsi="Times New Roman" w:eastAsia="宋体" w:cs="Times New Roman"/>
          <w:position w:val="-32"/>
          <w:sz w:val="24"/>
        </w:rPr>
      </w:pPr>
      <w:r>
        <w:rPr>
          <w:rFonts w:ascii="Times New Roman" w:hAnsi="Times New Roman" w:eastAsia="宋体" w:cs="Times New Roman"/>
          <w:position w:val="-32"/>
          <w:sz w:val="24"/>
        </w:rPr>
        <w:object>
          <v:shape id="_x0000_i1053" o:spt="75" type="#_x0000_t75" style="height:39pt;width:321pt;" o:ole="t" filled="f" o:preferrelative="t" stroked="f" coordsize="21600,21600">
            <v:path/>
            <v:fill on="f" focussize="0,0"/>
            <v:stroke on="f" joinstyle="miter"/>
            <v:imagedata r:id="rId234" o:title=""/>
            <o:lock v:ext="edit" aspectratio="t"/>
            <w10:wrap type="none"/>
            <w10:anchorlock/>
          </v:shape>
          <o:OLEObject Type="Embed" ProgID="Equation.DSMT4" ShapeID="_x0000_i1053" DrawAspect="Content" ObjectID="_1468075753" r:id="rId233">
            <o:LockedField>false</o:LockedField>
          </o:OLEObject>
        </w:object>
      </w:r>
    </w:p>
    <w:p w14:paraId="1A0362E3">
      <w:pPr>
        <w:spacing w:line="300" w:lineRule="auto"/>
        <w:rPr>
          <w:rFonts w:ascii="Times New Roman" w:hAnsi="Times New Roman" w:eastAsia="宋体" w:cs="Times New Roman"/>
          <w:sz w:val="24"/>
        </w:rPr>
      </w:pPr>
      <w:r>
        <w:rPr>
          <w:rFonts w:ascii="Times New Roman" w:hAnsi="Times New Roman" w:eastAsia="宋体" w:cs="Times New Roman"/>
          <w:sz w:val="24"/>
        </w:rPr>
        <w:t>式中：</w:t>
      </w:r>
      <w:r>
        <w:rPr>
          <w:rFonts w:hint="eastAsia" w:ascii="Times New Roman" w:hAnsi="Times New Roman" w:eastAsia="宋体" w:cs="Times New Roman"/>
          <w:sz w:val="24"/>
        </w:rPr>
        <w:t>式中：</w:t>
      </w:r>
      <w:r>
        <w:rPr>
          <w:rFonts w:hint="eastAsia" w:ascii="Times New Roman" w:hAnsi="Times New Roman" w:eastAsia="宋体" w:cs="Times New Roman"/>
          <w:i/>
          <w:iCs/>
          <w:sz w:val="24"/>
        </w:rPr>
        <w:t>L</w:t>
      </w:r>
      <w:r>
        <w:rPr>
          <w:rFonts w:hint="eastAsia" w:ascii="Times New Roman" w:hAnsi="Times New Roman" w:eastAsia="宋体" w:cs="Times New Roman"/>
          <w:sz w:val="24"/>
          <w:vertAlign w:val="subscript"/>
        </w:rPr>
        <w:t>Aeq</w:t>
      </w:r>
      <w:r>
        <w:rPr>
          <w:rFonts w:hint="eastAsia" w:ascii="Times New Roman" w:hAnsi="Times New Roman" w:eastAsia="宋体" w:cs="Times New Roman"/>
          <w:sz w:val="24"/>
        </w:rPr>
        <w:t>(</w:t>
      </w:r>
      <w:r>
        <w:rPr>
          <w:rFonts w:hint="eastAsia" w:ascii="Times New Roman" w:hAnsi="Times New Roman" w:eastAsia="宋体" w:cs="Times New Roman"/>
          <w:i/>
          <w:iCs/>
          <w:sz w:val="24"/>
        </w:rPr>
        <w:t>h</w:t>
      </w:r>
      <w:r>
        <w:rPr>
          <w:rFonts w:hint="eastAsia" w:ascii="Times New Roman" w:hAnsi="Times New Roman" w:eastAsia="宋体" w:cs="Times New Roman"/>
          <w:sz w:val="24"/>
        </w:rPr>
        <w:t>)</w:t>
      </w:r>
      <w:r>
        <w:rPr>
          <w:rFonts w:hint="eastAsia" w:ascii="Times New Roman" w:hAnsi="Times New Roman" w:eastAsia="宋体" w:cs="Times New Roman"/>
          <w:i/>
          <w:iCs/>
          <w:sz w:val="24"/>
          <w:vertAlign w:val="subscript"/>
        </w:rPr>
        <w:t>i</w:t>
      </w:r>
      <w:r>
        <w:rPr>
          <w:rFonts w:ascii="Times New Roman" w:hAnsi="Times New Roman" w:eastAsia="宋体" w:cs="Times New Roman"/>
          <w:sz w:val="24"/>
        </w:rPr>
        <w:t>——第</w:t>
      </w:r>
      <w:r>
        <w:rPr>
          <w:rFonts w:ascii="Times New Roman" w:hAnsi="Times New Roman" w:eastAsia="宋体" w:cs="Times New Roman"/>
          <w:i/>
          <w:sz w:val="24"/>
        </w:rPr>
        <w:t>i</w:t>
      </w:r>
      <w:r>
        <w:rPr>
          <w:rFonts w:ascii="Times New Roman" w:hAnsi="Times New Roman" w:eastAsia="宋体" w:cs="Times New Roman"/>
          <w:sz w:val="24"/>
        </w:rPr>
        <w:t>类车的小时等效声级，dB(A)；</w:t>
      </w:r>
    </w:p>
    <w:p w14:paraId="02E3E9C7">
      <w:pPr>
        <w:spacing w:line="300" w:lineRule="auto"/>
        <w:ind w:firstLine="720" w:firstLineChars="300"/>
        <w:rPr>
          <w:rFonts w:ascii="Times New Roman" w:hAnsi="Times New Roman" w:eastAsia="宋体" w:cs="Times New Roman"/>
          <w:sz w:val="24"/>
        </w:rPr>
      </w:pPr>
      <m:oMath>
        <m:d>
          <m:dPr>
            <m:ctrlPr>
              <w:rPr>
                <w:rFonts w:ascii="Cambria Math" w:hAnsi="Cambria Math"/>
                <w:i/>
                <w:sz w:val="24"/>
              </w:rPr>
            </m:ctrlPr>
          </m:dPr>
          <m:e>
            <m:acc>
              <m:accPr>
                <m:chr m:val="̅"/>
                <m:ctrlPr>
                  <w:rPr>
                    <w:rFonts w:ascii="Cambria Math" w:hAnsi="Cambria Math"/>
                    <w:i/>
                    <w:sz w:val="24"/>
                  </w:rPr>
                </m:ctrlPr>
              </m:accPr>
              <m:e>
                <m:sSub>
                  <m:sSubPr>
                    <m:ctrlPr>
                      <w:rPr>
                        <w:rFonts w:ascii="Cambria Math" w:hAnsi="Cambria Math"/>
                        <w:i/>
                        <w:sz w:val="24"/>
                      </w:rPr>
                    </m:ctrlPr>
                  </m:sSubPr>
                  <m:e>
                    <m:r>
                      <m:rPr/>
                      <w:rPr>
                        <w:rFonts w:ascii="Cambria Math" w:hAnsi="Cambria Math"/>
                        <w:sz w:val="24"/>
                      </w:rPr>
                      <m:t>L</m:t>
                    </m:r>
                    <m:ctrlPr>
                      <w:rPr>
                        <w:rFonts w:ascii="Cambria Math" w:hAnsi="Cambria Math"/>
                        <w:i/>
                        <w:sz w:val="24"/>
                      </w:rPr>
                    </m:ctrlPr>
                  </m:e>
                  <m:sub>
                    <m:r>
                      <m:rPr>
                        <m:sty m:val="p"/>
                      </m:rPr>
                      <w:rPr>
                        <w:rFonts w:ascii="Cambria Math" w:hAnsi="Cambria Math"/>
                        <w:sz w:val="24"/>
                      </w:rPr>
                      <m:t>0</m:t>
                    </m:r>
                    <m:r>
                      <m:rPr/>
                      <w:rPr>
                        <w:rFonts w:ascii="Cambria Math" w:hAnsi="Cambria Math" w:eastAsiaTheme="minorEastAsia"/>
                        <w:sz w:val="24"/>
                      </w:rPr>
                      <m:t>E</m:t>
                    </m:r>
                    <m:ctrlPr>
                      <w:rPr>
                        <w:rFonts w:ascii="Cambria Math" w:hAnsi="Cambria Math"/>
                        <w:i/>
                        <w:sz w:val="24"/>
                      </w:rPr>
                    </m:ctrlPr>
                  </m:sub>
                </m:sSub>
                <m:ctrlPr>
                  <w:rPr>
                    <w:rFonts w:ascii="Cambria Math" w:hAnsi="Cambria Math"/>
                    <w:i/>
                    <w:sz w:val="24"/>
                  </w:rPr>
                </m:ctrlPr>
              </m:e>
            </m:acc>
            <m:ctrlPr>
              <w:rPr>
                <w:rFonts w:ascii="Cambria Math" w:hAnsi="Cambria Math"/>
                <w:i/>
                <w:sz w:val="24"/>
              </w:rPr>
            </m:ctrlPr>
          </m:e>
        </m:d>
      </m:oMath>
      <w:r>
        <w:rPr>
          <w:rFonts w:ascii="Times New Roman" w:hAnsi="Times New Roman" w:eastAsia="宋体" w:cs="Times New Roman"/>
          <w:i/>
          <w:iCs/>
          <w:sz w:val="24"/>
          <w:vertAlign w:val="subscript"/>
        </w:rPr>
        <w:t>i</w:t>
      </w:r>
      <w:r>
        <w:rPr>
          <w:rFonts w:ascii="Times New Roman" w:hAnsi="Times New Roman" w:eastAsia="宋体" w:cs="Times New Roman"/>
          <w:sz w:val="24"/>
        </w:rPr>
        <w:t>——</w:t>
      </w:r>
      <w:r>
        <w:rPr>
          <w:rFonts w:hint="eastAsia" w:ascii="Times New Roman" w:hAnsi="Times New Roman" w:eastAsia="宋体" w:cs="Times New Roman"/>
          <w:sz w:val="24"/>
        </w:rPr>
        <w:t>距</w:t>
      </w:r>
      <w:r>
        <w:rPr>
          <w:rFonts w:ascii="Times New Roman" w:hAnsi="Times New Roman" w:eastAsia="宋体" w:cs="Times New Roman"/>
          <w:sz w:val="24"/>
        </w:rPr>
        <w:t>第</w:t>
      </w:r>
      <w:r>
        <w:rPr>
          <w:rFonts w:ascii="Times New Roman" w:hAnsi="Times New Roman" w:eastAsia="宋体" w:cs="Times New Roman"/>
          <w:i/>
          <w:sz w:val="24"/>
        </w:rPr>
        <w:t>i</w:t>
      </w:r>
      <w:r>
        <w:rPr>
          <w:rFonts w:ascii="Times New Roman" w:hAnsi="Times New Roman" w:eastAsia="宋体" w:cs="Times New Roman"/>
          <w:sz w:val="24"/>
        </w:rPr>
        <w:t>类车水平距离为7.5m处的</w:t>
      </w:r>
      <w:r>
        <w:rPr>
          <w:rFonts w:hint="eastAsia" w:ascii="Times New Roman" w:hAnsi="Times New Roman" w:eastAsia="宋体" w:cs="Times New Roman"/>
          <w:sz w:val="24"/>
        </w:rPr>
        <w:t>平均辐射噪声级</w:t>
      </w:r>
      <w:r>
        <w:rPr>
          <w:rFonts w:ascii="Times New Roman" w:hAnsi="Times New Roman" w:eastAsia="宋体" w:cs="Times New Roman"/>
          <w:sz w:val="24"/>
        </w:rPr>
        <w:t>，dB(A)；</w:t>
      </w:r>
    </w:p>
    <w:p w14:paraId="5FE4540C">
      <w:pPr>
        <w:spacing w:line="300" w:lineRule="auto"/>
        <w:ind w:firstLine="720" w:firstLineChars="300"/>
        <w:rPr>
          <w:rFonts w:asciiTheme="minorEastAsia" w:hAnsiTheme="minorEastAsia" w:eastAsiaTheme="minorEastAsia" w:cstheme="minorEastAsia"/>
          <w:position w:val="-12"/>
          <w:sz w:val="24"/>
        </w:rPr>
      </w:pPr>
      <w:r>
        <w:rPr>
          <w:rFonts w:hint="eastAsia" w:ascii="Times New Roman" w:hAnsi="Times New Roman" w:eastAsia="宋体" w:cs="Times New Roman"/>
          <w:i/>
          <w:iCs/>
          <w:position w:val="-12"/>
          <w:sz w:val="24"/>
        </w:rPr>
        <w:t>N</w:t>
      </w:r>
      <w:r>
        <w:rPr>
          <w:rFonts w:hint="eastAsia" w:ascii="Times New Roman" w:hAnsi="Times New Roman" w:eastAsia="宋体" w:cs="Times New Roman"/>
          <w:i/>
          <w:iCs/>
          <w:position w:val="-12"/>
          <w:sz w:val="24"/>
          <w:vertAlign w:val="subscript"/>
        </w:rPr>
        <w:t xml:space="preserve">i </w:t>
      </w:r>
      <w:r>
        <w:rPr>
          <w:rFonts w:ascii="Times New Roman" w:hAnsi="Times New Roman" w:eastAsia="宋体" w:cs="Times New Roman"/>
          <w:i/>
          <w:iCs/>
          <w:position w:val="-12"/>
          <w:sz w:val="24"/>
        </w:rPr>
        <w:t>——</w:t>
      </w:r>
      <w:r>
        <w:rPr>
          <w:rFonts w:hint="eastAsia" w:asciiTheme="minorEastAsia" w:hAnsiTheme="minorEastAsia" w:eastAsiaTheme="minorEastAsia" w:cstheme="minorEastAsia"/>
          <w:position w:val="-12"/>
          <w:sz w:val="24"/>
        </w:rPr>
        <w:t>昼间、夜间通过某预测点的第i类车平均小时车流量，辆/</w:t>
      </w:r>
      <w:r>
        <w:rPr>
          <w:rFonts w:ascii="Times New Roman" w:hAnsi="Times New Roman" w:cs="Times New Roman" w:eastAsiaTheme="minorEastAsia"/>
          <w:position w:val="-12"/>
          <w:sz w:val="24"/>
        </w:rPr>
        <w:t>h</w:t>
      </w:r>
      <w:r>
        <w:rPr>
          <w:rFonts w:hint="eastAsia" w:asciiTheme="minorEastAsia" w:hAnsiTheme="minorEastAsia" w:eastAsiaTheme="minorEastAsia" w:cstheme="minorEastAsia"/>
          <w:position w:val="-12"/>
          <w:sz w:val="24"/>
        </w:rPr>
        <w:t>；</w:t>
      </w:r>
    </w:p>
    <w:p w14:paraId="0063A7B2">
      <w:pPr>
        <w:spacing w:line="300" w:lineRule="auto"/>
        <w:ind w:firstLine="720" w:firstLineChars="300"/>
        <w:rPr>
          <w:rFonts w:ascii="Times New Roman" w:hAnsi="Times New Roman" w:eastAsia="宋体" w:cs="Times New Roman"/>
          <w:position w:val="-12"/>
          <w:sz w:val="24"/>
        </w:rPr>
      </w:pPr>
      <w:r>
        <w:rPr>
          <w:rFonts w:hint="eastAsia" w:ascii="Times New Roman" w:hAnsi="Times New Roman" w:eastAsia="宋体" w:cs="Times New Roman"/>
          <w:i/>
          <w:iCs/>
          <w:position w:val="-12"/>
          <w:sz w:val="24"/>
        </w:rPr>
        <w:t>V</w:t>
      </w:r>
      <w:r>
        <w:rPr>
          <w:rFonts w:hint="eastAsia" w:ascii="Times New Roman" w:hAnsi="Times New Roman" w:eastAsia="宋体" w:cs="Times New Roman"/>
          <w:i/>
          <w:iCs/>
          <w:position w:val="-12"/>
          <w:sz w:val="24"/>
          <w:vertAlign w:val="subscript"/>
        </w:rPr>
        <w:t xml:space="preserve">i </w:t>
      </w:r>
      <w:r>
        <w:rPr>
          <w:rFonts w:ascii="Times New Roman" w:hAnsi="Times New Roman" w:eastAsia="宋体" w:cs="Times New Roman"/>
          <w:i/>
          <w:iCs/>
          <w:position w:val="-12"/>
          <w:sz w:val="24"/>
        </w:rPr>
        <w:t>——</w:t>
      </w:r>
      <w:r>
        <w:rPr>
          <w:rFonts w:ascii="Times New Roman" w:hAnsi="Times New Roman" w:eastAsia="宋体" w:cs="Times New Roman"/>
          <w:position w:val="-12"/>
          <w:sz w:val="24"/>
        </w:rPr>
        <w:t>第</w:t>
      </w:r>
      <w:r>
        <w:rPr>
          <w:rFonts w:ascii="Times New Roman" w:hAnsi="Times New Roman" w:eastAsia="宋体" w:cs="Times New Roman"/>
          <w:i/>
          <w:iCs/>
          <w:position w:val="-12"/>
          <w:sz w:val="24"/>
        </w:rPr>
        <w:t>i</w:t>
      </w:r>
      <w:r>
        <w:rPr>
          <w:rFonts w:ascii="Times New Roman" w:hAnsi="Times New Roman" w:eastAsia="宋体" w:cs="Times New Roman"/>
          <w:position w:val="-12"/>
          <w:sz w:val="24"/>
        </w:rPr>
        <w:t>类车的平均车速，km/h；</w:t>
      </w:r>
    </w:p>
    <w:p w14:paraId="7295D6C0">
      <w:pPr>
        <w:spacing w:line="300" w:lineRule="auto"/>
        <w:ind w:firstLine="720" w:firstLineChars="300"/>
        <w:rPr>
          <w:rFonts w:ascii="Times New Roman" w:hAnsi="Times New Roman" w:eastAsia="宋体" w:cs="Times New Roman"/>
          <w:position w:val="-12"/>
          <w:sz w:val="24"/>
        </w:rPr>
      </w:pPr>
      <w:r>
        <w:rPr>
          <w:rFonts w:hint="eastAsia" w:ascii="Times New Roman" w:hAnsi="Times New Roman" w:eastAsia="宋体" w:cs="Times New Roman"/>
          <w:i/>
          <w:iCs/>
          <w:position w:val="-12"/>
          <w:sz w:val="24"/>
        </w:rPr>
        <w:t>T</w:t>
      </w:r>
      <w:r>
        <w:rPr>
          <w:rFonts w:ascii="Times New Roman" w:hAnsi="Times New Roman" w:eastAsia="宋体" w:cs="Times New Roman"/>
          <w:i/>
          <w:iCs/>
          <w:position w:val="-12"/>
          <w:sz w:val="24"/>
        </w:rPr>
        <w:t>——</w:t>
      </w:r>
      <w:r>
        <w:rPr>
          <w:rFonts w:ascii="Times New Roman" w:hAnsi="Times New Roman" w:eastAsia="宋体" w:cs="Times New Roman"/>
          <w:position w:val="-12"/>
          <w:sz w:val="24"/>
        </w:rPr>
        <w:t>计算等效声级的时间，1h；</w:t>
      </w:r>
    </w:p>
    <w:p w14:paraId="5B1D6710">
      <w:pPr>
        <w:spacing w:line="300" w:lineRule="auto"/>
        <w:ind w:firstLine="720" w:firstLineChars="300"/>
        <w:rPr>
          <w:rFonts w:ascii="Times New Roman" w:hAnsi="Times New Roman" w:eastAsia="宋体" w:cs="Times New Roman"/>
          <w:position w:val="-12"/>
          <w:sz w:val="24"/>
        </w:rPr>
      </w:pPr>
      <w:r>
        <w:rPr>
          <w:rFonts w:ascii="Times New Roman" w:hAnsi="Times New Roman" w:eastAsia="微软雅黑" w:cs="Times New Roman"/>
          <w:i/>
          <w:iCs/>
          <w:position w:val="-12"/>
          <w:sz w:val="24"/>
        </w:rPr>
        <w:t>∆</w:t>
      </w:r>
      <w:r>
        <w:rPr>
          <w:rFonts w:ascii="Times New Roman" w:hAnsi="Times New Roman" w:eastAsia="宋体" w:cs="Times New Roman"/>
          <w:i/>
          <w:iCs/>
          <w:position w:val="-12"/>
          <w:sz w:val="24"/>
        </w:rPr>
        <w:t>L</w:t>
      </w:r>
      <w:r>
        <w:rPr>
          <w:rFonts w:hint="eastAsia" w:ascii="Times New Roman" w:hAnsi="Times New Roman" w:eastAsia="宋体" w:cs="Times New Roman"/>
          <w:position w:val="-12"/>
          <w:sz w:val="24"/>
          <w:vertAlign w:val="subscript"/>
        </w:rPr>
        <w:t>距离</w:t>
      </w:r>
      <w:r>
        <w:rPr>
          <w:rFonts w:ascii="Times New Roman" w:hAnsi="Times New Roman" w:eastAsia="宋体" w:cs="Times New Roman"/>
          <w:i/>
          <w:iCs/>
          <w:position w:val="-12"/>
          <w:sz w:val="24"/>
        </w:rPr>
        <w:t>——</w:t>
      </w:r>
      <w:r>
        <w:rPr>
          <w:rFonts w:ascii="Times New Roman" w:hAnsi="Times New Roman" w:eastAsia="宋体" w:cs="Times New Roman"/>
          <w:position w:val="-12"/>
          <w:sz w:val="24"/>
        </w:rPr>
        <w:t>距离衰减量，dB(A)；</w:t>
      </w:r>
    </w:p>
    <w:p w14:paraId="330419B9">
      <w:pPr>
        <w:spacing w:line="300" w:lineRule="auto"/>
        <w:ind w:firstLine="720" w:firstLineChars="300"/>
        <w:rPr>
          <w:rFonts w:ascii="Times New Roman" w:hAnsi="Times New Roman" w:eastAsia="宋体" w:cs="Times New Roman"/>
          <w:position w:val="-12"/>
          <w:sz w:val="24"/>
        </w:rPr>
      </w:pPr>
      <w:r>
        <w:rPr>
          <w:rFonts w:ascii="Times New Roman" w:hAnsi="Times New Roman" w:eastAsia="宋体" w:cs="Times New Roman"/>
          <w:i/>
          <w:iCs/>
          <w:position w:val="-12"/>
          <w:sz w:val="24"/>
        </w:rPr>
        <w:t>θ——</w:t>
      </w:r>
      <w:r>
        <w:rPr>
          <w:rFonts w:ascii="Times New Roman" w:hAnsi="Times New Roman" w:eastAsia="宋体" w:cs="Times New Roman"/>
          <w:position w:val="-12"/>
          <w:sz w:val="24"/>
        </w:rPr>
        <w:t>预测点到有限长路段两端的张角，弧度，见图4.2-1；</w:t>
      </w:r>
    </w:p>
    <w:p w14:paraId="14F05B5F">
      <w:pPr>
        <w:spacing w:line="300" w:lineRule="auto"/>
        <w:ind w:firstLine="720" w:firstLineChars="300"/>
        <w:rPr>
          <w:rFonts w:ascii="Times New Roman" w:hAnsi="Times New Roman" w:eastAsia="宋体" w:cs="Times New Roman"/>
          <w:position w:val="-12"/>
          <w:sz w:val="24"/>
        </w:rPr>
      </w:pPr>
      <w:r>
        <w:rPr>
          <w:rFonts w:ascii="Times New Roman" w:hAnsi="Times New Roman" w:eastAsia="微软雅黑" w:cs="Times New Roman"/>
          <w:i/>
          <w:iCs/>
          <w:position w:val="-12"/>
          <w:sz w:val="24"/>
        </w:rPr>
        <w:t>∆</w:t>
      </w:r>
      <w:r>
        <w:rPr>
          <w:rFonts w:ascii="Times New Roman" w:hAnsi="Times New Roman" w:eastAsia="宋体" w:cs="Times New Roman"/>
          <w:i/>
          <w:iCs/>
          <w:position w:val="-12"/>
          <w:sz w:val="24"/>
        </w:rPr>
        <w:t>L——</w:t>
      </w:r>
      <w:r>
        <w:rPr>
          <w:rFonts w:ascii="Times New Roman" w:hAnsi="Times New Roman" w:eastAsia="宋体" w:cs="Times New Roman"/>
          <w:position w:val="-12"/>
          <w:sz w:val="24"/>
        </w:rPr>
        <w:t>由其它因素引起的修正量，dB(A)。</w:t>
      </w:r>
    </w:p>
    <w:p w14:paraId="20B0B5B2">
      <w:pPr>
        <w:spacing w:line="300" w:lineRule="auto"/>
        <w:ind w:firstLine="480" w:firstLineChars="200"/>
        <w:rPr>
          <w:rFonts w:ascii="Times New Roman" w:hAnsi="Times New Roman" w:eastAsia="宋体" w:cs="Times New Roman"/>
          <w:bCs/>
          <w:position w:val="-10"/>
          <w:sz w:val="24"/>
        </w:rPr>
      </w:pPr>
      <w:r>
        <w:rPr>
          <w:rFonts w:ascii="Times New Roman" w:hAnsi="Times New Roman" w:eastAsia="宋体" w:cs="Times New Roman"/>
          <w:sz w:val="24"/>
        </w:rPr>
        <w:t>∆</w:t>
      </w:r>
      <w:r>
        <w:rPr>
          <w:rFonts w:ascii="Times New Roman" w:hAnsi="Times New Roman" w:eastAsia="宋体" w:cs="Times New Roman"/>
          <w:i/>
          <w:iCs/>
          <w:sz w:val="24"/>
        </w:rPr>
        <w:t>L</w:t>
      </w:r>
      <w:r>
        <w:rPr>
          <w:rFonts w:hint="eastAsia" w:ascii="Times New Roman" w:hAnsi="Times New Roman" w:eastAsia="宋体" w:cs="Times New Roman"/>
          <w:sz w:val="24"/>
          <w:vertAlign w:val="subscript"/>
        </w:rPr>
        <w:t>距离</w:t>
      </w:r>
      <w:r>
        <w:rPr>
          <w:rFonts w:hint="eastAsia" w:ascii="Times New Roman" w:hAnsi="Times New Roman" w:eastAsia="宋体" w:cs="Times New Roman"/>
          <w:bCs/>
          <w:sz w:val="24"/>
        </w:rPr>
        <w:t>按公式计算：</w:t>
      </w:r>
    </w:p>
    <w:p w14:paraId="050B5B3C">
      <w:pPr>
        <w:jc w:val="center"/>
        <w:rPr>
          <w:rFonts w:ascii="Times New Roman" w:hAnsi="Times New Roman" w:eastAsia="宋体" w:cs="Times New Roman"/>
          <w:bCs/>
          <w:position w:val="-10"/>
          <w:sz w:val="24"/>
        </w:rPr>
      </w:pPr>
      <w:r>
        <w:rPr>
          <w:rFonts w:ascii="Times New Roman" w:hAnsi="Times New Roman" w:eastAsia="宋体" w:cs="Times New Roman"/>
          <w:position w:val="-60"/>
          <w:sz w:val="24"/>
        </w:rPr>
        <w:object>
          <v:shape id="_x0000_i1054" o:spt="75" type="#_x0000_t75" style="height:60pt;width:189pt;" o:ole="t" filled="f" o:preferrelative="t" stroked="f" coordsize="21600,21600">
            <v:path/>
            <v:fill on="f" focussize="0,0"/>
            <v:stroke on="f" joinstyle="miter"/>
            <v:imagedata r:id="rId236" o:title=""/>
            <o:lock v:ext="edit" aspectratio="t"/>
            <w10:wrap type="none"/>
            <w10:anchorlock/>
          </v:shape>
          <o:OLEObject Type="Embed" ProgID="Equation.DSMT4" ShapeID="_x0000_i1054" DrawAspect="Content" ObjectID="_1468075754" r:id="rId235">
            <o:LockedField>false</o:LockedField>
          </o:OLEObject>
        </w:object>
      </w:r>
    </w:p>
    <w:p w14:paraId="75A0FD48">
      <w:pPr>
        <w:spacing w:line="300" w:lineRule="auto"/>
        <w:rPr>
          <w:rFonts w:ascii="Times New Roman" w:hAnsi="Times New Roman" w:eastAsia="宋体" w:cs="Times New Roman"/>
          <w:i/>
          <w:iCs/>
          <w:sz w:val="24"/>
        </w:rPr>
      </w:pPr>
      <w:r>
        <w:rPr>
          <w:rFonts w:hint="eastAsia" w:ascii="Times New Roman" w:hAnsi="Times New Roman" w:eastAsia="宋体" w:cs="Times New Roman"/>
          <w:sz w:val="24"/>
        </w:rPr>
        <w:t>式中：</w:t>
      </w:r>
      <w:r>
        <w:rPr>
          <w:rFonts w:ascii="Times New Roman" w:hAnsi="Times New Roman" w:eastAsia="宋体" w:cs="Times New Roman"/>
          <w:sz w:val="24"/>
        </w:rPr>
        <w:t>∆</w:t>
      </w:r>
      <w:r>
        <w:rPr>
          <w:rFonts w:ascii="Times New Roman" w:hAnsi="Times New Roman" w:eastAsia="宋体" w:cs="Times New Roman"/>
          <w:i/>
          <w:iCs/>
          <w:sz w:val="24"/>
        </w:rPr>
        <w:t>L</w:t>
      </w:r>
      <w:r>
        <w:rPr>
          <w:rFonts w:hint="eastAsia" w:ascii="Times New Roman" w:hAnsi="Times New Roman" w:eastAsia="宋体" w:cs="Times New Roman"/>
          <w:sz w:val="24"/>
          <w:vertAlign w:val="subscript"/>
        </w:rPr>
        <w:t>距离</w:t>
      </w:r>
      <w:r>
        <w:rPr>
          <w:rFonts w:ascii="Times New Roman" w:hAnsi="Times New Roman" w:eastAsia="宋体" w:cs="Times New Roman"/>
          <w:sz w:val="24"/>
        </w:rPr>
        <w:t>——</w:t>
      </w:r>
      <w:r>
        <w:rPr>
          <w:rFonts w:ascii="Times New Roman" w:hAnsi="Times New Roman" w:eastAsia="宋体" w:cs="Times New Roman"/>
          <w:bCs/>
          <w:sz w:val="24"/>
        </w:rPr>
        <w:t>距离衰减量，dB(A)</w:t>
      </w:r>
      <w:r>
        <w:rPr>
          <w:rFonts w:hint="eastAsia" w:ascii="Times New Roman" w:hAnsi="Times New Roman" w:eastAsia="宋体" w:cs="Times New Roman"/>
          <w:bCs/>
          <w:sz w:val="24"/>
        </w:rPr>
        <w:t>；</w:t>
      </w:r>
    </w:p>
    <w:p w14:paraId="7D1A288E">
      <w:pPr>
        <w:spacing w:line="300" w:lineRule="auto"/>
        <w:ind w:firstLine="720" w:firstLineChars="300"/>
        <w:rPr>
          <w:rFonts w:ascii="Times New Roman" w:hAnsi="Times New Roman" w:eastAsia="宋体" w:cs="Times New Roman"/>
          <w:sz w:val="24"/>
        </w:rPr>
      </w:pPr>
      <w:r>
        <w:rPr>
          <w:rFonts w:ascii="Times New Roman" w:hAnsi="Times New Roman" w:eastAsia="宋体" w:cs="Times New Roman"/>
          <w:i/>
          <w:iCs/>
          <w:sz w:val="24"/>
        </w:rPr>
        <w:t xml:space="preserve">r </w:t>
      </w:r>
      <w:r>
        <w:rPr>
          <w:rFonts w:ascii="Times New Roman" w:hAnsi="Times New Roman" w:eastAsia="宋体" w:cs="Times New Roman"/>
          <w:sz w:val="24"/>
        </w:rPr>
        <w:t>——从车道中心线到预测点的距离，m</w:t>
      </w:r>
      <w:r>
        <w:rPr>
          <w:rFonts w:hint="eastAsia" w:ascii="Times New Roman" w:hAnsi="Times New Roman" w:eastAsia="宋体" w:cs="Times New Roman"/>
          <w:sz w:val="24"/>
        </w:rPr>
        <w:t>；</w:t>
      </w:r>
    </w:p>
    <w:p w14:paraId="15D80097">
      <w:pPr>
        <w:spacing w:line="300" w:lineRule="auto"/>
        <w:ind w:left="1590" w:leftChars="300" w:hanging="960" w:hangingChars="400"/>
        <w:rPr>
          <w:rFonts w:ascii="Times New Roman" w:hAnsi="Times New Roman" w:eastAsia="宋体" w:cs="Times New Roman"/>
          <w:sz w:val="24"/>
        </w:rPr>
      </w:pPr>
      <w:r>
        <w:rPr>
          <w:rFonts w:hint="eastAsia" w:ascii="Times New Roman" w:hAnsi="Times New Roman" w:eastAsia="宋体" w:cs="Times New Roman"/>
          <w:i/>
          <w:sz w:val="24"/>
        </w:rPr>
        <w:t>N</w:t>
      </w:r>
      <w:r>
        <w:rPr>
          <w:rFonts w:hint="eastAsia" w:ascii="Times New Roman" w:hAnsi="Times New Roman" w:eastAsia="宋体" w:cs="Times New Roman"/>
          <w:sz w:val="24"/>
          <w:vertAlign w:val="subscript"/>
        </w:rPr>
        <w:t>max</w:t>
      </w:r>
      <w:r>
        <w:rPr>
          <w:rFonts w:ascii="Times New Roman" w:hAnsi="Times New Roman" w:eastAsia="宋体" w:cs="Times New Roman"/>
          <w:sz w:val="24"/>
        </w:rPr>
        <w:t>——最大平均小时车流量</w:t>
      </w:r>
      <w:r>
        <w:rPr>
          <w:rFonts w:hint="eastAsia" w:ascii="Times New Roman" w:hAnsi="Times New Roman" w:eastAsia="宋体" w:cs="Times New Roman"/>
          <w:sz w:val="24"/>
        </w:rPr>
        <w:t>，辆/h，</w:t>
      </w:r>
      <w:r>
        <w:rPr>
          <w:rFonts w:ascii="Times New Roman" w:hAnsi="Times New Roman" w:eastAsia="宋体" w:cs="Times New Roman"/>
          <w:sz w:val="24"/>
        </w:rPr>
        <w:t>同一个</w:t>
      </w:r>
      <w:r>
        <w:rPr>
          <w:rFonts w:hint="eastAsia" w:ascii="Times New Roman" w:hAnsi="Times New Roman" w:eastAsia="宋体" w:cs="Times New Roman"/>
          <w:sz w:val="24"/>
        </w:rPr>
        <w:t>公路</w:t>
      </w:r>
      <w:r>
        <w:rPr>
          <w:rFonts w:ascii="Times New Roman" w:hAnsi="Times New Roman" w:eastAsia="宋体" w:cs="Times New Roman"/>
          <w:sz w:val="24"/>
        </w:rPr>
        <w:t>建设项目采用同一个值，取公路</w:t>
      </w:r>
      <w:r>
        <w:rPr>
          <w:rFonts w:hint="eastAsia" w:ascii="Times New Roman" w:hAnsi="Times New Roman" w:eastAsia="宋体" w:cs="Times New Roman"/>
          <w:sz w:val="24"/>
        </w:rPr>
        <w:t>运营期各代表年份、各路段平均小时车流量中的最大值。</w:t>
      </w:r>
    </w:p>
    <w:p w14:paraId="21128E43">
      <w:pPr>
        <w:spacing w:line="300" w:lineRule="auto"/>
        <w:ind w:firstLine="480" w:firstLineChars="200"/>
        <w:rPr>
          <w:rFonts w:ascii="Times New Roman" w:cs="Times New Roman" w:hAnsiTheme="minorEastAsia" w:eastAsiaTheme="minorEastAsia"/>
          <w:sz w:val="24"/>
        </w:rPr>
      </w:pPr>
      <w:r>
        <w:rPr>
          <w:rFonts w:ascii="Times New Roman" w:cs="Times New Roman" w:hAnsiTheme="minorEastAsia" w:eastAsiaTheme="minorEastAsia"/>
          <w:sz w:val="24"/>
        </w:rPr>
        <w:t>根据拟建公路运营各期各车型小时交通量结果，计算得知最大平均小时车流量（</w:t>
      </w:r>
      <w:r>
        <w:rPr>
          <w:rFonts w:ascii="Times New Roman" w:hAnsi="Times New Roman" w:cs="Times New Roman" w:eastAsiaTheme="minorEastAsia"/>
          <w:i/>
          <w:sz w:val="24"/>
        </w:rPr>
        <w:t>N</w:t>
      </w:r>
      <w:r>
        <w:rPr>
          <w:rFonts w:ascii="Times New Roman" w:hAnsi="Times New Roman" w:cs="Times New Roman" w:eastAsiaTheme="minorEastAsia"/>
          <w:sz w:val="24"/>
          <w:vertAlign w:val="subscript"/>
        </w:rPr>
        <w:t>max</w:t>
      </w:r>
      <w:r>
        <w:rPr>
          <w:rFonts w:ascii="Times New Roman" w:cs="Times New Roman" w:hAnsiTheme="minorEastAsia" w:eastAsiaTheme="minorEastAsia"/>
          <w:sz w:val="24"/>
        </w:rPr>
        <w:t>）为</w:t>
      </w:r>
      <w:r>
        <w:rPr>
          <w:rFonts w:hint="eastAsia" w:ascii="Times New Roman" w:hAnsi="Times New Roman" w:cs="Times New Roman" w:eastAsiaTheme="minorEastAsia"/>
          <w:sz w:val="24"/>
        </w:rPr>
        <w:t>674</w:t>
      </w:r>
      <w:r>
        <w:rPr>
          <w:rFonts w:ascii="Times New Roman" w:cs="Times New Roman" w:hAnsiTheme="minorEastAsia" w:eastAsiaTheme="minorEastAsia"/>
          <w:sz w:val="24"/>
        </w:rPr>
        <w:t>辆</w:t>
      </w:r>
      <w:r>
        <w:rPr>
          <w:rFonts w:ascii="Times New Roman" w:hAnsi="Times New Roman" w:cs="Times New Roman" w:eastAsiaTheme="minorEastAsia"/>
          <w:sz w:val="24"/>
        </w:rPr>
        <w:t>/h</w:t>
      </w:r>
      <w:r>
        <w:rPr>
          <w:rFonts w:ascii="Times New Roman" w:cs="Times New Roman" w:hAnsiTheme="minorEastAsia" w:eastAsiaTheme="minorEastAsia"/>
          <w:sz w:val="24"/>
        </w:rPr>
        <w:t>。因此，拟建公路距离衰减量统一按</w:t>
      </w:r>
      <w:r>
        <w:rPr>
          <w:rFonts w:ascii="Times New Roman" w:hAnsi="Times New Roman" w:cs="Times New Roman" w:eastAsiaTheme="minorEastAsia"/>
          <w:sz w:val="24"/>
        </w:rPr>
        <w:drawing>
          <wp:inline distT="0" distB="0" distL="114300" distR="114300">
            <wp:extent cx="621030" cy="327660"/>
            <wp:effectExtent l="0" t="0" r="7620" b="15240"/>
            <wp:docPr id="236" name="图片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图片 276"/>
                    <pic:cNvPicPr>
                      <a:picLocks noChangeAspect="1"/>
                    </pic:cNvPicPr>
                  </pic:nvPicPr>
                  <pic:blipFill>
                    <a:blip r:embed="rId237" cstate="print"/>
                    <a:stretch>
                      <a:fillRect/>
                    </a:stretch>
                  </pic:blipFill>
                  <pic:spPr>
                    <a:xfrm>
                      <a:off x="0" y="0"/>
                      <a:ext cx="621030" cy="327660"/>
                    </a:xfrm>
                    <a:prstGeom prst="rect">
                      <a:avLst/>
                    </a:prstGeom>
                    <a:noFill/>
                    <a:ln>
                      <a:noFill/>
                    </a:ln>
                  </pic:spPr>
                </pic:pic>
              </a:graphicData>
            </a:graphic>
          </wp:inline>
        </w:drawing>
      </w:r>
      <w:r>
        <w:rPr>
          <w:rFonts w:ascii="Times New Roman" w:cs="Times New Roman" w:hAnsiTheme="minorEastAsia" w:eastAsiaTheme="minorEastAsia"/>
          <w:sz w:val="24"/>
        </w:rPr>
        <w:t>进行计算。</w:t>
      </w:r>
    </w:p>
    <w:p w14:paraId="6D5D39E4">
      <w:pPr>
        <w:spacing w:line="300"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预测点到有限长路段两端的张角可参考图4.2</w:t>
      </w:r>
      <w:r>
        <w:rPr>
          <w:rFonts w:ascii="Times New Roman" w:hAnsi="Times New Roman" w:eastAsia="宋体" w:cs="Times New Roman"/>
          <w:sz w:val="24"/>
        </w:rPr>
        <w:t>-1</w:t>
      </w:r>
      <w:r>
        <w:rPr>
          <w:rFonts w:hint="eastAsia" w:ascii="Times New Roman" w:hAnsi="Times New Roman" w:eastAsia="宋体" w:cs="Times New Roman"/>
          <w:sz w:val="24"/>
        </w:rPr>
        <w:t>。</w:t>
      </w:r>
    </w:p>
    <w:p w14:paraId="523EB423">
      <w:pPr>
        <w:spacing w:line="360" w:lineRule="auto"/>
        <w:jc w:val="center"/>
        <w:rPr>
          <w:rFonts w:ascii="Times New Roman" w:hAnsi="Times New Roman" w:eastAsia="宋体" w:cs="Times New Roman"/>
          <w:spacing w:val="4"/>
          <w:szCs w:val="21"/>
        </w:rPr>
      </w:pPr>
      <w:r>
        <w:rPr>
          <w:rFonts w:ascii="Times New Roman" w:hAnsi="Times New Roman" w:eastAsia="宋体" w:cs="Times New Roman"/>
          <w:szCs w:val="21"/>
        </w:rPr>
        <w:object>
          <v:shape id="_x0000_i1055" o:spt="75" type="#_x0000_t75" style="height:57.75pt;width:382.5pt;" o:ole="t" filled="f" o:preferrelative="t" stroked="f" coordsize="21600,21600">
            <v:path/>
            <v:fill on="f" focussize="0,0"/>
            <v:stroke on="f" joinstyle="miter"/>
            <v:imagedata r:id="rId239" o:title=""/>
            <o:lock v:ext="edit" aspectratio="t"/>
            <w10:wrap type="none"/>
            <w10:anchorlock/>
          </v:shape>
          <o:OLEObject Type="Embed" ProgID="AutoCAD.Drawing.15" ShapeID="_x0000_i1055" DrawAspect="Content" ObjectID="_1468075755" r:id="rId238">
            <o:LockedField>false</o:LockedField>
          </o:OLEObject>
        </w:object>
      </w:r>
    </w:p>
    <w:p w14:paraId="12E36ADB">
      <w:pPr>
        <w:spacing w:line="360" w:lineRule="auto"/>
        <w:ind w:firstLine="1504" w:firstLineChars="800"/>
        <w:rPr>
          <w:rFonts w:ascii="Times New Roman" w:hAnsi="Times New Roman" w:eastAsia="宋体" w:cs="Times New Roman"/>
          <w:szCs w:val="21"/>
        </w:rPr>
      </w:pPr>
      <w:r>
        <w:rPr>
          <w:rFonts w:hint="eastAsia" w:ascii="黑体" w:hAnsi="黑体" w:eastAsia="黑体" w:cs="黑体"/>
          <w:spacing w:val="4"/>
          <w:sz w:val="18"/>
          <w:szCs w:val="18"/>
        </w:rPr>
        <w:t>a）</w:t>
      </w:r>
      <w:r>
        <w:rPr>
          <w:rFonts w:hint="eastAsia" w:ascii="黑体" w:hAnsi="黑体" w:eastAsia="黑体" w:cs="黑体"/>
          <w:sz w:val="18"/>
          <w:szCs w:val="18"/>
        </w:rPr>
        <w:t>有限长路段</w:t>
      </w:r>
      <w:r>
        <w:rPr>
          <w:rFonts w:hint="eastAsia" w:ascii="黑体" w:hAnsi="黑体" w:eastAsia="黑体" w:cs="黑体"/>
          <w:spacing w:val="4"/>
          <w:sz w:val="18"/>
          <w:szCs w:val="18"/>
        </w:rPr>
        <w:t>b）</w:t>
      </w:r>
      <w:r>
        <w:rPr>
          <w:rFonts w:hint="eastAsia" w:ascii="黑体" w:hAnsi="黑体" w:eastAsia="黑体" w:cs="黑体"/>
          <w:sz w:val="18"/>
          <w:szCs w:val="18"/>
        </w:rPr>
        <w:t>公路内弯曲</w:t>
      </w:r>
      <w:r>
        <w:rPr>
          <w:rFonts w:hint="eastAsia" w:ascii="黑体" w:hAnsi="黑体" w:eastAsia="黑体" w:cs="黑体"/>
          <w:spacing w:val="4"/>
          <w:sz w:val="18"/>
          <w:szCs w:val="18"/>
        </w:rPr>
        <w:t xml:space="preserve">c） </w:t>
      </w:r>
      <w:r>
        <w:rPr>
          <w:rFonts w:hint="eastAsia" w:ascii="黑体" w:hAnsi="黑体" w:eastAsia="黑体" w:cs="黑体"/>
          <w:sz w:val="18"/>
          <w:szCs w:val="18"/>
        </w:rPr>
        <w:t>公路外弯曲</w:t>
      </w:r>
    </w:p>
    <w:p w14:paraId="5C682E06">
      <w:pPr>
        <w:spacing w:afterLines="50" w:line="360" w:lineRule="auto"/>
        <w:jc w:val="center"/>
        <w:rPr>
          <w:rFonts w:ascii="Times New Roman" w:hAnsi="Times New Roman" w:eastAsia="宋体" w:cs="Times New Roman"/>
          <w:b/>
          <w:szCs w:val="21"/>
        </w:rPr>
      </w:pPr>
      <w:r>
        <w:rPr>
          <w:rFonts w:hint="eastAsia" w:ascii="Times New Roman" w:hAnsi="Times New Roman" w:eastAsia="宋体" w:cs="Times New Roman"/>
          <w:b/>
          <w:szCs w:val="21"/>
        </w:rPr>
        <w:t>图</w:t>
      </w:r>
      <w:r>
        <w:rPr>
          <w:rFonts w:ascii="Times New Roman" w:hAnsi="Times New Roman" w:eastAsia="宋体" w:cs="Times New Roman"/>
          <w:b/>
          <w:szCs w:val="21"/>
        </w:rPr>
        <w:t xml:space="preserve">4.2-1 </w:t>
      </w:r>
      <w:r>
        <w:rPr>
          <w:rFonts w:hint="eastAsia" w:ascii="Times New Roman" w:hAnsi="Times New Roman" w:eastAsia="宋体" w:cs="Times New Roman"/>
          <w:b/>
          <w:szCs w:val="21"/>
        </w:rPr>
        <w:t>预测点到有限长路段两端的张角</w:t>
      </w:r>
    </w:p>
    <w:p w14:paraId="10C57C70">
      <w:pPr>
        <w:spacing w:line="300" w:lineRule="auto"/>
        <w:ind w:firstLine="496" w:firstLineChars="200"/>
        <w:rPr>
          <w:rFonts w:ascii="Times New Roman" w:hAnsi="Times New Roman" w:eastAsia="宋体" w:cs="Times New Roman"/>
          <w:sz w:val="24"/>
        </w:rPr>
      </w:pPr>
      <w:r>
        <w:rPr>
          <w:rFonts w:ascii="Times New Roman" w:hAnsi="Times New Roman" w:eastAsia="宋体" w:cs="Times New Roman"/>
          <w:spacing w:val="4"/>
          <w:sz w:val="24"/>
        </w:rPr>
        <w:t>当路段与噪声接受点之间水平方向无任何遮挡时，</w:t>
      </w:r>
      <w:r>
        <w:rPr>
          <w:rFonts w:ascii="Times New Roman" w:hAnsi="Times New Roman" w:eastAsia="宋体" w:cs="Times New Roman"/>
          <w:i/>
          <w:spacing w:val="4"/>
          <w:sz w:val="24"/>
        </w:rPr>
        <w:t>θ</w:t>
      </w:r>
      <w:r>
        <w:rPr>
          <w:rFonts w:ascii="Times New Roman" w:hAnsi="Times New Roman" w:eastAsia="宋体" w:cs="Times New Roman"/>
          <w:spacing w:val="4"/>
          <w:sz w:val="24"/>
        </w:rPr>
        <w:t>可</w:t>
      </w:r>
      <w:r>
        <w:rPr>
          <w:rFonts w:hint="eastAsia" w:ascii="Times New Roman" w:hAnsi="Times New Roman" w:eastAsia="宋体" w:cs="Times New Roman"/>
          <w:spacing w:val="4"/>
          <w:sz w:val="24"/>
        </w:rPr>
        <w:t>取</w:t>
      </w:r>
      <w:r>
        <w:rPr>
          <w:rFonts w:hint="eastAsia" w:ascii="Times New Roman" w:hAnsi="Times New Roman" w:eastAsia="宋体" w:cs="Times New Roman"/>
          <w:spacing w:val="4"/>
          <w:position w:val="-18"/>
          <w:sz w:val="24"/>
        </w:rPr>
        <w:object>
          <v:shape id="_x0000_i1056" o:spt="75" type="#_x0000_t75" style="height:24.75pt;width:24pt;" o:ole="t" filled="f" o:preferrelative="t" stroked="f" coordsize="21600,21600">
            <v:path/>
            <v:fill on="f" focussize="0,0"/>
            <v:stroke on="f" joinstyle="miter"/>
            <v:imagedata r:id="rId241" o:title=""/>
            <o:lock v:ext="edit" aspectratio="t"/>
            <w10:wrap type="none"/>
            <w10:anchorlock/>
          </v:shape>
          <o:OLEObject Type="Embed" ProgID="Equation.3" ShapeID="_x0000_i1056" DrawAspect="Content" ObjectID="_1468075756" r:id="rId240">
            <o:LockedField>false</o:LockedField>
          </o:OLEObject>
        </w:object>
      </w:r>
      <w:r>
        <w:rPr>
          <w:rFonts w:ascii="Times New Roman" w:hAnsi="Times New Roman" w:eastAsia="宋体" w:cs="Times New Roman"/>
          <w:spacing w:val="4"/>
          <w:sz w:val="24"/>
        </w:rPr>
        <w:t>；当路段与噪声接受点之间水平方向有遮挡时，</w:t>
      </w:r>
      <w:r>
        <w:rPr>
          <w:rFonts w:ascii="Times New Roman" w:hAnsi="Times New Roman" w:eastAsia="宋体" w:cs="Times New Roman"/>
          <w:i/>
          <w:iCs/>
          <w:spacing w:val="4"/>
          <w:sz w:val="24"/>
        </w:rPr>
        <w:t>θ</w:t>
      </w:r>
      <w:r>
        <w:rPr>
          <w:rFonts w:ascii="Times New Roman" w:hAnsi="Times New Roman" w:eastAsia="宋体" w:cs="Times New Roman"/>
          <w:spacing w:val="4"/>
          <w:sz w:val="24"/>
        </w:rPr>
        <w:t>为预测点与</w:t>
      </w:r>
      <w:r>
        <w:rPr>
          <w:rFonts w:hint="eastAsia" w:ascii="Times New Roman" w:hAnsi="Times New Roman" w:eastAsia="宋体" w:cs="Times New Roman"/>
          <w:spacing w:val="4"/>
          <w:sz w:val="24"/>
        </w:rPr>
        <w:t>两侧</w:t>
      </w:r>
      <w:r>
        <w:rPr>
          <w:rFonts w:ascii="Times New Roman" w:hAnsi="Times New Roman" w:eastAsia="宋体" w:cs="Times New Roman"/>
          <w:spacing w:val="4"/>
          <w:sz w:val="24"/>
        </w:rPr>
        <w:t>遮挡点连线组成的夹角。</w:t>
      </w:r>
    </w:p>
    <w:p w14:paraId="41E8CA12">
      <w:pPr>
        <w:spacing w:line="30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w:t>
      </w:r>
      <w:r>
        <w:rPr>
          <w:rFonts w:ascii="Times New Roman" w:hAnsi="Times New Roman" w:eastAsia="宋体" w:cs="Times New Roman"/>
          <w:i/>
          <w:iCs/>
          <w:sz w:val="24"/>
        </w:rPr>
        <w:t>L</w:t>
      </w:r>
      <w:r>
        <w:rPr>
          <w:rFonts w:hint="eastAsia" w:ascii="Times New Roman" w:hAnsi="Times New Roman" w:eastAsia="宋体" w:cs="Times New Roman"/>
          <w:sz w:val="24"/>
        </w:rPr>
        <w:t>按公式计算：</w:t>
      </w:r>
    </w:p>
    <w:p w14:paraId="04E8BAA9">
      <w:pPr>
        <w:spacing w:beforeLines="50" w:afterLines="50"/>
        <w:ind w:firstLine="720" w:firstLineChars="300"/>
        <w:jc w:val="center"/>
        <w:rPr>
          <w:rFonts w:ascii="Times New Roman" w:hAnsi="Times New Roman" w:eastAsia="宋体" w:cs="Times New Roman"/>
          <w:sz w:val="24"/>
        </w:rPr>
      </w:pPr>
      <w:r>
        <w:rPr>
          <w:rFonts w:ascii="Times New Roman" w:hAnsi="Times New Roman" w:eastAsia="宋体" w:cs="Times New Roman"/>
          <w:sz w:val="24"/>
        </w:rPr>
        <w:t>∆</w:t>
      </w:r>
      <w:r>
        <w:rPr>
          <w:rFonts w:ascii="Times New Roman" w:hAnsi="Times New Roman" w:eastAsia="宋体" w:cs="Times New Roman"/>
          <w:i/>
          <w:iCs/>
          <w:sz w:val="24"/>
        </w:rPr>
        <w:t>L</w:t>
      </w:r>
      <w:r>
        <w:rPr>
          <w:rFonts w:hint="eastAsia" w:ascii="Times New Roman" w:hAnsi="Times New Roman" w:eastAsia="宋体" w:cs="Times New Roman"/>
          <w:i/>
          <w:iCs/>
          <w:sz w:val="24"/>
        </w:rPr>
        <w:t>=</w:t>
      </w:r>
      <w:r>
        <w:rPr>
          <w:rFonts w:ascii="Times New Roman" w:hAnsi="Times New Roman" w:eastAsia="宋体" w:cs="Times New Roman"/>
          <w:sz w:val="24"/>
        </w:rPr>
        <w:t>∆</w:t>
      </w:r>
      <w:r>
        <w:rPr>
          <w:rFonts w:ascii="Times New Roman" w:hAnsi="Times New Roman" w:eastAsia="宋体" w:cs="Times New Roman"/>
          <w:i/>
          <w:iCs/>
          <w:sz w:val="24"/>
        </w:rPr>
        <w:t>L</w:t>
      </w:r>
      <w:r>
        <w:rPr>
          <w:rFonts w:hint="eastAsia" w:ascii="Times New Roman" w:hAnsi="Times New Roman" w:eastAsia="宋体" w:cs="Times New Roman"/>
          <w:sz w:val="24"/>
          <w:vertAlign w:val="subscript"/>
        </w:rPr>
        <w:t>1</w:t>
      </w:r>
      <w:r>
        <w:rPr>
          <w:rFonts w:hint="eastAsia" w:ascii="宋体" w:hAnsi="宋体" w:eastAsia="宋体" w:cs="宋体"/>
          <w:sz w:val="24"/>
        </w:rPr>
        <w:t>－</w:t>
      </w:r>
      <w:r>
        <w:rPr>
          <w:rFonts w:ascii="Times New Roman" w:hAnsi="Times New Roman" w:eastAsia="宋体" w:cs="Times New Roman"/>
          <w:sz w:val="24"/>
        </w:rPr>
        <w:t>∆</w:t>
      </w:r>
      <w:r>
        <w:rPr>
          <w:rFonts w:ascii="Times New Roman" w:hAnsi="Times New Roman" w:eastAsia="宋体" w:cs="Times New Roman"/>
          <w:i/>
          <w:iCs/>
          <w:sz w:val="24"/>
        </w:rPr>
        <w:t>L</w:t>
      </w:r>
      <w:r>
        <w:rPr>
          <w:rFonts w:hint="eastAsia" w:ascii="Times New Roman" w:hAnsi="Times New Roman" w:eastAsia="宋体" w:cs="Times New Roman"/>
          <w:sz w:val="24"/>
          <w:vertAlign w:val="subscript"/>
        </w:rPr>
        <w:t>2</w:t>
      </w:r>
    </w:p>
    <w:p w14:paraId="029C8E26">
      <w:pPr>
        <w:spacing w:line="30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式中：∆</w:t>
      </w:r>
      <w:r>
        <w:rPr>
          <w:rFonts w:ascii="Times New Roman" w:hAnsi="Times New Roman" w:eastAsia="宋体" w:cs="Times New Roman"/>
          <w:i/>
          <w:iCs/>
          <w:sz w:val="24"/>
        </w:rPr>
        <w:t>L</w:t>
      </w:r>
      <w:r>
        <w:rPr>
          <w:rFonts w:ascii="Times New Roman" w:hAnsi="Times New Roman" w:eastAsia="宋体" w:cs="Times New Roman"/>
          <w:sz w:val="24"/>
        </w:rPr>
        <w:t>——由其它因素引起的修正量，dB(A)</w:t>
      </w:r>
      <w:r>
        <w:rPr>
          <w:rFonts w:hint="eastAsia" w:ascii="Times New Roman" w:hAnsi="Times New Roman" w:eastAsia="宋体" w:cs="Times New Roman"/>
          <w:sz w:val="24"/>
        </w:rPr>
        <w:t>；</w:t>
      </w:r>
    </w:p>
    <w:p w14:paraId="7BADEA9E">
      <w:pPr>
        <w:spacing w:line="300" w:lineRule="auto"/>
        <w:ind w:firstLine="1200" w:firstLineChars="500"/>
        <w:rPr>
          <w:rFonts w:ascii="Times New Roman" w:hAnsi="Times New Roman" w:eastAsia="宋体" w:cs="Times New Roman"/>
          <w:sz w:val="24"/>
        </w:rPr>
      </w:pPr>
      <w:r>
        <w:rPr>
          <w:rFonts w:ascii="Times New Roman" w:hAnsi="Times New Roman" w:eastAsia="宋体" w:cs="Times New Roman"/>
          <w:sz w:val="24"/>
        </w:rPr>
        <w:t>∆</w:t>
      </w:r>
      <w:r>
        <w:rPr>
          <w:rFonts w:ascii="Times New Roman" w:hAnsi="Times New Roman" w:eastAsia="宋体" w:cs="Times New Roman"/>
          <w:i/>
          <w:iCs/>
          <w:sz w:val="24"/>
        </w:rPr>
        <w:t>L</w:t>
      </w:r>
      <w:r>
        <w:rPr>
          <w:rFonts w:hint="eastAsia" w:ascii="Times New Roman" w:hAnsi="Times New Roman" w:eastAsia="宋体" w:cs="Times New Roman"/>
          <w:sz w:val="24"/>
          <w:vertAlign w:val="subscript"/>
        </w:rPr>
        <w:t>1</w:t>
      </w:r>
      <w:r>
        <w:rPr>
          <w:rFonts w:ascii="Times New Roman" w:hAnsi="Times New Roman" w:eastAsia="宋体" w:cs="Times New Roman"/>
          <w:sz w:val="24"/>
        </w:rPr>
        <w:t>——</w:t>
      </w:r>
      <w:r>
        <w:rPr>
          <w:rFonts w:hint="eastAsia" w:ascii="Times New Roman" w:hAnsi="Times New Roman" w:eastAsia="宋体" w:cs="Times New Roman"/>
          <w:sz w:val="24"/>
        </w:rPr>
        <w:t>线路</w:t>
      </w:r>
      <w:r>
        <w:rPr>
          <w:rFonts w:ascii="Times New Roman" w:hAnsi="Times New Roman" w:eastAsia="宋体" w:cs="Times New Roman"/>
          <w:sz w:val="24"/>
        </w:rPr>
        <w:t>因素引起的修正量，dB(A)；</w:t>
      </w:r>
    </w:p>
    <w:p w14:paraId="101D8394">
      <w:pPr>
        <w:spacing w:line="300" w:lineRule="auto"/>
        <w:ind w:firstLine="1200" w:firstLineChars="500"/>
        <w:rPr>
          <w:rFonts w:ascii="Times New Roman" w:hAnsi="Times New Roman" w:eastAsia="宋体" w:cs="Times New Roman"/>
          <w:sz w:val="24"/>
        </w:rPr>
      </w:pPr>
      <w:r>
        <w:rPr>
          <w:rFonts w:ascii="Times New Roman" w:hAnsi="Times New Roman" w:eastAsia="宋体" w:cs="Times New Roman"/>
          <w:sz w:val="24"/>
        </w:rPr>
        <w:t>∆</w:t>
      </w:r>
      <w:r>
        <w:rPr>
          <w:rFonts w:ascii="Times New Roman" w:hAnsi="Times New Roman" w:eastAsia="宋体" w:cs="Times New Roman"/>
          <w:i/>
          <w:iCs/>
          <w:sz w:val="24"/>
        </w:rPr>
        <w:t>L</w:t>
      </w:r>
      <w:r>
        <w:rPr>
          <w:rFonts w:hint="eastAsia" w:ascii="Times New Roman" w:hAnsi="Times New Roman" w:eastAsia="宋体" w:cs="Times New Roman"/>
          <w:sz w:val="24"/>
          <w:vertAlign w:val="subscript"/>
        </w:rPr>
        <w:t>2</w:t>
      </w:r>
      <w:r>
        <w:rPr>
          <w:rFonts w:ascii="Times New Roman" w:hAnsi="Times New Roman" w:eastAsia="宋体" w:cs="Times New Roman"/>
          <w:sz w:val="24"/>
        </w:rPr>
        <w:t>——声波传播途径中引起的衰减量，dB(A)</w:t>
      </w:r>
      <w:r>
        <w:rPr>
          <w:rFonts w:hint="eastAsia" w:ascii="Times New Roman" w:hAnsi="Times New Roman" w:eastAsia="宋体" w:cs="Times New Roman"/>
          <w:sz w:val="24"/>
        </w:rPr>
        <w:t>。</w:t>
      </w:r>
    </w:p>
    <w:p w14:paraId="223D8EEA">
      <w:pPr>
        <w:widowControl/>
        <w:spacing w:line="300" w:lineRule="auto"/>
        <w:ind w:firstLine="720" w:firstLineChars="300"/>
        <w:rPr>
          <w:rFonts w:ascii="Times New Roman" w:hAnsi="Times New Roman" w:eastAsia="宋体" w:cs="Times New Roman"/>
          <w:sz w:val="24"/>
        </w:rPr>
      </w:pPr>
      <w:r>
        <w:rPr>
          <w:rFonts w:ascii="Times New Roman" w:hAnsi="Times New Roman" w:eastAsia="宋体" w:cs="Times New Roman"/>
          <w:sz w:val="24"/>
        </w:rPr>
        <w:t>∆</w:t>
      </w:r>
      <w:r>
        <w:rPr>
          <w:rFonts w:ascii="Times New Roman" w:hAnsi="Times New Roman" w:eastAsia="宋体" w:cs="Times New Roman"/>
          <w:i/>
          <w:iCs/>
          <w:sz w:val="24"/>
        </w:rPr>
        <w:t>L</w:t>
      </w:r>
      <w:r>
        <w:rPr>
          <w:rFonts w:hint="eastAsia" w:ascii="Times New Roman" w:hAnsi="Times New Roman" w:eastAsia="宋体" w:cs="Times New Roman"/>
          <w:sz w:val="24"/>
          <w:vertAlign w:val="subscript"/>
        </w:rPr>
        <w:t>1</w:t>
      </w:r>
      <w:r>
        <w:rPr>
          <w:rFonts w:hint="eastAsia" w:ascii="Times New Roman" w:hAnsi="Times New Roman" w:eastAsia="宋体" w:cs="Times New Roman"/>
          <w:sz w:val="24"/>
        </w:rPr>
        <w:t>按公式计算：</w:t>
      </w:r>
    </w:p>
    <w:p w14:paraId="5B7D886C">
      <w:pPr>
        <w:widowControl/>
        <w:spacing w:beforeLines="50" w:afterLines="50" w:line="300" w:lineRule="auto"/>
        <w:ind w:right="-105" w:rightChars="-50" w:firstLine="720" w:firstLineChars="300"/>
        <w:jc w:val="center"/>
        <w:rPr>
          <w:rFonts w:ascii="Times New Roman" w:hAnsi="Times New Roman" w:eastAsia="宋体" w:cs="Times New Roman"/>
          <w:sz w:val="24"/>
          <w:vertAlign w:val="subscript"/>
        </w:rPr>
      </w:pPr>
      <w:r>
        <w:rPr>
          <w:rFonts w:ascii="Times New Roman" w:hAnsi="Times New Roman" w:eastAsia="宋体" w:cs="Times New Roman"/>
          <w:sz w:val="24"/>
        </w:rPr>
        <w:t>∆</w:t>
      </w:r>
      <w:r>
        <w:rPr>
          <w:rFonts w:ascii="Times New Roman" w:hAnsi="Times New Roman" w:eastAsia="宋体" w:cs="Times New Roman"/>
          <w:i/>
          <w:iCs/>
          <w:sz w:val="24"/>
        </w:rPr>
        <w:t>L</w:t>
      </w:r>
      <w:r>
        <w:rPr>
          <w:rFonts w:hint="eastAsia" w:ascii="Times New Roman" w:hAnsi="Times New Roman" w:eastAsia="宋体" w:cs="Times New Roman"/>
          <w:sz w:val="24"/>
          <w:vertAlign w:val="subscript"/>
        </w:rPr>
        <w:t>1</w:t>
      </w:r>
      <w:r>
        <w:rPr>
          <w:rFonts w:hint="eastAsia" w:ascii="Times New Roman" w:hAnsi="Times New Roman" w:eastAsia="宋体" w:cs="Times New Roman"/>
          <w:i/>
          <w:iCs/>
          <w:sz w:val="24"/>
        </w:rPr>
        <w:t>=</w:t>
      </w:r>
      <w:r>
        <w:rPr>
          <w:rFonts w:ascii="Times New Roman" w:hAnsi="Times New Roman" w:eastAsia="宋体" w:cs="Times New Roman"/>
          <w:sz w:val="24"/>
        </w:rPr>
        <w:t>∆</w:t>
      </w:r>
      <w:r>
        <w:rPr>
          <w:rFonts w:ascii="Times New Roman" w:hAnsi="Times New Roman" w:eastAsia="宋体" w:cs="Times New Roman"/>
          <w:i/>
          <w:iCs/>
          <w:sz w:val="24"/>
        </w:rPr>
        <w:t>L</w:t>
      </w:r>
      <w:r>
        <w:rPr>
          <w:rFonts w:hint="eastAsia" w:ascii="Times New Roman" w:hAnsi="Times New Roman" w:eastAsia="宋体" w:cs="Times New Roman"/>
          <w:sz w:val="24"/>
          <w:vertAlign w:val="subscript"/>
        </w:rPr>
        <w:t>坡度</w:t>
      </w:r>
      <w:r>
        <w:rPr>
          <w:rFonts w:hint="eastAsia" w:ascii="宋体" w:hAnsi="宋体" w:eastAsia="宋体" w:cs="宋体"/>
          <w:sz w:val="24"/>
        </w:rPr>
        <w:t>＋</w:t>
      </w:r>
      <w:r>
        <w:rPr>
          <w:rFonts w:ascii="Times New Roman" w:hAnsi="Times New Roman" w:eastAsia="宋体" w:cs="Times New Roman"/>
          <w:sz w:val="24"/>
        </w:rPr>
        <w:t>∆</w:t>
      </w:r>
      <w:r>
        <w:rPr>
          <w:rFonts w:ascii="Times New Roman" w:hAnsi="Times New Roman" w:eastAsia="宋体" w:cs="Times New Roman"/>
          <w:i/>
          <w:iCs/>
          <w:sz w:val="24"/>
        </w:rPr>
        <w:t>L</w:t>
      </w:r>
      <w:r>
        <w:rPr>
          <w:rFonts w:hint="eastAsia" w:ascii="Times New Roman" w:hAnsi="Times New Roman" w:eastAsia="宋体" w:cs="Times New Roman"/>
          <w:sz w:val="24"/>
          <w:vertAlign w:val="subscript"/>
        </w:rPr>
        <w:t>路面</w:t>
      </w:r>
    </w:p>
    <w:p w14:paraId="048E12D2">
      <w:pPr>
        <w:spacing w:line="30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式中：∆</w:t>
      </w:r>
      <w:r>
        <w:rPr>
          <w:rFonts w:ascii="Times New Roman" w:hAnsi="Times New Roman" w:eastAsia="宋体" w:cs="Times New Roman"/>
          <w:i/>
          <w:iCs/>
          <w:sz w:val="24"/>
        </w:rPr>
        <w:t>L</w:t>
      </w:r>
      <w:r>
        <w:rPr>
          <w:rFonts w:hint="eastAsia" w:ascii="Times New Roman" w:hAnsi="Times New Roman" w:eastAsia="宋体" w:cs="Times New Roman"/>
          <w:sz w:val="24"/>
          <w:vertAlign w:val="subscript"/>
        </w:rPr>
        <w:t>1</w:t>
      </w:r>
      <w:r>
        <w:rPr>
          <w:rFonts w:ascii="Times New Roman" w:hAnsi="Times New Roman" w:eastAsia="宋体" w:cs="Times New Roman"/>
          <w:sz w:val="24"/>
        </w:rPr>
        <w:t>——</w:t>
      </w:r>
      <w:r>
        <w:rPr>
          <w:rFonts w:hint="eastAsia" w:ascii="Times New Roman" w:hAnsi="Times New Roman" w:eastAsia="宋体" w:cs="Times New Roman"/>
          <w:sz w:val="24"/>
        </w:rPr>
        <w:t>线路</w:t>
      </w:r>
      <w:r>
        <w:rPr>
          <w:rFonts w:ascii="Times New Roman" w:hAnsi="Times New Roman" w:eastAsia="宋体" w:cs="Times New Roman"/>
          <w:sz w:val="24"/>
        </w:rPr>
        <w:t>因素引起的修正量，dB(A)</w:t>
      </w:r>
      <w:r>
        <w:rPr>
          <w:rFonts w:hint="eastAsia" w:ascii="Times New Roman" w:hAnsi="Times New Roman" w:eastAsia="宋体" w:cs="Times New Roman"/>
          <w:sz w:val="24"/>
        </w:rPr>
        <w:t>；</w:t>
      </w:r>
    </w:p>
    <w:p w14:paraId="0C7054C9">
      <w:pPr>
        <w:spacing w:line="300" w:lineRule="auto"/>
        <w:ind w:firstLine="1200" w:firstLineChars="500"/>
        <w:rPr>
          <w:rFonts w:ascii="Times New Roman" w:hAnsi="Times New Roman" w:eastAsia="宋体" w:cs="Times New Roman"/>
          <w:sz w:val="24"/>
        </w:rPr>
      </w:pPr>
      <w:r>
        <w:rPr>
          <w:rFonts w:ascii="Times New Roman" w:hAnsi="Times New Roman" w:eastAsia="宋体" w:cs="Times New Roman"/>
          <w:sz w:val="24"/>
        </w:rPr>
        <w:t>∆</w:t>
      </w:r>
      <w:r>
        <w:rPr>
          <w:rFonts w:ascii="Times New Roman" w:hAnsi="Times New Roman" w:eastAsia="宋体" w:cs="Times New Roman"/>
          <w:i/>
          <w:iCs/>
          <w:sz w:val="24"/>
        </w:rPr>
        <w:t>L</w:t>
      </w:r>
      <w:r>
        <w:rPr>
          <w:rFonts w:hint="eastAsia" w:ascii="Times New Roman" w:hAnsi="Times New Roman" w:eastAsia="宋体" w:cs="Times New Roman"/>
          <w:sz w:val="24"/>
          <w:vertAlign w:val="subscript"/>
        </w:rPr>
        <w:t>坡度</w:t>
      </w:r>
      <w:r>
        <w:rPr>
          <w:rFonts w:ascii="Times New Roman" w:hAnsi="Times New Roman" w:eastAsia="宋体" w:cs="Times New Roman"/>
          <w:sz w:val="24"/>
        </w:rPr>
        <w:t>——公路纵坡</w:t>
      </w:r>
      <w:r>
        <w:rPr>
          <w:rFonts w:hint="eastAsia" w:ascii="Times New Roman" w:hAnsi="Times New Roman" w:eastAsia="宋体" w:cs="Times New Roman"/>
          <w:sz w:val="24"/>
        </w:rPr>
        <w:t>引起的</w:t>
      </w:r>
      <w:r>
        <w:rPr>
          <w:rFonts w:ascii="Times New Roman" w:hAnsi="Times New Roman" w:eastAsia="宋体" w:cs="Times New Roman"/>
          <w:sz w:val="24"/>
        </w:rPr>
        <w:t>修正量，dB(A)；</w:t>
      </w:r>
    </w:p>
    <w:p w14:paraId="0B5B0280">
      <w:pPr>
        <w:spacing w:line="300" w:lineRule="auto"/>
        <w:ind w:firstLine="1200" w:firstLineChars="500"/>
        <w:rPr>
          <w:rFonts w:ascii="Times New Roman" w:hAnsi="Times New Roman" w:eastAsia="宋体" w:cs="Times New Roman"/>
          <w:sz w:val="24"/>
        </w:rPr>
      </w:pPr>
      <w:r>
        <w:rPr>
          <w:rFonts w:ascii="Times New Roman" w:hAnsi="Times New Roman" w:eastAsia="宋体" w:cs="Times New Roman"/>
          <w:sz w:val="24"/>
        </w:rPr>
        <w:t>∆</w:t>
      </w:r>
      <w:r>
        <w:rPr>
          <w:rFonts w:ascii="Times New Roman" w:hAnsi="Times New Roman" w:eastAsia="宋体" w:cs="Times New Roman"/>
          <w:i/>
          <w:iCs/>
          <w:sz w:val="24"/>
        </w:rPr>
        <w:t>L</w:t>
      </w:r>
      <w:r>
        <w:rPr>
          <w:rFonts w:hint="eastAsia" w:ascii="Times New Roman" w:hAnsi="Times New Roman" w:eastAsia="宋体" w:cs="Times New Roman"/>
          <w:sz w:val="24"/>
          <w:vertAlign w:val="subscript"/>
        </w:rPr>
        <w:t>路面</w:t>
      </w:r>
      <w:r>
        <w:rPr>
          <w:rFonts w:ascii="Times New Roman" w:hAnsi="Times New Roman" w:eastAsia="宋体" w:cs="Times New Roman"/>
          <w:sz w:val="24"/>
        </w:rPr>
        <w:t>——公路路面</w:t>
      </w:r>
      <w:r>
        <w:rPr>
          <w:rFonts w:hint="eastAsia" w:ascii="Times New Roman" w:hAnsi="Times New Roman" w:eastAsia="宋体" w:cs="Times New Roman"/>
          <w:sz w:val="24"/>
        </w:rPr>
        <w:t>类型</w:t>
      </w:r>
      <w:r>
        <w:rPr>
          <w:rFonts w:ascii="Times New Roman" w:hAnsi="Times New Roman" w:eastAsia="宋体" w:cs="Times New Roman"/>
          <w:sz w:val="24"/>
        </w:rPr>
        <w:t>引起的修正量，dB(A)</w:t>
      </w:r>
      <w:r>
        <w:rPr>
          <w:rFonts w:hint="eastAsia" w:ascii="Times New Roman" w:hAnsi="Times New Roman" w:eastAsia="宋体" w:cs="Times New Roman"/>
          <w:sz w:val="24"/>
        </w:rPr>
        <w:t>。</w:t>
      </w:r>
    </w:p>
    <w:p w14:paraId="315AA4B5">
      <w:pPr>
        <w:spacing w:line="300" w:lineRule="auto"/>
        <w:ind w:firstLine="480" w:firstLineChars="200"/>
        <w:jc w:val="left"/>
        <w:rPr>
          <w:rFonts w:ascii="Times New Roman" w:hAnsi="Times New Roman" w:eastAsia="宋体" w:cs="Times New Roman"/>
          <w:sz w:val="24"/>
        </w:rPr>
      </w:pPr>
      <w:r>
        <w:rPr>
          <w:rFonts w:ascii="Times New Roman" w:hAnsi="Times New Roman" w:eastAsia="宋体" w:cs="Times New Roman"/>
          <w:sz w:val="24"/>
        </w:rPr>
        <w:t>∆</w:t>
      </w:r>
      <w:r>
        <w:rPr>
          <w:rFonts w:ascii="Times New Roman" w:hAnsi="Times New Roman" w:eastAsia="宋体" w:cs="Times New Roman"/>
          <w:i/>
          <w:iCs/>
          <w:sz w:val="24"/>
        </w:rPr>
        <w:t>L</w:t>
      </w:r>
      <w:r>
        <w:rPr>
          <w:rFonts w:hint="eastAsia" w:ascii="Times New Roman" w:hAnsi="Times New Roman" w:eastAsia="宋体" w:cs="Times New Roman"/>
          <w:sz w:val="24"/>
          <w:vertAlign w:val="subscript"/>
        </w:rPr>
        <w:t>2</w:t>
      </w:r>
      <w:r>
        <w:rPr>
          <w:rFonts w:hint="eastAsia" w:ascii="Times New Roman" w:hAnsi="Times New Roman" w:eastAsia="宋体" w:cs="Times New Roman"/>
          <w:sz w:val="24"/>
        </w:rPr>
        <w:t>按公式计算：</w:t>
      </w:r>
    </w:p>
    <w:p w14:paraId="15362876">
      <w:pPr>
        <w:spacing w:beforeLines="50" w:afterLines="50" w:line="300" w:lineRule="auto"/>
        <w:jc w:val="center"/>
        <w:rPr>
          <w:rFonts w:ascii="Times New Roman" w:hAnsi="Times New Roman" w:eastAsia="宋体" w:cs="Times New Roman"/>
          <w:sz w:val="24"/>
        </w:rPr>
      </w:pPr>
      <w:r>
        <w:rPr>
          <w:rFonts w:ascii="Times New Roman" w:hAnsi="Times New Roman" w:eastAsia="宋体" w:cs="Times New Roman"/>
          <w:sz w:val="24"/>
        </w:rPr>
        <w:t>∆</w:t>
      </w:r>
      <w:r>
        <w:rPr>
          <w:rFonts w:ascii="Times New Roman" w:hAnsi="Times New Roman" w:eastAsia="宋体" w:cs="Times New Roman"/>
          <w:i/>
          <w:iCs/>
          <w:sz w:val="24"/>
        </w:rPr>
        <w:t>L</w:t>
      </w:r>
      <w:r>
        <w:rPr>
          <w:rFonts w:hint="eastAsia" w:ascii="Times New Roman" w:hAnsi="Times New Roman" w:eastAsia="宋体" w:cs="Times New Roman"/>
          <w:sz w:val="24"/>
          <w:vertAlign w:val="subscript"/>
        </w:rPr>
        <w:t>2</w:t>
      </w:r>
      <w:r>
        <w:rPr>
          <w:rFonts w:hint="eastAsia" w:ascii="Times New Roman" w:hAnsi="Times New Roman" w:eastAsia="宋体" w:cs="Times New Roman"/>
          <w:i/>
          <w:iCs/>
          <w:sz w:val="24"/>
        </w:rPr>
        <w:t>=A</w:t>
      </w:r>
      <w:r>
        <w:rPr>
          <w:rFonts w:hint="eastAsia" w:ascii="Times New Roman" w:hAnsi="Times New Roman" w:eastAsia="宋体" w:cs="Times New Roman"/>
          <w:sz w:val="24"/>
          <w:vertAlign w:val="subscript"/>
        </w:rPr>
        <w:t>gr</w:t>
      </w:r>
      <w:r>
        <w:rPr>
          <w:rFonts w:hint="eastAsia" w:ascii="宋体" w:hAnsi="宋体" w:eastAsia="宋体" w:cs="宋体"/>
          <w:sz w:val="24"/>
        </w:rPr>
        <w:t>＋</w:t>
      </w:r>
      <w:r>
        <w:rPr>
          <w:rFonts w:hint="eastAsia" w:ascii="Times New Roman" w:hAnsi="Times New Roman" w:eastAsia="宋体" w:cs="Times New Roman"/>
          <w:i/>
          <w:iCs/>
          <w:sz w:val="24"/>
        </w:rPr>
        <w:t>A</w:t>
      </w:r>
      <w:r>
        <w:rPr>
          <w:rFonts w:hint="eastAsia" w:ascii="Times New Roman" w:hAnsi="Times New Roman" w:eastAsia="宋体" w:cs="Times New Roman"/>
          <w:sz w:val="24"/>
          <w:vertAlign w:val="subscript"/>
        </w:rPr>
        <w:t>bar</w:t>
      </w:r>
      <w:r>
        <w:rPr>
          <w:rFonts w:hint="eastAsia" w:ascii="宋体" w:hAnsi="宋体" w:eastAsia="宋体" w:cs="宋体"/>
          <w:sz w:val="24"/>
        </w:rPr>
        <w:t>＋</w:t>
      </w:r>
      <w:r>
        <w:rPr>
          <w:rFonts w:hint="eastAsia" w:ascii="Times New Roman" w:hAnsi="Times New Roman" w:eastAsia="宋体" w:cs="Times New Roman"/>
          <w:i/>
          <w:iCs/>
          <w:sz w:val="24"/>
        </w:rPr>
        <w:t>A</w:t>
      </w:r>
      <w:r>
        <w:rPr>
          <w:rFonts w:hint="eastAsia" w:ascii="Times New Roman" w:hAnsi="Times New Roman" w:eastAsia="宋体" w:cs="Times New Roman"/>
          <w:sz w:val="24"/>
          <w:vertAlign w:val="subscript"/>
        </w:rPr>
        <w:t>fol</w:t>
      </w:r>
      <w:r>
        <w:rPr>
          <w:rFonts w:hint="eastAsia" w:ascii="宋体" w:hAnsi="宋体" w:eastAsia="宋体" w:cs="宋体"/>
          <w:sz w:val="24"/>
        </w:rPr>
        <w:t>＋</w:t>
      </w:r>
      <w:r>
        <w:rPr>
          <w:rFonts w:hint="eastAsia" w:ascii="Times New Roman" w:hAnsi="Times New Roman" w:eastAsia="宋体" w:cs="Times New Roman"/>
          <w:i/>
          <w:iCs/>
          <w:sz w:val="24"/>
        </w:rPr>
        <w:t>A</w:t>
      </w:r>
      <w:r>
        <w:rPr>
          <w:rFonts w:hint="eastAsia" w:ascii="Times New Roman" w:hAnsi="Times New Roman" w:eastAsia="宋体" w:cs="Times New Roman"/>
          <w:sz w:val="24"/>
          <w:vertAlign w:val="subscript"/>
        </w:rPr>
        <w:t>atm</w:t>
      </w:r>
    </w:p>
    <w:p w14:paraId="135C785D">
      <w:pPr>
        <w:spacing w:line="30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式中：∆</w:t>
      </w:r>
      <w:r>
        <w:rPr>
          <w:rFonts w:ascii="Times New Roman" w:hAnsi="Times New Roman" w:eastAsia="宋体" w:cs="Times New Roman"/>
          <w:i/>
          <w:iCs/>
          <w:sz w:val="24"/>
        </w:rPr>
        <w:t>L</w:t>
      </w:r>
      <w:r>
        <w:rPr>
          <w:rFonts w:hint="eastAsia" w:ascii="Times New Roman" w:hAnsi="Times New Roman" w:eastAsia="宋体" w:cs="Times New Roman"/>
          <w:sz w:val="24"/>
          <w:vertAlign w:val="subscript"/>
        </w:rPr>
        <w:t>2</w:t>
      </w:r>
      <w:r>
        <w:rPr>
          <w:rFonts w:ascii="Times New Roman" w:hAnsi="Times New Roman" w:eastAsia="宋体" w:cs="Times New Roman"/>
          <w:sz w:val="24"/>
        </w:rPr>
        <w:t>——声波传播途径中引起的衰减量，dB(A)</w:t>
      </w:r>
      <w:r>
        <w:rPr>
          <w:rFonts w:hint="eastAsia" w:ascii="Times New Roman" w:hAnsi="Times New Roman" w:eastAsia="宋体" w:cs="Times New Roman"/>
          <w:sz w:val="24"/>
        </w:rPr>
        <w:t xml:space="preserve"> ；</w:t>
      </w:r>
    </w:p>
    <w:p w14:paraId="3A4CCF75">
      <w:pPr>
        <w:spacing w:line="300" w:lineRule="auto"/>
        <w:ind w:firstLine="1200" w:firstLineChars="500"/>
        <w:rPr>
          <w:rFonts w:ascii="Times New Roman" w:hAnsi="Times New Roman" w:eastAsia="宋体" w:cs="Times New Roman"/>
          <w:sz w:val="24"/>
        </w:rPr>
      </w:pPr>
      <w:r>
        <w:rPr>
          <w:rFonts w:hint="eastAsia" w:ascii="Times New Roman" w:hAnsi="Times New Roman" w:eastAsia="宋体" w:cs="Times New Roman"/>
          <w:i/>
          <w:iCs/>
          <w:sz w:val="24"/>
        </w:rPr>
        <w:t>A</w:t>
      </w:r>
      <w:r>
        <w:rPr>
          <w:rFonts w:hint="eastAsia" w:ascii="Times New Roman" w:hAnsi="Times New Roman" w:eastAsia="宋体" w:cs="Times New Roman"/>
          <w:sz w:val="24"/>
          <w:vertAlign w:val="subscript"/>
        </w:rPr>
        <w:t>gr</w:t>
      </w:r>
      <w:r>
        <w:rPr>
          <w:rFonts w:ascii="Times New Roman" w:hAnsi="Times New Roman" w:eastAsia="宋体" w:cs="Times New Roman"/>
          <w:sz w:val="24"/>
        </w:rPr>
        <w:t>——地面吸收</w:t>
      </w:r>
      <w:r>
        <w:rPr>
          <w:rFonts w:hint="eastAsia" w:ascii="Times New Roman" w:hAnsi="Times New Roman" w:eastAsia="宋体" w:cs="Times New Roman"/>
          <w:sz w:val="24"/>
        </w:rPr>
        <w:t>引起的</w:t>
      </w:r>
      <w:r>
        <w:rPr>
          <w:rFonts w:ascii="Times New Roman" w:hAnsi="Times New Roman" w:eastAsia="宋体" w:cs="Times New Roman"/>
          <w:sz w:val="24"/>
        </w:rPr>
        <w:t>衰减量，dB(A)；</w:t>
      </w:r>
    </w:p>
    <w:p w14:paraId="6EB5E13C">
      <w:pPr>
        <w:spacing w:line="300" w:lineRule="auto"/>
        <w:ind w:firstLine="1200" w:firstLineChars="500"/>
        <w:rPr>
          <w:rFonts w:ascii="Times New Roman" w:hAnsi="Times New Roman" w:eastAsia="宋体" w:cs="Times New Roman"/>
          <w:sz w:val="24"/>
        </w:rPr>
      </w:pPr>
      <w:r>
        <w:rPr>
          <w:rFonts w:hint="eastAsia" w:ascii="Times New Roman" w:hAnsi="Times New Roman" w:eastAsia="宋体" w:cs="Times New Roman"/>
          <w:i/>
          <w:iCs/>
          <w:sz w:val="24"/>
        </w:rPr>
        <w:t>A</w:t>
      </w:r>
      <w:r>
        <w:rPr>
          <w:rFonts w:hint="eastAsia" w:ascii="Times New Roman" w:hAnsi="Times New Roman" w:eastAsia="宋体" w:cs="Times New Roman"/>
          <w:sz w:val="24"/>
          <w:vertAlign w:val="subscript"/>
        </w:rPr>
        <w:t>bar</w:t>
      </w:r>
      <w:r>
        <w:rPr>
          <w:rFonts w:ascii="Times New Roman" w:hAnsi="Times New Roman" w:eastAsia="宋体" w:cs="Times New Roman"/>
          <w:sz w:val="24"/>
        </w:rPr>
        <w:t>——遮挡物引起的衰减量，dB(A)；</w:t>
      </w:r>
    </w:p>
    <w:p w14:paraId="222C50CD">
      <w:pPr>
        <w:spacing w:line="300" w:lineRule="auto"/>
        <w:ind w:firstLine="1200" w:firstLineChars="500"/>
        <w:rPr>
          <w:rFonts w:ascii="Times New Roman" w:hAnsi="Times New Roman" w:eastAsia="宋体" w:cs="Times New Roman"/>
          <w:sz w:val="24"/>
        </w:rPr>
      </w:pPr>
      <w:r>
        <w:rPr>
          <w:rFonts w:hint="eastAsia" w:ascii="Times New Roman" w:hAnsi="Times New Roman" w:eastAsia="宋体" w:cs="Times New Roman"/>
          <w:i/>
          <w:iCs/>
          <w:sz w:val="24"/>
        </w:rPr>
        <w:t>A</w:t>
      </w:r>
      <w:r>
        <w:rPr>
          <w:rFonts w:hint="eastAsia" w:ascii="Times New Roman" w:hAnsi="Times New Roman" w:eastAsia="宋体" w:cs="Times New Roman"/>
          <w:sz w:val="24"/>
          <w:vertAlign w:val="subscript"/>
        </w:rPr>
        <w:t>fol</w:t>
      </w:r>
      <w:r>
        <w:rPr>
          <w:rFonts w:ascii="Times New Roman" w:hAnsi="Times New Roman" w:eastAsia="宋体" w:cs="Times New Roman"/>
          <w:sz w:val="24"/>
        </w:rPr>
        <w:t>——绿化林带</w:t>
      </w:r>
      <w:r>
        <w:rPr>
          <w:rFonts w:hint="eastAsia" w:ascii="Times New Roman" w:hAnsi="Times New Roman" w:eastAsia="宋体" w:cs="Times New Roman"/>
          <w:sz w:val="24"/>
        </w:rPr>
        <w:t>引起的</w:t>
      </w:r>
      <w:r>
        <w:rPr>
          <w:rFonts w:ascii="Times New Roman" w:hAnsi="Times New Roman" w:eastAsia="宋体" w:cs="Times New Roman"/>
          <w:sz w:val="24"/>
        </w:rPr>
        <w:t>的衰减量，dB(A)；</w:t>
      </w:r>
    </w:p>
    <w:p w14:paraId="774C69E5">
      <w:pPr>
        <w:spacing w:line="300" w:lineRule="auto"/>
        <w:ind w:firstLine="1200" w:firstLineChars="500"/>
        <w:rPr>
          <w:rFonts w:ascii="Times New Roman" w:hAnsi="Times New Roman" w:eastAsia="宋体" w:cs="Times New Roman"/>
          <w:sz w:val="24"/>
        </w:rPr>
      </w:pPr>
      <w:r>
        <w:rPr>
          <w:rFonts w:hint="eastAsia" w:ascii="Times New Roman" w:hAnsi="Times New Roman" w:eastAsia="宋体" w:cs="Times New Roman"/>
          <w:i/>
          <w:iCs/>
          <w:sz w:val="24"/>
        </w:rPr>
        <w:t>A</w:t>
      </w:r>
      <w:r>
        <w:rPr>
          <w:rFonts w:hint="eastAsia" w:ascii="Times New Roman" w:hAnsi="Times New Roman" w:eastAsia="宋体" w:cs="Times New Roman"/>
          <w:sz w:val="24"/>
          <w:vertAlign w:val="subscript"/>
        </w:rPr>
        <w:t>atm</w:t>
      </w:r>
      <w:r>
        <w:rPr>
          <w:rFonts w:ascii="Times New Roman" w:hAnsi="Times New Roman" w:eastAsia="宋体" w:cs="Times New Roman"/>
          <w:sz w:val="24"/>
        </w:rPr>
        <w:t>——</w:t>
      </w:r>
      <w:r>
        <w:rPr>
          <w:rFonts w:hint="eastAsia" w:ascii="Times New Roman" w:hAnsi="Times New Roman" w:eastAsia="宋体" w:cs="Times New Roman"/>
          <w:sz w:val="24"/>
        </w:rPr>
        <w:t>大气</w:t>
      </w:r>
      <w:r>
        <w:rPr>
          <w:rFonts w:ascii="Times New Roman" w:hAnsi="Times New Roman" w:eastAsia="宋体" w:cs="Times New Roman"/>
          <w:sz w:val="24"/>
        </w:rPr>
        <w:t>吸收引起的衰减</w:t>
      </w:r>
      <w:r>
        <w:rPr>
          <w:rFonts w:hint="eastAsia" w:ascii="Times New Roman" w:hAnsi="Times New Roman" w:eastAsia="宋体" w:cs="Times New Roman"/>
          <w:sz w:val="24"/>
        </w:rPr>
        <w:t>量</w:t>
      </w:r>
      <w:r>
        <w:rPr>
          <w:rFonts w:ascii="Times New Roman" w:hAnsi="Times New Roman" w:eastAsia="宋体" w:cs="Times New Roman"/>
          <w:sz w:val="24"/>
        </w:rPr>
        <w:t>，dB(A)。</w:t>
      </w:r>
    </w:p>
    <w:p w14:paraId="4BE5509A">
      <w:pPr>
        <w:spacing w:line="300" w:lineRule="auto"/>
        <w:ind w:firstLine="480" w:firstLineChars="200"/>
        <w:rPr>
          <w:rFonts w:ascii="Times New Roman" w:hAnsi="Times New Roman" w:eastAsia="宋体" w:cs="Times New Roman"/>
          <w:bCs/>
          <w:sz w:val="24"/>
        </w:rPr>
      </w:pPr>
      <w:r>
        <w:rPr>
          <w:rFonts w:ascii="Times New Roman" w:hAnsi="Times New Roman" w:cs="Times New Roman" w:eastAsiaTheme="minorEastAsia"/>
          <w:sz w:val="24"/>
        </w:rPr>
        <w:t>(2)</w:t>
      </w:r>
      <w:r>
        <w:rPr>
          <w:rFonts w:hint="eastAsia" w:ascii="Times New Roman" w:hAnsi="Times New Roman" w:cs="Times New Roman" w:eastAsiaTheme="minorEastAsia"/>
          <w:sz w:val="24"/>
        </w:rPr>
        <w:t xml:space="preserve"> </w:t>
      </w:r>
      <w:r>
        <w:rPr>
          <w:rFonts w:hint="eastAsia" w:ascii="Times New Roman" w:hAnsi="Times New Roman" w:eastAsia="宋体" w:cs="Times New Roman"/>
          <w:sz w:val="24"/>
        </w:rPr>
        <w:t>噪声贡献</w:t>
      </w:r>
      <w:r>
        <w:rPr>
          <w:rFonts w:ascii="Times New Roman" w:hAnsi="Times New Roman" w:eastAsia="宋体" w:cs="Times New Roman"/>
          <w:sz w:val="24"/>
        </w:rPr>
        <w:t>值</w:t>
      </w:r>
    </w:p>
    <w:p w14:paraId="4055D2E2">
      <w:pPr>
        <w:spacing w:line="300" w:lineRule="auto"/>
        <w:jc w:val="center"/>
        <w:rPr>
          <w:rFonts w:ascii="Times New Roman" w:hAnsi="Times New Roman" w:eastAsia="宋体" w:cs="Times New Roman"/>
          <w:sz w:val="24"/>
        </w:rPr>
      </w:pPr>
      <w:r>
        <w:rPr>
          <w:rFonts w:ascii="Times New Roman" w:hAnsi="Times New Roman" w:eastAsia="宋体" w:cs="Times New Roman"/>
          <w:position w:val="-22"/>
          <w:sz w:val="24"/>
        </w:rPr>
        <w:object>
          <v:shape id="_x0000_i1057" o:spt="75" type="#_x0000_t75" style="height:27.75pt;width:200.25pt;" o:ole="t" filled="f" o:preferrelative="t" stroked="f" coordsize="21600,21600">
            <v:path/>
            <v:fill on="f" focussize="0,0"/>
            <v:stroke on="f" joinstyle="miter"/>
            <v:imagedata r:id="rId243" o:title=""/>
            <o:lock v:ext="edit" aspectratio="t"/>
            <w10:wrap type="none"/>
            <w10:anchorlock/>
          </v:shape>
          <o:OLEObject Type="Embed" ProgID="Equation.DSMT4" ShapeID="_x0000_i1057" DrawAspect="Content" ObjectID="_1468075757" r:id="rId242">
            <o:LockedField>false</o:LockedField>
          </o:OLEObject>
        </w:object>
      </w:r>
    </w:p>
    <w:p w14:paraId="1EEF973E">
      <w:pPr>
        <w:spacing w:line="300" w:lineRule="auto"/>
        <w:rPr>
          <w:rFonts w:ascii="Times New Roman" w:hAnsi="Times New Roman" w:eastAsia="宋体" w:cs="Times New Roman"/>
          <w:sz w:val="24"/>
        </w:rPr>
      </w:pPr>
      <w:r>
        <w:rPr>
          <w:rFonts w:hint="eastAsia" w:ascii="Times New Roman" w:hAnsi="Times New Roman" w:eastAsia="宋体" w:cs="Times New Roman"/>
          <w:sz w:val="24"/>
        </w:rPr>
        <w:t>式中：</w:t>
      </w:r>
      <w:r>
        <w:rPr>
          <w:rFonts w:hint="eastAsia" w:ascii="Times New Roman" w:hAnsi="Times New Roman" w:eastAsia="宋体" w:cs="Times New Roman"/>
          <w:i/>
          <w:iCs/>
          <w:sz w:val="24"/>
        </w:rPr>
        <w:t>L</w:t>
      </w:r>
      <w:r>
        <w:rPr>
          <w:rFonts w:hint="eastAsia" w:ascii="Times New Roman" w:hAnsi="Times New Roman" w:eastAsia="宋体" w:cs="Times New Roman"/>
          <w:sz w:val="24"/>
          <w:vertAlign w:val="subscript"/>
        </w:rPr>
        <w:t>Aeqg</w:t>
      </w:r>
      <w:r>
        <w:rPr>
          <w:rFonts w:ascii="Times New Roman" w:hAnsi="Times New Roman" w:eastAsia="宋体" w:cs="Times New Roman"/>
          <w:sz w:val="24"/>
        </w:rPr>
        <w:t>——</w:t>
      </w:r>
      <w:r>
        <w:rPr>
          <w:rFonts w:hint="eastAsia" w:ascii="Times New Roman" w:hAnsi="Times New Roman" w:eastAsia="宋体" w:cs="Times New Roman"/>
          <w:sz w:val="24"/>
        </w:rPr>
        <w:t>公路建设项目声源在预测点产生的</w:t>
      </w:r>
      <w:r>
        <w:rPr>
          <w:rFonts w:ascii="Times New Roman" w:hAnsi="Times New Roman" w:eastAsia="宋体" w:cs="Times New Roman"/>
          <w:sz w:val="24"/>
        </w:rPr>
        <w:t>噪声</w:t>
      </w:r>
      <w:r>
        <w:rPr>
          <w:rFonts w:hint="eastAsia" w:ascii="Times New Roman" w:hAnsi="Times New Roman" w:eastAsia="宋体" w:cs="Times New Roman"/>
          <w:sz w:val="24"/>
        </w:rPr>
        <w:t>贡献</w:t>
      </w:r>
      <w:r>
        <w:rPr>
          <w:rFonts w:ascii="Times New Roman" w:hAnsi="Times New Roman" w:eastAsia="宋体" w:cs="Times New Roman"/>
          <w:sz w:val="24"/>
        </w:rPr>
        <w:t>值，</w:t>
      </w:r>
      <w:r>
        <w:rPr>
          <w:rFonts w:ascii="Times New Roman" w:hAnsi="Times New Roman" w:eastAsia="宋体" w:cs="Times New Roman"/>
          <w:bCs/>
          <w:sz w:val="24"/>
        </w:rPr>
        <w:t>dB(A)</w:t>
      </w:r>
      <w:r>
        <w:rPr>
          <w:rFonts w:hint="eastAsia" w:ascii="Times New Roman" w:hAnsi="Times New Roman" w:eastAsia="宋体" w:cs="Times New Roman"/>
          <w:bCs/>
          <w:sz w:val="24"/>
        </w:rPr>
        <w:t>；</w:t>
      </w:r>
    </w:p>
    <w:p w14:paraId="492CA992">
      <w:pPr>
        <w:spacing w:line="300" w:lineRule="auto"/>
        <w:ind w:firstLine="720" w:firstLineChars="300"/>
        <w:rPr>
          <w:rFonts w:ascii="Times New Roman" w:hAnsi="Times New Roman" w:eastAsia="宋体" w:cs="Times New Roman"/>
          <w:bCs/>
          <w:sz w:val="24"/>
        </w:rPr>
      </w:pPr>
      <w:r>
        <w:rPr>
          <w:rFonts w:hint="eastAsia" w:ascii="Times New Roman" w:hAnsi="Times New Roman" w:eastAsia="宋体" w:cs="Times New Roman"/>
          <w:i/>
          <w:iCs/>
          <w:sz w:val="24"/>
        </w:rPr>
        <w:t>L</w:t>
      </w:r>
      <w:r>
        <w:rPr>
          <w:rFonts w:hint="eastAsia" w:ascii="Times New Roman" w:hAnsi="Times New Roman" w:eastAsia="宋体" w:cs="Times New Roman"/>
          <w:sz w:val="24"/>
          <w:vertAlign w:val="subscript"/>
        </w:rPr>
        <w:t>Aeql</w:t>
      </w:r>
      <w:r>
        <w:rPr>
          <w:rFonts w:ascii="Times New Roman" w:hAnsi="Times New Roman" w:eastAsia="宋体" w:cs="Times New Roman"/>
          <w:spacing w:val="4"/>
          <w:sz w:val="24"/>
        </w:rPr>
        <w:t>——</w:t>
      </w:r>
      <w:r>
        <w:rPr>
          <w:rFonts w:hint="eastAsia" w:ascii="Times New Roman" w:hAnsi="Times New Roman" w:eastAsia="宋体" w:cs="Times New Roman"/>
          <w:spacing w:val="4"/>
          <w:sz w:val="24"/>
        </w:rPr>
        <w:t>大型车</w:t>
      </w:r>
      <w:r>
        <w:rPr>
          <w:rFonts w:ascii="Times New Roman" w:hAnsi="Times New Roman" w:eastAsia="宋体" w:cs="Times New Roman"/>
          <w:spacing w:val="4"/>
          <w:sz w:val="24"/>
        </w:rPr>
        <w:t>的噪声</w:t>
      </w:r>
      <w:r>
        <w:rPr>
          <w:rFonts w:hint="eastAsia" w:ascii="Times New Roman" w:hAnsi="Times New Roman" w:eastAsia="宋体" w:cs="Times New Roman"/>
          <w:spacing w:val="4"/>
          <w:sz w:val="24"/>
        </w:rPr>
        <w:t>贡献</w:t>
      </w:r>
      <w:r>
        <w:rPr>
          <w:rFonts w:ascii="Times New Roman" w:hAnsi="Times New Roman" w:eastAsia="宋体" w:cs="Times New Roman"/>
          <w:spacing w:val="4"/>
          <w:sz w:val="24"/>
        </w:rPr>
        <w:t>值，</w:t>
      </w:r>
      <w:r>
        <w:rPr>
          <w:rFonts w:ascii="Times New Roman" w:hAnsi="Times New Roman" w:eastAsia="宋体" w:cs="Times New Roman"/>
          <w:bCs/>
          <w:sz w:val="24"/>
        </w:rPr>
        <w:t>dB(A)</w:t>
      </w:r>
      <w:r>
        <w:rPr>
          <w:rFonts w:hint="eastAsia" w:ascii="Times New Roman" w:hAnsi="Times New Roman" w:eastAsia="宋体" w:cs="Times New Roman"/>
          <w:bCs/>
          <w:sz w:val="24"/>
        </w:rPr>
        <w:t>；</w:t>
      </w:r>
    </w:p>
    <w:p w14:paraId="06A6ACF7">
      <w:pPr>
        <w:spacing w:line="300" w:lineRule="auto"/>
        <w:ind w:firstLine="720" w:firstLineChars="300"/>
        <w:rPr>
          <w:rFonts w:ascii="Times New Roman" w:hAnsi="Times New Roman" w:eastAsia="宋体" w:cs="Times New Roman"/>
          <w:bCs/>
          <w:sz w:val="24"/>
        </w:rPr>
      </w:pPr>
      <w:r>
        <w:rPr>
          <w:rFonts w:hint="eastAsia" w:ascii="Times New Roman" w:hAnsi="Times New Roman" w:eastAsia="宋体" w:cs="Times New Roman"/>
          <w:i/>
          <w:iCs/>
          <w:sz w:val="24"/>
        </w:rPr>
        <w:t>L</w:t>
      </w:r>
      <w:r>
        <w:rPr>
          <w:rFonts w:hint="eastAsia" w:ascii="Times New Roman" w:hAnsi="Times New Roman" w:eastAsia="宋体" w:cs="Times New Roman"/>
          <w:sz w:val="24"/>
          <w:vertAlign w:val="subscript"/>
        </w:rPr>
        <w:t>Aeqm</w:t>
      </w:r>
      <w:r>
        <w:rPr>
          <w:rFonts w:ascii="Times New Roman" w:hAnsi="Times New Roman" w:eastAsia="宋体" w:cs="Times New Roman"/>
          <w:spacing w:val="4"/>
          <w:sz w:val="24"/>
        </w:rPr>
        <w:t>——</w:t>
      </w:r>
      <w:r>
        <w:rPr>
          <w:rFonts w:hint="eastAsia" w:ascii="Times New Roman" w:hAnsi="Times New Roman" w:eastAsia="宋体" w:cs="Times New Roman"/>
          <w:spacing w:val="4"/>
          <w:sz w:val="24"/>
        </w:rPr>
        <w:t>中型车</w:t>
      </w:r>
      <w:r>
        <w:rPr>
          <w:rFonts w:ascii="Times New Roman" w:hAnsi="Times New Roman" w:eastAsia="宋体" w:cs="Times New Roman"/>
          <w:spacing w:val="4"/>
          <w:sz w:val="24"/>
        </w:rPr>
        <w:t>的噪声</w:t>
      </w:r>
      <w:r>
        <w:rPr>
          <w:rFonts w:hint="eastAsia" w:ascii="Times New Roman" w:hAnsi="Times New Roman" w:eastAsia="宋体" w:cs="Times New Roman"/>
          <w:spacing w:val="4"/>
          <w:sz w:val="24"/>
        </w:rPr>
        <w:t>贡献</w:t>
      </w:r>
      <w:r>
        <w:rPr>
          <w:rFonts w:ascii="Times New Roman" w:hAnsi="Times New Roman" w:eastAsia="宋体" w:cs="Times New Roman"/>
          <w:spacing w:val="4"/>
          <w:sz w:val="24"/>
        </w:rPr>
        <w:t>值，</w:t>
      </w:r>
      <w:r>
        <w:rPr>
          <w:rFonts w:ascii="Times New Roman" w:hAnsi="Times New Roman" w:eastAsia="宋体" w:cs="Times New Roman"/>
          <w:bCs/>
          <w:sz w:val="24"/>
        </w:rPr>
        <w:t>dB(A)</w:t>
      </w:r>
      <w:r>
        <w:rPr>
          <w:rFonts w:hint="eastAsia" w:ascii="Times New Roman" w:hAnsi="Times New Roman" w:eastAsia="宋体" w:cs="Times New Roman"/>
          <w:bCs/>
          <w:sz w:val="24"/>
        </w:rPr>
        <w:t>；</w:t>
      </w:r>
    </w:p>
    <w:p w14:paraId="66DB39DD">
      <w:pPr>
        <w:spacing w:line="300" w:lineRule="auto"/>
        <w:ind w:firstLine="720" w:firstLineChars="300"/>
        <w:rPr>
          <w:rFonts w:ascii="Times New Roman" w:hAnsi="Times New Roman" w:eastAsia="宋体" w:cs="Times New Roman"/>
          <w:sz w:val="24"/>
        </w:rPr>
      </w:pPr>
      <w:r>
        <w:rPr>
          <w:rFonts w:hint="eastAsia" w:ascii="Times New Roman" w:hAnsi="Times New Roman" w:eastAsia="宋体" w:cs="Times New Roman"/>
          <w:i/>
          <w:iCs/>
          <w:sz w:val="24"/>
        </w:rPr>
        <w:t>L</w:t>
      </w:r>
      <w:r>
        <w:rPr>
          <w:rFonts w:hint="eastAsia" w:ascii="Times New Roman" w:hAnsi="Times New Roman" w:eastAsia="宋体" w:cs="Times New Roman"/>
          <w:sz w:val="24"/>
          <w:vertAlign w:val="subscript"/>
        </w:rPr>
        <w:t>Aeqs</w:t>
      </w:r>
      <w:r>
        <w:rPr>
          <w:rFonts w:ascii="Times New Roman" w:hAnsi="Times New Roman" w:eastAsia="宋体" w:cs="Times New Roman"/>
          <w:spacing w:val="4"/>
          <w:sz w:val="24"/>
        </w:rPr>
        <w:t>——</w:t>
      </w:r>
      <w:r>
        <w:rPr>
          <w:rFonts w:hint="eastAsia" w:ascii="Times New Roman" w:hAnsi="Times New Roman" w:eastAsia="宋体" w:cs="Times New Roman"/>
          <w:spacing w:val="4"/>
          <w:sz w:val="24"/>
        </w:rPr>
        <w:t>小型车</w:t>
      </w:r>
      <w:r>
        <w:rPr>
          <w:rFonts w:ascii="Times New Roman" w:hAnsi="Times New Roman" w:eastAsia="宋体" w:cs="Times New Roman"/>
          <w:spacing w:val="4"/>
          <w:sz w:val="24"/>
        </w:rPr>
        <w:t>的噪声</w:t>
      </w:r>
      <w:r>
        <w:rPr>
          <w:rFonts w:hint="eastAsia" w:ascii="Times New Roman" w:hAnsi="Times New Roman" w:eastAsia="宋体" w:cs="Times New Roman"/>
          <w:spacing w:val="4"/>
          <w:sz w:val="24"/>
        </w:rPr>
        <w:t>贡献</w:t>
      </w:r>
      <w:r>
        <w:rPr>
          <w:rFonts w:ascii="Times New Roman" w:hAnsi="Times New Roman" w:eastAsia="宋体" w:cs="Times New Roman"/>
          <w:spacing w:val="4"/>
          <w:sz w:val="24"/>
        </w:rPr>
        <w:t>值，</w:t>
      </w:r>
      <w:r>
        <w:rPr>
          <w:rFonts w:ascii="Times New Roman" w:hAnsi="Times New Roman" w:eastAsia="宋体" w:cs="Times New Roman"/>
          <w:bCs/>
          <w:sz w:val="24"/>
        </w:rPr>
        <w:t>dB(A)</w:t>
      </w:r>
      <w:r>
        <w:rPr>
          <w:rFonts w:hint="eastAsia" w:ascii="Times New Roman" w:hAnsi="Times New Roman" w:eastAsia="宋体" w:cs="Times New Roman"/>
          <w:bCs/>
          <w:sz w:val="24"/>
        </w:rPr>
        <w:t>。</w:t>
      </w:r>
    </w:p>
    <w:p w14:paraId="5E9F3CFD">
      <w:pPr>
        <w:spacing w:line="300" w:lineRule="auto"/>
        <w:ind w:firstLine="480" w:firstLineChars="200"/>
        <w:rPr>
          <w:rFonts w:ascii="Times New Roman" w:hAnsi="Times New Roman" w:cs="Times New Roman" w:eastAsiaTheme="minorEastAsia"/>
          <w:sz w:val="24"/>
        </w:rPr>
      </w:pPr>
      <w:r>
        <w:rPr>
          <w:rFonts w:ascii="Times New Roman" w:hAnsi="Times New Roman" w:cs="Times New Roman" w:eastAsiaTheme="minorEastAsia"/>
          <w:sz w:val="24"/>
        </w:rPr>
        <w:t>(</w:t>
      </w:r>
      <w:r>
        <w:rPr>
          <w:rFonts w:hint="eastAsia" w:ascii="Times New Roman" w:hAnsi="Times New Roman" w:cs="Times New Roman" w:eastAsiaTheme="minorEastAsia"/>
          <w:sz w:val="24"/>
        </w:rPr>
        <w:t>3</w:t>
      </w:r>
      <w:r>
        <w:rPr>
          <w:rFonts w:ascii="Times New Roman" w:hAnsi="Times New Roman" w:cs="Times New Roman" w:eastAsiaTheme="minorEastAsia"/>
          <w:sz w:val="24"/>
        </w:rPr>
        <w:t>)</w:t>
      </w:r>
      <w:r>
        <w:rPr>
          <w:rFonts w:hint="eastAsia" w:ascii="Times New Roman" w:hAnsi="Times New Roman" w:cs="Times New Roman" w:eastAsiaTheme="minorEastAsia"/>
          <w:sz w:val="24"/>
        </w:rPr>
        <w:t xml:space="preserve"> 噪声预测值</w:t>
      </w:r>
    </w:p>
    <w:p w14:paraId="53796C16">
      <w:pPr>
        <w:spacing w:line="300" w:lineRule="auto"/>
        <w:jc w:val="center"/>
        <w:rPr>
          <w:rFonts w:ascii="Times New Roman" w:hAnsi="Times New Roman" w:eastAsia="宋体" w:cs="Times New Roman"/>
          <w:sz w:val="24"/>
        </w:rPr>
      </w:pPr>
      <w:r>
        <w:rPr>
          <w:rFonts w:ascii="Times New Roman" w:hAnsi="Times New Roman" w:eastAsia="宋体" w:cs="Times New Roman"/>
          <w:position w:val="-18"/>
          <w:sz w:val="24"/>
        </w:rPr>
        <w:object>
          <v:shape id="_x0000_i1058" o:spt="75" type="#_x0000_t75" style="height:24pt;width:154.5pt;" o:ole="t" filled="f" o:preferrelative="t" stroked="f" coordsize="21600,21600">
            <v:path/>
            <v:fill on="f" focussize="0,0"/>
            <v:stroke on="f" joinstyle="miter"/>
            <v:imagedata r:id="rId245" o:title=""/>
            <o:lock v:ext="edit" aspectratio="t"/>
            <w10:wrap type="none"/>
            <w10:anchorlock/>
          </v:shape>
          <o:OLEObject Type="Embed" ProgID="Equation.DSMT4" ShapeID="_x0000_i1058" DrawAspect="Content" ObjectID="_1468075758" r:id="rId244">
            <o:LockedField>false</o:LockedField>
          </o:OLEObject>
        </w:object>
      </w:r>
    </w:p>
    <w:p w14:paraId="0C2BD3DB">
      <w:pPr>
        <w:spacing w:line="300" w:lineRule="auto"/>
        <w:ind w:firstLine="480" w:firstLineChars="200"/>
        <w:rPr>
          <w:rFonts w:ascii="Times New Roman" w:hAnsi="Times New Roman" w:eastAsia="宋体" w:cs="Times New Roman"/>
          <w:spacing w:val="4"/>
          <w:sz w:val="24"/>
        </w:rPr>
      </w:pPr>
      <w:r>
        <w:rPr>
          <w:rFonts w:ascii="Times New Roman" w:hAnsi="Times New Roman" w:eastAsia="宋体" w:cs="Times New Roman"/>
          <w:sz w:val="24"/>
        </w:rPr>
        <w:t>式中：</w:t>
      </w:r>
      <w:r>
        <w:rPr>
          <w:rFonts w:hint="eastAsia" w:ascii="Times New Roman" w:hAnsi="Times New Roman" w:eastAsia="宋体" w:cs="Times New Roman"/>
          <w:i/>
          <w:iCs/>
          <w:sz w:val="24"/>
        </w:rPr>
        <w:t>L</w:t>
      </w:r>
      <w:r>
        <w:rPr>
          <w:rFonts w:hint="eastAsia" w:ascii="Times New Roman" w:hAnsi="Times New Roman" w:eastAsia="宋体" w:cs="Times New Roman"/>
          <w:sz w:val="24"/>
          <w:vertAlign w:val="subscript"/>
        </w:rPr>
        <w:t>Aeq</w:t>
      </w:r>
      <w:r>
        <w:rPr>
          <w:rFonts w:ascii="Times New Roman" w:hAnsi="Times New Roman" w:eastAsia="宋体" w:cs="Times New Roman"/>
          <w:spacing w:val="4"/>
          <w:sz w:val="24"/>
        </w:rPr>
        <w:t>——预测点的噪声</w:t>
      </w:r>
      <w:r>
        <w:rPr>
          <w:rFonts w:hint="eastAsia" w:ascii="Times New Roman" w:hAnsi="Times New Roman" w:eastAsia="宋体" w:cs="Times New Roman"/>
          <w:spacing w:val="4"/>
          <w:sz w:val="24"/>
        </w:rPr>
        <w:t>预测</w:t>
      </w:r>
      <w:r>
        <w:rPr>
          <w:rFonts w:ascii="Times New Roman" w:hAnsi="Times New Roman" w:eastAsia="宋体" w:cs="Times New Roman"/>
          <w:spacing w:val="4"/>
          <w:sz w:val="24"/>
        </w:rPr>
        <w:t>值，</w:t>
      </w:r>
      <w:r>
        <w:rPr>
          <w:rFonts w:ascii="Times New Roman" w:hAnsi="Times New Roman" w:eastAsia="宋体" w:cs="Times New Roman"/>
          <w:bCs/>
          <w:sz w:val="24"/>
        </w:rPr>
        <w:t>dB(A)</w:t>
      </w:r>
      <w:r>
        <w:rPr>
          <w:rFonts w:ascii="Times New Roman" w:hAnsi="Times New Roman" w:eastAsia="宋体" w:cs="Times New Roman"/>
          <w:spacing w:val="4"/>
          <w:sz w:val="24"/>
        </w:rPr>
        <w:t>；</w:t>
      </w:r>
    </w:p>
    <w:p w14:paraId="3421053B">
      <w:pPr>
        <w:spacing w:line="300" w:lineRule="auto"/>
        <w:ind w:firstLine="1200" w:firstLineChars="500"/>
        <w:rPr>
          <w:rFonts w:ascii="Times New Roman" w:hAnsi="Times New Roman" w:eastAsia="宋体" w:cs="Times New Roman"/>
          <w:spacing w:val="4"/>
          <w:sz w:val="24"/>
        </w:rPr>
      </w:pPr>
      <w:r>
        <w:rPr>
          <w:rFonts w:hint="eastAsia" w:ascii="Times New Roman" w:hAnsi="Times New Roman" w:eastAsia="宋体" w:cs="Times New Roman"/>
          <w:i/>
          <w:iCs/>
          <w:sz w:val="24"/>
        </w:rPr>
        <w:t>L</w:t>
      </w:r>
      <w:r>
        <w:rPr>
          <w:rFonts w:hint="eastAsia" w:ascii="Times New Roman" w:hAnsi="Times New Roman" w:eastAsia="宋体" w:cs="Times New Roman"/>
          <w:sz w:val="24"/>
          <w:vertAlign w:val="subscript"/>
        </w:rPr>
        <w:t>Aeqg</w:t>
      </w:r>
      <w:r>
        <w:rPr>
          <w:rFonts w:ascii="Times New Roman" w:hAnsi="Times New Roman" w:eastAsia="宋体" w:cs="Times New Roman"/>
          <w:spacing w:val="4"/>
          <w:sz w:val="24"/>
        </w:rPr>
        <w:t>——预测点的噪声</w:t>
      </w:r>
      <w:r>
        <w:rPr>
          <w:rFonts w:hint="eastAsia" w:ascii="Times New Roman" w:hAnsi="Times New Roman" w:eastAsia="宋体" w:cs="Times New Roman"/>
          <w:spacing w:val="4"/>
          <w:sz w:val="24"/>
        </w:rPr>
        <w:t>贡献</w:t>
      </w:r>
      <w:r>
        <w:rPr>
          <w:rFonts w:ascii="Times New Roman" w:hAnsi="Times New Roman" w:eastAsia="宋体" w:cs="Times New Roman"/>
          <w:spacing w:val="4"/>
          <w:sz w:val="24"/>
        </w:rPr>
        <w:t>值，</w:t>
      </w:r>
      <w:r>
        <w:rPr>
          <w:rFonts w:ascii="Times New Roman" w:hAnsi="Times New Roman" w:eastAsia="宋体" w:cs="Times New Roman"/>
          <w:bCs/>
          <w:sz w:val="24"/>
        </w:rPr>
        <w:t>dB(A)</w:t>
      </w:r>
      <w:r>
        <w:rPr>
          <w:rFonts w:ascii="Times New Roman" w:hAnsi="Times New Roman" w:eastAsia="宋体" w:cs="Times New Roman"/>
          <w:spacing w:val="4"/>
          <w:sz w:val="24"/>
        </w:rPr>
        <w:t>；</w:t>
      </w:r>
    </w:p>
    <w:p w14:paraId="1BAC8F9C">
      <w:pPr>
        <w:spacing w:line="300" w:lineRule="auto"/>
        <w:ind w:firstLine="1200" w:firstLineChars="500"/>
        <w:rPr>
          <w:rFonts w:ascii="Times New Roman" w:hAnsi="Times New Roman" w:eastAsia="宋体" w:cs="Times New Roman"/>
          <w:spacing w:val="4"/>
          <w:sz w:val="24"/>
        </w:rPr>
      </w:pPr>
      <w:r>
        <w:rPr>
          <w:rFonts w:hint="eastAsia" w:ascii="Times New Roman" w:hAnsi="Times New Roman" w:eastAsia="宋体" w:cs="Times New Roman"/>
          <w:i/>
          <w:iCs/>
          <w:sz w:val="24"/>
        </w:rPr>
        <w:t>L</w:t>
      </w:r>
      <w:r>
        <w:rPr>
          <w:rFonts w:hint="eastAsia" w:ascii="Times New Roman" w:hAnsi="Times New Roman" w:eastAsia="宋体" w:cs="Times New Roman"/>
          <w:sz w:val="24"/>
          <w:vertAlign w:val="subscript"/>
        </w:rPr>
        <w:t>Aeqb</w:t>
      </w:r>
      <w:r>
        <w:rPr>
          <w:rFonts w:ascii="Times New Roman" w:hAnsi="Times New Roman" w:eastAsia="宋体" w:cs="Times New Roman"/>
          <w:spacing w:val="4"/>
          <w:sz w:val="24"/>
        </w:rPr>
        <w:t>——预测点的背景噪声值，</w:t>
      </w:r>
      <w:r>
        <w:rPr>
          <w:rFonts w:ascii="Times New Roman" w:hAnsi="Times New Roman" w:eastAsia="宋体" w:cs="Times New Roman"/>
          <w:bCs/>
          <w:sz w:val="24"/>
        </w:rPr>
        <w:t>dB(A)</w:t>
      </w:r>
      <w:r>
        <w:rPr>
          <w:rFonts w:ascii="Times New Roman" w:hAnsi="Times New Roman" w:eastAsia="宋体" w:cs="Times New Roman"/>
          <w:spacing w:val="4"/>
          <w:sz w:val="24"/>
        </w:rPr>
        <w:t>。</w:t>
      </w:r>
    </w:p>
    <w:p w14:paraId="3DE7DC67">
      <w:pPr>
        <w:spacing w:line="300" w:lineRule="auto"/>
        <w:ind w:firstLine="480" w:firstLineChars="200"/>
        <w:rPr>
          <w:rFonts w:ascii="Times New Roman" w:hAnsi="Times New Roman" w:eastAsia="宋体" w:cs="Times New Roman"/>
          <w:kern w:val="0"/>
          <w:sz w:val="24"/>
          <w:szCs w:val="20"/>
        </w:rPr>
      </w:pPr>
      <w:r>
        <w:rPr>
          <w:rFonts w:ascii="Times New Roman" w:hAnsi="Times New Roman" w:eastAsia="宋体" w:cs="Times New Roman"/>
          <w:kern w:val="0"/>
          <w:sz w:val="24"/>
          <w:szCs w:val="20"/>
        </w:rPr>
        <w:t>2. 修正量和衰减量的计算</w:t>
      </w:r>
    </w:p>
    <w:p w14:paraId="182BF66E">
      <w:pPr>
        <w:spacing w:line="300" w:lineRule="auto"/>
        <w:ind w:firstLine="480" w:firstLineChars="200"/>
        <w:rPr>
          <w:rFonts w:ascii="Times New Roman" w:hAnsi="Times New Roman" w:eastAsia="宋体" w:cs="Times New Roman"/>
          <w:sz w:val="24"/>
        </w:rPr>
      </w:pPr>
      <w:r>
        <w:rPr>
          <w:rFonts w:ascii="Times New Roman" w:hAnsi="Times New Roman" w:cs="Times New Roman" w:eastAsiaTheme="minorEastAsia"/>
          <w:sz w:val="24"/>
        </w:rPr>
        <w:t>(</w:t>
      </w:r>
      <w:r>
        <w:rPr>
          <w:rFonts w:hint="eastAsia" w:ascii="Times New Roman" w:hAnsi="Times New Roman" w:cs="Times New Roman" w:eastAsiaTheme="minorEastAsia"/>
          <w:sz w:val="24"/>
        </w:rPr>
        <w:t>1</w:t>
      </w:r>
      <w:r>
        <w:rPr>
          <w:rFonts w:ascii="Times New Roman" w:hAnsi="Times New Roman" w:cs="Times New Roman" w:eastAsiaTheme="minorEastAsia"/>
          <w:sz w:val="24"/>
        </w:rPr>
        <w:t>)</w:t>
      </w:r>
      <w:r>
        <w:rPr>
          <w:rFonts w:hint="eastAsia" w:ascii="Times New Roman" w:hAnsi="Times New Roman" w:cs="Times New Roman" w:eastAsiaTheme="minorEastAsia"/>
          <w:sz w:val="24"/>
        </w:rPr>
        <w:t xml:space="preserve"> </w:t>
      </w:r>
      <w:r>
        <w:rPr>
          <w:rFonts w:ascii="Times New Roman" w:hAnsi="Times New Roman" w:eastAsia="宋体" w:cs="Times New Roman"/>
          <w:sz w:val="24"/>
        </w:rPr>
        <w:t xml:space="preserve"> 纵坡修正量（Δ</w:t>
      </w:r>
      <w:r>
        <w:rPr>
          <w:rFonts w:ascii="Times New Roman" w:hAnsi="Times New Roman" w:eastAsia="宋体" w:cs="Times New Roman"/>
          <w:i/>
          <w:iCs/>
          <w:sz w:val="24"/>
        </w:rPr>
        <w:t>L</w:t>
      </w:r>
      <w:r>
        <w:rPr>
          <w:rFonts w:ascii="Times New Roman" w:hAnsi="Times New Roman" w:eastAsia="宋体" w:cs="Times New Roman"/>
          <w:sz w:val="24"/>
          <w:vertAlign w:val="subscript"/>
        </w:rPr>
        <w:t>坡度</w:t>
      </w:r>
      <w:r>
        <w:rPr>
          <w:rFonts w:ascii="Times New Roman" w:hAnsi="Times New Roman" w:eastAsia="宋体" w:cs="Times New Roman"/>
          <w:sz w:val="24"/>
        </w:rPr>
        <w:t>）</w:t>
      </w:r>
    </w:p>
    <w:p w14:paraId="3E034114">
      <w:pPr>
        <w:spacing w:line="30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公路纵坡</w:t>
      </w:r>
      <w:r>
        <w:rPr>
          <w:rFonts w:hint="eastAsia" w:ascii="Times New Roman" w:hAnsi="Times New Roman" w:eastAsia="宋体" w:cs="Times New Roman"/>
          <w:sz w:val="24"/>
        </w:rPr>
        <w:t>引起的修正量</w:t>
      </w:r>
      <w:r>
        <w:rPr>
          <w:rFonts w:ascii="Times New Roman" w:hAnsi="Times New Roman" w:eastAsia="宋体" w:cs="Times New Roman"/>
          <w:sz w:val="24"/>
        </w:rPr>
        <w:t>可按下式计算：</w:t>
      </w:r>
    </w:p>
    <w:p w14:paraId="1B2035DA">
      <w:pPr>
        <w:autoSpaceDE w:val="0"/>
        <w:autoSpaceDN w:val="0"/>
        <w:spacing w:line="300" w:lineRule="auto"/>
        <w:jc w:val="center"/>
        <w:rPr>
          <w:rFonts w:ascii="Times New Roman" w:hAnsi="Times New Roman" w:eastAsia="宋体" w:cs="Times New Roman"/>
          <w:sz w:val="24"/>
        </w:rPr>
      </w:pPr>
      <w:r>
        <w:rPr>
          <w:rFonts w:ascii="Times New Roman" w:hAnsi="Times New Roman" w:eastAsia="宋体" w:cs="Times New Roman"/>
          <w:sz w:val="24"/>
        </w:rPr>
        <w:t>大型车：Δ</w:t>
      </w:r>
      <w:r>
        <w:rPr>
          <w:rFonts w:ascii="Times New Roman" w:hAnsi="Times New Roman" w:eastAsia="宋体" w:cs="Times New Roman"/>
          <w:i/>
          <w:iCs/>
          <w:sz w:val="24"/>
        </w:rPr>
        <w:t>L</w:t>
      </w:r>
      <w:r>
        <w:rPr>
          <w:rFonts w:ascii="Times New Roman" w:hAnsi="Times New Roman" w:eastAsia="宋体" w:cs="Times New Roman"/>
          <w:sz w:val="24"/>
          <w:vertAlign w:val="subscript"/>
        </w:rPr>
        <w:t>坡度</w:t>
      </w:r>
      <w:r>
        <w:rPr>
          <w:rFonts w:ascii="Times New Roman" w:hAnsi="Times New Roman" w:eastAsia="宋体" w:cs="Times New Roman"/>
          <w:sz w:val="24"/>
        </w:rPr>
        <w:t>=98×β dB(A)</w:t>
      </w:r>
    </w:p>
    <w:p w14:paraId="6EE57344">
      <w:pPr>
        <w:autoSpaceDE w:val="0"/>
        <w:autoSpaceDN w:val="0"/>
        <w:spacing w:line="300" w:lineRule="auto"/>
        <w:jc w:val="center"/>
        <w:rPr>
          <w:rFonts w:ascii="Times New Roman" w:hAnsi="Times New Roman" w:eastAsia="宋体" w:cs="Times New Roman"/>
          <w:sz w:val="24"/>
        </w:rPr>
      </w:pPr>
      <w:r>
        <w:rPr>
          <w:rFonts w:ascii="Times New Roman" w:hAnsi="Times New Roman" w:eastAsia="宋体" w:cs="Times New Roman"/>
          <w:sz w:val="24"/>
        </w:rPr>
        <w:t>中型车：Δ</w:t>
      </w:r>
      <w:r>
        <w:rPr>
          <w:rFonts w:ascii="Times New Roman" w:hAnsi="Times New Roman" w:eastAsia="宋体" w:cs="Times New Roman"/>
          <w:i/>
          <w:iCs/>
          <w:sz w:val="24"/>
        </w:rPr>
        <w:t>L</w:t>
      </w:r>
      <w:r>
        <w:rPr>
          <w:rFonts w:ascii="Times New Roman" w:hAnsi="Times New Roman" w:eastAsia="宋体" w:cs="Times New Roman"/>
          <w:sz w:val="24"/>
          <w:vertAlign w:val="subscript"/>
        </w:rPr>
        <w:t>坡度</w:t>
      </w:r>
      <w:r>
        <w:rPr>
          <w:rFonts w:ascii="Times New Roman" w:hAnsi="Times New Roman" w:eastAsia="宋体" w:cs="Times New Roman"/>
          <w:sz w:val="24"/>
        </w:rPr>
        <w:t>=73×β dB(A)</w:t>
      </w:r>
    </w:p>
    <w:p w14:paraId="40D88A63">
      <w:pPr>
        <w:spacing w:line="300" w:lineRule="auto"/>
        <w:jc w:val="center"/>
        <w:rPr>
          <w:rFonts w:ascii="Times New Roman" w:hAnsi="Times New Roman" w:eastAsia="宋体" w:cs="Times New Roman"/>
          <w:sz w:val="24"/>
        </w:rPr>
      </w:pPr>
      <w:r>
        <w:rPr>
          <w:rFonts w:ascii="Times New Roman" w:hAnsi="Times New Roman" w:eastAsia="宋体" w:cs="Times New Roman"/>
          <w:sz w:val="24"/>
        </w:rPr>
        <w:t>小型车：Δ</w:t>
      </w:r>
      <w:r>
        <w:rPr>
          <w:rFonts w:ascii="Times New Roman" w:hAnsi="Times New Roman" w:eastAsia="宋体" w:cs="Times New Roman"/>
          <w:i/>
          <w:sz w:val="24"/>
        </w:rPr>
        <w:t>L</w:t>
      </w:r>
      <w:r>
        <w:rPr>
          <w:rFonts w:ascii="Times New Roman" w:hAnsi="Times New Roman" w:eastAsia="宋体" w:cs="Times New Roman"/>
          <w:sz w:val="24"/>
          <w:vertAlign w:val="subscript"/>
        </w:rPr>
        <w:t>坡度</w:t>
      </w:r>
      <w:r>
        <w:rPr>
          <w:rFonts w:ascii="Times New Roman" w:hAnsi="Times New Roman" w:eastAsia="宋体" w:cs="Times New Roman"/>
          <w:sz w:val="24"/>
        </w:rPr>
        <w:t>=50×β dB(A)</w:t>
      </w:r>
    </w:p>
    <w:p w14:paraId="3E79C96C">
      <w:pPr>
        <w:autoSpaceDE w:val="0"/>
        <w:autoSpaceDN w:val="0"/>
        <w:spacing w:line="30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式中：∆</w:t>
      </w:r>
      <w:r>
        <w:rPr>
          <w:rFonts w:ascii="Times New Roman" w:hAnsi="Times New Roman" w:eastAsia="宋体" w:cs="Times New Roman"/>
          <w:i/>
          <w:iCs/>
          <w:sz w:val="24"/>
        </w:rPr>
        <w:t>L</w:t>
      </w:r>
      <w:r>
        <w:rPr>
          <w:rFonts w:hint="eastAsia" w:ascii="Times New Roman" w:hAnsi="Times New Roman" w:eastAsia="宋体" w:cs="Times New Roman"/>
          <w:sz w:val="24"/>
          <w:vertAlign w:val="subscript"/>
        </w:rPr>
        <w:t>坡度</w:t>
      </w:r>
      <w:r>
        <w:rPr>
          <w:rFonts w:ascii="Times New Roman" w:hAnsi="Times New Roman" w:eastAsia="宋体" w:cs="Times New Roman"/>
          <w:bCs/>
          <w:sz w:val="24"/>
        </w:rPr>
        <w:t>——</w:t>
      </w:r>
      <w:r>
        <w:rPr>
          <w:rFonts w:ascii="Times New Roman" w:hAnsi="Times New Roman" w:eastAsia="宋体" w:cs="Times New Roman"/>
          <w:sz w:val="24"/>
        </w:rPr>
        <w:t>公路纵坡引起的修正量</w:t>
      </w:r>
      <w:r>
        <w:rPr>
          <w:rFonts w:hint="eastAsia" w:ascii="Times New Roman" w:hAnsi="Times New Roman" w:eastAsia="宋体" w:cs="Times New Roman"/>
          <w:sz w:val="24"/>
        </w:rPr>
        <w:t>，dB(A)；</w:t>
      </w:r>
    </w:p>
    <w:p w14:paraId="74B5EFD7">
      <w:pPr>
        <w:autoSpaceDE w:val="0"/>
        <w:autoSpaceDN w:val="0"/>
        <w:spacing w:line="300" w:lineRule="auto"/>
        <w:ind w:firstLine="1200" w:firstLineChars="500"/>
        <w:rPr>
          <w:rFonts w:ascii="Times New Roman" w:hAnsi="Times New Roman" w:eastAsia="宋体" w:cs="Times New Roman"/>
          <w:sz w:val="24"/>
        </w:rPr>
      </w:pPr>
      <w:r>
        <w:rPr>
          <w:rFonts w:ascii="Times New Roman" w:hAnsi="Times New Roman" w:eastAsia="宋体" w:cs="Times New Roman"/>
          <w:sz w:val="24"/>
        </w:rPr>
        <w:t>β——公路纵坡坡度，%。</w:t>
      </w:r>
    </w:p>
    <w:p w14:paraId="35987BA2">
      <w:pPr>
        <w:spacing w:line="300" w:lineRule="auto"/>
        <w:ind w:firstLine="480" w:firstLineChars="200"/>
        <w:rPr>
          <w:rFonts w:ascii="Times New Roman" w:hAnsi="Times New Roman" w:eastAsia="宋体" w:cs="Times New Roman"/>
          <w:sz w:val="24"/>
        </w:rPr>
      </w:pPr>
      <w:r>
        <w:rPr>
          <w:rFonts w:ascii="Times New Roman" w:hAnsi="Times New Roman" w:cs="Times New Roman" w:eastAsiaTheme="minorEastAsia"/>
          <w:sz w:val="24"/>
        </w:rPr>
        <w:t>(2)</w:t>
      </w:r>
      <w:r>
        <w:rPr>
          <w:rFonts w:ascii="Times New Roman" w:hAnsi="Times New Roman" w:eastAsia="宋体" w:cs="Times New Roman"/>
          <w:sz w:val="24"/>
        </w:rPr>
        <w:t xml:space="preserve"> 路面修正量（Δ</w:t>
      </w:r>
      <w:r>
        <w:rPr>
          <w:rFonts w:ascii="Times New Roman" w:hAnsi="Times New Roman" w:eastAsia="宋体" w:cs="Times New Roman"/>
          <w:i/>
          <w:sz w:val="24"/>
        </w:rPr>
        <w:t>L</w:t>
      </w:r>
      <w:r>
        <w:rPr>
          <w:rFonts w:ascii="Times New Roman" w:hAnsi="Times New Roman" w:eastAsia="宋体" w:cs="Times New Roman"/>
          <w:sz w:val="24"/>
          <w:vertAlign w:val="subscript"/>
        </w:rPr>
        <w:t>路面</w:t>
      </w:r>
      <w:r>
        <w:rPr>
          <w:rFonts w:ascii="Times New Roman" w:hAnsi="Times New Roman" w:eastAsia="宋体" w:cs="Times New Roman"/>
          <w:sz w:val="24"/>
        </w:rPr>
        <w:t>）</w:t>
      </w:r>
    </w:p>
    <w:p w14:paraId="5D0AF781">
      <w:pPr>
        <w:spacing w:afterLines="50" w:line="300"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公路路面类型引起的修正量</w:t>
      </w:r>
      <w:r>
        <w:rPr>
          <w:rFonts w:ascii="Times New Roman" w:hAnsi="Times New Roman" w:eastAsia="宋体" w:cs="Times New Roman"/>
          <w:sz w:val="24"/>
        </w:rPr>
        <w:t>见表4.2-1。</w:t>
      </w:r>
    </w:p>
    <w:p w14:paraId="75F0221B">
      <w:pPr>
        <w:adjustRightInd w:val="0"/>
        <w:spacing w:beforeLines="50"/>
        <w:jc w:val="center"/>
        <w:textAlignment w:val="baseline"/>
        <w:rPr>
          <w:rFonts w:ascii="Times New Roman" w:hAnsi="Times New Roman" w:eastAsia="宋体" w:cs="Times New Roman"/>
          <w:b/>
        </w:rPr>
      </w:pPr>
      <w:r>
        <w:rPr>
          <w:rFonts w:ascii="Times New Roman" w:hAnsi="Times New Roman" w:eastAsia="宋体" w:cs="Times New Roman"/>
          <w:b/>
        </w:rPr>
        <w:t>表4.2-1  常见路面噪声修正量  单位：dB（A）</w:t>
      </w:r>
    </w:p>
    <w:tbl>
      <w:tblPr>
        <w:tblStyle w:val="22"/>
        <w:tblW w:w="5000" w:type="pct"/>
        <w:jc w:val="center"/>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712"/>
        <w:gridCol w:w="2220"/>
        <w:gridCol w:w="2220"/>
        <w:gridCol w:w="2220"/>
      </w:tblGrid>
      <w:tr w14:paraId="2A529288">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712" w:type="dxa"/>
            <w:vMerge w:val="restart"/>
            <w:vAlign w:val="center"/>
          </w:tcPr>
          <w:p w14:paraId="57E39E41">
            <w:pPr>
              <w:autoSpaceDE w:val="0"/>
              <w:autoSpaceDN w:val="0"/>
              <w:jc w:val="center"/>
              <w:rPr>
                <w:rFonts w:ascii="Times New Roman" w:hAnsi="Times New Roman" w:eastAsia="宋体" w:cs="Times New Roman"/>
                <w:b/>
              </w:rPr>
            </w:pPr>
            <w:r>
              <w:rPr>
                <w:rFonts w:ascii="Times New Roman" w:hAnsi="Times New Roman" w:eastAsia="宋体" w:cs="Times New Roman"/>
                <w:b/>
              </w:rPr>
              <w:t>路面类型</w:t>
            </w:r>
          </w:p>
        </w:tc>
        <w:tc>
          <w:tcPr>
            <w:tcW w:w="6654" w:type="dxa"/>
            <w:gridSpan w:val="3"/>
            <w:vAlign w:val="center"/>
          </w:tcPr>
          <w:p w14:paraId="23B05AAD">
            <w:pPr>
              <w:autoSpaceDE w:val="0"/>
              <w:autoSpaceDN w:val="0"/>
              <w:jc w:val="center"/>
              <w:rPr>
                <w:rFonts w:ascii="Times New Roman" w:hAnsi="Times New Roman" w:eastAsia="宋体" w:cs="Times New Roman"/>
                <w:b/>
              </w:rPr>
            </w:pPr>
            <w:r>
              <w:rPr>
                <w:rFonts w:ascii="Times New Roman" w:hAnsi="Times New Roman" w:eastAsia="宋体" w:cs="Times New Roman"/>
                <w:b/>
              </w:rPr>
              <w:t>不同行驶速度修正量 [dB（A）]</w:t>
            </w:r>
          </w:p>
        </w:tc>
      </w:tr>
      <w:tr w14:paraId="493B5547">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712" w:type="dxa"/>
            <w:vMerge w:val="continue"/>
            <w:vAlign w:val="center"/>
          </w:tcPr>
          <w:p w14:paraId="475A6EA9">
            <w:pPr>
              <w:autoSpaceDE w:val="0"/>
              <w:autoSpaceDN w:val="0"/>
              <w:jc w:val="center"/>
              <w:rPr>
                <w:rFonts w:ascii="Times New Roman" w:hAnsi="Times New Roman" w:eastAsia="宋体" w:cs="Times New Roman"/>
                <w:b/>
                <w:sz w:val="24"/>
              </w:rPr>
            </w:pPr>
          </w:p>
        </w:tc>
        <w:tc>
          <w:tcPr>
            <w:tcW w:w="2218" w:type="dxa"/>
            <w:vAlign w:val="center"/>
          </w:tcPr>
          <w:p w14:paraId="4F0E983E">
            <w:pPr>
              <w:autoSpaceDE w:val="0"/>
              <w:autoSpaceDN w:val="0"/>
              <w:jc w:val="center"/>
              <w:rPr>
                <w:rFonts w:ascii="Times New Roman" w:hAnsi="Times New Roman" w:eastAsia="宋体" w:cs="Times New Roman"/>
                <w:b/>
              </w:rPr>
            </w:pPr>
            <w:r>
              <w:rPr>
                <w:rFonts w:ascii="Times New Roman" w:hAnsi="Times New Roman" w:eastAsia="宋体" w:cs="Times New Roman"/>
                <w:b/>
              </w:rPr>
              <w:t>30（km/h）</w:t>
            </w:r>
          </w:p>
        </w:tc>
        <w:tc>
          <w:tcPr>
            <w:tcW w:w="2218" w:type="dxa"/>
            <w:vAlign w:val="center"/>
          </w:tcPr>
          <w:p w14:paraId="77586F9C">
            <w:pPr>
              <w:autoSpaceDE w:val="0"/>
              <w:autoSpaceDN w:val="0"/>
              <w:jc w:val="center"/>
              <w:rPr>
                <w:rFonts w:ascii="Times New Roman" w:hAnsi="Times New Roman" w:eastAsia="宋体" w:cs="Times New Roman"/>
                <w:b/>
              </w:rPr>
            </w:pPr>
            <w:r>
              <w:rPr>
                <w:rFonts w:ascii="Times New Roman" w:hAnsi="Times New Roman" w:eastAsia="宋体" w:cs="Times New Roman"/>
                <w:b/>
              </w:rPr>
              <w:t>40（km/h）</w:t>
            </w:r>
          </w:p>
        </w:tc>
        <w:tc>
          <w:tcPr>
            <w:tcW w:w="2218" w:type="dxa"/>
            <w:vAlign w:val="center"/>
          </w:tcPr>
          <w:p w14:paraId="3F4054F3">
            <w:pPr>
              <w:autoSpaceDE w:val="0"/>
              <w:autoSpaceDN w:val="0"/>
              <w:jc w:val="center"/>
              <w:rPr>
                <w:rFonts w:ascii="Times New Roman" w:hAnsi="Times New Roman" w:eastAsia="宋体" w:cs="Times New Roman"/>
                <w:b/>
              </w:rPr>
            </w:pPr>
            <w:r>
              <w:rPr>
                <w:rFonts w:ascii="Times New Roman" w:hAnsi="Times New Roman" w:eastAsia="宋体" w:cs="Times New Roman"/>
                <w:b/>
              </w:rPr>
              <w:t>≥50（km/h）</w:t>
            </w:r>
          </w:p>
        </w:tc>
      </w:tr>
      <w:tr w14:paraId="2E959BB8">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712" w:type="dxa"/>
            <w:vAlign w:val="center"/>
          </w:tcPr>
          <w:p w14:paraId="7690BB66">
            <w:pPr>
              <w:autoSpaceDE w:val="0"/>
              <w:autoSpaceDN w:val="0"/>
              <w:jc w:val="center"/>
              <w:rPr>
                <w:rFonts w:ascii="Times New Roman" w:hAnsi="Times New Roman" w:eastAsia="宋体" w:cs="Times New Roman"/>
              </w:rPr>
            </w:pPr>
            <w:r>
              <w:rPr>
                <w:rFonts w:hint="eastAsia" w:ascii="Times New Roman" w:hAnsi="Times New Roman" w:eastAsia="宋体" w:cs="Times New Roman"/>
              </w:rPr>
              <w:t>普通</w:t>
            </w:r>
            <w:r>
              <w:rPr>
                <w:rFonts w:ascii="Times New Roman" w:hAnsi="Times New Roman" w:eastAsia="宋体" w:cs="Times New Roman"/>
              </w:rPr>
              <w:t>沥青混凝土</w:t>
            </w:r>
          </w:p>
        </w:tc>
        <w:tc>
          <w:tcPr>
            <w:tcW w:w="2218" w:type="dxa"/>
            <w:vAlign w:val="center"/>
          </w:tcPr>
          <w:p w14:paraId="14BE72A1">
            <w:pPr>
              <w:autoSpaceDE w:val="0"/>
              <w:autoSpaceDN w:val="0"/>
              <w:jc w:val="center"/>
              <w:rPr>
                <w:rFonts w:ascii="Times New Roman" w:hAnsi="Times New Roman" w:eastAsia="宋体" w:cs="Times New Roman"/>
              </w:rPr>
            </w:pPr>
            <w:r>
              <w:rPr>
                <w:rFonts w:ascii="Times New Roman" w:hAnsi="Times New Roman" w:eastAsia="宋体" w:cs="Times New Roman"/>
              </w:rPr>
              <w:t>0</w:t>
            </w:r>
          </w:p>
        </w:tc>
        <w:tc>
          <w:tcPr>
            <w:tcW w:w="2218" w:type="dxa"/>
            <w:vAlign w:val="center"/>
          </w:tcPr>
          <w:p w14:paraId="5E827F43">
            <w:pPr>
              <w:autoSpaceDE w:val="0"/>
              <w:autoSpaceDN w:val="0"/>
              <w:jc w:val="center"/>
              <w:rPr>
                <w:rFonts w:ascii="Times New Roman" w:hAnsi="Times New Roman" w:eastAsia="宋体" w:cs="Times New Roman"/>
              </w:rPr>
            </w:pPr>
            <w:r>
              <w:rPr>
                <w:rFonts w:ascii="Times New Roman" w:hAnsi="Times New Roman" w:eastAsia="宋体" w:cs="Times New Roman"/>
              </w:rPr>
              <w:t>0</w:t>
            </w:r>
          </w:p>
        </w:tc>
        <w:tc>
          <w:tcPr>
            <w:tcW w:w="2218" w:type="dxa"/>
            <w:vAlign w:val="center"/>
          </w:tcPr>
          <w:p w14:paraId="6DA2029D">
            <w:pPr>
              <w:autoSpaceDE w:val="0"/>
              <w:autoSpaceDN w:val="0"/>
              <w:jc w:val="center"/>
              <w:rPr>
                <w:rFonts w:ascii="Times New Roman" w:hAnsi="Times New Roman" w:eastAsia="宋体" w:cs="Times New Roman"/>
              </w:rPr>
            </w:pPr>
            <w:r>
              <w:rPr>
                <w:rFonts w:ascii="Times New Roman" w:hAnsi="Times New Roman" w:eastAsia="宋体" w:cs="Times New Roman"/>
              </w:rPr>
              <w:t>0</w:t>
            </w:r>
          </w:p>
        </w:tc>
      </w:tr>
      <w:tr w14:paraId="7DD09CBA">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712" w:type="dxa"/>
            <w:vAlign w:val="center"/>
          </w:tcPr>
          <w:p w14:paraId="2A614E1E">
            <w:pPr>
              <w:autoSpaceDE w:val="0"/>
              <w:autoSpaceDN w:val="0"/>
              <w:jc w:val="center"/>
              <w:rPr>
                <w:rFonts w:ascii="Times New Roman" w:hAnsi="Times New Roman" w:eastAsia="宋体" w:cs="Times New Roman"/>
              </w:rPr>
            </w:pPr>
            <w:r>
              <w:rPr>
                <w:rFonts w:hint="eastAsia" w:ascii="Times New Roman" w:hAnsi="Times New Roman" w:eastAsia="宋体" w:cs="Times New Roman"/>
              </w:rPr>
              <w:t>普通</w:t>
            </w:r>
            <w:r>
              <w:rPr>
                <w:rFonts w:ascii="Times New Roman" w:hAnsi="Times New Roman" w:eastAsia="宋体" w:cs="Times New Roman"/>
              </w:rPr>
              <w:t>水泥混凝土</w:t>
            </w:r>
          </w:p>
        </w:tc>
        <w:tc>
          <w:tcPr>
            <w:tcW w:w="2218" w:type="dxa"/>
            <w:vAlign w:val="center"/>
          </w:tcPr>
          <w:p w14:paraId="613D46E0">
            <w:pPr>
              <w:autoSpaceDE w:val="0"/>
              <w:autoSpaceDN w:val="0"/>
              <w:jc w:val="center"/>
              <w:rPr>
                <w:rFonts w:ascii="Times New Roman" w:hAnsi="Times New Roman" w:eastAsia="宋体" w:cs="Times New Roman"/>
              </w:rPr>
            </w:pPr>
            <w:r>
              <w:rPr>
                <w:rFonts w:hint="eastAsia" w:ascii="Times New Roman" w:hAnsi="Times New Roman" w:eastAsia="宋体" w:cs="Times New Roman"/>
              </w:rPr>
              <w:t>+</w:t>
            </w:r>
            <w:r>
              <w:rPr>
                <w:rFonts w:ascii="Times New Roman" w:hAnsi="Times New Roman" w:eastAsia="宋体" w:cs="Times New Roman"/>
              </w:rPr>
              <w:t>1.0</w:t>
            </w:r>
          </w:p>
        </w:tc>
        <w:tc>
          <w:tcPr>
            <w:tcW w:w="2218" w:type="dxa"/>
            <w:vAlign w:val="center"/>
          </w:tcPr>
          <w:p w14:paraId="563E380D">
            <w:pPr>
              <w:autoSpaceDE w:val="0"/>
              <w:autoSpaceDN w:val="0"/>
              <w:jc w:val="center"/>
              <w:rPr>
                <w:rFonts w:ascii="Times New Roman" w:hAnsi="Times New Roman" w:eastAsia="宋体" w:cs="Times New Roman"/>
              </w:rPr>
            </w:pPr>
            <w:r>
              <w:rPr>
                <w:rFonts w:hint="eastAsia" w:ascii="Times New Roman" w:hAnsi="Times New Roman" w:eastAsia="宋体" w:cs="Times New Roman"/>
              </w:rPr>
              <w:t>+</w:t>
            </w:r>
            <w:r>
              <w:rPr>
                <w:rFonts w:ascii="Times New Roman" w:hAnsi="Times New Roman" w:eastAsia="宋体" w:cs="Times New Roman"/>
              </w:rPr>
              <w:t>1.5</w:t>
            </w:r>
          </w:p>
        </w:tc>
        <w:tc>
          <w:tcPr>
            <w:tcW w:w="2218" w:type="dxa"/>
            <w:vAlign w:val="center"/>
          </w:tcPr>
          <w:p w14:paraId="332223BB">
            <w:pPr>
              <w:autoSpaceDE w:val="0"/>
              <w:autoSpaceDN w:val="0"/>
              <w:jc w:val="center"/>
              <w:rPr>
                <w:rFonts w:ascii="Times New Roman" w:hAnsi="Times New Roman" w:eastAsia="宋体" w:cs="Times New Roman"/>
              </w:rPr>
            </w:pPr>
            <w:r>
              <w:rPr>
                <w:rFonts w:hint="eastAsia" w:ascii="Times New Roman" w:hAnsi="Times New Roman" w:eastAsia="宋体" w:cs="Times New Roman"/>
              </w:rPr>
              <w:t>+</w:t>
            </w:r>
            <w:r>
              <w:rPr>
                <w:rFonts w:ascii="Times New Roman" w:hAnsi="Times New Roman" w:eastAsia="宋体" w:cs="Times New Roman"/>
              </w:rPr>
              <w:t>2.0</w:t>
            </w:r>
          </w:p>
        </w:tc>
      </w:tr>
      <w:tr w14:paraId="57983B4C">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712" w:type="dxa"/>
            <w:vAlign w:val="center"/>
          </w:tcPr>
          <w:p w14:paraId="6CFD6BCD">
            <w:pPr>
              <w:autoSpaceDE w:val="0"/>
              <w:autoSpaceDN w:val="0"/>
              <w:jc w:val="center"/>
              <w:rPr>
                <w:rFonts w:ascii="Times New Roman" w:hAnsi="Times New Roman" w:eastAsia="宋体" w:cs="Times New Roman"/>
              </w:rPr>
            </w:pPr>
            <w:r>
              <w:rPr>
                <w:rFonts w:hint="eastAsia" w:ascii="Times New Roman" w:hAnsi="Times New Roman" w:eastAsia="宋体" w:cs="Times New Roman"/>
              </w:rPr>
              <w:t>低噪声路面</w:t>
            </w:r>
          </w:p>
        </w:tc>
        <w:tc>
          <w:tcPr>
            <w:tcW w:w="6654" w:type="dxa"/>
            <w:gridSpan w:val="3"/>
            <w:vAlign w:val="center"/>
          </w:tcPr>
          <w:p w14:paraId="0A0F3F62">
            <w:pPr>
              <w:autoSpaceDE w:val="0"/>
              <w:autoSpaceDN w:val="0"/>
              <w:jc w:val="left"/>
              <w:rPr>
                <w:rFonts w:ascii="Times New Roman" w:hAnsi="Times New Roman" w:eastAsia="宋体" w:cs="Times New Roman"/>
              </w:rPr>
            </w:pPr>
            <w:r>
              <w:rPr>
                <w:rFonts w:hint="eastAsia" w:ascii="Times New Roman" w:hAnsi="Times New Roman" w:eastAsia="宋体" w:cs="Times New Roman"/>
              </w:rPr>
              <w:t>单层低噪声路面对应普通沥青混凝土路面或普通水泥混凝土路面，可做-1 dB(A)～-3 dB(A)修正（设计车速较高时，取较大修正量），多层或其他新型低噪声路面修正量可根据工程验证的研究成果适当增加。</w:t>
            </w:r>
          </w:p>
        </w:tc>
      </w:tr>
    </w:tbl>
    <w:p w14:paraId="53548DE9">
      <w:pPr>
        <w:rPr>
          <w:rFonts w:ascii="Times New Roman" w:hAnsi="Times New Roman" w:eastAsia="宋体" w:cs="Times New Roman"/>
        </w:rPr>
      </w:pPr>
    </w:p>
    <w:p w14:paraId="34DFD92E">
      <w:pPr>
        <w:pStyle w:val="99"/>
        <w:widowControl w:val="0"/>
        <w:spacing w:line="386" w:lineRule="exact"/>
        <w:ind w:firstLine="480"/>
        <w:jc w:val="both"/>
        <w:rPr>
          <w:rFonts w:eastAsiaTheme="minorEastAsia"/>
        </w:rPr>
      </w:pPr>
      <w:r>
        <w:rPr>
          <w:rFonts w:hAnsiTheme="minorEastAsia" w:eastAsiaTheme="minorEastAsia"/>
        </w:rPr>
        <w:t>拟建公路</w:t>
      </w:r>
      <w:r>
        <w:rPr>
          <w:rFonts w:hint="eastAsia" w:hAnsiTheme="minorEastAsia" w:eastAsiaTheme="minorEastAsia"/>
          <w:kern w:val="24"/>
        </w:rPr>
        <w:t>采用</w:t>
      </w:r>
      <w:r>
        <w:rPr>
          <w:rFonts w:hint="eastAsia" w:hAnsiTheme="minorEastAsia" w:eastAsiaTheme="minorEastAsia"/>
        </w:rPr>
        <w:t>改性</w:t>
      </w:r>
      <w:r>
        <w:rPr>
          <w:rFonts w:hAnsiTheme="minorEastAsia" w:eastAsiaTheme="minorEastAsia"/>
        </w:rPr>
        <w:t>沥青混凝土路面，该项修正量为</w:t>
      </w:r>
      <w:r>
        <w:rPr>
          <w:rFonts w:hint="eastAsia" w:eastAsiaTheme="minorEastAsia"/>
        </w:rPr>
        <w:t>-1.0</w:t>
      </w:r>
      <w:r>
        <w:rPr>
          <w:rFonts w:hint="eastAsia"/>
        </w:rPr>
        <w:t>dB(A)</w:t>
      </w:r>
      <w:r>
        <w:rPr>
          <w:rFonts w:hAnsiTheme="minorEastAsia" w:eastAsiaTheme="minorEastAsia"/>
        </w:rPr>
        <w:t>。</w:t>
      </w:r>
    </w:p>
    <w:p w14:paraId="2BE5C607">
      <w:pPr>
        <w:spacing w:line="300" w:lineRule="auto"/>
        <w:ind w:firstLine="480" w:firstLineChars="200"/>
        <w:rPr>
          <w:rFonts w:ascii="Times New Roman" w:hAnsi="Times New Roman" w:cs="Times New Roman" w:eastAsiaTheme="minorEastAsia"/>
          <w:sz w:val="24"/>
        </w:rPr>
      </w:pPr>
      <w:r>
        <w:rPr>
          <w:rFonts w:ascii="Times New Roman" w:hAnsi="Times New Roman" w:cs="Times New Roman" w:eastAsiaTheme="minorEastAsia"/>
          <w:sz w:val="24"/>
        </w:rPr>
        <w:t xml:space="preserve">(3) </w:t>
      </w:r>
      <w:r>
        <w:rPr>
          <w:rFonts w:ascii="Times New Roman" w:cs="Times New Roman" w:hAnsiTheme="minorEastAsia" w:eastAsiaTheme="minorEastAsia"/>
          <w:sz w:val="24"/>
        </w:rPr>
        <w:t>大气吸收引起的衰减量（</w:t>
      </w:r>
      <w:r>
        <w:rPr>
          <w:rFonts w:ascii="Times New Roman" w:hAnsi="Times New Roman" w:cs="Times New Roman" w:eastAsiaTheme="minorEastAsia"/>
          <w:i/>
          <w:sz w:val="24"/>
        </w:rPr>
        <w:t>A</w:t>
      </w:r>
      <w:r>
        <w:rPr>
          <w:rFonts w:ascii="Times New Roman" w:hAnsi="Times New Roman" w:cs="Times New Roman" w:eastAsiaTheme="minorEastAsia"/>
          <w:i/>
          <w:sz w:val="24"/>
          <w:vertAlign w:val="subscript"/>
        </w:rPr>
        <w:t>atm</w:t>
      </w:r>
      <w:r>
        <w:rPr>
          <w:rFonts w:ascii="Times New Roman" w:cs="Times New Roman" w:hAnsiTheme="minorEastAsia" w:eastAsiaTheme="minorEastAsia"/>
          <w:sz w:val="24"/>
        </w:rPr>
        <w:t>）</w:t>
      </w:r>
    </w:p>
    <w:p w14:paraId="7595ECBA">
      <w:pPr>
        <w:spacing w:line="30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大气吸收引起的衰减</w:t>
      </w:r>
      <w:r>
        <w:rPr>
          <w:rFonts w:hint="eastAsia" w:ascii="Times New Roman" w:hAnsi="Times New Roman" w:eastAsia="宋体" w:cs="Times New Roman"/>
          <w:sz w:val="24"/>
        </w:rPr>
        <w:t>量按下式</w:t>
      </w:r>
      <w:r>
        <w:rPr>
          <w:rFonts w:ascii="Times New Roman" w:hAnsi="Times New Roman" w:eastAsia="宋体" w:cs="Times New Roman"/>
          <w:sz w:val="24"/>
        </w:rPr>
        <w:t>计算：</w:t>
      </w:r>
    </w:p>
    <w:p w14:paraId="43B86307">
      <w:pPr>
        <w:pStyle w:val="100"/>
        <w:snapToGrid w:val="0"/>
        <w:spacing w:line="300" w:lineRule="auto"/>
        <w:jc w:val="center"/>
        <w:rPr>
          <w:sz w:val="24"/>
          <w:szCs w:val="24"/>
        </w:rPr>
      </w:pPr>
      <w:r>
        <w:rPr>
          <w:sz w:val="24"/>
          <w:szCs w:val="24"/>
        </w:rPr>
        <w:object>
          <v:shape id="_x0000_i1059" o:spt="75" type="#_x0000_t75" style="height:29.25pt;width:71.25pt;" o:ole="t" filled="f" o:preferrelative="t" stroked="f" coordsize="21600,21600">
            <v:path/>
            <v:fill on="f" focussize="0,0"/>
            <v:stroke on="f" joinstyle="miter"/>
            <v:imagedata r:id="rId247" o:title=""/>
            <o:lock v:ext="edit" aspectratio="t"/>
            <w10:wrap type="none"/>
            <w10:anchorlock/>
          </v:shape>
          <o:OLEObject Type="Embed" ProgID="Equation.DSMT4" ShapeID="_x0000_i1059" DrawAspect="Content" ObjectID="_1468075759" r:id="rId246">
            <o:LockedField>false</o:LockedField>
          </o:OLEObject>
        </w:object>
      </w:r>
    </w:p>
    <w:p w14:paraId="0C3BB848">
      <w:pPr>
        <w:spacing w:line="300" w:lineRule="auto"/>
        <w:ind w:left="1380" w:hanging="1380" w:hangingChars="575"/>
        <w:rPr>
          <w:rFonts w:ascii="Times New Roman" w:hAnsi="Times New Roman" w:eastAsia="宋体" w:cs="Times New Roman"/>
          <w:sz w:val="24"/>
        </w:rPr>
      </w:pPr>
      <w:r>
        <w:rPr>
          <w:rFonts w:ascii="Times New Roman" w:hAnsi="Times New Roman" w:eastAsia="宋体" w:cs="Times New Roman"/>
          <w:sz w:val="24"/>
        </w:rPr>
        <w:t>式中：</w:t>
      </w:r>
      <w:r>
        <w:rPr>
          <w:rFonts w:ascii="Times New Roman" w:hAnsi="Times New Roman" w:eastAsia="宋体" w:cs="Times New Roman"/>
          <w:position w:val="-10"/>
          <w:sz w:val="24"/>
        </w:rPr>
        <w:object>
          <v:shape id="_x0000_i1060" o:spt="75" type="#_x0000_t75" style="height:15pt;width:18.75pt;" o:ole="t" filled="f" o:preferrelative="t" stroked="f" coordsize="21600,21600">
            <v:path/>
            <v:fill on="f" focussize="0,0"/>
            <v:stroke on="f" joinstyle="miter"/>
            <v:imagedata r:id="rId249" o:title=""/>
            <o:lock v:ext="edit" aspectratio="t"/>
            <w10:wrap type="none"/>
            <w10:anchorlock/>
          </v:shape>
          <o:OLEObject Type="Embed" ProgID="Equation.DSMT4" ShapeID="_x0000_i1060" DrawAspect="Content" ObjectID="_1468075760" r:id="rId248">
            <o:LockedField>false</o:LockedField>
          </o:OLEObject>
        </w:object>
      </w:r>
      <w:r>
        <w:rPr>
          <w:rFonts w:ascii="Times New Roman" w:hAnsi="Times New Roman" w:eastAsia="宋体" w:cs="Times New Roman"/>
          <w:bCs/>
          <w:sz w:val="24"/>
        </w:rPr>
        <w:t>——</w:t>
      </w:r>
      <w:r>
        <w:rPr>
          <w:rFonts w:hint="eastAsia" w:ascii="Times New Roman" w:hAnsi="Times New Roman" w:eastAsia="宋体" w:cs="Times New Roman"/>
          <w:bCs/>
          <w:sz w:val="24"/>
        </w:rPr>
        <w:t>大气吸收引起的衰减量，dB(A)；</w:t>
      </w:r>
    </w:p>
    <w:p w14:paraId="5B3B1414">
      <w:pPr>
        <w:spacing w:line="300" w:lineRule="auto"/>
        <w:ind w:firstLine="660" w:firstLineChars="275"/>
        <w:rPr>
          <w:rFonts w:ascii="Times New Roman" w:hAnsi="Times New Roman" w:eastAsia="宋体" w:cs="Times New Roman"/>
          <w:sz w:val="24"/>
        </w:rPr>
      </w:pPr>
      <w:r>
        <w:rPr>
          <w:rFonts w:ascii="Times New Roman" w:hAnsi="Times New Roman" w:eastAsia="宋体" w:cs="Times New Roman"/>
          <w:i/>
          <w:sz w:val="24"/>
        </w:rPr>
        <w:t>α</w:t>
      </w:r>
      <w:r>
        <w:rPr>
          <w:rFonts w:ascii="Times New Roman" w:hAnsi="Times New Roman" w:eastAsia="宋体" w:cs="Times New Roman"/>
          <w:bCs/>
          <w:sz w:val="24"/>
        </w:rPr>
        <w:t>——</w:t>
      </w:r>
      <w:r>
        <w:rPr>
          <w:rFonts w:hint="eastAsia" w:ascii="Times New Roman" w:hAnsi="Times New Roman" w:eastAsia="宋体" w:cs="Times New Roman"/>
          <w:bCs/>
          <w:sz w:val="24"/>
        </w:rPr>
        <w:t>与温度、湿度和声波频率有关的</w:t>
      </w:r>
      <w:r>
        <w:rPr>
          <w:rFonts w:hint="eastAsia" w:ascii="Times New Roman" w:hAnsi="Times New Roman" w:eastAsia="宋体" w:cs="Times New Roman"/>
          <w:sz w:val="24"/>
        </w:rPr>
        <w:t>大气吸收衰减系数，</w:t>
      </w:r>
      <w:r>
        <w:rPr>
          <w:rFonts w:ascii="Times New Roman" w:hAnsi="Times New Roman" w:eastAsia="宋体" w:cs="Times New Roman"/>
          <w:sz w:val="24"/>
        </w:rPr>
        <w:t>预测计算中一般根据建设项目所处区域常年平均气温和湿度选择相应的大气吸收衰减系数，见表4.2-2</w:t>
      </w:r>
      <w:r>
        <w:rPr>
          <w:rFonts w:hint="eastAsia" w:ascii="Times New Roman" w:hAnsi="Times New Roman" w:eastAsia="宋体" w:cs="Times New Roman"/>
          <w:sz w:val="24"/>
        </w:rPr>
        <w:t>；</w:t>
      </w:r>
    </w:p>
    <w:p w14:paraId="4A50F8C8">
      <w:pPr>
        <w:spacing w:line="300" w:lineRule="auto"/>
        <w:ind w:firstLine="720" w:firstLineChars="300"/>
        <w:rPr>
          <w:rFonts w:ascii="Times New Roman" w:hAnsi="Times New Roman" w:eastAsia="宋体" w:cs="Times New Roman"/>
          <w:sz w:val="24"/>
        </w:rPr>
      </w:pPr>
      <w:r>
        <w:rPr>
          <w:rFonts w:ascii="Times New Roman" w:hAnsi="Times New Roman" w:eastAsia="宋体" w:cs="Times New Roman"/>
          <w:i/>
          <w:iCs/>
          <w:sz w:val="24"/>
        </w:rPr>
        <w:t>r</w:t>
      </w:r>
      <w:r>
        <w:rPr>
          <w:rFonts w:ascii="Times New Roman" w:hAnsi="Times New Roman" w:eastAsia="宋体" w:cs="Times New Roman"/>
          <w:bCs/>
          <w:sz w:val="24"/>
        </w:rPr>
        <w:t>——</w:t>
      </w:r>
      <w:r>
        <w:rPr>
          <w:rFonts w:hint="eastAsia" w:ascii="Times New Roman" w:hAnsi="Times New Roman" w:eastAsia="宋体" w:cs="Times New Roman"/>
          <w:sz w:val="24"/>
        </w:rPr>
        <w:t>预测点距声源的距离，</w:t>
      </w:r>
      <w:r>
        <w:rPr>
          <w:rFonts w:ascii="Times New Roman" w:hAnsi="Times New Roman" w:eastAsia="宋体" w:cs="Times New Roman"/>
          <w:sz w:val="24"/>
        </w:rPr>
        <w:t>m</w:t>
      </w:r>
      <w:r>
        <w:rPr>
          <w:rFonts w:hint="eastAsia" w:ascii="Times New Roman" w:hAnsi="Times New Roman" w:eastAsia="宋体" w:cs="Times New Roman"/>
          <w:sz w:val="24"/>
        </w:rPr>
        <w:t>；</w:t>
      </w:r>
    </w:p>
    <w:p w14:paraId="1DC60155">
      <w:pPr>
        <w:widowControl/>
        <w:spacing w:line="300" w:lineRule="auto"/>
        <w:ind w:firstLine="720" w:firstLineChars="300"/>
        <w:rPr>
          <w:rFonts w:ascii="Times New Roman" w:hAnsi="Times New Roman" w:eastAsia="宋体" w:cs="Times New Roman"/>
          <w:sz w:val="24"/>
        </w:rPr>
      </w:pPr>
      <w:r>
        <w:rPr>
          <w:rFonts w:ascii="Times New Roman" w:hAnsi="Times New Roman" w:eastAsia="宋体" w:cs="Times New Roman"/>
          <w:i/>
          <w:iCs/>
          <w:sz w:val="24"/>
        </w:rPr>
        <w:t>r</w:t>
      </w:r>
      <w:r>
        <w:rPr>
          <w:rFonts w:ascii="Times New Roman" w:hAnsi="Times New Roman" w:eastAsia="宋体" w:cs="Times New Roman"/>
          <w:sz w:val="24"/>
          <w:vertAlign w:val="subscript"/>
        </w:rPr>
        <w:t>0</w:t>
      </w:r>
      <w:r>
        <w:rPr>
          <w:rFonts w:ascii="Times New Roman" w:hAnsi="Times New Roman" w:eastAsia="宋体" w:cs="Times New Roman"/>
          <w:bCs/>
          <w:sz w:val="24"/>
        </w:rPr>
        <w:t>——</w:t>
      </w:r>
      <w:r>
        <w:rPr>
          <w:rFonts w:hint="eastAsia" w:ascii="Times New Roman" w:hAnsi="Times New Roman" w:eastAsia="宋体" w:cs="Times New Roman"/>
          <w:sz w:val="24"/>
        </w:rPr>
        <w:t>参照点距声源的距离，</w:t>
      </w:r>
      <w:r>
        <w:rPr>
          <w:rFonts w:ascii="Times New Roman" w:hAnsi="Times New Roman" w:eastAsia="宋体" w:cs="Times New Roman"/>
          <w:sz w:val="24"/>
        </w:rPr>
        <w:t>m</w:t>
      </w:r>
      <w:r>
        <w:rPr>
          <w:rFonts w:hint="eastAsia" w:ascii="Times New Roman" w:hAnsi="Times New Roman" w:eastAsia="宋体" w:cs="Times New Roman"/>
          <w:sz w:val="24"/>
        </w:rPr>
        <w:t>。</w:t>
      </w:r>
    </w:p>
    <w:p w14:paraId="354C14A0">
      <w:pPr>
        <w:widowControl/>
        <w:spacing w:beforeLines="50"/>
        <w:jc w:val="center"/>
        <w:rPr>
          <w:rFonts w:ascii="Times New Roman" w:hAnsi="Times New Roman" w:eastAsia="宋体" w:cs="Times New Roman"/>
          <w:b/>
          <w:smallCaps/>
        </w:rPr>
      </w:pPr>
      <w:r>
        <w:rPr>
          <w:rFonts w:ascii="Times New Roman" w:hAnsi="Times New Roman" w:eastAsia="宋体" w:cs="Times New Roman"/>
          <w:b/>
          <w:smallCaps/>
        </w:rPr>
        <w:br w:type="page"/>
      </w:r>
      <w:r>
        <w:rPr>
          <w:rFonts w:hint="eastAsia" w:ascii="Times New Roman" w:hAnsi="Times New Roman" w:eastAsia="宋体" w:cs="Times New Roman"/>
          <w:b/>
          <w:smallCaps/>
        </w:rPr>
        <w:t>表</w:t>
      </w:r>
      <w:r>
        <w:rPr>
          <w:rFonts w:ascii="Times New Roman" w:hAnsi="Times New Roman" w:eastAsia="宋体" w:cs="Times New Roman"/>
          <w:b/>
          <w:smallCaps/>
        </w:rPr>
        <w:t>4.2-2</w:t>
      </w:r>
      <w:r>
        <w:rPr>
          <w:rFonts w:hint="eastAsia" w:ascii="Times New Roman" w:hAnsi="Times New Roman" w:eastAsia="宋体" w:cs="Times New Roman"/>
          <w:b/>
          <w:smallCaps/>
        </w:rPr>
        <w:t xml:space="preserve">  倍频带噪声的大气吸收衰减系数</w:t>
      </w:r>
    </w:p>
    <w:tbl>
      <w:tblPr>
        <w:tblStyle w:val="22"/>
        <w:tblW w:w="5000" w:type="pct"/>
        <w:tblInd w:w="0" w:type="dxa"/>
        <w:tblBorders>
          <w:top w:val="thinThickSmallGap" w:color="000000" w:sz="12" w:space="0"/>
          <w:left w:val="thinThickSmallGap" w:color="000000" w:sz="12" w:space="0"/>
          <w:bottom w:val="thickThinSmallGap" w:color="000000" w:sz="12" w:space="0"/>
          <w:right w:val="thickThinSmallGap" w:color="000000" w:sz="12" w:space="0"/>
          <w:insideH w:val="single" w:color="000000" w:sz="4" w:space="0"/>
          <w:insideV w:val="single" w:color="000000" w:sz="4" w:space="0"/>
        </w:tblBorders>
        <w:tblLayout w:type="fixed"/>
        <w:tblCellMar>
          <w:top w:w="0" w:type="dxa"/>
          <w:left w:w="28" w:type="dxa"/>
          <w:bottom w:w="0" w:type="dxa"/>
          <w:right w:w="28" w:type="dxa"/>
        </w:tblCellMar>
      </w:tblPr>
      <w:tblGrid>
        <w:gridCol w:w="770"/>
        <w:gridCol w:w="1113"/>
        <w:gridCol w:w="683"/>
        <w:gridCol w:w="829"/>
        <w:gridCol w:w="829"/>
        <w:gridCol w:w="829"/>
        <w:gridCol w:w="829"/>
        <w:gridCol w:w="829"/>
        <w:gridCol w:w="829"/>
        <w:gridCol w:w="832"/>
      </w:tblGrid>
      <w:tr w14:paraId="3A6DC62C">
        <w:tblPrEx>
          <w:tblBorders>
            <w:top w:val="thinThickSmallGap" w:color="000000" w:sz="12" w:space="0"/>
            <w:left w:val="thinThickSmallGap" w:color="000000" w:sz="12" w:space="0"/>
            <w:bottom w:val="thickThinSmallGap" w:color="000000" w:sz="12" w:space="0"/>
            <w:right w:val="thickThinSmallGap" w:color="000000" w:sz="12" w:space="0"/>
            <w:insideH w:val="single" w:color="000000" w:sz="4" w:space="0"/>
            <w:insideV w:val="single" w:color="000000" w:sz="4" w:space="0"/>
          </w:tblBorders>
          <w:tblCellMar>
            <w:top w:w="0" w:type="dxa"/>
            <w:left w:w="28" w:type="dxa"/>
            <w:bottom w:w="0" w:type="dxa"/>
            <w:right w:w="28" w:type="dxa"/>
          </w:tblCellMar>
        </w:tblPrEx>
        <w:tc>
          <w:tcPr>
            <w:tcW w:w="460" w:type="pct"/>
            <w:vMerge w:val="restart"/>
            <w:noWrap/>
            <w:vAlign w:val="center"/>
          </w:tcPr>
          <w:p w14:paraId="1A9FA102">
            <w:pPr>
              <w:snapToGrid w:val="0"/>
              <w:spacing w:line="280" w:lineRule="exact"/>
              <w:jc w:val="center"/>
              <w:rPr>
                <w:rFonts w:ascii="Times New Roman" w:hAnsi="Times New Roman" w:eastAsia="宋体" w:cs="Times New Roman"/>
                <w:b/>
                <w:szCs w:val="21"/>
              </w:rPr>
            </w:pPr>
            <w:r>
              <w:rPr>
                <w:rFonts w:ascii="Times New Roman" w:hAnsi="Times New Roman" w:eastAsia="宋体" w:cs="Times New Roman"/>
                <w:b/>
                <w:szCs w:val="21"/>
              </w:rPr>
              <w:t>温度/℃</w:t>
            </w:r>
          </w:p>
        </w:tc>
        <w:tc>
          <w:tcPr>
            <w:tcW w:w="665" w:type="pct"/>
            <w:vMerge w:val="restart"/>
            <w:noWrap/>
            <w:vAlign w:val="center"/>
          </w:tcPr>
          <w:p w14:paraId="36F996C8">
            <w:pPr>
              <w:snapToGrid w:val="0"/>
              <w:spacing w:line="280" w:lineRule="exact"/>
              <w:jc w:val="center"/>
              <w:rPr>
                <w:rFonts w:ascii="Times New Roman" w:hAnsi="Times New Roman" w:eastAsia="宋体" w:cs="Times New Roman"/>
                <w:b/>
                <w:szCs w:val="21"/>
              </w:rPr>
            </w:pPr>
            <w:r>
              <w:rPr>
                <w:rFonts w:ascii="Times New Roman" w:hAnsi="Times New Roman" w:eastAsia="宋体" w:cs="Times New Roman"/>
                <w:b/>
                <w:szCs w:val="21"/>
              </w:rPr>
              <w:t>相对湿度/%</w:t>
            </w:r>
          </w:p>
        </w:tc>
        <w:tc>
          <w:tcPr>
            <w:tcW w:w="3875" w:type="pct"/>
            <w:gridSpan w:val="8"/>
            <w:noWrap/>
            <w:vAlign w:val="center"/>
          </w:tcPr>
          <w:p w14:paraId="6CE722DF">
            <w:pPr>
              <w:snapToGrid w:val="0"/>
              <w:spacing w:line="280" w:lineRule="exact"/>
              <w:jc w:val="center"/>
              <w:rPr>
                <w:rFonts w:ascii="Times New Roman" w:hAnsi="Times New Roman" w:eastAsia="宋体" w:cs="Times New Roman"/>
                <w:b/>
                <w:szCs w:val="21"/>
              </w:rPr>
            </w:pPr>
            <w:r>
              <w:rPr>
                <w:rFonts w:ascii="Times New Roman" w:hAnsi="Times New Roman" w:eastAsia="宋体" w:cs="Times New Roman"/>
                <w:b/>
                <w:szCs w:val="21"/>
              </w:rPr>
              <w:t>大气吸收衰减系数</w:t>
            </w:r>
            <w:r>
              <w:rPr>
                <w:rFonts w:ascii="Times New Roman" w:hAnsi="Times New Roman" w:eastAsia="宋体" w:cs="Times New Roman"/>
                <w:b/>
                <w:i/>
                <w:szCs w:val="21"/>
              </w:rPr>
              <w:t>α</w:t>
            </w:r>
            <w:r>
              <w:rPr>
                <w:rFonts w:ascii="Times New Roman" w:hAnsi="Times New Roman" w:eastAsia="宋体" w:cs="Times New Roman"/>
                <w:b/>
                <w:iCs/>
                <w:szCs w:val="21"/>
              </w:rPr>
              <w:t>[</w:t>
            </w:r>
            <w:r>
              <w:rPr>
                <w:rFonts w:ascii="Times New Roman" w:hAnsi="Times New Roman" w:eastAsia="宋体" w:cs="Times New Roman"/>
                <w:b/>
                <w:szCs w:val="21"/>
              </w:rPr>
              <w:t>(dB</w:t>
            </w:r>
            <w:r>
              <w:rPr>
                <w:rFonts w:hint="eastAsia" w:ascii="Times New Roman" w:hAnsi="Times New Roman" w:eastAsia="宋体" w:cs="Times New Roman"/>
                <w:b/>
                <w:szCs w:val="21"/>
              </w:rPr>
              <w:t>(</w:t>
            </w:r>
            <w:r>
              <w:rPr>
                <w:rFonts w:ascii="Times New Roman" w:hAnsi="Times New Roman" w:eastAsia="宋体" w:cs="Times New Roman"/>
                <w:b/>
                <w:szCs w:val="21"/>
              </w:rPr>
              <w:t>A</w:t>
            </w:r>
            <w:r>
              <w:rPr>
                <w:rFonts w:hint="eastAsia" w:ascii="Times New Roman" w:hAnsi="Times New Roman" w:eastAsia="宋体" w:cs="Times New Roman"/>
                <w:b/>
                <w:szCs w:val="21"/>
              </w:rPr>
              <w:t>)</w:t>
            </w:r>
            <w:r>
              <w:rPr>
                <w:rFonts w:ascii="Times New Roman" w:hAnsi="Times New Roman" w:eastAsia="宋体" w:cs="Times New Roman"/>
                <w:b/>
                <w:szCs w:val="21"/>
              </w:rPr>
              <w:t>/km</w:t>
            </w:r>
            <w:r>
              <w:rPr>
                <w:rFonts w:hint="eastAsia" w:ascii="Times New Roman" w:hAnsi="Times New Roman" w:eastAsia="宋体" w:cs="Times New Roman"/>
                <w:b/>
                <w:szCs w:val="21"/>
              </w:rPr>
              <w:t>]</w:t>
            </w:r>
          </w:p>
        </w:tc>
      </w:tr>
      <w:tr w14:paraId="5C432820">
        <w:tblPrEx>
          <w:tblBorders>
            <w:top w:val="thinThickSmallGap" w:color="000000" w:sz="12" w:space="0"/>
            <w:left w:val="thinThickSmallGap" w:color="000000" w:sz="12" w:space="0"/>
            <w:bottom w:val="thickThinSmallGap" w:color="000000" w:sz="12" w:space="0"/>
            <w:right w:val="thickThinSmallGap" w:color="000000" w:sz="12" w:space="0"/>
            <w:insideH w:val="single" w:color="000000" w:sz="4" w:space="0"/>
            <w:insideV w:val="single" w:color="000000" w:sz="4" w:space="0"/>
          </w:tblBorders>
          <w:tblCellMar>
            <w:top w:w="0" w:type="dxa"/>
            <w:left w:w="28" w:type="dxa"/>
            <w:bottom w:w="0" w:type="dxa"/>
            <w:right w:w="28" w:type="dxa"/>
          </w:tblCellMar>
        </w:tblPrEx>
        <w:tc>
          <w:tcPr>
            <w:tcW w:w="460" w:type="pct"/>
            <w:vMerge w:val="continue"/>
            <w:noWrap/>
            <w:vAlign w:val="center"/>
          </w:tcPr>
          <w:p w14:paraId="391A5138">
            <w:pPr>
              <w:snapToGrid w:val="0"/>
              <w:spacing w:line="280" w:lineRule="exact"/>
              <w:jc w:val="center"/>
              <w:rPr>
                <w:rFonts w:ascii="Times New Roman" w:hAnsi="Times New Roman" w:eastAsia="宋体" w:cs="Times New Roman"/>
                <w:b/>
                <w:szCs w:val="21"/>
              </w:rPr>
            </w:pPr>
          </w:p>
        </w:tc>
        <w:tc>
          <w:tcPr>
            <w:tcW w:w="665" w:type="pct"/>
            <w:vMerge w:val="continue"/>
            <w:noWrap/>
            <w:vAlign w:val="center"/>
          </w:tcPr>
          <w:p w14:paraId="42BCF2F9">
            <w:pPr>
              <w:snapToGrid w:val="0"/>
              <w:spacing w:line="280" w:lineRule="exact"/>
              <w:jc w:val="center"/>
              <w:rPr>
                <w:rFonts w:ascii="Times New Roman" w:hAnsi="Times New Roman" w:eastAsia="宋体" w:cs="Times New Roman"/>
                <w:b/>
                <w:szCs w:val="21"/>
              </w:rPr>
            </w:pPr>
          </w:p>
        </w:tc>
        <w:tc>
          <w:tcPr>
            <w:tcW w:w="3875" w:type="pct"/>
            <w:gridSpan w:val="8"/>
            <w:noWrap/>
            <w:vAlign w:val="center"/>
          </w:tcPr>
          <w:p w14:paraId="65804F90">
            <w:pPr>
              <w:snapToGrid w:val="0"/>
              <w:spacing w:line="280" w:lineRule="exact"/>
              <w:jc w:val="center"/>
              <w:rPr>
                <w:rFonts w:ascii="Times New Roman" w:hAnsi="Times New Roman" w:eastAsia="宋体" w:cs="Times New Roman"/>
                <w:b/>
                <w:szCs w:val="21"/>
              </w:rPr>
            </w:pPr>
            <w:r>
              <w:rPr>
                <w:rFonts w:ascii="Times New Roman" w:hAnsi="Times New Roman" w:eastAsia="宋体" w:cs="Times New Roman"/>
                <w:b/>
                <w:szCs w:val="21"/>
              </w:rPr>
              <w:t>倍频带中心频率</w:t>
            </w:r>
            <w:r>
              <w:rPr>
                <w:rFonts w:hint="eastAsia" w:ascii="Times New Roman" w:hAnsi="Times New Roman" w:eastAsia="宋体" w:cs="Times New Roman"/>
                <w:b/>
                <w:szCs w:val="21"/>
              </w:rPr>
              <w:t>[</w:t>
            </w:r>
            <w:r>
              <w:rPr>
                <w:rFonts w:ascii="Times New Roman" w:hAnsi="Times New Roman" w:eastAsia="宋体" w:cs="Times New Roman"/>
                <w:b/>
                <w:szCs w:val="21"/>
              </w:rPr>
              <w:t>Hz</w:t>
            </w:r>
            <w:r>
              <w:rPr>
                <w:rFonts w:hint="eastAsia" w:ascii="Times New Roman" w:hAnsi="Times New Roman" w:eastAsia="宋体" w:cs="Times New Roman"/>
                <w:b/>
                <w:szCs w:val="21"/>
              </w:rPr>
              <w:t>]</w:t>
            </w:r>
          </w:p>
        </w:tc>
      </w:tr>
      <w:tr w14:paraId="28D4A81C">
        <w:tblPrEx>
          <w:tblBorders>
            <w:top w:val="thinThickSmallGap" w:color="000000" w:sz="12" w:space="0"/>
            <w:left w:val="thinThickSmallGap" w:color="000000" w:sz="12" w:space="0"/>
            <w:bottom w:val="thickThinSmallGap" w:color="000000" w:sz="12" w:space="0"/>
            <w:right w:val="thickThinSmallGap" w:color="000000" w:sz="12" w:space="0"/>
            <w:insideH w:val="single" w:color="000000" w:sz="4" w:space="0"/>
            <w:insideV w:val="single" w:color="000000" w:sz="4" w:space="0"/>
          </w:tblBorders>
          <w:tblCellMar>
            <w:top w:w="0" w:type="dxa"/>
            <w:left w:w="28" w:type="dxa"/>
            <w:bottom w:w="0" w:type="dxa"/>
            <w:right w:w="28" w:type="dxa"/>
          </w:tblCellMar>
        </w:tblPrEx>
        <w:tc>
          <w:tcPr>
            <w:tcW w:w="460" w:type="pct"/>
            <w:vMerge w:val="continue"/>
            <w:noWrap/>
            <w:vAlign w:val="center"/>
          </w:tcPr>
          <w:p w14:paraId="1834E06A">
            <w:pPr>
              <w:snapToGrid w:val="0"/>
              <w:spacing w:line="280" w:lineRule="exact"/>
              <w:jc w:val="center"/>
              <w:rPr>
                <w:rFonts w:ascii="Times New Roman" w:hAnsi="Times New Roman" w:eastAsia="宋体" w:cs="Times New Roman"/>
                <w:b/>
                <w:szCs w:val="21"/>
              </w:rPr>
            </w:pPr>
          </w:p>
        </w:tc>
        <w:tc>
          <w:tcPr>
            <w:tcW w:w="665" w:type="pct"/>
            <w:vMerge w:val="continue"/>
            <w:noWrap/>
            <w:vAlign w:val="center"/>
          </w:tcPr>
          <w:p w14:paraId="6C4B2DFA">
            <w:pPr>
              <w:snapToGrid w:val="0"/>
              <w:spacing w:line="280" w:lineRule="exact"/>
              <w:jc w:val="center"/>
              <w:rPr>
                <w:rFonts w:ascii="Times New Roman" w:hAnsi="Times New Roman" w:eastAsia="宋体" w:cs="Times New Roman"/>
                <w:b/>
                <w:szCs w:val="21"/>
              </w:rPr>
            </w:pPr>
          </w:p>
        </w:tc>
        <w:tc>
          <w:tcPr>
            <w:tcW w:w="408" w:type="pct"/>
            <w:noWrap/>
            <w:vAlign w:val="center"/>
          </w:tcPr>
          <w:p w14:paraId="0BB55C74">
            <w:pPr>
              <w:snapToGrid w:val="0"/>
              <w:spacing w:line="280" w:lineRule="exact"/>
              <w:jc w:val="center"/>
              <w:rPr>
                <w:rFonts w:ascii="Times New Roman" w:hAnsi="Times New Roman" w:eastAsia="宋体" w:cs="Times New Roman"/>
                <w:b/>
                <w:szCs w:val="21"/>
              </w:rPr>
            </w:pPr>
            <w:r>
              <w:rPr>
                <w:rFonts w:ascii="Times New Roman" w:hAnsi="Times New Roman" w:eastAsia="宋体" w:cs="Times New Roman"/>
                <w:b/>
                <w:szCs w:val="21"/>
              </w:rPr>
              <w:t>63</w:t>
            </w:r>
          </w:p>
        </w:tc>
        <w:tc>
          <w:tcPr>
            <w:tcW w:w="495" w:type="pct"/>
            <w:noWrap/>
            <w:vAlign w:val="center"/>
          </w:tcPr>
          <w:p w14:paraId="3265B949">
            <w:pPr>
              <w:snapToGrid w:val="0"/>
              <w:spacing w:line="280" w:lineRule="exact"/>
              <w:jc w:val="center"/>
              <w:rPr>
                <w:rFonts w:ascii="Times New Roman" w:hAnsi="Times New Roman" w:eastAsia="宋体" w:cs="Times New Roman"/>
                <w:b/>
                <w:szCs w:val="21"/>
              </w:rPr>
            </w:pPr>
            <w:r>
              <w:rPr>
                <w:rFonts w:ascii="Times New Roman" w:hAnsi="Times New Roman" w:eastAsia="宋体" w:cs="Times New Roman"/>
                <w:b/>
                <w:szCs w:val="21"/>
              </w:rPr>
              <w:t>125</w:t>
            </w:r>
          </w:p>
        </w:tc>
        <w:tc>
          <w:tcPr>
            <w:tcW w:w="495" w:type="pct"/>
            <w:noWrap/>
            <w:vAlign w:val="center"/>
          </w:tcPr>
          <w:p w14:paraId="0D55532E">
            <w:pPr>
              <w:snapToGrid w:val="0"/>
              <w:spacing w:line="280" w:lineRule="exact"/>
              <w:jc w:val="center"/>
              <w:rPr>
                <w:rFonts w:ascii="Times New Roman" w:hAnsi="Times New Roman" w:eastAsia="宋体" w:cs="Times New Roman"/>
                <w:b/>
                <w:szCs w:val="21"/>
              </w:rPr>
            </w:pPr>
            <w:r>
              <w:rPr>
                <w:rFonts w:ascii="Times New Roman" w:hAnsi="Times New Roman" w:eastAsia="宋体" w:cs="Times New Roman"/>
                <w:b/>
                <w:szCs w:val="21"/>
              </w:rPr>
              <w:t>250</w:t>
            </w:r>
          </w:p>
        </w:tc>
        <w:tc>
          <w:tcPr>
            <w:tcW w:w="495" w:type="pct"/>
            <w:noWrap/>
            <w:vAlign w:val="center"/>
          </w:tcPr>
          <w:p w14:paraId="0AA98655">
            <w:pPr>
              <w:snapToGrid w:val="0"/>
              <w:spacing w:line="280" w:lineRule="exact"/>
              <w:jc w:val="center"/>
              <w:rPr>
                <w:rFonts w:ascii="Times New Roman" w:hAnsi="Times New Roman" w:eastAsia="宋体" w:cs="Times New Roman"/>
                <w:b/>
                <w:szCs w:val="21"/>
              </w:rPr>
            </w:pPr>
            <w:r>
              <w:rPr>
                <w:rFonts w:ascii="Times New Roman" w:hAnsi="Times New Roman" w:eastAsia="宋体" w:cs="Times New Roman"/>
                <w:b/>
                <w:szCs w:val="21"/>
              </w:rPr>
              <w:t>500</w:t>
            </w:r>
          </w:p>
        </w:tc>
        <w:tc>
          <w:tcPr>
            <w:tcW w:w="495" w:type="pct"/>
            <w:noWrap/>
            <w:vAlign w:val="center"/>
          </w:tcPr>
          <w:p w14:paraId="45B75AE0">
            <w:pPr>
              <w:snapToGrid w:val="0"/>
              <w:spacing w:line="280" w:lineRule="exact"/>
              <w:jc w:val="center"/>
              <w:rPr>
                <w:rFonts w:ascii="Times New Roman" w:hAnsi="Times New Roman" w:eastAsia="宋体" w:cs="Times New Roman"/>
                <w:b/>
                <w:szCs w:val="21"/>
              </w:rPr>
            </w:pPr>
            <w:r>
              <w:rPr>
                <w:rFonts w:ascii="Times New Roman" w:hAnsi="Times New Roman" w:eastAsia="宋体" w:cs="Times New Roman"/>
                <w:b/>
                <w:szCs w:val="21"/>
              </w:rPr>
              <w:t>1000</w:t>
            </w:r>
          </w:p>
        </w:tc>
        <w:tc>
          <w:tcPr>
            <w:tcW w:w="495" w:type="pct"/>
            <w:noWrap/>
            <w:vAlign w:val="center"/>
          </w:tcPr>
          <w:p w14:paraId="37773855">
            <w:pPr>
              <w:snapToGrid w:val="0"/>
              <w:spacing w:line="280" w:lineRule="exact"/>
              <w:jc w:val="center"/>
              <w:rPr>
                <w:rFonts w:ascii="Times New Roman" w:hAnsi="Times New Roman" w:eastAsia="宋体" w:cs="Times New Roman"/>
                <w:b/>
                <w:szCs w:val="21"/>
              </w:rPr>
            </w:pPr>
            <w:r>
              <w:rPr>
                <w:rFonts w:ascii="Times New Roman" w:hAnsi="Times New Roman" w:eastAsia="宋体" w:cs="Times New Roman"/>
                <w:b/>
                <w:szCs w:val="21"/>
              </w:rPr>
              <w:t>2000</w:t>
            </w:r>
          </w:p>
        </w:tc>
        <w:tc>
          <w:tcPr>
            <w:tcW w:w="495" w:type="pct"/>
            <w:noWrap/>
            <w:vAlign w:val="center"/>
          </w:tcPr>
          <w:p w14:paraId="18DD3B01">
            <w:pPr>
              <w:snapToGrid w:val="0"/>
              <w:spacing w:line="280" w:lineRule="exact"/>
              <w:jc w:val="center"/>
              <w:rPr>
                <w:rFonts w:ascii="Times New Roman" w:hAnsi="Times New Roman" w:eastAsia="宋体" w:cs="Times New Roman"/>
                <w:b/>
                <w:szCs w:val="21"/>
              </w:rPr>
            </w:pPr>
            <w:r>
              <w:rPr>
                <w:rFonts w:ascii="Times New Roman" w:hAnsi="Times New Roman" w:eastAsia="宋体" w:cs="Times New Roman"/>
                <w:b/>
                <w:szCs w:val="21"/>
              </w:rPr>
              <w:t>4000</w:t>
            </w:r>
          </w:p>
        </w:tc>
        <w:tc>
          <w:tcPr>
            <w:tcW w:w="497" w:type="pct"/>
            <w:noWrap/>
            <w:vAlign w:val="center"/>
          </w:tcPr>
          <w:p w14:paraId="70AE5C23">
            <w:pPr>
              <w:snapToGrid w:val="0"/>
              <w:spacing w:line="280" w:lineRule="exact"/>
              <w:jc w:val="center"/>
              <w:rPr>
                <w:rFonts w:ascii="Times New Roman" w:hAnsi="Times New Roman" w:eastAsia="宋体" w:cs="Times New Roman"/>
                <w:b/>
                <w:szCs w:val="21"/>
              </w:rPr>
            </w:pPr>
            <w:r>
              <w:rPr>
                <w:rFonts w:ascii="Times New Roman" w:hAnsi="Times New Roman" w:eastAsia="宋体" w:cs="Times New Roman"/>
                <w:b/>
                <w:szCs w:val="21"/>
              </w:rPr>
              <w:t>8000</w:t>
            </w:r>
          </w:p>
        </w:tc>
      </w:tr>
      <w:tr w14:paraId="35B8214D">
        <w:tblPrEx>
          <w:tblBorders>
            <w:top w:val="thinThickSmallGap" w:color="000000" w:sz="12" w:space="0"/>
            <w:left w:val="thinThickSmallGap" w:color="000000" w:sz="12" w:space="0"/>
            <w:bottom w:val="thickThinSmallGap" w:color="000000" w:sz="12" w:space="0"/>
            <w:right w:val="thickThinSmallGap" w:color="000000" w:sz="12" w:space="0"/>
            <w:insideH w:val="single" w:color="000000" w:sz="4" w:space="0"/>
            <w:insideV w:val="single" w:color="000000" w:sz="4" w:space="0"/>
          </w:tblBorders>
          <w:tblCellMar>
            <w:top w:w="0" w:type="dxa"/>
            <w:left w:w="28" w:type="dxa"/>
            <w:bottom w:w="0" w:type="dxa"/>
            <w:right w:w="28" w:type="dxa"/>
          </w:tblCellMar>
        </w:tblPrEx>
        <w:tc>
          <w:tcPr>
            <w:tcW w:w="460" w:type="pct"/>
            <w:noWrap/>
            <w:vAlign w:val="center"/>
          </w:tcPr>
          <w:p w14:paraId="2733001E">
            <w:pPr>
              <w:snapToGrid w:val="0"/>
              <w:spacing w:line="280" w:lineRule="exact"/>
              <w:jc w:val="center"/>
              <w:rPr>
                <w:rFonts w:ascii="Times New Roman" w:hAnsi="Times New Roman" w:eastAsia="宋体" w:cs="Times New Roman"/>
                <w:szCs w:val="21"/>
              </w:rPr>
            </w:pPr>
            <w:r>
              <w:rPr>
                <w:rFonts w:ascii="Times New Roman" w:hAnsi="Times New Roman" w:eastAsia="宋体" w:cs="Times New Roman"/>
                <w:szCs w:val="21"/>
              </w:rPr>
              <w:t>10</w:t>
            </w:r>
          </w:p>
        </w:tc>
        <w:tc>
          <w:tcPr>
            <w:tcW w:w="665" w:type="pct"/>
            <w:noWrap/>
            <w:vAlign w:val="center"/>
          </w:tcPr>
          <w:p w14:paraId="40E9E388">
            <w:pPr>
              <w:snapToGrid w:val="0"/>
              <w:spacing w:line="280" w:lineRule="exact"/>
              <w:jc w:val="center"/>
              <w:rPr>
                <w:rFonts w:ascii="Times New Roman" w:hAnsi="Times New Roman" w:eastAsia="宋体" w:cs="Times New Roman"/>
                <w:szCs w:val="21"/>
              </w:rPr>
            </w:pPr>
            <w:r>
              <w:rPr>
                <w:rFonts w:ascii="Times New Roman" w:hAnsi="Times New Roman" w:eastAsia="宋体" w:cs="Times New Roman"/>
                <w:szCs w:val="21"/>
              </w:rPr>
              <w:t>70</w:t>
            </w:r>
          </w:p>
        </w:tc>
        <w:tc>
          <w:tcPr>
            <w:tcW w:w="408" w:type="pct"/>
            <w:noWrap/>
            <w:vAlign w:val="center"/>
          </w:tcPr>
          <w:p w14:paraId="1922257A">
            <w:pPr>
              <w:snapToGrid w:val="0"/>
              <w:spacing w:line="280" w:lineRule="exact"/>
              <w:jc w:val="center"/>
              <w:rPr>
                <w:rFonts w:ascii="Times New Roman" w:hAnsi="Times New Roman" w:eastAsia="宋体" w:cs="Times New Roman"/>
                <w:szCs w:val="21"/>
              </w:rPr>
            </w:pPr>
            <w:r>
              <w:rPr>
                <w:rFonts w:ascii="Times New Roman" w:hAnsi="Times New Roman" w:eastAsia="宋体" w:cs="Times New Roman"/>
                <w:szCs w:val="21"/>
              </w:rPr>
              <w:t>0.1</w:t>
            </w:r>
          </w:p>
        </w:tc>
        <w:tc>
          <w:tcPr>
            <w:tcW w:w="495" w:type="pct"/>
            <w:noWrap/>
            <w:vAlign w:val="center"/>
          </w:tcPr>
          <w:p w14:paraId="2D30A87C">
            <w:pPr>
              <w:snapToGrid w:val="0"/>
              <w:spacing w:line="280" w:lineRule="exact"/>
              <w:jc w:val="center"/>
              <w:rPr>
                <w:rFonts w:ascii="Times New Roman" w:hAnsi="Times New Roman" w:eastAsia="宋体" w:cs="Times New Roman"/>
                <w:szCs w:val="21"/>
              </w:rPr>
            </w:pPr>
            <w:r>
              <w:rPr>
                <w:rFonts w:ascii="Times New Roman" w:hAnsi="Times New Roman" w:eastAsia="宋体" w:cs="Times New Roman"/>
                <w:szCs w:val="21"/>
              </w:rPr>
              <w:t>0.4</w:t>
            </w:r>
          </w:p>
        </w:tc>
        <w:tc>
          <w:tcPr>
            <w:tcW w:w="495" w:type="pct"/>
            <w:noWrap/>
            <w:vAlign w:val="center"/>
          </w:tcPr>
          <w:p w14:paraId="7FA2F9B9">
            <w:pPr>
              <w:snapToGrid w:val="0"/>
              <w:spacing w:line="280" w:lineRule="exact"/>
              <w:jc w:val="center"/>
              <w:rPr>
                <w:rFonts w:ascii="Times New Roman" w:hAnsi="Times New Roman" w:eastAsia="宋体" w:cs="Times New Roman"/>
                <w:szCs w:val="21"/>
              </w:rPr>
            </w:pPr>
            <w:r>
              <w:rPr>
                <w:rFonts w:ascii="Times New Roman" w:hAnsi="Times New Roman" w:eastAsia="宋体" w:cs="Times New Roman"/>
                <w:szCs w:val="21"/>
              </w:rPr>
              <w:t>1.0</w:t>
            </w:r>
          </w:p>
        </w:tc>
        <w:tc>
          <w:tcPr>
            <w:tcW w:w="495" w:type="pct"/>
            <w:noWrap/>
            <w:vAlign w:val="center"/>
          </w:tcPr>
          <w:p w14:paraId="5FA61766">
            <w:pPr>
              <w:snapToGrid w:val="0"/>
              <w:spacing w:line="280" w:lineRule="exact"/>
              <w:jc w:val="center"/>
              <w:rPr>
                <w:rFonts w:ascii="Times New Roman" w:hAnsi="Times New Roman" w:eastAsia="宋体" w:cs="Times New Roman"/>
                <w:szCs w:val="21"/>
              </w:rPr>
            </w:pPr>
            <w:r>
              <w:rPr>
                <w:rFonts w:ascii="Times New Roman" w:hAnsi="Times New Roman" w:eastAsia="宋体" w:cs="Times New Roman"/>
                <w:szCs w:val="21"/>
              </w:rPr>
              <w:t>1.9</w:t>
            </w:r>
          </w:p>
        </w:tc>
        <w:tc>
          <w:tcPr>
            <w:tcW w:w="495" w:type="pct"/>
            <w:noWrap/>
            <w:vAlign w:val="center"/>
          </w:tcPr>
          <w:p w14:paraId="0A15E4DD">
            <w:pPr>
              <w:snapToGrid w:val="0"/>
              <w:spacing w:line="280" w:lineRule="exact"/>
              <w:jc w:val="center"/>
              <w:rPr>
                <w:rFonts w:ascii="Times New Roman" w:hAnsi="Times New Roman" w:eastAsia="宋体" w:cs="Times New Roman"/>
                <w:szCs w:val="21"/>
              </w:rPr>
            </w:pPr>
            <w:r>
              <w:rPr>
                <w:rFonts w:ascii="Times New Roman" w:hAnsi="Times New Roman" w:eastAsia="宋体" w:cs="Times New Roman"/>
                <w:szCs w:val="21"/>
              </w:rPr>
              <w:t>3.7</w:t>
            </w:r>
          </w:p>
        </w:tc>
        <w:tc>
          <w:tcPr>
            <w:tcW w:w="495" w:type="pct"/>
            <w:noWrap/>
            <w:vAlign w:val="center"/>
          </w:tcPr>
          <w:p w14:paraId="6E134CBF">
            <w:pPr>
              <w:snapToGrid w:val="0"/>
              <w:spacing w:line="280" w:lineRule="exact"/>
              <w:jc w:val="center"/>
              <w:rPr>
                <w:rFonts w:ascii="Times New Roman" w:hAnsi="Times New Roman" w:eastAsia="宋体" w:cs="Times New Roman"/>
                <w:szCs w:val="21"/>
              </w:rPr>
            </w:pPr>
            <w:r>
              <w:rPr>
                <w:rFonts w:ascii="Times New Roman" w:hAnsi="Times New Roman" w:eastAsia="宋体" w:cs="Times New Roman"/>
                <w:szCs w:val="21"/>
              </w:rPr>
              <w:t>9.7</w:t>
            </w:r>
          </w:p>
        </w:tc>
        <w:tc>
          <w:tcPr>
            <w:tcW w:w="495" w:type="pct"/>
            <w:noWrap/>
            <w:vAlign w:val="center"/>
          </w:tcPr>
          <w:p w14:paraId="49DC6EE4">
            <w:pPr>
              <w:snapToGrid w:val="0"/>
              <w:spacing w:line="280" w:lineRule="exact"/>
              <w:jc w:val="center"/>
              <w:rPr>
                <w:rFonts w:ascii="Times New Roman" w:hAnsi="Times New Roman" w:eastAsia="宋体" w:cs="Times New Roman"/>
                <w:szCs w:val="21"/>
              </w:rPr>
            </w:pPr>
            <w:r>
              <w:rPr>
                <w:rFonts w:ascii="Times New Roman" w:hAnsi="Times New Roman" w:eastAsia="宋体" w:cs="Times New Roman"/>
                <w:szCs w:val="21"/>
              </w:rPr>
              <w:t>32.8</w:t>
            </w:r>
          </w:p>
        </w:tc>
        <w:tc>
          <w:tcPr>
            <w:tcW w:w="497" w:type="pct"/>
            <w:noWrap/>
            <w:vAlign w:val="center"/>
          </w:tcPr>
          <w:p w14:paraId="139027FA">
            <w:pPr>
              <w:snapToGrid w:val="0"/>
              <w:spacing w:line="280" w:lineRule="exact"/>
              <w:jc w:val="center"/>
              <w:rPr>
                <w:rFonts w:ascii="Times New Roman" w:hAnsi="Times New Roman" w:eastAsia="宋体" w:cs="Times New Roman"/>
                <w:szCs w:val="21"/>
              </w:rPr>
            </w:pPr>
            <w:r>
              <w:rPr>
                <w:rFonts w:ascii="Times New Roman" w:hAnsi="Times New Roman" w:eastAsia="宋体" w:cs="Times New Roman"/>
                <w:szCs w:val="21"/>
              </w:rPr>
              <w:t>117.0</w:t>
            </w:r>
          </w:p>
        </w:tc>
      </w:tr>
      <w:tr w14:paraId="3FBDA034">
        <w:tblPrEx>
          <w:tblBorders>
            <w:top w:val="thinThickSmallGap" w:color="000000" w:sz="12" w:space="0"/>
            <w:left w:val="thinThickSmallGap" w:color="000000" w:sz="12" w:space="0"/>
            <w:bottom w:val="thickThinSmallGap" w:color="000000" w:sz="12" w:space="0"/>
            <w:right w:val="thickThinSmallGap" w:color="000000" w:sz="12" w:space="0"/>
            <w:insideH w:val="single" w:color="000000" w:sz="4" w:space="0"/>
            <w:insideV w:val="single" w:color="000000" w:sz="4" w:space="0"/>
          </w:tblBorders>
          <w:tblCellMar>
            <w:top w:w="0" w:type="dxa"/>
            <w:left w:w="28" w:type="dxa"/>
            <w:bottom w:w="0" w:type="dxa"/>
            <w:right w:w="28" w:type="dxa"/>
          </w:tblCellMar>
        </w:tblPrEx>
        <w:tc>
          <w:tcPr>
            <w:tcW w:w="460" w:type="pct"/>
            <w:noWrap/>
            <w:vAlign w:val="center"/>
          </w:tcPr>
          <w:p w14:paraId="0F8B7CD4">
            <w:pPr>
              <w:snapToGrid w:val="0"/>
              <w:spacing w:line="280" w:lineRule="exact"/>
              <w:jc w:val="center"/>
              <w:rPr>
                <w:rFonts w:ascii="Times New Roman" w:hAnsi="Times New Roman" w:eastAsia="宋体" w:cs="Times New Roman"/>
                <w:szCs w:val="21"/>
              </w:rPr>
            </w:pPr>
            <w:r>
              <w:rPr>
                <w:rFonts w:ascii="Times New Roman" w:hAnsi="Times New Roman" w:eastAsia="宋体" w:cs="Times New Roman"/>
                <w:szCs w:val="21"/>
              </w:rPr>
              <w:t>20</w:t>
            </w:r>
          </w:p>
        </w:tc>
        <w:tc>
          <w:tcPr>
            <w:tcW w:w="665" w:type="pct"/>
            <w:noWrap/>
            <w:vAlign w:val="center"/>
          </w:tcPr>
          <w:p w14:paraId="72A50215">
            <w:pPr>
              <w:snapToGrid w:val="0"/>
              <w:spacing w:line="280" w:lineRule="exact"/>
              <w:jc w:val="center"/>
              <w:rPr>
                <w:rFonts w:ascii="Times New Roman" w:hAnsi="Times New Roman" w:eastAsia="宋体" w:cs="Times New Roman"/>
                <w:szCs w:val="21"/>
              </w:rPr>
            </w:pPr>
            <w:r>
              <w:rPr>
                <w:rFonts w:ascii="Times New Roman" w:hAnsi="Times New Roman" w:eastAsia="宋体" w:cs="Times New Roman"/>
                <w:szCs w:val="21"/>
              </w:rPr>
              <w:t>70</w:t>
            </w:r>
          </w:p>
        </w:tc>
        <w:tc>
          <w:tcPr>
            <w:tcW w:w="408" w:type="pct"/>
            <w:noWrap/>
            <w:vAlign w:val="center"/>
          </w:tcPr>
          <w:p w14:paraId="76347290">
            <w:pPr>
              <w:snapToGrid w:val="0"/>
              <w:spacing w:line="280" w:lineRule="exact"/>
              <w:jc w:val="center"/>
              <w:rPr>
                <w:rFonts w:ascii="Times New Roman" w:hAnsi="Times New Roman" w:eastAsia="宋体" w:cs="Times New Roman"/>
                <w:szCs w:val="21"/>
              </w:rPr>
            </w:pPr>
            <w:r>
              <w:rPr>
                <w:rFonts w:ascii="Times New Roman" w:hAnsi="Times New Roman" w:eastAsia="宋体" w:cs="Times New Roman"/>
                <w:szCs w:val="21"/>
              </w:rPr>
              <w:t>0.1</w:t>
            </w:r>
          </w:p>
        </w:tc>
        <w:tc>
          <w:tcPr>
            <w:tcW w:w="495" w:type="pct"/>
            <w:noWrap/>
            <w:vAlign w:val="center"/>
          </w:tcPr>
          <w:p w14:paraId="17BF0F0C">
            <w:pPr>
              <w:snapToGrid w:val="0"/>
              <w:spacing w:line="280" w:lineRule="exact"/>
              <w:jc w:val="center"/>
              <w:rPr>
                <w:rFonts w:ascii="Times New Roman" w:hAnsi="Times New Roman" w:eastAsia="宋体" w:cs="Times New Roman"/>
                <w:szCs w:val="21"/>
              </w:rPr>
            </w:pPr>
            <w:r>
              <w:rPr>
                <w:rFonts w:ascii="Times New Roman" w:hAnsi="Times New Roman" w:eastAsia="宋体" w:cs="Times New Roman"/>
                <w:szCs w:val="21"/>
              </w:rPr>
              <w:t>0.3</w:t>
            </w:r>
          </w:p>
        </w:tc>
        <w:tc>
          <w:tcPr>
            <w:tcW w:w="495" w:type="pct"/>
            <w:noWrap/>
            <w:vAlign w:val="center"/>
          </w:tcPr>
          <w:p w14:paraId="2D950C48">
            <w:pPr>
              <w:snapToGrid w:val="0"/>
              <w:spacing w:line="280" w:lineRule="exact"/>
              <w:jc w:val="center"/>
              <w:rPr>
                <w:rFonts w:ascii="Times New Roman" w:hAnsi="Times New Roman" w:eastAsia="宋体" w:cs="Times New Roman"/>
                <w:szCs w:val="21"/>
              </w:rPr>
            </w:pPr>
            <w:r>
              <w:rPr>
                <w:rFonts w:ascii="Times New Roman" w:hAnsi="Times New Roman" w:eastAsia="宋体" w:cs="Times New Roman"/>
                <w:szCs w:val="21"/>
              </w:rPr>
              <w:t>1.1</w:t>
            </w:r>
          </w:p>
        </w:tc>
        <w:tc>
          <w:tcPr>
            <w:tcW w:w="495" w:type="pct"/>
            <w:noWrap/>
            <w:vAlign w:val="center"/>
          </w:tcPr>
          <w:p w14:paraId="56557833">
            <w:pPr>
              <w:snapToGrid w:val="0"/>
              <w:spacing w:line="280" w:lineRule="exact"/>
              <w:jc w:val="center"/>
              <w:rPr>
                <w:rFonts w:ascii="Times New Roman" w:hAnsi="Times New Roman" w:eastAsia="宋体" w:cs="Times New Roman"/>
                <w:szCs w:val="21"/>
              </w:rPr>
            </w:pPr>
            <w:r>
              <w:rPr>
                <w:rFonts w:ascii="Times New Roman" w:hAnsi="Times New Roman" w:eastAsia="宋体" w:cs="Times New Roman"/>
                <w:szCs w:val="21"/>
              </w:rPr>
              <w:t>2.8</w:t>
            </w:r>
          </w:p>
        </w:tc>
        <w:tc>
          <w:tcPr>
            <w:tcW w:w="495" w:type="pct"/>
            <w:noWrap/>
            <w:vAlign w:val="center"/>
          </w:tcPr>
          <w:p w14:paraId="525D2AD0">
            <w:pPr>
              <w:snapToGrid w:val="0"/>
              <w:spacing w:line="280" w:lineRule="exact"/>
              <w:jc w:val="center"/>
              <w:rPr>
                <w:rFonts w:ascii="Times New Roman" w:hAnsi="Times New Roman" w:eastAsia="宋体" w:cs="Times New Roman"/>
                <w:szCs w:val="21"/>
              </w:rPr>
            </w:pPr>
            <w:r>
              <w:rPr>
                <w:rFonts w:ascii="Times New Roman" w:hAnsi="Times New Roman" w:eastAsia="宋体" w:cs="Times New Roman"/>
                <w:szCs w:val="21"/>
              </w:rPr>
              <w:t>5.0</w:t>
            </w:r>
          </w:p>
        </w:tc>
        <w:tc>
          <w:tcPr>
            <w:tcW w:w="495" w:type="pct"/>
            <w:noWrap/>
            <w:vAlign w:val="center"/>
          </w:tcPr>
          <w:p w14:paraId="6FA5FCEF">
            <w:pPr>
              <w:snapToGrid w:val="0"/>
              <w:spacing w:line="280" w:lineRule="exact"/>
              <w:jc w:val="center"/>
              <w:rPr>
                <w:rFonts w:ascii="Times New Roman" w:hAnsi="Times New Roman" w:eastAsia="宋体" w:cs="Times New Roman"/>
                <w:szCs w:val="21"/>
              </w:rPr>
            </w:pPr>
            <w:r>
              <w:rPr>
                <w:rFonts w:ascii="Times New Roman" w:hAnsi="Times New Roman" w:eastAsia="宋体" w:cs="Times New Roman"/>
                <w:szCs w:val="21"/>
              </w:rPr>
              <w:t>9.0</w:t>
            </w:r>
          </w:p>
        </w:tc>
        <w:tc>
          <w:tcPr>
            <w:tcW w:w="495" w:type="pct"/>
            <w:noWrap/>
            <w:vAlign w:val="center"/>
          </w:tcPr>
          <w:p w14:paraId="7EB49911">
            <w:pPr>
              <w:snapToGrid w:val="0"/>
              <w:spacing w:line="280" w:lineRule="exact"/>
              <w:jc w:val="center"/>
              <w:rPr>
                <w:rFonts w:ascii="Times New Roman" w:hAnsi="Times New Roman" w:eastAsia="宋体" w:cs="Times New Roman"/>
                <w:szCs w:val="21"/>
              </w:rPr>
            </w:pPr>
            <w:r>
              <w:rPr>
                <w:rFonts w:ascii="Times New Roman" w:hAnsi="Times New Roman" w:eastAsia="宋体" w:cs="Times New Roman"/>
                <w:szCs w:val="21"/>
              </w:rPr>
              <w:t>22.9</w:t>
            </w:r>
          </w:p>
        </w:tc>
        <w:tc>
          <w:tcPr>
            <w:tcW w:w="497" w:type="pct"/>
            <w:noWrap/>
            <w:vAlign w:val="center"/>
          </w:tcPr>
          <w:p w14:paraId="6EA5CBB3">
            <w:pPr>
              <w:snapToGrid w:val="0"/>
              <w:spacing w:line="280" w:lineRule="exact"/>
              <w:jc w:val="center"/>
              <w:rPr>
                <w:rFonts w:ascii="Times New Roman" w:hAnsi="Times New Roman" w:eastAsia="宋体" w:cs="Times New Roman"/>
                <w:szCs w:val="21"/>
              </w:rPr>
            </w:pPr>
            <w:r>
              <w:rPr>
                <w:rFonts w:ascii="Times New Roman" w:hAnsi="Times New Roman" w:eastAsia="宋体" w:cs="Times New Roman"/>
                <w:szCs w:val="21"/>
              </w:rPr>
              <w:t>76.6</w:t>
            </w:r>
          </w:p>
        </w:tc>
      </w:tr>
      <w:tr w14:paraId="2866C06D">
        <w:tblPrEx>
          <w:tblBorders>
            <w:top w:val="thinThickSmallGap" w:color="000000" w:sz="12" w:space="0"/>
            <w:left w:val="thinThickSmallGap" w:color="000000" w:sz="12" w:space="0"/>
            <w:bottom w:val="thickThinSmallGap" w:color="000000" w:sz="12" w:space="0"/>
            <w:right w:val="thickThinSmallGap" w:color="000000" w:sz="12" w:space="0"/>
            <w:insideH w:val="single" w:color="000000" w:sz="4" w:space="0"/>
            <w:insideV w:val="single" w:color="000000" w:sz="4" w:space="0"/>
          </w:tblBorders>
          <w:tblCellMar>
            <w:top w:w="0" w:type="dxa"/>
            <w:left w:w="28" w:type="dxa"/>
            <w:bottom w:w="0" w:type="dxa"/>
            <w:right w:w="28" w:type="dxa"/>
          </w:tblCellMar>
        </w:tblPrEx>
        <w:tc>
          <w:tcPr>
            <w:tcW w:w="460" w:type="pct"/>
            <w:noWrap/>
            <w:vAlign w:val="center"/>
          </w:tcPr>
          <w:p w14:paraId="47376482">
            <w:pPr>
              <w:snapToGrid w:val="0"/>
              <w:spacing w:line="280" w:lineRule="exact"/>
              <w:jc w:val="center"/>
              <w:rPr>
                <w:rFonts w:ascii="Times New Roman" w:hAnsi="Times New Roman" w:eastAsia="宋体" w:cs="Times New Roman"/>
                <w:szCs w:val="21"/>
              </w:rPr>
            </w:pPr>
            <w:r>
              <w:rPr>
                <w:rFonts w:ascii="Times New Roman" w:hAnsi="Times New Roman" w:eastAsia="宋体" w:cs="Times New Roman"/>
                <w:szCs w:val="21"/>
              </w:rPr>
              <w:t>30</w:t>
            </w:r>
          </w:p>
        </w:tc>
        <w:tc>
          <w:tcPr>
            <w:tcW w:w="665" w:type="pct"/>
            <w:noWrap/>
            <w:vAlign w:val="center"/>
          </w:tcPr>
          <w:p w14:paraId="47885D6F">
            <w:pPr>
              <w:snapToGrid w:val="0"/>
              <w:spacing w:line="280" w:lineRule="exact"/>
              <w:jc w:val="center"/>
              <w:rPr>
                <w:rFonts w:ascii="Times New Roman" w:hAnsi="Times New Roman" w:eastAsia="宋体" w:cs="Times New Roman"/>
                <w:szCs w:val="21"/>
              </w:rPr>
            </w:pPr>
            <w:r>
              <w:rPr>
                <w:rFonts w:ascii="Times New Roman" w:hAnsi="Times New Roman" w:eastAsia="宋体" w:cs="Times New Roman"/>
                <w:szCs w:val="21"/>
              </w:rPr>
              <w:t>70</w:t>
            </w:r>
          </w:p>
        </w:tc>
        <w:tc>
          <w:tcPr>
            <w:tcW w:w="408" w:type="pct"/>
            <w:noWrap/>
            <w:vAlign w:val="center"/>
          </w:tcPr>
          <w:p w14:paraId="1C7F0CFC">
            <w:pPr>
              <w:snapToGrid w:val="0"/>
              <w:spacing w:line="280" w:lineRule="exact"/>
              <w:jc w:val="center"/>
              <w:rPr>
                <w:rFonts w:ascii="Times New Roman" w:hAnsi="Times New Roman" w:eastAsia="宋体" w:cs="Times New Roman"/>
                <w:szCs w:val="21"/>
              </w:rPr>
            </w:pPr>
            <w:r>
              <w:rPr>
                <w:rFonts w:ascii="Times New Roman" w:hAnsi="Times New Roman" w:eastAsia="宋体" w:cs="Times New Roman"/>
                <w:szCs w:val="21"/>
              </w:rPr>
              <w:t>0.1</w:t>
            </w:r>
          </w:p>
        </w:tc>
        <w:tc>
          <w:tcPr>
            <w:tcW w:w="495" w:type="pct"/>
            <w:noWrap/>
            <w:vAlign w:val="center"/>
          </w:tcPr>
          <w:p w14:paraId="794AA97D">
            <w:pPr>
              <w:snapToGrid w:val="0"/>
              <w:spacing w:line="280" w:lineRule="exact"/>
              <w:jc w:val="center"/>
              <w:rPr>
                <w:rFonts w:ascii="Times New Roman" w:hAnsi="Times New Roman" w:eastAsia="宋体" w:cs="Times New Roman"/>
                <w:szCs w:val="21"/>
              </w:rPr>
            </w:pPr>
            <w:r>
              <w:rPr>
                <w:rFonts w:ascii="Times New Roman" w:hAnsi="Times New Roman" w:eastAsia="宋体" w:cs="Times New Roman"/>
                <w:szCs w:val="21"/>
              </w:rPr>
              <w:t>0.3</w:t>
            </w:r>
          </w:p>
        </w:tc>
        <w:tc>
          <w:tcPr>
            <w:tcW w:w="495" w:type="pct"/>
            <w:noWrap/>
            <w:vAlign w:val="center"/>
          </w:tcPr>
          <w:p w14:paraId="264A78EC">
            <w:pPr>
              <w:snapToGrid w:val="0"/>
              <w:spacing w:line="280" w:lineRule="exact"/>
              <w:jc w:val="center"/>
              <w:rPr>
                <w:rFonts w:ascii="Times New Roman" w:hAnsi="Times New Roman" w:eastAsia="宋体" w:cs="Times New Roman"/>
                <w:szCs w:val="21"/>
              </w:rPr>
            </w:pPr>
            <w:r>
              <w:rPr>
                <w:rFonts w:ascii="Times New Roman" w:hAnsi="Times New Roman" w:eastAsia="宋体" w:cs="Times New Roman"/>
                <w:szCs w:val="21"/>
              </w:rPr>
              <w:t>1.0</w:t>
            </w:r>
          </w:p>
        </w:tc>
        <w:tc>
          <w:tcPr>
            <w:tcW w:w="495" w:type="pct"/>
            <w:noWrap/>
            <w:vAlign w:val="center"/>
          </w:tcPr>
          <w:p w14:paraId="120FE206">
            <w:pPr>
              <w:snapToGrid w:val="0"/>
              <w:spacing w:line="280" w:lineRule="exact"/>
              <w:jc w:val="center"/>
              <w:rPr>
                <w:rFonts w:ascii="Times New Roman" w:hAnsi="Times New Roman" w:eastAsia="宋体" w:cs="Times New Roman"/>
                <w:szCs w:val="21"/>
              </w:rPr>
            </w:pPr>
            <w:r>
              <w:rPr>
                <w:rFonts w:ascii="Times New Roman" w:hAnsi="Times New Roman" w:eastAsia="宋体" w:cs="Times New Roman"/>
                <w:szCs w:val="21"/>
              </w:rPr>
              <w:t>3.1</w:t>
            </w:r>
          </w:p>
        </w:tc>
        <w:tc>
          <w:tcPr>
            <w:tcW w:w="495" w:type="pct"/>
            <w:noWrap/>
            <w:vAlign w:val="center"/>
          </w:tcPr>
          <w:p w14:paraId="34A98744">
            <w:pPr>
              <w:snapToGrid w:val="0"/>
              <w:spacing w:line="280" w:lineRule="exact"/>
              <w:jc w:val="center"/>
              <w:rPr>
                <w:rFonts w:ascii="Times New Roman" w:hAnsi="Times New Roman" w:eastAsia="宋体" w:cs="Times New Roman"/>
                <w:szCs w:val="21"/>
              </w:rPr>
            </w:pPr>
            <w:r>
              <w:rPr>
                <w:rFonts w:ascii="Times New Roman" w:hAnsi="Times New Roman" w:eastAsia="宋体" w:cs="Times New Roman"/>
                <w:szCs w:val="21"/>
              </w:rPr>
              <w:t>7.4</w:t>
            </w:r>
          </w:p>
        </w:tc>
        <w:tc>
          <w:tcPr>
            <w:tcW w:w="495" w:type="pct"/>
            <w:noWrap/>
            <w:vAlign w:val="center"/>
          </w:tcPr>
          <w:p w14:paraId="17472376">
            <w:pPr>
              <w:snapToGrid w:val="0"/>
              <w:spacing w:line="280" w:lineRule="exact"/>
              <w:jc w:val="center"/>
              <w:rPr>
                <w:rFonts w:ascii="Times New Roman" w:hAnsi="Times New Roman" w:eastAsia="宋体" w:cs="Times New Roman"/>
                <w:szCs w:val="21"/>
              </w:rPr>
            </w:pPr>
            <w:r>
              <w:rPr>
                <w:rFonts w:ascii="Times New Roman" w:hAnsi="Times New Roman" w:eastAsia="宋体" w:cs="Times New Roman"/>
                <w:szCs w:val="21"/>
              </w:rPr>
              <w:t>12.7</w:t>
            </w:r>
          </w:p>
        </w:tc>
        <w:tc>
          <w:tcPr>
            <w:tcW w:w="495" w:type="pct"/>
            <w:noWrap/>
            <w:vAlign w:val="center"/>
          </w:tcPr>
          <w:p w14:paraId="3A9A325D">
            <w:pPr>
              <w:snapToGrid w:val="0"/>
              <w:spacing w:line="280" w:lineRule="exact"/>
              <w:jc w:val="center"/>
              <w:rPr>
                <w:rFonts w:ascii="Times New Roman" w:hAnsi="Times New Roman" w:eastAsia="宋体" w:cs="Times New Roman"/>
                <w:szCs w:val="21"/>
              </w:rPr>
            </w:pPr>
            <w:r>
              <w:rPr>
                <w:rFonts w:ascii="Times New Roman" w:hAnsi="Times New Roman" w:eastAsia="宋体" w:cs="Times New Roman"/>
                <w:szCs w:val="21"/>
              </w:rPr>
              <w:t>23.1</w:t>
            </w:r>
          </w:p>
        </w:tc>
        <w:tc>
          <w:tcPr>
            <w:tcW w:w="497" w:type="pct"/>
            <w:noWrap/>
            <w:vAlign w:val="center"/>
          </w:tcPr>
          <w:p w14:paraId="0F8AD013">
            <w:pPr>
              <w:snapToGrid w:val="0"/>
              <w:spacing w:line="280" w:lineRule="exact"/>
              <w:jc w:val="center"/>
              <w:rPr>
                <w:rFonts w:ascii="Times New Roman" w:hAnsi="Times New Roman" w:eastAsia="宋体" w:cs="Times New Roman"/>
                <w:szCs w:val="21"/>
              </w:rPr>
            </w:pPr>
            <w:r>
              <w:rPr>
                <w:rFonts w:ascii="Times New Roman" w:hAnsi="Times New Roman" w:eastAsia="宋体" w:cs="Times New Roman"/>
                <w:szCs w:val="21"/>
              </w:rPr>
              <w:t>59.3</w:t>
            </w:r>
          </w:p>
        </w:tc>
      </w:tr>
      <w:tr w14:paraId="7E8EC07A">
        <w:tblPrEx>
          <w:tblBorders>
            <w:top w:val="thinThickSmallGap" w:color="000000" w:sz="12" w:space="0"/>
            <w:left w:val="thinThickSmallGap" w:color="000000" w:sz="12" w:space="0"/>
            <w:bottom w:val="thickThinSmallGap" w:color="000000" w:sz="12" w:space="0"/>
            <w:right w:val="thickThinSmallGap" w:color="000000" w:sz="12" w:space="0"/>
            <w:insideH w:val="single" w:color="000000" w:sz="4" w:space="0"/>
            <w:insideV w:val="single" w:color="000000" w:sz="4" w:space="0"/>
          </w:tblBorders>
          <w:tblCellMar>
            <w:top w:w="0" w:type="dxa"/>
            <w:left w:w="28" w:type="dxa"/>
            <w:bottom w:w="0" w:type="dxa"/>
            <w:right w:w="28" w:type="dxa"/>
          </w:tblCellMar>
        </w:tblPrEx>
        <w:tc>
          <w:tcPr>
            <w:tcW w:w="460" w:type="pct"/>
            <w:noWrap/>
            <w:vAlign w:val="center"/>
          </w:tcPr>
          <w:p w14:paraId="7AC111EE">
            <w:pPr>
              <w:snapToGrid w:val="0"/>
              <w:spacing w:line="280" w:lineRule="exact"/>
              <w:jc w:val="center"/>
              <w:rPr>
                <w:rFonts w:ascii="Times New Roman" w:hAnsi="Times New Roman" w:eastAsia="宋体" w:cs="Times New Roman"/>
                <w:szCs w:val="21"/>
              </w:rPr>
            </w:pPr>
            <w:r>
              <w:rPr>
                <w:rFonts w:ascii="Times New Roman" w:hAnsi="Times New Roman" w:eastAsia="宋体" w:cs="Times New Roman"/>
                <w:szCs w:val="21"/>
              </w:rPr>
              <w:t>15</w:t>
            </w:r>
          </w:p>
        </w:tc>
        <w:tc>
          <w:tcPr>
            <w:tcW w:w="665" w:type="pct"/>
            <w:noWrap/>
            <w:vAlign w:val="center"/>
          </w:tcPr>
          <w:p w14:paraId="6F6CE43C">
            <w:pPr>
              <w:snapToGrid w:val="0"/>
              <w:spacing w:line="280" w:lineRule="exact"/>
              <w:jc w:val="center"/>
              <w:rPr>
                <w:rFonts w:ascii="Times New Roman" w:hAnsi="Times New Roman" w:eastAsia="宋体" w:cs="Times New Roman"/>
                <w:szCs w:val="21"/>
              </w:rPr>
            </w:pPr>
            <w:r>
              <w:rPr>
                <w:rFonts w:ascii="Times New Roman" w:hAnsi="Times New Roman" w:eastAsia="宋体" w:cs="Times New Roman"/>
                <w:szCs w:val="21"/>
              </w:rPr>
              <w:t>20</w:t>
            </w:r>
          </w:p>
        </w:tc>
        <w:tc>
          <w:tcPr>
            <w:tcW w:w="408" w:type="pct"/>
            <w:noWrap/>
            <w:vAlign w:val="center"/>
          </w:tcPr>
          <w:p w14:paraId="499770F6">
            <w:pPr>
              <w:snapToGrid w:val="0"/>
              <w:spacing w:line="280" w:lineRule="exact"/>
              <w:jc w:val="center"/>
              <w:rPr>
                <w:rFonts w:ascii="Times New Roman" w:hAnsi="Times New Roman" w:eastAsia="宋体" w:cs="Times New Roman"/>
                <w:szCs w:val="21"/>
              </w:rPr>
            </w:pPr>
            <w:r>
              <w:rPr>
                <w:rFonts w:ascii="Times New Roman" w:hAnsi="Times New Roman" w:eastAsia="宋体" w:cs="Times New Roman"/>
                <w:szCs w:val="21"/>
              </w:rPr>
              <w:t>0.3</w:t>
            </w:r>
          </w:p>
        </w:tc>
        <w:tc>
          <w:tcPr>
            <w:tcW w:w="495" w:type="pct"/>
            <w:noWrap/>
            <w:vAlign w:val="center"/>
          </w:tcPr>
          <w:p w14:paraId="087070C8">
            <w:pPr>
              <w:snapToGrid w:val="0"/>
              <w:spacing w:line="280" w:lineRule="exact"/>
              <w:jc w:val="center"/>
              <w:rPr>
                <w:rFonts w:ascii="Times New Roman" w:hAnsi="Times New Roman" w:eastAsia="宋体" w:cs="Times New Roman"/>
                <w:szCs w:val="21"/>
              </w:rPr>
            </w:pPr>
            <w:r>
              <w:rPr>
                <w:rFonts w:ascii="Times New Roman" w:hAnsi="Times New Roman" w:eastAsia="宋体" w:cs="Times New Roman"/>
                <w:szCs w:val="21"/>
              </w:rPr>
              <w:t>0.6</w:t>
            </w:r>
          </w:p>
        </w:tc>
        <w:tc>
          <w:tcPr>
            <w:tcW w:w="495" w:type="pct"/>
            <w:noWrap/>
            <w:vAlign w:val="center"/>
          </w:tcPr>
          <w:p w14:paraId="3FC32697">
            <w:pPr>
              <w:snapToGrid w:val="0"/>
              <w:spacing w:line="280" w:lineRule="exact"/>
              <w:jc w:val="center"/>
              <w:rPr>
                <w:rFonts w:ascii="Times New Roman" w:hAnsi="Times New Roman" w:eastAsia="宋体" w:cs="Times New Roman"/>
                <w:szCs w:val="21"/>
              </w:rPr>
            </w:pPr>
            <w:r>
              <w:rPr>
                <w:rFonts w:ascii="Times New Roman" w:hAnsi="Times New Roman" w:eastAsia="宋体" w:cs="Times New Roman"/>
                <w:szCs w:val="21"/>
              </w:rPr>
              <w:t>1.2</w:t>
            </w:r>
          </w:p>
        </w:tc>
        <w:tc>
          <w:tcPr>
            <w:tcW w:w="495" w:type="pct"/>
            <w:noWrap/>
            <w:vAlign w:val="center"/>
          </w:tcPr>
          <w:p w14:paraId="2B231828">
            <w:pPr>
              <w:snapToGrid w:val="0"/>
              <w:spacing w:line="280" w:lineRule="exact"/>
              <w:jc w:val="center"/>
              <w:rPr>
                <w:rFonts w:ascii="Times New Roman" w:hAnsi="Times New Roman" w:eastAsia="宋体" w:cs="Times New Roman"/>
                <w:szCs w:val="21"/>
              </w:rPr>
            </w:pPr>
            <w:r>
              <w:rPr>
                <w:rFonts w:ascii="Times New Roman" w:hAnsi="Times New Roman" w:eastAsia="宋体" w:cs="Times New Roman"/>
                <w:szCs w:val="21"/>
              </w:rPr>
              <w:t>2.7</w:t>
            </w:r>
          </w:p>
        </w:tc>
        <w:tc>
          <w:tcPr>
            <w:tcW w:w="495" w:type="pct"/>
            <w:noWrap/>
            <w:vAlign w:val="center"/>
          </w:tcPr>
          <w:p w14:paraId="3E01776B">
            <w:pPr>
              <w:snapToGrid w:val="0"/>
              <w:spacing w:line="280" w:lineRule="exact"/>
              <w:jc w:val="center"/>
              <w:rPr>
                <w:rFonts w:ascii="Times New Roman" w:hAnsi="Times New Roman" w:eastAsia="宋体" w:cs="Times New Roman"/>
                <w:szCs w:val="21"/>
              </w:rPr>
            </w:pPr>
            <w:r>
              <w:rPr>
                <w:rFonts w:ascii="Times New Roman" w:hAnsi="Times New Roman" w:eastAsia="宋体" w:cs="Times New Roman"/>
                <w:szCs w:val="21"/>
              </w:rPr>
              <w:t>8.2</w:t>
            </w:r>
          </w:p>
        </w:tc>
        <w:tc>
          <w:tcPr>
            <w:tcW w:w="495" w:type="pct"/>
            <w:noWrap/>
            <w:vAlign w:val="center"/>
          </w:tcPr>
          <w:p w14:paraId="25EDA9B0">
            <w:pPr>
              <w:snapToGrid w:val="0"/>
              <w:spacing w:line="280" w:lineRule="exact"/>
              <w:jc w:val="center"/>
              <w:rPr>
                <w:rFonts w:ascii="Times New Roman" w:hAnsi="Times New Roman" w:eastAsia="宋体" w:cs="Times New Roman"/>
                <w:szCs w:val="21"/>
              </w:rPr>
            </w:pPr>
            <w:r>
              <w:rPr>
                <w:rFonts w:ascii="Times New Roman" w:hAnsi="Times New Roman" w:eastAsia="宋体" w:cs="Times New Roman"/>
                <w:szCs w:val="21"/>
              </w:rPr>
              <w:t>28.2</w:t>
            </w:r>
          </w:p>
        </w:tc>
        <w:tc>
          <w:tcPr>
            <w:tcW w:w="495" w:type="pct"/>
            <w:noWrap/>
            <w:vAlign w:val="center"/>
          </w:tcPr>
          <w:p w14:paraId="2C7D852B">
            <w:pPr>
              <w:snapToGrid w:val="0"/>
              <w:spacing w:line="280" w:lineRule="exact"/>
              <w:jc w:val="center"/>
              <w:rPr>
                <w:rFonts w:ascii="Times New Roman" w:hAnsi="Times New Roman" w:eastAsia="宋体" w:cs="Times New Roman"/>
                <w:szCs w:val="21"/>
              </w:rPr>
            </w:pPr>
            <w:r>
              <w:rPr>
                <w:rFonts w:ascii="Times New Roman" w:hAnsi="Times New Roman" w:eastAsia="宋体" w:cs="Times New Roman"/>
                <w:szCs w:val="21"/>
              </w:rPr>
              <w:t>28.8</w:t>
            </w:r>
          </w:p>
        </w:tc>
        <w:tc>
          <w:tcPr>
            <w:tcW w:w="497" w:type="pct"/>
            <w:noWrap/>
            <w:vAlign w:val="center"/>
          </w:tcPr>
          <w:p w14:paraId="3FC4FA24">
            <w:pPr>
              <w:snapToGrid w:val="0"/>
              <w:spacing w:line="280" w:lineRule="exact"/>
              <w:jc w:val="center"/>
              <w:rPr>
                <w:rFonts w:ascii="Times New Roman" w:hAnsi="Times New Roman" w:eastAsia="宋体" w:cs="Times New Roman"/>
                <w:szCs w:val="21"/>
              </w:rPr>
            </w:pPr>
            <w:r>
              <w:rPr>
                <w:rFonts w:ascii="Times New Roman" w:hAnsi="Times New Roman" w:eastAsia="宋体" w:cs="Times New Roman"/>
                <w:szCs w:val="21"/>
              </w:rPr>
              <w:t>202.0</w:t>
            </w:r>
          </w:p>
        </w:tc>
      </w:tr>
      <w:tr w14:paraId="7178DD91">
        <w:tblPrEx>
          <w:tblBorders>
            <w:top w:val="thinThickSmallGap" w:color="000000" w:sz="12" w:space="0"/>
            <w:left w:val="thinThickSmallGap" w:color="000000" w:sz="12" w:space="0"/>
            <w:bottom w:val="thickThinSmallGap" w:color="000000" w:sz="12" w:space="0"/>
            <w:right w:val="thickThinSmallGap" w:color="000000" w:sz="12" w:space="0"/>
            <w:insideH w:val="single" w:color="000000" w:sz="4" w:space="0"/>
            <w:insideV w:val="single" w:color="000000" w:sz="4" w:space="0"/>
          </w:tblBorders>
          <w:tblCellMar>
            <w:top w:w="0" w:type="dxa"/>
            <w:left w:w="28" w:type="dxa"/>
            <w:bottom w:w="0" w:type="dxa"/>
            <w:right w:w="28" w:type="dxa"/>
          </w:tblCellMar>
        </w:tblPrEx>
        <w:tc>
          <w:tcPr>
            <w:tcW w:w="460" w:type="pct"/>
            <w:noWrap/>
            <w:vAlign w:val="center"/>
          </w:tcPr>
          <w:p w14:paraId="33D34BD8">
            <w:pPr>
              <w:snapToGrid w:val="0"/>
              <w:spacing w:line="280" w:lineRule="exact"/>
              <w:jc w:val="center"/>
              <w:rPr>
                <w:rFonts w:ascii="Times New Roman" w:hAnsi="Times New Roman" w:eastAsia="宋体" w:cs="Times New Roman"/>
                <w:szCs w:val="21"/>
              </w:rPr>
            </w:pPr>
            <w:r>
              <w:rPr>
                <w:rFonts w:ascii="Times New Roman" w:hAnsi="Times New Roman" w:eastAsia="宋体" w:cs="Times New Roman"/>
                <w:szCs w:val="21"/>
              </w:rPr>
              <w:t>15</w:t>
            </w:r>
          </w:p>
        </w:tc>
        <w:tc>
          <w:tcPr>
            <w:tcW w:w="665" w:type="pct"/>
            <w:noWrap/>
            <w:vAlign w:val="center"/>
          </w:tcPr>
          <w:p w14:paraId="53966C85">
            <w:pPr>
              <w:snapToGrid w:val="0"/>
              <w:spacing w:line="280" w:lineRule="exact"/>
              <w:jc w:val="center"/>
              <w:rPr>
                <w:rFonts w:ascii="Times New Roman" w:hAnsi="Times New Roman" w:eastAsia="宋体" w:cs="Times New Roman"/>
                <w:szCs w:val="21"/>
              </w:rPr>
            </w:pPr>
            <w:r>
              <w:rPr>
                <w:rFonts w:ascii="Times New Roman" w:hAnsi="Times New Roman" w:eastAsia="宋体" w:cs="Times New Roman"/>
                <w:szCs w:val="21"/>
              </w:rPr>
              <w:t>50</w:t>
            </w:r>
          </w:p>
        </w:tc>
        <w:tc>
          <w:tcPr>
            <w:tcW w:w="408" w:type="pct"/>
            <w:noWrap/>
            <w:vAlign w:val="center"/>
          </w:tcPr>
          <w:p w14:paraId="3C2E8C61">
            <w:pPr>
              <w:snapToGrid w:val="0"/>
              <w:spacing w:line="280" w:lineRule="exact"/>
              <w:jc w:val="center"/>
              <w:rPr>
                <w:rFonts w:ascii="Times New Roman" w:hAnsi="Times New Roman" w:eastAsia="宋体" w:cs="Times New Roman"/>
                <w:szCs w:val="21"/>
              </w:rPr>
            </w:pPr>
            <w:r>
              <w:rPr>
                <w:rFonts w:ascii="Times New Roman" w:hAnsi="Times New Roman" w:eastAsia="宋体" w:cs="Times New Roman"/>
                <w:szCs w:val="21"/>
              </w:rPr>
              <w:t>0.1</w:t>
            </w:r>
          </w:p>
        </w:tc>
        <w:tc>
          <w:tcPr>
            <w:tcW w:w="495" w:type="pct"/>
            <w:noWrap/>
            <w:vAlign w:val="center"/>
          </w:tcPr>
          <w:p w14:paraId="2B762A5C">
            <w:pPr>
              <w:snapToGrid w:val="0"/>
              <w:spacing w:line="280" w:lineRule="exact"/>
              <w:jc w:val="center"/>
              <w:rPr>
                <w:rFonts w:ascii="Times New Roman" w:hAnsi="Times New Roman" w:eastAsia="宋体" w:cs="Times New Roman"/>
                <w:szCs w:val="21"/>
              </w:rPr>
            </w:pPr>
            <w:r>
              <w:rPr>
                <w:rFonts w:ascii="Times New Roman" w:hAnsi="Times New Roman" w:eastAsia="宋体" w:cs="Times New Roman"/>
                <w:szCs w:val="21"/>
              </w:rPr>
              <w:t>0.5</w:t>
            </w:r>
          </w:p>
        </w:tc>
        <w:tc>
          <w:tcPr>
            <w:tcW w:w="495" w:type="pct"/>
            <w:noWrap/>
            <w:vAlign w:val="center"/>
          </w:tcPr>
          <w:p w14:paraId="69BEAA4D">
            <w:pPr>
              <w:snapToGrid w:val="0"/>
              <w:spacing w:line="280" w:lineRule="exact"/>
              <w:jc w:val="center"/>
              <w:rPr>
                <w:rFonts w:ascii="Times New Roman" w:hAnsi="Times New Roman" w:eastAsia="宋体" w:cs="Times New Roman"/>
                <w:szCs w:val="21"/>
              </w:rPr>
            </w:pPr>
            <w:r>
              <w:rPr>
                <w:rFonts w:ascii="Times New Roman" w:hAnsi="Times New Roman" w:eastAsia="宋体" w:cs="Times New Roman"/>
                <w:szCs w:val="21"/>
              </w:rPr>
              <w:t>1.2</w:t>
            </w:r>
          </w:p>
        </w:tc>
        <w:tc>
          <w:tcPr>
            <w:tcW w:w="495" w:type="pct"/>
            <w:noWrap/>
            <w:vAlign w:val="center"/>
          </w:tcPr>
          <w:p w14:paraId="300BC6AB">
            <w:pPr>
              <w:snapToGrid w:val="0"/>
              <w:spacing w:line="280" w:lineRule="exact"/>
              <w:jc w:val="center"/>
              <w:rPr>
                <w:rFonts w:ascii="Times New Roman" w:hAnsi="Times New Roman" w:eastAsia="宋体" w:cs="Times New Roman"/>
                <w:szCs w:val="21"/>
              </w:rPr>
            </w:pPr>
            <w:r>
              <w:rPr>
                <w:rFonts w:ascii="Times New Roman" w:hAnsi="Times New Roman" w:eastAsia="宋体" w:cs="Times New Roman"/>
                <w:szCs w:val="21"/>
              </w:rPr>
              <w:t>2.2</w:t>
            </w:r>
          </w:p>
        </w:tc>
        <w:tc>
          <w:tcPr>
            <w:tcW w:w="495" w:type="pct"/>
            <w:noWrap/>
            <w:vAlign w:val="center"/>
          </w:tcPr>
          <w:p w14:paraId="0B80DB19">
            <w:pPr>
              <w:snapToGrid w:val="0"/>
              <w:spacing w:line="280" w:lineRule="exact"/>
              <w:jc w:val="center"/>
              <w:rPr>
                <w:rFonts w:ascii="Times New Roman" w:hAnsi="Times New Roman" w:eastAsia="宋体" w:cs="Times New Roman"/>
                <w:szCs w:val="21"/>
              </w:rPr>
            </w:pPr>
            <w:r>
              <w:rPr>
                <w:rFonts w:ascii="Times New Roman" w:hAnsi="Times New Roman" w:eastAsia="宋体" w:cs="Times New Roman"/>
                <w:szCs w:val="21"/>
              </w:rPr>
              <w:t>4.2</w:t>
            </w:r>
          </w:p>
        </w:tc>
        <w:tc>
          <w:tcPr>
            <w:tcW w:w="495" w:type="pct"/>
            <w:noWrap/>
            <w:vAlign w:val="center"/>
          </w:tcPr>
          <w:p w14:paraId="3827FF09">
            <w:pPr>
              <w:snapToGrid w:val="0"/>
              <w:spacing w:line="280" w:lineRule="exact"/>
              <w:jc w:val="center"/>
              <w:rPr>
                <w:rFonts w:ascii="Times New Roman" w:hAnsi="Times New Roman" w:eastAsia="宋体" w:cs="Times New Roman"/>
                <w:szCs w:val="21"/>
              </w:rPr>
            </w:pPr>
            <w:r>
              <w:rPr>
                <w:rFonts w:ascii="Times New Roman" w:hAnsi="Times New Roman" w:eastAsia="宋体" w:cs="Times New Roman"/>
                <w:szCs w:val="21"/>
              </w:rPr>
              <w:t>10.8</w:t>
            </w:r>
          </w:p>
        </w:tc>
        <w:tc>
          <w:tcPr>
            <w:tcW w:w="495" w:type="pct"/>
            <w:noWrap/>
            <w:vAlign w:val="center"/>
          </w:tcPr>
          <w:p w14:paraId="162ECBE7">
            <w:pPr>
              <w:snapToGrid w:val="0"/>
              <w:spacing w:line="280" w:lineRule="exact"/>
              <w:jc w:val="center"/>
              <w:rPr>
                <w:rFonts w:ascii="Times New Roman" w:hAnsi="Times New Roman" w:eastAsia="宋体" w:cs="Times New Roman"/>
                <w:szCs w:val="21"/>
              </w:rPr>
            </w:pPr>
            <w:r>
              <w:rPr>
                <w:rFonts w:ascii="Times New Roman" w:hAnsi="Times New Roman" w:eastAsia="宋体" w:cs="Times New Roman"/>
                <w:szCs w:val="21"/>
              </w:rPr>
              <w:t>36.2</w:t>
            </w:r>
          </w:p>
        </w:tc>
        <w:tc>
          <w:tcPr>
            <w:tcW w:w="497" w:type="pct"/>
            <w:noWrap/>
            <w:vAlign w:val="center"/>
          </w:tcPr>
          <w:p w14:paraId="4BC4A49C">
            <w:pPr>
              <w:snapToGrid w:val="0"/>
              <w:spacing w:line="280" w:lineRule="exact"/>
              <w:jc w:val="center"/>
              <w:rPr>
                <w:rFonts w:ascii="Times New Roman" w:hAnsi="Times New Roman" w:eastAsia="宋体" w:cs="Times New Roman"/>
                <w:szCs w:val="21"/>
              </w:rPr>
            </w:pPr>
            <w:r>
              <w:rPr>
                <w:rFonts w:ascii="Times New Roman" w:hAnsi="Times New Roman" w:eastAsia="宋体" w:cs="Times New Roman"/>
                <w:szCs w:val="21"/>
              </w:rPr>
              <w:t>129.0</w:t>
            </w:r>
          </w:p>
        </w:tc>
      </w:tr>
      <w:tr w14:paraId="180F2F27">
        <w:tblPrEx>
          <w:tblBorders>
            <w:top w:val="thinThickSmallGap" w:color="000000" w:sz="12" w:space="0"/>
            <w:left w:val="thinThickSmallGap" w:color="000000" w:sz="12" w:space="0"/>
            <w:bottom w:val="thickThinSmallGap" w:color="000000" w:sz="12" w:space="0"/>
            <w:right w:val="thickThinSmallGap" w:color="000000" w:sz="12" w:space="0"/>
            <w:insideH w:val="single" w:color="000000" w:sz="4" w:space="0"/>
            <w:insideV w:val="single" w:color="000000" w:sz="4" w:space="0"/>
          </w:tblBorders>
          <w:tblCellMar>
            <w:top w:w="0" w:type="dxa"/>
            <w:left w:w="28" w:type="dxa"/>
            <w:bottom w:w="0" w:type="dxa"/>
            <w:right w:w="28" w:type="dxa"/>
          </w:tblCellMar>
        </w:tblPrEx>
        <w:tc>
          <w:tcPr>
            <w:tcW w:w="460" w:type="pct"/>
            <w:noWrap/>
            <w:vAlign w:val="center"/>
          </w:tcPr>
          <w:p w14:paraId="67066038">
            <w:pPr>
              <w:snapToGrid w:val="0"/>
              <w:spacing w:line="280" w:lineRule="exact"/>
              <w:jc w:val="center"/>
              <w:rPr>
                <w:rFonts w:ascii="Times New Roman" w:hAnsi="Times New Roman" w:eastAsia="宋体" w:cs="Times New Roman"/>
                <w:szCs w:val="21"/>
              </w:rPr>
            </w:pPr>
            <w:r>
              <w:rPr>
                <w:rFonts w:ascii="Times New Roman" w:hAnsi="Times New Roman" w:eastAsia="宋体" w:cs="Times New Roman"/>
                <w:szCs w:val="21"/>
              </w:rPr>
              <w:t>15</w:t>
            </w:r>
          </w:p>
        </w:tc>
        <w:tc>
          <w:tcPr>
            <w:tcW w:w="665" w:type="pct"/>
            <w:noWrap/>
            <w:vAlign w:val="center"/>
          </w:tcPr>
          <w:p w14:paraId="4310B0FB">
            <w:pPr>
              <w:snapToGrid w:val="0"/>
              <w:spacing w:line="280" w:lineRule="exact"/>
              <w:jc w:val="center"/>
              <w:rPr>
                <w:rFonts w:ascii="Times New Roman" w:hAnsi="Times New Roman" w:eastAsia="宋体" w:cs="Times New Roman"/>
                <w:szCs w:val="21"/>
              </w:rPr>
            </w:pPr>
            <w:r>
              <w:rPr>
                <w:rFonts w:ascii="Times New Roman" w:hAnsi="Times New Roman" w:eastAsia="宋体" w:cs="Times New Roman"/>
                <w:szCs w:val="21"/>
              </w:rPr>
              <w:t>80</w:t>
            </w:r>
          </w:p>
        </w:tc>
        <w:tc>
          <w:tcPr>
            <w:tcW w:w="408" w:type="pct"/>
            <w:noWrap/>
            <w:vAlign w:val="center"/>
          </w:tcPr>
          <w:p w14:paraId="5AE07644">
            <w:pPr>
              <w:snapToGrid w:val="0"/>
              <w:spacing w:line="280" w:lineRule="exact"/>
              <w:jc w:val="center"/>
              <w:rPr>
                <w:rFonts w:ascii="Times New Roman" w:hAnsi="Times New Roman" w:eastAsia="宋体" w:cs="Times New Roman"/>
                <w:szCs w:val="21"/>
              </w:rPr>
            </w:pPr>
            <w:r>
              <w:rPr>
                <w:rFonts w:ascii="Times New Roman" w:hAnsi="Times New Roman" w:eastAsia="宋体" w:cs="Times New Roman"/>
                <w:szCs w:val="21"/>
              </w:rPr>
              <w:t>0.1</w:t>
            </w:r>
          </w:p>
        </w:tc>
        <w:tc>
          <w:tcPr>
            <w:tcW w:w="495" w:type="pct"/>
            <w:noWrap/>
            <w:vAlign w:val="center"/>
          </w:tcPr>
          <w:p w14:paraId="6202C095">
            <w:pPr>
              <w:snapToGrid w:val="0"/>
              <w:spacing w:line="280" w:lineRule="exact"/>
              <w:jc w:val="center"/>
              <w:rPr>
                <w:rFonts w:ascii="Times New Roman" w:hAnsi="Times New Roman" w:eastAsia="宋体" w:cs="Times New Roman"/>
                <w:szCs w:val="21"/>
              </w:rPr>
            </w:pPr>
            <w:r>
              <w:rPr>
                <w:rFonts w:ascii="Times New Roman" w:hAnsi="Times New Roman" w:eastAsia="宋体" w:cs="Times New Roman"/>
                <w:szCs w:val="21"/>
              </w:rPr>
              <w:t>0.3</w:t>
            </w:r>
          </w:p>
        </w:tc>
        <w:tc>
          <w:tcPr>
            <w:tcW w:w="495" w:type="pct"/>
            <w:noWrap/>
            <w:vAlign w:val="center"/>
          </w:tcPr>
          <w:p w14:paraId="61573E53">
            <w:pPr>
              <w:snapToGrid w:val="0"/>
              <w:spacing w:line="280" w:lineRule="exact"/>
              <w:jc w:val="center"/>
              <w:rPr>
                <w:rFonts w:ascii="Times New Roman" w:hAnsi="Times New Roman" w:eastAsia="宋体" w:cs="Times New Roman"/>
                <w:szCs w:val="21"/>
              </w:rPr>
            </w:pPr>
            <w:r>
              <w:rPr>
                <w:rFonts w:ascii="Times New Roman" w:hAnsi="Times New Roman" w:eastAsia="宋体" w:cs="Times New Roman"/>
                <w:szCs w:val="21"/>
              </w:rPr>
              <w:t>1.1</w:t>
            </w:r>
          </w:p>
        </w:tc>
        <w:tc>
          <w:tcPr>
            <w:tcW w:w="495" w:type="pct"/>
            <w:noWrap/>
            <w:vAlign w:val="center"/>
          </w:tcPr>
          <w:p w14:paraId="4BEC77F0">
            <w:pPr>
              <w:snapToGrid w:val="0"/>
              <w:spacing w:line="280" w:lineRule="exact"/>
              <w:jc w:val="center"/>
              <w:rPr>
                <w:rFonts w:ascii="Times New Roman" w:hAnsi="Times New Roman" w:eastAsia="宋体" w:cs="Times New Roman"/>
                <w:szCs w:val="21"/>
              </w:rPr>
            </w:pPr>
            <w:r>
              <w:rPr>
                <w:rFonts w:ascii="Times New Roman" w:hAnsi="Times New Roman" w:eastAsia="宋体" w:cs="Times New Roman"/>
                <w:szCs w:val="21"/>
              </w:rPr>
              <w:t>2.4</w:t>
            </w:r>
          </w:p>
        </w:tc>
        <w:tc>
          <w:tcPr>
            <w:tcW w:w="495" w:type="pct"/>
            <w:noWrap/>
            <w:vAlign w:val="center"/>
          </w:tcPr>
          <w:p w14:paraId="154B9A52">
            <w:pPr>
              <w:snapToGrid w:val="0"/>
              <w:spacing w:line="280" w:lineRule="exact"/>
              <w:jc w:val="center"/>
              <w:rPr>
                <w:rFonts w:ascii="Times New Roman" w:hAnsi="Times New Roman" w:eastAsia="宋体" w:cs="Times New Roman"/>
                <w:szCs w:val="21"/>
              </w:rPr>
            </w:pPr>
            <w:r>
              <w:rPr>
                <w:rFonts w:ascii="Times New Roman" w:hAnsi="Times New Roman" w:eastAsia="宋体" w:cs="Times New Roman"/>
                <w:szCs w:val="21"/>
              </w:rPr>
              <w:t>4.1</w:t>
            </w:r>
          </w:p>
        </w:tc>
        <w:tc>
          <w:tcPr>
            <w:tcW w:w="495" w:type="pct"/>
            <w:noWrap/>
            <w:vAlign w:val="center"/>
          </w:tcPr>
          <w:p w14:paraId="0DFB2A8C">
            <w:pPr>
              <w:snapToGrid w:val="0"/>
              <w:spacing w:line="280" w:lineRule="exact"/>
              <w:jc w:val="center"/>
              <w:rPr>
                <w:rFonts w:ascii="Times New Roman" w:hAnsi="Times New Roman" w:eastAsia="宋体" w:cs="Times New Roman"/>
                <w:szCs w:val="21"/>
              </w:rPr>
            </w:pPr>
            <w:r>
              <w:rPr>
                <w:rFonts w:ascii="Times New Roman" w:hAnsi="Times New Roman" w:eastAsia="宋体" w:cs="Times New Roman"/>
                <w:szCs w:val="21"/>
              </w:rPr>
              <w:t>8.3</w:t>
            </w:r>
          </w:p>
        </w:tc>
        <w:tc>
          <w:tcPr>
            <w:tcW w:w="495" w:type="pct"/>
            <w:noWrap/>
            <w:vAlign w:val="center"/>
          </w:tcPr>
          <w:p w14:paraId="1EA2A319">
            <w:pPr>
              <w:snapToGrid w:val="0"/>
              <w:spacing w:line="280" w:lineRule="exact"/>
              <w:jc w:val="center"/>
              <w:rPr>
                <w:rFonts w:ascii="Times New Roman" w:hAnsi="Times New Roman" w:eastAsia="宋体" w:cs="Times New Roman"/>
                <w:szCs w:val="21"/>
              </w:rPr>
            </w:pPr>
            <w:r>
              <w:rPr>
                <w:rFonts w:ascii="Times New Roman" w:hAnsi="Times New Roman" w:eastAsia="宋体" w:cs="Times New Roman"/>
                <w:szCs w:val="21"/>
              </w:rPr>
              <w:t>23.7</w:t>
            </w:r>
          </w:p>
        </w:tc>
        <w:tc>
          <w:tcPr>
            <w:tcW w:w="497" w:type="pct"/>
            <w:noWrap/>
            <w:vAlign w:val="center"/>
          </w:tcPr>
          <w:p w14:paraId="182C9324">
            <w:pPr>
              <w:snapToGrid w:val="0"/>
              <w:spacing w:line="280" w:lineRule="exact"/>
              <w:jc w:val="center"/>
              <w:rPr>
                <w:rFonts w:ascii="Times New Roman" w:hAnsi="Times New Roman" w:eastAsia="宋体" w:cs="Times New Roman"/>
                <w:szCs w:val="21"/>
              </w:rPr>
            </w:pPr>
            <w:r>
              <w:rPr>
                <w:rFonts w:ascii="Times New Roman" w:hAnsi="Times New Roman" w:eastAsia="宋体" w:cs="Times New Roman"/>
                <w:szCs w:val="21"/>
              </w:rPr>
              <w:t>82.8</w:t>
            </w:r>
          </w:p>
        </w:tc>
      </w:tr>
    </w:tbl>
    <w:p w14:paraId="64C65CBF">
      <w:pPr>
        <w:rPr>
          <w:rFonts w:ascii="Times New Roman" w:hAnsi="Times New Roman" w:eastAsia="宋体" w:cs="Times New Roman"/>
        </w:rPr>
      </w:pPr>
    </w:p>
    <w:p w14:paraId="6C240E65">
      <w:pPr>
        <w:spacing w:line="300" w:lineRule="auto"/>
        <w:ind w:firstLine="480" w:firstLineChars="200"/>
        <w:rPr>
          <w:rFonts w:ascii="Times New Roman" w:hAnsi="Times New Roman" w:eastAsia="宋体" w:cs="Times New Roman"/>
          <w:sz w:val="24"/>
        </w:rPr>
      </w:pPr>
      <w:bookmarkStart w:id="220" w:name="OLE_LINK223"/>
      <w:r>
        <w:rPr>
          <w:rFonts w:ascii="Times New Roman" w:hAnsi="Times New Roman" w:cs="Times New Roman" w:eastAsiaTheme="minorEastAsia"/>
          <w:sz w:val="24"/>
        </w:rPr>
        <w:t>(</w:t>
      </w:r>
      <w:r>
        <w:rPr>
          <w:rFonts w:hint="eastAsia" w:ascii="Times New Roman" w:hAnsi="Times New Roman" w:cs="Times New Roman" w:eastAsiaTheme="minorEastAsia"/>
          <w:sz w:val="24"/>
        </w:rPr>
        <w:t>4</w:t>
      </w:r>
      <w:r>
        <w:rPr>
          <w:rFonts w:ascii="Times New Roman" w:hAnsi="Times New Roman" w:cs="Times New Roman" w:eastAsiaTheme="minorEastAsia"/>
          <w:sz w:val="24"/>
        </w:rPr>
        <w:t>)</w:t>
      </w:r>
      <w:r>
        <w:rPr>
          <w:rFonts w:hint="eastAsia" w:ascii="Times New Roman" w:hAnsi="Times New Roman" w:cs="Times New Roman" w:eastAsiaTheme="minorEastAsia"/>
          <w:sz w:val="24"/>
        </w:rPr>
        <w:t xml:space="preserve"> </w:t>
      </w:r>
      <w:bookmarkEnd w:id="220"/>
      <w:r>
        <w:rPr>
          <w:rFonts w:hint="eastAsia" w:ascii="Times New Roman" w:hAnsi="Times New Roman" w:eastAsia="宋体" w:cs="Times New Roman"/>
          <w:sz w:val="24"/>
        </w:rPr>
        <w:t>地面吸收引起的衰减量（A</w:t>
      </w:r>
      <w:r>
        <w:rPr>
          <w:rFonts w:hint="eastAsia" w:ascii="Times New Roman" w:hAnsi="Times New Roman" w:eastAsia="宋体" w:cs="Times New Roman"/>
          <w:sz w:val="24"/>
          <w:vertAlign w:val="subscript"/>
        </w:rPr>
        <w:t>gr</w:t>
      </w:r>
      <w:r>
        <w:rPr>
          <w:rFonts w:hint="eastAsia" w:ascii="Times New Roman" w:hAnsi="Times New Roman" w:eastAsia="宋体" w:cs="Times New Roman"/>
          <w:sz w:val="24"/>
        </w:rPr>
        <w:t>）</w:t>
      </w:r>
    </w:p>
    <w:p w14:paraId="1DE2DCFA">
      <w:pPr>
        <w:spacing w:line="30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地面吸收</w:t>
      </w:r>
      <w:r>
        <w:rPr>
          <w:rFonts w:hint="eastAsia" w:ascii="Times New Roman" w:hAnsi="Times New Roman" w:eastAsia="宋体" w:cs="Times New Roman"/>
          <w:sz w:val="24"/>
        </w:rPr>
        <w:t>引起的</w:t>
      </w:r>
      <w:r>
        <w:rPr>
          <w:rFonts w:ascii="Times New Roman" w:hAnsi="Times New Roman" w:eastAsia="宋体" w:cs="Times New Roman"/>
          <w:sz w:val="24"/>
        </w:rPr>
        <w:t>衰减量</w:t>
      </w:r>
      <w:r>
        <w:rPr>
          <w:rFonts w:hint="eastAsia" w:ascii="Times New Roman" w:hAnsi="Times New Roman" w:eastAsia="宋体" w:cs="Times New Roman"/>
          <w:sz w:val="24"/>
        </w:rPr>
        <w:t>按下式计算。</w:t>
      </w:r>
    </w:p>
    <w:p w14:paraId="5AC2A99D">
      <w:pPr>
        <w:spacing w:line="300" w:lineRule="auto"/>
        <w:jc w:val="center"/>
        <w:rPr>
          <w:rFonts w:ascii="Times New Roman" w:hAnsi="Times New Roman" w:eastAsia="宋体" w:cs="Times New Roman"/>
        </w:rPr>
      </w:pPr>
      <w:r>
        <w:rPr>
          <w:rFonts w:ascii="Times New Roman" w:hAnsi="Times New Roman" w:eastAsia="宋体" w:cs="Times New Roman"/>
          <w:position w:val="-28"/>
        </w:rPr>
        <w:object>
          <v:shape id="_x0000_i1061" o:spt="75" type="#_x0000_t75" style="height:33pt;width:126pt;" o:ole="t" filled="f" o:preferrelative="t" stroked="f" coordsize="21600,21600">
            <v:path/>
            <v:fill on="f" focussize="0,0"/>
            <v:stroke on="f" joinstyle="miter"/>
            <v:imagedata r:id="rId251" o:title=""/>
            <o:lock v:ext="edit" aspectratio="t"/>
            <w10:wrap type="none"/>
            <w10:anchorlock/>
          </v:shape>
          <o:OLEObject Type="Embed" ProgID="Equation.DSMT4" ShapeID="_x0000_i1061" DrawAspect="Content" ObjectID="_1468075761" r:id="rId250">
            <o:LockedField>false</o:LockedField>
          </o:OLEObject>
        </w:object>
      </w:r>
    </w:p>
    <w:p w14:paraId="321B0D9F">
      <w:pPr>
        <w:spacing w:line="30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式中：</w:t>
      </w:r>
      <w:r>
        <w:rPr>
          <w:rFonts w:hint="eastAsia" w:ascii="Times New Roman" w:hAnsi="Times New Roman" w:eastAsia="宋体" w:cs="Times New Roman"/>
          <w:i/>
          <w:iCs/>
          <w:sz w:val="24"/>
        </w:rPr>
        <w:t>A</w:t>
      </w:r>
      <w:r>
        <w:rPr>
          <w:rFonts w:hint="eastAsia" w:ascii="Times New Roman" w:hAnsi="Times New Roman" w:eastAsia="宋体" w:cs="Times New Roman"/>
          <w:sz w:val="24"/>
          <w:vertAlign w:val="subscript"/>
        </w:rPr>
        <w:t>gr</w:t>
      </w:r>
      <w:r>
        <w:rPr>
          <w:rFonts w:ascii="Times New Roman" w:hAnsi="Times New Roman" w:eastAsia="宋体" w:cs="Times New Roman"/>
          <w:sz w:val="24"/>
        </w:rPr>
        <w:t>——地面吸收</w:t>
      </w:r>
      <w:r>
        <w:rPr>
          <w:rFonts w:hint="eastAsia" w:ascii="Times New Roman" w:hAnsi="Times New Roman" w:eastAsia="宋体" w:cs="Times New Roman"/>
          <w:sz w:val="24"/>
        </w:rPr>
        <w:t>引起的</w:t>
      </w:r>
      <w:r>
        <w:rPr>
          <w:rFonts w:ascii="Times New Roman" w:hAnsi="Times New Roman" w:eastAsia="宋体" w:cs="Times New Roman"/>
          <w:sz w:val="24"/>
        </w:rPr>
        <w:t>衰减量</w:t>
      </w:r>
      <w:r>
        <w:rPr>
          <w:rFonts w:hint="eastAsia" w:ascii="Times New Roman" w:hAnsi="Times New Roman" w:eastAsia="宋体" w:cs="Times New Roman"/>
          <w:sz w:val="24"/>
        </w:rPr>
        <w:t>，dB(A)；</w:t>
      </w:r>
    </w:p>
    <w:p w14:paraId="6564DF9F">
      <w:pPr>
        <w:spacing w:line="300" w:lineRule="auto"/>
        <w:ind w:firstLine="1200" w:firstLineChars="500"/>
        <w:rPr>
          <w:rFonts w:ascii="Times New Roman" w:hAnsi="Times New Roman" w:eastAsia="宋体" w:cs="Times New Roman"/>
          <w:sz w:val="24"/>
        </w:rPr>
      </w:pPr>
      <w:r>
        <w:rPr>
          <w:rFonts w:hint="eastAsia" w:ascii="Times New Roman" w:hAnsi="Times New Roman" w:eastAsia="宋体" w:cs="Times New Roman"/>
          <w:i/>
          <w:iCs/>
          <w:sz w:val="24"/>
        </w:rPr>
        <w:t>r</w:t>
      </w:r>
      <w:r>
        <w:rPr>
          <w:rFonts w:ascii="Times New Roman" w:hAnsi="Times New Roman" w:eastAsia="宋体" w:cs="Times New Roman"/>
          <w:sz w:val="24"/>
        </w:rPr>
        <w:t>——预测点</w:t>
      </w:r>
      <w:r>
        <w:rPr>
          <w:rFonts w:hint="eastAsia" w:ascii="Times New Roman" w:hAnsi="Times New Roman" w:eastAsia="宋体" w:cs="Times New Roman"/>
          <w:sz w:val="24"/>
        </w:rPr>
        <w:t>距声源</w:t>
      </w:r>
      <w:r>
        <w:rPr>
          <w:rFonts w:ascii="Times New Roman" w:hAnsi="Times New Roman" w:eastAsia="宋体" w:cs="Times New Roman"/>
          <w:sz w:val="24"/>
        </w:rPr>
        <w:t>的距离，m；</w:t>
      </w:r>
    </w:p>
    <w:p w14:paraId="3347E3C6">
      <w:pPr>
        <w:widowControl/>
        <w:spacing w:line="300" w:lineRule="auto"/>
        <w:ind w:left="1290" w:leftChars="500" w:hanging="240" w:hangingChars="100"/>
        <w:rPr>
          <w:rFonts w:ascii="Times New Roman" w:hAnsi="Times New Roman" w:eastAsia="宋体" w:cs="Times New Roman"/>
          <w:sz w:val="24"/>
          <w:vertAlign w:val="superscript"/>
        </w:rPr>
      </w:pPr>
      <w:r>
        <w:rPr>
          <w:rFonts w:hint="eastAsia" w:ascii="Times New Roman" w:hAnsi="Times New Roman" w:eastAsia="宋体" w:cs="Times New Roman"/>
          <w:i/>
          <w:iCs/>
          <w:sz w:val="24"/>
        </w:rPr>
        <w:t>h</w:t>
      </w:r>
      <w:r>
        <w:rPr>
          <w:rFonts w:hint="eastAsia" w:ascii="Times New Roman" w:hAnsi="Times New Roman" w:eastAsia="宋体" w:cs="Times New Roman"/>
          <w:sz w:val="24"/>
          <w:vertAlign w:val="subscript"/>
        </w:rPr>
        <w:t>m</w:t>
      </w:r>
      <w:r>
        <w:rPr>
          <w:rFonts w:ascii="Times New Roman" w:hAnsi="Times New Roman" w:eastAsia="宋体" w:cs="Times New Roman"/>
          <w:sz w:val="24"/>
        </w:rPr>
        <w:t>——传播路径的平均离地高度，m；可按图</w:t>
      </w:r>
      <w:r>
        <w:rPr>
          <w:rFonts w:hint="eastAsia" w:ascii="Times New Roman" w:hAnsi="Times New Roman" w:eastAsia="宋体" w:cs="Times New Roman"/>
          <w:sz w:val="24"/>
        </w:rPr>
        <w:t>4</w:t>
      </w:r>
      <w:r>
        <w:rPr>
          <w:rFonts w:ascii="Times New Roman" w:hAnsi="Times New Roman" w:eastAsia="宋体" w:cs="Times New Roman"/>
          <w:sz w:val="24"/>
        </w:rPr>
        <w:t>.2-2计算</w:t>
      </w:r>
      <w:r>
        <w:rPr>
          <w:rFonts w:hint="eastAsia" w:ascii="Times New Roman" w:hAnsi="Times New Roman" w:eastAsia="宋体" w:cs="Times New Roman"/>
          <w:sz w:val="24"/>
        </w:rPr>
        <w:t>，</w:t>
      </w:r>
      <w:r>
        <w:rPr>
          <w:rFonts w:ascii="Times New Roman" w:hAnsi="Times New Roman" w:eastAsia="宋体" w:cs="Times New Roman"/>
          <w:i/>
          <w:sz w:val="24"/>
        </w:rPr>
        <w:t>h</w:t>
      </w:r>
      <w:r>
        <w:rPr>
          <w:rFonts w:ascii="Times New Roman" w:hAnsi="Times New Roman" w:eastAsia="宋体" w:cs="Times New Roman"/>
          <w:iCs/>
          <w:sz w:val="24"/>
          <w:vertAlign w:val="subscript"/>
        </w:rPr>
        <w:t>m</w:t>
      </w:r>
      <w:r>
        <w:rPr>
          <w:rFonts w:ascii="Times New Roman" w:hAnsi="Times New Roman" w:eastAsia="宋体" w:cs="Times New Roman"/>
          <w:sz w:val="24"/>
        </w:rPr>
        <w:t>=</w:t>
      </w:r>
      <w:r>
        <w:rPr>
          <w:rFonts w:ascii="Times New Roman" w:hAnsi="Times New Roman" w:eastAsia="宋体" w:cs="Times New Roman"/>
          <w:i/>
          <w:sz w:val="24"/>
        </w:rPr>
        <w:t>F/</w:t>
      </w:r>
      <w:r>
        <w:rPr>
          <w:rFonts w:hint="eastAsia" w:ascii="Times New Roman" w:hAnsi="Times New Roman" w:eastAsia="宋体" w:cs="Times New Roman"/>
          <w:i/>
          <w:sz w:val="24"/>
        </w:rPr>
        <w:t>r</w:t>
      </w:r>
      <w:r>
        <w:rPr>
          <w:rFonts w:ascii="Times New Roman" w:hAnsi="Times New Roman" w:eastAsia="宋体" w:cs="Times New Roman"/>
          <w:sz w:val="24"/>
        </w:rPr>
        <w:t>，</w:t>
      </w:r>
      <w:r>
        <w:rPr>
          <w:rFonts w:ascii="Times New Roman" w:hAnsi="Times New Roman" w:eastAsia="宋体" w:cs="Times New Roman"/>
          <w:i/>
          <w:iCs/>
          <w:sz w:val="24"/>
        </w:rPr>
        <w:t>F</w:t>
      </w:r>
      <w:r>
        <w:rPr>
          <w:rFonts w:hint="eastAsia" w:ascii="Times New Roman" w:hAnsi="Times New Roman" w:eastAsia="宋体" w:cs="Times New Roman"/>
          <w:sz w:val="24"/>
        </w:rPr>
        <w:t>为阴影面积，m</w:t>
      </w:r>
      <w:r>
        <w:rPr>
          <w:rFonts w:ascii="Times New Roman" w:hAnsi="Times New Roman" w:eastAsia="宋体" w:cs="Times New Roman"/>
          <w:sz w:val="24"/>
          <w:vertAlign w:val="superscript"/>
        </w:rPr>
        <w:t>2</w:t>
      </w:r>
      <w:r>
        <w:rPr>
          <w:rFonts w:hint="eastAsia" w:ascii="Times New Roman" w:hAnsi="Times New Roman" w:eastAsia="宋体" w:cs="Times New Roman"/>
          <w:sz w:val="24"/>
        </w:rPr>
        <w:t>。</w:t>
      </w:r>
    </w:p>
    <w:p w14:paraId="38315099">
      <w:pPr>
        <w:widowControl/>
        <w:spacing w:line="300" w:lineRule="auto"/>
        <w:ind w:left="1350" w:leftChars="300" w:hanging="720" w:hangingChars="300"/>
        <w:rPr>
          <w:rFonts w:ascii="Times New Roman" w:hAnsi="Times New Roman" w:eastAsia="宋体" w:cs="Times New Roman"/>
          <w:sz w:val="24"/>
        </w:rPr>
      </w:pPr>
      <w:r>
        <w:rPr>
          <w:rFonts w:ascii="Times New Roman" w:hAnsi="Times New Roman" w:eastAsia="宋体" w:cs="Times New Roman"/>
          <w:sz w:val="24"/>
        </w:rPr>
        <w:t>若</w:t>
      </w:r>
      <w:r>
        <w:rPr>
          <w:rFonts w:hint="eastAsia" w:ascii="Times New Roman" w:hAnsi="Times New Roman" w:eastAsia="宋体" w:cs="Times New Roman"/>
          <w:sz w:val="24"/>
        </w:rPr>
        <w:t>A</w:t>
      </w:r>
      <w:r>
        <w:rPr>
          <w:rFonts w:hint="eastAsia" w:ascii="Times New Roman" w:hAnsi="Times New Roman" w:eastAsia="宋体" w:cs="Times New Roman"/>
          <w:sz w:val="24"/>
          <w:vertAlign w:val="subscript"/>
        </w:rPr>
        <w:t>gr</w:t>
      </w:r>
      <w:r>
        <w:rPr>
          <w:rFonts w:ascii="Times New Roman" w:hAnsi="Times New Roman" w:eastAsia="宋体" w:cs="Times New Roman"/>
          <w:sz w:val="24"/>
        </w:rPr>
        <w:t>计算出负值，则</w:t>
      </w:r>
      <w:r>
        <w:rPr>
          <w:rFonts w:hint="eastAsia" w:ascii="Times New Roman" w:hAnsi="Times New Roman" w:eastAsia="宋体" w:cs="Times New Roman"/>
          <w:sz w:val="24"/>
        </w:rPr>
        <w:t>A</w:t>
      </w:r>
      <w:r>
        <w:rPr>
          <w:rFonts w:hint="eastAsia" w:ascii="Times New Roman" w:hAnsi="Times New Roman" w:eastAsia="宋体" w:cs="Times New Roman"/>
          <w:sz w:val="24"/>
          <w:vertAlign w:val="subscript"/>
        </w:rPr>
        <w:t>gr</w:t>
      </w:r>
      <w:r>
        <w:rPr>
          <w:rFonts w:ascii="Times New Roman" w:hAnsi="Times New Roman" w:eastAsia="宋体" w:cs="Times New Roman"/>
          <w:sz w:val="24"/>
        </w:rPr>
        <w:t>可</w:t>
      </w:r>
      <w:r>
        <w:rPr>
          <w:rFonts w:hint="eastAsia" w:ascii="Times New Roman" w:hAnsi="Times New Roman" w:eastAsia="宋体" w:cs="Times New Roman"/>
          <w:sz w:val="24"/>
        </w:rPr>
        <w:t>取</w:t>
      </w:r>
      <w:r>
        <w:rPr>
          <w:rFonts w:ascii="Times New Roman" w:hAnsi="Times New Roman" w:eastAsia="宋体" w:cs="Times New Roman"/>
          <w:sz w:val="24"/>
        </w:rPr>
        <w:t>0</w:t>
      </w:r>
      <w:r>
        <w:rPr>
          <w:rFonts w:hint="eastAsia" w:ascii="Times New Roman" w:hAnsi="Times New Roman" w:eastAsia="宋体" w:cs="Times New Roman"/>
          <w:sz w:val="24"/>
        </w:rPr>
        <w:t>，</w:t>
      </w:r>
      <w:r>
        <w:rPr>
          <w:rFonts w:ascii="Times New Roman" w:hAnsi="Times New Roman" w:eastAsia="宋体" w:cs="Times New Roman"/>
          <w:sz w:val="24"/>
        </w:rPr>
        <w:t>其它情况可参照GB/T17247.2计算。</w:t>
      </w:r>
    </w:p>
    <w:p w14:paraId="3713E908">
      <w:pPr>
        <w:widowControl/>
        <w:spacing w:line="300" w:lineRule="auto"/>
        <w:ind w:left="1350" w:leftChars="300" w:hanging="720" w:hangingChars="300"/>
        <w:rPr>
          <w:rFonts w:ascii="Times New Roman" w:hAnsi="Times New Roman" w:eastAsia="宋体" w:cs="Times New Roman"/>
          <w:sz w:val="24"/>
        </w:rPr>
      </w:pPr>
      <w:r>
        <w:rPr>
          <w:rFonts w:ascii="Times New Roman" w:hAnsi="Times New Roman" w:eastAsia="宋体" w:cs="Times New Roman"/>
          <w:sz w:val="24"/>
        </w:rPr>
        <w:drawing>
          <wp:inline distT="0" distB="0" distL="0" distR="0">
            <wp:extent cx="4448810" cy="1968500"/>
            <wp:effectExtent l="0" t="0" r="8890" b="1270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252" cstate="print">
                      <a:extLst>
                        <a:ext uri="{28A0092B-C50C-407E-A947-70E740481C1C}">
                          <a14:useLocalDpi xmlns:a14="http://schemas.microsoft.com/office/drawing/2010/main" val="0"/>
                        </a:ext>
                      </a:extLst>
                    </a:blip>
                    <a:srcRect/>
                    <a:stretch>
                      <a:fillRect/>
                    </a:stretch>
                  </pic:blipFill>
                  <pic:spPr>
                    <a:xfrm>
                      <a:off x="0" y="0"/>
                      <a:ext cx="4447871" cy="1968178"/>
                    </a:xfrm>
                    <a:prstGeom prst="rect">
                      <a:avLst/>
                    </a:prstGeom>
                    <a:noFill/>
                    <a:ln w="9525">
                      <a:noFill/>
                      <a:miter lim="800000"/>
                      <a:headEnd/>
                      <a:tailEnd/>
                    </a:ln>
                  </pic:spPr>
                </pic:pic>
              </a:graphicData>
            </a:graphic>
          </wp:inline>
        </w:drawing>
      </w:r>
    </w:p>
    <w:p w14:paraId="0A49A871">
      <w:pPr>
        <w:adjustRightInd w:val="0"/>
        <w:spacing w:beforeLines="50" w:afterLines="50"/>
        <w:jc w:val="center"/>
        <w:textAlignment w:val="baseline"/>
        <w:rPr>
          <w:rFonts w:ascii="Times New Roman" w:hAnsi="Times New Roman" w:eastAsia="宋体" w:cs="Times New Roman"/>
          <w:b/>
          <w:smallCaps/>
        </w:rPr>
      </w:pPr>
      <w:r>
        <w:rPr>
          <w:rFonts w:hint="eastAsia" w:ascii="Times New Roman" w:hAnsi="Times New Roman" w:eastAsia="宋体" w:cs="Times New Roman"/>
          <w:b/>
          <w:smallCaps/>
        </w:rPr>
        <w:t>图</w:t>
      </w:r>
      <w:r>
        <w:rPr>
          <w:rFonts w:ascii="Times New Roman" w:hAnsi="Times New Roman" w:eastAsia="宋体" w:cs="Times New Roman"/>
          <w:b/>
          <w:smallCaps/>
        </w:rPr>
        <w:t>4.2-2</w:t>
      </w:r>
      <w:r>
        <w:rPr>
          <w:rFonts w:hint="eastAsia" w:ascii="Times New Roman" w:hAnsi="Times New Roman" w:eastAsia="宋体" w:cs="Times New Roman"/>
          <w:b/>
          <w:smallCaps/>
        </w:rPr>
        <w:t xml:space="preserve">  估计平均高度hm的方法</w:t>
      </w:r>
    </w:p>
    <w:p w14:paraId="715BF09A">
      <w:pPr>
        <w:spacing w:line="300" w:lineRule="auto"/>
        <w:ind w:firstLine="480" w:firstLineChars="200"/>
        <w:rPr>
          <w:rFonts w:ascii="Times New Roman" w:hAnsi="Times New Roman" w:eastAsia="宋体" w:cs="Times New Roman"/>
          <w:sz w:val="24"/>
        </w:rPr>
      </w:pPr>
      <w:r>
        <w:rPr>
          <w:rFonts w:ascii="Times New Roman" w:hAnsi="Times New Roman" w:cs="Times New Roman" w:eastAsiaTheme="minorEastAsia"/>
          <w:sz w:val="24"/>
        </w:rPr>
        <w:t>(</w:t>
      </w:r>
      <w:r>
        <w:rPr>
          <w:rFonts w:hint="eastAsia" w:ascii="Times New Roman" w:hAnsi="Times New Roman" w:cs="Times New Roman" w:eastAsiaTheme="minorEastAsia"/>
          <w:sz w:val="24"/>
        </w:rPr>
        <w:t>5</w:t>
      </w:r>
      <w:r>
        <w:rPr>
          <w:rFonts w:ascii="Times New Roman" w:hAnsi="Times New Roman" w:cs="Times New Roman" w:eastAsiaTheme="minorEastAsia"/>
          <w:sz w:val="24"/>
        </w:rPr>
        <w:t>)</w:t>
      </w:r>
      <w:r>
        <w:rPr>
          <w:rFonts w:hint="eastAsia" w:ascii="Times New Roman" w:hAnsi="Times New Roman" w:cs="Times New Roman" w:eastAsiaTheme="minorEastAsia"/>
          <w:sz w:val="24"/>
        </w:rPr>
        <w:t xml:space="preserve"> </w:t>
      </w:r>
      <w:r>
        <w:rPr>
          <w:rFonts w:hint="eastAsia" w:ascii="Times New Roman" w:hAnsi="Times New Roman" w:eastAsia="宋体" w:cs="Times New Roman"/>
          <w:sz w:val="24"/>
        </w:rPr>
        <w:t>遮挡物引起的衰减量（A</w:t>
      </w:r>
      <w:r>
        <w:rPr>
          <w:rFonts w:hint="eastAsia" w:ascii="Times New Roman" w:hAnsi="Times New Roman" w:eastAsia="宋体" w:cs="Times New Roman"/>
          <w:sz w:val="24"/>
          <w:vertAlign w:val="subscript"/>
        </w:rPr>
        <w:t>bar</w:t>
      </w:r>
      <w:r>
        <w:rPr>
          <w:rFonts w:hint="eastAsia" w:ascii="Times New Roman" w:hAnsi="Times New Roman" w:eastAsia="宋体" w:cs="Times New Roman"/>
          <w:sz w:val="24"/>
        </w:rPr>
        <w:t>）</w:t>
      </w:r>
    </w:p>
    <w:p w14:paraId="03263B50">
      <w:pPr>
        <w:spacing w:line="300"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遮挡物引起的</w:t>
      </w:r>
      <w:r>
        <w:rPr>
          <w:rFonts w:ascii="Times New Roman" w:hAnsi="Times New Roman" w:eastAsia="宋体" w:cs="Times New Roman"/>
          <w:sz w:val="24"/>
        </w:rPr>
        <w:t>衰减量</w:t>
      </w:r>
      <w:r>
        <w:rPr>
          <w:rFonts w:hint="eastAsia" w:ascii="Times New Roman" w:hAnsi="Times New Roman" w:eastAsia="宋体" w:cs="Times New Roman"/>
          <w:sz w:val="24"/>
        </w:rPr>
        <w:t>按下式计算：</w:t>
      </w:r>
    </w:p>
    <w:p w14:paraId="4D4DFE2D">
      <w:pPr>
        <w:spacing w:beforeLines="50" w:afterLines="50" w:line="300" w:lineRule="auto"/>
        <w:jc w:val="center"/>
        <w:rPr>
          <w:rFonts w:ascii="Times New Roman" w:hAnsi="Times New Roman" w:eastAsia="宋体" w:cs="Times New Roman"/>
          <w:sz w:val="24"/>
        </w:rPr>
      </w:pPr>
      <w:r>
        <w:rPr>
          <w:rFonts w:hint="eastAsia" w:ascii="Times New Roman" w:hAnsi="Times New Roman" w:eastAsia="宋体" w:cs="Times New Roman"/>
          <w:i/>
          <w:iCs/>
          <w:sz w:val="24"/>
        </w:rPr>
        <w:t>A</w:t>
      </w:r>
      <w:r>
        <w:rPr>
          <w:rFonts w:hint="eastAsia" w:ascii="Times New Roman" w:hAnsi="Times New Roman" w:eastAsia="宋体" w:cs="Times New Roman"/>
          <w:sz w:val="24"/>
          <w:vertAlign w:val="subscript"/>
        </w:rPr>
        <w:t>bar</w:t>
      </w:r>
      <w:r>
        <w:rPr>
          <w:rFonts w:hint="eastAsia" w:ascii="Times New Roman" w:hAnsi="Times New Roman" w:eastAsia="宋体" w:cs="Times New Roman"/>
          <w:sz w:val="24"/>
        </w:rPr>
        <w:t>=</w:t>
      </w:r>
      <w:r>
        <w:rPr>
          <w:rFonts w:ascii="Times New Roman" w:hAnsi="Times New Roman" w:eastAsia="宋体" w:cs="Times New Roman"/>
          <w:sz w:val="24"/>
        </w:rPr>
        <w:t>∆</w:t>
      </w:r>
      <w:r>
        <w:rPr>
          <w:rFonts w:ascii="Times New Roman" w:hAnsi="Times New Roman" w:eastAsia="宋体" w:cs="Times New Roman"/>
          <w:i/>
          <w:iCs/>
          <w:sz w:val="24"/>
        </w:rPr>
        <w:t>L</w:t>
      </w:r>
      <w:r>
        <w:rPr>
          <w:rFonts w:hint="eastAsia" w:ascii="Times New Roman" w:hAnsi="Times New Roman" w:eastAsia="宋体" w:cs="Times New Roman"/>
          <w:sz w:val="24"/>
          <w:vertAlign w:val="subscript"/>
        </w:rPr>
        <w:t>建筑物</w:t>
      </w:r>
      <w:r>
        <w:rPr>
          <w:rFonts w:hint="eastAsia" w:ascii="宋体" w:hAnsi="宋体" w:eastAsia="宋体" w:cs="宋体"/>
          <w:sz w:val="24"/>
        </w:rPr>
        <w:t>＋</w:t>
      </w:r>
      <w:r>
        <w:rPr>
          <w:rFonts w:ascii="Times New Roman" w:hAnsi="Times New Roman" w:eastAsia="宋体" w:cs="Times New Roman"/>
          <w:sz w:val="24"/>
        </w:rPr>
        <w:t>∆</w:t>
      </w:r>
      <w:r>
        <w:rPr>
          <w:rFonts w:ascii="Times New Roman" w:hAnsi="Times New Roman" w:eastAsia="宋体" w:cs="Times New Roman"/>
          <w:i/>
          <w:iCs/>
          <w:sz w:val="24"/>
        </w:rPr>
        <w:t>L</w:t>
      </w:r>
      <w:r>
        <w:rPr>
          <w:rFonts w:hint="eastAsia" w:ascii="Times New Roman" w:hAnsi="Times New Roman" w:eastAsia="宋体" w:cs="Times New Roman"/>
          <w:sz w:val="24"/>
          <w:vertAlign w:val="subscript"/>
        </w:rPr>
        <w:t>声影区</w:t>
      </w:r>
    </w:p>
    <w:p w14:paraId="3F030103">
      <w:pPr>
        <w:spacing w:line="300"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式中：</w:t>
      </w:r>
      <w:r>
        <w:rPr>
          <w:rFonts w:hint="eastAsia" w:ascii="Times New Roman" w:hAnsi="Times New Roman" w:eastAsia="宋体" w:cs="Times New Roman"/>
          <w:i/>
          <w:iCs/>
          <w:sz w:val="24"/>
        </w:rPr>
        <w:t>A</w:t>
      </w:r>
      <w:r>
        <w:rPr>
          <w:rFonts w:hint="eastAsia" w:ascii="Times New Roman" w:hAnsi="Times New Roman" w:eastAsia="宋体" w:cs="Times New Roman"/>
          <w:sz w:val="24"/>
          <w:vertAlign w:val="subscript"/>
        </w:rPr>
        <w:t>bar</w:t>
      </w:r>
      <w:r>
        <w:rPr>
          <w:rFonts w:ascii="Times New Roman" w:hAnsi="Times New Roman" w:eastAsia="宋体" w:cs="Times New Roman"/>
          <w:bCs/>
          <w:sz w:val="24"/>
        </w:rPr>
        <w:t>——</w:t>
      </w:r>
      <w:r>
        <w:rPr>
          <w:rFonts w:hint="eastAsia" w:ascii="Times New Roman" w:hAnsi="Times New Roman" w:eastAsia="宋体" w:cs="Times New Roman"/>
          <w:sz w:val="24"/>
        </w:rPr>
        <w:t>遮挡物引起的</w:t>
      </w:r>
      <w:r>
        <w:rPr>
          <w:rFonts w:ascii="Times New Roman" w:hAnsi="Times New Roman" w:eastAsia="宋体" w:cs="Times New Roman"/>
          <w:sz w:val="24"/>
        </w:rPr>
        <w:t>衰减量</w:t>
      </w:r>
      <w:r>
        <w:rPr>
          <w:rFonts w:hint="eastAsia" w:ascii="Times New Roman" w:hAnsi="Times New Roman" w:eastAsia="宋体" w:cs="Times New Roman"/>
          <w:bCs/>
          <w:sz w:val="24"/>
        </w:rPr>
        <w:t>，</w:t>
      </w:r>
      <w:r>
        <w:rPr>
          <w:rFonts w:hint="eastAsia" w:ascii="Times New Roman" w:hAnsi="Times New Roman" w:eastAsia="宋体" w:cs="Times New Roman"/>
          <w:sz w:val="24"/>
        </w:rPr>
        <w:t>dB(A)；</w:t>
      </w:r>
    </w:p>
    <w:p w14:paraId="72108544">
      <w:pPr>
        <w:spacing w:line="300" w:lineRule="auto"/>
        <w:ind w:firstLine="1200" w:firstLineChars="500"/>
        <w:rPr>
          <w:rFonts w:ascii="Times New Roman" w:hAnsi="Times New Roman" w:eastAsia="宋体" w:cs="Times New Roman"/>
          <w:sz w:val="24"/>
        </w:rPr>
      </w:pPr>
      <w:r>
        <w:rPr>
          <w:rFonts w:ascii="Times New Roman" w:hAnsi="Times New Roman" w:eastAsia="宋体" w:cs="Times New Roman"/>
          <w:sz w:val="24"/>
        </w:rPr>
        <w:t>∆</w:t>
      </w:r>
      <w:r>
        <w:rPr>
          <w:rFonts w:ascii="Times New Roman" w:hAnsi="Times New Roman" w:eastAsia="宋体" w:cs="Times New Roman"/>
          <w:i/>
          <w:iCs/>
          <w:sz w:val="24"/>
        </w:rPr>
        <w:t>L</w:t>
      </w:r>
      <w:r>
        <w:rPr>
          <w:rFonts w:hint="eastAsia" w:ascii="Times New Roman" w:hAnsi="Times New Roman" w:eastAsia="宋体" w:cs="Times New Roman"/>
          <w:sz w:val="24"/>
          <w:vertAlign w:val="subscript"/>
        </w:rPr>
        <w:t>建筑物</w:t>
      </w:r>
      <w:r>
        <w:rPr>
          <w:rFonts w:ascii="Times New Roman" w:hAnsi="Times New Roman" w:eastAsia="宋体" w:cs="Times New Roman"/>
          <w:bCs/>
          <w:sz w:val="24"/>
        </w:rPr>
        <w:t>——</w:t>
      </w:r>
      <w:r>
        <w:rPr>
          <w:rFonts w:hint="eastAsia" w:ascii="Times New Roman" w:hAnsi="Times New Roman" w:eastAsia="宋体" w:cs="Times New Roman"/>
          <w:bCs/>
          <w:sz w:val="24"/>
        </w:rPr>
        <w:t>建筑物引起的衰减量，</w:t>
      </w:r>
      <w:r>
        <w:rPr>
          <w:rFonts w:hint="eastAsia" w:ascii="Times New Roman" w:hAnsi="Times New Roman" w:eastAsia="宋体" w:cs="Times New Roman"/>
          <w:sz w:val="24"/>
        </w:rPr>
        <w:t>dB(A)；</w:t>
      </w:r>
    </w:p>
    <w:p w14:paraId="53CDE4DA">
      <w:pPr>
        <w:spacing w:line="300" w:lineRule="auto"/>
        <w:ind w:firstLine="1200" w:firstLineChars="500"/>
        <w:rPr>
          <w:rFonts w:ascii="Times New Roman" w:hAnsi="Times New Roman" w:eastAsia="宋体" w:cs="Times New Roman"/>
          <w:sz w:val="24"/>
        </w:rPr>
      </w:pPr>
      <w:r>
        <w:rPr>
          <w:rFonts w:ascii="Times New Roman" w:hAnsi="Times New Roman" w:eastAsia="宋体" w:cs="Times New Roman"/>
          <w:sz w:val="24"/>
        </w:rPr>
        <w:t>∆</w:t>
      </w:r>
      <w:r>
        <w:rPr>
          <w:rFonts w:ascii="Times New Roman" w:hAnsi="Times New Roman" w:eastAsia="宋体" w:cs="Times New Roman"/>
          <w:i/>
          <w:iCs/>
          <w:sz w:val="24"/>
        </w:rPr>
        <w:t>L</w:t>
      </w:r>
      <w:r>
        <w:rPr>
          <w:rFonts w:hint="eastAsia" w:ascii="Times New Roman" w:hAnsi="Times New Roman" w:eastAsia="宋体" w:cs="Times New Roman"/>
          <w:sz w:val="24"/>
          <w:vertAlign w:val="subscript"/>
        </w:rPr>
        <w:t>声影区</w:t>
      </w:r>
      <w:r>
        <w:rPr>
          <w:rFonts w:ascii="Times New Roman" w:hAnsi="Times New Roman" w:eastAsia="宋体" w:cs="Times New Roman"/>
          <w:bCs/>
          <w:sz w:val="24"/>
        </w:rPr>
        <w:t>——</w:t>
      </w:r>
      <w:r>
        <w:rPr>
          <w:rFonts w:hint="eastAsia" w:ascii="Times New Roman" w:hAnsi="Times New Roman" w:eastAsia="宋体" w:cs="Times New Roman"/>
          <w:bCs/>
          <w:sz w:val="24"/>
        </w:rPr>
        <w:t>路堤和路堑引起的衰减量，</w:t>
      </w:r>
      <w:r>
        <w:rPr>
          <w:rFonts w:hint="eastAsia" w:ascii="Times New Roman" w:hAnsi="Times New Roman" w:eastAsia="宋体" w:cs="Times New Roman"/>
          <w:sz w:val="24"/>
        </w:rPr>
        <w:t>dB(A)。</w:t>
      </w:r>
    </w:p>
    <w:p w14:paraId="22B51003">
      <w:pPr>
        <w:widowControl w:val="0"/>
        <w:spacing w:line="300" w:lineRule="auto"/>
        <w:ind w:left="480" w:firstLine="0" w:firstLineChars="0"/>
        <w:jc w:val="both"/>
        <w:rPr>
          <w:rFonts w:ascii="Times New Roman" w:hAnsi="Times New Roman"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①</w:t>
      </w:r>
      <w:r>
        <w:rPr>
          <w:rFonts w:hint="eastAsia" w:ascii="Times New Roman" w:hAnsi="Times New Roman" w:eastAsia="宋体" w:cs="Times New Roman"/>
          <w:kern w:val="2"/>
          <w:sz w:val="24"/>
          <w:szCs w:val="24"/>
          <w:lang w:val="en-US" w:eastAsia="zh-CN" w:bidi="ar-SA"/>
        </w:rPr>
        <w:t xml:space="preserve"> 建筑物引起的衰减量(</w:t>
      </w:r>
      <w:r>
        <w:rPr>
          <w:rFonts w:ascii="Times New Roman" w:hAnsi="Times New Roman" w:eastAsia="宋体" w:cs="Times New Roman"/>
          <w:kern w:val="2"/>
          <w:sz w:val="24"/>
          <w:szCs w:val="24"/>
          <w:lang w:val="en-US" w:eastAsia="zh-CN" w:bidi="ar-SA"/>
        </w:rPr>
        <w:t>∆</w:t>
      </w:r>
      <w:r>
        <w:rPr>
          <w:rFonts w:ascii="Times New Roman" w:hAnsi="Times New Roman" w:eastAsia="宋体" w:cs="Times New Roman"/>
          <w:i/>
          <w:iCs/>
          <w:kern w:val="2"/>
          <w:sz w:val="24"/>
          <w:szCs w:val="24"/>
          <w:lang w:val="en-US" w:eastAsia="zh-CN" w:bidi="ar-SA"/>
        </w:rPr>
        <w:t>L</w:t>
      </w:r>
      <w:r>
        <w:rPr>
          <w:rFonts w:hint="eastAsia" w:ascii="Times New Roman" w:hAnsi="Times New Roman" w:eastAsia="宋体" w:cs="Times New Roman"/>
          <w:kern w:val="2"/>
          <w:sz w:val="24"/>
          <w:szCs w:val="24"/>
          <w:vertAlign w:val="subscript"/>
          <w:lang w:val="en-US" w:eastAsia="zh-CN" w:bidi="ar-SA"/>
        </w:rPr>
        <w:t>建筑物</w:t>
      </w:r>
      <w:r>
        <w:rPr>
          <w:rFonts w:hint="eastAsia" w:ascii="Times New Roman" w:hAnsi="Times New Roman" w:eastAsia="宋体" w:cs="Times New Roman"/>
          <w:kern w:val="2"/>
          <w:sz w:val="24"/>
          <w:szCs w:val="24"/>
          <w:lang w:val="en-US" w:eastAsia="zh-CN" w:bidi="ar-SA"/>
        </w:rPr>
        <w:t>)</w:t>
      </w:r>
    </w:p>
    <w:p w14:paraId="57C35714">
      <w:pPr>
        <w:spacing w:line="30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建筑物</w:t>
      </w:r>
      <w:r>
        <w:rPr>
          <w:rFonts w:hint="eastAsia" w:ascii="Times New Roman" w:hAnsi="Times New Roman" w:eastAsia="宋体" w:cs="Times New Roman"/>
          <w:sz w:val="24"/>
        </w:rPr>
        <w:t>引起的</w:t>
      </w:r>
      <w:r>
        <w:rPr>
          <w:rFonts w:ascii="Times New Roman" w:hAnsi="Times New Roman" w:eastAsia="宋体" w:cs="Times New Roman"/>
          <w:sz w:val="24"/>
        </w:rPr>
        <w:t>衰减量可参照GB/T17247.2附录A3计算</w:t>
      </w:r>
      <w:r>
        <w:rPr>
          <w:rFonts w:hint="eastAsia" w:ascii="Times New Roman" w:hAnsi="Times New Roman" w:eastAsia="宋体" w:cs="Times New Roman"/>
          <w:sz w:val="24"/>
        </w:rPr>
        <w:t>，</w:t>
      </w:r>
      <w:r>
        <w:rPr>
          <w:rFonts w:ascii="Times New Roman" w:hAnsi="Times New Roman" w:eastAsia="宋体" w:cs="Times New Roman"/>
          <w:sz w:val="24"/>
        </w:rPr>
        <w:t>在沿公路第一排房屋声影区范围内，可按图</w:t>
      </w:r>
      <w:r>
        <w:rPr>
          <w:rFonts w:ascii="Times New Roman" w:hAnsi="Times New Roman" w:eastAsia="黑体" w:cs="Times New Roman"/>
          <w:sz w:val="24"/>
        </w:rPr>
        <w:t>4.2-3</w:t>
      </w:r>
      <w:r>
        <w:rPr>
          <w:rFonts w:ascii="Times New Roman" w:hAnsi="Times New Roman" w:eastAsia="宋体" w:cs="Times New Roman"/>
          <w:sz w:val="24"/>
        </w:rPr>
        <w:t>和表4.2-3近似计算。</w:t>
      </w:r>
    </w:p>
    <w:p w14:paraId="42431521">
      <w:pPr>
        <w:rPr>
          <w:rFonts w:ascii="Times New Roman" w:hAnsi="Times New Roman" w:eastAsia="宋体" w:cs="Times New Roman"/>
        </w:rPr>
      </w:pPr>
      <w:r>
        <w:rPr>
          <w:rFonts w:ascii="Times New Roman" w:hAnsi="Times New Roman" w:eastAsia="宋体" w:cs="Times New Roman"/>
        </w:rPr>
        <w:pict>
          <v:shape id="文本框 45" o:spid="_x0000_s1026" o:spt="202" type="#_x0000_t202" style="position:absolute;left:0pt;margin-left:172.65pt;margin-top:15.5pt;height:18.85pt;width:69.7pt;z-index:251666432;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">
            <v:path arrowok="t"/>
            <v:fill on="f" focussize="0,0"/>
            <v:stroke on="f" joinstyle="miter"/>
            <v:imagedata o:title=""/>
            <o:lock v:ext="edit"/>
            <v:textbox style="mso-fit-shape-to-text:t;">
              <w:txbxContent>
                <w:p w14:paraId="5CE34E08">
                  <w:pPr>
                    <w:jc w:val="center"/>
                    <w:rPr>
                      <w:rFonts w:ascii="宋体" w:hAnsi="宋体" w:eastAsia="宋体" w:cs="Times New Roman"/>
                      <w:sz w:val="18"/>
                      <w:szCs w:val="18"/>
                    </w:rPr>
                  </w:pPr>
                  <w:r>
                    <w:rPr>
                      <w:rFonts w:hint="eastAsia" w:ascii="宋体" w:hAnsi="宋体" w:eastAsia="宋体" w:cs="Times New Roman"/>
                      <w:sz w:val="18"/>
                      <w:szCs w:val="18"/>
                    </w:rPr>
                    <w:t>行车线</w:t>
                  </w:r>
                </w:p>
              </w:txbxContent>
            </v:textbox>
          </v:shape>
        </w:pict>
      </w:r>
    </w:p>
    <w:p w14:paraId="6C951324">
      <w:pPr>
        <w:rPr>
          <w:rFonts w:ascii="Times New Roman" w:hAnsi="Times New Roman" w:eastAsia="宋体" w:cs="Times New Roman"/>
        </w:rPr>
      </w:pPr>
    </w:p>
    <w:p w14:paraId="51161C38">
      <w:pPr>
        <w:rPr>
          <w:rFonts w:ascii="Times New Roman" w:hAnsi="Times New Roman" w:eastAsia="宋体" w:cs="Times New Roman"/>
        </w:rPr>
      </w:pPr>
      <w:r>
        <w:rPr>
          <w:rFonts w:ascii="Times New Roman" w:hAnsi="Times New Roman" w:eastAsia="宋体" w:cs="Times New Roman"/>
        </w:rPr>
        <w:pict>
          <v:shape id="文本框 40" o:spid="_x0000_s1027" o:spt="202" type="#_x0000_t202" style="position:absolute;left:0pt;margin-left:265.45pt;margin-top:9.45pt;height:25.5pt;width:30pt;z-index:251671552;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">
            <v:path arrowok="t"/>
            <v:fill on="f" focussize="0,0"/>
            <v:stroke on="f" joinstyle="miter"/>
            <v:imagedata o:title=""/>
            <o:lock v:ext="edit"/>
            <v:textbox>
              <w:txbxContent>
                <w:p w14:paraId="64F0AB89">
                  <w:pPr>
                    <w:rPr>
                      <w:rFonts w:ascii="Times New Roman" w:hAnsi="Times New Roman" w:eastAsia="宋体" w:cs="Times New Roman"/>
                      <w:sz w:val="18"/>
                      <w:szCs w:val="18"/>
                    </w:rPr>
                  </w:pPr>
                  <w:r>
                    <w:rPr>
                      <w:rFonts w:ascii="Times New Roman" w:hAnsi="Times New Roman" w:eastAsia="宋体" w:cs="Times New Roman"/>
                      <w:sz w:val="18"/>
                      <w:szCs w:val="18"/>
                    </w:rPr>
                    <w:t>S</w:t>
                  </w:r>
                  <w:r>
                    <w:rPr>
                      <w:rFonts w:ascii="Times New Roman" w:hAnsi="Times New Roman" w:eastAsia="宋体" w:cs="Times New Roman"/>
                      <w:sz w:val="18"/>
                      <w:szCs w:val="18"/>
                      <w:vertAlign w:val="subscript"/>
                    </w:rPr>
                    <w:t>n</w:t>
                  </w:r>
                </w:p>
              </w:txbxContent>
            </v:textbox>
          </v:shape>
        </w:pict>
      </w:r>
      <w:r>
        <w:rPr>
          <w:rFonts w:ascii="Times New Roman" w:hAnsi="Times New Roman" w:eastAsia="宋体" w:cs="Times New Roman"/>
        </w:rPr>
        <w:pict>
          <v:shape id="文本框 37" o:spid="_x0000_s1028" o:spt="202" type="#_x0000_t202" style="position:absolute;left:0pt;margin-left:235.45pt;margin-top:9.65pt;height:21.5pt;width:30pt;z-index:251675648;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">
            <v:path arrowok="t"/>
            <v:fill on="f" focussize="0,0"/>
            <v:stroke on="f" joinstyle="miter"/>
            <v:imagedata o:title=""/>
            <o:lock v:ext="edit"/>
            <v:textbox>
              <w:txbxContent>
                <w:p w14:paraId="0AAC201C">
                  <w:pPr>
                    <w:rPr>
                      <w:rFonts w:ascii="Times New Roman" w:hAnsi="Times New Roman" w:eastAsia="宋体" w:cs="Times New Roman"/>
                      <w:sz w:val="18"/>
                      <w:szCs w:val="18"/>
                    </w:rPr>
                  </w:pPr>
                  <w:r>
                    <w:rPr>
                      <w:rFonts w:ascii="Times New Roman" w:hAnsi="Times New Roman" w:eastAsia="宋体" w:cs="Times New Roman"/>
                      <w:spacing w:val="-20"/>
                      <w:sz w:val="18"/>
                      <w:szCs w:val="18"/>
                    </w:rPr>
                    <w:t>…</w:t>
                  </w:r>
                </w:p>
              </w:txbxContent>
            </v:textbox>
          </v:shape>
        </w:pict>
      </w:r>
      <w:r>
        <w:rPr>
          <w:rFonts w:ascii="Times New Roman" w:hAnsi="Times New Roman" w:eastAsia="宋体" w:cs="Times New Roman"/>
        </w:rPr>
        <w:pict>
          <v:shape id="文本框 41" o:spid="_x0000_s1029" o:spt="202" type="#_x0000_t202" style="position:absolute;left:0pt;margin-left:204.15pt;margin-top:9.95pt;height:21.5pt;width:30pt;z-index:251670528;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">
            <v:path arrowok="t"/>
            <v:fill on="f" focussize="0,0"/>
            <v:stroke on="f" joinstyle="miter"/>
            <v:imagedata o:title=""/>
            <o:lock v:ext="edit"/>
            <v:textbox>
              <w:txbxContent>
                <w:p w14:paraId="3D0D77B2">
                  <w:pPr>
                    <w:rPr>
                      <w:rFonts w:ascii="Times New Roman" w:hAnsi="Times New Roman" w:eastAsia="宋体" w:cs="Times New Roman"/>
                      <w:sz w:val="18"/>
                      <w:szCs w:val="18"/>
                    </w:rPr>
                  </w:pPr>
                  <w:r>
                    <w:rPr>
                      <w:rFonts w:ascii="Times New Roman" w:hAnsi="Times New Roman" w:eastAsia="宋体" w:cs="Times New Roman"/>
                      <w:sz w:val="18"/>
                      <w:szCs w:val="18"/>
                    </w:rPr>
                    <w:t>S</w:t>
                  </w:r>
                  <w:r>
                    <w:rPr>
                      <w:rFonts w:ascii="Times New Roman" w:hAnsi="Times New Roman" w:eastAsia="宋体" w:cs="Times New Roman"/>
                      <w:sz w:val="18"/>
                      <w:szCs w:val="18"/>
                      <w:vertAlign w:val="subscript"/>
                    </w:rPr>
                    <w:t>3</w:t>
                  </w:r>
                </w:p>
              </w:txbxContent>
            </v:textbox>
          </v:shape>
        </w:pict>
      </w:r>
      <w:r>
        <w:rPr>
          <w:rFonts w:ascii="Times New Roman" w:hAnsi="Times New Roman" w:eastAsia="宋体" w:cs="Times New Roman"/>
        </w:rPr>
        <w:pict>
          <v:shape id="文本框 49" o:spid="_x0000_s1030" o:spt="202" type="#_x0000_t202" style="position:absolute;left:0pt;margin-left:138.35pt;margin-top:9.75pt;height:22.65pt;width:30pt;z-index:251668480;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">
            <v:path arrowok="t"/>
            <v:fill on="f" focussize="0,0"/>
            <v:stroke on="f" joinstyle="miter"/>
            <v:imagedata o:title=""/>
            <o:lock v:ext="edit"/>
            <v:textbox>
              <w:txbxContent>
                <w:p w14:paraId="3388C976">
                  <w:pPr>
                    <w:rPr>
                      <w:rFonts w:ascii="Times New Roman" w:hAnsi="Times New Roman" w:eastAsia="宋体" w:cs="Times New Roman"/>
                      <w:sz w:val="18"/>
                      <w:szCs w:val="18"/>
                    </w:rPr>
                  </w:pPr>
                  <w:r>
                    <w:rPr>
                      <w:rFonts w:ascii="Times New Roman" w:hAnsi="Times New Roman" w:eastAsia="宋体" w:cs="Times New Roman"/>
                      <w:sz w:val="18"/>
                      <w:szCs w:val="18"/>
                    </w:rPr>
                    <w:t>S</w:t>
                  </w:r>
                  <w:r>
                    <w:rPr>
                      <w:rFonts w:ascii="Times New Roman" w:hAnsi="Times New Roman" w:eastAsia="宋体" w:cs="Times New Roman"/>
                      <w:sz w:val="18"/>
                      <w:szCs w:val="18"/>
                      <w:vertAlign w:val="subscript"/>
                    </w:rPr>
                    <w:t>1</w:t>
                  </w:r>
                </w:p>
              </w:txbxContent>
            </v:textbox>
          </v:shape>
        </w:pict>
      </w:r>
      <w:r>
        <w:rPr>
          <w:rFonts w:ascii="Times New Roman" w:hAnsi="Times New Roman" w:eastAsia="宋体" w:cs="Times New Roman"/>
        </w:rPr>
        <w:pict>
          <v:shape id="文本框 46" o:spid="_x0000_s1031" o:spt="202" type="#_x0000_t202" style="position:absolute;left:0pt;margin-left:170.55pt;margin-top:9.5pt;height:23.75pt;width:30pt;z-index:25166950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">
            <v:path arrowok="t"/>
            <v:fill on="f" focussize="0,0"/>
            <v:stroke on="f" joinstyle="miter"/>
            <v:imagedata o:title=""/>
            <o:lock v:ext="edit"/>
            <v:textbox>
              <w:txbxContent>
                <w:p w14:paraId="5DD4DBEE">
                  <w:pPr>
                    <w:rPr>
                      <w:rFonts w:ascii="Times New Roman" w:hAnsi="Times New Roman" w:eastAsia="宋体" w:cs="Times New Roman"/>
                      <w:sz w:val="18"/>
                      <w:szCs w:val="18"/>
                    </w:rPr>
                  </w:pPr>
                  <w:r>
                    <w:rPr>
                      <w:rFonts w:ascii="Times New Roman" w:hAnsi="Times New Roman" w:eastAsia="宋体" w:cs="Times New Roman"/>
                      <w:sz w:val="18"/>
                      <w:szCs w:val="18"/>
                    </w:rPr>
                    <w:t>S</w:t>
                  </w:r>
                  <w:r>
                    <w:rPr>
                      <w:rFonts w:ascii="Times New Roman" w:hAnsi="Times New Roman" w:eastAsia="宋体" w:cs="Times New Roman"/>
                      <w:sz w:val="18"/>
                      <w:szCs w:val="18"/>
                      <w:vertAlign w:val="subscript"/>
                    </w:rPr>
                    <w:t>2</w:t>
                  </w:r>
                </w:p>
              </w:txbxContent>
            </v:textbox>
          </v:shape>
        </w:pict>
      </w:r>
      <w:r>
        <w:rPr>
          <w:rFonts w:ascii="Times New Roman" w:hAnsi="Times New Roman" w:eastAsia="宋体" w:cs="Times New Roman"/>
        </w:rPr>
        <w:pict>
          <v:shape id="文本框 51" o:spid="_x0000_s1032" o:spt="202" type="#_x0000_t202" style="position:absolute;left:0pt;margin-left:74.15pt;margin-top:11.3pt;height:18.85pt;width:44.4pt;z-index:25167462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">
            <v:path arrowok="t"/>
            <v:fill on="f" focussize="0,0"/>
            <v:stroke on="f" joinstyle="miter"/>
            <v:imagedata o:title=""/>
            <o:lock v:ext="edit"/>
            <v:textbox style="mso-fit-shape-to-text:t;">
              <w:txbxContent>
                <w:p w14:paraId="001D1E72">
                  <w:pPr>
                    <w:rPr>
                      <w:rFonts w:ascii="宋体" w:hAnsi="宋体" w:eastAsia="宋体" w:cs="Times New Roman"/>
                      <w:sz w:val="18"/>
                      <w:szCs w:val="18"/>
                    </w:rPr>
                  </w:pPr>
                  <w:r>
                    <w:rPr>
                      <w:rFonts w:hint="eastAsia" w:ascii="宋体" w:hAnsi="宋体" w:eastAsia="宋体" w:cs="Times New Roman"/>
                      <w:sz w:val="18"/>
                      <w:szCs w:val="18"/>
                    </w:rPr>
                    <w:t>第一排</w:t>
                  </w:r>
                </w:p>
              </w:txbxContent>
            </v:textbox>
          </v:shape>
        </w:pict>
      </w:r>
      <w:r>
        <w:rPr>
          <w:rFonts w:ascii="Times New Roman" w:hAnsi="Times New Roman" w:eastAsia="宋体" w:cs="Times New Roman"/>
        </w:rPr>
        <w:pict>
          <v:shape id="等腰三角形 47" o:spid="_x0000_s1033" o:spt="5" type="#_x0000_t5" style="position:absolute;left:0pt;margin-left:115.6pt;margin-top:7.9pt;height:72.85pt;width:210.4pt;rotation:11796480f;z-index:251659264;v-text-anchor:middle;mso-width-relative:page;mso-height-relative:page;" fill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" adj="14417">
            <v:path arrowok="t"/>
            <v:fill on="f" focussize="0,0"/>
            <v:stroke weight="1pt" joinstyle="miter"/>
            <v:imagedata o:title=""/>
            <o:lock v:ext="edit"/>
          </v:shape>
        </w:pict>
      </w:r>
    </w:p>
    <w:p w14:paraId="04D62DE8">
      <w:pPr>
        <w:rPr>
          <w:rFonts w:ascii="Times New Roman" w:hAnsi="Times New Roman" w:eastAsia="宋体" w:cs="Times New Roman"/>
        </w:rPr>
      </w:pPr>
      <w:r>
        <w:rPr>
          <w:rFonts w:ascii="Times New Roman" w:hAnsi="Times New Roman" w:eastAsia="宋体" w:cs="Times New Roman"/>
        </w:rPr>
        <w:pict>
          <v:rect id="矩形 38" o:spid="_x0000_s1034" o:spt="1" style="position:absolute;left:0pt;margin-left:172.75pt;margin-top:1pt;height:10.7pt;width:19.25pt;z-index:251661312;v-text-anchor:middle;mso-width-relative:page;mso-height-relative:page;" fill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">
            <v:path arrowok="t"/>
            <v:fill on="f" focussize="0,0"/>
            <v:stroke weight="1pt"/>
            <v:imagedata o:title=""/>
            <o:lock v:ext="edit"/>
          </v:rect>
        </w:pict>
      </w:r>
      <w:r>
        <w:rPr>
          <w:rFonts w:ascii="Times New Roman" w:hAnsi="Times New Roman" w:eastAsia="宋体" w:cs="Times New Roman"/>
        </w:rPr>
        <w:pict>
          <v:rect id="矩形 50" o:spid="_x0000_s1035" o:spt="1" style="position:absolute;left:0pt;margin-left:139.75pt;margin-top:1pt;height:10.75pt;width:19.3pt;z-index:251660288;v-text-anchor:middle;mso-width-relative:page;mso-height-relative:page;" fill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">
            <v:path arrowok="t"/>
            <v:fill on="f" focussize="0,0"/>
            <v:stroke weight="1pt"/>
            <v:imagedata o:title=""/>
            <o:lock v:ext="edit"/>
          </v:rect>
        </w:pict>
      </w:r>
      <w:r>
        <w:rPr>
          <w:rFonts w:ascii="Times New Roman" w:hAnsi="Times New Roman" w:eastAsia="宋体" w:cs="Times New Roman"/>
        </w:rPr>
        <w:pict>
          <v:rect id="矩形 53" o:spid="_x0000_s1036" o:spt="1" style="position:absolute;left:0pt;margin-left:206.05pt;margin-top:1.2pt;height:10.7pt;width:19.25pt;z-index:251662336;v-text-anchor:middle;mso-width-relative:page;mso-height-relative:page;" fill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">
            <v:path arrowok="t"/>
            <v:fill on="f" focussize="0,0"/>
            <v:stroke weight="1pt"/>
            <v:imagedata o:title=""/>
            <o:lock v:ext="edit"/>
          </v:rect>
        </w:pict>
      </w:r>
      <w:r>
        <w:rPr>
          <w:rFonts w:ascii="Times New Roman" w:hAnsi="Times New Roman" w:eastAsia="宋体" w:cs="Times New Roman"/>
        </w:rPr>
        <w:pict>
          <v:rect id="矩形 48" o:spid="_x0000_s1037" o:spt="1" style="position:absolute;left:0pt;margin-left:237.5pt;margin-top:1.4pt;height:10.75pt;width:19.3pt;z-index:251663360;v-text-anchor:middle;mso-width-relative:page;mso-height-relative:page;" fill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">
            <v:path arrowok="t"/>
            <v:fill on="f" focussize="0,0"/>
            <v:stroke weight="1pt"/>
            <v:imagedata o:title=""/>
            <o:lock v:ext="edit"/>
            <v:textbox>
              <w:txbxContent>
                <w:p w14:paraId="1D427DEB">
                  <w:pPr>
                    <w:rPr>
                      <w:rFonts w:ascii="Times New Roman" w:hAnsi="Times New Roman" w:eastAsia="宋体" w:cs="Times New Roman"/>
                    </w:rPr>
                  </w:pPr>
                </w:p>
              </w:txbxContent>
            </v:textbox>
          </v:rect>
        </w:pict>
      </w:r>
      <w:r>
        <w:rPr>
          <w:rFonts w:ascii="Times New Roman" w:hAnsi="Times New Roman" w:eastAsia="宋体" w:cs="Times New Roman"/>
        </w:rPr>
        <w:pict>
          <v:rect id="矩形 52" o:spid="_x0000_s1038" o:spt="1" style="position:absolute;left:0pt;margin-left:266.7pt;margin-top:0.8pt;height:10.75pt;width:19.3pt;z-index:251664384;v-text-anchor:middle;mso-width-relative:page;mso-height-relative:page;" fill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">
            <v:path arrowok="t"/>
            <v:fill on="f" focussize="0,0"/>
            <v:stroke weight="1pt"/>
            <v:imagedata o:title=""/>
            <o:lock v:ext="edit"/>
          </v:rect>
        </w:pict>
      </w:r>
    </w:p>
    <w:p w14:paraId="47693C94">
      <w:pPr>
        <w:rPr>
          <w:rFonts w:ascii="Times New Roman" w:hAnsi="Times New Roman" w:eastAsia="宋体" w:cs="Times New Roman"/>
        </w:rPr>
      </w:pPr>
      <w:r>
        <w:rPr>
          <w:rFonts w:ascii="Times New Roman" w:hAnsi="Times New Roman" w:eastAsia="宋体" w:cs="Times New Roman"/>
        </w:rPr>
        <w:pict>
          <v:shape id="文本框 44" o:spid="_x0000_s1039" o:spt="202" type="#_x0000_t202" style="position:absolute;left:0pt;margin-left:182.8pt;margin-top:9.6pt;height:21.5pt;width:27.7pt;z-index:251672576;mso-width-relative:page;mso-height-relative:page;"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">
            <v:path arrowok="t"/>
            <v:fill focussize="0,0"/>
            <v:stroke on="f" joinstyle="miter"/>
            <v:imagedata o:title=""/>
            <o:lock v:ext="edit"/>
            <v:textbox>
              <w:txbxContent>
                <w:p w14:paraId="1E270D6E">
                  <w:pPr>
                    <w:rPr>
                      <w:rFonts w:ascii="Times New Roman" w:hAnsi="Times New Roman" w:eastAsia="宋体" w:cs="Times New Roman"/>
                      <w:color w:val="000000" w:themeColor="text1"/>
                      <w:sz w:val="18"/>
                      <w:szCs w:val="18"/>
                    </w:rPr>
                  </w:pPr>
                  <w:r>
                    <w:rPr>
                      <w:rFonts w:ascii="Times New Roman" w:hAnsi="Times New Roman" w:eastAsia="宋体" w:cs="Times New Roman"/>
                      <w:color w:val="000000" w:themeColor="text1"/>
                      <w:sz w:val="18"/>
                      <w:szCs w:val="18"/>
                    </w:rPr>
                    <w:t>S</w:t>
                  </w:r>
                  <w:r>
                    <w:rPr>
                      <w:rFonts w:ascii="Times New Roman" w:hAnsi="Times New Roman" w:eastAsia="宋体" w:cs="Times New Roman"/>
                      <w:color w:val="000000" w:themeColor="text1"/>
                      <w:sz w:val="18"/>
                      <w:szCs w:val="18"/>
                      <w:vertAlign w:val="subscript"/>
                    </w:rPr>
                    <w:t>0</w:t>
                  </w:r>
                </w:p>
              </w:txbxContent>
            </v:textbox>
          </v:shape>
        </w:pict>
      </w:r>
    </w:p>
    <w:p w14:paraId="6EA7ED2C">
      <w:pPr>
        <w:rPr>
          <w:rFonts w:ascii="Times New Roman" w:hAnsi="Times New Roman" w:eastAsia="宋体" w:cs="Times New Roman"/>
        </w:rPr>
      </w:pPr>
    </w:p>
    <w:p w14:paraId="5DC13653">
      <w:pPr>
        <w:rPr>
          <w:rFonts w:ascii="Times New Roman" w:hAnsi="Times New Roman" w:eastAsia="宋体" w:cs="Times New Roman"/>
        </w:rPr>
      </w:pPr>
    </w:p>
    <w:p w14:paraId="41C12777">
      <w:pPr>
        <w:rPr>
          <w:rFonts w:ascii="Times New Roman" w:hAnsi="Times New Roman" w:eastAsia="宋体" w:cs="Times New Roman"/>
        </w:rPr>
      </w:pPr>
    </w:p>
    <w:p w14:paraId="16E00CC2">
      <w:pPr>
        <w:rPr>
          <w:rFonts w:ascii="Times New Roman" w:hAnsi="Times New Roman" w:eastAsia="宋体" w:cs="Times New Roman"/>
        </w:rPr>
      </w:pPr>
      <w:r>
        <w:rPr>
          <w:rFonts w:ascii="Times New Roman" w:hAnsi="Times New Roman" w:eastAsia="宋体" w:cs="Times New Roman"/>
        </w:rPr>
        <w:pict>
          <v:shape id="椭圆 39" o:spid="_x0000_s1040" o:spt="3" type="#_x0000_t3" style="position:absolute;left:0pt;margin-left:183pt;margin-top:3.95pt;height:5.7pt;width:6.2pt;z-index:251665408;v-text-anchor:middle;mso-width-relative:page;mso-height-relative:page;" fillcolor="#000000" filled="t"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">
            <v:path arrowok="t"/>
            <v:fill on="t" focussize="0,0"/>
            <v:stroke on="f" weight="1pt"/>
            <v:imagedata o:title=""/>
            <o:lock v:ext="edit"/>
          </v:shape>
        </w:pict>
      </w:r>
    </w:p>
    <w:p w14:paraId="727A30D0">
      <w:pPr>
        <w:rPr>
          <w:rFonts w:ascii="Times New Roman" w:hAnsi="Times New Roman" w:eastAsia="宋体" w:cs="Times New Roman"/>
        </w:rPr>
      </w:pPr>
      <w:r>
        <w:rPr>
          <w:rFonts w:ascii="Times New Roman" w:hAnsi="Times New Roman" w:eastAsia="宋体" w:cs="Times New Roman"/>
        </w:rPr>
        <w:pict>
          <v:shape id="文本框 36" o:spid="_x0000_s1041" o:spt="202" type="#_x0000_t202" style="position:absolute;left:0pt;margin-left:164.5pt;margin-top:0.15pt;height:18.85pt;width:69.7pt;z-index:251667456;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">
            <v:path arrowok="t"/>
            <v:fill on="f" focussize="0,0"/>
            <v:stroke on="f" joinstyle="miter"/>
            <v:imagedata o:title=""/>
            <o:lock v:ext="edit"/>
            <v:textbox style="mso-fit-shape-to-text:t;">
              <w:txbxContent>
                <w:p w14:paraId="701D1493">
                  <w:pPr>
                    <w:rPr>
                      <w:rFonts w:ascii="宋体" w:hAnsi="宋体" w:eastAsia="宋体" w:cs="Times New Roman"/>
                      <w:sz w:val="18"/>
                      <w:szCs w:val="18"/>
                    </w:rPr>
                  </w:pPr>
                  <w:r>
                    <w:rPr>
                      <w:rFonts w:hint="eastAsia" w:ascii="宋体" w:hAnsi="宋体" w:eastAsia="宋体" w:cs="Times New Roman"/>
                      <w:sz w:val="18"/>
                      <w:szCs w:val="18"/>
                    </w:rPr>
                    <w:t>接受点</w:t>
                  </w:r>
                </w:p>
              </w:txbxContent>
            </v:textbox>
          </v:shape>
        </w:pict>
      </w:r>
    </w:p>
    <w:p w14:paraId="73750148">
      <w:pPr>
        <w:rPr>
          <w:rFonts w:ascii="Times New Roman" w:hAnsi="Times New Roman" w:eastAsia="宋体" w:cs="Times New Roman"/>
        </w:rPr>
      </w:pPr>
    </w:p>
    <w:p w14:paraId="1A4A49D2">
      <w:pPr>
        <w:ind w:firstLine="360" w:firstLineChars="200"/>
        <w:rPr>
          <w:rFonts w:ascii="Times New Roman" w:hAnsi="Times New Roman" w:eastAsia="宋体" w:cs="Times New Roman"/>
          <w:sz w:val="18"/>
          <w:szCs w:val="18"/>
        </w:rPr>
      </w:pPr>
      <w:r>
        <w:rPr>
          <w:rFonts w:ascii="Times New Roman" w:hAnsi="Times New Roman" w:eastAsia="宋体" w:cs="Times New Roman"/>
          <w:sz w:val="18"/>
          <w:szCs w:val="18"/>
        </w:rPr>
        <w:t>注1：第一排房屋面积S=S</w:t>
      </w:r>
      <w:r>
        <w:rPr>
          <w:rFonts w:ascii="Times New Roman" w:hAnsi="Times New Roman" w:eastAsia="宋体" w:cs="Times New Roman"/>
          <w:sz w:val="18"/>
          <w:szCs w:val="18"/>
          <w:vertAlign w:val="subscript"/>
        </w:rPr>
        <w:t>1</w:t>
      </w:r>
      <w:r>
        <w:rPr>
          <w:rFonts w:ascii="Times New Roman" w:hAnsi="Times New Roman" w:eastAsia="宋体" w:cs="Times New Roman"/>
          <w:sz w:val="18"/>
          <w:szCs w:val="18"/>
        </w:rPr>
        <w:t>+S</w:t>
      </w:r>
      <w:r>
        <w:rPr>
          <w:rFonts w:ascii="Times New Roman" w:hAnsi="Times New Roman" w:eastAsia="宋体" w:cs="Times New Roman"/>
          <w:sz w:val="18"/>
          <w:szCs w:val="18"/>
          <w:vertAlign w:val="subscript"/>
        </w:rPr>
        <w:t>2</w:t>
      </w:r>
      <w:r>
        <w:rPr>
          <w:rFonts w:ascii="Times New Roman" w:hAnsi="Times New Roman" w:eastAsia="宋体" w:cs="Times New Roman"/>
          <w:sz w:val="18"/>
          <w:szCs w:val="18"/>
        </w:rPr>
        <w:t>+……+S</w:t>
      </w:r>
      <w:r>
        <w:rPr>
          <w:rFonts w:ascii="Times New Roman" w:hAnsi="Times New Roman" w:eastAsia="宋体" w:cs="Times New Roman"/>
          <w:sz w:val="18"/>
          <w:szCs w:val="18"/>
          <w:vertAlign w:val="subscript"/>
        </w:rPr>
        <w:t>n</w:t>
      </w:r>
    </w:p>
    <w:p w14:paraId="6FC2534A">
      <w:pPr>
        <w:ind w:firstLine="360" w:firstLineChars="200"/>
        <w:rPr>
          <w:rFonts w:ascii="Times New Roman" w:hAnsi="Times New Roman" w:eastAsia="宋体" w:cs="Times New Roman"/>
        </w:rPr>
      </w:pPr>
      <w:r>
        <w:rPr>
          <w:rFonts w:ascii="Times New Roman" w:hAnsi="Times New Roman" w:eastAsia="宋体" w:cs="Times New Roman"/>
          <w:sz w:val="18"/>
          <w:szCs w:val="18"/>
        </w:rPr>
        <w:t>注2：S</w:t>
      </w:r>
      <w:r>
        <w:rPr>
          <w:rFonts w:ascii="Times New Roman" w:hAnsi="Times New Roman" w:eastAsia="宋体" w:cs="Times New Roman"/>
          <w:sz w:val="18"/>
          <w:szCs w:val="18"/>
          <w:vertAlign w:val="subscript"/>
        </w:rPr>
        <w:t>0</w:t>
      </w:r>
      <w:r>
        <w:rPr>
          <w:rFonts w:ascii="Times New Roman" w:hAnsi="Times New Roman" w:eastAsia="宋体" w:cs="Times New Roman"/>
          <w:sz w:val="18"/>
          <w:szCs w:val="18"/>
        </w:rPr>
        <w:t>为接受点对房屋张角至行车线三角形的面积</w:t>
      </w:r>
    </w:p>
    <w:p w14:paraId="785082D1">
      <w:pPr>
        <w:adjustRightInd w:val="0"/>
        <w:spacing w:beforeLines="50"/>
        <w:jc w:val="center"/>
        <w:textAlignment w:val="baseline"/>
        <w:rPr>
          <w:rFonts w:ascii="Times New Roman" w:hAnsi="Times New Roman" w:eastAsia="宋体" w:cs="Times New Roman"/>
          <w:b/>
        </w:rPr>
      </w:pPr>
      <w:r>
        <w:rPr>
          <w:rFonts w:hint="eastAsia" w:ascii="Times New Roman" w:hAnsi="Times New Roman" w:eastAsia="宋体" w:cs="Times New Roman"/>
          <w:b/>
        </w:rPr>
        <w:t>图</w:t>
      </w:r>
      <w:r>
        <w:rPr>
          <w:rFonts w:ascii="Times New Roman" w:hAnsi="Times New Roman" w:eastAsia="宋体" w:cs="Times New Roman"/>
          <w:b/>
        </w:rPr>
        <w:t>4.2-3</w:t>
      </w:r>
      <w:r>
        <w:rPr>
          <w:rFonts w:hint="eastAsia" w:ascii="Times New Roman" w:hAnsi="Times New Roman" w:eastAsia="宋体" w:cs="Times New Roman"/>
          <w:b/>
        </w:rPr>
        <w:t xml:space="preserve">  建筑物引起的衰减量计算示意图</w:t>
      </w:r>
    </w:p>
    <w:p w14:paraId="1709ED8B">
      <w:pPr>
        <w:adjustRightInd w:val="0"/>
        <w:spacing w:beforeLines="50"/>
        <w:jc w:val="center"/>
        <w:textAlignment w:val="baseline"/>
        <w:rPr>
          <w:rFonts w:ascii="Times New Roman" w:hAnsi="Times New Roman" w:eastAsia="宋体" w:cs="Times New Roman"/>
          <w:b/>
          <w:smallCaps/>
        </w:rPr>
      </w:pPr>
      <w:r>
        <w:rPr>
          <w:rFonts w:hint="eastAsia" w:ascii="Times New Roman" w:hAnsi="Times New Roman" w:eastAsia="宋体" w:cs="Times New Roman"/>
          <w:b/>
          <w:smallCaps/>
        </w:rPr>
        <w:t>表</w:t>
      </w:r>
      <w:r>
        <w:rPr>
          <w:rFonts w:ascii="Times New Roman" w:hAnsi="Times New Roman" w:eastAsia="宋体" w:cs="Times New Roman"/>
          <w:b/>
          <w:smallCaps/>
        </w:rPr>
        <w:t>4.2-3</w:t>
      </w:r>
      <w:r>
        <w:rPr>
          <w:rFonts w:hint="eastAsia" w:ascii="Times New Roman" w:hAnsi="Times New Roman" w:eastAsia="宋体" w:cs="Times New Roman"/>
          <w:b/>
          <w:smallCaps/>
        </w:rPr>
        <w:t xml:space="preserve">   建筑物引起的衰减量估算值</w:t>
      </w:r>
    </w:p>
    <w:tbl>
      <w:tblPr>
        <w:tblStyle w:val="22"/>
        <w:tblW w:w="0" w:type="auto"/>
        <w:jc w:val="center"/>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397"/>
        <w:gridCol w:w="3995"/>
      </w:tblGrid>
      <w:tr w14:paraId="21AA11E2">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397" w:type="dxa"/>
            <w:noWrap/>
            <w:vAlign w:val="center"/>
          </w:tcPr>
          <w:p w14:paraId="2F353DBF">
            <w:pPr>
              <w:jc w:val="center"/>
              <w:rPr>
                <w:rFonts w:ascii="Times New Roman" w:hAnsi="Times New Roman" w:eastAsia="宋体" w:cs="Times New Roman"/>
                <w:b/>
                <w:bCs/>
                <w:szCs w:val="21"/>
              </w:rPr>
            </w:pPr>
            <w:r>
              <w:rPr>
                <w:rFonts w:ascii="Times New Roman" w:hAnsi="Times New Roman" w:eastAsia="宋体" w:cs="Times New Roman"/>
                <w:b/>
                <w:bCs/>
                <w:szCs w:val="21"/>
              </w:rPr>
              <w:t>S/S</w:t>
            </w:r>
            <w:r>
              <w:rPr>
                <w:rFonts w:ascii="Times New Roman" w:hAnsi="Times New Roman" w:eastAsia="宋体" w:cs="Times New Roman"/>
                <w:b/>
                <w:bCs/>
                <w:szCs w:val="21"/>
                <w:vertAlign w:val="subscript"/>
              </w:rPr>
              <w:t>0</w:t>
            </w:r>
          </w:p>
        </w:tc>
        <w:tc>
          <w:tcPr>
            <w:tcW w:w="3995" w:type="dxa"/>
            <w:noWrap/>
            <w:vAlign w:val="center"/>
          </w:tcPr>
          <w:p w14:paraId="220C9E0F">
            <w:pPr>
              <w:jc w:val="center"/>
              <w:rPr>
                <w:rFonts w:ascii="Times New Roman" w:hAnsi="Times New Roman" w:eastAsia="宋体" w:cs="Times New Roman"/>
                <w:b/>
                <w:bCs/>
                <w:szCs w:val="21"/>
              </w:rPr>
            </w:pPr>
            <w:r>
              <w:rPr>
                <w:rFonts w:ascii="Times New Roman" w:hAnsi="Times New Roman" w:eastAsia="宋体" w:cs="Times New Roman"/>
                <w:b/>
                <w:bCs/>
                <w:szCs w:val="21"/>
              </w:rPr>
              <w:t>衰减量∆</w:t>
            </w:r>
            <w:r>
              <w:rPr>
                <w:rFonts w:ascii="Times New Roman" w:hAnsi="Times New Roman" w:eastAsia="宋体" w:cs="Times New Roman"/>
                <w:b/>
                <w:bCs/>
                <w:i/>
                <w:iCs/>
                <w:szCs w:val="21"/>
              </w:rPr>
              <w:t>L</w:t>
            </w:r>
            <w:r>
              <w:rPr>
                <w:rFonts w:hint="eastAsia" w:ascii="Times New Roman" w:hAnsi="Times New Roman" w:eastAsia="宋体" w:cs="Times New Roman"/>
                <w:b/>
                <w:bCs/>
                <w:szCs w:val="21"/>
                <w:vertAlign w:val="subscript"/>
              </w:rPr>
              <w:t>建筑物</w:t>
            </w:r>
            <w:r>
              <w:rPr>
                <w:rFonts w:ascii="Times New Roman" w:hAnsi="Times New Roman" w:eastAsia="宋体" w:cs="Times New Roman"/>
                <w:b/>
                <w:bCs/>
                <w:szCs w:val="21"/>
              </w:rPr>
              <w:t>[dB(A)]</w:t>
            </w:r>
          </w:p>
        </w:tc>
      </w:tr>
      <w:tr w14:paraId="40534F6E">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397" w:type="dxa"/>
            <w:noWrap/>
            <w:vAlign w:val="center"/>
          </w:tcPr>
          <w:p w14:paraId="682DAEAE">
            <w:pPr>
              <w:jc w:val="center"/>
              <w:rPr>
                <w:rFonts w:ascii="Times New Roman" w:hAnsi="Times New Roman" w:eastAsia="宋体" w:cs="Times New Roman"/>
                <w:szCs w:val="21"/>
              </w:rPr>
            </w:pPr>
            <w:r>
              <w:rPr>
                <w:rFonts w:ascii="Times New Roman" w:hAnsi="Times New Roman" w:eastAsia="宋体" w:cs="Times New Roman"/>
                <w:szCs w:val="21"/>
              </w:rPr>
              <w:t>40%</w:t>
            </w:r>
            <w:r>
              <w:rPr>
                <w:rFonts w:hint="eastAsia" w:ascii="Times New Roman" w:hAnsi="Times New Roman" w:eastAsia="宋体" w:cs="Times New Roman"/>
                <w:szCs w:val="21"/>
              </w:rPr>
              <w:t>～</w:t>
            </w:r>
            <w:r>
              <w:rPr>
                <w:rFonts w:ascii="Times New Roman" w:hAnsi="Times New Roman" w:eastAsia="宋体" w:cs="Times New Roman"/>
                <w:szCs w:val="21"/>
              </w:rPr>
              <w:t>60%</w:t>
            </w:r>
          </w:p>
        </w:tc>
        <w:tc>
          <w:tcPr>
            <w:tcW w:w="3995" w:type="dxa"/>
            <w:noWrap/>
            <w:vAlign w:val="center"/>
          </w:tcPr>
          <w:p w14:paraId="16C41788">
            <w:pPr>
              <w:jc w:val="center"/>
              <w:rPr>
                <w:rFonts w:ascii="Times New Roman" w:hAnsi="Times New Roman" w:eastAsia="宋体" w:cs="Times New Roman"/>
                <w:szCs w:val="21"/>
              </w:rPr>
            </w:pPr>
            <w:r>
              <w:rPr>
                <w:rFonts w:ascii="Times New Roman" w:hAnsi="Times New Roman" w:eastAsia="宋体" w:cs="Times New Roman"/>
                <w:szCs w:val="21"/>
              </w:rPr>
              <w:t>3</w:t>
            </w:r>
          </w:p>
        </w:tc>
      </w:tr>
      <w:tr w14:paraId="00628740">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397" w:type="dxa"/>
            <w:noWrap/>
            <w:vAlign w:val="center"/>
          </w:tcPr>
          <w:p w14:paraId="09AFCB1D">
            <w:pPr>
              <w:jc w:val="center"/>
              <w:rPr>
                <w:rFonts w:ascii="Times New Roman" w:hAnsi="Times New Roman" w:eastAsia="宋体" w:cs="Times New Roman"/>
                <w:szCs w:val="21"/>
              </w:rPr>
            </w:pPr>
            <w:r>
              <w:rPr>
                <w:rFonts w:ascii="Times New Roman" w:hAnsi="Times New Roman" w:eastAsia="宋体" w:cs="Times New Roman"/>
                <w:szCs w:val="21"/>
              </w:rPr>
              <w:t>70%</w:t>
            </w:r>
            <w:r>
              <w:rPr>
                <w:rFonts w:hint="eastAsia" w:ascii="Times New Roman" w:hAnsi="Times New Roman" w:eastAsia="宋体" w:cs="Times New Roman"/>
                <w:szCs w:val="21"/>
              </w:rPr>
              <w:t>～</w:t>
            </w:r>
            <w:r>
              <w:rPr>
                <w:rFonts w:ascii="Times New Roman" w:hAnsi="Times New Roman" w:eastAsia="宋体" w:cs="Times New Roman"/>
                <w:szCs w:val="21"/>
              </w:rPr>
              <w:t>90%</w:t>
            </w:r>
          </w:p>
        </w:tc>
        <w:tc>
          <w:tcPr>
            <w:tcW w:w="3995" w:type="dxa"/>
            <w:noWrap/>
            <w:vAlign w:val="center"/>
          </w:tcPr>
          <w:p w14:paraId="705D5D2C">
            <w:pPr>
              <w:jc w:val="center"/>
              <w:rPr>
                <w:rFonts w:ascii="Times New Roman" w:hAnsi="Times New Roman" w:eastAsia="宋体" w:cs="Times New Roman"/>
                <w:szCs w:val="21"/>
              </w:rPr>
            </w:pPr>
            <w:r>
              <w:rPr>
                <w:rFonts w:ascii="Times New Roman" w:hAnsi="Times New Roman" w:eastAsia="宋体" w:cs="Times New Roman"/>
                <w:szCs w:val="21"/>
              </w:rPr>
              <w:t>5</w:t>
            </w:r>
          </w:p>
        </w:tc>
      </w:tr>
      <w:tr w14:paraId="09035BB0">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397" w:type="dxa"/>
            <w:noWrap/>
            <w:vAlign w:val="center"/>
          </w:tcPr>
          <w:p w14:paraId="0C66B23D">
            <w:pPr>
              <w:jc w:val="center"/>
              <w:rPr>
                <w:rFonts w:ascii="Times New Roman" w:hAnsi="Times New Roman" w:eastAsia="宋体" w:cs="Times New Roman"/>
                <w:szCs w:val="21"/>
              </w:rPr>
            </w:pPr>
            <w:r>
              <w:rPr>
                <w:rFonts w:ascii="Times New Roman" w:hAnsi="Times New Roman" w:eastAsia="宋体" w:cs="Times New Roman"/>
                <w:szCs w:val="21"/>
              </w:rPr>
              <w:t>以后每增加一排房屋</w:t>
            </w:r>
          </w:p>
        </w:tc>
        <w:tc>
          <w:tcPr>
            <w:tcW w:w="3995" w:type="dxa"/>
            <w:noWrap/>
            <w:vAlign w:val="center"/>
          </w:tcPr>
          <w:p w14:paraId="56DDF5C4">
            <w:pPr>
              <w:jc w:val="center"/>
              <w:rPr>
                <w:rFonts w:ascii="Times New Roman" w:hAnsi="Times New Roman" w:eastAsia="宋体" w:cs="Times New Roman"/>
                <w:szCs w:val="21"/>
              </w:rPr>
            </w:pPr>
            <w:r>
              <w:rPr>
                <w:rFonts w:ascii="Times New Roman" w:hAnsi="Times New Roman" w:eastAsia="宋体" w:cs="Times New Roman"/>
                <w:szCs w:val="21"/>
              </w:rPr>
              <w:t>1.5</w:t>
            </w:r>
          </w:p>
          <w:p w14:paraId="78301DFE">
            <w:pPr>
              <w:jc w:val="center"/>
              <w:rPr>
                <w:rFonts w:ascii="Times New Roman" w:hAnsi="Times New Roman" w:eastAsia="宋体" w:cs="Times New Roman"/>
                <w:szCs w:val="21"/>
              </w:rPr>
            </w:pPr>
            <w:r>
              <w:rPr>
                <w:rFonts w:ascii="Times New Roman" w:hAnsi="Times New Roman" w:eastAsia="宋体" w:cs="Times New Roman"/>
                <w:szCs w:val="21"/>
              </w:rPr>
              <w:t>最大衰减量</w:t>
            </w:r>
            <w:r>
              <w:rPr>
                <w:rFonts w:hint="eastAsia" w:ascii="Times New Roman" w:hAnsi="Times New Roman" w:eastAsia="宋体" w:cs="Times New Roman"/>
                <w:szCs w:val="21"/>
              </w:rPr>
              <w:t>≤</w:t>
            </w:r>
            <w:r>
              <w:rPr>
                <w:rFonts w:ascii="Times New Roman" w:hAnsi="Times New Roman" w:eastAsia="宋体" w:cs="Times New Roman"/>
                <w:szCs w:val="21"/>
              </w:rPr>
              <w:t>10</w:t>
            </w:r>
          </w:p>
        </w:tc>
      </w:tr>
      <w:tr w14:paraId="37873B4F">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392" w:type="dxa"/>
            <w:gridSpan w:val="2"/>
            <w:noWrap/>
            <w:vAlign w:val="center"/>
          </w:tcPr>
          <w:p w14:paraId="4C476431">
            <w:pPr>
              <w:ind w:firstLine="420" w:firstLineChars="200"/>
              <w:rPr>
                <w:rFonts w:ascii="Times New Roman" w:hAnsi="Times New Roman" w:eastAsia="宋体" w:cs="Times New Roman"/>
                <w:szCs w:val="21"/>
              </w:rPr>
            </w:pPr>
            <w:r>
              <w:rPr>
                <w:rFonts w:ascii="Times New Roman" w:hAnsi="Times New Roman" w:eastAsia="宋体" w:cs="Times New Roman"/>
                <w:szCs w:val="21"/>
              </w:rPr>
              <w:t>注：仅适用于平路堤路侧的建筑物。</w:t>
            </w:r>
          </w:p>
        </w:tc>
      </w:tr>
    </w:tbl>
    <w:p w14:paraId="7C24862A">
      <w:pPr>
        <w:widowControl w:val="0"/>
        <w:spacing w:beforeLines="100" w:line="300" w:lineRule="auto"/>
        <w:ind w:left="480" w:firstLine="0" w:firstLineChars="0"/>
        <w:jc w:val="both"/>
        <w:rPr>
          <w:rFonts w:ascii="Times New Roman" w:hAnsi="Times New Roman" w:eastAsia="宋体" w:cs="Times New Roman"/>
          <w:spacing w:val="4"/>
          <w:kern w:val="2"/>
          <w:sz w:val="24"/>
          <w:szCs w:val="24"/>
          <w:lang w:val="en-US" w:eastAsia="zh-CN" w:bidi="ar-SA"/>
        </w:rPr>
      </w:pPr>
      <w:r>
        <w:rPr>
          <w:rFonts w:hint="eastAsia" w:ascii="宋体" w:hAnsi="宋体" w:eastAsia="宋体" w:cs="Times New Roman"/>
          <w:kern w:val="2"/>
          <w:sz w:val="24"/>
          <w:szCs w:val="24"/>
          <w:lang w:val="en-US" w:eastAsia="zh-CN" w:bidi="ar-SA"/>
        </w:rPr>
        <w:t xml:space="preserve">② </w:t>
      </w:r>
      <w:r>
        <w:rPr>
          <w:rFonts w:ascii="宋体" w:hAnsi="宋体" w:eastAsia="宋体" w:cs="Times New Roman"/>
          <w:kern w:val="2"/>
          <w:sz w:val="24"/>
          <w:szCs w:val="24"/>
          <w:lang w:val="en-US" w:eastAsia="zh-CN" w:bidi="ar-SA"/>
        </w:rPr>
        <w:t>路堤</w:t>
      </w:r>
      <w:r>
        <w:rPr>
          <w:rFonts w:ascii="Times New Roman" w:hAnsi="Times New Roman" w:eastAsia="宋体" w:cs="Times New Roman"/>
          <w:kern w:val="2"/>
          <w:sz w:val="24"/>
          <w:szCs w:val="24"/>
          <w:lang w:val="en-US" w:eastAsia="zh-CN" w:bidi="ar-SA"/>
        </w:rPr>
        <w:t>或路堑引起的衰减量</w:t>
      </w:r>
      <w:r>
        <w:rPr>
          <w:rFonts w:hint="eastAsia" w:ascii="Times New Roman" w:hAnsi="Times New Roman" w:eastAsia="宋体" w:cs="Times New Roman"/>
          <w:kern w:val="2"/>
          <w:sz w:val="24"/>
          <w:szCs w:val="24"/>
          <w:lang w:val="en-US" w:eastAsia="zh-CN" w:bidi="ar-SA"/>
        </w:rPr>
        <w:t>(</w:t>
      </w:r>
      <w:r>
        <w:rPr>
          <w:rFonts w:ascii="Times New Roman" w:hAnsi="Times New Roman" w:eastAsia="宋体" w:cs="Times New Roman"/>
          <w:kern w:val="2"/>
          <w:position w:val="-14"/>
          <w:sz w:val="24"/>
          <w:szCs w:val="24"/>
          <w:lang w:val="en-US" w:eastAsia="zh-CN" w:bidi="ar-SA"/>
        </w:rPr>
        <w:object>
          <v:shape id="_x0000_i1062" o:spt="75" type="#_x0000_t75" style="height:20.25pt;width:37.5pt;" o:ole="t" filled="f" o:preferrelative="t" stroked="f" coordsize="21600,21600">
            <v:path/>
            <v:fill on="f" focussize="0,0"/>
            <v:stroke on="f" joinstyle="miter"/>
            <v:imagedata r:id="rId254" o:title=""/>
            <o:lock v:ext="edit" aspectratio="t"/>
            <w10:wrap type="none"/>
            <w10:anchorlock/>
          </v:shape>
          <o:OLEObject Type="Embed" ProgID="Equation.DSMT4" ShapeID="_x0000_i1062" DrawAspect="Content" ObjectID="_1468075762" r:id="rId253">
            <o:LockedField>false</o:LockedField>
          </o:OLEObject>
        </w:object>
      </w:r>
      <w:r>
        <w:rPr>
          <w:rFonts w:hint="eastAsia" w:ascii="Times New Roman" w:hAnsi="Times New Roman" w:eastAsia="宋体" w:cs="Times New Roman"/>
          <w:kern w:val="2"/>
          <w:sz w:val="24"/>
          <w:szCs w:val="24"/>
          <w:lang w:val="en-US" w:eastAsia="zh-CN" w:bidi="ar-SA"/>
        </w:rPr>
        <w:t>)</w:t>
      </w:r>
    </w:p>
    <w:p w14:paraId="14D428CF">
      <w:pPr>
        <w:spacing w:line="30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当预测点位于声影区</w:t>
      </w:r>
      <w:r>
        <w:rPr>
          <w:rFonts w:hint="eastAsia" w:ascii="Times New Roman" w:hAnsi="Times New Roman" w:eastAsia="宋体" w:cs="Times New Roman"/>
          <w:sz w:val="24"/>
        </w:rPr>
        <w:t>时，</w:t>
      </w:r>
      <w:r>
        <w:rPr>
          <w:rFonts w:ascii="Times New Roman" w:hAnsi="Times New Roman" w:eastAsia="宋体" w:cs="Times New Roman"/>
          <w:position w:val="-14"/>
          <w:sz w:val="24"/>
        </w:rPr>
        <w:object>
          <v:shape id="_x0000_i1063" o:spt="75" type="#_x0000_t75" style="height:20.25pt;width:37.5pt;" o:ole="t" filled="f" o:preferrelative="t" stroked="f" coordsize="21600,21600">
            <v:path/>
            <v:fill on="f" focussize="0,0"/>
            <v:stroke on="f" joinstyle="miter"/>
            <v:imagedata r:id="rId254" o:title=""/>
            <o:lock v:ext="edit" aspectratio="t"/>
            <w10:wrap type="none"/>
            <w10:anchorlock/>
          </v:shape>
          <o:OLEObject Type="Embed" ProgID="Equation.DSMT4" ShapeID="_x0000_i1063" DrawAspect="Content" ObjectID="_1468075763" r:id="rId255">
            <o:LockedField>false</o:LockedField>
          </o:OLEObject>
        </w:object>
      </w:r>
      <w:r>
        <w:rPr>
          <w:rFonts w:hint="eastAsia" w:ascii="Times New Roman" w:hAnsi="Times New Roman" w:eastAsia="宋体" w:cs="Times New Roman"/>
          <w:sz w:val="24"/>
        </w:rPr>
        <w:t>按下式计算：</w:t>
      </w:r>
    </w:p>
    <w:p w14:paraId="6D973E2A">
      <w:pPr>
        <w:jc w:val="center"/>
        <w:rPr>
          <w:rFonts w:ascii="Times New Roman" w:hAnsi="Times New Roman" w:eastAsia="宋体" w:cs="Times New Roman"/>
        </w:rPr>
      </w:pPr>
      <w:r>
        <w:rPr>
          <w:rFonts w:ascii="Times New Roman" w:hAnsi="Times New Roman" w:eastAsia="宋体" w:cs="Times New Roman"/>
          <w:position w:val="-96"/>
        </w:rPr>
        <w:object>
          <v:shape id="_x0000_i1064" o:spt="75" type="#_x0000_t75" style="height:96.75pt;width:265.5pt;" o:ole="t" filled="f" o:preferrelative="t" stroked="f" coordsize="21600,21600">
            <v:path/>
            <v:fill on="f" focussize="0,0"/>
            <v:stroke on="f" joinstyle="miter"/>
            <v:imagedata r:id="rId257" o:title=""/>
            <o:lock v:ext="edit" aspectratio="t"/>
            <w10:wrap type="none"/>
            <w10:anchorlock/>
          </v:shape>
          <o:OLEObject Type="Embed" ProgID="Equation.DSMT4" ShapeID="_x0000_i1064" DrawAspect="Content" ObjectID="_1468075764" r:id="rId256">
            <o:LockedField>false</o:LockedField>
          </o:OLEObject>
        </w:object>
      </w:r>
    </w:p>
    <w:p w14:paraId="21F8DD64">
      <w:pPr>
        <w:spacing w:line="300"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式中：</w:t>
      </w:r>
      <w:r>
        <w:rPr>
          <w:rFonts w:hint="eastAsia" w:ascii="Times New Roman" w:hAnsi="Times New Roman" w:eastAsia="宋体" w:cs="Times New Roman"/>
          <w:i/>
          <w:iCs/>
          <w:sz w:val="24"/>
        </w:rPr>
        <w:t>N</w:t>
      </w:r>
      <w:r>
        <w:rPr>
          <w:rFonts w:ascii="Times New Roman" w:hAnsi="Times New Roman" w:eastAsia="宋体" w:cs="Times New Roman"/>
          <w:bCs/>
          <w:sz w:val="24"/>
        </w:rPr>
        <w:t>——</w:t>
      </w:r>
      <w:r>
        <w:rPr>
          <w:rFonts w:ascii="Times New Roman" w:hAnsi="Times New Roman" w:eastAsia="宋体" w:cs="Times New Roman"/>
          <w:sz w:val="24"/>
        </w:rPr>
        <w:t>菲涅尔数</w:t>
      </w:r>
      <w:r>
        <w:rPr>
          <w:rFonts w:hint="eastAsia" w:ascii="Times New Roman" w:hAnsi="Times New Roman" w:eastAsia="宋体" w:cs="Times New Roman"/>
          <w:sz w:val="24"/>
        </w:rPr>
        <w:t>，按下式计算：</w:t>
      </w:r>
    </w:p>
    <w:p w14:paraId="111C5D7C">
      <w:pPr>
        <w:spacing w:line="300" w:lineRule="auto"/>
        <w:jc w:val="center"/>
        <w:rPr>
          <w:rFonts w:ascii="Times New Roman" w:hAnsi="Times New Roman" w:eastAsia="宋体" w:cs="Times New Roman"/>
          <w:sz w:val="24"/>
        </w:rPr>
      </w:pPr>
      <w:r>
        <w:rPr>
          <w:rFonts w:ascii="Times New Roman" w:hAnsi="Times New Roman" w:eastAsia="宋体" w:cs="Times New Roman"/>
          <w:sz w:val="24"/>
        </w:rPr>
        <w:object>
          <v:shape id="_x0000_i1065" o:spt="75" type="#_x0000_t75" style="height:33pt;width:39pt;" o:ole="t" filled="f" o:preferrelative="t" stroked="f" coordsize="21600,21600">
            <v:path/>
            <v:fill on="f" focussize="0,0"/>
            <v:stroke on="f" joinstyle="miter"/>
            <v:imagedata r:id="rId259" o:title=""/>
            <o:lock v:ext="edit" aspectratio="t"/>
            <w10:wrap type="none"/>
            <w10:anchorlock/>
          </v:shape>
          <o:OLEObject Type="Embed" ProgID="Equation.3" ShapeID="_x0000_i1065" DrawAspect="Content" ObjectID="_1468075765" r:id="rId258">
            <o:LockedField>false</o:LockedField>
          </o:OLEObject>
        </w:object>
      </w:r>
    </w:p>
    <w:p w14:paraId="55904CE1">
      <w:pPr>
        <w:spacing w:line="30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式中：</w:t>
      </w:r>
      <w:r>
        <w:rPr>
          <w:rFonts w:ascii="Times New Roman" w:hAnsi="Times New Roman" w:eastAsia="宋体" w:cs="Times New Roman"/>
          <w:i/>
          <w:iCs/>
          <w:sz w:val="24"/>
        </w:rPr>
        <w:t>δ</w:t>
      </w:r>
      <w:r>
        <w:rPr>
          <w:rFonts w:ascii="Times New Roman" w:hAnsi="Times New Roman" w:eastAsia="宋体" w:cs="Times New Roman"/>
          <w:bCs/>
          <w:sz w:val="24"/>
        </w:rPr>
        <w:t>——</w:t>
      </w:r>
      <w:r>
        <w:rPr>
          <w:rFonts w:hint="eastAsia" w:ascii="Times New Roman" w:hAnsi="Times New Roman" w:eastAsia="宋体" w:cs="Times New Roman"/>
          <w:sz w:val="24"/>
        </w:rPr>
        <w:t>声程差，</w:t>
      </w:r>
      <w:r>
        <w:rPr>
          <w:rFonts w:ascii="Times New Roman" w:hAnsi="Times New Roman" w:eastAsia="宋体" w:cs="Times New Roman"/>
          <w:bCs/>
          <w:sz w:val="24"/>
        </w:rPr>
        <w:t>m</w:t>
      </w:r>
      <w:r>
        <w:rPr>
          <w:rFonts w:hint="eastAsia" w:ascii="Times New Roman" w:hAnsi="Times New Roman" w:eastAsia="宋体" w:cs="Times New Roman"/>
          <w:bCs/>
          <w:sz w:val="24"/>
        </w:rPr>
        <w:t>，按图</w:t>
      </w:r>
      <w:r>
        <w:rPr>
          <w:rFonts w:ascii="Times New Roman" w:hAnsi="Times New Roman" w:eastAsia="宋体" w:cs="Times New Roman"/>
          <w:bCs/>
          <w:sz w:val="24"/>
        </w:rPr>
        <w:t>4.2-4</w:t>
      </w:r>
      <w:r>
        <w:rPr>
          <w:rFonts w:hint="eastAsia" w:ascii="Times New Roman" w:hAnsi="Times New Roman" w:eastAsia="宋体" w:cs="Times New Roman"/>
          <w:bCs/>
          <w:sz w:val="24"/>
        </w:rPr>
        <w:t>计算，</w:t>
      </w:r>
      <w:r>
        <w:rPr>
          <w:rFonts w:ascii="Times New Roman" w:hAnsi="Times New Roman" w:eastAsia="宋体" w:cs="Times New Roman"/>
          <w:i/>
          <w:iCs/>
          <w:sz w:val="24"/>
        </w:rPr>
        <w:t>δ</w:t>
      </w:r>
      <w:r>
        <w:rPr>
          <w:rFonts w:ascii="Times New Roman" w:hAnsi="Times New Roman" w:eastAsia="宋体" w:cs="Times New Roman"/>
          <w:sz w:val="24"/>
        </w:rPr>
        <w:t>＝</w:t>
      </w:r>
      <w:r>
        <w:rPr>
          <w:rFonts w:ascii="Times New Roman" w:hAnsi="Times New Roman" w:eastAsia="宋体" w:cs="Times New Roman"/>
          <w:i/>
          <w:iCs/>
          <w:sz w:val="24"/>
        </w:rPr>
        <w:t>a</w:t>
      </w:r>
      <w:r>
        <w:rPr>
          <w:rFonts w:ascii="Times New Roman" w:hAnsi="Times New Roman" w:eastAsia="宋体" w:cs="Times New Roman"/>
          <w:sz w:val="24"/>
        </w:rPr>
        <w:t>＋</w:t>
      </w:r>
      <w:r>
        <w:rPr>
          <w:rFonts w:ascii="Times New Roman" w:hAnsi="Times New Roman" w:eastAsia="宋体" w:cs="Times New Roman"/>
          <w:i/>
          <w:iCs/>
          <w:sz w:val="24"/>
        </w:rPr>
        <w:t>b</w:t>
      </w:r>
      <w:r>
        <w:rPr>
          <w:rFonts w:ascii="Times New Roman" w:hAnsi="Times New Roman" w:eastAsia="宋体" w:cs="Times New Roman"/>
          <w:sz w:val="24"/>
        </w:rPr>
        <w:t>－</w:t>
      </w:r>
      <w:r>
        <w:rPr>
          <w:rFonts w:ascii="Times New Roman" w:hAnsi="Times New Roman" w:eastAsia="宋体" w:cs="Times New Roman"/>
          <w:i/>
          <w:iCs/>
          <w:sz w:val="24"/>
        </w:rPr>
        <w:t>c</w:t>
      </w:r>
      <w:r>
        <w:rPr>
          <w:rFonts w:hint="eastAsia" w:ascii="Times New Roman" w:hAnsi="Times New Roman" w:eastAsia="宋体" w:cs="Times New Roman"/>
          <w:bCs/>
          <w:sz w:val="24"/>
        </w:rPr>
        <w:t>。</w:t>
      </w:r>
    </w:p>
    <w:p w14:paraId="1F025FA6">
      <w:pPr>
        <w:spacing w:line="300" w:lineRule="auto"/>
        <w:ind w:firstLine="1200" w:firstLineChars="500"/>
        <w:rPr>
          <w:rFonts w:ascii="Times New Roman" w:hAnsi="Times New Roman" w:eastAsia="宋体" w:cs="Times New Roman"/>
          <w:sz w:val="24"/>
        </w:rPr>
      </w:pPr>
      <w:r>
        <w:rPr>
          <w:rFonts w:ascii="Times New Roman" w:hAnsi="Times New Roman" w:eastAsia="宋体" w:cs="Times New Roman"/>
          <w:sz w:val="24"/>
        </w:rPr>
        <w:t>λ——</w:t>
      </w:r>
      <w:r>
        <w:rPr>
          <w:rFonts w:hint="eastAsia" w:ascii="Times New Roman" w:hAnsi="Times New Roman" w:eastAsia="宋体" w:cs="Times New Roman"/>
          <w:sz w:val="24"/>
        </w:rPr>
        <w:t>声波波长，m。</w:t>
      </w:r>
    </w:p>
    <w:p w14:paraId="56C23255">
      <w:pPr>
        <w:jc w:val="center"/>
        <w:rPr>
          <w:rFonts w:ascii="Times New Roman" w:hAnsi="Times New Roman" w:eastAsia="宋体" w:cs="Times New Roman"/>
        </w:rPr>
      </w:pPr>
      <w:r>
        <w:rPr>
          <w:rFonts w:ascii="Times New Roman" w:hAnsi="Times New Roman" w:eastAsia="宋体" w:cs="Times New Roman"/>
        </w:rPr>
        <w:pict>
          <v:shape id="文本框 24" o:spid="_x0000_s1042" o:spt="202" type="#_x0000_t202" style="position:absolute;left:0pt;margin-left:71.95pt;margin-top:117.95pt;height:42.2pt;width:114.2pt;z-index:251673600;mso-width-relative:page;mso-height-relative:page;"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">
            <v:path arrowok="t"/>
            <v:fill focussize="0,0"/>
            <v:stroke on="f" joinstyle="miter"/>
            <v:imagedata o:title=""/>
            <o:lock v:ext="edit"/>
            <v:textbox style="mso-fit-shape-to-text:t;">
              <w:txbxContent>
                <w:p w14:paraId="17A16ECF">
                  <w:pPr>
                    <w:rPr>
                      <w:rFonts w:ascii="Times New Roman" w:hAnsi="Times New Roman" w:eastAsia="宋体" w:cs="Times New Roman"/>
                      <w:sz w:val="18"/>
                      <w:szCs w:val="18"/>
                    </w:rPr>
                  </w:pPr>
                  <w:r>
                    <w:rPr>
                      <w:rFonts w:ascii="Times New Roman" w:hAnsi="Times New Roman" w:eastAsia="宋体" w:cs="Times New Roman"/>
                      <w:sz w:val="18"/>
                      <w:szCs w:val="18"/>
                    </w:rPr>
                    <w:t>注：声源点离路面1.0m</w:t>
                  </w:r>
                </w:p>
                <w:p w14:paraId="28F7C549">
                  <w:pPr>
                    <w:ind w:firstLine="360" w:firstLineChars="200"/>
                    <w:rPr>
                      <w:rFonts w:ascii="Times New Roman" w:hAnsi="Times New Roman" w:eastAsia="宋体" w:cs="Times New Roman"/>
                      <w:sz w:val="18"/>
                      <w:szCs w:val="18"/>
                    </w:rPr>
                  </w:pPr>
                  <w:r>
                    <w:rPr>
                      <w:rFonts w:ascii="Times New Roman" w:hAnsi="Times New Roman" w:eastAsia="宋体" w:cs="Times New Roman"/>
                      <w:sz w:val="18"/>
                      <w:szCs w:val="18"/>
                    </w:rPr>
                    <w:t>接受点离地面1.2 m</w:t>
                  </w:r>
                </w:p>
                <w:p w14:paraId="5E785FEC">
                  <w:pPr>
                    <w:ind w:firstLine="360" w:firstLineChars="200"/>
                    <w:rPr>
                      <w:rFonts w:ascii="Times New Roman" w:hAnsi="Times New Roman" w:eastAsia="宋体" w:cs="Times New Roman"/>
                      <w:sz w:val="18"/>
                      <w:szCs w:val="18"/>
                    </w:rPr>
                  </w:pPr>
                  <w:r>
                    <w:rPr>
                      <w:rFonts w:ascii="Times New Roman" w:hAnsi="Times New Roman" w:eastAsia="宋体" w:cs="Times New Roman"/>
                      <w:sz w:val="18"/>
                      <w:szCs w:val="18"/>
                    </w:rPr>
                    <w:t>声源点在公路中央</w:t>
                  </w:r>
                </w:p>
              </w:txbxContent>
            </v:textbox>
          </v:shape>
        </w:pict>
      </w:r>
      <w:r>
        <w:rPr>
          <w:rFonts w:ascii="Times New Roman" w:hAnsi="Times New Roman" w:eastAsia="宋体" w:cs="Times New Roman"/>
        </w:rPr>
        <w:pict>
          <v:shape id="文本框 26" o:spid="_x0000_s1043" o:spt="202" type="#_x0000_t202" style="position:absolute;left:0pt;margin-left:92.15pt;margin-top:85.65pt;height:20.75pt;width:47.55pt;z-index:251676672;mso-width-relative:page;mso-height-relative:page;"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">
            <v:path arrowok="t"/>
            <v:fill focussize="0,0"/>
            <v:stroke on="f" joinstyle="miter"/>
            <v:imagedata o:title=""/>
            <o:lock v:ext="edit"/>
            <v:textbox>
              <w:txbxContent>
                <w:p w14:paraId="2B01B000">
                  <w:pPr>
                    <w:rPr>
                      <w:rFonts w:ascii="宋体" w:hAnsi="宋体" w:eastAsia="宋体" w:cs="Times New Roman"/>
                      <w:sz w:val="18"/>
                      <w:szCs w:val="18"/>
                    </w:rPr>
                  </w:pPr>
                  <w:r>
                    <w:rPr>
                      <w:rFonts w:hint="eastAsia" w:ascii="宋体" w:hAnsi="宋体" w:eastAsia="宋体" w:cs="Times New Roman"/>
                      <w:sz w:val="18"/>
                      <w:szCs w:val="18"/>
                    </w:rPr>
                    <w:t>路基</w:t>
                  </w:r>
                </w:p>
              </w:txbxContent>
            </v:textbox>
          </v:shape>
        </w:pict>
      </w:r>
      <w:r>
        <w:rPr>
          <w:rFonts w:ascii="Times New Roman" w:hAnsi="Times New Roman" w:eastAsia="宋体" w:cs="Times New Roman"/>
        </w:rPr>
        <w:drawing>
          <wp:inline distT="0" distB="0" distL="0" distR="0">
            <wp:extent cx="5221605" cy="2781300"/>
            <wp:effectExtent l="0" t="0" r="17145" b="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260" cstate="print">
                      <a:extLst>
                        <a:ext uri="{28A0092B-C50C-407E-A947-70E740481C1C}">
                          <a14:useLocalDpi xmlns:a14="http://schemas.microsoft.com/office/drawing/2010/main" val="0"/>
                        </a:ext>
                      </a:extLst>
                    </a:blip>
                    <a:stretch>
                      <a:fillRect/>
                    </a:stretch>
                  </pic:blipFill>
                  <pic:spPr>
                    <a:xfrm>
                      <a:off x="0" y="0"/>
                      <a:ext cx="5272887" cy="2808483"/>
                    </a:xfrm>
                    <a:prstGeom prst="rect">
                      <a:avLst/>
                    </a:prstGeom>
                  </pic:spPr>
                </pic:pic>
              </a:graphicData>
            </a:graphic>
          </wp:inline>
        </w:drawing>
      </w:r>
    </w:p>
    <w:p w14:paraId="1D32A983">
      <w:pPr>
        <w:adjustRightInd w:val="0"/>
        <w:spacing w:beforeLines="50"/>
        <w:jc w:val="center"/>
        <w:textAlignment w:val="baseline"/>
        <w:rPr>
          <w:rFonts w:ascii="Times New Roman" w:hAnsi="Times New Roman" w:eastAsia="宋体" w:cs="Times New Roman"/>
          <w:b/>
        </w:rPr>
      </w:pPr>
      <w:r>
        <w:rPr>
          <w:rFonts w:hint="eastAsia" w:ascii="Times New Roman" w:hAnsi="Times New Roman" w:eastAsia="宋体" w:cs="Times New Roman"/>
          <w:b/>
        </w:rPr>
        <w:t>图</w:t>
      </w:r>
      <w:r>
        <w:rPr>
          <w:rFonts w:ascii="Times New Roman" w:hAnsi="Times New Roman" w:eastAsia="宋体" w:cs="Times New Roman"/>
          <w:b/>
        </w:rPr>
        <w:t>4.2-4</w:t>
      </w:r>
      <w:r>
        <w:rPr>
          <w:rFonts w:hint="eastAsia" w:ascii="Times New Roman" w:hAnsi="Times New Roman" w:eastAsia="宋体" w:cs="Times New Roman"/>
          <w:b/>
        </w:rPr>
        <w:t xml:space="preserve">  声程差</w:t>
      </w:r>
      <w:r>
        <w:rPr>
          <w:rFonts w:ascii="Times New Roman" w:hAnsi="Times New Roman" w:eastAsia="宋体" w:cs="Times New Roman"/>
          <w:b/>
          <w:smallCaps/>
        </w:rPr>
        <w:t>δ</w:t>
      </w:r>
      <w:r>
        <w:rPr>
          <w:rFonts w:hint="eastAsia" w:ascii="Times New Roman" w:hAnsi="Times New Roman" w:eastAsia="宋体" w:cs="Times New Roman"/>
          <w:b/>
        </w:rPr>
        <w:t>计算示意图</w:t>
      </w:r>
    </w:p>
    <w:p w14:paraId="0E0D5B54">
      <w:pPr>
        <w:spacing w:beforeLines="50" w:line="30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当预测点处于</w:t>
      </w:r>
      <w:r>
        <w:rPr>
          <w:rFonts w:hint="eastAsia" w:ascii="Times New Roman" w:hAnsi="Times New Roman" w:eastAsia="宋体" w:cs="Times New Roman"/>
          <w:sz w:val="24"/>
        </w:rPr>
        <w:t>声影区以外区域（</w:t>
      </w:r>
      <w:r>
        <w:rPr>
          <w:rFonts w:ascii="Times New Roman" w:hAnsi="Times New Roman" w:eastAsia="宋体" w:cs="Times New Roman"/>
          <w:sz w:val="24"/>
        </w:rPr>
        <w:t>声照区</w:t>
      </w:r>
      <w:r>
        <w:rPr>
          <w:rFonts w:hint="eastAsia" w:ascii="Times New Roman" w:hAnsi="Times New Roman" w:eastAsia="宋体" w:cs="Times New Roman"/>
          <w:sz w:val="24"/>
        </w:rPr>
        <w:t>）时，</w:t>
      </w:r>
      <w:r>
        <w:rPr>
          <w:rFonts w:ascii="Times New Roman" w:hAnsi="Times New Roman" w:eastAsia="宋体" w:cs="Times New Roman"/>
          <w:sz w:val="24"/>
        </w:rPr>
        <w:object>
          <v:shape id="_x0000_i1066" o:spt="75" type="#_x0000_t75" style="height:20.25pt;width:37.5pt;" o:ole="t" filled="f" o:preferrelative="t" stroked="f" coordsize="21600,21600">
            <v:path/>
            <v:fill on="f" focussize="0,0"/>
            <v:stroke on="f" joinstyle="miter"/>
            <v:imagedata r:id="rId254" o:title=""/>
            <o:lock v:ext="edit" aspectratio="t"/>
            <w10:wrap type="none"/>
            <w10:anchorlock/>
          </v:shape>
          <o:OLEObject Type="Embed" ProgID="Equation.DSMT4" ShapeID="_x0000_i1066" DrawAspect="Content" ObjectID="_1468075766" r:id="rId261">
            <o:LockedField>false</o:LockedField>
          </o:OLEObject>
        </w:object>
      </w:r>
      <w:r>
        <w:rPr>
          <w:rFonts w:ascii="Times New Roman" w:hAnsi="Times New Roman" w:eastAsia="宋体" w:cs="Times New Roman"/>
          <w:sz w:val="24"/>
        </w:rPr>
        <w:t>＝0</w:t>
      </w:r>
    </w:p>
    <w:p w14:paraId="6645E31D">
      <w:pPr>
        <w:spacing w:line="300" w:lineRule="auto"/>
        <w:ind w:firstLine="480" w:firstLineChars="200"/>
        <w:rPr>
          <w:rFonts w:ascii="Times New Roman" w:hAnsi="Times New Roman" w:eastAsia="宋体" w:cs="Times New Roman"/>
          <w:sz w:val="24"/>
        </w:rPr>
      </w:pPr>
      <w:r>
        <w:rPr>
          <w:rFonts w:ascii="Times New Roman" w:hAnsi="Times New Roman" w:cs="Times New Roman" w:eastAsiaTheme="minorEastAsia"/>
          <w:sz w:val="24"/>
        </w:rPr>
        <w:t>(</w:t>
      </w:r>
      <w:r>
        <w:rPr>
          <w:rFonts w:hint="eastAsia" w:ascii="Times New Roman" w:hAnsi="Times New Roman" w:cs="Times New Roman" w:eastAsiaTheme="minorEastAsia"/>
          <w:sz w:val="24"/>
        </w:rPr>
        <w:t>6</w:t>
      </w:r>
      <w:r>
        <w:rPr>
          <w:rFonts w:ascii="Times New Roman" w:hAnsi="Times New Roman" w:cs="Times New Roman" w:eastAsiaTheme="minorEastAsia"/>
          <w:sz w:val="24"/>
        </w:rPr>
        <w:t>)</w:t>
      </w:r>
      <w:r>
        <w:rPr>
          <w:rFonts w:hint="eastAsia" w:ascii="Times New Roman" w:hAnsi="Times New Roman" w:cs="Times New Roman" w:eastAsiaTheme="minorEastAsia"/>
          <w:sz w:val="24"/>
        </w:rPr>
        <w:t xml:space="preserve"> </w:t>
      </w:r>
      <w:r>
        <w:rPr>
          <w:rFonts w:hint="eastAsia" w:ascii="Times New Roman" w:hAnsi="Times New Roman" w:eastAsia="宋体" w:cs="Times New Roman"/>
          <w:sz w:val="24"/>
        </w:rPr>
        <w:t>绿化林带引起的衰减量(Afol)</w:t>
      </w:r>
    </w:p>
    <w:p w14:paraId="3CBBFA45">
      <w:pPr>
        <w:spacing w:line="300"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绿化林带引起的衰减量</w:t>
      </w:r>
      <w:r>
        <w:rPr>
          <w:rFonts w:ascii="Times New Roman" w:hAnsi="Times New Roman" w:eastAsia="宋体" w:cs="Times New Roman"/>
          <w:sz w:val="24"/>
        </w:rPr>
        <w:t>用表4.2-4估算</w:t>
      </w:r>
      <w:r>
        <w:rPr>
          <w:rFonts w:hint="eastAsia" w:ascii="Times New Roman" w:hAnsi="Times New Roman" w:eastAsia="宋体" w:cs="Times New Roman"/>
          <w:sz w:val="24"/>
        </w:rPr>
        <w:t>。</w:t>
      </w:r>
    </w:p>
    <w:p w14:paraId="051BEBB8">
      <w:pPr>
        <w:spacing w:beforeLines="50"/>
        <w:jc w:val="center"/>
        <w:rPr>
          <w:rFonts w:ascii="Times New Roman" w:hAnsi="Times New Roman" w:eastAsia="宋体" w:cs="Times New Roman"/>
          <w:b/>
        </w:rPr>
      </w:pPr>
      <w:r>
        <w:rPr>
          <w:rFonts w:ascii="Times New Roman" w:hAnsi="Times New Roman" w:eastAsia="宋体" w:cs="Times New Roman"/>
          <w:b/>
        </w:rPr>
        <w:t>表4.2-4  倍频带噪声通过密叶传播时产生的衰减</w:t>
      </w:r>
    </w:p>
    <w:tbl>
      <w:tblPr>
        <w:tblStyle w:val="22"/>
        <w:tblW w:w="5000" w:type="pct"/>
        <w:tblInd w:w="0" w:type="dxa"/>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1850"/>
        <w:gridCol w:w="1067"/>
        <w:gridCol w:w="681"/>
        <w:gridCol w:w="683"/>
        <w:gridCol w:w="681"/>
        <w:gridCol w:w="683"/>
        <w:gridCol w:w="681"/>
        <w:gridCol w:w="683"/>
        <w:gridCol w:w="682"/>
        <w:gridCol w:w="681"/>
      </w:tblGrid>
      <w:tr w14:paraId="5080B474">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c>
          <w:tcPr>
            <w:tcW w:w="1105" w:type="pct"/>
            <w:vMerge w:val="restart"/>
            <w:vAlign w:val="center"/>
          </w:tcPr>
          <w:p w14:paraId="57EAD166">
            <w:pPr>
              <w:snapToGrid w:val="0"/>
              <w:jc w:val="center"/>
              <w:rPr>
                <w:rFonts w:ascii="Times New Roman" w:hAnsi="Times New Roman" w:eastAsia="宋体" w:cs="Times New Roman"/>
                <w:b/>
                <w:bCs/>
              </w:rPr>
            </w:pPr>
            <w:r>
              <w:rPr>
                <w:rFonts w:ascii="Times New Roman" w:hAnsi="Times New Roman" w:eastAsia="宋体" w:cs="Times New Roman"/>
                <w:b/>
                <w:bCs/>
              </w:rPr>
              <w:t>项目</w:t>
            </w:r>
          </w:p>
        </w:tc>
        <w:tc>
          <w:tcPr>
            <w:tcW w:w="637" w:type="pct"/>
            <w:vMerge w:val="restart"/>
            <w:vAlign w:val="center"/>
          </w:tcPr>
          <w:p w14:paraId="301C81CC">
            <w:pPr>
              <w:snapToGrid w:val="0"/>
              <w:jc w:val="center"/>
              <w:rPr>
                <w:rFonts w:ascii="Times New Roman" w:hAnsi="Times New Roman" w:eastAsia="宋体" w:cs="Times New Roman"/>
                <w:b/>
                <w:bCs/>
              </w:rPr>
            </w:pPr>
            <w:r>
              <w:rPr>
                <w:rFonts w:ascii="Times New Roman" w:hAnsi="Times New Roman" w:eastAsia="宋体" w:cs="Times New Roman"/>
                <w:b/>
                <w:bCs/>
              </w:rPr>
              <w:t>传播距离</w:t>
            </w:r>
          </w:p>
          <w:p w14:paraId="36A1A659">
            <w:pPr>
              <w:snapToGrid w:val="0"/>
              <w:jc w:val="center"/>
              <w:rPr>
                <w:rFonts w:ascii="Times New Roman" w:hAnsi="Times New Roman" w:eastAsia="宋体" w:cs="Times New Roman"/>
                <w:b/>
                <w:bCs/>
              </w:rPr>
            </w:pPr>
            <w:r>
              <w:rPr>
                <w:rFonts w:ascii="Times New Roman" w:hAnsi="Times New Roman" w:eastAsia="宋体" w:cs="Times New Roman"/>
                <w:b/>
                <w:bCs/>
              </w:rPr>
              <w:t>d</w:t>
            </w:r>
            <w:r>
              <w:rPr>
                <w:rFonts w:ascii="Times New Roman" w:hAnsi="Times New Roman" w:eastAsia="宋体" w:cs="Times New Roman"/>
                <w:b/>
                <w:bCs/>
                <w:vertAlign w:val="subscript"/>
              </w:rPr>
              <w:t>f</w:t>
            </w:r>
            <w:r>
              <w:rPr>
                <w:rFonts w:ascii="Times New Roman" w:hAnsi="Times New Roman" w:eastAsia="宋体" w:cs="Times New Roman"/>
                <w:b/>
                <w:bCs/>
              </w:rPr>
              <w:t>/m</w:t>
            </w:r>
          </w:p>
        </w:tc>
        <w:tc>
          <w:tcPr>
            <w:tcW w:w="3258" w:type="pct"/>
            <w:gridSpan w:val="8"/>
            <w:vAlign w:val="center"/>
          </w:tcPr>
          <w:p w14:paraId="50969845">
            <w:pPr>
              <w:snapToGrid w:val="0"/>
              <w:jc w:val="center"/>
              <w:rPr>
                <w:rFonts w:ascii="Times New Roman" w:hAnsi="Times New Roman" w:eastAsia="宋体" w:cs="Times New Roman"/>
                <w:b/>
                <w:bCs/>
              </w:rPr>
            </w:pPr>
            <w:r>
              <w:rPr>
                <w:rFonts w:ascii="Times New Roman" w:hAnsi="Times New Roman" w:eastAsia="宋体" w:cs="Times New Roman"/>
                <w:b/>
                <w:bCs/>
              </w:rPr>
              <w:t>倍频带中心频率/HZ</w:t>
            </w:r>
          </w:p>
        </w:tc>
      </w:tr>
      <w:tr w14:paraId="50202D3E">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c>
          <w:tcPr>
            <w:tcW w:w="1105" w:type="pct"/>
            <w:vMerge w:val="continue"/>
            <w:vAlign w:val="center"/>
          </w:tcPr>
          <w:p w14:paraId="60A9C0DA">
            <w:pPr>
              <w:snapToGrid w:val="0"/>
              <w:jc w:val="center"/>
              <w:rPr>
                <w:rFonts w:ascii="Times New Roman" w:hAnsi="Times New Roman" w:eastAsia="宋体" w:cs="Times New Roman"/>
                <w:b/>
                <w:bCs/>
              </w:rPr>
            </w:pPr>
          </w:p>
        </w:tc>
        <w:tc>
          <w:tcPr>
            <w:tcW w:w="637" w:type="pct"/>
            <w:vMerge w:val="continue"/>
            <w:vAlign w:val="center"/>
          </w:tcPr>
          <w:p w14:paraId="1BFFC878">
            <w:pPr>
              <w:snapToGrid w:val="0"/>
              <w:jc w:val="center"/>
              <w:rPr>
                <w:rFonts w:ascii="Times New Roman" w:hAnsi="Times New Roman" w:eastAsia="宋体" w:cs="Times New Roman"/>
                <w:b/>
                <w:bCs/>
              </w:rPr>
            </w:pPr>
          </w:p>
        </w:tc>
        <w:tc>
          <w:tcPr>
            <w:tcW w:w="407" w:type="pct"/>
            <w:vAlign w:val="center"/>
          </w:tcPr>
          <w:p w14:paraId="76B40F0B">
            <w:pPr>
              <w:snapToGrid w:val="0"/>
              <w:jc w:val="center"/>
              <w:rPr>
                <w:rFonts w:ascii="Times New Roman" w:hAnsi="Times New Roman" w:eastAsia="宋体" w:cs="Times New Roman"/>
                <w:b/>
                <w:bCs/>
              </w:rPr>
            </w:pPr>
            <w:r>
              <w:rPr>
                <w:rFonts w:ascii="Times New Roman" w:hAnsi="Times New Roman" w:eastAsia="宋体" w:cs="Times New Roman"/>
                <w:b/>
                <w:bCs/>
              </w:rPr>
              <w:t>63</w:t>
            </w:r>
          </w:p>
        </w:tc>
        <w:tc>
          <w:tcPr>
            <w:tcW w:w="408" w:type="pct"/>
            <w:vAlign w:val="center"/>
          </w:tcPr>
          <w:p w14:paraId="04E25616">
            <w:pPr>
              <w:snapToGrid w:val="0"/>
              <w:jc w:val="center"/>
              <w:rPr>
                <w:rFonts w:ascii="Times New Roman" w:hAnsi="Times New Roman" w:eastAsia="宋体" w:cs="Times New Roman"/>
                <w:b/>
                <w:bCs/>
              </w:rPr>
            </w:pPr>
            <w:r>
              <w:rPr>
                <w:rFonts w:ascii="Times New Roman" w:hAnsi="Times New Roman" w:eastAsia="宋体" w:cs="Times New Roman"/>
                <w:b/>
                <w:bCs/>
              </w:rPr>
              <w:t>125</w:t>
            </w:r>
          </w:p>
        </w:tc>
        <w:tc>
          <w:tcPr>
            <w:tcW w:w="407" w:type="pct"/>
            <w:vAlign w:val="center"/>
          </w:tcPr>
          <w:p w14:paraId="3EDF8811">
            <w:pPr>
              <w:snapToGrid w:val="0"/>
              <w:jc w:val="center"/>
              <w:rPr>
                <w:rFonts w:ascii="Times New Roman" w:hAnsi="Times New Roman" w:eastAsia="宋体" w:cs="Times New Roman"/>
                <w:b/>
                <w:bCs/>
              </w:rPr>
            </w:pPr>
            <w:r>
              <w:rPr>
                <w:rFonts w:ascii="Times New Roman" w:hAnsi="Times New Roman" w:eastAsia="宋体" w:cs="Times New Roman"/>
                <w:b/>
                <w:bCs/>
              </w:rPr>
              <w:t>250</w:t>
            </w:r>
          </w:p>
        </w:tc>
        <w:tc>
          <w:tcPr>
            <w:tcW w:w="408" w:type="pct"/>
            <w:vAlign w:val="center"/>
          </w:tcPr>
          <w:p w14:paraId="04A864A4">
            <w:pPr>
              <w:snapToGrid w:val="0"/>
              <w:jc w:val="center"/>
              <w:rPr>
                <w:rFonts w:ascii="Times New Roman" w:hAnsi="Times New Roman" w:eastAsia="宋体" w:cs="Times New Roman"/>
                <w:b/>
                <w:bCs/>
              </w:rPr>
            </w:pPr>
            <w:r>
              <w:rPr>
                <w:rFonts w:ascii="Times New Roman" w:hAnsi="Times New Roman" w:eastAsia="宋体" w:cs="Times New Roman"/>
                <w:b/>
                <w:bCs/>
              </w:rPr>
              <w:t>500</w:t>
            </w:r>
          </w:p>
        </w:tc>
        <w:tc>
          <w:tcPr>
            <w:tcW w:w="407" w:type="pct"/>
            <w:vAlign w:val="center"/>
          </w:tcPr>
          <w:p w14:paraId="123161C7">
            <w:pPr>
              <w:snapToGrid w:val="0"/>
              <w:jc w:val="center"/>
              <w:rPr>
                <w:rFonts w:ascii="Times New Roman" w:hAnsi="Times New Roman" w:eastAsia="宋体" w:cs="Times New Roman"/>
                <w:b/>
                <w:bCs/>
              </w:rPr>
            </w:pPr>
            <w:r>
              <w:rPr>
                <w:rFonts w:ascii="Times New Roman" w:hAnsi="Times New Roman" w:eastAsia="宋体" w:cs="Times New Roman"/>
                <w:b/>
                <w:bCs/>
              </w:rPr>
              <w:t>1000</w:t>
            </w:r>
          </w:p>
        </w:tc>
        <w:tc>
          <w:tcPr>
            <w:tcW w:w="408" w:type="pct"/>
            <w:vAlign w:val="center"/>
          </w:tcPr>
          <w:p w14:paraId="52EEF660">
            <w:pPr>
              <w:snapToGrid w:val="0"/>
              <w:jc w:val="center"/>
              <w:rPr>
                <w:rFonts w:ascii="Times New Roman" w:hAnsi="Times New Roman" w:eastAsia="宋体" w:cs="Times New Roman"/>
                <w:b/>
                <w:bCs/>
              </w:rPr>
            </w:pPr>
            <w:r>
              <w:rPr>
                <w:rFonts w:ascii="Times New Roman" w:hAnsi="Times New Roman" w:eastAsia="宋体" w:cs="Times New Roman"/>
                <w:b/>
                <w:bCs/>
              </w:rPr>
              <w:t>2000</w:t>
            </w:r>
          </w:p>
        </w:tc>
        <w:tc>
          <w:tcPr>
            <w:tcW w:w="407" w:type="pct"/>
            <w:vAlign w:val="center"/>
          </w:tcPr>
          <w:p w14:paraId="7A1DC5E7">
            <w:pPr>
              <w:snapToGrid w:val="0"/>
              <w:jc w:val="center"/>
              <w:rPr>
                <w:rFonts w:ascii="Times New Roman" w:hAnsi="Times New Roman" w:eastAsia="宋体" w:cs="Times New Roman"/>
                <w:b/>
                <w:bCs/>
              </w:rPr>
            </w:pPr>
            <w:r>
              <w:rPr>
                <w:rFonts w:ascii="Times New Roman" w:hAnsi="Times New Roman" w:eastAsia="宋体" w:cs="Times New Roman"/>
                <w:b/>
                <w:bCs/>
              </w:rPr>
              <w:t>4000</w:t>
            </w:r>
          </w:p>
        </w:tc>
        <w:tc>
          <w:tcPr>
            <w:tcW w:w="408" w:type="pct"/>
            <w:vAlign w:val="center"/>
          </w:tcPr>
          <w:p w14:paraId="6A9A47C7">
            <w:pPr>
              <w:snapToGrid w:val="0"/>
              <w:jc w:val="center"/>
              <w:rPr>
                <w:rFonts w:ascii="Times New Roman" w:hAnsi="Times New Roman" w:eastAsia="宋体" w:cs="Times New Roman"/>
                <w:b/>
                <w:bCs/>
              </w:rPr>
            </w:pPr>
            <w:r>
              <w:rPr>
                <w:rFonts w:ascii="Times New Roman" w:hAnsi="Times New Roman" w:eastAsia="宋体" w:cs="Times New Roman"/>
                <w:b/>
                <w:bCs/>
              </w:rPr>
              <w:t>8000</w:t>
            </w:r>
          </w:p>
        </w:tc>
      </w:tr>
      <w:tr w14:paraId="22472142">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c>
          <w:tcPr>
            <w:tcW w:w="1105" w:type="pct"/>
            <w:vAlign w:val="center"/>
          </w:tcPr>
          <w:p w14:paraId="1C0745E3">
            <w:pPr>
              <w:snapToGrid w:val="0"/>
              <w:jc w:val="center"/>
              <w:rPr>
                <w:rFonts w:ascii="Times New Roman" w:hAnsi="Times New Roman" w:eastAsia="宋体" w:cs="Times New Roman"/>
                <w:bCs/>
              </w:rPr>
            </w:pPr>
            <w:r>
              <w:rPr>
                <w:rFonts w:ascii="Times New Roman" w:hAnsi="Times New Roman" w:eastAsia="宋体" w:cs="Times New Roman"/>
                <w:bCs/>
              </w:rPr>
              <w:t>衰减/dB</w:t>
            </w:r>
          </w:p>
        </w:tc>
        <w:tc>
          <w:tcPr>
            <w:tcW w:w="637" w:type="pct"/>
            <w:vAlign w:val="center"/>
          </w:tcPr>
          <w:p w14:paraId="4C706054">
            <w:pPr>
              <w:snapToGrid w:val="0"/>
              <w:jc w:val="center"/>
              <w:rPr>
                <w:rFonts w:ascii="Times New Roman" w:hAnsi="Times New Roman" w:eastAsia="宋体" w:cs="Times New Roman"/>
                <w:bCs/>
              </w:rPr>
            </w:pPr>
            <w:r>
              <w:rPr>
                <w:rFonts w:ascii="Times New Roman" w:hAnsi="Times New Roman" w:eastAsia="宋体" w:cs="Times New Roman"/>
                <w:bCs/>
              </w:rPr>
              <w:t>10≤d</w:t>
            </w:r>
            <w:r>
              <w:rPr>
                <w:rFonts w:ascii="Times New Roman" w:hAnsi="Times New Roman" w:eastAsia="宋体" w:cs="Times New Roman"/>
                <w:bCs/>
                <w:vertAlign w:val="subscript"/>
              </w:rPr>
              <w:t>f</w:t>
            </w:r>
            <w:r>
              <w:rPr>
                <w:rFonts w:ascii="Times New Roman" w:hAnsi="Times New Roman" w:eastAsia="宋体" w:cs="Times New Roman"/>
                <w:bCs/>
              </w:rPr>
              <w:t>&lt;20</w:t>
            </w:r>
          </w:p>
        </w:tc>
        <w:tc>
          <w:tcPr>
            <w:tcW w:w="407" w:type="pct"/>
            <w:vAlign w:val="center"/>
          </w:tcPr>
          <w:p w14:paraId="45A48AA6">
            <w:pPr>
              <w:snapToGrid w:val="0"/>
              <w:jc w:val="center"/>
              <w:rPr>
                <w:rFonts w:ascii="Times New Roman" w:hAnsi="Times New Roman" w:eastAsia="宋体" w:cs="Times New Roman"/>
                <w:bCs/>
              </w:rPr>
            </w:pPr>
            <w:r>
              <w:rPr>
                <w:rFonts w:ascii="Times New Roman" w:hAnsi="Times New Roman" w:eastAsia="宋体" w:cs="Times New Roman"/>
                <w:bCs/>
              </w:rPr>
              <w:t>0</w:t>
            </w:r>
          </w:p>
        </w:tc>
        <w:tc>
          <w:tcPr>
            <w:tcW w:w="408" w:type="pct"/>
            <w:vAlign w:val="center"/>
          </w:tcPr>
          <w:p w14:paraId="3A7061F3">
            <w:pPr>
              <w:snapToGrid w:val="0"/>
              <w:jc w:val="center"/>
              <w:rPr>
                <w:rFonts w:ascii="Times New Roman" w:hAnsi="Times New Roman" w:eastAsia="宋体" w:cs="Times New Roman"/>
                <w:bCs/>
              </w:rPr>
            </w:pPr>
            <w:r>
              <w:rPr>
                <w:rFonts w:ascii="Times New Roman" w:hAnsi="Times New Roman" w:eastAsia="宋体" w:cs="Times New Roman"/>
                <w:bCs/>
              </w:rPr>
              <w:t>0</w:t>
            </w:r>
          </w:p>
        </w:tc>
        <w:tc>
          <w:tcPr>
            <w:tcW w:w="407" w:type="pct"/>
            <w:vAlign w:val="center"/>
          </w:tcPr>
          <w:p w14:paraId="3C050DD3">
            <w:pPr>
              <w:snapToGrid w:val="0"/>
              <w:jc w:val="center"/>
              <w:rPr>
                <w:rFonts w:ascii="Times New Roman" w:hAnsi="Times New Roman" w:eastAsia="宋体" w:cs="Times New Roman"/>
                <w:bCs/>
              </w:rPr>
            </w:pPr>
            <w:r>
              <w:rPr>
                <w:rFonts w:ascii="Times New Roman" w:hAnsi="Times New Roman" w:eastAsia="宋体" w:cs="Times New Roman"/>
                <w:bCs/>
              </w:rPr>
              <w:t>1</w:t>
            </w:r>
          </w:p>
        </w:tc>
        <w:tc>
          <w:tcPr>
            <w:tcW w:w="408" w:type="pct"/>
            <w:vAlign w:val="center"/>
          </w:tcPr>
          <w:p w14:paraId="3C809512">
            <w:pPr>
              <w:snapToGrid w:val="0"/>
              <w:jc w:val="center"/>
              <w:rPr>
                <w:rFonts w:ascii="Times New Roman" w:hAnsi="Times New Roman" w:eastAsia="宋体" w:cs="Times New Roman"/>
                <w:bCs/>
              </w:rPr>
            </w:pPr>
            <w:r>
              <w:rPr>
                <w:rFonts w:ascii="Times New Roman" w:hAnsi="Times New Roman" w:eastAsia="宋体" w:cs="Times New Roman"/>
                <w:bCs/>
              </w:rPr>
              <w:t>1</w:t>
            </w:r>
          </w:p>
        </w:tc>
        <w:tc>
          <w:tcPr>
            <w:tcW w:w="407" w:type="pct"/>
            <w:vAlign w:val="center"/>
          </w:tcPr>
          <w:p w14:paraId="06F6FF29">
            <w:pPr>
              <w:snapToGrid w:val="0"/>
              <w:jc w:val="center"/>
              <w:rPr>
                <w:rFonts w:ascii="Times New Roman" w:hAnsi="Times New Roman" w:eastAsia="宋体" w:cs="Times New Roman"/>
                <w:bCs/>
              </w:rPr>
            </w:pPr>
            <w:r>
              <w:rPr>
                <w:rFonts w:ascii="Times New Roman" w:hAnsi="Times New Roman" w:eastAsia="宋体" w:cs="Times New Roman"/>
                <w:bCs/>
              </w:rPr>
              <w:t>1</w:t>
            </w:r>
          </w:p>
        </w:tc>
        <w:tc>
          <w:tcPr>
            <w:tcW w:w="408" w:type="pct"/>
            <w:vAlign w:val="center"/>
          </w:tcPr>
          <w:p w14:paraId="5393944C">
            <w:pPr>
              <w:snapToGrid w:val="0"/>
              <w:jc w:val="center"/>
              <w:rPr>
                <w:rFonts w:ascii="Times New Roman" w:hAnsi="Times New Roman" w:eastAsia="宋体" w:cs="Times New Roman"/>
                <w:bCs/>
              </w:rPr>
            </w:pPr>
            <w:r>
              <w:rPr>
                <w:rFonts w:ascii="Times New Roman" w:hAnsi="Times New Roman" w:eastAsia="宋体" w:cs="Times New Roman"/>
                <w:bCs/>
              </w:rPr>
              <w:t>1</w:t>
            </w:r>
          </w:p>
        </w:tc>
        <w:tc>
          <w:tcPr>
            <w:tcW w:w="407" w:type="pct"/>
            <w:vAlign w:val="center"/>
          </w:tcPr>
          <w:p w14:paraId="0095805B">
            <w:pPr>
              <w:snapToGrid w:val="0"/>
              <w:jc w:val="center"/>
              <w:rPr>
                <w:rFonts w:ascii="Times New Roman" w:hAnsi="Times New Roman" w:eastAsia="宋体" w:cs="Times New Roman"/>
                <w:bCs/>
              </w:rPr>
            </w:pPr>
            <w:r>
              <w:rPr>
                <w:rFonts w:ascii="Times New Roman" w:hAnsi="Times New Roman" w:eastAsia="宋体" w:cs="Times New Roman"/>
                <w:bCs/>
              </w:rPr>
              <w:t>2</w:t>
            </w:r>
          </w:p>
        </w:tc>
        <w:tc>
          <w:tcPr>
            <w:tcW w:w="408" w:type="pct"/>
            <w:vAlign w:val="center"/>
          </w:tcPr>
          <w:p w14:paraId="26DD189E">
            <w:pPr>
              <w:snapToGrid w:val="0"/>
              <w:jc w:val="center"/>
              <w:rPr>
                <w:rFonts w:ascii="Times New Roman" w:hAnsi="Times New Roman" w:eastAsia="宋体" w:cs="Times New Roman"/>
                <w:bCs/>
              </w:rPr>
            </w:pPr>
            <w:r>
              <w:rPr>
                <w:rFonts w:ascii="Times New Roman" w:hAnsi="Times New Roman" w:eastAsia="宋体" w:cs="Times New Roman"/>
                <w:bCs/>
              </w:rPr>
              <w:t>3</w:t>
            </w:r>
          </w:p>
        </w:tc>
      </w:tr>
      <w:tr w14:paraId="2D407CEC">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c>
          <w:tcPr>
            <w:tcW w:w="1105" w:type="pct"/>
            <w:vAlign w:val="center"/>
          </w:tcPr>
          <w:p w14:paraId="4C7A45AB">
            <w:pPr>
              <w:snapToGrid w:val="0"/>
              <w:jc w:val="center"/>
              <w:rPr>
                <w:rFonts w:ascii="Times New Roman" w:hAnsi="Times New Roman" w:eastAsia="宋体" w:cs="Times New Roman"/>
                <w:bCs/>
              </w:rPr>
            </w:pPr>
            <w:r>
              <w:rPr>
                <w:rFonts w:ascii="Times New Roman" w:hAnsi="Times New Roman" w:eastAsia="宋体" w:cs="Times New Roman"/>
                <w:bCs/>
              </w:rPr>
              <w:t>衰减系数/（dB/m）</w:t>
            </w:r>
          </w:p>
        </w:tc>
        <w:tc>
          <w:tcPr>
            <w:tcW w:w="637" w:type="pct"/>
            <w:vAlign w:val="center"/>
          </w:tcPr>
          <w:p w14:paraId="67C09BF5">
            <w:pPr>
              <w:snapToGrid w:val="0"/>
              <w:jc w:val="center"/>
              <w:rPr>
                <w:rFonts w:ascii="Times New Roman" w:hAnsi="Times New Roman" w:eastAsia="宋体" w:cs="Times New Roman"/>
                <w:bCs/>
              </w:rPr>
            </w:pPr>
            <w:r>
              <w:rPr>
                <w:rFonts w:ascii="Times New Roman" w:hAnsi="Times New Roman" w:eastAsia="宋体" w:cs="Times New Roman"/>
                <w:bCs/>
              </w:rPr>
              <w:t>20≤d</w:t>
            </w:r>
            <w:r>
              <w:rPr>
                <w:rFonts w:ascii="Times New Roman" w:hAnsi="Times New Roman" w:eastAsia="宋体" w:cs="Times New Roman"/>
                <w:bCs/>
                <w:vertAlign w:val="subscript"/>
              </w:rPr>
              <w:t>f</w:t>
            </w:r>
            <w:r>
              <w:rPr>
                <w:rFonts w:ascii="Times New Roman" w:hAnsi="Times New Roman" w:eastAsia="宋体" w:cs="Times New Roman"/>
                <w:bCs/>
              </w:rPr>
              <w:t>&lt;200</w:t>
            </w:r>
          </w:p>
        </w:tc>
        <w:tc>
          <w:tcPr>
            <w:tcW w:w="407" w:type="pct"/>
            <w:vAlign w:val="center"/>
          </w:tcPr>
          <w:p w14:paraId="537C3957">
            <w:pPr>
              <w:snapToGrid w:val="0"/>
              <w:jc w:val="center"/>
              <w:rPr>
                <w:rFonts w:ascii="Times New Roman" w:hAnsi="Times New Roman" w:eastAsia="宋体" w:cs="Times New Roman"/>
                <w:bCs/>
              </w:rPr>
            </w:pPr>
            <w:r>
              <w:rPr>
                <w:rFonts w:ascii="Times New Roman" w:hAnsi="Times New Roman" w:eastAsia="宋体" w:cs="Times New Roman"/>
                <w:bCs/>
              </w:rPr>
              <w:t>0.02</w:t>
            </w:r>
          </w:p>
        </w:tc>
        <w:tc>
          <w:tcPr>
            <w:tcW w:w="408" w:type="pct"/>
            <w:vAlign w:val="center"/>
          </w:tcPr>
          <w:p w14:paraId="09A7E9C6">
            <w:pPr>
              <w:snapToGrid w:val="0"/>
              <w:jc w:val="center"/>
              <w:rPr>
                <w:rFonts w:ascii="Times New Roman" w:hAnsi="Times New Roman" w:eastAsia="宋体" w:cs="Times New Roman"/>
                <w:bCs/>
              </w:rPr>
            </w:pPr>
            <w:r>
              <w:rPr>
                <w:rFonts w:ascii="Times New Roman" w:hAnsi="Times New Roman" w:eastAsia="宋体" w:cs="Times New Roman"/>
                <w:bCs/>
              </w:rPr>
              <w:t>0.03</w:t>
            </w:r>
          </w:p>
        </w:tc>
        <w:tc>
          <w:tcPr>
            <w:tcW w:w="407" w:type="pct"/>
            <w:vAlign w:val="center"/>
          </w:tcPr>
          <w:p w14:paraId="4B01973A">
            <w:pPr>
              <w:snapToGrid w:val="0"/>
              <w:jc w:val="center"/>
              <w:rPr>
                <w:rFonts w:ascii="Times New Roman" w:hAnsi="Times New Roman" w:eastAsia="宋体" w:cs="Times New Roman"/>
                <w:bCs/>
              </w:rPr>
            </w:pPr>
            <w:r>
              <w:rPr>
                <w:rFonts w:ascii="Times New Roman" w:hAnsi="Times New Roman" w:eastAsia="宋体" w:cs="Times New Roman"/>
                <w:bCs/>
              </w:rPr>
              <w:t>0.04</w:t>
            </w:r>
          </w:p>
        </w:tc>
        <w:tc>
          <w:tcPr>
            <w:tcW w:w="408" w:type="pct"/>
            <w:vAlign w:val="center"/>
          </w:tcPr>
          <w:p w14:paraId="1688DB2C">
            <w:pPr>
              <w:snapToGrid w:val="0"/>
              <w:jc w:val="center"/>
              <w:rPr>
                <w:rFonts w:ascii="Times New Roman" w:hAnsi="Times New Roman" w:eastAsia="宋体" w:cs="Times New Roman"/>
                <w:bCs/>
              </w:rPr>
            </w:pPr>
            <w:r>
              <w:rPr>
                <w:rFonts w:ascii="Times New Roman" w:hAnsi="Times New Roman" w:eastAsia="宋体" w:cs="Times New Roman"/>
                <w:bCs/>
              </w:rPr>
              <w:t>0.05</w:t>
            </w:r>
          </w:p>
        </w:tc>
        <w:tc>
          <w:tcPr>
            <w:tcW w:w="407" w:type="pct"/>
            <w:vAlign w:val="center"/>
          </w:tcPr>
          <w:p w14:paraId="5354F3B4">
            <w:pPr>
              <w:snapToGrid w:val="0"/>
              <w:jc w:val="center"/>
              <w:rPr>
                <w:rFonts w:ascii="Times New Roman" w:hAnsi="Times New Roman" w:eastAsia="宋体" w:cs="Times New Roman"/>
                <w:bCs/>
              </w:rPr>
            </w:pPr>
            <w:r>
              <w:rPr>
                <w:rFonts w:ascii="Times New Roman" w:hAnsi="Times New Roman" w:eastAsia="宋体" w:cs="Times New Roman"/>
                <w:bCs/>
              </w:rPr>
              <w:t>0.06</w:t>
            </w:r>
          </w:p>
        </w:tc>
        <w:tc>
          <w:tcPr>
            <w:tcW w:w="408" w:type="pct"/>
            <w:vAlign w:val="center"/>
          </w:tcPr>
          <w:p w14:paraId="41537D7C">
            <w:pPr>
              <w:snapToGrid w:val="0"/>
              <w:jc w:val="center"/>
              <w:rPr>
                <w:rFonts w:ascii="Times New Roman" w:hAnsi="Times New Roman" w:eastAsia="宋体" w:cs="Times New Roman"/>
                <w:bCs/>
              </w:rPr>
            </w:pPr>
            <w:r>
              <w:rPr>
                <w:rFonts w:ascii="Times New Roman" w:hAnsi="Times New Roman" w:eastAsia="宋体" w:cs="Times New Roman"/>
                <w:bCs/>
              </w:rPr>
              <w:t>0.08</w:t>
            </w:r>
          </w:p>
        </w:tc>
        <w:tc>
          <w:tcPr>
            <w:tcW w:w="407" w:type="pct"/>
            <w:vAlign w:val="center"/>
          </w:tcPr>
          <w:p w14:paraId="15EDFED1">
            <w:pPr>
              <w:snapToGrid w:val="0"/>
              <w:jc w:val="center"/>
              <w:rPr>
                <w:rFonts w:ascii="Times New Roman" w:hAnsi="Times New Roman" w:eastAsia="宋体" w:cs="Times New Roman"/>
                <w:bCs/>
              </w:rPr>
            </w:pPr>
            <w:r>
              <w:rPr>
                <w:rFonts w:ascii="Times New Roman" w:hAnsi="Times New Roman" w:eastAsia="宋体" w:cs="Times New Roman"/>
                <w:bCs/>
              </w:rPr>
              <w:t>0.09</w:t>
            </w:r>
          </w:p>
        </w:tc>
        <w:tc>
          <w:tcPr>
            <w:tcW w:w="408" w:type="pct"/>
            <w:vAlign w:val="center"/>
          </w:tcPr>
          <w:p w14:paraId="5C7D9152">
            <w:pPr>
              <w:snapToGrid w:val="0"/>
              <w:jc w:val="center"/>
              <w:rPr>
                <w:rFonts w:ascii="Times New Roman" w:hAnsi="Times New Roman" w:eastAsia="宋体" w:cs="Times New Roman"/>
                <w:bCs/>
              </w:rPr>
            </w:pPr>
            <w:r>
              <w:rPr>
                <w:rFonts w:ascii="Times New Roman" w:hAnsi="Times New Roman" w:eastAsia="宋体" w:cs="Times New Roman"/>
                <w:bCs/>
              </w:rPr>
              <w:t>0.12</w:t>
            </w:r>
          </w:p>
        </w:tc>
      </w:tr>
    </w:tbl>
    <w:p w14:paraId="6E6A46DD">
      <w:pPr>
        <w:rPr>
          <w:rFonts w:ascii="Times New Roman" w:hAnsi="Times New Roman" w:eastAsia="宋体" w:cs="Times New Roman"/>
        </w:rPr>
      </w:pPr>
    </w:p>
    <w:p w14:paraId="7586DE0E">
      <w:pPr>
        <w:widowControl/>
        <w:spacing w:line="300" w:lineRule="auto"/>
        <w:ind w:firstLine="480" w:firstLineChars="200"/>
        <w:jc w:val="left"/>
        <w:rPr>
          <w:rFonts w:ascii="Times New Roman" w:hAnsi="Times New Roman" w:eastAsia="宋体" w:cs="Times New Roman"/>
          <w:kern w:val="0"/>
          <w:sz w:val="24"/>
        </w:rPr>
      </w:pPr>
      <w:r>
        <w:rPr>
          <w:rFonts w:ascii="Times New Roman" w:hAnsi="Times New Roman" w:eastAsia="宋体" w:cs="Times New Roman"/>
          <w:kern w:val="0"/>
          <w:sz w:val="24"/>
        </w:rPr>
        <w:t>3. 噪声预测参数及衰减量</w:t>
      </w:r>
    </w:p>
    <w:p w14:paraId="359A3DB2">
      <w:pPr>
        <w:widowControl/>
        <w:spacing w:line="300" w:lineRule="auto"/>
        <w:ind w:firstLine="480" w:firstLineChars="200"/>
        <w:jc w:val="left"/>
        <w:rPr>
          <w:rFonts w:ascii="Times New Roman" w:hAnsi="Times New Roman" w:eastAsia="宋体" w:cs="Times New Roman"/>
          <w:kern w:val="0"/>
          <w:sz w:val="24"/>
        </w:rPr>
      </w:pPr>
      <w:r>
        <w:rPr>
          <w:rFonts w:ascii="Times New Roman" w:hAnsi="Times New Roman" w:eastAsia="宋体" w:cs="Times New Roman"/>
          <w:kern w:val="0"/>
          <w:sz w:val="24"/>
        </w:rPr>
        <w:t>本评价采用</w:t>
      </w:r>
      <w:r>
        <w:rPr>
          <w:rFonts w:hint="eastAsia" w:ascii="Times New Roman" w:hAnsi="Times New Roman" w:eastAsia="宋体" w:cs="Times New Roman"/>
          <w:sz w:val="24"/>
        </w:rPr>
        <w:t>《环境影响评价技术导则 公路建设项目》（HJ</w:t>
      </w:r>
      <w:r>
        <w:rPr>
          <w:rFonts w:ascii="Times New Roman" w:hAnsi="Times New Roman" w:eastAsia="宋体" w:cs="Times New Roman"/>
          <w:sz w:val="24"/>
        </w:rPr>
        <w:t>1358</w:t>
      </w:r>
      <w:r>
        <w:rPr>
          <w:rFonts w:hint="eastAsia" w:ascii="Times New Roman" w:hAnsi="Times New Roman" w:eastAsia="宋体" w:cs="Times New Roman"/>
          <w:sz w:val="24"/>
        </w:rPr>
        <w:t>-20</w:t>
      </w:r>
      <w:r>
        <w:rPr>
          <w:rFonts w:ascii="Times New Roman" w:hAnsi="Times New Roman" w:eastAsia="宋体" w:cs="Times New Roman"/>
          <w:sz w:val="24"/>
        </w:rPr>
        <w:t>24</w:t>
      </w:r>
      <w:r>
        <w:rPr>
          <w:rFonts w:hint="eastAsia" w:ascii="Times New Roman" w:hAnsi="Times New Roman" w:eastAsia="宋体" w:cs="Times New Roman"/>
          <w:sz w:val="24"/>
        </w:rPr>
        <w:t>）</w:t>
      </w:r>
      <w:r>
        <w:rPr>
          <w:rFonts w:ascii="Times New Roman" w:hAnsi="Times New Roman" w:eastAsia="宋体" w:cs="Times New Roman"/>
          <w:kern w:val="0"/>
          <w:sz w:val="24"/>
        </w:rPr>
        <w:t>推荐的公路噪声预测模式，由此可知，噪声预测参数及衰减量主要有</w:t>
      </w:r>
      <m:oMath>
        <m:sSub>
          <m:sSubPr>
            <m:ctrlPr>
              <w:rPr>
                <w:rFonts w:ascii="Cambria Math" w:hAnsi="Cambria Math"/>
                <w:i/>
                <w:iCs/>
                <w:kern w:val="0"/>
                <w:sz w:val="24"/>
              </w:rPr>
            </m:ctrlPr>
          </m:sSubPr>
          <m:e>
            <m:d>
              <m:dPr>
                <m:ctrlPr>
                  <w:rPr>
                    <w:rFonts w:ascii="Cambria Math" w:hAnsi="Cambria Math"/>
                    <w:i/>
                    <w:iCs/>
                    <w:kern w:val="0"/>
                    <w:sz w:val="24"/>
                  </w:rPr>
                </m:ctrlPr>
              </m:dPr>
              <m:e>
                <m:bar>
                  <m:barPr>
                    <m:pos m:val="top"/>
                    <m:ctrlPr>
                      <w:rPr>
                        <w:rFonts w:ascii="Cambria Math" w:hAnsi="Cambria Math"/>
                        <w:i/>
                        <w:iCs/>
                        <w:kern w:val="0"/>
                        <w:sz w:val="24"/>
                      </w:rPr>
                    </m:ctrlPr>
                  </m:barPr>
                  <m:e>
                    <m:sSub>
                      <m:sSubPr>
                        <m:ctrlPr>
                          <w:rPr>
                            <w:rFonts w:ascii="Cambria Math" w:hAnsi="Cambria Math"/>
                            <w:i/>
                            <w:iCs/>
                            <w:kern w:val="0"/>
                            <w:sz w:val="24"/>
                          </w:rPr>
                        </m:ctrlPr>
                      </m:sSubPr>
                      <m:e>
                        <m:r>
                          <m:rPr/>
                          <w:rPr>
                            <w:rFonts w:ascii="Cambria Math"/>
                            <w:kern w:val="0"/>
                            <w:sz w:val="24"/>
                          </w:rPr>
                          <m:t>L</m:t>
                        </m:r>
                        <m:ctrlPr>
                          <w:rPr>
                            <w:rFonts w:ascii="Cambria Math" w:hAnsi="Cambria Math"/>
                            <w:i/>
                            <w:iCs/>
                            <w:kern w:val="0"/>
                            <w:sz w:val="24"/>
                          </w:rPr>
                        </m:ctrlPr>
                      </m:e>
                      <m:sub>
                        <m:r>
                          <m:rPr/>
                          <w:rPr>
                            <w:rFonts w:ascii="Cambria Math"/>
                            <w:kern w:val="0"/>
                            <w:sz w:val="24"/>
                          </w:rPr>
                          <m:t>OE</m:t>
                        </m:r>
                        <m:ctrlPr>
                          <w:rPr>
                            <w:rFonts w:ascii="Cambria Math" w:hAnsi="Cambria Math"/>
                            <w:i/>
                            <w:iCs/>
                            <w:kern w:val="0"/>
                            <w:sz w:val="24"/>
                          </w:rPr>
                        </m:ctrlPr>
                      </m:sub>
                    </m:sSub>
                    <m:ctrlPr>
                      <w:rPr>
                        <w:rFonts w:ascii="Cambria Math" w:hAnsi="Cambria Math"/>
                        <w:i/>
                        <w:iCs/>
                        <w:kern w:val="0"/>
                        <w:sz w:val="24"/>
                      </w:rPr>
                    </m:ctrlPr>
                  </m:e>
                </m:bar>
                <m:ctrlPr>
                  <w:rPr>
                    <w:rFonts w:ascii="Cambria Math" w:hAnsi="Cambria Math"/>
                    <w:i/>
                    <w:iCs/>
                    <w:kern w:val="0"/>
                    <w:sz w:val="24"/>
                  </w:rPr>
                </m:ctrlPr>
              </m:e>
            </m:d>
            <m:ctrlPr>
              <w:rPr>
                <w:rFonts w:ascii="Cambria Math" w:hAnsi="Cambria Math"/>
                <w:i/>
                <w:iCs/>
                <w:kern w:val="0"/>
                <w:sz w:val="24"/>
              </w:rPr>
            </m:ctrlPr>
          </m:e>
          <m:sub>
            <m:r>
              <m:rPr/>
              <w:rPr>
                <w:rFonts w:ascii="Cambria Math"/>
                <w:kern w:val="0"/>
                <w:sz w:val="24"/>
              </w:rPr>
              <m:t>i</m:t>
            </m:r>
            <m:ctrlPr>
              <w:rPr>
                <w:rFonts w:ascii="Cambria Math" w:hAnsi="Cambria Math"/>
                <w:i/>
                <w:iCs/>
                <w:kern w:val="0"/>
                <w:sz w:val="24"/>
              </w:rPr>
            </m:ctrlPr>
          </m:sub>
        </m:sSub>
      </m:oMath>
      <w:r>
        <w:rPr>
          <w:rFonts w:ascii="Times New Roman" w:hAnsi="Times New Roman" w:eastAsia="宋体" w:cs="Times New Roman"/>
          <w:kern w:val="0"/>
          <w:sz w:val="24"/>
        </w:rPr>
        <w:t>、</w:t>
      </w:r>
      <w:r>
        <w:rPr>
          <w:rFonts w:ascii="Times New Roman" w:hAnsi="Times New Roman" w:eastAsia="宋体" w:cs="Times New Roman"/>
          <w:i/>
          <w:iCs/>
          <w:kern w:val="0"/>
          <w:sz w:val="24"/>
        </w:rPr>
        <w:t>N</w:t>
      </w:r>
      <w:r>
        <w:rPr>
          <w:rFonts w:ascii="Times New Roman" w:hAnsi="Times New Roman" w:eastAsia="宋体" w:cs="Times New Roman"/>
          <w:i/>
          <w:iCs/>
          <w:kern w:val="0"/>
          <w:sz w:val="16"/>
          <w:szCs w:val="16"/>
        </w:rPr>
        <w:t>i</w:t>
      </w:r>
      <w:r>
        <w:rPr>
          <w:rFonts w:ascii="Times New Roman" w:hAnsi="Times New Roman" w:eastAsia="宋体" w:cs="Times New Roman"/>
          <w:kern w:val="0"/>
          <w:sz w:val="24"/>
        </w:rPr>
        <w:t>、</w:t>
      </w:r>
      <w:r>
        <w:rPr>
          <w:rFonts w:ascii="Times New Roman" w:hAnsi="Times New Roman" w:eastAsia="宋体" w:cs="Times New Roman"/>
          <w:i/>
          <w:iCs/>
          <w:kern w:val="0"/>
          <w:sz w:val="24"/>
        </w:rPr>
        <w:t>V</w:t>
      </w:r>
      <w:r>
        <w:rPr>
          <w:rFonts w:ascii="Times New Roman" w:hAnsi="Times New Roman" w:eastAsia="宋体" w:cs="Times New Roman"/>
          <w:i/>
          <w:iCs/>
          <w:kern w:val="0"/>
          <w:sz w:val="16"/>
          <w:szCs w:val="16"/>
        </w:rPr>
        <w:t>i</w:t>
      </w:r>
      <w:r>
        <w:rPr>
          <w:rFonts w:ascii="Times New Roman" w:hAnsi="Times New Roman" w:eastAsia="宋体" w:cs="Times New Roman"/>
          <w:kern w:val="0"/>
          <w:sz w:val="24"/>
        </w:rPr>
        <w:t>、</w:t>
      </w:r>
      <w:r>
        <w:rPr>
          <w:rFonts w:ascii="Times New Roman" w:hAnsi="Times New Roman" w:eastAsia="宋体" w:cs="Times New Roman"/>
          <w:i/>
          <w:iCs/>
          <w:kern w:val="0"/>
          <w:sz w:val="24"/>
        </w:rPr>
        <w:t>T</w:t>
      </w:r>
      <w:r>
        <w:rPr>
          <w:rFonts w:ascii="Times New Roman" w:hAnsi="Times New Roman" w:eastAsia="宋体" w:cs="Times New Roman"/>
          <w:kern w:val="0"/>
          <w:sz w:val="24"/>
        </w:rPr>
        <w:t>、</w:t>
      </w:r>
      <w:r>
        <w:rPr>
          <w:rFonts w:ascii="Times New Roman" w:hAnsi="Times New Roman" w:eastAsia="宋体" w:cs="Times New Roman"/>
          <w:i/>
          <w:iCs/>
          <w:kern w:val="0"/>
          <w:sz w:val="24"/>
        </w:rPr>
        <w:t>r</w:t>
      </w:r>
      <w:r>
        <w:rPr>
          <w:rFonts w:ascii="Times New Roman" w:hAnsi="Times New Roman" w:eastAsia="宋体" w:cs="Times New Roman"/>
          <w:kern w:val="0"/>
          <w:sz w:val="24"/>
        </w:rPr>
        <w:t>、Δ</w:t>
      </w:r>
      <w:r>
        <w:rPr>
          <w:rFonts w:ascii="Times New Roman" w:hAnsi="Times New Roman" w:eastAsia="宋体" w:cs="Times New Roman"/>
          <w:i/>
          <w:kern w:val="0"/>
          <w:sz w:val="24"/>
        </w:rPr>
        <w:t>L</w:t>
      </w:r>
      <w:r>
        <w:rPr>
          <w:rFonts w:ascii="Times New Roman" w:hAnsi="Times New Roman" w:eastAsia="宋体" w:cs="Times New Roman"/>
          <w:kern w:val="0"/>
          <w:sz w:val="24"/>
        </w:rPr>
        <w:t>等，本项目噪声预测主要参数及衰减量选取情况见表4.</w:t>
      </w:r>
      <w:r>
        <w:rPr>
          <w:rFonts w:hint="eastAsia" w:ascii="Times New Roman" w:hAnsi="Times New Roman" w:eastAsia="宋体" w:cs="Times New Roman"/>
          <w:kern w:val="0"/>
          <w:sz w:val="24"/>
        </w:rPr>
        <w:t>2</w:t>
      </w:r>
      <w:r>
        <w:rPr>
          <w:rFonts w:ascii="Times New Roman" w:hAnsi="Times New Roman" w:eastAsia="宋体" w:cs="Times New Roman"/>
          <w:kern w:val="0"/>
          <w:sz w:val="24"/>
        </w:rPr>
        <w:t>-5。</w:t>
      </w:r>
    </w:p>
    <w:p w14:paraId="78EF78A6">
      <w:pPr>
        <w:rPr>
          <w:rFonts w:ascii="Times New Roman" w:hAnsi="Times New Roman" w:eastAsia="宋体" w:cs="Times New Roman"/>
        </w:rPr>
      </w:pPr>
    </w:p>
    <w:p w14:paraId="5734D1B5">
      <w:pPr>
        <w:sectPr>
          <w:headerReference r:id="rId69" w:type="default"/>
          <w:footerReference r:id="rId70" w:type="default"/>
          <w:footerReference r:id="rId71" w:type="even"/>
          <w:pgSz w:w="11906" w:h="16838"/>
          <w:pgMar w:top="1440" w:right="1797" w:bottom="1560" w:left="1797" w:header="851" w:footer="992" w:gutter="0"/>
          <w:pgBorders>
            <w:top w:val="none" w:sz="0" w:space="0"/>
            <w:left w:val="none" w:sz="0" w:space="0"/>
            <w:bottom w:val="none" w:sz="0" w:space="0"/>
            <w:right w:val="none" w:sz="0" w:space="0"/>
          </w:pgBorders>
          <w:cols w:space="720" w:num="1"/>
          <w:docGrid w:linePitch="312" w:charSpace="0"/>
        </w:sectPr>
      </w:pPr>
    </w:p>
    <w:p w14:paraId="4BA4493F">
      <w:pPr>
        <w:spacing w:beforeLines="50"/>
        <w:jc w:val="center"/>
        <w:rPr>
          <w:rFonts w:ascii="Times New Roman" w:hAnsi="Times New Roman" w:eastAsia="宋体" w:cs="Times New Roman"/>
          <w:b/>
        </w:rPr>
      </w:pPr>
      <w:r>
        <w:rPr>
          <w:rFonts w:ascii="Times New Roman" w:hAnsi="Times New Roman" w:eastAsia="宋体" w:cs="Times New Roman"/>
          <w:b/>
        </w:rPr>
        <w:t>表4.</w:t>
      </w:r>
      <w:r>
        <w:rPr>
          <w:rFonts w:hint="eastAsia" w:ascii="Times New Roman" w:hAnsi="Times New Roman" w:eastAsia="宋体" w:cs="Times New Roman"/>
          <w:b/>
        </w:rPr>
        <w:t>2</w:t>
      </w:r>
      <w:r>
        <w:rPr>
          <w:rFonts w:ascii="Times New Roman" w:hAnsi="Times New Roman" w:eastAsia="宋体" w:cs="Times New Roman"/>
          <w:b/>
        </w:rPr>
        <w:t>-5  本项目噪声预测主要参数及衰减量一览表</w:t>
      </w:r>
    </w:p>
    <w:tbl>
      <w:tblPr>
        <w:tblStyle w:val="22"/>
        <w:tblW w:w="5000" w:type="pct"/>
        <w:tblInd w:w="0" w:type="dxa"/>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517"/>
        <w:gridCol w:w="604"/>
        <w:gridCol w:w="805"/>
        <w:gridCol w:w="1798"/>
        <w:gridCol w:w="1648"/>
        <w:gridCol w:w="3156"/>
      </w:tblGrid>
      <w:tr w14:paraId="0048EC9A">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303" w:type="pct"/>
            <w:vAlign w:val="center"/>
          </w:tcPr>
          <w:p w14:paraId="24C7C459">
            <w:pPr>
              <w:jc w:val="center"/>
              <w:rPr>
                <w:rFonts w:ascii="Times New Roman" w:hAnsi="Times New Roman" w:eastAsia="宋体" w:cs="Times New Roman"/>
                <w:b/>
                <w:kern w:val="0"/>
              </w:rPr>
            </w:pPr>
            <w:r>
              <w:rPr>
                <w:rFonts w:ascii="Times New Roman" w:hAnsi="Times New Roman" w:eastAsia="宋体" w:cs="Times New Roman"/>
                <w:b/>
                <w:kern w:val="0"/>
              </w:rPr>
              <w:t>序号</w:t>
            </w:r>
          </w:p>
        </w:tc>
        <w:tc>
          <w:tcPr>
            <w:tcW w:w="826" w:type="pct"/>
            <w:gridSpan w:val="2"/>
            <w:vAlign w:val="center"/>
          </w:tcPr>
          <w:p w14:paraId="74972272">
            <w:pPr>
              <w:jc w:val="center"/>
              <w:rPr>
                <w:rFonts w:ascii="Times New Roman" w:hAnsi="Times New Roman" w:eastAsia="宋体" w:cs="Times New Roman"/>
                <w:b/>
                <w:kern w:val="0"/>
              </w:rPr>
            </w:pPr>
            <w:r>
              <w:rPr>
                <w:rFonts w:ascii="Times New Roman" w:hAnsi="Times New Roman" w:eastAsia="宋体" w:cs="Times New Roman"/>
                <w:b/>
                <w:kern w:val="0"/>
              </w:rPr>
              <w:t>主要参数</w:t>
            </w:r>
          </w:p>
        </w:tc>
        <w:tc>
          <w:tcPr>
            <w:tcW w:w="1054" w:type="pct"/>
            <w:vAlign w:val="center"/>
          </w:tcPr>
          <w:p w14:paraId="3F164A66">
            <w:pPr>
              <w:jc w:val="center"/>
              <w:rPr>
                <w:rFonts w:ascii="Times New Roman" w:hAnsi="Times New Roman" w:eastAsia="宋体" w:cs="Times New Roman"/>
                <w:b/>
                <w:kern w:val="0"/>
              </w:rPr>
            </w:pPr>
            <w:r>
              <w:rPr>
                <w:rFonts w:ascii="Times New Roman" w:hAnsi="Times New Roman" w:eastAsia="宋体" w:cs="Times New Roman"/>
                <w:b/>
                <w:kern w:val="0"/>
              </w:rPr>
              <w:t>参数意义</w:t>
            </w:r>
          </w:p>
        </w:tc>
        <w:tc>
          <w:tcPr>
            <w:tcW w:w="966" w:type="pct"/>
            <w:vAlign w:val="center"/>
          </w:tcPr>
          <w:p w14:paraId="547A35BE">
            <w:pPr>
              <w:jc w:val="center"/>
              <w:rPr>
                <w:rFonts w:ascii="Times New Roman" w:hAnsi="Times New Roman" w:eastAsia="宋体" w:cs="Times New Roman"/>
                <w:b/>
                <w:kern w:val="0"/>
              </w:rPr>
            </w:pPr>
            <w:r>
              <w:rPr>
                <w:rFonts w:ascii="Times New Roman" w:hAnsi="Times New Roman" w:eastAsia="宋体" w:cs="Times New Roman"/>
                <w:b/>
                <w:kern w:val="0"/>
              </w:rPr>
              <w:t>选取值</w:t>
            </w:r>
          </w:p>
        </w:tc>
        <w:tc>
          <w:tcPr>
            <w:tcW w:w="1849" w:type="pct"/>
            <w:vAlign w:val="center"/>
          </w:tcPr>
          <w:p w14:paraId="5BE4E1FA">
            <w:pPr>
              <w:jc w:val="center"/>
              <w:rPr>
                <w:rFonts w:ascii="Times New Roman" w:hAnsi="Times New Roman" w:eastAsia="宋体" w:cs="Times New Roman"/>
                <w:b/>
                <w:kern w:val="0"/>
              </w:rPr>
            </w:pPr>
            <w:r>
              <w:rPr>
                <w:rFonts w:ascii="Times New Roman" w:hAnsi="Times New Roman" w:eastAsia="宋体" w:cs="Times New Roman"/>
                <w:b/>
                <w:kern w:val="0"/>
              </w:rPr>
              <w:t>说明</w:t>
            </w:r>
          </w:p>
        </w:tc>
      </w:tr>
      <w:tr w14:paraId="218060C6">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303" w:type="pct"/>
            <w:vAlign w:val="center"/>
          </w:tcPr>
          <w:p w14:paraId="154FB773">
            <w:pPr>
              <w:jc w:val="center"/>
              <w:rPr>
                <w:rFonts w:ascii="Times New Roman" w:hAnsi="Times New Roman" w:eastAsia="宋体" w:cs="Times New Roman"/>
                <w:kern w:val="0"/>
              </w:rPr>
            </w:pPr>
            <w:r>
              <w:rPr>
                <w:rFonts w:ascii="Times New Roman" w:hAnsi="Times New Roman" w:eastAsia="宋体" w:cs="Times New Roman"/>
                <w:kern w:val="0"/>
              </w:rPr>
              <w:t>1</w:t>
            </w:r>
          </w:p>
        </w:tc>
        <w:tc>
          <w:tcPr>
            <w:tcW w:w="826" w:type="pct"/>
            <w:gridSpan w:val="2"/>
            <w:vAlign w:val="center"/>
          </w:tcPr>
          <w:p w14:paraId="569A294C">
            <w:pPr>
              <w:jc w:val="center"/>
              <w:rPr>
                <w:rFonts w:ascii="Times New Roman" w:hAnsi="Times New Roman" w:eastAsia="宋体" w:cs="Times New Roman"/>
                <w:kern w:val="0"/>
              </w:rPr>
            </w:pPr>
            <w:r>
              <w:rPr>
                <w:rFonts w:ascii="Times New Roman" w:hAnsi="Times New Roman" w:eastAsia="宋体" w:cs="Times New Roman"/>
                <w:iCs/>
                <w:kern w:val="0"/>
                <w:position w:val="-12"/>
                <w:sz w:val="24"/>
              </w:rPr>
              <w:object>
                <v:shape id="_x0000_i1067" o:spt="75" type="#_x0000_t75" style="height:20.25pt;width:27.75pt;" o:ole="t" filled="f" o:preferrelative="t" stroked="f" coordsize="21600,21600">
                  <v:path/>
                  <v:fill on="f" focussize="0,0"/>
                  <v:stroke on="f" joinstyle="miter"/>
                  <v:imagedata r:id="rId263" o:title=""/>
                  <o:lock v:ext="edit" aspectratio="t"/>
                  <w10:wrap type="none"/>
                  <w10:anchorlock/>
                </v:shape>
                <o:OLEObject Type="Embed" ProgID="Equation.3" ShapeID="_x0000_i1067" DrawAspect="Content" ObjectID="_1468075767" r:id="rId262">
                  <o:LockedField>false</o:LockedField>
                </o:OLEObject>
              </w:object>
            </w:r>
          </w:p>
        </w:tc>
        <w:tc>
          <w:tcPr>
            <w:tcW w:w="1054" w:type="pct"/>
            <w:vAlign w:val="center"/>
          </w:tcPr>
          <w:p w14:paraId="63DA8C40">
            <w:pPr>
              <w:rPr>
                <w:rFonts w:ascii="Times New Roman" w:hAnsi="Times New Roman" w:eastAsia="宋体" w:cs="Times New Roman"/>
                <w:kern w:val="0"/>
              </w:rPr>
            </w:pPr>
            <w:r>
              <w:rPr>
                <w:rFonts w:ascii="Times New Roman" w:hAnsi="Times New Roman" w:eastAsia="宋体" w:cs="Times New Roman"/>
                <w:kern w:val="0"/>
              </w:rPr>
              <w:t>第</w:t>
            </w:r>
            <w:r>
              <w:rPr>
                <w:rFonts w:ascii="Times New Roman" w:hAnsi="Times New Roman" w:eastAsia="宋体" w:cs="Times New Roman"/>
                <w:i/>
                <w:iCs/>
                <w:kern w:val="0"/>
              </w:rPr>
              <w:t xml:space="preserve">i </w:t>
            </w:r>
            <w:r>
              <w:rPr>
                <w:rFonts w:ascii="Times New Roman" w:hAnsi="Times New Roman" w:eastAsia="宋体" w:cs="Times New Roman"/>
                <w:kern w:val="0"/>
              </w:rPr>
              <w:t>类车的参考能量平均辐射声级dB(A)</w:t>
            </w:r>
          </w:p>
        </w:tc>
        <w:tc>
          <w:tcPr>
            <w:tcW w:w="966" w:type="pct"/>
            <w:vAlign w:val="center"/>
          </w:tcPr>
          <w:p w14:paraId="197FED89">
            <w:pPr>
              <w:jc w:val="center"/>
              <w:rPr>
                <w:rFonts w:ascii="Times New Roman" w:hAnsi="Times New Roman" w:eastAsia="宋体" w:cs="Times New Roman"/>
                <w:kern w:val="0"/>
              </w:rPr>
            </w:pPr>
            <w:r>
              <w:rPr>
                <w:rFonts w:ascii="Times New Roman" w:hAnsi="Times New Roman" w:eastAsia="宋体" w:cs="Times New Roman"/>
                <w:kern w:val="0"/>
              </w:rPr>
              <w:t>见表2.</w:t>
            </w:r>
            <w:r>
              <w:rPr>
                <w:rFonts w:hint="eastAsia" w:ascii="Times New Roman" w:hAnsi="Times New Roman" w:eastAsia="宋体" w:cs="Times New Roman"/>
                <w:kern w:val="0"/>
              </w:rPr>
              <w:t>5-17</w:t>
            </w:r>
          </w:p>
        </w:tc>
        <w:tc>
          <w:tcPr>
            <w:tcW w:w="1849" w:type="pct"/>
            <w:vAlign w:val="center"/>
          </w:tcPr>
          <w:p w14:paraId="777BB4AA">
            <w:pPr>
              <w:rPr>
                <w:rFonts w:ascii="Times New Roman" w:hAnsi="Times New Roman" w:eastAsia="宋体" w:cs="Times New Roman"/>
                <w:kern w:val="0"/>
              </w:rPr>
            </w:pPr>
            <w:r>
              <w:rPr>
                <w:rFonts w:ascii="Times New Roman" w:hAnsi="Times New Roman" w:eastAsia="宋体" w:cs="Times New Roman"/>
                <w:kern w:val="0"/>
              </w:rPr>
              <w:t>依据</w:t>
            </w:r>
            <w:r>
              <w:rPr>
                <w:rFonts w:hint="eastAsia" w:ascii="Times New Roman" w:hAnsi="Times New Roman" w:eastAsia="宋体" w:cs="Times New Roman"/>
                <w:kern w:val="0"/>
              </w:rPr>
              <w:t>《环境影响评价技术导则</w:t>
            </w:r>
            <w:r>
              <w:rPr>
                <w:rFonts w:ascii="Times New Roman" w:hAnsi="Times New Roman" w:eastAsia="宋体" w:cs="Times New Roman"/>
                <w:kern w:val="0"/>
              </w:rPr>
              <w:t xml:space="preserve"> </w:t>
            </w:r>
            <w:r>
              <w:rPr>
                <w:rFonts w:hint="eastAsia" w:ascii="Times New Roman" w:hAnsi="Times New Roman" w:eastAsia="宋体" w:cs="Times New Roman"/>
                <w:kern w:val="0"/>
              </w:rPr>
              <w:t>公路建设项目》（</w:t>
            </w:r>
            <w:r>
              <w:rPr>
                <w:rFonts w:ascii="Times New Roman" w:hAnsi="Times New Roman" w:eastAsia="宋体" w:cs="Times New Roman"/>
                <w:kern w:val="0"/>
              </w:rPr>
              <w:t>HJ1358-2024</w:t>
            </w:r>
            <w:r>
              <w:rPr>
                <w:rFonts w:hint="eastAsia" w:ascii="Times New Roman" w:hAnsi="Times New Roman" w:eastAsia="宋体" w:cs="Times New Roman"/>
                <w:kern w:val="0"/>
              </w:rPr>
              <w:t>）和《环境影响评价技术原则与方法》</w:t>
            </w:r>
            <w:r>
              <w:rPr>
                <w:rFonts w:ascii="Times New Roman" w:hAnsi="Times New Roman" w:eastAsia="宋体" w:cs="Times New Roman"/>
                <w:kern w:val="0"/>
              </w:rPr>
              <w:t>提供的计算公式，是平均车速的函数。</w:t>
            </w:r>
          </w:p>
        </w:tc>
      </w:tr>
      <w:tr w14:paraId="0525ADD3">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985" w:hRule="atLeast"/>
        </w:trPr>
        <w:tc>
          <w:tcPr>
            <w:tcW w:w="303" w:type="pct"/>
            <w:tcBorders>
              <w:bottom w:val="single" w:color="auto" w:sz="4" w:space="0"/>
            </w:tcBorders>
            <w:vAlign w:val="center"/>
          </w:tcPr>
          <w:p w14:paraId="4A09066C">
            <w:pPr>
              <w:jc w:val="center"/>
              <w:rPr>
                <w:rFonts w:ascii="Times New Roman" w:hAnsi="Times New Roman" w:eastAsia="宋体" w:cs="Times New Roman"/>
                <w:kern w:val="0"/>
              </w:rPr>
            </w:pPr>
            <w:r>
              <w:rPr>
                <w:rFonts w:ascii="Times New Roman" w:hAnsi="Times New Roman" w:eastAsia="宋体" w:cs="Times New Roman"/>
                <w:kern w:val="0"/>
              </w:rPr>
              <w:t>2</w:t>
            </w:r>
          </w:p>
        </w:tc>
        <w:tc>
          <w:tcPr>
            <w:tcW w:w="826" w:type="pct"/>
            <w:gridSpan w:val="2"/>
            <w:tcBorders>
              <w:bottom w:val="single" w:color="auto" w:sz="4" w:space="0"/>
            </w:tcBorders>
            <w:vAlign w:val="center"/>
          </w:tcPr>
          <w:p w14:paraId="65621C8C">
            <w:pPr>
              <w:jc w:val="center"/>
              <w:rPr>
                <w:rFonts w:ascii="Times New Roman" w:hAnsi="Times New Roman" w:eastAsia="宋体" w:cs="Times New Roman"/>
                <w:kern w:val="0"/>
              </w:rPr>
            </w:pPr>
            <w:r>
              <w:rPr>
                <w:rFonts w:ascii="Times New Roman" w:hAnsi="Times New Roman" w:eastAsia="宋体" w:cs="Times New Roman"/>
                <w:i/>
                <w:iCs/>
                <w:kern w:val="0"/>
                <w:sz w:val="24"/>
              </w:rPr>
              <w:t>N</w:t>
            </w:r>
            <w:r>
              <w:rPr>
                <w:rFonts w:ascii="Times New Roman" w:hAnsi="Times New Roman" w:eastAsia="宋体" w:cs="Times New Roman"/>
                <w:i/>
                <w:iCs/>
                <w:kern w:val="0"/>
                <w:sz w:val="16"/>
                <w:szCs w:val="16"/>
              </w:rPr>
              <w:t>i</w:t>
            </w:r>
          </w:p>
        </w:tc>
        <w:tc>
          <w:tcPr>
            <w:tcW w:w="1054" w:type="pct"/>
            <w:tcBorders>
              <w:bottom w:val="single" w:color="auto" w:sz="4" w:space="0"/>
            </w:tcBorders>
            <w:vAlign w:val="center"/>
          </w:tcPr>
          <w:p w14:paraId="65DACD52">
            <w:pPr>
              <w:autoSpaceDE w:val="0"/>
              <w:autoSpaceDN w:val="0"/>
              <w:adjustRightInd w:val="0"/>
              <w:rPr>
                <w:rFonts w:ascii="Times New Roman" w:hAnsi="Times New Roman" w:eastAsia="宋体" w:cs="Times New Roman"/>
                <w:kern w:val="0"/>
              </w:rPr>
            </w:pPr>
            <w:r>
              <w:rPr>
                <w:rFonts w:ascii="Times New Roman" w:hAnsi="Times New Roman" w:eastAsia="宋体" w:cs="Times New Roman"/>
                <w:kern w:val="0"/>
              </w:rPr>
              <w:t>指定的时间</w:t>
            </w:r>
            <w:r>
              <w:rPr>
                <w:rFonts w:ascii="Times New Roman" w:hAnsi="Times New Roman" w:eastAsia="宋体" w:cs="Times New Roman"/>
                <w:i/>
                <w:iCs/>
                <w:kern w:val="0"/>
              </w:rPr>
              <w:t xml:space="preserve">T </w:t>
            </w:r>
            <w:r>
              <w:rPr>
                <w:rFonts w:ascii="Times New Roman" w:hAnsi="Times New Roman" w:eastAsia="宋体" w:cs="Times New Roman"/>
                <w:kern w:val="0"/>
              </w:rPr>
              <w:t>内通过某预测点的第</w:t>
            </w:r>
            <w:r>
              <w:rPr>
                <w:rFonts w:ascii="Times New Roman" w:hAnsi="Times New Roman" w:eastAsia="宋体" w:cs="Times New Roman"/>
                <w:i/>
                <w:iCs/>
                <w:kern w:val="0"/>
              </w:rPr>
              <w:t xml:space="preserve">i </w:t>
            </w:r>
            <w:r>
              <w:rPr>
                <w:rFonts w:ascii="Times New Roman" w:hAnsi="Times New Roman" w:eastAsia="宋体" w:cs="Times New Roman"/>
                <w:kern w:val="0"/>
              </w:rPr>
              <w:t>类车流量，辆/小时</w:t>
            </w:r>
          </w:p>
        </w:tc>
        <w:tc>
          <w:tcPr>
            <w:tcW w:w="966" w:type="pct"/>
            <w:tcBorders>
              <w:bottom w:val="single" w:color="auto" w:sz="4" w:space="0"/>
            </w:tcBorders>
            <w:vAlign w:val="center"/>
          </w:tcPr>
          <w:p w14:paraId="29DB8660">
            <w:pPr>
              <w:jc w:val="center"/>
              <w:rPr>
                <w:rFonts w:ascii="Times New Roman" w:hAnsi="Times New Roman" w:eastAsia="宋体" w:cs="Times New Roman"/>
                <w:kern w:val="0"/>
              </w:rPr>
            </w:pPr>
            <w:r>
              <w:rPr>
                <w:rFonts w:ascii="Times New Roman" w:hAnsi="Times New Roman" w:eastAsia="宋体" w:cs="Times New Roman"/>
                <w:kern w:val="0"/>
              </w:rPr>
              <w:t>见表2.</w:t>
            </w:r>
            <w:r>
              <w:rPr>
                <w:rFonts w:hint="eastAsia" w:ascii="Times New Roman" w:hAnsi="Times New Roman" w:eastAsia="宋体" w:cs="Times New Roman"/>
                <w:kern w:val="0"/>
              </w:rPr>
              <w:t>5</w:t>
            </w:r>
            <w:r>
              <w:rPr>
                <w:rFonts w:ascii="Times New Roman" w:hAnsi="Times New Roman" w:eastAsia="宋体" w:cs="Times New Roman"/>
                <w:kern w:val="0"/>
              </w:rPr>
              <w:t>-</w:t>
            </w:r>
            <w:r>
              <w:rPr>
                <w:rFonts w:hint="eastAsia" w:ascii="Times New Roman" w:hAnsi="Times New Roman" w:eastAsia="宋体" w:cs="Times New Roman"/>
                <w:kern w:val="0"/>
              </w:rPr>
              <w:t>3</w:t>
            </w:r>
          </w:p>
        </w:tc>
        <w:tc>
          <w:tcPr>
            <w:tcW w:w="1849" w:type="pct"/>
            <w:tcBorders>
              <w:bottom w:val="single" w:color="auto" w:sz="4" w:space="0"/>
            </w:tcBorders>
            <w:vAlign w:val="center"/>
          </w:tcPr>
          <w:p w14:paraId="05E25F40">
            <w:pPr>
              <w:autoSpaceDE w:val="0"/>
              <w:autoSpaceDN w:val="0"/>
              <w:adjustRightInd w:val="0"/>
              <w:rPr>
                <w:rFonts w:ascii="Times New Roman" w:hAnsi="Times New Roman" w:eastAsia="宋体" w:cs="Times New Roman"/>
                <w:kern w:val="0"/>
              </w:rPr>
            </w:pPr>
            <w:r>
              <w:rPr>
                <w:rFonts w:ascii="Times New Roman" w:hAnsi="Times New Roman" w:eastAsia="宋体" w:cs="Times New Roman"/>
                <w:kern w:val="0"/>
              </w:rPr>
              <w:t>根据项目工程设计</w:t>
            </w:r>
            <w:r>
              <w:rPr>
                <w:rFonts w:hint="eastAsia" w:ascii="Times New Roman" w:hAnsi="Times New Roman" w:eastAsia="宋体" w:cs="Times New Roman"/>
                <w:kern w:val="0"/>
              </w:rPr>
              <w:t>文件</w:t>
            </w:r>
            <w:r>
              <w:rPr>
                <w:rFonts w:ascii="Times New Roman" w:hAnsi="Times New Roman" w:eastAsia="宋体" w:cs="Times New Roman"/>
                <w:kern w:val="0"/>
              </w:rPr>
              <w:t>提供的预测交通量和车种比计算。</w:t>
            </w:r>
          </w:p>
        </w:tc>
      </w:tr>
      <w:tr w14:paraId="253F3AAB">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106" w:hRule="atLeast"/>
        </w:trPr>
        <w:tc>
          <w:tcPr>
            <w:tcW w:w="303" w:type="pct"/>
            <w:tcBorders>
              <w:top w:val="single" w:color="auto" w:sz="4" w:space="0"/>
            </w:tcBorders>
            <w:vAlign w:val="center"/>
          </w:tcPr>
          <w:p w14:paraId="026A08F9">
            <w:pPr>
              <w:jc w:val="center"/>
              <w:rPr>
                <w:rFonts w:ascii="Times New Roman" w:hAnsi="Times New Roman" w:eastAsia="宋体" w:cs="Times New Roman"/>
                <w:kern w:val="0"/>
              </w:rPr>
            </w:pPr>
            <w:r>
              <w:rPr>
                <w:rFonts w:hint="eastAsia" w:ascii="Times New Roman" w:hAnsi="Times New Roman" w:eastAsia="宋体" w:cs="Times New Roman"/>
                <w:kern w:val="0"/>
              </w:rPr>
              <w:t>3</w:t>
            </w:r>
          </w:p>
        </w:tc>
        <w:tc>
          <w:tcPr>
            <w:tcW w:w="826" w:type="pct"/>
            <w:gridSpan w:val="2"/>
            <w:tcBorders>
              <w:top w:val="single" w:color="auto" w:sz="4" w:space="0"/>
            </w:tcBorders>
            <w:vAlign w:val="center"/>
          </w:tcPr>
          <w:p w14:paraId="61B399E7">
            <w:pPr>
              <w:jc w:val="center"/>
              <w:rPr>
                <w:rFonts w:ascii="Times New Roman" w:hAnsi="Times New Roman" w:eastAsia="宋体" w:cs="Times New Roman"/>
                <w:i/>
                <w:iCs/>
                <w:kern w:val="0"/>
                <w:sz w:val="24"/>
              </w:rPr>
            </w:pPr>
            <w:r>
              <w:rPr>
                <w:rFonts w:hint="eastAsia" w:ascii="Times New Roman" w:hAnsi="Times New Roman" w:eastAsia="宋体" w:cs="Times New Roman"/>
                <w:i/>
                <w:sz w:val="24"/>
              </w:rPr>
              <w:t>N</w:t>
            </w:r>
            <w:r>
              <w:rPr>
                <w:rFonts w:hint="eastAsia" w:ascii="Times New Roman" w:hAnsi="Times New Roman" w:eastAsia="宋体" w:cs="Times New Roman"/>
                <w:sz w:val="24"/>
                <w:vertAlign w:val="subscript"/>
              </w:rPr>
              <w:t>max</w:t>
            </w:r>
          </w:p>
        </w:tc>
        <w:tc>
          <w:tcPr>
            <w:tcW w:w="1054" w:type="pct"/>
            <w:tcBorders>
              <w:top w:val="single" w:color="auto" w:sz="4" w:space="0"/>
            </w:tcBorders>
            <w:vAlign w:val="center"/>
          </w:tcPr>
          <w:p w14:paraId="4F3062BA">
            <w:pPr>
              <w:autoSpaceDE w:val="0"/>
              <w:autoSpaceDN w:val="0"/>
              <w:adjustRightInd w:val="0"/>
              <w:rPr>
                <w:rFonts w:ascii="Times New Roman" w:hAnsi="Times New Roman" w:eastAsia="宋体" w:cs="Times New Roman"/>
                <w:kern w:val="0"/>
              </w:rPr>
            </w:pPr>
            <w:r>
              <w:rPr>
                <w:rFonts w:ascii="Times New Roman" w:hAnsi="Times New Roman" w:eastAsia="宋体" w:cs="Times New Roman"/>
                <w:sz w:val="24"/>
              </w:rPr>
              <w:t>最大平均小时车流量</w:t>
            </w:r>
            <w:r>
              <w:rPr>
                <w:rFonts w:hint="eastAsia" w:ascii="Times New Roman" w:hAnsi="Times New Roman" w:eastAsia="宋体" w:cs="Times New Roman"/>
                <w:sz w:val="24"/>
              </w:rPr>
              <w:t>，辆/h</w:t>
            </w:r>
            <w:r>
              <w:rPr>
                <w:rFonts w:ascii="Times New Roman" w:hAnsi="Times New Roman" w:eastAsia="宋体" w:cs="Times New Roman"/>
                <w:kern w:val="0"/>
              </w:rPr>
              <w:t xml:space="preserve"> </w:t>
            </w:r>
          </w:p>
        </w:tc>
        <w:tc>
          <w:tcPr>
            <w:tcW w:w="966" w:type="pct"/>
            <w:tcBorders>
              <w:top w:val="single" w:color="auto" w:sz="4" w:space="0"/>
            </w:tcBorders>
            <w:vAlign w:val="center"/>
          </w:tcPr>
          <w:p w14:paraId="48A57A16">
            <w:pPr>
              <w:jc w:val="center"/>
              <w:rPr>
                <w:rFonts w:ascii="Times New Roman" w:hAnsi="Times New Roman" w:eastAsia="宋体" w:cs="Times New Roman"/>
                <w:kern w:val="0"/>
                <w:szCs w:val="21"/>
              </w:rPr>
            </w:pPr>
            <w:r>
              <w:rPr>
                <w:rFonts w:hint="eastAsia" w:ascii="Times New Roman" w:hAnsi="Times New Roman" w:cs="Times New Roman" w:eastAsiaTheme="majorEastAsia"/>
                <w:kern w:val="0"/>
                <w:szCs w:val="21"/>
              </w:rPr>
              <w:t>674</w:t>
            </w:r>
            <w:r>
              <w:rPr>
                <w:rFonts w:hint="eastAsia" w:ascii="Times New Roman" w:hAnsi="Times New Roman" w:eastAsia="宋体" w:cs="Times New Roman"/>
                <w:szCs w:val="21"/>
              </w:rPr>
              <w:t>辆/h</w:t>
            </w:r>
          </w:p>
        </w:tc>
        <w:tc>
          <w:tcPr>
            <w:tcW w:w="1849" w:type="pct"/>
            <w:tcBorders>
              <w:top w:val="single" w:color="auto" w:sz="4" w:space="0"/>
            </w:tcBorders>
            <w:vAlign w:val="center"/>
          </w:tcPr>
          <w:p w14:paraId="21CC3820">
            <w:pPr>
              <w:autoSpaceDE w:val="0"/>
              <w:autoSpaceDN w:val="0"/>
              <w:adjustRightInd w:val="0"/>
              <w:rPr>
                <w:rFonts w:ascii="Times New Roman" w:hAnsi="Times New Roman" w:eastAsia="宋体" w:cs="Times New Roman"/>
                <w:kern w:val="0"/>
              </w:rPr>
            </w:pPr>
            <w:r>
              <w:rPr>
                <w:rFonts w:ascii="Times New Roman" w:hAnsi="Times New Roman" w:eastAsia="宋体" w:cs="Times New Roman"/>
                <w:kern w:val="0"/>
              </w:rPr>
              <w:t>同一个</w:t>
            </w:r>
            <w:r>
              <w:rPr>
                <w:rFonts w:hint="eastAsia" w:ascii="Times New Roman" w:hAnsi="Times New Roman" w:eastAsia="宋体" w:cs="Times New Roman"/>
                <w:kern w:val="0"/>
              </w:rPr>
              <w:t>公路</w:t>
            </w:r>
            <w:r>
              <w:rPr>
                <w:rFonts w:ascii="Times New Roman" w:hAnsi="Times New Roman" w:eastAsia="宋体" w:cs="Times New Roman"/>
                <w:kern w:val="0"/>
              </w:rPr>
              <w:t>建设项目采用同一个值，取公路</w:t>
            </w:r>
            <w:r>
              <w:rPr>
                <w:rFonts w:hint="eastAsia" w:ascii="Times New Roman" w:hAnsi="Times New Roman" w:eastAsia="宋体" w:cs="Times New Roman"/>
                <w:kern w:val="0"/>
              </w:rPr>
              <w:t>运营期各代表年份、各路段平均小时车流量中的最大值，本项目</w:t>
            </w:r>
            <w:r>
              <w:rPr>
                <w:rFonts w:ascii="Times New Roman" w:hAnsi="Times New Roman" w:eastAsia="宋体" w:cs="Times New Roman"/>
                <w:kern w:val="0"/>
              </w:rPr>
              <w:t>距离衰减系数取</w:t>
            </w:r>
            <w:r>
              <w:rPr>
                <w:rFonts w:hint="eastAsia" w:ascii="Times New Roman" w:hAnsi="Times New Roman" w:eastAsia="宋体" w:cs="Times New Roman"/>
                <w:kern w:val="0"/>
              </w:rPr>
              <w:t>1</w:t>
            </w:r>
            <w:r>
              <w:rPr>
                <w:rFonts w:ascii="Times New Roman" w:hAnsi="Times New Roman" w:eastAsia="宋体" w:cs="Times New Roman"/>
                <w:kern w:val="0"/>
              </w:rPr>
              <w:t>0</w:t>
            </w:r>
            <w:r>
              <w:rPr>
                <w:rFonts w:hint="eastAsia" w:ascii="Times New Roman" w:hAnsi="Times New Roman" w:eastAsia="宋体" w:cs="Times New Roman"/>
                <w:kern w:val="0"/>
              </w:rPr>
              <w:t>。</w:t>
            </w:r>
          </w:p>
        </w:tc>
      </w:tr>
      <w:tr w14:paraId="6015871A">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303" w:type="pct"/>
            <w:vAlign w:val="center"/>
          </w:tcPr>
          <w:p w14:paraId="1413789C">
            <w:pPr>
              <w:jc w:val="center"/>
              <w:rPr>
                <w:rFonts w:ascii="Times New Roman" w:hAnsi="Times New Roman" w:eastAsia="宋体" w:cs="Times New Roman"/>
                <w:kern w:val="0"/>
              </w:rPr>
            </w:pPr>
            <w:r>
              <w:rPr>
                <w:rFonts w:ascii="Times New Roman" w:hAnsi="Times New Roman" w:eastAsia="宋体" w:cs="Times New Roman"/>
                <w:kern w:val="0"/>
              </w:rPr>
              <w:t>4</w:t>
            </w:r>
          </w:p>
        </w:tc>
        <w:tc>
          <w:tcPr>
            <w:tcW w:w="826" w:type="pct"/>
            <w:gridSpan w:val="2"/>
            <w:vAlign w:val="center"/>
          </w:tcPr>
          <w:p w14:paraId="324079B2">
            <w:pPr>
              <w:jc w:val="center"/>
              <w:rPr>
                <w:rFonts w:ascii="Times New Roman" w:hAnsi="Times New Roman" w:eastAsia="宋体" w:cs="Times New Roman"/>
                <w:kern w:val="0"/>
              </w:rPr>
            </w:pPr>
            <w:r>
              <w:rPr>
                <w:rFonts w:ascii="Times New Roman" w:hAnsi="Times New Roman" w:eastAsia="宋体" w:cs="Times New Roman"/>
                <w:i/>
                <w:iCs/>
                <w:kern w:val="0"/>
                <w:sz w:val="24"/>
              </w:rPr>
              <w:t>V</w:t>
            </w:r>
            <w:r>
              <w:rPr>
                <w:rFonts w:ascii="Times New Roman" w:hAnsi="Times New Roman" w:eastAsia="宋体" w:cs="Times New Roman"/>
                <w:i/>
                <w:iCs/>
                <w:kern w:val="0"/>
                <w:sz w:val="16"/>
                <w:szCs w:val="16"/>
              </w:rPr>
              <w:t>i</w:t>
            </w:r>
          </w:p>
        </w:tc>
        <w:tc>
          <w:tcPr>
            <w:tcW w:w="1054" w:type="pct"/>
            <w:vAlign w:val="center"/>
          </w:tcPr>
          <w:p w14:paraId="057BFFD2">
            <w:pPr>
              <w:rPr>
                <w:rFonts w:ascii="Times New Roman" w:hAnsi="Times New Roman" w:eastAsia="宋体" w:cs="Times New Roman"/>
                <w:kern w:val="0"/>
              </w:rPr>
            </w:pPr>
            <w:r>
              <w:rPr>
                <w:rFonts w:ascii="Times New Roman" w:hAnsi="Times New Roman" w:eastAsia="宋体" w:cs="Times New Roman"/>
                <w:kern w:val="0"/>
              </w:rPr>
              <w:t>第</w:t>
            </w:r>
            <w:r>
              <w:rPr>
                <w:rFonts w:ascii="Times New Roman" w:hAnsi="Times New Roman" w:eastAsia="宋体" w:cs="Times New Roman"/>
                <w:i/>
                <w:iCs/>
                <w:kern w:val="0"/>
              </w:rPr>
              <w:t xml:space="preserve">i </w:t>
            </w:r>
            <w:r>
              <w:rPr>
                <w:rFonts w:ascii="Times New Roman" w:hAnsi="Times New Roman" w:eastAsia="宋体" w:cs="Times New Roman"/>
                <w:kern w:val="0"/>
              </w:rPr>
              <w:t>类车的行驶速度</w:t>
            </w:r>
          </w:p>
        </w:tc>
        <w:tc>
          <w:tcPr>
            <w:tcW w:w="966" w:type="pct"/>
            <w:vAlign w:val="center"/>
          </w:tcPr>
          <w:p w14:paraId="5B9F56C5">
            <w:pPr>
              <w:jc w:val="center"/>
              <w:rPr>
                <w:rFonts w:ascii="Times New Roman" w:hAnsi="Times New Roman" w:eastAsia="宋体" w:cs="Times New Roman"/>
                <w:kern w:val="0"/>
              </w:rPr>
            </w:pPr>
            <w:r>
              <w:rPr>
                <w:rFonts w:ascii="Times New Roman" w:hAnsi="Times New Roman" w:eastAsia="宋体" w:cs="Times New Roman"/>
                <w:kern w:val="0"/>
              </w:rPr>
              <w:t>见表2.</w:t>
            </w:r>
            <w:r>
              <w:rPr>
                <w:rFonts w:hint="eastAsia" w:ascii="Times New Roman" w:hAnsi="Times New Roman" w:eastAsia="宋体" w:cs="Times New Roman"/>
                <w:kern w:val="0"/>
              </w:rPr>
              <w:t>5-16</w:t>
            </w:r>
          </w:p>
        </w:tc>
        <w:tc>
          <w:tcPr>
            <w:tcW w:w="1849" w:type="pct"/>
            <w:vAlign w:val="center"/>
          </w:tcPr>
          <w:p w14:paraId="60B309CB">
            <w:pPr>
              <w:autoSpaceDE w:val="0"/>
              <w:autoSpaceDN w:val="0"/>
              <w:adjustRightInd w:val="0"/>
              <w:rPr>
                <w:rFonts w:ascii="Times New Roman" w:hAnsi="Times New Roman" w:eastAsia="宋体" w:cs="Times New Roman"/>
                <w:kern w:val="0"/>
              </w:rPr>
            </w:pPr>
            <w:r>
              <w:rPr>
                <w:rFonts w:ascii="Times New Roman" w:hAnsi="Times New Roman" w:eastAsia="宋体" w:cs="Times New Roman"/>
                <w:kern w:val="0"/>
              </w:rPr>
              <w:t>依据</w:t>
            </w:r>
            <w:r>
              <w:rPr>
                <w:rFonts w:hint="eastAsia" w:ascii="Times New Roman" w:hAnsi="Times New Roman" w:eastAsia="宋体" w:cs="Times New Roman"/>
                <w:kern w:val="0"/>
              </w:rPr>
              <w:t>《环境影响评价技术导则</w:t>
            </w:r>
            <w:r>
              <w:rPr>
                <w:rFonts w:ascii="Times New Roman" w:hAnsi="Times New Roman" w:eastAsia="宋体" w:cs="Times New Roman"/>
                <w:kern w:val="0"/>
              </w:rPr>
              <w:t xml:space="preserve"> </w:t>
            </w:r>
            <w:r>
              <w:rPr>
                <w:rFonts w:hint="eastAsia" w:ascii="Times New Roman" w:hAnsi="Times New Roman" w:eastAsia="宋体" w:cs="Times New Roman"/>
                <w:kern w:val="0"/>
              </w:rPr>
              <w:t>公路建设项目》（</w:t>
            </w:r>
            <w:r>
              <w:rPr>
                <w:rFonts w:ascii="Times New Roman" w:hAnsi="Times New Roman" w:eastAsia="宋体" w:cs="Times New Roman"/>
                <w:kern w:val="0"/>
              </w:rPr>
              <w:t>HJ1358-2024</w:t>
            </w:r>
            <w:r>
              <w:rPr>
                <w:rFonts w:hint="eastAsia" w:ascii="Times New Roman" w:hAnsi="Times New Roman" w:eastAsia="宋体" w:cs="Times New Roman"/>
                <w:kern w:val="0"/>
              </w:rPr>
              <w:t>）</w:t>
            </w:r>
            <w:r>
              <w:rPr>
                <w:rFonts w:ascii="Times New Roman" w:hAnsi="Times New Roman" w:eastAsia="宋体" w:cs="Times New Roman"/>
                <w:kern w:val="0"/>
              </w:rPr>
              <w:t>提供的计算公式。</w:t>
            </w:r>
          </w:p>
        </w:tc>
      </w:tr>
      <w:tr w14:paraId="14298411">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303" w:type="pct"/>
            <w:vAlign w:val="center"/>
          </w:tcPr>
          <w:p w14:paraId="4675B438">
            <w:pPr>
              <w:jc w:val="center"/>
              <w:rPr>
                <w:rFonts w:ascii="Times New Roman" w:hAnsi="Times New Roman" w:eastAsia="宋体" w:cs="Times New Roman"/>
                <w:kern w:val="0"/>
              </w:rPr>
            </w:pPr>
            <w:r>
              <w:rPr>
                <w:rFonts w:ascii="Times New Roman" w:hAnsi="Times New Roman" w:eastAsia="宋体" w:cs="Times New Roman"/>
                <w:kern w:val="0"/>
              </w:rPr>
              <w:t>5</w:t>
            </w:r>
          </w:p>
        </w:tc>
        <w:tc>
          <w:tcPr>
            <w:tcW w:w="826" w:type="pct"/>
            <w:gridSpan w:val="2"/>
            <w:vAlign w:val="center"/>
          </w:tcPr>
          <w:p w14:paraId="0B56E2C1">
            <w:pPr>
              <w:jc w:val="center"/>
              <w:rPr>
                <w:rFonts w:ascii="Times New Roman" w:hAnsi="Times New Roman" w:eastAsia="宋体" w:cs="Times New Roman"/>
                <w:i/>
                <w:iCs/>
                <w:kern w:val="0"/>
                <w:sz w:val="24"/>
              </w:rPr>
            </w:pPr>
            <w:r>
              <w:rPr>
                <w:rFonts w:ascii="Times New Roman" w:hAnsi="Times New Roman" w:eastAsia="宋体" w:cs="Times New Roman"/>
                <w:i/>
                <w:iCs/>
                <w:kern w:val="0"/>
                <w:sz w:val="24"/>
              </w:rPr>
              <w:t>T</w:t>
            </w:r>
          </w:p>
        </w:tc>
        <w:tc>
          <w:tcPr>
            <w:tcW w:w="1054" w:type="pct"/>
            <w:vAlign w:val="center"/>
          </w:tcPr>
          <w:p w14:paraId="6C27E803">
            <w:pPr>
              <w:rPr>
                <w:rFonts w:ascii="Times New Roman" w:hAnsi="Times New Roman" w:eastAsia="宋体" w:cs="Times New Roman"/>
                <w:kern w:val="0"/>
              </w:rPr>
            </w:pPr>
            <w:r>
              <w:rPr>
                <w:rFonts w:ascii="Times New Roman" w:hAnsi="Times New Roman" w:eastAsia="宋体" w:cs="Times New Roman"/>
                <w:kern w:val="0"/>
              </w:rPr>
              <w:t>计算等效声级的时间h</w:t>
            </w:r>
          </w:p>
        </w:tc>
        <w:tc>
          <w:tcPr>
            <w:tcW w:w="966" w:type="pct"/>
            <w:vAlign w:val="center"/>
          </w:tcPr>
          <w:p w14:paraId="22D6955F">
            <w:pPr>
              <w:jc w:val="center"/>
              <w:rPr>
                <w:rFonts w:ascii="Times New Roman" w:hAnsi="Times New Roman" w:eastAsia="宋体" w:cs="Times New Roman"/>
                <w:kern w:val="0"/>
              </w:rPr>
            </w:pPr>
            <w:r>
              <w:rPr>
                <w:rFonts w:ascii="Times New Roman" w:hAnsi="Times New Roman" w:eastAsia="宋体" w:cs="Times New Roman"/>
                <w:kern w:val="0"/>
              </w:rPr>
              <w:t>1</w:t>
            </w:r>
          </w:p>
        </w:tc>
        <w:tc>
          <w:tcPr>
            <w:tcW w:w="1849" w:type="pct"/>
            <w:vAlign w:val="center"/>
          </w:tcPr>
          <w:p w14:paraId="116A71A2">
            <w:pPr>
              <w:autoSpaceDE w:val="0"/>
              <w:autoSpaceDN w:val="0"/>
              <w:adjustRightInd w:val="0"/>
              <w:rPr>
                <w:rFonts w:ascii="Times New Roman" w:hAnsi="Times New Roman" w:eastAsia="宋体" w:cs="Times New Roman"/>
                <w:kern w:val="0"/>
              </w:rPr>
            </w:pPr>
            <w:r>
              <w:rPr>
                <w:rFonts w:ascii="Times New Roman" w:hAnsi="Times New Roman" w:eastAsia="宋体" w:cs="Times New Roman"/>
                <w:kern w:val="0"/>
              </w:rPr>
              <w:t>预测模式要求</w:t>
            </w:r>
          </w:p>
        </w:tc>
      </w:tr>
      <w:tr w14:paraId="08DE0A7A">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303" w:type="pct"/>
            <w:vAlign w:val="center"/>
          </w:tcPr>
          <w:p w14:paraId="72803467">
            <w:pPr>
              <w:jc w:val="center"/>
              <w:rPr>
                <w:rFonts w:ascii="Times New Roman" w:hAnsi="Times New Roman" w:eastAsia="宋体" w:cs="Times New Roman"/>
                <w:kern w:val="0"/>
              </w:rPr>
            </w:pPr>
            <w:r>
              <w:rPr>
                <w:rFonts w:ascii="Times New Roman" w:hAnsi="Times New Roman" w:eastAsia="宋体" w:cs="Times New Roman"/>
                <w:kern w:val="0"/>
              </w:rPr>
              <w:t>6</w:t>
            </w:r>
          </w:p>
        </w:tc>
        <w:tc>
          <w:tcPr>
            <w:tcW w:w="826" w:type="pct"/>
            <w:gridSpan w:val="2"/>
            <w:vAlign w:val="center"/>
          </w:tcPr>
          <w:p w14:paraId="53D16025">
            <w:pPr>
              <w:jc w:val="center"/>
              <w:rPr>
                <w:rFonts w:ascii="Times New Roman" w:hAnsi="Times New Roman" w:eastAsia="宋体" w:cs="Times New Roman"/>
                <w:i/>
                <w:iCs/>
                <w:kern w:val="0"/>
                <w:sz w:val="24"/>
              </w:rPr>
            </w:pPr>
            <w:r>
              <w:rPr>
                <w:rFonts w:ascii="Times New Roman" w:hAnsi="Times New Roman" w:eastAsia="宋体" w:cs="Times New Roman"/>
                <w:i/>
                <w:iCs/>
                <w:kern w:val="0"/>
                <w:sz w:val="24"/>
              </w:rPr>
              <w:t>r</w:t>
            </w:r>
          </w:p>
        </w:tc>
        <w:tc>
          <w:tcPr>
            <w:tcW w:w="1054" w:type="pct"/>
            <w:vAlign w:val="center"/>
          </w:tcPr>
          <w:p w14:paraId="3FB36B7F">
            <w:pPr>
              <w:rPr>
                <w:rFonts w:ascii="Times New Roman" w:hAnsi="Times New Roman" w:eastAsia="宋体" w:cs="Times New Roman"/>
                <w:kern w:val="0"/>
              </w:rPr>
            </w:pPr>
            <w:r>
              <w:rPr>
                <w:rFonts w:ascii="Times New Roman" w:hAnsi="Times New Roman" w:eastAsia="宋体" w:cs="Times New Roman"/>
                <w:kern w:val="0"/>
              </w:rPr>
              <w:t>车道中心线到预测点的距离</w:t>
            </w:r>
          </w:p>
        </w:tc>
        <w:tc>
          <w:tcPr>
            <w:tcW w:w="966" w:type="pct"/>
            <w:vAlign w:val="center"/>
          </w:tcPr>
          <w:p w14:paraId="334F16BD">
            <w:pPr>
              <w:jc w:val="center"/>
              <w:rPr>
                <w:rFonts w:ascii="Times New Roman" w:hAnsi="Times New Roman" w:eastAsia="宋体" w:cs="Times New Roman"/>
                <w:kern w:val="0"/>
              </w:rPr>
            </w:pPr>
            <w:r>
              <w:rPr>
                <w:rFonts w:ascii="Times New Roman" w:hAnsi="Times New Roman" w:eastAsia="宋体" w:cs="Times New Roman"/>
                <w:kern w:val="0"/>
              </w:rPr>
              <w:t>r=预测点到路中心线距离-各车道中心线到路中心线距离</w:t>
            </w:r>
          </w:p>
        </w:tc>
        <w:tc>
          <w:tcPr>
            <w:tcW w:w="1849" w:type="pct"/>
            <w:vAlign w:val="center"/>
          </w:tcPr>
          <w:p w14:paraId="52B9C49F">
            <w:pPr>
              <w:autoSpaceDE w:val="0"/>
              <w:autoSpaceDN w:val="0"/>
              <w:adjustRightInd w:val="0"/>
              <w:rPr>
                <w:rFonts w:ascii="Times New Roman" w:hAnsi="Times New Roman" w:eastAsia="宋体" w:cs="Times New Roman"/>
                <w:kern w:val="0"/>
              </w:rPr>
            </w:pPr>
            <w:r>
              <w:rPr>
                <w:rFonts w:ascii="Times New Roman" w:hAnsi="Times New Roman" w:eastAsia="宋体" w:cs="Times New Roman"/>
                <w:kern w:val="0"/>
              </w:rPr>
              <w:t>各车道中心线到路中心线距离根据路基标准横断面图计算得出。</w:t>
            </w:r>
          </w:p>
        </w:tc>
      </w:tr>
      <w:tr w14:paraId="31944E6B">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303" w:type="pct"/>
            <w:vMerge w:val="restart"/>
            <w:vAlign w:val="center"/>
          </w:tcPr>
          <w:p w14:paraId="021159B8">
            <w:pPr>
              <w:jc w:val="center"/>
              <w:rPr>
                <w:rFonts w:ascii="Times New Roman" w:hAnsi="Times New Roman" w:eastAsia="宋体" w:cs="Times New Roman"/>
                <w:kern w:val="0"/>
              </w:rPr>
            </w:pPr>
            <w:r>
              <w:rPr>
                <w:rFonts w:ascii="Times New Roman" w:hAnsi="Times New Roman" w:eastAsia="宋体" w:cs="Times New Roman"/>
                <w:kern w:val="0"/>
              </w:rPr>
              <w:t>7</w:t>
            </w:r>
          </w:p>
        </w:tc>
        <w:tc>
          <w:tcPr>
            <w:tcW w:w="354" w:type="pct"/>
            <w:vMerge w:val="restart"/>
            <w:vAlign w:val="center"/>
          </w:tcPr>
          <w:p w14:paraId="703D7038">
            <w:pPr>
              <w:jc w:val="center"/>
              <w:rPr>
                <w:rFonts w:ascii="Times New Roman" w:hAnsi="Times New Roman" w:eastAsia="宋体" w:cs="Times New Roman"/>
                <w:kern w:val="0"/>
                <w:vertAlign w:val="subscript"/>
              </w:rPr>
            </w:pPr>
            <w:r>
              <w:rPr>
                <w:rFonts w:ascii="Times New Roman" w:hAnsi="Times New Roman" w:eastAsia="宋体" w:cs="Times New Roman"/>
                <w:kern w:val="0"/>
                <w:sz w:val="24"/>
              </w:rPr>
              <w:t>Δ</w:t>
            </w:r>
            <w:r>
              <w:rPr>
                <w:rFonts w:ascii="Times New Roman" w:hAnsi="Times New Roman" w:eastAsia="宋体" w:cs="Times New Roman"/>
                <w:i/>
                <w:kern w:val="0"/>
                <w:sz w:val="24"/>
              </w:rPr>
              <w:t>L</w:t>
            </w:r>
            <w:r>
              <w:rPr>
                <w:rFonts w:ascii="Times New Roman" w:hAnsi="Times New Roman" w:eastAsia="宋体" w:cs="Times New Roman"/>
                <w:i/>
                <w:kern w:val="0"/>
                <w:sz w:val="24"/>
                <w:vertAlign w:val="subscript"/>
              </w:rPr>
              <w:t>1</w:t>
            </w:r>
          </w:p>
        </w:tc>
        <w:tc>
          <w:tcPr>
            <w:tcW w:w="471" w:type="pct"/>
            <w:vAlign w:val="center"/>
          </w:tcPr>
          <w:p w14:paraId="6E6417DF">
            <w:pPr>
              <w:jc w:val="center"/>
              <w:rPr>
                <w:rFonts w:ascii="Times New Roman" w:hAnsi="Times New Roman" w:eastAsia="宋体" w:cs="Times New Roman"/>
                <w:kern w:val="0"/>
              </w:rPr>
            </w:pPr>
            <w:r>
              <w:rPr>
                <w:rFonts w:ascii="Times New Roman" w:hAnsi="Times New Roman" w:eastAsia="宋体" w:cs="Times New Roman"/>
                <w:kern w:val="0"/>
                <w:sz w:val="24"/>
              </w:rPr>
              <w:t>Δ</w:t>
            </w:r>
            <w:r>
              <w:rPr>
                <w:rFonts w:ascii="Times New Roman" w:hAnsi="Times New Roman" w:eastAsia="宋体" w:cs="Times New Roman"/>
                <w:i/>
                <w:kern w:val="0"/>
                <w:sz w:val="24"/>
              </w:rPr>
              <w:t>L</w:t>
            </w:r>
            <w:r>
              <w:rPr>
                <w:rFonts w:ascii="Times New Roman" w:hAnsi="Times New Roman" w:eastAsia="宋体" w:cs="Times New Roman"/>
                <w:i/>
                <w:kern w:val="0"/>
                <w:sz w:val="24"/>
                <w:vertAlign w:val="subscript"/>
              </w:rPr>
              <w:t>坡度</w:t>
            </w:r>
          </w:p>
        </w:tc>
        <w:tc>
          <w:tcPr>
            <w:tcW w:w="1054" w:type="pct"/>
            <w:vAlign w:val="center"/>
          </w:tcPr>
          <w:p w14:paraId="3005AA6D">
            <w:pPr>
              <w:rPr>
                <w:rFonts w:ascii="Times New Roman" w:hAnsi="Times New Roman" w:eastAsia="宋体" w:cs="Times New Roman"/>
                <w:iCs/>
                <w:kern w:val="0"/>
              </w:rPr>
            </w:pPr>
            <w:r>
              <w:rPr>
                <w:rFonts w:ascii="Times New Roman" w:hAnsi="Times New Roman" w:eastAsia="宋体" w:cs="Times New Roman"/>
                <w:iCs/>
                <w:kern w:val="0"/>
              </w:rPr>
              <w:t>公路纵坡修正量dB(A)</w:t>
            </w:r>
          </w:p>
        </w:tc>
        <w:tc>
          <w:tcPr>
            <w:tcW w:w="966" w:type="pct"/>
            <w:vAlign w:val="center"/>
          </w:tcPr>
          <w:p w14:paraId="1C867AF5">
            <w:pPr>
              <w:jc w:val="center"/>
              <w:rPr>
                <w:rFonts w:ascii="Times New Roman" w:hAnsi="Times New Roman" w:eastAsia="宋体" w:cs="Times New Roman"/>
                <w:kern w:val="0"/>
              </w:rPr>
            </w:pPr>
            <w:r>
              <w:rPr>
                <w:rFonts w:ascii="Times New Roman" w:hAnsi="Times New Roman" w:eastAsia="宋体" w:cs="Times New Roman"/>
                <w:kern w:val="0"/>
              </w:rPr>
              <w:t>见4.</w:t>
            </w:r>
            <w:r>
              <w:rPr>
                <w:rFonts w:hint="eastAsia" w:ascii="Times New Roman" w:hAnsi="Times New Roman" w:eastAsia="宋体" w:cs="Times New Roman"/>
                <w:kern w:val="0"/>
              </w:rPr>
              <w:t>2节</w:t>
            </w:r>
          </w:p>
        </w:tc>
        <w:tc>
          <w:tcPr>
            <w:tcW w:w="1849" w:type="pct"/>
            <w:vAlign w:val="center"/>
          </w:tcPr>
          <w:p w14:paraId="2405E1F9">
            <w:pPr>
              <w:autoSpaceDE w:val="0"/>
              <w:autoSpaceDN w:val="0"/>
              <w:adjustRightInd w:val="0"/>
              <w:rPr>
                <w:rFonts w:ascii="Times New Roman" w:hAnsi="Times New Roman" w:eastAsia="宋体" w:cs="Times New Roman"/>
                <w:kern w:val="0"/>
              </w:rPr>
            </w:pPr>
            <w:r>
              <w:rPr>
                <w:rFonts w:ascii="Times New Roman" w:hAnsi="Times New Roman" w:eastAsia="宋体" w:cs="Times New Roman"/>
                <w:kern w:val="0"/>
              </w:rPr>
              <w:t>大型车：ΔL</w:t>
            </w:r>
            <w:r>
              <w:rPr>
                <w:rFonts w:ascii="Times New Roman" w:hAnsi="Times New Roman" w:eastAsia="宋体" w:cs="Times New Roman"/>
                <w:kern w:val="0"/>
                <w:sz w:val="11"/>
                <w:szCs w:val="11"/>
              </w:rPr>
              <w:t>坡度</w:t>
            </w:r>
            <w:r>
              <w:rPr>
                <w:rFonts w:ascii="Times New Roman" w:hAnsi="Times New Roman" w:eastAsia="宋体" w:cs="Times New Roman"/>
                <w:kern w:val="0"/>
              </w:rPr>
              <w:t>=98×β dB(A)</w:t>
            </w:r>
          </w:p>
          <w:p w14:paraId="313BFC2D">
            <w:pPr>
              <w:autoSpaceDE w:val="0"/>
              <w:autoSpaceDN w:val="0"/>
              <w:adjustRightInd w:val="0"/>
              <w:rPr>
                <w:rFonts w:ascii="Times New Roman" w:hAnsi="Times New Roman" w:eastAsia="宋体" w:cs="Times New Roman"/>
                <w:kern w:val="0"/>
              </w:rPr>
            </w:pPr>
            <w:r>
              <w:rPr>
                <w:rFonts w:ascii="Times New Roman" w:hAnsi="Times New Roman" w:eastAsia="宋体" w:cs="Times New Roman"/>
                <w:kern w:val="0"/>
              </w:rPr>
              <w:t>中型车：ΔL</w:t>
            </w:r>
            <w:r>
              <w:rPr>
                <w:rFonts w:ascii="Times New Roman" w:hAnsi="Times New Roman" w:eastAsia="宋体" w:cs="Times New Roman"/>
                <w:kern w:val="0"/>
                <w:sz w:val="11"/>
                <w:szCs w:val="11"/>
              </w:rPr>
              <w:t>坡度</w:t>
            </w:r>
            <w:r>
              <w:rPr>
                <w:rFonts w:ascii="Times New Roman" w:hAnsi="Times New Roman" w:eastAsia="宋体" w:cs="Times New Roman"/>
                <w:kern w:val="0"/>
              </w:rPr>
              <w:t>=73×β dB(A)</w:t>
            </w:r>
          </w:p>
          <w:p w14:paraId="30B03BA0">
            <w:pPr>
              <w:rPr>
                <w:rFonts w:ascii="Times New Roman" w:hAnsi="Times New Roman" w:eastAsia="宋体" w:cs="Times New Roman"/>
                <w:kern w:val="0"/>
              </w:rPr>
            </w:pPr>
            <w:r>
              <w:rPr>
                <w:rFonts w:ascii="Times New Roman" w:hAnsi="Times New Roman" w:eastAsia="宋体" w:cs="Times New Roman"/>
                <w:kern w:val="0"/>
              </w:rPr>
              <w:t>小型车：ΔL</w:t>
            </w:r>
            <w:r>
              <w:rPr>
                <w:rFonts w:ascii="Times New Roman" w:hAnsi="Times New Roman" w:eastAsia="宋体" w:cs="Times New Roman"/>
                <w:kern w:val="0"/>
                <w:sz w:val="11"/>
                <w:szCs w:val="11"/>
              </w:rPr>
              <w:t>坡度</w:t>
            </w:r>
            <w:r>
              <w:rPr>
                <w:rFonts w:ascii="Times New Roman" w:hAnsi="Times New Roman" w:eastAsia="宋体" w:cs="Times New Roman"/>
                <w:kern w:val="0"/>
              </w:rPr>
              <w:t>=50×β dB(A)</w:t>
            </w:r>
          </w:p>
        </w:tc>
      </w:tr>
      <w:tr w14:paraId="7AD0ECBF">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303" w:type="pct"/>
            <w:vMerge w:val="continue"/>
            <w:vAlign w:val="center"/>
          </w:tcPr>
          <w:p w14:paraId="21520EA6">
            <w:pPr>
              <w:jc w:val="center"/>
              <w:rPr>
                <w:rFonts w:ascii="Times New Roman" w:hAnsi="Times New Roman" w:eastAsia="宋体" w:cs="Times New Roman"/>
                <w:kern w:val="0"/>
              </w:rPr>
            </w:pPr>
          </w:p>
        </w:tc>
        <w:tc>
          <w:tcPr>
            <w:tcW w:w="354" w:type="pct"/>
            <w:vMerge w:val="continue"/>
            <w:vAlign w:val="center"/>
          </w:tcPr>
          <w:p w14:paraId="519F373D">
            <w:pPr>
              <w:jc w:val="center"/>
              <w:rPr>
                <w:rFonts w:ascii="Times New Roman" w:hAnsi="Times New Roman" w:eastAsia="宋体" w:cs="Times New Roman"/>
                <w:kern w:val="0"/>
              </w:rPr>
            </w:pPr>
          </w:p>
        </w:tc>
        <w:tc>
          <w:tcPr>
            <w:tcW w:w="471" w:type="pct"/>
            <w:vAlign w:val="center"/>
          </w:tcPr>
          <w:p w14:paraId="436D3CC0">
            <w:pPr>
              <w:jc w:val="center"/>
              <w:rPr>
                <w:rFonts w:ascii="Times New Roman" w:hAnsi="Times New Roman" w:eastAsia="宋体" w:cs="Times New Roman"/>
                <w:kern w:val="0"/>
              </w:rPr>
            </w:pPr>
            <w:r>
              <w:rPr>
                <w:rFonts w:ascii="Times New Roman" w:hAnsi="Times New Roman" w:eastAsia="宋体" w:cs="Times New Roman"/>
                <w:kern w:val="0"/>
                <w:sz w:val="24"/>
              </w:rPr>
              <w:t>Δ</w:t>
            </w:r>
            <w:r>
              <w:rPr>
                <w:rFonts w:ascii="Times New Roman" w:hAnsi="Times New Roman" w:eastAsia="宋体" w:cs="Times New Roman"/>
                <w:i/>
                <w:kern w:val="0"/>
                <w:sz w:val="24"/>
              </w:rPr>
              <w:t>L</w:t>
            </w:r>
            <w:r>
              <w:rPr>
                <w:rFonts w:ascii="Times New Roman" w:hAnsi="Times New Roman" w:eastAsia="宋体" w:cs="Times New Roman"/>
                <w:i/>
                <w:kern w:val="0"/>
                <w:sz w:val="24"/>
                <w:vertAlign w:val="subscript"/>
              </w:rPr>
              <w:t>路面</w:t>
            </w:r>
          </w:p>
        </w:tc>
        <w:tc>
          <w:tcPr>
            <w:tcW w:w="1054" w:type="pct"/>
            <w:vAlign w:val="center"/>
          </w:tcPr>
          <w:p w14:paraId="3CF77A4A">
            <w:pPr>
              <w:rPr>
                <w:rFonts w:ascii="Times New Roman" w:hAnsi="Times New Roman" w:eastAsia="宋体" w:cs="Times New Roman"/>
                <w:iCs/>
                <w:kern w:val="0"/>
              </w:rPr>
            </w:pPr>
            <w:r>
              <w:rPr>
                <w:rFonts w:ascii="Times New Roman" w:hAnsi="Times New Roman" w:eastAsia="宋体" w:cs="Times New Roman"/>
                <w:iCs/>
                <w:kern w:val="0"/>
              </w:rPr>
              <w:t>路面引起的修正量dB(A)</w:t>
            </w:r>
          </w:p>
        </w:tc>
        <w:tc>
          <w:tcPr>
            <w:tcW w:w="966" w:type="pct"/>
            <w:vAlign w:val="center"/>
          </w:tcPr>
          <w:p w14:paraId="6DAADB95">
            <w:pPr>
              <w:jc w:val="center"/>
              <w:rPr>
                <w:rFonts w:ascii="Times New Roman" w:hAnsi="Times New Roman" w:eastAsia="宋体" w:cs="Times New Roman"/>
                <w:kern w:val="0"/>
              </w:rPr>
            </w:pPr>
            <w:r>
              <w:rPr>
                <w:rFonts w:hint="eastAsia" w:ascii="Times New Roman" w:hAnsi="Times New Roman" w:eastAsia="宋体" w:cs="Times New Roman"/>
                <w:kern w:val="0"/>
              </w:rPr>
              <w:t>-</w:t>
            </w:r>
            <w:r>
              <w:rPr>
                <w:rFonts w:ascii="Times New Roman" w:hAnsi="Times New Roman" w:eastAsia="宋体" w:cs="Times New Roman"/>
                <w:kern w:val="0"/>
              </w:rPr>
              <w:t>1</w:t>
            </w:r>
          </w:p>
        </w:tc>
        <w:tc>
          <w:tcPr>
            <w:tcW w:w="1849" w:type="pct"/>
            <w:vAlign w:val="center"/>
          </w:tcPr>
          <w:p w14:paraId="221CFAF9">
            <w:pPr>
              <w:autoSpaceDE w:val="0"/>
              <w:autoSpaceDN w:val="0"/>
              <w:adjustRightInd w:val="0"/>
              <w:rPr>
                <w:rFonts w:ascii="Times New Roman" w:hAnsi="Times New Roman" w:eastAsia="宋体" w:cs="Times New Roman"/>
                <w:kern w:val="0"/>
              </w:rPr>
            </w:pPr>
            <w:r>
              <w:rPr>
                <w:rFonts w:ascii="Times New Roman" w:hAnsi="Times New Roman" w:eastAsia="宋体" w:cs="Times New Roman"/>
                <w:kern w:val="0"/>
              </w:rPr>
              <w:t>本项目为改性沥青混凝土路面，根据已有研究成果</w:t>
            </w:r>
            <w:r>
              <w:rPr>
                <w:rFonts w:hint="eastAsia" w:ascii="Times New Roman" w:hAnsi="Times New Roman" w:eastAsia="宋体" w:cs="Times New Roman"/>
                <w:kern w:val="0"/>
              </w:rPr>
              <w:t>，</w:t>
            </w:r>
            <w:r>
              <w:rPr>
                <w:rFonts w:ascii="Times New Roman" w:hAnsi="Times New Roman" w:eastAsia="宋体" w:cs="Times New Roman"/>
                <w:kern w:val="0"/>
              </w:rPr>
              <w:t>取</w:t>
            </w:r>
            <w:r>
              <w:rPr>
                <w:rFonts w:hint="eastAsia" w:ascii="Times New Roman" w:hAnsi="Times New Roman" w:eastAsia="宋体" w:cs="Times New Roman"/>
                <w:kern w:val="0"/>
              </w:rPr>
              <w:t>-</w:t>
            </w:r>
            <w:r>
              <w:rPr>
                <w:rFonts w:ascii="Times New Roman" w:hAnsi="Times New Roman" w:eastAsia="宋体" w:cs="Times New Roman"/>
                <w:kern w:val="0"/>
              </w:rPr>
              <w:t>1。</w:t>
            </w:r>
          </w:p>
        </w:tc>
      </w:tr>
      <w:tr w14:paraId="4266FD74">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303" w:type="pct"/>
            <w:vAlign w:val="center"/>
          </w:tcPr>
          <w:p w14:paraId="15CD26B1">
            <w:pPr>
              <w:jc w:val="center"/>
              <w:rPr>
                <w:rFonts w:ascii="Times New Roman" w:hAnsi="Times New Roman" w:eastAsia="宋体" w:cs="Times New Roman"/>
                <w:kern w:val="0"/>
              </w:rPr>
            </w:pPr>
            <w:r>
              <w:rPr>
                <w:rFonts w:ascii="Times New Roman" w:hAnsi="Times New Roman" w:eastAsia="宋体" w:cs="Times New Roman"/>
                <w:kern w:val="0"/>
              </w:rPr>
              <w:t>8</w:t>
            </w:r>
          </w:p>
        </w:tc>
        <w:tc>
          <w:tcPr>
            <w:tcW w:w="354" w:type="pct"/>
            <w:vMerge w:val="restart"/>
            <w:vAlign w:val="center"/>
          </w:tcPr>
          <w:p w14:paraId="0C1F461D">
            <w:pPr>
              <w:jc w:val="center"/>
              <w:rPr>
                <w:rFonts w:ascii="Times New Roman" w:hAnsi="Times New Roman" w:eastAsia="宋体" w:cs="Times New Roman"/>
                <w:kern w:val="0"/>
                <w:vertAlign w:val="subscript"/>
              </w:rPr>
            </w:pPr>
            <w:r>
              <w:rPr>
                <w:rFonts w:ascii="Times New Roman" w:hAnsi="Times New Roman" w:eastAsia="宋体" w:cs="Times New Roman"/>
                <w:kern w:val="0"/>
                <w:sz w:val="24"/>
              </w:rPr>
              <w:t>Δ</w:t>
            </w:r>
            <w:r>
              <w:rPr>
                <w:rFonts w:ascii="Times New Roman" w:hAnsi="Times New Roman" w:eastAsia="宋体" w:cs="Times New Roman"/>
                <w:i/>
                <w:kern w:val="0"/>
                <w:sz w:val="24"/>
              </w:rPr>
              <w:t>L</w:t>
            </w:r>
            <w:r>
              <w:rPr>
                <w:rFonts w:ascii="Times New Roman" w:hAnsi="Times New Roman" w:eastAsia="宋体" w:cs="Times New Roman"/>
                <w:i/>
                <w:kern w:val="0"/>
                <w:sz w:val="24"/>
                <w:vertAlign w:val="subscript"/>
              </w:rPr>
              <w:t>2</w:t>
            </w:r>
          </w:p>
        </w:tc>
        <w:tc>
          <w:tcPr>
            <w:tcW w:w="471" w:type="pct"/>
            <w:vAlign w:val="center"/>
          </w:tcPr>
          <w:p w14:paraId="45C8C0C4">
            <w:pPr>
              <w:jc w:val="center"/>
              <w:rPr>
                <w:rFonts w:ascii="Times New Roman" w:hAnsi="Times New Roman" w:eastAsia="宋体" w:cs="Times New Roman"/>
                <w:i/>
                <w:kern w:val="0"/>
              </w:rPr>
            </w:pPr>
            <w:r>
              <w:rPr>
                <w:rFonts w:ascii="Times New Roman" w:hAnsi="Times New Roman" w:eastAsia="宋体" w:cs="Times New Roman"/>
                <w:i/>
                <w:kern w:val="0"/>
              </w:rPr>
              <w:t>A</w:t>
            </w:r>
            <w:r>
              <w:rPr>
                <w:rFonts w:ascii="Times New Roman" w:hAnsi="Times New Roman" w:eastAsia="宋体" w:cs="Times New Roman"/>
                <w:i/>
                <w:kern w:val="0"/>
                <w:vertAlign w:val="subscript"/>
              </w:rPr>
              <w:t>atm</w:t>
            </w:r>
          </w:p>
        </w:tc>
        <w:tc>
          <w:tcPr>
            <w:tcW w:w="1054" w:type="pct"/>
            <w:vAlign w:val="center"/>
          </w:tcPr>
          <w:p w14:paraId="3DAC6541">
            <w:pPr>
              <w:rPr>
                <w:rFonts w:ascii="Times New Roman" w:hAnsi="Times New Roman" w:eastAsia="宋体" w:cs="Times New Roman"/>
                <w:kern w:val="0"/>
              </w:rPr>
            </w:pPr>
            <w:r>
              <w:rPr>
                <w:rFonts w:ascii="Times New Roman" w:hAnsi="Times New Roman" w:eastAsia="宋体" w:cs="Times New Roman"/>
                <w:kern w:val="0"/>
              </w:rPr>
              <w:t>空气吸收衰减量</w:t>
            </w:r>
          </w:p>
        </w:tc>
        <w:tc>
          <w:tcPr>
            <w:tcW w:w="966" w:type="pct"/>
            <w:vAlign w:val="center"/>
          </w:tcPr>
          <w:p w14:paraId="1FA1BE8E">
            <w:pPr>
              <w:jc w:val="center"/>
              <w:rPr>
                <w:rFonts w:ascii="Times New Roman" w:hAnsi="Times New Roman" w:eastAsia="宋体" w:cs="Times New Roman"/>
                <w:kern w:val="0"/>
              </w:rPr>
            </w:pPr>
            <w:r>
              <w:rPr>
                <w:rFonts w:ascii="Times New Roman" w:hAnsi="Times New Roman" w:eastAsia="宋体" w:cs="Times New Roman"/>
                <w:kern w:val="0"/>
              </w:rPr>
              <w:t>见4.</w:t>
            </w:r>
            <w:r>
              <w:rPr>
                <w:rFonts w:hint="eastAsia" w:ascii="Times New Roman" w:hAnsi="Times New Roman" w:eastAsia="宋体" w:cs="Times New Roman"/>
                <w:kern w:val="0"/>
              </w:rPr>
              <w:t>2节</w:t>
            </w:r>
          </w:p>
        </w:tc>
        <w:tc>
          <w:tcPr>
            <w:tcW w:w="1849" w:type="pct"/>
            <w:vAlign w:val="center"/>
          </w:tcPr>
          <w:p w14:paraId="565D2C73">
            <w:pPr>
              <w:autoSpaceDE w:val="0"/>
              <w:autoSpaceDN w:val="0"/>
              <w:adjustRightInd w:val="0"/>
              <w:rPr>
                <w:rFonts w:ascii="Times New Roman" w:hAnsi="Times New Roman" w:eastAsia="宋体" w:cs="Times New Roman"/>
                <w:kern w:val="0"/>
              </w:rPr>
            </w:pPr>
            <w:r>
              <w:rPr>
                <w:rFonts w:ascii="Times New Roman" w:hAnsi="Times New Roman" w:eastAsia="宋体" w:cs="Times New Roman"/>
                <w:i/>
                <w:iCs/>
                <w:kern w:val="0"/>
              </w:rPr>
              <w:t>a</w:t>
            </w:r>
            <w:r>
              <w:rPr>
                <w:rFonts w:ascii="Times New Roman" w:hAnsi="Times New Roman" w:eastAsia="宋体" w:cs="Times New Roman"/>
                <w:kern w:val="0"/>
              </w:rPr>
              <w:t>为声波频率、温度和湿度的函数，根据</w:t>
            </w:r>
            <w:r>
              <w:rPr>
                <w:rFonts w:hint="eastAsia" w:ascii="Times New Roman" w:hAnsi="Times New Roman" w:eastAsia="宋体" w:cs="Times New Roman"/>
                <w:kern w:val="0"/>
              </w:rPr>
              <w:t>拟建公路</w:t>
            </w:r>
            <w:r>
              <w:rPr>
                <w:rFonts w:ascii="Times New Roman" w:hAnsi="Times New Roman" w:eastAsia="宋体" w:cs="Times New Roman"/>
                <w:kern w:val="0"/>
              </w:rPr>
              <w:t>所处区域常年平均气温和湿度，本项目空气吸收系数取为2.8。</w:t>
            </w:r>
          </w:p>
        </w:tc>
      </w:tr>
      <w:tr w14:paraId="32A4707A">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303" w:type="pct"/>
            <w:vAlign w:val="center"/>
          </w:tcPr>
          <w:p w14:paraId="17239AC2">
            <w:pPr>
              <w:jc w:val="center"/>
              <w:rPr>
                <w:rFonts w:ascii="Times New Roman" w:hAnsi="Times New Roman" w:eastAsia="宋体" w:cs="Times New Roman"/>
                <w:kern w:val="0"/>
              </w:rPr>
            </w:pPr>
            <w:r>
              <w:rPr>
                <w:rFonts w:ascii="Times New Roman" w:hAnsi="Times New Roman" w:eastAsia="宋体" w:cs="Times New Roman"/>
                <w:kern w:val="0"/>
              </w:rPr>
              <w:t>9</w:t>
            </w:r>
          </w:p>
        </w:tc>
        <w:tc>
          <w:tcPr>
            <w:tcW w:w="354" w:type="pct"/>
            <w:vMerge w:val="continue"/>
            <w:vAlign w:val="center"/>
          </w:tcPr>
          <w:p w14:paraId="067A711B">
            <w:pPr>
              <w:jc w:val="center"/>
              <w:rPr>
                <w:rFonts w:ascii="Times New Roman" w:hAnsi="Times New Roman" w:eastAsia="宋体" w:cs="Times New Roman"/>
                <w:kern w:val="0"/>
              </w:rPr>
            </w:pPr>
          </w:p>
        </w:tc>
        <w:tc>
          <w:tcPr>
            <w:tcW w:w="471" w:type="pct"/>
            <w:vAlign w:val="center"/>
          </w:tcPr>
          <w:p w14:paraId="0172A774">
            <w:pPr>
              <w:jc w:val="center"/>
              <w:rPr>
                <w:rFonts w:ascii="Times New Roman" w:hAnsi="Times New Roman" w:eastAsia="宋体" w:cs="Times New Roman"/>
                <w:kern w:val="0"/>
              </w:rPr>
            </w:pPr>
            <w:r>
              <w:rPr>
                <w:rFonts w:ascii="Times New Roman" w:hAnsi="Times New Roman" w:eastAsia="宋体" w:cs="Times New Roman"/>
                <w:i/>
                <w:kern w:val="0"/>
              </w:rPr>
              <w:t>A</w:t>
            </w:r>
            <w:r>
              <w:rPr>
                <w:rFonts w:ascii="Times New Roman" w:hAnsi="Times New Roman" w:eastAsia="宋体" w:cs="Times New Roman"/>
                <w:i/>
                <w:kern w:val="0"/>
                <w:vertAlign w:val="subscript"/>
              </w:rPr>
              <w:t>gr</w:t>
            </w:r>
          </w:p>
        </w:tc>
        <w:tc>
          <w:tcPr>
            <w:tcW w:w="1054" w:type="pct"/>
            <w:vAlign w:val="center"/>
          </w:tcPr>
          <w:p w14:paraId="13C1F25D">
            <w:pPr>
              <w:rPr>
                <w:rFonts w:ascii="Times New Roman" w:hAnsi="Times New Roman" w:eastAsia="宋体" w:cs="Times New Roman"/>
                <w:kern w:val="0"/>
              </w:rPr>
            </w:pPr>
            <w:r>
              <w:rPr>
                <w:rFonts w:ascii="Times New Roman" w:hAnsi="Times New Roman" w:eastAsia="宋体" w:cs="Times New Roman"/>
                <w:kern w:val="0"/>
              </w:rPr>
              <w:t>地面效应衰减量</w:t>
            </w:r>
          </w:p>
        </w:tc>
        <w:tc>
          <w:tcPr>
            <w:tcW w:w="966" w:type="pct"/>
            <w:vAlign w:val="center"/>
          </w:tcPr>
          <w:p w14:paraId="6548EA98">
            <w:pPr>
              <w:jc w:val="center"/>
              <w:rPr>
                <w:rFonts w:ascii="Times New Roman" w:hAnsi="Times New Roman" w:eastAsia="宋体" w:cs="Times New Roman"/>
                <w:kern w:val="0"/>
              </w:rPr>
            </w:pPr>
            <w:r>
              <w:rPr>
                <w:rFonts w:ascii="Times New Roman" w:hAnsi="Times New Roman" w:eastAsia="宋体" w:cs="Times New Roman"/>
                <w:kern w:val="0"/>
              </w:rPr>
              <w:t>见4.</w:t>
            </w:r>
            <w:r>
              <w:rPr>
                <w:rFonts w:hint="eastAsia" w:ascii="Times New Roman" w:hAnsi="Times New Roman" w:eastAsia="宋体" w:cs="Times New Roman"/>
                <w:kern w:val="0"/>
              </w:rPr>
              <w:t>2节</w:t>
            </w:r>
          </w:p>
        </w:tc>
        <w:tc>
          <w:tcPr>
            <w:tcW w:w="1849" w:type="pct"/>
            <w:vAlign w:val="center"/>
          </w:tcPr>
          <w:p w14:paraId="34EE84A1">
            <w:pPr>
              <w:rPr>
                <w:rFonts w:ascii="Times New Roman" w:hAnsi="Times New Roman" w:eastAsia="宋体" w:cs="Times New Roman"/>
                <w:kern w:val="0"/>
              </w:rPr>
            </w:pPr>
            <w:r>
              <w:rPr>
                <w:rFonts w:ascii="Times New Roman" w:hAnsi="Times New Roman" w:eastAsia="宋体" w:cs="Times New Roman"/>
                <w:kern w:val="0"/>
              </w:rPr>
              <w:t>公式中的r和h</w:t>
            </w:r>
            <w:r>
              <w:rPr>
                <w:rFonts w:ascii="Times New Roman" w:hAnsi="Times New Roman" w:eastAsia="宋体" w:cs="Times New Roman"/>
                <w:kern w:val="0"/>
                <w:vertAlign w:val="subscript"/>
              </w:rPr>
              <w:t>m</w:t>
            </w:r>
            <w:r>
              <w:rPr>
                <w:rFonts w:ascii="Times New Roman" w:hAnsi="Times New Roman" w:eastAsia="宋体" w:cs="Times New Roman"/>
                <w:kern w:val="0"/>
              </w:rPr>
              <w:t>值分别对应声环境敏感目标表1.</w:t>
            </w:r>
            <w:r>
              <w:rPr>
                <w:rFonts w:hint="eastAsia" w:ascii="Times New Roman" w:hAnsi="Times New Roman" w:eastAsia="宋体" w:cs="Times New Roman"/>
                <w:kern w:val="0"/>
              </w:rPr>
              <w:t>5</w:t>
            </w:r>
            <w:r>
              <w:rPr>
                <w:rFonts w:ascii="Times New Roman" w:hAnsi="Times New Roman" w:eastAsia="宋体" w:cs="Times New Roman"/>
                <w:kern w:val="0"/>
              </w:rPr>
              <w:t>-</w:t>
            </w:r>
            <w:r>
              <w:rPr>
                <w:rFonts w:hint="eastAsia" w:ascii="Times New Roman" w:hAnsi="Times New Roman" w:eastAsia="宋体" w:cs="Times New Roman"/>
                <w:kern w:val="0"/>
              </w:rPr>
              <w:t>1</w:t>
            </w:r>
            <w:r>
              <w:rPr>
                <w:rFonts w:ascii="Times New Roman" w:hAnsi="Times New Roman" w:eastAsia="宋体" w:cs="Times New Roman"/>
                <w:kern w:val="0"/>
              </w:rPr>
              <w:t>中的“距路中心线距离”和“两地面高差”。</w:t>
            </w:r>
          </w:p>
        </w:tc>
      </w:tr>
      <w:tr w14:paraId="36DCEE33">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303" w:type="pct"/>
            <w:vAlign w:val="center"/>
          </w:tcPr>
          <w:p w14:paraId="616DDFBC">
            <w:pPr>
              <w:jc w:val="center"/>
              <w:rPr>
                <w:rFonts w:ascii="Times New Roman" w:hAnsi="Times New Roman" w:eastAsia="宋体" w:cs="Times New Roman"/>
                <w:kern w:val="0"/>
              </w:rPr>
            </w:pPr>
            <w:r>
              <w:rPr>
                <w:rFonts w:ascii="Times New Roman" w:hAnsi="Times New Roman" w:eastAsia="宋体" w:cs="Times New Roman"/>
                <w:kern w:val="0"/>
              </w:rPr>
              <w:t>10</w:t>
            </w:r>
          </w:p>
        </w:tc>
        <w:tc>
          <w:tcPr>
            <w:tcW w:w="354" w:type="pct"/>
            <w:vMerge w:val="continue"/>
            <w:vAlign w:val="center"/>
          </w:tcPr>
          <w:p w14:paraId="02E5E8E8">
            <w:pPr>
              <w:jc w:val="center"/>
              <w:rPr>
                <w:rFonts w:ascii="Times New Roman" w:hAnsi="Times New Roman" w:eastAsia="宋体" w:cs="Times New Roman"/>
                <w:kern w:val="0"/>
              </w:rPr>
            </w:pPr>
          </w:p>
        </w:tc>
        <w:tc>
          <w:tcPr>
            <w:tcW w:w="471" w:type="pct"/>
            <w:vAlign w:val="center"/>
          </w:tcPr>
          <w:p w14:paraId="14A0088D">
            <w:pPr>
              <w:jc w:val="center"/>
              <w:rPr>
                <w:rFonts w:ascii="Times New Roman" w:hAnsi="Times New Roman" w:eastAsia="宋体" w:cs="Times New Roman"/>
                <w:kern w:val="0"/>
              </w:rPr>
            </w:pPr>
            <w:r>
              <w:rPr>
                <w:rFonts w:ascii="Times New Roman" w:hAnsi="Times New Roman" w:eastAsia="宋体" w:cs="Times New Roman"/>
                <w:i/>
                <w:kern w:val="0"/>
              </w:rPr>
              <w:t>A</w:t>
            </w:r>
            <w:r>
              <w:rPr>
                <w:rFonts w:ascii="Times New Roman" w:hAnsi="Times New Roman" w:eastAsia="宋体" w:cs="Times New Roman"/>
                <w:i/>
                <w:kern w:val="0"/>
                <w:vertAlign w:val="subscript"/>
              </w:rPr>
              <w:t>bar</w:t>
            </w:r>
          </w:p>
        </w:tc>
        <w:tc>
          <w:tcPr>
            <w:tcW w:w="1054" w:type="pct"/>
            <w:vAlign w:val="center"/>
          </w:tcPr>
          <w:p w14:paraId="736F8339">
            <w:pPr>
              <w:rPr>
                <w:rFonts w:ascii="Times New Roman" w:hAnsi="Times New Roman" w:eastAsia="宋体" w:cs="Times New Roman"/>
                <w:kern w:val="0"/>
              </w:rPr>
            </w:pPr>
            <w:r>
              <w:rPr>
                <w:rFonts w:ascii="Times New Roman" w:hAnsi="Times New Roman" w:eastAsia="宋体" w:cs="Times New Roman"/>
                <w:kern w:val="0"/>
              </w:rPr>
              <w:t>障碍物衰减量</w:t>
            </w:r>
          </w:p>
        </w:tc>
        <w:tc>
          <w:tcPr>
            <w:tcW w:w="966" w:type="pct"/>
            <w:vAlign w:val="center"/>
          </w:tcPr>
          <w:p w14:paraId="294D7E6E">
            <w:pPr>
              <w:jc w:val="center"/>
              <w:rPr>
                <w:rFonts w:ascii="Times New Roman" w:hAnsi="Times New Roman" w:eastAsia="宋体" w:cs="Times New Roman"/>
                <w:kern w:val="0"/>
              </w:rPr>
            </w:pPr>
            <w:r>
              <w:rPr>
                <w:rFonts w:ascii="Times New Roman" w:hAnsi="Times New Roman" w:eastAsia="宋体" w:cs="Times New Roman"/>
                <w:kern w:val="0"/>
              </w:rPr>
              <w:t>见图4.</w:t>
            </w:r>
            <w:r>
              <w:rPr>
                <w:rFonts w:hint="eastAsia" w:ascii="Times New Roman" w:hAnsi="Times New Roman" w:eastAsia="宋体" w:cs="Times New Roman"/>
                <w:kern w:val="0"/>
              </w:rPr>
              <w:t>2</w:t>
            </w:r>
            <w:r>
              <w:rPr>
                <w:rFonts w:ascii="Times New Roman" w:hAnsi="Times New Roman" w:eastAsia="宋体" w:cs="Times New Roman"/>
                <w:kern w:val="0"/>
              </w:rPr>
              <w:t>-3和图4.</w:t>
            </w:r>
            <w:r>
              <w:rPr>
                <w:rFonts w:hint="eastAsia" w:ascii="Times New Roman" w:hAnsi="Times New Roman" w:eastAsia="宋体" w:cs="Times New Roman"/>
                <w:kern w:val="0"/>
              </w:rPr>
              <w:t>2</w:t>
            </w:r>
            <w:r>
              <w:rPr>
                <w:rFonts w:ascii="Times New Roman" w:hAnsi="Times New Roman" w:eastAsia="宋体" w:cs="Times New Roman"/>
                <w:kern w:val="0"/>
              </w:rPr>
              <w:t>-4</w:t>
            </w:r>
          </w:p>
        </w:tc>
        <w:tc>
          <w:tcPr>
            <w:tcW w:w="1849" w:type="pct"/>
            <w:vAlign w:val="center"/>
          </w:tcPr>
          <w:p w14:paraId="12E94912">
            <w:pPr>
              <w:rPr>
                <w:rFonts w:ascii="Times New Roman" w:hAnsi="Times New Roman" w:eastAsia="宋体" w:cs="Times New Roman"/>
                <w:kern w:val="0"/>
              </w:rPr>
            </w:pPr>
            <w:r>
              <w:rPr>
                <w:rFonts w:ascii="Times New Roman" w:hAnsi="Times New Roman" w:eastAsia="宋体" w:cs="Times New Roman"/>
                <w:kern w:val="0"/>
              </w:rPr>
              <w:t>本项目障碍物衰减仅考虑声影区衰减量，通过计算各敏感点的声程差δ，再由图4.</w:t>
            </w:r>
            <w:r>
              <w:rPr>
                <w:rFonts w:hint="eastAsia" w:ascii="Times New Roman" w:hAnsi="Times New Roman" w:eastAsia="宋体" w:cs="Times New Roman"/>
                <w:kern w:val="0"/>
              </w:rPr>
              <w:t>2</w:t>
            </w:r>
            <w:r>
              <w:rPr>
                <w:rFonts w:ascii="Times New Roman" w:hAnsi="Times New Roman" w:eastAsia="宋体" w:cs="Times New Roman"/>
                <w:kern w:val="0"/>
              </w:rPr>
              <w:t>-4</w:t>
            </w:r>
            <w:r>
              <w:rPr>
                <w:rFonts w:hint="eastAsia" w:ascii="Times New Roman" w:hAnsi="Times New Roman" w:eastAsia="宋体" w:cs="Times New Roman"/>
                <w:kern w:val="0"/>
              </w:rPr>
              <w:t>计算</w:t>
            </w:r>
            <w:r>
              <w:rPr>
                <w:rFonts w:ascii="Times New Roman" w:hAnsi="Times New Roman" w:eastAsia="宋体" w:cs="Times New Roman"/>
                <w:kern w:val="0"/>
              </w:rPr>
              <w:t>出A</w:t>
            </w:r>
            <w:r>
              <w:rPr>
                <w:rFonts w:ascii="Times New Roman" w:hAnsi="Times New Roman" w:eastAsia="宋体" w:cs="Times New Roman"/>
                <w:kern w:val="0"/>
                <w:vertAlign w:val="subscript"/>
              </w:rPr>
              <w:t>bar</w:t>
            </w:r>
            <w:r>
              <w:rPr>
                <w:rFonts w:ascii="Times New Roman" w:hAnsi="Times New Roman" w:eastAsia="宋体" w:cs="Times New Roman"/>
                <w:kern w:val="0"/>
              </w:rPr>
              <w:t>。</w:t>
            </w:r>
          </w:p>
        </w:tc>
      </w:tr>
    </w:tbl>
    <w:p w14:paraId="20EFD7D0">
      <w:pPr>
        <w:rPr>
          <w:rFonts w:ascii="Times New Roman" w:hAnsi="Times New Roman" w:eastAsia="宋体" w:cs="Times New Roman"/>
        </w:rPr>
      </w:pPr>
    </w:p>
    <w:p w14:paraId="336DC0A4">
      <w:pPr>
        <w:spacing w:line="300"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4</w:t>
      </w:r>
      <w:r>
        <w:rPr>
          <w:rFonts w:ascii="Times New Roman" w:hAnsi="Times New Roman" w:eastAsia="宋体" w:cs="Times New Roman"/>
          <w:sz w:val="24"/>
        </w:rPr>
        <w:t>. 噪声预测评价</w:t>
      </w:r>
    </w:p>
    <w:p w14:paraId="51871EF0">
      <w:pPr>
        <w:spacing w:line="30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根据前面的预测方法、预测模式和设定参数，对拟建</w:t>
      </w:r>
      <w:r>
        <w:rPr>
          <w:rFonts w:hint="eastAsia" w:ascii="Times New Roman" w:hAnsi="Times New Roman" w:eastAsia="宋体" w:cs="Times New Roman"/>
          <w:sz w:val="24"/>
          <w:lang w:eastAsia="zh-CN"/>
        </w:rPr>
        <w:t>公路</w:t>
      </w:r>
      <w:r>
        <w:rPr>
          <w:rFonts w:ascii="Times New Roman" w:hAnsi="Times New Roman" w:eastAsia="宋体" w:cs="Times New Roman"/>
          <w:sz w:val="24"/>
        </w:rPr>
        <w:t>的交通噪声进行预测计算。预测内容包括：交通噪声在不同营运期、不同时间段、距路边不同距离的影响预测，以及沿线敏感点环境噪声预测。</w:t>
      </w:r>
    </w:p>
    <w:p w14:paraId="1D64CFAE">
      <w:pPr>
        <w:widowControl w:val="0"/>
        <w:spacing w:after="0" w:line="300" w:lineRule="auto"/>
        <w:ind w:left="0" w:leftChars="0" w:firstLine="480" w:firstLineChars="200"/>
        <w:jc w:val="both"/>
        <w:rPr>
          <w:rFonts w:ascii="Times New Roman" w:hAnsi="Times New Roman" w:eastAsia="宋体" w:cs="Times New Roman"/>
          <w:kern w:val="0"/>
          <w:sz w:val="24"/>
          <w:szCs w:val="20"/>
          <w:lang w:val="en-US" w:eastAsia="zh-CN" w:bidi="ar-SA"/>
        </w:rPr>
      </w:pPr>
      <w:r>
        <w:rPr>
          <w:rFonts w:ascii="Times New Roman" w:hAnsi="Times New Roman" w:eastAsia="宋体" w:cs="Times New Roman"/>
          <w:kern w:val="0"/>
          <w:sz w:val="24"/>
          <w:szCs w:val="20"/>
          <w:lang w:val="en-US" w:eastAsia="zh-CN" w:bidi="ar-SA"/>
        </w:rPr>
        <w:t>(1) 不同</w:t>
      </w:r>
      <w:bookmarkStart w:id="221" w:name="_Hlk187523608"/>
      <w:r>
        <w:rPr>
          <w:rFonts w:ascii="Times New Roman" w:hAnsi="Times New Roman" w:eastAsia="宋体" w:cs="Times New Roman"/>
          <w:kern w:val="0"/>
          <w:sz w:val="24"/>
          <w:szCs w:val="20"/>
          <w:lang w:val="en-US" w:eastAsia="zh-CN" w:bidi="ar-SA"/>
        </w:rPr>
        <w:t>营运期、不同时间段、距路边不同距离的交通噪声预测</w:t>
      </w:r>
      <w:bookmarkEnd w:id="221"/>
      <w:r>
        <w:rPr>
          <w:rFonts w:ascii="Times New Roman" w:hAnsi="Times New Roman" w:eastAsia="宋体" w:cs="Times New Roman"/>
          <w:kern w:val="0"/>
          <w:sz w:val="24"/>
          <w:szCs w:val="20"/>
          <w:lang w:val="en-US" w:eastAsia="zh-CN" w:bidi="ar-SA"/>
        </w:rPr>
        <w:t>与评价</w:t>
      </w:r>
    </w:p>
    <w:p w14:paraId="5C5EE460">
      <w:pPr>
        <w:spacing w:line="300" w:lineRule="auto"/>
        <w:ind w:firstLine="480" w:firstLineChars="200"/>
        <w:rPr>
          <w:rFonts w:ascii="Times New Roman" w:hAnsi="Times New Roman" w:eastAsia="宋体" w:cs="Times New Roman"/>
          <w:bCs/>
          <w:sz w:val="24"/>
        </w:rPr>
      </w:pPr>
      <w:r>
        <w:rPr>
          <w:rFonts w:ascii="Times New Roman" w:hAnsi="Times New Roman" w:eastAsia="宋体" w:cs="Times New Roman"/>
          <w:bCs/>
          <w:sz w:val="24"/>
        </w:rPr>
        <w:t>由于拟建</w:t>
      </w:r>
      <w:r>
        <w:rPr>
          <w:rFonts w:hint="eastAsia" w:ascii="Times New Roman" w:hAnsi="Times New Roman" w:eastAsia="宋体" w:cs="Times New Roman"/>
          <w:bCs/>
          <w:sz w:val="24"/>
        </w:rPr>
        <w:t>公路</w:t>
      </w:r>
      <w:r>
        <w:rPr>
          <w:rFonts w:ascii="Times New Roman" w:hAnsi="Times New Roman" w:eastAsia="宋体" w:cs="Times New Roman"/>
          <w:bCs/>
          <w:sz w:val="24"/>
        </w:rPr>
        <w:t>纵面线形变化较大，路面与地面之间的高差不断变化，所以，真正预测拟建</w:t>
      </w:r>
      <w:r>
        <w:rPr>
          <w:rFonts w:hint="eastAsia" w:ascii="Times New Roman" w:hAnsi="Times New Roman" w:eastAsia="宋体" w:cs="Times New Roman"/>
          <w:bCs/>
          <w:sz w:val="24"/>
        </w:rPr>
        <w:t>公路</w:t>
      </w:r>
      <w:r>
        <w:rPr>
          <w:rFonts w:ascii="Times New Roman" w:hAnsi="Times New Roman" w:eastAsia="宋体" w:cs="Times New Roman"/>
          <w:bCs/>
          <w:sz w:val="24"/>
        </w:rPr>
        <w:t>沿线交通噪声的影响是非常困难的。出于预测的可行性考虑，预测基于每个路段零路基高度（较为不利的情况）这一假定，预测点高度取距地面1.2m，预测结果见表4.2-</w:t>
      </w:r>
      <w:r>
        <w:rPr>
          <w:rFonts w:hint="eastAsia" w:ascii="Times New Roman" w:hAnsi="Times New Roman" w:eastAsia="宋体" w:cs="Times New Roman"/>
          <w:bCs/>
          <w:sz w:val="24"/>
        </w:rPr>
        <w:t>6</w:t>
      </w:r>
      <w:r>
        <w:rPr>
          <w:rFonts w:ascii="Times New Roman" w:hAnsi="Times New Roman" w:eastAsia="宋体" w:cs="Times New Roman"/>
          <w:bCs/>
          <w:sz w:val="24"/>
        </w:rPr>
        <w:t>，各路段各期针对4a、</w:t>
      </w:r>
      <w:r>
        <w:rPr>
          <w:rFonts w:hint="eastAsia" w:ascii="Times New Roman" w:hAnsi="Times New Roman" w:eastAsia="宋体" w:cs="Times New Roman"/>
          <w:bCs/>
          <w:sz w:val="24"/>
        </w:rPr>
        <w:t>2</w:t>
      </w:r>
      <w:r>
        <w:rPr>
          <w:rFonts w:ascii="Times New Roman" w:hAnsi="Times New Roman" w:eastAsia="宋体" w:cs="Times New Roman"/>
          <w:bCs/>
          <w:sz w:val="24"/>
        </w:rPr>
        <w:t>类标准的达标距离同时列于表中。</w:t>
      </w:r>
      <w:bookmarkStart w:id="222" w:name="_Hlk191207566"/>
    </w:p>
    <w:p w14:paraId="5A50391E">
      <w:pPr>
        <w:spacing w:line="300" w:lineRule="auto"/>
        <w:ind w:firstLine="480" w:firstLineChars="200"/>
        <w:rPr>
          <w:rFonts w:ascii="Times New Roman" w:hAnsi="Times New Roman" w:eastAsia="宋体" w:cs="Times New Roman"/>
          <w:bCs/>
          <w:sz w:val="24"/>
        </w:rPr>
      </w:pPr>
      <w:r>
        <w:rPr>
          <w:rFonts w:ascii="Times New Roman" w:hAnsi="宋体" w:eastAsia="宋体" w:cs="Times New Roman"/>
          <w:bCs/>
          <w:sz w:val="24"/>
        </w:rPr>
        <w:t>①</w:t>
      </w:r>
      <w:r>
        <w:rPr>
          <w:rFonts w:hint="eastAsia" w:ascii="Times New Roman" w:hAnsi="宋体" w:eastAsia="宋体" w:cs="Times New Roman"/>
          <w:bCs/>
          <w:sz w:val="24"/>
        </w:rPr>
        <w:t xml:space="preserve"> </w:t>
      </w:r>
      <w:r>
        <w:rPr>
          <w:rFonts w:ascii="Times New Roman" w:hAnsi="Times New Roman" w:eastAsia="宋体" w:cs="Times New Roman"/>
          <w:bCs/>
          <w:sz w:val="24"/>
        </w:rPr>
        <w:t>拟建公路沿线</w:t>
      </w:r>
      <w:r>
        <w:rPr>
          <w:rFonts w:ascii="Times New Roman" w:hAnsi="宋体" w:eastAsia="宋体" w:cs="Times New Roman"/>
          <w:bCs/>
          <w:sz w:val="24"/>
        </w:rPr>
        <w:t>设计车速为</w:t>
      </w:r>
      <w:r>
        <w:rPr>
          <w:rFonts w:ascii="Times New Roman" w:hAnsi="Times New Roman" w:eastAsia="宋体" w:cs="Times New Roman"/>
          <w:bCs/>
          <w:sz w:val="24"/>
        </w:rPr>
        <w:t>80km/h</w:t>
      </w:r>
      <w:r>
        <w:rPr>
          <w:rFonts w:hint="eastAsia" w:ascii="Times New Roman" w:hAnsi="Times New Roman" w:eastAsia="宋体" w:cs="Times New Roman"/>
          <w:bCs/>
          <w:sz w:val="24"/>
        </w:rPr>
        <w:t>的各路段，</w:t>
      </w:r>
      <w:r>
        <w:rPr>
          <w:rFonts w:ascii="Times New Roman" w:hAnsi="Times New Roman" w:eastAsia="宋体" w:cs="Times New Roman"/>
          <w:bCs/>
          <w:sz w:val="24"/>
        </w:rPr>
        <w:t>按4a类标准，营运近、中、远昼间达标距离为距路中心线＜20.0m、＜20.0m～</w:t>
      </w:r>
      <w:r>
        <w:rPr>
          <w:rFonts w:hint="eastAsia" w:ascii="Times New Roman" w:hAnsi="Times New Roman" w:eastAsia="宋体" w:cs="Times New Roman"/>
          <w:bCs/>
          <w:sz w:val="24"/>
        </w:rPr>
        <w:t>21.1</w:t>
      </w:r>
      <w:r>
        <w:rPr>
          <w:rFonts w:ascii="Times New Roman" w:hAnsi="Times New Roman" w:eastAsia="宋体" w:cs="Times New Roman"/>
          <w:bCs/>
          <w:sz w:val="24"/>
        </w:rPr>
        <w:t>m和＜20.0m，夜间近、中、远期达标距离分别为距路中心线</w:t>
      </w:r>
      <w:r>
        <w:rPr>
          <w:rFonts w:hint="eastAsia" w:ascii="Times New Roman" w:hAnsi="Times New Roman" w:eastAsia="宋体" w:cs="Times New Roman"/>
          <w:bCs/>
          <w:sz w:val="24"/>
        </w:rPr>
        <w:t>63.4</w:t>
      </w:r>
      <w:r>
        <w:rPr>
          <w:rFonts w:ascii="Times New Roman" w:hAnsi="Times New Roman" w:eastAsia="宋体" w:cs="Times New Roman"/>
          <w:bCs/>
          <w:sz w:val="24"/>
        </w:rPr>
        <w:t>m～</w:t>
      </w:r>
      <w:r>
        <w:rPr>
          <w:rFonts w:hint="eastAsia" w:ascii="Times New Roman" w:hAnsi="Times New Roman" w:eastAsia="宋体" w:cs="Times New Roman"/>
          <w:bCs/>
          <w:sz w:val="24"/>
        </w:rPr>
        <w:t>86.3</w:t>
      </w:r>
      <w:r>
        <w:rPr>
          <w:rFonts w:ascii="Times New Roman" w:hAnsi="Times New Roman" w:eastAsia="宋体" w:cs="Times New Roman"/>
          <w:bCs/>
          <w:sz w:val="24"/>
        </w:rPr>
        <w:t>m、</w:t>
      </w:r>
      <w:r>
        <w:rPr>
          <w:rFonts w:hint="eastAsia" w:ascii="Times New Roman" w:hAnsi="Times New Roman" w:eastAsia="宋体" w:cs="Times New Roman"/>
          <w:bCs/>
          <w:sz w:val="24"/>
        </w:rPr>
        <w:t>77.7</w:t>
      </w:r>
      <w:r>
        <w:rPr>
          <w:rFonts w:ascii="Times New Roman" w:hAnsi="Times New Roman" w:eastAsia="宋体" w:cs="Times New Roman"/>
          <w:bCs/>
          <w:sz w:val="24"/>
        </w:rPr>
        <w:t>m～</w:t>
      </w:r>
      <w:r>
        <w:rPr>
          <w:rFonts w:hint="eastAsia" w:ascii="Times New Roman" w:hAnsi="Times New Roman" w:eastAsia="宋体" w:cs="Times New Roman"/>
          <w:bCs/>
          <w:sz w:val="24"/>
        </w:rPr>
        <w:t>97.7</w:t>
      </w:r>
      <w:r>
        <w:rPr>
          <w:rFonts w:ascii="Times New Roman" w:hAnsi="Times New Roman" w:eastAsia="宋体" w:cs="Times New Roman"/>
          <w:bCs/>
          <w:sz w:val="24"/>
        </w:rPr>
        <w:t>m和</w:t>
      </w:r>
      <w:r>
        <w:rPr>
          <w:rFonts w:hint="eastAsia" w:ascii="Times New Roman" w:hAnsi="Times New Roman" w:eastAsia="宋体" w:cs="Times New Roman"/>
          <w:bCs/>
          <w:sz w:val="24"/>
        </w:rPr>
        <w:t>87.5</w:t>
      </w:r>
      <w:r>
        <w:rPr>
          <w:rFonts w:ascii="Times New Roman" w:hAnsi="Times New Roman" w:eastAsia="宋体" w:cs="Times New Roman"/>
          <w:bCs/>
          <w:sz w:val="24"/>
        </w:rPr>
        <w:t>m～</w:t>
      </w:r>
      <w:r>
        <w:rPr>
          <w:rFonts w:hint="eastAsia" w:ascii="Times New Roman" w:hAnsi="Times New Roman" w:eastAsia="宋体" w:cs="Times New Roman"/>
          <w:bCs/>
          <w:sz w:val="24"/>
        </w:rPr>
        <w:t>109.7</w:t>
      </w:r>
      <w:r>
        <w:rPr>
          <w:rFonts w:ascii="Times New Roman" w:hAnsi="Times New Roman" w:eastAsia="宋体" w:cs="Times New Roman"/>
          <w:bCs/>
          <w:sz w:val="24"/>
        </w:rPr>
        <w:t>m。</w:t>
      </w:r>
    </w:p>
    <w:p w14:paraId="47270E33">
      <w:pPr>
        <w:spacing w:line="300" w:lineRule="auto"/>
        <w:ind w:firstLine="480" w:firstLineChars="200"/>
        <w:rPr>
          <w:rFonts w:ascii="Times New Roman" w:hAnsi="Times New Roman" w:eastAsia="宋体" w:cs="Times New Roman"/>
          <w:bCs/>
          <w:sz w:val="24"/>
        </w:rPr>
      </w:pPr>
      <w:r>
        <w:rPr>
          <w:rFonts w:ascii="Times New Roman" w:hAnsi="宋体" w:eastAsia="宋体" w:cs="Times New Roman"/>
          <w:bCs/>
          <w:sz w:val="24"/>
        </w:rPr>
        <w:t>②</w:t>
      </w:r>
      <w:r>
        <w:rPr>
          <w:rFonts w:hint="eastAsia" w:ascii="Times New Roman" w:hAnsi="宋体" w:eastAsia="宋体" w:cs="Times New Roman"/>
          <w:bCs/>
          <w:sz w:val="24"/>
        </w:rPr>
        <w:t xml:space="preserve"> </w:t>
      </w:r>
      <w:r>
        <w:rPr>
          <w:rFonts w:ascii="Times New Roman" w:hAnsi="Times New Roman" w:eastAsia="宋体" w:cs="Times New Roman"/>
          <w:bCs/>
          <w:sz w:val="24"/>
        </w:rPr>
        <w:t>拟建公路沿线</w:t>
      </w:r>
      <w:r>
        <w:rPr>
          <w:rFonts w:ascii="Times New Roman" w:hAnsi="宋体" w:eastAsia="宋体" w:cs="Times New Roman"/>
          <w:bCs/>
          <w:sz w:val="24"/>
        </w:rPr>
        <w:t>设计车速为</w:t>
      </w:r>
      <w:r>
        <w:rPr>
          <w:rFonts w:ascii="Times New Roman" w:hAnsi="Times New Roman" w:eastAsia="宋体" w:cs="Times New Roman"/>
          <w:bCs/>
          <w:sz w:val="24"/>
        </w:rPr>
        <w:t>80km/h</w:t>
      </w:r>
      <w:r>
        <w:rPr>
          <w:rFonts w:hint="eastAsia" w:ascii="Times New Roman" w:hAnsi="Times New Roman" w:eastAsia="宋体" w:cs="Times New Roman"/>
          <w:bCs/>
          <w:sz w:val="24"/>
        </w:rPr>
        <w:t>的各路段，</w:t>
      </w:r>
      <w:r>
        <w:rPr>
          <w:rFonts w:ascii="Times New Roman" w:hAnsi="Times New Roman" w:eastAsia="宋体" w:cs="Times New Roman"/>
          <w:bCs/>
          <w:sz w:val="24"/>
        </w:rPr>
        <w:t>按2类标准，营运近期、中期、远期昼间达标距离分别为距路中心线</w:t>
      </w:r>
      <w:r>
        <w:rPr>
          <w:rFonts w:hint="eastAsia" w:ascii="Times New Roman" w:hAnsi="Times New Roman" w:eastAsia="宋体" w:cs="Times New Roman"/>
          <w:bCs/>
          <w:sz w:val="24"/>
        </w:rPr>
        <w:t>57.0</w:t>
      </w:r>
      <w:r>
        <w:rPr>
          <w:rFonts w:ascii="Times New Roman" w:hAnsi="Times New Roman" w:eastAsia="宋体" w:cs="Times New Roman"/>
          <w:bCs/>
          <w:sz w:val="24"/>
        </w:rPr>
        <w:t>m～</w:t>
      </w:r>
      <w:r>
        <w:rPr>
          <w:rFonts w:hint="eastAsia" w:ascii="Times New Roman" w:hAnsi="Times New Roman" w:eastAsia="宋体" w:cs="Times New Roman"/>
          <w:bCs/>
          <w:sz w:val="24"/>
        </w:rPr>
        <w:t>72.2</w:t>
      </w:r>
      <w:r>
        <w:rPr>
          <w:rFonts w:ascii="Times New Roman" w:hAnsi="Times New Roman" w:eastAsia="宋体" w:cs="Times New Roman"/>
          <w:bCs/>
          <w:sz w:val="24"/>
        </w:rPr>
        <w:t>m、</w:t>
      </w:r>
      <w:r>
        <w:rPr>
          <w:rFonts w:hint="eastAsia" w:ascii="Times New Roman" w:hAnsi="Times New Roman" w:eastAsia="宋体" w:cs="Times New Roman"/>
          <w:bCs/>
          <w:sz w:val="24"/>
        </w:rPr>
        <w:t>65.0</w:t>
      </w:r>
      <w:r>
        <w:rPr>
          <w:rFonts w:ascii="Times New Roman" w:hAnsi="Times New Roman" w:eastAsia="宋体" w:cs="Times New Roman"/>
          <w:bCs/>
          <w:sz w:val="24"/>
        </w:rPr>
        <w:t>m～</w:t>
      </w:r>
      <w:r>
        <w:rPr>
          <w:rFonts w:hint="eastAsia" w:ascii="Times New Roman" w:hAnsi="Times New Roman" w:eastAsia="宋体" w:cs="Times New Roman"/>
          <w:bCs/>
          <w:sz w:val="24"/>
        </w:rPr>
        <w:t>81.4</w:t>
      </w:r>
      <w:r>
        <w:rPr>
          <w:rFonts w:ascii="Times New Roman" w:hAnsi="Times New Roman" w:eastAsia="宋体" w:cs="Times New Roman"/>
          <w:bCs/>
          <w:sz w:val="24"/>
        </w:rPr>
        <w:t>m和</w:t>
      </w:r>
      <w:r>
        <w:rPr>
          <w:rFonts w:hint="eastAsia" w:ascii="Times New Roman" w:hAnsi="Times New Roman" w:eastAsia="宋体" w:cs="Times New Roman"/>
          <w:bCs/>
          <w:sz w:val="24"/>
        </w:rPr>
        <w:t>68.6</w:t>
      </w:r>
      <w:r>
        <w:rPr>
          <w:rFonts w:ascii="Times New Roman" w:hAnsi="Times New Roman" w:eastAsia="宋体" w:cs="Times New Roman"/>
          <w:bCs/>
          <w:sz w:val="24"/>
        </w:rPr>
        <w:t>m～</w:t>
      </w:r>
      <w:r>
        <w:rPr>
          <w:rFonts w:hint="eastAsia" w:ascii="Times New Roman" w:hAnsi="Times New Roman" w:eastAsia="宋体" w:cs="Times New Roman"/>
          <w:bCs/>
          <w:sz w:val="24"/>
        </w:rPr>
        <w:t>73.1</w:t>
      </w:r>
      <w:r>
        <w:rPr>
          <w:rFonts w:ascii="Times New Roman" w:hAnsi="Times New Roman" w:eastAsia="宋体" w:cs="Times New Roman"/>
          <w:bCs/>
          <w:sz w:val="24"/>
        </w:rPr>
        <w:t>m，夜间近、中、远期达标距离分别为距路中心线</w:t>
      </w:r>
      <w:r>
        <w:rPr>
          <w:rFonts w:hint="eastAsia" w:ascii="Times New Roman" w:hAnsi="Times New Roman" w:eastAsia="宋体" w:cs="Times New Roman"/>
          <w:bCs/>
          <w:sz w:val="24"/>
        </w:rPr>
        <w:t>151.6</w:t>
      </w:r>
      <w:r>
        <w:rPr>
          <w:rFonts w:ascii="Times New Roman" w:hAnsi="Times New Roman" w:eastAsia="宋体" w:cs="Times New Roman"/>
          <w:bCs/>
          <w:sz w:val="24"/>
        </w:rPr>
        <w:t>m～</w:t>
      </w:r>
      <w:r>
        <w:rPr>
          <w:rFonts w:hint="eastAsia" w:ascii="Times New Roman" w:hAnsi="Times New Roman" w:eastAsia="宋体" w:cs="Times New Roman"/>
          <w:bCs/>
          <w:sz w:val="24"/>
        </w:rPr>
        <w:t>186.2</w:t>
      </w:r>
      <w:r>
        <w:rPr>
          <w:rFonts w:ascii="Times New Roman" w:hAnsi="Times New Roman" w:eastAsia="宋体" w:cs="Times New Roman"/>
          <w:bCs/>
          <w:sz w:val="24"/>
        </w:rPr>
        <w:t>m、</w:t>
      </w:r>
      <w:r>
        <w:rPr>
          <w:rFonts w:hint="eastAsia" w:ascii="Times New Roman" w:hAnsi="Times New Roman" w:eastAsia="宋体" w:cs="Times New Roman"/>
          <w:bCs/>
          <w:sz w:val="24"/>
        </w:rPr>
        <w:t>170.0</w:t>
      </w:r>
      <w:r>
        <w:rPr>
          <w:rFonts w:ascii="Times New Roman" w:hAnsi="Times New Roman" w:eastAsia="宋体" w:cs="Times New Roman"/>
          <w:bCs/>
          <w:sz w:val="24"/>
        </w:rPr>
        <w:t>m～</w:t>
      </w:r>
      <w:r>
        <w:rPr>
          <w:rFonts w:hint="eastAsia" w:ascii="Times New Roman" w:hAnsi="Times New Roman" w:eastAsia="宋体" w:cs="Times New Roman"/>
          <w:bCs/>
          <w:sz w:val="24"/>
        </w:rPr>
        <w:t>206.4</w:t>
      </w:r>
      <w:r>
        <w:rPr>
          <w:rFonts w:ascii="Times New Roman" w:hAnsi="Times New Roman" w:eastAsia="宋体" w:cs="Times New Roman"/>
          <w:bCs/>
          <w:sz w:val="24"/>
        </w:rPr>
        <w:t>m和</w:t>
      </w:r>
      <w:r>
        <w:rPr>
          <w:rFonts w:hint="eastAsia" w:ascii="Times New Roman" w:hAnsi="Times New Roman" w:eastAsia="宋体" w:cs="Times New Roman"/>
          <w:bCs/>
          <w:sz w:val="24"/>
        </w:rPr>
        <w:t>188.3</w:t>
      </w:r>
      <w:r>
        <w:rPr>
          <w:rFonts w:ascii="Times New Roman" w:hAnsi="Times New Roman" w:eastAsia="宋体" w:cs="Times New Roman"/>
          <w:bCs/>
          <w:sz w:val="24"/>
        </w:rPr>
        <w:t>m～</w:t>
      </w:r>
      <w:r>
        <w:rPr>
          <w:rFonts w:hint="eastAsia" w:ascii="Times New Roman" w:hAnsi="Times New Roman" w:eastAsia="宋体" w:cs="Times New Roman"/>
          <w:bCs/>
          <w:sz w:val="24"/>
        </w:rPr>
        <w:t>224.7</w:t>
      </w:r>
      <w:r>
        <w:rPr>
          <w:rFonts w:ascii="Times New Roman" w:hAnsi="Times New Roman" w:eastAsia="宋体" w:cs="Times New Roman"/>
          <w:bCs/>
          <w:sz w:val="24"/>
        </w:rPr>
        <w:t>m。</w:t>
      </w:r>
    </w:p>
    <w:p w14:paraId="7DCD95E5">
      <w:pPr>
        <w:spacing w:line="300" w:lineRule="auto"/>
        <w:ind w:firstLine="480" w:firstLineChars="200"/>
        <w:rPr>
          <w:rFonts w:ascii="Times New Roman" w:hAnsi="Times New Roman" w:eastAsia="宋体" w:cs="Times New Roman"/>
          <w:bCs/>
          <w:sz w:val="24"/>
        </w:rPr>
      </w:pPr>
      <w:r>
        <w:rPr>
          <w:rFonts w:ascii="Times New Roman" w:hAnsi="宋体" w:eastAsia="宋体" w:cs="Times New Roman"/>
          <w:bCs/>
          <w:sz w:val="24"/>
        </w:rPr>
        <w:t>③</w:t>
      </w:r>
      <w:r>
        <w:rPr>
          <w:rFonts w:hint="eastAsia" w:ascii="Times New Roman" w:hAnsi="宋体" w:eastAsia="宋体" w:cs="Times New Roman"/>
          <w:bCs/>
          <w:sz w:val="24"/>
        </w:rPr>
        <w:t xml:space="preserve"> </w:t>
      </w:r>
      <w:r>
        <w:rPr>
          <w:rFonts w:ascii="Times New Roman" w:hAnsi="Times New Roman" w:eastAsia="宋体" w:cs="Times New Roman"/>
          <w:bCs/>
          <w:sz w:val="24"/>
        </w:rPr>
        <w:t>拟建公路沿线</w:t>
      </w:r>
      <w:r>
        <w:rPr>
          <w:rFonts w:ascii="Times New Roman" w:hAnsi="宋体" w:eastAsia="宋体" w:cs="Times New Roman"/>
          <w:bCs/>
          <w:sz w:val="24"/>
        </w:rPr>
        <w:t>设计车速为</w:t>
      </w:r>
      <w:r>
        <w:rPr>
          <w:rFonts w:hint="eastAsia" w:ascii="Times New Roman" w:hAnsi="Times New Roman" w:eastAsia="宋体" w:cs="Times New Roman"/>
          <w:bCs/>
          <w:sz w:val="24"/>
        </w:rPr>
        <w:t>6</w:t>
      </w:r>
      <w:r>
        <w:rPr>
          <w:rFonts w:ascii="Times New Roman" w:hAnsi="Times New Roman" w:eastAsia="宋体" w:cs="Times New Roman"/>
          <w:bCs/>
          <w:sz w:val="24"/>
        </w:rPr>
        <w:t>0km/h</w:t>
      </w:r>
      <w:r>
        <w:rPr>
          <w:rFonts w:hint="eastAsia" w:ascii="Times New Roman" w:hAnsi="Times New Roman" w:eastAsia="宋体" w:cs="Times New Roman"/>
          <w:bCs/>
          <w:sz w:val="24"/>
        </w:rPr>
        <w:t>的路段，</w:t>
      </w:r>
      <w:r>
        <w:rPr>
          <w:rFonts w:ascii="Times New Roman" w:hAnsi="Times New Roman" w:eastAsia="宋体" w:cs="Times New Roman"/>
          <w:bCs/>
          <w:sz w:val="24"/>
        </w:rPr>
        <w:t>按4a类标准，营运近、中、远昼间达标距离均为距路中心线＜20.0m，夜间近、中、远期达标距离分别为距路中心线</w:t>
      </w:r>
      <w:r>
        <w:rPr>
          <w:rFonts w:hint="eastAsia" w:ascii="Times New Roman" w:hAnsi="Times New Roman" w:eastAsia="宋体" w:cs="Times New Roman"/>
          <w:bCs/>
          <w:sz w:val="24"/>
        </w:rPr>
        <w:t>63.4</w:t>
      </w:r>
      <w:r>
        <w:rPr>
          <w:rFonts w:ascii="Times New Roman" w:hAnsi="Times New Roman" w:eastAsia="宋体" w:cs="Times New Roman"/>
          <w:bCs/>
          <w:sz w:val="24"/>
        </w:rPr>
        <w:t>m、</w:t>
      </w:r>
      <w:r>
        <w:rPr>
          <w:rFonts w:hint="eastAsia" w:ascii="Times New Roman" w:hAnsi="Times New Roman" w:eastAsia="宋体" w:cs="Times New Roman"/>
          <w:bCs/>
          <w:sz w:val="24"/>
        </w:rPr>
        <w:t>72.0</w:t>
      </w:r>
      <w:r>
        <w:rPr>
          <w:rFonts w:ascii="Times New Roman" w:hAnsi="Times New Roman" w:eastAsia="宋体" w:cs="Times New Roman"/>
          <w:bCs/>
          <w:sz w:val="24"/>
        </w:rPr>
        <w:t>m和</w:t>
      </w:r>
      <w:r>
        <w:rPr>
          <w:rFonts w:hint="eastAsia" w:ascii="Times New Roman" w:hAnsi="Times New Roman" w:eastAsia="宋体" w:cs="Times New Roman"/>
          <w:bCs/>
          <w:sz w:val="24"/>
        </w:rPr>
        <w:t>79.7</w:t>
      </w:r>
      <w:r>
        <w:rPr>
          <w:rFonts w:ascii="Times New Roman" w:hAnsi="Times New Roman" w:eastAsia="宋体" w:cs="Times New Roman"/>
          <w:bCs/>
          <w:sz w:val="24"/>
        </w:rPr>
        <w:t>m。</w:t>
      </w:r>
    </w:p>
    <w:p w14:paraId="49876452">
      <w:pPr>
        <w:spacing w:line="300" w:lineRule="auto"/>
        <w:ind w:firstLine="480" w:firstLineChars="200"/>
        <w:rPr>
          <w:rFonts w:ascii="Times New Roman" w:hAnsi="Times New Roman" w:eastAsia="宋体" w:cs="Times New Roman"/>
          <w:bCs/>
          <w:sz w:val="24"/>
        </w:rPr>
      </w:pPr>
      <w:r>
        <w:rPr>
          <w:rFonts w:ascii="Times New Roman" w:hAnsi="宋体" w:eastAsia="宋体" w:cs="Times New Roman"/>
          <w:bCs/>
          <w:sz w:val="24"/>
        </w:rPr>
        <w:t>④</w:t>
      </w:r>
      <w:r>
        <w:rPr>
          <w:rFonts w:hint="eastAsia" w:ascii="Times New Roman" w:hAnsi="宋体" w:eastAsia="宋体" w:cs="Times New Roman"/>
          <w:bCs/>
          <w:sz w:val="24"/>
        </w:rPr>
        <w:t xml:space="preserve"> </w:t>
      </w:r>
      <w:r>
        <w:rPr>
          <w:rFonts w:ascii="Times New Roman" w:hAnsi="Times New Roman" w:eastAsia="宋体" w:cs="Times New Roman"/>
          <w:bCs/>
          <w:sz w:val="24"/>
        </w:rPr>
        <w:t>拟建公路沿线</w:t>
      </w:r>
      <w:r>
        <w:rPr>
          <w:rFonts w:ascii="Times New Roman" w:hAnsi="宋体" w:eastAsia="宋体" w:cs="Times New Roman"/>
          <w:bCs/>
          <w:sz w:val="24"/>
        </w:rPr>
        <w:t>设计车速为</w:t>
      </w:r>
      <w:r>
        <w:rPr>
          <w:rFonts w:hint="eastAsia" w:ascii="Times New Roman" w:hAnsi="Times New Roman" w:eastAsia="宋体" w:cs="Times New Roman"/>
          <w:bCs/>
          <w:sz w:val="24"/>
        </w:rPr>
        <w:t>6</w:t>
      </w:r>
      <w:r>
        <w:rPr>
          <w:rFonts w:ascii="Times New Roman" w:hAnsi="Times New Roman" w:eastAsia="宋体" w:cs="Times New Roman"/>
          <w:bCs/>
          <w:sz w:val="24"/>
        </w:rPr>
        <w:t>0km/h</w:t>
      </w:r>
      <w:r>
        <w:rPr>
          <w:rFonts w:hint="eastAsia" w:ascii="Times New Roman" w:hAnsi="Times New Roman" w:eastAsia="宋体" w:cs="Times New Roman"/>
          <w:bCs/>
          <w:sz w:val="24"/>
        </w:rPr>
        <w:t>的路段，</w:t>
      </w:r>
      <w:r>
        <w:rPr>
          <w:rFonts w:ascii="Times New Roman" w:hAnsi="Times New Roman" w:eastAsia="宋体" w:cs="Times New Roman"/>
          <w:bCs/>
          <w:sz w:val="24"/>
        </w:rPr>
        <w:t>按</w:t>
      </w:r>
      <w:r>
        <w:rPr>
          <w:rFonts w:hint="eastAsia" w:ascii="Times New Roman" w:hAnsi="Times New Roman" w:eastAsia="宋体" w:cs="Times New Roman"/>
          <w:bCs/>
          <w:sz w:val="24"/>
        </w:rPr>
        <w:t>2</w:t>
      </w:r>
      <w:r>
        <w:rPr>
          <w:rFonts w:ascii="Times New Roman" w:hAnsi="Times New Roman" w:eastAsia="宋体" w:cs="Times New Roman"/>
          <w:bCs/>
          <w:sz w:val="24"/>
        </w:rPr>
        <w:t>类标准，营运近、中、远昼间达标距离均为距路中心线</w:t>
      </w:r>
      <w:r>
        <w:rPr>
          <w:rFonts w:hint="eastAsia" w:ascii="Times New Roman" w:hAnsi="Times New Roman" w:eastAsia="宋体" w:cs="Times New Roman"/>
          <w:bCs/>
          <w:sz w:val="24"/>
        </w:rPr>
        <w:t>53.2</w:t>
      </w:r>
      <w:r>
        <w:rPr>
          <w:rFonts w:ascii="Times New Roman" w:hAnsi="Times New Roman" w:eastAsia="宋体" w:cs="Times New Roman"/>
          <w:bCs/>
          <w:sz w:val="24"/>
        </w:rPr>
        <w:t>m、</w:t>
      </w:r>
      <w:r>
        <w:rPr>
          <w:rFonts w:hint="eastAsia" w:ascii="Times New Roman" w:hAnsi="Times New Roman" w:eastAsia="宋体" w:cs="Times New Roman"/>
          <w:bCs/>
          <w:sz w:val="24"/>
        </w:rPr>
        <w:t>58.4</w:t>
      </w:r>
      <w:r>
        <w:rPr>
          <w:rFonts w:ascii="Times New Roman" w:hAnsi="Times New Roman" w:eastAsia="宋体" w:cs="Times New Roman"/>
          <w:bCs/>
          <w:sz w:val="24"/>
        </w:rPr>
        <w:t>m和</w:t>
      </w:r>
      <w:r>
        <w:rPr>
          <w:rFonts w:hint="eastAsia" w:ascii="Times New Roman" w:hAnsi="Times New Roman" w:eastAsia="宋体" w:cs="Times New Roman"/>
          <w:bCs/>
          <w:sz w:val="24"/>
        </w:rPr>
        <w:t>65.7</w:t>
      </w:r>
      <w:r>
        <w:rPr>
          <w:rFonts w:ascii="Times New Roman" w:hAnsi="Times New Roman" w:eastAsia="宋体" w:cs="Times New Roman"/>
          <w:bCs/>
          <w:sz w:val="24"/>
        </w:rPr>
        <w:t>m，夜间近、中、远期达标距离分别为距路中心线</w:t>
      </w:r>
      <w:r>
        <w:rPr>
          <w:rFonts w:hint="eastAsia" w:ascii="Times New Roman" w:hAnsi="Times New Roman" w:eastAsia="宋体" w:cs="Times New Roman"/>
          <w:bCs/>
          <w:sz w:val="24"/>
        </w:rPr>
        <w:t>135.9</w:t>
      </w:r>
      <w:r>
        <w:rPr>
          <w:rFonts w:ascii="Times New Roman" w:hAnsi="Times New Roman" w:eastAsia="宋体" w:cs="Times New Roman"/>
          <w:bCs/>
          <w:sz w:val="24"/>
        </w:rPr>
        <w:t>m、</w:t>
      </w:r>
      <w:r>
        <w:rPr>
          <w:rFonts w:hint="eastAsia" w:ascii="Times New Roman" w:hAnsi="Times New Roman" w:eastAsia="宋体" w:cs="Times New Roman"/>
          <w:bCs/>
          <w:sz w:val="24"/>
        </w:rPr>
        <w:t>151.5</w:t>
      </w:r>
      <w:r>
        <w:rPr>
          <w:rFonts w:ascii="Times New Roman" w:hAnsi="Times New Roman" w:eastAsia="宋体" w:cs="Times New Roman"/>
          <w:bCs/>
          <w:sz w:val="24"/>
        </w:rPr>
        <w:t>m和</w:t>
      </w:r>
      <w:r>
        <w:rPr>
          <w:rFonts w:hint="eastAsia" w:ascii="Times New Roman" w:hAnsi="Times New Roman" w:eastAsia="宋体" w:cs="Times New Roman"/>
          <w:bCs/>
          <w:sz w:val="24"/>
        </w:rPr>
        <w:t>166.6</w:t>
      </w:r>
      <w:r>
        <w:rPr>
          <w:rFonts w:ascii="Times New Roman" w:hAnsi="Times New Roman" w:eastAsia="宋体" w:cs="Times New Roman"/>
          <w:bCs/>
          <w:sz w:val="24"/>
        </w:rPr>
        <w:t>m。</w:t>
      </w:r>
    </w:p>
    <w:p w14:paraId="16B90F3D">
      <w:pPr>
        <w:spacing w:line="300" w:lineRule="auto"/>
        <w:ind w:firstLine="480" w:firstLineChars="200"/>
        <w:rPr>
          <w:rFonts w:ascii="Times New Roman" w:hAnsi="Times New Roman" w:eastAsia="宋体" w:cs="Times New Roman"/>
          <w:bCs/>
          <w:sz w:val="24"/>
        </w:rPr>
      </w:pPr>
      <w:r>
        <w:rPr>
          <w:rFonts w:hint="eastAsia" w:ascii="宋体" w:hAnsi="宋体" w:eastAsia="宋体" w:cs="Times New Roman"/>
          <w:bCs/>
          <w:sz w:val="24"/>
        </w:rPr>
        <w:t>⑤</w:t>
      </w:r>
      <w:r>
        <w:rPr>
          <w:rFonts w:hint="eastAsia" w:ascii="Times New Roman" w:hAnsi="Times New Roman" w:eastAsia="宋体" w:cs="Times New Roman"/>
          <w:bCs/>
          <w:sz w:val="24"/>
        </w:rPr>
        <w:t xml:space="preserve"> </w:t>
      </w:r>
      <w:r>
        <w:rPr>
          <w:rFonts w:ascii="Times New Roman" w:hAnsi="Times New Roman" w:eastAsia="宋体" w:cs="Times New Roman"/>
          <w:bCs/>
          <w:sz w:val="24"/>
        </w:rPr>
        <w:t>各路段近路区域环境噪声受拟建公路交通噪声影响随距离呈明显的衰减趋势。</w:t>
      </w:r>
    </w:p>
    <w:p w14:paraId="56048223">
      <w:pPr>
        <w:spacing w:line="300" w:lineRule="auto"/>
        <w:ind w:firstLine="480" w:firstLineChars="200"/>
        <w:rPr>
          <w:rFonts w:ascii="Times New Roman" w:hAnsi="Times New Roman" w:eastAsia="宋体" w:cs="Times New Roman"/>
          <w:bCs/>
          <w:sz w:val="24"/>
        </w:rPr>
      </w:pPr>
      <w:r>
        <w:rPr>
          <w:rFonts w:hint="eastAsia" w:ascii="宋体" w:hAnsi="宋体" w:eastAsia="宋体" w:cs="Times New Roman"/>
          <w:bCs/>
          <w:sz w:val="24"/>
        </w:rPr>
        <w:t>⑥</w:t>
      </w:r>
      <w:r>
        <w:rPr>
          <w:rFonts w:hint="eastAsia" w:ascii="Times New Roman" w:hAnsi="Times New Roman" w:eastAsia="宋体" w:cs="Times New Roman"/>
          <w:bCs/>
          <w:sz w:val="24"/>
        </w:rPr>
        <w:t xml:space="preserve"> </w:t>
      </w:r>
      <w:r>
        <w:rPr>
          <w:rFonts w:ascii="Times New Roman" w:hAnsi="Times New Roman" w:eastAsia="宋体" w:cs="Times New Roman"/>
          <w:bCs/>
          <w:sz w:val="24"/>
        </w:rPr>
        <w:t>从路段昼夜达标距离分析，相对于昼间噪声达标距离，夜间噪声达标距离有一个增加的现象，各路段夜间达标距离大于昼间达标距离，说明拟建公路夜间交通噪声影响大于昼间。</w:t>
      </w:r>
    </w:p>
    <w:bookmarkEnd w:id="222"/>
    <w:p w14:paraId="34549CC5">
      <w:pPr>
        <w:rPr>
          <w:rFonts w:ascii="Times New Roman" w:hAnsi="Times New Roman" w:eastAsia="宋体" w:cs="Times New Roman"/>
        </w:rPr>
      </w:pPr>
    </w:p>
    <w:p w14:paraId="11424913">
      <w:pPr>
        <w:sectPr>
          <w:headerReference r:id="rId72" w:type="default"/>
          <w:footerReference r:id="rId73" w:type="default"/>
          <w:footerReference r:id="rId74" w:type="even"/>
          <w:pgSz w:w="11906" w:h="16838"/>
          <w:pgMar w:top="1440" w:right="1797" w:bottom="1560" w:left="1797" w:header="851" w:footer="992" w:gutter="0"/>
          <w:pgBorders>
            <w:top w:val="none" w:sz="0" w:space="0"/>
            <w:left w:val="none" w:sz="0" w:space="0"/>
            <w:bottom w:val="none" w:sz="0" w:space="0"/>
            <w:right w:val="none" w:sz="0" w:space="0"/>
          </w:pgBorders>
          <w:cols w:space="720" w:num="1"/>
          <w:docGrid w:linePitch="312" w:charSpace="0"/>
        </w:sectPr>
      </w:pPr>
    </w:p>
    <w:p w14:paraId="05E4E744">
      <w:pPr>
        <w:pStyle w:val="101"/>
        <w:spacing w:beforeLines="50" w:line="240" w:lineRule="auto"/>
        <w:ind w:firstLine="0" w:firstLineChars="0"/>
        <w:jc w:val="center"/>
        <w:rPr>
          <w:b/>
          <w:bCs/>
          <w:sz w:val="21"/>
          <w:szCs w:val="18"/>
        </w:rPr>
      </w:pPr>
      <w:r>
        <w:rPr>
          <w:b/>
          <w:bCs/>
          <w:sz w:val="21"/>
          <w:szCs w:val="18"/>
        </w:rPr>
        <w:t>表4.2-</w:t>
      </w:r>
      <w:r>
        <w:rPr>
          <w:rFonts w:hint="eastAsia"/>
          <w:b/>
          <w:bCs/>
          <w:sz w:val="21"/>
          <w:szCs w:val="18"/>
        </w:rPr>
        <w:t>6</w:t>
      </w:r>
      <w:r>
        <w:rPr>
          <w:b/>
          <w:bCs/>
          <w:sz w:val="21"/>
          <w:szCs w:val="18"/>
        </w:rPr>
        <w:t xml:space="preserve">  拟建</w:t>
      </w:r>
      <w:r>
        <w:rPr>
          <w:rFonts w:hint="eastAsia"/>
          <w:b/>
          <w:bCs/>
          <w:sz w:val="21"/>
          <w:szCs w:val="18"/>
        </w:rPr>
        <w:t>公路</w:t>
      </w:r>
      <w:r>
        <w:rPr>
          <w:b/>
          <w:bCs/>
          <w:sz w:val="21"/>
          <w:szCs w:val="18"/>
        </w:rPr>
        <w:t>营运期交通噪声预测结果</w:t>
      </w:r>
    </w:p>
    <w:tbl>
      <w:tblPr>
        <w:tblStyle w:val="22"/>
        <w:tblW w:w="5000" w:type="pct"/>
        <w:tblInd w:w="0" w:type="dxa"/>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748"/>
        <w:gridCol w:w="1457"/>
        <w:gridCol w:w="879"/>
        <w:gridCol w:w="771"/>
        <w:gridCol w:w="692"/>
        <w:gridCol w:w="692"/>
        <w:gridCol w:w="692"/>
        <w:gridCol w:w="692"/>
        <w:gridCol w:w="692"/>
        <w:gridCol w:w="692"/>
        <w:gridCol w:w="901"/>
        <w:gridCol w:w="901"/>
        <w:gridCol w:w="901"/>
        <w:gridCol w:w="921"/>
        <w:gridCol w:w="831"/>
        <w:gridCol w:w="712"/>
      </w:tblGrid>
      <w:tr w14:paraId="2746B867">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1131" w:type="pct"/>
            <w:gridSpan w:val="2"/>
            <w:vMerge w:val="restart"/>
            <w:shd w:val="clear" w:color="auto" w:fill="auto"/>
            <w:noWrap/>
            <w:vAlign w:val="center"/>
          </w:tcPr>
          <w:p w14:paraId="48EF933C">
            <w:pPr>
              <w:widowControl/>
              <w:spacing w:line="240" w:lineRule="exact"/>
              <w:jc w:val="center"/>
              <w:rPr>
                <w:rFonts w:ascii="Times New Roman" w:hAnsi="Times New Roman" w:eastAsia="宋体" w:cs="Times New Roman"/>
                <w:b/>
                <w:kern w:val="0"/>
                <w:szCs w:val="21"/>
              </w:rPr>
            </w:pPr>
            <w:r>
              <w:rPr>
                <w:rFonts w:ascii="Times New Roman" w:hAnsi="宋体" w:eastAsia="宋体" w:cs="Times New Roman"/>
                <w:b/>
                <w:kern w:val="0"/>
                <w:szCs w:val="21"/>
              </w:rPr>
              <w:t>路段</w:t>
            </w:r>
          </w:p>
        </w:tc>
        <w:tc>
          <w:tcPr>
            <w:tcW w:w="310" w:type="pct"/>
            <w:vMerge w:val="restart"/>
            <w:shd w:val="clear" w:color="auto" w:fill="auto"/>
            <w:noWrap/>
            <w:vAlign w:val="center"/>
          </w:tcPr>
          <w:p w14:paraId="0C5CE93B">
            <w:pPr>
              <w:widowControl/>
              <w:spacing w:line="240" w:lineRule="exact"/>
              <w:jc w:val="center"/>
              <w:rPr>
                <w:rFonts w:ascii="Times New Roman" w:hAnsi="Times New Roman" w:eastAsia="宋体" w:cs="Times New Roman"/>
                <w:b/>
                <w:kern w:val="0"/>
                <w:szCs w:val="21"/>
              </w:rPr>
            </w:pPr>
            <w:r>
              <w:rPr>
                <w:rFonts w:ascii="Times New Roman" w:hAnsi="宋体" w:eastAsia="宋体" w:cs="Times New Roman"/>
                <w:b/>
                <w:kern w:val="0"/>
                <w:szCs w:val="21"/>
              </w:rPr>
              <w:t>评价年</w:t>
            </w:r>
          </w:p>
        </w:tc>
        <w:tc>
          <w:tcPr>
            <w:tcW w:w="272" w:type="pct"/>
            <w:vMerge w:val="restart"/>
            <w:shd w:val="clear" w:color="auto" w:fill="auto"/>
            <w:noWrap/>
            <w:vAlign w:val="center"/>
          </w:tcPr>
          <w:p w14:paraId="30413DFC">
            <w:pPr>
              <w:widowControl/>
              <w:spacing w:line="240" w:lineRule="exact"/>
              <w:jc w:val="center"/>
              <w:rPr>
                <w:rFonts w:ascii="Times New Roman" w:hAnsi="Times New Roman" w:eastAsia="宋体" w:cs="Times New Roman"/>
                <w:b/>
                <w:kern w:val="0"/>
                <w:szCs w:val="21"/>
              </w:rPr>
            </w:pPr>
            <w:r>
              <w:rPr>
                <w:rFonts w:ascii="Times New Roman" w:hAnsi="宋体" w:eastAsia="宋体" w:cs="Times New Roman"/>
                <w:b/>
                <w:kern w:val="0"/>
                <w:szCs w:val="21"/>
              </w:rPr>
              <w:t>时段</w:t>
            </w:r>
          </w:p>
        </w:tc>
        <w:tc>
          <w:tcPr>
            <w:tcW w:w="2743" w:type="pct"/>
            <w:gridSpan w:val="10"/>
            <w:shd w:val="clear" w:color="auto" w:fill="auto"/>
            <w:noWrap/>
            <w:vAlign w:val="center"/>
          </w:tcPr>
          <w:p w14:paraId="053CE217">
            <w:pPr>
              <w:widowControl/>
              <w:spacing w:line="240" w:lineRule="exact"/>
              <w:jc w:val="center"/>
              <w:rPr>
                <w:rFonts w:ascii="Times New Roman" w:hAnsi="Times New Roman" w:eastAsia="宋体" w:cs="Times New Roman"/>
                <w:b/>
                <w:kern w:val="0"/>
                <w:szCs w:val="21"/>
              </w:rPr>
            </w:pPr>
            <w:r>
              <w:rPr>
                <w:rFonts w:ascii="Times New Roman" w:hAnsi="宋体" w:eastAsia="宋体" w:cs="Times New Roman"/>
                <w:b/>
                <w:kern w:val="0"/>
                <w:szCs w:val="21"/>
              </w:rPr>
              <w:t>路中心线外不同水平距离下的交通噪声预测值（</w:t>
            </w:r>
            <w:r>
              <w:rPr>
                <w:rFonts w:ascii="Times New Roman" w:hAnsi="Times New Roman" w:eastAsia="宋体" w:cs="Times New Roman"/>
                <w:b/>
                <w:kern w:val="0"/>
                <w:szCs w:val="21"/>
              </w:rPr>
              <w:t>dB</w:t>
            </w:r>
            <w:r>
              <w:rPr>
                <w:rFonts w:ascii="Times New Roman" w:hAnsi="宋体" w:eastAsia="宋体" w:cs="Times New Roman"/>
                <w:b/>
                <w:kern w:val="0"/>
                <w:szCs w:val="21"/>
              </w:rPr>
              <w:t>）</w:t>
            </w:r>
          </w:p>
        </w:tc>
        <w:tc>
          <w:tcPr>
            <w:tcW w:w="544" w:type="pct"/>
            <w:gridSpan w:val="2"/>
            <w:shd w:val="clear" w:color="auto" w:fill="auto"/>
            <w:noWrap/>
            <w:vAlign w:val="center"/>
          </w:tcPr>
          <w:p w14:paraId="4AEAE86E">
            <w:pPr>
              <w:widowControl/>
              <w:spacing w:line="240" w:lineRule="exact"/>
              <w:jc w:val="center"/>
              <w:rPr>
                <w:rFonts w:ascii="Times New Roman" w:hAnsi="Times New Roman" w:eastAsia="宋体" w:cs="Times New Roman"/>
                <w:b/>
                <w:kern w:val="0"/>
                <w:szCs w:val="21"/>
              </w:rPr>
            </w:pPr>
            <w:r>
              <w:rPr>
                <w:rFonts w:ascii="Times New Roman" w:hAnsi="宋体" w:eastAsia="宋体" w:cs="Times New Roman"/>
                <w:b/>
                <w:kern w:val="0"/>
                <w:szCs w:val="21"/>
              </w:rPr>
              <w:t>达标距离</w:t>
            </w:r>
            <w:r>
              <w:rPr>
                <w:rFonts w:ascii="Times New Roman" w:hAnsi="Times New Roman" w:eastAsia="宋体" w:cs="Times New Roman"/>
                <w:b/>
                <w:kern w:val="0"/>
                <w:szCs w:val="21"/>
              </w:rPr>
              <w:t>(m)</w:t>
            </w:r>
          </w:p>
        </w:tc>
      </w:tr>
      <w:tr w14:paraId="2C9BA27A">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1131" w:type="pct"/>
            <w:gridSpan w:val="2"/>
            <w:vMerge w:val="continue"/>
            <w:vAlign w:val="center"/>
          </w:tcPr>
          <w:p w14:paraId="03B52427">
            <w:pPr>
              <w:widowControl/>
              <w:spacing w:line="240" w:lineRule="exact"/>
              <w:jc w:val="center"/>
              <w:rPr>
                <w:rFonts w:ascii="Times New Roman" w:hAnsi="Times New Roman" w:eastAsia="宋体" w:cs="Times New Roman"/>
                <w:b/>
                <w:kern w:val="0"/>
                <w:szCs w:val="21"/>
              </w:rPr>
            </w:pPr>
          </w:p>
        </w:tc>
        <w:tc>
          <w:tcPr>
            <w:tcW w:w="310" w:type="pct"/>
            <w:vMerge w:val="continue"/>
            <w:vAlign w:val="center"/>
          </w:tcPr>
          <w:p w14:paraId="142091CB">
            <w:pPr>
              <w:widowControl/>
              <w:spacing w:line="240" w:lineRule="exact"/>
              <w:jc w:val="center"/>
              <w:rPr>
                <w:rFonts w:ascii="Times New Roman" w:hAnsi="Times New Roman" w:eastAsia="宋体" w:cs="Times New Roman"/>
                <w:b/>
                <w:kern w:val="0"/>
                <w:szCs w:val="21"/>
              </w:rPr>
            </w:pPr>
          </w:p>
        </w:tc>
        <w:tc>
          <w:tcPr>
            <w:tcW w:w="272" w:type="pct"/>
            <w:vMerge w:val="continue"/>
            <w:vAlign w:val="center"/>
          </w:tcPr>
          <w:p w14:paraId="52DBAA0E">
            <w:pPr>
              <w:widowControl/>
              <w:spacing w:line="240" w:lineRule="exact"/>
              <w:jc w:val="center"/>
              <w:rPr>
                <w:rFonts w:ascii="Times New Roman" w:hAnsi="Times New Roman" w:eastAsia="宋体" w:cs="Times New Roman"/>
                <w:b/>
                <w:kern w:val="0"/>
                <w:szCs w:val="21"/>
              </w:rPr>
            </w:pPr>
          </w:p>
        </w:tc>
        <w:tc>
          <w:tcPr>
            <w:tcW w:w="244" w:type="pct"/>
            <w:shd w:val="clear" w:color="auto" w:fill="auto"/>
            <w:noWrap/>
            <w:vAlign w:val="center"/>
          </w:tcPr>
          <w:p w14:paraId="1FC296A4">
            <w:pPr>
              <w:widowControl/>
              <w:spacing w:line="240" w:lineRule="exact"/>
              <w:jc w:val="center"/>
              <w:rPr>
                <w:rFonts w:ascii="Times New Roman" w:hAnsi="Times New Roman" w:eastAsia="宋体" w:cs="Times New Roman"/>
                <w:b/>
                <w:kern w:val="0"/>
                <w:szCs w:val="21"/>
              </w:rPr>
            </w:pPr>
            <w:r>
              <w:rPr>
                <w:rFonts w:ascii="Times New Roman" w:hAnsi="Times New Roman" w:eastAsia="宋体" w:cs="Times New Roman"/>
                <w:b/>
                <w:kern w:val="0"/>
                <w:szCs w:val="21"/>
              </w:rPr>
              <w:t>20m</w:t>
            </w:r>
          </w:p>
        </w:tc>
        <w:tc>
          <w:tcPr>
            <w:tcW w:w="244" w:type="pct"/>
            <w:shd w:val="clear" w:color="auto" w:fill="auto"/>
            <w:noWrap/>
            <w:vAlign w:val="center"/>
          </w:tcPr>
          <w:p w14:paraId="0C7EC51C">
            <w:pPr>
              <w:widowControl/>
              <w:spacing w:line="240" w:lineRule="exact"/>
              <w:jc w:val="center"/>
              <w:rPr>
                <w:rFonts w:ascii="Times New Roman" w:hAnsi="Times New Roman" w:eastAsia="宋体" w:cs="Times New Roman"/>
                <w:b/>
                <w:kern w:val="0"/>
                <w:szCs w:val="21"/>
              </w:rPr>
            </w:pPr>
            <w:r>
              <w:rPr>
                <w:rFonts w:ascii="Times New Roman" w:hAnsi="Times New Roman" w:eastAsia="宋体" w:cs="Times New Roman"/>
                <w:b/>
                <w:kern w:val="0"/>
                <w:szCs w:val="21"/>
              </w:rPr>
              <w:t>30m</w:t>
            </w:r>
          </w:p>
        </w:tc>
        <w:tc>
          <w:tcPr>
            <w:tcW w:w="244" w:type="pct"/>
            <w:shd w:val="clear" w:color="auto" w:fill="auto"/>
            <w:noWrap/>
            <w:vAlign w:val="center"/>
          </w:tcPr>
          <w:p w14:paraId="3D31E9E0">
            <w:pPr>
              <w:widowControl/>
              <w:spacing w:line="240" w:lineRule="exact"/>
              <w:jc w:val="center"/>
              <w:rPr>
                <w:rFonts w:ascii="Times New Roman" w:hAnsi="Times New Roman" w:eastAsia="宋体" w:cs="Times New Roman"/>
                <w:b/>
                <w:kern w:val="0"/>
                <w:szCs w:val="21"/>
              </w:rPr>
            </w:pPr>
            <w:r>
              <w:rPr>
                <w:rFonts w:ascii="Times New Roman" w:hAnsi="Times New Roman" w:eastAsia="宋体" w:cs="Times New Roman"/>
                <w:b/>
                <w:kern w:val="0"/>
                <w:szCs w:val="21"/>
              </w:rPr>
              <w:t>40m</w:t>
            </w:r>
          </w:p>
        </w:tc>
        <w:tc>
          <w:tcPr>
            <w:tcW w:w="244" w:type="pct"/>
            <w:shd w:val="clear" w:color="auto" w:fill="auto"/>
            <w:noWrap/>
            <w:vAlign w:val="center"/>
          </w:tcPr>
          <w:p w14:paraId="5CB99363">
            <w:pPr>
              <w:widowControl/>
              <w:spacing w:line="240" w:lineRule="exact"/>
              <w:jc w:val="center"/>
              <w:rPr>
                <w:rFonts w:ascii="Times New Roman" w:hAnsi="Times New Roman" w:eastAsia="宋体" w:cs="Times New Roman"/>
                <w:b/>
                <w:kern w:val="0"/>
                <w:szCs w:val="21"/>
              </w:rPr>
            </w:pPr>
            <w:r>
              <w:rPr>
                <w:rFonts w:ascii="Times New Roman" w:hAnsi="Times New Roman" w:eastAsia="宋体" w:cs="Times New Roman"/>
                <w:b/>
                <w:kern w:val="0"/>
                <w:szCs w:val="21"/>
              </w:rPr>
              <w:t>50m</w:t>
            </w:r>
          </w:p>
        </w:tc>
        <w:tc>
          <w:tcPr>
            <w:tcW w:w="244" w:type="pct"/>
            <w:shd w:val="clear" w:color="auto" w:fill="auto"/>
            <w:noWrap/>
            <w:vAlign w:val="center"/>
          </w:tcPr>
          <w:p w14:paraId="2B1395BE">
            <w:pPr>
              <w:widowControl/>
              <w:spacing w:line="240" w:lineRule="exact"/>
              <w:jc w:val="center"/>
              <w:rPr>
                <w:rFonts w:ascii="Times New Roman" w:hAnsi="Times New Roman" w:eastAsia="宋体" w:cs="Times New Roman"/>
                <w:b/>
                <w:kern w:val="0"/>
                <w:szCs w:val="21"/>
              </w:rPr>
            </w:pPr>
            <w:r>
              <w:rPr>
                <w:rFonts w:ascii="Times New Roman" w:hAnsi="Times New Roman" w:eastAsia="宋体" w:cs="Times New Roman"/>
                <w:b/>
                <w:kern w:val="0"/>
                <w:szCs w:val="21"/>
              </w:rPr>
              <w:t>60m</w:t>
            </w:r>
          </w:p>
        </w:tc>
        <w:tc>
          <w:tcPr>
            <w:tcW w:w="244" w:type="pct"/>
            <w:shd w:val="clear" w:color="auto" w:fill="auto"/>
            <w:noWrap/>
            <w:vAlign w:val="center"/>
          </w:tcPr>
          <w:p w14:paraId="72267810">
            <w:pPr>
              <w:widowControl/>
              <w:spacing w:line="240" w:lineRule="exact"/>
              <w:jc w:val="center"/>
              <w:rPr>
                <w:rFonts w:ascii="Times New Roman" w:hAnsi="Times New Roman" w:eastAsia="宋体" w:cs="Times New Roman"/>
                <w:b/>
                <w:kern w:val="0"/>
                <w:szCs w:val="21"/>
              </w:rPr>
            </w:pPr>
            <w:r>
              <w:rPr>
                <w:rFonts w:ascii="Times New Roman" w:hAnsi="Times New Roman" w:eastAsia="宋体" w:cs="Times New Roman"/>
                <w:b/>
                <w:kern w:val="0"/>
                <w:szCs w:val="21"/>
              </w:rPr>
              <w:t>80m</w:t>
            </w:r>
          </w:p>
        </w:tc>
        <w:tc>
          <w:tcPr>
            <w:tcW w:w="318" w:type="pct"/>
            <w:shd w:val="clear" w:color="auto" w:fill="auto"/>
            <w:noWrap/>
            <w:vAlign w:val="center"/>
          </w:tcPr>
          <w:p w14:paraId="3AF48F10">
            <w:pPr>
              <w:widowControl/>
              <w:spacing w:line="240" w:lineRule="exact"/>
              <w:jc w:val="center"/>
              <w:rPr>
                <w:rFonts w:ascii="Times New Roman" w:hAnsi="Times New Roman" w:eastAsia="宋体" w:cs="Times New Roman"/>
                <w:b/>
                <w:kern w:val="0"/>
                <w:szCs w:val="21"/>
              </w:rPr>
            </w:pPr>
            <w:r>
              <w:rPr>
                <w:rFonts w:ascii="Times New Roman" w:hAnsi="Times New Roman" w:eastAsia="宋体" w:cs="Times New Roman"/>
                <w:b/>
                <w:kern w:val="0"/>
                <w:szCs w:val="21"/>
              </w:rPr>
              <w:t>100m</w:t>
            </w:r>
          </w:p>
        </w:tc>
        <w:tc>
          <w:tcPr>
            <w:tcW w:w="318" w:type="pct"/>
            <w:shd w:val="clear" w:color="auto" w:fill="auto"/>
            <w:noWrap/>
            <w:vAlign w:val="center"/>
          </w:tcPr>
          <w:p w14:paraId="4864774C">
            <w:pPr>
              <w:widowControl/>
              <w:spacing w:line="240" w:lineRule="exact"/>
              <w:jc w:val="center"/>
              <w:rPr>
                <w:rFonts w:ascii="Times New Roman" w:hAnsi="Times New Roman" w:eastAsia="宋体" w:cs="Times New Roman"/>
                <w:b/>
                <w:kern w:val="0"/>
                <w:szCs w:val="21"/>
              </w:rPr>
            </w:pPr>
            <w:r>
              <w:rPr>
                <w:rFonts w:ascii="Times New Roman" w:hAnsi="Times New Roman" w:eastAsia="宋体" w:cs="Times New Roman"/>
                <w:b/>
                <w:kern w:val="0"/>
                <w:szCs w:val="21"/>
              </w:rPr>
              <w:t>120m</w:t>
            </w:r>
          </w:p>
        </w:tc>
        <w:tc>
          <w:tcPr>
            <w:tcW w:w="318" w:type="pct"/>
            <w:shd w:val="clear" w:color="auto" w:fill="auto"/>
            <w:noWrap/>
            <w:vAlign w:val="center"/>
          </w:tcPr>
          <w:p w14:paraId="11B5E498">
            <w:pPr>
              <w:widowControl/>
              <w:spacing w:line="240" w:lineRule="exact"/>
              <w:jc w:val="center"/>
              <w:rPr>
                <w:rFonts w:ascii="Times New Roman" w:hAnsi="Times New Roman" w:eastAsia="宋体" w:cs="Times New Roman"/>
                <w:b/>
                <w:kern w:val="0"/>
                <w:szCs w:val="21"/>
              </w:rPr>
            </w:pPr>
            <w:r>
              <w:rPr>
                <w:rFonts w:ascii="Times New Roman" w:hAnsi="Times New Roman" w:eastAsia="宋体" w:cs="Times New Roman"/>
                <w:b/>
                <w:kern w:val="0"/>
                <w:szCs w:val="21"/>
              </w:rPr>
              <w:t>160m</w:t>
            </w:r>
          </w:p>
        </w:tc>
        <w:tc>
          <w:tcPr>
            <w:tcW w:w="325" w:type="pct"/>
            <w:shd w:val="clear" w:color="auto" w:fill="auto"/>
            <w:noWrap/>
            <w:vAlign w:val="center"/>
          </w:tcPr>
          <w:p w14:paraId="1E71201F">
            <w:pPr>
              <w:widowControl/>
              <w:spacing w:line="240" w:lineRule="exact"/>
              <w:jc w:val="center"/>
              <w:rPr>
                <w:rFonts w:ascii="Times New Roman" w:hAnsi="Times New Roman" w:eastAsia="宋体" w:cs="Times New Roman"/>
                <w:b/>
                <w:kern w:val="0"/>
                <w:szCs w:val="21"/>
              </w:rPr>
            </w:pPr>
            <w:r>
              <w:rPr>
                <w:rFonts w:ascii="Times New Roman" w:hAnsi="Times New Roman" w:eastAsia="宋体" w:cs="Times New Roman"/>
                <w:b/>
                <w:kern w:val="0"/>
                <w:szCs w:val="21"/>
              </w:rPr>
              <w:t>200m</w:t>
            </w:r>
          </w:p>
        </w:tc>
        <w:tc>
          <w:tcPr>
            <w:tcW w:w="293" w:type="pct"/>
            <w:shd w:val="clear" w:color="auto" w:fill="auto"/>
            <w:noWrap/>
            <w:vAlign w:val="center"/>
          </w:tcPr>
          <w:p w14:paraId="5E24F53E">
            <w:pPr>
              <w:widowControl/>
              <w:spacing w:line="240" w:lineRule="exact"/>
              <w:jc w:val="center"/>
              <w:rPr>
                <w:rFonts w:ascii="Times New Roman" w:hAnsi="Times New Roman" w:eastAsia="宋体" w:cs="Times New Roman"/>
                <w:b/>
                <w:kern w:val="0"/>
                <w:szCs w:val="21"/>
              </w:rPr>
            </w:pPr>
            <w:r>
              <w:rPr>
                <w:rFonts w:ascii="Times New Roman" w:hAnsi="Times New Roman" w:eastAsia="宋体" w:cs="Times New Roman"/>
                <w:b/>
                <w:kern w:val="0"/>
                <w:szCs w:val="21"/>
              </w:rPr>
              <w:t>4a</w:t>
            </w:r>
            <w:r>
              <w:rPr>
                <w:rFonts w:ascii="Times New Roman" w:hAnsi="宋体" w:eastAsia="宋体" w:cs="Times New Roman"/>
                <w:b/>
                <w:kern w:val="0"/>
                <w:szCs w:val="21"/>
              </w:rPr>
              <w:t>类</w:t>
            </w:r>
          </w:p>
        </w:tc>
        <w:tc>
          <w:tcPr>
            <w:tcW w:w="251" w:type="pct"/>
            <w:shd w:val="clear" w:color="auto" w:fill="auto"/>
            <w:noWrap/>
            <w:vAlign w:val="center"/>
          </w:tcPr>
          <w:p w14:paraId="2C8992C6">
            <w:pPr>
              <w:widowControl/>
              <w:spacing w:line="240" w:lineRule="exact"/>
              <w:jc w:val="center"/>
              <w:rPr>
                <w:rFonts w:ascii="Times New Roman" w:hAnsi="Times New Roman" w:eastAsia="宋体" w:cs="Times New Roman"/>
                <w:b/>
                <w:kern w:val="0"/>
                <w:szCs w:val="21"/>
              </w:rPr>
            </w:pPr>
            <w:r>
              <w:rPr>
                <w:rFonts w:ascii="Times New Roman" w:hAnsi="Times New Roman" w:eastAsia="宋体" w:cs="Times New Roman"/>
                <w:b/>
                <w:kern w:val="0"/>
                <w:szCs w:val="21"/>
              </w:rPr>
              <w:t>2</w:t>
            </w:r>
            <w:r>
              <w:rPr>
                <w:rFonts w:ascii="Times New Roman" w:hAnsi="宋体" w:eastAsia="宋体" w:cs="Times New Roman"/>
                <w:b/>
                <w:kern w:val="0"/>
                <w:szCs w:val="21"/>
              </w:rPr>
              <w:t>类</w:t>
            </w:r>
          </w:p>
        </w:tc>
      </w:tr>
      <w:tr w14:paraId="4FD0489C">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617" w:type="pct"/>
            <w:vMerge w:val="restart"/>
            <w:shd w:val="clear" w:color="auto" w:fill="auto"/>
            <w:noWrap/>
            <w:vAlign w:val="center"/>
          </w:tcPr>
          <w:p w14:paraId="52170853">
            <w:pPr>
              <w:widowControl/>
              <w:spacing w:line="240" w:lineRule="exact"/>
              <w:jc w:val="center"/>
              <w:rPr>
                <w:rFonts w:ascii="Times New Roman" w:hAnsi="Times New Roman" w:eastAsia="宋体" w:cs="Times New Roman"/>
                <w:kern w:val="0"/>
                <w:szCs w:val="21"/>
              </w:rPr>
            </w:pPr>
            <w:r>
              <w:rPr>
                <w:rFonts w:ascii="Times New Roman" w:hAnsi="宋体" w:eastAsia="宋体" w:cs="Times New Roman"/>
                <w:kern w:val="0"/>
                <w:szCs w:val="21"/>
              </w:rPr>
              <w:t>起点～胜利路</w:t>
            </w:r>
          </w:p>
        </w:tc>
        <w:tc>
          <w:tcPr>
            <w:tcW w:w="514" w:type="pct"/>
            <w:vMerge w:val="restart"/>
            <w:shd w:val="clear" w:color="auto" w:fill="auto"/>
            <w:vAlign w:val="center"/>
          </w:tcPr>
          <w:p w14:paraId="3C80E087">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szCs w:val="21"/>
              </w:rPr>
              <w:t>设计车速</w:t>
            </w:r>
            <w:r>
              <w:rPr>
                <w:rFonts w:hint="eastAsia" w:ascii="Times New Roman" w:hAnsi="Times New Roman" w:eastAsia="宋体" w:cs="Times New Roman"/>
                <w:szCs w:val="21"/>
              </w:rPr>
              <w:t>8</w:t>
            </w:r>
            <w:r>
              <w:rPr>
                <w:rFonts w:ascii="Times New Roman" w:hAnsi="Times New Roman" w:eastAsia="宋体" w:cs="Times New Roman"/>
                <w:szCs w:val="21"/>
              </w:rPr>
              <w:t>0km/h，路基宽度</w:t>
            </w:r>
            <w:r>
              <w:rPr>
                <w:rFonts w:hint="eastAsia" w:ascii="Times New Roman" w:hAnsi="Times New Roman" w:eastAsia="宋体" w:cs="Times New Roman"/>
                <w:szCs w:val="21"/>
              </w:rPr>
              <w:t>25.5</w:t>
            </w:r>
            <w:r>
              <w:rPr>
                <w:rFonts w:ascii="Times New Roman" w:hAnsi="Times New Roman" w:eastAsia="宋体" w:cs="Times New Roman"/>
                <w:szCs w:val="21"/>
              </w:rPr>
              <w:t>m</w:t>
            </w:r>
          </w:p>
        </w:tc>
        <w:tc>
          <w:tcPr>
            <w:tcW w:w="310" w:type="pct"/>
            <w:vMerge w:val="restart"/>
            <w:shd w:val="clear" w:color="auto" w:fill="auto"/>
            <w:noWrap/>
            <w:vAlign w:val="center"/>
          </w:tcPr>
          <w:p w14:paraId="464E9591">
            <w:pPr>
              <w:widowControl/>
              <w:spacing w:line="240" w:lineRule="exact"/>
              <w:jc w:val="center"/>
              <w:rPr>
                <w:rFonts w:ascii="Times New Roman" w:hAnsi="Times New Roman" w:eastAsia="宋体" w:cs="Times New Roman"/>
                <w:kern w:val="0"/>
                <w:szCs w:val="21"/>
              </w:rPr>
            </w:pPr>
            <w:r>
              <w:rPr>
                <w:rFonts w:ascii="Times New Roman" w:hAnsi="宋体" w:eastAsia="宋体" w:cs="Times New Roman"/>
                <w:kern w:val="0"/>
                <w:szCs w:val="21"/>
              </w:rPr>
              <w:t>近期</w:t>
            </w:r>
          </w:p>
        </w:tc>
        <w:tc>
          <w:tcPr>
            <w:tcW w:w="272" w:type="pct"/>
            <w:shd w:val="clear" w:color="auto" w:fill="auto"/>
            <w:noWrap/>
            <w:vAlign w:val="center"/>
          </w:tcPr>
          <w:p w14:paraId="526EE8A1">
            <w:pPr>
              <w:widowControl/>
              <w:spacing w:line="240" w:lineRule="exact"/>
              <w:jc w:val="center"/>
              <w:rPr>
                <w:rFonts w:ascii="Times New Roman" w:hAnsi="Times New Roman" w:eastAsia="宋体" w:cs="Times New Roman"/>
                <w:kern w:val="0"/>
                <w:szCs w:val="21"/>
              </w:rPr>
            </w:pPr>
            <w:r>
              <w:rPr>
                <w:rFonts w:ascii="Times New Roman" w:hAnsi="宋体" w:eastAsia="宋体" w:cs="Times New Roman"/>
                <w:kern w:val="0"/>
                <w:szCs w:val="21"/>
              </w:rPr>
              <w:t>昼间</w:t>
            </w:r>
          </w:p>
        </w:tc>
        <w:tc>
          <w:tcPr>
            <w:tcW w:w="244" w:type="pct"/>
            <w:shd w:val="clear" w:color="auto" w:fill="auto"/>
            <w:noWrap/>
            <w:vAlign w:val="center"/>
          </w:tcPr>
          <w:p w14:paraId="2B8BBBF8">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69.6</w:t>
            </w:r>
          </w:p>
        </w:tc>
        <w:tc>
          <w:tcPr>
            <w:tcW w:w="244" w:type="pct"/>
            <w:shd w:val="clear" w:color="auto" w:fill="auto"/>
            <w:noWrap/>
            <w:vAlign w:val="center"/>
          </w:tcPr>
          <w:p w14:paraId="1E93863B">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65.8</w:t>
            </w:r>
          </w:p>
        </w:tc>
        <w:tc>
          <w:tcPr>
            <w:tcW w:w="244" w:type="pct"/>
            <w:shd w:val="clear" w:color="auto" w:fill="auto"/>
            <w:noWrap/>
            <w:vAlign w:val="center"/>
          </w:tcPr>
          <w:p w14:paraId="07A9B5B5">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63.7</w:t>
            </w:r>
          </w:p>
        </w:tc>
        <w:tc>
          <w:tcPr>
            <w:tcW w:w="244" w:type="pct"/>
            <w:shd w:val="clear" w:color="auto" w:fill="auto"/>
            <w:noWrap/>
            <w:vAlign w:val="center"/>
          </w:tcPr>
          <w:p w14:paraId="20F8F36F">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62.2</w:t>
            </w:r>
          </w:p>
        </w:tc>
        <w:tc>
          <w:tcPr>
            <w:tcW w:w="244" w:type="pct"/>
            <w:shd w:val="clear" w:color="auto" w:fill="auto"/>
            <w:noWrap/>
            <w:vAlign w:val="center"/>
          </w:tcPr>
          <w:p w14:paraId="4E7152F9">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61.1</w:t>
            </w:r>
          </w:p>
        </w:tc>
        <w:tc>
          <w:tcPr>
            <w:tcW w:w="244" w:type="pct"/>
            <w:shd w:val="clear" w:color="auto" w:fill="auto"/>
            <w:noWrap/>
            <w:vAlign w:val="center"/>
          </w:tcPr>
          <w:p w14:paraId="0757D977">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59.3</w:t>
            </w:r>
          </w:p>
        </w:tc>
        <w:tc>
          <w:tcPr>
            <w:tcW w:w="318" w:type="pct"/>
            <w:shd w:val="clear" w:color="auto" w:fill="auto"/>
            <w:noWrap/>
            <w:vAlign w:val="center"/>
          </w:tcPr>
          <w:p w14:paraId="7FED9D73">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57.9</w:t>
            </w:r>
          </w:p>
        </w:tc>
        <w:tc>
          <w:tcPr>
            <w:tcW w:w="318" w:type="pct"/>
            <w:shd w:val="clear" w:color="auto" w:fill="auto"/>
            <w:noWrap/>
            <w:vAlign w:val="center"/>
          </w:tcPr>
          <w:p w14:paraId="7A12D90E">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56.8</w:t>
            </w:r>
          </w:p>
        </w:tc>
        <w:tc>
          <w:tcPr>
            <w:tcW w:w="318" w:type="pct"/>
            <w:shd w:val="clear" w:color="auto" w:fill="auto"/>
            <w:noWrap/>
            <w:vAlign w:val="center"/>
          </w:tcPr>
          <w:p w14:paraId="245EEAA4">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54.9</w:t>
            </w:r>
          </w:p>
        </w:tc>
        <w:tc>
          <w:tcPr>
            <w:tcW w:w="325" w:type="pct"/>
            <w:shd w:val="clear" w:color="auto" w:fill="auto"/>
            <w:noWrap/>
            <w:vAlign w:val="center"/>
          </w:tcPr>
          <w:p w14:paraId="69264B81">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53.3</w:t>
            </w:r>
          </w:p>
        </w:tc>
        <w:tc>
          <w:tcPr>
            <w:tcW w:w="293" w:type="pct"/>
            <w:shd w:val="clear" w:color="auto" w:fill="auto"/>
            <w:noWrap/>
            <w:vAlign w:val="center"/>
          </w:tcPr>
          <w:p w14:paraId="3C672E02">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&lt; 20.0</w:t>
            </w:r>
          </w:p>
        </w:tc>
        <w:tc>
          <w:tcPr>
            <w:tcW w:w="251" w:type="pct"/>
            <w:shd w:val="clear" w:color="auto" w:fill="auto"/>
            <w:noWrap/>
            <w:vAlign w:val="center"/>
          </w:tcPr>
          <w:p w14:paraId="4BEAECB7">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72.2</w:t>
            </w:r>
          </w:p>
        </w:tc>
      </w:tr>
      <w:tr w14:paraId="551C1CF2">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617" w:type="pct"/>
            <w:vMerge w:val="continue"/>
            <w:vAlign w:val="center"/>
          </w:tcPr>
          <w:p w14:paraId="1CA2BE73">
            <w:pPr>
              <w:widowControl/>
              <w:spacing w:line="240" w:lineRule="exact"/>
              <w:jc w:val="center"/>
              <w:rPr>
                <w:rFonts w:ascii="Times New Roman" w:hAnsi="Times New Roman" w:eastAsia="宋体" w:cs="Times New Roman"/>
                <w:kern w:val="0"/>
                <w:szCs w:val="21"/>
              </w:rPr>
            </w:pPr>
          </w:p>
        </w:tc>
        <w:tc>
          <w:tcPr>
            <w:tcW w:w="514" w:type="pct"/>
            <w:vMerge w:val="continue"/>
            <w:vAlign w:val="center"/>
          </w:tcPr>
          <w:p w14:paraId="7B284DEA">
            <w:pPr>
              <w:widowControl/>
              <w:spacing w:line="240" w:lineRule="exact"/>
              <w:jc w:val="center"/>
              <w:rPr>
                <w:rFonts w:ascii="Times New Roman" w:hAnsi="Times New Roman" w:eastAsia="宋体" w:cs="Times New Roman"/>
                <w:kern w:val="0"/>
                <w:szCs w:val="21"/>
              </w:rPr>
            </w:pPr>
          </w:p>
        </w:tc>
        <w:tc>
          <w:tcPr>
            <w:tcW w:w="310" w:type="pct"/>
            <w:vMerge w:val="continue"/>
            <w:vAlign w:val="center"/>
          </w:tcPr>
          <w:p w14:paraId="73F2086A">
            <w:pPr>
              <w:widowControl/>
              <w:spacing w:line="240" w:lineRule="exact"/>
              <w:jc w:val="center"/>
              <w:rPr>
                <w:rFonts w:ascii="Times New Roman" w:hAnsi="Times New Roman" w:eastAsia="宋体" w:cs="Times New Roman"/>
                <w:kern w:val="0"/>
                <w:szCs w:val="21"/>
              </w:rPr>
            </w:pPr>
          </w:p>
        </w:tc>
        <w:tc>
          <w:tcPr>
            <w:tcW w:w="272" w:type="pct"/>
            <w:shd w:val="clear" w:color="auto" w:fill="auto"/>
            <w:noWrap/>
            <w:vAlign w:val="center"/>
          </w:tcPr>
          <w:p w14:paraId="43CFE6DC">
            <w:pPr>
              <w:widowControl/>
              <w:spacing w:line="240" w:lineRule="exact"/>
              <w:jc w:val="center"/>
              <w:rPr>
                <w:rFonts w:ascii="Times New Roman" w:hAnsi="Times New Roman" w:eastAsia="宋体" w:cs="Times New Roman"/>
                <w:kern w:val="0"/>
                <w:szCs w:val="21"/>
              </w:rPr>
            </w:pPr>
            <w:r>
              <w:rPr>
                <w:rFonts w:ascii="Times New Roman" w:hAnsi="宋体" w:eastAsia="宋体" w:cs="Times New Roman"/>
                <w:kern w:val="0"/>
                <w:szCs w:val="21"/>
              </w:rPr>
              <w:t>夜间</w:t>
            </w:r>
          </w:p>
        </w:tc>
        <w:tc>
          <w:tcPr>
            <w:tcW w:w="244" w:type="pct"/>
            <w:shd w:val="clear" w:color="auto" w:fill="auto"/>
            <w:noWrap/>
            <w:vAlign w:val="center"/>
          </w:tcPr>
          <w:p w14:paraId="4A55ED43">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65.7</w:t>
            </w:r>
          </w:p>
        </w:tc>
        <w:tc>
          <w:tcPr>
            <w:tcW w:w="244" w:type="pct"/>
            <w:shd w:val="clear" w:color="auto" w:fill="auto"/>
            <w:noWrap/>
            <w:vAlign w:val="center"/>
          </w:tcPr>
          <w:p w14:paraId="00EB86FF">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61.9</w:t>
            </w:r>
          </w:p>
        </w:tc>
        <w:tc>
          <w:tcPr>
            <w:tcW w:w="244" w:type="pct"/>
            <w:shd w:val="clear" w:color="auto" w:fill="auto"/>
            <w:noWrap/>
            <w:vAlign w:val="center"/>
          </w:tcPr>
          <w:p w14:paraId="6FE20350">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59.8</w:t>
            </w:r>
          </w:p>
        </w:tc>
        <w:tc>
          <w:tcPr>
            <w:tcW w:w="244" w:type="pct"/>
            <w:shd w:val="clear" w:color="auto" w:fill="auto"/>
            <w:noWrap/>
            <w:vAlign w:val="center"/>
          </w:tcPr>
          <w:p w14:paraId="19195000">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58.3</w:t>
            </w:r>
          </w:p>
        </w:tc>
        <w:tc>
          <w:tcPr>
            <w:tcW w:w="244" w:type="pct"/>
            <w:shd w:val="clear" w:color="auto" w:fill="auto"/>
            <w:noWrap/>
            <w:vAlign w:val="center"/>
          </w:tcPr>
          <w:p w14:paraId="377A5E30">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57.2</w:t>
            </w:r>
          </w:p>
        </w:tc>
        <w:tc>
          <w:tcPr>
            <w:tcW w:w="244" w:type="pct"/>
            <w:shd w:val="clear" w:color="auto" w:fill="auto"/>
            <w:noWrap/>
            <w:vAlign w:val="center"/>
          </w:tcPr>
          <w:p w14:paraId="58ADD328">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55.4</w:t>
            </w:r>
          </w:p>
        </w:tc>
        <w:tc>
          <w:tcPr>
            <w:tcW w:w="318" w:type="pct"/>
            <w:shd w:val="clear" w:color="auto" w:fill="auto"/>
            <w:noWrap/>
            <w:vAlign w:val="center"/>
          </w:tcPr>
          <w:p w14:paraId="36ECA5BB">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54.1</w:t>
            </w:r>
          </w:p>
        </w:tc>
        <w:tc>
          <w:tcPr>
            <w:tcW w:w="318" w:type="pct"/>
            <w:shd w:val="clear" w:color="auto" w:fill="auto"/>
            <w:noWrap/>
            <w:vAlign w:val="center"/>
          </w:tcPr>
          <w:p w14:paraId="6044E9F8">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52.9</w:t>
            </w:r>
          </w:p>
        </w:tc>
        <w:tc>
          <w:tcPr>
            <w:tcW w:w="318" w:type="pct"/>
            <w:shd w:val="clear" w:color="auto" w:fill="auto"/>
            <w:noWrap/>
            <w:vAlign w:val="center"/>
          </w:tcPr>
          <w:p w14:paraId="07B6F7B1">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51.0</w:t>
            </w:r>
          </w:p>
        </w:tc>
        <w:tc>
          <w:tcPr>
            <w:tcW w:w="325" w:type="pct"/>
            <w:shd w:val="clear" w:color="auto" w:fill="auto"/>
            <w:noWrap/>
            <w:vAlign w:val="center"/>
          </w:tcPr>
          <w:p w14:paraId="26FF53FE">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49.5</w:t>
            </w:r>
          </w:p>
        </w:tc>
        <w:tc>
          <w:tcPr>
            <w:tcW w:w="293" w:type="pct"/>
            <w:shd w:val="clear" w:color="auto" w:fill="auto"/>
            <w:noWrap/>
            <w:vAlign w:val="center"/>
          </w:tcPr>
          <w:p w14:paraId="2CEF2711">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86.3</w:t>
            </w:r>
          </w:p>
        </w:tc>
        <w:tc>
          <w:tcPr>
            <w:tcW w:w="251" w:type="pct"/>
            <w:shd w:val="clear" w:color="auto" w:fill="auto"/>
            <w:noWrap/>
            <w:vAlign w:val="center"/>
          </w:tcPr>
          <w:p w14:paraId="17BB8ED3">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186.2</w:t>
            </w:r>
          </w:p>
        </w:tc>
      </w:tr>
      <w:tr w14:paraId="77261E0F">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617" w:type="pct"/>
            <w:vMerge w:val="continue"/>
            <w:vAlign w:val="center"/>
          </w:tcPr>
          <w:p w14:paraId="4B2FE1A9">
            <w:pPr>
              <w:widowControl/>
              <w:spacing w:line="240" w:lineRule="exact"/>
              <w:jc w:val="center"/>
              <w:rPr>
                <w:rFonts w:ascii="Times New Roman" w:hAnsi="Times New Roman" w:eastAsia="宋体" w:cs="Times New Roman"/>
                <w:kern w:val="0"/>
                <w:szCs w:val="21"/>
              </w:rPr>
            </w:pPr>
          </w:p>
        </w:tc>
        <w:tc>
          <w:tcPr>
            <w:tcW w:w="514" w:type="pct"/>
            <w:vMerge w:val="continue"/>
            <w:vAlign w:val="center"/>
          </w:tcPr>
          <w:p w14:paraId="10AA82DB">
            <w:pPr>
              <w:widowControl/>
              <w:spacing w:line="240" w:lineRule="exact"/>
              <w:jc w:val="center"/>
              <w:rPr>
                <w:rFonts w:ascii="Times New Roman" w:hAnsi="Times New Roman" w:eastAsia="宋体" w:cs="Times New Roman"/>
                <w:kern w:val="0"/>
                <w:szCs w:val="21"/>
              </w:rPr>
            </w:pPr>
          </w:p>
        </w:tc>
        <w:tc>
          <w:tcPr>
            <w:tcW w:w="310" w:type="pct"/>
            <w:vMerge w:val="restart"/>
            <w:shd w:val="clear" w:color="auto" w:fill="auto"/>
            <w:noWrap/>
            <w:vAlign w:val="center"/>
          </w:tcPr>
          <w:p w14:paraId="06E541B7">
            <w:pPr>
              <w:widowControl/>
              <w:spacing w:line="240" w:lineRule="exact"/>
              <w:jc w:val="center"/>
              <w:rPr>
                <w:rFonts w:ascii="Times New Roman" w:hAnsi="Times New Roman" w:eastAsia="宋体" w:cs="Times New Roman"/>
                <w:kern w:val="0"/>
                <w:szCs w:val="21"/>
              </w:rPr>
            </w:pPr>
            <w:r>
              <w:rPr>
                <w:rFonts w:ascii="Times New Roman" w:hAnsi="宋体" w:eastAsia="宋体" w:cs="Times New Roman"/>
                <w:kern w:val="0"/>
                <w:szCs w:val="21"/>
              </w:rPr>
              <w:t>中期</w:t>
            </w:r>
          </w:p>
        </w:tc>
        <w:tc>
          <w:tcPr>
            <w:tcW w:w="272" w:type="pct"/>
            <w:shd w:val="clear" w:color="auto" w:fill="auto"/>
            <w:noWrap/>
            <w:vAlign w:val="center"/>
          </w:tcPr>
          <w:p w14:paraId="6AF2CCE9">
            <w:pPr>
              <w:widowControl/>
              <w:spacing w:line="240" w:lineRule="exact"/>
              <w:jc w:val="center"/>
              <w:rPr>
                <w:rFonts w:ascii="Times New Roman" w:hAnsi="Times New Roman" w:eastAsia="宋体" w:cs="Times New Roman"/>
                <w:kern w:val="0"/>
                <w:szCs w:val="21"/>
              </w:rPr>
            </w:pPr>
            <w:r>
              <w:rPr>
                <w:rFonts w:ascii="Times New Roman" w:hAnsi="宋体" w:eastAsia="宋体" w:cs="Times New Roman"/>
                <w:kern w:val="0"/>
                <w:szCs w:val="21"/>
              </w:rPr>
              <w:t>昼间</w:t>
            </w:r>
          </w:p>
        </w:tc>
        <w:tc>
          <w:tcPr>
            <w:tcW w:w="244" w:type="pct"/>
            <w:shd w:val="clear" w:color="auto" w:fill="auto"/>
            <w:noWrap/>
            <w:vAlign w:val="center"/>
          </w:tcPr>
          <w:p w14:paraId="4BCC2E2A">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70.4</w:t>
            </w:r>
          </w:p>
        </w:tc>
        <w:tc>
          <w:tcPr>
            <w:tcW w:w="244" w:type="pct"/>
            <w:shd w:val="clear" w:color="auto" w:fill="auto"/>
            <w:noWrap/>
            <w:vAlign w:val="center"/>
          </w:tcPr>
          <w:p w14:paraId="5D37650D">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66.6</w:t>
            </w:r>
          </w:p>
        </w:tc>
        <w:tc>
          <w:tcPr>
            <w:tcW w:w="244" w:type="pct"/>
            <w:shd w:val="clear" w:color="auto" w:fill="auto"/>
            <w:noWrap/>
            <w:vAlign w:val="center"/>
          </w:tcPr>
          <w:p w14:paraId="0E3B3929">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64.5</w:t>
            </w:r>
          </w:p>
        </w:tc>
        <w:tc>
          <w:tcPr>
            <w:tcW w:w="244" w:type="pct"/>
            <w:shd w:val="clear" w:color="auto" w:fill="auto"/>
            <w:noWrap/>
            <w:vAlign w:val="center"/>
          </w:tcPr>
          <w:p w14:paraId="3D76E819">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63.0</w:t>
            </w:r>
          </w:p>
        </w:tc>
        <w:tc>
          <w:tcPr>
            <w:tcW w:w="244" w:type="pct"/>
            <w:shd w:val="clear" w:color="auto" w:fill="auto"/>
            <w:noWrap/>
            <w:vAlign w:val="center"/>
          </w:tcPr>
          <w:p w14:paraId="4C4C5749">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61.9</w:t>
            </w:r>
          </w:p>
        </w:tc>
        <w:tc>
          <w:tcPr>
            <w:tcW w:w="244" w:type="pct"/>
            <w:shd w:val="clear" w:color="auto" w:fill="auto"/>
            <w:noWrap/>
            <w:vAlign w:val="center"/>
          </w:tcPr>
          <w:p w14:paraId="7BA15819">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60.1</w:t>
            </w:r>
          </w:p>
        </w:tc>
        <w:tc>
          <w:tcPr>
            <w:tcW w:w="318" w:type="pct"/>
            <w:shd w:val="clear" w:color="auto" w:fill="auto"/>
            <w:noWrap/>
            <w:vAlign w:val="center"/>
          </w:tcPr>
          <w:p w14:paraId="3401DC81">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58.7</w:t>
            </w:r>
          </w:p>
        </w:tc>
        <w:tc>
          <w:tcPr>
            <w:tcW w:w="318" w:type="pct"/>
            <w:shd w:val="clear" w:color="auto" w:fill="auto"/>
            <w:noWrap/>
            <w:vAlign w:val="center"/>
          </w:tcPr>
          <w:p w14:paraId="2F82A024">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57.6</w:t>
            </w:r>
          </w:p>
        </w:tc>
        <w:tc>
          <w:tcPr>
            <w:tcW w:w="318" w:type="pct"/>
            <w:shd w:val="clear" w:color="auto" w:fill="auto"/>
            <w:noWrap/>
            <w:vAlign w:val="center"/>
          </w:tcPr>
          <w:p w14:paraId="19763C83">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55.7</w:t>
            </w:r>
          </w:p>
        </w:tc>
        <w:tc>
          <w:tcPr>
            <w:tcW w:w="325" w:type="pct"/>
            <w:shd w:val="clear" w:color="auto" w:fill="auto"/>
            <w:noWrap/>
            <w:vAlign w:val="center"/>
          </w:tcPr>
          <w:p w14:paraId="5BAAB920">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54.1</w:t>
            </w:r>
          </w:p>
        </w:tc>
        <w:tc>
          <w:tcPr>
            <w:tcW w:w="293" w:type="pct"/>
            <w:shd w:val="clear" w:color="auto" w:fill="auto"/>
            <w:noWrap/>
            <w:vAlign w:val="center"/>
          </w:tcPr>
          <w:p w14:paraId="47911151">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21.1</w:t>
            </w:r>
          </w:p>
        </w:tc>
        <w:tc>
          <w:tcPr>
            <w:tcW w:w="251" w:type="pct"/>
            <w:shd w:val="clear" w:color="auto" w:fill="auto"/>
            <w:noWrap/>
            <w:vAlign w:val="center"/>
          </w:tcPr>
          <w:p w14:paraId="220E30DC">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81.4</w:t>
            </w:r>
          </w:p>
        </w:tc>
      </w:tr>
      <w:tr w14:paraId="7C3AC93B">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617" w:type="pct"/>
            <w:vMerge w:val="continue"/>
            <w:vAlign w:val="center"/>
          </w:tcPr>
          <w:p w14:paraId="0F7E7B0B">
            <w:pPr>
              <w:widowControl/>
              <w:spacing w:line="240" w:lineRule="exact"/>
              <w:jc w:val="center"/>
              <w:rPr>
                <w:rFonts w:ascii="Times New Roman" w:hAnsi="Times New Roman" w:eastAsia="宋体" w:cs="Times New Roman"/>
                <w:kern w:val="0"/>
                <w:szCs w:val="21"/>
              </w:rPr>
            </w:pPr>
          </w:p>
        </w:tc>
        <w:tc>
          <w:tcPr>
            <w:tcW w:w="514" w:type="pct"/>
            <w:vMerge w:val="continue"/>
            <w:vAlign w:val="center"/>
          </w:tcPr>
          <w:p w14:paraId="061ADE02">
            <w:pPr>
              <w:widowControl/>
              <w:spacing w:line="240" w:lineRule="exact"/>
              <w:jc w:val="center"/>
              <w:rPr>
                <w:rFonts w:ascii="Times New Roman" w:hAnsi="Times New Roman" w:eastAsia="宋体" w:cs="Times New Roman"/>
                <w:kern w:val="0"/>
                <w:szCs w:val="21"/>
              </w:rPr>
            </w:pPr>
          </w:p>
        </w:tc>
        <w:tc>
          <w:tcPr>
            <w:tcW w:w="310" w:type="pct"/>
            <w:vMerge w:val="continue"/>
            <w:vAlign w:val="center"/>
          </w:tcPr>
          <w:p w14:paraId="75C91777">
            <w:pPr>
              <w:widowControl/>
              <w:spacing w:line="240" w:lineRule="exact"/>
              <w:jc w:val="center"/>
              <w:rPr>
                <w:rFonts w:ascii="Times New Roman" w:hAnsi="Times New Roman" w:eastAsia="宋体" w:cs="Times New Roman"/>
                <w:kern w:val="0"/>
                <w:szCs w:val="21"/>
              </w:rPr>
            </w:pPr>
          </w:p>
        </w:tc>
        <w:tc>
          <w:tcPr>
            <w:tcW w:w="272" w:type="pct"/>
            <w:shd w:val="clear" w:color="auto" w:fill="auto"/>
            <w:noWrap/>
            <w:vAlign w:val="center"/>
          </w:tcPr>
          <w:p w14:paraId="2963C75E">
            <w:pPr>
              <w:widowControl/>
              <w:spacing w:line="240" w:lineRule="exact"/>
              <w:jc w:val="center"/>
              <w:rPr>
                <w:rFonts w:ascii="Times New Roman" w:hAnsi="Times New Roman" w:eastAsia="宋体" w:cs="Times New Roman"/>
                <w:kern w:val="0"/>
                <w:szCs w:val="21"/>
              </w:rPr>
            </w:pPr>
            <w:r>
              <w:rPr>
                <w:rFonts w:ascii="Times New Roman" w:hAnsi="宋体" w:eastAsia="宋体" w:cs="Times New Roman"/>
                <w:kern w:val="0"/>
                <w:szCs w:val="21"/>
              </w:rPr>
              <w:t>夜间</w:t>
            </w:r>
          </w:p>
        </w:tc>
        <w:tc>
          <w:tcPr>
            <w:tcW w:w="244" w:type="pct"/>
            <w:shd w:val="clear" w:color="auto" w:fill="auto"/>
            <w:noWrap/>
            <w:vAlign w:val="center"/>
          </w:tcPr>
          <w:p w14:paraId="4A8FA525">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66.5</w:t>
            </w:r>
          </w:p>
        </w:tc>
        <w:tc>
          <w:tcPr>
            <w:tcW w:w="244" w:type="pct"/>
            <w:shd w:val="clear" w:color="auto" w:fill="auto"/>
            <w:noWrap/>
            <w:vAlign w:val="center"/>
          </w:tcPr>
          <w:p w14:paraId="034217BE">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62.7</w:t>
            </w:r>
          </w:p>
        </w:tc>
        <w:tc>
          <w:tcPr>
            <w:tcW w:w="244" w:type="pct"/>
            <w:shd w:val="clear" w:color="auto" w:fill="auto"/>
            <w:noWrap/>
            <w:vAlign w:val="center"/>
          </w:tcPr>
          <w:p w14:paraId="666FCE51">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60.6</w:t>
            </w:r>
          </w:p>
        </w:tc>
        <w:tc>
          <w:tcPr>
            <w:tcW w:w="244" w:type="pct"/>
            <w:shd w:val="clear" w:color="auto" w:fill="auto"/>
            <w:noWrap/>
            <w:vAlign w:val="center"/>
          </w:tcPr>
          <w:p w14:paraId="1DC9314B">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59.1</w:t>
            </w:r>
          </w:p>
        </w:tc>
        <w:tc>
          <w:tcPr>
            <w:tcW w:w="244" w:type="pct"/>
            <w:shd w:val="clear" w:color="auto" w:fill="auto"/>
            <w:noWrap/>
            <w:vAlign w:val="center"/>
          </w:tcPr>
          <w:p w14:paraId="2E6339EC">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58.0</w:t>
            </w:r>
          </w:p>
        </w:tc>
        <w:tc>
          <w:tcPr>
            <w:tcW w:w="244" w:type="pct"/>
            <w:shd w:val="clear" w:color="auto" w:fill="auto"/>
            <w:noWrap/>
            <w:vAlign w:val="center"/>
          </w:tcPr>
          <w:p w14:paraId="2C88D892">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56.2</w:t>
            </w:r>
          </w:p>
        </w:tc>
        <w:tc>
          <w:tcPr>
            <w:tcW w:w="318" w:type="pct"/>
            <w:shd w:val="clear" w:color="auto" w:fill="auto"/>
            <w:noWrap/>
            <w:vAlign w:val="center"/>
          </w:tcPr>
          <w:p w14:paraId="6309C32C">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54.8</w:t>
            </w:r>
          </w:p>
        </w:tc>
        <w:tc>
          <w:tcPr>
            <w:tcW w:w="318" w:type="pct"/>
            <w:shd w:val="clear" w:color="auto" w:fill="auto"/>
            <w:noWrap/>
            <w:vAlign w:val="center"/>
          </w:tcPr>
          <w:p w14:paraId="44CA345D">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53.7</w:t>
            </w:r>
          </w:p>
        </w:tc>
        <w:tc>
          <w:tcPr>
            <w:tcW w:w="318" w:type="pct"/>
            <w:shd w:val="clear" w:color="auto" w:fill="auto"/>
            <w:noWrap/>
            <w:vAlign w:val="center"/>
          </w:tcPr>
          <w:p w14:paraId="6894E054">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51.8</w:t>
            </w:r>
          </w:p>
        </w:tc>
        <w:tc>
          <w:tcPr>
            <w:tcW w:w="325" w:type="pct"/>
            <w:shd w:val="clear" w:color="auto" w:fill="auto"/>
            <w:noWrap/>
            <w:vAlign w:val="center"/>
          </w:tcPr>
          <w:p w14:paraId="1FFE8EFA">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50.2</w:t>
            </w:r>
          </w:p>
        </w:tc>
        <w:tc>
          <w:tcPr>
            <w:tcW w:w="293" w:type="pct"/>
            <w:shd w:val="clear" w:color="auto" w:fill="auto"/>
            <w:noWrap/>
            <w:vAlign w:val="center"/>
          </w:tcPr>
          <w:p w14:paraId="0C801753">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97.7</w:t>
            </w:r>
          </w:p>
        </w:tc>
        <w:tc>
          <w:tcPr>
            <w:tcW w:w="251" w:type="pct"/>
            <w:shd w:val="clear" w:color="auto" w:fill="auto"/>
            <w:noWrap/>
            <w:vAlign w:val="center"/>
          </w:tcPr>
          <w:p w14:paraId="497CC9A2">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206.4</w:t>
            </w:r>
          </w:p>
        </w:tc>
      </w:tr>
      <w:tr w14:paraId="1EA70324">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617" w:type="pct"/>
            <w:vMerge w:val="continue"/>
            <w:vAlign w:val="center"/>
          </w:tcPr>
          <w:p w14:paraId="1B9B13E5">
            <w:pPr>
              <w:widowControl/>
              <w:spacing w:line="240" w:lineRule="exact"/>
              <w:jc w:val="center"/>
              <w:rPr>
                <w:rFonts w:ascii="Times New Roman" w:hAnsi="Times New Roman" w:eastAsia="宋体" w:cs="Times New Roman"/>
                <w:kern w:val="0"/>
                <w:szCs w:val="21"/>
              </w:rPr>
            </w:pPr>
          </w:p>
        </w:tc>
        <w:tc>
          <w:tcPr>
            <w:tcW w:w="514" w:type="pct"/>
            <w:vMerge w:val="continue"/>
            <w:vAlign w:val="center"/>
          </w:tcPr>
          <w:p w14:paraId="25D530D5">
            <w:pPr>
              <w:widowControl/>
              <w:spacing w:line="240" w:lineRule="exact"/>
              <w:jc w:val="center"/>
              <w:rPr>
                <w:rFonts w:ascii="Times New Roman" w:hAnsi="Times New Roman" w:eastAsia="宋体" w:cs="Times New Roman"/>
                <w:kern w:val="0"/>
                <w:szCs w:val="21"/>
              </w:rPr>
            </w:pPr>
          </w:p>
        </w:tc>
        <w:tc>
          <w:tcPr>
            <w:tcW w:w="310" w:type="pct"/>
            <w:vMerge w:val="restart"/>
            <w:shd w:val="clear" w:color="auto" w:fill="auto"/>
            <w:noWrap/>
            <w:vAlign w:val="center"/>
          </w:tcPr>
          <w:p w14:paraId="66797391">
            <w:pPr>
              <w:widowControl/>
              <w:spacing w:line="240" w:lineRule="exact"/>
              <w:jc w:val="center"/>
              <w:rPr>
                <w:rFonts w:ascii="Times New Roman" w:hAnsi="Times New Roman" w:eastAsia="宋体" w:cs="Times New Roman"/>
                <w:kern w:val="0"/>
                <w:szCs w:val="21"/>
              </w:rPr>
            </w:pPr>
            <w:r>
              <w:rPr>
                <w:rFonts w:ascii="Times New Roman" w:hAnsi="宋体" w:eastAsia="宋体" w:cs="Times New Roman"/>
                <w:kern w:val="0"/>
                <w:szCs w:val="21"/>
              </w:rPr>
              <w:t>远期</w:t>
            </w:r>
          </w:p>
        </w:tc>
        <w:tc>
          <w:tcPr>
            <w:tcW w:w="272" w:type="pct"/>
            <w:shd w:val="clear" w:color="auto" w:fill="auto"/>
            <w:noWrap/>
            <w:vAlign w:val="center"/>
          </w:tcPr>
          <w:p w14:paraId="3670571F">
            <w:pPr>
              <w:widowControl/>
              <w:spacing w:line="240" w:lineRule="exact"/>
              <w:jc w:val="center"/>
              <w:rPr>
                <w:rFonts w:ascii="Times New Roman" w:hAnsi="Times New Roman" w:eastAsia="宋体" w:cs="Times New Roman"/>
                <w:kern w:val="0"/>
                <w:szCs w:val="21"/>
              </w:rPr>
            </w:pPr>
            <w:r>
              <w:rPr>
                <w:rFonts w:ascii="Times New Roman" w:hAnsi="宋体" w:eastAsia="宋体" w:cs="Times New Roman"/>
                <w:kern w:val="0"/>
                <w:szCs w:val="21"/>
              </w:rPr>
              <w:t>昼间</w:t>
            </w:r>
          </w:p>
        </w:tc>
        <w:tc>
          <w:tcPr>
            <w:tcW w:w="244" w:type="pct"/>
            <w:shd w:val="clear" w:color="auto" w:fill="auto"/>
            <w:noWrap/>
            <w:vAlign w:val="center"/>
          </w:tcPr>
          <w:p w14:paraId="744C3D59">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69.3</w:t>
            </w:r>
          </w:p>
        </w:tc>
        <w:tc>
          <w:tcPr>
            <w:tcW w:w="244" w:type="pct"/>
            <w:shd w:val="clear" w:color="auto" w:fill="auto"/>
            <w:noWrap/>
            <w:vAlign w:val="center"/>
          </w:tcPr>
          <w:p w14:paraId="2CAC754D">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65.5</w:t>
            </w:r>
          </w:p>
        </w:tc>
        <w:tc>
          <w:tcPr>
            <w:tcW w:w="244" w:type="pct"/>
            <w:shd w:val="clear" w:color="auto" w:fill="auto"/>
            <w:noWrap/>
            <w:vAlign w:val="center"/>
          </w:tcPr>
          <w:p w14:paraId="781C01A1">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63.4</w:t>
            </w:r>
          </w:p>
        </w:tc>
        <w:tc>
          <w:tcPr>
            <w:tcW w:w="244" w:type="pct"/>
            <w:shd w:val="clear" w:color="auto" w:fill="auto"/>
            <w:noWrap/>
            <w:vAlign w:val="center"/>
          </w:tcPr>
          <w:p w14:paraId="7EF4E19A">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61.9</w:t>
            </w:r>
          </w:p>
        </w:tc>
        <w:tc>
          <w:tcPr>
            <w:tcW w:w="244" w:type="pct"/>
            <w:shd w:val="clear" w:color="auto" w:fill="auto"/>
            <w:noWrap/>
            <w:vAlign w:val="center"/>
          </w:tcPr>
          <w:p w14:paraId="06AA594A">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60.8</w:t>
            </w:r>
          </w:p>
        </w:tc>
        <w:tc>
          <w:tcPr>
            <w:tcW w:w="244" w:type="pct"/>
            <w:shd w:val="clear" w:color="auto" w:fill="auto"/>
            <w:noWrap/>
            <w:vAlign w:val="center"/>
          </w:tcPr>
          <w:p w14:paraId="72B74459">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59.0</w:t>
            </w:r>
          </w:p>
        </w:tc>
        <w:tc>
          <w:tcPr>
            <w:tcW w:w="318" w:type="pct"/>
            <w:shd w:val="clear" w:color="auto" w:fill="auto"/>
            <w:noWrap/>
            <w:vAlign w:val="center"/>
          </w:tcPr>
          <w:p w14:paraId="0F951950">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57.6</w:t>
            </w:r>
          </w:p>
        </w:tc>
        <w:tc>
          <w:tcPr>
            <w:tcW w:w="318" w:type="pct"/>
            <w:shd w:val="clear" w:color="auto" w:fill="auto"/>
            <w:noWrap/>
            <w:vAlign w:val="center"/>
          </w:tcPr>
          <w:p w14:paraId="3F8799B0">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56.5</w:t>
            </w:r>
          </w:p>
        </w:tc>
        <w:tc>
          <w:tcPr>
            <w:tcW w:w="318" w:type="pct"/>
            <w:shd w:val="clear" w:color="auto" w:fill="auto"/>
            <w:noWrap/>
            <w:vAlign w:val="center"/>
          </w:tcPr>
          <w:p w14:paraId="3B7B8A2A">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54.6</w:t>
            </w:r>
          </w:p>
        </w:tc>
        <w:tc>
          <w:tcPr>
            <w:tcW w:w="325" w:type="pct"/>
            <w:shd w:val="clear" w:color="auto" w:fill="auto"/>
            <w:noWrap/>
            <w:vAlign w:val="center"/>
          </w:tcPr>
          <w:p w14:paraId="7388CF3C">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53.0</w:t>
            </w:r>
          </w:p>
        </w:tc>
        <w:tc>
          <w:tcPr>
            <w:tcW w:w="293" w:type="pct"/>
            <w:shd w:val="clear" w:color="auto" w:fill="auto"/>
            <w:noWrap/>
            <w:vAlign w:val="center"/>
          </w:tcPr>
          <w:p w14:paraId="045F6A53">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&lt; 20.0</w:t>
            </w:r>
          </w:p>
        </w:tc>
        <w:tc>
          <w:tcPr>
            <w:tcW w:w="251" w:type="pct"/>
            <w:shd w:val="clear" w:color="auto" w:fill="auto"/>
            <w:noWrap/>
            <w:vAlign w:val="center"/>
          </w:tcPr>
          <w:p w14:paraId="5F3D2BBF">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68.6</w:t>
            </w:r>
          </w:p>
        </w:tc>
      </w:tr>
      <w:tr w14:paraId="13AAAD41">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617" w:type="pct"/>
            <w:vMerge w:val="continue"/>
            <w:vAlign w:val="center"/>
          </w:tcPr>
          <w:p w14:paraId="4A2B43C6">
            <w:pPr>
              <w:widowControl/>
              <w:spacing w:line="240" w:lineRule="exact"/>
              <w:jc w:val="center"/>
              <w:rPr>
                <w:rFonts w:ascii="Times New Roman" w:hAnsi="Times New Roman" w:eastAsia="宋体" w:cs="Times New Roman"/>
                <w:kern w:val="0"/>
                <w:szCs w:val="21"/>
              </w:rPr>
            </w:pPr>
          </w:p>
        </w:tc>
        <w:tc>
          <w:tcPr>
            <w:tcW w:w="514" w:type="pct"/>
            <w:vMerge w:val="continue"/>
            <w:vAlign w:val="center"/>
          </w:tcPr>
          <w:p w14:paraId="342928BD">
            <w:pPr>
              <w:widowControl/>
              <w:spacing w:line="240" w:lineRule="exact"/>
              <w:jc w:val="center"/>
              <w:rPr>
                <w:rFonts w:ascii="Times New Roman" w:hAnsi="Times New Roman" w:eastAsia="宋体" w:cs="Times New Roman"/>
                <w:kern w:val="0"/>
                <w:szCs w:val="21"/>
              </w:rPr>
            </w:pPr>
          </w:p>
        </w:tc>
        <w:tc>
          <w:tcPr>
            <w:tcW w:w="310" w:type="pct"/>
            <w:vMerge w:val="continue"/>
            <w:vAlign w:val="center"/>
          </w:tcPr>
          <w:p w14:paraId="51300510">
            <w:pPr>
              <w:widowControl/>
              <w:spacing w:line="240" w:lineRule="exact"/>
              <w:jc w:val="center"/>
              <w:rPr>
                <w:rFonts w:ascii="Times New Roman" w:hAnsi="Times New Roman" w:eastAsia="宋体" w:cs="Times New Roman"/>
                <w:kern w:val="0"/>
                <w:szCs w:val="21"/>
              </w:rPr>
            </w:pPr>
          </w:p>
        </w:tc>
        <w:tc>
          <w:tcPr>
            <w:tcW w:w="272" w:type="pct"/>
            <w:shd w:val="clear" w:color="auto" w:fill="auto"/>
            <w:noWrap/>
            <w:vAlign w:val="center"/>
          </w:tcPr>
          <w:p w14:paraId="5B1ED07C">
            <w:pPr>
              <w:widowControl/>
              <w:spacing w:line="240" w:lineRule="exact"/>
              <w:jc w:val="center"/>
              <w:rPr>
                <w:rFonts w:ascii="Times New Roman" w:hAnsi="Times New Roman" w:eastAsia="宋体" w:cs="Times New Roman"/>
                <w:kern w:val="0"/>
                <w:szCs w:val="21"/>
              </w:rPr>
            </w:pPr>
            <w:r>
              <w:rPr>
                <w:rFonts w:ascii="Times New Roman" w:hAnsi="宋体" w:eastAsia="宋体" w:cs="Times New Roman"/>
                <w:kern w:val="0"/>
                <w:szCs w:val="21"/>
              </w:rPr>
              <w:t>夜间</w:t>
            </w:r>
          </w:p>
        </w:tc>
        <w:tc>
          <w:tcPr>
            <w:tcW w:w="244" w:type="pct"/>
            <w:shd w:val="clear" w:color="auto" w:fill="auto"/>
            <w:noWrap/>
            <w:vAlign w:val="center"/>
          </w:tcPr>
          <w:p w14:paraId="4E8592E1">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67.2</w:t>
            </w:r>
          </w:p>
        </w:tc>
        <w:tc>
          <w:tcPr>
            <w:tcW w:w="244" w:type="pct"/>
            <w:shd w:val="clear" w:color="auto" w:fill="auto"/>
            <w:noWrap/>
            <w:vAlign w:val="center"/>
          </w:tcPr>
          <w:p w14:paraId="4726E54F">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63.4</w:t>
            </w:r>
          </w:p>
        </w:tc>
        <w:tc>
          <w:tcPr>
            <w:tcW w:w="244" w:type="pct"/>
            <w:shd w:val="clear" w:color="auto" w:fill="auto"/>
            <w:noWrap/>
            <w:vAlign w:val="center"/>
          </w:tcPr>
          <w:p w14:paraId="4973A846">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61.3</w:t>
            </w:r>
          </w:p>
        </w:tc>
        <w:tc>
          <w:tcPr>
            <w:tcW w:w="244" w:type="pct"/>
            <w:shd w:val="clear" w:color="auto" w:fill="auto"/>
            <w:noWrap/>
            <w:vAlign w:val="center"/>
          </w:tcPr>
          <w:p w14:paraId="79E1C389">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59.8</w:t>
            </w:r>
          </w:p>
        </w:tc>
        <w:tc>
          <w:tcPr>
            <w:tcW w:w="244" w:type="pct"/>
            <w:shd w:val="clear" w:color="auto" w:fill="auto"/>
            <w:noWrap/>
            <w:vAlign w:val="center"/>
          </w:tcPr>
          <w:p w14:paraId="3C41CBF5">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58.7</w:t>
            </w:r>
          </w:p>
        </w:tc>
        <w:tc>
          <w:tcPr>
            <w:tcW w:w="244" w:type="pct"/>
            <w:shd w:val="clear" w:color="auto" w:fill="auto"/>
            <w:noWrap/>
            <w:vAlign w:val="center"/>
          </w:tcPr>
          <w:p w14:paraId="20FB7417">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56.9</w:t>
            </w:r>
          </w:p>
        </w:tc>
        <w:tc>
          <w:tcPr>
            <w:tcW w:w="318" w:type="pct"/>
            <w:shd w:val="clear" w:color="auto" w:fill="auto"/>
            <w:noWrap/>
            <w:vAlign w:val="center"/>
          </w:tcPr>
          <w:p w14:paraId="65AD32C4">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55.6</w:t>
            </w:r>
          </w:p>
        </w:tc>
        <w:tc>
          <w:tcPr>
            <w:tcW w:w="318" w:type="pct"/>
            <w:shd w:val="clear" w:color="auto" w:fill="auto"/>
            <w:noWrap/>
            <w:vAlign w:val="center"/>
          </w:tcPr>
          <w:p w14:paraId="413E8345">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54.4</w:t>
            </w:r>
          </w:p>
        </w:tc>
        <w:tc>
          <w:tcPr>
            <w:tcW w:w="318" w:type="pct"/>
            <w:shd w:val="clear" w:color="auto" w:fill="auto"/>
            <w:noWrap/>
            <w:vAlign w:val="center"/>
          </w:tcPr>
          <w:p w14:paraId="50F2F744">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52.5</w:t>
            </w:r>
          </w:p>
        </w:tc>
        <w:tc>
          <w:tcPr>
            <w:tcW w:w="325" w:type="pct"/>
            <w:shd w:val="clear" w:color="auto" w:fill="auto"/>
            <w:noWrap/>
            <w:vAlign w:val="center"/>
          </w:tcPr>
          <w:p w14:paraId="215BD211">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51.0</w:t>
            </w:r>
          </w:p>
        </w:tc>
        <w:tc>
          <w:tcPr>
            <w:tcW w:w="293" w:type="pct"/>
            <w:shd w:val="clear" w:color="auto" w:fill="auto"/>
            <w:noWrap/>
            <w:vAlign w:val="center"/>
          </w:tcPr>
          <w:p w14:paraId="69F773FB">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109.7</w:t>
            </w:r>
          </w:p>
        </w:tc>
        <w:tc>
          <w:tcPr>
            <w:tcW w:w="251" w:type="pct"/>
            <w:shd w:val="clear" w:color="auto" w:fill="auto"/>
            <w:noWrap/>
            <w:vAlign w:val="center"/>
          </w:tcPr>
          <w:p w14:paraId="63AFF476">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224.7</w:t>
            </w:r>
          </w:p>
        </w:tc>
      </w:tr>
      <w:tr w14:paraId="475F5E29">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617" w:type="pct"/>
            <w:vMerge w:val="restart"/>
            <w:shd w:val="clear" w:color="auto" w:fill="auto"/>
            <w:noWrap/>
            <w:vAlign w:val="center"/>
          </w:tcPr>
          <w:p w14:paraId="2CC8038E">
            <w:pPr>
              <w:widowControl/>
              <w:spacing w:line="240" w:lineRule="exact"/>
              <w:jc w:val="center"/>
              <w:rPr>
                <w:rFonts w:ascii="Times New Roman" w:hAnsi="Times New Roman" w:eastAsia="宋体" w:cs="Times New Roman"/>
                <w:kern w:val="0"/>
                <w:szCs w:val="21"/>
              </w:rPr>
            </w:pPr>
            <w:r>
              <w:rPr>
                <w:rFonts w:ascii="Times New Roman" w:hAnsi="宋体" w:eastAsia="宋体" w:cs="Times New Roman"/>
                <w:kern w:val="0"/>
                <w:szCs w:val="21"/>
              </w:rPr>
              <w:t>起点～胜利路</w:t>
            </w:r>
          </w:p>
        </w:tc>
        <w:tc>
          <w:tcPr>
            <w:tcW w:w="514" w:type="pct"/>
            <w:vMerge w:val="restart"/>
            <w:shd w:val="clear" w:color="auto" w:fill="auto"/>
            <w:vAlign w:val="center"/>
          </w:tcPr>
          <w:p w14:paraId="7B5F226F">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szCs w:val="21"/>
              </w:rPr>
              <w:t>设计车速</w:t>
            </w:r>
            <w:r>
              <w:rPr>
                <w:rFonts w:hint="eastAsia" w:ascii="Times New Roman" w:hAnsi="Times New Roman" w:eastAsia="宋体" w:cs="Times New Roman"/>
                <w:szCs w:val="21"/>
              </w:rPr>
              <w:t>8</w:t>
            </w:r>
            <w:r>
              <w:rPr>
                <w:rFonts w:ascii="Times New Roman" w:hAnsi="Times New Roman" w:eastAsia="宋体" w:cs="Times New Roman"/>
                <w:szCs w:val="21"/>
              </w:rPr>
              <w:t>0km/h，路基宽度</w:t>
            </w:r>
            <w:r>
              <w:rPr>
                <w:rFonts w:hint="eastAsia" w:ascii="Times New Roman" w:hAnsi="Times New Roman" w:eastAsia="宋体" w:cs="Times New Roman"/>
                <w:szCs w:val="21"/>
              </w:rPr>
              <w:t>28.5</w:t>
            </w:r>
            <w:r>
              <w:rPr>
                <w:rFonts w:ascii="Times New Roman" w:hAnsi="Times New Roman" w:eastAsia="宋体" w:cs="Times New Roman"/>
                <w:szCs w:val="21"/>
              </w:rPr>
              <w:t>m</w:t>
            </w:r>
          </w:p>
        </w:tc>
        <w:tc>
          <w:tcPr>
            <w:tcW w:w="310" w:type="pct"/>
            <w:vMerge w:val="restart"/>
            <w:shd w:val="clear" w:color="auto" w:fill="auto"/>
            <w:noWrap/>
            <w:vAlign w:val="center"/>
          </w:tcPr>
          <w:p w14:paraId="3EBBC1D9">
            <w:pPr>
              <w:widowControl/>
              <w:spacing w:line="240" w:lineRule="exact"/>
              <w:jc w:val="center"/>
              <w:rPr>
                <w:rFonts w:ascii="Times New Roman" w:hAnsi="Times New Roman" w:eastAsia="宋体" w:cs="Times New Roman"/>
                <w:kern w:val="0"/>
                <w:szCs w:val="21"/>
              </w:rPr>
            </w:pPr>
            <w:r>
              <w:rPr>
                <w:rFonts w:ascii="Times New Roman" w:hAnsi="宋体" w:eastAsia="宋体" w:cs="Times New Roman"/>
                <w:kern w:val="0"/>
                <w:szCs w:val="21"/>
              </w:rPr>
              <w:t>近期</w:t>
            </w:r>
          </w:p>
        </w:tc>
        <w:tc>
          <w:tcPr>
            <w:tcW w:w="272" w:type="pct"/>
            <w:shd w:val="clear" w:color="auto" w:fill="auto"/>
            <w:noWrap/>
            <w:vAlign w:val="center"/>
          </w:tcPr>
          <w:p w14:paraId="6CE585D9">
            <w:pPr>
              <w:widowControl/>
              <w:spacing w:line="240" w:lineRule="exact"/>
              <w:jc w:val="center"/>
              <w:rPr>
                <w:rFonts w:ascii="Times New Roman" w:hAnsi="Times New Roman" w:eastAsia="宋体" w:cs="Times New Roman"/>
                <w:kern w:val="0"/>
                <w:szCs w:val="21"/>
              </w:rPr>
            </w:pPr>
            <w:r>
              <w:rPr>
                <w:rFonts w:ascii="Times New Roman" w:hAnsi="宋体" w:eastAsia="宋体" w:cs="Times New Roman"/>
                <w:kern w:val="0"/>
                <w:szCs w:val="21"/>
              </w:rPr>
              <w:t>昼间</w:t>
            </w:r>
          </w:p>
        </w:tc>
        <w:tc>
          <w:tcPr>
            <w:tcW w:w="244" w:type="pct"/>
            <w:shd w:val="clear" w:color="auto" w:fill="auto"/>
            <w:noWrap/>
            <w:vAlign w:val="center"/>
          </w:tcPr>
          <w:p w14:paraId="14B558B0">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69.6</w:t>
            </w:r>
          </w:p>
        </w:tc>
        <w:tc>
          <w:tcPr>
            <w:tcW w:w="244" w:type="pct"/>
            <w:shd w:val="clear" w:color="auto" w:fill="auto"/>
            <w:noWrap/>
            <w:vAlign w:val="center"/>
          </w:tcPr>
          <w:p w14:paraId="6A387CAF">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65.8</w:t>
            </w:r>
          </w:p>
        </w:tc>
        <w:tc>
          <w:tcPr>
            <w:tcW w:w="244" w:type="pct"/>
            <w:shd w:val="clear" w:color="auto" w:fill="auto"/>
            <w:noWrap/>
            <w:vAlign w:val="center"/>
          </w:tcPr>
          <w:p w14:paraId="0F2256D5">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63.7</w:t>
            </w:r>
          </w:p>
        </w:tc>
        <w:tc>
          <w:tcPr>
            <w:tcW w:w="244" w:type="pct"/>
            <w:shd w:val="clear" w:color="auto" w:fill="auto"/>
            <w:noWrap/>
            <w:vAlign w:val="center"/>
          </w:tcPr>
          <w:p w14:paraId="19BB4DE2">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62.3</w:t>
            </w:r>
          </w:p>
        </w:tc>
        <w:tc>
          <w:tcPr>
            <w:tcW w:w="244" w:type="pct"/>
            <w:shd w:val="clear" w:color="auto" w:fill="auto"/>
            <w:noWrap/>
            <w:vAlign w:val="center"/>
          </w:tcPr>
          <w:p w14:paraId="0B21C0F8">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61.1</w:t>
            </w:r>
          </w:p>
        </w:tc>
        <w:tc>
          <w:tcPr>
            <w:tcW w:w="244" w:type="pct"/>
            <w:shd w:val="clear" w:color="auto" w:fill="auto"/>
            <w:noWrap/>
            <w:vAlign w:val="center"/>
          </w:tcPr>
          <w:p w14:paraId="218AD00E">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59.4</w:t>
            </w:r>
          </w:p>
        </w:tc>
        <w:tc>
          <w:tcPr>
            <w:tcW w:w="318" w:type="pct"/>
            <w:shd w:val="clear" w:color="auto" w:fill="auto"/>
            <w:noWrap/>
            <w:vAlign w:val="center"/>
          </w:tcPr>
          <w:p w14:paraId="6ECC1365">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58.0</w:t>
            </w:r>
          </w:p>
        </w:tc>
        <w:tc>
          <w:tcPr>
            <w:tcW w:w="318" w:type="pct"/>
            <w:shd w:val="clear" w:color="auto" w:fill="auto"/>
            <w:noWrap/>
            <w:vAlign w:val="center"/>
          </w:tcPr>
          <w:p w14:paraId="0C14F800">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56.7</w:t>
            </w:r>
          </w:p>
        </w:tc>
        <w:tc>
          <w:tcPr>
            <w:tcW w:w="318" w:type="pct"/>
            <w:shd w:val="clear" w:color="auto" w:fill="auto"/>
            <w:noWrap/>
            <w:vAlign w:val="center"/>
          </w:tcPr>
          <w:p w14:paraId="537AD1CF">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54.4</w:t>
            </w:r>
          </w:p>
        </w:tc>
        <w:tc>
          <w:tcPr>
            <w:tcW w:w="325" w:type="pct"/>
            <w:shd w:val="clear" w:color="auto" w:fill="auto"/>
            <w:noWrap/>
            <w:vAlign w:val="center"/>
          </w:tcPr>
          <w:p w14:paraId="770E814C">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52.6</w:t>
            </w:r>
          </w:p>
        </w:tc>
        <w:tc>
          <w:tcPr>
            <w:tcW w:w="293" w:type="pct"/>
            <w:shd w:val="clear" w:color="auto" w:fill="auto"/>
            <w:noWrap/>
            <w:vAlign w:val="center"/>
          </w:tcPr>
          <w:p w14:paraId="2553FC64">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&lt; 20.0</w:t>
            </w:r>
          </w:p>
        </w:tc>
        <w:tc>
          <w:tcPr>
            <w:tcW w:w="251" w:type="pct"/>
            <w:shd w:val="clear" w:color="auto" w:fill="auto"/>
            <w:noWrap/>
            <w:vAlign w:val="center"/>
          </w:tcPr>
          <w:p w14:paraId="02A61A61">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73.1</w:t>
            </w:r>
          </w:p>
        </w:tc>
      </w:tr>
      <w:tr w14:paraId="788C0425">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617" w:type="pct"/>
            <w:vMerge w:val="continue"/>
            <w:vAlign w:val="center"/>
          </w:tcPr>
          <w:p w14:paraId="62406D3D">
            <w:pPr>
              <w:widowControl/>
              <w:spacing w:line="240" w:lineRule="exact"/>
              <w:jc w:val="center"/>
              <w:rPr>
                <w:rFonts w:ascii="Times New Roman" w:hAnsi="Times New Roman" w:eastAsia="宋体" w:cs="Times New Roman"/>
                <w:kern w:val="0"/>
                <w:szCs w:val="21"/>
              </w:rPr>
            </w:pPr>
          </w:p>
        </w:tc>
        <w:tc>
          <w:tcPr>
            <w:tcW w:w="514" w:type="pct"/>
            <w:vMerge w:val="continue"/>
            <w:vAlign w:val="center"/>
          </w:tcPr>
          <w:p w14:paraId="1CDE127F">
            <w:pPr>
              <w:widowControl/>
              <w:spacing w:line="240" w:lineRule="exact"/>
              <w:jc w:val="center"/>
              <w:rPr>
                <w:rFonts w:ascii="Times New Roman" w:hAnsi="Times New Roman" w:eastAsia="宋体" w:cs="Times New Roman"/>
                <w:kern w:val="0"/>
                <w:szCs w:val="21"/>
              </w:rPr>
            </w:pPr>
          </w:p>
        </w:tc>
        <w:tc>
          <w:tcPr>
            <w:tcW w:w="310" w:type="pct"/>
            <w:vMerge w:val="continue"/>
            <w:vAlign w:val="center"/>
          </w:tcPr>
          <w:p w14:paraId="62DC1400">
            <w:pPr>
              <w:widowControl/>
              <w:spacing w:line="240" w:lineRule="exact"/>
              <w:jc w:val="center"/>
              <w:rPr>
                <w:rFonts w:ascii="Times New Roman" w:hAnsi="Times New Roman" w:eastAsia="宋体" w:cs="Times New Roman"/>
                <w:kern w:val="0"/>
                <w:szCs w:val="21"/>
              </w:rPr>
            </w:pPr>
          </w:p>
        </w:tc>
        <w:tc>
          <w:tcPr>
            <w:tcW w:w="272" w:type="pct"/>
            <w:shd w:val="clear" w:color="auto" w:fill="auto"/>
            <w:noWrap/>
            <w:vAlign w:val="center"/>
          </w:tcPr>
          <w:p w14:paraId="0A4CF0C1">
            <w:pPr>
              <w:widowControl/>
              <w:spacing w:line="240" w:lineRule="exact"/>
              <w:jc w:val="center"/>
              <w:rPr>
                <w:rFonts w:ascii="Times New Roman" w:hAnsi="Times New Roman" w:eastAsia="宋体" w:cs="Times New Roman"/>
                <w:kern w:val="0"/>
                <w:szCs w:val="21"/>
              </w:rPr>
            </w:pPr>
            <w:r>
              <w:rPr>
                <w:rFonts w:ascii="Times New Roman" w:hAnsi="宋体" w:eastAsia="宋体" w:cs="Times New Roman"/>
                <w:kern w:val="0"/>
                <w:szCs w:val="21"/>
              </w:rPr>
              <w:t>夜间</w:t>
            </w:r>
          </w:p>
        </w:tc>
        <w:tc>
          <w:tcPr>
            <w:tcW w:w="244" w:type="pct"/>
            <w:shd w:val="clear" w:color="auto" w:fill="auto"/>
            <w:noWrap/>
            <w:vAlign w:val="center"/>
          </w:tcPr>
          <w:p w14:paraId="0853F12F">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65.8</w:t>
            </w:r>
          </w:p>
        </w:tc>
        <w:tc>
          <w:tcPr>
            <w:tcW w:w="244" w:type="pct"/>
            <w:shd w:val="clear" w:color="auto" w:fill="auto"/>
            <w:noWrap/>
            <w:vAlign w:val="center"/>
          </w:tcPr>
          <w:p w14:paraId="44C63562">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62.0</w:t>
            </w:r>
          </w:p>
        </w:tc>
        <w:tc>
          <w:tcPr>
            <w:tcW w:w="244" w:type="pct"/>
            <w:shd w:val="clear" w:color="auto" w:fill="auto"/>
            <w:noWrap/>
            <w:vAlign w:val="center"/>
          </w:tcPr>
          <w:p w14:paraId="7589806A">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59.9</w:t>
            </w:r>
          </w:p>
        </w:tc>
        <w:tc>
          <w:tcPr>
            <w:tcW w:w="244" w:type="pct"/>
            <w:shd w:val="clear" w:color="auto" w:fill="auto"/>
            <w:noWrap/>
            <w:vAlign w:val="center"/>
          </w:tcPr>
          <w:p w14:paraId="132A43A0">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58.4</w:t>
            </w:r>
          </w:p>
        </w:tc>
        <w:tc>
          <w:tcPr>
            <w:tcW w:w="244" w:type="pct"/>
            <w:shd w:val="clear" w:color="auto" w:fill="auto"/>
            <w:noWrap/>
            <w:vAlign w:val="center"/>
          </w:tcPr>
          <w:p w14:paraId="287DC8C7">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57.3</w:t>
            </w:r>
          </w:p>
        </w:tc>
        <w:tc>
          <w:tcPr>
            <w:tcW w:w="244" w:type="pct"/>
            <w:shd w:val="clear" w:color="auto" w:fill="auto"/>
            <w:noWrap/>
            <w:vAlign w:val="center"/>
          </w:tcPr>
          <w:p w14:paraId="6625E162">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55.5</w:t>
            </w:r>
          </w:p>
        </w:tc>
        <w:tc>
          <w:tcPr>
            <w:tcW w:w="318" w:type="pct"/>
            <w:shd w:val="clear" w:color="auto" w:fill="auto"/>
            <w:noWrap/>
            <w:vAlign w:val="center"/>
          </w:tcPr>
          <w:p w14:paraId="26E82210">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54.2</w:t>
            </w:r>
          </w:p>
        </w:tc>
        <w:tc>
          <w:tcPr>
            <w:tcW w:w="318" w:type="pct"/>
            <w:shd w:val="clear" w:color="auto" w:fill="auto"/>
            <w:noWrap/>
            <w:vAlign w:val="center"/>
          </w:tcPr>
          <w:p w14:paraId="724B06C5">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52.9</w:t>
            </w:r>
          </w:p>
        </w:tc>
        <w:tc>
          <w:tcPr>
            <w:tcW w:w="318" w:type="pct"/>
            <w:shd w:val="clear" w:color="auto" w:fill="auto"/>
            <w:noWrap/>
            <w:vAlign w:val="center"/>
          </w:tcPr>
          <w:p w14:paraId="191DD681">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50.5</w:t>
            </w:r>
          </w:p>
        </w:tc>
        <w:tc>
          <w:tcPr>
            <w:tcW w:w="325" w:type="pct"/>
            <w:shd w:val="clear" w:color="auto" w:fill="auto"/>
            <w:noWrap/>
            <w:vAlign w:val="center"/>
          </w:tcPr>
          <w:p w14:paraId="4856414F">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48.8</w:t>
            </w:r>
          </w:p>
        </w:tc>
        <w:tc>
          <w:tcPr>
            <w:tcW w:w="293" w:type="pct"/>
            <w:shd w:val="clear" w:color="auto" w:fill="auto"/>
            <w:noWrap/>
            <w:vAlign w:val="center"/>
          </w:tcPr>
          <w:p w14:paraId="009C0EAD">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87.7</w:t>
            </w:r>
          </w:p>
        </w:tc>
        <w:tc>
          <w:tcPr>
            <w:tcW w:w="251" w:type="pct"/>
            <w:shd w:val="clear" w:color="auto" w:fill="auto"/>
            <w:noWrap/>
            <w:vAlign w:val="center"/>
          </w:tcPr>
          <w:p w14:paraId="067F08E3">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171.8</w:t>
            </w:r>
          </w:p>
        </w:tc>
      </w:tr>
      <w:tr w14:paraId="4E0FB44A">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617" w:type="pct"/>
            <w:vMerge w:val="continue"/>
            <w:vAlign w:val="center"/>
          </w:tcPr>
          <w:p w14:paraId="12A8E34B">
            <w:pPr>
              <w:widowControl/>
              <w:spacing w:line="240" w:lineRule="exact"/>
              <w:jc w:val="center"/>
              <w:rPr>
                <w:rFonts w:ascii="Times New Roman" w:hAnsi="Times New Roman" w:eastAsia="宋体" w:cs="Times New Roman"/>
                <w:kern w:val="0"/>
                <w:szCs w:val="21"/>
              </w:rPr>
            </w:pPr>
          </w:p>
        </w:tc>
        <w:tc>
          <w:tcPr>
            <w:tcW w:w="514" w:type="pct"/>
            <w:vMerge w:val="continue"/>
            <w:vAlign w:val="center"/>
          </w:tcPr>
          <w:p w14:paraId="758410EC">
            <w:pPr>
              <w:widowControl/>
              <w:spacing w:line="240" w:lineRule="exact"/>
              <w:jc w:val="center"/>
              <w:rPr>
                <w:rFonts w:ascii="Times New Roman" w:hAnsi="Times New Roman" w:eastAsia="宋体" w:cs="Times New Roman"/>
                <w:kern w:val="0"/>
                <w:szCs w:val="21"/>
              </w:rPr>
            </w:pPr>
          </w:p>
        </w:tc>
        <w:tc>
          <w:tcPr>
            <w:tcW w:w="310" w:type="pct"/>
            <w:vMerge w:val="restart"/>
            <w:shd w:val="clear" w:color="auto" w:fill="auto"/>
            <w:noWrap/>
            <w:vAlign w:val="center"/>
          </w:tcPr>
          <w:p w14:paraId="0C329B5E">
            <w:pPr>
              <w:widowControl/>
              <w:spacing w:line="240" w:lineRule="exact"/>
              <w:jc w:val="center"/>
              <w:rPr>
                <w:rFonts w:ascii="Times New Roman" w:hAnsi="Times New Roman" w:eastAsia="宋体" w:cs="Times New Roman"/>
                <w:kern w:val="0"/>
                <w:szCs w:val="21"/>
              </w:rPr>
            </w:pPr>
            <w:r>
              <w:rPr>
                <w:rFonts w:ascii="Times New Roman" w:hAnsi="宋体" w:eastAsia="宋体" w:cs="Times New Roman"/>
                <w:kern w:val="0"/>
                <w:szCs w:val="21"/>
              </w:rPr>
              <w:t>中期</w:t>
            </w:r>
          </w:p>
        </w:tc>
        <w:tc>
          <w:tcPr>
            <w:tcW w:w="272" w:type="pct"/>
            <w:shd w:val="clear" w:color="auto" w:fill="auto"/>
            <w:noWrap/>
            <w:vAlign w:val="center"/>
          </w:tcPr>
          <w:p w14:paraId="091985E9">
            <w:pPr>
              <w:widowControl/>
              <w:spacing w:line="240" w:lineRule="exact"/>
              <w:jc w:val="center"/>
              <w:rPr>
                <w:rFonts w:ascii="Times New Roman" w:hAnsi="Times New Roman" w:eastAsia="宋体" w:cs="Times New Roman"/>
                <w:kern w:val="0"/>
                <w:szCs w:val="21"/>
              </w:rPr>
            </w:pPr>
            <w:r>
              <w:rPr>
                <w:rFonts w:ascii="Times New Roman" w:hAnsi="宋体" w:eastAsia="宋体" w:cs="Times New Roman"/>
                <w:kern w:val="0"/>
                <w:szCs w:val="21"/>
              </w:rPr>
              <w:t>昼间</w:t>
            </w:r>
          </w:p>
        </w:tc>
        <w:tc>
          <w:tcPr>
            <w:tcW w:w="244" w:type="pct"/>
            <w:shd w:val="clear" w:color="auto" w:fill="auto"/>
            <w:noWrap/>
            <w:vAlign w:val="center"/>
          </w:tcPr>
          <w:p w14:paraId="0FFCA863">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70.4</w:t>
            </w:r>
          </w:p>
        </w:tc>
        <w:tc>
          <w:tcPr>
            <w:tcW w:w="244" w:type="pct"/>
            <w:shd w:val="clear" w:color="auto" w:fill="auto"/>
            <w:noWrap/>
            <w:vAlign w:val="center"/>
          </w:tcPr>
          <w:p w14:paraId="28FAFE61">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66.6</w:t>
            </w:r>
          </w:p>
        </w:tc>
        <w:tc>
          <w:tcPr>
            <w:tcW w:w="244" w:type="pct"/>
            <w:shd w:val="clear" w:color="auto" w:fill="auto"/>
            <w:noWrap/>
            <w:vAlign w:val="center"/>
          </w:tcPr>
          <w:p w14:paraId="4E414990">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64.5</w:t>
            </w:r>
          </w:p>
        </w:tc>
        <w:tc>
          <w:tcPr>
            <w:tcW w:w="244" w:type="pct"/>
            <w:shd w:val="clear" w:color="auto" w:fill="auto"/>
            <w:noWrap/>
            <w:vAlign w:val="center"/>
          </w:tcPr>
          <w:p w14:paraId="6BDE0B7C">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63.1</w:t>
            </w:r>
          </w:p>
        </w:tc>
        <w:tc>
          <w:tcPr>
            <w:tcW w:w="244" w:type="pct"/>
            <w:shd w:val="clear" w:color="auto" w:fill="auto"/>
            <w:noWrap/>
            <w:vAlign w:val="center"/>
          </w:tcPr>
          <w:p w14:paraId="098A5BB9">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61.9</w:t>
            </w:r>
          </w:p>
        </w:tc>
        <w:tc>
          <w:tcPr>
            <w:tcW w:w="244" w:type="pct"/>
            <w:shd w:val="clear" w:color="auto" w:fill="auto"/>
            <w:noWrap/>
            <w:vAlign w:val="center"/>
          </w:tcPr>
          <w:p w14:paraId="5BC90746">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60.2</w:t>
            </w:r>
          </w:p>
        </w:tc>
        <w:tc>
          <w:tcPr>
            <w:tcW w:w="318" w:type="pct"/>
            <w:shd w:val="clear" w:color="auto" w:fill="auto"/>
            <w:noWrap/>
            <w:vAlign w:val="center"/>
          </w:tcPr>
          <w:p w14:paraId="52447879">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58.8</w:t>
            </w:r>
          </w:p>
        </w:tc>
        <w:tc>
          <w:tcPr>
            <w:tcW w:w="318" w:type="pct"/>
            <w:shd w:val="clear" w:color="auto" w:fill="auto"/>
            <w:noWrap/>
            <w:vAlign w:val="center"/>
          </w:tcPr>
          <w:p w14:paraId="7398E53F">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57.5</w:t>
            </w:r>
          </w:p>
        </w:tc>
        <w:tc>
          <w:tcPr>
            <w:tcW w:w="318" w:type="pct"/>
            <w:shd w:val="clear" w:color="auto" w:fill="auto"/>
            <w:noWrap/>
            <w:vAlign w:val="center"/>
          </w:tcPr>
          <w:p w14:paraId="7D6B7F8C">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55.2</w:t>
            </w:r>
          </w:p>
        </w:tc>
        <w:tc>
          <w:tcPr>
            <w:tcW w:w="325" w:type="pct"/>
            <w:shd w:val="clear" w:color="auto" w:fill="auto"/>
            <w:noWrap/>
            <w:vAlign w:val="center"/>
          </w:tcPr>
          <w:p w14:paraId="6A2771D6">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53.4</w:t>
            </w:r>
          </w:p>
        </w:tc>
        <w:tc>
          <w:tcPr>
            <w:tcW w:w="293" w:type="pct"/>
            <w:shd w:val="clear" w:color="auto" w:fill="auto"/>
            <w:noWrap/>
            <w:vAlign w:val="center"/>
          </w:tcPr>
          <w:p w14:paraId="36971BAC">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21.1</w:t>
            </w:r>
          </w:p>
        </w:tc>
        <w:tc>
          <w:tcPr>
            <w:tcW w:w="251" w:type="pct"/>
            <w:shd w:val="clear" w:color="auto" w:fill="auto"/>
            <w:noWrap/>
            <w:vAlign w:val="center"/>
          </w:tcPr>
          <w:p w14:paraId="2C2E2445">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82.8</w:t>
            </w:r>
          </w:p>
        </w:tc>
      </w:tr>
      <w:tr w14:paraId="743E805A">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617" w:type="pct"/>
            <w:vMerge w:val="continue"/>
            <w:vAlign w:val="center"/>
          </w:tcPr>
          <w:p w14:paraId="7F07C790">
            <w:pPr>
              <w:widowControl/>
              <w:spacing w:line="240" w:lineRule="exact"/>
              <w:jc w:val="center"/>
              <w:rPr>
                <w:rFonts w:ascii="Times New Roman" w:hAnsi="Times New Roman" w:eastAsia="宋体" w:cs="Times New Roman"/>
                <w:kern w:val="0"/>
                <w:szCs w:val="21"/>
              </w:rPr>
            </w:pPr>
          </w:p>
        </w:tc>
        <w:tc>
          <w:tcPr>
            <w:tcW w:w="514" w:type="pct"/>
            <w:vMerge w:val="continue"/>
            <w:vAlign w:val="center"/>
          </w:tcPr>
          <w:p w14:paraId="328A4DE0">
            <w:pPr>
              <w:widowControl/>
              <w:spacing w:line="240" w:lineRule="exact"/>
              <w:jc w:val="center"/>
              <w:rPr>
                <w:rFonts w:ascii="Times New Roman" w:hAnsi="Times New Roman" w:eastAsia="宋体" w:cs="Times New Roman"/>
                <w:kern w:val="0"/>
                <w:szCs w:val="21"/>
              </w:rPr>
            </w:pPr>
          </w:p>
        </w:tc>
        <w:tc>
          <w:tcPr>
            <w:tcW w:w="310" w:type="pct"/>
            <w:vMerge w:val="continue"/>
            <w:vAlign w:val="center"/>
          </w:tcPr>
          <w:p w14:paraId="4E0A0B7E">
            <w:pPr>
              <w:widowControl/>
              <w:spacing w:line="240" w:lineRule="exact"/>
              <w:jc w:val="center"/>
              <w:rPr>
                <w:rFonts w:ascii="Times New Roman" w:hAnsi="Times New Roman" w:eastAsia="宋体" w:cs="Times New Roman"/>
                <w:kern w:val="0"/>
                <w:szCs w:val="21"/>
              </w:rPr>
            </w:pPr>
          </w:p>
        </w:tc>
        <w:tc>
          <w:tcPr>
            <w:tcW w:w="272" w:type="pct"/>
            <w:shd w:val="clear" w:color="auto" w:fill="auto"/>
            <w:noWrap/>
            <w:vAlign w:val="center"/>
          </w:tcPr>
          <w:p w14:paraId="00A55123">
            <w:pPr>
              <w:widowControl/>
              <w:spacing w:line="240" w:lineRule="exact"/>
              <w:jc w:val="center"/>
              <w:rPr>
                <w:rFonts w:ascii="Times New Roman" w:hAnsi="Times New Roman" w:eastAsia="宋体" w:cs="Times New Roman"/>
                <w:kern w:val="0"/>
                <w:szCs w:val="21"/>
              </w:rPr>
            </w:pPr>
            <w:r>
              <w:rPr>
                <w:rFonts w:ascii="Times New Roman" w:hAnsi="宋体" w:eastAsia="宋体" w:cs="Times New Roman"/>
                <w:kern w:val="0"/>
                <w:szCs w:val="21"/>
              </w:rPr>
              <w:t>夜间</w:t>
            </w:r>
          </w:p>
        </w:tc>
        <w:tc>
          <w:tcPr>
            <w:tcW w:w="244" w:type="pct"/>
            <w:shd w:val="clear" w:color="auto" w:fill="auto"/>
            <w:noWrap/>
            <w:vAlign w:val="center"/>
          </w:tcPr>
          <w:p w14:paraId="0199D6AD">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66.6</w:t>
            </w:r>
          </w:p>
        </w:tc>
        <w:tc>
          <w:tcPr>
            <w:tcW w:w="244" w:type="pct"/>
            <w:shd w:val="clear" w:color="auto" w:fill="auto"/>
            <w:noWrap/>
            <w:vAlign w:val="center"/>
          </w:tcPr>
          <w:p w14:paraId="540F03A9">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62.7</w:t>
            </w:r>
          </w:p>
        </w:tc>
        <w:tc>
          <w:tcPr>
            <w:tcW w:w="244" w:type="pct"/>
            <w:shd w:val="clear" w:color="auto" w:fill="auto"/>
            <w:noWrap/>
            <w:vAlign w:val="center"/>
          </w:tcPr>
          <w:p w14:paraId="6B62DC36">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60.6</w:t>
            </w:r>
          </w:p>
        </w:tc>
        <w:tc>
          <w:tcPr>
            <w:tcW w:w="244" w:type="pct"/>
            <w:shd w:val="clear" w:color="auto" w:fill="auto"/>
            <w:noWrap/>
            <w:vAlign w:val="center"/>
          </w:tcPr>
          <w:p w14:paraId="21BDACF9">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59.2</w:t>
            </w:r>
          </w:p>
        </w:tc>
        <w:tc>
          <w:tcPr>
            <w:tcW w:w="244" w:type="pct"/>
            <w:shd w:val="clear" w:color="auto" w:fill="auto"/>
            <w:noWrap/>
            <w:vAlign w:val="center"/>
          </w:tcPr>
          <w:p w14:paraId="0186F197">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58.1</w:t>
            </w:r>
          </w:p>
        </w:tc>
        <w:tc>
          <w:tcPr>
            <w:tcW w:w="244" w:type="pct"/>
            <w:shd w:val="clear" w:color="auto" w:fill="auto"/>
            <w:noWrap/>
            <w:vAlign w:val="center"/>
          </w:tcPr>
          <w:p w14:paraId="540BA617">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56.3</w:t>
            </w:r>
          </w:p>
        </w:tc>
        <w:tc>
          <w:tcPr>
            <w:tcW w:w="318" w:type="pct"/>
            <w:shd w:val="clear" w:color="auto" w:fill="auto"/>
            <w:noWrap/>
            <w:vAlign w:val="center"/>
          </w:tcPr>
          <w:p w14:paraId="69B5B6DB">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55.0</w:t>
            </w:r>
          </w:p>
        </w:tc>
        <w:tc>
          <w:tcPr>
            <w:tcW w:w="318" w:type="pct"/>
            <w:shd w:val="clear" w:color="auto" w:fill="auto"/>
            <w:noWrap/>
            <w:vAlign w:val="center"/>
          </w:tcPr>
          <w:p w14:paraId="09A8681C">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53.7</w:t>
            </w:r>
          </w:p>
        </w:tc>
        <w:tc>
          <w:tcPr>
            <w:tcW w:w="318" w:type="pct"/>
            <w:shd w:val="clear" w:color="auto" w:fill="auto"/>
            <w:noWrap/>
            <w:vAlign w:val="center"/>
          </w:tcPr>
          <w:p w14:paraId="31D49433">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51.3</w:t>
            </w:r>
          </w:p>
        </w:tc>
        <w:tc>
          <w:tcPr>
            <w:tcW w:w="325" w:type="pct"/>
            <w:shd w:val="clear" w:color="auto" w:fill="auto"/>
            <w:noWrap/>
            <w:vAlign w:val="center"/>
          </w:tcPr>
          <w:p w14:paraId="32BFFA98">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49.5</w:t>
            </w:r>
          </w:p>
        </w:tc>
        <w:tc>
          <w:tcPr>
            <w:tcW w:w="293" w:type="pct"/>
            <w:shd w:val="clear" w:color="auto" w:fill="auto"/>
            <w:noWrap/>
            <w:vAlign w:val="center"/>
          </w:tcPr>
          <w:p w14:paraId="2495D210">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99.4</w:t>
            </w:r>
          </w:p>
        </w:tc>
        <w:tc>
          <w:tcPr>
            <w:tcW w:w="251" w:type="pct"/>
            <w:shd w:val="clear" w:color="auto" w:fill="auto"/>
            <w:noWrap/>
            <w:vAlign w:val="center"/>
          </w:tcPr>
          <w:p w14:paraId="4331709D">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189.7</w:t>
            </w:r>
          </w:p>
        </w:tc>
      </w:tr>
      <w:tr w14:paraId="437E6568">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617" w:type="pct"/>
            <w:vMerge w:val="continue"/>
            <w:vAlign w:val="center"/>
          </w:tcPr>
          <w:p w14:paraId="64D5AFA8">
            <w:pPr>
              <w:widowControl/>
              <w:spacing w:line="240" w:lineRule="exact"/>
              <w:jc w:val="center"/>
              <w:rPr>
                <w:rFonts w:ascii="Times New Roman" w:hAnsi="Times New Roman" w:eastAsia="宋体" w:cs="Times New Roman"/>
                <w:kern w:val="0"/>
                <w:szCs w:val="21"/>
              </w:rPr>
            </w:pPr>
          </w:p>
        </w:tc>
        <w:tc>
          <w:tcPr>
            <w:tcW w:w="514" w:type="pct"/>
            <w:vMerge w:val="continue"/>
            <w:vAlign w:val="center"/>
          </w:tcPr>
          <w:p w14:paraId="305EA8F2">
            <w:pPr>
              <w:widowControl/>
              <w:spacing w:line="240" w:lineRule="exact"/>
              <w:jc w:val="center"/>
              <w:rPr>
                <w:rFonts w:ascii="Times New Roman" w:hAnsi="Times New Roman" w:eastAsia="宋体" w:cs="Times New Roman"/>
                <w:kern w:val="0"/>
                <w:szCs w:val="21"/>
              </w:rPr>
            </w:pPr>
          </w:p>
        </w:tc>
        <w:tc>
          <w:tcPr>
            <w:tcW w:w="310" w:type="pct"/>
            <w:vMerge w:val="restart"/>
            <w:shd w:val="clear" w:color="auto" w:fill="auto"/>
            <w:noWrap/>
            <w:vAlign w:val="center"/>
          </w:tcPr>
          <w:p w14:paraId="3F6C12D4">
            <w:pPr>
              <w:widowControl/>
              <w:spacing w:line="240" w:lineRule="exact"/>
              <w:jc w:val="center"/>
              <w:rPr>
                <w:rFonts w:ascii="Times New Roman" w:hAnsi="Times New Roman" w:eastAsia="宋体" w:cs="Times New Roman"/>
                <w:kern w:val="0"/>
                <w:szCs w:val="21"/>
              </w:rPr>
            </w:pPr>
            <w:r>
              <w:rPr>
                <w:rFonts w:ascii="Times New Roman" w:hAnsi="宋体" w:eastAsia="宋体" w:cs="Times New Roman"/>
                <w:kern w:val="0"/>
                <w:szCs w:val="21"/>
              </w:rPr>
              <w:t>远期</w:t>
            </w:r>
          </w:p>
        </w:tc>
        <w:tc>
          <w:tcPr>
            <w:tcW w:w="272" w:type="pct"/>
            <w:shd w:val="clear" w:color="auto" w:fill="auto"/>
            <w:noWrap/>
            <w:vAlign w:val="center"/>
          </w:tcPr>
          <w:p w14:paraId="3B2CD838">
            <w:pPr>
              <w:widowControl/>
              <w:spacing w:line="240" w:lineRule="exact"/>
              <w:jc w:val="center"/>
              <w:rPr>
                <w:rFonts w:ascii="Times New Roman" w:hAnsi="Times New Roman" w:eastAsia="宋体" w:cs="Times New Roman"/>
                <w:kern w:val="0"/>
                <w:szCs w:val="21"/>
              </w:rPr>
            </w:pPr>
            <w:r>
              <w:rPr>
                <w:rFonts w:ascii="Times New Roman" w:hAnsi="宋体" w:eastAsia="宋体" w:cs="Times New Roman"/>
                <w:kern w:val="0"/>
                <w:szCs w:val="21"/>
              </w:rPr>
              <w:t>昼间</w:t>
            </w:r>
          </w:p>
        </w:tc>
        <w:tc>
          <w:tcPr>
            <w:tcW w:w="244" w:type="pct"/>
            <w:shd w:val="clear" w:color="auto" w:fill="auto"/>
            <w:noWrap/>
            <w:vAlign w:val="center"/>
          </w:tcPr>
          <w:p w14:paraId="28E55C5D">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69.3</w:t>
            </w:r>
          </w:p>
        </w:tc>
        <w:tc>
          <w:tcPr>
            <w:tcW w:w="244" w:type="pct"/>
            <w:shd w:val="clear" w:color="auto" w:fill="auto"/>
            <w:noWrap/>
            <w:vAlign w:val="center"/>
          </w:tcPr>
          <w:p w14:paraId="6B46F33D">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65.5</w:t>
            </w:r>
          </w:p>
        </w:tc>
        <w:tc>
          <w:tcPr>
            <w:tcW w:w="244" w:type="pct"/>
            <w:shd w:val="clear" w:color="auto" w:fill="auto"/>
            <w:noWrap/>
            <w:vAlign w:val="center"/>
          </w:tcPr>
          <w:p w14:paraId="6738AC85">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63.4</w:t>
            </w:r>
          </w:p>
        </w:tc>
        <w:tc>
          <w:tcPr>
            <w:tcW w:w="244" w:type="pct"/>
            <w:shd w:val="clear" w:color="auto" w:fill="auto"/>
            <w:noWrap/>
            <w:vAlign w:val="center"/>
          </w:tcPr>
          <w:p w14:paraId="210BEC63">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62.0</w:t>
            </w:r>
          </w:p>
        </w:tc>
        <w:tc>
          <w:tcPr>
            <w:tcW w:w="244" w:type="pct"/>
            <w:shd w:val="clear" w:color="auto" w:fill="auto"/>
            <w:noWrap/>
            <w:vAlign w:val="center"/>
          </w:tcPr>
          <w:p w14:paraId="4E30F1E9">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60.8</w:t>
            </w:r>
          </w:p>
        </w:tc>
        <w:tc>
          <w:tcPr>
            <w:tcW w:w="244" w:type="pct"/>
            <w:shd w:val="clear" w:color="auto" w:fill="auto"/>
            <w:noWrap/>
            <w:vAlign w:val="center"/>
          </w:tcPr>
          <w:p w14:paraId="2F1F7A51">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59.1</w:t>
            </w:r>
          </w:p>
        </w:tc>
        <w:tc>
          <w:tcPr>
            <w:tcW w:w="318" w:type="pct"/>
            <w:shd w:val="clear" w:color="auto" w:fill="auto"/>
            <w:noWrap/>
            <w:vAlign w:val="center"/>
          </w:tcPr>
          <w:p w14:paraId="26E790C0">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57.7</w:t>
            </w:r>
          </w:p>
        </w:tc>
        <w:tc>
          <w:tcPr>
            <w:tcW w:w="318" w:type="pct"/>
            <w:shd w:val="clear" w:color="auto" w:fill="auto"/>
            <w:noWrap/>
            <w:vAlign w:val="center"/>
          </w:tcPr>
          <w:p w14:paraId="30CE654B">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56.4</w:t>
            </w:r>
          </w:p>
        </w:tc>
        <w:tc>
          <w:tcPr>
            <w:tcW w:w="318" w:type="pct"/>
            <w:shd w:val="clear" w:color="auto" w:fill="auto"/>
            <w:noWrap/>
            <w:vAlign w:val="center"/>
          </w:tcPr>
          <w:p w14:paraId="6196DA87">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54.1</w:t>
            </w:r>
          </w:p>
        </w:tc>
        <w:tc>
          <w:tcPr>
            <w:tcW w:w="325" w:type="pct"/>
            <w:shd w:val="clear" w:color="auto" w:fill="auto"/>
            <w:noWrap/>
            <w:vAlign w:val="center"/>
          </w:tcPr>
          <w:p w14:paraId="6EA040A5">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52.3</w:t>
            </w:r>
          </w:p>
        </w:tc>
        <w:tc>
          <w:tcPr>
            <w:tcW w:w="293" w:type="pct"/>
            <w:shd w:val="clear" w:color="auto" w:fill="auto"/>
            <w:noWrap/>
            <w:vAlign w:val="center"/>
          </w:tcPr>
          <w:p w14:paraId="06F8A9C9">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&lt; 20.0</w:t>
            </w:r>
          </w:p>
        </w:tc>
        <w:tc>
          <w:tcPr>
            <w:tcW w:w="251" w:type="pct"/>
            <w:shd w:val="clear" w:color="auto" w:fill="auto"/>
            <w:noWrap/>
            <w:vAlign w:val="center"/>
          </w:tcPr>
          <w:p w14:paraId="6C72AF0A">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69.5</w:t>
            </w:r>
          </w:p>
        </w:tc>
      </w:tr>
      <w:tr w14:paraId="1AF6E85A">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617" w:type="pct"/>
            <w:vMerge w:val="continue"/>
            <w:vAlign w:val="center"/>
          </w:tcPr>
          <w:p w14:paraId="0B883D8E">
            <w:pPr>
              <w:widowControl/>
              <w:spacing w:line="240" w:lineRule="exact"/>
              <w:jc w:val="center"/>
              <w:rPr>
                <w:rFonts w:ascii="Times New Roman" w:hAnsi="Times New Roman" w:eastAsia="宋体" w:cs="Times New Roman"/>
                <w:kern w:val="0"/>
                <w:szCs w:val="21"/>
              </w:rPr>
            </w:pPr>
          </w:p>
        </w:tc>
        <w:tc>
          <w:tcPr>
            <w:tcW w:w="514" w:type="pct"/>
            <w:vMerge w:val="continue"/>
            <w:vAlign w:val="center"/>
          </w:tcPr>
          <w:p w14:paraId="6E9A7AEE">
            <w:pPr>
              <w:widowControl/>
              <w:spacing w:line="240" w:lineRule="exact"/>
              <w:jc w:val="center"/>
              <w:rPr>
                <w:rFonts w:ascii="Times New Roman" w:hAnsi="Times New Roman" w:eastAsia="宋体" w:cs="Times New Roman"/>
                <w:kern w:val="0"/>
                <w:szCs w:val="21"/>
              </w:rPr>
            </w:pPr>
          </w:p>
        </w:tc>
        <w:tc>
          <w:tcPr>
            <w:tcW w:w="310" w:type="pct"/>
            <w:vMerge w:val="continue"/>
            <w:vAlign w:val="center"/>
          </w:tcPr>
          <w:p w14:paraId="1DD2FFA8">
            <w:pPr>
              <w:widowControl/>
              <w:spacing w:line="240" w:lineRule="exact"/>
              <w:jc w:val="center"/>
              <w:rPr>
                <w:rFonts w:ascii="Times New Roman" w:hAnsi="Times New Roman" w:eastAsia="宋体" w:cs="Times New Roman"/>
                <w:kern w:val="0"/>
                <w:szCs w:val="21"/>
              </w:rPr>
            </w:pPr>
          </w:p>
        </w:tc>
        <w:tc>
          <w:tcPr>
            <w:tcW w:w="272" w:type="pct"/>
            <w:shd w:val="clear" w:color="auto" w:fill="auto"/>
            <w:noWrap/>
            <w:vAlign w:val="center"/>
          </w:tcPr>
          <w:p w14:paraId="646ECB20">
            <w:pPr>
              <w:widowControl/>
              <w:spacing w:line="240" w:lineRule="exact"/>
              <w:jc w:val="center"/>
              <w:rPr>
                <w:rFonts w:ascii="Times New Roman" w:hAnsi="Times New Roman" w:eastAsia="宋体" w:cs="Times New Roman"/>
                <w:kern w:val="0"/>
                <w:szCs w:val="21"/>
              </w:rPr>
            </w:pPr>
            <w:r>
              <w:rPr>
                <w:rFonts w:ascii="Times New Roman" w:hAnsi="宋体" w:eastAsia="宋体" w:cs="Times New Roman"/>
                <w:kern w:val="0"/>
                <w:szCs w:val="21"/>
              </w:rPr>
              <w:t>夜间</w:t>
            </w:r>
          </w:p>
        </w:tc>
        <w:tc>
          <w:tcPr>
            <w:tcW w:w="244" w:type="pct"/>
            <w:shd w:val="clear" w:color="auto" w:fill="auto"/>
            <w:noWrap/>
            <w:vAlign w:val="center"/>
          </w:tcPr>
          <w:p w14:paraId="1092C27C">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67.3</w:t>
            </w:r>
          </w:p>
        </w:tc>
        <w:tc>
          <w:tcPr>
            <w:tcW w:w="244" w:type="pct"/>
            <w:shd w:val="clear" w:color="auto" w:fill="auto"/>
            <w:noWrap/>
            <w:vAlign w:val="center"/>
          </w:tcPr>
          <w:p w14:paraId="699E8C6B">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63.5</w:t>
            </w:r>
          </w:p>
        </w:tc>
        <w:tc>
          <w:tcPr>
            <w:tcW w:w="244" w:type="pct"/>
            <w:shd w:val="clear" w:color="auto" w:fill="auto"/>
            <w:noWrap/>
            <w:vAlign w:val="center"/>
          </w:tcPr>
          <w:p w14:paraId="21D42B91">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61.4</w:t>
            </w:r>
          </w:p>
        </w:tc>
        <w:tc>
          <w:tcPr>
            <w:tcW w:w="244" w:type="pct"/>
            <w:shd w:val="clear" w:color="auto" w:fill="auto"/>
            <w:noWrap/>
            <w:vAlign w:val="center"/>
          </w:tcPr>
          <w:p w14:paraId="6B7F2BCD">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59.9</w:t>
            </w:r>
          </w:p>
        </w:tc>
        <w:tc>
          <w:tcPr>
            <w:tcW w:w="244" w:type="pct"/>
            <w:shd w:val="clear" w:color="auto" w:fill="auto"/>
            <w:noWrap/>
            <w:vAlign w:val="center"/>
          </w:tcPr>
          <w:p w14:paraId="75F2C73D">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58.8</w:t>
            </w:r>
          </w:p>
        </w:tc>
        <w:tc>
          <w:tcPr>
            <w:tcW w:w="244" w:type="pct"/>
            <w:shd w:val="clear" w:color="auto" w:fill="auto"/>
            <w:noWrap/>
            <w:vAlign w:val="center"/>
          </w:tcPr>
          <w:p w14:paraId="3939FBC9">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57.0</w:t>
            </w:r>
          </w:p>
        </w:tc>
        <w:tc>
          <w:tcPr>
            <w:tcW w:w="318" w:type="pct"/>
            <w:shd w:val="clear" w:color="auto" w:fill="auto"/>
            <w:noWrap/>
            <w:vAlign w:val="center"/>
          </w:tcPr>
          <w:p w14:paraId="6234C9DC">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55.7</w:t>
            </w:r>
          </w:p>
        </w:tc>
        <w:tc>
          <w:tcPr>
            <w:tcW w:w="318" w:type="pct"/>
            <w:shd w:val="clear" w:color="auto" w:fill="auto"/>
            <w:noWrap/>
            <w:vAlign w:val="center"/>
          </w:tcPr>
          <w:p w14:paraId="5E133F69">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54.4</w:t>
            </w:r>
          </w:p>
        </w:tc>
        <w:tc>
          <w:tcPr>
            <w:tcW w:w="318" w:type="pct"/>
            <w:shd w:val="clear" w:color="auto" w:fill="auto"/>
            <w:noWrap/>
            <w:vAlign w:val="center"/>
          </w:tcPr>
          <w:p w14:paraId="13434C4D">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52.0</w:t>
            </w:r>
          </w:p>
        </w:tc>
        <w:tc>
          <w:tcPr>
            <w:tcW w:w="325" w:type="pct"/>
            <w:shd w:val="clear" w:color="auto" w:fill="auto"/>
            <w:noWrap/>
            <w:vAlign w:val="center"/>
          </w:tcPr>
          <w:p w14:paraId="17CD6BA5">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50.3</w:t>
            </w:r>
          </w:p>
        </w:tc>
        <w:tc>
          <w:tcPr>
            <w:tcW w:w="293" w:type="pct"/>
            <w:shd w:val="clear" w:color="auto" w:fill="auto"/>
            <w:noWrap/>
            <w:vAlign w:val="center"/>
          </w:tcPr>
          <w:p w14:paraId="362FB263">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110.3</w:t>
            </w:r>
          </w:p>
        </w:tc>
        <w:tc>
          <w:tcPr>
            <w:tcW w:w="251" w:type="pct"/>
            <w:shd w:val="clear" w:color="auto" w:fill="auto"/>
            <w:noWrap/>
            <w:vAlign w:val="center"/>
          </w:tcPr>
          <w:p w14:paraId="69BE5833">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205.9</w:t>
            </w:r>
          </w:p>
        </w:tc>
      </w:tr>
      <w:tr w14:paraId="33684BBF">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617" w:type="pct"/>
            <w:vMerge w:val="restart"/>
            <w:shd w:val="clear" w:color="auto" w:fill="auto"/>
            <w:noWrap/>
            <w:vAlign w:val="center"/>
          </w:tcPr>
          <w:p w14:paraId="3EB183FB">
            <w:pPr>
              <w:widowControl/>
              <w:spacing w:line="240" w:lineRule="exact"/>
              <w:jc w:val="center"/>
              <w:rPr>
                <w:rFonts w:ascii="Times New Roman" w:hAnsi="Times New Roman" w:eastAsia="宋体" w:cs="Times New Roman"/>
                <w:kern w:val="0"/>
                <w:szCs w:val="21"/>
              </w:rPr>
            </w:pPr>
            <w:r>
              <w:rPr>
                <w:rFonts w:ascii="Times New Roman" w:hAnsi="宋体" w:eastAsia="宋体" w:cs="Times New Roman"/>
                <w:kern w:val="0"/>
                <w:szCs w:val="21"/>
              </w:rPr>
              <w:t>起点～胜利路</w:t>
            </w:r>
          </w:p>
        </w:tc>
        <w:tc>
          <w:tcPr>
            <w:tcW w:w="514" w:type="pct"/>
            <w:vMerge w:val="restart"/>
            <w:shd w:val="clear" w:color="auto" w:fill="auto"/>
            <w:vAlign w:val="center"/>
          </w:tcPr>
          <w:p w14:paraId="1FECA927">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szCs w:val="21"/>
              </w:rPr>
              <w:t>设计车速</w:t>
            </w:r>
            <w:r>
              <w:rPr>
                <w:rFonts w:hint="eastAsia" w:ascii="Times New Roman" w:hAnsi="Times New Roman" w:eastAsia="宋体" w:cs="Times New Roman"/>
                <w:szCs w:val="21"/>
              </w:rPr>
              <w:t>6</w:t>
            </w:r>
            <w:r>
              <w:rPr>
                <w:rFonts w:ascii="Times New Roman" w:hAnsi="Times New Roman" w:eastAsia="宋体" w:cs="Times New Roman"/>
                <w:szCs w:val="21"/>
              </w:rPr>
              <w:t>0km/h，路基宽度</w:t>
            </w:r>
            <w:r>
              <w:rPr>
                <w:rFonts w:hint="eastAsia" w:ascii="Times New Roman" w:hAnsi="Times New Roman" w:eastAsia="宋体" w:cs="Times New Roman"/>
                <w:szCs w:val="21"/>
              </w:rPr>
              <w:t>19～23.5</w:t>
            </w:r>
            <w:r>
              <w:rPr>
                <w:rFonts w:ascii="Times New Roman" w:hAnsi="Times New Roman" w:eastAsia="宋体" w:cs="Times New Roman"/>
                <w:szCs w:val="21"/>
              </w:rPr>
              <w:t>m</w:t>
            </w:r>
          </w:p>
        </w:tc>
        <w:tc>
          <w:tcPr>
            <w:tcW w:w="310" w:type="pct"/>
            <w:vMerge w:val="restart"/>
            <w:shd w:val="clear" w:color="auto" w:fill="auto"/>
            <w:noWrap/>
            <w:vAlign w:val="center"/>
          </w:tcPr>
          <w:p w14:paraId="6D5537D1">
            <w:pPr>
              <w:widowControl/>
              <w:spacing w:line="240" w:lineRule="exact"/>
              <w:jc w:val="center"/>
              <w:rPr>
                <w:rFonts w:ascii="Times New Roman" w:hAnsi="Times New Roman" w:eastAsia="宋体" w:cs="Times New Roman"/>
                <w:kern w:val="0"/>
                <w:szCs w:val="21"/>
              </w:rPr>
            </w:pPr>
            <w:r>
              <w:rPr>
                <w:rFonts w:ascii="Times New Roman" w:hAnsi="宋体" w:eastAsia="宋体" w:cs="Times New Roman"/>
                <w:kern w:val="0"/>
                <w:szCs w:val="21"/>
              </w:rPr>
              <w:t>近期</w:t>
            </w:r>
          </w:p>
        </w:tc>
        <w:tc>
          <w:tcPr>
            <w:tcW w:w="272" w:type="pct"/>
            <w:shd w:val="clear" w:color="auto" w:fill="auto"/>
            <w:noWrap/>
            <w:vAlign w:val="center"/>
          </w:tcPr>
          <w:p w14:paraId="0DD5B740">
            <w:pPr>
              <w:widowControl/>
              <w:spacing w:line="240" w:lineRule="exact"/>
              <w:jc w:val="center"/>
              <w:rPr>
                <w:rFonts w:ascii="Times New Roman" w:hAnsi="Times New Roman" w:eastAsia="宋体" w:cs="Times New Roman"/>
                <w:kern w:val="0"/>
                <w:szCs w:val="21"/>
              </w:rPr>
            </w:pPr>
            <w:r>
              <w:rPr>
                <w:rFonts w:ascii="Times New Roman" w:hAnsi="宋体" w:eastAsia="宋体" w:cs="Times New Roman"/>
                <w:kern w:val="0"/>
                <w:szCs w:val="21"/>
              </w:rPr>
              <w:t>昼间</w:t>
            </w:r>
          </w:p>
        </w:tc>
        <w:tc>
          <w:tcPr>
            <w:tcW w:w="244" w:type="pct"/>
            <w:shd w:val="clear" w:color="auto" w:fill="auto"/>
            <w:noWrap/>
            <w:vAlign w:val="center"/>
          </w:tcPr>
          <w:p w14:paraId="7FAEF2AB">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67.8</w:t>
            </w:r>
          </w:p>
        </w:tc>
        <w:tc>
          <w:tcPr>
            <w:tcW w:w="244" w:type="pct"/>
            <w:shd w:val="clear" w:color="auto" w:fill="auto"/>
            <w:noWrap/>
            <w:vAlign w:val="center"/>
          </w:tcPr>
          <w:p w14:paraId="275C7CE8">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64.0</w:t>
            </w:r>
          </w:p>
        </w:tc>
        <w:tc>
          <w:tcPr>
            <w:tcW w:w="244" w:type="pct"/>
            <w:shd w:val="clear" w:color="auto" w:fill="auto"/>
            <w:noWrap/>
            <w:vAlign w:val="center"/>
          </w:tcPr>
          <w:p w14:paraId="4D6E80E4">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61.9</w:t>
            </w:r>
          </w:p>
        </w:tc>
        <w:tc>
          <w:tcPr>
            <w:tcW w:w="244" w:type="pct"/>
            <w:shd w:val="clear" w:color="auto" w:fill="auto"/>
            <w:noWrap/>
            <w:vAlign w:val="center"/>
          </w:tcPr>
          <w:p w14:paraId="7636E24C">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60.4</w:t>
            </w:r>
          </w:p>
        </w:tc>
        <w:tc>
          <w:tcPr>
            <w:tcW w:w="244" w:type="pct"/>
            <w:shd w:val="clear" w:color="auto" w:fill="auto"/>
            <w:noWrap/>
            <w:vAlign w:val="center"/>
          </w:tcPr>
          <w:p w14:paraId="206C17FF">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59.2</w:t>
            </w:r>
          </w:p>
        </w:tc>
        <w:tc>
          <w:tcPr>
            <w:tcW w:w="244" w:type="pct"/>
            <w:shd w:val="clear" w:color="auto" w:fill="auto"/>
            <w:noWrap/>
            <w:vAlign w:val="center"/>
          </w:tcPr>
          <w:p w14:paraId="42BDF83F">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57.4</w:t>
            </w:r>
          </w:p>
        </w:tc>
        <w:tc>
          <w:tcPr>
            <w:tcW w:w="318" w:type="pct"/>
            <w:shd w:val="clear" w:color="auto" w:fill="auto"/>
            <w:noWrap/>
            <w:vAlign w:val="center"/>
          </w:tcPr>
          <w:p w14:paraId="187FB69A">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55.9</w:t>
            </w:r>
          </w:p>
        </w:tc>
        <w:tc>
          <w:tcPr>
            <w:tcW w:w="318" w:type="pct"/>
            <w:shd w:val="clear" w:color="auto" w:fill="auto"/>
            <w:noWrap/>
            <w:vAlign w:val="center"/>
          </w:tcPr>
          <w:p w14:paraId="1A767297">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54.7</w:t>
            </w:r>
          </w:p>
        </w:tc>
        <w:tc>
          <w:tcPr>
            <w:tcW w:w="318" w:type="pct"/>
            <w:shd w:val="clear" w:color="auto" w:fill="auto"/>
            <w:noWrap/>
            <w:vAlign w:val="center"/>
          </w:tcPr>
          <w:p w14:paraId="674AAFF6">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52.7</w:t>
            </w:r>
          </w:p>
        </w:tc>
        <w:tc>
          <w:tcPr>
            <w:tcW w:w="325" w:type="pct"/>
            <w:shd w:val="clear" w:color="auto" w:fill="auto"/>
            <w:noWrap/>
            <w:vAlign w:val="center"/>
          </w:tcPr>
          <w:p w14:paraId="528C8C57">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51.0</w:t>
            </w:r>
          </w:p>
        </w:tc>
        <w:tc>
          <w:tcPr>
            <w:tcW w:w="293" w:type="pct"/>
            <w:shd w:val="clear" w:color="auto" w:fill="auto"/>
            <w:noWrap/>
            <w:vAlign w:val="center"/>
          </w:tcPr>
          <w:p w14:paraId="7C882A75">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&lt; 20.0</w:t>
            </w:r>
          </w:p>
        </w:tc>
        <w:tc>
          <w:tcPr>
            <w:tcW w:w="251" w:type="pct"/>
            <w:shd w:val="clear" w:color="auto" w:fill="auto"/>
            <w:noWrap/>
            <w:vAlign w:val="center"/>
          </w:tcPr>
          <w:p w14:paraId="5D51E6BF">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53.2</w:t>
            </w:r>
          </w:p>
        </w:tc>
      </w:tr>
      <w:tr w14:paraId="3E7CC80B">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617" w:type="pct"/>
            <w:vMerge w:val="continue"/>
            <w:vAlign w:val="center"/>
          </w:tcPr>
          <w:p w14:paraId="1C16B9BD">
            <w:pPr>
              <w:widowControl/>
              <w:spacing w:line="240" w:lineRule="exact"/>
              <w:jc w:val="center"/>
              <w:rPr>
                <w:rFonts w:ascii="Times New Roman" w:hAnsi="Times New Roman" w:eastAsia="宋体" w:cs="Times New Roman"/>
                <w:kern w:val="0"/>
                <w:szCs w:val="21"/>
              </w:rPr>
            </w:pPr>
          </w:p>
        </w:tc>
        <w:tc>
          <w:tcPr>
            <w:tcW w:w="514" w:type="pct"/>
            <w:vMerge w:val="continue"/>
            <w:vAlign w:val="center"/>
          </w:tcPr>
          <w:p w14:paraId="30EC56A3">
            <w:pPr>
              <w:widowControl/>
              <w:spacing w:line="240" w:lineRule="exact"/>
              <w:jc w:val="center"/>
              <w:rPr>
                <w:rFonts w:ascii="Times New Roman" w:hAnsi="Times New Roman" w:eastAsia="宋体" w:cs="Times New Roman"/>
                <w:kern w:val="0"/>
                <w:szCs w:val="21"/>
              </w:rPr>
            </w:pPr>
          </w:p>
        </w:tc>
        <w:tc>
          <w:tcPr>
            <w:tcW w:w="310" w:type="pct"/>
            <w:vMerge w:val="continue"/>
            <w:vAlign w:val="center"/>
          </w:tcPr>
          <w:p w14:paraId="30186FF7">
            <w:pPr>
              <w:widowControl/>
              <w:spacing w:line="240" w:lineRule="exact"/>
              <w:jc w:val="center"/>
              <w:rPr>
                <w:rFonts w:ascii="Times New Roman" w:hAnsi="Times New Roman" w:eastAsia="宋体" w:cs="Times New Roman"/>
                <w:kern w:val="0"/>
                <w:szCs w:val="21"/>
              </w:rPr>
            </w:pPr>
          </w:p>
        </w:tc>
        <w:tc>
          <w:tcPr>
            <w:tcW w:w="272" w:type="pct"/>
            <w:shd w:val="clear" w:color="auto" w:fill="auto"/>
            <w:noWrap/>
            <w:vAlign w:val="center"/>
          </w:tcPr>
          <w:p w14:paraId="67300095">
            <w:pPr>
              <w:widowControl/>
              <w:spacing w:line="240" w:lineRule="exact"/>
              <w:jc w:val="center"/>
              <w:rPr>
                <w:rFonts w:ascii="Times New Roman" w:hAnsi="Times New Roman" w:eastAsia="宋体" w:cs="Times New Roman"/>
                <w:kern w:val="0"/>
                <w:szCs w:val="21"/>
              </w:rPr>
            </w:pPr>
            <w:r>
              <w:rPr>
                <w:rFonts w:ascii="Times New Roman" w:hAnsi="宋体" w:eastAsia="宋体" w:cs="Times New Roman"/>
                <w:kern w:val="0"/>
                <w:szCs w:val="21"/>
              </w:rPr>
              <w:t>夜间</w:t>
            </w:r>
          </w:p>
        </w:tc>
        <w:tc>
          <w:tcPr>
            <w:tcW w:w="244" w:type="pct"/>
            <w:shd w:val="clear" w:color="auto" w:fill="auto"/>
            <w:noWrap/>
            <w:vAlign w:val="center"/>
          </w:tcPr>
          <w:p w14:paraId="6B1273FB">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64.0</w:t>
            </w:r>
          </w:p>
        </w:tc>
        <w:tc>
          <w:tcPr>
            <w:tcW w:w="244" w:type="pct"/>
            <w:shd w:val="clear" w:color="auto" w:fill="auto"/>
            <w:noWrap/>
            <w:vAlign w:val="center"/>
          </w:tcPr>
          <w:p w14:paraId="0197D396">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60.1</w:t>
            </w:r>
          </w:p>
        </w:tc>
        <w:tc>
          <w:tcPr>
            <w:tcW w:w="244" w:type="pct"/>
            <w:shd w:val="clear" w:color="auto" w:fill="auto"/>
            <w:noWrap/>
            <w:vAlign w:val="center"/>
          </w:tcPr>
          <w:p w14:paraId="57A6C811">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58.0</w:t>
            </w:r>
          </w:p>
        </w:tc>
        <w:tc>
          <w:tcPr>
            <w:tcW w:w="244" w:type="pct"/>
            <w:shd w:val="clear" w:color="auto" w:fill="auto"/>
            <w:noWrap/>
            <w:vAlign w:val="center"/>
          </w:tcPr>
          <w:p w14:paraId="130699B2">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56.5</w:t>
            </w:r>
          </w:p>
        </w:tc>
        <w:tc>
          <w:tcPr>
            <w:tcW w:w="244" w:type="pct"/>
            <w:shd w:val="clear" w:color="auto" w:fill="auto"/>
            <w:noWrap/>
            <w:vAlign w:val="center"/>
          </w:tcPr>
          <w:p w14:paraId="39C9E2EC">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55.3</w:t>
            </w:r>
          </w:p>
        </w:tc>
        <w:tc>
          <w:tcPr>
            <w:tcW w:w="244" w:type="pct"/>
            <w:shd w:val="clear" w:color="auto" w:fill="auto"/>
            <w:noWrap/>
            <w:vAlign w:val="center"/>
          </w:tcPr>
          <w:p w14:paraId="53EF13CF">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53.5</w:t>
            </w:r>
          </w:p>
        </w:tc>
        <w:tc>
          <w:tcPr>
            <w:tcW w:w="318" w:type="pct"/>
            <w:shd w:val="clear" w:color="auto" w:fill="auto"/>
            <w:noWrap/>
            <w:vAlign w:val="center"/>
          </w:tcPr>
          <w:p w14:paraId="1FB8BB66">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52.0</w:t>
            </w:r>
          </w:p>
        </w:tc>
        <w:tc>
          <w:tcPr>
            <w:tcW w:w="318" w:type="pct"/>
            <w:shd w:val="clear" w:color="auto" w:fill="auto"/>
            <w:noWrap/>
            <w:vAlign w:val="center"/>
          </w:tcPr>
          <w:p w14:paraId="2AD7F06B">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50.8</w:t>
            </w:r>
          </w:p>
        </w:tc>
        <w:tc>
          <w:tcPr>
            <w:tcW w:w="318" w:type="pct"/>
            <w:shd w:val="clear" w:color="auto" w:fill="auto"/>
            <w:noWrap/>
            <w:vAlign w:val="center"/>
          </w:tcPr>
          <w:p w14:paraId="2C7A7E78">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48.8</w:t>
            </w:r>
          </w:p>
        </w:tc>
        <w:tc>
          <w:tcPr>
            <w:tcW w:w="325" w:type="pct"/>
            <w:shd w:val="clear" w:color="auto" w:fill="auto"/>
            <w:noWrap/>
            <w:vAlign w:val="center"/>
          </w:tcPr>
          <w:p w14:paraId="6AE072EC">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47.1</w:t>
            </w:r>
          </w:p>
        </w:tc>
        <w:tc>
          <w:tcPr>
            <w:tcW w:w="293" w:type="pct"/>
            <w:shd w:val="clear" w:color="auto" w:fill="auto"/>
            <w:noWrap/>
            <w:vAlign w:val="center"/>
          </w:tcPr>
          <w:p w14:paraId="72506FC3">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63.4</w:t>
            </w:r>
          </w:p>
        </w:tc>
        <w:tc>
          <w:tcPr>
            <w:tcW w:w="251" w:type="pct"/>
            <w:shd w:val="clear" w:color="auto" w:fill="auto"/>
            <w:noWrap/>
            <w:vAlign w:val="center"/>
          </w:tcPr>
          <w:p w14:paraId="6520CFBB">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135.9</w:t>
            </w:r>
          </w:p>
        </w:tc>
      </w:tr>
      <w:tr w14:paraId="6567EB22">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617" w:type="pct"/>
            <w:vMerge w:val="continue"/>
            <w:vAlign w:val="center"/>
          </w:tcPr>
          <w:p w14:paraId="30B02E69">
            <w:pPr>
              <w:widowControl/>
              <w:spacing w:line="240" w:lineRule="exact"/>
              <w:jc w:val="center"/>
              <w:rPr>
                <w:rFonts w:ascii="Times New Roman" w:hAnsi="Times New Roman" w:eastAsia="宋体" w:cs="Times New Roman"/>
                <w:kern w:val="0"/>
                <w:szCs w:val="21"/>
              </w:rPr>
            </w:pPr>
          </w:p>
        </w:tc>
        <w:tc>
          <w:tcPr>
            <w:tcW w:w="514" w:type="pct"/>
            <w:vMerge w:val="continue"/>
            <w:vAlign w:val="center"/>
          </w:tcPr>
          <w:p w14:paraId="28DF2F56">
            <w:pPr>
              <w:widowControl/>
              <w:spacing w:line="240" w:lineRule="exact"/>
              <w:jc w:val="center"/>
              <w:rPr>
                <w:rFonts w:ascii="Times New Roman" w:hAnsi="Times New Roman" w:eastAsia="宋体" w:cs="Times New Roman"/>
                <w:kern w:val="0"/>
                <w:szCs w:val="21"/>
              </w:rPr>
            </w:pPr>
          </w:p>
        </w:tc>
        <w:tc>
          <w:tcPr>
            <w:tcW w:w="310" w:type="pct"/>
            <w:vMerge w:val="restart"/>
            <w:shd w:val="clear" w:color="auto" w:fill="auto"/>
            <w:noWrap/>
            <w:vAlign w:val="center"/>
          </w:tcPr>
          <w:p w14:paraId="11CE111B">
            <w:pPr>
              <w:widowControl/>
              <w:spacing w:line="240" w:lineRule="exact"/>
              <w:jc w:val="center"/>
              <w:rPr>
                <w:rFonts w:ascii="Times New Roman" w:hAnsi="Times New Roman" w:eastAsia="宋体" w:cs="Times New Roman"/>
                <w:kern w:val="0"/>
                <w:szCs w:val="21"/>
              </w:rPr>
            </w:pPr>
            <w:r>
              <w:rPr>
                <w:rFonts w:ascii="Times New Roman" w:hAnsi="宋体" w:eastAsia="宋体" w:cs="Times New Roman"/>
                <w:kern w:val="0"/>
                <w:szCs w:val="21"/>
              </w:rPr>
              <w:t>中期</w:t>
            </w:r>
          </w:p>
        </w:tc>
        <w:tc>
          <w:tcPr>
            <w:tcW w:w="272" w:type="pct"/>
            <w:shd w:val="clear" w:color="auto" w:fill="auto"/>
            <w:noWrap/>
            <w:vAlign w:val="center"/>
          </w:tcPr>
          <w:p w14:paraId="5F8F988C">
            <w:pPr>
              <w:widowControl/>
              <w:spacing w:line="240" w:lineRule="exact"/>
              <w:jc w:val="center"/>
              <w:rPr>
                <w:rFonts w:ascii="Times New Roman" w:hAnsi="Times New Roman" w:eastAsia="宋体" w:cs="Times New Roman"/>
                <w:kern w:val="0"/>
                <w:szCs w:val="21"/>
              </w:rPr>
            </w:pPr>
            <w:r>
              <w:rPr>
                <w:rFonts w:ascii="Times New Roman" w:hAnsi="宋体" w:eastAsia="宋体" w:cs="Times New Roman"/>
                <w:kern w:val="0"/>
                <w:szCs w:val="21"/>
              </w:rPr>
              <w:t>昼间</w:t>
            </w:r>
          </w:p>
        </w:tc>
        <w:tc>
          <w:tcPr>
            <w:tcW w:w="244" w:type="pct"/>
            <w:shd w:val="clear" w:color="auto" w:fill="auto"/>
            <w:noWrap/>
            <w:vAlign w:val="center"/>
          </w:tcPr>
          <w:p w14:paraId="1B930DE5">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68.5</w:t>
            </w:r>
          </w:p>
        </w:tc>
        <w:tc>
          <w:tcPr>
            <w:tcW w:w="244" w:type="pct"/>
            <w:shd w:val="clear" w:color="auto" w:fill="auto"/>
            <w:noWrap/>
            <w:vAlign w:val="center"/>
          </w:tcPr>
          <w:p w14:paraId="08AF50D9">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64.6</w:t>
            </w:r>
          </w:p>
        </w:tc>
        <w:tc>
          <w:tcPr>
            <w:tcW w:w="244" w:type="pct"/>
            <w:shd w:val="clear" w:color="auto" w:fill="auto"/>
            <w:noWrap/>
            <w:vAlign w:val="center"/>
          </w:tcPr>
          <w:p w14:paraId="64FC6D93">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62.5</w:t>
            </w:r>
          </w:p>
        </w:tc>
        <w:tc>
          <w:tcPr>
            <w:tcW w:w="244" w:type="pct"/>
            <w:shd w:val="clear" w:color="auto" w:fill="auto"/>
            <w:noWrap/>
            <w:vAlign w:val="center"/>
          </w:tcPr>
          <w:p w14:paraId="3BA57B49">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61.0</w:t>
            </w:r>
          </w:p>
        </w:tc>
        <w:tc>
          <w:tcPr>
            <w:tcW w:w="244" w:type="pct"/>
            <w:shd w:val="clear" w:color="auto" w:fill="auto"/>
            <w:noWrap/>
            <w:vAlign w:val="center"/>
          </w:tcPr>
          <w:p w14:paraId="3175BBBB">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59.8</w:t>
            </w:r>
          </w:p>
        </w:tc>
        <w:tc>
          <w:tcPr>
            <w:tcW w:w="244" w:type="pct"/>
            <w:shd w:val="clear" w:color="auto" w:fill="auto"/>
            <w:noWrap/>
            <w:vAlign w:val="center"/>
          </w:tcPr>
          <w:p w14:paraId="18F3E953">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58.0</w:t>
            </w:r>
          </w:p>
        </w:tc>
        <w:tc>
          <w:tcPr>
            <w:tcW w:w="318" w:type="pct"/>
            <w:shd w:val="clear" w:color="auto" w:fill="auto"/>
            <w:noWrap/>
            <w:vAlign w:val="center"/>
          </w:tcPr>
          <w:p w14:paraId="206B67B4">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56.5</w:t>
            </w:r>
          </w:p>
        </w:tc>
        <w:tc>
          <w:tcPr>
            <w:tcW w:w="318" w:type="pct"/>
            <w:shd w:val="clear" w:color="auto" w:fill="auto"/>
            <w:noWrap/>
            <w:vAlign w:val="center"/>
          </w:tcPr>
          <w:p w14:paraId="43091518">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55.3</w:t>
            </w:r>
          </w:p>
        </w:tc>
        <w:tc>
          <w:tcPr>
            <w:tcW w:w="318" w:type="pct"/>
            <w:shd w:val="clear" w:color="auto" w:fill="auto"/>
            <w:noWrap/>
            <w:vAlign w:val="center"/>
          </w:tcPr>
          <w:p w14:paraId="6FBE3541">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53.3</w:t>
            </w:r>
          </w:p>
        </w:tc>
        <w:tc>
          <w:tcPr>
            <w:tcW w:w="325" w:type="pct"/>
            <w:shd w:val="clear" w:color="auto" w:fill="auto"/>
            <w:noWrap/>
            <w:vAlign w:val="center"/>
          </w:tcPr>
          <w:p w14:paraId="58424D96">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51.6</w:t>
            </w:r>
          </w:p>
        </w:tc>
        <w:tc>
          <w:tcPr>
            <w:tcW w:w="293" w:type="pct"/>
            <w:shd w:val="clear" w:color="auto" w:fill="auto"/>
            <w:noWrap/>
            <w:vAlign w:val="center"/>
          </w:tcPr>
          <w:p w14:paraId="5ACEDA9A">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&lt; 20.0</w:t>
            </w:r>
          </w:p>
        </w:tc>
        <w:tc>
          <w:tcPr>
            <w:tcW w:w="251" w:type="pct"/>
            <w:shd w:val="clear" w:color="auto" w:fill="auto"/>
            <w:noWrap/>
            <w:vAlign w:val="center"/>
          </w:tcPr>
          <w:p w14:paraId="79F4758E">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58.4</w:t>
            </w:r>
          </w:p>
        </w:tc>
      </w:tr>
      <w:tr w14:paraId="5D6980D5">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617" w:type="pct"/>
            <w:vMerge w:val="continue"/>
            <w:vAlign w:val="center"/>
          </w:tcPr>
          <w:p w14:paraId="3724BD44">
            <w:pPr>
              <w:widowControl/>
              <w:spacing w:line="240" w:lineRule="exact"/>
              <w:jc w:val="center"/>
              <w:rPr>
                <w:rFonts w:ascii="Times New Roman" w:hAnsi="Times New Roman" w:eastAsia="宋体" w:cs="Times New Roman"/>
                <w:kern w:val="0"/>
                <w:szCs w:val="21"/>
              </w:rPr>
            </w:pPr>
          </w:p>
        </w:tc>
        <w:tc>
          <w:tcPr>
            <w:tcW w:w="514" w:type="pct"/>
            <w:vMerge w:val="continue"/>
            <w:vAlign w:val="center"/>
          </w:tcPr>
          <w:p w14:paraId="44B1120F">
            <w:pPr>
              <w:widowControl/>
              <w:spacing w:line="240" w:lineRule="exact"/>
              <w:jc w:val="center"/>
              <w:rPr>
                <w:rFonts w:ascii="Times New Roman" w:hAnsi="Times New Roman" w:eastAsia="宋体" w:cs="Times New Roman"/>
                <w:kern w:val="0"/>
                <w:szCs w:val="21"/>
              </w:rPr>
            </w:pPr>
          </w:p>
        </w:tc>
        <w:tc>
          <w:tcPr>
            <w:tcW w:w="310" w:type="pct"/>
            <w:vMerge w:val="continue"/>
            <w:vAlign w:val="center"/>
          </w:tcPr>
          <w:p w14:paraId="71341E41">
            <w:pPr>
              <w:widowControl/>
              <w:spacing w:line="240" w:lineRule="exact"/>
              <w:jc w:val="center"/>
              <w:rPr>
                <w:rFonts w:ascii="Times New Roman" w:hAnsi="Times New Roman" w:eastAsia="宋体" w:cs="Times New Roman"/>
                <w:kern w:val="0"/>
                <w:szCs w:val="21"/>
              </w:rPr>
            </w:pPr>
          </w:p>
        </w:tc>
        <w:tc>
          <w:tcPr>
            <w:tcW w:w="272" w:type="pct"/>
            <w:shd w:val="clear" w:color="auto" w:fill="auto"/>
            <w:noWrap/>
            <w:vAlign w:val="center"/>
          </w:tcPr>
          <w:p w14:paraId="594B5945">
            <w:pPr>
              <w:widowControl/>
              <w:spacing w:line="240" w:lineRule="exact"/>
              <w:jc w:val="center"/>
              <w:rPr>
                <w:rFonts w:ascii="Times New Roman" w:hAnsi="Times New Roman" w:eastAsia="宋体" w:cs="Times New Roman"/>
                <w:kern w:val="0"/>
                <w:szCs w:val="21"/>
              </w:rPr>
            </w:pPr>
            <w:r>
              <w:rPr>
                <w:rFonts w:ascii="Times New Roman" w:hAnsi="宋体" w:eastAsia="宋体" w:cs="Times New Roman"/>
                <w:kern w:val="0"/>
                <w:szCs w:val="21"/>
              </w:rPr>
              <w:t>夜间</w:t>
            </w:r>
          </w:p>
        </w:tc>
        <w:tc>
          <w:tcPr>
            <w:tcW w:w="244" w:type="pct"/>
            <w:shd w:val="clear" w:color="auto" w:fill="auto"/>
            <w:noWrap/>
            <w:vAlign w:val="center"/>
          </w:tcPr>
          <w:p w14:paraId="3A090786">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64.8</w:t>
            </w:r>
          </w:p>
        </w:tc>
        <w:tc>
          <w:tcPr>
            <w:tcW w:w="244" w:type="pct"/>
            <w:shd w:val="clear" w:color="auto" w:fill="auto"/>
            <w:noWrap/>
            <w:vAlign w:val="center"/>
          </w:tcPr>
          <w:p w14:paraId="4248C456">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60.9</w:t>
            </w:r>
          </w:p>
        </w:tc>
        <w:tc>
          <w:tcPr>
            <w:tcW w:w="244" w:type="pct"/>
            <w:shd w:val="clear" w:color="auto" w:fill="auto"/>
            <w:noWrap/>
            <w:vAlign w:val="center"/>
          </w:tcPr>
          <w:p w14:paraId="253B9FE3">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58.8</w:t>
            </w:r>
          </w:p>
        </w:tc>
        <w:tc>
          <w:tcPr>
            <w:tcW w:w="244" w:type="pct"/>
            <w:shd w:val="clear" w:color="auto" w:fill="auto"/>
            <w:noWrap/>
            <w:vAlign w:val="center"/>
          </w:tcPr>
          <w:p w14:paraId="0B1E9D6D">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57.3</w:t>
            </w:r>
          </w:p>
        </w:tc>
        <w:tc>
          <w:tcPr>
            <w:tcW w:w="244" w:type="pct"/>
            <w:shd w:val="clear" w:color="auto" w:fill="auto"/>
            <w:noWrap/>
            <w:vAlign w:val="center"/>
          </w:tcPr>
          <w:p w14:paraId="255FB823">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56.1</w:t>
            </w:r>
          </w:p>
        </w:tc>
        <w:tc>
          <w:tcPr>
            <w:tcW w:w="244" w:type="pct"/>
            <w:shd w:val="clear" w:color="auto" w:fill="auto"/>
            <w:noWrap/>
            <w:vAlign w:val="center"/>
          </w:tcPr>
          <w:p w14:paraId="4E6CB4A9">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54.3</w:t>
            </w:r>
          </w:p>
        </w:tc>
        <w:tc>
          <w:tcPr>
            <w:tcW w:w="318" w:type="pct"/>
            <w:shd w:val="clear" w:color="auto" w:fill="auto"/>
            <w:noWrap/>
            <w:vAlign w:val="center"/>
          </w:tcPr>
          <w:p w14:paraId="47FFF916">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52.8</w:t>
            </w:r>
          </w:p>
        </w:tc>
        <w:tc>
          <w:tcPr>
            <w:tcW w:w="318" w:type="pct"/>
            <w:shd w:val="clear" w:color="auto" w:fill="auto"/>
            <w:noWrap/>
            <w:vAlign w:val="center"/>
          </w:tcPr>
          <w:p w14:paraId="5C98F4EE">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51.6</w:t>
            </w:r>
          </w:p>
        </w:tc>
        <w:tc>
          <w:tcPr>
            <w:tcW w:w="318" w:type="pct"/>
            <w:shd w:val="clear" w:color="auto" w:fill="auto"/>
            <w:noWrap/>
            <w:vAlign w:val="center"/>
          </w:tcPr>
          <w:p w14:paraId="10894709">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49.6</w:t>
            </w:r>
          </w:p>
        </w:tc>
        <w:tc>
          <w:tcPr>
            <w:tcW w:w="325" w:type="pct"/>
            <w:shd w:val="clear" w:color="auto" w:fill="auto"/>
            <w:noWrap/>
            <w:vAlign w:val="center"/>
          </w:tcPr>
          <w:p w14:paraId="40353E8D">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47.9</w:t>
            </w:r>
          </w:p>
        </w:tc>
        <w:tc>
          <w:tcPr>
            <w:tcW w:w="293" w:type="pct"/>
            <w:shd w:val="clear" w:color="auto" w:fill="auto"/>
            <w:noWrap/>
            <w:vAlign w:val="center"/>
          </w:tcPr>
          <w:p w14:paraId="37072FBF">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72.0</w:t>
            </w:r>
          </w:p>
        </w:tc>
        <w:tc>
          <w:tcPr>
            <w:tcW w:w="251" w:type="pct"/>
            <w:shd w:val="clear" w:color="auto" w:fill="auto"/>
            <w:noWrap/>
            <w:vAlign w:val="center"/>
          </w:tcPr>
          <w:p w14:paraId="5FF8B699">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151.5</w:t>
            </w:r>
          </w:p>
        </w:tc>
      </w:tr>
      <w:tr w14:paraId="6E062E2C">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617" w:type="pct"/>
            <w:vMerge w:val="continue"/>
            <w:vAlign w:val="center"/>
          </w:tcPr>
          <w:p w14:paraId="0B546333">
            <w:pPr>
              <w:widowControl/>
              <w:spacing w:line="240" w:lineRule="exact"/>
              <w:jc w:val="center"/>
              <w:rPr>
                <w:rFonts w:ascii="Times New Roman" w:hAnsi="Times New Roman" w:eastAsia="宋体" w:cs="Times New Roman"/>
                <w:kern w:val="0"/>
                <w:szCs w:val="21"/>
              </w:rPr>
            </w:pPr>
          </w:p>
        </w:tc>
        <w:tc>
          <w:tcPr>
            <w:tcW w:w="514" w:type="pct"/>
            <w:vMerge w:val="continue"/>
            <w:vAlign w:val="center"/>
          </w:tcPr>
          <w:p w14:paraId="2EEDCDB4">
            <w:pPr>
              <w:widowControl/>
              <w:spacing w:line="240" w:lineRule="exact"/>
              <w:jc w:val="center"/>
              <w:rPr>
                <w:rFonts w:ascii="Times New Roman" w:hAnsi="Times New Roman" w:eastAsia="宋体" w:cs="Times New Roman"/>
                <w:kern w:val="0"/>
                <w:szCs w:val="21"/>
              </w:rPr>
            </w:pPr>
          </w:p>
        </w:tc>
        <w:tc>
          <w:tcPr>
            <w:tcW w:w="310" w:type="pct"/>
            <w:vMerge w:val="restart"/>
            <w:shd w:val="clear" w:color="auto" w:fill="auto"/>
            <w:noWrap/>
            <w:vAlign w:val="center"/>
          </w:tcPr>
          <w:p w14:paraId="717AF523">
            <w:pPr>
              <w:widowControl/>
              <w:spacing w:line="240" w:lineRule="exact"/>
              <w:jc w:val="center"/>
              <w:rPr>
                <w:rFonts w:ascii="Times New Roman" w:hAnsi="Times New Roman" w:eastAsia="宋体" w:cs="Times New Roman"/>
                <w:kern w:val="0"/>
                <w:szCs w:val="21"/>
              </w:rPr>
            </w:pPr>
            <w:r>
              <w:rPr>
                <w:rFonts w:ascii="Times New Roman" w:hAnsi="宋体" w:eastAsia="宋体" w:cs="Times New Roman"/>
                <w:kern w:val="0"/>
                <w:szCs w:val="21"/>
              </w:rPr>
              <w:t>远期</w:t>
            </w:r>
          </w:p>
        </w:tc>
        <w:tc>
          <w:tcPr>
            <w:tcW w:w="272" w:type="pct"/>
            <w:shd w:val="clear" w:color="auto" w:fill="auto"/>
            <w:noWrap/>
            <w:vAlign w:val="center"/>
          </w:tcPr>
          <w:p w14:paraId="502DAAA7">
            <w:pPr>
              <w:widowControl/>
              <w:spacing w:line="240" w:lineRule="exact"/>
              <w:jc w:val="center"/>
              <w:rPr>
                <w:rFonts w:ascii="Times New Roman" w:hAnsi="Times New Roman" w:eastAsia="宋体" w:cs="Times New Roman"/>
                <w:kern w:val="0"/>
                <w:szCs w:val="21"/>
              </w:rPr>
            </w:pPr>
            <w:r>
              <w:rPr>
                <w:rFonts w:ascii="Times New Roman" w:hAnsi="宋体" w:eastAsia="宋体" w:cs="Times New Roman"/>
                <w:kern w:val="0"/>
                <w:szCs w:val="21"/>
              </w:rPr>
              <w:t>昼间</w:t>
            </w:r>
          </w:p>
        </w:tc>
        <w:tc>
          <w:tcPr>
            <w:tcW w:w="244" w:type="pct"/>
            <w:shd w:val="clear" w:color="auto" w:fill="auto"/>
            <w:noWrap/>
            <w:vAlign w:val="center"/>
          </w:tcPr>
          <w:p w14:paraId="08925EBC">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69.2</w:t>
            </w:r>
          </w:p>
        </w:tc>
        <w:tc>
          <w:tcPr>
            <w:tcW w:w="244" w:type="pct"/>
            <w:shd w:val="clear" w:color="auto" w:fill="auto"/>
            <w:noWrap/>
            <w:vAlign w:val="center"/>
          </w:tcPr>
          <w:p w14:paraId="657BE355">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65.3</w:t>
            </w:r>
          </w:p>
        </w:tc>
        <w:tc>
          <w:tcPr>
            <w:tcW w:w="244" w:type="pct"/>
            <w:shd w:val="clear" w:color="auto" w:fill="auto"/>
            <w:noWrap/>
            <w:vAlign w:val="center"/>
          </w:tcPr>
          <w:p w14:paraId="52026787">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63.2</w:t>
            </w:r>
          </w:p>
        </w:tc>
        <w:tc>
          <w:tcPr>
            <w:tcW w:w="244" w:type="pct"/>
            <w:shd w:val="clear" w:color="auto" w:fill="auto"/>
            <w:noWrap/>
            <w:vAlign w:val="center"/>
          </w:tcPr>
          <w:p w14:paraId="21BC5C94">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61.7</w:t>
            </w:r>
          </w:p>
        </w:tc>
        <w:tc>
          <w:tcPr>
            <w:tcW w:w="244" w:type="pct"/>
            <w:shd w:val="clear" w:color="auto" w:fill="auto"/>
            <w:noWrap/>
            <w:vAlign w:val="center"/>
          </w:tcPr>
          <w:p w14:paraId="31FE76FA">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60.5</w:t>
            </w:r>
          </w:p>
        </w:tc>
        <w:tc>
          <w:tcPr>
            <w:tcW w:w="244" w:type="pct"/>
            <w:shd w:val="clear" w:color="auto" w:fill="auto"/>
            <w:noWrap/>
            <w:vAlign w:val="center"/>
          </w:tcPr>
          <w:p w14:paraId="5DE7FC07">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58.7</w:t>
            </w:r>
          </w:p>
        </w:tc>
        <w:tc>
          <w:tcPr>
            <w:tcW w:w="318" w:type="pct"/>
            <w:shd w:val="clear" w:color="auto" w:fill="auto"/>
            <w:noWrap/>
            <w:vAlign w:val="center"/>
          </w:tcPr>
          <w:p w14:paraId="3085E2A2">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57.2</w:t>
            </w:r>
          </w:p>
        </w:tc>
        <w:tc>
          <w:tcPr>
            <w:tcW w:w="318" w:type="pct"/>
            <w:shd w:val="clear" w:color="auto" w:fill="auto"/>
            <w:noWrap/>
            <w:vAlign w:val="center"/>
          </w:tcPr>
          <w:p w14:paraId="4E04AAFC">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56.0</w:t>
            </w:r>
          </w:p>
        </w:tc>
        <w:tc>
          <w:tcPr>
            <w:tcW w:w="318" w:type="pct"/>
            <w:shd w:val="clear" w:color="auto" w:fill="auto"/>
            <w:noWrap/>
            <w:vAlign w:val="center"/>
          </w:tcPr>
          <w:p w14:paraId="793EC4EC">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54.0</w:t>
            </w:r>
          </w:p>
        </w:tc>
        <w:tc>
          <w:tcPr>
            <w:tcW w:w="325" w:type="pct"/>
            <w:shd w:val="clear" w:color="auto" w:fill="auto"/>
            <w:noWrap/>
            <w:vAlign w:val="center"/>
          </w:tcPr>
          <w:p w14:paraId="35E169F2">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52.3</w:t>
            </w:r>
          </w:p>
        </w:tc>
        <w:tc>
          <w:tcPr>
            <w:tcW w:w="293" w:type="pct"/>
            <w:shd w:val="clear" w:color="auto" w:fill="auto"/>
            <w:noWrap/>
            <w:vAlign w:val="center"/>
          </w:tcPr>
          <w:p w14:paraId="783F9FE2">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&lt; 20.0</w:t>
            </w:r>
          </w:p>
        </w:tc>
        <w:tc>
          <w:tcPr>
            <w:tcW w:w="251" w:type="pct"/>
            <w:shd w:val="clear" w:color="auto" w:fill="auto"/>
            <w:noWrap/>
            <w:vAlign w:val="center"/>
          </w:tcPr>
          <w:p w14:paraId="228C31F5">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65.7</w:t>
            </w:r>
          </w:p>
        </w:tc>
      </w:tr>
      <w:tr w14:paraId="6038A899">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617" w:type="pct"/>
            <w:vMerge w:val="continue"/>
            <w:vAlign w:val="center"/>
          </w:tcPr>
          <w:p w14:paraId="1BCB5277">
            <w:pPr>
              <w:widowControl/>
              <w:spacing w:line="240" w:lineRule="exact"/>
              <w:jc w:val="center"/>
              <w:rPr>
                <w:rFonts w:ascii="Times New Roman" w:hAnsi="Times New Roman" w:eastAsia="宋体" w:cs="Times New Roman"/>
                <w:kern w:val="0"/>
                <w:szCs w:val="21"/>
              </w:rPr>
            </w:pPr>
          </w:p>
        </w:tc>
        <w:tc>
          <w:tcPr>
            <w:tcW w:w="514" w:type="pct"/>
            <w:vMerge w:val="continue"/>
            <w:vAlign w:val="center"/>
          </w:tcPr>
          <w:p w14:paraId="2B55C5B0">
            <w:pPr>
              <w:widowControl/>
              <w:spacing w:line="240" w:lineRule="exact"/>
              <w:jc w:val="center"/>
              <w:rPr>
                <w:rFonts w:ascii="Times New Roman" w:hAnsi="Times New Roman" w:eastAsia="宋体" w:cs="Times New Roman"/>
                <w:kern w:val="0"/>
                <w:szCs w:val="21"/>
              </w:rPr>
            </w:pPr>
          </w:p>
        </w:tc>
        <w:tc>
          <w:tcPr>
            <w:tcW w:w="310" w:type="pct"/>
            <w:vMerge w:val="continue"/>
            <w:vAlign w:val="center"/>
          </w:tcPr>
          <w:p w14:paraId="3F0BB8A4">
            <w:pPr>
              <w:widowControl/>
              <w:spacing w:line="240" w:lineRule="exact"/>
              <w:jc w:val="center"/>
              <w:rPr>
                <w:rFonts w:ascii="Times New Roman" w:hAnsi="Times New Roman" w:eastAsia="宋体" w:cs="Times New Roman"/>
                <w:kern w:val="0"/>
                <w:szCs w:val="21"/>
              </w:rPr>
            </w:pPr>
          </w:p>
        </w:tc>
        <w:tc>
          <w:tcPr>
            <w:tcW w:w="272" w:type="pct"/>
            <w:shd w:val="clear" w:color="auto" w:fill="auto"/>
            <w:noWrap/>
            <w:vAlign w:val="center"/>
          </w:tcPr>
          <w:p w14:paraId="7914FA22">
            <w:pPr>
              <w:widowControl/>
              <w:spacing w:line="240" w:lineRule="exact"/>
              <w:jc w:val="center"/>
              <w:rPr>
                <w:rFonts w:ascii="Times New Roman" w:hAnsi="Times New Roman" w:eastAsia="宋体" w:cs="Times New Roman"/>
                <w:kern w:val="0"/>
                <w:szCs w:val="21"/>
              </w:rPr>
            </w:pPr>
            <w:r>
              <w:rPr>
                <w:rFonts w:ascii="Times New Roman" w:hAnsi="宋体" w:eastAsia="宋体" w:cs="Times New Roman"/>
                <w:kern w:val="0"/>
                <w:szCs w:val="21"/>
              </w:rPr>
              <w:t>夜间</w:t>
            </w:r>
          </w:p>
        </w:tc>
        <w:tc>
          <w:tcPr>
            <w:tcW w:w="244" w:type="pct"/>
            <w:shd w:val="clear" w:color="auto" w:fill="auto"/>
            <w:noWrap/>
            <w:vAlign w:val="center"/>
          </w:tcPr>
          <w:p w14:paraId="78B3C350">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65.5</w:t>
            </w:r>
          </w:p>
        </w:tc>
        <w:tc>
          <w:tcPr>
            <w:tcW w:w="244" w:type="pct"/>
            <w:shd w:val="clear" w:color="auto" w:fill="auto"/>
            <w:noWrap/>
            <w:vAlign w:val="center"/>
          </w:tcPr>
          <w:p w14:paraId="411C30AA">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61.6</w:t>
            </w:r>
          </w:p>
        </w:tc>
        <w:tc>
          <w:tcPr>
            <w:tcW w:w="244" w:type="pct"/>
            <w:shd w:val="clear" w:color="auto" w:fill="auto"/>
            <w:noWrap/>
            <w:vAlign w:val="center"/>
          </w:tcPr>
          <w:p w14:paraId="3E9EF88B">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59.5</w:t>
            </w:r>
          </w:p>
        </w:tc>
        <w:tc>
          <w:tcPr>
            <w:tcW w:w="244" w:type="pct"/>
            <w:shd w:val="clear" w:color="auto" w:fill="auto"/>
            <w:noWrap/>
            <w:vAlign w:val="center"/>
          </w:tcPr>
          <w:p w14:paraId="5D586A59">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58.0</w:t>
            </w:r>
          </w:p>
        </w:tc>
        <w:tc>
          <w:tcPr>
            <w:tcW w:w="244" w:type="pct"/>
            <w:shd w:val="clear" w:color="auto" w:fill="auto"/>
            <w:noWrap/>
            <w:vAlign w:val="center"/>
          </w:tcPr>
          <w:p w14:paraId="64AA2F33">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56.8</w:t>
            </w:r>
          </w:p>
        </w:tc>
        <w:tc>
          <w:tcPr>
            <w:tcW w:w="244" w:type="pct"/>
            <w:shd w:val="clear" w:color="auto" w:fill="auto"/>
            <w:noWrap/>
            <w:vAlign w:val="center"/>
          </w:tcPr>
          <w:p w14:paraId="5DCC4703">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55.0</w:t>
            </w:r>
          </w:p>
        </w:tc>
        <w:tc>
          <w:tcPr>
            <w:tcW w:w="318" w:type="pct"/>
            <w:shd w:val="clear" w:color="auto" w:fill="auto"/>
            <w:noWrap/>
            <w:vAlign w:val="center"/>
          </w:tcPr>
          <w:p w14:paraId="0E07C343">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53.5</w:t>
            </w:r>
          </w:p>
        </w:tc>
        <w:tc>
          <w:tcPr>
            <w:tcW w:w="318" w:type="pct"/>
            <w:shd w:val="clear" w:color="auto" w:fill="auto"/>
            <w:noWrap/>
            <w:vAlign w:val="center"/>
          </w:tcPr>
          <w:p w14:paraId="5F3BC61D">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52.3</w:t>
            </w:r>
          </w:p>
        </w:tc>
        <w:tc>
          <w:tcPr>
            <w:tcW w:w="318" w:type="pct"/>
            <w:shd w:val="clear" w:color="auto" w:fill="auto"/>
            <w:noWrap/>
            <w:vAlign w:val="center"/>
          </w:tcPr>
          <w:p w14:paraId="106F6AB9">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50.3</w:t>
            </w:r>
          </w:p>
        </w:tc>
        <w:tc>
          <w:tcPr>
            <w:tcW w:w="325" w:type="pct"/>
            <w:shd w:val="clear" w:color="auto" w:fill="auto"/>
            <w:noWrap/>
            <w:vAlign w:val="center"/>
          </w:tcPr>
          <w:p w14:paraId="588B304C">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48.6</w:t>
            </w:r>
          </w:p>
        </w:tc>
        <w:tc>
          <w:tcPr>
            <w:tcW w:w="293" w:type="pct"/>
            <w:shd w:val="clear" w:color="auto" w:fill="auto"/>
            <w:noWrap/>
            <w:vAlign w:val="center"/>
          </w:tcPr>
          <w:p w14:paraId="61527670">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79.7</w:t>
            </w:r>
          </w:p>
        </w:tc>
        <w:tc>
          <w:tcPr>
            <w:tcW w:w="251" w:type="pct"/>
            <w:shd w:val="clear" w:color="auto" w:fill="auto"/>
            <w:noWrap/>
            <w:vAlign w:val="center"/>
          </w:tcPr>
          <w:p w14:paraId="40AB0468">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166.6</w:t>
            </w:r>
          </w:p>
        </w:tc>
      </w:tr>
      <w:tr w14:paraId="285A7CBC">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617" w:type="pct"/>
            <w:vMerge w:val="restart"/>
            <w:shd w:val="clear" w:color="auto" w:fill="auto"/>
            <w:noWrap/>
            <w:vAlign w:val="center"/>
          </w:tcPr>
          <w:p w14:paraId="671E5470">
            <w:pPr>
              <w:widowControl/>
              <w:spacing w:line="240" w:lineRule="exact"/>
              <w:jc w:val="center"/>
              <w:rPr>
                <w:rFonts w:ascii="Times New Roman" w:hAnsi="Times New Roman" w:eastAsia="宋体" w:cs="Times New Roman"/>
                <w:kern w:val="0"/>
                <w:szCs w:val="21"/>
              </w:rPr>
            </w:pPr>
            <w:r>
              <w:rPr>
                <w:rFonts w:ascii="Times New Roman" w:hAnsi="宋体" w:eastAsia="宋体" w:cs="Times New Roman"/>
                <w:kern w:val="0"/>
                <w:szCs w:val="21"/>
              </w:rPr>
              <w:t>胜利路～</w:t>
            </w:r>
            <w:r>
              <w:rPr>
                <w:rFonts w:ascii="Times New Roman" w:hAnsi="Times New Roman" w:eastAsia="宋体" w:cs="Times New Roman"/>
                <w:kern w:val="0"/>
                <w:szCs w:val="21"/>
              </w:rPr>
              <w:t>S311</w:t>
            </w:r>
          </w:p>
        </w:tc>
        <w:tc>
          <w:tcPr>
            <w:tcW w:w="514" w:type="pct"/>
            <w:vMerge w:val="restart"/>
            <w:shd w:val="clear" w:color="auto" w:fill="auto"/>
            <w:vAlign w:val="center"/>
          </w:tcPr>
          <w:p w14:paraId="5C773AB4">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szCs w:val="21"/>
              </w:rPr>
              <w:t>设计车速</w:t>
            </w:r>
            <w:r>
              <w:rPr>
                <w:rFonts w:hint="eastAsia" w:ascii="Times New Roman" w:hAnsi="Times New Roman" w:eastAsia="宋体" w:cs="Times New Roman"/>
                <w:szCs w:val="21"/>
              </w:rPr>
              <w:t>8</w:t>
            </w:r>
            <w:r>
              <w:rPr>
                <w:rFonts w:ascii="Times New Roman" w:hAnsi="Times New Roman" w:eastAsia="宋体" w:cs="Times New Roman"/>
                <w:szCs w:val="21"/>
              </w:rPr>
              <w:t>0km/h，路基宽度</w:t>
            </w:r>
            <w:r>
              <w:rPr>
                <w:rFonts w:hint="eastAsia" w:ascii="Times New Roman" w:hAnsi="Times New Roman" w:eastAsia="宋体" w:cs="Times New Roman"/>
                <w:szCs w:val="21"/>
              </w:rPr>
              <w:t>25.5</w:t>
            </w:r>
            <w:r>
              <w:rPr>
                <w:rFonts w:ascii="Times New Roman" w:hAnsi="Times New Roman" w:eastAsia="宋体" w:cs="Times New Roman"/>
                <w:szCs w:val="21"/>
              </w:rPr>
              <w:t>m</w:t>
            </w:r>
          </w:p>
        </w:tc>
        <w:tc>
          <w:tcPr>
            <w:tcW w:w="310" w:type="pct"/>
            <w:vMerge w:val="restart"/>
            <w:shd w:val="clear" w:color="auto" w:fill="auto"/>
            <w:noWrap/>
            <w:vAlign w:val="center"/>
          </w:tcPr>
          <w:p w14:paraId="63448972">
            <w:pPr>
              <w:widowControl/>
              <w:spacing w:line="240" w:lineRule="exact"/>
              <w:jc w:val="center"/>
              <w:rPr>
                <w:rFonts w:ascii="Times New Roman" w:hAnsi="Times New Roman" w:eastAsia="宋体" w:cs="Times New Roman"/>
                <w:kern w:val="0"/>
                <w:szCs w:val="21"/>
              </w:rPr>
            </w:pPr>
            <w:r>
              <w:rPr>
                <w:rFonts w:ascii="Times New Roman" w:hAnsi="宋体" w:eastAsia="宋体" w:cs="Times New Roman"/>
                <w:kern w:val="0"/>
                <w:szCs w:val="21"/>
              </w:rPr>
              <w:t>近期</w:t>
            </w:r>
          </w:p>
        </w:tc>
        <w:tc>
          <w:tcPr>
            <w:tcW w:w="272" w:type="pct"/>
            <w:shd w:val="clear" w:color="auto" w:fill="auto"/>
            <w:noWrap/>
            <w:vAlign w:val="center"/>
          </w:tcPr>
          <w:p w14:paraId="1AE9CB7F">
            <w:pPr>
              <w:widowControl/>
              <w:spacing w:line="240" w:lineRule="exact"/>
              <w:jc w:val="center"/>
              <w:rPr>
                <w:rFonts w:ascii="Times New Roman" w:hAnsi="Times New Roman" w:eastAsia="宋体" w:cs="Times New Roman"/>
                <w:kern w:val="0"/>
                <w:szCs w:val="21"/>
              </w:rPr>
            </w:pPr>
            <w:r>
              <w:rPr>
                <w:rFonts w:ascii="Times New Roman" w:hAnsi="宋体" w:eastAsia="宋体" w:cs="Times New Roman"/>
                <w:kern w:val="0"/>
                <w:szCs w:val="21"/>
              </w:rPr>
              <w:t>昼间</w:t>
            </w:r>
          </w:p>
        </w:tc>
        <w:tc>
          <w:tcPr>
            <w:tcW w:w="244" w:type="pct"/>
            <w:shd w:val="clear" w:color="auto" w:fill="auto"/>
            <w:noWrap/>
            <w:vAlign w:val="center"/>
          </w:tcPr>
          <w:p w14:paraId="7AEE7858">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68.2</w:t>
            </w:r>
          </w:p>
        </w:tc>
        <w:tc>
          <w:tcPr>
            <w:tcW w:w="244" w:type="pct"/>
            <w:shd w:val="clear" w:color="auto" w:fill="auto"/>
            <w:noWrap/>
            <w:vAlign w:val="center"/>
          </w:tcPr>
          <w:p w14:paraId="02EA8BCB">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64.4</w:t>
            </w:r>
          </w:p>
        </w:tc>
        <w:tc>
          <w:tcPr>
            <w:tcW w:w="244" w:type="pct"/>
            <w:shd w:val="clear" w:color="auto" w:fill="auto"/>
            <w:noWrap/>
            <w:vAlign w:val="center"/>
          </w:tcPr>
          <w:p w14:paraId="474FC477">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62.3</w:t>
            </w:r>
          </w:p>
        </w:tc>
        <w:tc>
          <w:tcPr>
            <w:tcW w:w="244" w:type="pct"/>
            <w:shd w:val="clear" w:color="auto" w:fill="auto"/>
            <w:noWrap/>
            <w:vAlign w:val="center"/>
          </w:tcPr>
          <w:p w14:paraId="5AF205BF">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60.8</w:t>
            </w:r>
          </w:p>
        </w:tc>
        <w:tc>
          <w:tcPr>
            <w:tcW w:w="244" w:type="pct"/>
            <w:shd w:val="clear" w:color="auto" w:fill="auto"/>
            <w:noWrap/>
            <w:vAlign w:val="center"/>
          </w:tcPr>
          <w:p w14:paraId="6A814418">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59.7</w:t>
            </w:r>
          </w:p>
        </w:tc>
        <w:tc>
          <w:tcPr>
            <w:tcW w:w="244" w:type="pct"/>
            <w:shd w:val="clear" w:color="auto" w:fill="auto"/>
            <w:noWrap/>
            <w:vAlign w:val="center"/>
          </w:tcPr>
          <w:p w14:paraId="008FB3BF">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57.9</w:t>
            </w:r>
          </w:p>
        </w:tc>
        <w:tc>
          <w:tcPr>
            <w:tcW w:w="318" w:type="pct"/>
            <w:shd w:val="clear" w:color="auto" w:fill="auto"/>
            <w:noWrap/>
            <w:vAlign w:val="center"/>
          </w:tcPr>
          <w:p w14:paraId="73B3E173">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56.5</w:t>
            </w:r>
          </w:p>
        </w:tc>
        <w:tc>
          <w:tcPr>
            <w:tcW w:w="318" w:type="pct"/>
            <w:shd w:val="clear" w:color="auto" w:fill="auto"/>
            <w:noWrap/>
            <w:vAlign w:val="center"/>
          </w:tcPr>
          <w:p w14:paraId="0D0AA815">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55.4</w:t>
            </w:r>
          </w:p>
        </w:tc>
        <w:tc>
          <w:tcPr>
            <w:tcW w:w="318" w:type="pct"/>
            <w:shd w:val="clear" w:color="auto" w:fill="auto"/>
            <w:noWrap/>
            <w:vAlign w:val="center"/>
          </w:tcPr>
          <w:p w14:paraId="18453FB8">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53.5</w:t>
            </w:r>
          </w:p>
        </w:tc>
        <w:tc>
          <w:tcPr>
            <w:tcW w:w="325" w:type="pct"/>
            <w:shd w:val="clear" w:color="auto" w:fill="auto"/>
            <w:noWrap/>
            <w:vAlign w:val="center"/>
          </w:tcPr>
          <w:p w14:paraId="240898F8">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51.9</w:t>
            </w:r>
          </w:p>
        </w:tc>
        <w:tc>
          <w:tcPr>
            <w:tcW w:w="293" w:type="pct"/>
            <w:shd w:val="clear" w:color="auto" w:fill="auto"/>
            <w:noWrap/>
            <w:vAlign w:val="center"/>
          </w:tcPr>
          <w:p w14:paraId="25433F8F">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&lt; 20.0</w:t>
            </w:r>
          </w:p>
        </w:tc>
        <w:tc>
          <w:tcPr>
            <w:tcW w:w="251" w:type="pct"/>
            <w:shd w:val="clear" w:color="auto" w:fill="auto"/>
            <w:noWrap/>
            <w:vAlign w:val="center"/>
          </w:tcPr>
          <w:p w14:paraId="097293FB">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57.0</w:t>
            </w:r>
          </w:p>
        </w:tc>
      </w:tr>
      <w:tr w14:paraId="701A8235">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617" w:type="pct"/>
            <w:vMerge w:val="continue"/>
            <w:vAlign w:val="center"/>
          </w:tcPr>
          <w:p w14:paraId="5A95AF55">
            <w:pPr>
              <w:widowControl/>
              <w:spacing w:line="240" w:lineRule="exact"/>
              <w:jc w:val="center"/>
              <w:rPr>
                <w:rFonts w:ascii="Times New Roman" w:hAnsi="Times New Roman" w:eastAsia="宋体" w:cs="Times New Roman"/>
                <w:kern w:val="0"/>
                <w:szCs w:val="21"/>
              </w:rPr>
            </w:pPr>
          </w:p>
        </w:tc>
        <w:tc>
          <w:tcPr>
            <w:tcW w:w="514" w:type="pct"/>
            <w:vMerge w:val="continue"/>
            <w:vAlign w:val="center"/>
          </w:tcPr>
          <w:p w14:paraId="1122FF46">
            <w:pPr>
              <w:widowControl/>
              <w:spacing w:line="240" w:lineRule="exact"/>
              <w:jc w:val="center"/>
              <w:rPr>
                <w:rFonts w:ascii="Times New Roman" w:hAnsi="Times New Roman" w:eastAsia="宋体" w:cs="Times New Roman"/>
                <w:kern w:val="0"/>
                <w:szCs w:val="21"/>
              </w:rPr>
            </w:pPr>
          </w:p>
        </w:tc>
        <w:tc>
          <w:tcPr>
            <w:tcW w:w="310" w:type="pct"/>
            <w:vMerge w:val="continue"/>
            <w:vAlign w:val="center"/>
          </w:tcPr>
          <w:p w14:paraId="198C9333">
            <w:pPr>
              <w:widowControl/>
              <w:spacing w:line="240" w:lineRule="exact"/>
              <w:jc w:val="center"/>
              <w:rPr>
                <w:rFonts w:ascii="Times New Roman" w:hAnsi="Times New Roman" w:eastAsia="宋体" w:cs="Times New Roman"/>
                <w:kern w:val="0"/>
                <w:szCs w:val="21"/>
              </w:rPr>
            </w:pPr>
          </w:p>
        </w:tc>
        <w:tc>
          <w:tcPr>
            <w:tcW w:w="272" w:type="pct"/>
            <w:shd w:val="clear" w:color="auto" w:fill="auto"/>
            <w:noWrap/>
            <w:vAlign w:val="center"/>
          </w:tcPr>
          <w:p w14:paraId="753E57EB">
            <w:pPr>
              <w:widowControl/>
              <w:spacing w:line="240" w:lineRule="exact"/>
              <w:jc w:val="center"/>
              <w:rPr>
                <w:rFonts w:ascii="Times New Roman" w:hAnsi="Times New Roman" w:eastAsia="宋体" w:cs="Times New Roman"/>
                <w:kern w:val="0"/>
                <w:szCs w:val="21"/>
              </w:rPr>
            </w:pPr>
            <w:r>
              <w:rPr>
                <w:rFonts w:ascii="Times New Roman" w:hAnsi="宋体" w:eastAsia="宋体" w:cs="Times New Roman"/>
                <w:kern w:val="0"/>
                <w:szCs w:val="21"/>
              </w:rPr>
              <w:t>夜间</w:t>
            </w:r>
          </w:p>
        </w:tc>
        <w:tc>
          <w:tcPr>
            <w:tcW w:w="244" w:type="pct"/>
            <w:shd w:val="clear" w:color="auto" w:fill="auto"/>
            <w:noWrap/>
            <w:vAlign w:val="center"/>
          </w:tcPr>
          <w:p w14:paraId="0C1B4089">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64.3</w:t>
            </w:r>
          </w:p>
        </w:tc>
        <w:tc>
          <w:tcPr>
            <w:tcW w:w="244" w:type="pct"/>
            <w:shd w:val="clear" w:color="auto" w:fill="auto"/>
            <w:noWrap/>
            <w:vAlign w:val="center"/>
          </w:tcPr>
          <w:p w14:paraId="56D27688">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60.5</w:t>
            </w:r>
          </w:p>
        </w:tc>
        <w:tc>
          <w:tcPr>
            <w:tcW w:w="244" w:type="pct"/>
            <w:shd w:val="clear" w:color="auto" w:fill="auto"/>
            <w:noWrap/>
            <w:vAlign w:val="center"/>
          </w:tcPr>
          <w:p w14:paraId="47EB8E99">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58.4</w:t>
            </w:r>
          </w:p>
        </w:tc>
        <w:tc>
          <w:tcPr>
            <w:tcW w:w="244" w:type="pct"/>
            <w:shd w:val="clear" w:color="auto" w:fill="auto"/>
            <w:noWrap/>
            <w:vAlign w:val="center"/>
          </w:tcPr>
          <w:p w14:paraId="777D9B75">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56.9</w:t>
            </w:r>
          </w:p>
        </w:tc>
        <w:tc>
          <w:tcPr>
            <w:tcW w:w="244" w:type="pct"/>
            <w:shd w:val="clear" w:color="auto" w:fill="auto"/>
            <w:noWrap/>
            <w:vAlign w:val="center"/>
          </w:tcPr>
          <w:p w14:paraId="7C36BD5D">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55.8</w:t>
            </w:r>
          </w:p>
        </w:tc>
        <w:tc>
          <w:tcPr>
            <w:tcW w:w="244" w:type="pct"/>
            <w:shd w:val="clear" w:color="auto" w:fill="auto"/>
            <w:noWrap/>
            <w:vAlign w:val="center"/>
          </w:tcPr>
          <w:p w14:paraId="088E2C9E">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54.0</w:t>
            </w:r>
          </w:p>
        </w:tc>
        <w:tc>
          <w:tcPr>
            <w:tcW w:w="318" w:type="pct"/>
            <w:shd w:val="clear" w:color="auto" w:fill="auto"/>
            <w:noWrap/>
            <w:vAlign w:val="center"/>
          </w:tcPr>
          <w:p w14:paraId="68C915AB">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52.6</w:t>
            </w:r>
          </w:p>
        </w:tc>
        <w:tc>
          <w:tcPr>
            <w:tcW w:w="318" w:type="pct"/>
            <w:shd w:val="clear" w:color="auto" w:fill="auto"/>
            <w:noWrap/>
            <w:vAlign w:val="center"/>
          </w:tcPr>
          <w:p w14:paraId="0E6F7C1A">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51.5</w:t>
            </w:r>
          </w:p>
        </w:tc>
        <w:tc>
          <w:tcPr>
            <w:tcW w:w="318" w:type="pct"/>
            <w:shd w:val="clear" w:color="auto" w:fill="auto"/>
            <w:noWrap/>
            <w:vAlign w:val="center"/>
          </w:tcPr>
          <w:p w14:paraId="0A7BF6DC">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49.6</w:t>
            </w:r>
          </w:p>
        </w:tc>
        <w:tc>
          <w:tcPr>
            <w:tcW w:w="325" w:type="pct"/>
            <w:shd w:val="clear" w:color="auto" w:fill="auto"/>
            <w:noWrap/>
            <w:vAlign w:val="center"/>
          </w:tcPr>
          <w:p w14:paraId="6A761EBA">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48.0</w:t>
            </w:r>
          </w:p>
        </w:tc>
        <w:tc>
          <w:tcPr>
            <w:tcW w:w="293" w:type="pct"/>
            <w:shd w:val="clear" w:color="auto" w:fill="auto"/>
            <w:noWrap/>
            <w:vAlign w:val="center"/>
          </w:tcPr>
          <w:p w14:paraId="13D1EDAD">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68.8</w:t>
            </w:r>
          </w:p>
        </w:tc>
        <w:tc>
          <w:tcPr>
            <w:tcW w:w="251" w:type="pct"/>
            <w:shd w:val="clear" w:color="auto" w:fill="auto"/>
            <w:noWrap/>
            <w:vAlign w:val="center"/>
          </w:tcPr>
          <w:p w14:paraId="2A2873A9">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151.6</w:t>
            </w:r>
          </w:p>
        </w:tc>
      </w:tr>
      <w:tr w14:paraId="6F7E5514">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617" w:type="pct"/>
            <w:vMerge w:val="continue"/>
            <w:vAlign w:val="center"/>
          </w:tcPr>
          <w:p w14:paraId="25901D5D">
            <w:pPr>
              <w:widowControl/>
              <w:spacing w:line="240" w:lineRule="exact"/>
              <w:jc w:val="center"/>
              <w:rPr>
                <w:rFonts w:ascii="Times New Roman" w:hAnsi="Times New Roman" w:eastAsia="宋体" w:cs="Times New Roman"/>
                <w:kern w:val="0"/>
                <w:szCs w:val="21"/>
              </w:rPr>
            </w:pPr>
          </w:p>
        </w:tc>
        <w:tc>
          <w:tcPr>
            <w:tcW w:w="514" w:type="pct"/>
            <w:vMerge w:val="continue"/>
            <w:vAlign w:val="center"/>
          </w:tcPr>
          <w:p w14:paraId="14C4BCB6">
            <w:pPr>
              <w:widowControl/>
              <w:spacing w:line="240" w:lineRule="exact"/>
              <w:jc w:val="center"/>
              <w:rPr>
                <w:rFonts w:ascii="Times New Roman" w:hAnsi="Times New Roman" w:eastAsia="宋体" w:cs="Times New Roman"/>
                <w:kern w:val="0"/>
                <w:szCs w:val="21"/>
              </w:rPr>
            </w:pPr>
          </w:p>
        </w:tc>
        <w:tc>
          <w:tcPr>
            <w:tcW w:w="310" w:type="pct"/>
            <w:vMerge w:val="restart"/>
            <w:shd w:val="clear" w:color="auto" w:fill="auto"/>
            <w:noWrap/>
            <w:vAlign w:val="center"/>
          </w:tcPr>
          <w:p w14:paraId="31F8660E">
            <w:pPr>
              <w:widowControl/>
              <w:spacing w:line="240" w:lineRule="exact"/>
              <w:jc w:val="center"/>
              <w:rPr>
                <w:rFonts w:ascii="Times New Roman" w:hAnsi="Times New Roman" w:eastAsia="宋体" w:cs="Times New Roman"/>
                <w:kern w:val="0"/>
                <w:szCs w:val="21"/>
              </w:rPr>
            </w:pPr>
            <w:r>
              <w:rPr>
                <w:rFonts w:ascii="Times New Roman" w:hAnsi="宋体" w:eastAsia="宋体" w:cs="Times New Roman"/>
                <w:kern w:val="0"/>
                <w:szCs w:val="21"/>
              </w:rPr>
              <w:t>中期</w:t>
            </w:r>
          </w:p>
        </w:tc>
        <w:tc>
          <w:tcPr>
            <w:tcW w:w="272" w:type="pct"/>
            <w:shd w:val="clear" w:color="auto" w:fill="auto"/>
            <w:noWrap/>
            <w:vAlign w:val="center"/>
          </w:tcPr>
          <w:p w14:paraId="621A1641">
            <w:pPr>
              <w:widowControl/>
              <w:spacing w:line="240" w:lineRule="exact"/>
              <w:jc w:val="center"/>
              <w:rPr>
                <w:rFonts w:ascii="Times New Roman" w:hAnsi="Times New Roman" w:eastAsia="宋体" w:cs="Times New Roman"/>
                <w:kern w:val="0"/>
                <w:szCs w:val="21"/>
              </w:rPr>
            </w:pPr>
            <w:r>
              <w:rPr>
                <w:rFonts w:ascii="Times New Roman" w:hAnsi="宋体" w:eastAsia="宋体" w:cs="Times New Roman"/>
                <w:kern w:val="0"/>
                <w:szCs w:val="21"/>
              </w:rPr>
              <w:t>昼间</w:t>
            </w:r>
          </w:p>
        </w:tc>
        <w:tc>
          <w:tcPr>
            <w:tcW w:w="244" w:type="pct"/>
            <w:shd w:val="clear" w:color="auto" w:fill="auto"/>
            <w:noWrap/>
            <w:vAlign w:val="center"/>
          </w:tcPr>
          <w:p w14:paraId="685F48A0">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69.0</w:t>
            </w:r>
          </w:p>
        </w:tc>
        <w:tc>
          <w:tcPr>
            <w:tcW w:w="244" w:type="pct"/>
            <w:shd w:val="clear" w:color="auto" w:fill="auto"/>
            <w:noWrap/>
            <w:vAlign w:val="center"/>
          </w:tcPr>
          <w:p w14:paraId="4BE7C734">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65.2</w:t>
            </w:r>
          </w:p>
        </w:tc>
        <w:tc>
          <w:tcPr>
            <w:tcW w:w="244" w:type="pct"/>
            <w:shd w:val="clear" w:color="auto" w:fill="auto"/>
            <w:noWrap/>
            <w:vAlign w:val="center"/>
          </w:tcPr>
          <w:p w14:paraId="63060BA5">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63.1</w:t>
            </w:r>
          </w:p>
        </w:tc>
        <w:tc>
          <w:tcPr>
            <w:tcW w:w="244" w:type="pct"/>
            <w:shd w:val="clear" w:color="auto" w:fill="auto"/>
            <w:noWrap/>
            <w:vAlign w:val="center"/>
          </w:tcPr>
          <w:p w14:paraId="2B929182">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61.6</w:t>
            </w:r>
          </w:p>
        </w:tc>
        <w:tc>
          <w:tcPr>
            <w:tcW w:w="244" w:type="pct"/>
            <w:shd w:val="clear" w:color="auto" w:fill="auto"/>
            <w:noWrap/>
            <w:vAlign w:val="center"/>
          </w:tcPr>
          <w:p w14:paraId="76A0DCA7">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60.4</w:t>
            </w:r>
          </w:p>
        </w:tc>
        <w:tc>
          <w:tcPr>
            <w:tcW w:w="244" w:type="pct"/>
            <w:shd w:val="clear" w:color="auto" w:fill="auto"/>
            <w:noWrap/>
            <w:vAlign w:val="center"/>
          </w:tcPr>
          <w:p w14:paraId="35F1A40F">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58.7</w:t>
            </w:r>
          </w:p>
        </w:tc>
        <w:tc>
          <w:tcPr>
            <w:tcW w:w="318" w:type="pct"/>
            <w:shd w:val="clear" w:color="auto" w:fill="auto"/>
            <w:noWrap/>
            <w:vAlign w:val="center"/>
          </w:tcPr>
          <w:p w14:paraId="0E26200E">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57.3</w:t>
            </w:r>
          </w:p>
        </w:tc>
        <w:tc>
          <w:tcPr>
            <w:tcW w:w="318" w:type="pct"/>
            <w:shd w:val="clear" w:color="auto" w:fill="auto"/>
            <w:noWrap/>
            <w:vAlign w:val="center"/>
          </w:tcPr>
          <w:p w14:paraId="3D1CA534">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56.2</w:t>
            </w:r>
          </w:p>
        </w:tc>
        <w:tc>
          <w:tcPr>
            <w:tcW w:w="318" w:type="pct"/>
            <w:shd w:val="clear" w:color="auto" w:fill="auto"/>
            <w:noWrap/>
            <w:vAlign w:val="center"/>
          </w:tcPr>
          <w:p w14:paraId="16C63794">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54.3</w:t>
            </w:r>
          </w:p>
        </w:tc>
        <w:tc>
          <w:tcPr>
            <w:tcW w:w="325" w:type="pct"/>
            <w:shd w:val="clear" w:color="auto" w:fill="auto"/>
            <w:noWrap/>
            <w:vAlign w:val="center"/>
          </w:tcPr>
          <w:p w14:paraId="29302FEA">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52.7</w:t>
            </w:r>
          </w:p>
        </w:tc>
        <w:tc>
          <w:tcPr>
            <w:tcW w:w="293" w:type="pct"/>
            <w:shd w:val="clear" w:color="auto" w:fill="auto"/>
            <w:noWrap/>
            <w:vAlign w:val="center"/>
          </w:tcPr>
          <w:p w14:paraId="143E731A">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&lt; 20.0</w:t>
            </w:r>
          </w:p>
        </w:tc>
        <w:tc>
          <w:tcPr>
            <w:tcW w:w="251" w:type="pct"/>
            <w:shd w:val="clear" w:color="auto" w:fill="auto"/>
            <w:noWrap/>
            <w:vAlign w:val="center"/>
          </w:tcPr>
          <w:p w14:paraId="3C15D738">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65.0</w:t>
            </w:r>
          </w:p>
        </w:tc>
      </w:tr>
      <w:tr w14:paraId="0FF4F8E7">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617" w:type="pct"/>
            <w:vMerge w:val="continue"/>
            <w:vAlign w:val="center"/>
          </w:tcPr>
          <w:p w14:paraId="78925C05">
            <w:pPr>
              <w:widowControl/>
              <w:spacing w:line="240" w:lineRule="exact"/>
              <w:jc w:val="center"/>
              <w:rPr>
                <w:rFonts w:ascii="Times New Roman" w:hAnsi="Times New Roman" w:eastAsia="宋体" w:cs="Times New Roman"/>
                <w:kern w:val="0"/>
                <w:szCs w:val="21"/>
              </w:rPr>
            </w:pPr>
          </w:p>
        </w:tc>
        <w:tc>
          <w:tcPr>
            <w:tcW w:w="514" w:type="pct"/>
            <w:vMerge w:val="continue"/>
            <w:vAlign w:val="center"/>
          </w:tcPr>
          <w:p w14:paraId="3BDED039">
            <w:pPr>
              <w:widowControl/>
              <w:spacing w:line="240" w:lineRule="exact"/>
              <w:jc w:val="center"/>
              <w:rPr>
                <w:rFonts w:ascii="Times New Roman" w:hAnsi="Times New Roman" w:eastAsia="宋体" w:cs="Times New Roman"/>
                <w:kern w:val="0"/>
                <w:szCs w:val="21"/>
              </w:rPr>
            </w:pPr>
          </w:p>
        </w:tc>
        <w:tc>
          <w:tcPr>
            <w:tcW w:w="310" w:type="pct"/>
            <w:vMerge w:val="continue"/>
            <w:vAlign w:val="center"/>
          </w:tcPr>
          <w:p w14:paraId="1A83F1E0">
            <w:pPr>
              <w:widowControl/>
              <w:spacing w:line="240" w:lineRule="exact"/>
              <w:jc w:val="center"/>
              <w:rPr>
                <w:rFonts w:ascii="Times New Roman" w:hAnsi="Times New Roman" w:eastAsia="宋体" w:cs="Times New Roman"/>
                <w:kern w:val="0"/>
                <w:szCs w:val="21"/>
              </w:rPr>
            </w:pPr>
          </w:p>
        </w:tc>
        <w:tc>
          <w:tcPr>
            <w:tcW w:w="272" w:type="pct"/>
            <w:shd w:val="clear" w:color="auto" w:fill="auto"/>
            <w:noWrap/>
            <w:vAlign w:val="center"/>
          </w:tcPr>
          <w:p w14:paraId="361CCF39">
            <w:pPr>
              <w:widowControl/>
              <w:spacing w:line="240" w:lineRule="exact"/>
              <w:jc w:val="center"/>
              <w:rPr>
                <w:rFonts w:ascii="Times New Roman" w:hAnsi="Times New Roman" w:eastAsia="宋体" w:cs="Times New Roman"/>
                <w:kern w:val="0"/>
                <w:szCs w:val="21"/>
              </w:rPr>
            </w:pPr>
            <w:r>
              <w:rPr>
                <w:rFonts w:ascii="Times New Roman" w:hAnsi="宋体" w:eastAsia="宋体" w:cs="Times New Roman"/>
                <w:kern w:val="0"/>
                <w:szCs w:val="21"/>
              </w:rPr>
              <w:t>夜间</w:t>
            </w:r>
          </w:p>
        </w:tc>
        <w:tc>
          <w:tcPr>
            <w:tcW w:w="244" w:type="pct"/>
            <w:shd w:val="clear" w:color="auto" w:fill="auto"/>
            <w:noWrap/>
            <w:vAlign w:val="center"/>
          </w:tcPr>
          <w:p w14:paraId="1E7C039E">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65.1</w:t>
            </w:r>
          </w:p>
        </w:tc>
        <w:tc>
          <w:tcPr>
            <w:tcW w:w="244" w:type="pct"/>
            <w:shd w:val="clear" w:color="auto" w:fill="auto"/>
            <w:noWrap/>
            <w:vAlign w:val="center"/>
          </w:tcPr>
          <w:p w14:paraId="5E326F6E">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61.3</w:t>
            </w:r>
          </w:p>
        </w:tc>
        <w:tc>
          <w:tcPr>
            <w:tcW w:w="244" w:type="pct"/>
            <w:shd w:val="clear" w:color="auto" w:fill="auto"/>
            <w:noWrap/>
            <w:vAlign w:val="center"/>
          </w:tcPr>
          <w:p w14:paraId="6CAAF1D6">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59.2</w:t>
            </w:r>
          </w:p>
        </w:tc>
        <w:tc>
          <w:tcPr>
            <w:tcW w:w="244" w:type="pct"/>
            <w:shd w:val="clear" w:color="auto" w:fill="auto"/>
            <w:noWrap/>
            <w:vAlign w:val="center"/>
          </w:tcPr>
          <w:p w14:paraId="74C0678C">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57.7</w:t>
            </w:r>
          </w:p>
        </w:tc>
        <w:tc>
          <w:tcPr>
            <w:tcW w:w="244" w:type="pct"/>
            <w:shd w:val="clear" w:color="auto" w:fill="auto"/>
            <w:noWrap/>
            <w:vAlign w:val="center"/>
          </w:tcPr>
          <w:p w14:paraId="663459E0">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56.6</w:t>
            </w:r>
          </w:p>
        </w:tc>
        <w:tc>
          <w:tcPr>
            <w:tcW w:w="244" w:type="pct"/>
            <w:shd w:val="clear" w:color="auto" w:fill="auto"/>
            <w:noWrap/>
            <w:vAlign w:val="center"/>
          </w:tcPr>
          <w:p w14:paraId="7C9EC62A">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54.8</w:t>
            </w:r>
          </w:p>
        </w:tc>
        <w:tc>
          <w:tcPr>
            <w:tcW w:w="318" w:type="pct"/>
            <w:shd w:val="clear" w:color="auto" w:fill="auto"/>
            <w:noWrap/>
            <w:vAlign w:val="center"/>
          </w:tcPr>
          <w:p w14:paraId="33E84819">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53.4</w:t>
            </w:r>
          </w:p>
        </w:tc>
        <w:tc>
          <w:tcPr>
            <w:tcW w:w="318" w:type="pct"/>
            <w:shd w:val="clear" w:color="auto" w:fill="auto"/>
            <w:noWrap/>
            <w:vAlign w:val="center"/>
          </w:tcPr>
          <w:p w14:paraId="57E45B1A">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52.3</w:t>
            </w:r>
          </w:p>
        </w:tc>
        <w:tc>
          <w:tcPr>
            <w:tcW w:w="318" w:type="pct"/>
            <w:shd w:val="clear" w:color="auto" w:fill="auto"/>
            <w:noWrap/>
            <w:vAlign w:val="center"/>
          </w:tcPr>
          <w:p w14:paraId="25A5445B">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50.4</w:t>
            </w:r>
          </w:p>
        </w:tc>
        <w:tc>
          <w:tcPr>
            <w:tcW w:w="325" w:type="pct"/>
            <w:shd w:val="clear" w:color="auto" w:fill="auto"/>
            <w:noWrap/>
            <w:vAlign w:val="center"/>
          </w:tcPr>
          <w:p w14:paraId="423ED9D9">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48.8</w:t>
            </w:r>
          </w:p>
        </w:tc>
        <w:tc>
          <w:tcPr>
            <w:tcW w:w="293" w:type="pct"/>
            <w:shd w:val="clear" w:color="auto" w:fill="auto"/>
            <w:noWrap/>
            <w:vAlign w:val="center"/>
          </w:tcPr>
          <w:p w14:paraId="2157BF4A">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77.7</w:t>
            </w:r>
          </w:p>
        </w:tc>
        <w:tc>
          <w:tcPr>
            <w:tcW w:w="251" w:type="pct"/>
            <w:shd w:val="clear" w:color="auto" w:fill="auto"/>
            <w:noWrap/>
            <w:vAlign w:val="center"/>
          </w:tcPr>
          <w:p w14:paraId="7062FE50">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170.0</w:t>
            </w:r>
          </w:p>
        </w:tc>
      </w:tr>
      <w:tr w14:paraId="7BE5F466">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617" w:type="pct"/>
            <w:vMerge w:val="continue"/>
            <w:vAlign w:val="center"/>
          </w:tcPr>
          <w:p w14:paraId="113C0F37">
            <w:pPr>
              <w:widowControl/>
              <w:spacing w:line="240" w:lineRule="exact"/>
              <w:jc w:val="center"/>
              <w:rPr>
                <w:rFonts w:ascii="Times New Roman" w:hAnsi="Times New Roman" w:eastAsia="宋体" w:cs="Times New Roman"/>
                <w:kern w:val="0"/>
                <w:szCs w:val="21"/>
              </w:rPr>
            </w:pPr>
          </w:p>
        </w:tc>
        <w:tc>
          <w:tcPr>
            <w:tcW w:w="514" w:type="pct"/>
            <w:vMerge w:val="continue"/>
            <w:vAlign w:val="center"/>
          </w:tcPr>
          <w:p w14:paraId="7D4A26B2">
            <w:pPr>
              <w:widowControl/>
              <w:spacing w:line="240" w:lineRule="exact"/>
              <w:jc w:val="center"/>
              <w:rPr>
                <w:rFonts w:ascii="Times New Roman" w:hAnsi="Times New Roman" w:eastAsia="宋体" w:cs="Times New Roman"/>
                <w:kern w:val="0"/>
                <w:szCs w:val="21"/>
              </w:rPr>
            </w:pPr>
          </w:p>
        </w:tc>
        <w:tc>
          <w:tcPr>
            <w:tcW w:w="310" w:type="pct"/>
            <w:vMerge w:val="restart"/>
            <w:shd w:val="clear" w:color="auto" w:fill="auto"/>
            <w:noWrap/>
            <w:vAlign w:val="center"/>
          </w:tcPr>
          <w:p w14:paraId="72ECE46D">
            <w:pPr>
              <w:widowControl/>
              <w:spacing w:line="240" w:lineRule="exact"/>
              <w:jc w:val="center"/>
              <w:rPr>
                <w:rFonts w:ascii="Times New Roman" w:hAnsi="Times New Roman" w:eastAsia="宋体" w:cs="Times New Roman"/>
                <w:kern w:val="0"/>
                <w:szCs w:val="21"/>
              </w:rPr>
            </w:pPr>
            <w:r>
              <w:rPr>
                <w:rFonts w:ascii="Times New Roman" w:hAnsi="宋体" w:eastAsia="宋体" w:cs="Times New Roman"/>
                <w:kern w:val="0"/>
                <w:szCs w:val="21"/>
              </w:rPr>
              <w:t>远期</w:t>
            </w:r>
          </w:p>
        </w:tc>
        <w:tc>
          <w:tcPr>
            <w:tcW w:w="272" w:type="pct"/>
            <w:shd w:val="clear" w:color="auto" w:fill="auto"/>
            <w:noWrap/>
            <w:vAlign w:val="center"/>
          </w:tcPr>
          <w:p w14:paraId="0071746C">
            <w:pPr>
              <w:widowControl/>
              <w:spacing w:line="240" w:lineRule="exact"/>
              <w:jc w:val="center"/>
              <w:rPr>
                <w:rFonts w:ascii="Times New Roman" w:hAnsi="Times New Roman" w:eastAsia="宋体" w:cs="Times New Roman"/>
                <w:kern w:val="0"/>
                <w:szCs w:val="21"/>
              </w:rPr>
            </w:pPr>
            <w:r>
              <w:rPr>
                <w:rFonts w:ascii="Times New Roman" w:hAnsi="宋体" w:eastAsia="宋体" w:cs="Times New Roman"/>
                <w:kern w:val="0"/>
                <w:szCs w:val="21"/>
              </w:rPr>
              <w:t>昼间</w:t>
            </w:r>
          </w:p>
        </w:tc>
        <w:tc>
          <w:tcPr>
            <w:tcW w:w="244" w:type="pct"/>
            <w:shd w:val="clear" w:color="auto" w:fill="auto"/>
            <w:noWrap/>
            <w:vAlign w:val="center"/>
          </w:tcPr>
          <w:p w14:paraId="766FE178">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69.7</w:t>
            </w:r>
          </w:p>
        </w:tc>
        <w:tc>
          <w:tcPr>
            <w:tcW w:w="244" w:type="pct"/>
            <w:shd w:val="clear" w:color="auto" w:fill="auto"/>
            <w:noWrap/>
            <w:vAlign w:val="center"/>
          </w:tcPr>
          <w:p w14:paraId="2EF02B3C">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65.9</w:t>
            </w:r>
          </w:p>
        </w:tc>
        <w:tc>
          <w:tcPr>
            <w:tcW w:w="244" w:type="pct"/>
            <w:shd w:val="clear" w:color="auto" w:fill="auto"/>
            <w:noWrap/>
            <w:vAlign w:val="center"/>
          </w:tcPr>
          <w:p w14:paraId="4815F1FF">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63.8</w:t>
            </w:r>
          </w:p>
        </w:tc>
        <w:tc>
          <w:tcPr>
            <w:tcW w:w="244" w:type="pct"/>
            <w:shd w:val="clear" w:color="auto" w:fill="auto"/>
            <w:noWrap/>
            <w:vAlign w:val="center"/>
          </w:tcPr>
          <w:p w14:paraId="6DB2FA9D">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62.3</w:t>
            </w:r>
          </w:p>
        </w:tc>
        <w:tc>
          <w:tcPr>
            <w:tcW w:w="244" w:type="pct"/>
            <w:shd w:val="clear" w:color="auto" w:fill="auto"/>
            <w:noWrap/>
            <w:vAlign w:val="center"/>
          </w:tcPr>
          <w:p w14:paraId="6B9E00A8">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61.2</w:t>
            </w:r>
          </w:p>
        </w:tc>
        <w:tc>
          <w:tcPr>
            <w:tcW w:w="244" w:type="pct"/>
            <w:shd w:val="clear" w:color="auto" w:fill="auto"/>
            <w:noWrap/>
            <w:vAlign w:val="center"/>
          </w:tcPr>
          <w:p w14:paraId="792198CD">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59.4</w:t>
            </w:r>
          </w:p>
        </w:tc>
        <w:tc>
          <w:tcPr>
            <w:tcW w:w="318" w:type="pct"/>
            <w:shd w:val="clear" w:color="auto" w:fill="auto"/>
            <w:noWrap/>
            <w:vAlign w:val="center"/>
          </w:tcPr>
          <w:p w14:paraId="6B308077">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58.0</w:t>
            </w:r>
          </w:p>
        </w:tc>
        <w:tc>
          <w:tcPr>
            <w:tcW w:w="318" w:type="pct"/>
            <w:shd w:val="clear" w:color="auto" w:fill="auto"/>
            <w:noWrap/>
            <w:vAlign w:val="center"/>
          </w:tcPr>
          <w:p w14:paraId="62B67B25">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56.9</w:t>
            </w:r>
          </w:p>
        </w:tc>
        <w:tc>
          <w:tcPr>
            <w:tcW w:w="318" w:type="pct"/>
            <w:shd w:val="clear" w:color="auto" w:fill="auto"/>
            <w:noWrap/>
            <w:vAlign w:val="center"/>
          </w:tcPr>
          <w:p w14:paraId="67977461">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55.0</w:t>
            </w:r>
          </w:p>
        </w:tc>
        <w:tc>
          <w:tcPr>
            <w:tcW w:w="325" w:type="pct"/>
            <w:shd w:val="clear" w:color="auto" w:fill="auto"/>
            <w:noWrap/>
            <w:vAlign w:val="center"/>
          </w:tcPr>
          <w:p w14:paraId="3F81649B">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53.4</w:t>
            </w:r>
          </w:p>
        </w:tc>
        <w:tc>
          <w:tcPr>
            <w:tcW w:w="293" w:type="pct"/>
            <w:shd w:val="clear" w:color="auto" w:fill="auto"/>
            <w:noWrap/>
            <w:vAlign w:val="center"/>
          </w:tcPr>
          <w:p w14:paraId="6F19A9DE">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&lt; 20.0</w:t>
            </w:r>
          </w:p>
        </w:tc>
        <w:tc>
          <w:tcPr>
            <w:tcW w:w="251" w:type="pct"/>
            <w:shd w:val="clear" w:color="auto" w:fill="auto"/>
            <w:noWrap/>
            <w:vAlign w:val="center"/>
          </w:tcPr>
          <w:p w14:paraId="0B603704">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73.1</w:t>
            </w:r>
          </w:p>
        </w:tc>
      </w:tr>
      <w:tr w14:paraId="5D410AC0">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617" w:type="pct"/>
            <w:vMerge w:val="continue"/>
            <w:vAlign w:val="center"/>
          </w:tcPr>
          <w:p w14:paraId="479081D4">
            <w:pPr>
              <w:widowControl/>
              <w:spacing w:line="240" w:lineRule="exact"/>
              <w:jc w:val="center"/>
              <w:rPr>
                <w:rFonts w:ascii="Times New Roman" w:hAnsi="Times New Roman" w:eastAsia="宋体" w:cs="Times New Roman"/>
                <w:kern w:val="0"/>
                <w:szCs w:val="21"/>
              </w:rPr>
            </w:pPr>
          </w:p>
        </w:tc>
        <w:tc>
          <w:tcPr>
            <w:tcW w:w="514" w:type="pct"/>
            <w:vMerge w:val="continue"/>
            <w:vAlign w:val="center"/>
          </w:tcPr>
          <w:p w14:paraId="7E8AA1B4">
            <w:pPr>
              <w:widowControl/>
              <w:spacing w:line="240" w:lineRule="exact"/>
              <w:jc w:val="center"/>
              <w:rPr>
                <w:rFonts w:ascii="Times New Roman" w:hAnsi="Times New Roman" w:eastAsia="宋体" w:cs="Times New Roman"/>
                <w:kern w:val="0"/>
                <w:szCs w:val="21"/>
              </w:rPr>
            </w:pPr>
          </w:p>
        </w:tc>
        <w:tc>
          <w:tcPr>
            <w:tcW w:w="310" w:type="pct"/>
            <w:vMerge w:val="continue"/>
            <w:vAlign w:val="center"/>
          </w:tcPr>
          <w:p w14:paraId="4FD0368E">
            <w:pPr>
              <w:widowControl/>
              <w:spacing w:line="240" w:lineRule="exact"/>
              <w:jc w:val="center"/>
              <w:rPr>
                <w:rFonts w:ascii="Times New Roman" w:hAnsi="Times New Roman" w:eastAsia="宋体" w:cs="Times New Roman"/>
                <w:kern w:val="0"/>
                <w:szCs w:val="21"/>
              </w:rPr>
            </w:pPr>
          </w:p>
        </w:tc>
        <w:tc>
          <w:tcPr>
            <w:tcW w:w="272" w:type="pct"/>
            <w:shd w:val="clear" w:color="auto" w:fill="auto"/>
            <w:noWrap/>
            <w:vAlign w:val="center"/>
          </w:tcPr>
          <w:p w14:paraId="5752578B">
            <w:pPr>
              <w:widowControl/>
              <w:spacing w:line="240" w:lineRule="exact"/>
              <w:jc w:val="center"/>
              <w:rPr>
                <w:rFonts w:ascii="Times New Roman" w:hAnsi="Times New Roman" w:eastAsia="宋体" w:cs="Times New Roman"/>
                <w:kern w:val="0"/>
                <w:szCs w:val="21"/>
              </w:rPr>
            </w:pPr>
            <w:r>
              <w:rPr>
                <w:rFonts w:ascii="Times New Roman" w:hAnsi="宋体" w:eastAsia="宋体" w:cs="Times New Roman"/>
                <w:kern w:val="0"/>
                <w:szCs w:val="21"/>
              </w:rPr>
              <w:t>夜间</w:t>
            </w:r>
          </w:p>
        </w:tc>
        <w:tc>
          <w:tcPr>
            <w:tcW w:w="244" w:type="pct"/>
            <w:shd w:val="clear" w:color="auto" w:fill="auto"/>
            <w:noWrap/>
            <w:vAlign w:val="center"/>
          </w:tcPr>
          <w:p w14:paraId="3E491B5B">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65.8</w:t>
            </w:r>
          </w:p>
        </w:tc>
        <w:tc>
          <w:tcPr>
            <w:tcW w:w="244" w:type="pct"/>
            <w:shd w:val="clear" w:color="auto" w:fill="auto"/>
            <w:noWrap/>
            <w:vAlign w:val="center"/>
          </w:tcPr>
          <w:p w14:paraId="193576AF">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62.0</w:t>
            </w:r>
          </w:p>
        </w:tc>
        <w:tc>
          <w:tcPr>
            <w:tcW w:w="244" w:type="pct"/>
            <w:shd w:val="clear" w:color="auto" w:fill="auto"/>
            <w:noWrap/>
            <w:vAlign w:val="center"/>
          </w:tcPr>
          <w:p w14:paraId="082C59C2">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59.9</w:t>
            </w:r>
          </w:p>
        </w:tc>
        <w:tc>
          <w:tcPr>
            <w:tcW w:w="244" w:type="pct"/>
            <w:shd w:val="clear" w:color="auto" w:fill="auto"/>
            <w:noWrap/>
            <w:vAlign w:val="center"/>
          </w:tcPr>
          <w:p w14:paraId="77777477">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58.4</w:t>
            </w:r>
          </w:p>
        </w:tc>
        <w:tc>
          <w:tcPr>
            <w:tcW w:w="244" w:type="pct"/>
            <w:shd w:val="clear" w:color="auto" w:fill="auto"/>
            <w:noWrap/>
            <w:vAlign w:val="center"/>
          </w:tcPr>
          <w:p w14:paraId="416B5D88">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57.3</w:t>
            </w:r>
          </w:p>
        </w:tc>
        <w:tc>
          <w:tcPr>
            <w:tcW w:w="244" w:type="pct"/>
            <w:shd w:val="clear" w:color="auto" w:fill="auto"/>
            <w:noWrap/>
            <w:vAlign w:val="center"/>
          </w:tcPr>
          <w:p w14:paraId="101B0687">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55.5</w:t>
            </w:r>
          </w:p>
        </w:tc>
        <w:tc>
          <w:tcPr>
            <w:tcW w:w="318" w:type="pct"/>
            <w:shd w:val="clear" w:color="auto" w:fill="auto"/>
            <w:noWrap/>
            <w:vAlign w:val="center"/>
          </w:tcPr>
          <w:p w14:paraId="01FC68E1">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54.1</w:t>
            </w:r>
          </w:p>
        </w:tc>
        <w:tc>
          <w:tcPr>
            <w:tcW w:w="318" w:type="pct"/>
            <w:shd w:val="clear" w:color="auto" w:fill="auto"/>
            <w:noWrap/>
            <w:vAlign w:val="center"/>
          </w:tcPr>
          <w:p w14:paraId="01AEC02A">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53.0</w:t>
            </w:r>
          </w:p>
        </w:tc>
        <w:tc>
          <w:tcPr>
            <w:tcW w:w="318" w:type="pct"/>
            <w:shd w:val="clear" w:color="auto" w:fill="auto"/>
            <w:noWrap/>
            <w:vAlign w:val="center"/>
          </w:tcPr>
          <w:p w14:paraId="0F406A79">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51.1</w:t>
            </w:r>
          </w:p>
        </w:tc>
        <w:tc>
          <w:tcPr>
            <w:tcW w:w="325" w:type="pct"/>
            <w:shd w:val="clear" w:color="auto" w:fill="auto"/>
            <w:noWrap/>
            <w:vAlign w:val="center"/>
          </w:tcPr>
          <w:p w14:paraId="36E3C830">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49.5</w:t>
            </w:r>
          </w:p>
        </w:tc>
        <w:tc>
          <w:tcPr>
            <w:tcW w:w="293" w:type="pct"/>
            <w:shd w:val="clear" w:color="auto" w:fill="auto"/>
            <w:noWrap/>
            <w:vAlign w:val="center"/>
          </w:tcPr>
          <w:p w14:paraId="28D460A1">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87.5</w:t>
            </w:r>
          </w:p>
        </w:tc>
        <w:tc>
          <w:tcPr>
            <w:tcW w:w="251" w:type="pct"/>
            <w:shd w:val="clear" w:color="auto" w:fill="auto"/>
            <w:noWrap/>
            <w:vAlign w:val="center"/>
          </w:tcPr>
          <w:p w14:paraId="429845B2">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188.3</w:t>
            </w:r>
          </w:p>
        </w:tc>
      </w:tr>
    </w:tbl>
    <w:p w14:paraId="65F493B3">
      <w:pPr>
        <w:pStyle w:val="101"/>
        <w:spacing w:beforeLines="50" w:line="240" w:lineRule="auto"/>
        <w:ind w:firstLine="0" w:firstLineChars="0"/>
        <w:jc w:val="center"/>
        <w:rPr>
          <w:b/>
          <w:bCs/>
          <w:sz w:val="21"/>
          <w:szCs w:val="18"/>
        </w:rPr>
      </w:pPr>
      <w:r>
        <w:br w:type="page"/>
      </w:r>
      <w:r>
        <w:rPr>
          <w:b/>
          <w:bCs/>
          <w:sz w:val="21"/>
          <w:szCs w:val="18"/>
        </w:rPr>
        <w:t>续</w:t>
      </w:r>
      <w:r>
        <w:rPr>
          <w:rFonts w:hint="eastAsia"/>
          <w:b/>
          <w:bCs/>
          <w:sz w:val="21"/>
          <w:szCs w:val="18"/>
        </w:rPr>
        <w:t xml:space="preserve"> </w:t>
      </w:r>
      <w:r>
        <w:rPr>
          <w:b/>
          <w:bCs/>
          <w:sz w:val="21"/>
          <w:szCs w:val="18"/>
        </w:rPr>
        <w:t>表4.2-</w:t>
      </w:r>
      <w:r>
        <w:rPr>
          <w:rFonts w:hint="eastAsia"/>
          <w:b/>
          <w:bCs/>
          <w:sz w:val="21"/>
          <w:szCs w:val="18"/>
        </w:rPr>
        <w:t>6</w:t>
      </w:r>
      <w:r>
        <w:rPr>
          <w:b/>
          <w:bCs/>
          <w:sz w:val="21"/>
          <w:szCs w:val="18"/>
        </w:rPr>
        <w:t xml:space="preserve">  拟建</w:t>
      </w:r>
      <w:r>
        <w:rPr>
          <w:rFonts w:hint="eastAsia"/>
          <w:b/>
          <w:bCs/>
          <w:sz w:val="21"/>
          <w:szCs w:val="18"/>
        </w:rPr>
        <w:t>公路</w:t>
      </w:r>
      <w:r>
        <w:rPr>
          <w:b/>
          <w:bCs/>
          <w:sz w:val="21"/>
          <w:szCs w:val="18"/>
        </w:rPr>
        <w:t>营运期交通噪声预测结果</w:t>
      </w:r>
    </w:p>
    <w:tbl>
      <w:tblPr>
        <w:tblStyle w:val="22"/>
        <w:tblW w:w="5000" w:type="pct"/>
        <w:tblInd w:w="0" w:type="dxa"/>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748"/>
        <w:gridCol w:w="1457"/>
        <w:gridCol w:w="879"/>
        <w:gridCol w:w="771"/>
        <w:gridCol w:w="692"/>
        <w:gridCol w:w="692"/>
        <w:gridCol w:w="692"/>
        <w:gridCol w:w="692"/>
        <w:gridCol w:w="692"/>
        <w:gridCol w:w="692"/>
        <w:gridCol w:w="901"/>
        <w:gridCol w:w="901"/>
        <w:gridCol w:w="901"/>
        <w:gridCol w:w="921"/>
        <w:gridCol w:w="831"/>
        <w:gridCol w:w="712"/>
      </w:tblGrid>
      <w:tr w14:paraId="0CB93C44">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1131" w:type="pct"/>
            <w:gridSpan w:val="2"/>
            <w:vMerge w:val="restart"/>
            <w:shd w:val="clear" w:color="auto" w:fill="auto"/>
            <w:noWrap/>
            <w:vAlign w:val="center"/>
          </w:tcPr>
          <w:p w14:paraId="1AA9FA46">
            <w:pPr>
              <w:widowControl/>
              <w:spacing w:line="240" w:lineRule="exact"/>
              <w:jc w:val="center"/>
              <w:rPr>
                <w:rFonts w:ascii="Times New Roman" w:hAnsi="Times New Roman" w:eastAsia="宋体" w:cs="Times New Roman"/>
                <w:b/>
                <w:kern w:val="0"/>
                <w:szCs w:val="21"/>
              </w:rPr>
            </w:pPr>
            <w:r>
              <w:rPr>
                <w:rFonts w:ascii="Times New Roman" w:hAnsi="宋体" w:eastAsia="宋体" w:cs="Times New Roman"/>
                <w:b/>
                <w:kern w:val="0"/>
                <w:szCs w:val="21"/>
              </w:rPr>
              <w:t>路段</w:t>
            </w:r>
          </w:p>
        </w:tc>
        <w:tc>
          <w:tcPr>
            <w:tcW w:w="310" w:type="pct"/>
            <w:vMerge w:val="restart"/>
            <w:shd w:val="clear" w:color="auto" w:fill="auto"/>
            <w:noWrap/>
            <w:vAlign w:val="center"/>
          </w:tcPr>
          <w:p w14:paraId="4F08C202">
            <w:pPr>
              <w:widowControl/>
              <w:spacing w:line="240" w:lineRule="exact"/>
              <w:jc w:val="center"/>
              <w:rPr>
                <w:rFonts w:ascii="Times New Roman" w:hAnsi="Times New Roman" w:eastAsia="宋体" w:cs="Times New Roman"/>
                <w:b/>
                <w:kern w:val="0"/>
                <w:szCs w:val="21"/>
              </w:rPr>
            </w:pPr>
            <w:r>
              <w:rPr>
                <w:rFonts w:ascii="Times New Roman" w:hAnsi="宋体" w:eastAsia="宋体" w:cs="Times New Roman"/>
                <w:b/>
                <w:kern w:val="0"/>
                <w:szCs w:val="21"/>
              </w:rPr>
              <w:t>评价年</w:t>
            </w:r>
          </w:p>
        </w:tc>
        <w:tc>
          <w:tcPr>
            <w:tcW w:w="272" w:type="pct"/>
            <w:vMerge w:val="restart"/>
            <w:shd w:val="clear" w:color="auto" w:fill="auto"/>
            <w:noWrap/>
            <w:vAlign w:val="center"/>
          </w:tcPr>
          <w:p w14:paraId="69DE1A32">
            <w:pPr>
              <w:widowControl/>
              <w:spacing w:line="240" w:lineRule="exact"/>
              <w:jc w:val="center"/>
              <w:rPr>
                <w:rFonts w:ascii="Times New Roman" w:hAnsi="Times New Roman" w:eastAsia="宋体" w:cs="Times New Roman"/>
                <w:b/>
                <w:kern w:val="0"/>
                <w:szCs w:val="21"/>
              </w:rPr>
            </w:pPr>
            <w:r>
              <w:rPr>
                <w:rFonts w:ascii="Times New Roman" w:hAnsi="宋体" w:eastAsia="宋体" w:cs="Times New Roman"/>
                <w:b/>
                <w:kern w:val="0"/>
                <w:szCs w:val="21"/>
              </w:rPr>
              <w:t>时段</w:t>
            </w:r>
          </w:p>
        </w:tc>
        <w:tc>
          <w:tcPr>
            <w:tcW w:w="2743" w:type="pct"/>
            <w:gridSpan w:val="10"/>
            <w:shd w:val="clear" w:color="auto" w:fill="auto"/>
            <w:noWrap/>
            <w:vAlign w:val="center"/>
          </w:tcPr>
          <w:p w14:paraId="118FF010">
            <w:pPr>
              <w:widowControl/>
              <w:spacing w:line="240" w:lineRule="exact"/>
              <w:jc w:val="center"/>
              <w:rPr>
                <w:rFonts w:ascii="Times New Roman" w:hAnsi="Times New Roman" w:eastAsia="宋体" w:cs="Times New Roman"/>
                <w:b/>
                <w:kern w:val="0"/>
                <w:szCs w:val="21"/>
              </w:rPr>
            </w:pPr>
            <w:r>
              <w:rPr>
                <w:rFonts w:ascii="Times New Roman" w:hAnsi="宋体" w:eastAsia="宋体" w:cs="Times New Roman"/>
                <w:b/>
                <w:kern w:val="0"/>
                <w:szCs w:val="21"/>
              </w:rPr>
              <w:t>路中心线外不同水平距离下的交通噪声预测值（</w:t>
            </w:r>
            <w:r>
              <w:rPr>
                <w:rFonts w:ascii="Times New Roman" w:hAnsi="Times New Roman" w:eastAsia="宋体" w:cs="Times New Roman"/>
                <w:b/>
                <w:kern w:val="0"/>
                <w:szCs w:val="21"/>
              </w:rPr>
              <w:t>dB</w:t>
            </w:r>
            <w:r>
              <w:rPr>
                <w:rFonts w:ascii="Times New Roman" w:hAnsi="宋体" w:eastAsia="宋体" w:cs="Times New Roman"/>
                <w:b/>
                <w:kern w:val="0"/>
                <w:szCs w:val="21"/>
              </w:rPr>
              <w:t>）</w:t>
            </w:r>
          </w:p>
        </w:tc>
        <w:tc>
          <w:tcPr>
            <w:tcW w:w="544" w:type="pct"/>
            <w:gridSpan w:val="2"/>
            <w:shd w:val="clear" w:color="auto" w:fill="auto"/>
            <w:noWrap/>
            <w:vAlign w:val="center"/>
          </w:tcPr>
          <w:p w14:paraId="730696C9">
            <w:pPr>
              <w:widowControl/>
              <w:spacing w:line="240" w:lineRule="exact"/>
              <w:jc w:val="center"/>
              <w:rPr>
                <w:rFonts w:ascii="Times New Roman" w:hAnsi="Times New Roman" w:eastAsia="宋体" w:cs="Times New Roman"/>
                <w:b/>
                <w:kern w:val="0"/>
                <w:szCs w:val="21"/>
              </w:rPr>
            </w:pPr>
            <w:r>
              <w:rPr>
                <w:rFonts w:ascii="Times New Roman" w:hAnsi="宋体" w:eastAsia="宋体" w:cs="Times New Roman"/>
                <w:b/>
                <w:kern w:val="0"/>
                <w:szCs w:val="21"/>
              </w:rPr>
              <w:t>达标距离</w:t>
            </w:r>
            <w:r>
              <w:rPr>
                <w:rFonts w:ascii="Times New Roman" w:hAnsi="Times New Roman" w:eastAsia="宋体" w:cs="Times New Roman"/>
                <w:b/>
                <w:kern w:val="0"/>
                <w:szCs w:val="21"/>
              </w:rPr>
              <w:t>(m)</w:t>
            </w:r>
          </w:p>
        </w:tc>
      </w:tr>
      <w:tr w14:paraId="65B648CB">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1131" w:type="pct"/>
            <w:gridSpan w:val="2"/>
            <w:vMerge w:val="continue"/>
            <w:vAlign w:val="center"/>
          </w:tcPr>
          <w:p w14:paraId="12027F21">
            <w:pPr>
              <w:widowControl/>
              <w:spacing w:line="240" w:lineRule="exact"/>
              <w:jc w:val="center"/>
              <w:rPr>
                <w:rFonts w:ascii="Times New Roman" w:hAnsi="Times New Roman" w:eastAsia="宋体" w:cs="Times New Roman"/>
                <w:b/>
                <w:kern w:val="0"/>
                <w:szCs w:val="21"/>
              </w:rPr>
            </w:pPr>
          </w:p>
        </w:tc>
        <w:tc>
          <w:tcPr>
            <w:tcW w:w="310" w:type="pct"/>
            <w:vMerge w:val="continue"/>
            <w:vAlign w:val="center"/>
          </w:tcPr>
          <w:p w14:paraId="0E57364D">
            <w:pPr>
              <w:widowControl/>
              <w:spacing w:line="240" w:lineRule="exact"/>
              <w:jc w:val="center"/>
              <w:rPr>
                <w:rFonts w:ascii="Times New Roman" w:hAnsi="Times New Roman" w:eastAsia="宋体" w:cs="Times New Roman"/>
                <w:b/>
                <w:kern w:val="0"/>
                <w:szCs w:val="21"/>
              </w:rPr>
            </w:pPr>
          </w:p>
        </w:tc>
        <w:tc>
          <w:tcPr>
            <w:tcW w:w="272" w:type="pct"/>
            <w:vMerge w:val="continue"/>
            <w:vAlign w:val="center"/>
          </w:tcPr>
          <w:p w14:paraId="792D2BE5">
            <w:pPr>
              <w:widowControl/>
              <w:spacing w:line="240" w:lineRule="exact"/>
              <w:jc w:val="center"/>
              <w:rPr>
                <w:rFonts w:ascii="Times New Roman" w:hAnsi="Times New Roman" w:eastAsia="宋体" w:cs="Times New Roman"/>
                <w:b/>
                <w:kern w:val="0"/>
                <w:szCs w:val="21"/>
              </w:rPr>
            </w:pPr>
          </w:p>
        </w:tc>
        <w:tc>
          <w:tcPr>
            <w:tcW w:w="244" w:type="pct"/>
            <w:shd w:val="clear" w:color="auto" w:fill="auto"/>
            <w:noWrap/>
            <w:vAlign w:val="center"/>
          </w:tcPr>
          <w:p w14:paraId="0908553C">
            <w:pPr>
              <w:widowControl/>
              <w:spacing w:line="240" w:lineRule="exact"/>
              <w:jc w:val="center"/>
              <w:rPr>
                <w:rFonts w:ascii="Times New Roman" w:hAnsi="Times New Roman" w:eastAsia="宋体" w:cs="Times New Roman"/>
                <w:b/>
                <w:kern w:val="0"/>
                <w:szCs w:val="21"/>
              </w:rPr>
            </w:pPr>
            <w:r>
              <w:rPr>
                <w:rFonts w:ascii="Times New Roman" w:hAnsi="Times New Roman" w:eastAsia="宋体" w:cs="Times New Roman"/>
                <w:b/>
                <w:kern w:val="0"/>
                <w:szCs w:val="21"/>
              </w:rPr>
              <w:t>20m</w:t>
            </w:r>
          </w:p>
        </w:tc>
        <w:tc>
          <w:tcPr>
            <w:tcW w:w="244" w:type="pct"/>
            <w:shd w:val="clear" w:color="auto" w:fill="auto"/>
            <w:noWrap/>
            <w:vAlign w:val="center"/>
          </w:tcPr>
          <w:p w14:paraId="130F5BA6">
            <w:pPr>
              <w:widowControl/>
              <w:spacing w:line="240" w:lineRule="exact"/>
              <w:jc w:val="center"/>
              <w:rPr>
                <w:rFonts w:ascii="Times New Roman" w:hAnsi="Times New Roman" w:eastAsia="宋体" w:cs="Times New Roman"/>
                <w:b/>
                <w:kern w:val="0"/>
                <w:szCs w:val="21"/>
              </w:rPr>
            </w:pPr>
            <w:r>
              <w:rPr>
                <w:rFonts w:ascii="Times New Roman" w:hAnsi="Times New Roman" w:eastAsia="宋体" w:cs="Times New Roman"/>
                <w:b/>
                <w:kern w:val="0"/>
                <w:szCs w:val="21"/>
              </w:rPr>
              <w:t>30m</w:t>
            </w:r>
          </w:p>
        </w:tc>
        <w:tc>
          <w:tcPr>
            <w:tcW w:w="244" w:type="pct"/>
            <w:shd w:val="clear" w:color="auto" w:fill="auto"/>
            <w:noWrap/>
            <w:vAlign w:val="center"/>
          </w:tcPr>
          <w:p w14:paraId="2DD93E29">
            <w:pPr>
              <w:widowControl/>
              <w:spacing w:line="240" w:lineRule="exact"/>
              <w:jc w:val="center"/>
              <w:rPr>
                <w:rFonts w:ascii="Times New Roman" w:hAnsi="Times New Roman" w:eastAsia="宋体" w:cs="Times New Roman"/>
                <w:b/>
                <w:kern w:val="0"/>
                <w:szCs w:val="21"/>
              </w:rPr>
            </w:pPr>
            <w:r>
              <w:rPr>
                <w:rFonts w:ascii="Times New Roman" w:hAnsi="Times New Roman" w:eastAsia="宋体" w:cs="Times New Roman"/>
                <w:b/>
                <w:kern w:val="0"/>
                <w:szCs w:val="21"/>
              </w:rPr>
              <w:t>40m</w:t>
            </w:r>
          </w:p>
        </w:tc>
        <w:tc>
          <w:tcPr>
            <w:tcW w:w="244" w:type="pct"/>
            <w:shd w:val="clear" w:color="auto" w:fill="auto"/>
            <w:noWrap/>
            <w:vAlign w:val="center"/>
          </w:tcPr>
          <w:p w14:paraId="40B3A14E">
            <w:pPr>
              <w:widowControl/>
              <w:spacing w:line="240" w:lineRule="exact"/>
              <w:jc w:val="center"/>
              <w:rPr>
                <w:rFonts w:ascii="Times New Roman" w:hAnsi="Times New Roman" w:eastAsia="宋体" w:cs="Times New Roman"/>
                <w:b/>
                <w:kern w:val="0"/>
                <w:szCs w:val="21"/>
              </w:rPr>
            </w:pPr>
            <w:r>
              <w:rPr>
                <w:rFonts w:ascii="Times New Roman" w:hAnsi="Times New Roman" w:eastAsia="宋体" w:cs="Times New Roman"/>
                <w:b/>
                <w:kern w:val="0"/>
                <w:szCs w:val="21"/>
              </w:rPr>
              <w:t>50m</w:t>
            </w:r>
          </w:p>
        </w:tc>
        <w:tc>
          <w:tcPr>
            <w:tcW w:w="244" w:type="pct"/>
            <w:shd w:val="clear" w:color="auto" w:fill="auto"/>
            <w:noWrap/>
            <w:vAlign w:val="center"/>
          </w:tcPr>
          <w:p w14:paraId="3C61B2A8">
            <w:pPr>
              <w:widowControl/>
              <w:spacing w:line="240" w:lineRule="exact"/>
              <w:jc w:val="center"/>
              <w:rPr>
                <w:rFonts w:ascii="Times New Roman" w:hAnsi="Times New Roman" w:eastAsia="宋体" w:cs="Times New Roman"/>
                <w:b/>
                <w:kern w:val="0"/>
                <w:szCs w:val="21"/>
              </w:rPr>
            </w:pPr>
            <w:r>
              <w:rPr>
                <w:rFonts w:ascii="Times New Roman" w:hAnsi="Times New Roman" w:eastAsia="宋体" w:cs="Times New Roman"/>
                <w:b/>
                <w:kern w:val="0"/>
                <w:szCs w:val="21"/>
              </w:rPr>
              <w:t>60m</w:t>
            </w:r>
          </w:p>
        </w:tc>
        <w:tc>
          <w:tcPr>
            <w:tcW w:w="244" w:type="pct"/>
            <w:shd w:val="clear" w:color="auto" w:fill="auto"/>
            <w:noWrap/>
            <w:vAlign w:val="center"/>
          </w:tcPr>
          <w:p w14:paraId="025DA9FE">
            <w:pPr>
              <w:widowControl/>
              <w:spacing w:line="240" w:lineRule="exact"/>
              <w:jc w:val="center"/>
              <w:rPr>
                <w:rFonts w:ascii="Times New Roman" w:hAnsi="Times New Roman" w:eastAsia="宋体" w:cs="Times New Roman"/>
                <w:b/>
                <w:kern w:val="0"/>
                <w:szCs w:val="21"/>
              </w:rPr>
            </w:pPr>
            <w:r>
              <w:rPr>
                <w:rFonts w:ascii="Times New Roman" w:hAnsi="Times New Roman" w:eastAsia="宋体" w:cs="Times New Roman"/>
                <w:b/>
                <w:kern w:val="0"/>
                <w:szCs w:val="21"/>
              </w:rPr>
              <w:t>80m</w:t>
            </w:r>
          </w:p>
        </w:tc>
        <w:tc>
          <w:tcPr>
            <w:tcW w:w="318" w:type="pct"/>
            <w:shd w:val="clear" w:color="auto" w:fill="auto"/>
            <w:noWrap/>
            <w:vAlign w:val="center"/>
          </w:tcPr>
          <w:p w14:paraId="540B5827">
            <w:pPr>
              <w:widowControl/>
              <w:spacing w:line="240" w:lineRule="exact"/>
              <w:jc w:val="center"/>
              <w:rPr>
                <w:rFonts w:ascii="Times New Roman" w:hAnsi="Times New Roman" w:eastAsia="宋体" w:cs="Times New Roman"/>
                <w:b/>
                <w:kern w:val="0"/>
                <w:szCs w:val="21"/>
              </w:rPr>
            </w:pPr>
            <w:r>
              <w:rPr>
                <w:rFonts w:ascii="Times New Roman" w:hAnsi="Times New Roman" w:eastAsia="宋体" w:cs="Times New Roman"/>
                <w:b/>
                <w:kern w:val="0"/>
                <w:szCs w:val="21"/>
              </w:rPr>
              <w:t>100m</w:t>
            </w:r>
          </w:p>
        </w:tc>
        <w:tc>
          <w:tcPr>
            <w:tcW w:w="318" w:type="pct"/>
            <w:shd w:val="clear" w:color="auto" w:fill="auto"/>
            <w:noWrap/>
            <w:vAlign w:val="center"/>
          </w:tcPr>
          <w:p w14:paraId="5A9BBF06">
            <w:pPr>
              <w:widowControl/>
              <w:spacing w:line="240" w:lineRule="exact"/>
              <w:jc w:val="center"/>
              <w:rPr>
                <w:rFonts w:ascii="Times New Roman" w:hAnsi="Times New Roman" w:eastAsia="宋体" w:cs="Times New Roman"/>
                <w:b/>
                <w:kern w:val="0"/>
                <w:szCs w:val="21"/>
              </w:rPr>
            </w:pPr>
            <w:r>
              <w:rPr>
                <w:rFonts w:ascii="Times New Roman" w:hAnsi="Times New Roman" w:eastAsia="宋体" w:cs="Times New Roman"/>
                <w:b/>
                <w:kern w:val="0"/>
                <w:szCs w:val="21"/>
              </w:rPr>
              <w:t>120m</w:t>
            </w:r>
          </w:p>
        </w:tc>
        <w:tc>
          <w:tcPr>
            <w:tcW w:w="318" w:type="pct"/>
            <w:shd w:val="clear" w:color="auto" w:fill="auto"/>
            <w:noWrap/>
            <w:vAlign w:val="center"/>
          </w:tcPr>
          <w:p w14:paraId="5B863A8F">
            <w:pPr>
              <w:widowControl/>
              <w:spacing w:line="240" w:lineRule="exact"/>
              <w:jc w:val="center"/>
              <w:rPr>
                <w:rFonts w:ascii="Times New Roman" w:hAnsi="Times New Roman" w:eastAsia="宋体" w:cs="Times New Roman"/>
                <w:b/>
                <w:kern w:val="0"/>
                <w:szCs w:val="21"/>
              </w:rPr>
            </w:pPr>
            <w:r>
              <w:rPr>
                <w:rFonts w:ascii="Times New Roman" w:hAnsi="Times New Roman" w:eastAsia="宋体" w:cs="Times New Roman"/>
                <w:b/>
                <w:kern w:val="0"/>
                <w:szCs w:val="21"/>
              </w:rPr>
              <w:t>160m</w:t>
            </w:r>
          </w:p>
        </w:tc>
        <w:tc>
          <w:tcPr>
            <w:tcW w:w="325" w:type="pct"/>
            <w:shd w:val="clear" w:color="auto" w:fill="auto"/>
            <w:noWrap/>
            <w:vAlign w:val="center"/>
          </w:tcPr>
          <w:p w14:paraId="20616984">
            <w:pPr>
              <w:widowControl/>
              <w:spacing w:line="240" w:lineRule="exact"/>
              <w:jc w:val="center"/>
              <w:rPr>
                <w:rFonts w:ascii="Times New Roman" w:hAnsi="Times New Roman" w:eastAsia="宋体" w:cs="Times New Roman"/>
                <w:b/>
                <w:kern w:val="0"/>
                <w:szCs w:val="21"/>
              </w:rPr>
            </w:pPr>
            <w:r>
              <w:rPr>
                <w:rFonts w:ascii="Times New Roman" w:hAnsi="Times New Roman" w:eastAsia="宋体" w:cs="Times New Roman"/>
                <w:b/>
                <w:kern w:val="0"/>
                <w:szCs w:val="21"/>
              </w:rPr>
              <w:t>200m</w:t>
            </w:r>
          </w:p>
        </w:tc>
        <w:tc>
          <w:tcPr>
            <w:tcW w:w="293" w:type="pct"/>
            <w:shd w:val="clear" w:color="auto" w:fill="auto"/>
            <w:noWrap/>
            <w:vAlign w:val="center"/>
          </w:tcPr>
          <w:p w14:paraId="37523866">
            <w:pPr>
              <w:widowControl/>
              <w:spacing w:line="240" w:lineRule="exact"/>
              <w:jc w:val="center"/>
              <w:rPr>
                <w:rFonts w:ascii="Times New Roman" w:hAnsi="Times New Roman" w:eastAsia="宋体" w:cs="Times New Roman"/>
                <w:b/>
                <w:kern w:val="0"/>
                <w:szCs w:val="21"/>
              </w:rPr>
            </w:pPr>
            <w:r>
              <w:rPr>
                <w:rFonts w:ascii="Times New Roman" w:hAnsi="Times New Roman" w:eastAsia="宋体" w:cs="Times New Roman"/>
                <w:b/>
                <w:kern w:val="0"/>
                <w:szCs w:val="21"/>
              </w:rPr>
              <w:t>4a</w:t>
            </w:r>
            <w:r>
              <w:rPr>
                <w:rFonts w:ascii="Times New Roman" w:hAnsi="宋体" w:eastAsia="宋体" w:cs="Times New Roman"/>
                <w:b/>
                <w:kern w:val="0"/>
                <w:szCs w:val="21"/>
              </w:rPr>
              <w:t>类</w:t>
            </w:r>
          </w:p>
        </w:tc>
        <w:tc>
          <w:tcPr>
            <w:tcW w:w="251" w:type="pct"/>
            <w:shd w:val="clear" w:color="auto" w:fill="auto"/>
            <w:noWrap/>
            <w:vAlign w:val="center"/>
          </w:tcPr>
          <w:p w14:paraId="33434876">
            <w:pPr>
              <w:widowControl/>
              <w:spacing w:line="240" w:lineRule="exact"/>
              <w:jc w:val="center"/>
              <w:rPr>
                <w:rFonts w:ascii="Times New Roman" w:hAnsi="Times New Roman" w:eastAsia="宋体" w:cs="Times New Roman"/>
                <w:b/>
                <w:kern w:val="0"/>
                <w:szCs w:val="21"/>
              </w:rPr>
            </w:pPr>
            <w:r>
              <w:rPr>
                <w:rFonts w:ascii="Times New Roman" w:hAnsi="Times New Roman" w:eastAsia="宋体" w:cs="Times New Roman"/>
                <w:b/>
                <w:kern w:val="0"/>
                <w:szCs w:val="21"/>
              </w:rPr>
              <w:t>2</w:t>
            </w:r>
            <w:r>
              <w:rPr>
                <w:rFonts w:ascii="Times New Roman" w:hAnsi="宋体" w:eastAsia="宋体" w:cs="Times New Roman"/>
                <w:b/>
                <w:kern w:val="0"/>
                <w:szCs w:val="21"/>
              </w:rPr>
              <w:t>类</w:t>
            </w:r>
          </w:p>
        </w:tc>
      </w:tr>
      <w:tr w14:paraId="3AD430F1">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617" w:type="pct"/>
            <w:vMerge w:val="restart"/>
            <w:shd w:val="clear" w:color="auto" w:fill="auto"/>
            <w:noWrap/>
            <w:vAlign w:val="center"/>
          </w:tcPr>
          <w:p w14:paraId="72B6AD9C">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S311</w:t>
            </w:r>
            <w:r>
              <w:rPr>
                <w:rFonts w:ascii="Times New Roman" w:hAnsi="宋体" w:eastAsia="宋体" w:cs="Times New Roman"/>
                <w:kern w:val="0"/>
                <w:szCs w:val="21"/>
              </w:rPr>
              <w:t>～高速口</w:t>
            </w:r>
          </w:p>
        </w:tc>
        <w:tc>
          <w:tcPr>
            <w:tcW w:w="514" w:type="pct"/>
            <w:vMerge w:val="restart"/>
            <w:shd w:val="clear" w:color="auto" w:fill="auto"/>
            <w:vAlign w:val="center"/>
          </w:tcPr>
          <w:p w14:paraId="5FA43A38">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szCs w:val="21"/>
              </w:rPr>
              <w:t>设计车速</w:t>
            </w:r>
            <w:r>
              <w:rPr>
                <w:rFonts w:hint="eastAsia" w:ascii="Times New Roman" w:hAnsi="Times New Roman" w:eastAsia="宋体" w:cs="Times New Roman"/>
                <w:szCs w:val="21"/>
              </w:rPr>
              <w:t>8</w:t>
            </w:r>
            <w:r>
              <w:rPr>
                <w:rFonts w:ascii="Times New Roman" w:hAnsi="Times New Roman" w:eastAsia="宋体" w:cs="Times New Roman"/>
                <w:szCs w:val="21"/>
              </w:rPr>
              <w:t>0km/h，路基宽度</w:t>
            </w:r>
            <w:r>
              <w:rPr>
                <w:rFonts w:hint="eastAsia" w:ascii="Times New Roman" w:hAnsi="Times New Roman" w:eastAsia="宋体" w:cs="Times New Roman"/>
                <w:szCs w:val="21"/>
              </w:rPr>
              <w:t>25.5</w:t>
            </w:r>
            <w:r>
              <w:rPr>
                <w:rFonts w:ascii="Times New Roman" w:hAnsi="Times New Roman" w:eastAsia="宋体" w:cs="Times New Roman"/>
                <w:szCs w:val="21"/>
              </w:rPr>
              <w:t>m</w:t>
            </w:r>
          </w:p>
        </w:tc>
        <w:tc>
          <w:tcPr>
            <w:tcW w:w="310" w:type="pct"/>
            <w:vMerge w:val="restart"/>
            <w:shd w:val="clear" w:color="auto" w:fill="auto"/>
            <w:noWrap/>
            <w:vAlign w:val="center"/>
          </w:tcPr>
          <w:p w14:paraId="4F0AC27D">
            <w:pPr>
              <w:widowControl/>
              <w:spacing w:line="240" w:lineRule="exact"/>
              <w:jc w:val="center"/>
              <w:rPr>
                <w:rFonts w:ascii="Times New Roman" w:hAnsi="Times New Roman" w:eastAsia="宋体" w:cs="Times New Roman"/>
                <w:kern w:val="0"/>
                <w:szCs w:val="21"/>
              </w:rPr>
            </w:pPr>
            <w:r>
              <w:rPr>
                <w:rFonts w:ascii="Times New Roman" w:hAnsi="宋体" w:eastAsia="宋体" w:cs="Times New Roman"/>
                <w:kern w:val="0"/>
                <w:szCs w:val="21"/>
              </w:rPr>
              <w:t>近期</w:t>
            </w:r>
          </w:p>
        </w:tc>
        <w:tc>
          <w:tcPr>
            <w:tcW w:w="272" w:type="pct"/>
            <w:shd w:val="clear" w:color="auto" w:fill="auto"/>
            <w:noWrap/>
            <w:vAlign w:val="center"/>
          </w:tcPr>
          <w:p w14:paraId="24E0E9FD">
            <w:pPr>
              <w:widowControl/>
              <w:spacing w:line="240" w:lineRule="exact"/>
              <w:jc w:val="center"/>
              <w:rPr>
                <w:rFonts w:ascii="Times New Roman" w:hAnsi="Times New Roman" w:eastAsia="宋体" w:cs="Times New Roman"/>
                <w:kern w:val="0"/>
                <w:szCs w:val="21"/>
              </w:rPr>
            </w:pPr>
            <w:r>
              <w:rPr>
                <w:rFonts w:ascii="Times New Roman" w:hAnsi="宋体" w:eastAsia="宋体" w:cs="Times New Roman"/>
                <w:kern w:val="0"/>
                <w:szCs w:val="21"/>
              </w:rPr>
              <w:t>昼间</w:t>
            </w:r>
          </w:p>
        </w:tc>
        <w:tc>
          <w:tcPr>
            <w:tcW w:w="244" w:type="pct"/>
            <w:shd w:val="clear" w:color="auto" w:fill="auto"/>
            <w:noWrap/>
            <w:vAlign w:val="center"/>
          </w:tcPr>
          <w:p w14:paraId="7F5192DD">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67.9</w:t>
            </w:r>
          </w:p>
        </w:tc>
        <w:tc>
          <w:tcPr>
            <w:tcW w:w="244" w:type="pct"/>
            <w:shd w:val="clear" w:color="auto" w:fill="auto"/>
            <w:noWrap/>
            <w:vAlign w:val="center"/>
          </w:tcPr>
          <w:p w14:paraId="0D7A62BA">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64.1</w:t>
            </w:r>
          </w:p>
        </w:tc>
        <w:tc>
          <w:tcPr>
            <w:tcW w:w="244" w:type="pct"/>
            <w:shd w:val="clear" w:color="auto" w:fill="auto"/>
            <w:noWrap/>
            <w:vAlign w:val="center"/>
          </w:tcPr>
          <w:p w14:paraId="22AFFB60">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62.0</w:t>
            </w:r>
          </w:p>
        </w:tc>
        <w:tc>
          <w:tcPr>
            <w:tcW w:w="244" w:type="pct"/>
            <w:shd w:val="clear" w:color="auto" w:fill="auto"/>
            <w:noWrap/>
            <w:vAlign w:val="center"/>
          </w:tcPr>
          <w:p w14:paraId="4DEF433C">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60.5</w:t>
            </w:r>
          </w:p>
        </w:tc>
        <w:tc>
          <w:tcPr>
            <w:tcW w:w="244" w:type="pct"/>
            <w:shd w:val="clear" w:color="auto" w:fill="auto"/>
            <w:noWrap/>
            <w:vAlign w:val="center"/>
          </w:tcPr>
          <w:p w14:paraId="303E6CC6">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59.4</w:t>
            </w:r>
          </w:p>
        </w:tc>
        <w:tc>
          <w:tcPr>
            <w:tcW w:w="244" w:type="pct"/>
            <w:shd w:val="clear" w:color="auto" w:fill="auto"/>
            <w:noWrap/>
            <w:vAlign w:val="center"/>
          </w:tcPr>
          <w:p w14:paraId="2B22A412">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57.6</w:t>
            </w:r>
          </w:p>
        </w:tc>
        <w:tc>
          <w:tcPr>
            <w:tcW w:w="318" w:type="pct"/>
            <w:shd w:val="clear" w:color="auto" w:fill="auto"/>
            <w:noWrap/>
            <w:vAlign w:val="center"/>
          </w:tcPr>
          <w:p w14:paraId="2FEAF4D0">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56.3</w:t>
            </w:r>
          </w:p>
        </w:tc>
        <w:tc>
          <w:tcPr>
            <w:tcW w:w="318" w:type="pct"/>
            <w:shd w:val="clear" w:color="auto" w:fill="auto"/>
            <w:noWrap/>
            <w:vAlign w:val="center"/>
          </w:tcPr>
          <w:p w14:paraId="2252CB2F">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55.1</w:t>
            </w:r>
          </w:p>
        </w:tc>
        <w:tc>
          <w:tcPr>
            <w:tcW w:w="318" w:type="pct"/>
            <w:shd w:val="clear" w:color="auto" w:fill="auto"/>
            <w:noWrap/>
            <w:vAlign w:val="center"/>
          </w:tcPr>
          <w:p w14:paraId="502CEB0B">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53.2</w:t>
            </w:r>
          </w:p>
        </w:tc>
        <w:tc>
          <w:tcPr>
            <w:tcW w:w="325" w:type="pct"/>
            <w:shd w:val="clear" w:color="auto" w:fill="auto"/>
            <w:noWrap/>
            <w:vAlign w:val="center"/>
          </w:tcPr>
          <w:p w14:paraId="0A5B40DD">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51.7</w:t>
            </w:r>
          </w:p>
        </w:tc>
        <w:tc>
          <w:tcPr>
            <w:tcW w:w="293" w:type="pct"/>
            <w:shd w:val="clear" w:color="auto" w:fill="auto"/>
            <w:noWrap/>
            <w:vAlign w:val="center"/>
          </w:tcPr>
          <w:p w14:paraId="31C30514">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&lt; 20.0</w:t>
            </w:r>
          </w:p>
        </w:tc>
        <w:tc>
          <w:tcPr>
            <w:tcW w:w="251" w:type="pct"/>
            <w:shd w:val="clear" w:color="auto" w:fill="auto"/>
            <w:noWrap/>
            <w:vAlign w:val="center"/>
          </w:tcPr>
          <w:p w14:paraId="1C91F664">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54.8</w:t>
            </w:r>
          </w:p>
        </w:tc>
      </w:tr>
      <w:tr w14:paraId="6D63C56E">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617" w:type="pct"/>
            <w:vMerge w:val="continue"/>
            <w:vAlign w:val="center"/>
          </w:tcPr>
          <w:p w14:paraId="41ABFCC5">
            <w:pPr>
              <w:widowControl/>
              <w:spacing w:line="240" w:lineRule="exact"/>
              <w:jc w:val="center"/>
              <w:rPr>
                <w:rFonts w:ascii="Times New Roman" w:hAnsi="Times New Roman" w:eastAsia="宋体" w:cs="Times New Roman"/>
                <w:kern w:val="0"/>
                <w:szCs w:val="21"/>
              </w:rPr>
            </w:pPr>
          </w:p>
        </w:tc>
        <w:tc>
          <w:tcPr>
            <w:tcW w:w="514" w:type="pct"/>
            <w:vMerge w:val="continue"/>
            <w:vAlign w:val="center"/>
          </w:tcPr>
          <w:p w14:paraId="4EF0F7D6">
            <w:pPr>
              <w:widowControl/>
              <w:spacing w:line="240" w:lineRule="exact"/>
              <w:jc w:val="center"/>
              <w:rPr>
                <w:rFonts w:ascii="Times New Roman" w:hAnsi="Times New Roman" w:eastAsia="宋体" w:cs="Times New Roman"/>
                <w:kern w:val="0"/>
                <w:szCs w:val="21"/>
              </w:rPr>
            </w:pPr>
          </w:p>
        </w:tc>
        <w:tc>
          <w:tcPr>
            <w:tcW w:w="310" w:type="pct"/>
            <w:vMerge w:val="continue"/>
            <w:vAlign w:val="center"/>
          </w:tcPr>
          <w:p w14:paraId="359DAAD6">
            <w:pPr>
              <w:widowControl/>
              <w:spacing w:line="240" w:lineRule="exact"/>
              <w:jc w:val="center"/>
              <w:rPr>
                <w:rFonts w:ascii="Times New Roman" w:hAnsi="Times New Roman" w:eastAsia="宋体" w:cs="Times New Roman"/>
                <w:kern w:val="0"/>
                <w:szCs w:val="21"/>
              </w:rPr>
            </w:pPr>
          </w:p>
        </w:tc>
        <w:tc>
          <w:tcPr>
            <w:tcW w:w="272" w:type="pct"/>
            <w:shd w:val="clear" w:color="auto" w:fill="auto"/>
            <w:noWrap/>
            <w:vAlign w:val="center"/>
          </w:tcPr>
          <w:p w14:paraId="55978E83">
            <w:pPr>
              <w:widowControl/>
              <w:spacing w:line="240" w:lineRule="exact"/>
              <w:jc w:val="center"/>
              <w:rPr>
                <w:rFonts w:ascii="Times New Roman" w:hAnsi="Times New Roman" w:eastAsia="宋体" w:cs="Times New Roman"/>
                <w:kern w:val="0"/>
                <w:szCs w:val="21"/>
              </w:rPr>
            </w:pPr>
            <w:r>
              <w:rPr>
                <w:rFonts w:ascii="Times New Roman" w:hAnsi="宋体" w:eastAsia="宋体" w:cs="Times New Roman"/>
                <w:kern w:val="0"/>
                <w:szCs w:val="21"/>
              </w:rPr>
              <w:t>夜间</w:t>
            </w:r>
          </w:p>
        </w:tc>
        <w:tc>
          <w:tcPr>
            <w:tcW w:w="244" w:type="pct"/>
            <w:shd w:val="clear" w:color="auto" w:fill="auto"/>
            <w:noWrap/>
            <w:vAlign w:val="center"/>
          </w:tcPr>
          <w:p w14:paraId="75155523">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64.1</w:t>
            </w:r>
          </w:p>
        </w:tc>
        <w:tc>
          <w:tcPr>
            <w:tcW w:w="244" w:type="pct"/>
            <w:shd w:val="clear" w:color="auto" w:fill="auto"/>
            <w:noWrap/>
            <w:vAlign w:val="center"/>
          </w:tcPr>
          <w:p w14:paraId="054F1445">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60.2</w:t>
            </w:r>
          </w:p>
        </w:tc>
        <w:tc>
          <w:tcPr>
            <w:tcW w:w="244" w:type="pct"/>
            <w:shd w:val="clear" w:color="auto" w:fill="auto"/>
            <w:noWrap/>
            <w:vAlign w:val="center"/>
          </w:tcPr>
          <w:p w14:paraId="07FDB3C3">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58.1</w:t>
            </w:r>
          </w:p>
        </w:tc>
        <w:tc>
          <w:tcPr>
            <w:tcW w:w="244" w:type="pct"/>
            <w:shd w:val="clear" w:color="auto" w:fill="auto"/>
            <w:noWrap/>
            <w:vAlign w:val="center"/>
          </w:tcPr>
          <w:p w14:paraId="38D18289">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56.7</w:t>
            </w:r>
          </w:p>
        </w:tc>
        <w:tc>
          <w:tcPr>
            <w:tcW w:w="244" w:type="pct"/>
            <w:shd w:val="clear" w:color="auto" w:fill="auto"/>
            <w:noWrap/>
            <w:vAlign w:val="center"/>
          </w:tcPr>
          <w:p w14:paraId="28B3B309">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55.5</w:t>
            </w:r>
          </w:p>
        </w:tc>
        <w:tc>
          <w:tcPr>
            <w:tcW w:w="244" w:type="pct"/>
            <w:shd w:val="clear" w:color="auto" w:fill="auto"/>
            <w:noWrap/>
            <w:vAlign w:val="center"/>
          </w:tcPr>
          <w:p w14:paraId="45040651">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53.8</w:t>
            </w:r>
          </w:p>
        </w:tc>
        <w:tc>
          <w:tcPr>
            <w:tcW w:w="318" w:type="pct"/>
            <w:shd w:val="clear" w:color="auto" w:fill="auto"/>
            <w:noWrap/>
            <w:vAlign w:val="center"/>
          </w:tcPr>
          <w:p w14:paraId="17A03F46">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52.4</w:t>
            </w:r>
          </w:p>
        </w:tc>
        <w:tc>
          <w:tcPr>
            <w:tcW w:w="318" w:type="pct"/>
            <w:shd w:val="clear" w:color="auto" w:fill="auto"/>
            <w:noWrap/>
            <w:vAlign w:val="center"/>
          </w:tcPr>
          <w:p w14:paraId="3854E022">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51.2</w:t>
            </w:r>
          </w:p>
        </w:tc>
        <w:tc>
          <w:tcPr>
            <w:tcW w:w="318" w:type="pct"/>
            <w:shd w:val="clear" w:color="auto" w:fill="auto"/>
            <w:noWrap/>
            <w:vAlign w:val="center"/>
          </w:tcPr>
          <w:p w14:paraId="6555F419">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49.3</w:t>
            </w:r>
          </w:p>
        </w:tc>
        <w:tc>
          <w:tcPr>
            <w:tcW w:w="325" w:type="pct"/>
            <w:shd w:val="clear" w:color="auto" w:fill="auto"/>
            <w:noWrap/>
            <w:vAlign w:val="center"/>
          </w:tcPr>
          <w:p w14:paraId="0F09C922">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47.8</w:t>
            </w:r>
          </w:p>
        </w:tc>
        <w:tc>
          <w:tcPr>
            <w:tcW w:w="293" w:type="pct"/>
            <w:shd w:val="clear" w:color="auto" w:fill="auto"/>
            <w:noWrap/>
            <w:vAlign w:val="center"/>
          </w:tcPr>
          <w:p w14:paraId="6CDA7704">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65.9</w:t>
            </w:r>
          </w:p>
        </w:tc>
        <w:tc>
          <w:tcPr>
            <w:tcW w:w="251" w:type="pct"/>
            <w:shd w:val="clear" w:color="auto" w:fill="auto"/>
            <w:noWrap/>
            <w:vAlign w:val="center"/>
          </w:tcPr>
          <w:p w14:paraId="2C1C224C">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146.1</w:t>
            </w:r>
          </w:p>
        </w:tc>
      </w:tr>
      <w:tr w14:paraId="401F5D87">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617" w:type="pct"/>
            <w:vMerge w:val="continue"/>
            <w:vAlign w:val="center"/>
          </w:tcPr>
          <w:p w14:paraId="0384D90D">
            <w:pPr>
              <w:widowControl/>
              <w:spacing w:line="240" w:lineRule="exact"/>
              <w:jc w:val="center"/>
              <w:rPr>
                <w:rFonts w:ascii="Times New Roman" w:hAnsi="Times New Roman" w:eastAsia="宋体" w:cs="Times New Roman"/>
                <w:kern w:val="0"/>
                <w:szCs w:val="21"/>
              </w:rPr>
            </w:pPr>
          </w:p>
        </w:tc>
        <w:tc>
          <w:tcPr>
            <w:tcW w:w="514" w:type="pct"/>
            <w:vMerge w:val="continue"/>
            <w:vAlign w:val="center"/>
          </w:tcPr>
          <w:p w14:paraId="55834F00">
            <w:pPr>
              <w:widowControl/>
              <w:spacing w:line="240" w:lineRule="exact"/>
              <w:jc w:val="center"/>
              <w:rPr>
                <w:rFonts w:ascii="Times New Roman" w:hAnsi="Times New Roman" w:eastAsia="宋体" w:cs="Times New Roman"/>
                <w:kern w:val="0"/>
                <w:szCs w:val="21"/>
              </w:rPr>
            </w:pPr>
          </w:p>
        </w:tc>
        <w:tc>
          <w:tcPr>
            <w:tcW w:w="310" w:type="pct"/>
            <w:vMerge w:val="restart"/>
            <w:shd w:val="clear" w:color="auto" w:fill="auto"/>
            <w:noWrap/>
            <w:vAlign w:val="center"/>
          </w:tcPr>
          <w:p w14:paraId="624514C8">
            <w:pPr>
              <w:widowControl/>
              <w:spacing w:line="240" w:lineRule="exact"/>
              <w:jc w:val="center"/>
              <w:rPr>
                <w:rFonts w:ascii="Times New Roman" w:hAnsi="Times New Roman" w:eastAsia="宋体" w:cs="Times New Roman"/>
                <w:kern w:val="0"/>
                <w:szCs w:val="21"/>
              </w:rPr>
            </w:pPr>
            <w:r>
              <w:rPr>
                <w:rFonts w:ascii="Times New Roman" w:hAnsi="宋体" w:eastAsia="宋体" w:cs="Times New Roman"/>
                <w:kern w:val="0"/>
                <w:szCs w:val="21"/>
              </w:rPr>
              <w:t>中期</w:t>
            </w:r>
          </w:p>
        </w:tc>
        <w:tc>
          <w:tcPr>
            <w:tcW w:w="272" w:type="pct"/>
            <w:shd w:val="clear" w:color="auto" w:fill="auto"/>
            <w:noWrap/>
            <w:vAlign w:val="center"/>
          </w:tcPr>
          <w:p w14:paraId="1F8015B0">
            <w:pPr>
              <w:widowControl/>
              <w:spacing w:line="240" w:lineRule="exact"/>
              <w:jc w:val="center"/>
              <w:rPr>
                <w:rFonts w:ascii="Times New Roman" w:hAnsi="Times New Roman" w:eastAsia="宋体" w:cs="Times New Roman"/>
                <w:kern w:val="0"/>
                <w:szCs w:val="21"/>
              </w:rPr>
            </w:pPr>
            <w:r>
              <w:rPr>
                <w:rFonts w:ascii="Times New Roman" w:hAnsi="宋体" w:eastAsia="宋体" w:cs="Times New Roman"/>
                <w:kern w:val="0"/>
                <w:szCs w:val="21"/>
              </w:rPr>
              <w:t>昼间</w:t>
            </w:r>
          </w:p>
        </w:tc>
        <w:tc>
          <w:tcPr>
            <w:tcW w:w="244" w:type="pct"/>
            <w:shd w:val="clear" w:color="auto" w:fill="auto"/>
            <w:noWrap/>
            <w:vAlign w:val="center"/>
          </w:tcPr>
          <w:p w14:paraId="5A618BB6">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68.7</w:t>
            </w:r>
          </w:p>
        </w:tc>
        <w:tc>
          <w:tcPr>
            <w:tcW w:w="244" w:type="pct"/>
            <w:shd w:val="clear" w:color="auto" w:fill="auto"/>
            <w:noWrap/>
            <w:vAlign w:val="center"/>
          </w:tcPr>
          <w:p w14:paraId="21264E94">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64.9</w:t>
            </w:r>
          </w:p>
        </w:tc>
        <w:tc>
          <w:tcPr>
            <w:tcW w:w="244" w:type="pct"/>
            <w:shd w:val="clear" w:color="auto" w:fill="auto"/>
            <w:noWrap/>
            <w:vAlign w:val="center"/>
          </w:tcPr>
          <w:p w14:paraId="08A5E8B2">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62.8</w:t>
            </w:r>
          </w:p>
        </w:tc>
        <w:tc>
          <w:tcPr>
            <w:tcW w:w="244" w:type="pct"/>
            <w:shd w:val="clear" w:color="auto" w:fill="auto"/>
            <w:noWrap/>
            <w:vAlign w:val="center"/>
          </w:tcPr>
          <w:p w14:paraId="533576D2">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61.3</w:t>
            </w:r>
          </w:p>
        </w:tc>
        <w:tc>
          <w:tcPr>
            <w:tcW w:w="244" w:type="pct"/>
            <w:shd w:val="clear" w:color="auto" w:fill="auto"/>
            <w:noWrap/>
            <w:vAlign w:val="center"/>
          </w:tcPr>
          <w:p w14:paraId="41606FCE">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60.2</w:t>
            </w:r>
          </w:p>
        </w:tc>
        <w:tc>
          <w:tcPr>
            <w:tcW w:w="244" w:type="pct"/>
            <w:shd w:val="clear" w:color="auto" w:fill="auto"/>
            <w:noWrap/>
            <w:vAlign w:val="center"/>
          </w:tcPr>
          <w:p w14:paraId="36DE71B3">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58.4</w:t>
            </w:r>
          </w:p>
        </w:tc>
        <w:tc>
          <w:tcPr>
            <w:tcW w:w="318" w:type="pct"/>
            <w:shd w:val="clear" w:color="auto" w:fill="auto"/>
            <w:noWrap/>
            <w:vAlign w:val="center"/>
          </w:tcPr>
          <w:p w14:paraId="40550126">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57.0</w:t>
            </w:r>
          </w:p>
        </w:tc>
        <w:tc>
          <w:tcPr>
            <w:tcW w:w="318" w:type="pct"/>
            <w:shd w:val="clear" w:color="auto" w:fill="auto"/>
            <w:noWrap/>
            <w:vAlign w:val="center"/>
          </w:tcPr>
          <w:p w14:paraId="5C96EAFC">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55.9</w:t>
            </w:r>
          </w:p>
        </w:tc>
        <w:tc>
          <w:tcPr>
            <w:tcW w:w="318" w:type="pct"/>
            <w:shd w:val="clear" w:color="auto" w:fill="auto"/>
            <w:noWrap/>
            <w:vAlign w:val="center"/>
          </w:tcPr>
          <w:p w14:paraId="6C53C03D">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54.0</w:t>
            </w:r>
          </w:p>
        </w:tc>
        <w:tc>
          <w:tcPr>
            <w:tcW w:w="325" w:type="pct"/>
            <w:shd w:val="clear" w:color="auto" w:fill="auto"/>
            <w:noWrap/>
            <w:vAlign w:val="center"/>
          </w:tcPr>
          <w:p w14:paraId="3959D1F5">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52.4</w:t>
            </w:r>
          </w:p>
        </w:tc>
        <w:tc>
          <w:tcPr>
            <w:tcW w:w="293" w:type="pct"/>
            <w:shd w:val="clear" w:color="auto" w:fill="auto"/>
            <w:noWrap/>
            <w:vAlign w:val="center"/>
          </w:tcPr>
          <w:p w14:paraId="0A963AA5">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&lt; 20.0</w:t>
            </w:r>
          </w:p>
        </w:tc>
        <w:tc>
          <w:tcPr>
            <w:tcW w:w="251" w:type="pct"/>
            <w:shd w:val="clear" w:color="auto" w:fill="auto"/>
            <w:noWrap/>
            <w:vAlign w:val="center"/>
          </w:tcPr>
          <w:p w14:paraId="4BF95019">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62.1</w:t>
            </w:r>
          </w:p>
        </w:tc>
      </w:tr>
      <w:tr w14:paraId="4BD2FB69">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617" w:type="pct"/>
            <w:vMerge w:val="continue"/>
            <w:vAlign w:val="center"/>
          </w:tcPr>
          <w:p w14:paraId="0B1D3760">
            <w:pPr>
              <w:widowControl/>
              <w:spacing w:line="240" w:lineRule="exact"/>
              <w:jc w:val="center"/>
              <w:rPr>
                <w:rFonts w:ascii="Times New Roman" w:hAnsi="Times New Roman" w:eastAsia="宋体" w:cs="Times New Roman"/>
                <w:kern w:val="0"/>
                <w:szCs w:val="21"/>
              </w:rPr>
            </w:pPr>
          </w:p>
        </w:tc>
        <w:tc>
          <w:tcPr>
            <w:tcW w:w="514" w:type="pct"/>
            <w:vMerge w:val="continue"/>
            <w:vAlign w:val="center"/>
          </w:tcPr>
          <w:p w14:paraId="5AF54BBE">
            <w:pPr>
              <w:widowControl/>
              <w:spacing w:line="240" w:lineRule="exact"/>
              <w:jc w:val="center"/>
              <w:rPr>
                <w:rFonts w:ascii="Times New Roman" w:hAnsi="Times New Roman" w:eastAsia="宋体" w:cs="Times New Roman"/>
                <w:kern w:val="0"/>
                <w:szCs w:val="21"/>
              </w:rPr>
            </w:pPr>
          </w:p>
        </w:tc>
        <w:tc>
          <w:tcPr>
            <w:tcW w:w="310" w:type="pct"/>
            <w:vMerge w:val="continue"/>
            <w:vAlign w:val="center"/>
          </w:tcPr>
          <w:p w14:paraId="464848F0">
            <w:pPr>
              <w:widowControl/>
              <w:spacing w:line="240" w:lineRule="exact"/>
              <w:jc w:val="center"/>
              <w:rPr>
                <w:rFonts w:ascii="Times New Roman" w:hAnsi="Times New Roman" w:eastAsia="宋体" w:cs="Times New Roman"/>
                <w:kern w:val="0"/>
                <w:szCs w:val="21"/>
              </w:rPr>
            </w:pPr>
          </w:p>
        </w:tc>
        <w:tc>
          <w:tcPr>
            <w:tcW w:w="272" w:type="pct"/>
            <w:shd w:val="clear" w:color="auto" w:fill="auto"/>
            <w:noWrap/>
            <w:vAlign w:val="center"/>
          </w:tcPr>
          <w:p w14:paraId="01DFEC36">
            <w:pPr>
              <w:widowControl/>
              <w:spacing w:line="240" w:lineRule="exact"/>
              <w:jc w:val="center"/>
              <w:rPr>
                <w:rFonts w:ascii="Times New Roman" w:hAnsi="Times New Roman" w:eastAsia="宋体" w:cs="Times New Roman"/>
                <w:kern w:val="0"/>
                <w:szCs w:val="21"/>
              </w:rPr>
            </w:pPr>
            <w:r>
              <w:rPr>
                <w:rFonts w:ascii="Times New Roman" w:hAnsi="宋体" w:eastAsia="宋体" w:cs="Times New Roman"/>
                <w:kern w:val="0"/>
                <w:szCs w:val="21"/>
              </w:rPr>
              <w:t>夜间</w:t>
            </w:r>
          </w:p>
        </w:tc>
        <w:tc>
          <w:tcPr>
            <w:tcW w:w="244" w:type="pct"/>
            <w:shd w:val="clear" w:color="auto" w:fill="auto"/>
            <w:noWrap/>
            <w:vAlign w:val="center"/>
          </w:tcPr>
          <w:p w14:paraId="71B7B39A">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64.9</w:t>
            </w:r>
          </w:p>
        </w:tc>
        <w:tc>
          <w:tcPr>
            <w:tcW w:w="244" w:type="pct"/>
            <w:shd w:val="clear" w:color="auto" w:fill="auto"/>
            <w:noWrap/>
            <w:vAlign w:val="center"/>
          </w:tcPr>
          <w:p w14:paraId="13A8F8A5">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61.0</w:t>
            </w:r>
          </w:p>
        </w:tc>
        <w:tc>
          <w:tcPr>
            <w:tcW w:w="244" w:type="pct"/>
            <w:shd w:val="clear" w:color="auto" w:fill="auto"/>
            <w:noWrap/>
            <w:vAlign w:val="center"/>
          </w:tcPr>
          <w:p w14:paraId="305511C6">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58.9</w:t>
            </w:r>
          </w:p>
        </w:tc>
        <w:tc>
          <w:tcPr>
            <w:tcW w:w="244" w:type="pct"/>
            <w:shd w:val="clear" w:color="auto" w:fill="auto"/>
            <w:noWrap/>
            <w:vAlign w:val="center"/>
          </w:tcPr>
          <w:p w14:paraId="603420AD">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57.5</w:t>
            </w:r>
          </w:p>
        </w:tc>
        <w:tc>
          <w:tcPr>
            <w:tcW w:w="244" w:type="pct"/>
            <w:shd w:val="clear" w:color="auto" w:fill="auto"/>
            <w:noWrap/>
            <w:vAlign w:val="center"/>
          </w:tcPr>
          <w:p w14:paraId="6A08D52F">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56.3</w:t>
            </w:r>
          </w:p>
        </w:tc>
        <w:tc>
          <w:tcPr>
            <w:tcW w:w="244" w:type="pct"/>
            <w:shd w:val="clear" w:color="auto" w:fill="auto"/>
            <w:noWrap/>
            <w:vAlign w:val="center"/>
          </w:tcPr>
          <w:p w14:paraId="594B2B77">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54.5</w:t>
            </w:r>
          </w:p>
        </w:tc>
        <w:tc>
          <w:tcPr>
            <w:tcW w:w="318" w:type="pct"/>
            <w:shd w:val="clear" w:color="auto" w:fill="auto"/>
            <w:noWrap/>
            <w:vAlign w:val="center"/>
          </w:tcPr>
          <w:p w14:paraId="3992DD5C">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53.2</w:t>
            </w:r>
          </w:p>
        </w:tc>
        <w:tc>
          <w:tcPr>
            <w:tcW w:w="318" w:type="pct"/>
            <w:shd w:val="clear" w:color="auto" w:fill="auto"/>
            <w:noWrap/>
            <w:vAlign w:val="center"/>
          </w:tcPr>
          <w:p w14:paraId="261B6615">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52.0</w:t>
            </w:r>
          </w:p>
        </w:tc>
        <w:tc>
          <w:tcPr>
            <w:tcW w:w="318" w:type="pct"/>
            <w:shd w:val="clear" w:color="auto" w:fill="auto"/>
            <w:noWrap/>
            <w:vAlign w:val="center"/>
          </w:tcPr>
          <w:p w14:paraId="6A5DA261">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50.1</w:t>
            </w:r>
          </w:p>
        </w:tc>
        <w:tc>
          <w:tcPr>
            <w:tcW w:w="325" w:type="pct"/>
            <w:shd w:val="clear" w:color="auto" w:fill="auto"/>
            <w:noWrap/>
            <w:vAlign w:val="center"/>
          </w:tcPr>
          <w:p w14:paraId="6E7A9557">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48.6</w:t>
            </w:r>
          </w:p>
        </w:tc>
        <w:tc>
          <w:tcPr>
            <w:tcW w:w="293" w:type="pct"/>
            <w:shd w:val="clear" w:color="auto" w:fill="auto"/>
            <w:noWrap/>
            <w:vAlign w:val="center"/>
          </w:tcPr>
          <w:p w14:paraId="3C0637A8">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74.8</w:t>
            </w:r>
          </w:p>
        </w:tc>
        <w:tc>
          <w:tcPr>
            <w:tcW w:w="251" w:type="pct"/>
            <w:shd w:val="clear" w:color="auto" w:fill="auto"/>
            <w:noWrap/>
            <w:vAlign w:val="center"/>
          </w:tcPr>
          <w:p w14:paraId="69E48489">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163.4</w:t>
            </w:r>
          </w:p>
        </w:tc>
      </w:tr>
      <w:tr w14:paraId="7C8ED8DB">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617" w:type="pct"/>
            <w:vMerge w:val="continue"/>
            <w:vAlign w:val="center"/>
          </w:tcPr>
          <w:p w14:paraId="057CA8CE">
            <w:pPr>
              <w:widowControl/>
              <w:spacing w:line="240" w:lineRule="exact"/>
              <w:jc w:val="center"/>
              <w:rPr>
                <w:rFonts w:ascii="Times New Roman" w:hAnsi="Times New Roman" w:eastAsia="宋体" w:cs="Times New Roman"/>
                <w:kern w:val="0"/>
                <w:szCs w:val="21"/>
              </w:rPr>
            </w:pPr>
          </w:p>
        </w:tc>
        <w:tc>
          <w:tcPr>
            <w:tcW w:w="514" w:type="pct"/>
            <w:vMerge w:val="continue"/>
            <w:vAlign w:val="center"/>
          </w:tcPr>
          <w:p w14:paraId="6B6B743D">
            <w:pPr>
              <w:widowControl/>
              <w:spacing w:line="240" w:lineRule="exact"/>
              <w:jc w:val="center"/>
              <w:rPr>
                <w:rFonts w:ascii="Times New Roman" w:hAnsi="Times New Roman" w:eastAsia="宋体" w:cs="Times New Roman"/>
                <w:kern w:val="0"/>
                <w:szCs w:val="21"/>
              </w:rPr>
            </w:pPr>
          </w:p>
        </w:tc>
        <w:tc>
          <w:tcPr>
            <w:tcW w:w="310" w:type="pct"/>
            <w:vMerge w:val="restart"/>
            <w:shd w:val="clear" w:color="auto" w:fill="auto"/>
            <w:noWrap/>
            <w:vAlign w:val="center"/>
          </w:tcPr>
          <w:p w14:paraId="5A823BFC">
            <w:pPr>
              <w:widowControl/>
              <w:spacing w:line="240" w:lineRule="exact"/>
              <w:jc w:val="center"/>
              <w:rPr>
                <w:rFonts w:ascii="Times New Roman" w:hAnsi="Times New Roman" w:eastAsia="宋体" w:cs="Times New Roman"/>
                <w:kern w:val="0"/>
                <w:szCs w:val="21"/>
              </w:rPr>
            </w:pPr>
            <w:r>
              <w:rPr>
                <w:rFonts w:ascii="Times New Roman" w:hAnsi="宋体" w:eastAsia="宋体" w:cs="Times New Roman"/>
                <w:kern w:val="0"/>
                <w:szCs w:val="21"/>
              </w:rPr>
              <w:t>远期</w:t>
            </w:r>
          </w:p>
        </w:tc>
        <w:tc>
          <w:tcPr>
            <w:tcW w:w="272" w:type="pct"/>
            <w:shd w:val="clear" w:color="auto" w:fill="auto"/>
            <w:noWrap/>
            <w:vAlign w:val="center"/>
          </w:tcPr>
          <w:p w14:paraId="2800AACB">
            <w:pPr>
              <w:widowControl/>
              <w:spacing w:line="240" w:lineRule="exact"/>
              <w:jc w:val="center"/>
              <w:rPr>
                <w:rFonts w:ascii="Times New Roman" w:hAnsi="Times New Roman" w:eastAsia="宋体" w:cs="Times New Roman"/>
                <w:kern w:val="0"/>
                <w:szCs w:val="21"/>
              </w:rPr>
            </w:pPr>
            <w:r>
              <w:rPr>
                <w:rFonts w:ascii="Times New Roman" w:hAnsi="宋体" w:eastAsia="宋体" w:cs="Times New Roman"/>
                <w:kern w:val="0"/>
                <w:szCs w:val="21"/>
              </w:rPr>
              <w:t>昼间</w:t>
            </w:r>
          </w:p>
        </w:tc>
        <w:tc>
          <w:tcPr>
            <w:tcW w:w="244" w:type="pct"/>
            <w:shd w:val="clear" w:color="auto" w:fill="auto"/>
            <w:noWrap/>
            <w:vAlign w:val="center"/>
          </w:tcPr>
          <w:p w14:paraId="08706645">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69.4</w:t>
            </w:r>
          </w:p>
        </w:tc>
        <w:tc>
          <w:tcPr>
            <w:tcW w:w="244" w:type="pct"/>
            <w:shd w:val="clear" w:color="auto" w:fill="auto"/>
            <w:noWrap/>
            <w:vAlign w:val="center"/>
          </w:tcPr>
          <w:p w14:paraId="5345196A">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65.6</w:t>
            </w:r>
          </w:p>
        </w:tc>
        <w:tc>
          <w:tcPr>
            <w:tcW w:w="244" w:type="pct"/>
            <w:shd w:val="clear" w:color="auto" w:fill="auto"/>
            <w:noWrap/>
            <w:vAlign w:val="center"/>
          </w:tcPr>
          <w:p w14:paraId="22616486">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63.5</w:t>
            </w:r>
          </w:p>
        </w:tc>
        <w:tc>
          <w:tcPr>
            <w:tcW w:w="244" w:type="pct"/>
            <w:shd w:val="clear" w:color="auto" w:fill="auto"/>
            <w:noWrap/>
            <w:vAlign w:val="center"/>
          </w:tcPr>
          <w:p w14:paraId="1E0AAB89">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62.0</w:t>
            </w:r>
          </w:p>
        </w:tc>
        <w:tc>
          <w:tcPr>
            <w:tcW w:w="244" w:type="pct"/>
            <w:shd w:val="clear" w:color="auto" w:fill="auto"/>
            <w:noWrap/>
            <w:vAlign w:val="center"/>
          </w:tcPr>
          <w:p w14:paraId="57799424">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60.9</w:t>
            </w:r>
          </w:p>
        </w:tc>
        <w:tc>
          <w:tcPr>
            <w:tcW w:w="244" w:type="pct"/>
            <w:shd w:val="clear" w:color="auto" w:fill="auto"/>
            <w:noWrap/>
            <w:vAlign w:val="center"/>
          </w:tcPr>
          <w:p w14:paraId="1DE039E2">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59.1</w:t>
            </w:r>
          </w:p>
        </w:tc>
        <w:tc>
          <w:tcPr>
            <w:tcW w:w="318" w:type="pct"/>
            <w:shd w:val="clear" w:color="auto" w:fill="auto"/>
            <w:noWrap/>
            <w:vAlign w:val="center"/>
          </w:tcPr>
          <w:p w14:paraId="613EE95E">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57.8</w:t>
            </w:r>
          </w:p>
        </w:tc>
        <w:tc>
          <w:tcPr>
            <w:tcW w:w="318" w:type="pct"/>
            <w:shd w:val="clear" w:color="auto" w:fill="auto"/>
            <w:noWrap/>
            <w:vAlign w:val="center"/>
          </w:tcPr>
          <w:p w14:paraId="3858A9A2">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56.6</w:t>
            </w:r>
          </w:p>
        </w:tc>
        <w:tc>
          <w:tcPr>
            <w:tcW w:w="318" w:type="pct"/>
            <w:shd w:val="clear" w:color="auto" w:fill="auto"/>
            <w:noWrap/>
            <w:vAlign w:val="center"/>
          </w:tcPr>
          <w:p w14:paraId="7E5B17C7">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54.7</w:t>
            </w:r>
          </w:p>
        </w:tc>
        <w:tc>
          <w:tcPr>
            <w:tcW w:w="325" w:type="pct"/>
            <w:shd w:val="clear" w:color="auto" w:fill="auto"/>
            <w:noWrap/>
            <w:vAlign w:val="center"/>
          </w:tcPr>
          <w:p w14:paraId="2F5E403E">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53.2</w:t>
            </w:r>
          </w:p>
        </w:tc>
        <w:tc>
          <w:tcPr>
            <w:tcW w:w="293" w:type="pct"/>
            <w:shd w:val="clear" w:color="auto" w:fill="auto"/>
            <w:noWrap/>
            <w:vAlign w:val="center"/>
          </w:tcPr>
          <w:p w14:paraId="10044766">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&lt; 20.0</w:t>
            </w:r>
          </w:p>
        </w:tc>
        <w:tc>
          <w:tcPr>
            <w:tcW w:w="251" w:type="pct"/>
            <w:shd w:val="clear" w:color="auto" w:fill="auto"/>
            <w:noWrap/>
            <w:vAlign w:val="center"/>
          </w:tcPr>
          <w:p w14:paraId="2D0AF17F">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70.2</w:t>
            </w:r>
          </w:p>
        </w:tc>
      </w:tr>
      <w:tr w14:paraId="374183C8">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617" w:type="pct"/>
            <w:vMerge w:val="continue"/>
            <w:vAlign w:val="center"/>
          </w:tcPr>
          <w:p w14:paraId="713E7C36">
            <w:pPr>
              <w:widowControl/>
              <w:spacing w:line="240" w:lineRule="exact"/>
              <w:jc w:val="center"/>
              <w:rPr>
                <w:rFonts w:ascii="Times New Roman" w:hAnsi="Times New Roman" w:eastAsia="宋体" w:cs="Times New Roman"/>
                <w:kern w:val="0"/>
                <w:szCs w:val="21"/>
              </w:rPr>
            </w:pPr>
          </w:p>
        </w:tc>
        <w:tc>
          <w:tcPr>
            <w:tcW w:w="514" w:type="pct"/>
            <w:vMerge w:val="continue"/>
            <w:vAlign w:val="center"/>
          </w:tcPr>
          <w:p w14:paraId="1E341B56">
            <w:pPr>
              <w:widowControl/>
              <w:spacing w:line="240" w:lineRule="exact"/>
              <w:jc w:val="center"/>
              <w:rPr>
                <w:rFonts w:ascii="Times New Roman" w:hAnsi="Times New Roman" w:eastAsia="宋体" w:cs="Times New Roman"/>
                <w:kern w:val="0"/>
                <w:szCs w:val="21"/>
              </w:rPr>
            </w:pPr>
          </w:p>
        </w:tc>
        <w:tc>
          <w:tcPr>
            <w:tcW w:w="310" w:type="pct"/>
            <w:vMerge w:val="continue"/>
            <w:vAlign w:val="center"/>
          </w:tcPr>
          <w:p w14:paraId="522B940F">
            <w:pPr>
              <w:widowControl/>
              <w:spacing w:line="240" w:lineRule="exact"/>
              <w:jc w:val="center"/>
              <w:rPr>
                <w:rFonts w:ascii="Times New Roman" w:hAnsi="Times New Roman" w:eastAsia="宋体" w:cs="Times New Roman"/>
                <w:kern w:val="0"/>
                <w:szCs w:val="21"/>
              </w:rPr>
            </w:pPr>
          </w:p>
        </w:tc>
        <w:tc>
          <w:tcPr>
            <w:tcW w:w="272" w:type="pct"/>
            <w:shd w:val="clear" w:color="auto" w:fill="auto"/>
            <w:noWrap/>
            <w:vAlign w:val="center"/>
          </w:tcPr>
          <w:p w14:paraId="39E82743">
            <w:pPr>
              <w:widowControl/>
              <w:spacing w:line="240" w:lineRule="exact"/>
              <w:jc w:val="center"/>
              <w:rPr>
                <w:rFonts w:ascii="Times New Roman" w:hAnsi="Times New Roman" w:eastAsia="宋体" w:cs="Times New Roman"/>
                <w:kern w:val="0"/>
                <w:szCs w:val="21"/>
              </w:rPr>
            </w:pPr>
            <w:r>
              <w:rPr>
                <w:rFonts w:ascii="Times New Roman" w:hAnsi="宋体" w:eastAsia="宋体" w:cs="Times New Roman"/>
                <w:kern w:val="0"/>
                <w:szCs w:val="21"/>
              </w:rPr>
              <w:t>夜间</w:t>
            </w:r>
          </w:p>
        </w:tc>
        <w:tc>
          <w:tcPr>
            <w:tcW w:w="244" w:type="pct"/>
            <w:shd w:val="clear" w:color="auto" w:fill="auto"/>
            <w:noWrap/>
            <w:vAlign w:val="center"/>
          </w:tcPr>
          <w:p w14:paraId="030B2ED6">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65.6</w:t>
            </w:r>
          </w:p>
        </w:tc>
        <w:tc>
          <w:tcPr>
            <w:tcW w:w="244" w:type="pct"/>
            <w:shd w:val="clear" w:color="auto" w:fill="auto"/>
            <w:noWrap/>
            <w:vAlign w:val="center"/>
          </w:tcPr>
          <w:p w14:paraId="0EFAC2B7">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61.7</w:t>
            </w:r>
          </w:p>
        </w:tc>
        <w:tc>
          <w:tcPr>
            <w:tcW w:w="244" w:type="pct"/>
            <w:shd w:val="clear" w:color="auto" w:fill="auto"/>
            <w:noWrap/>
            <w:vAlign w:val="center"/>
          </w:tcPr>
          <w:p w14:paraId="6FE57726">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59.6</w:t>
            </w:r>
          </w:p>
        </w:tc>
        <w:tc>
          <w:tcPr>
            <w:tcW w:w="244" w:type="pct"/>
            <w:shd w:val="clear" w:color="auto" w:fill="auto"/>
            <w:noWrap/>
            <w:vAlign w:val="center"/>
          </w:tcPr>
          <w:p w14:paraId="0358E696">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58.2</w:t>
            </w:r>
          </w:p>
        </w:tc>
        <w:tc>
          <w:tcPr>
            <w:tcW w:w="244" w:type="pct"/>
            <w:shd w:val="clear" w:color="auto" w:fill="auto"/>
            <w:noWrap/>
            <w:vAlign w:val="center"/>
          </w:tcPr>
          <w:p w14:paraId="1F7DD45A">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57.0</w:t>
            </w:r>
          </w:p>
        </w:tc>
        <w:tc>
          <w:tcPr>
            <w:tcW w:w="244" w:type="pct"/>
            <w:shd w:val="clear" w:color="auto" w:fill="auto"/>
            <w:noWrap/>
            <w:vAlign w:val="center"/>
          </w:tcPr>
          <w:p w14:paraId="02B6443A">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55.3</w:t>
            </w:r>
          </w:p>
        </w:tc>
        <w:tc>
          <w:tcPr>
            <w:tcW w:w="318" w:type="pct"/>
            <w:shd w:val="clear" w:color="auto" w:fill="auto"/>
            <w:noWrap/>
            <w:vAlign w:val="center"/>
          </w:tcPr>
          <w:p w14:paraId="7B018D88">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53.9</w:t>
            </w:r>
          </w:p>
        </w:tc>
        <w:tc>
          <w:tcPr>
            <w:tcW w:w="318" w:type="pct"/>
            <w:shd w:val="clear" w:color="auto" w:fill="auto"/>
            <w:noWrap/>
            <w:vAlign w:val="center"/>
          </w:tcPr>
          <w:p w14:paraId="708B7EE4">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52.7</w:t>
            </w:r>
          </w:p>
        </w:tc>
        <w:tc>
          <w:tcPr>
            <w:tcW w:w="318" w:type="pct"/>
            <w:shd w:val="clear" w:color="auto" w:fill="auto"/>
            <w:noWrap/>
            <w:vAlign w:val="center"/>
          </w:tcPr>
          <w:p w14:paraId="574A9F9C">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50.8</w:t>
            </w:r>
          </w:p>
        </w:tc>
        <w:tc>
          <w:tcPr>
            <w:tcW w:w="325" w:type="pct"/>
            <w:shd w:val="clear" w:color="auto" w:fill="auto"/>
            <w:noWrap/>
            <w:vAlign w:val="center"/>
          </w:tcPr>
          <w:p w14:paraId="78A10F4D">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49.3</w:t>
            </w:r>
          </w:p>
        </w:tc>
        <w:tc>
          <w:tcPr>
            <w:tcW w:w="293" w:type="pct"/>
            <w:shd w:val="clear" w:color="auto" w:fill="auto"/>
            <w:noWrap/>
            <w:vAlign w:val="center"/>
          </w:tcPr>
          <w:p w14:paraId="135F550B">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83.7</w:t>
            </w:r>
          </w:p>
        </w:tc>
        <w:tc>
          <w:tcPr>
            <w:tcW w:w="251" w:type="pct"/>
            <w:shd w:val="clear" w:color="auto" w:fill="auto"/>
            <w:noWrap/>
            <w:vAlign w:val="center"/>
          </w:tcPr>
          <w:p w14:paraId="26DFA790">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181.7</w:t>
            </w:r>
          </w:p>
        </w:tc>
      </w:tr>
      <w:tr w14:paraId="57251389">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617" w:type="pct"/>
            <w:vMerge w:val="restart"/>
            <w:shd w:val="clear" w:color="auto" w:fill="auto"/>
            <w:noWrap/>
            <w:vAlign w:val="center"/>
          </w:tcPr>
          <w:p w14:paraId="2CD3E115">
            <w:pPr>
              <w:widowControl/>
              <w:spacing w:line="240" w:lineRule="exact"/>
              <w:jc w:val="center"/>
              <w:rPr>
                <w:rFonts w:ascii="Times New Roman" w:hAnsi="Times New Roman" w:eastAsia="宋体" w:cs="Times New Roman"/>
                <w:kern w:val="0"/>
                <w:szCs w:val="21"/>
              </w:rPr>
            </w:pPr>
            <w:r>
              <w:rPr>
                <w:rFonts w:ascii="Times New Roman" w:hAnsi="宋体" w:eastAsia="宋体" w:cs="Times New Roman"/>
                <w:kern w:val="0"/>
                <w:szCs w:val="21"/>
              </w:rPr>
              <w:t>高速口～岳普湖</w:t>
            </w:r>
          </w:p>
        </w:tc>
        <w:tc>
          <w:tcPr>
            <w:tcW w:w="514" w:type="pct"/>
            <w:vMerge w:val="restart"/>
            <w:shd w:val="clear" w:color="auto" w:fill="auto"/>
            <w:vAlign w:val="center"/>
          </w:tcPr>
          <w:p w14:paraId="5244923A">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szCs w:val="21"/>
              </w:rPr>
              <w:t>设计车速</w:t>
            </w:r>
            <w:r>
              <w:rPr>
                <w:rFonts w:hint="eastAsia" w:ascii="Times New Roman" w:hAnsi="Times New Roman" w:eastAsia="宋体" w:cs="Times New Roman"/>
                <w:szCs w:val="21"/>
              </w:rPr>
              <w:t>8</w:t>
            </w:r>
            <w:r>
              <w:rPr>
                <w:rFonts w:ascii="Times New Roman" w:hAnsi="Times New Roman" w:eastAsia="宋体" w:cs="Times New Roman"/>
                <w:szCs w:val="21"/>
              </w:rPr>
              <w:t>0km/h，路基宽度</w:t>
            </w:r>
            <w:r>
              <w:rPr>
                <w:rFonts w:hint="eastAsia" w:ascii="Times New Roman" w:hAnsi="Times New Roman" w:eastAsia="宋体" w:cs="Times New Roman"/>
                <w:szCs w:val="21"/>
              </w:rPr>
              <w:t>25.5</w:t>
            </w:r>
            <w:r>
              <w:rPr>
                <w:rFonts w:ascii="Times New Roman" w:hAnsi="Times New Roman" w:eastAsia="宋体" w:cs="Times New Roman"/>
                <w:szCs w:val="21"/>
              </w:rPr>
              <w:t>m</w:t>
            </w:r>
          </w:p>
        </w:tc>
        <w:tc>
          <w:tcPr>
            <w:tcW w:w="310" w:type="pct"/>
            <w:vMerge w:val="restart"/>
            <w:shd w:val="clear" w:color="auto" w:fill="auto"/>
            <w:noWrap/>
            <w:vAlign w:val="center"/>
          </w:tcPr>
          <w:p w14:paraId="66CC86B1">
            <w:pPr>
              <w:widowControl/>
              <w:spacing w:line="240" w:lineRule="exact"/>
              <w:jc w:val="center"/>
              <w:rPr>
                <w:rFonts w:ascii="Times New Roman" w:hAnsi="Times New Roman" w:eastAsia="宋体" w:cs="Times New Roman"/>
                <w:kern w:val="0"/>
                <w:szCs w:val="21"/>
              </w:rPr>
            </w:pPr>
            <w:r>
              <w:rPr>
                <w:rFonts w:ascii="Times New Roman" w:hAnsi="宋体" w:eastAsia="宋体" w:cs="Times New Roman"/>
                <w:kern w:val="0"/>
                <w:szCs w:val="21"/>
              </w:rPr>
              <w:t>近期</w:t>
            </w:r>
          </w:p>
        </w:tc>
        <w:tc>
          <w:tcPr>
            <w:tcW w:w="272" w:type="pct"/>
            <w:shd w:val="clear" w:color="auto" w:fill="auto"/>
            <w:noWrap/>
            <w:vAlign w:val="center"/>
          </w:tcPr>
          <w:p w14:paraId="2972FE17">
            <w:pPr>
              <w:widowControl/>
              <w:spacing w:line="240" w:lineRule="exact"/>
              <w:jc w:val="center"/>
              <w:rPr>
                <w:rFonts w:ascii="Times New Roman" w:hAnsi="Times New Roman" w:eastAsia="宋体" w:cs="Times New Roman"/>
                <w:kern w:val="0"/>
                <w:szCs w:val="21"/>
              </w:rPr>
            </w:pPr>
            <w:r>
              <w:rPr>
                <w:rFonts w:ascii="Times New Roman" w:hAnsi="宋体" w:eastAsia="宋体" w:cs="Times New Roman"/>
                <w:kern w:val="0"/>
                <w:szCs w:val="21"/>
              </w:rPr>
              <w:t>昼间</w:t>
            </w:r>
          </w:p>
        </w:tc>
        <w:tc>
          <w:tcPr>
            <w:tcW w:w="244" w:type="pct"/>
            <w:shd w:val="clear" w:color="auto" w:fill="auto"/>
            <w:noWrap/>
            <w:vAlign w:val="center"/>
          </w:tcPr>
          <w:p w14:paraId="23C4909D">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68.4</w:t>
            </w:r>
          </w:p>
        </w:tc>
        <w:tc>
          <w:tcPr>
            <w:tcW w:w="244" w:type="pct"/>
            <w:shd w:val="clear" w:color="auto" w:fill="auto"/>
            <w:noWrap/>
            <w:vAlign w:val="center"/>
          </w:tcPr>
          <w:p w14:paraId="135366CE">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64.6</w:t>
            </w:r>
          </w:p>
        </w:tc>
        <w:tc>
          <w:tcPr>
            <w:tcW w:w="244" w:type="pct"/>
            <w:shd w:val="clear" w:color="auto" w:fill="auto"/>
            <w:noWrap/>
            <w:vAlign w:val="center"/>
          </w:tcPr>
          <w:p w14:paraId="00163584">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62.5</w:t>
            </w:r>
          </w:p>
        </w:tc>
        <w:tc>
          <w:tcPr>
            <w:tcW w:w="244" w:type="pct"/>
            <w:shd w:val="clear" w:color="auto" w:fill="auto"/>
            <w:noWrap/>
            <w:vAlign w:val="center"/>
          </w:tcPr>
          <w:p w14:paraId="033131C7">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61.0</w:t>
            </w:r>
          </w:p>
        </w:tc>
        <w:tc>
          <w:tcPr>
            <w:tcW w:w="244" w:type="pct"/>
            <w:shd w:val="clear" w:color="auto" w:fill="auto"/>
            <w:noWrap/>
            <w:vAlign w:val="center"/>
          </w:tcPr>
          <w:p w14:paraId="075B7182">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59.9</w:t>
            </w:r>
          </w:p>
        </w:tc>
        <w:tc>
          <w:tcPr>
            <w:tcW w:w="244" w:type="pct"/>
            <w:shd w:val="clear" w:color="auto" w:fill="auto"/>
            <w:noWrap/>
            <w:vAlign w:val="center"/>
          </w:tcPr>
          <w:p w14:paraId="7619887E">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58.1</w:t>
            </w:r>
          </w:p>
        </w:tc>
        <w:tc>
          <w:tcPr>
            <w:tcW w:w="318" w:type="pct"/>
            <w:shd w:val="clear" w:color="auto" w:fill="auto"/>
            <w:noWrap/>
            <w:vAlign w:val="center"/>
          </w:tcPr>
          <w:p w14:paraId="271248A9">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56.7</w:t>
            </w:r>
          </w:p>
        </w:tc>
        <w:tc>
          <w:tcPr>
            <w:tcW w:w="318" w:type="pct"/>
            <w:shd w:val="clear" w:color="auto" w:fill="auto"/>
            <w:noWrap/>
            <w:vAlign w:val="center"/>
          </w:tcPr>
          <w:p w14:paraId="5D6C6DEB">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55.6</w:t>
            </w:r>
          </w:p>
        </w:tc>
        <w:tc>
          <w:tcPr>
            <w:tcW w:w="318" w:type="pct"/>
            <w:shd w:val="clear" w:color="auto" w:fill="auto"/>
            <w:noWrap/>
            <w:vAlign w:val="center"/>
          </w:tcPr>
          <w:p w14:paraId="16413112">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53.7</w:t>
            </w:r>
          </w:p>
        </w:tc>
        <w:tc>
          <w:tcPr>
            <w:tcW w:w="325" w:type="pct"/>
            <w:shd w:val="clear" w:color="auto" w:fill="auto"/>
            <w:noWrap/>
            <w:vAlign w:val="center"/>
          </w:tcPr>
          <w:p w14:paraId="260F5044">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52.2</w:t>
            </w:r>
          </w:p>
        </w:tc>
        <w:tc>
          <w:tcPr>
            <w:tcW w:w="293" w:type="pct"/>
            <w:shd w:val="clear" w:color="auto" w:fill="auto"/>
            <w:noWrap/>
            <w:vAlign w:val="center"/>
          </w:tcPr>
          <w:p w14:paraId="0C8D401F">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&lt; 20.0</w:t>
            </w:r>
          </w:p>
        </w:tc>
        <w:tc>
          <w:tcPr>
            <w:tcW w:w="251" w:type="pct"/>
            <w:shd w:val="clear" w:color="auto" w:fill="auto"/>
            <w:noWrap/>
            <w:vAlign w:val="center"/>
          </w:tcPr>
          <w:p w14:paraId="4673CF64">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59.0</w:t>
            </w:r>
          </w:p>
        </w:tc>
      </w:tr>
      <w:tr w14:paraId="379A476D">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617" w:type="pct"/>
            <w:vMerge w:val="continue"/>
            <w:vAlign w:val="center"/>
          </w:tcPr>
          <w:p w14:paraId="5DEB6ECF">
            <w:pPr>
              <w:widowControl/>
              <w:spacing w:line="240" w:lineRule="exact"/>
              <w:jc w:val="center"/>
              <w:rPr>
                <w:rFonts w:ascii="Times New Roman" w:hAnsi="Times New Roman" w:eastAsia="宋体" w:cs="Times New Roman"/>
                <w:kern w:val="0"/>
                <w:szCs w:val="21"/>
              </w:rPr>
            </w:pPr>
          </w:p>
        </w:tc>
        <w:tc>
          <w:tcPr>
            <w:tcW w:w="514" w:type="pct"/>
            <w:vMerge w:val="continue"/>
            <w:vAlign w:val="center"/>
          </w:tcPr>
          <w:p w14:paraId="2BB42766">
            <w:pPr>
              <w:widowControl/>
              <w:spacing w:line="240" w:lineRule="exact"/>
              <w:jc w:val="center"/>
              <w:rPr>
                <w:rFonts w:ascii="Times New Roman" w:hAnsi="Times New Roman" w:eastAsia="宋体" w:cs="Times New Roman"/>
                <w:kern w:val="0"/>
                <w:szCs w:val="21"/>
              </w:rPr>
            </w:pPr>
          </w:p>
        </w:tc>
        <w:tc>
          <w:tcPr>
            <w:tcW w:w="310" w:type="pct"/>
            <w:vMerge w:val="continue"/>
            <w:vAlign w:val="center"/>
          </w:tcPr>
          <w:p w14:paraId="785E343E">
            <w:pPr>
              <w:widowControl/>
              <w:spacing w:line="240" w:lineRule="exact"/>
              <w:jc w:val="center"/>
              <w:rPr>
                <w:rFonts w:ascii="Times New Roman" w:hAnsi="Times New Roman" w:eastAsia="宋体" w:cs="Times New Roman"/>
                <w:kern w:val="0"/>
                <w:szCs w:val="21"/>
              </w:rPr>
            </w:pPr>
          </w:p>
        </w:tc>
        <w:tc>
          <w:tcPr>
            <w:tcW w:w="272" w:type="pct"/>
            <w:shd w:val="clear" w:color="auto" w:fill="auto"/>
            <w:noWrap/>
            <w:vAlign w:val="center"/>
          </w:tcPr>
          <w:p w14:paraId="618C0E18">
            <w:pPr>
              <w:widowControl/>
              <w:spacing w:line="240" w:lineRule="exact"/>
              <w:jc w:val="center"/>
              <w:rPr>
                <w:rFonts w:ascii="Times New Roman" w:hAnsi="Times New Roman" w:eastAsia="宋体" w:cs="Times New Roman"/>
                <w:kern w:val="0"/>
                <w:szCs w:val="21"/>
              </w:rPr>
            </w:pPr>
            <w:r>
              <w:rPr>
                <w:rFonts w:ascii="Times New Roman" w:hAnsi="宋体" w:eastAsia="宋体" w:cs="Times New Roman"/>
                <w:kern w:val="0"/>
                <w:szCs w:val="21"/>
              </w:rPr>
              <w:t>夜间</w:t>
            </w:r>
          </w:p>
        </w:tc>
        <w:tc>
          <w:tcPr>
            <w:tcW w:w="244" w:type="pct"/>
            <w:shd w:val="clear" w:color="auto" w:fill="auto"/>
            <w:noWrap/>
            <w:vAlign w:val="center"/>
          </w:tcPr>
          <w:p w14:paraId="46715FF4">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64.6</w:t>
            </w:r>
          </w:p>
        </w:tc>
        <w:tc>
          <w:tcPr>
            <w:tcW w:w="244" w:type="pct"/>
            <w:shd w:val="clear" w:color="auto" w:fill="auto"/>
            <w:noWrap/>
            <w:vAlign w:val="center"/>
          </w:tcPr>
          <w:p w14:paraId="26F1E7DE">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60.7</w:t>
            </w:r>
          </w:p>
        </w:tc>
        <w:tc>
          <w:tcPr>
            <w:tcW w:w="244" w:type="pct"/>
            <w:shd w:val="clear" w:color="auto" w:fill="auto"/>
            <w:noWrap/>
            <w:vAlign w:val="center"/>
          </w:tcPr>
          <w:p w14:paraId="43A141C2">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58.6</w:t>
            </w:r>
          </w:p>
        </w:tc>
        <w:tc>
          <w:tcPr>
            <w:tcW w:w="244" w:type="pct"/>
            <w:shd w:val="clear" w:color="auto" w:fill="auto"/>
            <w:noWrap/>
            <w:vAlign w:val="center"/>
          </w:tcPr>
          <w:p w14:paraId="3F5772BE">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57.2</w:t>
            </w:r>
          </w:p>
        </w:tc>
        <w:tc>
          <w:tcPr>
            <w:tcW w:w="244" w:type="pct"/>
            <w:shd w:val="clear" w:color="auto" w:fill="auto"/>
            <w:noWrap/>
            <w:vAlign w:val="center"/>
          </w:tcPr>
          <w:p w14:paraId="12693023">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56.0</w:t>
            </w:r>
          </w:p>
        </w:tc>
        <w:tc>
          <w:tcPr>
            <w:tcW w:w="244" w:type="pct"/>
            <w:shd w:val="clear" w:color="auto" w:fill="auto"/>
            <w:noWrap/>
            <w:vAlign w:val="center"/>
          </w:tcPr>
          <w:p w14:paraId="1EF70007">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54.2</w:t>
            </w:r>
          </w:p>
        </w:tc>
        <w:tc>
          <w:tcPr>
            <w:tcW w:w="318" w:type="pct"/>
            <w:shd w:val="clear" w:color="auto" w:fill="auto"/>
            <w:noWrap/>
            <w:vAlign w:val="center"/>
          </w:tcPr>
          <w:p w14:paraId="001907E8">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52.9</w:t>
            </w:r>
          </w:p>
        </w:tc>
        <w:tc>
          <w:tcPr>
            <w:tcW w:w="318" w:type="pct"/>
            <w:shd w:val="clear" w:color="auto" w:fill="auto"/>
            <w:noWrap/>
            <w:vAlign w:val="center"/>
          </w:tcPr>
          <w:p w14:paraId="4B3BEC86">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51.7</w:t>
            </w:r>
          </w:p>
        </w:tc>
        <w:tc>
          <w:tcPr>
            <w:tcW w:w="318" w:type="pct"/>
            <w:shd w:val="clear" w:color="auto" w:fill="auto"/>
            <w:noWrap/>
            <w:vAlign w:val="center"/>
          </w:tcPr>
          <w:p w14:paraId="405AB101">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49.8</w:t>
            </w:r>
          </w:p>
        </w:tc>
        <w:tc>
          <w:tcPr>
            <w:tcW w:w="325" w:type="pct"/>
            <w:shd w:val="clear" w:color="auto" w:fill="auto"/>
            <w:noWrap/>
            <w:vAlign w:val="center"/>
          </w:tcPr>
          <w:p w14:paraId="3B94AAE5">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48.3</w:t>
            </w:r>
          </w:p>
        </w:tc>
        <w:tc>
          <w:tcPr>
            <w:tcW w:w="293" w:type="pct"/>
            <w:shd w:val="clear" w:color="auto" w:fill="auto"/>
            <w:noWrap/>
            <w:vAlign w:val="center"/>
          </w:tcPr>
          <w:p w14:paraId="573FD9CF">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71.5</w:t>
            </w:r>
          </w:p>
        </w:tc>
        <w:tc>
          <w:tcPr>
            <w:tcW w:w="251" w:type="pct"/>
            <w:shd w:val="clear" w:color="auto" w:fill="auto"/>
            <w:noWrap/>
            <w:vAlign w:val="center"/>
          </w:tcPr>
          <w:p w14:paraId="25C1D7A4">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156.5</w:t>
            </w:r>
          </w:p>
        </w:tc>
      </w:tr>
      <w:tr w14:paraId="4AB564EC">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617" w:type="pct"/>
            <w:vMerge w:val="continue"/>
            <w:vAlign w:val="center"/>
          </w:tcPr>
          <w:p w14:paraId="52C2EE2D">
            <w:pPr>
              <w:widowControl/>
              <w:spacing w:line="240" w:lineRule="exact"/>
              <w:jc w:val="center"/>
              <w:rPr>
                <w:rFonts w:ascii="Times New Roman" w:hAnsi="Times New Roman" w:eastAsia="宋体" w:cs="Times New Roman"/>
                <w:kern w:val="0"/>
                <w:szCs w:val="21"/>
              </w:rPr>
            </w:pPr>
          </w:p>
        </w:tc>
        <w:tc>
          <w:tcPr>
            <w:tcW w:w="514" w:type="pct"/>
            <w:vMerge w:val="continue"/>
            <w:vAlign w:val="center"/>
          </w:tcPr>
          <w:p w14:paraId="3C8572DB">
            <w:pPr>
              <w:widowControl/>
              <w:spacing w:line="240" w:lineRule="exact"/>
              <w:jc w:val="center"/>
              <w:rPr>
                <w:rFonts w:ascii="Times New Roman" w:hAnsi="Times New Roman" w:eastAsia="宋体" w:cs="Times New Roman"/>
                <w:kern w:val="0"/>
                <w:szCs w:val="21"/>
              </w:rPr>
            </w:pPr>
          </w:p>
        </w:tc>
        <w:tc>
          <w:tcPr>
            <w:tcW w:w="310" w:type="pct"/>
            <w:vMerge w:val="restart"/>
            <w:shd w:val="clear" w:color="auto" w:fill="auto"/>
            <w:noWrap/>
            <w:vAlign w:val="center"/>
          </w:tcPr>
          <w:p w14:paraId="2D015ECA">
            <w:pPr>
              <w:widowControl/>
              <w:spacing w:line="240" w:lineRule="exact"/>
              <w:jc w:val="center"/>
              <w:rPr>
                <w:rFonts w:ascii="Times New Roman" w:hAnsi="Times New Roman" w:eastAsia="宋体" w:cs="Times New Roman"/>
                <w:kern w:val="0"/>
                <w:szCs w:val="21"/>
              </w:rPr>
            </w:pPr>
            <w:r>
              <w:rPr>
                <w:rFonts w:ascii="Times New Roman" w:hAnsi="宋体" w:eastAsia="宋体" w:cs="Times New Roman"/>
                <w:kern w:val="0"/>
                <w:szCs w:val="21"/>
              </w:rPr>
              <w:t>中期</w:t>
            </w:r>
          </w:p>
        </w:tc>
        <w:tc>
          <w:tcPr>
            <w:tcW w:w="272" w:type="pct"/>
            <w:shd w:val="clear" w:color="auto" w:fill="auto"/>
            <w:noWrap/>
            <w:vAlign w:val="center"/>
          </w:tcPr>
          <w:p w14:paraId="003441BF">
            <w:pPr>
              <w:widowControl/>
              <w:spacing w:line="240" w:lineRule="exact"/>
              <w:jc w:val="center"/>
              <w:rPr>
                <w:rFonts w:ascii="Times New Roman" w:hAnsi="Times New Roman" w:eastAsia="宋体" w:cs="Times New Roman"/>
                <w:kern w:val="0"/>
                <w:szCs w:val="21"/>
              </w:rPr>
            </w:pPr>
            <w:r>
              <w:rPr>
                <w:rFonts w:ascii="Times New Roman" w:hAnsi="宋体" w:eastAsia="宋体" w:cs="Times New Roman"/>
                <w:kern w:val="0"/>
                <w:szCs w:val="21"/>
              </w:rPr>
              <w:t>昼间</w:t>
            </w:r>
          </w:p>
        </w:tc>
        <w:tc>
          <w:tcPr>
            <w:tcW w:w="244" w:type="pct"/>
            <w:shd w:val="clear" w:color="auto" w:fill="auto"/>
            <w:noWrap/>
            <w:vAlign w:val="center"/>
          </w:tcPr>
          <w:p w14:paraId="69618E46">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69.2</w:t>
            </w:r>
          </w:p>
        </w:tc>
        <w:tc>
          <w:tcPr>
            <w:tcW w:w="244" w:type="pct"/>
            <w:shd w:val="clear" w:color="auto" w:fill="auto"/>
            <w:noWrap/>
            <w:vAlign w:val="center"/>
          </w:tcPr>
          <w:p w14:paraId="04AA694B">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65.4</w:t>
            </w:r>
          </w:p>
        </w:tc>
        <w:tc>
          <w:tcPr>
            <w:tcW w:w="244" w:type="pct"/>
            <w:shd w:val="clear" w:color="auto" w:fill="auto"/>
            <w:noWrap/>
            <w:vAlign w:val="center"/>
          </w:tcPr>
          <w:p w14:paraId="696B4DD1">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63.3</w:t>
            </w:r>
          </w:p>
        </w:tc>
        <w:tc>
          <w:tcPr>
            <w:tcW w:w="244" w:type="pct"/>
            <w:shd w:val="clear" w:color="auto" w:fill="auto"/>
            <w:noWrap/>
            <w:vAlign w:val="center"/>
          </w:tcPr>
          <w:p w14:paraId="237F31DE">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61.8</w:t>
            </w:r>
          </w:p>
        </w:tc>
        <w:tc>
          <w:tcPr>
            <w:tcW w:w="244" w:type="pct"/>
            <w:shd w:val="clear" w:color="auto" w:fill="auto"/>
            <w:noWrap/>
            <w:vAlign w:val="center"/>
          </w:tcPr>
          <w:p w14:paraId="7F254D73">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60.7</w:t>
            </w:r>
          </w:p>
        </w:tc>
        <w:tc>
          <w:tcPr>
            <w:tcW w:w="244" w:type="pct"/>
            <w:shd w:val="clear" w:color="auto" w:fill="auto"/>
            <w:noWrap/>
            <w:vAlign w:val="center"/>
          </w:tcPr>
          <w:p w14:paraId="7BADC819">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58.9</w:t>
            </w:r>
          </w:p>
        </w:tc>
        <w:tc>
          <w:tcPr>
            <w:tcW w:w="318" w:type="pct"/>
            <w:shd w:val="clear" w:color="auto" w:fill="auto"/>
            <w:noWrap/>
            <w:vAlign w:val="center"/>
          </w:tcPr>
          <w:p w14:paraId="3567CE3B">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57.5</w:t>
            </w:r>
          </w:p>
        </w:tc>
        <w:tc>
          <w:tcPr>
            <w:tcW w:w="318" w:type="pct"/>
            <w:shd w:val="clear" w:color="auto" w:fill="auto"/>
            <w:noWrap/>
            <w:vAlign w:val="center"/>
          </w:tcPr>
          <w:p w14:paraId="6443F5DA">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56.4</w:t>
            </w:r>
          </w:p>
        </w:tc>
        <w:tc>
          <w:tcPr>
            <w:tcW w:w="318" w:type="pct"/>
            <w:shd w:val="clear" w:color="auto" w:fill="auto"/>
            <w:noWrap/>
            <w:vAlign w:val="center"/>
          </w:tcPr>
          <w:p w14:paraId="7FB3482E">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54.5</w:t>
            </w:r>
          </w:p>
        </w:tc>
        <w:tc>
          <w:tcPr>
            <w:tcW w:w="325" w:type="pct"/>
            <w:shd w:val="clear" w:color="auto" w:fill="auto"/>
            <w:noWrap/>
            <w:vAlign w:val="center"/>
          </w:tcPr>
          <w:p w14:paraId="4EEC8E1F">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52.9</w:t>
            </w:r>
          </w:p>
        </w:tc>
        <w:tc>
          <w:tcPr>
            <w:tcW w:w="293" w:type="pct"/>
            <w:shd w:val="clear" w:color="auto" w:fill="auto"/>
            <w:noWrap/>
            <w:vAlign w:val="center"/>
          </w:tcPr>
          <w:p w14:paraId="76EA859E">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&lt; 20.0</w:t>
            </w:r>
          </w:p>
        </w:tc>
        <w:tc>
          <w:tcPr>
            <w:tcW w:w="251" w:type="pct"/>
            <w:shd w:val="clear" w:color="auto" w:fill="auto"/>
            <w:noWrap/>
            <w:vAlign w:val="center"/>
          </w:tcPr>
          <w:p w14:paraId="7065FCCE">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67.6</w:t>
            </w:r>
          </w:p>
        </w:tc>
      </w:tr>
      <w:tr w14:paraId="2F7E318C">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617" w:type="pct"/>
            <w:vMerge w:val="continue"/>
            <w:vAlign w:val="center"/>
          </w:tcPr>
          <w:p w14:paraId="2FE5449D">
            <w:pPr>
              <w:widowControl/>
              <w:spacing w:line="240" w:lineRule="exact"/>
              <w:jc w:val="center"/>
              <w:rPr>
                <w:rFonts w:ascii="Times New Roman" w:hAnsi="Times New Roman" w:eastAsia="宋体" w:cs="Times New Roman"/>
                <w:kern w:val="0"/>
                <w:szCs w:val="21"/>
              </w:rPr>
            </w:pPr>
          </w:p>
        </w:tc>
        <w:tc>
          <w:tcPr>
            <w:tcW w:w="514" w:type="pct"/>
            <w:vMerge w:val="continue"/>
            <w:vAlign w:val="center"/>
          </w:tcPr>
          <w:p w14:paraId="2DB394C6">
            <w:pPr>
              <w:widowControl/>
              <w:spacing w:line="240" w:lineRule="exact"/>
              <w:jc w:val="center"/>
              <w:rPr>
                <w:rFonts w:ascii="Times New Roman" w:hAnsi="Times New Roman" w:eastAsia="宋体" w:cs="Times New Roman"/>
                <w:kern w:val="0"/>
                <w:szCs w:val="21"/>
              </w:rPr>
            </w:pPr>
          </w:p>
        </w:tc>
        <w:tc>
          <w:tcPr>
            <w:tcW w:w="310" w:type="pct"/>
            <w:vMerge w:val="continue"/>
            <w:vAlign w:val="center"/>
          </w:tcPr>
          <w:p w14:paraId="3D10B78A">
            <w:pPr>
              <w:widowControl/>
              <w:spacing w:line="240" w:lineRule="exact"/>
              <w:jc w:val="center"/>
              <w:rPr>
                <w:rFonts w:ascii="Times New Roman" w:hAnsi="Times New Roman" w:eastAsia="宋体" w:cs="Times New Roman"/>
                <w:kern w:val="0"/>
                <w:szCs w:val="21"/>
              </w:rPr>
            </w:pPr>
          </w:p>
        </w:tc>
        <w:tc>
          <w:tcPr>
            <w:tcW w:w="272" w:type="pct"/>
            <w:shd w:val="clear" w:color="auto" w:fill="auto"/>
            <w:noWrap/>
            <w:vAlign w:val="center"/>
          </w:tcPr>
          <w:p w14:paraId="09273277">
            <w:pPr>
              <w:widowControl/>
              <w:spacing w:line="240" w:lineRule="exact"/>
              <w:jc w:val="center"/>
              <w:rPr>
                <w:rFonts w:ascii="Times New Roman" w:hAnsi="Times New Roman" w:eastAsia="宋体" w:cs="Times New Roman"/>
                <w:kern w:val="0"/>
                <w:szCs w:val="21"/>
              </w:rPr>
            </w:pPr>
            <w:r>
              <w:rPr>
                <w:rFonts w:ascii="Times New Roman" w:hAnsi="宋体" w:eastAsia="宋体" w:cs="Times New Roman"/>
                <w:kern w:val="0"/>
                <w:szCs w:val="21"/>
              </w:rPr>
              <w:t>夜间</w:t>
            </w:r>
          </w:p>
        </w:tc>
        <w:tc>
          <w:tcPr>
            <w:tcW w:w="244" w:type="pct"/>
            <w:shd w:val="clear" w:color="auto" w:fill="auto"/>
            <w:noWrap/>
            <w:vAlign w:val="center"/>
          </w:tcPr>
          <w:p w14:paraId="72EED129">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65.3</w:t>
            </w:r>
          </w:p>
        </w:tc>
        <w:tc>
          <w:tcPr>
            <w:tcW w:w="244" w:type="pct"/>
            <w:shd w:val="clear" w:color="auto" w:fill="auto"/>
            <w:noWrap/>
            <w:vAlign w:val="center"/>
          </w:tcPr>
          <w:p w14:paraId="7070767D">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61.5</w:t>
            </w:r>
          </w:p>
        </w:tc>
        <w:tc>
          <w:tcPr>
            <w:tcW w:w="244" w:type="pct"/>
            <w:shd w:val="clear" w:color="auto" w:fill="auto"/>
            <w:noWrap/>
            <w:vAlign w:val="center"/>
          </w:tcPr>
          <w:p w14:paraId="06DD700A">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59.4</w:t>
            </w:r>
          </w:p>
        </w:tc>
        <w:tc>
          <w:tcPr>
            <w:tcW w:w="244" w:type="pct"/>
            <w:shd w:val="clear" w:color="auto" w:fill="auto"/>
            <w:noWrap/>
            <w:vAlign w:val="center"/>
          </w:tcPr>
          <w:p w14:paraId="38D88966">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57.9</w:t>
            </w:r>
          </w:p>
        </w:tc>
        <w:tc>
          <w:tcPr>
            <w:tcW w:w="244" w:type="pct"/>
            <w:shd w:val="clear" w:color="auto" w:fill="auto"/>
            <w:noWrap/>
            <w:vAlign w:val="center"/>
          </w:tcPr>
          <w:p w14:paraId="1FBD6C93">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56.8</w:t>
            </w:r>
          </w:p>
        </w:tc>
        <w:tc>
          <w:tcPr>
            <w:tcW w:w="244" w:type="pct"/>
            <w:shd w:val="clear" w:color="auto" w:fill="auto"/>
            <w:noWrap/>
            <w:vAlign w:val="center"/>
          </w:tcPr>
          <w:p w14:paraId="58B23C94">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55.0</w:t>
            </w:r>
          </w:p>
        </w:tc>
        <w:tc>
          <w:tcPr>
            <w:tcW w:w="318" w:type="pct"/>
            <w:shd w:val="clear" w:color="auto" w:fill="auto"/>
            <w:noWrap/>
            <w:vAlign w:val="center"/>
          </w:tcPr>
          <w:p w14:paraId="67EA1D14">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53.7</w:t>
            </w:r>
          </w:p>
        </w:tc>
        <w:tc>
          <w:tcPr>
            <w:tcW w:w="318" w:type="pct"/>
            <w:shd w:val="clear" w:color="auto" w:fill="auto"/>
            <w:noWrap/>
            <w:vAlign w:val="center"/>
          </w:tcPr>
          <w:p w14:paraId="751F15DE">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52.5</w:t>
            </w:r>
          </w:p>
        </w:tc>
        <w:tc>
          <w:tcPr>
            <w:tcW w:w="318" w:type="pct"/>
            <w:shd w:val="clear" w:color="auto" w:fill="auto"/>
            <w:noWrap/>
            <w:vAlign w:val="center"/>
          </w:tcPr>
          <w:p w14:paraId="051A35B6">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50.6</w:t>
            </w:r>
          </w:p>
        </w:tc>
        <w:tc>
          <w:tcPr>
            <w:tcW w:w="325" w:type="pct"/>
            <w:shd w:val="clear" w:color="auto" w:fill="auto"/>
            <w:noWrap/>
            <w:vAlign w:val="center"/>
          </w:tcPr>
          <w:p w14:paraId="29160DBD">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49.1</w:t>
            </w:r>
          </w:p>
        </w:tc>
        <w:tc>
          <w:tcPr>
            <w:tcW w:w="293" w:type="pct"/>
            <w:shd w:val="clear" w:color="auto" w:fill="auto"/>
            <w:noWrap/>
            <w:vAlign w:val="center"/>
          </w:tcPr>
          <w:p w14:paraId="5E3F34B4">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80.5</w:t>
            </w:r>
          </w:p>
        </w:tc>
        <w:tc>
          <w:tcPr>
            <w:tcW w:w="251" w:type="pct"/>
            <w:shd w:val="clear" w:color="auto" w:fill="auto"/>
            <w:noWrap/>
            <w:vAlign w:val="center"/>
          </w:tcPr>
          <w:p w14:paraId="2C7B4AF9">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176.0</w:t>
            </w:r>
          </w:p>
        </w:tc>
      </w:tr>
      <w:tr w14:paraId="06A4142A">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617" w:type="pct"/>
            <w:vMerge w:val="continue"/>
            <w:vAlign w:val="center"/>
          </w:tcPr>
          <w:p w14:paraId="61A42BAD">
            <w:pPr>
              <w:widowControl/>
              <w:spacing w:line="240" w:lineRule="exact"/>
              <w:jc w:val="center"/>
              <w:rPr>
                <w:rFonts w:ascii="Times New Roman" w:hAnsi="Times New Roman" w:eastAsia="宋体" w:cs="Times New Roman"/>
                <w:kern w:val="0"/>
                <w:szCs w:val="21"/>
              </w:rPr>
            </w:pPr>
          </w:p>
        </w:tc>
        <w:tc>
          <w:tcPr>
            <w:tcW w:w="514" w:type="pct"/>
            <w:vMerge w:val="continue"/>
            <w:vAlign w:val="center"/>
          </w:tcPr>
          <w:p w14:paraId="21744888">
            <w:pPr>
              <w:widowControl/>
              <w:spacing w:line="240" w:lineRule="exact"/>
              <w:jc w:val="center"/>
              <w:rPr>
                <w:rFonts w:ascii="Times New Roman" w:hAnsi="Times New Roman" w:eastAsia="宋体" w:cs="Times New Roman"/>
                <w:kern w:val="0"/>
                <w:szCs w:val="21"/>
              </w:rPr>
            </w:pPr>
          </w:p>
        </w:tc>
        <w:tc>
          <w:tcPr>
            <w:tcW w:w="310" w:type="pct"/>
            <w:vMerge w:val="restart"/>
            <w:shd w:val="clear" w:color="auto" w:fill="auto"/>
            <w:noWrap/>
            <w:vAlign w:val="center"/>
          </w:tcPr>
          <w:p w14:paraId="361D6ED2">
            <w:pPr>
              <w:widowControl/>
              <w:spacing w:line="240" w:lineRule="exact"/>
              <w:jc w:val="center"/>
              <w:rPr>
                <w:rFonts w:ascii="Times New Roman" w:hAnsi="Times New Roman" w:eastAsia="宋体" w:cs="Times New Roman"/>
                <w:kern w:val="0"/>
                <w:szCs w:val="21"/>
              </w:rPr>
            </w:pPr>
            <w:r>
              <w:rPr>
                <w:rFonts w:ascii="Times New Roman" w:hAnsi="宋体" w:eastAsia="宋体" w:cs="Times New Roman"/>
                <w:kern w:val="0"/>
                <w:szCs w:val="21"/>
              </w:rPr>
              <w:t>远期</w:t>
            </w:r>
          </w:p>
        </w:tc>
        <w:tc>
          <w:tcPr>
            <w:tcW w:w="272" w:type="pct"/>
            <w:shd w:val="clear" w:color="auto" w:fill="auto"/>
            <w:noWrap/>
            <w:vAlign w:val="center"/>
          </w:tcPr>
          <w:p w14:paraId="7BA6D34D">
            <w:pPr>
              <w:widowControl/>
              <w:spacing w:line="240" w:lineRule="exact"/>
              <w:jc w:val="center"/>
              <w:rPr>
                <w:rFonts w:ascii="Times New Roman" w:hAnsi="Times New Roman" w:eastAsia="宋体" w:cs="Times New Roman"/>
                <w:kern w:val="0"/>
                <w:szCs w:val="21"/>
              </w:rPr>
            </w:pPr>
            <w:r>
              <w:rPr>
                <w:rFonts w:ascii="Times New Roman" w:hAnsi="宋体" w:eastAsia="宋体" w:cs="Times New Roman"/>
                <w:kern w:val="0"/>
                <w:szCs w:val="21"/>
              </w:rPr>
              <w:t>昼间</w:t>
            </w:r>
          </w:p>
        </w:tc>
        <w:tc>
          <w:tcPr>
            <w:tcW w:w="244" w:type="pct"/>
            <w:shd w:val="clear" w:color="auto" w:fill="auto"/>
            <w:noWrap/>
            <w:vAlign w:val="center"/>
          </w:tcPr>
          <w:p w14:paraId="237E2E27">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69.9</w:t>
            </w:r>
          </w:p>
        </w:tc>
        <w:tc>
          <w:tcPr>
            <w:tcW w:w="244" w:type="pct"/>
            <w:shd w:val="clear" w:color="auto" w:fill="auto"/>
            <w:noWrap/>
            <w:vAlign w:val="center"/>
          </w:tcPr>
          <w:p w14:paraId="2EA5BB85">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66.1</w:t>
            </w:r>
          </w:p>
        </w:tc>
        <w:tc>
          <w:tcPr>
            <w:tcW w:w="244" w:type="pct"/>
            <w:shd w:val="clear" w:color="auto" w:fill="auto"/>
            <w:noWrap/>
            <w:vAlign w:val="center"/>
          </w:tcPr>
          <w:p w14:paraId="7D0D1C7B">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64.0</w:t>
            </w:r>
          </w:p>
        </w:tc>
        <w:tc>
          <w:tcPr>
            <w:tcW w:w="244" w:type="pct"/>
            <w:shd w:val="clear" w:color="auto" w:fill="auto"/>
            <w:noWrap/>
            <w:vAlign w:val="center"/>
          </w:tcPr>
          <w:p w14:paraId="74F54E8C">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62.5</w:t>
            </w:r>
          </w:p>
        </w:tc>
        <w:tc>
          <w:tcPr>
            <w:tcW w:w="244" w:type="pct"/>
            <w:shd w:val="clear" w:color="auto" w:fill="auto"/>
            <w:noWrap/>
            <w:vAlign w:val="center"/>
          </w:tcPr>
          <w:p w14:paraId="6EBE0154">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61.4</w:t>
            </w:r>
          </w:p>
        </w:tc>
        <w:tc>
          <w:tcPr>
            <w:tcW w:w="244" w:type="pct"/>
            <w:shd w:val="clear" w:color="auto" w:fill="auto"/>
            <w:noWrap/>
            <w:vAlign w:val="center"/>
          </w:tcPr>
          <w:p w14:paraId="0580E5E2">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59.6</w:t>
            </w:r>
          </w:p>
        </w:tc>
        <w:tc>
          <w:tcPr>
            <w:tcW w:w="318" w:type="pct"/>
            <w:shd w:val="clear" w:color="auto" w:fill="auto"/>
            <w:noWrap/>
            <w:vAlign w:val="center"/>
          </w:tcPr>
          <w:p w14:paraId="5E549C0C">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58.2</w:t>
            </w:r>
          </w:p>
        </w:tc>
        <w:tc>
          <w:tcPr>
            <w:tcW w:w="318" w:type="pct"/>
            <w:shd w:val="clear" w:color="auto" w:fill="auto"/>
            <w:noWrap/>
            <w:vAlign w:val="center"/>
          </w:tcPr>
          <w:p w14:paraId="171AAFCF">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57.1</w:t>
            </w:r>
          </w:p>
        </w:tc>
        <w:tc>
          <w:tcPr>
            <w:tcW w:w="318" w:type="pct"/>
            <w:shd w:val="clear" w:color="auto" w:fill="auto"/>
            <w:noWrap/>
            <w:vAlign w:val="center"/>
          </w:tcPr>
          <w:p w14:paraId="062A4745">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55.2</w:t>
            </w:r>
          </w:p>
        </w:tc>
        <w:tc>
          <w:tcPr>
            <w:tcW w:w="325" w:type="pct"/>
            <w:shd w:val="clear" w:color="auto" w:fill="auto"/>
            <w:noWrap/>
            <w:vAlign w:val="center"/>
          </w:tcPr>
          <w:p w14:paraId="6027C1F9">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53.7</w:t>
            </w:r>
          </w:p>
        </w:tc>
        <w:tc>
          <w:tcPr>
            <w:tcW w:w="293" w:type="pct"/>
            <w:shd w:val="clear" w:color="auto" w:fill="auto"/>
            <w:noWrap/>
            <w:vAlign w:val="center"/>
          </w:tcPr>
          <w:p w14:paraId="08D4B8FC">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&lt; 20.0</w:t>
            </w:r>
          </w:p>
        </w:tc>
        <w:tc>
          <w:tcPr>
            <w:tcW w:w="251" w:type="pct"/>
            <w:shd w:val="clear" w:color="auto" w:fill="auto"/>
            <w:noWrap/>
            <w:vAlign w:val="center"/>
          </w:tcPr>
          <w:p w14:paraId="1304FD1E">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75.7</w:t>
            </w:r>
          </w:p>
        </w:tc>
      </w:tr>
      <w:tr w14:paraId="305F4CA8">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617" w:type="pct"/>
            <w:vMerge w:val="continue"/>
            <w:vAlign w:val="center"/>
          </w:tcPr>
          <w:p w14:paraId="79BD6C72">
            <w:pPr>
              <w:widowControl/>
              <w:spacing w:line="240" w:lineRule="exact"/>
              <w:jc w:val="center"/>
              <w:rPr>
                <w:rFonts w:ascii="Times New Roman" w:hAnsi="Times New Roman" w:eastAsia="宋体" w:cs="Times New Roman"/>
                <w:kern w:val="0"/>
                <w:szCs w:val="21"/>
              </w:rPr>
            </w:pPr>
          </w:p>
        </w:tc>
        <w:tc>
          <w:tcPr>
            <w:tcW w:w="514" w:type="pct"/>
            <w:vMerge w:val="continue"/>
            <w:vAlign w:val="center"/>
          </w:tcPr>
          <w:p w14:paraId="0239A81D">
            <w:pPr>
              <w:widowControl/>
              <w:spacing w:line="240" w:lineRule="exact"/>
              <w:jc w:val="center"/>
              <w:rPr>
                <w:rFonts w:ascii="Times New Roman" w:hAnsi="Times New Roman" w:eastAsia="宋体" w:cs="Times New Roman"/>
                <w:kern w:val="0"/>
                <w:szCs w:val="21"/>
              </w:rPr>
            </w:pPr>
          </w:p>
        </w:tc>
        <w:tc>
          <w:tcPr>
            <w:tcW w:w="310" w:type="pct"/>
            <w:vMerge w:val="continue"/>
            <w:vAlign w:val="center"/>
          </w:tcPr>
          <w:p w14:paraId="1E16E7D4">
            <w:pPr>
              <w:widowControl/>
              <w:spacing w:line="240" w:lineRule="exact"/>
              <w:jc w:val="center"/>
              <w:rPr>
                <w:rFonts w:ascii="Times New Roman" w:hAnsi="Times New Roman" w:eastAsia="宋体" w:cs="Times New Roman"/>
                <w:kern w:val="0"/>
                <w:szCs w:val="21"/>
              </w:rPr>
            </w:pPr>
          </w:p>
        </w:tc>
        <w:tc>
          <w:tcPr>
            <w:tcW w:w="272" w:type="pct"/>
            <w:shd w:val="clear" w:color="auto" w:fill="auto"/>
            <w:noWrap/>
            <w:vAlign w:val="center"/>
          </w:tcPr>
          <w:p w14:paraId="7B44F1EA">
            <w:pPr>
              <w:widowControl/>
              <w:spacing w:line="240" w:lineRule="exact"/>
              <w:jc w:val="center"/>
              <w:rPr>
                <w:rFonts w:ascii="Times New Roman" w:hAnsi="Times New Roman" w:eastAsia="宋体" w:cs="Times New Roman"/>
                <w:kern w:val="0"/>
                <w:szCs w:val="21"/>
              </w:rPr>
            </w:pPr>
            <w:r>
              <w:rPr>
                <w:rFonts w:ascii="Times New Roman" w:hAnsi="宋体" w:eastAsia="宋体" w:cs="Times New Roman"/>
                <w:kern w:val="0"/>
                <w:szCs w:val="21"/>
              </w:rPr>
              <w:t>夜间</w:t>
            </w:r>
          </w:p>
        </w:tc>
        <w:tc>
          <w:tcPr>
            <w:tcW w:w="244" w:type="pct"/>
            <w:shd w:val="clear" w:color="auto" w:fill="auto"/>
            <w:noWrap/>
            <w:vAlign w:val="center"/>
          </w:tcPr>
          <w:p w14:paraId="0FAAE2E3">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66.1</w:t>
            </w:r>
          </w:p>
        </w:tc>
        <w:tc>
          <w:tcPr>
            <w:tcW w:w="244" w:type="pct"/>
            <w:shd w:val="clear" w:color="auto" w:fill="auto"/>
            <w:noWrap/>
            <w:vAlign w:val="center"/>
          </w:tcPr>
          <w:p w14:paraId="7892C29B">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62.2</w:t>
            </w:r>
          </w:p>
        </w:tc>
        <w:tc>
          <w:tcPr>
            <w:tcW w:w="244" w:type="pct"/>
            <w:shd w:val="clear" w:color="auto" w:fill="auto"/>
            <w:noWrap/>
            <w:vAlign w:val="center"/>
          </w:tcPr>
          <w:p w14:paraId="73190783">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60.1</w:t>
            </w:r>
          </w:p>
        </w:tc>
        <w:tc>
          <w:tcPr>
            <w:tcW w:w="244" w:type="pct"/>
            <w:shd w:val="clear" w:color="auto" w:fill="auto"/>
            <w:noWrap/>
            <w:vAlign w:val="center"/>
          </w:tcPr>
          <w:p w14:paraId="5FA3CE6D">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58.7</w:t>
            </w:r>
          </w:p>
        </w:tc>
        <w:tc>
          <w:tcPr>
            <w:tcW w:w="244" w:type="pct"/>
            <w:shd w:val="clear" w:color="auto" w:fill="auto"/>
            <w:noWrap/>
            <w:vAlign w:val="center"/>
          </w:tcPr>
          <w:p w14:paraId="71D1FC82">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57.5</w:t>
            </w:r>
          </w:p>
        </w:tc>
        <w:tc>
          <w:tcPr>
            <w:tcW w:w="244" w:type="pct"/>
            <w:shd w:val="clear" w:color="auto" w:fill="auto"/>
            <w:noWrap/>
            <w:vAlign w:val="center"/>
          </w:tcPr>
          <w:p w14:paraId="6C9FA6D2">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55.7</w:t>
            </w:r>
          </w:p>
        </w:tc>
        <w:tc>
          <w:tcPr>
            <w:tcW w:w="318" w:type="pct"/>
            <w:shd w:val="clear" w:color="auto" w:fill="auto"/>
            <w:noWrap/>
            <w:vAlign w:val="center"/>
          </w:tcPr>
          <w:p w14:paraId="42A743FA">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54.4</w:t>
            </w:r>
          </w:p>
        </w:tc>
        <w:tc>
          <w:tcPr>
            <w:tcW w:w="318" w:type="pct"/>
            <w:shd w:val="clear" w:color="auto" w:fill="auto"/>
            <w:noWrap/>
            <w:vAlign w:val="center"/>
          </w:tcPr>
          <w:p w14:paraId="1F7A1557">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53.2</w:t>
            </w:r>
          </w:p>
        </w:tc>
        <w:tc>
          <w:tcPr>
            <w:tcW w:w="318" w:type="pct"/>
            <w:shd w:val="clear" w:color="auto" w:fill="auto"/>
            <w:noWrap/>
            <w:vAlign w:val="center"/>
          </w:tcPr>
          <w:p w14:paraId="444DA00D">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51.3</w:t>
            </w:r>
          </w:p>
        </w:tc>
        <w:tc>
          <w:tcPr>
            <w:tcW w:w="325" w:type="pct"/>
            <w:shd w:val="clear" w:color="auto" w:fill="auto"/>
            <w:noWrap/>
            <w:vAlign w:val="center"/>
          </w:tcPr>
          <w:p w14:paraId="1C07AB3F">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49.8</w:t>
            </w:r>
          </w:p>
        </w:tc>
        <w:tc>
          <w:tcPr>
            <w:tcW w:w="293" w:type="pct"/>
            <w:shd w:val="clear" w:color="auto" w:fill="auto"/>
            <w:noWrap/>
            <w:vAlign w:val="center"/>
          </w:tcPr>
          <w:p w14:paraId="2D84459F">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90.8</w:t>
            </w:r>
          </w:p>
        </w:tc>
        <w:tc>
          <w:tcPr>
            <w:tcW w:w="251" w:type="pct"/>
            <w:shd w:val="clear" w:color="auto" w:fill="auto"/>
            <w:noWrap/>
            <w:vAlign w:val="center"/>
          </w:tcPr>
          <w:p w14:paraId="5943AB9D">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194.2</w:t>
            </w:r>
          </w:p>
        </w:tc>
      </w:tr>
    </w:tbl>
    <w:p w14:paraId="42C8ED68">
      <w:pPr>
        <w:sectPr>
          <w:headerReference r:id="rId75" w:type="default"/>
          <w:footerReference r:id="rId76" w:type="default"/>
          <w:footerReference r:id="rId77" w:type="even"/>
          <w:pgSz w:w="16838" w:h="11906" w:orient="landscape"/>
          <w:pgMar w:top="1560" w:right="1440" w:bottom="1797" w:left="1440" w:header="851" w:footer="992" w:gutter="0"/>
          <w:pgBorders>
            <w:top w:val="none" w:sz="0" w:space="0"/>
            <w:left w:val="none" w:sz="0" w:space="0"/>
            <w:bottom w:val="none" w:sz="0" w:space="0"/>
            <w:right w:val="none" w:sz="0" w:space="0"/>
          </w:pgBorders>
          <w:cols w:space="720" w:num="1"/>
          <w:docGrid w:linePitch="312" w:charSpace="0"/>
        </w:sectPr>
      </w:pPr>
    </w:p>
    <w:p w14:paraId="06A51786">
      <w:pPr>
        <w:spacing w:line="30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(2) 敏感点环境噪声影响预测与评价</w:t>
      </w:r>
    </w:p>
    <w:p w14:paraId="364BE9BE">
      <w:pPr>
        <w:spacing w:line="300" w:lineRule="auto"/>
        <w:ind w:firstLine="480" w:firstLineChars="200"/>
        <w:rPr>
          <w:rFonts w:ascii="Times New Roman" w:hAnsi="Times New Roman" w:eastAsia="宋体" w:cs="Times New Roman"/>
          <w:bCs/>
          <w:sz w:val="24"/>
        </w:rPr>
      </w:pPr>
      <w:r>
        <w:rPr>
          <w:rFonts w:ascii="Times New Roman" w:hAnsi="Times New Roman" w:eastAsia="宋体" w:cs="Times New Roman"/>
          <w:sz w:val="24"/>
        </w:rPr>
        <w:t>敏感点环境噪声预测应考虑其所处的路段及所对应的地面覆盖状况、道路结构、路堤或路堑高度、公路有限长声源、地形地物等因素修正，由交通噪声预测值</w:t>
      </w:r>
      <w:r>
        <w:rPr>
          <w:rFonts w:hint="eastAsia" w:ascii="Times New Roman" w:hAnsi="Times New Roman" w:eastAsia="宋体" w:cs="Times New Roman"/>
          <w:sz w:val="24"/>
          <w:lang w:eastAsia="zh-CN"/>
        </w:rPr>
        <w:t>叠加</w:t>
      </w:r>
      <w:r>
        <w:rPr>
          <w:rFonts w:ascii="Times New Roman" w:hAnsi="Times New Roman" w:eastAsia="宋体" w:cs="Times New Roman"/>
          <w:sz w:val="24"/>
        </w:rPr>
        <w:t>相应的声环境背景值得到。</w:t>
      </w:r>
      <w:r>
        <w:rPr>
          <w:rFonts w:ascii="Times New Roman" w:hAnsi="Times New Roman" w:eastAsia="宋体" w:cs="Times New Roman"/>
          <w:bCs/>
          <w:sz w:val="24"/>
        </w:rPr>
        <w:t>背景值选取各监测点位</w:t>
      </w:r>
      <w:r>
        <w:rPr>
          <w:rFonts w:hint="eastAsia" w:ascii="Times New Roman" w:hAnsi="Times New Roman" w:eastAsia="宋体" w:cs="Times New Roman"/>
          <w:bCs/>
          <w:sz w:val="24"/>
        </w:rPr>
        <w:t>昼间和夜间</w:t>
      </w:r>
      <w:r>
        <w:rPr>
          <w:rFonts w:ascii="Times New Roman" w:hAnsi="Times New Roman" w:eastAsia="宋体" w:cs="Times New Roman"/>
          <w:bCs/>
          <w:sz w:val="24"/>
        </w:rPr>
        <w:t>监测值的算术</w:t>
      </w:r>
      <w:r>
        <w:rPr>
          <w:rFonts w:hint="eastAsia" w:ascii="Times New Roman" w:hAnsi="Times New Roman" w:eastAsia="宋体" w:cs="Times New Roman"/>
          <w:bCs/>
          <w:sz w:val="24"/>
        </w:rPr>
        <w:t>平均值</w:t>
      </w:r>
      <w:r>
        <w:rPr>
          <w:rFonts w:ascii="Times New Roman" w:hAnsi="Times New Roman" w:eastAsia="宋体" w:cs="Times New Roman"/>
          <w:bCs/>
          <w:sz w:val="24"/>
        </w:rPr>
        <w:t>，详见表4.2-</w:t>
      </w:r>
      <w:r>
        <w:rPr>
          <w:rFonts w:hint="eastAsia" w:ascii="Times New Roman" w:hAnsi="Times New Roman" w:eastAsia="宋体" w:cs="Times New Roman"/>
          <w:bCs/>
          <w:sz w:val="24"/>
        </w:rPr>
        <w:t>7</w:t>
      </w:r>
      <w:r>
        <w:rPr>
          <w:rFonts w:ascii="Times New Roman" w:hAnsi="Times New Roman" w:eastAsia="宋体" w:cs="Times New Roman"/>
          <w:bCs/>
          <w:sz w:val="24"/>
        </w:rPr>
        <w:t>。</w:t>
      </w:r>
    </w:p>
    <w:p w14:paraId="3D501DB3">
      <w:pPr>
        <w:spacing w:beforeLines="50"/>
        <w:jc w:val="center"/>
        <w:rPr>
          <w:rFonts w:ascii="Times New Roman" w:hAnsi="Times New Roman" w:eastAsia="宋体" w:cs="Times New Roman"/>
          <w:b/>
          <w:bCs/>
          <w:szCs w:val="18"/>
        </w:rPr>
      </w:pPr>
      <w:bookmarkStart w:id="223" w:name="_Hlk113888487"/>
      <w:r>
        <w:rPr>
          <w:rFonts w:ascii="Times New Roman" w:hAnsi="宋体" w:eastAsia="宋体" w:cs="Times New Roman"/>
          <w:b/>
          <w:bCs/>
          <w:szCs w:val="18"/>
        </w:rPr>
        <w:t>表</w:t>
      </w:r>
      <w:r>
        <w:rPr>
          <w:rFonts w:ascii="Times New Roman" w:hAnsi="Times New Roman" w:eastAsia="宋体" w:cs="Times New Roman"/>
          <w:b/>
          <w:bCs/>
          <w:szCs w:val="18"/>
        </w:rPr>
        <w:t>4.2-</w:t>
      </w:r>
      <w:r>
        <w:rPr>
          <w:rFonts w:hint="eastAsia" w:ascii="Times New Roman" w:hAnsi="Times New Roman" w:eastAsia="宋体" w:cs="Times New Roman"/>
          <w:b/>
          <w:bCs/>
          <w:szCs w:val="18"/>
        </w:rPr>
        <w:t>7</w:t>
      </w:r>
      <w:r>
        <w:rPr>
          <w:rFonts w:ascii="Times New Roman" w:hAnsi="Times New Roman" w:eastAsia="宋体" w:cs="Times New Roman"/>
          <w:b/>
          <w:bCs/>
          <w:szCs w:val="18"/>
        </w:rPr>
        <w:t xml:space="preserve">  </w:t>
      </w:r>
      <w:r>
        <w:rPr>
          <w:rFonts w:ascii="Times New Roman" w:hAnsi="宋体" w:eastAsia="宋体" w:cs="Times New Roman"/>
          <w:b/>
          <w:bCs/>
          <w:szCs w:val="18"/>
        </w:rPr>
        <w:t>敏感点背景值选取情况一览表</w:t>
      </w:r>
      <w:bookmarkEnd w:id="223"/>
    </w:p>
    <w:tbl>
      <w:tblPr>
        <w:tblStyle w:val="22"/>
        <w:tblW w:w="5000" w:type="pct"/>
        <w:jc w:val="center"/>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573"/>
        <w:gridCol w:w="1036"/>
        <w:gridCol w:w="745"/>
        <w:gridCol w:w="745"/>
        <w:gridCol w:w="1467"/>
        <w:gridCol w:w="3806"/>
      </w:tblGrid>
      <w:tr w14:paraId="60FF2D89">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cantSplit/>
          <w:tblHeader/>
          <w:jc w:val="center"/>
        </w:trPr>
        <w:tc>
          <w:tcPr>
            <w:tcW w:w="342" w:type="pct"/>
            <w:vMerge w:val="restart"/>
            <w:vAlign w:val="center"/>
          </w:tcPr>
          <w:p w14:paraId="22A982A1">
            <w:pPr>
              <w:jc w:val="center"/>
              <w:rPr>
                <w:rFonts w:ascii="Times New Roman" w:hAnsi="Times New Roman" w:eastAsia="宋体" w:cs="Times New Roman"/>
                <w:b/>
              </w:rPr>
            </w:pPr>
            <w:r>
              <w:rPr>
                <w:rFonts w:hint="eastAsia" w:ascii="Times New Roman" w:hAnsi="Times New Roman" w:eastAsia="宋体" w:cs="Times New Roman"/>
                <w:b/>
              </w:rPr>
              <w:t>序号</w:t>
            </w:r>
          </w:p>
        </w:tc>
        <w:tc>
          <w:tcPr>
            <w:tcW w:w="619" w:type="pct"/>
            <w:vMerge w:val="restart"/>
            <w:vAlign w:val="center"/>
          </w:tcPr>
          <w:p w14:paraId="6BFF089B">
            <w:pPr>
              <w:ind w:left="105" w:leftChars="50" w:right="105" w:rightChars="50"/>
              <w:jc w:val="center"/>
              <w:rPr>
                <w:rFonts w:ascii="Times New Roman" w:hAnsi="Times New Roman" w:eastAsia="宋体" w:cs="Times New Roman"/>
                <w:b/>
                <w:bCs/>
                <w:szCs w:val="21"/>
              </w:rPr>
            </w:pPr>
            <w:r>
              <w:rPr>
                <w:rFonts w:ascii="Times New Roman" w:hAnsi="宋体" w:eastAsia="宋体" w:cs="Times New Roman"/>
                <w:b/>
                <w:bCs/>
                <w:szCs w:val="21"/>
              </w:rPr>
              <w:t>敏感点名称</w:t>
            </w:r>
          </w:p>
        </w:tc>
        <w:tc>
          <w:tcPr>
            <w:tcW w:w="890" w:type="pct"/>
            <w:gridSpan w:val="2"/>
            <w:vAlign w:val="center"/>
          </w:tcPr>
          <w:p w14:paraId="7E23250A">
            <w:pPr>
              <w:ind w:left="105" w:leftChars="50" w:right="105" w:rightChars="50"/>
              <w:jc w:val="center"/>
              <w:rPr>
                <w:rFonts w:ascii="Times New Roman" w:hAnsi="Times New Roman" w:eastAsia="宋体" w:cs="Times New Roman"/>
                <w:b/>
                <w:bCs/>
                <w:szCs w:val="21"/>
              </w:rPr>
            </w:pPr>
            <w:r>
              <w:rPr>
                <w:rFonts w:ascii="Times New Roman" w:hAnsi="宋体" w:eastAsia="宋体" w:cs="Times New Roman"/>
                <w:b/>
                <w:bCs/>
                <w:szCs w:val="21"/>
              </w:rPr>
              <w:t>背景值</w:t>
            </w:r>
            <w:r>
              <w:rPr>
                <w:rFonts w:ascii="Times New Roman" w:hAnsi="Times New Roman" w:eastAsia="宋体" w:cs="Times New Roman"/>
                <w:b/>
                <w:bCs/>
                <w:szCs w:val="21"/>
              </w:rPr>
              <w:t>(dB)</w:t>
            </w:r>
          </w:p>
        </w:tc>
        <w:tc>
          <w:tcPr>
            <w:tcW w:w="876" w:type="pct"/>
            <w:vMerge w:val="restart"/>
            <w:vAlign w:val="center"/>
          </w:tcPr>
          <w:p w14:paraId="2702456D">
            <w:pPr>
              <w:ind w:left="105" w:leftChars="50" w:right="105" w:rightChars="50"/>
              <w:jc w:val="center"/>
              <w:rPr>
                <w:rFonts w:ascii="Times New Roman" w:hAnsi="Times New Roman" w:eastAsia="宋体" w:cs="Times New Roman"/>
                <w:b/>
                <w:bCs/>
                <w:szCs w:val="21"/>
              </w:rPr>
            </w:pPr>
            <w:r>
              <w:rPr>
                <w:rFonts w:ascii="Times New Roman" w:hAnsi="宋体" w:eastAsia="宋体" w:cs="Times New Roman"/>
                <w:b/>
                <w:bCs/>
                <w:szCs w:val="21"/>
              </w:rPr>
              <w:t>可代表点位</w:t>
            </w:r>
          </w:p>
        </w:tc>
        <w:tc>
          <w:tcPr>
            <w:tcW w:w="2273" w:type="pct"/>
            <w:vMerge w:val="restart"/>
            <w:vAlign w:val="center"/>
          </w:tcPr>
          <w:p w14:paraId="74E1D9AD">
            <w:pPr>
              <w:ind w:left="105" w:leftChars="50" w:right="105" w:rightChars="50"/>
              <w:jc w:val="center"/>
              <w:rPr>
                <w:rFonts w:ascii="Times New Roman" w:hAnsi="Times New Roman" w:eastAsia="宋体" w:cs="Times New Roman"/>
                <w:b/>
                <w:bCs/>
                <w:szCs w:val="21"/>
              </w:rPr>
            </w:pPr>
            <w:r>
              <w:rPr>
                <w:rFonts w:ascii="Times New Roman" w:hAnsi="宋体" w:eastAsia="宋体" w:cs="Times New Roman"/>
                <w:b/>
                <w:bCs/>
                <w:szCs w:val="21"/>
              </w:rPr>
              <w:t>监测点位代表性分析</w:t>
            </w:r>
          </w:p>
        </w:tc>
      </w:tr>
      <w:tr w14:paraId="173487BC">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cantSplit/>
          <w:tblHeader/>
          <w:jc w:val="center"/>
        </w:trPr>
        <w:tc>
          <w:tcPr>
            <w:tcW w:w="342" w:type="pct"/>
            <w:vMerge w:val="continue"/>
            <w:vAlign w:val="center"/>
          </w:tcPr>
          <w:p w14:paraId="66AFDBC6">
            <w:pPr>
              <w:jc w:val="center"/>
              <w:rPr>
                <w:rFonts w:ascii="Times New Roman" w:hAnsi="Times New Roman" w:eastAsia="宋体" w:cs="Times New Roman"/>
              </w:rPr>
            </w:pPr>
          </w:p>
        </w:tc>
        <w:tc>
          <w:tcPr>
            <w:tcW w:w="619" w:type="pct"/>
            <w:vMerge w:val="continue"/>
            <w:vAlign w:val="center"/>
          </w:tcPr>
          <w:p w14:paraId="3F06E916">
            <w:pPr>
              <w:widowControl/>
              <w:jc w:val="left"/>
              <w:rPr>
                <w:rFonts w:ascii="Times New Roman" w:hAnsi="Times New Roman" w:eastAsia="宋体" w:cs="Times New Roman"/>
                <w:b/>
                <w:bCs/>
                <w:szCs w:val="21"/>
              </w:rPr>
            </w:pPr>
          </w:p>
        </w:tc>
        <w:tc>
          <w:tcPr>
            <w:tcW w:w="445" w:type="pct"/>
            <w:vAlign w:val="center"/>
          </w:tcPr>
          <w:p w14:paraId="3B1AD2B3">
            <w:pPr>
              <w:ind w:left="105" w:leftChars="50" w:right="105" w:rightChars="50"/>
              <w:jc w:val="center"/>
              <w:rPr>
                <w:rFonts w:ascii="Times New Roman" w:hAnsi="Times New Roman" w:eastAsia="宋体" w:cs="Times New Roman"/>
                <w:b/>
                <w:bCs/>
                <w:szCs w:val="21"/>
              </w:rPr>
            </w:pPr>
            <w:r>
              <w:rPr>
                <w:rFonts w:ascii="Times New Roman" w:hAnsi="宋体" w:eastAsia="宋体" w:cs="Times New Roman"/>
                <w:b/>
                <w:bCs/>
                <w:szCs w:val="21"/>
              </w:rPr>
              <w:t>昼间</w:t>
            </w:r>
          </w:p>
        </w:tc>
        <w:tc>
          <w:tcPr>
            <w:tcW w:w="445" w:type="pct"/>
            <w:vAlign w:val="center"/>
          </w:tcPr>
          <w:p w14:paraId="505EEB0B">
            <w:pPr>
              <w:ind w:left="105" w:leftChars="50" w:right="105" w:rightChars="50"/>
              <w:jc w:val="center"/>
              <w:rPr>
                <w:rFonts w:ascii="Times New Roman" w:hAnsi="Times New Roman" w:eastAsia="宋体" w:cs="Times New Roman"/>
                <w:b/>
                <w:bCs/>
                <w:szCs w:val="21"/>
              </w:rPr>
            </w:pPr>
            <w:r>
              <w:rPr>
                <w:rFonts w:ascii="Times New Roman" w:hAnsi="宋体" w:eastAsia="宋体" w:cs="Times New Roman"/>
                <w:b/>
                <w:bCs/>
                <w:szCs w:val="21"/>
              </w:rPr>
              <w:t>夜间</w:t>
            </w:r>
          </w:p>
        </w:tc>
        <w:tc>
          <w:tcPr>
            <w:tcW w:w="876" w:type="pct"/>
            <w:vMerge w:val="continue"/>
            <w:vAlign w:val="center"/>
          </w:tcPr>
          <w:p w14:paraId="3417EA15">
            <w:pPr>
              <w:widowControl/>
              <w:jc w:val="left"/>
              <w:rPr>
                <w:rFonts w:ascii="Times New Roman" w:hAnsi="Times New Roman" w:eastAsia="宋体" w:cs="Times New Roman"/>
                <w:b/>
                <w:bCs/>
                <w:szCs w:val="21"/>
              </w:rPr>
            </w:pPr>
          </w:p>
        </w:tc>
        <w:tc>
          <w:tcPr>
            <w:tcW w:w="2273" w:type="pct"/>
            <w:vMerge w:val="continue"/>
            <w:vAlign w:val="center"/>
          </w:tcPr>
          <w:p w14:paraId="62E0D307">
            <w:pPr>
              <w:widowControl/>
              <w:rPr>
                <w:rFonts w:ascii="Times New Roman" w:hAnsi="Times New Roman" w:eastAsia="宋体" w:cs="Times New Roman"/>
                <w:b/>
                <w:bCs/>
                <w:szCs w:val="21"/>
              </w:rPr>
            </w:pPr>
          </w:p>
        </w:tc>
      </w:tr>
      <w:tr w14:paraId="17DBAF94">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342" w:type="pct"/>
            <w:vAlign w:val="center"/>
          </w:tcPr>
          <w:p w14:paraId="26C9E183">
            <w:pPr>
              <w:jc w:val="center"/>
              <w:rPr>
                <w:rFonts w:ascii="Times New Roman" w:hAnsi="Times New Roman" w:eastAsia="宋体" w:cs="Times New Roman"/>
              </w:rPr>
            </w:pPr>
            <w:r>
              <w:rPr>
                <w:rFonts w:hint="eastAsia" w:ascii="Times New Roman" w:hAnsi="Times New Roman" w:eastAsia="宋体" w:cs="Times New Roman"/>
              </w:rPr>
              <w:t>1</w:t>
            </w:r>
          </w:p>
        </w:tc>
        <w:tc>
          <w:tcPr>
            <w:tcW w:w="619" w:type="pct"/>
            <w:vAlign w:val="center"/>
          </w:tcPr>
          <w:p w14:paraId="6A86742D">
            <w:pPr>
              <w:widowControl/>
              <w:adjustRightInd w:val="0"/>
              <w:snapToGrid w:val="0"/>
              <w:jc w:val="center"/>
              <w:rPr>
                <w:rFonts w:ascii="Times New Roman" w:hAnsi="Times New Roman" w:eastAsia="宋体" w:cs="Times New Roman"/>
                <w:snapToGrid w:val="0"/>
                <w:kern w:val="0"/>
                <w:szCs w:val="21"/>
              </w:rPr>
            </w:pPr>
            <w:r>
              <w:rPr>
                <w:rFonts w:hint="eastAsia" w:ascii="Times New Roman" w:cs="Times New Roman" w:hAnsiTheme="minorEastAsia" w:eastAsiaTheme="minorEastAsia"/>
              </w:rPr>
              <w:t>库尔干村</w:t>
            </w:r>
          </w:p>
        </w:tc>
        <w:tc>
          <w:tcPr>
            <w:tcW w:w="445" w:type="pct"/>
            <w:vAlign w:val="center"/>
          </w:tcPr>
          <w:p w14:paraId="01A39850">
            <w:pPr>
              <w:widowControl/>
              <w:jc w:val="center"/>
              <w:rPr>
                <w:rFonts w:ascii="Times New Roman" w:hAnsi="Times New Roman" w:cs="Times New Roman" w:eastAsiaTheme="majorEastAsia"/>
                <w:kern w:val="0"/>
                <w:szCs w:val="21"/>
              </w:rPr>
            </w:pPr>
            <w:r>
              <w:rPr>
                <w:rFonts w:hint="eastAsia" w:ascii="Times New Roman" w:hAnsi="Times New Roman" w:cs="Times New Roman" w:eastAsiaTheme="majorEastAsia"/>
                <w:kern w:val="0"/>
                <w:szCs w:val="21"/>
              </w:rPr>
              <w:t>41.5</w:t>
            </w:r>
          </w:p>
        </w:tc>
        <w:tc>
          <w:tcPr>
            <w:tcW w:w="445" w:type="pct"/>
            <w:vAlign w:val="center"/>
          </w:tcPr>
          <w:p w14:paraId="3569F993">
            <w:pPr>
              <w:widowControl/>
              <w:jc w:val="center"/>
              <w:rPr>
                <w:rFonts w:ascii="Times New Roman" w:hAnsi="Times New Roman" w:cs="Times New Roman" w:eastAsiaTheme="majorEastAsia"/>
                <w:kern w:val="0"/>
                <w:szCs w:val="21"/>
              </w:rPr>
            </w:pPr>
            <w:r>
              <w:rPr>
                <w:rFonts w:hint="eastAsia" w:ascii="Times New Roman" w:hAnsi="Times New Roman" w:cs="Times New Roman" w:eastAsiaTheme="majorEastAsia"/>
                <w:kern w:val="0"/>
                <w:szCs w:val="21"/>
              </w:rPr>
              <w:t>37.5</w:t>
            </w:r>
          </w:p>
        </w:tc>
        <w:tc>
          <w:tcPr>
            <w:tcW w:w="876" w:type="pct"/>
            <w:vAlign w:val="center"/>
          </w:tcPr>
          <w:p w14:paraId="2A76EF6C">
            <w:pPr>
              <w:jc w:val="center"/>
              <w:rPr>
                <w:rFonts w:ascii="Times New Roman" w:hAnsi="Times New Roman" w:eastAsia="宋体" w:cs="Times New Roman"/>
                <w:szCs w:val="21"/>
              </w:rPr>
            </w:pPr>
            <w:r>
              <w:rPr>
                <w:rFonts w:hint="eastAsia" w:ascii="Times New Roman" w:cs="Times New Roman" w:hAnsiTheme="minorEastAsia" w:eastAsiaTheme="minorEastAsia"/>
              </w:rPr>
              <w:t>格达良乡</w:t>
            </w:r>
            <w:r>
              <w:rPr>
                <w:rFonts w:ascii="Times New Roman" w:cs="Times New Roman" w:hAnsiTheme="minorEastAsia" w:eastAsiaTheme="minorEastAsia"/>
              </w:rPr>
              <w:t>卫生院、</w:t>
            </w:r>
            <w:r>
              <w:rPr>
                <w:rFonts w:ascii="Times New Roman" w:hAnsi="Times New Roman" w:cs="Times New Roman" w:eastAsiaTheme="minorEastAsia"/>
                <w:kern w:val="0"/>
              </w:rPr>
              <w:t>格达良乡中心小学、</w:t>
            </w:r>
            <w:r>
              <w:rPr>
                <w:rFonts w:hint="eastAsia" w:ascii="Times New Roman" w:hAnsi="Times New Roman" w:cs="Times New Roman" w:eastAsiaTheme="minorEastAsia"/>
                <w:kern w:val="0"/>
              </w:rPr>
              <w:t>艾拉木艾日克</w:t>
            </w:r>
          </w:p>
        </w:tc>
        <w:tc>
          <w:tcPr>
            <w:tcW w:w="2273" w:type="pct"/>
            <w:vAlign w:val="center"/>
          </w:tcPr>
          <w:p w14:paraId="4930B9BD">
            <w:pPr>
              <w:rPr>
                <w:rFonts w:ascii="Times New Roman" w:hAnsi="Times New Roman" w:eastAsia="宋体" w:cs="Times New Roman"/>
                <w:szCs w:val="21"/>
              </w:rPr>
            </w:pPr>
            <w:r>
              <w:rPr>
                <w:rFonts w:ascii="Times New Roman" w:hAnsi="宋体" w:eastAsia="宋体" w:cs="Times New Roman"/>
                <w:szCs w:val="21"/>
              </w:rPr>
              <w:t>敏感点位置相近</w:t>
            </w:r>
            <w:r>
              <w:rPr>
                <w:rFonts w:hint="eastAsia" w:ascii="Times New Roman" w:hAnsi="宋体" w:eastAsia="宋体" w:cs="Times New Roman"/>
                <w:szCs w:val="21"/>
              </w:rPr>
              <w:t>，</w:t>
            </w:r>
            <w:r>
              <w:rPr>
                <w:rFonts w:ascii="Times New Roman" w:hAnsi="宋体" w:eastAsia="宋体" w:cs="Times New Roman"/>
                <w:szCs w:val="21"/>
              </w:rPr>
              <w:t>背景噪声声环境特征相似，无其它强噪声源，</w:t>
            </w:r>
            <w:r>
              <w:rPr>
                <w:rFonts w:ascii="Times New Roman" w:hAnsi="宋体" w:eastAsia="宋体" w:cs="Times New Roman"/>
                <w:bCs/>
                <w:szCs w:val="21"/>
              </w:rPr>
              <w:t>选取</w:t>
            </w:r>
            <w:r>
              <w:rPr>
                <w:rFonts w:hint="eastAsia" w:ascii="Times New Roman" w:cs="Times New Roman" w:hAnsiTheme="minorEastAsia" w:eastAsiaTheme="minorEastAsia"/>
              </w:rPr>
              <w:t>库尔干村</w:t>
            </w:r>
            <w:r>
              <w:rPr>
                <w:rFonts w:ascii="Times New Roman" w:hAnsi="宋体" w:eastAsia="宋体" w:cs="Times New Roman"/>
                <w:bCs/>
                <w:szCs w:val="21"/>
              </w:rPr>
              <w:t>现状环境噪声昼、夜监测值的</w:t>
            </w:r>
            <w:r>
              <w:rPr>
                <w:rFonts w:hint="eastAsia" w:ascii="Times New Roman" w:hAnsi="宋体" w:eastAsia="宋体" w:cs="Times New Roman"/>
                <w:bCs/>
                <w:szCs w:val="21"/>
              </w:rPr>
              <w:t>平均值</w:t>
            </w:r>
          </w:p>
        </w:tc>
      </w:tr>
      <w:tr w14:paraId="6F0538A6">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342" w:type="pct"/>
            <w:vAlign w:val="center"/>
          </w:tcPr>
          <w:p w14:paraId="4E7DA989">
            <w:pPr>
              <w:jc w:val="center"/>
              <w:rPr>
                <w:rFonts w:ascii="Times New Roman" w:hAnsi="Times New Roman" w:eastAsia="宋体" w:cs="Times New Roman"/>
              </w:rPr>
            </w:pPr>
            <w:r>
              <w:rPr>
                <w:rFonts w:hint="eastAsia" w:ascii="Times New Roman" w:hAnsi="Times New Roman" w:eastAsia="宋体" w:cs="Times New Roman"/>
              </w:rPr>
              <w:t>2</w:t>
            </w:r>
          </w:p>
        </w:tc>
        <w:tc>
          <w:tcPr>
            <w:tcW w:w="619" w:type="pct"/>
            <w:vAlign w:val="center"/>
          </w:tcPr>
          <w:p w14:paraId="6AA09142">
            <w:pPr>
              <w:widowControl/>
              <w:adjustRightInd w:val="0"/>
              <w:snapToGrid w:val="0"/>
              <w:jc w:val="center"/>
              <w:rPr>
                <w:rFonts w:ascii="Times New Roman" w:hAnsi="Times New Roman" w:eastAsia="宋体" w:cs="Times New Roman"/>
                <w:snapToGrid w:val="0"/>
                <w:kern w:val="0"/>
                <w:szCs w:val="21"/>
              </w:rPr>
            </w:pPr>
            <w:r>
              <w:rPr>
                <w:rFonts w:hint="eastAsia" w:ascii="Times New Roman" w:hAnsi="Times New Roman" w:cs="Times New Roman" w:eastAsiaTheme="minorEastAsia"/>
              </w:rPr>
              <w:t>英兰干村</w:t>
            </w:r>
          </w:p>
        </w:tc>
        <w:tc>
          <w:tcPr>
            <w:tcW w:w="445" w:type="pct"/>
            <w:vAlign w:val="center"/>
          </w:tcPr>
          <w:p w14:paraId="4E19AB0D">
            <w:pPr>
              <w:widowControl/>
              <w:jc w:val="center"/>
              <w:rPr>
                <w:rFonts w:ascii="Times New Roman" w:hAnsi="Times New Roman" w:cs="Times New Roman" w:eastAsiaTheme="majorEastAsia"/>
                <w:kern w:val="0"/>
                <w:szCs w:val="21"/>
              </w:rPr>
            </w:pPr>
            <w:r>
              <w:rPr>
                <w:rFonts w:hint="eastAsia" w:ascii="Times New Roman" w:hAnsi="Times New Roman" w:cs="Times New Roman" w:eastAsiaTheme="majorEastAsia"/>
                <w:kern w:val="0"/>
                <w:szCs w:val="21"/>
              </w:rPr>
              <w:t>43.5</w:t>
            </w:r>
          </w:p>
        </w:tc>
        <w:tc>
          <w:tcPr>
            <w:tcW w:w="445" w:type="pct"/>
            <w:vAlign w:val="center"/>
          </w:tcPr>
          <w:p w14:paraId="02C03B81">
            <w:pPr>
              <w:widowControl/>
              <w:jc w:val="center"/>
              <w:rPr>
                <w:rFonts w:ascii="Times New Roman" w:hAnsi="Times New Roman" w:cs="Times New Roman" w:eastAsiaTheme="majorEastAsia"/>
                <w:kern w:val="0"/>
                <w:szCs w:val="21"/>
              </w:rPr>
            </w:pPr>
            <w:r>
              <w:rPr>
                <w:rFonts w:hint="eastAsia" w:ascii="Times New Roman" w:hAnsi="Times New Roman" w:cs="Times New Roman" w:eastAsiaTheme="majorEastAsia"/>
                <w:kern w:val="0"/>
                <w:szCs w:val="21"/>
              </w:rPr>
              <w:t>38.5</w:t>
            </w:r>
          </w:p>
        </w:tc>
        <w:tc>
          <w:tcPr>
            <w:tcW w:w="876" w:type="pct"/>
            <w:vAlign w:val="center"/>
          </w:tcPr>
          <w:p w14:paraId="3134F9D8">
            <w:pPr>
              <w:jc w:val="center"/>
              <w:rPr>
                <w:rFonts w:ascii="Times New Roman" w:cs="Times New Roman" w:hAnsiTheme="minorEastAsia" w:eastAsiaTheme="minorEastAsia"/>
              </w:rPr>
            </w:pPr>
            <w:r>
              <w:rPr>
                <w:rFonts w:hint="eastAsia" w:ascii="Times New Roman" w:cs="Times New Roman" w:hAnsiTheme="minorEastAsia" w:eastAsiaTheme="minorEastAsia"/>
              </w:rPr>
              <w:t>巴什央艾日克村、英兰干村幼儿园</w:t>
            </w:r>
          </w:p>
        </w:tc>
        <w:tc>
          <w:tcPr>
            <w:tcW w:w="2273" w:type="pct"/>
            <w:vAlign w:val="center"/>
          </w:tcPr>
          <w:p w14:paraId="7D930FD4">
            <w:pPr>
              <w:rPr>
                <w:rFonts w:ascii="Times New Roman" w:hAnsi="Times New Roman" w:eastAsia="宋体" w:cs="Times New Roman"/>
                <w:szCs w:val="21"/>
                <w:highlight w:val="yellow"/>
              </w:rPr>
            </w:pPr>
            <w:r>
              <w:rPr>
                <w:rFonts w:ascii="Times New Roman" w:hAnsi="宋体" w:eastAsia="宋体" w:cs="Times New Roman"/>
                <w:szCs w:val="21"/>
              </w:rPr>
              <w:t>敏感点位置相近</w:t>
            </w:r>
            <w:r>
              <w:rPr>
                <w:rFonts w:hint="eastAsia" w:ascii="Times New Roman" w:hAnsi="宋体" w:eastAsia="宋体" w:cs="Times New Roman"/>
                <w:szCs w:val="21"/>
              </w:rPr>
              <w:t>，</w:t>
            </w:r>
            <w:r>
              <w:rPr>
                <w:rFonts w:ascii="Times New Roman" w:hAnsi="宋体" w:eastAsia="宋体" w:cs="Times New Roman"/>
                <w:szCs w:val="21"/>
              </w:rPr>
              <w:t>背景噪声声环境特征相似，无其它强噪声源，</w:t>
            </w:r>
            <w:r>
              <w:rPr>
                <w:rFonts w:ascii="Times New Roman" w:hAnsi="宋体" w:eastAsia="宋体" w:cs="Times New Roman"/>
                <w:bCs/>
                <w:szCs w:val="21"/>
              </w:rPr>
              <w:t>选取</w:t>
            </w:r>
            <w:r>
              <w:rPr>
                <w:rFonts w:hint="eastAsia" w:ascii="Times New Roman" w:hAnsi="Times New Roman" w:cs="Times New Roman" w:eastAsiaTheme="minorEastAsia"/>
              </w:rPr>
              <w:t>英兰干村</w:t>
            </w:r>
            <w:r>
              <w:rPr>
                <w:rFonts w:ascii="Times New Roman" w:hAnsi="宋体" w:eastAsia="宋体" w:cs="Times New Roman"/>
                <w:bCs/>
                <w:szCs w:val="21"/>
              </w:rPr>
              <w:t>现状环境噪声昼、夜监测值的</w:t>
            </w:r>
            <w:r>
              <w:rPr>
                <w:rFonts w:hint="eastAsia" w:ascii="Times New Roman" w:hAnsi="宋体" w:eastAsia="宋体" w:cs="Times New Roman"/>
                <w:bCs/>
                <w:szCs w:val="21"/>
              </w:rPr>
              <w:t>平均值</w:t>
            </w:r>
          </w:p>
        </w:tc>
      </w:tr>
      <w:tr w14:paraId="5B5E3D97">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342" w:type="pct"/>
            <w:vAlign w:val="center"/>
          </w:tcPr>
          <w:p w14:paraId="58AA5690">
            <w:pPr>
              <w:jc w:val="center"/>
              <w:rPr>
                <w:rFonts w:ascii="Times New Roman" w:hAnsi="Times New Roman" w:eastAsia="宋体" w:cs="Times New Roman"/>
              </w:rPr>
            </w:pPr>
            <w:r>
              <w:rPr>
                <w:rFonts w:hint="eastAsia" w:ascii="Times New Roman" w:hAnsi="Times New Roman" w:eastAsia="宋体" w:cs="Times New Roman"/>
              </w:rPr>
              <w:t>3</w:t>
            </w:r>
          </w:p>
        </w:tc>
        <w:tc>
          <w:tcPr>
            <w:tcW w:w="619" w:type="pct"/>
            <w:vAlign w:val="center"/>
          </w:tcPr>
          <w:p w14:paraId="1508E3F7">
            <w:pPr>
              <w:widowControl/>
              <w:adjustRightInd w:val="0"/>
              <w:snapToGrid w:val="0"/>
              <w:jc w:val="center"/>
              <w:rPr>
                <w:rFonts w:ascii="Times New Roman" w:hAnsi="Times New Roman" w:eastAsia="宋体" w:cs="Times New Roman"/>
                <w:snapToGrid w:val="0"/>
                <w:kern w:val="0"/>
                <w:szCs w:val="21"/>
              </w:rPr>
            </w:pPr>
            <w:r>
              <w:rPr>
                <w:rFonts w:hint="eastAsia" w:ascii="Times New Roman" w:cs="Times New Roman" w:hAnsiTheme="minorEastAsia" w:eastAsiaTheme="minorEastAsia"/>
              </w:rPr>
              <w:t>阿亚克里格勒迪玛村</w:t>
            </w:r>
          </w:p>
        </w:tc>
        <w:tc>
          <w:tcPr>
            <w:tcW w:w="445" w:type="pct"/>
            <w:vAlign w:val="center"/>
          </w:tcPr>
          <w:p w14:paraId="07B50C28">
            <w:pPr>
              <w:widowControl/>
              <w:jc w:val="center"/>
              <w:rPr>
                <w:rFonts w:ascii="Times New Roman" w:hAnsi="Times New Roman" w:cs="Times New Roman" w:eastAsiaTheme="majorEastAsia"/>
                <w:kern w:val="0"/>
                <w:szCs w:val="21"/>
              </w:rPr>
            </w:pPr>
            <w:r>
              <w:rPr>
                <w:rFonts w:hint="eastAsia" w:ascii="Times New Roman" w:hAnsi="Times New Roman" w:cs="Times New Roman" w:eastAsiaTheme="majorEastAsia"/>
                <w:kern w:val="0"/>
                <w:szCs w:val="21"/>
              </w:rPr>
              <w:t>44.0</w:t>
            </w:r>
          </w:p>
        </w:tc>
        <w:tc>
          <w:tcPr>
            <w:tcW w:w="445" w:type="pct"/>
            <w:vAlign w:val="center"/>
          </w:tcPr>
          <w:p w14:paraId="2E100401">
            <w:pPr>
              <w:widowControl/>
              <w:jc w:val="center"/>
              <w:rPr>
                <w:rFonts w:ascii="Times New Roman" w:hAnsi="Times New Roman" w:cs="Times New Roman" w:eastAsiaTheme="majorEastAsia"/>
                <w:kern w:val="0"/>
                <w:szCs w:val="21"/>
              </w:rPr>
            </w:pPr>
            <w:r>
              <w:rPr>
                <w:rFonts w:hint="eastAsia" w:ascii="Times New Roman" w:hAnsi="Times New Roman" w:cs="Times New Roman" w:eastAsiaTheme="majorEastAsia"/>
                <w:kern w:val="0"/>
                <w:szCs w:val="21"/>
              </w:rPr>
              <w:t>37.5</w:t>
            </w:r>
          </w:p>
        </w:tc>
        <w:tc>
          <w:tcPr>
            <w:tcW w:w="876" w:type="pct"/>
            <w:vAlign w:val="center"/>
          </w:tcPr>
          <w:p w14:paraId="1C392047">
            <w:pPr>
              <w:jc w:val="center"/>
              <w:rPr>
                <w:rFonts w:ascii="Times New Roman" w:cs="Times New Roman" w:hAnsiTheme="minorEastAsia" w:eastAsiaTheme="minorEastAsia"/>
              </w:rPr>
            </w:pPr>
            <w:r>
              <w:rPr>
                <w:rFonts w:hint="eastAsia" w:ascii="Times New Roman" w:cs="Times New Roman" w:hAnsiTheme="minorEastAsia" w:eastAsiaTheme="minorEastAsia"/>
              </w:rPr>
              <w:t>勒格里地玛央艾日克村、阿亚格勒格勒德玛小学、巴什英买里村</w:t>
            </w:r>
          </w:p>
        </w:tc>
        <w:tc>
          <w:tcPr>
            <w:tcW w:w="2273" w:type="pct"/>
            <w:vAlign w:val="center"/>
          </w:tcPr>
          <w:p w14:paraId="44FACC02">
            <w:pPr>
              <w:rPr>
                <w:rFonts w:ascii="Times New Roman" w:hAnsi="Times New Roman" w:eastAsia="宋体" w:cs="Times New Roman"/>
                <w:szCs w:val="21"/>
                <w:highlight w:val="yellow"/>
              </w:rPr>
            </w:pPr>
            <w:r>
              <w:rPr>
                <w:rFonts w:ascii="Times New Roman" w:hAnsi="宋体" w:eastAsia="宋体" w:cs="Times New Roman"/>
                <w:szCs w:val="21"/>
              </w:rPr>
              <w:t>敏感点位置相近</w:t>
            </w:r>
            <w:r>
              <w:rPr>
                <w:rFonts w:hint="eastAsia" w:ascii="Times New Roman" w:hAnsi="宋体" w:eastAsia="宋体" w:cs="Times New Roman"/>
                <w:szCs w:val="21"/>
              </w:rPr>
              <w:t>，</w:t>
            </w:r>
            <w:r>
              <w:rPr>
                <w:rFonts w:ascii="Times New Roman" w:hAnsi="宋体" w:eastAsia="宋体" w:cs="Times New Roman"/>
                <w:szCs w:val="21"/>
              </w:rPr>
              <w:t>背景噪声声环境特征相似，无其它强噪声源，</w:t>
            </w:r>
            <w:r>
              <w:rPr>
                <w:rFonts w:ascii="Times New Roman" w:hAnsi="宋体" w:eastAsia="宋体" w:cs="Times New Roman"/>
                <w:bCs/>
                <w:szCs w:val="21"/>
              </w:rPr>
              <w:t>选取</w:t>
            </w:r>
            <w:r>
              <w:rPr>
                <w:rFonts w:hint="eastAsia" w:ascii="Times New Roman" w:cs="Times New Roman" w:hAnsiTheme="minorEastAsia" w:eastAsiaTheme="minorEastAsia"/>
              </w:rPr>
              <w:t>阿亚克里格勒迪玛村</w:t>
            </w:r>
            <w:r>
              <w:rPr>
                <w:rFonts w:ascii="Times New Roman" w:hAnsi="宋体" w:eastAsia="宋体" w:cs="Times New Roman"/>
                <w:bCs/>
                <w:szCs w:val="21"/>
              </w:rPr>
              <w:t>现状环境噪声昼、夜监测值的</w:t>
            </w:r>
            <w:r>
              <w:rPr>
                <w:rFonts w:hint="eastAsia" w:ascii="Times New Roman" w:hAnsi="宋体" w:eastAsia="宋体" w:cs="Times New Roman"/>
                <w:bCs/>
                <w:szCs w:val="21"/>
              </w:rPr>
              <w:t>平均值</w:t>
            </w:r>
          </w:p>
        </w:tc>
      </w:tr>
      <w:tr w14:paraId="28333676">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342" w:type="pct"/>
            <w:vAlign w:val="center"/>
          </w:tcPr>
          <w:p w14:paraId="2EB5BDE3">
            <w:pPr>
              <w:jc w:val="center"/>
              <w:rPr>
                <w:rFonts w:ascii="Times New Roman" w:hAnsi="Times New Roman" w:eastAsia="宋体" w:cs="Times New Roman"/>
              </w:rPr>
            </w:pPr>
            <w:r>
              <w:rPr>
                <w:rFonts w:hint="eastAsia" w:ascii="Times New Roman" w:hAnsi="Times New Roman" w:eastAsia="宋体" w:cs="Times New Roman"/>
              </w:rPr>
              <w:t>4</w:t>
            </w:r>
          </w:p>
        </w:tc>
        <w:tc>
          <w:tcPr>
            <w:tcW w:w="619" w:type="pct"/>
            <w:vAlign w:val="center"/>
          </w:tcPr>
          <w:p w14:paraId="178C2BA4">
            <w:pPr>
              <w:widowControl/>
              <w:adjustRightInd w:val="0"/>
              <w:snapToGrid w:val="0"/>
              <w:jc w:val="center"/>
              <w:rPr>
                <w:rFonts w:ascii="Times New Roman" w:hAnsi="Times New Roman" w:eastAsia="宋体" w:cs="Times New Roman"/>
                <w:snapToGrid w:val="0"/>
                <w:kern w:val="0"/>
                <w:szCs w:val="21"/>
              </w:rPr>
            </w:pPr>
            <w:r>
              <w:rPr>
                <w:rFonts w:hint="eastAsia" w:ascii="Times New Roman" w:hAnsi="Times New Roman" w:cs="Times New Roman" w:eastAsiaTheme="minorEastAsia"/>
              </w:rPr>
              <w:t>夏合亚迪村</w:t>
            </w:r>
          </w:p>
        </w:tc>
        <w:tc>
          <w:tcPr>
            <w:tcW w:w="445" w:type="pct"/>
            <w:vAlign w:val="center"/>
          </w:tcPr>
          <w:p w14:paraId="5B7E28EF">
            <w:pPr>
              <w:widowControl/>
              <w:jc w:val="center"/>
              <w:rPr>
                <w:rFonts w:ascii="Times New Roman" w:hAnsi="Times New Roman" w:cs="Times New Roman" w:eastAsiaTheme="majorEastAsia"/>
                <w:kern w:val="0"/>
                <w:szCs w:val="21"/>
              </w:rPr>
            </w:pPr>
            <w:r>
              <w:rPr>
                <w:rFonts w:hint="eastAsia" w:ascii="Times New Roman" w:hAnsi="Times New Roman" w:cs="Times New Roman" w:eastAsiaTheme="majorEastAsia"/>
                <w:kern w:val="0"/>
                <w:szCs w:val="21"/>
              </w:rPr>
              <w:t>45.5</w:t>
            </w:r>
          </w:p>
        </w:tc>
        <w:tc>
          <w:tcPr>
            <w:tcW w:w="445" w:type="pct"/>
            <w:vAlign w:val="center"/>
          </w:tcPr>
          <w:p w14:paraId="2AEDB890">
            <w:pPr>
              <w:widowControl/>
              <w:jc w:val="center"/>
              <w:rPr>
                <w:rFonts w:ascii="Times New Roman" w:hAnsi="Times New Roman" w:cs="Times New Roman" w:eastAsiaTheme="majorEastAsia"/>
                <w:kern w:val="0"/>
                <w:szCs w:val="21"/>
              </w:rPr>
            </w:pPr>
            <w:r>
              <w:rPr>
                <w:rFonts w:hint="eastAsia" w:ascii="Times New Roman" w:hAnsi="Times New Roman" w:cs="Times New Roman" w:eastAsiaTheme="majorEastAsia"/>
                <w:kern w:val="0"/>
                <w:szCs w:val="21"/>
              </w:rPr>
              <w:t>38.5</w:t>
            </w:r>
          </w:p>
        </w:tc>
        <w:tc>
          <w:tcPr>
            <w:tcW w:w="876" w:type="pct"/>
            <w:vAlign w:val="center"/>
          </w:tcPr>
          <w:p w14:paraId="670B765C">
            <w:pPr>
              <w:jc w:val="center"/>
              <w:rPr>
                <w:rFonts w:ascii="Times New Roman" w:cs="Times New Roman" w:hAnsiTheme="minorEastAsia" w:eastAsiaTheme="minorEastAsia"/>
              </w:rPr>
            </w:pPr>
            <w:r>
              <w:rPr>
                <w:rFonts w:hint="eastAsia" w:ascii="Times New Roman" w:cs="Times New Roman" w:hAnsiTheme="minorEastAsia" w:eastAsiaTheme="minorEastAsia"/>
              </w:rPr>
              <w:t>夏合亚迪村小学、伽师县和夏阿瓦提镇夏合亚迪村幼儿园</w:t>
            </w:r>
          </w:p>
        </w:tc>
        <w:tc>
          <w:tcPr>
            <w:tcW w:w="2273" w:type="pct"/>
            <w:vAlign w:val="center"/>
          </w:tcPr>
          <w:p w14:paraId="4CE7FCB0">
            <w:pPr>
              <w:rPr>
                <w:rFonts w:ascii="Times New Roman" w:hAnsi="Times New Roman" w:eastAsia="宋体" w:cs="Times New Roman"/>
                <w:szCs w:val="21"/>
                <w:highlight w:val="yellow"/>
              </w:rPr>
            </w:pPr>
            <w:r>
              <w:rPr>
                <w:rFonts w:ascii="Times New Roman" w:hAnsi="宋体" w:eastAsia="宋体" w:cs="Times New Roman"/>
                <w:szCs w:val="21"/>
              </w:rPr>
              <w:t>敏感点位置相近</w:t>
            </w:r>
            <w:r>
              <w:rPr>
                <w:rFonts w:hint="eastAsia" w:ascii="Times New Roman" w:hAnsi="宋体" w:eastAsia="宋体" w:cs="Times New Roman"/>
                <w:szCs w:val="21"/>
              </w:rPr>
              <w:t>，</w:t>
            </w:r>
            <w:r>
              <w:rPr>
                <w:rFonts w:ascii="Times New Roman" w:hAnsi="宋体" w:eastAsia="宋体" w:cs="Times New Roman"/>
                <w:szCs w:val="21"/>
              </w:rPr>
              <w:t>背景噪声声环境特征相似，无其它强噪声源，</w:t>
            </w:r>
            <w:r>
              <w:rPr>
                <w:rFonts w:ascii="Times New Roman" w:hAnsi="宋体" w:eastAsia="宋体" w:cs="Times New Roman"/>
                <w:bCs/>
                <w:szCs w:val="21"/>
              </w:rPr>
              <w:t>选取</w:t>
            </w:r>
            <w:r>
              <w:rPr>
                <w:rFonts w:hint="eastAsia" w:ascii="Times New Roman" w:hAnsi="Times New Roman" w:cs="Times New Roman" w:eastAsiaTheme="minorEastAsia"/>
              </w:rPr>
              <w:t>夏合亚迪村</w:t>
            </w:r>
            <w:r>
              <w:rPr>
                <w:rFonts w:ascii="Times New Roman" w:hAnsi="宋体" w:eastAsia="宋体" w:cs="Times New Roman"/>
                <w:bCs/>
                <w:szCs w:val="21"/>
              </w:rPr>
              <w:t>现状环境噪声昼、夜监测值的</w:t>
            </w:r>
            <w:r>
              <w:rPr>
                <w:rFonts w:hint="eastAsia" w:ascii="Times New Roman" w:hAnsi="宋体" w:eastAsia="宋体" w:cs="Times New Roman"/>
                <w:bCs/>
                <w:szCs w:val="21"/>
              </w:rPr>
              <w:t>平均值</w:t>
            </w:r>
          </w:p>
        </w:tc>
      </w:tr>
      <w:tr w14:paraId="411B1E29">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342" w:type="pct"/>
            <w:vAlign w:val="center"/>
          </w:tcPr>
          <w:p w14:paraId="7521CA46">
            <w:pPr>
              <w:jc w:val="center"/>
              <w:rPr>
                <w:rFonts w:ascii="Times New Roman" w:hAnsi="Times New Roman" w:eastAsia="宋体" w:cs="Times New Roman"/>
              </w:rPr>
            </w:pPr>
            <w:r>
              <w:rPr>
                <w:rFonts w:hint="eastAsia" w:ascii="Times New Roman" w:hAnsi="Times New Roman" w:eastAsia="宋体" w:cs="Times New Roman"/>
              </w:rPr>
              <w:t>5</w:t>
            </w:r>
          </w:p>
        </w:tc>
        <w:tc>
          <w:tcPr>
            <w:tcW w:w="619" w:type="pct"/>
            <w:vAlign w:val="center"/>
          </w:tcPr>
          <w:p w14:paraId="33C19926">
            <w:pPr>
              <w:widowControl/>
              <w:adjustRightInd w:val="0"/>
              <w:snapToGrid w:val="0"/>
              <w:jc w:val="center"/>
              <w:rPr>
                <w:rFonts w:ascii="Times New Roman" w:hAnsi="Times New Roman" w:eastAsia="宋体" w:cs="Times New Roman"/>
                <w:snapToGrid w:val="0"/>
                <w:kern w:val="0"/>
                <w:szCs w:val="21"/>
              </w:rPr>
            </w:pPr>
            <w:r>
              <w:rPr>
                <w:rFonts w:hint="eastAsia" w:ascii="Times New Roman" w:cs="Times New Roman" w:hAnsiTheme="minorEastAsia" w:eastAsiaTheme="minorEastAsia"/>
              </w:rPr>
              <w:t>帕合塔买里斯村</w:t>
            </w:r>
          </w:p>
        </w:tc>
        <w:tc>
          <w:tcPr>
            <w:tcW w:w="445" w:type="pct"/>
            <w:vAlign w:val="center"/>
          </w:tcPr>
          <w:p w14:paraId="3CCF0A03">
            <w:pPr>
              <w:widowControl/>
              <w:jc w:val="center"/>
              <w:rPr>
                <w:rFonts w:ascii="Times New Roman" w:hAnsi="Times New Roman" w:cs="Times New Roman" w:eastAsiaTheme="majorEastAsia"/>
                <w:kern w:val="0"/>
                <w:szCs w:val="21"/>
              </w:rPr>
            </w:pPr>
            <w:r>
              <w:rPr>
                <w:rFonts w:hint="eastAsia" w:ascii="Times New Roman" w:hAnsi="Times New Roman" w:cs="Times New Roman" w:eastAsiaTheme="majorEastAsia"/>
                <w:kern w:val="0"/>
                <w:szCs w:val="21"/>
              </w:rPr>
              <w:t>44.5</w:t>
            </w:r>
          </w:p>
        </w:tc>
        <w:tc>
          <w:tcPr>
            <w:tcW w:w="445" w:type="pct"/>
            <w:vAlign w:val="center"/>
          </w:tcPr>
          <w:p w14:paraId="73D6FF0A">
            <w:pPr>
              <w:widowControl/>
              <w:jc w:val="center"/>
              <w:rPr>
                <w:rFonts w:ascii="Times New Roman" w:hAnsi="Times New Roman" w:cs="Times New Roman" w:eastAsiaTheme="majorEastAsia"/>
                <w:kern w:val="0"/>
                <w:szCs w:val="21"/>
              </w:rPr>
            </w:pPr>
            <w:r>
              <w:rPr>
                <w:rFonts w:hint="eastAsia" w:ascii="Times New Roman" w:hAnsi="Times New Roman" w:cs="Times New Roman" w:eastAsiaTheme="majorEastAsia"/>
                <w:kern w:val="0"/>
                <w:szCs w:val="21"/>
              </w:rPr>
              <w:t>37.5</w:t>
            </w:r>
          </w:p>
        </w:tc>
        <w:tc>
          <w:tcPr>
            <w:tcW w:w="876" w:type="pct"/>
            <w:vAlign w:val="center"/>
          </w:tcPr>
          <w:p w14:paraId="56B71217">
            <w:pPr>
              <w:jc w:val="center"/>
              <w:rPr>
                <w:rFonts w:ascii="Times New Roman" w:cs="Times New Roman" w:hAnsiTheme="minorEastAsia" w:eastAsiaTheme="minorEastAsia"/>
              </w:rPr>
            </w:pPr>
            <w:r>
              <w:rPr>
                <w:rFonts w:hint="eastAsia" w:ascii="Times New Roman" w:cs="Times New Roman" w:hAnsiTheme="minorEastAsia" w:eastAsiaTheme="minorEastAsia"/>
              </w:rPr>
              <w:t>-</w:t>
            </w:r>
          </w:p>
        </w:tc>
        <w:tc>
          <w:tcPr>
            <w:tcW w:w="2273" w:type="pct"/>
            <w:vAlign w:val="center"/>
          </w:tcPr>
          <w:p w14:paraId="4D6E0ABD">
            <w:pPr>
              <w:rPr>
                <w:rFonts w:ascii="Times New Roman" w:hAnsi="Times New Roman" w:eastAsia="宋体" w:cs="Times New Roman"/>
                <w:szCs w:val="21"/>
              </w:rPr>
            </w:pPr>
            <w:r>
              <w:rPr>
                <w:rFonts w:ascii="Times New Roman" w:hAnsi="宋体" w:eastAsia="宋体" w:cs="Times New Roman"/>
                <w:bCs/>
                <w:szCs w:val="21"/>
              </w:rPr>
              <w:t>现状监测点，选取现状环境噪声昼、夜监测值的</w:t>
            </w:r>
            <w:r>
              <w:rPr>
                <w:rFonts w:hint="eastAsia" w:ascii="Times New Roman" w:hAnsi="宋体" w:eastAsia="宋体" w:cs="Times New Roman"/>
                <w:bCs/>
                <w:szCs w:val="21"/>
              </w:rPr>
              <w:t>平均值</w:t>
            </w:r>
          </w:p>
        </w:tc>
      </w:tr>
      <w:tr w14:paraId="0A2B1A58">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cantSplit/>
          <w:trHeight w:val="419" w:hRule="atLeast"/>
          <w:jc w:val="center"/>
        </w:trPr>
        <w:tc>
          <w:tcPr>
            <w:tcW w:w="342" w:type="pct"/>
            <w:vAlign w:val="center"/>
          </w:tcPr>
          <w:p w14:paraId="35BEFBD5">
            <w:pPr>
              <w:jc w:val="center"/>
              <w:rPr>
                <w:rFonts w:ascii="Times New Roman" w:hAnsi="Times New Roman" w:eastAsia="宋体" w:cs="Times New Roman"/>
              </w:rPr>
            </w:pPr>
            <w:r>
              <w:rPr>
                <w:rFonts w:hint="eastAsia" w:ascii="Times New Roman" w:hAnsi="Times New Roman" w:eastAsia="宋体" w:cs="Times New Roman"/>
              </w:rPr>
              <w:t>6</w:t>
            </w:r>
          </w:p>
        </w:tc>
        <w:tc>
          <w:tcPr>
            <w:tcW w:w="619" w:type="pct"/>
            <w:vAlign w:val="center"/>
          </w:tcPr>
          <w:p w14:paraId="2F3CF35F">
            <w:pPr>
              <w:jc w:val="center"/>
              <w:rPr>
                <w:rFonts w:ascii="Times New Roman" w:hAnsi="Times New Roman" w:eastAsia="宋体" w:cs="Times New Roman"/>
                <w:szCs w:val="21"/>
              </w:rPr>
            </w:pPr>
            <w:r>
              <w:rPr>
                <w:rFonts w:hint="eastAsia" w:ascii="Times New Roman" w:cs="Times New Roman" w:hAnsiTheme="minorEastAsia" w:eastAsiaTheme="minorEastAsia"/>
              </w:rPr>
              <w:t>兰干</w:t>
            </w:r>
          </w:p>
        </w:tc>
        <w:tc>
          <w:tcPr>
            <w:tcW w:w="445" w:type="pct"/>
            <w:vAlign w:val="center"/>
          </w:tcPr>
          <w:p w14:paraId="118DBE90">
            <w:pPr>
              <w:widowControl/>
              <w:jc w:val="center"/>
              <w:rPr>
                <w:rFonts w:ascii="Times New Roman" w:hAnsi="Times New Roman" w:cs="Times New Roman" w:eastAsiaTheme="majorEastAsia"/>
                <w:kern w:val="0"/>
                <w:szCs w:val="21"/>
              </w:rPr>
            </w:pPr>
            <w:r>
              <w:rPr>
                <w:rFonts w:hint="eastAsia" w:ascii="Times New Roman" w:hAnsi="Times New Roman" w:cs="Times New Roman" w:eastAsiaTheme="majorEastAsia"/>
                <w:kern w:val="0"/>
                <w:szCs w:val="21"/>
              </w:rPr>
              <w:t>44.0</w:t>
            </w:r>
          </w:p>
        </w:tc>
        <w:tc>
          <w:tcPr>
            <w:tcW w:w="445" w:type="pct"/>
            <w:vAlign w:val="center"/>
          </w:tcPr>
          <w:p w14:paraId="064AE698">
            <w:pPr>
              <w:widowControl/>
              <w:jc w:val="center"/>
              <w:rPr>
                <w:rFonts w:ascii="Times New Roman" w:hAnsi="Times New Roman" w:cs="Times New Roman" w:eastAsiaTheme="majorEastAsia"/>
                <w:kern w:val="0"/>
                <w:szCs w:val="21"/>
              </w:rPr>
            </w:pPr>
            <w:r>
              <w:rPr>
                <w:rFonts w:hint="eastAsia" w:ascii="Times New Roman" w:hAnsi="Times New Roman" w:cs="Times New Roman" w:eastAsiaTheme="majorEastAsia"/>
                <w:kern w:val="0"/>
                <w:szCs w:val="21"/>
              </w:rPr>
              <w:t>36.5</w:t>
            </w:r>
          </w:p>
        </w:tc>
        <w:tc>
          <w:tcPr>
            <w:tcW w:w="876" w:type="pct"/>
            <w:vAlign w:val="center"/>
          </w:tcPr>
          <w:p w14:paraId="496FB110">
            <w:pPr>
              <w:jc w:val="center"/>
              <w:rPr>
                <w:rFonts w:ascii="Times New Roman" w:cs="Times New Roman" w:hAnsiTheme="minorEastAsia" w:eastAsiaTheme="minorEastAsia"/>
              </w:rPr>
            </w:pPr>
            <w:r>
              <w:rPr>
                <w:rFonts w:hint="eastAsia" w:ascii="Times New Roman" w:cs="Times New Roman" w:hAnsiTheme="minorEastAsia" w:eastAsiaTheme="minorEastAsia"/>
              </w:rPr>
              <w:t>伽师县中等职业技术学校</w:t>
            </w:r>
          </w:p>
        </w:tc>
        <w:tc>
          <w:tcPr>
            <w:tcW w:w="2273" w:type="pct"/>
            <w:vAlign w:val="center"/>
          </w:tcPr>
          <w:p w14:paraId="1EB31564">
            <w:pPr>
              <w:rPr>
                <w:rFonts w:ascii="Times New Roman" w:hAnsi="Times New Roman" w:eastAsia="宋体" w:cs="Times New Roman"/>
                <w:szCs w:val="21"/>
              </w:rPr>
            </w:pPr>
            <w:r>
              <w:rPr>
                <w:rFonts w:ascii="Times New Roman" w:hAnsi="宋体" w:eastAsia="宋体" w:cs="Times New Roman"/>
                <w:szCs w:val="21"/>
              </w:rPr>
              <w:t>敏感点位置相近</w:t>
            </w:r>
            <w:r>
              <w:rPr>
                <w:rFonts w:hint="eastAsia" w:ascii="Times New Roman" w:hAnsi="宋体" w:eastAsia="宋体" w:cs="Times New Roman"/>
                <w:szCs w:val="21"/>
              </w:rPr>
              <w:t>，</w:t>
            </w:r>
            <w:r>
              <w:rPr>
                <w:rFonts w:ascii="Times New Roman" w:hAnsi="宋体" w:eastAsia="宋体" w:cs="Times New Roman"/>
                <w:szCs w:val="21"/>
              </w:rPr>
              <w:t>背景噪声声环境特征相似，无其它强噪声源，</w:t>
            </w:r>
            <w:r>
              <w:rPr>
                <w:rFonts w:ascii="Times New Roman" w:hAnsi="宋体" w:eastAsia="宋体" w:cs="Times New Roman"/>
                <w:bCs/>
                <w:szCs w:val="21"/>
              </w:rPr>
              <w:t>选取</w:t>
            </w:r>
            <w:r>
              <w:rPr>
                <w:rFonts w:hint="eastAsia" w:ascii="Times New Roman" w:cs="Times New Roman" w:hAnsiTheme="minorEastAsia" w:eastAsiaTheme="minorEastAsia"/>
              </w:rPr>
              <w:t>兰干</w:t>
            </w:r>
            <w:r>
              <w:rPr>
                <w:rFonts w:ascii="Times New Roman" w:hAnsi="宋体" w:eastAsia="宋体" w:cs="Times New Roman"/>
                <w:bCs/>
                <w:szCs w:val="21"/>
              </w:rPr>
              <w:t>现状环境噪声昼、夜监测值的</w:t>
            </w:r>
            <w:r>
              <w:rPr>
                <w:rFonts w:hint="eastAsia" w:ascii="Times New Roman" w:hAnsi="宋体" w:eastAsia="宋体" w:cs="Times New Roman"/>
                <w:bCs/>
                <w:szCs w:val="21"/>
              </w:rPr>
              <w:t>平均值</w:t>
            </w:r>
          </w:p>
        </w:tc>
      </w:tr>
      <w:tr w14:paraId="04070C96">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cantSplit/>
          <w:trHeight w:val="146" w:hRule="atLeast"/>
          <w:jc w:val="center"/>
        </w:trPr>
        <w:tc>
          <w:tcPr>
            <w:tcW w:w="342" w:type="pct"/>
            <w:vAlign w:val="center"/>
          </w:tcPr>
          <w:p w14:paraId="7FA0C6C9">
            <w:pPr>
              <w:jc w:val="center"/>
              <w:rPr>
                <w:rFonts w:ascii="Times New Roman" w:hAnsi="Times New Roman" w:eastAsia="宋体" w:cs="Times New Roman"/>
              </w:rPr>
            </w:pPr>
            <w:r>
              <w:rPr>
                <w:rFonts w:hint="eastAsia" w:ascii="Times New Roman" w:hAnsi="Times New Roman" w:eastAsia="宋体" w:cs="Times New Roman"/>
              </w:rPr>
              <w:t>7</w:t>
            </w:r>
          </w:p>
        </w:tc>
        <w:tc>
          <w:tcPr>
            <w:tcW w:w="619" w:type="pct"/>
            <w:vAlign w:val="center"/>
          </w:tcPr>
          <w:p w14:paraId="12219966">
            <w:pPr>
              <w:widowControl/>
              <w:adjustRightInd w:val="0"/>
              <w:snapToGrid w:val="0"/>
              <w:jc w:val="center"/>
              <w:rPr>
                <w:rFonts w:ascii="Times New Roman" w:hAnsi="Times New Roman" w:eastAsia="宋体" w:cs="Times New Roman"/>
                <w:snapToGrid w:val="0"/>
                <w:kern w:val="0"/>
                <w:szCs w:val="21"/>
              </w:rPr>
            </w:pPr>
            <w:r>
              <w:rPr>
                <w:rFonts w:hint="eastAsia" w:ascii="Times New Roman" w:cs="Times New Roman" w:hAnsiTheme="minorEastAsia" w:eastAsiaTheme="minorEastAsia"/>
              </w:rPr>
              <w:t>提木村</w:t>
            </w:r>
          </w:p>
        </w:tc>
        <w:tc>
          <w:tcPr>
            <w:tcW w:w="445" w:type="pct"/>
            <w:vAlign w:val="center"/>
          </w:tcPr>
          <w:p w14:paraId="53CC6BD4">
            <w:pPr>
              <w:widowControl/>
              <w:jc w:val="center"/>
              <w:rPr>
                <w:rFonts w:ascii="Times New Roman" w:hAnsi="Times New Roman" w:cs="Times New Roman" w:eastAsiaTheme="majorEastAsia"/>
                <w:kern w:val="0"/>
                <w:szCs w:val="21"/>
              </w:rPr>
            </w:pPr>
            <w:r>
              <w:rPr>
                <w:rFonts w:hint="eastAsia" w:ascii="Times New Roman" w:hAnsi="Times New Roman" w:cs="Times New Roman" w:eastAsiaTheme="majorEastAsia"/>
                <w:kern w:val="0"/>
                <w:szCs w:val="21"/>
              </w:rPr>
              <w:t>44.5</w:t>
            </w:r>
          </w:p>
        </w:tc>
        <w:tc>
          <w:tcPr>
            <w:tcW w:w="445" w:type="pct"/>
            <w:vAlign w:val="center"/>
          </w:tcPr>
          <w:p w14:paraId="45833E54">
            <w:pPr>
              <w:widowControl/>
              <w:jc w:val="center"/>
              <w:rPr>
                <w:rFonts w:ascii="Times New Roman" w:hAnsi="Times New Roman" w:cs="Times New Roman" w:eastAsiaTheme="majorEastAsia"/>
                <w:kern w:val="0"/>
                <w:szCs w:val="21"/>
              </w:rPr>
            </w:pPr>
            <w:r>
              <w:rPr>
                <w:rFonts w:hint="eastAsia" w:ascii="Times New Roman" w:hAnsi="Times New Roman" w:cs="Times New Roman" w:eastAsiaTheme="majorEastAsia"/>
                <w:kern w:val="0"/>
                <w:szCs w:val="21"/>
              </w:rPr>
              <w:t>37.0</w:t>
            </w:r>
          </w:p>
        </w:tc>
        <w:tc>
          <w:tcPr>
            <w:tcW w:w="876" w:type="pct"/>
            <w:vAlign w:val="center"/>
          </w:tcPr>
          <w:p w14:paraId="39024D15">
            <w:pPr>
              <w:jc w:val="center"/>
              <w:rPr>
                <w:rFonts w:ascii="Times New Roman" w:cs="Times New Roman" w:hAnsiTheme="minorEastAsia" w:eastAsiaTheme="minorEastAsia"/>
              </w:rPr>
            </w:pPr>
            <w:r>
              <w:rPr>
                <w:rFonts w:hint="eastAsia" w:ascii="Times New Roman" w:cs="Times New Roman" w:hAnsiTheme="minorEastAsia" w:eastAsiaTheme="minorEastAsia"/>
              </w:rPr>
              <w:t>霍加艾日克村</w:t>
            </w:r>
          </w:p>
        </w:tc>
        <w:tc>
          <w:tcPr>
            <w:tcW w:w="2273" w:type="pct"/>
            <w:vAlign w:val="center"/>
          </w:tcPr>
          <w:p w14:paraId="208FC4C2">
            <w:pPr>
              <w:rPr>
                <w:rFonts w:ascii="Times New Roman" w:hAnsi="Times New Roman" w:eastAsia="宋体" w:cs="Times New Roman"/>
                <w:bCs/>
                <w:szCs w:val="21"/>
              </w:rPr>
            </w:pPr>
            <w:r>
              <w:rPr>
                <w:rFonts w:ascii="Times New Roman" w:hAnsi="宋体" w:eastAsia="宋体" w:cs="Times New Roman"/>
                <w:szCs w:val="21"/>
              </w:rPr>
              <w:t>敏感点位置相近</w:t>
            </w:r>
            <w:r>
              <w:rPr>
                <w:rFonts w:hint="eastAsia" w:ascii="Times New Roman" w:hAnsi="宋体" w:eastAsia="宋体" w:cs="Times New Roman"/>
                <w:szCs w:val="21"/>
              </w:rPr>
              <w:t>，</w:t>
            </w:r>
            <w:r>
              <w:rPr>
                <w:rFonts w:ascii="Times New Roman" w:hAnsi="宋体" w:eastAsia="宋体" w:cs="Times New Roman"/>
                <w:szCs w:val="21"/>
              </w:rPr>
              <w:t>背景噪声声环境特征相似，无其它强噪声源，</w:t>
            </w:r>
            <w:r>
              <w:rPr>
                <w:rFonts w:ascii="Times New Roman" w:hAnsi="宋体" w:eastAsia="宋体" w:cs="Times New Roman"/>
                <w:bCs/>
                <w:szCs w:val="21"/>
              </w:rPr>
              <w:t>选取</w:t>
            </w:r>
            <w:r>
              <w:rPr>
                <w:rFonts w:hint="eastAsia" w:ascii="Times New Roman" w:cs="Times New Roman" w:hAnsiTheme="minorEastAsia" w:eastAsiaTheme="minorEastAsia"/>
              </w:rPr>
              <w:t>提木村</w:t>
            </w:r>
            <w:r>
              <w:rPr>
                <w:rFonts w:ascii="Times New Roman" w:hAnsi="宋体" w:eastAsia="宋体" w:cs="Times New Roman"/>
                <w:bCs/>
                <w:szCs w:val="21"/>
              </w:rPr>
              <w:t>现状环境噪声昼、夜监测值的</w:t>
            </w:r>
            <w:r>
              <w:rPr>
                <w:rFonts w:hint="eastAsia" w:ascii="Times New Roman" w:hAnsi="宋体" w:eastAsia="宋体" w:cs="Times New Roman"/>
                <w:bCs/>
                <w:szCs w:val="21"/>
              </w:rPr>
              <w:t>平均值</w:t>
            </w:r>
          </w:p>
        </w:tc>
      </w:tr>
      <w:tr w14:paraId="5D77FC0D">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cantSplit/>
          <w:trHeight w:val="338" w:hRule="atLeast"/>
          <w:jc w:val="center"/>
        </w:trPr>
        <w:tc>
          <w:tcPr>
            <w:tcW w:w="342" w:type="pct"/>
            <w:vAlign w:val="center"/>
          </w:tcPr>
          <w:p w14:paraId="3F167B8C">
            <w:pPr>
              <w:jc w:val="center"/>
              <w:rPr>
                <w:rFonts w:ascii="Times New Roman" w:hAnsi="Times New Roman" w:eastAsia="宋体" w:cs="Times New Roman"/>
              </w:rPr>
            </w:pPr>
            <w:r>
              <w:rPr>
                <w:rFonts w:hint="eastAsia" w:ascii="Times New Roman" w:hAnsi="Times New Roman" w:eastAsia="宋体" w:cs="Times New Roman"/>
              </w:rPr>
              <w:t>8</w:t>
            </w:r>
          </w:p>
        </w:tc>
        <w:tc>
          <w:tcPr>
            <w:tcW w:w="619" w:type="pct"/>
            <w:vAlign w:val="center"/>
          </w:tcPr>
          <w:p w14:paraId="29CDD0E6">
            <w:pPr>
              <w:widowControl/>
              <w:adjustRightInd w:val="0"/>
              <w:snapToGrid w:val="0"/>
              <w:jc w:val="center"/>
              <w:rPr>
                <w:rFonts w:ascii="Times New Roman" w:hAnsi="宋体" w:eastAsia="宋体" w:cs="Times New Roman"/>
                <w:snapToGrid w:val="0"/>
                <w:kern w:val="0"/>
                <w:szCs w:val="21"/>
              </w:rPr>
            </w:pPr>
            <w:r>
              <w:rPr>
                <w:rFonts w:hint="eastAsia" w:ascii="Times New Roman" w:cs="Times New Roman" w:hAnsiTheme="minorEastAsia" w:eastAsiaTheme="minorEastAsia"/>
              </w:rPr>
              <w:t>吐碗</w:t>
            </w:r>
          </w:p>
        </w:tc>
        <w:tc>
          <w:tcPr>
            <w:tcW w:w="445" w:type="pct"/>
            <w:vAlign w:val="center"/>
          </w:tcPr>
          <w:p w14:paraId="12C0AAE8">
            <w:pPr>
              <w:widowControl/>
              <w:jc w:val="center"/>
              <w:rPr>
                <w:rFonts w:ascii="Times New Roman" w:hAnsi="Times New Roman" w:cs="Times New Roman" w:eastAsiaTheme="majorEastAsia"/>
                <w:kern w:val="0"/>
                <w:szCs w:val="21"/>
              </w:rPr>
            </w:pPr>
            <w:r>
              <w:rPr>
                <w:rFonts w:hint="eastAsia" w:ascii="Times New Roman" w:hAnsi="Times New Roman" w:cs="Times New Roman" w:eastAsiaTheme="majorEastAsia"/>
                <w:kern w:val="0"/>
                <w:szCs w:val="21"/>
              </w:rPr>
              <w:t>44.5</w:t>
            </w:r>
          </w:p>
        </w:tc>
        <w:tc>
          <w:tcPr>
            <w:tcW w:w="445" w:type="pct"/>
            <w:vAlign w:val="center"/>
          </w:tcPr>
          <w:p w14:paraId="63028EBF">
            <w:pPr>
              <w:widowControl/>
              <w:jc w:val="center"/>
              <w:rPr>
                <w:rFonts w:ascii="Times New Roman" w:hAnsi="Times New Roman" w:cs="Times New Roman" w:eastAsiaTheme="majorEastAsia"/>
                <w:kern w:val="0"/>
                <w:szCs w:val="21"/>
              </w:rPr>
            </w:pPr>
            <w:r>
              <w:rPr>
                <w:rFonts w:hint="eastAsia" w:ascii="Times New Roman" w:hAnsi="Times New Roman" w:cs="Times New Roman" w:eastAsiaTheme="majorEastAsia"/>
                <w:kern w:val="0"/>
                <w:szCs w:val="21"/>
              </w:rPr>
              <w:t>37.5</w:t>
            </w:r>
          </w:p>
        </w:tc>
        <w:tc>
          <w:tcPr>
            <w:tcW w:w="876" w:type="pct"/>
            <w:vAlign w:val="center"/>
          </w:tcPr>
          <w:p w14:paraId="345E2346">
            <w:pPr>
              <w:jc w:val="center"/>
              <w:rPr>
                <w:rFonts w:ascii="Times New Roman" w:cs="Times New Roman" w:hAnsiTheme="minorEastAsia" w:eastAsiaTheme="minorEastAsia"/>
              </w:rPr>
            </w:pPr>
            <w:r>
              <w:rPr>
                <w:rFonts w:hint="eastAsia" w:ascii="Times New Roman" w:cs="Times New Roman" w:hAnsiTheme="minorEastAsia" w:eastAsiaTheme="minorEastAsia"/>
              </w:rPr>
              <w:t>-</w:t>
            </w:r>
          </w:p>
        </w:tc>
        <w:tc>
          <w:tcPr>
            <w:tcW w:w="2273" w:type="pct"/>
            <w:vAlign w:val="center"/>
          </w:tcPr>
          <w:p w14:paraId="7897B457">
            <w:pPr>
              <w:rPr>
                <w:rFonts w:ascii="Times New Roman" w:hAnsi="Times New Roman" w:eastAsia="宋体" w:cs="Times New Roman"/>
                <w:szCs w:val="21"/>
              </w:rPr>
            </w:pPr>
            <w:r>
              <w:rPr>
                <w:rFonts w:ascii="Times New Roman" w:hAnsi="宋体" w:eastAsia="宋体" w:cs="Times New Roman"/>
                <w:bCs/>
                <w:szCs w:val="21"/>
              </w:rPr>
              <w:t>现状监测点，选取现状环境噪声昼、夜监测值的最大值</w:t>
            </w:r>
          </w:p>
        </w:tc>
      </w:tr>
      <w:tr w14:paraId="206AA95C">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cantSplit/>
          <w:trHeight w:val="270" w:hRule="atLeast"/>
          <w:jc w:val="center"/>
        </w:trPr>
        <w:tc>
          <w:tcPr>
            <w:tcW w:w="342" w:type="pct"/>
            <w:vMerge w:val="restart"/>
            <w:vAlign w:val="center"/>
          </w:tcPr>
          <w:p w14:paraId="58FA6238">
            <w:pPr>
              <w:jc w:val="center"/>
              <w:rPr>
                <w:rFonts w:ascii="Times New Roman" w:hAnsi="Times New Roman" w:eastAsia="宋体" w:cs="Times New Roman"/>
              </w:rPr>
            </w:pPr>
            <w:r>
              <w:rPr>
                <w:rFonts w:hint="eastAsia" w:ascii="Times New Roman" w:hAnsi="Times New Roman" w:eastAsia="宋体" w:cs="Times New Roman"/>
              </w:rPr>
              <w:t>9</w:t>
            </w:r>
          </w:p>
        </w:tc>
        <w:tc>
          <w:tcPr>
            <w:tcW w:w="619" w:type="pct"/>
            <w:vMerge w:val="restart"/>
            <w:vAlign w:val="center"/>
          </w:tcPr>
          <w:p w14:paraId="08369B6B">
            <w:pPr>
              <w:widowControl/>
              <w:adjustRightInd w:val="0"/>
              <w:snapToGrid w:val="0"/>
              <w:jc w:val="center"/>
              <w:rPr>
                <w:rFonts w:ascii="Times New Roman" w:hAnsi="宋体" w:eastAsia="宋体" w:cs="Times New Roman"/>
                <w:snapToGrid w:val="0"/>
                <w:kern w:val="0"/>
                <w:szCs w:val="21"/>
              </w:rPr>
            </w:pPr>
            <w:r>
              <w:rPr>
                <w:rFonts w:hint="eastAsia" w:ascii="Times New Roman" w:cs="Times New Roman" w:hAnsiTheme="minorEastAsia" w:eastAsiaTheme="minorEastAsia"/>
              </w:rPr>
              <w:t>其维克村</w:t>
            </w:r>
          </w:p>
        </w:tc>
        <w:tc>
          <w:tcPr>
            <w:tcW w:w="445" w:type="pct"/>
            <w:vAlign w:val="center"/>
          </w:tcPr>
          <w:p w14:paraId="053BB591">
            <w:pPr>
              <w:widowControl/>
              <w:jc w:val="center"/>
              <w:rPr>
                <w:rFonts w:ascii="Times New Roman" w:hAnsi="Times New Roman" w:cs="Times New Roman" w:eastAsiaTheme="majorEastAsia"/>
                <w:kern w:val="0"/>
                <w:szCs w:val="21"/>
              </w:rPr>
            </w:pPr>
            <w:r>
              <w:rPr>
                <w:rFonts w:hint="eastAsia" w:ascii="Times New Roman" w:hAnsi="Times New Roman" w:cs="Times New Roman" w:eastAsiaTheme="majorEastAsia"/>
                <w:kern w:val="0"/>
                <w:szCs w:val="21"/>
              </w:rPr>
              <w:t>55.0</w:t>
            </w:r>
          </w:p>
        </w:tc>
        <w:tc>
          <w:tcPr>
            <w:tcW w:w="445" w:type="pct"/>
            <w:vAlign w:val="center"/>
          </w:tcPr>
          <w:p w14:paraId="0D9E1A7D">
            <w:pPr>
              <w:widowControl/>
              <w:jc w:val="center"/>
              <w:rPr>
                <w:rFonts w:ascii="Times New Roman" w:hAnsi="Times New Roman" w:cs="Times New Roman" w:eastAsiaTheme="majorEastAsia"/>
                <w:kern w:val="0"/>
                <w:szCs w:val="21"/>
              </w:rPr>
            </w:pPr>
            <w:r>
              <w:rPr>
                <w:rFonts w:hint="eastAsia" w:ascii="Times New Roman" w:hAnsi="Times New Roman" w:cs="Times New Roman" w:eastAsiaTheme="majorEastAsia"/>
                <w:kern w:val="0"/>
                <w:szCs w:val="21"/>
              </w:rPr>
              <w:t>46.0</w:t>
            </w:r>
          </w:p>
        </w:tc>
        <w:tc>
          <w:tcPr>
            <w:tcW w:w="876" w:type="pct"/>
            <w:vMerge w:val="restart"/>
            <w:vAlign w:val="center"/>
          </w:tcPr>
          <w:p w14:paraId="61D6234D">
            <w:pPr>
              <w:jc w:val="center"/>
              <w:rPr>
                <w:rFonts w:ascii="Times New Roman" w:cs="Times New Roman" w:hAnsiTheme="minorEastAsia" w:eastAsiaTheme="minorEastAsia"/>
              </w:rPr>
            </w:pPr>
            <w:r>
              <w:rPr>
                <w:rFonts w:hint="eastAsia" w:ascii="Times New Roman" w:cs="Times New Roman" w:hAnsiTheme="minorEastAsia" w:eastAsiaTheme="minorEastAsia"/>
              </w:rPr>
              <w:t>-</w:t>
            </w:r>
          </w:p>
        </w:tc>
        <w:tc>
          <w:tcPr>
            <w:tcW w:w="2273" w:type="pct"/>
            <w:vMerge w:val="restart"/>
            <w:vAlign w:val="center"/>
          </w:tcPr>
          <w:p w14:paraId="19A9FEFC">
            <w:pPr>
              <w:rPr>
                <w:rFonts w:ascii="Times New Roman" w:hAnsi="Times New Roman" w:eastAsia="宋体" w:cs="Times New Roman"/>
                <w:szCs w:val="21"/>
              </w:rPr>
            </w:pPr>
            <w:r>
              <w:rPr>
                <w:rFonts w:ascii="Times New Roman" w:hAnsi="宋体" w:eastAsia="宋体" w:cs="Times New Roman"/>
                <w:bCs/>
                <w:szCs w:val="21"/>
              </w:rPr>
              <w:t>现状监测点，选取现状环境噪声昼、夜监测值的</w:t>
            </w:r>
            <w:r>
              <w:rPr>
                <w:rFonts w:hint="eastAsia" w:ascii="Times New Roman" w:hAnsi="宋体" w:eastAsia="宋体" w:cs="Times New Roman"/>
                <w:bCs/>
                <w:szCs w:val="21"/>
              </w:rPr>
              <w:t>平均值</w:t>
            </w:r>
          </w:p>
        </w:tc>
      </w:tr>
      <w:tr w14:paraId="23AD1B21">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cantSplit/>
          <w:trHeight w:val="270" w:hRule="atLeast"/>
          <w:jc w:val="center"/>
        </w:trPr>
        <w:tc>
          <w:tcPr>
            <w:tcW w:w="342" w:type="pct"/>
            <w:vMerge w:val="continue"/>
            <w:vAlign w:val="center"/>
          </w:tcPr>
          <w:p w14:paraId="4AD4F400">
            <w:pPr>
              <w:jc w:val="center"/>
              <w:rPr>
                <w:rFonts w:ascii="Times New Roman" w:hAnsi="Times New Roman" w:eastAsia="宋体" w:cs="Times New Roman"/>
              </w:rPr>
            </w:pPr>
          </w:p>
        </w:tc>
        <w:tc>
          <w:tcPr>
            <w:tcW w:w="619" w:type="pct"/>
            <w:vMerge w:val="continue"/>
            <w:vAlign w:val="center"/>
          </w:tcPr>
          <w:p w14:paraId="19A666A3">
            <w:pPr>
              <w:widowControl/>
              <w:adjustRightInd w:val="0"/>
              <w:snapToGrid w:val="0"/>
              <w:jc w:val="center"/>
              <w:rPr>
                <w:rFonts w:ascii="Times New Roman" w:cs="Times New Roman" w:hAnsiTheme="minorEastAsia" w:eastAsiaTheme="minorEastAsia"/>
              </w:rPr>
            </w:pPr>
          </w:p>
        </w:tc>
        <w:tc>
          <w:tcPr>
            <w:tcW w:w="445" w:type="pct"/>
            <w:vAlign w:val="center"/>
          </w:tcPr>
          <w:p w14:paraId="7BD80C71">
            <w:pPr>
              <w:widowControl/>
              <w:jc w:val="center"/>
              <w:rPr>
                <w:rFonts w:ascii="Times New Roman" w:hAnsi="Times New Roman" w:cs="Times New Roman" w:eastAsiaTheme="majorEastAsia"/>
                <w:kern w:val="0"/>
                <w:szCs w:val="21"/>
              </w:rPr>
            </w:pPr>
            <w:r>
              <w:rPr>
                <w:rFonts w:hint="eastAsia" w:ascii="Times New Roman" w:hAnsi="Times New Roman" w:cs="Times New Roman" w:eastAsiaTheme="majorEastAsia"/>
                <w:kern w:val="0"/>
                <w:szCs w:val="21"/>
              </w:rPr>
              <w:t>52.0</w:t>
            </w:r>
          </w:p>
        </w:tc>
        <w:tc>
          <w:tcPr>
            <w:tcW w:w="445" w:type="pct"/>
            <w:vAlign w:val="center"/>
          </w:tcPr>
          <w:p w14:paraId="77C909E0">
            <w:pPr>
              <w:widowControl/>
              <w:jc w:val="center"/>
              <w:rPr>
                <w:rFonts w:ascii="Times New Roman" w:hAnsi="Times New Roman" w:cs="Times New Roman" w:eastAsiaTheme="majorEastAsia"/>
                <w:kern w:val="0"/>
                <w:szCs w:val="21"/>
              </w:rPr>
            </w:pPr>
            <w:r>
              <w:rPr>
                <w:rFonts w:hint="eastAsia" w:ascii="Times New Roman" w:hAnsi="Times New Roman" w:cs="Times New Roman" w:eastAsiaTheme="majorEastAsia"/>
                <w:kern w:val="0"/>
                <w:szCs w:val="21"/>
              </w:rPr>
              <w:t>43.5</w:t>
            </w:r>
          </w:p>
        </w:tc>
        <w:tc>
          <w:tcPr>
            <w:tcW w:w="876" w:type="pct"/>
            <w:vMerge w:val="continue"/>
            <w:vAlign w:val="center"/>
          </w:tcPr>
          <w:p w14:paraId="003A6800">
            <w:pPr>
              <w:jc w:val="center"/>
              <w:rPr>
                <w:rFonts w:ascii="Times New Roman" w:cs="Times New Roman" w:hAnsiTheme="minorEastAsia" w:eastAsiaTheme="minorEastAsia"/>
              </w:rPr>
            </w:pPr>
          </w:p>
        </w:tc>
        <w:tc>
          <w:tcPr>
            <w:tcW w:w="2273" w:type="pct"/>
            <w:vMerge w:val="continue"/>
            <w:vAlign w:val="center"/>
          </w:tcPr>
          <w:p w14:paraId="3DE56706">
            <w:pPr>
              <w:rPr>
                <w:rFonts w:ascii="Times New Roman" w:hAnsi="宋体" w:eastAsia="宋体" w:cs="Times New Roman"/>
                <w:bCs/>
                <w:szCs w:val="21"/>
              </w:rPr>
            </w:pPr>
          </w:p>
        </w:tc>
      </w:tr>
      <w:tr w14:paraId="1683ECC9">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cantSplit/>
          <w:trHeight w:val="156" w:hRule="atLeast"/>
          <w:jc w:val="center"/>
        </w:trPr>
        <w:tc>
          <w:tcPr>
            <w:tcW w:w="342" w:type="pct"/>
            <w:vAlign w:val="center"/>
          </w:tcPr>
          <w:p w14:paraId="0E65FA46">
            <w:pPr>
              <w:jc w:val="center"/>
              <w:rPr>
                <w:rFonts w:ascii="Times New Roman" w:hAnsi="Times New Roman" w:eastAsia="宋体" w:cs="Times New Roman"/>
              </w:rPr>
            </w:pPr>
            <w:r>
              <w:rPr>
                <w:rFonts w:hint="eastAsia" w:ascii="Times New Roman" w:hAnsi="Times New Roman" w:eastAsia="宋体" w:cs="Times New Roman"/>
              </w:rPr>
              <w:t>10</w:t>
            </w:r>
          </w:p>
        </w:tc>
        <w:tc>
          <w:tcPr>
            <w:tcW w:w="619" w:type="pct"/>
            <w:vAlign w:val="center"/>
          </w:tcPr>
          <w:p w14:paraId="75AA2448">
            <w:pPr>
              <w:jc w:val="center"/>
              <w:rPr>
                <w:rFonts w:ascii="Times New Roman" w:hAnsi="Times New Roman" w:eastAsia="宋体" w:cs="Times New Roman"/>
                <w:szCs w:val="21"/>
              </w:rPr>
            </w:pPr>
            <w:r>
              <w:rPr>
                <w:rFonts w:hint="eastAsia" w:ascii="Times New Roman" w:cs="Times New Roman" w:hAnsiTheme="minorEastAsia" w:eastAsiaTheme="minorEastAsia"/>
                <w:snapToGrid w:val="0"/>
                <w:kern w:val="0"/>
              </w:rPr>
              <w:t>布鲁胡其</w:t>
            </w:r>
          </w:p>
        </w:tc>
        <w:tc>
          <w:tcPr>
            <w:tcW w:w="445" w:type="pct"/>
            <w:vAlign w:val="center"/>
          </w:tcPr>
          <w:p w14:paraId="4D327C77">
            <w:pPr>
              <w:widowControl/>
              <w:jc w:val="center"/>
              <w:rPr>
                <w:rFonts w:ascii="Times New Roman" w:hAnsi="Times New Roman" w:cs="Times New Roman" w:eastAsiaTheme="majorEastAsia"/>
                <w:kern w:val="0"/>
                <w:szCs w:val="21"/>
              </w:rPr>
            </w:pPr>
            <w:r>
              <w:rPr>
                <w:rFonts w:hint="eastAsia" w:ascii="Times New Roman" w:hAnsi="Times New Roman" w:cs="Times New Roman" w:eastAsiaTheme="majorEastAsia"/>
                <w:kern w:val="0"/>
                <w:szCs w:val="21"/>
              </w:rPr>
              <w:t>45.0</w:t>
            </w:r>
          </w:p>
        </w:tc>
        <w:tc>
          <w:tcPr>
            <w:tcW w:w="445" w:type="pct"/>
            <w:vAlign w:val="center"/>
          </w:tcPr>
          <w:p w14:paraId="7C3BF771">
            <w:pPr>
              <w:widowControl/>
              <w:jc w:val="center"/>
              <w:rPr>
                <w:rFonts w:ascii="Times New Roman" w:hAnsi="Times New Roman" w:cs="Times New Roman" w:eastAsiaTheme="majorEastAsia"/>
                <w:kern w:val="0"/>
                <w:szCs w:val="21"/>
              </w:rPr>
            </w:pPr>
            <w:r>
              <w:rPr>
                <w:rFonts w:hint="eastAsia" w:ascii="Times New Roman" w:hAnsi="Times New Roman" w:cs="Times New Roman" w:eastAsiaTheme="majorEastAsia"/>
                <w:kern w:val="0"/>
                <w:szCs w:val="21"/>
              </w:rPr>
              <w:t>37.0</w:t>
            </w:r>
          </w:p>
        </w:tc>
        <w:tc>
          <w:tcPr>
            <w:tcW w:w="876" w:type="pct"/>
            <w:vAlign w:val="center"/>
          </w:tcPr>
          <w:p w14:paraId="758307FE">
            <w:pPr>
              <w:jc w:val="center"/>
              <w:rPr>
                <w:rFonts w:ascii="Times New Roman" w:cs="Times New Roman" w:hAnsiTheme="minorEastAsia" w:eastAsiaTheme="minorEastAsia"/>
              </w:rPr>
            </w:pPr>
            <w:r>
              <w:rPr>
                <w:rFonts w:hint="eastAsia" w:ascii="Times New Roman" w:cs="Times New Roman" w:hAnsiTheme="minorEastAsia" w:eastAsiaTheme="minorEastAsia"/>
              </w:rPr>
              <w:t>丘如克、阿克霍伊拉卡尔瓦克</w:t>
            </w:r>
          </w:p>
        </w:tc>
        <w:tc>
          <w:tcPr>
            <w:tcW w:w="2273" w:type="pct"/>
            <w:vAlign w:val="center"/>
          </w:tcPr>
          <w:p w14:paraId="49FEBEDC">
            <w:pPr>
              <w:rPr>
                <w:rFonts w:ascii="Times New Roman" w:hAnsi="Times New Roman" w:eastAsia="宋体" w:cs="Times New Roman"/>
                <w:szCs w:val="21"/>
              </w:rPr>
            </w:pPr>
            <w:r>
              <w:rPr>
                <w:rFonts w:ascii="Times New Roman" w:hAnsi="宋体" w:eastAsia="宋体" w:cs="Times New Roman"/>
                <w:szCs w:val="21"/>
              </w:rPr>
              <w:t>敏感点位置相近</w:t>
            </w:r>
            <w:r>
              <w:rPr>
                <w:rFonts w:hint="eastAsia" w:ascii="Times New Roman" w:hAnsi="宋体" w:eastAsia="宋体" w:cs="Times New Roman"/>
                <w:szCs w:val="21"/>
              </w:rPr>
              <w:t>，</w:t>
            </w:r>
            <w:r>
              <w:rPr>
                <w:rFonts w:ascii="Times New Roman" w:hAnsi="宋体" w:eastAsia="宋体" w:cs="Times New Roman"/>
                <w:szCs w:val="21"/>
              </w:rPr>
              <w:t>背景噪声声环境特征相似，无其它强噪声源，</w:t>
            </w:r>
            <w:r>
              <w:rPr>
                <w:rFonts w:ascii="Times New Roman" w:hAnsi="宋体" w:eastAsia="宋体" w:cs="Times New Roman"/>
                <w:bCs/>
                <w:szCs w:val="21"/>
              </w:rPr>
              <w:t>选取</w:t>
            </w:r>
            <w:r>
              <w:rPr>
                <w:rFonts w:hint="eastAsia" w:ascii="Times New Roman" w:cs="Times New Roman" w:hAnsiTheme="minorEastAsia" w:eastAsiaTheme="minorEastAsia"/>
                <w:snapToGrid w:val="0"/>
                <w:kern w:val="0"/>
              </w:rPr>
              <w:t>布鲁胡其</w:t>
            </w:r>
            <w:r>
              <w:rPr>
                <w:rFonts w:ascii="Times New Roman" w:hAnsi="宋体" w:eastAsia="宋体" w:cs="Times New Roman"/>
                <w:bCs/>
                <w:szCs w:val="21"/>
              </w:rPr>
              <w:t>现状环境噪声昼、夜监测值的</w:t>
            </w:r>
            <w:r>
              <w:rPr>
                <w:rFonts w:hint="eastAsia" w:ascii="Times New Roman" w:hAnsi="宋体" w:eastAsia="宋体" w:cs="Times New Roman"/>
                <w:bCs/>
                <w:szCs w:val="21"/>
              </w:rPr>
              <w:t>平均值</w:t>
            </w:r>
          </w:p>
        </w:tc>
      </w:tr>
      <w:tr w14:paraId="22084A61">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cantSplit/>
          <w:trHeight w:val="127" w:hRule="atLeast"/>
          <w:jc w:val="center"/>
        </w:trPr>
        <w:tc>
          <w:tcPr>
            <w:tcW w:w="342" w:type="pct"/>
            <w:vAlign w:val="center"/>
          </w:tcPr>
          <w:p w14:paraId="3608D90B">
            <w:pPr>
              <w:jc w:val="center"/>
              <w:rPr>
                <w:rFonts w:ascii="Times New Roman" w:hAnsi="Times New Roman" w:eastAsia="宋体" w:cs="Times New Roman"/>
              </w:rPr>
            </w:pPr>
            <w:r>
              <w:rPr>
                <w:rFonts w:hint="eastAsia" w:ascii="Times New Roman" w:hAnsi="Times New Roman" w:eastAsia="宋体" w:cs="Times New Roman"/>
              </w:rPr>
              <w:t>11</w:t>
            </w:r>
          </w:p>
        </w:tc>
        <w:tc>
          <w:tcPr>
            <w:tcW w:w="619" w:type="pct"/>
            <w:vAlign w:val="center"/>
          </w:tcPr>
          <w:p w14:paraId="58D597E6">
            <w:pPr>
              <w:widowControl/>
              <w:adjustRightInd w:val="0"/>
              <w:snapToGrid w:val="0"/>
              <w:jc w:val="center"/>
              <w:rPr>
                <w:rFonts w:ascii="Times New Roman" w:hAnsi="宋体" w:eastAsia="宋体" w:cs="Times New Roman"/>
                <w:snapToGrid w:val="0"/>
                <w:kern w:val="0"/>
                <w:szCs w:val="21"/>
              </w:rPr>
            </w:pPr>
            <w:r>
              <w:rPr>
                <w:rFonts w:hint="eastAsia" w:ascii="Times New Roman" w:cs="Times New Roman" w:hAnsiTheme="minorEastAsia" w:eastAsiaTheme="minorEastAsia"/>
              </w:rPr>
              <w:t>土木拉克</w:t>
            </w:r>
          </w:p>
        </w:tc>
        <w:tc>
          <w:tcPr>
            <w:tcW w:w="445" w:type="pct"/>
            <w:vAlign w:val="center"/>
          </w:tcPr>
          <w:p w14:paraId="150D7337">
            <w:pPr>
              <w:widowControl/>
              <w:jc w:val="center"/>
              <w:rPr>
                <w:rFonts w:ascii="Times New Roman" w:hAnsi="Times New Roman" w:cs="Times New Roman" w:eastAsiaTheme="majorEastAsia"/>
                <w:kern w:val="0"/>
                <w:szCs w:val="21"/>
              </w:rPr>
            </w:pPr>
            <w:r>
              <w:rPr>
                <w:rFonts w:hint="eastAsia" w:ascii="Times New Roman" w:hAnsi="Times New Roman" w:cs="Times New Roman" w:eastAsiaTheme="majorEastAsia"/>
                <w:kern w:val="0"/>
                <w:szCs w:val="21"/>
              </w:rPr>
              <w:t>45.5</w:t>
            </w:r>
          </w:p>
        </w:tc>
        <w:tc>
          <w:tcPr>
            <w:tcW w:w="445" w:type="pct"/>
            <w:vAlign w:val="center"/>
          </w:tcPr>
          <w:p w14:paraId="64F28A5A">
            <w:pPr>
              <w:widowControl/>
              <w:jc w:val="center"/>
              <w:rPr>
                <w:rFonts w:ascii="Times New Roman" w:hAnsi="Times New Roman" w:cs="Times New Roman" w:eastAsiaTheme="majorEastAsia"/>
                <w:kern w:val="0"/>
                <w:szCs w:val="21"/>
              </w:rPr>
            </w:pPr>
            <w:r>
              <w:rPr>
                <w:rFonts w:hint="eastAsia" w:ascii="Times New Roman" w:hAnsi="Times New Roman" w:cs="Times New Roman" w:eastAsiaTheme="majorEastAsia"/>
                <w:kern w:val="0"/>
                <w:szCs w:val="21"/>
              </w:rPr>
              <w:t>37.5</w:t>
            </w:r>
          </w:p>
        </w:tc>
        <w:tc>
          <w:tcPr>
            <w:tcW w:w="876" w:type="pct"/>
            <w:vAlign w:val="center"/>
          </w:tcPr>
          <w:p w14:paraId="4AA35B98">
            <w:pPr>
              <w:jc w:val="center"/>
              <w:rPr>
                <w:rFonts w:ascii="Times New Roman" w:cs="Times New Roman" w:hAnsiTheme="minorEastAsia" w:eastAsiaTheme="minorEastAsia"/>
              </w:rPr>
            </w:pPr>
            <w:r>
              <w:rPr>
                <w:rFonts w:hint="eastAsia" w:ascii="Times New Roman" w:cs="Times New Roman" w:hAnsiTheme="minorEastAsia" w:eastAsiaTheme="minorEastAsia"/>
              </w:rPr>
              <w:t>克孜勒吉依木村、江巴孜村</w:t>
            </w:r>
          </w:p>
        </w:tc>
        <w:tc>
          <w:tcPr>
            <w:tcW w:w="2273" w:type="pct"/>
            <w:vAlign w:val="center"/>
          </w:tcPr>
          <w:p w14:paraId="6D47F47B">
            <w:pPr>
              <w:rPr>
                <w:rFonts w:ascii="Times New Roman" w:hAnsi="Times New Roman" w:eastAsia="宋体" w:cs="Times New Roman"/>
                <w:szCs w:val="21"/>
              </w:rPr>
            </w:pPr>
            <w:r>
              <w:rPr>
                <w:rFonts w:ascii="Times New Roman" w:hAnsi="宋体" w:eastAsia="宋体" w:cs="Times New Roman"/>
                <w:szCs w:val="21"/>
              </w:rPr>
              <w:t>敏感点位置相近</w:t>
            </w:r>
            <w:r>
              <w:rPr>
                <w:rFonts w:hint="eastAsia" w:ascii="Times New Roman" w:hAnsi="宋体" w:eastAsia="宋体" w:cs="Times New Roman"/>
                <w:szCs w:val="21"/>
              </w:rPr>
              <w:t>，</w:t>
            </w:r>
            <w:r>
              <w:rPr>
                <w:rFonts w:ascii="Times New Roman" w:hAnsi="宋体" w:eastAsia="宋体" w:cs="Times New Roman"/>
                <w:szCs w:val="21"/>
              </w:rPr>
              <w:t>背景噪声声环境特征相似，无其它强噪声源，</w:t>
            </w:r>
            <w:r>
              <w:rPr>
                <w:rFonts w:ascii="Times New Roman" w:hAnsi="宋体" w:eastAsia="宋体" w:cs="Times New Roman"/>
                <w:bCs/>
                <w:szCs w:val="21"/>
              </w:rPr>
              <w:t>选取</w:t>
            </w:r>
            <w:r>
              <w:rPr>
                <w:rFonts w:hint="eastAsia" w:ascii="Times New Roman" w:cs="Times New Roman" w:hAnsiTheme="minorEastAsia" w:eastAsiaTheme="minorEastAsia"/>
              </w:rPr>
              <w:t>土木拉克</w:t>
            </w:r>
            <w:r>
              <w:rPr>
                <w:rFonts w:ascii="Times New Roman" w:hAnsi="宋体" w:eastAsia="宋体" w:cs="Times New Roman"/>
                <w:bCs/>
                <w:szCs w:val="21"/>
              </w:rPr>
              <w:t>现状环境噪声昼、夜监测值的</w:t>
            </w:r>
            <w:r>
              <w:rPr>
                <w:rFonts w:hint="eastAsia" w:ascii="Times New Roman" w:hAnsi="宋体" w:eastAsia="宋体" w:cs="Times New Roman"/>
                <w:bCs/>
                <w:szCs w:val="21"/>
              </w:rPr>
              <w:t>平均值</w:t>
            </w:r>
          </w:p>
        </w:tc>
      </w:tr>
      <w:tr w14:paraId="69437449">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cantSplit/>
          <w:trHeight w:val="127" w:hRule="atLeast"/>
          <w:jc w:val="center"/>
        </w:trPr>
        <w:tc>
          <w:tcPr>
            <w:tcW w:w="342" w:type="pct"/>
            <w:vAlign w:val="center"/>
          </w:tcPr>
          <w:p w14:paraId="5F795C4B">
            <w:pPr>
              <w:jc w:val="center"/>
              <w:rPr>
                <w:rFonts w:ascii="Times New Roman" w:hAnsi="Times New Roman" w:eastAsia="宋体" w:cs="Times New Roman"/>
              </w:rPr>
            </w:pPr>
            <w:r>
              <w:rPr>
                <w:rFonts w:hint="eastAsia" w:ascii="Times New Roman" w:hAnsi="Times New Roman" w:eastAsia="宋体" w:cs="Times New Roman"/>
              </w:rPr>
              <w:t>12</w:t>
            </w:r>
          </w:p>
        </w:tc>
        <w:tc>
          <w:tcPr>
            <w:tcW w:w="619" w:type="pct"/>
            <w:vAlign w:val="center"/>
          </w:tcPr>
          <w:p w14:paraId="494764E6">
            <w:pPr>
              <w:adjustRightInd w:val="0"/>
              <w:snapToGrid w:val="0"/>
              <w:jc w:val="center"/>
              <w:rPr>
                <w:rFonts w:ascii="Times New Roman" w:hAnsi="Times New Roman" w:eastAsia="宋体" w:cs="Times New Roman"/>
                <w:szCs w:val="21"/>
              </w:rPr>
            </w:pPr>
            <w:r>
              <w:rPr>
                <w:rFonts w:hint="eastAsia" w:ascii="Times New Roman" w:cs="Times New Roman" w:hAnsiTheme="minorEastAsia" w:eastAsiaTheme="minorEastAsia"/>
              </w:rPr>
              <w:t>阿亚格乔拉克村</w:t>
            </w:r>
          </w:p>
        </w:tc>
        <w:tc>
          <w:tcPr>
            <w:tcW w:w="445" w:type="pct"/>
            <w:vAlign w:val="center"/>
          </w:tcPr>
          <w:p w14:paraId="0D1906D5">
            <w:pPr>
              <w:widowControl/>
              <w:jc w:val="center"/>
              <w:rPr>
                <w:rFonts w:ascii="Times New Roman" w:hAnsi="Times New Roman" w:cs="Times New Roman" w:eastAsiaTheme="majorEastAsia"/>
                <w:kern w:val="0"/>
                <w:szCs w:val="21"/>
              </w:rPr>
            </w:pPr>
            <w:r>
              <w:rPr>
                <w:rFonts w:hint="eastAsia" w:ascii="Times New Roman" w:hAnsi="Times New Roman" w:cs="Times New Roman" w:eastAsiaTheme="majorEastAsia"/>
                <w:kern w:val="0"/>
                <w:szCs w:val="21"/>
              </w:rPr>
              <w:t>45.0</w:t>
            </w:r>
          </w:p>
        </w:tc>
        <w:tc>
          <w:tcPr>
            <w:tcW w:w="445" w:type="pct"/>
            <w:vAlign w:val="center"/>
          </w:tcPr>
          <w:p w14:paraId="177E6263">
            <w:pPr>
              <w:widowControl/>
              <w:jc w:val="center"/>
              <w:rPr>
                <w:rFonts w:ascii="Times New Roman" w:hAnsi="Times New Roman" w:cs="Times New Roman" w:eastAsiaTheme="majorEastAsia"/>
                <w:kern w:val="0"/>
                <w:szCs w:val="21"/>
              </w:rPr>
            </w:pPr>
            <w:r>
              <w:rPr>
                <w:rFonts w:hint="eastAsia" w:ascii="Times New Roman" w:hAnsi="Times New Roman" w:cs="Times New Roman" w:eastAsiaTheme="majorEastAsia"/>
                <w:kern w:val="0"/>
                <w:szCs w:val="21"/>
              </w:rPr>
              <w:t>37.5</w:t>
            </w:r>
          </w:p>
        </w:tc>
        <w:tc>
          <w:tcPr>
            <w:tcW w:w="876" w:type="pct"/>
            <w:vAlign w:val="center"/>
          </w:tcPr>
          <w:p w14:paraId="43CDE168">
            <w:pPr>
              <w:jc w:val="center"/>
              <w:rPr>
                <w:rFonts w:ascii="Times New Roman" w:cs="Times New Roman" w:hAnsiTheme="minorEastAsia" w:eastAsiaTheme="minorEastAsia"/>
              </w:rPr>
            </w:pPr>
            <w:r>
              <w:rPr>
                <w:rFonts w:hint="eastAsia" w:ascii="Times New Roman" w:cs="Times New Roman" w:hAnsiTheme="minorEastAsia" w:eastAsiaTheme="minorEastAsia"/>
              </w:rPr>
              <w:t>-</w:t>
            </w:r>
          </w:p>
        </w:tc>
        <w:tc>
          <w:tcPr>
            <w:tcW w:w="2273" w:type="pct"/>
            <w:vAlign w:val="center"/>
          </w:tcPr>
          <w:p w14:paraId="7A988FB7">
            <w:pPr>
              <w:rPr>
                <w:rFonts w:ascii="Times New Roman" w:hAnsi="Times New Roman" w:eastAsia="宋体" w:cs="Times New Roman"/>
                <w:szCs w:val="21"/>
              </w:rPr>
            </w:pPr>
            <w:r>
              <w:rPr>
                <w:rFonts w:ascii="Times New Roman" w:hAnsi="宋体" w:eastAsia="宋体" w:cs="Times New Roman"/>
                <w:bCs/>
                <w:szCs w:val="21"/>
              </w:rPr>
              <w:t>现状监测点，选取现状环境噪声昼、夜监测值的</w:t>
            </w:r>
            <w:r>
              <w:rPr>
                <w:rFonts w:hint="eastAsia" w:ascii="Times New Roman" w:hAnsi="宋体" w:eastAsia="宋体" w:cs="Times New Roman"/>
                <w:bCs/>
                <w:szCs w:val="21"/>
              </w:rPr>
              <w:t>平均值</w:t>
            </w:r>
          </w:p>
        </w:tc>
      </w:tr>
      <w:tr w14:paraId="14F673C8">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342" w:type="pct"/>
            <w:vAlign w:val="center"/>
          </w:tcPr>
          <w:p w14:paraId="46AEF553">
            <w:pPr>
              <w:jc w:val="center"/>
              <w:rPr>
                <w:rFonts w:ascii="Times New Roman" w:hAnsi="Times New Roman" w:eastAsia="宋体" w:cs="Times New Roman"/>
              </w:rPr>
            </w:pPr>
            <w:r>
              <w:rPr>
                <w:rFonts w:hint="eastAsia" w:ascii="Times New Roman" w:hAnsi="Times New Roman" w:eastAsia="宋体" w:cs="Times New Roman"/>
              </w:rPr>
              <w:t>13</w:t>
            </w:r>
          </w:p>
        </w:tc>
        <w:tc>
          <w:tcPr>
            <w:tcW w:w="619" w:type="pct"/>
            <w:vAlign w:val="center"/>
          </w:tcPr>
          <w:p w14:paraId="2428AA7B">
            <w:pPr>
              <w:adjustRightInd w:val="0"/>
              <w:snapToGrid w:val="0"/>
              <w:jc w:val="center"/>
              <w:rPr>
                <w:rFonts w:ascii="Times New Roman" w:hAnsi="Times New Roman" w:eastAsia="宋体" w:cs="Times New Roman"/>
                <w:szCs w:val="21"/>
              </w:rPr>
            </w:pPr>
            <w:r>
              <w:rPr>
                <w:rFonts w:hint="eastAsia" w:ascii="Times New Roman" w:cs="Times New Roman" w:hAnsiTheme="minorEastAsia" w:eastAsiaTheme="minorEastAsia"/>
              </w:rPr>
              <w:t>托万克阿帕霍加</w:t>
            </w:r>
          </w:p>
        </w:tc>
        <w:tc>
          <w:tcPr>
            <w:tcW w:w="445" w:type="pct"/>
            <w:vAlign w:val="center"/>
          </w:tcPr>
          <w:p w14:paraId="1133DF79">
            <w:pPr>
              <w:widowControl/>
              <w:jc w:val="center"/>
              <w:rPr>
                <w:rFonts w:ascii="Times New Roman" w:hAnsi="Times New Roman" w:cs="Times New Roman" w:eastAsiaTheme="majorEastAsia"/>
                <w:kern w:val="0"/>
                <w:szCs w:val="21"/>
              </w:rPr>
            </w:pPr>
            <w:r>
              <w:rPr>
                <w:rFonts w:hint="eastAsia" w:ascii="Times New Roman" w:hAnsi="Times New Roman" w:cs="Times New Roman" w:eastAsiaTheme="majorEastAsia"/>
                <w:kern w:val="0"/>
                <w:szCs w:val="21"/>
              </w:rPr>
              <w:t>44.0</w:t>
            </w:r>
          </w:p>
        </w:tc>
        <w:tc>
          <w:tcPr>
            <w:tcW w:w="445" w:type="pct"/>
            <w:vAlign w:val="center"/>
          </w:tcPr>
          <w:p w14:paraId="515060F8">
            <w:pPr>
              <w:widowControl/>
              <w:jc w:val="center"/>
              <w:rPr>
                <w:rFonts w:ascii="Times New Roman" w:hAnsi="Times New Roman" w:cs="Times New Roman" w:eastAsiaTheme="majorEastAsia"/>
                <w:kern w:val="0"/>
                <w:szCs w:val="21"/>
              </w:rPr>
            </w:pPr>
            <w:r>
              <w:rPr>
                <w:rFonts w:hint="eastAsia" w:ascii="Times New Roman" w:hAnsi="Times New Roman" w:cs="Times New Roman" w:eastAsiaTheme="majorEastAsia"/>
                <w:kern w:val="0"/>
                <w:szCs w:val="21"/>
              </w:rPr>
              <w:t>37.5</w:t>
            </w:r>
          </w:p>
        </w:tc>
        <w:tc>
          <w:tcPr>
            <w:tcW w:w="876" w:type="pct"/>
            <w:vAlign w:val="center"/>
          </w:tcPr>
          <w:p w14:paraId="5F2900CD">
            <w:pPr>
              <w:jc w:val="center"/>
              <w:rPr>
                <w:rFonts w:ascii="Times New Roman" w:cs="Times New Roman" w:hAnsiTheme="minorEastAsia" w:eastAsiaTheme="minorEastAsia"/>
              </w:rPr>
            </w:pPr>
            <w:r>
              <w:rPr>
                <w:rFonts w:hint="eastAsia" w:ascii="Times New Roman" w:cs="Times New Roman" w:hAnsiTheme="minorEastAsia" w:eastAsiaTheme="minorEastAsia"/>
              </w:rPr>
              <w:t>-</w:t>
            </w:r>
          </w:p>
        </w:tc>
        <w:tc>
          <w:tcPr>
            <w:tcW w:w="2273" w:type="pct"/>
            <w:vAlign w:val="center"/>
          </w:tcPr>
          <w:p w14:paraId="4AB20FCE">
            <w:pPr>
              <w:rPr>
                <w:rFonts w:ascii="Times New Roman" w:hAnsi="Times New Roman" w:eastAsia="宋体" w:cs="Times New Roman"/>
                <w:szCs w:val="21"/>
              </w:rPr>
            </w:pPr>
            <w:r>
              <w:rPr>
                <w:rFonts w:ascii="Times New Roman" w:hAnsi="宋体" w:eastAsia="宋体" w:cs="Times New Roman"/>
                <w:bCs/>
                <w:szCs w:val="21"/>
              </w:rPr>
              <w:t>现状监测点，选取现状环境噪声昼、夜监测值的</w:t>
            </w:r>
            <w:r>
              <w:rPr>
                <w:rFonts w:hint="eastAsia" w:ascii="Times New Roman" w:hAnsi="宋体" w:eastAsia="宋体" w:cs="Times New Roman"/>
                <w:bCs/>
                <w:szCs w:val="21"/>
              </w:rPr>
              <w:t>平均值</w:t>
            </w:r>
          </w:p>
        </w:tc>
      </w:tr>
    </w:tbl>
    <w:p w14:paraId="4B6D9263">
      <w:pPr>
        <w:rPr>
          <w:rFonts w:ascii="Times New Roman" w:hAnsi="Times New Roman" w:eastAsia="宋体" w:cs="Times New Roman"/>
        </w:rPr>
      </w:pPr>
      <w:r>
        <w:rPr>
          <w:rFonts w:ascii="Times New Roman" w:hAnsi="Times New Roman" w:eastAsia="宋体" w:cs="Times New Roman"/>
        </w:rPr>
        <w:t>注</w:t>
      </w:r>
      <w:r>
        <w:rPr>
          <w:rFonts w:hint="eastAsia" w:ascii="Times New Roman" w:hAnsi="Times New Roman" w:eastAsia="宋体" w:cs="Times New Roman"/>
        </w:rPr>
        <w:t>：</w:t>
      </w:r>
      <w:r>
        <w:rPr>
          <w:rFonts w:ascii="Times New Roman" w:hAnsi="Times New Roman" w:eastAsia="宋体" w:cs="Times New Roman"/>
        </w:rPr>
        <w:t>背景值指不含</w:t>
      </w:r>
      <w:r>
        <w:rPr>
          <w:rFonts w:hint="eastAsia" w:ascii="Times New Roman" w:hAnsi="Times New Roman" w:eastAsia="宋体" w:cs="Times New Roman"/>
        </w:rPr>
        <w:t>本</w:t>
      </w:r>
      <w:r>
        <w:rPr>
          <w:rFonts w:ascii="Times New Roman" w:hAnsi="Times New Roman" w:eastAsia="宋体" w:cs="Times New Roman"/>
        </w:rPr>
        <w:t>项目既有公路噪声的背景噪声值</w:t>
      </w:r>
      <w:r>
        <w:rPr>
          <w:rFonts w:hint="eastAsia" w:ascii="Times New Roman" w:hAnsi="Times New Roman" w:eastAsia="宋体" w:cs="Times New Roman"/>
        </w:rPr>
        <w:t>。</w:t>
      </w:r>
    </w:p>
    <w:p w14:paraId="3167D89B">
      <w:pPr>
        <w:spacing w:line="300" w:lineRule="auto"/>
        <w:ind w:firstLine="480" w:firstLineChars="200"/>
        <w:rPr>
          <w:rFonts w:ascii="Times New Roman" w:hAnsi="Times New Roman" w:eastAsia="宋体" w:cs="Times New Roman"/>
          <w:sz w:val="24"/>
        </w:rPr>
      </w:pPr>
      <w:bookmarkStart w:id="224" w:name="_Hlk187523713"/>
      <w:r>
        <w:rPr>
          <w:rFonts w:ascii="Times New Roman" w:hAnsi="Times New Roman" w:eastAsia="宋体" w:cs="Times New Roman"/>
          <w:sz w:val="24"/>
        </w:rPr>
        <w:t>拟建</w:t>
      </w:r>
      <w:r>
        <w:rPr>
          <w:rFonts w:hint="eastAsia" w:ascii="Times New Roman" w:hAnsi="Times New Roman" w:eastAsia="宋体" w:cs="Times New Roman"/>
          <w:sz w:val="24"/>
        </w:rPr>
        <w:t>公路</w:t>
      </w:r>
      <w:r>
        <w:rPr>
          <w:rFonts w:ascii="Times New Roman" w:hAnsi="Times New Roman" w:eastAsia="宋体" w:cs="Times New Roman"/>
          <w:sz w:val="24"/>
        </w:rPr>
        <w:t>沿线声环境</w:t>
      </w:r>
      <w:r>
        <w:rPr>
          <w:rFonts w:hint="eastAsia" w:ascii="Times New Roman" w:hAnsi="Times New Roman" w:eastAsia="宋体" w:cs="Times New Roman"/>
          <w:sz w:val="24"/>
        </w:rPr>
        <w:t>保护</w:t>
      </w:r>
      <w:r>
        <w:rPr>
          <w:rFonts w:ascii="Times New Roman" w:hAnsi="Times New Roman" w:eastAsia="宋体" w:cs="Times New Roman"/>
          <w:sz w:val="24"/>
        </w:rPr>
        <w:t>目标营运期环境噪声预测结果</w:t>
      </w:r>
      <w:bookmarkEnd w:id="224"/>
      <w:r>
        <w:rPr>
          <w:rFonts w:ascii="Times New Roman" w:hAnsi="Times New Roman" w:eastAsia="宋体" w:cs="Times New Roman"/>
          <w:sz w:val="24"/>
        </w:rPr>
        <w:t>及达标分析情况见表4.2-</w:t>
      </w:r>
      <w:r>
        <w:rPr>
          <w:rFonts w:hint="eastAsia" w:ascii="Times New Roman" w:hAnsi="Times New Roman" w:eastAsia="宋体" w:cs="Times New Roman"/>
          <w:sz w:val="24"/>
        </w:rPr>
        <w:t>8，</w:t>
      </w:r>
      <w:r>
        <w:rPr>
          <w:rFonts w:ascii="Times New Roman" w:hAnsi="Times New Roman" w:eastAsia="宋体" w:cs="Times New Roman"/>
          <w:sz w:val="24"/>
        </w:rPr>
        <w:t>营运期超标声环境保护目标统计详见表</w:t>
      </w:r>
      <w:r>
        <w:rPr>
          <w:rFonts w:hint="eastAsia" w:ascii="Times New Roman" w:hAnsi="Times New Roman" w:eastAsia="宋体" w:cs="Times New Roman"/>
          <w:sz w:val="24"/>
        </w:rPr>
        <w:t>4.2-9</w:t>
      </w:r>
      <w:r>
        <w:rPr>
          <w:rFonts w:ascii="Times New Roman" w:hAnsi="Times New Roman" w:eastAsia="宋体" w:cs="Times New Roman"/>
          <w:sz w:val="24"/>
        </w:rPr>
        <w:t>。</w:t>
      </w:r>
    </w:p>
    <w:p w14:paraId="475B7CCD">
      <w:pPr>
        <w:widowControl w:val="0"/>
        <w:spacing w:line="300" w:lineRule="auto"/>
        <w:ind w:firstLine="480" w:firstLineChars="200"/>
        <w:jc w:val="both"/>
        <w:rPr>
          <w:rFonts w:ascii="Times New Roman" w:hAnsi="Times New Roman" w:eastAsia="宋体" w:cs="Times New Roman"/>
          <w:kern w:val="2"/>
          <w:sz w:val="24"/>
          <w:szCs w:val="20"/>
          <w:lang w:val="en-US" w:eastAsia="zh-CN" w:bidi="ar-SA"/>
        </w:rPr>
      </w:pPr>
      <w:r>
        <w:rPr>
          <w:rFonts w:ascii="Times New Roman" w:hAnsi="Times New Roman" w:eastAsia="宋体" w:cs="Times New Roman"/>
          <w:kern w:val="2"/>
          <w:sz w:val="24"/>
          <w:szCs w:val="20"/>
          <w:lang w:val="en-US" w:eastAsia="zh-CN" w:bidi="ar-SA"/>
        </w:rPr>
        <w:t>从声环境保护目标预测结果可以得出：</w:t>
      </w:r>
    </w:p>
    <w:p w14:paraId="7BA13DF5">
      <w:pPr>
        <w:widowControl w:val="0"/>
        <w:spacing w:line="300" w:lineRule="auto"/>
        <w:ind w:firstLine="480" w:firstLineChars="200"/>
        <w:jc w:val="both"/>
        <w:rPr>
          <w:rFonts w:ascii="Times New Roman" w:hAnsi="Times New Roman" w:eastAsia="宋体" w:cs="Times New Roman"/>
          <w:kern w:val="2"/>
          <w:sz w:val="24"/>
          <w:szCs w:val="20"/>
          <w:highlight w:val="yellow"/>
          <w:lang w:val="en-US" w:eastAsia="zh-CN" w:bidi="ar-SA"/>
        </w:rPr>
      </w:pPr>
      <w:r>
        <w:rPr>
          <w:rFonts w:hint="eastAsia" w:ascii="宋体" w:hAnsi="宋体" w:eastAsia="宋体" w:cs="宋体"/>
          <w:kern w:val="2"/>
          <w:sz w:val="24"/>
          <w:szCs w:val="20"/>
          <w:lang w:val="en-US" w:eastAsia="zh-CN" w:bidi="ar-SA"/>
        </w:rPr>
        <w:t xml:space="preserve">① </w:t>
      </w:r>
      <w:r>
        <w:rPr>
          <w:rFonts w:ascii="Times New Roman" w:hAnsi="Times New Roman" w:eastAsia="宋体" w:cs="Times New Roman"/>
          <w:kern w:val="2"/>
          <w:sz w:val="24"/>
          <w:szCs w:val="20"/>
          <w:lang w:val="en-US" w:eastAsia="zh-CN" w:bidi="ar-SA"/>
        </w:rPr>
        <w:t>沿线</w:t>
      </w:r>
      <w:r>
        <w:rPr>
          <w:rFonts w:hint="eastAsia" w:ascii="Times New Roman" w:hAnsi="Times New Roman" w:eastAsia="宋体" w:cs="Times New Roman"/>
          <w:kern w:val="2"/>
          <w:sz w:val="24"/>
          <w:szCs w:val="20"/>
          <w:lang w:val="en-US" w:eastAsia="zh-CN" w:bidi="ar-SA"/>
        </w:rPr>
        <w:t>22</w:t>
      </w:r>
      <w:r>
        <w:rPr>
          <w:rFonts w:ascii="Times New Roman" w:hAnsi="Times New Roman" w:eastAsia="宋体" w:cs="Times New Roman"/>
          <w:kern w:val="2"/>
          <w:sz w:val="24"/>
          <w:szCs w:val="20"/>
          <w:lang w:val="en-US" w:eastAsia="zh-CN" w:bidi="ar-SA"/>
        </w:rPr>
        <w:t>处村庄</w:t>
      </w:r>
      <w:r>
        <w:rPr>
          <w:rFonts w:hint="eastAsia" w:ascii="Times New Roman" w:hAnsi="Times New Roman" w:eastAsia="宋体" w:cs="Times New Roman"/>
          <w:kern w:val="2"/>
          <w:sz w:val="24"/>
          <w:szCs w:val="20"/>
          <w:lang w:val="en-US" w:eastAsia="zh-CN" w:bidi="ar-SA"/>
        </w:rPr>
        <w:t>居民点</w:t>
      </w:r>
      <w:r>
        <w:rPr>
          <w:rFonts w:ascii="Times New Roman" w:hAnsi="Times New Roman" w:eastAsia="宋体" w:cs="Times New Roman"/>
          <w:kern w:val="2"/>
          <w:sz w:val="24"/>
          <w:szCs w:val="20"/>
          <w:lang w:val="en-US" w:eastAsia="zh-CN" w:bidi="ar-SA"/>
        </w:rPr>
        <w:t>中，运营近、中、远期昼间</w:t>
      </w:r>
      <w:r>
        <w:rPr>
          <w:rFonts w:hint="eastAsia" w:ascii="Times New Roman" w:hAnsi="Times New Roman" w:eastAsia="宋体" w:cs="Times New Roman"/>
          <w:kern w:val="2"/>
          <w:sz w:val="24"/>
          <w:szCs w:val="20"/>
          <w:lang w:val="en-US" w:eastAsia="zh-CN" w:bidi="ar-SA"/>
        </w:rPr>
        <w:t>分别</w:t>
      </w:r>
      <w:r>
        <w:rPr>
          <w:rFonts w:ascii="Times New Roman" w:hAnsi="Times New Roman" w:eastAsia="宋体" w:cs="Times New Roman"/>
          <w:kern w:val="2"/>
          <w:sz w:val="24"/>
          <w:szCs w:val="20"/>
          <w:lang w:val="en-US" w:eastAsia="zh-CN" w:bidi="ar-SA"/>
        </w:rPr>
        <w:t>有</w:t>
      </w:r>
      <w:r>
        <w:rPr>
          <w:rFonts w:hint="eastAsia" w:ascii="Times New Roman" w:hAnsi="Times New Roman" w:eastAsia="宋体" w:cs="Times New Roman"/>
          <w:kern w:val="2"/>
          <w:sz w:val="24"/>
          <w:szCs w:val="20"/>
          <w:lang w:val="en-US" w:eastAsia="zh-CN" w:bidi="ar-SA"/>
        </w:rPr>
        <w:t>1</w:t>
      </w:r>
      <w:r>
        <w:rPr>
          <w:rFonts w:ascii="Times New Roman" w:hAnsi="Times New Roman" w:eastAsia="宋体" w:cs="Times New Roman"/>
          <w:kern w:val="2"/>
          <w:sz w:val="24"/>
          <w:szCs w:val="20"/>
          <w:lang w:val="en-US" w:eastAsia="zh-CN" w:bidi="ar-SA"/>
        </w:rPr>
        <w:t>处、</w:t>
      </w:r>
      <w:r>
        <w:rPr>
          <w:rFonts w:hint="eastAsia" w:ascii="Times New Roman" w:hAnsi="Times New Roman" w:eastAsia="宋体" w:cs="Times New Roman"/>
          <w:kern w:val="2"/>
          <w:sz w:val="24"/>
          <w:szCs w:val="20"/>
          <w:lang w:val="en-US" w:eastAsia="zh-CN" w:bidi="ar-SA"/>
        </w:rPr>
        <w:t>3处和3处</w:t>
      </w:r>
      <w:r>
        <w:rPr>
          <w:rFonts w:ascii="Times New Roman" w:hAnsi="Times New Roman" w:eastAsia="宋体" w:cs="Times New Roman"/>
          <w:kern w:val="2"/>
          <w:sz w:val="24"/>
          <w:szCs w:val="20"/>
          <w:lang w:val="en-US" w:eastAsia="zh-CN" w:bidi="ar-SA"/>
        </w:rPr>
        <w:t>超标，超标量分别为：</w:t>
      </w:r>
      <w:r>
        <w:rPr>
          <w:rFonts w:hint="eastAsia" w:ascii="Times New Roman" w:hAnsi="Times New Roman" w:eastAsia="宋体" w:cs="Times New Roman"/>
          <w:kern w:val="2"/>
          <w:sz w:val="24"/>
          <w:szCs w:val="20"/>
          <w:lang w:val="en-US" w:eastAsia="zh-CN" w:bidi="ar-SA"/>
        </w:rPr>
        <w:t>1.2</w:t>
      </w:r>
      <w:r>
        <w:rPr>
          <w:rFonts w:ascii="Times New Roman" w:hAnsi="Times New Roman" w:eastAsia="宋体" w:cs="Times New Roman"/>
          <w:kern w:val="2"/>
          <w:sz w:val="24"/>
          <w:szCs w:val="20"/>
          <w:lang w:val="en-US" w:eastAsia="zh-CN" w:bidi="ar-SA"/>
        </w:rPr>
        <w:t>dB、</w:t>
      </w:r>
      <w:r>
        <w:rPr>
          <w:rFonts w:hint="eastAsia" w:ascii="Times New Roman" w:hAnsi="Times New Roman" w:eastAsia="宋体" w:cs="Times New Roman"/>
          <w:kern w:val="2"/>
          <w:sz w:val="24"/>
          <w:szCs w:val="20"/>
          <w:lang w:val="en-US" w:eastAsia="zh-CN" w:bidi="ar-SA"/>
        </w:rPr>
        <w:t>0.3</w:t>
      </w:r>
      <w:r>
        <w:rPr>
          <w:rFonts w:ascii="Times New Roman" w:hAnsi="Times New Roman" w:eastAsia="宋体" w:cs="Times New Roman"/>
          <w:kern w:val="0"/>
          <w:sz w:val="24"/>
          <w:szCs w:val="20"/>
          <w:lang w:val="en-US" w:eastAsia="zh-CN" w:bidi="ar-SA"/>
        </w:rPr>
        <w:t>~</w:t>
      </w:r>
      <w:r>
        <w:rPr>
          <w:rFonts w:hint="eastAsia" w:ascii="Times New Roman" w:hAnsi="Times New Roman" w:eastAsia="宋体" w:cs="Times New Roman"/>
          <w:kern w:val="2"/>
          <w:sz w:val="24"/>
          <w:szCs w:val="20"/>
          <w:lang w:val="en-US" w:eastAsia="zh-CN" w:bidi="ar-SA"/>
        </w:rPr>
        <w:t>2.0</w:t>
      </w:r>
      <w:r>
        <w:rPr>
          <w:rFonts w:ascii="Times New Roman" w:hAnsi="Times New Roman" w:eastAsia="宋体" w:cs="Times New Roman"/>
          <w:kern w:val="2"/>
          <w:sz w:val="24"/>
          <w:szCs w:val="20"/>
          <w:lang w:val="en-US" w:eastAsia="zh-CN" w:bidi="ar-SA"/>
        </w:rPr>
        <w:t>dB、</w:t>
      </w:r>
      <w:r>
        <w:rPr>
          <w:rFonts w:hint="eastAsia" w:ascii="Times New Roman" w:hAnsi="Times New Roman" w:eastAsia="宋体" w:cs="Times New Roman"/>
          <w:kern w:val="2"/>
          <w:sz w:val="24"/>
          <w:szCs w:val="20"/>
          <w:lang w:val="en-US" w:eastAsia="zh-CN" w:bidi="ar-SA"/>
        </w:rPr>
        <w:t>0.9</w:t>
      </w:r>
      <w:r>
        <w:rPr>
          <w:rFonts w:ascii="Times New Roman" w:hAnsi="Times New Roman" w:eastAsia="宋体" w:cs="Times New Roman"/>
          <w:kern w:val="0"/>
          <w:sz w:val="24"/>
          <w:szCs w:val="20"/>
          <w:lang w:val="en-US" w:eastAsia="zh-CN" w:bidi="ar-SA"/>
        </w:rPr>
        <w:t>~</w:t>
      </w:r>
      <w:r>
        <w:rPr>
          <w:rFonts w:hint="eastAsia" w:ascii="Times New Roman" w:hAnsi="Times New Roman" w:eastAsia="宋体" w:cs="Times New Roman"/>
          <w:kern w:val="0"/>
          <w:sz w:val="24"/>
          <w:szCs w:val="20"/>
          <w:lang w:val="en-US" w:eastAsia="zh-CN" w:bidi="ar-SA"/>
        </w:rPr>
        <w:t>1.2</w:t>
      </w:r>
      <w:r>
        <w:rPr>
          <w:rFonts w:ascii="Times New Roman" w:hAnsi="Times New Roman" w:eastAsia="宋体" w:cs="Times New Roman"/>
          <w:kern w:val="2"/>
          <w:sz w:val="24"/>
          <w:szCs w:val="20"/>
          <w:lang w:val="en-US" w:eastAsia="zh-CN" w:bidi="ar-SA"/>
        </w:rPr>
        <w:t>dB；运营近、中、远期夜间</w:t>
      </w:r>
      <w:r>
        <w:rPr>
          <w:rFonts w:hint="eastAsia" w:ascii="Times New Roman" w:hAnsi="Times New Roman" w:eastAsia="宋体" w:cs="Times New Roman"/>
          <w:kern w:val="2"/>
          <w:sz w:val="24"/>
          <w:szCs w:val="20"/>
          <w:lang w:val="en-US" w:eastAsia="zh-CN" w:bidi="ar-SA"/>
        </w:rPr>
        <w:t>22</w:t>
      </w:r>
      <w:r>
        <w:rPr>
          <w:rFonts w:ascii="Times New Roman" w:hAnsi="Times New Roman" w:eastAsia="宋体" w:cs="Times New Roman"/>
          <w:kern w:val="2"/>
          <w:sz w:val="24"/>
          <w:szCs w:val="20"/>
          <w:lang w:val="en-US" w:eastAsia="zh-CN" w:bidi="ar-SA"/>
        </w:rPr>
        <w:t>处</w:t>
      </w:r>
      <w:r>
        <w:rPr>
          <w:rFonts w:hint="eastAsia" w:ascii="Times New Roman" w:hAnsi="Times New Roman" w:eastAsia="宋体" w:cs="Times New Roman"/>
          <w:kern w:val="2"/>
          <w:sz w:val="24"/>
          <w:szCs w:val="20"/>
          <w:lang w:val="en-US" w:eastAsia="zh-CN" w:bidi="ar-SA"/>
        </w:rPr>
        <w:t>均</w:t>
      </w:r>
      <w:r>
        <w:rPr>
          <w:rFonts w:ascii="Times New Roman" w:hAnsi="Times New Roman" w:eastAsia="宋体" w:cs="Times New Roman"/>
          <w:kern w:val="2"/>
          <w:sz w:val="24"/>
          <w:szCs w:val="20"/>
          <w:lang w:val="en-US" w:eastAsia="zh-CN" w:bidi="ar-SA"/>
        </w:rPr>
        <w:t>超标，超标量分别为：</w:t>
      </w:r>
      <w:r>
        <w:rPr>
          <w:rFonts w:hint="eastAsia" w:ascii="Times New Roman" w:hAnsi="Times New Roman" w:eastAsia="宋体" w:cs="Times New Roman"/>
          <w:kern w:val="2"/>
          <w:sz w:val="24"/>
          <w:szCs w:val="20"/>
          <w:lang w:val="en-US" w:eastAsia="zh-CN" w:bidi="ar-SA"/>
        </w:rPr>
        <w:t>1.3</w:t>
      </w:r>
      <w:r>
        <w:rPr>
          <w:rFonts w:ascii="Times New Roman" w:hAnsi="Times New Roman" w:eastAsia="宋体" w:cs="Times New Roman"/>
          <w:kern w:val="0"/>
          <w:sz w:val="24"/>
          <w:szCs w:val="20"/>
          <w:lang w:val="en-US" w:eastAsia="zh-CN" w:bidi="ar-SA"/>
        </w:rPr>
        <w:t>~</w:t>
      </w:r>
      <w:r>
        <w:rPr>
          <w:rFonts w:hint="eastAsia" w:ascii="Times New Roman" w:hAnsi="Times New Roman" w:eastAsia="宋体" w:cs="Times New Roman"/>
          <w:kern w:val="2"/>
          <w:sz w:val="24"/>
          <w:szCs w:val="20"/>
          <w:lang w:val="en-US" w:eastAsia="zh-CN" w:bidi="ar-SA"/>
        </w:rPr>
        <w:t>8.7</w:t>
      </w:r>
      <w:r>
        <w:rPr>
          <w:rFonts w:ascii="Times New Roman" w:hAnsi="Times New Roman" w:eastAsia="宋体" w:cs="Times New Roman"/>
          <w:kern w:val="2"/>
          <w:sz w:val="24"/>
          <w:szCs w:val="20"/>
          <w:lang w:val="en-US" w:eastAsia="zh-CN" w:bidi="ar-SA"/>
        </w:rPr>
        <w:t>dB、</w:t>
      </w:r>
      <w:r>
        <w:rPr>
          <w:rFonts w:hint="eastAsia" w:ascii="Times New Roman" w:hAnsi="Times New Roman" w:eastAsia="宋体" w:cs="Times New Roman"/>
          <w:kern w:val="2"/>
          <w:sz w:val="24"/>
          <w:szCs w:val="20"/>
          <w:lang w:val="en-US" w:eastAsia="zh-CN" w:bidi="ar-SA"/>
        </w:rPr>
        <w:t>2.1</w:t>
      </w:r>
      <w:r>
        <w:rPr>
          <w:rFonts w:ascii="Times New Roman" w:hAnsi="Times New Roman" w:eastAsia="宋体" w:cs="Times New Roman"/>
          <w:kern w:val="0"/>
          <w:sz w:val="24"/>
          <w:szCs w:val="20"/>
          <w:lang w:val="en-US" w:eastAsia="zh-CN" w:bidi="ar-SA"/>
        </w:rPr>
        <w:t>~</w:t>
      </w:r>
      <w:r>
        <w:rPr>
          <w:rFonts w:hint="eastAsia" w:ascii="Times New Roman" w:hAnsi="Times New Roman" w:eastAsia="宋体" w:cs="Times New Roman"/>
          <w:kern w:val="2"/>
          <w:sz w:val="24"/>
          <w:szCs w:val="20"/>
          <w:lang w:val="en-US" w:eastAsia="zh-CN" w:bidi="ar-SA"/>
        </w:rPr>
        <w:t>9.5</w:t>
      </w:r>
      <w:r>
        <w:rPr>
          <w:rFonts w:ascii="Times New Roman" w:hAnsi="Times New Roman" w:eastAsia="宋体" w:cs="Times New Roman"/>
          <w:kern w:val="2"/>
          <w:sz w:val="24"/>
          <w:szCs w:val="20"/>
          <w:lang w:val="en-US" w:eastAsia="zh-CN" w:bidi="ar-SA"/>
        </w:rPr>
        <w:t>dB、</w:t>
      </w:r>
      <w:r>
        <w:rPr>
          <w:rFonts w:hint="eastAsia" w:ascii="Times New Roman" w:hAnsi="Times New Roman" w:eastAsia="宋体" w:cs="Times New Roman"/>
          <w:kern w:val="2"/>
          <w:sz w:val="24"/>
          <w:szCs w:val="20"/>
          <w:lang w:val="en-US" w:eastAsia="zh-CN" w:bidi="ar-SA"/>
        </w:rPr>
        <w:t>2.8</w:t>
      </w:r>
      <w:r>
        <w:rPr>
          <w:rFonts w:ascii="Times New Roman" w:hAnsi="Times New Roman" w:eastAsia="宋体" w:cs="Times New Roman"/>
          <w:kern w:val="0"/>
          <w:sz w:val="24"/>
          <w:szCs w:val="20"/>
          <w:lang w:val="en-US" w:eastAsia="zh-CN" w:bidi="ar-SA"/>
        </w:rPr>
        <w:t>~</w:t>
      </w:r>
      <w:r>
        <w:rPr>
          <w:rFonts w:hint="eastAsia" w:ascii="Times New Roman" w:hAnsi="Times New Roman" w:eastAsia="宋体" w:cs="Times New Roman"/>
          <w:kern w:val="2"/>
          <w:sz w:val="24"/>
          <w:szCs w:val="20"/>
          <w:lang w:val="en-US" w:eastAsia="zh-CN" w:bidi="ar-SA"/>
        </w:rPr>
        <w:t>10.2</w:t>
      </w:r>
      <w:r>
        <w:rPr>
          <w:rFonts w:ascii="Times New Roman" w:hAnsi="Times New Roman" w:eastAsia="宋体" w:cs="Times New Roman"/>
          <w:kern w:val="2"/>
          <w:sz w:val="24"/>
          <w:szCs w:val="20"/>
          <w:lang w:val="en-US" w:eastAsia="zh-CN" w:bidi="ar-SA"/>
        </w:rPr>
        <w:t>dB。</w:t>
      </w:r>
    </w:p>
    <w:p w14:paraId="3E001D97">
      <w:pPr>
        <w:widowControl w:val="0"/>
        <w:spacing w:line="300" w:lineRule="auto"/>
        <w:ind w:firstLine="480" w:firstLineChars="200"/>
        <w:jc w:val="both"/>
        <w:rPr>
          <w:rFonts w:ascii="Times New Roman" w:hAnsi="Times New Roman" w:eastAsia="宋体" w:cs="Times New Roman"/>
          <w:kern w:val="2"/>
          <w:sz w:val="24"/>
          <w:szCs w:val="20"/>
          <w:lang w:val="en-US" w:eastAsia="zh-CN" w:bidi="ar-SA"/>
        </w:rPr>
      </w:pPr>
      <w:r>
        <w:rPr>
          <w:rFonts w:hint="eastAsia" w:ascii="宋体" w:hAnsi="宋体" w:eastAsia="宋体" w:cs="宋体"/>
          <w:kern w:val="2"/>
          <w:sz w:val="24"/>
          <w:szCs w:val="20"/>
          <w:lang w:val="en-US" w:eastAsia="zh-CN" w:bidi="ar-SA"/>
        </w:rPr>
        <w:t xml:space="preserve">② </w:t>
      </w:r>
      <w:r>
        <w:rPr>
          <w:rFonts w:ascii="Times New Roman" w:hAnsi="Times New Roman" w:eastAsia="宋体" w:cs="Times New Roman"/>
          <w:kern w:val="2"/>
          <w:sz w:val="24"/>
          <w:szCs w:val="20"/>
          <w:lang w:val="en-US" w:eastAsia="zh-CN" w:bidi="ar-SA"/>
        </w:rPr>
        <w:t>拟建公路沿线</w:t>
      </w:r>
      <w:r>
        <w:rPr>
          <w:rFonts w:hint="eastAsia" w:ascii="Times New Roman" w:hAnsi="Times New Roman" w:eastAsia="宋体" w:cs="Times New Roman"/>
          <w:kern w:val="2"/>
          <w:sz w:val="24"/>
          <w:szCs w:val="20"/>
          <w:lang w:val="en-US" w:eastAsia="zh-CN" w:bidi="ar-SA"/>
        </w:rPr>
        <w:t>6</w:t>
      </w:r>
      <w:r>
        <w:rPr>
          <w:rFonts w:ascii="Times New Roman" w:hAnsi="Times New Roman" w:eastAsia="宋体" w:cs="Times New Roman"/>
          <w:kern w:val="2"/>
          <w:sz w:val="24"/>
          <w:szCs w:val="20"/>
          <w:lang w:val="en-US" w:eastAsia="zh-CN" w:bidi="ar-SA"/>
        </w:rPr>
        <w:t>处</w:t>
      </w:r>
      <w:r>
        <w:rPr>
          <w:rFonts w:hint="eastAsia" w:ascii="Times New Roman" w:hAnsi="Times New Roman" w:eastAsia="宋体" w:cs="Times New Roman"/>
          <w:kern w:val="2"/>
          <w:sz w:val="24"/>
          <w:szCs w:val="20"/>
          <w:lang w:val="en-US" w:eastAsia="zh-CN" w:bidi="ar-SA"/>
        </w:rPr>
        <w:t>学校</w:t>
      </w:r>
      <w:r>
        <w:rPr>
          <w:rFonts w:ascii="Times New Roman" w:hAnsi="Times New Roman" w:eastAsia="宋体" w:cs="Times New Roman"/>
          <w:kern w:val="2"/>
          <w:sz w:val="24"/>
          <w:szCs w:val="20"/>
          <w:lang w:val="en-US" w:eastAsia="zh-CN" w:bidi="ar-SA"/>
        </w:rPr>
        <w:t>，</w:t>
      </w:r>
      <w:r>
        <w:rPr>
          <w:rFonts w:hint="eastAsia" w:ascii="Times New Roman" w:hAnsi="Times New Roman" w:eastAsia="宋体" w:cs="Times New Roman"/>
          <w:kern w:val="2"/>
          <w:sz w:val="24"/>
          <w:szCs w:val="20"/>
          <w:lang w:val="en-US" w:eastAsia="zh-CN" w:bidi="ar-SA"/>
        </w:rPr>
        <w:t>英兰干村幼儿园和夏合亚迪村小学等2处</w:t>
      </w:r>
      <w:r>
        <w:rPr>
          <w:rFonts w:ascii="Times New Roman" w:hAnsi="Times New Roman" w:eastAsia="宋体" w:cs="Times New Roman"/>
          <w:kern w:val="2"/>
          <w:sz w:val="24"/>
          <w:szCs w:val="20"/>
          <w:lang w:val="en-US" w:eastAsia="zh-CN" w:bidi="ar-SA"/>
        </w:rPr>
        <w:t>昼间营运近、中、远期噪声预测值均达标，学校夜间无住宿，不评价</w:t>
      </w:r>
      <w:r>
        <w:rPr>
          <w:rFonts w:hint="eastAsia" w:ascii="Times New Roman" w:hAnsi="Times New Roman" w:eastAsia="宋体" w:cs="Times New Roman"/>
          <w:kern w:val="2"/>
          <w:sz w:val="24"/>
          <w:szCs w:val="20"/>
          <w:lang w:val="en-US" w:eastAsia="zh-CN" w:bidi="ar-SA"/>
        </w:rPr>
        <w:t>；格达良乡中心小学、阿亚格勒格勒德玛小学和伽师县和夏阿瓦提镇夏合亚迪村幼儿园等3</w:t>
      </w:r>
      <w:r>
        <w:rPr>
          <w:rFonts w:ascii="Times New Roman" w:hAnsi="Times New Roman" w:eastAsia="宋体" w:cs="Times New Roman"/>
          <w:kern w:val="2"/>
          <w:sz w:val="24"/>
          <w:szCs w:val="20"/>
          <w:lang w:val="en-US" w:eastAsia="zh-CN" w:bidi="ar-SA"/>
        </w:rPr>
        <w:t>处昼间营运近、中、远期噪声预测值均</w:t>
      </w:r>
      <w:r>
        <w:rPr>
          <w:rFonts w:hint="eastAsia" w:ascii="Times New Roman" w:hAnsi="Times New Roman" w:eastAsia="宋体" w:cs="Times New Roman"/>
          <w:kern w:val="2"/>
          <w:sz w:val="24"/>
          <w:szCs w:val="20"/>
          <w:lang w:val="en-US" w:eastAsia="zh-CN" w:bidi="ar-SA"/>
        </w:rPr>
        <w:t>超标</w:t>
      </w:r>
      <w:r>
        <w:rPr>
          <w:rFonts w:ascii="Times New Roman" w:hAnsi="Times New Roman" w:eastAsia="宋体" w:cs="Times New Roman"/>
          <w:kern w:val="2"/>
          <w:sz w:val="24"/>
          <w:szCs w:val="20"/>
          <w:lang w:val="en-US" w:eastAsia="zh-CN" w:bidi="ar-SA"/>
        </w:rPr>
        <w:t>，</w:t>
      </w:r>
      <w:bookmarkStart w:id="225" w:name="OLE_LINK3"/>
      <w:r>
        <w:rPr>
          <w:rFonts w:ascii="Times New Roman" w:hAnsi="Times New Roman" w:eastAsia="宋体" w:cs="Times New Roman"/>
          <w:kern w:val="2"/>
          <w:sz w:val="24"/>
          <w:szCs w:val="20"/>
          <w:lang w:val="en-US" w:eastAsia="zh-CN" w:bidi="ar-SA"/>
        </w:rPr>
        <w:t>超标量分别为：</w:t>
      </w:r>
      <w:r>
        <w:rPr>
          <w:rFonts w:hint="eastAsia" w:ascii="Times New Roman" w:hAnsi="Times New Roman" w:eastAsia="宋体" w:cs="Times New Roman"/>
          <w:kern w:val="2"/>
          <w:sz w:val="24"/>
          <w:szCs w:val="20"/>
          <w:lang w:val="en-US" w:eastAsia="zh-CN" w:bidi="ar-SA"/>
        </w:rPr>
        <w:t>1.4</w:t>
      </w:r>
      <w:r>
        <w:rPr>
          <w:rFonts w:ascii="Times New Roman" w:hAnsi="Times New Roman" w:eastAsia="宋体" w:cs="Times New Roman"/>
          <w:kern w:val="2"/>
          <w:sz w:val="24"/>
          <w:szCs w:val="20"/>
          <w:lang w:val="en-US" w:eastAsia="zh-CN" w:bidi="ar-SA"/>
        </w:rPr>
        <w:t>～</w:t>
      </w:r>
      <w:r>
        <w:rPr>
          <w:rFonts w:hint="eastAsia" w:ascii="Times New Roman" w:hAnsi="Times New Roman" w:eastAsia="宋体" w:cs="Times New Roman"/>
          <w:kern w:val="2"/>
          <w:sz w:val="24"/>
          <w:szCs w:val="20"/>
          <w:lang w:val="en-US" w:eastAsia="zh-CN" w:bidi="ar-SA"/>
        </w:rPr>
        <w:t>6.0</w:t>
      </w:r>
      <w:r>
        <w:rPr>
          <w:rFonts w:ascii="Times New Roman" w:hAnsi="Times New Roman" w:eastAsia="宋体" w:cs="Times New Roman"/>
          <w:kern w:val="2"/>
          <w:sz w:val="24"/>
          <w:szCs w:val="20"/>
          <w:lang w:val="en-US" w:eastAsia="zh-CN" w:bidi="ar-SA"/>
        </w:rPr>
        <w:t>dB</w:t>
      </w:r>
      <w:r>
        <w:rPr>
          <w:rFonts w:hint="eastAsia" w:ascii="Times New Roman" w:hAnsi="Times New Roman" w:eastAsia="宋体" w:cs="Times New Roman"/>
          <w:kern w:val="2"/>
          <w:sz w:val="24"/>
          <w:szCs w:val="20"/>
          <w:lang w:val="en-US" w:eastAsia="zh-CN" w:bidi="ar-SA"/>
        </w:rPr>
        <w:t>、2.2</w:t>
      </w:r>
      <w:r>
        <w:rPr>
          <w:rFonts w:ascii="Times New Roman" w:hAnsi="Times New Roman" w:eastAsia="宋体" w:cs="Times New Roman"/>
          <w:kern w:val="2"/>
          <w:sz w:val="24"/>
          <w:szCs w:val="20"/>
          <w:lang w:val="en-US" w:eastAsia="zh-CN" w:bidi="ar-SA"/>
        </w:rPr>
        <w:t>～</w:t>
      </w:r>
      <w:r>
        <w:rPr>
          <w:rFonts w:hint="eastAsia" w:ascii="Times New Roman" w:hAnsi="Times New Roman" w:eastAsia="宋体" w:cs="Times New Roman"/>
          <w:kern w:val="2"/>
          <w:sz w:val="24"/>
          <w:szCs w:val="20"/>
          <w:lang w:val="en-US" w:eastAsia="zh-CN" w:bidi="ar-SA"/>
        </w:rPr>
        <w:t>6.8</w:t>
      </w:r>
      <w:r>
        <w:rPr>
          <w:rFonts w:ascii="Times New Roman" w:hAnsi="Times New Roman" w:eastAsia="宋体" w:cs="Times New Roman"/>
          <w:kern w:val="2"/>
          <w:sz w:val="24"/>
          <w:szCs w:val="20"/>
          <w:lang w:val="en-US" w:eastAsia="zh-CN" w:bidi="ar-SA"/>
        </w:rPr>
        <w:t>dB</w:t>
      </w:r>
      <w:r>
        <w:rPr>
          <w:rFonts w:hint="eastAsia" w:ascii="Times New Roman" w:hAnsi="Times New Roman" w:eastAsia="宋体" w:cs="Times New Roman"/>
          <w:kern w:val="2"/>
          <w:sz w:val="24"/>
          <w:szCs w:val="20"/>
          <w:lang w:val="en-US" w:eastAsia="zh-CN" w:bidi="ar-SA"/>
        </w:rPr>
        <w:t>和1.1</w:t>
      </w:r>
      <w:r>
        <w:rPr>
          <w:rFonts w:ascii="Times New Roman" w:hAnsi="Times New Roman" w:eastAsia="宋体" w:cs="Times New Roman"/>
          <w:kern w:val="2"/>
          <w:sz w:val="24"/>
          <w:szCs w:val="20"/>
          <w:lang w:val="en-US" w:eastAsia="zh-CN" w:bidi="ar-SA"/>
        </w:rPr>
        <w:t>～</w:t>
      </w:r>
      <w:r>
        <w:rPr>
          <w:rFonts w:hint="eastAsia" w:ascii="Times New Roman" w:hAnsi="Times New Roman" w:eastAsia="宋体" w:cs="Times New Roman"/>
          <w:kern w:val="2"/>
          <w:sz w:val="24"/>
          <w:szCs w:val="20"/>
          <w:lang w:val="en-US" w:eastAsia="zh-CN" w:bidi="ar-SA"/>
        </w:rPr>
        <w:t>5.7</w:t>
      </w:r>
      <w:r>
        <w:rPr>
          <w:rFonts w:ascii="Times New Roman" w:hAnsi="Times New Roman" w:eastAsia="宋体" w:cs="Times New Roman"/>
          <w:kern w:val="2"/>
          <w:sz w:val="24"/>
          <w:szCs w:val="20"/>
          <w:lang w:val="en-US" w:eastAsia="zh-CN" w:bidi="ar-SA"/>
        </w:rPr>
        <w:t>dB</w:t>
      </w:r>
      <w:bookmarkEnd w:id="225"/>
      <w:r>
        <w:rPr>
          <w:rFonts w:hint="eastAsia" w:ascii="Times New Roman" w:hAnsi="Times New Roman" w:eastAsia="宋体" w:cs="Times New Roman"/>
          <w:kern w:val="2"/>
          <w:sz w:val="24"/>
          <w:szCs w:val="20"/>
          <w:lang w:val="en-US" w:eastAsia="zh-CN" w:bidi="ar-SA"/>
        </w:rPr>
        <w:t>，</w:t>
      </w:r>
      <w:r>
        <w:rPr>
          <w:rFonts w:ascii="Times New Roman" w:hAnsi="Times New Roman" w:eastAsia="宋体" w:cs="Times New Roman"/>
          <w:kern w:val="2"/>
          <w:sz w:val="24"/>
          <w:szCs w:val="20"/>
          <w:lang w:val="en-US" w:eastAsia="zh-CN" w:bidi="ar-SA"/>
        </w:rPr>
        <w:t>学校夜间无住宿，不评价；</w:t>
      </w:r>
      <w:r>
        <w:rPr>
          <w:rFonts w:hint="eastAsia" w:ascii="Times New Roman" w:hAnsi="Times New Roman" w:eastAsia="宋体" w:cs="Times New Roman"/>
          <w:kern w:val="2"/>
          <w:sz w:val="24"/>
          <w:szCs w:val="20"/>
          <w:lang w:val="en-US" w:eastAsia="zh-CN" w:bidi="ar-SA"/>
        </w:rPr>
        <w:t>伽师县中等职业技术学校</w:t>
      </w:r>
      <w:r>
        <w:rPr>
          <w:rFonts w:ascii="Times New Roman" w:hAnsi="Times New Roman" w:eastAsia="宋体" w:cs="Times New Roman"/>
          <w:kern w:val="2"/>
          <w:sz w:val="24"/>
          <w:szCs w:val="20"/>
          <w:lang w:val="en-US" w:eastAsia="zh-CN" w:bidi="ar-SA"/>
        </w:rPr>
        <w:t>营运近、中、远期昼间和夜间均</w:t>
      </w:r>
      <w:r>
        <w:rPr>
          <w:rFonts w:hint="eastAsia" w:ascii="Times New Roman" w:hAnsi="Times New Roman" w:eastAsia="宋体" w:cs="Times New Roman"/>
          <w:kern w:val="2"/>
          <w:sz w:val="24"/>
          <w:szCs w:val="20"/>
          <w:lang w:val="en-US" w:eastAsia="zh-CN" w:bidi="ar-SA"/>
        </w:rPr>
        <w:t>超标，昼间</w:t>
      </w:r>
      <w:r>
        <w:rPr>
          <w:rFonts w:ascii="Times New Roman" w:hAnsi="Times New Roman" w:eastAsia="宋体" w:cs="Times New Roman"/>
          <w:kern w:val="2"/>
          <w:sz w:val="24"/>
          <w:szCs w:val="20"/>
          <w:lang w:val="en-US" w:eastAsia="zh-CN" w:bidi="ar-SA"/>
        </w:rPr>
        <w:t>超标量分别为：</w:t>
      </w:r>
      <w:r>
        <w:rPr>
          <w:rFonts w:hint="eastAsia" w:ascii="Times New Roman" w:hAnsi="Times New Roman" w:eastAsia="宋体" w:cs="Times New Roman"/>
          <w:kern w:val="2"/>
          <w:sz w:val="24"/>
          <w:szCs w:val="20"/>
          <w:lang w:val="en-US" w:eastAsia="zh-CN" w:bidi="ar-SA"/>
        </w:rPr>
        <w:t>2.7</w:t>
      </w:r>
      <w:r>
        <w:rPr>
          <w:rFonts w:ascii="Times New Roman" w:hAnsi="Times New Roman" w:eastAsia="宋体" w:cs="Times New Roman"/>
          <w:kern w:val="2"/>
          <w:sz w:val="24"/>
          <w:szCs w:val="20"/>
          <w:lang w:val="en-US" w:eastAsia="zh-CN" w:bidi="ar-SA"/>
        </w:rPr>
        <w:t>dB、</w:t>
      </w:r>
      <w:r>
        <w:rPr>
          <w:rFonts w:hint="eastAsia" w:ascii="Times New Roman" w:hAnsi="Times New Roman" w:eastAsia="宋体" w:cs="Times New Roman"/>
          <w:kern w:val="2"/>
          <w:sz w:val="24"/>
          <w:szCs w:val="20"/>
          <w:lang w:val="en-US" w:eastAsia="zh-CN" w:bidi="ar-SA"/>
        </w:rPr>
        <w:t>3.5</w:t>
      </w:r>
      <w:r>
        <w:rPr>
          <w:rFonts w:ascii="Times New Roman" w:hAnsi="Times New Roman" w:eastAsia="宋体" w:cs="Times New Roman"/>
          <w:kern w:val="2"/>
          <w:sz w:val="24"/>
          <w:szCs w:val="20"/>
          <w:lang w:val="en-US" w:eastAsia="zh-CN" w:bidi="ar-SA"/>
        </w:rPr>
        <w:t>dB、</w:t>
      </w:r>
      <w:r>
        <w:rPr>
          <w:rFonts w:hint="eastAsia" w:ascii="Times New Roman" w:hAnsi="Times New Roman" w:eastAsia="宋体" w:cs="Times New Roman"/>
          <w:kern w:val="2"/>
          <w:sz w:val="24"/>
          <w:szCs w:val="20"/>
          <w:lang w:val="en-US" w:eastAsia="zh-CN" w:bidi="ar-SA"/>
        </w:rPr>
        <w:t>4.2</w:t>
      </w:r>
      <w:r>
        <w:rPr>
          <w:rFonts w:ascii="Times New Roman" w:hAnsi="Times New Roman" w:eastAsia="宋体" w:cs="Times New Roman"/>
          <w:kern w:val="2"/>
          <w:sz w:val="24"/>
          <w:szCs w:val="20"/>
          <w:lang w:val="en-US" w:eastAsia="zh-CN" w:bidi="ar-SA"/>
        </w:rPr>
        <w:t>dB</w:t>
      </w:r>
      <w:r>
        <w:rPr>
          <w:rFonts w:hint="eastAsia" w:ascii="Times New Roman" w:hAnsi="Times New Roman" w:eastAsia="宋体" w:cs="Times New Roman"/>
          <w:kern w:val="2"/>
          <w:sz w:val="24"/>
          <w:szCs w:val="20"/>
          <w:lang w:val="en-US" w:eastAsia="zh-CN" w:bidi="ar-SA"/>
        </w:rPr>
        <w:t>，夜间</w:t>
      </w:r>
      <w:r>
        <w:rPr>
          <w:rFonts w:ascii="Times New Roman" w:hAnsi="Times New Roman" w:eastAsia="宋体" w:cs="Times New Roman"/>
          <w:kern w:val="2"/>
          <w:sz w:val="24"/>
          <w:szCs w:val="20"/>
          <w:lang w:val="en-US" w:eastAsia="zh-CN" w:bidi="ar-SA"/>
        </w:rPr>
        <w:t>超标量分别为：</w:t>
      </w:r>
      <w:r>
        <w:rPr>
          <w:rFonts w:hint="eastAsia" w:ascii="Times New Roman" w:hAnsi="Times New Roman" w:eastAsia="宋体" w:cs="Times New Roman"/>
          <w:kern w:val="2"/>
          <w:sz w:val="24"/>
          <w:szCs w:val="20"/>
          <w:lang w:val="en-US" w:eastAsia="zh-CN" w:bidi="ar-SA"/>
        </w:rPr>
        <w:t>3.4</w:t>
      </w:r>
      <w:r>
        <w:rPr>
          <w:rFonts w:ascii="Times New Roman" w:hAnsi="Times New Roman" w:eastAsia="宋体" w:cs="Times New Roman"/>
          <w:kern w:val="2"/>
          <w:sz w:val="24"/>
          <w:szCs w:val="20"/>
          <w:lang w:val="en-US" w:eastAsia="zh-CN" w:bidi="ar-SA"/>
        </w:rPr>
        <w:t>dB、</w:t>
      </w:r>
      <w:r>
        <w:rPr>
          <w:rFonts w:hint="eastAsia" w:ascii="Times New Roman" w:hAnsi="Times New Roman" w:eastAsia="宋体" w:cs="Times New Roman"/>
          <w:kern w:val="2"/>
          <w:sz w:val="24"/>
          <w:szCs w:val="20"/>
          <w:lang w:val="en-US" w:eastAsia="zh-CN" w:bidi="ar-SA"/>
        </w:rPr>
        <w:t>4.2</w:t>
      </w:r>
      <w:r>
        <w:rPr>
          <w:rFonts w:ascii="Times New Roman" w:hAnsi="Times New Roman" w:eastAsia="宋体" w:cs="Times New Roman"/>
          <w:kern w:val="2"/>
          <w:sz w:val="24"/>
          <w:szCs w:val="20"/>
          <w:lang w:val="en-US" w:eastAsia="zh-CN" w:bidi="ar-SA"/>
        </w:rPr>
        <w:t>dB、</w:t>
      </w:r>
      <w:r>
        <w:rPr>
          <w:rFonts w:hint="eastAsia" w:ascii="Times New Roman" w:hAnsi="Times New Roman" w:eastAsia="宋体" w:cs="Times New Roman"/>
          <w:kern w:val="2"/>
          <w:sz w:val="24"/>
          <w:szCs w:val="20"/>
          <w:lang w:val="en-US" w:eastAsia="zh-CN" w:bidi="ar-SA"/>
        </w:rPr>
        <w:t>4.9</w:t>
      </w:r>
      <w:r>
        <w:rPr>
          <w:rFonts w:ascii="Times New Roman" w:hAnsi="Times New Roman" w:eastAsia="宋体" w:cs="Times New Roman"/>
          <w:kern w:val="2"/>
          <w:sz w:val="24"/>
          <w:szCs w:val="20"/>
          <w:lang w:val="en-US" w:eastAsia="zh-CN" w:bidi="ar-SA"/>
        </w:rPr>
        <w:t>dB。</w:t>
      </w:r>
    </w:p>
    <w:p w14:paraId="767CD444">
      <w:pPr>
        <w:widowControl w:val="0"/>
        <w:spacing w:line="300" w:lineRule="auto"/>
        <w:ind w:firstLine="480" w:firstLineChars="200"/>
        <w:jc w:val="both"/>
        <w:rPr>
          <w:rFonts w:ascii="Times New Roman" w:hAnsi="Times New Roman" w:eastAsia="宋体" w:cs="Times New Roman"/>
          <w:kern w:val="2"/>
          <w:sz w:val="24"/>
          <w:szCs w:val="20"/>
          <w:lang w:val="en-US" w:eastAsia="zh-CN" w:bidi="ar-SA"/>
        </w:rPr>
      </w:pPr>
      <w:r>
        <w:rPr>
          <w:rFonts w:hint="eastAsia" w:ascii="宋体" w:hAnsi="宋体" w:eastAsia="宋体" w:cs="宋体"/>
          <w:kern w:val="2"/>
          <w:sz w:val="24"/>
          <w:szCs w:val="20"/>
          <w:lang w:val="en-US" w:eastAsia="zh-CN" w:bidi="ar-SA"/>
        </w:rPr>
        <w:t xml:space="preserve">③ </w:t>
      </w:r>
      <w:r>
        <w:rPr>
          <w:rFonts w:ascii="Times New Roman" w:hAnsi="Times New Roman" w:eastAsia="宋体" w:cs="Times New Roman"/>
          <w:kern w:val="2"/>
          <w:sz w:val="24"/>
          <w:szCs w:val="20"/>
          <w:lang w:val="en-US" w:eastAsia="zh-CN" w:bidi="ar-SA"/>
        </w:rPr>
        <w:t>拟建公路沿线</w:t>
      </w:r>
      <w:r>
        <w:rPr>
          <w:rFonts w:hint="eastAsia" w:ascii="Times New Roman" w:hAnsi="Times New Roman" w:eastAsia="宋体" w:cs="Times New Roman"/>
          <w:kern w:val="2"/>
          <w:sz w:val="24"/>
          <w:szCs w:val="20"/>
          <w:lang w:val="en-US" w:eastAsia="zh-CN" w:bidi="ar-SA"/>
        </w:rPr>
        <w:t>格达良乡卫生院</w:t>
      </w:r>
      <w:r>
        <w:rPr>
          <w:rFonts w:ascii="Times New Roman" w:hAnsi="Times New Roman" w:eastAsia="宋体" w:cs="Times New Roman"/>
          <w:kern w:val="2"/>
          <w:sz w:val="24"/>
          <w:szCs w:val="20"/>
          <w:lang w:val="en-US" w:eastAsia="zh-CN" w:bidi="ar-SA"/>
        </w:rPr>
        <w:t>营运近、中、远期昼</w:t>
      </w:r>
      <w:r>
        <w:rPr>
          <w:rFonts w:hint="eastAsia" w:ascii="Times New Roman" w:hAnsi="Times New Roman" w:eastAsia="宋体" w:cs="Times New Roman"/>
          <w:kern w:val="2"/>
          <w:sz w:val="24"/>
          <w:szCs w:val="20"/>
          <w:lang w:val="en-US" w:eastAsia="zh-CN" w:bidi="ar-SA"/>
        </w:rPr>
        <w:t>间</w:t>
      </w:r>
      <w:r>
        <w:rPr>
          <w:rFonts w:ascii="Times New Roman" w:hAnsi="Times New Roman" w:eastAsia="宋体" w:cs="Times New Roman"/>
          <w:kern w:val="2"/>
          <w:sz w:val="24"/>
          <w:szCs w:val="20"/>
          <w:lang w:val="en-US" w:eastAsia="zh-CN" w:bidi="ar-SA"/>
        </w:rPr>
        <w:t>噪声预测值均达标，夜间噪声预测值均</w:t>
      </w:r>
      <w:r>
        <w:rPr>
          <w:rFonts w:hint="eastAsia" w:ascii="Times New Roman" w:hAnsi="Times New Roman" w:eastAsia="宋体" w:cs="Times New Roman"/>
          <w:kern w:val="2"/>
          <w:sz w:val="24"/>
          <w:szCs w:val="20"/>
          <w:lang w:val="en-US" w:eastAsia="zh-CN" w:bidi="ar-SA"/>
        </w:rPr>
        <w:t>超标</w:t>
      </w:r>
      <w:r>
        <w:rPr>
          <w:rFonts w:ascii="Times New Roman" w:hAnsi="Times New Roman" w:eastAsia="宋体" w:cs="Times New Roman"/>
          <w:kern w:val="2"/>
          <w:sz w:val="24"/>
          <w:szCs w:val="20"/>
          <w:lang w:val="en-US" w:eastAsia="zh-CN" w:bidi="ar-SA"/>
        </w:rPr>
        <w:t>，超标量分别为：</w:t>
      </w:r>
      <w:r>
        <w:rPr>
          <w:rFonts w:hint="eastAsia" w:ascii="Times New Roman" w:hAnsi="Times New Roman" w:eastAsia="宋体" w:cs="Times New Roman"/>
          <w:kern w:val="2"/>
          <w:sz w:val="24"/>
          <w:szCs w:val="20"/>
          <w:lang w:val="en-US" w:eastAsia="zh-CN" w:bidi="ar-SA"/>
        </w:rPr>
        <w:t>5.3</w:t>
      </w:r>
      <w:r>
        <w:rPr>
          <w:rFonts w:ascii="Times New Roman" w:hAnsi="Times New Roman" w:eastAsia="宋体" w:cs="Times New Roman"/>
          <w:kern w:val="2"/>
          <w:sz w:val="24"/>
          <w:szCs w:val="20"/>
          <w:lang w:val="en-US" w:eastAsia="zh-CN" w:bidi="ar-SA"/>
        </w:rPr>
        <w:t>dB</w:t>
      </w:r>
      <w:r>
        <w:rPr>
          <w:rFonts w:hint="eastAsia" w:ascii="Times New Roman" w:hAnsi="Times New Roman" w:eastAsia="宋体" w:cs="Times New Roman"/>
          <w:kern w:val="2"/>
          <w:sz w:val="24"/>
          <w:szCs w:val="20"/>
          <w:lang w:val="en-US" w:eastAsia="zh-CN" w:bidi="ar-SA"/>
        </w:rPr>
        <w:t>、6.1</w:t>
      </w:r>
      <w:r>
        <w:rPr>
          <w:rFonts w:ascii="Times New Roman" w:hAnsi="Times New Roman" w:eastAsia="宋体" w:cs="Times New Roman"/>
          <w:kern w:val="2"/>
          <w:sz w:val="24"/>
          <w:szCs w:val="20"/>
          <w:lang w:val="en-US" w:eastAsia="zh-CN" w:bidi="ar-SA"/>
        </w:rPr>
        <w:t>dB</w:t>
      </w:r>
      <w:r>
        <w:rPr>
          <w:rFonts w:hint="eastAsia" w:ascii="Times New Roman" w:hAnsi="Times New Roman" w:eastAsia="宋体" w:cs="Times New Roman"/>
          <w:kern w:val="2"/>
          <w:sz w:val="24"/>
          <w:szCs w:val="20"/>
          <w:lang w:val="en-US" w:eastAsia="zh-CN" w:bidi="ar-SA"/>
        </w:rPr>
        <w:t>和6.8</w:t>
      </w:r>
      <w:r>
        <w:rPr>
          <w:rFonts w:ascii="Times New Roman" w:hAnsi="Times New Roman" w:eastAsia="宋体" w:cs="Times New Roman"/>
          <w:kern w:val="2"/>
          <w:sz w:val="24"/>
          <w:szCs w:val="20"/>
          <w:lang w:val="en-US" w:eastAsia="zh-CN" w:bidi="ar-SA"/>
        </w:rPr>
        <w:t>dB</w:t>
      </w:r>
      <w:r>
        <w:rPr>
          <w:rFonts w:ascii="Times New Roman" w:hAnsi="Times New Roman" w:eastAsia="宋体" w:cs="Times New Roman"/>
          <w:kern w:val="2"/>
          <w:sz w:val="24"/>
          <w:szCs w:val="21"/>
          <w:lang w:val="en-US" w:eastAsia="zh-CN" w:bidi="ar-SA"/>
        </w:rPr>
        <w:t>。</w:t>
      </w:r>
    </w:p>
    <w:p w14:paraId="79D0D70F">
      <w:pPr>
        <w:rPr>
          <w:rFonts w:cs="Times New Roman"/>
          <w:bCs/>
          <w:highlight w:val="yellow"/>
        </w:rPr>
        <w:sectPr>
          <w:headerReference r:id="rId78" w:type="default"/>
          <w:footerReference r:id="rId79" w:type="default"/>
          <w:footerReference r:id="rId80" w:type="even"/>
          <w:pgSz w:w="11906" w:h="16838"/>
          <w:pgMar w:top="1440" w:right="1797" w:bottom="1440" w:left="1797" w:header="851" w:footer="850" w:gutter="0"/>
          <w:pgBorders>
            <w:top w:val="none" w:sz="0" w:space="0"/>
            <w:left w:val="none" w:sz="0" w:space="0"/>
            <w:bottom w:val="none" w:sz="0" w:space="0"/>
            <w:right w:val="none" w:sz="0" w:space="0"/>
          </w:pgBorders>
          <w:cols w:space="720" w:num="1"/>
          <w:docGrid w:linePitch="312" w:charSpace="0"/>
        </w:sectPr>
      </w:pPr>
    </w:p>
    <w:p w14:paraId="47D104E6">
      <w:pPr>
        <w:widowControl w:val="0"/>
        <w:spacing w:beforeLines="50" w:line="240" w:lineRule="auto"/>
        <w:ind w:firstLine="0" w:firstLineChars="0"/>
        <w:jc w:val="center"/>
        <w:rPr>
          <w:rFonts w:ascii="Times New Roman" w:hAnsi="Times New Roman" w:eastAsia="宋体" w:cs="Times New Roman"/>
          <w:b/>
          <w:kern w:val="2"/>
          <w:sz w:val="21"/>
          <w:szCs w:val="21"/>
          <w:lang w:val="en-US" w:eastAsia="zh-CN" w:bidi="ar-SA"/>
        </w:rPr>
      </w:pPr>
      <w:r>
        <w:rPr>
          <w:rFonts w:ascii="Times New Roman" w:hAnsi="Times New Roman" w:eastAsia="宋体" w:cs="Times New Roman"/>
          <w:b/>
          <w:kern w:val="2"/>
          <w:sz w:val="21"/>
          <w:szCs w:val="21"/>
          <w:lang w:val="en-US" w:eastAsia="zh-CN" w:bidi="ar-SA"/>
        </w:rPr>
        <w:t>表4.2-</w:t>
      </w:r>
      <w:r>
        <w:rPr>
          <w:rFonts w:hint="eastAsia" w:ascii="Times New Roman" w:hAnsi="Times New Roman" w:eastAsia="宋体" w:cs="Times New Roman"/>
          <w:b/>
          <w:kern w:val="2"/>
          <w:sz w:val="21"/>
          <w:szCs w:val="21"/>
          <w:lang w:val="en-US" w:eastAsia="zh-CN" w:bidi="ar-SA"/>
        </w:rPr>
        <w:t>8</w:t>
      </w:r>
      <w:r>
        <w:rPr>
          <w:rFonts w:ascii="Times New Roman" w:hAnsi="Times New Roman" w:eastAsia="宋体" w:cs="Times New Roman"/>
          <w:b/>
          <w:kern w:val="2"/>
          <w:sz w:val="21"/>
          <w:szCs w:val="21"/>
          <w:lang w:val="en-US" w:eastAsia="zh-CN" w:bidi="ar-SA"/>
        </w:rPr>
        <w:t xml:space="preserve">  拟建</w:t>
      </w:r>
      <w:r>
        <w:rPr>
          <w:rFonts w:hint="eastAsia" w:ascii="Times New Roman" w:hAnsi="Times New Roman" w:eastAsia="宋体" w:cs="Times New Roman"/>
          <w:b/>
          <w:kern w:val="2"/>
          <w:sz w:val="21"/>
          <w:szCs w:val="21"/>
          <w:lang w:val="en-US" w:eastAsia="zh-CN" w:bidi="ar-SA"/>
        </w:rPr>
        <w:t>公路</w:t>
      </w:r>
      <w:r>
        <w:rPr>
          <w:rFonts w:ascii="Times New Roman" w:hAnsi="Times New Roman" w:eastAsia="宋体" w:cs="Times New Roman"/>
          <w:b/>
          <w:kern w:val="2"/>
          <w:sz w:val="21"/>
          <w:szCs w:val="21"/>
          <w:lang w:val="en-US" w:eastAsia="zh-CN" w:bidi="ar-SA"/>
        </w:rPr>
        <w:t>沿线声敏感点环境噪声预测结果</w:t>
      </w:r>
    </w:p>
    <w:tbl>
      <w:tblPr>
        <w:tblStyle w:val="22"/>
        <w:tblW w:w="5169" w:type="pct"/>
        <w:jc w:val="center"/>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467"/>
        <w:gridCol w:w="1398"/>
        <w:gridCol w:w="633"/>
        <w:gridCol w:w="825"/>
        <w:gridCol w:w="576"/>
        <w:gridCol w:w="1014"/>
        <w:gridCol w:w="642"/>
        <w:gridCol w:w="598"/>
        <w:gridCol w:w="602"/>
        <w:gridCol w:w="598"/>
        <w:gridCol w:w="602"/>
        <w:gridCol w:w="598"/>
        <w:gridCol w:w="611"/>
        <w:gridCol w:w="598"/>
        <w:gridCol w:w="602"/>
        <w:gridCol w:w="598"/>
        <w:gridCol w:w="607"/>
        <w:gridCol w:w="598"/>
        <w:gridCol w:w="608"/>
        <w:gridCol w:w="599"/>
        <w:gridCol w:w="603"/>
        <w:gridCol w:w="599"/>
        <w:gridCol w:w="608"/>
        <w:gridCol w:w="599"/>
        <w:gridCol w:w="608"/>
        <w:gridCol w:w="599"/>
        <w:gridCol w:w="608"/>
        <w:gridCol w:w="599"/>
        <w:gridCol w:w="603"/>
        <w:gridCol w:w="599"/>
        <w:gridCol w:w="608"/>
        <w:gridCol w:w="687"/>
        <w:gridCol w:w="586"/>
        <w:gridCol w:w="585"/>
      </w:tblGrid>
      <w:tr w14:paraId="5995F5EF">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7" w:type="pct"/>
            <w:vMerge w:val="restart"/>
            <w:shd w:val="clear" w:color="auto" w:fill="auto"/>
            <w:vAlign w:val="center"/>
          </w:tcPr>
          <w:p w14:paraId="538AA419">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序号</w:t>
            </w:r>
          </w:p>
        </w:tc>
        <w:tc>
          <w:tcPr>
            <w:tcW w:w="320" w:type="pct"/>
            <w:vMerge w:val="restart"/>
            <w:shd w:val="clear" w:color="auto" w:fill="auto"/>
            <w:vAlign w:val="center"/>
          </w:tcPr>
          <w:p w14:paraId="5F2A7275">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敏感点名称</w:t>
            </w:r>
          </w:p>
        </w:tc>
        <w:tc>
          <w:tcPr>
            <w:tcW w:w="333" w:type="pct"/>
            <w:gridSpan w:val="2"/>
            <w:shd w:val="clear" w:color="auto" w:fill="auto"/>
            <w:vAlign w:val="center"/>
          </w:tcPr>
          <w:p w14:paraId="2DAAE0AF">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位置关系</w:t>
            </w:r>
          </w:p>
        </w:tc>
        <w:tc>
          <w:tcPr>
            <w:tcW w:w="132" w:type="pct"/>
            <w:vMerge w:val="restart"/>
            <w:shd w:val="clear" w:color="auto" w:fill="auto"/>
            <w:vAlign w:val="center"/>
          </w:tcPr>
          <w:p w14:paraId="79273CFA">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路基高</w:t>
            </w:r>
            <w:r>
              <w:rPr>
                <w:rFonts w:ascii="Times New Roman" w:hAnsi="Times New Roman" w:eastAsia="宋体" w:cs="Times New Roman"/>
                <w:b/>
                <w:spacing w:val="-20"/>
                <w:kern w:val="0"/>
                <w:szCs w:val="21"/>
              </w:rPr>
              <w:t>(m)</w:t>
            </w:r>
          </w:p>
        </w:tc>
        <w:tc>
          <w:tcPr>
            <w:tcW w:w="232" w:type="pct"/>
            <w:vMerge w:val="restart"/>
            <w:shd w:val="clear" w:color="auto" w:fill="auto"/>
            <w:vAlign w:val="center"/>
          </w:tcPr>
          <w:p w14:paraId="3611025B">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预测点地面高</w:t>
            </w:r>
            <w:r>
              <w:rPr>
                <w:rFonts w:ascii="Times New Roman" w:hAnsi="Times New Roman" w:eastAsia="宋体" w:cs="Times New Roman"/>
                <w:b/>
                <w:spacing w:val="-20"/>
                <w:kern w:val="0"/>
                <w:szCs w:val="21"/>
              </w:rPr>
              <w:t>-</w:t>
            </w:r>
            <w:r>
              <w:rPr>
                <w:rFonts w:ascii="Times New Roman" w:hAnsi="宋体" w:eastAsia="宋体" w:cs="Times New Roman"/>
                <w:b/>
                <w:spacing w:val="-20"/>
                <w:kern w:val="0"/>
                <w:szCs w:val="21"/>
              </w:rPr>
              <w:t>路基地面高</w:t>
            </w:r>
            <w:r>
              <w:rPr>
                <w:rFonts w:ascii="Times New Roman" w:hAnsi="Times New Roman" w:eastAsia="宋体" w:cs="Times New Roman"/>
                <w:b/>
                <w:spacing w:val="-20"/>
                <w:kern w:val="0"/>
                <w:szCs w:val="21"/>
              </w:rPr>
              <w:t>(m)</w:t>
            </w:r>
          </w:p>
        </w:tc>
        <w:tc>
          <w:tcPr>
            <w:tcW w:w="147" w:type="pct"/>
            <w:vMerge w:val="restart"/>
            <w:shd w:val="clear" w:color="auto" w:fill="auto"/>
            <w:vAlign w:val="center"/>
          </w:tcPr>
          <w:p w14:paraId="05D21FE9">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预测楼层</w:t>
            </w:r>
          </w:p>
        </w:tc>
        <w:tc>
          <w:tcPr>
            <w:tcW w:w="825" w:type="pct"/>
            <w:gridSpan w:val="6"/>
            <w:shd w:val="clear" w:color="auto" w:fill="auto"/>
            <w:vAlign w:val="center"/>
          </w:tcPr>
          <w:p w14:paraId="57BA0938">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交通噪声预测值</w:t>
            </w:r>
            <w:r>
              <w:rPr>
                <w:rFonts w:ascii="Times New Roman" w:hAnsi="Times New Roman" w:eastAsia="宋体" w:cs="Times New Roman"/>
                <w:b/>
                <w:spacing w:val="-20"/>
                <w:kern w:val="0"/>
                <w:szCs w:val="21"/>
              </w:rPr>
              <w:t>(dB)</w:t>
            </w:r>
          </w:p>
        </w:tc>
        <w:tc>
          <w:tcPr>
            <w:tcW w:w="826" w:type="pct"/>
            <w:gridSpan w:val="6"/>
            <w:shd w:val="clear" w:color="auto" w:fill="auto"/>
            <w:vAlign w:val="center"/>
          </w:tcPr>
          <w:p w14:paraId="1C89488C">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环境噪声预测值</w:t>
            </w:r>
            <w:r>
              <w:rPr>
                <w:rFonts w:ascii="Times New Roman" w:hAnsi="Times New Roman" w:eastAsia="宋体" w:cs="Times New Roman"/>
                <w:b/>
                <w:spacing w:val="-20"/>
                <w:kern w:val="0"/>
                <w:szCs w:val="21"/>
              </w:rPr>
              <w:t>(dB)</w:t>
            </w:r>
          </w:p>
        </w:tc>
        <w:tc>
          <w:tcPr>
            <w:tcW w:w="827" w:type="pct"/>
            <w:gridSpan w:val="6"/>
            <w:shd w:val="clear" w:color="auto" w:fill="auto"/>
            <w:vAlign w:val="center"/>
          </w:tcPr>
          <w:p w14:paraId="22F2D483">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超标量</w:t>
            </w:r>
            <w:r>
              <w:rPr>
                <w:rFonts w:ascii="Times New Roman" w:hAnsi="Times New Roman" w:eastAsia="宋体" w:cs="Times New Roman"/>
                <w:b/>
                <w:spacing w:val="-20"/>
                <w:kern w:val="0"/>
                <w:szCs w:val="21"/>
              </w:rPr>
              <w:t>(dB)</w:t>
            </w:r>
          </w:p>
        </w:tc>
        <w:tc>
          <w:tcPr>
            <w:tcW w:w="827" w:type="pct"/>
            <w:gridSpan w:val="6"/>
            <w:shd w:val="clear" w:color="auto" w:fill="auto"/>
            <w:vAlign w:val="center"/>
          </w:tcPr>
          <w:p w14:paraId="11F9D22A">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噪声增加量</w:t>
            </w:r>
            <w:r>
              <w:rPr>
                <w:rFonts w:ascii="Times New Roman" w:hAnsi="Times New Roman" w:eastAsia="宋体" w:cs="Times New Roman"/>
                <w:b/>
                <w:spacing w:val="-20"/>
                <w:kern w:val="0"/>
                <w:szCs w:val="21"/>
              </w:rPr>
              <w:t>(dB)</w:t>
            </w:r>
          </w:p>
        </w:tc>
        <w:tc>
          <w:tcPr>
            <w:tcW w:w="157" w:type="pct"/>
            <w:vMerge w:val="restart"/>
            <w:shd w:val="clear" w:color="auto" w:fill="auto"/>
            <w:vAlign w:val="center"/>
          </w:tcPr>
          <w:p w14:paraId="6C101617">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评价标准</w:t>
            </w:r>
          </w:p>
        </w:tc>
        <w:tc>
          <w:tcPr>
            <w:tcW w:w="268" w:type="pct"/>
            <w:gridSpan w:val="2"/>
            <w:vMerge w:val="restart"/>
            <w:shd w:val="clear" w:color="auto" w:fill="auto"/>
            <w:vAlign w:val="center"/>
          </w:tcPr>
          <w:p w14:paraId="0E8BDF4D">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背景噪声</w:t>
            </w:r>
          </w:p>
        </w:tc>
      </w:tr>
      <w:tr w14:paraId="2E7895F6">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7" w:type="pct"/>
            <w:vMerge w:val="continue"/>
            <w:vAlign w:val="center"/>
          </w:tcPr>
          <w:p w14:paraId="11280AB4">
            <w:pPr>
              <w:widowControl/>
              <w:jc w:val="center"/>
              <w:rPr>
                <w:rFonts w:ascii="Times New Roman" w:hAnsi="Times New Roman" w:eastAsia="宋体" w:cs="Times New Roman"/>
                <w:b/>
                <w:spacing w:val="-20"/>
                <w:kern w:val="0"/>
                <w:szCs w:val="21"/>
              </w:rPr>
            </w:pPr>
          </w:p>
        </w:tc>
        <w:tc>
          <w:tcPr>
            <w:tcW w:w="320" w:type="pct"/>
            <w:vMerge w:val="continue"/>
            <w:vAlign w:val="center"/>
          </w:tcPr>
          <w:p w14:paraId="14C9C7CC">
            <w:pPr>
              <w:widowControl/>
              <w:jc w:val="center"/>
              <w:rPr>
                <w:rFonts w:ascii="Times New Roman" w:hAnsi="Times New Roman" w:eastAsia="宋体" w:cs="Times New Roman"/>
                <w:b/>
                <w:spacing w:val="-20"/>
                <w:kern w:val="0"/>
                <w:szCs w:val="21"/>
              </w:rPr>
            </w:pPr>
          </w:p>
        </w:tc>
        <w:tc>
          <w:tcPr>
            <w:tcW w:w="145" w:type="pct"/>
            <w:vMerge w:val="restart"/>
            <w:shd w:val="clear" w:color="auto" w:fill="auto"/>
            <w:vAlign w:val="center"/>
          </w:tcPr>
          <w:p w14:paraId="12833163">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方位</w:t>
            </w:r>
          </w:p>
        </w:tc>
        <w:tc>
          <w:tcPr>
            <w:tcW w:w="189" w:type="pct"/>
            <w:vMerge w:val="restart"/>
            <w:shd w:val="clear" w:color="auto" w:fill="auto"/>
            <w:vAlign w:val="center"/>
          </w:tcPr>
          <w:p w14:paraId="236FE6B2">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距路中心</w:t>
            </w:r>
            <w:r>
              <w:rPr>
                <w:rFonts w:ascii="Times New Roman" w:hAnsi="Times New Roman" w:eastAsia="宋体" w:cs="Times New Roman"/>
                <w:b/>
                <w:spacing w:val="-20"/>
                <w:kern w:val="0"/>
                <w:szCs w:val="21"/>
              </w:rPr>
              <w:t>(m)</w:t>
            </w:r>
          </w:p>
        </w:tc>
        <w:tc>
          <w:tcPr>
            <w:tcW w:w="132" w:type="pct"/>
            <w:vMerge w:val="continue"/>
            <w:vAlign w:val="center"/>
          </w:tcPr>
          <w:p w14:paraId="670F1A80">
            <w:pPr>
              <w:widowControl/>
              <w:jc w:val="center"/>
              <w:rPr>
                <w:rFonts w:ascii="Times New Roman" w:hAnsi="Times New Roman" w:eastAsia="宋体" w:cs="Times New Roman"/>
                <w:b/>
                <w:spacing w:val="-20"/>
                <w:kern w:val="0"/>
                <w:szCs w:val="21"/>
              </w:rPr>
            </w:pPr>
          </w:p>
        </w:tc>
        <w:tc>
          <w:tcPr>
            <w:tcW w:w="232" w:type="pct"/>
            <w:vMerge w:val="continue"/>
            <w:vAlign w:val="center"/>
          </w:tcPr>
          <w:p w14:paraId="7F23F0A2">
            <w:pPr>
              <w:widowControl/>
              <w:jc w:val="center"/>
              <w:rPr>
                <w:rFonts w:ascii="Times New Roman" w:hAnsi="Times New Roman" w:eastAsia="宋体" w:cs="Times New Roman"/>
                <w:b/>
                <w:spacing w:val="-20"/>
                <w:kern w:val="0"/>
                <w:szCs w:val="21"/>
              </w:rPr>
            </w:pPr>
          </w:p>
        </w:tc>
        <w:tc>
          <w:tcPr>
            <w:tcW w:w="147" w:type="pct"/>
            <w:vMerge w:val="continue"/>
            <w:vAlign w:val="center"/>
          </w:tcPr>
          <w:p w14:paraId="321B631B">
            <w:pPr>
              <w:widowControl/>
              <w:jc w:val="center"/>
              <w:rPr>
                <w:rFonts w:ascii="Times New Roman" w:hAnsi="Times New Roman" w:eastAsia="宋体" w:cs="Times New Roman"/>
                <w:b/>
                <w:spacing w:val="-20"/>
                <w:kern w:val="0"/>
                <w:szCs w:val="21"/>
              </w:rPr>
            </w:pPr>
          </w:p>
        </w:tc>
        <w:tc>
          <w:tcPr>
            <w:tcW w:w="274" w:type="pct"/>
            <w:gridSpan w:val="2"/>
            <w:shd w:val="clear" w:color="auto" w:fill="auto"/>
            <w:vAlign w:val="center"/>
          </w:tcPr>
          <w:p w14:paraId="37C7FA33">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近期</w:t>
            </w:r>
          </w:p>
        </w:tc>
        <w:tc>
          <w:tcPr>
            <w:tcW w:w="274" w:type="pct"/>
            <w:gridSpan w:val="2"/>
            <w:shd w:val="clear" w:color="auto" w:fill="auto"/>
            <w:vAlign w:val="center"/>
          </w:tcPr>
          <w:p w14:paraId="4269AAD8">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中期</w:t>
            </w:r>
          </w:p>
        </w:tc>
        <w:tc>
          <w:tcPr>
            <w:tcW w:w="276" w:type="pct"/>
            <w:gridSpan w:val="2"/>
            <w:shd w:val="clear" w:color="auto" w:fill="auto"/>
            <w:vAlign w:val="center"/>
          </w:tcPr>
          <w:p w14:paraId="585C5D3D">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远期</w:t>
            </w:r>
          </w:p>
        </w:tc>
        <w:tc>
          <w:tcPr>
            <w:tcW w:w="274" w:type="pct"/>
            <w:gridSpan w:val="2"/>
            <w:shd w:val="clear" w:color="auto" w:fill="auto"/>
            <w:vAlign w:val="center"/>
          </w:tcPr>
          <w:p w14:paraId="376C64A5">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近期</w:t>
            </w:r>
          </w:p>
        </w:tc>
        <w:tc>
          <w:tcPr>
            <w:tcW w:w="276" w:type="pct"/>
            <w:gridSpan w:val="2"/>
            <w:shd w:val="clear" w:color="auto" w:fill="auto"/>
            <w:vAlign w:val="center"/>
          </w:tcPr>
          <w:p w14:paraId="72C953C2">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中期</w:t>
            </w:r>
          </w:p>
        </w:tc>
        <w:tc>
          <w:tcPr>
            <w:tcW w:w="276" w:type="pct"/>
            <w:gridSpan w:val="2"/>
            <w:shd w:val="clear" w:color="auto" w:fill="auto"/>
            <w:vAlign w:val="center"/>
          </w:tcPr>
          <w:p w14:paraId="6E1BED89">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远期</w:t>
            </w:r>
          </w:p>
        </w:tc>
        <w:tc>
          <w:tcPr>
            <w:tcW w:w="275" w:type="pct"/>
            <w:gridSpan w:val="2"/>
            <w:shd w:val="clear" w:color="auto" w:fill="auto"/>
            <w:vAlign w:val="center"/>
          </w:tcPr>
          <w:p w14:paraId="5F79B4D3">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近期</w:t>
            </w:r>
          </w:p>
        </w:tc>
        <w:tc>
          <w:tcPr>
            <w:tcW w:w="276" w:type="pct"/>
            <w:gridSpan w:val="2"/>
            <w:shd w:val="clear" w:color="auto" w:fill="auto"/>
            <w:vAlign w:val="center"/>
          </w:tcPr>
          <w:p w14:paraId="07FFB63E">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中期</w:t>
            </w:r>
          </w:p>
        </w:tc>
        <w:tc>
          <w:tcPr>
            <w:tcW w:w="276" w:type="pct"/>
            <w:gridSpan w:val="2"/>
            <w:shd w:val="clear" w:color="auto" w:fill="auto"/>
            <w:vAlign w:val="center"/>
          </w:tcPr>
          <w:p w14:paraId="691C3B47">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远期</w:t>
            </w:r>
          </w:p>
        </w:tc>
        <w:tc>
          <w:tcPr>
            <w:tcW w:w="276" w:type="pct"/>
            <w:gridSpan w:val="2"/>
            <w:shd w:val="clear" w:color="auto" w:fill="auto"/>
            <w:vAlign w:val="center"/>
          </w:tcPr>
          <w:p w14:paraId="0809F883">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近期</w:t>
            </w:r>
          </w:p>
        </w:tc>
        <w:tc>
          <w:tcPr>
            <w:tcW w:w="275" w:type="pct"/>
            <w:gridSpan w:val="2"/>
            <w:shd w:val="clear" w:color="auto" w:fill="auto"/>
            <w:vAlign w:val="center"/>
          </w:tcPr>
          <w:p w14:paraId="78989D93">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中期</w:t>
            </w:r>
          </w:p>
        </w:tc>
        <w:tc>
          <w:tcPr>
            <w:tcW w:w="276" w:type="pct"/>
            <w:gridSpan w:val="2"/>
            <w:shd w:val="clear" w:color="auto" w:fill="auto"/>
            <w:vAlign w:val="center"/>
          </w:tcPr>
          <w:p w14:paraId="5C162E71">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远期</w:t>
            </w:r>
          </w:p>
        </w:tc>
        <w:tc>
          <w:tcPr>
            <w:tcW w:w="157" w:type="pct"/>
            <w:vMerge w:val="continue"/>
            <w:vAlign w:val="center"/>
          </w:tcPr>
          <w:p w14:paraId="52FD3721">
            <w:pPr>
              <w:widowControl/>
              <w:jc w:val="center"/>
              <w:rPr>
                <w:rFonts w:ascii="Times New Roman" w:hAnsi="Times New Roman" w:eastAsia="宋体" w:cs="Times New Roman"/>
                <w:b/>
                <w:spacing w:val="-20"/>
                <w:kern w:val="0"/>
                <w:szCs w:val="21"/>
              </w:rPr>
            </w:pPr>
          </w:p>
        </w:tc>
        <w:tc>
          <w:tcPr>
            <w:tcW w:w="268" w:type="pct"/>
            <w:gridSpan w:val="2"/>
            <w:vMerge w:val="continue"/>
            <w:vAlign w:val="center"/>
          </w:tcPr>
          <w:p w14:paraId="59035B1E">
            <w:pPr>
              <w:widowControl/>
              <w:jc w:val="center"/>
              <w:rPr>
                <w:rFonts w:ascii="Times New Roman" w:hAnsi="Times New Roman" w:eastAsia="宋体" w:cs="Times New Roman"/>
                <w:b/>
                <w:spacing w:val="-20"/>
                <w:kern w:val="0"/>
                <w:szCs w:val="21"/>
              </w:rPr>
            </w:pPr>
          </w:p>
        </w:tc>
      </w:tr>
      <w:tr w14:paraId="0DC5691F">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7" w:type="pct"/>
            <w:vMerge w:val="continue"/>
            <w:vAlign w:val="center"/>
          </w:tcPr>
          <w:p w14:paraId="6D7CD9EF">
            <w:pPr>
              <w:widowControl/>
              <w:jc w:val="center"/>
              <w:rPr>
                <w:rFonts w:ascii="Times New Roman" w:hAnsi="Times New Roman" w:eastAsia="宋体" w:cs="Times New Roman"/>
                <w:b/>
                <w:spacing w:val="-20"/>
                <w:kern w:val="0"/>
                <w:szCs w:val="21"/>
              </w:rPr>
            </w:pPr>
          </w:p>
        </w:tc>
        <w:tc>
          <w:tcPr>
            <w:tcW w:w="320" w:type="pct"/>
            <w:vMerge w:val="continue"/>
            <w:vAlign w:val="center"/>
          </w:tcPr>
          <w:p w14:paraId="797B6541">
            <w:pPr>
              <w:widowControl/>
              <w:jc w:val="center"/>
              <w:rPr>
                <w:rFonts w:ascii="Times New Roman" w:hAnsi="Times New Roman" w:eastAsia="宋体" w:cs="Times New Roman"/>
                <w:b/>
                <w:spacing w:val="-20"/>
                <w:kern w:val="0"/>
                <w:szCs w:val="21"/>
              </w:rPr>
            </w:pPr>
          </w:p>
        </w:tc>
        <w:tc>
          <w:tcPr>
            <w:tcW w:w="145" w:type="pct"/>
            <w:vMerge w:val="continue"/>
            <w:vAlign w:val="center"/>
          </w:tcPr>
          <w:p w14:paraId="42DB73EA">
            <w:pPr>
              <w:widowControl/>
              <w:jc w:val="center"/>
              <w:rPr>
                <w:rFonts w:ascii="Times New Roman" w:hAnsi="Times New Roman" w:eastAsia="宋体" w:cs="Times New Roman"/>
                <w:b/>
                <w:spacing w:val="-20"/>
                <w:kern w:val="0"/>
                <w:szCs w:val="21"/>
              </w:rPr>
            </w:pPr>
          </w:p>
        </w:tc>
        <w:tc>
          <w:tcPr>
            <w:tcW w:w="189" w:type="pct"/>
            <w:vMerge w:val="continue"/>
            <w:vAlign w:val="center"/>
          </w:tcPr>
          <w:p w14:paraId="39045F3F">
            <w:pPr>
              <w:widowControl/>
              <w:jc w:val="center"/>
              <w:rPr>
                <w:rFonts w:ascii="Times New Roman" w:hAnsi="Times New Roman" w:eastAsia="宋体" w:cs="Times New Roman"/>
                <w:b/>
                <w:spacing w:val="-20"/>
                <w:kern w:val="0"/>
                <w:szCs w:val="21"/>
              </w:rPr>
            </w:pPr>
          </w:p>
        </w:tc>
        <w:tc>
          <w:tcPr>
            <w:tcW w:w="132" w:type="pct"/>
            <w:vMerge w:val="continue"/>
            <w:vAlign w:val="center"/>
          </w:tcPr>
          <w:p w14:paraId="6394EBDB">
            <w:pPr>
              <w:widowControl/>
              <w:jc w:val="center"/>
              <w:rPr>
                <w:rFonts w:ascii="Times New Roman" w:hAnsi="Times New Roman" w:eastAsia="宋体" w:cs="Times New Roman"/>
                <w:b/>
                <w:spacing w:val="-20"/>
                <w:kern w:val="0"/>
                <w:szCs w:val="21"/>
              </w:rPr>
            </w:pPr>
          </w:p>
        </w:tc>
        <w:tc>
          <w:tcPr>
            <w:tcW w:w="232" w:type="pct"/>
            <w:vMerge w:val="continue"/>
            <w:vAlign w:val="center"/>
          </w:tcPr>
          <w:p w14:paraId="03617753">
            <w:pPr>
              <w:widowControl/>
              <w:jc w:val="center"/>
              <w:rPr>
                <w:rFonts w:ascii="Times New Roman" w:hAnsi="Times New Roman" w:eastAsia="宋体" w:cs="Times New Roman"/>
                <w:b/>
                <w:spacing w:val="-20"/>
                <w:kern w:val="0"/>
                <w:szCs w:val="21"/>
              </w:rPr>
            </w:pPr>
          </w:p>
        </w:tc>
        <w:tc>
          <w:tcPr>
            <w:tcW w:w="147" w:type="pct"/>
            <w:vMerge w:val="continue"/>
            <w:vAlign w:val="center"/>
          </w:tcPr>
          <w:p w14:paraId="39AA4DBF">
            <w:pPr>
              <w:widowControl/>
              <w:jc w:val="center"/>
              <w:rPr>
                <w:rFonts w:ascii="Times New Roman" w:hAnsi="Times New Roman" w:eastAsia="宋体" w:cs="Times New Roman"/>
                <w:b/>
                <w:spacing w:val="-20"/>
                <w:kern w:val="0"/>
                <w:szCs w:val="21"/>
              </w:rPr>
            </w:pPr>
          </w:p>
        </w:tc>
        <w:tc>
          <w:tcPr>
            <w:tcW w:w="137" w:type="pct"/>
            <w:shd w:val="clear" w:color="auto" w:fill="auto"/>
            <w:vAlign w:val="center"/>
          </w:tcPr>
          <w:p w14:paraId="2BDF028B">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昼间</w:t>
            </w:r>
          </w:p>
        </w:tc>
        <w:tc>
          <w:tcPr>
            <w:tcW w:w="138" w:type="pct"/>
            <w:shd w:val="clear" w:color="auto" w:fill="auto"/>
            <w:vAlign w:val="center"/>
          </w:tcPr>
          <w:p w14:paraId="61D79B87">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夜间</w:t>
            </w:r>
          </w:p>
        </w:tc>
        <w:tc>
          <w:tcPr>
            <w:tcW w:w="137" w:type="pct"/>
            <w:shd w:val="clear" w:color="auto" w:fill="auto"/>
            <w:vAlign w:val="center"/>
          </w:tcPr>
          <w:p w14:paraId="6295EC20">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昼间</w:t>
            </w:r>
          </w:p>
        </w:tc>
        <w:tc>
          <w:tcPr>
            <w:tcW w:w="138" w:type="pct"/>
            <w:shd w:val="clear" w:color="auto" w:fill="auto"/>
            <w:vAlign w:val="center"/>
          </w:tcPr>
          <w:p w14:paraId="2B610695">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夜间</w:t>
            </w:r>
          </w:p>
        </w:tc>
        <w:tc>
          <w:tcPr>
            <w:tcW w:w="137" w:type="pct"/>
            <w:shd w:val="clear" w:color="auto" w:fill="auto"/>
            <w:vAlign w:val="center"/>
          </w:tcPr>
          <w:p w14:paraId="3B899B2E">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昼间</w:t>
            </w:r>
          </w:p>
        </w:tc>
        <w:tc>
          <w:tcPr>
            <w:tcW w:w="140" w:type="pct"/>
            <w:shd w:val="clear" w:color="auto" w:fill="auto"/>
            <w:vAlign w:val="center"/>
          </w:tcPr>
          <w:p w14:paraId="3413DA43">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夜间</w:t>
            </w:r>
          </w:p>
        </w:tc>
        <w:tc>
          <w:tcPr>
            <w:tcW w:w="137" w:type="pct"/>
            <w:shd w:val="clear" w:color="auto" w:fill="auto"/>
            <w:vAlign w:val="center"/>
          </w:tcPr>
          <w:p w14:paraId="05EC5222">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昼间</w:t>
            </w:r>
          </w:p>
        </w:tc>
        <w:tc>
          <w:tcPr>
            <w:tcW w:w="138" w:type="pct"/>
            <w:shd w:val="clear" w:color="auto" w:fill="auto"/>
            <w:vAlign w:val="center"/>
          </w:tcPr>
          <w:p w14:paraId="385C3A24">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夜间</w:t>
            </w:r>
          </w:p>
        </w:tc>
        <w:tc>
          <w:tcPr>
            <w:tcW w:w="137" w:type="pct"/>
            <w:shd w:val="clear" w:color="auto" w:fill="auto"/>
            <w:vAlign w:val="center"/>
          </w:tcPr>
          <w:p w14:paraId="6F77707F">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昼间</w:t>
            </w:r>
          </w:p>
        </w:tc>
        <w:tc>
          <w:tcPr>
            <w:tcW w:w="139" w:type="pct"/>
            <w:shd w:val="clear" w:color="auto" w:fill="auto"/>
            <w:vAlign w:val="center"/>
          </w:tcPr>
          <w:p w14:paraId="2D5E2154">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夜间</w:t>
            </w:r>
          </w:p>
        </w:tc>
        <w:tc>
          <w:tcPr>
            <w:tcW w:w="137" w:type="pct"/>
            <w:shd w:val="clear" w:color="auto" w:fill="auto"/>
            <w:vAlign w:val="center"/>
          </w:tcPr>
          <w:p w14:paraId="00ACD778">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昼间</w:t>
            </w:r>
          </w:p>
        </w:tc>
        <w:tc>
          <w:tcPr>
            <w:tcW w:w="139" w:type="pct"/>
            <w:shd w:val="clear" w:color="auto" w:fill="auto"/>
            <w:vAlign w:val="center"/>
          </w:tcPr>
          <w:p w14:paraId="0259BA89">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夜间</w:t>
            </w:r>
          </w:p>
        </w:tc>
        <w:tc>
          <w:tcPr>
            <w:tcW w:w="137" w:type="pct"/>
            <w:shd w:val="clear" w:color="auto" w:fill="auto"/>
            <w:vAlign w:val="center"/>
          </w:tcPr>
          <w:p w14:paraId="58328854">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昼间</w:t>
            </w:r>
          </w:p>
        </w:tc>
        <w:tc>
          <w:tcPr>
            <w:tcW w:w="138" w:type="pct"/>
            <w:shd w:val="clear" w:color="auto" w:fill="auto"/>
            <w:vAlign w:val="center"/>
          </w:tcPr>
          <w:p w14:paraId="664DC69A">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夜间</w:t>
            </w:r>
          </w:p>
        </w:tc>
        <w:tc>
          <w:tcPr>
            <w:tcW w:w="137" w:type="pct"/>
            <w:shd w:val="clear" w:color="auto" w:fill="auto"/>
            <w:vAlign w:val="center"/>
          </w:tcPr>
          <w:p w14:paraId="7BF9E99E">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昼间</w:t>
            </w:r>
          </w:p>
        </w:tc>
        <w:tc>
          <w:tcPr>
            <w:tcW w:w="139" w:type="pct"/>
            <w:shd w:val="clear" w:color="auto" w:fill="auto"/>
            <w:vAlign w:val="center"/>
          </w:tcPr>
          <w:p w14:paraId="06835458">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夜间</w:t>
            </w:r>
          </w:p>
        </w:tc>
        <w:tc>
          <w:tcPr>
            <w:tcW w:w="137" w:type="pct"/>
            <w:shd w:val="clear" w:color="auto" w:fill="auto"/>
            <w:vAlign w:val="center"/>
          </w:tcPr>
          <w:p w14:paraId="053F58F0">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昼间</w:t>
            </w:r>
          </w:p>
        </w:tc>
        <w:tc>
          <w:tcPr>
            <w:tcW w:w="139" w:type="pct"/>
            <w:shd w:val="clear" w:color="auto" w:fill="auto"/>
            <w:vAlign w:val="center"/>
          </w:tcPr>
          <w:p w14:paraId="6544EA8C">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夜间</w:t>
            </w:r>
          </w:p>
        </w:tc>
        <w:tc>
          <w:tcPr>
            <w:tcW w:w="137" w:type="pct"/>
            <w:shd w:val="clear" w:color="auto" w:fill="auto"/>
            <w:vAlign w:val="center"/>
          </w:tcPr>
          <w:p w14:paraId="1E768B52">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昼间</w:t>
            </w:r>
          </w:p>
        </w:tc>
        <w:tc>
          <w:tcPr>
            <w:tcW w:w="139" w:type="pct"/>
            <w:shd w:val="clear" w:color="auto" w:fill="auto"/>
            <w:vAlign w:val="center"/>
          </w:tcPr>
          <w:p w14:paraId="13BCB884">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夜间</w:t>
            </w:r>
          </w:p>
        </w:tc>
        <w:tc>
          <w:tcPr>
            <w:tcW w:w="137" w:type="pct"/>
            <w:shd w:val="clear" w:color="auto" w:fill="auto"/>
            <w:vAlign w:val="center"/>
          </w:tcPr>
          <w:p w14:paraId="1AC4FC01">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昼间</w:t>
            </w:r>
          </w:p>
        </w:tc>
        <w:tc>
          <w:tcPr>
            <w:tcW w:w="138" w:type="pct"/>
            <w:shd w:val="clear" w:color="auto" w:fill="auto"/>
            <w:vAlign w:val="center"/>
          </w:tcPr>
          <w:p w14:paraId="09609796">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夜间</w:t>
            </w:r>
          </w:p>
        </w:tc>
        <w:tc>
          <w:tcPr>
            <w:tcW w:w="137" w:type="pct"/>
            <w:shd w:val="clear" w:color="auto" w:fill="auto"/>
            <w:vAlign w:val="center"/>
          </w:tcPr>
          <w:p w14:paraId="5E966C85">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昼间</w:t>
            </w:r>
          </w:p>
        </w:tc>
        <w:tc>
          <w:tcPr>
            <w:tcW w:w="139" w:type="pct"/>
            <w:shd w:val="clear" w:color="auto" w:fill="auto"/>
            <w:vAlign w:val="center"/>
          </w:tcPr>
          <w:p w14:paraId="1C518218">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夜间</w:t>
            </w:r>
          </w:p>
        </w:tc>
        <w:tc>
          <w:tcPr>
            <w:tcW w:w="157" w:type="pct"/>
            <w:vMerge w:val="continue"/>
            <w:vAlign w:val="center"/>
          </w:tcPr>
          <w:p w14:paraId="2C40099D">
            <w:pPr>
              <w:widowControl/>
              <w:jc w:val="center"/>
              <w:rPr>
                <w:rFonts w:ascii="Times New Roman" w:hAnsi="Times New Roman" w:eastAsia="宋体" w:cs="Times New Roman"/>
                <w:b/>
                <w:spacing w:val="-20"/>
                <w:kern w:val="0"/>
                <w:szCs w:val="21"/>
              </w:rPr>
            </w:pPr>
          </w:p>
        </w:tc>
        <w:tc>
          <w:tcPr>
            <w:tcW w:w="134" w:type="pct"/>
            <w:shd w:val="clear" w:color="auto" w:fill="auto"/>
            <w:vAlign w:val="center"/>
          </w:tcPr>
          <w:p w14:paraId="73B02EFF">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昼间</w:t>
            </w:r>
          </w:p>
        </w:tc>
        <w:tc>
          <w:tcPr>
            <w:tcW w:w="134" w:type="pct"/>
            <w:shd w:val="clear" w:color="auto" w:fill="auto"/>
            <w:vAlign w:val="center"/>
          </w:tcPr>
          <w:p w14:paraId="2B9865E0">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夜间</w:t>
            </w:r>
          </w:p>
        </w:tc>
      </w:tr>
      <w:tr w14:paraId="04AB9F9C">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7" w:type="pct"/>
            <w:vMerge w:val="restart"/>
            <w:shd w:val="clear" w:color="auto" w:fill="auto"/>
            <w:vAlign w:val="center"/>
          </w:tcPr>
          <w:p w14:paraId="33D7763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w:t>
            </w:r>
          </w:p>
        </w:tc>
        <w:tc>
          <w:tcPr>
            <w:tcW w:w="320" w:type="pct"/>
            <w:vMerge w:val="restart"/>
            <w:shd w:val="clear" w:color="auto" w:fill="auto"/>
            <w:vAlign w:val="center"/>
          </w:tcPr>
          <w:p w14:paraId="01AB166C">
            <w:pPr>
              <w:widowControl/>
              <w:jc w:val="center"/>
              <w:rPr>
                <w:rFonts w:ascii="Times New Roman" w:hAnsi="Times New Roman" w:eastAsia="宋体" w:cs="Times New Roman"/>
                <w:kern w:val="0"/>
                <w:szCs w:val="21"/>
              </w:rPr>
            </w:pPr>
            <w:r>
              <w:rPr>
                <w:rFonts w:ascii="Times New Roman" w:hAnsi="宋体" w:eastAsia="宋体" w:cs="Times New Roman"/>
                <w:kern w:val="0"/>
                <w:szCs w:val="21"/>
              </w:rPr>
              <w:t>库尔干村</w:t>
            </w:r>
          </w:p>
        </w:tc>
        <w:tc>
          <w:tcPr>
            <w:tcW w:w="145" w:type="pct"/>
            <w:vMerge w:val="restart"/>
            <w:shd w:val="clear" w:color="auto" w:fill="auto"/>
            <w:vAlign w:val="center"/>
          </w:tcPr>
          <w:p w14:paraId="4E908063">
            <w:pPr>
              <w:widowControl/>
              <w:jc w:val="center"/>
              <w:rPr>
                <w:rFonts w:ascii="Times New Roman" w:hAnsi="Times New Roman" w:eastAsia="宋体" w:cs="Times New Roman"/>
                <w:kern w:val="0"/>
                <w:szCs w:val="21"/>
              </w:rPr>
            </w:pPr>
            <w:r>
              <w:rPr>
                <w:rFonts w:ascii="Times New Roman" w:hAnsi="宋体" w:eastAsia="宋体" w:cs="Times New Roman"/>
                <w:kern w:val="0"/>
                <w:szCs w:val="21"/>
              </w:rPr>
              <w:t>路右</w:t>
            </w:r>
          </w:p>
        </w:tc>
        <w:tc>
          <w:tcPr>
            <w:tcW w:w="189" w:type="pct"/>
            <w:vMerge w:val="restart"/>
            <w:shd w:val="clear" w:color="auto" w:fill="auto"/>
            <w:noWrap/>
            <w:vAlign w:val="center"/>
          </w:tcPr>
          <w:p w14:paraId="1DFEA3E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36</w:t>
            </w:r>
          </w:p>
        </w:tc>
        <w:tc>
          <w:tcPr>
            <w:tcW w:w="132" w:type="pct"/>
            <w:shd w:val="clear" w:color="auto" w:fill="auto"/>
            <w:vAlign w:val="center"/>
          </w:tcPr>
          <w:p w14:paraId="2D9150F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w:t>
            </w:r>
          </w:p>
        </w:tc>
        <w:tc>
          <w:tcPr>
            <w:tcW w:w="232" w:type="pct"/>
            <w:vMerge w:val="restart"/>
            <w:shd w:val="clear" w:color="auto" w:fill="auto"/>
            <w:vAlign w:val="center"/>
          </w:tcPr>
          <w:p w14:paraId="1E61285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0</w:t>
            </w:r>
          </w:p>
        </w:tc>
        <w:tc>
          <w:tcPr>
            <w:tcW w:w="147" w:type="pct"/>
            <w:vMerge w:val="restart"/>
            <w:shd w:val="clear" w:color="auto" w:fill="auto"/>
            <w:vAlign w:val="center"/>
          </w:tcPr>
          <w:p w14:paraId="730281A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w:t>
            </w:r>
            <w:r>
              <w:rPr>
                <w:rFonts w:ascii="Times New Roman" w:hAnsi="宋体" w:eastAsia="宋体" w:cs="Times New Roman"/>
                <w:kern w:val="0"/>
                <w:szCs w:val="21"/>
              </w:rPr>
              <w:t>层</w:t>
            </w:r>
          </w:p>
        </w:tc>
        <w:tc>
          <w:tcPr>
            <w:tcW w:w="137" w:type="pct"/>
            <w:shd w:val="clear" w:color="auto" w:fill="auto"/>
            <w:vAlign w:val="center"/>
          </w:tcPr>
          <w:p w14:paraId="0AEFA2B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62.2</w:t>
            </w:r>
          </w:p>
        </w:tc>
        <w:tc>
          <w:tcPr>
            <w:tcW w:w="138" w:type="pct"/>
            <w:shd w:val="clear" w:color="auto" w:fill="auto"/>
            <w:vAlign w:val="center"/>
          </w:tcPr>
          <w:p w14:paraId="1C88D40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58.4</w:t>
            </w:r>
          </w:p>
        </w:tc>
        <w:tc>
          <w:tcPr>
            <w:tcW w:w="137" w:type="pct"/>
            <w:shd w:val="clear" w:color="auto" w:fill="auto"/>
            <w:vAlign w:val="center"/>
          </w:tcPr>
          <w:p w14:paraId="508224F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63.0</w:t>
            </w:r>
          </w:p>
        </w:tc>
        <w:tc>
          <w:tcPr>
            <w:tcW w:w="138" w:type="pct"/>
            <w:shd w:val="clear" w:color="auto" w:fill="auto"/>
            <w:vAlign w:val="center"/>
          </w:tcPr>
          <w:p w14:paraId="570FB3D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59.2</w:t>
            </w:r>
          </w:p>
        </w:tc>
        <w:tc>
          <w:tcPr>
            <w:tcW w:w="137" w:type="pct"/>
            <w:shd w:val="clear" w:color="auto" w:fill="auto"/>
            <w:vAlign w:val="center"/>
          </w:tcPr>
          <w:p w14:paraId="7AF4305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61.9</w:t>
            </w:r>
          </w:p>
        </w:tc>
        <w:tc>
          <w:tcPr>
            <w:tcW w:w="140" w:type="pct"/>
            <w:shd w:val="clear" w:color="auto" w:fill="auto"/>
            <w:vAlign w:val="center"/>
          </w:tcPr>
          <w:p w14:paraId="6EC29B3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59.9</w:t>
            </w:r>
          </w:p>
        </w:tc>
        <w:tc>
          <w:tcPr>
            <w:tcW w:w="137" w:type="pct"/>
            <w:shd w:val="clear" w:color="auto" w:fill="auto"/>
            <w:vAlign w:val="center"/>
          </w:tcPr>
          <w:p w14:paraId="69CC92C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62.3</w:t>
            </w:r>
          </w:p>
        </w:tc>
        <w:tc>
          <w:tcPr>
            <w:tcW w:w="138" w:type="pct"/>
            <w:shd w:val="clear" w:color="auto" w:fill="auto"/>
            <w:vAlign w:val="center"/>
          </w:tcPr>
          <w:p w14:paraId="2173B1C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58.4</w:t>
            </w:r>
          </w:p>
        </w:tc>
        <w:tc>
          <w:tcPr>
            <w:tcW w:w="137" w:type="pct"/>
            <w:shd w:val="clear" w:color="auto" w:fill="auto"/>
            <w:vAlign w:val="center"/>
          </w:tcPr>
          <w:p w14:paraId="127CBAA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63.1</w:t>
            </w:r>
          </w:p>
        </w:tc>
        <w:tc>
          <w:tcPr>
            <w:tcW w:w="139" w:type="pct"/>
            <w:shd w:val="clear" w:color="auto" w:fill="auto"/>
            <w:vAlign w:val="center"/>
          </w:tcPr>
          <w:p w14:paraId="7D5A22C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59.2</w:t>
            </w:r>
          </w:p>
        </w:tc>
        <w:tc>
          <w:tcPr>
            <w:tcW w:w="137" w:type="pct"/>
            <w:shd w:val="clear" w:color="auto" w:fill="auto"/>
            <w:vAlign w:val="center"/>
          </w:tcPr>
          <w:p w14:paraId="2042567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62.0</w:t>
            </w:r>
          </w:p>
        </w:tc>
        <w:tc>
          <w:tcPr>
            <w:tcW w:w="139" w:type="pct"/>
            <w:shd w:val="clear" w:color="auto" w:fill="auto"/>
            <w:vAlign w:val="center"/>
          </w:tcPr>
          <w:p w14:paraId="7EAF546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59.9</w:t>
            </w:r>
          </w:p>
        </w:tc>
        <w:tc>
          <w:tcPr>
            <w:tcW w:w="137" w:type="pct"/>
            <w:shd w:val="clear" w:color="auto" w:fill="auto"/>
            <w:vAlign w:val="center"/>
          </w:tcPr>
          <w:p w14:paraId="0039082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8" w:type="pct"/>
            <w:shd w:val="clear" w:color="auto" w:fill="auto"/>
            <w:vAlign w:val="center"/>
          </w:tcPr>
          <w:p w14:paraId="1022467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3.4</w:t>
            </w:r>
          </w:p>
        </w:tc>
        <w:tc>
          <w:tcPr>
            <w:tcW w:w="137" w:type="pct"/>
            <w:shd w:val="clear" w:color="auto" w:fill="auto"/>
            <w:vAlign w:val="center"/>
          </w:tcPr>
          <w:p w14:paraId="6A1FBF9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shd w:val="clear" w:color="auto" w:fill="auto"/>
            <w:vAlign w:val="center"/>
          </w:tcPr>
          <w:p w14:paraId="7BCF565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4.2</w:t>
            </w:r>
          </w:p>
        </w:tc>
        <w:tc>
          <w:tcPr>
            <w:tcW w:w="137" w:type="pct"/>
            <w:shd w:val="clear" w:color="auto" w:fill="auto"/>
            <w:vAlign w:val="center"/>
          </w:tcPr>
          <w:p w14:paraId="6AFD963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shd w:val="clear" w:color="auto" w:fill="auto"/>
            <w:vAlign w:val="center"/>
          </w:tcPr>
          <w:p w14:paraId="3C5B013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4.9</w:t>
            </w:r>
          </w:p>
        </w:tc>
        <w:tc>
          <w:tcPr>
            <w:tcW w:w="137" w:type="pct"/>
            <w:shd w:val="clear" w:color="auto" w:fill="auto"/>
            <w:vAlign w:val="center"/>
          </w:tcPr>
          <w:p w14:paraId="23F62CD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20.8</w:t>
            </w:r>
          </w:p>
        </w:tc>
        <w:tc>
          <w:tcPr>
            <w:tcW w:w="139" w:type="pct"/>
            <w:shd w:val="clear" w:color="auto" w:fill="auto"/>
            <w:vAlign w:val="center"/>
          </w:tcPr>
          <w:p w14:paraId="3C95B95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20.9</w:t>
            </w:r>
          </w:p>
        </w:tc>
        <w:tc>
          <w:tcPr>
            <w:tcW w:w="137" w:type="pct"/>
            <w:shd w:val="clear" w:color="auto" w:fill="auto"/>
            <w:vAlign w:val="center"/>
          </w:tcPr>
          <w:p w14:paraId="2CDE028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21.6</w:t>
            </w:r>
          </w:p>
        </w:tc>
        <w:tc>
          <w:tcPr>
            <w:tcW w:w="138" w:type="pct"/>
            <w:shd w:val="clear" w:color="auto" w:fill="auto"/>
            <w:vAlign w:val="center"/>
          </w:tcPr>
          <w:p w14:paraId="76C33A8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21.7</w:t>
            </w:r>
          </w:p>
        </w:tc>
        <w:tc>
          <w:tcPr>
            <w:tcW w:w="137" w:type="pct"/>
            <w:shd w:val="clear" w:color="auto" w:fill="auto"/>
            <w:vAlign w:val="center"/>
          </w:tcPr>
          <w:p w14:paraId="073A41C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20.5</w:t>
            </w:r>
          </w:p>
        </w:tc>
        <w:tc>
          <w:tcPr>
            <w:tcW w:w="139" w:type="pct"/>
            <w:shd w:val="clear" w:color="auto" w:fill="auto"/>
            <w:vAlign w:val="center"/>
          </w:tcPr>
          <w:p w14:paraId="5CECE43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22.4</w:t>
            </w:r>
          </w:p>
        </w:tc>
        <w:tc>
          <w:tcPr>
            <w:tcW w:w="157" w:type="pct"/>
            <w:vMerge w:val="restart"/>
            <w:shd w:val="clear" w:color="auto" w:fill="auto"/>
            <w:vAlign w:val="center"/>
          </w:tcPr>
          <w:p w14:paraId="79C3EA6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4a</w:t>
            </w:r>
            <w:r>
              <w:rPr>
                <w:rFonts w:ascii="Times New Roman" w:hAnsi="宋体" w:eastAsia="宋体" w:cs="Times New Roman"/>
                <w:kern w:val="0"/>
                <w:szCs w:val="21"/>
              </w:rPr>
              <w:t>类</w:t>
            </w:r>
          </w:p>
        </w:tc>
        <w:tc>
          <w:tcPr>
            <w:tcW w:w="134" w:type="pct"/>
            <w:vMerge w:val="restart"/>
            <w:shd w:val="clear" w:color="auto" w:fill="auto"/>
            <w:vAlign w:val="center"/>
          </w:tcPr>
          <w:p w14:paraId="1144D9F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41.5</w:t>
            </w:r>
          </w:p>
        </w:tc>
        <w:tc>
          <w:tcPr>
            <w:tcW w:w="134" w:type="pct"/>
            <w:vMerge w:val="restart"/>
            <w:shd w:val="clear" w:color="auto" w:fill="auto"/>
            <w:vAlign w:val="center"/>
          </w:tcPr>
          <w:p w14:paraId="6CA2A9B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37.5</w:t>
            </w:r>
          </w:p>
        </w:tc>
      </w:tr>
      <w:tr w14:paraId="28855FE1">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7" w:type="pct"/>
            <w:vMerge w:val="continue"/>
            <w:vAlign w:val="center"/>
          </w:tcPr>
          <w:p w14:paraId="6F448FF6">
            <w:pPr>
              <w:widowControl/>
              <w:jc w:val="center"/>
              <w:rPr>
                <w:rFonts w:ascii="Times New Roman" w:hAnsi="Times New Roman" w:eastAsia="宋体" w:cs="Times New Roman"/>
                <w:kern w:val="0"/>
                <w:szCs w:val="21"/>
              </w:rPr>
            </w:pPr>
          </w:p>
        </w:tc>
        <w:tc>
          <w:tcPr>
            <w:tcW w:w="320" w:type="pct"/>
            <w:vMerge w:val="continue"/>
            <w:vAlign w:val="center"/>
          </w:tcPr>
          <w:p w14:paraId="15EAAC93">
            <w:pPr>
              <w:widowControl/>
              <w:jc w:val="center"/>
              <w:rPr>
                <w:rFonts w:ascii="Times New Roman" w:hAnsi="Times New Roman" w:eastAsia="宋体" w:cs="Times New Roman"/>
                <w:kern w:val="0"/>
                <w:szCs w:val="21"/>
              </w:rPr>
            </w:pPr>
          </w:p>
        </w:tc>
        <w:tc>
          <w:tcPr>
            <w:tcW w:w="145" w:type="pct"/>
            <w:vMerge w:val="continue"/>
            <w:vAlign w:val="center"/>
          </w:tcPr>
          <w:p w14:paraId="1DFAFF9B">
            <w:pPr>
              <w:widowControl/>
              <w:jc w:val="center"/>
              <w:rPr>
                <w:rFonts w:ascii="Times New Roman" w:hAnsi="Times New Roman" w:eastAsia="宋体" w:cs="Times New Roman"/>
                <w:kern w:val="0"/>
                <w:szCs w:val="21"/>
              </w:rPr>
            </w:pPr>
          </w:p>
        </w:tc>
        <w:tc>
          <w:tcPr>
            <w:tcW w:w="189" w:type="pct"/>
            <w:vMerge w:val="continue"/>
            <w:vAlign w:val="center"/>
          </w:tcPr>
          <w:p w14:paraId="6EBDE39C">
            <w:pPr>
              <w:widowControl/>
              <w:jc w:val="center"/>
              <w:rPr>
                <w:rFonts w:ascii="Times New Roman" w:hAnsi="Times New Roman" w:eastAsia="宋体" w:cs="Times New Roman"/>
                <w:kern w:val="0"/>
                <w:szCs w:val="21"/>
              </w:rPr>
            </w:pPr>
          </w:p>
        </w:tc>
        <w:tc>
          <w:tcPr>
            <w:tcW w:w="132" w:type="pct"/>
            <w:vMerge w:val="restart"/>
            <w:shd w:val="clear" w:color="auto" w:fill="auto"/>
            <w:vAlign w:val="center"/>
          </w:tcPr>
          <w:p w14:paraId="021E811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0</w:t>
            </w:r>
          </w:p>
        </w:tc>
        <w:tc>
          <w:tcPr>
            <w:tcW w:w="232" w:type="pct"/>
            <w:vMerge w:val="continue"/>
            <w:vAlign w:val="center"/>
          </w:tcPr>
          <w:p w14:paraId="4183EE92">
            <w:pPr>
              <w:widowControl/>
              <w:jc w:val="center"/>
              <w:rPr>
                <w:rFonts w:ascii="Times New Roman" w:hAnsi="Times New Roman" w:eastAsia="宋体" w:cs="Times New Roman"/>
                <w:kern w:val="0"/>
                <w:szCs w:val="21"/>
              </w:rPr>
            </w:pPr>
          </w:p>
        </w:tc>
        <w:tc>
          <w:tcPr>
            <w:tcW w:w="147" w:type="pct"/>
            <w:vMerge w:val="continue"/>
            <w:vAlign w:val="center"/>
          </w:tcPr>
          <w:p w14:paraId="1B1E1DCF">
            <w:pPr>
              <w:widowControl/>
              <w:jc w:val="center"/>
              <w:rPr>
                <w:rFonts w:ascii="Times New Roman" w:hAnsi="Times New Roman" w:eastAsia="宋体" w:cs="Times New Roman"/>
                <w:kern w:val="0"/>
                <w:szCs w:val="21"/>
              </w:rPr>
            </w:pPr>
          </w:p>
        </w:tc>
        <w:tc>
          <w:tcPr>
            <w:tcW w:w="137" w:type="pct"/>
            <w:shd w:val="clear" w:color="auto" w:fill="auto"/>
            <w:vAlign w:val="center"/>
          </w:tcPr>
          <w:p w14:paraId="3214723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64.1</w:t>
            </w:r>
          </w:p>
        </w:tc>
        <w:tc>
          <w:tcPr>
            <w:tcW w:w="138" w:type="pct"/>
            <w:shd w:val="clear" w:color="auto" w:fill="auto"/>
            <w:vAlign w:val="center"/>
          </w:tcPr>
          <w:p w14:paraId="722F3AF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60.2</w:t>
            </w:r>
          </w:p>
        </w:tc>
        <w:tc>
          <w:tcPr>
            <w:tcW w:w="137" w:type="pct"/>
            <w:shd w:val="clear" w:color="auto" w:fill="auto"/>
            <w:vAlign w:val="center"/>
          </w:tcPr>
          <w:p w14:paraId="2C84738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64.9</w:t>
            </w:r>
          </w:p>
        </w:tc>
        <w:tc>
          <w:tcPr>
            <w:tcW w:w="138" w:type="pct"/>
            <w:shd w:val="clear" w:color="auto" w:fill="auto"/>
            <w:vAlign w:val="center"/>
          </w:tcPr>
          <w:p w14:paraId="72B0971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61.0</w:t>
            </w:r>
          </w:p>
        </w:tc>
        <w:tc>
          <w:tcPr>
            <w:tcW w:w="137" w:type="pct"/>
            <w:shd w:val="clear" w:color="auto" w:fill="auto"/>
            <w:vAlign w:val="center"/>
          </w:tcPr>
          <w:p w14:paraId="1A31820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63.8</w:t>
            </w:r>
          </w:p>
        </w:tc>
        <w:tc>
          <w:tcPr>
            <w:tcW w:w="140" w:type="pct"/>
            <w:shd w:val="clear" w:color="auto" w:fill="auto"/>
            <w:vAlign w:val="center"/>
          </w:tcPr>
          <w:p w14:paraId="62E19DE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61.7</w:t>
            </w:r>
          </w:p>
        </w:tc>
        <w:tc>
          <w:tcPr>
            <w:tcW w:w="137" w:type="pct"/>
            <w:shd w:val="clear" w:color="auto" w:fill="auto"/>
            <w:vAlign w:val="center"/>
          </w:tcPr>
          <w:p w14:paraId="0439558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64.1</w:t>
            </w:r>
          </w:p>
        </w:tc>
        <w:tc>
          <w:tcPr>
            <w:tcW w:w="138" w:type="pct"/>
            <w:shd w:val="clear" w:color="auto" w:fill="auto"/>
            <w:vAlign w:val="center"/>
          </w:tcPr>
          <w:p w14:paraId="1CE10FD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60.3</w:t>
            </w:r>
          </w:p>
        </w:tc>
        <w:tc>
          <w:tcPr>
            <w:tcW w:w="137" w:type="pct"/>
            <w:shd w:val="clear" w:color="auto" w:fill="auto"/>
            <w:vAlign w:val="center"/>
          </w:tcPr>
          <w:p w14:paraId="5B72800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64.9</w:t>
            </w:r>
          </w:p>
        </w:tc>
        <w:tc>
          <w:tcPr>
            <w:tcW w:w="139" w:type="pct"/>
            <w:shd w:val="clear" w:color="auto" w:fill="auto"/>
            <w:vAlign w:val="center"/>
          </w:tcPr>
          <w:p w14:paraId="3A838AC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61.1</w:t>
            </w:r>
          </w:p>
        </w:tc>
        <w:tc>
          <w:tcPr>
            <w:tcW w:w="137" w:type="pct"/>
            <w:shd w:val="clear" w:color="auto" w:fill="auto"/>
            <w:vAlign w:val="center"/>
          </w:tcPr>
          <w:p w14:paraId="6E7FCD1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63.8</w:t>
            </w:r>
          </w:p>
        </w:tc>
        <w:tc>
          <w:tcPr>
            <w:tcW w:w="139" w:type="pct"/>
            <w:shd w:val="clear" w:color="auto" w:fill="auto"/>
            <w:vAlign w:val="center"/>
          </w:tcPr>
          <w:p w14:paraId="7D59A5B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61.8</w:t>
            </w:r>
          </w:p>
        </w:tc>
        <w:tc>
          <w:tcPr>
            <w:tcW w:w="137" w:type="pct"/>
            <w:shd w:val="clear" w:color="auto" w:fill="auto"/>
            <w:vAlign w:val="center"/>
          </w:tcPr>
          <w:p w14:paraId="10E64B9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8" w:type="pct"/>
            <w:shd w:val="clear" w:color="auto" w:fill="auto"/>
            <w:vAlign w:val="center"/>
          </w:tcPr>
          <w:p w14:paraId="10312BE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5.3</w:t>
            </w:r>
          </w:p>
        </w:tc>
        <w:tc>
          <w:tcPr>
            <w:tcW w:w="137" w:type="pct"/>
            <w:shd w:val="clear" w:color="auto" w:fill="auto"/>
            <w:vAlign w:val="center"/>
          </w:tcPr>
          <w:p w14:paraId="66D35EF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shd w:val="clear" w:color="auto" w:fill="auto"/>
            <w:vAlign w:val="center"/>
          </w:tcPr>
          <w:p w14:paraId="4FD4AA4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6.1</w:t>
            </w:r>
          </w:p>
        </w:tc>
        <w:tc>
          <w:tcPr>
            <w:tcW w:w="137" w:type="pct"/>
            <w:shd w:val="clear" w:color="auto" w:fill="auto"/>
            <w:vAlign w:val="center"/>
          </w:tcPr>
          <w:p w14:paraId="2676EB8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shd w:val="clear" w:color="auto" w:fill="auto"/>
            <w:vAlign w:val="center"/>
          </w:tcPr>
          <w:p w14:paraId="6CAE7C7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6.8</w:t>
            </w:r>
          </w:p>
        </w:tc>
        <w:tc>
          <w:tcPr>
            <w:tcW w:w="137" w:type="pct"/>
            <w:shd w:val="clear" w:color="auto" w:fill="auto"/>
            <w:vAlign w:val="center"/>
          </w:tcPr>
          <w:p w14:paraId="2EED3C5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22.6</w:t>
            </w:r>
          </w:p>
        </w:tc>
        <w:tc>
          <w:tcPr>
            <w:tcW w:w="139" w:type="pct"/>
            <w:shd w:val="clear" w:color="auto" w:fill="auto"/>
            <w:vAlign w:val="center"/>
          </w:tcPr>
          <w:p w14:paraId="6B5DDC2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22.8</w:t>
            </w:r>
          </w:p>
        </w:tc>
        <w:tc>
          <w:tcPr>
            <w:tcW w:w="137" w:type="pct"/>
            <w:shd w:val="clear" w:color="auto" w:fill="auto"/>
            <w:vAlign w:val="center"/>
          </w:tcPr>
          <w:p w14:paraId="2F228CC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23.4</w:t>
            </w:r>
          </w:p>
        </w:tc>
        <w:tc>
          <w:tcPr>
            <w:tcW w:w="138" w:type="pct"/>
            <w:shd w:val="clear" w:color="auto" w:fill="auto"/>
            <w:vAlign w:val="center"/>
          </w:tcPr>
          <w:p w14:paraId="18AEC8B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23.6</w:t>
            </w:r>
          </w:p>
        </w:tc>
        <w:tc>
          <w:tcPr>
            <w:tcW w:w="137" w:type="pct"/>
            <w:shd w:val="clear" w:color="auto" w:fill="auto"/>
            <w:vAlign w:val="center"/>
          </w:tcPr>
          <w:p w14:paraId="11B420E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22.3</w:t>
            </w:r>
          </w:p>
        </w:tc>
        <w:tc>
          <w:tcPr>
            <w:tcW w:w="139" w:type="pct"/>
            <w:shd w:val="clear" w:color="auto" w:fill="auto"/>
            <w:vAlign w:val="center"/>
          </w:tcPr>
          <w:p w14:paraId="4F23D2F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24.3</w:t>
            </w:r>
          </w:p>
        </w:tc>
        <w:tc>
          <w:tcPr>
            <w:tcW w:w="157" w:type="pct"/>
            <w:vMerge w:val="continue"/>
            <w:vAlign w:val="center"/>
          </w:tcPr>
          <w:p w14:paraId="6F9C8598">
            <w:pPr>
              <w:widowControl/>
              <w:jc w:val="center"/>
              <w:rPr>
                <w:rFonts w:ascii="Times New Roman" w:hAnsi="Times New Roman" w:eastAsia="宋体" w:cs="Times New Roman"/>
                <w:kern w:val="0"/>
                <w:szCs w:val="21"/>
              </w:rPr>
            </w:pPr>
          </w:p>
        </w:tc>
        <w:tc>
          <w:tcPr>
            <w:tcW w:w="134" w:type="pct"/>
            <w:vMerge w:val="continue"/>
            <w:vAlign w:val="center"/>
          </w:tcPr>
          <w:p w14:paraId="6AD2F719">
            <w:pPr>
              <w:widowControl/>
              <w:jc w:val="center"/>
              <w:rPr>
                <w:rFonts w:ascii="Times New Roman" w:hAnsi="Times New Roman" w:eastAsia="宋体" w:cs="Times New Roman"/>
                <w:kern w:val="0"/>
                <w:szCs w:val="21"/>
              </w:rPr>
            </w:pPr>
          </w:p>
        </w:tc>
        <w:tc>
          <w:tcPr>
            <w:tcW w:w="134" w:type="pct"/>
            <w:vMerge w:val="continue"/>
            <w:vAlign w:val="center"/>
          </w:tcPr>
          <w:p w14:paraId="6B723275">
            <w:pPr>
              <w:widowControl/>
              <w:jc w:val="center"/>
              <w:rPr>
                <w:rFonts w:ascii="Times New Roman" w:hAnsi="Times New Roman" w:eastAsia="宋体" w:cs="Times New Roman"/>
                <w:kern w:val="0"/>
                <w:szCs w:val="21"/>
              </w:rPr>
            </w:pPr>
          </w:p>
        </w:tc>
      </w:tr>
      <w:tr w14:paraId="62CC1A1A">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7" w:type="pct"/>
            <w:vMerge w:val="continue"/>
            <w:vAlign w:val="center"/>
          </w:tcPr>
          <w:p w14:paraId="7653B4BA">
            <w:pPr>
              <w:widowControl/>
              <w:jc w:val="center"/>
              <w:rPr>
                <w:rFonts w:ascii="Times New Roman" w:hAnsi="Times New Roman" w:eastAsia="宋体" w:cs="Times New Roman"/>
                <w:kern w:val="0"/>
                <w:szCs w:val="21"/>
              </w:rPr>
            </w:pPr>
          </w:p>
        </w:tc>
        <w:tc>
          <w:tcPr>
            <w:tcW w:w="320" w:type="pct"/>
            <w:vMerge w:val="continue"/>
            <w:vAlign w:val="center"/>
          </w:tcPr>
          <w:p w14:paraId="364FA686">
            <w:pPr>
              <w:widowControl/>
              <w:jc w:val="center"/>
              <w:rPr>
                <w:rFonts w:ascii="Times New Roman" w:hAnsi="Times New Roman" w:eastAsia="宋体" w:cs="Times New Roman"/>
                <w:kern w:val="0"/>
                <w:szCs w:val="21"/>
              </w:rPr>
            </w:pPr>
          </w:p>
        </w:tc>
        <w:tc>
          <w:tcPr>
            <w:tcW w:w="145" w:type="pct"/>
            <w:vMerge w:val="continue"/>
            <w:vAlign w:val="center"/>
          </w:tcPr>
          <w:p w14:paraId="40908959">
            <w:pPr>
              <w:widowControl/>
              <w:jc w:val="center"/>
              <w:rPr>
                <w:rFonts w:ascii="Times New Roman" w:hAnsi="Times New Roman" w:eastAsia="宋体" w:cs="Times New Roman"/>
                <w:kern w:val="0"/>
                <w:szCs w:val="21"/>
              </w:rPr>
            </w:pPr>
          </w:p>
        </w:tc>
        <w:tc>
          <w:tcPr>
            <w:tcW w:w="189" w:type="pct"/>
            <w:shd w:val="clear" w:color="auto" w:fill="auto"/>
            <w:noWrap/>
            <w:vAlign w:val="center"/>
          </w:tcPr>
          <w:p w14:paraId="2F257D8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55</w:t>
            </w:r>
          </w:p>
        </w:tc>
        <w:tc>
          <w:tcPr>
            <w:tcW w:w="132" w:type="pct"/>
            <w:vMerge w:val="continue"/>
            <w:vAlign w:val="center"/>
          </w:tcPr>
          <w:p w14:paraId="3690AC2E">
            <w:pPr>
              <w:widowControl/>
              <w:jc w:val="center"/>
              <w:rPr>
                <w:rFonts w:ascii="Times New Roman" w:hAnsi="Times New Roman" w:eastAsia="宋体" w:cs="Times New Roman"/>
                <w:kern w:val="0"/>
                <w:szCs w:val="21"/>
              </w:rPr>
            </w:pPr>
          </w:p>
        </w:tc>
        <w:tc>
          <w:tcPr>
            <w:tcW w:w="232" w:type="pct"/>
            <w:vMerge w:val="continue"/>
            <w:vAlign w:val="center"/>
          </w:tcPr>
          <w:p w14:paraId="0A6A2E04">
            <w:pPr>
              <w:widowControl/>
              <w:jc w:val="center"/>
              <w:rPr>
                <w:rFonts w:ascii="Times New Roman" w:hAnsi="Times New Roman" w:eastAsia="宋体" w:cs="Times New Roman"/>
                <w:kern w:val="0"/>
                <w:szCs w:val="21"/>
              </w:rPr>
            </w:pPr>
          </w:p>
        </w:tc>
        <w:tc>
          <w:tcPr>
            <w:tcW w:w="147" w:type="pct"/>
            <w:vMerge w:val="continue"/>
            <w:vAlign w:val="center"/>
          </w:tcPr>
          <w:p w14:paraId="0A0C7BE7">
            <w:pPr>
              <w:widowControl/>
              <w:jc w:val="center"/>
              <w:rPr>
                <w:rFonts w:ascii="Times New Roman" w:hAnsi="Times New Roman" w:eastAsia="宋体" w:cs="Times New Roman"/>
                <w:kern w:val="0"/>
                <w:szCs w:val="21"/>
              </w:rPr>
            </w:pPr>
          </w:p>
        </w:tc>
        <w:tc>
          <w:tcPr>
            <w:tcW w:w="137" w:type="pct"/>
            <w:shd w:val="clear" w:color="auto" w:fill="auto"/>
            <w:vAlign w:val="center"/>
          </w:tcPr>
          <w:p w14:paraId="193A0B5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61.1</w:t>
            </w:r>
          </w:p>
        </w:tc>
        <w:tc>
          <w:tcPr>
            <w:tcW w:w="138" w:type="pct"/>
            <w:shd w:val="clear" w:color="auto" w:fill="auto"/>
            <w:vAlign w:val="center"/>
          </w:tcPr>
          <w:p w14:paraId="1B0E0A1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57.3</w:t>
            </w:r>
          </w:p>
        </w:tc>
        <w:tc>
          <w:tcPr>
            <w:tcW w:w="137" w:type="pct"/>
            <w:shd w:val="clear" w:color="auto" w:fill="auto"/>
            <w:vAlign w:val="center"/>
          </w:tcPr>
          <w:p w14:paraId="3372CBE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61.9</w:t>
            </w:r>
          </w:p>
        </w:tc>
        <w:tc>
          <w:tcPr>
            <w:tcW w:w="138" w:type="pct"/>
            <w:shd w:val="clear" w:color="auto" w:fill="auto"/>
            <w:vAlign w:val="center"/>
          </w:tcPr>
          <w:p w14:paraId="68A15FA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58.1</w:t>
            </w:r>
          </w:p>
        </w:tc>
        <w:tc>
          <w:tcPr>
            <w:tcW w:w="137" w:type="pct"/>
            <w:shd w:val="clear" w:color="auto" w:fill="auto"/>
            <w:vAlign w:val="center"/>
          </w:tcPr>
          <w:p w14:paraId="4C9A23C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60.8</w:t>
            </w:r>
          </w:p>
        </w:tc>
        <w:tc>
          <w:tcPr>
            <w:tcW w:w="140" w:type="pct"/>
            <w:shd w:val="clear" w:color="auto" w:fill="auto"/>
            <w:vAlign w:val="center"/>
          </w:tcPr>
          <w:p w14:paraId="0B3A1CB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58.8</w:t>
            </w:r>
          </w:p>
        </w:tc>
        <w:tc>
          <w:tcPr>
            <w:tcW w:w="137" w:type="pct"/>
            <w:shd w:val="clear" w:color="auto" w:fill="auto"/>
            <w:vAlign w:val="center"/>
          </w:tcPr>
          <w:p w14:paraId="2F1FA00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61.2</w:t>
            </w:r>
          </w:p>
        </w:tc>
        <w:tc>
          <w:tcPr>
            <w:tcW w:w="138" w:type="pct"/>
            <w:shd w:val="clear" w:color="auto" w:fill="auto"/>
            <w:vAlign w:val="center"/>
          </w:tcPr>
          <w:p w14:paraId="53023D3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57.3</w:t>
            </w:r>
          </w:p>
        </w:tc>
        <w:tc>
          <w:tcPr>
            <w:tcW w:w="137" w:type="pct"/>
            <w:shd w:val="clear" w:color="auto" w:fill="auto"/>
            <w:vAlign w:val="center"/>
          </w:tcPr>
          <w:p w14:paraId="3EFB2BC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62.0</w:t>
            </w:r>
          </w:p>
        </w:tc>
        <w:tc>
          <w:tcPr>
            <w:tcW w:w="139" w:type="pct"/>
            <w:shd w:val="clear" w:color="auto" w:fill="auto"/>
            <w:vAlign w:val="center"/>
          </w:tcPr>
          <w:p w14:paraId="5952AD2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58.1</w:t>
            </w:r>
          </w:p>
        </w:tc>
        <w:tc>
          <w:tcPr>
            <w:tcW w:w="137" w:type="pct"/>
            <w:shd w:val="clear" w:color="auto" w:fill="auto"/>
            <w:vAlign w:val="center"/>
          </w:tcPr>
          <w:p w14:paraId="0B4289E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60.9</w:t>
            </w:r>
          </w:p>
        </w:tc>
        <w:tc>
          <w:tcPr>
            <w:tcW w:w="139" w:type="pct"/>
            <w:shd w:val="clear" w:color="auto" w:fill="auto"/>
            <w:vAlign w:val="center"/>
          </w:tcPr>
          <w:p w14:paraId="63DD05A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58.8</w:t>
            </w:r>
          </w:p>
        </w:tc>
        <w:tc>
          <w:tcPr>
            <w:tcW w:w="137" w:type="pct"/>
            <w:shd w:val="clear" w:color="auto" w:fill="auto"/>
            <w:vAlign w:val="center"/>
          </w:tcPr>
          <w:p w14:paraId="21A4D78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1.2</w:t>
            </w:r>
          </w:p>
        </w:tc>
        <w:tc>
          <w:tcPr>
            <w:tcW w:w="138" w:type="pct"/>
            <w:shd w:val="clear" w:color="auto" w:fill="auto"/>
            <w:vAlign w:val="center"/>
          </w:tcPr>
          <w:p w14:paraId="338EA7C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7.3</w:t>
            </w:r>
          </w:p>
        </w:tc>
        <w:tc>
          <w:tcPr>
            <w:tcW w:w="137" w:type="pct"/>
            <w:shd w:val="clear" w:color="auto" w:fill="auto"/>
            <w:vAlign w:val="center"/>
          </w:tcPr>
          <w:p w14:paraId="7D124C9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2.0</w:t>
            </w:r>
          </w:p>
        </w:tc>
        <w:tc>
          <w:tcPr>
            <w:tcW w:w="139" w:type="pct"/>
            <w:shd w:val="clear" w:color="auto" w:fill="auto"/>
            <w:vAlign w:val="center"/>
          </w:tcPr>
          <w:p w14:paraId="159F35E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8.1</w:t>
            </w:r>
          </w:p>
        </w:tc>
        <w:tc>
          <w:tcPr>
            <w:tcW w:w="137" w:type="pct"/>
            <w:shd w:val="clear" w:color="auto" w:fill="auto"/>
            <w:vAlign w:val="center"/>
          </w:tcPr>
          <w:p w14:paraId="5CA3EA5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0.9</w:t>
            </w:r>
          </w:p>
        </w:tc>
        <w:tc>
          <w:tcPr>
            <w:tcW w:w="139" w:type="pct"/>
            <w:shd w:val="clear" w:color="auto" w:fill="auto"/>
            <w:vAlign w:val="center"/>
          </w:tcPr>
          <w:p w14:paraId="230B30A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8.8</w:t>
            </w:r>
          </w:p>
        </w:tc>
        <w:tc>
          <w:tcPr>
            <w:tcW w:w="137" w:type="pct"/>
            <w:shd w:val="clear" w:color="auto" w:fill="auto"/>
            <w:vAlign w:val="center"/>
          </w:tcPr>
          <w:p w14:paraId="53C4E4C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19.7</w:t>
            </w:r>
          </w:p>
        </w:tc>
        <w:tc>
          <w:tcPr>
            <w:tcW w:w="139" w:type="pct"/>
            <w:shd w:val="clear" w:color="auto" w:fill="auto"/>
            <w:vAlign w:val="center"/>
          </w:tcPr>
          <w:p w14:paraId="312E1DA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19.8</w:t>
            </w:r>
          </w:p>
        </w:tc>
        <w:tc>
          <w:tcPr>
            <w:tcW w:w="137" w:type="pct"/>
            <w:shd w:val="clear" w:color="auto" w:fill="auto"/>
            <w:vAlign w:val="center"/>
          </w:tcPr>
          <w:p w14:paraId="00A3822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20.5</w:t>
            </w:r>
          </w:p>
        </w:tc>
        <w:tc>
          <w:tcPr>
            <w:tcW w:w="138" w:type="pct"/>
            <w:shd w:val="clear" w:color="auto" w:fill="auto"/>
            <w:vAlign w:val="center"/>
          </w:tcPr>
          <w:p w14:paraId="49196BB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20.6</w:t>
            </w:r>
          </w:p>
        </w:tc>
        <w:tc>
          <w:tcPr>
            <w:tcW w:w="137" w:type="pct"/>
            <w:shd w:val="clear" w:color="auto" w:fill="auto"/>
            <w:vAlign w:val="center"/>
          </w:tcPr>
          <w:p w14:paraId="6D57213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19.4</w:t>
            </w:r>
          </w:p>
        </w:tc>
        <w:tc>
          <w:tcPr>
            <w:tcW w:w="139" w:type="pct"/>
            <w:shd w:val="clear" w:color="auto" w:fill="auto"/>
            <w:vAlign w:val="center"/>
          </w:tcPr>
          <w:p w14:paraId="02E8FDB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21.3</w:t>
            </w:r>
          </w:p>
        </w:tc>
        <w:tc>
          <w:tcPr>
            <w:tcW w:w="157" w:type="pct"/>
            <w:shd w:val="clear" w:color="auto" w:fill="auto"/>
            <w:vAlign w:val="center"/>
          </w:tcPr>
          <w:p w14:paraId="71E3FBE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w:t>
            </w:r>
            <w:r>
              <w:rPr>
                <w:rFonts w:ascii="Times New Roman" w:hAnsi="宋体" w:eastAsia="宋体" w:cs="Times New Roman"/>
                <w:kern w:val="0"/>
                <w:szCs w:val="21"/>
              </w:rPr>
              <w:t>类</w:t>
            </w:r>
          </w:p>
        </w:tc>
        <w:tc>
          <w:tcPr>
            <w:tcW w:w="134" w:type="pct"/>
            <w:vMerge w:val="continue"/>
            <w:vAlign w:val="center"/>
          </w:tcPr>
          <w:p w14:paraId="058C3CC4">
            <w:pPr>
              <w:widowControl/>
              <w:jc w:val="center"/>
              <w:rPr>
                <w:rFonts w:ascii="Times New Roman" w:hAnsi="Times New Roman" w:eastAsia="宋体" w:cs="Times New Roman"/>
                <w:kern w:val="0"/>
                <w:szCs w:val="21"/>
              </w:rPr>
            </w:pPr>
          </w:p>
        </w:tc>
        <w:tc>
          <w:tcPr>
            <w:tcW w:w="134" w:type="pct"/>
            <w:vMerge w:val="continue"/>
            <w:vAlign w:val="center"/>
          </w:tcPr>
          <w:p w14:paraId="0AD051D1">
            <w:pPr>
              <w:widowControl/>
              <w:jc w:val="center"/>
              <w:rPr>
                <w:rFonts w:ascii="Times New Roman" w:hAnsi="Times New Roman" w:eastAsia="宋体" w:cs="Times New Roman"/>
                <w:kern w:val="0"/>
                <w:szCs w:val="21"/>
              </w:rPr>
            </w:pPr>
          </w:p>
        </w:tc>
      </w:tr>
      <w:tr w14:paraId="4CAA7F34">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7" w:type="pct"/>
            <w:vMerge w:val="continue"/>
            <w:vAlign w:val="center"/>
          </w:tcPr>
          <w:p w14:paraId="4D40FF1C">
            <w:pPr>
              <w:widowControl/>
              <w:jc w:val="center"/>
              <w:rPr>
                <w:rFonts w:ascii="Times New Roman" w:hAnsi="Times New Roman" w:eastAsia="宋体" w:cs="Times New Roman"/>
                <w:kern w:val="0"/>
                <w:szCs w:val="21"/>
              </w:rPr>
            </w:pPr>
          </w:p>
        </w:tc>
        <w:tc>
          <w:tcPr>
            <w:tcW w:w="320" w:type="pct"/>
            <w:vMerge w:val="continue"/>
            <w:vAlign w:val="center"/>
          </w:tcPr>
          <w:p w14:paraId="2A4D959F">
            <w:pPr>
              <w:widowControl/>
              <w:jc w:val="center"/>
              <w:rPr>
                <w:rFonts w:ascii="Times New Roman" w:hAnsi="Times New Roman" w:eastAsia="宋体" w:cs="Times New Roman"/>
                <w:kern w:val="0"/>
                <w:szCs w:val="21"/>
              </w:rPr>
            </w:pPr>
          </w:p>
        </w:tc>
        <w:tc>
          <w:tcPr>
            <w:tcW w:w="145" w:type="pct"/>
            <w:vMerge w:val="restart"/>
            <w:shd w:val="clear" w:color="auto" w:fill="auto"/>
            <w:vAlign w:val="center"/>
          </w:tcPr>
          <w:p w14:paraId="37D167E2">
            <w:pPr>
              <w:widowControl/>
              <w:jc w:val="center"/>
              <w:rPr>
                <w:rFonts w:ascii="Times New Roman" w:hAnsi="Times New Roman" w:eastAsia="宋体" w:cs="Times New Roman"/>
                <w:kern w:val="0"/>
                <w:szCs w:val="21"/>
              </w:rPr>
            </w:pPr>
            <w:r>
              <w:rPr>
                <w:rFonts w:ascii="Times New Roman" w:hAnsi="宋体" w:eastAsia="宋体" w:cs="Times New Roman"/>
                <w:kern w:val="0"/>
                <w:szCs w:val="21"/>
              </w:rPr>
              <w:t>路左</w:t>
            </w:r>
          </w:p>
        </w:tc>
        <w:tc>
          <w:tcPr>
            <w:tcW w:w="189" w:type="pct"/>
            <w:shd w:val="clear" w:color="auto" w:fill="auto"/>
            <w:noWrap/>
            <w:vAlign w:val="center"/>
          </w:tcPr>
          <w:p w14:paraId="3B0BC38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30</w:t>
            </w:r>
          </w:p>
        </w:tc>
        <w:tc>
          <w:tcPr>
            <w:tcW w:w="132" w:type="pct"/>
            <w:vMerge w:val="continue"/>
            <w:vAlign w:val="center"/>
          </w:tcPr>
          <w:p w14:paraId="100190DF">
            <w:pPr>
              <w:widowControl/>
              <w:jc w:val="center"/>
              <w:rPr>
                <w:rFonts w:ascii="Times New Roman" w:hAnsi="Times New Roman" w:eastAsia="宋体" w:cs="Times New Roman"/>
                <w:kern w:val="0"/>
                <w:szCs w:val="21"/>
              </w:rPr>
            </w:pPr>
          </w:p>
        </w:tc>
        <w:tc>
          <w:tcPr>
            <w:tcW w:w="232" w:type="pct"/>
            <w:vMerge w:val="continue"/>
            <w:vAlign w:val="center"/>
          </w:tcPr>
          <w:p w14:paraId="6EA3CF97">
            <w:pPr>
              <w:widowControl/>
              <w:jc w:val="center"/>
              <w:rPr>
                <w:rFonts w:ascii="Times New Roman" w:hAnsi="Times New Roman" w:eastAsia="宋体" w:cs="Times New Roman"/>
                <w:kern w:val="0"/>
                <w:szCs w:val="21"/>
              </w:rPr>
            </w:pPr>
          </w:p>
        </w:tc>
        <w:tc>
          <w:tcPr>
            <w:tcW w:w="147" w:type="pct"/>
            <w:vMerge w:val="continue"/>
            <w:vAlign w:val="center"/>
          </w:tcPr>
          <w:p w14:paraId="0B5853AC">
            <w:pPr>
              <w:widowControl/>
              <w:jc w:val="center"/>
              <w:rPr>
                <w:rFonts w:ascii="Times New Roman" w:hAnsi="Times New Roman" w:eastAsia="宋体" w:cs="Times New Roman"/>
                <w:kern w:val="0"/>
                <w:szCs w:val="21"/>
              </w:rPr>
            </w:pPr>
          </w:p>
        </w:tc>
        <w:tc>
          <w:tcPr>
            <w:tcW w:w="137" w:type="pct"/>
            <w:shd w:val="clear" w:color="auto" w:fill="auto"/>
            <w:vAlign w:val="center"/>
          </w:tcPr>
          <w:p w14:paraId="2EE25F9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65.5</w:t>
            </w:r>
          </w:p>
        </w:tc>
        <w:tc>
          <w:tcPr>
            <w:tcW w:w="138" w:type="pct"/>
            <w:shd w:val="clear" w:color="auto" w:fill="auto"/>
            <w:vAlign w:val="center"/>
          </w:tcPr>
          <w:p w14:paraId="5A989C6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61.7</w:t>
            </w:r>
          </w:p>
        </w:tc>
        <w:tc>
          <w:tcPr>
            <w:tcW w:w="137" w:type="pct"/>
            <w:shd w:val="clear" w:color="auto" w:fill="auto"/>
            <w:vAlign w:val="center"/>
          </w:tcPr>
          <w:p w14:paraId="7C84C6A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66.3</w:t>
            </w:r>
          </w:p>
        </w:tc>
        <w:tc>
          <w:tcPr>
            <w:tcW w:w="138" w:type="pct"/>
            <w:shd w:val="clear" w:color="auto" w:fill="auto"/>
            <w:vAlign w:val="center"/>
          </w:tcPr>
          <w:p w14:paraId="6FE5FA1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62.5</w:t>
            </w:r>
          </w:p>
        </w:tc>
        <w:tc>
          <w:tcPr>
            <w:tcW w:w="137" w:type="pct"/>
            <w:shd w:val="clear" w:color="auto" w:fill="auto"/>
            <w:vAlign w:val="center"/>
          </w:tcPr>
          <w:p w14:paraId="729C3D7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65.2</w:t>
            </w:r>
          </w:p>
        </w:tc>
        <w:tc>
          <w:tcPr>
            <w:tcW w:w="140" w:type="pct"/>
            <w:shd w:val="clear" w:color="auto" w:fill="auto"/>
            <w:vAlign w:val="center"/>
          </w:tcPr>
          <w:p w14:paraId="0D9C46A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63.2</w:t>
            </w:r>
          </w:p>
        </w:tc>
        <w:tc>
          <w:tcPr>
            <w:tcW w:w="137" w:type="pct"/>
            <w:shd w:val="clear" w:color="auto" w:fill="auto"/>
            <w:vAlign w:val="center"/>
          </w:tcPr>
          <w:p w14:paraId="663E9F4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65.6</w:t>
            </w:r>
          </w:p>
        </w:tc>
        <w:tc>
          <w:tcPr>
            <w:tcW w:w="138" w:type="pct"/>
            <w:shd w:val="clear" w:color="auto" w:fill="auto"/>
            <w:vAlign w:val="center"/>
          </w:tcPr>
          <w:p w14:paraId="0B9EDC2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61.7</w:t>
            </w:r>
          </w:p>
        </w:tc>
        <w:tc>
          <w:tcPr>
            <w:tcW w:w="137" w:type="pct"/>
            <w:shd w:val="clear" w:color="auto" w:fill="auto"/>
            <w:vAlign w:val="center"/>
          </w:tcPr>
          <w:p w14:paraId="4D1D92F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66.3</w:t>
            </w:r>
          </w:p>
        </w:tc>
        <w:tc>
          <w:tcPr>
            <w:tcW w:w="139" w:type="pct"/>
            <w:shd w:val="clear" w:color="auto" w:fill="auto"/>
            <w:vAlign w:val="center"/>
          </w:tcPr>
          <w:p w14:paraId="5B073E3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62.5</w:t>
            </w:r>
          </w:p>
        </w:tc>
        <w:tc>
          <w:tcPr>
            <w:tcW w:w="137" w:type="pct"/>
            <w:shd w:val="clear" w:color="auto" w:fill="auto"/>
            <w:vAlign w:val="center"/>
          </w:tcPr>
          <w:p w14:paraId="4497F42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65.3</w:t>
            </w:r>
          </w:p>
        </w:tc>
        <w:tc>
          <w:tcPr>
            <w:tcW w:w="139" w:type="pct"/>
            <w:shd w:val="clear" w:color="auto" w:fill="auto"/>
            <w:vAlign w:val="center"/>
          </w:tcPr>
          <w:p w14:paraId="6386047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63.2</w:t>
            </w:r>
          </w:p>
        </w:tc>
        <w:tc>
          <w:tcPr>
            <w:tcW w:w="137" w:type="pct"/>
            <w:shd w:val="clear" w:color="auto" w:fill="auto"/>
            <w:vAlign w:val="center"/>
          </w:tcPr>
          <w:p w14:paraId="6678161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8" w:type="pct"/>
            <w:shd w:val="clear" w:color="auto" w:fill="auto"/>
            <w:vAlign w:val="center"/>
          </w:tcPr>
          <w:p w14:paraId="0976A4A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6.7</w:t>
            </w:r>
          </w:p>
        </w:tc>
        <w:tc>
          <w:tcPr>
            <w:tcW w:w="137" w:type="pct"/>
            <w:shd w:val="clear" w:color="auto" w:fill="auto"/>
            <w:vAlign w:val="center"/>
          </w:tcPr>
          <w:p w14:paraId="421B61E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shd w:val="clear" w:color="auto" w:fill="auto"/>
            <w:vAlign w:val="center"/>
          </w:tcPr>
          <w:p w14:paraId="376B9FF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7.5</w:t>
            </w:r>
          </w:p>
        </w:tc>
        <w:tc>
          <w:tcPr>
            <w:tcW w:w="137" w:type="pct"/>
            <w:shd w:val="clear" w:color="auto" w:fill="auto"/>
            <w:vAlign w:val="center"/>
          </w:tcPr>
          <w:p w14:paraId="201B538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shd w:val="clear" w:color="auto" w:fill="auto"/>
            <w:vAlign w:val="center"/>
          </w:tcPr>
          <w:p w14:paraId="5432C15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8.2</w:t>
            </w:r>
          </w:p>
        </w:tc>
        <w:tc>
          <w:tcPr>
            <w:tcW w:w="137" w:type="pct"/>
            <w:shd w:val="clear" w:color="auto" w:fill="auto"/>
            <w:vAlign w:val="center"/>
          </w:tcPr>
          <w:p w14:paraId="27201C2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24.1</w:t>
            </w:r>
          </w:p>
        </w:tc>
        <w:tc>
          <w:tcPr>
            <w:tcW w:w="139" w:type="pct"/>
            <w:shd w:val="clear" w:color="auto" w:fill="auto"/>
            <w:vAlign w:val="center"/>
          </w:tcPr>
          <w:p w14:paraId="41E7E19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24.2</w:t>
            </w:r>
          </w:p>
        </w:tc>
        <w:tc>
          <w:tcPr>
            <w:tcW w:w="137" w:type="pct"/>
            <w:shd w:val="clear" w:color="auto" w:fill="auto"/>
            <w:vAlign w:val="center"/>
          </w:tcPr>
          <w:p w14:paraId="4878E66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24.8</w:t>
            </w:r>
          </w:p>
        </w:tc>
        <w:tc>
          <w:tcPr>
            <w:tcW w:w="138" w:type="pct"/>
            <w:shd w:val="clear" w:color="auto" w:fill="auto"/>
            <w:vAlign w:val="center"/>
          </w:tcPr>
          <w:p w14:paraId="485DDA1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25.0</w:t>
            </w:r>
          </w:p>
        </w:tc>
        <w:tc>
          <w:tcPr>
            <w:tcW w:w="137" w:type="pct"/>
            <w:shd w:val="clear" w:color="auto" w:fill="auto"/>
            <w:vAlign w:val="center"/>
          </w:tcPr>
          <w:p w14:paraId="0C3771B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23.8</w:t>
            </w:r>
          </w:p>
        </w:tc>
        <w:tc>
          <w:tcPr>
            <w:tcW w:w="139" w:type="pct"/>
            <w:shd w:val="clear" w:color="auto" w:fill="auto"/>
            <w:vAlign w:val="center"/>
          </w:tcPr>
          <w:p w14:paraId="3CF7C8B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25.7</w:t>
            </w:r>
          </w:p>
        </w:tc>
        <w:tc>
          <w:tcPr>
            <w:tcW w:w="157" w:type="pct"/>
            <w:shd w:val="clear" w:color="auto" w:fill="auto"/>
            <w:vAlign w:val="center"/>
          </w:tcPr>
          <w:p w14:paraId="1ACBCC3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4a</w:t>
            </w:r>
            <w:r>
              <w:rPr>
                <w:rFonts w:ascii="Times New Roman" w:hAnsi="宋体" w:eastAsia="宋体" w:cs="Times New Roman"/>
                <w:kern w:val="0"/>
                <w:szCs w:val="21"/>
              </w:rPr>
              <w:t>类</w:t>
            </w:r>
          </w:p>
        </w:tc>
        <w:tc>
          <w:tcPr>
            <w:tcW w:w="134" w:type="pct"/>
            <w:vMerge w:val="continue"/>
            <w:vAlign w:val="center"/>
          </w:tcPr>
          <w:p w14:paraId="4194A1F8">
            <w:pPr>
              <w:widowControl/>
              <w:jc w:val="center"/>
              <w:rPr>
                <w:rFonts w:ascii="Times New Roman" w:hAnsi="Times New Roman" w:eastAsia="宋体" w:cs="Times New Roman"/>
                <w:kern w:val="0"/>
                <w:szCs w:val="21"/>
              </w:rPr>
            </w:pPr>
          </w:p>
        </w:tc>
        <w:tc>
          <w:tcPr>
            <w:tcW w:w="134" w:type="pct"/>
            <w:vMerge w:val="continue"/>
            <w:vAlign w:val="center"/>
          </w:tcPr>
          <w:p w14:paraId="06346519">
            <w:pPr>
              <w:widowControl/>
              <w:jc w:val="center"/>
              <w:rPr>
                <w:rFonts w:ascii="Times New Roman" w:hAnsi="Times New Roman" w:eastAsia="宋体" w:cs="Times New Roman"/>
                <w:kern w:val="0"/>
                <w:szCs w:val="21"/>
              </w:rPr>
            </w:pPr>
          </w:p>
        </w:tc>
      </w:tr>
      <w:tr w14:paraId="16F7ADF2">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7" w:type="pct"/>
            <w:vMerge w:val="continue"/>
            <w:vAlign w:val="center"/>
          </w:tcPr>
          <w:p w14:paraId="353C0E85">
            <w:pPr>
              <w:widowControl/>
              <w:jc w:val="center"/>
              <w:rPr>
                <w:rFonts w:ascii="Times New Roman" w:hAnsi="Times New Roman" w:eastAsia="宋体" w:cs="Times New Roman"/>
                <w:kern w:val="0"/>
                <w:szCs w:val="21"/>
              </w:rPr>
            </w:pPr>
          </w:p>
        </w:tc>
        <w:tc>
          <w:tcPr>
            <w:tcW w:w="320" w:type="pct"/>
            <w:vMerge w:val="continue"/>
            <w:vAlign w:val="center"/>
          </w:tcPr>
          <w:p w14:paraId="208958BD">
            <w:pPr>
              <w:widowControl/>
              <w:jc w:val="center"/>
              <w:rPr>
                <w:rFonts w:ascii="Times New Roman" w:hAnsi="Times New Roman" w:eastAsia="宋体" w:cs="Times New Roman"/>
                <w:kern w:val="0"/>
                <w:szCs w:val="21"/>
              </w:rPr>
            </w:pPr>
          </w:p>
        </w:tc>
        <w:tc>
          <w:tcPr>
            <w:tcW w:w="145" w:type="pct"/>
            <w:vMerge w:val="continue"/>
            <w:vAlign w:val="center"/>
          </w:tcPr>
          <w:p w14:paraId="02ED1941">
            <w:pPr>
              <w:widowControl/>
              <w:jc w:val="center"/>
              <w:rPr>
                <w:rFonts w:ascii="Times New Roman" w:hAnsi="Times New Roman" w:eastAsia="宋体" w:cs="Times New Roman"/>
                <w:kern w:val="0"/>
                <w:szCs w:val="21"/>
              </w:rPr>
            </w:pPr>
          </w:p>
        </w:tc>
        <w:tc>
          <w:tcPr>
            <w:tcW w:w="189" w:type="pct"/>
            <w:shd w:val="clear" w:color="auto" w:fill="auto"/>
            <w:noWrap/>
            <w:vAlign w:val="center"/>
          </w:tcPr>
          <w:p w14:paraId="5D402B8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w:t>
            </w:r>
          </w:p>
        </w:tc>
        <w:tc>
          <w:tcPr>
            <w:tcW w:w="132" w:type="pct"/>
            <w:vMerge w:val="continue"/>
            <w:vAlign w:val="center"/>
          </w:tcPr>
          <w:p w14:paraId="41B32CE7">
            <w:pPr>
              <w:widowControl/>
              <w:jc w:val="center"/>
              <w:rPr>
                <w:rFonts w:ascii="Times New Roman" w:hAnsi="Times New Roman" w:eastAsia="宋体" w:cs="Times New Roman"/>
                <w:kern w:val="0"/>
                <w:szCs w:val="21"/>
              </w:rPr>
            </w:pPr>
          </w:p>
        </w:tc>
        <w:tc>
          <w:tcPr>
            <w:tcW w:w="232" w:type="pct"/>
            <w:vMerge w:val="continue"/>
            <w:vAlign w:val="center"/>
          </w:tcPr>
          <w:p w14:paraId="4FF5B42C">
            <w:pPr>
              <w:widowControl/>
              <w:jc w:val="center"/>
              <w:rPr>
                <w:rFonts w:ascii="Times New Roman" w:hAnsi="Times New Roman" w:eastAsia="宋体" w:cs="Times New Roman"/>
                <w:kern w:val="0"/>
                <w:szCs w:val="21"/>
              </w:rPr>
            </w:pPr>
          </w:p>
        </w:tc>
        <w:tc>
          <w:tcPr>
            <w:tcW w:w="147" w:type="pct"/>
            <w:vMerge w:val="continue"/>
            <w:vAlign w:val="center"/>
          </w:tcPr>
          <w:p w14:paraId="00E1A238">
            <w:pPr>
              <w:widowControl/>
              <w:jc w:val="center"/>
              <w:rPr>
                <w:rFonts w:ascii="Times New Roman" w:hAnsi="Times New Roman" w:eastAsia="宋体" w:cs="Times New Roman"/>
                <w:kern w:val="0"/>
                <w:szCs w:val="21"/>
              </w:rPr>
            </w:pPr>
          </w:p>
        </w:tc>
        <w:tc>
          <w:tcPr>
            <w:tcW w:w="137" w:type="pct"/>
            <w:shd w:val="clear" w:color="auto" w:fill="auto"/>
            <w:vAlign w:val="center"/>
          </w:tcPr>
          <w:p w14:paraId="45FF023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60.8</w:t>
            </w:r>
          </w:p>
        </w:tc>
        <w:tc>
          <w:tcPr>
            <w:tcW w:w="138" w:type="pct"/>
            <w:shd w:val="clear" w:color="auto" w:fill="auto"/>
            <w:vAlign w:val="center"/>
          </w:tcPr>
          <w:p w14:paraId="215136D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56.9</w:t>
            </w:r>
          </w:p>
        </w:tc>
        <w:tc>
          <w:tcPr>
            <w:tcW w:w="137" w:type="pct"/>
            <w:shd w:val="clear" w:color="auto" w:fill="auto"/>
            <w:vAlign w:val="center"/>
          </w:tcPr>
          <w:p w14:paraId="47781AA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61.6</w:t>
            </w:r>
          </w:p>
        </w:tc>
        <w:tc>
          <w:tcPr>
            <w:tcW w:w="138" w:type="pct"/>
            <w:shd w:val="clear" w:color="auto" w:fill="auto"/>
            <w:vAlign w:val="center"/>
          </w:tcPr>
          <w:p w14:paraId="569687E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57.7</w:t>
            </w:r>
          </w:p>
        </w:tc>
        <w:tc>
          <w:tcPr>
            <w:tcW w:w="137" w:type="pct"/>
            <w:shd w:val="clear" w:color="auto" w:fill="auto"/>
            <w:vAlign w:val="center"/>
          </w:tcPr>
          <w:p w14:paraId="334394D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60.5</w:t>
            </w:r>
          </w:p>
        </w:tc>
        <w:tc>
          <w:tcPr>
            <w:tcW w:w="140" w:type="pct"/>
            <w:shd w:val="clear" w:color="auto" w:fill="auto"/>
            <w:vAlign w:val="center"/>
          </w:tcPr>
          <w:p w14:paraId="753B7CF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58.4</w:t>
            </w:r>
          </w:p>
        </w:tc>
        <w:tc>
          <w:tcPr>
            <w:tcW w:w="137" w:type="pct"/>
            <w:shd w:val="clear" w:color="auto" w:fill="auto"/>
            <w:vAlign w:val="center"/>
          </w:tcPr>
          <w:p w14:paraId="5B13CF0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60.8</w:t>
            </w:r>
          </w:p>
        </w:tc>
        <w:tc>
          <w:tcPr>
            <w:tcW w:w="138" w:type="pct"/>
            <w:shd w:val="clear" w:color="auto" w:fill="auto"/>
            <w:vAlign w:val="center"/>
          </w:tcPr>
          <w:p w14:paraId="0652197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57.0</w:t>
            </w:r>
          </w:p>
        </w:tc>
        <w:tc>
          <w:tcPr>
            <w:tcW w:w="137" w:type="pct"/>
            <w:shd w:val="clear" w:color="auto" w:fill="auto"/>
            <w:vAlign w:val="center"/>
          </w:tcPr>
          <w:p w14:paraId="0AF26F1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61.6</w:t>
            </w:r>
          </w:p>
        </w:tc>
        <w:tc>
          <w:tcPr>
            <w:tcW w:w="139" w:type="pct"/>
            <w:shd w:val="clear" w:color="auto" w:fill="auto"/>
            <w:vAlign w:val="center"/>
          </w:tcPr>
          <w:p w14:paraId="549AC25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57.7</w:t>
            </w:r>
          </w:p>
        </w:tc>
        <w:tc>
          <w:tcPr>
            <w:tcW w:w="137" w:type="pct"/>
            <w:shd w:val="clear" w:color="auto" w:fill="auto"/>
            <w:vAlign w:val="center"/>
          </w:tcPr>
          <w:p w14:paraId="7A2E71E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60.5</w:t>
            </w:r>
          </w:p>
        </w:tc>
        <w:tc>
          <w:tcPr>
            <w:tcW w:w="139" w:type="pct"/>
            <w:shd w:val="clear" w:color="auto" w:fill="auto"/>
            <w:vAlign w:val="center"/>
          </w:tcPr>
          <w:p w14:paraId="5CFDC3B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58.4</w:t>
            </w:r>
          </w:p>
        </w:tc>
        <w:tc>
          <w:tcPr>
            <w:tcW w:w="137" w:type="pct"/>
            <w:shd w:val="clear" w:color="auto" w:fill="auto"/>
            <w:vAlign w:val="center"/>
          </w:tcPr>
          <w:p w14:paraId="2B2DD71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0.8</w:t>
            </w:r>
          </w:p>
        </w:tc>
        <w:tc>
          <w:tcPr>
            <w:tcW w:w="138" w:type="pct"/>
            <w:shd w:val="clear" w:color="auto" w:fill="auto"/>
            <w:vAlign w:val="center"/>
          </w:tcPr>
          <w:p w14:paraId="7E1F7FD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7.0</w:t>
            </w:r>
          </w:p>
        </w:tc>
        <w:tc>
          <w:tcPr>
            <w:tcW w:w="137" w:type="pct"/>
            <w:shd w:val="clear" w:color="auto" w:fill="auto"/>
            <w:vAlign w:val="center"/>
          </w:tcPr>
          <w:p w14:paraId="75310CB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1.6</w:t>
            </w:r>
          </w:p>
        </w:tc>
        <w:tc>
          <w:tcPr>
            <w:tcW w:w="139" w:type="pct"/>
            <w:shd w:val="clear" w:color="auto" w:fill="auto"/>
            <w:vAlign w:val="center"/>
          </w:tcPr>
          <w:p w14:paraId="304A1E0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7.7</w:t>
            </w:r>
          </w:p>
        </w:tc>
        <w:tc>
          <w:tcPr>
            <w:tcW w:w="137" w:type="pct"/>
            <w:shd w:val="clear" w:color="auto" w:fill="auto"/>
            <w:vAlign w:val="center"/>
          </w:tcPr>
          <w:p w14:paraId="2ADE07F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0.5</w:t>
            </w:r>
          </w:p>
        </w:tc>
        <w:tc>
          <w:tcPr>
            <w:tcW w:w="139" w:type="pct"/>
            <w:shd w:val="clear" w:color="auto" w:fill="auto"/>
            <w:vAlign w:val="center"/>
          </w:tcPr>
          <w:p w14:paraId="21D6A23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8.4</w:t>
            </w:r>
          </w:p>
        </w:tc>
        <w:tc>
          <w:tcPr>
            <w:tcW w:w="137" w:type="pct"/>
            <w:shd w:val="clear" w:color="auto" w:fill="auto"/>
            <w:vAlign w:val="center"/>
          </w:tcPr>
          <w:p w14:paraId="2BB430F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19.3</w:t>
            </w:r>
          </w:p>
        </w:tc>
        <w:tc>
          <w:tcPr>
            <w:tcW w:w="139" w:type="pct"/>
            <w:shd w:val="clear" w:color="auto" w:fill="auto"/>
            <w:vAlign w:val="center"/>
          </w:tcPr>
          <w:p w14:paraId="22DB01E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19.5</w:t>
            </w:r>
          </w:p>
        </w:tc>
        <w:tc>
          <w:tcPr>
            <w:tcW w:w="137" w:type="pct"/>
            <w:shd w:val="clear" w:color="auto" w:fill="auto"/>
            <w:vAlign w:val="center"/>
          </w:tcPr>
          <w:p w14:paraId="3ACD44F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20.1</w:t>
            </w:r>
          </w:p>
        </w:tc>
        <w:tc>
          <w:tcPr>
            <w:tcW w:w="138" w:type="pct"/>
            <w:shd w:val="clear" w:color="auto" w:fill="auto"/>
            <w:vAlign w:val="center"/>
          </w:tcPr>
          <w:p w14:paraId="483A2C4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20.2</w:t>
            </w:r>
          </w:p>
        </w:tc>
        <w:tc>
          <w:tcPr>
            <w:tcW w:w="137" w:type="pct"/>
            <w:shd w:val="clear" w:color="auto" w:fill="auto"/>
            <w:vAlign w:val="center"/>
          </w:tcPr>
          <w:p w14:paraId="4EAF0C0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19.0</w:t>
            </w:r>
          </w:p>
        </w:tc>
        <w:tc>
          <w:tcPr>
            <w:tcW w:w="139" w:type="pct"/>
            <w:shd w:val="clear" w:color="auto" w:fill="auto"/>
            <w:vAlign w:val="center"/>
          </w:tcPr>
          <w:p w14:paraId="6C86DC3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20.9</w:t>
            </w:r>
          </w:p>
        </w:tc>
        <w:tc>
          <w:tcPr>
            <w:tcW w:w="157" w:type="pct"/>
            <w:shd w:val="clear" w:color="auto" w:fill="auto"/>
            <w:vAlign w:val="center"/>
          </w:tcPr>
          <w:p w14:paraId="71E5446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w:t>
            </w:r>
            <w:r>
              <w:rPr>
                <w:rFonts w:ascii="Times New Roman" w:hAnsi="宋体" w:eastAsia="宋体" w:cs="Times New Roman"/>
                <w:kern w:val="0"/>
                <w:szCs w:val="21"/>
              </w:rPr>
              <w:t>类</w:t>
            </w:r>
          </w:p>
        </w:tc>
        <w:tc>
          <w:tcPr>
            <w:tcW w:w="134" w:type="pct"/>
            <w:vMerge w:val="continue"/>
            <w:vAlign w:val="center"/>
          </w:tcPr>
          <w:p w14:paraId="2F95C4FF">
            <w:pPr>
              <w:widowControl/>
              <w:jc w:val="center"/>
              <w:rPr>
                <w:rFonts w:ascii="Times New Roman" w:hAnsi="Times New Roman" w:eastAsia="宋体" w:cs="Times New Roman"/>
                <w:kern w:val="0"/>
                <w:szCs w:val="21"/>
              </w:rPr>
            </w:pPr>
          </w:p>
        </w:tc>
        <w:tc>
          <w:tcPr>
            <w:tcW w:w="134" w:type="pct"/>
            <w:vMerge w:val="continue"/>
            <w:vAlign w:val="center"/>
          </w:tcPr>
          <w:p w14:paraId="15CE0E99">
            <w:pPr>
              <w:widowControl/>
              <w:jc w:val="center"/>
              <w:rPr>
                <w:rFonts w:ascii="Times New Roman" w:hAnsi="Times New Roman" w:eastAsia="宋体" w:cs="Times New Roman"/>
                <w:kern w:val="0"/>
                <w:szCs w:val="21"/>
              </w:rPr>
            </w:pPr>
          </w:p>
        </w:tc>
      </w:tr>
      <w:tr w14:paraId="286C6F6F">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7" w:type="pct"/>
            <w:vMerge w:val="restart"/>
            <w:shd w:val="clear" w:color="auto" w:fill="auto"/>
            <w:vAlign w:val="center"/>
          </w:tcPr>
          <w:p w14:paraId="497C7CC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w:t>
            </w:r>
          </w:p>
        </w:tc>
        <w:tc>
          <w:tcPr>
            <w:tcW w:w="320" w:type="pct"/>
            <w:vMerge w:val="restart"/>
            <w:shd w:val="clear" w:color="auto" w:fill="auto"/>
            <w:vAlign w:val="center"/>
          </w:tcPr>
          <w:p w14:paraId="6D52C812">
            <w:pPr>
              <w:widowControl/>
              <w:jc w:val="center"/>
              <w:rPr>
                <w:rFonts w:ascii="Times New Roman" w:hAnsi="Times New Roman" w:eastAsia="宋体" w:cs="Times New Roman"/>
                <w:kern w:val="0"/>
                <w:szCs w:val="21"/>
              </w:rPr>
            </w:pPr>
            <w:r>
              <w:rPr>
                <w:rFonts w:ascii="Times New Roman" w:hAnsi="宋体" w:eastAsia="宋体" w:cs="Times New Roman"/>
                <w:kern w:val="0"/>
                <w:szCs w:val="21"/>
              </w:rPr>
              <w:t>格达良乡卫生院</w:t>
            </w:r>
          </w:p>
        </w:tc>
        <w:tc>
          <w:tcPr>
            <w:tcW w:w="145" w:type="pct"/>
            <w:vMerge w:val="restart"/>
            <w:shd w:val="clear" w:color="auto" w:fill="auto"/>
            <w:vAlign w:val="center"/>
          </w:tcPr>
          <w:p w14:paraId="2AD2CA81">
            <w:pPr>
              <w:widowControl/>
              <w:jc w:val="center"/>
              <w:rPr>
                <w:rFonts w:ascii="Times New Roman" w:hAnsi="Times New Roman" w:eastAsia="宋体" w:cs="Times New Roman"/>
                <w:kern w:val="0"/>
                <w:szCs w:val="21"/>
              </w:rPr>
            </w:pPr>
            <w:r>
              <w:rPr>
                <w:rFonts w:ascii="Times New Roman" w:hAnsi="宋体" w:eastAsia="宋体" w:cs="Times New Roman"/>
                <w:kern w:val="0"/>
                <w:szCs w:val="21"/>
              </w:rPr>
              <w:t>路左</w:t>
            </w:r>
          </w:p>
        </w:tc>
        <w:tc>
          <w:tcPr>
            <w:tcW w:w="189" w:type="pct"/>
            <w:shd w:val="clear" w:color="auto" w:fill="auto"/>
            <w:noWrap/>
            <w:vAlign w:val="center"/>
          </w:tcPr>
          <w:p w14:paraId="4F63782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67</w:t>
            </w:r>
          </w:p>
        </w:tc>
        <w:tc>
          <w:tcPr>
            <w:tcW w:w="132" w:type="pct"/>
            <w:vMerge w:val="restart"/>
            <w:shd w:val="clear" w:color="auto" w:fill="auto"/>
            <w:vAlign w:val="center"/>
          </w:tcPr>
          <w:p w14:paraId="68062E2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w:t>
            </w:r>
          </w:p>
        </w:tc>
        <w:tc>
          <w:tcPr>
            <w:tcW w:w="232" w:type="pct"/>
            <w:vMerge w:val="restart"/>
            <w:shd w:val="clear" w:color="auto" w:fill="auto"/>
            <w:vAlign w:val="center"/>
          </w:tcPr>
          <w:p w14:paraId="7E29DEF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0</w:t>
            </w:r>
          </w:p>
        </w:tc>
        <w:tc>
          <w:tcPr>
            <w:tcW w:w="147" w:type="pct"/>
            <w:shd w:val="clear" w:color="auto" w:fill="auto"/>
            <w:vAlign w:val="center"/>
          </w:tcPr>
          <w:p w14:paraId="7FDDB90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w:t>
            </w:r>
            <w:r>
              <w:rPr>
                <w:rFonts w:ascii="Times New Roman" w:hAnsi="宋体" w:eastAsia="宋体" w:cs="Times New Roman"/>
                <w:kern w:val="0"/>
                <w:szCs w:val="21"/>
              </w:rPr>
              <w:t>层</w:t>
            </w:r>
          </w:p>
        </w:tc>
        <w:tc>
          <w:tcPr>
            <w:tcW w:w="137" w:type="pct"/>
            <w:shd w:val="clear" w:color="auto" w:fill="auto"/>
            <w:vAlign w:val="center"/>
          </w:tcPr>
          <w:p w14:paraId="17216E4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56.0</w:t>
            </w:r>
          </w:p>
        </w:tc>
        <w:tc>
          <w:tcPr>
            <w:tcW w:w="138" w:type="pct"/>
            <w:shd w:val="clear" w:color="auto" w:fill="auto"/>
            <w:vAlign w:val="center"/>
          </w:tcPr>
          <w:p w14:paraId="0137DD1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52.1</w:t>
            </w:r>
          </w:p>
        </w:tc>
        <w:tc>
          <w:tcPr>
            <w:tcW w:w="137" w:type="pct"/>
            <w:shd w:val="clear" w:color="auto" w:fill="auto"/>
            <w:vAlign w:val="center"/>
          </w:tcPr>
          <w:p w14:paraId="1786496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56.8</w:t>
            </w:r>
          </w:p>
        </w:tc>
        <w:tc>
          <w:tcPr>
            <w:tcW w:w="138" w:type="pct"/>
            <w:shd w:val="clear" w:color="auto" w:fill="auto"/>
            <w:vAlign w:val="center"/>
          </w:tcPr>
          <w:p w14:paraId="25F5329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52.9</w:t>
            </w:r>
          </w:p>
        </w:tc>
        <w:tc>
          <w:tcPr>
            <w:tcW w:w="137" w:type="pct"/>
            <w:shd w:val="clear" w:color="auto" w:fill="auto"/>
            <w:vAlign w:val="center"/>
          </w:tcPr>
          <w:p w14:paraId="2B35458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55.7</w:t>
            </w:r>
          </w:p>
        </w:tc>
        <w:tc>
          <w:tcPr>
            <w:tcW w:w="140" w:type="pct"/>
            <w:shd w:val="clear" w:color="auto" w:fill="auto"/>
            <w:vAlign w:val="center"/>
          </w:tcPr>
          <w:p w14:paraId="4BA8D8A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53.6</w:t>
            </w:r>
          </w:p>
        </w:tc>
        <w:tc>
          <w:tcPr>
            <w:tcW w:w="137" w:type="pct"/>
            <w:shd w:val="clear" w:color="auto" w:fill="auto"/>
            <w:vAlign w:val="center"/>
          </w:tcPr>
          <w:p w14:paraId="0A41673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56.1</w:t>
            </w:r>
          </w:p>
        </w:tc>
        <w:tc>
          <w:tcPr>
            <w:tcW w:w="138" w:type="pct"/>
            <w:shd w:val="clear" w:color="auto" w:fill="auto"/>
            <w:vAlign w:val="center"/>
          </w:tcPr>
          <w:p w14:paraId="161C0FE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52.3</w:t>
            </w:r>
          </w:p>
        </w:tc>
        <w:tc>
          <w:tcPr>
            <w:tcW w:w="137" w:type="pct"/>
            <w:shd w:val="clear" w:color="auto" w:fill="auto"/>
            <w:vAlign w:val="center"/>
          </w:tcPr>
          <w:p w14:paraId="1CA7899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56.9</w:t>
            </w:r>
          </w:p>
        </w:tc>
        <w:tc>
          <w:tcPr>
            <w:tcW w:w="139" w:type="pct"/>
            <w:shd w:val="clear" w:color="auto" w:fill="auto"/>
            <w:vAlign w:val="center"/>
          </w:tcPr>
          <w:p w14:paraId="4AB1382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53.0</w:t>
            </w:r>
          </w:p>
        </w:tc>
        <w:tc>
          <w:tcPr>
            <w:tcW w:w="137" w:type="pct"/>
            <w:shd w:val="clear" w:color="auto" w:fill="auto"/>
            <w:vAlign w:val="center"/>
          </w:tcPr>
          <w:p w14:paraId="5DD8CB0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55.8</w:t>
            </w:r>
          </w:p>
        </w:tc>
        <w:tc>
          <w:tcPr>
            <w:tcW w:w="139" w:type="pct"/>
            <w:shd w:val="clear" w:color="auto" w:fill="auto"/>
            <w:vAlign w:val="center"/>
          </w:tcPr>
          <w:p w14:paraId="57AE79F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53.7</w:t>
            </w:r>
          </w:p>
        </w:tc>
        <w:tc>
          <w:tcPr>
            <w:tcW w:w="137" w:type="pct"/>
            <w:shd w:val="clear" w:color="auto" w:fill="auto"/>
            <w:vAlign w:val="center"/>
          </w:tcPr>
          <w:p w14:paraId="059F892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8" w:type="pct"/>
            <w:shd w:val="clear" w:color="auto" w:fill="auto"/>
            <w:vAlign w:val="center"/>
          </w:tcPr>
          <w:p w14:paraId="1E01556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2.3</w:t>
            </w:r>
          </w:p>
        </w:tc>
        <w:tc>
          <w:tcPr>
            <w:tcW w:w="137" w:type="pct"/>
            <w:shd w:val="clear" w:color="auto" w:fill="auto"/>
            <w:vAlign w:val="center"/>
          </w:tcPr>
          <w:p w14:paraId="40F750A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shd w:val="clear" w:color="auto" w:fill="auto"/>
            <w:vAlign w:val="center"/>
          </w:tcPr>
          <w:p w14:paraId="15F986C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3.0</w:t>
            </w:r>
          </w:p>
        </w:tc>
        <w:tc>
          <w:tcPr>
            <w:tcW w:w="137" w:type="pct"/>
            <w:shd w:val="clear" w:color="auto" w:fill="auto"/>
            <w:vAlign w:val="center"/>
          </w:tcPr>
          <w:p w14:paraId="2B13E01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shd w:val="clear" w:color="auto" w:fill="auto"/>
            <w:vAlign w:val="center"/>
          </w:tcPr>
          <w:p w14:paraId="6487535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w:t>
            </w:r>
          </w:p>
        </w:tc>
        <w:tc>
          <w:tcPr>
            <w:tcW w:w="137" w:type="pct"/>
            <w:shd w:val="clear" w:color="auto" w:fill="auto"/>
            <w:vAlign w:val="center"/>
          </w:tcPr>
          <w:p w14:paraId="5640758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14.6</w:t>
            </w:r>
          </w:p>
        </w:tc>
        <w:tc>
          <w:tcPr>
            <w:tcW w:w="139" w:type="pct"/>
            <w:shd w:val="clear" w:color="auto" w:fill="auto"/>
            <w:vAlign w:val="center"/>
          </w:tcPr>
          <w:p w14:paraId="7AD0239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14.8</w:t>
            </w:r>
          </w:p>
        </w:tc>
        <w:tc>
          <w:tcPr>
            <w:tcW w:w="137" w:type="pct"/>
            <w:shd w:val="clear" w:color="auto" w:fill="auto"/>
            <w:vAlign w:val="center"/>
          </w:tcPr>
          <w:p w14:paraId="20719D3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15.4</w:t>
            </w:r>
          </w:p>
        </w:tc>
        <w:tc>
          <w:tcPr>
            <w:tcW w:w="138" w:type="pct"/>
            <w:shd w:val="clear" w:color="auto" w:fill="auto"/>
            <w:vAlign w:val="center"/>
          </w:tcPr>
          <w:p w14:paraId="2E4DFA7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15.5</w:t>
            </w:r>
          </w:p>
        </w:tc>
        <w:tc>
          <w:tcPr>
            <w:tcW w:w="137" w:type="pct"/>
            <w:shd w:val="clear" w:color="auto" w:fill="auto"/>
            <w:vAlign w:val="center"/>
          </w:tcPr>
          <w:p w14:paraId="5D9B0B5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14.3</w:t>
            </w:r>
          </w:p>
        </w:tc>
        <w:tc>
          <w:tcPr>
            <w:tcW w:w="139" w:type="pct"/>
            <w:shd w:val="clear" w:color="auto" w:fill="auto"/>
            <w:vAlign w:val="center"/>
          </w:tcPr>
          <w:p w14:paraId="0F29F78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16.2</w:t>
            </w:r>
          </w:p>
        </w:tc>
        <w:tc>
          <w:tcPr>
            <w:tcW w:w="157" w:type="pct"/>
            <w:vMerge w:val="restart"/>
            <w:shd w:val="clear" w:color="auto" w:fill="auto"/>
            <w:vAlign w:val="center"/>
          </w:tcPr>
          <w:p w14:paraId="7D89526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w:t>
            </w:r>
            <w:r>
              <w:rPr>
                <w:rFonts w:ascii="Times New Roman" w:hAnsi="宋体" w:eastAsia="宋体" w:cs="Times New Roman"/>
                <w:kern w:val="0"/>
                <w:szCs w:val="21"/>
              </w:rPr>
              <w:t>类</w:t>
            </w:r>
          </w:p>
        </w:tc>
        <w:tc>
          <w:tcPr>
            <w:tcW w:w="134" w:type="pct"/>
            <w:vMerge w:val="restart"/>
            <w:shd w:val="clear" w:color="auto" w:fill="auto"/>
            <w:vAlign w:val="center"/>
          </w:tcPr>
          <w:p w14:paraId="0CD3453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41.5</w:t>
            </w:r>
          </w:p>
        </w:tc>
        <w:tc>
          <w:tcPr>
            <w:tcW w:w="134" w:type="pct"/>
            <w:vMerge w:val="restart"/>
            <w:shd w:val="clear" w:color="auto" w:fill="auto"/>
            <w:vAlign w:val="center"/>
          </w:tcPr>
          <w:p w14:paraId="1A994E0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37.5</w:t>
            </w:r>
          </w:p>
        </w:tc>
      </w:tr>
      <w:tr w14:paraId="671ADB79">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7" w:type="pct"/>
            <w:vMerge w:val="continue"/>
            <w:vAlign w:val="center"/>
          </w:tcPr>
          <w:p w14:paraId="46022814">
            <w:pPr>
              <w:widowControl/>
              <w:jc w:val="center"/>
              <w:rPr>
                <w:rFonts w:ascii="Times New Roman" w:hAnsi="Times New Roman" w:eastAsia="宋体" w:cs="Times New Roman"/>
                <w:kern w:val="0"/>
                <w:szCs w:val="21"/>
              </w:rPr>
            </w:pPr>
          </w:p>
        </w:tc>
        <w:tc>
          <w:tcPr>
            <w:tcW w:w="320" w:type="pct"/>
            <w:vMerge w:val="continue"/>
            <w:vAlign w:val="center"/>
          </w:tcPr>
          <w:p w14:paraId="3EA9FFF0">
            <w:pPr>
              <w:widowControl/>
              <w:jc w:val="center"/>
              <w:rPr>
                <w:rFonts w:ascii="Times New Roman" w:hAnsi="Times New Roman" w:eastAsia="宋体" w:cs="Times New Roman"/>
                <w:kern w:val="0"/>
                <w:szCs w:val="21"/>
              </w:rPr>
            </w:pPr>
          </w:p>
        </w:tc>
        <w:tc>
          <w:tcPr>
            <w:tcW w:w="145" w:type="pct"/>
            <w:vMerge w:val="continue"/>
            <w:vAlign w:val="center"/>
          </w:tcPr>
          <w:p w14:paraId="7636C544">
            <w:pPr>
              <w:widowControl/>
              <w:jc w:val="center"/>
              <w:rPr>
                <w:rFonts w:ascii="Times New Roman" w:hAnsi="Times New Roman" w:eastAsia="宋体" w:cs="Times New Roman"/>
                <w:kern w:val="0"/>
                <w:szCs w:val="21"/>
              </w:rPr>
            </w:pPr>
          </w:p>
        </w:tc>
        <w:tc>
          <w:tcPr>
            <w:tcW w:w="189" w:type="pct"/>
            <w:vMerge w:val="restart"/>
            <w:shd w:val="clear" w:color="auto" w:fill="auto"/>
            <w:noWrap/>
            <w:vAlign w:val="center"/>
          </w:tcPr>
          <w:p w14:paraId="092FCA8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95</w:t>
            </w:r>
          </w:p>
        </w:tc>
        <w:tc>
          <w:tcPr>
            <w:tcW w:w="132" w:type="pct"/>
            <w:vMerge w:val="continue"/>
            <w:vAlign w:val="center"/>
          </w:tcPr>
          <w:p w14:paraId="2500CE1D">
            <w:pPr>
              <w:widowControl/>
              <w:jc w:val="center"/>
              <w:rPr>
                <w:rFonts w:ascii="Times New Roman" w:hAnsi="Times New Roman" w:eastAsia="宋体" w:cs="Times New Roman"/>
                <w:kern w:val="0"/>
                <w:szCs w:val="21"/>
              </w:rPr>
            </w:pPr>
          </w:p>
        </w:tc>
        <w:tc>
          <w:tcPr>
            <w:tcW w:w="232" w:type="pct"/>
            <w:vMerge w:val="continue"/>
            <w:vAlign w:val="center"/>
          </w:tcPr>
          <w:p w14:paraId="138FEFE4">
            <w:pPr>
              <w:widowControl/>
              <w:jc w:val="center"/>
              <w:rPr>
                <w:rFonts w:ascii="Times New Roman" w:hAnsi="Times New Roman" w:eastAsia="宋体" w:cs="Times New Roman"/>
                <w:kern w:val="0"/>
                <w:szCs w:val="21"/>
              </w:rPr>
            </w:pPr>
          </w:p>
        </w:tc>
        <w:tc>
          <w:tcPr>
            <w:tcW w:w="147" w:type="pct"/>
            <w:shd w:val="clear" w:color="auto" w:fill="auto"/>
            <w:vAlign w:val="center"/>
          </w:tcPr>
          <w:p w14:paraId="5C7AA48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w:t>
            </w:r>
            <w:r>
              <w:rPr>
                <w:rFonts w:ascii="Times New Roman" w:hAnsi="宋体" w:eastAsia="宋体" w:cs="Times New Roman"/>
                <w:kern w:val="0"/>
                <w:szCs w:val="21"/>
              </w:rPr>
              <w:t>层</w:t>
            </w:r>
          </w:p>
        </w:tc>
        <w:tc>
          <w:tcPr>
            <w:tcW w:w="137" w:type="pct"/>
            <w:shd w:val="clear" w:color="auto" w:fill="auto"/>
            <w:vAlign w:val="center"/>
          </w:tcPr>
          <w:p w14:paraId="2E94CDD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54.0</w:t>
            </w:r>
          </w:p>
        </w:tc>
        <w:tc>
          <w:tcPr>
            <w:tcW w:w="138" w:type="pct"/>
            <w:shd w:val="clear" w:color="auto" w:fill="auto"/>
            <w:vAlign w:val="center"/>
          </w:tcPr>
          <w:p w14:paraId="3433A64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50.1</w:t>
            </w:r>
          </w:p>
        </w:tc>
        <w:tc>
          <w:tcPr>
            <w:tcW w:w="137" w:type="pct"/>
            <w:shd w:val="clear" w:color="auto" w:fill="auto"/>
            <w:vAlign w:val="center"/>
          </w:tcPr>
          <w:p w14:paraId="1392B79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54.8</w:t>
            </w:r>
          </w:p>
        </w:tc>
        <w:tc>
          <w:tcPr>
            <w:tcW w:w="138" w:type="pct"/>
            <w:shd w:val="clear" w:color="auto" w:fill="auto"/>
            <w:vAlign w:val="center"/>
          </w:tcPr>
          <w:p w14:paraId="0F21829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50.9</w:t>
            </w:r>
          </w:p>
        </w:tc>
        <w:tc>
          <w:tcPr>
            <w:tcW w:w="137" w:type="pct"/>
            <w:shd w:val="clear" w:color="auto" w:fill="auto"/>
            <w:vAlign w:val="center"/>
          </w:tcPr>
          <w:p w14:paraId="61C69B0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53.7</w:t>
            </w:r>
          </w:p>
        </w:tc>
        <w:tc>
          <w:tcPr>
            <w:tcW w:w="140" w:type="pct"/>
            <w:shd w:val="clear" w:color="auto" w:fill="auto"/>
            <w:vAlign w:val="center"/>
          </w:tcPr>
          <w:p w14:paraId="056F798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51.6</w:t>
            </w:r>
          </w:p>
        </w:tc>
        <w:tc>
          <w:tcPr>
            <w:tcW w:w="137" w:type="pct"/>
            <w:shd w:val="clear" w:color="auto" w:fill="auto"/>
            <w:vAlign w:val="center"/>
          </w:tcPr>
          <w:p w14:paraId="5D6F066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54.2</w:t>
            </w:r>
          </w:p>
        </w:tc>
        <w:tc>
          <w:tcPr>
            <w:tcW w:w="138" w:type="pct"/>
            <w:shd w:val="clear" w:color="auto" w:fill="auto"/>
            <w:vAlign w:val="center"/>
          </w:tcPr>
          <w:p w14:paraId="0247CA9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50.3</w:t>
            </w:r>
          </w:p>
        </w:tc>
        <w:tc>
          <w:tcPr>
            <w:tcW w:w="137" w:type="pct"/>
            <w:shd w:val="clear" w:color="auto" w:fill="auto"/>
            <w:vAlign w:val="center"/>
          </w:tcPr>
          <w:p w14:paraId="0D5C01D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55.0</w:t>
            </w:r>
          </w:p>
        </w:tc>
        <w:tc>
          <w:tcPr>
            <w:tcW w:w="139" w:type="pct"/>
            <w:shd w:val="clear" w:color="auto" w:fill="auto"/>
            <w:vAlign w:val="center"/>
          </w:tcPr>
          <w:p w14:paraId="74A76DC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51.1</w:t>
            </w:r>
          </w:p>
        </w:tc>
        <w:tc>
          <w:tcPr>
            <w:tcW w:w="137" w:type="pct"/>
            <w:shd w:val="clear" w:color="auto" w:fill="auto"/>
            <w:vAlign w:val="center"/>
          </w:tcPr>
          <w:p w14:paraId="12A43DF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53.9</w:t>
            </w:r>
          </w:p>
        </w:tc>
        <w:tc>
          <w:tcPr>
            <w:tcW w:w="139" w:type="pct"/>
            <w:shd w:val="clear" w:color="auto" w:fill="auto"/>
            <w:vAlign w:val="center"/>
          </w:tcPr>
          <w:p w14:paraId="08EB704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51.8</w:t>
            </w:r>
          </w:p>
        </w:tc>
        <w:tc>
          <w:tcPr>
            <w:tcW w:w="137" w:type="pct"/>
            <w:shd w:val="clear" w:color="auto" w:fill="auto"/>
            <w:vAlign w:val="center"/>
          </w:tcPr>
          <w:p w14:paraId="298EF66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8" w:type="pct"/>
            <w:shd w:val="clear" w:color="auto" w:fill="auto"/>
            <w:vAlign w:val="center"/>
          </w:tcPr>
          <w:p w14:paraId="780B705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0.3</w:t>
            </w:r>
          </w:p>
        </w:tc>
        <w:tc>
          <w:tcPr>
            <w:tcW w:w="137" w:type="pct"/>
            <w:shd w:val="clear" w:color="auto" w:fill="auto"/>
            <w:vAlign w:val="center"/>
          </w:tcPr>
          <w:p w14:paraId="66E3727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shd w:val="clear" w:color="auto" w:fill="auto"/>
            <w:vAlign w:val="center"/>
          </w:tcPr>
          <w:p w14:paraId="39CB39C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1.1</w:t>
            </w:r>
          </w:p>
        </w:tc>
        <w:tc>
          <w:tcPr>
            <w:tcW w:w="137" w:type="pct"/>
            <w:shd w:val="clear" w:color="auto" w:fill="auto"/>
            <w:vAlign w:val="center"/>
          </w:tcPr>
          <w:p w14:paraId="557BA78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shd w:val="clear" w:color="auto" w:fill="auto"/>
            <w:vAlign w:val="center"/>
          </w:tcPr>
          <w:p w14:paraId="42685CA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1.8</w:t>
            </w:r>
          </w:p>
        </w:tc>
        <w:tc>
          <w:tcPr>
            <w:tcW w:w="137" w:type="pct"/>
            <w:shd w:val="clear" w:color="auto" w:fill="auto"/>
            <w:vAlign w:val="center"/>
          </w:tcPr>
          <w:p w14:paraId="4D2A4C2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12.7</w:t>
            </w:r>
          </w:p>
        </w:tc>
        <w:tc>
          <w:tcPr>
            <w:tcW w:w="139" w:type="pct"/>
            <w:shd w:val="clear" w:color="auto" w:fill="auto"/>
            <w:vAlign w:val="center"/>
          </w:tcPr>
          <w:p w14:paraId="301E7DE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12.8</w:t>
            </w:r>
          </w:p>
        </w:tc>
        <w:tc>
          <w:tcPr>
            <w:tcW w:w="137" w:type="pct"/>
            <w:shd w:val="clear" w:color="auto" w:fill="auto"/>
            <w:vAlign w:val="center"/>
          </w:tcPr>
          <w:p w14:paraId="79EBD45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13.5</w:t>
            </w:r>
          </w:p>
        </w:tc>
        <w:tc>
          <w:tcPr>
            <w:tcW w:w="138" w:type="pct"/>
            <w:shd w:val="clear" w:color="auto" w:fill="auto"/>
            <w:vAlign w:val="center"/>
          </w:tcPr>
          <w:p w14:paraId="5103BBB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13.6</w:t>
            </w:r>
          </w:p>
        </w:tc>
        <w:tc>
          <w:tcPr>
            <w:tcW w:w="137" w:type="pct"/>
            <w:shd w:val="clear" w:color="auto" w:fill="auto"/>
            <w:vAlign w:val="center"/>
          </w:tcPr>
          <w:p w14:paraId="52BC358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12.4</w:t>
            </w:r>
          </w:p>
        </w:tc>
        <w:tc>
          <w:tcPr>
            <w:tcW w:w="139" w:type="pct"/>
            <w:shd w:val="clear" w:color="auto" w:fill="auto"/>
            <w:vAlign w:val="center"/>
          </w:tcPr>
          <w:p w14:paraId="7BA09B8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14.3</w:t>
            </w:r>
          </w:p>
        </w:tc>
        <w:tc>
          <w:tcPr>
            <w:tcW w:w="157" w:type="pct"/>
            <w:vMerge w:val="continue"/>
            <w:vAlign w:val="center"/>
          </w:tcPr>
          <w:p w14:paraId="6DA6DD27">
            <w:pPr>
              <w:widowControl/>
              <w:jc w:val="center"/>
              <w:rPr>
                <w:rFonts w:ascii="Times New Roman" w:hAnsi="Times New Roman" w:eastAsia="宋体" w:cs="Times New Roman"/>
                <w:kern w:val="0"/>
                <w:szCs w:val="21"/>
              </w:rPr>
            </w:pPr>
          </w:p>
        </w:tc>
        <w:tc>
          <w:tcPr>
            <w:tcW w:w="134" w:type="pct"/>
            <w:vMerge w:val="continue"/>
            <w:vAlign w:val="center"/>
          </w:tcPr>
          <w:p w14:paraId="0F657FAE">
            <w:pPr>
              <w:widowControl/>
              <w:jc w:val="center"/>
              <w:rPr>
                <w:rFonts w:ascii="Times New Roman" w:hAnsi="Times New Roman" w:eastAsia="宋体" w:cs="Times New Roman"/>
                <w:kern w:val="0"/>
                <w:szCs w:val="21"/>
              </w:rPr>
            </w:pPr>
          </w:p>
        </w:tc>
        <w:tc>
          <w:tcPr>
            <w:tcW w:w="134" w:type="pct"/>
            <w:vMerge w:val="continue"/>
            <w:vAlign w:val="center"/>
          </w:tcPr>
          <w:p w14:paraId="6F4F5D5C">
            <w:pPr>
              <w:widowControl/>
              <w:jc w:val="center"/>
              <w:rPr>
                <w:rFonts w:ascii="Times New Roman" w:hAnsi="Times New Roman" w:eastAsia="宋体" w:cs="Times New Roman"/>
                <w:kern w:val="0"/>
                <w:szCs w:val="21"/>
              </w:rPr>
            </w:pPr>
          </w:p>
        </w:tc>
      </w:tr>
      <w:tr w14:paraId="7D94886C">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7" w:type="pct"/>
            <w:vMerge w:val="continue"/>
            <w:vAlign w:val="center"/>
          </w:tcPr>
          <w:p w14:paraId="596BECAC">
            <w:pPr>
              <w:widowControl/>
              <w:jc w:val="center"/>
              <w:rPr>
                <w:rFonts w:ascii="Times New Roman" w:hAnsi="Times New Roman" w:eastAsia="宋体" w:cs="Times New Roman"/>
                <w:kern w:val="0"/>
                <w:szCs w:val="21"/>
              </w:rPr>
            </w:pPr>
          </w:p>
        </w:tc>
        <w:tc>
          <w:tcPr>
            <w:tcW w:w="320" w:type="pct"/>
            <w:vMerge w:val="continue"/>
            <w:vAlign w:val="center"/>
          </w:tcPr>
          <w:p w14:paraId="74413776">
            <w:pPr>
              <w:widowControl/>
              <w:jc w:val="center"/>
              <w:rPr>
                <w:rFonts w:ascii="Times New Roman" w:hAnsi="Times New Roman" w:eastAsia="宋体" w:cs="Times New Roman"/>
                <w:kern w:val="0"/>
                <w:szCs w:val="21"/>
              </w:rPr>
            </w:pPr>
          </w:p>
        </w:tc>
        <w:tc>
          <w:tcPr>
            <w:tcW w:w="145" w:type="pct"/>
            <w:vMerge w:val="continue"/>
            <w:vAlign w:val="center"/>
          </w:tcPr>
          <w:p w14:paraId="223122C8">
            <w:pPr>
              <w:widowControl/>
              <w:jc w:val="center"/>
              <w:rPr>
                <w:rFonts w:ascii="Times New Roman" w:hAnsi="Times New Roman" w:eastAsia="宋体" w:cs="Times New Roman"/>
                <w:kern w:val="0"/>
                <w:szCs w:val="21"/>
              </w:rPr>
            </w:pPr>
          </w:p>
        </w:tc>
        <w:tc>
          <w:tcPr>
            <w:tcW w:w="189" w:type="pct"/>
            <w:vMerge w:val="continue"/>
            <w:vAlign w:val="center"/>
          </w:tcPr>
          <w:p w14:paraId="63E4EAB7">
            <w:pPr>
              <w:widowControl/>
              <w:jc w:val="center"/>
              <w:rPr>
                <w:rFonts w:ascii="Times New Roman" w:hAnsi="Times New Roman" w:eastAsia="宋体" w:cs="Times New Roman"/>
                <w:kern w:val="0"/>
                <w:szCs w:val="21"/>
              </w:rPr>
            </w:pPr>
          </w:p>
        </w:tc>
        <w:tc>
          <w:tcPr>
            <w:tcW w:w="132" w:type="pct"/>
            <w:vMerge w:val="continue"/>
            <w:vAlign w:val="center"/>
          </w:tcPr>
          <w:p w14:paraId="00CE9184">
            <w:pPr>
              <w:widowControl/>
              <w:jc w:val="center"/>
              <w:rPr>
                <w:rFonts w:ascii="Times New Roman" w:hAnsi="Times New Roman" w:eastAsia="宋体" w:cs="Times New Roman"/>
                <w:kern w:val="0"/>
                <w:szCs w:val="21"/>
              </w:rPr>
            </w:pPr>
          </w:p>
        </w:tc>
        <w:tc>
          <w:tcPr>
            <w:tcW w:w="232" w:type="pct"/>
            <w:vMerge w:val="continue"/>
            <w:vAlign w:val="center"/>
          </w:tcPr>
          <w:p w14:paraId="42E09DD4">
            <w:pPr>
              <w:widowControl/>
              <w:jc w:val="center"/>
              <w:rPr>
                <w:rFonts w:ascii="Times New Roman" w:hAnsi="Times New Roman" w:eastAsia="宋体" w:cs="Times New Roman"/>
                <w:kern w:val="0"/>
                <w:szCs w:val="21"/>
              </w:rPr>
            </w:pPr>
          </w:p>
        </w:tc>
        <w:tc>
          <w:tcPr>
            <w:tcW w:w="147" w:type="pct"/>
            <w:shd w:val="clear" w:color="auto" w:fill="auto"/>
            <w:vAlign w:val="center"/>
          </w:tcPr>
          <w:p w14:paraId="51C6CCA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w:t>
            </w:r>
            <w:r>
              <w:rPr>
                <w:rFonts w:ascii="Times New Roman" w:hAnsi="宋体" w:eastAsia="宋体" w:cs="Times New Roman"/>
                <w:kern w:val="0"/>
                <w:szCs w:val="21"/>
              </w:rPr>
              <w:t>层</w:t>
            </w:r>
          </w:p>
        </w:tc>
        <w:tc>
          <w:tcPr>
            <w:tcW w:w="137" w:type="pct"/>
            <w:shd w:val="clear" w:color="auto" w:fill="auto"/>
            <w:vAlign w:val="center"/>
          </w:tcPr>
          <w:p w14:paraId="19108D5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59.1</w:t>
            </w:r>
          </w:p>
        </w:tc>
        <w:tc>
          <w:tcPr>
            <w:tcW w:w="138" w:type="pct"/>
            <w:shd w:val="clear" w:color="auto" w:fill="auto"/>
            <w:vAlign w:val="center"/>
          </w:tcPr>
          <w:p w14:paraId="05157B0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55.2</w:t>
            </w:r>
          </w:p>
        </w:tc>
        <w:tc>
          <w:tcPr>
            <w:tcW w:w="137" w:type="pct"/>
            <w:shd w:val="clear" w:color="auto" w:fill="auto"/>
            <w:vAlign w:val="center"/>
          </w:tcPr>
          <w:p w14:paraId="091E85D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59.9</w:t>
            </w:r>
          </w:p>
        </w:tc>
        <w:tc>
          <w:tcPr>
            <w:tcW w:w="138" w:type="pct"/>
            <w:shd w:val="clear" w:color="auto" w:fill="auto"/>
            <w:vAlign w:val="center"/>
          </w:tcPr>
          <w:p w14:paraId="15BAC5E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56.0</w:t>
            </w:r>
          </w:p>
        </w:tc>
        <w:tc>
          <w:tcPr>
            <w:tcW w:w="137" w:type="pct"/>
            <w:shd w:val="clear" w:color="auto" w:fill="auto"/>
            <w:vAlign w:val="center"/>
          </w:tcPr>
          <w:p w14:paraId="72E40EF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58.8</w:t>
            </w:r>
          </w:p>
        </w:tc>
        <w:tc>
          <w:tcPr>
            <w:tcW w:w="140" w:type="pct"/>
            <w:shd w:val="clear" w:color="auto" w:fill="auto"/>
            <w:vAlign w:val="center"/>
          </w:tcPr>
          <w:p w14:paraId="064DE49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56.7</w:t>
            </w:r>
          </w:p>
        </w:tc>
        <w:tc>
          <w:tcPr>
            <w:tcW w:w="137" w:type="pct"/>
            <w:shd w:val="clear" w:color="auto" w:fill="auto"/>
            <w:vAlign w:val="center"/>
          </w:tcPr>
          <w:p w14:paraId="75D321A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59.2</w:t>
            </w:r>
          </w:p>
        </w:tc>
        <w:tc>
          <w:tcPr>
            <w:tcW w:w="138" w:type="pct"/>
            <w:shd w:val="clear" w:color="auto" w:fill="auto"/>
            <w:vAlign w:val="center"/>
          </w:tcPr>
          <w:p w14:paraId="4109FF7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55.3</w:t>
            </w:r>
          </w:p>
        </w:tc>
        <w:tc>
          <w:tcPr>
            <w:tcW w:w="137" w:type="pct"/>
            <w:shd w:val="clear" w:color="auto" w:fill="auto"/>
            <w:vAlign w:val="center"/>
          </w:tcPr>
          <w:p w14:paraId="372D71D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60.0</w:t>
            </w:r>
          </w:p>
        </w:tc>
        <w:tc>
          <w:tcPr>
            <w:tcW w:w="139" w:type="pct"/>
            <w:shd w:val="clear" w:color="auto" w:fill="auto"/>
            <w:vAlign w:val="center"/>
          </w:tcPr>
          <w:p w14:paraId="3E7F9B5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56.1</w:t>
            </w:r>
          </w:p>
        </w:tc>
        <w:tc>
          <w:tcPr>
            <w:tcW w:w="137" w:type="pct"/>
            <w:shd w:val="clear" w:color="auto" w:fill="auto"/>
            <w:vAlign w:val="center"/>
          </w:tcPr>
          <w:p w14:paraId="4771914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58.9</w:t>
            </w:r>
          </w:p>
        </w:tc>
        <w:tc>
          <w:tcPr>
            <w:tcW w:w="139" w:type="pct"/>
            <w:shd w:val="clear" w:color="auto" w:fill="auto"/>
            <w:vAlign w:val="center"/>
          </w:tcPr>
          <w:p w14:paraId="0ADBE9D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56.8</w:t>
            </w:r>
          </w:p>
        </w:tc>
        <w:tc>
          <w:tcPr>
            <w:tcW w:w="137" w:type="pct"/>
            <w:shd w:val="clear" w:color="auto" w:fill="auto"/>
            <w:vAlign w:val="center"/>
          </w:tcPr>
          <w:p w14:paraId="0AEDE05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8" w:type="pct"/>
            <w:shd w:val="clear" w:color="auto" w:fill="auto"/>
            <w:vAlign w:val="center"/>
          </w:tcPr>
          <w:p w14:paraId="4B78282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5.3</w:t>
            </w:r>
          </w:p>
        </w:tc>
        <w:tc>
          <w:tcPr>
            <w:tcW w:w="137" w:type="pct"/>
            <w:shd w:val="clear" w:color="auto" w:fill="auto"/>
            <w:vAlign w:val="center"/>
          </w:tcPr>
          <w:p w14:paraId="166A005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shd w:val="clear" w:color="auto" w:fill="auto"/>
            <w:vAlign w:val="center"/>
          </w:tcPr>
          <w:p w14:paraId="3887D94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6.1</w:t>
            </w:r>
          </w:p>
        </w:tc>
        <w:tc>
          <w:tcPr>
            <w:tcW w:w="137" w:type="pct"/>
            <w:shd w:val="clear" w:color="auto" w:fill="auto"/>
            <w:vAlign w:val="center"/>
          </w:tcPr>
          <w:p w14:paraId="777C431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shd w:val="clear" w:color="auto" w:fill="auto"/>
            <w:vAlign w:val="center"/>
          </w:tcPr>
          <w:p w14:paraId="18EBCF9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6.8</w:t>
            </w:r>
          </w:p>
        </w:tc>
        <w:tc>
          <w:tcPr>
            <w:tcW w:w="137" w:type="pct"/>
            <w:shd w:val="clear" w:color="auto" w:fill="auto"/>
            <w:vAlign w:val="center"/>
          </w:tcPr>
          <w:p w14:paraId="1FEDFF5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17.7</w:t>
            </w:r>
          </w:p>
        </w:tc>
        <w:tc>
          <w:tcPr>
            <w:tcW w:w="139" w:type="pct"/>
            <w:shd w:val="clear" w:color="auto" w:fill="auto"/>
            <w:vAlign w:val="center"/>
          </w:tcPr>
          <w:p w14:paraId="7F0FB32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17.8</w:t>
            </w:r>
          </w:p>
        </w:tc>
        <w:tc>
          <w:tcPr>
            <w:tcW w:w="137" w:type="pct"/>
            <w:shd w:val="clear" w:color="auto" w:fill="auto"/>
            <w:vAlign w:val="center"/>
          </w:tcPr>
          <w:p w14:paraId="6541A2D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18.5</w:t>
            </w:r>
          </w:p>
        </w:tc>
        <w:tc>
          <w:tcPr>
            <w:tcW w:w="138" w:type="pct"/>
            <w:shd w:val="clear" w:color="auto" w:fill="auto"/>
            <w:vAlign w:val="center"/>
          </w:tcPr>
          <w:p w14:paraId="5EA7DB3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18.6</w:t>
            </w:r>
          </w:p>
        </w:tc>
        <w:tc>
          <w:tcPr>
            <w:tcW w:w="137" w:type="pct"/>
            <w:shd w:val="clear" w:color="auto" w:fill="auto"/>
            <w:vAlign w:val="center"/>
          </w:tcPr>
          <w:p w14:paraId="1603784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17.4</w:t>
            </w:r>
          </w:p>
        </w:tc>
        <w:tc>
          <w:tcPr>
            <w:tcW w:w="139" w:type="pct"/>
            <w:shd w:val="clear" w:color="auto" w:fill="auto"/>
            <w:vAlign w:val="center"/>
          </w:tcPr>
          <w:p w14:paraId="6120DA5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19.3</w:t>
            </w:r>
          </w:p>
        </w:tc>
        <w:tc>
          <w:tcPr>
            <w:tcW w:w="157" w:type="pct"/>
            <w:vMerge w:val="continue"/>
            <w:vAlign w:val="center"/>
          </w:tcPr>
          <w:p w14:paraId="315DA407">
            <w:pPr>
              <w:widowControl/>
              <w:jc w:val="center"/>
              <w:rPr>
                <w:rFonts w:ascii="Times New Roman" w:hAnsi="Times New Roman" w:eastAsia="宋体" w:cs="Times New Roman"/>
                <w:kern w:val="0"/>
                <w:szCs w:val="21"/>
              </w:rPr>
            </w:pPr>
          </w:p>
        </w:tc>
        <w:tc>
          <w:tcPr>
            <w:tcW w:w="134" w:type="pct"/>
            <w:vMerge w:val="continue"/>
            <w:vAlign w:val="center"/>
          </w:tcPr>
          <w:p w14:paraId="25D7E411">
            <w:pPr>
              <w:widowControl/>
              <w:jc w:val="center"/>
              <w:rPr>
                <w:rFonts w:ascii="Times New Roman" w:hAnsi="Times New Roman" w:eastAsia="宋体" w:cs="Times New Roman"/>
                <w:kern w:val="0"/>
                <w:szCs w:val="21"/>
              </w:rPr>
            </w:pPr>
          </w:p>
        </w:tc>
        <w:tc>
          <w:tcPr>
            <w:tcW w:w="134" w:type="pct"/>
            <w:vMerge w:val="continue"/>
            <w:vAlign w:val="center"/>
          </w:tcPr>
          <w:p w14:paraId="62EF168B">
            <w:pPr>
              <w:widowControl/>
              <w:jc w:val="center"/>
              <w:rPr>
                <w:rFonts w:ascii="Times New Roman" w:hAnsi="Times New Roman" w:eastAsia="宋体" w:cs="Times New Roman"/>
                <w:kern w:val="0"/>
                <w:szCs w:val="21"/>
              </w:rPr>
            </w:pPr>
          </w:p>
        </w:tc>
      </w:tr>
      <w:tr w14:paraId="73E54C45">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7" w:type="pct"/>
            <w:vMerge w:val="continue"/>
            <w:vAlign w:val="center"/>
          </w:tcPr>
          <w:p w14:paraId="658BFCA0">
            <w:pPr>
              <w:widowControl/>
              <w:jc w:val="center"/>
              <w:rPr>
                <w:rFonts w:ascii="Times New Roman" w:hAnsi="Times New Roman" w:eastAsia="宋体" w:cs="Times New Roman"/>
                <w:kern w:val="0"/>
                <w:szCs w:val="21"/>
              </w:rPr>
            </w:pPr>
          </w:p>
        </w:tc>
        <w:tc>
          <w:tcPr>
            <w:tcW w:w="320" w:type="pct"/>
            <w:vMerge w:val="continue"/>
            <w:vAlign w:val="center"/>
          </w:tcPr>
          <w:p w14:paraId="79208A08">
            <w:pPr>
              <w:widowControl/>
              <w:jc w:val="center"/>
              <w:rPr>
                <w:rFonts w:ascii="Times New Roman" w:hAnsi="Times New Roman" w:eastAsia="宋体" w:cs="Times New Roman"/>
                <w:kern w:val="0"/>
                <w:szCs w:val="21"/>
              </w:rPr>
            </w:pPr>
          </w:p>
        </w:tc>
        <w:tc>
          <w:tcPr>
            <w:tcW w:w="145" w:type="pct"/>
            <w:vMerge w:val="continue"/>
            <w:vAlign w:val="center"/>
          </w:tcPr>
          <w:p w14:paraId="41B23526">
            <w:pPr>
              <w:widowControl/>
              <w:jc w:val="center"/>
              <w:rPr>
                <w:rFonts w:ascii="Times New Roman" w:hAnsi="Times New Roman" w:eastAsia="宋体" w:cs="Times New Roman"/>
                <w:kern w:val="0"/>
                <w:szCs w:val="21"/>
              </w:rPr>
            </w:pPr>
          </w:p>
        </w:tc>
        <w:tc>
          <w:tcPr>
            <w:tcW w:w="189" w:type="pct"/>
            <w:shd w:val="clear" w:color="auto" w:fill="auto"/>
            <w:noWrap/>
            <w:vAlign w:val="center"/>
          </w:tcPr>
          <w:p w14:paraId="5E3AEBB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160</w:t>
            </w:r>
          </w:p>
        </w:tc>
        <w:tc>
          <w:tcPr>
            <w:tcW w:w="132" w:type="pct"/>
            <w:vMerge w:val="continue"/>
            <w:vAlign w:val="center"/>
          </w:tcPr>
          <w:p w14:paraId="4E53CE18">
            <w:pPr>
              <w:widowControl/>
              <w:jc w:val="center"/>
              <w:rPr>
                <w:rFonts w:ascii="Times New Roman" w:hAnsi="Times New Roman" w:eastAsia="宋体" w:cs="Times New Roman"/>
                <w:kern w:val="0"/>
                <w:szCs w:val="21"/>
              </w:rPr>
            </w:pPr>
          </w:p>
        </w:tc>
        <w:tc>
          <w:tcPr>
            <w:tcW w:w="232" w:type="pct"/>
            <w:vMerge w:val="continue"/>
            <w:vAlign w:val="center"/>
          </w:tcPr>
          <w:p w14:paraId="2BA7BFFE">
            <w:pPr>
              <w:widowControl/>
              <w:jc w:val="center"/>
              <w:rPr>
                <w:rFonts w:ascii="Times New Roman" w:hAnsi="Times New Roman" w:eastAsia="宋体" w:cs="Times New Roman"/>
                <w:kern w:val="0"/>
                <w:szCs w:val="21"/>
              </w:rPr>
            </w:pPr>
          </w:p>
        </w:tc>
        <w:tc>
          <w:tcPr>
            <w:tcW w:w="147" w:type="pct"/>
            <w:shd w:val="clear" w:color="auto" w:fill="auto"/>
            <w:vAlign w:val="center"/>
          </w:tcPr>
          <w:p w14:paraId="0D616FA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w:t>
            </w:r>
            <w:r>
              <w:rPr>
                <w:rFonts w:ascii="Times New Roman" w:hAnsi="宋体" w:eastAsia="宋体" w:cs="Times New Roman"/>
                <w:kern w:val="0"/>
                <w:szCs w:val="21"/>
              </w:rPr>
              <w:t>层</w:t>
            </w:r>
          </w:p>
        </w:tc>
        <w:tc>
          <w:tcPr>
            <w:tcW w:w="137" w:type="pct"/>
            <w:shd w:val="clear" w:color="auto" w:fill="auto"/>
            <w:vAlign w:val="center"/>
          </w:tcPr>
          <w:p w14:paraId="0D6B192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50.6</w:t>
            </w:r>
          </w:p>
        </w:tc>
        <w:tc>
          <w:tcPr>
            <w:tcW w:w="138" w:type="pct"/>
            <w:shd w:val="clear" w:color="auto" w:fill="auto"/>
            <w:vAlign w:val="center"/>
          </w:tcPr>
          <w:p w14:paraId="67F6748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46.8</w:t>
            </w:r>
          </w:p>
        </w:tc>
        <w:tc>
          <w:tcPr>
            <w:tcW w:w="137" w:type="pct"/>
            <w:shd w:val="clear" w:color="auto" w:fill="auto"/>
            <w:vAlign w:val="center"/>
          </w:tcPr>
          <w:p w14:paraId="4812980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51.4</w:t>
            </w:r>
          </w:p>
        </w:tc>
        <w:tc>
          <w:tcPr>
            <w:tcW w:w="138" w:type="pct"/>
            <w:shd w:val="clear" w:color="auto" w:fill="auto"/>
            <w:vAlign w:val="center"/>
          </w:tcPr>
          <w:p w14:paraId="047A56E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47.5</w:t>
            </w:r>
          </w:p>
        </w:tc>
        <w:tc>
          <w:tcPr>
            <w:tcW w:w="137" w:type="pct"/>
            <w:shd w:val="clear" w:color="auto" w:fill="auto"/>
            <w:vAlign w:val="center"/>
          </w:tcPr>
          <w:p w14:paraId="34FA1F7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50.3</w:t>
            </w:r>
          </w:p>
        </w:tc>
        <w:tc>
          <w:tcPr>
            <w:tcW w:w="140" w:type="pct"/>
            <w:shd w:val="clear" w:color="auto" w:fill="auto"/>
            <w:vAlign w:val="center"/>
          </w:tcPr>
          <w:p w14:paraId="0C3CF92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48.3</w:t>
            </w:r>
          </w:p>
        </w:tc>
        <w:tc>
          <w:tcPr>
            <w:tcW w:w="137" w:type="pct"/>
            <w:shd w:val="clear" w:color="auto" w:fill="auto"/>
            <w:vAlign w:val="center"/>
          </w:tcPr>
          <w:p w14:paraId="6F17CDC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51.1</w:t>
            </w:r>
          </w:p>
        </w:tc>
        <w:tc>
          <w:tcPr>
            <w:tcW w:w="138" w:type="pct"/>
            <w:shd w:val="clear" w:color="auto" w:fill="auto"/>
            <w:vAlign w:val="center"/>
          </w:tcPr>
          <w:p w14:paraId="4AF20BE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47.2</w:t>
            </w:r>
          </w:p>
        </w:tc>
        <w:tc>
          <w:tcPr>
            <w:tcW w:w="137" w:type="pct"/>
            <w:shd w:val="clear" w:color="auto" w:fill="auto"/>
            <w:vAlign w:val="center"/>
          </w:tcPr>
          <w:p w14:paraId="3BCF569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51.8</w:t>
            </w:r>
          </w:p>
        </w:tc>
        <w:tc>
          <w:tcPr>
            <w:tcW w:w="139" w:type="pct"/>
            <w:shd w:val="clear" w:color="auto" w:fill="auto"/>
            <w:vAlign w:val="center"/>
          </w:tcPr>
          <w:p w14:paraId="6264BB1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48.0</w:t>
            </w:r>
          </w:p>
        </w:tc>
        <w:tc>
          <w:tcPr>
            <w:tcW w:w="137" w:type="pct"/>
            <w:shd w:val="clear" w:color="auto" w:fill="auto"/>
            <w:vAlign w:val="center"/>
          </w:tcPr>
          <w:p w14:paraId="440A069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50.9</w:t>
            </w:r>
          </w:p>
        </w:tc>
        <w:tc>
          <w:tcPr>
            <w:tcW w:w="139" w:type="pct"/>
            <w:shd w:val="clear" w:color="auto" w:fill="auto"/>
            <w:vAlign w:val="center"/>
          </w:tcPr>
          <w:p w14:paraId="3143A3A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48.6</w:t>
            </w:r>
          </w:p>
        </w:tc>
        <w:tc>
          <w:tcPr>
            <w:tcW w:w="137" w:type="pct"/>
            <w:shd w:val="clear" w:color="auto" w:fill="auto"/>
            <w:vAlign w:val="center"/>
          </w:tcPr>
          <w:p w14:paraId="6E3D050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8" w:type="pct"/>
            <w:shd w:val="clear" w:color="auto" w:fill="auto"/>
            <w:vAlign w:val="center"/>
          </w:tcPr>
          <w:p w14:paraId="7ABB32D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7" w:type="pct"/>
            <w:shd w:val="clear" w:color="auto" w:fill="auto"/>
            <w:vAlign w:val="center"/>
          </w:tcPr>
          <w:p w14:paraId="07DAC9E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shd w:val="clear" w:color="auto" w:fill="auto"/>
            <w:vAlign w:val="center"/>
          </w:tcPr>
          <w:p w14:paraId="5583669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7" w:type="pct"/>
            <w:shd w:val="clear" w:color="auto" w:fill="auto"/>
            <w:vAlign w:val="center"/>
          </w:tcPr>
          <w:p w14:paraId="4B97F1F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shd w:val="clear" w:color="auto" w:fill="auto"/>
            <w:vAlign w:val="center"/>
          </w:tcPr>
          <w:p w14:paraId="6E01BE1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7" w:type="pct"/>
            <w:shd w:val="clear" w:color="auto" w:fill="auto"/>
            <w:vAlign w:val="center"/>
          </w:tcPr>
          <w:p w14:paraId="3BB182C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9.6</w:t>
            </w:r>
          </w:p>
        </w:tc>
        <w:tc>
          <w:tcPr>
            <w:tcW w:w="139" w:type="pct"/>
            <w:shd w:val="clear" w:color="auto" w:fill="auto"/>
            <w:vAlign w:val="center"/>
          </w:tcPr>
          <w:p w14:paraId="68E8E5F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9.7</w:t>
            </w:r>
          </w:p>
        </w:tc>
        <w:tc>
          <w:tcPr>
            <w:tcW w:w="137" w:type="pct"/>
            <w:shd w:val="clear" w:color="auto" w:fill="auto"/>
            <w:vAlign w:val="center"/>
          </w:tcPr>
          <w:p w14:paraId="6C72F7E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10.3</w:t>
            </w:r>
          </w:p>
        </w:tc>
        <w:tc>
          <w:tcPr>
            <w:tcW w:w="138" w:type="pct"/>
            <w:shd w:val="clear" w:color="auto" w:fill="auto"/>
            <w:vAlign w:val="center"/>
          </w:tcPr>
          <w:p w14:paraId="246DD3F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10.5</w:t>
            </w:r>
          </w:p>
        </w:tc>
        <w:tc>
          <w:tcPr>
            <w:tcW w:w="137" w:type="pct"/>
            <w:shd w:val="clear" w:color="auto" w:fill="auto"/>
            <w:vAlign w:val="center"/>
          </w:tcPr>
          <w:p w14:paraId="292A210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9.4</w:t>
            </w:r>
          </w:p>
        </w:tc>
        <w:tc>
          <w:tcPr>
            <w:tcW w:w="139" w:type="pct"/>
            <w:shd w:val="clear" w:color="auto" w:fill="auto"/>
            <w:vAlign w:val="center"/>
          </w:tcPr>
          <w:p w14:paraId="26D7656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11.1</w:t>
            </w:r>
          </w:p>
        </w:tc>
        <w:tc>
          <w:tcPr>
            <w:tcW w:w="157" w:type="pct"/>
            <w:vMerge w:val="continue"/>
            <w:vAlign w:val="center"/>
          </w:tcPr>
          <w:p w14:paraId="7A50DAD0">
            <w:pPr>
              <w:widowControl/>
              <w:jc w:val="center"/>
              <w:rPr>
                <w:rFonts w:ascii="Times New Roman" w:hAnsi="Times New Roman" w:eastAsia="宋体" w:cs="Times New Roman"/>
                <w:kern w:val="0"/>
                <w:szCs w:val="21"/>
              </w:rPr>
            </w:pPr>
          </w:p>
        </w:tc>
        <w:tc>
          <w:tcPr>
            <w:tcW w:w="134" w:type="pct"/>
            <w:vMerge w:val="continue"/>
            <w:vAlign w:val="center"/>
          </w:tcPr>
          <w:p w14:paraId="507CD32C">
            <w:pPr>
              <w:widowControl/>
              <w:jc w:val="center"/>
              <w:rPr>
                <w:rFonts w:ascii="Times New Roman" w:hAnsi="Times New Roman" w:eastAsia="宋体" w:cs="Times New Roman"/>
                <w:kern w:val="0"/>
                <w:szCs w:val="21"/>
              </w:rPr>
            </w:pPr>
          </w:p>
        </w:tc>
        <w:tc>
          <w:tcPr>
            <w:tcW w:w="134" w:type="pct"/>
            <w:vMerge w:val="continue"/>
            <w:vAlign w:val="center"/>
          </w:tcPr>
          <w:p w14:paraId="2BAB800F">
            <w:pPr>
              <w:widowControl/>
              <w:jc w:val="center"/>
              <w:rPr>
                <w:rFonts w:ascii="Times New Roman" w:hAnsi="Times New Roman" w:eastAsia="宋体" w:cs="Times New Roman"/>
                <w:kern w:val="0"/>
                <w:szCs w:val="21"/>
              </w:rPr>
            </w:pPr>
          </w:p>
        </w:tc>
      </w:tr>
      <w:tr w14:paraId="49ECE2FD">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7" w:type="pct"/>
            <w:vMerge w:val="restart"/>
            <w:shd w:val="clear" w:color="auto" w:fill="auto"/>
            <w:vAlign w:val="center"/>
          </w:tcPr>
          <w:p w14:paraId="19D824F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w:t>
            </w:r>
          </w:p>
        </w:tc>
        <w:tc>
          <w:tcPr>
            <w:tcW w:w="320" w:type="pct"/>
            <w:vMerge w:val="restart"/>
            <w:shd w:val="clear" w:color="auto" w:fill="auto"/>
            <w:vAlign w:val="center"/>
          </w:tcPr>
          <w:p w14:paraId="4B272FF4">
            <w:pPr>
              <w:widowControl/>
              <w:jc w:val="center"/>
              <w:rPr>
                <w:rFonts w:ascii="Times New Roman" w:hAnsi="Times New Roman" w:eastAsia="宋体" w:cs="Times New Roman"/>
                <w:kern w:val="0"/>
                <w:szCs w:val="21"/>
              </w:rPr>
            </w:pPr>
            <w:r>
              <w:rPr>
                <w:rFonts w:ascii="Times New Roman" w:hAnsi="宋体" w:eastAsia="宋体" w:cs="Times New Roman"/>
                <w:kern w:val="0"/>
                <w:szCs w:val="21"/>
              </w:rPr>
              <w:t>格达良乡中心小学</w:t>
            </w:r>
          </w:p>
        </w:tc>
        <w:tc>
          <w:tcPr>
            <w:tcW w:w="145" w:type="pct"/>
            <w:vMerge w:val="restart"/>
            <w:shd w:val="clear" w:color="auto" w:fill="auto"/>
            <w:vAlign w:val="center"/>
          </w:tcPr>
          <w:p w14:paraId="22683696">
            <w:pPr>
              <w:widowControl/>
              <w:jc w:val="center"/>
              <w:rPr>
                <w:rFonts w:ascii="Times New Roman" w:hAnsi="Times New Roman" w:eastAsia="宋体" w:cs="Times New Roman"/>
                <w:kern w:val="0"/>
                <w:szCs w:val="21"/>
              </w:rPr>
            </w:pPr>
            <w:r>
              <w:rPr>
                <w:rFonts w:ascii="Times New Roman" w:hAnsi="宋体" w:eastAsia="宋体" w:cs="Times New Roman"/>
                <w:kern w:val="0"/>
                <w:szCs w:val="21"/>
              </w:rPr>
              <w:t>路右</w:t>
            </w:r>
          </w:p>
        </w:tc>
        <w:tc>
          <w:tcPr>
            <w:tcW w:w="189" w:type="pct"/>
            <w:vMerge w:val="restart"/>
            <w:shd w:val="clear" w:color="auto" w:fill="auto"/>
            <w:noWrap/>
            <w:vAlign w:val="center"/>
          </w:tcPr>
          <w:p w14:paraId="606B2A4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55</w:t>
            </w:r>
          </w:p>
        </w:tc>
        <w:tc>
          <w:tcPr>
            <w:tcW w:w="132" w:type="pct"/>
            <w:vMerge w:val="restart"/>
            <w:shd w:val="clear" w:color="auto" w:fill="auto"/>
            <w:vAlign w:val="center"/>
          </w:tcPr>
          <w:p w14:paraId="3AB7669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0</w:t>
            </w:r>
          </w:p>
        </w:tc>
        <w:tc>
          <w:tcPr>
            <w:tcW w:w="232" w:type="pct"/>
            <w:vMerge w:val="restart"/>
            <w:shd w:val="clear" w:color="auto" w:fill="auto"/>
            <w:vAlign w:val="center"/>
          </w:tcPr>
          <w:p w14:paraId="711C618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0</w:t>
            </w:r>
          </w:p>
        </w:tc>
        <w:tc>
          <w:tcPr>
            <w:tcW w:w="147" w:type="pct"/>
            <w:shd w:val="clear" w:color="auto" w:fill="auto"/>
            <w:vAlign w:val="center"/>
          </w:tcPr>
          <w:p w14:paraId="54E7365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w:t>
            </w:r>
            <w:r>
              <w:rPr>
                <w:rFonts w:ascii="Times New Roman" w:hAnsi="宋体" w:eastAsia="宋体" w:cs="Times New Roman"/>
                <w:kern w:val="0"/>
                <w:szCs w:val="21"/>
              </w:rPr>
              <w:t>层</w:t>
            </w:r>
          </w:p>
        </w:tc>
        <w:tc>
          <w:tcPr>
            <w:tcW w:w="137" w:type="pct"/>
            <w:shd w:val="clear" w:color="auto" w:fill="auto"/>
            <w:vAlign w:val="center"/>
          </w:tcPr>
          <w:p w14:paraId="03E0A5F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61.1</w:t>
            </w:r>
          </w:p>
        </w:tc>
        <w:tc>
          <w:tcPr>
            <w:tcW w:w="138" w:type="pct"/>
            <w:shd w:val="clear" w:color="auto" w:fill="auto"/>
            <w:vAlign w:val="center"/>
          </w:tcPr>
          <w:p w14:paraId="7F32D26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57.3</w:t>
            </w:r>
          </w:p>
        </w:tc>
        <w:tc>
          <w:tcPr>
            <w:tcW w:w="137" w:type="pct"/>
            <w:shd w:val="clear" w:color="auto" w:fill="auto"/>
            <w:vAlign w:val="center"/>
          </w:tcPr>
          <w:p w14:paraId="5B68213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61.9</w:t>
            </w:r>
          </w:p>
        </w:tc>
        <w:tc>
          <w:tcPr>
            <w:tcW w:w="138" w:type="pct"/>
            <w:shd w:val="clear" w:color="auto" w:fill="auto"/>
            <w:vAlign w:val="center"/>
          </w:tcPr>
          <w:p w14:paraId="3C02A5F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58.1</w:t>
            </w:r>
          </w:p>
        </w:tc>
        <w:tc>
          <w:tcPr>
            <w:tcW w:w="137" w:type="pct"/>
            <w:shd w:val="clear" w:color="auto" w:fill="auto"/>
            <w:vAlign w:val="center"/>
          </w:tcPr>
          <w:p w14:paraId="026F302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60.8</w:t>
            </w:r>
          </w:p>
        </w:tc>
        <w:tc>
          <w:tcPr>
            <w:tcW w:w="140" w:type="pct"/>
            <w:shd w:val="clear" w:color="auto" w:fill="auto"/>
            <w:vAlign w:val="center"/>
          </w:tcPr>
          <w:p w14:paraId="7F0E315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58.8</w:t>
            </w:r>
          </w:p>
        </w:tc>
        <w:tc>
          <w:tcPr>
            <w:tcW w:w="137" w:type="pct"/>
            <w:shd w:val="clear" w:color="auto" w:fill="auto"/>
            <w:vAlign w:val="center"/>
          </w:tcPr>
          <w:p w14:paraId="2C4E76F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61.2</w:t>
            </w:r>
          </w:p>
        </w:tc>
        <w:tc>
          <w:tcPr>
            <w:tcW w:w="138" w:type="pct"/>
            <w:shd w:val="clear" w:color="auto" w:fill="auto"/>
            <w:vAlign w:val="center"/>
          </w:tcPr>
          <w:p w14:paraId="34C3852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57.3</w:t>
            </w:r>
          </w:p>
        </w:tc>
        <w:tc>
          <w:tcPr>
            <w:tcW w:w="137" w:type="pct"/>
            <w:shd w:val="clear" w:color="auto" w:fill="auto"/>
            <w:vAlign w:val="center"/>
          </w:tcPr>
          <w:p w14:paraId="03EDE11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62.0</w:t>
            </w:r>
          </w:p>
        </w:tc>
        <w:tc>
          <w:tcPr>
            <w:tcW w:w="139" w:type="pct"/>
            <w:shd w:val="clear" w:color="auto" w:fill="auto"/>
            <w:vAlign w:val="center"/>
          </w:tcPr>
          <w:p w14:paraId="45BD634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58.1</w:t>
            </w:r>
          </w:p>
        </w:tc>
        <w:tc>
          <w:tcPr>
            <w:tcW w:w="137" w:type="pct"/>
            <w:shd w:val="clear" w:color="auto" w:fill="auto"/>
            <w:vAlign w:val="center"/>
          </w:tcPr>
          <w:p w14:paraId="2492DFE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60.9</w:t>
            </w:r>
          </w:p>
        </w:tc>
        <w:tc>
          <w:tcPr>
            <w:tcW w:w="139" w:type="pct"/>
            <w:shd w:val="clear" w:color="auto" w:fill="auto"/>
            <w:vAlign w:val="center"/>
          </w:tcPr>
          <w:p w14:paraId="6FF7CA2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58.8</w:t>
            </w:r>
          </w:p>
        </w:tc>
        <w:tc>
          <w:tcPr>
            <w:tcW w:w="137" w:type="pct"/>
            <w:shd w:val="clear" w:color="auto" w:fill="auto"/>
            <w:vAlign w:val="center"/>
          </w:tcPr>
          <w:p w14:paraId="454C011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1.2</w:t>
            </w:r>
          </w:p>
        </w:tc>
        <w:tc>
          <w:tcPr>
            <w:tcW w:w="138" w:type="pct"/>
            <w:shd w:val="clear" w:color="auto" w:fill="auto"/>
            <w:vAlign w:val="center"/>
          </w:tcPr>
          <w:p w14:paraId="3950C3C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7" w:type="pct"/>
            <w:shd w:val="clear" w:color="auto" w:fill="auto"/>
            <w:vAlign w:val="center"/>
          </w:tcPr>
          <w:p w14:paraId="41E1A1A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2.0</w:t>
            </w:r>
          </w:p>
        </w:tc>
        <w:tc>
          <w:tcPr>
            <w:tcW w:w="139" w:type="pct"/>
            <w:shd w:val="clear" w:color="auto" w:fill="auto"/>
            <w:vAlign w:val="center"/>
          </w:tcPr>
          <w:p w14:paraId="217F312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7" w:type="pct"/>
            <w:shd w:val="clear" w:color="auto" w:fill="auto"/>
            <w:vAlign w:val="center"/>
          </w:tcPr>
          <w:p w14:paraId="6AC5A1E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0.9</w:t>
            </w:r>
          </w:p>
        </w:tc>
        <w:tc>
          <w:tcPr>
            <w:tcW w:w="139" w:type="pct"/>
            <w:shd w:val="clear" w:color="auto" w:fill="auto"/>
            <w:vAlign w:val="center"/>
          </w:tcPr>
          <w:p w14:paraId="586C218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7" w:type="pct"/>
            <w:shd w:val="clear" w:color="auto" w:fill="auto"/>
            <w:vAlign w:val="center"/>
          </w:tcPr>
          <w:p w14:paraId="7641581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19.7</w:t>
            </w:r>
          </w:p>
        </w:tc>
        <w:tc>
          <w:tcPr>
            <w:tcW w:w="139" w:type="pct"/>
            <w:shd w:val="clear" w:color="auto" w:fill="auto"/>
            <w:vAlign w:val="center"/>
          </w:tcPr>
          <w:p w14:paraId="2BFA14F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19.8</w:t>
            </w:r>
          </w:p>
        </w:tc>
        <w:tc>
          <w:tcPr>
            <w:tcW w:w="137" w:type="pct"/>
            <w:shd w:val="clear" w:color="auto" w:fill="auto"/>
            <w:vAlign w:val="center"/>
          </w:tcPr>
          <w:p w14:paraId="2AA52D4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20.5</w:t>
            </w:r>
          </w:p>
        </w:tc>
        <w:tc>
          <w:tcPr>
            <w:tcW w:w="138" w:type="pct"/>
            <w:shd w:val="clear" w:color="auto" w:fill="auto"/>
            <w:vAlign w:val="center"/>
          </w:tcPr>
          <w:p w14:paraId="62934F2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20.6</w:t>
            </w:r>
          </w:p>
        </w:tc>
        <w:tc>
          <w:tcPr>
            <w:tcW w:w="137" w:type="pct"/>
            <w:shd w:val="clear" w:color="auto" w:fill="auto"/>
            <w:vAlign w:val="center"/>
          </w:tcPr>
          <w:p w14:paraId="44D2683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19.4</w:t>
            </w:r>
          </w:p>
        </w:tc>
        <w:tc>
          <w:tcPr>
            <w:tcW w:w="139" w:type="pct"/>
            <w:shd w:val="clear" w:color="auto" w:fill="auto"/>
            <w:vAlign w:val="center"/>
          </w:tcPr>
          <w:p w14:paraId="28F15BC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21.3</w:t>
            </w:r>
          </w:p>
        </w:tc>
        <w:tc>
          <w:tcPr>
            <w:tcW w:w="157" w:type="pct"/>
            <w:vMerge w:val="restart"/>
            <w:shd w:val="clear" w:color="auto" w:fill="auto"/>
            <w:vAlign w:val="center"/>
          </w:tcPr>
          <w:p w14:paraId="613BF73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w:t>
            </w:r>
            <w:r>
              <w:rPr>
                <w:rFonts w:ascii="Times New Roman" w:hAnsi="宋体" w:eastAsia="宋体" w:cs="Times New Roman"/>
                <w:kern w:val="0"/>
                <w:szCs w:val="21"/>
              </w:rPr>
              <w:t>类</w:t>
            </w:r>
          </w:p>
        </w:tc>
        <w:tc>
          <w:tcPr>
            <w:tcW w:w="134" w:type="pct"/>
            <w:vMerge w:val="restart"/>
            <w:shd w:val="clear" w:color="auto" w:fill="auto"/>
            <w:vAlign w:val="center"/>
          </w:tcPr>
          <w:p w14:paraId="34E8460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41.5</w:t>
            </w:r>
          </w:p>
        </w:tc>
        <w:tc>
          <w:tcPr>
            <w:tcW w:w="134" w:type="pct"/>
            <w:vMerge w:val="restart"/>
            <w:shd w:val="clear" w:color="auto" w:fill="auto"/>
            <w:vAlign w:val="center"/>
          </w:tcPr>
          <w:p w14:paraId="4080DCF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37.5</w:t>
            </w:r>
          </w:p>
        </w:tc>
      </w:tr>
      <w:tr w14:paraId="1C3E7E38">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7" w:type="pct"/>
            <w:vMerge w:val="continue"/>
            <w:vAlign w:val="center"/>
          </w:tcPr>
          <w:p w14:paraId="66486546">
            <w:pPr>
              <w:widowControl/>
              <w:jc w:val="center"/>
              <w:rPr>
                <w:rFonts w:ascii="Times New Roman" w:hAnsi="Times New Roman" w:eastAsia="宋体" w:cs="Times New Roman"/>
                <w:kern w:val="0"/>
                <w:szCs w:val="21"/>
              </w:rPr>
            </w:pPr>
          </w:p>
        </w:tc>
        <w:tc>
          <w:tcPr>
            <w:tcW w:w="320" w:type="pct"/>
            <w:vMerge w:val="continue"/>
            <w:vAlign w:val="center"/>
          </w:tcPr>
          <w:p w14:paraId="1046BDD9">
            <w:pPr>
              <w:widowControl/>
              <w:jc w:val="center"/>
              <w:rPr>
                <w:rFonts w:ascii="Times New Roman" w:hAnsi="Times New Roman" w:eastAsia="宋体" w:cs="Times New Roman"/>
                <w:kern w:val="0"/>
                <w:szCs w:val="21"/>
              </w:rPr>
            </w:pPr>
          </w:p>
        </w:tc>
        <w:tc>
          <w:tcPr>
            <w:tcW w:w="145" w:type="pct"/>
            <w:vMerge w:val="continue"/>
            <w:vAlign w:val="center"/>
          </w:tcPr>
          <w:p w14:paraId="1111F111">
            <w:pPr>
              <w:widowControl/>
              <w:jc w:val="center"/>
              <w:rPr>
                <w:rFonts w:ascii="Times New Roman" w:hAnsi="Times New Roman" w:eastAsia="宋体" w:cs="Times New Roman"/>
                <w:kern w:val="0"/>
                <w:szCs w:val="21"/>
              </w:rPr>
            </w:pPr>
          </w:p>
        </w:tc>
        <w:tc>
          <w:tcPr>
            <w:tcW w:w="189" w:type="pct"/>
            <w:vMerge w:val="continue"/>
            <w:vAlign w:val="center"/>
          </w:tcPr>
          <w:p w14:paraId="7ADDF419">
            <w:pPr>
              <w:widowControl/>
              <w:jc w:val="center"/>
              <w:rPr>
                <w:rFonts w:ascii="Times New Roman" w:hAnsi="Times New Roman" w:eastAsia="宋体" w:cs="Times New Roman"/>
                <w:kern w:val="0"/>
                <w:szCs w:val="21"/>
              </w:rPr>
            </w:pPr>
          </w:p>
        </w:tc>
        <w:tc>
          <w:tcPr>
            <w:tcW w:w="132" w:type="pct"/>
            <w:vMerge w:val="continue"/>
            <w:vAlign w:val="center"/>
          </w:tcPr>
          <w:p w14:paraId="5E065420">
            <w:pPr>
              <w:widowControl/>
              <w:jc w:val="center"/>
              <w:rPr>
                <w:rFonts w:ascii="Times New Roman" w:hAnsi="Times New Roman" w:eastAsia="宋体" w:cs="Times New Roman"/>
                <w:kern w:val="0"/>
                <w:szCs w:val="21"/>
              </w:rPr>
            </w:pPr>
          </w:p>
        </w:tc>
        <w:tc>
          <w:tcPr>
            <w:tcW w:w="232" w:type="pct"/>
            <w:vMerge w:val="continue"/>
            <w:vAlign w:val="center"/>
          </w:tcPr>
          <w:p w14:paraId="7ADBA4F6">
            <w:pPr>
              <w:widowControl/>
              <w:jc w:val="center"/>
              <w:rPr>
                <w:rFonts w:ascii="Times New Roman" w:hAnsi="Times New Roman" w:eastAsia="宋体" w:cs="Times New Roman"/>
                <w:kern w:val="0"/>
                <w:szCs w:val="21"/>
              </w:rPr>
            </w:pPr>
          </w:p>
        </w:tc>
        <w:tc>
          <w:tcPr>
            <w:tcW w:w="147" w:type="pct"/>
            <w:shd w:val="clear" w:color="auto" w:fill="auto"/>
            <w:vAlign w:val="center"/>
          </w:tcPr>
          <w:p w14:paraId="528566D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w:t>
            </w:r>
            <w:r>
              <w:rPr>
                <w:rFonts w:ascii="Times New Roman" w:hAnsi="宋体" w:eastAsia="宋体" w:cs="Times New Roman"/>
                <w:kern w:val="0"/>
                <w:szCs w:val="21"/>
              </w:rPr>
              <w:t>层</w:t>
            </w:r>
          </w:p>
        </w:tc>
        <w:tc>
          <w:tcPr>
            <w:tcW w:w="137" w:type="pct"/>
            <w:shd w:val="clear" w:color="auto" w:fill="auto"/>
            <w:vAlign w:val="center"/>
          </w:tcPr>
          <w:p w14:paraId="3A3B04C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63.6</w:t>
            </w:r>
          </w:p>
        </w:tc>
        <w:tc>
          <w:tcPr>
            <w:tcW w:w="138" w:type="pct"/>
            <w:shd w:val="clear" w:color="auto" w:fill="auto"/>
            <w:vAlign w:val="center"/>
          </w:tcPr>
          <w:p w14:paraId="2D3DC44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59.7</w:t>
            </w:r>
          </w:p>
        </w:tc>
        <w:tc>
          <w:tcPr>
            <w:tcW w:w="137" w:type="pct"/>
            <w:shd w:val="clear" w:color="auto" w:fill="auto"/>
            <w:vAlign w:val="center"/>
          </w:tcPr>
          <w:p w14:paraId="79FB02B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64.3</w:t>
            </w:r>
          </w:p>
        </w:tc>
        <w:tc>
          <w:tcPr>
            <w:tcW w:w="138" w:type="pct"/>
            <w:shd w:val="clear" w:color="auto" w:fill="auto"/>
            <w:vAlign w:val="center"/>
          </w:tcPr>
          <w:p w14:paraId="614F2BE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60.5</w:t>
            </w:r>
          </w:p>
        </w:tc>
        <w:tc>
          <w:tcPr>
            <w:tcW w:w="137" w:type="pct"/>
            <w:shd w:val="clear" w:color="auto" w:fill="auto"/>
            <w:vAlign w:val="center"/>
          </w:tcPr>
          <w:p w14:paraId="11C1418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63.2</w:t>
            </w:r>
          </w:p>
        </w:tc>
        <w:tc>
          <w:tcPr>
            <w:tcW w:w="140" w:type="pct"/>
            <w:shd w:val="clear" w:color="auto" w:fill="auto"/>
            <w:vAlign w:val="center"/>
          </w:tcPr>
          <w:p w14:paraId="2DD7815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61.2</w:t>
            </w:r>
          </w:p>
        </w:tc>
        <w:tc>
          <w:tcPr>
            <w:tcW w:w="137" w:type="pct"/>
            <w:shd w:val="clear" w:color="auto" w:fill="auto"/>
            <w:vAlign w:val="center"/>
          </w:tcPr>
          <w:p w14:paraId="3BABEE3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63.6</w:t>
            </w:r>
          </w:p>
        </w:tc>
        <w:tc>
          <w:tcPr>
            <w:tcW w:w="138" w:type="pct"/>
            <w:shd w:val="clear" w:color="auto" w:fill="auto"/>
            <w:vAlign w:val="center"/>
          </w:tcPr>
          <w:p w14:paraId="6102C17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59.7</w:t>
            </w:r>
          </w:p>
        </w:tc>
        <w:tc>
          <w:tcPr>
            <w:tcW w:w="137" w:type="pct"/>
            <w:shd w:val="clear" w:color="auto" w:fill="auto"/>
            <w:vAlign w:val="center"/>
          </w:tcPr>
          <w:p w14:paraId="2D2AED3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64.4</w:t>
            </w:r>
          </w:p>
        </w:tc>
        <w:tc>
          <w:tcPr>
            <w:tcW w:w="139" w:type="pct"/>
            <w:shd w:val="clear" w:color="auto" w:fill="auto"/>
            <w:vAlign w:val="center"/>
          </w:tcPr>
          <w:p w14:paraId="722B37D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60.5</w:t>
            </w:r>
          </w:p>
        </w:tc>
        <w:tc>
          <w:tcPr>
            <w:tcW w:w="137" w:type="pct"/>
            <w:shd w:val="clear" w:color="auto" w:fill="auto"/>
            <w:vAlign w:val="center"/>
          </w:tcPr>
          <w:p w14:paraId="05907CE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63.3</w:t>
            </w:r>
          </w:p>
        </w:tc>
        <w:tc>
          <w:tcPr>
            <w:tcW w:w="139" w:type="pct"/>
            <w:shd w:val="clear" w:color="auto" w:fill="auto"/>
            <w:vAlign w:val="center"/>
          </w:tcPr>
          <w:p w14:paraId="10CBD63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61.2</w:t>
            </w:r>
          </w:p>
        </w:tc>
        <w:tc>
          <w:tcPr>
            <w:tcW w:w="137" w:type="pct"/>
            <w:shd w:val="clear" w:color="auto" w:fill="auto"/>
            <w:vAlign w:val="center"/>
          </w:tcPr>
          <w:p w14:paraId="603B44B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3.6</w:t>
            </w:r>
          </w:p>
        </w:tc>
        <w:tc>
          <w:tcPr>
            <w:tcW w:w="138" w:type="pct"/>
            <w:shd w:val="clear" w:color="auto" w:fill="auto"/>
            <w:vAlign w:val="center"/>
          </w:tcPr>
          <w:p w14:paraId="5069267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7" w:type="pct"/>
            <w:shd w:val="clear" w:color="auto" w:fill="auto"/>
            <w:vAlign w:val="center"/>
          </w:tcPr>
          <w:p w14:paraId="4A6B0CD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4.4</w:t>
            </w:r>
          </w:p>
        </w:tc>
        <w:tc>
          <w:tcPr>
            <w:tcW w:w="139" w:type="pct"/>
            <w:shd w:val="clear" w:color="auto" w:fill="auto"/>
            <w:vAlign w:val="center"/>
          </w:tcPr>
          <w:p w14:paraId="71D6EC5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7" w:type="pct"/>
            <w:shd w:val="clear" w:color="auto" w:fill="auto"/>
            <w:vAlign w:val="center"/>
          </w:tcPr>
          <w:p w14:paraId="6C1EE92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3.3</w:t>
            </w:r>
          </w:p>
        </w:tc>
        <w:tc>
          <w:tcPr>
            <w:tcW w:w="139" w:type="pct"/>
            <w:shd w:val="clear" w:color="auto" w:fill="auto"/>
            <w:vAlign w:val="center"/>
          </w:tcPr>
          <w:p w14:paraId="520D146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7" w:type="pct"/>
            <w:shd w:val="clear" w:color="auto" w:fill="auto"/>
            <w:vAlign w:val="center"/>
          </w:tcPr>
          <w:p w14:paraId="514C276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22.1</w:t>
            </w:r>
          </w:p>
        </w:tc>
        <w:tc>
          <w:tcPr>
            <w:tcW w:w="139" w:type="pct"/>
            <w:shd w:val="clear" w:color="auto" w:fill="auto"/>
            <w:vAlign w:val="center"/>
          </w:tcPr>
          <w:p w14:paraId="6AB4749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22.2</w:t>
            </w:r>
          </w:p>
        </w:tc>
        <w:tc>
          <w:tcPr>
            <w:tcW w:w="137" w:type="pct"/>
            <w:shd w:val="clear" w:color="auto" w:fill="auto"/>
            <w:vAlign w:val="center"/>
          </w:tcPr>
          <w:p w14:paraId="0A223E5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22.9</w:t>
            </w:r>
          </w:p>
        </w:tc>
        <w:tc>
          <w:tcPr>
            <w:tcW w:w="138" w:type="pct"/>
            <w:shd w:val="clear" w:color="auto" w:fill="auto"/>
            <w:vAlign w:val="center"/>
          </w:tcPr>
          <w:p w14:paraId="2970FFE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23.0</w:t>
            </w:r>
          </w:p>
        </w:tc>
        <w:tc>
          <w:tcPr>
            <w:tcW w:w="137" w:type="pct"/>
            <w:shd w:val="clear" w:color="auto" w:fill="auto"/>
            <w:vAlign w:val="center"/>
          </w:tcPr>
          <w:p w14:paraId="55FC159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21.8</w:t>
            </w:r>
          </w:p>
        </w:tc>
        <w:tc>
          <w:tcPr>
            <w:tcW w:w="139" w:type="pct"/>
            <w:shd w:val="clear" w:color="auto" w:fill="auto"/>
            <w:vAlign w:val="center"/>
          </w:tcPr>
          <w:p w14:paraId="78ABF88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23.7</w:t>
            </w:r>
          </w:p>
        </w:tc>
        <w:tc>
          <w:tcPr>
            <w:tcW w:w="157" w:type="pct"/>
            <w:vMerge w:val="continue"/>
            <w:vAlign w:val="center"/>
          </w:tcPr>
          <w:p w14:paraId="29D87C32">
            <w:pPr>
              <w:widowControl/>
              <w:jc w:val="center"/>
              <w:rPr>
                <w:rFonts w:ascii="Times New Roman" w:hAnsi="Times New Roman" w:eastAsia="宋体" w:cs="Times New Roman"/>
                <w:kern w:val="0"/>
                <w:szCs w:val="21"/>
              </w:rPr>
            </w:pPr>
          </w:p>
        </w:tc>
        <w:tc>
          <w:tcPr>
            <w:tcW w:w="134" w:type="pct"/>
            <w:vMerge w:val="continue"/>
            <w:vAlign w:val="center"/>
          </w:tcPr>
          <w:p w14:paraId="7EBF4C4D">
            <w:pPr>
              <w:widowControl/>
              <w:jc w:val="center"/>
              <w:rPr>
                <w:rFonts w:ascii="Times New Roman" w:hAnsi="Times New Roman" w:eastAsia="宋体" w:cs="Times New Roman"/>
                <w:kern w:val="0"/>
                <w:szCs w:val="21"/>
              </w:rPr>
            </w:pPr>
          </w:p>
        </w:tc>
        <w:tc>
          <w:tcPr>
            <w:tcW w:w="134" w:type="pct"/>
            <w:vMerge w:val="continue"/>
            <w:vAlign w:val="center"/>
          </w:tcPr>
          <w:p w14:paraId="41BE91D9">
            <w:pPr>
              <w:widowControl/>
              <w:jc w:val="center"/>
              <w:rPr>
                <w:rFonts w:ascii="Times New Roman" w:hAnsi="Times New Roman" w:eastAsia="宋体" w:cs="Times New Roman"/>
                <w:kern w:val="0"/>
                <w:szCs w:val="21"/>
              </w:rPr>
            </w:pPr>
          </w:p>
        </w:tc>
      </w:tr>
      <w:tr w14:paraId="30397029">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7" w:type="pct"/>
            <w:vMerge w:val="continue"/>
            <w:vAlign w:val="center"/>
          </w:tcPr>
          <w:p w14:paraId="3B4B6CDB">
            <w:pPr>
              <w:widowControl/>
              <w:jc w:val="center"/>
              <w:rPr>
                <w:rFonts w:ascii="Times New Roman" w:hAnsi="Times New Roman" w:eastAsia="宋体" w:cs="Times New Roman"/>
                <w:kern w:val="0"/>
                <w:szCs w:val="21"/>
              </w:rPr>
            </w:pPr>
          </w:p>
        </w:tc>
        <w:tc>
          <w:tcPr>
            <w:tcW w:w="320" w:type="pct"/>
            <w:vMerge w:val="continue"/>
            <w:vAlign w:val="center"/>
          </w:tcPr>
          <w:p w14:paraId="75634600">
            <w:pPr>
              <w:widowControl/>
              <w:jc w:val="center"/>
              <w:rPr>
                <w:rFonts w:ascii="Times New Roman" w:hAnsi="Times New Roman" w:eastAsia="宋体" w:cs="Times New Roman"/>
                <w:kern w:val="0"/>
                <w:szCs w:val="21"/>
              </w:rPr>
            </w:pPr>
          </w:p>
        </w:tc>
        <w:tc>
          <w:tcPr>
            <w:tcW w:w="145" w:type="pct"/>
            <w:vMerge w:val="continue"/>
            <w:vAlign w:val="center"/>
          </w:tcPr>
          <w:p w14:paraId="00315B9D">
            <w:pPr>
              <w:widowControl/>
              <w:jc w:val="center"/>
              <w:rPr>
                <w:rFonts w:ascii="Times New Roman" w:hAnsi="Times New Roman" w:eastAsia="宋体" w:cs="Times New Roman"/>
                <w:kern w:val="0"/>
                <w:szCs w:val="21"/>
              </w:rPr>
            </w:pPr>
          </w:p>
        </w:tc>
        <w:tc>
          <w:tcPr>
            <w:tcW w:w="189" w:type="pct"/>
            <w:vMerge w:val="restart"/>
            <w:shd w:val="clear" w:color="auto" w:fill="auto"/>
            <w:noWrap/>
            <w:vAlign w:val="center"/>
          </w:tcPr>
          <w:p w14:paraId="5A689F4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90</w:t>
            </w:r>
          </w:p>
        </w:tc>
        <w:tc>
          <w:tcPr>
            <w:tcW w:w="132" w:type="pct"/>
            <w:vMerge w:val="continue"/>
            <w:vAlign w:val="center"/>
          </w:tcPr>
          <w:p w14:paraId="36EC450D">
            <w:pPr>
              <w:widowControl/>
              <w:jc w:val="center"/>
              <w:rPr>
                <w:rFonts w:ascii="Times New Roman" w:hAnsi="Times New Roman" w:eastAsia="宋体" w:cs="Times New Roman"/>
                <w:kern w:val="0"/>
                <w:szCs w:val="21"/>
              </w:rPr>
            </w:pPr>
          </w:p>
        </w:tc>
        <w:tc>
          <w:tcPr>
            <w:tcW w:w="232" w:type="pct"/>
            <w:vMerge w:val="continue"/>
            <w:vAlign w:val="center"/>
          </w:tcPr>
          <w:p w14:paraId="1217FE0F">
            <w:pPr>
              <w:widowControl/>
              <w:jc w:val="center"/>
              <w:rPr>
                <w:rFonts w:ascii="Times New Roman" w:hAnsi="Times New Roman" w:eastAsia="宋体" w:cs="Times New Roman"/>
                <w:kern w:val="0"/>
                <w:szCs w:val="21"/>
              </w:rPr>
            </w:pPr>
          </w:p>
        </w:tc>
        <w:tc>
          <w:tcPr>
            <w:tcW w:w="147" w:type="pct"/>
            <w:shd w:val="clear" w:color="auto" w:fill="auto"/>
            <w:vAlign w:val="center"/>
          </w:tcPr>
          <w:p w14:paraId="1658FC2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w:t>
            </w:r>
            <w:r>
              <w:rPr>
                <w:rFonts w:ascii="Times New Roman" w:hAnsi="宋体" w:eastAsia="宋体" w:cs="Times New Roman"/>
                <w:kern w:val="0"/>
                <w:szCs w:val="21"/>
              </w:rPr>
              <w:t>层</w:t>
            </w:r>
          </w:p>
        </w:tc>
        <w:tc>
          <w:tcPr>
            <w:tcW w:w="137" w:type="pct"/>
            <w:shd w:val="clear" w:color="auto" w:fill="auto"/>
            <w:vAlign w:val="center"/>
          </w:tcPr>
          <w:p w14:paraId="2405DC1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57.8</w:t>
            </w:r>
          </w:p>
        </w:tc>
        <w:tc>
          <w:tcPr>
            <w:tcW w:w="138" w:type="pct"/>
            <w:shd w:val="clear" w:color="auto" w:fill="auto"/>
            <w:vAlign w:val="center"/>
          </w:tcPr>
          <w:p w14:paraId="00411C8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53.9</w:t>
            </w:r>
          </w:p>
        </w:tc>
        <w:tc>
          <w:tcPr>
            <w:tcW w:w="137" w:type="pct"/>
            <w:shd w:val="clear" w:color="auto" w:fill="auto"/>
            <w:vAlign w:val="center"/>
          </w:tcPr>
          <w:p w14:paraId="5E2161B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58.6</w:t>
            </w:r>
          </w:p>
        </w:tc>
        <w:tc>
          <w:tcPr>
            <w:tcW w:w="138" w:type="pct"/>
            <w:shd w:val="clear" w:color="auto" w:fill="auto"/>
            <w:vAlign w:val="center"/>
          </w:tcPr>
          <w:p w14:paraId="0A1A3F0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54.7</w:t>
            </w:r>
          </w:p>
        </w:tc>
        <w:tc>
          <w:tcPr>
            <w:tcW w:w="137" w:type="pct"/>
            <w:shd w:val="clear" w:color="auto" w:fill="auto"/>
            <w:vAlign w:val="center"/>
          </w:tcPr>
          <w:p w14:paraId="3BF4FDF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57.5</w:t>
            </w:r>
          </w:p>
        </w:tc>
        <w:tc>
          <w:tcPr>
            <w:tcW w:w="140" w:type="pct"/>
            <w:shd w:val="clear" w:color="auto" w:fill="auto"/>
            <w:vAlign w:val="center"/>
          </w:tcPr>
          <w:p w14:paraId="0A7DB2F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55.4</w:t>
            </w:r>
          </w:p>
        </w:tc>
        <w:tc>
          <w:tcPr>
            <w:tcW w:w="137" w:type="pct"/>
            <w:shd w:val="clear" w:color="auto" w:fill="auto"/>
            <w:vAlign w:val="center"/>
          </w:tcPr>
          <w:p w14:paraId="05F6778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57.9</w:t>
            </w:r>
          </w:p>
        </w:tc>
        <w:tc>
          <w:tcPr>
            <w:tcW w:w="138" w:type="pct"/>
            <w:shd w:val="clear" w:color="auto" w:fill="auto"/>
            <w:vAlign w:val="center"/>
          </w:tcPr>
          <w:p w14:paraId="708CCE7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54.0</w:t>
            </w:r>
          </w:p>
        </w:tc>
        <w:tc>
          <w:tcPr>
            <w:tcW w:w="137" w:type="pct"/>
            <w:shd w:val="clear" w:color="auto" w:fill="auto"/>
            <w:vAlign w:val="center"/>
          </w:tcPr>
          <w:p w14:paraId="2D3F89D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58.7</w:t>
            </w:r>
          </w:p>
        </w:tc>
        <w:tc>
          <w:tcPr>
            <w:tcW w:w="139" w:type="pct"/>
            <w:shd w:val="clear" w:color="auto" w:fill="auto"/>
            <w:vAlign w:val="center"/>
          </w:tcPr>
          <w:p w14:paraId="38AFB27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54.8</w:t>
            </w:r>
          </w:p>
        </w:tc>
        <w:tc>
          <w:tcPr>
            <w:tcW w:w="137" w:type="pct"/>
            <w:shd w:val="clear" w:color="auto" w:fill="auto"/>
            <w:vAlign w:val="center"/>
          </w:tcPr>
          <w:p w14:paraId="6330642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57.6</w:t>
            </w:r>
          </w:p>
        </w:tc>
        <w:tc>
          <w:tcPr>
            <w:tcW w:w="139" w:type="pct"/>
            <w:shd w:val="clear" w:color="auto" w:fill="auto"/>
            <w:vAlign w:val="center"/>
          </w:tcPr>
          <w:p w14:paraId="6EEE5E3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55.5</w:t>
            </w:r>
          </w:p>
        </w:tc>
        <w:tc>
          <w:tcPr>
            <w:tcW w:w="137" w:type="pct"/>
            <w:shd w:val="clear" w:color="auto" w:fill="auto"/>
            <w:vAlign w:val="center"/>
          </w:tcPr>
          <w:p w14:paraId="718B038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8" w:type="pct"/>
            <w:shd w:val="clear" w:color="auto" w:fill="auto"/>
            <w:vAlign w:val="center"/>
          </w:tcPr>
          <w:p w14:paraId="78E7DEA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7" w:type="pct"/>
            <w:shd w:val="clear" w:color="auto" w:fill="auto"/>
            <w:vAlign w:val="center"/>
          </w:tcPr>
          <w:p w14:paraId="4697659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shd w:val="clear" w:color="auto" w:fill="auto"/>
            <w:vAlign w:val="center"/>
          </w:tcPr>
          <w:p w14:paraId="26787D3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7" w:type="pct"/>
            <w:shd w:val="clear" w:color="auto" w:fill="auto"/>
            <w:vAlign w:val="center"/>
          </w:tcPr>
          <w:p w14:paraId="6E8466F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shd w:val="clear" w:color="auto" w:fill="auto"/>
            <w:vAlign w:val="center"/>
          </w:tcPr>
          <w:p w14:paraId="694ED44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7" w:type="pct"/>
            <w:shd w:val="clear" w:color="auto" w:fill="auto"/>
            <w:vAlign w:val="center"/>
          </w:tcPr>
          <w:p w14:paraId="0476811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16.4</w:t>
            </w:r>
          </w:p>
        </w:tc>
        <w:tc>
          <w:tcPr>
            <w:tcW w:w="139" w:type="pct"/>
            <w:shd w:val="clear" w:color="auto" w:fill="auto"/>
            <w:vAlign w:val="center"/>
          </w:tcPr>
          <w:p w14:paraId="43CDAF0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16.5</w:t>
            </w:r>
          </w:p>
        </w:tc>
        <w:tc>
          <w:tcPr>
            <w:tcW w:w="137" w:type="pct"/>
            <w:shd w:val="clear" w:color="auto" w:fill="auto"/>
            <w:vAlign w:val="center"/>
          </w:tcPr>
          <w:p w14:paraId="34236F6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17.2</w:t>
            </w:r>
          </w:p>
        </w:tc>
        <w:tc>
          <w:tcPr>
            <w:tcW w:w="138" w:type="pct"/>
            <w:shd w:val="clear" w:color="auto" w:fill="auto"/>
            <w:vAlign w:val="center"/>
          </w:tcPr>
          <w:p w14:paraId="33944CA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17.3</w:t>
            </w:r>
          </w:p>
        </w:tc>
        <w:tc>
          <w:tcPr>
            <w:tcW w:w="137" w:type="pct"/>
            <w:shd w:val="clear" w:color="auto" w:fill="auto"/>
            <w:vAlign w:val="center"/>
          </w:tcPr>
          <w:p w14:paraId="7D48258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16.1</w:t>
            </w:r>
          </w:p>
        </w:tc>
        <w:tc>
          <w:tcPr>
            <w:tcW w:w="139" w:type="pct"/>
            <w:shd w:val="clear" w:color="auto" w:fill="auto"/>
            <w:vAlign w:val="center"/>
          </w:tcPr>
          <w:p w14:paraId="2376D31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18.0</w:t>
            </w:r>
          </w:p>
        </w:tc>
        <w:tc>
          <w:tcPr>
            <w:tcW w:w="157" w:type="pct"/>
            <w:vMerge w:val="continue"/>
            <w:vAlign w:val="center"/>
          </w:tcPr>
          <w:p w14:paraId="2F17C93E">
            <w:pPr>
              <w:widowControl/>
              <w:jc w:val="center"/>
              <w:rPr>
                <w:rFonts w:ascii="Times New Roman" w:hAnsi="Times New Roman" w:eastAsia="宋体" w:cs="Times New Roman"/>
                <w:kern w:val="0"/>
                <w:szCs w:val="21"/>
              </w:rPr>
            </w:pPr>
          </w:p>
        </w:tc>
        <w:tc>
          <w:tcPr>
            <w:tcW w:w="134" w:type="pct"/>
            <w:vMerge w:val="continue"/>
            <w:vAlign w:val="center"/>
          </w:tcPr>
          <w:p w14:paraId="4893BB14">
            <w:pPr>
              <w:widowControl/>
              <w:jc w:val="center"/>
              <w:rPr>
                <w:rFonts w:ascii="Times New Roman" w:hAnsi="Times New Roman" w:eastAsia="宋体" w:cs="Times New Roman"/>
                <w:kern w:val="0"/>
                <w:szCs w:val="21"/>
              </w:rPr>
            </w:pPr>
          </w:p>
        </w:tc>
        <w:tc>
          <w:tcPr>
            <w:tcW w:w="134" w:type="pct"/>
            <w:vMerge w:val="continue"/>
            <w:vAlign w:val="center"/>
          </w:tcPr>
          <w:p w14:paraId="655D78E3">
            <w:pPr>
              <w:widowControl/>
              <w:jc w:val="center"/>
              <w:rPr>
                <w:rFonts w:ascii="Times New Roman" w:hAnsi="Times New Roman" w:eastAsia="宋体" w:cs="Times New Roman"/>
                <w:kern w:val="0"/>
                <w:szCs w:val="21"/>
              </w:rPr>
            </w:pPr>
          </w:p>
        </w:tc>
      </w:tr>
      <w:tr w14:paraId="47C73DB9">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7" w:type="pct"/>
            <w:vMerge w:val="continue"/>
            <w:vAlign w:val="center"/>
          </w:tcPr>
          <w:p w14:paraId="2AA811FA">
            <w:pPr>
              <w:widowControl/>
              <w:jc w:val="center"/>
              <w:rPr>
                <w:rFonts w:ascii="Times New Roman" w:hAnsi="Times New Roman" w:eastAsia="宋体" w:cs="Times New Roman"/>
                <w:kern w:val="0"/>
                <w:szCs w:val="21"/>
              </w:rPr>
            </w:pPr>
          </w:p>
        </w:tc>
        <w:tc>
          <w:tcPr>
            <w:tcW w:w="320" w:type="pct"/>
            <w:vMerge w:val="continue"/>
            <w:vAlign w:val="center"/>
          </w:tcPr>
          <w:p w14:paraId="426C7E8B">
            <w:pPr>
              <w:widowControl/>
              <w:jc w:val="center"/>
              <w:rPr>
                <w:rFonts w:ascii="Times New Roman" w:hAnsi="Times New Roman" w:eastAsia="宋体" w:cs="Times New Roman"/>
                <w:kern w:val="0"/>
                <w:szCs w:val="21"/>
              </w:rPr>
            </w:pPr>
          </w:p>
        </w:tc>
        <w:tc>
          <w:tcPr>
            <w:tcW w:w="145" w:type="pct"/>
            <w:vMerge w:val="continue"/>
            <w:vAlign w:val="center"/>
          </w:tcPr>
          <w:p w14:paraId="7C8D023D">
            <w:pPr>
              <w:widowControl/>
              <w:jc w:val="center"/>
              <w:rPr>
                <w:rFonts w:ascii="Times New Roman" w:hAnsi="Times New Roman" w:eastAsia="宋体" w:cs="Times New Roman"/>
                <w:kern w:val="0"/>
                <w:szCs w:val="21"/>
              </w:rPr>
            </w:pPr>
          </w:p>
        </w:tc>
        <w:tc>
          <w:tcPr>
            <w:tcW w:w="189" w:type="pct"/>
            <w:vMerge w:val="continue"/>
            <w:vAlign w:val="center"/>
          </w:tcPr>
          <w:p w14:paraId="4F4EC367">
            <w:pPr>
              <w:widowControl/>
              <w:jc w:val="center"/>
              <w:rPr>
                <w:rFonts w:ascii="Times New Roman" w:hAnsi="Times New Roman" w:eastAsia="宋体" w:cs="Times New Roman"/>
                <w:kern w:val="0"/>
                <w:szCs w:val="21"/>
              </w:rPr>
            </w:pPr>
          </w:p>
        </w:tc>
        <w:tc>
          <w:tcPr>
            <w:tcW w:w="132" w:type="pct"/>
            <w:vMerge w:val="continue"/>
            <w:vAlign w:val="center"/>
          </w:tcPr>
          <w:p w14:paraId="5B0200C5">
            <w:pPr>
              <w:widowControl/>
              <w:jc w:val="center"/>
              <w:rPr>
                <w:rFonts w:ascii="Times New Roman" w:hAnsi="Times New Roman" w:eastAsia="宋体" w:cs="Times New Roman"/>
                <w:kern w:val="0"/>
                <w:szCs w:val="21"/>
              </w:rPr>
            </w:pPr>
          </w:p>
        </w:tc>
        <w:tc>
          <w:tcPr>
            <w:tcW w:w="232" w:type="pct"/>
            <w:vMerge w:val="continue"/>
            <w:vAlign w:val="center"/>
          </w:tcPr>
          <w:p w14:paraId="4A7B9972">
            <w:pPr>
              <w:widowControl/>
              <w:jc w:val="center"/>
              <w:rPr>
                <w:rFonts w:ascii="Times New Roman" w:hAnsi="Times New Roman" w:eastAsia="宋体" w:cs="Times New Roman"/>
                <w:kern w:val="0"/>
                <w:szCs w:val="21"/>
              </w:rPr>
            </w:pPr>
          </w:p>
        </w:tc>
        <w:tc>
          <w:tcPr>
            <w:tcW w:w="147" w:type="pct"/>
            <w:shd w:val="clear" w:color="auto" w:fill="auto"/>
            <w:vAlign w:val="center"/>
          </w:tcPr>
          <w:p w14:paraId="6E217F4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w:t>
            </w:r>
            <w:r>
              <w:rPr>
                <w:rFonts w:ascii="Times New Roman" w:hAnsi="宋体" w:eastAsia="宋体" w:cs="Times New Roman"/>
                <w:kern w:val="0"/>
                <w:szCs w:val="21"/>
              </w:rPr>
              <w:t>层</w:t>
            </w:r>
          </w:p>
        </w:tc>
        <w:tc>
          <w:tcPr>
            <w:tcW w:w="137" w:type="pct"/>
            <w:shd w:val="clear" w:color="auto" w:fill="auto"/>
            <w:vAlign w:val="center"/>
          </w:tcPr>
          <w:p w14:paraId="74A4DF9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59.1</w:t>
            </w:r>
          </w:p>
        </w:tc>
        <w:tc>
          <w:tcPr>
            <w:tcW w:w="138" w:type="pct"/>
            <w:shd w:val="clear" w:color="auto" w:fill="auto"/>
            <w:vAlign w:val="center"/>
          </w:tcPr>
          <w:p w14:paraId="77C3923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55.3</w:t>
            </w:r>
          </w:p>
        </w:tc>
        <w:tc>
          <w:tcPr>
            <w:tcW w:w="137" w:type="pct"/>
            <w:shd w:val="clear" w:color="auto" w:fill="auto"/>
            <w:vAlign w:val="center"/>
          </w:tcPr>
          <w:p w14:paraId="5AA7C39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59.9</w:t>
            </w:r>
          </w:p>
        </w:tc>
        <w:tc>
          <w:tcPr>
            <w:tcW w:w="138" w:type="pct"/>
            <w:shd w:val="clear" w:color="auto" w:fill="auto"/>
            <w:vAlign w:val="center"/>
          </w:tcPr>
          <w:p w14:paraId="61AD58C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56.1</w:t>
            </w:r>
          </w:p>
        </w:tc>
        <w:tc>
          <w:tcPr>
            <w:tcW w:w="137" w:type="pct"/>
            <w:shd w:val="clear" w:color="auto" w:fill="auto"/>
            <w:vAlign w:val="center"/>
          </w:tcPr>
          <w:p w14:paraId="0591296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58.8</w:t>
            </w:r>
          </w:p>
        </w:tc>
        <w:tc>
          <w:tcPr>
            <w:tcW w:w="140" w:type="pct"/>
            <w:shd w:val="clear" w:color="auto" w:fill="auto"/>
            <w:vAlign w:val="center"/>
          </w:tcPr>
          <w:p w14:paraId="73BFBBB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56.8</w:t>
            </w:r>
          </w:p>
        </w:tc>
        <w:tc>
          <w:tcPr>
            <w:tcW w:w="137" w:type="pct"/>
            <w:shd w:val="clear" w:color="auto" w:fill="auto"/>
            <w:vAlign w:val="center"/>
          </w:tcPr>
          <w:p w14:paraId="0DDE691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59.2</w:t>
            </w:r>
          </w:p>
        </w:tc>
        <w:tc>
          <w:tcPr>
            <w:tcW w:w="138" w:type="pct"/>
            <w:shd w:val="clear" w:color="auto" w:fill="auto"/>
            <w:vAlign w:val="center"/>
          </w:tcPr>
          <w:p w14:paraId="4FC6BE4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55.3</w:t>
            </w:r>
          </w:p>
        </w:tc>
        <w:tc>
          <w:tcPr>
            <w:tcW w:w="137" w:type="pct"/>
            <w:shd w:val="clear" w:color="auto" w:fill="auto"/>
            <w:vAlign w:val="center"/>
          </w:tcPr>
          <w:p w14:paraId="3C06CC5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60.0</w:t>
            </w:r>
          </w:p>
        </w:tc>
        <w:tc>
          <w:tcPr>
            <w:tcW w:w="139" w:type="pct"/>
            <w:shd w:val="clear" w:color="auto" w:fill="auto"/>
            <w:vAlign w:val="center"/>
          </w:tcPr>
          <w:p w14:paraId="0E833F3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56.1</w:t>
            </w:r>
          </w:p>
        </w:tc>
        <w:tc>
          <w:tcPr>
            <w:tcW w:w="137" w:type="pct"/>
            <w:shd w:val="clear" w:color="auto" w:fill="auto"/>
            <w:vAlign w:val="center"/>
          </w:tcPr>
          <w:p w14:paraId="7E250CD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58.9</w:t>
            </w:r>
          </w:p>
        </w:tc>
        <w:tc>
          <w:tcPr>
            <w:tcW w:w="139" w:type="pct"/>
            <w:shd w:val="clear" w:color="auto" w:fill="auto"/>
            <w:vAlign w:val="center"/>
          </w:tcPr>
          <w:p w14:paraId="7231C3C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56.8</w:t>
            </w:r>
          </w:p>
        </w:tc>
        <w:tc>
          <w:tcPr>
            <w:tcW w:w="137" w:type="pct"/>
            <w:shd w:val="clear" w:color="auto" w:fill="auto"/>
            <w:vAlign w:val="center"/>
          </w:tcPr>
          <w:p w14:paraId="1AE764C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8" w:type="pct"/>
            <w:shd w:val="clear" w:color="auto" w:fill="auto"/>
            <w:vAlign w:val="center"/>
          </w:tcPr>
          <w:p w14:paraId="65AA466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7" w:type="pct"/>
            <w:shd w:val="clear" w:color="auto" w:fill="auto"/>
            <w:vAlign w:val="center"/>
          </w:tcPr>
          <w:p w14:paraId="3478174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shd w:val="clear" w:color="auto" w:fill="auto"/>
            <w:vAlign w:val="center"/>
          </w:tcPr>
          <w:p w14:paraId="34C6CE6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7" w:type="pct"/>
            <w:shd w:val="clear" w:color="auto" w:fill="auto"/>
            <w:vAlign w:val="center"/>
          </w:tcPr>
          <w:p w14:paraId="3DDD0A1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shd w:val="clear" w:color="auto" w:fill="auto"/>
            <w:vAlign w:val="center"/>
          </w:tcPr>
          <w:p w14:paraId="61E6C77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7" w:type="pct"/>
            <w:shd w:val="clear" w:color="auto" w:fill="auto"/>
            <w:vAlign w:val="center"/>
          </w:tcPr>
          <w:p w14:paraId="1B5DB4E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17.7</w:t>
            </w:r>
          </w:p>
        </w:tc>
        <w:tc>
          <w:tcPr>
            <w:tcW w:w="139" w:type="pct"/>
            <w:shd w:val="clear" w:color="auto" w:fill="auto"/>
            <w:vAlign w:val="center"/>
          </w:tcPr>
          <w:p w14:paraId="7C73CBC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17.8</w:t>
            </w:r>
          </w:p>
        </w:tc>
        <w:tc>
          <w:tcPr>
            <w:tcW w:w="137" w:type="pct"/>
            <w:shd w:val="clear" w:color="auto" w:fill="auto"/>
            <w:vAlign w:val="center"/>
          </w:tcPr>
          <w:p w14:paraId="68E4447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18.5</w:t>
            </w:r>
          </w:p>
        </w:tc>
        <w:tc>
          <w:tcPr>
            <w:tcW w:w="138" w:type="pct"/>
            <w:shd w:val="clear" w:color="auto" w:fill="auto"/>
            <w:vAlign w:val="center"/>
          </w:tcPr>
          <w:p w14:paraId="058C146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18.6</w:t>
            </w:r>
          </w:p>
        </w:tc>
        <w:tc>
          <w:tcPr>
            <w:tcW w:w="137" w:type="pct"/>
            <w:shd w:val="clear" w:color="auto" w:fill="auto"/>
            <w:vAlign w:val="center"/>
          </w:tcPr>
          <w:p w14:paraId="68D4986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17.4</w:t>
            </w:r>
          </w:p>
        </w:tc>
        <w:tc>
          <w:tcPr>
            <w:tcW w:w="139" w:type="pct"/>
            <w:shd w:val="clear" w:color="auto" w:fill="auto"/>
            <w:vAlign w:val="center"/>
          </w:tcPr>
          <w:p w14:paraId="316541B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19.3</w:t>
            </w:r>
          </w:p>
        </w:tc>
        <w:tc>
          <w:tcPr>
            <w:tcW w:w="157" w:type="pct"/>
            <w:vMerge w:val="continue"/>
            <w:vAlign w:val="center"/>
          </w:tcPr>
          <w:p w14:paraId="6245E2D2">
            <w:pPr>
              <w:widowControl/>
              <w:jc w:val="center"/>
              <w:rPr>
                <w:rFonts w:ascii="Times New Roman" w:hAnsi="Times New Roman" w:eastAsia="宋体" w:cs="Times New Roman"/>
                <w:kern w:val="0"/>
                <w:szCs w:val="21"/>
              </w:rPr>
            </w:pPr>
          </w:p>
        </w:tc>
        <w:tc>
          <w:tcPr>
            <w:tcW w:w="134" w:type="pct"/>
            <w:vMerge w:val="continue"/>
            <w:vAlign w:val="center"/>
          </w:tcPr>
          <w:p w14:paraId="758CD6D3">
            <w:pPr>
              <w:widowControl/>
              <w:jc w:val="center"/>
              <w:rPr>
                <w:rFonts w:ascii="Times New Roman" w:hAnsi="Times New Roman" w:eastAsia="宋体" w:cs="Times New Roman"/>
                <w:kern w:val="0"/>
                <w:szCs w:val="21"/>
              </w:rPr>
            </w:pPr>
          </w:p>
        </w:tc>
        <w:tc>
          <w:tcPr>
            <w:tcW w:w="134" w:type="pct"/>
            <w:vMerge w:val="continue"/>
            <w:vAlign w:val="center"/>
          </w:tcPr>
          <w:p w14:paraId="4F2C44F4">
            <w:pPr>
              <w:widowControl/>
              <w:jc w:val="center"/>
              <w:rPr>
                <w:rFonts w:ascii="Times New Roman" w:hAnsi="Times New Roman" w:eastAsia="宋体" w:cs="Times New Roman"/>
                <w:kern w:val="0"/>
                <w:szCs w:val="21"/>
              </w:rPr>
            </w:pPr>
          </w:p>
        </w:tc>
      </w:tr>
      <w:tr w14:paraId="2D9A2ACF">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7" w:type="pct"/>
            <w:vMerge w:val="restart"/>
            <w:shd w:val="clear" w:color="auto" w:fill="auto"/>
            <w:vAlign w:val="center"/>
          </w:tcPr>
          <w:p w14:paraId="0B717CD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w:t>
            </w:r>
          </w:p>
        </w:tc>
        <w:tc>
          <w:tcPr>
            <w:tcW w:w="320" w:type="pct"/>
            <w:vMerge w:val="restart"/>
            <w:shd w:val="clear" w:color="auto" w:fill="auto"/>
            <w:vAlign w:val="center"/>
          </w:tcPr>
          <w:p w14:paraId="36C74A95">
            <w:pPr>
              <w:widowControl/>
              <w:jc w:val="center"/>
              <w:rPr>
                <w:rFonts w:ascii="Times New Roman" w:hAnsi="Times New Roman" w:eastAsia="宋体" w:cs="Times New Roman"/>
                <w:kern w:val="0"/>
                <w:szCs w:val="21"/>
              </w:rPr>
            </w:pPr>
            <w:r>
              <w:rPr>
                <w:rFonts w:ascii="Times New Roman" w:hAnsi="宋体" w:eastAsia="宋体" w:cs="Times New Roman"/>
                <w:kern w:val="0"/>
                <w:szCs w:val="21"/>
              </w:rPr>
              <w:t>艾拉木艾日克</w:t>
            </w:r>
          </w:p>
        </w:tc>
        <w:tc>
          <w:tcPr>
            <w:tcW w:w="145" w:type="pct"/>
            <w:vMerge w:val="restart"/>
            <w:shd w:val="clear" w:color="auto" w:fill="auto"/>
            <w:vAlign w:val="center"/>
          </w:tcPr>
          <w:p w14:paraId="69468213">
            <w:pPr>
              <w:widowControl/>
              <w:jc w:val="center"/>
              <w:rPr>
                <w:rFonts w:ascii="Times New Roman" w:hAnsi="Times New Roman" w:eastAsia="宋体" w:cs="Times New Roman"/>
                <w:kern w:val="0"/>
                <w:szCs w:val="21"/>
              </w:rPr>
            </w:pPr>
            <w:r>
              <w:rPr>
                <w:rFonts w:ascii="Times New Roman" w:hAnsi="宋体" w:eastAsia="宋体" w:cs="Times New Roman"/>
                <w:kern w:val="0"/>
                <w:szCs w:val="21"/>
              </w:rPr>
              <w:t>路左</w:t>
            </w:r>
          </w:p>
        </w:tc>
        <w:tc>
          <w:tcPr>
            <w:tcW w:w="189" w:type="pct"/>
            <w:shd w:val="clear" w:color="auto" w:fill="auto"/>
            <w:noWrap/>
            <w:vAlign w:val="center"/>
          </w:tcPr>
          <w:p w14:paraId="2DC597A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35</w:t>
            </w:r>
          </w:p>
        </w:tc>
        <w:tc>
          <w:tcPr>
            <w:tcW w:w="132" w:type="pct"/>
            <w:vMerge w:val="restart"/>
            <w:shd w:val="clear" w:color="auto" w:fill="auto"/>
            <w:vAlign w:val="center"/>
          </w:tcPr>
          <w:p w14:paraId="54C8049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w:t>
            </w:r>
          </w:p>
        </w:tc>
        <w:tc>
          <w:tcPr>
            <w:tcW w:w="232" w:type="pct"/>
            <w:vMerge w:val="restart"/>
            <w:shd w:val="clear" w:color="auto" w:fill="auto"/>
            <w:vAlign w:val="center"/>
          </w:tcPr>
          <w:p w14:paraId="5580A47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0</w:t>
            </w:r>
          </w:p>
        </w:tc>
        <w:tc>
          <w:tcPr>
            <w:tcW w:w="147" w:type="pct"/>
            <w:vMerge w:val="restart"/>
            <w:shd w:val="clear" w:color="auto" w:fill="auto"/>
            <w:vAlign w:val="center"/>
          </w:tcPr>
          <w:p w14:paraId="0CE0233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w:t>
            </w:r>
            <w:r>
              <w:rPr>
                <w:rFonts w:ascii="Times New Roman" w:hAnsi="宋体" w:eastAsia="宋体" w:cs="Times New Roman"/>
                <w:kern w:val="0"/>
                <w:szCs w:val="21"/>
              </w:rPr>
              <w:t>层</w:t>
            </w:r>
          </w:p>
        </w:tc>
        <w:tc>
          <w:tcPr>
            <w:tcW w:w="137" w:type="pct"/>
            <w:shd w:val="clear" w:color="auto" w:fill="auto"/>
            <w:vAlign w:val="center"/>
          </w:tcPr>
          <w:p w14:paraId="139BC4B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59.8</w:t>
            </w:r>
          </w:p>
        </w:tc>
        <w:tc>
          <w:tcPr>
            <w:tcW w:w="138" w:type="pct"/>
            <w:shd w:val="clear" w:color="auto" w:fill="auto"/>
            <w:vAlign w:val="center"/>
          </w:tcPr>
          <w:p w14:paraId="3D15A10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56.0</w:t>
            </w:r>
          </w:p>
        </w:tc>
        <w:tc>
          <w:tcPr>
            <w:tcW w:w="137" w:type="pct"/>
            <w:shd w:val="clear" w:color="auto" w:fill="auto"/>
            <w:vAlign w:val="center"/>
          </w:tcPr>
          <w:p w14:paraId="23C392C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60.6</w:t>
            </w:r>
          </w:p>
        </w:tc>
        <w:tc>
          <w:tcPr>
            <w:tcW w:w="138" w:type="pct"/>
            <w:shd w:val="clear" w:color="auto" w:fill="auto"/>
            <w:vAlign w:val="center"/>
          </w:tcPr>
          <w:p w14:paraId="364E3F9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56.7</w:t>
            </w:r>
          </w:p>
        </w:tc>
        <w:tc>
          <w:tcPr>
            <w:tcW w:w="137" w:type="pct"/>
            <w:shd w:val="clear" w:color="auto" w:fill="auto"/>
            <w:vAlign w:val="center"/>
          </w:tcPr>
          <w:p w14:paraId="65946D9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59.5</w:t>
            </w:r>
          </w:p>
        </w:tc>
        <w:tc>
          <w:tcPr>
            <w:tcW w:w="140" w:type="pct"/>
            <w:shd w:val="clear" w:color="auto" w:fill="auto"/>
            <w:vAlign w:val="center"/>
          </w:tcPr>
          <w:p w14:paraId="2D8CE59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57.5</w:t>
            </w:r>
          </w:p>
        </w:tc>
        <w:tc>
          <w:tcPr>
            <w:tcW w:w="137" w:type="pct"/>
            <w:shd w:val="clear" w:color="auto" w:fill="auto"/>
            <w:vAlign w:val="center"/>
          </w:tcPr>
          <w:p w14:paraId="02F1AD3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59.9</w:t>
            </w:r>
          </w:p>
        </w:tc>
        <w:tc>
          <w:tcPr>
            <w:tcW w:w="138" w:type="pct"/>
            <w:shd w:val="clear" w:color="auto" w:fill="auto"/>
            <w:vAlign w:val="center"/>
          </w:tcPr>
          <w:p w14:paraId="4B0B127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56.0</w:t>
            </w:r>
          </w:p>
        </w:tc>
        <w:tc>
          <w:tcPr>
            <w:tcW w:w="137" w:type="pct"/>
            <w:shd w:val="clear" w:color="auto" w:fill="auto"/>
            <w:vAlign w:val="center"/>
          </w:tcPr>
          <w:p w14:paraId="6F0C169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60.7</w:t>
            </w:r>
          </w:p>
        </w:tc>
        <w:tc>
          <w:tcPr>
            <w:tcW w:w="139" w:type="pct"/>
            <w:shd w:val="clear" w:color="auto" w:fill="auto"/>
            <w:vAlign w:val="center"/>
          </w:tcPr>
          <w:p w14:paraId="0DE85E0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56.8</w:t>
            </w:r>
          </w:p>
        </w:tc>
        <w:tc>
          <w:tcPr>
            <w:tcW w:w="137" w:type="pct"/>
            <w:shd w:val="clear" w:color="auto" w:fill="auto"/>
            <w:vAlign w:val="center"/>
          </w:tcPr>
          <w:p w14:paraId="2D9ED19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59.6</w:t>
            </w:r>
          </w:p>
        </w:tc>
        <w:tc>
          <w:tcPr>
            <w:tcW w:w="139" w:type="pct"/>
            <w:shd w:val="clear" w:color="auto" w:fill="auto"/>
            <w:vAlign w:val="center"/>
          </w:tcPr>
          <w:p w14:paraId="123749E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57.5</w:t>
            </w:r>
          </w:p>
        </w:tc>
        <w:tc>
          <w:tcPr>
            <w:tcW w:w="137" w:type="pct"/>
            <w:shd w:val="clear" w:color="auto" w:fill="auto"/>
            <w:vAlign w:val="center"/>
          </w:tcPr>
          <w:p w14:paraId="388F6FA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8" w:type="pct"/>
            <w:shd w:val="clear" w:color="auto" w:fill="auto"/>
            <w:vAlign w:val="center"/>
          </w:tcPr>
          <w:p w14:paraId="77154D4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1.0</w:t>
            </w:r>
          </w:p>
        </w:tc>
        <w:tc>
          <w:tcPr>
            <w:tcW w:w="137" w:type="pct"/>
            <w:shd w:val="clear" w:color="auto" w:fill="auto"/>
            <w:vAlign w:val="center"/>
          </w:tcPr>
          <w:p w14:paraId="3DE43AD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shd w:val="clear" w:color="auto" w:fill="auto"/>
            <w:vAlign w:val="center"/>
          </w:tcPr>
          <w:p w14:paraId="27E781F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1.8</w:t>
            </w:r>
          </w:p>
        </w:tc>
        <w:tc>
          <w:tcPr>
            <w:tcW w:w="137" w:type="pct"/>
            <w:shd w:val="clear" w:color="auto" w:fill="auto"/>
            <w:vAlign w:val="center"/>
          </w:tcPr>
          <w:p w14:paraId="0CC376A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shd w:val="clear" w:color="auto" w:fill="auto"/>
            <w:vAlign w:val="center"/>
          </w:tcPr>
          <w:p w14:paraId="0CD5A2D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2.5</w:t>
            </w:r>
          </w:p>
        </w:tc>
        <w:tc>
          <w:tcPr>
            <w:tcW w:w="137" w:type="pct"/>
            <w:shd w:val="clear" w:color="auto" w:fill="auto"/>
            <w:vAlign w:val="center"/>
          </w:tcPr>
          <w:p w14:paraId="728A640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18.4</w:t>
            </w:r>
          </w:p>
        </w:tc>
        <w:tc>
          <w:tcPr>
            <w:tcW w:w="139" w:type="pct"/>
            <w:shd w:val="clear" w:color="auto" w:fill="auto"/>
            <w:vAlign w:val="center"/>
          </w:tcPr>
          <w:p w14:paraId="385FAE5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18.5</w:t>
            </w:r>
          </w:p>
        </w:tc>
        <w:tc>
          <w:tcPr>
            <w:tcW w:w="137" w:type="pct"/>
            <w:shd w:val="clear" w:color="auto" w:fill="auto"/>
            <w:vAlign w:val="center"/>
          </w:tcPr>
          <w:p w14:paraId="4E4D3FA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19.2</w:t>
            </w:r>
          </w:p>
        </w:tc>
        <w:tc>
          <w:tcPr>
            <w:tcW w:w="138" w:type="pct"/>
            <w:shd w:val="clear" w:color="auto" w:fill="auto"/>
            <w:vAlign w:val="center"/>
          </w:tcPr>
          <w:p w14:paraId="6323C22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19.3</w:t>
            </w:r>
          </w:p>
        </w:tc>
        <w:tc>
          <w:tcPr>
            <w:tcW w:w="137" w:type="pct"/>
            <w:shd w:val="clear" w:color="auto" w:fill="auto"/>
            <w:vAlign w:val="center"/>
          </w:tcPr>
          <w:p w14:paraId="2E7817B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18.1</w:t>
            </w:r>
          </w:p>
        </w:tc>
        <w:tc>
          <w:tcPr>
            <w:tcW w:w="139" w:type="pct"/>
            <w:shd w:val="clear" w:color="auto" w:fill="auto"/>
            <w:vAlign w:val="center"/>
          </w:tcPr>
          <w:p w14:paraId="53D194A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20.0</w:t>
            </w:r>
          </w:p>
        </w:tc>
        <w:tc>
          <w:tcPr>
            <w:tcW w:w="157" w:type="pct"/>
            <w:shd w:val="clear" w:color="auto" w:fill="auto"/>
            <w:vAlign w:val="center"/>
          </w:tcPr>
          <w:p w14:paraId="51B5FF7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4a</w:t>
            </w:r>
            <w:r>
              <w:rPr>
                <w:rFonts w:ascii="Times New Roman" w:hAnsi="宋体" w:eastAsia="宋体" w:cs="Times New Roman"/>
                <w:kern w:val="0"/>
                <w:szCs w:val="21"/>
              </w:rPr>
              <w:t>类</w:t>
            </w:r>
          </w:p>
        </w:tc>
        <w:tc>
          <w:tcPr>
            <w:tcW w:w="134" w:type="pct"/>
            <w:vMerge w:val="restart"/>
            <w:shd w:val="clear" w:color="auto" w:fill="auto"/>
            <w:vAlign w:val="center"/>
          </w:tcPr>
          <w:p w14:paraId="5E98442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41.5</w:t>
            </w:r>
          </w:p>
        </w:tc>
        <w:tc>
          <w:tcPr>
            <w:tcW w:w="134" w:type="pct"/>
            <w:vMerge w:val="restart"/>
            <w:shd w:val="clear" w:color="auto" w:fill="auto"/>
            <w:vAlign w:val="center"/>
          </w:tcPr>
          <w:p w14:paraId="20840B0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37.5</w:t>
            </w:r>
          </w:p>
        </w:tc>
      </w:tr>
      <w:tr w14:paraId="77C59402">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7" w:type="pct"/>
            <w:vMerge w:val="continue"/>
            <w:vAlign w:val="center"/>
          </w:tcPr>
          <w:p w14:paraId="73E9E883">
            <w:pPr>
              <w:widowControl/>
              <w:jc w:val="center"/>
              <w:rPr>
                <w:rFonts w:ascii="Times New Roman" w:hAnsi="Times New Roman" w:eastAsia="宋体" w:cs="Times New Roman"/>
                <w:kern w:val="0"/>
                <w:szCs w:val="21"/>
              </w:rPr>
            </w:pPr>
          </w:p>
        </w:tc>
        <w:tc>
          <w:tcPr>
            <w:tcW w:w="320" w:type="pct"/>
            <w:vMerge w:val="continue"/>
            <w:vAlign w:val="center"/>
          </w:tcPr>
          <w:p w14:paraId="7F738295">
            <w:pPr>
              <w:widowControl/>
              <w:jc w:val="center"/>
              <w:rPr>
                <w:rFonts w:ascii="Times New Roman" w:hAnsi="Times New Roman" w:eastAsia="宋体" w:cs="Times New Roman"/>
                <w:kern w:val="0"/>
                <w:szCs w:val="21"/>
              </w:rPr>
            </w:pPr>
          </w:p>
        </w:tc>
        <w:tc>
          <w:tcPr>
            <w:tcW w:w="145" w:type="pct"/>
            <w:vMerge w:val="continue"/>
            <w:vAlign w:val="center"/>
          </w:tcPr>
          <w:p w14:paraId="2A9BC8AA">
            <w:pPr>
              <w:widowControl/>
              <w:jc w:val="center"/>
              <w:rPr>
                <w:rFonts w:ascii="Times New Roman" w:hAnsi="Times New Roman" w:eastAsia="宋体" w:cs="Times New Roman"/>
                <w:kern w:val="0"/>
                <w:szCs w:val="21"/>
              </w:rPr>
            </w:pPr>
          </w:p>
        </w:tc>
        <w:tc>
          <w:tcPr>
            <w:tcW w:w="189" w:type="pct"/>
            <w:shd w:val="clear" w:color="auto" w:fill="auto"/>
            <w:noWrap/>
            <w:vAlign w:val="center"/>
          </w:tcPr>
          <w:p w14:paraId="75F3A2B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w:t>
            </w:r>
          </w:p>
        </w:tc>
        <w:tc>
          <w:tcPr>
            <w:tcW w:w="132" w:type="pct"/>
            <w:vMerge w:val="continue"/>
            <w:vAlign w:val="center"/>
          </w:tcPr>
          <w:p w14:paraId="66608068">
            <w:pPr>
              <w:widowControl/>
              <w:jc w:val="center"/>
              <w:rPr>
                <w:rFonts w:ascii="Times New Roman" w:hAnsi="Times New Roman" w:eastAsia="宋体" w:cs="Times New Roman"/>
                <w:kern w:val="0"/>
                <w:szCs w:val="21"/>
              </w:rPr>
            </w:pPr>
          </w:p>
        </w:tc>
        <w:tc>
          <w:tcPr>
            <w:tcW w:w="232" w:type="pct"/>
            <w:vMerge w:val="continue"/>
            <w:vAlign w:val="center"/>
          </w:tcPr>
          <w:p w14:paraId="1CA79264">
            <w:pPr>
              <w:widowControl/>
              <w:jc w:val="center"/>
              <w:rPr>
                <w:rFonts w:ascii="Times New Roman" w:hAnsi="Times New Roman" w:eastAsia="宋体" w:cs="Times New Roman"/>
                <w:kern w:val="0"/>
                <w:szCs w:val="21"/>
              </w:rPr>
            </w:pPr>
          </w:p>
        </w:tc>
        <w:tc>
          <w:tcPr>
            <w:tcW w:w="147" w:type="pct"/>
            <w:vMerge w:val="continue"/>
            <w:vAlign w:val="center"/>
          </w:tcPr>
          <w:p w14:paraId="48AFB358">
            <w:pPr>
              <w:widowControl/>
              <w:jc w:val="center"/>
              <w:rPr>
                <w:rFonts w:ascii="Times New Roman" w:hAnsi="Times New Roman" w:eastAsia="宋体" w:cs="Times New Roman"/>
                <w:kern w:val="0"/>
                <w:szCs w:val="21"/>
              </w:rPr>
            </w:pPr>
          </w:p>
        </w:tc>
        <w:tc>
          <w:tcPr>
            <w:tcW w:w="137" w:type="pct"/>
            <w:shd w:val="clear" w:color="auto" w:fill="auto"/>
            <w:vAlign w:val="center"/>
          </w:tcPr>
          <w:p w14:paraId="4D00EC1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57.0</w:t>
            </w:r>
          </w:p>
        </w:tc>
        <w:tc>
          <w:tcPr>
            <w:tcW w:w="138" w:type="pct"/>
            <w:shd w:val="clear" w:color="auto" w:fill="auto"/>
            <w:vAlign w:val="center"/>
          </w:tcPr>
          <w:p w14:paraId="6D56F67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53.1</w:t>
            </w:r>
          </w:p>
        </w:tc>
        <w:tc>
          <w:tcPr>
            <w:tcW w:w="137" w:type="pct"/>
            <w:shd w:val="clear" w:color="auto" w:fill="auto"/>
            <w:vAlign w:val="center"/>
          </w:tcPr>
          <w:p w14:paraId="7EF754A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57.8</w:t>
            </w:r>
          </w:p>
        </w:tc>
        <w:tc>
          <w:tcPr>
            <w:tcW w:w="138" w:type="pct"/>
            <w:shd w:val="clear" w:color="auto" w:fill="auto"/>
            <w:vAlign w:val="center"/>
          </w:tcPr>
          <w:p w14:paraId="70E476E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53.9</w:t>
            </w:r>
          </w:p>
        </w:tc>
        <w:tc>
          <w:tcPr>
            <w:tcW w:w="137" w:type="pct"/>
            <w:shd w:val="clear" w:color="auto" w:fill="auto"/>
            <w:vAlign w:val="center"/>
          </w:tcPr>
          <w:p w14:paraId="0FEDF49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56.7</w:t>
            </w:r>
          </w:p>
        </w:tc>
        <w:tc>
          <w:tcPr>
            <w:tcW w:w="140" w:type="pct"/>
            <w:shd w:val="clear" w:color="auto" w:fill="auto"/>
            <w:vAlign w:val="center"/>
          </w:tcPr>
          <w:p w14:paraId="714D695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54.6</w:t>
            </w:r>
          </w:p>
        </w:tc>
        <w:tc>
          <w:tcPr>
            <w:tcW w:w="137" w:type="pct"/>
            <w:shd w:val="clear" w:color="auto" w:fill="auto"/>
            <w:vAlign w:val="center"/>
          </w:tcPr>
          <w:p w14:paraId="0AC11F8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57.1</w:t>
            </w:r>
          </w:p>
        </w:tc>
        <w:tc>
          <w:tcPr>
            <w:tcW w:w="138" w:type="pct"/>
            <w:shd w:val="clear" w:color="auto" w:fill="auto"/>
            <w:vAlign w:val="center"/>
          </w:tcPr>
          <w:p w14:paraId="70D0104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53.3</w:t>
            </w:r>
          </w:p>
        </w:tc>
        <w:tc>
          <w:tcPr>
            <w:tcW w:w="137" w:type="pct"/>
            <w:shd w:val="clear" w:color="auto" w:fill="auto"/>
            <w:vAlign w:val="center"/>
          </w:tcPr>
          <w:p w14:paraId="307A54E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57.9</w:t>
            </w:r>
          </w:p>
        </w:tc>
        <w:tc>
          <w:tcPr>
            <w:tcW w:w="139" w:type="pct"/>
            <w:shd w:val="clear" w:color="auto" w:fill="auto"/>
            <w:vAlign w:val="center"/>
          </w:tcPr>
          <w:p w14:paraId="36DFDAF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54.0</w:t>
            </w:r>
          </w:p>
        </w:tc>
        <w:tc>
          <w:tcPr>
            <w:tcW w:w="137" w:type="pct"/>
            <w:shd w:val="clear" w:color="auto" w:fill="auto"/>
            <w:vAlign w:val="center"/>
          </w:tcPr>
          <w:p w14:paraId="67962C6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56.8</w:t>
            </w:r>
          </w:p>
        </w:tc>
        <w:tc>
          <w:tcPr>
            <w:tcW w:w="139" w:type="pct"/>
            <w:shd w:val="clear" w:color="auto" w:fill="auto"/>
            <w:vAlign w:val="center"/>
          </w:tcPr>
          <w:p w14:paraId="363A779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54.7</w:t>
            </w:r>
          </w:p>
        </w:tc>
        <w:tc>
          <w:tcPr>
            <w:tcW w:w="137" w:type="pct"/>
            <w:shd w:val="clear" w:color="auto" w:fill="auto"/>
            <w:vAlign w:val="center"/>
          </w:tcPr>
          <w:p w14:paraId="25FF2DD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8" w:type="pct"/>
            <w:shd w:val="clear" w:color="auto" w:fill="auto"/>
            <w:vAlign w:val="center"/>
          </w:tcPr>
          <w:p w14:paraId="4AF707B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3.3</w:t>
            </w:r>
          </w:p>
        </w:tc>
        <w:tc>
          <w:tcPr>
            <w:tcW w:w="137" w:type="pct"/>
            <w:shd w:val="clear" w:color="auto" w:fill="auto"/>
            <w:vAlign w:val="center"/>
          </w:tcPr>
          <w:p w14:paraId="09CB401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shd w:val="clear" w:color="auto" w:fill="auto"/>
            <w:vAlign w:val="center"/>
          </w:tcPr>
          <w:p w14:paraId="1387FC6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4.0</w:t>
            </w:r>
          </w:p>
        </w:tc>
        <w:tc>
          <w:tcPr>
            <w:tcW w:w="137" w:type="pct"/>
            <w:shd w:val="clear" w:color="auto" w:fill="auto"/>
            <w:vAlign w:val="center"/>
          </w:tcPr>
          <w:p w14:paraId="03EFA35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shd w:val="clear" w:color="auto" w:fill="auto"/>
            <w:vAlign w:val="center"/>
          </w:tcPr>
          <w:p w14:paraId="1819889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4.7</w:t>
            </w:r>
          </w:p>
        </w:tc>
        <w:tc>
          <w:tcPr>
            <w:tcW w:w="137" w:type="pct"/>
            <w:shd w:val="clear" w:color="auto" w:fill="auto"/>
            <w:vAlign w:val="center"/>
          </w:tcPr>
          <w:p w14:paraId="6E09C02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15.6</w:t>
            </w:r>
          </w:p>
        </w:tc>
        <w:tc>
          <w:tcPr>
            <w:tcW w:w="139" w:type="pct"/>
            <w:shd w:val="clear" w:color="auto" w:fill="auto"/>
            <w:vAlign w:val="center"/>
          </w:tcPr>
          <w:p w14:paraId="394BE32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15.8</w:t>
            </w:r>
          </w:p>
        </w:tc>
        <w:tc>
          <w:tcPr>
            <w:tcW w:w="137" w:type="pct"/>
            <w:shd w:val="clear" w:color="auto" w:fill="auto"/>
            <w:vAlign w:val="center"/>
          </w:tcPr>
          <w:p w14:paraId="3B6494C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16.4</w:t>
            </w:r>
          </w:p>
        </w:tc>
        <w:tc>
          <w:tcPr>
            <w:tcW w:w="138" w:type="pct"/>
            <w:shd w:val="clear" w:color="auto" w:fill="auto"/>
            <w:vAlign w:val="center"/>
          </w:tcPr>
          <w:p w14:paraId="3CA777E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16.5</w:t>
            </w:r>
          </w:p>
        </w:tc>
        <w:tc>
          <w:tcPr>
            <w:tcW w:w="137" w:type="pct"/>
            <w:shd w:val="clear" w:color="auto" w:fill="auto"/>
            <w:vAlign w:val="center"/>
          </w:tcPr>
          <w:p w14:paraId="35D2222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15.3</w:t>
            </w:r>
          </w:p>
        </w:tc>
        <w:tc>
          <w:tcPr>
            <w:tcW w:w="139" w:type="pct"/>
            <w:shd w:val="clear" w:color="auto" w:fill="auto"/>
            <w:vAlign w:val="center"/>
          </w:tcPr>
          <w:p w14:paraId="3523588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17.2</w:t>
            </w:r>
          </w:p>
        </w:tc>
        <w:tc>
          <w:tcPr>
            <w:tcW w:w="157" w:type="pct"/>
            <w:shd w:val="clear" w:color="auto" w:fill="auto"/>
            <w:vAlign w:val="center"/>
          </w:tcPr>
          <w:p w14:paraId="3BE2524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w:t>
            </w:r>
            <w:r>
              <w:rPr>
                <w:rFonts w:ascii="Times New Roman" w:hAnsi="宋体" w:eastAsia="宋体" w:cs="Times New Roman"/>
                <w:kern w:val="0"/>
                <w:szCs w:val="21"/>
              </w:rPr>
              <w:t>类</w:t>
            </w:r>
          </w:p>
        </w:tc>
        <w:tc>
          <w:tcPr>
            <w:tcW w:w="134" w:type="pct"/>
            <w:vMerge w:val="continue"/>
            <w:vAlign w:val="center"/>
          </w:tcPr>
          <w:p w14:paraId="24C0728C">
            <w:pPr>
              <w:widowControl/>
              <w:jc w:val="center"/>
              <w:rPr>
                <w:rFonts w:ascii="Times New Roman" w:hAnsi="Times New Roman" w:eastAsia="宋体" w:cs="Times New Roman"/>
                <w:kern w:val="0"/>
                <w:szCs w:val="21"/>
              </w:rPr>
            </w:pPr>
          </w:p>
        </w:tc>
        <w:tc>
          <w:tcPr>
            <w:tcW w:w="134" w:type="pct"/>
            <w:vMerge w:val="continue"/>
            <w:vAlign w:val="center"/>
          </w:tcPr>
          <w:p w14:paraId="7C96468B">
            <w:pPr>
              <w:widowControl/>
              <w:jc w:val="center"/>
              <w:rPr>
                <w:rFonts w:ascii="Times New Roman" w:hAnsi="Times New Roman" w:eastAsia="宋体" w:cs="Times New Roman"/>
                <w:kern w:val="0"/>
                <w:szCs w:val="21"/>
              </w:rPr>
            </w:pPr>
          </w:p>
        </w:tc>
      </w:tr>
      <w:tr w14:paraId="19166905">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7" w:type="pct"/>
            <w:vMerge w:val="continue"/>
            <w:vAlign w:val="center"/>
          </w:tcPr>
          <w:p w14:paraId="31F04E93">
            <w:pPr>
              <w:widowControl/>
              <w:jc w:val="center"/>
              <w:rPr>
                <w:rFonts w:ascii="Times New Roman" w:hAnsi="Times New Roman" w:eastAsia="宋体" w:cs="Times New Roman"/>
                <w:kern w:val="0"/>
                <w:szCs w:val="21"/>
              </w:rPr>
            </w:pPr>
          </w:p>
        </w:tc>
        <w:tc>
          <w:tcPr>
            <w:tcW w:w="320" w:type="pct"/>
            <w:vMerge w:val="continue"/>
            <w:vAlign w:val="center"/>
          </w:tcPr>
          <w:p w14:paraId="630D3BEE">
            <w:pPr>
              <w:widowControl/>
              <w:jc w:val="center"/>
              <w:rPr>
                <w:rFonts w:ascii="Times New Roman" w:hAnsi="Times New Roman" w:eastAsia="宋体" w:cs="Times New Roman"/>
                <w:kern w:val="0"/>
                <w:szCs w:val="21"/>
              </w:rPr>
            </w:pPr>
          </w:p>
        </w:tc>
        <w:tc>
          <w:tcPr>
            <w:tcW w:w="145" w:type="pct"/>
            <w:vMerge w:val="continue"/>
            <w:vAlign w:val="center"/>
          </w:tcPr>
          <w:p w14:paraId="63488BE1">
            <w:pPr>
              <w:widowControl/>
              <w:jc w:val="center"/>
              <w:rPr>
                <w:rFonts w:ascii="Times New Roman" w:hAnsi="Times New Roman" w:eastAsia="宋体" w:cs="Times New Roman"/>
                <w:kern w:val="0"/>
                <w:szCs w:val="21"/>
              </w:rPr>
            </w:pPr>
          </w:p>
        </w:tc>
        <w:tc>
          <w:tcPr>
            <w:tcW w:w="189" w:type="pct"/>
            <w:shd w:val="clear" w:color="auto" w:fill="auto"/>
            <w:noWrap/>
            <w:vAlign w:val="center"/>
          </w:tcPr>
          <w:p w14:paraId="0C160E3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41</w:t>
            </w:r>
          </w:p>
        </w:tc>
        <w:tc>
          <w:tcPr>
            <w:tcW w:w="132" w:type="pct"/>
            <w:vMerge w:val="continue"/>
            <w:vAlign w:val="center"/>
          </w:tcPr>
          <w:p w14:paraId="1A8E017D">
            <w:pPr>
              <w:widowControl/>
              <w:jc w:val="center"/>
              <w:rPr>
                <w:rFonts w:ascii="Times New Roman" w:hAnsi="Times New Roman" w:eastAsia="宋体" w:cs="Times New Roman"/>
                <w:kern w:val="0"/>
                <w:szCs w:val="21"/>
              </w:rPr>
            </w:pPr>
          </w:p>
        </w:tc>
        <w:tc>
          <w:tcPr>
            <w:tcW w:w="232" w:type="pct"/>
            <w:vMerge w:val="continue"/>
            <w:vAlign w:val="center"/>
          </w:tcPr>
          <w:p w14:paraId="3AF21991">
            <w:pPr>
              <w:widowControl/>
              <w:jc w:val="center"/>
              <w:rPr>
                <w:rFonts w:ascii="Times New Roman" w:hAnsi="Times New Roman" w:eastAsia="宋体" w:cs="Times New Roman"/>
                <w:kern w:val="0"/>
                <w:szCs w:val="21"/>
              </w:rPr>
            </w:pPr>
          </w:p>
        </w:tc>
        <w:tc>
          <w:tcPr>
            <w:tcW w:w="147" w:type="pct"/>
            <w:vMerge w:val="continue"/>
            <w:vAlign w:val="center"/>
          </w:tcPr>
          <w:p w14:paraId="767D7EB6">
            <w:pPr>
              <w:widowControl/>
              <w:jc w:val="center"/>
              <w:rPr>
                <w:rFonts w:ascii="Times New Roman" w:hAnsi="Times New Roman" w:eastAsia="宋体" w:cs="Times New Roman"/>
                <w:kern w:val="0"/>
                <w:szCs w:val="21"/>
              </w:rPr>
            </w:pPr>
          </w:p>
        </w:tc>
        <w:tc>
          <w:tcPr>
            <w:tcW w:w="137" w:type="pct"/>
            <w:shd w:val="clear" w:color="auto" w:fill="auto"/>
            <w:vAlign w:val="center"/>
          </w:tcPr>
          <w:p w14:paraId="1030FAA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58.9</w:t>
            </w:r>
          </w:p>
        </w:tc>
        <w:tc>
          <w:tcPr>
            <w:tcW w:w="138" w:type="pct"/>
            <w:shd w:val="clear" w:color="auto" w:fill="auto"/>
            <w:vAlign w:val="center"/>
          </w:tcPr>
          <w:p w14:paraId="41FDC71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55.0</w:t>
            </w:r>
          </w:p>
        </w:tc>
        <w:tc>
          <w:tcPr>
            <w:tcW w:w="137" w:type="pct"/>
            <w:shd w:val="clear" w:color="auto" w:fill="auto"/>
            <w:vAlign w:val="center"/>
          </w:tcPr>
          <w:p w14:paraId="26DD3A9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59.7</w:t>
            </w:r>
          </w:p>
        </w:tc>
        <w:tc>
          <w:tcPr>
            <w:tcW w:w="138" w:type="pct"/>
            <w:shd w:val="clear" w:color="auto" w:fill="auto"/>
            <w:vAlign w:val="center"/>
          </w:tcPr>
          <w:p w14:paraId="278C196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55.8</w:t>
            </w:r>
          </w:p>
        </w:tc>
        <w:tc>
          <w:tcPr>
            <w:tcW w:w="137" w:type="pct"/>
            <w:shd w:val="clear" w:color="auto" w:fill="auto"/>
            <w:vAlign w:val="center"/>
          </w:tcPr>
          <w:p w14:paraId="7514F8E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58.6</w:t>
            </w:r>
          </w:p>
        </w:tc>
        <w:tc>
          <w:tcPr>
            <w:tcW w:w="140" w:type="pct"/>
            <w:shd w:val="clear" w:color="auto" w:fill="auto"/>
            <w:vAlign w:val="center"/>
          </w:tcPr>
          <w:p w14:paraId="081E7F6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56.5</w:t>
            </w:r>
          </w:p>
        </w:tc>
        <w:tc>
          <w:tcPr>
            <w:tcW w:w="137" w:type="pct"/>
            <w:shd w:val="clear" w:color="auto" w:fill="auto"/>
            <w:vAlign w:val="center"/>
          </w:tcPr>
          <w:p w14:paraId="0EE168A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59.0</w:t>
            </w:r>
          </w:p>
        </w:tc>
        <w:tc>
          <w:tcPr>
            <w:tcW w:w="138" w:type="pct"/>
            <w:shd w:val="clear" w:color="auto" w:fill="auto"/>
            <w:vAlign w:val="center"/>
          </w:tcPr>
          <w:p w14:paraId="25647C5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55.1</w:t>
            </w:r>
          </w:p>
        </w:tc>
        <w:tc>
          <w:tcPr>
            <w:tcW w:w="137" w:type="pct"/>
            <w:shd w:val="clear" w:color="auto" w:fill="auto"/>
            <w:vAlign w:val="center"/>
          </w:tcPr>
          <w:p w14:paraId="5C57C7E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59.7</w:t>
            </w:r>
          </w:p>
        </w:tc>
        <w:tc>
          <w:tcPr>
            <w:tcW w:w="139" w:type="pct"/>
            <w:shd w:val="clear" w:color="auto" w:fill="auto"/>
            <w:vAlign w:val="center"/>
          </w:tcPr>
          <w:p w14:paraId="1B0E597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55.9</w:t>
            </w:r>
          </w:p>
        </w:tc>
        <w:tc>
          <w:tcPr>
            <w:tcW w:w="137" w:type="pct"/>
            <w:shd w:val="clear" w:color="auto" w:fill="auto"/>
            <w:vAlign w:val="center"/>
          </w:tcPr>
          <w:p w14:paraId="4825082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58.7</w:t>
            </w:r>
          </w:p>
        </w:tc>
        <w:tc>
          <w:tcPr>
            <w:tcW w:w="139" w:type="pct"/>
            <w:shd w:val="clear" w:color="auto" w:fill="auto"/>
            <w:vAlign w:val="center"/>
          </w:tcPr>
          <w:p w14:paraId="14BB791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56.6</w:t>
            </w:r>
          </w:p>
        </w:tc>
        <w:tc>
          <w:tcPr>
            <w:tcW w:w="137" w:type="pct"/>
            <w:shd w:val="clear" w:color="auto" w:fill="auto"/>
            <w:vAlign w:val="center"/>
          </w:tcPr>
          <w:p w14:paraId="20BDC1E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8" w:type="pct"/>
            <w:shd w:val="clear" w:color="auto" w:fill="auto"/>
            <w:vAlign w:val="center"/>
          </w:tcPr>
          <w:p w14:paraId="32DA0F8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0.1</w:t>
            </w:r>
          </w:p>
        </w:tc>
        <w:tc>
          <w:tcPr>
            <w:tcW w:w="137" w:type="pct"/>
            <w:shd w:val="clear" w:color="auto" w:fill="auto"/>
            <w:vAlign w:val="center"/>
          </w:tcPr>
          <w:p w14:paraId="69FE27A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shd w:val="clear" w:color="auto" w:fill="auto"/>
            <w:vAlign w:val="center"/>
          </w:tcPr>
          <w:p w14:paraId="32E2CC9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0.9</w:t>
            </w:r>
          </w:p>
        </w:tc>
        <w:tc>
          <w:tcPr>
            <w:tcW w:w="137" w:type="pct"/>
            <w:shd w:val="clear" w:color="auto" w:fill="auto"/>
            <w:vAlign w:val="center"/>
          </w:tcPr>
          <w:p w14:paraId="4A34D42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shd w:val="clear" w:color="auto" w:fill="auto"/>
            <w:vAlign w:val="center"/>
          </w:tcPr>
          <w:p w14:paraId="495B868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1.6</w:t>
            </w:r>
          </w:p>
        </w:tc>
        <w:tc>
          <w:tcPr>
            <w:tcW w:w="137" w:type="pct"/>
            <w:shd w:val="clear" w:color="auto" w:fill="auto"/>
            <w:vAlign w:val="center"/>
          </w:tcPr>
          <w:p w14:paraId="2E96966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17.5</w:t>
            </w:r>
          </w:p>
        </w:tc>
        <w:tc>
          <w:tcPr>
            <w:tcW w:w="139" w:type="pct"/>
            <w:shd w:val="clear" w:color="auto" w:fill="auto"/>
            <w:vAlign w:val="center"/>
          </w:tcPr>
          <w:p w14:paraId="6648026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17.6</w:t>
            </w:r>
          </w:p>
        </w:tc>
        <w:tc>
          <w:tcPr>
            <w:tcW w:w="137" w:type="pct"/>
            <w:shd w:val="clear" w:color="auto" w:fill="auto"/>
            <w:vAlign w:val="center"/>
          </w:tcPr>
          <w:p w14:paraId="68A7112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18.2</w:t>
            </w:r>
          </w:p>
        </w:tc>
        <w:tc>
          <w:tcPr>
            <w:tcW w:w="138" w:type="pct"/>
            <w:shd w:val="clear" w:color="auto" w:fill="auto"/>
            <w:vAlign w:val="center"/>
          </w:tcPr>
          <w:p w14:paraId="5CC64CC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18.4</w:t>
            </w:r>
          </w:p>
        </w:tc>
        <w:tc>
          <w:tcPr>
            <w:tcW w:w="137" w:type="pct"/>
            <w:shd w:val="clear" w:color="auto" w:fill="auto"/>
            <w:vAlign w:val="center"/>
          </w:tcPr>
          <w:p w14:paraId="34A2813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17.2</w:t>
            </w:r>
          </w:p>
        </w:tc>
        <w:tc>
          <w:tcPr>
            <w:tcW w:w="139" w:type="pct"/>
            <w:shd w:val="clear" w:color="auto" w:fill="auto"/>
            <w:vAlign w:val="center"/>
          </w:tcPr>
          <w:p w14:paraId="2CAB1B8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19.1</w:t>
            </w:r>
          </w:p>
        </w:tc>
        <w:tc>
          <w:tcPr>
            <w:tcW w:w="157" w:type="pct"/>
            <w:shd w:val="clear" w:color="auto" w:fill="auto"/>
            <w:vAlign w:val="center"/>
          </w:tcPr>
          <w:p w14:paraId="5C16252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4a</w:t>
            </w:r>
            <w:r>
              <w:rPr>
                <w:rFonts w:ascii="Times New Roman" w:hAnsi="宋体" w:eastAsia="宋体" w:cs="Times New Roman"/>
                <w:kern w:val="0"/>
                <w:szCs w:val="21"/>
              </w:rPr>
              <w:t>类</w:t>
            </w:r>
          </w:p>
        </w:tc>
        <w:tc>
          <w:tcPr>
            <w:tcW w:w="134" w:type="pct"/>
            <w:vMerge w:val="continue"/>
            <w:vAlign w:val="center"/>
          </w:tcPr>
          <w:p w14:paraId="3B571D8D">
            <w:pPr>
              <w:widowControl/>
              <w:jc w:val="center"/>
              <w:rPr>
                <w:rFonts w:ascii="Times New Roman" w:hAnsi="Times New Roman" w:eastAsia="宋体" w:cs="Times New Roman"/>
                <w:kern w:val="0"/>
                <w:szCs w:val="21"/>
              </w:rPr>
            </w:pPr>
          </w:p>
        </w:tc>
        <w:tc>
          <w:tcPr>
            <w:tcW w:w="134" w:type="pct"/>
            <w:vMerge w:val="continue"/>
            <w:vAlign w:val="center"/>
          </w:tcPr>
          <w:p w14:paraId="6D4EC474">
            <w:pPr>
              <w:widowControl/>
              <w:jc w:val="center"/>
              <w:rPr>
                <w:rFonts w:ascii="Times New Roman" w:hAnsi="Times New Roman" w:eastAsia="宋体" w:cs="Times New Roman"/>
                <w:kern w:val="0"/>
                <w:szCs w:val="21"/>
              </w:rPr>
            </w:pPr>
          </w:p>
        </w:tc>
      </w:tr>
      <w:tr w14:paraId="52C757C4">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7" w:type="pct"/>
            <w:vMerge w:val="continue"/>
            <w:vAlign w:val="center"/>
          </w:tcPr>
          <w:p w14:paraId="70150492">
            <w:pPr>
              <w:widowControl/>
              <w:jc w:val="center"/>
              <w:rPr>
                <w:rFonts w:ascii="Times New Roman" w:hAnsi="Times New Roman" w:eastAsia="宋体" w:cs="Times New Roman"/>
                <w:kern w:val="0"/>
                <w:szCs w:val="21"/>
              </w:rPr>
            </w:pPr>
          </w:p>
        </w:tc>
        <w:tc>
          <w:tcPr>
            <w:tcW w:w="320" w:type="pct"/>
            <w:vMerge w:val="continue"/>
            <w:vAlign w:val="center"/>
          </w:tcPr>
          <w:p w14:paraId="3F637B91">
            <w:pPr>
              <w:widowControl/>
              <w:jc w:val="center"/>
              <w:rPr>
                <w:rFonts w:ascii="Times New Roman" w:hAnsi="Times New Roman" w:eastAsia="宋体" w:cs="Times New Roman"/>
                <w:kern w:val="0"/>
                <w:szCs w:val="21"/>
              </w:rPr>
            </w:pPr>
          </w:p>
        </w:tc>
        <w:tc>
          <w:tcPr>
            <w:tcW w:w="145" w:type="pct"/>
            <w:vMerge w:val="continue"/>
            <w:vAlign w:val="center"/>
          </w:tcPr>
          <w:p w14:paraId="7A7035C3">
            <w:pPr>
              <w:widowControl/>
              <w:jc w:val="center"/>
              <w:rPr>
                <w:rFonts w:ascii="Times New Roman" w:hAnsi="Times New Roman" w:eastAsia="宋体" w:cs="Times New Roman"/>
                <w:kern w:val="0"/>
                <w:szCs w:val="21"/>
              </w:rPr>
            </w:pPr>
          </w:p>
        </w:tc>
        <w:tc>
          <w:tcPr>
            <w:tcW w:w="189" w:type="pct"/>
            <w:shd w:val="clear" w:color="auto" w:fill="auto"/>
            <w:noWrap/>
            <w:vAlign w:val="center"/>
          </w:tcPr>
          <w:p w14:paraId="1A12AD9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w:t>
            </w:r>
          </w:p>
        </w:tc>
        <w:tc>
          <w:tcPr>
            <w:tcW w:w="132" w:type="pct"/>
            <w:vMerge w:val="continue"/>
            <w:vAlign w:val="center"/>
          </w:tcPr>
          <w:p w14:paraId="457D2F2D">
            <w:pPr>
              <w:widowControl/>
              <w:jc w:val="center"/>
              <w:rPr>
                <w:rFonts w:ascii="Times New Roman" w:hAnsi="Times New Roman" w:eastAsia="宋体" w:cs="Times New Roman"/>
                <w:kern w:val="0"/>
                <w:szCs w:val="21"/>
              </w:rPr>
            </w:pPr>
          </w:p>
        </w:tc>
        <w:tc>
          <w:tcPr>
            <w:tcW w:w="232" w:type="pct"/>
            <w:vMerge w:val="continue"/>
            <w:vAlign w:val="center"/>
          </w:tcPr>
          <w:p w14:paraId="3246CEF5">
            <w:pPr>
              <w:widowControl/>
              <w:jc w:val="center"/>
              <w:rPr>
                <w:rFonts w:ascii="Times New Roman" w:hAnsi="Times New Roman" w:eastAsia="宋体" w:cs="Times New Roman"/>
                <w:kern w:val="0"/>
                <w:szCs w:val="21"/>
              </w:rPr>
            </w:pPr>
          </w:p>
        </w:tc>
        <w:tc>
          <w:tcPr>
            <w:tcW w:w="147" w:type="pct"/>
            <w:vMerge w:val="continue"/>
            <w:vAlign w:val="center"/>
          </w:tcPr>
          <w:p w14:paraId="29317670">
            <w:pPr>
              <w:widowControl/>
              <w:jc w:val="center"/>
              <w:rPr>
                <w:rFonts w:ascii="Times New Roman" w:hAnsi="Times New Roman" w:eastAsia="宋体" w:cs="Times New Roman"/>
                <w:kern w:val="0"/>
                <w:szCs w:val="21"/>
              </w:rPr>
            </w:pPr>
          </w:p>
        </w:tc>
        <w:tc>
          <w:tcPr>
            <w:tcW w:w="137" w:type="pct"/>
            <w:shd w:val="clear" w:color="auto" w:fill="auto"/>
            <w:vAlign w:val="center"/>
          </w:tcPr>
          <w:p w14:paraId="21105BA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56.9</w:t>
            </w:r>
          </w:p>
        </w:tc>
        <w:tc>
          <w:tcPr>
            <w:tcW w:w="138" w:type="pct"/>
            <w:shd w:val="clear" w:color="auto" w:fill="auto"/>
            <w:vAlign w:val="center"/>
          </w:tcPr>
          <w:p w14:paraId="7DE2E25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53.0</w:t>
            </w:r>
          </w:p>
        </w:tc>
        <w:tc>
          <w:tcPr>
            <w:tcW w:w="137" w:type="pct"/>
            <w:shd w:val="clear" w:color="auto" w:fill="auto"/>
            <w:vAlign w:val="center"/>
          </w:tcPr>
          <w:p w14:paraId="7830CEB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57.7</w:t>
            </w:r>
          </w:p>
        </w:tc>
        <w:tc>
          <w:tcPr>
            <w:tcW w:w="138" w:type="pct"/>
            <w:shd w:val="clear" w:color="auto" w:fill="auto"/>
            <w:vAlign w:val="center"/>
          </w:tcPr>
          <w:p w14:paraId="14F8676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53.8</w:t>
            </w:r>
          </w:p>
        </w:tc>
        <w:tc>
          <w:tcPr>
            <w:tcW w:w="137" w:type="pct"/>
            <w:shd w:val="clear" w:color="auto" w:fill="auto"/>
            <w:vAlign w:val="center"/>
          </w:tcPr>
          <w:p w14:paraId="5C571A5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56.6</w:t>
            </w:r>
          </w:p>
        </w:tc>
        <w:tc>
          <w:tcPr>
            <w:tcW w:w="140" w:type="pct"/>
            <w:shd w:val="clear" w:color="auto" w:fill="auto"/>
            <w:vAlign w:val="center"/>
          </w:tcPr>
          <w:p w14:paraId="29242E8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54.5</w:t>
            </w:r>
          </w:p>
        </w:tc>
        <w:tc>
          <w:tcPr>
            <w:tcW w:w="137" w:type="pct"/>
            <w:shd w:val="clear" w:color="auto" w:fill="auto"/>
            <w:vAlign w:val="center"/>
          </w:tcPr>
          <w:p w14:paraId="074813A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57.0</w:t>
            </w:r>
          </w:p>
        </w:tc>
        <w:tc>
          <w:tcPr>
            <w:tcW w:w="138" w:type="pct"/>
            <w:shd w:val="clear" w:color="auto" w:fill="auto"/>
            <w:vAlign w:val="center"/>
          </w:tcPr>
          <w:p w14:paraId="5EEFCA8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53.2</w:t>
            </w:r>
          </w:p>
        </w:tc>
        <w:tc>
          <w:tcPr>
            <w:tcW w:w="137" w:type="pct"/>
            <w:shd w:val="clear" w:color="auto" w:fill="auto"/>
            <w:vAlign w:val="center"/>
          </w:tcPr>
          <w:p w14:paraId="649F088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57.8</w:t>
            </w:r>
          </w:p>
        </w:tc>
        <w:tc>
          <w:tcPr>
            <w:tcW w:w="139" w:type="pct"/>
            <w:shd w:val="clear" w:color="auto" w:fill="auto"/>
            <w:vAlign w:val="center"/>
          </w:tcPr>
          <w:p w14:paraId="671565F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53.9</w:t>
            </w:r>
          </w:p>
        </w:tc>
        <w:tc>
          <w:tcPr>
            <w:tcW w:w="137" w:type="pct"/>
            <w:shd w:val="clear" w:color="auto" w:fill="auto"/>
            <w:vAlign w:val="center"/>
          </w:tcPr>
          <w:p w14:paraId="467FFFB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56.7</w:t>
            </w:r>
          </w:p>
        </w:tc>
        <w:tc>
          <w:tcPr>
            <w:tcW w:w="139" w:type="pct"/>
            <w:shd w:val="clear" w:color="auto" w:fill="auto"/>
            <w:vAlign w:val="center"/>
          </w:tcPr>
          <w:p w14:paraId="3F1AC17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54.6</w:t>
            </w:r>
          </w:p>
        </w:tc>
        <w:tc>
          <w:tcPr>
            <w:tcW w:w="137" w:type="pct"/>
            <w:shd w:val="clear" w:color="auto" w:fill="auto"/>
            <w:vAlign w:val="center"/>
          </w:tcPr>
          <w:p w14:paraId="5522979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8" w:type="pct"/>
            <w:shd w:val="clear" w:color="auto" w:fill="auto"/>
            <w:vAlign w:val="center"/>
          </w:tcPr>
          <w:p w14:paraId="0D93A35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3.2</w:t>
            </w:r>
          </w:p>
        </w:tc>
        <w:tc>
          <w:tcPr>
            <w:tcW w:w="137" w:type="pct"/>
            <w:shd w:val="clear" w:color="auto" w:fill="auto"/>
            <w:vAlign w:val="center"/>
          </w:tcPr>
          <w:p w14:paraId="42997F9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shd w:val="clear" w:color="auto" w:fill="auto"/>
            <w:vAlign w:val="center"/>
          </w:tcPr>
          <w:p w14:paraId="397F292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3.9</w:t>
            </w:r>
          </w:p>
        </w:tc>
        <w:tc>
          <w:tcPr>
            <w:tcW w:w="137" w:type="pct"/>
            <w:shd w:val="clear" w:color="auto" w:fill="auto"/>
            <w:vAlign w:val="center"/>
          </w:tcPr>
          <w:p w14:paraId="6DBA2EE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shd w:val="clear" w:color="auto" w:fill="auto"/>
            <w:vAlign w:val="center"/>
          </w:tcPr>
          <w:p w14:paraId="6F40E7B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4.6</w:t>
            </w:r>
          </w:p>
        </w:tc>
        <w:tc>
          <w:tcPr>
            <w:tcW w:w="137" w:type="pct"/>
            <w:shd w:val="clear" w:color="auto" w:fill="auto"/>
            <w:vAlign w:val="center"/>
          </w:tcPr>
          <w:p w14:paraId="04086BE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15.5</w:t>
            </w:r>
          </w:p>
        </w:tc>
        <w:tc>
          <w:tcPr>
            <w:tcW w:w="139" w:type="pct"/>
            <w:shd w:val="clear" w:color="auto" w:fill="auto"/>
            <w:vAlign w:val="center"/>
          </w:tcPr>
          <w:p w14:paraId="087C99B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15.7</w:t>
            </w:r>
          </w:p>
        </w:tc>
        <w:tc>
          <w:tcPr>
            <w:tcW w:w="137" w:type="pct"/>
            <w:shd w:val="clear" w:color="auto" w:fill="auto"/>
            <w:vAlign w:val="center"/>
          </w:tcPr>
          <w:p w14:paraId="4869151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16.3</w:t>
            </w:r>
          </w:p>
        </w:tc>
        <w:tc>
          <w:tcPr>
            <w:tcW w:w="138" w:type="pct"/>
            <w:shd w:val="clear" w:color="auto" w:fill="auto"/>
            <w:vAlign w:val="center"/>
          </w:tcPr>
          <w:p w14:paraId="6C98149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16.4</w:t>
            </w:r>
          </w:p>
        </w:tc>
        <w:tc>
          <w:tcPr>
            <w:tcW w:w="137" w:type="pct"/>
            <w:shd w:val="clear" w:color="auto" w:fill="auto"/>
            <w:vAlign w:val="center"/>
          </w:tcPr>
          <w:p w14:paraId="2DBF85B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15.2</w:t>
            </w:r>
          </w:p>
        </w:tc>
        <w:tc>
          <w:tcPr>
            <w:tcW w:w="139" w:type="pct"/>
            <w:shd w:val="clear" w:color="auto" w:fill="auto"/>
            <w:vAlign w:val="center"/>
          </w:tcPr>
          <w:p w14:paraId="4A4DC8C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17.1</w:t>
            </w:r>
          </w:p>
        </w:tc>
        <w:tc>
          <w:tcPr>
            <w:tcW w:w="157" w:type="pct"/>
            <w:shd w:val="clear" w:color="auto" w:fill="auto"/>
            <w:vAlign w:val="center"/>
          </w:tcPr>
          <w:p w14:paraId="101C1E8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w:t>
            </w:r>
            <w:r>
              <w:rPr>
                <w:rFonts w:ascii="Times New Roman" w:hAnsi="宋体" w:eastAsia="宋体" w:cs="Times New Roman"/>
                <w:kern w:val="0"/>
                <w:szCs w:val="21"/>
              </w:rPr>
              <w:t>类</w:t>
            </w:r>
          </w:p>
        </w:tc>
        <w:tc>
          <w:tcPr>
            <w:tcW w:w="134" w:type="pct"/>
            <w:vMerge w:val="continue"/>
            <w:vAlign w:val="center"/>
          </w:tcPr>
          <w:p w14:paraId="37E89F57">
            <w:pPr>
              <w:widowControl/>
              <w:jc w:val="center"/>
              <w:rPr>
                <w:rFonts w:ascii="Times New Roman" w:hAnsi="Times New Roman" w:eastAsia="宋体" w:cs="Times New Roman"/>
                <w:kern w:val="0"/>
                <w:szCs w:val="21"/>
              </w:rPr>
            </w:pPr>
          </w:p>
        </w:tc>
        <w:tc>
          <w:tcPr>
            <w:tcW w:w="134" w:type="pct"/>
            <w:vMerge w:val="continue"/>
            <w:vAlign w:val="center"/>
          </w:tcPr>
          <w:p w14:paraId="4B9EAA4B">
            <w:pPr>
              <w:widowControl/>
              <w:jc w:val="center"/>
              <w:rPr>
                <w:rFonts w:ascii="Times New Roman" w:hAnsi="Times New Roman" w:eastAsia="宋体" w:cs="Times New Roman"/>
                <w:kern w:val="0"/>
                <w:szCs w:val="21"/>
              </w:rPr>
            </w:pPr>
          </w:p>
        </w:tc>
      </w:tr>
      <w:tr w14:paraId="13FAFD2A">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7" w:type="pct"/>
            <w:vMerge w:val="restart"/>
            <w:shd w:val="clear" w:color="auto" w:fill="auto"/>
            <w:vAlign w:val="center"/>
          </w:tcPr>
          <w:p w14:paraId="0BC01D0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w:t>
            </w:r>
          </w:p>
        </w:tc>
        <w:tc>
          <w:tcPr>
            <w:tcW w:w="320" w:type="pct"/>
            <w:vMerge w:val="restart"/>
            <w:shd w:val="clear" w:color="auto" w:fill="auto"/>
            <w:vAlign w:val="center"/>
          </w:tcPr>
          <w:p w14:paraId="0FB6DB19">
            <w:pPr>
              <w:widowControl/>
              <w:jc w:val="center"/>
              <w:rPr>
                <w:rFonts w:ascii="Times New Roman" w:hAnsi="Times New Roman" w:eastAsia="宋体" w:cs="Times New Roman"/>
                <w:kern w:val="0"/>
                <w:szCs w:val="21"/>
              </w:rPr>
            </w:pPr>
            <w:r>
              <w:rPr>
                <w:rFonts w:ascii="Times New Roman" w:hAnsi="宋体" w:eastAsia="宋体" w:cs="Times New Roman"/>
                <w:kern w:val="0"/>
                <w:szCs w:val="21"/>
              </w:rPr>
              <w:t>巴什央艾日克村</w:t>
            </w:r>
          </w:p>
        </w:tc>
        <w:tc>
          <w:tcPr>
            <w:tcW w:w="145" w:type="pct"/>
            <w:vMerge w:val="restart"/>
            <w:shd w:val="clear" w:color="auto" w:fill="auto"/>
            <w:vAlign w:val="center"/>
          </w:tcPr>
          <w:p w14:paraId="031173D5">
            <w:pPr>
              <w:widowControl/>
              <w:jc w:val="center"/>
              <w:rPr>
                <w:rFonts w:ascii="Times New Roman" w:hAnsi="Times New Roman" w:eastAsia="宋体" w:cs="Times New Roman"/>
                <w:kern w:val="0"/>
                <w:szCs w:val="21"/>
              </w:rPr>
            </w:pPr>
            <w:r>
              <w:rPr>
                <w:rFonts w:ascii="Times New Roman" w:hAnsi="宋体" w:eastAsia="宋体" w:cs="Times New Roman"/>
                <w:kern w:val="0"/>
                <w:szCs w:val="21"/>
              </w:rPr>
              <w:t>两侧</w:t>
            </w:r>
          </w:p>
        </w:tc>
        <w:tc>
          <w:tcPr>
            <w:tcW w:w="189" w:type="pct"/>
            <w:shd w:val="clear" w:color="auto" w:fill="auto"/>
            <w:noWrap/>
            <w:vAlign w:val="center"/>
          </w:tcPr>
          <w:p w14:paraId="5DF4E59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25</w:t>
            </w:r>
          </w:p>
        </w:tc>
        <w:tc>
          <w:tcPr>
            <w:tcW w:w="132" w:type="pct"/>
            <w:vMerge w:val="restart"/>
            <w:shd w:val="clear" w:color="auto" w:fill="auto"/>
            <w:vAlign w:val="center"/>
          </w:tcPr>
          <w:p w14:paraId="0022993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w:t>
            </w:r>
          </w:p>
        </w:tc>
        <w:tc>
          <w:tcPr>
            <w:tcW w:w="232" w:type="pct"/>
            <w:vMerge w:val="restart"/>
            <w:shd w:val="clear" w:color="auto" w:fill="auto"/>
            <w:vAlign w:val="center"/>
          </w:tcPr>
          <w:p w14:paraId="6773C13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0</w:t>
            </w:r>
          </w:p>
        </w:tc>
        <w:tc>
          <w:tcPr>
            <w:tcW w:w="147" w:type="pct"/>
            <w:vMerge w:val="restart"/>
            <w:shd w:val="clear" w:color="auto" w:fill="auto"/>
            <w:vAlign w:val="center"/>
          </w:tcPr>
          <w:p w14:paraId="7AA4470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w:t>
            </w:r>
            <w:r>
              <w:rPr>
                <w:rFonts w:ascii="Times New Roman" w:hAnsi="宋体" w:eastAsia="宋体" w:cs="Times New Roman"/>
                <w:kern w:val="0"/>
                <w:szCs w:val="21"/>
              </w:rPr>
              <w:t>层</w:t>
            </w:r>
          </w:p>
        </w:tc>
        <w:tc>
          <w:tcPr>
            <w:tcW w:w="137" w:type="pct"/>
            <w:shd w:val="clear" w:color="auto" w:fill="auto"/>
            <w:vAlign w:val="center"/>
          </w:tcPr>
          <w:p w14:paraId="722CB3A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65.5</w:t>
            </w:r>
          </w:p>
        </w:tc>
        <w:tc>
          <w:tcPr>
            <w:tcW w:w="138" w:type="pct"/>
            <w:shd w:val="clear" w:color="auto" w:fill="auto"/>
            <w:vAlign w:val="center"/>
          </w:tcPr>
          <w:p w14:paraId="12713AC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61.6</w:t>
            </w:r>
          </w:p>
        </w:tc>
        <w:tc>
          <w:tcPr>
            <w:tcW w:w="137" w:type="pct"/>
            <w:shd w:val="clear" w:color="auto" w:fill="auto"/>
            <w:vAlign w:val="center"/>
          </w:tcPr>
          <w:p w14:paraId="6290D50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66.1</w:t>
            </w:r>
          </w:p>
        </w:tc>
        <w:tc>
          <w:tcPr>
            <w:tcW w:w="138" w:type="pct"/>
            <w:shd w:val="clear" w:color="auto" w:fill="auto"/>
            <w:vAlign w:val="center"/>
          </w:tcPr>
          <w:p w14:paraId="03F0A76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62.4</w:t>
            </w:r>
          </w:p>
        </w:tc>
        <w:tc>
          <w:tcPr>
            <w:tcW w:w="137" w:type="pct"/>
            <w:shd w:val="clear" w:color="auto" w:fill="auto"/>
            <w:vAlign w:val="center"/>
          </w:tcPr>
          <w:p w14:paraId="57C0C92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66.8</w:t>
            </w:r>
          </w:p>
        </w:tc>
        <w:tc>
          <w:tcPr>
            <w:tcW w:w="140" w:type="pct"/>
            <w:shd w:val="clear" w:color="auto" w:fill="auto"/>
            <w:vAlign w:val="center"/>
          </w:tcPr>
          <w:p w14:paraId="6906550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63.1</w:t>
            </w:r>
          </w:p>
        </w:tc>
        <w:tc>
          <w:tcPr>
            <w:tcW w:w="137" w:type="pct"/>
            <w:shd w:val="clear" w:color="auto" w:fill="auto"/>
            <w:vAlign w:val="center"/>
          </w:tcPr>
          <w:p w14:paraId="13FF528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65.5</w:t>
            </w:r>
          </w:p>
        </w:tc>
        <w:tc>
          <w:tcPr>
            <w:tcW w:w="138" w:type="pct"/>
            <w:shd w:val="clear" w:color="auto" w:fill="auto"/>
            <w:vAlign w:val="center"/>
          </w:tcPr>
          <w:p w14:paraId="0F769CD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61.6</w:t>
            </w:r>
          </w:p>
        </w:tc>
        <w:tc>
          <w:tcPr>
            <w:tcW w:w="137" w:type="pct"/>
            <w:shd w:val="clear" w:color="auto" w:fill="auto"/>
            <w:vAlign w:val="center"/>
          </w:tcPr>
          <w:p w14:paraId="5A16619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66.1</w:t>
            </w:r>
          </w:p>
        </w:tc>
        <w:tc>
          <w:tcPr>
            <w:tcW w:w="139" w:type="pct"/>
            <w:shd w:val="clear" w:color="auto" w:fill="auto"/>
            <w:vAlign w:val="center"/>
          </w:tcPr>
          <w:p w14:paraId="0F95054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62.4</w:t>
            </w:r>
          </w:p>
        </w:tc>
        <w:tc>
          <w:tcPr>
            <w:tcW w:w="137" w:type="pct"/>
            <w:shd w:val="clear" w:color="auto" w:fill="auto"/>
            <w:vAlign w:val="center"/>
          </w:tcPr>
          <w:p w14:paraId="55E82EE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66.8</w:t>
            </w:r>
          </w:p>
        </w:tc>
        <w:tc>
          <w:tcPr>
            <w:tcW w:w="139" w:type="pct"/>
            <w:shd w:val="clear" w:color="auto" w:fill="auto"/>
            <w:vAlign w:val="center"/>
          </w:tcPr>
          <w:p w14:paraId="7EEC9B8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63.1</w:t>
            </w:r>
          </w:p>
        </w:tc>
        <w:tc>
          <w:tcPr>
            <w:tcW w:w="137" w:type="pct"/>
            <w:shd w:val="clear" w:color="auto" w:fill="auto"/>
            <w:vAlign w:val="center"/>
          </w:tcPr>
          <w:p w14:paraId="6495912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8" w:type="pct"/>
            <w:shd w:val="clear" w:color="auto" w:fill="auto"/>
            <w:vAlign w:val="center"/>
          </w:tcPr>
          <w:p w14:paraId="4A0D92C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6.6</w:t>
            </w:r>
          </w:p>
        </w:tc>
        <w:tc>
          <w:tcPr>
            <w:tcW w:w="137" w:type="pct"/>
            <w:shd w:val="clear" w:color="auto" w:fill="auto"/>
            <w:vAlign w:val="center"/>
          </w:tcPr>
          <w:p w14:paraId="601E2C7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shd w:val="clear" w:color="auto" w:fill="auto"/>
            <w:vAlign w:val="center"/>
          </w:tcPr>
          <w:p w14:paraId="74BFA7E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7.4</w:t>
            </w:r>
          </w:p>
        </w:tc>
        <w:tc>
          <w:tcPr>
            <w:tcW w:w="137" w:type="pct"/>
            <w:shd w:val="clear" w:color="auto" w:fill="auto"/>
            <w:vAlign w:val="center"/>
          </w:tcPr>
          <w:p w14:paraId="2878B41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shd w:val="clear" w:color="auto" w:fill="auto"/>
            <w:vAlign w:val="center"/>
          </w:tcPr>
          <w:p w14:paraId="0F9716C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8.1</w:t>
            </w:r>
          </w:p>
        </w:tc>
        <w:tc>
          <w:tcPr>
            <w:tcW w:w="137" w:type="pct"/>
            <w:shd w:val="clear" w:color="auto" w:fill="auto"/>
            <w:vAlign w:val="center"/>
          </w:tcPr>
          <w:p w14:paraId="3689B81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22.0</w:t>
            </w:r>
          </w:p>
        </w:tc>
        <w:tc>
          <w:tcPr>
            <w:tcW w:w="139" w:type="pct"/>
            <w:shd w:val="clear" w:color="auto" w:fill="auto"/>
            <w:vAlign w:val="center"/>
          </w:tcPr>
          <w:p w14:paraId="459A734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23.1</w:t>
            </w:r>
          </w:p>
        </w:tc>
        <w:tc>
          <w:tcPr>
            <w:tcW w:w="137" w:type="pct"/>
            <w:shd w:val="clear" w:color="auto" w:fill="auto"/>
            <w:vAlign w:val="center"/>
          </w:tcPr>
          <w:p w14:paraId="24D6900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22.6</w:t>
            </w:r>
          </w:p>
        </w:tc>
        <w:tc>
          <w:tcPr>
            <w:tcW w:w="138" w:type="pct"/>
            <w:shd w:val="clear" w:color="auto" w:fill="auto"/>
            <w:vAlign w:val="center"/>
          </w:tcPr>
          <w:p w14:paraId="50BC9FD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23.9</w:t>
            </w:r>
          </w:p>
        </w:tc>
        <w:tc>
          <w:tcPr>
            <w:tcW w:w="137" w:type="pct"/>
            <w:shd w:val="clear" w:color="auto" w:fill="auto"/>
            <w:vAlign w:val="center"/>
          </w:tcPr>
          <w:p w14:paraId="2AC6B4C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23.3</w:t>
            </w:r>
          </w:p>
        </w:tc>
        <w:tc>
          <w:tcPr>
            <w:tcW w:w="139" w:type="pct"/>
            <w:shd w:val="clear" w:color="auto" w:fill="auto"/>
            <w:vAlign w:val="center"/>
          </w:tcPr>
          <w:p w14:paraId="247C161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24.6</w:t>
            </w:r>
          </w:p>
        </w:tc>
        <w:tc>
          <w:tcPr>
            <w:tcW w:w="157" w:type="pct"/>
            <w:shd w:val="clear" w:color="auto" w:fill="auto"/>
            <w:vAlign w:val="center"/>
          </w:tcPr>
          <w:p w14:paraId="4DB14ED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4a</w:t>
            </w:r>
            <w:r>
              <w:rPr>
                <w:rFonts w:ascii="Times New Roman" w:hAnsi="宋体" w:eastAsia="宋体" w:cs="Times New Roman"/>
                <w:kern w:val="0"/>
                <w:szCs w:val="21"/>
              </w:rPr>
              <w:t>类</w:t>
            </w:r>
          </w:p>
        </w:tc>
        <w:tc>
          <w:tcPr>
            <w:tcW w:w="134" w:type="pct"/>
            <w:vMerge w:val="restart"/>
            <w:shd w:val="clear" w:color="auto" w:fill="auto"/>
            <w:vAlign w:val="center"/>
          </w:tcPr>
          <w:p w14:paraId="608AF1B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43.5</w:t>
            </w:r>
          </w:p>
        </w:tc>
        <w:tc>
          <w:tcPr>
            <w:tcW w:w="134" w:type="pct"/>
            <w:vMerge w:val="restart"/>
            <w:shd w:val="clear" w:color="auto" w:fill="auto"/>
            <w:vAlign w:val="center"/>
          </w:tcPr>
          <w:p w14:paraId="4297D89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38.5</w:t>
            </w:r>
          </w:p>
        </w:tc>
      </w:tr>
      <w:tr w14:paraId="30BDD2B7">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7" w:type="pct"/>
            <w:vMerge w:val="continue"/>
            <w:vAlign w:val="center"/>
          </w:tcPr>
          <w:p w14:paraId="0655C872">
            <w:pPr>
              <w:widowControl/>
              <w:jc w:val="center"/>
              <w:rPr>
                <w:rFonts w:ascii="Times New Roman" w:hAnsi="Times New Roman" w:eastAsia="宋体" w:cs="Times New Roman"/>
                <w:kern w:val="0"/>
                <w:szCs w:val="21"/>
              </w:rPr>
            </w:pPr>
          </w:p>
        </w:tc>
        <w:tc>
          <w:tcPr>
            <w:tcW w:w="320" w:type="pct"/>
            <w:vMerge w:val="continue"/>
            <w:vAlign w:val="center"/>
          </w:tcPr>
          <w:p w14:paraId="2214A02C">
            <w:pPr>
              <w:widowControl/>
              <w:jc w:val="center"/>
              <w:rPr>
                <w:rFonts w:ascii="Times New Roman" w:hAnsi="Times New Roman" w:eastAsia="宋体" w:cs="Times New Roman"/>
                <w:kern w:val="0"/>
                <w:szCs w:val="21"/>
              </w:rPr>
            </w:pPr>
          </w:p>
        </w:tc>
        <w:tc>
          <w:tcPr>
            <w:tcW w:w="145" w:type="pct"/>
            <w:vMerge w:val="continue"/>
            <w:vAlign w:val="center"/>
          </w:tcPr>
          <w:p w14:paraId="1E5168B1">
            <w:pPr>
              <w:widowControl/>
              <w:jc w:val="center"/>
              <w:rPr>
                <w:rFonts w:ascii="Times New Roman" w:hAnsi="Times New Roman" w:eastAsia="宋体" w:cs="Times New Roman"/>
                <w:kern w:val="0"/>
                <w:szCs w:val="21"/>
              </w:rPr>
            </w:pPr>
          </w:p>
        </w:tc>
        <w:tc>
          <w:tcPr>
            <w:tcW w:w="189" w:type="pct"/>
            <w:shd w:val="clear" w:color="auto" w:fill="auto"/>
            <w:noWrap/>
            <w:vAlign w:val="center"/>
          </w:tcPr>
          <w:p w14:paraId="76BCB9D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52</w:t>
            </w:r>
          </w:p>
        </w:tc>
        <w:tc>
          <w:tcPr>
            <w:tcW w:w="132" w:type="pct"/>
            <w:vMerge w:val="continue"/>
            <w:vAlign w:val="center"/>
          </w:tcPr>
          <w:p w14:paraId="5B01EE15">
            <w:pPr>
              <w:widowControl/>
              <w:jc w:val="center"/>
              <w:rPr>
                <w:rFonts w:ascii="Times New Roman" w:hAnsi="Times New Roman" w:eastAsia="宋体" w:cs="Times New Roman"/>
                <w:kern w:val="0"/>
                <w:szCs w:val="21"/>
              </w:rPr>
            </w:pPr>
          </w:p>
        </w:tc>
        <w:tc>
          <w:tcPr>
            <w:tcW w:w="232" w:type="pct"/>
            <w:vMerge w:val="continue"/>
            <w:vAlign w:val="center"/>
          </w:tcPr>
          <w:p w14:paraId="2AB3E255">
            <w:pPr>
              <w:widowControl/>
              <w:jc w:val="center"/>
              <w:rPr>
                <w:rFonts w:ascii="Times New Roman" w:hAnsi="Times New Roman" w:eastAsia="宋体" w:cs="Times New Roman"/>
                <w:kern w:val="0"/>
                <w:szCs w:val="21"/>
              </w:rPr>
            </w:pPr>
          </w:p>
        </w:tc>
        <w:tc>
          <w:tcPr>
            <w:tcW w:w="147" w:type="pct"/>
            <w:vMerge w:val="continue"/>
            <w:vAlign w:val="center"/>
          </w:tcPr>
          <w:p w14:paraId="034DF800">
            <w:pPr>
              <w:widowControl/>
              <w:jc w:val="center"/>
              <w:rPr>
                <w:rFonts w:ascii="Times New Roman" w:hAnsi="Times New Roman" w:eastAsia="宋体" w:cs="Times New Roman"/>
                <w:kern w:val="0"/>
                <w:szCs w:val="21"/>
              </w:rPr>
            </w:pPr>
          </w:p>
        </w:tc>
        <w:tc>
          <w:tcPr>
            <w:tcW w:w="137" w:type="pct"/>
            <w:shd w:val="clear" w:color="auto" w:fill="auto"/>
            <w:vAlign w:val="center"/>
          </w:tcPr>
          <w:p w14:paraId="77EBEBE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59.6</w:t>
            </w:r>
          </w:p>
        </w:tc>
        <w:tc>
          <w:tcPr>
            <w:tcW w:w="138" w:type="pct"/>
            <w:shd w:val="clear" w:color="auto" w:fill="auto"/>
            <w:vAlign w:val="center"/>
          </w:tcPr>
          <w:p w14:paraId="5018763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55.7</w:t>
            </w:r>
          </w:p>
        </w:tc>
        <w:tc>
          <w:tcPr>
            <w:tcW w:w="137" w:type="pct"/>
            <w:shd w:val="clear" w:color="auto" w:fill="auto"/>
            <w:vAlign w:val="center"/>
          </w:tcPr>
          <w:p w14:paraId="3744D26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60.2</w:t>
            </w:r>
          </w:p>
        </w:tc>
        <w:tc>
          <w:tcPr>
            <w:tcW w:w="138" w:type="pct"/>
            <w:shd w:val="clear" w:color="auto" w:fill="auto"/>
            <w:vAlign w:val="center"/>
          </w:tcPr>
          <w:p w14:paraId="5BF9E06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56.5</w:t>
            </w:r>
          </w:p>
        </w:tc>
        <w:tc>
          <w:tcPr>
            <w:tcW w:w="137" w:type="pct"/>
            <w:shd w:val="clear" w:color="auto" w:fill="auto"/>
            <w:vAlign w:val="center"/>
          </w:tcPr>
          <w:p w14:paraId="5F36DDF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60.9</w:t>
            </w:r>
          </w:p>
        </w:tc>
        <w:tc>
          <w:tcPr>
            <w:tcW w:w="140" w:type="pct"/>
            <w:shd w:val="clear" w:color="auto" w:fill="auto"/>
            <w:vAlign w:val="center"/>
          </w:tcPr>
          <w:p w14:paraId="509F95D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57.2</w:t>
            </w:r>
          </w:p>
        </w:tc>
        <w:tc>
          <w:tcPr>
            <w:tcW w:w="137" w:type="pct"/>
            <w:shd w:val="clear" w:color="auto" w:fill="auto"/>
            <w:vAlign w:val="center"/>
          </w:tcPr>
          <w:p w14:paraId="797F86D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59.7</w:t>
            </w:r>
          </w:p>
        </w:tc>
        <w:tc>
          <w:tcPr>
            <w:tcW w:w="138" w:type="pct"/>
            <w:shd w:val="clear" w:color="auto" w:fill="auto"/>
            <w:vAlign w:val="center"/>
          </w:tcPr>
          <w:p w14:paraId="51B2EC4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55.8</w:t>
            </w:r>
          </w:p>
        </w:tc>
        <w:tc>
          <w:tcPr>
            <w:tcW w:w="137" w:type="pct"/>
            <w:shd w:val="clear" w:color="auto" w:fill="auto"/>
            <w:vAlign w:val="center"/>
          </w:tcPr>
          <w:p w14:paraId="1E7CEDC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60.3</w:t>
            </w:r>
          </w:p>
        </w:tc>
        <w:tc>
          <w:tcPr>
            <w:tcW w:w="139" w:type="pct"/>
            <w:shd w:val="clear" w:color="auto" w:fill="auto"/>
            <w:vAlign w:val="center"/>
          </w:tcPr>
          <w:p w14:paraId="1EA35A6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56.6</w:t>
            </w:r>
          </w:p>
        </w:tc>
        <w:tc>
          <w:tcPr>
            <w:tcW w:w="137" w:type="pct"/>
            <w:shd w:val="clear" w:color="auto" w:fill="auto"/>
            <w:vAlign w:val="center"/>
          </w:tcPr>
          <w:p w14:paraId="47B6ABF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61.0</w:t>
            </w:r>
          </w:p>
        </w:tc>
        <w:tc>
          <w:tcPr>
            <w:tcW w:w="139" w:type="pct"/>
            <w:shd w:val="clear" w:color="auto" w:fill="auto"/>
            <w:vAlign w:val="center"/>
          </w:tcPr>
          <w:p w14:paraId="3CE8E0D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57.3</w:t>
            </w:r>
          </w:p>
        </w:tc>
        <w:tc>
          <w:tcPr>
            <w:tcW w:w="137" w:type="pct"/>
            <w:shd w:val="clear" w:color="auto" w:fill="auto"/>
            <w:vAlign w:val="center"/>
          </w:tcPr>
          <w:p w14:paraId="253A7B4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8" w:type="pct"/>
            <w:shd w:val="clear" w:color="auto" w:fill="auto"/>
            <w:vAlign w:val="center"/>
          </w:tcPr>
          <w:p w14:paraId="0C9DB18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w:t>
            </w:r>
          </w:p>
        </w:tc>
        <w:tc>
          <w:tcPr>
            <w:tcW w:w="137" w:type="pct"/>
            <w:shd w:val="clear" w:color="auto" w:fill="auto"/>
            <w:vAlign w:val="center"/>
          </w:tcPr>
          <w:p w14:paraId="4AB217C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0.3</w:t>
            </w:r>
          </w:p>
        </w:tc>
        <w:tc>
          <w:tcPr>
            <w:tcW w:w="139" w:type="pct"/>
            <w:shd w:val="clear" w:color="auto" w:fill="auto"/>
            <w:vAlign w:val="center"/>
          </w:tcPr>
          <w:p w14:paraId="54C66BB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6.6</w:t>
            </w:r>
          </w:p>
        </w:tc>
        <w:tc>
          <w:tcPr>
            <w:tcW w:w="137" w:type="pct"/>
            <w:shd w:val="clear" w:color="auto" w:fill="auto"/>
            <w:vAlign w:val="center"/>
          </w:tcPr>
          <w:p w14:paraId="64BAC52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1.0</w:t>
            </w:r>
          </w:p>
        </w:tc>
        <w:tc>
          <w:tcPr>
            <w:tcW w:w="139" w:type="pct"/>
            <w:shd w:val="clear" w:color="auto" w:fill="auto"/>
            <w:vAlign w:val="center"/>
          </w:tcPr>
          <w:p w14:paraId="5212FBD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7.3</w:t>
            </w:r>
          </w:p>
        </w:tc>
        <w:tc>
          <w:tcPr>
            <w:tcW w:w="137" w:type="pct"/>
            <w:shd w:val="clear" w:color="auto" w:fill="auto"/>
            <w:vAlign w:val="center"/>
          </w:tcPr>
          <w:p w14:paraId="633BC62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16.2</w:t>
            </w:r>
          </w:p>
        </w:tc>
        <w:tc>
          <w:tcPr>
            <w:tcW w:w="139" w:type="pct"/>
            <w:shd w:val="clear" w:color="auto" w:fill="auto"/>
            <w:vAlign w:val="center"/>
          </w:tcPr>
          <w:p w14:paraId="1D5734F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17.3</w:t>
            </w:r>
          </w:p>
        </w:tc>
        <w:tc>
          <w:tcPr>
            <w:tcW w:w="137" w:type="pct"/>
            <w:shd w:val="clear" w:color="auto" w:fill="auto"/>
            <w:vAlign w:val="center"/>
          </w:tcPr>
          <w:p w14:paraId="137ABA8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16.8</w:t>
            </w:r>
          </w:p>
        </w:tc>
        <w:tc>
          <w:tcPr>
            <w:tcW w:w="138" w:type="pct"/>
            <w:shd w:val="clear" w:color="auto" w:fill="auto"/>
            <w:vAlign w:val="center"/>
          </w:tcPr>
          <w:p w14:paraId="751EF8B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18.1</w:t>
            </w:r>
          </w:p>
        </w:tc>
        <w:tc>
          <w:tcPr>
            <w:tcW w:w="137" w:type="pct"/>
            <w:shd w:val="clear" w:color="auto" w:fill="auto"/>
            <w:vAlign w:val="center"/>
          </w:tcPr>
          <w:p w14:paraId="2C93C77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17.5</w:t>
            </w:r>
          </w:p>
        </w:tc>
        <w:tc>
          <w:tcPr>
            <w:tcW w:w="139" w:type="pct"/>
            <w:shd w:val="clear" w:color="auto" w:fill="auto"/>
            <w:vAlign w:val="center"/>
          </w:tcPr>
          <w:p w14:paraId="2FA6A47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18.8</w:t>
            </w:r>
          </w:p>
        </w:tc>
        <w:tc>
          <w:tcPr>
            <w:tcW w:w="157" w:type="pct"/>
            <w:shd w:val="clear" w:color="auto" w:fill="auto"/>
            <w:vAlign w:val="center"/>
          </w:tcPr>
          <w:p w14:paraId="63BBF70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w:t>
            </w:r>
            <w:r>
              <w:rPr>
                <w:rFonts w:ascii="Times New Roman" w:hAnsi="宋体" w:eastAsia="宋体" w:cs="Times New Roman"/>
                <w:kern w:val="0"/>
                <w:szCs w:val="21"/>
              </w:rPr>
              <w:t>类</w:t>
            </w:r>
          </w:p>
        </w:tc>
        <w:tc>
          <w:tcPr>
            <w:tcW w:w="134" w:type="pct"/>
            <w:vMerge w:val="continue"/>
            <w:vAlign w:val="center"/>
          </w:tcPr>
          <w:p w14:paraId="11419836">
            <w:pPr>
              <w:widowControl/>
              <w:jc w:val="center"/>
              <w:rPr>
                <w:rFonts w:ascii="Times New Roman" w:hAnsi="Times New Roman" w:eastAsia="宋体" w:cs="Times New Roman"/>
                <w:kern w:val="0"/>
                <w:szCs w:val="21"/>
              </w:rPr>
            </w:pPr>
          </w:p>
        </w:tc>
        <w:tc>
          <w:tcPr>
            <w:tcW w:w="134" w:type="pct"/>
            <w:vMerge w:val="continue"/>
            <w:vAlign w:val="center"/>
          </w:tcPr>
          <w:p w14:paraId="22CE620F">
            <w:pPr>
              <w:widowControl/>
              <w:jc w:val="center"/>
              <w:rPr>
                <w:rFonts w:ascii="Times New Roman" w:hAnsi="Times New Roman" w:eastAsia="宋体" w:cs="Times New Roman"/>
                <w:kern w:val="0"/>
                <w:szCs w:val="21"/>
              </w:rPr>
            </w:pPr>
          </w:p>
        </w:tc>
      </w:tr>
      <w:tr w14:paraId="643DB819">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7" w:type="pct"/>
            <w:vMerge w:val="restart"/>
            <w:shd w:val="clear" w:color="auto" w:fill="auto"/>
            <w:vAlign w:val="center"/>
          </w:tcPr>
          <w:p w14:paraId="331C813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w:t>
            </w:r>
          </w:p>
        </w:tc>
        <w:tc>
          <w:tcPr>
            <w:tcW w:w="320" w:type="pct"/>
            <w:vMerge w:val="restart"/>
            <w:shd w:val="clear" w:color="auto" w:fill="auto"/>
            <w:vAlign w:val="center"/>
          </w:tcPr>
          <w:p w14:paraId="108DA7CC">
            <w:pPr>
              <w:widowControl/>
              <w:jc w:val="center"/>
              <w:rPr>
                <w:rFonts w:ascii="Times New Roman" w:hAnsi="Times New Roman" w:eastAsia="宋体" w:cs="Times New Roman"/>
                <w:kern w:val="0"/>
                <w:szCs w:val="21"/>
              </w:rPr>
            </w:pPr>
            <w:r>
              <w:rPr>
                <w:rFonts w:ascii="Times New Roman" w:hAnsi="宋体" w:eastAsia="宋体" w:cs="Times New Roman"/>
                <w:kern w:val="0"/>
                <w:szCs w:val="21"/>
              </w:rPr>
              <w:t>英兰干村</w:t>
            </w:r>
          </w:p>
        </w:tc>
        <w:tc>
          <w:tcPr>
            <w:tcW w:w="145" w:type="pct"/>
            <w:vMerge w:val="restart"/>
            <w:shd w:val="clear" w:color="auto" w:fill="auto"/>
            <w:vAlign w:val="center"/>
          </w:tcPr>
          <w:p w14:paraId="5BCFDF80">
            <w:pPr>
              <w:widowControl/>
              <w:jc w:val="center"/>
              <w:rPr>
                <w:rFonts w:ascii="Times New Roman" w:hAnsi="Times New Roman" w:eastAsia="宋体" w:cs="Times New Roman"/>
                <w:kern w:val="0"/>
                <w:szCs w:val="21"/>
              </w:rPr>
            </w:pPr>
            <w:r>
              <w:rPr>
                <w:rFonts w:ascii="Times New Roman" w:hAnsi="宋体" w:eastAsia="宋体" w:cs="Times New Roman"/>
                <w:kern w:val="0"/>
                <w:szCs w:val="21"/>
              </w:rPr>
              <w:t>两侧</w:t>
            </w:r>
          </w:p>
        </w:tc>
        <w:tc>
          <w:tcPr>
            <w:tcW w:w="189" w:type="pct"/>
            <w:shd w:val="clear" w:color="auto" w:fill="auto"/>
            <w:noWrap/>
            <w:vAlign w:val="center"/>
          </w:tcPr>
          <w:p w14:paraId="4E2F74C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20</w:t>
            </w:r>
          </w:p>
        </w:tc>
        <w:tc>
          <w:tcPr>
            <w:tcW w:w="132" w:type="pct"/>
            <w:vMerge w:val="restart"/>
            <w:shd w:val="clear" w:color="auto" w:fill="auto"/>
            <w:vAlign w:val="center"/>
          </w:tcPr>
          <w:p w14:paraId="05FB5FF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w:t>
            </w:r>
          </w:p>
        </w:tc>
        <w:tc>
          <w:tcPr>
            <w:tcW w:w="232" w:type="pct"/>
            <w:vMerge w:val="restart"/>
            <w:shd w:val="clear" w:color="auto" w:fill="auto"/>
            <w:vAlign w:val="center"/>
          </w:tcPr>
          <w:p w14:paraId="6D09590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0</w:t>
            </w:r>
          </w:p>
        </w:tc>
        <w:tc>
          <w:tcPr>
            <w:tcW w:w="147" w:type="pct"/>
            <w:vMerge w:val="restart"/>
            <w:shd w:val="clear" w:color="auto" w:fill="auto"/>
            <w:vAlign w:val="center"/>
          </w:tcPr>
          <w:p w14:paraId="1464F92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w:t>
            </w:r>
            <w:r>
              <w:rPr>
                <w:rFonts w:ascii="Times New Roman" w:hAnsi="宋体" w:eastAsia="宋体" w:cs="Times New Roman"/>
                <w:kern w:val="0"/>
                <w:szCs w:val="21"/>
              </w:rPr>
              <w:t>层</w:t>
            </w:r>
          </w:p>
        </w:tc>
        <w:tc>
          <w:tcPr>
            <w:tcW w:w="137" w:type="pct"/>
            <w:shd w:val="clear" w:color="auto" w:fill="auto"/>
            <w:vAlign w:val="center"/>
          </w:tcPr>
          <w:p w14:paraId="29F3FC1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67.6</w:t>
            </w:r>
          </w:p>
        </w:tc>
        <w:tc>
          <w:tcPr>
            <w:tcW w:w="138" w:type="pct"/>
            <w:shd w:val="clear" w:color="auto" w:fill="auto"/>
            <w:vAlign w:val="center"/>
          </w:tcPr>
          <w:p w14:paraId="09FD1B2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63.7</w:t>
            </w:r>
          </w:p>
        </w:tc>
        <w:tc>
          <w:tcPr>
            <w:tcW w:w="137" w:type="pct"/>
            <w:shd w:val="clear" w:color="auto" w:fill="auto"/>
            <w:vAlign w:val="center"/>
          </w:tcPr>
          <w:p w14:paraId="252E1FE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68.2</w:t>
            </w:r>
          </w:p>
        </w:tc>
        <w:tc>
          <w:tcPr>
            <w:tcW w:w="138" w:type="pct"/>
            <w:shd w:val="clear" w:color="auto" w:fill="auto"/>
            <w:vAlign w:val="center"/>
          </w:tcPr>
          <w:p w14:paraId="1E912AD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64.5</w:t>
            </w:r>
          </w:p>
        </w:tc>
        <w:tc>
          <w:tcPr>
            <w:tcW w:w="137" w:type="pct"/>
            <w:shd w:val="clear" w:color="auto" w:fill="auto"/>
            <w:vAlign w:val="center"/>
          </w:tcPr>
          <w:p w14:paraId="352B876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68.9</w:t>
            </w:r>
          </w:p>
        </w:tc>
        <w:tc>
          <w:tcPr>
            <w:tcW w:w="140" w:type="pct"/>
            <w:shd w:val="clear" w:color="auto" w:fill="auto"/>
            <w:vAlign w:val="center"/>
          </w:tcPr>
          <w:p w14:paraId="1D42BEA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65.2</w:t>
            </w:r>
          </w:p>
        </w:tc>
        <w:tc>
          <w:tcPr>
            <w:tcW w:w="137" w:type="pct"/>
            <w:shd w:val="clear" w:color="auto" w:fill="auto"/>
            <w:vAlign w:val="center"/>
          </w:tcPr>
          <w:p w14:paraId="3F2E871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67.6</w:t>
            </w:r>
          </w:p>
        </w:tc>
        <w:tc>
          <w:tcPr>
            <w:tcW w:w="138" w:type="pct"/>
            <w:shd w:val="clear" w:color="auto" w:fill="auto"/>
            <w:vAlign w:val="center"/>
          </w:tcPr>
          <w:p w14:paraId="4C883B9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63.7</w:t>
            </w:r>
          </w:p>
        </w:tc>
        <w:tc>
          <w:tcPr>
            <w:tcW w:w="137" w:type="pct"/>
            <w:shd w:val="clear" w:color="auto" w:fill="auto"/>
            <w:vAlign w:val="center"/>
          </w:tcPr>
          <w:p w14:paraId="397CE3A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68.2</w:t>
            </w:r>
          </w:p>
        </w:tc>
        <w:tc>
          <w:tcPr>
            <w:tcW w:w="139" w:type="pct"/>
            <w:shd w:val="clear" w:color="auto" w:fill="auto"/>
            <w:vAlign w:val="center"/>
          </w:tcPr>
          <w:p w14:paraId="176E32D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64.5</w:t>
            </w:r>
          </w:p>
        </w:tc>
        <w:tc>
          <w:tcPr>
            <w:tcW w:w="137" w:type="pct"/>
            <w:shd w:val="clear" w:color="auto" w:fill="auto"/>
            <w:vAlign w:val="center"/>
          </w:tcPr>
          <w:p w14:paraId="528FC4C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68.9</w:t>
            </w:r>
          </w:p>
        </w:tc>
        <w:tc>
          <w:tcPr>
            <w:tcW w:w="139" w:type="pct"/>
            <w:shd w:val="clear" w:color="auto" w:fill="auto"/>
            <w:vAlign w:val="center"/>
          </w:tcPr>
          <w:p w14:paraId="4A30054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65.2</w:t>
            </w:r>
          </w:p>
        </w:tc>
        <w:tc>
          <w:tcPr>
            <w:tcW w:w="137" w:type="pct"/>
            <w:shd w:val="clear" w:color="auto" w:fill="auto"/>
            <w:vAlign w:val="center"/>
          </w:tcPr>
          <w:p w14:paraId="0F5B313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8" w:type="pct"/>
            <w:shd w:val="clear" w:color="auto" w:fill="auto"/>
            <w:vAlign w:val="center"/>
          </w:tcPr>
          <w:p w14:paraId="71E0A3B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8.7</w:t>
            </w:r>
          </w:p>
        </w:tc>
        <w:tc>
          <w:tcPr>
            <w:tcW w:w="137" w:type="pct"/>
            <w:shd w:val="clear" w:color="auto" w:fill="auto"/>
            <w:vAlign w:val="center"/>
          </w:tcPr>
          <w:p w14:paraId="0CEC9FB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shd w:val="clear" w:color="auto" w:fill="auto"/>
            <w:vAlign w:val="center"/>
          </w:tcPr>
          <w:p w14:paraId="0DCD605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9.5</w:t>
            </w:r>
          </w:p>
        </w:tc>
        <w:tc>
          <w:tcPr>
            <w:tcW w:w="137" w:type="pct"/>
            <w:shd w:val="clear" w:color="auto" w:fill="auto"/>
            <w:vAlign w:val="center"/>
          </w:tcPr>
          <w:p w14:paraId="495C7AF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shd w:val="clear" w:color="auto" w:fill="auto"/>
            <w:vAlign w:val="center"/>
          </w:tcPr>
          <w:p w14:paraId="2C99D69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10.2</w:t>
            </w:r>
          </w:p>
        </w:tc>
        <w:tc>
          <w:tcPr>
            <w:tcW w:w="137" w:type="pct"/>
            <w:shd w:val="clear" w:color="auto" w:fill="auto"/>
            <w:vAlign w:val="center"/>
          </w:tcPr>
          <w:p w14:paraId="046663F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24.1</w:t>
            </w:r>
          </w:p>
        </w:tc>
        <w:tc>
          <w:tcPr>
            <w:tcW w:w="139" w:type="pct"/>
            <w:shd w:val="clear" w:color="auto" w:fill="auto"/>
            <w:vAlign w:val="center"/>
          </w:tcPr>
          <w:p w14:paraId="156BCAD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25.2</w:t>
            </w:r>
          </w:p>
        </w:tc>
        <w:tc>
          <w:tcPr>
            <w:tcW w:w="137" w:type="pct"/>
            <w:shd w:val="clear" w:color="auto" w:fill="auto"/>
            <w:vAlign w:val="center"/>
          </w:tcPr>
          <w:p w14:paraId="2BC6EF4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24.7</w:t>
            </w:r>
          </w:p>
        </w:tc>
        <w:tc>
          <w:tcPr>
            <w:tcW w:w="138" w:type="pct"/>
            <w:shd w:val="clear" w:color="auto" w:fill="auto"/>
            <w:vAlign w:val="center"/>
          </w:tcPr>
          <w:p w14:paraId="3425973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26.0</w:t>
            </w:r>
          </w:p>
        </w:tc>
        <w:tc>
          <w:tcPr>
            <w:tcW w:w="137" w:type="pct"/>
            <w:shd w:val="clear" w:color="auto" w:fill="auto"/>
            <w:vAlign w:val="center"/>
          </w:tcPr>
          <w:p w14:paraId="23ECE4A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25.4</w:t>
            </w:r>
          </w:p>
        </w:tc>
        <w:tc>
          <w:tcPr>
            <w:tcW w:w="139" w:type="pct"/>
            <w:shd w:val="clear" w:color="auto" w:fill="auto"/>
            <w:vAlign w:val="center"/>
          </w:tcPr>
          <w:p w14:paraId="2C953F2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26.7</w:t>
            </w:r>
          </w:p>
        </w:tc>
        <w:tc>
          <w:tcPr>
            <w:tcW w:w="157" w:type="pct"/>
            <w:shd w:val="clear" w:color="auto" w:fill="auto"/>
            <w:vAlign w:val="center"/>
          </w:tcPr>
          <w:p w14:paraId="5FFA150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4a</w:t>
            </w:r>
            <w:r>
              <w:rPr>
                <w:rFonts w:ascii="Times New Roman" w:hAnsi="宋体" w:eastAsia="宋体" w:cs="Times New Roman"/>
                <w:kern w:val="0"/>
                <w:szCs w:val="21"/>
              </w:rPr>
              <w:t>类</w:t>
            </w:r>
          </w:p>
        </w:tc>
        <w:tc>
          <w:tcPr>
            <w:tcW w:w="134" w:type="pct"/>
            <w:vMerge w:val="restart"/>
            <w:shd w:val="clear" w:color="auto" w:fill="auto"/>
            <w:vAlign w:val="center"/>
          </w:tcPr>
          <w:p w14:paraId="6335B47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43.5</w:t>
            </w:r>
          </w:p>
        </w:tc>
        <w:tc>
          <w:tcPr>
            <w:tcW w:w="134" w:type="pct"/>
            <w:vMerge w:val="restart"/>
            <w:shd w:val="clear" w:color="auto" w:fill="auto"/>
            <w:vAlign w:val="center"/>
          </w:tcPr>
          <w:p w14:paraId="4536893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38.5</w:t>
            </w:r>
          </w:p>
        </w:tc>
      </w:tr>
      <w:tr w14:paraId="1CBF758A">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7" w:type="pct"/>
            <w:vMerge w:val="continue"/>
            <w:vAlign w:val="center"/>
          </w:tcPr>
          <w:p w14:paraId="7FE27CA9">
            <w:pPr>
              <w:widowControl/>
              <w:jc w:val="center"/>
              <w:rPr>
                <w:rFonts w:ascii="Times New Roman" w:hAnsi="Times New Roman" w:eastAsia="宋体" w:cs="Times New Roman"/>
                <w:kern w:val="0"/>
                <w:szCs w:val="21"/>
              </w:rPr>
            </w:pPr>
          </w:p>
        </w:tc>
        <w:tc>
          <w:tcPr>
            <w:tcW w:w="320" w:type="pct"/>
            <w:vMerge w:val="continue"/>
            <w:vAlign w:val="center"/>
          </w:tcPr>
          <w:p w14:paraId="4121FFD7">
            <w:pPr>
              <w:widowControl/>
              <w:jc w:val="center"/>
              <w:rPr>
                <w:rFonts w:ascii="Times New Roman" w:hAnsi="Times New Roman" w:eastAsia="宋体" w:cs="Times New Roman"/>
                <w:kern w:val="0"/>
                <w:szCs w:val="21"/>
              </w:rPr>
            </w:pPr>
          </w:p>
        </w:tc>
        <w:tc>
          <w:tcPr>
            <w:tcW w:w="145" w:type="pct"/>
            <w:vMerge w:val="continue"/>
            <w:vAlign w:val="center"/>
          </w:tcPr>
          <w:p w14:paraId="2A45D648">
            <w:pPr>
              <w:widowControl/>
              <w:jc w:val="center"/>
              <w:rPr>
                <w:rFonts w:ascii="Times New Roman" w:hAnsi="Times New Roman" w:eastAsia="宋体" w:cs="Times New Roman"/>
                <w:kern w:val="0"/>
                <w:szCs w:val="21"/>
              </w:rPr>
            </w:pPr>
          </w:p>
        </w:tc>
        <w:tc>
          <w:tcPr>
            <w:tcW w:w="189" w:type="pct"/>
            <w:shd w:val="clear" w:color="auto" w:fill="auto"/>
            <w:noWrap/>
            <w:vAlign w:val="center"/>
          </w:tcPr>
          <w:p w14:paraId="57735E7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51</w:t>
            </w:r>
          </w:p>
        </w:tc>
        <w:tc>
          <w:tcPr>
            <w:tcW w:w="132" w:type="pct"/>
            <w:vMerge w:val="continue"/>
            <w:vAlign w:val="center"/>
          </w:tcPr>
          <w:p w14:paraId="4F6CC251">
            <w:pPr>
              <w:widowControl/>
              <w:jc w:val="center"/>
              <w:rPr>
                <w:rFonts w:ascii="Times New Roman" w:hAnsi="Times New Roman" w:eastAsia="宋体" w:cs="Times New Roman"/>
                <w:kern w:val="0"/>
                <w:szCs w:val="21"/>
              </w:rPr>
            </w:pPr>
          </w:p>
        </w:tc>
        <w:tc>
          <w:tcPr>
            <w:tcW w:w="232" w:type="pct"/>
            <w:vMerge w:val="continue"/>
            <w:vAlign w:val="center"/>
          </w:tcPr>
          <w:p w14:paraId="4179EAFA">
            <w:pPr>
              <w:widowControl/>
              <w:jc w:val="center"/>
              <w:rPr>
                <w:rFonts w:ascii="Times New Roman" w:hAnsi="Times New Roman" w:eastAsia="宋体" w:cs="Times New Roman"/>
                <w:kern w:val="0"/>
                <w:szCs w:val="21"/>
              </w:rPr>
            </w:pPr>
          </w:p>
        </w:tc>
        <w:tc>
          <w:tcPr>
            <w:tcW w:w="147" w:type="pct"/>
            <w:vMerge w:val="continue"/>
            <w:vAlign w:val="center"/>
          </w:tcPr>
          <w:p w14:paraId="4DA8E124">
            <w:pPr>
              <w:widowControl/>
              <w:jc w:val="center"/>
              <w:rPr>
                <w:rFonts w:ascii="Times New Roman" w:hAnsi="Times New Roman" w:eastAsia="宋体" w:cs="Times New Roman"/>
                <w:kern w:val="0"/>
                <w:szCs w:val="21"/>
              </w:rPr>
            </w:pPr>
          </w:p>
        </w:tc>
        <w:tc>
          <w:tcPr>
            <w:tcW w:w="137" w:type="pct"/>
            <w:shd w:val="clear" w:color="auto" w:fill="auto"/>
            <w:vAlign w:val="center"/>
          </w:tcPr>
          <w:p w14:paraId="389DACF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59.8</w:t>
            </w:r>
          </w:p>
        </w:tc>
        <w:tc>
          <w:tcPr>
            <w:tcW w:w="138" w:type="pct"/>
            <w:shd w:val="clear" w:color="auto" w:fill="auto"/>
            <w:vAlign w:val="center"/>
          </w:tcPr>
          <w:p w14:paraId="4EA5DF1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55.9</w:t>
            </w:r>
          </w:p>
        </w:tc>
        <w:tc>
          <w:tcPr>
            <w:tcW w:w="137" w:type="pct"/>
            <w:shd w:val="clear" w:color="auto" w:fill="auto"/>
            <w:vAlign w:val="center"/>
          </w:tcPr>
          <w:p w14:paraId="32B9467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60.4</w:t>
            </w:r>
          </w:p>
        </w:tc>
        <w:tc>
          <w:tcPr>
            <w:tcW w:w="138" w:type="pct"/>
            <w:shd w:val="clear" w:color="auto" w:fill="auto"/>
            <w:vAlign w:val="center"/>
          </w:tcPr>
          <w:p w14:paraId="69F1DD4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56.7</w:t>
            </w:r>
          </w:p>
        </w:tc>
        <w:tc>
          <w:tcPr>
            <w:tcW w:w="137" w:type="pct"/>
            <w:shd w:val="clear" w:color="auto" w:fill="auto"/>
            <w:vAlign w:val="center"/>
          </w:tcPr>
          <w:p w14:paraId="1691761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61.1</w:t>
            </w:r>
          </w:p>
        </w:tc>
        <w:tc>
          <w:tcPr>
            <w:tcW w:w="140" w:type="pct"/>
            <w:shd w:val="clear" w:color="auto" w:fill="auto"/>
            <w:vAlign w:val="center"/>
          </w:tcPr>
          <w:p w14:paraId="2F233D4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57.4</w:t>
            </w:r>
          </w:p>
        </w:tc>
        <w:tc>
          <w:tcPr>
            <w:tcW w:w="137" w:type="pct"/>
            <w:shd w:val="clear" w:color="auto" w:fill="auto"/>
            <w:vAlign w:val="center"/>
          </w:tcPr>
          <w:p w14:paraId="66228B8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59.9</w:t>
            </w:r>
          </w:p>
        </w:tc>
        <w:tc>
          <w:tcPr>
            <w:tcW w:w="138" w:type="pct"/>
            <w:shd w:val="clear" w:color="auto" w:fill="auto"/>
            <w:vAlign w:val="center"/>
          </w:tcPr>
          <w:p w14:paraId="2396B55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56.0</w:t>
            </w:r>
          </w:p>
        </w:tc>
        <w:tc>
          <w:tcPr>
            <w:tcW w:w="137" w:type="pct"/>
            <w:shd w:val="clear" w:color="auto" w:fill="auto"/>
            <w:vAlign w:val="center"/>
          </w:tcPr>
          <w:p w14:paraId="7EEBDBC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60.5</w:t>
            </w:r>
          </w:p>
        </w:tc>
        <w:tc>
          <w:tcPr>
            <w:tcW w:w="139" w:type="pct"/>
            <w:shd w:val="clear" w:color="auto" w:fill="auto"/>
            <w:vAlign w:val="center"/>
          </w:tcPr>
          <w:p w14:paraId="287A17E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56.7</w:t>
            </w:r>
          </w:p>
        </w:tc>
        <w:tc>
          <w:tcPr>
            <w:tcW w:w="137" w:type="pct"/>
            <w:shd w:val="clear" w:color="auto" w:fill="auto"/>
            <w:vAlign w:val="center"/>
          </w:tcPr>
          <w:p w14:paraId="4F65A09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61.2</w:t>
            </w:r>
          </w:p>
        </w:tc>
        <w:tc>
          <w:tcPr>
            <w:tcW w:w="139" w:type="pct"/>
            <w:shd w:val="clear" w:color="auto" w:fill="auto"/>
            <w:vAlign w:val="center"/>
          </w:tcPr>
          <w:p w14:paraId="3538C83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57.4</w:t>
            </w:r>
          </w:p>
        </w:tc>
        <w:tc>
          <w:tcPr>
            <w:tcW w:w="137" w:type="pct"/>
            <w:shd w:val="clear" w:color="auto" w:fill="auto"/>
            <w:vAlign w:val="center"/>
          </w:tcPr>
          <w:p w14:paraId="73F330B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8" w:type="pct"/>
            <w:shd w:val="clear" w:color="auto" w:fill="auto"/>
            <w:vAlign w:val="center"/>
          </w:tcPr>
          <w:p w14:paraId="6EDDC4E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6.0</w:t>
            </w:r>
          </w:p>
        </w:tc>
        <w:tc>
          <w:tcPr>
            <w:tcW w:w="137" w:type="pct"/>
            <w:shd w:val="clear" w:color="auto" w:fill="auto"/>
            <w:vAlign w:val="center"/>
          </w:tcPr>
          <w:p w14:paraId="266DCD3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0.5</w:t>
            </w:r>
          </w:p>
        </w:tc>
        <w:tc>
          <w:tcPr>
            <w:tcW w:w="139" w:type="pct"/>
            <w:shd w:val="clear" w:color="auto" w:fill="auto"/>
            <w:vAlign w:val="center"/>
          </w:tcPr>
          <w:p w14:paraId="7ACF6B0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6.7</w:t>
            </w:r>
          </w:p>
        </w:tc>
        <w:tc>
          <w:tcPr>
            <w:tcW w:w="137" w:type="pct"/>
            <w:shd w:val="clear" w:color="auto" w:fill="auto"/>
            <w:vAlign w:val="center"/>
          </w:tcPr>
          <w:p w14:paraId="6D494D0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1.2</w:t>
            </w:r>
          </w:p>
        </w:tc>
        <w:tc>
          <w:tcPr>
            <w:tcW w:w="139" w:type="pct"/>
            <w:shd w:val="clear" w:color="auto" w:fill="auto"/>
            <w:vAlign w:val="center"/>
          </w:tcPr>
          <w:p w14:paraId="38C8ACF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7.4</w:t>
            </w:r>
          </w:p>
        </w:tc>
        <w:tc>
          <w:tcPr>
            <w:tcW w:w="137" w:type="pct"/>
            <w:shd w:val="clear" w:color="auto" w:fill="auto"/>
            <w:vAlign w:val="center"/>
          </w:tcPr>
          <w:p w14:paraId="10A81A8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16.4</w:t>
            </w:r>
          </w:p>
        </w:tc>
        <w:tc>
          <w:tcPr>
            <w:tcW w:w="139" w:type="pct"/>
            <w:shd w:val="clear" w:color="auto" w:fill="auto"/>
            <w:vAlign w:val="center"/>
          </w:tcPr>
          <w:p w14:paraId="3A24C51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17.5</w:t>
            </w:r>
          </w:p>
        </w:tc>
        <w:tc>
          <w:tcPr>
            <w:tcW w:w="137" w:type="pct"/>
            <w:shd w:val="clear" w:color="auto" w:fill="auto"/>
            <w:vAlign w:val="center"/>
          </w:tcPr>
          <w:p w14:paraId="6C84733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17.0</w:t>
            </w:r>
          </w:p>
        </w:tc>
        <w:tc>
          <w:tcPr>
            <w:tcW w:w="138" w:type="pct"/>
            <w:shd w:val="clear" w:color="auto" w:fill="auto"/>
            <w:vAlign w:val="center"/>
          </w:tcPr>
          <w:p w14:paraId="0CF99ED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18.2</w:t>
            </w:r>
          </w:p>
        </w:tc>
        <w:tc>
          <w:tcPr>
            <w:tcW w:w="137" w:type="pct"/>
            <w:shd w:val="clear" w:color="auto" w:fill="auto"/>
            <w:vAlign w:val="center"/>
          </w:tcPr>
          <w:p w14:paraId="1737ED9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17.7</w:t>
            </w:r>
          </w:p>
        </w:tc>
        <w:tc>
          <w:tcPr>
            <w:tcW w:w="139" w:type="pct"/>
            <w:shd w:val="clear" w:color="auto" w:fill="auto"/>
            <w:vAlign w:val="center"/>
          </w:tcPr>
          <w:p w14:paraId="3D045BC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18.9</w:t>
            </w:r>
          </w:p>
        </w:tc>
        <w:tc>
          <w:tcPr>
            <w:tcW w:w="157" w:type="pct"/>
            <w:shd w:val="clear" w:color="auto" w:fill="auto"/>
            <w:vAlign w:val="center"/>
          </w:tcPr>
          <w:p w14:paraId="4C87AB2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w:t>
            </w:r>
            <w:r>
              <w:rPr>
                <w:rFonts w:ascii="Times New Roman" w:hAnsi="宋体" w:eastAsia="宋体" w:cs="Times New Roman"/>
                <w:kern w:val="0"/>
                <w:szCs w:val="21"/>
              </w:rPr>
              <w:t>类</w:t>
            </w:r>
          </w:p>
        </w:tc>
        <w:tc>
          <w:tcPr>
            <w:tcW w:w="134" w:type="pct"/>
            <w:vMerge w:val="continue"/>
            <w:vAlign w:val="center"/>
          </w:tcPr>
          <w:p w14:paraId="4310F2E6">
            <w:pPr>
              <w:widowControl/>
              <w:jc w:val="center"/>
              <w:rPr>
                <w:rFonts w:ascii="Times New Roman" w:hAnsi="Times New Roman" w:eastAsia="宋体" w:cs="Times New Roman"/>
                <w:kern w:val="0"/>
                <w:szCs w:val="21"/>
              </w:rPr>
            </w:pPr>
          </w:p>
        </w:tc>
        <w:tc>
          <w:tcPr>
            <w:tcW w:w="134" w:type="pct"/>
            <w:vMerge w:val="continue"/>
            <w:vAlign w:val="center"/>
          </w:tcPr>
          <w:p w14:paraId="1F134D46">
            <w:pPr>
              <w:widowControl/>
              <w:jc w:val="center"/>
              <w:rPr>
                <w:rFonts w:ascii="Times New Roman" w:hAnsi="Times New Roman" w:eastAsia="宋体" w:cs="Times New Roman"/>
                <w:kern w:val="0"/>
                <w:szCs w:val="21"/>
              </w:rPr>
            </w:pPr>
          </w:p>
        </w:tc>
      </w:tr>
      <w:tr w14:paraId="61FC0C83">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7" w:type="pct"/>
            <w:shd w:val="clear" w:color="auto" w:fill="auto"/>
            <w:vAlign w:val="center"/>
          </w:tcPr>
          <w:p w14:paraId="5C7AFF5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w:t>
            </w:r>
          </w:p>
        </w:tc>
        <w:tc>
          <w:tcPr>
            <w:tcW w:w="320" w:type="pct"/>
            <w:shd w:val="clear" w:color="auto" w:fill="auto"/>
            <w:vAlign w:val="center"/>
          </w:tcPr>
          <w:p w14:paraId="75365419">
            <w:pPr>
              <w:widowControl/>
              <w:jc w:val="center"/>
              <w:rPr>
                <w:rFonts w:ascii="Times New Roman" w:hAnsi="Times New Roman" w:eastAsia="宋体" w:cs="Times New Roman"/>
                <w:kern w:val="0"/>
                <w:szCs w:val="21"/>
              </w:rPr>
            </w:pPr>
            <w:r>
              <w:rPr>
                <w:rFonts w:ascii="Times New Roman" w:hAnsi="宋体" w:eastAsia="宋体" w:cs="Times New Roman"/>
                <w:kern w:val="0"/>
                <w:szCs w:val="21"/>
              </w:rPr>
              <w:t>英兰干村幼儿园</w:t>
            </w:r>
          </w:p>
        </w:tc>
        <w:tc>
          <w:tcPr>
            <w:tcW w:w="145" w:type="pct"/>
            <w:shd w:val="clear" w:color="auto" w:fill="auto"/>
            <w:vAlign w:val="center"/>
          </w:tcPr>
          <w:p w14:paraId="4E947A13">
            <w:pPr>
              <w:widowControl/>
              <w:jc w:val="center"/>
              <w:rPr>
                <w:rFonts w:ascii="Times New Roman" w:hAnsi="Times New Roman" w:eastAsia="宋体" w:cs="Times New Roman"/>
                <w:kern w:val="0"/>
                <w:szCs w:val="21"/>
              </w:rPr>
            </w:pPr>
            <w:r>
              <w:rPr>
                <w:rFonts w:ascii="Times New Roman" w:hAnsi="宋体" w:eastAsia="宋体" w:cs="Times New Roman"/>
                <w:kern w:val="0"/>
                <w:szCs w:val="21"/>
              </w:rPr>
              <w:t>路左</w:t>
            </w:r>
          </w:p>
        </w:tc>
        <w:tc>
          <w:tcPr>
            <w:tcW w:w="189" w:type="pct"/>
            <w:shd w:val="clear" w:color="auto" w:fill="auto"/>
            <w:noWrap/>
            <w:vAlign w:val="center"/>
          </w:tcPr>
          <w:p w14:paraId="473DC34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70</w:t>
            </w:r>
          </w:p>
        </w:tc>
        <w:tc>
          <w:tcPr>
            <w:tcW w:w="132" w:type="pct"/>
            <w:shd w:val="clear" w:color="auto" w:fill="auto"/>
            <w:vAlign w:val="center"/>
          </w:tcPr>
          <w:p w14:paraId="244E8BE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w:t>
            </w:r>
          </w:p>
        </w:tc>
        <w:tc>
          <w:tcPr>
            <w:tcW w:w="232" w:type="pct"/>
            <w:shd w:val="clear" w:color="auto" w:fill="auto"/>
            <w:vAlign w:val="center"/>
          </w:tcPr>
          <w:p w14:paraId="3107D83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0</w:t>
            </w:r>
          </w:p>
        </w:tc>
        <w:tc>
          <w:tcPr>
            <w:tcW w:w="147" w:type="pct"/>
            <w:shd w:val="clear" w:color="auto" w:fill="auto"/>
            <w:vAlign w:val="center"/>
          </w:tcPr>
          <w:p w14:paraId="120CD65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w:t>
            </w:r>
            <w:r>
              <w:rPr>
                <w:rFonts w:ascii="Times New Roman" w:hAnsi="宋体" w:eastAsia="宋体" w:cs="Times New Roman"/>
                <w:kern w:val="0"/>
                <w:szCs w:val="21"/>
              </w:rPr>
              <w:t>层</w:t>
            </w:r>
          </w:p>
        </w:tc>
        <w:tc>
          <w:tcPr>
            <w:tcW w:w="137" w:type="pct"/>
            <w:shd w:val="clear" w:color="auto" w:fill="auto"/>
            <w:vAlign w:val="center"/>
          </w:tcPr>
          <w:p w14:paraId="5C87F73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57.4</w:t>
            </w:r>
          </w:p>
        </w:tc>
        <w:tc>
          <w:tcPr>
            <w:tcW w:w="138" w:type="pct"/>
            <w:shd w:val="clear" w:color="auto" w:fill="auto"/>
            <w:vAlign w:val="center"/>
          </w:tcPr>
          <w:p w14:paraId="1E634F7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53.5</w:t>
            </w:r>
          </w:p>
        </w:tc>
        <w:tc>
          <w:tcPr>
            <w:tcW w:w="137" w:type="pct"/>
            <w:shd w:val="clear" w:color="auto" w:fill="auto"/>
            <w:vAlign w:val="center"/>
          </w:tcPr>
          <w:p w14:paraId="51337B1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58.0</w:t>
            </w:r>
          </w:p>
        </w:tc>
        <w:tc>
          <w:tcPr>
            <w:tcW w:w="138" w:type="pct"/>
            <w:shd w:val="clear" w:color="auto" w:fill="auto"/>
            <w:vAlign w:val="center"/>
          </w:tcPr>
          <w:p w14:paraId="14CEF15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54.3</w:t>
            </w:r>
          </w:p>
        </w:tc>
        <w:tc>
          <w:tcPr>
            <w:tcW w:w="137" w:type="pct"/>
            <w:shd w:val="clear" w:color="auto" w:fill="auto"/>
            <w:vAlign w:val="center"/>
          </w:tcPr>
          <w:p w14:paraId="67E08F9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58.7</w:t>
            </w:r>
          </w:p>
        </w:tc>
        <w:tc>
          <w:tcPr>
            <w:tcW w:w="140" w:type="pct"/>
            <w:shd w:val="clear" w:color="auto" w:fill="auto"/>
            <w:vAlign w:val="center"/>
          </w:tcPr>
          <w:p w14:paraId="2384F2D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55.0</w:t>
            </w:r>
          </w:p>
        </w:tc>
        <w:tc>
          <w:tcPr>
            <w:tcW w:w="137" w:type="pct"/>
            <w:shd w:val="clear" w:color="auto" w:fill="auto"/>
            <w:vAlign w:val="center"/>
          </w:tcPr>
          <w:p w14:paraId="05663AE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57.6</w:t>
            </w:r>
          </w:p>
        </w:tc>
        <w:tc>
          <w:tcPr>
            <w:tcW w:w="138" w:type="pct"/>
            <w:shd w:val="clear" w:color="auto" w:fill="auto"/>
            <w:vAlign w:val="center"/>
          </w:tcPr>
          <w:p w14:paraId="00E7BE6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53.6</w:t>
            </w:r>
          </w:p>
        </w:tc>
        <w:tc>
          <w:tcPr>
            <w:tcW w:w="137" w:type="pct"/>
            <w:shd w:val="clear" w:color="auto" w:fill="auto"/>
            <w:vAlign w:val="center"/>
          </w:tcPr>
          <w:p w14:paraId="249D3CD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58.2</w:t>
            </w:r>
          </w:p>
        </w:tc>
        <w:tc>
          <w:tcPr>
            <w:tcW w:w="139" w:type="pct"/>
            <w:shd w:val="clear" w:color="auto" w:fill="auto"/>
            <w:vAlign w:val="center"/>
          </w:tcPr>
          <w:p w14:paraId="6683D41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54.4</w:t>
            </w:r>
          </w:p>
        </w:tc>
        <w:tc>
          <w:tcPr>
            <w:tcW w:w="137" w:type="pct"/>
            <w:shd w:val="clear" w:color="auto" w:fill="auto"/>
            <w:vAlign w:val="center"/>
          </w:tcPr>
          <w:p w14:paraId="27CF69F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58.9</w:t>
            </w:r>
          </w:p>
        </w:tc>
        <w:tc>
          <w:tcPr>
            <w:tcW w:w="139" w:type="pct"/>
            <w:shd w:val="clear" w:color="auto" w:fill="auto"/>
            <w:vAlign w:val="center"/>
          </w:tcPr>
          <w:p w14:paraId="56CDFC1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55.1</w:t>
            </w:r>
          </w:p>
        </w:tc>
        <w:tc>
          <w:tcPr>
            <w:tcW w:w="137" w:type="pct"/>
            <w:shd w:val="clear" w:color="auto" w:fill="auto"/>
            <w:vAlign w:val="center"/>
          </w:tcPr>
          <w:p w14:paraId="5ECC318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8" w:type="pct"/>
            <w:shd w:val="clear" w:color="auto" w:fill="auto"/>
            <w:vAlign w:val="center"/>
          </w:tcPr>
          <w:p w14:paraId="16C7F4E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7" w:type="pct"/>
            <w:shd w:val="clear" w:color="auto" w:fill="auto"/>
            <w:vAlign w:val="center"/>
          </w:tcPr>
          <w:p w14:paraId="0F0EDF6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shd w:val="clear" w:color="auto" w:fill="auto"/>
            <w:vAlign w:val="center"/>
          </w:tcPr>
          <w:p w14:paraId="5DE6EC9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7" w:type="pct"/>
            <w:shd w:val="clear" w:color="auto" w:fill="auto"/>
            <w:vAlign w:val="center"/>
          </w:tcPr>
          <w:p w14:paraId="4B22EBF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shd w:val="clear" w:color="auto" w:fill="auto"/>
            <w:vAlign w:val="center"/>
          </w:tcPr>
          <w:p w14:paraId="2880119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7" w:type="pct"/>
            <w:shd w:val="clear" w:color="auto" w:fill="auto"/>
            <w:vAlign w:val="center"/>
          </w:tcPr>
          <w:p w14:paraId="3249C82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14.1</w:t>
            </w:r>
          </w:p>
        </w:tc>
        <w:tc>
          <w:tcPr>
            <w:tcW w:w="139" w:type="pct"/>
            <w:shd w:val="clear" w:color="auto" w:fill="auto"/>
            <w:vAlign w:val="center"/>
          </w:tcPr>
          <w:p w14:paraId="5CEC0EA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15.1</w:t>
            </w:r>
          </w:p>
        </w:tc>
        <w:tc>
          <w:tcPr>
            <w:tcW w:w="137" w:type="pct"/>
            <w:shd w:val="clear" w:color="auto" w:fill="auto"/>
            <w:vAlign w:val="center"/>
          </w:tcPr>
          <w:p w14:paraId="7AD5A83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14.7</w:t>
            </w:r>
          </w:p>
        </w:tc>
        <w:tc>
          <w:tcPr>
            <w:tcW w:w="138" w:type="pct"/>
            <w:shd w:val="clear" w:color="auto" w:fill="auto"/>
            <w:vAlign w:val="center"/>
          </w:tcPr>
          <w:p w14:paraId="3AA9F5C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15.9</w:t>
            </w:r>
          </w:p>
        </w:tc>
        <w:tc>
          <w:tcPr>
            <w:tcW w:w="137" w:type="pct"/>
            <w:shd w:val="clear" w:color="auto" w:fill="auto"/>
            <w:vAlign w:val="center"/>
          </w:tcPr>
          <w:p w14:paraId="407CC47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15.4</w:t>
            </w:r>
          </w:p>
        </w:tc>
        <w:tc>
          <w:tcPr>
            <w:tcW w:w="139" w:type="pct"/>
            <w:shd w:val="clear" w:color="auto" w:fill="auto"/>
            <w:vAlign w:val="center"/>
          </w:tcPr>
          <w:p w14:paraId="716D16A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16.6</w:t>
            </w:r>
          </w:p>
        </w:tc>
        <w:tc>
          <w:tcPr>
            <w:tcW w:w="157" w:type="pct"/>
            <w:shd w:val="clear" w:color="auto" w:fill="auto"/>
            <w:vAlign w:val="center"/>
          </w:tcPr>
          <w:p w14:paraId="18F9C76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w:t>
            </w:r>
            <w:r>
              <w:rPr>
                <w:rFonts w:ascii="Times New Roman" w:hAnsi="宋体" w:eastAsia="宋体" w:cs="Times New Roman"/>
                <w:kern w:val="0"/>
                <w:szCs w:val="21"/>
              </w:rPr>
              <w:t>类</w:t>
            </w:r>
          </w:p>
        </w:tc>
        <w:tc>
          <w:tcPr>
            <w:tcW w:w="134" w:type="pct"/>
            <w:shd w:val="clear" w:color="auto" w:fill="auto"/>
            <w:vAlign w:val="center"/>
          </w:tcPr>
          <w:p w14:paraId="7692660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43.5</w:t>
            </w:r>
          </w:p>
        </w:tc>
        <w:tc>
          <w:tcPr>
            <w:tcW w:w="134" w:type="pct"/>
            <w:shd w:val="clear" w:color="auto" w:fill="auto"/>
            <w:vAlign w:val="center"/>
          </w:tcPr>
          <w:p w14:paraId="22AAC25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38.5</w:t>
            </w:r>
          </w:p>
        </w:tc>
      </w:tr>
      <w:tr w14:paraId="6C4C4924">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7" w:type="pct"/>
            <w:vMerge w:val="restart"/>
            <w:shd w:val="clear" w:color="auto" w:fill="auto"/>
            <w:vAlign w:val="center"/>
          </w:tcPr>
          <w:p w14:paraId="6A52A0B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w:t>
            </w:r>
          </w:p>
        </w:tc>
        <w:tc>
          <w:tcPr>
            <w:tcW w:w="320" w:type="pct"/>
            <w:vMerge w:val="restart"/>
            <w:shd w:val="clear" w:color="auto" w:fill="auto"/>
            <w:vAlign w:val="center"/>
          </w:tcPr>
          <w:p w14:paraId="2E689625">
            <w:pPr>
              <w:widowControl/>
              <w:jc w:val="center"/>
              <w:rPr>
                <w:rFonts w:ascii="Times New Roman" w:hAnsi="Times New Roman" w:eastAsia="宋体" w:cs="Times New Roman"/>
                <w:kern w:val="0"/>
                <w:szCs w:val="21"/>
              </w:rPr>
            </w:pPr>
            <w:r>
              <w:rPr>
                <w:rFonts w:ascii="Times New Roman" w:hAnsi="宋体" w:eastAsia="宋体" w:cs="Times New Roman"/>
                <w:kern w:val="0"/>
                <w:szCs w:val="21"/>
              </w:rPr>
              <w:t>勒格里地玛央艾日克村</w:t>
            </w:r>
          </w:p>
        </w:tc>
        <w:tc>
          <w:tcPr>
            <w:tcW w:w="145" w:type="pct"/>
            <w:vMerge w:val="restart"/>
            <w:shd w:val="clear" w:color="auto" w:fill="auto"/>
            <w:vAlign w:val="center"/>
          </w:tcPr>
          <w:p w14:paraId="3E474B1C">
            <w:pPr>
              <w:widowControl/>
              <w:jc w:val="center"/>
              <w:rPr>
                <w:rFonts w:ascii="Times New Roman" w:hAnsi="Times New Roman" w:eastAsia="宋体" w:cs="Times New Roman"/>
                <w:kern w:val="0"/>
                <w:szCs w:val="21"/>
              </w:rPr>
            </w:pPr>
            <w:r>
              <w:rPr>
                <w:rFonts w:ascii="Times New Roman" w:hAnsi="宋体" w:eastAsia="宋体" w:cs="Times New Roman"/>
                <w:kern w:val="0"/>
                <w:szCs w:val="21"/>
              </w:rPr>
              <w:t>两侧</w:t>
            </w:r>
          </w:p>
        </w:tc>
        <w:tc>
          <w:tcPr>
            <w:tcW w:w="189" w:type="pct"/>
            <w:shd w:val="clear" w:color="auto" w:fill="auto"/>
            <w:noWrap/>
            <w:vAlign w:val="center"/>
          </w:tcPr>
          <w:p w14:paraId="4A9AC10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23</w:t>
            </w:r>
          </w:p>
        </w:tc>
        <w:tc>
          <w:tcPr>
            <w:tcW w:w="132" w:type="pct"/>
            <w:vMerge w:val="restart"/>
            <w:shd w:val="clear" w:color="auto" w:fill="auto"/>
            <w:vAlign w:val="center"/>
          </w:tcPr>
          <w:p w14:paraId="0972937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2.5</w:t>
            </w:r>
          </w:p>
        </w:tc>
        <w:tc>
          <w:tcPr>
            <w:tcW w:w="232" w:type="pct"/>
            <w:vMerge w:val="restart"/>
            <w:shd w:val="clear" w:color="auto" w:fill="auto"/>
            <w:vAlign w:val="center"/>
          </w:tcPr>
          <w:p w14:paraId="2236F03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0</w:t>
            </w:r>
          </w:p>
        </w:tc>
        <w:tc>
          <w:tcPr>
            <w:tcW w:w="147" w:type="pct"/>
            <w:vMerge w:val="restart"/>
            <w:shd w:val="clear" w:color="auto" w:fill="auto"/>
            <w:vAlign w:val="center"/>
          </w:tcPr>
          <w:p w14:paraId="788C3DF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w:t>
            </w:r>
            <w:r>
              <w:rPr>
                <w:rFonts w:ascii="Times New Roman" w:hAnsi="宋体" w:eastAsia="宋体" w:cs="Times New Roman"/>
                <w:kern w:val="0"/>
                <w:szCs w:val="21"/>
              </w:rPr>
              <w:t>层</w:t>
            </w:r>
          </w:p>
        </w:tc>
        <w:tc>
          <w:tcPr>
            <w:tcW w:w="137" w:type="pct"/>
            <w:shd w:val="clear" w:color="auto" w:fill="auto"/>
            <w:vAlign w:val="center"/>
          </w:tcPr>
          <w:p w14:paraId="6F1368D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62.3</w:t>
            </w:r>
          </w:p>
        </w:tc>
        <w:tc>
          <w:tcPr>
            <w:tcW w:w="138" w:type="pct"/>
            <w:shd w:val="clear" w:color="auto" w:fill="auto"/>
            <w:vAlign w:val="center"/>
          </w:tcPr>
          <w:p w14:paraId="3F3EC13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58.4</w:t>
            </w:r>
          </w:p>
        </w:tc>
        <w:tc>
          <w:tcPr>
            <w:tcW w:w="137" w:type="pct"/>
            <w:shd w:val="clear" w:color="auto" w:fill="auto"/>
            <w:vAlign w:val="center"/>
          </w:tcPr>
          <w:p w14:paraId="6D61286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63.1</w:t>
            </w:r>
          </w:p>
        </w:tc>
        <w:tc>
          <w:tcPr>
            <w:tcW w:w="138" w:type="pct"/>
            <w:shd w:val="clear" w:color="auto" w:fill="auto"/>
            <w:vAlign w:val="center"/>
          </w:tcPr>
          <w:p w14:paraId="154EAB7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59.2</w:t>
            </w:r>
          </w:p>
        </w:tc>
        <w:tc>
          <w:tcPr>
            <w:tcW w:w="137" w:type="pct"/>
            <w:shd w:val="clear" w:color="auto" w:fill="auto"/>
            <w:vAlign w:val="center"/>
          </w:tcPr>
          <w:p w14:paraId="6FCA750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62.0</w:t>
            </w:r>
          </w:p>
        </w:tc>
        <w:tc>
          <w:tcPr>
            <w:tcW w:w="140" w:type="pct"/>
            <w:shd w:val="clear" w:color="auto" w:fill="auto"/>
            <w:vAlign w:val="center"/>
          </w:tcPr>
          <w:p w14:paraId="0627005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59.9</w:t>
            </w:r>
          </w:p>
        </w:tc>
        <w:tc>
          <w:tcPr>
            <w:tcW w:w="137" w:type="pct"/>
            <w:shd w:val="clear" w:color="auto" w:fill="auto"/>
            <w:vAlign w:val="center"/>
          </w:tcPr>
          <w:p w14:paraId="171CF09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62.4</w:t>
            </w:r>
          </w:p>
        </w:tc>
        <w:tc>
          <w:tcPr>
            <w:tcW w:w="138" w:type="pct"/>
            <w:shd w:val="clear" w:color="auto" w:fill="auto"/>
            <w:vAlign w:val="center"/>
          </w:tcPr>
          <w:p w14:paraId="575AC7E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58.5</w:t>
            </w:r>
          </w:p>
        </w:tc>
        <w:tc>
          <w:tcPr>
            <w:tcW w:w="137" w:type="pct"/>
            <w:shd w:val="clear" w:color="auto" w:fill="auto"/>
            <w:vAlign w:val="center"/>
          </w:tcPr>
          <w:p w14:paraId="7AC0001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63.2</w:t>
            </w:r>
          </w:p>
        </w:tc>
        <w:tc>
          <w:tcPr>
            <w:tcW w:w="139" w:type="pct"/>
            <w:shd w:val="clear" w:color="auto" w:fill="auto"/>
            <w:vAlign w:val="center"/>
          </w:tcPr>
          <w:p w14:paraId="554DF6C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59.3</w:t>
            </w:r>
          </w:p>
        </w:tc>
        <w:tc>
          <w:tcPr>
            <w:tcW w:w="137" w:type="pct"/>
            <w:shd w:val="clear" w:color="auto" w:fill="auto"/>
            <w:vAlign w:val="center"/>
          </w:tcPr>
          <w:p w14:paraId="4B32527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62.1</w:t>
            </w:r>
          </w:p>
        </w:tc>
        <w:tc>
          <w:tcPr>
            <w:tcW w:w="139" w:type="pct"/>
            <w:shd w:val="clear" w:color="auto" w:fill="auto"/>
            <w:vAlign w:val="center"/>
          </w:tcPr>
          <w:p w14:paraId="30B5BA8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60.0</w:t>
            </w:r>
          </w:p>
        </w:tc>
        <w:tc>
          <w:tcPr>
            <w:tcW w:w="137" w:type="pct"/>
            <w:shd w:val="clear" w:color="auto" w:fill="auto"/>
            <w:vAlign w:val="center"/>
          </w:tcPr>
          <w:p w14:paraId="508D6E6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8" w:type="pct"/>
            <w:shd w:val="clear" w:color="auto" w:fill="auto"/>
            <w:vAlign w:val="center"/>
          </w:tcPr>
          <w:p w14:paraId="38013BB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3.5</w:t>
            </w:r>
          </w:p>
        </w:tc>
        <w:tc>
          <w:tcPr>
            <w:tcW w:w="137" w:type="pct"/>
            <w:shd w:val="clear" w:color="auto" w:fill="auto"/>
            <w:vAlign w:val="center"/>
          </w:tcPr>
          <w:p w14:paraId="09536A0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shd w:val="clear" w:color="auto" w:fill="auto"/>
            <w:vAlign w:val="center"/>
          </w:tcPr>
          <w:p w14:paraId="345B39F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4.3</w:t>
            </w:r>
          </w:p>
        </w:tc>
        <w:tc>
          <w:tcPr>
            <w:tcW w:w="137" w:type="pct"/>
            <w:shd w:val="clear" w:color="auto" w:fill="auto"/>
            <w:vAlign w:val="center"/>
          </w:tcPr>
          <w:p w14:paraId="06B0FDC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shd w:val="clear" w:color="auto" w:fill="auto"/>
            <w:vAlign w:val="center"/>
          </w:tcPr>
          <w:p w14:paraId="0BB9E16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5.0</w:t>
            </w:r>
          </w:p>
        </w:tc>
        <w:tc>
          <w:tcPr>
            <w:tcW w:w="137" w:type="pct"/>
            <w:shd w:val="clear" w:color="auto" w:fill="auto"/>
            <w:vAlign w:val="center"/>
          </w:tcPr>
          <w:p w14:paraId="2B59F4B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18.4</w:t>
            </w:r>
          </w:p>
        </w:tc>
        <w:tc>
          <w:tcPr>
            <w:tcW w:w="139" w:type="pct"/>
            <w:shd w:val="clear" w:color="auto" w:fill="auto"/>
            <w:vAlign w:val="center"/>
          </w:tcPr>
          <w:p w14:paraId="06C064B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21.0</w:t>
            </w:r>
          </w:p>
        </w:tc>
        <w:tc>
          <w:tcPr>
            <w:tcW w:w="137" w:type="pct"/>
            <w:shd w:val="clear" w:color="auto" w:fill="auto"/>
            <w:vAlign w:val="center"/>
          </w:tcPr>
          <w:p w14:paraId="19F2398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19.2</w:t>
            </w:r>
          </w:p>
        </w:tc>
        <w:tc>
          <w:tcPr>
            <w:tcW w:w="138" w:type="pct"/>
            <w:shd w:val="clear" w:color="auto" w:fill="auto"/>
            <w:vAlign w:val="center"/>
          </w:tcPr>
          <w:p w14:paraId="577014A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21.8</w:t>
            </w:r>
          </w:p>
        </w:tc>
        <w:tc>
          <w:tcPr>
            <w:tcW w:w="137" w:type="pct"/>
            <w:shd w:val="clear" w:color="auto" w:fill="auto"/>
            <w:vAlign w:val="center"/>
          </w:tcPr>
          <w:p w14:paraId="0043E7B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18.1</w:t>
            </w:r>
          </w:p>
        </w:tc>
        <w:tc>
          <w:tcPr>
            <w:tcW w:w="139" w:type="pct"/>
            <w:shd w:val="clear" w:color="auto" w:fill="auto"/>
            <w:vAlign w:val="center"/>
          </w:tcPr>
          <w:p w14:paraId="38760D5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22.5</w:t>
            </w:r>
          </w:p>
        </w:tc>
        <w:tc>
          <w:tcPr>
            <w:tcW w:w="157" w:type="pct"/>
            <w:shd w:val="clear" w:color="auto" w:fill="auto"/>
            <w:vAlign w:val="center"/>
          </w:tcPr>
          <w:p w14:paraId="515C12B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4a</w:t>
            </w:r>
            <w:r>
              <w:rPr>
                <w:rFonts w:ascii="Times New Roman" w:hAnsi="宋体" w:eastAsia="宋体" w:cs="Times New Roman"/>
                <w:kern w:val="0"/>
                <w:szCs w:val="21"/>
              </w:rPr>
              <w:t>类</w:t>
            </w:r>
          </w:p>
        </w:tc>
        <w:tc>
          <w:tcPr>
            <w:tcW w:w="134" w:type="pct"/>
            <w:vMerge w:val="restart"/>
            <w:shd w:val="clear" w:color="auto" w:fill="auto"/>
            <w:vAlign w:val="center"/>
          </w:tcPr>
          <w:p w14:paraId="4C1236C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44.0</w:t>
            </w:r>
          </w:p>
        </w:tc>
        <w:tc>
          <w:tcPr>
            <w:tcW w:w="134" w:type="pct"/>
            <w:vMerge w:val="restart"/>
            <w:shd w:val="clear" w:color="auto" w:fill="auto"/>
            <w:vAlign w:val="center"/>
          </w:tcPr>
          <w:p w14:paraId="1E9A74E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37.5</w:t>
            </w:r>
          </w:p>
        </w:tc>
      </w:tr>
      <w:tr w14:paraId="1E00A440">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7" w:type="pct"/>
            <w:vMerge w:val="continue"/>
            <w:vAlign w:val="center"/>
          </w:tcPr>
          <w:p w14:paraId="2CAAC48D">
            <w:pPr>
              <w:widowControl/>
              <w:jc w:val="center"/>
              <w:rPr>
                <w:rFonts w:ascii="Times New Roman" w:hAnsi="Times New Roman" w:eastAsia="宋体" w:cs="Times New Roman"/>
                <w:kern w:val="0"/>
                <w:szCs w:val="21"/>
              </w:rPr>
            </w:pPr>
          </w:p>
        </w:tc>
        <w:tc>
          <w:tcPr>
            <w:tcW w:w="320" w:type="pct"/>
            <w:vMerge w:val="continue"/>
            <w:vAlign w:val="center"/>
          </w:tcPr>
          <w:p w14:paraId="1134B6D8">
            <w:pPr>
              <w:widowControl/>
              <w:jc w:val="center"/>
              <w:rPr>
                <w:rFonts w:ascii="Times New Roman" w:hAnsi="Times New Roman" w:eastAsia="宋体" w:cs="Times New Roman"/>
                <w:kern w:val="0"/>
                <w:szCs w:val="21"/>
              </w:rPr>
            </w:pPr>
          </w:p>
        </w:tc>
        <w:tc>
          <w:tcPr>
            <w:tcW w:w="145" w:type="pct"/>
            <w:vMerge w:val="continue"/>
            <w:vAlign w:val="center"/>
          </w:tcPr>
          <w:p w14:paraId="11395F04">
            <w:pPr>
              <w:widowControl/>
              <w:jc w:val="center"/>
              <w:rPr>
                <w:rFonts w:ascii="Times New Roman" w:hAnsi="Times New Roman" w:eastAsia="宋体" w:cs="Times New Roman"/>
                <w:kern w:val="0"/>
                <w:szCs w:val="21"/>
              </w:rPr>
            </w:pPr>
          </w:p>
        </w:tc>
        <w:tc>
          <w:tcPr>
            <w:tcW w:w="189" w:type="pct"/>
            <w:shd w:val="clear" w:color="auto" w:fill="auto"/>
            <w:noWrap/>
            <w:vAlign w:val="center"/>
          </w:tcPr>
          <w:p w14:paraId="55CF0AF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w:t>
            </w:r>
          </w:p>
        </w:tc>
        <w:tc>
          <w:tcPr>
            <w:tcW w:w="132" w:type="pct"/>
            <w:vMerge w:val="continue"/>
            <w:vAlign w:val="center"/>
          </w:tcPr>
          <w:p w14:paraId="6A55C721">
            <w:pPr>
              <w:widowControl/>
              <w:jc w:val="center"/>
              <w:rPr>
                <w:rFonts w:ascii="Times New Roman" w:hAnsi="Times New Roman" w:eastAsia="宋体" w:cs="Times New Roman"/>
                <w:kern w:val="0"/>
                <w:szCs w:val="21"/>
              </w:rPr>
            </w:pPr>
          </w:p>
        </w:tc>
        <w:tc>
          <w:tcPr>
            <w:tcW w:w="232" w:type="pct"/>
            <w:vMerge w:val="continue"/>
            <w:vAlign w:val="center"/>
          </w:tcPr>
          <w:p w14:paraId="59A2705F">
            <w:pPr>
              <w:widowControl/>
              <w:jc w:val="center"/>
              <w:rPr>
                <w:rFonts w:ascii="Times New Roman" w:hAnsi="Times New Roman" w:eastAsia="宋体" w:cs="Times New Roman"/>
                <w:kern w:val="0"/>
                <w:szCs w:val="21"/>
              </w:rPr>
            </w:pPr>
          </w:p>
        </w:tc>
        <w:tc>
          <w:tcPr>
            <w:tcW w:w="147" w:type="pct"/>
            <w:vMerge w:val="continue"/>
            <w:vAlign w:val="center"/>
          </w:tcPr>
          <w:p w14:paraId="34A149B4">
            <w:pPr>
              <w:widowControl/>
              <w:jc w:val="center"/>
              <w:rPr>
                <w:rFonts w:ascii="Times New Roman" w:hAnsi="Times New Roman" w:eastAsia="宋体" w:cs="Times New Roman"/>
                <w:kern w:val="0"/>
                <w:szCs w:val="21"/>
              </w:rPr>
            </w:pPr>
          </w:p>
        </w:tc>
        <w:tc>
          <w:tcPr>
            <w:tcW w:w="137" w:type="pct"/>
            <w:shd w:val="clear" w:color="auto" w:fill="auto"/>
            <w:vAlign w:val="center"/>
          </w:tcPr>
          <w:p w14:paraId="6091DAD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57.2</w:t>
            </w:r>
          </w:p>
        </w:tc>
        <w:tc>
          <w:tcPr>
            <w:tcW w:w="138" w:type="pct"/>
            <w:shd w:val="clear" w:color="auto" w:fill="auto"/>
            <w:vAlign w:val="center"/>
          </w:tcPr>
          <w:p w14:paraId="0FF6F9E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53.3</w:t>
            </w:r>
          </w:p>
        </w:tc>
        <w:tc>
          <w:tcPr>
            <w:tcW w:w="137" w:type="pct"/>
            <w:shd w:val="clear" w:color="auto" w:fill="auto"/>
            <w:vAlign w:val="center"/>
          </w:tcPr>
          <w:p w14:paraId="15E4023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58.0</w:t>
            </w:r>
          </w:p>
        </w:tc>
        <w:tc>
          <w:tcPr>
            <w:tcW w:w="138" w:type="pct"/>
            <w:shd w:val="clear" w:color="auto" w:fill="auto"/>
            <w:vAlign w:val="center"/>
          </w:tcPr>
          <w:p w14:paraId="2ACCF52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54.1</w:t>
            </w:r>
          </w:p>
        </w:tc>
        <w:tc>
          <w:tcPr>
            <w:tcW w:w="137" w:type="pct"/>
            <w:shd w:val="clear" w:color="auto" w:fill="auto"/>
            <w:vAlign w:val="center"/>
          </w:tcPr>
          <w:p w14:paraId="17EB46F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56.9</w:t>
            </w:r>
          </w:p>
        </w:tc>
        <w:tc>
          <w:tcPr>
            <w:tcW w:w="140" w:type="pct"/>
            <w:shd w:val="clear" w:color="auto" w:fill="auto"/>
            <w:vAlign w:val="center"/>
          </w:tcPr>
          <w:p w14:paraId="2C3D1F1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54.8</w:t>
            </w:r>
          </w:p>
        </w:tc>
        <w:tc>
          <w:tcPr>
            <w:tcW w:w="137" w:type="pct"/>
            <w:shd w:val="clear" w:color="auto" w:fill="auto"/>
            <w:vAlign w:val="center"/>
          </w:tcPr>
          <w:p w14:paraId="41618F0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57.4</w:t>
            </w:r>
          </w:p>
        </w:tc>
        <w:tc>
          <w:tcPr>
            <w:tcW w:w="138" w:type="pct"/>
            <w:shd w:val="clear" w:color="auto" w:fill="auto"/>
            <w:vAlign w:val="center"/>
          </w:tcPr>
          <w:p w14:paraId="414BC4B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53.4</w:t>
            </w:r>
          </w:p>
        </w:tc>
        <w:tc>
          <w:tcPr>
            <w:tcW w:w="137" w:type="pct"/>
            <w:shd w:val="clear" w:color="auto" w:fill="auto"/>
            <w:vAlign w:val="center"/>
          </w:tcPr>
          <w:p w14:paraId="56E75D4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58.1</w:t>
            </w:r>
          </w:p>
        </w:tc>
        <w:tc>
          <w:tcPr>
            <w:tcW w:w="139" w:type="pct"/>
            <w:shd w:val="clear" w:color="auto" w:fill="auto"/>
            <w:vAlign w:val="center"/>
          </w:tcPr>
          <w:p w14:paraId="3364462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54.2</w:t>
            </w:r>
          </w:p>
        </w:tc>
        <w:tc>
          <w:tcPr>
            <w:tcW w:w="137" w:type="pct"/>
            <w:shd w:val="clear" w:color="auto" w:fill="auto"/>
            <w:vAlign w:val="center"/>
          </w:tcPr>
          <w:p w14:paraId="1D5D485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57.1</w:t>
            </w:r>
          </w:p>
        </w:tc>
        <w:tc>
          <w:tcPr>
            <w:tcW w:w="139" w:type="pct"/>
            <w:shd w:val="clear" w:color="auto" w:fill="auto"/>
            <w:vAlign w:val="center"/>
          </w:tcPr>
          <w:p w14:paraId="54FD6E8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54.9</w:t>
            </w:r>
          </w:p>
        </w:tc>
        <w:tc>
          <w:tcPr>
            <w:tcW w:w="137" w:type="pct"/>
            <w:shd w:val="clear" w:color="auto" w:fill="auto"/>
            <w:vAlign w:val="center"/>
          </w:tcPr>
          <w:p w14:paraId="1901B25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8" w:type="pct"/>
            <w:shd w:val="clear" w:color="auto" w:fill="auto"/>
            <w:vAlign w:val="center"/>
          </w:tcPr>
          <w:p w14:paraId="5016A5C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3.4</w:t>
            </w:r>
          </w:p>
        </w:tc>
        <w:tc>
          <w:tcPr>
            <w:tcW w:w="137" w:type="pct"/>
            <w:shd w:val="clear" w:color="auto" w:fill="auto"/>
            <w:vAlign w:val="center"/>
          </w:tcPr>
          <w:p w14:paraId="0399B64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shd w:val="clear" w:color="auto" w:fill="auto"/>
            <w:vAlign w:val="center"/>
          </w:tcPr>
          <w:p w14:paraId="3AC2F70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4.2</w:t>
            </w:r>
          </w:p>
        </w:tc>
        <w:tc>
          <w:tcPr>
            <w:tcW w:w="137" w:type="pct"/>
            <w:shd w:val="clear" w:color="auto" w:fill="auto"/>
            <w:vAlign w:val="center"/>
          </w:tcPr>
          <w:p w14:paraId="399EF99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shd w:val="clear" w:color="auto" w:fill="auto"/>
            <w:vAlign w:val="center"/>
          </w:tcPr>
          <w:p w14:paraId="772E298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4.9</w:t>
            </w:r>
          </w:p>
        </w:tc>
        <w:tc>
          <w:tcPr>
            <w:tcW w:w="137" w:type="pct"/>
            <w:shd w:val="clear" w:color="auto" w:fill="auto"/>
            <w:vAlign w:val="center"/>
          </w:tcPr>
          <w:p w14:paraId="797D531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13.4</w:t>
            </w:r>
          </w:p>
        </w:tc>
        <w:tc>
          <w:tcPr>
            <w:tcW w:w="139" w:type="pct"/>
            <w:shd w:val="clear" w:color="auto" w:fill="auto"/>
            <w:vAlign w:val="center"/>
          </w:tcPr>
          <w:p w14:paraId="1CA8A74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15.9</w:t>
            </w:r>
          </w:p>
        </w:tc>
        <w:tc>
          <w:tcPr>
            <w:tcW w:w="137" w:type="pct"/>
            <w:shd w:val="clear" w:color="auto" w:fill="auto"/>
            <w:vAlign w:val="center"/>
          </w:tcPr>
          <w:p w14:paraId="1CB2DB8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14.1</w:t>
            </w:r>
          </w:p>
        </w:tc>
        <w:tc>
          <w:tcPr>
            <w:tcW w:w="138" w:type="pct"/>
            <w:shd w:val="clear" w:color="auto" w:fill="auto"/>
            <w:vAlign w:val="center"/>
          </w:tcPr>
          <w:p w14:paraId="54A8C7D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16.7</w:t>
            </w:r>
          </w:p>
        </w:tc>
        <w:tc>
          <w:tcPr>
            <w:tcW w:w="137" w:type="pct"/>
            <w:shd w:val="clear" w:color="auto" w:fill="auto"/>
            <w:vAlign w:val="center"/>
          </w:tcPr>
          <w:p w14:paraId="23AF695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13.1</w:t>
            </w:r>
          </w:p>
        </w:tc>
        <w:tc>
          <w:tcPr>
            <w:tcW w:w="139" w:type="pct"/>
            <w:shd w:val="clear" w:color="auto" w:fill="auto"/>
            <w:vAlign w:val="center"/>
          </w:tcPr>
          <w:p w14:paraId="5D93A3E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17.4</w:t>
            </w:r>
          </w:p>
        </w:tc>
        <w:tc>
          <w:tcPr>
            <w:tcW w:w="157" w:type="pct"/>
            <w:shd w:val="clear" w:color="auto" w:fill="auto"/>
            <w:vAlign w:val="center"/>
          </w:tcPr>
          <w:p w14:paraId="3461B86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w:t>
            </w:r>
            <w:r>
              <w:rPr>
                <w:rFonts w:ascii="Times New Roman" w:hAnsi="宋体" w:eastAsia="宋体" w:cs="Times New Roman"/>
                <w:kern w:val="0"/>
                <w:szCs w:val="21"/>
              </w:rPr>
              <w:t>类</w:t>
            </w:r>
          </w:p>
        </w:tc>
        <w:tc>
          <w:tcPr>
            <w:tcW w:w="134" w:type="pct"/>
            <w:vMerge w:val="continue"/>
            <w:vAlign w:val="center"/>
          </w:tcPr>
          <w:p w14:paraId="2CD73522">
            <w:pPr>
              <w:widowControl/>
              <w:jc w:val="center"/>
              <w:rPr>
                <w:rFonts w:ascii="Times New Roman" w:hAnsi="Times New Roman" w:eastAsia="宋体" w:cs="Times New Roman"/>
                <w:kern w:val="0"/>
                <w:szCs w:val="21"/>
              </w:rPr>
            </w:pPr>
          </w:p>
        </w:tc>
        <w:tc>
          <w:tcPr>
            <w:tcW w:w="134" w:type="pct"/>
            <w:vMerge w:val="continue"/>
            <w:vAlign w:val="center"/>
          </w:tcPr>
          <w:p w14:paraId="14F34D1E">
            <w:pPr>
              <w:widowControl/>
              <w:jc w:val="center"/>
              <w:rPr>
                <w:rFonts w:ascii="Times New Roman" w:hAnsi="Times New Roman" w:eastAsia="宋体" w:cs="Times New Roman"/>
                <w:kern w:val="0"/>
                <w:szCs w:val="21"/>
              </w:rPr>
            </w:pPr>
          </w:p>
        </w:tc>
      </w:tr>
      <w:tr w14:paraId="58317C20">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7" w:type="pct"/>
            <w:vMerge w:val="restart"/>
            <w:shd w:val="clear" w:color="auto" w:fill="auto"/>
            <w:vAlign w:val="center"/>
          </w:tcPr>
          <w:p w14:paraId="6C1D2CA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9</w:t>
            </w:r>
          </w:p>
        </w:tc>
        <w:tc>
          <w:tcPr>
            <w:tcW w:w="320" w:type="pct"/>
            <w:vMerge w:val="restart"/>
            <w:shd w:val="clear" w:color="auto" w:fill="auto"/>
            <w:vAlign w:val="center"/>
          </w:tcPr>
          <w:p w14:paraId="17137DBA">
            <w:pPr>
              <w:widowControl/>
              <w:jc w:val="center"/>
              <w:rPr>
                <w:rFonts w:ascii="Times New Roman" w:hAnsi="Times New Roman" w:eastAsia="宋体" w:cs="Times New Roman"/>
                <w:kern w:val="0"/>
                <w:szCs w:val="21"/>
              </w:rPr>
            </w:pPr>
            <w:r>
              <w:rPr>
                <w:rFonts w:ascii="Times New Roman" w:hAnsi="宋体" w:eastAsia="宋体" w:cs="Times New Roman"/>
                <w:kern w:val="0"/>
                <w:szCs w:val="21"/>
              </w:rPr>
              <w:t>阿亚克里格勒迪玛村</w:t>
            </w:r>
          </w:p>
        </w:tc>
        <w:tc>
          <w:tcPr>
            <w:tcW w:w="145" w:type="pct"/>
            <w:vMerge w:val="restart"/>
            <w:shd w:val="clear" w:color="auto" w:fill="auto"/>
            <w:vAlign w:val="center"/>
          </w:tcPr>
          <w:p w14:paraId="4AF7C3B9">
            <w:pPr>
              <w:widowControl/>
              <w:jc w:val="center"/>
              <w:rPr>
                <w:rFonts w:ascii="Times New Roman" w:hAnsi="Times New Roman" w:eastAsia="宋体" w:cs="Times New Roman"/>
                <w:kern w:val="0"/>
                <w:szCs w:val="21"/>
              </w:rPr>
            </w:pPr>
            <w:r>
              <w:rPr>
                <w:rFonts w:ascii="Times New Roman" w:hAnsi="宋体" w:eastAsia="宋体" w:cs="Times New Roman"/>
                <w:kern w:val="0"/>
                <w:szCs w:val="21"/>
              </w:rPr>
              <w:t>两侧</w:t>
            </w:r>
          </w:p>
        </w:tc>
        <w:tc>
          <w:tcPr>
            <w:tcW w:w="189" w:type="pct"/>
            <w:shd w:val="clear" w:color="auto" w:fill="auto"/>
            <w:noWrap/>
            <w:vAlign w:val="center"/>
          </w:tcPr>
          <w:p w14:paraId="572F4E6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25</w:t>
            </w:r>
          </w:p>
        </w:tc>
        <w:tc>
          <w:tcPr>
            <w:tcW w:w="132" w:type="pct"/>
            <w:vMerge w:val="restart"/>
            <w:shd w:val="clear" w:color="auto" w:fill="auto"/>
            <w:vAlign w:val="center"/>
          </w:tcPr>
          <w:p w14:paraId="17538A3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w:t>
            </w:r>
          </w:p>
        </w:tc>
        <w:tc>
          <w:tcPr>
            <w:tcW w:w="232" w:type="pct"/>
            <w:vMerge w:val="restart"/>
            <w:shd w:val="clear" w:color="auto" w:fill="auto"/>
            <w:vAlign w:val="center"/>
          </w:tcPr>
          <w:p w14:paraId="2D4D19F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0</w:t>
            </w:r>
          </w:p>
        </w:tc>
        <w:tc>
          <w:tcPr>
            <w:tcW w:w="147" w:type="pct"/>
            <w:vMerge w:val="restart"/>
            <w:shd w:val="clear" w:color="auto" w:fill="auto"/>
            <w:vAlign w:val="center"/>
          </w:tcPr>
          <w:p w14:paraId="46B8A38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w:t>
            </w:r>
            <w:r>
              <w:rPr>
                <w:rFonts w:ascii="Times New Roman" w:hAnsi="宋体" w:eastAsia="宋体" w:cs="Times New Roman"/>
                <w:kern w:val="0"/>
                <w:szCs w:val="21"/>
              </w:rPr>
              <w:t>层</w:t>
            </w:r>
          </w:p>
        </w:tc>
        <w:tc>
          <w:tcPr>
            <w:tcW w:w="137" w:type="pct"/>
            <w:shd w:val="clear" w:color="auto" w:fill="auto"/>
            <w:vAlign w:val="center"/>
          </w:tcPr>
          <w:p w14:paraId="121907C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62.1</w:t>
            </w:r>
          </w:p>
        </w:tc>
        <w:tc>
          <w:tcPr>
            <w:tcW w:w="138" w:type="pct"/>
            <w:shd w:val="clear" w:color="auto" w:fill="auto"/>
            <w:vAlign w:val="center"/>
          </w:tcPr>
          <w:p w14:paraId="4A49941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58.2</w:t>
            </w:r>
          </w:p>
        </w:tc>
        <w:tc>
          <w:tcPr>
            <w:tcW w:w="137" w:type="pct"/>
            <w:shd w:val="clear" w:color="auto" w:fill="auto"/>
            <w:vAlign w:val="center"/>
          </w:tcPr>
          <w:p w14:paraId="256655C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62.9</w:t>
            </w:r>
          </w:p>
        </w:tc>
        <w:tc>
          <w:tcPr>
            <w:tcW w:w="138" w:type="pct"/>
            <w:shd w:val="clear" w:color="auto" w:fill="auto"/>
            <w:vAlign w:val="center"/>
          </w:tcPr>
          <w:p w14:paraId="77EFDF3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59.0</w:t>
            </w:r>
          </w:p>
        </w:tc>
        <w:tc>
          <w:tcPr>
            <w:tcW w:w="137" w:type="pct"/>
            <w:shd w:val="clear" w:color="auto" w:fill="auto"/>
            <w:vAlign w:val="center"/>
          </w:tcPr>
          <w:p w14:paraId="6C13F9D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61.8</w:t>
            </w:r>
          </w:p>
        </w:tc>
        <w:tc>
          <w:tcPr>
            <w:tcW w:w="140" w:type="pct"/>
            <w:shd w:val="clear" w:color="auto" w:fill="auto"/>
            <w:vAlign w:val="center"/>
          </w:tcPr>
          <w:p w14:paraId="7E937CD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59.7</w:t>
            </w:r>
          </w:p>
        </w:tc>
        <w:tc>
          <w:tcPr>
            <w:tcW w:w="137" w:type="pct"/>
            <w:shd w:val="clear" w:color="auto" w:fill="auto"/>
            <w:vAlign w:val="center"/>
          </w:tcPr>
          <w:p w14:paraId="3F01484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62.1</w:t>
            </w:r>
          </w:p>
        </w:tc>
        <w:tc>
          <w:tcPr>
            <w:tcW w:w="138" w:type="pct"/>
            <w:shd w:val="clear" w:color="auto" w:fill="auto"/>
            <w:vAlign w:val="center"/>
          </w:tcPr>
          <w:p w14:paraId="54D2572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58.2</w:t>
            </w:r>
          </w:p>
        </w:tc>
        <w:tc>
          <w:tcPr>
            <w:tcW w:w="137" w:type="pct"/>
            <w:shd w:val="clear" w:color="auto" w:fill="auto"/>
            <w:vAlign w:val="center"/>
          </w:tcPr>
          <w:p w14:paraId="045B78C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62.9</w:t>
            </w:r>
          </w:p>
        </w:tc>
        <w:tc>
          <w:tcPr>
            <w:tcW w:w="139" w:type="pct"/>
            <w:shd w:val="clear" w:color="auto" w:fill="auto"/>
            <w:vAlign w:val="center"/>
          </w:tcPr>
          <w:p w14:paraId="03EB838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59.0</w:t>
            </w:r>
          </w:p>
        </w:tc>
        <w:tc>
          <w:tcPr>
            <w:tcW w:w="137" w:type="pct"/>
            <w:shd w:val="clear" w:color="auto" w:fill="auto"/>
            <w:vAlign w:val="center"/>
          </w:tcPr>
          <w:p w14:paraId="659D738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61.8</w:t>
            </w:r>
          </w:p>
        </w:tc>
        <w:tc>
          <w:tcPr>
            <w:tcW w:w="139" w:type="pct"/>
            <w:shd w:val="clear" w:color="auto" w:fill="auto"/>
            <w:vAlign w:val="center"/>
          </w:tcPr>
          <w:p w14:paraId="24D7B61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59.7</w:t>
            </w:r>
          </w:p>
        </w:tc>
        <w:tc>
          <w:tcPr>
            <w:tcW w:w="137" w:type="pct"/>
            <w:shd w:val="clear" w:color="auto" w:fill="auto"/>
            <w:vAlign w:val="center"/>
          </w:tcPr>
          <w:p w14:paraId="26330AE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8" w:type="pct"/>
            <w:shd w:val="clear" w:color="auto" w:fill="auto"/>
            <w:vAlign w:val="center"/>
          </w:tcPr>
          <w:p w14:paraId="1378E88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3.2</w:t>
            </w:r>
          </w:p>
        </w:tc>
        <w:tc>
          <w:tcPr>
            <w:tcW w:w="137" w:type="pct"/>
            <w:shd w:val="clear" w:color="auto" w:fill="auto"/>
            <w:vAlign w:val="center"/>
          </w:tcPr>
          <w:p w14:paraId="04B4410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shd w:val="clear" w:color="auto" w:fill="auto"/>
            <w:vAlign w:val="center"/>
          </w:tcPr>
          <w:p w14:paraId="65885FE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4.0</w:t>
            </w:r>
          </w:p>
        </w:tc>
        <w:tc>
          <w:tcPr>
            <w:tcW w:w="137" w:type="pct"/>
            <w:shd w:val="clear" w:color="auto" w:fill="auto"/>
            <w:vAlign w:val="center"/>
          </w:tcPr>
          <w:p w14:paraId="61DA1EB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shd w:val="clear" w:color="auto" w:fill="auto"/>
            <w:vAlign w:val="center"/>
          </w:tcPr>
          <w:p w14:paraId="67E6C15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4.7</w:t>
            </w:r>
          </w:p>
        </w:tc>
        <w:tc>
          <w:tcPr>
            <w:tcW w:w="137" w:type="pct"/>
            <w:shd w:val="clear" w:color="auto" w:fill="auto"/>
            <w:vAlign w:val="center"/>
          </w:tcPr>
          <w:p w14:paraId="2953218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18.1</w:t>
            </w:r>
          </w:p>
        </w:tc>
        <w:tc>
          <w:tcPr>
            <w:tcW w:w="139" w:type="pct"/>
            <w:shd w:val="clear" w:color="auto" w:fill="auto"/>
            <w:vAlign w:val="center"/>
          </w:tcPr>
          <w:p w14:paraId="796CF68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20.7</w:t>
            </w:r>
          </w:p>
        </w:tc>
        <w:tc>
          <w:tcPr>
            <w:tcW w:w="137" w:type="pct"/>
            <w:shd w:val="clear" w:color="auto" w:fill="auto"/>
            <w:vAlign w:val="center"/>
          </w:tcPr>
          <w:p w14:paraId="26AC11F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18.9</w:t>
            </w:r>
          </w:p>
        </w:tc>
        <w:tc>
          <w:tcPr>
            <w:tcW w:w="138" w:type="pct"/>
            <w:shd w:val="clear" w:color="auto" w:fill="auto"/>
            <w:vAlign w:val="center"/>
          </w:tcPr>
          <w:p w14:paraId="390B02D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21.5</w:t>
            </w:r>
          </w:p>
        </w:tc>
        <w:tc>
          <w:tcPr>
            <w:tcW w:w="137" w:type="pct"/>
            <w:shd w:val="clear" w:color="auto" w:fill="auto"/>
            <w:vAlign w:val="center"/>
          </w:tcPr>
          <w:p w14:paraId="07D7407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17.8</w:t>
            </w:r>
          </w:p>
        </w:tc>
        <w:tc>
          <w:tcPr>
            <w:tcW w:w="139" w:type="pct"/>
            <w:shd w:val="clear" w:color="auto" w:fill="auto"/>
            <w:vAlign w:val="center"/>
          </w:tcPr>
          <w:p w14:paraId="6820413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22.2</w:t>
            </w:r>
          </w:p>
        </w:tc>
        <w:tc>
          <w:tcPr>
            <w:tcW w:w="157" w:type="pct"/>
            <w:shd w:val="clear" w:color="auto" w:fill="auto"/>
            <w:vAlign w:val="center"/>
          </w:tcPr>
          <w:p w14:paraId="15091A8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4a</w:t>
            </w:r>
            <w:r>
              <w:rPr>
                <w:rFonts w:ascii="Times New Roman" w:hAnsi="宋体" w:eastAsia="宋体" w:cs="Times New Roman"/>
                <w:kern w:val="0"/>
                <w:szCs w:val="21"/>
              </w:rPr>
              <w:t>类</w:t>
            </w:r>
          </w:p>
        </w:tc>
        <w:tc>
          <w:tcPr>
            <w:tcW w:w="134" w:type="pct"/>
            <w:vMerge w:val="restart"/>
            <w:shd w:val="clear" w:color="auto" w:fill="auto"/>
            <w:vAlign w:val="center"/>
          </w:tcPr>
          <w:p w14:paraId="5FF8510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44.0</w:t>
            </w:r>
          </w:p>
        </w:tc>
        <w:tc>
          <w:tcPr>
            <w:tcW w:w="134" w:type="pct"/>
            <w:vMerge w:val="restart"/>
            <w:shd w:val="clear" w:color="auto" w:fill="auto"/>
            <w:vAlign w:val="center"/>
          </w:tcPr>
          <w:p w14:paraId="122A08B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37.5</w:t>
            </w:r>
          </w:p>
        </w:tc>
      </w:tr>
      <w:tr w14:paraId="65B4A2D2">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7" w:type="pct"/>
            <w:vMerge w:val="continue"/>
            <w:vAlign w:val="center"/>
          </w:tcPr>
          <w:p w14:paraId="7D8D04D6">
            <w:pPr>
              <w:widowControl/>
              <w:jc w:val="center"/>
              <w:rPr>
                <w:rFonts w:ascii="Times New Roman" w:hAnsi="Times New Roman" w:eastAsia="宋体" w:cs="Times New Roman"/>
                <w:kern w:val="0"/>
                <w:szCs w:val="21"/>
              </w:rPr>
            </w:pPr>
          </w:p>
        </w:tc>
        <w:tc>
          <w:tcPr>
            <w:tcW w:w="320" w:type="pct"/>
            <w:vMerge w:val="continue"/>
            <w:vAlign w:val="center"/>
          </w:tcPr>
          <w:p w14:paraId="52556566">
            <w:pPr>
              <w:widowControl/>
              <w:jc w:val="center"/>
              <w:rPr>
                <w:rFonts w:ascii="Times New Roman" w:hAnsi="Times New Roman" w:eastAsia="宋体" w:cs="Times New Roman"/>
                <w:kern w:val="0"/>
                <w:szCs w:val="21"/>
              </w:rPr>
            </w:pPr>
          </w:p>
        </w:tc>
        <w:tc>
          <w:tcPr>
            <w:tcW w:w="145" w:type="pct"/>
            <w:vMerge w:val="continue"/>
            <w:vAlign w:val="center"/>
          </w:tcPr>
          <w:p w14:paraId="01275AFE">
            <w:pPr>
              <w:widowControl/>
              <w:jc w:val="center"/>
              <w:rPr>
                <w:rFonts w:ascii="Times New Roman" w:hAnsi="Times New Roman" w:eastAsia="宋体" w:cs="Times New Roman"/>
                <w:kern w:val="0"/>
                <w:szCs w:val="21"/>
              </w:rPr>
            </w:pPr>
          </w:p>
        </w:tc>
        <w:tc>
          <w:tcPr>
            <w:tcW w:w="189" w:type="pct"/>
            <w:shd w:val="clear" w:color="auto" w:fill="auto"/>
            <w:noWrap/>
            <w:vAlign w:val="center"/>
          </w:tcPr>
          <w:p w14:paraId="26869D3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55</w:t>
            </w:r>
          </w:p>
        </w:tc>
        <w:tc>
          <w:tcPr>
            <w:tcW w:w="132" w:type="pct"/>
            <w:vMerge w:val="continue"/>
            <w:vAlign w:val="center"/>
          </w:tcPr>
          <w:p w14:paraId="0068BEA1">
            <w:pPr>
              <w:widowControl/>
              <w:jc w:val="center"/>
              <w:rPr>
                <w:rFonts w:ascii="Times New Roman" w:hAnsi="Times New Roman" w:eastAsia="宋体" w:cs="Times New Roman"/>
                <w:kern w:val="0"/>
                <w:szCs w:val="21"/>
              </w:rPr>
            </w:pPr>
          </w:p>
        </w:tc>
        <w:tc>
          <w:tcPr>
            <w:tcW w:w="232" w:type="pct"/>
            <w:vMerge w:val="continue"/>
            <w:vAlign w:val="center"/>
          </w:tcPr>
          <w:p w14:paraId="7CB1D0F0">
            <w:pPr>
              <w:widowControl/>
              <w:jc w:val="center"/>
              <w:rPr>
                <w:rFonts w:ascii="Times New Roman" w:hAnsi="Times New Roman" w:eastAsia="宋体" w:cs="Times New Roman"/>
                <w:kern w:val="0"/>
                <w:szCs w:val="21"/>
              </w:rPr>
            </w:pPr>
          </w:p>
        </w:tc>
        <w:tc>
          <w:tcPr>
            <w:tcW w:w="147" w:type="pct"/>
            <w:vMerge w:val="continue"/>
            <w:vAlign w:val="center"/>
          </w:tcPr>
          <w:p w14:paraId="5051AE08">
            <w:pPr>
              <w:widowControl/>
              <w:jc w:val="center"/>
              <w:rPr>
                <w:rFonts w:ascii="Times New Roman" w:hAnsi="Times New Roman" w:eastAsia="宋体" w:cs="Times New Roman"/>
                <w:kern w:val="0"/>
                <w:szCs w:val="21"/>
              </w:rPr>
            </w:pPr>
          </w:p>
        </w:tc>
        <w:tc>
          <w:tcPr>
            <w:tcW w:w="137" w:type="pct"/>
            <w:shd w:val="clear" w:color="auto" w:fill="auto"/>
            <w:vAlign w:val="center"/>
          </w:tcPr>
          <w:p w14:paraId="6F7F5FB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57.9</w:t>
            </w:r>
          </w:p>
        </w:tc>
        <w:tc>
          <w:tcPr>
            <w:tcW w:w="138" w:type="pct"/>
            <w:shd w:val="clear" w:color="auto" w:fill="auto"/>
            <w:vAlign w:val="center"/>
          </w:tcPr>
          <w:p w14:paraId="2A0ECE2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54.0</w:t>
            </w:r>
          </w:p>
        </w:tc>
        <w:tc>
          <w:tcPr>
            <w:tcW w:w="137" w:type="pct"/>
            <w:shd w:val="clear" w:color="auto" w:fill="auto"/>
            <w:vAlign w:val="center"/>
          </w:tcPr>
          <w:p w14:paraId="6DF52F8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58.6</w:t>
            </w:r>
          </w:p>
        </w:tc>
        <w:tc>
          <w:tcPr>
            <w:tcW w:w="138" w:type="pct"/>
            <w:shd w:val="clear" w:color="auto" w:fill="auto"/>
            <w:vAlign w:val="center"/>
          </w:tcPr>
          <w:p w14:paraId="5F49D9B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54.8</w:t>
            </w:r>
          </w:p>
        </w:tc>
        <w:tc>
          <w:tcPr>
            <w:tcW w:w="137" w:type="pct"/>
            <w:shd w:val="clear" w:color="auto" w:fill="auto"/>
            <w:vAlign w:val="center"/>
          </w:tcPr>
          <w:p w14:paraId="36E9483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57.5</w:t>
            </w:r>
          </w:p>
        </w:tc>
        <w:tc>
          <w:tcPr>
            <w:tcW w:w="140" w:type="pct"/>
            <w:shd w:val="clear" w:color="auto" w:fill="auto"/>
            <w:vAlign w:val="center"/>
          </w:tcPr>
          <w:p w14:paraId="75D2033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55.5</w:t>
            </w:r>
          </w:p>
        </w:tc>
        <w:tc>
          <w:tcPr>
            <w:tcW w:w="137" w:type="pct"/>
            <w:shd w:val="clear" w:color="auto" w:fill="auto"/>
            <w:vAlign w:val="center"/>
          </w:tcPr>
          <w:p w14:paraId="2E5986B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58.0</w:t>
            </w:r>
          </w:p>
        </w:tc>
        <w:tc>
          <w:tcPr>
            <w:tcW w:w="138" w:type="pct"/>
            <w:shd w:val="clear" w:color="auto" w:fill="auto"/>
            <w:vAlign w:val="center"/>
          </w:tcPr>
          <w:p w14:paraId="7D42FE1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54.1</w:t>
            </w:r>
          </w:p>
        </w:tc>
        <w:tc>
          <w:tcPr>
            <w:tcW w:w="137" w:type="pct"/>
            <w:shd w:val="clear" w:color="auto" w:fill="auto"/>
            <w:vAlign w:val="center"/>
          </w:tcPr>
          <w:p w14:paraId="1D1A453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58.8</w:t>
            </w:r>
          </w:p>
        </w:tc>
        <w:tc>
          <w:tcPr>
            <w:tcW w:w="139" w:type="pct"/>
            <w:shd w:val="clear" w:color="auto" w:fill="auto"/>
            <w:vAlign w:val="center"/>
          </w:tcPr>
          <w:p w14:paraId="713AA5B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54.9</w:t>
            </w:r>
          </w:p>
        </w:tc>
        <w:tc>
          <w:tcPr>
            <w:tcW w:w="137" w:type="pct"/>
            <w:shd w:val="clear" w:color="auto" w:fill="auto"/>
            <w:vAlign w:val="center"/>
          </w:tcPr>
          <w:p w14:paraId="3E34E37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57.7</w:t>
            </w:r>
          </w:p>
        </w:tc>
        <w:tc>
          <w:tcPr>
            <w:tcW w:w="139" w:type="pct"/>
            <w:shd w:val="clear" w:color="auto" w:fill="auto"/>
            <w:vAlign w:val="center"/>
          </w:tcPr>
          <w:p w14:paraId="7C3420F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55.6</w:t>
            </w:r>
          </w:p>
        </w:tc>
        <w:tc>
          <w:tcPr>
            <w:tcW w:w="137" w:type="pct"/>
            <w:shd w:val="clear" w:color="auto" w:fill="auto"/>
            <w:vAlign w:val="center"/>
          </w:tcPr>
          <w:p w14:paraId="56A9712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8" w:type="pct"/>
            <w:shd w:val="clear" w:color="auto" w:fill="auto"/>
            <w:vAlign w:val="center"/>
          </w:tcPr>
          <w:p w14:paraId="74C6FBF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4.1</w:t>
            </w:r>
          </w:p>
        </w:tc>
        <w:tc>
          <w:tcPr>
            <w:tcW w:w="137" w:type="pct"/>
            <w:shd w:val="clear" w:color="auto" w:fill="auto"/>
            <w:vAlign w:val="center"/>
          </w:tcPr>
          <w:p w14:paraId="1ED759F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shd w:val="clear" w:color="auto" w:fill="auto"/>
            <w:vAlign w:val="center"/>
          </w:tcPr>
          <w:p w14:paraId="3B3032F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4.9</w:t>
            </w:r>
          </w:p>
        </w:tc>
        <w:tc>
          <w:tcPr>
            <w:tcW w:w="137" w:type="pct"/>
            <w:shd w:val="clear" w:color="auto" w:fill="auto"/>
            <w:vAlign w:val="center"/>
          </w:tcPr>
          <w:p w14:paraId="1F083C6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shd w:val="clear" w:color="auto" w:fill="auto"/>
            <w:vAlign w:val="center"/>
          </w:tcPr>
          <w:p w14:paraId="6E479A0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5.6</w:t>
            </w:r>
          </w:p>
        </w:tc>
        <w:tc>
          <w:tcPr>
            <w:tcW w:w="137" w:type="pct"/>
            <w:shd w:val="clear" w:color="auto" w:fill="auto"/>
            <w:vAlign w:val="center"/>
          </w:tcPr>
          <w:p w14:paraId="6206C9F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14.0</w:t>
            </w:r>
          </w:p>
        </w:tc>
        <w:tc>
          <w:tcPr>
            <w:tcW w:w="139" w:type="pct"/>
            <w:shd w:val="clear" w:color="auto" w:fill="auto"/>
            <w:vAlign w:val="center"/>
          </w:tcPr>
          <w:p w14:paraId="2E4EE95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16.6</w:t>
            </w:r>
          </w:p>
        </w:tc>
        <w:tc>
          <w:tcPr>
            <w:tcW w:w="137" w:type="pct"/>
            <w:shd w:val="clear" w:color="auto" w:fill="auto"/>
            <w:vAlign w:val="center"/>
          </w:tcPr>
          <w:p w14:paraId="57DB7E7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14.8</w:t>
            </w:r>
          </w:p>
        </w:tc>
        <w:tc>
          <w:tcPr>
            <w:tcW w:w="138" w:type="pct"/>
            <w:shd w:val="clear" w:color="auto" w:fill="auto"/>
            <w:vAlign w:val="center"/>
          </w:tcPr>
          <w:p w14:paraId="5BC2842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17.4</w:t>
            </w:r>
          </w:p>
        </w:tc>
        <w:tc>
          <w:tcPr>
            <w:tcW w:w="137" w:type="pct"/>
            <w:shd w:val="clear" w:color="auto" w:fill="auto"/>
            <w:vAlign w:val="center"/>
          </w:tcPr>
          <w:p w14:paraId="6AECEDB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13.7</w:t>
            </w:r>
          </w:p>
        </w:tc>
        <w:tc>
          <w:tcPr>
            <w:tcW w:w="139" w:type="pct"/>
            <w:shd w:val="clear" w:color="auto" w:fill="auto"/>
            <w:vAlign w:val="center"/>
          </w:tcPr>
          <w:p w14:paraId="40B962B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18.1</w:t>
            </w:r>
          </w:p>
        </w:tc>
        <w:tc>
          <w:tcPr>
            <w:tcW w:w="157" w:type="pct"/>
            <w:shd w:val="clear" w:color="auto" w:fill="auto"/>
            <w:vAlign w:val="center"/>
          </w:tcPr>
          <w:p w14:paraId="1E43D99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w:t>
            </w:r>
            <w:r>
              <w:rPr>
                <w:rFonts w:ascii="Times New Roman" w:hAnsi="宋体" w:eastAsia="宋体" w:cs="Times New Roman"/>
                <w:kern w:val="0"/>
                <w:szCs w:val="21"/>
              </w:rPr>
              <w:t>类</w:t>
            </w:r>
          </w:p>
        </w:tc>
        <w:tc>
          <w:tcPr>
            <w:tcW w:w="134" w:type="pct"/>
            <w:vMerge w:val="continue"/>
            <w:vAlign w:val="center"/>
          </w:tcPr>
          <w:p w14:paraId="75B8DB6C">
            <w:pPr>
              <w:widowControl/>
              <w:jc w:val="center"/>
              <w:rPr>
                <w:rFonts w:ascii="Times New Roman" w:hAnsi="Times New Roman" w:eastAsia="宋体" w:cs="Times New Roman"/>
                <w:kern w:val="0"/>
                <w:szCs w:val="21"/>
              </w:rPr>
            </w:pPr>
          </w:p>
        </w:tc>
        <w:tc>
          <w:tcPr>
            <w:tcW w:w="134" w:type="pct"/>
            <w:vMerge w:val="continue"/>
            <w:vAlign w:val="center"/>
          </w:tcPr>
          <w:p w14:paraId="65618E6B">
            <w:pPr>
              <w:widowControl/>
              <w:jc w:val="center"/>
              <w:rPr>
                <w:rFonts w:ascii="Times New Roman" w:hAnsi="Times New Roman" w:eastAsia="宋体" w:cs="Times New Roman"/>
                <w:kern w:val="0"/>
                <w:szCs w:val="21"/>
              </w:rPr>
            </w:pPr>
          </w:p>
        </w:tc>
      </w:tr>
      <w:tr w14:paraId="279FA15B">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7" w:type="pct"/>
            <w:vMerge w:val="restart"/>
            <w:shd w:val="clear" w:color="auto" w:fill="auto"/>
            <w:vAlign w:val="center"/>
          </w:tcPr>
          <w:p w14:paraId="2D220AA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10</w:t>
            </w:r>
          </w:p>
        </w:tc>
        <w:tc>
          <w:tcPr>
            <w:tcW w:w="320" w:type="pct"/>
            <w:vMerge w:val="restart"/>
            <w:shd w:val="clear" w:color="auto" w:fill="auto"/>
            <w:vAlign w:val="center"/>
          </w:tcPr>
          <w:p w14:paraId="00517C80">
            <w:pPr>
              <w:widowControl/>
              <w:jc w:val="center"/>
              <w:rPr>
                <w:rFonts w:ascii="Times New Roman" w:hAnsi="Times New Roman" w:eastAsia="宋体" w:cs="Times New Roman"/>
                <w:kern w:val="0"/>
                <w:szCs w:val="21"/>
              </w:rPr>
            </w:pPr>
            <w:r>
              <w:rPr>
                <w:rFonts w:ascii="Times New Roman" w:hAnsi="宋体" w:eastAsia="宋体" w:cs="Times New Roman"/>
                <w:kern w:val="0"/>
                <w:szCs w:val="21"/>
              </w:rPr>
              <w:t>阿亚格勒格勒德玛小学</w:t>
            </w:r>
          </w:p>
        </w:tc>
        <w:tc>
          <w:tcPr>
            <w:tcW w:w="145" w:type="pct"/>
            <w:vMerge w:val="restart"/>
            <w:shd w:val="clear" w:color="auto" w:fill="auto"/>
            <w:vAlign w:val="center"/>
          </w:tcPr>
          <w:p w14:paraId="42BAC6CF">
            <w:pPr>
              <w:widowControl/>
              <w:jc w:val="center"/>
              <w:rPr>
                <w:rFonts w:ascii="Times New Roman" w:hAnsi="Times New Roman" w:eastAsia="宋体" w:cs="Times New Roman"/>
                <w:kern w:val="0"/>
                <w:szCs w:val="21"/>
              </w:rPr>
            </w:pPr>
            <w:r>
              <w:rPr>
                <w:rFonts w:ascii="Times New Roman" w:hAnsi="宋体" w:eastAsia="宋体" w:cs="Times New Roman"/>
                <w:kern w:val="0"/>
                <w:szCs w:val="21"/>
              </w:rPr>
              <w:t>路左</w:t>
            </w:r>
          </w:p>
        </w:tc>
        <w:tc>
          <w:tcPr>
            <w:tcW w:w="189" w:type="pct"/>
            <w:vMerge w:val="restart"/>
            <w:shd w:val="clear" w:color="auto" w:fill="auto"/>
            <w:noWrap/>
            <w:vAlign w:val="center"/>
          </w:tcPr>
          <w:p w14:paraId="193E6D8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45</w:t>
            </w:r>
          </w:p>
        </w:tc>
        <w:tc>
          <w:tcPr>
            <w:tcW w:w="132" w:type="pct"/>
            <w:vMerge w:val="restart"/>
            <w:shd w:val="clear" w:color="auto" w:fill="auto"/>
            <w:vAlign w:val="center"/>
          </w:tcPr>
          <w:p w14:paraId="2AD650C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w:t>
            </w:r>
          </w:p>
        </w:tc>
        <w:tc>
          <w:tcPr>
            <w:tcW w:w="232" w:type="pct"/>
            <w:vMerge w:val="restart"/>
            <w:shd w:val="clear" w:color="auto" w:fill="auto"/>
            <w:vAlign w:val="center"/>
          </w:tcPr>
          <w:p w14:paraId="3CAD017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0</w:t>
            </w:r>
          </w:p>
        </w:tc>
        <w:tc>
          <w:tcPr>
            <w:tcW w:w="147" w:type="pct"/>
            <w:shd w:val="clear" w:color="auto" w:fill="auto"/>
            <w:vAlign w:val="center"/>
          </w:tcPr>
          <w:p w14:paraId="7406BC3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w:t>
            </w:r>
            <w:r>
              <w:rPr>
                <w:rFonts w:ascii="Times New Roman" w:hAnsi="宋体" w:eastAsia="宋体" w:cs="Times New Roman"/>
                <w:kern w:val="0"/>
                <w:szCs w:val="21"/>
              </w:rPr>
              <w:t>层</w:t>
            </w:r>
          </w:p>
        </w:tc>
        <w:tc>
          <w:tcPr>
            <w:tcW w:w="137" w:type="pct"/>
            <w:shd w:val="clear" w:color="auto" w:fill="auto"/>
            <w:vAlign w:val="center"/>
          </w:tcPr>
          <w:p w14:paraId="7CB285F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58.9</w:t>
            </w:r>
          </w:p>
        </w:tc>
        <w:tc>
          <w:tcPr>
            <w:tcW w:w="138" w:type="pct"/>
            <w:shd w:val="clear" w:color="auto" w:fill="auto"/>
            <w:vAlign w:val="center"/>
          </w:tcPr>
          <w:p w14:paraId="2F77C9D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55.1</w:t>
            </w:r>
          </w:p>
        </w:tc>
        <w:tc>
          <w:tcPr>
            <w:tcW w:w="137" w:type="pct"/>
            <w:shd w:val="clear" w:color="auto" w:fill="auto"/>
            <w:vAlign w:val="center"/>
          </w:tcPr>
          <w:p w14:paraId="08F00BD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59.7</w:t>
            </w:r>
          </w:p>
        </w:tc>
        <w:tc>
          <w:tcPr>
            <w:tcW w:w="138" w:type="pct"/>
            <w:shd w:val="clear" w:color="auto" w:fill="auto"/>
            <w:vAlign w:val="center"/>
          </w:tcPr>
          <w:p w14:paraId="1A9166C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55.9</w:t>
            </w:r>
          </w:p>
        </w:tc>
        <w:tc>
          <w:tcPr>
            <w:tcW w:w="137" w:type="pct"/>
            <w:shd w:val="clear" w:color="auto" w:fill="auto"/>
            <w:vAlign w:val="center"/>
          </w:tcPr>
          <w:p w14:paraId="517B131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58.6</w:t>
            </w:r>
          </w:p>
        </w:tc>
        <w:tc>
          <w:tcPr>
            <w:tcW w:w="140" w:type="pct"/>
            <w:shd w:val="clear" w:color="auto" w:fill="auto"/>
            <w:vAlign w:val="center"/>
          </w:tcPr>
          <w:p w14:paraId="4E4C5D0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56.6</w:t>
            </w:r>
          </w:p>
        </w:tc>
        <w:tc>
          <w:tcPr>
            <w:tcW w:w="137" w:type="pct"/>
            <w:shd w:val="clear" w:color="auto" w:fill="auto"/>
            <w:vAlign w:val="center"/>
          </w:tcPr>
          <w:p w14:paraId="5BED99F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59.1</w:t>
            </w:r>
          </w:p>
        </w:tc>
        <w:tc>
          <w:tcPr>
            <w:tcW w:w="138" w:type="pct"/>
            <w:shd w:val="clear" w:color="auto" w:fill="auto"/>
            <w:vAlign w:val="center"/>
          </w:tcPr>
          <w:p w14:paraId="3096B0D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55.1</w:t>
            </w:r>
          </w:p>
        </w:tc>
        <w:tc>
          <w:tcPr>
            <w:tcW w:w="137" w:type="pct"/>
            <w:shd w:val="clear" w:color="auto" w:fill="auto"/>
            <w:vAlign w:val="center"/>
          </w:tcPr>
          <w:p w14:paraId="3CF31E8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59.8</w:t>
            </w:r>
          </w:p>
        </w:tc>
        <w:tc>
          <w:tcPr>
            <w:tcW w:w="139" w:type="pct"/>
            <w:shd w:val="clear" w:color="auto" w:fill="auto"/>
            <w:vAlign w:val="center"/>
          </w:tcPr>
          <w:p w14:paraId="2511A99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55.9</w:t>
            </w:r>
          </w:p>
        </w:tc>
        <w:tc>
          <w:tcPr>
            <w:tcW w:w="137" w:type="pct"/>
            <w:shd w:val="clear" w:color="auto" w:fill="auto"/>
            <w:vAlign w:val="center"/>
          </w:tcPr>
          <w:p w14:paraId="3FD60B7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58.8</w:t>
            </w:r>
          </w:p>
        </w:tc>
        <w:tc>
          <w:tcPr>
            <w:tcW w:w="139" w:type="pct"/>
            <w:shd w:val="clear" w:color="auto" w:fill="auto"/>
            <w:vAlign w:val="center"/>
          </w:tcPr>
          <w:p w14:paraId="32370F1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56.6</w:t>
            </w:r>
          </w:p>
        </w:tc>
        <w:tc>
          <w:tcPr>
            <w:tcW w:w="137" w:type="pct"/>
            <w:shd w:val="clear" w:color="auto" w:fill="auto"/>
            <w:vAlign w:val="center"/>
          </w:tcPr>
          <w:p w14:paraId="52EE038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8" w:type="pct"/>
            <w:shd w:val="clear" w:color="auto" w:fill="auto"/>
            <w:vAlign w:val="center"/>
          </w:tcPr>
          <w:p w14:paraId="434537B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7" w:type="pct"/>
            <w:shd w:val="clear" w:color="auto" w:fill="auto"/>
            <w:vAlign w:val="center"/>
          </w:tcPr>
          <w:p w14:paraId="46C1D4B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shd w:val="clear" w:color="auto" w:fill="auto"/>
            <w:vAlign w:val="center"/>
          </w:tcPr>
          <w:p w14:paraId="5929796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7" w:type="pct"/>
            <w:shd w:val="clear" w:color="auto" w:fill="auto"/>
            <w:vAlign w:val="center"/>
          </w:tcPr>
          <w:p w14:paraId="46EFE78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shd w:val="clear" w:color="auto" w:fill="auto"/>
            <w:vAlign w:val="center"/>
          </w:tcPr>
          <w:p w14:paraId="4839E79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7" w:type="pct"/>
            <w:shd w:val="clear" w:color="auto" w:fill="auto"/>
            <w:vAlign w:val="center"/>
          </w:tcPr>
          <w:p w14:paraId="11901F2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15.1</w:t>
            </w:r>
          </w:p>
        </w:tc>
        <w:tc>
          <w:tcPr>
            <w:tcW w:w="139" w:type="pct"/>
            <w:shd w:val="clear" w:color="auto" w:fill="auto"/>
            <w:vAlign w:val="center"/>
          </w:tcPr>
          <w:p w14:paraId="76F04F1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17.6</w:t>
            </w:r>
          </w:p>
        </w:tc>
        <w:tc>
          <w:tcPr>
            <w:tcW w:w="137" w:type="pct"/>
            <w:shd w:val="clear" w:color="auto" w:fill="auto"/>
            <w:vAlign w:val="center"/>
          </w:tcPr>
          <w:p w14:paraId="0366275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15.8</w:t>
            </w:r>
          </w:p>
        </w:tc>
        <w:tc>
          <w:tcPr>
            <w:tcW w:w="138" w:type="pct"/>
            <w:shd w:val="clear" w:color="auto" w:fill="auto"/>
            <w:vAlign w:val="center"/>
          </w:tcPr>
          <w:p w14:paraId="2817038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18.4</w:t>
            </w:r>
          </w:p>
        </w:tc>
        <w:tc>
          <w:tcPr>
            <w:tcW w:w="137" w:type="pct"/>
            <w:shd w:val="clear" w:color="auto" w:fill="auto"/>
            <w:vAlign w:val="center"/>
          </w:tcPr>
          <w:p w14:paraId="266D2BB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14.8</w:t>
            </w:r>
          </w:p>
        </w:tc>
        <w:tc>
          <w:tcPr>
            <w:tcW w:w="139" w:type="pct"/>
            <w:shd w:val="clear" w:color="auto" w:fill="auto"/>
            <w:vAlign w:val="center"/>
          </w:tcPr>
          <w:p w14:paraId="6AA4969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19.1</w:t>
            </w:r>
          </w:p>
        </w:tc>
        <w:tc>
          <w:tcPr>
            <w:tcW w:w="157" w:type="pct"/>
            <w:vMerge w:val="restart"/>
            <w:shd w:val="clear" w:color="auto" w:fill="auto"/>
            <w:vAlign w:val="center"/>
          </w:tcPr>
          <w:p w14:paraId="0647D95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w:t>
            </w:r>
            <w:r>
              <w:rPr>
                <w:rFonts w:ascii="Times New Roman" w:hAnsi="宋体" w:eastAsia="宋体" w:cs="Times New Roman"/>
                <w:kern w:val="0"/>
                <w:szCs w:val="21"/>
              </w:rPr>
              <w:t>类</w:t>
            </w:r>
          </w:p>
        </w:tc>
        <w:tc>
          <w:tcPr>
            <w:tcW w:w="134" w:type="pct"/>
            <w:vMerge w:val="restart"/>
            <w:shd w:val="clear" w:color="auto" w:fill="auto"/>
            <w:vAlign w:val="center"/>
          </w:tcPr>
          <w:p w14:paraId="738FF8D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44.0</w:t>
            </w:r>
          </w:p>
        </w:tc>
        <w:tc>
          <w:tcPr>
            <w:tcW w:w="134" w:type="pct"/>
            <w:vMerge w:val="restart"/>
            <w:shd w:val="clear" w:color="auto" w:fill="auto"/>
            <w:vAlign w:val="center"/>
          </w:tcPr>
          <w:p w14:paraId="346A419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37.5</w:t>
            </w:r>
          </w:p>
        </w:tc>
      </w:tr>
      <w:tr w14:paraId="24A460EE">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7" w:type="pct"/>
            <w:vMerge w:val="continue"/>
            <w:vAlign w:val="center"/>
          </w:tcPr>
          <w:p w14:paraId="6758A45F">
            <w:pPr>
              <w:widowControl/>
              <w:jc w:val="center"/>
              <w:rPr>
                <w:rFonts w:ascii="Times New Roman" w:hAnsi="Times New Roman" w:eastAsia="宋体" w:cs="Times New Roman"/>
                <w:kern w:val="0"/>
                <w:szCs w:val="21"/>
              </w:rPr>
            </w:pPr>
          </w:p>
        </w:tc>
        <w:tc>
          <w:tcPr>
            <w:tcW w:w="320" w:type="pct"/>
            <w:vMerge w:val="continue"/>
            <w:vAlign w:val="center"/>
          </w:tcPr>
          <w:p w14:paraId="3F3F32FE">
            <w:pPr>
              <w:widowControl/>
              <w:jc w:val="center"/>
              <w:rPr>
                <w:rFonts w:ascii="Times New Roman" w:hAnsi="Times New Roman" w:eastAsia="宋体" w:cs="Times New Roman"/>
                <w:kern w:val="0"/>
                <w:szCs w:val="21"/>
              </w:rPr>
            </w:pPr>
          </w:p>
        </w:tc>
        <w:tc>
          <w:tcPr>
            <w:tcW w:w="145" w:type="pct"/>
            <w:vMerge w:val="continue"/>
            <w:vAlign w:val="center"/>
          </w:tcPr>
          <w:p w14:paraId="2C6D7540">
            <w:pPr>
              <w:widowControl/>
              <w:jc w:val="center"/>
              <w:rPr>
                <w:rFonts w:ascii="Times New Roman" w:hAnsi="Times New Roman" w:eastAsia="宋体" w:cs="Times New Roman"/>
                <w:kern w:val="0"/>
                <w:szCs w:val="21"/>
              </w:rPr>
            </w:pPr>
          </w:p>
        </w:tc>
        <w:tc>
          <w:tcPr>
            <w:tcW w:w="189" w:type="pct"/>
            <w:vMerge w:val="continue"/>
            <w:vAlign w:val="center"/>
          </w:tcPr>
          <w:p w14:paraId="0D41F459">
            <w:pPr>
              <w:widowControl/>
              <w:jc w:val="center"/>
              <w:rPr>
                <w:rFonts w:ascii="Times New Roman" w:hAnsi="Times New Roman" w:eastAsia="宋体" w:cs="Times New Roman"/>
                <w:kern w:val="0"/>
                <w:szCs w:val="21"/>
              </w:rPr>
            </w:pPr>
          </w:p>
        </w:tc>
        <w:tc>
          <w:tcPr>
            <w:tcW w:w="132" w:type="pct"/>
            <w:vMerge w:val="continue"/>
            <w:vAlign w:val="center"/>
          </w:tcPr>
          <w:p w14:paraId="5694C81D">
            <w:pPr>
              <w:widowControl/>
              <w:jc w:val="center"/>
              <w:rPr>
                <w:rFonts w:ascii="Times New Roman" w:hAnsi="Times New Roman" w:eastAsia="宋体" w:cs="Times New Roman"/>
                <w:kern w:val="0"/>
                <w:szCs w:val="21"/>
              </w:rPr>
            </w:pPr>
          </w:p>
        </w:tc>
        <w:tc>
          <w:tcPr>
            <w:tcW w:w="232" w:type="pct"/>
            <w:vMerge w:val="continue"/>
            <w:vAlign w:val="center"/>
          </w:tcPr>
          <w:p w14:paraId="7F545DAD">
            <w:pPr>
              <w:widowControl/>
              <w:jc w:val="center"/>
              <w:rPr>
                <w:rFonts w:ascii="Times New Roman" w:hAnsi="Times New Roman" w:eastAsia="宋体" w:cs="Times New Roman"/>
                <w:kern w:val="0"/>
                <w:szCs w:val="21"/>
              </w:rPr>
            </w:pPr>
          </w:p>
        </w:tc>
        <w:tc>
          <w:tcPr>
            <w:tcW w:w="147" w:type="pct"/>
            <w:shd w:val="clear" w:color="auto" w:fill="auto"/>
            <w:vAlign w:val="center"/>
          </w:tcPr>
          <w:p w14:paraId="4139A1F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w:t>
            </w:r>
            <w:r>
              <w:rPr>
                <w:rFonts w:ascii="Times New Roman" w:hAnsi="宋体" w:eastAsia="宋体" w:cs="Times New Roman"/>
                <w:kern w:val="0"/>
                <w:szCs w:val="21"/>
              </w:rPr>
              <w:t>层</w:t>
            </w:r>
          </w:p>
        </w:tc>
        <w:tc>
          <w:tcPr>
            <w:tcW w:w="137" w:type="pct"/>
            <w:shd w:val="clear" w:color="auto" w:fill="auto"/>
            <w:vAlign w:val="center"/>
          </w:tcPr>
          <w:p w14:paraId="2B1F9FA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66.0</w:t>
            </w:r>
          </w:p>
        </w:tc>
        <w:tc>
          <w:tcPr>
            <w:tcW w:w="138" w:type="pct"/>
            <w:shd w:val="clear" w:color="auto" w:fill="auto"/>
            <w:vAlign w:val="center"/>
          </w:tcPr>
          <w:p w14:paraId="46361CE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62.1</w:t>
            </w:r>
          </w:p>
        </w:tc>
        <w:tc>
          <w:tcPr>
            <w:tcW w:w="137" w:type="pct"/>
            <w:shd w:val="clear" w:color="auto" w:fill="auto"/>
            <w:vAlign w:val="center"/>
          </w:tcPr>
          <w:p w14:paraId="099777F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66.8</w:t>
            </w:r>
          </w:p>
        </w:tc>
        <w:tc>
          <w:tcPr>
            <w:tcW w:w="138" w:type="pct"/>
            <w:shd w:val="clear" w:color="auto" w:fill="auto"/>
            <w:vAlign w:val="center"/>
          </w:tcPr>
          <w:p w14:paraId="7950A82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62.9</w:t>
            </w:r>
          </w:p>
        </w:tc>
        <w:tc>
          <w:tcPr>
            <w:tcW w:w="137" w:type="pct"/>
            <w:shd w:val="clear" w:color="auto" w:fill="auto"/>
            <w:vAlign w:val="center"/>
          </w:tcPr>
          <w:p w14:paraId="3A9BC99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65.7</w:t>
            </w:r>
          </w:p>
        </w:tc>
        <w:tc>
          <w:tcPr>
            <w:tcW w:w="140" w:type="pct"/>
            <w:shd w:val="clear" w:color="auto" w:fill="auto"/>
            <w:vAlign w:val="center"/>
          </w:tcPr>
          <w:p w14:paraId="4B821F2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63.6</w:t>
            </w:r>
          </w:p>
        </w:tc>
        <w:tc>
          <w:tcPr>
            <w:tcW w:w="137" w:type="pct"/>
            <w:shd w:val="clear" w:color="auto" w:fill="auto"/>
            <w:vAlign w:val="center"/>
          </w:tcPr>
          <w:p w14:paraId="06DB4D3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66.0</w:t>
            </w:r>
          </w:p>
        </w:tc>
        <w:tc>
          <w:tcPr>
            <w:tcW w:w="138" w:type="pct"/>
            <w:shd w:val="clear" w:color="auto" w:fill="auto"/>
            <w:vAlign w:val="center"/>
          </w:tcPr>
          <w:p w14:paraId="4FE010D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62.1</w:t>
            </w:r>
          </w:p>
        </w:tc>
        <w:tc>
          <w:tcPr>
            <w:tcW w:w="137" w:type="pct"/>
            <w:shd w:val="clear" w:color="auto" w:fill="auto"/>
            <w:vAlign w:val="center"/>
          </w:tcPr>
          <w:p w14:paraId="5B949E4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66.8</w:t>
            </w:r>
          </w:p>
        </w:tc>
        <w:tc>
          <w:tcPr>
            <w:tcW w:w="139" w:type="pct"/>
            <w:shd w:val="clear" w:color="auto" w:fill="auto"/>
            <w:vAlign w:val="center"/>
          </w:tcPr>
          <w:p w14:paraId="027279E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62.9</w:t>
            </w:r>
          </w:p>
        </w:tc>
        <w:tc>
          <w:tcPr>
            <w:tcW w:w="137" w:type="pct"/>
            <w:shd w:val="clear" w:color="auto" w:fill="auto"/>
            <w:vAlign w:val="center"/>
          </w:tcPr>
          <w:p w14:paraId="40881D9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65.7</w:t>
            </w:r>
          </w:p>
        </w:tc>
        <w:tc>
          <w:tcPr>
            <w:tcW w:w="139" w:type="pct"/>
            <w:shd w:val="clear" w:color="auto" w:fill="auto"/>
            <w:vAlign w:val="center"/>
          </w:tcPr>
          <w:p w14:paraId="682E140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63.6</w:t>
            </w:r>
          </w:p>
        </w:tc>
        <w:tc>
          <w:tcPr>
            <w:tcW w:w="137" w:type="pct"/>
            <w:shd w:val="clear" w:color="auto" w:fill="auto"/>
            <w:vAlign w:val="center"/>
          </w:tcPr>
          <w:p w14:paraId="1F75720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6.0</w:t>
            </w:r>
          </w:p>
        </w:tc>
        <w:tc>
          <w:tcPr>
            <w:tcW w:w="138" w:type="pct"/>
            <w:shd w:val="clear" w:color="auto" w:fill="auto"/>
            <w:vAlign w:val="center"/>
          </w:tcPr>
          <w:p w14:paraId="712BDD9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7" w:type="pct"/>
            <w:shd w:val="clear" w:color="auto" w:fill="auto"/>
            <w:vAlign w:val="center"/>
          </w:tcPr>
          <w:p w14:paraId="71C4BCA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6.8</w:t>
            </w:r>
          </w:p>
        </w:tc>
        <w:tc>
          <w:tcPr>
            <w:tcW w:w="139" w:type="pct"/>
            <w:shd w:val="clear" w:color="auto" w:fill="auto"/>
            <w:vAlign w:val="center"/>
          </w:tcPr>
          <w:p w14:paraId="3C3D0AA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7" w:type="pct"/>
            <w:shd w:val="clear" w:color="auto" w:fill="auto"/>
            <w:vAlign w:val="center"/>
          </w:tcPr>
          <w:p w14:paraId="119FD5E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w:t>
            </w:r>
          </w:p>
        </w:tc>
        <w:tc>
          <w:tcPr>
            <w:tcW w:w="139" w:type="pct"/>
            <w:shd w:val="clear" w:color="auto" w:fill="auto"/>
            <w:vAlign w:val="center"/>
          </w:tcPr>
          <w:p w14:paraId="76F6BCA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7" w:type="pct"/>
            <w:shd w:val="clear" w:color="auto" w:fill="auto"/>
            <w:vAlign w:val="center"/>
          </w:tcPr>
          <w:p w14:paraId="5A216C2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22.0</w:t>
            </w:r>
          </w:p>
        </w:tc>
        <w:tc>
          <w:tcPr>
            <w:tcW w:w="139" w:type="pct"/>
            <w:shd w:val="clear" w:color="auto" w:fill="auto"/>
            <w:vAlign w:val="center"/>
          </w:tcPr>
          <w:p w14:paraId="5AD7628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24.6</w:t>
            </w:r>
          </w:p>
        </w:tc>
        <w:tc>
          <w:tcPr>
            <w:tcW w:w="137" w:type="pct"/>
            <w:shd w:val="clear" w:color="auto" w:fill="auto"/>
            <w:vAlign w:val="center"/>
          </w:tcPr>
          <w:p w14:paraId="43DB806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22.8</w:t>
            </w:r>
          </w:p>
        </w:tc>
        <w:tc>
          <w:tcPr>
            <w:tcW w:w="138" w:type="pct"/>
            <w:shd w:val="clear" w:color="auto" w:fill="auto"/>
            <w:vAlign w:val="center"/>
          </w:tcPr>
          <w:p w14:paraId="5DFDA9A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25.4</w:t>
            </w:r>
          </w:p>
        </w:tc>
        <w:tc>
          <w:tcPr>
            <w:tcW w:w="137" w:type="pct"/>
            <w:shd w:val="clear" w:color="auto" w:fill="auto"/>
            <w:vAlign w:val="center"/>
          </w:tcPr>
          <w:p w14:paraId="50771A5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21.7</w:t>
            </w:r>
          </w:p>
        </w:tc>
        <w:tc>
          <w:tcPr>
            <w:tcW w:w="139" w:type="pct"/>
            <w:shd w:val="clear" w:color="auto" w:fill="auto"/>
            <w:vAlign w:val="center"/>
          </w:tcPr>
          <w:p w14:paraId="7D1708B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26.1</w:t>
            </w:r>
          </w:p>
        </w:tc>
        <w:tc>
          <w:tcPr>
            <w:tcW w:w="157" w:type="pct"/>
            <w:vMerge w:val="continue"/>
            <w:vAlign w:val="center"/>
          </w:tcPr>
          <w:p w14:paraId="4F049ED0">
            <w:pPr>
              <w:widowControl/>
              <w:jc w:val="center"/>
              <w:rPr>
                <w:rFonts w:ascii="Times New Roman" w:hAnsi="Times New Roman" w:eastAsia="宋体" w:cs="Times New Roman"/>
                <w:kern w:val="0"/>
                <w:szCs w:val="21"/>
              </w:rPr>
            </w:pPr>
          </w:p>
        </w:tc>
        <w:tc>
          <w:tcPr>
            <w:tcW w:w="134" w:type="pct"/>
            <w:vMerge w:val="continue"/>
            <w:vAlign w:val="center"/>
          </w:tcPr>
          <w:p w14:paraId="5DB542C5">
            <w:pPr>
              <w:widowControl/>
              <w:jc w:val="center"/>
              <w:rPr>
                <w:rFonts w:ascii="Times New Roman" w:hAnsi="Times New Roman" w:eastAsia="宋体" w:cs="Times New Roman"/>
                <w:kern w:val="0"/>
                <w:szCs w:val="21"/>
              </w:rPr>
            </w:pPr>
          </w:p>
        </w:tc>
        <w:tc>
          <w:tcPr>
            <w:tcW w:w="134" w:type="pct"/>
            <w:vMerge w:val="continue"/>
            <w:vAlign w:val="center"/>
          </w:tcPr>
          <w:p w14:paraId="211C88AF">
            <w:pPr>
              <w:widowControl/>
              <w:jc w:val="center"/>
              <w:rPr>
                <w:rFonts w:ascii="Times New Roman" w:hAnsi="Times New Roman" w:eastAsia="宋体" w:cs="Times New Roman"/>
                <w:kern w:val="0"/>
                <w:szCs w:val="21"/>
              </w:rPr>
            </w:pPr>
          </w:p>
        </w:tc>
      </w:tr>
      <w:tr w14:paraId="5CE5E7B3">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7" w:type="pct"/>
            <w:vMerge w:val="restart"/>
            <w:shd w:val="clear" w:color="auto" w:fill="auto"/>
            <w:vAlign w:val="center"/>
          </w:tcPr>
          <w:p w14:paraId="68820B2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11</w:t>
            </w:r>
          </w:p>
        </w:tc>
        <w:tc>
          <w:tcPr>
            <w:tcW w:w="320" w:type="pct"/>
            <w:vMerge w:val="restart"/>
            <w:shd w:val="clear" w:color="auto" w:fill="auto"/>
            <w:vAlign w:val="center"/>
          </w:tcPr>
          <w:p w14:paraId="521E6046">
            <w:pPr>
              <w:widowControl/>
              <w:jc w:val="center"/>
              <w:rPr>
                <w:rFonts w:ascii="Times New Roman" w:hAnsi="Times New Roman" w:eastAsia="宋体" w:cs="Times New Roman"/>
                <w:kern w:val="0"/>
                <w:szCs w:val="21"/>
              </w:rPr>
            </w:pPr>
            <w:r>
              <w:rPr>
                <w:rFonts w:ascii="Times New Roman" w:hAnsi="宋体" w:eastAsia="宋体" w:cs="Times New Roman"/>
                <w:kern w:val="0"/>
                <w:szCs w:val="21"/>
              </w:rPr>
              <w:t>巴什英买里村</w:t>
            </w:r>
          </w:p>
        </w:tc>
        <w:tc>
          <w:tcPr>
            <w:tcW w:w="145" w:type="pct"/>
            <w:vMerge w:val="restart"/>
            <w:shd w:val="clear" w:color="auto" w:fill="auto"/>
            <w:vAlign w:val="center"/>
          </w:tcPr>
          <w:p w14:paraId="6B1767C3">
            <w:pPr>
              <w:widowControl/>
              <w:jc w:val="center"/>
              <w:rPr>
                <w:rFonts w:ascii="Times New Roman" w:hAnsi="Times New Roman" w:eastAsia="宋体" w:cs="Times New Roman"/>
                <w:kern w:val="0"/>
                <w:szCs w:val="21"/>
              </w:rPr>
            </w:pPr>
            <w:r>
              <w:rPr>
                <w:rFonts w:ascii="Times New Roman" w:hAnsi="宋体" w:eastAsia="宋体" w:cs="Times New Roman"/>
                <w:kern w:val="0"/>
                <w:szCs w:val="21"/>
              </w:rPr>
              <w:t>两侧</w:t>
            </w:r>
          </w:p>
        </w:tc>
        <w:tc>
          <w:tcPr>
            <w:tcW w:w="189" w:type="pct"/>
            <w:shd w:val="clear" w:color="auto" w:fill="auto"/>
            <w:noWrap/>
            <w:vAlign w:val="center"/>
          </w:tcPr>
          <w:p w14:paraId="0F3189F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23</w:t>
            </w:r>
          </w:p>
        </w:tc>
        <w:tc>
          <w:tcPr>
            <w:tcW w:w="132" w:type="pct"/>
            <w:vMerge w:val="restart"/>
            <w:shd w:val="clear" w:color="auto" w:fill="auto"/>
            <w:vAlign w:val="center"/>
          </w:tcPr>
          <w:p w14:paraId="63ADAD4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2.5</w:t>
            </w:r>
          </w:p>
        </w:tc>
        <w:tc>
          <w:tcPr>
            <w:tcW w:w="232" w:type="pct"/>
            <w:vMerge w:val="restart"/>
            <w:shd w:val="clear" w:color="auto" w:fill="auto"/>
            <w:vAlign w:val="center"/>
          </w:tcPr>
          <w:p w14:paraId="2F0510C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0</w:t>
            </w:r>
          </w:p>
        </w:tc>
        <w:tc>
          <w:tcPr>
            <w:tcW w:w="147" w:type="pct"/>
            <w:vMerge w:val="restart"/>
            <w:shd w:val="clear" w:color="auto" w:fill="auto"/>
            <w:vAlign w:val="center"/>
          </w:tcPr>
          <w:p w14:paraId="3FC48F8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w:t>
            </w:r>
            <w:r>
              <w:rPr>
                <w:rFonts w:ascii="Times New Roman" w:hAnsi="宋体" w:eastAsia="宋体" w:cs="Times New Roman"/>
                <w:kern w:val="0"/>
                <w:szCs w:val="21"/>
              </w:rPr>
              <w:t>层</w:t>
            </w:r>
          </w:p>
        </w:tc>
        <w:tc>
          <w:tcPr>
            <w:tcW w:w="137" w:type="pct"/>
            <w:shd w:val="clear" w:color="auto" w:fill="auto"/>
            <w:vAlign w:val="center"/>
          </w:tcPr>
          <w:p w14:paraId="0D353F9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62.3</w:t>
            </w:r>
          </w:p>
        </w:tc>
        <w:tc>
          <w:tcPr>
            <w:tcW w:w="138" w:type="pct"/>
            <w:shd w:val="clear" w:color="auto" w:fill="auto"/>
            <w:vAlign w:val="center"/>
          </w:tcPr>
          <w:p w14:paraId="7ACA231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58.4</w:t>
            </w:r>
          </w:p>
        </w:tc>
        <w:tc>
          <w:tcPr>
            <w:tcW w:w="137" w:type="pct"/>
            <w:shd w:val="clear" w:color="auto" w:fill="auto"/>
            <w:vAlign w:val="center"/>
          </w:tcPr>
          <w:p w14:paraId="16E1CCC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63.1</w:t>
            </w:r>
          </w:p>
        </w:tc>
        <w:tc>
          <w:tcPr>
            <w:tcW w:w="138" w:type="pct"/>
            <w:shd w:val="clear" w:color="auto" w:fill="auto"/>
            <w:vAlign w:val="center"/>
          </w:tcPr>
          <w:p w14:paraId="4D65753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59.2</w:t>
            </w:r>
          </w:p>
        </w:tc>
        <w:tc>
          <w:tcPr>
            <w:tcW w:w="137" w:type="pct"/>
            <w:shd w:val="clear" w:color="auto" w:fill="auto"/>
            <w:vAlign w:val="center"/>
          </w:tcPr>
          <w:p w14:paraId="27C110E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62.0</w:t>
            </w:r>
          </w:p>
        </w:tc>
        <w:tc>
          <w:tcPr>
            <w:tcW w:w="140" w:type="pct"/>
            <w:shd w:val="clear" w:color="auto" w:fill="auto"/>
            <w:vAlign w:val="center"/>
          </w:tcPr>
          <w:p w14:paraId="7BEF5A6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59.9</w:t>
            </w:r>
          </w:p>
        </w:tc>
        <w:tc>
          <w:tcPr>
            <w:tcW w:w="137" w:type="pct"/>
            <w:shd w:val="clear" w:color="auto" w:fill="auto"/>
            <w:vAlign w:val="center"/>
          </w:tcPr>
          <w:p w14:paraId="0C2E144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62.4</w:t>
            </w:r>
          </w:p>
        </w:tc>
        <w:tc>
          <w:tcPr>
            <w:tcW w:w="138" w:type="pct"/>
            <w:shd w:val="clear" w:color="auto" w:fill="auto"/>
            <w:vAlign w:val="center"/>
          </w:tcPr>
          <w:p w14:paraId="7F5E23B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58.5</w:t>
            </w:r>
          </w:p>
        </w:tc>
        <w:tc>
          <w:tcPr>
            <w:tcW w:w="137" w:type="pct"/>
            <w:shd w:val="clear" w:color="auto" w:fill="auto"/>
            <w:vAlign w:val="center"/>
          </w:tcPr>
          <w:p w14:paraId="470CDBA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63.2</w:t>
            </w:r>
          </w:p>
        </w:tc>
        <w:tc>
          <w:tcPr>
            <w:tcW w:w="139" w:type="pct"/>
            <w:shd w:val="clear" w:color="auto" w:fill="auto"/>
            <w:vAlign w:val="center"/>
          </w:tcPr>
          <w:p w14:paraId="4A36706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59.3</w:t>
            </w:r>
          </w:p>
        </w:tc>
        <w:tc>
          <w:tcPr>
            <w:tcW w:w="137" w:type="pct"/>
            <w:shd w:val="clear" w:color="auto" w:fill="auto"/>
            <w:vAlign w:val="center"/>
          </w:tcPr>
          <w:p w14:paraId="3B23157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62.1</w:t>
            </w:r>
          </w:p>
        </w:tc>
        <w:tc>
          <w:tcPr>
            <w:tcW w:w="139" w:type="pct"/>
            <w:shd w:val="clear" w:color="auto" w:fill="auto"/>
            <w:vAlign w:val="center"/>
          </w:tcPr>
          <w:p w14:paraId="40A0CE6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60.0</w:t>
            </w:r>
          </w:p>
        </w:tc>
        <w:tc>
          <w:tcPr>
            <w:tcW w:w="137" w:type="pct"/>
            <w:shd w:val="clear" w:color="auto" w:fill="auto"/>
            <w:vAlign w:val="center"/>
          </w:tcPr>
          <w:p w14:paraId="6941CAE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8" w:type="pct"/>
            <w:shd w:val="clear" w:color="auto" w:fill="auto"/>
            <w:vAlign w:val="center"/>
          </w:tcPr>
          <w:p w14:paraId="2075FA1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3.5</w:t>
            </w:r>
          </w:p>
        </w:tc>
        <w:tc>
          <w:tcPr>
            <w:tcW w:w="137" w:type="pct"/>
            <w:shd w:val="clear" w:color="auto" w:fill="auto"/>
            <w:vAlign w:val="center"/>
          </w:tcPr>
          <w:p w14:paraId="1DB8D5A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shd w:val="clear" w:color="auto" w:fill="auto"/>
            <w:vAlign w:val="center"/>
          </w:tcPr>
          <w:p w14:paraId="058EB3A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4.3</w:t>
            </w:r>
          </w:p>
        </w:tc>
        <w:tc>
          <w:tcPr>
            <w:tcW w:w="137" w:type="pct"/>
            <w:shd w:val="clear" w:color="auto" w:fill="auto"/>
            <w:vAlign w:val="center"/>
          </w:tcPr>
          <w:p w14:paraId="48A249C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shd w:val="clear" w:color="auto" w:fill="auto"/>
            <w:vAlign w:val="center"/>
          </w:tcPr>
          <w:p w14:paraId="26A76EF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5.0</w:t>
            </w:r>
          </w:p>
        </w:tc>
        <w:tc>
          <w:tcPr>
            <w:tcW w:w="137" w:type="pct"/>
            <w:shd w:val="clear" w:color="auto" w:fill="auto"/>
            <w:vAlign w:val="center"/>
          </w:tcPr>
          <w:p w14:paraId="602E00B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18.4</w:t>
            </w:r>
          </w:p>
        </w:tc>
        <w:tc>
          <w:tcPr>
            <w:tcW w:w="139" w:type="pct"/>
            <w:shd w:val="clear" w:color="auto" w:fill="auto"/>
            <w:vAlign w:val="center"/>
          </w:tcPr>
          <w:p w14:paraId="41F39A0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21.0</w:t>
            </w:r>
          </w:p>
        </w:tc>
        <w:tc>
          <w:tcPr>
            <w:tcW w:w="137" w:type="pct"/>
            <w:shd w:val="clear" w:color="auto" w:fill="auto"/>
            <w:vAlign w:val="center"/>
          </w:tcPr>
          <w:p w14:paraId="760F03E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19.2</w:t>
            </w:r>
          </w:p>
        </w:tc>
        <w:tc>
          <w:tcPr>
            <w:tcW w:w="138" w:type="pct"/>
            <w:shd w:val="clear" w:color="auto" w:fill="auto"/>
            <w:vAlign w:val="center"/>
          </w:tcPr>
          <w:p w14:paraId="377D2C8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21.8</w:t>
            </w:r>
          </w:p>
        </w:tc>
        <w:tc>
          <w:tcPr>
            <w:tcW w:w="137" w:type="pct"/>
            <w:shd w:val="clear" w:color="auto" w:fill="auto"/>
            <w:vAlign w:val="center"/>
          </w:tcPr>
          <w:p w14:paraId="5525603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18.1</w:t>
            </w:r>
          </w:p>
        </w:tc>
        <w:tc>
          <w:tcPr>
            <w:tcW w:w="139" w:type="pct"/>
            <w:shd w:val="clear" w:color="auto" w:fill="auto"/>
            <w:vAlign w:val="center"/>
          </w:tcPr>
          <w:p w14:paraId="7D1D468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22.5</w:t>
            </w:r>
          </w:p>
        </w:tc>
        <w:tc>
          <w:tcPr>
            <w:tcW w:w="157" w:type="pct"/>
            <w:shd w:val="clear" w:color="auto" w:fill="auto"/>
            <w:vAlign w:val="center"/>
          </w:tcPr>
          <w:p w14:paraId="13CD1C1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4a</w:t>
            </w:r>
            <w:r>
              <w:rPr>
                <w:rFonts w:ascii="Times New Roman" w:hAnsi="宋体" w:eastAsia="宋体" w:cs="Times New Roman"/>
                <w:kern w:val="0"/>
                <w:szCs w:val="21"/>
              </w:rPr>
              <w:t>类</w:t>
            </w:r>
          </w:p>
        </w:tc>
        <w:tc>
          <w:tcPr>
            <w:tcW w:w="134" w:type="pct"/>
            <w:vMerge w:val="restart"/>
            <w:shd w:val="clear" w:color="auto" w:fill="auto"/>
            <w:vAlign w:val="center"/>
          </w:tcPr>
          <w:p w14:paraId="4A10C10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44.0</w:t>
            </w:r>
          </w:p>
        </w:tc>
        <w:tc>
          <w:tcPr>
            <w:tcW w:w="134" w:type="pct"/>
            <w:vMerge w:val="restart"/>
            <w:shd w:val="clear" w:color="auto" w:fill="auto"/>
            <w:vAlign w:val="center"/>
          </w:tcPr>
          <w:p w14:paraId="2FD9872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37.5</w:t>
            </w:r>
          </w:p>
        </w:tc>
      </w:tr>
      <w:tr w14:paraId="239574F7">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7" w:type="pct"/>
            <w:vMerge w:val="continue"/>
            <w:vAlign w:val="center"/>
          </w:tcPr>
          <w:p w14:paraId="7EF52DE9">
            <w:pPr>
              <w:widowControl/>
              <w:jc w:val="center"/>
              <w:rPr>
                <w:rFonts w:ascii="Times New Roman" w:hAnsi="Times New Roman" w:eastAsia="宋体" w:cs="Times New Roman"/>
                <w:kern w:val="0"/>
                <w:szCs w:val="21"/>
              </w:rPr>
            </w:pPr>
          </w:p>
        </w:tc>
        <w:tc>
          <w:tcPr>
            <w:tcW w:w="320" w:type="pct"/>
            <w:vMerge w:val="continue"/>
            <w:vAlign w:val="center"/>
          </w:tcPr>
          <w:p w14:paraId="1660148C">
            <w:pPr>
              <w:widowControl/>
              <w:jc w:val="center"/>
              <w:rPr>
                <w:rFonts w:ascii="Times New Roman" w:hAnsi="Times New Roman" w:eastAsia="宋体" w:cs="Times New Roman"/>
                <w:kern w:val="0"/>
                <w:szCs w:val="21"/>
              </w:rPr>
            </w:pPr>
          </w:p>
        </w:tc>
        <w:tc>
          <w:tcPr>
            <w:tcW w:w="145" w:type="pct"/>
            <w:vMerge w:val="continue"/>
            <w:vAlign w:val="center"/>
          </w:tcPr>
          <w:p w14:paraId="00E750A1">
            <w:pPr>
              <w:widowControl/>
              <w:jc w:val="center"/>
              <w:rPr>
                <w:rFonts w:ascii="Times New Roman" w:hAnsi="Times New Roman" w:eastAsia="宋体" w:cs="Times New Roman"/>
                <w:kern w:val="0"/>
                <w:szCs w:val="21"/>
              </w:rPr>
            </w:pPr>
          </w:p>
        </w:tc>
        <w:tc>
          <w:tcPr>
            <w:tcW w:w="189" w:type="pct"/>
            <w:shd w:val="clear" w:color="auto" w:fill="auto"/>
            <w:noWrap/>
            <w:vAlign w:val="center"/>
          </w:tcPr>
          <w:p w14:paraId="41A0093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55</w:t>
            </w:r>
          </w:p>
        </w:tc>
        <w:tc>
          <w:tcPr>
            <w:tcW w:w="132" w:type="pct"/>
            <w:vMerge w:val="continue"/>
            <w:vAlign w:val="center"/>
          </w:tcPr>
          <w:p w14:paraId="324694A7">
            <w:pPr>
              <w:widowControl/>
              <w:jc w:val="center"/>
              <w:rPr>
                <w:rFonts w:ascii="Times New Roman" w:hAnsi="Times New Roman" w:eastAsia="宋体" w:cs="Times New Roman"/>
                <w:kern w:val="0"/>
                <w:szCs w:val="21"/>
              </w:rPr>
            </w:pPr>
          </w:p>
        </w:tc>
        <w:tc>
          <w:tcPr>
            <w:tcW w:w="232" w:type="pct"/>
            <w:vMerge w:val="continue"/>
            <w:vAlign w:val="center"/>
          </w:tcPr>
          <w:p w14:paraId="162DE713">
            <w:pPr>
              <w:widowControl/>
              <w:jc w:val="center"/>
              <w:rPr>
                <w:rFonts w:ascii="Times New Roman" w:hAnsi="Times New Roman" w:eastAsia="宋体" w:cs="Times New Roman"/>
                <w:kern w:val="0"/>
                <w:szCs w:val="21"/>
              </w:rPr>
            </w:pPr>
          </w:p>
        </w:tc>
        <w:tc>
          <w:tcPr>
            <w:tcW w:w="147" w:type="pct"/>
            <w:vMerge w:val="continue"/>
            <w:vAlign w:val="center"/>
          </w:tcPr>
          <w:p w14:paraId="10F6AD4D">
            <w:pPr>
              <w:widowControl/>
              <w:jc w:val="center"/>
              <w:rPr>
                <w:rFonts w:ascii="Times New Roman" w:hAnsi="Times New Roman" w:eastAsia="宋体" w:cs="Times New Roman"/>
                <w:kern w:val="0"/>
                <w:szCs w:val="21"/>
              </w:rPr>
            </w:pPr>
          </w:p>
        </w:tc>
        <w:tc>
          <w:tcPr>
            <w:tcW w:w="137" w:type="pct"/>
            <w:shd w:val="clear" w:color="auto" w:fill="auto"/>
            <w:vAlign w:val="center"/>
          </w:tcPr>
          <w:p w14:paraId="5615270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57.5</w:t>
            </w:r>
          </w:p>
        </w:tc>
        <w:tc>
          <w:tcPr>
            <w:tcW w:w="138" w:type="pct"/>
            <w:shd w:val="clear" w:color="auto" w:fill="auto"/>
            <w:vAlign w:val="center"/>
          </w:tcPr>
          <w:p w14:paraId="54117CE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53.6</w:t>
            </w:r>
          </w:p>
        </w:tc>
        <w:tc>
          <w:tcPr>
            <w:tcW w:w="137" w:type="pct"/>
            <w:shd w:val="clear" w:color="auto" w:fill="auto"/>
            <w:vAlign w:val="center"/>
          </w:tcPr>
          <w:p w14:paraId="6503DAB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58.3</w:t>
            </w:r>
          </w:p>
        </w:tc>
        <w:tc>
          <w:tcPr>
            <w:tcW w:w="138" w:type="pct"/>
            <w:shd w:val="clear" w:color="auto" w:fill="auto"/>
            <w:vAlign w:val="center"/>
          </w:tcPr>
          <w:p w14:paraId="1302A44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54.4</w:t>
            </w:r>
          </w:p>
        </w:tc>
        <w:tc>
          <w:tcPr>
            <w:tcW w:w="137" w:type="pct"/>
            <w:shd w:val="clear" w:color="auto" w:fill="auto"/>
            <w:vAlign w:val="center"/>
          </w:tcPr>
          <w:p w14:paraId="67F33C9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57.2</w:t>
            </w:r>
          </w:p>
        </w:tc>
        <w:tc>
          <w:tcPr>
            <w:tcW w:w="140" w:type="pct"/>
            <w:shd w:val="clear" w:color="auto" w:fill="auto"/>
            <w:vAlign w:val="center"/>
          </w:tcPr>
          <w:p w14:paraId="142B2A1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55.1</w:t>
            </w:r>
          </w:p>
        </w:tc>
        <w:tc>
          <w:tcPr>
            <w:tcW w:w="137" w:type="pct"/>
            <w:shd w:val="clear" w:color="auto" w:fill="auto"/>
            <w:vAlign w:val="center"/>
          </w:tcPr>
          <w:p w14:paraId="0E059DE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57.7</w:t>
            </w:r>
          </w:p>
        </w:tc>
        <w:tc>
          <w:tcPr>
            <w:tcW w:w="138" w:type="pct"/>
            <w:shd w:val="clear" w:color="auto" w:fill="auto"/>
            <w:vAlign w:val="center"/>
          </w:tcPr>
          <w:p w14:paraId="4597AAB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53.7</w:t>
            </w:r>
          </w:p>
        </w:tc>
        <w:tc>
          <w:tcPr>
            <w:tcW w:w="137" w:type="pct"/>
            <w:shd w:val="clear" w:color="auto" w:fill="auto"/>
            <w:vAlign w:val="center"/>
          </w:tcPr>
          <w:p w14:paraId="6EC227C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58.4</w:t>
            </w:r>
          </w:p>
        </w:tc>
        <w:tc>
          <w:tcPr>
            <w:tcW w:w="139" w:type="pct"/>
            <w:shd w:val="clear" w:color="auto" w:fill="auto"/>
            <w:vAlign w:val="center"/>
          </w:tcPr>
          <w:p w14:paraId="1FB379E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54.5</w:t>
            </w:r>
          </w:p>
        </w:tc>
        <w:tc>
          <w:tcPr>
            <w:tcW w:w="137" w:type="pct"/>
            <w:shd w:val="clear" w:color="auto" w:fill="auto"/>
            <w:vAlign w:val="center"/>
          </w:tcPr>
          <w:p w14:paraId="408AB9C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57.4</w:t>
            </w:r>
          </w:p>
        </w:tc>
        <w:tc>
          <w:tcPr>
            <w:tcW w:w="139" w:type="pct"/>
            <w:shd w:val="clear" w:color="auto" w:fill="auto"/>
            <w:vAlign w:val="center"/>
          </w:tcPr>
          <w:p w14:paraId="3B4F023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55.2</w:t>
            </w:r>
          </w:p>
        </w:tc>
        <w:tc>
          <w:tcPr>
            <w:tcW w:w="137" w:type="pct"/>
            <w:shd w:val="clear" w:color="auto" w:fill="auto"/>
            <w:vAlign w:val="center"/>
          </w:tcPr>
          <w:p w14:paraId="0581D0F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8" w:type="pct"/>
            <w:shd w:val="clear" w:color="auto" w:fill="auto"/>
            <w:vAlign w:val="center"/>
          </w:tcPr>
          <w:p w14:paraId="449E8F2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w:t>
            </w:r>
          </w:p>
        </w:tc>
        <w:tc>
          <w:tcPr>
            <w:tcW w:w="137" w:type="pct"/>
            <w:shd w:val="clear" w:color="auto" w:fill="auto"/>
            <w:vAlign w:val="center"/>
          </w:tcPr>
          <w:p w14:paraId="54D364A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shd w:val="clear" w:color="auto" w:fill="auto"/>
            <w:vAlign w:val="center"/>
          </w:tcPr>
          <w:p w14:paraId="0507209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4.5</w:t>
            </w:r>
          </w:p>
        </w:tc>
        <w:tc>
          <w:tcPr>
            <w:tcW w:w="137" w:type="pct"/>
            <w:shd w:val="clear" w:color="auto" w:fill="auto"/>
            <w:vAlign w:val="center"/>
          </w:tcPr>
          <w:p w14:paraId="1C2F2E1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shd w:val="clear" w:color="auto" w:fill="auto"/>
            <w:vAlign w:val="center"/>
          </w:tcPr>
          <w:p w14:paraId="7AA91DF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5.2</w:t>
            </w:r>
          </w:p>
        </w:tc>
        <w:tc>
          <w:tcPr>
            <w:tcW w:w="137" w:type="pct"/>
            <w:shd w:val="clear" w:color="auto" w:fill="auto"/>
            <w:vAlign w:val="center"/>
          </w:tcPr>
          <w:p w14:paraId="5498BC3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13.7</w:t>
            </w:r>
          </w:p>
        </w:tc>
        <w:tc>
          <w:tcPr>
            <w:tcW w:w="139" w:type="pct"/>
            <w:shd w:val="clear" w:color="auto" w:fill="auto"/>
            <w:vAlign w:val="center"/>
          </w:tcPr>
          <w:p w14:paraId="3B89BFF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16.2</w:t>
            </w:r>
          </w:p>
        </w:tc>
        <w:tc>
          <w:tcPr>
            <w:tcW w:w="137" w:type="pct"/>
            <w:shd w:val="clear" w:color="auto" w:fill="auto"/>
            <w:vAlign w:val="center"/>
          </w:tcPr>
          <w:p w14:paraId="31D36BD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14.4</w:t>
            </w:r>
          </w:p>
        </w:tc>
        <w:tc>
          <w:tcPr>
            <w:tcW w:w="138" w:type="pct"/>
            <w:shd w:val="clear" w:color="auto" w:fill="auto"/>
            <w:vAlign w:val="center"/>
          </w:tcPr>
          <w:p w14:paraId="02E8329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17.0</w:t>
            </w:r>
          </w:p>
        </w:tc>
        <w:tc>
          <w:tcPr>
            <w:tcW w:w="137" w:type="pct"/>
            <w:shd w:val="clear" w:color="auto" w:fill="auto"/>
            <w:vAlign w:val="center"/>
          </w:tcPr>
          <w:p w14:paraId="429748E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13.4</w:t>
            </w:r>
          </w:p>
        </w:tc>
        <w:tc>
          <w:tcPr>
            <w:tcW w:w="139" w:type="pct"/>
            <w:shd w:val="clear" w:color="auto" w:fill="auto"/>
            <w:vAlign w:val="center"/>
          </w:tcPr>
          <w:p w14:paraId="7BD1875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17.7</w:t>
            </w:r>
          </w:p>
        </w:tc>
        <w:tc>
          <w:tcPr>
            <w:tcW w:w="157" w:type="pct"/>
            <w:shd w:val="clear" w:color="auto" w:fill="auto"/>
            <w:vAlign w:val="center"/>
          </w:tcPr>
          <w:p w14:paraId="099C3AC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w:t>
            </w:r>
            <w:r>
              <w:rPr>
                <w:rFonts w:ascii="Times New Roman" w:hAnsi="宋体" w:eastAsia="宋体" w:cs="Times New Roman"/>
                <w:kern w:val="0"/>
                <w:szCs w:val="21"/>
              </w:rPr>
              <w:t>类</w:t>
            </w:r>
          </w:p>
        </w:tc>
        <w:tc>
          <w:tcPr>
            <w:tcW w:w="134" w:type="pct"/>
            <w:vMerge w:val="continue"/>
            <w:vAlign w:val="center"/>
          </w:tcPr>
          <w:p w14:paraId="2D32EA33">
            <w:pPr>
              <w:widowControl/>
              <w:jc w:val="center"/>
              <w:rPr>
                <w:rFonts w:ascii="Times New Roman" w:hAnsi="Times New Roman" w:eastAsia="宋体" w:cs="Times New Roman"/>
                <w:kern w:val="0"/>
                <w:szCs w:val="21"/>
              </w:rPr>
            </w:pPr>
          </w:p>
        </w:tc>
        <w:tc>
          <w:tcPr>
            <w:tcW w:w="134" w:type="pct"/>
            <w:vMerge w:val="continue"/>
            <w:vAlign w:val="center"/>
          </w:tcPr>
          <w:p w14:paraId="0DFAAD74">
            <w:pPr>
              <w:widowControl/>
              <w:jc w:val="center"/>
              <w:rPr>
                <w:rFonts w:ascii="Times New Roman" w:hAnsi="Times New Roman" w:eastAsia="宋体" w:cs="Times New Roman"/>
                <w:kern w:val="0"/>
                <w:szCs w:val="21"/>
              </w:rPr>
            </w:pPr>
          </w:p>
        </w:tc>
      </w:tr>
      <w:tr w14:paraId="0905D754">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7" w:type="pct"/>
            <w:vMerge w:val="restart"/>
            <w:shd w:val="clear" w:color="auto" w:fill="auto"/>
            <w:vAlign w:val="center"/>
          </w:tcPr>
          <w:p w14:paraId="3D80F89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12</w:t>
            </w:r>
          </w:p>
        </w:tc>
        <w:tc>
          <w:tcPr>
            <w:tcW w:w="320" w:type="pct"/>
            <w:vMerge w:val="restart"/>
            <w:shd w:val="clear" w:color="auto" w:fill="auto"/>
            <w:vAlign w:val="center"/>
          </w:tcPr>
          <w:p w14:paraId="5359E0A9">
            <w:pPr>
              <w:widowControl/>
              <w:jc w:val="center"/>
              <w:rPr>
                <w:rFonts w:ascii="Times New Roman" w:hAnsi="Times New Roman" w:eastAsia="宋体" w:cs="Times New Roman"/>
                <w:kern w:val="0"/>
                <w:szCs w:val="21"/>
              </w:rPr>
            </w:pPr>
            <w:r>
              <w:rPr>
                <w:rFonts w:ascii="Times New Roman" w:hAnsi="宋体" w:eastAsia="宋体" w:cs="Times New Roman"/>
                <w:kern w:val="0"/>
                <w:szCs w:val="21"/>
              </w:rPr>
              <w:t>夏合亚迪村</w:t>
            </w:r>
          </w:p>
        </w:tc>
        <w:tc>
          <w:tcPr>
            <w:tcW w:w="145" w:type="pct"/>
            <w:vMerge w:val="restart"/>
            <w:shd w:val="clear" w:color="auto" w:fill="auto"/>
            <w:vAlign w:val="center"/>
          </w:tcPr>
          <w:p w14:paraId="7A1C0009">
            <w:pPr>
              <w:widowControl/>
              <w:jc w:val="center"/>
              <w:rPr>
                <w:rFonts w:ascii="Times New Roman" w:hAnsi="Times New Roman" w:eastAsia="宋体" w:cs="Times New Roman"/>
                <w:kern w:val="0"/>
                <w:szCs w:val="21"/>
              </w:rPr>
            </w:pPr>
            <w:r>
              <w:rPr>
                <w:rFonts w:ascii="Times New Roman" w:hAnsi="宋体" w:eastAsia="宋体" w:cs="Times New Roman"/>
                <w:kern w:val="0"/>
                <w:szCs w:val="21"/>
              </w:rPr>
              <w:t>路右</w:t>
            </w:r>
          </w:p>
        </w:tc>
        <w:tc>
          <w:tcPr>
            <w:tcW w:w="189" w:type="pct"/>
            <w:shd w:val="clear" w:color="auto" w:fill="auto"/>
            <w:noWrap/>
            <w:vAlign w:val="center"/>
          </w:tcPr>
          <w:p w14:paraId="626C48A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43</w:t>
            </w:r>
          </w:p>
        </w:tc>
        <w:tc>
          <w:tcPr>
            <w:tcW w:w="132" w:type="pct"/>
            <w:vMerge w:val="restart"/>
            <w:shd w:val="clear" w:color="auto" w:fill="auto"/>
            <w:vAlign w:val="center"/>
          </w:tcPr>
          <w:p w14:paraId="048B37C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w:t>
            </w:r>
          </w:p>
        </w:tc>
        <w:tc>
          <w:tcPr>
            <w:tcW w:w="232" w:type="pct"/>
            <w:vMerge w:val="restart"/>
            <w:shd w:val="clear" w:color="auto" w:fill="auto"/>
            <w:vAlign w:val="center"/>
          </w:tcPr>
          <w:p w14:paraId="5B191FA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0</w:t>
            </w:r>
          </w:p>
        </w:tc>
        <w:tc>
          <w:tcPr>
            <w:tcW w:w="147" w:type="pct"/>
            <w:vMerge w:val="restart"/>
            <w:shd w:val="clear" w:color="auto" w:fill="auto"/>
            <w:vAlign w:val="center"/>
          </w:tcPr>
          <w:p w14:paraId="49CB072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w:t>
            </w:r>
            <w:r>
              <w:rPr>
                <w:rFonts w:ascii="Times New Roman" w:hAnsi="宋体" w:eastAsia="宋体" w:cs="Times New Roman"/>
                <w:kern w:val="0"/>
                <w:szCs w:val="21"/>
              </w:rPr>
              <w:t>层</w:t>
            </w:r>
          </w:p>
        </w:tc>
        <w:tc>
          <w:tcPr>
            <w:tcW w:w="137" w:type="pct"/>
            <w:shd w:val="clear" w:color="auto" w:fill="auto"/>
            <w:vAlign w:val="center"/>
          </w:tcPr>
          <w:p w14:paraId="276214E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59.2</w:t>
            </w:r>
          </w:p>
        </w:tc>
        <w:tc>
          <w:tcPr>
            <w:tcW w:w="138" w:type="pct"/>
            <w:shd w:val="clear" w:color="auto" w:fill="auto"/>
            <w:vAlign w:val="center"/>
          </w:tcPr>
          <w:p w14:paraId="3E05F38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55.3</w:t>
            </w:r>
          </w:p>
        </w:tc>
        <w:tc>
          <w:tcPr>
            <w:tcW w:w="137" w:type="pct"/>
            <w:shd w:val="clear" w:color="auto" w:fill="auto"/>
            <w:vAlign w:val="center"/>
          </w:tcPr>
          <w:p w14:paraId="6B7B26A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60.0</w:t>
            </w:r>
          </w:p>
        </w:tc>
        <w:tc>
          <w:tcPr>
            <w:tcW w:w="138" w:type="pct"/>
            <w:shd w:val="clear" w:color="auto" w:fill="auto"/>
            <w:vAlign w:val="center"/>
          </w:tcPr>
          <w:p w14:paraId="3923E14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56.1</w:t>
            </w:r>
          </w:p>
        </w:tc>
        <w:tc>
          <w:tcPr>
            <w:tcW w:w="137" w:type="pct"/>
            <w:shd w:val="clear" w:color="auto" w:fill="auto"/>
            <w:vAlign w:val="center"/>
          </w:tcPr>
          <w:p w14:paraId="07D87F0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58.9</w:t>
            </w:r>
          </w:p>
        </w:tc>
        <w:tc>
          <w:tcPr>
            <w:tcW w:w="140" w:type="pct"/>
            <w:shd w:val="clear" w:color="auto" w:fill="auto"/>
            <w:vAlign w:val="center"/>
          </w:tcPr>
          <w:p w14:paraId="783BA38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56.8</w:t>
            </w:r>
          </w:p>
        </w:tc>
        <w:tc>
          <w:tcPr>
            <w:tcW w:w="137" w:type="pct"/>
            <w:shd w:val="clear" w:color="auto" w:fill="auto"/>
            <w:vAlign w:val="center"/>
          </w:tcPr>
          <w:p w14:paraId="10BB3E4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59.4</w:t>
            </w:r>
          </w:p>
        </w:tc>
        <w:tc>
          <w:tcPr>
            <w:tcW w:w="138" w:type="pct"/>
            <w:shd w:val="clear" w:color="auto" w:fill="auto"/>
            <w:vAlign w:val="center"/>
          </w:tcPr>
          <w:p w14:paraId="431C827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55.4</w:t>
            </w:r>
          </w:p>
        </w:tc>
        <w:tc>
          <w:tcPr>
            <w:tcW w:w="137" w:type="pct"/>
            <w:shd w:val="clear" w:color="auto" w:fill="auto"/>
            <w:vAlign w:val="center"/>
          </w:tcPr>
          <w:p w14:paraId="5F37F0F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60.1</w:t>
            </w:r>
          </w:p>
        </w:tc>
        <w:tc>
          <w:tcPr>
            <w:tcW w:w="139" w:type="pct"/>
            <w:shd w:val="clear" w:color="auto" w:fill="auto"/>
            <w:vAlign w:val="center"/>
          </w:tcPr>
          <w:p w14:paraId="6386708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56.2</w:t>
            </w:r>
          </w:p>
        </w:tc>
        <w:tc>
          <w:tcPr>
            <w:tcW w:w="137" w:type="pct"/>
            <w:shd w:val="clear" w:color="auto" w:fill="auto"/>
            <w:vAlign w:val="center"/>
          </w:tcPr>
          <w:p w14:paraId="3D300A7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59.1</w:t>
            </w:r>
          </w:p>
        </w:tc>
        <w:tc>
          <w:tcPr>
            <w:tcW w:w="139" w:type="pct"/>
            <w:shd w:val="clear" w:color="auto" w:fill="auto"/>
            <w:vAlign w:val="center"/>
          </w:tcPr>
          <w:p w14:paraId="6B165FD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56.9</w:t>
            </w:r>
          </w:p>
        </w:tc>
        <w:tc>
          <w:tcPr>
            <w:tcW w:w="137" w:type="pct"/>
            <w:shd w:val="clear" w:color="auto" w:fill="auto"/>
            <w:vAlign w:val="center"/>
          </w:tcPr>
          <w:p w14:paraId="629C742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8" w:type="pct"/>
            <w:shd w:val="clear" w:color="auto" w:fill="auto"/>
            <w:vAlign w:val="center"/>
          </w:tcPr>
          <w:p w14:paraId="79C67A7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0.4</w:t>
            </w:r>
          </w:p>
        </w:tc>
        <w:tc>
          <w:tcPr>
            <w:tcW w:w="137" w:type="pct"/>
            <w:shd w:val="clear" w:color="auto" w:fill="auto"/>
            <w:vAlign w:val="center"/>
          </w:tcPr>
          <w:p w14:paraId="21EF090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shd w:val="clear" w:color="auto" w:fill="auto"/>
            <w:vAlign w:val="center"/>
          </w:tcPr>
          <w:p w14:paraId="006A46D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1.2</w:t>
            </w:r>
          </w:p>
        </w:tc>
        <w:tc>
          <w:tcPr>
            <w:tcW w:w="137" w:type="pct"/>
            <w:shd w:val="clear" w:color="auto" w:fill="auto"/>
            <w:vAlign w:val="center"/>
          </w:tcPr>
          <w:p w14:paraId="722032A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shd w:val="clear" w:color="auto" w:fill="auto"/>
            <w:vAlign w:val="center"/>
          </w:tcPr>
          <w:p w14:paraId="561568E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1.9</w:t>
            </w:r>
          </w:p>
        </w:tc>
        <w:tc>
          <w:tcPr>
            <w:tcW w:w="137" w:type="pct"/>
            <w:shd w:val="clear" w:color="auto" w:fill="auto"/>
            <w:vAlign w:val="center"/>
          </w:tcPr>
          <w:p w14:paraId="119B01F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13.9</w:t>
            </w:r>
          </w:p>
        </w:tc>
        <w:tc>
          <w:tcPr>
            <w:tcW w:w="139" w:type="pct"/>
            <w:shd w:val="clear" w:color="auto" w:fill="auto"/>
            <w:vAlign w:val="center"/>
          </w:tcPr>
          <w:p w14:paraId="161ED93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16.9</w:t>
            </w:r>
          </w:p>
        </w:tc>
        <w:tc>
          <w:tcPr>
            <w:tcW w:w="137" w:type="pct"/>
            <w:shd w:val="clear" w:color="auto" w:fill="auto"/>
            <w:vAlign w:val="center"/>
          </w:tcPr>
          <w:p w14:paraId="74EDEE4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14.6</w:t>
            </w:r>
          </w:p>
        </w:tc>
        <w:tc>
          <w:tcPr>
            <w:tcW w:w="138" w:type="pct"/>
            <w:shd w:val="clear" w:color="auto" w:fill="auto"/>
            <w:vAlign w:val="center"/>
          </w:tcPr>
          <w:p w14:paraId="6F77E68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17.7</w:t>
            </w:r>
          </w:p>
        </w:tc>
        <w:tc>
          <w:tcPr>
            <w:tcW w:w="137" w:type="pct"/>
            <w:shd w:val="clear" w:color="auto" w:fill="auto"/>
            <w:vAlign w:val="center"/>
          </w:tcPr>
          <w:p w14:paraId="0C9A384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13.6</w:t>
            </w:r>
          </w:p>
        </w:tc>
        <w:tc>
          <w:tcPr>
            <w:tcW w:w="139" w:type="pct"/>
            <w:shd w:val="clear" w:color="auto" w:fill="auto"/>
            <w:vAlign w:val="center"/>
          </w:tcPr>
          <w:p w14:paraId="1ADDF35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18.4</w:t>
            </w:r>
          </w:p>
        </w:tc>
        <w:tc>
          <w:tcPr>
            <w:tcW w:w="157" w:type="pct"/>
            <w:shd w:val="clear" w:color="auto" w:fill="auto"/>
            <w:vAlign w:val="center"/>
          </w:tcPr>
          <w:p w14:paraId="0353228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4a</w:t>
            </w:r>
            <w:r>
              <w:rPr>
                <w:rFonts w:ascii="Times New Roman" w:hAnsi="宋体" w:eastAsia="宋体" w:cs="Times New Roman"/>
                <w:kern w:val="0"/>
                <w:szCs w:val="21"/>
              </w:rPr>
              <w:t>类</w:t>
            </w:r>
          </w:p>
        </w:tc>
        <w:tc>
          <w:tcPr>
            <w:tcW w:w="134" w:type="pct"/>
            <w:vMerge w:val="restart"/>
            <w:shd w:val="clear" w:color="auto" w:fill="auto"/>
            <w:vAlign w:val="center"/>
          </w:tcPr>
          <w:p w14:paraId="3A4B1BD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45.5</w:t>
            </w:r>
          </w:p>
        </w:tc>
        <w:tc>
          <w:tcPr>
            <w:tcW w:w="134" w:type="pct"/>
            <w:vMerge w:val="restart"/>
            <w:shd w:val="clear" w:color="auto" w:fill="auto"/>
            <w:vAlign w:val="center"/>
          </w:tcPr>
          <w:p w14:paraId="3B1A64D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38.5</w:t>
            </w:r>
          </w:p>
        </w:tc>
      </w:tr>
      <w:tr w14:paraId="326D7242">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7" w:type="pct"/>
            <w:vMerge w:val="continue"/>
            <w:vAlign w:val="center"/>
          </w:tcPr>
          <w:p w14:paraId="02CEF26C">
            <w:pPr>
              <w:widowControl/>
              <w:jc w:val="center"/>
              <w:rPr>
                <w:rFonts w:ascii="Times New Roman" w:hAnsi="Times New Roman" w:eastAsia="宋体" w:cs="Times New Roman"/>
                <w:kern w:val="0"/>
                <w:szCs w:val="21"/>
              </w:rPr>
            </w:pPr>
          </w:p>
        </w:tc>
        <w:tc>
          <w:tcPr>
            <w:tcW w:w="320" w:type="pct"/>
            <w:vMerge w:val="continue"/>
            <w:vAlign w:val="center"/>
          </w:tcPr>
          <w:p w14:paraId="1B0FBCD0">
            <w:pPr>
              <w:widowControl/>
              <w:jc w:val="center"/>
              <w:rPr>
                <w:rFonts w:ascii="Times New Roman" w:hAnsi="Times New Roman" w:eastAsia="宋体" w:cs="Times New Roman"/>
                <w:kern w:val="0"/>
                <w:szCs w:val="21"/>
              </w:rPr>
            </w:pPr>
          </w:p>
        </w:tc>
        <w:tc>
          <w:tcPr>
            <w:tcW w:w="145" w:type="pct"/>
            <w:vMerge w:val="continue"/>
            <w:vAlign w:val="center"/>
          </w:tcPr>
          <w:p w14:paraId="2D160517">
            <w:pPr>
              <w:widowControl/>
              <w:jc w:val="center"/>
              <w:rPr>
                <w:rFonts w:ascii="Times New Roman" w:hAnsi="Times New Roman" w:eastAsia="宋体" w:cs="Times New Roman"/>
                <w:kern w:val="0"/>
                <w:szCs w:val="21"/>
              </w:rPr>
            </w:pPr>
          </w:p>
        </w:tc>
        <w:tc>
          <w:tcPr>
            <w:tcW w:w="189" w:type="pct"/>
            <w:shd w:val="clear" w:color="auto" w:fill="auto"/>
            <w:noWrap/>
            <w:vAlign w:val="center"/>
          </w:tcPr>
          <w:p w14:paraId="6C06271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60</w:t>
            </w:r>
          </w:p>
        </w:tc>
        <w:tc>
          <w:tcPr>
            <w:tcW w:w="132" w:type="pct"/>
            <w:vMerge w:val="continue"/>
            <w:vAlign w:val="center"/>
          </w:tcPr>
          <w:p w14:paraId="0FE0EA16">
            <w:pPr>
              <w:widowControl/>
              <w:jc w:val="center"/>
              <w:rPr>
                <w:rFonts w:ascii="Times New Roman" w:hAnsi="Times New Roman" w:eastAsia="宋体" w:cs="Times New Roman"/>
                <w:kern w:val="0"/>
                <w:szCs w:val="21"/>
              </w:rPr>
            </w:pPr>
          </w:p>
        </w:tc>
        <w:tc>
          <w:tcPr>
            <w:tcW w:w="232" w:type="pct"/>
            <w:vMerge w:val="continue"/>
            <w:vAlign w:val="center"/>
          </w:tcPr>
          <w:p w14:paraId="0687621E">
            <w:pPr>
              <w:widowControl/>
              <w:jc w:val="center"/>
              <w:rPr>
                <w:rFonts w:ascii="Times New Roman" w:hAnsi="Times New Roman" w:eastAsia="宋体" w:cs="Times New Roman"/>
                <w:kern w:val="0"/>
                <w:szCs w:val="21"/>
              </w:rPr>
            </w:pPr>
          </w:p>
        </w:tc>
        <w:tc>
          <w:tcPr>
            <w:tcW w:w="147" w:type="pct"/>
            <w:vMerge w:val="continue"/>
            <w:vAlign w:val="center"/>
          </w:tcPr>
          <w:p w14:paraId="2BB8A00A">
            <w:pPr>
              <w:widowControl/>
              <w:jc w:val="center"/>
              <w:rPr>
                <w:rFonts w:ascii="Times New Roman" w:hAnsi="Times New Roman" w:eastAsia="宋体" w:cs="Times New Roman"/>
                <w:kern w:val="0"/>
                <w:szCs w:val="21"/>
              </w:rPr>
            </w:pPr>
          </w:p>
        </w:tc>
        <w:tc>
          <w:tcPr>
            <w:tcW w:w="137" w:type="pct"/>
            <w:shd w:val="clear" w:color="auto" w:fill="auto"/>
            <w:vAlign w:val="center"/>
          </w:tcPr>
          <w:p w14:paraId="616F1B4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57.4</w:t>
            </w:r>
          </w:p>
        </w:tc>
        <w:tc>
          <w:tcPr>
            <w:tcW w:w="138" w:type="pct"/>
            <w:shd w:val="clear" w:color="auto" w:fill="auto"/>
            <w:vAlign w:val="center"/>
          </w:tcPr>
          <w:p w14:paraId="6F66B3F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53.5</w:t>
            </w:r>
          </w:p>
        </w:tc>
        <w:tc>
          <w:tcPr>
            <w:tcW w:w="137" w:type="pct"/>
            <w:shd w:val="clear" w:color="auto" w:fill="auto"/>
            <w:vAlign w:val="center"/>
          </w:tcPr>
          <w:p w14:paraId="224C4E2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58.2</w:t>
            </w:r>
          </w:p>
        </w:tc>
        <w:tc>
          <w:tcPr>
            <w:tcW w:w="138" w:type="pct"/>
            <w:shd w:val="clear" w:color="auto" w:fill="auto"/>
            <w:vAlign w:val="center"/>
          </w:tcPr>
          <w:p w14:paraId="47D5E09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54.3</w:t>
            </w:r>
          </w:p>
        </w:tc>
        <w:tc>
          <w:tcPr>
            <w:tcW w:w="137" w:type="pct"/>
            <w:shd w:val="clear" w:color="auto" w:fill="auto"/>
            <w:vAlign w:val="center"/>
          </w:tcPr>
          <w:p w14:paraId="4EAED25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57.1</w:t>
            </w:r>
          </w:p>
        </w:tc>
        <w:tc>
          <w:tcPr>
            <w:tcW w:w="140" w:type="pct"/>
            <w:shd w:val="clear" w:color="auto" w:fill="auto"/>
            <w:vAlign w:val="center"/>
          </w:tcPr>
          <w:p w14:paraId="3083600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55.0</w:t>
            </w:r>
          </w:p>
        </w:tc>
        <w:tc>
          <w:tcPr>
            <w:tcW w:w="137" w:type="pct"/>
            <w:shd w:val="clear" w:color="auto" w:fill="auto"/>
            <w:vAlign w:val="center"/>
          </w:tcPr>
          <w:p w14:paraId="532112E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57.7</w:t>
            </w:r>
          </w:p>
        </w:tc>
        <w:tc>
          <w:tcPr>
            <w:tcW w:w="138" w:type="pct"/>
            <w:shd w:val="clear" w:color="auto" w:fill="auto"/>
            <w:vAlign w:val="center"/>
          </w:tcPr>
          <w:p w14:paraId="3439A03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53.6</w:t>
            </w:r>
          </w:p>
        </w:tc>
        <w:tc>
          <w:tcPr>
            <w:tcW w:w="137" w:type="pct"/>
            <w:shd w:val="clear" w:color="auto" w:fill="auto"/>
            <w:vAlign w:val="center"/>
          </w:tcPr>
          <w:p w14:paraId="303A390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58.4</w:t>
            </w:r>
          </w:p>
        </w:tc>
        <w:tc>
          <w:tcPr>
            <w:tcW w:w="139" w:type="pct"/>
            <w:shd w:val="clear" w:color="auto" w:fill="auto"/>
            <w:vAlign w:val="center"/>
          </w:tcPr>
          <w:p w14:paraId="5DEC022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54.4</w:t>
            </w:r>
          </w:p>
        </w:tc>
        <w:tc>
          <w:tcPr>
            <w:tcW w:w="137" w:type="pct"/>
            <w:shd w:val="clear" w:color="auto" w:fill="auto"/>
            <w:vAlign w:val="center"/>
          </w:tcPr>
          <w:p w14:paraId="5438FC3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57.4</w:t>
            </w:r>
          </w:p>
        </w:tc>
        <w:tc>
          <w:tcPr>
            <w:tcW w:w="139" w:type="pct"/>
            <w:shd w:val="clear" w:color="auto" w:fill="auto"/>
            <w:vAlign w:val="center"/>
          </w:tcPr>
          <w:p w14:paraId="287775A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55.1</w:t>
            </w:r>
          </w:p>
        </w:tc>
        <w:tc>
          <w:tcPr>
            <w:tcW w:w="137" w:type="pct"/>
            <w:shd w:val="clear" w:color="auto" w:fill="auto"/>
            <w:vAlign w:val="center"/>
          </w:tcPr>
          <w:p w14:paraId="13326FD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8" w:type="pct"/>
            <w:shd w:val="clear" w:color="auto" w:fill="auto"/>
            <w:vAlign w:val="center"/>
          </w:tcPr>
          <w:p w14:paraId="3CA604A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3.6</w:t>
            </w:r>
          </w:p>
        </w:tc>
        <w:tc>
          <w:tcPr>
            <w:tcW w:w="137" w:type="pct"/>
            <w:shd w:val="clear" w:color="auto" w:fill="auto"/>
            <w:vAlign w:val="center"/>
          </w:tcPr>
          <w:p w14:paraId="031A4C6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shd w:val="clear" w:color="auto" w:fill="auto"/>
            <w:vAlign w:val="center"/>
          </w:tcPr>
          <w:p w14:paraId="1217A40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4.4</w:t>
            </w:r>
          </w:p>
        </w:tc>
        <w:tc>
          <w:tcPr>
            <w:tcW w:w="137" w:type="pct"/>
            <w:shd w:val="clear" w:color="auto" w:fill="auto"/>
            <w:vAlign w:val="center"/>
          </w:tcPr>
          <w:p w14:paraId="121D62E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shd w:val="clear" w:color="auto" w:fill="auto"/>
            <w:vAlign w:val="center"/>
          </w:tcPr>
          <w:p w14:paraId="0B6A7DC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5.1</w:t>
            </w:r>
          </w:p>
        </w:tc>
        <w:tc>
          <w:tcPr>
            <w:tcW w:w="137" w:type="pct"/>
            <w:shd w:val="clear" w:color="auto" w:fill="auto"/>
            <w:vAlign w:val="center"/>
          </w:tcPr>
          <w:p w14:paraId="73B8C99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12.2</w:t>
            </w:r>
          </w:p>
        </w:tc>
        <w:tc>
          <w:tcPr>
            <w:tcW w:w="139" w:type="pct"/>
            <w:shd w:val="clear" w:color="auto" w:fill="auto"/>
            <w:vAlign w:val="center"/>
          </w:tcPr>
          <w:p w14:paraId="48AB5C5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15.1</w:t>
            </w:r>
          </w:p>
        </w:tc>
        <w:tc>
          <w:tcPr>
            <w:tcW w:w="137" w:type="pct"/>
            <w:shd w:val="clear" w:color="auto" w:fill="auto"/>
            <w:vAlign w:val="center"/>
          </w:tcPr>
          <w:p w14:paraId="4DAF5EE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12.9</w:t>
            </w:r>
          </w:p>
        </w:tc>
        <w:tc>
          <w:tcPr>
            <w:tcW w:w="138" w:type="pct"/>
            <w:shd w:val="clear" w:color="auto" w:fill="auto"/>
            <w:vAlign w:val="center"/>
          </w:tcPr>
          <w:p w14:paraId="6A776F7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15.9</w:t>
            </w:r>
          </w:p>
        </w:tc>
        <w:tc>
          <w:tcPr>
            <w:tcW w:w="137" w:type="pct"/>
            <w:shd w:val="clear" w:color="auto" w:fill="auto"/>
            <w:vAlign w:val="center"/>
          </w:tcPr>
          <w:p w14:paraId="27CF1B7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11.9</w:t>
            </w:r>
          </w:p>
        </w:tc>
        <w:tc>
          <w:tcPr>
            <w:tcW w:w="139" w:type="pct"/>
            <w:shd w:val="clear" w:color="auto" w:fill="auto"/>
            <w:vAlign w:val="center"/>
          </w:tcPr>
          <w:p w14:paraId="17A9F0D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16.6</w:t>
            </w:r>
          </w:p>
        </w:tc>
        <w:tc>
          <w:tcPr>
            <w:tcW w:w="157" w:type="pct"/>
            <w:shd w:val="clear" w:color="auto" w:fill="auto"/>
            <w:vAlign w:val="center"/>
          </w:tcPr>
          <w:p w14:paraId="324DF9A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w:t>
            </w:r>
            <w:r>
              <w:rPr>
                <w:rFonts w:ascii="Times New Roman" w:hAnsi="宋体" w:eastAsia="宋体" w:cs="Times New Roman"/>
                <w:kern w:val="0"/>
                <w:szCs w:val="21"/>
              </w:rPr>
              <w:t>类</w:t>
            </w:r>
          </w:p>
        </w:tc>
        <w:tc>
          <w:tcPr>
            <w:tcW w:w="134" w:type="pct"/>
            <w:vMerge w:val="continue"/>
            <w:vAlign w:val="center"/>
          </w:tcPr>
          <w:p w14:paraId="30D1F7BF">
            <w:pPr>
              <w:widowControl/>
              <w:jc w:val="center"/>
              <w:rPr>
                <w:rFonts w:ascii="Times New Roman" w:hAnsi="Times New Roman" w:eastAsia="宋体" w:cs="Times New Roman"/>
                <w:kern w:val="0"/>
                <w:szCs w:val="21"/>
              </w:rPr>
            </w:pPr>
          </w:p>
        </w:tc>
        <w:tc>
          <w:tcPr>
            <w:tcW w:w="134" w:type="pct"/>
            <w:vMerge w:val="continue"/>
            <w:vAlign w:val="center"/>
          </w:tcPr>
          <w:p w14:paraId="3A8D8CD5">
            <w:pPr>
              <w:widowControl/>
              <w:jc w:val="center"/>
              <w:rPr>
                <w:rFonts w:ascii="Times New Roman" w:hAnsi="Times New Roman" w:eastAsia="宋体" w:cs="Times New Roman"/>
                <w:kern w:val="0"/>
                <w:szCs w:val="21"/>
              </w:rPr>
            </w:pPr>
          </w:p>
        </w:tc>
      </w:tr>
      <w:tr w14:paraId="17FDA750">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7" w:type="pct"/>
            <w:vMerge w:val="continue"/>
            <w:vAlign w:val="center"/>
          </w:tcPr>
          <w:p w14:paraId="27AD8FF7">
            <w:pPr>
              <w:widowControl/>
              <w:jc w:val="center"/>
              <w:rPr>
                <w:rFonts w:ascii="Times New Roman" w:hAnsi="Times New Roman" w:eastAsia="宋体" w:cs="Times New Roman"/>
                <w:kern w:val="0"/>
                <w:szCs w:val="21"/>
              </w:rPr>
            </w:pPr>
          </w:p>
        </w:tc>
        <w:tc>
          <w:tcPr>
            <w:tcW w:w="320" w:type="pct"/>
            <w:vMerge w:val="continue"/>
            <w:vAlign w:val="center"/>
          </w:tcPr>
          <w:p w14:paraId="5D50E89B">
            <w:pPr>
              <w:widowControl/>
              <w:jc w:val="center"/>
              <w:rPr>
                <w:rFonts w:ascii="Times New Roman" w:hAnsi="Times New Roman" w:eastAsia="宋体" w:cs="Times New Roman"/>
                <w:kern w:val="0"/>
                <w:szCs w:val="21"/>
              </w:rPr>
            </w:pPr>
          </w:p>
        </w:tc>
        <w:tc>
          <w:tcPr>
            <w:tcW w:w="145" w:type="pct"/>
            <w:vMerge w:val="restart"/>
            <w:shd w:val="clear" w:color="auto" w:fill="auto"/>
            <w:vAlign w:val="center"/>
          </w:tcPr>
          <w:p w14:paraId="51F942EC">
            <w:pPr>
              <w:widowControl/>
              <w:jc w:val="center"/>
              <w:rPr>
                <w:rFonts w:ascii="Times New Roman" w:hAnsi="Times New Roman" w:eastAsia="宋体" w:cs="Times New Roman"/>
                <w:kern w:val="0"/>
                <w:szCs w:val="21"/>
              </w:rPr>
            </w:pPr>
            <w:r>
              <w:rPr>
                <w:rFonts w:ascii="Times New Roman" w:hAnsi="宋体" w:eastAsia="宋体" w:cs="Times New Roman"/>
                <w:kern w:val="0"/>
                <w:szCs w:val="21"/>
              </w:rPr>
              <w:t>两侧</w:t>
            </w:r>
          </w:p>
        </w:tc>
        <w:tc>
          <w:tcPr>
            <w:tcW w:w="189" w:type="pct"/>
            <w:shd w:val="clear" w:color="auto" w:fill="auto"/>
            <w:noWrap/>
            <w:vAlign w:val="center"/>
          </w:tcPr>
          <w:p w14:paraId="298C742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25</w:t>
            </w:r>
          </w:p>
        </w:tc>
        <w:tc>
          <w:tcPr>
            <w:tcW w:w="132" w:type="pct"/>
            <w:vMerge w:val="continue"/>
            <w:vAlign w:val="center"/>
          </w:tcPr>
          <w:p w14:paraId="4A96E9D8">
            <w:pPr>
              <w:widowControl/>
              <w:jc w:val="center"/>
              <w:rPr>
                <w:rFonts w:ascii="Times New Roman" w:hAnsi="Times New Roman" w:eastAsia="宋体" w:cs="Times New Roman"/>
                <w:kern w:val="0"/>
                <w:szCs w:val="21"/>
              </w:rPr>
            </w:pPr>
          </w:p>
        </w:tc>
        <w:tc>
          <w:tcPr>
            <w:tcW w:w="232" w:type="pct"/>
            <w:vMerge w:val="continue"/>
            <w:vAlign w:val="center"/>
          </w:tcPr>
          <w:p w14:paraId="3011AE07">
            <w:pPr>
              <w:widowControl/>
              <w:jc w:val="center"/>
              <w:rPr>
                <w:rFonts w:ascii="Times New Roman" w:hAnsi="Times New Roman" w:eastAsia="宋体" w:cs="Times New Roman"/>
                <w:kern w:val="0"/>
                <w:szCs w:val="21"/>
              </w:rPr>
            </w:pPr>
          </w:p>
        </w:tc>
        <w:tc>
          <w:tcPr>
            <w:tcW w:w="147" w:type="pct"/>
            <w:vMerge w:val="continue"/>
            <w:vAlign w:val="center"/>
          </w:tcPr>
          <w:p w14:paraId="403046E2">
            <w:pPr>
              <w:widowControl/>
              <w:jc w:val="center"/>
              <w:rPr>
                <w:rFonts w:ascii="Times New Roman" w:hAnsi="Times New Roman" w:eastAsia="宋体" w:cs="Times New Roman"/>
                <w:kern w:val="0"/>
                <w:szCs w:val="21"/>
              </w:rPr>
            </w:pPr>
          </w:p>
        </w:tc>
        <w:tc>
          <w:tcPr>
            <w:tcW w:w="137" w:type="pct"/>
            <w:shd w:val="clear" w:color="auto" w:fill="auto"/>
            <w:vAlign w:val="center"/>
          </w:tcPr>
          <w:p w14:paraId="0D88C3B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62.1</w:t>
            </w:r>
          </w:p>
        </w:tc>
        <w:tc>
          <w:tcPr>
            <w:tcW w:w="138" w:type="pct"/>
            <w:shd w:val="clear" w:color="auto" w:fill="auto"/>
            <w:vAlign w:val="center"/>
          </w:tcPr>
          <w:p w14:paraId="00C4AA3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58.2</w:t>
            </w:r>
          </w:p>
        </w:tc>
        <w:tc>
          <w:tcPr>
            <w:tcW w:w="137" w:type="pct"/>
            <w:shd w:val="clear" w:color="auto" w:fill="auto"/>
            <w:vAlign w:val="center"/>
          </w:tcPr>
          <w:p w14:paraId="727D919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62.9</w:t>
            </w:r>
          </w:p>
        </w:tc>
        <w:tc>
          <w:tcPr>
            <w:tcW w:w="138" w:type="pct"/>
            <w:shd w:val="clear" w:color="auto" w:fill="auto"/>
            <w:vAlign w:val="center"/>
          </w:tcPr>
          <w:p w14:paraId="4E04744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59.0</w:t>
            </w:r>
          </w:p>
        </w:tc>
        <w:tc>
          <w:tcPr>
            <w:tcW w:w="137" w:type="pct"/>
            <w:shd w:val="clear" w:color="auto" w:fill="auto"/>
            <w:vAlign w:val="center"/>
          </w:tcPr>
          <w:p w14:paraId="6EF856B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61.8</w:t>
            </w:r>
          </w:p>
        </w:tc>
        <w:tc>
          <w:tcPr>
            <w:tcW w:w="140" w:type="pct"/>
            <w:shd w:val="clear" w:color="auto" w:fill="auto"/>
            <w:vAlign w:val="center"/>
          </w:tcPr>
          <w:p w14:paraId="21E018F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59.7</w:t>
            </w:r>
          </w:p>
        </w:tc>
        <w:tc>
          <w:tcPr>
            <w:tcW w:w="137" w:type="pct"/>
            <w:shd w:val="clear" w:color="auto" w:fill="auto"/>
            <w:vAlign w:val="center"/>
          </w:tcPr>
          <w:p w14:paraId="48D4717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62.2</w:t>
            </w:r>
          </w:p>
        </w:tc>
        <w:tc>
          <w:tcPr>
            <w:tcW w:w="138" w:type="pct"/>
            <w:shd w:val="clear" w:color="auto" w:fill="auto"/>
            <w:vAlign w:val="center"/>
          </w:tcPr>
          <w:p w14:paraId="41B79F9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58.2</w:t>
            </w:r>
          </w:p>
        </w:tc>
        <w:tc>
          <w:tcPr>
            <w:tcW w:w="137" w:type="pct"/>
            <w:shd w:val="clear" w:color="auto" w:fill="auto"/>
            <w:vAlign w:val="center"/>
          </w:tcPr>
          <w:p w14:paraId="7875F7E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62.9</w:t>
            </w:r>
          </w:p>
        </w:tc>
        <w:tc>
          <w:tcPr>
            <w:tcW w:w="139" w:type="pct"/>
            <w:shd w:val="clear" w:color="auto" w:fill="auto"/>
            <w:vAlign w:val="center"/>
          </w:tcPr>
          <w:p w14:paraId="0BE3883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59.0</w:t>
            </w:r>
          </w:p>
        </w:tc>
        <w:tc>
          <w:tcPr>
            <w:tcW w:w="137" w:type="pct"/>
            <w:shd w:val="clear" w:color="auto" w:fill="auto"/>
            <w:vAlign w:val="center"/>
          </w:tcPr>
          <w:p w14:paraId="09A0E36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61.9</w:t>
            </w:r>
          </w:p>
        </w:tc>
        <w:tc>
          <w:tcPr>
            <w:tcW w:w="139" w:type="pct"/>
            <w:shd w:val="clear" w:color="auto" w:fill="auto"/>
            <w:vAlign w:val="center"/>
          </w:tcPr>
          <w:p w14:paraId="2FA6819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59.7</w:t>
            </w:r>
          </w:p>
        </w:tc>
        <w:tc>
          <w:tcPr>
            <w:tcW w:w="137" w:type="pct"/>
            <w:shd w:val="clear" w:color="auto" w:fill="auto"/>
            <w:vAlign w:val="center"/>
          </w:tcPr>
          <w:p w14:paraId="7F10040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8" w:type="pct"/>
            <w:shd w:val="clear" w:color="auto" w:fill="auto"/>
            <w:vAlign w:val="center"/>
          </w:tcPr>
          <w:p w14:paraId="52D003F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3.2</w:t>
            </w:r>
          </w:p>
        </w:tc>
        <w:tc>
          <w:tcPr>
            <w:tcW w:w="137" w:type="pct"/>
            <w:shd w:val="clear" w:color="auto" w:fill="auto"/>
            <w:vAlign w:val="center"/>
          </w:tcPr>
          <w:p w14:paraId="78EFC00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shd w:val="clear" w:color="auto" w:fill="auto"/>
            <w:vAlign w:val="center"/>
          </w:tcPr>
          <w:p w14:paraId="5668592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4.0</w:t>
            </w:r>
          </w:p>
        </w:tc>
        <w:tc>
          <w:tcPr>
            <w:tcW w:w="137" w:type="pct"/>
            <w:shd w:val="clear" w:color="auto" w:fill="auto"/>
            <w:vAlign w:val="center"/>
          </w:tcPr>
          <w:p w14:paraId="79D378E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shd w:val="clear" w:color="auto" w:fill="auto"/>
            <w:vAlign w:val="center"/>
          </w:tcPr>
          <w:p w14:paraId="4213FF3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4.7</w:t>
            </w:r>
          </w:p>
        </w:tc>
        <w:tc>
          <w:tcPr>
            <w:tcW w:w="137" w:type="pct"/>
            <w:shd w:val="clear" w:color="auto" w:fill="auto"/>
            <w:vAlign w:val="center"/>
          </w:tcPr>
          <w:p w14:paraId="268409F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16.7</w:t>
            </w:r>
          </w:p>
        </w:tc>
        <w:tc>
          <w:tcPr>
            <w:tcW w:w="139" w:type="pct"/>
            <w:shd w:val="clear" w:color="auto" w:fill="auto"/>
            <w:vAlign w:val="center"/>
          </w:tcPr>
          <w:p w14:paraId="4395B58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19.7</w:t>
            </w:r>
          </w:p>
        </w:tc>
        <w:tc>
          <w:tcPr>
            <w:tcW w:w="137" w:type="pct"/>
            <w:shd w:val="clear" w:color="auto" w:fill="auto"/>
            <w:vAlign w:val="center"/>
          </w:tcPr>
          <w:p w14:paraId="6BE22AA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17.4</w:t>
            </w:r>
          </w:p>
        </w:tc>
        <w:tc>
          <w:tcPr>
            <w:tcW w:w="138" w:type="pct"/>
            <w:shd w:val="clear" w:color="auto" w:fill="auto"/>
            <w:vAlign w:val="center"/>
          </w:tcPr>
          <w:p w14:paraId="655D005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20.5</w:t>
            </w:r>
          </w:p>
        </w:tc>
        <w:tc>
          <w:tcPr>
            <w:tcW w:w="137" w:type="pct"/>
            <w:shd w:val="clear" w:color="auto" w:fill="auto"/>
            <w:vAlign w:val="center"/>
          </w:tcPr>
          <w:p w14:paraId="11DE8BB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16.4</w:t>
            </w:r>
          </w:p>
        </w:tc>
        <w:tc>
          <w:tcPr>
            <w:tcW w:w="139" w:type="pct"/>
            <w:shd w:val="clear" w:color="auto" w:fill="auto"/>
            <w:vAlign w:val="center"/>
          </w:tcPr>
          <w:p w14:paraId="5DBCC54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21.2</w:t>
            </w:r>
          </w:p>
        </w:tc>
        <w:tc>
          <w:tcPr>
            <w:tcW w:w="157" w:type="pct"/>
            <w:shd w:val="clear" w:color="auto" w:fill="auto"/>
            <w:vAlign w:val="center"/>
          </w:tcPr>
          <w:p w14:paraId="2CD4845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4a</w:t>
            </w:r>
            <w:r>
              <w:rPr>
                <w:rFonts w:ascii="Times New Roman" w:hAnsi="宋体" w:eastAsia="宋体" w:cs="Times New Roman"/>
                <w:kern w:val="0"/>
                <w:szCs w:val="21"/>
              </w:rPr>
              <w:t>类</w:t>
            </w:r>
          </w:p>
        </w:tc>
        <w:tc>
          <w:tcPr>
            <w:tcW w:w="134" w:type="pct"/>
            <w:vMerge w:val="continue"/>
            <w:vAlign w:val="center"/>
          </w:tcPr>
          <w:p w14:paraId="064CECA6">
            <w:pPr>
              <w:widowControl/>
              <w:jc w:val="center"/>
              <w:rPr>
                <w:rFonts w:ascii="Times New Roman" w:hAnsi="Times New Roman" w:eastAsia="宋体" w:cs="Times New Roman"/>
                <w:kern w:val="0"/>
                <w:szCs w:val="21"/>
              </w:rPr>
            </w:pPr>
          </w:p>
        </w:tc>
        <w:tc>
          <w:tcPr>
            <w:tcW w:w="134" w:type="pct"/>
            <w:vMerge w:val="continue"/>
            <w:vAlign w:val="center"/>
          </w:tcPr>
          <w:p w14:paraId="5957602D">
            <w:pPr>
              <w:widowControl/>
              <w:jc w:val="center"/>
              <w:rPr>
                <w:rFonts w:ascii="Times New Roman" w:hAnsi="Times New Roman" w:eastAsia="宋体" w:cs="Times New Roman"/>
                <w:kern w:val="0"/>
                <w:szCs w:val="21"/>
              </w:rPr>
            </w:pPr>
          </w:p>
        </w:tc>
      </w:tr>
      <w:tr w14:paraId="00FC3561">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7" w:type="pct"/>
            <w:vMerge w:val="continue"/>
            <w:vAlign w:val="center"/>
          </w:tcPr>
          <w:p w14:paraId="260EA845">
            <w:pPr>
              <w:widowControl/>
              <w:jc w:val="center"/>
              <w:rPr>
                <w:rFonts w:ascii="Times New Roman" w:hAnsi="Times New Roman" w:eastAsia="宋体" w:cs="Times New Roman"/>
                <w:kern w:val="0"/>
                <w:szCs w:val="21"/>
              </w:rPr>
            </w:pPr>
          </w:p>
        </w:tc>
        <w:tc>
          <w:tcPr>
            <w:tcW w:w="320" w:type="pct"/>
            <w:vMerge w:val="continue"/>
            <w:vAlign w:val="center"/>
          </w:tcPr>
          <w:p w14:paraId="26D43157">
            <w:pPr>
              <w:widowControl/>
              <w:jc w:val="center"/>
              <w:rPr>
                <w:rFonts w:ascii="Times New Roman" w:hAnsi="Times New Roman" w:eastAsia="宋体" w:cs="Times New Roman"/>
                <w:kern w:val="0"/>
                <w:szCs w:val="21"/>
              </w:rPr>
            </w:pPr>
          </w:p>
        </w:tc>
        <w:tc>
          <w:tcPr>
            <w:tcW w:w="145" w:type="pct"/>
            <w:vMerge w:val="continue"/>
            <w:vAlign w:val="center"/>
          </w:tcPr>
          <w:p w14:paraId="32F76575">
            <w:pPr>
              <w:widowControl/>
              <w:jc w:val="center"/>
              <w:rPr>
                <w:rFonts w:ascii="Times New Roman" w:hAnsi="Times New Roman" w:eastAsia="宋体" w:cs="Times New Roman"/>
                <w:kern w:val="0"/>
                <w:szCs w:val="21"/>
              </w:rPr>
            </w:pPr>
          </w:p>
        </w:tc>
        <w:tc>
          <w:tcPr>
            <w:tcW w:w="189" w:type="pct"/>
            <w:shd w:val="clear" w:color="auto" w:fill="auto"/>
            <w:noWrap/>
            <w:vAlign w:val="center"/>
          </w:tcPr>
          <w:p w14:paraId="206E092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55</w:t>
            </w:r>
          </w:p>
        </w:tc>
        <w:tc>
          <w:tcPr>
            <w:tcW w:w="132" w:type="pct"/>
            <w:vMerge w:val="continue"/>
            <w:vAlign w:val="center"/>
          </w:tcPr>
          <w:p w14:paraId="048315DB">
            <w:pPr>
              <w:widowControl/>
              <w:jc w:val="center"/>
              <w:rPr>
                <w:rFonts w:ascii="Times New Roman" w:hAnsi="Times New Roman" w:eastAsia="宋体" w:cs="Times New Roman"/>
                <w:kern w:val="0"/>
                <w:szCs w:val="21"/>
              </w:rPr>
            </w:pPr>
          </w:p>
        </w:tc>
        <w:tc>
          <w:tcPr>
            <w:tcW w:w="232" w:type="pct"/>
            <w:vMerge w:val="continue"/>
            <w:vAlign w:val="center"/>
          </w:tcPr>
          <w:p w14:paraId="47D84B63">
            <w:pPr>
              <w:widowControl/>
              <w:jc w:val="center"/>
              <w:rPr>
                <w:rFonts w:ascii="Times New Roman" w:hAnsi="Times New Roman" w:eastAsia="宋体" w:cs="Times New Roman"/>
                <w:kern w:val="0"/>
                <w:szCs w:val="21"/>
              </w:rPr>
            </w:pPr>
          </w:p>
        </w:tc>
        <w:tc>
          <w:tcPr>
            <w:tcW w:w="147" w:type="pct"/>
            <w:vMerge w:val="continue"/>
            <w:vAlign w:val="center"/>
          </w:tcPr>
          <w:p w14:paraId="03AE39DB">
            <w:pPr>
              <w:widowControl/>
              <w:jc w:val="center"/>
              <w:rPr>
                <w:rFonts w:ascii="Times New Roman" w:hAnsi="Times New Roman" w:eastAsia="宋体" w:cs="Times New Roman"/>
                <w:kern w:val="0"/>
                <w:szCs w:val="21"/>
              </w:rPr>
            </w:pPr>
          </w:p>
        </w:tc>
        <w:tc>
          <w:tcPr>
            <w:tcW w:w="137" w:type="pct"/>
            <w:shd w:val="clear" w:color="auto" w:fill="auto"/>
            <w:vAlign w:val="center"/>
          </w:tcPr>
          <w:p w14:paraId="7C87A7A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57.9</w:t>
            </w:r>
          </w:p>
        </w:tc>
        <w:tc>
          <w:tcPr>
            <w:tcW w:w="138" w:type="pct"/>
            <w:shd w:val="clear" w:color="auto" w:fill="auto"/>
            <w:vAlign w:val="center"/>
          </w:tcPr>
          <w:p w14:paraId="71AC57A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54.0</w:t>
            </w:r>
          </w:p>
        </w:tc>
        <w:tc>
          <w:tcPr>
            <w:tcW w:w="137" w:type="pct"/>
            <w:shd w:val="clear" w:color="auto" w:fill="auto"/>
            <w:vAlign w:val="center"/>
          </w:tcPr>
          <w:p w14:paraId="3EBEE12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58.6</w:t>
            </w:r>
          </w:p>
        </w:tc>
        <w:tc>
          <w:tcPr>
            <w:tcW w:w="138" w:type="pct"/>
            <w:shd w:val="clear" w:color="auto" w:fill="auto"/>
            <w:vAlign w:val="center"/>
          </w:tcPr>
          <w:p w14:paraId="631FCBC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54.8</w:t>
            </w:r>
          </w:p>
        </w:tc>
        <w:tc>
          <w:tcPr>
            <w:tcW w:w="137" w:type="pct"/>
            <w:shd w:val="clear" w:color="auto" w:fill="auto"/>
            <w:vAlign w:val="center"/>
          </w:tcPr>
          <w:p w14:paraId="46D178F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57.5</w:t>
            </w:r>
          </w:p>
        </w:tc>
        <w:tc>
          <w:tcPr>
            <w:tcW w:w="140" w:type="pct"/>
            <w:shd w:val="clear" w:color="auto" w:fill="auto"/>
            <w:vAlign w:val="center"/>
          </w:tcPr>
          <w:p w14:paraId="225060C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55.5</w:t>
            </w:r>
          </w:p>
        </w:tc>
        <w:tc>
          <w:tcPr>
            <w:tcW w:w="137" w:type="pct"/>
            <w:shd w:val="clear" w:color="auto" w:fill="auto"/>
            <w:vAlign w:val="center"/>
          </w:tcPr>
          <w:p w14:paraId="1441F13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58.1</w:t>
            </w:r>
          </w:p>
        </w:tc>
        <w:tc>
          <w:tcPr>
            <w:tcW w:w="138" w:type="pct"/>
            <w:shd w:val="clear" w:color="auto" w:fill="auto"/>
            <w:vAlign w:val="center"/>
          </w:tcPr>
          <w:p w14:paraId="4A13BBF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54.1</w:t>
            </w:r>
          </w:p>
        </w:tc>
        <w:tc>
          <w:tcPr>
            <w:tcW w:w="137" w:type="pct"/>
            <w:shd w:val="clear" w:color="auto" w:fill="auto"/>
            <w:vAlign w:val="center"/>
          </w:tcPr>
          <w:p w14:paraId="7024F9C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58.9</w:t>
            </w:r>
          </w:p>
        </w:tc>
        <w:tc>
          <w:tcPr>
            <w:tcW w:w="139" w:type="pct"/>
            <w:shd w:val="clear" w:color="auto" w:fill="auto"/>
            <w:vAlign w:val="center"/>
          </w:tcPr>
          <w:p w14:paraId="7E94BBB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54.9</w:t>
            </w:r>
          </w:p>
        </w:tc>
        <w:tc>
          <w:tcPr>
            <w:tcW w:w="137" w:type="pct"/>
            <w:shd w:val="clear" w:color="auto" w:fill="auto"/>
            <w:vAlign w:val="center"/>
          </w:tcPr>
          <w:p w14:paraId="1C58699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57.8</w:t>
            </w:r>
          </w:p>
        </w:tc>
        <w:tc>
          <w:tcPr>
            <w:tcW w:w="139" w:type="pct"/>
            <w:shd w:val="clear" w:color="auto" w:fill="auto"/>
            <w:vAlign w:val="center"/>
          </w:tcPr>
          <w:p w14:paraId="5CD3B9B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55.6</w:t>
            </w:r>
          </w:p>
        </w:tc>
        <w:tc>
          <w:tcPr>
            <w:tcW w:w="137" w:type="pct"/>
            <w:shd w:val="clear" w:color="auto" w:fill="auto"/>
            <w:vAlign w:val="center"/>
          </w:tcPr>
          <w:p w14:paraId="09A180E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8" w:type="pct"/>
            <w:shd w:val="clear" w:color="auto" w:fill="auto"/>
            <w:vAlign w:val="center"/>
          </w:tcPr>
          <w:p w14:paraId="0B8D171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4.1</w:t>
            </w:r>
          </w:p>
        </w:tc>
        <w:tc>
          <w:tcPr>
            <w:tcW w:w="137" w:type="pct"/>
            <w:shd w:val="clear" w:color="auto" w:fill="auto"/>
            <w:vAlign w:val="center"/>
          </w:tcPr>
          <w:p w14:paraId="414D98B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shd w:val="clear" w:color="auto" w:fill="auto"/>
            <w:vAlign w:val="center"/>
          </w:tcPr>
          <w:p w14:paraId="1A8F004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4.9</w:t>
            </w:r>
          </w:p>
        </w:tc>
        <w:tc>
          <w:tcPr>
            <w:tcW w:w="137" w:type="pct"/>
            <w:shd w:val="clear" w:color="auto" w:fill="auto"/>
            <w:vAlign w:val="center"/>
          </w:tcPr>
          <w:p w14:paraId="3E386E1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shd w:val="clear" w:color="auto" w:fill="auto"/>
            <w:vAlign w:val="center"/>
          </w:tcPr>
          <w:p w14:paraId="3736532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5.6</w:t>
            </w:r>
          </w:p>
        </w:tc>
        <w:tc>
          <w:tcPr>
            <w:tcW w:w="137" w:type="pct"/>
            <w:shd w:val="clear" w:color="auto" w:fill="auto"/>
            <w:vAlign w:val="center"/>
          </w:tcPr>
          <w:p w14:paraId="35AFA0D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12.6</w:t>
            </w:r>
          </w:p>
        </w:tc>
        <w:tc>
          <w:tcPr>
            <w:tcW w:w="139" w:type="pct"/>
            <w:shd w:val="clear" w:color="auto" w:fill="auto"/>
            <w:vAlign w:val="center"/>
          </w:tcPr>
          <w:p w14:paraId="3DA49D4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15.6</w:t>
            </w:r>
          </w:p>
        </w:tc>
        <w:tc>
          <w:tcPr>
            <w:tcW w:w="137" w:type="pct"/>
            <w:shd w:val="clear" w:color="auto" w:fill="auto"/>
            <w:vAlign w:val="center"/>
          </w:tcPr>
          <w:p w14:paraId="70802B8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13.4</w:t>
            </w:r>
          </w:p>
        </w:tc>
        <w:tc>
          <w:tcPr>
            <w:tcW w:w="138" w:type="pct"/>
            <w:shd w:val="clear" w:color="auto" w:fill="auto"/>
            <w:vAlign w:val="center"/>
          </w:tcPr>
          <w:p w14:paraId="6FF13AD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16.4</w:t>
            </w:r>
          </w:p>
        </w:tc>
        <w:tc>
          <w:tcPr>
            <w:tcW w:w="137" w:type="pct"/>
            <w:shd w:val="clear" w:color="auto" w:fill="auto"/>
            <w:vAlign w:val="center"/>
          </w:tcPr>
          <w:p w14:paraId="6AEBF54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12.3</w:t>
            </w:r>
          </w:p>
        </w:tc>
        <w:tc>
          <w:tcPr>
            <w:tcW w:w="139" w:type="pct"/>
            <w:shd w:val="clear" w:color="auto" w:fill="auto"/>
            <w:vAlign w:val="center"/>
          </w:tcPr>
          <w:p w14:paraId="64B0119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17.1</w:t>
            </w:r>
          </w:p>
        </w:tc>
        <w:tc>
          <w:tcPr>
            <w:tcW w:w="157" w:type="pct"/>
            <w:shd w:val="clear" w:color="auto" w:fill="auto"/>
            <w:vAlign w:val="center"/>
          </w:tcPr>
          <w:p w14:paraId="3486EE3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2类</w:t>
            </w:r>
          </w:p>
        </w:tc>
        <w:tc>
          <w:tcPr>
            <w:tcW w:w="134" w:type="pct"/>
            <w:vMerge w:val="continue"/>
            <w:vAlign w:val="center"/>
          </w:tcPr>
          <w:p w14:paraId="07829521">
            <w:pPr>
              <w:widowControl/>
              <w:jc w:val="center"/>
              <w:rPr>
                <w:rFonts w:ascii="Times New Roman" w:hAnsi="Times New Roman" w:eastAsia="宋体" w:cs="Times New Roman"/>
                <w:kern w:val="0"/>
                <w:szCs w:val="21"/>
              </w:rPr>
            </w:pPr>
          </w:p>
        </w:tc>
        <w:tc>
          <w:tcPr>
            <w:tcW w:w="134" w:type="pct"/>
            <w:vMerge w:val="continue"/>
            <w:vAlign w:val="center"/>
          </w:tcPr>
          <w:p w14:paraId="3D7CB1AC">
            <w:pPr>
              <w:widowControl/>
              <w:jc w:val="center"/>
              <w:rPr>
                <w:rFonts w:ascii="Times New Roman" w:hAnsi="Times New Roman" w:eastAsia="宋体" w:cs="Times New Roman"/>
                <w:kern w:val="0"/>
                <w:szCs w:val="21"/>
              </w:rPr>
            </w:pPr>
          </w:p>
        </w:tc>
      </w:tr>
      <w:tr w14:paraId="2F516984">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7" w:type="pct"/>
            <w:shd w:val="clear" w:color="auto" w:fill="auto"/>
            <w:vAlign w:val="center"/>
          </w:tcPr>
          <w:p w14:paraId="6CD044A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13</w:t>
            </w:r>
          </w:p>
        </w:tc>
        <w:tc>
          <w:tcPr>
            <w:tcW w:w="320" w:type="pct"/>
            <w:shd w:val="clear" w:color="auto" w:fill="auto"/>
            <w:vAlign w:val="center"/>
          </w:tcPr>
          <w:p w14:paraId="1B1CEEB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夏合亚迪村小学</w:t>
            </w:r>
          </w:p>
        </w:tc>
        <w:tc>
          <w:tcPr>
            <w:tcW w:w="145" w:type="pct"/>
            <w:shd w:val="clear" w:color="auto" w:fill="auto"/>
            <w:vAlign w:val="center"/>
          </w:tcPr>
          <w:p w14:paraId="0EA5CC0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路右</w:t>
            </w:r>
          </w:p>
        </w:tc>
        <w:tc>
          <w:tcPr>
            <w:tcW w:w="189" w:type="pct"/>
            <w:shd w:val="clear" w:color="auto" w:fill="auto"/>
            <w:noWrap/>
            <w:vAlign w:val="center"/>
          </w:tcPr>
          <w:p w14:paraId="18389A0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145</w:t>
            </w:r>
          </w:p>
        </w:tc>
        <w:tc>
          <w:tcPr>
            <w:tcW w:w="132" w:type="pct"/>
            <w:shd w:val="clear" w:color="auto" w:fill="auto"/>
            <w:vAlign w:val="center"/>
          </w:tcPr>
          <w:p w14:paraId="58873F4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w:t>
            </w:r>
          </w:p>
        </w:tc>
        <w:tc>
          <w:tcPr>
            <w:tcW w:w="232" w:type="pct"/>
            <w:shd w:val="clear" w:color="auto" w:fill="auto"/>
            <w:vAlign w:val="center"/>
          </w:tcPr>
          <w:p w14:paraId="447C8CA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0</w:t>
            </w:r>
          </w:p>
        </w:tc>
        <w:tc>
          <w:tcPr>
            <w:tcW w:w="147" w:type="pct"/>
            <w:shd w:val="clear" w:color="auto" w:fill="auto"/>
            <w:vAlign w:val="center"/>
          </w:tcPr>
          <w:p w14:paraId="587F2A6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2层</w:t>
            </w:r>
          </w:p>
        </w:tc>
        <w:tc>
          <w:tcPr>
            <w:tcW w:w="137" w:type="pct"/>
            <w:shd w:val="clear" w:color="auto" w:fill="auto"/>
            <w:vAlign w:val="center"/>
          </w:tcPr>
          <w:p w14:paraId="2F21C59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56.2</w:t>
            </w:r>
          </w:p>
        </w:tc>
        <w:tc>
          <w:tcPr>
            <w:tcW w:w="138" w:type="pct"/>
            <w:shd w:val="clear" w:color="auto" w:fill="auto"/>
            <w:vAlign w:val="center"/>
          </w:tcPr>
          <w:p w14:paraId="43719BB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52.3</w:t>
            </w:r>
          </w:p>
        </w:tc>
        <w:tc>
          <w:tcPr>
            <w:tcW w:w="137" w:type="pct"/>
            <w:shd w:val="clear" w:color="auto" w:fill="auto"/>
            <w:vAlign w:val="center"/>
          </w:tcPr>
          <w:p w14:paraId="6E7E390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56.9</w:t>
            </w:r>
          </w:p>
        </w:tc>
        <w:tc>
          <w:tcPr>
            <w:tcW w:w="138" w:type="pct"/>
            <w:shd w:val="clear" w:color="auto" w:fill="auto"/>
            <w:vAlign w:val="center"/>
          </w:tcPr>
          <w:p w14:paraId="7D2B8A6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53.1</w:t>
            </w:r>
          </w:p>
        </w:tc>
        <w:tc>
          <w:tcPr>
            <w:tcW w:w="137" w:type="pct"/>
            <w:shd w:val="clear" w:color="auto" w:fill="auto"/>
            <w:vAlign w:val="center"/>
          </w:tcPr>
          <w:p w14:paraId="17334EB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55.8</w:t>
            </w:r>
          </w:p>
        </w:tc>
        <w:tc>
          <w:tcPr>
            <w:tcW w:w="140" w:type="pct"/>
            <w:shd w:val="clear" w:color="auto" w:fill="auto"/>
            <w:vAlign w:val="center"/>
          </w:tcPr>
          <w:p w14:paraId="4764929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53.8</w:t>
            </w:r>
          </w:p>
        </w:tc>
        <w:tc>
          <w:tcPr>
            <w:tcW w:w="137" w:type="pct"/>
            <w:shd w:val="clear" w:color="auto" w:fill="auto"/>
            <w:vAlign w:val="center"/>
          </w:tcPr>
          <w:p w14:paraId="2AD126E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56.5</w:t>
            </w:r>
          </w:p>
        </w:tc>
        <w:tc>
          <w:tcPr>
            <w:tcW w:w="138" w:type="pct"/>
            <w:shd w:val="clear" w:color="auto" w:fill="auto"/>
            <w:vAlign w:val="center"/>
          </w:tcPr>
          <w:p w14:paraId="349DBB1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52.5</w:t>
            </w:r>
          </w:p>
        </w:tc>
        <w:tc>
          <w:tcPr>
            <w:tcW w:w="137" w:type="pct"/>
            <w:shd w:val="clear" w:color="auto" w:fill="auto"/>
            <w:vAlign w:val="center"/>
          </w:tcPr>
          <w:p w14:paraId="34F57E3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57.2</w:t>
            </w:r>
          </w:p>
        </w:tc>
        <w:tc>
          <w:tcPr>
            <w:tcW w:w="139" w:type="pct"/>
            <w:shd w:val="clear" w:color="auto" w:fill="auto"/>
            <w:vAlign w:val="center"/>
          </w:tcPr>
          <w:p w14:paraId="53C2220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53.2</w:t>
            </w:r>
          </w:p>
        </w:tc>
        <w:tc>
          <w:tcPr>
            <w:tcW w:w="137" w:type="pct"/>
            <w:shd w:val="clear" w:color="auto" w:fill="auto"/>
            <w:vAlign w:val="center"/>
          </w:tcPr>
          <w:p w14:paraId="5B83F94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56.2</w:t>
            </w:r>
          </w:p>
        </w:tc>
        <w:tc>
          <w:tcPr>
            <w:tcW w:w="139" w:type="pct"/>
            <w:shd w:val="clear" w:color="auto" w:fill="auto"/>
            <w:vAlign w:val="center"/>
          </w:tcPr>
          <w:p w14:paraId="3A85D72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53.9</w:t>
            </w:r>
          </w:p>
        </w:tc>
        <w:tc>
          <w:tcPr>
            <w:tcW w:w="137" w:type="pct"/>
            <w:shd w:val="clear" w:color="auto" w:fill="auto"/>
            <w:vAlign w:val="center"/>
          </w:tcPr>
          <w:p w14:paraId="444CE55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8" w:type="pct"/>
            <w:shd w:val="clear" w:color="auto" w:fill="auto"/>
            <w:vAlign w:val="center"/>
          </w:tcPr>
          <w:p w14:paraId="12F4E97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7" w:type="pct"/>
            <w:shd w:val="clear" w:color="auto" w:fill="auto"/>
            <w:vAlign w:val="center"/>
          </w:tcPr>
          <w:p w14:paraId="2D052B9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shd w:val="clear" w:color="auto" w:fill="auto"/>
            <w:vAlign w:val="center"/>
          </w:tcPr>
          <w:p w14:paraId="6B27481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7" w:type="pct"/>
            <w:shd w:val="clear" w:color="auto" w:fill="auto"/>
            <w:vAlign w:val="center"/>
          </w:tcPr>
          <w:p w14:paraId="0F65E70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shd w:val="clear" w:color="auto" w:fill="auto"/>
            <w:vAlign w:val="center"/>
          </w:tcPr>
          <w:p w14:paraId="3DA620D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7" w:type="pct"/>
            <w:shd w:val="clear" w:color="auto" w:fill="auto"/>
            <w:vAlign w:val="center"/>
          </w:tcPr>
          <w:p w14:paraId="17CDBD4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11.0</w:t>
            </w:r>
          </w:p>
        </w:tc>
        <w:tc>
          <w:tcPr>
            <w:tcW w:w="139" w:type="pct"/>
            <w:shd w:val="clear" w:color="auto" w:fill="auto"/>
            <w:vAlign w:val="center"/>
          </w:tcPr>
          <w:p w14:paraId="550666E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14.0</w:t>
            </w:r>
          </w:p>
        </w:tc>
        <w:tc>
          <w:tcPr>
            <w:tcW w:w="137" w:type="pct"/>
            <w:shd w:val="clear" w:color="auto" w:fill="auto"/>
            <w:vAlign w:val="center"/>
          </w:tcPr>
          <w:p w14:paraId="1CB394B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11.7</w:t>
            </w:r>
          </w:p>
        </w:tc>
        <w:tc>
          <w:tcPr>
            <w:tcW w:w="138" w:type="pct"/>
            <w:shd w:val="clear" w:color="auto" w:fill="auto"/>
            <w:vAlign w:val="center"/>
          </w:tcPr>
          <w:p w14:paraId="176E86D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14.7</w:t>
            </w:r>
          </w:p>
        </w:tc>
        <w:tc>
          <w:tcPr>
            <w:tcW w:w="137" w:type="pct"/>
            <w:shd w:val="clear" w:color="auto" w:fill="auto"/>
            <w:vAlign w:val="center"/>
          </w:tcPr>
          <w:p w14:paraId="38B85DC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10.7</w:t>
            </w:r>
          </w:p>
        </w:tc>
        <w:tc>
          <w:tcPr>
            <w:tcW w:w="139" w:type="pct"/>
            <w:shd w:val="clear" w:color="auto" w:fill="auto"/>
            <w:vAlign w:val="center"/>
          </w:tcPr>
          <w:p w14:paraId="7DB27A0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15.4</w:t>
            </w:r>
          </w:p>
        </w:tc>
        <w:tc>
          <w:tcPr>
            <w:tcW w:w="157" w:type="pct"/>
            <w:shd w:val="clear" w:color="auto" w:fill="auto"/>
            <w:vAlign w:val="center"/>
          </w:tcPr>
          <w:p w14:paraId="5AB989C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2类</w:t>
            </w:r>
          </w:p>
        </w:tc>
        <w:tc>
          <w:tcPr>
            <w:tcW w:w="134" w:type="pct"/>
            <w:shd w:val="clear" w:color="auto" w:fill="auto"/>
            <w:vAlign w:val="center"/>
          </w:tcPr>
          <w:p w14:paraId="3BF80A1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45.5</w:t>
            </w:r>
          </w:p>
        </w:tc>
        <w:tc>
          <w:tcPr>
            <w:tcW w:w="134" w:type="pct"/>
            <w:shd w:val="clear" w:color="auto" w:fill="auto"/>
            <w:vAlign w:val="center"/>
          </w:tcPr>
          <w:p w14:paraId="4F5E4FE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38.5</w:t>
            </w:r>
          </w:p>
        </w:tc>
      </w:tr>
      <w:tr w14:paraId="086E2725">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7" w:type="pct"/>
            <w:shd w:val="clear" w:color="auto" w:fill="auto"/>
            <w:vAlign w:val="center"/>
          </w:tcPr>
          <w:p w14:paraId="2E72680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14</w:t>
            </w:r>
          </w:p>
        </w:tc>
        <w:tc>
          <w:tcPr>
            <w:tcW w:w="320" w:type="pct"/>
            <w:shd w:val="clear" w:color="auto" w:fill="auto"/>
            <w:vAlign w:val="center"/>
          </w:tcPr>
          <w:p w14:paraId="2AFDC82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伽师县和夏阿瓦提镇夏合亚迪村幼儿园</w:t>
            </w:r>
          </w:p>
        </w:tc>
        <w:tc>
          <w:tcPr>
            <w:tcW w:w="145" w:type="pct"/>
            <w:shd w:val="clear" w:color="auto" w:fill="auto"/>
            <w:vAlign w:val="center"/>
          </w:tcPr>
          <w:p w14:paraId="2D0A643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路左</w:t>
            </w:r>
          </w:p>
        </w:tc>
        <w:tc>
          <w:tcPr>
            <w:tcW w:w="189" w:type="pct"/>
            <w:shd w:val="clear" w:color="auto" w:fill="auto"/>
            <w:noWrap/>
            <w:vAlign w:val="center"/>
          </w:tcPr>
          <w:p w14:paraId="25416C0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72</w:t>
            </w:r>
          </w:p>
        </w:tc>
        <w:tc>
          <w:tcPr>
            <w:tcW w:w="132" w:type="pct"/>
            <w:shd w:val="clear" w:color="auto" w:fill="auto"/>
            <w:vAlign w:val="center"/>
          </w:tcPr>
          <w:p w14:paraId="5A4F6FB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w:t>
            </w:r>
          </w:p>
        </w:tc>
        <w:tc>
          <w:tcPr>
            <w:tcW w:w="232" w:type="pct"/>
            <w:shd w:val="clear" w:color="auto" w:fill="auto"/>
            <w:vAlign w:val="center"/>
          </w:tcPr>
          <w:p w14:paraId="6AC45CB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w:t>
            </w:r>
          </w:p>
        </w:tc>
        <w:tc>
          <w:tcPr>
            <w:tcW w:w="147" w:type="pct"/>
            <w:shd w:val="clear" w:color="auto" w:fill="auto"/>
            <w:vAlign w:val="center"/>
          </w:tcPr>
          <w:p w14:paraId="3F6E463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2层</w:t>
            </w:r>
          </w:p>
        </w:tc>
        <w:tc>
          <w:tcPr>
            <w:tcW w:w="137" w:type="pct"/>
            <w:shd w:val="clear" w:color="auto" w:fill="auto"/>
            <w:vAlign w:val="center"/>
          </w:tcPr>
          <w:p w14:paraId="50BC651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61.3</w:t>
            </w:r>
          </w:p>
        </w:tc>
        <w:tc>
          <w:tcPr>
            <w:tcW w:w="138" w:type="pct"/>
            <w:shd w:val="clear" w:color="auto" w:fill="auto"/>
            <w:vAlign w:val="center"/>
          </w:tcPr>
          <w:p w14:paraId="3984C8C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57.4</w:t>
            </w:r>
          </w:p>
        </w:tc>
        <w:tc>
          <w:tcPr>
            <w:tcW w:w="137" w:type="pct"/>
            <w:shd w:val="clear" w:color="auto" w:fill="auto"/>
            <w:vAlign w:val="center"/>
          </w:tcPr>
          <w:p w14:paraId="27D8323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62.1</w:t>
            </w:r>
          </w:p>
        </w:tc>
        <w:tc>
          <w:tcPr>
            <w:tcW w:w="138" w:type="pct"/>
            <w:shd w:val="clear" w:color="auto" w:fill="auto"/>
            <w:vAlign w:val="center"/>
          </w:tcPr>
          <w:p w14:paraId="75B599A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58.2</w:t>
            </w:r>
          </w:p>
        </w:tc>
        <w:tc>
          <w:tcPr>
            <w:tcW w:w="137" w:type="pct"/>
            <w:shd w:val="clear" w:color="auto" w:fill="auto"/>
            <w:vAlign w:val="center"/>
          </w:tcPr>
          <w:p w14:paraId="65DDCA1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61.0</w:t>
            </w:r>
          </w:p>
        </w:tc>
        <w:tc>
          <w:tcPr>
            <w:tcW w:w="140" w:type="pct"/>
            <w:shd w:val="clear" w:color="auto" w:fill="auto"/>
            <w:vAlign w:val="center"/>
          </w:tcPr>
          <w:p w14:paraId="5ACA07F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58.9</w:t>
            </w:r>
          </w:p>
        </w:tc>
        <w:tc>
          <w:tcPr>
            <w:tcW w:w="137" w:type="pct"/>
            <w:shd w:val="clear" w:color="auto" w:fill="auto"/>
            <w:vAlign w:val="center"/>
          </w:tcPr>
          <w:p w14:paraId="394480D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61.4</w:t>
            </w:r>
          </w:p>
        </w:tc>
        <w:tc>
          <w:tcPr>
            <w:tcW w:w="138" w:type="pct"/>
            <w:shd w:val="clear" w:color="auto" w:fill="auto"/>
            <w:vAlign w:val="center"/>
          </w:tcPr>
          <w:p w14:paraId="46F5431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57.5</w:t>
            </w:r>
          </w:p>
        </w:tc>
        <w:tc>
          <w:tcPr>
            <w:tcW w:w="137" w:type="pct"/>
            <w:shd w:val="clear" w:color="auto" w:fill="auto"/>
            <w:vAlign w:val="center"/>
          </w:tcPr>
          <w:p w14:paraId="27103AB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62.2</w:t>
            </w:r>
          </w:p>
        </w:tc>
        <w:tc>
          <w:tcPr>
            <w:tcW w:w="139" w:type="pct"/>
            <w:shd w:val="clear" w:color="auto" w:fill="auto"/>
            <w:vAlign w:val="center"/>
          </w:tcPr>
          <w:p w14:paraId="4395D80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58.3</w:t>
            </w:r>
          </w:p>
        </w:tc>
        <w:tc>
          <w:tcPr>
            <w:tcW w:w="137" w:type="pct"/>
            <w:shd w:val="clear" w:color="auto" w:fill="auto"/>
            <w:vAlign w:val="center"/>
          </w:tcPr>
          <w:p w14:paraId="19A771D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61.1</w:t>
            </w:r>
          </w:p>
        </w:tc>
        <w:tc>
          <w:tcPr>
            <w:tcW w:w="139" w:type="pct"/>
            <w:shd w:val="clear" w:color="auto" w:fill="auto"/>
            <w:vAlign w:val="center"/>
          </w:tcPr>
          <w:p w14:paraId="34EF773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59.0</w:t>
            </w:r>
          </w:p>
        </w:tc>
        <w:tc>
          <w:tcPr>
            <w:tcW w:w="137" w:type="pct"/>
            <w:shd w:val="clear" w:color="auto" w:fill="auto"/>
            <w:vAlign w:val="center"/>
          </w:tcPr>
          <w:p w14:paraId="41C3BE2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1.4</w:t>
            </w:r>
          </w:p>
        </w:tc>
        <w:tc>
          <w:tcPr>
            <w:tcW w:w="138" w:type="pct"/>
            <w:shd w:val="clear" w:color="auto" w:fill="auto"/>
            <w:vAlign w:val="center"/>
          </w:tcPr>
          <w:p w14:paraId="7CBB68F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7" w:type="pct"/>
            <w:shd w:val="clear" w:color="auto" w:fill="auto"/>
            <w:vAlign w:val="center"/>
          </w:tcPr>
          <w:p w14:paraId="44A86CD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2.2</w:t>
            </w:r>
          </w:p>
        </w:tc>
        <w:tc>
          <w:tcPr>
            <w:tcW w:w="139" w:type="pct"/>
            <w:shd w:val="clear" w:color="auto" w:fill="auto"/>
            <w:vAlign w:val="center"/>
          </w:tcPr>
          <w:p w14:paraId="639432B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7" w:type="pct"/>
            <w:shd w:val="clear" w:color="auto" w:fill="auto"/>
            <w:vAlign w:val="center"/>
          </w:tcPr>
          <w:p w14:paraId="66701F2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1.1</w:t>
            </w:r>
          </w:p>
        </w:tc>
        <w:tc>
          <w:tcPr>
            <w:tcW w:w="139" w:type="pct"/>
            <w:shd w:val="clear" w:color="auto" w:fill="auto"/>
            <w:vAlign w:val="center"/>
          </w:tcPr>
          <w:p w14:paraId="47B0031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7" w:type="pct"/>
            <w:shd w:val="clear" w:color="auto" w:fill="auto"/>
            <w:vAlign w:val="center"/>
          </w:tcPr>
          <w:p w14:paraId="0DE524F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15.9</w:t>
            </w:r>
          </w:p>
        </w:tc>
        <w:tc>
          <w:tcPr>
            <w:tcW w:w="139" w:type="pct"/>
            <w:shd w:val="clear" w:color="auto" w:fill="auto"/>
            <w:vAlign w:val="center"/>
          </w:tcPr>
          <w:p w14:paraId="4BBCCB7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19.0</w:t>
            </w:r>
          </w:p>
        </w:tc>
        <w:tc>
          <w:tcPr>
            <w:tcW w:w="137" w:type="pct"/>
            <w:shd w:val="clear" w:color="auto" w:fill="auto"/>
            <w:vAlign w:val="center"/>
          </w:tcPr>
          <w:p w14:paraId="0AA6790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16.7</w:t>
            </w:r>
          </w:p>
        </w:tc>
        <w:tc>
          <w:tcPr>
            <w:tcW w:w="138" w:type="pct"/>
            <w:shd w:val="clear" w:color="auto" w:fill="auto"/>
            <w:vAlign w:val="center"/>
          </w:tcPr>
          <w:p w14:paraId="1F487B3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19.8</w:t>
            </w:r>
          </w:p>
        </w:tc>
        <w:tc>
          <w:tcPr>
            <w:tcW w:w="137" w:type="pct"/>
            <w:shd w:val="clear" w:color="auto" w:fill="auto"/>
            <w:vAlign w:val="center"/>
          </w:tcPr>
          <w:p w14:paraId="006CC29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15.6</w:t>
            </w:r>
          </w:p>
        </w:tc>
        <w:tc>
          <w:tcPr>
            <w:tcW w:w="139" w:type="pct"/>
            <w:shd w:val="clear" w:color="auto" w:fill="auto"/>
            <w:vAlign w:val="center"/>
          </w:tcPr>
          <w:p w14:paraId="0EA717A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20.5</w:t>
            </w:r>
          </w:p>
        </w:tc>
        <w:tc>
          <w:tcPr>
            <w:tcW w:w="157" w:type="pct"/>
            <w:shd w:val="clear" w:color="auto" w:fill="auto"/>
            <w:vAlign w:val="center"/>
          </w:tcPr>
          <w:p w14:paraId="1B7DECE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2类</w:t>
            </w:r>
          </w:p>
        </w:tc>
        <w:tc>
          <w:tcPr>
            <w:tcW w:w="134" w:type="pct"/>
            <w:shd w:val="clear" w:color="auto" w:fill="auto"/>
            <w:vAlign w:val="center"/>
          </w:tcPr>
          <w:p w14:paraId="23E3A82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45.5</w:t>
            </w:r>
          </w:p>
        </w:tc>
        <w:tc>
          <w:tcPr>
            <w:tcW w:w="134" w:type="pct"/>
            <w:shd w:val="clear" w:color="auto" w:fill="auto"/>
            <w:vAlign w:val="center"/>
          </w:tcPr>
          <w:p w14:paraId="6E6B3BD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38.5</w:t>
            </w:r>
          </w:p>
        </w:tc>
      </w:tr>
    </w:tbl>
    <w:p w14:paraId="5F565A6E">
      <w:pPr>
        <w:widowControl w:val="0"/>
        <w:spacing w:beforeLines="50" w:line="240" w:lineRule="auto"/>
        <w:ind w:firstLine="0" w:firstLineChars="0"/>
        <w:jc w:val="center"/>
        <w:rPr>
          <w:rFonts w:ascii="Times New Roman" w:hAnsi="Times New Roman" w:eastAsia="宋体" w:cs="Times New Roman"/>
          <w:b/>
          <w:kern w:val="2"/>
          <w:sz w:val="21"/>
          <w:szCs w:val="21"/>
          <w:lang w:val="en-US" w:eastAsia="zh-CN" w:bidi="ar-SA"/>
        </w:rPr>
      </w:pPr>
      <w:r>
        <w:rPr>
          <w:rFonts w:ascii="Times New Roman" w:hAnsi="Times New Roman" w:eastAsia="宋体" w:cs="Times New Roman"/>
          <w:kern w:val="2"/>
          <w:sz w:val="24"/>
          <w:szCs w:val="20"/>
          <w:highlight w:val="yellow"/>
          <w:lang w:val="en-US" w:eastAsia="zh-CN" w:bidi="ar-SA"/>
        </w:rPr>
        <w:br w:type="page"/>
      </w:r>
      <w:r>
        <w:rPr>
          <w:rFonts w:ascii="Times New Roman" w:hAnsi="Times New Roman" w:eastAsia="宋体" w:cs="Times New Roman"/>
          <w:b/>
          <w:kern w:val="2"/>
          <w:sz w:val="21"/>
          <w:szCs w:val="21"/>
          <w:lang w:val="en-US" w:eastAsia="zh-CN" w:bidi="ar-SA"/>
        </w:rPr>
        <w:t>续</w:t>
      </w:r>
      <w:r>
        <w:rPr>
          <w:rFonts w:hint="eastAsia" w:ascii="Times New Roman" w:hAnsi="Times New Roman" w:eastAsia="宋体" w:cs="Times New Roman"/>
          <w:b/>
          <w:kern w:val="2"/>
          <w:sz w:val="21"/>
          <w:szCs w:val="21"/>
          <w:lang w:val="en-US" w:eastAsia="zh-CN" w:bidi="ar-SA"/>
        </w:rPr>
        <w:t xml:space="preserve"> </w:t>
      </w:r>
      <w:r>
        <w:rPr>
          <w:rFonts w:ascii="Times New Roman" w:hAnsi="Times New Roman" w:eastAsia="宋体" w:cs="Times New Roman"/>
          <w:b/>
          <w:kern w:val="2"/>
          <w:sz w:val="21"/>
          <w:szCs w:val="21"/>
          <w:lang w:val="en-US" w:eastAsia="zh-CN" w:bidi="ar-SA"/>
        </w:rPr>
        <w:t>表4.2-</w:t>
      </w:r>
      <w:r>
        <w:rPr>
          <w:rFonts w:hint="eastAsia" w:ascii="Times New Roman" w:hAnsi="Times New Roman" w:eastAsia="宋体" w:cs="Times New Roman"/>
          <w:b/>
          <w:kern w:val="2"/>
          <w:sz w:val="21"/>
          <w:szCs w:val="21"/>
          <w:lang w:val="en-US" w:eastAsia="zh-CN" w:bidi="ar-SA"/>
        </w:rPr>
        <w:t>8</w:t>
      </w:r>
      <w:r>
        <w:rPr>
          <w:rFonts w:ascii="Times New Roman" w:hAnsi="Times New Roman" w:eastAsia="宋体" w:cs="Times New Roman"/>
          <w:b/>
          <w:kern w:val="2"/>
          <w:sz w:val="21"/>
          <w:szCs w:val="21"/>
          <w:lang w:val="en-US" w:eastAsia="zh-CN" w:bidi="ar-SA"/>
        </w:rPr>
        <w:t xml:space="preserve">  拟建</w:t>
      </w:r>
      <w:r>
        <w:rPr>
          <w:rFonts w:hint="eastAsia" w:ascii="Times New Roman" w:hAnsi="Times New Roman" w:eastAsia="宋体" w:cs="Times New Roman"/>
          <w:b/>
          <w:kern w:val="2"/>
          <w:sz w:val="21"/>
          <w:szCs w:val="21"/>
          <w:lang w:val="en-US" w:eastAsia="zh-CN" w:bidi="ar-SA"/>
        </w:rPr>
        <w:t>公路</w:t>
      </w:r>
      <w:r>
        <w:rPr>
          <w:rFonts w:ascii="Times New Roman" w:hAnsi="Times New Roman" w:eastAsia="宋体" w:cs="Times New Roman"/>
          <w:b/>
          <w:kern w:val="2"/>
          <w:sz w:val="21"/>
          <w:szCs w:val="21"/>
          <w:lang w:val="en-US" w:eastAsia="zh-CN" w:bidi="ar-SA"/>
        </w:rPr>
        <w:t>沿线声敏感点环境噪声预测结果</w:t>
      </w:r>
    </w:p>
    <w:tbl>
      <w:tblPr>
        <w:tblStyle w:val="22"/>
        <w:tblW w:w="5169" w:type="pct"/>
        <w:jc w:val="center"/>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468"/>
        <w:gridCol w:w="1399"/>
        <w:gridCol w:w="634"/>
        <w:gridCol w:w="826"/>
        <w:gridCol w:w="577"/>
        <w:gridCol w:w="1015"/>
        <w:gridCol w:w="643"/>
        <w:gridCol w:w="599"/>
        <w:gridCol w:w="599"/>
        <w:gridCol w:w="4"/>
        <w:gridCol w:w="595"/>
        <w:gridCol w:w="4"/>
        <w:gridCol w:w="595"/>
        <w:gridCol w:w="9"/>
        <w:gridCol w:w="590"/>
        <w:gridCol w:w="9"/>
        <w:gridCol w:w="599"/>
        <w:gridCol w:w="13"/>
        <w:gridCol w:w="586"/>
        <w:gridCol w:w="13"/>
        <w:gridCol w:w="586"/>
        <w:gridCol w:w="17"/>
        <w:gridCol w:w="582"/>
        <w:gridCol w:w="17"/>
        <w:gridCol w:w="590"/>
        <w:gridCol w:w="17"/>
        <w:gridCol w:w="582"/>
        <w:gridCol w:w="17"/>
        <w:gridCol w:w="590"/>
        <w:gridCol w:w="17"/>
        <w:gridCol w:w="582"/>
        <w:gridCol w:w="17"/>
        <w:gridCol w:w="586"/>
        <w:gridCol w:w="17"/>
        <w:gridCol w:w="582"/>
        <w:gridCol w:w="17"/>
        <w:gridCol w:w="590"/>
        <w:gridCol w:w="17"/>
        <w:gridCol w:w="582"/>
        <w:gridCol w:w="17"/>
        <w:gridCol w:w="590"/>
        <w:gridCol w:w="17"/>
        <w:gridCol w:w="582"/>
        <w:gridCol w:w="17"/>
        <w:gridCol w:w="590"/>
        <w:gridCol w:w="17"/>
        <w:gridCol w:w="582"/>
        <w:gridCol w:w="17"/>
        <w:gridCol w:w="586"/>
        <w:gridCol w:w="17"/>
        <w:gridCol w:w="582"/>
        <w:gridCol w:w="17"/>
        <w:gridCol w:w="591"/>
        <w:gridCol w:w="18"/>
        <w:gridCol w:w="670"/>
        <w:gridCol w:w="18"/>
        <w:gridCol w:w="569"/>
        <w:gridCol w:w="18"/>
        <w:gridCol w:w="568"/>
      </w:tblGrid>
      <w:tr w14:paraId="65AAB53A">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7" w:type="pct"/>
            <w:vMerge w:val="restart"/>
            <w:shd w:val="clear" w:color="auto" w:fill="auto"/>
            <w:vAlign w:val="center"/>
          </w:tcPr>
          <w:p w14:paraId="75274C0A">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序号</w:t>
            </w:r>
          </w:p>
        </w:tc>
        <w:tc>
          <w:tcPr>
            <w:tcW w:w="320" w:type="pct"/>
            <w:vMerge w:val="restart"/>
            <w:shd w:val="clear" w:color="auto" w:fill="auto"/>
            <w:vAlign w:val="center"/>
          </w:tcPr>
          <w:p w14:paraId="4531C0FD">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敏感点名称</w:t>
            </w:r>
          </w:p>
        </w:tc>
        <w:tc>
          <w:tcPr>
            <w:tcW w:w="334" w:type="pct"/>
            <w:gridSpan w:val="2"/>
            <w:shd w:val="clear" w:color="auto" w:fill="auto"/>
            <w:vAlign w:val="center"/>
          </w:tcPr>
          <w:p w14:paraId="76664AF4">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位置关系</w:t>
            </w:r>
          </w:p>
        </w:tc>
        <w:tc>
          <w:tcPr>
            <w:tcW w:w="132" w:type="pct"/>
            <w:vMerge w:val="restart"/>
            <w:shd w:val="clear" w:color="auto" w:fill="auto"/>
            <w:vAlign w:val="center"/>
          </w:tcPr>
          <w:p w14:paraId="1EB69E01">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路基高</w:t>
            </w:r>
            <w:r>
              <w:rPr>
                <w:rFonts w:ascii="Times New Roman" w:hAnsi="Times New Roman" w:eastAsia="宋体" w:cs="Times New Roman"/>
                <w:b/>
                <w:spacing w:val="-20"/>
                <w:kern w:val="0"/>
                <w:szCs w:val="21"/>
              </w:rPr>
              <w:t>(m)</w:t>
            </w:r>
          </w:p>
        </w:tc>
        <w:tc>
          <w:tcPr>
            <w:tcW w:w="232" w:type="pct"/>
            <w:vMerge w:val="restart"/>
            <w:shd w:val="clear" w:color="auto" w:fill="auto"/>
            <w:vAlign w:val="center"/>
          </w:tcPr>
          <w:p w14:paraId="244FC71C">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预测点地面高</w:t>
            </w:r>
            <w:r>
              <w:rPr>
                <w:rFonts w:ascii="Times New Roman" w:hAnsi="Times New Roman" w:eastAsia="宋体" w:cs="Times New Roman"/>
                <w:b/>
                <w:spacing w:val="-20"/>
                <w:kern w:val="0"/>
                <w:szCs w:val="21"/>
              </w:rPr>
              <w:t>-</w:t>
            </w:r>
            <w:r>
              <w:rPr>
                <w:rFonts w:ascii="Times New Roman" w:hAnsi="宋体" w:eastAsia="宋体" w:cs="Times New Roman"/>
                <w:b/>
                <w:spacing w:val="-20"/>
                <w:kern w:val="0"/>
                <w:szCs w:val="21"/>
              </w:rPr>
              <w:t>路基地面高</w:t>
            </w:r>
            <w:r>
              <w:rPr>
                <w:rFonts w:ascii="Times New Roman" w:hAnsi="Times New Roman" w:eastAsia="宋体" w:cs="Times New Roman"/>
                <w:b/>
                <w:spacing w:val="-20"/>
                <w:kern w:val="0"/>
                <w:szCs w:val="21"/>
              </w:rPr>
              <w:t>(m)</w:t>
            </w:r>
          </w:p>
        </w:tc>
        <w:tc>
          <w:tcPr>
            <w:tcW w:w="147" w:type="pct"/>
            <w:vMerge w:val="restart"/>
            <w:shd w:val="clear" w:color="auto" w:fill="auto"/>
            <w:vAlign w:val="center"/>
          </w:tcPr>
          <w:p w14:paraId="6F44548E">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预测楼层</w:t>
            </w:r>
          </w:p>
        </w:tc>
        <w:tc>
          <w:tcPr>
            <w:tcW w:w="827" w:type="pct"/>
            <w:gridSpan w:val="11"/>
            <w:shd w:val="clear" w:color="auto" w:fill="auto"/>
            <w:vAlign w:val="center"/>
          </w:tcPr>
          <w:p w14:paraId="2E282B5B">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交通噪声预测值</w:t>
            </w:r>
            <w:r>
              <w:rPr>
                <w:rFonts w:ascii="Times New Roman" w:hAnsi="Times New Roman" w:eastAsia="宋体" w:cs="Times New Roman"/>
                <w:b/>
                <w:spacing w:val="-20"/>
                <w:kern w:val="0"/>
                <w:szCs w:val="21"/>
              </w:rPr>
              <w:t>(dB)</w:t>
            </w:r>
          </w:p>
        </w:tc>
        <w:tc>
          <w:tcPr>
            <w:tcW w:w="827" w:type="pct"/>
            <w:gridSpan w:val="12"/>
            <w:shd w:val="clear" w:color="auto" w:fill="auto"/>
            <w:vAlign w:val="center"/>
          </w:tcPr>
          <w:p w14:paraId="6AB46187">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环境噪声预测值</w:t>
            </w:r>
            <w:r>
              <w:rPr>
                <w:rFonts w:ascii="Times New Roman" w:hAnsi="Times New Roman" w:eastAsia="宋体" w:cs="Times New Roman"/>
                <w:b/>
                <w:spacing w:val="-20"/>
                <w:kern w:val="0"/>
                <w:szCs w:val="21"/>
              </w:rPr>
              <w:t>(dB)</w:t>
            </w:r>
          </w:p>
        </w:tc>
        <w:tc>
          <w:tcPr>
            <w:tcW w:w="827" w:type="pct"/>
            <w:gridSpan w:val="12"/>
            <w:shd w:val="clear" w:color="auto" w:fill="auto"/>
            <w:vAlign w:val="center"/>
          </w:tcPr>
          <w:p w14:paraId="1B2039FC">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超标量</w:t>
            </w:r>
            <w:r>
              <w:rPr>
                <w:rFonts w:ascii="Times New Roman" w:hAnsi="Times New Roman" w:eastAsia="宋体" w:cs="Times New Roman"/>
                <w:b/>
                <w:spacing w:val="-20"/>
                <w:kern w:val="0"/>
                <w:szCs w:val="21"/>
              </w:rPr>
              <w:t>(dB)</w:t>
            </w:r>
          </w:p>
        </w:tc>
        <w:tc>
          <w:tcPr>
            <w:tcW w:w="827" w:type="pct"/>
            <w:gridSpan w:val="12"/>
            <w:shd w:val="clear" w:color="auto" w:fill="auto"/>
            <w:vAlign w:val="center"/>
          </w:tcPr>
          <w:p w14:paraId="09A38C94">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噪声增加量</w:t>
            </w:r>
            <w:r>
              <w:rPr>
                <w:rFonts w:ascii="Times New Roman" w:hAnsi="Times New Roman" w:eastAsia="宋体" w:cs="Times New Roman"/>
                <w:b/>
                <w:spacing w:val="-20"/>
                <w:kern w:val="0"/>
                <w:szCs w:val="21"/>
              </w:rPr>
              <w:t>(dB)</w:t>
            </w:r>
          </w:p>
        </w:tc>
        <w:tc>
          <w:tcPr>
            <w:tcW w:w="157" w:type="pct"/>
            <w:gridSpan w:val="2"/>
            <w:vMerge w:val="restart"/>
            <w:shd w:val="clear" w:color="auto" w:fill="auto"/>
            <w:vAlign w:val="center"/>
          </w:tcPr>
          <w:p w14:paraId="199D9509">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评价标准</w:t>
            </w:r>
          </w:p>
        </w:tc>
        <w:tc>
          <w:tcPr>
            <w:tcW w:w="263" w:type="pct"/>
            <w:gridSpan w:val="3"/>
            <w:vMerge w:val="restart"/>
            <w:shd w:val="clear" w:color="auto" w:fill="auto"/>
            <w:vAlign w:val="center"/>
          </w:tcPr>
          <w:p w14:paraId="0292786E">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背景噪声</w:t>
            </w:r>
          </w:p>
        </w:tc>
      </w:tr>
      <w:tr w14:paraId="6EEA9E13">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7" w:type="pct"/>
            <w:vMerge w:val="continue"/>
            <w:vAlign w:val="center"/>
          </w:tcPr>
          <w:p w14:paraId="124DFA78">
            <w:pPr>
              <w:widowControl/>
              <w:jc w:val="center"/>
              <w:rPr>
                <w:rFonts w:ascii="Times New Roman" w:hAnsi="Times New Roman" w:eastAsia="宋体" w:cs="Times New Roman"/>
                <w:b/>
                <w:spacing w:val="-20"/>
                <w:kern w:val="0"/>
                <w:szCs w:val="21"/>
              </w:rPr>
            </w:pPr>
          </w:p>
        </w:tc>
        <w:tc>
          <w:tcPr>
            <w:tcW w:w="320" w:type="pct"/>
            <w:vMerge w:val="continue"/>
            <w:vAlign w:val="center"/>
          </w:tcPr>
          <w:p w14:paraId="66FD9C5A">
            <w:pPr>
              <w:widowControl/>
              <w:jc w:val="center"/>
              <w:rPr>
                <w:rFonts w:ascii="Times New Roman" w:hAnsi="Times New Roman" w:eastAsia="宋体" w:cs="Times New Roman"/>
                <w:b/>
                <w:spacing w:val="-20"/>
                <w:kern w:val="0"/>
                <w:szCs w:val="21"/>
              </w:rPr>
            </w:pPr>
          </w:p>
        </w:tc>
        <w:tc>
          <w:tcPr>
            <w:tcW w:w="145" w:type="pct"/>
            <w:vMerge w:val="restart"/>
            <w:shd w:val="clear" w:color="auto" w:fill="auto"/>
            <w:vAlign w:val="center"/>
          </w:tcPr>
          <w:p w14:paraId="64772288">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方位</w:t>
            </w:r>
          </w:p>
        </w:tc>
        <w:tc>
          <w:tcPr>
            <w:tcW w:w="189" w:type="pct"/>
            <w:vMerge w:val="restart"/>
            <w:shd w:val="clear" w:color="auto" w:fill="auto"/>
            <w:vAlign w:val="center"/>
          </w:tcPr>
          <w:p w14:paraId="4FAD470A">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距路中心</w:t>
            </w:r>
            <w:r>
              <w:rPr>
                <w:rFonts w:ascii="Times New Roman" w:hAnsi="Times New Roman" w:eastAsia="宋体" w:cs="Times New Roman"/>
                <w:b/>
                <w:spacing w:val="-20"/>
                <w:kern w:val="0"/>
                <w:szCs w:val="21"/>
              </w:rPr>
              <w:t>(m)</w:t>
            </w:r>
          </w:p>
        </w:tc>
        <w:tc>
          <w:tcPr>
            <w:tcW w:w="132" w:type="pct"/>
            <w:vMerge w:val="continue"/>
            <w:vAlign w:val="center"/>
          </w:tcPr>
          <w:p w14:paraId="5ABCC183">
            <w:pPr>
              <w:widowControl/>
              <w:jc w:val="center"/>
              <w:rPr>
                <w:rFonts w:ascii="Times New Roman" w:hAnsi="Times New Roman" w:eastAsia="宋体" w:cs="Times New Roman"/>
                <w:b/>
                <w:spacing w:val="-20"/>
                <w:kern w:val="0"/>
                <w:szCs w:val="21"/>
              </w:rPr>
            </w:pPr>
          </w:p>
        </w:tc>
        <w:tc>
          <w:tcPr>
            <w:tcW w:w="232" w:type="pct"/>
            <w:vMerge w:val="continue"/>
            <w:vAlign w:val="center"/>
          </w:tcPr>
          <w:p w14:paraId="0E015BBB">
            <w:pPr>
              <w:widowControl/>
              <w:jc w:val="center"/>
              <w:rPr>
                <w:rFonts w:ascii="Times New Roman" w:hAnsi="Times New Roman" w:eastAsia="宋体" w:cs="Times New Roman"/>
                <w:b/>
                <w:spacing w:val="-20"/>
                <w:kern w:val="0"/>
                <w:szCs w:val="21"/>
              </w:rPr>
            </w:pPr>
          </w:p>
        </w:tc>
        <w:tc>
          <w:tcPr>
            <w:tcW w:w="147" w:type="pct"/>
            <w:vMerge w:val="continue"/>
            <w:vAlign w:val="center"/>
          </w:tcPr>
          <w:p w14:paraId="001AF453">
            <w:pPr>
              <w:widowControl/>
              <w:jc w:val="center"/>
              <w:rPr>
                <w:rFonts w:ascii="Times New Roman" w:hAnsi="Times New Roman" w:eastAsia="宋体" w:cs="Times New Roman"/>
                <w:b/>
                <w:spacing w:val="-20"/>
                <w:kern w:val="0"/>
                <w:szCs w:val="21"/>
              </w:rPr>
            </w:pPr>
          </w:p>
        </w:tc>
        <w:tc>
          <w:tcPr>
            <w:tcW w:w="275" w:type="pct"/>
            <w:gridSpan w:val="3"/>
            <w:shd w:val="clear" w:color="auto" w:fill="auto"/>
            <w:vAlign w:val="center"/>
          </w:tcPr>
          <w:p w14:paraId="41258099">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近期</w:t>
            </w:r>
          </w:p>
        </w:tc>
        <w:tc>
          <w:tcPr>
            <w:tcW w:w="275" w:type="pct"/>
            <w:gridSpan w:val="4"/>
            <w:shd w:val="clear" w:color="auto" w:fill="auto"/>
            <w:vAlign w:val="center"/>
          </w:tcPr>
          <w:p w14:paraId="0116F630">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中期</w:t>
            </w:r>
          </w:p>
        </w:tc>
        <w:tc>
          <w:tcPr>
            <w:tcW w:w="277" w:type="pct"/>
            <w:gridSpan w:val="4"/>
            <w:shd w:val="clear" w:color="auto" w:fill="auto"/>
            <w:vAlign w:val="center"/>
          </w:tcPr>
          <w:p w14:paraId="4B679E23">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远期</w:t>
            </w:r>
          </w:p>
        </w:tc>
        <w:tc>
          <w:tcPr>
            <w:tcW w:w="275" w:type="pct"/>
            <w:gridSpan w:val="4"/>
            <w:shd w:val="clear" w:color="auto" w:fill="auto"/>
            <w:vAlign w:val="center"/>
          </w:tcPr>
          <w:p w14:paraId="17A14517">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近期</w:t>
            </w:r>
          </w:p>
        </w:tc>
        <w:tc>
          <w:tcPr>
            <w:tcW w:w="276" w:type="pct"/>
            <w:gridSpan w:val="4"/>
            <w:shd w:val="clear" w:color="auto" w:fill="auto"/>
            <w:vAlign w:val="center"/>
          </w:tcPr>
          <w:p w14:paraId="4DB78412">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中期</w:t>
            </w:r>
          </w:p>
        </w:tc>
        <w:tc>
          <w:tcPr>
            <w:tcW w:w="276" w:type="pct"/>
            <w:gridSpan w:val="4"/>
            <w:shd w:val="clear" w:color="auto" w:fill="auto"/>
            <w:vAlign w:val="center"/>
          </w:tcPr>
          <w:p w14:paraId="3BC11CB3">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远期</w:t>
            </w:r>
          </w:p>
        </w:tc>
        <w:tc>
          <w:tcPr>
            <w:tcW w:w="275" w:type="pct"/>
            <w:gridSpan w:val="4"/>
            <w:shd w:val="clear" w:color="auto" w:fill="auto"/>
            <w:vAlign w:val="center"/>
          </w:tcPr>
          <w:p w14:paraId="0B049423">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近期</w:t>
            </w:r>
          </w:p>
        </w:tc>
        <w:tc>
          <w:tcPr>
            <w:tcW w:w="276" w:type="pct"/>
            <w:gridSpan w:val="4"/>
            <w:shd w:val="clear" w:color="auto" w:fill="auto"/>
            <w:vAlign w:val="center"/>
          </w:tcPr>
          <w:p w14:paraId="3CD2EB96">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中期</w:t>
            </w:r>
          </w:p>
        </w:tc>
        <w:tc>
          <w:tcPr>
            <w:tcW w:w="276" w:type="pct"/>
            <w:gridSpan w:val="4"/>
            <w:shd w:val="clear" w:color="auto" w:fill="auto"/>
            <w:vAlign w:val="center"/>
          </w:tcPr>
          <w:p w14:paraId="4E9BE283">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远期</w:t>
            </w:r>
          </w:p>
        </w:tc>
        <w:tc>
          <w:tcPr>
            <w:tcW w:w="276" w:type="pct"/>
            <w:gridSpan w:val="4"/>
            <w:shd w:val="clear" w:color="auto" w:fill="auto"/>
            <w:vAlign w:val="center"/>
          </w:tcPr>
          <w:p w14:paraId="0C269626">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近期</w:t>
            </w:r>
          </w:p>
        </w:tc>
        <w:tc>
          <w:tcPr>
            <w:tcW w:w="275" w:type="pct"/>
            <w:gridSpan w:val="4"/>
            <w:shd w:val="clear" w:color="auto" w:fill="auto"/>
            <w:vAlign w:val="center"/>
          </w:tcPr>
          <w:p w14:paraId="43D05ECC">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中期</w:t>
            </w:r>
          </w:p>
        </w:tc>
        <w:tc>
          <w:tcPr>
            <w:tcW w:w="276" w:type="pct"/>
            <w:gridSpan w:val="4"/>
            <w:shd w:val="clear" w:color="auto" w:fill="auto"/>
            <w:vAlign w:val="center"/>
          </w:tcPr>
          <w:p w14:paraId="4E3D052B">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远期</w:t>
            </w:r>
          </w:p>
        </w:tc>
        <w:tc>
          <w:tcPr>
            <w:tcW w:w="157" w:type="pct"/>
            <w:gridSpan w:val="2"/>
            <w:vMerge w:val="continue"/>
            <w:vAlign w:val="center"/>
          </w:tcPr>
          <w:p w14:paraId="50815AA6">
            <w:pPr>
              <w:widowControl/>
              <w:jc w:val="center"/>
              <w:rPr>
                <w:rFonts w:ascii="Times New Roman" w:hAnsi="Times New Roman" w:eastAsia="宋体" w:cs="Times New Roman"/>
                <w:b/>
                <w:spacing w:val="-20"/>
                <w:kern w:val="0"/>
                <w:szCs w:val="21"/>
              </w:rPr>
            </w:pPr>
          </w:p>
        </w:tc>
        <w:tc>
          <w:tcPr>
            <w:tcW w:w="263" w:type="pct"/>
            <w:gridSpan w:val="3"/>
            <w:vMerge w:val="continue"/>
            <w:vAlign w:val="center"/>
          </w:tcPr>
          <w:p w14:paraId="3F063F0E">
            <w:pPr>
              <w:widowControl/>
              <w:jc w:val="center"/>
              <w:rPr>
                <w:rFonts w:ascii="Times New Roman" w:hAnsi="Times New Roman" w:eastAsia="宋体" w:cs="Times New Roman"/>
                <w:b/>
                <w:spacing w:val="-20"/>
                <w:kern w:val="0"/>
                <w:szCs w:val="21"/>
              </w:rPr>
            </w:pPr>
          </w:p>
        </w:tc>
      </w:tr>
      <w:tr w14:paraId="6F7ABEE3">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7" w:type="pct"/>
            <w:vMerge w:val="continue"/>
            <w:vAlign w:val="center"/>
          </w:tcPr>
          <w:p w14:paraId="296027D7">
            <w:pPr>
              <w:widowControl/>
              <w:jc w:val="center"/>
              <w:rPr>
                <w:rFonts w:ascii="Times New Roman" w:hAnsi="Times New Roman" w:eastAsia="宋体" w:cs="Times New Roman"/>
                <w:b/>
                <w:spacing w:val="-20"/>
                <w:kern w:val="0"/>
                <w:szCs w:val="21"/>
              </w:rPr>
            </w:pPr>
          </w:p>
        </w:tc>
        <w:tc>
          <w:tcPr>
            <w:tcW w:w="320" w:type="pct"/>
            <w:vMerge w:val="continue"/>
            <w:vAlign w:val="center"/>
          </w:tcPr>
          <w:p w14:paraId="0B338546">
            <w:pPr>
              <w:widowControl/>
              <w:jc w:val="center"/>
              <w:rPr>
                <w:rFonts w:ascii="Times New Roman" w:hAnsi="Times New Roman" w:eastAsia="宋体" w:cs="Times New Roman"/>
                <w:b/>
                <w:spacing w:val="-20"/>
                <w:kern w:val="0"/>
                <w:szCs w:val="21"/>
              </w:rPr>
            </w:pPr>
          </w:p>
        </w:tc>
        <w:tc>
          <w:tcPr>
            <w:tcW w:w="145" w:type="pct"/>
            <w:vMerge w:val="continue"/>
            <w:vAlign w:val="center"/>
          </w:tcPr>
          <w:p w14:paraId="26445115">
            <w:pPr>
              <w:widowControl/>
              <w:jc w:val="center"/>
              <w:rPr>
                <w:rFonts w:ascii="Times New Roman" w:hAnsi="Times New Roman" w:eastAsia="宋体" w:cs="Times New Roman"/>
                <w:b/>
                <w:spacing w:val="-20"/>
                <w:kern w:val="0"/>
                <w:szCs w:val="21"/>
              </w:rPr>
            </w:pPr>
          </w:p>
        </w:tc>
        <w:tc>
          <w:tcPr>
            <w:tcW w:w="189" w:type="pct"/>
            <w:vMerge w:val="continue"/>
            <w:vAlign w:val="center"/>
          </w:tcPr>
          <w:p w14:paraId="0C31FC95">
            <w:pPr>
              <w:widowControl/>
              <w:jc w:val="center"/>
              <w:rPr>
                <w:rFonts w:ascii="Times New Roman" w:hAnsi="Times New Roman" w:eastAsia="宋体" w:cs="Times New Roman"/>
                <w:b/>
                <w:spacing w:val="-20"/>
                <w:kern w:val="0"/>
                <w:szCs w:val="21"/>
              </w:rPr>
            </w:pPr>
          </w:p>
        </w:tc>
        <w:tc>
          <w:tcPr>
            <w:tcW w:w="132" w:type="pct"/>
            <w:vMerge w:val="continue"/>
            <w:vAlign w:val="center"/>
          </w:tcPr>
          <w:p w14:paraId="414C137C">
            <w:pPr>
              <w:widowControl/>
              <w:jc w:val="center"/>
              <w:rPr>
                <w:rFonts w:ascii="Times New Roman" w:hAnsi="Times New Roman" w:eastAsia="宋体" w:cs="Times New Roman"/>
                <w:b/>
                <w:spacing w:val="-20"/>
                <w:kern w:val="0"/>
                <w:szCs w:val="21"/>
              </w:rPr>
            </w:pPr>
          </w:p>
        </w:tc>
        <w:tc>
          <w:tcPr>
            <w:tcW w:w="232" w:type="pct"/>
            <w:vMerge w:val="continue"/>
            <w:vAlign w:val="center"/>
          </w:tcPr>
          <w:p w14:paraId="79528AC6">
            <w:pPr>
              <w:widowControl/>
              <w:jc w:val="center"/>
              <w:rPr>
                <w:rFonts w:ascii="Times New Roman" w:hAnsi="Times New Roman" w:eastAsia="宋体" w:cs="Times New Roman"/>
                <w:b/>
                <w:spacing w:val="-20"/>
                <w:kern w:val="0"/>
                <w:szCs w:val="21"/>
              </w:rPr>
            </w:pPr>
          </w:p>
        </w:tc>
        <w:tc>
          <w:tcPr>
            <w:tcW w:w="147" w:type="pct"/>
            <w:vMerge w:val="continue"/>
            <w:vAlign w:val="center"/>
          </w:tcPr>
          <w:p w14:paraId="77027617">
            <w:pPr>
              <w:widowControl/>
              <w:jc w:val="center"/>
              <w:rPr>
                <w:rFonts w:ascii="Times New Roman" w:hAnsi="Times New Roman" w:eastAsia="宋体" w:cs="Times New Roman"/>
                <w:b/>
                <w:spacing w:val="-20"/>
                <w:kern w:val="0"/>
                <w:szCs w:val="21"/>
              </w:rPr>
            </w:pPr>
          </w:p>
        </w:tc>
        <w:tc>
          <w:tcPr>
            <w:tcW w:w="137" w:type="pct"/>
            <w:shd w:val="clear" w:color="auto" w:fill="auto"/>
            <w:vAlign w:val="center"/>
          </w:tcPr>
          <w:p w14:paraId="5089A685">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昼间</w:t>
            </w:r>
          </w:p>
        </w:tc>
        <w:tc>
          <w:tcPr>
            <w:tcW w:w="138" w:type="pct"/>
            <w:gridSpan w:val="2"/>
            <w:shd w:val="clear" w:color="auto" w:fill="auto"/>
            <w:vAlign w:val="center"/>
          </w:tcPr>
          <w:p w14:paraId="73621DB7">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夜间</w:t>
            </w:r>
          </w:p>
        </w:tc>
        <w:tc>
          <w:tcPr>
            <w:tcW w:w="137" w:type="pct"/>
            <w:gridSpan w:val="2"/>
            <w:shd w:val="clear" w:color="auto" w:fill="auto"/>
            <w:vAlign w:val="center"/>
          </w:tcPr>
          <w:p w14:paraId="0473AFD7">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昼间</w:t>
            </w:r>
          </w:p>
        </w:tc>
        <w:tc>
          <w:tcPr>
            <w:tcW w:w="138" w:type="pct"/>
            <w:gridSpan w:val="2"/>
            <w:shd w:val="clear" w:color="auto" w:fill="auto"/>
            <w:vAlign w:val="center"/>
          </w:tcPr>
          <w:p w14:paraId="1274363C">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夜间</w:t>
            </w:r>
          </w:p>
        </w:tc>
        <w:tc>
          <w:tcPr>
            <w:tcW w:w="137" w:type="pct"/>
            <w:gridSpan w:val="2"/>
            <w:shd w:val="clear" w:color="auto" w:fill="auto"/>
            <w:vAlign w:val="center"/>
          </w:tcPr>
          <w:p w14:paraId="1E859BD7">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昼间</w:t>
            </w:r>
          </w:p>
        </w:tc>
        <w:tc>
          <w:tcPr>
            <w:tcW w:w="140" w:type="pct"/>
            <w:gridSpan w:val="2"/>
            <w:shd w:val="clear" w:color="auto" w:fill="auto"/>
            <w:vAlign w:val="center"/>
          </w:tcPr>
          <w:p w14:paraId="40B83E9B">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夜间</w:t>
            </w:r>
          </w:p>
        </w:tc>
        <w:tc>
          <w:tcPr>
            <w:tcW w:w="137" w:type="pct"/>
            <w:gridSpan w:val="2"/>
            <w:shd w:val="clear" w:color="auto" w:fill="auto"/>
            <w:vAlign w:val="center"/>
          </w:tcPr>
          <w:p w14:paraId="6CD54EB4">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昼间</w:t>
            </w:r>
          </w:p>
        </w:tc>
        <w:tc>
          <w:tcPr>
            <w:tcW w:w="138" w:type="pct"/>
            <w:gridSpan w:val="2"/>
            <w:shd w:val="clear" w:color="auto" w:fill="auto"/>
            <w:vAlign w:val="center"/>
          </w:tcPr>
          <w:p w14:paraId="4887ADDB">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夜间</w:t>
            </w:r>
          </w:p>
        </w:tc>
        <w:tc>
          <w:tcPr>
            <w:tcW w:w="137" w:type="pct"/>
            <w:gridSpan w:val="2"/>
            <w:shd w:val="clear" w:color="auto" w:fill="auto"/>
            <w:vAlign w:val="center"/>
          </w:tcPr>
          <w:p w14:paraId="1EB8E087">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昼间</w:t>
            </w:r>
          </w:p>
        </w:tc>
        <w:tc>
          <w:tcPr>
            <w:tcW w:w="139" w:type="pct"/>
            <w:gridSpan w:val="2"/>
            <w:shd w:val="clear" w:color="auto" w:fill="auto"/>
            <w:vAlign w:val="center"/>
          </w:tcPr>
          <w:p w14:paraId="710A72B5">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夜间</w:t>
            </w:r>
          </w:p>
        </w:tc>
        <w:tc>
          <w:tcPr>
            <w:tcW w:w="137" w:type="pct"/>
            <w:gridSpan w:val="2"/>
            <w:shd w:val="clear" w:color="auto" w:fill="auto"/>
            <w:vAlign w:val="center"/>
          </w:tcPr>
          <w:p w14:paraId="0F236725">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昼间</w:t>
            </w:r>
          </w:p>
        </w:tc>
        <w:tc>
          <w:tcPr>
            <w:tcW w:w="139" w:type="pct"/>
            <w:gridSpan w:val="2"/>
            <w:shd w:val="clear" w:color="auto" w:fill="auto"/>
            <w:vAlign w:val="center"/>
          </w:tcPr>
          <w:p w14:paraId="26C30E75">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夜间</w:t>
            </w:r>
          </w:p>
        </w:tc>
        <w:tc>
          <w:tcPr>
            <w:tcW w:w="137" w:type="pct"/>
            <w:gridSpan w:val="2"/>
            <w:shd w:val="clear" w:color="auto" w:fill="auto"/>
            <w:vAlign w:val="center"/>
          </w:tcPr>
          <w:p w14:paraId="2915F78A">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昼间</w:t>
            </w:r>
          </w:p>
        </w:tc>
        <w:tc>
          <w:tcPr>
            <w:tcW w:w="138" w:type="pct"/>
            <w:gridSpan w:val="2"/>
            <w:shd w:val="clear" w:color="auto" w:fill="auto"/>
            <w:vAlign w:val="center"/>
          </w:tcPr>
          <w:p w14:paraId="34694752">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夜间</w:t>
            </w:r>
          </w:p>
        </w:tc>
        <w:tc>
          <w:tcPr>
            <w:tcW w:w="137" w:type="pct"/>
            <w:gridSpan w:val="2"/>
            <w:shd w:val="clear" w:color="auto" w:fill="auto"/>
            <w:vAlign w:val="center"/>
          </w:tcPr>
          <w:p w14:paraId="3948E904">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昼间</w:t>
            </w:r>
          </w:p>
        </w:tc>
        <w:tc>
          <w:tcPr>
            <w:tcW w:w="139" w:type="pct"/>
            <w:gridSpan w:val="2"/>
            <w:shd w:val="clear" w:color="auto" w:fill="auto"/>
            <w:vAlign w:val="center"/>
          </w:tcPr>
          <w:p w14:paraId="73C71FB1">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夜间</w:t>
            </w:r>
          </w:p>
        </w:tc>
        <w:tc>
          <w:tcPr>
            <w:tcW w:w="137" w:type="pct"/>
            <w:gridSpan w:val="2"/>
            <w:shd w:val="clear" w:color="auto" w:fill="auto"/>
            <w:vAlign w:val="center"/>
          </w:tcPr>
          <w:p w14:paraId="06BF6195">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昼间</w:t>
            </w:r>
          </w:p>
        </w:tc>
        <w:tc>
          <w:tcPr>
            <w:tcW w:w="139" w:type="pct"/>
            <w:gridSpan w:val="2"/>
            <w:shd w:val="clear" w:color="auto" w:fill="auto"/>
            <w:vAlign w:val="center"/>
          </w:tcPr>
          <w:p w14:paraId="3A1FB163">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夜间</w:t>
            </w:r>
          </w:p>
        </w:tc>
        <w:tc>
          <w:tcPr>
            <w:tcW w:w="137" w:type="pct"/>
            <w:gridSpan w:val="2"/>
            <w:shd w:val="clear" w:color="auto" w:fill="auto"/>
            <w:vAlign w:val="center"/>
          </w:tcPr>
          <w:p w14:paraId="44867906">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昼间</w:t>
            </w:r>
          </w:p>
        </w:tc>
        <w:tc>
          <w:tcPr>
            <w:tcW w:w="139" w:type="pct"/>
            <w:gridSpan w:val="2"/>
            <w:shd w:val="clear" w:color="auto" w:fill="auto"/>
            <w:vAlign w:val="center"/>
          </w:tcPr>
          <w:p w14:paraId="2125D1EF">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夜间</w:t>
            </w:r>
          </w:p>
        </w:tc>
        <w:tc>
          <w:tcPr>
            <w:tcW w:w="137" w:type="pct"/>
            <w:gridSpan w:val="2"/>
            <w:shd w:val="clear" w:color="auto" w:fill="auto"/>
            <w:vAlign w:val="center"/>
          </w:tcPr>
          <w:p w14:paraId="25348932">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昼间</w:t>
            </w:r>
          </w:p>
        </w:tc>
        <w:tc>
          <w:tcPr>
            <w:tcW w:w="138" w:type="pct"/>
            <w:gridSpan w:val="2"/>
            <w:shd w:val="clear" w:color="auto" w:fill="auto"/>
            <w:vAlign w:val="center"/>
          </w:tcPr>
          <w:p w14:paraId="21C946AF">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夜间</w:t>
            </w:r>
          </w:p>
        </w:tc>
        <w:tc>
          <w:tcPr>
            <w:tcW w:w="137" w:type="pct"/>
            <w:gridSpan w:val="2"/>
            <w:shd w:val="clear" w:color="auto" w:fill="auto"/>
            <w:vAlign w:val="center"/>
          </w:tcPr>
          <w:p w14:paraId="3F4E3787">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昼间</w:t>
            </w:r>
          </w:p>
        </w:tc>
        <w:tc>
          <w:tcPr>
            <w:tcW w:w="139" w:type="pct"/>
            <w:gridSpan w:val="2"/>
            <w:shd w:val="clear" w:color="auto" w:fill="auto"/>
            <w:vAlign w:val="center"/>
          </w:tcPr>
          <w:p w14:paraId="4517770D">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夜间</w:t>
            </w:r>
          </w:p>
        </w:tc>
        <w:tc>
          <w:tcPr>
            <w:tcW w:w="157" w:type="pct"/>
            <w:gridSpan w:val="2"/>
            <w:vMerge w:val="continue"/>
            <w:vAlign w:val="center"/>
          </w:tcPr>
          <w:p w14:paraId="608854CD">
            <w:pPr>
              <w:widowControl/>
              <w:jc w:val="center"/>
              <w:rPr>
                <w:rFonts w:ascii="Times New Roman" w:hAnsi="Times New Roman" w:eastAsia="宋体" w:cs="Times New Roman"/>
                <w:b/>
                <w:spacing w:val="-20"/>
                <w:kern w:val="0"/>
                <w:szCs w:val="21"/>
              </w:rPr>
            </w:pPr>
          </w:p>
        </w:tc>
        <w:tc>
          <w:tcPr>
            <w:tcW w:w="134" w:type="pct"/>
            <w:gridSpan w:val="2"/>
            <w:shd w:val="clear" w:color="auto" w:fill="auto"/>
            <w:vAlign w:val="center"/>
          </w:tcPr>
          <w:p w14:paraId="37F7F031">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昼间</w:t>
            </w:r>
          </w:p>
        </w:tc>
        <w:tc>
          <w:tcPr>
            <w:tcW w:w="129" w:type="pct"/>
            <w:shd w:val="clear" w:color="auto" w:fill="auto"/>
            <w:vAlign w:val="center"/>
          </w:tcPr>
          <w:p w14:paraId="5E4C726F">
            <w:pPr>
              <w:widowControl/>
              <w:jc w:val="center"/>
              <w:rPr>
                <w:rFonts w:ascii="Times New Roman" w:hAnsi="Times New Roman" w:eastAsia="宋体" w:cs="Times New Roman"/>
                <w:b/>
                <w:spacing w:val="-20"/>
                <w:kern w:val="0"/>
                <w:szCs w:val="21"/>
              </w:rPr>
            </w:pPr>
            <w:r>
              <w:rPr>
                <w:rFonts w:ascii="Times New Roman" w:hAnsi="宋体" w:eastAsia="宋体" w:cs="Times New Roman"/>
                <w:b/>
                <w:spacing w:val="-20"/>
                <w:kern w:val="0"/>
                <w:szCs w:val="21"/>
              </w:rPr>
              <w:t>夜间</w:t>
            </w:r>
          </w:p>
        </w:tc>
      </w:tr>
      <w:tr w14:paraId="1DD78AEE">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7" w:type="pct"/>
            <w:vMerge w:val="restart"/>
            <w:shd w:val="clear" w:color="auto" w:fill="auto"/>
            <w:vAlign w:val="center"/>
          </w:tcPr>
          <w:p w14:paraId="620A56C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15</w:t>
            </w:r>
          </w:p>
        </w:tc>
        <w:tc>
          <w:tcPr>
            <w:tcW w:w="319" w:type="pct"/>
            <w:vMerge w:val="restart"/>
            <w:shd w:val="clear" w:color="auto" w:fill="auto"/>
            <w:vAlign w:val="center"/>
          </w:tcPr>
          <w:p w14:paraId="3AE5DC3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帕合塔买里斯村</w:t>
            </w:r>
          </w:p>
        </w:tc>
        <w:tc>
          <w:tcPr>
            <w:tcW w:w="145" w:type="pct"/>
            <w:vMerge w:val="restart"/>
            <w:shd w:val="clear" w:color="auto" w:fill="auto"/>
            <w:vAlign w:val="center"/>
          </w:tcPr>
          <w:p w14:paraId="18132E7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两侧</w:t>
            </w:r>
          </w:p>
        </w:tc>
        <w:tc>
          <w:tcPr>
            <w:tcW w:w="188" w:type="pct"/>
            <w:shd w:val="clear" w:color="auto" w:fill="auto"/>
            <w:noWrap/>
            <w:vAlign w:val="center"/>
          </w:tcPr>
          <w:p w14:paraId="709AF03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26</w:t>
            </w:r>
          </w:p>
        </w:tc>
        <w:tc>
          <w:tcPr>
            <w:tcW w:w="131" w:type="pct"/>
            <w:vMerge w:val="restart"/>
            <w:shd w:val="clear" w:color="auto" w:fill="auto"/>
            <w:vAlign w:val="center"/>
          </w:tcPr>
          <w:p w14:paraId="3C1CDF6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w:t>
            </w:r>
          </w:p>
        </w:tc>
        <w:tc>
          <w:tcPr>
            <w:tcW w:w="232" w:type="pct"/>
            <w:vMerge w:val="restart"/>
            <w:shd w:val="clear" w:color="auto" w:fill="auto"/>
            <w:vAlign w:val="center"/>
          </w:tcPr>
          <w:p w14:paraId="35429DE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0</w:t>
            </w:r>
          </w:p>
        </w:tc>
        <w:tc>
          <w:tcPr>
            <w:tcW w:w="147" w:type="pct"/>
            <w:vMerge w:val="restart"/>
            <w:shd w:val="clear" w:color="auto" w:fill="auto"/>
            <w:vAlign w:val="center"/>
          </w:tcPr>
          <w:p w14:paraId="14AB14D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1层</w:t>
            </w:r>
          </w:p>
        </w:tc>
        <w:tc>
          <w:tcPr>
            <w:tcW w:w="137" w:type="pct"/>
            <w:shd w:val="clear" w:color="auto" w:fill="auto"/>
            <w:vAlign w:val="center"/>
          </w:tcPr>
          <w:p w14:paraId="22C59EF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61.9</w:t>
            </w:r>
          </w:p>
        </w:tc>
        <w:tc>
          <w:tcPr>
            <w:tcW w:w="137" w:type="pct"/>
            <w:shd w:val="clear" w:color="auto" w:fill="auto"/>
            <w:vAlign w:val="center"/>
          </w:tcPr>
          <w:p w14:paraId="5D5F0E3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58.0</w:t>
            </w:r>
          </w:p>
        </w:tc>
        <w:tc>
          <w:tcPr>
            <w:tcW w:w="137" w:type="pct"/>
            <w:gridSpan w:val="2"/>
            <w:shd w:val="clear" w:color="auto" w:fill="auto"/>
            <w:vAlign w:val="center"/>
          </w:tcPr>
          <w:p w14:paraId="61B8517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62.7</w:t>
            </w:r>
          </w:p>
        </w:tc>
        <w:tc>
          <w:tcPr>
            <w:tcW w:w="137" w:type="pct"/>
            <w:gridSpan w:val="2"/>
            <w:shd w:val="clear" w:color="auto" w:fill="auto"/>
            <w:vAlign w:val="center"/>
          </w:tcPr>
          <w:p w14:paraId="01E69E8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58.8</w:t>
            </w:r>
          </w:p>
        </w:tc>
        <w:tc>
          <w:tcPr>
            <w:tcW w:w="137" w:type="pct"/>
            <w:gridSpan w:val="2"/>
            <w:shd w:val="clear" w:color="auto" w:fill="auto"/>
            <w:vAlign w:val="center"/>
          </w:tcPr>
          <w:p w14:paraId="621C7B2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61.6</w:t>
            </w:r>
          </w:p>
        </w:tc>
        <w:tc>
          <w:tcPr>
            <w:tcW w:w="139" w:type="pct"/>
            <w:gridSpan w:val="2"/>
            <w:shd w:val="clear" w:color="auto" w:fill="auto"/>
            <w:vAlign w:val="center"/>
          </w:tcPr>
          <w:p w14:paraId="4AB53A8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59.5</w:t>
            </w:r>
          </w:p>
        </w:tc>
        <w:tc>
          <w:tcPr>
            <w:tcW w:w="137" w:type="pct"/>
            <w:gridSpan w:val="2"/>
            <w:shd w:val="clear" w:color="auto" w:fill="auto"/>
            <w:vAlign w:val="center"/>
          </w:tcPr>
          <w:p w14:paraId="34887FB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61.9</w:t>
            </w:r>
          </w:p>
        </w:tc>
        <w:tc>
          <w:tcPr>
            <w:tcW w:w="137" w:type="pct"/>
            <w:gridSpan w:val="2"/>
            <w:shd w:val="clear" w:color="auto" w:fill="auto"/>
            <w:vAlign w:val="center"/>
          </w:tcPr>
          <w:p w14:paraId="5F2E2C9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58.0</w:t>
            </w:r>
          </w:p>
        </w:tc>
        <w:tc>
          <w:tcPr>
            <w:tcW w:w="137" w:type="pct"/>
            <w:gridSpan w:val="2"/>
            <w:shd w:val="clear" w:color="auto" w:fill="auto"/>
            <w:vAlign w:val="center"/>
          </w:tcPr>
          <w:p w14:paraId="56EBE6D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62.7</w:t>
            </w:r>
          </w:p>
        </w:tc>
        <w:tc>
          <w:tcPr>
            <w:tcW w:w="139" w:type="pct"/>
            <w:gridSpan w:val="2"/>
            <w:shd w:val="clear" w:color="auto" w:fill="auto"/>
            <w:vAlign w:val="center"/>
          </w:tcPr>
          <w:p w14:paraId="2972104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58.8</w:t>
            </w:r>
          </w:p>
        </w:tc>
        <w:tc>
          <w:tcPr>
            <w:tcW w:w="137" w:type="pct"/>
            <w:gridSpan w:val="2"/>
            <w:shd w:val="clear" w:color="auto" w:fill="auto"/>
            <w:vAlign w:val="center"/>
          </w:tcPr>
          <w:p w14:paraId="5AA8749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61.6</w:t>
            </w:r>
          </w:p>
        </w:tc>
        <w:tc>
          <w:tcPr>
            <w:tcW w:w="139" w:type="pct"/>
            <w:gridSpan w:val="2"/>
            <w:shd w:val="clear" w:color="auto" w:fill="auto"/>
            <w:vAlign w:val="center"/>
          </w:tcPr>
          <w:p w14:paraId="1458AB5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59.5</w:t>
            </w:r>
          </w:p>
        </w:tc>
        <w:tc>
          <w:tcPr>
            <w:tcW w:w="137" w:type="pct"/>
            <w:gridSpan w:val="2"/>
            <w:shd w:val="clear" w:color="auto" w:fill="auto"/>
            <w:vAlign w:val="center"/>
          </w:tcPr>
          <w:p w14:paraId="3A014AC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8" w:type="pct"/>
            <w:gridSpan w:val="2"/>
            <w:shd w:val="clear" w:color="auto" w:fill="auto"/>
            <w:vAlign w:val="center"/>
          </w:tcPr>
          <w:p w14:paraId="4EE7BF0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3.0</w:t>
            </w:r>
          </w:p>
        </w:tc>
        <w:tc>
          <w:tcPr>
            <w:tcW w:w="137" w:type="pct"/>
            <w:gridSpan w:val="2"/>
            <w:shd w:val="clear" w:color="auto" w:fill="auto"/>
            <w:vAlign w:val="center"/>
          </w:tcPr>
          <w:p w14:paraId="7933E55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gridSpan w:val="2"/>
            <w:shd w:val="clear" w:color="auto" w:fill="auto"/>
            <w:vAlign w:val="center"/>
          </w:tcPr>
          <w:p w14:paraId="6E82A1F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3.8</w:t>
            </w:r>
          </w:p>
        </w:tc>
        <w:tc>
          <w:tcPr>
            <w:tcW w:w="137" w:type="pct"/>
            <w:gridSpan w:val="2"/>
            <w:shd w:val="clear" w:color="auto" w:fill="auto"/>
            <w:vAlign w:val="center"/>
          </w:tcPr>
          <w:p w14:paraId="44DB523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gridSpan w:val="2"/>
            <w:shd w:val="clear" w:color="auto" w:fill="auto"/>
            <w:vAlign w:val="center"/>
          </w:tcPr>
          <w:p w14:paraId="60D029E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4.5</w:t>
            </w:r>
          </w:p>
        </w:tc>
        <w:tc>
          <w:tcPr>
            <w:tcW w:w="137" w:type="pct"/>
            <w:gridSpan w:val="2"/>
            <w:shd w:val="clear" w:color="auto" w:fill="auto"/>
            <w:vAlign w:val="center"/>
          </w:tcPr>
          <w:p w14:paraId="19DA9BC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17.4</w:t>
            </w:r>
          </w:p>
        </w:tc>
        <w:tc>
          <w:tcPr>
            <w:tcW w:w="139" w:type="pct"/>
            <w:gridSpan w:val="2"/>
            <w:shd w:val="clear" w:color="auto" w:fill="auto"/>
            <w:vAlign w:val="center"/>
          </w:tcPr>
          <w:p w14:paraId="08DD4C6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20.5</w:t>
            </w:r>
          </w:p>
        </w:tc>
        <w:tc>
          <w:tcPr>
            <w:tcW w:w="137" w:type="pct"/>
            <w:gridSpan w:val="2"/>
            <w:shd w:val="clear" w:color="auto" w:fill="auto"/>
            <w:vAlign w:val="center"/>
          </w:tcPr>
          <w:p w14:paraId="4FDC3B6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18.2</w:t>
            </w:r>
          </w:p>
        </w:tc>
        <w:tc>
          <w:tcPr>
            <w:tcW w:w="138" w:type="pct"/>
            <w:gridSpan w:val="2"/>
            <w:shd w:val="clear" w:color="auto" w:fill="auto"/>
            <w:vAlign w:val="center"/>
          </w:tcPr>
          <w:p w14:paraId="026E3D4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21.3</w:t>
            </w:r>
          </w:p>
        </w:tc>
        <w:tc>
          <w:tcPr>
            <w:tcW w:w="137" w:type="pct"/>
            <w:gridSpan w:val="2"/>
            <w:shd w:val="clear" w:color="auto" w:fill="auto"/>
            <w:vAlign w:val="center"/>
          </w:tcPr>
          <w:p w14:paraId="0DA2956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17.1</w:t>
            </w:r>
          </w:p>
        </w:tc>
        <w:tc>
          <w:tcPr>
            <w:tcW w:w="139" w:type="pct"/>
            <w:gridSpan w:val="2"/>
            <w:shd w:val="clear" w:color="auto" w:fill="auto"/>
            <w:vAlign w:val="center"/>
          </w:tcPr>
          <w:p w14:paraId="0E54370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22.0</w:t>
            </w:r>
          </w:p>
        </w:tc>
        <w:tc>
          <w:tcPr>
            <w:tcW w:w="157" w:type="pct"/>
            <w:gridSpan w:val="2"/>
            <w:shd w:val="clear" w:color="auto" w:fill="auto"/>
            <w:vAlign w:val="center"/>
          </w:tcPr>
          <w:p w14:paraId="729E39F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4a类</w:t>
            </w:r>
          </w:p>
        </w:tc>
        <w:tc>
          <w:tcPr>
            <w:tcW w:w="134" w:type="pct"/>
            <w:gridSpan w:val="2"/>
            <w:vMerge w:val="restart"/>
            <w:shd w:val="clear" w:color="auto" w:fill="auto"/>
            <w:vAlign w:val="center"/>
          </w:tcPr>
          <w:p w14:paraId="6324177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44.5</w:t>
            </w:r>
          </w:p>
        </w:tc>
        <w:tc>
          <w:tcPr>
            <w:tcW w:w="134" w:type="pct"/>
            <w:gridSpan w:val="2"/>
            <w:vMerge w:val="restart"/>
            <w:shd w:val="clear" w:color="auto" w:fill="auto"/>
            <w:vAlign w:val="center"/>
          </w:tcPr>
          <w:p w14:paraId="03F1924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37.5</w:t>
            </w:r>
          </w:p>
        </w:tc>
      </w:tr>
      <w:tr w14:paraId="07751886">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7" w:type="pct"/>
            <w:vMerge w:val="continue"/>
            <w:vAlign w:val="center"/>
          </w:tcPr>
          <w:p w14:paraId="64491738">
            <w:pPr>
              <w:widowControl/>
              <w:jc w:val="center"/>
              <w:rPr>
                <w:rFonts w:ascii="Times New Roman" w:hAnsi="Times New Roman" w:eastAsia="宋体" w:cs="Times New Roman"/>
                <w:kern w:val="0"/>
                <w:szCs w:val="21"/>
              </w:rPr>
            </w:pPr>
          </w:p>
        </w:tc>
        <w:tc>
          <w:tcPr>
            <w:tcW w:w="319" w:type="pct"/>
            <w:vMerge w:val="continue"/>
            <w:vAlign w:val="center"/>
          </w:tcPr>
          <w:p w14:paraId="2E16D843">
            <w:pPr>
              <w:widowControl/>
              <w:jc w:val="center"/>
              <w:rPr>
                <w:rFonts w:ascii="Times New Roman" w:hAnsi="Times New Roman" w:eastAsia="宋体" w:cs="Times New Roman"/>
                <w:kern w:val="0"/>
                <w:szCs w:val="21"/>
              </w:rPr>
            </w:pPr>
          </w:p>
        </w:tc>
        <w:tc>
          <w:tcPr>
            <w:tcW w:w="145" w:type="pct"/>
            <w:vMerge w:val="continue"/>
            <w:vAlign w:val="center"/>
          </w:tcPr>
          <w:p w14:paraId="184C8777">
            <w:pPr>
              <w:widowControl/>
              <w:jc w:val="center"/>
              <w:rPr>
                <w:rFonts w:ascii="Times New Roman" w:hAnsi="Times New Roman" w:eastAsia="宋体" w:cs="Times New Roman"/>
                <w:kern w:val="0"/>
                <w:szCs w:val="21"/>
              </w:rPr>
            </w:pPr>
          </w:p>
        </w:tc>
        <w:tc>
          <w:tcPr>
            <w:tcW w:w="188" w:type="pct"/>
            <w:shd w:val="clear" w:color="auto" w:fill="auto"/>
            <w:noWrap/>
            <w:vAlign w:val="center"/>
          </w:tcPr>
          <w:p w14:paraId="004D7B0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56</w:t>
            </w:r>
          </w:p>
        </w:tc>
        <w:tc>
          <w:tcPr>
            <w:tcW w:w="131" w:type="pct"/>
            <w:vMerge w:val="continue"/>
            <w:vAlign w:val="center"/>
          </w:tcPr>
          <w:p w14:paraId="53F48BDD">
            <w:pPr>
              <w:widowControl/>
              <w:jc w:val="center"/>
              <w:rPr>
                <w:rFonts w:ascii="Times New Roman" w:hAnsi="Times New Roman" w:eastAsia="宋体" w:cs="Times New Roman"/>
                <w:kern w:val="0"/>
                <w:szCs w:val="21"/>
              </w:rPr>
            </w:pPr>
          </w:p>
        </w:tc>
        <w:tc>
          <w:tcPr>
            <w:tcW w:w="232" w:type="pct"/>
            <w:vMerge w:val="continue"/>
            <w:vAlign w:val="center"/>
          </w:tcPr>
          <w:p w14:paraId="1DF4C632">
            <w:pPr>
              <w:widowControl/>
              <w:jc w:val="center"/>
              <w:rPr>
                <w:rFonts w:ascii="Times New Roman" w:hAnsi="Times New Roman" w:eastAsia="宋体" w:cs="Times New Roman"/>
                <w:kern w:val="0"/>
                <w:szCs w:val="21"/>
              </w:rPr>
            </w:pPr>
          </w:p>
        </w:tc>
        <w:tc>
          <w:tcPr>
            <w:tcW w:w="147" w:type="pct"/>
            <w:vMerge w:val="continue"/>
            <w:vAlign w:val="center"/>
          </w:tcPr>
          <w:p w14:paraId="7D94458C">
            <w:pPr>
              <w:widowControl/>
              <w:jc w:val="center"/>
              <w:rPr>
                <w:rFonts w:ascii="Times New Roman" w:hAnsi="Times New Roman" w:eastAsia="宋体" w:cs="Times New Roman"/>
                <w:kern w:val="0"/>
                <w:szCs w:val="21"/>
              </w:rPr>
            </w:pPr>
          </w:p>
        </w:tc>
        <w:tc>
          <w:tcPr>
            <w:tcW w:w="137" w:type="pct"/>
            <w:shd w:val="clear" w:color="auto" w:fill="auto"/>
            <w:vAlign w:val="center"/>
          </w:tcPr>
          <w:p w14:paraId="6936605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57.8</w:t>
            </w:r>
          </w:p>
        </w:tc>
        <w:tc>
          <w:tcPr>
            <w:tcW w:w="137" w:type="pct"/>
            <w:shd w:val="clear" w:color="auto" w:fill="auto"/>
            <w:vAlign w:val="center"/>
          </w:tcPr>
          <w:p w14:paraId="0C1F273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53.9</w:t>
            </w:r>
          </w:p>
        </w:tc>
        <w:tc>
          <w:tcPr>
            <w:tcW w:w="137" w:type="pct"/>
            <w:gridSpan w:val="2"/>
            <w:shd w:val="clear" w:color="auto" w:fill="auto"/>
            <w:vAlign w:val="center"/>
          </w:tcPr>
          <w:p w14:paraId="2025E2B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58.5</w:t>
            </w:r>
          </w:p>
        </w:tc>
        <w:tc>
          <w:tcPr>
            <w:tcW w:w="137" w:type="pct"/>
            <w:gridSpan w:val="2"/>
            <w:shd w:val="clear" w:color="auto" w:fill="auto"/>
            <w:vAlign w:val="center"/>
          </w:tcPr>
          <w:p w14:paraId="384F448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54.7</w:t>
            </w:r>
          </w:p>
        </w:tc>
        <w:tc>
          <w:tcPr>
            <w:tcW w:w="137" w:type="pct"/>
            <w:gridSpan w:val="2"/>
            <w:shd w:val="clear" w:color="auto" w:fill="auto"/>
            <w:vAlign w:val="center"/>
          </w:tcPr>
          <w:p w14:paraId="7160A95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57.4</w:t>
            </w:r>
          </w:p>
        </w:tc>
        <w:tc>
          <w:tcPr>
            <w:tcW w:w="139" w:type="pct"/>
            <w:gridSpan w:val="2"/>
            <w:shd w:val="clear" w:color="auto" w:fill="auto"/>
            <w:vAlign w:val="center"/>
          </w:tcPr>
          <w:p w14:paraId="281268D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55.4</w:t>
            </w:r>
          </w:p>
        </w:tc>
        <w:tc>
          <w:tcPr>
            <w:tcW w:w="137" w:type="pct"/>
            <w:gridSpan w:val="2"/>
            <w:shd w:val="clear" w:color="auto" w:fill="auto"/>
            <w:vAlign w:val="center"/>
          </w:tcPr>
          <w:p w14:paraId="4CE8C31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58.0</w:t>
            </w:r>
          </w:p>
        </w:tc>
        <w:tc>
          <w:tcPr>
            <w:tcW w:w="137" w:type="pct"/>
            <w:gridSpan w:val="2"/>
            <w:shd w:val="clear" w:color="auto" w:fill="auto"/>
            <w:vAlign w:val="center"/>
          </w:tcPr>
          <w:p w14:paraId="6DA3C7E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54.0</w:t>
            </w:r>
          </w:p>
        </w:tc>
        <w:tc>
          <w:tcPr>
            <w:tcW w:w="137" w:type="pct"/>
            <w:gridSpan w:val="2"/>
            <w:shd w:val="clear" w:color="auto" w:fill="auto"/>
            <w:vAlign w:val="center"/>
          </w:tcPr>
          <w:p w14:paraId="65CC392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58.7</w:t>
            </w:r>
          </w:p>
        </w:tc>
        <w:tc>
          <w:tcPr>
            <w:tcW w:w="139" w:type="pct"/>
            <w:gridSpan w:val="2"/>
            <w:shd w:val="clear" w:color="auto" w:fill="auto"/>
            <w:vAlign w:val="center"/>
          </w:tcPr>
          <w:p w14:paraId="0A9EC41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54.8</w:t>
            </w:r>
          </w:p>
        </w:tc>
        <w:tc>
          <w:tcPr>
            <w:tcW w:w="137" w:type="pct"/>
            <w:gridSpan w:val="2"/>
            <w:shd w:val="clear" w:color="auto" w:fill="auto"/>
            <w:vAlign w:val="center"/>
          </w:tcPr>
          <w:p w14:paraId="34AB5C7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57.7</w:t>
            </w:r>
          </w:p>
        </w:tc>
        <w:tc>
          <w:tcPr>
            <w:tcW w:w="139" w:type="pct"/>
            <w:gridSpan w:val="2"/>
            <w:shd w:val="clear" w:color="auto" w:fill="auto"/>
            <w:vAlign w:val="center"/>
          </w:tcPr>
          <w:p w14:paraId="1C75677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55.5</w:t>
            </w:r>
          </w:p>
        </w:tc>
        <w:tc>
          <w:tcPr>
            <w:tcW w:w="137" w:type="pct"/>
            <w:gridSpan w:val="2"/>
            <w:shd w:val="clear" w:color="auto" w:fill="auto"/>
            <w:vAlign w:val="center"/>
          </w:tcPr>
          <w:p w14:paraId="1D2D0B3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8" w:type="pct"/>
            <w:gridSpan w:val="2"/>
            <w:shd w:val="clear" w:color="auto" w:fill="auto"/>
            <w:vAlign w:val="center"/>
          </w:tcPr>
          <w:p w14:paraId="7407F9A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4.0</w:t>
            </w:r>
          </w:p>
        </w:tc>
        <w:tc>
          <w:tcPr>
            <w:tcW w:w="137" w:type="pct"/>
            <w:gridSpan w:val="2"/>
            <w:shd w:val="clear" w:color="auto" w:fill="auto"/>
            <w:vAlign w:val="center"/>
          </w:tcPr>
          <w:p w14:paraId="6F62E71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gridSpan w:val="2"/>
            <w:shd w:val="clear" w:color="auto" w:fill="auto"/>
            <w:vAlign w:val="center"/>
          </w:tcPr>
          <w:p w14:paraId="7E64B45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4.8</w:t>
            </w:r>
          </w:p>
        </w:tc>
        <w:tc>
          <w:tcPr>
            <w:tcW w:w="137" w:type="pct"/>
            <w:gridSpan w:val="2"/>
            <w:shd w:val="clear" w:color="auto" w:fill="auto"/>
            <w:vAlign w:val="center"/>
          </w:tcPr>
          <w:p w14:paraId="639C719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gridSpan w:val="2"/>
            <w:shd w:val="clear" w:color="auto" w:fill="auto"/>
            <w:vAlign w:val="center"/>
          </w:tcPr>
          <w:p w14:paraId="56FBDC6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5.5</w:t>
            </w:r>
          </w:p>
        </w:tc>
        <w:tc>
          <w:tcPr>
            <w:tcW w:w="137" w:type="pct"/>
            <w:gridSpan w:val="2"/>
            <w:shd w:val="clear" w:color="auto" w:fill="auto"/>
            <w:vAlign w:val="center"/>
          </w:tcPr>
          <w:p w14:paraId="0C14C4A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13.5</w:t>
            </w:r>
          </w:p>
        </w:tc>
        <w:tc>
          <w:tcPr>
            <w:tcW w:w="139" w:type="pct"/>
            <w:gridSpan w:val="2"/>
            <w:shd w:val="clear" w:color="auto" w:fill="auto"/>
            <w:vAlign w:val="center"/>
          </w:tcPr>
          <w:p w14:paraId="4870B1B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16.5</w:t>
            </w:r>
          </w:p>
        </w:tc>
        <w:tc>
          <w:tcPr>
            <w:tcW w:w="137" w:type="pct"/>
            <w:gridSpan w:val="2"/>
            <w:shd w:val="clear" w:color="auto" w:fill="auto"/>
            <w:vAlign w:val="center"/>
          </w:tcPr>
          <w:p w14:paraId="377B2B2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14.2</w:t>
            </w:r>
          </w:p>
        </w:tc>
        <w:tc>
          <w:tcPr>
            <w:tcW w:w="138" w:type="pct"/>
            <w:gridSpan w:val="2"/>
            <w:shd w:val="clear" w:color="auto" w:fill="auto"/>
            <w:vAlign w:val="center"/>
          </w:tcPr>
          <w:p w14:paraId="5758D9C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17.3</w:t>
            </w:r>
          </w:p>
        </w:tc>
        <w:tc>
          <w:tcPr>
            <w:tcW w:w="137" w:type="pct"/>
            <w:gridSpan w:val="2"/>
            <w:shd w:val="clear" w:color="auto" w:fill="auto"/>
            <w:vAlign w:val="center"/>
          </w:tcPr>
          <w:p w14:paraId="0B3BBBF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13.2</w:t>
            </w:r>
          </w:p>
        </w:tc>
        <w:tc>
          <w:tcPr>
            <w:tcW w:w="139" w:type="pct"/>
            <w:gridSpan w:val="2"/>
            <w:shd w:val="clear" w:color="auto" w:fill="auto"/>
            <w:vAlign w:val="center"/>
          </w:tcPr>
          <w:p w14:paraId="3CC60F2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18.0</w:t>
            </w:r>
          </w:p>
        </w:tc>
        <w:tc>
          <w:tcPr>
            <w:tcW w:w="157" w:type="pct"/>
            <w:gridSpan w:val="2"/>
            <w:shd w:val="clear" w:color="auto" w:fill="auto"/>
            <w:vAlign w:val="center"/>
          </w:tcPr>
          <w:p w14:paraId="25EED0F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2类</w:t>
            </w:r>
          </w:p>
        </w:tc>
        <w:tc>
          <w:tcPr>
            <w:tcW w:w="134" w:type="pct"/>
            <w:gridSpan w:val="2"/>
            <w:vMerge w:val="continue"/>
            <w:vAlign w:val="center"/>
          </w:tcPr>
          <w:p w14:paraId="67AA8C9F">
            <w:pPr>
              <w:widowControl/>
              <w:jc w:val="center"/>
              <w:rPr>
                <w:rFonts w:ascii="Times New Roman" w:hAnsi="Times New Roman" w:eastAsia="宋体" w:cs="Times New Roman"/>
                <w:kern w:val="0"/>
                <w:szCs w:val="21"/>
              </w:rPr>
            </w:pPr>
          </w:p>
        </w:tc>
        <w:tc>
          <w:tcPr>
            <w:tcW w:w="134" w:type="pct"/>
            <w:gridSpan w:val="2"/>
            <w:vMerge w:val="continue"/>
            <w:vAlign w:val="center"/>
          </w:tcPr>
          <w:p w14:paraId="63073540">
            <w:pPr>
              <w:widowControl/>
              <w:jc w:val="center"/>
              <w:rPr>
                <w:rFonts w:ascii="Times New Roman" w:hAnsi="Times New Roman" w:eastAsia="宋体" w:cs="Times New Roman"/>
                <w:kern w:val="0"/>
                <w:szCs w:val="21"/>
              </w:rPr>
            </w:pPr>
          </w:p>
        </w:tc>
      </w:tr>
      <w:tr w14:paraId="64057DB2">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7" w:type="pct"/>
            <w:vMerge w:val="restart"/>
            <w:shd w:val="clear" w:color="auto" w:fill="auto"/>
            <w:vAlign w:val="center"/>
          </w:tcPr>
          <w:p w14:paraId="0D4C163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16</w:t>
            </w:r>
          </w:p>
        </w:tc>
        <w:tc>
          <w:tcPr>
            <w:tcW w:w="319" w:type="pct"/>
            <w:vMerge w:val="restart"/>
            <w:shd w:val="clear" w:color="auto" w:fill="auto"/>
            <w:vAlign w:val="center"/>
          </w:tcPr>
          <w:p w14:paraId="0B40BD7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兰干</w:t>
            </w:r>
          </w:p>
        </w:tc>
        <w:tc>
          <w:tcPr>
            <w:tcW w:w="145" w:type="pct"/>
            <w:vMerge w:val="restart"/>
            <w:shd w:val="clear" w:color="auto" w:fill="auto"/>
            <w:vAlign w:val="center"/>
          </w:tcPr>
          <w:p w14:paraId="3EF5BCA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路右</w:t>
            </w:r>
          </w:p>
        </w:tc>
        <w:tc>
          <w:tcPr>
            <w:tcW w:w="188" w:type="pct"/>
            <w:shd w:val="clear" w:color="auto" w:fill="auto"/>
            <w:noWrap/>
            <w:vAlign w:val="center"/>
          </w:tcPr>
          <w:p w14:paraId="5C3DCD1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23</w:t>
            </w:r>
          </w:p>
        </w:tc>
        <w:tc>
          <w:tcPr>
            <w:tcW w:w="131" w:type="pct"/>
            <w:vMerge w:val="restart"/>
            <w:shd w:val="clear" w:color="auto" w:fill="auto"/>
            <w:vAlign w:val="center"/>
          </w:tcPr>
          <w:p w14:paraId="0A916D1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w:t>
            </w:r>
          </w:p>
        </w:tc>
        <w:tc>
          <w:tcPr>
            <w:tcW w:w="232" w:type="pct"/>
            <w:vMerge w:val="restart"/>
            <w:shd w:val="clear" w:color="auto" w:fill="auto"/>
            <w:vAlign w:val="center"/>
          </w:tcPr>
          <w:p w14:paraId="203DD2D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0</w:t>
            </w:r>
          </w:p>
        </w:tc>
        <w:tc>
          <w:tcPr>
            <w:tcW w:w="147" w:type="pct"/>
            <w:vMerge w:val="restart"/>
            <w:shd w:val="clear" w:color="auto" w:fill="auto"/>
            <w:vAlign w:val="center"/>
          </w:tcPr>
          <w:p w14:paraId="6288468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1层</w:t>
            </w:r>
          </w:p>
        </w:tc>
        <w:tc>
          <w:tcPr>
            <w:tcW w:w="137" w:type="pct"/>
            <w:shd w:val="clear" w:color="auto" w:fill="auto"/>
            <w:vAlign w:val="center"/>
          </w:tcPr>
          <w:p w14:paraId="2D2A66F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61.1</w:t>
            </w:r>
          </w:p>
        </w:tc>
        <w:tc>
          <w:tcPr>
            <w:tcW w:w="137" w:type="pct"/>
            <w:shd w:val="clear" w:color="auto" w:fill="auto"/>
            <w:vAlign w:val="center"/>
          </w:tcPr>
          <w:p w14:paraId="58A3305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57.2</w:t>
            </w:r>
          </w:p>
        </w:tc>
        <w:tc>
          <w:tcPr>
            <w:tcW w:w="137" w:type="pct"/>
            <w:gridSpan w:val="2"/>
            <w:shd w:val="clear" w:color="auto" w:fill="auto"/>
            <w:vAlign w:val="center"/>
          </w:tcPr>
          <w:p w14:paraId="56B15F8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61.9</w:t>
            </w:r>
          </w:p>
        </w:tc>
        <w:tc>
          <w:tcPr>
            <w:tcW w:w="137" w:type="pct"/>
            <w:gridSpan w:val="2"/>
            <w:shd w:val="clear" w:color="auto" w:fill="auto"/>
            <w:vAlign w:val="center"/>
          </w:tcPr>
          <w:p w14:paraId="71B390B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58.0</w:t>
            </w:r>
          </w:p>
        </w:tc>
        <w:tc>
          <w:tcPr>
            <w:tcW w:w="137" w:type="pct"/>
            <w:gridSpan w:val="2"/>
            <w:shd w:val="clear" w:color="auto" w:fill="auto"/>
            <w:vAlign w:val="center"/>
          </w:tcPr>
          <w:p w14:paraId="5149A13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62.6</w:t>
            </w:r>
          </w:p>
        </w:tc>
        <w:tc>
          <w:tcPr>
            <w:tcW w:w="139" w:type="pct"/>
            <w:gridSpan w:val="2"/>
            <w:shd w:val="clear" w:color="auto" w:fill="auto"/>
            <w:vAlign w:val="center"/>
          </w:tcPr>
          <w:p w14:paraId="3A8AC65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58.7</w:t>
            </w:r>
          </w:p>
        </w:tc>
        <w:tc>
          <w:tcPr>
            <w:tcW w:w="137" w:type="pct"/>
            <w:gridSpan w:val="2"/>
            <w:shd w:val="clear" w:color="auto" w:fill="auto"/>
            <w:vAlign w:val="center"/>
          </w:tcPr>
          <w:p w14:paraId="64456EC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61.2</w:t>
            </w:r>
          </w:p>
        </w:tc>
        <w:tc>
          <w:tcPr>
            <w:tcW w:w="137" w:type="pct"/>
            <w:gridSpan w:val="2"/>
            <w:shd w:val="clear" w:color="auto" w:fill="auto"/>
            <w:vAlign w:val="center"/>
          </w:tcPr>
          <w:p w14:paraId="45272ED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57.3</w:t>
            </w:r>
          </w:p>
        </w:tc>
        <w:tc>
          <w:tcPr>
            <w:tcW w:w="137" w:type="pct"/>
            <w:gridSpan w:val="2"/>
            <w:shd w:val="clear" w:color="auto" w:fill="auto"/>
            <w:vAlign w:val="center"/>
          </w:tcPr>
          <w:p w14:paraId="55D63CF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62.0</w:t>
            </w:r>
          </w:p>
        </w:tc>
        <w:tc>
          <w:tcPr>
            <w:tcW w:w="139" w:type="pct"/>
            <w:gridSpan w:val="2"/>
            <w:shd w:val="clear" w:color="auto" w:fill="auto"/>
            <w:vAlign w:val="center"/>
          </w:tcPr>
          <w:p w14:paraId="0CB114A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58.1</w:t>
            </w:r>
          </w:p>
        </w:tc>
        <w:tc>
          <w:tcPr>
            <w:tcW w:w="137" w:type="pct"/>
            <w:gridSpan w:val="2"/>
            <w:shd w:val="clear" w:color="auto" w:fill="auto"/>
            <w:vAlign w:val="center"/>
          </w:tcPr>
          <w:p w14:paraId="394D573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62.7</w:t>
            </w:r>
          </w:p>
        </w:tc>
        <w:tc>
          <w:tcPr>
            <w:tcW w:w="139" w:type="pct"/>
            <w:gridSpan w:val="2"/>
            <w:shd w:val="clear" w:color="auto" w:fill="auto"/>
            <w:vAlign w:val="center"/>
          </w:tcPr>
          <w:p w14:paraId="5BC974D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58.8</w:t>
            </w:r>
          </w:p>
        </w:tc>
        <w:tc>
          <w:tcPr>
            <w:tcW w:w="137" w:type="pct"/>
            <w:gridSpan w:val="2"/>
            <w:shd w:val="clear" w:color="auto" w:fill="auto"/>
            <w:vAlign w:val="center"/>
          </w:tcPr>
          <w:p w14:paraId="0B5EAD6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8" w:type="pct"/>
            <w:gridSpan w:val="2"/>
            <w:shd w:val="clear" w:color="auto" w:fill="auto"/>
            <w:vAlign w:val="center"/>
          </w:tcPr>
          <w:p w14:paraId="0847B80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2.3</w:t>
            </w:r>
          </w:p>
        </w:tc>
        <w:tc>
          <w:tcPr>
            <w:tcW w:w="137" w:type="pct"/>
            <w:gridSpan w:val="2"/>
            <w:shd w:val="clear" w:color="auto" w:fill="auto"/>
            <w:vAlign w:val="center"/>
          </w:tcPr>
          <w:p w14:paraId="308F8CE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gridSpan w:val="2"/>
            <w:shd w:val="clear" w:color="auto" w:fill="auto"/>
            <w:vAlign w:val="center"/>
          </w:tcPr>
          <w:p w14:paraId="4340927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3.1</w:t>
            </w:r>
          </w:p>
        </w:tc>
        <w:tc>
          <w:tcPr>
            <w:tcW w:w="137" w:type="pct"/>
            <w:gridSpan w:val="2"/>
            <w:shd w:val="clear" w:color="auto" w:fill="auto"/>
            <w:vAlign w:val="center"/>
          </w:tcPr>
          <w:p w14:paraId="46BFA6E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gridSpan w:val="2"/>
            <w:shd w:val="clear" w:color="auto" w:fill="auto"/>
            <w:vAlign w:val="center"/>
          </w:tcPr>
          <w:p w14:paraId="4139FF3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3.8</w:t>
            </w:r>
          </w:p>
        </w:tc>
        <w:tc>
          <w:tcPr>
            <w:tcW w:w="137" w:type="pct"/>
            <w:gridSpan w:val="2"/>
            <w:shd w:val="clear" w:color="auto" w:fill="auto"/>
            <w:vAlign w:val="center"/>
          </w:tcPr>
          <w:p w14:paraId="229D573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17.2</w:t>
            </w:r>
          </w:p>
        </w:tc>
        <w:tc>
          <w:tcPr>
            <w:tcW w:w="139" w:type="pct"/>
            <w:gridSpan w:val="2"/>
            <w:shd w:val="clear" w:color="auto" w:fill="auto"/>
            <w:vAlign w:val="center"/>
          </w:tcPr>
          <w:p w14:paraId="653D040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20.8</w:t>
            </w:r>
          </w:p>
        </w:tc>
        <w:tc>
          <w:tcPr>
            <w:tcW w:w="137" w:type="pct"/>
            <w:gridSpan w:val="2"/>
            <w:shd w:val="clear" w:color="auto" w:fill="auto"/>
            <w:vAlign w:val="center"/>
          </w:tcPr>
          <w:p w14:paraId="28939E2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18.0</w:t>
            </w:r>
          </w:p>
        </w:tc>
        <w:tc>
          <w:tcPr>
            <w:tcW w:w="138" w:type="pct"/>
            <w:gridSpan w:val="2"/>
            <w:shd w:val="clear" w:color="auto" w:fill="auto"/>
            <w:vAlign w:val="center"/>
          </w:tcPr>
          <w:p w14:paraId="29F3960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21.6</w:t>
            </w:r>
          </w:p>
        </w:tc>
        <w:tc>
          <w:tcPr>
            <w:tcW w:w="137" w:type="pct"/>
            <w:gridSpan w:val="2"/>
            <w:shd w:val="clear" w:color="auto" w:fill="auto"/>
            <w:vAlign w:val="center"/>
          </w:tcPr>
          <w:p w14:paraId="01FEE91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18.7</w:t>
            </w:r>
          </w:p>
        </w:tc>
        <w:tc>
          <w:tcPr>
            <w:tcW w:w="139" w:type="pct"/>
            <w:gridSpan w:val="2"/>
            <w:shd w:val="clear" w:color="auto" w:fill="auto"/>
            <w:vAlign w:val="center"/>
          </w:tcPr>
          <w:p w14:paraId="5996F1B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22.3</w:t>
            </w:r>
          </w:p>
        </w:tc>
        <w:tc>
          <w:tcPr>
            <w:tcW w:w="157" w:type="pct"/>
            <w:gridSpan w:val="2"/>
            <w:shd w:val="clear" w:color="auto" w:fill="auto"/>
            <w:vAlign w:val="center"/>
          </w:tcPr>
          <w:p w14:paraId="6C6FF0A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4a类</w:t>
            </w:r>
          </w:p>
        </w:tc>
        <w:tc>
          <w:tcPr>
            <w:tcW w:w="134" w:type="pct"/>
            <w:gridSpan w:val="2"/>
            <w:vMerge w:val="restart"/>
            <w:shd w:val="clear" w:color="auto" w:fill="auto"/>
            <w:vAlign w:val="center"/>
          </w:tcPr>
          <w:p w14:paraId="0037D25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44.0</w:t>
            </w:r>
          </w:p>
        </w:tc>
        <w:tc>
          <w:tcPr>
            <w:tcW w:w="134" w:type="pct"/>
            <w:gridSpan w:val="2"/>
            <w:vMerge w:val="restart"/>
            <w:shd w:val="clear" w:color="auto" w:fill="auto"/>
            <w:vAlign w:val="center"/>
          </w:tcPr>
          <w:p w14:paraId="455FBAF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36.5</w:t>
            </w:r>
          </w:p>
        </w:tc>
      </w:tr>
      <w:tr w14:paraId="7BDF780B">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7" w:type="pct"/>
            <w:vMerge w:val="continue"/>
            <w:vAlign w:val="center"/>
          </w:tcPr>
          <w:p w14:paraId="5FB5DD9C">
            <w:pPr>
              <w:widowControl/>
              <w:jc w:val="center"/>
              <w:rPr>
                <w:rFonts w:ascii="Times New Roman" w:hAnsi="Times New Roman" w:eastAsia="宋体" w:cs="Times New Roman"/>
                <w:kern w:val="0"/>
                <w:szCs w:val="21"/>
              </w:rPr>
            </w:pPr>
          </w:p>
        </w:tc>
        <w:tc>
          <w:tcPr>
            <w:tcW w:w="319" w:type="pct"/>
            <w:vMerge w:val="continue"/>
            <w:vAlign w:val="center"/>
          </w:tcPr>
          <w:p w14:paraId="2A7745C4">
            <w:pPr>
              <w:widowControl/>
              <w:jc w:val="center"/>
              <w:rPr>
                <w:rFonts w:ascii="Times New Roman" w:hAnsi="Times New Roman" w:eastAsia="宋体" w:cs="Times New Roman"/>
                <w:kern w:val="0"/>
                <w:szCs w:val="21"/>
              </w:rPr>
            </w:pPr>
          </w:p>
        </w:tc>
        <w:tc>
          <w:tcPr>
            <w:tcW w:w="145" w:type="pct"/>
            <w:vMerge w:val="continue"/>
            <w:vAlign w:val="center"/>
          </w:tcPr>
          <w:p w14:paraId="7AF9B033">
            <w:pPr>
              <w:widowControl/>
              <w:jc w:val="center"/>
              <w:rPr>
                <w:rFonts w:ascii="Times New Roman" w:hAnsi="Times New Roman" w:eastAsia="宋体" w:cs="Times New Roman"/>
                <w:kern w:val="0"/>
                <w:szCs w:val="21"/>
              </w:rPr>
            </w:pPr>
          </w:p>
        </w:tc>
        <w:tc>
          <w:tcPr>
            <w:tcW w:w="188" w:type="pct"/>
            <w:shd w:val="clear" w:color="auto" w:fill="auto"/>
            <w:noWrap/>
            <w:vAlign w:val="center"/>
          </w:tcPr>
          <w:p w14:paraId="7302BFE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55</w:t>
            </w:r>
          </w:p>
        </w:tc>
        <w:tc>
          <w:tcPr>
            <w:tcW w:w="131" w:type="pct"/>
            <w:vMerge w:val="continue"/>
            <w:vAlign w:val="center"/>
          </w:tcPr>
          <w:p w14:paraId="63D061CF">
            <w:pPr>
              <w:widowControl/>
              <w:jc w:val="center"/>
              <w:rPr>
                <w:rFonts w:ascii="Times New Roman" w:hAnsi="Times New Roman" w:eastAsia="宋体" w:cs="Times New Roman"/>
                <w:kern w:val="0"/>
                <w:szCs w:val="21"/>
              </w:rPr>
            </w:pPr>
          </w:p>
        </w:tc>
        <w:tc>
          <w:tcPr>
            <w:tcW w:w="232" w:type="pct"/>
            <w:vMerge w:val="continue"/>
            <w:vAlign w:val="center"/>
          </w:tcPr>
          <w:p w14:paraId="4E6E9444">
            <w:pPr>
              <w:widowControl/>
              <w:jc w:val="center"/>
              <w:rPr>
                <w:rFonts w:ascii="Times New Roman" w:hAnsi="Times New Roman" w:eastAsia="宋体" w:cs="Times New Roman"/>
                <w:kern w:val="0"/>
                <w:szCs w:val="21"/>
              </w:rPr>
            </w:pPr>
          </w:p>
        </w:tc>
        <w:tc>
          <w:tcPr>
            <w:tcW w:w="147" w:type="pct"/>
            <w:vMerge w:val="continue"/>
            <w:vAlign w:val="center"/>
          </w:tcPr>
          <w:p w14:paraId="207BE3AD">
            <w:pPr>
              <w:widowControl/>
              <w:jc w:val="center"/>
              <w:rPr>
                <w:rFonts w:ascii="Times New Roman" w:hAnsi="Times New Roman" w:eastAsia="宋体" w:cs="Times New Roman"/>
                <w:kern w:val="0"/>
                <w:szCs w:val="21"/>
              </w:rPr>
            </w:pPr>
          </w:p>
        </w:tc>
        <w:tc>
          <w:tcPr>
            <w:tcW w:w="137" w:type="pct"/>
            <w:shd w:val="clear" w:color="auto" w:fill="auto"/>
            <w:vAlign w:val="center"/>
          </w:tcPr>
          <w:p w14:paraId="457D5E8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56.4</w:t>
            </w:r>
          </w:p>
        </w:tc>
        <w:tc>
          <w:tcPr>
            <w:tcW w:w="137" w:type="pct"/>
            <w:shd w:val="clear" w:color="auto" w:fill="auto"/>
            <w:vAlign w:val="center"/>
          </w:tcPr>
          <w:p w14:paraId="0C9B87D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52.6</w:t>
            </w:r>
          </w:p>
        </w:tc>
        <w:tc>
          <w:tcPr>
            <w:tcW w:w="137" w:type="pct"/>
            <w:gridSpan w:val="2"/>
            <w:shd w:val="clear" w:color="auto" w:fill="auto"/>
            <w:vAlign w:val="center"/>
          </w:tcPr>
          <w:p w14:paraId="015DEB5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57.2</w:t>
            </w:r>
          </w:p>
        </w:tc>
        <w:tc>
          <w:tcPr>
            <w:tcW w:w="137" w:type="pct"/>
            <w:gridSpan w:val="2"/>
            <w:shd w:val="clear" w:color="auto" w:fill="auto"/>
            <w:vAlign w:val="center"/>
          </w:tcPr>
          <w:p w14:paraId="60C097D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53.4</w:t>
            </w:r>
          </w:p>
        </w:tc>
        <w:tc>
          <w:tcPr>
            <w:tcW w:w="137" w:type="pct"/>
            <w:gridSpan w:val="2"/>
            <w:shd w:val="clear" w:color="auto" w:fill="auto"/>
            <w:vAlign w:val="center"/>
          </w:tcPr>
          <w:p w14:paraId="64541C8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57.9</w:t>
            </w:r>
          </w:p>
        </w:tc>
        <w:tc>
          <w:tcPr>
            <w:tcW w:w="139" w:type="pct"/>
            <w:gridSpan w:val="2"/>
            <w:shd w:val="clear" w:color="auto" w:fill="auto"/>
            <w:vAlign w:val="center"/>
          </w:tcPr>
          <w:p w14:paraId="2AB32F9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54.1</w:t>
            </w:r>
          </w:p>
        </w:tc>
        <w:tc>
          <w:tcPr>
            <w:tcW w:w="137" w:type="pct"/>
            <w:gridSpan w:val="2"/>
            <w:shd w:val="clear" w:color="auto" w:fill="auto"/>
            <w:vAlign w:val="center"/>
          </w:tcPr>
          <w:p w14:paraId="6FC8816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56.7</w:t>
            </w:r>
          </w:p>
        </w:tc>
        <w:tc>
          <w:tcPr>
            <w:tcW w:w="137" w:type="pct"/>
            <w:gridSpan w:val="2"/>
            <w:shd w:val="clear" w:color="auto" w:fill="auto"/>
            <w:vAlign w:val="center"/>
          </w:tcPr>
          <w:p w14:paraId="2F175DE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52.7</w:t>
            </w:r>
          </w:p>
        </w:tc>
        <w:tc>
          <w:tcPr>
            <w:tcW w:w="137" w:type="pct"/>
            <w:gridSpan w:val="2"/>
            <w:shd w:val="clear" w:color="auto" w:fill="auto"/>
            <w:vAlign w:val="center"/>
          </w:tcPr>
          <w:p w14:paraId="008522F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57.4</w:t>
            </w:r>
          </w:p>
        </w:tc>
        <w:tc>
          <w:tcPr>
            <w:tcW w:w="139" w:type="pct"/>
            <w:gridSpan w:val="2"/>
            <w:shd w:val="clear" w:color="auto" w:fill="auto"/>
            <w:vAlign w:val="center"/>
          </w:tcPr>
          <w:p w14:paraId="49CAD7B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53.4</w:t>
            </w:r>
          </w:p>
        </w:tc>
        <w:tc>
          <w:tcPr>
            <w:tcW w:w="137" w:type="pct"/>
            <w:gridSpan w:val="2"/>
            <w:shd w:val="clear" w:color="auto" w:fill="auto"/>
            <w:vAlign w:val="center"/>
          </w:tcPr>
          <w:p w14:paraId="04F7A82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58.1</w:t>
            </w:r>
          </w:p>
        </w:tc>
        <w:tc>
          <w:tcPr>
            <w:tcW w:w="139" w:type="pct"/>
            <w:gridSpan w:val="2"/>
            <w:shd w:val="clear" w:color="auto" w:fill="auto"/>
            <w:vAlign w:val="center"/>
          </w:tcPr>
          <w:p w14:paraId="461AC8F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54.1</w:t>
            </w:r>
          </w:p>
        </w:tc>
        <w:tc>
          <w:tcPr>
            <w:tcW w:w="137" w:type="pct"/>
            <w:gridSpan w:val="2"/>
            <w:shd w:val="clear" w:color="auto" w:fill="auto"/>
            <w:vAlign w:val="center"/>
          </w:tcPr>
          <w:p w14:paraId="71F63B8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8" w:type="pct"/>
            <w:gridSpan w:val="2"/>
            <w:shd w:val="clear" w:color="auto" w:fill="auto"/>
            <w:vAlign w:val="center"/>
          </w:tcPr>
          <w:p w14:paraId="7AB13EC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2.7</w:t>
            </w:r>
          </w:p>
        </w:tc>
        <w:tc>
          <w:tcPr>
            <w:tcW w:w="137" w:type="pct"/>
            <w:gridSpan w:val="2"/>
            <w:shd w:val="clear" w:color="auto" w:fill="auto"/>
            <w:vAlign w:val="center"/>
          </w:tcPr>
          <w:p w14:paraId="3134380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gridSpan w:val="2"/>
            <w:shd w:val="clear" w:color="auto" w:fill="auto"/>
            <w:vAlign w:val="center"/>
          </w:tcPr>
          <w:p w14:paraId="1606A4F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3.4</w:t>
            </w:r>
          </w:p>
        </w:tc>
        <w:tc>
          <w:tcPr>
            <w:tcW w:w="137" w:type="pct"/>
            <w:gridSpan w:val="2"/>
            <w:shd w:val="clear" w:color="auto" w:fill="auto"/>
            <w:vAlign w:val="center"/>
          </w:tcPr>
          <w:p w14:paraId="344461E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gridSpan w:val="2"/>
            <w:shd w:val="clear" w:color="auto" w:fill="auto"/>
            <w:vAlign w:val="center"/>
          </w:tcPr>
          <w:p w14:paraId="12BC10E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4.1</w:t>
            </w:r>
          </w:p>
        </w:tc>
        <w:tc>
          <w:tcPr>
            <w:tcW w:w="137" w:type="pct"/>
            <w:gridSpan w:val="2"/>
            <w:shd w:val="clear" w:color="auto" w:fill="auto"/>
            <w:vAlign w:val="center"/>
          </w:tcPr>
          <w:p w14:paraId="1DE743F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12.7</w:t>
            </w:r>
          </w:p>
        </w:tc>
        <w:tc>
          <w:tcPr>
            <w:tcW w:w="139" w:type="pct"/>
            <w:gridSpan w:val="2"/>
            <w:shd w:val="clear" w:color="auto" w:fill="auto"/>
            <w:vAlign w:val="center"/>
          </w:tcPr>
          <w:p w14:paraId="49B728B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16.2</w:t>
            </w:r>
          </w:p>
        </w:tc>
        <w:tc>
          <w:tcPr>
            <w:tcW w:w="137" w:type="pct"/>
            <w:gridSpan w:val="2"/>
            <w:shd w:val="clear" w:color="auto" w:fill="auto"/>
            <w:vAlign w:val="center"/>
          </w:tcPr>
          <w:p w14:paraId="2AB3B39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13.4</w:t>
            </w:r>
          </w:p>
        </w:tc>
        <w:tc>
          <w:tcPr>
            <w:tcW w:w="138" w:type="pct"/>
            <w:gridSpan w:val="2"/>
            <w:shd w:val="clear" w:color="auto" w:fill="auto"/>
            <w:vAlign w:val="center"/>
          </w:tcPr>
          <w:p w14:paraId="59D7589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16.9</w:t>
            </w:r>
          </w:p>
        </w:tc>
        <w:tc>
          <w:tcPr>
            <w:tcW w:w="137" w:type="pct"/>
            <w:gridSpan w:val="2"/>
            <w:shd w:val="clear" w:color="auto" w:fill="auto"/>
            <w:vAlign w:val="center"/>
          </w:tcPr>
          <w:p w14:paraId="6BFB446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14.1</w:t>
            </w:r>
          </w:p>
        </w:tc>
        <w:tc>
          <w:tcPr>
            <w:tcW w:w="139" w:type="pct"/>
            <w:gridSpan w:val="2"/>
            <w:shd w:val="clear" w:color="auto" w:fill="auto"/>
            <w:vAlign w:val="center"/>
          </w:tcPr>
          <w:p w14:paraId="43BFE9A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17.6</w:t>
            </w:r>
          </w:p>
        </w:tc>
        <w:tc>
          <w:tcPr>
            <w:tcW w:w="157" w:type="pct"/>
            <w:gridSpan w:val="2"/>
            <w:shd w:val="clear" w:color="auto" w:fill="auto"/>
            <w:vAlign w:val="center"/>
          </w:tcPr>
          <w:p w14:paraId="50232D9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2类</w:t>
            </w:r>
          </w:p>
        </w:tc>
        <w:tc>
          <w:tcPr>
            <w:tcW w:w="134" w:type="pct"/>
            <w:gridSpan w:val="2"/>
            <w:vMerge w:val="continue"/>
            <w:vAlign w:val="center"/>
          </w:tcPr>
          <w:p w14:paraId="515DD4F4">
            <w:pPr>
              <w:widowControl/>
              <w:jc w:val="center"/>
              <w:rPr>
                <w:rFonts w:ascii="Times New Roman" w:hAnsi="Times New Roman" w:eastAsia="宋体" w:cs="Times New Roman"/>
                <w:kern w:val="0"/>
                <w:szCs w:val="21"/>
              </w:rPr>
            </w:pPr>
          </w:p>
        </w:tc>
        <w:tc>
          <w:tcPr>
            <w:tcW w:w="134" w:type="pct"/>
            <w:gridSpan w:val="2"/>
            <w:vMerge w:val="continue"/>
            <w:vAlign w:val="center"/>
          </w:tcPr>
          <w:p w14:paraId="0AB537FC">
            <w:pPr>
              <w:widowControl/>
              <w:jc w:val="center"/>
              <w:rPr>
                <w:rFonts w:ascii="Times New Roman" w:hAnsi="Times New Roman" w:eastAsia="宋体" w:cs="Times New Roman"/>
                <w:kern w:val="0"/>
                <w:szCs w:val="21"/>
              </w:rPr>
            </w:pPr>
          </w:p>
        </w:tc>
      </w:tr>
      <w:tr w14:paraId="0B9E6B0F">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7" w:type="pct"/>
            <w:vMerge w:val="restart"/>
            <w:shd w:val="clear" w:color="auto" w:fill="auto"/>
            <w:vAlign w:val="center"/>
          </w:tcPr>
          <w:p w14:paraId="30E585C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17</w:t>
            </w:r>
          </w:p>
        </w:tc>
        <w:tc>
          <w:tcPr>
            <w:tcW w:w="319" w:type="pct"/>
            <w:vMerge w:val="restart"/>
            <w:shd w:val="clear" w:color="auto" w:fill="auto"/>
            <w:vAlign w:val="center"/>
          </w:tcPr>
          <w:p w14:paraId="787EDE9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伽师县中等职业技术学校</w:t>
            </w:r>
          </w:p>
        </w:tc>
        <w:tc>
          <w:tcPr>
            <w:tcW w:w="145" w:type="pct"/>
            <w:vMerge w:val="restart"/>
            <w:shd w:val="clear" w:color="auto" w:fill="auto"/>
            <w:vAlign w:val="center"/>
          </w:tcPr>
          <w:p w14:paraId="00084D0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路左</w:t>
            </w:r>
          </w:p>
        </w:tc>
        <w:tc>
          <w:tcPr>
            <w:tcW w:w="188" w:type="pct"/>
            <w:vMerge w:val="restart"/>
            <w:shd w:val="clear" w:color="auto" w:fill="auto"/>
            <w:noWrap/>
            <w:vAlign w:val="center"/>
          </w:tcPr>
          <w:p w14:paraId="00889E7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61</w:t>
            </w:r>
          </w:p>
        </w:tc>
        <w:tc>
          <w:tcPr>
            <w:tcW w:w="131" w:type="pct"/>
            <w:vMerge w:val="restart"/>
            <w:shd w:val="clear" w:color="auto" w:fill="auto"/>
            <w:vAlign w:val="center"/>
          </w:tcPr>
          <w:p w14:paraId="6E538EE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w:t>
            </w:r>
          </w:p>
        </w:tc>
        <w:tc>
          <w:tcPr>
            <w:tcW w:w="232" w:type="pct"/>
            <w:vMerge w:val="restart"/>
            <w:shd w:val="clear" w:color="auto" w:fill="auto"/>
            <w:vAlign w:val="center"/>
          </w:tcPr>
          <w:p w14:paraId="6D9C8DF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0</w:t>
            </w:r>
          </w:p>
        </w:tc>
        <w:tc>
          <w:tcPr>
            <w:tcW w:w="147" w:type="pct"/>
            <w:shd w:val="clear" w:color="auto" w:fill="auto"/>
            <w:vAlign w:val="center"/>
          </w:tcPr>
          <w:p w14:paraId="69A0441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2层</w:t>
            </w:r>
          </w:p>
        </w:tc>
        <w:tc>
          <w:tcPr>
            <w:tcW w:w="137" w:type="pct"/>
            <w:shd w:val="clear" w:color="auto" w:fill="auto"/>
            <w:vAlign w:val="center"/>
          </w:tcPr>
          <w:p w14:paraId="44B93F1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60.5</w:t>
            </w:r>
          </w:p>
        </w:tc>
        <w:tc>
          <w:tcPr>
            <w:tcW w:w="137" w:type="pct"/>
            <w:shd w:val="clear" w:color="auto" w:fill="auto"/>
            <w:vAlign w:val="center"/>
          </w:tcPr>
          <w:p w14:paraId="47D8DFA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56.7</w:t>
            </w:r>
          </w:p>
        </w:tc>
        <w:tc>
          <w:tcPr>
            <w:tcW w:w="137" w:type="pct"/>
            <w:gridSpan w:val="2"/>
            <w:shd w:val="clear" w:color="auto" w:fill="auto"/>
            <w:vAlign w:val="center"/>
          </w:tcPr>
          <w:p w14:paraId="7539B78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61.3</w:t>
            </w:r>
          </w:p>
        </w:tc>
        <w:tc>
          <w:tcPr>
            <w:tcW w:w="137" w:type="pct"/>
            <w:gridSpan w:val="2"/>
            <w:shd w:val="clear" w:color="auto" w:fill="auto"/>
            <w:vAlign w:val="center"/>
          </w:tcPr>
          <w:p w14:paraId="7C4964F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57.4</w:t>
            </w:r>
          </w:p>
        </w:tc>
        <w:tc>
          <w:tcPr>
            <w:tcW w:w="137" w:type="pct"/>
            <w:gridSpan w:val="2"/>
            <w:shd w:val="clear" w:color="auto" w:fill="auto"/>
            <w:vAlign w:val="center"/>
          </w:tcPr>
          <w:p w14:paraId="3405648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62.0</w:t>
            </w:r>
          </w:p>
        </w:tc>
        <w:tc>
          <w:tcPr>
            <w:tcW w:w="139" w:type="pct"/>
            <w:gridSpan w:val="2"/>
            <w:shd w:val="clear" w:color="auto" w:fill="auto"/>
            <w:vAlign w:val="center"/>
          </w:tcPr>
          <w:p w14:paraId="21F4B65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58.2</w:t>
            </w:r>
          </w:p>
        </w:tc>
        <w:tc>
          <w:tcPr>
            <w:tcW w:w="137" w:type="pct"/>
            <w:gridSpan w:val="2"/>
            <w:shd w:val="clear" w:color="auto" w:fill="auto"/>
            <w:vAlign w:val="center"/>
          </w:tcPr>
          <w:p w14:paraId="695514A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60.6</w:t>
            </w:r>
          </w:p>
        </w:tc>
        <w:tc>
          <w:tcPr>
            <w:tcW w:w="137" w:type="pct"/>
            <w:gridSpan w:val="2"/>
            <w:shd w:val="clear" w:color="auto" w:fill="auto"/>
            <w:vAlign w:val="center"/>
          </w:tcPr>
          <w:p w14:paraId="0B7182A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56.7</w:t>
            </w:r>
          </w:p>
        </w:tc>
        <w:tc>
          <w:tcPr>
            <w:tcW w:w="137" w:type="pct"/>
            <w:gridSpan w:val="2"/>
            <w:shd w:val="clear" w:color="auto" w:fill="auto"/>
            <w:vAlign w:val="center"/>
          </w:tcPr>
          <w:p w14:paraId="44B4A28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61.4</w:t>
            </w:r>
          </w:p>
        </w:tc>
        <w:tc>
          <w:tcPr>
            <w:tcW w:w="139" w:type="pct"/>
            <w:gridSpan w:val="2"/>
            <w:shd w:val="clear" w:color="auto" w:fill="auto"/>
            <w:vAlign w:val="center"/>
          </w:tcPr>
          <w:p w14:paraId="6660715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57.5</w:t>
            </w:r>
          </w:p>
        </w:tc>
        <w:tc>
          <w:tcPr>
            <w:tcW w:w="137" w:type="pct"/>
            <w:gridSpan w:val="2"/>
            <w:shd w:val="clear" w:color="auto" w:fill="auto"/>
            <w:vAlign w:val="center"/>
          </w:tcPr>
          <w:p w14:paraId="16BB0E4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62.1</w:t>
            </w:r>
          </w:p>
        </w:tc>
        <w:tc>
          <w:tcPr>
            <w:tcW w:w="139" w:type="pct"/>
            <w:gridSpan w:val="2"/>
            <w:shd w:val="clear" w:color="auto" w:fill="auto"/>
            <w:vAlign w:val="center"/>
          </w:tcPr>
          <w:p w14:paraId="4822BA4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58.2</w:t>
            </w:r>
          </w:p>
        </w:tc>
        <w:tc>
          <w:tcPr>
            <w:tcW w:w="137" w:type="pct"/>
            <w:gridSpan w:val="2"/>
            <w:shd w:val="clear" w:color="auto" w:fill="auto"/>
            <w:vAlign w:val="center"/>
          </w:tcPr>
          <w:p w14:paraId="280B451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0.6</w:t>
            </w:r>
          </w:p>
        </w:tc>
        <w:tc>
          <w:tcPr>
            <w:tcW w:w="138" w:type="pct"/>
            <w:gridSpan w:val="2"/>
            <w:shd w:val="clear" w:color="auto" w:fill="auto"/>
            <w:vAlign w:val="center"/>
          </w:tcPr>
          <w:p w14:paraId="7FEBD1F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7" w:type="pct"/>
            <w:gridSpan w:val="2"/>
            <w:shd w:val="clear" w:color="auto" w:fill="auto"/>
            <w:vAlign w:val="center"/>
          </w:tcPr>
          <w:p w14:paraId="5C180F4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1.4</w:t>
            </w:r>
          </w:p>
        </w:tc>
        <w:tc>
          <w:tcPr>
            <w:tcW w:w="139" w:type="pct"/>
            <w:gridSpan w:val="2"/>
            <w:shd w:val="clear" w:color="auto" w:fill="auto"/>
            <w:vAlign w:val="center"/>
          </w:tcPr>
          <w:p w14:paraId="5DB55FB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7" w:type="pct"/>
            <w:gridSpan w:val="2"/>
            <w:shd w:val="clear" w:color="auto" w:fill="auto"/>
            <w:vAlign w:val="center"/>
          </w:tcPr>
          <w:p w14:paraId="6A0E063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2.1</w:t>
            </w:r>
          </w:p>
        </w:tc>
        <w:tc>
          <w:tcPr>
            <w:tcW w:w="139" w:type="pct"/>
            <w:gridSpan w:val="2"/>
            <w:shd w:val="clear" w:color="auto" w:fill="auto"/>
            <w:vAlign w:val="center"/>
          </w:tcPr>
          <w:p w14:paraId="71F27CB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7" w:type="pct"/>
            <w:gridSpan w:val="2"/>
            <w:shd w:val="clear" w:color="auto" w:fill="auto"/>
            <w:vAlign w:val="center"/>
          </w:tcPr>
          <w:p w14:paraId="481047C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16.6</w:t>
            </w:r>
          </w:p>
        </w:tc>
        <w:tc>
          <w:tcPr>
            <w:tcW w:w="139" w:type="pct"/>
            <w:gridSpan w:val="2"/>
            <w:shd w:val="clear" w:color="auto" w:fill="auto"/>
            <w:vAlign w:val="center"/>
          </w:tcPr>
          <w:p w14:paraId="0C6474C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20.2</w:t>
            </w:r>
          </w:p>
        </w:tc>
        <w:tc>
          <w:tcPr>
            <w:tcW w:w="137" w:type="pct"/>
            <w:gridSpan w:val="2"/>
            <w:shd w:val="clear" w:color="auto" w:fill="auto"/>
            <w:vAlign w:val="center"/>
          </w:tcPr>
          <w:p w14:paraId="1A31C1F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17.4</w:t>
            </w:r>
          </w:p>
        </w:tc>
        <w:tc>
          <w:tcPr>
            <w:tcW w:w="138" w:type="pct"/>
            <w:gridSpan w:val="2"/>
            <w:shd w:val="clear" w:color="auto" w:fill="auto"/>
            <w:vAlign w:val="center"/>
          </w:tcPr>
          <w:p w14:paraId="04C4976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21.0</w:t>
            </w:r>
          </w:p>
        </w:tc>
        <w:tc>
          <w:tcPr>
            <w:tcW w:w="137" w:type="pct"/>
            <w:gridSpan w:val="2"/>
            <w:shd w:val="clear" w:color="auto" w:fill="auto"/>
            <w:vAlign w:val="center"/>
          </w:tcPr>
          <w:p w14:paraId="740BC97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18.1</w:t>
            </w:r>
          </w:p>
        </w:tc>
        <w:tc>
          <w:tcPr>
            <w:tcW w:w="139" w:type="pct"/>
            <w:gridSpan w:val="2"/>
            <w:shd w:val="clear" w:color="auto" w:fill="auto"/>
            <w:vAlign w:val="center"/>
          </w:tcPr>
          <w:p w14:paraId="6E2FA5C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21.7</w:t>
            </w:r>
          </w:p>
        </w:tc>
        <w:tc>
          <w:tcPr>
            <w:tcW w:w="157" w:type="pct"/>
            <w:gridSpan w:val="2"/>
            <w:vMerge w:val="restart"/>
            <w:shd w:val="clear" w:color="auto" w:fill="auto"/>
            <w:vAlign w:val="center"/>
          </w:tcPr>
          <w:p w14:paraId="204BAF7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2类</w:t>
            </w:r>
          </w:p>
        </w:tc>
        <w:tc>
          <w:tcPr>
            <w:tcW w:w="134" w:type="pct"/>
            <w:gridSpan w:val="2"/>
            <w:vMerge w:val="restart"/>
            <w:shd w:val="clear" w:color="auto" w:fill="auto"/>
            <w:vAlign w:val="center"/>
          </w:tcPr>
          <w:p w14:paraId="2596D21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44.0</w:t>
            </w:r>
          </w:p>
        </w:tc>
        <w:tc>
          <w:tcPr>
            <w:tcW w:w="134" w:type="pct"/>
            <w:gridSpan w:val="2"/>
            <w:vMerge w:val="restart"/>
            <w:shd w:val="clear" w:color="auto" w:fill="auto"/>
            <w:vAlign w:val="center"/>
          </w:tcPr>
          <w:p w14:paraId="5AF4E7A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36.5</w:t>
            </w:r>
          </w:p>
        </w:tc>
      </w:tr>
      <w:tr w14:paraId="73FB1DF4">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7" w:type="pct"/>
            <w:vMerge w:val="continue"/>
            <w:vAlign w:val="center"/>
          </w:tcPr>
          <w:p w14:paraId="07AF1603">
            <w:pPr>
              <w:widowControl/>
              <w:jc w:val="center"/>
              <w:rPr>
                <w:rFonts w:ascii="Times New Roman" w:hAnsi="Times New Roman" w:eastAsia="宋体" w:cs="Times New Roman"/>
                <w:kern w:val="0"/>
                <w:szCs w:val="21"/>
              </w:rPr>
            </w:pPr>
          </w:p>
        </w:tc>
        <w:tc>
          <w:tcPr>
            <w:tcW w:w="319" w:type="pct"/>
            <w:vMerge w:val="continue"/>
            <w:vAlign w:val="center"/>
          </w:tcPr>
          <w:p w14:paraId="3177DD54">
            <w:pPr>
              <w:widowControl/>
              <w:jc w:val="center"/>
              <w:rPr>
                <w:rFonts w:ascii="Times New Roman" w:hAnsi="Times New Roman" w:eastAsia="宋体" w:cs="Times New Roman"/>
                <w:kern w:val="0"/>
                <w:szCs w:val="21"/>
              </w:rPr>
            </w:pPr>
          </w:p>
        </w:tc>
        <w:tc>
          <w:tcPr>
            <w:tcW w:w="145" w:type="pct"/>
            <w:vMerge w:val="continue"/>
            <w:vAlign w:val="center"/>
          </w:tcPr>
          <w:p w14:paraId="7C60D278">
            <w:pPr>
              <w:widowControl/>
              <w:jc w:val="center"/>
              <w:rPr>
                <w:rFonts w:ascii="Times New Roman" w:hAnsi="Times New Roman" w:eastAsia="宋体" w:cs="Times New Roman"/>
                <w:kern w:val="0"/>
                <w:szCs w:val="21"/>
              </w:rPr>
            </w:pPr>
          </w:p>
        </w:tc>
        <w:tc>
          <w:tcPr>
            <w:tcW w:w="188" w:type="pct"/>
            <w:vMerge w:val="continue"/>
            <w:vAlign w:val="center"/>
          </w:tcPr>
          <w:p w14:paraId="7E2CC308">
            <w:pPr>
              <w:widowControl/>
              <w:jc w:val="center"/>
              <w:rPr>
                <w:rFonts w:ascii="Times New Roman" w:hAnsi="Times New Roman" w:eastAsia="宋体" w:cs="Times New Roman"/>
                <w:kern w:val="0"/>
                <w:szCs w:val="21"/>
              </w:rPr>
            </w:pPr>
          </w:p>
        </w:tc>
        <w:tc>
          <w:tcPr>
            <w:tcW w:w="131" w:type="pct"/>
            <w:vMerge w:val="continue"/>
            <w:vAlign w:val="center"/>
          </w:tcPr>
          <w:p w14:paraId="09E3302C">
            <w:pPr>
              <w:widowControl/>
              <w:jc w:val="center"/>
              <w:rPr>
                <w:rFonts w:ascii="Times New Roman" w:hAnsi="Times New Roman" w:eastAsia="宋体" w:cs="Times New Roman"/>
                <w:kern w:val="0"/>
                <w:szCs w:val="21"/>
              </w:rPr>
            </w:pPr>
          </w:p>
        </w:tc>
        <w:tc>
          <w:tcPr>
            <w:tcW w:w="232" w:type="pct"/>
            <w:vMerge w:val="continue"/>
            <w:vAlign w:val="center"/>
          </w:tcPr>
          <w:p w14:paraId="2946FBC9">
            <w:pPr>
              <w:widowControl/>
              <w:jc w:val="center"/>
              <w:rPr>
                <w:rFonts w:ascii="Times New Roman" w:hAnsi="Times New Roman" w:eastAsia="宋体" w:cs="Times New Roman"/>
                <w:kern w:val="0"/>
                <w:szCs w:val="21"/>
              </w:rPr>
            </w:pPr>
          </w:p>
        </w:tc>
        <w:tc>
          <w:tcPr>
            <w:tcW w:w="147" w:type="pct"/>
            <w:shd w:val="clear" w:color="auto" w:fill="auto"/>
            <w:vAlign w:val="center"/>
          </w:tcPr>
          <w:p w14:paraId="3D412E6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4层</w:t>
            </w:r>
          </w:p>
        </w:tc>
        <w:tc>
          <w:tcPr>
            <w:tcW w:w="137" w:type="pct"/>
            <w:shd w:val="clear" w:color="auto" w:fill="auto"/>
            <w:vAlign w:val="center"/>
          </w:tcPr>
          <w:p w14:paraId="2FE711E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62.7</w:t>
            </w:r>
          </w:p>
        </w:tc>
        <w:tc>
          <w:tcPr>
            <w:tcW w:w="137" w:type="pct"/>
            <w:shd w:val="clear" w:color="auto" w:fill="auto"/>
            <w:vAlign w:val="center"/>
          </w:tcPr>
          <w:p w14:paraId="38AE451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58.8</w:t>
            </w:r>
          </w:p>
        </w:tc>
        <w:tc>
          <w:tcPr>
            <w:tcW w:w="137" w:type="pct"/>
            <w:gridSpan w:val="2"/>
            <w:shd w:val="clear" w:color="auto" w:fill="auto"/>
            <w:vAlign w:val="center"/>
          </w:tcPr>
          <w:p w14:paraId="67D174B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63.4</w:t>
            </w:r>
          </w:p>
        </w:tc>
        <w:tc>
          <w:tcPr>
            <w:tcW w:w="137" w:type="pct"/>
            <w:gridSpan w:val="2"/>
            <w:shd w:val="clear" w:color="auto" w:fill="auto"/>
            <w:vAlign w:val="center"/>
          </w:tcPr>
          <w:p w14:paraId="4A852F5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59.6</w:t>
            </w:r>
          </w:p>
        </w:tc>
        <w:tc>
          <w:tcPr>
            <w:tcW w:w="137" w:type="pct"/>
            <w:gridSpan w:val="2"/>
            <w:shd w:val="clear" w:color="auto" w:fill="auto"/>
            <w:vAlign w:val="center"/>
          </w:tcPr>
          <w:p w14:paraId="125767B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64.2</w:t>
            </w:r>
          </w:p>
        </w:tc>
        <w:tc>
          <w:tcPr>
            <w:tcW w:w="139" w:type="pct"/>
            <w:gridSpan w:val="2"/>
            <w:shd w:val="clear" w:color="auto" w:fill="auto"/>
            <w:vAlign w:val="center"/>
          </w:tcPr>
          <w:p w14:paraId="02075CE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60.3</w:t>
            </w:r>
          </w:p>
        </w:tc>
        <w:tc>
          <w:tcPr>
            <w:tcW w:w="137" w:type="pct"/>
            <w:gridSpan w:val="2"/>
            <w:shd w:val="clear" w:color="auto" w:fill="auto"/>
            <w:vAlign w:val="center"/>
          </w:tcPr>
          <w:p w14:paraId="0956A28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62.7</w:t>
            </w:r>
          </w:p>
        </w:tc>
        <w:tc>
          <w:tcPr>
            <w:tcW w:w="137" w:type="pct"/>
            <w:gridSpan w:val="2"/>
            <w:shd w:val="clear" w:color="auto" w:fill="auto"/>
            <w:vAlign w:val="center"/>
          </w:tcPr>
          <w:p w14:paraId="006FFB9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58.8</w:t>
            </w:r>
          </w:p>
        </w:tc>
        <w:tc>
          <w:tcPr>
            <w:tcW w:w="137" w:type="pct"/>
            <w:gridSpan w:val="2"/>
            <w:shd w:val="clear" w:color="auto" w:fill="auto"/>
            <w:vAlign w:val="center"/>
          </w:tcPr>
          <w:p w14:paraId="143BB8B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63.5</w:t>
            </w:r>
          </w:p>
        </w:tc>
        <w:tc>
          <w:tcPr>
            <w:tcW w:w="139" w:type="pct"/>
            <w:gridSpan w:val="2"/>
            <w:shd w:val="clear" w:color="auto" w:fill="auto"/>
            <w:vAlign w:val="center"/>
          </w:tcPr>
          <w:p w14:paraId="1A474DA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59.6</w:t>
            </w:r>
          </w:p>
        </w:tc>
        <w:tc>
          <w:tcPr>
            <w:tcW w:w="137" w:type="pct"/>
            <w:gridSpan w:val="2"/>
            <w:shd w:val="clear" w:color="auto" w:fill="auto"/>
            <w:vAlign w:val="center"/>
          </w:tcPr>
          <w:p w14:paraId="42A8EFF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64.2</w:t>
            </w:r>
          </w:p>
        </w:tc>
        <w:tc>
          <w:tcPr>
            <w:tcW w:w="139" w:type="pct"/>
            <w:gridSpan w:val="2"/>
            <w:shd w:val="clear" w:color="auto" w:fill="auto"/>
            <w:vAlign w:val="center"/>
          </w:tcPr>
          <w:p w14:paraId="65F20DB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60.3</w:t>
            </w:r>
          </w:p>
        </w:tc>
        <w:tc>
          <w:tcPr>
            <w:tcW w:w="137" w:type="pct"/>
            <w:gridSpan w:val="2"/>
            <w:shd w:val="clear" w:color="auto" w:fill="auto"/>
            <w:vAlign w:val="center"/>
          </w:tcPr>
          <w:p w14:paraId="754887E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2.7</w:t>
            </w:r>
          </w:p>
        </w:tc>
        <w:tc>
          <w:tcPr>
            <w:tcW w:w="138" w:type="pct"/>
            <w:gridSpan w:val="2"/>
            <w:shd w:val="clear" w:color="auto" w:fill="auto"/>
            <w:vAlign w:val="center"/>
          </w:tcPr>
          <w:p w14:paraId="5AA4032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7" w:type="pct"/>
            <w:gridSpan w:val="2"/>
            <w:shd w:val="clear" w:color="auto" w:fill="auto"/>
            <w:vAlign w:val="center"/>
          </w:tcPr>
          <w:p w14:paraId="48356F6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3.5</w:t>
            </w:r>
          </w:p>
        </w:tc>
        <w:tc>
          <w:tcPr>
            <w:tcW w:w="139" w:type="pct"/>
            <w:gridSpan w:val="2"/>
            <w:shd w:val="clear" w:color="auto" w:fill="auto"/>
            <w:vAlign w:val="center"/>
          </w:tcPr>
          <w:p w14:paraId="0FA21BE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7" w:type="pct"/>
            <w:gridSpan w:val="2"/>
            <w:shd w:val="clear" w:color="auto" w:fill="auto"/>
            <w:vAlign w:val="center"/>
          </w:tcPr>
          <w:p w14:paraId="706EACD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4.2</w:t>
            </w:r>
          </w:p>
        </w:tc>
        <w:tc>
          <w:tcPr>
            <w:tcW w:w="139" w:type="pct"/>
            <w:gridSpan w:val="2"/>
            <w:shd w:val="clear" w:color="auto" w:fill="auto"/>
            <w:vAlign w:val="center"/>
          </w:tcPr>
          <w:p w14:paraId="13235DE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7" w:type="pct"/>
            <w:gridSpan w:val="2"/>
            <w:shd w:val="clear" w:color="auto" w:fill="auto"/>
            <w:vAlign w:val="center"/>
          </w:tcPr>
          <w:p w14:paraId="29D04D1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18.7</w:t>
            </w:r>
          </w:p>
        </w:tc>
        <w:tc>
          <w:tcPr>
            <w:tcW w:w="139" w:type="pct"/>
            <w:gridSpan w:val="2"/>
            <w:shd w:val="clear" w:color="auto" w:fill="auto"/>
            <w:vAlign w:val="center"/>
          </w:tcPr>
          <w:p w14:paraId="3A0A21E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22.3</w:t>
            </w:r>
          </w:p>
        </w:tc>
        <w:tc>
          <w:tcPr>
            <w:tcW w:w="137" w:type="pct"/>
            <w:gridSpan w:val="2"/>
            <w:shd w:val="clear" w:color="auto" w:fill="auto"/>
            <w:vAlign w:val="center"/>
          </w:tcPr>
          <w:p w14:paraId="361FF55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19.5</w:t>
            </w:r>
          </w:p>
        </w:tc>
        <w:tc>
          <w:tcPr>
            <w:tcW w:w="138" w:type="pct"/>
            <w:gridSpan w:val="2"/>
            <w:shd w:val="clear" w:color="auto" w:fill="auto"/>
            <w:vAlign w:val="center"/>
          </w:tcPr>
          <w:p w14:paraId="52EF2D7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23.1</w:t>
            </w:r>
          </w:p>
        </w:tc>
        <w:tc>
          <w:tcPr>
            <w:tcW w:w="137" w:type="pct"/>
            <w:gridSpan w:val="2"/>
            <w:shd w:val="clear" w:color="auto" w:fill="auto"/>
            <w:vAlign w:val="center"/>
          </w:tcPr>
          <w:p w14:paraId="5DE3DD3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20.2</w:t>
            </w:r>
          </w:p>
        </w:tc>
        <w:tc>
          <w:tcPr>
            <w:tcW w:w="139" w:type="pct"/>
            <w:gridSpan w:val="2"/>
            <w:shd w:val="clear" w:color="auto" w:fill="auto"/>
            <w:vAlign w:val="center"/>
          </w:tcPr>
          <w:p w14:paraId="0C8744E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23.8</w:t>
            </w:r>
          </w:p>
        </w:tc>
        <w:tc>
          <w:tcPr>
            <w:tcW w:w="157" w:type="pct"/>
            <w:gridSpan w:val="2"/>
            <w:vMerge w:val="continue"/>
            <w:vAlign w:val="center"/>
          </w:tcPr>
          <w:p w14:paraId="52434045">
            <w:pPr>
              <w:widowControl/>
              <w:jc w:val="center"/>
              <w:rPr>
                <w:rFonts w:ascii="Times New Roman" w:hAnsi="Times New Roman" w:eastAsia="宋体" w:cs="Times New Roman"/>
                <w:kern w:val="0"/>
                <w:szCs w:val="21"/>
              </w:rPr>
            </w:pPr>
          </w:p>
        </w:tc>
        <w:tc>
          <w:tcPr>
            <w:tcW w:w="134" w:type="pct"/>
            <w:gridSpan w:val="2"/>
            <w:vMerge w:val="continue"/>
            <w:vAlign w:val="center"/>
          </w:tcPr>
          <w:p w14:paraId="2F8861AE">
            <w:pPr>
              <w:widowControl/>
              <w:jc w:val="center"/>
              <w:rPr>
                <w:rFonts w:ascii="Times New Roman" w:hAnsi="Times New Roman" w:eastAsia="宋体" w:cs="Times New Roman"/>
                <w:kern w:val="0"/>
                <w:szCs w:val="21"/>
              </w:rPr>
            </w:pPr>
          </w:p>
        </w:tc>
        <w:tc>
          <w:tcPr>
            <w:tcW w:w="134" w:type="pct"/>
            <w:gridSpan w:val="2"/>
            <w:vMerge w:val="continue"/>
            <w:vAlign w:val="center"/>
          </w:tcPr>
          <w:p w14:paraId="72C44355">
            <w:pPr>
              <w:widowControl/>
              <w:jc w:val="center"/>
              <w:rPr>
                <w:rFonts w:ascii="Times New Roman" w:hAnsi="Times New Roman" w:eastAsia="宋体" w:cs="Times New Roman"/>
                <w:kern w:val="0"/>
                <w:szCs w:val="21"/>
              </w:rPr>
            </w:pPr>
          </w:p>
        </w:tc>
      </w:tr>
      <w:tr w14:paraId="5226871A">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7" w:type="pct"/>
            <w:vMerge w:val="continue"/>
            <w:vAlign w:val="center"/>
          </w:tcPr>
          <w:p w14:paraId="5419DFD6">
            <w:pPr>
              <w:widowControl/>
              <w:jc w:val="center"/>
              <w:rPr>
                <w:rFonts w:ascii="Times New Roman" w:hAnsi="Times New Roman" w:eastAsia="宋体" w:cs="Times New Roman"/>
                <w:kern w:val="0"/>
                <w:szCs w:val="21"/>
              </w:rPr>
            </w:pPr>
          </w:p>
        </w:tc>
        <w:tc>
          <w:tcPr>
            <w:tcW w:w="319" w:type="pct"/>
            <w:vMerge w:val="continue"/>
            <w:vAlign w:val="center"/>
          </w:tcPr>
          <w:p w14:paraId="585B9AF2">
            <w:pPr>
              <w:widowControl/>
              <w:jc w:val="center"/>
              <w:rPr>
                <w:rFonts w:ascii="Times New Roman" w:hAnsi="Times New Roman" w:eastAsia="宋体" w:cs="Times New Roman"/>
                <w:kern w:val="0"/>
                <w:szCs w:val="21"/>
              </w:rPr>
            </w:pPr>
          </w:p>
        </w:tc>
        <w:tc>
          <w:tcPr>
            <w:tcW w:w="145" w:type="pct"/>
            <w:vMerge w:val="continue"/>
            <w:vAlign w:val="center"/>
          </w:tcPr>
          <w:p w14:paraId="449F90E0">
            <w:pPr>
              <w:widowControl/>
              <w:jc w:val="center"/>
              <w:rPr>
                <w:rFonts w:ascii="Times New Roman" w:hAnsi="Times New Roman" w:eastAsia="宋体" w:cs="Times New Roman"/>
                <w:kern w:val="0"/>
                <w:szCs w:val="21"/>
              </w:rPr>
            </w:pPr>
          </w:p>
        </w:tc>
        <w:tc>
          <w:tcPr>
            <w:tcW w:w="188" w:type="pct"/>
            <w:vMerge w:val="restart"/>
            <w:shd w:val="clear" w:color="auto" w:fill="auto"/>
            <w:noWrap/>
            <w:vAlign w:val="center"/>
          </w:tcPr>
          <w:p w14:paraId="44C2702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105</w:t>
            </w:r>
          </w:p>
        </w:tc>
        <w:tc>
          <w:tcPr>
            <w:tcW w:w="131" w:type="pct"/>
            <w:vMerge w:val="continue"/>
            <w:vAlign w:val="center"/>
          </w:tcPr>
          <w:p w14:paraId="10AD7864">
            <w:pPr>
              <w:widowControl/>
              <w:jc w:val="center"/>
              <w:rPr>
                <w:rFonts w:ascii="Times New Roman" w:hAnsi="Times New Roman" w:eastAsia="宋体" w:cs="Times New Roman"/>
                <w:kern w:val="0"/>
                <w:szCs w:val="21"/>
              </w:rPr>
            </w:pPr>
          </w:p>
        </w:tc>
        <w:tc>
          <w:tcPr>
            <w:tcW w:w="232" w:type="pct"/>
            <w:vMerge w:val="continue"/>
            <w:vAlign w:val="center"/>
          </w:tcPr>
          <w:p w14:paraId="11A1E5AC">
            <w:pPr>
              <w:widowControl/>
              <w:jc w:val="center"/>
              <w:rPr>
                <w:rFonts w:ascii="Times New Roman" w:hAnsi="Times New Roman" w:eastAsia="宋体" w:cs="Times New Roman"/>
                <w:kern w:val="0"/>
                <w:szCs w:val="21"/>
              </w:rPr>
            </w:pPr>
          </w:p>
        </w:tc>
        <w:tc>
          <w:tcPr>
            <w:tcW w:w="147" w:type="pct"/>
            <w:shd w:val="clear" w:color="auto" w:fill="auto"/>
            <w:vAlign w:val="center"/>
          </w:tcPr>
          <w:p w14:paraId="1BEF1E9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2层</w:t>
            </w:r>
          </w:p>
        </w:tc>
        <w:tc>
          <w:tcPr>
            <w:tcW w:w="137" w:type="pct"/>
            <w:shd w:val="clear" w:color="auto" w:fill="auto"/>
            <w:vAlign w:val="center"/>
          </w:tcPr>
          <w:p w14:paraId="62F9A47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56.1</w:t>
            </w:r>
          </w:p>
        </w:tc>
        <w:tc>
          <w:tcPr>
            <w:tcW w:w="137" w:type="pct"/>
            <w:shd w:val="clear" w:color="auto" w:fill="auto"/>
            <w:vAlign w:val="center"/>
          </w:tcPr>
          <w:p w14:paraId="70798AF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52.2</w:t>
            </w:r>
          </w:p>
        </w:tc>
        <w:tc>
          <w:tcPr>
            <w:tcW w:w="137" w:type="pct"/>
            <w:gridSpan w:val="2"/>
            <w:shd w:val="clear" w:color="auto" w:fill="auto"/>
            <w:vAlign w:val="center"/>
          </w:tcPr>
          <w:p w14:paraId="00FE716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56.8</w:t>
            </w:r>
          </w:p>
        </w:tc>
        <w:tc>
          <w:tcPr>
            <w:tcW w:w="137" w:type="pct"/>
            <w:gridSpan w:val="2"/>
            <w:shd w:val="clear" w:color="auto" w:fill="auto"/>
            <w:vAlign w:val="center"/>
          </w:tcPr>
          <w:p w14:paraId="2426C34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53.0</w:t>
            </w:r>
          </w:p>
        </w:tc>
        <w:tc>
          <w:tcPr>
            <w:tcW w:w="137" w:type="pct"/>
            <w:gridSpan w:val="2"/>
            <w:shd w:val="clear" w:color="auto" w:fill="auto"/>
            <w:vAlign w:val="center"/>
          </w:tcPr>
          <w:p w14:paraId="6C080A5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57.6</w:t>
            </w:r>
          </w:p>
        </w:tc>
        <w:tc>
          <w:tcPr>
            <w:tcW w:w="139" w:type="pct"/>
            <w:gridSpan w:val="2"/>
            <w:shd w:val="clear" w:color="auto" w:fill="auto"/>
            <w:vAlign w:val="center"/>
          </w:tcPr>
          <w:p w14:paraId="072E63E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53.7</w:t>
            </w:r>
          </w:p>
        </w:tc>
        <w:tc>
          <w:tcPr>
            <w:tcW w:w="137" w:type="pct"/>
            <w:gridSpan w:val="2"/>
            <w:shd w:val="clear" w:color="auto" w:fill="auto"/>
            <w:vAlign w:val="center"/>
          </w:tcPr>
          <w:p w14:paraId="50F0485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56.3</w:t>
            </w:r>
          </w:p>
        </w:tc>
        <w:tc>
          <w:tcPr>
            <w:tcW w:w="137" w:type="pct"/>
            <w:gridSpan w:val="2"/>
            <w:shd w:val="clear" w:color="auto" w:fill="auto"/>
            <w:vAlign w:val="center"/>
          </w:tcPr>
          <w:p w14:paraId="3F2B00B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52.3</w:t>
            </w:r>
          </w:p>
        </w:tc>
        <w:tc>
          <w:tcPr>
            <w:tcW w:w="137" w:type="pct"/>
            <w:gridSpan w:val="2"/>
            <w:shd w:val="clear" w:color="auto" w:fill="auto"/>
            <w:vAlign w:val="center"/>
          </w:tcPr>
          <w:p w14:paraId="7B487B4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57.1</w:t>
            </w:r>
          </w:p>
        </w:tc>
        <w:tc>
          <w:tcPr>
            <w:tcW w:w="139" w:type="pct"/>
            <w:gridSpan w:val="2"/>
            <w:shd w:val="clear" w:color="auto" w:fill="auto"/>
            <w:vAlign w:val="center"/>
          </w:tcPr>
          <w:p w14:paraId="087F35E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53.1</w:t>
            </w:r>
          </w:p>
        </w:tc>
        <w:tc>
          <w:tcPr>
            <w:tcW w:w="137" w:type="pct"/>
            <w:gridSpan w:val="2"/>
            <w:shd w:val="clear" w:color="auto" w:fill="auto"/>
            <w:vAlign w:val="center"/>
          </w:tcPr>
          <w:p w14:paraId="010A167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57.7</w:t>
            </w:r>
          </w:p>
        </w:tc>
        <w:tc>
          <w:tcPr>
            <w:tcW w:w="139" w:type="pct"/>
            <w:gridSpan w:val="2"/>
            <w:shd w:val="clear" w:color="auto" w:fill="auto"/>
            <w:vAlign w:val="center"/>
          </w:tcPr>
          <w:p w14:paraId="1BEB085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53.8</w:t>
            </w:r>
          </w:p>
        </w:tc>
        <w:tc>
          <w:tcPr>
            <w:tcW w:w="137" w:type="pct"/>
            <w:gridSpan w:val="2"/>
            <w:shd w:val="clear" w:color="auto" w:fill="auto"/>
            <w:vAlign w:val="center"/>
          </w:tcPr>
          <w:p w14:paraId="6709607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8" w:type="pct"/>
            <w:gridSpan w:val="2"/>
            <w:shd w:val="clear" w:color="auto" w:fill="auto"/>
            <w:vAlign w:val="center"/>
          </w:tcPr>
          <w:p w14:paraId="2D347C5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2.3</w:t>
            </w:r>
          </w:p>
        </w:tc>
        <w:tc>
          <w:tcPr>
            <w:tcW w:w="137" w:type="pct"/>
            <w:gridSpan w:val="2"/>
            <w:shd w:val="clear" w:color="auto" w:fill="auto"/>
            <w:vAlign w:val="center"/>
          </w:tcPr>
          <w:p w14:paraId="3096DF3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gridSpan w:val="2"/>
            <w:shd w:val="clear" w:color="auto" w:fill="auto"/>
            <w:vAlign w:val="center"/>
          </w:tcPr>
          <w:p w14:paraId="1B427DD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3.1</w:t>
            </w:r>
          </w:p>
        </w:tc>
        <w:tc>
          <w:tcPr>
            <w:tcW w:w="137" w:type="pct"/>
            <w:gridSpan w:val="2"/>
            <w:shd w:val="clear" w:color="auto" w:fill="auto"/>
            <w:vAlign w:val="center"/>
          </w:tcPr>
          <w:p w14:paraId="1C9EBA8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gridSpan w:val="2"/>
            <w:shd w:val="clear" w:color="auto" w:fill="auto"/>
            <w:vAlign w:val="center"/>
          </w:tcPr>
          <w:p w14:paraId="51CB621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3.8</w:t>
            </w:r>
          </w:p>
        </w:tc>
        <w:tc>
          <w:tcPr>
            <w:tcW w:w="137" w:type="pct"/>
            <w:gridSpan w:val="2"/>
            <w:shd w:val="clear" w:color="auto" w:fill="auto"/>
            <w:vAlign w:val="center"/>
          </w:tcPr>
          <w:p w14:paraId="5F90ED9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12.3</w:t>
            </w:r>
          </w:p>
        </w:tc>
        <w:tc>
          <w:tcPr>
            <w:tcW w:w="139" w:type="pct"/>
            <w:gridSpan w:val="2"/>
            <w:shd w:val="clear" w:color="auto" w:fill="auto"/>
            <w:vAlign w:val="center"/>
          </w:tcPr>
          <w:p w14:paraId="3CB8CAD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15.8</w:t>
            </w:r>
          </w:p>
        </w:tc>
        <w:tc>
          <w:tcPr>
            <w:tcW w:w="137" w:type="pct"/>
            <w:gridSpan w:val="2"/>
            <w:shd w:val="clear" w:color="auto" w:fill="auto"/>
            <w:vAlign w:val="center"/>
          </w:tcPr>
          <w:p w14:paraId="5A2EE47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13.1</w:t>
            </w:r>
          </w:p>
        </w:tc>
        <w:tc>
          <w:tcPr>
            <w:tcW w:w="138" w:type="pct"/>
            <w:gridSpan w:val="2"/>
            <w:shd w:val="clear" w:color="auto" w:fill="auto"/>
            <w:vAlign w:val="center"/>
          </w:tcPr>
          <w:p w14:paraId="16A5AC0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16.6</w:t>
            </w:r>
          </w:p>
        </w:tc>
        <w:tc>
          <w:tcPr>
            <w:tcW w:w="137" w:type="pct"/>
            <w:gridSpan w:val="2"/>
            <w:shd w:val="clear" w:color="auto" w:fill="auto"/>
            <w:vAlign w:val="center"/>
          </w:tcPr>
          <w:p w14:paraId="0543772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13.7</w:t>
            </w:r>
          </w:p>
        </w:tc>
        <w:tc>
          <w:tcPr>
            <w:tcW w:w="139" w:type="pct"/>
            <w:gridSpan w:val="2"/>
            <w:shd w:val="clear" w:color="auto" w:fill="auto"/>
            <w:vAlign w:val="center"/>
          </w:tcPr>
          <w:p w14:paraId="6D0659A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17.3</w:t>
            </w:r>
          </w:p>
        </w:tc>
        <w:tc>
          <w:tcPr>
            <w:tcW w:w="157" w:type="pct"/>
            <w:gridSpan w:val="2"/>
            <w:vMerge w:val="continue"/>
            <w:vAlign w:val="center"/>
          </w:tcPr>
          <w:p w14:paraId="5C981F30">
            <w:pPr>
              <w:widowControl/>
              <w:jc w:val="center"/>
              <w:rPr>
                <w:rFonts w:ascii="Times New Roman" w:hAnsi="Times New Roman" w:eastAsia="宋体" w:cs="Times New Roman"/>
                <w:kern w:val="0"/>
                <w:szCs w:val="21"/>
              </w:rPr>
            </w:pPr>
          </w:p>
        </w:tc>
        <w:tc>
          <w:tcPr>
            <w:tcW w:w="134" w:type="pct"/>
            <w:gridSpan w:val="2"/>
            <w:vMerge w:val="continue"/>
            <w:vAlign w:val="center"/>
          </w:tcPr>
          <w:p w14:paraId="2BC43FCC">
            <w:pPr>
              <w:widowControl/>
              <w:jc w:val="center"/>
              <w:rPr>
                <w:rFonts w:ascii="Times New Roman" w:hAnsi="Times New Roman" w:eastAsia="宋体" w:cs="Times New Roman"/>
                <w:kern w:val="0"/>
                <w:szCs w:val="21"/>
              </w:rPr>
            </w:pPr>
          </w:p>
        </w:tc>
        <w:tc>
          <w:tcPr>
            <w:tcW w:w="134" w:type="pct"/>
            <w:gridSpan w:val="2"/>
            <w:vMerge w:val="continue"/>
            <w:vAlign w:val="center"/>
          </w:tcPr>
          <w:p w14:paraId="2274526C">
            <w:pPr>
              <w:widowControl/>
              <w:jc w:val="center"/>
              <w:rPr>
                <w:rFonts w:ascii="Times New Roman" w:hAnsi="Times New Roman" w:eastAsia="宋体" w:cs="Times New Roman"/>
                <w:kern w:val="0"/>
                <w:szCs w:val="21"/>
              </w:rPr>
            </w:pPr>
          </w:p>
        </w:tc>
      </w:tr>
      <w:tr w14:paraId="4379C065">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7" w:type="pct"/>
            <w:vMerge w:val="continue"/>
            <w:vAlign w:val="center"/>
          </w:tcPr>
          <w:p w14:paraId="3D57B051">
            <w:pPr>
              <w:widowControl/>
              <w:jc w:val="center"/>
              <w:rPr>
                <w:rFonts w:ascii="Times New Roman" w:hAnsi="Times New Roman" w:eastAsia="宋体" w:cs="Times New Roman"/>
                <w:kern w:val="0"/>
                <w:szCs w:val="21"/>
              </w:rPr>
            </w:pPr>
          </w:p>
        </w:tc>
        <w:tc>
          <w:tcPr>
            <w:tcW w:w="319" w:type="pct"/>
            <w:vMerge w:val="continue"/>
            <w:vAlign w:val="center"/>
          </w:tcPr>
          <w:p w14:paraId="778FEE72">
            <w:pPr>
              <w:widowControl/>
              <w:jc w:val="center"/>
              <w:rPr>
                <w:rFonts w:ascii="Times New Roman" w:hAnsi="Times New Roman" w:eastAsia="宋体" w:cs="Times New Roman"/>
                <w:kern w:val="0"/>
                <w:szCs w:val="21"/>
              </w:rPr>
            </w:pPr>
          </w:p>
        </w:tc>
        <w:tc>
          <w:tcPr>
            <w:tcW w:w="145" w:type="pct"/>
            <w:vMerge w:val="continue"/>
            <w:vAlign w:val="center"/>
          </w:tcPr>
          <w:p w14:paraId="6B754F1C">
            <w:pPr>
              <w:widowControl/>
              <w:jc w:val="center"/>
              <w:rPr>
                <w:rFonts w:ascii="Times New Roman" w:hAnsi="Times New Roman" w:eastAsia="宋体" w:cs="Times New Roman"/>
                <w:kern w:val="0"/>
                <w:szCs w:val="21"/>
              </w:rPr>
            </w:pPr>
          </w:p>
        </w:tc>
        <w:tc>
          <w:tcPr>
            <w:tcW w:w="188" w:type="pct"/>
            <w:vMerge w:val="continue"/>
            <w:vAlign w:val="center"/>
          </w:tcPr>
          <w:p w14:paraId="3663154B">
            <w:pPr>
              <w:widowControl/>
              <w:jc w:val="center"/>
              <w:rPr>
                <w:rFonts w:ascii="Times New Roman" w:hAnsi="Times New Roman" w:eastAsia="宋体" w:cs="Times New Roman"/>
                <w:kern w:val="0"/>
                <w:szCs w:val="21"/>
              </w:rPr>
            </w:pPr>
          </w:p>
        </w:tc>
        <w:tc>
          <w:tcPr>
            <w:tcW w:w="131" w:type="pct"/>
            <w:vMerge w:val="continue"/>
            <w:vAlign w:val="center"/>
          </w:tcPr>
          <w:p w14:paraId="13A93812">
            <w:pPr>
              <w:widowControl/>
              <w:jc w:val="center"/>
              <w:rPr>
                <w:rFonts w:ascii="Times New Roman" w:hAnsi="Times New Roman" w:eastAsia="宋体" w:cs="Times New Roman"/>
                <w:kern w:val="0"/>
                <w:szCs w:val="21"/>
              </w:rPr>
            </w:pPr>
          </w:p>
        </w:tc>
        <w:tc>
          <w:tcPr>
            <w:tcW w:w="232" w:type="pct"/>
            <w:vMerge w:val="continue"/>
            <w:vAlign w:val="center"/>
          </w:tcPr>
          <w:p w14:paraId="07DBCE24">
            <w:pPr>
              <w:widowControl/>
              <w:jc w:val="center"/>
              <w:rPr>
                <w:rFonts w:ascii="Times New Roman" w:hAnsi="Times New Roman" w:eastAsia="宋体" w:cs="Times New Roman"/>
                <w:kern w:val="0"/>
                <w:szCs w:val="21"/>
              </w:rPr>
            </w:pPr>
          </w:p>
        </w:tc>
        <w:tc>
          <w:tcPr>
            <w:tcW w:w="147" w:type="pct"/>
            <w:shd w:val="clear" w:color="auto" w:fill="auto"/>
            <w:vAlign w:val="center"/>
          </w:tcPr>
          <w:p w14:paraId="40A78FE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4层</w:t>
            </w:r>
          </w:p>
        </w:tc>
        <w:tc>
          <w:tcPr>
            <w:tcW w:w="137" w:type="pct"/>
            <w:shd w:val="clear" w:color="auto" w:fill="auto"/>
            <w:vAlign w:val="center"/>
          </w:tcPr>
          <w:p w14:paraId="33AB09A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57.2</w:t>
            </w:r>
          </w:p>
        </w:tc>
        <w:tc>
          <w:tcPr>
            <w:tcW w:w="137" w:type="pct"/>
            <w:shd w:val="clear" w:color="auto" w:fill="auto"/>
            <w:vAlign w:val="center"/>
          </w:tcPr>
          <w:p w14:paraId="4AA49EA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53.3</w:t>
            </w:r>
          </w:p>
        </w:tc>
        <w:tc>
          <w:tcPr>
            <w:tcW w:w="137" w:type="pct"/>
            <w:gridSpan w:val="2"/>
            <w:shd w:val="clear" w:color="auto" w:fill="auto"/>
            <w:vAlign w:val="center"/>
          </w:tcPr>
          <w:p w14:paraId="056B23F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58.0</w:t>
            </w:r>
          </w:p>
        </w:tc>
        <w:tc>
          <w:tcPr>
            <w:tcW w:w="137" w:type="pct"/>
            <w:gridSpan w:val="2"/>
            <w:shd w:val="clear" w:color="auto" w:fill="auto"/>
            <w:vAlign w:val="center"/>
          </w:tcPr>
          <w:p w14:paraId="264B421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54.1</w:t>
            </w:r>
          </w:p>
        </w:tc>
        <w:tc>
          <w:tcPr>
            <w:tcW w:w="137" w:type="pct"/>
            <w:gridSpan w:val="2"/>
            <w:shd w:val="clear" w:color="auto" w:fill="auto"/>
            <w:vAlign w:val="center"/>
          </w:tcPr>
          <w:p w14:paraId="47A1E3D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58.7</w:t>
            </w:r>
          </w:p>
        </w:tc>
        <w:tc>
          <w:tcPr>
            <w:tcW w:w="139" w:type="pct"/>
            <w:gridSpan w:val="2"/>
            <w:shd w:val="clear" w:color="auto" w:fill="auto"/>
            <w:vAlign w:val="center"/>
          </w:tcPr>
          <w:p w14:paraId="1353E98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54.8</w:t>
            </w:r>
          </w:p>
        </w:tc>
        <w:tc>
          <w:tcPr>
            <w:tcW w:w="137" w:type="pct"/>
            <w:gridSpan w:val="2"/>
            <w:shd w:val="clear" w:color="auto" w:fill="auto"/>
            <w:vAlign w:val="center"/>
          </w:tcPr>
          <w:p w14:paraId="64C7B31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57.4</w:t>
            </w:r>
          </w:p>
        </w:tc>
        <w:tc>
          <w:tcPr>
            <w:tcW w:w="137" w:type="pct"/>
            <w:gridSpan w:val="2"/>
            <w:shd w:val="clear" w:color="auto" w:fill="auto"/>
            <w:vAlign w:val="center"/>
          </w:tcPr>
          <w:p w14:paraId="6D6ED9E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53.4</w:t>
            </w:r>
          </w:p>
        </w:tc>
        <w:tc>
          <w:tcPr>
            <w:tcW w:w="137" w:type="pct"/>
            <w:gridSpan w:val="2"/>
            <w:shd w:val="clear" w:color="auto" w:fill="auto"/>
            <w:vAlign w:val="center"/>
          </w:tcPr>
          <w:p w14:paraId="5F46EF1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58.1</w:t>
            </w:r>
          </w:p>
        </w:tc>
        <w:tc>
          <w:tcPr>
            <w:tcW w:w="139" w:type="pct"/>
            <w:gridSpan w:val="2"/>
            <w:shd w:val="clear" w:color="auto" w:fill="auto"/>
            <w:vAlign w:val="center"/>
          </w:tcPr>
          <w:p w14:paraId="792634A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54.2</w:t>
            </w:r>
          </w:p>
        </w:tc>
        <w:tc>
          <w:tcPr>
            <w:tcW w:w="137" w:type="pct"/>
            <w:gridSpan w:val="2"/>
            <w:shd w:val="clear" w:color="auto" w:fill="auto"/>
            <w:vAlign w:val="center"/>
          </w:tcPr>
          <w:p w14:paraId="032516C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58.8</w:t>
            </w:r>
          </w:p>
        </w:tc>
        <w:tc>
          <w:tcPr>
            <w:tcW w:w="139" w:type="pct"/>
            <w:gridSpan w:val="2"/>
            <w:shd w:val="clear" w:color="auto" w:fill="auto"/>
            <w:vAlign w:val="center"/>
          </w:tcPr>
          <w:p w14:paraId="59387D2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54.9</w:t>
            </w:r>
          </w:p>
        </w:tc>
        <w:tc>
          <w:tcPr>
            <w:tcW w:w="137" w:type="pct"/>
            <w:gridSpan w:val="2"/>
            <w:shd w:val="clear" w:color="auto" w:fill="auto"/>
            <w:vAlign w:val="center"/>
          </w:tcPr>
          <w:p w14:paraId="59B0AFE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8" w:type="pct"/>
            <w:gridSpan w:val="2"/>
            <w:shd w:val="clear" w:color="auto" w:fill="auto"/>
            <w:vAlign w:val="center"/>
          </w:tcPr>
          <w:p w14:paraId="38D6355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3.4</w:t>
            </w:r>
          </w:p>
        </w:tc>
        <w:tc>
          <w:tcPr>
            <w:tcW w:w="137" w:type="pct"/>
            <w:gridSpan w:val="2"/>
            <w:shd w:val="clear" w:color="auto" w:fill="auto"/>
            <w:vAlign w:val="center"/>
          </w:tcPr>
          <w:p w14:paraId="1526053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gridSpan w:val="2"/>
            <w:shd w:val="clear" w:color="auto" w:fill="auto"/>
            <w:vAlign w:val="center"/>
          </w:tcPr>
          <w:p w14:paraId="16FBB35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4.2</w:t>
            </w:r>
          </w:p>
        </w:tc>
        <w:tc>
          <w:tcPr>
            <w:tcW w:w="137" w:type="pct"/>
            <w:gridSpan w:val="2"/>
            <w:shd w:val="clear" w:color="auto" w:fill="auto"/>
            <w:vAlign w:val="center"/>
          </w:tcPr>
          <w:p w14:paraId="5A0311C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gridSpan w:val="2"/>
            <w:shd w:val="clear" w:color="auto" w:fill="auto"/>
            <w:vAlign w:val="center"/>
          </w:tcPr>
          <w:p w14:paraId="18F8A79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4.9</w:t>
            </w:r>
          </w:p>
        </w:tc>
        <w:tc>
          <w:tcPr>
            <w:tcW w:w="137" w:type="pct"/>
            <w:gridSpan w:val="2"/>
            <w:shd w:val="clear" w:color="auto" w:fill="auto"/>
            <w:vAlign w:val="center"/>
          </w:tcPr>
          <w:p w14:paraId="203D20D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13.4</w:t>
            </w:r>
          </w:p>
        </w:tc>
        <w:tc>
          <w:tcPr>
            <w:tcW w:w="139" w:type="pct"/>
            <w:gridSpan w:val="2"/>
            <w:shd w:val="clear" w:color="auto" w:fill="auto"/>
            <w:vAlign w:val="center"/>
          </w:tcPr>
          <w:p w14:paraId="39A64A6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16.9</w:t>
            </w:r>
          </w:p>
        </w:tc>
        <w:tc>
          <w:tcPr>
            <w:tcW w:w="137" w:type="pct"/>
            <w:gridSpan w:val="2"/>
            <w:shd w:val="clear" w:color="auto" w:fill="auto"/>
            <w:vAlign w:val="center"/>
          </w:tcPr>
          <w:p w14:paraId="24AA392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14.1</w:t>
            </w:r>
          </w:p>
        </w:tc>
        <w:tc>
          <w:tcPr>
            <w:tcW w:w="138" w:type="pct"/>
            <w:gridSpan w:val="2"/>
            <w:shd w:val="clear" w:color="auto" w:fill="auto"/>
            <w:vAlign w:val="center"/>
          </w:tcPr>
          <w:p w14:paraId="3929E9F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17.7</w:t>
            </w:r>
          </w:p>
        </w:tc>
        <w:tc>
          <w:tcPr>
            <w:tcW w:w="137" w:type="pct"/>
            <w:gridSpan w:val="2"/>
            <w:shd w:val="clear" w:color="auto" w:fill="auto"/>
            <w:vAlign w:val="center"/>
          </w:tcPr>
          <w:p w14:paraId="5964848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14.8</w:t>
            </w:r>
          </w:p>
        </w:tc>
        <w:tc>
          <w:tcPr>
            <w:tcW w:w="139" w:type="pct"/>
            <w:gridSpan w:val="2"/>
            <w:shd w:val="clear" w:color="auto" w:fill="auto"/>
            <w:vAlign w:val="center"/>
          </w:tcPr>
          <w:p w14:paraId="228D149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18.4</w:t>
            </w:r>
          </w:p>
        </w:tc>
        <w:tc>
          <w:tcPr>
            <w:tcW w:w="157" w:type="pct"/>
            <w:gridSpan w:val="2"/>
            <w:vMerge w:val="continue"/>
            <w:vAlign w:val="center"/>
          </w:tcPr>
          <w:p w14:paraId="061EF420">
            <w:pPr>
              <w:widowControl/>
              <w:jc w:val="center"/>
              <w:rPr>
                <w:rFonts w:ascii="Times New Roman" w:hAnsi="Times New Roman" w:eastAsia="宋体" w:cs="Times New Roman"/>
                <w:kern w:val="0"/>
                <w:szCs w:val="21"/>
              </w:rPr>
            </w:pPr>
          </w:p>
        </w:tc>
        <w:tc>
          <w:tcPr>
            <w:tcW w:w="134" w:type="pct"/>
            <w:gridSpan w:val="2"/>
            <w:vMerge w:val="continue"/>
            <w:vAlign w:val="center"/>
          </w:tcPr>
          <w:p w14:paraId="5FB01F31">
            <w:pPr>
              <w:widowControl/>
              <w:jc w:val="center"/>
              <w:rPr>
                <w:rFonts w:ascii="Times New Roman" w:hAnsi="Times New Roman" w:eastAsia="宋体" w:cs="Times New Roman"/>
                <w:kern w:val="0"/>
                <w:szCs w:val="21"/>
              </w:rPr>
            </w:pPr>
          </w:p>
        </w:tc>
        <w:tc>
          <w:tcPr>
            <w:tcW w:w="134" w:type="pct"/>
            <w:gridSpan w:val="2"/>
            <w:vMerge w:val="continue"/>
            <w:vAlign w:val="center"/>
          </w:tcPr>
          <w:p w14:paraId="017F0472">
            <w:pPr>
              <w:widowControl/>
              <w:jc w:val="center"/>
              <w:rPr>
                <w:rFonts w:ascii="Times New Roman" w:hAnsi="Times New Roman" w:eastAsia="宋体" w:cs="Times New Roman"/>
                <w:kern w:val="0"/>
                <w:szCs w:val="21"/>
              </w:rPr>
            </w:pPr>
          </w:p>
        </w:tc>
      </w:tr>
      <w:tr w14:paraId="557C8BD9">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7" w:type="pct"/>
            <w:vMerge w:val="restart"/>
            <w:shd w:val="clear" w:color="auto" w:fill="auto"/>
            <w:vAlign w:val="center"/>
          </w:tcPr>
          <w:p w14:paraId="4137C3A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18</w:t>
            </w:r>
          </w:p>
        </w:tc>
        <w:tc>
          <w:tcPr>
            <w:tcW w:w="319" w:type="pct"/>
            <w:vMerge w:val="restart"/>
            <w:shd w:val="clear" w:color="auto" w:fill="auto"/>
            <w:vAlign w:val="center"/>
          </w:tcPr>
          <w:p w14:paraId="6FFA92F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霍加艾日克村</w:t>
            </w:r>
          </w:p>
        </w:tc>
        <w:tc>
          <w:tcPr>
            <w:tcW w:w="145" w:type="pct"/>
            <w:vMerge w:val="restart"/>
            <w:shd w:val="clear" w:color="auto" w:fill="auto"/>
            <w:vAlign w:val="center"/>
          </w:tcPr>
          <w:p w14:paraId="2A395BE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两侧</w:t>
            </w:r>
          </w:p>
        </w:tc>
        <w:tc>
          <w:tcPr>
            <w:tcW w:w="188" w:type="pct"/>
            <w:shd w:val="clear" w:color="auto" w:fill="auto"/>
            <w:noWrap/>
            <w:vAlign w:val="center"/>
          </w:tcPr>
          <w:p w14:paraId="44E5BEC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25</w:t>
            </w:r>
          </w:p>
        </w:tc>
        <w:tc>
          <w:tcPr>
            <w:tcW w:w="131" w:type="pct"/>
            <w:vMerge w:val="restart"/>
            <w:shd w:val="clear" w:color="auto" w:fill="auto"/>
            <w:vAlign w:val="center"/>
          </w:tcPr>
          <w:p w14:paraId="151C00C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w:t>
            </w:r>
          </w:p>
        </w:tc>
        <w:tc>
          <w:tcPr>
            <w:tcW w:w="232" w:type="pct"/>
            <w:vMerge w:val="restart"/>
            <w:shd w:val="clear" w:color="auto" w:fill="auto"/>
            <w:vAlign w:val="center"/>
          </w:tcPr>
          <w:p w14:paraId="0D77AA3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0</w:t>
            </w:r>
          </w:p>
        </w:tc>
        <w:tc>
          <w:tcPr>
            <w:tcW w:w="147" w:type="pct"/>
            <w:vMerge w:val="restart"/>
            <w:shd w:val="clear" w:color="auto" w:fill="auto"/>
            <w:vAlign w:val="center"/>
          </w:tcPr>
          <w:p w14:paraId="10FC924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1层</w:t>
            </w:r>
          </w:p>
        </w:tc>
        <w:tc>
          <w:tcPr>
            <w:tcW w:w="137" w:type="pct"/>
            <w:shd w:val="clear" w:color="auto" w:fill="auto"/>
            <w:vAlign w:val="center"/>
          </w:tcPr>
          <w:p w14:paraId="7257A51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60.7</w:t>
            </w:r>
          </w:p>
        </w:tc>
        <w:tc>
          <w:tcPr>
            <w:tcW w:w="137" w:type="pct"/>
            <w:shd w:val="clear" w:color="auto" w:fill="auto"/>
            <w:vAlign w:val="center"/>
          </w:tcPr>
          <w:p w14:paraId="1F2233A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56.8</w:t>
            </w:r>
          </w:p>
        </w:tc>
        <w:tc>
          <w:tcPr>
            <w:tcW w:w="137" w:type="pct"/>
            <w:gridSpan w:val="2"/>
            <w:shd w:val="clear" w:color="auto" w:fill="auto"/>
            <w:vAlign w:val="center"/>
          </w:tcPr>
          <w:p w14:paraId="4D3F8F1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61.5</w:t>
            </w:r>
          </w:p>
        </w:tc>
        <w:tc>
          <w:tcPr>
            <w:tcW w:w="137" w:type="pct"/>
            <w:gridSpan w:val="2"/>
            <w:shd w:val="clear" w:color="auto" w:fill="auto"/>
            <w:vAlign w:val="center"/>
          </w:tcPr>
          <w:p w14:paraId="1B0E798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57.6</w:t>
            </w:r>
          </w:p>
        </w:tc>
        <w:tc>
          <w:tcPr>
            <w:tcW w:w="137" w:type="pct"/>
            <w:gridSpan w:val="2"/>
            <w:shd w:val="clear" w:color="auto" w:fill="auto"/>
            <w:vAlign w:val="center"/>
          </w:tcPr>
          <w:p w14:paraId="1674073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62.2</w:t>
            </w:r>
          </w:p>
        </w:tc>
        <w:tc>
          <w:tcPr>
            <w:tcW w:w="139" w:type="pct"/>
            <w:gridSpan w:val="2"/>
            <w:shd w:val="clear" w:color="auto" w:fill="auto"/>
            <w:vAlign w:val="center"/>
          </w:tcPr>
          <w:p w14:paraId="73BF13D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58.3</w:t>
            </w:r>
          </w:p>
        </w:tc>
        <w:tc>
          <w:tcPr>
            <w:tcW w:w="137" w:type="pct"/>
            <w:gridSpan w:val="2"/>
            <w:shd w:val="clear" w:color="auto" w:fill="auto"/>
            <w:vAlign w:val="center"/>
          </w:tcPr>
          <w:p w14:paraId="57613C4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60.8</w:t>
            </w:r>
          </w:p>
        </w:tc>
        <w:tc>
          <w:tcPr>
            <w:tcW w:w="137" w:type="pct"/>
            <w:gridSpan w:val="2"/>
            <w:shd w:val="clear" w:color="auto" w:fill="auto"/>
            <w:vAlign w:val="center"/>
          </w:tcPr>
          <w:p w14:paraId="64D83B1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56.8</w:t>
            </w:r>
          </w:p>
        </w:tc>
        <w:tc>
          <w:tcPr>
            <w:tcW w:w="137" w:type="pct"/>
            <w:gridSpan w:val="2"/>
            <w:shd w:val="clear" w:color="auto" w:fill="auto"/>
            <w:vAlign w:val="center"/>
          </w:tcPr>
          <w:p w14:paraId="39BE986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61.5</w:t>
            </w:r>
          </w:p>
        </w:tc>
        <w:tc>
          <w:tcPr>
            <w:tcW w:w="139" w:type="pct"/>
            <w:gridSpan w:val="2"/>
            <w:shd w:val="clear" w:color="auto" w:fill="auto"/>
            <w:vAlign w:val="center"/>
          </w:tcPr>
          <w:p w14:paraId="61B5510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57.6</w:t>
            </w:r>
          </w:p>
        </w:tc>
        <w:tc>
          <w:tcPr>
            <w:tcW w:w="137" w:type="pct"/>
            <w:gridSpan w:val="2"/>
            <w:shd w:val="clear" w:color="auto" w:fill="auto"/>
            <w:vAlign w:val="center"/>
          </w:tcPr>
          <w:p w14:paraId="7C3F953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62.2</w:t>
            </w:r>
          </w:p>
        </w:tc>
        <w:tc>
          <w:tcPr>
            <w:tcW w:w="139" w:type="pct"/>
            <w:gridSpan w:val="2"/>
            <w:shd w:val="clear" w:color="auto" w:fill="auto"/>
            <w:vAlign w:val="center"/>
          </w:tcPr>
          <w:p w14:paraId="4099180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58.3</w:t>
            </w:r>
          </w:p>
        </w:tc>
        <w:tc>
          <w:tcPr>
            <w:tcW w:w="137" w:type="pct"/>
            <w:gridSpan w:val="2"/>
            <w:shd w:val="clear" w:color="auto" w:fill="auto"/>
            <w:vAlign w:val="center"/>
          </w:tcPr>
          <w:p w14:paraId="73389ED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8" w:type="pct"/>
            <w:gridSpan w:val="2"/>
            <w:shd w:val="clear" w:color="auto" w:fill="auto"/>
            <w:vAlign w:val="center"/>
          </w:tcPr>
          <w:p w14:paraId="2F494E1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1.8</w:t>
            </w:r>
          </w:p>
        </w:tc>
        <w:tc>
          <w:tcPr>
            <w:tcW w:w="137" w:type="pct"/>
            <w:gridSpan w:val="2"/>
            <w:shd w:val="clear" w:color="auto" w:fill="auto"/>
            <w:vAlign w:val="center"/>
          </w:tcPr>
          <w:p w14:paraId="39B7633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gridSpan w:val="2"/>
            <w:shd w:val="clear" w:color="auto" w:fill="auto"/>
            <w:vAlign w:val="center"/>
          </w:tcPr>
          <w:p w14:paraId="78E097E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2.6</w:t>
            </w:r>
          </w:p>
        </w:tc>
        <w:tc>
          <w:tcPr>
            <w:tcW w:w="137" w:type="pct"/>
            <w:gridSpan w:val="2"/>
            <w:shd w:val="clear" w:color="auto" w:fill="auto"/>
            <w:vAlign w:val="center"/>
          </w:tcPr>
          <w:p w14:paraId="3916C1D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gridSpan w:val="2"/>
            <w:shd w:val="clear" w:color="auto" w:fill="auto"/>
            <w:vAlign w:val="center"/>
          </w:tcPr>
          <w:p w14:paraId="236051F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3.3</w:t>
            </w:r>
          </w:p>
        </w:tc>
        <w:tc>
          <w:tcPr>
            <w:tcW w:w="137" w:type="pct"/>
            <w:gridSpan w:val="2"/>
            <w:shd w:val="clear" w:color="auto" w:fill="auto"/>
            <w:vAlign w:val="center"/>
          </w:tcPr>
          <w:p w14:paraId="5474918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16.3</w:t>
            </w:r>
          </w:p>
        </w:tc>
        <w:tc>
          <w:tcPr>
            <w:tcW w:w="139" w:type="pct"/>
            <w:gridSpan w:val="2"/>
            <w:shd w:val="clear" w:color="auto" w:fill="auto"/>
            <w:vAlign w:val="center"/>
          </w:tcPr>
          <w:p w14:paraId="5DA3316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19.8</w:t>
            </w:r>
          </w:p>
        </w:tc>
        <w:tc>
          <w:tcPr>
            <w:tcW w:w="137" w:type="pct"/>
            <w:gridSpan w:val="2"/>
            <w:shd w:val="clear" w:color="auto" w:fill="auto"/>
            <w:vAlign w:val="center"/>
          </w:tcPr>
          <w:p w14:paraId="0F5F03D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17.0</w:t>
            </w:r>
          </w:p>
        </w:tc>
        <w:tc>
          <w:tcPr>
            <w:tcW w:w="138" w:type="pct"/>
            <w:gridSpan w:val="2"/>
            <w:shd w:val="clear" w:color="auto" w:fill="auto"/>
            <w:vAlign w:val="center"/>
          </w:tcPr>
          <w:p w14:paraId="68897E8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20.6</w:t>
            </w:r>
          </w:p>
        </w:tc>
        <w:tc>
          <w:tcPr>
            <w:tcW w:w="137" w:type="pct"/>
            <w:gridSpan w:val="2"/>
            <w:shd w:val="clear" w:color="auto" w:fill="auto"/>
            <w:vAlign w:val="center"/>
          </w:tcPr>
          <w:p w14:paraId="05CF4D9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17.7</w:t>
            </w:r>
          </w:p>
        </w:tc>
        <w:tc>
          <w:tcPr>
            <w:tcW w:w="139" w:type="pct"/>
            <w:gridSpan w:val="2"/>
            <w:shd w:val="clear" w:color="auto" w:fill="auto"/>
            <w:vAlign w:val="center"/>
          </w:tcPr>
          <w:p w14:paraId="4F5002F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21.3</w:t>
            </w:r>
          </w:p>
        </w:tc>
        <w:tc>
          <w:tcPr>
            <w:tcW w:w="157" w:type="pct"/>
            <w:gridSpan w:val="2"/>
            <w:shd w:val="clear" w:color="auto" w:fill="auto"/>
            <w:vAlign w:val="center"/>
          </w:tcPr>
          <w:p w14:paraId="1824B71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4a类</w:t>
            </w:r>
          </w:p>
        </w:tc>
        <w:tc>
          <w:tcPr>
            <w:tcW w:w="134" w:type="pct"/>
            <w:gridSpan w:val="2"/>
            <w:vMerge w:val="restart"/>
            <w:shd w:val="clear" w:color="auto" w:fill="auto"/>
            <w:vAlign w:val="center"/>
          </w:tcPr>
          <w:p w14:paraId="01BA40A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44.5</w:t>
            </w:r>
          </w:p>
        </w:tc>
        <w:tc>
          <w:tcPr>
            <w:tcW w:w="134" w:type="pct"/>
            <w:gridSpan w:val="2"/>
            <w:vMerge w:val="restart"/>
            <w:shd w:val="clear" w:color="auto" w:fill="auto"/>
            <w:vAlign w:val="center"/>
          </w:tcPr>
          <w:p w14:paraId="0E0ED0D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37.0</w:t>
            </w:r>
          </w:p>
        </w:tc>
      </w:tr>
      <w:tr w14:paraId="69A61976">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7" w:type="pct"/>
            <w:vMerge w:val="continue"/>
            <w:vAlign w:val="center"/>
          </w:tcPr>
          <w:p w14:paraId="0083D552">
            <w:pPr>
              <w:widowControl/>
              <w:jc w:val="center"/>
              <w:rPr>
                <w:rFonts w:ascii="Times New Roman" w:hAnsi="Times New Roman" w:eastAsia="宋体" w:cs="Times New Roman"/>
                <w:kern w:val="0"/>
                <w:szCs w:val="21"/>
              </w:rPr>
            </w:pPr>
          </w:p>
        </w:tc>
        <w:tc>
          <w:tcPr>
            <w:tcW w:w="319" w:type="pct"/>
            <w:vMerge w:val="continue"/>
            <w:vAlign w:val="center"/>
          </w:tcPr>
          <w:p w14:paraId="1AE2CCB8">
            <w:pPr>
              <w:widowControl/>
              <w:jc w:val="center"/>
              <w:rPr>
                <w:rFonts w:ascii="Times New Roman" w:hAnsi="Times New Roman" w:eastAsia="宋体" w:cs="Times New Roman"/>
                <w:kern w:val="0"/>
                <w:szCs w:val="21"/>
              </w:rPr>
            </w:pPr>
          </w:p>
        </w:tc>
        <w:tc>
          <w:tcPr>
            <w:tcW w:w="145" w:type="pct"/>
            <w:vMerge w:val="continue"/>
            <w:vAlign w:val="center"/>
          </w:tcPr>
          <w:p w14:paraId="027CF5FD">
            <w:pPr>
              <w:widowControl/>
              <w:jc w:val="center"/>
              <w:rPr>
                <w:rFonts w:ascii="Times New Roman" w:hAnsi="Times New Roman" w:eastAsia="宋体" w:cs="Times New Roman"/>
                <w:kern w:val="0"/>
                <w:szCs w:val="21"/>
              </w:rPr>
            </w:pPr>
          </w:p>
        </w:tc>
        <w:tc>
          <w:tcPr>
            <w:tcW w:w="188" w:type="pct"/>
            <w:shd w:val="clear" w:color="auto" w:fill="auto"/>
            <w:noWrap/>
            <w:vAlign w:val="center"/>
          </w:tcPr>
          <w:p w14:paraId="6CB1157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55</w:t>
            </w:r>
          </w:p>
        </w:tc>
        <w:tc>
          <w:tcPr>
            <w:tcW w:w="131" w:type="pct"/>
            <w:vMerge w:val="continue"/>
            <w:vAlign w:val="center"/>
          </w:tcPr>
          <w:p w14:paraId="30316122">
            <w:pPr>
              <w:widowControl/>
              <w:jc w:val="center"/>
              <w:rPr>
                <w:rFonts w:ascii="Times New Roman" w:hAnsi="Times New Roman" w:eastAsia="宋体" w:cs="Times New Roman"/>
                <w:kern w:val="0"/>
                <w:szCs w:val="21"/>
              </w:rPr>
            </w:pPr>
          </w:p>
        </w:tc>
        <w:tc>
          <w:tcPr>
            <w:tcW w:w="232" w:type="pct"/>
            <w:vMerge w:val="continue"/>
            <w:vAlign w:val="center"/>
          </w:tcPr>
          <w:p w14:paraId="20BF7179">
            <w:pPr>
              <w:widowControl/>
              <w:jc w:val="center"/>
              <w:rPr>
                <w:rFonts w:ascii="Times New Roman" w:hAnsi="Times New Roman" w:eastAsia="宋体" w:cs="Times New Roman"/>
                <w:kern w:val="0"/>
                <w:szCs w:val="21"/>
              </w:rPr>
            </w:pPr>
          </w:p>
        </w:tc>
        <w:tc>
          <w:tcPr>
            <w:tcW w:w="147" w:type="pct"/>
            <w:vMerge w:val="continue"/>
            <w:vAlign w:val="center"/>
          </w:tcPr>
          <w:p w14:paraId="257DFD6C">
            <w:pPr>
              <w:widowControl/>
              <w:jc w:val="center"/>
              <w:rPr>
                <w:rFonts w:ascii="Times New Roman" w:hAnsi="Times New Roman" w:eastAsia="宋体" w:cs="Times New Roman"/>
                <w:kern w:val="0"/>
                <w:szCs w:val="21"/>
              </w:rPr>
            </w:pPr>
          </w:p>
        </w:tc>
        <w:tc>
          <w:tcPr>
            <w:tcW w:w="137" w:type="pct"/>
            <w:shd w:val="clear" w:color="auto" w:fill="auto"/>
            <w:vAlign w:val="center"/>
          </w:tcPr>
          <w:p w14:paraId="4C58B5B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56.4</w:t>
            </w:r>
          </w:p>
        </w:tc>
        <w:tc>
          <w:tcPr>
            <w:tcW w:w="137" w:type="pct"/>
            <w:shd w:val="clear" w:color="auto" w:fill="auto"/>
            <w:vAlign w:val="center"/>
          </w:tcPr>
          <w:p w14:paraId="32E6E3C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52.6</w:t>
            </w:r>
          </w:p>
        </w:tc>
        <w:tc>
          <w:tcPr>
            <w:tcW w:w="137" w:type="pct"/>
            <w:gridSpan w:val="2"/>
            <w:shd w:val="clear" w:color="auto" w:fill="auto"/>
            <w:vAlign w:val="center"/>
          </w:tcPr>
          <w:p w14:paraId="63CB950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57.2</w:t>
            </w:r>
          </w:p>
        </w:tc>
        <w:tc>
          <w:tcPr>
            <w:tcW w:w="137" w:type="pct"/>
            <w:gridSpan w:val="2"/>
            <w:shd w:val="clear" w:color="auto" w:fill="auto"/>
            <w:vAlign w:val="center"/>
          </w:tcPr>
          <w:p w14:paraId="1B13A06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53.4</w:t>
            </w:r>
          </w:p>
        </w:tc>
        <w:tc>
          <w:tcPr>
            <w:tcW w:w="137" w:type="pct"/>
            <w:gridSpan w:val="2"/>
            <w:shd w:val="clear" w:color="auto" w:fill="auto"/>
            <w:vAlign w:val="center"/>
          </w:tcPr>
          <w:p w14:paraId="696F0DC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57.9</w:t>
            </w:r>
          </w:p>
        </w:tc>
        <w:tc>
          <w:tcPr>
            <w:tcW w:w="139" w:type="pct"/>
            <w:gridSpan w:val="2"/>
            <w:shd w:val="clear" w:color="auto" w:fill="auto"/>
            <w:vAlign w:val="center"/>
          </w:tcPr>
          <w:p w14:paraId="51E5C99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54.1</w:t>
            </w:r>
          </w:p>
        </w:tc>
        <w:tc>
          <w:tcPr>
            <w:tcW w:w="137" w:type="pct"/>
            <w:gridSpan w:val="2"/>
            <w:shd w:val="clear" w:color="auto" w:fill="auto"/>
            <w:vAlign w:val="center"/>
          </w:tcPr>
          <w:p w14:paraId="63D2DE9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56.7</w:t>
            </w:r>
          </w:p>
        </w:tc>
        <w:tc>
          <w:tcPr>
            <w:tcW w:w="137" w:type="pct"/>
            <w:gridSpan w:val="2"/>
            <w:shd w:val="clear" w:color="auto" w:fill="auto"/>
            <w:vAlign w:val="center"/>
          </w:tcPr>
          <w:p w14:paraId="39AD790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52.7</w:t>
            </w:r>
          </w:p>
        </w:tc>
        <w:tc>
          <w:tcPr>
            <w:tcW w:w="137" w:type="pct"/>
            <w:gridSpan w:val="2"/>
            <w:shd w:val="clear" w:color="auto" w:fill="auto"/>
            <w:vAlign w:val="center"/>
          </w:tcPr>
          <w:p w14:paraId="79D9188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57.5</w:t>
            </w:r>
          </w:p>
        </w:tc>
        <w:tc>
          <w:tcPr>
            <w:tcW w:w="139" w:type="pct"/>
            <w:gridSpan w:val="2"/>
            <w:shd w:val="clear" w:color="auto" w:fill="auto"/>
            <w:vAlign w:val="center"/>
          </w:tcPr>
          <w:p w14:paraId="2F953BE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53.5</w:t>
            </w:r>
          </w:p>
        </w:tc>
        <w:tc>
          <w:tcPr>
            <w:tcW w:w="137" w:type="pct"/>
            <w:gridSpan w:val="2"/>
            <w:shd w:val="clear" w:color="auto" w:fill="auto"/>
            <w:vAlign w:val="center"/>
          </w:tcPr>
          <w:p w14:paraId="3CA9DDA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58.1</w:t>
            </w:r>
          </w:p>
        </w:tc>
        <w:tc>
          <w:tcPr>
            <w:tcW w:w="139" w:type="pct"/>
            <w:gridSpan w:val="2"/>
            <w:shd w:val="clear" w:color="auto" w:fill="auto"/>
            <w:vAlign w:val="center"/>
          </w:tcPr>
          <w:p w14:paraId="5273FE7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54.2</w:t>
            </w:r>
          </w:p>
        </w:tc>
        <w:tc>
          <w:tcPr>
            <w:tcW w:w="137" w:type="pct"/>
            <w:gridSpan w:val="2"/>
            <w:shd w:val="clear" w:color="auto" w:fill="auto"/>
            <w:vAlign w:val="center"/>
          </w:tcPr>
          <w:p w14:paraId="723D300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8" w:type="pct"/>
            <w:gridSpan w:val="2"/>
            <w:shd w:val="clear" w:color="auto" w:fill="auto"/>
            <w:vAlign w:val="center"/>
          </w:tcPr>
          <w:p w14:paraId="37C1FCB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2.7</w:t>
            </w:r>
          </w:p>
        </w:tc>
        <w:tc>
          <w:tcPr>
            <w:tcW w:w="137" w:type="pct"/>
            <w:gridSpan w:val="2"/>
            <w:shd w:val="clear" w:color="auto" w:fill="auto"/>
            <w:vAlign w:val="center"/>
          </w:tcPr>
          <w:p w14:paraId="55F0B59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gridSpan w:val="2"/>
            <w:shd w:val="clear" w:color="auto" w:fill="auto"/>
            <w:vAlign w:val="center"/>
          </w:tcPr>
          <w:p w14:paraId="3902D5E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3.5</w:t>
            </w:r>
          </w:p>
        </w:tc>
        <w:tc>
          <w:tcPr>
            <w:tcW w:w="137" w:type="pct"/>
            <w:gridSpan w:val="2"/>
            <w:shd w:val="clear" w:color="auto" w:fill="auto"/>
            <w:vAlign w:val="center"/>
          </w:tcPr>
          <w:p w14:paraId="4DACCB4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gridSpan w:val="2"/>
            <w:shd w:val="clear" w:color="auto" w:fill="auto"/>
            <w:vAlign w:val="center"/>
          </w:tcPr>
          <w:p w14:paraId="70CE5C9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4.2</w:t>
            </w:r>
          </w:p>
        </w:tc>
        <w:tc>
          <w:tcPr>
            <w:tcW w:w="137" w:type="pct"/>
            <w:gridSpan w:val="2"/>
            <w:shd w:val="clear" w:color="auto" w:fill="auto"/>
            <w:vAlign w:val="center"/>
          </w:tcPr>
          <w:p w14:paraId="783C943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12.2</w:t>
            </w:r>
          </w:p>
        </w:tc>
        <w:tc>
          <w:tcPr>
            <w:tcW w:w="139" w:type="pct"/>
            <w:gridSpan w:val="2"/>
            <w:shd w:val="clear" w:color="auto" w:fill="auto"/>
            <w:vAlign w:val="center"/>
          </w:tcPr>
          <w:p w14:paraId="5C3FFCF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15.7</w:t>
            </w:r>
          </w:p>
        </w:tc>
        <w:tc>
          <w:tcPr>
            <w:tcW w:w="137" w:type="pct"/>
            <w:gridSpan w:val="2"/>
            <w:shd w:val="clear" w:color="auto" w:fill="auto"/>
            <w:vAlign w:val="center"/>
          </w:tcPr>
          <w:p w14:paraId="7AC7E4F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13.0</w:t>
            </w:r>
          </w:p>
        </w:tc>
        <w:tc>
          <w:tcPr>
            <w:tcW w:w="138" w:type="pct"/>
            <w:gridSpan w:val="2"/>
            <w:shd w:val="clear" w:color="auto" w:fill="auto"/>
            <w:vAlign w:val="center"/>
          </w:tcPr>
          <w:p w14:paraId="5DFA3F0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16.5</w:t>
            </w:r>
          </w:p>
        </w:tc>
        <w:tc>
          <w:tcPr>
            <w:tcW w:w="137" w:type="pct"/>
            <w:gridSpan w:val="2"/>
            <w:shd w:val="clear" w:color="auto" w:fill="auto"/>
            <w:vAlign w:val="center"/>
          </w:tcPr>
          <w:p w14:paraId="1BEB211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13.6</w:t>
            </w:r>
          </w:p>
        </w:tc>
        <w:tc>
          <w:tcPr>
            <w:tcW w:w="139" w:type="pct"/>
            <w:gridSpan w:val="2"/>
            <w:shd w:val="clear" w:color="auto" w:fill="auto"/>
            <w:vAlign w:val="center"/>
          </w:tcPr>
          <w:p w14:paraId="7B9D33D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17.2</w:t>
            </w:r>
          </w:p>
        </w:tc>
        <w:tc>
          <w:tcPr>
            <w:tcW w:w="157" w:type="pct"/>
            <w:gridSpan w:val="2"/>
            <w:shd w:val="clear" w:color="auto" w:fill="auto"/>
            <w:vAlign w:val="center"/>
          </w:tcPr>
          <w:p w14:paraId="3ABB1D2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2类</w:t>
            </w:r>
          </w:p>
        </w:tc>
        <w:tc>
          <w:tcPr>
            <w:tcW w:w="134" w:type="pct"/>
            <w:gridSpan w:val="2"/>
            <w:vMerge w:val="continue"/>
            <w:vAlign w:val="center"/>
          </w:tcPr>
          <w:p w14:paraId="42C3EB1C">
            <w:pPr>
              <w:widowControl/>
              <w:jc w:val="center"/>
              <w:rPr>
                <w:rFonts w:ascii="Times New Roman" w:hAnsi="Times New Roman" w:eastAsia="宋体" w:cs="Times New Roman"/>
                <w:kern w:val="0"/>
                <w:szCs w:val="21"/>
              </w:rPr>
            </w:pPr>
          </w:p>
        </w:tc>
        <w:tc>
          <w:tcPr>
            <w:tcW w:w="134" w:type="pct"/>
            <w:gridSpan w:val="2"/>
            <w:vMerge w:val="continue"/>
            <w:vAlign w:val="center"/>
          </w:tcPr>
          <w:p w14:paraId="7DD44B71">
            <w:pPr>
              <w:widowControl/>
              <w:jc w:val="center"/>
              <w:rPr>
                <w:rFonts w:ascii="Times New Roman" w:hAnsi="Times New Roman" w:eastAsia="宋体" w:cs="Times New Roman"/>
                <w:kern w:val="0"/>
                <w:szCs w:val="21"/>
              </w:rPr>
            </w:pPr>
          </w:p>
        </w:tc>
      </w:tr>
      <w:tr w14:paraId="4D98F208">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7" w:type="pct"/>
            <w:vMerge w:val="restart"/>
            <w:shd w:val="clear" w:color="auto" w:fill="auto"/>
            <w:vAlign w:val="center"/>
          </w:tcPr>
          <w:p w14:paraId="6D5C838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19</w:t>
            </w:r>
          </w:p>
        </w:tc>
        <w:tc>
          <w:tcPr>
            <w:tcW w:w="319" w:type="pct"/>
            <w:vMerge w:val="restart"/>
            <w:shd w:val="clear" w:color="auto" w:fill="auto"/>
            <w:vAlign w:val="center"/>
          </w:tcPr>
          <w:p w14:paraId="3F4471E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提木村</w:t>
            </w:r>
          </w:p>
        </w:tc>
        <w:tc>
          <w:tcPr>
            <w:tcW w:w="145" w:type="pct"/>
            <w:vMerge w:val="restart"/>
            <w:shd w:val="clear" w:color="auto" w:fill="auto"/>
            <w:vAlign w:val="center"/>
          </w:tcPr>
          <w:p w14:paraId="6320D44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两侧</w:t>
            </w:r>
          </w:p>
        </w:tc>
        <w:tc>
          <w:tcPr>
            <w:tcW w:w="188" w:type="pct"/>
            <w:shd w:val="clear" w:color="auto" w:fill="auto"/>
            <w:noWrap/>
            <w:vAlign w:val="center"/>
          </w:tcPr>
          <w:p w14:paraId="2768C45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23</w:t>
            </w:r>
          </w:p>
        </w:tc>
        <w:tc>
          <w:tcPr>
            <w:tcW w:w="131" w:type="pct"/>
            <w:vMerge w:val="restart"/>
            <w:shd w:val="clear" w:color="auto" w:fill="auto"/>
            <w:vAlign w:val="center"/>
          </w:tcPr>
          <w:p w14:paraId="363E6B2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w:t>
            </w:r>
          </w:p>
        </w:tc>
        <w:tc>
          <w:tcPr>
            <w:tcW w:w="232" w:type="pct"/>
            <w:vMerge w:val="restart"/>
            <w:shd w:val="clear" w:color="auto" w:fill="auto"/>
            <w:vAlign w:val="center"/>
          </w:tcPr>
          <w:p w14:paraId="7D7EA12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0</w:t>
            </w:r>
          </w:p>
        </w:tc>
        <w:tc>
          <w:tcPr>
            <w:tcW w:w="147" w:type="pct"/>
            <w:vMerge w:val="restart"/>
            <w:shd w:val="clear" w:color="auto" w:fill="auto"/>
            <w:vAlign w:val="center"/>
          </w:tcPr>
          <w:p w14:paraId="62BDA83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1层</w:t>
            </w:r>
          </w:p>
        </w:tc>
        <w:tc>
          <w:tcPr>
            <w:tcW w:w="137" w:type="pct"/>
            <w:shd w:val="clear" w:color="auto" w:fill="auto"/>
            <w:vAlign w:val="center"/>
          </w:tcPr>
          <w:p w14:paraId="70787B2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61.1</w:t>
            </w:r>
          </w:p>
        </w:tc>
        <w:tc>
          <w:tcPr>
            <w:tcW w:w="137" w:type="pct"/>
            <w:shd w:val="clear" w:color="auto" w:fill="auto"/>
            <w:vAlign w:val="center"/>
          </w:tcPr>
          <w:p w14:paraId="0B211AC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57.2</w:t>
            </w:r>
          </w:p>
        </w:tc>
        <w:tc>
          <w:tcPr>
            <w:tcW w:w="137" w:type="pct"/>
            <w:gridSpan w:val="2"/>
            <w:shd w:val="clear" w:color="auto" w:fill="auto"/>
            <w:vAlign w:val="center"/>
          </w:tcPr>
          <w:p w14:paraId="00559B8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61.9</w:t>
            </w:r>
          </w:p>
        </w:tc>
        <w:tc>
          <w:tcPr>
            <w:tcW w:w="137" w:type="pct"/>
            <w:gridSpan w:val="2"/>
            <w:shd w:val="clear" w:color="auto" w:fill="auto"/>
            <w:vAlign w:val="center"/>
          </w:tcPr>
          <w:p w14:paraId="22B450B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57.8</w:t>
            </w:r>
          </w:p>
        </w:tc>
        <w:tc>
          <w:tcPr>
            <w:tcW w:w="137" w:type="pct"/>
            <w:gridSpan w:val="2"/>
            <w:shd w:val="clear" w:color="auto" w:fill="auto"/>
            <w:vAlign w:val="center"/>
          </w:tcPr>
          <w:p w14:paraId="5047C14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62.6</w:t>
            </w:r>
          </w:p>
        </w:tc>
        <w:tc>
          <w:tcPr>
            <w:tcW w:w="139" w:type="pct"/>
            <w:gridSpan w:val="2"/>
            <w:shd w:val="clear" w:color="auto" w:fill="auto"/>
            <w:vAlign w:val="center"/>
          </w:tcPr>
          <w:p w14:paraId="28FA655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58.7</w:t>
            </w:r>
          </w:p>
        </w:tc>
        <w:tc>
          <w:tcPr>
            <w:tcW w:w="137" w:type="pct"/>
            <w:gridSpan w:val="2"/>
            <w:shd w:val="clear" w:color="auto" w:fill="auto"/>
            <w:vAlign w:val="center"/>
          </w:tcPr>
          <w:p w14:paraId="5426639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61.2</w:t>
            </w:r>
          </w:p>
        </w:tc>
        <w:tc>
          <w:tcPr>
            <w:tcW w:w="137" w:type="pct"/>
            <w:gridSpan w:val="2"/>
            <w:shd w:val="clear" w:color="auto" w:fill="auto"/>
            <w:vAlign w:val="center"/>
          </w:tcPr>
          <w:p w14:paraId="554FB42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57.3</w:t>
            </w:r>
          </w:p>
        </w:tc>
        <w:tc>
          <w:tcPr>
            <w:tcW w:w="137" w:type="pct"/>
            <w:gridSpan w:val="2"/>
            <w:shd w:val="clear" w:color="auto" w:fill="auto"/>
            <w:vAlign w:val="center"/>
          </w:tcPr>
          <w:p w14:paraId="5BF7E82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62.0</w:t>
            </w:r>
          </w:p>
        </w:tc>
        <w:tc>
          <w:tcPr>
            <w:tcW w:w="139" w:type="pct"/>
            <w:gridSpan w:val="2"/>
            <w:shd w:val="clear" w:color="auto" w:fill="auto"/>
            <w:vAlign w:val="center"/>
          </w:tcPr>
          <w:p w14:paraId="14BEF0F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58.0</w:t>
            </w:r>
          </w:p>
        </w:tc>
        <w:tc>
          <w:tcPr>
            <w:tcW w:w="137" w:type="pct"/>
            <w:gridSpan w:val="2"/>
            <w:shd w:val="clear" w:color="auto" w:fill="auto"/>
            <w:vAlign w:val="center"/>
          </w:tcPr>
          <w:p w14:paraId="7A10A0D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62.7</w:t>
            </w:r>
          </w:p>
        </w:tc>
        <w:tc>
          <w:tcPr>
            <w:tcW w:w="139" w:type="pct"/>
            <w:gridSpan w:val="2"/>
            <w:shd w:val="clear" w:color="auto" w:fill="auto"/>
            <w:vAlign w:val="center"/>
          </w:tcPr>
          <w:p w14:paraId="7B671BD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58.8</w:t>
            </w:r>
          </w:p>
        </w:tc>
        <w:tc>
          <w:tcPr>
            <w:tcW w:w="137" w:type="pct"/>
            <w:gridSpan w:val="2"/>
            <w:shd w:val="clear" w:color="auto" w:fill="auto"/>
            <w:vAlign w:val="center"/>
          </w:tcPr>
          <w:p w14:paraId="0B68BAB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8" w:type="pct"/>
            <w:gridSpan w:val="2"/>
            <w:shd w:val="clear" w:color="auto" w:fill="auto"/>
            <w:vAlign w:val="center"/>
          </w:tcPr>
          <w:p w14:paraId="108F66A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2.3</w:t>
            </w:r>
          </w:p>
        </w:tc>
        <w:tc>
          <w:tcPr>
            <w:tcW w:w="137" w:type="pct"/>
            <w:gridSpan w:val="2"/>
            <w:shd w:val="clear" w:color="auto" w:fill="auto"/>
            <w:vAlign w:val="center"/>
          </w:tcPr>
          <w:p w14:paraId="5522A26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gridSpan w:val="2"/>
            <w:shd w:val="clear" w:color="auto" w:fill="auto"/>
            <w:vAlign w:val="center"/>
          </w:tcPr>
          <w:p w14:paraId="29B6B3A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3.0</w:t>
            </w:r>
          </w:p>
        </w:tc>
        <w:tc>
          <w:tcPr>
            <w:tcW w:w="137" w:type="pct"/>
            <w:gridSpan w:val="2"/>
            <w:shd w:val="clear" w:color="auto" w:fill="auto"/>
            <w:vAlign w:val="center"/>
          </w:tcPr>
          <w:p w14:paraId="57C23B8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gridSpan w:val="2"/>
            <w:shd w:val="clear" w:color="auto" w:fill="auto"/>
            <w:vAlign w:val="center"/>
          </w:tcPr>
          <w:p w14:paraId="4757EF2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3.8</w:t>
            </w:r>
          </w:p>
        </w:tc>
        <w:tc>
          <w:tcPr>
            <w:tcW w:w="137" w:type="pct"/>
            <w:gridSpan w:val="2"/>
            <w:shd w:val="clear" w:color="auto" w:fill="auto"/>
            <w:vAlign w:val="center"/>
          </w:tcPr>
          <w:p w14:paraId="7B0C80E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16.7</w:t>
            </w:r>
          </w:p>
        </w:tc>
        <w:tc>
          <w:tcPr>
            <w:tcW w:w="139" w:type="pct"/>
            <w:gridSpan w:val="2"/>
            <w:shd w:val="clear" w:color="auto" w:fill="auto"/>
            <w:vAlign w:val="center"/>
          </w:tcPr>
          <w:p w14:paraId="0B6FF9E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20.3</w:t>
            </w:r>
          </w:p>
        </w:tc>
        <w:tc>
          <w:tcPr>
            <w:tcW w:w="137" w:type="pct"/>
            <w:gridSpan w:val="2"/>
            <w:shd w:val="clear" w:color="auto" w:fill="auto"/>
            <w:vAlign w:val="center"/>
          </w:tcPr>
          <w:p w14:paraId="6ED3073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17.5</w:t>
            </w:r>
          </w:p>
        </w:tc>
        <w:tc>
          <w:tcPr>
            <w:tcW w:w="138" w:type="pct"/>
            <w:gridSpan w:val="2"/>
            <w:shd w:val="clear" w:color="auto" w:fill="auto"/>
            <w:vAlign w:val="center"/>
          </w:tcPr>
          <w:p w14:paraId="122CFC5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21.0</w:t>
            </w:r>
          </w:p>
        </w:tc>
        <w:tc>
          <w:tcPr>
            <w:tcW w:w="137" w:type="pct"/>
            <w:gridSpan w:val="2"/>
            <w:shd w:val="clear" w:color="auto" w:fill="auto"/>
            <w:vAlign w:val="center"/>
          </w:tcPr>
          <w:p w14:paraId="5490F0E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18.2</w:t>
            </w:r>
          </w:p>
        </w:tc>
        <w:tc>
          <w:tcPr>
            <w:tcW w:w="139" w:type="pct"/>
            <w:gridSpan w:val="2"/>
            <w:shd w:val="clear" w:color="auto" w:fill="auto"/>
            <w:vAlign w:val="center"/>
          </w:tcPr>
          <w:p w14:paraId="704A3D9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21.8</w:t>
            </w:r>
          </w:p>
        </w:tc>
        <w:tc>
          <w:tcPr>
            <w:tcW w:w="157" w:type="pct"/>
            <w:gridSpan w:val="2"/>
            <w:shd w:val="clear" w:color="auto" w:fill="auto"/>
            <w:vAlign w:val="center"/>
          </w:tcPr>
          <w:p w14:paraId="1EB151C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4a类</w:t>
            </w:r>
          </w:p>
        </w:tc>
        <w:tc>
          <w:tcPr>
            <w:tcW w:w="134" w:type="pct"/>
            <w:gridSpan w:val="2"/>
            <w:vMerge w:val="restart"/>
            <w:shd w:val="clear" w:color="auto" w:fill="auto"/>
            <w:vAlign w:val="center"/>
          </w:tcPr>
          <w:p w14:paraId="5D32A38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44.5</w:t>
            </w:r>
          </w:p>
        </w:tc>
        <w:tc>
          <w:tcPr>
            <w:tcW w:w="134" w:type="pct"/>
            <w:gridSpan w:val="2"/>
            <w:vMerge w:val="restart"/>
            <w:shd w:val="clear" w:color="auto" w:fill="auto"/>
            <w:vAlign w:val="center"/>
          </w:tcPr>
          <w:p w14:paraId="555A5B8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37.0</w:t>
            </w:r>
          </w:p>
        </w:tc>
      </w:tr>
      <w:tr w14:paraId="6D20696C">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7" w:type="pct"/>
            <w:vMerge w:val="continue"/>
            <w:vAlign w:val="center"/>
          </w:tcPr>
          <w:p w14:paraId="6A7C287E">
            <w:pPr>
              <w:widowControl/>
              <w:jc w:val="center"/>
              <w:rPr>
                <w:rFonts w:ascii="Times New Roman" w:hAnsi="Times New Roman" w:eastAsia="宋体" w:cs="Times New Roman"/>
                <w:kern w:val="0"/>
                <w:szCs w:val="21"/>
              </w:rPr>
            </w:pPr>
          </w:p>
        </w:tc>
        <w:tc>
          <w:tcPr>
            <w:tcW w:w="319" w:type="pct"/>
            <w:vMerge w:val="continue"/>
            <w:vAlign w:val="center"/>
          </w:tcPr>
          <w:p w14:paraId="3FBA3DB6">
            <w:pPr>
              <w:widowControl/>
              <w:jc w:val="center"/>
              <w:rPr>
                <w:rFonts w:ascii="Times New Roman" w:hAnsi="Times New Roman" w:eastAsia="宋体" w:cs="Times New Roman"/>
                <w:kern w:val="0"/>
                <w:szCs w:val="21"/>
              </w:rPr>
            </w:pPr>
          </w:p>
        </w:tc>
        <w:tc>
          <w:tcPr>
            <w:tcW w:w="145" w:type="pct"/>
            <w:vMerge w:val="continue"/>
            <w:vAlign w:val="center"/>
          </w:tcPr>
          <w:p w14:paraId="79F13328">
            <w:pPr>
              <w:widowControl/>
              <w:jc w:val="center"/>
              <w:rPr>
                <w:rFonts w:ascii="Times New Roman" w:hAnsi="Times New Roman" w:eastAsia="宋体" w:cs="Times New Roman"/>
                <w:kern w:val="0"/>
                <w:szCs w:val="21"/>
              </w:rPr>
            </w:pPr>
          </w:p>
        </w:tc>
        <w:tc>
          <w:tcPr>
            <w:tcW w:w="188" w:type="pct"/>
            <w:shd w:val="clear" w:color="auto" w:fill="auto"/>
            <w:noWrap/>
            <w:vAlign w:val="center"/>
          </w:tcPr>
          <w:p w14:paraId="1C41F4D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w:t>
            </w:r>
          </w:p>
        </w:tc>
        <w:tc>
          <w:tcPr>
            <w:tcW w:w="131" w:type="pct"/>
            <w:vMerge w:val="continue"/>
            <w:vAlign w:val="center"/>
          </w:tcPr>
          <w:p w14:paraId="34B6C68C">
            <w:pPr>
              <w:widowControl/>
              <w:jc w:val="center"/>
              <w:rPr>
                <w:rFonts w:ascii="Times New Roman" w:hAnsi="Times New Roman" w:eastAsia="宋体" w:cs="Times New Roman"/>
                <w:kern w:val="0"/>
                <w:szCs w:val="21"/>
              </w:rPr>
            </w:pPr>
          </w:p>
        </w:tc>
        <w:tc>
          <w:tcPr>
            <w:tcW w:w="232" w:type="pct"/>
            <w:vMerge w:val="continue"/>
            <w:vAlign w:val="center"/>
          </w:tcPr>
          <w:p w14:paraId="04754F58">
            <w:pPr>
              <w:widowControl/>
              <w:jc w:val="center"/>
              <w:rPr>
                <w:rFonts w:ascii="Times New Roman" w:hAnsi="Times New Roman" w:eastAsia="宋体" w:cs="Times New Roman"/>
                <w:kern w:val="0"/>
                <w:szCs w:val="21"/>
              </w:rPr>
            </w:pPr>
          </w:p>
        </w:tc>
        <w:tc>
          <w:tcPr>
            <w:tcW w:w="147" w:type="pct"/>
            <w:vMerge w:val="continue"/>
            <w:vAlign w:val="center"/>
          </w:tcPr>
          <w:p w14:paraId="457FCA15">
            <w:pPr>
              <w:widowControl/>
              <w:jc w:val="center"/>
              <w:rPr>
                <w:rFonts w:ascii="Times New Roman" w:hAnsi="Times New Roman" w:eastAsia="宋体" w:cs="Times New Roman"/>
                <w:kern w:val="0"/>
                <w:szCs w:val="21"/>
              </w:rPr>
            </w:pPr>
          </w:p>
        </w:tc>
        <w:tc>
          <w:tcPr>
            <w:tcW w:w="137" w:type="pct"/>
            <w:shd w:val="clear" w:color="auto" w:fill="auto"/>
            <w:vAlign w:val="center"/>
          </w:tcPr>
          <w:p w14:paraId="25492CE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56.2</w:t>
            </w:r>
          </w:p>
        </w:tc>
        <w:tc>
          <w:tcPr>
            <w:tcW w:w="137" w:type="pct"/>
            <w:shd w:val="clear" w:color="auto" w:fill="auto"/>
            <w:vAlign w:val="center"/>
          </w:tcPr>
          <w:p w14:paraId="041D89E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52.3</w:t>
            </w:r>
          </w:p>
        </w:tc>
        <w:tc>
          <w:tcPr>
            <w:tcW w:w="137" w:type="pct"/>
            <w:gridSpan w:val="2"/>
            <w:shd w:val="clear" w:color="auto" w:fill="auto"/>
            <w:vAlign w:val="center"/>
          </w:tcPr>
          <w:p w14:paraId="3663A40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56.9</w:t>
            </w:r>
          </w:p>
        </w:tc>
        <w:tc>
          <w:tcPr>
            <w:tcW w:w="137" w:type="pct"/>
            <w:gridSpan w:val="2"/>
            <w:shd w:val="clear" w:color="auto" w:fill="auto"/>
            <w:vAlign w:val="center"/>
          </w:tcPr>
          <w:p w14:paraId="05C742B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52.9</w:t>
            </w:r>
          </w:p>
        </w:tc>
        <w:tc>
          <w:tcPr>
            <w:tcW w:w="137" w:type="pct"/>
            <w:gridSpan w:val="2"/>
            <w:shd w:val="clear" w:color="auto" w:fill="auto"/>
            <w:vAlign w:val="center"/>
          </w:tcPr>
          <w:p w14:paraId="33FCEA1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57.7</w:t>
            </w:r>
          </w:p>
        </w:tc>
        <w:tc>
          <w:tcPr>
            <w:tcW w:w="139" w:type="pct"/>
            <w:gridSpan w:val="2"/>
            <w:shd w:val="clear" w:color="auto" w:fill="auto"/>
            <w:vAlign w:val="center"/>
          </w:tcPr>
          <w:p w14:paraId="65BE94D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53.8</w:t>
            </w:r>
          </w:p>
        </w:tc>
        <w:tc>
          <w:tcPr>
            <w:tcW w:w="137" w:type="pct"/>
            <w:gridSpan w:val="2"/>
            <w:shd w:val="clear" w:color="auto" w:fill="auto"/>
            <w:vAlign w:val="center"/>
          </w:tcPr>
          <w:p w14:paraId="61C0286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56.4</w:t>
            </w:r>
          </w:p>
        </w:tc>
        <w:tc>
          <w:tcPr>
            <w:tcW w:w="137" w:type="pct"/>
            <w:gridSpan w:val="2"/>
            <w:shd w:val="clear" w:color="auto" w:fill="auto"/>
            <w:vAlign w:val="center"/>
          </w:tcPr>
          <w:p w14:paraId="376F467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52.4</w:t>
            </w:r>
          </w:p>
        </w:tc>
        <w:tc>
          <w:tcPr>
            <w:tcW w:w="137" w:type="pct"/>
            <w:gridSpan w:val="2"/>
            <w:shd w:val="clear" w:color="auto" w:fill="auto"/>
            <w:vAlign w:val="center"/>
          </w:tcPr>
          <w:p w14:paraId="0D50383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57.2</w:t>
            </w:r>
          </w:p>
        </w:tc>
        <w:tc>
          <w:tcPr>
            <w:tcW w:w="139" w:type="pct"/>
            <w:gridSpan w:val="2"/>
            <w:shd w:val="clear" w:color="auto" w:fill="auto"/>
            <w:vAlign w:val="center"/>
          </w:tcPr>
          <w:p w14:paraId="7635B70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53.0</w:t>
            </w:r>
          </w:p>
        </w:tc>
        <w:tc>
          <w:tcPr>
            <w:tcW w:w="137" w:type="pct"/>
            <w:gridSpan w:val="2"/>
            <w:shd w:val="clear" w:color="auto" w:fill="auto"/>
            <w:vAlign w:val="center"/>
          </w:tcPr>
          <w:p w14:paraId="5F35699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57.9</w:t>
            </w:r>
          </w:p>
        </w:tc>
        <w:tc>
          <w:tcPr>
            <w:tcW w:w="139" w:type="pct"/>
            <w:gridSpan w:val="2"/>
            <w:shd w:val="clear" w:color="auto" w:fill="auto"/>
            <w:vAlign w:val="center"/>
          </w:tcPr>
          <w:p w14:paraId="55E104D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53.9</w:t>
            </w:r>
          </w:p>
        </w:tc>
        <w:tc>
          <w:tcPr>
            <w:tcW w:w="137" w:type="pct"/>
            <w:gridSpan w:val="2"/>
            <w:shd w:val="clear" w:color="auto" w:fill="auto"/>
            <w:vAlign w:val="center"/>
          </w:tcPr>
          <w:p w14:paraId="0F5B492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8" w:type="pct"/>
            <w:gridSpan w:val="2"/>
            <w:shd w:val="clear" w:color="auto" w:fill="auto"/>
            <w:vAlign w:val="center"/>
          </w:tcPr>
          <w:p w14:paraId="10EBA32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2.4</w:t>
            </w:r>
          </w:p>
        </w:tc>
        <w:tc>
          <w:tcPr>
            <w:tcW w:w="137" w:type="pct"/>
            <w:gridSpan w:val="2"/>
            <w:shd w:val="clear" w:color="auto" w:fill="auto"/>
            <w:vAlign w:val="center"/>
          </w:tcPr>
          <w:p w14:paraId="289137A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gridSpan w:val="2"/>
            <w:shd w:val="clear" w:color="auto" w:fill="auto"/>
            <w:vAlign w:val="center"/>
          </w:tcPr>
          <w:p w14:paraId="35A2E2D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3.0</w:t>
            </w:r>
          </w:p>
        </w:tc>
        <w:tc>
          <w:tcPr>
            <w:tcW w:w="137" w:type="pct"/>
            <w:gridSpan w:val="2"/>
            <w:shd w:val="clear" w:color="auto" w:fill="auto"/>
            <w:vAlign w:val="center"/>
          </w:tcPr>
          <w:p w14:paraId="4D8733F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gridSpan w:val="2"/>
            <w:shd w:val="clear" w:color="auto" w:fill="auto"/>
            <w:vAlign w:val="center"/>
          </w:tcPr>
          <w:p w14:paraId="197D37D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3.9</w:t>
            </w:r>
          </w:p>
        </w:tc>
        <w:tc>
          <w:tcPr>
            <w:tcW w:w="137" w:type="pct"/>
            <w:gridSpan w:val="2"/>
            <w:shd w:val="clear" w:color="auto" w:fill="auto"/>
            <w:vAlign w:val="center"/>
          </w:tcPr>
          <w:p w14:paraId="3A7B1BE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11.9</w:t>
            </w:r>
          </w:p>
        </w:tc>
        <w:tc>
          <w:tcPr>
            <w:tcW w:w="139" w:type="pct"/>
            <w:gridSpan w:val="2"/>
            <w:shd w:val="clear" w:color="auto" w:fill="auto"/>
            <w:vAlign w:val="center"/>
          </w:tcPr>
          <w:p w14:paraId="5D50764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15.4</w:t>
            </w:r>
          </w:p>
        </w:tc>
        <w:tc>
          <w:tcPr>
            <w:tcW w:w="137" w:type="pct"/>
            <w:gridSpan w:val="2"/>
            <w:shd w:val="clear" w:color="auto" w:fill="auto"/>
            <w:vAlign w:val="center"/>
          </w:tcPr>
          <w:p w14:paraId="6AD347C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12.7</w:t>
            </w:r>
          </w:p>
        </w:tc>
        <w:tc>
          <w:tcPr>
            <w:tcW w:w="138" w:type="pct"/>
            <w:gridSpan w:val="2"/>
            <w:shd w:val="clear" w:color="auto" w:fill="auto"/>
            <w:vAlign w:val="center"/>
          </w:tcPr>
          <w:p w14:paraId="4DB44DF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16.0</w:t>
            </w:r>
          </w:p>
        </w:tc>
        <w:tc>
          <w:tcPr>
            <w:tcW w:w="137" w:type="pct"/>
            <w:gridSpan w:val="2"/>
            <w:shd w:val="clear" w:color="auto" w:fill="auto"/>
            <w:vAlign w:val="center"/>
          </w:tcPr>
          <w:p w14:paraId="56C9A4D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13.4</w:t>
            </w:r>
          </w:p>
        </w:tc>
        <w:tc>
          <w:tcPr>
            <w:tcW w:w="139" w:type="pct"/>
            <w:gridSpan w:val="2"/>
            <w:shd w:val="clear" w:color="auto" w:fill="auto"/>
            <w:vAlign w:val="center"/>
          </w:tcPr>
          <w:p w14:paraId="06D38D8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16.9</w:t>
            </w:r>
          </w:p>
        </w:tc>
        <w:tc>
          <w:tcPr>
            <w:tcW w:w="157" w:type="pct"/>
            <w:gridSpan w:val="2"/>
            <w:shd w:val="clear" w:color="auto" w:fill="auto"/>
            <w:vAlign w:val="center"/>
          </w:tcPr>
          <w:p w14:paraId="498344E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2类</w:t>
            </w:r>
          </w:p>
        </w:tc>
        <w:tc>
          <w:tcPr>
            <w:tcW w:w="134" w:type="pct"/>
            <w:gridSpan w:val="2"/>
            <w:vMerge w:val="continue"/>
            <w:vAlign w:val="center"/>
          </w:tcPr>
          <w:p w14:paraId="49C384AC">
            <w:pPr>
              <w:widowControl/>
              <w:jc w:val="center"/>
              <w:rPr>
                <w:rFonts w:ascii="Times New Roman" w:hAnsi="Times New Roman" w:eastAsia="宋体" w:cs="Times New Roman"/>
                <w:kern w:val="0"/>
                <w:szCs w:val="21"/>
              </w:rPr>
            </w:pPr>
          </w:p>
        </w:tc>
        <w:tc>
          <w:tcPr>
            <w:tcW w:w="134" w:type="pct"/>
            <w:gridSpan w:val="2"/>
            <w:vMerge w:val="continue"/>
            <w:vAlign w:val="center"/>
          </w:tcPr>
          <w:p w14:paraId="403743BC">
            <w:pPr>
              <w:widowControl/>
              <w:jc w:val="center"/>
              <w:rPr>
                <w:rFonts w:ascii="Times New Roman" w:hAnsi="Times New Roman" w:eastAsia="宋体" w:cs="Times New Roman"/>
                <w:kern w:val="0"/>
                <w:szCs w:val="21"/>
              </w:rPr>
            </w:pPr>
          </w:p>
        </w:tc>
      </w:tr>
      <w:tr w14:paraId="7849D820">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7" w:type="pct"/>
            <w:vMerge w:val="restart"/>
            <w:shd w:val="clear" w:color="auto" w:fill="auto"/>
            <w:vAlign w:val="center"/>
          </w:tcPr>
          <w:p w14:paraId="1F8016C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20</w:t>
            </w:r>
          </w:p>
        </w:tc>
        <w:tc>
          <w:tcPr>
            <w:tcW w:w="319" w:type="pct"/>
            <w:vMerge w:val="restart"/>
            <w:shd w:val="clear" w:color="auto" w:fill="auto"/>
            <w:vAlign w:val="center"/>
          </w:tcPr>
          <w:p w14:paraId="7334D89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吐碗</w:t>
            </w:r>
          </w:p>
        </w:tc>
        <w:tc>
          <w:tcPr>
            <w:tcW w:w="145" w:type="pct"/>
            <w:vMerge w:val="restart"/>
            <w:shd w:val="clear" w:color="auto" w:fill="auto"/>
            <w:vAlign w:val="center"/>
          </w:tcPr>
          <w:p w14:paraId="7F25A68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路右</w:t>
            </w:r>
          </w:p>
        </w:tc>
        <w:tc>
          <w:tcPr>
            <w:tcW w:w="188" w:type="pct"/>
            <w:shd w:val="clear" w:color="auto" w:fill="auto"/>
            <w:noWrap/>
            <w:vAlign w:val="center"/>
          </w:tcPr>
          <w:p w14:paraId="0A1554A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21</w:t>
            </w:r>
          </w:p>
        </w:tc>
        <w:tc>
          <w:tcPr>
            <w:tcW w:w="131" w:type="pct"/>
            <w:vMerge w:val="restart"/>
            <w:shd w:val="clear" w:color="auto" w:fill="auto"/>
            <w:vAlign w:val="center"/>
          </w:tcPr>
          <w:p w14:paraId="39E542E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w:t>
            </w:r>
          </w:p>
        </w:tc>
        <w:tc>
          <w:tcPr>
            <w:tcW w:w="232" w:type="pct"/>
            <w:vMerge w:val="restart"/>
            <w:shd w:val="clear" w:color="auto" w:fill="auto"/>
            <w:vAlign w:val="center"/>
          </w:tcPr>
          <w:p w14:paraId="16E8FA4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0</w:t>
            </w:r>
          </w:p>
        </w:tc>
        <w:tc>
          <w:tcPr>
            <w:tcW w:w="147" w:type="pct"/>
            <w:vMerge w:val="restart"/>
            <w:shd w:val="clear" w:color="auto" w:fill="auto"/>
            <w:vAlign w:val="center"/>
          </w:tcPr>
          <w:p w14:paraId="3599783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1层</w:t>
            </w:r>
          </w:p>
        </w:tc>
        <w:tc>
          <w:tcPr>
            <w:tcW w:w="137" w:type="pct"/>
            <w:shd w:val="clear" w:color="auto" w:fill="auto"/>
            <w:vAlign w:val="center"/>
          </w:tcPr>
          <w:p w14:paraId="50AADA2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64.5</w:t>
            </w:r>
          </w:p>
        </w:tc>
        <w:tc>
          <w:tcPr>
            <w:tcW w:w="137" w:type="pct"/>
            <w:shd w:val="clear" w:color="auto" w:fill="auto"/>
            <w:vAlign w:val="center"/>
          </w:tcPr>
          <w:p w14:paraId="73AC808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60.7</w:t>
            </w:r>
          </w:p>
        </w:tc>
        <w:tc>
          <w:tcPr>
            <w:tcW w:w="137" w:type="pct"/>
            <w:gridSpan w:val="2"/>
            <w:shd w:val="clear" w:color="auto" w:fill="auto"/>
            <w:vAlign w:val="center"/>
          </w:tcPr>
          <w:p w14:paraId="0BF91C8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65.3</w:t>
            </w:r>
          </w:p>
        </w:tc>
        <w:tc>
          <w:tcPr>
            <w:tcW w:w="137" w:type="pct"/>
            <w:gridSpan w:val="2"/>
            <w:shd w:val="clear" w:color="auto" w:fill="auto"/>
            <w:vAlign w:val="center"/>
          </w:tcPr>
          <w:p w14:paraId="35DB465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61.4</w:t>
            </w:r>
          </w:p>
        </w:tc>
        <w:tc>
          <w:tcPr>
            <w:tcW w:w="137" w:type="pct"/>
            <w:gridSpan w:val="2"/>
            <w:shd w:val="clear" w:color="auto" w:fill="auto"/>
            <w:vAlign w:val="center"/>
          </w:tcPr>
          <w:p w14:paraId="1549ABD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66.0</w:t>
            </w:r>
          </w:p>
        </w:tc>
        <w:tc>
          <w:tcPr>
            <w:tcW w:w="139" w:type="pct"/>
            <w:gridSpan w:val="2"/>
            <w:shd w:val="clear" w:color="auto" w:fill="auto"/>
            <w:vAlign w:val="center"/>
          </w:tcPr>
          <w:p w14:paraId="5E3FDA4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62.2</w:t>
            </w:r>
          </w:p>
        </w:tc>
        <w:tc>
          <w:tcPr>
            <w:tcW w:w="137" w:type="pct"/>
            <w:gridSpan w:val="2"/>
            <w:shd w:val="clear" w:color="auto" w:fill="auto"/>
            <w:vAlign w:val="center"/>
          </w:tcPr>
          <w:p w14:paraId="2C4DEB5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64.6</w:t>
            </w:r>
          </w:p>
        </w:tc>
        <w:tc>
          <w:tcPr>
            <w:tcW w:w="137" w:type="pct"/>
            <w:gridSpan w:val="2"/>
            <w:shd w:val="clear" w:color="auto" w:fill="auto"/>
            <w:vAlign w:val="center"/>
          </w:tcPr>
          <w:p w14:paraId="6EE6374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60.7</w:t>
            </w:r>
          </w:p>
        </w:tc>
        <w:tc>
          <w:tcPr>
            <w:tcW w:w="137" w:type="pct"/>
            <w:gridSpan w:val="2"/>
            <w:shd w:val="clear" w:color="auto" w:fill="auto"/>
            <w:vAlign w:val="center"/>
          </w:tcPr>
          <w:p w14:paraId="132A70B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65.4</w:t>
            </w:r>
          </w:p>
        </w:tc>
        <w:tc>
          <w:tcPr>
            <w:tcW w:w="139" w:type="pct"/>
            <w:gridSpan w:val="2"/>
            <w:shd w:val="clear" w:color="auto" w:fill="auto"/>
            <w:vAlign w:val="center"/>
          </w:tcPr>
          <w:p w14:paraId="343B3B0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61.5</w:t>
            </w:r>
          </w:p>
        </w:tc>
        <w:tc>
          <w:tcPr>
            <w:tcW w:w="137" w:type="pct"/>
            <w:gridSpan w:val="2"/>
            <w:shd w:val="clear" w:color="auto" w:fill="auto"/>
            <w:vAlign w:val="center"/>
          </w:tcPr>
          <w:p w14:paraId="5881874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66.1</w:t>
            </w:r>
          </w:p>
        </w:tc>
        <w:tc>
          <w:tcPr>
            <w:tcW w:w="139" w:type="pct"/>
            <w:gridSpan w:val="2"/>
            <w:shd w:val="clear" w:color="auto" w:fill="auto"/>
            <w:vAlign w:val="center"/>
          </w:tcPr>
          <w:p w14:paraId="2F6FEAF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62.2</w:t>
            </w:r>
          </w:p>
        </w:tc>
        <w:tc>
          <w:tcPr>
            <w:tcW w:w="137" w:type="pct"/>
            <w:gridSpan w:val="2"/>
            <w:shd w:val="clear" w:color="auto" w:fill="auto"/>
            <w:vAlign w:val="center"/>
          </w:tcPr>
          <w:p w14:paraId="00C92DE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8" w:type="pct"/>
            <w:gridSpan w:val="2"/>
            <w:shd w:val="clear" w:color="auto" w:fill="auto"/>
            <w:vAlign w:val="center"/>
          </w:tcPr>
          <w:p w14:paraId="7775C82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w:t>
            </w:r>
          </w:p>
        </w:tc>
        <w:tc>
          <w:tcPr>
            <w:tcW w:w="137" w:type="pct"/>
            <w:gridSpan w:val="2"/>
            <w:shd w:val="clear" w:color="auto" w:fill="auto"/>
            <w:vAlign w:val="center"/>
          </w:tcPr>
          <w:p w14:paraId="72B6F11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gridSpan w:val="2"/>
            <w:shd w:val="clear" w:color="auto" w:fill="auto"/>
            <w:vAlign w:val="center"/>
          </w:tcPr>
          <w:p w14:paraId="020CC97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6.5</w:t>
            </w:r>
          </w:p>
        </w:tc>
        <w:tc>
          <w:tcPr>
            <w:tcW w:w="137" w:type="pct"/>
            <w:gridSpan w:val="2"/>
            <w:shd w:val="clear" w:color="auto" w:fill="auto"/>
            <w:vAlign w:val="center"/>
          </w:tcPr>
          <w:p w14:paraId="19E32AB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gridSpan w:val="2"/>
            <w:shd w:val="clear" w:color="auto" w:fill="auto"/>
            <w:vAlign w:val="center"/>
          </w:tcPr>
          <w:p w14:paraId="6845B6B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7.2</w:t>
            </w:r>
          </w:p>
        </w:tc>
        <w:tc>
          <w:tcPr>
            <w:tcW w:w="137" w:type="pct"/>
            <w:gridSpan w:val="2"/>
            <w:shd w:val="clear" w:color="auto" w:fill="auto"/>
            <w:vAlign w:val="center"/>
          </w:tcPr>
          <w:p w14:paraId="1D3C19F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20.1</w:t>
            </w:r>
          </w:p>
        </w:tc>
        <w:tc>
          <w:tcPr>
            <w:tcW w:w="139" w:type="pct"/>
            <w:gridSpan w:val="2"/>
            <w:shd w:val="clear" w:color="auto" w:fill="auto"/>
            <w:vAlign w:val="center"/>
          </w:tcPr>
          <w:p w14:paraId="7B12B18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23.2</w:t>
            </w:r>
          </w:p>
        </w:tc>
        <w:tc>
          <w:tcPr>
            <w:tcW w:w="137" w:type="pct"/>
            <w:gridSpan w:val="2"/>
            <w:shd w:val="clear" w:color="auto" w:fill="auto"/>
            <w:vAlign w:val="center"/>
          </w:tcPr>
          <w:p w14:paraId="7FA45CB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20.9</w:t>
            </w:r>
          </w:p>
        </w:tc>
        <w:tc>
          <w:tcPr>
            <w:tcW w:w="138" w:type="pct"/>
            <w:gridSpan w:val="2"/>
            <w:shd w:val="clear" w:color="auto" w:fill="auto"/>
            <w:vAlign w:val="center"/>
          </w:tcPr>
          <w:p w14:paraId="6E02312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24.0</w:t>
            </w:r>
          </w:p>
        </w:tc>
        <w:tc>
          <w:tcPr>
            <w:tcW w:w="137" w:type="pct"/>
            <w:gridSpan w:val="2"/>
            <w:shd w:val="clear" w:color="auto" w:fill="auto"/>
            <w:vAlign w:val="center"/>
          </w:tcPr>
          <w:p w14:paraId="7C59AF5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21.6</w:t>
            </w:r>
          </w:p>
        </w:tc>
        <w:tc>
          <w:tcPr>
            <w:tcW w:w="139" w:type="pct"/>
            <w:gridSpan w:val="2"/>
            <w:shd w:val="clear" w:color="auto" w:fill="auto"/>
            <w:vAlign w:val="center"/>
          </w:tcPr>
          <w:p w14:paraId="4A53E71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24.7</w:t>
            </w:r>
          </w:p>
        </w:tc>
        <w:tc>
          <w:tcPr>
            <w:tcW w:w="157" w:type="pct"/>
            <w:gridSpan w:val="2"/>
            <w:shd w:val="clear" w:color="auto" w:fill="auto"/>
            <w:vAlign w:val="center"/>
          </w:tcPr>
          <w:p w14:paraId="1AB3053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4a类</w:t>
            </w:r>
          </w:p>
        </w:tc>
        <w:tc>
          <w:tcPr>
            <w:tcW w:w="134" w:type="pct"/>
            <w:gridSpan w:val="2"/>
            <w:vMerge w:val="restart"/>
            <w:shd w:val="clear" w:color="auto" w:fill="auto"/>
            <w:vAlign w:val="center"/>
          </w:tcPr>
          <w:p w14:paraId="53E505A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44.5</w:t>
            </w:r>
          </w:p>
        </w:tc>
        <w:tc>
          <w:tcPr>
            <w:tcW w:w="134" w:type="pct"/>
            <w:gridSpan w:val="2"/>
            <w:vMerge w:val="restart"/>
            <w:shd w:val="clear" w:color="auto" w:fill="auto"/>
            <w:vAlign w:val="center"/>
          </w:tcPr>
          <w:p w14:paraId="439F647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37.5</w:t>
            </w:r>
          </w:p>
        </w:tc>
      </w:tr>
      <w:tr w14:paraId="4326D1BB">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7" w:type="pct"/>
            <w:vMerge w:val="continue"/>
            <w:vAlign w:val="center"/>
          </w:tcPr>
          <w:p w14:paraId="1FA91039">
            <w:pPr>
              <w:widowControl/>
              <w:jc w:val="center"/>
              <w:rPr>
                <w:rFonts w:ascii="Times New Roman" w:hAnsi="Times New Roman" w:eastAsia="宋体" w:cs="Times New Roman"/>
                <w:kern w:val="0"/>
                <w:szCs w:val="21"/>
              </w:rPr>
            </w:pPr>
          </w:p>
        </w:tc>
        <w:tc>
          <w:tcPr>
            <w:tcW w:w="319" w:type="pct"/>
            <w:vMerge w:val="continue"/>
            <w:vAlign w:val="center"/>
          </w:tcPr>
          <w:p w14:paraId="4EE0E240">
            <w:pPr>
              <w:widowControl/>
              <w:jc w:val="center"/>
              <w:rPr>
                <w:rFonts w:ascii="Times New Roman" w:hAnsi="Times New Roman" w:eastAsia="宋体" w:cs="Times New Roman"/>
                <w:kern w:val="0"/>
                <w:szCs w:val="21"/>
              </w:rPr>
            </w:pPr>
          </w:p>
        </w:tc>
        <w:tc>
          <w:tcPr>
            <w:tcW w:w="145" w:type="pct"/>
            <w:vMerge w:val="continue"/>
            <w:vAlign w:val="center"/>
          </w:tcPr>
          <w:p w14:paraId="2C2AF556">
            <w:pPr>
              <w:widowControl/>
              <w:jc w:val="center"/>
              <w:rPr>
                <w:rFonts w:ascii="Times New Roman" w:hAnsi="Times New Roman" w:eastAsia="宋体" w:cs="Times New Roman"/>
                <w:kern w:val="0"/>
                <w:szCs w:val="21"/>
              </w:rPr>
            </w:pPr>
          </w:p>
        </w:tc>
        <w:tc>
          <w:tcPr>
            <w:tcW w:w="188" w:type="pct"/>
            <w:shd w:val="clear" w:color="auto" w:fill="auto"/>
            <w:noWrap/>
            <w:vAlign w:val="center"/>
          </w:tcPr>
          <w:p w14:paraId="24CAE87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w:t>
            </w:r>
          </w:p>
        </w:tc>
        <w:tc>
          <w:tcPr>
            <w:tcW w:w="131" w:type="pct"/>
            <w:vMerge w:val="continue"/>
            <w:vAlign w:val="center"/>
          </w:tcPr>
          <w:p w14:paraId="6FAA9FF9">
            <w:pPr>
              <w:widowControl/>
              <w:jc w:val="center"/>
              <w:rPr>
                <w:rFonts w:ascii="Times New Roman" w:hAnsi="Times New Roman" w:eastAsia="宋体" w:cs="Times New Roman"/>
                <w:kern w:val="0"/>
                <w:szCs w:val="21"/>
              </w:rPr>
            </w:pPr>
          </w:p>
        </w:tc>
        <w:tc>
          <w:tcPr>
            <w:tcW w:w="232" w:type="pct"/>
            <w:vMerge w:val="continue"/>
            <w:vAlign w:val="center"/>
          </w:tcPr>
          <w:p w14:paraId="2F48BF1C">
            <w:pPr>
              <w:widowControl/>
              <w:jc w:val="center"/>
              <w:rPr>
                <w:rFonts w:ascii="Times New Roman" w:hAnsi="Times New Roman" w:eastAsia="宋体" w:cs="Times New Roman"/>
                <w:kern w:val="0"/>
                <w:szCs w:val="21"/>
              </w:rPr>
            </w:pPr>
          </w:p>
        </w:tc>
        <w:tc>
          <w:tcPr>
            <w:tcW w:w="147" w:type="pct"/>
            <w:vMerge w:val="continue"/>
            <w:vAlign w:val="center"/>
          </w:tcPr>
          <w:p w14:paraId="1689EC2B">
            <w:pPr>
              <w:widowControl/>
              <w:jc w:val="center"/>
              <w:rPr>
                <w:rFonts w:ascii="Times New Roman" w:hAnsi="Times New Roman" w:eastAsia="宋体" w:cs="Times New Roman"/>
                <w:kern w:val="0"/>
                <w:szCs w:val="21"/>
              </w:rPr>
            </w:pPr>
          </w:p>
        </w:tc>
        <w:tc>
          <w:tcPr>
            <w:tcW w:w="137" w:type="pct"/>
            <w:shd w:val="clear" w:color="auto" w:fill="auto"/>
            <w:vAlign w:val="center"/>
          </w:tcPr>
          <w:p w14:paraId="0E01F6F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57.9</w:t>
            </w:r>
          </w:p>
        </w:tc>
        <w:tc>
          <w:tcPr>
            <w:tcW w:w="137" w:type="pct"/>
            <w:shd w:val="clear" w:color="auto" w:fill="auto"/>
            <w:vAlign w:val="center"/>
          </w:tcPr>
          <w:p w14:paraId="35758D5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54.0</w:t>
            </w:r>
          </w:p>
        </w:tc>
        <w:tc>
          <w:tcPr>
            <w:tcW w:w="137" w:type="pct"/>
            <w:gridSpan w:val="2"/>
            <w:shd w:val="clear" w:color="auto" w:fill="auto"/>
            <w:vAlign w:val="center"/>
          </w:tcPr>
          <w:p w14:paraId="4FA635B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58.7</w:t>
            </w:r>
          </w:p>
        </w:tc>
        <w:tc>
          <w:tcPr>
            <w:tcW w:w="137" w:type="pct"/>
            <w:gridSpan w:val="2"/>
            <w:shd w:val="clear" w:color="auto" w:fill="auto"/>
            <w:vAlign w:val="center"/>
          </w:tcPr>
          <w:p w14:paraId="717B8EF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54.8</w:t>
            </w:r>
          </w:p>
        </w:tc>
        <w:tc>
          <w:tcPr>
            <w:tcW w:w="137" w:type="pct"/>
            <w:gridSpan w:val="2"/>
            <w:shd w:val="clear" w:color="auto" w:fill="auto"/>
            <w:vAlign w:val="center"/>
          </w:tcPr>
          <w:p w14:paraId="71F95D9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59.4</w:t>
            </w:r>
          </w:p>
        </w:tc>
        <w:tc>
          <w:tcPr>
            <w:tcW w:w="139" w:type="pct"/>
            <w:gridSpan w:val="2"/>
            <w:shd w:val="clear" w:color="auto" w:fill="auto"/>
            <w:vAlign w:val="center"/>
          </w:tcPr>
          <w:p w14:paraId="1790183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55.5</w:t>
            </w:r>
          </w:p>
        </w:tc>
        <w:tc>
          <w:tcPr>
            <w:tcW w:w="137" w:type="pct"/>
            <w:gridSpan w:val="2"/>
            <w:shd w:val="clear" w:color="auto" w:fill="auto"/>
            <w:vAlign w:val="center"/>
          </w:tcPr>
          <w:p w14:paraId="0BBA0B0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58.1</w:t>
            </w:r>
          </w:p>
        </w:tc>
        <w:tc>
          <w:tcPr>
            <w:tcW w:w="137" w:type="pct"/>
            <w:gridSpan w:val="2"/>
            <w:shd w:val="clear" w:color="auto" w:fill="auto"/>
            <w:vAlign w:val="center"/>
          </w:tcPr>
          <w:p w14:paraId="6B403A4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54.1</w:t>
            </w:r>
          </w:p>
        </w:tc>
        <w:tc>
          <w:tcPr>
            <w:tcW w:w="137" w:type="pct"/>
            <w:gridSpan w:val="2"/>
            <w:shd w:val="clear" w:color="auto" w:fill="auto"/>
            <w:vAlign w:val="center"/>
          </w:tcPr>
          <w:p w14:paraId="5755076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58.9</w:t>
            </w:r>
          </w:p>
        </w:tc>
        <w:tc>
          <w:tcPr>
            <w:tcW w:w="139" w:type="pct"/>
            <w:gridSpan w:val="2"/>
            <w:shd w:val="clear" w:color="auto" w:fill="auto"/>
            <w:vAlign w:val="center"/>
          </w:tcPr>
          <w:p w14:paraId="27EAA7F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54.9</w:t>
            </w:r>
          </w:p>
        </w:tc>
        <w:tc>
          <w:tcPr>
            <w:tcW w:w="137" w:type="pct"/>
            <w:gridSpan w:val="2"/>
            <w:shd w:val="clear" w:color="auto" w:fill="auto"/>
            <w:vAlign w:val="center"/>
          </w:tcPr>
          <w:p w14:paraId="739130C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59.5</w:t>
            </w:r>
          </w:p>
        </w:tc>
        <w:tc>
          <w:tcPr>
            <w:tcW w:w="139" w:type="pct"/>
            <w:gridSpan w:val="2"/>
            <w:shd w:val="clear" w:color="auto" w:fill="auto"/>
            <w:vAlign w:val="center"/>
          </w:tcPr>
          <w:p w14:paraId="447421F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55.6</w:t>
            </w:r>
          </w:p>
        </w:tc>
        <w:tc>
          <w:tcPr>
            <w:tcW w:w="137" w:type="pct"/>
            <w:gridSpan w:val="2"/>
            <w:shd w:val="clear" w:color="auto" w:fill="auto"/>
            <w:vAlign w:val="center"/>
          </w:tcPr>
          <w:p w14:paraId="26BF16F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8" w:type="pct"/>
            <w:gridSpan w:val="2"/>
            <w:shd w:val="clear" w:color="auto" w:fill="auto"/>
            <w:vAlign w:val="center"/>
          </w:tcPr>
          <w:p w14:paraId="2BCEABC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4.1</w:t>
            </w:r>
          </w:p>
        </w:tc>
        <w:tc>
          <w:tcPr>
            <w:tcW w:w="137" w:type="pct"/>
            <w:gridSpan w:val="2"/>
            <w:shd w:val="clear" w:color="auto" w:fill="auto"/>
            <w:vAlign w:val="center"/>
          </w:tcPr>
          <w:p w14:paraId="08D4FF9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gridSpan w:val="2"/>
            <w:shd w:val="clear" w:color="auto" w:fill="auto"/>
            <w:vAlign w:val="center"/>
          </w:tcPr>
          <w:p w14:paraId="2B9D500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4.9</w:t>
            </w:r>
          </w:p>
        </w:tc>
        <w:tc>
          <w:tcPr>
            <w:tcW w:w="137" w:type="pct"/>
            <w:gridSpan w:val="2"/>
            <w:shd w:val="clear" w:color="auto" w:fill="auto"/>
            <w:vAlign w:val="center"/>
          </w:tcPr>
          <w:p w14:paraId="460CB35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gridSpan w:val="2"/>
            <w:shd w:val="clear" w:color="auto" w:fill="auto"/>
            <w:vAlign w:val="center"/>
          </w:tcPr>
          <w:p w14:paraId="34F0208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5.6</w:t>
            </w:r>
          </w:p>
        </w:tc>
        <w:tc>
          <w:tcPr>
            <w:tcW w:w="137" w:type="pct"/>
            <w:gridSpan w:val="2"/>
            <w:shd w:val="clear" w:color="auto" w:fill="auto"/>
            <w:vAlign w:val="center"/>
          </w:tcPr>
          <w:p w14:paraId="22B07D8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13.6</w:t>
            </w:r>
          </w:p>
        </w:tc>
        <w:tc>
          <w:tcPr>
            <w:tcW w:w="139" w:type="pct"/>
            <w:gridSpan w:val="2"/>
            <w:shd w:val="clear" w:color="auto" w:fill="auto"/>
            <w:vAlign w:val="center"/>
          </w:tcPr>
          <w:p w14:paraId="21D3324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16.6</w:t>
            </w:r>
          </w:p>
        </w:tc>
        <w:tc>
          <w:tcPr>
            <w:tcW w:w="137" w:type="pct"/>
            <w:gridSpan w:val="2"/>
            <w:shd w:val="clear" w:color="auto" w:fill="auto"/>
            <w:vAlign w:val="center"/>
          </w:tcPr>
          <w:p w14:paraId="5BF898C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14.4</w:t>
            </w:r>
          </w:p>
        </w:tc>
        <w:tc>
          <w:tcPr>
            <w:tcW w:w="138" w:type="pct"/>
            <w:gridSpan w:val="2"/>
            <w:shd w:val="clear" w:color="auto" w:fill="auto"/>
            <w:vAlign w:val="center"/>
          </w:tcPr>
          <w:p w14:paraId="781297C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17.4</w:t>
            </w:r>
          </w:p>
        </w:tc>
        <w:tc>
          <w:tcPr>
            <w:tcW w:w="137" w:type="pct"/>
            <w:gridSpan w:val="2"/>
            <w:shd w:val="clear" w:color="auto" w:fill="auto"/>
            <w:vAlign w:val="center"/>
          </w:tcPr>
          <w:p w14:paraId="771980D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15.0</w:t>
            </w:r>
          </w:p>
        </w:tc>
        <w:tc>
          <w:tcPr>
            <w:tcW w:w="139" w:type="pct"/>
            <w:gridSpan w:val="2"/>
            <w:shd w:val="clear" w:color="auto" w:fill="auto"/>
            <w:vAlign w:val="center"/>
          </w:tcPr>
          <w:p w14:paraId="515D5F3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18.1</w:t>
            </w:r>
          </w:p>
        </w:tc>
        <w:tc>
          <w:tcPr>
            <w:tcW w:w="157" w:type="pct"/>
            <w:gridSpan w:val="2"/>
            <w:shd w:val="clear" w:color="auto" w:fill="auto"/>
            <w:vAlign w:val="center"/>
          </w:tcPr>
          <w:p w14:paraId="1486150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2类</w:t>
            </w:r>
          </w:p>
        </w:tc>
        <w:tc>
          <w:tcPr>
            <w:tcW w:w="134" w:type="pct"/>
            <w:gridSpan w:val="2"/>
            <w:vMerge w:val="continue"/>
            <w:vAlign w:val="center"/>
          </w:tcPr>
          <w:p w14:paraId="047D63B4">
            <w:pPr>
              <w:widowControl/>
              <w:jc w:val="center"/>
              <w:rPr>
                <w:rFonts w:ascii="Times New Roman" w:hAnsi="Times New Roman" w:eastAsia="宋体" w:cs="Times New Roman"/>
                <w:kern w:val="0"/>
                <w:szCs w:val="21"/>
              </w:rPr>
            </w:pPr>
          </w:p>
        </w:tc>
        <w:tc>
          <w:tcPr>
            <w:tcW w:w="134" w:type="pct"/>
            <w:gridSpan w:val="2"/>
            <w:vMerge w:val="continue"/>
            <w:vAlign w:val="center"/>
          </w:tcPr>
          <w:p w14:paraId="0E262067">
            <w:pPr>
              <w:widowControl/>
              <w:jc w:val="center"/>
              <w:rPr>
                <w:rFonts w:ascii="Times New Roman" w:hAnsi="Times New Roman" w:eastAsia="宋体" w:cs="Times New Roman"/>
                <w:kern w:val="0"/>
                <w:szCs w:val="21"/>
              </w:rPr>
            </w:pPr>
          </w:p>
        </w:tc>
      </w:tr>
      <w:tr w14:paraId="4F9B5D58">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7" w:type="pct"/>
            <w:vMerge w:val="continue"/>
            <w:vAlign w:val="center"/>
          </w:tcPr>
          <w:p w14:paraId="0C272FCC">
            <w:pPr>
              <w:widowControl/>
              <w:jc w:val="center"/>
              <w:rPr>
                <w:rFonts w:ascii="Times New Roman" w:hAnsi="Times New Roman" w:eastAsia="宋体" w:cs="Times New Roman"/>
                <w:kern w:val="0"/>
                <w:szCs w:val="21"/>
              </w:rPr>
            </w:pPr>
          </w:p>
        </w:tc>
        <w:tc>
          <w:tcPr>
            <w:tcW w:w="319" w:type="pct"/>
            <w:vMerge w:val="continue"/>
            <w:vAlign w:val="center"/>
          </w:tcPr>
          <w:p w14:paraId="7C8B23C7">
            <w:pPr>
              <w:widowControl/>
              <w:jc w:val="center"/>
              <w:rPr>
                <w:rFonts w:ascii="Times New Roman" w:hAnsi="Times New Roman" w:eastAsia="宋体" w:cs="Times New Roman"/>
                <w:kern w:val="0"/>
                <w:szCs w:val="21"/>
              </w:rPr>
            </w:pPr>
          </w:p>
        </w:tc>
        <w:tc>
          <w:tcPr>
            <w:tcW w:w="145" w:type="pct"/>
            <w:vMerge w:val="restart"/>
            <w:shd w:val="clear" w:color="auto" w:fill="auto"/>
            <w:vAlign w:val="center"/>
          </w:tcPr>
          <w:p w14:paraId="7464315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路左</w:t>
            </w:r>
          </w:p>
        </w:tc>
        <w:tc>
          <w:tcPr>
            <w:tcW w:w="188" w:type="pct"/>
            <w:shd w:val="clear" w:color="auto" w:fill="auto"/>
            <w:noWrap/>
            <w:vAlign w:val="center"/>
          </w:tcPr>
          <w:p w14:paraId="3A584E0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25</w:t>
            </w:r>
          </w:p>
        </w:tc>
        <w:tc>
          <w:tcPr>
            <w:tcW w:w="131" w:type="pct"/>
            <w:vMerge w:val="continue"/>
            <w:vAlign w:val="center"/>
          </w:tcPr>
          <w:p w14:paraId="34AEFC39">
            <w:pPr>
              <w:widowControl/>
              <w:jc w:val="center"/>
              <w:rPr>
                <w:rFonts w:ascii="Times New Roman" w:hAnsi="Times New Roman" w:eastAsia="宋体" w:cs="Times New Roman"/>
                <w:kern w:val="0"/>
                <w:szCs w:val="21"/>
              </w:rPr>
            </w:pPr>
          </w:p>
        </w:tc>
        <w:tc>
          <w:tcPr>
            <w:tcW w:w="232" w:type="pct"/>
            <w:vMerge w:val="continue"/>
            <w:vAlign w:val="center"/>
          </w:tcPr>
          <w:p w14:paraId="0806AE6B">
            <w:pPr>
              <w:widowControl/>
              <w:jc w:val="center"/>
              <w:rPr>
                <w:rFonts w:ascii="Times New Roman" w:hAnsi="Times New Roman" w:eastAsia="宋体" w:cs="Times New Roman"/>
                <w:kern w:val="0"/>
                <w:szCs w:val="21"/>
              </w:rPr>
            </w:pPr>
          </w:p>
        </w:tc>
        <w:tc>
          <w:tcPr>
            <w:tcW w:w="147" w:type="pct"/>
            <w:vMerge w:val="continue"/>
            <w:vAlign w:val="center"/>
          </w:tcPr>
          <w:p w14:paraId="41C70A53">
            <w:pPr>
              <w:widowControl/>
              <w:jc w:val="center"/>
              <w:rPr>
                <w:rFonts w:ascii="Times New Roman" w:hAnsi="Times New Roman" w:eastAsia="宋体" w:cs="Times New Roman"/>
                <w:kern w:val="0"/>
                <w:szCs w:val="21"/>
              </w:rPr>
            </w:pPr>
          </w:p>
        </w:tc>
        <w:tc>
          <w:tcPr>
            <w:tcW w:w="137" w:type="pct"/>
            <w:shd w:val="clear" w:color="auto" w:fill="auto"/>
            <w:vAlign w:val="center"/>
          </w:tcPr>
          <w:p w14:paraId="1D58959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63.3</w:t>
            </w:r>
          </w:p>
        </w:tc>
        <w:tc>
          <w:tcPr>
            <w:tcW w:w="137" w:type="pct"/>
            <w:shd w:val="clear" w:color="auto" w:fill="auto"/>
            <w:vAlign w:val="center"/>
          </w:tcPr>
          <w:p w14:paraId="116F7AF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59.4</w:t>
            </w:r>
          </w:p>
        </w:tc>
        <w:tc>
          <w:tcPr>
            <w:tcW w:w="137" w:type="pct"/>
            <w:gridSpan w:val="2"/>
            <w:shd w:val="clear" w:color="auto" w:fill="auto"/>
            <w:vAlign w:val="center"/>
          </w:tcPr>
          <w:p w14:paraId="3A10ED0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64.1</w:t>
            </w:r>
          </w:p>
        </w:tc>
        <w:tc>
          <w:tcPr>
            <w:tcW w:w="137" w:type="pct"/>
            <w:gridSpan w:val="2"/>
            <w:shd w:val="clear" w:color="auto" w:fill="auto"/>
            <w:vAlign w:val="center"/>
          </w:tcPr>
          <w:p w14:paraId="305F0E0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60.2</w:t>
            </w:r>
          </w:p>
        </w:tc>
        <w:tc>
          <w:tcPr>
            <w:tcW w:w="137" w:type="pct"/>
            <w:gridSpan w:val="2"/>
            <w:shd w:val="clear" w:color="auto" w:fill="auto"/>
            <w:vAlign w:val="center"/>
          </w:tcPr>
          <w:p w14:paraId="5FE9521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64.8</w:t>
            </w:r>
          </w:p>
        </w:tc>
        <w:tc>
          <w:tcPr>
            <w:tcW w:w="139" w:type="pct"/>
            <w:gridSpan w:val="2"/>
            <w:shd w:val="clear" w:color="auto" w:fill="auto"/>
            <w:vAlign w:val="center"/>
          </w:tcPr>
          <w:p w14:paraId="436C520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60.9</w:t>
            </w:r>
          </w:p>
        </w:tc>
        <w:tc>
          <w:tcPr>
            <w:tcW w:w="137" w:type="pct"/>
            <w:gridSpan w:val="2"/>
            <w:shd w:val="clear" w:color="auto" w:fill="auto"/>
            <w:vAlign w:val="center"/>
          </w:tcPr>
          <w:p w14:paraId="13B33C2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63.3</w:t>
            </w:r>
          </w:p>
        </w:tc>
        <w:tc>
          <w:tcPr>
            <w:tcW w:w="137" w:type="pct"/>
            <w:gridSpan w:val="2"/>
            <w:shd w:val="clear" w:color="auto" w:fill="auto"/>
            <w:vAlign w:val="center"/>
          </w:tcPr>
          <w:p w14:paraId="7FDA481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59.4</w:t>
            </w:r>
          </w:p>
        </w:tc>
        <w:tc>
          <w:tcPr>
            <w:tcW w:w="137" w:type="pct"/>
            <w:gridSpan w:val="2"/>
            <w:shd w:val="clear" w:color="auto" w:fill="auto"/>
            <w:vAlign w:val="center"/>
          </w:tcPr>
          <w:p w14:paraId="2B4ED92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64.1</w:t>
            </w:r>
          </w:p>
        </w:tc>
        <w:tc>
          <w:tcPr>
            <w:tcW w:w="139" w:type="pct"/>
            <w:gridSpan w:val="2"/>
            <w:shd w:val="clear" w:color="auto" w:fill="auto"/>
            <w:vAlign w:val="center"/>
          </w:tcPr>
          <w:p w14:paraId="2D96913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60.2</w:t>
            </w:r>
          </w:p>
        </w:tc>
        <w:tc>
          <w:tcPr>
            <w:tcW w:w="137" w:type="pct"/>
            <w:gridSpan w:val="2"/>
            <w:shd w:val="clear" w:color="auto" w:fill="auto"/>
            <w:vAlign w:val="center"/>
          </w:tcPr>
          <w:p w14:paraId="6E236A0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64.8</w:t>
            </w:r>
          </w:p>
        </w:tc>
        <w:tc>
          <w:tcPr>
            <w:tcW w:w="139" w:type="pct"/>
            <w:gridSpan w:val="2"/>
            <w:shd w:val="clear" w:color="auto" w:fill="auto"/>
            <w:vAlign w:val="center"/>
          </w:tcPr>
          <w:p w14:paraId="1A78471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60.9</w:t>
            </w:r>
          </w:p>
        </w:tc>
        <w:tc>
          <w:tcPr>
            <w:tcW w:w="137" w:type="pct"/>
            <w:gridSpan w:val="2"/>
            <w:shd w:val="clear" w:color="auto" w:fill="auto"/>
            <w:vAlign w:val="center"/>
          </w:tcPr>
          <w:p w14:paraId="2732476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8" w:type="pct"/>
            <w:gridSpan w:val="2"/>
            <w:shd w:val="clear" w:color="auto" w:fill="auto"/>
            <w:vAlign w:val="center"/>
          </w:tcPr>
          <w:p w14:paraId="44F8927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4.4</w:t>
            </w:r>
          </w:p>
        </w:tc>
        <w:tc>
          <w:tcPr>
            <w:tcW w:w="137" w:type="pct"/>
            <w:gridSpan w:val="2"/>
            <w:shd w:val="clear" w:color="auto" w:fill="auto"/>
            <w:vAlign w:val="center"/>
          </w:tcPr>
          <w:p w14:paraId="36A35CE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gridSpan w:val="2"/>
            <w:shd w:val="clear" w:color="auto" w:fill="auto"/>
            <w:vAlign w:val="center"/>
          </w:tcPr>
          <w:p w14:paraId="5B1AEE6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5.2</w:t>
            </w:r>
          </w:p>
        </w:tc>
        <w:tc>
          <w:tcPr>
            <w:tcW w:w="137" w:type="pct"/>
            <w:gridSpan w:val="2"/>
            <w:shd w:val="clear" w:color="auto" w:fill="auto"/>
            <w:vAlign w:val="center"/>
          </w:tcPr>
          <w:p w14:paraId="02BA8FC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gridSpan w:val="2"/>
            <w:shd w:val="clear" w:color="auto" w:fill="auto"/>
            <w:vAlign w:val="center"/>
          </w:tcPr>
          <w:p w14:paraId="55356C1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5.9</w:t>
            </w:r>
          </w:p>
        </w:tc>
        <w:tc>
          <w:tcPr>
            <w:tcW w:w="137" w:type="pct"/>
            <w:gridSpan w:val="2"/>
            <w:shd w:val="clear" w:color="auto" w:fill="auto"/>
            <w:vAlign w:val="center"/>
          </w:tcPr>
          <w:p w14:paraId="16698F8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18.8</w:t>
            </w:r>
          </w:p>
        </w:tc>
        <w:tc>
          <w:tcPr>
            <w:tcW w:w="139" w:type="pct"/>
            <w:gridSpan w:val="2"/>
            <w:shd w:val="clear" w:color="auto" w:fill="auto"/>
            <w:vAlign w:val="center"/>
          </w:tcPr>
          <w:p w14:paraId="0409909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21.9</w:t>
            </w:r>
          </w:p>
        </w:tc>
        <w:tc>
          <w:tcPr>
            <w:tcW w:w="137" w:type="pct"/>
            <w:gridSpan w:val="2"/>
            <w:shd w:val="clear" w:color="auto" w:fill="auto"/>
            <w:vAlign w:val="center"/>
          </w:tcPr>
          <w:p w14:paraId="06C45C2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19.6</w:t>
            </w:r>
          </w:p>
        </w:tc>
        <w:tc>
          <w:tcPr>
            <w:tcW w:w="138" w:type="pct"/>
            <w:gridSpan w:val="2"/>
            <w:shd w:val="clear" w:color="auto" w:fill="auto"/>
            <w:vAlign w:val="center"/>
          </w:tcPr>
          <w:p w14:paraId="4503085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22.7</w:t>
            </w:r>
          </w:p>
        </w:tc>
        <w:tc>
          <w:tcPr>
            <w:tcW w:w="137" w:type="pct"/>
            <w:gridSpan w:val="2"/>
            <w:shd w:val="clear" w:color="auto" w:fill="auto"/>
            <w:vAlign w:val="center"/>
          </w:tcPr>
          <w:p w14:paraId="441E305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20.3</w:t>
            </w:r>
          </w:p>
        </w:tc>
        <w:tc>
          <w:tcPr>
            <w:tcW w:w="139" w:type="pct"/>
            <w:gridSpan w:val="2"/>
            <w:shd w:val="clear" w:color="auto" w:fill="auto"/>
            <w:vAlign w:val="center"/>
          </w:tcPr>
          <w:p w14:paraId="10D1C12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23.4</w:t>
            </w:r>
          </w:p>
        </w:tc>
        <w:tc>
          <w:tcPr>
            <w:tcW w:w="157" w:type="pct"/>
            <w:gridSpan w:val="2"/>
            <w:shd w:val="clear" w:color="auto" w:fill="auto"/>
            <w:vAlign w:val="center"/>
          </w:tcPr>
          <w:p w14:paraId="3DAEB8A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4a类</w:t>
            </w:r>
          </w:p>
        </w:tc>
        <w:tc>
          <w:tcPr>
            <w:tcW w:w="134" w:type="pct"/>
            <w:gridSpan w:val="2"/>
            <w:vMerge w:val="continue"/>
            <w:vAlign w:val="center"/>
          </w:tcPr>
          <w:p w14:paraId="30FE77E4">
            <w:pPr>
              <w:widowControl/>
              <w:jc w:val="center"/>
              <w:rPr>
                <w:rFonts w:ascii="Times New Roman" w:hAnsi="Times New Roman" w:eastAsia="宋体" w:cs="Times New Roman"/>
                <w:kern w:val="0"/>
                <w:szCs w:val="21"/>
              </w:rPr>
            </w:pPr>
          </w:p>
        </w:tc>
        <w:tc>
          <w:tcPr>
            <w:tcW w:w="134" w:type="pct"/>
            <w:gridSpan w:val="2"/>
            <w:vMerge w:val="continue"/>
            <w:vAlign w:val="center"/>
          </w:tcPr>
          <w:p w14:paraId="5E144B65">
            <w:pPr>
              <w:widowControl/>
              <w:jc w:val="center"/>
              <w:rPr>
                <w:rFonts w:ascii="Times New Roman" w:hAnsi="Times New Roman" w:eastAsia="宋体" w:cs="Times New Roman"/>
                <w:kern w:val="0"/>
                <w:szCs w:val="21"/>
              </w:rPr>
            </w:pPr>
          </w:p>
        </w:tc>
      </w:tr>
      <w:tr w14:paraId="77676F48">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7" w:type="pct"/>
            <w:vMerge w:val="continue"/>
            <w:vAlign w:val="center"/>
          </w:tcPr>
          <w:p w14:paraId="54F0EE9E">
            <w:pPr>
              <w:widowControl/>
              <w:jc w:val="center"/>
              <w:rPr>
                <w:rFonts w:ascii="Times New Roman" w:hAnsi="Times New Roman" w:eastAsia="宋体" w:cs="Times New Roman"/>
                <w:kern w:val="0"/>
                <w:szCs w:val="21"/>
              </w:rPr>
            </w:pPr>
          </w:p>
        </w:tc>
        <w:tc>
          <w:tcPr>
            <w:tcW w:w="319" w:type="pct"/>
            <w:vMerge w:val="continue"/>
            <w:vAlign w:val="center"/>
          </w:tcPr>
          <w:p w14:paraId="13AEDEDD">
            <w:pPr>
              <w:widowControl/>
              <w:jc w:val="center"/>
              <w:rPr>
                <w:rFonts w:ascii="Times New Roman" w:hAnsi="Times New Roman" w:eastAsia="宋体" w:cs="Times New Roman"/>
                <w:kern w:val="0"/>
                <w:szCs w:val="21"/>
              </w:rPr>
            </w:pPr>
          </w:p>
        </w:tc>
        <w:tc>
          <w:tcPr>
            <w:tcW w:w="145" w:type="pct"/>
            <w:vMerge w:val="continue"/>
            <w:vAlign w:val="center"/>
          </w:tcPr>
          <w:p w14:paraId="2565FB70">
            <w:pPr>
              <w:widowControl/>
              <w:jc w:val="center"/>
              <w:rPr>
                <w:rFonts w:ascii="Times New Roman" w:hAnsi="Times New Roman" w:eastAsia="宋体" w:cs="Times New Roman"/>
                <w:kern w:val="0"/>
                <w:szCs w:val="21"/>
              </w:rPr>
            </w:pPr>
          </w:p>
        </w:tc>
        <w:tc>
          <w:tcPr>
            <w:tcW w:w="188" w:type="pct"/>
            <w:shd w:val="clear" w:color="auto" w:fill="auto"/>
            <w:noWrap/>
            <w:vAlign w:val="center"/>
          </w:tcPr>
          <w:p w14:paraId="03AB92A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60</w:t>
            </w:r>
          </w:p>
        </w:tc>
        <w:tc>
          <w:tcPr>
            <w:tcW w:w="131" w:type="pct"/>
            <w:vMerge w:val="continue"/>
            <w:vAlign w:val="center"/>
          </w:tcPr>
          <w:p w14:paraId="32C286C7">
            <w:pPr>
              <w:widowControl/>
              <w:jc w:val="center"/>
              <w:rPr>
                <w:rFonts w:ascii="Times New Roman" w:hAnsi="Times New Roman" w:eastAsia="宋体" w:cs="Times New Roman"/>
                <w:kern w:val="0"/>
                <w:szCs w:val="21"/>
              </w:rPr>
            </w:pPr>
          </w:p>
        </w:tc>
        <w:tc>
          <w:tcPr>
            <w:tcW w:w="232" w:type="pct"/>
            <w:vMerge w:val="continue"/>
            <w:vAlign w:val="center"/>
          </w:tcPr>
          <w:p w14:paraId="1DF0D0A6">
            <w:pPr>
              <w:widowControl/>
              <w:jc w:val="center"/>
              <w:rPr>
                <w:rFonts w:ascii="Times New Roman" w:hAnsi="Times New Roman" w:eastAsia="宋体" w:cs="Times New Roman"/>
                <w:kern w:val="0"/>
                <w:szCs w:val="21"/>
              </w:rPr>
            </w:pPr>
          </w:p>
        </w:tc>
        <w:tc>
          <w:tcPr>
            <w:tcW w:w="147" w:type="pct"/>
            <w:vMerge w:val="continue"/>
            <w:vAlign w:val="center"/>
          </w:tcPr>
          <w:p w14:paraId="5084D2D8">
            <w:pPr>
              <w:widowControl/>
              <w:jc w:val="center"/>
              <w:rPr>
                <w:rFonts w:ascii="Times New Roman" w:hAnsi="Times New Roman" w:eastAsia="宋体" w:cs="Times New Roman"/>
                <w:kern w:val="0"/>
                <w:szCs w:val="21"/>
              </w:rPr>
            </w:pPr>
          </w:p>
        </w:tc>
        <w:tc>
          <w:tcPr>
            <w:tcW w:w="137" w:type="pct"/>
            <w:shd w:val="clear" w:color="auto" w:fill="auto"/>
            <w:vAlign w:val="center"/>
          </w:tcPr>
          <w:p w14:paraId="48A8232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57.6</w:t>
            </w:r>
          </w:p>
        </w:tc>
        <w:tc>
          <w:tcPr>
            <w:tcW w:w="137" w:type="pct"/>
            <w:shd w:val="clear" w:color="auto" w:fill="auto"/>
            <w:vAlign w:val="center"/>
          </w:tcPr>
          <w:p w14:paraId="032E89B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53.7</w:t>
            </w:r>
          </w:p>
        </w:tc>
        <w:tc>
          <w:tcPr>
            <w:tcW w:w="137" w:type="pct"/>
            <w:gridSpan w:val="2"/>
            <w:shd w:val="clear" w:color="auto" w:fill="auto"/>
            <w:vAlign w:val="center"/>
          </w:tcPr>
          <w:p w14:paraId="02BBB8D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58.4</w:t>
            </w:r>
          </w:p>
        </w:tc>
        <w:tc>
          <w:tcPr>
            <w:tcW w:w="137" w:type="pct"/>
            <w:gridSpan w:val="2"/>
            <w:shd w:val="clear" w:color="auto" w:fill="auto"/>
            <w:vAlign w:val="center"/>
          </w:tcPr>
          <w:p w14:paraId="41D5CA2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54.5</w:t>
            </w:r>
          </w:p>
        </w:tc>
        <w:tc>
          <w:tcPr>
            <w:tcW w:w="137" w:type="pct"/>
            <w:gridSpan w:val="2"/>
            <w:shd w:val="clear" w:color="auto" w:fill="auto"/>
            <w:vAlign w:val="center"/>
          </w:tcPr>
          <w:p w14:paraId="1CF2AF2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59.1</w:t>
            </w:r>
          </w:p>
        </w:tc>
        <w:tc>
          <w:tcPr>
            <w:tcW w:w="139" w:type="pct"/>
            <w:gridSpan w:val="2"/>
            <w:shd w:val="clear" w:color="auto" w:fill="auto"/>
            <w:vAlign w:val="center"/>
          </w:tcPr>
          <w:p w14:paraId="43EF2AC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55.2</w:t>
            </w:r>
          </w:p>
        </w:tc>
        <w:tc>
          <w:tcPr>
            <w:tcW w:w="137" w:type="pct"/>
            <w:gridSpan w:val="2"/>
            <w:shd w:val="clear" w:color="auto" w:fill="auto"/>
            <w:vAlign w:val="center"/>
          </w:tcPr>
          <w:p w14:paraId="08D934C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57.8</w:t>
            </w:r>
          </w:p>
        </w:tc>
        <w:tc>
          <w:tcPr>
            <w:tcW w:w="137" w:type="pct"/>
            <w:gridSpan w:val="2"/>
            <w:shd w:val="clear" w:color="auto" w:fill="auto"/>
            <w:vAlign w:val="center"/>
          </w:tcPr>
          <w:p w14:paraId="0EE100B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53.8</w:t>
            </w:r>
          </w:p>
        </w:tc>
        <w:tc>
          <w:tcPr>
            <w:tcW w:w="137" w:type="pct"/>
            <w:gridSpan w:val="2"/>
            <w:shd w:val="clear" w:color="auto" w:fill="auto"/>
            <w:vAlign w:val="center"/>
          </w:tcPr>
          <w:p w14:paraId="4E79D1B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58.5</w:t>
            </w:r>
          </w:p>
        </w:tc>
        <w:tc>
          <w:tcPr>
            <w:tcW w:w="139" w:type="pct"/>
            <w:gridSpan w:val="2"/>
            <w:shd w:val="clear" w:color="auto" w:fill="auto"/>
            <w:vAlign w:val="center"/>
          </w:tcPr>
          <w:p w14:paraId="2F59B8C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54.6</w:t>
            </w:r>
          </w:p>
        </w:tc>
        <w:tc>
          <w:tcPr>
            <w:tcW w:w="137" w:type="pct"/>
            <w:gridSpan w:val="2"/>
            <w:shd w:val="clear" w:color="auto" w:fill="auto"/>
            <w:vAlign w:val="center"/>
          </w:tcPr>
          <w:p w14:paraId="2896C93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59.2</w:t>
            </w:r>
          </w:p>
        </w:tc>
        <w:tc>
          <w:tcPr>
            <w:tcW w:w="139" w:type="pct"/>
            <w:gridSpan w:val="2"/>
            <w:shd w:val="clear" w:color="auto" w:fill="auto"/>
            <w:vAlign w:val="center"/>
          </w:tcPr>
          <w:p w14:paraId="7CB2B96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55.3</w:t>
            </w:r>
          </w:p>
        </w:tc>
        <w:tc>
          <w:tcPr>
            <w:tcW w:w="137" w:type="pct"/>
            <w:gridSpan w:val="2"/>
            <w:shd w:val="clear" w:color="auto" w:fill="auto"/>
            <w:vAlign w:val="center"/>
          </w:tcPr>
          <w:p w14:paraId="3156FA8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8" w:type="pct"/>
            <w:gridSpan w:val="2"/>
            <w:shd w:val="clear" w:color="auto" w:fill="auto"/>
            <w:vAlign w:val="center"/>
          </w:tcPr>
          <w:p w14:paraId="16D8C04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3.8</w:t>
            </w:r>
          </w:p>
        </w:tc>
        <w:tc>
          <w:tcPr>
            <w:tcW w:w="137" w:type="pct"/>
            <w:gridSpan w:val="2"/>
            <w:shd w:val="clear" w:color="auto" w:fill="auto"/>
            <w:vAlign w:val="center"/>
          </w:tcPr>
          <w:p w14:paraId="677F3EE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gridSpan w:val="2"/>
            <w:shd w:val="clear" w:color="auto" w:fill="auto"/>
            <w:vAlign w:val="center"/>
          </w:tcPr>
          <w:p w14:paraId="71493DC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4.6</w:t>
            </w:r>
          </w:p>
        </w:tc>
        <w:tc>
          <w:tcPr>
            <w:tcW w:w="137" w:type="pct"/>
            <w:gridSpan w:val="2"/>
            <w:shd w:val="clear" w:color="auto" w:fill="auto"/>
            <w:vAlign w:val="center"/>
          </w:tcPr>
          <w:p w14:paraId="442789B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gridSpan w:val="2"/>
            <w:shd w:val="clear" w:color="auto" w:fill="auto"/>
            <w:vAlign w:val="center"/>
          </w:tcPr>
          <w:p w14:paraId="3545B11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5.3</w:t>
            </w:r>
          </w:p>
        </w:tc>
        <w:tc>
          <w:tcPr>
            <w:tcW w:w="137" w:type="pct"/>
            <w:gridSpan w:val="2"/>
            <w:shd w:val="clear" w:color="auto" w:fill="auto"/>
            <w:vAlign w:val="center"/>
          </w:tcPr>
          <w:p w14:paraId="0D8B88A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13.3</w:t>
            </w:r>
          </w:p>
        </w:tc>
        <w:tc>
          <w:tcPr>
            <w:tcW w:w="139" w:type="pct"/>
            <w:gridSpan w:val="2"/>
            <w:shd w:val="clear" w:color="auto" w:fill="auto"/>
            <w:vAlign w:val="center"/>
          </w:tcPr>
          <w:p w14:paraId="6370075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16.3</w:t>
            </w:r>
          </w:p>
        </w:tc>
        <w:tc>
          <w:tcPr>
            <w:tcW w:w="137" w:type="pct"/>
            <w:gridSpan w:val="2"/>
            <w:shd w:val="clear" w:color="auto" w:fill="auto"/>
            <w:vAlign w:val="center"/>
          </w:tcPr>
          <w:p w14:paraId="6D22506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14.0</w:t>
            </w:r>
          </w:p>
        </w:tc>
        <w:tc>
          <w:tcPr>
            <w:tcW w:w="138" w:type="pct"/>
            <w:gridSpan w:val="2"/>
            <w:shd w:val="clear" w:color="auto" w:fill="auto"/>
            <w:vAlign w:val="center"/>
          </w:tcPr>
          <w:p w14:paraId="32F61B4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17.1</w:t>
            </w:r>
          </w:p>
        </w:tc>
        <w:tc>
          <w:tcPr>
            <w:tcW w:w="137" w:type="pct"/>
            <w:gridSpan w:val="2"/>
            <w:shd w:val="clear" w:color="auto" w:fill="auto"/>
            <w:vAlign w:val="center"/>
          </w:tcPr>
          <w:p w14:paraId="50BF755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14.7</w:t>
            </w:r>
          </w:p>
        </w:tc>
        <w:tc>
          <w:tcPr>
            <w:tcW w:w="139" w:type="pct"/>
            <w:gridSpan w:val="2"/>
            <w:shd w:val="clear" w:color="auto" w:fill="auto"/>
            <w:vAlign w:val="center"/>
          </w:tcPr>
          <w:p w14:paraId="3910EFE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17.8</w:t>
            </w:r>
          </w:p>
        </w:tc>
        <w:tc>
          <w:tcPr>
            <w:tcW w:w="157" w:type="pct"/>
            <w:gridSpan w:val="2"/>
            <w:shd w:val="clear" w:color="auto" w:fill="auto"/>
            <w:vAlign w:val="center"/>
          </w:tcPr>
          <w:p w14:paraId="16E9617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2类</w:t>
            </w:r>
          </w:p>
        </w:tc>
        <w:tc>
          <w:tcPr>
            <w:tcW w:w="134" w:type="pct"/>
            <w:gridSpan w:val="2"/>
            <w:vMerge w:val="continue"/>
            <w:vAlign w:val="center"/>
          </w:tcPr>
          <w:p w14:paraId="0E72619D">
            <w:pPr>
              <w:widowControl/>
              <w:jc w:val="center"/>
              <w:rPr>
                <w:rFonts w:ascii="Times New Roman" w:hAnsi="Times New Roman" w:eastAsia="宋体" w:cs="Times New Roman"/>
                <w:kern w:val="0"/>
                <w:szCs w:val="21"/>
              </w:rPr>
            </w:pPr>
          </w:p>
        </w:tc>
        <w:tc>
          <w:tcPr>
            <w:tcW w:w="134" w:type="pct"/>
            <w:gridSpan w:val="2"/>
            <w:vMerge w:val="continue"/>
            <w:vAlign w:val="center"/>
          </w:tcPr>
          <w:p w14:paraId="3630F65E">
            <w:pPr>
              <w:widowControl/>
              <w:jc w:val="center"/>
              <w:rPr>
                <w:rFonts w:ascii="Times New Roman" w:hAnsi="Times New Roman" w:eastAsia="宋体" w:cs="Times New Roman"/>
                <w:kern w:val="0"/>
                <w:szCs w:val="21"/>
              </w:rPr>
            </w:pPr>
          </w:p>
        </w:tc>
      </w:tr>
      <w:tr w14:paraId="79227F75">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7" w:type="pct"/>
            <w:vMerge w:val="restart"/>
            <w:shd w:val="clear" w:color="auto" w:fill="auto"/>
            <w:vAlign w:val="center"/>
          </w:tcPr>
          <w:p w14:paraId="641E504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21</w:t>
            </w:r>
          </w:p>
        </w:tc>
        <w:tc>
          <w:tcPr>
            <w:tcW w:w="319" w:type="pct"/>
            <w:vMerge w:val="restart"/>
            <w:shd w:val="clear" w:color="auto" w:fill="auto"/>
            <w:vAlign w:val="center"/>
          </w:tcPr>
          <w:p w14:paraId="2AB69E7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其维克村</w:t>
            </w:r>
          </w:p>
        </w:tc>
        <w:tc>
          <w:tcPr>
            <w:tcW w:w="145" w:type="pct"/>
            <w:vMerge w:val="restart"/>
            <w:shd w:val="clear" w:color="auto" w:fill="auto"/>
            <w:vAlign w:val="center"/>
          </w:tcPr>
          <w:p w14:paraId="1772AA0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两侧</w:t>
            </w:r>
          </w:p>
        </w:tc>
        <w:tc>
          <w:tcPr>
            <w:tcW w:w="188" w:type="pct"/>
            <w:shd w:val="clear" w:color="auto" w:fill="auto"/>
            <w:noWrap/>
            <w:vAlign w:val="center"/>
          </w:tcPr>
          <w:p w14:paraId="6BCFAD1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27</w:t>
            </w:r>
          </w:p>
        </w:tc>
        <w:tc>
          <w:tcPr>
            <w:tcW w:w="131" w:type="pct"/>
            <w:vMerge w:val="restart"/>
            <w:shd w:val="clear" w:color="auto" w:fill="auto"/>
            <w:vAlign w:val="center"/>
          </w:tcPr>
          <w:p w14:paraId="26F901E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w:t>
            </w:r>
          </w:p>
        </w:tc>
        <w:tc>
          <w:tcPr>
            <w:tcW w:w="232" w:type="pct"/>
            <w:vMerge w:val="restart"/>
            <w:shd w:val="clear" w:color="auto" w:fill="auto"/>
            <w:vAlign w:val="center"/>
          </w:tcPr>
          <w:p w14:paraId="01F8FE9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0</w:t>
            </w:r>
          </w:p>
        </w:tc>
        <w:tc>
          <w:tcPr>
            <w:tcW w:w="147" w:type="pct"/>
            <w:vMerge w:val="restart"/>
            <w:shd w:val="clear" w:color="auto" w:fill="auto"/>
            <w:vAlign w:val="center"/>
          </w:tcPr>
          <w:p w14:paraId="4554155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1层</w:t>
            </w:r>
          </w:p>
        </w:tc>
        <w:tc>
          <w:tcPr>
            <w:tcW w:w="137" w:type="pct"/>
            <w:shd w:val="clear" w:color="auto" w:fill="auto"/>
            <w:vAlign w:val="center"/>
          </w:tcPr>
          <w:p w14:paraId="7CC416D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59.9</w:t>
            </w:r>
          </w:p>
        </w:tc>
        <w:tc>
          <w:tcPr>
            <w:tcW w:w="137" w:type="pct"/>
            <w:shd w:val="clear" w:color="auto" w:fill="auto"/>
            <w:vAlign w:val="center"/>
          </w:tcPr>
          <w:p w14:paraId="361AF13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56.0</w:t>
            </w:r>
          </w:p>
        </w:tc>
        <w:tc>
          <w:tcPr>
            <w:tcW w:w="137" w:type="pct"/>
            <w:gridSpan w:val="2"/>
            <w:shd w:val="clear" w:color="auto" w:fill="auto"/>
            <w:vAlign w:val="center"/>
          </w:tcPr>
          <w:p w14:paraId="2AD879D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60.7</w:t>
            </w:r>
          </w:p>
        </w:tc>
        <w:tc>
          <w:tcPr>
            <w:tcW w:w="137" w:type="pct"/>
            <w:gridSpan w:val="2"/>
            <w:shd w:val="clear" w:color="auto" w:fill="auto"/>
            <w:vAlign w:val="center"/>
          </w:tcPr>
          <w:p w14:paraId="2D4AF6F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56.8</w:t>
            </w:r>
          </w:p>
        </w:tc>
        <w:tc>
          <w:tcPr>
            <w:tcW w:w="137" w:type="pct"/>
            <w:gridSpan w:val="2"/>
            <w:shd w:val="clear" w:color="auto" w:fill="auto"/>
            <w:vAlign w:val="center"/>
          </w:tcPr>
          <w:p w14:paraId="6D12E4D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61.4</w:t>
            </w:r>
          </w:p>
        </w:tc>
        <w:tc>
          <w:tcPr>
            <w:tcW w:w="139" w:type="pct"/>
            <w:gridSpan w:val="2"/>
            <w:shd w:val="clear" w:color="auto" w:fill="auto"/>
            <w:vAlign w:val="center"/>
          </w:tcPr>
          <w:p w14:paraId="0E653AC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57.5</w:t>
            </w:r>
          </w:p>
        </w:tc>
        <w:tc>
          <w:tcPr>
            <w:tcW w:w="137" w:type="pct"/>
            <w:gridSpan w:val="2"/>
            <w:shd w:val="clear" w:color="auto" w:fill="auto"/>
            <w:vAlign w:val="center"/>
          </w:tcPr>
          <w:p w14:paraId="3E6219C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61.1</w:t>
            </w:r>
          </w:p>
        </w:tc>
        <w:tc>
          <w:tcPr>
            <w:tcW w:w="137" w:type="pct"/>
            <w:gridSpan w:val="2"/>
            <w:shd w:val="clear" w:color="auto" w:fill="auto"/>
            <w:vAlign w:val="center"/>
          </w:tcPr>
          <w:p w14:paraId="131C3B9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56.4</w:t>
            </w:r>
          </w:p>
        </w:tc>
        <w:tc>
          <w:tcPr>
            <w:tcW w:w="137" w:type="pct"/>
            <w:gridSpan w:val="2"/>
            <w:shd w:val="clear" w:color="auto" w:fill="auto"/>
            <w:vAlign w:val="center"/>
          </w:tcPr>
          <w:p w14:paraId="35830AB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61.7</w:t>
            </w:r>
          </w:p>
        </w:tc>
        <w:tc>
          <w:tcPr>
            <w:tcW w:w="139" w:type="pct"/>
            <w:gridSpan w:val="2"/>
            <w:shd w:val="clear" w:color="auto" w:fill="auto"/>
            <w:vAlign w:val="center"/>
          </w:tcPr>
          <w:p w14:paraId="387E633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57.1</w:t>
            </w:r>
          </w:p>
        </w:tc>
        <w:tc>
          <w:tcPr>
            <w:tcW w:w="137" w:type="pct"/>
            <w:gridSpan w:val="2"/>
            <w:shd w:val="clear" w:color="auto" w:fill="auto"/>
            <w:vAlign w:val="center"/>
          </w:tcPr>
          <w:p w14:paraId="3825473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62.3</w:t>
            </w:r>
          </w:p>
        </w:tc>
        <w:tc>
          <w:tcPr>
            <w:tcW w:w="139" w:type="pct"/>
            <w:gridSpan w:val="2"/>
            <w:shd w:val="clear" w:color="auto" w:fill="auto"/>
            <w:vAlign w:val="center"/>
          </w:tcPr>
          <w:p w14:paraId="2902237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57.8</w:t>
            </w:r>
          </w:p>
        </w:tc>
        <w:tc>
          <w:tcPr>
            <w:tcW w:w="137" w:type="pct"/>
            <w:gridSpan w:val="2"/>
            <w:shd w:val="clear" w:color="auto" w:fill="auto"/>
            <w:vAlign w:val="center"/>
          </w:tcPr>
          <w:p w14:paraId="6C216D2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8" w:type="pct"/>
            <w:gridSpan w:val="2"/>
            <w:shd w:val="clear" w:color="auto" w:fill="auto"/>
            <w:vAlign w:val="center"/>
          </w:tcPr>
          <w:p w14:paraId="62CA9D4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1.4</w:t>
            </w:r>
          </w:p>
        </w:tc>
        <w:tc>
          <w:tcPr>
            <w:tcW w:w="137" w:type="pct"/>
            <w:gridSpan w:val="2"/>
            <w:shd w:val="clear" w:color="auto" w:fill="auto"/>
            <w:vAlign w:val="center"/>
          </w:tcPr>
          <w:p w14:paraId="08D9743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gridSpan w:val="2"/>
            <w:shd w:val="clear" w:color="auto" w:fill="auto"/>
            <w:vAlign w:val="center"/>
          </w:tcPr>
          <w:p w14:paraId="4DD4D2E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2.1</w:t>
            </w:r>
          </w:p>
        </w:tc>
        <w:tc>
          <w:tcPr>
            <w:tcW w:w="137" w:type="pct"/>
            <w:gridSpan w:val="2"/>
            <w:shd w:val="clear" w:color="auto" w:fill="auto"/>
            <w:vAlign w:val="center"/>
          </w:tcPr>
          <w:p w14:paraId="3C98305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gridSpan w:val="2"/>
            <w:shd w:val="clear" w:color="auto" w:fill="auto"/>
            <w:vAlign w:val="center"/>
          </w:tcPr>
          <w:p w14:paraId="792774F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2.8</w:t>
            </w:r>
          </w:p>
        </w:tc>
        <w:tc>
          <w:tcPr>
            <w:tcW w:w="137" w:type="pct"/>
            <w:gridSpan w:val="2"/>
            <w:shd w:val="clear" w:color="auto" w:fill="auto"/>
            <w:vAlign w:val="center"/>
          </w:tcPr>
          <w:p w14:paraId="613D1E0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6.1</w:t>
            </w:r>
          </w:p>
        </w:tc>
        <w:tc>
          <w:tcPr>
            <w:tcW w:w="139" w:type="pct"/>
            <w:gridSpan w:val="2"/>
            <w:shd w:val="clear" w:color="auto" w:fill="auto"/>
            <w:vAlign w:val="center"/>
          </w:tcPr>
          <w:p w14:paraId="717AF37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10.4</w:t>
            </w:r>
          </w:p>
        </w:tc>
        <w:tc>
          <w:tcPr>
            <w:tcW w:w="137" w:type="pct"/>
            <w:gridSpan w:val="2"/>
            <w:shd w:val="clear" w:color="auto" w:fill="auto"/>
            <w:vAlign w:val="center"/>
          </w:tcPr>
          <w:p w14:paraId="0AA192D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6.7</w:t>
            </w:r>
          </w:p>
        </w:tc>
        <w:tc>
          <w:tcPr>
            <w:tcW w:w="138" w:type="pct"/>
            <w:gridSpan w:val="2"/>
            <w:shd w:val="clear" w:color="auto" w:fill="auto"/>
            <w:vAlign w:val="center"/>
          </w:tcPr>
          <w:p w14:paraId="034DA35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11.1</w:t>
            </w:r>
          </w:p>
        </w:tc>
        <w:tc>
          <w:tcPr>
            <w:tcW w:w="137" w:type="pct"/>
            <w:gridSpan w:val="2"/>
            <w:shd w:val="clear" w:color="auto" w:fill="auto"/>
            <w:vAlign w:val="center"/>
          </w:tcPr>
          <w:p w14:paraId="54B7314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7.3</w:t>
            </w:r>
          </w:p>
        </w:tc>
        <w:tc>
          <w:tcPr>
            <w:tcW w:w="139" w:type="pct"/>
            <w:gridSpan w:val="2"/>
            <w:shd w:val="clear" w:color="auto" w:fill="auto"/>
            <w:vAlign w:val="center"/>
          </w:tcPr>
          <w:p w14:paraId="3D3EB70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11.8</w:t>
            </w:r>
          </w:p>
        </w:tc>
        <w:tc>
          <w:tcPr>
            <w:tcW w:w="157" w:type="pct"/>
            <w:gridSpan w:val="2"/>
            <w:shd w:val="clear" w:color="auto" w:fill="auto"/>
            <w:vAlign w:val="center"/>
          </w:tcPr>
          <w:p w14:paraId="7139559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4a类</w:t>
            </w:r>
          </w:p>
        </w:tc>
        <w:tc>
          <w:tcPr>
            <w:tcW w:w="134" w:type="pct"/>
            <w:gridSpan w:val="2"/>
            <w:shd w:val="clear" w:color="auto" w:fill="auto"/>
            <w:vAlign w:val="center"/>
          </w:tcPr>
          <w:p w14:paraId="11E6325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55.0</w:t>
            </w:r>
          </w:p>
        </w:tc>
        <w:tc>
          <w:tcPr>
            <w:tcW w:w="134" w:type="pct"/>
            <w:gridSpan w:val="2"/>
            <w:shd w:val="clear" w:color="auto" w:fill="auto"/>
            <w:vAlign w:val="center"/>
          </w:tcPr>
          <w:p w14:paraId="467BF2B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46.0</w:t>
            </w:r>
          </w:p>
        </w:tc>
      </w:tr>
      <w:tr w14:paraId="03E237AD">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7" w:type="pct"/>
            <w:vMerge w:val="continue"/>
            <w:vAlign w:val="center"/>
          </w:tcPr>
          <w:p w14:paraId="2B042985">
            <w:pPr>
              <w:widowControl/>
              <w:jc w:val="center"/>
              <w:rPr>
                <w:rFonts w:ascii="Times New Roman" w:hAnsi="Times New Roman" w:eastAsia="宋体" w:cs="Times New Roman"/>
                <w:kern w:val="0"/>
                <w:szCs w:val="21"/>
              </w:rPr>
            </w:pPr>
          </w:p>
        </w:tc>
        <w:tc>
          <w:tcPr>
            <w:tcW w:w="319" w:type="pct"/>
            <w:vMerge w:val="continue"/>
            <w:vAlign w:val="center"/>
          </w:tcPr>
          <w:p w14:paraId="6F4A0A13">
            <w:pPr>
              <w:widowControl/>
              <w:jc w:val="center"/>
              <w:rPr>
                <w:rFonts w:ascii="Times New Roman" w:hAnsi="Times New Roman" w:eastAsia="宋体" w:cs="Times New Roman"/>
                <w:kern w:val="0"/>
                <w:szCs w:val="21"/>
              </w:rPr>
            </w:pPr>
          </w:p>
        </w:tc>
        <w:tc>
          <w:tcPr>
            <w:tcW w:w="145" w:type="pct"/>
            <w:vMerge w:val="continue"/>
            <w:vAlign w:val="center"/>
          </w:tcPr>
          <w:p w14:paraId="608C94FF">
            <w:pPr>
              <w:widowControl/>
              <w:jc w:val="center"/>
              <w:rPr>
                <w:rFonts w:ascii="Times New Roman" w:hAnsi="Times New Roman" w:eastAsia="宋体" w:cs="Times New Roman"/>
                <w:kern w:val="0"/>
                <w:szCs w:val="21"/>
              </w:rPr>
            </w:pPr>
          </w:p>
        </w:tc>
        <w:tc>
          <w:tcPr>
            <w:tcW w:w="188" w:type="pct"/>
            <w:shd w:val="clear" w:color="auto" w:fill="auto"/>
            <w:noWrap/>
            <w:vAlign w:val="center"/>
          </w:tcPr>
          <w:p w14:paraId="707238E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59</w:t>
            </w:r>
          </w:p>
        </w:tc>
        <w:tc>
          <w:tcPr>
            <w:tcW w:w="131" w:type="pct"/>
            <w:vMerge w:val="continue"/>
            <w:vAlign w:val="center"/>
          </w:tcPr>
          <w:p w14:paraId="16F7B784">
            <w:pPr>
              <w:widowControl/>
              <w:jc w:val="center"/>
              <w:rPr>
                <w:rFonts w:ascii="Times New Roman" w:hAnsi="Times New Roman" w:eastAsia="宋体" w:cs="Times New Roman"/>
                <w:kern w:val="0"/>
                <w:szCs w:val="21"/>
              </w:rPr>
            </w:pPr>
          </w:p>
        </w:tc>
        <w:tc>
          <w:tcPr>
            <w:tcW w:w="232" w:type="pct"/>
            <w:vMerge w:val="continue"/>
            <w:vAlign w:val="center"/>
          </w:tcPr>
          <w:p w14:paraId="6F2FED84">
            <w:pPr>
              <w:widowControl/>
              <w:jc w:val="center"/>
              <w:rPr>
                <w:rFonts w:ascii="Times New Roman" w:hAnsi="Times New Roman" w:eastAsia="宋体" w:cs="Times New Roman"/>
                <w:kern w:val="0"/>
                <w:szCs w:val="21"/>
              </w:rPr>
            </w:pPr>
          </w:p>
        </w:tc>
        <w:tc>
          <w:tcPr>
            <w:tcW w:w="147" w:type="pct"/>
            <w:vMerge w:val="continue"/>
            <w:vAlign w:val="center"/>
          </w:tcPr>
          <w:p w14:paraId="7E516086">
            <w:pPr>
              <w:widowControl/>
              <w:jc w:val="center"/>
              <w:rPr>
                <w:rFonts w:ascii="Times New Roman" w:hAnsi="Times New Roman" w:eastAsia="宋体" w:cs="Times New Roman"/>
                <w:kern w:val="0"/>
                <w:szCs w:val="21"/>
              </w:rPr>
            </w:pPr>
          </w:p>
        </w:tc>
        <w:tc>
          <w:tcPr>
            <w:tcW w:w="137" w:type="pct"/>
            <w:shd w:val="clear" w:color="auto" w:fill="auto"/>
            <w:vAlign w:val="center"/>
          </w:tcPr>
          <w:p w14:paraId="6799A87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55.4</w:t>
            </w:r>
          </w:p>
        </w:tc>
        <w:tc>
          <w:tcPr>
            <w:tcW w:w="137" w:type="pct"/>
            <w:shd w:val="clear" w:color="auto" w:fill="auto"/>
            <w:vAlign w:val="center"/>
          </w:tcPr>
          <w:p w14:paraId="7B3A6CB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51.5</w:t>
            </w:r>
          </w:p>
        </w:tc>
        <w:tc>
          <w:tcPr>
            <w:tcW w:w="137" w:type="pct"/>
            <w:gridSpan w:val="2"/>
            <w:shd w:val="clear" w:color="auto" w:fill="auto"/>
            <w:vAlign w:val="center"/>
          </w:tcPr>
          <w:p w14:paraId="7542F2E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56.2</w:t>
            </w:r>
          </w:p>
        </w:tc>
        <w:tc>
          <w:tcPr>
            <w:tcW w:w="137" w:type="pct"/>
            <w:gridSpan w:val="2"/>
            <w:shd w:val="clear" w:color="auto" w:fill="auto"/>
            <w:vAlign w:val="center"/>
          </w:tcPr>
          <w:p w14:paraId="40BB885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52.3</w:t>
            </w:r>
          </w:p>
        </w:tc>
        <w:tc>
          <w:tcPr>
            <w:tcW w:w="137" w:type="pct"/>
            <w:gridSpan w:val="2"/>
            <w:shd w:val="clear" w:color="auto" w:fill="auto"/>
            <w:vAlign w:val="center"/>
          </w:tcPr>
          <w:p w14:paraId="020B6B0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56.9</w:t>
            </w:r>
          </w:p>
        </w:tc>
        <w:tc>
          <w:tcPr>
            <w:tcW w:w="139" w:type="pct"/>
            <w:gridSpan w:val="2"/>
            <w:shd w:val="clear" w:color="auto" w:fill="auto"/>
            <w:vAlign w:val="center"/>
          </w:tcPr>
          <w:p w14:paraId="352AE9F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53.0</w:t>
            </w:r>
          </w:p>
        </w:tc>
        <w:tc>
          <w:tcPr>
            <w:tcW w:w="137" w:type="pct"/>
            <w:gridSpan w:val="2"/>
            <w:shd w:val="clear" w:color="auto" w:fill="auto"/>
            <w:vAlign w:val="center"/>
          </w:tcPr>
          <w:p w14:paraId="3B7147F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57.0</w:t>
            </w:r>
          </w:p>
        </w:tc>
        <w:tc>
          <w:tcPr>
            <w:tcW w:w="137" w:type="pct"/>
            <w:gridSpan w:val="2"/>
            <w:shd w:val="clear" w:color="auto" w:fill="auto"/>
            <w:vAlign w:val="center"/>
          </w:tcPr>
          <w:p w14:paraId="50CF471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52.2</w:t>
            </w:r>
          </w:p>
        </w:tc>
        <w:tc>
          <w:tcPr>
            <w:tcW w:w="137" w:type="pct"/>
            <w:gridSpan w:val="2"/>
            <w:shd w:val="clear" w:color="auto" w:fill="auto"/>
            <w:vAlign w:val="center"/>
          </w:tcPr>
          <w:p w14:paraId="18FE717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57.6</w:t>
            </w:r>
          </w:p>
        </w:tc>
        <w:tc>
          <w:tcPr>
            <w:tcW w:w="139" w:type="pct"/>
            <w:gridSpan w:val="2"/>
            <w:shd w:val="clear" w:color="auto" w:fill="auto"/>
            <w:vAlign w:val="center"/>
          </w:tcPr>
          <w:p w14:paraId="1466AF2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52.9</w:t>
            </w:r>
          </w:p>
        </w:tc>
        <w:tc>
          <w:tcPr>
            <w:tcW w:w="137" w:type="pct"/>
            <w:gridSpan w:val="2"/>
            <w:shd w:val="clear" w:color="auto" w:fill="auto"/>
            <w:vAlign w:val="center"/>
          </w:tcPr>
          <w:p w14:paraId="0C0DCB0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58.1</w:t>
            </w:r>
          </w:p>
        </w:tc>
        <w:tc>
          <w:tcPr>
            <w:tcW w:w="139" w:type="pct"/>
            <w:gridSpan w:val="2"/>
            <w:shd w:val="clear" w:color="auto" w:fill="auto"/>
            <w:vAlign w:val="center"/>
          </w:tcPr>
          <w:p w14:paraId="491EB91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53.5</w:t>
            </w:r>
          </w:p>
        </w:tc>
        <w:tc>
          <w:tcPr>
            <w:tcW w:w="137" w:type="pct"/>
            <w:gridSpan w:val="2"/>
            <w:shd w:val="clear" w:color="auto" w:fill="auto"/>
            <w:vAlign w:val="center"/>
          </w:tcPr>
          <w:p w14:paraId="2171A7A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8" w:type="pct"/>
            <w:gridSpan w:val="2"/>
            <w:shd w:val="clear" w:color="auto" w:fill="auto"/>
            <w:vAlign w:val="center"/>
          </w:tcPr>
          <w:p w14:paraId="3B3C5E9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2.2</w:t>
            </w:r>
          </w:p>
        </w:tc>
        <w:tc>
          <w:tcPr>
            <w:tcW w:w="137" w:type="pct"/>
            <w:gridSpan w:val="2"/>
            <w:shd w:val="clear" w:color="auto" w:fill="auto"/>
            <w:vAlign w:val="center"/>
          </w:tcPr>
          <w:p w14:paraId="0D602D2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gridSpan w:val="2"/>
            <w:shd w:val="clear" w:color="auto" w:fill="auto"/>
            <w:vAlign w:val="center"/>
          </w:tcPr>
          <w:p w14:paraId="15862C8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2.9</w:t>
            </w:r>
          </w:p>
        </w:tc>
        <w:tc>
          <w:tcPr>
            <w:tcW w:w="137" w:type="pct"/>
            <w:gridSpan w:val="2"/>
            <w:shd w:val="clear" w:color="auto" w:fill="auto"/>
            <w:vAlign w:val="center"/>
          </w:tcPr>
          <w:p w14:paraId="115962F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gridSpan w:val="2"/>
            <w:shd w:val="clear" w:color="auto" w:fill="auto"/>
            <w:vAlign w:val="center"/>
          </w:tcPr>
          <w:p w14:paraId="4FD2EF4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3.5</w:t>
            </w:r>
          </w:p>
        </w:tc>
        <w:tc>
          <w:tcPr>
            <w:tcW w:w="137" w:type="pct"/>
            <w:gridSpan w:val="2"/>
            <w:shd w:val="clear" w:color="auto" w:fill="auto"/>
            <w:vAlign w:val="center"/>
          </w:tcPr>
          <w:p w14:paraId="4BE06C8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5.0</w:t>
            </w:r>
          </w:p>
        </w:tc>
        <w:tc>
          <w:tcPr>
            <w:tcW w:w="139" w:type="pct"/>
            <w:gridSpan w:val="2"/>
            <w:shd w:val="clear" w:color="auto" w:fill="auto"/>
            <w:vAlign w:val="center"/>
          </w:tcPr>
          <w:p w14:paraId="045A151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8.7</w:t>
            </w:r>
          </w:p>
        </w:tc>
        <w:tc>
          <w:tcPr>
            <w:tcW w:w="137" w:type="pct"/>
            <w:gridSpan w:val="2"/>
            <w:shd w:val="clear" w:color="auto" w:fill="auto"/>
            <w:vAlign w:val="center"/>
          </w:tcPr>
          <w:p w14:paraId="103D3BE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5.6</w:t>
            </w:r>
          </w:p>
        </w:tc>
        <w:tc>
          <w:tcPr>
            <w:tcW w:w="138" w:type="pct"/>
            <w:gridSpan w:val="2"/>
            <w:shd w:val="clear" w:color="auto" w:fill="auto"/>
            <w:vAlign w:val="center"/>
          </w:tcPr>
          <w:p w14:paraId="707C1FC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9.4</w:t>
            </w:r>
          </w:p>
        </w:tc>
        <w:tc>
          <w:tcPr>
            <w:tcW w:w="137" w:type="pct"/>
            <w:gridSpan w:val="2"/>
            <w:shd w:val="clear" w:color="auto" w:fill="auto"/>
            <w:vAlign w:val="center"/>
          </w:tcPr>
          <w:p w14:paraId="176FD7B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6.1</w:t>
            </w:r>
          </w:p>
        </w:tc>
        <w:tc>
          <w:tcPr>
            <w:tcW w:w="139" w:type="pct"/>
            <w:gridSpan w:val="2"/>
            <w:shd w:val="clear" w:color="auto" w:fill="auto"/>
            <w:vAlign w:val="center"/>
          </w:tcPr>
          <w:p w14:paraId="060CE1F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10.0</w:t>
            </w:r>
          </w:p>
        </w:tc>
        <w:tc>
          <w:tcPr>
            <w:tcW w:w="157" w:type="pct"/>
            <w:gridSpan w:val="2"/>
            <w:shd w:val="clear" w:color="auto" w:fill="auto"/>
            <w:vAlign w:val="center"/>
          </w:tcPr>
          <w:p w14:paraId="1C86E15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2类</w:t>
            </w:r>
          </w:p>
        </w:tc>
        <w:tc>
          <w:tcPr>
            <w:tcW w:w="134" w:type="pct"/>
            <w:gridSpan w:val="2"/>
            <w:shd w:val="clear" w:color="auto" w:fill="auto"/>
            <w:vAlign w:val="center"/>
          </w:tcPr>
          <w:p w14:paraId="18E7660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52.0</w:t>
            </w:r>
          </w:p>
        </w:tc>
        <w:tc>
          <w:tcPr>
            <w:tcW w:w="134" w:type="pct"/>
            <w:gridSpan w:val="2"/>
            <w:shd w:val="clear" w:color="auto" w:fill="auto"/>
            <w:vAlign w:val="center"/>
          </w:tcPr>
          <w:p w14:paraId="1F3C749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43.5</w:t>
            </w:r>
          </w:p>
        </w:tc>
      </w:tr>
      <w:tr w14:paraId="4370C679">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7" w:type="pct"/>
            <w:vMerge w:val="restart"/>
            <w:shd w:val="clear" w:color="auto" w:fill="auto"/>
            <w:vAlign w:val="center"/>
          </w:tcPr>
          <w:p w14:paraId="6556E04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22</w:t>
            </w:r>
          </w:p>
        </w:tc>
        <w:tc>
          <w:tcPr>
            <w:tcW w:w="319" w:type="pct"/>
            <w:vMerge w:val="restart"/>
            <w:shd w:val="clear" w:color="auto" w:fill="auto"/>
            <w:vAlign w:val="center"/>
          </w:tcPr>
          <w:p w14:paraId="123C0CC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丘如克</w:t>
            </w:r>
          </w:p>
        </w:tc>
        <w:tc>
          <w:tcPr>
            <w:tcW w:w="145" w:type="pct"/>
            <w:vMerge w:val="restart"/>
            <w:shd w:val="clear" w:color="auto" w:fill="auto"/>
            <w:vAlign w:val="center"/>
          </w:tcPr>
          <w:p w14:paraId="0E10CA7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两侧</w:t>
            </w:r>
          </w:p>
        </w:tc>
        <w:tc>
          <w:tcPr>
            <w:tcW w:w="188" w:type="pct"/>
            <w:shd w:val="clear" w:color="auto" w:fill="auto"/>
            <w:noWrap/>
            <w:vAlign w:val="center"/>
          </w:tcPr>
          <w:p w14:paraId="70F1BA9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22</w:t>
            </w:r>
          </w:p>
        </w:tc>
        <w:tc>
          <w:tcPr>
            <w:tcW w:w="131" w:type="pct"/>
            <w:vMerge w:val="restart"/>
            <w:shd w:val="clear" w:color="auto" w:fill="auto"/>
            <w:vAlign w:val="center"/>
          </w:tcPr>
          <w:p w14:paraId="1CB8CEF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w:t>
            </w:r>
          </w:p>
        </w:tc>
        <w:tc>
          <w:tcPr>
            <w:tcW w:w="232" w:type="pct"/>
            <w:vMerge w:val="restart"/>
            <w:shd w:val="clear" w:color="auto" w:fill="auto"/>
            <w:vAlign w:val="center"/>
          </w:tcPr>
          <w:p w14:paraId="174F233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0</w:t>
            </w:r>
          </w:p>
        </w:tc>
        <w:tc>
          <w:tcPr>
            <w:tcW w:w="147" w:type="pct"/>
            <w:vMerge w:val="restart"/>
            <w:shd w:val="clear" w:color="auto" w:fill="auto"/>
            <w:vAlign w:val="center"/>
          </w:tcPr>
          <w:p w14:paraId="18944CE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1层</w:t>
            </w:r>
          </w:p>
        </w:tc>
        <w:tc>
          <w:tcPr>
            <w:tcW w:w="137" w:type="pct"/>
            <w:shd w:val="clear" w:color="auto" w:fill="auto"/>
            <w:vAlign w:val="center"/>
          </w:tcPr>
          <w:p w14:paraId="52B37F3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61.1</w:t>
            </w:r>
          </w:p>
        </w:tc>
        <w:tc>
          <w:tcPr>
            <w:tcW w:w="137" w:type="pct"/>
            <w:shd w:val="clear" w:color="auto" w:fill="auto"/>
            <w:vAlign w:val="center"/>
          </w:tcPr>
          <w:p w14:paraId="4FB2081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57.2</w:t>
            </w:r>
          </w:p>
        </w:tc>
        <w:tc>
          <w:tcPr>
            <w:tcW w:w="137" w:type="pct"/>
            <w:gridSpan w:val="2"/>
            <w:shd w:val="clear" w:color="auto" w:fill="auto"/>
            <w:vAlign w:val="center"/>
          </w:tcPr>
          <w:p w14:paraId="73EA5DD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61.9</w:t>
            </w:r>
          </w:p>
        </w:tc>
        <w:tc>
          <w:tcPr>
            <w:tcW w:w="137" w:type="pct"/>
            <w:gridSpan w:val="2"/>
            <w:shd w:val="clear" w:color="auto" w:fill="auto"/>
            <w:vAlign w:val="center"/>
          </w:tcPr>
          <w:p w14:paraId="1A8BB87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57.7</w:t>
            </w:r>
          </w:p>
        </w:tc>
        <w:tc>
          <w:tcPr>
            <w:tcW w:w="137" w:type="pct"/>
            <w:gridSpan w:val="2"/>
            <w:shd w:val="clear" w:color="auto" w:fill="auto"/>
            <w:vAlign w:val="center"/>
          </w:tcPr>
          <w:p w14:paraId="49C2BB1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62.6</w:t>
            </w:r>
          </w:p>
        </w:tc>
        <w:tc>
          <w:tcPr>
            <w:tcW w:w="139" w:type="pct"/>
            <w:gridSpan w:val="2"/>
            <w:shd w:val="clear" w:color="auto" w:fill="auto"/>
            <w:vAlign w:val="center"/>
          </w:tcPr>
          <w:p w14:paraId="3D6A653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58.7</w:t>
            </w:r>
          </w:p>
        </w:tc>
        <w:tc>
          <w:tcPr>
            <w:tcW w:w="137" w:type="pct"/>
            <w:gridSpan w:val="2"/>
            <w:shd w:val="clear" w:color="auto" w:fill="auto"/>
            <w:vAlign w:val="center"/>
          </w:tcPr>
          <w:p w14:paraId="415A029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61.2</w:t>
            </w:r>
          </w:p>
        </w:tc>
        <w:tc>
          <w:tcPr>
            <w:tcW w:w="137" w:type="pct"/>
            <w:gridSpan w:val="2"/>
            <w:shd w:val="clear" w:color="auto" w:fill="auto"/>
            <w:vAlign w:val="center"/>
          </w:tcPr>
          <w:p w14:paraId="2926CB0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57.3</w:t>
            </w:r>
          </w:p>
        </w:tc>
        <w:tc>
          <w:tcPr>
            <w:tcW w:w="137" w:type="pct"/>
            <w:gridSpan w:val="2"/>
            <w:shd w:val="clear" w:color="auto" w:fill="auto"/>
            <w:vAlign w:val="center"/>
          </w:tcPr>
          <w:p w14:paraId="5BDF578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62.0</w:t>
            </w:r>
          </w:p>
        </w:tc>
        <w:tc>
          <w:tcPr>
            <w:tcW w:w="139" w:type="pct"/>
            <w:gridSpan w:val="2"/>
            <w:shd w:val="clear" w:color="auto" w:fill="auto"/>
            <w:vAlign w:val="center"/>
          </w:tcPr>
          <w:p w14:paraId="159DC24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58.0</w:t>
            </w:r>
          </w:p>
        </w:tc>
        <w:tc>
          <w:tcPr>
            <w:tcW w:w="137" w:type="pct"/>
            <w:gridSpan w:val="2"/>
            <w:shd w:val="clear" w:color="auto" w:fill="auto"/>
            <w:vAlign w:val="center"/>
          </w:tcPr>
          <w:p w14:paraId="3EE4A50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62.7</w:t>
            </w:r>
          </w:p>
        </w:tc>
        <w:tc>
          <w:tcPr>
            <w:tcW w:w="139" w:type="pct"/>
            <w:gridSpan w:val="2"/>
            <w:shd w:val="clear" w:color="auto" w:fill="auto"/>
            <w:vAlign w:val="center"/>
          </w:tcPr>
          <w:p w14:paraId="0BC8ED8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58.8</w:t>
            </w:r>
          </w:p>
        </w:tc>
        <w:tc>
          <w:tcPr>
            <w:tcW w:w="137" w:type="pct"/>
            <w:gridSpan w:val="2"/>
            <w:shd w:val="clear" w:color="auto" w:fill="auto"/>
            <w:vAlign w:val="center"/>
          </w:tcPr>
          <w:p w14:paraId="2A8925C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8" w:type="pct"/>
            <w:gridSpan w:val="2"/>
            <w:shd w:val="clear" w:color="auto" w:fill="auto"/>
            <w:vAlign w:val="center"/>
          </w:tcPr>
          <w:p w14:paraId="79AA65B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2.3</w:t>
            </w:r>
          </w:p>
        </w:tc>
        <w:tc>
          <w:tcPr>
            <w:tcW w:w="137" w:type="pct"/>
            <w:gridSpan w:val="2"/>
            <w:shd w:val="clear" w:color="auto" w:fill="auto"/>
            <w:vAlign w:val="center"/>
          </w:tcPr>
          <w:p w14:paraId="726EACF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gridSpan w:val="2"/>
            <w:shd w:val="clear" w:color="auto" w:fill="auto"/>
            <w:vAlign w:val="center"/>
          </w:tcPr>
          <w:p w14:paraId="52842AC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3.0</w:t>
            </w:r>
          </w:p>
        </w:tc>
        <w:tc>
          <w:tcPr>
            <w:tcW w:w="137" w:type="pct"/>
            <w:gridSpan w:val="2"/>
            <w:shd w:val="clear" w:color="auto" w:fill="auto"/>
            <w:vAlign w:val="center"/>
          </w:tcPr>
          <w:p w14:paraId="5A52924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gridSpan w:val="2"/>
            <w:shd w:val="clear" w:color="auto" w:fill="auto"/>
            <w:vAlign w:val="center"/>
          </w:tcPr>
          <w:p w14:paraId="675C6FE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3.8</w:t>
            </w:r>
          </w:p>
        </w:tc>
        <w:tc>
          <w:tcPr>
            <w:tcW w:w="137" w:type="pct"/>
            <w:gridSpan w:val="2"/>
            <w:shd w:val="clear" w:color="auto" w:fill="auto"/>
            <w:vAlign w:val="center"/>
          </w:tcPr>
          <w:p w14:paraId="6C9DA22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16.2</w:t>
            </w:r>
          </w:p>
        </w:tc>
        <w:tc>
          <w:tcPr>
            <w:tcW w:w="139" w:type="pct"/>
            <w:gridSpan w:val="2"/>
            <w:shd w:val="clear" w:color="auto" w:fill="auto"/>
            <w:vAlign w:val="center"/>
          </w:tcPr>
          <w:p w14:paraId="2A8E115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20.3</w:t>
            </w:r>
          </w:p>
        </w:tc>
        <w:tc>
          <w:tcPr>
            <w:tcW w:w="137" w:type="pct"/>
            <w:gridSpan w:val="2"/>
            <w:shd w:val="clear" w:color="auto" w:fill="auto"/>
            <w:vAlign w:val="center"/>
          </w:tcPr>
          <w:p w14:paraId="3E10B7C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17.0</w:t>
            </w:r>
          </w:p>
        </w:tc>
        <w:tc>
          <w:tcPr>
            <w:tcW w:w="138" w:type="pct"/>
            <w:gridSpan w:val="2"/>
            <w:shd w:val="clear" w:color="auto" w:fill="auto"/>
            <w:vAlign w:val="center"/>
          </w:tcPr>
          <w:p w14:paraId="34EC2D8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21.0</w:t>
            </w:r>
          </w:p>
        </w:tc>
        <w:tc>
          <w:tcPr>
            <w:tcW w:w="137" w:type="pct"/>
            <w:gridSpan w:val="2"/>
            <w:shd w:val="clear" w:color="auto" w:fill="auto"/>
            <w:vAlign w:val="center"/>
          </w:tcPr>
          <w:p w14:paraId="78C77ED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17.7</w:t>
            </w:r>
          </w:p>
        </w:tc>
        <w:tc>
          <w:tcPr>
            <w:tcW w:w="139" w:type="pct"/>
            <w:gridSpan w:val="2"/>
            <w:shd w:val="clear" w:color="auto" w:fill="auto"/>
            <w:vAlign w:val="center"/>
          </w:tcPr>
          <w:p w14:paraId="428A67E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21.8</w:t>
            </w:r>
          </w:p>
        </w:tc>
        <w:tc>
          <w:tcPr>
            <w:tcW w:w="157" w:type="pct"/>
            <w:gridSpan w:val="2"/>
            <w:shd w:val="clear" w:color="auto" w:fill="auto"/>
            <w:vAlign w:val="center"/>
          </w:tcPr>
          <w:p w14:paraId="591F34D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4a类</w:t>
            </w:r>
          </w:p>
        </w:tc>
        <w:tc>
          <w:tcPr>
            <w:tcW w:w="134" w:type="pct"/>
            <w:gridSpan w:val="2"/>
            <w:vMerge w:val="restart"/>
            <w:shd w:val="clear" w:color="auto" w:fill="auto"/>
            <w:vAlign w:val="center"/>
          </w:tcPr>
          <w:p w14:paraId="4D53CE5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45.0</w:t>
            </w:r>
          </w:p>
        </w:tc>
        <w:tc>
          <w:tcPr>
            <w:tcW w:w="134" w:type="pct"/>
            <w:gridSpan w:val="2"/>
            <w:vMerge w:val="restart"/>
            <w:shd w:val="clear" w:color="auto" w:fill="auto"/>
            <w:vAlign w:val="center"/>
          </w:tcPr>
          <w:p w14:paraId="061E7CD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37.0</w:t>
            </w:r>
          </w:p>
        </w:tc>
      </w:tr>
      <w:tr w14:paraId="5197D960">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7" w:type="pct"/>
            <w:vMerge w:val="continue"/>
            <w:vAlign w:val="center"/>
          </w:tcPr>
          <w:p w14:paraId="2E019D16">
            <w:pPr>
              <w:widowControl/>
              <w:jc w:val="center"/>
              <w:rPr>
                <w:rFonts w:ascii="Times New Roman" w:hAnsi="Times New Roman" w:eastAsia="宋体" w:cs="Times New Roman"/>
                <w:kern w:val="0"/>
                <w:szCs w:val="21"/>
              </w:rPr>
            </w:pPr>
          </w:p>
        </w:tc>
        <w:tc>
          <w:tcPr>
            <w:tcW w:w="319" w:type="pct"/>
            <w:vMerge w:val="continue"/>
            <w:vAlign w:val="center"/>
          </w:tcPr>
          <w:p w14:paraId="533266A4">
            <w:pPr>
              <w:widowControl/>
              <w:jc w:val="center"/>
              <w:rPr>
                <w:rFonts w:ascii="Times New Roman" w:hAnsi="Times New Roman" w:eastAsia="宋体" w:cs="Times New Roman"/>
                <w:kern w:val="0"/>
                <w:szCs w:val="21"/>
              </w:rPr>
            </w:pPr>
          </w:p>
        </w:tc>
        <w:tc>
          <w:tcPr>
            <w:tcW w:w="145" w:type="pct"/>
            <w:vMerge w:val="continue"/>
            <w:vAlign w:val="center"/>
          </w:tcPr>
          <w:p w14:paraId="19447396">
            <w:pPr>
              <w:widowControl/>
              <w:jc w:val="center"/>
              <w:rPr>
                <w:rFonts w:ascii="Times New Roman" w:hAnsi="Times New Roman" w:eastAsia="宋体" w:cs="Times New Roman"/>
                <w:kern w:val="0"/>
                <w:szCs w:val="21"/>
              </w:rPr>
            </w:pPr>
          </w:p>
        </w:tc>
        <w:tc>
          <w:tcPr>
            <w:tcW w:w="188" w:type="pct"/>
            <w:shd w:val="clear" w:color="auto" w:fill="auto"/>
            <w:noWrap/>
            <w:vAlign w:val="center"/>
          </w:tcPr>
          <w:p w14:paraId="7B10DAA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56</w:t>
            </w:r>
          </w:p>
        </w:tc>
        <w:tc>
          <w:tcPr>
            <w:tcW w:w="131" w:type="pct"/>
            <w:vMerge w:val="continue"/>
            <w:vAlign w:val="center"/>
          </w:tcPr>
          <w:p w14:paraId="26444B9D">
            <w:pPr>
              <w:widowControl/>
              <w:jc w:val="center"/>
              <w:rPr>
                <w:rFonts w:ascii="Times New Roman" w:hAnsi="Times New Roman" w:eastAsia="宋体" w:cs="Times New Roman"/>
                <w:kern w:val="0"/>
                <w:szCs w:val="21"/>
              </w:rPr>
            </w:pPr>
          </w:p>
        </w:tc>
        <w:tc>
          <w:tcPr>
            <w:tcW w:w="232" w:type="pct"/>
            <w:vMerge w:val="continue"/>
            <w:vAlign w:val="center"/>
          </w:tcPr>
          <w:p w14:paraId="74594D21">
            <w:pPr>
              <w:widowControl/>
              <w:jc w:val="center"/>
              <w:rPr>
                <w:rFonts w:ascii="Times New Roman" w:hAnsi="Times New Roman" w:eastAsia="宋体" w:cs="Times New Roman"/>
                <w:kern w:val="0"/>
                <w:szCs w:val="21"/>
              </w:rPr>
            </w:pPr>
          </w:p>
        </w:tc>
        <w:tc>
          <w:tcPr>
            <w:tcW w:w="147" w:type="pct"/>
            <w:vMerge w:val="continue"/>
            <w:vAlign w:val="center"/>
          </w:tcPr>
          <w:p w14:paraId="6B64A317">
            <w:pPr>
              <w:widowControl/>
              <w:jc w:val="center"/>
              <w:rPr>
                <w:rFonts w:ascii="Times New Roman" w:hAnsi="Times New Roman" w:eastAsia="宋体" w:cs="Times New Roman"/>
                <w:kern w:val="0"/>
                <w:szCs w:val="21"/>
              </w:rPr>
            </w:pPr>
          </w:p>
        </w:tc>
        <w:tc>
          <w:tcPr>
            <w:tcW w:w="137" w:type="pct"/>
            <w:shd w:val="clear" w:color="auto" w:fill="auto"/>
            <w:vAlign w:val="center"/>
          </w:tcPr>
          <w:p w14:paraId="06CE97A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56.1</w:t>
            </w:r>
          </w:p>
        </w:tc>
        <w:tc>
          <w:tcPr>
            <w:tcW w:w="137" w:type="pct"/>
            <w:shd w:val="clear" w:color="auto" w:fill="auto"/>
            <w:vAlign w:val="center"/>
          </w:tcPr>
          <w:p w14:paraId="49C1AB1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52.2</w:t>
            </w:r>
          </w:p>
        </w:tc>
        <w:tc>
          <w:tcPr>
            <w:tcW w:w="137" w:type="pct"/>
            <w:gridSpan w:val="2"/>
            <w:shd w:val="clear" w:color="auto" w:fill="auto"/>
            <w:vAlign w:val="center"/>
          </w:tcPr>
          <w:p w14:paraId="6018F3D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56.9</w:t>
            </w:r>
          </w:p>
        </w:tc>
        <w:tc>
          <w:tcPr>
            <w:tcW w:w="137" w:type="pct"/>
            <w:gridSpan w:val="2"/>
            <w:shd w:val="clear" w:color="auto" w:fill="auto"/>
            <w:vAlign w:val="center"/>
          </w:tcPr>
          <w:p w14:paraId="3BB6991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52.8</w:t>
            </w:r>
          </w:p>
        </w:tc>
        <w:tc>
          <w:tcPr>
            <w:tcW w:w="137" w:type="pct"/>
            <w:gridSpan w:val="2"/>
            <w:shd w:val="clear" w:color="auto" w:fill="auto"/>
            <w:vAlign w:val="center"/>
          </w:tcPr>
          <w:p w14:paraId="67B248F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57.6</w:t>
            </w:r>
          </w:p>
        </w:tc>
        <w:tc>
          <w:tcPr>
            <w:tcW w:w="139" w:type="pct"/>
            <w:gridSpan w:val="2"/>
            <w:shd w:val="clear" w:color="auto" w:fill="auto"/>
            <w:vAlign w:val="center"/>
          </w:tcPr>
          <w:p w14:paraId="394379B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53.7</w:t>
            </w:r>
          </w:p>
        </w:tc>
        <w:tc>
          <w:tcPr>
            <w:tcW w:w="137" w:type="pct"/>
            <w:gridSpan w:val="2"/>
            <w:shd w:val="clear" w:color="auto" w:fill="auto"/>
            <w:vAlign w:val="center"/>
          </w:tcPr>
          <w:p w14:paraId="3FE21CD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56.4</w:t>
            </w:r>
          </w:p>
        </w:tc>
        <w:tc>
          <w:tcPr>
            <w:tcW w:w="137" w:type="pct"/>
            <w:gridSpan w:val="2"/>
            <w:shd w:val="clear" w:color="auto" w:fill="auto"/>
            <w:vAlign w:val="center"/>
          </w:tcPr>
          <w:p w14:paraId="6529348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52.3</w:t>
            </w:r>
          </w:p>
        </w:tc>
        <w:tc>
          <w:tcPr>
            <w:tcW w:w="137" w:type="pct"/>
            <w:gridSpan w:val="2"/>
            <w:shd w:val="clear" w:color="auto" w:fill="auto"/>
            <w:vAlign w:val="center"/>
          </w:tcPr>
          <w:p w14:paraId="1CE240D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57.1</w:t>
            </w:r>
          </w:p>
        </w:tc>
        <w:tc>
          <w:tcPr>
            <w:tcW w:w="139" w:type="pct"/>
            <w:gridSpan w:val="2"/>
            <w:shd w:val="clear" w:color="auto" w:fill="auto"/>
            <w:vAlign w:val="center"/>
          </w:tcPr>
          <w:p w14:paraId="6CD9AE9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53.0</w:t>
            </w:r>
          </w:p>
        </w:tc>
        <w:tc>
          <w:tcPr>
            <w:tcW w:w="137" w:type="pct"/>
            <w:gridSpan w:val="2"/>
            <w:shd w:val="clear" w:color="auto" w:fill="auto"/>
            <w:vAlign w:val="center"/>
          </w:tcPr>
          <w:p w14:paraId="544DCD3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57.8</w:t>
            </w:r>
          </w:p>
        </w:tc>
        <w:tc>
          <w:tcPr>
            <w:tcW w:w="139" w:type="pct"/>
            <w:gridSpan w:val="2"/>
            <w:shd w:val="clear" w:color="auto" w:fill="auto"/>
            <w:vAlign w:val="center"/>
          </w:tcPr>
          <w:p w14:paraId="4DB6B1C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53.8</w:t>
            </w:r>
          </w:p>
        </w:tc>
        <w:tc>
          <w:tcPr>
            <w:tcW w:w="137" w:type="pct"/>
            <w:gridSpan w:val="2"/>
            <w:shd w:val="clear" w:color="auto" w:fill="auto"/>
            <w:vAlign w:val="center"/>
          </w:tcPr>
          <w:p w14:paraId="65C436D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8" w:type="pct"/>
            <w:gridSpan w:val="2"/>
            <w:shd w:val="clear" w:color="auto" w:fill="auto"/>
            <w:vAlign w:val="center"/>
          </w:tcPr>
          <w:p w14:paraId="331F491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2.3</w:t>
            </w:r>
          </w:p>
        </w:tc>
        <w:tc>
          <w:tcPr>
            <w:tcW w:w="137" w:type="pct"/>
            <w:gridSpan w:val="2"/>
            <w:shd w:val="clear" w:color="auto" w:fill="auto"/>
            <w:vAlign w:val="center"/>
          </w:tcPr>
          <w:p w14:paraId="136B075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gridSpan w:val="2"/>
            <w:shd w:val="clear" w:color="auto" w:fill="auto"/>
            <w:vAlign w:val="center"/>
          </w:tcPr>
          <w:p w14:paraId="45B8A01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3.0</w:t>
            </w:r>
          </w:p>
        </w:tc>
        <w:tc>
          <w:tcPr>
            <w:tcW w:w="137" w:type="pct"/>
            <w:gridSpan w:val="2"/>
            <w:shd w:val="clear" w:color="auto" w:fill="auto"/>
            <w:vAlign w:val="center"/>
          </w:tcPr>
          <w:p w14:paraId="62B39C6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gridSpan w:val="2"/>
            <w:shd w:val="clear" w:color="auto" w:fill="auto"/>
            <w:vAlign w:val="center"/>
          </w:tcPr>
          <w:p w14:paraId="17BD2EF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3.8</w:t>
            </w:r>
          </w:p>
        </w:tc>
        <w:tc>
          <w:tcPr>
            <w:tcW w:w="137" w:type="pct"/>
            <w:gridSpan w:val="2"/>
            <w:shd w:val="clear" w:color="auto" w:fill="auto"/>
            <w:vAlign w:val="center"/>
          </w:tcPr>
          <w:p w14:paraId="58E0A4A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11.4</w:t>
            </w:r>
          </w:p>
        </w:tc>
        <w:tc>
          <w:tcPr>
            <w:tcW w:w="139" w:type="pct"/>
            <w:gridSpan w:val="2"/>
            <w:shd w:val="clear" w:color="auto" w:fill="auto"/>
            <w:vAlign w:val="center"/>
          </w:tcPr>
          <w:p w14:paraId="4755ACB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15.3</w:t>
            </w:r>
          </w:p>
        </w:tc>
        <w:tc>
          <w:tcPr>
            <w:tcW w:w="137" w:type="pct"/>
            <w:gridSpan w:val="2"/>
            <w:shd w:val="clear" w:color="auto" w:fill="auto"/>
            <w:vAlign w:val="center"/>
          </w:tcPr>
          <w:p w14:paraId="5F111F2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12.1</w:t>
            </w:r>
          </w:p>
        </w:tc>
        <w:tc>
          <w:tcPr>
            <w:tcW w:w="138" w:type="pct"/>
            <w:gridSpan w:val="2"/>
            <w:shd w:val="clear" w:color="auto" w:fill="auto"/>
            <w:vAlign w:val="center"/>
          </w:tcPr>
          <w:p w14:paraId="665D092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16.0</w:t>
            </w:r>
          </w:p>
        </w:tc>
        <w:tc>
          <w:tcPr>
            <w:tcW w:w="137" w:type="pct"/>
            <w:gridSpan w:val="2"/>
            <w:shd w:val="clear" w:color="auto" w:fill="auto"/>
            <w:vAlign w:val="center"/>
          </w:tcPr>
          <w:p w14:paraId="317E3E5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12.8</w:t>
            </w:r>
          </w:p>
        </w:tc>
        <w:tc>
          <w:tcPr>
            <w:tcW w:w="139" w:type="pct"/>
            <w:gridSpan w:val="2"/>
            <w:shd w:val="clear" w:color="auto" w:fill="auto"/>
            <w:vAlign w:val="center"/>
          </w:tcPr>
          <w:p w14:paraId="758CABA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16.8</w:t>
            </w:r>
          </w:p>
        </w:tc>
        <w:tc>
          <w:tcPr>
            <w:tcW w:w="157" w:type="pct"/>
            <w:gridSpan w:val="2"/>
            <w:shd w:val="clear" w:color="auto" w:fill="auto"/>
            <w:vAlign w:val="center"/>
          </w:tcPr>
          <w:p w14:paraId="4E3CC86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2类</w:t>
            </w:r>
          </w:p>
        </w:tc>
        <w:tc>
          <w:tcPr>
            <w:tcW w:w="134" w:type="pct"/>
            <w:gridSpan w:val="2"/>
            <w:vMerge w:val="continue"/>
            <w:vAlign w:val="center"/>
          </w:tcPr>
          <w:p w14:paraId="607B7C15">
            <w:pPr>
              <w:widowControl/>
              <w:jc w:val="center"/>
              <w:rPr>
                <w:rFonts w:ascii="Times New Roman" w:hAnsi="Times New Roman" w:eastAsia="宋体" w:cs="Times New Roman"/>
                <w:kern w:val="0"/>
                <w:szCs w:val="21"/>
              </w:rPr>
            </w:pPr>
          </w:p>
        </w:tc>
        <w:tc>
          <w:tcPr>
            <w:tcW w:w="134" w:type="pct"/>
            <w:gridSpan w:val="2"/>
            <w:vMerge w:val="continue"/>
            <w:vAlign w:val="center"/>
          </w:tcPr>
          <w:p w14:paraId="486DE7B0">
            <w:pPr>
              <w:widowControl/>
              <w:jc w:val="center"/>
              <w:rPr>
                <w:rFonts w:ascii="Times New Roman" w:hAnsi="Times New Roman" w:eastAsia="宋体" w:cs="Times New Roman"/>
                <w:kern w:val="0"/>
                <w:szCs w:val="21"/>
              </w:rPr>
            </w:pPr>
          </w:p>
        </w:tc>
      </w:tr>
      <w:tr w14:paraId="2D489D49">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7" w:type="pct"/>
            <w:vMerge w:val="restart"/>
            <w:shd w:val="clear" w:color="auto" w:fill="auto"/>
            <w:vAlign w:val="center"/>
          </w:tcPr>
          <w:p w14:paraId="710333E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23</w:t>
            </w:r>
          </w:p>
        </w:tc>
        <w:tc>
          <w:tcPr>
            <w:tcW w:w="319" w:type="pct"/>
            <w:vMerge w:val="restart"/>
            <w:shd w:val="clear" w:color="auto" w:fill="auto"/>
            <w:vAlign w:val="center"/>
          </w:tcPr>
          <w:p w14:paraId="7420ED3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布鲁胡其</w:t>
            </w:r>
          </w:p>
        </w:tc>
        <w:tc>
          <w:tcPr>
            <w:tcW w:w="145" w:type="pct"/>
            <w:vMerge w:val="restart"/>
            <w:shd w:val="clear" w:color="auto" w:fill="auto"/>
            <w:vAlign w:val="center"/>
          </w:tcPr>
          <w:p w14:paraId="5305C72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两侧</w:t>
            </w:r>
          </w:p>
        </w:tc>
        <w:tc>
          <w:tcPr>
            <w:tcW w:w="188" w:type="pct"/>
            <w:shd w:val="clear" w:color="auto" w:fill="auto"/>
            <w:noWrap/>
            <w:vAlign w:val="center"/>
          </w:tcPr>
          <w:p w14:paraId="74D5C66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23</w:t>
            </w:r>
          </w:p>
        </w:tc>
        <w:tc>
          <w:tcPr>
            <w:tcW w:w="131" w:type="pct"/>
            <w:vMerge w:val="restart"/>
            <w:shd w:val="clear" w:color="auto" w:fill="auto"/>
            <w:vAlign w:val="center"/>
          </w:tcPr>
          <w:p w14:paraId="47F9919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w:t>
            </w:r>
          </w:p>
        </w:tc>
        <w:tc>
          <w:tcPr>
            <w:tcW w:w="232" w:type="pct"/>
            <w:vMerge w:val="restart"/>
            <w:shd w:val="clear" w:color="auto" w:fill="auto"/>
            <w:vAlign w:val="center"/>
          </w:tcPr>
          <w:p w14:paraId="73324FA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0</w:t>
            </w:r>
          </w:p>
        </w:tc>
        <w:tc>
          <w:tcPr>
            <w:tcW w:w="147" w:type="pct"/>
            <w:vMerge w:val="restart"/>
            <w:shd w:val="clear" w:color="auto" w:fill="auto"/>
            <w:vAlign w:val="center"/>
          </w:tcPr>
          <w:p w14:paraId="05DBEE0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1层</w:t>
            </w:r>
          </w:p>
        </w:tc>
        <w:tc>
          <w:tcPr>
            <w:tcW w:w="137" w:type="pct"/>
            <w:shd w:val="clear" w:color="auto" w:fill="auto"/>
            <w:vAlign w:val="center"/>
          </w:tcPr>
          <w:p w14:paraId="2ECE9AC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59.9</w:t>
            </w:r>
          </w:p>
        </w:tc>
        <w:tc>
          <w:tcPr>
            <w:tcW w:w="137" w:type="pct"/>
            <w:shd w:val="clear" w:color="auto" w:fill="auto"/>
            <w:vAlign w:val="center"/>
          </w:tcPr>
          <w:p w14:paraId="4D5E491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56.1</w:t>
            </w:r>
          </w:p>
        </w:tc>
        <w:tc>
          <w:tcPr>
            <w:tcW w:w="137" w:type="pct"/>
            <w:gridSpan w:val="2"/>
            <w:shd w:val="clear" w:color="auto" w:fill="auto"/>
            <w:vAlign w:val="center"/>
          </w:tcPr>
          <w:p w14:paraId="6EF2395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60.7</w:t>
            </w:r>
          </w:p>
        </w:tc>
        <w:tc>
          <w:tcPr>
            <w:tcW w:w="137" w:type="pct"/>
            <w:gridSpan w:val="2"/>
            <w:shd w:val="clear" w:color="auto" w:fill="auto"/>
            <w:vAlign w:val="center"/>
          </w:tcPr>
          <w:p w14:paraId="01802E6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56.8</w:t>
            </w:r>
          </w:p>
        </w:tc>
        <w:tc>
          <w:tcPr>
            <w:tcW w:w="137" w:type="pct"/>
            <w:gridSpan w:val="2"/>
            <w:shd w:val="clear" w:color="auto" w:fill="auto"/>
            <w:vAlign w:val="center"/>
          </w:tcPr>
          <w:p w14:paraId="23846AF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61.4</w:t>
            </w:r>
          </w:p>
        </w:tc>
        <w:tc>
          <w:tcPr>
            <w:tcW w:w="139" w:type="pct"/>
            <w:gridSpan w:val="2"/>
            <w:shd w:val="clear" w:color="auto" w:fill="auto"/>
            <w:vAlign w:val="center"/>
          </w:tcPr>
          <w:p w14:paraId="29A6DD4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57.6</w:t>
            </w:r>
          </w:p>
        </w:tc>
        <w:tc>
          <w:tcPr>
            <w:tcW w:w="137" w:type="pct"/>
            <w:gridSpan w:val="2"/>
            <w:shd w:val="clear" w:color="auto" w:fill="auto"/>
            <w:vAlign w:val="center"/>
          </w:tcPr>
          <w:p w14:paraId="56614D1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60.1</w:t>
            </w:r>
          </w:p>
        </w:tc>
        <w:tc>
          <w:tcPr>
            <w:tcW w:w="137" w:type="pct"/>
            <w:gridSpan w:val="2"/>
            <w:shd w:val="clear" w:color="auto" w:fill="auto"/>
            <w:vAlign w:val="center"/>
          </w:tcPr>
          <w:p w14:paraId="75AD13F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56.1</w:t>
            </w:r>
          </w:p>
        </w:tc>
        <w:tc>
          <w:tcPr>
            <w:tcW w:w="137" w:type="pct"/>
            <w:gridSpan w:val="2"/>
            <w:shd w:val="clear" w:color="auto" w:fill="auto"/>
            <w:vAlign w:val="center"/>
          </w:tcPr>
          <w:p w14:paraId="0CE5062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60.8</w:t>
            </w:r>
          </w:p>
        </w:tc>
        <w:tc>
          <w:tcPr>
            <w:tcW w:w="139" w:type="pct"/>
            <w:gridSpan w:val="2"/>
            <w:shd w:val="clear" w:color="auto" w:fill="auto"/>
            <w:vAlign w:val="center"/>
          </w:tcPr>
          <w:p w14:paraId="008E51A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56.9</w:t>
            </w:r>
          </w:p>
        </w:tc>
        <w:tc>
          <w:tcPr>
            <w:tcW w:w="137" w:type="pct"/>
            <w:gridSpan w:val="2"/>
            <w:shd w:val="clear" w:color="auto" w:fill="auto"/>
            <w:vAlign w:val="center"/>
          </w:tcPr>
          <w:p w14:paraId="5C89235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61.5</w:t>
            </w:r>
          </w:p>
        </w:tc>
        <w:tc>
          <w:tcPr>
            <w:tcW w:w="139" w:type="pct"/>
            <w:gridSpan w:val="2"/>
            <w:shd w:val="clear" w:color="auto" w:fill="auto"/>
            <w:vAlign w:val="center"/>
          </w:tcPr>
          <w:p w14:paraId="1AF8D9B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57.6</w:t>
            </w:r>
          </w:p>
        </w:tc>
        <w:tc>
          <w:tcPr>
            <w:tcW w:w="137" w:type="pct"/>
            <w:gridSpan w:val="2"/>
            <w:shd w:val="clear" w:color="auto" w:fill="auto"/>
            <w:vAlign w:val="center"/>
          </w:tcPr>
          <w:p w14:paraId="085F1D6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8" w:type="pct"/>
            <w:gridSpan w:val="2"/>
            <w:shd w:val="clear" w:color="auto" w:fill="auto"/>
            <w:vAlign w:val="center"/>
          </w:tcPr>
          <w:p w14:paraId="3D94F80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1.1</w:t>
            </w:r>
          </w:p>
        </w:tc>
        <w:tc>
          <w:tcPr>
            <w:tcW w:w="137" w:type="pct"/>
            <w:gridSpan w:val="2"/>
            <w:shd w:val="clear" w:color="auto" w:fill="auto"/>
            <w:vAlign w:val="center"/>
          </w:tcPr>
          <w:p w14:paraId="1B34531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gridSpan w:val="2"/>
            <w:shd w:val="clear" w:color="auto" w:fill="auto"/>
            <w:vAlign w:val="center"/>
          </w:tcPr>
          <w:p w14:paraId="79E0300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1.9</w:t>
            </w:r>
          </w:p>
        </w:tc>
        <w:tc>
          <w:tcPr>
            <w:tcW w:w="137" w:type="pct"/>
            <w:gridSpan w:val="2"/>
            <w:shd w:val="clear" w:color="auto" w:fill="auto"/>
            <w:vAlign w:val="center"/>
          </w:tcPr>
          <w:p w14:paraId="05B32BF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gridSpan w:val="2"/>
            <w:shd w:val="clear" w:color="auto" w:fill="auto"/>
            <w:vAlign w:val="center"/>
          </w:tcPr>
          <w:p w14:paraId="13D0FF1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2.6</w:t>
            </w:r>
          </w:p>
        </w:tc>
        <w:tc>
          <w:tcPr>
            <w:tcW w:w="137" w:type="pct"/>
            <w:gridSpan w:val="2"/>
            <w:shd w:val="clear" w:color="auto" w:fill="auto"/>
            <w:vAlign w:val="center"/>
          </w:tcPr>
          <w:p w14:paraId="67CCB0E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15.1</w:t>
            </w:r>
          </w:p>
        </w:tc>
        <w:tc>
          <w:tcPr>
            <w:tcW w:w="139" w:type="pct"/>
            <w:gridSpan w:val="2"/>
            <w:shd w:val="clear" w:color="auto" w:fill="auto"/>
            <w:vAlign w:val="center"/>
          </w:tcPr>
          <w:p w14:paraId="48C68BE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19.1</w:t>
            </w:r>
          </w:p>
        </w:tc>
        <w:tc>
          <w:tcPr>
            <w:tcW w:w="137" w:type="pct"/>
            <w:gridSpan w:val="2"/>
            <w:shd w:val="clear" w:color="auto" w:fill="auto"/>
            <w:vAlign w:val="center"/>
          </w:tcPr>
          <w:p w14:paraId="67887E2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15.8</w:t>
            </w:r>
          </w:p>
        </w:tc>
        <w:tc>
          <w:tcPr>
            <w:tcW w:w="138" w:type="pct"/>
            <w:gridSpan w:val="2"/>
            <w:shd w:val="clear" w:color="auto" w:fill="auto"/>
            <w:vAlign w:val="center"/>
          </w:tcPr>
          <w:p w14:paraId="3319E08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19.9</w:t>
            </w:r>
          </w:p>
        </w:tc>
        <w:tc>
          <w:tcPr>
            <w:tcW w:w="137" w:type="pct"/>
            <w:gridSpan w:val="2"/>
            <w:shd w:val="clear" w:color="auto" w:fill="auto"/>
            <w:vAlign w:val="center"/>
          </w:tcPr>
          <w:p w14:paraId="2D1AB59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16.5</w:t>
            </w:r>
          </w:p>
        </w:tc>
        <w:tc>
          <w:tcPr>
            <w:tcW w:w="139" w:type="pct"/>
            <w:gridSpan w:val="2"/>
            <w:shd w:val="clear" w:color="auto" w:fill="auto"/>
            <w:vAlign w:val="center"/>
          </w:tcPr>
          <w:p w14:paraId="77A397C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20.6</w:t>
            </w:r>
          </w:p>
        </w:tc>
        <w:tc>
          <w:tcPr>
            <w:tcW w:w="157" w:type="pct"/>
            <w:gridSpan w:val="2"/>
            <w:shd w:val="clear" w:color="auto" w:fill="auto"/>
            <w:vAlign w:val="center"/>
          </w:tcPr>
          <w:p w14:paraId="6883242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4a类</w:t>
            </w:r>
          </w:p>
        </w:tc>
        <w:tc>
          <w:tcPr>
            <w:tcW w:w="134" w:type="pct"/>
            <w:gridSpan w:val="2"/>
            <w:vMerge w:val="restart"/>
            <w:shd w:val="clear" w:color="auto" w:fill="auto"/>
            <w:vAlign w:val="center"/>
          </w:tcPr>
          <w:p w14:paraId="748EC76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45.0</w:t>
            </w:r>
          </w:p>
        </w:tc>
        <w:tc>
          <w:tcPr>
            <w:tcW w:w="134" w:type="pct"/>
            <w:gridSpan w:val="2"/>
            <w:vMerge w:val="restart"/>
            <w:shd w:val="clear" w:color="auto" w:fill="auto"/>
            <w:vAlign w:val="center"/>
          </w:tcPr>
          <w:p w14:paraId="66EC578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37.0</w:t>
            </w:r>
          </w:p>
        </w:tc>
      </w:tr>
      <w:tr w14:paraId="084330BC">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7" w:type="pct"/>
            <w:vMerge w:val="continue"/>
            <w:vAlign w:val="center"/>
          </w:tcPr>
          <w:p w14:paraId="44802339">
            <w:pPr>
              <w:widowControl/>
              <w:jc w:val="center"/>
              <w:rPr>
                <w:rFonts w:ascii="Times New Roman" w:hAnsi="Times New Roman" w:eastAsia="宋体" w:cs="Times New Roman"/>
                <w:kern w:val="0"/>
                <w:szCs w:val="21"/>
              </w:rPr>
            </w:pPr>
          </w:p>
        </w:tc>
        <w:tc>
          <w:tcPr>
            <w:tcW w:w="319" w:type="pct"/>
            <w:vMerge w:val="continue"/>
            <w:vAlign w:val="center"/>
          </w:tcPr>
          <w:p w14:paraId="7D749521">
            <w:pPr>
              <w:widowControl/>
              <w:jc w:val="center"/>
              <w:rPr>
                <w:rFonts w:ascii="Times New Roman" w:hAnsi="Times New Roman" w:eastAsia="宋体" w:cs="Times New Roman"/>
                <w:kern w:val="0"/>
                <w:szCs w:val="21"/>
              </w:rPr>
            </w:pPr>
          </w:p>
        </w:tc>
        <w:tc>
          <w:tcPr>
            <w:tcW w:w="145" w:type="pct"/>
            <w:vMerge w:val="continue"/>
            <w:vAlign w:val="center"/>
          </w:tcPr>
          <w:p w14:paraId="1A0BD4B4">
            <w:pPr>
              <w:widowControl/>
              <w:jc w:val="center"/>
              <w:rPr>
                <w:rFonts w:ascii="Times New Roman" w:hAnsi="Times New Roman" w:eastAsia="宋体" w:cs="Times New Roman"/>
                <w:kern w:val="0"/>
                <w:szCs w:val="21"/>
              </w:rPr>
            </w:pPr>
          </w:p>
        </w:tc>
        <w:tc>
          <w:tcPr>
            <w:tcW w:w="188" w:type="pct"/>
            <w:shd w:val="clear" w:color="auto" w:fill="auto"/>
            <w:noWrap/>
            <w:vAlign w:val="center"/>
          </w:tcPr>
          <w:p w14:paraId="4C5F405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60</w:t>
            </w:r>
          </w:p>
        </w:tc>
        <w:tc>
          <w:tcPr>
            <w:tcW w:w="131" w:type="pct"/>
            <w:vMerge w:val="continue"/>
            <w:vAlign w:val="center"/>
          </w:tcPr>
          <w:p w14:paraId="7B598137">
            <w:pPr>
              <w:widowControl/>
              <w:jc w:val="center"/>
              <w:rPr>
                <w:rFonts w:ascii="Times New Roman" w:hAnsi="Times New Roman" w:eastAsia="宋体" w:cs="Times New Roman"/>
                <w:kern w:val="0"/>
                <w:szCs w:val="21"/>
              </w:rPr>
            </w:pPr>
          </w:p>
        </w:tc>
        <w:tc>
          <w:tcPr>
            <w:tcW w:w="232" w:type="pct"/>
            <w:vMerge w:val="continue"/>
            <w:vAlign w:val="center"/>
          </w:tcPr>
          <w:p w14:paraId="3F1F67B8">
            <w:pPr>
              <w:widowControl/>
              <w:jc w:val="center"/>
              <w:rPr>
                <w:rFonts w:ascii="Times New Roman" w:hAnsi="Times New Roman" w:eastAsia="宋体" w:cs="Times New Roman"/>
                <w:kern w:val="0"/>
                <w:szCs w:val="21"/>
              </w:rPr>
            </w:pPr>
          </w:p>
        </w:tc>
        <w:tc>
          <w:tcPr>
            <w:tcW w:w="147" w:type="pct"/>
            <w:vMerge w:val="continue"/>
            <w:vAlign w:val="center"/>
          </w:tcPr>
          <w:p w14:paraId="17651803">
            <w:pPr>
              <w:widowControl/>
              <w:jc w:val="center"/>
              <w:rPr>
                <w:rFonts w:ascii="Times New Roman" w:hAnsi="Times New Roman" w:eastAsia="宋体" w:cs="Times New Roman"/>
                <w:kern w:val="0"/>
                <w:szCs w:val="21"/>
              </w:rPr>
            </w:pPr>
          </w:p>
        </w:tc>
        <w:tc>
          <w:tcPr>
            <w:tcW w:w="137" w:type="pct"/>
            <w:shd w:val="clear" w:color="auto" w:fill="auto"/>
            <w:vAlign w:val="center"/>
          </w:tcPr>
          <w:p w14:paraId="2CEDE3F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55.1</w:t>
            </w:r>
          </w:p>
        </w:tc>
        <w:tc>
          <w:tcPr>
            <w:tcW w:w="137" w:type="pct"/>
            <w:shd w:val="clear" w:color="auto" w:fill="auto"/>
            <w:vAlign w:val="center"/>
          </w:tcPr>
          <w:p w14:paraId="714F6B4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51.2</w:t>
            </w:r>
          </w:p>
        </w:tc>
        <w:tc>
          <w:tcPr>
            <w:tcW w:w="137" w:type="pct"/>
            <w:gridSpan w:val="2"/>
            <w:shd w:val="clear" w:color="auto" w:fill="auto"/>
            <w:vAlign w:val="center"/>
          </w:tcPr>
          <w:p w14:paraId="0A6C8BA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55.8</w:t>
            </w:r>
          </w:p>
        </w:tc>
        <w:tc>
          <w:tcPr>
            <w:tcW w:w="137" w:type="pct"/>
            <w:gridSpan w:val="2"/>
            <w:shd w:val="clear" w:color="auto" w:fill="auto"/>
            <w:vAlign w:val="center"/>
          </w:tcPr>
          <w:p w14:paraId="025091A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52.0</w:t>
            </w:r>
          </w:p>
        </w:tc>
        <w:tc>
          <w:tcPr>
            <w:tcW w:w="137" w:type="pct"/>
            <w:gridSpan w:val="2"/>
            <w:shd w:val="clear" w:color="auto" w:fill="auto"/>
            <w:vAlign w:val="center"/>
          </w:tcPr>
          <w:p w14:paraId="14E1927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56.6</w:t>
            </w:r>
          </w:p>
        </w:tc>
        <w:tc>
          <w:tcPr>
            <w:tcW w:w="139" w:type="pct"/>
            <w:gridSpan w:val="2"/>
            <w:shd w:val="clear" w:color="auto" w:fill="auto"/>
            <w:vAlign w:val="center"/>
          </w:tcPr>
          <w:p w14:paraId="16D046E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52.7</w:t>
            </w:r>
          </w:p>
        </w:tc>
        <w:tc>
          <w:tcPr>
            <w:tcW w:w="137" w:type="pct"/>
            <w:gridSpan w:val="2"/>
            <w:shd w:val="clear" w:color="auto" w:fill="auto"/>
            <w:vAlign w:val="center"/>
          </w:tcPr>
          <w:p w14:paraId="05A4F5C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55.5</w:t>
            </w:r>
          </w:p>
        </w:tc>
        <w:tc>
          <w:tcPr>
            <w:tcW w:w="137" w:type="pct"/>
            <w:gridSpan w:val="2"/>
            <w:shd w:val="clear" w:color="auto" w:fill="auto"/>
            <w:vAlign w:val="center"/>
          </w:tcPr>
          <w:p w14:paraId="163743A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51.3</w:t>
            </w:r>
          </w:p>
        </w:tc>
        <w:tc>
          <w:tcPr>
            <w:tcW w:w="137" w:type="pct"/>
            <w:gridSpan w:val="2"/>
            <w:shd w:val="clear" w:color="auto" w:fill="auto"/>
            <w:vAlign w:val="center"/>
          </w:tcPr>
          <w:p w14:paraId="6B796AA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56.2</w:t>
            </w:r>
          </w:p>
        </w:tc>
        <w:tc>
          <w:tcPr>
            <w:tcW w:w="139" w:type="pct"/>
            <w:gridSpan w:val="2"/>
            <w:shd w:val="clear" w:color="auto" w:fill="auto"/>
            <w:vAlign w:val="center"/>
          </w:tcPr>
          <w:p w14:paraId="3106BBE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52.1</w:t>
            </w:r>
          </w:p>
        </w:tc>
        <w:tc>
          <w:tcPr>
            <w:tcW w:w="137" w:type="pct"/>
            <w:gridSpan w:val="2"/>
            <w:shd w:val="clear" w:color="auto" w:fill="auto"/>
            <w:vAlign w:val="center"/>
          </w:tcPr>
          <w:p w14:paraId="4D13DE4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56.8</w:t>
            </w:r>
          </w:p>
        </w:tc>
        <w:tc>
          <w:tcPr>
            <w:tcW w:w="139" w:type="pct"/>
            <w:gridSpan w:val="2"/>
            <w:shd w:val="clear" w:color="auto" w:fill="auto"/>
            <w:vAlign w:val="center"/>
          </w:tcPr>
          <w:p w14:paraId="1AD614E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52.8</w:t>
            </w:r>
          </w:p>
        </w:tc>
        <w:tc>
          <w:tcPr>
            <w:tcW w:w="137" w:type="pct"/>
            <w:gridSpan w:val="2"/>
            <w:shd w:val="clear" w:color="auto" w:fill="auto"/>
            <w:vAlign w:val="center"/>
          </w:tcPr>
          <w:p w14:paraId="56B4A5F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8" w:type="pct"/>
            <w:gridSpan w:val="2"/>
            <w:shd w:val="clear" w:color="auto" w:fill="auto"/>
            <w:vAlign w:val="center"/>
          </w:tcPr>
          <w:p w14:paraId="6AB5624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1.3</w:t>
            </w:r>
          </w:p>
        </w:tc>
        <w:tc>
          <w:tcPr>
            <w:tcW w:w="137" w:type="pct"/>
            <w:gridSpan w:val="2"/>
            <w:shd w:val="clear" w:color="auto" w:fill="auto"/>
            <w:vAlign w:val="center"/>
          </w:tcPr>
          <w:p w14:paraId="0F823FA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gridSpan w:val="2"/>
            <w:shd w:val="clear" w:color="auto" w:fill="auto"/>
            <w:vAlign w:val="center"/>
          </w:tcPr>
          <w:p w14:paraId="27E7651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2.1</w:t>
            </w:r>
          </w:p>
        </w:tc>
        <w:tc>
          <w:tcPr>
            <w:tcW w:w="137" w:type="pct"/>
            <w:gridSpan w:val="2"/>
            <w:shd w:val="clear" w:color="auto" w:fill="auto"/>
            <w:vAlign w:val="center"/>
          </w:tcPr>
          <w:p w14:paraId="0806D35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gridSpan w:val="2"/>
            <w:shd w:val="clear" w:color="auto" w:fill="auto"/>
            <w:vAlign w:val="center"/>
          </w:tcPr>
          <w:p w14:paraId="10400D3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2.8</w:t>
            </w:r>
          </w:p>
        </w:tc>
        <w:tc>
          <w:tcPr>
            <w:tcW w:w="137" w:type="pct"/>
            <w:gridSpan w:val="2"/>
            <w:shd w:val="clear" w:color="auto" w:fill="auto"/>
            <w:vAlign w:val="center"/>
          </w:tcPr>
          <w:p w14:paraId="74558CD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10.5</w:t>
            </w:r>
          </w:p>
        </w:tc>
        <w:tc>
          <w:tcPr>
            <w:tcW w:w="139" w:type="pct"/>
            <w:gridSpan w:val="2"/>
            <w:shd w:val="clear" w:color="auto" w:fill="auto"/>
            <w:vAlign w:val="center"/>
          </w:tcPr>
          <w:p w14:paraId="5B9CB8F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14.3</w:t>
            </w:r>
          </w:p>
        </w:tc>
        <w:tc>
          <w:tcPr>
            <w:tcW w:w="137" w:type="pct"/>
            <w:gridSpan w:val="2"/>
            <w:shd w:val="clear" w:color="auto" w:fill="auto"/>
            <w:vAlign w:val="center"/>
          </w:tcPr>
          <w:p w14:paraId="0632903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11.2</w:t>
            </w:r>
          </w:p>
        </w:tc>
        <w:tc>
          <w:tcPr>
            <w:tcW w:w="138" w:type="pct"/>
            <w:gridSpan w:val="2"/>
            <w:shd w:val="clear" w:color="auto" w:fill="auto"/>
            <w:vAlign w:val="center"/>
          </w:tcPr>
          <w:p w14:paraId="0E9474A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15.1</w:t>
            </w:r>
          </w:p>
        </w:tc>
        <w:tc>
          <w:tcPr>
            <w:tcW w:w="137" w:type="pct"/>
            <w:gridSpan w:val="2"/>
            <w:shd w:val="clear" w:color="auto" w:fill="auto"/>
            <w:vAlign w:val="center"/>
          </w:tcPr>
          <w:p w14:paraId="7B91886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11.8</w:t>
            </w:r>
          </w:p>
        </w:tc>
        <w:tc>
          <w:tcPr>
            <w:tcW w:w="139" w:type="pct"/>
            <w:gridSpan w:val="2"/>
            <w:shd w:val="clear" w:color="auto" w:fill="auto"/>
            <w:vAlign w:val="center"/>
          </w:tcPr>
          <w:p w14:paraId="557A808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15.8</w:t>
            </w:r>
          </w:p>
        </w:tc>
        <w:tc>
          <w:tcPr>
            <w:tcW w:w="157" w:type="pct"/>
            <w:gridSpan w:val="2"/>
            <w:shd w:val="clear" w:color="auto" w:fill="auto"/>
            <w:vAlign w:val="center"/>
          </w:tcPr>
          <w:p w14:paraId="75B8B21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2类</w:t>
            </w:r>
          </w:p>
        </w:tc>
        <w:tc>
          <w:tcPr>
            <w:tcW w:w="134" w:type="pct"/>
            <w:gridSpan w:val="2"/>
            <w:vMerge w:val="continue"/>
            <w:vAlign w:val="center"/>
          </w:tcPr>
          <w:p w14:paraId="38AE87FD">
            <w:pPr>
              <w:widowControl/>
              <w:jc w:val="center"/>
              <w:rPr>
                <w:rFonts w:ascii="Times New Roman" w:hAnsi="Times New Roman" w:eastAsia="宋体" w:cs="Times New Roman"/>
                <w:kern w:val="0"/>
                <w:szCs w:val="21"/>
              </w:rPr>
            </w:pPr>
          </w:p>
        </w:tc>
        <w:tc>
          <w:tcPr>
            <w:tcW w:w="134" w:type="pct"/>
            <w:gridSpan w:val="2"/>
            <w:vMerge w:val="continue"/>
            <w:vAlign w:val="center"/>
          </w:tcPr>
          <w:p w14:paraId="4EED6C88">
            <w:pPr>
              <w:widowControl/>
              <w:jc w:val="center"/>
              <w:rPr>
                <w:rFonts w:ascii="Times New Roman" w:hAnsi="Times New Roman" w:eastAsia="宋体" w:cs="Times New Roman"/>
                <w:kern w:val="0"/>
                <w:szCs w:val="21"/>
              </w:rPr>
            </w:pPr>
          </w:p>
        </w:tc>
      </w:tr>
      <w:tr w14:paraId="7B3091DE">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7" w:type="pct"/>
            <w:vMerge w:val="restart"/>
            <w:shd w:val="clear" w:color="auto" w:fill="auto"/>
            <w:vAlign w:val="center"/>
          </w:tcPr>
          <w:p w14:paraId="51DF667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24</w:t>
            </w:r>
          </w:p>
        </w:tc>
        <w:tc>
          <w:tcPr>
            <w:tcW w:w="319" w:type="pct"/>
            <w:vMerge w:val="restart"/>
            <w:shd w:val="clear" w:color="auto" w:fill="auto"/>
            <w:vAlign w:val="center"/>
          </w:tcPr>
          <w:p w14:paraId="6051828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阿克霍伊拉卡尔瓦克</w:t>
            </w:r>
          </w:p>
        </w:tc>
        <w:tc>
          <w:tcPr>
            <w:tcW w:w="145" w:type="pct"/>
            <w:vMerge w:val="restart"/>
            <w:shd w:val="clear" w:color="auto" w:fill="auto"/>
            <w:vAlign w:val="center"/>
          </w:tcPr>
          <w:p w14:paraId="7036D19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两侧</w:t>
            </w:r>
          </w:p>
        </w:tc>
        <w:tc>
          <w:tcPr>
            <w:tcW w:w="188" w:type="pct"/>
            <w:shd w:val="clear" w:color="auto" w:fill="auto"/>
            <w:noWrap/>
            <w:vAlign w:val="center"/>
          </w:tcPr>
          <w:p w14:paraId="612530E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22</w:t>
            </w:r>
          </w:p>
        </w:tc>
        <w:tc>
          <w:tcPr>
            <w:tcW w:w="131" w:type="pct"/>
            <w:vMerge w:val="restart"/>
            <w:shd w:val="clear" w:color="auto" w:fill="auto"/>
            <w:vAlign w:val="center"/>
          </w:tcPr>
          <w:p w14:paraId="652041F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1.5</w:t>
            </w:r>
          </w:p>
        </w:tc>
        <w:tc>
          <w:tcPr>
            <w:tcW w:w="232" w:type="pct"/>
            <w:vMerge w:val="restart"/>
            <w:shd w:val="clear" w:color="auto" w:fill="auto"/>
            <w:vAlign w:val="center"/>
          </w:tcPr>
          <w:p w14:paraId="06F185F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0</w:t>
            </w:r>
          </w:p>
        </w:tc>
        <w:tc>
          <w:tcPr>
            <w:tcW w:w="147" w:type="pct"/>
            <w:vMerge w:val="restart"/>
            <w:shd w:val="clear" w:color="auto" w:fill="auto"/>
            <w:vAlign w:val="center"/>
          </w:tcPr>
          <w:p w14:paraId="1E9E01D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1层</w:t>
            </w:r>
          </w:p>
        </w:tc>
        <w:tc>
          <w:tcPr>
            <w:tcW w:w="137" w:type="pct"/>
            <w:shd w:val="clear" w:color="auto" w:fill="auto"/>
            <w:vAlign w:val="center"/>
          </w:tcPr>
          <w:p w14:paraId="16EAED8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61.8</w:t>
            </w:r>
          </w:p>
        </w:tc>
        <w:tc>
          <w:tcPr>
            <w:tcW w:w="137" w:type="pct"/>
            <w:shd w:val="clear" w:color="auto" w:fill="auto"/>
            <w:vAlign w:val="center"/>
          </w:tcPr>
          <w:p w14:paraId="384AEBD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57.9</w:t>
            </w:r>
          </w:p>
        </w:tc>
        <w:tc>
          <w:tcPr>
            <w:tcW w:w="137" w:type="pct"/>
            <w:gridSpan w:val="2"/>
            <w:shd w:val="clear" w:color="auto" w:fill="auto"/>
            <w:vAlign w:val="center"/>
          </w:tcPr>
          <w:p w14:paraId="66F0A43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62.6</w:t>
            </w:r>
          </w:p>
        </w:tc>
        <w:tc>
          <w:tcPr>
            <w:tcW w:w="137" w:type="pct"/>
            <w:gridSpan w:val="2"/>
            <w:shd w:val="clear" w:color="auto" w:fill="auto"/>
            <w:vAlign w:val="center"/>
          </w:tcPr>
          <w:p w14:paraId="2F350FA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58.7</w:t>
            </w:r>
          </w:p>
        </w:tc>
        <w:tc>
          <w:tcPr>
            <w:tcW w:w="137" w:type="pct"/>
            <w:gridSpan w:val="2"/>
            <w:shd w:val="clear" w:color="auto" w:fill="auto"/>
            <w:vAlign w:val="center"/>
          </w:tcPr>
          <w:p w14:paraId="36E43CD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63.3</w:t>
            </w:r>
          </w:p>
        </w:tc>
        <w:tc>
          <w:tcPr>
            <w:tcW w:w="139" w:type="pct"/>
            <w:gridSpan w:val="2"/>
            <w:shd w:val="clear" w:color="auto" w:fill="auto"/>
            <w:vAlign w:val="center"/>
          </w:tcPr>
          <w:p w14:paraId="7E768E1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59.4</w:t>
            </w:r>
          </w:p>
        </w:tc>
        <w:tc>
          <w:tcPr>
            <w:tcW w:w="137" w:type="pct"/>
            <w:gridSpan w:val="2"/>
            <w:shd w:val="clear" w:color="auto" w:fill="auto"/>
            <w:vAlign w:val="center"/>
          </w:tcPr>
          <w:p w14:paraId="0EC4472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61.9</w:t>
            </w:r>
          </w:p>
        </w:tc>
        <w:tc>
          <w:tcPr>
            <w:tcW w:w="137" w:type="pct"/>
            <w:gridSpan w:val="2"/>
            <w:shd w:val="clear" w:color="auto" w:fill="auto"/>
            <w:vAlign w:val="center"/>
          </w:tcPr>
          <w:p w14:paraId="6172422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58.0</w:t>
            </w:r>
          </w:p>
        </w:tc>
        <w:tc>
          <w:tcPr>
            <w:tcW w:w="137" w:type="pct"/>
            <w:gridSpan w:val="2"/>
            <w:shd w:val="clear" w:color="auto" w:fill="auto"/>
            <w:vAlign w:val="center"/>
          </w:tcPr>
          <w:p w14:paraId="0D181C4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62.7</w:t>
            </w:r>
          </w:p>
        </w:tc>
        <w:tc>
          <w:tcPr>
            <w:tcW w:w="139" w:type="pct"/>
            <w:gridSpan w:val="2"/>
            <w:shd w:val="clear" w:color="auto" w:fill="auto"/>
            <w:vAlign w:val="center"/>
          </w:tcPr>
          <w:p w14:paraId="23C0891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58.7</w:t>
            </w:r>
          </w:p>
        </w:tc>
        <w:tc>
          <w:tcPr>
            <w:tcW w:w="137" w:type="pct"/>
            <w:gridSpan w:val="2"/>
            <w:shd w:val="clear" w:color="auto" w:fill="auto"/>
            <w:vAlign w:val="center"/>
          </w:tcPr>
          <w:p w14:paraId="47AD7D0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63.4</w:t>
            </w:r>
          </w:p>
        </w:tc>
        <w:tc>
          <w:tcPr>
            <w:tcW w:w="139" w:type="pct"/>
            <w:gridSpan w:val="2"/>
            <w:shd w:val="clear" w:color="auto" w:fill="auto"/>
            <w:vAlign w:val="center"/>
          </w:tcPr>
          <w:p w14:paraId="7D3BCE1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59.5</w:t>
            </w:r>
          </w:p>
        </w:tc>
        <w:tc>
          <w:tcPr>
            <w:tcW w:w="137" w:type="pct"/>
            <w:gridSpan w:val="2"/>
            <w:shd w:val="clear" w:color="auto" w:fill="auto"/>
            <w:vAlign w:val="center"/>
          </w:tcPr>
          <w:p w14:paraId="3380AD3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8" w:type="pct"/>
            <w:gridSpan w:val="2"/>
            <w:shd w:val="clear" w:color="auto" w:fill="auto"/>
            <w:vAlign w:val="center"/>
          </w:tcPr>
          <w:p w14:paraId="5F1206D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3.0</w:t>
            </w:r>
          </w:p>
        </w:tc>
        <w:tc>
          <w:tcPr>
            <w:tcW w:w="137" w:type="pct"/>
            <w:gridSpan w:val="2"/>
            <w:shd w:val="clear" w:color="auto" w:fill="auto"/>
            <w:vAlign w:val="center"/>
          </w:tcPr>
          <w:p w14:paraId="2B7CBA6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gridSpan w:val="2"/>
            <w:shd w:val="clear" w:color="auto" w:fill="auto"/>
            <w:vAlign w:val="center"/>
          </w:tcPr>
          <w:p w14:paraId="503EBCC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w:t>
            </w:r>
          </w:p>
        </w:tc>
        <w:tc>
          <w:tcPr>
            <w:tcW w:w="137" w:type="pct"/>
            <w:gridSpan w:val="2"/>
            <w:shd w:val="clear" w:color="auto" w:fill="auto"/>
            <w:vAlign w:val="center"/>
          </w:tcPr>
          <w:p w14:paraId="20C6FFA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gridSpan w:val="2"/>
            <w:shd w:val="clear" w:color="auto" w:fill="auto"/>
            <w:vAlign w:val="center"/>
          </w:tcPr>
          <w:p w14:paraId="23B4125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4.5</w:t>
            </w:r>
          </w:p>
        </w:tc>
        <w:tc>
          <w:tcPr>
            <w:tcW w:w="137" w:type="pct"/>
            <w:gridSpan w:val="2"/>
            <w:shd w:val="clear" w:color="auto" w:fill="auto"/>
            <w:vAlign w:val="center"/>
          </w:tcPr>
          <w:p w14:paraId="061FA44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16.9</w:t>
            </w:r>
          </w:p>
        </w:tc>
        <w:tc>
          <w:tcPr>
            <w:tcW w:w="139" w:type="pct"/>
            <w:gridSpan w:val="2"/>
            <w:shd w:val="clear" w:color="auto" w:fill="auto"/>
            <w:vAlign w:val="center"/>
          </w:tcPr>
          <w:p w14:paraId="33625E5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21.0</w:t>
            </w:r>
          </w:p>
        </w:tc>
        <w:tc>
          <w:tcPr>
            <w:tcW w:w="137" w:type="pct"/>
            <w:gridSpan w:val="2"/>
            <w:shd w:val="clear" w:color="auto" w:fill="auto"/>
            <w:vAlign w:val="center"/>
          </w:tcPr>
          <w:p w14:paraId="33279BF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17.7</w:t>
            </w:r>
          </w:p>
        </w:tc>
        <w:tc>
          <w:tcPr>
            <w:tcW w:w="138" w:type="pct"/>
            <w:gridSpan w:val="2"/>
            <w:shd w:val="clear" w:color="auto" w:fill="auto"/>
            <w:vAlign w:val="center"/>
          </w:tcPr>
          <w:p w14:paraId="5F4CD17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21.7</w:t>
            </w:r>
          </w:p>
        </w:tc>
        <w:tc>
          <w:tcPr>
            <w:tcW w:w="137" w:type="pct"/>
            <w:gridSpan w:val="2"/>
            <w:shd w:val="clear" w:color="auto" w:fill="auto"/>
            <w:vAlign w:val="center"/>
          </w:tcPr>
          <w:p w14:paraId="4370A65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18.4</w:t>
            </w:r>
          </w:p>
        </w:tc>
        <w:tc>
          <w:tcPr>
            <w:tcW w:w="139" w:type="pct"/>
            <w:gridSpan w:val="2"/>
            <w:shd w:val="clear" w:color="auto" w:fill="auto"/>
            <w:vAlign w:val="center"/>
          </w:tcPr>
          <w:p w14:paraId="1852D62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22.5</w:t>
            </w:r>
          </w:p>
        </w:tc>
        <w:tc>
          <w:tcPr>
            <w:tcW w:w="157" w:type="pct"/>
            <w:gridSpan w:val="2"/>
            <w:shd w:val="clear" w:color="auto" w:fill="auto"/>
            <w:vAlign w:val="center"/>
          </w:tcPr>
          <w:p w14:paraId="2E4AB6C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4a类</w:t>
            </w:r>
          </w:p>
        </w:tc>
        <w:tc>
          <w:tcPr>
            <w:tcW w:w="134" w:type="pct"/>
            <w:gridSpan w:val="2"/>
            <w:vMerge w:val="restart"/>
            <w:shd w:val="clear" w:color="auto" w:fill="auto"/>
            <w:vAlign w:val="center"/>
          </w:tcPr>
          <w:p w14:paraId="13ACE1D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45.0</w:t>
            </w:r>
          </w:p>
        </w:tc>
        <w:tc>
          <w:tcPr>
            <w:tcW w:w="134" w:type="pct"/>
            <w:gridSpan w:val="2"/>
            <w:vMerge w:val="restart"/>
            <w:shd w:val="clear" w:color="auto" w:fill="auto"/>
            <w:vAlign w:val="center"/>
          </w:tcPr>
          <w:p w14:paraId="2F65777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37.0</w:t>
            </w:r>
          </w:p>
        </w:tc>
      </w:tr>
      <w:tr w14:paraId="159AA71E">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7" w:type="pct"/>
            <w:vMerge w:val="continue"/>
            <w:vAlign w:val="center"/>
          </w:tcPr>
          <w:p w14:paraId="1F4459A6">
            <w:pPr>
              <w:widowControl/>
              <w:jc w:val="center"/>
              <w:rPr>
                <w:rFonts w:ascii="Times New Roman" w:hAnsi="Times New Roman" w:eastAsia="宋体" w:cs="Times New Roman"/>
                <w:kern w:val="0"/>
                <w:szCs w:val="21"/>
              </w:rPr>
            </w:pPr>
          </w:p>
        </w:tc>
        <w:tc>
          <w:tcPr>
            <w:tcW w:w="319" w:type="pct"/>
            <w:vMerge w:val="continue"/>
            <w:vAlign w:val="center"/>
          </w:tcPr>
          <w:p w14:paraId="7C0D1791">
            <w:pPr>
              <w:widowControl/>
              <w:jc w:val="center"/>
              <w:rPr>
                <w:rFonts w:ascii="Times New Roman" w:hAnsi="Times New Roman" w:eastAsia="宋体" w:cs="Times New Roman"/>
                <w:kern w:val="0"/>
                <w:szCs w:val="21"/>
              </w:rPr>
            </w:pPr>
          </w:p>
        </w:tc>
        <w:tc>
          <w:tcPr>
            <w:tcW w:w="145" w:type="pct"/>
            <w:vMerge w:val="continue"/>
            <w:vAlign w:val="center"/>
          </w:tcPr>
          <w:p w14:paraId="30FD205E">
            <w:pPr>
              <w:widowControl/>
              <w:jc w:val="center"/>
              <w:rPr>
                <w:rFonts w:ascii="Times New Roman" w:hAnsi="Times New Roman" w:eastAsia="宋体" w:cs="Times New Roman"/>
                <w:kern w:val="0"/>
                <w:szCs w:val="21"/>
              </w:rPr>
            </w:pPr>
          </w:p>
        </w:tc>
        <w:tc>
          <w:tcPr>
            <w:tcW w:w="188" w:type="pct"/>
            <w:shd w:val="clear" w:color="auto" w:fill="auto"/>
            <w:noWrap/>
            <w:vAlign w:val="center"/>
          </w:tcPr>
          <w:p w14:paraId="4B63E98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55</w:t>
            </w:r>
          </w:p>
        </w:tc>
        <w:tc>
          <w:tcPr>
            <w:tcW w:w="131" w:type="pct"/>
            <w:vMerge w:val="continue"/>
            <w:vAlign w:val="center"/>
          </w:tcPr>
          <w:p w14:paraId="3876EF11">
            <w:pPr>
              <w:widowControl/>
              <w:jc w:val="center"/>
              <w:rPr>
                <w:rFonts w:ascii="Times New Roman" w:hAnsi="Times New Roman" w:eastAsia="宋体" w:cs="Times New Roman"/>
                <w:kern w:val="0"/>
                <w:szCs w:val="21"/>
              </w:rPr>
            </w:pPr>
          </w:p>
        </w:tc>
        <w:tc>
          <w:tcPr>
            <w:tcW w:w="232" w:type="pct"/>
            <w:vMerge w:val="continue"/>
            <w:vAlign w:val="center"/>
          </w:tcPr>
          <w:p w14:paraId="7AF1EF66">
            <w:pPr>
              <w:widowControl/>
              <w:jc w:val="center"/>
              <w:rPr>
                <w:rFonts w:ascii="Times New Roman" w:hAnsi="Times New Roman" w:eastAsia="宋体" w:cs="Times New Roman"/>
                <w:kern w:val="0"/>
                <w:szCs w:val="21"/>
              </w:rPr>
            </w:pPr>
          </w:p>
        </w:tc>
        <w:tc>
          <w:tcPr>
            <w:tcW w:w="147" w:type="pct"/>
            <w:vMerge w:val="continue"/>
            <w:vAlign w:val="center"/>
          </w:tcPr>
          <w:p w14:paraId="08EA60F0">
            <w:pPr>
              <w:widowControl/>
              <w:jc w:val="center"/>
              <w:rPr>
                <w:rFonts w:ascii="Times New Roman" w:hAnsi="Times New Roman" w:eastAsia="宋体" w:cs="Times New Roman"/>
                <w:kern w:val="0"/>
                <w:szCs w:val="21"/>
              </w:rPr>
            </w:pPr>
          </w:p>
        </w:tc>
        <w:tc>
          <w:tcPr>
            <w:tcW w:w="137" w:type="pct"/>
            <w:shd w:val="clear" w:color="auto" w:fill="auto"/>
            <w:vAlign w:val="center"/>
          </w:tcPr>
          <w:p w14:paraId="2C8E6A9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56.8</w:t>
            </w:r>
          </w:p>
        </w:tc>
        <w:tc>
          <w:tcPr>
            <w:tcW w:w="137" w:type="pct"/>
            <w:shd w:val="clear" w:color="auto" w:fill="auto"/>
            <w:vAlign w:val="center"/>
          </w:tcPr>
          <w:p w14:paraId="191F4F5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52.9</w:t>
            </w:r>
          </w:p>
        </w:tc>
        <w:tc>
          <w:tcPr>
            <w:tcW w:w="137" w:type="pct"/>
            <w:gridSpan w:val="2"/>
            <w:shd w:val="clear" w:color="auto" w:fill="auto"/>
            <w:vAlign w:val="center"/>
          </w:tcPr>
          <w:p w14:paraId="3EC5A9B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57.6</w:t>
            </w:r>
          </w:p>
        </w:tc>
        <w:tc>
          <w:tcPr>
            <w:tcW w:w="137" w:type="pct"/>
            <w:gridSpan w:val="2"/>
            <w:shd w:val="clear" w:color="auto" w:fill="auto"/>
            <w:vAlign w:val="center"/>
          </w:tcPr>
          <w:p w14:paraId="6D2491B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53.7</w:t>
            </w:r>
          </w:p>
        </w:tc>
        <w:tc>
          <w:tcPr>
            <w:tcW w:w="137" w:type="pct"/>
            <w:gridSpan w:val="2"/>
            <w:shd w:val="clear" w:color="auto" w:fill="auto"/>
            <w:vAlign w:val="center"/>
          </w:tcPr>
          <w:p w14:paraId="1087335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58.3</w:t>
            </w:r>
          </w:p>
        </w:tc>
        <w:tc>
          <w:tcPr>
            <w:tcW w:w="139" w:type="pct"/>
            <w:gridSpan w:val="2"/>
            <w:shd w:val="clear" w:color="auto" w:fill="auto"/>
            <w:vAlign w:val="center"/>
          </w:tcPr>
          <w:p w14:paraId="11DAFF2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54.4</w:t>
            </w:r>
          </w:p>
        </w:tc>
        <w:tc>
          <w:tcPr>
            <w:tcW w:w="137" w:type="pct"/>
            <w:gridSpan w:val="2"/>
            <w:shd w:val="clear" w:color="auto" w:fill="auto"/>
            <w:vAlign w:val="center"/>
          </w:tcPr>
          <w:p w14:paraId="6B12B6A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57.1</w:t>
            </w:r>
          </w:p>
        </w:tc>
        <w:tc>
          <w:tcPr>
            <w:tcW w:w="137" w:type="pct"/>
            <w:gridSpan w:val="2"/>
            <w:shd w:val="clear" w:color="auto" w:fill="auto"/>
            <w:vAlign w:val="center"/>
          </w:tcPr>
          <w:p w14:paraId="3690BAB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53.0</w:t>
            </w:r>
          </w:p>
        </w:tc>
        <w:tc>
          <w:tcPr>
            <w:tcW w:w="137" w:type="pct"/>
            <w:gridSpan w:val="2"/>
            <w:shd w:val="clear" w:color="auto" w:fill="auto"/>
            <w:vAlign w:val="center"/>
          </w:tcPr>
          <w:p w14:paraId="544171F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57.8</w:t>
            </w:r>
          </w:p>
        </w:tc>
        <w:tc>
          <w:tcPr>
            <w:tcW w:w="139" w:type="pct"/>
            <w:gridSpan w:val="2"/>
            <w:shd w:val="clear" w:color="auto" w:fill="auto"/>
            <w:vAlign w:val="center"/>
          </w:tcPr>
          <w:p w14:paraId="1CF6B73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53.8</w:t>
            </w:r>
          </w:p>
        </w:tc>
        <w:tc>
          <w:tcPr>
            <w:tcW w:w="137" w:type="pct"/>
            <w:gridSpan w:val="2"/>
            <w:shd w:val="clear" w:color="auto" w:fill="auto"/>
            <w:vAlign w:val="center"/>
          </w:tcPr>
          <w:p w14:paraId="2640567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58.5</w:t>
            </w:r>
          </w:p>
        </w:tc>
        <w:tc>
          <w:tcPr>
            <w:tcW w:w="139" w:type="pct"/>
            <w:gridSpan w:val="2"/>
            <w:shd w:val="clear" w:color="auto" w:fill="auto"/>
            <w:vAlign w:val="center"/>
          </w:tcPr>
          <w:p w14:paraId="5380319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54.5</w:t>
            </w:r>
          </w:p>
        </w:tc>
        <w:tc>
          <w:tcPr>
            <w:tcW w:w="137" w:type="pct"/>
            <w:gridSpan w:val="2"/>
            <w:shd w:val="clear" w:color="auto" w:fill="auto"/>
            <w:vAlign w:val="center"/>
          </w:tcPr>
          <w:p w14:paraId="60485A6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8" w:type="pct"/>
            <w:gridSpan w:val="2"/>
            <w:shd w:val="clear" w:color="auto" w:fill="auto"/>
            <w:vAlign w:val="center"/>
          </w:tcPr>
          <w:p w14:paraId="72C423E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3.0</w:t>
            </w:r>
          </w:p>
        </w:tc>
        <w:tc>
          <w:tcPr>
            <w:tcW w:w="137" w:type="pct"/>
            <w:gridSpan w:val="2"/>
            <w:shd w:val="clear" w:color="auto" w:fill="auto"/>
            <w:vAlign w:val="center"/>
          </w:tcPr>
          <w:p w14:paraId="7DDF460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gridSpan w:val="2"/>
            <w:shd w:val="clear" w:color="auto" w:fill="auto"/>
            <w:vAlign w:val="center"/>
          </w:tcPr>
          <w:p w14:paraId="598EE89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3.8</w:t>
            </w:r>
          </w:p>
        </w:tc>
        <w:tc>
          <w:tcPr>
            <w:tcW w:w="137" w:type="pct"/>
            <w:gridSpan w:val="2"/>
            <w:shd w:val="clear" w:color="auto" w:fill="auto"/>
            <w:vAlign w:val="center"/>
          </w:tcPr>
          <w:p w14:paraId="2963EC5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gridSpan w:val="2"/>
            <w:shd w:val="clear" w:color="auto" w:fill="auto"/>
            <w:vAlign w:val="center"/>
          </w:tcPr>
          <w:p w14:paraId="2823504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4.5</w:t>
            </w:r>
          </w:p>
        </w:tc>
        <w:tc>
          <w:tcPr>
            <w:tcW w:w="137" w:type="pct"/>
            <w:gridSpan w:val="2"/>
            <w:shd w:val="clear" w:color="auto" w:fill="auto"/>
            <w:vAlign w:val="center"/>
          </w:tcPr>
          <w:p w14:paraId="4B45944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12.1</w:t>
            </w:r>
          </w:p>
        </w:tc>
        <w:tc>
          <w:tcPr>
            <w:tcW w:w="139" w:type="pct"/>
            <w:gridSpan w:val="2"/>
            <w:shd w:val="clear" w:color="auto" w:fill="auto"/>
            <w:vAlign w:val="center"/>
          </w:tcPr>
          <w:p w14:paraId="3772A34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16.0</w:t>
            </w:r>
          </w:p>
        </w:tc>
        <w:tc>
          <w:tcPr>
            <w:tcW w:w="137" w:type="pct"/>
            <w:gridSpan w:val="2"/>
            <w:shd w:val="clear" w:color="auto" w:fill="auto"/>
            <w:vAlign w:val="center"/>
          </w:tcPr>
          <w:p w14:paraId="6D89EFD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12.8</w:t>
            </w:r>
          </w:p>
        </w:tc>
        <w:tc>
          <w:tcPr>
            <w:tcW w:w="138" w:type="pct"/>
            <w:gridSpan w:val="2"/>
            <w:shd w:val="clear" w:color="auto" w:fill="auto"/>
            <w:vAlign w:val="center"/>
          </w:tcPr>
          <w:p w14:paraId="0DB61BE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16.8</w:t>
            </w:r>
          </w:p>
        </w:tc>
        <w:tc>
          <w:tcPr>
            <w:tcW w:w="137" w:type="pct"/>
            <w:gridSpan w:val="2"/>
            <w:shd w:val="clear" w:color="auto" w:fill="auto"/>
            <w:vAlign w:val="center"/>
          </w:tcPr>
          <w:p w14:paraId="60B33EC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13.5</w:t>
            </w:r>
          </w:p>
        </w:tc>
        <w:tc>
          <w:tcPr>
            <w:tcW w:w="139" w:type="pct"/>
            <w:gridSpan w:val="2"/>
            <w:shd w:val="clear" w:color="auto" w:fill="auto"/>
            <w:vAlign w:val="center"/>
          </w:tcPr>
          <w:p w14:paraId="207826F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17.5</w:t>
            </w:r>
          </w:p>
        </w:tc>
        <w:tc>
          <w:tcPr>
            <w:tcW w:w="157" w:type="pct"/>
            <w:gridSpan w:val="2"/>
            <w:shd w:val="clear" w:color="auto" w:fill="auto"/>
            <w:vAlign w:val="center"/>
          </w:tcPr>
          <w:p w14:paraId="51B5195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2类</w:t>
            </w:r>
          </w:p>
        </w:tc>
        <w:tc>
          <w:tcPr>
            <w:tcW w:w="134" w:type="pct"/>
            <w:gridSpan w:val="2"/>
            <w:vMerge w:val="continue"/>
            <w:vAlign w:val="center"/>
          </w:tcPr>
          <w:p w14:paraId="4778F45F">
            <w:pPr>
              <w:widowControl/>
              <w:jc w:val="center"/>
              <w:rPr>
                <w:rFonts w:ascii="Times New Roman" w:hAnsi="Times New Roman" w:eastAsia="宋体" w:cs="Times New Roman"/>
                <w:kern w:val="0"/>
                <w:szCs w:val="21"/>
              </w:rPr>
            </w:pPr>
          </w:p>
        </w:tc>
        <w:tc>
          <w:tcPr>
            <w:tcW w:w="134" w:type="pct"/>
            <w:gridSpan w:val="2"/>
            <w:vMerge w:val="continue"/>
            <w:vAlign w:val="center"/>
          </w:tcPr>
          <w:p w14:paraId="1508FBDC">
            <w:pPr>
              <w:widowControl/>
              <w:jc w:val="center"/>
              <w:rPr>
                <w:rFonts w:ascii="Times New Roman" w:hAnsi="Times New Roman" w:eastAsia="宋体" w:cs="Times New Roman"/>
                <w:kern w:val="0"/>
                <w:szCs w:val="21"/>
              </w:rPr>
            </w:pPr>
          </w:p>
        </w:tc>
      </w:tr>
      <w:tr w14:paraId="6F46419F">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7" w:type="pct"/>
            <w:vMerge w:val="restart"/>
            <w:shd w:val="clear" w:color="auto" w:fill="auto"/>
            <w:vAlign w:val="center"/>
          </w:tcPr>
          <w:p w14:paraId="4455881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25</w:t>
            </w:r>
          </w:p>
        </w:tc>
        <w:tc>
          <w:tcPr>
            <w:tcW w:w="319" w:type="pct"/>
            <w:vMerge w:val="restart"/>
            <w:shd w:val="clear" w:color="auto" w:fill="auto"/>
            <w:vAlign w:val="center"/>
          </w:tcPr>
          <w:p w14:paraId="299E3C9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克孜勒吉依木村</w:t>
            </w:r>
          </w:p>
        </w:tc>
        <w:tc>
          <w:tcPr>
            <w:tcW w:w="145" w:type="pct"/>
            <w:vMerge w:val="restart"/>
            <w:shd w:val="clear" w:color="auto" w:fill="auto"/>
            <w:vAlign w:val="center"/>
          </w:tcPr>
          <w:p w14:paraId="025DEB4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两侧</w:t>
            </w:r>
          </w:p>
        </w:tc>
        <w:tc>
          <w:tcPr>
            <w:tcW w:w="188" w:type="pct"/>
            <w:shd w:val="clear" w:color="auto" w:fill="auto"/>
            <w:noWrap/>
            <w:vAlign w:val="center"/>
          </w:tcPr>
          <w:p w14:paraId="4760962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21</w:t>
            </w:r>
          </w:p>
        </w:tc>
        <w:tc>
          <w:tcPr>
            <w:tcW w:w="131" w:type="pct"/>
            <w:vMerge w:val="restart"/>
            <w:shd w:val="clear" w:color="auto" w:fill="auto"/>
            <w:vAlign w:val="center"/>
          </w:tcPr>
          <w:p w14:paraId="6CEC576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w:t>
            </w:r>
          </w:p>
        </w:tc>
        <w:tc>
          <w:tcPr>
            <w:tcW w:w="232" w:type="pct"/>
            <w:vMerge w:val="restart"/>
            <w:shd w:val="clear" w:color="auto" w:fill="auto"/>
            <w:vAlign w:val="center"/>
          </w:tcPr>
          <w:p w14:paraId="39B1DF0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0</w:t>
            </w:r>
          </w:p>
        </w:tc>
        <w:tc>
          <w:tcPr>
            <w:tcW w:w="147" w:type="pct"/>
            <w:vMerge w:val="restart"/>
            <w:shd w:val="clear" w:color="auto" w:fill="auto"/>
            <w:vAlign w:val="center"/>
          </w:tcPr>
          <w:p w14:paraId="6E69443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1层</w:t>
            </w:r>
          </w:p>
        </w:tc>
        <w:tc>
          <w:tcPr>
            <w:tcW w:w="137" w:type="pct"/>
            <w:shd w:val="clear" w:color="auto" w:fill="auto"/>
            <w:vAlign w:val="center"/>
          </w:tcPr>
          <w:p w14:paraId="19B7CF2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64.3</w:t>
            </w:r>
          </w:p>
        </w:tc>
        <w:tc>
          <w:tcPr>
            <w:tcW w:w="137" w:type="pct"/>
            <w:shd w:val="clear" w:color="auto" w:fill="auto"/>
            <w:vAlign w:val="center"/>
          </w:tcPr>
          <w:p w14:paraId="66D654F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60.4</w:t>
            </w:r>
          </w:p>
        </w:tc>
        <w:tc>
          <w:tcPr>
            <w:tcW w:w="137" w:type="pct"/>
            <w:gridSpan w:val="2"/>
            <w:shd w:val="clear" w:color="auto" w:fill="auto"/>
            <w:vAlign w:val="center"/>
          </w:tcPr>
          <w:p w14:paraId="3A3D21F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65.1</w:t>
            </w:r>
          </w:p>
        </w:tc>
        <w:tc>
          <w:tcPr>
            <w:tcW w:w="137" w:type="pct"/>
            <w:gridSpan w:val="2"/>
            <w:shd w:val="clear" w:color="auto" w:fill="auto"/>
            <w:vAlign w:val="center"/>
          </w:tcPr>
          <w:p w14:paraId="770C00A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61.2</w:t>
            </w:r>
          </w:p>
        </w:tc>
        <w:tc>
          <w:tcPr>
            <w:tcW w:w="137" w:type="pct"/>
            <w:gridSpan w:val="2"/>
            <w:shd w:val="clear" w:color="auto" w:fill="auto"/>
            <w:vAlign w:val="center"/>
          </w:tcPr>
          <w:p w14:paraId="4CAFAD7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65.8</w:t>
            </w:r>
          </w:p>
        </w:tc>
        <w:tc>
          <w:tcPr>
            <w:tcW w:w="139" w:type="pct"/>
            <w:gridSpan w:val="2"/>
            <w:shd w:val="clear" w:color="auto" w:fill="auto"/>
            <w:vAlign w:val="center"/>
          </w:tcPr>
          <w:p w14:paraId="420E29A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61.9</w:t>
            </w:r>
          </w:p>
        </w:tc>
        <w:tc>
          <w:tcPr>
            <w:tcW w:w="137" w:type="pct"/>
            <w:gridSpan w:val="2"/>
            <w:shd w:val="clear" w:color="auto" w:fill="auto"/>
            <w:vAlign w:val="center"/>
          </w:tcPr>
          <w:p w14:paraId="31A4A1E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64.3</w:t>
            </w:r>
          </w:p>
        </w:tc>
        <w:tc>
          <w:tcPr>
            <w:tcW w:w="137" w:type="pct"/>
            <w:gridSpan w:val="2"/>
            <w:shd w:val="clear" w:color="auto" w:fill="auto"/>
            <w:vAlign w:val="center"/>
          </w:tcPr>
          <w:p w14:paraId="309C7E7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60.4</w:t>
            </w:r>
          </w:p>
        </w:tc>
        <w:tc>
          <w:tcPr>
            <w:tcW w:w="137" w:type="pct"/>
            <w:gridSpan w:val="2"/>
            <w:shd w:val="clear" w:color="auto" w:fill="auto"/>
            <w:vAlign w:val="center"/>
          </w:tcPr>
          <w:p w14:paraId="19C2D35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65.1</w:t>
            </w:r>
          </w:p>
        </w:tc>
        <w:tc>
          <w:tcPr>
            <w:tcW w:w="139" w:type="pct"/>
            <w:gridSpan w:val="2"/>
            <w:shd w:val="clear" w:color="auto" w:fill="auto"/>
            <w:vAlign w:val="center"/>
          </w:tcPr>
          <w:p w14:paraId="18D8B92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61.2</w:t>
            </w:r>
          </w:p>
        </w:tc>
        <w:tc>
          <w:tcPr>
            <w:tcW w:w="137" w:type="pct"/>
            <w:gridSpan w:val="2"/>
            <w:shd w:val="clear" w:color="auto" w:fill="auto"/>
            <w:vAlign w:val="center"/>
          </w:tcPr>
          <w:p w14:paraId="40B5151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65.8</w:t>
            </w:r>
          </w:p>
        </w:tc>
        <w:tc>
          <w:tcPr>
            <w:tcW w:w="139" w:type="pct"/>
            <w:gridSpan w:val="2"/>
            <w:shd w:val="clear" w:color="auto" w:fill="auto"/>
            <w:vAlign w:val="center"/>
          </w:tcPr>
          <w:p w14:paraId="1F2B929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61.9</w:t>
            </w:r>
          </w:p>
        </w:tc>
        <w:tc>
          <w:tcPr>
            <w:tcW w:w="137" w:type="pct"/>
            <w:gridSpan w:val="2"/>
            <w:shd w:val="clear" w:color="auto" w:fill="auto"/>
            <w:vAlign w:val="center"/>
          </w:tcPr>
          <w:p w14:paraId="68C084E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8" w:type="pct"/>
            <w:gridSpan w:val="2"/>
            <w:shd w:val="clear" w:color="auto" w:fill="auto"/>
            <w:vAlign w:val="center"/>
          </w:tcPr>
          <w:p w14:paraId="30A1BCF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5.4</w:t>
            </w:r>
          </w:p>
        </w:tc>
        <w:tc>
          <w:tcPr>
            <w:tcW w:w="137" w:type="pct"/>
            <w:gridSpan w:val="2"/>
            <w:shd w:val="clear" w:color="auto" w:fill="auto"/>
            <w:vAlign w:val="center"/>
          </w:tcPr>
          <w:p w14:paraId="65712AC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gridSpan w:val="2"/>
            <w:shd w:val="clear" w:color="auto" w:fill="auto"/>
            <w:vAlign w:val="center"/>
          </w:tcPr>
          <w:p w14:paraId="7E6656C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6.2</w:t>
            </w:r>
          </w:p>
        </w:tc>
        <w:tc>
          <w:tcPr>
            <w:tcW w:w="137" w:type="pct"/>
            <w:gridSpan w:val="2"/>
            <w:shd w:val="clear" w:color="auto" w:fill="auto"/>
            <w:vAlign w:val="center"/>
          </w:tcPr>
          <w:p w14:paraId="581D845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gridSpan w:val="2"/>
            <w:shd w:val="clear" w:color="auto" w:fill="auto"/>
            <w:vAlign w:val="center"/>
          </w:tcPr>
          <w:p w14:paraId="5E123EB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6.9</w:t>
            </w:r>
          </w:p>
        </w:tc>
        <w:tc>
          <w:tcPr>
            <w:tcW w:w="137" w:type="pct"/>
            <w:gridSpan w:val="2"/>
            <w:shd w:val="clear" w:color="auto" w:fill="auto"/>
            <w:vAlign w:val="center"/>
          </w:tcPr>
          <w:p w14:paraId="4306B04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18.8</w:t>
            </w:r>
          </w:p>
        </w:tc>
        <w:tc>
          <w:tcPr>
            <w:tcW w:w="139" w:type="pct"/>
            <w:gridSpan w:val="2"/>
            <w:shd w:val="clear" w:color="auto" w:fill="auto"/>
            <w:vAlign w:val="center"/>
          </w:tcPr>
          <w:p w14:paraId="31A3164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22.9</w:t>
            </w:r>
          </w:p>
        </w:tc>
        <w:tc>
          <w:tcPr>
            <w:tcW w:w="137" w:type="pct"/>
            <w:gridSpan w:val="2"/>
            <w:shd w:val="clear" w:color="auto" w:fill="auto"/>
            <w:vAlign w:val="center"/>
          </w:tcPr>
          <w:p w14:paraId="68BD587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19.6</w:t>
            </w:r>
          </w:p>
        </w:tc>
        <w:tc>
          <w:tcPr>
            <w:tcW w:w="138" w:type="pct"/>
            <w:gridSpan w:val="2"/>
            <w:shd w:val="clear" w:color="auto" w:fill="auto"/>
            <w:vAlign w:val="center"/>
          </w:tcPr>
          <w:p w14:paraId="33AF4E4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23.7</w:t>
            </w:r>
          </w:p>
        </w:tc>
        <w:tc>
          <w:tcPr>
            <w:tcW w:w="137" w:type="pct"/>
            <w:gridSpan w:val="2"/>
            <w:shd w:val="clear" w:color="auto" w:fill="auto"/>
            <w:vAlign w:val="center"/>
          </w:tcPr>
          <w:p w14:paraId="1FB3D29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20.3</w:t>
            </w:r>
          </w:p>
        </w:tc>
        <w:tc>
          <w:tcPr>
            <w:tcW w:w="139" w:type="pct"/>
            <w:gridSpan w:val="2"/>
            <w:shd w:val="clear" w:color="auto" w:fill="auto"/>
            <w:vAlign w:val="center"/>
          </w:tcPr>
          <w:p w14:paraId="1440CB9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24.4</w:t>
            </w:r>
          </w:p>
        </w:tc>
        <w:tc>
          <w:tcPr>
            <w:tcW w:w="157" w:type="pct"/>
            <w:gridSpan w:val="2"/>
            <w:shd w:val="clear" w:color="auto" w:fill="auto"/>
            <w:vAlign w:val="center"/>
          </w:tcPr>
          <w:p w14:paraId="49E870B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4a类</w:t>
            </w:r>
          </w:p>
        </w:tc>
        <w:tc>
          <w:tcPr>
            <w:tcW w:w="134" w:type="pct"/>
            <w:gridSpan w:val="2"/>
            <w:vMerge w:val="restart"/>
            <w:shd w:val="clear" w:color="auto" w:fill="auto"/>
            <w:vAlign w:val="center"/>
          </w:tcPr>
          <w:p w14:paraId="7AE5717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45.5</w:t>
            </w:r>
          </w:p>
        </w:tc>
        <w:tc>
          <w:tcPr>
            <w:tcW w:w="134" w:type="pct"/>
            <w:gridSpan w:val="2"/>
            <w:vMerge w:val="restart"/>
            <w:shd w:val="clear" w:color="auto" w:fill="auto"/>
            <w:vAlign w:val="center"/>
          </w:tcPr>
          <w:p w14:paraId="4F28AE2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37.5</w:t>
            </w:r>
          </w:p>
        </w:tc>
      </w:tr>
      <w:tr w14:paraId="5165D36E">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7" w:type="pct"/>
            <w:vMerge w:val="continue"/>
            <w:vAlign w:val="center"/>
          </w:tcPr>
          <w:p w14:paraId="71ABED91">
            <w:pPr>
              <w:widowControl/>
              <w:jc w:val="center"/>
              <w:rPr>
                <w:rFonts w:ascii="Times New Roman" w:hAnsi="Times New Roman" w:eastAsia="宋体" w:cs="Times New Roman"/>
                <w:kern w:val="0"/>
                <w:szCs w:val="21"/>
              </w:rPr>
            </w:pPr>
          </w:p>
        </w:tc>
        <w:tc>
          <w:tcPr>
            <w:tcW w:w="319" w:type="pct"/>
            <w:vMerge w:val="continue"/>
            <w:vAlign w:val="center"/>
          </w:tcPr>
          <w:p w14:paraId="32E2990B">
            <w:pPr>
              <w:widowControl/>
              <w:jc w:val="center"/>
              <w:rPr>
                <w:rFonts w:ascii="Times New Roman" w:hAnsi="Times New Roman" w:eastAsia="宋体" w:cs="Times New Roman"/>
                <w:kern w:val="0"/>
                <w:szCs w:val="21"/>
              </w:rPr>
            </w:pPr>
          </w:p>
        </w:tc>
        <w:tc>
          <w:tcPr>
            <w:tcW w:w="145" w:type="pct"/>
            <w:vMerge w:val="continue"/>
            <w:vAlign w:val="center"/>
          </w:tcPr>
          <w:p w14:paraId="224B8001">
            <w:pPr>
              <w:widowControl/>
              <w:jc w:val="center"/>
              <w:rPr>
                <w:rFonts w:ascii="Times New Roman" w:hAnsi="Times New Roman" w:eastAsia="宋体" w:cs="Times New Roman"/>
                <w:kern w:val="0"/>
                <w:szCs w:val="21"/>
              </w:rPr>
            </w:pPr>
          </w:p>
        </w:tc>
        <w:tc>
          <w:tcPr>
            <w:tcW w:w="188" w:type="pct"/>
            <w:shd w:val="clear" w:color="auto" w:fill="auto"/>
            <w:noWrap/>
            <w:vAlign w:val="center"/>
          </w:tcPr>
          <w:p w14:paraId="7A9BA2C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55</w:t>
            </w:r>
          </w:p>
        </w:tc>
        <w:tc>
          <w:tcPr>
            <w:tcW w:w="131" w:type="pct"/>
            <w:vMerge w:val="continue"/>
            <w:vAlign w:val="center"/>
          </w:tcPr>
          <w:p w14:paraId="06ECB02F">
            <w:pPr>
              <w:widowControl/>
              <w:jc w:val="center"/>
              <w:rPr>
                <w:rFonts w:ascii="Times New Roman" w:hAnsi="Times New Roman" w:eastAsia="宋体" w:cs="Times New Roman"/>
                <w:kern w:val="0"/>
                <w:szCs w:val="21"/>
              </w:rPr>
            </w:pPr>
          </w:p>
        </w:tc>
        <w:tc>
          <w:tcPr>
            <w:tcW w:w="232" w:type="pct"/>
            <w:vMerge w:val="continue"/>
            <w:vAlign w:val="center"/>
          </w:tcPr>
          <w:p w14:paraId="2988C833">
            <w:pPr>
              <w:widowControl/>
              <w:jc w:val="center"/>
              <w:rPr>
                <w:rFonts w:ascii="Times New Roman" w:hAnsi="Times New Roman" w:eastAsia="宋体" w:cs="Times New Roman"/>
                <w:kern w:val="0"/>
                <w:szCs w:val="21"/>
              </w:rPr>
            </w:pPr>
          </w:p>
        </w:tc>
        <w:tc>
          <w:tcPr>
            <w:tcW w:w="147" w:type="pct"/>
            <w:vMerge w:val="continue"/>
            <w:vAlign w:val="center"/>
          </w:tcPr>
          <w:p w14:paraId="4B079FE5">
            <w:pPr>
              <w:widowControl/>
              <w:jc w:val="center"/>
              <w:rPr>
                <w:rFonts w:ascii="Times New Roman" w:hAnsi="Times New Roman" w:eastAsia="宋体" w:cs="Times New Roman"/>
                <w:kern w:val="0"/>
                <w:szCs w:val="21"/>
              </w:rPr>
            </w:pPr>
          </w:p>
        </w:tc>
        <w:tc>
          <w:tcPr>
            <w:tcW w:w="137" w:type="pct"/>
            <w:shd w:val="clear" w:color="auto" w:fill="auto"/>
            <w:vAlign w:val="center"/>
          </w:tcPr>
          <w:p w14:paraId="18544D7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57.9</w:t>
            </w:r>
          </w:p>
        </w:tc>
        <w:tc>
          <w:tcPr>
            <w:tcW w:w="137" w:type="pct"/>
            <w:shd w:val="clear" w:color="auto" w:fill="auto"/>
            <w:vAlign w:val="center"/>
          </w:tcPr>
          <w:p w14:paraId="3B1B428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54.0</w:t>
            </w:r>
          </w:p>
        </w:tc>
        <w:tc>
          <w:tcPr>
            <w:tcW w:w="137" w:type="pct"/>
            <w:gridSpan w:val="2"/>
            <w:shd w:val="clear" w:color="auto" w:fill="auto"/>
            <w:vAlign w:val="center"/>
          </w:tcPr>
          <w:p w14:paraId="516061A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58.7</w:t>
            </w:r>
          </w:p>
        </w:tc>
        <w:tc>
          <w:tcPr>
            <w:tcW w:w="137" w:type="pct"/>
            <w:gridSpan w:val="2"/>
            <w:shd w:val="clear" w:color="auto" w:fill="auto"/>
            <w:vAlign w:val="center"/>
          </w:tcPr>
          <w:p w14:paraId="150C9AA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54.8</w:t>
            </w:r>
          </w:p>
        </w:tc>
        <w:tc>
          <w:tcPr>
            <w:tcW w:w="137" w:type="pct"/>
            <w:gridSpan w:val="2"/>
            <w:shd w:val="clear" w:color="auto" w:fill="auto"/>
            <w:vAlign w:val="center"/>
          </w:tcPr>
          <w:p w14:paraId="622FB7D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59.4</w:t>
            </w:r>
          </w:p>
        </w:tc>
        <w:tc>
          <w:tcPr>
            <w:tcW w:w="139" w:type="pct"/>
            <w:gridSpan w:val="2"/>
            <w:shd w:val="clear" w:color="auto" w:fill="auto"/>
            <w:vAlign w:val="center"/>
          </w:tcPr>
          <w:p w14:paraId="325B5A7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55.5</w:t>
            </w:r>
          </w:p>
        </w:tc>
        <w:tc>
          <w:tcPr>
            <w:tcW w:w="137" w:type="pct"/>
            <w:gridSpan w:val="2"/>
            <w:shd w:val="clear" w:color="auto" w:fill="auto"/>
            <w:vAlign w:val="center"/>
          </w:tcPr>
          <w:p w14:paraId="0A3F70E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58.1</w:t>
            </w:r>
          </w:p>
        </w:tc>
        <w:tc>
          <w:tcPr>
            <w:tcW w:w="137" w:type="pct"/>
            <w:gridSpan w:val="2"/>
            <w:shd w:val="clear" w:color="auto" w:fill="auto"/>
            <w:vAlign w:val="center"/>
          </w:tcPr>
          <w:p w14:paraId="2DDCA80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54.1</w:t>
            </w:r>
          </w:p>
        </w:tc>
        <w:tc>
          <w:tcPr>
            <w:tcW w:w="137" w:type="pct"/>
            <w:gridSpan w:val="2"/>
            <w:shd w:val="clear" w:color="auto" w:fill="auto"/>
            <w:vAlign w:val="center"/>
          </w:tcPr>
          <w:p w14:paraId="79DC9D0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58.9</w:t>
            </w:r>
          </w:p>
        </w:tc>
        <w:tc>
          <w:tcPr>
            <w:tcW w:w="139" w:type="pct"/>
            <w:gridSpan w:val="2"/>
            <w:shd w:val="clear" w:color="auto" w:fill="auto"/>
            <w:vAlign w:val="center"/>
          </w:tcPr>
          <w:p w14:paraId="2C060E5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54.9</w:t>
            </w:r>
          </w:p>
        </w:tc>
        <w:tc>
          <w:tcPr>
            <w:tcW w:w="137" w:type="pct"/>
            <w:gridSpan w:val="2"/>
            <w:shd w:val="clear" w:color="auto" w:fill="auto"/>
            <w:vAlign w:val="center"/>
          </w:tcPr>
          <w:p w14:paraId="0EB99CF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59.6</w:t>
            </w:r>
          </w:p>
        </w:tc>
        <w:tc>
          <w:tcPr>
            <w:tcW w:w="139" w:type="pct"/>
            <w:gridSpan w:val="2"/>
            <w:shd w:val="clear" w:color="auto" w:fill="auto"/>
            <w:vAlign w:val="center"/>
          </w:tcPr>
          <w:p w14:paraId="7553384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55.6</w:t>
            </w:r>
          </w:p>
        </w:tc>
        <w:tc>
          <w:tcPr>
            <w:tcW w:w="137" w:type="pct"/>
            <w:gridSpan w:val="2"/>
            <w:shd w:val="clear" w:color="auto" w:fill="auto"/>
            <w:vAlign w:val="center"/>
          </w:tcPr>
          <w:p w14:paraId="75D7906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8" w:type="pct"/>
            <w:gridSpan w:val="2"/>
            <w:shd w:val="clear" w:color="auto" w:fill="auto"/>
            <w:vAlign w:val="center"/>
          </w:tcPr>
          <w:p w14:paraId="536BDD7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4.1</w:t>
            </w:r>
          </w:p>
        </w:tc>
        <w:tc>
          <w:tcPr>
            <w:tcW w:w="137" w:type="pct"/>
            <w:gridSpan w:val="2"/>
            <w:shd w:val="clear" w:color="auto" w:fill="auto"/>
            <w:vAlign w:val="center"/>
          </w:tcPr>
          <w:p w14:paraId="714FB72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gridSpan w:val="2"/>
            <w:shd w:val="clear" w:color="auto" w:fill="auto"/>
            <w:vAlign w:val="center"/>
          </w:tcPr>
          <w:p w14:paraId="5236FAE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4.9</w:t>
            </w:r>
          </w:p>
        </w:tc>
        <w:tc>
          <w:tcPr>
            <w:tcW w:w="137" w:type="pct"/>
            <w:gridSpan w:val="2"/>
            <w:shd w:val="clear" w:color="auto" w:fill="auto"/>
            <w:vAlign w:val="center"/>
          </w:tcPr>
          <w:p w14:paraId="083BB1A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gridSpan w:val="2"/>
            <w:shd w:val="clear" w:color="auto" w:fill="auto"/>
            <w:vAlign w:val="center"/>
          </w:tcPr>
          <w:p w14:paraId="303BC53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5.6</w:t>
            </w:r>
          </w:p>
        </w:tc>
        <w:tc>
          <w:tcPr>
            <w:tcW w:w="137" w:type="pct"/>
            <w:gridSpan w:val="2"/>
            <w:shd w:val="clear" w:color="auto" w:fill="auto"/>
            <w:vAlign w:val="center"/>
          </w:tcPr>
          <w:p w14:paraId="0F4047B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12.6</w:t>
            </w:r>
          </w:p>
        </w:tc>
        <w:tc>
          <w:tcPr>
            <w:tcW w:w="139" w:type="pct"/>
            <w:gridSpan w:val="2"/>
            <w:shd w:val="clear" w:color="auto" w:fill="auto"/>
            <w:vAlign w:val="center"/>
          </w:tcPr>
          <w:p w14:paraId="6C0A195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16.6</w:t>
            </w:r>
          </w:p>
        </w:tc>
        <w:tc>
          <w:tcPr>
            <w:tcW w:w="137" w:type="pct"/>
            <w:gridSpan w:val="2"/>
            <w:shd w:val="clear" w:color="auto" w:fill="auto"/>
            <w:vAlign w:val="center"/>
          </w:tcPr>
          <w:p w14:paraId="6968206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13.4</w:t>
            </w:r>
          </w:p>
        </w:tc>
        <w:tc>
          <w:tcPr>
            <w:tcW w:w="138" w:type="pct"/>
            <w:gridSpan w:val="2"/>
            <w:shd w:val="clear" w:color="auto" w:fill="auto"/>
            <w:vAlign w:val="center"/>
          </w:tcPr>
          <w:p w14:paraId="147A228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17.4</w:t>
            </w:r>
          </w:p>
        </w:tc>
        <w:tc>
          <w:tcPr>
            <w:tcW w:w="137" w:type="pct"/>
            <w:gridSpan w:val="2"/>
            <w:shd w:val="clear" w:color="auto" w:fill="auto"/>
            <w:vAlign w:val="center"/>
          </w:tcPr>
          <w:p w14:paraId="14AEF94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14.1</w:t>
            </w:r>
          </w:p>
        </w:tc>
        <w:tc>
          <w:tcPr>
            <w:tcW w:w="139" w:type="pct"/>
            <w:gridSpan w:val="2"/>
            <w:shd w:val="clear" w:color="auto" w:fill="auto"/>
            <w:vAlign w:val="center"/>
          </w:tcPr>
          <w:p w14:paraId="366E4AA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18.1</w:t>
            </w:r>
          </w:p>
        </w:tc>
        <w:tc>
          <w:tcPr>
            <w:tcW w:w="157" w:type="pct"/>
            <w:gridSpan w:val="2"/>
            <w:shd w:val="clear" w:color="auto" w:fill="auto"/>
            <w:vAlign w:val="center"/>
          </w:tcPr>
          <w:p w14:paraId="3AB6B2D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2类</w:t>
            </w:r>
          </w:p>
        </w:tc>
        <w:tc>
          <w:tcPr>
            <w:tcW w:w="134" w:type="pct"/>
            <w:gridSpan w:val="2"/>
            <w:vMerge w:val="continue"/>
            <w:vAlign w:val="center"/>
          </w:tcPr>
          <w:p w14:paraId="4FB25EA3">
            <w:pPr>
              <w:widowControl/>
              <w:jc w:val="center"/>
              <w:rPr>
                <w:rFonts w:ascii="Times New Roman" w:hAnsi="Times New Roman" w:eastAsia="宋体" w:cs="Times New Roman"/>
                <w:kern w:val="0"/>
                <w:szCs w:val="21"/>
              </w:rPr>
            </w:pPr>
          </w:p>
        </w:tc>
        <w:tc>
          <w:tcPr>
            <w:tcW w:w="134" w:type="pct"/>
            <w:gridSpan w:val="2"/>
            <w:vMerge w:val="continue"/>
            <w:vAlign w:val="center"/>
          </w:tcPr>
          <w:p w14:paraId="50A35084">
            <w:pPr>
              <w:widowControl/>
              <w:jc w:val="center"/>
              <w:rPr>
                <w:rFonts w:ascii="Times New Roman" w:hAnsi="Times New Roman" w:eastAsia="宋体" w:cs="Times New Roman"/>
                <w:kern w:val="0"/>
                <w:szCs w:val="21"/>
              </w:rPr>
            </w:pPr>
          </w:p>
        </w:tc>
      </w:tr>
      <w:tr w14:paraId="4E938CC9">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7" w:type="pct"/>
            <w:vMerge w:val="restart"/>
            <w:shd w:val="clear" w:color="auto" w:fill="auto"/>
            <w:vAlign w:val="center"/>
          </w:tcPr>
          <w:p w14:paraId="76576EA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26</w:t>
            </w:r>
          </w:p>
        </w:tc>
        <w:tc>
          <w:tcPr>
            <w:tcW w:w="319" w:type="pct"/>
            <w:vMerge w:val="restart"/>
            <w:shd w:val="clear" w:color="auto" w:fill="auto"/>
            <w:vAlign w:val="center"/>
          </w:tcPr>
          <w:p w14:paraId="4A7060C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土木拉克</w:t>
            </w:r>
          </w:p>
        </w:tc>
        <w:tc>
          <w:tcPr>
            <w:tcW w:w="145" w:type="pct"/>
            <w:vMerge w:val="restart"/>
            <w:shd w:val="clear" w:color="auto" w:fill="auto"/>
            <w:vAlign w:val="center"/>
          </w:tcPr>
          <w:p w14:paraId="7FBB0E5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两侧</w:t>
            </w:r>
          </w:p>
        </w:tc>
        <w:tc>
          <w:tcPr>
            <w:tcW w:w="188" w:type="pct"/>
            <w:shd w:val="clear" w:color="auto" w:fill="auto"/>
            <w:noWrap/>
            <w:vAlign w:val="center"/>
          </w:tcPr>
          <w:p w14:paraId="2407E13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25</w:t>
            </w:r>
          </w:p>
        </w:tc>
        <w:tc>
          <w:tcPr>
            <w:tcW w:w="131" w:type="pct"/>
            <w:vMerge w:val="restart"/>
            <w:shd w:val="clear" w:color="auto" w:fill="auto"/>
            <w:vAlign w:val="center"/>
          </w:tcPr>
          <w:p w14:paraId="5B3CAFA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w:t>
            </w:r>
          </w:p>
        </w:tc>
        <w:tc>
          <w:tcPr>
            <w:tcW w:w="232" w:type="pct"/>
            <w:vMerge w:val="restart"/>
            <w:shd w:val="clear" w:color="auto" w:fill="auto"/>
            <w:vAlign w:val="center"/>
          </w:tcPr>
          <w:p w14:paraId="65A507A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0</w:t>
            </w:r>
          </w:p>
        </w:tc>
        <w:tc>
          <w:tcPr>
            <w:tcW w:w="147" w:type="pct"/>
            <w:vMerge w:val="restart"/>
            <w:shd w:val="clear" w:color="auto" w:fill="auto"/>
            <w:vAlign w:val="center"/>
          </w:tcPr>
          <w:p w14:paraId="7A79C5A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1层</w:t>
            </w:r>
          </w:p>
        </w:tc>
        <w:tc>
          <w:tcPr>
            <w:tcW w:w="137" w:type="pct"/>
            <w:shd w:val="clear" w:color="auto" w:fill="auto"/>
            <w:vAlign w:val="center"/>
          </w:tcPr>
          <w:p w14:paraId="37B1D18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63.0</w:t>
            </w:r>
          </w:p>
        </w:tc>
        <w:tc>
          <w:tcPr>
            <w:tcW w:w="137" w:type="pct"/>
            <w:shd w:val="clear" w:color="auto" w:fill="auto"/>
            <w:vAlign w:val="center"/>
          </w:tcPr>
          <w:p w14:paraId="2D262E7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59.1</w:t>
            </w:r>
          </w:p>
        </w:tc>
        <w:tc>
          <w:tcPr>
            <w:tcW w:w="137" w:type="pct"/>
            <w:gridSpan w:val="2"/>
            <w:shd w:val="clear" w:color="auto" w:fill="auto"/>
            <w:vAlign w:val="center"/>
          </w:tcPr>
          <w:p w14:paraId="0C13CEE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63.8</w:t>
            </w:r>
          </w:p>
        </w:tc>
        <w:tc>
          <w:tcPr>
            <w:tcW w:w="137" w:type="pct"/>
            <w:gridSpan w:val="2"/>
            <w:shd w:val="clear" w:color="auto" w:fill="auto"/>
            <w:vAlign w:val="center"/>
          </w:tcPr>
          <w:p w14:paraId="46CBF69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59.9</w:t>
            </w:r>
          </w:p>
        </w:tc>
        <w:tc>
          <w:tcPr>
            <w:tcW w:w="137" w:type="pct"/>
            <w:gridSpan w:val="2"/>
            <w:shd w:val="clear" w:color="auto" w:fill="auto"/>
            <w:vAlign w:val="center"/>
          </w:tcPr>
          <w:p w14:paraId="45FFDF4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64.5</w:t>
            </w:r>
          </w:p>
        </w:tc>
        <w:tc>
          <w:tcPr>
            <w:tcW w:w="139" w:type="pct"/>
            <w:gridSpan w:val="2"/>
            <w:shd w:val="clear" w:color="auto" w:fill="auto"/>
            <w:vAlign w:val="center"/>
          </w:tcPr>
          <w:p w14:paraId="7C9AA99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60.6</w:t>
            </w:r>
          </w:p>
        </w:tc>
        <w:tc>
          <w:tcPr>
            <w:tcW w:w="137" w:type="pct"/>
            <w:gridSpan w:val="2"/>
            <w:shd w:val="clear" w:color="auto" w:fill="auto"/>
            <w:vAlign w:val="center"/>
          </w:tcPr>
          <w:p w14:paraId="4240BB5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63.1</w:t>
            </w:r>
          </w:p>
        </w:tc>
        <w:tc>
          <w:tcPr>
            <w:tcW w:w="137" w:type="pct"/>
            <w:gridSpan w:val="2"/>
            <w:shd w:val="clear" w:color="auto" w:fill="auto"/>
            <w:vAlign w:val="center"/>
          </w:tcPr>
          <w:p w14:paraId="74BE146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59.2</w:t>
            </w:r>
          </w:p>
        </w:tc>
        <w:tc>
          <w:tcPr>
            <w:tcW w:w="137" w:type="pct"/>
            <w:gridSpan w:val="2"/>
            <w:shd w:val="clear" w:color="auto" w:fill="auto"/>
            <w:vAlign w:val="center"/>
          </w:tcPr>
          <w:p w14:paraId="135E4CC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63.9</w:t>
            </w:r>
          </w:p>
        </w:tc>
        <w:tc>
          <w:tcPr>
            <w:tcW w:w="139" w:type="pct"/>
            <w:gridSpan w:val="2"/>
            <w:shd w:val="clear" w:color="auto" w:fill="auto"/>
            <w:vAlign w:val="center"/>
          </w:tcPr>
          <w:p w14:paraId="6D13EC2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59.9</w:t>
            </w:r>
          </w:p>
        </w:tc>
        <w:tc>
          <w:tcPr>
            <w:tcW w:w="137" w:type="pct"/>
            <w:gridSpan w:val="2"/>
            <w:shd w:val="clear" w:color="auto" w:fill="auto"/>
            <w:vAlign w:val="center"/>
          </w:tcPr>
          <w:p w14:paraId="26B6E1D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64.6</w:t>
            </w:r>
          </w:p>
        </w:tc>
        <w:tc>
          <w:tcPr>
            <w:tcW w:w="139" w:type="pct"/>
            <w:gridSpan w:val="2"/>
            <w:shd w:val="clear" w:color="auto" w:fill="auto"/>
            <w:vAlign w:val="center"/>
          </w:tcPr>
          <w:p w14:paraId="1363FF3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60.7</w:t>
            </w:r>
          </w:p>
        </w:tc>
        <w:tc>
          <w:tcPr>
            <w:tcW w:w="137" w:type="pct"/>
            <w:gridSpan w:val="2"/>
            <w:shd w:val="clear" w:color="auto" w:fill="auto"/>
            <w:vAlign w:val="center"/>
          </w:tcPr>
          <w:p w14:paraId="0B6F95B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8" w:type="pct"/>
            <w:gridSpan w:val="2"/>
            <w:shd w:val="clear" w:color="auto" w:fill="auto"/>
            <w:vAlign w:val="center"/>
          </w:tcPr>
          <w:p w14:paraId="729B3CE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4.2</w:t>
            </w:r>
          </w:p>
        </w:tc>
        <w:tc>
          <w:tcPr>
            <w:tcW w:w="137" w:type="pct"/>
            <w:gridSpan w:val="2"/>
            <w:shd w:val="clear" w:color="auto" w:fill="auto"/>
            <w:vAlign w:val="center"/>
          </w:tcPr>
          <w:p w14:paraId="75BE48D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gridSpan w:val="2"/>
            <w:shd w:val="clear" w:color="auto" w:fill="auto"/>
            <w:vAlign w:val="center"/>
          </w:tcPr>
          <w:p w14:paraId="5B79198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4.9</w:t>
            </w:r>
          </w:p>
        </w:tc>
        <w:tc>
          <w:tcPr>
            <w:tcW w:w="137" w:type="pct"/>
            <w:gridSpan w:val="2"/>
            <w:shd w:val="clear" w:color="auto" w:fill="auto"/>
            <w:vAlign w:val="center"/>
          </w:tcPr>
          <w:p w14:paraId="122800C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gridSpan w:val="2"/>
            <w:shd w:val="clear" w:color="auto" w:fill="auto"/>
            <w:vAlign w:val="center"/>
          </w:tcPr>
          <w:p w14:paraId="6D8D4A0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w:t>
            </w:r>
          </w:p>
        </w:tc>
        <w:tc>
          <w:tcPr>
            <w:tcW w:w="137" w:type="pct"/>
            <w:gridSpan w:val="2"/>
            <w:shd w:val="clear" w:color="auto" w:fill="auto"/>
            <w:vAlign w:val="center"/>
          </w:tcPr>
          <w:p w14:paraId="4F622A4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17.6</w:t>
            </w:r>
          </w:p>
        </w:tc>
        <w:tc>
          <w:tcPr>
            <w:tcW w:w="139" w:type="pct"/>
            <w:gridSpan w:val="2"/>
            <w:shd w:val="clear" w:color="auto" w:fill="auto"/>
            <w:vAlign w:val="center"/>
          </w:tcPr>
          <w:p w14:paraId="5B03623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21.7</w:t>
            </w:r>
          </w:p>
        </w:tc>
        <w:tc>
          <w:tcPr>
            <w:tcW w:w="137" w:type="pct"/>
            <w:gridSpan w:val="2"/>
            <w:shd w:val="clear" w:color="auto" w:fill="auto"/>
            <w:vAlign w:val="center"/>
          </w:tcPr>
          <w:p w14:paraId="173424C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18.4</w:t>
            </w:r>
          </w:p>
        </w:tc>
        <w:tc>
          <w:tcPr>
            <w:tcW w:w="138" w:type="pct"/>
            <w:gridSpan w:val="2"/>
            <w:shd w:val="clear" w:color="auto" w:fill="auto"/>
            <w:vAlign w:val="center"/>
          </w:tcPr>
          <w:p w14:paraId="56006B8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22.4</w:t>
            </w:r>
          </w:p>
        </w:tc>
        <w:tc>
          <w:tcPr>
            <w:tcW w:w="137" w:type="pct"/>
            <w:gridSpan w:val="2"/>
            <w:shd w:val="clear" w:color="auto" w:fill="auto"/>
            <w:vAlign w:val="center"/>
          </w:tcPr>
          <w:p w14:paraId="11B092B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19.1</w:t>
            </w:r>
          </w:p>
        </w:tc>
        <w:tc>
          <w:tcPr>
            <w:tcW w:w="139" w:type="pct"/>
            <w:gridSpan w:val="2"/>
            <w:shd w:val="clear" w:color="auto" w:fill="auto"/>
            <w:vAlign w:val="center"/>
          </w:tcPr>
          <w:p w14:paraId="530B2D6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23.2</w:t>
            </w:r>
          </w:p>
        </w:tc>
        <w:tc>
          <w:tcPr>
            <w:tcW w:w="157" w:type="pct"/>
            <w:gridSpan w:val="2"/>
            <w:shd w:val="clear" w:color="auto" w:fill="auto"/>
            <w:vAlign w:val="center"/>
          </w:tcPr>
          <w:p w14:paraId="558B2FB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4a类</w:t>
            </w:r>
          </w:p>
        </w:tc>
        <w:tc>
          <w:tcPr>
            <w:tcW w:w="134" w:type="pct"/>
            <w:gridSpan w:val="2"/>
            <w:vMerge w:val="restart"/>
            <w:shd w:val="clear" w:color="auto" w:fill="auto"/>
            <w:vAlign w:val="center"/>
          </w:tcPr>
          <w:p w14:paraId="650448D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45.5</w:t>
            </w:r>
          </w:p>
        </w:tc>
        <w:tc>
          <w:tcPr>
            <w:tcW w:w="134" w:type="pct"/>
            <w:gridSpan w:val="2"/>
            <w:vMerge w:val="restart"/>
            <w:shd w:val="clear" w:color="auto" w:fill="auto"/>
            <w:vAlign w:val="center"/>
          </w:tcPr>
          <w:p w14:paraId="1DA2F98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37.5</w:t>
            </w:r>
          </w:p>
        </w:tc>
      </w:tr>
      <w:tr w14:paraId="7535C5D6">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7" w:type="pct"/>
            <w:vMerge w:val="continue"/>
            <w:vAlign w:val="center"/>
          </w:tcPr>
          <w:p w14:paraId="3E4D41E3">
            <w:pPr>
              <w:widowControl/>
              <w:jc w:val="center"/>
              <w:rPr>
                <w:rFonts w:ascii="Times New Roman" w:hAnsi="Times New Roman" w:eastAsia="宋体" w:cs="Times New Roman"/>
                <w:kern w:val="0"/>
                <w:szCs w:val="21"/>
              </w:rPr>
            </w:pPr>
          </w:p>
        </w:tc>
        <w:tc>
          <w:tcPr>
            <w:tcW w:w="319" w:type="pct"/>
            <w:vMerge w:val="continue"/>
            <w:vAlign w:val="center"/>
          </w:tcPr>
          <w:p w14:paraId="4C1FA81A">
            <w:pPr>
              <w:widowControl/>
              <w:jc w:val="center"/>
              <w:rPr>
                <w:rFonts w:ascii="Times New Roman" w:hAnsi="Times New Roman" w:eastAsia="宋体" w:cs="Times New Roman"/>
                <w:kern w:val="0"/>
                <w:szCs w:val="21"/>
              </w:rPr>
            </w:pPr>
          </w:p>
        </w:tc>
        <w:tc>
          <w:tcPr>
            <w:tcW w:w="145" w:type="pct"/>
            <w:vMerge w:val="continue"/>
            <w:vAlign w:val="center"/>
          </w:tcPr>
          <w:p w14:paraId="1E29631C">
            <w:pPr>
              <w:widowControl/>
              <w:jc w:val="center"/>
              <w:rPr>
                <w:rFonts w:ascii="Times New Roman" w:hAnsi="Times New Roman" w:eastAsia="宋体" w:cs="Times New Roman"/>
                <w:kern w:val="0"/>
                <w:szCs w:val="21"/>
              </w:rPr>
            </w:pPr>
          </w:p>
        </w:tc>
        <w:tc>
          <w:tcPr>
            <w:tcW w:w="188" w:type="pct"/>
            <w:shd w:val="clear" w:color="auto" w:fill="auto"/>
            <w:noWrap/>
            <w:vAlign w:val="center"/>
          </w:tcPr>
          <w:p w14:paraId="1AAAE20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55</w:t>
            </w:r>
          </w:p>
        </w:tc>
        <w:tc>
          <w:tcPr>
            <w:tcW w:w="131" w:type="pct"/>
            <w:vMerge w:val="continue"/>
            <w:vAlign w:val="center"/>
          </w:tcPr>
          <w:p w14:paraId="034ACBE7">
            <w:pPr>
              <w:widowControl/>
              <w:jc w:val="center"/>
              <w:rPr>
                <w:rFonts w:ascii="Times New Roman" w:hAnsi="Times New Roman" w:eastAsia="宋体" w:cs="Times New Roman"/>
                <w:kern w:val="0"/>
                <w:szCs w:val="21"/>
              </w:rPr>
            </w:pPr>
          </w:p>
        </w:tc>
        <w:tc>
          <w:tcPr>
            <w:tcW w:w="232" w:type="pct"/>
            <w:vMerge w:val="continue"/>
            <w:vAlign w:val="center"/>
          </w:tcPr>
          <w:p w14:paraId="64FDF39F">
            <w:pPr>
              <w:widowControl/>
              <w:jc w:val="center"/>
              <w:rPr>
                <w:rFonts w:ascii="Times New Roman" w:hAnsi="Times New Roman" w:eastAsia="宋体" w:cs="Times New Roman"/>
                <w:kern w:val="0"/>
                <w:szCs w:val="21"/>
              </w:rPr>
            </w:pPr>
          </w:p>
        </w:tc>
        <w:tc>
          <w:tcPr>
            <w:tcW w:w="147" w:type="pct"/>
            <w:vMerge w:val="continue"/>
            <w:vAlign w:val="center"/>
          </w:tcPr>
          <w:p w14:paraId="7324F0B2">
            <w:pPr>
              <w:widowControl/>
              <w:jc w:val="center"/>
              <w:rPr>
                <w:rFonts w:ascii="Times New Roman" w:hAnsi="Times New Roman" w:eastAsia="宋体" w:cs="Times New Roman"/>
                <w:kern w:val="0"/>
                <w:szCs w:val="21"/>
              </w:rPr>
            </w:pPr>
          </w:p>
        </w:tc>
        <w:tc>
          <w:tcPr>
            <w:tcW w:w="137" w:type="pct"/>
            <w:shd w:val="clear" w:color="auto" w:fill="auto"/>
            <w:vAlign w:val="center"/>
          </w:tcPr>
          <w:p w14:paraId="310BA91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57.9</w:t>
            </w:r>
          </w:p>
        </w:tc>
        <w:tc>
          <w:tcPr>
            <w:tcW w:w="137" w:type="pct"/>
            <w:shd w:val="clear" w:color="auto" w:fill="auto"/>
            <w:vAlign w:val="center"/>
          </w:tcPr>
          <w:p w14:paraId="70F8E02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54.0</w:t>
            </w:r>
          </w:p>
        </w:tc>
        <w:tc>
          <w:tcPr>
            <w:tcW w:w="137" w:type="pct"/>
            <w:gridSpan w:val="2"/>
            <w:shd w:val="clear" w:color="auto" w:fill="auto"/>
            <w:vAlign w:val="center"/>
          </w:tcPr>
          <w:p w14:paraId="373D13E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58.7</w:t>
            </w:r>
          </w:p>
        </w:tc>
        <w:tc>
          <w:tcPr>
            <w:tcW w:w="137" w:type="pct"/>
            <w:gridSpan w:val="2"/>
            <w:shd w:val="clear" w:color="auto" w:fill="auto"/>
            <w:vAlign w:val="center"/>
          </w:tcPr>
          <w:p w14:paraId="05CBCEA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54.8</w:t>
            </w:r>
          </w:p>
        </w:tc>
        <w:tc>
          <w:tcPr>
            <w:tcW w:w="137" w:type="pct"/>
            <w:gridSpan w:val="2"/>
            <w:shd w:val="clear" w:color="auto" w:fill="auto"/>
            <w:vAlign w:val="center"/>
          </w:tcPr>
          <w:p w14:paraId="0CE4BAC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59.4</w:t>
            </w:r>
          </w:p>
        </w:tc>
        <w:tc>
          <w:tcPr>
            <w:tcW w:w="139" w:type="pct"/>
            <w:gridSpan w:val="2"/>
            <w:shd w:val="clear" w:color="auto" w:fill="auto"/>
            <w:vAlign w:val="center"/>
          </w:tcPr>
          <w:p w14:paraId="1348640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55.5</w:t>
            </w:r>
          </w:p>
        </w:tc>
        <w:tc>
          <w:tcPr>
            <w:tcW w:w="137" w:type="pct"/>
            <w:gridSpan w:val="2"/>
            <w:shd w:val="clear" w:color="auto" w:fill="auto"/>
            <w:vAlign w:val="center"/>
          </w:tcPr>
          <w:p w14:paraId="42B3B6F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58.1</w:t>
            </w:r>
          </w:p>
        </w:tc>
        <w:tc>
          <w:tcPr>
            <w:tcW w:w="137" w:type="pct"/>
            <w:gridSpan w:val="2"/>
            <w:shd w:val="clear" w:color="auto" w:fill="auto"/>
            <w:vAlign w:val="center"/>
          </w:tcPr>
          <w:p w14:paraId="2ABBACF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54.1</w:t>
            </w:r>
          </w:p>
        </w:tc>
        <w:tc>
          <w:tcPr>
            <w:tcW w:w="137" w:type="pct"/>
            <w:gridSpan w:val="2"/>
            <w:shd w:val="clear" w:color="auto" w:fill="auto"/>
            <w:vAlign w:val="center"/>
          </w:tcPr>
          <w:p w14:paraId="6BF6974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58.9</w:t>
            </w:r>
          </w:p>
        </w:tc>
        <w:tc>
          <w:tcPr>
            <w:tcW w:w="139" w:type="pct"/>
            <w:gridSpan w:val="2"/>
            <w:shd w:val="clear" w:color="auto" w:fill="auto"/>
            <w:vAlign w:val="center"/>
          </w:tcPr>
          <w:p w14:paraId="61799E0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54.9</w:t>
            </w:r>
          </w:p>
        </w:tc>
        <w:tc>
          <w:tcPr>
            <w:tcW w:w="137" w:type="pct"/>
            <w:gridSpan w:val="2"/>
            <w:shd w:val="clear" w:color="auto" w:fill="auto"/>
            <w:vAlign w:val="center"/>
          </w:tcPr>
          <w:p w14:paraId="0799DEE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59.6</w:t>
            </w:r>
          </w:p>
        </w:tc>
        <w:tc>
          <w:tcPr>
            <w:tcW w:w="139" w:type="pct"/>
            <w:gridSpan w:val="2"/>
            <w:shd w:val="clear" w:color="auto" w:fill="auto"/>
            <w:vAlign w:val="center"/>
          </w:tcPr>
          <w:p w14:paraId="1895159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55.6</w:t>
            </w:r>
          </w:p>
        </w:tc>
        <w:tc>
          <w:tcPr>
            <w:tcW w:w="137" w:type="pct"/>
            <w:gridSpan w:val="2"/>
            <w:shd w:val="clear" w:color="auto" w:fill="auto"/>
            <w:vAlign w:val="center"/>
          </w:tcPr>
          <w:p w14:paraId="05F56C4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8" w:type="pct"/>
            <w:gridSpan w:val="2"/>
            <w:shd w:val="clear" w:color="auto" w:fill="auto"/>
            <w:vAlign w:val="center"/>
          </w:tcPr>
          <w:p w14:paraId="75E2D35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4.1</w:t>
            </w:r>
          </w:p>
        </w:tc>
        <w:tc>
          <w:tcPr>
            <w:tcW w:w="137" w:type="pct"/>
            <w:gridSpan w:val="2"/>
            <w:shd w:val="clear" w:color="auto" w:fill="auto"/>
            <w:vAlign w:val="center"/>
          </w:tcPr>
          <w:p w14:paraId="71E6678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gridSpan w:val="2"/>
            <w:shd w:val="clear" w:color="auto" w:fill="auto"/>
            <w:vAlign w:val="center"/>
          </w:tcPr>
          <w:p w14:paraId="7BF5CC6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4.9</w:t>
            </w:r>
          </w:p>
        </w:tc>
        <w:tc>
          <w:tcPr>
            <w:tcW w:w="137" w:type="pct"/>
            <w:gridSpan w:val="2"/>
            <w:shd w:val="clear" w:color="auto" w:fill="auto"/>
            <w:vAlign w:val="center"/>
          </w:tcPr>
          <w:p w14:paraId="5F9621B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gridSpan w:val="2"/>
            <w:shd w:val="clear" w:color="auto" w:fill="auto"/>
            <w:vAlign w:val="center"/>
          </w:tcPr>
          <w:p w14:paraId="307069D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5.6</w:t>
            </w:r>
          </w:p>
        </w:tc>
        <w:tc>
          <w:tcPr>
            <w:tcW w:w="137" w:type="pct"/>
            <w:gridSpan w:val="2"/>
            <w:shd w:val="clear" w:color="auto" w:fill="auto"/>
            <w:vAlign w:val="center"/>
          </w:tcPr>
          <w:p w14:paraId="43428BD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12.6</w:t>
            </w:r>
          </w:p>
        </w:tc>
        <w:tc>
          <w:tcPr>
            <w:tcW w:w="139" w:type="pct"/>
            <w:gridSpan w:val="2"/>
            <w:shd w:val="clear" w:color="auto" w:fill="auto"/>
            <w:vAlign w:val="center"/>
          </w:tcPr>
          <w:p w14:paraId="051ADE7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16.6</w:t>
            </w:r>
          </w:p>
        </w:tc>
        <w:tc>
          <w:tcPr>
            <w:tcW w:w="137" w:type="pct"/>
            <w:gridSpan w:val="2"/>
            <w:shd w:val="clear" w:color="auto" w:fill="auto"/>
            <w:vAlign w:val="center"/>
          </w:tcPr>
          <w:p w14:paraId="476E393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13.4</w:t>
            </w:r>
          </w:p>
        </w:tc>
        <w:tc>
          <w:tcPr>
            <w:tcW w:w="138" w:type="pct"/>
            <w:gridSpan w:val="2"/>
            <w:shd w:val="clear" w:color="auto" w:fill="auto"/>
            <w:vAlign w:val="center"/>
          </w:tcPr>
          <w:p w14:paraId="7A5D300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17.4</w:t>
            </w:r>
          </w:p>
        </w:tc>
        <w:tc>
          <w:tcPr>
            <w:tcW w:w="137" w:type="pct"/>
            <w:gridSpan w:val="2"/>
            <w:shd w:val="clear" w:color="auto" w:fill="auto"/>
            <w:vAlign w:val="center"/>
          </w:tcPr>
          <w:p w14:paraId="093DFD1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14.1</w:t>
            </w:r>
          </w:p>
        </w:tc>
        <w:tc>
          <w:tcPr>
            <w:tcW w:w="139" w:type="pct"/>
            <w:gridSpan w:val="2"/>
            <w:shd w:val="clear" w:color="auto" w:fill="auto"/>
            <w:vAlign w:val="center"/>
          </w:tcPr>
          <w:p w14:paraId="3B88C37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18.1</w:t>
            </w:r>
          </w:p>
        </w:tc>
        <w:tc>
          <w:tcPr>
            <w:tcW w:w="157" w:type="pct"/>
            <w:gridSpan w:val="2"/>
            <w:shd w:val="clear" w:color="auto" w:fill="auto"/>
            <w:vAlign w:val="center"/>
          </w:tcPr>
          <w:p w14:paraId="07A3EA4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2类</w:t>
            </w:r>
          </w:p>
        </w:tc>
        <w:tc>
          <w:tcPr>
            <w:tcW w:w="134" w:type="pct"/>
            <w:gridSpan w:val="2"/>
            <w:vMerge w:val="continue"/>
            <w:vAlign w:val="center"/>
          </w:tcPr>
          <w:p w14:paraId="130D6C98">
            <w:pPr>
              <w:widowControl/>
              <w:jc w:val="center"/>
              <w:rPr>
                <w:rFonts w:ascii="Times New Roman" w:hAnsi="Times New Roman" w:eastAsia="宋体" w:cs="Times New Roman"/>
                <w:kern w:val="0"/>
                <w:szCs w:val="21"/>
              </w:rPr>
            </w:pPr>
          </w:p>
        </w:tc>
        <w:tc>
          <w:tcPr>
            <w:tcW w:w="134" w:type="pct"/>
            <w:gridSpan w:val="2"/>
            <w:vMerge w:val="continue"/>
            <w:vAlign w:val="center"/>
          </w:tcPr>
          <w:p w14:paraId="2F3F9C85">
            <w:pPr>
              <w:widowControl/>
              <w:jc w:val="center"/>
              <w:rPr>
                <w:rFonts w:ascii="Times New Roman" w:hAnsi="Times New Roman" w:eastAsia="宋体" w:cs="Times New Roman"/>
                <w:kern w:val="0"/>
                <w:szCs w:val="21"/>
              </w:rPr>
            </w:pPr>
          </w:p>
        </w:tc>
      </w:tr>
      <w:tr w14:paraId="0B76EDF5">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7" w:type="pct"/>
            <w:vMerge w:val="restart"/>
            <w:shd w:val="clear" w:color="auto" w:fill="auto"/>
            <w:vAlign w:val="center"/>
          </w:tcPr>
          <w:p w14:paraId="70AA8A5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27</w:t>
            </w:r>
          </w:p>
        </w:tc>
        <w:tc>
          <w:tcPr>
            <w:tcW w:w="319" w:type="pct"/>
            <w:vMerge w:val="restart"/>
            <w:shd w:val="clear" w:color="auto" w:fill="auto"/>
            <w:vAlign w:val="center"/>
          </w:tcPr>
          <w:p w14:paraId="2C4EA56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江巴孜村</w:t>
            </w:r>
          </w:p>
        </w:tc>
        <w:tc>
          <w:tcPr>
            <w:tcW w:w="145" w:type="pct"/>
            <w:vMerge w:val="restart"/>
            <w:shd w:val="clear" w:color="auto" w:fill="auto"/>
            <w:vAlign w:val="center"/>
          </w:tcPr>
          <w:p w14:paraId="04CDC00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两侧</w:t>
            </w:r>
          </w:p>
        </w:tc>
        <w:tc>
          <w:tcPr>
            <w:tcW w:w="188" w:type="pct"/>
            <w:shd w:val="clear" w:color="auto" w:fill="auto"/>
            <w:noWrap/>
            <w:vAlign w:val="center"/>
          </w:tcPr>
          <w:p w14:paraId="046323C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23</w:t>
            </w:r>
          </w:p>
        </w:tc>
        <w:tc>
          <w:tcPr>
            <w:tcW w:w="131" w:type="pct"/>
            <w:vMerge w:val="restart"/>
            <w:shd w:val="clear" w:color="auto" w:fill="auto"/>
            <w:vAlign w:val="center"/>
          </w:tcPr>
          <w:p w14:paraId="7CD622B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w:t>
            </w:r>
          </w:p>
        </w:tc>
        <w:tc>
          <w:tcPr>
            <w:tcW w:w="232" w:type="pct"/>
            <w:vMerge w:val="restart"/>
            <w:shd w:val="clear" w:color="auto" w:fill="auto"/>
            <w:vAlign w:val="center"/>
          </w:tcPr>
          <w:p w14:paraId="0F24BCC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0</w:t>
            </w:r>
          </w:p>
        </w:tc>
        <w:tc>
          <w:tcPr>
            <w:tcW w:w="147" w:type="pct"/>
            <w:vMerge w:val="restart"/>
            <w:shd w:val="clear" w:color="auto" w:fill="auto"/>
            <w:vAlign w:val="center"/>
          </w:tcPr>
          <w:p w14:paraId="77AF25A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1层</w:t>
            </w:r>
          </w:p>
        </w:tc>
        <w:tc>
          <w:tcPr>
            <w:tcW w:w="137" w:type="pct"/>
            <w:shd w:val="clear" w:color="auto" w:fill="auto"/>
            <w:vAlign w:val="center"/>
          </w:tcPr>
          <w:p w14:paraId="0C2E93E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60.9</w:t>
            </w:r>
          </w:p>
        </w:tc>
        <w:tc>
          <w:tcPr>
            <w:tcW w:w="137" w:type="pct"/>
            <w:shd w:val="clear" w:color="auto" w:fill="auto"/>
            <w:vAlign w:val="center"/>
          </w:tcPr>
          <w:p w14:paraId="5620EAF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57.0</w:t>
            </w:r>
          </w:p>
        </w:tc>
        <w:tc>
          <w:tcPr>
            <w:tcW w:w="137" w:type="pct"/>
            <w:gridSpan w:val="2"/>
            <w:shd w:val="clear" w:color="auto" w:fill="auto"/>
            <w:vAlign w:val="center"/>
          </w:tcPr>
          <w:p w14:paraId="4F76EF0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61.6</w:t>
            </w:r>
          </w:p>
        </w:tc>
        <w:tc>
          <w:tcPr>
            <w:tcW w:w="137" w:type="pct"/>
            <w:gridSpan w:val="2"/>
            <w:shd w:val="clear" w:color="auto" w:fill="auto"/>
            <w:vAlign w:val="center"/>
          </w:tcPr>
          <w:p w14:paraId="6E19AB4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57.8</w:t>
            </w:r>
          </w:p>
        </w:tc>
        <w:tc>
          <w:tcPr>
            <w:tcW w:w="137" w:type="pct"/>
            <w:gridSpan w:val="2"/>
            <w:shd w:val="clear" w:color="auto" w:fill="auto"/>
            <w:vAlign w:val="center"/>
          </w:tcPr>
          <w:p w14:paraId="56D4908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62.4</w:t>
            </w:r>
          </w:p>
        </w:tc>
        <w:tc>
          <w:tcPr>
            <w:tcW w:w="139" w:type="pct"/>
            <w:gridSpan w:val="2"/>
            <w:shd w:val="clear" w:color="auto" w:fill="auto"/>
            <w:vAlign w:val="center"/>
          </w:tcPr>
          <w:p w14:paraId="54962B4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58.5</w:t>
            </w:r>
          </w:p>
        </w:tc>
        <w:tc>
          <w:tcPr>
            <w:tcW w:w="137" w:type="pct"/>
            <w:gridSpan w:val="2"/>
            <w:shd w:val="clear" w:color="auto" w:fill="auto"/>
            <w:vAlign w:val="center"/>
          </w:tcPr>
          <w:p w14:paraId="490AED8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61.0</w:t>
            </w:r>
          </w:p>
        </w:tc>
        <w:tc>
          <w:tcPr>
            <w:tcW w:w="137" w:type="pct"/>
            <w:gridSpan w:val="2"/>
            <w:shd w:val="clear" w:color="auto" w:fill="auto"/>
            <w:vAlign w:val="center"/>
          </w:tcPr>
          <w:p w14:paraId="43B95EB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57.0</w:t>
            </w:r>
          </w:p>
        </w:tc>
        <w:tc>
          <w:tcPr>
            <w:tcW w:w="137" w:type="pct"/>
            <w:gridSpan w:val="2"/>
            <w:shd w:val="clear" w:color="auto" w:fill="auto"/>
            <w:vAlign w:val="center"/>
          </w:tcPr>
          <w:p w14:paraId="32382F3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61.7</w:t>
            </w:r>
          </w:p>
        </w:tc>
        <w:tc>
          <w:tcPr>
            <w:tcW w:w="139" w:type="pct"/>
            <w:gridSpan w:val="2"/>
            <w:shd w:val="clear" w:color="auto" w:fill="auto"/>
            <w:vAlign w:val="center"/>
          </w:tcPr>
          <w:p w14:paraId="26AD97F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57.8</w:t>
            </w:r>
          </w:p>
        </w:tc>
        <w:tc>
          <w:tcPr>
            <w:tcW w:w="137" w:type="pct"/>
            <w:gridSpan w:val="2"/>
            <w:shd w:val="clear" w:color="auto" w:fill="auto"/>
            <w:vAlign w:val="center"/>
          </w:tcPr>
          <w:p w14:paraId="77B5FFF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62.4</w:t>
            </w:r>
          </w:p>
        </w:tc>
        <w:tc>
          <w:tcPr>
            <w:tcW w:w="139" w:type="pct"/>
            <w:gridSpan w:val="2"/>
            <w:shd w:val="clear" w:color="auto" w:fill="auto"/>
            <w:vAlign w:val="center"/>
          </w:tcPr>
          <w:p w14:paraId="697A4F2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58.5</w:t>
            </w:r>
          </w:p>
        </w:tc>
        <w:tc>
          <w:tcPr>
            <w:tcW w:w="137" w:type="pct"/>
            <w:gridSpan w:val="2"/>
            <w:shd w:val="clear" w:color="auto" w:fill="auto"/>
            <w:vAlign w:val="center"/>
          </w:tcPr>
          <w:p w14:paraId="35A3EAE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8" w:type="pct"/>
            <w:gridSpan w:val="2"/>
            <w:shd w:val="clear" w:color="auto" w:fill="auto"/>
            <w:vAlign w:val="center"/>
          </w:tcPr>
          <w:p w14:paraId="57C8CA8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2.0</w:t>
            </w:r>
          </w:p>
        </w:tc>
        <w:tc>
          <w:tcPr>
            <w:tcW w:w="137" w:type="pct"/>
            <w:gridSpan w:val="2"/>
            <w:shd w:val="clear" w:color="auto" w:fill="auto"/>
            <w:vAlign w:val="center"/>
          </w:tcPr>
          <w:p w14:paraId="4B1C264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gridSpan w:val="2"/>
            <w:shd w:val="clear" w:color="auto" w:fill="auto"/>
            <w:vAlign w:val="center"/>
          </w:tcPr>
          <w:p w14:paraId="40A4B85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2.8</w:t>
            </w:r>
          </w:p>
        </w:tc>
        <w:tc>
          <w:tcPr>
            <w:tcW w:w="137" w:type="pct"/>
            <w:gridSpan w:val="2"/>
            <w:shd w:val="clear" w:color="auto" w:fill="auto"/>
            <w:vAlign w:val="center"/>
          </w:tcPr>
          <w:p w14:paraId="6E3E359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gridSpan w:val="2"/>
            <w:shd w:val="clear" w:color="auto" w:fill="auto"/>
            <w:vAlign w:val="center"/>
          </w:tcPr>
          <w:p w14:paraId="7EE723B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3.5</w:t>
            </w:r>
          </w:p>
        </w:tc>
        <w:tc>
          <w:tcPr>
            <w:tcW w:w="137" w:type="pct"/>
            <w:gridSpan w:val="2"/>
            <w:shd w:val="clear" w:color="auto" w:fill="auto"/>
            <w:vAlign w:val="center"/>
          </w:tcPr>
          <w:p w14:paraId="6211D61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15.5</w:t>
            </w:r>
          </w:p>
        </w:tc>
        <w:tc>
          <w:tcPr>
            <w:tcW w:w="139" w:type="pct"/>
            <w:gridSpan w:val="2"/>
            <w:shd w:val="clear" w:color="auto" w:fill="auto"/>
            <w:vAlign w:val="center"/>
          </w:tcPr>
          <w:p w14:paraId="06A300F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19.5</w:t>
            </w:r>
          </w:p>
        </w:tc>
        <w:tc>
          <w:tcPr>
            <w:tcW w:w="137" w:type="pct"/>
            <w:gridSpan w:val="2"/>
            <w:shd w:val="clear" w:color="auto" w:fill="auto"/>
            <w:vAlign w:val="center"/>
          </w:tcPr>
          <w:p w14:paraId="650ADB8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16.2</w:t>
            </w:r>
          </w:p>
        </w:tc>
        <w:tc>
          <w:tcPr>
            <w:tcW w:w="138" w:type="pct"/>
            <w:gridSpan w:val="2"/>
            <w:shd w:val="clear" w:color="auto" w:fill="auto"/>
            <w:vAlign w:val="center"/>
          </w:tcPr>
          <w:p w14:paraId="2714A10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20.3</w:t>
            </w:r>
          </w:p>
        </w:tc>
        <w:tc>
          <w:tcPr>
            <w:tcW w:w="137" w:type="pct"/>
            <w:gridSpan w:val="2"/>
            <w:shd w:val="clear" w:color="auto" w:fill="auto"/>
            <w:vAlign w:val="center"/>
          </w:tcPr>
          <w:p w14:paraId="4F27762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16.9</w:t>
            </w:r>
          </w:p>
        </w:tc>
        <w:tc>
          <w:tcPr>
            <w:tcW w:w="139" w:type="pct"/>
            <w:gridSpan w:val="2"/>
            <w:shd w:val="clear" w:color="auto" w:fill="auto"/>
            <w:vAlign w:val="center"/>
          </w:tcPr>
          <w:p w14:paraId="20085D9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21.0</w:t>
            </w:r>
          </w:p>
        </w:tc>
        <w:tc>
          <w:tcPr>
            <w:tcW w:w="157" w:type="pct"/>
            <w:gridSpan w:val="2"/>
            <w:shd w:val="clear" w:color="auto" w:fill="auto"/>
            <w:vAlign w:val="center"/>
          </w:tcPr>
          <w:p w14:paraId="6ED3087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4a类</w:t>
            </w:r>
          </w:p>
        </w:tc>
        <w:tc>
          <w:tcPr>
            <w:tcW w:w="134" w:type="pct"/>
            <w:gridSpan w:val="2"/>
            <w:vMerge w:val="restart"/>
            <w:shd w:val="clear" w:color="auto" w:fill="auto"/>
            <w:vAlign w:val="center"/>
          </w:tcPr>
          <w:p w14:paraId="3505819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45.5</w:t>
            </w:r>
          </w:p>
        </w:tc>
        <w:tc>
          <w:tcPr>
            <w:tcW w:w="134" w:type="pct"/>
            <w:gridSpan w:val="2"/>
            <w:vMerge w:val="restart"/>
            <w:shd w:val="clear" w:color="auto" w:fill="auto"/>
            <w:vAlign w:val="center"/>
          </w:tcPr>
          <w:p w14:paraId="51F0F6D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37.5</w:t>
            </w:r>
          </w:p>
        </w:tc>
      </w:tr>
      <w:tr w14:paraId="30222ABD">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7" w:type="pct"/>
            <w:vMerge w:val="continue"/>
            <w:vAlign w:val="center"/>
          </w:tcPr>
          <w:p w14:paraId="1D358698">
            <w:pPr>
              <w:widowControl/>
              <w:jc w:val="center"/>
              <w:rPr>
                <w:rFonts w:ascii="Times New Roman" w:hAnsi="Times New Roman" w:eastAsia="宋体" w:cs="Times New Roman"/>
                <w:kern w:val="0"/>
                <w:szCs w:val="21"/>
              </w:rPr>
            </w:pPr>
          </w:p>
        </w:tc>
        <w:tc>
          <w:tcPr>
            <w:tcW w:w="319" w:type="pct"/>
            <w:vMerge w:val="continue"/>
            <w:vAlign w:val="center"/>
          </w:tcPr>
          <w:p w14:paraId="539078B2">
            <w:pPr>
              <w:widowControl/>
              <w:jc w:val="center"/>
              <w:rPr>
                <w:rFonts w:ascii="Times New Roman" w:hAnsi="Times New Roman" w:eastAsia="宋体" w:cs="Times New Roman"/>
                <w:kern w:val="0"/>
                <w:szCs w:val="21"/>
              </w:rPr>
            </w:pPr>
          </w:p>
        </w:tc>
        <w:tc>
          <w:tcPr>
            <w:tcW w:w="145" w:type="pct"/>
            <w:vMerge w:val="continue"/>
            <w:vAlign w:val="center"/>
          </w:tcPr>
          <w:p w14:paraId="372EC234">
            <w:pPr>
              <w:widowControl/>
              <w:jc w:val="center"/>
              <w:rPr>
                <w:rFonts w:ascii="Times New Roman" w:hAnsi="Times New Roman" w:eastAsia="宋体" w:cs="Times New Roman"/>
                <w:kern w:val="0"/>
                <w:szCs w:val="21"/>
              </w:rPr>
            </w:pPr>
          </w:p>
        </w:tc>
        <w:tc>
          <w:tcPr>
            <w:tcW w:w="188" w:type="pct"/>
            <w:shd w:val="clear" w:color="auto" w:fill="auto"/>
            <w:noWrap/>
            <w:vAlign w:val="center"/>
          </w:tcPr>
          <w:p w14:paraId="40ED708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w:t>
            </w:r>
          </w:p>
        </w:tc>
        <w:tc>
          <w:tcPr>
            <w:tcW w:w="131" w:type="pct"/>
            <w:vMerge w:val="continue"/>
            <w:vAlign w:val="center"/>
          </w:tcPr>
          <w:p w14:paraId="431F42B6">
            <w:pPr>
              <w:widowControl/>
              <w:jc w:val="center"/>
              <w:rPr>
                <w:rFonts w:ascii="Times New Roman" w:hAnsi="Times New Roman" w:eastAsia="宋体" w:cs="Times New Roman"/>
                <w:kern w:val="0"/>
                <w:szCs w:val="21"/>
              </w:rPr>
            </w:pPr>
          </w:p>
        </w:tc>
        <w:tc>
          <w:tcPr>
            <w:tcW w:w="232" w:type="pct"/>
            <w:vMerge w:val="continue"/>
            <w:vAlign w:val="center"/>
          </w:tcPr>
          <w:p w14:paraId="6DFA3373">
            <w:pPr>
              <w:widowControl/>
              <w:jc w:val="center"/>
              <w:rPr>
                <w:rFonts w:ascii="Times New Roman" w:hAnsi="Times New Roman" w:eastAsia="宋体" w:cs="Times New Roman"/>
                <w:kern w:val="0"/>
                <w:szCs w:val="21"/>
              </w:rPr>
            </w:pPr>
          </w:p>
        </w:tc>
        <w:tc>
          <w:tcPr>
            <w:tcW w:w="147" w:type="pct"/>
            <w:vMerge w:val="continue"/>
            <w:vAlign w:val="center"/>
          </w:tcPr>
          <w:p w14:paraId="5216BB5C">
            <w:pPr>
              <w:widowControl/>
              <w:jc w:val="center"/>
              <w:rPr>
                <w:rFonts w:ascii="Times New Roman" w:hAnsi="Times New Roman" w:eastAsia="宋体" w:cs="Times New Roman"/>
                <w:kern w:val="0"/>
                <w:szCs w:val="21"/>
              </w:rPr>
            </w:pPr>
          </w:p>
        </w:tc>
        <w:tc>
          <w:tcPr>
            <w:tcW w:w="137" w:type="pct"/>
            <w:shd w:val="clear" w:color="auto" w:fill="auto"/>
            <w:vAlign w:val="center"/>
          </w:tcPr>
          <w:p w14:paraId="0CC20C6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56.0</w:t>
            </w:r>
          </w:p>
        </w:tc>
        <w:tc>
          <w:tcPr>
            <w:tcW w:w="137" w:type="pct"/>
            <w:shd w:val="clear" w:color="auto" w:fill="auto"/>
            <w:vAlign w:val="center"/>
          </w:tcPr>
          <w:p w14:paraId="6B771C9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52.1</w:t>
            </w:r>
          </w:p>
        </w:tc>
        <w:tc>
          <w:tcPr>
            <w:tcW w:w="137" w:type="pct"/>
            <w:gridSpan w:val="2"/>
            <w:shd w:val="clear" w:color="auto" w:fill="auto"/>
            <w:vAlign w:val="center"/>
          </w:tcPr>
          <w:p w14:paraId="4891A30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56.8</w:t>
            </w:r>
          </w:p>
        </w:tc>
        <w:tc>
          <w:tcPr>
            <w:tcW w:w="137" w:type="pct"/>
            <w:gridSpan w:val="2"/>
            <w:shd w:val="clear" w:color="auto" w:fill="auto"/>
            <w:vAlign w:val="center"/>
          </w:tcPr>
          <w:p w14:paraId="6139F0A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52.9</w:t>
            </w:r>
          </w:p>
        </w:tc>
        <w:tc>
          <w:tcPr>
            <w:tcW w:w="137" w:type="pct"/>
            <w:gridSpan w:val="2"/>
            <w:shd w:val="clear" w:color="auto" w:fill="auto"/>
            <w:vAlign w:val="center"/>
          </w:tcPr>
          <w:p w14:paraId="0F53BBC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57.5</w:t>
            </w:r>
          </w:p>
        </w:tc>
        <w:tc>
          <w:tcPr>
            <w:tcW w:w="139" w:type="pct"/>
            <w:gridSpan w:val="2"/>
            <w:shd w:val="clear" w:color="auto" w:fill="auto"/>
            <w:vAlign w:val="center"/>
          </w:tcPr>
          <w:p w14:paraId="7043281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53.6</w:t>
            </w:r>
          </w:p>
        </w:tc>
        <w:tc>
          <w:tcPr>
            <w:tcW w:w="137" w:type="pct"/>
            <w:gridSpan w:val="2"/>
            <w:shd w:val="clear" w:color="auto" w:fill="auto"/>
            <w:vAlign w:val="center"/>
          </w:tcPr>
          <w:p w14:paraId="672D624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56.4</w:t>
            </w:r>
          </w:p>
        </w:tc>
        <w:tc>
          <w:tcPr>
            <w:tcW w:w="137" w:type="pct"/>
            <w:gridSpan w:val="2"/>
            <w:shd w:val="clear" w:color="auto" w:fill="auto"/>
            <w:vAlign w:val="center"/>
          </w:tcPr>
          <w:p w14:paraId="455D4CA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52.3</w:t>
            </w:r>
          </w:p>
        </w:tc>
        <w:tc>
          <w:tcPr>
            <w:tcW w:w="137" w:type="pct"/>
            <w:gridSpan w:val="2"/>
            <w:shd w:val="clear" w:color="auto" w:fill="auto"/>
            <w:vAlign w:val="center"/>
          </w:tcPr>
          <w:p w14:paraId="24BDE78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57.1</w:t>
            </w:r>
          </w:p>
        </w:tc>
        <w:tc>
          <w:tcPr>
            <w:tcW w:w="139" w:type="pct"/>
            <w:gridSpan w:val="2"/>
            <w:shd w:val="clear" w:color="auto" w:fill="auto"/>
            <w:vAlign w:val="center"/>
          </w:tcPr>
          <w:p w14:paraId="519469A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53.0</w:t>
            </w:r>
          </w:p>
        </w:tc>
        <w:tc>
          <w:tcPr>
            <w:tcW w:w="137" w:type="pct"/>
            <w:gridSpan w:val="2"/>
            <w:shd w:val="clear" w:color="auto" w:fill="auto"/>
            <w:vAlign w:val="center"/>
          </w:tcPr>
          <w:p w14:paraId="310201F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57.8</w:t>
            </w:r>
          </w:p>
        </w:tc>
        <w:tc>
          <w:tcPr>
            <w:tcW w:w="139" w:type="pct"/>
            <w:gridSpan w:val="2"/>
            <w:shd w:val="clear" w:color="auto" w:fill="auto"/>
            <w:vAlign w:val="center"/>
          </w:tcPr>
          <w:p w14:paraId="453CDC0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53.7</w:t>
            </w:r>
          </w:p>
        </w:tc>
        <w:tc>
          <w:tcPr>
            <w:tcW w:w="137" w:type="pct"/>
            <w:gridSpan w:val="2"/>
            <w:shd w:val="clear" w:color="auto" w:fill="auto"/>
            <w:vAlign w:val="center"/>
          </w:tcPr>
          <w:p w14:paraId="5BE0D62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8" w:type="pct"/>
            <w:gridSpan w:val="2"/>
            <w:shd w:val="clear" w:color="auto" w:fill="auto"/>
            <w:vAlign w:val="center"/>
          </w:tcPr>
          <w:p w14:paraId="58058DC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2.3</w:t>
            </w:r>
          </w:p>
        </w:tc>
        <w:tc>
          <w:tcPr>
            <w:tcW w:w="137" w:type="pct"/>
            <w:gridSpan w:val="2"/>
            <w:shd w:val="clear" w:color="auto" w:fill="auto"/>
            <w:vAlign w:val="center"/>
          </w:tcPr>
          <w:p w14:paraId="7EB37E8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gridSpan w:val="2"/>
            <w:shd w:val="clear" w:color="auto" w:fill="auto"/>
            <w:vAlign w:val="center"/>
          </w:tcPr>
          <w:p w14:paraId="1210AB0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3.0</w:t>
            </w:r>
          </w:p>
        </w:tc>
        <w:tc>
          <w:tcPr>
            <w:tcW w:w="137" w:type="pct"/>
            <w:gridSpan w:val="2"/>
            <w:shd w:val="clear" w:color="auto" w:fill="auto"/>
            <w:vAlign w:val="center"/>
          </w:tcPr>
          <w:p w14:paraId="727C9BE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gridSpan w:val="2"/>
            <w:shd w:val="clear" w:color="auto" w:fill="auto"/>
            <w:vAlign w:val="center"/>
          </w:tcPr>
          <w:p w14:paraId="5885AFA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w:t>
            </w:r>
          </w:p>
        </w:tc>
        <w:tc>
          <w:tcPr>
            <w:tcW w:w="137" w:type="pct"/>
            <w:gridSpan w:val="2"/>
            <w:shd w:val="clear" w:color="auto" w:fill="auto"/>
            <w:vAlign w:val="center"/>
          </w:tcPr>
          <w:p w14:paraId="6B85BD0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10.9</w:t>
            </w:r>
          </w:p>
        </w:tc>
        <w:tc>
          <w:tcPr>
            <w:tcW w:w="139" w:type="pct"/>
            <w:gridSpan w:val="2"/>
            <w:shd w:val="clear" w:color="auto" w:fill="auto"/>
            <w:vAlign w:val="center"/>
          </w:tcPr>
          <w:p w14:paraId="6E9D7F4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14.8</w:t>
            </w:r>
          </w:p>
        </w:tc>
        <w:tc>
          <w:tcPr>
            <w:tcW w:w="137" w:type="pct"/>
            <w:gridSpan w:val="2"/>
            <w:shd w:val="clear" w:color="auto" w:fill="auto"/>
            <w:vAlign w:val="center"/>
          </w:tcPr>
          <w:p w14:paraId="72CFDCE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11.6</w:t>
            </w:r>
          </w:p>
        </w:tc>
        <w:tc>
          <w:tcPr>
            <w:tcW w:w="138" w:type="pct"/>
            <w:gridSpan w:val="2"/>
            <w:shd w:val="clear" w:color="auto" w:fill="auto"/>
            <w:vAlign w:val="center"/>
          </w:tcPr>
          <w:p w14:paraId="35F1911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15.5</w:t>
            </w:r>
          </w:p>
        </w:tc>
        <w:tc>
          <w:tcPr>
            <w:tcW w:w="137" w:type="pct"/>
            <w:gridSpan w:val="2"/>
            <w:shd w:val="clear" w:color="auto" w:fill="auto"/>
            <w:vAlign w:val="center"/>
          </w:tcPr>
          <w:p w14:paraId="2EE8152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12.3</w:t>
            </w:r>
          </w:p>
        </w:tc>
        <w:tc>
          <w:tcPr>
            <w:tcW w:w="139" w:type="pct"/>
            <w:gridSpan w:val="2"/>
            <w:shd w:val="clear" w:color="auto" w:fill="auto"/>
            <w:vAlign w:val="center"/>
          </w:tcPr>
          <w:p w14:paraId="3273C40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16.2</w:t>
            </w:r>
          </w:p>
        </w:tc>
        <w:tc>
          <w:tcPr>
            <w:tcW w:w="157" w:type="pct"/>
            <w:gridSpan w:val="2"/>
            <w:shd w:val="clear" w:color="auto" w:fill="auto"/>
            <w:vAlign w:val="center"/>
          </w:tcPr>
          <w:p w14:paraId="44F7547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2类</w:t>
            </w:r>
          </w:p>
        </w:tc>
        <w:tc>
          <w:tcPr>
            <w:tcW w:w="134" w:type="pct"/>
            <w:gridSpan w:val="2"/>
            <w:vMerge w:val="continue"/>
            <w:vAlign w:val="center"/>
          </w:tcPr>
          <w:p w14:paraId="3A706BCB">
            <w:pPr>
              <w:widowControl/>
              <w:jc w:val="center"/>
              <w:rPr>
                <w:rFonts w:ascii="Times New Roman" w:hAnsi="Times New Roman" w:eastAsia="宋体" w:cs="Times New Roman"/>
                <w:kern w:val="0"/>
                <w:szCs w:val="21"/>
              </w:rPr>
            </w:pPr>
          </w:p>
        </w:tc>
        <w:tc>
          <w:tcPr>
            <w:tcW w:w="134" w:type="pct"/>
            <w:gridSpan w:val="2"/>
            <w:vMerge w:val="continue"/>
            <w:vAlign w:val="center"/>
          </w:tcPr>
          <w:p w14:paraId="1E842F87">
            <w:pPr>
              <w:widowControl/>
              <w:jc w:val="center"/>
              <w:rPr>
                <w:rFonts w:ascii="Times New Roman" w:hAnsi="Times New Roman" w:eastAsia="宋体" w:cs="Times New Roman"/>
                <w:kern w:val="0"/>
                <w:szCs w:val="21"/>
              </w:rPr>
            </w:pPr>
          </w:p>
        </w:tc>
      </w:tr>
      <w:tr w14:paraId="29FB0B8D">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7" w:type="pct"/>
            <w:vMerge w:val="restart"/>
            <w:shd w:val="clear" w:color="auto" w:fill="auto"/>
            <w:vAlign w:val="center"/>
          </w:tcPr>
          <w:p w14:paraId="5F50800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28</w:t>
            </w:r>
          </w:p>
        </w:tc>
        <w:tc>
          <w:tcPr>
            <w:tcW w:w="319" w:type="pct"/>
            <w:vMerge w:val="restart"/>
            <w:shd w:val="clear" w:color="auto" w:fill="auto"/>
            <w:vAlign w:val="center"/>
          </w:tcPr>
          <w:p w14:paraId="48C31B9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阿亚格乔拉克村</w:t>
            </w:r>
          </w:p>
        </w:tc>
        <w:tc>
          <w:tcPr>
            <w:tcW w:w="145" w:type="pct"/>
            <w:vMerge w:val="restart"/>
            <w:shd w:val="clear" w:color="auto" w:fill="auto"/>
            <w:vAlign w:val="center"/>
          </w:tcPr>
          <w:p w14:paraId="4E2989E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两侧</w:t>
            </w:r>
          </w:p>
        </w:tc>
        <w:tc>
          <w:tcPr>
            <w:tcW w:w="188" w:type="pct"/>
            <w:shd w:val="clear" w:color="auto" w:fill="auto"/>
            <w:noWrap/>
            <w:vAlign w:val="center"/>
          </w:tcPr>
          <w:p w14:paraId="55C1283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25</w:t>
            </w:r>
          </w:p>
        </w:tc>
        <w:tc>
          <w:tcPr>
            <w:tcW w:w="131" w:type="pct"/>
            <w:vMerge w:val="restart"/>
            <w:shd w:val="clear" w:color="auto" w:fill="auto"/>
            <w:vAlign w:val="center"/>
          </w:tcPr>
          <w:p w14:paraId="0CD9C83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w:t>
            </w:r>
          </w:p>
        </w:tc>
        <w:tc>
          <w:tcPr>
            <w:tcW w:w="232" w:type="pct"/>
            <w:vMerge w:val="restart"/>
            <w:shd w:val="clear" w:color="auto" w:fill="auto"/>
            <w:vAlign w:val="center"/>
          </w:tcPr>
          <w:p w14:paraId="524375D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0</w:t>
            </w:r>
          </w:p>
        </w:tc>
        <w:tc>
          <w:tcPr>
            <w:tcW w:w="147" w:type="pct"/>
            <w:vMerge w:val="restart"/>
            <w:shd w:val="clear" w:color="auto" w:fill="auto"/>
            <w:vAlign w:val="center"/>
          </w:tcPr>
          <w:p w14:paraId="65B9B36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1层</w:t>
            </w:r>
          </w:p>
        </w:tc>
        <w:tc>
          <w:tcPr>
            <w:tcW w:w="137" w:type="pct"/>
            <w:shd w:val="clear" w:color="auto" w:fill="auto"/>
            <w:vAlign w:val="center"/>
          </w:tcPr>
          <w:p w14:paraId="7032D7D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60.9</w:t>
            </w:r>
          </w:p>
        </w:tc>
        <w:tc>
          <w:tcPr>
            <w:tcW w:w="137" w:type="pct"/>
            <w:shd w:val="clear" w:color="auto" w:fill="auto"/>
            <w:vAlign w:val="center"/>
          </w:tcPr>
          <w:p w14:paraId="2138D90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57.0</w:t>
            </w:r>
          </w:p>
        </w:tc>
        <w:tc>
          <w:tcPr>
            <w:tcW w:w="137" w:type="pct"/>
            <w:gridSpan w:val="2"/>
            <w:shd w:val="clear" w:color="auto" w:fill="auto"/>
            <w:vAlign w:val="center"/>
          </w:tcPr>
          <w:p w14:paraId="5EE88B3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61.7</w:t>
            </w:r>
          </w:p>
        </w:tc>
        <w:tc>
          <w:tcPr>
            <w:tcW w:w="137" w:type="pct"/>
            <w:gridSpan w:val="2"/>
            <w:shd w:val="clear" w:color="auto" w:fill="auto"/>
            <w:vAlign w:val="center"/>
          </w:tcPr>
          <w:p w14:paraId="5B04BEB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57.8</w:t>
            </w:r>
          </w:p>
        </w:tc>
        <w:tc>
          <w:tcPr>
            <w:tcW w:w="137" w:type="pct"/>
            <w:gridSpan w:val="2"/>
            <w:shd w:val="clear" w:color="auto" w:fill="auto"/>
            <w:vAlign w:val="center"/>
          </w:tcPr>
          <w:p w14:paraId="20DEDE7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62.4</w:t>
            </w:r>
          </w:p>
        </w:tc>
        <w:tc>
          <w:tcPr>
            <w:tcW w:w="139" w:type="pct"/>
            <w:gridSpan w:val="2"/>
            <w:shd w:val="clear" w:color="auto" w:fill="auto"/>
            <w:vAlign w:val="center"/>
          </w:tcPr>
          <w:p w14:paraId="36C5083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58.5</w:t>
            </w:r>
          </w:p>
        </w:tc>
        <w:tc>
          <w:tcPr>
            <w:tcW w:w="137" w:type="pct"/>
            <w:gridSpan w:val="2"/>
            <w:shd w:val="clear" w:color="auto" w:fill="auto"/>
            <w:vAlign w:val="center"/>
          </w:tcPr>
          <w:p w14:paraId="04B8D87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61.0</w:t>
            </w:r>
          </w:p>
        </w:tc>
        <w:tc>
          <w:tcPr>
            <w:tcW w:w="137" w:type="pct"/>
            <w:gridSpan w:val="2"/>
            <w:shd w:val="clear" w:color="auto" w:fill="auto"/>
            <w:vAlign w:val="center"/>
          </w:tcPr>
          <w:p w14:paraId="7545F0D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57.1</w:t>
            </w:r>
          </w:p>
        </w:tc>
        <w:tc>
          <w:tcPr>
            <w:tcW w:w="137" w:type="pct"/>
            <w:gridSpan w:val="2"/>
            <w:shd w:val="clear" w:color="auto" w:fill="auto"/>
            <w:vAlign w:val="center"/>
          </w:tcPr>
          <w:p w14:paraId="3942BF1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61.8</w:t>
            </w:r>
          </w:p>
        </w:tc>
        <w:tc>
          <w:tcPr>
            <w:tcW w:w="139" w:type="pct"/>
            <w:gridSpan w:val="2"/>
            <w:shd w:val="clear" w:color="auto" w:fill="auto"/>
            <w:vAlign w:val="center"/>
          </w:tcPr>
          <w:p w14:paraId="38A29E0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57.8</w:t>
            </w:r>
          </w:p>
        </w:tc>
        <w:tc>
          <w:tcPr>
            <w:tcW w:w="137" w:type="pct"/>
            <w:gridSpan w:val="2"/>
            <w:shd w:val="clear" w:color="auto" w:fill="auto"/>
            <w:vAlign w:val="center"/>
          </w:tcPr>
          <w:p w14:paraId="726B29C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62.5</w:t>
            </w:r>
          </w:p>
        </w:tc>
        <w:tc>
          <w:tcPr>
            <w:tcW w:w="139" w:type="pct"/>
            <w:gridSpan w:val="2"/>
            <w:shd w:val="clear" w:color="auto" w:fill="auto"/>
            <w:vAlign w:val="center"/>
          </w:tcPr>
          <w:p w14:paraId="611FAE7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58.6</w:t>
            </w:r>
          </w:p>
        </w:tc>
        <w:tc>
          <w:tcPr>
            <w:tcW w:w="137" w:type="pct"/>
            <w:gridSpan w:val="2"/>
            <w:shd w:val="clear" w:color="auto" w:fill="auto"/>
            <w:vAlign w:val="center"/>
          </w:tcPr>
          <w:p w14:paraId="7C02E2D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8" w:type="pct"/>
            <w:gridSpan w:val="2"/>
            <w:shd w:val="clear" w:color="auto" w:fill="auto"/>
            <w:vAlign w:val="center"/>
          </w:tcPr>
          <w:p w14:paraId="7BE16C4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2.1</w:t>
            </w:r>
          </w:p>
        </w:tc>
        <w:tc>
          <w:tcPr>
            <w:tcW w:w="137" w:type="pct"/>
            <w:gridSpan w:val="2"/>
            <w:shd w:val="clear" w:color="auto" w:fill="auto"/>
            <w:vAlign w:val="center"/>
          </w:tcPr>
          <w:p w14:paraId="07170DE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gridSpan w:val="2"/>
            <w:shd w:val="clear" w:color="auto" w:fill="auto"/>
            <w:vAlign w:val="center"/>
          </w:tcPr>
          <w:p w14:paraId="3F2A5E3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2.8</w:t>
            </w:r>
          </w:p>
        </w:tc>
        <w:tc>
          <w:tcPr>
            <w:tcW w:w="137" w:type="pct"/>
            <w:gridSpan w:val="2"/>
            <w:shd w:val="clear" w:color="auto" w:fill="auto"/>
            <w:vAlign w:val="center"/>
          </w:tcPr>
          <w:p w14:paraId="599E354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gridSpan w:val="2"/>
            <w:shd w:val="clear" w:color="auto" w:fill="auto"/>
            <w:vAlign w:val="center"/>
          </w:tcPr>
          <w:p w14:paraId="09C953D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3.6</w:t>
            </w:r>
          </w:p>
        </w:tc>
        <w:tc>
          <w:tcPr>
            <w:tcW w:w="137" w:type="pct"/>
            <w:gridSpan w:val="2"/>
            <w:shd w:val="clear" w:color="auto" w:fill="auto"/>
            <w:vAlign w:val="center"/>
          </w:tcPr>
          <w:p w14:paraId="7C048DC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16.0</w:t>
            </w:r>
          </w:p>
        </w:tc>
        <w:tc>
          <w:tcPr>
            <w:tcW w:w="139" w:type="pct"/>
            <w:gridSpan w:val="2"/>
            <w:shd w:val="clear" w:color="auto" w:fill="auto"/>
            <w:vAlign w:val="center"/>
          </w:tcPr>
          <w:p w14:paraId="7CD6B96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19.6</w:t>
            </w:r>
          </w:p>
        </w:tc>
        <w:tc>
          <w:tcPr>
            <w:tcW w:w="137" w:type="pct"/>
            <w:gridSpan w:val="2"/>
            <w:shd w:val="clear" w:color="auto" w:fill="auto"/>
            <w:vAlign w:val="center"/>
          </w:tcPr>
          <w:p w14:paraId="735C624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16.8</w:t>
            </w:r>
          </w:p>
        </w:tc>
        <w:tc>
          <w:tcPr>
            <w:tcW w:w="138" w:type="pct"/>
            <w:gridSpan w:val="2"/>
            <w:shd w:val="clear" w:color="auto" w:fill="auto"/>
            <w:vAlign w:val="center"/>
          </w:tcPr>
          <w:p w14:paraId="1E814A7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20.3</w:t>
            </w:r>
          </w:p>
        </w:tc>
        <w:tc>
          <w:tcPr>
            <w:tcW w:w="137" w:type="pct"/>
            <w:gridSpan w:val="2"/>
            <w:shd w:val="clear" w:color="auto" w:fill="auto"/>
            <w:vAlign w:val="center"/>
          </w:tcPr>
          <w:p w14:paraId="098B09F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17.5</w:t>
            </w:r>
          </w:p>
        </w:tc>
        <w:tc>
          <w:tcPr>
            <w:tcW w:w="139" w:type="pct"/>
            <w:gridSpan w:val="2"/>
            <w:shd w:val="clear" w:color="auto" w:fill="auto"/>
            <w:vAlign w:val="center"/>
          </w:tcPr>
          <w:p w14:paraId="457A509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21.1</w:t>
            </w:r>
          </w:p>
        </w:tc>
        <w:tc>
          <w:tcPr>
            <w:tcW w:w="157" w:type="pct"/>
            <w:gridSpan w:val="2"/>
            <w:shd w:val="clear" w:color="auto" w:fill="auto"/>
            <w:vAlign w:val="center"/>
          </w:tcPr>
          <w:p w14:paraId="78844FC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4a类</w:t>
            </w:r>
          </w:p>
        </w:tc>
        <w:tc>
          <w:tcPr>
            <w:tcW w:w="134" w:type="pct"/>
            <w:gridSpan w:val="2"/>
            <w:vMerge w:val="restart"/>
            <w:shd w:val="clear" w:color="auto" w:fill="auto"/>
            <w:vAlign w:val="center"/>
          </w:tcPr>
          <w:p w14:paraId="66C9FD8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45.0</w:t>
            </w:r>
          </w:p>
        </w:tc>
        <w:tc>
          <w:tcPr>
            <w:tcW w:w="134" w:type="pct"/>
            <w:gridSpan w:val="2"/>
            <w:vMerge w:val="restart"/>
            <w:shd w:val="clear" w:color="auto" w:fill="auto"/>
            <w:vAlign w:val="center"/>
          </w:tcPr>
          <w:p w14:paraId="21AF276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37.5</w:t>
            </w:r>
          </w:p>
        </w:tc>
      </w:tr>
      <w:tr w14:paraId="79311F9D">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7" w:type="pct"/>
            <w:vMerge w:val="continue"/>
            <w:vAlign w:val="center"/>
          </w:tcPr>
          <w:p w14:paraId="32290B4C">
            <w:pPr>
              <w:widowControl/>
              <w:jc w:val="center"/>
              <w:rPr>
                <w:rFonts w:ascii="Times New Roman" w:hAnsi="Times New Roman" w:eastAsia="宋体" w:cs="Times New Roman"/>
                <w:kern w:val="0"/>
                <w:szCs w:val="21"/>
              </w:rPr>
            </w:pPr>
          </w:p>
        </w:tc>
        <w:tc>
          <w:tcPr>
            <w:tcW w:w="319" w:type="pct"/>
            <w:vMerge w:val="continue"/>
            <w:vAlign w:val="center"/>
          </w:tcPr>
          <w:p w14:paraId="4070E6D4">
            <w:pPr>
              <w:widowControl/>
              <w:jc w:val="center"/>
              <w:rPr>
                <w:rFonts w:ascii="Times New Roman" w:hAnsi="Times New Roman" w:eastAsia="宋体" w:cs="Times New Roman"/>
                <w:kern w:val="0"/>
                <w:szCs w:val="21"/>
              </w:rPr>
            </w:pPr>
          </w:p>
        </w:tc>
        <w:tc>
          <w:tcPr>
            <w:tcW w:w="145" w:type="pct"/>
            <w:vMerge w:val="continue"/>
            <w:vAlign w:val="center"/>
          </w:tcPr>
          <w:p w14:paraId="4275FEED">
            <w:pPr>
              <w:widowControl/>
              <w:jc w:val="center"/>
              <w:rPr>
                <w:rFonts w:ascii="Times New Roman" w:hAnsi="Times New Roman" w:eastAsia="宋体" w:cs="Times New Roman"/>
                <w:kern w:val="0"/>
                <w:szCs w:val="21"/>
              </w:rPr>
            </w:pPr>
          </w:p>
        </w:tc>
        <w:tc>
          <w:tcPr>
            <w:tcW w:w="188" w:type="pct"/>
            <w:shd w:val="clear" w:color="auto" w:fill="auto"/>
            <w:noWrap/>
            <w:vAlign w:val="center"/>
          </w:tcPr>
          <w:p w14:paraId="0F876B0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54</w:t>
            </w:r>
          </w:p>
        </w:tc>
        <w:tc>
          <w:tcPr>
            <w:tcW w:w="131" w:type="pct"/>
            <w:vMerge w:val="continue"/>
            <w:vAlign w:val="center"/>
          </w:tcPr>
          <w:p w14:paraId="2F167769">
            <w:pPr>
              <w:widowControl/>
              <w:jc w:val="center"/>
              <w:rPr>
                <w:rFonts w:ascii="Times New Roman" w:hAnsi="Times New Roman" w:eastAsia="宋体" w:cs="Times New Roman"/>
                <w:kern w:val="0"/>
                <w:szCs w:val="21"/>
              </w:rPr>
            </w:pPr>
          </w:p>
        </w:tc>
        <w:tc>
          <w:tcPr>
            <w:tcW w:w="232" w:type="pct"/>
            <w:vMerge w:val="continue"/>
            <w:vAlign w:val="center"/>
          </w:tcPr>
          <w:p w14:paraId="6017D479">
            <w:pPr>
              <w:widowControl/>
              <w:jc w:val="center"/>
              <w:rPr>
                <w:rFonts w:ascii="Times New Roman" w:hAnsi="Times New Roman" w:eastAsia="宋体" w:cs="Times New Roman"/>
                <w:kern w:val="0"/>
                <w:szCs w:val="21"/>
              </w:rPr>
            </w:pPr>
          </w:p>
        </w:tc>
        <w:tc>
          <w:tcPr>
            <w:tcW w:w="147" w:type="pct"/>
            <w:vMerge w:val="continue"/>
            <w:vAlign w:val="center"/>
          </w:tcPr>
          <w:p w14:paraId="74294631">
            <w:pPr>
              <w:widowControl/>
              <w:jc w:val="center"/>
              <w:rPr>
                <w:rFonts w:ascii="Times New Roman" w:hAnsi="Times New Roman" w:eastAsia="宋体" w:cs="Times New Roman"/>
                <w:kern w:val="0"/>
                <w:szCs w:val="21"/>
              </w:rPr>
            </w:pPr>
          </w:p>
        </w:tc>
        <w:tc>
          <w:tcPr>
            <w:tcW w:w="137" w:type="pct"/>
            <w:shd w:val="clear" w:color="auto" w:fill="auto"/>
            <w:vAlign w:val="center"/>
          </w:tcPr>
          <w:p w14:paraId="0F0B0E1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56.8</w:t>
            </w:r>
          </w:p>
        </w:tc>
        <w:tc>
          <w:tcPr>
            <w:tcW w:w="137" w:type="pct"/>
            <w:shd w:val="clear" w:color="auto" w:fill="auto"/>
            <w:vAlign w:val="center"/>
          </w:tcPr>
          <w:p w14:paraId="20C6649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52.9</w:t>
            </w:r>
          </w:p>
        </w:tc>
        <w:tc>
          <w:tcPr>
            <w:tcW w:w="137" w:type="pct"/>
            <w:gridSpan w:val="2"/>
            <w:shd w:val="clear" w:color="auto" w:fill="auto"/>
            <w:vAlign w:val="center"/>
          </w:tcPr>
          <w:p w14:paraId="56DA9F8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57.6</w:t>
            </w:r>
          </w:p>
        </w:tc>
        <w:tc>
          <w:tcPr>
            <w:tcW w:w="137" w:type="pct"/>
            <w:gridSpan w:val="2"/>
            <w:shd w:val="clear" w:color="auto" w:fill="auto"/>
            <w:vAlign w:val="center"/>
          </w:tcPr>
          <w:p w14:paraId="04AA95E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53.7</w:t>
            </w:r>
          </w:p>
        </w:tc>
        <w:tc>
          <w:tcPr>
            <w:tcW w:w="137" w:type="pct"/>
            <w:gridSpan w:val="2"/>
            <w:shd w:val="clear" w:color="auto" w:fill="auto"/>
            <w:vAlign w:val="center"/>
          </w:tcPr>
          <w:p w14:paraId="7CD8DD0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58.3</w:t>
            </w:r>
          </w:p>
        </w:tc>
        <w:tc>
          <w:tcPr>
            <w:tcW w:w="139" w:type="pct"/>
            <w:gridSpan w:val="2"/>
            <w:shd w:val="clear" w:color="auto" w:fill="auto"/>
            <w:vAlign w:val="center"/>
          </w:tcPr>
          <w:p w14:paraId="7FF0BA7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54.4</w:t>
            </w:r>
          </w:p>
        </w:tc>
        <w:tc>
          <w:tcPr>
            <w:tcW w:w="137" w:type="pct"/>
            <w:gridSpan w:val="2"/>
            <w:shd w:val="clear" w:color="auto" w:fill="auto"/>
            <w:vAlign w:val="center"/>
          </w:tcPr>
          <w:p w14:paraId="514BF11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57.1</w:t>
            </w:r>
          </w:p>
        </w:tc>
        <w:tc>
          <w:tcPr>
            <w:tcW w:w="137" w:type="pct"/>
            <w:gridSpan w:val="2"/>
            <w:shd w:val="clear" w:color="auto" w:fill="auto"/>
            <w:vAlign w:val="center"/>
          </w:tcPr>
          <w:p w14:paraId="5F6017C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53.0</w:t>
            </w:r>
          </w:p>
        </w:tc>
        <w:tc>
          <w:tcPr>
            <w:tcW w:w="137" w:type="pct"/>
            <w:gridSpan w:val="2"/>
            <w:shd w:val="clear" w:color="auto" w:fill="auto"/>
            <w:vAlign w:val="center"/>
          </w:tcPr>
          <w:p w14:paraId="48CE1C9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57.8</w:t>
            </w:r>
          </w:p>
        </w:tc>
        <w:tc>
          <w:tcPr>
            <w:tcW w:w="139" w:type="pct"/>
            <w:gridSpan w:val="2"/>
            <w:shd w:val="clear" w:color="auto" w:fill="auto"/>
            <w:vAlign w:val="center"/>
          </w:tcPr>
          <w:p w14:paraId="79DD968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53.8</w:t>
            </w:r>
          </w:p>
        </w:tc>
        <w:tc>
          <w:tcPr>
            <w:tcW w:w="137" w:type="pct"/>
            <w:gridSpan w:val="2"/>
            <w:shd w:val="clear" w:color="auto" w:fill="auto"/>
            <w:vAlign w:val="center"/>
          </w:tcPr>
          <w:p w14:paraId="4913535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58.5</w:t>
            </w:r>
          </w:p>
        </w:tc>
        <w:tc>
          <w:tcPr>
            <w:tcW w:w="139" w:type="pct"/>
            <w:gridSpan w:val="2"/>
            <w:shd w:val="clear" w:color="auto" w:fill="auto"/>
            <w:vAlign w:val="center"/>
          </w:tcPr>
          <w:p w14:paraId="7A87F2A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54.5</w:t>
            </w:r>
          </w:p>
        </w:tc>
        <w:tc>
          <w:tcPr>
            <w:tcW w:w="137" w:type="pct"/>
            <w:gridSpan w:val="2"/>
            <w:shd w:val="clear" w:color="auto" w:fill="auto"/>
            <w:vAlign w:val="center"/>
          </w:tcPr>
          <w:p w14:paraId="60F0F06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8" w:type="pct"/>
            <w:gridSpan w:val="2"/>
            <w:shd w:val="clear" w:color="auto" w:fill="auto"/>
            <w:vAlign w:val="center"/>
          </w:tcPr>
          <w:p w14:paraId="08E166D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3.0</w:t>
            </w:r>
          </w:p>
        </w:tc>
        <w:tc>
          <w:tcPr>
            <w:tcW w:w="137" w:type="pct"/>
            <w:gridSpan w:val="2"/>
            <w:shd w:val="clear" w:color="auto" w:fill="auto"/>
            <w:vAlign w:val="center"/>
          </w:tcPr>
          <w:p w14:paraId="3946A6A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gridSpan w:val="2"/>
            <w:shd w:val="clear" w:color="auto" w:fill="auto"/>
            <w:vAlign w:val="center"/>
          </w:tcPr>
          <w:p w14:paraId="07D4CB0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3.8</w:t>
            </w:r>
          </w:p>
        </w:tc>
        <w:tc>
          <w:tcPr>
            <w:tcW w:w="137" w:type="pct"/>
            <w:gridSpan w:val="2"/>
            <w:shd w:val="clear" w:color="auto" w:fill="auto"/>
            <w:vAlign w:val="center"/>
          </w:tcPr>
          <w:p w14:paraId="744EDF2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gridSpan w:val="2"/>
            <w:shd w:val="clear" w:color="auto" w:fill="auto"/>
            <w:vAlign w:val="center"/>
          </w:tcPr>
          <w:p w14:paraId="33F2A0F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4.5</w:t>
            </w:r>
          </w:p>
        </w:tc>
        <w:tc>
          <w:tcPr>
            <w:tcW w:w="137" w:type="pct"/>
            <w:gridSpan w:val="2"/>
            <w:shd w:val="clear" w:color="auto" w:fill="auto"/>
            <w:vAlign w:val="center"/>
          </w:tcPr>
          <w:p w14:paraId="77BF3AF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12.1</w:t>
            </w:r>
          </w:p>
        </w:tc>
        <w:tc>
          <w:tcPr>
            <w:tcW w:w="139" w:type="pct"/>
            <w:gridSpan w:val="2"/>
            <w:shd w:val="clear" w:color="auto" w:fill="auto"/>
            <w:vAlign w:val="center"/>
          </w:tcPr>
          <w:p w14:paraId="083CE44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15.5</w:t>
            </w:r>
          </w:p>
        </w:tc>
        <w:tc>
          <w:tcPr>
            <w:tcW w:w="137" w:type="pct"/>
            <w:gridSpan w:val="2"/>
            <w:shd w:val="clear" w:color="auto" w:fill="auto"/>
            <w:vAlign w:val="center"/>
          </w:tcPr>
          <w:p w14:paraId="6149E17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12.8</w:t>
            </w:r>
          </w:p>
        </w:tc>
        <w:tc>
          <w:tcPr>
            <w:tcW w:w="138" w:type="pct"/>
            <w:gridSpan w:val="2"/>
            <w:shd w:val="clear" w:color="auto" w:fill="auto"/>
            <w:vAlign w:val="center"/>
          </w:tcPr>
          <w:p w14:paraId="1E3D006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16.3</w:t>
            </w:r>
          </w:p>
        </w:tc>
        <w:tc>
          <w:tcPr>
            <w:tcW w:w="137" w:type="pct"/>
            <w:gridSpan w:val="2"/>
            <w:shd w:val="clear" w:color="auto" w:fill="auto"/>
            <w:vAlign w:val="center"/>
          </w:tcPr>
          <w:p w14:paraId="611AD53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13.5</w:t>
            </w:r>
          </w:p>
        </w:tc>
        <w:tc>
          <w:tcPr>
            <w:tcW w:w="139" w:type="pct"/>
            <w:gridSpan w:val="2"/>
            <w:shd w:val="clear" w:color="auto" w:fill="auto"/>
            <w:vAlign w:val="center"/>
          </w:tcPr>
          <w:p w14:paraId="26BA855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17.0</w:t>
            </w:r>
          </w:p>
        </w:tc>
        <w:tc>
          <w:tcPr>
            <w:tcW w:w="157" w:type="pct"/>
            <w:gridSpan w:val="2"/>
            <w:shd w:val="clear" w:color="auto" w:fill="auto"/>
            <w:vAlign w:val="center"/>
          </w:tcPr>
          <w:p w14:paraId="5072694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2类</w:t>
            </w:r>
          </w:p>
        </w:tc>
        <w:tc>
          <w:tcPr>
            <w:tcW w:w="134" w:type="pct"/>
            <w:gridSpan w:val="2"/>
            <w:vMerge w:val="continue"/>
            <w:vAlign w:val="center"/>
          </w:tcPr>
          <w:p w14:paraId="2B2061AE">
            <w:pPr>
              <w:widowControl/>
              <w:jc w:val="center"/>
              <w:rPr>
                <w:rFonts w:ascii="Times New Roman" w:hAnsi="Times New Roman" w:eastAsia="宋体" w:cs="Times New Roman"/>
                <w:kern w:val="0"/>
                <w:szCs w:val="21"/>
              </w:rPr>
            </w:pPr>
          </w:p>
        </w:tc>
        <w:tc>
          <w:tcPr>
            <w:tcW w:w="134" w:type="pct"/>
            <w:gridSpan w:val="2"/>
            <w:vMerge w:val="continue"/>
            <w:vAlign w:val="center"/>
          </w:tcPr>
          <w:p w14:paraId="7E81C823">
            <w:pPr>
              <w:widowControl/>
              <w:jc w:val="center"/>
              <w:rPr>
                <w:rFonts w:ascii="Times New Roman" w:hAnsi="Times New Roman" w:eastAsia="宋体" w:cs="Times New Roman"/>
                <w:kern w:val="0"/>
                <w:szCs w:val="21"/>
              </w:rPr>
            </w:pPr>
          </w:p>
        </w:tc>
      </w:tr>
      <w:tr w14:paraId="6928F1DD">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PrEx>
        <w:trPr>
          <w:jc w:val="center"/>
        </w:trPr>
        <w:tc>
          <w:tcPr>
            <w:tcW w:w="107" w:type="pct"/>
            <w:vMerge w:val="restart"/>
            <w:shd w:val="clear" w:color="auto" w:fill="auto"/>
            <w:vAlign w:val="center"/>
          </w:tcPr>
          <w:p w14:paraId="489B4D8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29</w:t>
            </w:r>
          </w:p>
        </w:tc>
        <w:tc>
          <w:tcPr>
            <w:tcW w:w="319" w:type="pct"/>
            <w:vMerge w:val="restart"/>
            <w:shd w:val="clear" w:color="auto" w:fill="auto"/>
            <w:vAlign w:val="center"/>
          </w:tcPr>
          <w:p w14:paraId="0E8B4A8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托万克阿帕霍加</w:t>
            </w:r>
          </w:p>
        </w:tc>
        <w:tc>
          <w:tcPr>
            <w:tcW w:w="145" w:type="pct"/>
            <w:vMerge w:val="restart"/>
            <w:shd w:val="clear" w:color="auto" w:fill="auto"/>
            <w:vAlign w:val="center"/>
          </w:tcPr>
          <w:p w14:paraId="06FDBEE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两侧</w:t>
            </w:r>
          </w:p>
        </w:tc>
        <w:tc>
          <w:tcPr>
            <w:tcW w:w="188" w:type="pct"/>
            <w:shd w:val="clear" w:color="auto" w:fill="auto"/>
            <w:noWrap/>
            <w:vAlign w:val="center"/>
          </w:tcPr>
          <w:p w14:paraId="25D9031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24</w:t>
            </w:r>
          </w:p>
        </w:tc>
        <w:tc>
          <w:tcPr>
            <w:tcW w:w="131" w:type="pct"/>
            <w:vMerge w:val="restart"/>
            <w:shd w:val="clear" w:color="auto" w:fill="auto"/>
            <w:vAlign w:val="center"/>
          </w:tcPr>
          <w:p w14:paraId="21819158">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w:t>
            </w:r>
          </w:p>
        </w:tc>
        <w:tc>
          <w:tcPr>
            <w:tcW w:w="232" w:type="pct"/>
            <w:vMerge w:val="restart"/>
            <w:shd w:val="clear" w:color="auto" w:fill="auto"/>
            <w:vAlign w:val="center"/>
          </w:tcPr>
          <w:p w14:paraId="3D7F2C5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0</w:t>
            </w:r>
          </w:p>
        </w:tc>
        <w:tc>
          <w:tcPr>
            <w:tcW w:w="147" w:type="pct"/>
            <w:vMerge w:val="restart"/>
            <w:shd w:val="clear" w:color="auto" w:fill="auto"/>
            <w:vAlign w:val="center"/>
          </w:tcPr>
          <w:p w14:paraId="5D7B0CA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1层</w:t>
            </w:r>
          </w:p>
        </w:tc>
        <w:tc>
          <w:tcPr>
            <w:tcW w:w="137" w:type="pct"/>
            <w:shd w:val="clear" w:color="auto" w:fill="auto"/>
            <w:vAlign w:val="center"/>
          </w:tcPr>
          <w:p w14:paraId="4C913F1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61.1</w:t>
            </w:r>
          </w:p>
        </w:tc>
        <w:tc>
          <w:tcPr>
            <w:tcW w:w="137" w:type="pct"/>
            <w:shd w:val="clear" w:color="auto" w:fill="auto"/>
            <w:vAlign w:val="center"/>
          </w:tcPr>
          <w:p w14:paraId="6719F6D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57.2</w:t>
            </w:r>
          </w:p>
        </w:tc>
        <w:tc>
          <w:tcPr>
            <w:tcW w:w="137" w:type="pct"/>
            <w:gridSpan w:val="2"/>
            <w:shd w:val="clear" w:color="auto" w:fill="auto"/>
            <w:vAlign w:val="center"/>
          </w:tcPr>
          <w:p w14:paraId="3826B72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61.9</w:t>
            </w:r>
          </w:p>
        </w:tc>
        <w:tc>
          <w:tcPr>
            <w:tcW w:w="137" w:type="pct"/>
            <w:gridSpan w:val="2"/>
            <w:shd w:val="clear" w:color="auto" w:fill="auto"/>
            <w:vAlign w:val="center"/>
          </w:tcPr>
          <w:p w14:paraId="4C43826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58.0</w:t>
            </w:r>
          </w:p>
        </w:tc>
        <w:tc>
          <w:tcPr>
            <w:tcW w:w="137" w:type="pct"/>
            <w:gridSpan w:val="2"/>
            <w:shd w:val="clear" w:color="auto" w:fill="auto"/>
            <w:vAlign w:val="center"/>
          </w:tcPr>
          <w:p w14:paraId="042D418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62.6</w:t>
            </w:r>
          </w:p>
        </w:tc>
        <w:tc>
          <w:tcPr>
            <w:tcW w:w="139" w:type="pct"/>
            <w:gridSpan w:val="2"/>
            <w:shd w:val="clear" w:color="auto" w:fill="auto"/>
            <w:vAlign w:val="center"/>
          </w:tcPr>
          <w:p w14:paraId="6F06944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58.7</w:t>
            </w:r>
          </w:p>
        </w:tc>
        <w:tc>
          <w:tcPr>
            <w:tcW w:w="137" w:type="pct"/>
            <w:gridSpan w:val="2"/>
            <w:shd w:val="clear" w:color="auto" w:fill="auto"/>
            <w:vAlign w:val="center"/>
          </w:tcPr>
          <w:p w14:paraId="0AAA207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61.2</w:t>
            </w:r>
          </w:p>
        </w:tc>
        <w:tc>
          <w:tcPr>
            <w:tcW w:w="137" w:type="pct"/>
            <w:gridSpan w:val="2"/>
            <w:shd w:val="clear" w:color="auto" w:fill="auto"/>
            <w:vAlign w:val="center"/>
          </w:tcPr>
          <w:p w14:paraId="4BB7CB3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57.3</w:t>
            </w:r>
          </w:p>
        </w:tc>
        <w:tc>
          <w:tcPr>
            <w:tcW w:w="137" w:type="pct"/>
            <w:gridSpan w:val="2"/>
            <w:shd w:val="clear" w:color="auto" w:fill="auto"/>
            <w:vAlign w:val="center"/>
          </w:tcPr>
          <w:p w14:paraId="5BC8381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62.0</w:t>
            </w:r>
          </w:p>
        </w:tc>
        <w:tc>
          <w:tcPr>
            <w:tcW w:w="139" w:type="pct"/>
            <w:gridSpan w:val="2"/>
            <w:shd w:val="clear" w:color="auto" w:fill="auto"/>
            <w:vAlign w:val="center"/>
          </w:tcPr>
          <w:p w14:paraId="2ADEA1E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58.1</w:t>
            </w:r>
          </w:p>
        </w:tc>
        <w:tc>
          <w:tcPr>
            <w:tcW w:w="137" w:type="pct"/>
            <w:gridSpan w:val="2"/>
            <w:shd w:val="clear" w:color="auto" w:fill="auto"/>
            <w:vAlign w:val="center"/>
          </w:tcPr>
          <w:p w14:paraId="1D52B1A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62.7</w:t>
            </w:r>
          </w:p>
        </w:tc>
        <w:tc>
          <w:tcPr>
            <w:tcW w:w="139" w:type="pct"/>
            <w:gridSpan w:val="2"/>
            <w:shd w:val="clear" w:color="auto" w:fill="auto"/>
            <w:vAlign w:val="center"/>
          </w:tcPr>
          <w:p w14:paraId="2E3D26C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58.8</w:t>
            </w:r>
          </w:p>
        </w:tc>
        <w:tc>
          <w:tcPr>
            <w:tcW w:w="137" w:type="pct"/>
            <w:gridSpan w:val="2"/>
            <w:shd w:val="clear" w:color="auto" w:fill="auto"/>
            <w:vAlign w:val="center"/>
          </w:tcPr>
          <w:p w14:paraId="2230EE8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8" w:type="pct"/>
            <w:gridSpan w:val="2"/>
            <w:shd w:val="clear" w:color="auto" w:fill="auto"/>
            <w:vAlign w:val="center"/>
          </w:tcPr>
          <w:p w14:paraId="6FE51C2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2.3</w:t>
            </w:r>
          </w:p>
        </w:tc>
        <w:tc>
          <w:tcPr>
            <w:tcW w:w="137" w:type="pct"/>
            <w:gridSpan w:val="2"/>
            <w:shd w:val="clear" w:color="auto" w:fill="auto"/>
            <w:vAlign w:val="center"/>
          </w:tcPr>
          <w:p w14:paraId="4B98547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gridSpan w:val="2"/>
            <w:shd w:val="clear" w:color="auto" w:fill="auto"/>
            <w:vAlign w:val="center"/>
          </w:tcPr>
          <w:p w14:paraId="71D4D48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3.1</w:t>
            </w:r>
          </w:p>
        </w:tc>
        <w:tc>
          <w:tcPr>
            <w:tcW w:w="137" w:type="pct"/>
            <w:gridSpan w:val="2"/>
            <w:shd w:val="clear" w:color="auto" w:fill="auto"/>
            <w:vAlign w:val="center"/>
          </w:tcPr>
          <w:p w14:paraId="300EEFF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gridSpan w:val="2"/>
            <w:shd w:val="clear" w:color="auto" w:fill="auto"/>
            <w:vAlign w:val="center"/>
          </w:tcPr>
          <w:p w14:paraId="02C6D46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3.8</w:t>
            </w:r>
          </w:p>
        </w:tc>
        <w:tc>
          <w:tcPr>
            <w:tcW w:w="137" w:type="pct"/>
            <w:gridSpan w:val="2"/>
            <w:shd w:val="clear" w:color="auto" w:fill="auto"/>
            <w:vAlign w:val="center"/>
          </w:tcPr>
          <w:p w14:paraId="20A18A0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17.2</w:t>
            </w:r>
          </w:p>
        </w:tc>
        <w:tc>
          <w:tcPr>
            <w:tcW w:w="139" w:type="pct"/>
            <w:gridSpan w:val="2"/>
            <w:shd w:val="clear" w:color="auto" w:fill="auto"/>
            <w:vAlign w:val="center"/>
          </w:tcPr>
          <w:p w14:paraId="6819433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19.8</w:t>
            </w:r>
          </w:p>
        </w:tc>
        <w:tc>
          <w:tcPr>
            <w:tcW w:w="137" w:type="pct"/>
            <w:gridSpan w:val="2"/>
            <w:shd w:val="clear" w:color="auto" w:fill="auto"/>
            <w:vAlign w:val="center"/>
          </w:tcPr>
          <w:p w14:paraId="02EB227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18.0</w:t>
            </w:r>
          </w:p>
        </w:tc>
        <w:tc>
          <w:tcPr>
            <w:tcW w:w="138" w:type="pct"/>
            <w:gridSpan w:val="2"/>
            <w:shd w:val="clear" w:color="auto" w:fill="auto"/>
            <w:vAlign w:val="center"/>
          </w:tcPr>
          <w:p w14:paraId="29BB162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20.6</w:t>
            </w:r>
          </w:p>
        </w:tc>
        <w:tc>
          <w:tcPr>
            <w:tcW w:w="137" w:type="pct"/>
            <w:gridSpan w:val="2"/>
            <w:shd w:val="clear" w:color="auto" w:fill="auto"/>
            <w:vAlign w:val="center"/>
          </w:tcPr>
          <w:p w14:paraId="4234D15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18.7</w:t>
            </w:r>
          </w:p>
        </w:tc>
        <w:tc>
          <w:tcPr>
            <w:tcW w:w="139" w:type="pct"/>
            <w:gridSpan w:val="2"/>
            <w:shd w:val="clear" w:color="auto" w:fill="auto"/>
            <w:vAlign w:val="center"/>
          </w:tcPr>
          <w:p w14:paraId="008DA1B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21.3</w:t>
            </w:r>
          </w:p>
        </w:tc>
        <w:tc>
          <w:tcPr>
            <w:tcW w:w="157" w:type="pct"/>
            <w:gridSpan w:val="2"/>
            <w:shd w:val="clear" w:color="auto" w:fill="auto"/>
            <w:vAlign w:val="center"/>
          </w:tcPr>
          <w:p w14:paraId="2673B45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4a类</w:t>
            </w:r>
          </w:p>
        </w:tc>
        <w:tc>
          <w:tcPr>
            <w:tcW w:w="134" w:type="pct"/>
            <w:gridSpan w:val="2"/>
            <w:vMerge w:val="restart"/>
            <w:shd w:val="clear" w:color="auto" w:fill="auto"/>
            <w:vAlign w:val="center"/>
          </w:tcPr>
          <w:p w14:paraId="2A8022B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44.0</w:t>
            </w:r>
          </w:p>
        </w:tc>
        <w:tc>
          <w:tcPr>
            <w:tcW w:w="134" w:type="pct"/>
            <w:gridSpan w:val="2"/>
            <w:vMerge w:val="restart"/>
            <w:shd w:val="clear" w:color="auto" w:fill="auto"/>
            <w:vAlign w:val="center"/>
          </w:tcPr>
          <w:p w14:paraId="0F771B26">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37.5</w:t>
            </w:r>
          </w:p>
        </w:tc>
      </w:tr>
      <w:tr w14:paraId="1CB30FFC">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7" w:type="pct"/>
            <w:vMerge w:val="continue"/>
            <w:vAlign w:val="center"/>
          </w:tcPr>
          <w:p w14:paraId="0BE35E83">
            <w:pPr>
              <w:widowControl/>
              <w:jc w:val="center"/>
              <w:rPr>
                <w:rFonts w:ascii="Times New Roman" w:hAnsi="Times New Roman" w:eastAsia="宋体" w:cs="Times New Roman"/>
                <w:kern w:val="0"/>
                <w:szCs w:val="21"/>
              </w:rPr>
            </w:pPr>
          </w:p>
        </w:tc>
        <w:tc>
          <w:tcPr>
            <w:tcW w:w="319" w:type="pct"/>
            <w:vMerge w:val="continue"/>
            <w:vAlign w:val="center"/>
          </w:tcPr>
          <w:p w14:paraId="62795869">
            <w:pPr>
              <w:widowControl/>
              <w:jc w:val="center"/>
              <w:rPr>
                <w:rFonts w:ascii="Times New Roman" w:hAnsi="Times New Roman" w:eastAsia="宋体" w:cs="Times New Roman"/>
                <w:kern w:val="0"/>
                <w:szCs w:val="21"/>
              </w:rPr>
            </w:pPr>
          </w:p>
        </w:tc>
        <w:tc>
          <w:tcPr>
            <w:tcW w:w="145" w:type="pct"/>
            <w:vMerge w:val="continue"/>
            <w:vAlign w:val="center"/>
          </w:tcPr>
          <w:p w14:paraId="5DC46E45">
            <w:pPr>
              <w:widowControl/>
              <w:jc w:val="center"/>
              <w:rPr>
                <w:rFonts w:ascii="Times New Roman" w:hAnsi="Times New Roman" w:eastAsia="宋体" w:cs="Times New Roman"/>
                <w:kern w:val="0"/>
                <w:szCs w:val="21"/>
              </w:rPr>
            </w:pPr>
          </w:p>
        </w:tc>
        <w:tc>
          <w:tcPr>
            <w:tcW w:w="188" w:type="pct"/>
            <w:shd w:val="clear" w:color="auto" w:fill="auto"/>
            <w:noWrap/>
            <w:vAlign w:val="center"/>
          </w:tcPr>
          <w:p w14:paraId="6287147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54</w:t>
            </w:r>
          </w:p>
        </w:tc>
        <w:tc>
          <w:tcPr>
            <w:tcW w:w="131" w:type="pct"/>
            <w:vMerge w:val="continue"/>
            <w:vAlign w:val="center"/>
          </w:tcPr>
          <w:p w14:paraId="3AB7E7D0">
            <w:pPr>
              <w:widowControl/>
              <w:jc w:val="center"/>
              <w:rPr>
                <w:rFonts w:ascii="Times New Roman" w:hAnsi="Times New Roman" w:eastAsia="宋体" w:cs="Times New Roman"/>
                <w:kern w:val="0"/>
                <w:szCs w:val="21"/>
              </w:rPr>
            </w:pPr>
          </w:p>
        </w:tc>
        <w:tc>
          <w:tcPr>
            <w:tcW w:w="232" w:type="pct"/>
            <w:vMerge w:val="continue"/>
            <w:vAlign w:val="center"/>
          </w:tcPr>
          <w:p w14:paraId="02BBE783">
            <w:pPr>
              <w:widowControl/>
              <w:jc w:val="center"/>
              <w:rPr>
                <w:rFonts w:ascii="Times New Roman" w:hAnsi="Times New Roman" w:eastAsia="宋体" w:cs="Times New Roman"/>
                <w:kern w:val="0"/>
                <w:szCs w:val="21"/>
              </w:rPr>
            </w:pPr>
          </w:p>
        </w:tc>
        <w:tc>
          <w:tcPr>
            <w:tcW w:w="147" w:type="pct"/>
            <w:vMerge w:val="continue"/>
            <w:vAlign w:val="center"/>
          </w:tcPr>
          <w:p w14:paraId="27005449">
            <w:pPr>
              <w:widowControl/>
              <w:jc w:val="center"/>
              <w:rPr>
                <w:rFonts w:ascii="Times New Roman" w:hAnsi="Times New Roman" w:eastAsia="宋体" w:cs="Times New Roman"/>
                <w:kern w:val="0"/>
                <w:szCs w:val="21"/>
              </w:rPr>
            </w:pPr>
          </w:p>
        </w:tc>
        <w:tc>
          <w:tcPr>
            <w:tcW w:w="137" w:type="pct"/>
            <w:shd w:val="clear" w:color="auto" w:fill="auto"/>
            <w:vAlign w:val="center"/>
          </w:tcPr>
          <w:p w14:paraId="7BF3BAA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56.8</w:t>
            </w:r>
          </w:p>
        </w:tc>
        <w:tc>
          <w:tcPr>
            <w:tcW w:w="137" w:type="pct"/>
            <w:shd w:val="clear" w:color="auto" w:fill="auto"/>
            <w:vAlign w:val="center"/>
          </w:tcPr>
          <w:p w14:paraId="141DAC34">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52.9</w:t>
            </w:r>
          </w:p>
        </w:tc>
        <w:tc>
          <w:tcPr>
            <w:tcW w:w="137" w:type="pct"/>
            <w:gridSpan w:val="2"/>
            <w:shd w:val="clear" w:color="auto" w:fill="auto"/>
            <w:vAlign w:val="center"/>
          </w:tcPr>
          <w:p w14:paraId="1CB73AF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57.6</w:t>
            </w:r>
          </w:p>
        </w:tc>
        <w:tc>
          <w:tcPr>
            <w:tcW w:w="137" w:type="pct"/>
            <w:gridSpan w:val="2"/>
            <w:shd w:val="clear" w:color="auto" w:fill="auto"/>
            <w:vAlign w:val="center"/>
          </w:tcPr>
          <w:p w14:paraId="11DB807B">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53.7</w:t>
            </w:r>
          </w:p>
        </w:tc>
        <w:tc>
          <w:tcPr>
            <w:tcW w:w="137" w:type="pct"/>
            <w:gridSpan w:val="2"/>
            <w:shd w:val="clear" w:color="auto" w:fill="auto"/>
            <w:vAlign w:val="center"/>
          </w:tcPr>
          <w:p w14:paraId="1F00563D">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58.3</w:t>
            </w:r>
          </w:p>
        </w:tc>
        <w:tc>
          <w:tcPr>
            <w:tcW w:w="139" w:type="pct"/>
            <w:gridSpan w:val="2"/>
            <w:shd w:val="clear" w:color="auto" w:fill="auto"/>
            <w:vAlign w:val="center"/>
          </w:tcPr>
          <w:p w14:paraId="146F4D31">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54.4</w:t>
            </w:r>
          </w:p>
        </w:tc>
        <w:tc>
          <w:tcPr>
            <w:tcW w:w="137" w:type="pct"/>
            <w:gridSpan w:val="2"/>
            <w:shd w:val="clear" w:color="auto" w:fill="auto"/>
            <w:vAlign w:val="center"/>
          </w:tcPr>
          <w:p w14:paraId="7B2BCE2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57.0</w:t>
            </w:r>
          </w:p>
        </w:tc>
        <w:tc>
          <w:tcPr>
            <w:tcW w:w="137" w:type="pct"/>
            <w:gridSpan w:val="2"/>
            <w:shd w:val="clear" w:color="auto" w:fill="auto"/>
            <w:vAlign w:val="center"/>
          </w:tcPr>
          <w:p w14:paraId="5F7C14C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53.0</w:t>
            </w:r>
          </w:p>
        </w:tc>
        <w:tc>
          <w:tcPr>
            <w:tcW w:w="137" w:type="pct"/>
            <w:gridSpan w:val="2"/>
            <w:shd w:val="clear" w:color="auto" w:fill="auto"/>
            <w:vAlign w:val="center"/>
          </w:tcPr>
          <w:p w14:paraId="5905085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57.8</w:t>
            </w:r>
          </w:p>
        </w:tc>
        <w:tc>
          <w:tcPr>
            <w:tcW w:w="139" w:type="pct"/>
            <w:gridSpan w:val="2"/>
            <w:shd w:val="clear" w:color="auto" w:fill="auto"/>
            <w:vAlign w:val="center"/>
          </w:tcPr>
          <w:p w14:paraId="5D44DA2A">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53.8</w:t>
            </w:r>
          </w:p>
        </w:tc>
        <w:tc>
          <w:tcPr>
            <w:tcW w:w="137" w:type="pct"/>
            <w:gridSpan w:val="2"/>
            <w:shd w:val="clear" w:color="auto" w:fill="auto"/>
            <w:vAlign w:val="center"/>
          </w:tcPr>
          <w:p w14:paraId="27B5801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58.4</w:t>
            </w:r>
          </w:p>
        </w:tc>
        <w:tc>
          <w:tcPr>
            <w:tcW w:w="139" w:type="pct"/>
            <w:gridSpan w:val="2"/>
            <w:shd w:val="clear" w:color="auto" w:fill="auto"/>
            <w:vAlign w:val="center"/>
          </w:tcPr>
          <w:p w14:paraId="01C68790">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54.5</w:t>
            </w:r>
          </w:p>
        </w:tc>
        <w:tc>
          <w:tcPr>
            <w:tcW w:w="137" w:type="pct"/>
            <w:gridSpan w:val="2"/>
            <w:shd w:val="clear" w:color="auto" w:fill="auto"/>
            <w:vAlign w:val="center"/>
          </w:tcPr>
          <w:p w14:paraId="7F46B08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8" w:type="pct"/>
            <w:gridSpan w:val="2"/>
            <w:shd w:val="clear" w:color="auto" w:fill="auto"/>
            <w:vAlign w:val="center"/>
          </w:tcPr>
          <w:p w14:paraId="3C0951E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3.0</w:t>
            </w:r>
          </w:p>
        </w:tc>
        <w:tc>
          <w:tcPr>
            <w:tcW w:w="137" w:type="pct"/>
            <w:gridSpan w:val="2"/>
            <w:shd w:val="clear" w:color="auto" w:fill="auto"/>
            <w:vAlign w:val="center"/>
          </w:tcPr>
          <w:p w14:paraId="1949C849">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gridSpan w:val="2"/>
            <w:shd w:val="clear" w:color="auto" w:fill="auto"/>
            <w:vAlign w:val="center"/>
          </w:tcPr>
          <w:p w14:paraId="42B2862F">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3.8</w:t>
            </w:r>
          </w:p>
        </w:tc>
        <w:tc>
          <w:tcPr>
            <w:tcW w:w="137" w:type="pct"/>
            <w:gridSpan w:val="2"/>
            <w:shd w:val="clear" w:color="auto" w:fill="auto"/>
            <w:vAlign w:val="center"/>
          </w:tcPr>
          <w:p w14:paraId="5FCF46E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39" w:type="pct"/>
            <w:gridSpan w:val="2"/>
            <w:shd w:val="clear" w:color="auto" w:fill="auto"/>
            <w:vAlign w:val="center"/>
          </w:tcPr>
          <w:p w14:paraId="1261D052">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4.5</w:t>
            </w:r>
          </w:p>
        </w:tc>
        <w:tc>
          <w:tcPr>
            <w:tcW w:w="137" w:type="pct"/>
            <w:gridSpan w:val="2"/>
            <w:shd w:val="clear" w:color="auto" w:fill="auto"/>
            <w:vAlign w:val="center"/>
          </w:tcPr>
          <w:p w14:paraId="19301A3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13.0</w:t>
            </w:r>
          </w:p>
        </w:tc>
        <w:tc>
          <w:tcPr>
            <w:tcW w:w="139" w:type="pct"/>
            <w:gridSpan w:val="2"/>
            <w:shd w:val="clear" w:color="auto" w:fill="auto"/>
            <w:vAlign w:val="center"/>
          </w:tcPr>
          <w:p w14:paraId="390DB6F3">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15.5</w:t>
            </w:r>
          </w:p>
        </w:tc>
        <w:tc>
          <w:tcPr>
            <w:tcW w:w="137" w:type="pct"/>
            <w:gridSpan w:val="2"/>
            <w:shd w:val="clear" w:color="auto" w:fill="auto"/>
            <w:vAlign w:val="center"/>
          </w:tcPr>
          <w:p w14:paraId="62D7591E">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13.8</w:t>
            </w:r>
          </w:p>
        </w:tc>
        <w:tc>
          <w:tcPr>
            <w:tcW w:w="138" w:type="pct"/>
            <w:gridSpan w:val="2"/>
            <w:shd w:val="clear" w:color="auto" w:fill="auto"/>
            <w:vAlign w:val="center"/>
          </w:tcPr>
          <w:p w14:paraId="22403E2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16.3</w:t>
            </w:r>
          </w:p>
        </w:tc>
        <w:tc>
          <w:tcPr>
            <w:tcW w:w="137" w:type="pct"/>
            <w:gridSpan w:val="2"/>
            <w:shd w:val="clear" w:color="auto" w:fill="auto"/>
            <w:vAlign w:val="center"/>
          </w:tcPr>
          <w:p w14:paraId="2156F577">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14.4</w:t>
            </w:r>
          </w:p>
        </w:tc>
        <w:tc>
          <w:tcPr>
            <w:tcW w:w="139" w:type="pct"/>
            <w:gridSpan w:val="2"/>
            <w:shd w:val="clear" w:color="auto" w:fill="auto"/>
            <w:vAlign w:val="center"/>
          </w:tcPr>
          <w:p w14:paraId="488DE52C">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17.0</w:t>
            </w:r>
          </w:p>
        </w:tc>
        <w:tc>
          <w:tcPr>
            <w:tcW w:w="157" w:type="pct"/>
            <w:gridSpan w:val="2"/>
            <w:shd w:val="clear" w:color="auto" w:fill="auto"/>
            <w:vAlign w:val="center"/>
          </w:tcPr>
          <w:p w14:paraId="761C7ED5">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2类</w:t>
            </w:r>
          </w:p>
        </w:tc>
        <w:tc>
          <w:tcPr>
            <w:tcW w:w="134" w:type="pct"/>
            <w:gridSpan w:val="2"/>
            <w:vMerge w:val="continue"/>
            <w:vAlign w:val="center"/>
          </w:tcPr>
          <w:p w14:paraId="1CDE30DB">
            <w:pPr>
              <w:widowControl/>
              <w:jc w:val="center"/>
              <w:rPr>
                <w:rFonts w:ascii="Times New Roman" w:hAnsi="Times New Roman" w:eastAsia="宋体" w:cs="Times New Roman"/>
                <w:kern w:val="0"/>
                <w:szCs w:val="21"/>
              </w:rPr>
            </w:pPr>
          </w:p>
        </w:tc>
        <w:tc>
          <w:tcPr>
            <w:tcW w:w="134" w:type="pct"/>
            <w:gridSpan w:val="2"/>
            <w:vMerge w:val="continue"/>
            <w:vAlign w:val="center"/>
          </w:tcPr>
          <w:p w14:paraId="21ED9DFF">
            <w:pPr>
              <w:widowControl/>
              <w:jc w:val="center"/>
              <w:rPr>
                <w:rFonts w:ascii="Times New Roman" w:hAnsi="Times New Roman" w:eastAsia="宋体" w:cs="Times New Roman"/>
                <w:kern w:val="0"/>
                <w:szCs w:val="21"/>
              </w:rPr>
            </w:pPr>
          </w:p>
        </w:tc>
      </w:tr>
    </w:tbl>
    <w:p w14:paraId="0A73F1D5">
      <w:pPr>
        <w:widowControl w:val="0"/>
        <w:spacing w:line="240" w:lineRule="auto"/>
        <w:ind w:firstLine="0" w:firstLineChars="0"/>
        <w:jc w:val="both"/>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注：“</w:t>
      </w:r>
      <w:r>
        <w:rPr>
          <w:rFonts w:hint="eastAsia" w:ascii="Times New Roman" w:hAnsi="Times New Roman" w:eastAsia="宋体" w:cs="Times New Roman"/>
          <w:kern w:val="2"/>
          <w:sz w:val="21"/>
          <w:szCs w:val="21"/>
          <w:lang w:val="en-US" w:eastAsia="zh-CN" w:bidi="ar-SA"/>
        </w:rPr>
        <w:t>-</w:t>
      </w:r>
      <w:r>
        <w:rPr>
          <w:rFonts w:ascii="Times New Roman" w:hAnsi="Times New Roman" w:eastAsia="宋体" w:cs="Times New Roman"/>
          <w:kern w:val="2"/>
          <w:sz w:val="21"/>
          <w:szCs w:val="21"/>
          <w:lang w:val="en-US" w:eastAsia="zh-CN" w:bidi="ar-SA"/>
        </w:rPr>
        <w:t>”表示不超标；“</w:t>
      </w:r>
      <w:r>
        <w:rPr>
          <w:rFonts w:hint="eastAsia" w:ascii="Times New Roman" w:hAnsi="Times New Roman" w:eastAsia="宋体" w:cs="Times New Roman"/>
          <w:kern w:val="2"/>
          <w:sz w:val="21"/>
          <w:szCs w:val="21"/>
          <w:lang w:val="en-US" w:eastAsia="zh-CN" w:bidi="ar-SA"/>
        </w:rPr>
        <w:t>/</w:t>
      </w:r>
      <w:r>
        <w:rPr>
          <w:rFonts w:ascii="Times New Roman" w:hAnsi="Times New Roman" w:eastAsia="宋体" w:cs="Times New Roman"/>
          <w:kern w:val="2"/>
          <w:sz w:val="21"/>
          <w:szCs w:val="21"/>
          <w:lang w:val="en-US" w:eastAsia="zh-CN" w:bidi="ar-SA"/>
        </w:rPr>
        <w:t>”表示</w:t>
      </w:r>
      <w:bookmarkStart w:id="226" w:name="OLE_LINK117"/>
      <w:r>
        <w:rPr>
          <w:rFonts w:ascii="Times New Roman" w:hAnsi="Times New Roman" w:eastAsia="宋体" w:cs="Times New Roman"/>
          <w:kern w:val="2"/>
          <w:sz w:val="21"/>
          <w:szCs w:val="21"/>
          <w:lang w:val="en-US" w:eastAsia="zh-CN" w:bidi="ar-SA"/>
        </w:rPr>
        <w:t>格达良乡中心小学</w:t>
      </w:r>
      <w:r>
        <w:rPr>
          <w:rFonts w:hint="eastAsia" w:ascii="Times New Roman" w:hAnsi="Times New Roman" w:eastAsia="宋体" w:cs="Times New Roman"/>
          <w:kern w:val="2"/>
          <w:sz w:val="21"/>
          <w:szCs w:val="21"/>
          <w:lang w:val="en-US" w:eastAsia="zh-CN" w:bidi="ar-SA"/>
        </w:rPr>
        <w:t>、</w:t>
      </w:r>
      <w:r>
        <w:rPr>
          <w:rFonts w:ascii="Times New Roman" w:hAnsi="宋体" w:eastAsia="宋体" w:cs="Times New Roman"/>
          <w:kern w:val="0"/>
          <w:sz w:val="21"/>
          <w:szCs w:val="21"/>
          <w:lang w:val="en-US" w:eastAsia="zh-CN" w:bidi="ar-SA"/>
        </w:rPr>
        <w:t>英兰干村幼儿园</w:t>
      </w:r>
      <w:r>
        <w:rPr>
          <w:rFonts w:hint="eastAsia" w:ascii="Times New Roman" w:hAnsi="Times New Roman" w:eastAsia="宋体" w:cs="Times New Roman"/>
          <w:kern w:val="2"/>
          <w:sz w:val="21"/>
          <w:szCs w:val="21"/>
          <w:lang w:val="en-US" w:eastAsia="zh-CN" w:bidi="ar-SA"/>
        </w:rPr>
        <w:t>、</w:t>
      </w:r>
      <w:r>
        <w:rPr>
          <w:rFonts w:ascii="Times New Roman" w:hAnsi="宋体" w:eastAsia="宋体" w:cs="Times New Roman"/>
          <w:kern w:val="0"/>
          <w:sz w:val="21"/>
          <w:szCs w:val="21"/>
          <w:lang w:val="en-US" w:eastAsia="zh-CN" w:bidi="ar-SA"/>
        </w:rPr>
        <w:t>阿亚格勒格勒德玛小学</w:t>
      </w:r>
      <w:r>
        <w:rPr>
          <w:rFonts w:hint="eastAsia" w:ascii="Times New Roman" w:hAnsi="宋体" w:eastAsia="宋体" w:cs="Times New Roman"/>
          <w:kern w:val="0"/>
          <w:sz w:val="21"/>
          <w:szCs w:val="21"/>
          <w:lang w:val="en-US" w:eastAsia="zh-CN" w:bidi="ar-SA"/>
        </w:rPr>
        <w:t>、</w:t>
      </w:r>
      <w:r>
        <w:rPr>
          <w:rFonts w:ascii="Times New Roman" w:hAnsi="Times New Roman" w:eastAsia="宋体" w:cs="Times New Roman"/>
          <w:kern w:val="0"/>
          <w:sz w:val="21"/>
          <w:szCs w:val="21"/>
          <w:lang w:val="en-US" w:eastAsia="zh-CN" w:bidi="ar-SA"/>
        </w:rPr>
        <w:t>夏合亚迪村小学</w:t>
      </w:r>
      <w:r>
        <w:rPr>
          <w:rFonts w:hint="eastAsia" w:ascii="Times New Roman" w:hAnsi="Times New Roman" w:eastAsia="宋体" w:cs="Times New Roman"/>
          <w:kern w:val="0"/>
          <w:sz w:val="21"/>
          <w:szCs w:val="21"/>
          <w:lang w:val="en-US" w:eastAsia="zh-CN" w:bidi="ar-SA"/>
        </w:rPr>
        <w:t>、</w:t>
      </w:r>
      <w:r>
        <w:rPr>
          <w:rFonts w:ascii="Times New Roman" w:hAnsi="Times New Roman" w:eastAsia="宋体" w:cs="Times New Roman"/>
          <w:kern w:val="0"/>
          <w:sz w:val="21"/>
          <w:szCs w:val="21"/>
          <w:lang w:val="en-US" w:eastAsia="zh-CN" w:bidi="ar-SA"/>
        </w:rPr>
        <w:t>伽师县和夏阿瓦提镇夏合亚迪村幼儿园</w:t>
      </w:r>
      <w:r>
        <w:rPr>
          <w:rFonts w:hint="eastAsia" w:ascii="Times New Roman" w:hAnsi="Times New Roman" w:eastAsia="宋体" w:cs="Times New Roman"/>
          <w:kern w:val="2"/>
          <w:sz w:val="21"/>
          <w:szCs w:val="21"/>
          <w:lang w:val="en-US" w:eastAsia="zh-CN" w:bidi="ar-SA"/>
        </w:rPr>
        <w:t>等</w:t>
      </w:r>
      <w:r>
        <w:rPr>
          <w:rFonts w:ascii="Times New Roman" w:hAnsi="Times New Roman" w:eastAsia="宋体" w:cs="Times New Roman"/>
          <w:kern w:val="2"/>
          <w:sz w:val="21"/>
          <w:szCs w:val="21"/>
          <w:lang w:val="en-US" w:eastAsia="zh-CN" w:bidi="ar-SA"/>
        </w:rPr>
        <w:t>夜间无住宿</w:t>
      </w:r>
      <w:bookmarkEnd w:id="226"/>
      <w:r>
        <w:rPr>
          <w:rFonts w:ascii="Times New Roman" w:hAnsi="Times New Roman" w:eastAsia="宋体" w:cs="Times New Roman"/>
          <w:kern w:val="2"/>
          <w:sz w:val="21"/>
          <w:szCs w:val="21"/>
          <w:lang w:val="en-US" w:eastAsia="zh-CN" w:bidi="ar-SA"/>
        </w:rPr>
        <w:t>，夜间超标不评价。</w:t>
      </w:r>
    </w:p>
    <w:p w14:paraId="4F85ABF6">
      <w:pPr>
        <w:spacing w:line="240" w:lineRule="auto"/>
        <w:ind w:firstLine="0" w:firstLineChars="0"/>
        <w:rPr>
          <w:sz w:val="21"/>
          <w:szCs w:val="21"/>
        </w:rPr>
        <w:sectPr>
          <w:footerReference r:id="rId81" w:type="default"/>
          <w:footerReference r:id="rId82" w:type="even"/>
          <w:pgSz w:w="23814" w:h="16840" w:orient="landscape"/>
          <w:pgMar w:top="1559" w:right="1440" w:bottom="1797" w:left="1440" w:header="907" w:footer="1134" w:gutter="0"/>
          <w:pgBorders>
            <w:top w:val="none" w:sz="0" w:space="0"/>
            <w:left w:val="none" w:sz="0" w:space="0"/>
            <w:bottom w:val="none" w:sz="0" w:space="0"/>
            <w:right w:val="none" w:sz="0" w:space="0"/>
          </w:pgBorders>
          <w:cols w:space="720" w:num="1"/>
          <w:docGrid w:linePitch="312" w:charSpace="0"/>
        </w:sectPr>
      </w:pPr>
    </w:p>
    <w:p w14:paraId="35167D1F">
      <w:pPr>
        <w:spacing w:beforeLines="50"/>
        <w:jc w:val="center"/>
        <w:rPr>
          <w:rFonts w:ascii="Times New Roman" w:hAnsi="Times New Roman" w:eastAsia="宋体" w:cs="Times New Roman"/>
          <w:b/>
          <w:bCs/>
        </w:rPr>
      </w:pPr>
      <w:bookmarkStart w:id="227" w:name="_Toc187528263"/>
      <w:r>
        <w:rPr>
          <w:rFonts w:ascii="Times New Roman" w:hAnsi="Times New Roman" w:eastAsia="宋体" w:cs="Times New Roman"/>
          <w:b/>
          <w:bCs/>
        </w:rPr>
        <w:t>表4.4-</w:t>
      </w:r>
      <w:r>
        <w:rPr>
          <w:rFonts w:hint="eastAsia" w:ascii="Times New Roman" w:hAnsi="Times New Roman" w:eastAsia="宋体" w:cs="Times New Roman"/>
          <w:b/>
          <w:bCs/>
        </w:rPr>
        <w:t>9</w:t>
      </w:r>
      <w:r>
        <w:rPr>
          <w:rFonts w:ascii="Times New Roman" w:hAnsi="Times New Roman" w:eastAsia="宋体" w:cs="Times New Roman"/>
          <w:b/>
          <w:bCs/>
        </w:rPr>
        <w:t xml:space="preserve">  拟建公路沿线运营期环境噪声超标保护目标统计</w:t>
      </w:r>
    </w:p>
    <w:tbl>
      <w:tblPr>
        <w:tblStyle w:val="22"/>
        <w:tblW w:w="5000" w:type="pct"/>
        <w:tblInd w:w="0" w:type="dxa"/>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511"/>
        <w:gridCol w:w="1416"/>
        <w:gridCol w:w="708"/>
        <w:gridCol w:w="852"/>
        <w:gridCol w:w="708"/>
        <w:gridCol w:w="992"/>
        <w:gridCol w:w="708"/>
        <w:gridCol w:w="1046"/>
        <w:gridCol w:w="1049"/>
        <w:gridCol w:w="1049"/>
        <w:gridCol w:w="1046"/>
        <w:gridCol w:w="1049"/>
        <w:gridCol w:w="1065"/>
        <w:gridCol w:w="661"/>
        <w:gridCol w:w="1195"/>
      </w:tblGrid>
      <w:tr w14:paraId="49A9D4F0">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182" w:type="pct"/>
            <w:vMerge w:val="restart"/>
            <w:shd w:val="clear" w:color="auto" w:fill="auto"/>
            <w:vAlign w:val="center"/>
          </w:tcPr>
          <w:p w14:paraId="40946C93">
            <w:pPr>
              <w:widowControl/>
              <w:spacing w:line="240" w:lineRule="exact"/>
              <w:jc w:val="center"/>
              <w:rPr>
                <w:rFonts w:ascii="Times New Roman" w:hAnsi="Times New Roman" w:eastAsia="宋体" w:cs="Times New Roman"/>
                <w:b/>
                <w:spacing w:val="-20"/>
                <w:kern w:val="0"/>
                <w:szCs w:val="21"/>
              </w:rPr>
            </w:pPr>
            <w:r>
              <w:rPr>
                <w:rFonts w:hint="eastAsia" w:ascii="宋体" w:hAnsi="宋体" w:eastAsia="宋体" w:cs="Times New Roman"/>
                <w:b/>
                <w:spacing w:val="-20"/>
                <w:kern w:val="0"/>
                <w:szCs w:val="21"/>
              </w:rPr>
              <w:t>序号</w:t>
            </w:r>
          </w:p>
        </w:tc>
        <w:tc>
          <w:tcPr>
            <w:tcW w:w="504" w:type="pct"/>
            <w:vMerge w:val="restart"/>
            <w:shd w:val="clear" w:color="auto" w:fill="auto"/>
            <w:vAlign w:val="center"/>
          </w:tcPr>
          <w:p w14:paraId="48B615DB">
            <w:pPr>
              <w:widowControl/>
              <w:spacing w:line="240" w:lineRule="exact"/>
              <w:jc w:val="center"/>
              <w:rPr>
                <w:rFonts w:ascii="Times New Roman" w:hAnsi="Times New Roman" w:eastAsia="宋体" w:cs="Times New Roman"/>
                <w:b/>
                <w:spacing w:val="-20"/>
                <w:kern w:val="0"/>
                <w:szCs w:val="21"/>
              </w:rPr>
            </w:pPr>
            <w:r>
              <w:rPr>
                <w:rFonts w:hint="eastAsia" w:ascii="宋体" w:hAnsi="宋体" w:eastAsia="宋体" w:cs="Times New Roman"/>
                <w:b/>
                <w:spacing w:val="-20"/>
                <w:kern w:val="0"/>
                <w:szCs w:val="21"/>
              </w:rPr>
              <w:t>敏感点名称</w:t>
            </w:r>
          </w:p>
        </w:tc>
        <w:tc>
          <w:tcPr>
            <w:tcW w:w="555" w:type="pct"/>
            <w:gridSpan w:val="2"/>
            <w:shd w:val="clear" w:color="auto" w:fill="auto"/>
            <w:vAlign w:val="center"/>
          </w:tcPr>
          <w:p w14:paraId="6491E091">
            <w:pPr>
              <w:widowControl/>
              <w:spacing w:line="240" w:lineRule="exact"/>
              <w:jc w:val="center"/>
              <w:rPr>
                <w:rFonts w:ascii="Times New Roman" w:hAnsi="Times New Roman" w:eastAsia="宋体" w:cs="Times New Roman"/>
                <w:b/>
                <w:spacing w:val="-20"/>
                <w:kern w:val="0"/>
                <w:szCs w:val="21"/>
              </w:rPr>
            </w:pPr>
            <w:r>
              <w:rPr>
                <w:rFonts w:hint="eastAsia" w:ascii="宋体" w:hAnsi="宋体" w:eastAsia="宋体" w:cs="Times New Roman"/>
                <w:b/>
                <w:spacing w:val="-20"/>
                <w:kern w:val="0"/>
                <w:szCs w:val="21"/>
              </w:rPr>
              <w:t>位置关系</w:t>
            </w:r>
          </w:p>
        </w:tc>
        <w:tc>
          <w:tcPr>
            <w:tcW w:w="252" w:type="pct"/>
            <w:vMerge w:val="restart"/>
            <w:shd w:val="clear" w:color="auto" w:fill="auto"/>
            <w:vAlign w:val="center"/>
          </w:tcPr>
          <w:p w14:paraId="56235982">
            <w:pPr>
              <w:widowControl/>
              <w:spacing w:line="240" w:lineRule="exact"/>
              <w:jc w:val="center"/>
              <w:rPr>
                <w:rFonts w:ascii="Times New Roman" w:hAnsi="Times New Roman" w:eastAsia="宋体" w:cs="Times New Roman"/>
                <w:b/>
                <w:spacing w:val="-20"/>
                <w:kern w:val="0"/>
                <w:szCs w:val="21"/>
              </w:rPr>
            </w:pPr>
            <w:r>
              <w:rPr>
                <w:rFonts w:hint="eastAsia" w:ascii="宋体" w:hAnsi="宋体" w:eastAsia="宋体" w:cs="Times New Roman"/>
                <w:b/>
                <w:spacing w:val="-20"/>
                <w:kern w:val="0"/>
                <w:szCs w:val="21"/>
              </w:rPr>
              <w:t>路基高</w:t>
            </w:r>
            <w:r>
              <w:rPr>
                <w:rFonts w:ascii="Times New Roman" w:hAnsi="Times New Roman" w:eastAsia="宋体" w:cs="Times New Roman"/>
                <w:b/>
                <w:spacing w:val="-20"/>
                <w:kern w:val="0"/>
                <w:szCs w:val="21"/>
              </w:rPr>
              <w:t>(m)</w:t>
            </w:r>
          </w:p>
        </w:tc>
        <w:tc>
          <w:tcPr>
            <w:tcW w:w="353" w:type="pct"/>
            <w:vMerge w:val="restart"/>
            <w:shd w:val="clear" w:color="auto" w:fill="auto"/>
            <w:vAlign w:val="center"/>
          </w:tcPr>
          <w:p w14:paraId="76CEF8BF">
            <w:pPr>
              <w:widowControl/>
              <w:spacing w:line="240" w:lineRule="exact"/>
              <w:jc w:val="center"/>
              <w:rPr>
                <w:rFonts w:ascii="Times New Roman" w:hAnsi="Times New Roman" w:eastAsia="宋体" w:cs="Times New Roman"/>
                <w:b/>
                <w:spacing w:val="-20"/>
                <w:kern w:val="0"/>
                <w:szCs w:val="21"/>
              </w:rPr>
            </w:pPr>
            <w:r>
              <w:rPr>
                <w:rFonts w:hint="eastAsia" w:ascii="宋体" w:hAnsi="宋体" w:eastAsia="宋体" w:cs="Times New Roman"/>
                <w:b/>
                <w:spacing w:val="-20"/>
                <w:kern w:val="0"/>
                <w:szCs w:val="21"/>
              </w:rPr>
              <w:t>预测点地面高</w:t>
            </w:r>
            <w:r>
              <w:rPr>
                <w:rFonts w:ascii="Times New Roman" w:hAnsi="Times New Roman" w:eastAsia="宋体" w:cs="Times New Roman"/>
                <w:b/>
                <w:spacing w:val="-20"/>
                <w:kern w:val="0"/>
                <w:szCs w:val="21"/>
              </w:rPr>
              <w:t>-</w:t>
            </w:r>
            <w:r>
              <w:rPr>
                <w:rFonts w:hint="eastAsia" w:ascii="宋体" w:hAnsi="宋体" w:eastAsia="宋体" w:cs="Times New Roman"/>
                <w:b/>
                <w:spacing w:val="-20"/>
                <w:kern w:val="0"/>
                <w:szCs w:val="21"/>
              </w:rPr>
              <w:t>路基地面高</w:t>
            </w:r>
            <w:r>
              <w:rPr>
                <w:rFonts w:ascii="Times New Roman" w:hAnsi="Times New Roman" w:eastAsia="宋体" w:cs="Times New Roman"/>
                <w:b/>
                <w:spacing w:val="-20"/>
                <w:kern w:val="0"/>
                <w:szCs w:val="21"/>
              </w:rPr>
              <w:t>(m)</w:t>
            </w:r>
          </w:p>
        </w:tc>
        <w:tc>
          <w:tcPr>
            <w:tcW w:w="252" w:type="pct"/>
            <w:vMerge w:val="restart"/>
            <w:shd w:val="clear" w:color="auto" w:fill="auto"/>
            <w:vAlign w:val="center"/>
          </w:tcPr>
          <w:p w14:paraId="720716E7">
            <w:pPr>
              <w:widowControl/>
              <w:spacing w:line="240" w:lineRule="exact"/>
              <w:jc w:val="center"/>
              <w:rPr>
                <w:rFonts w:ascii="Times New Roman" w:hAnsi="Times New Roman" w:eastAsia="宋体" w:cs="Times New Roman"/>
                <w:b/>
                <w:spacing w:val="-20"/>
                <w:kern w:val="0"/>
                <w:szCs w:val="21"/>
              </w:rPr>
            </w:pPr>
            <w:r>
              <w:rPr>
                <w:rFonts w:hint="eastAsia" w:ascii="宋体" w:hAnsi="宋体" w:eastAsia="宋体" w:cs="Times New Roman"/>
                <w:b/>
                <w:spacing w:val="-20"/>
                <w:kern w:val="0"/>
                <w:szCs w:val="21"/>
              </w:rPr>
              <w:t>预测楼层</w:t>
            </w:r>
          </w:p>
        </w:tc>
        <w:tc>
          <w:tcPr>
            <w:tcW w:w="2242" w:type="pct"/>
            <w:gridSpan w:val="6"/>
            <w:shd w:val="clear" w:color="auto" w:fill="auto"/>
            <w:vAlign w:val="center"/>
          </w:tcPr>
          <w:p w14:paraId="65061082">
            <w:pPr>
              <w:widowControl/>
              <w:spacing w:line="240" w:lineRule="exact"/>
              <w:jc w:val="center"/>
              <w:rPr>
                <w:rFonts w:ascii="Times New Roman" w:hAnsi="Times New Roman" w:eastAsia="宋体" w:cs="Times New Roman"/>
                <w:b/>
                <w:spacing w:val="-20"/>
                <w:kern w:val="0"/>
                <w:szCs w:val="21"/>
              </w:rPr>
            </w:pPr>
            <w:r>
              <w:rPr>
                <w:rFonts w:hint="eastAsia" w:ascii="宋体" w:hAnsi="宋体" w:eastAsia="宋体" w:cs="Times New Roman"/>
                <w:b/>
                <w:spacing w:val="-20"/>
                <w:kern w:val="0"/>
                <w:szCs w:val="21"/>
              </w:rPr>
              <w:t>超标量</w:t>
            </w:r>
            <w:r>
              <w:rPr>
                <w:rFonts w:ascii="Times New Roman" w:hAnsi="Times New Roman" w:eastAsia="宋体" w:cs="Times New Roman"/>
                <w:b/>
                <w:spacing w:val="-20"/>
                <w:kern w:val="0"/>
                <w:szCs w:val="21"/>
              </w:rPr>
              <w:t>(dB)</w:t>
            </w:r>
          </w:p>
        </w:tc>
        <w:tc>
          <w:tcPr>
            <w:tcW w:w="235" w:type="pct"/>
            <w:vMerge w:val="restart"/>
            <w:shd w:val="clear" w:color="auto" w:fill="auto"/>
            <w:vAlign w:val="center"/>
          </w:tcPr>
          <w:p w14:paraId="58D3D31B">
            <w:pPr>
              <w:widowControl/>
              <w:spacing w:line="240" w:lineRule="exact"/>
              <w:jc w:val="center"/>
              <w:rPr>
                <w:rFonts w:ascii="Times New Roman" w:hAnsi="Times New Roman" w:eastAsia="宋体" w:cs="Times New Roman"/>
                <w:b/>
                <w:spacing w:val="-20"/>
                <w:kern w:val="0"/>
                <w:szCs w:val="21"/>
              </w:rPr>
            </w:pPr>
            <w:r>
              <w:rPr>
                <w:rFonts w:hint="eastAsia" w:ascii="宋体" w:hAnsi="宋体" w:eastAsia="宋体" w:cs="Times New Roman"/>
                <w:b/>
                <w:spacing w:val="-20"/>
                <w:kern w:val="0"/>
                <w:szCs w:val="21"/>
              </w:rPr>
              <w:t>评价标准</w:t>
            </w:r>
          </w:p>
        </w:tc>
        <w:tc>
          <w:tcPr>
            <w:tcW w:w="426" w:type="pct"/>
            <w:vMerge w:val="restart"/>
            <w:shd w:val="clear" w:color="auto" w:fill="auto"/>
            <w:vAlign w:val="center"/>
          </w:tcPr>
          <w:p w14:paraId="58081918">
            <w:pPr>
              <w:widowControl/>
              <w:spacing w:line="240" w:lineRule="exact"/>
              <w:jc w:val="center"/>
              <w:rPr>
                <w:rFonts w:ascii="Times New Roman" w:hAnsi="Times New Roman" w:eastAsia="宋体" w:cs="Times New Roman"/>
                <w:b/>
                <w:spacing w:val="-20"/>
                <w:kern w:val="0"/>
                <w:szCs w:val="21"/>
              </w:rPr>
            </w:pPr>
            <w:r>
              <w:rPr>
                <w:rFonts w:hint="eastAsia" w:ascii="宋体" w:hAnsi="宋体" w:eastAsia="宋体" w:cs="Times New Roman"/>
                <w:b/>
                <w:spacing w:val="-20"/>
                <w:kern w:val="0"/>
                <w:szCs w:val="21"/>
              </w:rPr>
              <w:t>超标户数</w:t>
            </w:r>
            <w:r>
              <w:rPr>
                <w:rFonts w:ascii="Times New Roman" w:hAnsi="Times New Roman" w:eastAsia="宋体" w:cs="Times New Roman"/>
                <w:b/>
                <w:spacing w:val="-20"/>
                <w:kern w:val="0"/>
                <w:szCs w:val="21"/>
              </w:rPr>
              <w:t>(</w:t>
            </w:r>
            <w:r>
              <w:rPr>
                <w:rFonts w:hint="eastAsia" w:ascii="宋体" w:hAnsi="宋体" w:eastAsia="宋体" w:cs="Times New Roman"/>
                <w:b/>
                <w:spacing w:val="-20"/>
                <w:kern w:val="0"/>
                <w:szCs w:val="21"/>
              </w:rPr>
              <w:t>户</w:t>
            </w:r>
            <w:r>
              <w:rPr>
                <w:rFonts w:ascii="Times New Roman" w:hAnsi="Times New Roman" w:eastAsia="宋体" w:cs="Times New Roman"/>
                <w:b/>
                <w:spacing w:val="-20"/>
                <w:kern w:val="0"/>
                <w:szCs w:val="21"/>
              </w:rPr>
              <w:t>)</w:t>
            </w:r>
          </w:p>
        </w:tc>
      </w:tr>
      <w:tr w14:paraId="7BBBEC23">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182" w:type="pct"/>
            <w:vMerge w:val="continue"/>
            <w:vAlign w:val="center"/>
          </w:tcPr>
          <w:p w14:paraId="7A82B22D">
            <w:pPr>
              <w:widowControl/>
              <w:spacing w:line="240" w:lineRule="exact"/>
              <w:jc w:val="center"/>
              <w:rPr>
                <w:rFonts w:ascii="Times New Roman" w:hAnsi="Times New Roman" w:eastAsia="宋体" w:cs="Times New Roman"/>
                <w:b/>
                <w:spacing w:val="-20"/>
                <w:kern w:val="0"/>
                <w:szCs w:val="21"/>
              </w:rPr>
            </w:pPr>
          </w:p>
        </w:tc>
        <w:tc>
          <w:tcPr>
            <w:tcW w:w="504" w:type="pct"/>
            <w:vMerge w:val="continue"/>
            <w:vAlign w:val="center"/>
          </w:tcPr>
          <w:p w14:paraId="5F280280">
            <w:pPr>
              <w:widowControl/>
              <w:spacing w:line="240" w:lineRule="exact"/>
              <w:jc w:val="center"/>
              <w:rPr>
                <w:rFonts w:ascii="Times New Roman" w:hAnsi="Times New Roman" w:eastAsia="宋体" w:cs="Times New Roman"/>
                <w:b/>
                <w:spacing w:val="-20"/>
                <w:kern w:val="0"/>
                <w:szCs w:val="21"/>
              </w:rPr>
            </w:pPr>
          </w:p>
        </w:tc>
        <w:tc>
          <w:tcPr>
            <w:tcW w:w="252" w:type="pct"/>
            <w:vMerge w:val="restart"/>
            <w:shd w:val="clear" w:color="auto" w:fill="auto"/>
            <w:vAlign w:val="center"/>
          </w:tcPr>
          <w:p w14:paraId="4B3572F6">
            <w:pPr>
              <w:widowControl/>
              <w:spacing w:line="240" w:lineRule="exact"/>
              <w:jc w:val="center"/>
              <w:rPr>
                <w:rFonts w:ascii="Times New Roman" w:hAnsi="Times New Roman" w:eastAsia="宋体" w:cs="Times New Roman"/>
                <w:b/>
                <w:spacing w:val="-20"/>
                <w:kern w:val="0"/>
                <w:szCs w:val="21"/>
              </w:rPr>
            </w:pPr>
            <w:r>
              <w:rPr>
                <w:rFonts w:hint="eastAsia" w:ascii="宋体" w:hAnsi="宋体" w:eastAsia="宋体" w:cs="Times New Roman"/>
                <w:b/>
                <w:spacing w:val="-20"/>
                <w:kern w:val="0"/>
                <w:szCs w:val="21"/>
              </w:rPr>
              <w:t>方位</w:t>
            </w:r>
          </w:p>
        </w:tc>
        <w:tc>
          <w:tcPr>
            <w:tcW w:w="303" w:type="pct"/>
            <w:vMerge w:val="restart"/>
            <w:shd w:val="clear" w:color="auto" w:fill="auto"/>
            <w:vAlign w:val="center"/>
          </w:tcPr>
          <w:p w14:paraId="6C47A98B">
            <w:pPr>
              <w:widowControl/>
              <w:spacing w:line="240" w:lineRule="exact"/>
              <w:jc w:val="center"/>
              <w:rPr>
                <w:rFonts w:ascii="Times New Roman" w:hAnsi="Times New Roman" w:eastAsia="宋体" w:cs="Times New Roman"/>
                <w:b/>
                <w:spacing w:val="-20"/>
                <w:kern w:val="0"/>
                <w:szCs w:val="21"/>
              </w:rPr>
            </w:pPr>
            <w:r>
              <w:rPr>
                <w:rFonts w:hint="eastAsia" w:ascii="宋体" w:hAnsi="宋体" w:eastAsia="宋体" w:cs="Times New Roman"/>
                <w:b/>
                <w:spacing w:val="-20"/>
                <w:kern w:val="0"/>
                <w:szCs w:val="21"/>
              </w:rPr>
              <w:t>距路中心</w:t>
            </w:r>
            <w:r>
              <w:rPr>
                <w:rFonts w:ascii="Times New Roman" w:hAnsi="Times New Roman" w:eastAsia="宋体" w:cs="Times New Roman"/>
                <w:b/>
                <w:spacing w:val="-20"/>
                <w:kern w:val="0"/>
                <w:szCs w:val="21"/>
              </w:rPr>
              <w:t>(m)</w:t>
            </w:r>
          </w:p>
        </w:tc>
        <w:tc>
          <w:tcPr>
            <w:tcW w:w="252" w:type="pct"/>
            <w:vMerge w:val="continue"/>
            <w:vAlign w:val="center"/>
          </w:tcPr>
          <w:p w14:paraId="52497A39">
            <w:pPr>
              <w:widowControl/>
              <w:spacing w:line="240" w:lineRule="exact"/>
              <w:jc w:val="center"/>
              <w:rPr>
                <w:rFonts w:ascii="Times New Roman" w:hAnsi="Times New Roman" w:eastAsia="宋体" w:cs="Times New Roman"/>
                <w:b/>
                <w:spacing w:val="-20"/>
                <w:kern w:val="0"/>
                <w:szCs w:val="21"/>
              </w:rPr>
            </w:pPr>
          </w:p>
        </w:tc>
        <w:tc>
          <w:tcPr>
            <w:tcW w:w="353" w:type="pct"/>
            <w:vMerge w:val="continue"/>
            <w:vAlign w:val="center"/>
          </w:tcPr>
          <w:p w14:paraId="0E2FF4ED">
            <w:pPr>
              <w:widowControl/>
              <w:spacing w:line="240" w:lineRule="exact"/>
              <w:jc w:val="center"/>
              <w:rPr>
                <w:rFonts w:ascii="Times New Roman" w:hAnsi="Times New Roman" w:eastAsia="宋体" w:cs="Times New Roman"/>
                <w:b/>
                <w:spacing w:val="-20"/>
                <w:kern w:val="0"/>
                <w:szCs w:val="21"/>
              </w:rPr>
            </w:pPr>
          </w:p>
        </w:tc>
        <w:tc>
          <w:tcPr>
            <w:tcW w:w="252" w:type="pct"/>
            <w:vMerge w:val="continue"/>
            <w:vAlign w:val="center"/>
          </w:tcPr>
          <w:p w14:paraId="6826555E">
            <w:pPr>
              <w:widowControl/>
              <w:spacing w:line="240" w:lineRule="exact"/>
              <w:jc w:val="center"/>
              <w:rPr>
                <w:rFonts w:ascii="Times New Roman" w:hAnsi="Times New Roman" w:eastAsia="宋体" w:cs="Times New Roman"/>
                <w:b/>
                <w:spacing w:val="-20"/>
                <w:kern w:val="0"/>
                <w:szCs w:val="21"/>
              </w:rPr>
            </w:pPr>
          </w:p>
        </w:tc>
        <w:tc>
          <w:tcPr>
            <w:tcW w:w="745" w:type="pct"/>
            <w:gridSpan w:val="2"/>
            <w:shd w:val="clear" w:color="auto" w:fill="auto"/>
            <w:vAlign w:val="center"/>
          </w:tcPr>
          <w:p w14:paraId="1CBC6631">
            <w:pPr>
              <w:widowControl/>
              <w:spacing w:line="240" w:lineRule="exact"/>
              <w:jc w:val="center"/>
              <w:rPr>
                <w:rFonts w:ascii="Times New Roman" w:hAnsi="Times New Roman" w:eastAsia="宋体" w:cs="Times New Roman"/>
                <w:b/>
                <w:spacing w:val="-20"/>
                <w:kern w:val="0"/>
                <w:szCs w:val="21"/>
              </w:rPr>
            </w:pPr>
            <w:r>
              <w:rPr>
                <w:rFonts w:hint="eastAsia" w:ascii="宋体" w:hAnsi="宋体" w:eastAsia="宋体" w:cs="Times New Roman"/>
                <w:b/>
                <w:spacing w:val="-20"/>
                <w:kern w:val="0"/>
                <w:szCs w:val="21"/>
              </w:rPr>
              <w:t>近期</w:t>
            </w:r>
          </w:p>
        </w:tc>
        <w:tc>
          <w:tcPr>
            <w:tcW w:w="745" w:type="pct"/>
            <w:gridSpan w:val="2"/>
            <w:shd w:val="clear" w:color="auto" w:fill="auto"/>
            <w:vAlign w:val="center"/>
          </w:tcPr>
          <w:p w14:paraId="7C724A41">
            <w:pPr>
              <w:widowControl/>
              <w:spacing w:line="240" w:lineRule="exact"/>
              <w:jc w:val="center"/>
              <w:rPr>
                <w:rFonts w:ascii="Times New Roman" w:hAnsi="Times New Roman" w:eastAsia="宋体" w:cs="Times New Roman"/>
                <w:b/>
                <w:spacing w:val="-20"/>
                <w:kern w:val="0"/>
                <w:szCs w:val="21"/>
              </w:rPr>
            </w:pPr>
            <w:r>
              <w:rPr>
                <w:rFonts w:hint="eastAsia" w:ascii="宋体" w:hAnsi="宋体" w:eastAsia="宋体" w:cs="Times New Roman"/>
                <w:b/>
                <w:spacing w:val="-20"/>
                <w:kern w:val="0"/>
                <w:szCs w:val="21"/>
              </w:rPr>
              <w:t>中期</w:t>
            </w:r>
          </w:p>
        </w:tc>
        <w:tc>
          <w:tcPr>
            <w:tcW w:w="751" w:type="pct"/>
            <w:gridSpan w:val="2"/>
            <w:shd w:val="clear" w:color="auto" w:fill="auto"/>
            <w:vAlign w:val="center"/>
          </w:tcPr>
          <w:p w14:paraId="012E4C94">
            <w:pPr>
              <w:widowControl/>
              <w:spacing w:line="240" w:lineRule="exact"/>
              <w:jc w:val="center"/>
              <w:rPr>
                <w:rFonts w:ascii="Times New Roman" w:hAnsi="Times New Roman" w:eastAsia="宋体" w:cs="Times New Roman"/>
                <w:b/>
                <w:spacing w:val="-20"/>
                <w:kern w:val="0"/>
                <w:szCs w:val="21"/>
              </w:rPr>
            </w:pPr>
            <w:r>
              <w:rPr>
                <w:rFonts w:hint="eastAsia" w:ascii="宋体" w:hAnsi="宋体" w:eastAsia="宋体" w:cs="Times New Roman"/>
                <w:b/>
                <w:spacing w:val="-20"/>
                <w:kern w:val="0"/>
                <w:szCs w:val="21"/>
              </w:rPr>
              <w:t>远期</w:t>
            </w:r>
          </w:p>
        </w:tc>
        <w:tc>
          <w:tcPr>
            <w:tcW w:w="235" w:type="pct"/>
            <w:vMerge w:val="continue"/>
            <w:vAlign w:val="center"/>
          </w:tcPr>
          <w:p w14:paraId="144E140C">
            <w:pPr>
              <w:widowControl/>
              <w:spacing w:line="240" w:lineRule="exact"/>
              <w:jc w:val="center"/>
              <w:rPr>
                <w:rFonts w:ascii="Times New Roman" w:hAnsi="Times New Roman" w:eastAsia="宋体" w:cs="Times New Roman"/>
                <w:b/>
                <w:spacing w:val="-20"/>
                <w:kern w:val="0"/>
                <w:szCs w:val="21"/>
              </w:rPr>
            </w:pPr>
          </w:p>
        </w:tc>
        <w:tc>
          <w:tcPr>
            <w:tcW w:w="426" w:type="pct"/>
            <w:vMerge w:val="continue"/>
            <w:vAlign w:val="center"/>
          </w:tcPr>
          <w:p w14:paraId="0B6A08CC">
            <w:pPr>
              <w:widowControl/>
              <w:spacing w:line="240" w:lineRule="exact"/>
              <w:jc w:val="center"/>
              <w:rPr>
                <w:rFonts w:ascii="Times New Roman" w:hAnsi="Times New Roman" w:eastAsia="宋体" w:cs="Times New Roman"/>
                <w:b/>
                <w:spacing w:val="-20"/>
                <w:kern w:val="0"/>
                <w:szCs w:val="21"/>
              </w:rPr>
            </w:pPr>
          </w:p>
        </w:tc>
      </w:tr>
      <w:tr w14:paraId="17B76EA2">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182" w:type="pct"/>
            <w:vMerge w:val="continue"/>
            <w:vAlign w:val="center"/>
          </w:tcPr>
          <w:p w14:paraId="0F332B51">
            <w:pPr>
              <w:widowControl/>
              <w:spacing w:line="240" w:lineRule="exact"/>
              <w:jc w:val="center"/>
              <w:rPr>
                <w:rFonts w:ascii="Times New Roman" w:hAnsi="Times New Roman" w:eastAsia="宋体" w:cs="Times New Roman"/>
                <w:b/>
                <w:spacing w:val="-20"/>
                <w:kern w:val="0"/>
                <w:szCs w:val="21"/>
              </w:rPr>
            </w:pPr>
          </w:p>
        </w:tc>
        <w:tc>
          <w:tcPr>
            <w:tcW w:w="504" w:type="pct"/>
            <w:vMerge w:val="continue"/>
            <w:vAlign w:val="center"/>
          </w:tcPr>
          <w:p w14:paraId="265E309A">
            <w:pPr>
              <w:widowControl/>
              <w:spacing w:line="240" w:lineRule="exact"/>
              <w:jc w:val="center"/>
              <w:rPr>
                <w:rFonts w:ascii="Times New Roman" w:hAnsi="Times New Roman" w:eastAsia="宋体" w:cs="Times New Roman"/>
                <w:b/>
                <w:spacing w:val="-20"/>
                <w:kern w:val="0"/>
                <w:szCs w:val="21"/>
              </w:rPr>
            </w:pPr>
          </w:p>
        </w:tc>
        <w:tc>
          <w:tcPr>
            <w:tcW w:w="252" w:type="pct"/>
            <w:vMerge w:val="continue"/>
            <w:vAlign w:val="center"/>
          </w:tcPr>
          <w:p w14:paraId="1613618A">
            <w:pPr>
              <w:widowControl/>
              <w:spacing w:line="240" w:lineRule="exact"/>
              <w:jc w:val="center"/>
              <w:rPr>
                <w:rFonts w:ascii="Times New Roman" w:hAnsi="Times New Roman" w:eastAsia="宋体" w:cs="Times New Roman"/>
                <w:b/>
                <w:spacing w:val="-20"/>
                <w:kern w:val="0"/>
                <w:szCs w:val="21"/>
              </w:rPr>
            </w:pPr>
          </w:p>
        </w:tc>
        <w:tc>
          <w:tcPr>
            <w:tcW w:w="303" w:type="pct"/>
            <w:vMerge w:val="continue"/>
            <w:vAlign w:val="center"/>
          </w:tcPr>
          <w:p w14:paraId="36A6D34E">
            <w:pPr>
              <w:widowControl/>
              <w:spacing w:line="240" w:lineRule="exact"/>
              <w:jc w:val="center"/>
              <w:rPr>
                <w:rFonts w:ascii="Times New Roman" w:hAnsi="Times New Roman" w:eastAsia="宋体" w:cs="Times New Roman"/>
                <w:b/>
                <w:spacing w:val="-20"/>
                <w:kern w:val="0"/>
                <w:szCs w:val="21"/>
              </w:rPr>
            </w:pPr>
          </w:p>
        </w:tc>
        <w:tc>
          <w:tcPr>
            <w:tcW w:w="252" w:type="pct"/>
            <w:vMerge w:val="continue"/>
            <w:vAlign w:val="center"/>
          </w:tcPr>
          <w:p w14:paraId="4FC07784">
            <w:pPr>
              <w:widowControl/>
              <w:spacing w:line="240" w:lineRule="exact"/>
              <w:jc w:val="center"/>
              <w:rPr>
                <w:rFonts w:ascii="Times New Roman" w:hAnsi="Times New Roman" w:eastAsia="宋体" w:cs="Times New Roman"/>
                <w:b/>
                <w:spacing w:val="-20"/>
                <w:kern w:val="0"/>
                <w:szCs w:val="21"/>
              </w:rPr>
            </w:pPr>
          </w:p>
        </w:tc>
        <w:tc>
          <w:tcPr>
            <w:tcW w:w="353" w:type="pct"/>
            <w:vMerge w:val="continue"/>
            <w:vAlign w:val="center"/>
          </w:tcPr>
          <w:p w14:paraId="488C5130">
            <w:pPr>
              <w:widowControl/>
              <w:spacing w:line="240" w:lineRule="exact"/>
              <w:jc w:val="center"/>
              <w:rPr>
                <w:rFonts w:ascii="Times New Roman" w:hAnsi="Times New Roman" w:eastAsia="宋体" w:cs="Times New Roman"/>
                <w:b/>
                <w:spacing w:val="-20"/>
                <w:kern w:val="0"/>
                <w:szCs w:val="21"/>
              </w:rPr>
            </w:pPr>
          </w:p>
        </w:tc>
        <w:tc>
          <w:tcPr>
            <w:tcW w:w="252" w:type="pct"/>
            <w:vMerge w:val="continue"/>
            <w:vAlign w:val="center"/>
          </w:tcPr>
          <w:p w14:paraId="238A414C">
            <w:pPr>
              <w:widowControl/>
              <w:spacing w:line="240" w:lineRule="exact"/>
              <w:jc w:val="center"/>
              <w:rPr>
                <w:rFonts w:ascii="Times New Roman" w:hAnsi="Times New Roman" w:eastAsia="宋体" w:cs="Times New Roman"/>
                <w:b/>
                <w:spacing w:val="-20"/>
                <w:kern w:val="0"/>
                <w:szCs w:val="21"/>
              </w:rPr>
            </w:pPr>
          </w:p>
        </w:tc>
        <w:tc>
          <w:tcPr>
            <w:tcW w:w="372" w:type="pct"/>
            <w:shd w:val="clear" w:color="auto" w:fill="auto"/>
            <w:vAlign w:val="center"/>
          </w:tcPr>
          <w:p w14:paraId="180B38DB">
            <w:pPr>
              <w:widowControl/>
              <w:spacing w:line="240" w:lineRule="exact"/>
              <w:jc w:val="center"/>
              <w:rPr>
                <w:rFonts w:ascii="Times New Roman" w:hAnsi="Times New Roman" w:eastAsia="宋体" w:cs="Times New Roman"/>
                <w:b/>
                <w:spacing w:val="-20"/>
                <w:kern w:val="0"/>
                <w:szCs w:val="21"/>
              </w:rPr>
            </w:pPr>
            <w:r>
              <w:rPr>
                <w:rFonts w:hint="eastAsia" w:ascii="宋体" w:hAnsi="宋体" w:eastAsia="宋体" w:cs="Times New Roman"/>
                <w:b/>
                <w:spacing w:val="-20"/>
                <w:kern w:val="0"/>
                <w:szCs w:val="21"/>
              </w:rPr>
              <w:t>昼间</w:t>
            </w:r>
          </w:p>
        </w:tc>
        <w:tc>
          <w:tcPr>
            <w:tcW w:w="373" w:type="pct"/>
            <w:shd w:val="clear" w:color="auto" w:fill="auto"/>
            <w:vAlign w:val="center"/>
          </w:tcPr>
          <w:p w14:paraId="50B2761C">
            <w:pPr>
              <w:widowControl/>
              <w:spacing w:line="240" w:lineRule="exact"/>
              <w:jc w:val="center"/>
              <w:rPr>
                <w:rFonts w:ascii="Times New Roman" w:hAnsi="Times New Roman" w:eastAsia="宋体" w:cs="Times New Roman"/>
                <w:b/>
                <w:spacing w:val="-20"/>
                <w:kern w:val="0"/>
                <w:szCs w:val="21"/>
              </w:rPr>
            </w:pPr>
            <w:r>
              <w:rPr>
                <w:rFonts w:hint="eastAsia" w:ascii="宋体" w:hAnsi="宋体" w:eastAsia="宋体" w:cs="Times New Roman"/>
                <w:b/>
                <w:spacing w:val="-20"/>
                <w:kern w:val="0"/>
                <w:szCs w:val="21"/>
              </w:rPr>
              <w:t>夜间</w:t>
            </w:r>
          </w:p>
        </w:tc>
        <w:tc>
          <w:tcPr>
            <w:tcW w:w="373" w:type="pct"/>
            <w:shd w:val="clear" w:color="auto" w:fill="auto"/>
            <w:vAlign w:val="center"/>
          </w:tcPr>
          <w:p w14:paraId="18D4A4E2">
            <w:pPr>
              <w:widowControl/>
              <w:spacing w:line="240" w:lineRule="exact"/>
              <w:jc w:val="center"/>
              <w:rPr>
                <w:rFonts w:ascii="Times New Roman" w:hAnsi="Times New Roman" w:eastAsia="宋体" w:cs="Times New Roman"/>
                <w:b/>
                <w:spacing w:val="-20"/>
                <w:kern w:val="0"/>
                <w:szCs w:val="21"/>
              </w:rPr>
            </w:pPr>
            <w:r>
              <w:rPr>
                <w:rFonts w:hint="eastAsia" w:ascii="宋体" w:hAnsi="宋体" w:eastAsia="宋体" w:cs="Times New Roman"/>
                <w:b/>
                <w:spacing w:val="-20"/>
                <w:kern w:val="0"/>
                <w:szCs w:val="21"/>
              </w:rPr>
              <w:t>昼间</w:t>
            </w:r>
          </w:p>
        </w:tc>
        <w:tc>
          <w:tcPr>
            <w:tcW w:w="372" w:type="pct"/>
            <w:shd w:val="clear" w:color="auto" w:fill="auto"/>
            <w:vAlign w:val="center"/>
          </w:tcPr>
          <w:p w14:paraId="7E63AC2C">
            <w:pPr>
              <w:widowControl/>
              <w:spacing w:line="240" w:lineRule="exact"/>
              <w:jc w:val="center"/>
              <w:rPr>
                <w:rFonts w:ascii="Times New Roman" w:hAnsi="Times New Roman" w:eastAsia="宋体" w:cs="Times New Roman"/>
                <w:b/>
                <w:spacing w:val="-20"/>
                <w:kern w:val="0"/>
                <w:szCs w:val="21"/>
              </w:rPr>
            </w:pPr>
            <w:r>
              <w:rPr>
                <w:rFonts w:hint="eastAsia" w:ascii="宋体" w:hAnsi="宋体" w:eastAsia="宋体" w:cs="Times New Roman"/>
                <w:b/>
                <w:spacing w:val="-20"/>
                <w:kern w:val="0"/>
                <w:szCs w:val="21"/>
              </w:rPr>
              <w:t>夜间</w:t>
            </w:r>
          </w:p>
        </w:tc>
        <w:tc>
          <w:tcPr>
            <w:tcW w:w="373" w:type="pct"/>
            <w:shd w:val="clear" w:color="auto" w:fill="auto"/>
            <w:vAlign w:val="center"/>
          </w:tcPr>
          <w:p w14:paraId="32799B96">
            <w:pPr>
              <w:widowControl/>
              <w:spacing w:line="240" w:lineRule="exact"/>
              <w:jc w:val="center"/>
              <w:rPr>
                <w:rFonts w:ascii="Times New Roman" w:hAnsi="Times New Roman" w:eastAsia="宋体" w:cs="Times New Roman"/>
                <w:b/>
                <w:spacing w:val="-20"/>
                <w:kern w:val="0"/>
                <w:szCs w:val="21"/>
              </w:rPr>
            </w:pPr>
            <w:r>
              <w:rPr>
                <w:rFonts w:hint="eastAsia" w:ascii="宋体" w:hAnsi="宋体" w:eastAsia="宋体" w:cs="Times New Roman"/>
                <w:b/>
                <w:spacing w:val="-20"/>
                <w:kern w:val="0"/>
                <w:szCs w:val="21"/>
              </w:rPr>
              <w:t>昼间</w:t>
            </w:r>
          </w:p>
        </w:tc>
        <w:tc>
          <w:tcPr>
            <w:tcW w:w="378" w:type="pct"/>
            <w:shd w:val="clear" w:color="auto" w:fill="auto"/>
            <w:vAlign w:val="center"/>
          </w:tcPr>
          <w:p w14:paraId="593C29DC">
            <w:pPr>
              <w:widowControl/>
              <w:spacing w:line="240" w:lineRule="exact"/>
              <w:jc w:val="center"/>
              <w:rPr>
                <w:rFonts w:ascii="Times New Roman" w:hAnsi="Times New Roman" w:eastAsia="宋体" w:cs="Times New Roman"/>
                <w:b/>
                <w:spacing w:val="-20"/>
                <w:kern w:val="0"/>
                <w:szCs w:val="21"/>
              </w:rPr>
            </w:pPr>
            <w:r>
              <w:rPr>
                <w:rFonts w:hint="eastAsia" w:ascii="宋体" w:hAnsi="宋体" w:eastAsia="宋体" w:cs="Times New Roman"/>
                <w:b/>
                <w:spacing w:val="-20"/>
                <w:kern w:val="0"/>
                <w:szCs w:val="21"/>
              </w:rPr>
              <w:t>夜间</w:t>
            </w:r>
          </w:p>
        </w:tc>
        <w:tc>
          <w:tcPr>
            <w:tcW w:w="235" w:type="pct"/>
            <w:vMerge w:val="continue"/>
            <w:vAlign w:val="center"/>
          </w:tcPr>
          <w:p w14:paraId="6466C486">
            <w:pPr>
              <w:widowControl/>
              <w:spacing w:line="240" w:lineRule="exact"/>
              <w:jc w:val="center"/>
              <w:rPr>
                <w:rFonts w:ascii="Times New Roman" w:hAnsi="Times New Roman" w:eastAsia="宋体" w:cs="Times New Roman"/>
                <w:b/>
                <w:spacing w:val="-20"/>
                <w:kern w:val="0"/>
                <w:szCs w:val="21"/>
              </w:rPr>
            </w:pPr>
          </w:p>
        </w:tc>
        <w:tc>
          <w:tcPr>
            <w:tcW w:w="426" w:type="pct"/>
            <w:vMerge w:val="continue"/>
            <w:vAlign w:val="center"/>
          </w:tcPr>
          <w:p w14:paraId="689DC0BD">
            <w:pPr>
              <w:widowControl/>
              <w:spacing w:line="240" w:lineRule="exact"/>
              <w:jc w:val="center"/>
              <w:rPr>
                <w:rFonts w:ascii="Times New Roman" w:hAnsi="Times New Roman" w:eastAsia="宋体" w:cs="Times New Roman"/>
                <w:b/>
                <w:spacing w:val="-20"/>
                <w:kern w:val="0"/>
                <w:szCs w:val="21"/>
              </w:rPr>
            </w:pPr>
          </w:p>
        </w:tc>
      </w:tr>
      <w:tr w14:paraId="36A3FF91">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182" w:type="pct"/>
            <w:vMerge w:val="restart"/>
            <w:shd w:val="clear" w:color="auto" w:fill="auto"/>
            <w:vAlign w:val="center"/>
          </w:tcPr>
          <w:p w14:paraId="1D7BBB55">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w:t>
            </w:r>
          </w:p>
        </w:tc>
        <w:tc>
          <w:tcPr>
            <w:tcW w:w="504" w:type="pct"/>
            <w:vMerge w:val="restart"/>
            <w:shd w:val="clear" w:color="auto" w:fill="auto"/>
            <w:vAlign w:val="center"/>
          </w:tcPr>
          <w:p w14:paraId="0CE31220">
            <w:pPr>
              <w:widowControl/>
              <w:spacing w:line="240" w:lineRule="exact"/>
              <w:jc w:val="center"/>
              <w:rPr>
                <w:rFonts w:ascii="Times New Roman" w:hAnsi="Times New Roman" w:eastAsia="宋体" w:cs="Times New Roman"/>
                <w:kern w:val="0"/>
                <w:szCs w:val="21"/>
              </w:rPr>
            </w:pPr>
            <w:r>
              <w:rPr>
                <w:rFonts w:hint="eastAsia" w:ascii="宋体" w:hAnsi="宋体" w:eastAsia="宋体" w:cs="Times New Roman"/>
                <w:kern w:val="0"/>
                <w:szCs w:val="21"/>
              </w:rPr>
              <w:t>库尔干村</w:t>
            </w:r>
          </w:p>
        </w:tc>
        <w:tc>
          <w:tcPr>
            <w:tcW w:w="252" w:type="pct"/>
            <w:vMerge w:val="restart"/>
            <w:shd w:val="clear" w:color="auto" w:fill="auto"/>
            <w:vAlign w:val="center"/>
          </w:tcPr>
          <w:p w14:paraId="5E776BDB">
            <w:pPr>
              <w:widowControl/>
              <w:spacing w:line="240" w:lineRule="exact"/>
              <w:jc w:val="center"/>
              <w:rPr>
                <w:rFonts w:ascii="Times New Roman" w:hAnsi="Times New Roman" w:eastAsia="宋体" w:cs="Times New Roman"/>
                <w:kern w:val="0"/>
                <w:szCs w:val="21"/>
              </w:rPr>
            </w:pPr>
            <w:r>
              <w:rPr>
                <w:rFonts w:hint="eastAsia" w:ascii="宋体" w:hAnsi="宋体" w:eastAsia="宋体" w:cs="Times New Roman"/>
                <w:kern w:val="0"/>
                <w:szCs w:val="21"/>
              </w:rPr>
              <w:t>路右</w:t>
            </w:r>
          </w:p>
        </w:tc>
        <w:tc>
          <w:tcPr>
            <w:tcW w:w="303" w:type="pct"/>
            <w:vMerge w:val="restart"/>
            <w:shd w:val="clear" w:color="auto" w:fill="auto"/>
            <w:vAlign w:val="center"/>
          </w:tcPr>
          <w:p w14:paraId="11E0913D">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36</w:t>
            </w:r>
          </w:p>
        </w:tc>
        <w:tc>
          <w:tcPr>
            <w:tcW w:w="252" w:type="pct"/>
            <w:shd w:val="clear" w:color="auto" w:fill="auto"/>
            <w:vAlign w:val="center"/>
          </w:tcPr>
          <w:p w14:paraId="2CFABC86">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w:t>
            </w:r>
          </w:p>
        </w:tc>
        <w:tc>
          <w:tcPr>
            <w:tcW w:w="353" w:type="pct"/>
            <w:vMerge w:val="restart"/>
            <w:shd w:val="clear" w:color="auto" w:fill="auto"/>
            <w:vAlign w:val="center"/>
          </w:tcPr>
          <w:p w14:paraId="4E8E55A4">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0</w:t>
            </w:r>
          </w:p>
        </w:tc>
        <w:tc>
          <w:tcPr>
            <w:tcW w:w="252" w:type="pct"/>
            <w:vMerge w:val="restart"/>
            <w:shd w:val="clear" w:color="auto" w:fill="auto"/>
            <w:vAlign w:val="center"/>
          </w:tcPr>
          <w:p w14:paraId="4CC06CA4">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w:t>
            </w:r>
            <w:r>
              <w:rPr>
                <w:rFonts w:hint="eastAsia" w:ascii="宋体" w:hAnsi="宋体" w:eastAsia="宋体" w:cs="Times New Roman"/>
                <w:kern w:val="0"/>
                <w:szCs w:val="21"/>
              </w:rPr>
              <w:t>层</w:t>
            </w:r>
          </w:p>
        </w:tc>
        <w:tc>
          <w:tcPr>
            <w:tcW w:w="372" w:type="pct"/>
            <w:shd w:val="clear" w:color="auto" w:fill="auto"/>
            <w:vAlign w:val="center"/>
          </w:tcPr>
          <w:p w14:paraId="2578F13F">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3" w:type="pct"/>
            <w:shd w:val="clear" w:color="auto" w:fill="auto"/>
            <w:vAlign w:val="center"/>
          </w:tcPr>
          <w:p w14:paraId="6B4AB670">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3.4</w:t>
            </w:r>
          </w:p>
        </w:tc>
        <w:tc>
          <w:tcPr>
            <w:tcW w:w="373" w:type="pct"/>
            <w:shd w:val="clear" w:color="auto" w:fill="auto"/>
            <w:vAlign w:val="center"/>
          </w:tcPr>
          <w:p w14:paraId="1BCDFD69">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2" w:type="pct"/>
            <w:shd w:val="clear" w:color="auto" w:fill="auto"/>
            <w:vAlign w:val="center"/>
          </w:tcPr>
          <w:p w14:paraId="5645A0CA">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4.2</w:t>
            </w:r>
          </w:p>
        </w:tc>
        <w:tc>
          <w:tcPr>
            <w:tcW w:w="373" w:type="pct"/>
            <w:shd w:val="clear" w:color="auto" w:fill="auto"/>
            <w:vAlign w:val="center"/>
          </w:tcPr>
          <w:p w14:paraId="16DABDEE">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8" w:type="pct"/>
            <w:shd w:val="clear" w:color="auto" w:fill="auto"/>
            <w:vAlign w:val="center"/>
          </w:tcPr>
          <w:p w14:paraId="7E8601E9">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4.9</w:t>
            </w:r>
          </w:p>
        </w:tc>
        <w:tc>
          <w:tcPr>
            <w:tcW w:w="235" w:type="pct"/>
            <w:vMerge w:val="restart"/>
            <w:shd w:val="clear" w:color="auto" w:fill="auto"/>
            <w:vAlign w:val="center"/>
          </w:tcPr>
          <w:p w14:paraId="170DA696">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4a</w:t>
            </w:r>
            <w:r>
              <w:rPr>
                <w:rFonts w:hint="eastAsia" w:ascii="宋体" w:hAnsi="宋体" w:eastAsia="宋体" w:cs="Times New Roman"/>
                <w:kern w:val="0"/>
                <w:szCs w:val="21"/>
              </w:rPr>
              <w:t>类</w:t>
            </w:r>
          </w:p>
        </w:tc>
        <w:tc>
          <w:tcPr>
            <w:tcW w:w="426" w:type="pct"/>
            <w:shd w:val="clear" w:color="auto" w:fill="auto"/>
            <w:vAlign w:val="center"/>
          </w:tcPr>
          <w:p w14:paraId="1D55E691">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25</w:t>
            </w:r>
          </w:p>
        </w:tc>
      </w:tr>
      <w:tr w14:paraId="0819B803">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182" w:type="pct"/>
            <w:vMerge w:val="continue"/>
            <w:vAlign w:val="center"/>
          </w:tcPr>
          <w:p w14:paraId="75EA9B62">
            <w:pPr>
              <w:widowControl/>
              <w:spacing w:line="240" w:lineRule="exact"/>
              <w:jc w:val="center"/>
              <w:rPr>
                <w:rFonts w:ascii="Times New Roman" w:hAnsi="Times New Roman" w:eastAsia="宋体" w:cs="Times New Roman"/>
                <w:kern w:val="0"/>
                <w:szCs w:val="21"/>
              </w:rPr>
            </w:pPr>
          </w:p>
        </w:tc>
        <w:tc>
          <w:tcPr>
            <w:tcW w:w="504" w:type="pct"/>
            <w:vMerge w:val="continue"/>
            <w:vAlign w:val="center"/>
          </w:tcPr>
          <w:p w14:paraId="30F372BA">
            <w:pPr>
              <w:widowControl/>
              <w:spacing w:line="240" w:lineRule="exact"/>
              <w:jc w:val="center"/>
              <w:rPr>
                <w:rFonts w:ascii="Times New Roman" w:hAnsi="Times New Roman" w:eastAsia="宋体" w:cs="Times New Roman"/>
                <w:kern w:val="0"/>
                <w:szCs w:val="21"/>
              </w:rPr>
            </w:pPr>
          </w:p>
        </w:tc>
        <w:tc>
          <w:tcPr>
            <w:tcW w:w="252" w:type="pct"/>
            <w:vMerge w:val="continue"/>
            <w:vAlign w:val="center"/>
          </w:tcPr>
          <w:p w14:paraId="45A5FFD8">
            <w:pPr>
              <w:widowControl/>
              <w:spacing w:line="240" w:lineRule="exact"/>
              <w:jc w:val="center"/>
              <w:rPr>
                <w:rFonts w:ascii="Times New Roman" w:hAnsi="Times New Roman" w:eastAsia="宋体" w:cs="Times New Roman"/>
                <w:kern w:val="0"/>
                <w:szCs w:val="21"/>
              </w:rPr>
            </w:pPr>
          </w:p>
        </w:tc>
        <w:tc>
          <w:tcPr>
            <w:tcW w:w="303" w:type="pct"/>
            <w:vMerge w:val="continue"/>
            <w:vAlign w:val="center"/>
          </w:tcPr>
          <w:p w14:paraId="09465BF8">
            <w:pPr>
              <w:widowControl/>
              <w:spacing w:line="240" w:lineRule="exact"/>
              <w:jc w:val="center"/>
              <w:rPr>
                <w:rFonts w:ascii="Times New Roman" w:hAnsi="Times New Roman" w:eastAsia="宋体" w:cs="Times New Roman"/>
                <w:kern w:val="0"/>
                <w:szCs w:val="21"/>
              </w:rPr>
            </w:pPr>
          </w:p>
        </w:tc>
        <w:tc>
          <w:tcPr>
            <w:tcW w:w="252" w:type="pct"/>
            <w:vMerge w:val="restart"/>
            <w:shd w:val="clear" w:color="auto" w:fill="auto"/>
            <w:vAlign w:val="center"/>
          </w:tcPr>
          <w:p w14:paraId="0863E530">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0</w:t>
            </w:r>
          </w:p>
        </w:tc>
        <w:tc>
          <w:tcPr>
            <w:tcW w:w="353" w:type="pct"/>
            <w:vMerge w:val="continue"/>
            <w:vAlign w:val="center"/>
          </w:tcPr>
          <w:p w14:paraId="0758F49B">
            <w:pPr>
              <w:widowControl/>
              <w:spacing w:line="240" w:lineRule="exact"/>
              <w:jc w:val="center"/>
              <w:rPr>
                <w:rFonts w:ascii="Times New Roman" w:hAnsi="Times New Roman" w:eastAsia="宋体" w:cs="Times New Roman"/>
                <w:kern w:val="0"/>
                <w:szCs w:val="21"/>
              </w:rPr>
            </w:pPr>
          </w:p>
        </w:tc>
        <w:tc>
          <w:tcPr>
            <w:tcW w:w="252" w:type="pct"/>
            <w:vMerge w:val="continue"/>
            <w:vAlign w:val="center"/>
          </w:tcPr>
          <w:p w14:paraId="5AE90A70">
            <w:pPr>
              <w:widowControl/>
              <w:spacing w:line="240" w:lineRule="exact"/>
              <w:jc w:val="center"/>
              <w:rPr>
                <w:rFonts w:ascii="Times New Roman" w:hAnsi="Times New Roman" w:eastAsia="宋体" w:cs="Times New Roman"/>
                <w:kern w:val="0"/>
                <w:szCs w:val="21"/>
              </w:rPr>
            </w:pPr>
          </w:p>
        </w:tc>
        <w:tc>
          <w:tcPr>
            <w:tcW w:w="372" w:type="pct"/>
            <w:shd w:val="clear" w:color="auto" w:fill="auto"/>
            <w:vAlign w:val="center"/>
          </w:tcPr>
          <w:p w14:paraId="33F58FE2">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3" w:type="pct"/>
            <w:shd w:val="clear" w:color="auto" w:fill="auto"/>
            <w:vAlign w:val="center"/>
          </w:tcPr>
          <w:p w14:paraId="23FDD5A1">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5.3</w:t>
            </w:r>
          </w:p>
        </w:tc>
        <w:tc>
          <w:tcPr>
            <w:tcW w:w="373" w:type="pct"/>
            <w:shd w:val="clear" w:color="auto" w:fill="auto"/>
            <w:vAlign w:val="center"/>
          </w:tcPr>
          <w:p w14:paraId="493A78DC">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2" w:type="pct"/>
            <w:shd w:val="clear" w:color="auto" w:fill="auto"/>
            <w:vAlign w:val="center"/>
          </w:tcPr>
          <w:p w14:paraId="72F5B2DD">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6.1</w:t>
            </w:r>
          </w:p>
        </w:tc>
        <w:tc>
          <w:tcPr>
            <w:tcW w:w="373" w:type="pct"/>
            <w:shd w:val="clear" w:color="auto" w:fill="auto"/>
            <w:vAlign w:val="center"/>
          </w:tcPr>
          <w:p w14:paraId="786010CD">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8" w:type="pct"/>
            <w:shd w:val="clear" w:color="auto" w:fill="auto"/>
            <w:vAlign w:val="center"/>
          </w:tcPr>
          <w:p w14:paraId="4FFC8A7B">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6.8</w:t>
            </w:r>
          </w:p>
        </w:tc>
        <w:tc>
          <w:tcPr>
            <w:tcW w:w="235" w:type="pct"/>
            <w:vMerge w:val="continue"/>
            <w:vAlign w:val="center"/>
          </w:tcPr>
          <w:p w14:paraId="142BFF38">
            <w:pPr>
              <w:widowControl/>
              <w:spacing w:line="240" w:lineRule="exact"/>
              <w:jc w:val="center"/>
              <w:rPr>
                <w:rFonts w:ascii="Times New Roman" w:hAnsi="Times New Roman" w:eastAsia="宋体" w:cs="Times New Roman"/>
                <w:kern w:val="0"/>
                <w:szCs w:val="21"/>
              </w:rPr>
            </w:pPr>
          </w:p>
        </w:tc>
        <w:tc>
          <w:tcPr>
            <w:tcW w:w="426" w:type="pct"/>
            <w:shd w:val="clear" w:color="auto" w:fill="auto"/>
            <w:vAlign w:val="center"/>
          </w:tcPr>
          <w:p w14:paraId="23030BCD">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25</w:t>
            </w:r>
          </w:p>
        </w:tc>
      </w:tr>
      <w:tr w14:paraId="72331DD9">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182" w:type="pct"/>
            <w:vMerge w:val="continue"/>
            <w:vAlign w:val="center"/>
          </w:tcPr>
          <w:p w14:paraId="0E8E3436">
            <w:pPr>
              <w:widowControl/>
              <w:spacing w:line="240" w:lineRule="exact"/>
              <w:jc w:val="center"/>
              <w:rPr>
                <w:rFonts w:ascii="Times New Roman" w:hAnsi="Times New Roman" w:eastAsia="宋体" w:cs="Times New Roman"/>
                <w:kern w:val="0"/>
                <w:szCs w:val="21"/>
              </w:rPr>
            </w:pPr>
          </w:p>
        </w:tc>
        <w:tc>
          <w:tcPr>
            <w:tcW w:w="504" w:type="pct"/>
            <w:vMerge w:val="continue"/>
            <w:vAlign w:val="center"/>
          </w:tcPr>
          <w:p w14:paraId="6842EAE1">
            <w:pPr>
              <w:widowControl/>
              <w:spacing w:line="240" w:lineRule="exact"/>
              <w:jc w:val="center"/>
              <w:rPr>
                <w:rFonts w:ascii="Times New Roman" w:hAnsi="Times New Roman" w:eastAsia="宋体" w:cs="Times New Roman"/>
                <w:kern w:val="0"/>
                <w:szCs w:val="21"/>
              </w:rPr>
            </w:pPr>
          </w:p>
        </w:tc>
        <w:tc>
          <w:tcPr>
            <w:tcW w:w="252" w:type="pct"/>
            <w:vMerge w:val="continue"/>
            <w:vAlign w:val="center"/>
          </w:tcPr>
          <w:p w14:paraId="5BE0C09A">
            <w:pPr>
              <w:widowControl/>
              <w:spacing w:line="240" w:lineRule="exact"/>
              <w:jc w:val="center"/>
              <w:rPr>
                <w:rFonts w:ascii="Times New Roman" w:hAnsi="Times New Roman" w:eastAsia="宋体" w:cs="Times New Roman"/>
                <w:kern w:val="0"/>
                <w:szCs w:val="21"/>
              </w:rPr>
            </w:pPr>
          </w:p>
        </w:tc>
        <w:tc>
          <w:tcPr>
            <w:tcW w:w="303" w:type="pct"/>
            <w:shd w:val="clear" w:color="auto" w:fill="auto"/>
            <w:vAlign w:val="center"/>
          </w:tcPr>
          <w:p w14:paraId="07A9A92E">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55</w:t>
            </w:r>
          </w:p>
        </w:tc>
        <w:tc>
          <w:tcPr>
            <w:tcW w:w="252" w:type="pct"/>
            <w:vMerge w:val="continue"/>
            <w:vAlign w:val="center"/>
          </w:tcPr>
          <w:p w14:paraId="4E47A85F">
            <w:pPr>
              <w:widowControl/>
              <w:spacing w:line="240" w:lineRule="exact"/>
              <w:jc w:val="center"/>
              <w:rPr>
                <w:rFonts w:ascii="Times New Roman" w:hAnsi="Times New Roman" w:eastAsia="宋体" w:cs="Times New Roman"/>
                <w:kern w:val="0"/>
                <w:szCs w:val="21"/>
              </w:rPr>
            </w:pPr>
          </w:p>
        </w:tc>
        <w:tc>
          <w:tcPr>
            <w:tcW w:w="353" w:type="pct"/>
            <w:vMerge w:val="continue"/>
            <w:vAlign w:val="center"/>
          </w:tcPr>
          <w:p w14:paraId="06EEA42E">
            <w:pPr>
              <w:widowControl/>
              <w:spacing w:line="240" w:lineRule="exact"/>
              <w:jc w:val="center"/>
              <w:rPr>
                <w:rFonts w:ascii="Times New Roman" w:hAnsi="Times New Roman" w:eastAsia="宋体" w:cs="Times New Roman"/>
                <w:kern w:val="0"/>
                <w:szCs w:val="21"/>
              </w:rPr>
            </w:pPr>
          </w:p>
        </w:tc>
        <w:tc>
          <w:tcPr>
            <w:tcW w:w="252" w:type="pct"/>
            <w:vMerge w:val="continue"/>
            <w:vAlign w:val="center"/>
          </w:tcPr>
          <w:p w14:paraId="3679C1E8">
            <w:pPr>
              <w:widowControl/>
              <w:spacing w:line="240" w:lineRule="exact"/>
              <w:jc w:val="center"/>
              <w:rPr>
                <w:rFonts w:ascii="Times New Roman" w:hAnsi="Times New Roman" w:eastAsia="宋体" w:cs="Times New Roman"/>
                <w:kern w:val="0"/>
                <w:szCs w:val="21"/>
              </w:rPr>
            </w:pPr>
          </w:p>
        </w:tc>
        <w:tc>
          <w:tcPr>
            <w:tcW w:w="372" w:type="pct"/>
            <w:shd w:val="clear" w:color="auto" w:fill="auto"/>
            <w:vAlign w:val="center"/>
          </w:tcPr>
          <w:p w14:paraId="68E9A7A1">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1.2</w:t>
            </w:r>
          </w:p>
        </w:tc>
        <w:tc>
          <w:tcPr>
            <w:tcW w:w="373" w:type="pct"/>
            <w:shd w:val="clear" w:color="auto" w:fill="auto"/>
            <w:vAlign w:val="center"/>
          </w:tcPr>
          <w:p w14:paraId="06C6EF56">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7.3</w:t>
            </w:r>
          </w:p>
        </w:tc>
        <w:tc>
          <w:tcPr>
            <w:tcW w:w="373" w:type="pct"/>
            <w:shd w:val="clear" w:color="auto" w:fill="auto"/>
            <w:vAlign w:val="center"/>
          </w:tcPr>
          <w:p w14:paraId="2582FFE3">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2.0</w:t>
            </w:r>
          </w:p>
        </w:tc>
        <w:tc>
          <w:tcPr>
            <w:tcW w:w="372" w:type="pct"/>
            <w:shd w:val="clear" w:color="auto" w:fill="auto"/>
            <w:vAlign w:val="center"/>
          </w:tcPr>
          <w:p w14:paraId="129DF524">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8.1</w:t>
            </w:r>
          </w:p>
        </w:tc>
        <w:tc>
          <w:tcPr>
            <w:tcW w:w="373" w:type="pct"/>
            <w:shd w:val="clear" w:color="auto" w:fill="auto"/>
            <w:vAlign w:val="center"/>
          </w:tcPr>
          <w:p w14:paraId="5A971FD3">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0.9</w:t>
            </w:r>
          </w:p>
        </w:tc>
        <w:tc>
          <w:tcPr>
            <w:tcW w:w="378" w:type="pct"/>
            <w:shd w:val="clear" w:color="auto" w:fill="auto"/>
            <w:vAlign w:val="center"/>
          </w:tcPr>
          <w:p w14:paraId="22982B42">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8.8</w:t>
            </w:r>
          </w:p>
        </w:tc>
        <w:tc>
          <w:tcPr>
            <w:tcW w:w="235" w:type="pct"/>
            <w:shd w:val="clear" w:color="auto" w:fill="auto"/>
            <w:vAlign w:val="center"/>
          </w:tcPr>
          <w:p w14:paraId="1100D79B">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w:t>
            </w:r>
            <w:r>
              <w:rPr>
                <w:rFonts w:hint="eastAsia" w:ascii="宋体" w:hAnsi="宋体" w:eastAsia="宋体" w:cs="Times New Roman"/>
                <w:kern w:val="0"/>
                <w:szCs w:val="21"/>
              </w:rPr>
              <w:t>类</w:t>
            </w:r>
          </w:p>
        </w:tc>
        <w:tc>
          <w:tcPr>
            <w:tcW w:w="426" w:type="pct"/>
            <w:shd w:val="clear" w:color="auto" w:fill="auto"/>
            <w:vAlign w:val="center"/>
          </w:tcPr>
          <w:p w14:paraId="680A0B40">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25</w:t>
            </w:r>
          </w:p>
        </w:tc>
      </w:tr>
      <w:tr w14:paraId="29A5A828">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182" w:type="pct"/>
            <w:vMerge w:val="continue"/>
            <w:vAlign w:val="center"/>
          </w:tcPr>
          <w:p w14:paraId="7C12BA42">
            <w:pPr>
              <w:widowControl/>
              <w:spacing w:line="240" w:lineRule="exact"/>
              <w:jc w:val="center"/>
              <w:rPr>
                <w:rFonts w:ascii="Times New Roman" w:hAnsi="Times New Roman" w:eastAsia="宋体" w:cs="Times New Roman"/>
                <w:kern w:val="0"/>
                <w:szCs w:val="21"/>
              </w:rPr>
            </w:pPr>
          </w:p>
        </w:tc>
        <w:tc>
          <w:tcPr>
            <w:tcW w:w="504" w:type="pct"/>
            <w:vMerge w:val="continue"/>
            <w:vAlign w:val="center"/>
          </w:tcPr>
          <w:p w14:paraId="62FE96C1">
            <w:pPr>
              <w:widowControl/>
              <w:spacing w:line="240" w:lineRule="exact"/>
              <w:jc w:val="center"/>
              <w:rPr>
                <w:rFonts w:ascii="Times New Roman" w:hAnsi="Times New Roman" w:eastAsia="宋体" w:cs="Times New Roman"/>
                <w:kern w:val="0"/>
                <w:szCs w:val="21"/>
              </w:rPr>
            </w:pPr>
          </w:p>
        </w:tc>
        <w:tc>
          <w:tcPr>
            <w:tcW w:w="252" w:type="pct"/>
            <w:vMerge w:val="restart"/>
            <w:shd w:val="clear" w:color="auto" w:fill="auto"/>
            <w:vAlign w:val="center"/>
          </w:tcPr>
          <w:p w14:paraId="66A077AC">
            <w:pPr>
              <w:widowControl/>
              <w:spacing w:line="240" w:lineRule="exact"/>
              <w:jc w:val="center"/>
              <w:rPr>
                <w:rFonts w:ascii="Times New Roman" w:hAnsi="Times New Roman" w:eastAsia="宋体" w:cs="Times New Roman"/>
                <w:kern w:val="0"/>
                <w:szCs w:val="21"/>
              </w:rPr>
            </w:pPr>
            <w:r>
              <w:rPr>
                <w:rFonts w:hint="eastAsia" w:ascii="宋体" w:hAnsi="宋体" w:eastAsia="宋体" w:cs="Times New Roman"/>
                <w:kern w:val="0"/>
                <w:szCs w:val="21"/>
              </w:rPr>
              <w:t>路左</w:t>
            </w:r>
          </w:p>
        </w:tc>
        <w:tc>
          <w:tcPr>
            <w:tcW w:w="303" w:type="pct"/>
            <w:shd w:val="clear" w:color="auto" w:fill="auto"/>
            <w:vAlign w:val="center"/>
          </w:tcPr>
          <w:p w14:paraId="1A30C63F">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30</w:t>
            </w:r>
          </w:p>
        </w:tc>
        <w:tc>
          <w:tcPr>
            <w:tcW w:w="252" w:type="pct"/>
            <w:vMerge w:val="continue"/>
            <w:vAlign w:val="center"/>
          </w:tcPr>
          <w:p w14:paraId="1CAC9602">
            <w:pPr>
              <w:widowControl/>
              <w:spacing w:line="240" w:lineRule="exact"/>
              <w:jc w:val="center"/>
              <w:rPr>
                <w:rFonts w:ascii="Times New Roman" w:hAnsi="Times New Roman" w:eastAsia="宋体" w:cs="Times New Roman"/>
                <w:kern w:val="0"/>
                <w:szCs w:val="21"/>
              </w:rPr>
            </w:pPr>
          </w:p>
        </w:tc>
        <w:tc>
          <w:tcPr>
            <w:tcW w:w="353" w:type="pct"/>
            <w:vMerge w:val="continue"/>
            <w:vAlign w:val="center"/>
          </w:tcPr>
          <w:p w14:paraId="6EAE5806">
            <w:pPr>
              <w:widowControl/>
              <w:spacing w:line="240" w:lineRule="exact"/>
              <w:jc w:val="center"/>
              <w:rPr>
                <w:rFonts w:ascii="Times New Roman" w:hAnsi="Times New Roman" w:eastAsia="宋体" w:cs="Times New Roman"/>
                <w:kern w:val="0"/>
                <w:szCs w:val="21"/>
              </w:rPr>
            </w:pPr>
          </w:p>
        </w:tc>
        <w:tc>
          <w:tcPr>
            <w:tcW w:w="252" w:type="pct"/>
            <w:vMerge w:val="continue"/>
            <w:vAlign w:val="center"/>
          </w:tcPr>
          <w:p w14:paraId="3C6FA954">
            <w:pPr>
              <w:widowControl/>
              <w:spacing w:line="240" w:lineRule="exact"/>
              <w:jc w:val="center"/>
              <w:rPr>
                <w:rFonts w:ascii="Times New Roman" w:hAnsi="Times New Roman" w:eastAsia="宋体" w:cs="Times New Roman"/>
                <w:kern w:val="0"/>
                <w:szCs w:val="21"/>
              </w:rPr>
            </w:pPr>
          </w:p>
        </w:tc>
        <w:tc>
          <w:tcPr>
            <w:tcW w:w="372" w:type="pct"/>
            <w:shd w:val="clear" w:color="auto" w:fill="auto"/>
            <w:vAlign w:val="center"/>
          </w:tcPr>
          <w:p w14:paraId="59B27811">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3" w:type="pct"/>
            <w:shd w:val="clear" w:color="auto" w:fill="auto"/>
            <w:vAlign w:val="center"/>
          </w:tcPr>
          <w:p w14:paraId="63D6F716">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6.7</w:t>
            </w:r>
          </w:p>
        </w:tc>
        <w:tc>
          <w:tcPr>
            <w:tcW w:w="373" w:type="pct"/>
            <w:shd w:val="clear" w:color="auto" w:fill="auto"/>
            <w:vAlign w:val="center"/>
          </w:tcPr>
          <w:p w14:paraId="091B0C97">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2" w:type="pct"/>
            <w:shd w:val="clear" w:color="auto" w:fill="auto"/>
            <w:vAlign w:val="center"/>
          </w:tcPr>
          <w:p w14:paraId="7283FB9D">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7.5</w:t>
            </w:r>
          </w:p>
        </w:tc>
        <w:tc>
          <w:tcPr>
            <w:tcW w:w="373" w:type="pct"/>
            <w:shd w:val="clear" w:color="auto" w:fill="auto"/>
            <w:vAlign w:val="center"/>
          </w:tcPr>
          <w:p w14:paraId="21709404">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8" w:type="pct"/>
            <w:shd w:val="clear" w:color="auto" w:fill="auto"/>
            <w:vAlign w:val="center"/>
          </w:tcPr>
          <w:p w14:paraId="6508739E">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8.2</w:t>
            </w:r>
          </w:p>
        </w:tc>
        <w:tc>
          <w:tcPr>
            <w:tcW w:w="235" w:type="pct"/>
            <w:shd w:val="clear" w:color="auto" w:fill="auto"/>
            <w:vAlign w:val="center"/>
          </w:tcPr>
          <w:p w14:paraId="28F83259">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4a</w:t>
            </w:r>
            <w:r>
              <w:rPr>
                <w:rFonts w:hint="eastAsia" w:ascii="宋体" w:hAnsi="宋体" w:eastAsia="宋体" w:cs="Times New Roman"/>
                <w:kern w:val="0"/>
                <w:szCs w:val="21"/>
              </w:rPr>
              <w:t>类</w:t>
            </w:r>
          </w:p>
        </w:tc>
        <w:tc>
          <w:tcPr>
            <w:tcW w:w="426" w:type="pct"/>
            <w:shd w:val="clear" w:color="auto" w:fill="auto"/>
            <w:vAlign w:val="center"/>
          </w:tcPr>
          <w:p w14:paraId="12A26480">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20</w:t>
            </w:r>
          </w:p>
        </w:tc>
      </w:tr>
      <w:tr w14:paraId="1AB92611">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182" w:type="pct"/>
            <w:vMerge w:val="continue"/>
            <w:vAlign w:val="center"/>
          </w:tcPr>
          <w:p w14:paraId="39AF0932">
            <w:pPr>
              <w:widowControl/>
              <w:spacing w:line="240" w:lineRule="exact"/>
              <w:jc w:val="center"/>
              <w:rPr>
                <w:rFonts w:ascii="Times New Roman" w:hAnsi="Times New Roman" w:eastAsia="宋体" w:cs="Times New Roman"/>
                <w:kern w:val="0"/>
                <w:szCs w:val="21"/>
              </w:rPr>
            </w:pPr>
          </w:p>
        </w:tc>
        <w:tc>
          <w:tcPr>
            <w:tcW w:w="504" w:type="pct"/>
            <w:vMerge w:val="continue"/>
            <w:vAlign w:val="center"/>
          </w:tcPr>
          <w:p w14:paraId="24AF3395">
            <w:pPr>
              <w:widowControl/>
              <w:spacing w:line="240" w:lineRule="exact"/>
              <w:jc w:val="center"/>
              <w:rPr>
                <w:rFonts w:ascii="Times New Roman" w:hAnsi="Times New Roman" w:eastAsia="宋体" w:cs="Times New Roman"/>
                <w:kern w:val="0"/>
                <w:szCs w:val="21"/>
              </w:rPr>
            </w:pPr>
          </w:p>
        </w:tc>
        <w:tc>
          <w:tcPr>
            <w:tcW w:w="252" w:type="pct"/>
            <w:vMerge w:val="continue"/>
            <w:vAlign w:val="center"/>
          </w:tcPr>
          <w:p w14:paraId="392365B4">
            <w:pPr>
              <w:widowControl/>
              <w:spacing w:line="240" w:lineRule="exact"/>
              <w:jc w:val="center"/>
              <w:rPr>
                <w:rFonts w:ascii="Times New Roman" w:hAnsi="Times New Roman" w:eastAsia="宋体" w:cs="Times New Roman"/>
                <w:kern w:val="0"/>
                <w:szCs w:val="21"/>
              </w:rPr>
            </w:pPr>
          </w:p>
        </w:tc>
        <w:tc>
          <w:tcPr>
            <w:tcW w:w="303" w:type="pct"/>
            <w:shd w:val="clear" w:color="auto" w:fill="auto"/>
            <w:vAlign w:val="center"/>
          </w:tcPr>
          <w:p w14:paraId="09D8EF3F">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58</w:t>
            </w:r>
          </w:p>
        </w:tc>
        <w:tc>
          <w:tcPr>
            <w:tcW w:w="252" w:type="pct"/>
            <w:vMerge w:val="continue"/>
            <w:vAlign w:val="center"/>
          </w:tcPr>
          <w:p w14:paraId="6D34F706">
            <w:pPr>
              <w:widowControl/>
              <w:spacing w:line="240" w:lineRule="exact"/>
              <w:jc w:val="center"/>
              <w:rPr>
                <w:rFonts w:ascii="Times New Roman" w:hAnsi="Times New Roman" w:eastAsia="宋体" w:cs="Times New Roman"/>
                <w:kern w:val="0"/>
                <w:szCs w:val="21"/>
              </w:rPr>
            </w:pPr>
          </w:p>
        </w:tc>
        <w:tc>
          <w:tcPr>
            <w:tcW w:w="353" w:type="pct"/>
            <w:vMerge w:val="continue"/>
            <w:vAlign w:val="center"/>
          </w:tcPr>
          <w:p w14:paraId="37B691BA">
            <w:pPr>
              <w:widowControl/>
              <w:spacing w:line="240" w:lineRule="exact"/>
              <w:jc w:val="center"/>
              <w:rPr>
                <w:rFonts w:ascii="Times New Roman" w:hAnsi="Times New Roman" w:eastAsia="宋体" w:cs="Times New Roman"/>
                <w:kern w:val="0"/>
                <w:szCs w:val="21"/>
              </w:rPr>
            </w:pPr>
          </w:p>
        </w:tc>
        <w:tc>
          <w:tcPr>
            <w:tcW w:w="252" w:type="pct"/>
            <w:vMerge w:val="continue"/>
            <w:vAlign w:val="center"/>
          </w:tcPr>
          <w:p w14:paraId="7F5AE91F">
            <w:pPr>
              <w:widowControl/>
              <w:spacing w:line="240" w:lineRule="exact"/>
              <w:jc w:val="center"/>
              <w:rPr>
                <w:rFonts w:ascii="Times New Roman" w:hAnsi="Times New Roman" w:eastAsia="宋体" w:cs="Times New Roman"/>
                <w:kern w:val="0"/>
                <w:szCs w:val="21"/>
              </w:rPr>
            </w:pPr>
          </w:p>
        </w:tc>
        <w:tc>
          <w:tcPr>
            <w:tcW w:w="372" w:type="pct"/>
            <w:shd w:val="clear" w:color="auto" w:fill="auto"/>
            <w:vAlign w:val="center"/>
          </w:tcPr>
          <w:p w14:paraId="2B9C6E9F">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0.8</w:t>
            </w:r>
          </w:p>
        </w:tc>
        <w:tc>
          <w:tcPr>
            <w:tcW w:w="373" w:type="pct"/>
            <w:shd w:val="clear" w:color="auto" w:fill="auto"/>
            <w:vAlign w:val="center"/>
          </w:tcPr>
          <w:p w14:paraId="5CDFD8AC">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7.0</w:t>
            </w:r>
          </w:p>
        </w:tc>
        <w:tc>
          <w:tcPr>
            <w:tcW w:w="373" w:type="pct"/>
            <w:shd w:val="clear" w:color="auto" w:fill="auto"/>
            <w:vAlign w:val="center"/>
          </w:tcPr>
          <w:p w14:paraId="1E8A9BD1">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1.6</w:t>
            </w:r>
          </w:p>
        </w:tc>
        <w:tc>
          <w:tcPr>
            <w:tcW w:w="372" w:type="pct"/>
            <w:shd w:val="clear" w:color="auto" w:fill="auto"/>
            <w:vAlign w:val="center"/>
          </w:tcPr>
          <w:p w14:paraId="4F5CD2D3">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7.7</w:t>
            </w:r>
          </w:p>
        </w:tc>
        <w:tc>
          <w:tcPr>
            <w:tcW w:w="373" w:type="pct"/>
            <w:shd w:val="clear" w:color="auto" w:fill="auto"/>
            <w:vAlign w:val="center"/>
          </w:tcPr>
          <w:p w14:paraId="1D5351E1">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0.5</w:t>
            </w:r>
          </w:p>
        </w:tc>
        <w:tc>
          <w:tcPr>
            <w:tcW w:w="378" w:type="pct"/>
            <w:shd w:val="clear" w:color="auto" w:fill="auto"/>
            <w:vAlign w:val="center"/>
          </w:tcPr>
          <w:p w14:paraId="16B3BE75">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8.4</w:t>
            </w:r>
          </w:p>
        </w:tc>
        <w:tc>
          <w:tcPr>
            <w:tcW w:w="235" w:type="pct"/>
            <w:shd w:val="clear" w:color="auto" w:fill="auto"/>
            <w:vAlign w:val="center"/>
          </w:tcPr>
          <w:p w14:paraId="1EE32D61">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w:t>
            </w:r>
            <w:r>
              <w:rPr>
                <w:rFonts w:hint="eastAsia" w:ascii="宋体" w:hAnsi="宋体" w:eastAsia="宋体" w:cs="Times New Roman"/>
                <w:kern w:val="0"/>
                <w:szCs w:val="21"/>
              </w:rPr>
              <w:t>类</w:t>
            </w:r>
          </w:p>
        </w:tc>
        <w:tc>
          <w:tcPr>
            <w:tcW w:w="426" w:type="pct"/>
            <w:shd w:val="clear" w:color="auto" w:fill="auto"/>
            <w:vAlign w:val="center"/>
          </w:tcPr>
          <w:p w14:paraId="7E811CB0">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45</w:t>
            </w:r>
          </w:p>
        </w:tc>
      </w:tr>
      <w:tr w14:paraId="3E633ABD">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182" w:type="pct"/>
            <w:vMerge w:val="restart"/>
            <w:shd w:val="clear" w:color="auto" w:fill="auto"/>
            <w:vAlign w:val="center"/>
          </w:tcPr>
          <w:p w14:paraId="0C93FB7A">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w:t>
            </w:r>
          </w:p>
        </w:tc>
        <w:tc>
          <w:tcPr>
            <w:tcW w:w="504" w:type="pct"/>
            <w:vMerge w:val="restart"/>
            <w:shd w:val="clear" w:color="auto" w:fill="auto"/>
            <w:vAlign w:val="center"/>
          </w:tcPr>
          <w:p w14:paraId="3136F3D9">
            <w:pPr>
              <w:widowControl/>
              <w:spacing w:line="240" w:lineRule="exact"/>
              <w:jc w:val="center"/>
              <w:rPr>
                <w:rFonts w:ascii="Times New Roman" w:hAnsi="Times New Roman" w:eastAsia="宋体" w:cs="Times New Roman"/>
                <w:kern w:val="0"/>
                <w:szCs w:val="21"/>
              </w:rPr>
            </w:pPr>
            <w:r>
              <w:rPr>
                <w:rFonts w:hint="eastAsia" w:ascii="宋体" w:hAnsi="宋体" w:eastAsia="宋体" w:cs="Times New Roman"/>
                <w:kern w:val="0"/>
                <w:szCs w:val="21"/>
              </w:rPr>
              <w:t>格达良乡卫生院</w:t>
            </w:r>
          </w:p>
        </w:tc>
        <w:tc>
          <w:tcPr>
            <w:tcW w:w="252" w:type="pct"/>
            <w:vMerge w:val="restart"/>
            <w:shd w:val="clear" w:color="auto" w:fill="auto"/>
            <w:vAlign w:val="center"/>
          </w:tcPr>
          <w:p w14:paraId="47F1D623">
            <w:pPr>
              <w:widowControl/>
              <w:spacing w:line="240" w:lineRule="exact"/>
              <w:jc w:val="center"/>
              <w:rPr>
                <w:rFonts w:ascii="Times New Roman" w:hAnsi="Times New Roman" w:eastAsia="宋体" w:cs="Times New Roman"/>
                <w:kern w:val="0"/>
                <w:szCs w:val="21"/>
              </w:rPr>
            </w:pPr>
            <w:r>
              <w:rPr>
                <w:rFonts w:hint="eastAsia" w:ascii="宋体" w:hAnsi="宋体" w:eastAsia="宋体" w:cs="Times New Roman"/>
                <w:kern w:val="0"/>
                <w:szCs w:val="21"/>
              </w:rPr>
              <w:t>路左</w:t>
            </w:r>
          </w:p>
        </w:tc>
        <w:tc>
          <w:tcPr>
            <w:tcW w:w="303" w:type="pct"/>
            <w:shd w:val="clear" w:color="auto" w:fill="auto"/>
            <w:vAlign w:val="center"/>
          </w:tcPr>
          <w:p w14:paraId="681C28D5">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67</w:t>
            </w:r>
          </w:p>
        </w:tc>
        <w:tc>
          <w:tcPr>
            <w:tcW w:w="252" w:type="pct"/>
            <w:vMerge w:val="restart"/>
            <w:shd w:val="clear" w:color="auto" w:fill="auto"/>
            <w:vAlign w:val="center"/>
          </w:tcPr>
          <w:p w14:paraId="0950EDEB">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3</w:t>
            </w:r>
          </w:p>
        </w:tc>
        <w:tc>
          <w:tcPr>
            <w:tcW w:w="353" w:type="pct"/>
            <w:vMerge w:val="restart"/>
            <w:shd w:val="clear" w:color="auto" w:fill="auto"/>
            <w:vAlign w:val="center"/>
          </w:tcPr>
          <w:p w14:paraId="401F3F81">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0</w:t>
            </w:r>
          </w:p>
        </w:tc>
        <w:tc>
          <w:tcPr>
            <w:tcW w:w="252" w:type="pct"/>
            <w:shd w:val="clear" w:color="auto" w:fill="auto"/>
            <w:vAlign w:val="center"/>
          </w:tcPr>
          <w:p w14:paraId="78087E61">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w:t>
            </w:r>
            <w:r>
              <w:rPr>
                <w:rFonts w:hint="eastAsia" w:ascii="宋体" w:hAnsi="宋体" w:eastAsia="宋体" w:cs="Times New Roman"/>
                <w:kern w:val="0"/>
                <w:szCs w:val="21"/>
              </w:rPr>
              <w:t>层</w:t>
            </w:r>
          </w:p>
        </w:tc>
        <w:tc>
          <w:tcPr>
            <w:tcW w:w="372" w:type="pct"/>
            <w:shd w:val="clear" w:color="auto" w:fill="auto"/>
            <w:vAlign w:val="center"/>
          </w:tcPr>
          <w:p w14:paraId="7C381CB7">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3" w:type="pct"/>
            <w:shd w:val="clear" w:color="auto" w:fill="auto"/>
            <w:vAlign w:val="center"/>
          </w:tcPr>
          <w:p w14:paraId="67E6F8B9">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2.3</w:t>
            </w:r>
          </w:p>
        </w:tc>
        <w:tc>
          <w:tcPr>
            <w:tcW w:w="373" w:type="pct"/>
            <w:shd w:val="clear" w:color="auto" w:fill="auto"/>
            <w:vAlign w:val="center"/>
          </w:tcPr>
          <w:p w14:paraId="0D929CED">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2" w:type="pct"/>
            <w:shd w:val="clear" w:color="auto" w:fill="auto"/>
            <w:vAlign w:val="center"/>
          </w:tcPr>
          <w:p w14:paraId="23A83AA2">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3.0</w:t>
            </w:r>
          </w:p>
        </w:tc>
        <w:tc>
          <w:tcPr>
            <w:tcW w:w="373" w:type="pct"/>
            <w:shd w:val="clear" w:color="auto" w:fill="auto"/>
            <w:vAlign w:val="center"/>
          </w:tcPr>
          <w:p w14:paraId="0D5A582A">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8" w:type="pct"/>
            <w:shd w:val="clear" w:color="auto" w:fill="auto"/>
            <w:vAlign w:val="center"/>
          </w:tcPr>
          <w:p w14:paraId="02CF0368">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3.7</w:t>
            </w:r>
          </w:p>
        </w:tc>
        <w:tc>
          <w:tcPr>
            <w:tcW w:w="235" w:type="pct"/>
            <w:vMerge w:val="restart"/>
            <w:shd w:val="clear" w:color="auto" w:fill="auto"/>
            <w:vAlign w:val="center"/>
          </w:tcPr>
          <w:p w14:paraId="36EEEE01">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w:t>
            </w:r>
            <w:r>
              <w:rPr>
                <w:rFonts w:hint="eastAsia" w:ascii="宋体" w:hAnsi="宋体" w:eastAsia="宋体" w:cs="Times New Roman"/>
                <w:kern w:val="0"/>
                <w:szCs w:val="21"/>
              </w:rPr>
              <w:t>类</w:t>
            </w:r>
          </w:p>
        </w:tc>
        <w:tc>
          <w:tcPr>
            <w:tcW w:w="426" w:type="pct"/>
            <w:vMerge w:val="restart"/>
            <w:shd w:val="clear" w:color="auto" w:fill="auto"/>
            <w:vAlign w:val="center"/>
          </w:tcPr>
          <w:p w14:paraId="22CF5F9E">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w:t>
            </w:r>
            <w:r>
              <w:rPr>
                <w:rFonts w:hint="eastAsia" w:ascii="宋体" w:hAnsi="宋体" w:eastAsia="宋体" w:cs="Times New Roman"/>
                <w:kern w:val="0"/>
                <w:szCs w:val="21"/>
              </w:rPr>
              <w:t>栋</w:t>
            </w:r>
            <w:r>
              <w:rPr>
                <w:rFonts w:ascii="Times New Roman" w:hAnsi="Times New Roman" w:eastAsia="宋体" w:cs="Times New Roman"/>
                <w:kern w:val="0"/>
                <w:szCs w:val="21"/>
              </w:rPr>
              <w:t>3</w:t>
            </w:r>
            <w:r>
              <w:rPr>
                <w:rFonts w:hint="eastAsia" w:ascii="宋体" w:hAnsi="宋体" w:eastAsia="宋体" w:cs="Times New Roman"/>
                <w:kern w:val="0"/>
                <w:szCs w:val="21"/>
              </w:rPr>
              <w:t>层和</w:t>
            </w:r>
            <w:r>
              <w:rPr>
                <w:rFonts w:ascii="Times New Roman" w:hAnsi="Times New Roman" w:eastAsia="宋体" w:cs="Times New Roman"/>
                <w:kern w:val="0"/>
                <w:szCs w:val="21"/>
              </w:rPr>
              <w:t>2</w:t>
            </w:r>
            <w:r>
              <w:rPr>
                <w:rFonts w:hint="eastAsia" w:ascii="宋体" w:hAnsi="宋体" w:eastAsia="宋体" w:cs="Times New Roman"/>
                <w:kern w:val="0"/>
                <w:szCs w:val="21"/>
              </w:rPr>
              <w:t>栋</w:t>
            </w:r>
            <w:r>
              <w:rPr>
                <w:rFonts w:ascii="Times New Roman" w:hAnsi="Times New Roman" w:eastAsia="宋体" w:cs="Times New Roman"/>
                <w:kern w:val="0"/>
                <w:szCs w:val="21"/>
              </w:rPr>
              <w:t>1</w:t>
            </w:r>
            <w:r>
              <w:rPr>
                <w:rFonts w:hint="eastAsia" w:ascii="宋体" w:hAnsi="宋体" w:eastAsia="宋体" w:cs="Times New Roman"/>
                <w:kern w:val="0"/>
                <w:szCs w:val="21"/>
              </w:rPr>
              <w:t>层楼</w:t>
            </w:r>
          </w:p>
        </w:tc>
      </w:tr>
      <w:tr w14:paraId="0AABE86B">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182" w:type="pct"/>
            <w:vMerge w:val="continue"/>
            <w:vAlign w:val="center"/>
          </w:tcPr>
          <w:p w14:paraId="63F5B3D9">
            <w:pPr>
              <w:widowControl/>
              <w:spacing w:line="240" w:lineRule="exact"/>
              <w:jc w:val="center"/>
              <w:rPr>
                <w:rFonts w:ascii="Times New Roman" w:hAnsi="Times New Roman" w:eastAsia="宋体" w:cs="Times New Roman"/>
                <w:kern w:val="0"/>
                <w:szCs w:val="21"/>
              </w:rPr>
            </w:pPr>
          </w:p>
        </w:tc>
        <w:tc>
          <w:tcPr>
            <w:tcW w:w="504" w:type="pct"/>
            <w:vMerge w:val="continue"/>
            <w:vAlign w:val="center"/>
          </w:tcPr>
          <w:p w14:paraId="6B8E44AD">
            <w:pPr>
              <w:widowControl/>
              <w:spacing w:line="240" w:lineRule="exact"/>
              <w:jc w:val="center"/>
              <w:rPr>
                <w:rFonts w:ascii="Times New Roman" w:hAnsi="Times New Roman" w:eastAsia="宋体" w:cs="Times New Roman"/>
                <w:kern w:val="0"/>
                <w:szCs w:val="21"/>
              </w:rPr>
            </w:pPr>
          </w:p>
        </w:tc>
        <w:tc>
          <w:tcPr>
            <w:tcW w:w="252" w:type="pct"/>
            <w:vMerge w:val="continue"/>
            <w:vAlign w:val="center"/>
          </w:tcPr>
          <w:p w14:paraId="4277E82B">
            <w:pPr>
              <w:widowControl/>
              <w:spacing w:line="240" w:lineRule="exact"/>
              <w:jc w:val="center"/>
              <w:rPr>
                <w:rFonts w:ascii="Times New Roman" w:hAnsi="Times New Roman" w:eastAsia="宋体" w:cs="Times New Roman"/>
                <w:kern w:val="0"/>
                <w:szCs w:val="21"/>
              </w:rPr>
            </w:pPr>
          </w:p>
        </w:tc>
        <w:tc>
          <w:tcPr>
            <w:tcW w:w="303" w:type="pct"/>
            <w:vMerge w:val="restart"/>
            <w:shd w:val="clear" w:color="auto" w:fill="auto"/>
            <w:vAlign w:val="center"/>
          </w:tcPr>
          <w:p w14:paraId="419E09D8">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95</w:t>
            </w:r>
          </w:p>
        </w:tc>
        <w:tc>
          <w:tcPr>
            <w:tcW w:w="252" w:type="pct"/>
            <w:vMerge w:val="continue"/>
            <w:vAlign w:val="center"/>
          </w:tcPr>
          <w:p w14:paraId="6ECABF67">
            <w:pPr>
              <w:widowControl/>
              <w:spacing w:line="240" w:lineRule="exact"/>
              <w:jc w:val="center"/>
              <w:rPr>
                <w:rFonts w:ascii="Times New Roman" w:hAnsi="Times New Roman" w:eastAsia="宋体" w:cs="Times New Roman"/>
                <w:kern w:val="0"/>
                <w:szCs w:val="21"/>
              </w:rPr>
            </w:pPr>
          </w:p>
        </w:tc>
        <w:tc>
          <w:tcPr>
            <w:tcW w:w="353" w:type="pct"/>
            <w:vMerge w:val="continue"/>
            <w:vAlign w:val="center"/>
          </w:tcPr>
          <w:p w14:paraId="0E8B6F3B">
            <w:pPr>
              <w:widowControl/>
              <w:spacing w:line="240" w:lineRule="exact"/>
              <w:jc w:val="center"/>
              <w:rPr>
                <w:rFonts w:ascii="Times New Roman" w:hAnsi="Times New Roman" w:eastAsia="宋体" w:cs="Times New Roman"/>
                <w:kern w:val="0"/>
                <w:szCs w:val="21"/>
              </w:rPr>
            </w:pPr>
          </w:p>
        </w:tc>
        <w:tc>
          <w:tcPr>
            <w:tcW w:w="252" w:type="pct"/>
            <w:shd w:val="clear" w:color="auto" w:fill="auto"/>
            <w:vAlign w:val="center"/>
          </w:tcPr>
          <w:p w14:paraId="6FFA043B">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w:t>
            </w:r>
            <w:r>
              <w:rPr>
                <w:rFonts w:hint="eastAsia" w:ascii="宋体" w:hAnsi="宋体" w:eastAsia="宋体" w:cs="Times New Roman"/>
                <w:kern w:val="0"/>
                <w:szCs w:val="21"/>
              </w:rPr>
              <w:t>层</w:t>
            </w:r>
          </w:p>
        </w:tc>
        <w:tc>
          <w:tcPr>
            <w:tcW w:w="372" w:type="pct"/>
            <w:shd w:val="clear" w:color="auto" w:fill="auto"/>
            <w:vAlign w:val="center"/>
          </w:tcPr>
          <w:p w14:paraId="04E66B66">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3" w:type="pct"/>
            <w:shd w:val="clear" w:color="auto" w:fill="auto"/>
            <w:vAlign w:val="center"/>
          </w:tcPr>
          <w:p w14:paraId="4ED24B1A">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0.3</w:t>
            </w:r>
          </w:p>
        </w:tc>
        <w:tc>
          <w:tcPr>
            <w:tcW w:w="373" w:type="pct"/>
            <w:shd w:val="clear" w:color="auto" w:fill="auto"/>
            <w:vAlign w:val="center"/>
          </w:tcPr>
          <w:p w14:paraId="04A6DBCE">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2" w:type="pct"/>
            <w:shd w:val="clear" w:color="auto" w:fill="auto"/>
            <w:vAlign w:val="center"/>
          </w:tcPr>
          <w:p w14:paraId="36DB8361">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1.1</w:t>
            </w:r>
          </w:p>
        </w:tc>
        <w:tc>
          <w:tcPr>
            <w:tcW w:w="373" w:type="pct"/>
            <w:shd w:val="clear" w:color="auto" w:fill="auto"/>
            <w:vAlign w:val="center"/>
          </w:tcPr>
          <w:p w14:paraId="4A814E06">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8" w:type="pct"/>
            <w:shd w:val="clear" w:color="auto" w:fill="auto"/>
            <w:vAlign w:val="center"/>
          </w:tcPr>
          <w:p w14:paraId="627EF932">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1.8</w:t>
            </w:r>
          </w:p>
        </w:tc>
        <w:tc>
          <w:tcPr>
            <w:tcW w:w="235" w:type="pct"/>
            <w:vMerge w:val="continue"/>
            <w:vAlign w:val="center"/>
          </w:tcPr>
          <w:p w14:paraId="4DDA4B10">
            <w:pPr>
              <w:widowControl/>
              <w:spacing w:line="240" w:lineRule="exact"/>
              <w:jc w:val="center"/>
              <w:rPr>
                <w:rFonts w:ascii="Times New Roman" w:hAnsi="Times New Roman" w:eastAsia="宋体" w:cs="Times New Roman"/>
                <w:kern w:val="0"/>
                <w:szCs w:val="21"/>
              </w:rPr>
            </w:pPr>
          </w:p>
        </w:tc>
        <w:tc>
          <w:tcPr>
            <w:tcW w:w="426" w:type="pct"/>
            <w:vMerge w:val="continue"/>
            <w:vAlign w:val="center"/>
          </w:tcPr>
          <w:p w14:paraId="53E49C8E">
            <w:pPr>
              <w:widowControl/>
              <w:spacing w:line="240" w:lineRule="exact"/>
              <w:jc w:val="center"/>
              <w:rPr>
                <w:rFonts w:ascii="Times New Roman" w:hAnsi="Times New Roman" w:eastAsia="宋体" w:cs="Times New Roman"/>
                <w:kern w:val="0"/>
                <w:szCs w:val="21"/>
              </w:rPr>
            </w:pPr>
          </w:p>
        </w:tc>
      </w:tr>
      <w:tr w14:paraId="4519C357">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182" w:type="pct"/>
            <w:vMerge w:val="continue"/>
            <w:vAlign w:val="center"/>
          </w:tcPr>
          <w:p w14:paraId="0F6CA8AB">
            <w:pPr>
              <w:widowControl/>
              <w:spacing w:line="240" w:lineRule="exact"/>
              <w:jc w:val="center"/>
              <w:rPr>
                <w:rFonts w:ascii="Times New Roman" w:hAnsi="Times New Roman" w:eastAsia="宋体" w:cs="Times New Roman"/>
                <w:kern w:val="0"/>
                <w:szCs w:val="21"/>
              </w:rPr>
            </w:pPr>
          </w:p>
        </w:tc>
        <w:tc>
          <w:tcPr>
            <w:tcW w:w="504" w:type="pct"/>
            <w:vMerge w:val="continue"/>
            <w:vAlign w:val="center"/>
          </w:tcPr>
          <w:p w14:paraId="44E8A9F2">
            <w:pPr>
              <w:widowControl/>
              <w:spacing w:line="240" w:lineRule="exact"/>
              <w:jc w:val="center"/>
              <w:rPr>
                <w:rFonts w:ascii="Times New Roman" w:hAnsi="Times New Roman" w:eastAsia="宋体" w:cs="Times New Roman"/>
                <w:kern w:val="0"/>
                <w:szCs w:val="21"/>
              </w:rPr>
            </w:pPr>
          </w:p>
        </w:tc>
        <w:tc>
          <w:tcPr>
            <w:tcW w:w="252" w:type="pct"/>
            <w:vMerge w:val="continue"/>
            <w:vAlign w:val="center"/>
          </w:tcPr>
          <w:p w14:paraId="3D63AEBB">
            <w:pPr>
              <w:widowControl/>
              <w:spacing w:line="240" w:lineRule="exact"/>
              <w:jc w:val="center"/>
              <w:rPr>
                <w:rFonts w:ascii="Times New Roman" w:hAnsi="Times New Roman" w:eastAsia="宋体" w:cs="Times New Roman"/>
                <w:kern w:val="0"/>
                <w:szCs w:val="21"/>
              </w:rPr>
            </w:pPr>
          </w:p>
        </w:tc>
        <w:tc>
          <w:tcPr>
            <w:tcW w:w="303" w:type="pct"/>
            <w:vMerge w:val="continue"/>
            <w:vAlign w:val="center"/>
          </w:tcPr>
          <w:p w14:paraId="6B09597E">
            <w:pPr>
              <w:widowControl/>
              <w:spacing w:line="240" w:lineRule="exact"/>
              <w:jc w:val="center"/>
              <w:rPr>
                <w:rFonts w:ascii="Times New Roman" w:hAnsi="Times New Roman" w:eastAsia="宋体" w:cs="Times New Roman"/>
                <w:kern w:val="0"/>
                <w:szCs w:val="21"/>
              </w:rPr>
            </w:pPr>
          </w:p>
        </w:tc>
        <w:tc>
          <w:tcPr>
            <w:tcW w:w="252" w:type="pct"/>
            <w:vMerge w:val="continue"/>
            <w:vAlign w:val="center"/>
          </w:tcPr>
          <w:p w14:paraId="4865CDBB">
            <w:pPr>
              <w:widowControl/>
              <w:spacing w:line="240" w:lineRule="exact"/>
              <w:jc w:val="center"/>
              <w:rPr>
                <w:rFonts w:ascii="Times New Roman" w:hAnsi="Times New Roman" w:eastAsia="宋体" w:cs="Times New Roman"/>
                <w:kern w:val="0"/>
                <w:szCs w:val="21"/>
              </w:rPr>
            </w:pPr>
          </w:p>
        </w:tc>
        <w:tc>
          <w:tcPr>
            <w:tcW w:w="353" w:type="pct"/>
            <w:vMerge w:val="continue"/>
            <w:vAlign w:val="center"/>
          </w:tcPr>
          <w:p w14:paraId="22BEE229">
            <w:pPr>
              <w:widowControl/>
              <w:spacing w:line="240" w:lineRule="exact"/>
              <w:jc w:val="center"/>
              <w:rPr>
                <w:rFonts w:ascii="Times New Roman" w:hAnsi="Times New Roman" w:eastAsia="宋体" w:cs="Times New Roman"/>
                <w:kern w:val="0"/>
                <w:szCs w:val="21"/>
              </w:rPr>
            </w:pPr>
          </w:p>
        </w:tc>
        <w:tc>
          <w:tcPr>
            <w:tcW w:w="252" w:type="pct"/>
            <w:shd w:val="clear" w:color="auto" w:fill="auto"/>
            <w:vAlign w:val="center"/>
          </w:tcPr>
          <w:p w14:paraId="2848582F">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3</w:t>
            </w:r>
            <w:r>
              <w:rPr>
                <w:rFonts w:hint="eastAsia" w:ascii="宋体" w:hAnsi="宋体" w:eastAsia="宋体" w:cs="Times New Roman"/>
                <w:kern w:val="0"/>
                <w:szCs w:val="21"/>
              </w:rPr>
              <w:t>层</w:t>
            </w:r>
          </w:p>
        </w:tc>
        <w:tc>
          <w:tcPr>
            <w:tcW w:w="372" w:type="pct"/>
            <w:shd w:val="clear" w:color="auto" w:fill="auto"/>
            <w:vAlign w:val="center"/>
          </w:tcPr>
          <w:p w14:paraId="6BBFEE3A">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3" w:type="pct"/>
            <w:shd w:val="clear" w:color="auto" w:fill="auto"/>
            <w:vAlign w:val="center"/>
          </w:tcPr>
          <w:p w14:paraId="608CA54E">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5.3</w:t>
            </w:r>
          </w:p>
        </w:tc>
        <w:tc>
          <w:tcPr>
            <w:tcW w:w="373" w:type="pct"/>
            <w:shd w:val="clear" w:color="auto" w:fill="auto"/>
            <w:vAlign w:val="center"/>
          </w:tcPr>
          <w:p w14:paraId="27C33A2D">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2" w:type="pct"/>
            <w:shd w:val="clear" w:color="auto" w:fill="auto"/>
            <w:vAlign w:val="center"/>
          </w:tcPr>
          <w:p w14:paraId="22CF8EE9">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6.1</w:t>
            </w:r>
          </w:p>
        </w:tc>
        <w:tc>
          <w:tcPr>
            <w:tcW w:w="373" w:type="pct"/>
            <w:shd w:val="clear" w:color="auto" w:fill="auto"/>
            <w:vAlign w:val="center"/>
          </w:tcPr>
          <w:p w14:paraId="16650EA4">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8" w:type="pct"/>
            <w:shd w:val="clear" w:color="auto" w:fill="auto"/>
            <w:vAlign w:val="center"/>
          </w:tcPr>
          <w:p w14:paraId="6D37B4B6">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6.8</w:t>
            </w:r>
          </w:p>
        </w:tc>
        <w:tc>
          <w:tcPr>
            <w:tcW w:w="235" w:type="pct"/>
            <w:vMerge w:val="continue"/>
            <w:vAlign w:val="center"/>
          </w:tcPr>
          <w:p w14:paraId="01A6E4B1">
            <w:pPr>
              <w:widowControl/>
              <w:spacing w:line="240" w:lineRule="exact"/>
              <w:jc w:val="center"/>
              <w:rPr>
                <w:rFonts w:ascii="Times New Roman" w:hAnsi="Times New Roman" w:eastAsia="宋体" w:cs="Times New Roman"/>
                <w:kern w:val="0"/>
                <w:szCs w:val="21"/>
              </w:rPr>
            </w:pPr>
          </w:p>
        </w:tc>
        <w:tc>
          <w:tcPr>
            <w:tcW w:w="426" w:type="pct"/>
            <w:vMerge w:val="continue"/>
            <w:vAlign w:val="center"/>
          </w:tcPr>
          <w:p w14:paraId="1D95C93A">
            <w:pPr>
              <w:widowControl/>
              <w:spacing w:line="240" w:lineRule="exact"/>
              <w:jc w:val="center"/>
              <w:rPr>
                <w:rFonts w:ascii="Times New Roman" w:hAnsi="Times New Roman" w:eastAsia="宋体" w:cs="Times New Roman"/>
                <w:kern w:val="0"/>
                <w:szCs w:val="21"/>
              </w:rPr>
            </w:pPr>
          </w:p>
        </w:tc>
      </w:tr>
      <w:tr w14:paraId="2D6B40FB">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182" w:type="pct"/>
            <w:vMerge w:val="restart"/>
            <w:shd w:val="clear" w:color="auto" w:fill="auto"/>
            <w:vAlign w:val="center"/>
          </w:tcPr>
          <w:p w14:paraId="32633C24">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3</w:t>
            </w:r>
          </w:p>
        </w:tc>
        <w:tc>
          <w:tcPr>
            <w:tcW w:w="504" w:type="pct"/>
            <w:vMerge w:val="restart"/>
            <w:shd w:val="clear" w:color="auto" w:fill="auto"/>
            <w:vAlign w:val="center"/>
          </w:tcPr>
          <w:p w14:paraId="79E8DC08">
            <w:pPr>
              <w:widowControl/>
              <w:spacing w:line="240" w:lineRule="exact"/>
              <w:jc w:val="center"/>
              <w:rPr>
                <w:rFonts w:ascii="Times New Roman" w:hAnsi="Times New Roman" w:eastAsia="宋体" w:cs="Times New Roman"/>
                <w:kern w:val="0"/>
                <w:szCs w:val="21"/>
              </w:rPr>
            </w:pPr>
            <w:r>
              <w:rPr>
                <w:rFonts w:hint="eastAsia" w:ascii="宋体" w:hAnsi="宋体" w:eastAsia="宋体" w:cs="Times New Roman"/>
                <w:kern w:val="0"/>
                <w:szCs w:val="21"/>
              </w:rPr>
              <w:t>格达良乡中心小学</w:t>
            </w:r>
          </w:p>
        </w:tc>
        <w:tc>
          <w:tcPr>
            <w:tcW w:w="252" w:type="pct"/>
            <w:vMerge w:val="restart"/>
            <w:shd w:val="clear" w:color="auto" w:fill="auto"/>
            <w:vAlign w:val="center"/>
          </w:tcPr>
          <w:p w14:paraId="47DE798E">
            <w:pPr>
              <w:widowControl/>
              <w:spacing w:line="240" w:lineRule="exact"/>
              <w:jc w:val="center"/>
              <w:rPr>
                <w:rFonts w:ascii="Times New Roman" w:hAnsi="Times New Roman" w:eastAsia="宋体" w:cs="Times New Roman"/>
                <w:kern w:val="0"/>
                <w:szCs w:val="21"/>
              </w:rPr>
            </w:pPr>
            <w:r>
              <w:rPr>
                <w:rFonts w:hint="eastAsia" w:ascii="宋体" w:hAnsi="宋体" w:eastAsia="宋体" w:cs="Times New Roman"/>
                <w:kern w:val="0"/>
                <w:szCs w:val="21"/>
              </w:rPr>
              <w:t>路右</w:t>
            </w:r>
          </w:p>
        </w:tc>
        <w:tc>
          <w:tcPr>
            <w:tcW w:w="303" w:type="pct"/>
            <w:vMerge w:val="restart"/>
            <w:shd w:val="clear" w:color="auto" w:fill="auto"/>
            <w:vAlign w:val="center"/>
          </w:tcPr>
          <w:p w14:paraId="4DA44F82">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55</w:t>
            </w:r>
          </w:p>
        </w:tc>
        <w:tc>
          <w:tcPr>
            <w:tcW w:w="252" w:type="pct"/>
            <w:vMerge w:val="restart"/>
            <w:shd w:val="clear" w:color="auto" w:fill="auto"/>
            <w:vAlign w:val="center"/>
          </w:tcPr>
          <w:p w14:paraId="26B1566D">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0</w:t>
            </w:r>
          </w:p>
        </w:tc>
        <w:tc>
          <w:tcPr>
            <w:tcW w:w="353" w:type="pct"/>
            <w:vMerge w:val="restart"/>
            <w:shd w:val="clear" w:color="auto" w:fill="auto"/>
            <w:vAlign w:val="center"/>
          </w:tcPr>
          <w:p w14:paraId="33D6BFFD">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0</w:t>
            </w:r>
          </w:p>
        </w:tc>
        <w:tc>
          <w:tcPr>
            <w:tcW w:w="252" w:type="pct"/>
            <w:shd w:val="clear" w:color="auto" w:fill="auto"/>
            <w:vAlign w:val="center"/>
          </w:tcPr>
          <w:p w14:paraId="0179F446">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w:t>
            </w:r>
            <w:r>
              <w:rPr>
                <w:rFonts w:hint="eastAsia" w:ascii="宋体" w:hAnsi="宋体" w:eastAsia="宋体" w:cs="Times New Roman"/>
                <w:kern w:val="0"/>
                <w:szCs w:val="21"/>
              </w:rPr>
              <w:t>层</w:t>
            </w:r>
          </w:p>
        </w:tc>
        <w:tc>
          <w:tcPr>
            <w:tcW w:w="372" w:type="pct"/>
            <w:shd w:val="clear" w:color="auto" w:fill="auto"/>
            <w:vAlign w:val="center"/>
          </w:tcPr>
          <w:p w14:paraId="6E7E9DAF">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1.2</w:t>
            </w:r>
          </w:p>
        </w:tc>
        <w:tc>
          <w:tcPr>
            <w:tcW w:w="373" w:type="pct"/>
            <w:shd w:val="clear" w:color="auto" w:fill="auto"/>
            <w:vAlign w:val="center"/>
          </w:tcPr>
          <w:p w14:paraId="50193923">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3" w:type="pct"/>
            <w:shd w:val="clear" w:color="auto" w:fill="auto"/>
            <w:vAlign w:val="center"/>
          </w:tcPr>
          <w:p w14:paraId="6DFF2F0B">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2.0</w:t>
            </w:r>
          </w:p>
        </w:tc>
        <w:tc>
          <w:tcPr>
            <w:tcW w:w="372" w:type="pct"/>
            <w:shd w:val="clear" w:color="auto" w:fill="auto"/>
            <w:vAlign w:val="center"/>
          </w:tcPr>
          <w:p w14:paraId="30D99A23">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3" w:type="pct"/>
            <w:shd w:val="clear" w:color="auto" w:fill="auto"/>
            <w:vAlign w:val="center"/>
          </w:tcPr>
          <w:p w14:paraId="79F378DF">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0.9</w:t>
            </w:r>
          </w:p>
        </w:tc>
        <w:tc>
          <w:tcPr>
            <w:tcW w:w="378" w:type="pct"/>
            <w:shd w:val="clear" w:color="auto" w:fill="auto"/>
            <w:vAlign w:val="center"/>
          </w:tcPr>
          <w:p w14:paraId="6303C99F">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235" w:type="pct"/>
            <w:vMerge w:val="restart"/>
            <w:shd w:val="clear" w:color="auto" w:fill="auto"/>
            <w:vAlign w:val="center"/>
          </w:tcPr>
          <w:p w14:paraId="749613A8">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w:t>
            </w:r>
            <w:r>
              <w:rPr>
                <w:rFonts w:hint="eastAsia" w:ascii="宋体" w:hAnsi="宋体" w:eastAsia="宋体" w:cs="Times New Roman"/>
                <w:kern w:val="0"/>
                <w:szCs w:val="21"/>
              </w:rPr>
              <w:t>类</w:t>
            </w:r>
          </w:p>
        </w:tc>
        <w:tc>
          <w:tcPr>
            <w:tcW w:w="426" w:type="pct"/>
            <w:vMerge w:val="restart"/>
            <w:shd w:val="clear" w:color="auto" w:fill="auto"/>
            <w:vAlign w:val="center"/>
          </w:tcPr>
          <w:p w14:paraId="12E7F63F">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w:t>
            </w:r>
            <w:r>
              <w:rPr>
                <w:rFonts w:hint="eastAsia" w:ascii="宋体" w:hAnsi="宋体" w:eastAsia="宋体" w:cs="Times New Roman"/>
                <w:kern w:val="0"/>
                <w:szCs w:val="21"/>
              </w:rPr>
              <w:t>栋</w:t>
            </w:r>
            <w:r>
              <w:rPr>
                <w:rFonts w:ascii="Times New Roman" w:hAnsi="Times New Roman" w:eastAsia="宋体" w:cs="Times New Roman"/>
                <w:kern w:val="0"/>
                <w:szCs w:val="21"/>
              </w:rPr>
              <w:t>3</w:t>
            </w:r>
            <w:r>
              <w:rPr>
                <w:rFonts w:hint="eastAsia" w:ascii="宋体" w:hAnsi="宋体" w:eastAsia="宋体" w:cs="Times New Roman"/>
                <w:kern w:val="0"/>
                <w:szCs w:val="21"/>
              </w:rPr>
              <w:t>层楼</w:t>
            </w:r>
          </w:p>
        </w:tc>
      </w:tr>
      <w:tr w14:paraId="03B51E84">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182" w:type="pct"/>
            <w:vMerge w:val="continue"/>
            <w:vAlign w:val="center"/>
          </w:tcPr>
          <w:p w14:paraId="12830603">
            <w:pPr>
              <w:widowControl/>
              <w:spacing w:line="240" w:lineRule="exact"/>
              <w:jc w:val="center"/>
              <w:rPr>
                <w:rFonts w:ascii="Times New Roman" w:hAnsi="Times New Roman" w:eastAsia="宋体" w:cs="Times New Roman"/>
                <w:kern w:val="0"/>
                <w:szCs w:val="21"/>
              </w:rPr>
            </w:pPr>
          </w:p>
        </w:tc>
        <w:tc>
          <w:tcPr>
            <w:tcW w:w="504" w:type="pct"/>
            <w:vMerge w:val="continue"/>
            <w:vAlign w:val="center"/>
          </w:tcPr>
          <w:p w14:paraId="572ED628">
            <w:pPr>
              <w:widowControl/>
              <w:spacing w:line="240" w:lineRule="exact"/>
              <w:jc w:val="center"/>
              <w:rPr>
                <w:rFonts w:ascii="Times New Roman" w:hAnsi="Times New Roman" w:eastAsia="宋体" w:cs="Times New Roman"/>
                <w:kern w:val="0"/>
                <w:szCs w:val="21"/>
              </w:rPr>
            </w:pPr>
          </w:p>
        </w:tc>
        <w:tc>
          <w:tcPr>
            <w:tcW w:w="252" w:type="pct"/>
            <w:vMerge w:val="continue"/>
            <w:vAlign w:val="center"/>
          </w:tcPr>
          <w:p w14:paraId="64593696">
            <w:pPr>
              <w:widowControl/>
              <w:spacing w:line="240" w:lineRule="exact"/>
              <w:jc w:val="center"/>
              <w:rPr>
                <w:rFonts w:ascii="Times New Roman" w:hAnsi="Times New Roman" w:eastAsia="宋体" w:cs="Times New Roman"/>
                <w:kern w:val="0"/>
                <w:szCs w:val="21"/>
              </w:rPr>
            </w:pPr>
          </w:p>
        </w:tc>
        <w:tc>
          <w:tcPr>
            <w:tcW w:w="303" w:type="pct"/>
            <w:vMerge w:val="continue"/>
            <w:vAlign w:val="center"/>
          </w:tcPr>
          <w:p w14:paraId="2C98015D">
            <w:pPr>
              <w:widowControl/>
              <w:spacing w:line="240" w:lineRule="exact"/>
              <w:jc w:val="center"/>
              <w:rPr>
                <w:rFonts w:ascii="Times New Roman" w:hAnsi="Times New Roman" w:eastAsia="宋体" w:cs="Times New Roman"/>
                <w:kern w:val="0"/>
                <w:szCs w:val="21"/>
              </w:rPr>
            </w:pPr>
          </w:p>
        </w:tc>
        <w:tc>
          <w:tcPr>
            <w:tcW w:w="252" w:type="pct"/>
            <w:vMerge w:val="continue"/>
            <w:vAlign w:val="center"/>
          </w:tcPr>
          <w:p w14:paraId="400EF7EB">
            <w:pPr>
              <w:widowControl/>
              <w:spacing w:line="240" w:lineRule="exact"/>
              <w:jc w:val="center"/>
              <w:rPr>
                <w:rFonts w:ascii="Times New Roman" w:hAnsi="Times New Roman" w:eastAsia="宋体" w:cs="Times New Roman"/>
                <w:kern w:val="0"/>
                <w:szCs w:val="21"/>
              </w:rPr>
            </w:pPr>
          </w:p>
        </w:tc>
        <w:tc>
          <w:tcPr>
            <w:tcW w:w="353" w:type="pct"/>
            <w:vMerge w:val="continue"/>
            <w:vAlign w:val="center"/>
          </w:tcPr>
          <w:p w14:paraId="47D2D6AE">
            <w:pPr>
              <w:widowControl/>
              <w:spacing w:line="240" w:lineRule="exact"/>
              <w:jc w:val="center"/>
              <w:rPr>
                <w:rFonts w:ascii="Times New Roman" w:hAnsi="Times New Roman" w:eastAsia="宋体" w:cs="Times New Roman"/>
                <w:kern w:val="0"/>
                <w:szCs w:val="21"/>
              </w:rPr>
            </w:pPr>
          </w:p>
        </w:tc>
        <w:tc>
          <w:tcPr>
            <w:tcW w:w="252" w:type="pct"/>
            <w:shd w:val="clear" w:color="auto" w:fill="auto"/>
            <w:vAlign w:val="center"/>
          </w:tcPr>
          <w:p w14:paraId="4A480242">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3</w:t>
            </w:r>
            <w:r>
              <w:rPr>
                <w:rFonts w:hint="eastAsia" w:ascii="宋体" w:hAnsi="宋体" w:eastAsia="宋体" w:cs="Times New Roman"/>
                <w:kern w:val="0"/>
                <w:szCs w:val="21"/>
              </w:rPr>
              <w:t>层</w:t>
            </w:r>
          </w:p>
        </w:tc>
        <w:tc>
          <w:tcPr>
            <w:tcW w:w="372" w:type="pct"/>
            <w:shd w:val="clear" w:color="auto" w:fill="auto"/>
            <w:vAlign w:val="center"/>
          </w:tcPr>
          <w:p w14:paraId="512A654C">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3.6</w:t>
            </w:r>
          </w:p>
        </w:tc>
        <w:tc>
          <w:tcPr>
            <w:tcW w:w="373" w:type="pct"/>
            <w:shd w:val="clear" w:color="auto" w:fill="auto"/>
            <w:vAlign w:val="center"/>
          </w:tcPr>
          <w:p w14:paraId="445EEA63">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3" w:type="pct"/>
            <w:shd w:val="clear" w:color="auto" w:fill="auto"/>
            <w:vAlign w:val="center"/>
          </w:tcPr>
          <w:p w14:paraId="7C124E3A">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4.4</w:t>
            </w:r>
          </w:p>
        </w:tc>
        <w:tc>
          <w:tcPr>
            <w:tcW w:w="372" w:type="pct"/>
            <w:shd w:val="clear" w:color="auto" w:fill="auto"/>
            <w:vAlign w:val="center"/>
          </w:tcPr>
          <w:p w14:paraId="689458FC">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3" w:type="pct"/>
            <w:shd w:val="clear" w:color="auto" w:fill="auto"/>
            <w:vAlign w:val="center"/>
          </w:tcPr>
          <w:p w14:paraId="60ACF584">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3.3</w:t>
            </w:r>
          </w:p>
        </w:tc>
        <w:tc>
          <w:tcPr>
            <w:tcW w:w="378" w:type="pct"/>
            <w:shd w:val="clear" w:color="auto" w:fill="auto"/>
            <w:vAlign w:val="center"/>
          </w:tcPr>
          <w:p w14:paraId="713E03C4">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235" w:type="pct"/>
            <w:vMerge w:val="continue"/>
            <w:vAlign w:val="center"/>
          </w:tcPr>
          <w:p w14:paraId="29057BDA">
            <w:pPr>
              <w:widowControl/>
              <w:spacing w:line="240" w:lineRule="exact"/>
              <w:jc w:val="center"/>
              <w:rPr>
                <w:rFonts w:ascii="Times New Roman" w:hAnsi="Times New Roman" w:eastAsia="宋体" w:cs="Times New Roman"/>
                <w:kern w:val="0"/>
                <w:szCs w:val="21"/>
              </w:rPr>
            </w:pPr>
          </w:p>
        </w:tc>
        <w:tc>
          <w:tcPr>
            <w:tcW w:w="426" w:type="pct"/>
            <w:vMerge w:val="continue"/>
            <w:vAlign w:val="center"/>
          </w:tcPr>
          <w:p w14:paraId="1B1C969C">
            <w:pPr>
              <w:widowControl/>
              <w:spacing w:line="240" w:lineRule="exact"/>
              <w:jc w:val="center"/>
              <w:rPr>
                <w:rFonts w:ascii="Times New Roman" w:hAnsi="Times New Roman" w:eastAsia="宋体" w:cs="Times New Roman"/>
                <w:kern w:val="0"/>
                <w:szCs w:val="21"/>
              </w:rPr>
            </w:pPr>
          </w:p>
        </w:tc>
      </w:tr>
      <w:tr w14:paraId="3C442301">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182" w:type="pct"/>
            <w:vMerge w:val="restart"/>
            <w:shd w:val="clear" w:color="auto" w:fill="auto"/>
            <w:vAlign w:val="center"/>
          </w:tcPr>
          <w:p w14:paraId="2F0B55C4">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w:t>
            </w:r>
          </w:p>
        </w:tc>
        <w:tc>
          <w:tcPr>
            <w:tcW w:w="504" w:type="pct"/>
            <w:vMerge w:val="restart"/>
            <w:shd w:val="clear" w:color="auto" w:fill="auto"/>
            <w:vAlign w:val="center"/>
          </w:tcPr>
          <w:p w14:paraId="5395EA52">
            <w:pPr>
              <w:widowControl/>
              <w:spacing w:line="240" w:lineRule="exact"/>
              <w:jc w:val="center"/>
              <w:rPr>
                <w:rFonts w:ascii="Times New Roman" w:hAnsi="Times New Roman" w:eastAsia="宋体" w:cs="Times New Roman"/>
                <w:kern w:val="0"/>
                <w:szCs w:val="21"/>
              </w:rPr>
            </w:pPr>
            <w:r>
              <w:rPr>
                <w:rFonts w:hint="eastAsia" w:ascii="宋体" w:hAnsi="宋体" w:eastAsia="宋体" w:cs="Times New Roman"/>
                <w:kern w:val="0"/>
                <w:szCs w:val="21"/>
              </w:rPr>
              <w:t>艾拉木艾日克</w:t>
            </w:r>
          </w:p>
        </w:tc>
        <w:tc>
          <w:tcPr>
            <w:tcW w:w="252" w:type="pct"/>
            <w:vMerge w:val="restart"/>
            <w:shd w:val="clear" w:color="auto" w:fill="auto"/>
            <w:vAlign w:val="center"/>
          </w:tcPr>
          <w:p w14:paraId="62BB1B3F">
            <w:pPr>
              <w:widowControl/>
              <w:spacing w:line="240" w:lineRule="exact"/>
              <w:jc w:val="center"/>
              <w:rPr>
                <w:rFonts w:ascii="宋体" w:hAnsi="宋体" w:eastAsia="宋体" w:cs="宋体"/>
                <w:kern w:val="0"/>
                <w:szCs w:val="21"/>
              </w:rPr>
            </w:pPr>
            <w:r>
              <w:rPr>
                <w:rFonts w:hint="eastAsia" w:ascii="宋体" w:hAnsi="宋体" w:eastAsia="宋体" w:cs="宋体"/>
                <w:kern w:val="0"/>
                <w:szCs w:val="21"/>
              </w:rPr>
              <w:t>路左</w:t>
            </w:r>
          </w:p>
        </w:tc>
        <w:tc>
          <w:tcPr>
            <w:tcW w:w="303" w:type="pct"/>
            <w:shd w:val="clear" w:color="auto" w:fill="auto"/>
            <w:vAlign w:val="center"/>
          </w:tcPr>
          <w:p w14:paraId="3F2491E5">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35</w:t>
            </w:r>
          </w:p>
        </w:tc>
        <w:tc>
          <w:tcPr>
            <w:tcW w:w="252" w:type="pct"/>
            <w:vMerge w:val="restart"/>
            <w:shd w:val="clear" w:color="auto" w:fill="auto"/>
            <w:vAlign w:val="center"/>
          </w:tcPr>
          <w:p w14:paraId="75421AAC">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3</w:t>
            </w:r>
          </w:p>
        </w:tc>
        <w:tc>
          <w:tcPr>
            <w:tcW w:w="353" w:type="pct"/>
            <w:vMerge w:val="restart"/>
            <w:shd w:val="clear" w:color="auto" w:fill="auto"/>
            <w:vAlign w:val="center"/>
          </w:tcPr>
          <w:p w14:paraId="09F0A457">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0</w:t>
            </w:r>
          </w:p>
        </w:tc>
        <w:tc>
          <w:tcPr>
            <w:tcW w:w="252" w:type="pct"/>
            <w:vMerge w:val="restart"/>
            <w:shd w:val="clear" w:color="auto" w:fill="auto"/>
            <w:vAlign w:val="center"/>
          </w:tcPr>
          <w:p w14:paraId="6FDC33B6">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w:t>
            </w:r>
            <w:r>
              <w:rPr>
                <w:rFonts w:hint="eastAsia" w:ascii="宋体" w:hAnsi="宋体" w:eastAsia="宋体" w:cs="Times New Roman"/>
                <w:kern w:val="0"/>
                <w:szCs w:val="21"/>
              </w:rPr>
              <w:t>层</w:t>
            </w:r>
          </w:p>
        </w:tc>
        <w:tc>
          <w:tcPr>
            <w:tcW w:w="372" w:type="pct"/>
            <w:shd w:val="clear" w:color="auto" w:fill="auto"/>
            <w:vAlign w:val="center"/>
          </w:tcPr>
          <w:p w14:paraId="0E318192">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3" w:type="pct"/>
            <w:shd w:val="clear" w:color="auto" w:fill="auto"/>
            <w:vAlign w:val="center"/>
          </w:tcPr>
          <w:p w14:paraId="4AF0DBA8">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1.0</w:t>
            </w:r>
          </w:p>
        </w:tc>
        <w:tc>
          <w:tcPr>
            <w:tcW w:w="373" w:type="pct"/>
            <w:shd w:val="clear" w:color="auto" w:fill="auto"/>
            <w:vAlign w:val="center"/>
          </w:tcPr>
          <w:p w14:paraId="00898871">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2" w:type="pct"/>
            <w:shd w:val="clear" w:color="auto" w:fill="auto"/>
            <w:vAlign w:val="center"/>
          </w:tcPr>
          <w:p w14:paraId="19D42DFE">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1.8</w:t>
            </w:r>
          </w:p>
        </w:tc>
        <w:tc>
          <w:tcPr>
            <w:tcW w:w="373" w:type="pct"/>
            <w:shd w:val="clear" w:color="auto" w:fill="auto"/>
            <w:vAlign w:val="center"/>
          </w:tcPr>
          <w:p w14:paraId="55070B04">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8" w:type="pct"/>
            <w:shd w:val="clear" w:color="auto" w:fill="auto"/>
            <w:vAlign w:val="center"/>
          </w:tcPr>
          <w:p w14:paraId="18E91371">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2.5</w:t>
            </w:r>
          </w:p>
        </w:tc>
        <w:tc>
          <w:tcPr>
            <w:tcW w:w="235" w:type="pct"/>
            <w:shd w:val="clear" w:color="auto" w:fill="auto"/>
            <w:vAlign w:val="center"/>
          </w:tcPr>
          <w:p w14:paraId="084EC2D4">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4a</w:t>
            </w:r>
            <w:r>
              <w:rPr>
                <w:rFonts w:hint="eastAsia" w:ascii="宋体" w:hAnsi="宋体" w:eastAsia="宋体" w:cs="Times New Roman"/>
                <w:kern w:val="0"/>
                <w:szCs w:val="21"/>
              </w:rPr>
              <w:t>类</w:t>
            </w:r>
          </w:p>
        </w:tc>
        <w:tc>
          <w:tcPr>
            <w:tcW w:w="426" w:type="pct"/>
            <w:shd w:val="clear" w:color="auto" w:fill="auto"/>
            <w:vAlign w:val="center"/>
          </w:tcPr>
          <w:p w14:paraId="35D4670D">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25</w:t>
            </w:r>
          </w:p>
        </w:tc>
      </w:tr>
      <w:tr w14:paraId="13D79620">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182" w:type="pct"/>
            <w:vMerge w:val="continue"/>
            <w:vAlign w:val="center"/>
          </w:tcPr>
          <w:p w14:paraId="2A1A6003">
            <w:pPr>
              <w:widowControl/>
              <w:spacing w:line="240" w:lineRule="exact"/>
              <w:jc w:val="center"/>
              <w:rPr>
                <w:rFonts w:ascii="Times New Roman" w:hAnsi="Times New Roman" w:eastAsia="宋体" w:cs="Times New Roman"/>
                <w:kern w:val="0"/>
                <w:szCs w:val="21"/>
              </w:rPr>
            </w:pPr>
          </w:p>
        </w:tc>
        <w:tc>
          <w:tcPr>
            <w:tcW w:w="504" w:type="pct"/>
            <w:vMerge w:val="continue"/>
            <w:vAlign w:val="center"/>
          </w:tcPr>
          <w:p w14:paraId="0B2CE837">
            <w:pPr>
              <w:widowControl/>
              <w:spacing w:line="240" w:lineRule="exact"/>
              <w:jc w:val="center"/>
              <w:rPr>
                <w:rFonts w:ascii="Times New Roman" w:hAnsi="Times New Roman" w:eastAsia="宋体" w:cs="Times New Roman"/>
                <w:kern w:val="0"/>
                <w:szCs w:val="21"/>
              </w:rPr>
            </w:pPr>
          </w:p>
        </w:tc>
        <w:tc>
          <w:tcPr>
            <w:tcW w:w="252" w:type="pct"/>
            <w:vMerge w:val="continue"/>
            <w:vAlign w:val="center"/>
          </w:tcPr>
          <w:p w14:paraId="270A015E">
            <w:pPr>
              <w:widowControl/>
              <w:spacing w:line="240" w:lineRule="exact"/>
              <w:jc w:val="center"/>
              <w:rPr>
                <w:rFonts w:ascii="宋体" w:hAnsi="宋体" w:eastAsia="宋体" w:cs="宋体"/>
                <w:kern w:val="0"/>
                <w:szCs w:val="21"/>
              </w:rPr>
            </w:pPr>
          </w:p>
        </w:tc>
        <w:tc>
          <w:tcPr>
            <w:tcW w:w="303" w:type="pct"/>
            <w:shd w:val="clear" w:color="auto" w:fill="auto"/>
            <w:vAlign w:val="center"/>
          </w:tcPr>
          <w:p w14:paraId="68CA4C5C">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57</w:t>
            </w:r>
          </w:p>
        </w:tc>
        <w:tc>
          <w:tcPr>
            <w:tcW w:w="252" w:type="pct"/>
            <w:vMerge w:val="continue"/>
            <w:vAlign w:val="center"/>
          </w:tcPr>
          <w:p w14:paraId="0E4CB84D">
            <w:pPr>
              <w:widowControl/>
              <w:spacing w:line="240" w:lineRule="exact"/>
              <w:jc w:val="center"/>
              <w:rPr>
                <w:rFonts w:ascii="Times New Roman" w:hAnsi="Times New Roman" w:eastAsia="宋体" w:cs="Times New Roman"/>
                <w:kern w:val="0"/>
                <w:szCs w:val="21"/>
              </w:rPr>
            </w:pPr>
          </w:p>
        </w:tc>
        <w:tc>
          <w:tcPr>
            <w:tcW w:w="353" w:type="pct"/>
            <w:vMerge w:val="continue"/>
            <w:vAlign w:val="center"/>
          </w:tcPr>
          <w:p w14:paraId="4B38E514">
            <w:pPr>
              <w:widowControl/>
              <w:spacing w:line="240" w:lineRule="exact"/>
              <w:jc w:val="center"/>
              <w:rPr>
                <w:rFonts w:ascii="Times New Roman" w:hAnsi="Times New Roman" w:eastAsia="宋体" w:cs="Times New Roman"/>
                <w:kern w:val="0"/>
                <w:szCs w:val="21"/>
              </w:rPr>
            </w:pPr>
          </w:p>
        </w:tc>
        <w:tc>
          <w:tcPr>
            <w:tcW w:w="252" w:type="pct"/>
            <w:vMerge w:val="continue"/>
            <w:vAlign w:val="center"/>
          </w:tcPr>
          <w:p w14:paraId="7DDBEB7D">
            <w:pPr>
              <w:widowControl/>
              <w:spacing w:line="240" w:lineRule="exact"/>
              <w:jc w:val="center"/>
              <w:rPr>
                <w:rFonts w:ascii="Times New Roman" w:hAnsi="Times New Roman" w:eastAsia="宋体" w:cs="Times New Roman"/>
                <w:kern w:val="0"/>
                <w:szCs w:val="21"/>
              </w:rPr>
            </w:pPr>
          </w:p>
        </w:tc>
        <w:tc>
          <w:tcPr>
            <w:tcW w:w="372" w:type="pct"/>
            <w:shd w:val="clear" w:color="auto" w:fill="auto"/>
            <w:vAlign w:val="center"/>
          </w:tcPr>
          <w:p w14:paraId="288BB3A4">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3" w:type="pct"/>
            <w:shd w:val="clear" w:color="auto" w:fill="auto"/>
            <w:vAlign w:val="center"/>
          </w:tcPr>
          <w:p w14:paraId="6E93F251">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3.3</w:t>
            </w:r>
          </w:p>
        </w:tc>
        <w:tc>
          <w:tcPr>
            <w:tcW w:w="373" w:type="pct"/>
            <w:shd w:val="clear" w:color="auto" w:fill="auto"/>
            <w:vAlign w:val="center"/>
          </w:tcPr>
          <w:p w14:paraId="3D360BDA">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2" w:type="pct"/>
            <w:shd w:val="clear" w:color="auto" w:fill="auto"/>
            <w:vAlign w:val="center"/>
          </w:tcPr>
          <w:p w14:paraId="51B983FB">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4.0</w:t>
            </w:r>
          </w:p>
        </w:tc>
        <w:tc>
          <w:tcPr>
            <w:tcW w:w="373" w:type="pct"/>
            <w:shd w:val="clear" w:color="auto" w:fill="auto"/>
            <w:vAlign w:val="center"/>
          </w:tcPr>
          <w:p w14:paraId="0B3B1C12">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8" w:type="pct"/>
            <w:shd w:val="clear" w:color="auto" w:fill="auto"/>
            <w:vAlign w:val="center"/>
          </w:tcPr>
          <w:p w14:paraId="14560341">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4.7</w:t>
            </w:r>
          </w:p>
        </w:tc>
        <w:tc>
          <w:tcPr>
            <w:tcW w:w="235" w:type="pct"/>
            <w:shd w:val="clear" w:color="auto" w:fill="auto"/>
            <w:vAlign w:val="center"/>
          </w:tcPr>
          <w:p w14:paraId="6FF438C0">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w:t>
            </w:r>
            <w:r>
              <w:rPr>
                <w:rFonts w:hint="eastAsia" w:ascii="宋体" w:hAnsi="宋体" w:eastAsia="宋体" w:cs="Times New Roman"/>
                <w:kern w:val="0"/>
                <w:szCs w:val="21"/>
              </w:rPr>
              <w:t>类</w:t>
            </w:r>
          </w:p>
        </w:tc>
        <w:tc>
          <w:tcPr>
            <w:tcW w:w="426" w:type="pct"/>
            <w:shd w:val="clear" w:color="auto" w:fill="auto"/>
            <w:vAlign w:val="center"/>
          </w:tcPr>
          <w:p w14:paraId="0F2A7D77">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w:t>
            </w:r>
          </w:p>
        </w:tc>
      </w:tr>
      <w:tr w14:paraId="5AE2AA5C">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182" w:type="pct"/>
            <w:vMerge w:val="continue"/>
            <w:vAlign w:val="center"/>
          </w:tcPr>
          <w:p w14:paraId="232803FB">
            <w:pPr>
              <w:widowControl/>
              <w:spacing w:line="240" w:lineRule="exact"/>
              <w:jc w:val="center"/>
              <w:rPr>
                <w:rFonts w:ascii="Times New Roman" w:hAnsi="Times New Roman" w:eastAsia="宋体" w:cs="Times New Roman"/>
                <w:kern w:val="0"/>
                <w:szCs w:val="21"/>
              </w:rPr>
            </w:pPr>
          </w:p>
        </w:tc>
        <w:tc>
          <w:tcPr>
            <w:tcW w:w="504" w:type="pct"/>
            <w:vMerge w:val="continue"/>
            <w:vAlign w:val="center"/>
          </w:tcPr>
          <w:p w14:paraId="0A793B2C">
            <w:pPr>
              <w:widowControl/>
              <w:spacing w:line="240" w:lineRule="exact"/>
              <w:jc w:val="center"/>
              <w:rPr>
                <w:rFonts w:ascii="Times New Roman" w:hAnsi="Times New Roman" w:eastAsia="宋体" w:cs="Times New Roman"/>
                <w:kern w:val="0"/>
                <w:szCs w:val="21"/>
              </w:rPr>
            </w:pPr>
          </w:p>
        </w:tc>
        <w:tc>
          <w:tcPr>
            <w:tcW w:w="252" w:type="pct"/>
            <w:vMerge w:val="continue"/>
            <w:vAlign w:val="center"/>
          </w:tcPr>
          <w:p w14:paraId="092B1D5F">
            <w:pPr>
              <w:widowControl/>
              <w:spacing w:line="240" w:lineRule="exact"/>
              <w:jc w:val="center"/>
              <w:rPr>
                <w:rFonts w:ascii="宋体" w:hAnsi="宋体" w:eastAsia="宋体" w:cs="宋体"/>
                <w:kern w:val="0"/>
                <w:szCs w:val="21"/>
              </w:rPr>
            </w:pPr>
          </w:p>
        </w:tc>
        <w:tc>
          <w:tcPr>
            <w:tcW w:w="303" w:type="pct"/>
            <w:shd w:val="clear" w:color="auto" w:fill="auto"/>
            <w:vAlign w:val="center"/>
          </w:tcPr>
          <w:p w14:paraId="1D53040B">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41</w:t>
            </w:r>
          </w:p>
        </w:tc>
        <w:tc>
          <w:tcPr>
            <w:tcW w:w="252" w:type="pct"/>
            <w:vMerge w:val="continue"/>
            <w:vAlign w:val="center"/>
          </w:tcPr>
          <w:p w14:paraId="0E64F2DA">
            <w:pPr>
              <w:widowControl/>
              <w:spacing w:line="240" w:lineRule="exact"/>
              <w:jc w:val="center"/>
              <w:rPr>
                <w:rFonts w:ascii="Times New Roman" w:hAnsi="Times New Roman" w:eastAsia="宋体" w:cs="Times New Roman"/>
                <w:kern w:val="0"/>
                <w:szCs w:val="21"/>
              </w:rPr>
            </w:pPr>
          </w:p>
        </w:tc>
        <w:tc>
          <w:tcPr>
            <w:tcW w:w="353" w:type="pct"/>
            <w:vMerge w:val="continue"/>
            <w:vAlign w:val="center"/>
          </w:tcPr>
          <w:p w14:paraId="2AC78167">
            <w:pPr>
              <w:widowControl/>
              <w:spacing w:line="240" w:lineRule="exact"/>
              <w:jc w:val="center"/>
              <w:rPr>
                <w:rFonts w:ascii="Times New Roman" w:hAnsi="Times New Roman" w:eastAsia="宋体" w:cs="Times New Roman"/>
                <w:kern w:val="0"/>
                <w:szCs w:val="21"/>
              </w:rPr>
            </w:pPr>
          </w:p>
        </w:tc>
        <w:tc>
          <w:tcPr>
            <w:tcW w:w="252" w:type="pct"/>
            <w:vMerge w:val="continue"/>
            <w:vAlign w:val="center"/>
          </w:tcPr>
          <w:p w14:paraId="0A7E0242">
            <w:pPr>
              <w:widowControl/>
              <w:spacing w:line="240" w:lineRule="exact"/>
              <w:jc w:val="center"/>
              <w:rPr>
                <w:rFonts w:ascii="Times New Roman" w:hAnsi="Times New Roman" w:eastAsia="宋体" w:cs="Times New Roman"/>
                <w:kern w:val="0"/>
                <w:szCs w:val="21"/>
              </w:rPr>
            </w:pPr>
          </w:p>
        </w:tc>
        <w:tc>
          <w:tcPr>
            <w:tcW w:w="372" w:type="pct"/>
            <w:shd w:val="clear" w:color="auto" w:fill="auto"/>
            <w:vAlign w:val="center"/>
          </w:tcPr>
          <w:p w14:paraId="28F1D20A">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3" w:type="pct"/>
            <w:shd w:val="clear" w:color="auto" w:fill="auto"/>
            <w:vAlign w:val="center"/>
          </w:tcPr>
          <w:p w14:paraId="08ABCB87">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0.1</w:t>
            </w:r>
          </w:p>
        </w:tc>
        <w:tc>
          <w:tcPr>
            <w:tcW w:w="373" w:type="pct"/>
            <w:shd w:val="clear" w:color="auto" w:fill="auto"/>
            <w:vAlign w:val="center"/>
          </w:tcPr>
          <w:p w14:paraId="0C0D0BE3">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2" w:type="pct"/>
            <w:shd w:val="clear" w:color="auto" w:fill="auto"/>
            <w:vAlign w:val="center"/>
          </w:tcPr>
          <w:p w14:paraId="4F8BAFF0">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0.9</w:t>
            </w:r>
          </w:p>
        </w:tc>
        <w:tc>
          <w:tcPr>
            <w:tcW w:w="373" w:type="pct"/>
            <w:shd w:val="clear" w:color="auto" w:fill="auto"/>
            <w:vAlign w:val="center"/>
          </w:tcPr>
          <w:p w14:paraId="42924FF0">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8" w:type="pct"/>
            <w:shd w:val="clear" w:color="auto" w:fill="auto"/>
            <w:vAlign w:val="center"/>
          </w:tcPr>
          <w:p w14:paraId="18D2AF48">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1.6</w:t>
            </w:r>
          </w:p>
        </w:tc>
        <w:tc>
          <w:tcPr>
            <w:tcW w:w="235" w:type="pct"/>
            <w:shd w:val="clear" w:color="auto" w:fill="auto"/>
            <w:vAlign w:val="center"/>
          </w:tcPr>
          <w:p w14:paraId="5CA0AA08">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4a</w:t>
            </w:r>
            <w:r>
              <w:rPr>
                <w:rFonts w:hint="eastAsia" w:ascii="宋体" w:hAnsi="宋体" w:eastAsia="宋体" w:cs="Times New Roman"/>
                <w:kern w:val="0"/>
                <w:szCs w:val="21"/>
              </w:rPr>
              <w:t>类</w:t>
            </w:r>
          </w:p>
        </w:tc>
        <w:tc>
          <w:tcPr>
            <w:tcW w:w="426" w:type="pct"/>
            <w:shd w:val="clear" w:color="auto" w:fill="auto"/>
            <w:vAlign w:val="center"/>
          </w:tcPr>
          <w:p w14:paraId="17889B97">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10</w:t>
            </w:r>
          </w:p>
        </w:tc>
      </w:tr>
      <w:tr w14:paraId="364B2DC8">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182" w:type="pct"/>
            <w:vMerge w:val="continue"/>
            <w:vAlign w:val="center"/>
          </w:tcPr>
          <w:p w14:paraId="7FC4A2D9">
            <w:pPr>
              <w:widowControl/>
              <w:spacing w:line="240" w:lineRule="exact"/>
              <w:jc w:val="center"/>
              <w:rPr>
                <w:rFonts w:ascii="Times New Roman" w:hAnsi="Times New Roman" w:eastAsia="宋体" w:cs="Times New Roman"/>
                <w:kern w:val="0"/>
                <w:szCs w:val="21"/>
              </w:rPr>
            </w:pPr>
          </w:p>
        </w:tc>
        <w:tc>
          <w:tcPr>
            <w:tcW w:w="504" w:type="pct"/>
            <w:vMerge w:val="continue"/>
            <w:vAlign w:val="center"/>
          </w:tcPr>
          <w:p w14:paraId="5AC074AD">
            <w:pPr>
              <w:widowControl/>
              <w:spacing w:line="240" w:lineRule="exact"/>
              <w:jc w:val="center"/>
              <w:rPr>
                <w:rFonts w:ascii="Times New Roman" w:hAnsi="Times New Roman" w:eastAsia="宋体" w:cs="Times New Roman"/>
                <w:kern w:val="0"/>
                <w:szCs w:val="21"/>
              </w:rPr>
            </w:pPr>
          </w:p>
        </w:tc>
        <w:tc>
          <w:tcPr>
            <w:tcW w:w="252" w:type="pct"/>
            <w:vMerge w:val="continue"/>
            <w:vAlign w:val="center"/>
          </w:tcPr>
          <w:p w14:paraId="7BF57661">
            <w:pPr>
              <w:widowControl/>
              <w:spacing w:line="240" w:lineRule="exact"/>
              <w:jc w:val="center"/>
              <w:rPr>
                <w:rFonts w:ascii="宋体" w:hAnsi="宋体" w:eastAsia="宋体" w:cs="宋体"/>
                <w:kern w:val="0"/>
                <w:szCs w:val="21"/>
              </w:rPr>
            </w:pPr>
          </w:p>
        </w:tc>
        <w:tc>
          <w:tcPr>
            <w:tcW w:w="303" w:type="pct"/>
            <w:shd w:val="clear" w:color="auto" w:fill="auto"/>
            <w:vAlign w:val="center"/>
          </w:tcPr>
          <w:p w14:paraId="3914F315">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58</w:t>
            </w:r>
          </w:p>
        </w:tc>
        <w:tc>
          <w:tcPr>
            <w:tcW w:w="252" w:type="pct"/>
            <w:vMerge w:val="continue"/>
            <w:vAlign w:val="center"/>
          </w:tcPr>
          <w:p w14:paraId="3C47503D">
            <w:pPr>
              <w:widowControl/>
              <w:spacing w:line="240" w:lineRule="exact"/>
              <w:jc w:val="center"/>
              <w:rPr>
                <w:rFonts w:ascii="Times New Roman" w:hAnsi="Times New Roman" w:eastAsia="宋体" w:cs="Times New Roman"/>
                <w:kern w:val="0"/>
                <w:szCs w:val="21"/>
              </w:rPr>
            </w:pPr>
          </w:p>
        </w:tc>
        <w:tc>
          <w:tcPr>
            <w:tcW w:w="353" w:type="pct"/>
            <w:vMerge w:val="continue"/>
            <w:vAlign w:val="center"/>
          </w:tcPr>
          <w:p w14:paraId="05981EE5">
            <w:pPr>
              <w:widowControl/>
              <w:spacing w:line="240" w:lineRule="exact"/>
              <w:jc w:val="center"/>
              <w:rPr>
                <w:rFonts w:ascii="Times New Roman" w:hAnsi="Times New Roman" w:eastAsia="宋体" w:cs="Times New Roman"/>
                <w:kern w:val="0"/>
                <w:szCs w:val="21"/>
              </w:rPr>
            </w:pPr>
          </w:p>
        </w:tc>
        <w:tc>
          <w:tcPr>
            <w:tcW w:w="252" w:type="pct"/>
            <w:vMerge w:val="continue"/>
            <w:vAlign w:val="center"/>
          </w:tcPr>
          <w:p w14:paraId="5A255892">
            <w:pPr>
              <w:widowControl/>
              <w:spacing w:line="240" w:lineRule="exact"/>
              <w:jc w:val="center"/>
              <w:rPr>
                <w:rFonts w:ascii="Times New Roman" w:hAnsi="Times New Roman" w:eastAsia="宋体" w:cs="Times New Roman"/>
                <w:kern w:val="0"/>
                <w:szCs w:val="21"/>
              </w:rPr>
            </w:pPr>
          </w:p>
        </w:tc>
        <w:tc>
          <w:tcPr>
            <w:tcW w:w="372" w:type="pct"/>
            <w:shd w:val="clear" w:color="auto" w:fill="auto"/>
            <w:vAlign w:val="center"/>
          </w:tcPr>
          <w:p w14:paraId="4054D6BD">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3" w:type="pct"/>
            <w:shd w:val="clear" w:color="auto" w:fill="auto"/>
            <w:vAlign w:val="center"/>
          </w:tcPr>
          <w:p w14:paraId="2FB12F87">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3.2</w:t>
            </w:r>
          </w:p>
        </w:tc>
        <w:tc>
          <w:tcPr>
            <w:tcW w:w="373" w:type="pct"/>
            <w:shd w:val="clear" w:color="auto" w:fill="auto"/>
            <w:vAlign w:val="center"/>
          </w:tcPr>
          <w:p w14:paraId="5EDF8091">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2" w:type="pct"/>
            <w:shd w:val="clear" w:color="auto" w:fill="auto"/>
            <w:vAlign w:val="center"/>
          </w:tcPr>
          <w:p w14:paraId="6B064B6A">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3.9</w:t>
            </w:r>
          </w:p>
        </w:tc>
        <w:tc>
          <w:tcPr>
            <w:tcW w:w="373" w:type="pct"/>
            <w:shd w:val="clear" w:color="auto" w:fill="auto"/>
            <w:vAlign w:val="center"/>
          </w:tcPr>
          <w:p w14:paraId="1ED4F8F9">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8" w:type="pct"/>
            <w:shd w:val="clear" w:color="auto" w:fill="auto"/>
            <w:vAlign w:val="center"/>
          </w:tcPr>
          <w:p w14:paraId="5B417FB5">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4.6</w:t>
            </w:r>
          </w:p>
        </w:tc>
        <w:tc>
          <w:tcPr>
            <w:tcW w:w="235" w:type="pct"/>
            <w:shd w:val="clear" w:color="auto" w:fill="auto"/>
            <w:vAlign w:val="center"/>
          </w:tcPr>
          <w:p w14:paraId="73136E37">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w:t>
            </w:r>
            <w:r>
              <w:rPr>
                <w:rFonts w:hint="eastAsia" w:ascii="宋体" w:hAnsi="宋体" w:eastAsia="宋体" w:cs="Times New Roman"/>
                <w:kern w:val="0"/>
                <w:szCs w:val="21"/>
              </w:rPr>
              <w:t>类</w:t>
            </w:r>
          </w:p>
        </w:tc>
        <w:tc>
          <w:tcPr>
            <w:tcW w:w="426" w:type="pct"/>
            <w:shd w:val="clear" w:color="auto" w:fill="auto"/>
            <w:vAlign w:val="center"/>
          </w:tcPr>
          <w:p w14:paraId="16CD5D3D">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w:t>
            </w:r>
          </w:p>
        </w:tc>
      </w:tr>
      <w:tr w14:paraId="03ACDB4E">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182" w:type="pct"/>
            <w:vMerge w:val="restart"/>
            <w:shd w:val="clear" w:color="auto" w:fill="auto"/>
            <w:vAlign w:val="center"/>
          </w:tcPr>
          <w:p w14:paraId="35AFAA6D">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w:t>
            </w:r>
          </w:p>
        </w:tc>
        <w:tc>
          <w:tcPr>
            <w:tcW w:w="504" w:type="pct"/>
            <w:vMerge w:val="restart"/>
            <w:shd w:val="clear" w:color="auto" w:fill="auto"/>
            <w:vAlign w:val="center"/>
          </w:tcPr>
          <w:p w14:paraId="7D56CE88">
            <w:pPr>
              <w:widowControl/>
              <w:spacing w:line="240" w:lineRule="exact"/>
              <w:jc w:val="center"/>
              <w:rPr>
                <w:rFonts w:ascii="Times New Roman" w:hAnsi="Times New Roman" w:eastAsia="宋体" w:cs="Times New Roman"/>
                <w:kern w:val="0"/>
                <w:szCs w:val="21"/>
              </w:rPr>
            </w:pPr>
            <w:r>
              <w:rPr>
                <w:rFonts w:hint="eastAsia" w:ascii="宋体" w:hAnsi="宋体" w:eastAsia="宋体" w:cs="Times New Roman"/>
                <w:kern w:val="0"/>
                <w:szCs w:val="21"/>
              </w:rPr>
              <w:t>巴什央艾日克村</w:t>
            </w:r>
          </w:p>
        </w:tc>
        <w:tc>
          <w:tcPr>
            <w:tcW w:w="252" w:type="pct"/>
            <w:vMerge w:val="restart"/>
            <w:shd w:val="clear" w:color="auto" w:fill="auto"/>
            <w:vAlign w:val="center"/>
          </w:tcPr>
          <w:p w14:paraId="69D3CD18">
            <w:pPr>
              <w:widowControl/>
              <w:spacing w:line="240" w:lineRule="exact"/>
              <w:jc w:val="center"/>
              <w:rPr>
                <w:rFonts w:ascii="Times New Roman" w:hAnsi="Times New Roman" w:eastAsia="宋体" w:cs="Times New Roman"/>
                <w:kern w:val="0"/>
                <w:szCs w:val="21"/>
              </w:rPr>
            </w:pPr>
            <w:r>
              <w:rPr>
                <w:rFonts w:hint="eastAsia" w:ascii="宋体" w:hAnsi="宋体" w:eastAsia="宋体" w:cs="Times New Roman"/>
                <w:kern w:val="0"/>
                <w:szCs w:val="21"/>
              </w:rPr>
              <w:t>两侧</w:t>
            </w:r>
          </w:p>
        </w:tc>
        <w:tc>
          <w:tcPr>
            <w:tcW w:w="303" w:type="pct"/>
            <w:shd w:val="clear" w:color="auto" w:fill="auto"/>
            <w:vAlign w:val="center"/>
          </w:tcPr>
          <w:p w14:paraId="562A00A6">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25</w:t>
            </w:r>
          </w:p>
        </w:tc>
        <w:tc>
          <w:tcPr>
            <w:tcW w:w="252" w:type="pct"/>
            <w:vMerge w:val="restart"/>
            <w:shd w:val="clear" w:color="auto" w:fill="auto"/>
            <w:vAlign w:val="center"/>
          </w:tcPr>
          <w:p w14:paraId="664E26AA">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w:t>
            </w:r>
          </w:p>
        </w:tc>
        <w:tc>
          <w:tcPr>
            <w:tcW w:w="353" w:type="pct"/>
            <w:vMerge w:val="restart"/>
            <w:shd w:val="clear" w:color="auto" w:fill="auto"/>
            <w:vAlign w:val="center"/>
          </w:tcPr>
          <w:p w14:paraId="6E2D0182">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0</w:t>
            </w:r>
          </w:p>
        </w:tc>
        <w:tc>
          <w:tcPr>
            <w:tcW w:w="252" w:type="pct"/>
            <w:vMerge w:val="restart"/>
            <w:shd w:val="clear" w:color="auto" w:fill="auto"/>
            <w:vAlign w:val="center"/>
          </w:tcPr>
          <w:p w14:paraId="60D2423B">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w:t>
            </w:r>
            <w:r>
              <w:rPr>
                <w:rFonts w:hint="eastAsia" w:ascii="宋体" w:hAnsi="宋体" w:eastAsia="宋体" w:cs="Times New Roman"/>
                <w:kern w:val="0"/>
                <w:szCs w:val="21"/>
              </w:rPr>
              <w:t>层</w:t>
            </w:r>
          </w:p>
        </w:tc>
        <w:tc>
          <w:tcPr>
            <w:tcW w:w="372" w:type="pct"/>
            <w:shd w:val="clear" w:color="auto" w:fill="auto"/>
            <w:vAlign w:val="center"/>
          </w:tcPr>
          <w:p w14:paraId="406A039F">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3" w:type="pct"/>
            <w:shd w:val="clear" w:color="auto" w:fill="auto"/>
            <w:vAlign w:val="center"/>
          </w:tcPr>
          <w:p w14:paraId="54CE893E">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6.6</w:t>
            </w:r>
          </w:p>
        </w:tc>
        <w:tc>
          <w:tcPr>
            <w:tcW w:w="373" w:type="pct"/>
            <w:shd w:val="clear" w:color="auto" w:fill="auto"/>
            <w:vAlign w:val="center"/>
          </w:tcPr>
          <w:p w14:paraId="1700AFD0">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2" w:type="pct"/>
            <w:shd w:val="clear" w:color="auto" w:fill="auto"/>
            <w:vAlign w:val="center"/>
          </w:tcPr>
          <w:p w14:paraId="09B72124">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7.4</w:t>
            </w:r>
          </w:p>
        </w:tc>
        <w:tc>
          <w:tcPr>
            <w:tcW w:w="373" w:type="pct"/>
            <w:shd w:val="clear" w:color="auto" w:fill="auto"/>
            <w:vAlign w:val="center"/>
          </w:tcPr>
          <w:p w14:paraId="19D78F0F">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8" w:type="pct"/>
            <w:shd w:val="clear" w:color="auto" w:fill="auto"/>
            <w:vAlign w:val="center"/>
          </w:tcPr>
          <w:p w14:paraId="7EE7EE88">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8.1</w:t>
            </w:r>
          </w:p>
        </w:tc>
        <w:tc>
          <w:tcPr>
            <w:tcW w:w="235" w:type="pct"/>
            <w:shd w:val="clear" w:color="auto" w:fill="auto"/>
            <w:vAlign w:val="center"/>
          </w:tcPr>
          <w:p w14:paraId="2CC696D1">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4a</w:t>
            </w:r>
            <w:r>
              <w:rPr>
                <w:rFonts w:hint="eastAsia" w:ascii="宋体" w:hAnsi="宋体" w:eastAsia="宋体" w:cs="Times New Roman"/>
                <w:kern w:val="0"/>
                <w:szCs w:val="21"/>
              </w:rPr>
              <w:t>类</w:t>
            </w:r>
          </w:p>
        </w:tc>
        <w:tc>
          <w:tcPr>
            <w:tcW w:w="426" w:type="pct"/>
            <w:shd w:val="clear" w:color="auto" w:fill="auto"/>
            <w:vAlign w:val="center"/>
          </w:tcPr>
          <w:p w14:paraId="7A96F649">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40</w:t>
            </w:r>
          </w:p>
        </w:tc>
      </w:tr>
      <w:tr w14:paraId="5810D94A">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182" w:type="pct"/>
            <w:vMerge w:val="continue"/>
            <w:vAlign w:val="center"/>
          </w:tcPr>
          <w:p w14:paraId="189CC0A0">
            <w:pPr>
              <w:widowControl/>
              <w:spacing w:line="240" w:lineRule="exact"/>
              <w:jc w:val="center"/>
              <w:rPr>
                <w:rFonts w:ascii="Times New Roman" w:hAnsi="Times New Roman" w:eastAsia="宋体" w:cs="Times New Roman"/>
                <w:kern w:val="0"/>
                <w:szCs w:val="21"/>
              </w:rPr>
            </w:pPr>
          </w:p>
        </w:tc>
        <w:tc>
          <w:tcPr>
            <w:tcW w:w="504" w:type="pct"/>
            <w:vMerge w:val="continue"/>
            <w:vAlign w:val="center"/>
          </w:tcPr>
          <w:p w14:paraId="0B8714FA">
            <w:pPr>
              <w:widowControl/>
              <w:spacing w:line="240" w:lineRule="exact"/>
              <w:jc w:val="center"/>
              <w:rPr>
                <w:rFonts w:ascii="Times New Roman" w:hAnsi="Times New Roman" w:eastAsia="宋体" w:cs="Times New Roman"/>
                <w:kern w:val="0"/>
                <w:szCs w:val="21"/>
              </w:rPr>
            </w:pPr>
          </w:p>
        </w:tc>
        <w:tc>
          <w:tcPr>
            <w:tcW w:w="252" w:type="pct"/>
            <w:vMerge w:val="continue"/>
            <w:vAlign w:val="center"/>
          </w:tcPr>
          <w:p w14:paraId="2DCE226F">
            <w:pPr>
              <w:widowControl/>
              <w:spacing w:line="240" w:lineRule="exact"/>
              <w:jc w:val="center"/>
              <w:rPr>
                <w:rFonts w:ascii="Times New Roman" w:hAnsi="Times New Roman" w:eastAsia="宋体" w:cs="Times New Roman"/>
                <w:kern w:val="0"/>
                <w:szCs w:val="21"/>
              </w:rPr>
            </w:pPr>
          </w:p>
        </w:tc>
        <w:tc>
          <w:tcPr>
            <w:tcW w:w="303" w:type="pct"/>
            <w:shd w:val="clear" w:color="auto" w:fill="auto"/>
            <w:vAlign w:val="center"/>
          </w:tcPr>
          <w:p w14:paraId="289DB816">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52</w:t>
            </w:r>
          </w:p>
        </w:tc>
        <w:tc>
          <w:tcPr>
            <w:tcW w:w="252" w:type="pct"/>
            <w:vMerge w:val="continue"/>
            <w:vAlign w:val="center"/>
          </w:tcPr>
          <w:p w14:paraId="244A00C8">
            <w:pPr>
              <w:widowControl/>
              <w:spacing w:line="240" w:lineRule="exact"/>
              <w:jc w:val="center"/>
              <w:rPr>
                <w:rFonts w:ascii="Times New Roman" w:hAnsi="Times New Roman" w:eastAsia="宋体" w:cs="Times New Roman"/>
                <w:kern w:val="0"/>
                <w:szCs w:val="21"/>
              </w:rPr>
            </w:pPr>
          </w:p>
        </w:tc>
        <w:tc>
          <w:tcPr>
            <w:tcW w:w="353" w:type="pct"/>
            <w:vMerge w:val="continue"/>
            <w:vAlign w:val="center"/>
          </w:tcPr>
          <w:p w14:paraId="4F90F579">
            <w:pPr>
              <w:widowControl/>
              <w:spacing w:line="240" w:lineRule="exact"/>
              <w:jc w:val="center"/>
              <w:rPr>
                <w:rFonts w:ascii="Times New Roman" w:hAnsi="Times New Roman" w:eastAsia="宋体" w:cs="Times New Roman"/>
                <w:kern w:val="0"/>
                <w:szCs w:val="21"/>
              </w:rPr>
            </w:pPr>
          </w:p>
        </w:tc>
        <w:tc>
          <w:tcPr>
            <w:tcW w:w="252" w:type="pct"/>
            <w:vMerge w:val="continue"/>
            <w:vAlign w:val="center"/>
          </w:tcPr>
          <w:p w14:paraId="1EEB0348">
            <w:pPr>
              <w:widowControl/>
              <w:spacing w:line="240" w:lineRule="exact"/>
              <w:jc w:val="center"/>
              <w:rPr>
                <w:rFonts w:ascii="Times New Roman" w:hAnsi="Times New Roman" w:eastAsia="宋体" w:cs="Times New Roman"/>
                <w:kern w:val="0"/>
                <w:szCs w:val="21"/>
              </w:rPr>
            </w:pPr>
          </w:p>
        </w:tc>
        <w:tc>
          <w:tcPr>
            <w:tcW w:w="372" w:type="pct"/>
            <w:shd w:val="clear" w:color="auto" w:fill="auto"/>
            <w:vAlign w:val="center"/>
          </w:tcPr>
          <w:p w14:paraId="420759D5">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3" w:type="pct"/>
            <w:shd w:val="clear" w:color="auto" w:fill="auto"/>
            <w:vAlign w:val="center"/>
          </w:tcPr>
          <w:p w14:paraId="00EC8DB4">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5.8</w:t>
            </w:r>
          </w:p>
        </w:tc>
        <w:tc>
          <w:tcPr>
            <w:tcW w:w="373" w:type="pct"/>
            <w:shd w:val="clear" w:color="auto" w:fill="auto"/>
            <w:vAlign w:val="center"/>
          </w:tcPr>
          <w:p w14:paraId="6444F2C9">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0.3</w:t>
            </w:r>
          </w:p>
        </w:tc>
        <w:tc>
          <w:tcPr>
            <w:tcW w:w="372" w:type="pct"/>
            <w:shd w:val="clear" w:color="auto" w:fill="auto"/>
            <w:vAlign w:val="center"/>
          </w:tcPr>
          <w:p w14:paraId="6516FCFA">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6.6</w:t>
            </w:r>
          </w:p>
        </w:tc>
        <w:tc>
          <w:tcPr>
            <w:tcW w:w="373" w:type="pct"/>
            <w:shd w:val="clear" w:color="auto" w:fill="auto"/>
            <w:vAlign w:val="center"/>
          </w:tcPr>
          <w:p w14:paraId="30139847">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1.0</w:t>
            </w:r>
          </w:p>
        </w:tc>
        <w:tc>
          <w:tcPr>
            <w:tcW w:w="378" w:type="pct"/>
            <w:shd w:val="clear" w:color="auto" w:fill="auto"/>
            <w:vAlign w:val="center"/>
          </w:tcPr>
          <w:p w14:paraId="6D033788">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7.3</w:t>
            </w:r>
          </w:p>
        </w:tc>
        <w:tc>
          <w:tcPr>
            <w:tcW w:w="235" w:type="pct"/>
            <w:shd w:val="clear" w:color="auto" w:fill="auto"/>
            <w:vAlign w:val="center"/>
          </w:tcPr>
          <w:p w14:paraId="68466053">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w:t>
            </w:r>
            <w:r>
              <w:rPr>
                <w:rFonts w:hint="eastAsia" w:ascii="宋体" w:hAnsi="宋体" w:eastAsia="宋体" w:cs="Times New Roman"/>
                <w:kern w:val="0"/>
                <w:szCs w:val="21"/>
              </w:rPr>
              <w:t>类</w:t>
            </w:r>
          </w:p>
        </w:tc>
        <w:tc>
          <w:tcPr>
            <w:tcW w:w="426" w:type="pct"/>
            <w:shd w:val="clear" w:color="auto" w:fill="auto"/>
            <w:vAlign w:val="center"/>
          </w:tcPr>
          <w:p w14:paraId="13DC6076">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25</w:t>
            </w:r>
          </w:p>
        </w:tc>
      </w:tr>
      <w:tr w14:paraId="15AC922A">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182" w:type="pct"/>
            <w:vMerge w:val="restart"/>
            <w:shd w:val="clear" w:color="auto" w:fill="auto"/>
            <w:vAlign w:val="center"/>
          </w:tcPr>
          <w:p w14:paraId="50104D01">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w:t>
            </w:r>
          </w:p>
        </w:tc>
        <w:tc>
          <w:tcPr>
            <w:tcW w:w="504" w:type="pct"/>
            <w:vMerge w:val="restart"/>
            <w:shd w:val="clear" w:color="auto" w:fill="auto"/>
            <w:vAlign w:val="center"/>
          </w:tcPr>
          <w:p w14:paraId="18D3C653">
            <w:pPr>
              <w:widowControl/>
              <w:spacing w:line="240" w:lineRule="exact"/>
              <w:jc w:val="center"/>
              <w:rPr>
                <w:rFonts w:ascii="Times New Roman" w:hAnsi="Times New Roman" w:eastAsia="宋体" w:cs="Times New Roman"/>
                <w:kern w:val="0"/>
                <w:szCs w:val="21"/>
              </w:rPr>
            </w:pPr>
            <w:r>
              <w:rPr>
                <w:rFonts w:hint="eastAsia" w:ascii="宋体" w:hAnsi="宋体" w:eastAsia="宋体" w:cs="Times New Roman"/>
                <w:kern w:val="0"/>
                <w:szCs w:val="21"/>
              </w:rPr>
              <w:t>英兰干村</w:t>
            </w:r>
          </w:p>
        </w:tc>
        <w:tc>
          <w:tcPr>
            <w:tcW w:w="252" w:type="pct"/>
            <w:vMerge w:val="restart"/>
            <w:shd w:val="clear" w:color="auto" w:fill="auto"/>
            <w:vAlign w:val="center"/>
          </w:tcPr>
          <w:p w14:paraId="1F9269AE">
            <w:pPr>
              <w:widowControl/>
              <w:spacing w:line="240" w:lineRule="exact"/>
              <w:jc w:val="center"/>
              <w:rPr>
                <w:rFonts w:ascii="Times New Roman" w:hAnsi="Times New Roman" w:eastAsia="宋体" w:cs="Times New Roman"/>
                <w:kern w:val="0"/>
                <w:szCs w:val="21"/>
              </w:rPr>
            </w:pPr>
            <w:r>
              <w:rPr>
                <w:rFonts w:hint="eastAsia" w:ascii="宋体" w:hAnsi="宋体" w:eastAsia="宋体" w:cs="Times New Roman"/>
                <w:kern w:val="0"/>
                <w:szCs w:val="21"/>
              </w:rPr>
              <w:t>两侧</w:t>
            </w:r>
          </w:p>
        </w:tc>
        <w:tc>
          <w:tcPr>
            <w:tcW w:w="303" w:type="pct"/>
            <w:shd w:val="clear" w:color="auto" w:fill="auto"/>
            <w:vAlign w:val="center"/>
          </w:tcPr>
          <w:p w14:paraId="19B3B54B">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20</w:t>
            </w:r>
          </w:p>
        </w:tc>
        <w:tc>
          <w:tcPr>
            <w:tcW w:w="252" w:type="pct"/>
            <w:vMerge w:val="restart"/>
            <w:shd w:val="clear" w:color="auto" w:fill="auto"/>
            <w:vAlign w:val="center"/>
          </w:tcPr>
          <w:p w14:paraId="425F3EBD">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w:t>
            </w:r>
          </w:p>
        </w:tc>
        <w:tc>
          <w:tcPr>
            <w:tcW w:w="353" w:type="pct"/>
            <w:vMerge w:val="restart"/>
            <w:shd w:val="clear" w:color="auto" w:fill="auto"/>
            <w:vAlign w:val="center"/>
          </w:tcPr>
          <w:p w14:paraId="48C828EB">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0</w:t>
            </w:r>
          </w:p>
        </w:tc>
        <w:tc>
          <w:tcPr>
            <w:tcW w:w="252" w:type="pct"/>
            <w:vMerge w:val="restart"/>
            <w:shd w:val="clear" w:color="auto" w:fill="auto"/>
            <w:vAlign w:val="center"/>
          </w:tcPr>
          <w:p w14:paraId="6EB9C412">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w:t>
            </w:r>
            <w:r>
              <w:rPr>
                <w:rFonts w:hint="eastAsia" w:ascii="宋体" w:hAnsi="宋体" w:eastAsia="宋体" w:cs="Times New Roman"/>
                <w:kern w:val="0"/>
                <w:szCs w:val="21"/>
              </w:rPr>
              <w:t>层</w:t>
            </w:r>
          </w:p>
        </w:tc>
        <w:tc>
          <w:tcPr>
            <w:tcW w:w="372" w:type="pct"/>
            <w:shd w:val="clear" w:color="auto" w:fill="auto"/>
            <w:vAlign w:val="center"/>
          </w:tcPr>
          <w:p w14:paraId="6E4181A2">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3" w:type="pct"/>
            <w:shd w:val="clear" w:color="auto" w:fill="auto"/>
            <w:vAlign w:val="center"/>
          </w:tcPr>
          <w:p w14:paraId="5775C16D">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8.7</w:t>
            </w:r>
          </w:p>
        </w:tc>
        <w:tc>
          <w:tcPr>
            <w:tcW w:w="373" w:type="pct"/>
            <w:shd w:val="clear" w:color="auto" w:fill="auto"/>
            <w:vAlign w:val="center"/>
          </w:tcPr>
          <w:p w14:paraId="6572FDC8">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2" w:type="pct"/>
            <w:shd w:val="clear" w:color="auto" w:fill="auto"/>
            <w:vAlign w:val="center"/>
          </w:tcPr>
          <w:p w14:paraId="5E1D0A00">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9.5</w:t>
            </w:r>
          </w:p>
        </w:tc>
        <w:tc>
          <w:tcPr>
            <w:tcW w:w="373" w:type="pct"/>
            <w:shd w:val="clear" w:color="auto" w:fill="auto"/>
            <w:vAlign w:val="center"/>
          </w:tcPr>
          <w:p w14:paraId="4A2C6C21">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8" w:type="pct"/>
            <w:shd w:val="clear" w:color="auto" w:fill="auto"/>
            <w:vAlign w:val="center"/>
          </w:tcPr>
          <w:p w14:paraId="43B7EDE3">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10.2</w:t>
            </w:r>
          </w:p>
        </w:tc>
        <w:tc>
          <w:tcPr>
            <w:tcW w:w="235" w:type="pct"/>
            <w:shd w:val="clear" w:color="auto" w:fill="auto"/>
            <w:vAlign w:val="center"/>
          </w:tcPr>
          <w:p w14:paraId="4F434796">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4a</w:t>
            </w:r>
            <w:r>
              <w:rPr>
                <w:rFonts w:hint="eastAsia" w:ascii="宋体" w:hAnsi="宋体" w:eastAsia="宋体" w:cs="Times New Roman"/>
                <w:kern w:val="0"/>
                <w:szCs w:val="21"/>
              </w:rPr>
              <w:t>类</w:t>
            </w:r>
          </w:p>
        </w:tc>
        <w:tc>
          <w:tcPr>
            <w:tcW w:w="426" w:type="pct"/>
            <w:shd w:val="clear" w:color="auto" w:fill="auto"/>
            <w:vAlign w:val="center"/>
          </w:tcPr>
          <w:p w14:paraId="3CAA0B47">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35</w:t>
            </w:r>
          </w:p>
        </w:tc>
      </w:tr>
      <w:tr w14:paraId="2FAF7F5B">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182" w:type="pct"/>
            <w:vMerge w:val="continue"/>
            <w:vAlign w:val="center"/>
          </w:tcPr>
          <w:p w14:paraId="02652D52">
            <w:pPr>
              <w:widowControl/>
              <w:spacing w:line="240" w:lineRule="exact"/>
              <w:jc w:val="center"/>
              <w:rPr>
                <w:rFonts w:ascii="Times New Roman" w:hAnsi="Times New Roman" w:eastAsia="宋体" w:cs="Times New Roman"/>
                <w:kern w:val="0"/>
                <w:szCs w:val="21"/>
              </w:rPr>
            </w:pPr>
          </w:p>
        </w:tc>
        <w:tc>
          <w:tcPr>
            <w:tcW w:w="504" w:type="pct"/>
            <w:vMerge w:val="continue"/>
            <w:vAlign w:val="center"/>
          </w:tcPr>
          <w:p w14:paraId="7BECA878">
            <w:pPr>
              <w:widowControl/>
              <w:spacing w:line="240" w:lineRule="exact"/>
              <w:jc w:val="center"/>
              <w:rPr>
                <w:rFonts w:ascii="Times New Roman" w:hAnsi="Times New Roman" w:eastAsia="宋体" w:cs="Times New Roman"/>
                <w:kern w:val="0"/>
                <w:szCs w:val="21"/>
              </w:rPr>
            </w:pPr>
          </w:p>
        </w:tc>
        <w:tc>
          <w:tcPr>
            <w:tcW w:w="252" w:type="pct"/>
            <w:vMerge w:val="continue"/>
            <w:vAlign w:val="center"/>
          </w:tcPr>
          <w:p w14:paraId="34B4D92A">
            <w:pPr>
              <w:widowControl/>
              <w:spacing w:line="240" w:lineRule="exact"/>
              <w:jc w:val="center"/>
              <w:rPr>
                <w:rFonts w:ascii="Times New Roman" w:hAnsi="Times New Roman" w:eastAsia="宋体" w:cs="Times New Roman"/>
                <w:kern w:val="0"/>
                <w:szCs w:val="21"/>
              </w:rPr>
            </w:pPr>
          </w:p>
        </w:tc>
        <w:tc>
          <w:tcPr>
            <w:tcW w:w="303" w:type="pct"/>
            <w:shd w:val="clear" w:color="auto" w:fill="auto"/>
            <w:vAlign w:val="center"/>
          </w:tcPr>
          <w:p w14:paraId="461F93E3">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51</w:t>
            </w:r>
          </w:p>
        </w:tc>
        <w:tc>
          <w:tcPr>
            <w:tcW w:w="252" w:type="pct"/>
            <w:vMerge w:val="continue"/>
            <w:vAlign w:val="center"/>
          </w:tcPr>
          <w:p w14:paraId="130BB458">
            <w:pPr>
              <w:widowControl/>
              <w:spacing w:line="240" w:lineRule="exact"/>
              <w:jc w:val="center"/>
              <w:rPr>
                <w:rFonts w:ascii="Times New Roman" w:hAnsi="Times New Roman" w:eastAsia="宋体" w:cs="Times New Roman"/>
                <w:kern w:val="0"/>
                <w:szCs w:val="21"/>
              </w:rPr>
            </w:pPr>
          </w:p>
        </w:tc>
        <w:tc>
          <w:tcPr>
            <w:tcW w:w="353" w:type="pct"/>
            <w:vMerge w:val="continue"/>
            <w:vAlign w:val="center"/>
          </w:tcPr>
          <w:p w14:paraId="1690C4D8">
            <w:pPr>
              <w:widowControl/>
              <w:spacing w:line="240" w:lineRule="exact"/>
              <w:jc w:val="center"/>
              <w:rPr>
                <w:rFonts w:ascii="Times New Roman" w:hAnsi="Times New Roman" w:eastAsia="宋体" w:cs="Times New Roman"/>
                <w:kern w:val="0"/>
                <w:szCs w:val="21"/>
              </w:rPr>
            </w:pPr>
          </w:p>
        </w:tc>
        <w:tc>
          <w:tcPr>
            <w:tcW w:w="252" w:type="pct"/>
            <w:vMerge w:val="continue"/>
            <w:vAlign w:val="center"/>
          </w:tcPr>
          <w:p w14:paraId="1B1EE05E">
            <w:pPr>
              <w:widowControl/>
              <w:spacing w:line="240" w:lineRule="exact"/>
              <w:jc w:val="center"/>
              <w:rPr>
                <w:rFonts w:ascii="Times New Roman" w:hAnsi="Times New Roman" w:eastAsia="宋体" w:cs="Times New Roman"/>
                <w:kern w:val="0"/>
                <w:szCs w:val="21"/>
              </w:rPr>
            </w:pPr>
          </w:p>
        </w:tc>
        <w:tc>
          <w:tcPr>
            <w:tcW w:w="372" w:type="pct"/>
            <w:shd w:val="clear" w:color="auto" w:fill="auto"/>
            <w:vAlign w:val="center"/>
          </w:tcPr>
          <w:p w14:paraId="45ACB39B">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3" w:type="pct"/>
            <w:shd w:val="clear" w:color="auto" w:fill="auto"/>
            <w:vAlign w:val="center"/>
          </w:tcPr>
          <w:p w14:paraId="66AA4AE7">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6.0</w:t>
            </w:r>
          </w:p>
        </w:tc>
        <w:tc>
          <w:tcPr>
            <w:tcW w:w="373" w:type="pct"/>
            <w:shd w:val="clear" w:color="auto" w:fill="auto"/>
            <w:vAlign w:val="center"/>
          </w:tcPr>
          <w:p w14:paraId="060A6E5D">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0.5</w:t>
            </w:r>
          </w:p>
        </w:tc>
        <w:tc>
          <w:tcPr>
            <w:tcW w:w="372" w:type="pct"/>
            <w:shd w:val="clear" w:color="auto" w:fill="auto"/>
            <w:vAlign w:val="center"/>
          </w:tcPr>
          <w:p w14:paraId="7CDFE511">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6.7</w:t>
            </w:r>
          </w:p>
        </w:tc>
        <w:tc>
          <w:tcPr>
            <w:tcW w:w="373" w:type="pct"/>
            <w:shd w:val="clear" w:color="auto" w:fill="auto"/>
            <w:vAlign w:val="center"/>
          </w:tcPr>
          <w:p w14:paraId="1029FE12">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1.2</w:t>
            </w:r>
          </w:p>
        </w:tc>
        <w:tc>
          <w:tcPr>
            <w:tcW w:w="378" w:type="pct"/>
            <w:shd w:val="clear" w:color="auto" w:fill="auto"/>
            <w:vAlign w:val="center"/>
          </w:tcPr>
          <w:p w14:paraId="74BEB4B1">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7.4</w:t>
            </w:r>
          </w:p>
        </w:tc>
        <w:tc>
          <w:tcPr>
            <w:tcW w:w="235" w:type="pct"/>
            <w:shd w:val="clear" w:color="auto" w:fill="auto"/>
            <w:vAlign w:val="center"/>
          </w:tcPr>
          <w:p w14:paraId="4AA7FCA5">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w:t>
            </w:r>
            <w:r>
              <w:rPr>
                <w:rFonts w:hint="eastAsia" w:ascii="宋体" w:hAnsi="宋体" w:eastAsia="宋体" w:cs="Times New Roman"/>
                <w:kern w:val="0"/>
                <w:szCs w:val="21"/>
              </w:rPr>
              <w:t>类</w:t>
            </w:r>
          </w:p>
        </w:tc>
        <w:tc>
          <w:tcPr>
            <w:tcW w:w="426" w:type="pct"/>
            <w:shd w:val="clear" w:color="auto" w:fill="auto"/>
            <w:vAlign w:val="center"/>
          </w:tcPr>
          <w:p w14:paraId="4A95F2AB">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20</w:t>
            </w:r>
          </w:p>
        </w:tc>
      </w:tr>
      <w:tr w14:paraId="3A472A23">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182" w:type="pct"/>
            <w:vMerge w:val="restart"/>
            <w:shd w:val="clear" w:color="auto" w:fill="auto"/>
            <w:vAlign w:val="center"/>
          </w:tcPr>
          <w:p w14:paraId="774AA79F">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7</w:t>
            </w:r>
          </w:p>
        </w:tc>
        <w:tc>
          <w:tcPr>
            <w:tcW w:w="504" w:type="pct"/>
            <w:vMerge w:val="restart"/>
            <w:shd w:val="clear" w:color="auto" w:fill="auto"/>
            <w:vAlign w:val="center"/>
          </w:tcPr>
          <w:p w14:paraId="6EE206DF">
            <w:pPr>
              <w:widowControl/>
              <w:spacing w:line="240" w:lineRule="exact"/>
              <w:jc w:val="center"/>
              <w:rPr>
                <w:rFonts w:ascii="Times New Roman" w:hAnsi="Times New Roman" w:eastAsia="宋体" w:cs="Times New Roman"/>
                <w:kern w:val="0"/>
                <w:szCs w:val="21"/>
              </w:rPr>
            </w:pPr>
            <w:r>
              <w:rPr>
                <w:rFonts w:hint="eastAsia" w:ascii="宋体" w:hAnsi="宋体" w:eastAsia="宋体" w:cs="Times New Roman"/>
                <w:kern w:val="0"/>
                <w:szCs w:val="21"/>
              </w:rPr>
              <w:t>勒格里地玛央艾日克村</w:t>
            </w:r>
          </w:p>
        </w:tc>
        <w:tc>
          <w:tcPr>
            <w:tcW w:w="252" w:type="pct"/>
            <w:vMerge w:val="restart"/>
            <w:shd w:val="clear" w:color="auto" w:fill="auto"/>
            <w:vAlign w:val="center"/>
          </w:tcPr>
          <w:p w14:paraId="18AB6B76">
            <w:pPr>
              <w:widowControl/>
              <w:spacing w:line="240" w:lineRule="exact"/>
              <w:jc w:val="center"/>
              <w:rPr>
                <w:rFonts w:ascii="Times New Roman" w:hAnsi="Times New Roman" w:eastAsia="宋体" w:cs="Times New Roman"/>
                <w:kern w:val="0"/>
                <w:szCs w:val="21"/>
              </w:rPr>
            </w:pPr>
            <w:r>
              <w:rPr>
                <w:rFonts w:hint="eastAsia" w:ascii="宋体" w:hAnsi="宋体" w:eastAsia="宋体" w:cs="Times New Roman"/>
                <w:kern w:val="0"/>
                <w:szCs w:val="21"/>
              </w:rPr>
              <w:t>两侧</w:t>
            </w:r>
          </w:p>
        </w:tc>
        <w:tc>
          <w:tcPr>
            <w:tcW w:w="303" w:type="pct"/>
            <w:shd w:val="clear" w:color="auto" w:fill="auto"/>
            <w:vAlign w:val="center"/>
          </w:tcPr>
          <w:p w14:paraId="73E98603">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23</w:t>
            </w:r>
          </w:p>
        </w:tc>
        <w:tc>
          <w:tcPr>
            <w:tcW w:w="252" w:type="pct"/>
            <w:vMerge w:val="restart"/>
            <w:shd w:val="clear" w:color="auto" w:fill="auto"/>
            <w:vAlign w:val="center"/>
          </w:tcPr>
          <w:p w14:paraId="60B2C368">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2.5</w:t>
            </w:r>
          </w:p>
        </w:tc>
        <w:tc>
          <w:tcPr>
            <w:tcW w:w="353" w:type="pct"/>
            <w:vMerge w:val="restart"/>
            <w:shd w:val="clear" w:color="auto" w:fill="auto"/>
            <w:vAlign w:val="center"/>
          </w:tcPr>
          <w:p w14:paraId="35CDF85B">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0</w:t>
            </w:r>
          </w:p>
        </w:tc>
        <w:tc>
          <w:tcPr>
            <w:tcW w:w="252" w:type="pct"/>
            <w:vMerge w:val="restart"/>
            <w:shd w:val="clear" w:color="auto" w:fill="auto"/>
            <w:vAlign w:val="center"/>
          </w:tcPr>
          <w:p w14:paraId="6B2973F3">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w:t>
            </w:r>
            <w:r>
              <w:rPr>
                <w:rFonts w:hint="eastAsia" w:ascii="宋体" w:hAnsi="宋体" w:eastAsia="宋体" w:cs="Times New Roman"/>
                <w:kern w:val="0"/>
                <w:szCs w:val="21"/>
              </w:rPr>
              <w:t>层</w:t>
            </w:r>
          </w:p>
        </w:tc>
        <w:tc>
          <w:tcPr>
            <w:tcW w:w="372" w:type="pct"/>
            <w:shd w:val="clear" w:color="auto" w:fill="auto"/>
            <w:vAlign w:val="center"/>
          </w:tcPr>
          <w:p w14:paraId="1FAA0516">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3" w:type="pct"/>
            <w:shd w:val="clear" w:color="auto" w:fill="auto"/>
            <w:vAlign w:val="center"/>
          </w:tcPr>
          <w:p w14:paraId="7C0E0661">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3.5</w:t>
            </w:r>
          </w:p>
        </w:tc>
        <w:tc>
          <w:tcPr>
            <w:tcW w:w="373" w:type="pct"/>
            <w:shd w:val="clear" w:color="auto" w:fill="auto"/>
            <w:vAlign w:val="center"/>
          </w:tcPr>
          <w:p w14:paraId="52132563">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2" w:type="pct"/>
            <w:shd w:val="clear" w:color="auto" w:fill="auto"/>
            <w:vAlign w:val="center"/>
          </w:tcPr>
          <w:p w14:paraId="644BF988">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4.3</w:t>
            </w:r>
          </w:p>
        </w:tc>
        <w:tc>
          <w:tcPr>
            <w:tcW w:w="373" w:type="pct"/>
            <w:shd w:val="clear" w:color="auto" w:fill="auto"/>
            <w:vAlign w:val="center"/>
          </w:tcPr>
          <w:p w14:paraId="706118F3">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8" w:type="pct"/>
            <w:shd w:val="clear" w:color="auto" w:fill="auto"/>
            <w:vAlign w:val="center"/>
          </w:tcPr>
          <w:p w14:paraId="764977F0">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5.0</w:t>
            </w:r>
          </w:p>
        </w:tc>
        <w:tc>
          <w:tcPr>
            <w:tcW w:w="235" w:type="pct"/>
            <w:shd w:val="clear" w:color="auto" w:fill="auto"/>
            <w:vAlign w:val="center"/>
          </w:tcPr>
          <w:p w14:paraId="3BB82F2D">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4a</w:t>
            </w:r>
            <w:r>
              <w:rPr>
                <w:rFonts w:hint="eastAsia" w:ascii="宋体" w:hAnsi="宋体" w:eastAsia="宋体" w:cs="Times New Roman"/>
                <w:kern w:val="0"/>
                <w:szCs w:val="21"/>
              </w:rPr>
              <w:t>类</w:t>
            </w:r>
          </w:p>
        </w:tc>
        <w:tc>
          <w:tcPr>
            <w:tcW w:w="426" w:type="pct"/>
            <w:shd w:val="clear" w:color="auto" w:fill="auto"/>
            <w:vAlign w:val="center"/>
          </w:tcPr>
          <w:p w14:paraId="229B1290">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35</w:t>
            </w:r>
          </w:p>
        </w:tc>
      </w:tr>
      <w:tr w14:paraId="6AD3CBA4">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182" w:type="pct"/>
            <w:vMerge w:val="continue"/>
            <w:vAlign w:val="center"/>
          </w:tcPr>
          <w:p w14:paraId="0888AA1B">
            <w:pPr>
              <w:widowControl/>
              <w:spacing w:line="240" w:lineRule="exact"/>
              <w:jc w:val="center"/>
              <w:rPr>
                <w:rFonts w:ascii="Times New Roman" w:hAnsi="Times New Roman" w:eastAsia="宋体" w:cs="Times New Roman"/>
                <w:kern w:val="0"/>
                <w:szCs w:val="21"/>
              </w:rPr>
            </w:pPr>
          </w:p>
        </w:tc>
        <w:tc>
          <w:tcPr>
            <w:tcW w:w="504" w:type="pct"/>
            <w:vMerge w:val="continue"/>
            <w:vAlign w:val="center"/>
          </w:tcPr>
          <w:p w14:paraId="5CF5FB09">
            <w:pPr>
              <w:widowControl/>
              <w:spacing w:line="240" w:lineRule="exact"/>
              <w:jc w:val="center"/>
              <w:rPr>
                <w:rFonts w:ascii="Times New Roman" w:hAnsi="Times New Roman" w:eastAsia="宋体" w:cs="Times New Roman"/>
                <w:kern w:val="0"/>
                <w:szCs w:val="21"/>
              </w:rPr>
            </w:pPr>
          </w:p>
        </w:tc>
        <w:tc>
          <w:tcPr>
            <w:tcW w:w="252" w:type="pct"/>
            <w:vMerge w:val="continue"/>
            <w:vAlign w:val="center"/>
          </w:tcPr>
          <w:p w14:paraId="5AEA995C">
            <w:pPr>
              <w:widowControl/>
              <w:spacing w:line="240" w:lineRule="exact"/>
              <w:jc w:val="center"/>
              <w:rPr>
                <w:rFonts w:ascii="Times New Roman" w:hAnsi="Times New Roman" w:eastAsia="宋体" w:cs="Times New Roman"/>
                <w:kern w:val="0"/>
                <w:szCs w:val="21"/>
              </w:rPr>
            </w:pPr>
          </w:p>
        </w:tc>
        <w:tc>
          <w:tcPr>
            <w:tcW w:w="303" w:type="pct"/>
            <w:shd w:val="clear" w:color="auto" w:fill="auto"/>
            <w:vAlign w:val="center"/>
          </w:tcPr>
          <w:p w14:paraId="6108A5F1">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58</w:t>
            </w:r>
          </w:p>
        </w:tc>
        <w:tc>
          <w:tcPr>
            <w:tcW w:w="252" w:type="pct"/>
            <w:vMerge w:val="continue"/>
            <w:vAlign w:val="center"/>
          </w:tcPr>
          <w:p w14:paraId="124733E1">
            <w:pPr>
              <w:widowControl/>
              <w:spacing w:line="240" w:lineRule="exact"/>
              <w:jc w:val="center"/>
              <w:rPr>
                <w:rFonts w:ascii="Times New Roman" w:hAnsi="Times New Roman" w:eastAsia="宋体" w:cs="Times New Roman"/>
                <w:kern w:val="0"/>
                <w:szCs w:val="21"/>
              </w:rPr>
            </w:pPr>
          </w:p>
        </w:tc>
        <w:tc>
          <w:tcPr>
            <w:tcW w:w="353" w:type="pct"/>
            <w:vMerge w:val="continue"/>
            <w:vAlign w:val="center"/>
          </w:tcPr>
          <w:p w14:paraId="1CF49D58">
            <w:pPr>
              <w:widowControl/>
              <w:spacing w:line="240" w:lineRule="exact"/>
              <w:jc w:val="center"/>
              <w:rPr>
                <w:rFonts w:ascii="Times New Roman" w:hAnsi="Times New Roman" w:eastAsia="宋体" w:cs="Times New Roman"/>
                <w:kern w:val="0"/>
                <w:szCs w:val="21"/>
              </w:rPr>
            </w:pPr>
          </w:p>
        </w:tc>
        <w:tc>
          <w:tcPr>
            <w:tcW w:w="252" w:type="pct"/>
            <w:vMerge w:val="continue"/>
            <w:vAlign w:val="center"/>
          </w:tcPr>
          <w:p w14:paraId="0CF98BA4">
            <w:pPr>
              <w:widowControl/>
              <w:spacing w:line="240" w:lineRule="exact"/>
              <w:jc w:val="center"/>
              <w:rPr>
                <w:rFonts w:ascii="Times New Roman" w:hAnsi="Times New Roman" w:eastAsia="宋体" w:cs="Times New Roman"/>
                <w:kern w:val="0"/>
                <w:szCs w:val="21"/>
              </w:rPr>
            </w:pPr>
          </w:p>
        </w:tc>
        <w:tc>
          <w:tcPr>
            <w:tcW w:w="372" w:type="pct"/>
            <w:shd w:val="clear" w:color="auto" w:fill="auto"/>
            <w:vAlign w:val="center"/>
          </w:tcPr>
          <w:p w14:paraId="7900DAE3">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3" w:type="pct"/>
            <w:shd w:val="clear" w:color="auto" w:fill="auto"/>
            <w:vAlign w:val="center"/>
          </w:tcPr>
          <w:p w14:paraId="5316346E">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3.4</w:t>
            </w:r>
          </w:p>
        </w:tc>
        <w:tc>
          <w:tcPr>
            <w:tcW w:w="373" w:type="pct"/>
            <w:shd w:val="clear" w:color="auto" w:fill="auto"/>
            <w:vAlign w:val="center"/>
          </w:tcPr>
          <w:p w14:paraId="7037CD84">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2" w:type="pct"/>
            <w:shd w:val="clear" w:color="auto" w:fill="auto"/>
            <w:vAlign w:val="center"/>
          </w:tcPr>
          <w:p w14:paraId="61066E95">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4.2</w:t>
            </w:r>
          </w:p>
        </w:tc>
        <w:tc>
          <w:tcPr>
            <w:tcW w:w="373" w:type="pct"/>
            <w:shd w:val="clear" w:color="auto" w:fill="auto"/>
            <w:vAlign w:val="center"/>
          </w:tcPr>
          <w:p w14:paraId="19951321">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8" w:type="pct"/>
            <w:shd w:val="clear" w:color="auto" w:fill="auto"/>
            <w:vAlign w:val="center"/>
          </w:tcPr>
          <w:p w14:paraId="14A2FF00">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4.9</w:t>
            </w:r>
          </w:p>
        </w:tc>
        <w:tc>
          <w:tcPr>
            <w:tcW w:w="235" w:type="pct"/>
            <w:shd w:val="clear" w:color="auto" w:fill="auto"/>
            <w:vAlign w:val="center"/>
          </w:tcPr>
          <w:p w14:paraId="0373C3CA">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w:t>
            </w:r>
            <w:r>
              <w:rPr>
                <w:rFonts w:hint="eastAsia" w:ascii="宋体" w:hAnsi="宋体" w:eastAsia="宋体" w:cs="Times New Roman"/>
                <w:kern w:val="0"/>
                <w:szCs w:val="21"/>
              </w:rPr>
              <w:t>类</w:t>
            </w:r>
          </w:p>
        </w:tc>
        <w:tc>
          <w:tcPr>
            <w:tcW w:w="426" w:type="pct"/>
            <w:shd w:val="clear" w:color="auto" w:fill="auto"/>
            <w:vAlign w:val="center"/>
          </w:tcPr>
          <w:p w14:paraId="34621AAE">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20</w:t>
            </w:r>
          </w:p>
        </w:tc>
      </w:tr>
      <w:tr w14:paraId="575A88AB">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182" w:type="pct"/>
            <w:vMerge w:val="restart"/>
            <w:shd w:val="clear" w:color="auto" w:fill="auto"/>
            <w:vAlign w:val="center"/>
          </w:tcPr>
          <w:p w14:paraId="0E094A68">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8</w:t>
            </w:r>
          </w:p>
        </w:tc>
        <w:tc>
          <w:tcPr>
            <w:tcW w:w="504" w:type="pct"/>
            <w:vMerge w:val="restart"/>
            <w:shd w:val="clear" w:color="auto" w:fill="auto"/>
            <w:vAlign w:val="center"/>
          </w:tcPr>
          <w:p w14:paraId="25FBB736">
            <w:pPr>
              <w:widowControl/>
              <w:spacing w:line="240" w:lineRule="exact"/>
              <w:jc w:val="center"/>
              <w:rPr>
                <w:rFonts w:ascii="Times New Roman" w:hAnsi="Times New Roman" w:eastAsia="宋体" w:cs="Times New Roman"/>
                <w:kern w:val="0"/>
                <w:szCs w:val="21"/>
              </w:rPr>
            </w:pPr>
            <w:r>
              <w:rPr>
                <w:rFonts w:hint="eastAsia" w:ascii="宋体" w:hAnsi="宋体" w:eastAsia="宋体" w:cs="Times New Roman"/>
                <w:kern w:val="0"/>
                <w:szCs w:val="21"/>
              </w:rPr>
              <w:t>阿亚克里格勒迪玛村</w:t>
            </w:r>
          </w:p>
        </w:tc>
        <w:tc>
          <w:tcPr>
            <w:tcW w:w="252" w:type="pct"/>
            <w:vMerge w:val="restart"/>
            <w:shd w:val="clear" w:color="auto" w:fill="auto"/>
            <w:vAlign w:val="center"/>
          </w:tcPr>
          <w:p w14:paraId="28ADAE94">
            <w:pPr>
              <w:widowControl/>
              <w:spacing w:line="240" w:lineRule="exact"/>
              <w:jc w:val="center"/>
              <w:rPr>
                <w:rFonts w:ascii="Times New Roman" w:hAnsi="Times New Roman" w:eastAsia="宋体" w:cs="Times New Roman"/>
                <w:kern w:val="0"/>
                <w:szCs w:val="21"/>
              </w:rPr>
            </w:pPr>
            <w:r>
              <w:rPr>
                <w:rFonts w:hint="eastAsia" w:ascii="宋体" w:hAnsi="宋体" w:eastAsia="宋体" w:cs="Times New Roman"/>
                <w:kern w:val="0"/>
                <w:szCs w:val="21"/>
              </w:rPr>
              <w:t>两侧</w:t>
            </w:r>
          </w:p>
        </w:tc>
        <w:tc>
          <w:tcPr>
            <w:tcW w:w="303" w:type="pct"/>
            <w:shd w:val="clear" w:color="auto" w:fill="auto"/>
            <w:vAlign w:val="center"/>
          </w:tcPr>
          <w:p w14:paraId="31FB0720">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25</w:t>
            </w:r>
          </w:p>
        </w:tc>
        <w:tc>
          <w:tcPr>
            <w:tcW w:w="252" w:type="pct"/>
            <w:vMerge w:val="restart"/>
            <w:shd w:val="clear" w:color="auto" w:fill="auto"/>
            <w:vAlign w:val="center"/>
          </w:tcPr>
          <w:p w14:paraId="590C2F5F">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w:t>
            </w:r>
          </w:p>
        </w:tc>
        <w:tc>
          <w:tcPr>
            <w:tcW w:w="353" w:type="pct"/>
            <w:vMerge w:val="restart"/>
            <w:shd w:val="clear" w:color="auto" w:fill="auto"/>
            <w:vAlign w:val="center"/>
          </w:tcPr>
          <w:p w14:paraId="1F1AB228">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0</w:t>
            </w:r>
          </w:p>
        </w:tc>
        <w:tc>
          <w:tcPr>
            <w:tcW w:w="252" w:type="pct"/>
            <w:vMerge w:val="restart"/>
            <w:shd w:val="clear" w:color="auto" w:fill="auto"/>
            <w:vAlign w:val="center"/>
          </w:tcPr>
          <w:p w14:paraId="42F51EEE">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w:t>
            </w:r>
            <w:r>
              <w:rPr>
                <w:rFonts w:hint="eastAsia" w:ascii="宋体" w:hAnsi="宋体" w:eastAsia="宋体" w:cs="Times New Roman"/>
                <w:kern w:val="0"/>
                <w:szCs w:val="21"/>
              </w:rPr>
              <w:t>层</w:t>
            </w:r>
          </w:p>
        </w:tc>
        <w:tc>
          <w:tcPr>
            <w:tcW w:w="372" w:type="pct"/>
            <w:shd w:val="clear" w:color="auto" w:fill="auto"/>
            <w:vAlign w:val="center"/>
          </w:tcPr>
          <w:p w14:paraId="586646C5">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3" w:type="pct"/>
            <w:shd w:val="clear" w:color="auto" w:fill="auto"/>
            <w:vAlign w:val="center"/>
          </w:tcPr>
          <w:p w14:paraId="077F7A72">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3.2</w:t>
            </w:r>
          </w:p>
        </w:tc>
        <w:tc>
          <w:tcPr>
            <w:tcW w:w="373" w:type="pct"/>
            <w:shd w:val="clear" w:color="auto" w:fill="auto"/>
            <w:vAlign w:val="center"/>
          </w:tcPr>
          <w:p w14:paraId="5E7253E4">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2" w:type="pct"/>
            <w:shd w:val="clear" w:color="auto" w:fill="auto"/>
            <w:vAlign w:val="center"/>
          </w:tcPr>
          <w:p w14:paraId="5F526A02">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4.0</w:t>
            </w:r>
          </w:p>
        </w:tc>
        <w:tc>
          <w:tcPr>
            <w:tcW w:w="373" w:type="pct"/>
            <w:shd w:val="clear" w:color="auto" w:fill="auto"/>
            <w:vAlign w:val="center"/>
          </w:tcPr>
          <w:p w14:paraId="46AF0321">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8" w:type="pct"/>
            <w:shd w:val="clear" w:color="auto" w:fill="auto"/>
            <w:vAlign w:val="center"/>
          </w:tcPr>
          <w:p w14:paraId="198F156A">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4.7</w:t>
            </w:r>
          </w:p>
        </w:tc>
        <w:tc>
          <w:tcPr>
            <w:tcW w:w="235" w:type="pct"/>
            <w:shd w:val="clear" w:color="auto" w:fill="auto"/>
            <w:vAlign w:val="center"/>
          </w:tcPr>
          <w:p w14:paraId="5532AE8A">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4a</w:t>
            </w:r>
            <w:r>
              <w:rPr>
                <w:rFonts w:hint="eastAsia" w:ascii="宋体" w:hAnsi="宋体" w:eastAsia="宋体" w:cs="Times New Roman"/>
                <w:kern w:val="0"/>
                <w:szCs w:val="21"/>
              </w:rPr>
              <w:t>类</w:t>
            </w:r>
          </w:p>
        </w:tc>
        <w:tc>
          <w:tcPr>
            <w:tcW w:w="426" w:type="pct"/>
            <w:shd w:val="clear" w:color="auto" w:fill="auto"/>
            <w:vAlign w:val="center"/>
          </w:tcPr>
          <w:p w14:paraId="11C2C98A">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55</w:t>
            </w:r>
          </w:p>
        </w:tc>
      </w:tr>
      <w:tr w14:paraId="33639234">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182" w:type="pct"/>
            <w:vMerge w:val="continue"/>
            <w:vAlign w:val="center"/>
          </w:tcPr>
          <w:p w14:paraId="2E6B4D9C">
            <w:pPr>
              <w:widowControl/>
              <w:spacing w:line="240" w:lineRule="exact"/>
              <w:jc w:val="center"/>
              <w:rPr>
                <w:rFonts w:ascii="Times New Roman" w:hAnsi="Times New Roman" w:eastAsia="宋体" w:cs="Times New Roman"/>
                <w:kern w:val="0"/>
                <w:szCs w:val="21"/>
              </w:rPr>
            </w:pPr>
          </w:p>
        </w:tc>
        <w:tc>
          <w:tcPr>
            <w:tcW w:w="504" w:type="pct"/>
            <w:vMerge w:val="continue"/>
            <w:vAlign w:val="center"/>
          </w:tcPr>
          <w:p w14:paraId="33ADB2B0">
            <w:pPr>
              <w:widowControl/>
              <w:spacing w:line="240" w:lineRule="exact"/>
              <w:jc w:val="center"/>
              <w:rPr>
                <w:rFonts w:ascii="Times New Roman" w:hAnsi="Times New Roman" w:eastAsia="宋体" w:cs="Times New Roman"/>
                <w:kern w:val="0"/>
                <w:szCs w:val="21"/>
              </w:rPr>
            </w:pPr>
          </w:p>
        </w:tc>
        <w:tc>
          <w:tcPr>
            <w:tcW w:w="252" w:type="pct"/>
            <w:vMerge w:val="continue"/>
            <w:vAlign w:val="center"/>
          </w:tcPr>
          <w:p w14:paraId="6D466332">
            <w:pPr>
              <w:widowControl/>
              <w:spacing w:line="240" w:lineRule="exact"/>
              <w:jc w:val="center"/>
              <w:rPr>
                <w:rFonts w:ascii="Times New Roman" w:hAnsi="Times New Roman" w:eastAsia="宋体" w:cs="Times New Roman"/>
                <w:kern w:val="0"/>
                <w:szCs w:val="21"/>
              </w:rPr>
            </w:pPr>
          </w:p>
        </w:tc>
        <w:tc>
          <w:tcPr>
            <w:tcW w:w="303" w:type="pct"/>
            <w:shd w:val="clear" w:color="auto" w:fill="auto"/>
            <w:vAlign w:val="center"/>
          </w:tcPr>
          <w:p w14:paraId="54E2183E">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55</w:t>
            </w:r>
          </w:p>
        </w:tc>
        <w:tc>
          <w:tcPr>
            <w:tcW w:w="252" w:type="pct"/>
            <w:vMerge w:val="continue"/>
            <w:vAlign w:val="center"/>
          </w:tcPr>
          <w:p w14:paraId="7E01AAC6">
            <w:pPr>
              <w:widowControl/>
              <w:spacing w:line="240" w:lineRule="exact"/>
              <w:jc w:val="center"/>
              <w:rPr>
                <w:rFonts w:ascii="Times New Roman" w:hAnsi="Times New Roman" w:eastAsia="宋体" w:cs="Times New Roman"/>
                <w:kern w:val="0"/>
                <w:szCs w:val="21"/>
              </w:rPr>
            </w:pPr>
          </w:p>
        </w:tc>
        <w:tc>
          <w:tcPr>
            <w:tcW w:w="353" w:type="pct"/>
            <w:vMerge w:val="continue"/>
            <w:vAlign w:val="center"/>
          </w:tcPr>
          <w:p w14:paraId="74A6B194">
            <w:pPr>
              <w:widowControl/>
              <w:spacing w:line="240" w:lineRule="exact"/>
              <w:jc w:val="center"/>
              <w:rPr>
                <w:rFonts w:ascii="Times New Roman" w:hAnsi="Times New Roman" w:eastAsia="宋体" w:cs="Times New Roman"/>
                <w:kern w:val="0"/>
                <w:szCs w:val="21"/>
              </w:rPr>
            </w:pPr>
          </w:p>
        </w:tc>
        <w:tc>
          <w:tcPr>
            <w:tcW w:w="252" w:type="pct"/>
            <w:vMerge w:val="continue"/>
            <w:vAlign w:val="center"/>
          </w:tcPr>
          <w:p w14:paraId="443E3110">
            <w:pPr>
              <w:widowControl/>
              <w:spacing w:line="240" w:lineRule="exact"/>
              <w:jc w:val="center"/>
              <w:rPr>
                <w:rFonts w:ascii="Times New Roman" w:hAnsi="Times New Roman" w:eastAsia="宋体" w:cs="Times New Roman"/>
                <w:kern w:val="0"/>
                <w:szCs w:val="21"/>
              </w:rPr>
            </w:pPr>
          </w:p>
        </w:tc>
        <w:tc>
          <w:tcPr>
            <w:tcW w:w="372" w:type="pct"/>
            <w:shd w:val="clear" w:color="auto" w:fill="auto"/>
            <w:vAlign w:val="center"/>
          </w:tcPr>
          <w:p w14:paraId="53BBCF49">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3" w:type="pct"/>
            <w:shd w:val="clear" w:color="auto" w:fill="auto"/>
            <w:vAlign w:val="center"/>
          </w:tcPr>
          <w:p w14:paraId="22F0A6CD">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4.1</w:t>
            </w:r>
          </w:p>
        </w:tc>
        <w:tc>
          <w:tcPr>
            <w:tcW w:w="373" w:type="pct"/>
            <w:shd w:val="clear" w:color="auto" w:fill="auto"/>
            <w:vAlign w:val="center"/>
          </w:tcPr>
          <w:p w14:paraId="5DDB4F5F">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2" w:type="pct"/>
            <w:shd w:val="clear" w:color="auto" w:fill="auto"/>
            <w:vAlign w:val="center"/>
          </w:tcPr>
          <w:p w14:paraId="454541C0">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4.9</w:t>
            </w:r>
          </w:p>
        </w:tc>
        <w:tc>
          <w:tcPr>
            <w:tcW w:w="373" w:type="pct"/>
            <w:shd w:val="clear" w:color="auto" w:fill="auto"/>
            <w:vAlign w:val="center"/>
          </w:tcPr>
          <w:p w14:paraId="6C49ADF2">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8" w:type="pct"/>
            <w:shd w:val="clear" w:color="auto" w:fill="auto"/>
            <w:vAlign w:val="center"/>
          </w:tcPr>
          <w:p w14:paraId="1C378FED">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5.6</w:t>
            </w:r>
          </w:p>
        </w:tc>
        <w:tc>
          <w:tcPr>
            <w:tcW w:w="235" w:type="pct"/>
            <w:shd w:val="clear" w:color="auto" w:fill="auto"/>
            <w:vAlign w:val="center"/>
          </w:tcPr>
          <w:p w14:paraId="0A538E46">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w:t>
            </w:r>
            <w:r>
              <w:rPr>
                <w:rFonts w:hint="eastAsia" w:ascii="宋体" w:hAnsi="宋体" w:eastAsia="宋体" w:cs="Times New Roman"/>
                <w:kern w:val="0"/>
                <w:szCs w:val="21"/>
              </w:rPr>
              <w:t>类</w:t>
            </w:r>
          </w:p>
        </w:tc>
        <w:tc>
          <w:tcPr>
            <w:tcW w:w="426" w:type="pct"/>
            <w:shd w:val="clear" w:color="auto" w:fill="auto"/>
            <w:vAlign w:val="center"/>
          </w:tcPr>
          <w:p w14:paraId="0F3183DC">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25</w:t>
            </w:r>
          </w:p>
        </w:tc>
      </w:tr>
      <w:tr w14:paraId="2C8D8CE2">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182" w:type="pct"/>
            <w:vMerge w:val="restart"/>
            <w:shd w:val="clear" w:color="auto" w:fill="auto"/>
            <w:vAlign w:val="center"/>
          </w:tcPr>
          <w:p w14:paraId="16169B29">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9</w:t>
            </w:r>
          </w:p>
        </w:tc>
        <w:tc>
          <w:tcPr>
            <w:tcW w:w="504" w:type="pct"/>
            <w:vMerge w:val="restart"/>
            <w:shd w:val="clear" w:color="auto" w:fill="auto"/>
            <w:vAlign w:val="center"/>
          </w:tcPr>
          <w:p w14:paraId="599310F4">
            <w:pPr>
              <w:widowControl/>
              <w:spacing w:line="240" w:lineRule="exact"/>
              <w:jc w:val="center"/>
              <w:rPr>
                <w:rFonts w:ascii="Times New Roman" w:hAnsi="Times New Roman" w:eastAsia="宋体" w:cs="Times New Roman"/>
                <w:kern w:val="0"/>
                <w:szCs w:val="21"/>
              </w:rPr>
            </w:pPr>
            <w:r>
              <w:rPr>
                <w:rFonts w:hint="eastAsia" w:ascii="宋体" w:hAnsi="宋体" w:eastAsia="宋体" w:cs="Times New Roman"/>
                <w:kern w:val="0"/>
                <w:szCs w:val="21"/>
              </w:rPr>
              <w:t>阿亚格勒格勒德玛小学</w:t>
            </w:r>
          </w:p>
        </w:tc>
        <w:tc>
          <w:tcPr>
            <w:tcW w:w="252" w:type="pct"/>
            <w:vMerge w:val="restart"/>
            <w:shd w:val="clear" w:color="auto" w:fill="auto"/>
            <w:vAlign w:val="center"/>
          </w:tcPr>
          <w:p w14:paraId="4CFA4450">
            <w:pPr>
              <w:widowControl/>
              <w:spacing w:line="240" w:lineRule="exact"/>
              <w:jc w:val="center"/>
              <w:rPr>
                <w:rFonts w:ascii="Times New Roman" w:hAnsi="Times New Roman" w:eastAsia="宋体" w:cs="Times New Roman"/>
                <w:kern w:val="0"/>
                <w:szCs w:val="21"/>
              </w:rPr>
            </w:pPr>
            <w:r>
              <w:rPr>
                <w:rFonts w:hint="eastAsia" w:ascii="宋体" w:hAnsi="宋体" w:eastAsia="宋体" w:cs="Times New Roman"/>
                <w:kern w:val="0"/>
                <w:szCs w:val="21"/>
              </w:rPr>
              <w:t>路左</w:t>
            </w:r>
          </w:p>
        </w:tc>
        <w:tc>
          <w:tcPr>
            <w:tcW w:w="303" w:type="pct"/>
            <w:vMerge w:val="restart"/>
            <w:shd w:val="clear" w:color="auto" w:fill="auto"/>
            <w:vAlign w:val="center"/>
          </w:tcPr>
          <w:p w14:paraId="38A0A06A">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45</w:t>
            </w:r>
          </w:p>
        </w:tc>
        <w:tc>
          <w:tcPr>
            <w:tcW w:w="252" w:type="pct"/>
            <w:vMerge w:val="restart"/>
            <w:shd w:val="clear" w:color="auto" w:fill="auto"/>
            <w:vAlign w:val="center"/>
          </w:tcPr>
          <w:p w14:paraId="058274C1">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w:t>
            </w:r>
          </w:p>
        </w:tc>
        <w:tc>
          <w:tcPr>
            <w:tcW w:w="353" w:type="pct"/>
            <w:vMerge w:val="restart"/>
            <w:shd w:val="clear" w:color="auto" w:fill="auto"/>
            <w:vAlign w:val="center"/>
          </w:tcPr>
          <w:p w14:paraId="43C6A852">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0</w:t>
            </w:r>
          </w:p>
        </w:tc>
        <w:tc>
          <w:tcPr>
            <w:tcW w:w="252" w:type="pct"/>
            <w:shd w:val="clear" w:color="auto" w:fill="auto"/>
            <w:vAlign w:val="center"/>
          </w:tcPr>
          <w:p w14:paraId="4C14AA40">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w:t>
            </w:r>
            <w:r>
              <w:rPr>
                <w:rFonts w:hint="eastAsia" w:ascii="宋体" w:hAnsi="宋体" w:eastAsia="宋体" w:cs="Times New Roman"/>
                <w:kern w:val="0"/>
                <w:szCs w:val="21"/>
              </w:rPr>
              <w:t>层</w:t>
            </w:r>
          </w:p>
        </w:tc>
        <w:tc>
          <w:tcPr>
            <w:tcW w:w="372" w:type="pct"/>
            <w:shd w:val="clear" w:color="auto" w:fill="auto"/>
            <w:vAlign w:val="center"/>
          </w:tcPr>
          <w:p w14:paraId="4B765CF4">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3" w:type="pct"/>
            <w:shd w:val="clear" w:color="auto" w:fill="auto"/>
            <w:vAlign w:val="center"/>
          </w:tcPr>
          <w:p w14:paraId="00A2DD60">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3" w:type="pct"/>
            <w:shd w:val="clear" w:color="auto" w:fill="auto"/>
            <w:vAlign w:val="center"/>
          </w:tcPr>
          <w:p w14:paraId="0088F024">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2" w:type="pct"/>
            <w:shd w:val="clear" w:color="auto" w:fill="auto"/>
            <w:vAlign w:val="center"/>
          </w:tcPr>
          <w:p w14:paraId="0D11EE24">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3" w:type="pct"/>
            <w:shd w:val="clear" w:color="auto" w:fill="auto"/>
            <w:vAlign w:val="center"/>
          </w:tcPr>
          <w:p w14:paraId="7F6AD9CE">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8" w:type="pct"/>
            <w:shd w:val="clear" w:color="auto" w:fill="auto"/>
            <w:vAlign w:val="center"/>
          </w:tcPr>
          <w:p w14:paraId="13C0889A">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235" w:type="pct"/>
            <w:vMerge w:val="restart"/>
            <w:shd w:val="clear" w:color="auto" w:fill="auto"/>
            <w:vAlign w:val="center"/>
          </w:tcPr>
          <w:p w14:paraId="6BA120E5">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w:t>
            </w:r>
            <w:r>
              <w:rPr>
                <w:rFonts w:hint="eastAsia" w:ascii="宋体" w:hAnsi="宋体" w:eastAsia="宋体" w:cs="Times New Roman"/>
                <w:kern w:val="0"/>
                <w:szCs w:val="21"/>
              </w:rPr>
              <w:t>类</w:t>
            </w:r>
          </w:p>
        </w:tc>
        <w:tc>
          <w:tcPr>
            <w:tcW w:w="426" w:type="pct"/>
            <w:vMerge w:val="restart"/>
            <w:shd w:val="clear" w:color="auto" w:fill="auto"/>
            <w:vAlign w:val="center"/>
          </w:tcPr>
          <w:p w14:paraId="509DCFB0">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w:t>
            </w:r>
            <w:r>
              <w:rPr>
                <w:rFonts w:hint="eastAsia" w:ascii="宋体" w:hAnsi="宋体" w:eastAsia="宋体" w:cs="Times New Roman"/>
                <w:kern w:val="0"/>
                <w:szCs w:val="21"/>
              </w:rPr>
              <w:t>栋</w:t>
            </w:r>
            <w:r>
              <w:rPr>
                <w:rFonts w:ascii="Times New Roman" w:hAnsi="Times New Roman" w:eastAsia="宋体" w:cs="Times New Roman"/>
                <w:kern w:val="0"/>
                <w:szCs w:val="21"/>
              </w:rPr>
              <w:t>3</w:t>
            </w:r>
            <w:r>
              <w:rPr>
                <w:rFonts w:hint="eastAsia" w:ascii="宋体" w:hAnsi="宋体" w:eastAsia="宋体" w:cs="Times New Roman"/>
                <w:kern w:val="0"/>
                <w:szCs w:val="21"/>
              </w:rPr>
              <w:t>层楼</w:t>
            </w:r>
          </w:p>
        </w:tc>
      </w:tr>
      <w:tr w14:paraId="7C5E8C56">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182" w:type="pct"/>
            <w:vMerge w:val="continue"/>
            <w:vAlign w:val="center"/>
          </w:tcPr>
          <w:p w14:paraId="70AB5CAC">
            <w:pPr>
              <w:widowControl/>
              <w:spacing w:line="240" w:lineRule="exact"/>
              <w:jc w:val="center"/>
              <w:rPr>
                <w:rFonts w:ascii="Times New Roman" w:hAnsi="Times New Roman" w:eastAsia="宋体" w:cs="Times New Roman"/>
                <w:kern w:val="0"/>
                <w:szCs w:val="21"/>
              </w:rPr>
            </w:pPr>
          </w:p>
        </w:tc>
        <w:tc>
          <w:tcPr>
            <w:tcW w:w="504" w:type="pct"/>
            <w:vMerge w:val="continue"/>
            <w:vAlign w:val="center"/>
          </w:tcPr>
          <w:p w14:paraId="353AC161">
            <w:pPr>
              <w:widowControl/>
              <w:spacing w:line="240" w:lineRule="exact"/>
              <w:jc w:val="center"/>
              <w:rPr>
                <w:rFonts w:ascii="Times New Roman" w:hAnsi="Times New Roman" w:eastAsia="宋体" w:cs="Times New Roman"/>
                <w:kern w:val="0"/>
                <w:szCs w:val="21"/>
              </w:rPr>
            </w:pPr>
          </w:p>
        </w:tc>
        <w:tc>
          <w:tcPr>
            <w:tcW w:w="252" w:type="pct"/>
            <w:vMerge w:val="continue"/>
            <w:vAlign w:val="center"/>
          </w:tcPr>
          <w:p w14:paraId="2A38BAD6">
            <w:pPr>
              <w:widowControl/>
              <w:spacing w:line="240" w:lineRule="exact"/>
              <w:jc w:val="center"/>
              <w:rPr>
                <w:rFonts w:ascii="Times New Roman" w:hAnsi="Times New Roman" w:eastAsia="宋体" w:cs="Times New Roman"/>
                <w:kern w:val="0"/>
                <w:szCs w:val="21"/>
              </w:rPr>
            </w:pPr>
          </w:p>
        </w:tc>
        <w:tc>
          <w:tcPr>
            <w:tcW w:w="303" w:type="pct"/>
            <w:vMerge w:val="continue"/>
            <w:vAlign w:val="center"/>
          </w:tcPr>
          <w:p w14:paraId="47932F3E">
            <w:pPr>
              <w:widowControl/>
              <w:spacing w:line="240" w:lineRule="exact"/>
              <w:jc w:val="center"/>
              <w:rPr>
                <w:rFonts w:ascii="Times New Roman" w:hAnsi="Times New Roman" w:eastAsia="宋体" w:cs="Times New Roman"/>
                <w:kern w:val="0"/>
                <w:szCs w:val="21"/>
              </w:rPr>
            </w:pPr>
          </w:p>
        </w:tc>
        <w:tc>
          <w:tcPr>
            <w:tcW w:w="252" w:type="pct"/>
            <w:vMerge w:val="continue"/>
            <w:vAlign w:val="center"/>
          </w:tcPr>
          <w:p w14:paraId="3B8638F3">
            <w:pPr>
              <w:widowControl/>
              <w:spacing w:line="240" w:lineRule="exact"/>
              <w:jc w:val="center"/>
              <w:rPr>
                <w:rFonts w:ascii="Times New Roman" w:hAnsi="Times New Roman" w:eastAsia="宋体" w:cs="Times New Roman"/>
                <w:kern w:val="0"/>
                <w:szCs w:val="21"/>
              </w:rPr>
            </w:pPr>
          </w:p>
        </w:tc>
        <w:tc>
          <w:tcPr>
            <w:tcW w:w="353" w:type="pct"/>
            <w:vMerge w:val="continue"/>
            <w:vAlign w:val="center"/>
          </w:tcPr>
          <w:p w14:paraId="31818D37">
            <w:pPr>
              <w:widowControl/>
              <w:spacing w:line="240" w:lineRule="exact"/>
              <w:jc w:val="center"/>
              <w:rPr>
                <w:rFonts w:ascii="Times New Roman" w:hAnsi="Times New Roman" w:eastAsia="宋体" w:cs="Times New Roman"/>
                <w:kern w:val="0"/>
                <w:szCs w:val="21"/>
              </w:rPr>
            </w:pPr>
          </w:p>
        </w:tc>
        <w:tc>
          <w:tcPr>
            <w:tcW w:w="252" w:type="pct"/>
            <w:shd w:val="clear" w:color="auto" w:fill="auto"/>
            <w:vAlign w:val="center"/>
          </w:tcPr>
          <w:p w14:paraId="4EFBAF97">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3</w:t>
            </w:r>
            <w:r>
              <w:rPr>
                <w:rFonts w:hint="eastAsia" w:ascii="宋体" w:hAnsi="宋体" w:eastAsia="宋体" w:cs="Times New Roman"/>
                <w:kern w:val="0"/>
                <w:szCs w:val="21"/>
              </w:rPr>
              <w:t>层</w:t>
            </w:r>
          </w:p>
        </w:tc>
        <w:tc>
          <w:tcPr>
            <w:tcW w:w="372" w:type="pct"/>
            <w:shd w:val="clear" w:color="auto" w:fill="auto"/>
            <w:vAlign w:val="center"/>
          </w:tcPr>
          <w:p w14:paraId="71AF7494">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6.0</w:t>
            </w:r>
          </w:p>
        </w:tc>
        <w:tc>
          <w:tcPr>
            <w:tcW w:w="373" w:type="pct"/>
            <w:shd w:val="clear" w:color="auto" w:fill="auto"/>
            <w:vAlign w:val="center"/>
          </w:tcPr>
          <w:p w14:paraId="2E2AE6CA">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3" w:type="pct"/>
            <w:shd w:val="clear" w:color="auto" w:fill="auto"/>
            <w:vAlign w:val="center"/>
          </w:tcPr>
          <w:p w14:paraId="0A5C0336">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6.8</w:t>
            </w:r>
          </w:p>
        </w:tc>
        <w:tc>
          <w:tcPr>
            <w:tcW w:w="372" w:type="pct"/>
            <w:shd w:val="clear" w:color="auto" w:fill="auto"/>
            <w:vAlign w:val="center"/>
          </w:tcPr>
          <w:p w14:paraId="3EF135A8">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3" w:type="pct"/>
            <w:shd w:val="clear" w:color="auto" w:fill="auto"/>
            <w:vAlign w:val="center"/>
          </w:tcPr>
          <w:p w14:paraId="15BA77BE">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5.7</w:t>
            </w:r>
          </w:p>
        </w:tc>
        <w:tc>
          <w:tcPr>
            <w:tcW w:w="378" w:type="pct"/>
            <w:shd w:val="clear" w:color="auto" w:fill="auto"/>
            <w:vAlign w:val="center"/>
          </w:tcPr>
          <w:p w14:paraId="58A309D9">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235" w:type="pct"/>
            <w:vMerge w:val="continue"/>
            <w:vAlign w:val="center"/>
          </w:tcPr>
          <w:p w14:paraId="0C964EB4">
            <w:pPr>
              <w:widowControl/>
              <w:spacing w:line="240" w:lineRule="exact"/>
              <w:jc w:val="center"/>
              <w:rPr>
                <w:rFonts w:ascii="Times New Roman" w:hAnsi="Times New Roman" w:eastAsia="宋体" w:cs="Times New Roman"/>
                <w:kern w:val="0"/>
                <w:szCs w:val="21"/>
              </w:rPr>
            </w:pPr>
          </w:p>
        </w:tc>
        <w:tc>
          <w:tcPr>
            <w:tcW w:w="426" w:type="pct"/>
            <w:vMerge w:val="continue"/>
            <w:vAlign w:val="center"/>
          </w:tcPr>
          <w:p w14:paraId="0E809DF6">
            <w:pPr>
              <w:widowControl/>
              <w:spacing w:line="240" w:lineRule="exact"/>
              <w:jc w:val="center"/>
              <w:rPr>
                <w:rFonts w:ascii="Times New Roman" w:hAnsi="Times New Roman" w:eastAsia="宋体" w:cs="Times New Roman"/>
                <w:kern w:val="0"/>
                <w:szCs w:val="21"/>
              </w:rPr>
            </w:pPr>
          </w:p>
        </w:tc>
      </w:tr>
      <w:tr w14:paraId="518EF53A">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182" w:type="pct"/>
            <w:vMerge w:val="restart"/>
            <w:shd w:val="clear" w:color="auto" w:fill="auto"/>
            <w:vAlign w:val="center"/>
          </w:tcPr>
          <w:p w14:paraId="4252BE62">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10</w:t>
            </w:r>
          </w:p>
        </w:tc>
        <w:tc>
          <w:tcPr>
            <w:tcW w:w="504" w:type="pct"/>
            <w:vMerge w:val="restart"/>
            <w:shd w:val="clear" w:color="auto" w:fill="auto"/>
            <w:vAlign w:val="center"/>
          </w:tcPr>
          <w:p w14:paraId="182EF95D">
            <w:pPr>
              <w:widowControl/>
              <w:spacing w:line="240" w:lineRule="exact"/>
              <w:jc w:val="center"/>
              <w:rPr>
                <w:rFonts w:ascii="Times New Roman" w:hAnsi="Times New Roman" w:eastAsia="宋体" w:cs="Times New Roman"/>
                <w:kern w:val="0"/>
                <w:szCs w:val="21"/>
              </w:rPr>
            </w:pPr>
            <w:r>
              <w:rPr>
                <w:rFonts w:hint="eastAsia" w:ascii="宋体" w:hAnsi="宋体" w:eastAsia="宋体" w:cs="Times New Roman"/>
                <w:kern w:val="0"/>
                <w:szCs w:val="21"/>
              </w:rPr>
              <w:t>巴什英买里村</w:t>
            </w:r>
          </w:p>
        </w:tc>
        <w:tc>
          <w:tcPr>
            <w:tcW w:w="252" w:type="pct"/>
            <w:vMerge w:val="restart"/>
            <w:shd w:val="clear" w:color="auto" w:fill="auto"/>
            <w:vAlign w:val="center"/>
          </w:tcPr>
          <w:p w14:paraId="607E764E">
            <w:pPr>
              <w:widowControl/>
              <w:spacing w:line="240" w:lineRule="exact"/>
              <w:jc w:val="center"/>
              <w:rPr>
                <w:rFonts w:ascii="Times New Roman" w:hAnsi="Times New Roman" w:eastAsia="宋体" w:cs="Times New Roman"/>
                <w:kern w:val="0"/>
                <w:szCs w:val="21"/>
              </w:rPr>
            </w:pPr>
            <w:r>
              <w:rPr>
                <w:rFonts w:hint="eastAsia" w:ascii="宋体" w:hAnsi="宋体" w:eastAsia="宋体" w:cs="Times New Roman"/>
                <w:kern w:val="0"/>
                <w:szCs w:val="21"/>
              </w:rPr>
              <w:t>两侧</w:t>
            </w:r>
          </w:p>
        </w:tc>
        <w:tc>
          <w:tcPr>
            <w:tcW w:w="303" w:type="pct"/>
            <w:shd w:val="clear" w:color="auto" w:fill="auto"/>
            <w:vAlign w:val="center"/>
          </w:tcPr>
          <w:p w14:paraId="51C6F643">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23</w:t>
            </w:r>
          </w:p>
        </w:tc>
        <w:tc>
          <w:tcPr>
            <w:tcW w:w="252" w:type="pct"/>
            <w:vMerge w:val="restart"/>
            <w:shd w:val="clear" w:color="auto" w:fill="auto"/>
            <w:vAlign w:val="center"/>
          </w:tcPr>
          <w:p w14:paraId="2730BF7A">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2.5</w:t>
            </w:r>
          </w:p>
        </w:tc>
        <w:tc>
          <w:tcPr>
            <w:tcW w:w="353" w:type="pct"/>
            <w:vMerge w:val="restart"/>
            <w:shd w:val="clear" w:color="auto" w:fill="auto"/>
            <w:vAlign w:val="center"/>
          </w:tcPr>
          <w:p w14:paraId="6E4A43C2">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0</w:t>
            </w:r>
          </w:p>
        </w:tc>
        <w:tc>
          <w:tcPr>
            <w:tcW w:w="252" w:type="pct"/>
            <w:vMerge w:val="restart"/>
            <w:shd w:val="clear" w:color="auto" w:fill="auto"/>
            <w:vAlign w:val="center"/>
          </w:tcPr>
          <w:p w14:paraId="21FA439E">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w:t>
            </w:r>
            <w:r>
              <w:rPr>
                <w:rFonts w:hint="eastAsia" w:ascii="宋体" w:hAnsi="宋体" w:eastAsia="宋体" w:cs="Times New Roman"/>
                <w:kern w:val="0"/>
                <w:szCs w:val="21"/>
              </w:rPr>
              <w:t>层</w:t>
            </w:r>
          </w:p>
        </w:tc>
        <w:tc>
          <w:tcPr>
            <w:tcW w:w="372" w:type="pct"/>
            <w:shd w:val="clear" w:color="auto" w:fill="auto"/>
            <w:vAlign w:val="center"/>
          </w:tcPr>
          <w:p w14:paraId="51F43BEA">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3" w:type="pct"/>
            <w:shd w:val="clear" w:color="auto" w:fill="auto"/>
            <w:vAlign w:val="center"/>
          </w:tcPr>
          <w:p w14:paraId="25919AF7">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3.5</w:t>
            </w:r>
          </w:p>
        </w:tc>
        <w:tc>
          <w:tcPr>
            <w:tcW w:w="373" w:type="pct"/>
            <w:shd w:val="clear" w:color="auto" w:fill="auto"/>
            <w:vAlign w:val="center"/>
          </w:tcPr>
          <w:p w14:paraId="1DC853B8">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2" w:type="pct"/>
            <w:shd w:val="clear" w:color="auto" w:fill="auto"/>
            <w:vAlign w:val="center"/>
          </w:tcPr>
          <w:p w14:paraId="22F417EF">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4.3</w:t>
            </w:r>
          </w:p>
        </w:tc>
        <w:tc>
          <w:tcPr>
            <w:tcW w:w="373" w:type="pct"/>
            <w:shd w:val="clear" w:color="auto" w:fill="auto"/>
            <w:vAlign w:val="center"/>
          </w:tcPr>
          <w:p w14:paraId="3922DA6A">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8" w:type="pct"/>
            <w:shd w:val="clear" w:color="auto" w:fill="auto"/>
            <w:vAlign w:val="center"/>
          </w:tcPr>
          <w:p w14:paraId="2F3155E2">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5.0</w:t>
            </w:r>
          </w:p>
        </w:tc>
        <w:tc>
          <w:tcPr>
            <w:tcW w:w="235" w:type="pct"/>
            <w:shd w:val="clear" w:color="auto" w:fill="auto"/>
            <w:vAlign w:val="center"/>
          </w:tcPr>
          <w:p w14:paraId="57D81370">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4a</w:t>
            </w:r>
            <w:r>
              <w:rPr>
                <w:rFonts w:hint="eastAsia" w:ascii="宋体" w:hAnsi="宋体" w:eastAsia="宋体" w:cs="Times New Roman"/>
                <w:kern w:val="0"/>
                <w:szCs w:val="21"/>
              </w:rPr>
              <w:t>类</w:t>
            </w:r>
          </w:p>
        </w:tc>
        <w:tc>
          <w:tcPr>
            <w:tcW w:w="426" w:type="pct"/>
            <w:shd w:val="clear" w:color="auto" w:fill="auto"/>
            <w:vAlign w:val="center"/>
          </w:tcPr>
          <w:p w14:paraId="52453B22">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75</w:t>
            </w:r>
          </w:p>
        </w:tc>
      </w:tr>
      <w:tr w14:paraId="74DED261">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182" w:type="pct"/>
            <w:vMerge w:val="continue"/>
            <w:vAlign w:val="center"/>
          </w:tcPr>
          <w:p w14:paraId="243EB8BE">
            <w:pPr>
              <w:widowControl/>
              <w:spacing w:line="240" w:lineRule="exact"/>
              <w:jc w:val="center"/>
              <w:rPr>
                <w:rFonts w:ascii="Times New Roman" w:hAnsi="Times New Roman" w:eastAsia="宋体" w:cs="Times New Roman"/>
                <w:kern w:val="0"/>
                <w:szCs w:val="21"/>
              </w:rPr>
            </w:pPr>
          </w:p>
        </w:tc>
        <w:tc>
          <w:tcPr>
            <w:tcW w:w="504" w:type="pct"/>
            <w:vMerge w:val="continue"/>
            <w:vAlign w:val="center"/>
          </w:tcPr>
          <w:p w14:paraId="794DC01A">
            <w:pPr>
              <w:widowControl/>
              <w:spacing w:line="240" w:lineRule="exact"/>
              <w:jc w:val="center"/>
              <w:rPr>
                <w:rFonts w:ascii="Times New Roman" w:hAnsi="Times New Roman" w:eastAsia="宋体" w:cs="Times New Roman"/>
                <w:kern w:val="0"/>
                <w:szCs w:val="21"/>
              </w:rPr>
            </w:pPr>
          </w:p>
        </w:tc>
        <w:tc>
          <w:tcPr>
            <w:tcW w:w="252" w:type="pct"/>
            <w:vMerge w:val="continue"/>
            <w:vAlign w:val="center"/>
          </w:tcPr>
          <w:p w14:paraId="2C888303">
            <w:pPr>
              <w:widowControl/>
              <w:spacing w:line="240" w:lineRule="exact"/>
              <w:jc w:val="center"/>
              <w:rPr>
                <w:rFonts w:ascii="Times New Roman" w:hAnsi="Times New Roman" w:eastAsia="宋体" w:cs="Times New Roman"/>
                <w:kern w:val="0"/>
                <w:szCs w:val="21"/>
              </w:rPr>
            </w:pPr>
          </w:p>
        </w:tc>
        <w:tc>
          <w:tcPr>
            <w:tcW w:w="303" w:type="pct"/>
            <w:shd w:val="clear" w:color="auto" w:fill="auto"/>
            <w:vAlign w:val="center"/>
          </w:tcPr>
          <w:p w14:paraId="22FA6738">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55</w:t>
            </w:r>
          </w:p>
        </w:tc>
        <w:tc>
          <w:tcPr>
            <w:tcW w:w="252" w:type="pct"/>
            <w:vMerge w:val="continue"/>
            <w:vAlign w:val="center"/>
          </w:tcPr>
          <w:p w14:paraId="336EC2EF">
            <w:pPr>
              <w:widowControl/>
              <w:spacing w:line="240" w:lineRule="exact"/>
              <w:jc w:val="center"/>
              <w:rPr>
                <w:rFonts w:ascii="Times New Roman" w:hAnsi="Times New Roman" w:eastAsia="宋体" w:cs="Times New Roman"/>
                <w:kern w:val="0"/>
                <w:szCs w:val="21"/>
              </w:rPr>
            </w:pPr>
          </w:p>
        </w:tc>
        <w:tc>
          <w:tcPr>
            <w:tcW w:w="353" w:type="pct"/>
            <w:vMerge w:val="continue"/>
            <w:vAlign w:val="center"/>
          </w:tcPr>
          <w:p w14:paraId="2FDFCAB8">
            <w:pPr>
              <w:widowControl/>
              <w:spacing w:line="240" w:lineRule="exact"/>
              <w:jc w:val="center"/>
              <w:rPr>
                <w:rFonts w:ascii="Times New Roman" w:hAnsi="Times New Roman" w:eastAsia="宋体" w:cs="Times New Roman"/>
                <w:kern w:val="0"/>
                <w:szCs w:val="21"/>
              </w:rPr>
            </w:pPr>
          </w:p>
        </w:tc>
        <w:tc>
          <w:tcPr>
            <w:tcW w:w="252" w:type="pct"/>
            <w:vMerge w:val="continue"/>
            <w:vAlign w:val="center"/>
          </w:tcPr>
          <w:p w14:paraId="5A0589A6">
            <w:pPr>
              <w:widowControl/>
              <w:spacing w:line="240" w:lineRule="exact"/>
              <w:jc w:val="center"/>
              <w:rPr>
                <w:rFonts w:ascii="Times New Roman" w:hAnsi="Times New Roman" w:eastAsia="宋体" w:cs="Times New Roman"/>
                <w:kern w:val="0"/>
                <w:szCs w:val="21"/>
              </w:rPr>
            </w:pPr>
          </w:p>
        </w:tc>
        <w:tc>
          <w:tcPr>
            <w:tcW w:w="372" w:type="pct"/>
            <w:shd w:val="clear" w:color="auto" w:fill="auto"/>
            <w:vAlign w:val="center"/>
          </w:tcPr>
          <w:p w14:paraId="0571A56F">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3" w:type="pct"/>
            <w:shd w:val="clear" w:color="auto" w:fill="auto"/>
            <w:vAlign w:val="center"/>
          </w:tcPr>
          <w:p w14:paraId="7713A973">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3.7</w:t>
            </w:r>
          </w:p>
        </w:tc>
        <w:tc>
          <w:tcPr>
            <w:tcW w:w="373" w:type="pct"/>
            <w:shd w:val="clear" w:color="auto" w:fill="auto"/>
            <w:vAlign w:val="center"/>
          </w:tcPr>
          <w:p w14:paraId="66E66D3B">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2" w:type="pct"/>
            <w:shd w:val="clear" w:color="auto" w:fill="auto"/>
            <w:vAlign w:val="center"/>
          </w:tcPr>
          <w:p w14:paraId="06096F52">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4.5</w:t>
            </w:r>
          </w:p>
        </w:tc>
        <w:tc>
          <w:tcPr>
            <w:tcW w:w="373" w:type="pct"/>
            <w:shd w:val="clear" w:color="auto" w:fill="auto"/>
            <w:vAlign w:val="center"/>
          </w:tcPr>
          <w:p w14:paraId="401C461D">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8" w:type="pct"/>
            <w:shd w:val="clear" w:color="auto" w:fill="auto"/>
            <w:vAlign w:val="center"/>
          </w:tcPr>
          <w:p w14:paraId="0773D0A1">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5.2</w:t>
            </w:r>
          </w:p>
        </w:tc>
        <w:tc>
          <w:tcPr>
            <w:tcW w:w="235" w:type="pct"/>
            <w:shd w:val="clear" w:color="auto" w:fill="auto"/>
            <w:vAlign w:val="center"/>
          </w:tcPr>
          <w:p w14:paraId="193A7775">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w:t>
            </w:r>
            <w:r>
              <w:rPr>
                <w:rFonts w:hint="eastAsia" w:ascii="宋体" w:hAnsi="宋体" w:eastAsia="宋体" w:cs="Times New Roman"/>
                <w:kern w:val="0"/>
                <w:szCs w:val="21"/>
              </w:rPr>
              <w:t>类</w:t>
            </w:r>
          </w:p>
        </w:tc>
        <w:tc>
          <w:tcPr>
            <w:tcW w:w="426" w:type="pct"/>
            <w:shd w:val="clear" w:color="auto" w:fill="auto"/>
            <w:vAlign w:val="center"/>
          </w:tcPr>
          <w:p w14:paraId="6549A4E4">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20</w:t>
            </w:r>
          </w:p>
        </w:tc>
      </w:tr>
    </w:tbl>
    <w:p w14:paraId="249E2801">
      <w:pPr>
        <w:rPr>
          <w:rFonts w:ascii="Times New Roman" w:hAnsi="Times New Roman" w:eastAsia="宋体" w:cs="Times New Roman"/>
        </w:rPr>
      </w:pPr>
    </w:p>
    <w:p w14:paraId="51934668">
      <w:pPr>
        <w:sectPr>
          <w:headerReference r:id="rId83" w:type="default"/>
          <w:footerReference r:id="rId85" w:type="default"/>
          <w:headerReference r:id="rId84" w:type="even"/>
          <w:footerReference r:id="rId86" w:type="even"/>
          <w:pgSz w:w="16838" w:h="11906" w:orient="landscape"/>
          <w:pgMar w:top="1797" w:right="1440" w:bottom="1797" w:left="1559" w:header="1134" w:footer="1134" w:gutter="0"/>
          <w:pgBorders>
            <w:top w:val="none" w:sz="0" w:space="0"/>
            <w:left w:val="none" w:sz="0" w:space="0"/>
            <w:bottom w:val="none" w:sz="0" w:space="0"/>
            <w:right w:val="none" w:sz="0" w:space="0"/>
          </w:pgBorders>
          <w:cols w:space="720" w:num="1"/>
          <w:docGrid w:type="linesAndChars" w:linePitch="312" w:charSpace="0"/>
        </w:sectPr>
      </w:pPr>
    </w:p>
    <w:p w14:paraId="611CBE7F">
      <w:pPr>
        <w:spacing w:beforeLines="50"/>
        <w:jc w:val="center"/>
        <w:rPr>
          <w:rFonts w:ascii="Times New Roman" w:hAnsi="Times New Roman" w:eastAsia="宋体" w:cs="Times New Roman"/>
          <w:b/>
          <w:bCs/>
        </w:rPr>
      </w:pPr>
      <w:r>
        <w:rPr>
          <w:rFonts w:ascii="Times New Roman" w:hAnsi="Times New Roman" w:eastAsia="宋体" w:cs="Times New Roman"/>
          <w:b/>
          <w:bCs/>
        </w:rPr>
        <w:t>续</w:t>
      </w:r>
      <w:r>
        <w:rPr>
          <w:rFonts w:hint="eastAsia" w:ascii="Times New Roman" w:hAnsi="Times New Roman" w:eastAsia="宋体" w:cs="Times New Roman"/>
          <w:b/>
          <w:bCs/>
        </w:rPr>
        <w:t xml:space="preserve"> </w:t>
      </w:r>
      <w:r>
        <w:rPr>
          <w:rFonts w:ascii="Times New Roman" w:hAnsi="Times New Roman" w:eastAsia="宋体" w:cs="Times New Roman"/>
          <w:b/>
          <w:bCs/>
        </w:rPr>
        <w:t>表4.4-</w:t>
      </w:r>
      <w:r>
        <w:rPr>
          <w:rFonts w:hint="eastAsia" w:ascii="Times New Roman" w:hAnsi="Times New Roman" w:eastAsia="宋体" w:cs="Times New Roman"/>
          <w:b/>
          <w:bCs/>
        </w:rPr>
        <w:t>9</w:t>
      </w:r>
      <w:r>
        <w:rPr>
          <w:rFonts w:ascii="Times New Roman" w:hAnsi="Times New Roman" w:eastAsia="宋体" w:cs="Times New Roman"/>
          <w:b/>
          <w:bCs/>
        </w:rPr>
        <w:t xml:space="preserve">  拟建公路沿线运营期环境噪声超标保护目标统计</w:t>
      </w:r>
    </w:p>
    <w:tbl>
      <w:tblPr>
        <w:tblStyle w:val="22"/>
        <w:tblW w:w="5000" w:type="pct"/>
        <w:tblInd w:w="0" w:type="dxa"/>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511"/>
        <w:gridCol w:w="1416"/>
        <w:gridCol w:w="708"/>
        <w:gridCol w:w="852"/>
        <w:gridCol w:w="708"/>
        <w:gridCol w:w="992"/>
        <w:gridCol w:w="708"/>
        <w:gridCol w:w="1046"/>
        <w:gridCol w:w="1049"/>
        <w:gridCol w:w="1049"/>
        <w:gridCol w:w="1046"/>
        <w:gridCol w:w="1049"/>
        <w:gridCol w:w="1065"/>
        <w:gridCol w:w="661"/>
        <w:gridCol w:w="1195"/>
      </w:tblGrid>
      <w:tr w14:paraId="1063B769">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182" w:type="pct"/>
            <w:vMerge w:val="restart"/>
            <w:shd w:val="clear" w:color="auto" w:fill="auto"/>
            <w:vAlign w:val="center"/>
          </w:tcPr>
          <w:p w14:paraId="4AB92359">
            <w:pPr>
              <w:widowControl/>
              <w:spacing w:line="240" w:lineRule="exact"/>
              <w:jc w:val="center"/>
              <w:rPr>
                <w:rFonts w:ascii="Times New Roman" w:hAnsi="Times New Roman" w:eastAsia="宋体" w:cs="Times New Roman"/>
                <w:b/>
                <w:spacing w:val="-20"/>
                <w:kern w:val="0"/>
                <w:szCs w:val="21"/>
              </w:rPr>
            </w:pPr>
            <w:r>
              <w:rPr>
                <w:rFonts w:hint="eastAsia" w:ascii="宋体" w:hAnsi="宋体" w:eastAsia="宋体" w:cs="Times New Roman"/>
                <w:b/>
                <w:spacing w:val="-20"/>
                <w:kern w:val="0"/>
                <w:szCs w:val="21"/>
              </w:rPr>
              <w:t>序号</w:t>
            </w:r>
          </w:p>
        </w:tc>
        <w:tc>
          <w:tcPr>
            <w:tcW w:w="504" w:type="pct"/>
            <w:vMerge w:val="restart"/>
            <w:shd w:val="clear" w:color="auto" w:fill="auto"/>
            <w:vAlign w:val="center"/>
          </w:tcPr>
          <w:p w14:paraId="3DB63A11">
            <w:pPr>
              <w:widowControl/>
              <w:spacing w:line="240" w:lineRule="exact"/>
              <w:jc w:val="center"/>
              <w:rPr>
                <w:rFonts w:ascii="Times New Roman" w:hAnsi="Times New Roman" w:eastAsia="宋体" w:cs="Times New Roman"/>
                <w:b/>
                <w:spacing w:val="-20"/>
                <w:kern w:val="0"/>
                <w:szCs w:val="21"/>
              </w:rPr>
            </w:pPr>
            <w:r>
              <w:rPr>
                <w:rFonts w:hint="eastAsia" w:ascii="宋体" w:hAnsi="宋体" w:eastAsia="宋体" w:cs="Times New Roman"/>
                <w:b/>
                <w:spacing w:val="-20"/>
                <w:kern w:val="0"/>
                <w:szCs w:val="21"/>
              </w:rPr>
              <w:t>敏感点名称</w:t>
            </w:r>
          </w:p>
        </w:tc>
        <w:tc>
          <w:tcPr>
            <w:tcW w:w="555" w:type="pct"/>
            <w:gridSpan w:val="2"/>
            <w:shd w:val="clear" w:color="auto" w:fill="auto"/>
            <w:vAlign w:val="center"/>
          </w:tcPr>
          <w:p w14:paraId="199F78FA">
            <w:pPr>
              <w:widowControl/>
              <w:spacing w:line="240" w:lineRule="exact"/>
              <w:jc w:val="center"/>
              <w:rPr>
                <w:rFonts w:ascii="Times New Roman" w:hAnsi="Times New Roman" w:eastAsia="宋体" w:cs="Times New Roman"/>
                <w:b/>
                <w:spacing w:val="-20"/>
                <w:kern w:val="0"/>
                <w:szCs w:val="21"/>
              </w:rPr>
            </w:pPr>
            <w:r>
              <w:rPr>
                <w:rFonts w:hint="eastAsia" w:ascii="宋体" w:hAnsi="宋体" w:eastAsia="宋体" w:cs="Times New Roman"/>
                <w:b/>
                <w:spacing w:val="-20"/>
                <w:kern w:val="0"/>
                <w:szCs w:val="21"/>
              </w:rPr>
              <w:t>位置关系</w:t>
            </w:r>
          </w:p>
        </w:tc>
        <w:tc>
          <w:tcPr>
            <w:tcW w:w="252" w:type="pct"/>
            <w:vMerge w:val="restart"/>
            <w:shd w:val="clear" w:color="auto" w:fill="auto"/>
            <w:vAlign w:val="center"/>
          </w:tcPr>
          <w:p w14:paraId="5B4D5445">
            <w:pPr>
              <w:widowControl/>
              <w:spacing w:line="240" w:lineRule="exact"/>
              <w:jc w:val="center"/>
              <w:rPr>
                <w:rFonts w:ascii="Times New Roman" w:hAnsi="Times New Roman" w:eastAsia="宋体" w:cs="Times New Roman"/>
                <w:b/>
                <w:spacing w:val="-20"/>
                <w:kern w:val="0"/>
                <w:szCs w:val="21"/>
              </w:rPr>
            </w:pPr>
            <w:r>
              <w:rPr>
                <w:rFonts w:hint="eastAsia" w:ascii="宋体" w:hAnsi="宋体" w:eastAsia="宋体" w:cs="Times New Roman"/>
                <w:b/>
                <w:spacing w:val="-20"/>
                <w:kern w:val="0"/>
                <w:szCs w:val="21"/>
              </w:rPr>
              <w:t>路基高</w:t>
            </w:r>
            <w:r>
              <w:rPr>
                <w:rFonts w:ascii="Times New Roman" w:hAnsi="Times New Roman" w:eastAsia="宋体" w:cs="Times New Roman"/>
                <w:b/>
                <w:spacing w:val="-20"/>
                <w:kern w:val="0"/>
                <w:szCs w:val="21"/>
              </w:rPr>
              <w:t>(m)</w:t>
            </w:r>
          </w:p>
        </w:tc>
        <w:tc>
          <w:tcPr>
            <w:tcW w:w="353" w:type="pct"/>
            <w:vMerge w:val="restart"/>
            <w:shd w:val="clear" w:color="auto" w:fill="auto"/>
            <w:vAlign w:val="center"/>
          </w:tcPr>
          <w:p w14:paraId="2AE8676B">
            <w:pPr>
              <w:widowControl/>
              <w:spacing w:line="240" w:lineRule="exact"/>
              <w:jc w:val="center"/>
              <w:rPr>
                <w:rFonts w:ascii="Times New Roman" w:hAnsi="Times New Roman" w:eastAsia="宋体" w:cs="Times New Roman"/>
                <w:b/>
                <w:spacing w:val="-20"/>
                <w:kern w:val="0"/>
                <w:szCs w:val="21"/>
              </w:rPr>
            </w:pPr>
            <w:r>
              <w:rPr>
                <w:rFonts w:hint="eastAsia" w:ascii="宋体" w:hAnsi="宋体" w:eastAsia="宋体" w:cs="Times New Roman"/>
                <w:b/>
                <w:spacing w:val="-20"/>
                <w:kern w:val="0"/>
                <w:szCs w:val="21"/>
              </w:rPr>
              <w:t>预测点地面高</w:t>
            </w:r>
            <w:r>
              <w:rPr>
                <w:rFonts w:ascii="Times New Roman" w:hAnsi="Times New Roman" w:eastAsia="宋体" w:cs="Times New Roman"/>
                <w:b/>
                <w:spacing w:val="-20"/>
                <w:kern w:val="0"/>
                <w:szCs w:val="21"/>
              </w:rPr>
              <w:t>-</w:t>
            </w:r>
            <w:r>
              <w:rPr>
                <w:rFonts w:hint="eastAsia" w:ascii="宋体" w:hAnsi="宋体" w:eastAsia="宋体" w:cs="Times New Roman"/>
                <w:b/>
                <w:spacing w:val="-20"/>
                <w:kern w:val="0"/>
                <w:szCs w:val="21"/>
              </w:rPr>
              <w:t>路基地面高</w:t>
            </w:r>
            <w:r>
              <w:rPr>
                <w:rFonts w:ascii="Times New Roman" w:hAnsi="Times New Roman" w:eastAsia="宋体" w:cs="Times New Roman"/>
                <w:b/>
                <w:spacing w:val="-20"/>
                <w:kern w:val="0"/>
                <w:szCs w:val="21"/>
              </w:rPr>
              <w:t>(m)</w:t>
            </w:r>
          </w:p>
        </w:tc>
        <w:tc>
          <w:tcPr>
            <w:tcW w:w="252" w:type="pct"/>
            <w:vMerge w:val="restart"/>
            <w:shd w:val="clear" w:color="auto" w:fill="auto"/>
            <w:vAlign w:val="center"/>
          </w:tcPr>
          <w:p w14:paraId="7A46AE89">
            <w:pPr>
              <w:widowControl/>
              <w:spacing w:line="240" w:lineRule="exact"/>
              <w:jc w:val="center"/>
              <w:rPr>
                <w:rFonts w:ascii="Times New Roman" w:hAnsi="Times New Roman" w:eastAsia="宋体" w:cs="Times New Roman"/>
                <w:b/>
                <w:spacing w:val="-20"/>
                <w:kern w:val="0"/>
                <w:szCs w:val="21"/>
              </w:rPr>
            </w:pPr>
            <w:r>
              <w:rPr>
                <w:rFonts w:hint="eastAsia" w:ascii="宋体" w:hAnsi="宋体" w:eastAsia="宋体" w:cs="Times New Roman"/>
                <w:b/>
                <w:spacing w:val="-20"/>
                <w:kern w:val="0"/>
                <w:szCs w:val="21"/>
              </w:rPr>
              <w:t>预测楼层</w:t>
            </w:r>
          </w:p>
        </w:tc>
        <w:tc>
          <w:tcPr>
            <w:tcW w:w="2242" w:type="pct"/>
            <w:gridSpan w:val="6"/>
            <w:shd w:val="clear" w:color="auto" w:fill="auto"/>
            <w:vAlign w:val="center"/>
          </w:tcPr>
          <w:p w14:paraId="7B698606">
            <w:pPr>
              <w:widowControl/>
              <w:spacing w:line="240" w:lineRule="exact"/>
              <w:jc w:val="center"/>
              <w:rPr>
                <w:rFonts w:ascii="Times New Roman" w:hAnsi="Times New Roman" w:eastAsia="宋体" w:cs="Times New Roman"/>
                <w:b/>
                <w:spacing w:val="-20"/>
                <w:kern w:val="0"/>
                <w:szCs w:val="21"/>
              </w:rPr>
            </w:pPr>
            <w:r>
              <w:rPr>
                <w:rFonts w:hint="eastAsia" w:ascii="宋体" w:hAnsi="宋体" w:eastAsia="宋体" w:cs="Times New Roman"/>
                <w:b/>
                <w:spacing w:val="-20"/>
                <w:kern w:val="0"/>
                <w:szCs w:val="21"/>
              </w:rPr>
              <w:t>超标量</w:t>
            </w:r>
            <w:r>
              <w:rPr>
                <w:rFonts w:ascii="Times New Roman" w:hAnsi="Times New Roman" w:eastAsia="宋体" w:cs="Times New Roman"/>
                <w:b/>
                <w:spacing w:val="-20"/>
                <w:kern w:val="0"/>
                <w:szCs w:val="21"/>
              </w:rPr>
              <w:t>(dB)</w:t>
            </w:r>
          </w:p>
        </w:tc>
        <w:tc>
          <w:tcPr>
            <w:tcW w:w="235" w:type="pct"/>
            <w:vMerge w:val="restart"/>
            <w:shd w:val="clear" w:color="auto" w:fill="auto"/>
            <w:vAlign w:val="center"/>
          </w:tcPr>
          <w:p w14:paraId="6B2727D4">
            <w:pPr>
              <w:widowControl/>
              <w:spacing w:line="240" w:lineRule="exact"/>
              <w:jc w:val="center"/>
              <w:rPr>
                <w:rFonts w:ascii="Times New Roman" w:hAnsi="Times New Roman" w:eastAsia="宋体" w:cs="Times New Roman"/>
                <w:b/>
                <w:spacing w:val="-20"/>
                <w:kern w:val="0"/>
                <w:szCs w:val="21"/>
              </w:rPr>
            </w:pPr>
            <w:r>
              <w:rPr>
                <w:rFonts w:hint="eastAsia" w:ascii="宋体" w:hAnsi="宋体" w:eastAsia="宋体" w:cs="Times New Roman"/>
                <w:b/>
                <w:spacing w:val="-20"/>
                <w:kern w:val="0"/>
                <w:szCs w:val="21"/>
              </w:rPr>
              <w:t>评价标准</w:t>
            </w:r>
          </w:p>
        </w:tc>
        <w:tc>
          <w:tcPr>
            <w:tcW w:w="426" w:type="pct"/>
            <w:vMerge w:val="restart"/>
            <w:shd w:val="clear" w:color="auto" w:fill="auto"/>
            <w:vAlign w:val="center"/>
          </w:tcPr>
          <w:p w14:paraId="1B9C3CCA">
            <w:pPr>
              <w:widowControl/>
              <w:spacing w:line="240" w:lineRule="exact"/>
              <w:jc w:val="center"/>
              <w:rPr>
                <w:rFonts w:ascii="Times New Roman" w:hAnsi="Times New Roman" w:eastAsia="宋体" w:cs="Times New Roman"/>
                <w:b/>
                <w:spacing w:val="-20"/>
                <w:kern w:val="0"/>
                <w:szCs w:val="21"/>
              </w:rPr>
            </w:pPr>
            <w:r>
              <w:rPr>
                <w:rFonts w:hint="eastAsia" w:ascii="宋体" w:hAnsi="宋体" w:eastAsia="宋体" w:cs="Times New Roman"/>
                <w:b/>
                <w:spacing w:val="-20"/>
                <w:kern w:val="0"/>
                <w:szCs w:val="21"/>
              </w:rPr>
              <w:t>超标户数</w:t>
            </w:r>
            <w:r>
              <w:rPr>
                <w:rFonts w:ascii="Times New Roman" w:hAnsi="Times New Roman" w:eastAsia="宋体" w:cs="Times New Roman"/>
                <w:b/>
                <w:spacing w:val="-20"/>
                <w:kern w:val="0"/>
                <w:szCs w:val="21"/>
              </w:rPr>
              <w:t>(</w:t>
            </w:r>
            <w:r>
              <w:rPr>
                <w:rFonts w:hint="eastAsia" w:ascii="宋体" w:hAnsi="宋体" w:eastAsia="宋体" w:cs="Times New Roman"/>
                <w:b/>
                <w:spacing w:val="-20"/>
                <w:kern w:val="0"/>
                <w:szCs w:val="21"/>
              </w:rPr>
              <w:t>户</w:t>
            </w:r>
            <w:r>
              <w:rPr>
                <w:rFonts w:ascii="Times New Roman" w:hAnsi="Times New Roman" w:eastAsia="宋体" w:cs="Times New Roman"/>
                <w:b/>
                <w:spacing w:val="-20"/>
                <w:kern w:val="0"/>
                <w:szCs w:val="21"/>
              </w:rPr>
              <w:t>)</w:t>
            </w:r>
          </w:p>
        </w:tc>
      </w:tr>
      <w:tr w14:paraId="14D1D492">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182" w:type="pct"/>
            <w:vMerge w:val="continue"/>
            <w:vAlign w:val="center"/>
          </w:tcPr>
          <w:p w14:paraId="3D3C0859">
            <w:pPr>
              <w:widowControl/>
              <w:spacing w:line="240" w:lineRule="exact"/>
              <w:jc w:val="center"/>
              <w:rPr>
                <w:rFonts w:ascii="Times New Roman" w:hAnsi="Times New Roman" w:eastAsia="宋体" w:cs="Times New Roman"/>
                <w:b/>
                <w:spacing w:val="-20"/>
                <w:kern w:val="0"/>
                <w:szCs w:val="21"/>
              </w:rPr>
            </w:pPr>
          </w:p>
        </w:tc>
        <w:tc>
          <w:tcPr>
            <w:tcW w:w="504" w:type="pct"/>
            <w:vMerge w:val="continue"/>
            <w:vAlign w:val="center"/>
          </w:tcPr>
          <w:p w14:paraId="0FF3C0EE">
            <w:pPr>
              <w:widowControl/>
              <w:spacing w:line="240" w:lineRule="exact"/>
              <w:jc w:val="center"/>
              <w:rPr>
                <w:rFonts w:ascii="Times New Roman" w:hAnsi="Times New Roman" w:eastAsia="宋体" w:cs="Times New Roman"/>
                <w:b/>
                <w:spacing w:val="-20"/>
                <w:kern w:val="0"/>
                <w:szCs w:val="21"/>
              </w:rPr>
            </w:pPr>
          </w:p>
        </w:tc>
        <w:tc>
          <w:tcPr>
            <w:tcW w:w="252" w:type="pct"/>
            <w:vMerge w:val="restart"/>
            <w:shd w:val="clear" w:color="auto" w:fill="auto"/>
            <w:vAlign w:val="center"/>
          </w:tcPr>
          <w:p w14:paraId="65B61490">
            <w:pPr>
              <w:widowControl/>
              <w:spacing w:line="240" w:lineRule="exact"/>
              <w:jc w:val="center"/>
              <w:rPr>
                <w:rFonts w:ascii="Times New Roman" w:hAnsi="Times New Roman" w:eastAsia="宋体" w:cs="Times New Roman"/>
                <w:b/>
                <w:spacing w:val="-20"/>
                <w:kern w:val="0"/>
                <w:szCs w:val="21"/>
              </w:rPr>
            </w:pPr>
            <w:r>
              <w:rPr>
                <w:rFonts w:hint="eastAsia" w:ascii="宋体" w:hAnsi="宋体" w:eastAsia="宋体" w:cs="Times New Roman"/>
                <w:b/>
                <w:spacing w:val="-20"/>
                <w:kern w:val="0"/>
                <w:szCs w:val="21"/>
              </w:rPr>
              <w:t>方位</w:t>
            </w:r>
          </w:p>
        </w:tc>
        <w:tc>
          <w:tcPr>
            <w:tcW w:w="303" w:type="pct"/>
            <w:vMerge w:val="restart"/>
            <w:shd w:val="clear" w:color="auto" w:fill="auto"/>
            <w:vAlign w:val="center"/>
          </w:tcPr>
          <w:p w14:paraId="2898BFC3">
            <w:pPr>
              <w:widowControl/>
              <w:spacing w:line="240" w:lineRule="exact"/>
              <w:jc w:val="center"/>
              <w:rPr>
                <w:rFonts w:ascii="Times New Roman" w:hAnsi="Times New Roman" w:eastAsia="宋体" w:cs="Times New Roman"/>
                <w:b/>
                <w:spacing w:val="-20"/>
                <w:kern w:val="0"/>
                <w:szCs w:val="21"/>
              </w:rPr>
            </w:pPr>
            <w:r>
              <w:rPr>
                <w:rFonts w:hint="eastAsia" w:ascii="宋体" w:hAnsi="宋体" w:eastAsia="宋体" w:cs="Times New Roman"/>
                <w:b/>
                <w:spacing w:val="-20"/>
                <w:kern w:val="0"/>
                <w:szCs w:val="21"/>
              </w:rPr>
              <w:t>距路中心</w:t>
            </w:r>
            <w:r>
              <w:rPr>
                <w:rFonts w:ascii="Times New Roman" w:hAnsi="Times New Roman" w:eastAsia="宋体" w:cs="Times New Roman"/>
                <w:b/>
                <w:spacing w:val="-20"/>
                <w:kern w:val="0"/>
                <w:szCs w:val="21"/>
              </w:rPr>
              <w:t>(m)</w:t>
            </w:r>
          </w:p>
        </w:tc>
        <w:tc>
          <w:tcPr>
            <w:tcW w:w="252" w:type="pct"/>
            <w:vMerge w:val="continue"/>
            <w:vAlign w:val="center"/>
          </w:tcPr>
          <w:p w14:paraId="134C2714">
            <w:pPr>
              <w:widowControl/>
              <w:spacing w:line="240" w:lineRule="exact"/>
              <w:jc w:val="center"/>
              <w:rPr>
                <w:rFonts w:ascii="Times New Roman" w:hAnsi="Times New Roman" w:eastAsia="宋体" w:cs="Times New Roman"/>
                <w:b/>
                <w:spacing w:val="-20"/>
                <w:kern w:val="0"/>
                <w:szCs w:val="21"/>
              </w:rPr>
            </w:pPr>
          </w:p>
        </w:tc>
        <w:tc>
          <w:tcPr>
            <w:tcW w:w="353" w:type="pct"/>
            <w:vMerge w:val="continue"/>
            <w:vAlign w:val="center"/>
          </w:tcPr>
          <w:p w14:paraId="2676B02A">
            <w:pPr>
              <w:widowControl/>
              <w:spacing w:line="240" w:lineRule="exact"/>
              <w:jc w:val="center"/>
              <w:rPr>
                <w:rFonts w:ascii="Times New Roman" w:hAnsi="Times New Roman" w:eastAsia="宋体" w:cs="Times New Roman"/>
                <w:b/>
                <w:spacing w:val="-20"/>
                <w:kern w:val="0"/>
                <w:szCs w:val="21"/>
              </w:rPr>
            </w:pPr>
          </w:p>
        </w:tc>
        <w:tc>
          <w:tcPr>
            <w:tcW w:w="252" w:type="pct"/>
            <w:vMerge w:val="continue"/>
            <w:vAlign w:val="center"/>
          </w:tcPr>
          <w:p w14:paraId="4C51BEC2">
            <w:pPr>
              <w:widowControl/>
              <w:spacing w:line="240" w:lineRule="exact"/>
              <w:jc w:val="center"/>
              <w:rPr>
                <w:rFonts w:ascii="Times New Roman" w:hAnsi="Times New Roman" w:eastAsia="宋体" w:cs="Times New Roman"/>
                <w:b/>
                <w:spacing w:val="-20"/>
                <w:kern w:val="0"/>
                <w:szCs w:val="21"/>
              </w:rPr>
            </w:pPr>
          </w:p>
        </w:tc>
        <w:tc>
          <w:tcPr>
            <w:tcW w:w="745" w:type="pct"/>
            <w:gridSpan w:val="2"/>
            <w:shd w:val="clear" w:color="auto" w:fill="auto"/>
            <w:vAlign w:val="center"/>
          </w:tcPr>
          <w:p w14:paraId="2E2D415E">
            <w:pPr>
              <w:widowControl/>
              <w:spacing w:line="240" w:lineRule="exact"/>
              <w:jc w:val="center"/>
              <w:rPr>
                <w:rFonts w:ascii="Times New Roman" w:hAnsi="Times New Roman" w:eastAsia="宋体" w:cs="Times New Roman"/>
                <w:b/>
                <w:spacing w:val="-20"/>
                <w:kern w:val="0"/>
                <w:szCs w:val="21"/>
              </w:rPr>
            </w:pPr>
            <w:r>
              <w:rPr>
                <w:rFonts w:hint="eastAsia" w:ascii="宋体" w:hAnsi="宋体" w:eastAsia="宋体" w:cs="Times New Roman"/>
                <w:b/>
                <w:spacing w:val="-20"/>
                <w:kern w:val="0"/>
                <w:szCs w:val="21"/>
              </w:rPr>
              <w:t>近期</w:t>
            </w:r>
          </w:p>
        </w:tc>
        <w:tc>
          <w:tcPr>
            <w:tcW w:w="745" w:type="pct"/>
            <w:gridSpan w:val="2"/>
            <w:shd w:val="clear" w:color="auto" w:fill="auto"/>
            <w:vAlign w:val="center"/>
          </w:tcPr>
          <w:p w14:paraId="0EB39FD4">
            <w:pPr>
              <w:widowControl/>
              <w:spacing w:line="240" w:lineRule="exact"/>
              <w:jc w:val="center"/>
              <w:rPr>
                <w:rFonts w:ascii="Times New Roman" w:hAnsi="Times New Roman" w:eastAsia="宋体" w:cs="Times New Roman"/>
                <w:b/>
                <w:spacing w:val="-20"/>
                <w:kern w:val="0"/>
                <w:szCs w:val="21"/>
              </w:rPr>
            </w:pPr>
            <w:r>
              <w:rPr>
                <w:rFonts w:hint="eastAsia" w:ascii="宋体" w:hAnsi="宋体" w:eastAsia="宋体" w:cs="Times New Roman"/>
                <w:b/>
                <w:spacing w:val="-20"/>
                <w:kern w:val="0"/>
                <w:szCs w:val="21"/>
              </w:rPr>
              <w:t>中期</w:t>
            </w:r>
          </w:p>
        </w:tc>
        <w:tc>
          <w:tcPr>
            <w:tcW w:w="751" w:type="pct"/>
            <w:gridSpan w:val="2"/>
            <w:shd w:val="clear" w:color="auto" w:fill="auto"/>
            <w:vAlign w:val="center"/>
          </w:tcPr>
          <w:p w14:paraId="24A399C5">
            <w:pPr>
              <w:widowControl/>
              <w:spacing w:line="240" w:lineRule="exact"/>
              <w:jc w:val="center"/>
              <w:rPr>
                <w:rFonts w:ascii="Times New Roman" w:hAnsi="Times New Roman" w:eastAsia="宋体" w:cs="Times New Roman"/>
                <w:b/>
                <w:spacing w:val="-20"/>
                <w:kern w:val="0"/>
                <w:szCs w:val="21"/>
              </w:rPr>
            </w:pPr>
            <w:r>
              <w:rPr>
                <w:rFonts w:hint="eastAsia" w:ascii="宋体" w:hAnsi="宋体" w:eastAsia="宋体" w:cs="Times New Roman"/>
                <w:b/>
                <w:spacing w:val="-20"/>
                <w:kern w:val="0"/>
                <w:szCs w:val="21"/>
              </w:rPr>
              <w:t>远期</w:t>
            </w:r>
          </w:p>
        </w:tc>
        <w:tc>
          <w:tcPr>
            <w:tcW w:w="235" w:type="pct"/>
            <w:vMerge w:val="continue"/>
            <w:vAlign w:val="center"/>
          </w:tcPr>
          <w:p w14:paraId="12B4330C">
            <w:pPr>
              <w:widowControl/>
              <w:spacing w:line="240" w:lineRule="exact"/>
              <w:jc w:val="center"/>
              <w:rPr>
                <w:rFonts w:ascii="Times New Roman" w:hAnsi="Times New Roman" w:eastAsia="宋体" w:cs="Times New Roman"/>
                <w:b/>
                <w:spacing w:val="-20"/>
                <w:kern w:val="0"/>
                <w:szCs w:val="21"/>
              </w:rPr>
            </w:pPr>
          </w:p>
        </w:tc>
        <w:tc>
          <w:tcPr>
            <w:tcW w:w="426" w:type="pct"/>
            <w:vMerge w:val="continue"/>
            <w:vAlign w:val="center"/>
          </w:tcPr>
          <w:p w14:paraId="16B4AD60">
            <w:pPr>
              <w:widowControl/>
              <w:spacing w:line="240" w:lineRule="exact"/>
              <w:jc w:val="center"/>
              <w:rPr>
                <w:rFonts w:ascii="Times New Roman" w:hAnsi="Times New Roman" w:eastAsia="宋体" w:cs="Times New Roman"/>
                <w:b/>
                <w:spacing w:val="-20"/>
                <w:kern w:val="0"/>
                <w:szCs w:val="21"/>
              </w:rPr>
            </w:pPr>
          </w:p>
        </w:tc>
      </w:tr>
      <w:tr w14:paraId="668F1161">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182" w:type="pct"/>
            <w:vMerge w:val="continue"/>
            <w:vAlign w:val="center"/>
          </w:tcPr>
          <w:p w14:paraId="731857BA">
            <w:pPr>
              <w:widowControl/>
              <w:spacing w:line="240" w:lineRule="exact"/>
              <w:jc w:val="center"/>
              <w:rPr>
                <w:rFonts w:ascii="Times New Roman" w:hAnsi="Times New Roman" w:eastAsia="宋体" w:cs="Times New Roman"/>
                <w:b/>
                <w:spacing w:val="-20"/>
                <w:kern w:val="0"/>
                <w:szCs w:val="21"/>
              </w:rPr>
            </w:pPr>
          </w:p>
        </w:tc>
        <w:tc>
          <w:tcPr>
            <w:tcW w:w="504" w:type="pct"/>
            <w:vMerge w:val="continue"/>
            <w:vAlign w:val="center"/>
          </w:tcPr>
          <w:p w14:paraId="0C76AC57">
            <w:pPr>
              <w:widowControl/>
              <w:spacing w:line="240" w:lineRule="exact"/>
              <w:jc w:val="center"/>
              <w:rPr>
                <w:rFonts w:ascii="Times New Roman" w:hAnsi="Times New Roman" w:eastAsia="宋体" w:cs="Times New Roman"/>
                <w:b/>
                <w:spacing w:val="-20"/>
                <w:kern w:val="0"/>
                <w:szCs w:val="21"/>
              </w:rPr>
            </w:pPr>
          </w:p>
        </w:tc>
        <w:tc>
          <w:tcPr>
            <w:tcW w:w="252" w:type="pct"/>
            <w:vMerge w:val="continue"/>
            <w:vAlign w:val="center"/>
          </w:tcPr>
          <w:p w14:paraId="0544F746">
            <w:pPr>
              <w:widowControl/>
              <w:spacing w:line="240" w:lineRule="exact"/>
              <w:jc w:val="center"/>
              <w:rPr>
                <w:rFonts w:ascii="Times New Roman" w:hAnsi="Times New Roman" w:eastAsia="宋体" w:cs="Times New Roman"/>
                <w:b/>
                <w:spacing w:val="-20"/>
                <w:kern w:val="0"/>
                <w:szCs w:val="21"/>
              </w:rPr>
            </w:pPr>
          </w:p>
        </w:tc>
        <w:tc>
          <w:tcPr>
            <w:tcW w:w="303" w:type="pct"/>
            <w:vMerge w:val="continue"/>
            <w:vAlign w:val="center"/>
          </w:tcPr>
          <w:p w14:paraId="224A5D34">
            <w:pPr>
              <w:widowControl/>
              <w:spacing w:line="240" w:lineRule="exact"/>
              <w:jc w:val="center"/>
              <w:rPr>
                <w:rFonts w:ascii="Times New Roman" w:hAnsi="Times New Roman" w:eastAsia="宋体" w:cs="Times New Roman"/>
                <w:b/>
                <w:spacing w:val="-20"/>
                <w:kern w:val="0"/>
                <w:szCs w:val="21"/>
              </w:rPr>
            </w:pPr>
          </w:p>
        </w:tc>
        <w:tc>
          <w:tcPr>
            <w:tcW w:w="252" w:type="pct"/>
            <w:vMerge w:val="continue"/>
            <w:vAlign w:val="center"/>
          </w:tcPr>
          <w:p w14:paraId="30EEC745">
            <w:pPr>
              <w:widowControl/>
              <w:spacing w:line="240" w:lineRule="exact"/>
              <w:jc w:val="center"/>
              <w:rPr>
                <w:rFonts w:ascii="Times New Roman" w:hAnsi="Times New Roman" w:eastAsia="宋体" w:cs="Times New Roman"/>
                <w:b/>
                <w:spacing w:val="-20"/>
                <w:kern w:val="0"/>
                <w:szCs w:val="21"/>
              </w:rPr>
            </w:pPr>
          </w:p>
        </w:tc>
        <w:tc>
          <w:tcPr>
            <w:tcW w:w="353" w:type="pct"/>
            <w:vMerge w:val="continue"/>
            <w:vAlign w:val="center"/>
          </w:tcPr>
          <w:p w14:paraId="653690C9">
            <w:pPr>
              <w:widowControl/>
              <w:spacing w:line="240" w:lineRule="exact"/>
              <w:jc w:val="center"/>
              <w:rPr>
                <w:rFonts w:ascii="Times New Roman" w:hAnsi="Times New Roman" w:eastAsia="宋体" w:cs="Times New Roman"/>
                <w:b/>
                <w:spacing w:val="-20"/>
                <w:kern w:val="0"/>
                <w:szCs w:val="21"/>
              </w:rPr>
            </w:pPr>
          </w:p>
        </w:tc>
        <w:tc>
          <w:tcPr>
            <w:tcW w:w="252" w:type="pct"/>
            <w:vMerge w:val="continue"/>
            <w:vAlign w:val="center"/>
          </w:tcPr>
          <w:p w14:paraId="238D5768">
            <w:pPr>
              <w:widowControl/>
              <w:spacing w:line="240" w:lineRule="exact"/>
              <w:jc w:val="center"/>
              <w:rPr>
                <w:rFonts w:ascii="Times New Roman" w:hAnsi="Times New Roman" w:eastAsia="宋体" w:cs="Times New Roman"/>
                <w:b/>
                <w:spacing w:val="-20"/>
                <w:kern w:val="0"/>
                <w:szCs w:val="21"/>
              </w:rPr>
            </w:pPr>
          </w:p>
        </w:tc>
        <w:tc>
          <w:tcPr>
            <w:tcW w:w="372" w:type="pct"/>
            <w:shd w:val="clear" w:color="auto" w:fill="auto"/>
            <w:vAlign w:val="center"/>
          </w:tcPr>
          <w:p w14:paraId="3347C1F8">
            <w:pPr>
              <w:widowControl/>
              <w:spacing w:line="240" w:lineRule="exact"/>
              <w:jc w:val="center"/>
              <w:rPr>
                <w:rFonts w:ascii="Times New Roman" w:hAnsi="Times New Roman" w:eastAsia="宋体" w:cs="Times New Roman"/>
                <w:b/>
                <w:spacing w:val="-20"/>
                <w:kern w:val="0"/>
                <w:szCs w:val="21"/>
              </w:rPr>
            </w:pPr>
            <w:r>
              <w:rPr>
                <w:rFonts w:hint="eastAsia" w:ascii="宋体" w:hAnsi="宋体" w:eastAsia="宋体" w:cs="Times New Roman"/>
                <w:b/>
                <w:spacing w:val="-20"/>
                <w:kern w:val="0"/>
                <w:szCs w:val="21"/>
              </w:rPr>
              <w:t>昼间</w:t>
            </w:r>
          </w:p>
        </w:tc>
        <w:tc>
          <w:tcPr>
            <w:tcW w:w="373" w:type="pct"/>
            <w:shd w:val="clear" w:color="auto" w:fill="auto"/>
            <w:vAlign w:val="center"/>
          </w:tcPr>
          <w:p w14:paraId="1945EF52">
            <w:pPr>
              <w:widowControl/>
              <w:spacing w:line="240" w:lineRule="exact"/>
              <w:jc w:val="center"/>
              <w:rPr>
                <w:rFonts w:ascii="Times New Roman" w:hAnsi="Times New Roman" w:eastAsia="宋体" w:cs="Times New Roman"/>
                <w:b/>
                <w:spacing w:val="-20"/>
                <w:kern w:val="0"/>
                <w:szCs w:val="21"/>
              </w:rPr>
            </w:pPr>
            <w:r>
              <w:rPr>
                <w:rFonts w:hint="eastAsia" w:ascii="宋体" w:hAnsi="宋体" w:eastAsia="宋体" w:cs="Times New Roman"/>
                <w:b/>
                <w:spacing w:val="-20"/>
                <w:kern w:val="0"/>
                <w:szCs w:val="21"/>
              </w:rPr>
              <w:t>夜间</w:t>
            </w:r>
          </w:p>
        </w:tc>
        <w:tc>
          <w:tcPr>
            <w:tcW w:w="373" w:type="pct"/>
            <w:shd w:val="clear" w:color="auto" w:fill="auto"/>
            <w:vAlign w:val="center"/>
          </w:tcPr>
          <w:p w14:paraId="6A3E10DF">
            <w:pPr>
              <w:widowControl/>
              <w:spacing w:line="240" w:lineRule="exact"/>
              <w:jc w:val="center"/>
              <w:rPr>
                <w:rFonts w:ascii="Times New Roman" w:hAnsi="Times New Roman" w:eastAsia="宋体" w:cs="Times New Roman"/>
                <w:b/>
                <w:spacing w:val="-20"/>
                <w:kern w:val="0"/>
                <w:szCs w:val="21"/>
              </w:rPr>
            </w:pPr>
            <w:r>
              <w:rPr>
                <w:rFonts w:hint="eastAsia" w:ascii="宋体" w:hAnsi="宋体" w:eastAsia="宋体" w:cs="Times New Roman"/>
                <w:b/>
                <w:spacing w:val="-20"/>
                <w:kern w:val="0"/>
                <w:szCs w:val="21"/>
              </w:rPr>
              <w:t>昼间</w:t>
            </w:r>
          </w:p>
        </w:tc>
        <w:tc>
          <w:tcPr>
            <w:tcW w:w="372" w:type="pct"/>
            <w:shd w:val="clear" w:color="auto" w:fill="auto"/>
            <w:vAlign w:val="center"/>
          </w:tcPr>
          <w:p w14:paraId="167C5814">
            <w:pPr>
              <w:widowControl/>
              <w:spacing w:line="240" w:lineRule="exact"/>
              <w:jc w:val="center"/>
              <w:rPr>
                <w:rFonts w:ascii="Times New Roman" w:hAnsi="Times New Roman" w:eastAsia="宋体" w:cs="Times New Roman"/>
                <w:b/>
                <w:spacing w:val="-20"/>
                <w:kern w:val="0"/>
                <w:szCs w:val="21"/>
              </w:rPr>
            </w:pPr>
            <w:r>
              <w:rPr>
                <w:rFonts w:hint="eastAsia" w:ascii="宋体" w:hAnsi="宋体" w:eastAsia="宋体" w:cs="Times New Roman"/>
                <w:b/>
                <w:spacing w:val="-20"/>
                <w:kern w:val="0"/>
                <w:szCs w:val="21"/>
              </w:rPr>
              <w:t>夜间</w:t>
            </w:r>
          </w:p>
        </w:tc>
        <w:tc>
          <w:tcPr>
            <w:tcW w:w="373" w:type="pct"/>
            <w:shd w:val="clear" w:color="auto" w:fill="auto"/>
            <w:vAlign w:val="center"/>
          </w:tcPr>
          <w:p w14:paraId="5732C71A">
            <w:pPr>
              <w:widowControl/>
              <w:spacing w:line="240" w:lineRule="exact"/>
              <w:jc w:val="center"/>
              <w:rPr>
                <w:rFonts w:ascii="Times New Roman" w:hAnsi="Times New Roman" w:eastAsia="宋体" w:cs="Times New Roman"/>
                <w:b/>
                <w:spacing w:val="-20"/>
                <w:kern w:val="0"/>
                <w:szCs w:val="21"/>
              </w:rPr>
            </w:pPr>
            <w:r>
              <w:rPr>
                <w:rFonts w:hint="eastAsia" w:ascii="宋体" w:hAnsi="宋体" w:eastAsia="宋体" w:cs="Times New Roman"/>
                <w:b/>
                <w:spacing w:val="-20"/>
                <w:kern w:val="0"/>
                <w:szCs w:val="21"/>
              </w:rPr>
              <w:t>昼间</w:t>
            </w:r>
          </w:p>
        </w:tc>
        <w:tc>
          <w:tcPr>
            <w:tcW w:w="378" w:type="pct"/>
            <w:shd w:val="clear" w:color="auto" w:fill="auto"/>
            <w:vAlign w:val="center"/>
          </w:tcPr>
          <w:p w14:paraId="20A8590F">
            <w:pPr>
              <w:widowControl/>
              <w:spacing w:line="240" w:lineRule="exact"/>
              <w:jc w:val="center"/>
              <w:rPr>
                <w:rFonts w:ascii="Times New Roman" w:hAnsi="Times New Roman" w:eastAsia="宋体" w:cs="Times New Roman"/>
                <w:b/>
                <w:spacing w:val="-20"/>
                <w:kern w:val="0"/>
                <w:szCs w:val="21"/>
              </w:rPr>
            </w:pPr>
            <w:r>
              <w:rPr>
                <w:rFonts w:hint="eastAsia" w:ascii="宋体" w:hAnsi="宋体" w:eastAsia="宋体" w:cs="Times New Roman"/>
                <w:b/>
                <w:spacing w:val="-20"/>
                <w:kern w:val="0"/>
                <w:szCs w:val="21"/>
              </w:rPr>
              <w:t>夜间</w:t>
            </w:r>
          </w:p>
        </w:tc>
        <w:tc>
          <w:tcPr>
            <w:tcW w:w="235" w:type="pct"/>
            <w:vMerge w:val="continue"/>
            <w:vAlign w:val="center"/>
          </w:tcPr>
          <w:p w14:paraId="2B95B9F4">
            <w:pPr>
              <w:widowControl/>
              <w:spacing w:line="240" w:lineRule="exact"/>
              <w:jc w:val="center"/>
              <w:rPr>
                <w:rFonts w:ascii="Times New Roman" w:hAnsi="Times New Roman" w:eastAsia="宋体" w:cs="Times New Roman"/>
                <w:b/>
                <w:spacing w:val="-20"/>
                <w:kern w:val="0"/>
                <w:szCs w:val="21"/>
              </w:rPr>
            </w:pPr>
          </w:p>
        </w:tc>
        <w:tc>
          <w:tcPr>
            <w:tcW w:w="426" w:type="pct"/>
            <w:vMerge w:val="continue"/>
            <w:vAlign w:val="center"/>
          </w:tcPr>
          <w:p w14:paraId="1A7D53DE">
            <w:pPr>
              <w:widowControl/>
              <w:spacing w:line="240" w:lineRule="exact"/>
              <w:jc w:val="center"/>
              <w:rPr>
                <w:rFonts w:ascii="Times New Roman" w:hAnsi="Times New Roman" w:eastAsia="宋体" w:cs="Times New Roman"/>
                <w:b/>
                <w:spacing w:val="-20"/>
                <w:kern w:val="0"/>
                <w:szCs w:val="21"/>
              </w:rPr>
            </w:pPr>
          </w:p>
        </w:tc>
      </w:tr>
      <w:tr w14:paraId="54856AC1">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182" w:type="pct"/>
            <w:vMerge w:val="restart"/>
            <w:shd w:val="clear" w:color="auto" w:fill="auto"/>
            <w:vAlign w:val="center"/>
          </w:tcPr>
          <w:p w14:paraId="32BFCEEF">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11</w:t>
            </w:r>
          </w:p>
        </w:tc>
        <w:tc>
          <w:tcPr>
            <w:tcW w:w="504" w:type="pct"/>
            <w:vMerge w:val="restart"/>
            <w:shd w:val="clear" w:color="auto" w:fill="auto"/>
            <w:vAlign w:val="center"/>
          </w:tcPr>
          <w:p w14:paraId="47E0DA5C">
            <w:pPr>
              <w:widowControl/>
              <w:spacing w:line="240" w:lineRule="exact"/>
              <w:jc w:val="center"/>
              <w:rPr>
                <w:rFonts w:ascii="Times New Roman" w:hAnsi="Times New Roman" w:eastAsia="宋体" w:cs="Times New Roman"/>
                <w:kern w:val="0"/>
                <w:szCs w:val="21"/>
              </w:rPr>
            </w:pPr>
            <w:r>
              <w:rPr>
                <w:rFonts w:hint="eastAsia" w:ascii="宋体" w:hAnsi="宋体" w:eastAsia="宋体" w:cs="Times New Roman"/>
                <w:kern w:val="0"/>
                <w:szCs w:val="21"/>
              </w:rPr>
              <w:t>夏合亚迪村</w:t>
            </w:r>
          </w:p>
        </w:tc>
        <w:tc>
          <w:tcPr>
            <w:tcW w:w="252" w:type="pct"/>
            <w:vMerge w:val="restart"/>
            <w:shd w:val="clear" w:color="auto" w:fill="auto"/>
            <w:vAlign w:val="center"/>
          </w:tcPr>
          <w:p w14:paraId="5307D634">
            <w:pPr>
              <w:widowControl/>
              <w:spacing w:line="240" w:lineRule="exact"/>
              <w:jc w:val="center"/>
              <w:rPr>
                <w:rFonts w:ascii="Times New Roman" w:hAnsi="Times New Roman" w:eastAsia="宋体" w:cs="Times New Roman"/>
                <w:kern w:val="0"/>
                <w:szCs w:val="21"/>
              </w:rPr>
            </w:pPr>
            <w:r>
              <w:rPr>
                <w:rFonts w:hint="eastAsia" w:ascii="宋体" w:hAnsi="宋体" w:eastAsia="宋体" w:cs="Times New Roman"/>
                <w:kern w:val="0"/>
                <w:szCs w:val="21"/>
              </w:rPr>
              <w:t>路右</w:t>
            </w:r>
          </w:p>
        </w:tc>
        <w:tc>
          <w:tcPr>
            <w:tcW w:w="303" w:type="pct"/>
            <w:shd w:val="clear" w:color="auto" w:fill="auto"/>
            <w:vAlign w:val="center"/>
          </w:tcPr>
          <w:p w14:paraId="4477113E">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43</w:t>
            </w:r>
          </w:p>
        </w:tc>
        <w:tc>
          <w:tcPr>
            <w:tcW w:w="252" w:type="pct"/>
            <w:vMerge w:val="restart"/>
            <w:shd w:val="clear" w:color="auto" w:fill="auto"/>
            <w:vAlign w:val="center"/>
          </w:tcPr>
          <w:p w14:paraId="09715D6B">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w:t>
            </w:r>
          </w:p>
        </w:tc>
        <w:tc>
          <w:tcPr>
            <w:tcW w:w="353" w:type="pct"/>
            <w:vMerge w:val="restart"/>
            <w:shd w:val="clear" w:color="auto" w:fill="auto"/>
            <w:vAlign w:val="center"/>
          </w:tcPr>
          <w:p w14:paraId="5C1D3C24">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0</w:t>
            </w:r>
          </w:p>
        </w:tc>
        <w:tc>
          <w:tcPr>
            <w:tcW w:w="252" w:type="pct"/>
            <w:vMerge w:val="restart"/>
            <w:shd w:val="clear" w:color="auto" w:fill="auto"/>
            <w:vAlign w:val="center"/>
          </w:tcPr>
          <w:p w14:paraId="6DBE92DC">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w:t>
            </w:r>
            <w:r>
              <w:rPr>
                <w:rFonts w:hint="eastAsia" w:ascii="宋体" w:hAnsi="宋体" w:eastAsia="宋体" w:cs="Times New Roman"/>
                <w:kern w:val="0"/>
                <w:szCs w:val="21"/>
              </w:rPr>
              <w:t>层</w:t>
            </w:r>
          </w:p>
        </w:tc>
        <w:tc>
          <w:tcPr>
            <w:tcW w:w="372" w:type="pct"/>
            <w:shd w:val="clear" w:color="auto" w:fill="auto"/>
            <w:vAlign w:val="center"/>
          </w:tcPr>
          <w:p w14:paraId="792F8F35">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3" w:type="pct"/>
            <w:shd w:val="clear" w:color="auto" w:fill="auto"/>
            <w:vAlign w:val="center"/>
          </w:tcPr>
          <w:p w14:paraId="71449AD1">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0.4</w:t>
            </w:r>
          </w:p>
        </w:tc>
        <w:tc>
          <w:tcPr>
            <w:tcW w:w="373" w:type="pct"/>
            <w:shd w:val="clear" w:color="auto" w:fill="auto"/>
            <w:vAlign w:val="center"/>
          </w:tcPr>
          <w:p w14:paraId="6F3B28AE">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2" w:type="pct"/>
            <w:shd w:val="clear" w:color="auto" w:fill="auto"/>
            <w:vAlign w:val="center"/>
          </w:tcPr>
          <w:p w14:paraId="60BA384C">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1.2</w:t>
            </w:r>
          </w:p>
        </w:tc>
        <w:tc>
          <w:tcPr>
            <w:tcW w:w="373" w:type="pct"/>
            <w:shd w:val="clear" w:color="auto" w:fill="auto"/>
            <w:vAlign w:val="center"/>
          </w:tcPr>
          <w:p w14:paraId="48E8807C">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8" w:type="pct"/>
            <w:shd w:val="clear" w:color="auto" w:fill="auto"/>
            <w:vAlign w:val="center"/>
          </w:tcPr>
          <w:p w14:paraId="6AE4817C">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1.9</w:t>
            </w:r>
          </w:p>
        </w:tc>
        <w:tc>
          <w:tcPr>
            <w:tcW w:w="235" w:type="pct"/>
            <w:shd w:val="clear" w:color="auto" w:fill="auto"/>
            <w:vAlign w:val="center"/>
          </w:tcPr>
          <w:p w14:paraId="3F15D92D">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4a</w:t>
            </w:r>
            <w:r>
              <w:rPr>
                <w:rFonts w:hint="eastAsia" w:ascii="宋体" w:hAnsi="宋体" w:eastAsia="宋体" w:cs="Times New Roman"/>
                <w:kern w:val="0"/>
                <w:szCs w:val="21"/>
              </w:rPr>
              <w:t>类</w:t>
            </w:r>
          </w:p>
        </w:tc>
        <w:tc>
          <w:tcPr>
            <w:tcW w:w="426" w:type="pct"/>
            <w:shd w:val="clear" w:color="auto" w:fill="auto"/>
            <w:vAlign w:val="center"/>
          </w:tcPr>
          <w:p w14:paraId="2F4661D6">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w:t>
            </w:r>
          </w:p>
        </w:tc>
      </w:tr>
      <w:tr w14:paraId="3F9B3210">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182" w:type="pct"/>
            <w:vMerge w:val="continue"/>
            <w:vAlign w:val="center"/>
          </w:tcPr>
          <w:p w14:paraId="0DC2630E">
            <w:pPr>
              <w:widowControl/>
              <w:spacing w:line="240" w:lineRule="exact"/>
              <w:jc w:val="center"/>
              <w:rPr>
                <w:rFonts w:ascii="Times New Roman" w:hAnsi="Times New Roman" w:eastAsia="宋体" w:cs="Times New Roman"/>
                <w:kern w:val="0"/>
                <w:szCs w:val="21"/>
              </w:rPr>
            </w:pPr>
          </w:p>
        </w:tc>
        <w:tc>
          <w:tcPr>
            <w:tcW w:w="504" w:type="pct"/>
            <w:vMerge w:val="continue"/>
            <w:vAlign w:val="center"/>
          </w:tcPr>
          <w:p w14:paraId="217780F0">
            <w:pPr>
              <w:widowControl/>
              <w:spacing w:line="240" w:lineRule="exact"/>
              <w:jc w:val="center"/>
              <w:rPr>
                <w:rFonts w:ascii="Times New Roman" w:hAnsi="Times New Roman" w:eastAsia="宋体" w:cs="Times New Roman"/>
                <w:kern w:val="0"/>
                <w:szCs w:val="21"/>
              </w:rPr>
            </w:pPr>
          </w:p>
        </w:tc>
        <w:tc>
          <w:tcPr>
            <w:tcW w:w="252" w:type="pct"/>
            <w:vMerge w:val="continue"/>
            <w:vAlign w:val="center"/>
          </w:tcPr>
          <w:p w14:paraId="3DA64122">
            <w:pPr>
              <w:widowControl/>
              <w:spacing w:line="240" w:lineRule="exact"/>
              <w:jc w:val="center"/>
              <w:rPr>
                <w:rFonts w:ascii="Times New Roman" w:hAnsi="Times New Roman" w:eastAsia="宋体" w:cs="Times New Roman"/>
                <w:kern w:val="0"/>
                <w:szCs w:val="21"/>
              </w:rPr>
            </w:pPr>
          </w:p>
        </w:tc>
        <w:tc>
          <w:tcPr>
            <w:tcW w:w="303" w:type="pct"/>
            <w:shd w:val="clear" w:color="auto" w:fill="auto"/>
            <w:vAlign w:val="center"/>
          </w:tcPr>
          <w:p w14:paraId="2D44C4A6">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60</w:t>
            </w:r>
          </w:p>
        </w:tc>
        <w:tc>
          <w:tcPr>
            <w:tcW w:w="252" w:type="pct"/>
            <w:vMerge w:val="continue"/>
            <w:vAlign w:val="center"/>
          </w:tcPr>
          <w:p w14:paraId="53008CE1">
            <w:pPr>
              <w:widowControl/>
              <w:spacing w:line="240" w:lineRule="exact"/>
              <w:jc w:val="center"/>
              <w:rPr>
                <w:rFonts w:ascii="Times New Roman" w:hAnsi="Times New Roman" w:eastAsia="宋体" w:cs="Times New Roman"/>
                <w:kern w:val="0"/>
                <w:szCs w:val="21"/>
              </w:rPr>
            </w:pPr>
          </w:p>
        </w:tc>
        <w:tc>
          <w:tcPr>
            <w:tcW w:w="353" w:type="pct"/>
            <w:vMerge w:val="continue"/>
            <w:vAlign w:val="center"/>
          </w:tcPr>
          <w:p w14:paraId="5EA84322">
            <w:pPr>
              <w:widowControl/>
              <w:spacing w:line="240" w:lineRule="exact"/>
              <w:jc w:val="center"/>
              <w:rPr>
                <w:rFonts w:ascii="Times New Roman" w:hAnsi="Times New Roman" w:eastAsia="宋体" w:cs="Times New Roman"/>
                <w:kern w:val="0"/>
                <w:szCs w:val="21"/>
              </w:rPr>
            </w:pPr>
          </w:p>
        </w:tc>
        <w:tc>
          <w:tcPr>
            <w:tcW w:w="252" w:type="pct"/>
            <w:vMerge w:val="continue"/>
            <w:vAlign w:val="center"/>
          </w:tcPr>
          <w:p w14:paraId="779D3303">
            <w:pPr>
              <w:widowControl/>
              <w:spacing w:line="240" w:lineRule="exact"/>
              <w:jc w:val="center"/>
              <w:rPr>
                <w:rFonts w:ascii="Times New Roman" w:hAnsi="Times New Roman" w:eastAsia="宋体" w:cs="Times New Roman"/>
                <w:kern w:val="0"/>
                <w:szCs w:val="21"/>
              </w:rPr>
            </w:pPr>
          </w:p>
        </w:tc>
        <w:tc>
          <w:tcPr>
            <w:tcW w:w="372" w:type="pct"/>
            <w:shd w:val="clear" w:color="auto" w:fill="auto"/>
            <w:vAlign w:val="center"/>
          </w:tcPr>
          <w:p w14:paraId="0E4467DE">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3" w:type="pct"/>
            <w:shd w:val="clear" w:color="auto" w:fill="auto"/>
            <w:vAlign w:val="center"/>
          </w:tcPr>
          <w:p w14:paraId="40BC7C17">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3.6</w:t>
            </w:r>
          </w:p>
        </w:tc>
        <w:tc>
          <w:tcPr>
            <w:tcW w:w="373" w:type="pct"/>
            <w:shd w:val="clear" w:color="auto" w:fill="auto"/>
            <w:vAlign w:val="center"/>
          </w:tcPr>
          <w:p w14:paraId="35A32133">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2" w:type="pct"/>
            <w:shd w:val="clear" w:color="auto" w:fill="auto"/>
            <w:vAlign w:val="center"/>
          </w:tcPr>
          <w:p w14:paraId="5E3A3B5B">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4.4</w:t>
            </w:r>
          </w:p>
        </w:tc>
        <w:tc>
          <w:tcPr>
            <w:tcW w:w="373" w:type="pct"/>
            <w:shd w:val="clear" w:color="auto" w:fill="auto"/>
            <w:vAlign w:val="center"/>
          </w:tcPr>
          <w:p w14:paraId="100E2E6A">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8" w:type="pct"/>
            <w:shd w:val="clear" w:color="auto" w:fill="auto"/>
            <w:vAlign w:val="center"/>
          </w:tcPr>
          <w:p w14:paraId="3A2B1989">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5.1</w:t>
            </w:r>
          </w:p>
        </w:tc>
        <w:tc>
          <w:tcPr>
            <w:tcW w:w="235" w:type="pct"/>
            <w:shd w:val="clear" w:color="auto" w:fill="auto"/>
            <w:vAlign w:val="center"/>
          </w:tcPr>
          <w:p w14:paraId="210BB24B">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w:t>
            </w:r>
            <w:r>
              <w:rPr>
                <w:rFonts w:hint="eastAsia" w:ascii="宋体" w:hAnsi="宋体" w:eastAsia="宋体" w:cs="Times New Roman"/>
                <w:kern w:val="0"/>
                <w:szCs w:val="21"/>
              </w:rPr>
              <w:t>类</w:t>
            </w:r>
          </w:p>
        </w:tc>
        <w:tc>
          <w:tcPr>
            <w:tcW w:w="426" w:type="pct"/>
            <w:shd w:val="clear" w:color="auto" w:fill="auto"/>
            <w:vAlign w:val="center"/>
          </w:tcPr>
          <w:p w14:paraId="56CF1D22">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w:t>
            </w:r>
          </w:p>
        </w:tc>
      </w:tr>
      <w:tr w14:paraId="0B8BDE90">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182" w:type="pct"/>
            <w:vMerge w:val="continue"/>
            <w:vAlign w:val="center"/>
          </w:tcPr>
          <w:p w14:paraId="6FAE9607">
            <w:pPr>
              <w:widowControl/>
              <w:spacing w:line="240" w:lineRule="exact"/>
              <w:jc w:val="center"/>
              <w:rPr>
                <w:rFonts w:ascii="Times New Roman" w:hAnsi="Times New Roman" w:eastAsia="宋体" w:cs="Times New Roman"/>
                <w:kern w:val="0"/>
                <w:szCs w:val="21"/>
              </w:rPr>
            </w:pPr>
          </w:p>
        </w:tc>
        <w:tc>
          <w:tcPr>
            <w:tcW w:w="504" w:type="pct"/>
            <w:vMerge w:val="continue"/>
            <w:vAlign w:val="center"/>
          </w:tcPr>
          <w:p w14:paraId="53D97CB2">
            <w:pPr>
              <w:widowControl/>
              <w:spacing w:line="240" w:lineRule="exact"/>
              <w:jc w:val="center"/>
              <w:rPr>
                <w:rFonts w:ascii="Times New Roman" w:hAnsi="Times New Roman" w:eastAsia="宋体" w:cs="Times New Roman"/>
                <w:kern w:val="0"/>
                <w:szCs w:val="21"/>
              </w:rPr>
            </w:pPr>
          </w:p>
        </w:tc>
        <w:tc>
          <w:tcPr>
            <w:tcW w:w="252" w:type="pct"/>
            <w:vMerge w:val="restart"/>
            <w:shd w:val="clear" w:color="auto" w:fill="auto"/>
            <w:vAlign w:val="center"/>
          </w:tcPr>
          <w:p w14:paraId="779A525F">
            <w:pPr>
              <w:widowControl/>
              <w:spacing w:line="240" w:lineRule="exact"/>
              <w:jc w:val="center"/>
              <w:rPr>
                <w:rFonts w:ascii="Times New Roman" w:hAnsi="Times New Roman" w:eastAsia="宋体" w:cs="Times New Roman"/>
                <w:kern w:val="0"/>
                <w:szCs w:val="21"/>
              </w:rPr>
            </w:pPr>
            <w:r>
              <w:rPr>
                <w:rFonts w:hint="eastAsia" w:ascii="宋体" w:hAnsi="宋体" w:eastAsia="宋体" w:cs="Times New Roman"/>
                <w:kern w:val="0"/>
                <w:szCs w:val="21"/>
              </w:rPr>
              <w:t>两侧</w:t>
            </w:r>
          </w:p>
        </w:tc>
        <w:tc>
          <w:tcPr>
            <w:tcW w:w="303" w:type="pct"/>
            <w:shd w:val="clear" w:color="auto" w:fill="auto"/>
            <w:vAlign w:val="center"/>
          </w:tcPr>
          <w:p w14:paraId="3BF6985F">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25</w:t>
            </w:r>
          </w:p>
        </w:tc>
        <w:tc>
          <w:tcPr>
            <w:tcW w:w="252" w:type="pct"/>
            <w:vMerge w:val="continue"/>
            <w:vAlign w:val="center"/>
          </w:tcPr>
          <w:p w14:paraId="79078CAF">
            <w:pPr>
              <w:widowControl/>
              <w:spacing w:line="240" w:lineRule="exact"/>
              <w:jc w:val="center"/>
              <w:rPr>
                <w:rFonts w:ascii="Times New Roman" w:hAnsi="Times New Roman" w:eastAsia="宋体" w:cs="Times New Roman"/>
                <w:kern w:val="0"/>
                <w:szCs w:val="21"/>
              </w:rPr>
            </w:pPr>
          </w:p>
        </w:tc>
        <w:tc>
          <w:tcPr>
            <w:tcW w:w="353" w:type="pct"/>
            <w:vMerge w:val="continue"/>
            <w:vAlign w:val="center"/>
          </w:tcPr>
          <w:p w14:paraId="260FC9A5">
            <w:pPr>
              <w:widowControl/>
              <w:spacing w:line="240" w:lineRule="exact"/>
              <w:jc w:val="center"/>
              <w:rPr>
                <w:rFonts w:ascii="Times New Roman" w:hAnsi="Times New Roman" w:eastAsia="宋体" w:cs="Times New Roman"/>
                <w:kern w:val="0"/>
                <w:szCs w:val="21"/>
              </w:rPr>
            </w:pPr>
          </w:p>
        </w:tc>
        <w:tc>
          <w:tcPr>
            <w:tcW w:w="252" w:type="pct"/>
            <w:vMerge w:val="continue"/>
            <w:vAlign w:val="center"/>
          </w:tcPr>
          <w:p w14:paraId="2156FB7D">
            <w:pPr>
              <w:widowControl/>
              <w:spacing w:line="240" w:lineRule="exact"/>
              <w:jc w:val="center"/>
              <w:rPr>
                <w:rFonts w:ascii="Times New Roman" w:hAnsi="Times New Roman" w:eastAsia="宋体" w:cs="Times New Roman"/>
                <w:kern w:val="0"/>
                <w:szCs w:val="21"/>
              </w:rPr>
            </w:pPr>
          </w:p>
        </w:tc>
        <w:tc>
          <w:tcPr>
            <w:tcW w:w="372" w:type="pct"/>
            <w:shd w:val="clear" w:color="auto" w:fill="auto"/>
            <w:vAlign w:val="center"/>
          </w:tcPr>
          <w:p w14:paraId="0833DDAA">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3" w:type="pct"/>
            <w:shd w:val="clear" w:color="auto" w:fill="auto"/>
            <w:vAlign w:val="center"/>
          </w:tcPr>
          <w:p w14:paraId="6B334366">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3.2</w:t>
            </w:r>
          </w:p>
        </w:tc>
        <w:tc>
          <w:tcPr>
            <w:tcW w:w="373" w:type="pct"/>
            <w:shd w:val="clear" w:color="auto" w:fill="auto"/>
            <w:vAlign w:val="center"/>
          </w:tcPr>
          <w:p w14:paraId="7FC0F5C8">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2" w:type="pct"/>
            <w:shd w:val="clear" w:color="auto" w:fill="auto"/>
            <w:vAlign w:val="center"/>
          </w:tcPr>
          <w:p w14:paraId="68791FBB">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4.0</w:t>
            </w:r>
          </w:p>
        </w:tc>
        <w:tc>
          <w:tcPr>
            <w:tcW w:w="373" w:type="pct"/>
            <w:shd w:val="clear" w:color="auto" w:fill="auto"/>
            <w:vAlign w:val="center"/>
          </w:tcPr>
          <w:p w14:paraId="5DBDF6A3">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8" w:type="pct"/>
            <w:shd w:val="clear" w:color="auto" w:fill="auto"/>
            <w:vAlign w:val="center"/>
          </w:tcPr>
          <w:p w14:paraId="18761936">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4.7</w:t>
            </w:r>
          </w:p>
        </w:tc>
        <w:tc>
          <w:tcPr>
            <w:tcW w:w="235" w:type="pct"/>
            <w:shd w:val="clear" w:color="auto" w:fill="auto"/>
            <w:vAlign w:val="center"/>
          </w:tcPr>
          <w:p w14:paraId="57B95013">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4a</w:t>
            </w:r>
            <w:r>
              <w:rPr>
                <w:rFonts w:hint="eastAsia" w:ascii="宋体" w:hAnsi="宋体" w:eastAsia="宋体" w:cs="Times New Roman"/>
                <w:kern w:val="0"/>
                <w:szCs w:val="21"/>
              </w:rPr>
              <w:t>类</w:t>
            </w:r>
          </w:p>
        </w:tc>
        <w:tc>
          <w:tcPr>
            <w:tcW w:w="426" w:type="pct"/>
            <w:shd w:val="clear" w:color="auto" w:fill="auto"/>
            <w:vAlign w:val="center"/>
          </w:tcPr>
          <w:p w14:paraId="1BD2E158">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40</w:t>
            </w:r>
          </w:p>
        </w:tc>
      </w:tr>
      <w:tr w14:paraId="4E3866B5">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182" w:type="pct"/>
            <w:vMerge w:val="continue"/>
            <w:vAlign w:val="center"/>
          </w:tcPr>
          <w:p w14:paraId="24AE6F86">
            <w:pPr>
              <w:widowControl/>
              <w:spacing w:line="240" w:lineRule="exact"/>
              <w:jc w:val="center"/>
              <w:rPr>
                <w:rFonts w:ascii="Times New Roman" w:hAnsi="Times New Roman" w:eastAsia="宋体" w:cs="Times New Roman"/>
                <w:kern w:val="0"/>
                <w:szCs w:val="21"/>
              </w:rPr>
            </w:pPr>
          </w:p>
        </w:tc>
        <w:tc>
          <w:tcPr>
            <w:tcW w:w="504" w:type="pct"/>
            <w:vMerge w:val="continue"/>
            <w:vAlign w:val="center"/>
          </w:tcPr>
          <w:p w14:paraId="267930BF">
            <w:pPr>
              <w:widowControl/>
              <w:spacing w:line="240" w:lineRule="exact"/>
              <w:jc w:val="center"/>
              <w:rPr>
                <w:rFonts w:ascii="Times New Roman" w:hAnsi="Times New Roman" w:eastAsia="宋体" w:cs="Times New Roman"/>
                <w:kern w:val="0"/>
                <w:szCs w:val="21"/>
              </w:rPr>
            </w:pPr>
          </w:p>
        </w:tc>
        <w:tc>
          <w:tcPr>
            <w:tcW w:w="252" w:type="pct"/>
            <w:vMerge w:val="continue"/>
            <w:vAlign w:val="center"/>
          </w:tcPr>
          <w:p w14:paraId="3EF411DE">
            <w:pPr>
              <w:widowControl/>
              <w:spacing w:line="240" w:lineRule="exact"/>
              <w:jc w:val="center"/>
              <w:rPr>
                <w:rFonts w:ascii="Times New Roman" w:hAnsi="Times New Roman" w:eastAsia="宋体" w:cs="Times New Roman"/>
                <w:kern w:val="0"/>
                <w:szCs w:val="21"/>
              </w:rPr>
            </w:pPr>
          </w:p>
        </w:tc>
        <w:tc>
          <w:tcPr>
            <w:tcW w:w="303" w:type="pct"/>
            <w:shd w:val="clear" w:color="auto" w:fill="auto"/>
            <w:vAlign w:val="center"/>
          </w:tcPr>
          <w:p w14:paraId="2511CD48">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55</w:t>
            </w:r>
          </w:p>
        </w:tc>
        <w:tc>
          <w:tcPr>
            <w:tcW w:w="252" w:type="pct"/>
            <w:vMerge w:val="continue"/>
            <w:vAlign w:val="center"/>
          </w:tcPr>
          <w:p w14:paraId="1AEAB602">
            <w:pPr>
              <w:widowControl/>
              <w:spacing w:line="240" w:lineRule="exact"/>
              <w:jc w:val="center"/>
              <w:rPr>
                <w:rFonts w:ascii="Times New Roman" w:hAnsi="Times New Roman" w:eastAsia="宋体" w:cs="Times New Roman"/>
                <w:kern w:val="0"/>
                <w:szCs w:val="21"/>
              </w:rPr>
            </w:pPr>
          </w:p>
        </w:tc>
        <w:tc>
          <w:tcPr>
            <w:tcW w:w="353" w:type="pct"/>
            <w:vMerge w:val="continue"/>
            <w:vAlign w:val="center"/>
          </w:tcPr>
          <w:p w14:paraId="38AFBC11">
            <w:pPr>
              <w:widowControl/>
              <w:spacing w:line="240" w:lineRule="exact"/>
              <w:jc w:val="center"/>
              <w:rPr>
                <w:rFonts w:ascii="Times New Roman" w:hAnsi="Times New Roman" w:eastAsia="宋体" w:cs="Times New Roman"/>
                <w:kern w:val="0"/>
                <w:szCs w:val="21"/>
              </w:rPr>
            </w:pPr>
          </w:p>
        </w:tc>
        <w:tc>
          <w:tcPr>
            <w:tcW w:w="252" w:type="pct"/>
            <w:vMerge w:val="continue"/>
            <w:vAlign w:val="center"/>
          </w:tcPr>
          <w:p w14:paraId="0847419A">
            <w:pPr>
              <w:widowControl/>
              <w:spacing w:line="240" w:lineRule="exact"/>
              <w:jc w:val="center"/>
              <w:rPr>
                <w:rFonts w:ascii="Times New Roman" w:hAnsi="Times New Roman" w:eastAsia="宋体" w:cs="Times New Roman"/>
                <w:kern w:val="0"/>
                <w:szCs w:val="21"/>
              </w:rPr>
            </w:pPr>
          </w:p>
        </w:tc>
        <w:tc>
          <w:tcPr>
            <w:tcW w:w="372" w:type="pct"/>
            <w:shd w:val="clear" w:color="auto" w:fill="auto"/>
            <w:vAlign w:val="center"/>
          </w:tcPr>
          <w:p w14:paraId="261CC9EB">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3" w:type="pct"/>
            <w:shd w:val="clear" w:color="auto" w:fill="auto"/>
            <w:vAlign w:val="center"/>
          </w:tcPr>
          <w:p w14:paraId="0D66FCFE">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4.1</w:t>
            </w:r>
          </w:p>
        </w:tc>
        <w:tc>
          <w:tcPr>
            <w:tcW w:w="373" w:type="pct"/>
            <w:shd w:val="clear" w:color="auto" w:fill="auto"/>
            <w:vAlign w:val="center"/>
          </w:tcPr>
          <w:p w14:paraId="774C03DF">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2" w:type="pct"/>
            <w:shd w:val="clear" w:color="auto" w:fill="auto"/>
            <w:vAlign w:val="center"/>
          </w:tcPr>
          <w:p w14:paraId="4EA2235C">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4.9</w:t>
            </w:r>
          </w:p>
        </w:tc>
        <w:tc>
          <w:tcPr>
            <w:tcW w:w="373" w:type="pct"/>
            <w:shd w:val="clear" w:color="auto" w:fill="auto"/>
            <w:vAlign w:val="center"/>
          </w:tcPr>
          <w:p w14:paraId="249F33C6">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8" w:type="pct"/>
            <w:shd w:val="clear" w:color="auto" w:fill="auto"/>
            <w:vAlign w:val="center"/>
          </w:tcPr>
          <w:p w14:paraId="29F6FD71">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5.6</w:t>
            </w:r>
          </w:p>
        </w:tc>
        <w:tc>
          <w:tcPr>
            <w:tcW w:w="235" w:type="pct"/>
            <w:shd w:val="clear" w:color="auto" w:fill="auto"/>
            <w:vAlign w:val="center"/>
          </w:tcPr>
          <w:p w14:paraId="36A7110C">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w:t>
            </w:r>
            <w:r>
              <w:rPr>
                <w:rFonts w:hint="eastAsia" w:ascii="宋体" w:hAnsi="宋体" w:eastAsia="宋体" w:cs="Times New Roman"/>
                <w:kern w:val="0"/>
                <w:szCs w:val="21"/>
              </w:rPr>
              <w:t>类</w:t>
            </w:r>
          </w:p>
        </w:tc>
        <w:tc>
          <w:tcPr>
            <w:tcW w:w="426" w:type="pct"/>
            <w:shd w:val="clear" w:color="auto" w:fill="auto"/>
            <w:vAlign w:val="center"/>
          </w:tcPr>
          <w:p w14:paraId="446D67DD">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60</w:t>
            </w:r>
          </w:p>
        </w:tc>
      </w:tr>
      <w:tr w14:paraId="0D0F7B35">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182" w:type="pct"/>
            <w:shd w:val="clear" w:color="auto" w:fill="auto"/>
            <w:vAlign w:val="center"/>
          </w:tcPr>
          <w:p w14:paraId="4C9346E7">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12</w:t>
            </w:r>
          </w:p>
        </w:tc>
        <w:tc>
          <w:tcPr>
            <w:tcW w:w="504" w:type="pct"/>
            <w:shd w:val="clear" w:color="auto" w:fill="auto"/>
            <w:vAlign w:val="center"/>
          </w:tcPr>
          <w:p w14:paraId="21107407">
            <w:pPr>
              <w:widowControl/>
              <w:spacing w:line="240" w:lineRule="exact"/>
              <w:jc w:val="center"/>
              <w:rPr>
                <w:rFonts w:ascii="宋体" w:hAnsi="宋体" w:eastAsia="宋体" w:cs="宋体"/>
                <w:kern w:val="0"/>
                <w:szCs w:val="21"/>
              </w:rPr>
            </w:pPr>
            <w:r>
              <w:rPr>
                <w:rFonts w:hint="eastAsia" w:ascii="宋体" w:hAnsi="宋体" w:eastAsia="宋体" w:cs="宋体"/>
                <w:kern w:val="0"/>
                <w:szCs w:val="21"/>
              </w:rPr>
              <w:t>伽师县和夏阿瓦提镇夏合亚迪村幼儿园</w:t>
            </w:r>
          </w:p>
        </w:tc>
        <w:tc>
          <w:tcPr>
            <w:tcW w:w="252" w:type="pct"/>
            <w:shd w:val="clear" w:color="auto" w:fill="auto"/>
            <w:vAlign w:val="center"/>
          </w:tcPr>
          <w:p w14:paraId="30A80197">
            <w:pPr>
              <w:widowControl/>
              <w:spacing w:line="240" w:lineRule="exact"/>
              <w:jc w:val="center"/>
              <w:rPr>
                <w:rFonts w:ascii="Times New Roman" w:hAnsi="Times New Roman" w:eastAsia="宋体" w:cs="Times New Roman"/>
                <w:kern w:val="0"/>
                <w:szCs w:val="21"/>
              </w:rPr>
            </w:pPr>
            <w:r>
              <w:rPr>
                <w:rFonts w:hint="eastAsia" w:ascii="宋体" w:hAnsi="宋体" w:eastAsia="宋体" w:cs="Times New Roman"/>
                <w:kern w:val="0"/>
                <w:szCs w:val="21"/>
              </w:rPr>
              <w:t>路左</w:t>
            </w:r>
          </w:p>
        </w:tc>
        <w:tc>
          <w:tcPr>
            <w:tcW w:w="303" w:type="pct"/>
            <w:shd w:val="clear" w:color="auto" w:fill="auto"/>
            <w:vAlign w:val="center"/>
          </w:tcPr>
          <w:p w14:paraId="77DFA3E3">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72</w:t>
            </w:r>
          </w:p>
        </w:tc>
        <w:tc>
          <w:tcPr>
            <w:tcW w:w="252" w:type="pct"/>
            <w:shd w:val="clear" w:color="auto" w:fill="auto"/>
            <w:vAlign w:val="center"/>
          </w:tcPr>
          <w:p w14:paraId="2D0B3DD2">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3</w:t>
            </w:r>
          </w:p>
        </w:tc>
        <w:tc>
          <w:tcPr>
            <w:tcW w:w="353" w:type="pct"/>
            <w:shd w:val="clear" w:color="auto" w:fill="auto"/>
            <w:vAlign w:val="center"/>
          </w:tcPr>
          <w:p w14:paraId="5B61BA9A">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w:t>
            </w:r>
          </w:p>
        </w:tc>
        <w:tc>
          <w:tcPr>
            <w:tcW w:w="252" w:type="pct"/>
            <w:shd w:val="clear" w:color="auto" w:fill="auto"/>
            <w:vAlign w:val="center"/>
          </w:tcPr>
          <w:p w14:paraId="62730BAF">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w:t>
            </w:r>
            <w:r>
              <w:rPr>
                <w:rFonts w:hint="eastAsia" w:ascii="宋体" w:hAnsi="宋体" w:eastAsia="宋体" w:cs="Times New Roman"/>
                <w:kern w:val="0"/>
                <w:szCs w:val="21"/>
              </w:rPr>
              <w:t>层</w:t>
            </w:r>
          </w:p>
        </w:tc>
        <w:tc>
          <w:tcPr>
            <w:tcW w:w="372" w:type="pct"/>
            <w:shd w:val="clear" w:color="auto" w:fill="auto"/>
            <w:vAlign w:val="center"/>
          </w:tcPr>
          <w:p w14:paraId="3B763C8C">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1.4</w:t>
            </w:r>
          </w:p>
        </w:tc>
        <w:tc>
          <w:tcPr>
            <w:tcW w:w="373" w:type="pct"/>
            <w:shd w:val="clear" w:color="auto" w:fill="auto"/>
            <w:vAlign w:val="center"/>
          </w:tcPr>
          <w:p w14:paraId="50682DB4">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3" w:type="pct"/>
            <w:shd w:val="clear" w:color="auto" w:fill="auto"/>
            <w:vAlign w:val="center"/>
          </w:tcPr>
          <w:p w14:paraId="233B812E">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2.2</w:t>
            </w:r>
          </w:p>
        </w:tc>
        <w:tc>
          <w:tcPr>
            <w:tcW w:w="372" w:type="pct"/>
            <w:shd w:val="clear" w:color="auto" w:fill="auto"/>
            <w:vAlign w:val="center"/>
          </w:tcPr>
          <w:p w14:paraId="5DC2D480">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3" w:type="pct"/>
            <w:shd w:val="clear" w:color="auto" w:fill="auto"/>
            <w:vAlign w:val="center"/>
          </w:tcPr>
          <w:p w14:paraId="4ECEE714">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1.1</w:t>
            </w:r>
          </w:p>
        </w:tc>
        <w:tc>
          <w:tcPr>
            <w:tcW w:w="378" w:type="pct"/>
            <w:shd w:val="clear" w:color="auto" w:fill="auto"/>
            <w:vAlign w:val="center"/>
          </w:tcPr>
          <w:p w14:paraId="17B7DA3B">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235" w:type="pct"/>
            <w:shd w:val="clear" w:color="auto" w:fill="auto"/>
            <w:vAlign w:val="center"/>
          </w:tcPr>
          <w:p w14:paraId="5C7DD474">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w:t>
            </w:r>
            <w:r>
              <w:rPr>
                <w:rFonts w:hint="eastAsia" w:ascii="宋体" w:hAnsi="宋体" w:eastAsia="宋体" w:cs="Times New Roman"/>
                <w:kern w:val="0"/>
                <w:szCs w:val="21"/>
              </w:rPr>
              <w:t>类</w:t>
            </w:r>
          </w:p>
        </w:tc>
        <w:tc>
          <w:tcPr>
            <w:tcW w:w="426" w:type="pct"/>
            <w:shd w:val="clear" w:color="auto" w:fill="auto"/>
            <w:vAlign w:val="center"/>
          </w:tcPr>
          <w:p w14:paraId="5B9D7BE4">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w:t>
            </w:r>
            <w:r>
              <w:rPr>
                <w:rFonts w:hint="eastAsia" w:ascii="宋体" w:hAnsi="宋体" w:eastAsia="宋体" w:cs="Times New Roman"/>
                <w:kern w:val="0"/>
                <w:szCs w:val="21"/>
              </w:rPr>
              <w:t>栋</w:t>
            </w:r>
            <w:r>
              <w:rPr>
                <w:rFonts w:ascii="Times New Roman" w:hAnsi="Times New Roman" w:eastAsia="宋体" w:cs="Times New Roman"/>
                <w:kern w:val="0"/>
                <w:szCs w:val="21"/>
              </w:rPr>
              <w:t>2</w:t>
            </w:r>
            <w:r>
              <w:rPr>
                <w:rFonts w:hint="eastAsia" w:ascii="宋体" w:hAnsi="宋体" w:eastAsia="宋体" w:cs="Times New Roman"/>
                <w:kern w:val="0"/>
                <w:szCs w:val="21"/>
              </w:rPr>
              <w:t>层楼</w:t>
            </w:r>
          </w:p>
        </w:tc>
      </w:tr>
      <w:tr w14:paraId="09E81B4A">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182" w:type="pct"/>
            <w:vMerge w:val="restart"/>
            <w:shd w:val="clear" w:color="auto" w:fill="auto"/>
            <w:vAlign w:val="center"/>
          </w:tcPr>
          <w:p w14:paraId="0915B371">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13</w:t>
            </w:r>
          </w:p>
        </w:tc>
        <w:tc>
          <w:tcPr>
            <w:tcW w:w="504" w:type="pct"/>
            <w:vMerge w:val="restart"/>
            <w:shd w:val="clear" w:color="auto" w:fill="auto"/>
            <w:vAlign w:val="center"/>
          </w:tcPr>
          <w:p w14:paraId="5598FE34">
            <w:pPr>
              <w:widowControl/>
              <w:spacing w:line="240" w:lineRule="exact"/>
              <w:jc w:val="center"/>
              <w:rPr>
                <w:rFonts w:ascii="Times New Roman" w:hAnsi="Times New Roman" w:eastAsia="宋体" w:cs="Times New Roman"/>
                <w:kern w:val="0"/>
                <w:szCs w:val="21"/>
              </w:rPr>
            </w:pPr>
            <w:r>
              <w:rPr>
                <w:rFonts w:hint="eastAsia" w:ascii="宋体" w:hAnsi="宋体" w:eastAsia="宋体" w:cs="Times New Roman"/>
                <w:kern w:val="0"/>
                <w:szCs w:val="21"/>
              </w:rPr>
              <w:t>帕合塔买里斯村</w:t>
            </w:r>
          </w:p>
        </w:tc>
        <w:tc>
          <w:tcPr>
            <w:tcW w:w="252" w:type="pct"/>
            <w:vMerge w:val="restart"/>
            <w:shd w:val="clear" w:color="auto" w:fill="auto"/>
            <w:vAlign w:val="center"/>
          </w:tcPr>
          <w:p w14:paraId="7D1BC5A3">
            <w:pPr>
              <w:widowControl/>
              <w:spacing w:line="240" w:lineRule="exact"/>
              <w:jc w:val="center"/>
              <w:rPr>
                <w:rFonts w:ascii="Times New Roman" w:hAnsi="Times New Roman" w:eastAsia="宋体" w:cs="Times New Roman"/>
                <w:kern w:val="0"/>
                <w:szCs w:val="21"/>
              </w:rPr>
            </w:pPr>
            <w:r>
              <w:rPr>
                <w:rFonts w:hint="eastAsia" w:ascii="宋体" w:hAnsi="宋体" w:eastAsia="宋体" w:cs="Times New Roman"/>
                <w:kern w:val="0"/>
                <w:szCs w:val="21"/>
              </w:rPr>
              <w:t>两侧</w:t>
            </w:r>
          </w:p>
        </w:tc>
        <w:tc>
          <w:tcPr>
            <w:tcW w:w="303" w:type="pct"/>
            <w:shd w:val="clear" w:color="auto" w:fill="auto"/>
            <w:vAlign w:val="center"/>
          </w:tcPr>
          <w:p w14:paraId="2CD820A8">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26</w:t>
            </w:r>
          </w:p>
        </w:tc>
        <w:tc>
          <w:tcPr>
            <w:tcW w:w="252" w:type="pct"/>
            <w:vMerge w:val="restart"/>
            <w:shd w:val="clear" w:color="auto" w:fill="auto"/>
            <w:vAlign w:val="center"/>
          </w:tcPr>
          <w:p w14:paraId="3D978C85">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w:t>
            </w:r>
          </w:p>
        </w:tc>
        <w:tc>
          <w:tcPr>
            <w:tcW w:w="353" w:type="pct"/>
            <w:vMerge w:val="restart"/>
            <w:shd w:val="clear" w:color="auto" w:fill="auto"/>
            <w:vAlign w:val="center"/>
          </w:tcPr>
          <w:p w14:paraId="55DFE6B3">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0</w:t>
            </w:r>
          </w:p>
        </w:tc>
        <w:tc>
          <w:tcPr>
            <w:tcW w:w="252" w:type="pct"/>
            <w:vMerge w:val="restart"/>
            <w:shd w:val="clear" w:color="auto" w:fill="auto"/>
            <w:vAlign w:val="center"/>
          </w:tcPr>
          <w:p w14:paraId="263337C6">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w:t>
            </w:r>
            <w:r>
              <w:rPr>
                <w:rFonts w:hint="eastAsia" w:ascii="宋体" w:hAnsi="宋体" w:eastAsia="宋体" w:cs="Times New Roman"/>
                <w:kern w:val="0"/>
                <w:szCs w:val="21"/>
              </w:rPr>
              <w:t>层</w:t>
            </w:r>
          </w:p>
        </w:tc>
        <w:tc>
          <w:tcPr>
            <w:tcW w:w="372" w:type="pct"/>
            <w:shd w:val="clear" w:color="auto" w:fill="auto"/>
            <w:vAlign w:val="center"/>
          </w:tcPr>
          <w:p w14:paraId="3DFE351D">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3" w:type="pct"/>
            <w:shd w:val="clear" w:color="auto" w:fill="auto"/>
            <w:vAlign w:val="center"/>
          </w:tcPr>
          <w:p w14:paraId="1789EBCA">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3.0</w:t>
            </w:r>
          </w:p>
        </w:tc>
        <w:tc>
          <w:tcPr>
            <w:tcW w:w="373" w:type="pct"/>
            <w:shd w:val="clear" w:color="auto" w:fill="auto"/>
            <w:vAlign w:val="center"/>
          </w:tcPr>
          <w:p w14:paraId="0C1B94D9">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2" w:type="pct"/>
            <w:shd w:val="clear" w:color="auto" w:fill="auto"/>
            <w:vAlign w:val="center"/>
          </w:tcPr>
          <w:p w14:paraId="0C75F84B">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3.8</w:t>
            </w:r>
          </w:p>
        </w:tc>
        <w:tc>
          <w:tcPr>
            <w:tcW w:w="373" w:type="pct"/>
            <w:shd w:val="clear" w:color="auto" w:fill="auto"/>
            <w:vAlign w:val="center"/>
          </w:tcPr>
          <w:p w14:paraId="0B7B980C">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8" w:type="pct"/>
            <w:shd w:val="clear" w:color="auto" w:fill="auto"/>
            <w:vAlign w:val="center"/>
          </w:tcPr>
          <w:p w14:paraId="4D087209">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4.5</w:t>
            </w:r>
          </w:p>
        </w:tc>
        <w:tc>
          <w:tcPr>
            <w:tcW w:w="235" w:type="pct"/>
            <w:shd w:val="clear" w:color="auto" w:fill="auto"/>
            <w:vAlign w:val="center"/>
          </w:tcPr>
          <w:p w14:paraId="1F709248">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4a</w:t>
            </w:r>
            <w:r>
              <w:rPr>
                <w:rFonts w:hint="eastAsia" w:ascii="宋体" w:hAnsi="宋体" w:eastAsia="宋体" w:cs="Times New Roman"/>
                <w:kern w:val="0"/>
                <w:szCs w:val="21"/>
              </w:rPr>
              <w:t>类</w:t>
            </w:r>
          </w:p>
        </w:tc>
        <w:tc>
          <w:tcPr>
            <w:tcW w:w="426" w:type="pct"/>
            <w:shd w:val="clear" w:color="auto" w:fill="auto"/>
            <w:vAlign w:val="center"/>
          </w:tcPr>
          <w:p w14:paraId="2244B1B9">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60</w:t>
            </w:r>
          </w:p>
        </w:tc>
      </w:tr>
      <w:tr w14:paraId="0BBB3973">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182" w:type="pct"/>
            <w:vMerge w:val="continue"/>
            <w:vAlign w:val="center"/>
          </w:tcPr>
          <w:p w14:paraId="47026F04">
            <w:pPr>
              <w:widowControl/>
              <w:spacing w:line="240" w:lineRule="exact"/>
              <w:jc w:val="center"/>
              <w:rPr>
                <w:rFonts w:ascii="Times New Roman" w:hAnsi="Times New Roman" w:eastAsia="宋体" w:cs="Times New Roman"/>
                <w:kern w:val="0"/>
                <w:szCs w:val="21"/>
              </w:rPr>
            </w:pPr>
          </w:p>
        </w:tc>
        <w:tc>
          <w:tcPr>
            <w:tcW w:w="504" w:type="pct"/>
            <w:vMerge w:val="continue"/>
            <w:vAlign w:val="center"/>
          </w:tcPr>
          <w:p w14:paraId="7A4D587C">
            <w:pPr>
              <w:widowControl/>
              <w:spacing w:line="240" w:lineRule="exact"/>
              <w:jc w:val="center"/>
              <w:rPr>
                <w:rFonts w:ascii="Times New Roman" w:hAnsi="Times New Roman" w:eastAsia="宋体" w:cs="Times New Roman"/>
                <w:kern w:val="0"/>
                <w:szCs w:val="21"/>
              </w:rPr>
            </w:pPr>
          </w:p>
        </w:tc>
        <w:tc>
          <w:tcPr>
            <w:tcW w:w="252" w:type="pct"/>
            <w:vMerge w:val="continue"/>
            <w:vAlign w:val="center"/>
          </w:tcPr>
          <w:p w14:paraId="17D10989">
            <w:pPr>
              <w:widowControl/>
              <w:spacing w:line="240" w:lineRule="exact"/>
              <w:jc w:val="center"/>
              <w:rPr>
                <w:rFonts w:ascii="Times New Roman" w:hAnsi="Times New Roman" w:eastAsia="宋体" w:cs="Times New Roman"/>
                <w:kern w:val="0"/>
                <w:szCs w:val="21"/>
              </w:rPr>
            </w:pPr>
          </w:p>
        </w:tc>
        <w:tc>
          <w:tcPr>
            <w:tcW w:w="303" w:type="pct"/>
            <w:shd w:val="clear" w:color="auto" w:fill="auto"/>
            <w:vAlign w:val="center"/>
          </w:tcPr>
          <w:p w14:paraId="02334396">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56</w:t>
            </w:r>
          </w:p>
        </w:tc>
        <w:tc>
          <w:tcPr>
            <w:tcW w:w="252" w:type="pct"/>
            <w:vMerge w:val="continue"/>
            <w:vAlign w:val="center"/>
          </w:tcPr>
          <w:p w14:paraId="4D535DDA">
            <w:pPr>
              <w:widowControl/>
              <w:spacing w:line="240" w:lineRule="exact"/>
              <w:jc w:val="center"/>
              <w:rPr>
                <w:rFonts w:ascii="Times New Roman" w:hAnsi="Times New Roman" w:eastAsia="宋体" w:cs="Times New Roman"/>
                <w:kern w:val="0"/>
                <w:szCs w:val="21"/>
              </w:rPr>
            </w:pPr>
          </w:p>
        </w:tc>
        <w:tc>
          <w:tcPr>
            <w:tcW w:w="353" w:type="pct"/>
            <w:vMerge w:val="continue"/>
            <w:vAlign w:val="center"/>
          </w:tcPr>
          <w:p w14:paraId="662448C0">
            <w:pPr>
              <w:widowControl/>
              <w:spacing w:line="240" w:lineRule="exact"/>
              <w:jc w:val="center"/>
              <w:rPr>
                <w:rFonts w:ascii="Times New Roman" w:hAnsi="Times New Roman" w:eastAsia="宋体" w:cs="Times New Roman"/>
                <w:kern w:val="0"/>
                <w:szCs w:val="21"/>
              </w:rPr>
            </w:pPr>
          </w:p>
        </w:tc>
        <w:tc>
          <w:tcPr>
            <w:tcW w:w="252" w:type="pct"/>
            <w:vMerge w:val="continue"/>
            <w:vAlign w:val="center"/>
          </w:tcPr>
          <w:p w14:paraId="06BB752B">
            <w:pPr>
              <w:widowControl/>
              <w:spacing w:line="240" w:lineRule="exact"/>
              <w:jc w:val="center"/>
              <w:rPr>
                <w:rFonts w:ascii="Times New Roman" w:hAnsi="Times New Roman" w:eastAsia="宋体" w:cs="Times New Roman"/>
                <w:kern w:val="0"/>
                <w:szCs w:val="21"/>
              </w:rPr>
            </w:pPr>
          </w:p>
        </w:tc>
        <w:tc>
          <w:tcPr>
            <w:tcW w:w="372" w:type="pct"/>
            <w:shd w:val="clear" w:color="auto" w:fill="auto"/>
            <w:vAlign w:val="center"/>
          </w:tcPr>
          <w:p w14:paraId="003A3679">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3" w:type="pct"/>
            <w:shd w:val="clear" w:color="auto" w:fill="auto"/>
            <w:vAlign w:val="center"/>
          </w:tcPr>
          <w:p w14:paraId="48E1C0AA">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4.0</w:t>
            </w:r>
          </w:p>
        </w:tc>
        <w:tc>
          <w:tcPr>
            <w:tcW w:w="373" w:type="pct"/>
            <w:shd w:val="clear" w:color="auto" w:fill="auto"/>
            <w:vAlign w:val="center"/>
          </w:tcPr>
          <w:p w14:paraId="21EFFB65">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2" w:type="pct"/>
            <w:shd w:val="clear" w:color="auto" w:fill="auto"/>
            <w:vAlign w:val="center"/>
          </w:tcPr>
          <w:p w14:paraId="2F81C822">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4.8</w:t>
            </w:r>
          </w:p>
        </w:tc>
        <w:tc>
          <w:tcPr>
            <w:tcW w:w="373" w:type="pct"/>
            <w:shd w:val="clear" w:color="auto" w:fill="auto"/>
            <w:vAlign w:val="center"/>
          </w:tcPr>
          <w:p w14:paraId="7B19527A">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8" w:type="pct"/>
            <w:shd w:val="clear" w:color="auto" w:fill="auto"/>
            <w:vAlign w:val="center"/>
          </w:tcPr>
          <w:p w14:paraId="14E2F8CD">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5.5</w:t>
            </w:r>
          </w:p>
        </w:tc>
        <w:tc>
          <w:tcPr>
            <w:tcW w:w="235" w:type="pct"/>
            <w:shd w:val="clear" w:color="auto" w:fill="auto"/>
            <w:vAlign w:val="center"/>
          </w:tcPr>
          <w:p w14:paraId="756BD517">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w:t>
            </w:r>
            <w:r>
              <w:rPr>
                <w:rFonts w:hint="eastAsia" w:ascii="宋体" w:hAnsi="宋体" w:eastAsia="宋体" w:cs="Times New Roman"/>
                <w:kern w:val="0"/>
                <w:szCs w:val="21"/>
              </w:rPr>
              <w:t>类</w:t>
            </w:r>
          </w:p>
        </w:tc>
        <w:tc>
          <w:tcPr>
            <w:tcW w:w="426" w:type="pct"/>
            <w:shd w:val="clear" w:color="auto" w:fill="auto"/>
            <w:vAlign w:val="center"/>
          </w:tcPr>
          <w:p w14:paraId="624F633C">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25</w:t>
            </w:r>
          </w:p>
        </w:tc>
      </w:tr>
      <w:tr w14:paraId="7CC2B90C">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182" w:type="pct"/>
            <w:vMerge w:val="restart"/>
            <w:shd w:val="clear" w:color="auto" w:fill="auto"/>
            <w:vAlign w:val="center"/>
          </w:tcPr>
          <w:p w14:paraId="29E117F5">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14</w:t>
            </w:r>
          </w:p>
        </w:tc>
        <w:tc>
          <w:tcPr>
            <w:tcW w:w="504" w:type="pct"/>
            <w:vMerge w:val="restart"/>
            <w:shd w:val="clear" w:color="auto" w:fill="auto"/>
            <w:vAlign w:val="center"/>
          </w:tcPr>
          <w:p w14:paraId="0E0719FB">
            <w:pPr>
              <w:widowControl/>
              <w:spacing w:line="240" w:lineRule="exact"/>
              <w:jc w:val="center"/>
              <w:rPr>
                <w:rFonts w:ascii="Times New Roman" w:hAnsi="Times New Roman" w:eastAsia="宋体" w:cs="Times New Roman"/>
                <w:kern w:val="0"/>
                <w:szCs w:val="21"/>
              </w:rPr>
            </w:pPr>
            <w:r>
              <w:rPr>
                <w:rFonts w:hint="eastAsia" w:ascii="宋体" w:hAnsi="宋体" w:eastAsia="宋体" w:cs="Times New Roman"/>
                <w:kern w:val="0"/>
                <w:szCs w:val="21"/>
              </w:rPr>
              <w:t>兰干</w:t>
            </w:r>
          </w:p>
        </w:tc>
        <w:tc>
          <w:tcPr>
            <w:tcW w:w="252" w:type="pct"/>
            <w:vMerge w:val="restart"/>
            <w:shd w:val="clear" w:color="auto" w:fill="auto"/>
            <w:vAlign w:val="center"/>
          </w:tcPr>
          <w:p w14:paraId="2A91F867">
            <w:pPr>
              <w:widowControl/>
              <w:spacing w:line="240" w:lineRule="exact"/>
              <w:jc w:val="center"/>
              <w:rPr>
                <w:rFonts w:ascii="Times New Roman" w:hAnsi="Times New Roman" w:eastAsia="宋体" w:cs="Times New Roman"/>
                <w:kern w:val="0"/>
                <w:szCs w:val="21"/>
              </w:rPr>
            </w:pPr>
            <w:r>
              <w:rPr>
                <w:rFonts w:hint="eastAsia" w:ascii="宋体" w:hAnsi="宋体" w:eastAsia="宋体" w:cs="Times New Roman"/>
                <w:kern w:val="0"/>
                <w:szCs w:val="21"/>
              </w:rPr>
              <w:t>路右</w:t>
            </w:r>
          </w:p>
        </w:tc>
        <w:tc>
          <w:tcPr>
            <w:tcW w:w="303" w:type="pct"/>
            <w:shd w:val="clear" w:color="auto" w:fill="auto"/>
            <w:vAlign w:val="center"/>
          </w:tcPr>
          <w:p w14:paraId="2D88679D">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23</w:t>
            </w:r>
          </w:p>
        </w:tc>
        <w:tc>
          <w:tcPr>
            <w:tcW w:w="252" w:type="pct"/>
            <w:vMerge w:val="restart"/>
            <w:shd w:val="clear" w:color="auto" w:fill="auto"/>
            <w:vAlign w:val="center"/>
          </w:tcPr>
          <w:p w14:paraId="63ECD63D">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w:t>
            </w:r>
          </w:p>
        </w:tc>
        <w:tc>
          <w:tcPr>
            <w:tcW w:w="353" w:type="pct"/>
            <w:vMerge w:val="restart"/>
            <w:shd w:val="clear" w:color="auto" w:fill="auto"/>
            <w:vAlign w:val="center"/>
          </w:tcPr>
          <w:p w14:paraId="60A0D317">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0</w:t>
            </w:r>
          </w:p>
        </w:tc>
        <w:tc>
          <w:tcPr>
            <w:tcW w:w="252" w:type="pct"/>
            <w:vMerge w:val="restart"/>
            <w:shd w:val="clear" w:color="auto" w:fill="auto"/>
            <w:vAlign w:val="center"/>
          </w:tcPr>
          <w:p w14:paraId="6E80812D">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w:t>
            </w:r>
            <w:r>
              <w:rPr>
                <w:rFonts w:hint="eastAsia" w:ascii="宋体" w:hAnsi="宋体" w:eastAsia="宋体" w:cs="Times New Roman"/>
                <w:kern w:val="0"/>
                <w:szCs w:val="21"/>
              </w:rPr>
              <w:t>层</w:t>
            </w:r>
          </w:p>
        </w:tc>
        <w:tc>
          <w:tcPr>
            <w:tcW w:w="372" w:type="pct"/>
            <w:shd w:val="clear" w:color="auto" w:fill="auto"/>
            <w:vAlign w:val="center"/>
          </w:tcPr>
          <w:p w14:paraId="422803A8">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3" w:type="pct"/>
            <w:shd w:val="clear" w:color="auto" w:fill="auto"/>
            <w:vAlign w:val="center"/>
          </w:tcPr>
          <w:p w14:paraId="1A2FCE4B">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2.3</w:t>
            </w:r>
          </w:p>
        </w:tc>
        <w:tc>
          <w:tcPr>
            <w:tcW w:w="373" w:type="pct"/>
            <w:shd w:val="clear" w:color="auto" w:fill="auto"/>
            <w:vAlign w:val="center"/>
          </w:tcPr>
          <w:p w14:paraId="6E0D1001">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2" w:type="pct"/>
            <w:shd w:val="clear" w:color="auto" w:fill="auto"/>
            <w:vAlign w:val="center"/>
          </w:tcPr>
          <w:p w14:paraId="5DB8DF2C">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3.1</w:t>
            </w:r>
          </w:p>
        </w:tc>
        <w:tc>
          <w:tcPr>
            <w:tcW w:w="373" w:type="pct"/>
            <w:shd w:val="clear" w:color="auto" w:fill="auto"/>
            <w:vAlign w:val="center"/>
          </w:tcPr>
          <w:p w14:paraId="2CF87C08">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8" w:type="pct"/>
            <w:shd w:val="clear" w:color="auto" w:fill="auto"/>
            <w:vAlign w:val="center"/>
          </w:tcPr>
          <w:p w14:paraId="51F308E6">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3.8</w:t>
            </w:r>
          </w:p>
        </w:tc>
        <w:tc>
          <w:tcPr>
            <w:tcW w:w="235" w:type="pct"/>
            <w:shd w:val="clear" w:color="auto" w:fill="auto"/>
            <w:vAlign w:val="center"/>
          </w:tcPr>
          <w:p w14:paraId="30A14F40">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4a</w:t>
            </w:r>
            <w:r>
              <w:rPr>
                <w:rFonts w:hint="eastAsia" w:ascii="宋体" w:hAnsi="宋体" w:eastAsia="宋体" w:cs="Times New Roman"/>
                <w:kern w:val="0"/>
                <w:szCs w:val="21"/>
              </w:rPr>
              <w:t>类</w:t>
            </w:r>
          </w:p>
        </w:tc>
        <w:tc>
          <w:tcPr>
            <w:tcW w:w="426" w:type="pct"/>
            <w:shd w:val="clear" w:color="auto" w:fill="auto"/>
            <w:vAlign w:val="center"/>
          </w:tcPr>
          <w:p w14:paraId="2E7ED653">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w:t>
            </w:r>
          </w:p>
        </w:tc>
      </w:tr>
      <w:tr w14:paraId="511C529A">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182" w:type="pct"/>
            <w:vMerge w:val="continue"/>
            <w:vAlign w:val="center"/>
          </w:tcPr>
          <w:p w14:paraId="41B429E4">
            <w:pPr>
              <w:widowControl/>
              <w:spacing w:line="240" w:lineRule="exact"/>
              <w:jc w:val="center"/>
              <w:rPr>
                <w:rFonts w:ascii="Times New Roman" w:hAnsi="Times New Roman" w:eastAsia="宋体" w:cs="Times New Roman"/>
                <w:kern w:val="0"/>
                <w:szCs w:val="21"/>
              </w:rPr>
            </w:pPr>
          </w:p>
        </w:tc>
        <w:tc>
          <w:tcPr>
            <w:tcW w:w="504" w:type="pct"/>
            <w:vMerge w:val="continue"/>
            <w:vAlign w:val="center"/>
          </w:tcPr>
          <w:p w14:paraId="29CA7F89">
            <w:pPr>
              <w:widowControl/>
              <w:spacing w:line="240" w:lineRule="exact"/>
              <w:jc w:val="center"/>
              <w:rPr>
                <w:rFonts w:ascii="Times New Roman" w:hAnsi="Times New Roman" w:eastAsia="宋体" w:cs="Times New Roman"/>
                <w:kern w:val="0"/>
                <w:szCs w:val="21"/>
              </w:rPr>
            </w:pPr>
          </w:p>
        </w:tc>
        <w:tc>
          <w:tcPr>
            <w:tcW w:w="252" w:type="pct"/>
            <w:vMerge w:val="continue"/>
            <w:vAlign w:val="center"/>
          </w:tcPr>
          <w:p w14:paraId="58497B25">
            <w:pPr>
              <w:widowControl/>
              <w:spacing w:line="240" w:lineRule="exact"/>
              <w:jc w:val="center"/>
              <w:rPr>
                <w:rFonts w:ascii="Times New Roman" w:hAnsi="Times New Roman" w:eastAsia="宋体" w:cs="Times New Roman"/>
                <w:kern w:val="0"/>
                <w:szCs w:val="21"/>
              </w:rPr>
            </w:pPr>
          </w:p>
        </w:tc>
        <w:tc>
          <w:tcPr>
            <w:tcW w:w="303" w:type="pct"/>
            <w:shd w:val="clear" w:color="auto" w:fill="auto"/>
            <w:vAlign w:val="center"/>
          </w:tcPr>
          <w:p w14:paraId="5DFF1815">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55</w:t>
            </w:r>
          </w:p>
        </w:tc>
        <w:tc>
          <w:tcPr>
            <w:tcW w:w="252" w:type="pct"/>
            <w:vMerge w:val="continue"/>
            <w:vAlign w:val="center"/>
          </w:tcPr>
          <w:p w14:paraId="3CDA6CE1">
            <w:pPr>
              <w:widowControl/>
              <w:spacing w:line="240" w:lineRule="exact"/>
              <w:jc w:val="center"/>
              <w:rPr>
                <w:rFonts w:ascii="Times New Roman" w:hAnsi="Times New Roman" w:eastAsia="宋体" w:cs="Times New Roman"/>
                <w:kern w:val="0"/>
                <w:szCs w:val="21"/>
              </w:rPr>
            </w:pPr>
          </w:p>
        </w:tc>
        <w:tc>
          <w:tcPr>
            <w:tcW w:w="353" w:type="pct"/>
            <w:vMerge w:val="continue"/>
            <w:vAlign w:val="center"/>
          </w:tcPr>
          <w:p w14:paraId="478B7314">
            <w:pPr>
              <w:widowControl/>
              <w:spacing w:line="240" w:lineRule="exact"/>
              <w:jc w:val="center"/>
              <w:rPr>
                <w:rFonts w:ascii="Times New Roman" w:hAnsi="Times New Roman" w:eastAsia="宋体" w:cs="Times New Roman"/>
                <w:kern w:val="0"/>
                <w:szCs w:val="21"/>
              </w:rPr>
            </w:pPr>
          </w:p>
        </w:tc>
        <w:tc>
          <w:tcPr>
            <w:tcW w:w="252" w:type="pct"/>
            <w:vMerge w:val="continue"/>
            <w:vAlign w:val="center"/>
          </w:tcPr>
          <w:p w14:paraId="7AFBDD5C">
            <w:pPr>
              <w:widowControl/>
              <w:spacing w:line="240" w:lineRule="exact"/>
              <w:jc w:val="center"/>
              <w:rPr>
                <w:rFonts w:ascii="Times New Roman" w:hAnsi="Times New Roman" w:eastAsia="宋体" w:cs="Times New Roman"/>
                <w:kern w:val="0"/>
                <w:szCs w:val="21"/>
              </w:rPr>
            </w:pPr>
          </w:p>
        </w:tc>
        <w:tc>
          <w:tcPr>
            <w:tcW w:w="372" w:type="pct"/>
            <w:shd w:val="clear" w:color="auto" w:fill="auto"/>
            <w:vAlign w:val="center"/>
          </w:tcPr>
          <w:p w14:paraId="639ED60C">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3" w:type="pct"/>
            <w:shd w:val="clear" w:color="auto" w:fill="auto"/>
            <w:vAlign w:val="center"/>
          </w:tcPr>
          <w:p w14:paraId="302BB265">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2.7</w:t>
            </w:r>
          </w:p>
        </w:tc>
        <w:tc>
          <w:tcPr>
            <w:tcW w:w="373" w:type="pct"/>
            <w:shd w:val="clear" w:color="auto" w:fill="auto"/>
            <w:vAlign w:val="center"/>
          </w:tcPr>
          <w:p w14:paraId="13531744">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2" w:type="pct"/>
            <w:shd w:val="clear" w:color="auto" w:fill="auto"/>
            <w:vAlign w:val="center"/>
          </w:tcPr>
          <w:p w14:paraId="4E4D665D">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3.4</w:t>
            </w:r>
          </w:p>
        </w:tc>
        <w:tc>
          <w:tcPr>
            <w:tcW w:w="373" w:type="pct"/>
            <w:shd w:val="clear" w:color="auto" w:fill="auto"/>
            <w:vAlign w:val="center"/>
          </w:tcPr>
          <w:p w14:paraId="31331B15">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8" w:type="pct"/>
            <w:shd w:val="clear" w:color="auto" w:fill="auto"/>
            <w:vAlign w:val="center"/>
          </w:tcPr>
          <w:p w14:paraId="67E37CFC">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4.1</w:t>
            </w:r>
          </w:p>
        </w:tc>
        <w:tc>
          <w:tcPr>
            <w:tcW w:w="235" w:type="pct"/>
            <w:shd w:val="clear" w:color="auto" w:fill="auto"/>
            <w:vAlign w:val="center"/>
          </w:tcPr>
          <w:p w14:paraId="3C6C4CE4">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w:t>
            </w:r>
            <w:r>
              <w:rPr>
                <w:rFonts w:hint="eastAsia" w:ascii="宋体" w:hAnsi="宋体" w:eastAsia="宋体" w:cs="Times New Roman"/>
                <w:kern w:val="0"/>
                <w:szCs w:val="21"/>
              </w:rPr>
              <w:t>类</w:t>
            </w:r>
          </w:p>
        </w:tc>
        <w:tc>
          <w:tcPr>
            <w:tcW w:w="426" w:type="pct"/>
            <w:shd w:val="clear" w:color="auto" w:fill="auto"/>
            <w:vAlign w:val="center"/>
          </w:tcPr>
          <w:p w14:paraId="0CF9F0E5">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17</w:t>
            </w:r>
          </w:p>
        </w:tc>
      </w:tr>
      <w:tr w14:paraId="49B5957D">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182" w:type="pct"/>
            <w:vMerge w:val="restart"/>
            <w:shd w:val="clear" w:color="auto" w:fill="auto"/>
            <w:vAlign w:val="center"/>
          </w:tcPr>
          <w:p w14:paraId="00232FAF">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15</w:t>
            </w:r>
          </w:p>
        </w:tc>
        <w:tc>
          <w:tcPr>
            <w:tcW w:w="504" w:type="pct"/>
            <w:vMerge w:val="restart"/>
            <w:shd w:val="clear" w:color="auto" w:fill="auto"/>
            <w:vAlign w:val="center"/>
          </w:tcPr>
          <w:p w14:paraId="2D522097">
            <w:pPr>
              <w:widowControl/>
              <w:spacing w:line="240" w:lineRule="exact"/>
              <w:jc w:val="center"/>
              <w:rPr>
                <w:rFonts w:ascii="Times New Roman" w:hAnsi="Times New Roman" w:eastAsia="宋体" w:cs="Times New Roman"/>
                <w:kern w:val="0"/>
                <w:szCs w:val="21"/>
              </w:rPr>
            </w:pPr>
            <w:r>
              <w:rPr>
                <w:rFonts w:hint="eastAsia" w:ascii="宋体" w:hAnsi="宋体" w:eastAsia="宋体" w:cs="Times New Roman"/>
                <w:kern w:val="0"/>
                <w:szCs w:val="21"/>
              </w:rPr>
              <w:t>伽师县中等职业技术学校</w:t>
            </w:r>
          </w:p>
        </w:tc>
        <w:tc>
          <w:tcPr>
            <w:tcW w:w="252" w:type="pct"/>
            <w:vMerge w:val="restart"/>
            <w:shd w:val="clear" w:color="auto" w:fill="auto"/>
            <w:vAlign w:val="center"/>
          </w:tcPr>
          <w:p w14:paraId="59D44E8C">
            <w:pPr>
              <w:widowControl/>
              <w:spacing w:line="240" w:lineRule="exact"/>
              <w:jc w:val="center"/>
              <w:rPr>
                <w:rFonts w:ascii="Times New Roman" w:hAnsi="Times New Roman" w:eastAsia="宋体" w:cs="Times New Roman"/>
                <w:kern w:val="0"/>
                <w:szCs w:val="21"/>
              </w:rPr>
            </w:pPr>
            <w:r>
              <w:rPr>
                <w:rFonts w:hint="eastAsia" w:ascii="宋体" w:hAnsi="宋体" w:eastAsia="宋体" w:cs="Times New Roman"/>
                <w:kern w:val="0"/>
                <w:szCs w:val="21"/>
              </w:rPr>
              <w:t>路左</w:t>
            </w:r>
          </w:p>
        </w:tc>
        <w:tc>
          <w:tcPr>
            <w:tcW w:w="303" w:type="pct"/>
            <w:vMerge w:val="restart"/>
            <w:shd w:val="clear" w:color="auto" w:fill="auto"/>
            <w:vAlign w:val="center"/>
          </w:tcPr>
          <w:p w14:paraId="10990596">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61</w:t>
            </w:r>
          </w:p>
        </w:tc>
        <w:tc>
          <w:tcPr>
            <w:tcW w:w="252" w:type="pct"/>
            <w:vMerge w:val="restart"/>
            <w:shd w:val="clear" w:color="auto" w:fill="auto"/>
            <w:vAlign w:val="center"/>
          </w:tcPr>
          <w:p w14:paraId="6821E533">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3</w:t>
            </w:r>
          </w:p>
        </w:tc>
        <w:tc>
          <w:tcPr>
            <w:tcW w:w="353" w:type="pct"/>
            <w:vMerge w:val="restart"/>
            <w:shd w:val="clear" w:color="auto" w:fill="auto"/>
            <w:vAlign w:val="center"/>
          </w:tcPr>
          <w:p w14:paraId="48ACAE1B">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0</w:t>
            </w:r>
          </w:p>
        </w:tc>
        <w:tc>
          <w:tcPr>
            <w:tcW w:w="252" w:type="pct"/>
            <w:shd w:val="clear" w:color="auto" w:fill="auto"/>
            <w:vAlign w:val="center"/>
          </w:tcPr>
          <w:p w14:paraId="76E09B95">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w:t>
            </w:r>
            <w:r>
              <w:rPr>
                <w:rFonts w:hint="eastAsia" w:ascii="宋体" w:hAnsi="宋体" w:eastAsia="宋体" w:cs="Times New Roman"/>
                <w:kern w:val="0"/>
                <w:szCs w:val="21"/>
              </w:rPr>
              <w:t>层</w:t>
            </w:r>
          </w:p>
        </w:tc>
        <w:tc>
          <w:tcPr>
            <w:tcW w:w="372" w:type="pct"/>
            <w:shd w:val="clear" w:color="auto" w:fill="auto"/>
            <w:vAlign w:val="center"/>
          </w:tcPr>
          <w:p w14:paraId="402101B1">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0.6</w:t>
            </w:r>
          </w:p>
        </w:tc>
        <w:tc>
          <w:tcPr>
            <w:tcW w:w="373" w:type="pct"/>
            <w:shd w:val="clear" w:color="auto" w:fill="auto"/>
            <w:vAlign w:val="center"/>
          </w:tcPr>
          <w:p w14:paraId="6E9A46B8">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3" w:type="pct"/>
            <w:shd w:val="clear" w:color="auto" w:fill="auto"/>
            <w:vAlign w:val="center"/>
          </w:tcPr>
          <w:p w14:paraId="2F8CD4E1">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1.4</w:t>
            </w:r>
          </w:p>
        </w:tc>
        <w:tc>
          <w:tcPr>
            <w:tcW w:w="372" w:type="pct"/>
            <w:shd w:val="clear" w:color="auto" w:fill="auto"/>
            <w:vAlign w:val="center"/>
          </w:tcPr>
          <w:p w14:paraId="1FCA8768">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3" w:type="pct"/>
            <w:shd w:val="clear" w:color="auto" w:fill="auto"/>
            <w:vAlign w:val="center"/>
          </w:tcPr>
          <w:p w14:paraId="0EF7D6B9">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2.1</w:t>
            </w:r>
          </w:p>
        </w:tc>
        <w:tc>
          <w:tcPr>
            <w:tcW w:w="378" w:type="pct"/>
            <w:shd w:val="clear" w:color="auto" w:fill="auto"/>
            <w:vAlign w:val="center"/>
          </w:tcPr>
          <w:p w14:paraId="3868700F">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235" w:type="pct"/>
            <w:vMerge w:val="restart"/>
            <w:shd w:val="clear" w:color="auto" w:fill="auto"/>
            <w:vAlign w:val="center"/>
          </w:tcPr>
          <w:p w14:paraId="07EF6F8C">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w:t>
            </w:r>
            <w:r>
              <w:rPr>
                <w:rFonts w:hint="eastAsia" w:ascii="宋体" w:hAnsi="宋体" w:eastAsia="宋体" w:cs="Times New Roman"/>
                <w:kern w:val="0"/>
                <w:szCs w:val="21"/>
              </w:rPr>
              <w:t>类</w:t>
            </w:r>
          </w:p>
        </w:tc>
        <w:tc>
          <w:tcPr>
            <w:tcW w:w="426" w:type="pct"/>
            <w:vMerge w:val="restart"/>
            <w:shd w:val="clear" w:color="auto" w:fill="auto"/>
            <w:vAlign w:val="center"/>
          </w:tcPr>
          <w:p w14:paraId="7DF16CE5">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w:t>
            </w:r>
            <w:r>
              <w:rPr>
                <w:rFonts w:hint="eastAsia" w:ascii="宋体" w:hAnsi="宋体" w:eastAsia="宋体" w:cs="Times New Roman"/>
                <w:kern w:val="0"/>
                <w:szCs w:val="21"/>
              </w:rPr>
              <w:t>栋</w:t>
            </w:r>
            <w:r>
              <w:rPr>
                <w:rFonts w:ascii="Times New Roman" w:hAnsi="Times New Roman" w:eastAsia="宋体" w:cs="Times New Roman"/>
                <w:kern w:val="0"/>
                <w:szCs w:val="21"/>
              </w:rPr>
              <w:t>4</w:t>
            </w:r>
            <w:r>
              <w:rPr>
                <w:rFonts w:hint="eastAsia" w:ascii="宋体" w:hAnsi="宋体" w:eastAsia="宋体" w:cs="Times New Roman"/>
                <w:kern w:val="0"/>
                <w:szCs w:val="21"/>
              </w:rPr>
              <w:t>层楼</w:t>
            </w:r>
          </w:p>
        </w:tc>
      </w:tr>
      <w:tr w14:paraId="32291996">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182" w:type="pct"/>
            <w:vMerge w:val="continue"/>
            <w:vAlign w:val="center"/>
          </w:tcPr>
          <w:p w14:paraId="51DE80A0">
            <w:pPr>
              <w:widowControl/>
              <w:spacing w:line="240" w:lineRule="exact"/>
              <w:jc w:val="center"/>
              <w:rPr>
                <w:rFonts w:ascii="Times New Roman" w:hAnsi="Times New Roman" w:eastAsia="宋体" w:cs="Times New Roman"/>
                <w:kern w:val="0"/>
                <w:szCs w:val="21"/>
              </w:rPr>
            </w:pPr>
          </w:p>
        </w:tc>
        <w:tc>
          <w:tcPr>
            <w:tcW w:w="504" w:type="pct"/>
            <w:vMerge w:val="continue"/>
            <w:vAlign w:val="center"/>
          </w:tcPr>
          <w:p w14:paraId="2BD8BB53">
            <w:pPr>
              <w:widowControl/>
              <w:spacing w:line="240" w:lineRule="exact"/>
              <w:jc w:val="center"/>
              <w:rPr>
                <w:rFonts w:ascii="Times New Roman" w:hAnsi="Times New Roman" w:eastAsia="宋体" w:cs="Times New Roman"/>
                <w:kern w:val="0"/>
                <w:szCs w:val="21"/>
              </w:rPr>
            </w:pPr>
          </w:p>
        </w:tc>
        <w:tc>
          <w:tcPr>
            <w:tcW w:w="252" w:type="pct"/>
            <w:vMerge w:val="continue"/>
            <w:vAlign w:val="center"/>
          </w:tcPr>
          <w:p w14:paraId="683166D9">
            <w:pPr>
              <w:widowControl/>
              <w:spacing w:line="240" w:lineRule="exact"/>
              <w:jc w:val="center"/>
              <w:rPr>
                <w:rFonts w:ascii="Times New Roman" w:hAnsi="Times New Roman" w:eastAsia="宋体" w:cs="Times New Roman"/>
                <w:kern w:val="0"/>
                <w:szCs w:val="21"/>
              </w:rPr>
            </w:pPr>
          </w:p>
        </w:tc>
        <w:tc>
          <w:tcPr>
            <w:tcW w:w="303" w:type="pct"/>
            <w:vMerge w:val="continue"/>
            <w:vAlign w:val="center"/>
          </w:tcPr>
          <w:p w14:paraId="1C28B9AC">
            <w:pPr>
              <w:widowControl/>
              <w:spacing w:line="240" w:lineRule="exact"/>
              <w:jc w:val="center"/>
              <w:rPr>
                <w:rFonts w:ascii="Times New Roman" w:hAnsi="Times New Roman" w:eastAsia="宋体" w:cs="Times New Roman"/>
                <w:kern w:val="0"/>
                <w:szCs w:val="21"/>
              </w:rPr>
            </w:pPr>
          </w:p>
        </w:tc>
        <w:tc>
          <w:tcPr>
            <w:tcW w:w="252" w:type="pct"/>
            <w:vMerge w:val="continue"/>
            <w:vAlign w:val="center"/>
          </w:tcPr>
          <w:p w14:paraId="194FB946">
            <w:pPr>
              <w:widowControl/>
              <w:spacing w:line="240" w:lineRule="exact"/>
              <w:jc w:val="center"/>
              <w:rPr>
                <w:rFonts w:ascii="Times New Roman" w:hAnsi="Times New Roman" w:eastAsia="宋体" w:cs="Times New Roman"/>
                <w:kern w:val="0"/>
                <w:szCs w:val="21"/>
              </w:rPr>
            </w:pPr>
          </w:p>
        </w:tc>
        <w:tc>
          <w:tcPr>
            <w:tcW w:w="353" w:type="pct"/>
            <w:vMerge w:val="continue"/>
            <w:vAlign w:val="center"/>
          </w:tcPr>
          <w:p w14:paraId="49C157D9">
            <w:pPr>
              <w:widowControl/>
              <w:spacing w:line="240" w:lineRule="exact"/>
              <w:jc w:val="center"/>
              <w:rPr>
                <w:rFonts w:ascii="Times New Roman" w:hAnsi="Times New Roman" w:eastAsia="宋体" w:cs="Times New Roman"/>
                <w:kern w:val="0"/>
                <w:szCs w:val="21"/>
              </w:rPr>
            </w:pPr>
          </w:p>
        </w:tc>
        <w:tc>
          <w:tcPr>
            <w:tcW w:w="252" w:type="pct"/>
            <w:shd w:val="clear" w:color="auto" w:fill="auto"/>
            <w:vAlign w:val="center"/>
          </w:tcPr>
          <w:p w14:paraId="74FE3CEC">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w:t>
            </w:r>
            <w:r>
              <w:rPr>
                <w:rFonts w:hint="eastAsia" w:ascii="宋体" w:hAnsi="宋体" w:eastAsia="宋体" w:cs="Times New Roman"/>
                <w:kern w:val="0"/>
                <w:szCs w:val="21"/>
              </w:rPr>
              <w:t>层</w:t>
            </w:r>
          </w:p>
        </w:tc>
        <w:tc>
          <w:tcPr>
            <w:tcW w:w="372" w:type="pct"/>
            <w:shd w:val="clear" w:color="auto" w:fill="auto"/>
            <w:vAlign w:val="center"/>
          </w:tcPr>
          <w:p w14:paraId="6739314B">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2.7</w:t>
            </w:r>
          </w:p>
        </w:tc>
        <w:tc>
          <w:tcPr>
            <w:tcW w:w="373" w:type="pct"/>
            <w:shd w:val="clear" w:color="auto" w:fill="auto"/>
            <w:vAlign w:val="center"/>
          </w:tcPr>
          <w:p w14:paraId="24AA0F6A">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3" w:type="pct"/>
            <w:shd w:val="clear" w:color="auto" w:fill="auto"/>
            <w:vAlign w:val="center"/>
          </w:tcPr>
          <w:p w14:paraId="459BA2F0">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3.5</w:t>
            </w:r>
          </w:p>
        </w:tc>
        <w:tc>
          <w:tcPr>
            <w:tcW w:w="372" w:type="pct"/>
            <w:shd w:val="clear" w:color="auto" w:fill="auto"/>
            <w:vAlign w:val="center"/>
          </w:tcPr>
          <w:p w14:paraId="5D18FEE7">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3" w:type="pct"/>
            <w:shd w:val="clear" w:color="auto" w:fill="auto"/>
            <w:vAlign w:val="center"/>
          </w:tcPr>
          <w:p w14:paraId="3D5F12C6">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4.2</w:t>
            </w:r>
          </w:p>
        </w:tc>
        <w:tc>
          <w:tcPr>
            <w:tcW w:w="378" w:type="pct"/>
            <w:shd w:val="clear" w:color="auto" w:fill="auto"/>
            <w:vAlign w:val="center"/>
          </w:tcPr>
          <w:p w14:paraId="6AF5468F">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235" w:type="pct"/>
            <w:vMerge w:val="continue"/>
            <w:vAlign w:val="center"/>
          </w:tcPr>
          <w:p w14:paraId="3B43FE55">
            <w:pPr>
              <w:widowControl/>
              <w:spacing w:line="240" w:lineRule="exact"/>
              <w:jc w:val="center"/>
              <w:rPr>
                <w:rFonts w:ascii="Times New Roman" w:hAnsi="Times New Roman" w:eastAsia="宋体" w:cs="Times New Roman"/>
                <w:kern w:val="0"/>
                <w:szCs w:val="21"/>
              </w:rPr>
            </w:pPr>
          </w:p>
        </w:tc>
        <w:tc>
          <w:tcPr>
            <w:tcW w:w="426" w:type="pct"/>
            <w:vMerge w:val="continue"/>
            <w:vAlign w:val="center"/>
          </w:tcPr>
          <w:p w14:paraId="32FA9245">
            <w:pPr>
              <w:widowControl/>
              <w:spacing w:line="240" w:lineRule="exact"/>
              <w:jc w:val="center"/>
              <w:rPr>
                <w:rFonts w:ascii="Times New Roman" w:hAnsi="Times New Roman" w:eastAsia="宋体" w:cs="Times New Roman"/>
                <w:kern w:val="0"/>
                <w:szCs w:val="21"/>
              </w:rPr>
            </w:pPr>
          </w:p>
        </w:tc>
      </w:tr>
      <w:tr w14:paraId="01534F75">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182" w:type="pct"/>
            <w:vMerge w:val="continue"/>
            <w:vAlign w:val="center"/>
          </w:tcPr>
          <w:p w14:paraId="33500AF1">
            <w:pPr>
              <w:widowControl/>
              <w:spacing w:line="240" w:lineRule="exact"/>
              <w:jc w:val="center"/>
              <w:rPr>
                <w:rFonts w:ascii="Times New Roman" w:hAnsi="Times New Roman" w:eastAsia="宋体" w:cs="Times New Roman"/>
                <w:kern w:val="0"/>
                <w:szCs w:val="21"/>
              </w:rPr>
            </w:pPr>
          </w:p>
        </w:tc>
        <w:tc>
          <w:tcPr>
            <w:tcW w:w="504" w:type="pct"/>
            <w:vMerge w:val="continue"/>
            <w:vAlign w:val="center"/>
          </w:tcPr>
          <w:p w14:paraId="61710EC4">
            <w:pPr>
              <w:widowControl/>
              <w:spacing w:line="240" w:lineRule="exact"/>
              <w:jc w:val="center"/>
              <w:rPr>
                <w:rFonts w:ascii="Times New Roman" w:hAnsi="Times New Roman" w:eastAsia="宋体" w:cs="Times New Roman"/>
                <w:kern w:val="0"/>
                <w:szCs w:val="21"/>
              </w:rPr>
            </w:pPr>
          </w:p>
        </w:tc>
        <w:tc>
          <w:tcPr>
            <w:tcW w:w="252" w:type="pct"/>
            <w:vMerge w:val="continue"/>
            <w:vAlign w:val="center"/>
          </w:tcPr>
          <w:p w14:paraId="0DE0D0E1">
            <w:pPr>
              <w:widowControl/>
              <w:spacing w:line="240" w:lineRule="exact"/>
              <w:jc w:val="center"/>
              <w:rPr>
                <w:rFonts w:ascii="Times New Roman" w:hAnsi="Times New Roman" w:eastAsia="宋体" w:cs="Times New Roman"/>
                <w:kern w:val="0"/>
                <w:szCs w:val="21"/>
              </w:rPr>
            </w:pPr>
          </w:p>
        </w:tc>
        <w:tc>
          <w:tcPr>
            <w:tcW w:w="303" w:type="pct"/>
            <w:vMerge w:val="restart"/>
            <w:shd w:val="clear" w:color="auto" w:fill="auto"/>
            <w:vAlign w:val="center"/>
          </w:tcPr>
          <w:p w14:paraId="38F5EF38">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105</w:t>
            </w:r>
          </w:p>
        </w:tc>
        <w:tc>
          <w:tcPr>
            <w:tcW w:w="252" w:type="pct"/>
            <w:vMerge w:val="continue"/>
            <w:vAlign w:val="center"/>
          </w:tcPr>
          <w:p w14:paraId="2969A5DC">
            <w:pPr>
              <w:widowControl/>
              <w:spacing w:line="240" w:lineRule="exact"/>
              <w:jc w:val="center"/>
              <w:rPr>
                <w:rFonts w:ascii="Times New Roman" w:hAnsi="Times New Roman" w:eastAsia="宋体" w:cs="Times New Roman"/>
                <w:kern w:val="0"/>
                <w:szCs w:val="21"/>
              </w:rPr>
            </w:pPr>
          </w:p>
        </w:tc>
        <w:tc>
          <w:tcPr>
            <w:tcW w:w="353" w:type="pct"/>
            <w:vMerge w:val="continue"/>
            <w:vAlign w:val="center"/>
          </w:tcPr>
          <w:p w14:paraId="131E3819">
            <w:pPr>
              <w:widowControl/>
              <w:spacing w:line="240" w:lineRule="exact"/>
              <w:jc w:val="center"/>
              <w:rPr>
                <w:rFonts w:ascii="Times New Roman" w:hAnsi="Times New Roman" w:eastAsia="宋体" w:cs="Times New Roman"/>
                <w:kern w:val="0"/>
                <w:szCs w:val="21"/>
              </w:rPr>
            </w:pPr>
          </w:p>
        </w:tc>
        <w:tc>
          <w:tcPr>
            <w:tcW w:w="252" w:type="pct"/>
            <w:shd w:val="clear" w:color="auto" w:fill="auto"/>
            <w:vAlign w:val="center"/>
          </w:tcPr>
          <w:p w14:paraId="6B045179">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w:t>
            </w:r>
            <w:r>
              <w:rPr>
                <w:rFonts w:hint="eastAsia" w:ascii="宋体" w:hAnsi="宋体" w:eastAsia="宋体" w:cs="Times New Roman"/>
                <w:kern w:val="0"/>
                <w:szCs w:val="21"/>
              </w:rPr>
              <w:t>层</w:t>
            </w:r>
          </w:p>
        </w:tc>
        <w:tc>
          <w:tcPr>
            <w:tcW w:w="372" w:type="pct"/>
            <w:shd w:val="clear" w:color="auto" w:fill="auto"/>
            <w:vAlign w:val="center"/>
          </w:tcPr>
          <w:p w14:paraId="437387FC">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3" w:type="pct"/>
            <w:shd w:val="clear" w:color="auto" w:fill="auto"/>
            <w:vAlign w:val="center"/>
          </w:tcPr>
          <w:p w14:paraId="0773A97E">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2.3</w:t>
            </w:r>
          </w:p>
        </w:tc>
        <w:tc>
          <w:tcPr>
            <w:tcW w:w="373" w:type="pct"/>
            <w:shd w:val="clear" w:color="auto" w:fill="auto"/>
            <w:vAlign w:val="center"/>
          </w:tcPr>
          <w:p w14:paraId="4AF40769">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2" w:type="pct"/>
            <w:shd w:val="clear" w:color="auto" w:fill="auto"/>
            <w:vAlign w:val="center"/>
          </w:tcPr>
          <w:p w14:paraId="30F5D18F">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3.1</w:t>
            </w:r>
          </w:p>
        </w:tc>
        <w:tc>
          <w:tcPr>
            <w:tcW w:w="373" w:type="pct"/>
            <w:shd w:val="clear" w:color="auto" w:fill="auto"/>
            <w:vAlign w:val="center"/>
          </w:tcPr>
          <w:p w14:paraId="548AFF13">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8" w:type="pct"/>
            <w:shd w:val="clear" w:color="auto" w:fill="auto"/>
            <w:vAlign w:val="center"/>
          </w:tcPr>
          <w:p w14:paraId="6D10157D">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3.8</w:t>
            </w:r>
          </w:p>
        </w:tc>
        <w:tc>
          <w:tcPr>
            <w:tcW w:w="235" w:type="pct"/>
            <w:vMerge w:val="continue"/>
            <w:vAlign w:val="center"/>
          </w:tcPr>
          <w:p w14:paraId="683FB225">
            <w:pPr>
              <w:widowControl/>
              <w:spacing w:line="240" w:lineRule="exact"/>
              <w:jc w:val="center"/>
              <w:rPr>
                <w:rFonts w:ascii="Times New Roman" w:hAnsi="Times New Roman" w:eastAsia="宋体" w:cs="Times New Roman"/>
                <w:kern w:val="0"/>
                <w:szCs w:val="21"/>
              </w:rPr>
            </w:pPr>
          </w:p>
        </w:tc>
        <w:tc>
          <w:tcPr>
            <w:tcW w:w="426" w:type="pct"/>
            <w:vMerge w:val="continue"/>
            <w:vAlign w:val="center"/>
          </w:tcPr>
          <w:p w14:paraId="13E23926">
            <w:pPr>
              <w:widowControl/>
              <w:spacing w:line="240" w:lineRule="exact"/>
              <w:jc w:val="center"/>
              <w:rPr>
                <w:rFonts w:ascii="Times New Roman" w:hAnsi="Times New Roman" w:eastAsia="宋体" w:cs="Times New Roman"/>
                <w:kern w:val="0"/>
                <w:szCs w:val="21"/>
              </w:rPr>
            </w:pPr>
          </w:p>
        </w:tc>
      </w:tr>
      <w:tr w14:paraId="35DCEF17">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182" w:type="pct"/>
            <w:vMerge w:val="continue"/>
            <w:vAlign w:val="center"/>
          </w:tcPr>
          <w:p w14:paraId="1DAEC310">
            <w:pPr>
              <w:widowControl/>
              <w:spacing w:line="240" w:lineRule="exact"/>
              <w:jc w:val="center"/>
              <w:rPr>
                <w:rFonts w:ascii="Times New Roman" w:hAnsi="Times New Roman" w:eastAsia="宋体" w:cs="Times New Roman"/>
                <w:kern w:val="0"/>
                <w:szCs w:val="21"/>
              </w:rPr>
            </w:pPr>
          </w:p>
        </w:tc>
        <w:tc>
          <w:tcPr>
            <w:tcW w:w="504" w:type="pct"/>
            <w:vMerge w:val="continue"/>
            <w:vAlign w:val="center"/>
          </w:tcPr>
          <w:p w14:paraId="410DC09E">
            <w:pPr>
              <w:widowControl/>
              <w:spacing w:line="240" w:lineRule="exact"/>
              <w:jc w:val="center"/>
              <w:rPr>
                <w:rFonts w:ascii="Times New Roman" w:hAnsi="Times New Roman" w:eastAsia="宋体" w:cs="Times New Roman"/>
                <w:kern w:val="0"/>
                <w:szCs w:val="21"/>
              </w:rPr>
            </w:pPr>
          </w:p>
        </w:tc>
        <w:tc>
          <w:tcPr>
            <w:tcW w:w="252" w:type="pct"/>
            <w:vMerge w:val="continue"/>
            <w:vAlign w:val="center"/>
          </w:tcPr>
          <w:p w14:paraId="3F1D9EEF">
            <w:pPr>
              <w:widowControl/>
              <w:spacing w:line="240" w:lineRule="exact"/>
              <w:jc w:val="center"/>
              <w:rPr>
                <w:rFonts w:ascii="Times New Roman" w:hAnsi="Times New Roman" w:eastAsia="宋体" w:cs="Times New Roman"/>
                <w:kern w:val="0"/>
                <w:szCs w:val="21"/>
              </w:rPr>
            </w:pPr>
          </w:p>
        </w:tc>
        <w:tc>
          <w:tcPr>
            <w:tcW w:w="303" w:type="pct"/>
            <w:vMerge w:val="continue"/>
            <w:vAlign w:val="center"/>
          </w:tcPr>
          <w:p w14:paraId="53CFB85A">
            <w:pPr>
              <w:widowControl/>
              <w:spacing w:line="240" w:lineRule="exact"/>
              <w:jc w:val="center"/>
              <w:rPr>
                <w:rFonts w:ascii="Times New Roman" w:hAnsi="Times New Roman" w:eastAsia="宋体" w:cs="Times New Roman"/>
                <w:kern w:val="0"/>
                <w:szCs w:val="21"/>
              </w:rPr>
            </w:pPr>
          </w:p>
        </w:tc>
        <w:tc>
          <w:tcPr>
            <w:tcW w:w="252" w:type="pct"/>
            <w:vMerge w:val="continue"/>
            <w:vAlign w:val="center"/>
          </w:tcPr>
          <w:p w14:paraId="1AD2F008">
            <w:pPr>
              <w:widowControl/>
              <w:spacing w:line="240" w:lineRule="exact"/>
              <w:jc w:val="center"/>
              <w:rPr>
                <w:rFonts w:ascii="Times New Roman" w:hAnsi="Times New Roman" w:eastAsia="宋体" w:cs="Times New Roman"/>
                <w:kern w:val="0"/>
                <w:szCs w:val="21"/>
              </w:rPr>
            </w:pPr>
          </w:p>
        </w:tc>
        <w:tc>
          <w:tcPr>
            <w:tcW w:w="353" w:type="pct"/>
            <w:vMerge w:val="continue"/>
            <w:vAlign w:val="center"/>
          </w:tcPr>
          <w:p w14:paraId="66920C11">
            <w:pPr>
              <w:widowControl/>
              <w:spacing w:line="240" w:lineRule="exact"/>
              <w:jc w:val="center"/>
              <w:rPr>
                <w:rFonts w:ascii="Times New Roman" w:hAnsi="Times New Roman" w:eastAsia="宋体" w:cs="Times New Roman"/>
                <w:kern w:val="0"/>
                <w:szCs w:val="21"/>
              </w:rPr>
            </w:pPr>
          </w:p>
        </w:tc>
        <w:tc>
          <w:tcPr>
            <w:tcW w:w="252" w:type="pct"/>
            <w:shd w:val="clear" w:color="auto" w:fill="auto"/>
            <w:vAlign w:val="center"/>
          </w:tcPr>
          <w:p w14:paraId="51711608">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w:t>
            </w:r>
            <w:r>
              <w:rPr>
                <w:rFonts w:hint="eastAsia" w:ascii="宋体" w:hAnsi="宋体" w:eastAsia="宋体" w:cs="Times New Roman"/>
                <w:kern w:val="0"/>
                <w:szCs w:val="21"/>
              </w:rPr>
              <w:t>层</w:t>
            </w:r>
          </w:p>
        </w:tc>
        <w:tc>
          <w:tcPr>
            <w:tcW w:w="372" w:type="pct"/>
            <w:shd w:val="clear" w:color="auto" w:fill="auto"/>
            <w:vAlign w:val="center"/>
          </w:tcPr>
          <w:p w14:paraId="1AF185FF">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3" w:type="pct"/>
            <w:shd w:val="clear" w:color="auto" w:fill="auto"/>
            <w:vAlign w:val="center"/>
          </w:tcPr>
          <w:p w14:paraId="162A7482">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3.4</w:t>
            </w:r>
          </w:p>
        </w:tc>
        <w:tc>
          <w:tcPr>
            <w:tcW w:w="373" w:type="pct"/>
            <w:shd w:val="clear" w:color="auto" w:fill="auto"/>
            <w:vAlign w:val="center"/>
          </w:tcPr>
          <w:p w14:paraId="1D30DC43">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2" w:type="pct"/>
            <w:shd w:val="clear" w:color="auto" w:fill="auto"/>
            <w:vAlign w:val="center"/>
          </w:tcPr>
          <w:p w14:paraId="2590A8EC">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4.2</w:t>
            </w:r>
          </w:p>
        </w:tc>
        <w:tc>
          <w:tcPr>
            <w:tcW w:w="373" w:type="pct"/>
            <w:shd w:val="clear" w:color="auto" w:fill="auto"/>
            <w:vAlign w:val="center"/>
          </w:tcPr>
          <w:p w14:paraId="28662D6A">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8" w:type="pct"/>
            <w:shd w:val="clear" w:color="auto" w:fill="auto"/>
            <w:vAlign w:val="center"/>
          </w:tcPr>
          <w:p w14:paraId="5387EA78">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4.9</w:t>
            </w:r>
          </w:p>
        </w:tc>
        <w:tc>
          <w:tcPr>
            <w:tcW w:w="235" w:type="pct"/>
            <w:vMerge w:val="continue"/>
            <w:vAlign w:val="center"/>
          </w:tcPr>
          <w:p w14:paraId="0657AD6E">
            <w:pPr>
              <w:widowControl/>
              <w:spacing w:line="240" w:lineRule="exact"/>
              <w:jc w:val="center"/>
              <w:rPr>
                <w:rFonts w:ascii="Times New Roman" w:hAnsi="Times New Roman" w:eastAsia="宋体" w:cs="Times New Roman"/>
                <w:kern w:val="0"/>
                <w:szCs w:val="21"/>
              </w:rPr>
            </w:pPr>
          </w:p>
        </w:tc>
        <w:tc>
          <w:tcPr>
            <w:tcW w:w="426" w:type="pct"/>
            <w:vMerge w:val="continue"/>
            <w:vAlign w:val="center"/>
          </w:tcPr>
          <w:p w14:paraId="0EA1706A">
            <w:pPr>
              <w:widowControl/>
              <w:spacing w:line="240" w:lineRule="exact"/>
              <w:jc w:val="center"/>
              <w:rPr>
                <w:rFonts w:ascii="Times New Roman" w:hAnsi="Times New Roman" w:eastAsia="宋体" w:cs="Times New Roman"/>
                <w:kern w:val="0"/>
                <w:szCs w:val="21"/>
              </w:rPr>
            </w:pPr>
          </w:p>
        </w:tc>
      </w:tr>
      <w:tr w14:paraId="72AD785B">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182" w:type="pct"/>
            <w:vMerge w:val="restart"/>
            <w:shd w:val="clear" w:color="auto" w:fill="auto"/>
            <w:vAlign w:val="center"/>
          </w:tcPr>
          <w:p w14:paraId="020BCB82">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16</w:t>
            </w:r>
          </w:p>
        </w:tc>
        <w:tc>
          <w:tcPr>
            <w:tcW w:w="504" w:type="pct"/>
            <w:vMerge w:val="restart"/>
            <w:shd w:val="clear" w:color="auto" w:fill="auto"/>
            <w:vAlign w:val="center"/>
          </w:tcPr>
          <w:p w14:paraId="7F799604">
            <w:pPr>
              <w:widowControl/>
              <w:spacing w:line="240" w:lineRule="exact"/>
              <w:jc w:val="center"/>
              <w:rPr>
                <w:rFonts w:ascii="Times New Roman" w:hAnsi="Times New Roman" w:eastAsia="宋体" w:cs="Times New Roman"/>
                <w:kern w:val="0"/>
                <w:szCs w:val="21"/>
              </w:rPr>
            </w:pPr>
            <w:r>
              <w:rPr>
                <w:rFonts w:hint="eastAsia" w:ascii="宋体" w:hAnsi="宋体" w:eastAsia="宋体" w:cs="Times New Roman"/>
                <w:kern w:val="0"/>
                <w:szCs w:val="21"/>
              </w:rPr>
              <w:t>霍加艾日克村</w:t>
            </w:r>
          </w:p>
        </w:tc>
        <w:tc>
          <w:tcPr>
            <w:tcW w:w="252" w:type="pct"/>
            <w:vMerge w:val="restart"/>
            <w:shd w:val="clear" w:color="auto" w:fill="auto"/>
            <w:vAlign w:val="center"/>
          </w:tcPr>
          <w:p w14:paraId="28F0601A">
            <w:pPr>
              <w:widowControl/>
              <w:spacing w:line="240" w:lineRule="exact"/>
              <w:jc w:val="center"/>
              <w:rPr>
                <w:rFonts w:ascii="Times New Roman" w:hAnsi="Times New Roman" w:eastAsia="宋体" w:cs="Times New Roman"/>
                <w:kern w:val="0"/>
                <w:szCs w:val="21"/>
              </w:rPr>
            </w:pPr>
            <w:r>
              <w:rPr>
                <w:rFonts w:hint="eastAsia" w:ascii="宋体" w:hAnsi="宋体" w:eastAsia="宋体" w:cs="Times New Roman"/>
                <w:kern w:val="0"/>
                <w:szCs w:val="21"/>
              </w:rPr>
              <w:t>两侧</w:t>
            </w:r>
          </w:p>
        </w:tc>
        <w:tc>
          <w:tcPr>
            <w:tcW w:w="303" w:type="pct"/>
            <w:shd w:val="clear" w:color="auto" w:fill="auto"/>
            <w:vAlign w:val="center"/>
          </w:tcPr>
          <w:p w14:paraId="60BA700E">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25</w:t>
            </w:r>
          </w:p>
        </w:tc>
        <w:tc>
          <w:tcPr>
            <w:tcW w:w="252" w:type="pct"/>
            <w:vMerge w:val="restart"/>
            <w:shd w:val="clear" w:color="auto" w:fill="auto"/>
            <w:vAlign w:val="center"/>
          </w:tcPr>
          <w:p w14:paraId="0245020F">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w:t>
            </w:r>
          </w:p>
        </w:tc>
        <w:tc>
          <w:tcPr>
            <w:tcW w:w="353" w:type="pct"/>
            <w:vMerge w:val="restart"/>
            <w:shd w:val="clear" w:color="auto" w:fill="auto"/>
            <w:vAlign w:val="center"/>
          </w:tcPr>
          <w:p w14:paraId="5E4B380B">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0</w:t>
            </w:r>
          </w:p>
        </w:tc>
        <w:tc>
          <w:tcPr>
            <w:tcW w:w="252" w:type="pct"/>
            <w:vMerge w:val="restart"/>
            <w:shd w:val="clear" w:color="auto" w:fill="auto"/>
            <w:vAlign w:val="center"/>
          </w:tcPr>
          <w:p w14:paraId="4F41BF3A">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w:t>
            </w:r>
            <w:r>
              <w:rPr>
                <w:rFonts w:hint="eastAsia" w:ascii="宋体" w:hAnsi="宋体" w:eastAsia="宋体" w:cs="Times New Roman"/>
                <w:kern w:val="0"/>
                <w:szCs w:val="21"/>
              </w:rPr>
              <w:t>层</w:t>
            </w:r>
          </w:p>
        </w:tc>
        <w:tc>
          <w:tcPr>
            <w:tcW w:w="372" w:type="pct"/>
            <w:shd w:val="clear" w:color="auto" w:fill="auto"/>
            <w:vAlign w:val="center"/>
          </w:tcPr>
          <w:p w14:paraId="659D02DC">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3" w:type="pct"/>
            <w:shd w:val="clear" w:color="auto" w:fill="auto"/>
            <w:vAlign w:val="center"/>
          </w:tcPr>
          <w:p w14:paraId="31BC1456">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1.8</w:t>
            </w:r>
          </w:p>
        </w:tc>
        <w:tc>
          <w:tcPr>
            <w:tcW w:w="373" w:type="pct"/>
            <w:shd w:val="clear" w:color="auto" w:fill="auto"/>
            <w:vAlign w:val="center"/>
          </w:tcPr>
          <w:p w14:paraId="2788C51B">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2" w:type="pct"/>
            <w:shd w:val="clear" w:color="auto" w:fill="auto"/>
            <w:vAlign w:val="center"/>
          </w:tcPr>
          <w:p w14:paraId="3E491C2B">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2.6</w:t>
            </w:r>
          </w:p>
        </w:tc>
        <w:tc>
          <w:tcPr>
            <w:tcW w:w="373" w:type="pct"/>
            <w:shd w:val="clear" w:color="auto" w:fill="auto"/>
            <w:vAlign w:val="center"/>
          </w:tcPr>
          <w:p w14:paraId="2F2A877D">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8" w:type="pct"/>
            <w:shd w:val="clear" w:color="auto" w:fill="auto"/>
            <w:vAlign w:val="center"/>
          </w:tcPr>
          <w:p w14:paraId="3F4B6C1E">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3.3</w:t>
            </w:r>
          </w:p>
        </w:tc>
        <w:tc>
          <w:tcPr>
            <w:tcW w:w="235" w:type="pct"/>
            <w:shd w:val="clear" w:color="auto" w:fill="auto"/>
            <w:vAlign w:val="center"/>
          </w:tcPr>
          <w:p w14:paraId="6384A617">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4a</w:t>
            </w:r>
            <w:r>
              <w:rPr>
                <w:rFonts w:hint="eastAsia" w:ascii="宋体" w:hAnsi="宋体" w:eastAsia="宋体" w:cs="Times New Roman"/>
                <w:kern w:val="0"/>
                <w:szCs w:val="21"/>
              </w:rPr>
              <w:t>类</w:t>
            </w:r>
          </w:p>
        </w:tc>
        <w:tc>
          <w:tcPr>
            <w:tcW w:w="426" w:type="pct"/>
            <w:shd w:val="clear" w:color="auto" w:fill="auto"/>
            <w:vAlign w:val="center"/>
          </w:tcPr>
          <w:p w14:paraId="1C9D4152">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w:t>
            </w:r>
          </w:p>
        </w:tc>
      </w:tr>
      <w:tr w14:paraId="39E033F6">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182" w:type="pct"/>
            <w:vMerge w:val="continue"/>
            <w:vAlign w:val="center"/>
          </w:tcPr>
          <w:p w14:paraId="7408C413">
            <w:pPr>
              <w:widowControl/>
              <w:spacing w:line="240" w:lineRule="exact"/>
              <w:jc w:val="center"/>
              <w:rPr>
                <w:rFonts w:ascii="Times New Roman" w:hAnsi="Times New Roman" w:eastAsia="宋体" w:cs="Times New Roman"/>
                <w:kern w:val="0"/>
                <w:szCs w:val="21"/>
              </w:rPr>
            </w:pPr>
          </w:p>
        </w:tc>
        <w:tc>
          <w:tcPr>
            <w:tcW w:w="504" w:type="pct"/>
            <w:vMerge w:val="continue"/>
            <w:vAlign w:val="center"/>
          </w:tcPr>
          <w:p w14:paraId="3A7AFD07">
            <w:pPr>
              <w:widowControl/>
              <w:spacing w:line="240" w:lineRule="exact"/>
              <w:jc w:val="center"/>
              <w:rPr>
                <w:rFonts w:ascii="Times New Roman" w:hAnsi="Times New Roman" w:eastAsia="宋体" w:cs="Times New Roman"/>
                <w:kern w:val="0"/>
                <w:szCs w:val="21"/>
              </w:rPr>
            </w:pPr>
          </w:p>
        </w:tc>
        <w:tc>
          <w:tcPr>
            <w:tcW w:w="252" w:type="pct"/>
            <w:vMerge w:val="continue"/>
            <w:vAlign w:val="center"/>
          </w:tcPr>
          <w:p w14:paraId="179BB6DC">
            <w:pPr>
              <w:widowControl/>
              <w:spacing w:line="240" w:lineRule="exact"/>
              <w:jc w:val="center"/>
              <w:rPr>
                <w:rFonts w:ascii="Times New Roman" w:hAnsi="Times New Roman" w:eastAsia="宋体" w:cs="Times New Roman"/>
                <w:kern w:val="0"/>
                <w:szCs w:val="21"/>
              </w:rPr>
            </w:pPr>
          </w:p>
        </w:tc>
        <w:tc>
          <w:tcPr>
            <w:tcW w:w="303" w:type="pct"/>
            <w:shd w:val="clear" w:color="auto" w:fill="auto"/>
            <w:vAlign w:val="center"/>
          </w:tcPr>
          <w:p w14:paraId="2861117F">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55</w:t>
            </w:r>
          </w:p>
        </w:tc>
        <w:tc>
          <w:tcPr>
            <w:tcW w:w="252" w:type="pct"/>
            <w:vMerge w:val="continue"/>
            <w:vAlign w:val="center"/>
          </w:tcPr>
          <w:p w14:paraId="51F5050D">
            <w:pPr>
              <w:widowControl/>
              <w:spacing w:line="240" w:lineRule="exact"/>
              <w:jc w:val="center"/>
              <w:rPr>
                <w:rFonts w:ascii="Times New Roman" w:hAnsi="Times New Roman" w:eastAsia="宋体" w:cs="Times New Roman"/>
                <w:kern w:val="0"/>
                <w:szCs w:val="21"/>
              </w:rPr>
            </w:pPr>
          </w:p>
        </w:tc>
        <w:tc>
          <w:tcPr>
            <w:tcW w:w="353" w:type="pct"/>
            <w:vMerge w:val="continue"/>
            <w:vAlign w:val="center"/>
          </w:tcPr>
          <w:p w14:paraId="3709BE97">
            <w:pPr>
              <w:widowControl/>
              <w:spacing w:line="240" w:lineRule="exact"/>
              <w:jc w:val="center"/>
              <w:rPr>
                <w:rFonts w:ascii="Times New Roman" w:hAnsi="Times New Roman" w:eastAsia="宋体" w:cs="Times New Roman"/>
                <w:kern w:val="0"/>
                <w:szCs w:val="21"/>
              </w:rPr>
            </w:pPr>
          </w:p>
        </w:tc>
        <w:tc>
          <w:tcPr>
            <w:tcW w:w="252" w:type="pct"/>
            <w:vMerge w:val="continue"/>
            <w:vAlign w:val="center"/>
          </w:tcPr>
          <w:p w14:paraId="0027F3C7">
            <w:pPr>
              <w:widowControl/>
              <w:spacing w:line="240" w:lineRule="exact"/>
              <w:jc w:val="center"/>
              <w:rPr>
                <w:rFonts w:ascii="Times New Roman" w:hAnsi="Times New Roman" w:eastAsia="宋体" w:cs="Times New Roman"/>
                <w:kern w:val="0"/>
                <w:szCs w:val="21"/>
              </w:rPr>
            </w:pPr>
          </w:p>
        </w:tc>
        <w:tc>
          <w:tcPr>
            <w:tcW w:w="372" w:type="pct"/>
            <w:shd w:val="clear" w:color="auto" w:fill="auto"/>
            <w:vAlign w:val="center"/>
          </w:tcPr>
          <w:p w14:paraId="6BE34694">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3" w:type="pct"/>
            <w:shd w:val="clear" w:color="auto" w:fill="auto"/>
            <w:vAlign w:val="center"/>
          </w:tcPr>
          <w:p w14:paraId="67EFCCBA">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2.7</w:t>
            </w:r>
          </w:p>
        </w:tc>
        <w:tc>
          <w:tcPr>
            <w:tcW w:w="373" w:type="pct"/>
            <w:shd w:val="clear" w:color="auto" w:fill="auto"/>
            <w:vAlign w:val="center"/>
          </w:tcPr>
          <w:p w14:paraId="0C493304">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2" w:type="pct"/>
            <w:shd w:val="clear" w:color="auto" w:fill="auto"/>
            <w:vAlign w:val="center"/>
          </w:tcPr>
          <w:p w14:paraId="6C2977B6">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3.5</w:t>
            </w:r>
          </w:p>
        </w:tc>
        <w:tc>
          <w:tcPr>
            <w:tcW w:w="373" w:type="pct"/>
            <w:shd w:val="clear" w:color="auto" w:fill="auto"/>
            <w:vAlign w:val="center"/>
          </w:tcPr>
          <w:p w14:paraId="780C7DD1">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8" w:type="pct"/>
            <w:shd w:val="clear" w:color="auto" w:fill="auto"/>
            <w:vAlign w:val="center"/>
          </w:tcPr>
          <w:p w14:paraId="58CB8CC2">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4.2</w:t>
            </w:r>
          </w:p>
        </w:tc>
        <w:tc>
          <w:tcPr>
            <w:tcW w:w="235" w:type="pct"/>
            <w:shd w:val="clear" w:color="auto" w:fill="auto"/>
            <w:vAlign w:val="center"/>
          </w:tcPr>
          <w:p w14:paraId="74C55312">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w:t>
            </w:r>
            <w:r>
              <w:rPr>
                <w:rFonts w:hint="eastAsia" w:ascii="宋体" w:hAnsi="宋体" w:eastAsia="宋体" w:cs="Times New Roman"/>
                <w:kern w:val="0"/>
                <w:szCs w:val="21"/>
              </w:rPr>
              <w:t>类</w:t>
            </w:r>
          </w:p>
        </w:tc>
        <w:tc>
          <w:tcPr>
            <w:tcW w:w="426" w:type="pct"/>
            <w:shd w:val="clear" w:color="auto" w:fill="auto"/>
            <w:vAlign w:val="center"/>
          </w:tcPr>
          <w:p w14:paraId="617B5D3B">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30</w:t>
            </w:r>
          </w:p>
        </w:tc>
      </w:tr>
      <w:tr w14:paraId="2EF4CBA2">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182" w:type="pct"/>
            <w:vMerge w:val="restart"/>
            <w:shd w:val="clear" w:color="auto" w:fill="auto"/>
            <w:vAlign w:val="center"/>
          </w:tcPr>
          <w:p w14:paraId="2A55B947">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17</w:t>
            </w:r>
          </w:p>
        </w:tc>
        <w:tc>
          <w:tcPr>
            <w:tcW w:w="504" w:type="pct"/>
            <w:vMerge w:val="restart"/>
            <w:shd w:val="clear" w:color="auto" w:fill="auto"/>
            <w:vAlign w:val="center"/>
          </w:tcPr>
          <w:p w14:paraId="16A54BC2">
            <w:pPr>
              <w:widowControl/>
              <w:spacing w:line="240" w:lineRule="exact"/>
              <w:jc w:val="center"/>
              <w:rPr>
                <w:rFonts w:ascii="Times New Roman" w:hAnsi="Times New Roman" w:eastAsia="宋体" w:cs="Times New Roman"/>
                <w:kern w:val="0"/>
                <w:szCs w:val="21"/>
              </w:rPr>
            </w:pPr>
            <w:r>
              <w:rPr>
                <w:rFonts w:hint="eastAsia" w:ascii="宋体" w:hAnsi="宋体" w:eastAsia="宋体" w:cs="Times New Roman"/>
                <w:kern w:val="0"/>
                <w:szCs w:val="21"/>
              </w:rPr>
              <w:t>提木村</w:t>
            </w:r>
          </w:p>
        </w:tc>
        <w:tc>
          <w:tcPr>
            <w:tcW w:w="252" w:type="pct"/>
            <w:vMerge w:val="restart"/>
            <w:shd w:val="clear" w:color="auto" w:fill="auto"/>
            <w:vAlign w:val="center"/>
          </w:tcPr>
          <w:p w14:paraId="478FCF41">
            <w:pPr>
              <w:widowControl/>
              <w:spacing w:line="240" w:lineRule="exact"/>
              <w:jc w:val="center"/>
              <w:rPr>
                <w:rFonts w:ascii="Times New Roman" w:hAnsi="Times New Roman" w:eastAsia="宋体" w:cs="Times New Roman"/>
                <w:kern w:val="0"/>
                <w:szCs w:val="21"/>
              </w:rPr>
            </w:pPr>
            <w:r>
              <w:rPr>
                <w:rFonts w:hint="eastAsia" w:ascii="宋体" w:hAnsi="宋体" w:eastAsia="宋体" w:cs="Times New Roman"/>
                <w:kern w:val="0"/>
                <w:szCs w:val="21"/>
              </w:rPr>
              <w:t>两侧</w:t>
            </w:r>
          </w:p>
        </w:tc>
        <w:tc>
          <w:tcPr>
            <w:tcW w:w="303" w:type="pct"/>
            <w:shd w:val="clear" w:color="auto" w:fill="auto"/>
            <w:vAlign w:val="center"/>
          </w:tcPr>
          <w:p w14:paraId="085F8AEE">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23</w:t>
            </w:r>
          </w:p>
        </w:tc>
        <w:tc>
          <w:tcPr>
            <w:tcW w:w="252" w:type="pct"/>
            <w:vMerge w:val="restart"/>
            <w:shd w:val="clear" w:color="auto" w:fill="auto"/>
            <w:vAlign w:val="center"/>
          </w:tcPr>
          <w:p w14:paraId="5B8F277A">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w:t>
            </w:r>
          </w:p>
        </w:tc>
        <w:tc>
          <w:tcPr>
            <w:tcW w:w="353" w:type="pct"/>
            <w:vMerge w:val="restart"/>
            <w:shd w:val="clear" w:color="auto" w:fill="auto"/>
            <w:vAlign w:val="center"/>
          </w:tcPr>
          <w:p w14:paraId="1C365511">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0</w:t>
            </w:r>
          </w:p>
        </w:tc>
        <w:tc>
          <w:tcPr>
            <w:tcW w:w="252" w:type="pct"/>
            <w:vMerge w:val="restart"/>
            <w:shd w:val="clear" w:color="auto" w:fill="auto"/>
            <w:vAlign w:val="center"/>
          </w:tcPr>
          <w:p w14:paraId="5AEA2F97">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w:t>
            </w:r>
            <w:r>
              <w:rPr>
                <w:rFonts w:hint="eastAsia" w:ascii="宋体" w:hAnsi="宋体" w:eastAsia="宋体" w:cs="Times New Roman"/>
                <w:kern w:val="0"/>
                <w:szCs w:val="21"/>
              </w:rPr>
              <w:t>层</w:t>
            </w:r>
          </w:p>
        </w:tc>
        <w:tc>
          <w:tcPr>
            <w:tcW w:w="372" w:type="pct"/>
            <w:shd w:val="clear" w:color="auto" w:fill="auto"/>
            <w:vAlign w:val="center"/>
          </w:tcPr>
          <w:p w14:paraId="1427104E">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3" w:type="pct"/>
            <w:shd w:val="clear" w:color="auto" w:fill="auto"/>
            <w:vAlign w:val="center"/>
          </w:tcPr>
          <w:p w14:paraId="41E19FB6">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2.3</w:t>
            </w:r>
          </w:p>
        </w:tc>
        <w:tc>
          <w:tcPr>
            <w:tcW w:w="373" w:type="pct"/>
            <w:shd w:val="clear" w:color="auto" w:fill="auto"/>
            <w:vAlign w:val="center"/>
          </w:tcPr>
          <w:p w14:paraId="437B679A">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2" w:type="pct"/>
            <w:shd w:val="clear" w:color="auto" w:fill="auto"/>
            <w:vAlign w:val="center"/>
          </w:tcPr>
          <w:p w14:paraId="11E0B902">
            <w:pPr>
              <w:widowControl/>
              <w:spacing w:line="240" w:lineRule="exact"/>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3.0</w:t>
            </w:r>
          </w:p>
        </w:tc>
        <w:tc>
          <w:tcPr>
            <w:tcW w:w="373" w:type="pct"/>
            <w:shd w:val="clear" w:color="auto" w:fill="auto"/>
            <w:vAlign w:val="center"/>
          </w:tcPr>
          <w:p w14:paraId="7A72D241">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8" w:type="pct"/>
            <w:shd w:val="clear" w:color="auto" w:fill="auto"/>
            <w:vAlign w:val="center"/>
          </w:tcPr>
          <w:p w14:paraId="74E6ED6D">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3.8</w:t>
            </w:r>
          </w:p>
        </w:tc>
        <w:tc>
          <w:tcPr>
            <w:tcW w:w="235" w:type="pct"/>
            <w:shd w:val="clear" w:color="auto" w:fill="auto"/>
            <w:vAlign w:val="center"/>
          </w:tcPr>
          <w:p w14:paraId="1187DEE9">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4a</w:t>
            </w:r>
            <w:r>
              <w:rPr>
                <w:rFonts w:hint="eastAsia" w:ascii="宋体" w:hAnsi="宋体" w:eastAsia="宋体" w:cs="Times New Roman"/>
                <w:kern w:val="0"/>
                <w:szCs w:val="21"/>
              </w:rPr>
              <w:t>类</w:t>
            </w:r>
          </w:p>
        </w:tc>
        <w:tc>
          <w:tcPr>
            <w:tcW w:w="426" w:type="pct"/>
            <w:shd w:val="clear" w:color="auto" w:fill="auto"/>
            <w:vAlign w:val="center"/>
          </w:tcPr>
          <w:p w14:paraId="68983478">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8</w:t>
            </w:r>
          </w:p>
        </w:tc>
      </w:tr>
      <w:tr w14:paraId="4A077870">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182" w:type="pct"/>
            <w:vMerge w:val="continue"/>
            <w:vAlign w:val="center"/>
          </w:tcPr>
          <w:p w14:paraId="2BD331F8">
            <w:pPr>
              <w:widowControl/>
              <w:spacing w:line="240" w:lineRule="exact"/>
              <w:jc w:val="center"/>
              <w:rPr>
                <w:rFonts w:ascii="Times New Roman" w:hAnsi="Times New Roman" w:eastAsia="宋体" w:cs="Times New Roman"/>
                <w:kern w:val="0"/>
                <w:szCs w:val="21"/>
              </w:rPr>
            </w:pPr>
          </w:p>
        </w:tc>
        <w:tc>
          <w:tcPr>
            <w:tcW w:w="504" w:type="pct"/>
            <w:vMerge w:val="continue"/>
            <w:vAlign w:val="center"/>
          </w:tcPr>
          <w:p w14:paraId="1CE1B5CE">
            <w:pPr>
              <w:widowControl/>
              <w:spacing w:line="240" w:lineRule="exact"/>
              <w:jc w:val="center"/>
              <w:rPr>
                <w:rFonts w:ascii="Times New Roman" w:hAnsi="Times New Roman" w:eastAsia="宋体" w:cs="Times New Roman"/>
                <w:kern w:val="0"/>
                <w:szCs w:val="21"/>
              </w:rPr>
            </w:pPr>
          </w:p>
        </w:tc>
        <w:tc>
          <w:tcPr>
            <w:tcW w:w="252" w:type="pct"/>
            <w:vMerge w:val="continue"/>
            <w:vAlign w:val="center"/>
          </w:tcPr>
          <w:p w14:paraId="135616D7">
            <w:pPr>
              <w:widowControl/>
              <w:spacing w:line="240" w:lineRule="exact"/>
              <w:jc w:val="center"/>
              <w:rPr>
                <w:rFonts w:ascii="Times New Roman" w:hAnsi="Times New Roman" w:eastAsia="宋体" w:cs="Times New Roman"/>
                <w:kern w:val="0"/>
                <w:szCs w:val="21"/>
              </w:rPr>
            </w:pPr>
          </w:p>
        </w:tc>
        <w:tc>
          <w:tcPr>
            <w:tcW w:w="303" w:type="pct"/>
            <w:shd w:val="clear" w:color="auto" w:fill="auto"/>
            <w:vAlign w:val="center"/>
          </w:tcPr>
          <w:p w14:paraId="4B7C6420">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58</w:t>
            </w:r>
          </w:p>
        </w:tc>
        <w:tc>
          <w:tcPr>
            <w:tcW w:w="252" w:type="pct"/>
            <w:vMerge w:val="continue"/>
            <w:vAlign w:val="center"/>
          </w:tcPr>
          <w:p w14:paraId="7961647A">
            <w:pPr>
              <w:widowControl/>
              <w:spacing w:line="240" w:lineRule="exact"/>
              <w:jc w:val="center"/>
              <w:rPr>
                <w:rFonts w:ascii="Times New Roman" w:hAnsi="Times New Roman" w:eastAsia="宋体" w:cs="Times New Roman"/>
                <w:kern w:val="0"/>
                <w:szCs w:val="21"/>
              </w:rPr>
            </w:pPr>
          </w:p>
        </w:tc>
        <w:tc>
          <w:tcPr>
            <w:tcW w:w="353" w:type="pct"/>
            <w:vMerge w:val="continue"/>
            <w:vAlign w:val="center"/>
          </w:tcPr>
          <w:p w14:paraId="458162FD">
            <w:pPr>
              <w:widowControl/>
              <w:spacing w:line="240" w:lineRule="exact"/>
              <w:jc w:val="center"/>
              <w:rPr>
                <w:rFonts w:ascii="Times New Roman" w:hAnsi="Times New Roman" w:eastAsia="宋体" w:cs="Times New Roman"/>
                <w:kern w:val="0"/>
                <w:szCs w:val="21"/>
              </w:rPr>
            </w:pPr>
          </w:p>
        </w:tc>
        <w:tc>
          <w:tcPr>
            <w:tcW w:w="252" w:type="pct"/>
            <w:vMerge w:val="continue"/>
            <w:vAlign w:val="center"/>
          </w:tcPr>
          <w:p w14:paraId="6B72888A">
            <w:pPr>
              <w:widowControl/>
              <w:spacing w:line="240" w:lineRule="exact"/>
              <w:jc w:val="center"/>
              <w:rPr>
                <w:rFonts w:ascii="Times New Roman" w:hAnsi="Times New Roman" w:eastAsia="宋体" w:cs="Times New Roman"/>
                <w:kern w:val="0"/>
                <w:szCs w:val="21"/>
              </w:rPr>
            </w:pPr>
          </w:p>
        </w:tc>
        <w:tc>
          <w:tcPr>
            <w:tcW w:w="372" w:type="pct"/>
            <w:shd w:val="clear" w:color="auto" w:fill="auto"/>
            <w:vAlign w:val="center"/>
          </w:tcPr>
          <w:p w14:paraId="601C898F">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3" w:type="pct"/>
            <w:shd w:val="clear" w:color="auto" w:fill="auto"/>
            <w:vAlign w:val="center"/>
          </w:tcPr>
          <w:p w14:paraId="3256CA20">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2.4</w:t>
            </w:r>
          </w:p>
        </w:tc>
        <w:tc>
          <w:tcPr>
            <w:tcW w:w="373" w:type="pct"/>
            <w:shd w:val="clear" w:color="auto" w:fill="auto"/>
            <w:vAlign w:val="center"/>
          </w:tcPr>
          <w:p w14:paraId="4BEB3E18">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2" w:type="pct"/>
            <w:shd w:val="clear" w:color="auto" w:fill="auto"/>
            <w:vAlign w:val="center"/>
          </w:tcPr>
          <w:p w14:paraId="41815449">
            <w:pPr>
              <w:widowControl/>
              <w:spacing w:line="240" w:lineRule="exact"/>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3.0</w:t>
            </w:r>
          </w:p>
        </w:tc>
        <w:tc>
          <w:tcPr>
            <w:tcW w:w="373" w:type="pct"/>
            <w:shd w:val="clear" w:color="auto" w:fill="auto"/>
            <w:vAlign w:val="center"/>
          </w:tcPr>
          <w:p w14:paraId="4C5AAF39">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8" w:type="pct"/>
            <w:shd w:val="clear" w:color="auto" w:fill="auto"/>
            <w:vAlign w:val="center"/>
          </w:tcPr>
          <w:p w14:paraId="738CD577">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3.9</w:t>
            </w:r>
          </w:p>
        </w:tc>
        <w:tc>
          <w:tcPr>
            <w:tcW w:w="235" w:type="pct"/>
            <w:shd w:val="clear" w:color="auto" w:fill="auto"/>
            <w:vAlign w:val="center"/>
          </w:tcPr>
          <w:p w14:paraId="08AF495F">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w:t>
            </w:r>
            <w:r>
              <w:rPr>
                <w:rFonts w:hint="eastAsia" w:ascii="宋体" w:hAnsi="宋体" w:eastAsia="宋体" w:cs="Times New Roman"/>
                <w:kern w:val="0"/>
                <w:szCs w:val="21"/>
              </w:rPr>
              <w:t>类</w:t>
            </w:r>
          </w:p>
        </w:tc>
        <w:tc>
          <w:tcPr>
            <w:tcW w:w="426" w:type="pct"/>
            <w:shd w:val="clear" w:color="auto" w:fill="auto"/>
            <w:vAlign w:val="center"/>
          </w:tcPr>
          <w:p w14:paraId="0D297316">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42</w:t>
            </w:r>
          </w:p>
        </w:tc>
      </w:tr>
      <w:tr w14:paraId="5162383D">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182" w:type="pct"/>
            <w:vMerge w:val="restart"/>
            <w:shd w:val="clear" w:color="auto" w:fill="auto"/>
            <w:vAlign w:val="center"/>
          </w:tcPr>
          <w:p w14:paraId="79B26E34">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18</w:t>
            </w:r>
          </w:p>
        </w:tc>
        <w:tc>
          <w:tcPr>
            <w:tcW w:w="504" w:type="pct"/>
            <w:vMerge w:val="restart"/>
            <w:shd w:val="clear" w:color="auto" w:fill="auto"/>
            <w:vAlign w:val="center"/>
          </w:tcPr>
          <w:p w14:paraId="3A887F85">
            <w:pPr>
              <w:widowControl/>
              <w:spacing w:line="240" w:lineRule="exact"/>
              <w:jc w:val="center"/>
              <w:rPr>
                <w:rFonts w:ascii="Times New Roman" w:hAnsi="Times New Roman" w:eastAsia="宋体" w:cs="Times New Roman"/>
                <w:kern w:val="0"/>
                <w:szCs w:val="21"/>
              </w:rPr>
            </w:pPr>
            <w:r>
              <w:rPr>
                <w:rFonts w:hint="eastAsia" w:ascii="宋体" w:hAnsi="宋体" w:eastAsia="宋体" w:cs="Times New Roman"/>
                <w:kern w:val="0"/>
                <w:szCs w:val="21"/>
              </w:rPr>
              <w:t>吐碗</w:t>
            </w:r>
          </w:p>
        </w:tc>
        <w:tc>
          <w:tcPr>
            <w:tcW w:w="252" w:type="pct"/>
            <w:vMerge w:val="restart"/>
            <w:shd w:val="clear" w:color="auto" w:fill="auto"/>
            <w:vAlign w:val="center"/>
          </w:tcPr>
          <w:p w14:paraId="648DA293">
            <w:pPr>
              <w:widowControl/>
              <w:spacing w:line="240" w:lineRule="exact"/>
              <w:jc w:val="center"/>
              <w:rPr>
                <w:rFonts w:ascii="Times New Roman" w:hAnsi="Times New Roman" w:eastAsia="宋体" w:cs="Times New Roman"/>
                <w:kern w:val="0"/>
                <w:szCs w:val="21"/>
              </w:rPr>
            </w:pPr>
            <w:r>
              <w:rPr>
                <w:rFonts w:hint="eastAsia" w:ascii="宋体" w:hAnsi="宋体" w:eastAsia="宋体" w:cs="Times New Roman"/>
                <w:kern w:val="0"/>
                <w:szCs w:val="21"/>
              </w:rPr>
              <w:t>路右</w:t>
            </w:r>
          </w:p>
        </w:tc>
        <w:tc>
          <w:tcPr>
            <w:tcW w:w="303" w:type="pct"/>
            <w:shd w:val="clear" w:color="auto" w:fill="auto"/>
            <w:vAlign w:val="center"/>
          </w:tcPr>
          <w:p w14:paraId="6CA2194D">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21</w:t>
            </w:r>
          </w:p>
        </w:tc>
        <w:tc>
          <w:tcPr>
            <w:tcW w:w="252" w:type="pct"/>
            <w:vMerge w:val="restart"/>
            <w:shd w:val="clear" w:color="auto" w:fill="auto"/>
            <w:vAlign w:val="center"/>
          </w:tcPr>
          <w:p w14:paraId="656A22CD">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w:t>
            </w:r>
          </w:p>
        </w:tc>
        <w:tc>
          <w:tcPr>
            <w:tcW w:w="353" w:type="pct"/>
            <w:vMerge w:val="restart"/>
            <w:shd w:val="clear" w:color="auto" w:fill="auto"/>
            <w:vAlign w:val="center"/>
          </w:tcPr>
          <w:p w14:paraId="2B75869A">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0</w:t>
            </w:r>
          </w:p>
        </w:tc>
        <w:tc>
          <w:tcPr>
            <w:tcW w:w="252" w:type="pct"/>
            <w:vMerge w:val="restart"/>
            <w:shd w:val="clear" w:color="auto" w:fill="auto"/>
            <w:vAlign w:val="center"/>
          </w:tcPr>
          <w:p w14:paraId="5B3781F1">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w:t>
            </w:r>
            <w:r>
              <w:rPr>
                <w:rFonts w:hint="eastAsia" w:ascii="宋体" w:hAnsi="宋体" w:eastAsia="宋体" w:cs="Times New Roman"/>
                <w:kern w:val="0"/>
                <w:szCs w:val="21"/>
              </w:rPr>
              <w:t>层</w:t>
            </w:r>
          </w:p>
        </w:tc>
        <w:tc>
          <w:tcPr>
            <w:tcW w:w="372" w:type="pct"/>
            <w:shd w:val="clear" w:color="auto" w:fill="auto"/>
            <w:vAlign w:val="center"/>
          </w:tcPr>
          <w:p w14:paraId="745C9604">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3" w:type="pct"/>
            <w:shd w:val="clear" w:color="auto" w:fill="auto"/>
            <w:vAlign w:val="center"/>
          </w:tcPr>
          <w:p w14:paraId="6AF2A9CB">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5.7</w:t>
            </w:r>
          </w:p>
        </w:tc>
        <w:tc>
          <w:tcPr>
            <w:tcW w:w="373" w:type="pct"/>
            <w:shd w:val="clear" w:color="auto" w:fill="auto"/>
            <w:vAlign w:val="center"/>
          </w:tcPr>
          <w:p w14:paraId="5C31DFFE">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2" w:type="pct"/>
            <w:shd w:val="clear" w:color="auto" w:fill="auto"/>
            <w:vAlign w:val="center"/>
          </w:tcPr>
          <w:p w14:paraId="3627940C">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6.5</w:t>
            </w:r>
          </w:p>
        </w:tc>
        <w:tc>
          <w:tcPr>
            <w:tcW w:w="373" w:type="pct"/>
            <w:shd w:val="clear" w:color="auto" w:fill="auto"/>
            <w:vAlign w:val="center"/>
          </w:tcPr>
          <w:p w14:paraId="087599DD">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8" w:type="pct"/>
            <w:shd w:val="clear" w:color="auto" w:fill="auto"/>
            <w:vAlign w:val="center"/>
          </w:tcPr>
          <w:p w14:paraId="1EB1AFEC">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7.2</w:t>
            </w:r>
          </w:p>
        </w:tc>
        <w:tc>
          <w:tcPr>
            <w:tcW w:w="235" w:type="pct"/>
            <w:shd w:val="clear" w:color="auto" w:fill="auto"/>
            <w:vAlign w:val="center"/>
          </w:tcPr>
          <w:p w14:paraId="58327F21">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4a</w:t>
            </w:r>
            <w:r>
              <w:rPr>
                <w:rFonts w:hint="eastAsia" w:ascii="宋体" w:hAnsi="宋体" w:eastAsia="宋体" w:cs="Times New Roman"/>
                <w:kern w:val="0"/>
                <w:szCs w:val="21"/>
              </w:rPr>
              <w:t>类</w:t>
            </w:r>
          </w:p>
        </w:tc>
        <w:tc>
          <w:tcPr>
            <w:tcW w:w="426" w:type="pct"/>
            <w:shd w:val="clear" w:color="auto" w:fill="auto"/>
            <w:vAlign w:val="center"/>
          </w:tcPr>
          <w:p w14:paraId="673589BC">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3</w:t>
            </w:r>
          </w:p>
        </w:tc>
      </w:tr>
      <w:tr w14:paraId="1610E910">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182" w:type="pct"/>
            <w:vMerge w:val="continue"/>
            <w:vAlign w:val="center"/>
          </w:tcPr>
          <w:p w14:paraId="54EE4736">
            <w:pPr>
              <w:widowControl/>
              <w:spacing w:line="240" w:lineRule="exact"/>
              <w:jc w:val="center"/>
              <w:rPr>
                <w:rFonts w:ascii="Times New Roman" w:hAnsi="Times New Roman" w:eastAsia="宋体" w:cs="Times New Roman"/>
                <w:kern w:val="0"/>
                <w:szCs w:val="21"/>
              </w:rPr>
            </w:pPr>
          </w:p>
        </w:tc>
        <w:tc>
          <w:tcPr>
            <w:tcW w:w="504" w:type="pct"/>
            <w:vMerge w:val="continue"/>
            <w:vAlign w:val="center"/>
          </w:tcPr>
          <w:p w14:paraId="3BEE1A59">
            <w:pPr>
              <w:widowControl/>
              <w:spacing w:line="240" w:lineRule="exact"/>
              <w:jc w:val="center"/>
              <w:rPr>
                <w:rFonts w:ascii="Times New Roman" w:hAnsi="Times New Roman" w:eastAsia="宋体" w:cs="Times New Roman"/>
                <w:kern w:val="0"/>
                <w:szCs w:val="21"/>
              </w:rPr>
            </w:pPr>
          </w:p>
        </w:tc>
        <w:tc>
          <w:tcPr>
            <w:tcW w:w="252" w:type="pct"/>
            <w:vMerge w:val="continue"/>
            <w:vAlign w:val="center"/>
          </w:tcPr>
          <w:p w14:paraId="4CB6425C">
            <w:pPr>
              <w:widowControl/>
              <w:spacing w:line="240" w:lineRule="exact"/>
              <w:jc w:val="center"/>
              <w:rPr>
                <w:rFonts w:ascii="Times New Roman" w:hAnsi="Times New Roman" w:eastAsia="宋体" w:cs="Times New Roman"/>
                <w:kern w:val="0"/>
                <w:szCs w:val="21"/>
              </w:rPr>
            </w:pPr>
          </w:p>
        </w:tc>
        <w:tc>
          <w:tcPr>
            <w:tcW w:w="303" w:type="pct"/>
            <w:shd w:val="clear" w:color="auto" w:fill="auto"/>
            <w:vAlign w:val="center"/>
          </w:tcPr>
          <w:p w14:paraId="5697FA29">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57</w:t>
            </w:r>
          </w:p>
        </w:tc>
        <w:tc>
          <w:tcPr>
            <w:tcW w:w="252" w:type="pct"/>
            <w:vMerge w:val="continue"/>
            <w:vAlign w:val="center"/>
          </w:tcPr>
          <w:p w14:paraId="79A12E33">
            <w:pPr>
              <w:widowControl/>
              <w:spacing w:line="240" w:lineRule="exact"/>
              <w:jc w:val="center"/>
              <w:rPr>
                <w:rFonts w:ascii="Times New Roman" w:hAnsi="Times New Roman" w:eastAsia="宋体" w:cs="Times New Roman"/>
                <w:kern w:val="0"/>
                <w:szCs w:val="21"/>
              </w:rPr>
            </w:pPr>
          </w:p>
        </w:tc>
        <w:tc>
          <w:tcPr>
            <w:tcW w:w="353" w:type="pct"/>
            <w:vMerge w:val="continue"/>
            <w:vAlign w:val="center"/>
          </w:tcPr>
          <w:p w14:paraId="52D1EEB7">
            <w:pPr>
              <w:widowControl/>
              <w:spacing w:line="240" w:lineRule="exact"/>
              <w:jc w:val="center"/>
              <w:rPr>
                <w:rFonts w:ascii="Times New Roman" w:hAnsi="Times New Roman" w:eastAsia="宋体" w:cs="Times New Roman"/>
                <w:kern w:val="0"/>
                <w:szCs w:val="21"/>
              </w:rPr>
            </w:pPr>
          </w:p>
        </w:tc>
        <w:tc>
          <w:tcPr>
            <w:tcW w:w="252" w:type="pct"/>
            <w:vMerge w:val="continue"/>
            <w:vAlign w:val="center"/>
          </w:tcPr>
          <w:p w14:paraId="1FCD8DDA">
            <w:pPr>
              <w:widowControl/>
              <w:spacing w:line="240" w:lineRule="exact"/>
              <w:jc w:val="center"/>
              <w:rPr>
                <w:rFonts w:ascii="Times New Roman" w:hAnsi="Times New Roman" w:eastAsia="宋体" w:cs="Times New Roman"/>
                <w:kern w:val="0"/>
                <w:szCs w:val="21"/>
              </w:rPr>
            </w:pPr>
          </w:p>
        </w:tc>
        <w:tc>
          <w:tcPr>
            <w:tcW w:w="372" w:type="pct"/>
            <w:shd w:val="clear" w:color="auto" w:fill="auto"/>
            <w:vAlign w:val="center"/>
          </w:tcPr>
          <w:p w14:paraId="5FD9140A">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3" w:type="pct"/>
            <w:shd w:val="clear" w:color="auto" w:fill="auto"/>
            <w:vAlign w:val="center"/>
          </w:tcPr>
          <w:p w14:paraId="6BB7E976">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4.1</w:t>
            </w:r>
          </w:p>
        </w:tc>
        <w:tc>
          <w:tcPr>
            <w:tcW w:w="373" w:type="pct"/>
            <w:shd w:val="clear" w:color="auto" w:fill="auto"/>
            <w:vAlign w:val="center"/>
          </w:tcPr>
          <w:p w14:paraId="590F9679">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2" w:type="pct"/>
            <w:shd w:val="clear" w:color="auto" w:fill="auto"/>
            <w:vAlign w:val="center"/>
          </w:tcPr>
          <w:p w14:paraId="62F22AD0">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4.9</w:t>
            </w:r>
          </w:p>
        </w:tc>
        <w:tc>
          <w:tcPr>
            <w:tcW w:w="373" w:type="pct"/>
            <w:shd w:val="clear" w:color="auto" w:fill="auto"/>
            <w:vAlign w:val="center"/>
          </w:tcPr>
          <w:p w14:paraId="4FAC3452">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8" w:type="pct"/>
            <w:shd w:val="clear" w:color="auto" w:fill="auto"/>
            <w:vAlign w:val="center"/>
          </w:tcPr>
          <w:p w14:paraId="6F59F49B">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5.6</w:t>
            </w:r>
          </w:p>
        </w:tc>
        <w:tc>
          <w:tcPr>
            <w:tcW w:w="235" w:type="pct"/>
            <w:shd w:val="clear" w:color="auto" w:fill="auto"/>
            <w:vAlign w:val="center"/>
          </w:tcPr>
          <w:p w14:paraId="1A65F443">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w:t>
            </w:r>
            <w:r>
              <w:rPr>
                <w:rFonts w:hint="eastAsia" w:ascii="宋体" w:hAnsi="宋体" w:eastAsia="宋体" w:cs="Times New Roman"/>
                <w:kern w:val="0"/>
                <w:szCs w:val="21"/>
              </w:rPr>
              <w:t>类</w:t>
            </w:r>
          </w:p>
        </w:tc>
        <w:tc>
          <w:tcPr>
            <w:tcW w:w="426" w:type="pct"/>
            <w:shd w:val="clear" w:color="auto" w:fill="auto"/>
            <w:vAlign w:val="center"/>
          </w:tcPr>
          <w:p w14:paraId="5BFAEF8E">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7</w:t>
            </w:r>
          </w:p>
        </w:tc>
      </w:tr>
      <w:tr w14:paraId="7628B6FD">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182" w:type="pct"/>
            <w:vMerge w:val="continue"/>
            <w:vAlign w:val="center"/>
          </w:tcPr>
          <w:p w14:paraId="26C1B122">
            <w:pPr>
              <w:widowControl/>
              <w:spacing w:line="240" w:lineRule="exact"/>
              <w:jc w:val="center"/>
              <w:rPr>
                <w:rFonts w:ascii="Times New Roman" w:hAnsi="Times New Roman" w:eastAsia="宋体" w:cs="Times New Roman"/>
                <w:kern w:val="0"/>
                <w:szCs w:val="21"/>
              </w:rPr>
            </w:pPr>
          </w:p>
        </w:tc>
        <w:tc>
          <w:tcPr>
            <w:tcW w:w="504" w:type="pct"/>
            <w:vMerge w:val="continue"/>
            <w:vAlign w:val="center"/>
          </w:tcPr>
          <w:p w14:paraId="12F87A2F">
            <w:pPr>
              <w:widowControl/>
              <w:spacing w:line="240" w:lineRule="exact"/>
              <w:jc w:val="center"/>
              <w:rPr>
                <w:rFonts w:ascii="Times New Roman" w:hAnsi="Times New Roman" w:eastAsia="宋体" w:cs="Times New Roman"/>
                <w:kern w:val="0"/>
                <w:szCs w:val="21"/>
              </w:rPr>
            </w:pPr>
          </w:p>
        </w:tc>
        <w:tc>
          <w:tcPr>
            <w:tcW w:w="252" w:type="pct"/>
            <w:vMerge w:val="restart"/>
            <w:shd w:val="clear" w:color="auto" w:fill="auto"/>
            <w:vAlign w:val="center"/>
          </w:tcPr>
          <w:p w14:paraId="62709BA6">
            <w:pPr>
              <w:widowControl/>
              <w:spacing w:line="240" w:lineRule="exact"/>
              <w:jc w:val="center"/>
              <w:rPr>
                <w:rFonts w:ascii="Times New Roman" w:hAnsi="Times New Roman" w:eastAsia="宋体" w:cs="Times New Roman"/>
                <w:kern w:val="0"/>
                <w:szCs w:val="21"/>
              </w:rPr>
            </w:pPr>
            <w:r>
              <w:rPr>
                <w:rFonts w:hint="eastAsia" w:ascii="宋体" w:hAnsi="宋体" w:eastAsia="宋体" w:cs="Times New Roman"/>
                <w:kern w:val="0"/>
                <w:szCs w:val="21"/>
              </w:rPr>
              <w:t>路左</w:t>
            </w:r>
          </w:p>
        </w:tc>
        <w:tc>
          <w:tcPr>
            <w:tcW w:w="303" w:type="pct"/>
            <w:shd w:val="clear" w:color="auto" w:fill="auto"/>
            <w:vAlign w:val="center"/>
          </w:tcPr>
          <w:p w14:paraId="4C0CD233">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25</w:t>
            </w:r>
          </w:p>
        </w:tc>
        <w:tc>
          <w:tcPr>
            <w:tcW w:w="252" w:type="pct"/>
            <w:vMerge w:val="continue"/>
            <w:vAlign w:val="center"/>
          </w:tcPr>
          <w:p w14:paraId="1253AC9C">
            <w:pPr>
              <w:widowControl/>
              <w:spacing w:line="240" w:lineRule="exact"/>
              <w:jc w:val="center"/>
              <w:rPr>
                <w:rFonts w:ascii="Times New Roman" w:hAnsi="Times New Roman" w:eastAsia="宋体" w:cs="Times New Roman"/>
                <w:kern w:val="0"/>
                <w:szCs w:val="21"/>
              </w:rPr>
            </w:pPr>
          </w:p>
        </w:tc>
        <w:tc>
          <w:tcPr>
            <w:tcW w:w="353" w:type="pct"/>
            <w:vMerge w:val="continue"/>
            <w:vAlign w:val="center"/>
          </w:tcPr>
          <w:p w14:paraId="562F78FF">
            <w:pPr>
              <w:widowControl/>
              <w:spacing w:line="240" w:lineRule="exact"/>
              <w:jc w:val="center"/>
              <w:rPr>
                <w:rFonts w:ascii="Times New Roman" w:hAnsi="Times New Roman" w:eastAsia="宋体" w:cs="Times New Roman"/>
                <w:kern w:val="0"/>
                <w:szCs w:val="21"/>
              </w:rPr>
            </w:pPr>
          </w:p>
        </w:tc>
        <w:tc>
          <w:tcPr>
            <w:tcW w:w="252" w:type="pct"/>
            <w:vMerge w:val="continue"/>
            <w:vAlign w:val="center"/>
          </w:tcPr>
          <w:p w14:paraId="6DFA5EB7">
            <w:pPr>
              <w:widowControl/>
              <w:spacing w:line="240" w:lineRule="exact"/>
              <w:jc w:val="center"/>
              <w:rPr>
                <w:rFonts w:ascii="Times New Roman" w:hAnsi="Times New Roman" w:eastAsia="宋体" w:cs="Times New Roman"/>
                <w:kern w:val="0"/>
                <w:szCs w:val="21"/>
              </w:rPr>
            </w:pPr>
          </w:p>
        </w:tc>
        <w:tc>
          <w:tcPr>
            <w:tcW w:w="372" w:type="pct"/>
            <w:shd w:val="clear" w:color="auto" w:fill="auto"/>
            <w:vAlign w:val="center"/>
          </w:tcPr>
          <w:p w14:paraId="2BC2ABB2">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3" w:type="pct"/>
            <w:shd w:val="clear" w:color="auto" w:fill="auto"/>
            <w:vAlign w:val="center"/>
          </w:tcPr>
          <w:p w14:paraId="2FA152A7">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4.4</w:t>
            </w:r>
          </w:p>
        </w:tc>
        <w:tc>
          <w:tcPr>
            <w:tcW w:w="373" w:type="pct"/>
            <w:shd w:val="clear" w:color="auto" w:fill="auto"/>
            <w:vAlign w:val="center"/>
          </w:tcPr>
          <w:p w14:paraId="125B06BF">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2" w:type="pct"/>
            <w:shd w:val="clear" w:color="auto" w:fill="auto"/>
            <w:vAlign w:val="center"/>
          </w:tcPr>
          <w:p w14:paraId="7423B88B">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5.2</w:t>
            </w:r>
          </w:p>
        </w:tc>
        <w:tc>
          <w:tcPr>
            <w:tcW w:w="373" w:type="pct"/>
            <w:shd w:val="clear" w:color="auto" w:fill="auto"/>
            <w:vAlign w:val="center"/>
          </w:tcPr>
          <w:p w14:paraId="0413E2CE">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8" w:type="pct"/>
            <w:shd w:val="clear" w:color="auto" w:fill="auto"/>
            <w:vAlign w:val="center"/>
          </w:tcPr>
          <w:p w14:paraId="393FFBD2">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5.9</w:t>
            </w:r>
          </w:p>
        </w:tc>
        <w:tc>
          <w:tcPr>
            <w:tcW w:w="235" w:type="pct"/>
            <w:shd w:val="clear" w:color="auto" w:fill="auto"/>
            <w:vAlign w:val="center"/>
          </w:tcPr>
          <w:p w14:paraId="1C190B6D">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4a</w:t>
            </w:r>
            <w:r>
              <w:rPr>
                <w:rFonts w:hint="eastAsia" w:ascii="宋体" w:hAnsi="宋体" w:eastAsia="宋体" w:cs="Times New Roman"/>
                <w:kern w:val="0"/>
                <w:szCs w:val="21"/>
              </w:rPr>
              <w:t>类</w:t>
            </w:r>
          </w:p>
        </w:tc>
        <w:tc>
          <w:tcPr>
            <w:tcW w:w="426" w:type="pct"/>
            <w:shd w:val="clear" w:color="auto" w:fill="auto"/>
            <w:vAlign w:val="center"/>
          </w:tcPr>
          <w:p w14:paraId="416953A8">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w:t>
            </w:r>
          </w:p>
        </w:tc>
      </w:tr>
      <w:tr w14:paraId="20A78C77">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182" w:type="pct"/>
            <w:vMerge w:val="continue"/>
            <w:vAlign w:val="center"/>
          </w:tcPr>
          <w:p w14:paraId="1BF6C035">
            <w:pPr>
              <w:widowControl/>
              <w:spacing w:line="240" w:lineRule="exact"/>
              <w:jc w:val="center"/>
              <w:rPr>
                <w:rFonts w:ascii="Times New Roman" w:hAnsi="Times New Roman" w:eastAsia="宋体" w:cs="Times New Roman"/>
                <w:kern w:val="0"/>
                <w:szCs w:val="21"/>
              </w:rPr>
            </w:pPr>
          </w:p>
        </w:tc>
        <w:tc>
          <w:tcPr>
            <w:tcW w:w="504" w:type="pct"/>
            <w:vMerge w:val="continue"/>
            <w:vAlign w:val="center"/>
          </w:tcPr>
          <w:p w14:paraId="710ED040">
            <w:pPr>
              <w:widowControl/>
              <w:spacing w:line="240" w:lineRule="exact"/>
              <w:jc w:val="center"/>
              <w:rPr>
                <w:rFonts w:ascii="Times New Roman" w:hAnsi="Times New Roman" w:eastAsia="宋体" w:cs="Times New Roman"/>
                <w:kern w:val="0"/>
                <w:szCs w:val="21"/>
              </w:rPr>
            </w:pPr>
          </w:p>
        </w:tc>
        <w:tc>
          <w:tcPr>
            <w:tcW w:w="252" w:type="pct"/>
            <w:vMerge w:val="continue"/>
            <w:vAlign w:val="center"/>
          </w:tcPr>
          <w:p w14:paraId="21686ADD">
            <w:pPr>
              <w:widowControl/>
              <w:spacing w:line="240" w:lineRule="exact"/>
              <w:jc w:val="center"/>
              <w:rPr>
                <w:rFonts w:ascii="Times New Roman" w:hAnsi="Times New Roman" w:eastAsia="宋体" w:cs="Times New Roman"/>
                <w:kern w:val="0"/>
                <w:szCs w:val="21"/>
              </w:rPr>
            </w:pPr>
          </w:p>
        </w:tc>
        <w:tc>
          <w:tcPr>
            <w:tcW w:w="303" w:type="pct"/>
            <w:shd w:val="clear" w:color="auto" w:fill="auto"/>
            <w:vAlign w:val="center"/>
          </w:tcPr>
          <w:p w14:paraId="09F9F164">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60</w:t>
            </w:r>
          </w:p>
        </w:tc>
        <w:tc>
          <w:tcPr>
            <w:tcW w:w="252" w:type="pct"/>
            <w:vMerge w:val="continue"/>
            <w:vAlign w:val="center"/>
          </w:tcPr>
          <w:p w14:paraId="20C8D9A1">
            <w:pPr>
              <w:widowControl/>
              <w:spacing w:line="240" w:lineRule="exact"/>
              <w:jc w:val="center"/>
              <w:rPr>
                <w:rFonts w:ascii="Times New Roman" w:hAnsi="Times New Roman" w:eastAsia="宋体" w:cs="Times New Roman"/>
                <w:kern w:val="0"/>
                <w:szCs w:val="21"/>
              </w:rPr>
            </w:pPr>
          </w:p>
        </w:tc>
        <w:tc>
          <w:tcPr>
            <w:tcW w:w="353" w:type="pct"/>
            <w:vMerge w:val="continue"/>
            <w:vAlign w:val="center"/>
          </w:tcPr>
          <w:p w14:paraId="5BC3C7D9">
            <w:pPr>
              <w:widowControl/>
              <w:spacing w:line="240" w:lineRule="exact"/>
              <w:jc w:val="center"/>
              <w:rPr>
                <w:rFonts w:ascii="Times New Roman" w:hAnsi="Times New Roman" w:eastAsia="宋体" w:cs="Times New Roman"/>
                <w:kern w:val="0"/>
                <w:szCs w:val="21"/>
              </w:rPr>
            </w:pPr>
          </w:p>
        </w:tc>
        <w:tc>
          <w:tcPr>
            <w:tcW w:w="252" w:type="pct"/>
            <w:vMerge w:val="continue"/>
            <w:vAlign w:val="center"/>
          </w:tcPr>
          <w:p w14:paraId="0899A772">
            <w:pPr>
              <w:widowControl/>
              <w:spacing w:line="240" w:lineRule="exact"/>
              <w:jc w:val="center"/>
              <w:rPr>
                <w:rFonts w:ascii="Times New Roman" w:hAnsi="Times New Roman" w:eastAsia="宋体" w:cs="Times New Roman"/>
                <w:kern w:val="0"/>
                <w:szCs w:val="21"/>
              </w:rPr>
            </w:pPr>
          </w:p>
        </w:tc>
        <w:tc>
          <w:tcPr>
            <w:tcW w:w="372" w:type="pct"/>
            <w:shd w:val="clear" w:color="auto" w:fill="auto"/>
            <w:vAlign w:val="center"/>
          </w:tcPr>
          <w:p w14:paraId="0AECD9AF">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3" w:type="pct"/>
            <w:shd w:val="clear" w:color="auto" w:fill="auto"/>
            <w:vAlign w:val="center"/>
          </w:tcPr>
          <w:p w14:paraId="7109B774">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3.8</w:t>
            </w:r>
          </w:p>
        </w:tc>
        <w:tc>
          <w:tcPr>
            <w:tcW w:w="373" w:type="pct"/>
            <w:shd w:val="clear" w:color="auto" w:fill="auto"/>
            <w:vAlign w:val="center"/>
          </w:tcPr>
          <w:p w14:paraId="1A198540">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2" w:type="pct"/>
            <w:shd w:val="clear" w:color="auto" w:fill="auto"/>
            <w:vAlign w:val="center"/>
          </w:tcPr>
          <w:p w14:paraId="64E9C13E">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4.6</w:t>
            </w:r>
          </w:p>
        </w:tc>
        <w:tc>
          <w:tcPr>
            <w:tcW w:w="373" w:type="pct"/>
            <w:shd w:val="clear" w:color="auto" w:fill="auto"/>
            <w:vAlign w:val="center"/>
          </w:tcPr>
          <w:p w14:paraId="6CD68C6C">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8" w:type="pct"/>
            <w:shd w:val="clear" w:color="auto" w:fill="auto"/>
            <w:vAlign w:val="center"/>
          </w:tcPr>
          <w:p w14:paraId="228AD27E">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5.3</w:t>
            </w:r>
          </w:p>
        </w:tc>
        <w:tc>
          <w:tcPr>
            <w:tcW w:w="235" w:type="pct"/>
            <w:shd w:val="clear" w:color="auto" w:fill="auto"/>
            <w:vAlign w:val="center"/>
          </w:tcPr>
          <w:p w14:paraId="495B0738">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w:t>
            </w:r>
            <w:r>
              <w:rPr>
                <w:rFonts w:hint="eastAsia" w:ascii="宋体" w:hAnsi="宋体" w:eastAsia="宋体" w:cs="Times New Roman"/>
                <w:kern w:val="0"/>
                <w:szCs w:val="21"/>
              </w:rPr>
              <w:t>类</w:t>
            </w:r>
          </w:p>
        </w:tc>
        <w:tc>
          <w:tcPr>
            <w:tcW w:w="426" w:type="pct"/>
            <w:shd w:val="clear" w:color="auto" w:fill="auto"/>
            <w:vAlign w:val="center"/>
          </w:tcPr>
          <w:p w14:paraId="6A31849F">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w:t>
            </w:r>
          </w:p>
        </w:tc>
      </w:tr>
      <w:tr w14:paraId="5BE89123">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182" w:type="pct"/>
            <w:vMerge w:val="restart"/>
            <w:shd w:val="clear" w:color="auto" w:fill="auto"/>
            <w:vAlign w:val="center"/>
          </w:tcPr>
          <w:p w14:paraId="4D60F83F">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19</w:t>
            </w:r>
          </w:p>
        </w:tc>
        <w:tc>
          <w:tcPr>
            <w:tcW w:w="504" w:type="pct"/>
            <w:vMerge w:val="restart"/>
            <w:shd w:val="clear" w:color="auto" w:fill="auto"/>
            <w:vAlign w:val="center"/>
          </w:tcPr>
          <w:p w14:paraId="484154B6">
            <w:pPr>
              <w:widowControl/>
              <w:spacing w:line="240" w:lineRule="exact"/>
              <w:jc w:val="center"/>
              <w:rPr>
                <w:rFonts w:ascii="Times New Roman" w:hAnsi="Times New Roman" w:eastAsia="宋体" w:cs="Times New Roman"/>
                <w:kern w:val="0"/>
                <w:szCs w:val="21"/>
              </w:rPr>
            </w:pPr>
            <w:r>
              <w:rPr>
                <w:rFonts w:hint="eastAsia" w:ascii="宋体" w:hAnsi="宋体" w:eastAsia="宋体" w:cs="Times New Roman"/>
                <w:kern w:val="0"/>
                <w:szCs w:val="21"/>
              </w:rPr>
              <w:t>其维克村</w:t>
            </w:r>
          </w:p>
        </w:tc>
        <w:tc>
          <w:tcPr>
            <w:tcW w:w="252" w:type="pct"/>
            <w:vMerge w:val="restart"/>
            <w:shd w:val="clear" w:color="auto" w:fill="auto"/>
            <w:vAlign w:val="center"/>
          </w:tcPr>
          <w:p w14:paraId="5A94443A">
            <w:pPr>
              <w:widowControl/>
              <w:spacing w:line="240" w:lineRule="exact"/>
              <w:jc w:val="center"/>
              <w:rPr>
                <w:rFonts w:ascii="Times New Roman" w:hAnsi="Times New Roman" w:eastAsia="宋体" w:cs="Times New Roman"/>
                <w:kern w:val="0"/>
                <w:szCs w:val="21"/>
              </w:rPr>
            </w:pPr>
            <w:r>
              <w:rPr>
                <w:rFonts w:hint="eastAsia" w:ascii="宋体" w:hAnsi="宋体" w:eastAsia="宋体" w:cs="Times New Roman"/>
                <w:kern w:val="0"/>
                <w:szCs w:val="21"/>
              </w:rPr>
              <w:t>两侧</w:t>
            </w:r>
          </w:p>
        </w:tc>
        <w:tc>
          <w:tcPr>
            <w:tcW w:w="303" w:type="pct"/>
            <w:shd w:val="clear" w:color="auto" w:fill="auto"/>
            <w:vAlign w:val="center"/>
          </w:tcPr>
          <w:p w14:paraId="2DE8147E">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27</w:t>
            </w:r>
          </w:p>
        </w:tc>
        <w:tc>
          <w:tcPr>
            <w:tcW w:w="252" w:type="pct"/>
            <w:vMerge w:val="restart"/>
            <w:shd w:val="clear" w:color="auto" w:fill="auto"/>
            <w:vAlign w:val="center"/>
          </w:tcPr>
          <w:p w14:paraId="167AD8CC">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3</w:t>
            </w:r>
          </w:p>
        </w:tc>
        <w:tc>
          <w:tcPr>
            <w:tcW w:w="353" w:type="pct"/>
            <w:vMerge w:val="restart"/>
            <w:shd w:val="clear" w:color="auto" w:fill="auto"/>
            <w:vAlign w:val="center"/>
          </w:tcPr>
          <w:p w14:paraId="7A0C5552">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0</w:t>
            </w:r>
          </w:p>
        </w:tc>
        <w:tc>
          <w:tcPr>
            <w:tcW w:w="252" w:type="pct"/>
            <w:vMerge w:val="restart"/>
            <w:shd w:val="clear" w:color="auto" w:fill="auto"/>
            <w:vAlign w:val="center"/>
          </w:tcPr>
          <w:p w14:paraId="087B9581">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w:t>
            </w:r>
            <w:r>
              <w:rPr>
                <w:rFonts w:hint="eastAsia" w:ascii="宋体" w:hAnsi="宋体" w:eastAsia="宋体" w:cs="Times New Roman"/>
                <w:kern w:val="0"/>
                <w:szCs w:val="21"/>
              </w:rPr>
              <w:t>层</w:t>
            </w:r>
          </w:p>
        </w:tc>
        <w:tc>
          <w:tcPr>
            <w:tcW w:w="372" w:type="pct"/>
            <w:shd w:val="clear" w:color="auto" w:fill="auto"/>
            <w:vAlign w:val="center"/>
          </w:tcPr>
          <w:p w14:paraId="0404C409">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3" w:type="pct"/>
            <w:shd w:val="clear" w:color="auto" w:fill="auto"/>
            <w:vAlign w:val="center"/>
          </w:tcPr>
          <w:p w14:paraId="0CEF823F">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1.4</w:t>
            </w:r>
          </w:p>
        </w:tc>
        <w:tc>
          <w:tcPr>
            <w:tcW w:w="373" w:type="pct"/>
            <w:shd w:val="clear" w:color="auto" w:fill="auto"/>
            <w:vAlign w:val="center"/>
          </w:tcPr>
          <w:p w14:paraId="0E1E4B66">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2" w:type="pct"/>
            <w:shd w:val="clear" w:color="auto" w:fill="auto"/>
            <w:vAlign w:val="center"/>
          </w:tcPr>
          <w:p w14:paraId="7BDC5B76">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2.1</w:t>
            </w:r>
          </w:p>
        </w:tc>
        <w:tc>
          <w:tcPr>
            <w:tcW w:w="373" w:type="pct"/>
            <w:shd w:val="clear" w:color="auto" w:fill="auto"/>
            <w:vAlign w:val="center"/>
          </w:tcPr>
          <w:p w14:paraId="4F8BB6A1">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8" w:type="pct"/>
            <w:shd w:val="clear" w:color="auto" w:fill="auto"/>
            <w:vAlign w:val="center"/>
          </w:tcPr>
          <w:p w14:paraId="266A4F2E">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2.8</w:t>
            </w:r>
          </w:p>
        </w:tc>
        <w:tc>
          <w:tcPr>
            <w:tcW w:w="235" w:type="pct"/>
            <w:shd w:val="clear" w:color="auto" w:fill="auto"/>
            <w:vAlign w:val="center"/>
          </w:tcPr>
          <w:p w14:paraId="7345F912">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4a</w:t>
            </w:r>
            <w:r>
              <w:rPr>
                <w:rFonts w:hint="eastAsia" w:ascii="宋体" w:hAnsi="宋体" w:eastAsia="宋体" w:cs="Times New Roman"/>
                <w:kern w:val="0"/>
                <w:szCs w:val="21"/>
              </w:rPr>
              <w:t>类</w:t>
            </w:r>
          </w:p>
        </w:tc>
        <w:tc>
          <w:tcPr>
            <w:tcW w:w="426" w:type="pct"/>
            <w:shd w:val="clear" w:color="auto" w:fill="auto"/>
            <w:vAlign w:val="center"/>
          </w:tcPr>
          <w:p w14:paraId="36FE4D40">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30</w:t>
            </w:r>
          </w:p>
        </w:tc>
      </w:tr>
      <w:tr w14:paraId="2F38823D">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182" w:type="pct"/>
            <w:vMerge w:val="continue"/>
            <w:vAlign w:val="center"/>
          </w:tcPr>
          <w:p w14:paraId="1BEFB9F9">
            <w:pPr>
              <w:widowControl/>
              <w:spacing w:line="240" w:lineRule="exact"/>
              <w:jc w:val="center"/>
              <w:rPr>
                <w:rFonts w:ascii="Times New Roman" w:hAnsi="Times New Roman" w:eastAsia="宋体" w:cs="Times New Roman"/>
                <w:kern w:val="0"/>
                <w:szCs w:val="21"/>
              </w:rPr>
            </w:pPr>
          </w:p>
        </w:tc>
        <w:tc>
          <w:tcPr>
            <w:tcW w:w="504" w:type="pct"/>
            <w:vMerge w:val="continue"/>
            <w:vAlign w:val="center"/>
          </w:tcPr>
          <w:p w14:paraId="37EE26EE">
            <w:pPr>
              <w:widowControl/>
              <w:spacing w:line="240" w:lineRule="exact"/>
              <w:jc w:val="center"/>
              <w:rPr>
                <w:rFonts w:ascii="Times New Roman" w:hAnsi="Times New Roman" w:eastAsia="宋体" w:cs="Times New Roman"/>
                <w:kern w:val="0"/>
                <w:szCs w:val="21"/>
              </w:rPr>
            </w:pPr>
          </w:p>
        </w:tc>
        <w:tc>
          <w:tcPr>
            <w:tcW w:w="252" w:type="pct"/>
            <w:vMerge w:val="continue"/>
            <w:vAlign w:val="center"/>
          </w:tcPr>
          <w:p w14:paraId="3CAF7506">
            <w:pPr>
              <w:widowControl/>
              <w:spacing w:line="240" w:lineRule="exact"/>
              <w:jc w:val="center"/>
              <w:rPr>
                <w:rFonts w:ascii="Times New Roman" w:hAnsi="Times New Roman" w:eastAsia="宋体" w:cs="Times New Roman"/>
                <w:kern w:val="0"/>
                <w:szCs w:val="21"/>
              </w:rPr>
            </w:pPr>
          </w:p>
        </w:tc>
        <w:tc>
          <w:tcPr>
            <w:tcW w:w="303" w:type="pct"/>
            <w:shd w:val="clear" w:color="auto" w:fill="auto"/>
            <w:vAlign w:val="center"/>
          </w:tcPr>
          <w:p w14:paraId="0B1BAF84">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59</w:t>
            </w:r>
          </w:p>
        </w:tc>
        <w:tc>
          <w:tcPr>
            <w:tcW w:w="252" w:type="pct"/>
            <w:vMerge w:val="continue"/>
            <w:vAlign w:val="center"/>
          </w:tcPr>
          <w:p w14:paraId="284898DD">
            <w:pPr>
              <w:widowControl/>
              <w:spacing w:line="240" w:lineRule="exact"/>
              <w:jc w:val="center"/>
              <w:rPr>
                <w:rFonts w:ascii="Times New Roman" w:hAnsi="Times New Roman" w:eastAsia="宋体" w:cs="Times New Roman"/>
                <w:kern w:val="0"/>
                <w:szCs w:val="21"/>
              </w:rPr>
            </w:pPr>
          </w:p>
        </w:tc>
        <w:tc>
          <w:tcPr>
            <w:tcW w:w="353" w:type="pct"/>
            <w:vMerge w:val="continue"/>
            <w:vAlign w:val="center"/>
          </w:tcPr>
          <w:p w14:paraId="04646A2C">
            <w:pPr>
              <w:widowControl/>
              <w:spacing w:line="240" w:lineRule="exact"/>
              <w:jc w:val="center"/>
              <w:rPr>
                <w:rFonts w:ascii="Times New Roman" w:hAnsi="Times New Roman" w:eastAsia="宋体" w:cs="Times New Roman"/>
                <w:kern w:val="0"/>
                <w:szCs w:val="21"/>
              </w:rPr>
            </w:pPr>
          </w:p>
        </w:tc>
        <w:tc>
          <w:tcPr>
            <w:tcW w:w="252" w:type="pct"/>
            <w:vMerge w:val="continue"/>
            <w:vAlign w:val="center"/>
          </w:tcPr>
          <w:p w14:paraId="3CBD7457">
            <w:pPr>
              <w:widowControl/>
              <w:spacing w:line="240" w:lineRule="exact"/>
              <w:jc w:val="center"/>
              <w:rPr>
                <w:rFonts w:ascii="Times New Roman" w:hAnsi="Times New Roman" w:eastAsia="宋体" w:cs="Times New Roman"/>
                <w:kern w:val="0"/>
                <w:szCs w:val="21"/>
              </w:rPr>
            </w:pPr>
          </w:p>
        </w:tc>
        <w:tc>
          <w:tcPr>
            <w:tcW w:w="372" w:type="pct"/>
            <w:shd w:val="clear" w:color="auto" w:fill="auto"/>
            <w:vAlign w:val="center"/>
          </w:tcPr>
          <w:p w14:paraId="01FB5050">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3" w:type="pct"/>
            <w:shd w:val="clear" w:color="auto" w:fill="auto"/>
            <w:vAlign w:val="center"/>
          </w:tcPr>
          <w:p w14:paraId="35C38931">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2.2</w:t>
            </w:r>
          </w:p>
        </w:tc>
        <w:tc>
          <w:tcPr>
            <w:tcW w:w="373" w:type="pct"/>
            <w:shd w:val="clear" w:color="auto" w:fill="auto"/>
            <w:vAlign w:val="center"/>
          </w:tcPr>
          <w:p w14:paraId="5D2DB264">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2" w:type="pct"/>
            <w:shd w:val="clear" w:color="auto" w:fill="auto"/>
            <w:vAlign w:val="center"/>
          </w:tcPr>
          <w:p w14:paraId="2F9615ED">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2.9</w:t>
            </w:r>
          </w:p>
        </w:tc>
        <w:tc>
          <w:tcPr>
            <w:tcW w:w="373" w:type="pct"/>
            <w:shd w:val="clear" w:color="auto" w:fill="auto"/>
            <w:vAlign w:val="center"/>
          </w:tcPr>
          <w:p w14:paraId="28A3E273">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8" w:type="pct"/>
            <w:shd w:val="clear" w:color="auto" w:fill="auto"/>
            <w:vAlign w:val="center"/>
          </w:tcPr>
          <w:p w14:paraId="21736A45">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3.5</w:t>
            </w:r>
          </w:p>
        </w:tc>
        <w:tc>
          <w:tcPr>
            <w:tcW w:w="235" w:type="pct"/>
            <w:shd w:val="clear" w:color="auto" w:fill="auto"/>
            <w:vAlign w:val="center"/>
          </w:tcPr>
          <w:p w14:paraId="6A06B57B">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w:t>
            </w:r>
            <w:r>
              <w:rPr>
                <w:rFonts w:hint="eastAsia" w:ascii="宋体" w:hAnsi="宋体" w:eastAsia="宋体" w:cs="Times New Roman"/>
                <w:kern w:val="0"/>
                <w:szCs w:val="21"/>
              </w:rPr>
              <w:t>类</w:t>
            </w:r>
          </w:p>
        </w:tc>
        <w:tc>
          <w:tcPr>
            <w:tcW w:w="426" w:type="pct"/>
            <w:shd w:val="clear" w:color="auto" w:fill="auto"/>
            <w:vAlign w:val="center"/>
          </w:tcPr>
          <w:p w14:paraId="6B623C9A">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18</w:t>
            </w:r>
          </w:p>
        </w:tc>
      </w:tr>
    </w:tbl>
    <w:p w14:paraId="2094D17B">
      <w:pPr>
        <w:rPr>
          <w:rFonts w:ascii="Times New Roman" w:hAnsi="Times New Roman" w:eastAsia="宋体" w:cs="Times New Roman"/>
        </w:rPr>
      </w:pPr>
    </w:p>
    <w:p w14:paraId="69B8E1DE">
      <w:pPr>
        <w:sectPr>
          <w:headerReference r:id="rId87" w:type="default"/>
          <w:footerReference r:id="rId89" w:type="default"/>
          <w:headerReference r:id="rId88" w:type="even"/>
          <w:footerReference r:id="rId90" w:type="even"/>
          <w:pgSz w:w="16838" w:h="11906" w:orient="landscape"/>
          <w:pgMar w:top="1797" w:right="1440" w:bottom="1797" w:left="1559" w:header="1134" w:footer="1134" w:gutter="0"/>
          <w:pgBorders>
            <w:top w:val="none" w:sz="0" w:space="0"/>
            <w:left w:val="none" w:sz="0" w:space="0"/>
            <w:bottom w:val="none" w:sz="0" w:space="0"/>
            <w:right w:val="none" w:sz="0" w:space="0"/>
          </w:pgBorders>
          <w:cols w:space="720" w:num="1"/>
          <w:docGrid w:type="linesAndChars" w:linePitch="312" w:charSpace="0"/>
        </w:sectPr>
      </w:pPr>
    </w:p>
    <w:p w14:paraId="7FD450F3">
      <w:pPr>
        <w:spacing w:beforeLines="50"/>
        <w:jc w:val="center"/>
        <w:rPr>
          <w:rFonts w:ascii="Times New Roman" w:hAnsi="Times New Roman" w:eastAsia="宋体" w:cs="Times New Roman"/>
          <w:b/>
          <w:bCs/>
        </w:rPr>
      </w:pPr>
      <w:r>
        <w:rPr>
          <w:rFonts w:ascii="Times New Roman" w:hAnsi="Times New Roman" w:eastAsia="宋体" w:cs="Times New Roman"/>
          <w:b/>
          <w:bCs/>
        </w:rPr>
        <w:t>续</w:t>
      </w:r>
      <w:r>
        <w:rPr>
          <w:rFonts w:hint="eastAsia" w:ascii="Times New Roman" w:hAnsi="Times New Roman" w:eastAsia="宋体" w:cs="Times New Roman"/>
          <w:b/>
          <w:bCs/>
        </w:rPr>
        <w:t xml:space="preserve"> </w:t>
      </w:r>
      <w:r>
        <w:rPr>
          <w:rFonts w:ascii="Times New Roman" w:hAnsi="Times New Roman" w:eastAsia="宋体" w:cs="Times New Roman"/>
          <w:b/>
          <w:bCs/>
        </w:rPr>
        <w:t>表4.4-</w:t>
      </w:r>
      <w:r>
        <w:rPr>
          <w:rFonts w:hint="eastAsia" w:ascii="Times New Roman" w:hAnsi="Times New Roman" w:eastAsia="宋体" w:cs="Times New Roman"/>
          <w:b/>
          <w:bCs/>
        </w:rPr>
        <w:t>9</w:t>
      </w:r>
      <w:r>
        <w:rPr>
          <w:rFonts w:ascii="Times New Roman" w:hAnsi="Times New Roman" w:eastAsia="宋体" w:cs="Times New Roman"/>
          <w:b/>
          <w:bCs/>
        </w:rPr>
        <w:t xml:space="preserve">  拟建公路沿线运营期环境噪声超标保护目标统计</w:t>
      </w:r>
    </w:p>
    <w:tbl>
      <w:tblPr>
        <w:tblStyle w:val="22"/>
        <w:tblW w:w="5000" w:type="pct"/>
        <w:tblInd w:w="0" w:type="dxa"/>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511"/>
        <w:gridCol w:w="1416"/>
        <w:gridCol w:w="708"/>
        <w:gridCol w:w="852"/>
        <w:gridCol w:w="708"/>
        <w:gridCol w:w="992"/>
        <w:gridCol w:w="708"/>
        <w:gridCol w:w="1046"/>
        <w:gridCol w:w="1049"/>
        <w:gridCol w:w="1049"/>
        <w:gridCol w:w="1046"/>
        <w:gridCol w:w="1049"/>
        <w:gridCol w:w="1063"/>
        <w:gridCol w:w="661"/>
        <w:gridCol w:w="1197"/>
      </w:tblGrid>
      <w:tr w14:paraId="03BC2637">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182" w:type="pct"/>
            <w:vMerge w:val="restart"/>
            <w:shd w:val="clear" w:color="auto" w:fill="auto"/>
            <w:vAlign w:val="center"/>
          </w:tcPr>
          <w:p w14:paraId="69F39690">
            <w:pPr>
              <w:widowControl/>
              <w:spacing w:line="240" w:lineRule="exact"/>
              <w:jc w:val="center"/>
              <w:rPr>
                <w:rFonts w:ascii="Times New Roman" w:hAnsi="Times New Roman" w:eastAsia="宋体" w:cs="Times New Roman"/>
                <w:b/>
                <w:spacing w:val="-20"/>
                <w:kern w:val="0"/>
                <w:szCs w:val="21"/>
              </w:rPr>
            </w:pPr>
            <w:r>
              <w:rPr>
                <w:rFonts w:hint="eastAsia" w:ascii="宋体" w:hAnsi="宋体" w:eastAsia="宋体" w:cs="Times New Roman"/>
                <w:b/>
                <w:spacing w:val="-20"/>
                <w:kern w:val="0"/>
                <w:szCs w:val="21"/>
              </w:rPr>
              <w:t>序号</w:t>
            </w:r>
          </w:p>
        </w:tc>
        <w:tc>
          <w:tcPr>
            <w:tcW w:w="504" w:type="pct"/>
            <w:vMerge w:val="restart"/>
            <w:shd w:val="clear" w:color="auto" w:fill="auto"/>
            <w:vAlign w:val="center"/>
          </w:tcPr>
          <w:p w14:paraId="059055EB">
            <w:pPr>
              <w:widowControl/>
              <w:spacing w:line="240" w:lineRule="exact"/>
              <w:jc w:val="center"/>
              <w:rPr>
                <w:rFonts w:ascii="Times New Roman" w:hAnsi="Times New Roman" w:eastAsia="宋体" w:cs="Times New Roman"/>
                <w:b/>
                <w:spacing w:val="-20"/>
                <w:kern w:val="0"/>
                <w:szCs w:val="21"/>
              </w:rPr>
            </w:pPr>
            <w:r>
              <w:rPr>
                <w:rFonts w:hint="eastAsia" w:ascii="宋体" w:hAnsi="宋体" w:eastAsia="宋体" w:cs="Times New Roman"/>
                <w:b/>
                <w:spacing w:val="-20"/>
                <w:kern w:val="0"/>
                <w:szCs w:val="21"/>
              </w:rPr>
              <w:t>敏感点名称</w:t>
            </w:r>
          </w:p>
        </w:tc>
        <w:tc>
          <w:tcPr>
            <w:tcW w:w="555" w:type="pct"/>
            <w:gridSpan w:val="2"/>
            <w:shd w:val="clear" w:color="auto" w:fill="auto"/>
            <w:vAlign w:val="center"/>
          </w:tcPr>
          <w:p w14:paraId="2DC9F077">
            <w:pPr>
              <w:widowControl/>
              <w:spacing w:line="240" w:lineRule="exact"/>
              <w:jc w:val="center"/>
              <w:rPr>
                <w:rFonts w:ascii="Times New Roman" w:hAnsi="Times New Roman" w:eastAsia="宋体" w:cs="Times New Roman"/>
                <w:b/>
                <w:spacing w:val="-20"/>
                <w:kern w:val="0"/>
                <w:szCs w:val="21"/>
              </w:rPr>
            </w:pPr>
            <w:r>
              <w:rPr>
                <w:rFonts w:hint="eastAsia" w:ascii="宋体" w:hAnsi="宋体" w:eastAsia="宋体" w:cs="Times New Roman"/>
                <w:b/>
                <w:spacing w:val="-20"/>
                <w:kern w:val="0"/>
                <w:szCs w:val="21"/>
              </w:rPr>
              <w:t>位置关系</w:t>
            </w:r>
          </w:p>
        </w:tc>
        <w:tc>
          <w:tcPr>
            <w:tcW w:w="252" w:type="pct"/>
            <w:vMerge w:val="restart"/>
            <w:shd w:val="clear" w:color="auto" w:fill="auto"/>
            <w:vAlign w:val="center"/>
          </w:tcPr>
          <w:p w14:paraId="22109BBC">
            <w:pPr>
              <w:widowControl/>
              <w:spacing w:line="240" w:lineRule="exact"/>
              <w:jc w:val="center"/>
              <w:rPr>
                <w:rFonts w:ascii="Times New Roman" w:hAnsi="Times New Roman" w:eastAsia="宋体" w:cs="Times New Roman"/>
                <w:b/>
                <w:spacing w:val="-20"/>
                <w:kern w:val="0"/>
                <w:szCs w:val="21"/>
              </w:rPr>
            </w:pPr>
            <w:r>
              <w:rPr>
                <w:rFonts w:hint="eastAsia" w:ascii="宋体" w:hAnsi="宋体" w:eastAsia="宋体" w:cs="Times New Roman"/>
                <w:b/>
                <w:spacing w:val="-20"/>
                <w:kern w:val="0"/>
                <w:szCs w:val="21"/>
              </w:rPr>
              <w:t>路基高</w:t>
            </w:r>
            <w:r>
              <w:rPr>
                <w:rFonts w:ascii="Times New Roman" w:hAnsi="Times New Roman" w:eastAsia="宋体" w:cs="Times New Roman"/>
                <w:b/>
                <w:spacing w:val="-20"/>
                <w:kern w:val="0"/>
                <w:szCs w:val="21"/>
              </w:rPr>
              <w:t>(m)</w:t>
            </w:r>
          </w:p>
        </w:tc>
        <w:tc>
          <w:tcPr>
            <w:tcW w:w="353" w:type="pct"/>
            <w:vMerge w:val="restart"/>
            <w:shd w:val="clear" w:color="auto" w:fill="auto"/>
            <w:vAlign w:val="center"/>
          </w:tcPr>
          <w:p w14:paraId="3141EB56">
            <w:pPr>
              <w:widowControl/>
              <w:spacing w:line="240" w:lineRule="exact"/>
              <w:jc w:val="center"/>
              <w:rPr>
                <w:rFonts w:ascii="Times New Roman" w:hAnsi="Times New Roman" w:eastAsia="宋体" w:cs="Times New Roman"/>
                <w:b/>
                <w:spacing w:val="-20"/>
                <w:kern w:val="0"/>
                <w:szCs w:val="21"/>
              </w:rPr>
            </w:pPr>
            <w:r>
              <w:rPr>
                <w:rFonts w:hint="eastAsia" w:ascii="宋体" w:hAnsi="宋体" w:eastAsia="宋体" w:cs="Times New Roman"/>
                <w:b/>
                <w:spacing w:val="-20"/>
                <w:kern w:val="0"/>
                <w:szCs w:val="21"/>
              </w:rPr>
              <w:t>预测点地面高</w:t>
            </w:r>
            <w:r>
              <w:rPr>
                <w:rFonts w:ascii="Times New Roman" w:hAnsi="Times New Roman" w:eastAsia="宋体" w:cs="Times New Roman"/>
                <w:b/>
                <w:spacing w:val="-20"/>
                <w:kern w:val="0"/>
                <w:szCs w:val="21"/>
              </w:rPr>
              <w:t>-</w:t>
            </w:r>
            <w:r>
              <w:rPr>
                <w:rFonts w:hint="eastAsia" w:ascii="宋体" w:hAnsi="宋体" w:eastAsia="宋体" w:cs="Times New Roman"/>
                <w:b/>
                <w:spacing w:val="-20"/>
                <w:kern w:val="0"/>
                <w:szCs w:val="21"/>
              </w:rPr>
              <w:t>路基地面高</w:t>
            </w:r>
            <w:r>
              <w:rPr>
                <w:rFonts w:ascii="Times New Roman" w:hAnsi="Times New Roman" w:eastAsia="宋体" w:cs="Times New Roman"/>
                <w:b/>
                <w:spacing w:val="-20"/>
                <w:kern w:val="0"/>
                <w:szCs w:val="21"/>
              </w:rPr>
              <w:t>(m)</w:t>
            </w:r>
          </w:p>
        </w:tc>
        <w:tc>
          <w:tcPr>
            <w:tcW w:w="252" w:type="pct"/>
            <w:vMerge w:val="restart"/>
            <w:shd w:val="clear" w:color="auto" w:fill="auto"/>
            <w:vAlign w:val="center"/>
          </w:tcPr>
          <w:p w14:paraId="31FE1510">
            <w:pPr>
              <w:widowControl/>
              <w:spacing w:line="240" w:lineRule="exact"/>
              <w:jc w:val="center"/>
              <w:rPr>
                <w:rFonts w:ascii="Times New Roman" w:hAnsi="Times New Roman" w:eastAsia="宋体" w:cs="Times New Roman"/>
                <w:b/>
                <w:spacing w:val="-20"/>
                <w:kern w:val="0"/>
                <w:szCs w:val="21"/>
              </w:rPr>
            </w:pPr>
            <w:r>
              <w:rPr>
                <w:rFonts w:hint="eastAsia" w:ascii="宋体" w:hAnsi="宋体" w:eastAsia="宋体" w:cs="Times New Roman"/>
                <w:b/>
                <w:spacing w:val="-20"/>
                <w:kern w:val="0"/>
                <w:szCs w:val="21"/>
              </w:rPr>
              <w:t>预测楼层</w:t>
            </w:r>
          </w:p>
        </w:tc>
        <w:tc>
          <w:tcPr>
            <w:tcW w:w="2241" w:type="pct"/>
            <w:gridSpan w:val="6"/>
            <w:shd w:val="clear" w:color="auto" w:fill="auto"/>
            <w:vAlign w:val="center"/>
          </w:tcPr>
          <w:p w14:paraId="552643B4">
            <w:pPr>
              <w:widowControl/>
              <w:spacing w:line="240" w:lineRule="exact"/>
              <w:jc w:val="center"/>
              <w:rPr>
                <w:rFonts w:ascii="Times New Roman" w:hAnsi="Times New Roman" w:eastAsia="宋体" w:cs="Times New Roman"/>
                <w:b/>
                <w:spacing w:val="-20"/>
                <w:kern w:val="0"/>
                <w:szCs w:val="21"/>
              </w:rPr>
            </w:pPr>
            <w:r>
              <w:rPr>
                <w:rFonts w:hint="eastAsia" w:ascii="宋体" w:hAnsi="宋体" w:eastAsia="宋体" w:cs="Times New Roman"/>
                <w:b/>
                <w:spacing w:val="-20"/>
                <w:kern w:val="0"/>
                <w:szCs w:val="21"/>
              </w:rPr>
              <w:t>超标量</w:t>
            </w:r>
            <w:r>
              <w:rPr>
                <w:rFonts w:ascii="Times New Roman" w:hAnsi="Times New Roman" w:eastAsia="宋体" w:cs="Times New Roman"/>
                <w:b/>
                <w:spacing w:val="-20"/>
                <w:kern w:val="0"/>
                <w:szCs w:val="21"/>
              </w:rPr>
              <w:t>(dB)</w:t>
            </w:r>
          </w:p>
        </w:tc>
        <w:tc>
          <w:tcPr>
            <w:tcW w:w="235" w:type="pct"/>
            <w:vMerge w:val="restart"/>
            <w:shd w:val="clear" w:color="auto" w:fill="auto"/>
            <w:vAlign w:val="center"/>
          </w:tcPr>
          <w:p w14:paraId="66A535C8">
            <w:pPr>
              <w:widowControl/>
              <w:spacing w:line="240" w:lineRule="exact"/>
              <w:jc w:val="center"/>
              <w:rPr>
                <w:rFonts w:ascii="Times New Roman" w:hAnsi="Times New Roman" w:eastAsia="宋体" w:cs="Times New Roman"/>
                <w:b/>
                <w:spacing w:val="-20"/>
                <w:kern w:val="0"/>
                <w:szCs w:val="21"/>
              </w:rPr>
            </w:pPr>
            <w:r>
              <w:rPr>
                <w:rFonts w:hint="eastAsia" w:ascii="宋体" w:hAnsi="宋体" w:eastAsia="宋体" w:cs="Times New Roman"/>
                <w:b/>
                <w:spacing w:val="-20"/>
                <w:kern w:val="0"/>
                <w:szCs w:val="21"/>
              </w:rPr>
              <w:t>评价标准</w:t>
            </w:r>
          </w:p>
        </w:tc>
        <w:tc>
          <w:tcPr>
            <w:tcW w:w="427" w:type="pct"/>
            <w:vMerge w:val="restart"/>
            <w:shd w:val="clear" w:color="auto" w:fill="auto"/>
            <w:vAlign w:val="center"/>
          </w:tcPr>
          <w:p w14:paraId="1284C72A">
            <w:pPr>
              <w:widowControl/>
              <w:spacing w:line="240" w:lineRule="exact"/>
              <w:jc w:val="center"/>
              <w:rPr>
                <w:rFonts w:ascii="Times New Roman" w:hAnsi="Times New Roman" w:eastAsia="宋体" w:cs="Times New Roman"/>
                <w:b/>
                <w:spacing w:val="-20"/>
                <w:kern w:val="0"/>
                <w:szCs w:val="21"/>
              </w:rPr>
            </w:pPr>
            <w:r>
              <w:rPr>
                <w:rFonts w:hint="eastAsia" w:ascii="宋体" w:hAnsi="宋体" w:eastAsia="宋体" w:cs="Times New Roman"/>
                <w:b/>
                <w:spacing w:val="-20"/>
                <w:kern w:val="0"/>
                <w:szCs w:val="21"/>
              </w:rPr>
              <w:t>超标户数</w:t>
            </w:r>
            <w:r>
              <w:rPr>
                <w:rFonts w:ascii="Times New Roman" w:hAnsi="Times New Roman" w:eastAsia="宋体" w:cs="Times New Roman"/>
                <w:b/>
                <w:spacing w:val="-20"/>
                <w:kern w:val="0"/>
                <w:szCs w:val="21"/>
              </w:rPr>
              <w:t>(</w:t>
            </w:r>
            <w:r>
              <w:rPr>
                <w:rFonts w:hint="eastAsia" w:ascii="宋体" w:hAnsi="宋体" w:eastAsia="宋体" w:cs="Times New Roman"/>
                <w:b/>
                <w:spacing w:val="-20"/>
                <w:kern w:val="0"/>
                <w:szCs w:val="21"/>
              </w:rPr>
              <w:t>户</w:t>
            </w:r>
            <w:r>
              <w:rPr>
                <w:rFonts w:ascii="Times New Roman" w:hAnsi="Times New Roman" w:eastAsia="宋体" w:cs="Times New Roman"/>
                <w:b/>
                <w:spacing w:val="-20"/>
                <w:kern w:val="0"/>
                <w:szCs w:val="21"/>
              </w:rPr>
              <w:t>)</w:t>
            </w:r>
          </w:p>
        </w:tc>
      </w:tr>
      <w:tr w14:paraId="31416E57">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182" w:type="pct"/>
            <w:vMerge w:val="continue"/>
            <w:vAlign w:val="center"/>
          </w:tcPr>
          <w:p w14:paraId="45374E8D">
            <w:pPr>
              <w:widowControl/>
              <w:spacing w:line="240" w:lineRule="exact"/>
              <w:jc w:val="center"/>
              <w:rPr>
                <w:rFonts w:ascii="Times New Roman" w:hAnsi="Times New Roman" w:eastAsia="宋体" w:cs="Times New Roman"/>
                <w:b/>
                <w:spacing w:val="-20"/>
                <w:kern w:val="0"/>
                <w:szCs w:val="21"/>
              </w:rPr>
            </w:pPr>
          </w:p>
        </w:tc>
        <w:tc>
          <w:tcPr>
            <w:tcW w:w="504" w:type="pct"/>
            <w:vMerge w:val="continue"/>
            <w:vAlign w:val="center"/>
          </w:tcPr>
          <w:p w14:paraId="7A023977">
            <w:pPr>
              <w:widowControl/>
              <w:spacing w:line="240" w:lineRule="exact"/>
              <w:jc w:val="center"/>
              <w:rPr>
                <w:rFonts w:ascii="Times New Roman" w:hAnsi="Times New Roman" w:eastAsia="宋体" w:cs="Times New Roman"/>
                <w:b/>
                <w:spacing w:val="-20"/>
                <w:kern w:val="0"/>
                <w:szCs w:val="21"/>
              </w:rPr>
            </w:pPr>
          </w:p>
        </w:tc>
        <w:tc>
          <w:tcPr>
            <w:tcW w:w="252" w:type="pct"/>
            <w:vMerge w:val="restart"/>
            <w:shd w:val="clear" w:color="auto" w:fill="auto"/>
            <w:vAlign w:val="center"/>
          </w:tcPr>
          <w:p w14:paraId="665AC0AB">
            <w:pPr>
              <w:widowControl/>
              <w:spacing w:line="240" w:lineRule="exact"/>
              <w:jc w:val="center"/>
              <w:rPr>
                <w:rFonts w:ascii="Times New Roman" w:hAnsi="Times New Roman" w:eastAsia="宋体" w:cs="Times New Roman"/>
                <w:b/>
                <w:spacing w:val="-20"/>
                <w:kern w:val="0"/>
                <w:szCs w:val="21"/>
              </w:rPr>
            </w:pPr>
            <w:r>
              <w:rPr>
                <w:rFonts w:hint="eastAsia" w:ascii="宋体" w:hAnsi="宋体" w:eastAsia="宋体" w:cs="Times New Roman"/>
                <w:b/>
                <w:spacing w:val="-20"/>
                <w:kern w:val="0"/>
                <w:szCs w:val="21"/>
              </w:rPr>
              <w:t>方位</w:t>
            </w:r>
          </w:p>
        </w:tc>
        <w:tc>
          <w:tcPr>
            <w:tcW w:w="303" w:type="pct"/>
            <w:vMerge w:val="restart"/>
            <w:shd w:val="clear" w:color="auto" w:fill="auto"/>
            <w:vAlign w:val="center"/>
          </w:tcPr>
          <w:p w14:paraId="685CC6B8">
            <w:pPr>
              <w:widowControl/>
              <w:spacing w:line="240" w:lineRule="exact"/>
              <w:jc w:val="center"/>
              <w:rPr>
                <w:rFonts w:ascii="Times New Roman" w:hAnsi="Times New Roman" w:eastAsia="宋体" w:cs="Times New Roman"/>
                <w:b/>
                <w:spacing w:val="-20"/>
                <w:kern w:val="0"/>
                <w:szCs w:val="21"/>
              </w:rPr>
            </w:pPr>
            <w:r>
              <w:rPr>
                <w:rFonts w:hint="eastAsia" w:ascii="宋体" w:hAnsi="宋体" w:eastAsia="宋体" w:cs="Times New Roman"/>
                <w:b/>
                <w:spacing w:val="-20"/>
                <w:kern w:val="0"/>
                <w:szCs w:val="21"/>
              </w:rPr>
              <w:t>距路中心</w:t>
            </w:r>
            <w:r>
              <w:rPr>
                <w:rFonts w:ascii="Times New Roman" w:hAnsi="Times New Roman" w:eastAsia="宋体" w:cs="Times New Roman"/>
                <w:b/>
                <w:spacing w:val="-20"/>
                <w:kern w:val="0"/>
                <w:szCs w:val="21"/>
              </w:rPr>
              <w:t>(m)</w:t>
            </w:r>
          </w:p>
        </w:tc>
        <w:tc>
          <w:tcPr>
            <w:tcW w:w="252" w:type="pct"/>
            <w:vMerge w:val="continue"/>
            <w:vAlign w:val="center"/>
          </w:tcPr>
          <w:p w14:paraId="56CD1895">
            <w:pPr>
              <w:widowControl/>
              <w:spacing w:line="240" w:lineRule="exact"/>
              <w:jc w:val="center"/>
              <w:rPr>
                <w:rFonts w:ascii="Times New Roman" w:hAnsi="Times New Roman" w:eastAsia="宋体" w:cs="Times New Roman"/>
                <w:b/>
                <w:spacing w:val="-20"/>
                <w:kern w:val="0"/>
                <w:szCs w:val="21"/>
              </w:rPr>
            </w:pPr>
          </w:p>
        </w:tc>
        <w:tc>
          <w:tcPr>
            <w:tcW w:w="353" w:type="pct"/>
            <w:vMerge w:val="continue"/>
            <w:vAlign w:val="center"/>
          </w:tcPr>
          <w:p w14:paraId="78E7D808">
            <w:pPr>
              <w:widowControl/>
              <w:spacing w:line="240" w:lineRule="exact"/>
              <w:jc w:val="center"/>
              <w:rPr>
                <w:rFonts w:ascii="Times New Roman" w:hAnsi="Times New Roman" w:eastAsia="宋体" w:cs="Times New Roman"/>
                <w:b/>
                <w:spacing w:val="-20"/>
                <w:kern w:val="0"/>
                <w:szCs w:val="21"/>
              </w:rPr>
            </w:pPr>
          </w:p>
        </w:tc>
        <w:tc>
          <w:tcPr>
            <w:tcW w:w="252" w:type="pct"/>
            <w:vMerge w:val="continue"/>
            <w:vAlign w:val="center"/>
          </w:tcPr>
          <w:p w14:paraId="694FBA8B">
            <w:pPr>
              <w:widowControl/>
              <w:spacing w:line="240" w:lineRule="exact"/>
              <w:jc w:val="center"/>
              <w:rPr>
                <w:rFonts w:ascii="Times New Roman" w:hAnsi="Times New Roman" w:eastAsia="宋体" w:cs="Times New Roman"/>
                <w:b/>
                <w:spacing w:val="-20"/>
                <w:kern w:val="0"/>
                <w:szCs w:val="21"/>
              </w:rPr>
            </w:pPr>
          </w:p>
        </w:tc>
        <w:tc>
          <w:tcPr>
            <w:tcW w:w="745" w:type="pct"/>
            <w:gridSpan w:val="2"/>
            <w:shd w:val="clear" w:color="auto" w:fill="auto"/>
            <w:vAlign w:val="center"/>
          </w:tcPr>
          <w:p w14:paraId="3BF47488">
            <w:pPr>
              <w:widowControl/>
              <w:spacing w:line="240" w:lineRule="exact"/>
              <w:jc w:val="center"/>
              <w:rPr>
                <w:rFonts w:ascii="Times New Roman" w:hAnsi="Times New Roman" w:eastAsia="宋体" w:cs="Times New Roman"/>
                <w:b/>
                <w:spacing w:val="-20"/>
                <w:kern w:val="0"/>
                <w:szCs w:val="21"/>
              </w:rPr>
            </w:pPr>
            <w:r>
              <w:rPr>
                <w:rFonts w:hint="eastAsia" w:ascii="宋体" w:hAnsi="宋体" w:eastAsia="宋体" w:cs="Times New Roman"/>
                <w:b/>
                <w:spacing w:val="-20"/>
                <w:kern w:val="0"/>
                <w:szCs w:val="21"/>
              </w:rPr>
              <w:t>近期</w:t>
            </w:r>
          </w:p>
        </w:tc>
        <w:tc>
          <w:tcPr>
            <w:tcW w:w="745" w:type="pct"/>
            <w:gridSpan w:val="2"/>
            <w:shd w:val="clear" w:color="auto" w:fill="auto"/>
            <w:vAlign w:val="center"/>
          </w:tcPr>
          <w:p w14:paraId="039077FD">
            <w:pPr>
              <w:widowControl/>
              <w:spacing w:line="240" w:lineRule="exact"/>
              <w:jc w:val="center"/>
              <w:rPr>
                <w:rFonts w:ascii="Times New Roman" w:hAnsi="Times New Roman" w:eastAsia="宋体" w:cs="Times New Roman"/>
                <w:b/>
                <w:spacing w:val="-20"/>
                <w:kern w:val="0"/>
                <w:szCs w:val="21"/>
              </w:rPr>
            </w:pPr>
            <w:r>
              <w:rPr>
                <w:rFonts w:hint="eastAsia" w:ascii="宋体" w:hAnsi="宋体" w:eastAsia="宋体" w:cs="Times New Roman"/>
                <w:b/>
                <w:spacing w:val="-20"/>
                <w:kern w:val="0"/>
                <w:szCs w:val="21"/>
              </w:rPr>
              <w:t>中期</w:t>
            </w:r>
          </w:p>
        </w:tc>
        <w:tc>
          <w:tcPr>
            <w:tcW w:w="750" w:type="pct"/>
            <w:gridSpan w:val="2"/>
            <w:shd w:val="clear" w:color="auto" w:fill="auto"/>
            <w:vAlign w:val="center"/>
          </w:tcPr>
          <w:p w14:paraId="3B1C4EEE">
            <w:pPr>
              <w:widowControl/>
              <w:spacing w:line="240" w:lineRule="exact"/>
              <w:jc w:val="center"/>
              <w:rPr>
                <w:rFonts w:ascii="Times New Roman" w:hAnsi="Times New Roman" w:eastAsia="宋体" w:cs="Times New Roman"/>
                <w:b/>
                <w:spacing w:val="-20"/>
                <w:kern w:val="0"/>
                <w:szCs w:val="21"/>
              </w:rPr>
            </w:pPr>
            <w:r>
              <w:rPr>
                <w:rFonts w:hint="eastAsia" w:ascii="宋体" w:hAnsi="宋体" w:eastAsia="宋体" w:cs="Times New Roman"/>
                <w:b/>
                <w:spacing w:val="-20"/>
                <w:kern w:val="0"/>
                <w:szCs w:val="21"/>
              </w:rPr>
              <w:t>远期</w:t>
            </w:r>
          </w:p>
        </w:tc>
        <w:tc>
          <w:tcPr>
            <w:tcW w:w="235" w:type="pct"/>
            <w:vMerge w:val="continue"/>
            <w:vAlign w:val="center"/>
          </w:tcPr>
          <w:p w14:paraId="0D1CF604">
            <w:pPr>
              <w:widowControl/>
              <w:spacing w:line="240" w:lineRule="exact"/>
              <w:jc w:val="center"/>
              <w:rPr>
                <w:rFonts w:ascii="Times New Roman" w:hAnsi="Times New Roman" w:eastAsia="宋体" w:cs="Times New Roman"/>
                <w:b/>
                <w:spacing w:val="-20"/>
                <w:kern w:val="0"/>
                <w:szCs w:val="21"/>
              </w:rPr>
            </w:pPr>
          </w:p>
        </w:tc>
        <w:tc>
          <w:tcPr>
            <w:tcW w:w="427" w:type="pct"/>
            <w:vMerge w:val="continue"/>
            <w:vAlign w:val="center"/>
          </w:tcPr>
          <w:p w14:paraId="65BFAD64">
            <w:pPr>
              <w:widowControl/>
              <w:spacing w:line="240" w:lineRule="exact"/>
              <w:jc w:val="center"/>
              <w:rPr>
                <w:rFonts w:ascii="Times New Roman" w:hAnsi="Times New Roman" w:eastAsia="宋体" w:cs="Times New Roman"/>
                <w:b/>
                <w:spacing w:val="-20"/>
                <w:kern w:val="0"/>
                <w:szCs w:val="21"/>
              </w:rPr>
            </w:pPr>
          </w:p>
        </w:tc>
      </w:tr>
      <w:tr w14:paraId="16BAC919">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182" w:type="pct"/>
            <w:vMerge w:val="continue"/>
            <w:vAlign w:val="center"/>
          </w:tcPr>
          <w:p w14:paraId="75C0A4AE">
            <w:pPr>
              <w:widowControl/>
              <w:spacing w:line="240" w:lineRule="exact"/>
              <w:jc w:val="center"/>
              <w:rPr>
                <w:rFonts w:ascii="Times New Roman" w:hAnsi="Times New Roman" w:eastAsia="宋体" w:cs="Times New Roman"/>
                <w:b/>
                <w:spacing w:val="-20"/>
                <w:kern w:val="0"/>
                <w:szCs w:val="21"/>
              </w:rPr>
            </w:pPr>
          </w:p>
        </w:tc>
        <w:tc>
          <w:tcPr>
            <w:tcW w:w="504" w:type="pct"/>
            <w:vMerge w:val="continue"/>
            <w:vAlign w:val="center"/>
          </w:tcPr>
          <w:p w14:paraId="21F394E0">
            <w:pPr>
              <w:widowControl/>
              <w:spacing w:line="240" w:lineRule="exact"/>
              <w:jc w:val="center"/>
              <w:rPr>
                <w:rFonts w:ascii="Times New Roman" w:hAnsi="Times New Roman" w:eastAsia="宋体" w:cs="Times New Roman"/>
                <w:b/>
                <w:spacing w:val="-20"/>
                <w:kern w:val="0"/>
                <w:szCs w:val="21"/>
              </w:rPr>
            </w:pPr>
          </w:p>
        </w:tc>
        <w:tc>
          <w:tcPr>
            <w:tcW w:w="252" w:type="pct"/>
            <w:vMerge w:val="continue"/>
            <w:vAlign w:val="center"/>
          </w:tcPr>
          <w:p w14:paraId="3E78CF31">
            <w:pPr>
              <w:widowControl/>
              <w:spacing w:line="240" w:lineRule="exact"/>
              <w:jc w:val="center"/>
              <w:rPr>
                <w:rFonts w:ascii="Times New Roman" w:hAnsi="Times New Roman" w:eastAsia="宋体" w:cs="Times New Roman"/>
                <w:b/>
                <w:spacing w:val="-20"/>
                <w:kern w:val="0"/>
                <w:szCs w:val="21"/>
              </w:rPr>
            </w:pPr>
          </w:p>
        </w:tc>
        <w:tc>
          <w:tcPr>
            <w:tcW w:w="303" w:type="pct"/>
            <w:vMerge w:val="continue"/>
            <w:vAlign w:val="center"/>
          </w:tcPr>
          <w:p w14:paraId="7928F0D2">
            <w:pPr>
              <w:widowControl/>
              <w:spacing w:line="240" w:lineRule="exact"/>
              <w:jc w:val="center"/>
              <w:rPr>
                <w:rFonts w:ascii="Times New Roman" w:hAnsi="Times New Roman" w:eastAsia="宋体" w:cs="Times New Roman"/>
                <w:b/>
                <w:spacing w:val="-20"/>
                <w:kern w:val="0"/>
                <w:szCs w:val="21"/>
              </w:rPr>
            </w:pPr>
          </w:p>
        </w:tc>
        <w:tc>
          <w:tcPr>
            <w:tcW w:w="252" w:type="pct"/>
            <w:vMerge w:val="continue"/>
            <w:vAlign w:val="center"/>
          </w:tcPr>
          <w:p w14:paraId="733CF6D2">
            <w:pPr>
              <w:widowControl/>
              <w:spacing w:line="240" w:lineRule="exact"/>
              <w:jc w:val="center"/>
              <w:rPr>
                <w:rFonts w:ascii="Times New Roman" w:hAnsi="Times New Roman" w:eastAsia="宋体" w:cs="Times New Roman"/>
                <w:b/>
                <w:spacing w:val="-20"/>
                <w:kern w:val="0"/>
                <w:szCs w:val="21"/>
              </w:rPr>
            </w:pPr>
          </w:p>
        </w:tc>
        <w:tc>
          <w:tcPr>
            <w:tcW w:w="353" w:type="pct"/>
            <w:vMerge w:val="continue"/>
            <w:vAlign w:val="center"/>
          </w:tcPr>
          <w:p w14:paraId="49F597D1">
            <w:pPr>
              <w:widowControl/>
              <w:spacing w:line="240" w:lineRule="exact"/>
              <w:jc w:val="center"/>
              <w:rPr>
                <w:rFonts w:ascii="Times New Roman" w:hAnsi="Times New Roman" w:eastAsia="宋体" w:cs="Times New Roman"/>
                <w:b/>
                <w:spacing w:val="-20"/>
                <w:kern w:val="0"/>
                <w:szCs w:val="21"/>
              </w:rPr>
            </w:pPr>
          </w:p>
        </w:tc>
        <w:tc>
          <w:tcPr>
            <w:tcW w:w="252" w:type="pct"/>
            <w:vMerge w:val="continue"/>
            <w:vAlign w:val="center"/>
          </w:tcPr>
          <w:p w14:paraId="78E2F44C">
            <w:pPr>
              <w:widowControl/>
              <w:spacing w:line="240" w:lineRule="exact"/>
              <w:jc w:val="center"/>
              <w:rPr>
                <w:rFonts w:ascii="Times New Roman" w:hAnsi="Times New Roman" w:eastAsia="宋体" w:cs="Times New Roman"/>
                <w:b/>
                <w:spacing w:val="-20"/>
                <w:kern w:val="0"/>
                <w:szCs w:val="21"/>
              </w:rPr>
            </w:pPr>
          </w:p>
        </w:tc>
        <w:tc>
          <w:tcPr>
            <w:tcW w:w="372" w:type="pct"/>
            <w:shd w:val="clear" w:color="auto" w:fill="auto"/>
            <w:vAlign w:val="center"/>
          </w:tcPr>
          <w:p w14:paraId="34CB62C9">
            <w:pPr>
              <w:widowControl/>
              <w:spacing w:line="240" w:lineRule="exact"/>
              <w:jc w:val="center"/>
              <w:rPr>
                <w:rFonts w:ascii="Times New Roman" w:hAnsi="Times New Roman" w:eastAsia="宋体" w:cs="Times New Roman"/>
                <w:b/>
                <w:spacing w:val="-20"/>
                <w:kern w:val="0"/>
                <w:szCs w:val="21"/>
              </w:rPr>
            </w:pPr>
            <w:r>
              <w:rPr>
                <w:rFonts w:hint="eastAsia" w:ascii="宋体" w:hAnsi="宋体" w:eastAsia="宋体" w:cs="Times New Roman"/>
                <w:b/>
                <w:spacing w:val="-20"/>
                <w:kern w:val="0"/>
                <w:szCs w:val="21"/>
              </w:rPr>
              <w:t>昼间</w:t>
            </w:r>
          </w:p>
        </w:tc>
        <w:tc>
          <w:tcPr>
            <w:tcW w:w="373" w:type="pct"/>
            <w:shd w:val="clear" w:color="auto" w:fill="auto"/>
            <w:vAlign w:val="center"/>
          </w:tcPr>
          <w:p w14:paraId="281FAA1C">
            <w:pPr>
              <w:widowControl/>
              <w:spacing w:line="240" w:lineRule="exact"/>
              <w:jc w:val="center"/>
              <w:rPr>
                <w:rFonts w:ascii="Times New Roman" w:hAnsi="Times New Roman" w:eastAsia="宋体" w:cs="Times New Roman"/>
                <w:b/>
                <w:spacing w:val="-20"/>
                <w:kern w:val="0"/>
                <w:szCs w:val="21"/>
              </w:rPr>
            </w:pPr>
            <w:r>
              <w:rPr>
                <w:rFonts w:hint="eastAsia" w:ascii="宋体" w:hAnsi="宋体" w:eastAsia="宋体" w:cs="Times New Roman"/>
                <w:b/>
                <w:spacing w:val="-20"/>
                <w:kern w:val="0"/>
                <w:szCs w:val="21"/>
              </w:rPr>
              <w:t>夜间</w:t>
            </w:r>
          </w:p>
        </w:tc>
        <w:tc>
          <w:tcPr>
            <w:tcW w:w="373" w:type="pct"/>
            <w:shd w:val="clear" w:color="auto" w:fill="auto"/>
            <w:vAlign w:val="center"/>
          </w:tcPr>
          <w:p w14:paraId="58AC0AB2">
            <w:pPr>
              <w:widowControl/>
              <w:spacing w:line="240" w:lineRule="exact"/>
              <w:jc w:val="center"/>
              <w:rPr>
                <w:rFonts w:ascii="Times New Roman" w:hAnsi="Times New Roman" w:eastAsia="宋体" w:cs="Times New Roman"/>
                <w:b/>
                <w:spacing w:val="-20"/>
                <w:kern w:val="0"/>
                <w:szCs w:val="21"/>
              </w:rPr>
            </w:pPr>
            <w:r>
              <w:rPr>
                <w:rFonts w:hint="eastAsia" w:ascii="宋体" w:hAnsi="宋体" w:eastAsia="宋体" w:cs="Times New Roman"/>
                <w:b/>
                <w:spacing w:val="-20"/>
                <w:kern w:val="0"/>
                <w:szCs w:val="21"/>
              </w:rPr>
              <w:t>昼间</w:t>
            </w:r>
          </w:p>
        </w:tc>
        <w:tc>
          <w:tcPr>
            <w:tcW w:w="372" w:type="pct"/>
            <w:shd w:val="clear" w:color="auto" w:fill="auto"/>
            <w:vAlign w:val="center"/>
          </w:tcPr>
          <w:p w14:paraId="3982ADAB">
            <w:pPr>
              <w:widowControl/>
              <w:spacing w:line="240" w:lineRule="exact"/>
              <w:jc w:val="center"/>
              <w:rPr>
                <w:rFonts w:ascii="Times New Roman" w:hAnsi="Times New Roman" w:eastAsia="宋体" w:cs="Times New Roman"/>
                <w:b/>
                <w:spacing w:val="-20"/>
                <w:kern w:val="0"/>
                <w:szCs w:val="21"/>
              </w:rPr>
            </w:pPr>
            <w:r>
              <w:rPr>
                <w:rFonts w:hint="eastAsia" w:ascii="宋体" w:hAnsi="宋体" w:eastAsia="宋体" w:cs="Times New Roman"/>
                <w:b/>
                <w:spacing w:val="-20"/>
                <w:kern w:val="0"/>
                <w:szCs w:val="21"/>
              </w:rPr>
              <w:t>夜间</w:t>
            </w:r>
          </w:p>
        </w:tc>
        <w:tc>
          <w:tcPr>
            <w:tcW w:w="373" w:type="pct"/>
            <w:shd w:val="clear" w:color="auto" w:fill="auto"/>
            <w:vAlign w:val="center"/>
          </w:tcPr>
          <w:p w14:paraId="4A487DF7">
            <w:pPr>
              <w:widowControl/>
              <w:spacing w:line="240" w:lineRule="exact"/>
              <w:jc w:val="center"/>
              <w:rPr>
                <w:rFonts w:ascii="Times New Roman" w:hAnsi="Times New Roman" w:eastAsia="宋体" w:cs="Times New Roman"/>
                <w:b/>
                <w:spacing w:val="-20"/>
                <w:kern w:val="0"/>
                <w:szCs w:val="21"/>
              </w:rPr>
            </w:pPr>
            <w:r>
              <w:rPr>
                <w:rFonts w:hint="eastAsia" w:ascii="宋体" w:hAnsi="宋体" w:eastAsia="宋体" w:cs="Times New Roman"/>
                <w:b/>
                <w:spacing w:val="-20"/>
                <w:kern w:val="0"/>
                <w:szCs w:val="21"/>
              </w:rPr>
              <w:t>昼间</w:t>
            </w:r>
          </w:p>
        </w:tc>
        <w:tc>
          <w:tcPr>
            <w:tcW w:w="377" w:type="pct"/>
            <w:shd w:val="clear" w:color="auto" w:fill="auto"/>
            <w:vAlign w:val="center"/>
          </w:tcPr>
          <w:p w14:paraId="4A9C424B">
            <w:pPr>
              <w:widowControl/>
              <w:spacing w:line="240" w:lineRule="exact"/>
              <w:jc w:val="center"/>
              <w:rPr>
                <w:rFonts w:ascii="Times New Roman" w:hAnsi="Times New Roman" w:eastAsia="宋体" w:cs="Times New Roman"/>
                <w:b/>
                <w:spacing w:val="-20"/>
                <w:kern w:val="0"/>
                <w:szCs w:val="21"/>
              </w:rPr>
            </w:pPr>
            <w:r>
              <w:rPr>
                <w:rFonts w:hint="eastAsia" w:ascii="宋体" w:hAnsi="宋体" w:eastAsia="宋体" w:cs="Times New Roman"/>
                <w:b/>
                <w:spacing w:val="-20"/>
                <w:kern w:val="0"/>
                <w:szCs w:val="21"/>
              </w:rPr>
              <w:t>夜间</w:t>
            </w:r>
          </w:p>
        </w:tc>
        <w:tc>
          <w:tcPr>
            <w:tcW w:w="235" w:type="pct"/>
            <w:vMerge w:val="continue"/>
            <w:vAlign w:val="center"/>
          </w:tcPr>
          <w:p w14:paraId="6E27DA5F">
            <w:pPr>
              <w:widowControl/>
              <w:spacing w:line="240" w:lineRule="exact"/>
              <w:jc w:val="center"/>
              <w:rPr>
                <w:rFonts w:ascii="Times New Roman" w:hAnsi="Times New Roman" w:eastAsia="宋体" w:cs="Times New Roman"/>
                <w:b/>
                <w:spacing w:val="-20"/>
                <w:kern w:val="0"/>
                <w:szCs w:val="21"/>
              </w:rPr>
            </w:pPr>
          </w:p>
        </w:tc>
        <w:tc>
          <w:tcPr>
            <w:tcW w:w="427" w:type="pct"/>
            <w:vMerge w:val="continue"/>
            <w:vAlign w:val="center"/>
          </w:tcPr>
          <w:p w14:paraId="4956FB85">
            <w:pPr>
              <w:widowControl/>
              <w:spacing w:line="240" w:lineRule="exact"/>
              <w:jc w:val="center"/>
              <w:rPr>
                <w:rFonts w:ascii="Times New Roman" w:hAnsi="Times New Roman" w:eastAsia="宋体" w:cs="Times New Roman"/>
                <w:b/>
                <w:spacing w:val="-20"/>
                <w:kern w:val="0"/>
                <w:szCs w:val="21"/>
              </w:rPr>
            </w:pPr>
          </w:p>
        </w:tc>
      </w:tr>
      <w:tr w14:paraId="68C12C99">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182" w:type="pct"/>
            <w:vMerge w:val="restart"/>
            <w:shd w:val="clear" w:color="auto" w:fill="auto"/>
            <w:vAlign w:val="center"/>
          </w:tcPr>
          <w:p w14:paraId="1CC45396">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20</w:t>
            </w:r>
          </w:p>
        </w:tc>
        <w:tc>
          <w:tcPr>
            <w:tcW w:w="504" w:type="pct"/>
            <w:vMerge w:val="restart"/>
            <w:shd w:val="clear" w:color="auto" w:fill="auto"/>
            <w:vAlign w:val="center"/>
          </w:tcPr>
          <w:p w14:paraId="50951298">
            <w:pPr>
              <w:widowControl/>
              <w:spacing w:line="240" w:lineRule="exact"/>
              <w:jc w:val="center"/>
              <w:rPr>
                <w:rFonts w:ascii="Times New Roman" w:hAnsi="Times New Roman" w:eastAsia="宋体" w:cs="Times New Roman"/>
                <w:kern w:val="0"/>
                <w:szCs w:val="21"/>
              </w:rPr>
            </w:pPr>
            <w:r>
              <w:rPr>
                <w:rFonts w:hint="eastAsia" w:ascii="宋体" w:hAnsi="宋体" w:eastAsia="宋体" w:cs="Times New Roman"/>
                <w:kern w:val="0"/>
                <w:szCs w:val="21"/>
              </w:rPr>
              <w:t>丘如克</w:t>
            </w:r>
          </w:p>
        </w:tc>
        <w:tc>
          <w:tcPr>
            <w:tcW w:w="252" w:type="pct"/>
            <w:vMerge w:val="restart"/>
            <w:shd w:val="clear" w:color="auto" w:fill="auto"/>
            <w:vAlign w:val="center"/>
          </w:tcPr>
          <w:p w14:paraId="0A019993">
            <w:pPr>
              <w:widowControl/>
              <w:spacing w:line="240" w:lineRule="exact"/>
              <w:jc w:val="center"/>
              <w:rPr>
                <w:rFonts w:ascii="Times New Roman" w:hAnsi="Times New Roman" w:eastAsia="宋体" w:cs="Times New Roman"/>
                <w:kern w:val="0"/>
                <w:szCs w:val="21"/>
              </w:rPr>
            </w:pPr>
            <w:r>
              <w:rPr>
                <w:rFonts w:hint="eastAsia" w:ascii="宋体" w:hAnsi="宋体" w:eastAsia="宋体" w:cs="Times New Roman"/>
                <w:kern w:val="0"/>
                <w:szCs w:val="21"/>
              </w:rPr>
              <w:t>两侧</w:t>
            </w:r>
          </w:p>
        </w:tc>
        <w:tc>
          <w:tcPr>
            <w:tcW w:w="303" w:type="pct"/>
            <w:shd w:val="clear" w:color="auto" w:fill="auto"/>
            <w:vAlign w:val="center"/>
          </w:tcPr>
          <w:p w14:paraId="07908657">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22</w:t>
            </w:r>
          </w:p>
        </w:tc>
        <w:tc>
          <w:tcPr>
            <w:tcW w:w="252" w:type="pct"/>
            <w:vMerge w:val="restart"/>
            <w:shd w:val="clear" w:color="auto" w:fill="auto"/>
            <w:vAlign w:val="center"/>
          </w:tcPr>
          <w:p w14:paraId="523C4C17">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w:t>
            </w:r>
          </w:p>
        </w:tc>
        <w:tc>
          <w:tcPr>
            <w:tcW w:w="353" w:type="pct"/>
            <w:vMerge w:val="restart"/>
            <w:shd w:val="clear" w:color="auto" w:fill="auto"/>
            <w:vAlign w:val="center"/>
          </w:tcPr>
          <w:p w14:paraId="01C6D8B2">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0</w:t>
            </w:r>
          </w:p>
        </w:tc>
        <w:tc>
          <w:tcPr>
            <w:tcW w:w="252" w:type="pct"/>
            <w:vMerge w:val="restart"/>
            <w:shd w:val="clear" w:color="auto" w:fill="auto"/>
            <w:vAlign w:val="center"/>
          </w:tcPr>
          <w:p w14:paraId="0D0F6626">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w:t>
            </w:r>
            <w:r>
              <w:rPr>
                <w:rFonts w:hint="eastAsia" w:ascii="宋体" w:hAnsi="宋体" w:eastAsia="宋体" w:cs="Times New Roman"/>
                <w:kern w:val="0"/>
                <w:szCs w:val="21"/>
              </w:rPr>
              <w:t>层</w:t>
            </w:r>
          </w:p>
        </w:tc>
        <w:tc>
          <w:tcPr>
            <w:tcW w:w="372" w:type="pct"/>
            <w:shd w:val="clear" w:color="auto" w:fill="auto"/>
            <w:vAlign w:val="center"/>
          </w:tcPr>
          <w:p w14:paraId="1BA1F8BD">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3" w:type="pct"/>
            <w:shd w:val="clear" w:color="auto" w:fill="auto"/>
            <w:vAlign w:val="center"/>
          </w:tcPr>
          <w:p w14:paraId="449D8A67">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2.3</w:t>
            </w:r>
          </w:p>
        </w:tc>
        <w:tc>
          <w:tcPr>
            <w:tcW w:w="373" w:type="pct"/>
            <w:shd w:val="clear" w:color="auto" w:fill="auto"/>
            <w:vAlign w:val="center"/>
          </w:tcPr>
          <w:p w14:paraId="62066216">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2" w:type="pct"/>
            <w:shd w:val="clear" w:color="auto" w:fill="auto"/>
            <w:vAlign w:val="center"/>
          </w:tcPr>
          <w:p w14:paraId="29188324">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3.</w:t>
            </w:r>
            <w:r>
              <w:rPr>
                <w:rFonts w:hint="eastAsia" w:ascii="Times New Roman" w:hAnsi="Times New Roman" w:eastAsia="宋体" w:cs="Times New Roman"/>
                <w:kern w:val="0"/>
                <w:szCs w:val="21"/>
              </w:rPr>
              <w:t>0</w:t>
            </w:r>
          </w:p>
        </w:tc>
        <w:tc>
          <w:tcPr>
            <w:tcW w:w="373" w:type="pct"/>
            <w:shd w:val="clear" w:color="auto" w:fill="auto"/>
            <w:vAlign w:val="center"/>
          </w:tcPr>
          <w:p w14:paraId="4B10189F">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7" w:type="pct"/>
            <w:shd w:val="clear" w:color="auto" w:fill="auto"/>
            <w:vAlign w:val="center"/>
          </w:tcPr>
          <w:p w14:paraId="7541D373">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3.8</w:t>
            </w:r>
          </w:p>
        </w:tc>
        <w:tc>
          <w:tcPr>
            <w:tcW w:w="235" w:type="pct"/>
            <w:shd w:val="clear" w:color="auto" w:fill="auto"/>
            <w:vAlign w:val="center"/>
          </w:tcPr>
          <w:p w14:paraId="423B67CC">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4a</w:t>
            </w:r>
            <w:r>
              <w:rPr>
                <w:rFonts w:hint="eastAsia" w:ascii="宋体" w:hAnsi="宋体" w:eastAsia="宋体" w:cs="Times New Roman"/>
                <w:kern w:val="0"/>
                <w:szCs w:val="21"/>
              </w:rPr>
              <w:t>类</w:t>
            </w:r>
          </w:p>
        </w:tc>
        <w:tc>
          <w:tcPr>
            <w:tcW w:w="427" w:type="pct"/>
            <w:shd w:val="clear" w:color="auto" w:fill="auto"/>
            <w:vAlign w:val="center"/>
          </w:tcPr>
          <w:p w14:paraId="4BD4521C">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20</w:t>
            </w:r>
          </w:p>
        </w:tc>
      </w:tr>
      <w:tr w14:paraId="2001DAE8">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182" w:type="pct"/>
            <w:vMerge w:val="continue"/>
            <w:vAlign w:val="center"/>
          </w:tcPr>
          <w:p w14:paraId="174CABCE">
            <w:pPr>
              <w:widowControl/>
              <w:spacing w:line="240" w:lineRule="exact"/>
              <w:jc w:val="center"/>
              <w:rPr>
                <w:rFonts w:ascii="Times New Roman" w:hAnsi="Times New Roman" w:eastAsia="宋体" w:cs="Times New Roman"/>
                <w:kern w:val="0"/>
                <w:szCs w:val="21"/>
              </w:rPr>
            </w:pPr>
          </w:p>
        </w:tc>
        <w:tc>
          <w:tcPr>
            <w:tcW w:w="504" w:type="pct"/>
            <w:vMerge w:val="continue"/>
            <w:vAlign w:val="center"/>
          </w:tcPr>
          <w:p w14:paraId="0EDE8776">
            <w:pPr>
              <w:widowControl/>
              <w:spacing w:line="240" w:lineRule="exact"/>
              <w:jc w:val="center"/>
              <w:rPr>
                <w:rFonts w:ascii="Times New Roman" w:hAnsi="Times New Roman" w:eastAsia="宋体" w:cs="Times New Roman"/>
                <w:kern w:val="0"/>
                <w:szCs w:val="21"/>
              </w:rPr>
            </w:pPr>
          </w:p>
        </w:tc>
        <w:tc>
          <w:tcPr>
            <w:tcW w:w="252" w:type="pct"/>
            <w:vMerge w:val="continue"/>
            <w:vAlign w:val="center"/>
          </w:tcPr>
          <w:p w14:paraId="4EB0E171">
            <w:pPr>
              <w:widowControl/>
              <w:spacing w:line="240" w:lineRule="exact"/>
              <w:jc w:val="center"/>
              <w:rPr>
                <w:rFonts w:ascii="Times New Roman" w:hAnsi="Times New Roman" w:eastAsia="宋体" w:cs="Times New Roman"/>
                <w:kern w:val="0"/>
                <w:szCs w:val="21"/>
              </w:rPr>
            </w:pPr>
          </w:p>
        </w:tc>
        <w:tc>
          <w:tcPr>
            <w:tcW w:w="303" w:type="pct"/>
            <w:shd w:val="clear" w:color="auto" w:fill="auto"/>
            <w:vAlign w:val="center"/>
          </w:tcPr>
          <w:p w14:paraId="31B377AA">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56</w:t>
            </w:r>
          </w:p>
        </w:tc>
        <w:tc>
          <w:tcPr>
            <w:tcW w:w="252" w:type="pct"/>
            <w:vMerge w:val="continue"/>
            <w:vAlign w:val="center"/>
          </w:tcPr>
          <w:p w14:paraId="2A0C4816">
            <w:pPr>
              <w:widowControl/>
              <w:spacing w:line="240" w:lineRule="exact"/>
              <w:jc w:val="center"/>
              <w:rPr>
                <w:rFonts w:ascii="Times New Roman" w:hAnsi="Times New Roman" w:eastAsia="宋体" w:cs="Times New Roman"/>
                <w:kern w:val="0"/>
                <w:szCs w:val="21"/>
              </w:rPr>
            </w:pPr>
          </w:p>
        </w:tc>
        <w:tc>
          <w:tcPr>
            <w:tcW w:w="353" w:type="pct"/>
            <w:vMerge w:val="continue"/>
            <w:vAlign w:val="center"/>
          </w:tcPr>
          <w:p w14:paraId="685A058A">
            <w:pPr>
              <w:widowControl/>
              <w:spacing w:line="240" w:lineRule="exact"/>
              <w:jc w:val="center"/>
              <w:rPr>
                <w:rFonts w:ascii="Times New Roman" w:hAnsi="Times New Roman" w:eastAsia="宋体" w:cs="Times New Roman"/>
                <w:kern w:val="0"/>
                <w:szCs w:val="21"/>
              </w:rPr>
            </w:pPr>
          </w:p>
        </w:tc>
        <w:tc>
          <w:tcPr>
            <w:tcW w:w="252" w:type="pct"/>
            <w:vMerge w:val="continue"/>
            <w:vAlign w:val="center"/>
          </w:tcPr>
          <w:p w14:paraId="1FB7EED3">
            <w:pPr>
              <w:widowControl/>
              <w:spacing w:line="240" w:lineRule="exact"/>
              <w:jc w:val="center"/>
              <w:rPr>
                <w:rFonts w:ascii="Times New Roman" w:hAnsi="Times New Roman" w:eastAsia="宋体" w:cs="Times New Roman"/>
                <w:kern w:val="0"/>
                <w:szCs w:val="21"/>
              </w:rPr>
            </w:pPr>
          </w:p>
        </w:tc>
        <w:tc>
          <w:tcPr>
            <w:tcW w:w="372" w:type="pct"/>
            <w:shd w:val="clear" w:color="auto" w:fill="auto"/>
            <w:vAlign w:val="center"/>
          </w:tcPr>
          <w:p w14:paraId="0BBBFE84">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3" w:type="pct"/>
            <w:shd w:val="clear" w:color="auto" w:fill="auto"/>
            <w:vAlign w:val="center"/>
          </w:tcPr>
          <w:p w14:paraId="3A2FB173">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2.3</w:t>
            </w:r>
          </w:p>
        </w:tc>
        <w:tc>
          <w:tcPr>
            <w:tcW w:w="373" w:type="pct"/>
            <w:shd w:val="clear" w:color="auto" w:fill="auto"/>
            <w:vAlign w:val="center"/>
          </w:tcPr>
          <w:p w14:paraId="18B03329">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2" w:type="pct"/>
            <w:shd w:val="clear" w:color="auto" w:fill="auto"/>
            <w:vAlign w:val="center"/>
          </w:tcPr>
          <w:p w14:paraId="4E1CBA01">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3.</w:t>
            </w:r>
            <w:r>
              <w:rPr>
                <w:rFonts w:hint="eastAsia" w:ascii="Times New Roman" w:hAnsi="Times New Roman" w:eastAsia="宋体" w:cs="Times New Roman"/>
                <w:kern w:val="0"/>
                <w:szCs w:val="21"/>
              </w:rPr>
              <w:t>0</w:t>
            </w:r>
          </w:p>
        </w:tc>
        <w:tc>
          <w:tcPr>
            <w:tcW w:w="373" w:type="pct"/>
            <w:shd w:val="clear" w:color="auto" w:fill="auto"/>
            <w:vAlign w:val="center"/>
          </w:tcPr>
          <w:p w14:paraId="236A0BD4">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7" w:type="pct"/>
            <w:shd w:val="clear" w:color="auto" w:fill="auto"/>
            <w:vAlign w:val="center"/>
          </w:tcPr>
          <w:p w14:paraId="65360A8C">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3.8</w:t>
            </w:r>
          </w:p>
        </w:tc>
        <w:tc>
          <w:tcPr>
            <w:tcW w:w="235" w:type="pct"/>
            <w:shd w:val="clear" w:color="auto" w:fill="auto"/>
            <w:vAlign w:val="center"/>
          </w:tcPr>
          <w:p w14:paraId="3B566C11">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w:t>
            </w:r>
            <w:r>
              <w:rPr>
                <w:rFonts w:hint="eastAsia" w:ascii="宋体" w:hAnsi="宋体" w:eastAsia="宋体" w:cs="Times New Roman"/>
                <w:kern w:val="0"/>
                <w:szCs w:val="21"/>
              </w:rPr>
              <w:t>类</w:t>
            </w:r>
          </w:p>
        </w:tc>
        <w:tc>
          <w:tcPr>
            <w:tcW w:w="427" w:type="pct"/>
            <w:shd w:val="clear" w:color="auto" w:fill="auto"/>
            <w:vAlign w:val="center"/>
          </w:tcPr>
          <w:p w14:paraId="68CAE2ED">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38</w:t>
            </w:r>
          </w:p>
        </w:tc>
      </w:tr>
      <w:tr w14:paraId="41637D7C">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182" w:type="pct"/>
            <w:vMerge w:val="restart"/>
            <w:shd w:val="clear" w:color="auto" w:fill="auto"/>
            <w:vAlign w:val="center"/>
          </w:tcPr>
          <w:p w14:paraId="0E94B598">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21</w:t>
            </w:r>
          </w:p>
        </w:tc>
        <w:tc>
          <w:tcPr>
            <w:tcW w:w="504" w:type="pct"/>
            <w:vMerge w:val="restart"/>
            <w:shd w:val="clear" w:color="auto" w:fill="auto"/>
            <w:vAlign w:val="center"/>
          </w:tcPr>
          <w:p w14:paraId="25D74826">
            <w:pPr>
              <w:widowControl/>
              <w:spacing w:line="240" w:lineRule="exact"/>
              <w:jc w:val="center"/>
              <w:rPr>
                <w:rFonts w:ascii="Times New Roman" w:hAnsi="Times New Roman" w:eastAsia="宋体" w:cs="Times New Roman"/>
                <w:kern w:val="0"/>
                <w:szCs w:val="21"/>
              </w:rPr>
            </w:pPr>
            <w:r>
              <w:rPr>
                <w:rFonts w:hint="eastAsia" w:ascii="宋体" w:hAnsi="宋体" w:eastAsia="宋体" w:cs="Times New Roman"/>
                <w:kern w:val="0"/>
                <w:szCs w:val="21"/>
              </w:rPr>
              <w:t>布鲁胡其</w:t>
            </w:r>
          </w:p>
        </w:tc>
        <w:tc>
          <w:tcPr>
            <w:tcW w:w="252" w:type="pct"/>
            <w:vMerge w:val="restart"/>
            <w:shd w:val="clear" w:color="auto" w:fill="auto"/>
            <w:vAlign w:val="center"/>
          </w:tcPr>
          <w:p w14:paraId="538B173C">
            <w:pPr>
              <w:widowControl/>
              <w:spacing w:line="240" w:lineRule="exact"/>
              <w:jc w:val="center"/>
              <w:rPr>
                <w:rFonts w:ascii="Times New Roman" w:hAnsi="Times New Roman" w:eastAsia="宋体" w:cs="Times New Roman"/>
                <w:kern w:val="0"/>
                <w:szCs w:val="21"/>
              </w:rPr>
            </w:pPr>
            <w:r>
              <w:rPr>
                <w:rFonts w:hint="eastAsia" w:ascii="宋体" w:hAnsi="宋体" w:eastAsia="宋体" w:cs="Times New Roman"/>
                <w:kern w:val="0"/>
                <w:szCs w:val="21"/>
              </w:rPr>
              <w:t>两侧</w:t>
            </w:r>
          </w:p>
        </w:tc>
        <w:tc>
          <w:tcPr>
            <w:tcW w:w="303" w:type="pct"/>
            <w:shd w:val="clear" w:color="auto" w:fill="auto"/>
            <w:vAlign w:val="center"/>
          </w:tcPr>
          <w:p w14:paraId="5DE17234">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23</w:t>
            </w:r>
          </w:p>
        </w:tc>
        <w:tc>
          <w:tcPr>
            <w:tcW w:w="252" w:type="pct"/>
            <w:vMerge w:val="restart"/>
            <w:shd w:val="clear" w:color="auto" w:fill="auto"/>
            <w:vAlign w:val="center"/>
          </w:tcPr>
          <w:p w14:paraId="7A254B01">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3</w:t>
            </w:r>
          </w:p>
        </w:tc>
        <w:tc>
          <w:tcPr>
            <w:tcW w:w="353" w:type="pct"/>
            <w:vMerge w:val="restart"/>
            <w:shd w:val="clear" w:color="auto" w:fill="auto"/>
            <w:vAlign w:val="center"/>
          </w:tcPr>
          <w:p w14:paraId="6A3C4BE7">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0</w:t>
            </w:r>
          </w:p>
        </w:tc>
        <w:tc>
          <w:tcPr>
            <w:tcW w:w="252" w:type="pct"/>
            <w:vMerge w:val="restart"/>
            <w:shd w:val="clear" w:color="auto" w:fill="auto"/>
            <w:vAlign w:val="center"/>
          </w:tcPr>
          <w:p w14:paraId="66736571">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w:t>
            </w:r>
            <w:r>
              <w:rPr>
                <w:rFonts w:hint="eastAsia" w:ascii="宋体" w:hAnsi="宋体" w:eastAsia="宋体" w:cs="Times New Roman"/>
                <w:kern w:val="0"/>
                <w:szCs w:val="21"/>
              </w:rPr>
              <w:t>层</w:t>
            </w:r>
          </w:p>
        </w:tc>
        <w:tc>
          <w:tcPr>
            <w:tcW w:w="372" w:type="pct"/>
            <w:shd w:val="clear" w:color="auto" w:fill="auto"/>
            <w:vAlign w:val="center"/>
          </w:tcPr>
          <w:p w14:paraId="02E34080">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3" w:type="pct"/>
            <w:shd w:val="clear" w:color="auto" w:fill="auto"/>
            <w:vAlign w:val="center"/>
          </w:tcPr>
          <w:p w14:paraId="4476CADF">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1.1</w:t>
            </w:r>
          </w:p>
        </w:tc>
        <w:tc>
          <w:tcPr>
            <w:tcW w:w="373" w:type="pct"/>
            <w:shd w:val="clear" w:color="auto" w:fill="auto"/>
            <w:vAlign w:val="center"/>
          </w:tcPr>
          <w:p w14:paraId="4833FEEE">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2" w:type="pct"/>
            <w:shd w:val="clear" w:color="auto" w:fill="auto"/>
            <w:vAlign w:val="center"/>
          </w:tcPr>
          <w:p w14:paraId="15874D71">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1.9</w:t>
            </w:r>
          </w:p>
        </w:tc>
        <w:tc>
          <w:tcPr>
            <w:tcW w:w="373" w:type="pct"/>
            <w:shd w:val="clear" w:color="auto" w:fill="auto"/>
            <w:vAlign w:val="center"/>
          </w:tcPr>
          <w:p w14:paraId="708670E6">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7" w:type="pct"/>
            <w:shd w:val="clear" w:color="auto" w:fill="auto"/>
            <w:vAlign w:val="center"/>
          </w:tcPr>
          <w:p w14:paraId="71724376">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2.6</w:t>
            </w:r>
          </w:p>
        </w:tc>
        <w:tc>
          <w:tcPr>
            <w:tcW w:w="235" w:type="pct"/>
            <w:shd w:val="clear" w:color="auto" w:fill="auto"/>
            <w:vAlign w:val="center"/>
          </w:tcPr>
          <w:p w14:paraId="769653C5">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4a</w:t>
            </w:r>
            <w:r>
              <w:rPr>
                <w:rFonts w:hint="eastAsia" w:ascii="宋体" w:hAnsi="宋体" w:eastAsia="宋体" w:cs="Times New Roman"/>
                <w:kern w:val="0"/>
                <w:szCs w:val="21"/>
              </w:rPr>
              <w:t>类</w:t>
            </w:r>
          </w:p>
        </w:tc>
        <w:tc>
          <w:tcPr>
            <w:tcW w:w="427" w:type="pct"/>
            <w:shd w:val="clear" w:color="auto" w:fill="auto"/>
            <w:vAlign w:val="center"/>
          </w:tcPr>
          <w:p w14:paraId="719C1426">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10</w:t>
            </w:r>
          </w:p>
        </w:tc>
      </w:tr>
      <w:tr w14:paraId="29FF5357">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182" w:type="pct"/>
            <w:vMerge w:val="continue"/>
            <w:vAlign w:val="center"/>
          </w:tcPr>
          <w:p w14:paraId="079451A0">
            <w:pPr>
              <w:widowControl/>
              <w:spacing w:line="240" w:lineRule="exact"/>
              <w:jc w:val="center"/>
              <w:rPr>
                <w:rFonts w:ascii="Times New Roman" w:hAnsi="Times New Roman" w:eastAsia="宋体" w:cs="Times New Roman"/>
                <w:kern w:val="0"/>
                <w:szCs w:val="21"/>
              </w:rPr>
            </w:pPr>
          </w:p>
        </w:tc>
        <w:tc>
          <w:tcPr>
            <w:tcW w:w="504" w:type="pct"/>
            <w:vMerge w:val="continue"/>
            <w:vAlign w:val="center"/>
          </w:tcPr>
          <w:p w14:paraId="3FB14C0E">
            <w:pPr>
              <w:widowControl/>
              <w:spacing w:line="240" w:lineRule="exact"/>
              <w:jc w:val="center"/>
              <w:rPr>
                <w:rFonts w:ascii="Times New Roman" w:hAnsi="Times New Roman" w:eastAsia="宋体" w:cs="Times New Roman"/>
                <w:kern w:val="0"/>
                <w:szCs w:val="21"/>
              </w:rPr>
            </w:pPr>
          </w:p>
        </w:tc>
        <w:tc>
          <w:tcPr>
            <w:tcW w:w="252" w:type="pct"/>
            <w:vMerge w:val="continue"/>
            <w:vAlign w:val="center"/>
          </w:tcPr>
          <w:p w14:paraId="3B43257D">
            <w:pPr>
              <w:widowControl/>
              <w:spacing w:line="240" w:lineRule="exact"/>
              <w:jc w:val="center"/>
              <w:rPr>
                <w:rFonts w:ascii="Times New Roman" w:hAnsi="Times New Roman" w:eastAsia="宋体" w:cs="Times New Roman"/>
                <w:kern w:val="0"/>
                <w:szCs w:val="21"/>
              </w:rPr>
            </w:pPr>
          </w:p>
        </w:tc>
        <w:tc>
          <w:tcPr>
            <w:tcW w:w="303" w:type="pct"/>
            <w:shd w:val="clear" w:color="auto" w:fill="auto"/>
            <w:vAlign w:val="center"/>
          </w:tcPr>
          <w:p w14:paraId="66CE8675">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60</w:t>
            </w:r>
          </w:p>
        </w:tc>
        <w:tc>
          <w:tcPr>
            <w:tcW w:w="252" w:type="pct"/>
            <w:vMerge w:val="continue"/>
            <w:vAlign w:val="center"/>
          </w:tcPr>
          <w:p w14:paraId="2E7DFC6E">
            <w:pPr>
              <w:widowControl/>
              <w:spacing w:line="240" w:lineRule="exact"/>
              <w:jc w:val="center"/>
              <w:rPr>
                <w:rFonts w:ascii="Times New Roman" w:hAnsi="Times New Roman" w:eastAsia="宋体" w:cs="Times New Roman"/>
                <w:kern w:val="0"/>
                <w:szCs w:val="21"/>
              </w:rPr>
            </w:pPr>
          </w:p>
        </w:tc>
        <w:tc>
          <w:tcPr>
            <w:tcW w:w="353" w:type="pct"/>
            <w:vMerge w:val="continue"/>
            <w:vAlign w:val="center"/>
          </w:tcPr>
          <w:p w14:paraId="01C206FD">
            <w:pPr>
              <w:widowControl/>
              <w:spacing w:line="240" w:lineRule="exact"/>
              <w:jc w:val="center"/>
              <w:rPr>
                <w:rFonts w:ascii="Times New Roman" w:hAnsi="Times New Roman" w:eastAsia="宋体" w:cs="Times New Roman"/>
                <w:kern w:val="0"/>
                <w:szCs w:val="21"/>
              </w:rPr>
            </w:pPr>
          </w:p>
        </w:tc>
        <w:tc>
          <w:tcPr>
            <w:tcW w:w="252" w:type="pct"/>
            <w:vMerge w:val="continue"/>
            <w:vAlign w:val="center"/>
          </w:tcPr>
          <w:p w14:paraId="70FE0294">
            <w:pPr>
              <w:widowControl/>
              <w:spacing w:line="240" w:lineRule="exact"/>
              <w:jc w:val="center"/>
              <w:rPr>
                <w:rFonts w:ascii="Times New Roman" w:hAnsi="Times New Roman" w:eastAsia="宋体" w:cs="Times New Roman"/>
                <w:kern w:val="0"/>
                <w:szCs w:val="21"/>
              </w:rPr>
            </w:pPr>
          </w:p>
        </w:tc>
        <w:tc>
          <w:tcPr>
            <w:tcW w:w="372" w:type="pct"/>
            <w:shd w:val="clear" w:color="auto" w:fill="auto"/>
            <w:vAlign w:val="center"/>
          </w:tcPr>
          <w:p w14:paraId="16C12DD0">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3" w:type="pct"/>
            <w:shd w:val="clear" w:color="auto" w:fill="auto"/>
            <w:vAlign w:val="center"/>
          </w:tcPr>
          <w:p w14:paraId="39A8F205">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1.3</w:t>
            </w:r>
          </w:p>
        </w:tc>
        <w:tc>
          <w:tcPr>
            <w:tcW w:w="373" w:type="pct"/>
            <w:shd w:val="clear" w:color="auto" w:fill="auto"/>
            <w:vAlign w:val="center"/>
          </w:tcPr>
          <w:p w14:paraId="48C4B765">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2" w:type="pct"/>
            <w:shd w:val="clear" w:color="auto" w:fill="auto"/>
            <w:vAlign w:val="center"/>
          </w:tcPr>
          <w:p w14:paraId="1A2F2DC0">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2.1</w:t>
            </w:r>
          </w:p>
        </w:tc>
        <w:tc>
          <w:tcPr>
            <w:tcW w:w="373" w:type="pct"/>
            <w:shd w:val="clear" w:color="auto" w:fill="auto"/>
            <w:vAlign w:val="center"/>
          </w:tcPr>
          <w:p w14:paraId="64EE7A1A">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7" w:type="pct"/>
            <w:shd w:val="clear" w:color="auto" w:fill="auto"/>
            <w:vAlign w:val="center"/>
          </w:tcPr>
          <w:p w14:paraId="1297F552">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2.8</w:t>
            </w:r>
          </w:p>
        </w:tc>
        <w:tc>
          <w:tcPr>
            <w:tcW w:w="235" w:type="pct"/>
            <w:shd w:val="clear" w:color="auto" w:fill="auto"/>
            <w:vAlign w:val="center"/>
          </w:tcPr>
          <w:p w14:paraId="60EEBC11">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w:t>
            </w:r>
            <w:r>
              <w:rPr>
                <w:rFonts w:hint="eastAsia" w:ascii="宋体" w:hAnsi="宋体" w:eastAsia="宋体" w:cs="Times New Roman"/>
                <w:kern w:val="0"/>
                <w:szCs w:val="21"/>
              </w:rPr>
              <w:t>类</w:t>
            </w:r>
          </w:p>
        </w:tc>
        <w:tc>
          <w:tcPr>
            <w:tcW w:w="427" w:type="pct"/>
            <w:shd w:val="clear" w:color="auto" w:fill="auto"/>
            <w:vAlign w:val="center"/>
          </w:tcPr>
          <w:p w14:paraId="5CF726EF">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30</w:t>
            </w:r>
          </w:p>
        </w:tc>
      </w:tr>
      <w:tr w14:paraId="05BE8751">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182" w:type="pct"/>
            <w:vMerge w:val="restart"/>
            <w:shd w:val="clear" w:color="auto" w:fill="auto"/>
            <w:vAlign w:val="center"/>
          </w:tcPr>
          <w:p w14:paraId="16D7B23B">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22</w:t>
            </w:r>
          </w:p>
        </w:tc>
        <w:tc>
          <w:tcPr>
            <w:tcW w:w="504" w:type="pct"/>
            <w:vMerge w:val="restart"/>
            <w:shd w:val="clear" w:color="auto" w:fill="auto"/>
            <w:vAlign w:val="center"/>
          </w:tcPr>
          <w:p w14:paraId="378E1899">
            <w:pPr>
              <w:widowControl/>
              <w:spacing w:line="240" w:lineRule="exact"/>
              <w:jc w:val="center"/>
              <w:rPr>
                <w:rFonts w:ascii="Times New Roman" w:hAnsi="Times New Roman" w:eastAsia="宋体" w:cs="Times New Roman"/>
                <w:kern w:val="0"/>
                <w:szCs w:val="21"/>
              </w:rPr>
            </w:pPr>
            <w:r>
              <w:rPr>
                <w:rFonts w:hint="eastAsia" w:ascii="宋体" w:hAnsi="宋体" w:eastAsia="宋体" w:cs="Times New Roman"/>
                <w:kern w:val="0"/>
                <w:szCs w:val="21"/>
              </w:rPr>
              <w:t>阿克霍伊拉卡尔瓦克</w:t>
            </w:r>
          </w:p>
        </w:tc>
        <w:tc>
          <w:tcPr>
            <w:tcW w:w="252" w:type="pct"/>
            <w:vMerge w:val="restart"/>
            <w:shd w:val="clear" w:color="auto" w:fill="auto"/>
            <w:vAlign w:val="center"/>
          </w:tcPr>
          <w:p w14:paraId="7256C2FF">
            <w:pPr>
              <w:widowControl/>
              <w:spacing w:line="240" w:lineRule="exact"/>
              <w:jc w:val="center"/>
              <w:rPr>
                <w:rFonts w:ascii="Times New Roman" w:hAnsi="Times New Roman" w:eastAsia="宋体" w:cs="Times New Roman"/>
                <w:kern w:val="0"/>
                <w:szCs w:val="21"/>
              </w:rPr>
            </w:pPr>
            <w:r>
              <w:rPr>
                <w:rFonts w:hint="eastAsia" w:ascii="宋体" w:hAnsi="宋体" w:eastAsia="宋体" w:cs="Times New Roman"/>
                <w:kern w:val="0"/>
                <w:szCs w:val="21"/>
              </w:rPr>
              <w:t>两侧</w:t>
            </w:r>
          </w:p>
        </w:tc>
        <w:tc>
          <w:tcPr>
            <w:tcW w:w="303" w:type="pct"/>
            <w:shd w:val="clear" w:color="auto" w:fill="auto"/>
            <w:vAlign w:val="center"/>
          </w:tcPr>
          <w:p w14:paraId="78DCA35E">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22</w:t>
            </w:r>
          </w:p>
        </w:tc>
        <w:tc>
          <w:tcPr>
            <w:tcW w:w="252" w:type="pct"/>
            <w:vMerge w:val="restart"/>
            <w:shd w:val="clear" w:color="auto" w:fill="auto"/>
            <w:vAlign w:val="center"/>
          </w:tcPr>
          <w:p w14:paraId="5BB64DD3">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1.5</w:t>
            </w:r>
          </w:p>
        </w:tc>
        <w:tc>
          <w:tcPr>
            <w:tcW w:w="353" w:type="pct"/>
            <w:vMerge w:val="restart"/>
            <w:shd w:val="clear" w:color="auto" w:fill="auto"/>
            <w:vAlign w:val="center"/>
          </w:tcPr>
          <w:p w14:paraId="037FA29B">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0</w:t>
            </w:r>
          </w:p>
        </w:tc>
        <w:tc>
          <w:tcPr>
            <w:tcW w:w="252" w:type="pct"/>
            <w:vMerge w:val="restart"/>
            <w:shd w:val="clear" w:color="auto" w:fill="auto"/>
            <w:vAlign w:val="center"/>
          </w:tcPr>
          <w:p w14:paraId="3B20504A">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w:t>
            </w:r>
            <w:r>
              <w:rPr>
                <w:rFonts w:hint="eastAsia" w:ascii="宋体" w:hAnsi="宋体" w:eastAsia="宋体" w:cs="Times New Roman"/>
                <w:kern w:val="0"/>
                <w:szCs w:val="21"/>
              </w:rPr>
              <w:t>层</w:t>
            </w:r>
          </w:p>
        </w:tc>
        <w:tc>
          <w:tcPr>
            <w:tcW w:w="372" w:type="pct"/>
            <w:shd w:val="clear" w:color="auto" w:fill="auto"/>
            <w:vAlign w:val="center"/>
          </w:tcPr>
          <w:p w14:paraId="1B7D29C6">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3" w:type="pct"/>
            <w:shd w:val="clear" w:color="auto" w:fill="auto"/>
            <w:vAlign w:val="center"/>
          </w:tcPr>
          <w:p w14:paraId="26180BB0">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3.0</w:t>
            </w:r>
          </w:p>
        </w:tc>
        <w:tc>
          <w:tcPr>
            <w:tcW w:w="373" w:type="pct"/>
            <w:shd w:val="clear" w:color="auto" w:fill="auto"/>
            <w:vAlign w:val="center"/>
          </w:tcPr>
          <w:p w14:paraId="5B232613">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2" w:type="pct"/>
            <w:shd w:val="clear" w:color="auto" w:fill="auto"/>
            <w:vAlign w:val="center"/>
          </w:tcPr>
          <w:p w14:paraId="4C35BCC9">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3.7</w:t>
            </w:r>
          </w:p>
        </w:tc>
        <w:tc>
          <w:tcPr>
            <w:tcW w:w="373" w:type="pct"/>
            <w:shd w:val="clear" w:color="auto" w:fill="auto"/>
            <w:vAlign w:val="center"/>
          </w:tcPr>
          <w:p w14:paraId="0C180485">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7" w:type="pct"/>
            <w:shd w:val="clear" w:color="auto" w:fill="auto"/>
            <w:vAlign w:val="center"/>
          </w:tcPr>
          <w:p w14:paraId="73AE6FE3">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4.5</w:t>
            </w:r>
          </w:p>
        </w:tc>
        <w:tc>
          <w:tcPr>
            <w:tcW w:w="235" w:type="pct"/>
            <w:shd w:val="clear" w:color="auto" w:fill="auto"/>
            <w:vAlign w:val="center"/>
          </w:tcPr>
          <w:p w14:paraId="5A97AFC4">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4a</w:t>
            </w:r>
            <w:r>
              <w:rPr>
                <w:rFonts w:hint="eastAsia" w:ascii="宋体" w:hAnsi="宋体" w:eastAsia="宋体" w:cs="Times New Roman"/>
                <w:kern w:val="0"/>
                <w:szCs w:val="21"/>
              </w:rPr>
              <w:t>类</w:t>
            </w:r>
          </w:p>
        </w:tc>
        <w:tc>
          <w:tcPr>
            <w:tcW w:w="427" w:type="pct"/>
            <w:shd w:val="clear" w:color="auto" w:fill="auto"/>
            <w:vAlign w:val="center"/>
          </w:tcPr>
          <w:p w14:paraId="0AAB6EFB">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15</w:t>
            </w:r>
          </w:p>
        </w:tc>
      </w:tr>
      <w:tr w14:paraId="66BDD759">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182" w:type="pct"/>
            <w:vMerge w:val="continue"/>
            <w:vAlign w:val="center"/>
          </w:tcPr>
          <w:p w14:paraId="4398F405">
            <w:pPr>
              <w:widowControl/>
              <w:spacing w:line="240" w:lineRule="exact"/>
              <w:jc w:val="center"/>
              <w:rPr>
                <w:rFonts w:ascii="Times New Roman" w:hAnsi="Times New Roman" w:eastAsia="宋体" w:cs="Times New Roman"/>
                <w:kern w:val="0"/>
                <w:szCs w:val="21"/>
              </w:rPr>
            </w:pPr>
          </w:p>
        </w:tc>
        <w:tc>
          <w:tcPr>
            <w:tcW w:w="504" w:type="pct"/>
            <w:vMerge w:val="continue"/>
            <w:vAlign w:val="center"/>
          </w:tcPr>
          <w:p w14:paraId="5A2F9EDC">
            <w:pPr>
              <w:widowControl/>
              <w:spacing w:line="240" w:lineRule="exact"/>
              <w:jc w:val="center"/>
              <w:rPr>
                <w:rFonts w:ascii="Times New Roman" w:hAnsi="Times New Roman" w:eastAsia="宋体" w:cs="Times New Roman"/>
                <w:kern w:val="0"/>
                <w:szCs w:val="21"/>
              </w:rPr>
            </w:pPr>
          </w:p>
        </w:tc>
        <w:tc>
          <w:tcPr>
            <w:tcW w:w="252" w:type="pct"/>
            <w:vMerge w:val="continue"/>
            <w:vAlign w:val="center"/>
          </w:tcPr>
          <w:p w14:paraId="2F422FCB">
            <w:pPr>
              <w:widowControl/>
              <w:spacing w:line="240" w:lineRule="exact"/>
              <w:jc w:val="center"/>
              <w:rPr>
                <w:rFonts w:ascii="Times New Roman" w:hAnsi="Times New Roman" w:eastAsia="宋体" w:cs="Times New Roman"/>
                <w:kern w:val="0"/>
                <w:szCs w:val="21"/>
              </w:rPr>
            </w:pPr>
          </w:p>
        </w:tc>
        <w:tc>
          <w:tcPr>
            <w:tcW w:w="303" w:type="pct"/>
            <w:shd w:val="clear" w:color="auto" w:fill="auto"/>
            <w:vAlign w:val="center"/>
          </w:tcPr>
          <w:p w14:paraId="1610B999">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55</w:t>
            </w:r>
          </w:p>
        </w:tc>
        <w:tc>
          <w:tcPr>
            <w:tcW w:w="252" w:type="pct"/>
            <w:vMerge w:val="continue"/>
            <w:vAlign w:val="center"/>
          </w:tcPr>
          <w:p w14:paraId="6C5AD85B">
            <w:pPr>
              <w:widowControl/>
              <w:spacing w:line="240" w:lineRule="exact"/>
              <w:jc w:val="center"/>
              <w:rPr>
                <w:rFonts w:ascii="Times New Roman" w:hAnsi="Times New Roman" w:eastAsia="宋体" w:cs="Times New Roman"/>
                <w:kern w:val="0"/>
                <w:szCs w:val="21"/>
              </w:rPr>
            </w:pPr>
          </w:p>
        </w:tc>
        <w:tc>
          <w:tcPr>
            <w:tcW w:w="353" w:type="pct"/>
            <w:vMerge w:val="continue"/>
            <w:vAlign w:val="center"/>
          </w:tcPr>
          <w:p w14:paraId="06E75431">
            <w:pPr>
              <w:widowControl/>
              <w:spacing w:line="240" w:lineRule="exact"/>
              <w:jc w:val="center"/>
              <w:rPr>
                <w:rFonts w:ascii="Times New Roman" w:hAnsi="Times New Roman" w:eastAsia="宋体" w:cs="Times New Roman"/>
                <w:kern w:val="0"/>
                <w:szCs w:val="21"/>
              </w:rPr>
            </w:pPr>
          </w:p>
        </w:tc>
        <w:tc>
          <w:tcPr>
            <w:tcW w:w="252" w:type="pct"/>
            <w:vMerge w:val="continue"/>
            <w:vAlign w:val="center"/>
          </w:tcPr>
          <w:p w14:paraId="6F7144D4">
            <w:pPr>
              <w:widowControl/>
              <w:spacing w:line="240" w:lineRule="exact"/>
              <w:jc w:val="center"/>
              <w:rPr>
                <w:rFonts w:ascii="Times New Roman" w:hAnsi="Times New Roman" w:eastAsia="宋体" w:cs="Times New Roman"/>
                <w:kern w:val="0"/>
                <w:szCs w:val="21"/>
              </w:rPr>
            </w:pPr>
          </w:p>
        </w:tc>
        <w:tc>
          <w:tcPr>
            <w:tcW w:w="372" w:type="pct"/>
            <w:shd w:val="clear" w:color="auto" w:fill="auto"/>
            <w:vAlign w:val="center"/>
          </w:tcPr>
          <w:p w14:paraId="69F1B5A3">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3" w:type="pct"/>
            <w:shd w:val="clear" w:color="auto" w:fill="auto"/>
            <w:vAlign w:val="center"/>
          </w:tcPr>
          <w:p w14:paraId="211FD56C">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3.0</w:t>
            </w:r>
          </w:p>
        </w:tc>
        <w:tc>
          <w:tcPr>
            <w:tcW w:w="373" w:type="pct"/>
            <w:shd w:val="clear" w:color="auto" w:fill="auto"/>
            <w:vAlign w:val="center"/>
          </w:tcPr>
          <w:p w14:paraId="6DE9E7F7">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2" w:type="pct"/>
            <w:shd w:val="clear" w:color="auto" w:fill="auto"/>
            <w:vAlign w:val="center"/>
          </w:tcPr>
          <w:p w14:paraId="0CCAC526">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3.8</w:t>
            </w:r>
          </w:p>
        </w:tc>
        <w:tc>
          <w:tcPr>
            <w:tcW w:w="373" w:type="pct"/>
            <w:shd w:val="clear" w:color="auto" w:fill="auto"/>
            <w:vAlign w:val="center"/>
          </w:tcPr>
          <w:p w14:paraId="438B1BFA">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7" w:type="pct"/>
            <w:shd w:val="clear" w:color="auto" w:fill="auto"/>
            <w:vAlign w:val="center"/>
          </w:tcPr>
          <w:p w14:paraId="3FAEA1C7">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4.5</w:t>
            </w:r>
          </w:p>
        </w:tc>
        <w:tc>
          <w:tcPr>
            <w:tcW w:w="235" w:type="pct"/>
            <w:shd w:val="clear" w:color="auto" w:fill="auto"/>
            <w:vAlign w:val="center"/>
          </w:tcPr>
          <w:p w14:paraId="18A85B85">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w:t>
            </w:r>
            <w:r>
              <w:rPr>
                <w:rFonts w:hint="eastAsia" w:ascii="宋体" w:hAnsi="宋体" w:eastAsia="宋体" w:cs="Times New Roman"/>
                <w:kern w:val="0"/>
                <w:szCs w:val="21"/>
              </w:rPr>
              <w:t>类</w:t>
            </w:r>
          </w:p>
        </w:tc>
        <w:tc>
          <w:tcPr>
            <w:tcW w:w="427" w:type="pct"/>
            <w:shd w:val="clear" w:color="auto" w:fill="auto"/>
            <w:vAlign w:val="center"/>
          </w:tcPr>
          <w:p w14:paraId="2A942BF0">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30</w:t>
            </w:r>
          </w:p>
        </w:tc>
      </w:tr>
      <w:tr w14:paraId="440F7462">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182" w:type="pct"/>
            <w:vMerge w:val="restart"/>
            <w:shd w:val="clear" w:color="auto" w:fill="auto"/>
            <w:vAlign w:val="center"/>
          </w:tcPr>
          <w:p w14:paraId="4456DA4F">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23</w:t>
            </w:r>
          </w:p>
        </w:tc>
        <w:tc>
          <w:tcPr>
            <w:tcW w:w="504" w:type="pct"/>
            <w:vMerge w:val="restart"/>
            <w:shd w:val="clear" w:color="auto" w:fill="auto"/>
            <w:vAlign w:val="center"/>
          </w:tcPr>
          <w:p w14:paraId="6319B8FD">
            <w:pPr>
              <w:widowControl/>
              <w:spacing w:line="240" w:lineRule="exact"/>
              <w:jc w:val="center"/>
              <w:rPr>
                <w:rFonts w:ascii="Times New Roman" w:hAnsi="Times New Roman" w:eastAsia="宋体" w:cs="Times New Roman"/>
                <w:kern w:val="0"/>
                <w:szCs w:val="21"/>
              </w:rPr>
            </w:pPr>
            <w:r>
              <w:rPr>
                <w:rFonts w:hint="eastAsia" w:ascii="宋体" w:hAnsi="宋体" w:eastAsia="宋体" w:cs="Times New Roman"/>
                <w:kern w:val="0"/>
                <w:szCs w:val="21"/>
              </w:rPr>
              <w:t>克孜勒吉依木村</w:t>
            </w:r>
          </w:p>
        </w:tc>
        <w:tc>
          <w:tcPr>
            <w:tcW w:w="252" w:type="pct"/>
            <w:vMerge w:val="restart"/>
            <w:shd w:val="clear" w:color="auto" w:fill="auto"/>
            <w:vAlign w:val="center"/>
          </w:tcPr>
          <w:p w14:paraId="31E0C81B">
            <w:pPr>
              <w:widowControl/>
              <w:spacing w:line="240" w:lineRule="exact"/>
              <w:jc w:val="center"/>
              <w:rPr>
                <w:rFonts w:ascii="Times New Roman" w:hAnsi="Times New Roman" w:eastAsia="宋体" w:cs="Times New Roman"/>
                <w:kern w:val="0"/>
                <w:szCs w:val="21"/>
              </w:rPr>
            </w:pPr>
            <w:r>
              <w:rPr>
                <w:rFonts w:hint="eastAsia" w:ascii="宋体" w:hAnsi="宋体" w:eastAsia="宋体" w:cs="Times New Roman"/>
                <w:kern w:val="0"/>
                <w:szCs w:val="21"/>
              </w:rPr>
              <w:t>两侧</w:t>
            </w:r>
          </w:p>
        </w:tc>
        <w:tc>
          <w:tcPr>
            <w:tcW w:w="303" w:type="pct"/>
            <w:shd w:val="clear" w:color="auto" w:fill="auto"/>
            <w:vAlign w:val="center"/>
          </w:tcPr>
          <w:p w14:paraId="57FD32EC">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21</w:t>
            </w:r>
          </w:p>
        </w:tc>
        <w:tc>
          <w:tcPr>
            <w:tcW w:w="252" w:type="pct"/>
            <w:vMerge w:val="restart"/>
            <w:shd w:val="clear" w:color="auto" w:fill="auto"/>
            <w:vAlign w:val="center"/>
          </w:tcPr>
          <w:p w14:paraId="42426FA2">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w:t>
            </w:r>
          </w:p>
        </w:tc>
        <w:tc>
          <w:tcPr>
            <w:tcW w:w="353" w:type="pct"/>
            <w:vMerge w:val="restart"/>
            <w:shd w:val="clear" w:color="auto" w:fill="auto"/>
            <w:vAlign w:val="center"/>
          </w:tcPr>
          <w:p w14:paraId="5B36F7E8">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0</w:t>
            </w:r>
          </w:p>
        </w:tc>
        <w:tc>
          <w:tcPr>
            <w:tcW w:w="252" w:type="pct"/>
            <w:vMerge w:val="restart"/>
            <w:shd w:val="clear" w:color="auto" w:fill="auto"/>
            <w:vAlign w:val="center"/>
          </w:tcPr>
          <w:p w14:paraId="538B4824">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w:t>
            </w:r>
            <w:r>
              <w:rPr>
                <w:rFonts w:hint="eastAsia" w:ascii="宋体" w:hAnsi="宋体" w:eastAsia="宋体" w:cs="Times New Roman"/>
                <w:kern w:val="0"/>
                <w:szCs w:val="21"/>
              </w:rPr>
              <w:t>层</w:t>
            </w:r>
          </w:p>
        </w:tc>
        <w:tc>
          <w:tcPr>
            <w:tcW w:w="372" w:type="pct"/>
            <w:shd w:val="clear" w:color="auto" w:fill="auto"/>
            <w:vAlign w:val="center"/>
          </w:tcPr>
          <w:p w14:paraId="7AC29917">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3" w:type="pct"/>
            <w:shd w:val="clear" w:color="auto" w:fill="auto"/>
            <w:vAlign w:val="center"/>
          </w:tcPr>
          <w:p w14:paraId="0CF3F831">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5.4</w:t>
            </w:r>
          </w:p>
        </w:tc>
        <w:tc>
          <w:tcPr>
            <w:tcW w:w="373" w:type="pct"/>
            <w:shd w:val="clear" w:color="auto" w:fill="auto"/>
            <w:vAlign w:val="center"/>
          </w:tcPr>
          <w:p w14:paraId="2FFAC667">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2" w:type="pct"/>
            <w:shd w:val="clear" w:color="auto" w:fill="auto"/>
            <w:vAlign w:val="center"/>
          </w:tcPr>
          <w:p w14:paraId="7A703750">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6.2</w:t>
            </w:r>
          </w:p>
        </w:tc>
        <w:tc>
          <w:tcPr>
            <w:tcW w:w="373" w:type="pct"/>
            <w:shd w:val="clear" w:color="auto" w:fill="auto"/>
            <w:vAlign w:val="center"/>
          </w:tcPr>
          <w:p w14:paraId="3B4A418F">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7" w:type="pct"/>
            <w:shd w:val="clear" w:color="auto" w:fill="auto"/>
            <w:vAlign w:val="center"/>
          </w:tcPr>
          <w:p w14:paraId="06BD5C87">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6.9</w:t>
            </w:r>
          </w:p>
        </w:tc>
        <w:tc>
          <w:tcPr>
            <w:tcW w:w="235" w:type="pct"/>
            <w:shd w:val="clear" w:color="auto" w:fill="auto"/>
            <w:vAlign w:val="center"/>
          </w:tcPr>
          <w:p w14:paraId="44C085C2">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4a</w:t>
            </w:r>
            <w:r>
              <w:rPr>
                <w:rFonts w:hint="eastAsia" w:ascii="宋体" w:hAnsi="宋体" w:eastAsia="宋体" w:cs="Times New Roman"/>
                <w:kern w:val="0"/>
                <w:szCs w:val="21"/>
              </w:rPr>
              <w:t>类</w:t>
            </w:r>
          </w:p>
        </w:tc>
        <w:tc>
          <w:tcPr>
            <w:tcW w:w="427" w:type="pct"/>
            <w:shd w:val="clear" w:color="auto" w:fill="auto"/>
            <w:vAlign w:val="center"/>
          </w:tcPr>
          <w:p w14:paraId="0C66935D">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8</w:t>
            </w:r>
          </w:p>
        </w:tc>
      </w:tr>
      <w:tr w14:paraId="0F870CE7">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182" w:type="pct"/>
            <w:vMerge w:val="continue"/>
            <w:vAlign w:val="center"/>
          </w:tcPr>
          <w:p w14:paraId="548636C8">
            <w:pPr>
              <w:widowControl/>
              <w:spacing w:line="240" w:lineRule="exact"/>
              <w:jc w:val="center"/>
              <w:rPr>
                <w:rFonts w:ascii="Times New Roman" w:hAnsi="Times New Roman" w:eastAsia="宋体" w:cs="Times New Roman"/>
                <w:kern w:val="0"/>
                <w:szCs w:val="21"/>
              </w:rPr>
            </w:pPr>
          </w:p>
        </w:tc>
        <w:tc>
          <w:tcPr>
            <w:tcW w:w="504" w:type="pct"/>
            <w:vMerge w:val="continue"/>
            <w:vAlign w:val="center"/>
          </w:tcPr>
          <w:p w14:paraId="2077C42B">
            <w:pPr>
              <w:widowControl/>
              <w:spacing w:line="240" w:lineRule="exact"/>
              <w:jc w:val="center"/>
              <w:rPr>
                <w:rFonts w:ascii="Times New Roman" w:hAnsi="Times New Roman" w:eastAsia="宋体" w:cs="Times New Roman"/>
                <w:kern w:val="0"/>
                <w:szCs w:val="21"/>
              </w:rPr>
            </w:pPr>
          </w:p>
        </w:tc>
        <w:tc>
          <w:tcPr>
            <w:tcW w:w="252" w:type="pct"/>
            <w:vMerge w:val="continue"/>
            <w:vAlign w:val="center"/>
          </w:tcPr>
          <w:p w14:paraId="47DF4152">
            <w:pPr>
              <w:widowControl/>
              <w:spacing w:line="240" w:lineRule="exact"/>
              <w:jc w:val="center"/>
              <w:rPr>
                <w:rFonts w:ascii="Times New Roman" w:hAnsi="Times New Roman" w:eastAsia="宋体" w:cs="Times New Roman"/>
                <w:kern w:val="0"/>
                <w:szCs w:val="21"/>
              </w:rPr>
            </w:pPr>
          </w:p>
        </w:tc>
        <w:tc>
          <w:tcPr>
            <w:tcW w:w="303" w:type="pct"/>
            <w:shd w:val="clear" w:color="auto" w:fill="auto"/>
            <w:vAlign w:val="center"/>
          </w:tcPr>
          <w:p w14:paraId="4C6C9BB1">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55</w:t>
            </w:r>
          </w:p>
        </w:tc>
        <w:tc>
          <w:tcPr>
            <w:tcW w:w="252" w:type="pct"/>
            <w:vMerge w:val="continue"/>
            <w:vAlign w:val="center"/>
          </w:tcPr>
          <w:p w14:paraId="1EABCCB4">
            <w:pPr>
              <w:widowControl/>
              <w:spacing w:line="240" w:lineRule="exact"/>
              <w:jc w:val="center"/>
              <w:rPr>
                <w:rFonts w:ascii="Times New Roman" w:hAnsi="Times New Roman" w:eastAsia="宋体" w:cs="Times New Roman"/>
                <w:kern w:val="0"/>
                <w:szCs w:val="21"/>
              </w:rPr>
            </w:pPr>
          </w:p>
        </w:tc>
        <w:tc>
          <w:tcPr>
            <w:tcW w:w="353" w:type="pct"/>
            <w:vMerge w:val="continue"/>
            <w:vAlign w:val="center"/>
          </w:tcPr>
          <w:p w14:paraId="48D84E3B">
            <w:pPr>
              <w:widowControl/>
              <w:spacing w:line="240" w:lineRule="exact"/>
              <w:jc w:val="center"/>
              <w:rPr>
                <w:rFonts w:ascii="Times New Roman" w:hAnsi="Times New Roman" w:eastAsia="宋体" w:cs="Times New Roman"/>
                <w:kern w:val="0"/>
                <w:szCs w:val="21"/>
              </w:rPr>
            </w:pPr>
          </w:p>
        </w:tc>
        <w:tc>
          <w:tcPr>
            <w:tcW w:w="252" w:type="pct"/>
            <w:vMerge w:val="continue"/>
            <w:vAlign w:val="center"/>
          </w:tcPr>
          <w:p w14:paraId="64045CDB">
            <w:pPr>
              <w:widowControl/>
              <w:spacing w:line="240" w:lineRule="exact"/>
              <w:jc w:val="center"/>
              <w:rPr>
                <w:rFonts w:ascii="Times New Roman" w:hAnsi="Times New Roman" w:eastAsia="宋体" w:cs="Times New Roman"/>
                <w:kern w:val="0"/>
                <w:szCs w:val="21"/>
              </w:rPr>
            </w:pPr>
          </w:p>
        </w:tc>
        <w:tc>
          <w:tcPr>
            <w:tcW w:w="372" w:type="pct"/>
            <w:shd w:val="clear" w:color="auto" w:fill="auto"/>
            <w:vAlign w:val="center"/>
          </w:tcPr>
          <w:p w14:paraId="5E92C2D9">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3" w:type="pct"/>
            <w:shd w:val="clear" w:color="auto" w:fill="auto"/>
            <w:vAlign w:val="center"/>
          </w:tcPr>
          <w:p w14:paraId="1119E868">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4.1</w:t>
            </w:r>
          </w:p>
        </w:tc>
        <w:tc>
          <w:tcPr>
            <w:tcW w:w="373" w:type="pct"/>
            <w:shd w:val="clear" w:color="auto" w:fill="auto"/>
            <w:vAlign w:val="center"/>
          </w:tcPr>
          <w:p w14:paraId="56D79FF9">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2" w:type="pct"/>
            <w:shd w:val="clear" w:color="auto" w:fill="auto"/>
            <w:vAlign w:val="center"/>
          </w:tcPr>
          <w:p w14:paraId="20E73024">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4.9</w:t>
            </w:r>
          </w:p>
        </w:tc>
        <w:tc>
          <w:tcPr>
            <w:tcW w:w="373" w:type="pct"/>
            <w:shd w:val="clear" w:color="auto" w:fill="auto"/>
            <w:vAlign w:val="center"/>
          </w:tcPr>
          <w:p w14:paraId="0B2083D6">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7" w:type="pct"/>
            <w:shd w:val="clear" w:color="auto" w:fill="auto"/>
            <w:vAlign w:val="center"/>
          </w:tcPr>
          <w:p w14:paraId="1304F0AA">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5.6</w:t>
            </w:r>
          </w:p>
        </w:tc>
        <w:tc>
          <w:tcPr>
            <w:tcW w:w="235" w:type="pct"/>
            <w:shd w:val="clear" w:color="auto" w:fill="auto"/>
            <w:vAlign w:val="center"/>
          </w:tcPr>
          <w:p w14:paraId="05DEA7CE">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w:t>
            </w:r>
            <w:r>
              <w:rPr>
                <w:rFonts w:hint="eastAsia" w:ascii="宋体" w:hAnsi="宋体" w:eastAsia="宋体" w:cs="Times New Roman"/>
                <w:kern w:val="0"/>
                <w:szCs w:val="21"/>
              </w:rPr>
              <w:t>类</w:t>
            </w:r>
          </w:p>
        </w:tc>
        <w:tc>
          <w:tcPr>
            <w:tcW w:w="427" w:type="pct"/>
            <w:shd w:val="clear" w:color="auto" w:fill="auto"/>
            <w:vAlign w:val="center"/>
          </w:tcPr>
          <w:p w14:paraId="1FCB909B">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30</w:t>
            </w:r>
          </w:p>
        </w:tc>
      </w:tr>
      <w:tr w14:paraId="4B3956E5">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182" w:type="pct"/>
            <w:vMerge w:val="restart"/>
            <w:shd w:val="clear" w:color="auto" w:fill="auto"/>
            <w:vAlign w:val="center"/>
          </w:tcPr>
          <w:p w14:paraId="7EC853E6">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24</w:t>
            </w:r>
          </w:p>
        </w:tc>
        <w:tc>
          <w:tcPr>
            <w:tcW w:w="504" w:type="pct"/>
            <w:vMerge w:val="restart"/>
            <w:shd w:val="clear" w:color="auto" w:fill="auto"/>
            <w:vAlign w:val="center"/>
          </w:tcPr>
          <w:p w14:paraId="60E883FE">
            <w:pPr>
              <w:widowControl/>
              <w:spacing w:line="240" w:lineRule="exact"/>
              <w:jc w:val="center"/>
              <w:rPr>
                <w:rFonts w:ascii="Times New Roman" w:hAnsi="Times New Roman" w:eastAsia="宋体" w:cs="Times New Roman"/>
                <w:kern w:val="0"/>
                <w:szCs w:val="21"/>
              </w:rPr>
            </w:pPr>
            <w:r>
              <w:rPr>
                <w:rFonts w:hint="eastAsia" w:ascii="宋体" w:hAnsi="宋体" w:eastAsia="宋体" w:cs="Times New Roman"/>
                <w:kern w:val="0"/>
                <w:szCs w:val="21"/>
              </w:rPr>
              <w:t>土木拉克</w:t>
            </w:r>
          </w:p>
        </w:tc>
        <w:tc>
          <w:tcPr>
            <w:tcW w:w="252" w:type="pct"/>
            <w:vMerge w:val="restart"/>
            <w:shd w:val="clear" w:color="auto" w:fill="auto"/>
            <w:vAlign w:val="center"/>
          </w:tcPr>
          <w:p w14:paraId="24D91A18">
            <w:pPr>
              <w:widowControl/>
              <w:spacing w:line="240" w:lineRule="exact"/>
              <w:jc w:val="center"/>
              <w:rPr>
                <w:rFonts w:ascii="Times New Roman" w:hAnsi="Times New Roman" w:eastAsia="宋体" w:cs="Times New Roman"/>
                <w:kern w:val="0"/>
                <w:szCs w:val="21"/>
              </w:rPr>
            </w:pPr>
            <w:r>
              <w:rPr>
                <w:rFonts w:hint="eastAsia" w:ascii="宋体" w:hAnsi="宋体" w:eastAsia="宋体" w:cs="Times New Roman"/>
                <w:kern w:val="0"/>
                <w:szCs w:val="21"/>
              </w:rPr>
              <w:t>两侧</w:t>
            </w:r>
          </w:p>
        </w:tc>
        <w:tc>
          <w:tcPr>
            <w:tcW w:w="303" w:type="pct"/>
            <w:shd w:val="clear" w:color="auto" w:fill="auto"/>
            <w:vAlign w:val="center"/>
          </w:tcPr>
          <w:p w14:paraId="61B84510">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25</w:t>
            </w:r>
          </w:p>
        </w:tc>
        <w:tc>
          <w:tcPr>
            <w:tcW w:w="252" w:type="pct"/>
            <w:vMerge w:val="restart"/>
            <w:shd w:val="clear" w:color="auto" w:fill="auto"/>
            <w:vAlign w:val="center"/>
          </w:tcPr>
          <w:p w14:paraId="1DD03417">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w:t>
            </w:r>
          </w:p>
        </w:tc>
        <w:tc>
          <w:tcPr>
            <w:tcW w:w="353" w:type="pct"/>
            <w:vMerge w:val="restart"/>
            <w:shd w:val="clear" w:color="auto" w:fill="auto"/>
            <w:vAlign w:val="center"/>
          </w:tcPr>
          <w:p w14:paraId="781997BF">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0</w:t>
            </w:r>
          </w:p>
        </w:tc>
        <w:tc>
          <w:tcPr>
            <w:tcW w:w="252" w:type="pct"/>
            <w:vMerge w:val="restart"/>
            <w:shd w:val="clear" w:color="auto" w:fill="auto"/>
            <w:vAlign w:val="center"/>
          </w:tcPr>
          <w:p w14:paraId="68D3A8F0">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w:t>
            </w:r>
            <w:r>
              <w:rPr>
                <w:rFonts w:hint="eastAsia" w:ascii="宋体" w:hAnsi="宋体" w:eastAsia="宋体" w:cs="Times New Roman"/>
                <w:kern w:val="0"/>
                <w:szCs w:val="21"/>
              </w:rPr>
              <w:t>层</w:t>
            </w:r>
          </w:p>
        </w:tc>
        <w:tc>
          <w:tcPr>
            <w:tcW w:w="372" w:type="pct"/>
            <w:shd w:val="clear" w:color="auto" w:fill="auto"/>
            <w:vAlign w:val="center"/>
          </w:tcPr>
          <w:p w14:paraId="511F485A">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3" w:type="pct"/>
            <w:shd w:val="clear" w:color="auto" w:fill="auto"/>
            <w:vAlign w:val="center"/>
          </w:tcPr>
          <w:p w14:paraId="2A8C9155">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4.2</w:t>
            </w:r>
          </w:p>
        </w:tc>
        <w:tc>
          <w:tcPr>
            <w:tcW w:w="373" w:type="pct"/>
            <w:shd w:val="clear" w:color="auto" w:fill="auto"/>
            <w:vAlign w:val="center"/>
          </w:tcPr>
          <w:p w14:paraId="75758A34">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2" w:type="pct"/>
            <w:shd w:val="clear" w:color="auto" w:fill="auto"/>
            <w:vAlign w:val="center"/>
          </w:tcPr>
          <w:p w14:paraId="05E68113">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4.9</w:t>
            </w:r>
          </w:p>
        </w:tc>
        <w:tc>
          <w:tcPr>
            <w:tcW w:w="373" w:type="pct"/>
            <w:shd w:val="clear" w:color="auto" w:fill="auto"/>
            <w:vAlign w:val="center"/>
          </w:tcPr>
          <w:p w14:paraId="6E6EF0C1">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7" w:type="pct"/>
            <w:shd w:val="clear" w:color="auto" w:fill="auto"/>
            <w:vAlign w:val="center"/>
          </w:tcPr>
          <w:p w14:paraId="5C03BE41">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5.7</w:t>
            </w:r>
          </w:p>
        </w:tc>
        <w:tc>
          <w:tcPr>
            <w:tcW w:w="235" w:type="pct"/>
            <w:shd w:val="clear" w:color="auto" w:fill="auto"/>
            <w:vAlign w:val="center"/>
          </w:tcPr>
          <w:p w14:paraId="7C362985">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4a</w:t>
            </w:r>
            <w:r>
              <w:rPr>
                <w:rFonts w:hint="eastAsia" w:ascii="宋体" w:hAnsi="宋体" w:eastAsia="宋体" w:cs="Times New Roman"/>
                <w:kern w:val="0"/>
                <w:szCs w:val="21"/>
              </w:rPr>
              <w:t>类</w:t>
            </w:r>
          </w:p>
        </w:tc>
        <w:tc>
          <w:tcPr>
            <w:tcW w:w="427" w:type="pct"/>
            <w:shd w:val="clear" w:color="auto" w:fill="auto"/>
            <w:vAlign w:val="center"/>
          </w:tcPr>
          <w:p w14:paraId="19034B56">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12</w:t>
            </w:r>
          </w:p>
        </w:tc>
      </w:tr>
      <w:tr w14:paraId="0421DBA1">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182" w:type="pct"/>
            <w:vMerge w:val="continue"/>
            <w:vAlign w:val="center"/>
          </w:tcPr>
          <w:p w14:paraId="74728298">
            <w:pPr>
              <w:widowControl/>
              <w:spacing w:line="240" w:lineRule="exact"/>
              <w:jc w:val="center"/>
              <w:rPr>
                <w:rFonts w:ascii="Times New Roman" w:hAnsi="Times New Roman" w:eastAsia="宋体" w:cs="Times New Roman"/>
                <w:kern w:val="0"/>
                <w:szCs w:val="21"/>
              </w:rPr>
            </w:pPr>
          </w:p>
        </w:tc>
        <w:tc>
          <w:tcPr>
            <w:tcW w:w="504" w:type="pct"/>
            <w:vMerge w:val="continue"/>
            <w:vAlign w:val="center"/>
          </w:tcPr>
          <w:p w14:paraId="5943D397">
            <w:pPr>
              <w:widowControl/>
              <w:spacing w:line="240" w:lineRule="exact"/>
              <w:jc w:val="center"/>
              <w:rPr>
                <w:rFonts w:ascii="Times New Roman" w:hAnsi="Times New Roman" w:eastAsia="宋体" w:cs="Times New Roman"/>
                <w:kern w:val="0"/>
                <w:szCs w:val="21"/>
              </w:rPr>
            </w:pPr>
          </w:p>
        </w:tc>
        <w:tc>
          <w:tcPr>
            <w:tcW w:w="252" w:type="pct"/>
            <w:vMerge w:val="continue"/>
            <w:vAlign w:val="center"/>
          </w:tcPr>
          <w:p w14:paraId="18275F4C">
            <w:pPr>
              <w:widowControl/>
              <w:spacing w:line="240" w:lineRule="exact"/>
              <w:jc w:val="center"/>
              <w:rPr>
                <w:rFonts w:ascii="Times New Roman" w:hAnsi="Times New Roman" w:eastAsia="宋体" w:cs="Times New Roman"/>
                <w:kern w:val="0"/>
                <w:szCs w:val="21"/>
              </w:rPr>
            </w:pPr>
          </w:p>
        </w:tc>
        <w:tc>
          <w:tcPr>
            <w:tcW w:w="303" w:type="pct"/>
            <w:shd w:val="clear" w:color="auto" w:fill="auto"/>
            <w:vAlign w:val="center"/>
          </w:tcPr>
          <w:p w14:paraId="505533AF">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55</w:t>
            </w:r>
          </w:p>
        </w:tc>
        <w:tc>
          <w:tcPr>
            <w:tcW w:w="252" w:type="pct"/>
            <w:vMerge w:val="continue"/>
            <w:vAlign w:val="center"/>
          </w:tcPr>
          <w:p w14:paraId="45F6FDD5">
            <w:pPr>
              <w:widowControl/>
              <w:spacing w:line="240" w:lineRule="exact"/>
              <w:jc w:val="center"/>
              <w:rPr>
                <w:rFonts w:ascii="Times New Roman" w:hAnsi="Times New Roman" w:eastAsia="宋体" w:cs="Times New Roman"/>
                <w:kern w:val="0"/>
                <w:szCs w:val="21"/>
              </w:rPr>
            </w:pPr>
          </w:p>
        </w:tc>
        <w:tc>
          <w:tcPr>
            <w:tcW w:w="353" w:type="pct"/>
            <w:vMerge w:val="continue"/>
            <w:vAlign w:val="center"/>
          </w:tcPr>
          <w:p w14:paraId="29DBD19F">
            <w:pPr>
              <w:widowControl/>
              <w:spacing w:line="240" w:lineRule="exact"/>
              <w:jc w:val="center"/>
              <w:rPr>
                <w:rFonts w:ascii="Times New Roman" w:hAnsi="Times New Roman" w:eastAsia="宋体" w:cs="Times New Roman"/>
                <w:kern w:val="0"/>
                <w:szCs w:val="21"/>
              </w:rPr>
            </w:pPr>
          </w:p>
        </w:tc>
        <w:tc>
          <w:tcPr>
            <w:tcW w:w="252" w:type="pct"/>
            <w:vMerge w:val="continue"/>
            <w:vAlign w:val="center"/>
          </w:tcPr>
          <w:p w14:paraId="0D7AFA2B">
            <w:pPr>
              <w:widowControl/>
              <w:spacing w:line="240" w:lineRule="exact"/>
              <w:jc w:val="center"/>
              <w:rPr>
                <w:rFonts w:ascii="Times New Roman" w:hAnsi="Times New Roman" w:eastAsia="宋体" w:cs="Times New Roman"/>
                <w:kern w:val="0"/>
                <w:szCs w:val="21"/>
              </w:rPr>
            </w:pPr>
          </w:p>
        </w:tc>
        <w:tc>
          <w:tcPr>
            <w:tcW w:w="372" w:type="pct"/>
            <w:shd w:val="clear" w:color="auto" w:fill="auto"/>
            <w:vAlign w:val="center"/>
          </w:tcPr>
          <w:p w14:paraId="1C0F5CF9">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3" w:type="pct"/>
            <w:shd w:val="clear" w:color="auto" w:fill="auto"/>
            <w:vAlign w:val="center"/>
          </w:tcPr>
          <w:p w14:paraId="75CC0696">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4.1</w:t>
            </w:r>
          </w:p>
        </w:tc>
        <w:tc>
          <w:tcPr>
            <w:tcW w:w="373" w:type="pct"/>
            <w:shd w:val="clear" w:color="auto" w:fill="auto"/>
            <w:vAlign w:val="center"/>
          </w:tcPr>
          <w:p w14:paraId="4EBA4BE1">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2" w:type="pct"/>
            <w:shd w:val="clear" w:color="auto" w:fill="auto"/>
            <w:vAlign w:val="center"/>
          </w:tcPr>
          <w:p w14:paraId="5CDF308D">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4.9</w:t>
            </w:r>
          </w:p>
        </w:tc>
        <w:tc>
          <w:tcPr>
            <w:tcW w:w="373" w:type="pct"/>
            <w:shd w:val="clear" w:color="auto" w:fill="auto"/>
            <w:vAlign w:val="center"/>
          </w:tcPr>
          <w:p w14:paraId="7252ABE6">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7" w:type="pct"/>
            <w:shd w:val="clear" w:color="auto" w:fill="auto"/>
            <w:vAlign w:val="center"/>
          </w:tcPr>
          <w:p w14:paraId="2F1D2D9F">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5.6</w:t>
            </w:r>
          </w:p>
        </w:tc>
        <w:tc>
          <w:tcPr>
            <w:tcW w:w="235" w:type="pct"/>
            <w:shd w:val="clear" w:color="auto" w:fill="auto"/>
            <w:vAlign w:val="center"/>
          </w:tcPr>
          <w:p w14:paraId="407FAA5B">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w:t>
            </w:r>
            <w:r>
              <w:rPr>
                <w:rFonts w:hint="eastAsia" w:ascii="宋体" w:hAnsi="宋体" w:eastAsia="宋体" w:cs="Times New Roman"/>
                <w:kern w:val="0"/>
                <w:szCs w:val="21"/>
              </w:rPr>
              <w:t>类</w:t>
            </w:r>
          </w:p>
        </w:tc>
        <w:tc>
          <w:tcPr>
            <w:tcW w:w="427" w:type="pct"/>
            <w:shd w:val="clear" w:color="auto" w:fill="auto"/>
            <w:vAlign w:val="center"/>
          </w:tcPr>
          <w:p w14:paraId="41F5597D">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30</w:t>
            </w:r>
          </w:p>
        </w:tc>
      </w:tr>
      <w:tr w14:paraId="791988EB">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182" w:type="pct"/>
            <w:vMerge w:val="restart"/>
            <w:shd w:val="clear" w:color="auto" w:fill="auto"/>
            <w:vAlign w:val="center"/>
          </w:tcPr>
          <w:p w14:paraId="70F063EC">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25</w:t>
            </w:r>
          </w:p>
        </w:tc>
        <w:tc>
          <w:tcPr>
            <w:tcW w:w="504" w:type="pct"/>
            <w:vMerge w:val="restart"/>
            <w:shd w:val="clear" w:color="auto" w:fill="auto"/>
            <w:vAlign w:val="center"/>
          </w:tcPr>
          <w:p w14:paraId="469AFFF9">
            <w:pPr>
              <w:widowControl/>
              <w:spacing w:line="240" w:lineRule="exact"/>
              <w:jc w:val="center"/>
              <w:rPr>
                <w:rFonts w:ascii="Times New Roman" w:hAnsi="Times New Roman" w:eastAsia="宋体" w:cs="Times New Roman"/>
                <w:kern w:val="0"/>
                <w:szCs w:val="21"/>
              </w:rPr>
            </w:pPr>
            <w:r>
              <w:rPr>
                <w:rFonts w:hint="eastAsia" w:ascii="宋体" w:hAnsi="宋体" w:eastAsia="宋体" w:cs="Times New Roman"/>
                <w:kern w:val="0"/>
                <w:szCs w:val="21"/>
              </w:rPr>
              <w:t>江巴孜村</w:t>
            </w:r>
          </w:p>
        </w:tc>
        <w:tc>
          <w:tcPr>
            <w:tcW w:w="252" w:type="pct"/>
            <w:vMerge w:val="restart"/>
            <w:shd w:val="clear" w:color="auto" w:fill="auto"/>
            <w:vAlign w:val="center"/>
          </w:tcPr>
          <w:p w14:paraId="79902B05">
            <w:pPr>
              <w:widowControl/>
              <w:spacing w:line="240" w:lineRule="exact"/>
              <w:jc w:val="center"/>
              <w:rPr>
                <w:rFonts w:ascii="Times New Roman" w:hAnsi="Times New Roman" w:eastAsia="宋体" w:cs="Times New Roman"/>
                <w:kern w:val="0"/>
                <w:szCs w:val="21"/>
              </w:rPr>
            </w:pPr>
            <w:r>
              <w:rPr>
                <w:rFonts w:hint="eastAsia" w:ascii="宋体" w:hAnsi="宋体" w:eastAsia="宋体" w:cs="Times New Roman"/>
                <w:kern w:val="0"/>
                <w:szCs w:val="21"/>
              </w:rPr>
              <w:t>两侧</w:t>
            </w:r>
          </w:p>
        </w:tc>
        <w:tc>
          <w:tcPr>
            <w:tcW w:w="303" w:type="pct"/>
            <w:shd w:val="clear" w:color="auto" w:fill="auto"/>
            <w:vAlign w:val="center"/>
          </w:tcPr>
          <w:p w14:paraId="06F48572">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23</w:t>
            </w:r>
          </w:p>
        </w:tc>
        <w:tc>
          <w:tcPr>
            <w:tcW w:w="252" w:type="pct"/>
            <w:vMerge w:val="restart"/>
            <w:shd w:val="clear" w:color="auto" w:fill="auto"/>
            <w:vAlign w:val="center"/>
          </w:tcPr>
          <w:p w14:paraId="592D878B">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w:t>
            </w:r>
          </w:p>
        </w:tc>
        <w:tc>
          <w:tcPr>
            <w:tcW w:w="353" w:type="pct"/>
            <w:vMerge w:val="restart"/>
            <w:shd w:val="clear" w:color="auto" w:fill="auto"/>
            <w:vAlign w:val="center"/>
          </w:tcPr>
          <w:p w14:paraId="185185CC">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0</w:t>
            </w:r>
          </w:p>
        </w:tc>
        <w:tc>
          <w:tcPr>
            <w:tcW w:w="252" w:type="pct"/>
            <w:vMerge w:val="restart"/>
            <w:shd w:val="clear" w:color="auto" w:fill="auto"/>
            <w:vAlign w:val="center"/>
          </w:tcPr>
          <w:p w14:paraId="78809358">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w:t>
            </w:r>
            <w:r>
              <w:rPr>
                <w:rFonts w:hint="eastAsia" w:ascii="宋体" w:hAnsi="宋体" w:eastAsia="宋体" w:cs="Times New Roman"/>
                <w:kern w:val="0"/>
                <w:szCs w:val="21"/>
              </w:rPr>
              <w:t>层</w:t>
            </w:r>
          </w:p>
        </w:tc>
        <w:tc>
          <w:tcPr>
            <w:tcW w:w="372" w:type="pct"/>
            <w:shd w:val="clear" w:color="auto" w:fill="auto"/>
            <w:vAlign w:val="center"/>
          </w:tcPr>
          <w:p w14:paraId="78818419">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3" w:type="pct"/>
            <w:shd w:val="clear" w:color="auto" w:fill="auto"/>
            <w:vAlign w:val="center"/>
          </w:tcPr>
          <w:p w14:paraId="78C8710E">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2.0</w:t>
            </w:r>
          </w:p>
        </w:tc>
        <w:tc>
          <w:tcPr>
            <w:tcW w:w="373" w:type="pct"/>
            <w:shd w:val="clear" w:color="auto" w:fill="auto"/>
            <w:vAlign w:val="center"/>
          </w:tcPr>
          <w:p w14:paraId="34B49FDB">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2" w:type="pct"/>
            <w:shd w:val="clear" w:color="auto" w:fill="auto"/>
            <w:vAlign w:val="center"/>
          </w:tcPr>
          <w:p w14:paraId="43D1E870">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2.8</w:t>
            </w:r>
          </w:p>
        </w:tc>
        <w:tc>
          <w:tcPr>
            <w:tcW w:w="373" w:type="pct"/>
            <w:shd w:val="clear" w:color="auto" w:fill="auto"/>
            <w:vAlign w:val="center"/>
          </w:tcPr>
          <w:p w14:paraId="2570F5F4">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7" w:type="pct"/>
            <w:shd w:val="clear" w:color="auto" w:fill="auto"/>
            <w:vAlign w:val="center"/>
          </w:tcPr>
          <w:p w14:paraId="111DBBF6">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3.5</w:t>
            </w:r>
          </w:p>
        </w:tc>
        <w:tc>
          <w:tcPr>
            <w:tcW w:w="235" w:type="pct"/>
            <w:shd w:val="clear" w:color="auto" w:fill="auto"/>
            <w:vAlign w:val="center"/>
          </w:tcPr>
          <w:p w14:paraId="30036C79">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4a</w:t>
            </w:r>
            <w:r>
              <w:rPr>
                <w:rFonts w:hint="eastAsia" w:ascii="宋体" w:hAnsi="宋体" w:eastAsia="宋体" w:cs="Times New Roman"/>
                <w:kern w:val="0"/>
                <w:szCs w:val="21"/>
              </w:rPr>
              <w:t>类</w:t>
            </w:r>
          </w:p>
        </w:tc>
        <w:tc>
          <w:tcPr>
            <w:tcW w:w="427" w:type="pct"/>
            <w:shd w:val="clear" w:color="auto" w:fill="auto"/>
            <w:vAlign w:val="center"/>
          </w:tcPr>
          <w:p w14:paraId="1BE99C3A">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10</w:t>
            </w:r>
          </w:p>
        </w:tc>
      </w:tr>
      <w:tr w14:paraId="5D41D9FB">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182" w:type="pct"/>
            <w:vMerge w:val="continue"/>
            <w:vAlign w:val="center"/>
          </w:tcPr>
          <w:p w14:paraId="1AB8AF1F">
            <w:pPr>
              <w:widowControl/>
              <w:spacing w:line="240" w:lineRule="exact"/>
              <w:jc w:val="center"/>
              <w:rPr>
                <w:rFonts w:ascii="Times New Roman" w:hAnsi="Times New Roman" w:eastAsia="宋体" w:cs="Times New Roman"/>
                <w:kern w:val="0"/>
                <w:szCs w:val="21"/>
              </w:rPr>
            </w:pPr>
          </w:p>
        </w:tc>
        <w:tc>
          <w:tcPr>
            <w:tcW w:w="504" w:type="pct"/>
            <w:vMerge w:val="continue"/>
            <w:vAlign w:val="center"/>
          </w:tcPr>
          <w:p w14:paraId="62C4B843">
            <w:pPr>
              <w:widowControl/>
              <w:spacing w:line="240" w:lineRule="exact"/>
              <w:jc w:val="center"/>
              <w:rPr>
                <w:rFonts w:ascii="Times New Roman" w:hAnsi="Times New Roman" w:eastAsia="宋体" w:cs="Times New Roman"/>
                <w:kern w:val="0"/>
                <w:szCs w:val="21"/>
              </w:rPr>
            </w:pPr>
          </w:p>
        </w:tc>
        <w:tc>
          <w:tcPr>
            <w:tcW w:w="252" w:type="pct"/>
            <w:vMerge w:val="continue"/>
            <w:vAlign w:val="center"/>
          </w:tcPr>
          <w:p w14:paraId="73DA1529">
            <w:pPr>
              <w:widowControl/>
              <w:spacing w:line="240" w:lineRule="exact"/>
              <w:jc w:val="center"/>
              <w:rPr>
                <w:rFonts w:ascii="Times New Roman" w:hAnsi="Times New Roman" w:eastAsia="宋体" w:cs="Times New Roman"/>
                <w:kern w:val="0"/>
                <w:szCs w:val="21"/>
              </w:rPr>
            </w:pPr>
          </w:p>
        </w:tc>
        <w:tc>
          <w:tcPr>
            <w:tcW w:w="303" w:type="pct"/>
            <w:shd w:val="clear" w:color="auto" w:fill="auto"/>
            <w:vAlign w:val="center"/>
          </w:tcPr>
          <w:p w14:paraId="71831CCE">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57</w:t>
            </w:r>
          </w:p>
        </w:tc>
        <w:tc>
          <w:tcPr>
            <w:tcW w:w="252" w:type="pct"/>
            <w:vMerge w:val="continue"/>
            <w:vAlign w:val="center"/>
          </w:tcPr>
          <w:p w14:paraId="2FEB15A7">
            <w:pPr>
              <w:widowControl/>
              <w:spacing w:line="240" w:lineRule="exact"/>
              <w:jc w:val="center"/>
              <w:rPr>
                <w:rFonts w:ascii="Times New Roman" w:hAnsi="Times New Roman" w:eastAsia="宋体" w:cs="Times New Roman"/>
                <w:kern w:val="0"/>
                <w:szCs w:val="21"/>
              </w:rPr>
            </w:pPr>
          </w:p>
        </w:tc>
        <w:tc>
          <w:tcPr>
            <w:tcW w:w="353" w:type="pct"/>
            <w:vMerge w:val="continue"/>
            <w:vAlign w:val="center"/>
          </w:tcPr>
          <w:p w14:paraId="47ED050A">
            <w:pPr>
              <w:widowControl/>
              <w:spacing w:line="240" w:lineRule="exact"/>
              <w:jc w:val="center"/>
              <w:rPr>
                <w:rFonts w:ascii="Times New Roman" w:hAnsi="Times New Roman" w:eastAsia="宋体" w:cs="Times New Roman"/>
                <w:kern w:val="0"/>
                <w:szCs w:val="21"/>
              </w:rPr>
            </w:pPr>
          </w:p>
        </w:tc>
        <w:tc>
          <w:tcPr>
            <w:tcW w:w="252" w:type="pct"/>
            <w:vMerge w:val="continue"/>
            <w:vAlign w:val="center"/>
          </w:tcPr>
          <w:p w14:paraId="213D6415">
            <w:pPr>
              <w:widowControl/>
              <w:spacing w:line="240" w:lineRule="exact"/>
              <w:jc w:val="center"/>
              <w:rPr>
                <w:rFonts w:ascii="Times New Roman" w:hAnsi="Times New Roman" w:eastAsia="宋体" w:cs="Times New Roman"/>
                <w:kern w:val="0"/>
                <w:szCs w:val="21"/>
              </w:rPr>
            </w:pPr>
          </w:p>
        </w:tc>
        <w:tc>
          <w:tcPr>
            <w:tcW w:w="372" w:type="pct"/>
            <w:shd w:val="clear" w:color="auto" w:fill="auto"/>
            <w:vAlign w:val="center"/>
          </w:tcPr>
          <w:p w14:paraId="7E8953C3">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3" w:type="pct"/>
            <w:shd w:val="clear" w:color="auto" w:fill="auto"/>
            <w:vAlign w:val="center"/>
          </w:tcPr>
          <w:p w14:paraId="45BBC780">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2.3</w:t>
            </w:r>
          </w:p>
        </w:tc>
        <w:tc>
          <w:tcPr>
            <w:tcW w:w="373" w:type="pct"/>
            <w:shd w:val="clear" w:color="auto" w:fill="auto"/>
            <w:vAlign w:val="center"/>
          </w:tcPr>
          <w:p w14:paraId="6FAA32B7">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2" w:type="pct"/>
            <w:shd w:val="clear" w:color="auto" w:fill="auto"/>
            <w:vAlign w:val="center"/>
          </w:tcPr>
          <w:p w14:paraId="164C87DB">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3.0</w:t>
            </w:r>
          </w:p>
        </w:tc>
        <w:tc>
          <w:tcPr>
            <w:tcW w:w="373" w:type="pct"/>
            <w:shd w:val="clear" w:color="auto" w:fill="auto"/>
            <w:vAlign w:val="center"/>
          </w:tcPr>
          <w:p w14:paraId="2F9C6B43">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7" w:type="pct"/>
            <w:shd w:val="clear" w:color="auto" w:fill="auto"/>
            <w:vAlign w:val="center"/>
          </w:tcPr>
          <w:p w14:paraId="220441C1">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3.7</w:t>
            </w:r>
          </w:p>
        </w:tc>
        <w:tc>
          <w:tcPr>
            <w:tcW w:w="235" w:type="pct"/>
            <w:shd w:val="clear" w:color="auto" w:fill="auto"/>
            <w:vAlign w:val="center"/>
          </w:tcPr>
          <w:p w14:paraId="70458995">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w:t>
            </w:r>
            <w:r>
              <w:rPr>
                <w:rFonts w:hint="eastAsia" w:ascii="宋体" w:hAnsi="宋体" w:eastAsia="宋体" w:cs="Times New Roman"/>
                <w:kern w:val="0"/>
                <w:szCs w:val="21"/>
              </w:rPr>
              <w:t>类</w:t>
            </w:r>
          </w:p>
        </w:tc>
        <w:tc>
          <w:tcPr>
            <w:tcW w:w="427" w:type="pct"/>
            <w:shd w:val="clear" w:color="auto" w:fill="auto"/>
            <w:vAlign w:val="center"/>
          </w:tcPr>
          <w:p w14:paraId="7A19E515">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45</w:t>
            </w:r>
          </w:p>
        </w:tc>
      </w:tr>
      <w:tr w14:paraId="3E7741B6">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182" w:type="pct"/>
            <w:vMerge w:val="restart"/>
            <w:shd w:val="clear" w:color="auto" w:fill="auto"/>
            <w:vAlign w:val="center"/>
          </w:tcPr>
          <w:p w14:paraId="09023579">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26</w:t>
            </w:r>
          </w:p>
        </w:tc>
        <w:tc>
          <w:tcPr>
            <w:tcW w:w="504" w:type="pct"/>
            <w:vMerge w:val="restart"/>
            <w:shd w:val="clear" w:color="auto" w:fill="auto"/>
            <w:vAlign w:val="center"/>
          </w:tcPr>
          <w:p w14:paraId="3227A2FE">
            <w:pPr>
              <w:widowControl/>
              <w:spacing w:line="240" w:lineRule="exact"/>
              <w:jc w:val="center"/>
              <w:rPr>
                <w:rFonts w:ascii="Times New Roman" w:hAnsi="Times New Roman" w:eastAsia="宋体" w:cs="Times New Roman"/>
                <w:kern w:val="0"/>
                <w:szCs w:val="21"/>
              </w:rPr>
            </w:pPr>
            <w:r>
              <w:rPr>
                <w:rFonts w:hint="eastAsia" w:ascii="宋体" w:hAnsi="宋体" w:eastAsia="宋体" w:cs="Times New Roman"/>
                <w:kern w:val="0"/>
                <w:szCs w:val="21"/>
              </w:rPr>
              <w:t>阿亚格乔拉克村</w:t>
            </w:r>
          </w:p>
        </w:tc>
        <w:tc>
          <w:tcPr>
            <w:tcW w:w="252" w:type="pct"/>
            <w:vMerge w:val="restart"/>
            <w:shd w:val="clear" w:color="auto" w:fill="auto"/>
            <w:vAlign w:val="center"/>
          </w:tcPr>
          <w:p w14:paraId="3064EB08">
            <w:pPr>
              <w:widowControl/>
              <w:spacing w:line="240" w:lineRule="exact"/>
              <w:jc w:val="center"/>
              <w:rPr>
                <w:rFonts w:ascii="Times New Roman" w:hAnsi="Times New Roman" w:eastAsia="宋体" w:cs="Times New Roman"/>
                <w:kern w:val="0"/>
                <w:szCs w:val="21"/>
              </w:rPr>
            </w:pPr>
            <w:r>
              <w:rPr>
                <w:rFonts w:hint="eastAsia" w:ascii="宋体" w:hAnsi="宋体" w:eastAsia="宋体" w:cs="Times New Roman"/>
                <w:kern w:val="0"/>
                <w:szCs w:val="21"/>
              </w:rPr>
              <w:t>两侧</w:t>
            </w:r>
          </w:p>
        </w:tc>
        <w:tc>
          <w:tcPr>
            <w:tcW w:w="303" w:type="pct"/>
            <w:shd w:val="clear" w:color="auto" w:fill="auto"/>
            <w:vAlign w:val="center"/>
          </w:tcPr>
          <w:p w14:paraId="1BCAF61C">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25</w:t>
            </w:r>
          </w:p>
        </w:tc>
        <w:tc>
          <w:tcPr>
            <w:tcW w:w="252" w:type="pct"/>
            <w:vMerge w:val="restart"/>
            <w:shd w:val="clear" w:color="auto" w:fill="auto"/>
            <w:vAlign w:val="center"/>
          </w:tcPr>
          <w:p w14:paraId="4289CF13">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w:t>
            </w:r>
          </w:p>
        </w:tc>
        <w:tc>
          <w:tcPr>
            <w:tcW w:w="353" w:type="pct"/>
            <w:vMerge w:val="restart"/>
            <w:shd w:val="clear" w:color="auto" w:fill="auto"/>
            <w:vAlign w:val="center"/>
          </w:tcPr>
          <w:p w14:paraId="09BAF5CB">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0</w:t>
            </w:r>
          </w:p>
        </w:tc>
        <w:tc>
          <w:tcPr>
            <w:tcW w:w="252" w:type="pct"/>
            <w:vMerge w:val="restart"/>
            <w:shd w:val="clear" w:color="auto" w:fill="auto"/>
            <w:vAlign w:val="center"/>
          </w:tcPr>
          <w:p w14:paraId="101C36F7">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w:t>
            </w:r>
            <w:r>
              <w:rPr>
                <w:rFonts w:hint="eastAsia" w:ascii="宋体" w:hAnsi="宋体" w:eastAsia="宋体" w:cs="Times New Roman"/>
                <w:kern w:val="0"/>
                <w:szCs w:val="21"/>
              </w:rPr>
              <w:t>层</w:t>
            </w:r>
          </w:p>
        </w:tc>
        <w:tc>
          <w:tcPr>
            <w:tcW w:w="372" w:type="pct"/>
            <w:shd w:val="clear" w:color="auto" w:fill="auto"/>
            <w:vAlign w:val="center"/>
          </w:tcPr>
          <w:p w14:paraId="55EEB918">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3" w:type="pct"/>
            <w:shd w:val="clear" w:color="auto" w:fill="auto"/>
            <w:vAlign w:val="center"/>
          </w:tcPr>
          <w:p w14:paraId="58BE4D34">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2.1</w:t>
            </w:r>
          </w:p>
        </w:tc>
        <w:tc>
          <w:tcPr>
            <w:tcW w:w="373" w:type="pct"/>
            <w:shd w:val="clear" w:color="auto" w:fill="auto"/>
            <w:vAlign w:val="center"/>
          </w:tcPr>
          <w:p w14:paraId="68564F7A">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2" w:type="pct"/>
            <w:shd w:val="clear" w:color="auto" w:fill="auto"/>
            <w:vAlign w:val="center"/>
          </w:tcPr>
          <w:p w14:paraId="666BF6B5">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2.8</w:t>
            </w:r>
          </w:p>
        </w:tc>
        <w:tc>
          <w:tcPr>
            <w:tcW w:w="373" w:type="pct"/>
            <w:shd w:val="clear" w:color="auto" w:fill="auto"/>
            <w:vAlign w:val="center"/>
          </w:tcPr>
          <w:p w14:paraId="23A3D9D9">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7" w:type="pct"/>
            <w:shd w:val="clear" w:color="auto" w:fill="auto"/>
            <w:vAlign w:val="center"/>
          </w:tcPr>
          <w:p w14:paraId="7095152E">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3.6</w:t>
            </w:r>
          </w:p>
        </w:tc>
        <w:tc>
          <w:tcPr>
            <w:tcW w:w="235" w:type="pct"/>
            <w:shd w:val="clear" w:color="auto" w:fill="auto"/>
            <w:vAlign w:val="center"/>
          </w:tcPr>
          <w:p w14:paraId="6A0B0220">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4a</w:t>
            </w:r>
            <w:r>
              <w:rPr>
                <w:rFonts w:hint="eastAsia" w:ascii="宋体" w:hAnsi="宋体" w:eastAsia="宋体" w:cs="Times New Roman"/>
                <w:kern w:val="0"/>
                <w:szCs w:val="21"/>
              </w:rPr>
              <w:t>类</w:t>
            </w:r>
          </w:p>
        </w:tc>
        <w:tc>
          <w:tcPr>
            <w:tcW w:w="427" w:type="pct"/>
            <w:shd w:val="clear" w:color="auto" w:fill="auto"/>
            <w:vAlign w:val="center"/>
          </w:tcPr>
          <w:p w14:paraId="31D824B0">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130</w:t>
            </w:r>
          </w:p>
        </w:tc>
      </w:tr>
      <w:tr w14:paraId="0657B1AA">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182" w:type="pct"/>
            <w:vMerge w:val="continue"/>
            <w:vAlign w:val="center"/>
          </w:tcPr>
          <w:p w14:paraId="6E6EAB50">
            <w:pPr>
              <w:widowControl/>
              <w:spacing w:line="240" w:lineRule="exact"/>
              <w:jc w:val="center"/>
              <w:rPr>
                <w:rFonts w:ascii="Times New Roman" w:hAnsi="Times New Roman" w:eastAsia="宋体" w:cs="Times New Roman"/>
                <w:kern w:val="0"/>
                <w:szCs w:val="21"/>
              </w:rPr>
            </w:pPr>
          </w:p>
        </w:tc>
        <w:tc>
          <w:tcPr>
            <w:tcW w:w="504" w:type="pct"/>
            <w:vMerge w:val="continue"/>
            <w:vAlign w:val="center"/>
          </w:tcPr>
          <w:p w14:paraId="55A09526">
            <w:pPr>
              <w:widowControl/>
              <w:spacing w:line="240" w:lineRule="exact"/>
              <w:jc w:val="center"/>
              <w:rPr>
                <w:rFonts w:ascii="Times New Roman" w:hAnsi="Times New Roman" w:eastAsia="宋体" w:cs="Times New Roman"/>
                <w:kern w:val="0"/>
                <w:szCs w:val="21"/>
              </w:rPr>
            </w:pPr>
          </w:p>
        </w:tc>
        <w:tc>
          <w:tcPr>
            <w:tcW w:w="252" w:type="pct"/>
            <w:vMerge w:val="continue"/>
            <w:vAlign w:val="center"/>
          </w:tcPr>
          <w:p w14:paraId="3B172514">
            <w:pPr>
              <w:widowControl/>
              <w:spacing w:line="240" w:lineRule="exact"/>
              <w:jc w:val="center"/>
              <w:rPr>
                <w:rFonts w:ascii="Times New Roman" w:hAnsi="Times New Roman" w:eastAsia="宋体" w:cs="Times New Roman"/>
                <w:kern w:val="0"/>
                <w:szCs w:val="21"/>
              </w:rPr>
            </w:pPr>
          </w:p>
        </w:tc>
        <w:tc>
          <w:tcPr>
            <w:tcW w:w="303" w:type="pct"/>
            <w:shd w:val="clear" w:color="auto" w:fill="auto"/>
            <w:vAlign w:val="center"/>
          </w:tcPr>
          <w:p w14:paraId="4CCBAFCA">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54</w:t>
            </w:r>
          </w:p>
        </w:tc>
        <w:tc>
          <w:tcPr>
            <w:tcW w:w="252" w:type="pct"/>
            <w:vMerge w:val="continue"/>
            <w:vAlign w:val="center"/>
          </w:tcPr>
          <w:p w14:paraId="6ABC6344">
            <w:pPr>
              <w:widowControl/>
              <w:spacing w:line="240" w:lineRule="exact"/>
              <w:jc w:val="center"/>
              <w:rPr>
                <w:rFonts w:ascii="Times New Roman" w:hAnsi="Times New Roman" w:eastAsia="宋体" w:cs="Times New Roman"/>
                <w:kern w:val="0"/>
                <w:szCs w:val="21"/>
              </w:rPr>
            </w:pPr>
          </w:p>
        </w:tc>
        <w:tc>
          <w:tcPr>
            <w:tcW w:w="353" w:type="pct"/>
            <w:vMerge w:val="continue"/>
            <w:vAlign w:val="center"/>
          </w:tcPr>
          <w:p w14:paraId="76475CC1">
            <w:pPr>
              <w:widowControl/>
              <w:spacing w:line="240" w:lineRule="exact"/>
              <w:jc w:val="center"/>
              <w:rPr>
                <w:rFonts w:ascii="Times New Roman" w:hAnsi="Times New Roman" w:eastAsia="宋体" w:cs="Times New Roman"/>
                <w:kern w:val="0"/>
                <w:szCs w:val="21"/>
              </w:rPr>
            </w:pPr>
          </w:p>
        </w:tc>
        <w:tc>
          <w:tcPr>
            <w:tcW w:w="252" w:type="pct"/>
            <w:vMerge w:val="continue"/>
            <w:vAlign w:val="center"/>
          </w:tcPr>
          <w:p w14:paraId="296B9F51">
            <w:pPr>
              <w:widowControl/>
              <w:spacing w:line="240" w:lineRule="exact"/>
              <w:jc w:val="center"/>
              <w:rPr>
                <w:rFonts w:ascii="Times New Roman" w:hAnsi="Times New Roman" w:eastAsia="宋体" w:cs="Times New Roman"/>
                <w:kern w:val="0"/>
                <w:szCs w:val="21"/>
              </w:rPr>
            </w:pPr>
          </w:p>
        </w:tc>
        <w:tc>
          <w:tcPr>
            <w:tcW w:w="372" w:type="pct"/>
            <w:shd w:val="clear" w:color="auto" w:fill="auto"/>
            <w:vAlign w:val="center"/>
          </w:tcPr>
          <w:p w14:paraId="6983A7CD">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3" w:type="pct"/>
            <w:shd w:val="clear" w:color="auto" w:fill="auto"/>
            <w:vAlign w:val="center"/>
          </w:tcPr>
          <w:p w14:paraId="3E515280">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3.0</w:t>
            </w:r>
          </w:p>
        </w:tc>
        <w:tc>
          <w:tcPr>
            <w:tcW w:w="373" w:type="pct"/>
            <w:shd w:val="clear" w:color="auto" w:fill="auto"/>
            <w:vAlign w:val="center"/>
          </w:tcPr>
          <w:p w14:paraId="2AEB3CDC">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2" w:type="pct"/>
            <w:shd w:val="clear" w:color="auto" w:fill="auto"/>
            <w:vAlign w:val="center"/>
          </w:tcPr>
          <w:p w14:paraId="2AC25A44">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3.8</w:t>
            </w:r>
          </w:p>
        </w:tc>
        <w:tc>
          <w:tcPr>
            <w:tcW w:w="373" w:type="pct"/>
            <w:shd w:val="clear" w:color="auto" w:fill="auto"/>
            <w:vAlign w:val="center"/>
          </w:tcPr>
          <w:p w14:paraId="5CA06FA1">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7" w:type="pct"/>
            <w:shd w:val="clear" w:color="auto" w:fill="auto"/>
            <w:vAlign w:val="center"/>
          </w:tcPr>
          <w:p w14:paraId="7D71960E">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4.5</w:t>
            </w:r>
          </w:p>
        </w:tc>
        <w:tc>
          <w:tcPr>
            <w:tcW w:w="235" w:type="pct"/>
            <w:shd w:val="clear" w:color="auto" w:fill="auto"/>
            <w:vAlign w:val="center"/>
          </w:tcPr>
          <w:p w14:paraId="55656525">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w:t>
            </w:r>
            <w:r>
              <w:rPr>
                <w:rFonts w:hint="eastAsia" w:ascii="宋体" w:hAnsi="宋体" w:eastAsia="宋体" w:cs="Times New Roman"/>
                <w:kern w:val="0"/>
                <w:szCs w:val="21"/>
              </w:rPr>
              <w:t>类</w:t>
            </w:r>
          </w:p>
        </w:tc>
        <w:tc>
          <w:tcPr>
            <w:tcW w:w="427" w:type="pct"/>
            <w:shd w:val="clear" w:color="auto" w:fill="auto"/>
            <w:vAlign w:val="center"/>
          </w:tcPr>
          <w:p w14:paraId="527DE243">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150</w:t>
            </w:r>
          </w:p>
        </w:tc>
      </w:tr>
      <w:tr w14:paraId="6A5B3181">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182" w:type="pct"/>
            <w:vMerge w:val="restart"/>
            <w:shd w:val="clear" w:color="auto" w:fill="auto"/>
            <w:vAlign w:val="center"/>
          </w:tcPr>
          <w:p w14:paraId="2FAA722C">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27</w:t>
            </w:r>
          </w:p>
        </w:tc>
        <w:tc>
          <w:tcPr>
            <w:tcW w:w="504" w:type="pct"/>
            <w:vMerge w:val="restart"/>
            <w:shd w:val="clear" w:color="auto" w:fill="auto"/>
            <w:vAlign w:val="center"/>
          </w:tcPr>
          <w:p w14:paraId="03AF9E51">
            <w:pPr>
              <w:widowControl/>
              <w:spacing w:line="240" w:lineRule="exact"/>
              <w:jc w:val="center"/>
              <w:rPr>
                <w:rFonts w:ascii="Times New Roman" w:hAnsi="Times New Roman" w:eastAsia="宋体" w:cs="Times New Roman"/>
                <w:kern w:val="0"/>
                <w:szCs w:val="21"/>
              </w:rPr>
            </w:pPr>
            <w:r>
              <w:rPr>
                <w:rFonts w:hint="eastAsia" w:ascii="宋体" w:hAnsi="宋体" w:eastAsia="宋体" w:cs="Times New Roman"/>
                <w:kern w:val="0"/>
                <w:szCs w:val="21"/>
              </w:rPr>
              <w:t>托万克阿帕霍加</w:t>
            </w:r>
          </w:p>
        </w:tc>
        <w:tc>
          <w:tcPr>
            <w:tcW w:w="252" w:type="pct"/>
            <w:vMerge w:val="restart"/>
            <w:shd w:val="clear" w:color="auto" w:fill="auto"/>
            <w:vAlign w:val="center"/>
          </w:tcPr>
          <w:p w14:paraId="0C87E272">
            <w:pPr>
              <w:widowControl/>
              <w:spacing w:line="240" w:lineRule="exact"/>
              <w:jc w:val="center"/>
              <w:rPr>
                <w:rFonts w:ascii="Times New Roman" w:hAnsi="Times New Roman" w:eastAsia="宋体" w:cs="Times New Roman"/>
                <w:kern w:val="0"/>
                <w:szCs w:val="21"/>
              </w:rPr>
            </w:pPr>
            <w:r>
              <w:rPr>
                <w:rFonts w:hint="eastAsia" w:ascii="宋体" w:hAnsi="宋体" w:eastAsia="宋体" w:cs="Times New Roman"/>
                <w:kern w:val="0"/>
                <w:szCs w:val="21"/>
              </w:rPr>
              <w:t>两侧</w:t>
            </w:r>
          </w:p>
        </w:tc>
        <w:tc>
          <w:tcPr>
            <w:tcW w:w="303" w:type="pct"/>
            <w:shd w:val="clear" w:color="auto" w:fill="auto"/>
            <w:vAlign w:val="center"/>
          </w:tcPr>
          <w:p w14:paraId="42E56D1E">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24</w:t>
            </w:r>
          </w:p>
        </w:tc>
        <w:tc>
          <w:tcPr>
            <w:tcW w:w="252" w:type="pct"/>
            <w:vMerge w:val="restart"/>
            <w:shd w:val="clear" w:color="auto" w:fill="auto"/>
            <w:vAlign w:val="center"/>
          </w:tcPr>
          <w:p w14:paraId="76DE6938">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w:t>
            </w:r>
          </w:p>
        </w:tc>
        <w:tc>
          <w:tcPr>
            <w:tcW w:w="353" w:type="pct"/>
            <w:vMerge w:val="restart"/>
            <w:shd w:val="clear" w:color="auto" w:fill="auto"/>
            <w:vAlign w:val="center"/>
          </w:tcPr>
          <w:p w14:paraId="2985AB5C">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0</w:t>
            </w:r>
          </w:p>
        </w:tc>
        <w:tc>
          <w:tcPr>
            <w:tcW w:w="252" w:type="pct"/>
            <w:vMerge w:val="restart"/>
            <w:shd w:val="clear" w:color="auto" w:fill="auto"/>
            <w:vAlign w:val="center"/>
          </w:tcPr>
          <w:p w14:paraId="535B5B9D">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w:t>
            </w:r>
            <w:r>
              <w:rPr>
                <w:rFonts w:hint="eastAsia" w:ascii="宋体" w:hAnsi="宋体" w:eastAsia="宋体" w:cs="Times New Roman"/>
                <w:kern w:val="0"/>
                <w:szCs w:val="21"/>
              </w:rPr>
              <w:t>层</w:t>
            </w:r>
          </w:p>
        </w:tc>
        <w:tc>
          <w:tcPr>
            <w:tcW w:w="372" w:type="pct"/>
            <w:shd w:val="clear" w:color="auto" w:fill="auto"/>
            <w:vAlign w:val="center"/>
          </w:tcPr>
          <w:p w14:paraId="29C5DE86">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3" w:type="pct"/>
            <w:shd w:val="clear" w:color="auto" w:fill="auto"/>
            <w:vAlign w:val="center"/>
          </w:tcPr>
          <w:p w14:paraId="1B257D39">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2.3</w:t>
            </w:r>
          </w:p>
        </w:tc>
        <w:tc>
          <w:tcPr>
            <w:tcW w:w="373" w:type="pct"/>
            <w:shd w:val="clear" w:color="auto" w:fill="auto"/>
            <w:vAlign w:val="center"/>
          </w:tcPr>
          <w:p w14:paraId="117D5708">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2" w:type="pct"/>
            <w:shd w:val="clear" w:color="auto" w:fill="auto"/>
            <w:vAlign w:val="center"/>
          </w:tcPr>
          <w:p w14:paraId="31017B30">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3.1</w:t>
            </w:r>
          </w:p>
        </w:tc>
        <w:tc>
          <w:tcPr>
            <w:tcW w:w="373" w:type="pct"/>
            <w:shd w:val="clear" w:color="auto" w:fill="auto"/>
            <w:vAlign w:val="center"/>
          </w:tcPr>
          <w:p w14:paraId="01C4B30D">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7" w:type="pct"/>
            <w:shd w:val="clear" w:color="auto" w:fill="auto"/>
            <w:vAlign w:val="center"/>
          </w:tcPr>
          <w:p w14:paraId="79392C39">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3.8</w:t>
            </w:r>
          </w:p>
        </w:tc>
        <w:tc>
          <w:tcPr>
            <w:tcW w:w="235" w:type="pct"/>
            <w:shd w:val="clear" w:color="auto" w:fill="auto"/>
            <w:vAlign w:val="center"/>
          </w:tcPr>
          <w:p w14:paraId="13D1D124">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4a</w:t>
            </w:r>
            <w:r>
              <w:rPr>
                <w:rFonts w:hint="eastAsia" w:ascii="宋体" w:hAnsi="宋体" w:eastAsia="宋体" w:cs="Times New Roman"/>
                <w:kern w:val="0"/>
                <w:szCs w:val="21"/>
              </w:rPr>
              <w:t>类</w:t>
            </w:r>
          </w:p>
        </w:tc>
        <w:tc>
          <w:tcPr>
            <w:tcW w:w="427" w:type="pct"/>
            <w:shd w:val="clear" w:color="auto" w:fill="auto"/>
            <w:vAlign w:val="center"/>
          </w:tcPr>
          <w:p w14:paraId="04E8DE7D">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85</w:t>
            </w:r>
          </w:p>
        </w:tc>
      </w:tr>
      <w:tr w14:paraId="3396D039">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182" w:type="pct"/>
            <w:vMerge w:val="continue"/>
            <w:vAlign w:val="center"/>
          </w:tcPr>
          <w:p w14:paraId="64334D8A">
            <w:pPr>
              <w:widowControl/>
              <w:spacing w:line="240" w:lineRule="exact"/>
              <w:jc w:val="center"/>
              <w:rPr>
                <w:rFonts w:ascii="Times New Roman" w:hAnsi="Times New Roman" w:eastAsia="宋体" w:cs="Times New Roman"/>
                <w:kern w:val="0"/>
                <w:szCs w:val="21"/>
              </w:rPr>
            </w:pPr>
          </w:p>
        </w:tc>
        <w:tc>
          <w:tcPr>
            <w:tcW w:w="504" w:type="pct"/>
            <w:vMerge w:val="continue"/>
            <w:vAlign w:val="center"/>
          </w:tcPr>
          <w:p w14:paraId="54E6059E">
            <w:pPr>
              <w:widowControl/>
              <w:spacing w:line="240" w:lineRule="exact"/>
              <w:jc w:val="center"/>
              <w:rPr>
                <w:rFonts w:ascii="Times New Roman" w:hAnsi="Times New Roman" w:eastAsia="宋体" w:cs="Times New Roman"/>
                <w:kern w:val="0"/>
                <w:szCs w:val="21"/>
              </w:rPr>
            </w:pPr>
          </w:p>
        </w:tc>
        <w:tc>
          <w:tcPr>
            <w:tcW w:w="252" w:type="pct"/>
            <w:vMerge w:val="continue"/>
            <w:vAlign w:val="center"/>
          </w:tcPr>
          <w:p w14:paraId="2C598E78">
            <w:pPr>
              <w:widowControl/>
              <w:spacing w:line="240" w:lineRule="exact"/>
              <w:jc w:val="center"/>
              <w:rPr>
                <w:rFonts w:ascii="Times New Roman" w:hAnsi="Times New Roman" w:eastAsia="宋体" w:cs="Times New Roman"/>
                <w:kern w:val="0"/>
                <w:szCs w:val="21"/>
              </w:rPr>
            </w:pPr>
          </w:p>
        </w:tc>
        <w:tc>
          <w:tcPr>
            <w:tcW w:w="303" w:type="pct"/>
            <w:shd w:val="clear" w:color="auto" w:fill="auto"/>
            <w:vAlign w:val="center"/>
          </w:tcPr>
          <w:p w14:paraId="6C8CE042">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54</w:t>
            </w:r>
          </w:p>
        </w:tc>
        <w:tc>
          <w:tcPr>
            <w:tcW w:w="252" w:type="pct"/>
            <w:vMerge w:val="continue"/>
            <w:vAlign w:val="center"/>
          </w:tcPr>
          <w:p w14:paraId="23A97DE0">
            <w:pPr>
              <w:widowControl/>
              <w:spacing w:line="240" w:lineRule="exact"/>
              <w:jc w:val="center"/>
              <w:rPr>
                <w:rFonts w:ascii="Times New Roman" w:hAnsi="Times New Roman" w:eastAsia="宋体" w:cs="Times New Roman"/>
                <w:kern w:val="0"/>
                <w:szCs w:val="21"/>
              </w:rPr>
            </w:pPr>
          </w:p>
        </w:tc>
        <w:tc>
          <w:tcPr>
            <w:tcW w:w="353" w:type="pct"/>
            <w:vMerge w:val="continue"/>
            <w:vAlign w:val="center"/>
          </w:tcPr>
          <w:p w14:paraId="1A006021">
            <w:pPr>
              <w:widowControl/>
              <w:spacing w:line="240" w:lineRule="exact"/>
              <w:jc w:val="center"/>
              <w:rPr>
                <w:rFonts w:ascii="Times New Roman" w:hAnsi="Times New Roman" w:eastAsia="宋体" w:cs="Times New Roman"/>
                <w:kern w:val="0"/>
                <w:szCs w:val="21"/>
              </w:rPr>
            </w:pPr>
          </w:p>
        </w:tc>
        <w:tc>
          <w:tcPr>
            <w:tcW w:w="252" w:type="pct"/>
            <w:vMerge w:val="continue"/>
            <w:vAlign w:val="center"/>
          </w:tcPr>
          <w:p w14:paraId="5C9BAAFB">
            <w:pPr>
              <w:widowControl/>
              <w:spacing w:line="240" w:lineRule="exact"/>
              <w:jc w:val="center"/>
              <w:rPr>
                <w:rFonts w:ascii="Times New Roman" w:hAnsi="Times New Roman" w:eastAsia="宋体" w:cs="Times New Roman"/>
                <w:kern w:val="0"/>
                <w:szCs w:val="21"/>
              </w:rPr>
            </w:pPr>
          </w:p>
        </w:tc>
        <w:tc>
          <w:tcPr>
            <w:tcW w:w="372" w:type="pct"/>
            <w:shd w:val="clear" w:color="auto" w:fill="auto"/>
            <w:vAlign w:val="center"/>
          </w:tcPr>
          <w:p w14:paraId="39489305">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3" w:type="pct"/>
            <w:shd w:val="clear" w:color="auto" w:fill="auto"/>
            <w:vAlign w:val="center"/>
          </w:tcPr>
          <w:p w14:paraId="5E1D7B9B">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3.0</w:t>
            </w:r>
          </w:p>
        </w:tc>
        <w:tc>
          <w:tcPr>
            <w:tcW w:w="373" w:type="pct"/>
            <w:shd w:val="clear" w:color="auto" w:fill="auto"/>
            <w:vAlign w:val="center"/>
          </w:tcPr>
          <w:p w14:paraId="2DEB2A2A">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2" w:type="pct"/>
            <w:shd w:val="clear" w:color="auto" w:fill="auto"/>
            <w:vAlign w:val="center"/>
          </w:tcPr>
          <w:p w14:paraId="3327BFB7">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3.8</w:t>
            </w:r>
          </w:p>
        </w:tc>
        <w:tc>
          <w:tcPr>
            <w:tcW w:w="373" w:type="pct"/>
            <w:shd w:val="clear" w:color="auto" w:fill="auto"/>
            <w:vAlign w:val="center"/>
          </w:tcPr>
          <w:p w14:paraId="18DFBBFE">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377" w:type="pct"/>
            <w:shd w:val="clear" w:color="auto" w:fill="auto"/>
            <w:vAlign w:val="center"/>
          </w:tcPr>
          <w:p w14:paraId="7E619792">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4.5</w:t>
            </w:r>
          </w:p>
        </w:tc>
        <w:tc>
          <w:tcPr>
            <w:tcW w:w="235" w:type="pct"/>
            <w:shd w:val="clear" w:color="auto" w:fill="auto"/>
            <w:vAlign w:val="center"/>
          </w:tcPr>
          <w:p w14:paraId="20AA4310">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w:t>
            </w:r>
            <w:r>
              <w:rPr>
                <w:rFonts w:hint="eastAsia" w:ascii="宋体" w:hAnsi="宋体" w:eastAsia="宋体" w:cs="Times New Roman"/>
                <w:kern w:val="0"/>
                <w:szCs w:val="21"/>
              </w:rPr>
              <w:t>类</w:t>
            </w:r>
          </w:p>
        </w:tc>
        <w:tc>
          <w:tcPr>
            <w:tcW w:w="427" w:type="pct"/>
            <w:shd w:val="clear" w:color="auto" w:fill="auto"/>
            <w:vAlign w:val="center"/>
          </w:tcPr>
          <w:p w14:paraId="21C729EC">
            <w:pPr>
              <w:widowControl/>
              <w:spacing w:line="24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35</w:t>
            </w:r>
          </w:p>
        </w:tc>
      </w:tr>
    </w:tbl>
    <w:p w14:paraId="57D802CE">
      <w:pPr>
        <w:rPr>
          <w:rFonts w:ascii="Times New Roman" w:hAnsi="Times New Roman" w:eastAsia="宋体" w:cs="Times New Roman"/>
          <w:b/>
          <w:bCs/>
        </w:rPr>
      </w:pPr>
    </w:p>
    <w:p w14:paraId="7D2B73B6">
      <w:pPr>
        <w:spacing w:line="300" w:lineRule="auto"/>
        <w:ind w:firstLine="420" w:firstLineChars="200"/>
        <w:rPr>
          <w:b/>
          <w:bCs/>
        </w:rPr>
        <w:sectPr>
          <w:headerReference r:id="rId91" w:type="default"/>
          <w:footerReference r:id="rId93" w:type="default"/>
          <w:headerReference r:id="rId92" w:type="even"/>
          <w:footerReference r:id="rId94" w:type="even"/>
          <w:pgSz w:w="16838" w:h="11906" w:orient="landscape"/>
          <w:pgMar w:top="1797" w:right="1440" w:bottom="1797" w:left="1559" w:header="1134" w:footer="1134" w:gutter="0"/>
          <w:pgBorders>
            <w:top w:val="none" w:sz="0" w:space="0"/>
            <w:left w:val="none" w:sz="0" w:space="0"/>
            <w:bottom w:val="none" w:sz="0" w:space="0"/>
            <w:right w:val="none" w:sz="0" w:space="0"/>
          </w:pgBorders>
          <w:cols w:space="720" w:num="1"/>
          <w:docGrid w:type="linesAndChars" w:linePitch="312" w:charSpace="0"/>
        </w:sectPr>
      </w:pPr>
    </w:p>
    <w:p w14:paraId="06AE15D2">
      <w:pPr>
        <w:spacing w:line="30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(3)</w:t>
      </w:r>
      <w:r>
        <w:rPr>
          <w:rFonts w:hint="eastAsia" w:ascii="Times New Roman" w:hAnsi="Times New Roman" w:eastAsia="宋体" w:cs="Times New Roman"/>
          <w:sz w:val="24"/>
        </w:rPr>
        <w:t xml:space="preserve"> 格达良乡</w:t>
      </w:r>
      <w:r>
        <w:rPr>
          <w:rFonts w:ascii="Times New Roman" w:hAnsi="Times New Roman" w:eastAsia="宋体" w:cs="Times New Roman"/>
          <w:sz w:val="24"/>
        </w:rPr>
        <w:t>路段环境噪声影响评价</w:t>
      </w:r>
    </w:p>
    <w:p w14:paraId="185516D9">
      <w:pPr>
        <w:spacing w:line="300"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拟建</w:t>
      </w:r>
      <w:r>
        <w:rPr>
          <w:rFonts w:ascii="Times New Roman" w:hAnsi="Times New Roman" w:eastAsia="宋体" w:cs="Times New Roman"/>
          <w:sz w:val="24"/>
        </w:rPr>
        <w:t>公路在K</w:t>
      </w:r>
      <w:r>
        <w:rPr>
          <w:rFonts w:hint="eastAsia" w:ascii="Times New Roman" w:hAnsi="Times New Roman" w:eastAsia="宋体" w:cs="Times New Roman"/>
          <w:sz w:val="24"/>
        </w:rPr>
        <w:t>7</w:t>
      </w:r>
      <w:r>
        <w:rPr>
          <w:rFonts w:ascii="Times New Roman" w:hAnsi="Times New Roman" w:eastAsia="宋体" w:cs="Times New Roman"/>
          <w:sz w:val="24"/>
        </w:rPr>
        <w:t>+</w:t>
      </w:r>
      <w:r>
        <w:rPr>
          <w:rFonts w:hint="eastAsia" w:ascii="Times New Roman" w:hAnsi="Times New Roman" w:eastAsia="宋体" w:cs="Times New Roman"/>
          <w:sz w:val="24"/>
        </w:rPr>
        <w:t>2</w:t>
      </w:r>
      <w:r>
        <w:rPr>
          <w:rFonts w:ascii="Times New Roman" w:hAnsi="Times New Roman" w:eastAsia="宋体" w:cs="Times New Roman"/>
          <w:sz w:val="24"/>
        </w:rPr>
        <w:t>00</w:t>
      </w:r>
      <w:r>
        <w:rPr>
          <w:rFonts w:hint="eastAsia" w:ascii="Times New Roman" w:hAnsi="Times New Roman" w:eastAsia="宋体" w:cs="Times New Roman"/>
          <w:sz w:val="24"/>
        </w:rPr>
        <w:t>~</w:t>
      </w:r>
      <w:r>
        <w:rPr>
          <w:rFonts w:ascii="Times New Roman" w:hAnsi="Times New Roman" w:eastAsia="宋体" w:cs="Times New Roman"/>
          <w:sz w:val="24"/>
        </w:rPr>
        <w:t>K</w:t>
      </w:r>
      <w:r>
        <w:rPr>
          <w:rFonts w:hint="eastAsia" w:ascii="Times New Roman" w:hAnsi="Times New Roman" w:eastAsia="宋体" w:cs="Times New Roman"/>
          <w:sz w:val="24"/>
        </w:rPr>
        <w:t>8</w:t>
      </w:r>
      <w:r>
        <w:rPr>
          <w:rFonts w:ascii="Times New Roman" w:hAnsi="Times New Roman" w:eastAsia="宋体" w:cs="Times New Roman"/>
          <w:sz w:val="24"/>
        </w:rPr>
        <w:t>+</w:t>
      </w:r>
      <w:r>
        <w:rPr>
          <w:rFonts w:hint="eastAsia" w:ascii="Times New Roman" w:hAnsi="Times New Roman" w:eastAsia="宋体" w:cs="Times New Roman"/>
          <w:sz w:val="24"/>
        </w:rPr>
        <w:t>75</w:t>
      </w:r>
      <w:r>
        <w:rPr>
          <w:rFonts w:ascii="Times New Roman" w:hAnsi="Times New Roman" w:eastAsia="宋体" w:cs="Times New Roman"/>
          <w:sz w:val="24"/>
        </w:rPr>
        <w:t>0路段穿</w:t>
      </w:r>
      <w:r>
        <w:rPr>
          <w:rFonts w:hint="eastAsia" w:ascii="Times New Roman" w:hAnsi="Times New Roman" w:eastAsia="宋体" w:cs="Times New Roman"/>
          <w:sz w:val="24"/>
        </w:rPr>
        <w:t>格达良乡</w:t>
      </w:r>
      <w:r>
        <w:rPr>
          <w:rFonts w:ascii="Times New Roman" w:hAnsi="Times New Roman" w:eastAsia="宋体" w:cs="Times New Roman"/>
          <w:sz w:val="24"/>
        </w:rPr>
        <w:t>，该路段平均路</w:t>
      </w:r>
      <w:r>
        <w:rPr>
          <w:rFonts w:ascii="Times New Roman" w:hAnsi="Times New Roman" w:eastAsia="宋体" w:cs="Times New Roman"/>
          <w:bCs/>
          <w:sz w:val="24"/>
        </w:rPr>
        <w:t>基高0m，地势平坦，预测点高度取距地面1.2m</w:t>
      </w:r>
      <w:r>
        <w:rPr>
          <w:rFonts w:ascii="Times New Roman" w:hAnsi="Times New Roman" w:eastAsia="宋体" w:cs="Times New Roman"/>
          <w:sz w:val="24"/>
        </w:rPr>
        <w:t>时，路侧营运近、中期交通噪声平面等声级曲线见图</w:t>
      </w:r>
      <w:r>
        <w:rPr>
          <w:rFonts w:hint="eastAsia" w:ascii="Times New Roman" w:hAnsi="Times New Roman" w:eastAsia="宋体" w:cs="Times New Roman"/>
          <w:sz w:val="24"/>
        </w:rPr>
        <w:t>4.2-5</w:t>
      </w:r>
      <w:r>
        <w:rPr>
          <w:rFonts w:ascii="Times New Roman" w:hAnsi="Times New Roman" w:eastAsia="宋体" w:cs="Times New Roman"/>
          <w:sz w:val="24"/>
        </w:rPr>
        <w:t>~</w:t>
      </w:r>
      <w:r>
        <w:rPr>
          <w:rFonts w:hint="eastAsia" w:ascii="Times New Roman" w:hAnsi="Times New Roman" w:eastAsia="宋体" w:cs="Times New Roman"/>
          <w:sz w:val="24"/>
        </w:rPr>
        <w:t>4.2-6</w:t>
      </w:r>
      <w:r>
        <w:rPr>
          <w:rFonts w:ascii="Times New Roman" w:hAnsi="Times New Roman" w:eastAsia="宋体" w:cs="Times New Roman"/>
          <w:sz w:val="24"/>
        </w:rPr>
        <w:t>，路侧营运近、中期纵向等声级曲线见图</w:t>
      </w:r>
      <w:r>
        <w:rPr>
          <w:rFonts w:hint="eastAsia" w:ascii="Times New Roman" w:hAnsi="Times New Roman" w:eastAsia="宋体" w:cs="Times New Roman"/>
          <w:sz w:val="24"/>
        </w:rPr>
        <w:t>4.2-7</w:t>
      </w:r>
      <w:r>
        <w:rPr>
          <w:rFonts w:ascii="Times New Roman" w:hAnsi="Times New Roman" w:eastAsia="宋体" w:cs="Times New Roman"/>
          <w:sz w:val="24"/>
        </w:rPr>
        <w:t>~</w:t>
      </w:r>
      <w:r>
        <w:rPr>
          <w:rFonts w:hint="eastAsia" w:ascii="Times New Roman" w:hAnsi="Times New Roman" w:eastAsia="宋体" w:cs="Times New Roman"/>
          <w:sz w:val="24"/>
        </w:rPr>
        <w:t>4.2-8</w:t>
      </w:r>
      <w:r>
        <w:rPr>
          <w:rFonts w:ascii="Times New Roman" w:hAnsi="Times New Roman" w:eastAsia="宋体" w:cs="Times New Roman"/>
          <w:sz w:val="24"/>
        </w:rPr>
        <w:t>。</w:t>
      </w:r>
    </w:p>
    <w:p w14:paraId="14608FBA">
      <w:pPr>
        <w:widowControl w:val="0"/>
        <w:spacing w:line="240" w:lineRule="auto"/>
        <w:ind w:firstLine="0" w:firstLineChars="0"/>
        <w:jc w:val="center"/>
        <w:rPr>
          <w:rFonts w:ascii="Times New Roman" w:hAnsi="Times New Roman" w:eastAsia="宋体" w:cs="Times New Roman"/>
          <w:b/>
          <w:bCs/>
          <w:kern w:val="2"/>
          <w:sz w:val="24"/>
          <w:szCs w:val="21"/>
          <w:lang w:val="en-US" w:eastAsia="zh-CN" w:bidi="ar-SA"/>
        </w:rPr>
      </w:pPr>
      <w:r>
        <w:rPr>
          <w:rFonts w:hint="eastAsia" w:ascii="Times New Roman" w:hAnsi="Times New Roman" w:eastAsia="宋体" w:cs="Times New Roman"/>
          <w:b/>
          <w:bCs/>
          <w:kern w:val="2"/>
          <w:sz w:val="24"/>
          <w:szCs w:val="21"/>
          <w:lang w:val="en-US" w:eastAsia="zh-CN" w:bidi="ar-SA"/>
        </w:rPr>
        <w:drawing>
          <wp:inline distT="0" distB="0" distL="0" distR="0">
            <wp:extent cx="5274310" cy="3484245"/>
            <wp:effectExtent l="0" t="0" r="2540" b="1905"/>
            <wp:docPr id="98" name="图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98"/>
                    <pic:cNvPicPr>
                      <a:picLocks noChangeAspect="1" noChangeArrowheads="1"/>
                    </pic:cNvPicPr>
                  </pic:nvPicPr>
                  <pic:blipFill>
                    <a:blip r:embed="rId264" cstate="print"/>
                    <a:srcRect/>
                    <a:stretch>
                      <a:fillRect/>
                    </a:stretch>
                  </pic:blipFill>
                  <pic:spPr>
                    <a:xfrm>
                      <a:off x="0" y="0"/>
                      <a:ext cx="5274310" cy="3484454"/>
                    </a:xfrm>
                    <a:prstGeom prst="rect">
                      <a:avLst/>
                    </a:prstGeom>
                    <a:noFill/>
                    <a:ln w="9525">
                      <a:noFill/>
                      <a:miter lim="800000"/>
                      <a:headEnd/>
                      <a:tailEnd/>
                    </a:ln>
                  </pic:spPr>
                </pic:pic>
              </a:graphicData>
            </a:graphic>
          </wp:inline>
        </w:drawing>
      </w:r>
    </w:p>
    <w:p w14:paraId="53FDBA15">
      <w:pPr>
        <w:widowControl w:val="0"/>
        <w:spacing w:line="240" w:lineRule="auto"/>
        <w:ind w:firstLine="0" w:firstLineChars="0"/>
        <w:jc w:val="center"/>
        <w:rPr>
          <w:rFonts w:ascii="Times New Roman" w:hAnsi="Times New Roman" w:eastAsia="宋体" w:cs="Times New Roman"/>
          <w:b/>
          <w:bCs/>
          <w:kern w:val="2"/>
          <w:sz w:val="21"/>
          <w:szCs w:val="21"/>
          <w:lang w:val="en-US" w:eastAsia="zh-CN" w:bidi="ar-SA"/>
        </w:rPr>
      </w:pPr>
      <w:r>
        <w:rPr>
          <w:rFonts w:ascii="Times New Roman" w:hAnsi="Times New Roman" w:eastAsia="宋体" w:cs="Times New Roman"/>
          <w:b/>
          <w:bCs/>
          <w:kern w:val="2"/>
          <w:sz w:val="24"/>
          <w:szCs w:val="21"/>
          <w:lang w:val="en-US" w:eastAsia="zh-CN" w:bidi="ar-SA"/>
        </w:rPr>
        <w:drawing>
          <wp:inline distT="0" distB="0" distL="0" distR="0">
            <wp:extent cx="5274310" cy="3481070"/>
            <wp:effectExtent l="0" t="0" r="2540" b="5080"/>
            <wp:docPr id="101"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01"/>
                    <pic:cNvPicPr>
                      <a:picLocks noChangeAspect="1" noChangeArrowheads="1"/>
                    </pic:cNvPicPr>
                  </pic:nvPicPr>
                  <pic:blipFill>
                    <a:blip r:embed="rId265" cstate="print"/>
                    <a:srcRect/>
                    <a:stretch>
                      <a:fillRect/>
                    </a:stretch>
                  </pic:blipFill>
                  <pic:spPr>
                    <a:xfrm>
                      <a:off x="0" y="0"/>
                      <a:ext cx="5274310" cy="3481244"/>
                    </a:xfrm>
                    <a:prstGeom prst="rect">
                      <a:avLst/>
                    </a:prstGeom>
                    <a:noFill/>
                    <a:ln w="9525">
                      <a:noFill/>
                      <a:miter lim="800000"/>
                      <a:headEnd/>
                      <a:tailEnd/>
                    </a:ln>
                  </pic:spPr>
                </pic:pic>
              </a:graphicData>
            </a:graphic>
          </wp:inline>
        </w:drawing>
      </w:r>
    </w:p>
    <w:p w14:paraId="2FAABCAD">
      <w:pPr>
        <w:widowControl w:val="0"/>
        <w:spacing w:beforeLines="50" w:afterLines="50" w:line="240" w:lineRule="auto"/>
        <w:ind w:firstLine="0" w:firstLineChars="0"/>
        <w:jc w:val="center"/>
        <w:rPr>
          <w:rFonts w:ascii="Times New Roman" w:hAnsi="Times New Roman" w:eastAsia="宋体" w:cs="Times New Roman"/>
          <w:b/>
          <w:bCs/>
          <w:kern w:val="2"/>
          <w:sz w:val="21"/>
          <w:szCs w:val="21"/>
          <w:lang w:val="en-US" w:eastAsia="zh-CN" w:bidi="ar-SA"/>
        </w:rPr>
      </w:pPr>
      <w:r>
        <w:rPr>
          <w:rFonts w:ascii="Times New Roman" w:hAnsi="Times New Roman" w:eastAsia="宋体" w:cs="Times New Roman"/>
          <w:b/>
          <w:bCs/>
          <w:kern w:val="2"/>
          <w:sz w:val="21"/>
          <w:szCs w:val="21"/>
          <w:lang w:val="en-US" w:eastAsia="zh-CN" w:bidi="ar-SA"/>
        </w:rPr>
        <w:t>图</w:t>
      </w:r>
      <w:r>
        <w:rPr>
          <w:rFonts w:hint="eastAsia" w:ascii="Times New Roman" w:hAnsi="Times New Roman" w:eastAsia="宋体" w:cs="Times New Roman"/>
          <w:b/>
          <w:bCs/>
          <w:kern w:val="2"/>
          <w:sz w:val="21"/>
          <w:szCs w:val="21"/>
          <w:lang w:val="en-US" w:eastAsia="zh-CN" w:bidi="ar-SA"/>
        </w:rPr>
        <w:t>4</w:t>
      </w:r>
      <w:r>
        <w:rPr>
          <w:rFonts w:ascii="Times New Roman" w:hAnsi="Times New Roman" w:eastAsia="宋体" w:cs="Times New Roman"/>
          <w:b/>
          <w:bCs/>
          <w:kern w:val="2"/>
          <w:sz w:val="21"/>
          <w:szCs w:val="21"/>
          <w:lang w:val="en-US" w:eastAsia="zh-CN" w:bidi="ar-SA"/>
        </w:rPr>
        <w:t>.2-</w:t>
      </w:r>
      <w:r>
        <w:rPr>
          <w:rFonts w:hint="eastAsia" w:ascii="Times New Roman" w:hAnsi="Times New Roman" w:eastAsia="宋体" w:cs="Times New Roman"/>
          <w:b/>
          <w:bCs/>
          <w:kern w:val="2"/>
          <w:sz w:val="21"/>
          <w:szCs w:val="21"/>
          <w:lang w:val="en-US" w:eastAsia="zh-CN" w:bidi="ar-SA"/>
        </w:rPr>
        <w:t>5</w:t>
      </w:r>
      <w:r>
        <w:rPr>
          <w:rFonts w:ascii="Times New Roman" w:hAnsi="Times New Roman" w:eastAsia="宋体" w:cs="Times New Roman"/>
          <w:b/>
          <w:bCs/>
          <w:kern w:val="2"/>
          <w:sz w:val="21"/>
          <w:szCs w:val="21"/>
          <w:lang w:val="en-US" w:eastAsia="zh-CN" w:bidi="ar-SA"/>
        </w:rPr>
        <w:t xml:space="preserve">  拟建公路</w:t>
      </w:r>
      <w:r>
        <w:rPr>
          <w:rFonts w:hint="eastAsia" w:ascii="Times New Roman" w:hAnsi="Times New Roman" w:eastAsia="宋体" w:cs="Times New Roman"/>
          <w:b/>
          <w:bCs/>
          <w:kern w:val="2"/>
          <w:sz w:val="21"/>
          <w:szCs w:val="21"/>
          <w:lang w:val="en-US" w:eastAsia="zh-CN" w:bidi="ar-SA"/>
        </w:rPr>
        <w:t>格达良乡</w:t>
      </w:r>
      <w:r>
        <w:rPr>
          <w:rFonts w:ascii="Times New Roman" w:hAnsi="Times New Roman" w:eastAsia="宋体" w:cs="Times New Roman"/>
          <w:b/>
          <w:bCs/>
          <w:kern w:val="2"/>
          <w:sz w:val="21"/>
          <w:szCs w:val="21"/>
          <w:lang w:val="en-US" w:eastAsia="zh-CN" w:bidi="ar-SA"/>
        </w:rPr>
        <w:t>规划路段营运近期（昼、夜间）平面等声级曲线图</w:t>
      </w:r>
    </w:p>
    <w:p w14:paraId="1DC98211">
      <w:pPr>
        <w:widowControl w:val="0"/>
        <w:spacing w:line="240" w:lineRule="auto"/>
        <w:ind w:firstLine="0" w:firstLineChars="0"/>
        <w:jc w:val="center"/>
        <w:rPr>
          <w:rFonts w:ascii="Times New Roman" w:hAnsi="Times New Roman" w:eastAsia="宋体" w:cs="Times New Roman"/>
          <w:b/>
          <w:bCs/>
          <w:kern w:val="2"/>
          <w:sz w:val="21"/>
          <w:szCs w:val="21"/>
          <w:lang w:val="en-US" w:eastAsia="zh-CN" w:bidi="ar-SA"/>
        </w:rPr>
      </w:pPr>
      <w:r>
        <w:rPr>
          <w:rFonts w:hint="eastAsia" w:ascii="Times New Roman" w:hAnsi="Times New Roman" w:eastAsia="宋体" w:cs="Times New Roman"/>
          <w:b/>
          <w:bCs/>
          <w:kern w:val="2"/>
          <w:sz w:val="24"/>
          <w:szCs w:val="21"/>
          <w:lang w:val="en-US" w:eastAsia="zh-CN" w:bidi="ar-SA"/>
        </w:rPr>
        <w:drawing>
          <wp:inline distT="0" distB="0" distL="0" distR="0">
            <wp:extent cx="5274310" cy="3444875"/>
            <wp:effectExtent l="0" t="0" r="2540" b="3175"/>
            <wp:docPr id="104"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104"/>
                    <pic:cNvPicPr>
                      <a:picLocks noChangeAspect="1" noChangeArrowheads="1"/>
                    </pic:cNvPicPr>
                  </pic:nvPicPr>
                  <pic:blipFill>
                    <a:blip r:embed="rId266" cstate="print"/>
                    <a:srcRect/>
                    <a:stretch>
                      <a:fillRect/>
                    </a:stretch>
                  </pic:blipFill>
                  <pic:spPr>
                    <a:xfrm>
                      <a:off x="0" y="0"/>
                      <a:ext cx="5274310" cy="3445155"/>
                    </a:xfrm>
                    <a:prstGeom prst="rect">
                      <a:avLst/>
                    </a:prstGeom>
                    <a:noFill/>
                    <a:ln w="9525">
                      <a:noFill/>
                      <a:miter lim="800000"/>
                      <a:headEnd/>
                      <a:tailEnd/>
                    </a:ln>
                  </pic:spPr>
                </pic:pic>
              </a:graphicData>
            </a:graphic>
          </wp:inline>
        </w:drawing>
      </w:r>
    </w:p>
    <w:p w14:paraId="3C915D38">
      <w:pPr>
        <w:widowControl w:val="0"/>
        <w:spacing w:line="240" w:lineRule="auto"/>
        <w:ind w:firstLine="0" w:firstLineChars="0"/>
        <w:jc w:val="center"/>
        <w:rPr>
          <w:rFonts w:ascii="Times New Roman" w:hAnsi="Times New Roman" w:eastAsia="宋体" w:cs="Times New Roman"/>
          <w:b/>
          <w:bCs/>
          <w:kern w:val="2"/>
          <w:sz w:val="21"/>
          <w:szCs w:val="21"/>
          <w:lang w:val="en-US" w:eastAsia="zh-CN" w:bidi="ar-SA"/>
        </w:rPr>
      </w:pPr>
      <w:r>
        <w:rPr>
          <w:rFonts w:ascii="Times New Roman" w:hAnsi="Times New Roman" w:eastAsia="宋体" w:cs="Times New Roman"/>
          <w:b/>
          <w:bCs/>
          <w:kern w:val="2"/>
          <w:sz w:val="24"/>
          <w:szCs w:val="21"/>
          <w:lang w:val="en-US" w:eastAsia="zh-CN" w:bidi="ar-SA"/>
        </w:rPr>
        <w:drawing>
          <wp:inline distT="0" distB="0" distL="0" distR="0">
            <wp:extent cx="5274310" cy="3454400"/>
            <wp:effectExtent l="0" t="0" r="2540" b="12700"/>
            <wp:docPr id="107"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107"/>
                    <pic:cNvPicPr>
                      <a:picLocks noChangeAspect="1" noChangeArrowheads="1"/>
                    </pic:cNvPicPr>
                  </pic:nvPicPr>
                  <pic:blipFill>
                    <a:blip r:embed="rId267" cstate="print"/>
                    <a:srcRect/>
                    <a:stretch>
                      <a:fillRect/>
                    </a:stretch>
                  </pic:blipFill>
                  <pic:spPr>
                    <a:xfrm>
                      <a:off x="0" y="0"/>
                      <a:ext cx="5274310" cy="3454897"/>
                    </a:xfrm>
                    <a:prstGeom prst="rect">
                      <a:avLst/>
                    </a:prstGeom>
                    <a:noFill/>
                    <a:ln w="9525">
                      <a:noFill/>
                      <a:miter lim="800000"/>
                      <a:headEnd/>
                      <a:tailEnd/>
                    </a:ln>
                  </pic:spPr>
                </pic:pic>
              </a:graphicData>
            </a:graphic>
          </wp:inline>
        </w:drawing>
      </w:r>
    </w:p>
    <w:p w14:paraId="71D800BB">
      <w:pPr>
        <w:widowControl w:val="0"/>
        <w:spacing w:beforeLines="50" w:afterLines="50" w:line="240" w:lineRule="auto"/>
        <w:ind w:firstLine="0" w:firstLineChars="0"/>
        <w:jc w:val="center"/>
        <w:rPr>
          <w:rFonts w:ascii="Times New Roman" w:hAnsi="Times New Roman" w:eastAsia="宋体" w:cs="Times New Roman"/>
          <w:b/>
          <w:bCs/>
          <w:kern w:val="2"/>
          <w:sz w:val="21"/>
          <w:szCs w:val="21"/>
          <w:lang w:val="en-US" w:eastAsia="zh-CN" w:bidi="ar-SA"/>
        </w:rPr>
      </w:pPr>
      <w:r>
        <w:rPr>
          <w:rFonts w:ascii="Times New Roman" w:hAnsi="Times New Roman" w:eastAsia="宋体" w:cs="Times New Roman"/>
          <w:b/>
          <w:bCs/>
          <w:kern w:val="2"/>
          <w:sz w:val="21"/>
          <w:szCs w:val="21"/>
          <w:lang w:val="en-US" w:eastAsia="zh-CN" w:bidi="ar-SA"/>
        </w:rPr>
        <w:t>图</w:t>
      </w:r>
      <w:r>
        <w:rPr>
          <w:rFonts w:hint="eastAsia" w:ascii="Times New Roman" w:hAnsi="Times New Roman" w:eastAsia="宋体" w:cs="Times New Roman"/>
          <w:b/>
          <w:bCs/>
          <w:kern w:val="2"/>
          <w:sz w:val="21"/>
          <w:szCs w:val="21"/>
          <w:lang w:val="en-US" w:eastAsia="zh-CN" w:bidi="ar-SA"/>
        </w:rPr>
        <w:t>4</w:t>
      </w:r>
      <w:r>
        <w:rPr>
          <w:rFonts w:ascii="Times New Roman" w:hAnsi="Times New Roman" w:eastAsia="宋体" w:cs="Times New Roman"/>
          <w:b/>
          <w:bCs/>
          <w:kern w:val="2"/>
          <w:sz w:val="21"/>
          <w:szCs w:val="21"/>
          <w:lang w:val="en-US" w:eastAsia="zh-CN" w:bidi="ar-SA"/>
        </w:rPr>
        <w:t>.2-</w:t>
      </w:r>
      <w:r>
        <w:rPr>
          <w:rFonts w:hint="eastAsia" w:ascii="Times New Roman" w:hAnsi="Times New Roman" w:eastAsia="宋体" w:cs="Times New Roman"/>
          <w:b/>
          <w:bCs/>
          <w:kern w:val="2"/>
          <w:sz w:val="21"/>
          <w:szCs w:val="21"/>
          <w:lang w:val="en-US" w:eastAsia="zh-CN" w:bidi="ar-SA"/>
        </w:rPr>
        <w:t>6</w:t>
      </w:r>
      <w:r>
        <w:rPr>
          <w:rFonts w:ascii="Times New Roman" w:hAnsi="Times New Roman" w:eastAsia="宋体" w:cs="Times New Roman"/>
          <w:b/>
          <w:bCs/>
          <w:kern w:val="2"/>
          <w:sz w:val="21"/>
          <w:szCs w:val="21"/>
          <w:lang w:val="en-US" w:eastAsia="zh-CN" w:bidi="ar-SA"/>
        </w:rPr>
        <w:t xml:space="preserve">  拟建公路</w:t>
      </w:r>
      <w:r>
        <w:rPr>
          <w:rFonts w:hint="eastAsia" w:ascii="Times New Roman" w:hAnsi="Times New Roman" w:eastAsia="宋体" w:cs="Times New Roman"/>
          <w:b/>
          <w:bCs/>
          <w:kern w:val="2"/>
          <w:sz w:val="21"/>
          <w:szCs w:val="21"/>
          <w:lang w:val="en-US" w:eastAsia="zh-CN" w:bidi="ar-SA"/>
        </w:rPr>
        <w:t>格达良乡</w:t>
      </w:r>
      <w:r>
        <w:rPr>
          <w:rFonts w:ascii="Times New Roman" w:hAnsi="Times New Roman" w:eastAsia="宋体" w:cs="Times New Roman"/>
          <w:b/>
          <w:bCs/>
          <w:kern w:val="2"/>
          <w:sz w:val="21"/>
          <w:szCs w:val="21"/>
          <w:lang w:val="en-US" w:eastAsia="zh-CN" w:bidi="ar-SA"/>
        </w:rPr>
        <w:t>规划路段营运中期（昼、夜间）平面等声级曲线图</w:t>
      </w:r>
    </w:p>
    <w:p w14:paraId="4E65C5D4">
      <w:pPr>
        <w:widowControl w:val="0"/>
        <w:spacing w:line="240" w:lineRule="auto"/>
        <w:ind w:firstLine="0" w:firstLineChars="0"/>
        <w:jc w:val="center"/>
        <w:rPr>
          <w:rFonts w:ascii="Times New Roman" w:hAnsi="Times New Roman" w:eastAsia="宋体" w:cs="Times New Roman"/>
          <w:bCs/>
          <w:kern w:val="2"/>
          <w:sz w:val="24"/>
          <w:szCs w:val="32"/>
          <w:lang w:val="en-US" w:eastAsia="zh-CN" w:bidi="ar-SA"/>
        </w:rPr>
      </w:pPr>
      <w:r>
        <w:rPr>
          <w:rFonts w:ascii="Times New Roman" w:hAnsi="Times New Roman" w:eastAsia="宋体" w:cs="Times New Roman"/>
          <w:bCs/>
          <w:kern w:val="2"/>
          <w:sz w:val="24"/>
          <w:szCs w:val="32"/>
          <w:lang w:val="en-US" w:eastAsia="zh-CN" w:bidi="ar-SA"/>
        </w:rPr>
        <w:pict>
          <v:group id="组合 2069" o:spid="_x0000_s1044" o:spt="203" style="position:absolute;left:0pt;margin-left:200.4pt;margin-top:32.2pt;height:104.25pt;width:65.85pt;z-index:251679744;mso-width-relative:page;mso-height-relative:page;" coordorigin="5670,4515" coordsize="1317,2085203">
            <o:lock v:ext="edit"/>
            <v:line id="直接连接符 42" o:spid="_x0000_s1045" o:spt="20" style="position:absolute;left:5670;top:4515;flip:y;height:2085;width:0;" o:connectortype="straigh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">
              <v:path arrowok="t"/>
              <v:fill focussize="0,0"/>
              <v:stroke weight="1pt" joinstyle="miter" dashstyle="dash"/>
              <v:imagedata o:title=""/>
              <o:lock v:ext="edit"/>
            </v:line>
            <v:shape id="文本框 43" o:spid="_x0000_s1046" o:spt="202" type="#_x0000_t202" style="position:absolute;left:5810;top:4713;height:417;width:1177;"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">
              <v:path/>
              <v:fill focussize="0,0"/>
              <v:stroke on="f" weight="0.5pt" joinstyle="miter"/>
              <v:imagedata o:title=""/>
              <o:lock v:ext="edit"/>
              <v:textbox>
                <w:txbxContent>
                  <w:p w14:paraId="2C68F9CB">
                    <w:pPr>
                      <w:rPr>
                        <w:rFonts w:ascii="Times New Roman" w:hAnsi="Times New Roman" w:eastAsia="宋体" w:cs="Times New Roman"/>
                      </w:rPr>
                    </w:pPr>
                    <w:r>
                      <w:rPr>
                        <w:rFonts w:hint="eastAsia" w:ascii="Times New Roman" w:hAnsi="Times New Roman" w:eastAsia="宋体" w:cs="Times New Roman"/>
                      </w:rPr>
                      <w:t>路中心线</w:t>
                    </w:r>
                  </w:p>
                </w:txbxContent>
              </v:textbox>
            </v:shape>
          </v:group>
        </w:pict>
      </w:r>
      <w:r>
        <w:rPr>
          <w:rFonts w:hint="eastAsia" w:ascii="Times New Roman" w:hAnsi="Times New Roman" w:eastAsia="宋体" w:cs="Times New Roman"/>
          <w:bCs/>
          <w:kern w:val="2"/>
          <w:sz w:val="24"/>
          <w:szCs w:val="32"/>
          <w:lang w:val="en-US" w:eastAsia="zh-CN" w:bidi="ar-SA"/>
        </w:rPr>
        <w:drawing>
          <wp:inline distT="0" distB="0" distL="0" distR="0">
            <wp:extent cx="5274310" cy="1651000"/>
            <wp:effectExtent l="0" t="0" r="2540" b="6350"/>
            <wp:docPr id="86"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86"/>
                    <pic:cNvPicPr>
                      <a:picLocks noChangeAspect="1" noChangeArrowheads="1"/>
                    </pic:cNvPicPr>
                  </pic:nvPicPr>
                  <pic:blipFill>
                    <a:blip r:embed="rId268" cstate="print"/>
                    <a:srcRect/>
                    <a:stretch>
                      <a:fillRect/>
                    </a:stretch>
                  </pic:blipFill>
                  <pic:spPr>
                    <a:xfrm>
                      <a:off x="0" y="0"/>
                      <a:ext cx="5274310" cy="1651447"/>
                    </a:xfrm>
                    <a:prstGeom prst="rect">
                      <a:avLst/>
                    </a:prstGeom>
                    <a:noFill/>
                    <a:ln w="9525">
                      <a:noFill/>
                      <a:miter lim="800000"/>
                      <a:headEnd/>
                      <a:tailEnd/>
                    </a:ln>
                  </pic:spPr>
                </pic:pic>
              </a:graphicData>
            </a:graphic>
          </wp:inline>
        </w:drawing>
      </w:r>
    </w:p>
    <w:p w14:paraId="49CFA609">
      <w:pPr>
        <w:widowControl w:val="0"/>
        <w:spacing w:line="240" w:lineRule="auto"/>
        <w:ind w:firstLine="0" w:firstLineChars="0"/>
        <w:jc w:val="center"/>
        <w:rPr>
          <w:rFonts w:ascii="Times New Roman" w:hAnsi="Times New Roman" w:eastAsia="宋体" w:cs="Times New Roman"/>
          <w:bCs/>
          <w:kern w:val="2"/>
          <w:sz w:val="24"/>
          <w:szCs w:val="32"/>
          <w:lang w:val="en-US" w:eastAsia="zh-CN" w:bidi="ar-SA"/>
        </w:rPr>
      </w:pPr>
      <w:r>
        <w:rPr>
          <w:rFonts w:ascii="Times New Roman" w:hAnsi="Times New Roman" w:eastAsia="宋体" w:cs="Times New Roman"/>
          <w:bCs/>
          <w:kern w:val="2"/>
          <w:sz w:val="24"/>
          <w:szCs w:val="32"/>
          <w:lang w:val="en-US" w:eastAsia="zh-CN" w:bidi="ar-SA"/>
        </w:rPr>
        <w:pict>
          <v:group id="组合 2072" o:spid="_x0000_s1047" o:spt="203" style="position:absolute;left:0pt;margin-left:199.65pt;margin-top:32.05pt;height:104.25pt;width:65.85pt;z-index:251680768;mso-width-relative:page;mso-height-relative:page;" coordorigin="5670,4515" coordsize="1317,2085203">
            <o:lock v:ext="edit"/>
            <v:line id="直接连接符 42" o:spid="_x0000_s1048" o:spt="20" style="position:absolute;left:5670;top:4515;flip:y;height:2085;width:0;" o:connectortype="straigh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">
              <v:path arrowok="t"/>
              <v:fill focussize="0,0"/>
              <v:stroke weight="1pt" joinstyle="miter" dashstyle="dash"/>
              <v:imagedata o:title=""/>
              <o:lock v:ext="edit"/>
            </v:line>
            <v:shape id="文本框 43" o:spid="_x0000_s1049" o:spt="202" type="#_x0000_t202" style="position:absolute;left:5810;top:4713;height:417;width:1177;"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">
              <v:path/>
              <v:fill focussize="0,0"/>
              <v:stroke on="f" weight="0.5pt" joinstyle="miter"/>
              <v:imagedata o:title=""/>
              <o:lock v:ext="edit"/>
              <v:textbox>
                <w:txbxContent>
                  <w:p w14:paraId="6F21B58C">
                    <w:pPr>
                      <w:rPr>
                        <w:rFonts w:ascii="Times New Roman" w:hAnsi="Times New Roman" w:eastAsia="宋体" w:cs="Times New Roman"/>
                      </w:rPr>
                    </w:pPr>
                    <w:r>
                      <w:rPr>
                        <w:rFonts w:hint="eastAsia" w:ascii="Times New Roman" w:hAnsi="Times New Roman" w:eastAsia="宋体" w:cs="Times New Roman"/>
                      </w:rPr>
                      <w:t>路中心线</w:t>
                    </w:r>
                  </w:p>
                </w:txbxContent>
              </v:textbox>
            </v:shape>
          </v:group>
        </w:pict>
      </w:r>
      <w:r>
        <w:rPr>
          <w:rFonts w:hint="eastAsia" w:ascii="Times New Roman" w:hAnsi="Times New Roman" w:eastAsia="宋体" w:cs="Times New Roman"/>
          <w:bCs/>
          <w:kern w:val="2"/>
          <w:sz w:val="24"/>
          <w:szCs w:val="32"/>
          <w:lang w:val="en-US" w:eastAsia="zh-CN" w:bidi="ar-SA"/>
        </w:rPr>
        <w:drawing>
          <wp:inline distT="0" distB="0" distL="0" distR="0">
            <wp:extent cx="5274310" cy="1648460"/>
            <wp:effectExtent l="0" t="0" r="2540" b="8890"/>
            <wp:docPr id="89"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89"/>
                    <pic:cNvPicPr>
                      <a:picLocks noChangeAspect="1" noChangeArrowheads="1"/>
                    </pic:cNvPicPr>
                  </pic:nvPicPr>
                  <pic:blipFill>
                    <a:blip r:embed="rId269" cstate="print"/>
                    <a:srcRect/>
                    <a:stretch>
                      <a:fillRect/>
                    </a:stretch>
                  </pic:blipFill>
                  <pic:spPr>
                    <a:xfrm>
                      <a:off x="0" y="0"/>
                      <a:ext cx="5274310" cy="1649083"/>
                    </a:xfrm>
                    <a:prstGeom prst="rect">
                      <a:avLst/>
                    </a:prstGeom>
                    <a:noFill/>
                    <a:ln w="9525">
                      <a:noFill/>
                      <a:miter lim="800000"/>
                      <a:headEnd/>
                      <a:tailEnd/>
                    </a:ln>
                  </pic:spPr>
                </pic:pic>
              </a:graphicData>
            </a:graphic>
          </wp:inline>
        </w:drawing>
      </w:r>
    </w:p>
    <w:p w14:paraId="3B661F1D">
      <w:pPr>
        <w:widowControl w:val="0"/>
        <w:spacing w:beforeLines="50" w:afterLines="50" w:line="240" w:lineRule="auto"/>
        <w:ind w:firstLine="0" w:firstLineChars="0"/>
        <w:jc w:val="center"/>
        <w:rPr>
          <w:rFonts w:ascii="Times New Roman" w:hAnsi="Times New Roman" w:eastAsia="宋体" w:cs="Times New Roman"/>
          <w:b/>
          <w:bCs/>
          <w:kern w:val="2"/>
          <w:sz w:val="21"/>
          <w:szCs w:val="21"/>
          <w:lang w:val="en-US" w:eastAsia="zh-CN" w:bidi="ar-SA"/>
        </w:rPr>
      </w:pPr>
      <w:r>
        <w:rPr>
          <w:rFonts w:ascii="Times New Roman" w:hAnsi="Times New Roman" w:eastAsia="宋体" w:cs="Times New Roman"/>
          <w:b/>
          <w:bCs/>
          <w:kern w:val="2"/>
          <w:sz w:val="21"/>
          <w:szCs w:val="21"/>
          <w:lang w:val="en-US" w:eastAsia="zh-CN" w:bidi="ar-SA"/>
        </w:rPr>
        <w:t>图</w:t>
      </w:r>
      <w:r>
        <w:rPr>
          <w:rFonts w:hint="eastAsia" w:ascii="Times New Roman" w:hAnsi="Times New Roman" w:eastAsia="宋体" w:cs="Times New Roman"/>
          <w:b/>
          <w:bCs/>
          <w:kern w:val="2"/>
          <w:sz w:val="21"/>
          <w:szCs w:val="21"/>
          <w:lang w:val="en-US" w:eastAsia="zh-CN" w:bidi="ar-SA"/>
        </w:rPr>
        <w:t>4</w:t>
      </w:r>
      <w:r>
        <w:rPr>
          <w:rFonts w:ascii="Times New Roman" w:hAnsi="Times New Roman" w:eastAsia="宋体" w:cs="Times New Roman"/>
          <w:b/>
          <w:bCs/>
          <w:kern w:val="2"/>
          <w:sz w:val="21"/>
          <w:szCs w:val="21"/>
          <w:lang w:val="en-US" w:eastAsia="zh-CN" w:bidi="ar-SA"/>
        </w:rPr>
        <w:t>.2-</w:t>
      </w:r>
      <w:r>
        <w:rPr>
          <w:rFonts w:hint="eastAsia" w:ascii="Times New Roman" w:hAnsi="Times New Roman" w:eastAsia="宋体" w:cs="Times New Roman"/>
          <w:b/>
          <w:bCs/>
          <w:kern w:val="2"/>
          <w:sz w:val="21"/>
          <w:szCs w:val="21"/>
          <w:lang w:val="en-US" w:eastAsia="zh-CN" w:bidi="ar-SA"/>
        </w:rPr>
        <w:t>7</w:t>
      </w:r>
      <w:r>
        <w:rPr>
          <w:rFonts w:ascii="Times New Roman" w:hAnsi="Times New Roman" w:eastAsia="宋体" w:cs="Times New Roman"/>
          <w:b/>
          <w:bCs/>
          <w:kern w:val="2"/>
          <w:sz w:val="21"/>
          <w:szCs w:val="21"/>
          <w:lang w:val="en-US" w:eastAsia="zh-CN" w:bidi="ar-SA"/>
        </w:rPr>
        <w:t xml:space="preserve">  拟建公路</w:t>
      </w:r>
      <w:r>
        <w:rPr>
          <w:rFonts w:hint="eastAsia" w:ascii="Times New Roman" w:hAnsi="Times New Roman" w:eastAsia="宋体" w:cs="Times New Roman"/>
          <w:b/>
          <w:bCs/>
          <w:kern w:val="2"/>
          <w:sz w:val="21"/>
          <w:szCs w:val="21"/>
          <w:lang w:val="en-US" w:eastAsia="zh-CN" w:bidi="ar-SA"/>
        </w:rPr>
        <w:t>格达良乡</w:t>
      </w:r>
      <w:r>
        <w:rPr>
          <w:rFonts w:ascii="Times New Roman" w:hAnsi="Times New Roman" w:eastAsia="宋体" w:cs="Times New Roman"/>
          <w:b/>
          <w:bCs/>
          <w:kern w:val="2"/>
          <w:sz w:val="21"/>
          <w:szCs w:val="21"/>
          <w:lang w:val="en-US" w:eastAsia="zh-CN" w:bidi="ar-SA"/>
        </w:rPr>
        <w:t>规划路段营运近期（昼、夜间）纵向等声级曲线图</w:t>
      </w:r>
    </w:p>
    <w:p w14:paraId="347F07FB">
      <w:pPr>
        <w:widowControl w:val="0"/>
        <w:spacing w:line="240" w:lineRule="auto"/>
        <w:ind w:firstLine="0" w:firstLineChars="0"/>
        <w:jc w:val="center"/>
        <w:rPr>
          <w:rFonts w:ascii="Times New Roman" w:hAnsi="Times New Roman" w:eastAsia="宋体" w:cs="Times New Roman"/>
          <w:bCs/>
          <w:kern w:val="2"/>
          <w:sz w:val="24"/>
          <w:szCs w:val="32"/>
          <w:lang w:val="en-US" w:eastAsia="zh-CN" w:bidi="ar-SA"/>
        </w:rPr>
      </w:pPr>
      <w:r>
        <w:rPr>
          <w:rFonts w:ascii="Times New Roman" w:hAnsi="Times New Roman" w:eastAsia="宋体" w:cs="Times New Roman"/>
          <w:bCs/>
          <w:kern w:val="2"/>
          <w:sz w:val="24"/>
          <w:szCs w:val="32"/>
          <w:lang w:val="en-US" w:eastAsia="zh-CN" w:bidi="ar-SA"/>
        </w:rPr>
        <w:pict>
          <v:group id="组合 2066" o:spid="_x0000_s1050" o:spt="203" style="position:absolute;left:0pt;margin-left:199.65pt;margin-top:32.25pt;height:104.25pt;width:65.85pt;z-index:251678720;mso-width-relative:page;mso-height-relative:page;" coordorigin="5670,4515" coordsize="1317,2085203">
            <o:lock v:ext="edit"/>
            <v:line id="直接连接符 42" o:spid="_x0000_s1051" o:spt="20" style="position:absolute;left:5670;top:4515;flip:y;height:2085;width:0;" o:connectortype="straigh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">
              <v:path arrowok="t"/>
              <v:fill focussize="0,0"/>
              <v:stroke weight="1pt" joinstyle="miter" dashstyle="dash"/>
              <v:imagedata o:title=""/>
              <o:lock v:ext="edit"/>
            </v:line>
            <v:shape id="文本框 43" o:spid="_x0000_s1052" o:spt="202" type="#_x0000_t202" style="position:absolute;left:5810;top:4713;height:417;width:1177;"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">
              <v:path/>
              <v:fill focussize="0,0"/>
              <v:stroke on="f" weight="0.5pt" joinstyle="miter"/>
              <v:imagedata o:title=""/>
              <o:lock v:ext="edit"/>
              <v:textbox>
                <w:txbxContent>
                  <w:p w14:paraId="4A88BCFA">
                    <w:pPr>
                      <w:rPr>
                        <w:rFonts w:ascii="Times New Roman" w:hAnsi="Times New Roman" w:eastAsia="宋体" w:cs="Times New Roman"/>
                      </w:rPr>
                    </w:pPr>
                    <w:r>
                      <w:rPr>
                        <w:rFonts w:hint="eastAsia" w:ascii="Times New Roman" w:hAnsi="Times New Roman" w:eastAsia="宋体" w:cs="Times New Roman"/>
                      </w:rPr>
                      <w:t>路中心线</w:t>
                    </w:r>
                  </w:p>
                </w:txbxContent>
              </v:textbox>
            </v:shape>
          </v:group>
        </w:pict>
      </w:r>
      <w:r>
        <w:rPr>
          <w:rFonts w:hint="eastAsia" w:ascii="Times New Roman" w:hAnsi="Times New Roman" w:eastAsia="宋体" w:cs="Times New Roman"/>
          <w:bCs/>
          <w:kern w:val="2"/>
          <w:sz w:val="24"/>
          <w:szCs w:val="32"/>
          <w:lang w:val="en-US" w:eastAsia="zh-CN" w:bidi="ar-SA"/>
        </w:rPr>
        <w:drawing>
          <wp:inline distT="0" distB="0" distL="0" distR="0">
            <wp:extent cx="5274310" cy="1640840"/>
            <wp:effectExtent l="0" t="0" r="2540" b="16510"/>
            <wp:docPr id="92"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92"/>
                    <pic:cNvPicPr>
                      <a:picLocks noChangeAspect="1" noChangeArrowheads="1"/>
                    </pic:cNvPicPr>
                  </pic:nvPicPr>
                  <pic:blipFill>
                    <a:blip r:embed="rId270" cstate="print"/>
                    <a:srcRect/>
                    <a:stretch>
                      <a:fillRect/>
                    </a:stretch>
                  </pic:blipFill>
                  <pic:spPr>
                    <a:xfrm>
                      <a:off x="0" y="0"/>
                      <a:ext cx="5274310" cy="1641126"/>
                    </a:xfrm>
                    <a:prstGeom prst="rect">
                      <a:avLst/>
                    </a:prstGeom>
                    <a:noFill/>
                    <a:ln w="9525">
                      <a:noFill/>
                      <a:miter lim="800000"/>
                      <a:headEnd/>
                      <a:tailEnd/>
                    </a:ln>
                  </pic:spPr>
                </pic:pic>
              </a:graphicData>
            </a:graphic>
          </wp:inline>
        </w:drawing>
      </w:r>
    </w:p>
    <w:p w14:paraId="576C2748">
      <w:pPr>
        <w:widowControl w:val="0"/>
        <w:spacing w:line="240" w:lineRule="auto"/>
        <w:ind w:firstLine="0" w:firstLineChars="0"/>
        <w:jc w:val="center"/>
        <w:rPr>
          <w:rFonts w:ascii="Times New Roman" w:hAnsi="Times New Roman" w:eastAsia="宋体" w:cs="Times New Roman"/>
          <w:bCs/>
          <w:kern w:val="2"/>
          <w:sz w:val="24"/>
          <w:szCs w:val="32"/>
          <w:lang w:val="en-US" w:eastAsia="zh-CN" w:bidi="ar-SA"/>
        </w:rPr>
      </w:pPr>
      <w:r>
        <w:rPr>
          <w:rFonts w:ascii="Times New Roman" w:hAnsi="Times New Roman" w:eastAsia="宋体" w:cs="Times New Roman"/>
          <w:bCs/>
          <w:kern w:val="2"/>
          <w:sz w:val="24"/>
          <w:szCs w:val="32"/>
          <w:lang w:val="en-US" w:eastAsia="zh-CN" w:bidi="ar-SA"/>
        </w:rPr>
        <w:pict>
          <v:group id="组合 2065" o:spid="_x0000_s1053" o:spt="203" style="position:absolute;left:0pt;margin-left:200.4pt;margin-top:33pt;height:104.25pt;width:65.85pt;z-index:251677696;mso-width-relative:page;mso-height-relative:page;" coordorigin="5670,4515" coordsize="1317,2085203">
            <o:lock v:ext="edit"/>
            <v:line id="直接连接符 42" o:spid="_x0000_s1054" o:spt="20" style="position:absolute;left:5670;top:4515;flip:y;height:2085;width:0;" o:connectortype="straigh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">
              <v:path arrowok="t"/>
              <v:fill focussize="0,0"/>
              <v:stroke weight="1pt" joinstyle="miter" dashstyle="dash"/>
              <v:imagedata o:title=""/>
              <o:lock v:ext="edit"/>
            </v:line>
            <v:shape id="文本框 43" o:spid="_x0000_s1055" o:spt="202" type="#_x0000_t202" style="position:absolute;left:5810;top:4713;height:417;width:1177;"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">
              <v:path/>
              <v:fill focussize="0,0"/>
              <v:stroke on="f" weight="0.5pt" joinstyle="miter"/>
              <v:imagedata o:title=""/>
              <o:lock v:ext="edit"/>
              <v:textbox>
                <w:txbxContent>
                  <w:p w14:paraId="2DF66C69">
                    <w:pPr>
                      <w:rPr>
                        <w:rFonts w:ascii="Times New Roman" w:hAnsi="Times New Roman" w:eastAsia="宋体" w:cs="Times New Roman"/>
                      </w:rPr>
                    </w:pPr>
                    <w:r>
                      <w:rPr>
                        <w:rFonts w:hint="eastAsia" w:ascii="Times New Roman" w:hAnsi="Times New Roman" w:eastAsia="宋体" w:cs="Times New Roman"/>
                      </w:rPr>
                      <w:t>路中心线</w:t>
                    </w:r>
                  </w:p>
                </w:txbxContent>
              </v:textbox>
            </v:shape>
          </v:group>
        </w:pict>
      </w:r>
      <w:r>
        <w:rPr>
          <w:rFonts w:ascii="Times New Roman" w:hAnsi="Times New Roman" w:eastAsia="宋体" w:cs="Times New Roman"/>
          <w:bCs/>
          <w:kern w:val="2"/>
          <w:sz w:val="24"/>
          <w:szCs w:val="32"/>
          <w:lang w:val="en-US" w:eastAsia="zh-CN" w:bidi="ar-SA"/>
        </w:rPr>
        <w:drawing>
          <wp:inline distT="0" distB="0" distL="0" distR="0">
            <wp:extent cx="5274310" cy="1648460"/>
            <wp:effectExtent l="0" t="0" r="2540" b="8890"/>
            <wp:docPr id="9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95"/>
                    <pic:cNvPicPr>
                      <a:picLocks noChangeAspect="1" noChangeArrowheads="1"/>
                    </pic:cNvPicPr>
                  </pic:nvPicPr>
                  <pic:blipFill>
                    <a:blip r:embed="rId271" cstate="print"/>
                    <a:srcRect/>
                    <a:stretch>
                      <a:fillRect/>
                    </a:stretch>
                  </pic:blipFill>
                  <pic:spPr>
                    <a:xfrm>
                      <a:off x="0" y="0"/>
                      <a:ext cx="5274310" cy="1648869"/>
                    </a:xfrm>
                    <a:prstGeom prst="rect">
                      <a:avLst/>
                    </a:prstGeom>
                    <a:noFill/>
                    <a:ln w="9525">
                      <a:noFill/>
                      <a:miter lim="800000"/>
                      <a:headEnd/>
                      <a:tailEnd/>
                    </a:ln>
                  </pic:spPr>
                </pic:pic>
              </a:graphicData>
            </a:graphic>
          </wp:inline>
        </w:drawing>
      </w:r>
    </w:p>
    <w:p w14:paraId="24F2BD94">
      <w:pPr>
        <w:widowControl w:val="0"/>
        <w:spacing w:beforeLines="50" w:afterLines="50" w:line="240" w:lineRule="auto"/>
        <w:ind w:firstLine="0" w:firstLineChars="0"/>
        <w:jc w:val="center"/>
        <w:rPr>
          <w:rFonts w:ascii="Times New Roman" w:hAnsi="Times New Roman" w:eastAsia="宋体" w:cs="Times New Roman"/>
          <w:b/>
          <w:bCs/>
          <w:kern w:val="2"/>
          <w:sz w:val="21"/>
          <w:szCs w:val="21"/>
          <w:lang w:val="en-US" w:eastAsia="zh-CN" w:bidi="ar-SA"/>
        </w:rPr>
      </w:pPr>
      <w:r>
        <w:rPr>
          <w:rFonts w:ascii="Times New Roman" w:hAnsi="Times New Roman" w:eastAsia="宋体" w:cs="Times New Roman"/>
          <w:b/>
          <w:bCs/>
          <w:kern w:val="2"/>
          <w:sz w:val="21"/>
          <w:szCs w:val="21"/>
          <w:lang w:val="en-US" w:eastAsia="zh-CN" w:bidi="ar-SA"/>
        </w:rPr>
        <w:t>图</w:t>
      </w:r>
      <w:r>
        <w:rPr>
          <w:rFonts w:hint="eastAsia" w:ascii="Times New Roman" w:hAnsi="Times New Roman" w:eastAsia="宋体" w:cs="Times New Roman"/>
          <w:b/>
          <w:bCs/>
          <w:kern w:val="2"/>
          <w:sz w:val="21"/>
          <w:szCs w:val="21"/>
          <w:lang w:val="en-US" w:eastAsia="zh-CN" w:bidi="ar-SA"/>
        </w:rPr>
        <w:t>4</w:t>
      </w:r>
      <w:r>
        <w:rPr>
          <w:rFonts w:ascii="Times New Roman" w:hAnsi="Times New Roman" w:eastAsia="宋体" w:cs="Times New Roman"/>
          <w:b/>
          <w:bCs/>
          <w:kern w:val="2"/>
          <w:sz w:val="21"/>
          <w:szCs w:val="21"/>
          <w:lang w:val="en-US" w:eastAsia="zh-CN" w:bidi="ar-SA"/>
        </w:rPr>
        <w:t>.2-</w:t>
      </w:r>
      <w:r>
        <w:rPr>
          <w:rFonts w:hint="eastAsia" w:ascii="Times New Roman" w:hAnsi="Times New Roman" w:eastAsia="宋体" w:cs="Times New Roman"/>
          <w:b/>
          <w:bCs/>
          <w:kern w:val="2"/>
          <w:sz w:val="21"/>
          <w:szCs w:val="21"/>
          <w:lang w:val="en-US" w:eastAsia="zh-CN" w:bidi="ar-SA"/>
        </w:rPr>
        <w:t>8</w:t>
      </w:r>
      <w:r>
        <w:rPr>
          <w:rFonts w:ascii="Times New Roman" w:hAnsi="Times New Roman" w:eastAsia="宋体" w:cs="Times New Roman"/>
          <w:b/>
          <w:bCs/>
          <w:kern w:val="2"/>
          <w:sz w:val="21"/>
          <w:szCs w:val="21"/>
          <w:lang w:val="en-US" w:eastAsia="zh-CN" w:bidi="ar-SA"/>
        </w:rPr>
        <w:t xml:space="preserve">  拟建公路</w:t>
      </w:r>
      <w:r>
        <w:rPr>
          <w:rFonts w:hint="eastAsia" w:ascii="Times New Roman" w:hAnsi="Times New Roman" w:eastAsia="宋体" w:cs="Times New Roman"/>
          <w:b/>
          <w:bCs/>
          <w:kern w:val="2"/>
          <w:sz w:val="21"/>
          <w:szCs w:val="21"/>
          <w:lang w:val="en-US" w:eastAsia="zh-CN" w:bidi="ar-SA"/>
        </w:rPr>
        <w:t>格达良乡</w:t>
      </w:r>
      <w:r>
        <w:rPr>
          <w:rFonts w:ascii="Times New Roman" w:hAnsi="Times New Roman" w:eastAsia="宋体" w:cs="Times New Roman"/>
          <w:b/>
          <w:bCs/>
          <w:kern w:val="2"/>
          <w:sz w:val="21"/>
          <w:szCs w:val="21"/>
          <w:lang w:val="en-US" w:eastAsia="zh-CN" w:bidi="ar-SA"/>
        </w:rPr>
        <w:t>规划路段营运</w:t>
      </w:r>
      <w:r>
        <w:rPr>
          <w:rFonts w:hint="eastAsia" w:ascii="Times New Roman" w:hAnsi="Times New Roman" w:eastAsia="宋体" w:cs="Times New Roman"/>
          <w:b/>
          <w:bCs/>
          <w:kern w:val="2"/>
          <w:sz w:val="21"/>
          <w:szCs w:val="21"/>
          <w:lang w:val="en-US" w:eastAsia="zh-CN" w:bidi="ar-SA"/>
        </w:rPr>
        <w:t>中</w:t>
      </w:r>
      <w:r>
        <w:rPr>
          <w:rFonts w:ascii="Times New Roman" w:hAnsi="Times New Roman" w:eastAsia="宋体" w:cs="Times New Roman"/>
          <w:b/>
          <w:bCs/>
          <w:kern w:val="2"/>
          <w:sz w:val="21"/>
          <w:szCs w:val="21"/>
          <w:lang w:val="en-US" w:eastAsia="zh-CN" w:bidi="ar-SA"/>
        </w:rPr>
        <w:t>期（昼、夜间）纵向等声级曲线图</w:t>
      </w:r>
    </w:p>
    <w:p w14:paraId="3CEFCF53">
      <w:pPr>
        <w:spacing w:line="300" w:lineRule="auto"/>
        <w:ind w:firstLine="480"/>
        <w:rPr>
          <w:rFonts w:ascii="Times New Roman" w:hAnsi="Times New Roman" w:eastAsia="宋体" w:cs="Times New Roman"/>
          <w:sz w:val="24"/>
        </w:rPr>
      </w:pPr>
      <w:r>
        <w:rPr>
          <w:rFonts w:ascii="Times New Roman" w:hAnsi="Times New Roman" w:eastAsia="宋体" w:cs="Times New Roman"/>
          <w:sz w:val="24"/>
        </w:rPr>
        <w:t xml:space="preserve"> 经预测，按4a类标准，该路段营运近、中期昼间达标距离＜20.0m～</w:t>
      </w:r>
      <w:r>
        <w:rPr>
          <w:rFonts w:hint="eastAsia" w:ascii="Times New Roman" w:hAnsi="Times New Roman" w:eastAsia="宋体" w:cs="Times New Roman"/>
          <w:sz w:val="24"/>
        </w:rPr>
        <w:t>21.1</w:t>
      </w:r>
      <w:r>
        <w:rPr>
          <w:rFonts w:ascii="Times New Roman" w:hAnsi="Times New Roman" w:eastAsia="宋体" w:cs="Times New Roman"/>
          <w:sz w:val="24"/>
        </w:rPr>
        <w:t>m，夜间达标距离为</w:t>
      </w:r>
      <w:r>
        <w:rPr>
          <w:rFonts w:hint="eastAsia" w:ascii="Times New Roman" w:hAnsi="Times New Roman" w:eastAsia="宋体" w:cs="Times New Roman"/>
          <w:sz w:val="24"/>
        </w:rPr>
        <w:t>87.7</w:t>
      </w:r>
      <w:r>
        <w:rPr>
          <w:rFonts w:ascii="Times New Roman" w:hAnsi="Times New Roman" w:eastAsia="宋体" w:cs="Times New Roman"/>
          <w:sz w:val="24"/>
        </w:rPr>
        <w:t>～</w:t>
      </w:r>
      <w:r>
        <w:rPr>
          <w:rFonts w:hint="eastAsia" w:ascii="Times New Roman" w:hAnsi="Times New Roman" w:eastAsia="宋体" w:cs="Times New Roman"/>
          <w:sz w:val="24"/>
        </w:rPr>
        <w:t>99.4</w:t>
      </w:r>
      <w:r>
        <w:rPr>
          <w:rFonts w:ascii="Times New Roman" w:hAnsi="Times New Roman" w:eastAsia="宋体" w:cs="Times New Roman"/>
          <w:sz w:val="24"/>
        </w:rPr>
        <w:t>m；按2类标准，该路段营运近、中期昼间达标距离为</w:t>
      </w:r>
      <w:r>
        <w:rPr>
          <w:rFonts w:hint="eastAsia" w:ascii="Times New Roman" w:hAnsi="Times New Roman" w:eastAsia="宋体" w:cs="Times New Roman"/>
          <w:sz w:val="24"/>
        </w:rPr>
        <w:t>73.1</w:t>
      </w:r>
      <w:r>
        <w:rPr>
          <w:rFonts w:ascii="Times New Roman" w:hAnsi="Times New Roman" w:eastAsia="宋体" w:cs="Times New Roman"/>
          <w:sz w:val="24"/>
        </w:rPr>
        <w:t>～</w:t>
      </w:r>
      <w:r>
        <w:rPr>
          <w:rFonts w:hint="eastAsia" w:ascii="Times New Roman" w:hAnsi="Times New Roman" w:eastAsia="宋体" w:cs="Times New Roman"/>
          <w:sz w:val="24"/>
        </w:rPr>
        <w:t>82.8</w:t>
      </w:r>
      <w:r>
        <w:rPr>
          <w:rFonts w:ascii="Times New Roman" w:hAnsi="Times New Roman" w:eastAsia="宋体" w:cs="Times New Roman"/>
          <w:sz w:val="24"/>
        </w:rPr>
        <w:t>m，夜间达标距离为</w:t>
      </w:r>
      <w:r>
        <w:rPr>
          <w:rFonts w:hint="eastAsia" w:ascii="Times New Roman" w:hAnsi="Times New Roman" w:eastAsia="宋体" w:cs="Times New Roman"/>
          <w:sz w:val="24"/>
        </w:rPr>
        <w:t>171.8</w:t>
      </w:r>
      <w:r>
        <w:rPr>
          <w:rFonts w:ascii="Times New Roman" w:hAnsi="Times New Roman" w:eastAsia="宋体" w:cs="Times New Roman"/>
          <w:sz w:val="24"/>
        </w:rPr>
        <w:t>～</w:t>
      </w:r>
      <w:r>
        <w:rPr>
          <w:rFonts w:hint="eastAsia" w:ascii="Times New Roman" w:hAnsi="Times New Roman" w:eastAsia="宋体" w:cs="Times New Roman"/>
          <w:sz w:val="24"/>
        </w:rPr>
        <w:t>189.7</w:t>
      </w:r>
      <w:r>
        <w:rPr>
          <w:rFonts w:ascii="Times New Roman" w:hAnsi="Times New Roman" w:eastAsia="宋体" w:cs="Times New Roman"/>
          <w:sz w:val="24"/>
        </w:rPr>
        <w:t>m。</w:t>
      </w:r>
    </w:p>
    <w:p w14:paraId="1410047F">
      <w:pPr>
        <w:spacing w:line="300" w:lineRule="auto"/>
        <w:ind w:firstLine="480"/>
        <w:rPr>
          <w:rFonts w:ascii="Times New Roman" w:hAnsi="Times New Roman" w:eastAsia="宋体" w:cs="Times New Roman"/>
          <w:sz w:val="24"/>
        </w:rPr>
      </w:pPr>
      <w:r>
        <w:rPr>
          <w:rFonts w:ascii="Times New Roman" w:hAnsi="Times New Roman" w:eastAsia="宋体" w:cs="Times New Roman"/>
          <w:sz w:val="24"/>
        </w:rPr>
        <w:t>根据预测结果，在拟建公路沿线区域在未采取降噪措施的情况下，建议</w:t>
      </w:r>
      <w:r>
        <w:rPr>
          <w:rFonts w:hint="eastAsia" w:ascii="Times New Roman" w:hAnsi="Times New Roman" w:eastAsia="宋体" w:cs="Times New Roman"/>
          <w:sz w:val="24"/>
        </w:rPr>
        <w:t>格达良乡</w:t>
      </w:r>
      <w:r>
        <w:rPr>
          <w:rFonts w:ascii="Times New Roman" w:hAnsi="Times New Roman" w:eastAsia="宋体" w:cs="Times New Roman"/>
          <w:sz w:val="24"/>
        </w:rPr>
        <w:t>规划路段距路中心线</w:t>
      </w:r>
      <w:r>
        <w:rPr>
          <w:rFonts w:hint="eastAsia" w:ascii="Times New Roman" w:hAnsi="Times New Roman" w:eastAsia="宋体" w:cs="Times New Roman"/>
          <w:sz w:val="24"/>
        </w:rPr>
        <w:t>190</w:t>
      </w:r>
      <w:r>
        <w:rPr>
          <w:rFonts w:ascii="Times New Roman" w:hAnsi="Times New Roman" w:eastAsia="宋体" w:cs="Times New Roman"/>
          <w:sz w:val="24"/>
        </w:rPr>
        <w:t>m以内区域的临路第一排房屋不宜作为居住用地，特别是学校、医院等特殊敏感建筑规划建设用地。如确需建设上述噪声敏感建筑物时，应自行采取降噪措施。</w:t>
      </w:r>
    </w:p>
    <w:p w14:paraId="0B88CA2A">
      <w:pPr>
        <w:spacing w:line="300" w:lineRule="auto"/>
        <w:rPr>
          <w:sz w:val="24"/>
        </w:rPr>
        <w:sectPr>
          <w:footerReference r:id="rId95" w:type="default"/>
          <w:footerReference r:id="rId96" w:type="even"/>
          <w:pgSz w:w="11906" w:h="16838"/>
          <w:pgMar w:top="1440" w:right="1800" w:bottom="1560" w:left="1800" w:header="851" w:footer="992" w:gutter="0"/>
          <w:pgBorders>
            <w:top w:val="none" w:sz="0" w:space="0"/>
            <w:left w:val="none" w:sz="0" w:space="0"/>
            <w:bottom w:val="none" w:sz="0" w:space="0"/>
            <w:right w:val="none" w:sz="0" w:space="0"/>
          </w:pgBorders>
          <w:cols w:space="720" w:num="1"/>
          <w:docGrid w:type="lines" w:linePitch="312" w:charSpace="0"/>
        </w:sectPr>
      </w:pPr>
    </w:p>
    <w:p w14:paraId="143C4CE6">
      <w:pPr>
        <w:keepNext/>
        <w:keepLines/>
        <w:widowControl w:val="0"/>
        <w:tabs>
          <w:tab w:val="center" w:pos="4252"/>
          <w:tab w:val="left" w:pos="6855"/>
        </w:tabs>
        <w:spacing w:before="480" w:after="480"/>
        <w:jc w:val="center"/>
        <w:outlineLvl w:val="0"/>
        <w:rPr>
          <w:rFonts w:ascii="Times New Roman" w:hAnsi="Times New Roman" w:eastAsia="黑体" w:cs="Times New Roman"/>
          <w:snapToGrid w:val="0"/>
          <w:kern w:val="0"/>
          <w:sz w:val="32"/>
          <w:szCs w:val="32"/>
          <w:lang w:val="en-US" w:eastAsia="zh-CN" w:bidi="ar-SA"/>
        </w:rPr>
      </w:pPr>
      <w:r>
        <w:rPr>
          <w:rFonts w:ascii="Times New Roman" w:hAnsi="Times New Roman" w:eastAsia="黑体" w:cs="Times New Roman"/>
          <w:snapToGrid w:val="0"/>
          <w:kern w:val="0"/>
          <w:sz w:val="32"/>
          <w:szCs w:val="32"/>
          <w:lang w:val="en-US" w:eastAsia="zh-CN" w:bidi="ar-SA"/>
        </w:rPr>
        <w:t>5 声环境保护措施</w:t>
      </w:r>
      <w:bookmarkEnd w:id="227"/>
    </w:p>
    <w:p w14:paraId="1E70D142">
      <w:pPr>
        <w:keepNext/>
        <w:keepLines/>
        <w:widowControl w:val="0"/>
        <w:adjustRightInd w:val="0"/>
        <w:spacing w:before="240" w:after="240" w:line="240" w:lineRule="auto"/>
        <w:jc w:val="both"/>
        <w:textAlignment w:val="baseline"/>
        <w:outlineLvl w:val="1"/>
        <w:rPr>
          <w:rFonts w:ascii="Times New Roman" w:hAnsi="Times New Roman" w:eastAsia="宋体" w:cs="Times New Roman"/>
          <w:b/>
          <w:bCs/>
          <w:kern w:val="0"/>
          <w:sz w:val="28"/>
          <w:szCs w:val="32"/>
          <w:lang w:val="en-US" w:eastAsia="zh-CN" w:bidi="ar-SA"/>
        </w:rPr>
      </w:pPr>
      <w:bookmarkStart w:id="228" w:name="_Toc187528264"/>
      <w:r>
        <w:rPr>
          <w:rFonts w:ascii="Times New Roman" w:hAnsi="Times New Roman" w:eastAsia="宋体" w:cs="Times New Roman"/>
          <w:b/>
          <w:bCs/>
          <w:kern w:val="0"/>
          <w:sz w:val="28"/>
          <w:szCs w:val="32"/>
          <w:lang w:val="en-US" w:eastAsia="zh-CN" w:bidi="ar-SA"/>
        </w:rPr>
        <w:t xml:space="preserve">5.1 </w:t>
      </w:r>
      <w:r>
        <w:rPr>
          <w:rFonts w:hint="eastAsia" w:ascii="Times New Roman" w:hAnsi="Times New Roman" w:eastAsia="宋体" w:cs="Times New Roman"/>
          <w:b/>
          <w:bCs/>
          <w:kern w:val="0"/>
          <w:sz w:val="28"/>
          <w:szCs w:val="32"/>
          <w:lang w:val="en-US" w:eastAsia="zh-CN" w:bidi="ar-SA"/>
        </w:rPr>
        <w:t>设计</w:t>
      </w:r>
      <w:r>
        <w:rPr>
          <w:rFonts w:ascii="Times New Roman" w:hAnsi="Times New Roman" w:eastAsia="宋体" w:cs="Times New Roman"/>
          <w:b/>
          <w:bCs/>
          <w:kern w:val="0"/>
          <w:sz w:val="28"/>
          <w:szCs w:val="32"/>
          <w:lang w:val="en-US" w:eastAsia="zh-CN" w:bidi="ar-SA"/>
        </w:rPr>
        <w:t>期声污染防治措施</w:t>
      </w:r>
      <w:bookmarkEnd w:id="228"/>
    </w:p>
    <w:p w14:paraId="71BD46B3">
      <w:pPr>
        <w:spacing w:line="300"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1.</w:t>
      </w:r>
      <w:r>
        <w:rPr>
          <w:rFonts w:ascii="Times New Roman" w:hAnsi="Times New Roman" w:eastAsia="宋体" w:cs="Times New Roman"/>
          <w:sz w:val="24"/>
        </w:rPr>
        <w:t xml:space="preserve"> 进一步优化调整局部路线设计方案，使路线远离声环境保护目标。开工前，组织进行沿线</w:t>
      </w:r>
      <w:r>
        <w:rPr>
          <w:rFonts w:hint="eastAsia" w:ascii="Times New Roman" w:hAnsi="Times New Roman" w:eastAsia="宋体" w:cs="Times New Roman"/>
          <w:sz w:val="24"/>
          <w:lang w:eastAsia="zh-CN"/>
        </w:rPr>
        <w:t>声</w:t>
      </w:r>
      <w:r>
        <w:rPr>
          <w:rFonts w:ascii="Times New Roman" w:hAnsi="Times New Roman" w:eastAsia="宋体" w:cs="Times New Roman"/>
          <w:sz w:val="24"/>
        </w:rPr>
        <w:t>环境保护目标调查工作。</w:t>
      </w:r>
    </w:p>
    <w:p w14:paraId="471ABE04">
      <w:pPr>
        <w:spacing w:line="300"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2.</w:t>
      </w:r>
      <w:r>
        <w:rPr>
          <w:rFonts w:ascii="Times New Roman" w:hAnsi="Times New Roman" w:eastAsia="宋体" w:cs="Times New Roman"/>
          <w:sz w:val="24"/>
        </w:rPr>
        <w:t xml:space="preserve"> 在选线时限于当地条件所致实在无法避让或从技术经济论证避让不可行时，对受影响的声环境保护目标从公路设计时就应考虑减噪措施，并应委托有资质的单位进行专门的噪声防护设计。</w:t>
      </w:r>
    </w:p>
    <w:p w14:paraId="08CF3F14">
      <w:pPr>
        <w:spacing w:line="300"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 xml:space="preserve">3. </w:t>
      </w:r>
      <w:r>
        <w:rPr>
          <w:rFonts w:ascii="Times New Roman" w:hAnsi="Times New Roman" w:eastAsia="宋体" w:cs="Times New Roman"/>
          <w:sz w:val="24"/>
        </w:rPr>
        <w:t>合理设计材料运输路线，尽量远离居民区，避免噪声等影响居民。</w:t>
      </w:r>
    </w:p>
    <w:p w14:paraId="25BAC368">
      <w:pPr>
        <w:widowControl w:val="0"/>
        <w:spacing w:after="0" w:line="300" w:lineRule="auto"/>
        <w:ind w:left="0" w:leftChars="0" w:firstLine="480" w:firstLineChars="200"/>
        <w:jc w:val="both"/>
        <w:rPr>
          <w:rFonts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4.</w:t>
      </w:r>
      <w:r>
        <w:rPr>
          <w:rFonts w:ascii="Times New Roman" w:hAnsi="Times New Roman" w:eastAsia="宋体" w:cs="Times New Roman"/>
          <w:kern w:val="2"/>
          <w:sz w:val="24"/>
          <w:szCs w:val="24"/>
          <w:lang w:val="en-US" w:eastAsia="zh-CN" w:bidi="ar-SA"/>
        </w:rPr>
        <w:t xml:space="preserve"> 根据本报告提出的声环境影响减缓措施和原则，对营运中期预测超标严重的声环境保护目标进行降噪措施设计，针对不同的声环境保护目标采取声屏障、限速、隔声窗</w:t>
      </w:r>
      <w:r>
        <w:rPr>
          <w:rFonts w:hint="eastAsia" w:ascii="Times New Roman" w:hAnsi="Times New Roman" w:eastAsia="宋体" w:cs="Times New Roman"/>
          <w:kern w:val="2"/>
          <w:sz w:val="24"/>
          <w:szCs w:val="24"/>
          <w:lang w:val="en-US" w:eastAsia="zh-CN" w:bidi="ar-SA"/>
        </w:rPr>
        <w:t>等</w:t>
      </w:r>
      <w:r>
        <w:rPr>
          <w:rFonts w:ascii="Times New Roman" w:hAnsi="Times New Roman" w:eastAsia="宋体" w:cs="Times New Roman"/>
          <w:kern w:val="2"/>
          <w:sz w:val="24"/>
          <w:szCs w:val="24"/>
          <w:lang w:val="en-US" w:eastAsia="zh-CN" w:bidi="ar-SA"/>
        </w:rPr>
        <w:t>降噪措施，并进行技术经济论证。</w:t>
      </w:r>
    </w:p>
    <w:p w14:paraId="25B4716A">
      <w:pPr>
        <w:widowControl w:val="0"/>
        <w:spacing w:after="0" w:line="300" w:lineRule="auto"/>
        <w:ind w:left="0" w:leftChars="0" w:firstLine="480" w:firstLineChars="200"/>
        <w:jc w:val="both"/>
        <w:rPr>
          <w:rFonts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 xml:space="preserve">5. </w:t>
      </w:r>
      <w:r>
        <w:rPr>
          <w:rFonts w:ascii="Times New Roman" w:hAnsi="Times New Roman" w:eastAsia="宋体" w:cs="Times New Roman"/>
          <w:kern w:val="2"/>
          <w:sz w:val="24"/>
          <w:szCs w:val="24"/>
          <w:lang w:val="en-US" w:eastAsia="zh-CN" w:bidi="ar-SA"/>
        </w:rPr>
        <w:t>预制厂及拌和站等临时工程设施的选址应远离学校、医院和居民点。</w:t>
      </w:r>
    </w:p>
    <w:p w14:paraId="5CB963BD">
      <w:pPr>
        <w:keepNext/>
        <w:keepLines/>
        <w:widowControl w:val="0"/>
        <w:adjustRightInd w:val="0"/>
        <w:spacing w:before="240" w:after="240" w:line="240" w:lineRule="auto"/>
        <w:jc w:val="both"/>
        <w:textAlignment w:val="baseline"/>
        <w:outlineLvl w:val="1"/>
        <w:rPr>
          <w:rFonts w:ascii="Times New Roman" w:hAnsi="Times New Roman" w:eastAsia="宋体" w:cs="Times New Roman"/>
          <w:b/>
          <w:bCs/>
          <w:kern w:val="0"/>
          <w:sz w:val="28"/>
          <w:szCs w:val="32"/>
          <w:lang w:val="en-US" w:eastAsia="zh-CN" w:bidi="ar-SA"/>
        </w:rPr>
      </w:pPr>
      <w:bookmarkStart w:id="229" w:name="_Toc187528265"/>
      <w:r>
        <w:rPr>
          <w:rFonts w:ascii="Times New Roman" w:hAnsi="Times New Roman" w:eastAsia="宋体" w:cs="Times New Roman"/>
          <w:b/>
          <w:bCs/>
          <w:kern w:val="0"/>
          <w:sz w:val="28"/>
          <w:szCs w:val="32"/>
          <w:lang w:val="en-US" w:eastAsia="zh-CN" w:bidi="ar-SA"/>
        </w:rPr>
        <w:t>5.</w:t>
      </w:r>
      <w:r>
        <w:rPr>
          <w:rFonts w:hint="eastAsia" w:ascii="Times New Roman" w:hAnsi="Times New Roman" w:eastAsia="宋体" w:cs="Times New Roman"/>
          <w:b/>
          <w:bCs/>
          <w:kern w:val="0"/>
          <w:sz w:val="28"/>
          <w:szCs w:val="32"/>
          <w:lang w:val="en-US" w:eastAsia="zh-CN" w:bidi="ar-SA"/>
        </w:rPr>
        <w:t>2</w:t>
      </w:r>
      <w:r>
        <w:rPr>
          <w:rFonts w:ascii="Times New Roman" w:hAnsi="Times New Roman" w:eastAsia="宋体" w:cs="Times New Roman"/>
          <w:b/>
          <w:bCs/>
          <w:kern w:val="0"/>
          <w:sz w:val="28"/>
          <w:szCs w:val="32"/>
          <w:lang w:val="en-US" w:eastAsia="zh-CN" w:bidi="ar-SA"/>
        </w:rPr>
        <w:t xml:space="preserve"> 施工期声污染防治措施</w:t>
      </w:r>
      <w:bookmarkEnd w:id="229"/>
    </w:p>
    <w:p w14:paraId="69102BF5">
      <w:pPr>
        <w:spacing w:line="300" w:lineRule="auto"/>
        <w:ind w:firstLine="480" w:firstLineChars="200"/>
        <w:rPr>
          <w:rFonts w:ascii="Times New Roman" w:hAnsi="Times New Roman" w:eastAsia="宋体" w:cs="Times New Roman"/>
          <w:color w:val="auto"/>
          <w:sz w:val="24"/>
          <w:szCs w:val="22"/>
        </w:rPr>
      </w:pPr>
      <w:bookmarkStart w:id="230" w:name="_Toc187528266"/>
      <w:r>
        <w:rPr>
          <w:rFonts w:hint="eastAsia" w:ascii="Times New Roman" w:hAnsi="Times New Roman" w:eastAsia="宋体" w:cs="Times New Roman"/>
          <w:color w:val="auto"/>
          <w:sz w:val="24"/>
          <w:szCs w:val="22"/>
        </w:rPr>
        <w:t>为有效控制施工期噪声环境影响，保护沿线学校、卫生院、居民区等敏感目标，需全面落实以下综合防治措施：</w:t>
      </w:r>
    </w:p>
    <w:p w14:paraId="1DBCC444">
      <w:pPr>
        <w:spacing w:line="300" w:lineRule="auto"/>
        <w:ind w:firstLine="480" w:firstLineChars="200"/>
        <w:rPr>
          <w:rFonts w:ascii="Times New Roman" w:hAnsi="Times New Roman" w:eastAsia="宋体" w:cs="Times New Roman"/>
          <w:color w:val="auto"/>
          <w:sz w:val="24"/>
          <w:szCs w:val="22"/>
        </w:rPr>
      </w:pPr>
      <w:r>
        <w:rPr>
          <w:rFonts w:hint="eastAsia" w:ascii="Times New Roman" w:hAnsi="Times New Roman" w:eastAsia="宋体" w:cs="Times New Roman"/>
          <w:color w:val="auto"/>
          <w:sz w:val="24"/>
          <w:szCs w:val="22"/>
        </w:rPr>
        <w:t>1. 源头控制与设备管理</w:t>
      </w:r>
    </w:p>
    <w:p w14:paraId="7673762B">
      <w:pPr>
        <w:spacing w:line="300" w:lineRule="auto"/>
        <w:ind w:firstLine="480" w:firstLineChars="200"/>
        <w:rPr>
          <w:rFonts w:ascii="Times New Roman" w:hAnsi="Times New Roman" w:eastAsia="宋体" w:cs="Times New Roman"/>
          <w:color w:val="auto"/>
          <w:sz w:val="24"/>
          <w:szCs w:val="22"/>
        </w:rPr>
      </w:pPr>
      <w:r>
        <w:rPr>
          <w:rFonts w:hint="eastAsia" w:ascii="Times New Roman" w:hAnsi="Times New Roman" w:eastAsia="宋体" w:cs="Times New Roman"/>
          <w:color w:val="auto"/>
          <w:sz w:val="24"/>
          <w:szCs w:val="22"/>
        </w:rPr>
        <w:t>施工单位须选用符合国家标准的低噪声、低振动施工机械与工艺，优先使用新能源或国三及以上排放标准的设备。积极推广新能源重型运输车。对振动较大的固定设备应加装减振基座，对发电机等强固定噪声源应加装隔声罩或可移动全封闭隔声罩。同时，必须加强所有施工设备和车辆的维护保养，确保其良好运行状态。</w:t>
      </w:r>
    </w:p>
    <w:p w14:paraId="74217A65">
      <w:pPr>
        <w:spacing w:line="300" w:lineRule="auto"/>
        <w:ind w:firstLine="480" w:firstLineChars="200"/>
        <w:rPr>
          <w:rFonts w:ascii="Times New Roman" w:hAnsi="Times New Roman" w:eastAsia="宋体" w:cs="Times New Roman"/>
          <w:color w:val="auto"/>
          <w:sz w:val="24"/>
          <w:szCs w:val="22"/>
        </w:rPr>
      </w:pPr>
      <w:r>
        <w:rPr>
          <w:rFonts w:hint="eastAsia" w:ascii="Times New Roman" w:hAnsi="Times New Roman" w:eastAsia="宋体" w:cs="Times New Roman"/>
          <w:color w:val="auto"/>
          <w:sz w:val="24"/>
          <w:szCs w:val="22"/>
        </w:rPr>
        <w:t>2. 施工组织与作业优化（分时段、分区域）</w:t>
      </w:r>
    </w:p>
    <w:p w14:paraId="4A36D9D8">
      <w:pPr>
        <w:spacing w:line="300" w:lineRule="auto"/>
        <w:ind w:firstLine="480" w:firstLineChars="200"/>
        <w:rPr>
          <w:rFonts w:ascii="Times New Roman" w:hAnsi="Times New Roman" w:eastAsia="宋体" w:cs="Times New Roman"/>
          <w:color w:val="auto"/>
          <w:sz w:val="24"/>
          <w:szCs w:val="22"/>
        </w:rPr>
      </w:pPr>
      <w:r>
        <w:rPr>
          <w:rFonts w:ascii="Times New Roman" w:hAnsi="Times New Roman" w:eastAsia="宋体" w:cs="Times New Roman"/>
          <w:color w:val="auto"/>
          <w:sz w:val="24"/>
          <w:szCs w:val="22"/>
        </w:rPr>
        <w:fldChar w:fldCharType="begin"/>
      </w:r>
      <w:r>
        <w:rPr>
          <w:rFonts w:ascii="Times New Roman" w:hAnsi="Times New Roman" w:eastAsia="宋体" w:cs="Times New Roman"/>
          <w:color w:val="auto"/>
          <w:sz w:val="24"/>
          <w:szCs w:val="22"/>
        </w:rPr>
        <w:instrText xml:space="preserve"> </w:instrText>
      </w:r>
      <w:r>
        <w:rPr>
          <w:rFonts w:hint="eastAsia" w:ascii="Times New Roman" w:hAnsi="Times New Roman" w:eastAsia="宋体" w:cs="Times New Roman"/>
          <w:color w:val="auto"/>
          <w:sz w:val="24"/>
          <w:szCs w:val="22"/>
        </w:rPr>
        <w:instrText xml:space="preserve">= 1 \* GB3</w:instrText>
      </w:r>
      <w:r>
        <w:rPr>
          <w:rFonts w:ascii="Times New Roman" w:hAnsi="Times New Roman" w:eastAsia="宋体" w:cs="Times New Roman"/>
          <w:color w:val="auto"/>
          <w:sz w:val="24"/>
          <w:szCs w:val="22"/>
        </w:rPr>
        <w:instrText xml:space="preserve"> </w:instrText>
      </w:r>
      <w:r>
        <w:rPr>
          <w:rFonts w:ascii="Times New Roman" w:hAnsi="Times New Roman" w:eastAsia="宋体" w:cs="Times New Roman"/>
          <w:color w:val="auto"/>
          <w:sz w:val="24"/>
          <w:szCs w:val="22"/>
        </w:rPr>
        <w:fldChar w:fldCharType="separate"/>
      </w:r>
      <w:r>
        <w:rPr>
          <w:rFonts w:hint="eastAsia" w:ascii="Times New Roman" w:hAnsi="Times New Roman" w:eastAsia="宋体" w:cs="Times New Roman"/>
          <w:color w:val="auto"/>
          <w:sz w:val="24"/>
          <w:szCs w:val="22"/>
        </w:rPr>
        <w:t>①</w:t>
      </w:r>
      <w:r>
        <w:rPr>
          <w:rFonts w:ascii="Times New Roman" w:hAnsi="Times New Roman" w:eastAsia="宋体" w:cs="Times New Roman"/>
          <w:color w:val="auto"/>
          <w:sz w:val="24"/>
          <w:szCs w:val="22"/>
        </w:rPr>
        <w:fldChar w:fldCharType="end"/>
      </w:r>
      <w:r>
        <w:rPr>
          <w:rFonts w:ascii="Times New Roman" w:hAnsi="Times New Roman" w:eastAsia="宋体" w:cs="Times New Roman"/>
          <w:color w:val="auto"/>
          <w:sz w:val="24"/>
          <w:szCs w:val="22"/>
        </w:rPr>
        <w:t xml:space="preserve"> </w:t>
      </w:r>
      <w:r>
        <w:rPr>
          <w:rFonts w:hint="eastAsia" w:ascii="Times New Roman" w:hAnsi="Times New Roman" w:eastAsia="宋体" w:cs="Times New Roman"/>
          <w:color w:val="auto"/>
          <w:sz w:val="24"/>
          <w:szCs w:val="22"/>
        </w:rPr>
        <w:t>学校路段：</w:t>
      </w:r>
      <w:r>
        <w:rPr>
          <w:rFonts w:ascii="Times New Roman" w:hAnsi="Times New Roman" w:eastAsia="宋体" w:cs="Times New Roman"/>
          <w:color w:val="auto"/>
          <w:sz w:val="24"/>
          <w:szCs w:val="22"/>
        </w:rPr>
        <w:t>充分利用清晨课前、放学后及周末、节假日等非教学窗口期，统筹安排</w:t>
      </w:r>
      <w:r>
        <w:rPr>
          <w:rFonts w:hint="eastAsia" w:ascii="Times New Roman" w:hAnsi="Times New Roman" w:eastAsia="宋体" w:cs="Times New Roman"/>
          <w:color w:val="auto"/>
          <w:sz w:val="24"/>
          <w:szCs w:val="22"/>
        </w:rPr>
        <w:t>路基开挖、</w:t>
      </w:r>
      <w:r>
        <w:rPr>
          <w:rFonts w:ascii="Times New Roman" w:hAnsi="Times New Roman" w:eastAsia="宋体" w:cs="Times New Roman"/>
          <w:color w:val="auto"/>
          <w:sz w:val="24"/>
          <w:szCs w:val="22"/>
        </w:rPr>
        <w:t>路面碾压、</w:t>
      </w:r>
      <w:r>
        <w:rPr>
          <w:rFonts w:hint="eastAsia" w:ascii="Times New Roman" w:hAnsi="Times New Roman" w:eastAsia="宋体" w:cs="Times New Roman"/>
          <w:color w:val="auto"/>
          <w:sz w:val="24"/>
          <w:szCs w:val="22"/>
        </w:rPr>
        <w:t>破碎等强振动、高噪声</w:t>
      </w:r>
      <w:r>
        <w:rPr>
          <w:rFonts w:ascii="Times New Roman" w:hAnsi="Times New Roman" w:eastAsia="宋体" w:cs="Times New Roman"/>
          <w:color w:val="auto"/>
          <w:sz w:val="24"/>
          <w:szCs w:val="22"/>
        </w:rPr>
        <w:t>施工工序，最大化降低施工工期与教学时段的冲突。</w:t>
      </w:r>
      <w:r>
        <w:rPr>
          <w:rFonts w:hint="eastAsia" w:ascii="Times New Roman" w:hAnsi="Times New Roman" w:eastAsia="宋体" w:cs="Times New Roman"/>
          <w:color w:val="auto"/>
          <w:sz w:val="24"/>
          <w:szCs w:val="22"/>
        </w:rPr>
        <w:t>教学日期间，严禁在上课（</w:t>
      </w:r>
      <w:r>
        <w:rPr>
          <w:rFonts w:ascii="Times New Roman" w:hAnsi="Times New Roman" w:eastAsia="宋体" w:cs="Times New Roman"/>
          <w:color w:val="auto"/>
          <w:sz w:val="24"/>
          <w:szCs w:val="22"/>
        </w:rPr>
        <w:t>常规09:00-1</w:t>
      </w:r>
      <w:r>
        <w:rPr>
          <w:rFonts w:hint="eastAsia" w:ascii="Times New Roman" w:hAnsi="Times New Roman" w:eastAsia="宋体" w:cs="Times New Roman"/>
          <w:color w:val="auto"/>
          <w:sz w:val="24"/>
          <w:szCs w:val="22"/>
        </w:rPr>
        <w:t>3</w:t>
      </w:r>
      <w:r>
        <w:rPr>
          <w:rFonts w:ascii="Times New Roman" w:hAnsi="Times New Roman" w:eastAsia="宋体" w:cs="Times New Roman"/>
          <w:color w:val="auto"/>
          <w:sz w:val="24"/>
          <w:szCs w:val="22"/>
        </w:rPr>
        <w:t>:00、1</w:t>
      </w:r>
      <w:r>
        <w:rPr>
          <w:rFonts w:hint="eastAsia" w:ascii="Times New Roman" w:hAnsi="Times New Roman" w:eastAsia="宋体" w:cs="Times New Roman"/>
          <w:color w:val="auto"/>
          <w:sz w:val="24"/>
          <w:szCs w:val="22"/>
        </w:rPr>
        <w:t>5</w:t>
      </w:r>
      <w:r>
        <w:rPr>
          <w:rFonts w:ascii="Times New Roman" w:hAnsi="Times New Roman" w:eastAsia="宋体" w:cs="Times New Roman"/>
          <w:color w:val="auto"/>
          <w:sz w:val="24"/>
          <w:szCs w:val="22"/>
        </w:rPr>
        <w:t>:00-1</w:t>
      </w:r>
      <w:r>
        <w:rPr>
          <w:rFonts w:hint="eastAsia" w:ascii="Times New Roman" w:hAnsi="Times New Roman" w:eastAsia="宋体" w:cs="Times New Roman"/>
          <w:color w:val="auto"/>
          <w:sz w:val="24"/>
          <w:szCs w:val="22"/>
        </w:rPr>
        <w:t>9</w:t>
      </w:r>
      <w:r>
        <w:rPr>
          <w:rFonts w:ascii="Times New Roman" w:hAnsi="Times New Roman" w:eastAsia="宋体" w:cs="Times New Roman"/>
          <w:color w:val="auto"/>
          <w:sz w:val="24"/>
          <w:szCs w:val="22"/>
        </w:rPr>
        <w:t>:00，</w:t>
      </w:r>
      <w:r>
        <w:rPr>
          <w:rFonts w:hint="eastAsia" w:ascii="Times New Roman" w:hAnsi="Times New Roman" w:eastAsia="宋体" w:cs="Times New Roman"/>
          <w:color w:val="auto"/>
          <w:sz w:val="24"/>
          <w:szCs w:val="22"/>
        </w:rPr>
        <w:t>尤其考试）时段进行打桩、</w:t>
      </w:r>
      <w:r>
        <w:rPr>
          <w:rFonts w:ascii="Times New Roman" w:hAnsi="Times New Roman" w:eastAsia="宋体" w:cs="Times New Roman"/>
          <w:color w:val="auto"/>
          <w:sz w:val="24"/>
          <w:szCs w:val="22"/>
        </w:rPr>
        <w:t>破碎、振捣、切割、桩基施工、大型机械碾压</w:t>
      </w:r>
      <w:r>
        <w:rPr>
          <w:rFonts w:hint="eastAsia" w:ascii="Times New Roman" w:hAnsi="Times New Roman" w:eastAsia="宋体" w:cs="Times New Roman"/>
          <w:color w:val="auto"/>
          <w:sz w:val="24"/>
          <w:szCs w:val="22"/>
        </w:rPr>
        <w:t>等作业。</w:t>
      </w:r>
      <w:r>
        <w:rPr>
          <w:rFonts w:ascii="Times New Roman" w:hAnsi="Times New Roman" w:eastAsia="宋体" w:cs="Times New Roman"/>
          <w:color w:val="auto"/>
          <w:sz w:val="24"/>
          <w:szCs w:val="22"/>
        </w:rPr>
        <w:t>学校课间休息时段，严控施工噪声强度，禁止突发式、冲击式高噪声作业，避免噪声骤变干扰学生休息。</w:t>
      </w:r>
      <w:r>
        <w:rPr>
          <w:rFonts w:hint="eastAsia" w:ascii="Times New Roman" w:hAnsi="Times New Roman" w:eastAsia="宋体" w:cs="Times New Roman"/>
          <w:color w:val="auto"/>
          <w:sz w:val="24"/>
          <w:szCs w:val="22"/>
        </w:rPr>
        <w:t>物料运输应避开学生上下学高峰。</w:t>
      </w:r>
    </w:p>
    <w:p w14:paraId="177FE7FA">
      <w:pPr>
        <w:spacing w:line="300" w:lineRule="auto"/>
        <w:ind w:firstLine="480" w:firstLineChars="200"/>
        <w:rPr>
          <w:rFonts w:ascii="Times New Roman" w:hAnsi="Times New Roman" w:eastAsia="宋体" w:cs="Times New Roman"/>
          <w:color w:val="auto"/>
          <w:sz w:val="24"/>
          <w:szCs w:val="22"/>
        </w:rPr>
      </w:pPr>
      <w:r>
        <w:rPr>
          <w:rFonts w:ascii="Times New Roman" w:hAnsi="Times New Roman" w:eastAsia="宋体" w:cs="Times New Roman"/>
          <w:color w:val="auto"/>
          <w:sz w:val="24"/>
          <w:szCs w:val="22"/>
        </w:rPr>
        <w:fldChar w:fldCharType="begin"/>
      </w:r>
      <w:r>
        <w:rPr>
          <w:rFonts w:ascii="Times New Roman" w:hAnsi="Times New Roman" w:eastAsia="宋体" w:cs="Times New Roman"/>
          <w:color w:val="auto"/>
          <w:sz w:val="24"/>
          <w:szCs w:val="22"/>
        </w:rPr>
        <w:instrText xml:space="preserve"> </w:instrText>
      </w:r>
      <w:r>
        <w:rPr>
          <w:rFonts w:hint="eastAsia" w:ascii="Times New Roman" w:hAnsi="Times New Roman" w:eastAsia="宋体" w:cs="Times New Roman"/>
          <w:color w:val="auto"/>
          <w:sz w:val="24"/>
          <w:szCs w:val="22"/>
        </w:rPr>
        <w:instrText xml:space="preserve">= 2 \* GB3</w:instrText>
      </w:r>
      <w:r>
        <w:rPr>
          <w:rFonts w:ascii="Times New Roman" w:hAnsi="Times New Roman" w:eastAsia="宋体" w:cs="Times New Roman"/>
          <w:color w:val="auto"/>
          <w:sz w:val="24"/>
          <w:szCs w:val="22"/>
        </w:rPr>
        <w:instrText xml:space="preserve"> </w:instrText>
      </w:r>
      <w:r>
        <w:rPr>
          <w:rFonts w:ascii="Times New Roman" w:hAnsi="Times New Roman" w:eastAsia="宋体" w:cs="Times New Roman"/>
          <w:color w:val="auto"/>
          <w:sz w:val="24"/>
          <w:szCs w:val="22"/>
        </w:rPr>
        <w:fldChar w:fldCharType="separate"/>
      </w:r>
      <w:r>
        <w:rPr>
          <w:rFonts w:hint="eastAsia" w:ascii="Times New Roman" w:hAnsi="Times New Roman" w:eastAsia="宋体" w:cs="Times New Roman"/>
          <w:color w:val="auto"/>
          <w:sz w:val="24"/>
          <w:szCs w:val="22"/>
        </w:rPr>
        <w:t>②</w:t>
      </w:r>
      <w:r>
        <w:rPr>
          <w:rFonts w:ascii="Times New Roman" w:hAnsi="Times New Roman" w:eastAsia="宋体" w:cs="Times New Roman"/>
          <w:color w:val="auto"/>
          <w:sz w:val="24"/>
          <w:szCs w:val="22"/>
        </w:rPr>
        <w:fldChar w:fldCharType="end"/>
      </w:r>
      <w:r>
        <w:rPr>
          <w:rFonts w:ascii="Times New Roman" w:hAnsi="Times New Roman" w:eastAsia="宋体" w:cs="Times New Roman"/>
          <w:color w:val="auto"/>
          <w:sz w:val="24"/>
          <w:szCs w:val="22"/>
        </w:rPr>
        <w:t xml:space="preserve"> </w:t>
      </w:r>
      <w:r>
        <w:rPr>
          <w:rFonts w:hint="eastAsia" w:ascii="Times New Roman" w:hAnsi="Times New Roman" w:eastAsia="宋体" w:cs="Times New Roman"/>
          <w:color w:val="auto"/>
          <w:sz w:val="24"/>
          <w:szCs w:val="22"/>
        </w:rPr>
        <w:t>集中居民区、卫生院：严禁在夜间（24:00至次日08:00）及午间（13:00至15:00）进行产生环境噪声污染的</w:t>
      </w:r>
      <w:r>
        <w:rPr>
          <w:rFonts w:ascii="Times New Roman" w:hAnsi="Times New Roman" w:eastAsia="宋体" w:cs="Times New Roman"/>
          <w:color w:val="auto"/>
          <w:sz w:val="24"/>
          <w:szCs w:val="22"/>
        </w:rPr>
        <w:t>振捣、破碎、切割等高噪声作业</w:t>
      </w:r>
      <w:r>
        <w:rPr>
          <w:rFonts w:hint="eastAsia" w:ascii="Times New Roman" w:hAnsi="Times New Roman" w:eastAsia="宋体" w:cs="Times New Roman"/>
          <w:color w:val="auto"/>
          <w:sz w:val="24"/>
          <w:szCs w:val="22"/>
        </w:rPr>
        <w:t>。</w:t>
      </w:r>
      <w:r>
        <w:rPr>
          <w:rFonts w:ascii="Times New Roman" w:hAnsi="Times New Roman" w:eastAsia="宋体" w:cs="Times New Roman"/>
          <w:color w:val="auto"/>
          <w:sz w:val="24"/>
          <w:szCs w:val="22"/>
        </w:rPr>
        <w:t>除抢险、抢修等特殊应急工况，以及</w:t>
      </w:r>
      <w:r>
        <w:rPr>
          <w:rFonts w:hint="eastAsia" w:ascii="Times New Roman" w:hAnsi="Times New Roman" w:eastAsia="宋体" w:cs="Times New Roman"/>
          <w:color w:val="auto"/>
          <w:sz w:val="24"/>
          <w:szCs w:val="22"/>
        </w:rPr>
        <w:t>因工艺需要必须连续夜间施工的，须按规定提前公告并取得许可。</w:t>
      </w:r>
    </w:p>
    <w:p w14:paraId="2CB75B9E">
      <w:pPr>
        <w:spacing w:line="300" w:lineRule="auto"/>
        <w:ind w:firstLine="480" w:firstLineChars="200"/>
        <w:rPr>
          <w:rFonts w:ascii="Times New Roman" w:hAnsi="Times New Roman" w:eastAsia="宋体" w:cs="Times New Roman"/>
          <w:color w:val="auto"/>
          <w:sz w:val="24"/>
          <w:szCs w:val="22"/>
        </w:rPr>
      </w:pPr>
      <w:r>
        <w:rPr>
          <w:rFonts w:hint="eastAsia" w:ascii="Times New Roman" w:hAnsi="Times New Roman" w:eastAsia="宋体" w:cs="Times New Roman"/>
          <w:color w:val="auto"/>
          <w:sz w:val="24"/>
          <w:szCs w:val="22"/>
        </w:rPr>
        <w:t>3. 保护目标专项防护措施</w:t>
      </w:r>
    </w:p>
    <w:p w14:paraId="1F2D1EE9">
      <w:pPr>
        <w:spacing w:line="300" w:lineRule="auto"/>
        <w:ind w:firstLine="480" w:firstLineChars="200"/>
        <w:rPr>
          <w:rFonts w:ascii="Times New Roman" w:hAnsi="Times New Roman" w:eastAsia="宋体" w:cs="Times New Roman"/>
          <w:color w:val="auto"/>
          <w:sz w:val="24"/>
          <w:szCs w:val="22"/>
        </w:rPr>
      </w:pPr>
      <w:r>
        <w:rPr>
          <w:rFonts w:ascii="Times New Roman" w:hAnsi="Times New Roman" w:eastAsia="宋体" w:cs="Times New Roman"/>
          <w:color w:val="auto"/>
          <w:sz w:val="24"/>
          <w:szCs w:val="22"/>
        </w:rPr>
        <w:fldChar w:fldCharType="begin"/>
      </w:r>
      <w:r>
        <w:rPr>
          <w:rFonts w:ascii="Times New Roman" w:hAnsi="Times New Roman" w:eastAsia="宋体" w:cs="Times New Roman"/>
          <w:color w:val="auto"/>
          <w:sz w:val="24"/>
          <w:szCs w:val="22"/>
        </w:rPr>
        <w:instrText xml:space="preserve"> </w:instrText>
      </w:r>
      <w:r>
        <w:rPr>
          <w:rFonts w:hint="eastAsia" w:ascii="Times New Roman" w:hAnsi="Times New Roman" w:eastAsia="宋体" w:cs="Times New Roman"/>
          <w:color w:val="auto"/>
          <w:sz w:val="24"/>
          <w:szCs w:val="22"/>
        </w:rPr>
        <w:instrText xml:space="preserve">= 1 \* GB3</w:instrText>
      </w:r>
      <w:r>
        <w:rPr>
          <w:rFonts w:ascii="Times New Roman" w:hAnsi="Times New Roman" w:eastAsia="宋体" w:cs="Times New Roman"/>
          <w:color w:val="auto"/>
          <w:sz w:val="24"/>
          <w:szCs w:val="22"/>
        </w:rPr>
        <w:instrText xml:space="preserve"> </w:instrText>
      </w:r>
      <w:r>
        <w:rPr>
          <w:rFonts w:ascii="Times New Roman" w:hAnsi="Times New Roman" w:eastAsia="宋体" w:cs="Times New Roman"/>
          <w:color w:val="auto"/>
          <w:sz w:val="24"/>
          <w:szCs w:val="22"/>
        </w:rPr>
        <w:fldChar w:fldCharType="separate"/>
      </w:r>
      <w:r>
        <w:rPr>
          <w:rFonts w:hint="eastAsia" w:ascii="Times New Roman" w:hAnsi="Times New Roman" w:eastAsia="宋体" w:cs="Times New Roman"/>
          <w:color w:val="auto"/>
          <w:sz w:val="24"/>
          <w:szCs w:val="22"/>
        </w:rPr>
        <w:t>①</w:t>
      </w:r>
      <w:r>
        <w:rPr>
          <w:rFonts w:ascii="Times New Roman" w:hAnsi="Times New Roman" w:eastAsia="宋体" w:cs="Times New Roman"/>
          <w:color w:val="auto"/>
          <w:sz w:val="24"/>
          <w:szCs w:val="22"/>
        </w:rPr>
        <w:fldChar w:fldCharType="end"/>
      </w:r>
      <w:r>
        <w:rPr>
          <w:rFonts w:ascii="Times New Roman" w:hAnsi="Times New Roman" w:eastAsia="宋体" w:cs="Times New Roman"/>
          <w:color w:val="auto"/>
          <w:sz w:val="24"/>
          <w:szCs w:val="22"/>
        </w:rPr>
        <w:t xml:space="preserve"> </w:t>
      </w:r>
      <w:r>
        <w:rPr>
          <w:rFonts w:hint="eastAsia" w:ascii="Times New Roman" w:hAnsi="Times New Roman" w:eastAsia="宋体" w:cs="Times New Roman"/>
          <w:color w:val="auto"/>
          <w:sz w:val="24"/>
          <w:szCs w:val="22"/>
        </w:rPr>
        <w:t>物理隔离：在施工场界邻近敏感目标一侧，设置连续硬质围或挡移动式/固定式隔声屏障。</w:t>
      </w:r>
      <w:r>
        <w:rPr>
          <w:rFonts w:ascii="Times New Roman" w:hAnsi="Times New Roman" w:eastAsia="宋体" w:cs="Times New Roman"/>
          <w:color w:val="auto"/>
          <w:sz w:val="24"/>
          <w:szCs w:val="22"/>
        </w:rPr>
        <w:t>临近学校施工路段增设双层隔声围挡及专用移动式声屏障，重点朝向教学楼、宿舍楼方向布设，强化噪声阻隔效果。临近居民区、卫生院的施工段落，设置连续、密闭、隔声性能优良的施工围挡，</w:t>
      </w:r>
      <w:r>
        <w:rPr>
          <w:rFonts w:hint="eastAsia" w:ascii="Times New Roman" w:hAnsi="Times New Roman" w:eastAsia="宋体" w:cs="Times New Roman"/>
          <w:color w:val="auto"/>
          <w:sz w:val="24"/>
          <w:szCs w:val="22"/>
        </w:rPr>
        <w:t>围挡</w:t>
      </w:r>
      <w:r>
        <w:rPr>
          <w:rFonts w:ascii="Times New Roman" w:hAnsi="Times New Roman" w:eastAsia="宋体" w:cs="Times New Roman"/>
          <w:color w:val="auto"/>
          <w:sz w:val="24"/>
          <w:szCs w:val="22"/>
        </w:rPr>
        <w:t>采用双层隔声板材+吸音棉填充结构，施工区边界</w:t>
      </w:r>
      <w:r>
        <w:rPr>
          <w:rFonts w:hint="eastAsia" w:ascii="Times New Roman" w:hAnsi="Times New Roman" w:eastAsia="宋体" w:cs="Times New Roman"/>
          <w:color w:val="auto"/>
          <w:sz w:val="24"/>
          <w:szCs w:val="22"/>
          <w:lang w:eastAsia="zh-CN"/>
        </w:rPr>
        <w:t>设置</w:t>
      </w:r>
      <w:r>
        <w:rPr>
          <w:rFonts w:ascii="Times New Roman" w:hAnsi="Times New Roman" w:eastAsia="宋体" w:cs="Times New Roman"/>
          <w:color w:val="auto"/>
          <w:sz w:val="24"/>
          <w:szCs w:val="22"/>
        </w:rPr>
        <w:t>移动式声屏障，重点覆盖靠近卫生院病房楼、居民区住宅集中分布区域，阻断噪声传播路径。</w:t>
      </w:r>
    </w:p>
    <w:p w14:paraId="5FC4274A">
      <w:pPr>
        <w:spacing w:line="300" w:lineRule="auto"/>
        <w:ind w:firstLine="480" w:firstLineChars="200"/>
        <w:rPr>
          <w:rFonts w:ascii="Times New Roman" w:hAnsi="Times New Roman" w:eastAsia="宋体" w:cs="Times New Roman"/>
          <w:color w:val="auto"/>
          <w:sz w:val="24"/>
          <w:szCs w:val="22"/>
        </w:rPr>
      </w:pPr>
      <w:r>
        <w:rPr>
          <w:rFonts w:ascii="Times New Roman" w:hAnsi="Times New Roman" w:eastAsia="宋体" w:cs="Times New Roman"/>
          <w:color w:val="auto"/>
          <w:sz w:val="24"/>
          <w:szCs w:val="22"/>
        </w:rPr>
        <w:fldChar w:fldCharType="begin"/>
      </w:r>
      <w:r>
        <w:rPr>
          <w:rFonts w:ascii="Times New Roman" w:hAnsi="Times New Roman" w:eastAsia="宋体" w:cs="Times New Roman"/>
          <w:color w:val="auto"/>
          <w:sz w:val="24"/>
          <w:szCs w:val="22"/>
        </w:rPr>
        <w:instrText xml:space="preserve"> </w:instrText>
      </w:r>
      <w:r>
        <w:rPr>
          <w:rFonts w:hint="eastAsia" w:ascii="Times New Roman" w:hAnsi="Times New Roman" w:eastAsia="宋体" w:cs="Times New Roman"/>
          <w:color w:val="auto"/>
          <w:sz w:val="24"/>
          <w:szCs w:val="22"/>
        </w:rPr>
        <w:instrText xml:space="preserve">= 2 \* GB3</w:instrText>
      </w:r>
      <w:r>
        <w:rPr>
          <w:rFonts w:ascii="Times New Roman" w:hAnsi="Times New Roman" w:eastAsia="宋体" w:cs="Times New Roman"/>
          <w:color w:val="auto"/>
          <w:sz w:val="24"/>
          <w:szCs w:val="22"/>
        </w:rPr>
        <w:instrText xml:space="preserve"> </w:instrText>
      </w:r>
      <w:r>
        <w:rPr>
          <w:rFonts w:ascii="Times New Roman" w:hAnsi="Times New Roman" w:eastAsia="宋体" w:cs="Times New Roman"/>
          <w:color w:val="auto"/>
          <w:sz w:val="24"/>
          <w:szCs w:val="22"/>
        </w:rPr>
        <w:fldChar w:fldCharType="separate"/>
      </w:r>
      <w:r>
        <w:rPr>
          <w:rFonts w:hint="eastAsia" w:ascii="Times New Roman" w:hAnsi="Times New Roman" w:eastAsia="宋体" w:cs="Times New Roman"/>
          <w:color w:val="auto"/>
          <w:sz w:val="24"/>
          <w:szCs w:val="22"/>
        </w:rPr>
        <w:t>②</w:t>
      </w:r>
      <w:r>
        <w:rPr>
          <w:rFonts w:ascii="Times New Roman" w:hAnsi="Times New Roman" w:eastAsia="宋体" w:cs="Times New Roman"/>
          <w:color w:val="auto"/>
          <w:sz w:val="24"/>
          <w:szCs w:val="22"/>
        </w:rPr>
        <w:fldChar w:fldCharType="end"/>
      </w:r>
      <w:r>
        <w:rPr>
          <w:rFonts w:ascii="Times New Roman" w:hAnsi="Times New Roman" w:eastAsia="宋体" w:cs="Times New Roman"/>
          <w:color w:val="auto"/>
          <w:sz w:val="24"/>
          <w:szCs w:val="22"/>
        </w:rPr>
        <w:t xml:space="preserve"> </w:t>
      </w:r>
      <w:r>
        <w:rPr>
          <w:rFonts w:hint="eastAsia" w:ascii="Times New Roman" w:hAnsi="Times New Roman" w:eastAsia="宋体" w:cs="Times New Roman"/>
          <w:color w:val="auto"/>
          <w:sz w:val="24"/>
          <w:szCs w:val="22"/>
        </w:rPr>
        <w:t>扬尘控制：学校、卫生院及居民区路段，除常规洒水外，应在敏感时段（如上下学高峰）加密洒水频次，并可在工地与敏感点之间增设防尘网或喷淋系统。</w:t>
      </w:r>
    </w:p>
    <w:p w14:paraId="3A63C2B1">
      <w:pPr>
        <w:spacing w:line="300" w:lineRule="auto"/>
        <w:ind w:firstLine="480" w:firstLineChars="200"/>
        <w:rPr>
          <w:rFonts w:ascii="Times New Roman" w:hAnsi="Times New Roman" w:eastAsia="宋体" w:cs="Times New Roman"/>
          <w:color w:val="auto"/>
          <w:sz w:val="24"/>
          <w:szCs w:val="22"/>
        </w:rPr>
      </w:pPr>
      <w:r>
        <w:rPr>
          <w:rFonts w:hint="eastAsia" w:ascii="Times New Roman" w:hAnsi="Times New Roman" w:eastAsia="宋体" w:cs="Times New Roman"/>
          <w:color w:val="auto"/>
          <w:sz w:val="24"/>
          <w:szCs w:val="22"/>
        </w:rPr>
        <w:t>4. 运输与交通综合管理</w:t>
      </w:r>
    </w:p>
    <w:p w14:paraId="16A093EC">
      <w:pPr>
        <w:spacing w:line="300" w:lineRule="auto"/>
        <w:ind w:firstLine="480" w:firstLineChars="200"/>
        <w:rPr>
          <w:rFonts w:ascii="Times New Roman" w:hAnsi="Times New Roman" w:eastAsia="宋体" w:cs="Times New Roman"/>
          <w:color w:val="auto"/>
          <w:sz w:val="24"/>
          <w:szCs w:val="22"/>
        </w:rPr>
      </w:pPr>
      <w:r>
        <w:rPr>
          <w:rFonts w:ascii="Times New Roman" w:hAnsi="Times New Roman" w:eastAsia="宋体" w:cs="Times New Roman"/>
          <w:color w:val="auto"/>
          <w:sz w:val="24"/>
          <w:szCs w:val="22"/>
        </w:rPr>
        <w:fldChar w:fldCharType="begin"/>
      </w:r>
      <w:r>
        <w:rPr>
          <w:rFonts w:ascii="Times New Roman" w:hAnsi="Times New Roman" w:eastAsia="宋体" w:cs="Times New Roman"/>
          <w:color w:val="auto"/>
          <w:sz w:val="24"/>
          <w:szCs w:val="22"/>
        </w:rPr>
        <w:instrText xml:space="preserve"> </w:instrText>
      </w:r>
      <w:r>
        <w:rPr>
          <w:rFonts w:hint="eastAsia" w:ascii="Times New Roman" w:hAnsi="Times New Roman" w:eastAsia="宋体" w:cs="Times New Roman"/>
          <w:color w:val="auto"/>
          <w:sz w:val="24"/>
          <w:szCs w:val="22"/>
        </w:rPr>
        <w:instrText xml:space="preserve">= 1 \* GB3</w:instrText>
      </w:r>
      <w:r>
        <w:rPr>
          <w:rFonts w:ascii="Times New Roman" w:hAnsi="Times New Roman" w:eastAsia="宋体" w:cs="Times New Roman"/>
          <w:color w:val="auto"/>
          <w:sz w:val="24"/>
          <w:szCs w:val="22"/>
        </w:rPr>
        <w:instrText xml:space="preserve"> </w:instrText>
      </w:r>
      <w:r>
        <w:rPr>
          <w:rFonts w:ascii="Times New Roman" w:hAnsi="Times New Roman" w:eastAsia="宋体" w:cs="Times New Roman"/>
          <w:color w:val="auto"/>
          <w:sz w:val="24"/>
          <w:szCs w:val="22"/>
        </w:rPr>
        <w:fldChar w:fldCharType="separate"/>
      </w:r>
      <w:r>
        <w:rPr>
          <w:rFonts w:hint="eastAsia" w:ascii="Times New Roman" w:hAnsi="Times New Roman" w:eastAsia="宋体" w:cs="Times New Roman"/>
          <w:color w:val="auto"/>
          <w:sz w:val="24"/>
          <w:szCs w:val="22"/>
        </w:rPr>
        <w:t>①</w:t>
      </w:r>
      <w:r>
        <w:rPr>
          <w:rFonts w:ascii="Times New Roman" w:hAnsi="Times New Roman" w:eastAsia="宋体" w:cs="Times New Roman"/>
          <w:color w:val="auto"/>
          <w:sz w:val="24"/>
          <w:szCs w:val="22"/>
        </w:rPr>
        <w:fldChar w:fldCharType="end"/>
      </w:r>
      <w:r>
        <w:rPr>
          <w:rFonts w:hint="eastAsia" w:ascii="Times New Roman" w:hAnsi="Times New Roman" w:eastAsia="宋体" w:cs="Times New Roman"/>
          <w:color w:val="auto"/>
          <w:sz w:val="24"/>
          <w:szCs w:val="22"/>
        </w:rPr>
        <w:t xml:space="preserve"> 车辆与路线管理：所有散装物料运输车辆必须密闭苫盖。合理规划运输路线，应主动避让学校、卫生院、居民密集区等敏感路段，尽量利用现有道路，避免穿越敏感区核心路段。在居民点、卫生院附近设置限速、禁鸣标志，加强监管确保车辆低速平稳通过。</w:t>
      </w:r>
      <w:r>
        <w:rPr>
          <w:rFonts w:ascii="Times New Roman" w:hAnsi="Times New Roman" w:eastAsia="宋体" w:cs="Times New Roman"/>
          <w:color w:val="auto"/>
          <w:sz w:val="24"/>
          <w:szCs w:val="22"/>
        </w:rPr>
        <w:t>施工运输车辆途经校园周边道路时，全程限速、禁鸣、减速通行，避开学生上下学高峰时段。</w:t>
      </w:r>
    </w:p>
    <w:p w14:paraId="39F02F13">
      <w:pPr>
        <w:spacing w:line="300" w:lineRule="auto"/>
        <w:ind w:firstLine="480" w:firstLineChars="200"/>
        <w:rPr>
          <w:rFonts w:ascii="Times New Roman" w:hAnsi="Times New Roman" w:eastAsia="宋体" w:cs="Times New Roman"/>
          <w:color w:val="auto"/>
          <w:sz w:val="24"/>
          <w:szCs w:val="22"/>
        </w:rPr>
      </w:pPr>
      <w:r>
        <w:rPr>
          <w:rFonts w:ascii="Times New Roman" w:hAnsi="Times New Roman" w:eastAsia="宋体" w:cs="Times New Roman"/>
          <w:color w:val="auto"/>
          <w:sz w:val="24"/>
          <w:szCs w:val="22"/>
        </w:rPr>
        <w:fldChar w:fldCharType="begin"/>
      </w:r>
      <w:r>
        <w:rPr>
          <w:rFonts w:ascii="Times New Roman" w:hAnsi="Times New Roman" w:eastAsia="宋体" w:cs="Times New Roman"/>
          <w:color w:val="auto"/>
          <w:sz w:val="24"/>
          <w:szCs w:val="22"/>
        </w:rPr>
        <w:instrText xml:space="preserve"> </w:instrText>
      </w:r>
      <w:r>
        <w:rPr>
          <w:rFonts w:hint="eastAsia" w:ascii="Times New Roman" w:hAnsi="Times New Roman" w:eastAsia="宋体" w:cs="Times New Roman"/>
          <w:color w:val="auto"/>
          <w:sz w:val="24"/>
          <w:szCs w:val="22"/>
        </w:rPr>
        <w:instrText xml:space="preserve">= 2 \* GB3</w:instrText>
      </w:r>
      <w:r>
        <w:rPr>
          <w:rFonts w:ascii="Times New Roman" w:hAnsi="Times New Roman" w:eastAsia="宋体" w:cs="Times New Roman"/>
          <w:color w:val="auto"/>
          <w:sz w:val="24"/>
          <w:szCs w:val="22"/>
        </w:rPr>
        <w:instrText xml:space="preserve"> </w:instrText>
      </w:r>
      <w:r>
        <w:rPr>
          <w:rFonts w:ascii="Times New Roman" w:hAnsi="Times New Roman" w:eastAsia="宋体" w:cs="Times New Roman"/>
          <w:color w:val="auto"/>
          <w:sz w:val="24"/>
          <w:szCs w:val="22"/>
        </w:rPr>
        <w:fldChar w:fldCharType="separate"/>
      </w:r>
      <w:r>
        <w:rPr>
          <w:rFonts w:hint="eastAsia" w:ascii="Times New Roman" w:hAnsi="Times New Roman" w:eastAsia="宋体" w:cs="Times New Roman"/>
          <w:color w:val="auto"/>
          <w:sz w:val="24"/>
          <w:szCs w:val="22"/>
        </w:rPr>
        <w:t>②</w:t>
      </w:r>
      <w:r>
        <w:rPr>
          <w:rFonts w:ascii="Times New Roman" w:hAnsi="Times New Roman" w:eastAsia="宋体" w:cs="Times New Roman"/>
          <w:color w:val="auto"/>
          <w:sz w:val="24"/>
          <w:szCs w:val="22"/>
        </w:rPr>
        <w:fldChar w:fldCharType="end"/>
      </w:r>
      <w:r>
        <w:rPr>
          <w:rFonts w:hint="eastAsia" w:ascii="Times New Roman" w:hAnsi="Times New Roman" w:eastAsia="宋体" w:cs="Times New Roman"/>
          <w:color w:val="auto"/>
          <w:sz w:val="24"/>
          <w:szCs w:val="22"/>
        </w:rPr>
        <w:t xml:space="preserve"> 时间管控：严格规定运输时间，禁止在居民休息时段（夜间24:00至次日08:00）进行物料运输。特殊情况需提前公告。</w:t>
      </w:r>
    </w:p>
    <w:p w14:paraId="72F156FA">
      <w:pPr>
        <w:spacing w:line="300" w:lineRule="auto"/>
        <w:ind w:firstLine="480" w:firstLineChars="200"/>
        <w:rPr>
          <w:rFonts w:ascii="Times New Roman" w:hAnsi="Times New Roman" w:eastAsia="宋体" w:cs="Times New Roman"/>
          <w:color w:val="auto"/>
          <w:sz w:val="24"/>
          <w:szCs w:val="22"/>
        </w:rPr>
      </w:pPr>
      <w:r>
        <w:rPr>
          <w:rFonts w:ascii="Times New Roman" w:hAnsi="Times New Roman" w:eastAsia="宋体" w:cs="Times New Roman"/>
          <w:color w:val="auto"/>
          <w:sz w:val="24"/>
          <w:szCs w:val="22"/>
        </w:rPr>
        <w:fldChar w:fldCharType="begin"/>
      </w:r>
      <w:r>
        <w:rPr>
          <w:rFonts w:ascii="Times New Roman" w:hAnsi="Times New Roman" w:eastAsia="宋体" w:cs="Times New Roman"/>
          <w:color w:val="auto"/>
          <w:sz w:val="24"/>
          <w:szCs w:val="22"/>
        </w:rPr>
        <w:instrText xml:space="preserve"> </w:instrText>
      </w:r>
      <w:r>
        <w:rPr>
          <w:rFonts w:hint="eastAsia" w:ascii="Times New Roman" w:hAnsi="Times New Roman" w:eastAsia="宋体" w:cs="Times New Roman"/>
          <w:color w:val="auto"/>
          <w:sz w:val="24"/>
          <w:szCs w:val="22"/>
        </w:rPr>
        <w:instrText xml:space="preserve">= 3 \* GB3</w:instrText>
      </w:r>
      <w:r>
        <w:rPr>
          <w:rFonts w:ascii="Times New Roman" w:hAnsi="Times New Roman" w:eastAsia="宋体" w:cs="Times New Roman"/>
          <w:color w:val="auto"/>
          <w:sz w:val="24"/>
          <w:szCs w:val="22"/>
        </w:rPr>
        <w:instrText xml:space="preserve"> </w:instrText>
      </w:r>
      <w:r>
        <w:rPr>
          <w:rFonts w:ascii="Times New Roman" w:hAnsi="Times New Roman" w:eastAsia="宋体" w:cs="Times New Roman"/>
          <w:color w:val="auto"/>
          <w:sz w:val="24"/>
          <w:szCs w:val="22"/>
        </w:rPr>
        <w:fldChar w:fldCharType="separate"/>
      </w:r>
      <w:r>
        <w:rPr>
          <w:rFonts w:hint="eastAsia" w:ascii="Times New Roman" w:hAnsi="Times New Roman" w:eastAsia="宋体" w:cs="Times New Roman"/>
          <w:color w:val="auto"/>
          <w:sz w:val="24"/>
          <w:szCs w:val="22"/>
        </w:rPr>
        <w:t>③</w:t>
      </w:r>
      <w:r>
        <w:rPr>
          <w:rFonts w:ascii="Times New Roman" w:hAnsi="Times New Roman" w:eastAsia="宋体" w:cs="Times New Roman"/>
          <w:color w:val="auto"/>
          <w:sz w:val="24"/>
          <w:szCs w:val="22"/>
        </w:rPr>
        <w:fldChar w:fldCharType="end"/>
      </w:r>
      <w:r>
        <w:rPr>
          <w:rFonts w:hint="eastAsia" w:ascii="Times New Roman" w:hAnsi="Times New Roman" w:eastAsia="宋体" w:cs="Times New Roman"/>
          <w:color w:val="auto"/>
          <w:sz w:val="24"/>
          <w:szCs w:val="22"/>
        </w:rPr>
        <w:t xml:space="preserve"> 道路养护与疏导：对主要运输道路进行必要加固与养护，及时修复破损路面。在交通高峰或狭窄路段安排交通疏导，减少拥堵。</w:t>
      </w:r>
    </w:p>
    <w:p w14:paraId="5D08604D">
      <w:pPr>
        <w:spacing w:line="300" w:lineRule="auto"/>
        <w:ind w:firstLine="480" w:firstLineChars="200"/>
        <w:rPr>
          <w:rFonts w:ascii="Times New Roman" w:hAnsi="Times New Roman" w:eastAsia="宋体" w:cs="Times New Roman"/>
          <w:color w:val="auto"/>
          <w:sz w:val="24"/>
          <w:szCs w:val="22"/>
        </w:rPr>
      </w:pPr>
      <w:r>
        <w:rPr>
          <w:rFonts w:hint="eastAsia" w:ascii="Times New Roman" w:hAnsi="Times New Roman" w:eastAsia="宋体" w:cs="Times New Roman"/>
          <w:color w:val="auto"/>
          <w:sz w:val="24"/>
          <w:szCs w:val="22"/>
        </w:rPr>
        <w:t>5. 监测、沟通与应急处理</w:t>
      </w:r>
    </w:p>
    <w:p w14:paraId="7B9C1009">
      <w:pPr>
        <w:spacing w:line="300" w:lineRule="auto"/>
        <w:ind w:firstLine="480" w:firstLineChars="200"/>
        <w:rPr>
          <w:rFonts w:ascii="Times New Roman" w:hAnsi="Times New Roman" w:eastAsia="宋体" w:cs="Times New Roman"/>
          <w:color w:val="auto"/>
          <w:sz w:val="24"/>
          <w:szCs w:val="22"/>
        </w:rPr>
      </w:pPr>
      <w:r>
        <w:rPr>
          <w:rFonts w:ascii="Times New Roman" w:hAnsi="Times New Roman" w:eastAsia="宋体" w:cs="Times New Roman"/>
          <w:color w:val="auto"/>
          <w:sz w:val="24"/>
          <w:szCs w:val="22"/>
        </w:rPr>
        <w:fldChar w:fldCharType="begin"/>
      </w:r>
      <w:r>
        <w:rPr>
          <w:rFonts w:ascii="Times New Roman" w:hAnsi="Times New Roman" w:eastAsia="宋体" w:cs="Times New Roman"/>
          <w:color w:val="auto"/>
          <w:sz w:val="24"/>
          <w:szCs w:val="22"/>
        </w:rPr>
        <w:instrText xml:space="preserve"> </w:instrText>
      </w:r>
      <w:r>
        <w:rPr>
          <w:rFonts w:hint="eastAsia" w:ascii="Times New Roman" w:hAnsi="Times New Roman" w:eastAsia="宋体" w:cs="Times New Roman"/>
          <w:color w:val="auto"/>
          <w:sz w:val="24"/>
          <w:szCs w:val="22"/>
        </w:rPr>
        <w:instrText xml:space="preserve">= 1 \* GB3</w:instrText>
      </w:r>
      <w:r>
        <w:rPr>
          <w:rFonts w:ascii="Times New Roman" w:hAnsi="Times New Roman" w:eastAsia="宋体" w:cs="Times New Roman"/>
          <w:color w:val="auto"/>
          <w:sz w:val="24"/>
          <w:szCs w:val="22"/>
        </w:rPr>
        <w:instrText xml:space="preserve"> </w:instrText>
      </w:r>
      <w:r>
        <w:rPr>
          <w:rFonts w:ascii="Times New Roman" w:hAnsi="Times New Roman" w:eastAsia="宋体" w:cs="Times New Roman"/>
          <w:color w:val="auto"/>
          <w:sz w:val="24"/>
          <w:szCs w:val="22"/>
        </w:rPr>
        <w:fldChar w:fldCharType="separate"/>
      </w:r>
      <w:r>
        <w:rPr>
          <w:rFonts w:hint="eastAsia" w:ascii="Times New Roman" w:hAnsi="Times New Roman" w:eastAsia="宋体" w:cs="Times New Roman"/>
          <w:color w:val="auto"/>
          <w:sz w:val="24"/>
          <w:szCs w:val="22"/>
        </w:rPr>
        <w:t>①</w:t>
      </w:r>
      <w:r>
        <w:rPr>
          <w:rFonts w:ascii="Times New Roman" w:hAnsi="Times New Roman" w:eastAsia="宋体" w:cs="Times New Roman"/>
          <w:color w:val="auto"/>
          <w:sz w:val="24"/>
          <w:szCs w:val="22"/>
        </w:rPr>
        <w:fldChar w:fldCharType="end"/>
      </w:r>
      <w:r>
        <w:rPr>
          <w:rFonts w:ascii="Times New Roman" w:hAnsi="Times New Roman" w:eastAsia="宋体" w:cs="Times New Roman"/>
          <w:color w:val="auto"/>
          <w:sz w:val="24"/>
          <w:szCs w:val="22"/>
        </w:rPr>
        <w:t xml:space="preserve"> </w:t>
      </w:r>
      <w:r>
        <w:rPr>
          <w:rFonts w:hint="eastAsia" w:ascii="Times New Roman" w:hAnsi="Times New Roman" w:eastAsia="宋体" w:cs="Times New Roman"/>
          <w:color w:val="auto"/>
          <w:sz w:val="24"/>
          <w:szCs w:val="22"/>
        </w:rPr>
        <w:t>精准监测：在重点敏感目标靠近施工现场一侧，布设噪声、扬尘自动监测点，数据实时公示。监测值接近或超标时，须立即采取停工、强化降尘降噪等应急措施。</w:t>
      </w:r>
    </w:p>
    <w:p w14:paraId="7233E106">
      <w:pPr>
        <w:spacing w:line="300" w:lineRule="auto"/>
        <w:ind w:firstLine="480" w:firstLineChars="200"/>
        <w:rPr>
          <w:rFonts w:ascii="Times New Roman" w:hAnsi="Times New Roman" w:eastAsia="宋体" w:cs="Times New Roman"/>
          <w:color w:val="auto"/>
          <w:sz w:val="24"/>
          <w:szCs w:val="22"/>
        </w:rPr>
      </w:pPr>
      <w:bookmarkStart w:id="231" w:name="OLE_LINK155"/>
      <w:bookmarkStart w:id="232" w:name="OLE_LINK156"/>
      <w:r>
        <w:rPr>
          <w:rFonts w:ascii="Times New Roman" w:hAnsi="Times New Roman" w:eastAsia="宋体" w:cs="Times New Roman"/>
          <w:color w:val="auto"/>
          <w:sz w:val="24"/>
          <w:szCs w:val="22"/>
        </w:rPr>
        <w:fldChar w:fldCharType="begin"/>
      </w:r>
      <w:r>
        <w:rPr>
          <w:rFonts w:ascii="Times New Roman" w:hAnsi="Times New Roman" w:eastAsia="宋体" w:cs="Times New Roman"/>
          <w:color w:val="auto"/>
          <w:sz w:val="24"/>
          <w:szCs w:val="22"/>
        </w:rPr>
        <w:instrText xml:space="preserve"> </w:instrText>
      </w:r>
      <w:r>
        <w:rPr>
          <w:rFonts w:hint="eastAsia" w:ascii="Times New Roman" w:hAnsi="Times New Roman" w:eastAsia="宋体" w:cs="Times New Roman"/>
          <w:color w:val="auto"/>
          <w:sz w:val="24"/>
          <w:szCs w:val="22"/>
        </w:rPr>
        <w:instrText xml:space="preserve">= 2 \* GB3</w:instrText>
      </w:r>
      <w:r>
        <w:rPr>
          <w:rFonts w:ascii="Times New Roman" w:hAnsi="Times New Roman" w:eastAsia="宋体" w:cs="Times New Roman"/>
          <w:color w:val="auto"/>
          <w:sz w:val="24"/>
          <w:szCs w:val="22"/>
        </w:rPr>
        <w:instrText xml:space="preserve"> </w:instrText>
      </w:r>
      <w:r>
        <w:rPr>
          <w:rFonts w:ascii="Times New Roman" w:hAnsi="Times New Roman" w:eastAsia="宋体" w:cs="Times New Roman"/>
          <w:color w:val="auto"/>
          <w:sz w:val="24"/>
          <w:szCs w:val="22"/>
        </w:rPr>
        <w:fldChar w:fldCharType="separate"/>
      </w:r>
      <w:r>
        <w:rPr>
          <w:rFonts w:hint="eastAsia" w:ascii="Times New Roman" w:hAnsi="Times New Roman" w:eastAsia="宋体" w:cs="Times New Roman"/>
          <w:color w:val="auto"/>
          <w:sz w:val="24"/>
          <w:szCs w:val="22"/>
        </w:rPr>
        <w:t>②</w:t>
      </w:r>
      <w:r>
        <w:rPr>
          <w:rFonts w:ascii="Times New Roman" w:hAnsi="Times New Roman" w:eastAsia="宋体" w:cs="Times New Roman"/>
          <w:color w:val="auto"/>
          <w:sz w:val="24"/>
          <w:szCs w:val="22"/>
        </w:rPr>
        <w:fldChar w:fldCharType="end"/>
      </w:r>
      <w:bookmarkEnd w:id="231"/>
      <w:bookmarkEnd w:id="232"/>
      <w:r>
        <w:rPr>
          <w:rFonts w:ascii="Times New Roman" w:hAnsi="Times New Roman" w:eastAsia="宋体" w:cs="Times New Roman"/>
          <w:color w:val="auto"/>
          <w:sz w:val="24"/>
          <w:szCs w:val="22"/>
        </w:rPr>
        <w:t xml:space="preserve"> </w:t>
      </w:r>
      <w:r>
        <w:rPr>
          <w:rFonts w:hint="eastAsia" w:ascii="Times New Roman" w:hAnsi="Times New Roman" w:eastAsia="宋体" w:cs="Times New Roman"/>
          <w:color w:val="auto"/>
          <w:sz w:val="24"/>
          <w:szCs w:val="22"/>
        </w:rPr>
        <w:t>公众沟通：施工前公告施工与运输计划。各施工标段须设立并公示公众投诉电话，专人处理与反馈。定期公告施工进展，建立与社区、学校的沟通协商机制。</w:t>
      </w:r>
    </w:p>
    <w:p w14:paraId="729CF714">
      <w:pPr>
        <w:spacing w:line="300" w:lineRule="auto"/>
        <w:ind w:firstLine="480" w:firstLineChars="200"/>
        <w:rPr>
          <w:rFonts w:ascii="Times New Roman" w:hAnsi="Times New Roman" w:eastAsia="宋体" w:cs="Times New Roman"/>
          <w:color w:val="auto"/>
          <w:sz w:val="24"/>
          <w:szCs w:val="22"/>
        </w:rPr>
      </w:pPr>
      <w:bookmarkStart w:id="233" w:name="OLE_LINK158"/>
      <w:bookmarkStart w:id="234" w:name="OLE_LINK157"/>
      <w:r>
        <w:rPr>
          <w:rFonts w:ascii="Times New Roman" w:hAnsi="Times New Roman" w:eastAsia="宋体" w:cs="Times New Roman"/>
          <w:color w:val="auto"/>
          <w:sz w:val="24"/>
          <w:szCs w:val="22"/>
        </w:rPr>
        <w:fldChar w:fldCharType="begin"/>
      </w:r>
      <w:r>
        <w:rPr>
          <w:rFonts w:ascii="Times New Roman" w:hAnsi="Times New Roman" w:eastAsia="宋体" w:cs="Times New Roman"/>
          <w:color w:val="auto"/>
          <w:sz w:val="24"/>
          <w:szCs w:val="22"/>
        </w:rPr>
        <w:instrText xml:space="preserve"> </w:instrText>
      </w:r>
      <w:r>
        <w:rPr>
          <w:rFonts w:hint="eastAsia" w:ascii="Times New Roman" w:hAnsi="Times New Roman" w:eastAsia="宋体" w:cs="Times New Roman"/>
          <w:color w:val="auto"/>
          <w:sz w:val="24"/>
          <w:szCs w:val="22"/>
        </w:rPr>
        <w:instrText xml:space="preserve">= 3 \* GB3</w:instrText>
      </w:r>
      <w:r>
        <w:rPr>
          <w:rFonts w:ascii="Times New Roman" w:hAnsi="Times New Roman" w:eastAsia="宋体" w:cs="Times New Roman"/>
          <w:color w:val="auto"/>
          <w:sz w:val="24"/>
          <w:szCs w:val="22"/>
        </w:rPr>
        <w:instrText xml:space="preserve"> </w:instrText>
      </w:r>
      <w:r>
        <w:rPr>
          <w:rFonts w:ascii="Times New Roman" w:hAnsi="Times New Roman" w:eastAsia="宋体" w:cs="Times New Roman"/>
          <w:color w:val="auto"/>
          <w:sz w:val="24"/>
          <w:szCs w:val="22"/>
        </w:rPr>
        <w:fldChar w:fldCharType="separate"/>
      </w:r>
      <w:r>
        <w:rPr>
          <w:rFonts w:hint="eastAsia" w:ascii="Times New Roman" w:hAnsi="Times New Roman" w:eastAsia="宋体" w:cs="Times New Roman"/>
          <w:color w:val="auto"/>
          <w:sz w:val="24"/>
          <w:szCs w:val="22"/>
        </w:rPr>
        <w:t>③</w:t>
      </w:r>
      <w:r>
        <w:rPr>
          <w:rFonts w:ascii="Times New Roman" w:hAnsi="Times New Roman" w:eastAsia="宋体" w:cs="Times New Roman"/>
          <w:color w:val="auto"/>
          <w:sz w:val="24"/>
          <w:szCs w:val="22"/>
        </w:rPr>
        <w:fldChar w:fldCharType="end"/>
      </w:r>
      <w:bookmarkEnd w:id="233"/>
      <w:bookmarkEnd w:id="234"/>
      <w:r>
        <w:rPr>
          <w:rFonts w:ascii="Times New Roman" w:hAnsi="Times New Roman" w:eastAsia="宋体" w:cs="Times New Roman"/>
          <w:color w:val="auto"/>
          <w:sz w:val="24"/>
          <w:szCs w:val="22"/>
        </w:rPr>
        <w:t xml:space="preserve"> </w:t>
      </w:r>
      <w:r>
        <w:rPr>
          <w:rFonts w:hint="eastAsia" w:ascii="Times New Roman" w:hAnsi="Times New Roman" w:eastAsia="宋体" w:cs="Times New Roman"/>
          <w:color w:val="auto"/>
          <w:sz w:val="24"/>
          <w:szCs w:val="22"/>
        </w:rPr>
        <w:t>施工人员防护：对操作高噪声机械的人员采取轮岗作业，提供并监督使用防护耳塞或头盔，缩短高噪声连续暴露时间。</w:t>
      </w:r>
    </w:p>
    <w:p w14:paraId="710B096B">
      <w:pPr>
        <w:spacing w:line="300" w:lineRule="auto"/>
        <w:ind w:firstLine="480" w:firstLineChars="200"/>
        <w:rPr>
          <w:rFonts w:ascii="Times New Roman" w:hAnsi="Times New Roman" w:eastAsia="宋体" w:cs="Times New Roman"/>
          <w:color w:val="auto"/>
          <w:sz w:val="24"/>
          <w:szCs w:val="22"/>
        </w:rPr>
      </w:pPr>
      <w:r>
        <w:rPr>
          <w:rFonts w:hint="eastAsia" w:ascii="Times New Roman" w:hAnsi="Times New Roman" w:eastAsia="宋体" w:cs="Times New Roman"/>
          <w:color w:val="auto"/>
          <w:sz w:val="24"/>
          <w:szCs w:val="22"/>
        </w:rPr>
        <w:t>6. 监督与落实</w:t>
      </w:r>
    </w:p>
    <w:p w14:paraId="277A88E2">
      <w:pPr>
        <w:spacing w:line="300" w:lineRule="auto"/>
        <w:ind w:firstLine="480" w:firstLineChars="200"/>
        <w:rPr>
          <w:rFonts w:ascii="Times New Roman" w:hAnsi="Times New Roman" w:eastAsia="宋体" w:cs="Times New Roman"/>
          <w:color w:val="auto"/>
          <w:sz w:val="24"/>
          <w:szCs w:val="22"/>
        </w:rPr>
      </w:pPr>
      <w:r>
        <w:rPr>
          <w:rFonts w:ascii="Times New Roman" w:hAnsi="Times New Roman" w:eastAsia="宋体" w:cs="Times New Roman"/>
          <w:color w:val="auto"/>
          <w:sz w:val="24"/>
          <w:szCs w:val="22"/>
        </w:rPr>
        <w:fldChar w:fldCharType="begin"/>
      </w:r>
      <w:r>
        <w:rPr>
          <w:rFonts w:ascii="Times New Roman" w:hAnsi="Times New Roman" w:eastAsia="宋体" w:cs="Times New Roman"/>
          <w:color w:val="auto"/>
          <w:sz w:val="24"/>
          <w:szCs w:val="22"/>
        </w:rPr>
        <w:instrText xml:space="preserve"> </w:instrText>
      </w:r>
      <w:r>
        <w:rPr>
          <w:rFonts w:hint="eastAsia" w:ascii="Times New Roman" w:hAnsi="Times New Roman" w:eastAsia="宋体" w:cs="Times New Roman"/>
          <w:color w:val="auto"/>
          <w:sz w:val="24"/>
          <w:szCs w:val="22"/>
        </w:rPr>
        <w:instrText xml:space="preserve">= 1 \* GB3</w:instrText>
      </w:r>
      <w:r>
        <w:rPr>
          <w:rFonts w:ascii="Times New Roman" w:hAnsi="Times New Roman" w:eastAsia="宋体" w:cs="Times New Roman"/>
          <w:color w:val="auto"/>
          <w:sz w:val="24"/>
          <w:szCs w:val="22"/>
        </w:rPr>
        <w:instrText xml:space="preserve"> </w:instrText>
      </w:r>
      <w:r>
        <w:rPr>
          <w:rFonts w:ascii="Times New Roman" w:hAnsi="Times New Roman" w:eastAsia="宋体" w:cs="Times New Roman"/>
          <w:color w:val="auto"/>
          <w:sz w:val="24"/>
          <w:szCs w:val="22"/>
        </w:rPr>
        <w:fldChar w:fldCharType="separate"/>
      </w:r>
      <w:r>
        <w:rPr>
          <w:rFonts w:hint="eastAsia" w:ascii="Times New Roman" w:hAnsi="Times New Roman" w:eastAsia="宋体" w:cs="Times New Roman"/>
          <w:color w:val="auto"/>
          <w:sz w:val="24"/>
          <w:szCs w:val="22"/>
        </w:rPr>
        <w:t>①</w:t>
      </w:r>
      <w:r>
        <w:rPr>
          <w:rFonts w:ascii="Times New Roman" w:hAnsi="Times New Roman" w:eastAsia="宋体" w:cs="Times New Roman"/>
          <w:color w:val="auto"/>
          <w:sz w:val="24"/>
          <w:szCs w:val="22"/>
        </w:rPr>
        <w:fldChar w:fldCharType="end"/>
      </w:r>
      <w:r>
        <w:rPr>
          <w:rFonts w:hint="eastAsia" w:ascii="Times New Roman" w:hAnsi="Times New Roman" w:eastAsia="宋体" w:cs="Times New Roman"/>
          <w:color w:val="auto"/>
          <w:sz w:val="24"/>
          <w:szCs w:val="22"/>
        </w:rPr>
        <w:t xml:space="preserve"> 建设单位与施工单位须将上述敏感目标保护措施纳入合同与监理细则，</w:t>
      </w:r>
      <w:r>
        <w:rPr>
          <w:rFonts w:ascii="Times New Roman" w:hAnsi="Times New Roman" w:eastAsia="宋体" w:cs="Times New Roman"/>
          <w:color w:val="auto"/>
          <w:sz w:val="24"/>
          <w:szCs w:val="22"/>
        </w:rPr>
        <w:t>成立专项降噪管控小组，专人负责敏感路段噪声管控、时段把控、</w:t>
      </w:r>
      <w:r>
        <w:rPr>
          <w:rFonts w:hint="eastAsia" w:ascii="Times New Roman" w:hAnsi="Times New Roman" w:eastAsia="宋体" w:cs="Times New Roman"/>
          <w:color w:val="auto"/>
          <w:sz w:val="24"/>
          <w:szCs w:val="22"/>
          <w:lang w:eastAsia="zh-CN"/>
        </w:rPr>
        <w:t>巡察</w:t>
      </w:r>
      <w:r>
        <w:rPr>
          <w:rFonts w:ascii="Times New Roman" w:hAnsi="Times New Roman" w:eastAsia="宋体" w:cs="Times New Roman"/>
          <w:color w:val="auto"/>
          <w:sz w:val="24"/>
          <w:szCs w:val="22"/>
        </w:rPr>
        <w:t>整改工作，</w:t>
      </w:r>
      <w:r>
        <w:rPr>
          <w:rFonts w:hint="eastAsia" w:ascii="Times New Roman" w:hAnsi="Times New Roman" w:eastAsia="宋体" w:cs="Times New Roman"/>
          <w:color w:val="auto"/>
          <w:sz w:val="24"/>
          <w:szCs w:val="22"/>
        </w:rPr>
        <w:t>确保责任到人。</w:t>
      </w:r>
    </w:p>
    <w:p w14:paraId="5A22227F">
      <w:pPr>
        <w:spacing w:line="300" w:lineRule="auto"/>
        <w:ind w:firstLine="480" w:firstLineChars="200"/>
        <w:rPr>
          <w:rFonts w:ascii="Times New Roman" w:hAnsi="Times New Roman" w:eastAsia="宋体" w:cs="Times New Roman"/>
          <w:color w:val="auto"/>
          <w:sz w:val="24"/>
          <w:szCs w:val="22"/>
        </w:rPr>
      </w:pPr>
      <w:r>
        <w:rPr>
          <w:rFonts w:ascii="Times New Roman" w:hAnsi="Times New Roman" w:eastAsia="宋体" w:cs="Times New Roman"/>
          <w:color w:val="auto"/>
          <w:sz w:val="24"/>
          <w:szCs w:val="22"/>
        </w:rPr>
        <w:fldChar w:fldCharType="begin"/>
      </w:r>
      <w:r>
        <w:rPr>
          <w:rFonts w:ascii="Times New Roman" w:hAnsi="Times New Roman" w:eastAsia="宋体" w:cs="Times New Roman"/>
          <w:color w:val="auto"/>
          <w:sz w:val="24"/>
          <w:szCs w:val="22"/>
        </w:rPr>
        <w:instrText xml:space="preserve"> </w:instrText>
      </w:r>
      <w:r>
        <w:rPr>
          <w:rFonts w:hint="eastAsia" w:ascii="Times New Roman" w:hAnsi="Times New Roman" w:eastAsia="宋体" w:cs="Times New Roman"/>
          <w:color w:val="auto"/>
          <w:sz w:val="24"/>
          <w:szCs w:val="22"/>
        </w:rPr>
        <w:instrText xml:space="preserve">= 2 \* GB3</w:instrText>
      </w:r>
      <w:r>
        <w:rPr>
          <w:rFonts w:ascii="Times New Roman" w:hAnsi="Times New Roman" w:eastAsia="宋体" w:cs="Times New Roman"/>
          <w:color w:val="auto"/>
          <w:sz w:val="24"/>
          <w:szCs w:val="22"/>
        </w:rPr>
        <w:instrText xml:space="preserve"> </w:instrText>
      </w:r>
      <w:r>
        <w:rPr>
          <w:rFonts w:ascii="Times New Roman" w:hAnsi="Times New Roman" w:eastAsia="宋体" w:cs="Times New Roman"/>
          <w:color w:val="auto"/>
          <w:sz w:val="24"/>
          <w:szCs w:val="22"/>
        </w:rPr>
        <w:fldChar w:fldCharType="separate"/>
      </w:r>
      <w:r>
        <w:rPr>
          <w:rFonts w:hint="eastAsia" w:ascii="Times New Roman" w:hAnsi="Times New Roman" w:eastAsia="宋体" w:cs="Times New Roman"/>
          <w:color w:val="auto"/>
          <w:sz w:val="24"/>
          <w:szCs w:val="22"/>
        </w:rPr>
        <w:t>②</w:t>
      </w:r>
      <w:r>
        <w:rPr>
          <w:rFonts w:ascii="Times New Roman" w:hAnsi="Times New Roman" w:eastAsia="宋体" w:cs="Times New Roman"/>
          <w:color w:val="auto"/>
          <w:sz w:val="24"/>
          <w:szCs w:val="22"/>
        </w:rPr>
        <w:fldChar w:fldCharType="end"/>
      </w:r>
      <w:r>
        <w:rPr>
          <w:rFonts w:hint="eastAsia" w:ascii="Times New Roman" w:hAnsi="Times New Roman" w:eastAsia="宋体" w:cs="Times New Roman"/>
          <w:color w:val="auto"/>
          <w:sz w:val="24"/>
          <w:szCs w:val="22"/>
        </w:rPr>
        <w:t xml:space="preserve"> </w:t>
      </w:r>
      <w:r>
        <w:rPr>
          <w:rFonts w:ascii="Times New Roman" w:hAnsi="Times New Roman" w:eastAsia="宋体" w:cs="Times New Roman"/>
          <w:color w:val="auto"/>
          <w:sz w:val="24"/>
          <w:szCs w:val="22"/>
        </w:rPr>
        <w:t>施工前对全体作业人员开展噪声防控专项交底，明确居民区、卫生院、学校不同敏感点的管控标准、禁工时段、降噪要求，杜绝违规作业。</w:t>
      </w:r>
    </w:p>
    <w:p w14:paraId="698E49A8">
      <w:pPr>
        <w:spacing w:line="300" w:lineRule="auto"/>
        <w:ind w:firstLine="480" w:firstLineChars="200"/>
        <w:rPr>
          <w:rFonts w:ascii="Times New Roman" w:hAnsi="Times New Roman" w:eastAsia="宋体" w:cs="Times New Roman"/>
          <w:color w:val="auto"/>
          <w:sz w:val="24"/>
          <w:szCs w:val="22"/>
        </w:rPr>
      </w:pPr>
      <w:r>
        <w:rPr>
          <w:rFonts w:ascii="Times New Roman" w:hAnsi="Times New Roman" w:eastAsia="宋体" w:cs="Times New Roman"/>
          <w:color w:val="auto"/>
          <w:sz w:val="24"/>
          <w:szCs w:val="22"/>
        </w:rPr>
        <w:fldChar w:fldCharType="begin"/>
      </w:r>
      <w:r>
        <w:rPr>
          <w:rFonts w:ascii="Times New Roman" w:hAnsi="Times New Roman" w:eastAsia="宋体" w:cs="Times New Roman"/>
          <w:color w:val="auto"/>
          <w:sz w:val="24"/>
          <w:szCs w:val="22"/>
        </w:rPr>
        <w:instrText xml:space="preserve"> </w:instrText>
      </w:r>
      <w:r>
        <w:rPr>
          <w:rFonts w:hint="eastAsia" w:ascii="Times New Roman" w:hAnsi="Times New Roman" w:eastAsia="宋体" w:cs="Times New Roman"/>
          <w:color w:val="auto"/>
          <w:sz w:val="24"/>
          <w:szCs w:val="22"/>
        </w:rPr>
        <w:instrText xml:space="preserve">= 3 \* GB3</w:instrText>
      </w:r>
      <w:r>
        <w:rPr>
          <w:rFonts w:ascii="Times New Roman" w:hAnsi="Times New Roman" w:eastAsia="宋体" w:cs="Times New Roman"/>
          <w:color w:val="auto"/>
          <w:sz w:val="24"/>
          <w:szCs w:val="22"/>
        </w:rPr>
        <w:instrText xml:space="preserve"> </w:instrText>
      </w:r>
      <w:r>
        <w:rPr>
          <w:rFonts w:ascii="Times New Roman" w:hAnsi="Times New Roman" w:eastAsia="宋体" w:cs="Times New Roman"/>
          <w:color w:val="auto"/>
          <w:sz w:val="24"/>
          <w:szCs w:val="22"/>
        </w:rPr>
        <w:fldChar w:fldCharType="separate"/>
      </w:r>
      <w:r>
        <w:rPr>
          <w:rFonts w:hint="eastAsia" w:ascii="Times New Roman" w:hAnsi="Times New Roman" w:eastAsia="宋体" w:cs="Times New Roman"/>
          <w:color w:val="auto"/>
          <w:sz w:val="24"/>
          <w:szCs w:val="22"/>
        </w:rPr>
        <w:t>③</w:t>
      </w:r>
      <w:r>
        <w:rPr>
          <w:rFonts w:ascii="Times New Roman" w:hAnsi="Times New Roman" w:eastAsia="宋体" w:cs="Times New Roman"/>
          <w:color w:val="auto"/>
          <w:sz w:val="24"/>
          <w:szCs w:val="22"/>
        </w:rPr>
        <w:fldChar w:fldCharType="end"/>
      </w:r>
      <w:r>
        <w:rPr>
          <w:rFonts w:hint="eastAsia" w:ascii="Times New Roman" w:hAnsi="Times New Roman" w:eastAsia="宋体" w:cs="Times New Roman"/>
          <w:color w:val="auto"/>
          <w:sz w:val="24"/>
          <w:szCs w:val="22"/>
        </w:rPr>
        <w:t xml:space="preserve"> </w:t>
      </w:r>
      <w:r>
        <w:rPr>
          <w:rFonts w:ascii="Times New Roman" w:hAnsi="Times New Roman" w:eastAsia="宋体" w:cs="Times New Roman"/>
          <w:color w:val="auto"/>
          <w:sz w:val="24"/>
          <w:szCs w:val="22"/>
        </w:rPr>
        <w:t>建立与沿线村镇、卫生院、学校的常态化沟通机制，提前公示施工计划、降噪方案及禁工时段，及时响应群众诉求，动态调整施工安排。</w:t>
      </w:r>
    </w:p>
    <w:p w14:paraId="79CF7B51">
      <w:pPr>
        <w:spacing w:line="300" w:lineRule="auto"/>
        <w:ind w:firstLine="480" w:firstLineChars="200"/>
        <w:rPr>
          <w:rFonts w:ascii="Times New Roman" w:hAnsi="Times New Roman" w:eastAsia="宋体" w:cs="Times New Roman"/>
          <w:color w:val="auto"/>
          <w:sz w:val="24"/>
          <w:szCs w:val="22"/>
        </w:rPr>
      </w:pPr>
      <w:r>
        <w:rPr>
          <w:rFonts w:hint="eastAsia" w:ascii="宋体" w:hAnsi="宋体" w:eastAsia="宋体" w:cs="Times New Roman"/>
          <w:color w:val="auto"/>
          <w:sz w:val="24"/>
          <w:szCs w:val="22"/>
        </w:rPr>
        <w:t>④</w:t>
      </w:r>
      <w:r>
        <w:rPr>
          <w:rFonts w:hint="eastAsia" w:ascii="Times New Roman" w:hAnsi="Times New Roman" w:eastAsia="宋体" w:cs="Times New Roman"/>
          <w:color w:val="auto"/>
          <w:sz w:val="24"/>
          <w:szCs w:val="22"/>
        </w:rPr>
        <w:t xml:space="preserve"> </w:t>
      </w:r>
      <w:r>
        <w:rPr>
          <w:rFonts w:ascii="Times New Roman" w:hAnsi="Times New Roman" w:eastAsia="宋体" w:cs="Times New Roman"/>
          <w:color w:val="auto"/>
          <w:sz w:val="24"/>
          <w:szCs w:val="22"/>
        </w:rPr>
        <w:t>监理单位每日开展噪声防控巡查，定期核查设备降噪、围挡布设、时段管控落实情况，将噪声防控成效纳入施工班组考核，确保各项降噪措施落地见效，全面保障项目施工期沿线声环境质量达标。</w:t>
      </w:r>
    </w:p>
    <w:p w14:paraId="4FFF3A0F">
      <w:pPr>
        <w:spacing w:line="300" w:lineRule="auto"/>
        <w:ind w:firstLine="480" w:firstLineChars="200"/>
        <w:rPr>
          <w:rFonts w:ascii="Times New Roman" w:hAnsi="Times New Roman" w:eastAsia="宋体" w:cs="Times New Roman"/>
          <w:color w:val="auto"/>
          <w:sz w:val="24"/>
          <w:szCs w:val="22"/>
        </w:rPr>
      </w:pPr>
      <w:r>
        <w:rPr>
          <w:rFonts w:hint="eastAsia" w:ascii="宋体" w:hAnsi="宋体" w:eastAsia="宋体" w:cs="Times New Roman"/>
          <w:color w:val="auto"/>
          <w:sz w:val="24"/>
          <w:szCs w:val="22"/>
        </w:rPr>
        <w:t>⑤</w:t>
      </w:r>
      <w:r>
        <w:rPr>
          <w:rFonts w:hint="eastAsia" w:ascii="Times New Roman" w:hAnsi="Times New Roman" w:eastAsia="宋体" w:cs="Times New Roman"/>
          <w:color w:val="auto"/>
          <w:sz w:val="24"/>
          <w:szCs w:val="22"/>
        </w:rPr>
        <w:t xml:space="preserve"> 接受主管部门与社会监督，对违规行为依法查处，确保各项措施执行到位。</w:t>
      </w:r>
    </w:p>
    <w:p w14:paraId="47945082">
      <w:pPr>
        <w:spacing w:line="300" w:lineRule="auto"/>
        <w:ind w:firstLine="480" w:firstLineChars="200"/>
        <w:rPr>
          <w:rFonts w:ascii="Times New Roman" w:hAnsi="Times New Roman" w:eastAsia="宋体" w:cs="Times New Roman"/>
          <w:color w:val="auto"/>
          <w:sz w:val="24"/>
          <w:szCs w:val="22"/>
        </w:rPr>
      </w:pPr>
      <w:r>
        <w:rPr>
          <w:rFonts w:hint="eastAsia" w:ascii="Times New Roman" w:hAnsi="Times New Roman" w:eastAsia="宋体" w:cs="Times New Roman"/>
          <w:color w:val="auto"/>
          <w:sz w:val="24"/>
          <w:szCs w:val="22"/>
        </w:rPr>
        <w:t>通过落实上述“源头削减、传播阻断、分时分区、强化管理、公众参与”的综合措施，可将施工期环境影响降至最低，实现绿色文明施工。</w:t>
      </w:r>
    </w:p>
    <w:p w14:paraId="273941E8">
      <w:pPr>
        <w:keepNext/>
        <w:keepLines/>
        <w:widowControl w:val="0"/>
        <w:adjustRightInd w:val="0"/>
        <w:spacing w:before="240" w:after="240" w:line="240" w:lineRule="auto"/>
        <w:jc w:val="both"/>
        <w:textAlignment w:val="baseline"/>
        <w:outlineLvl w:val="1"/>
        <w:rPr>
          <w:rFonts w:ascii="Times New Roman" w:hAnsi="Times New Roman" w:eastAsia="宋体" w:cs="Times New Roman"/>
          <w:b/>
          <w:bCs/>
          <w:kern w:val="0"/>
          <w:sz w:val="28"/>
          <w:szCs w:val="32"/>
          <w:lang w:val="en-US" w:eastAsia="zh-CN" w:bidi="ar-SA"/>
        </w:rPr>
      </w:pPr>
      <w:r>
        <w:rPr>
          <w:rFonts w:ascii="Times New Roman" w:hAnsi="Times New Roman" w:eastAsia="宋体" w:cs="Times New Roman"/>
          <w:b/>
          <w:bCs/>
          <w:kern w:val="0"/>
          <w:sz w:val="28"/>
          <w:szCs w:val="32"/>
          <w:lang w:val="en-US" w:eastAsia="zh-CN" w:bidi="ar-SA"/>
        </w:rPr>
        <w:t>5.</w:t>
      </w:r>
      <w:r>
        <w:rPr>
          <w:rFonts w:hint="eastAsia" w:ascii="Times New Roman" w:hAnsi="Times New Roman" w:eastAsia="宋体" w:cs="Times New Roman"/>
          <w:b/>
          <w:bCs/>
          <w:kern w:val="0"/>
          <w:sz w:val="28"/>
          <w:szCs w:val="32"/>
          <w:lang w:val="en-US" w:eastAsia="zh-CN" w:bidi="ar-SA"/>
        </w:rPr>
        <w:t>3</w:t>
      </w:r>
      <w:r>
        <w:rPr>
          <w:rFonts w:ascii="Times New Roman" w:hAnsi="Times New Roman" w:eastAsia="宋体" w:cs="Times New Roman"/>
          <w:b/>
          <w:bCs/>
          <w:kern w:val="0"/>
          <w:sz w:val="28"/>
          <w:szCs w:val="32"/>
          <w:lang w:val="en-US" w:eastAsia="zh-CN" w:bidi="ar-SA"/>
        </w:rPr>
        <w:t xml:space="preserve"> 运营期声污染防治措施</w:t>
      </w:r>
      <w:bookmarkEnd w:id="230"/>
    </w:p>
    <w:p w14:paraId="7BB5EADC">
      <w:pPr>
        <w:spacing w:line="30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1. 声环境保护措施配置原则</w:t>
      </w:r>
    </w:p>
    <w:p w14:paraId="37574A87">
      <w:pPr>
        <w:spacing w:line="30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拟建</w:t>
      </w:r>
      <w:r>
        <w:rPr>
          <w:rFonts w:hint="eastAsia" w:ascii="Times New Roman" w:hAnsi="Times New Roman" w:eastAsia="宋体" w:cs="Times New Roman"/>
          <w:sz w:val="24"/>
        </w:rPr>
        <w:t>公路</w:t>
      </w:r>
      <w:r>
        <w:rPr>
          <w:rFonts w:ascii="Times New Roman" w:hAnsi="Times New Roman" w:eastAsia="宋体" w:cs="Times New Roman"/>
          <w:sz w:val="24"/>
        </w:rPr>
        <w:t>在改善区域交通条件的同时，将对周边环境增加新的噪声污染源，并对沿线环境敏感点产生交通噪声污染。</w:t>
      </w:r>
    </w:p>
    <w:p w14:paraId="70552C50">
      <w:pPr>
        <w:spacing w:line="30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防治道路交通噪声可以从以下几个方面着手：</w:t>
      </w:r>
      <w:r>
        <w:rPr>
          <w:rFonts w:hint="eastAsia" w:ascii="Times New Roman" w:hAnsi="Times New Roman" w:eastAsia="宋体" w:cs="Times New Roman"/>
          <w:sz w:val="24"/>
          <w:lang w:eastAsia="zh-CN"/>
        </w:rPr>
        <w:t>第一，</w:t>
      </w:r>
      <w:r>
        <w:rPr>
          <w:rFonts w:ascii="Times New Roman" w:hAnsi="Times New Roman" w:eastAsia="宋体" w:cs="Times New Roman"/>
          <w:sz w:val="24"/>
        </w:rPr>
        <w:t>做好规划设计工作，这包括做好路线的规划设计，尽可能将线路远离噪声敏感点，这在拟建项目设计阶段中已做了较多考虑。同样，规划居民住宅区、学校、医院等噪声敏感目标时，也应使其远离交通干道；第二，采取工程措施控制和降低交通噪声的危害，例如：调整公路线位、公路两侧加设声屏障、居民住宅环保搬迁、种植绿化林带降噪或对建筑物做吸隔声处理等。</w:t>
      </w:r>
    </w:p>
    <w:p w14:paraId="51B4083F">
      <w:pPr>
        <w:spacing w:line="300" w:lineRule="auto"/>
        <w:ind w:firstLine="480" w:firstLineChars="200"/>
        <w:rPr>
          <w:rFonts w:ascii="Times New Roman" w:hAnsi="Times New Roman" w:eastAsia="宋体" w:cs="Times New Roman"/>
          <w:snapToGrid w:val="0"/>
          <w:sz w:val="24"/>
          <w:szCs w:val="20"/>
        </w:rPr>
      </w:pPr>
      <w:r>
        <w:rPr>
          <w:rFonts w:ascii="Times New Roman" w:hAnsi="Times New Roman" w:eastAsia="宋体" w:cs="Times New Roman"/>
          <w:snapToGrid w:val="0"/>
          <w:sz w:val="24"/>
          <w:szCs w:val="20"/>
        </w:rPr>
        <w:t>根据环境保护部《地面交通噪声污染防治技术政策》(环发[2010]7号)文要求：该技术政策规定了合理规划布局、噪声源控制、传声途径噪声削减、敏感建筑物噪声防护、加强交通噪声管理五个方面的地面交通噪声污染防治技术原则和方法。坚持预防为主的原则，在技术经济可行条件下，优先考虑对噪声源和传声途径采取工程技术措施，实施噪声主动控制。建设单位、运营单位应当采取间隔必要的距离、噪声源控制、传声途径噪声削减等有效措施，以使室外声环境质量</w:t>
      </w:r>
      <w:r>
        <w:rPr>
          <w:rFonts w:hint="eastAsia" w:ascii="Times New Roman" w:hAnsi="Times New Roman" w:eastAsia="宋体" w:cs="Times New Roman"/>
          <w:snapToGrid w:val="0"/>
          <w:sz w:val="24"/>
          <w:szCs w:val="20"/>
          <w:lang w:eastAsia="zh-CN"/>
        </w:rPr>
        <w:t>达到</w:t>
      </w:r>
      <w:r>
        <w:rPr>
          <w:rFonts w:ascii="Times New Roman" w:hAnsi="Times New Roman" w:eastAsia="宋体" w:cs="Times New Roman"/>
          <w:snapToGrid w:val="0"/>
          <w:sz w:val="24"/>
          <w:szCs w:val="20"/>
        </w:rPr>
        <w:t>《声环境质量标准》</w:t>
      </w:r>
      <w:r>
        <w:rPr>
          <w:rFonts w:ascii="Times New Roman" w:hAnsi="Times New Roman" w:eastAsia="宋体" w:cs="Times New Roman"/>
          <w:sz w:val="24"/>
          <w:szCs w:val="20"/>
        </w:rPr>
        <w:t>（GB3096-2008）</w:t>
      </w:r>
      <w:r>
        <w:rPr>
          <w:rFonts w:ascii="Times New Roman" w:hAnsi="Times New Roman" w:eastAsia="宋体" w:cs="Times New Roman"/>
          <w:snapToGrid w:val="0"/>
          <w:sz w:val="24"/>
          <w:szCs w:val="20"/>
        </w:rPr>
        <w:t>相应标准；如通过技术经济论证，认为不宜对交通噪声实施主动控制的，建设单位、运营单位应对噪声敏感建筑物采取有效的噪声防护措施，保证室内合理的声环境质量。</w:t>
      </w:r>
    </w:p>
    <w:p w14:paraId="77BD8AB2">
      <w:pPr>
        <w:spacing w:line="300" w:lineRule="auto"/>
        <w:ind w:firstLine="480" w:firstLineChars="200"/>
        <w:rPr>
          <w:rFonts w:ascii="Times New Roman" w:hAnsi="Times New Roman" w:eastAsia="宋体" w:cs="Times New Roman"/>
          <w:snapToGrid w:val="0"/>
          <w:sz w:val="24"/>
          <w:szCs w:val="20"/>
        </w:rPr>
      </w:pPr>
      <w:r>
        <w:rPr>
          <w:rFonts w:ascii="Times New Roman" w:hAnsi="Times New Roman" w:eastAsia="宋体" w:cs="Times New Roman"/>
          <w:snapToGrid w:val="0"/>
          <w:sz w:val="24"/>
          <w:szCs w:val="20"/>
        </w:rPr>
        <w:t>如采取室外达标的技术手段不可行，应考虑对噪声敏感建筑物采取被动防护措施</w:t>
      </w:r>
      <w:r>
        <w:rPr>
          <w:rFonts w:hint="eastAsia" w:ascii="Times New Roman" w:hAnsi="Times New Roman" w:eastAsia="宋体" w:cs="Times New Roman"/>
          <w:snapToGrid w:val="0"/>
          <w:sz w:val="24"/>
          <w:szCs w:val="20"/>
        </w:rPr>
        <w:t>（</w:t>
      </w:r>
      <w:r>
        <w:rPr>
          <w:rFonts w:ascii="Times New Roman" w:hAnsi="Times New Roman" w:eastAsia="宋体" w:cs="Times New Roman"/>
          <w:snapToGrid w:val="0"/>
          <w:sz w:val="24"/>
          <w:szCs w:val="20"/>
        </w:rPr>
        <w:t>如隔声门窗、通风消声窗等</w:t>
      </w:r>
      <w:r>
        <w:rPr>
          <w:rFonts w:hint="eastAsia" w:ascii="Times New Roman" w:hAnsi="Times New Roman" w:eastAsia="宋体" w:cs="Times New Roman"/>
          <w:snapToGrid w:val="0"/>
          <w:sz w:val="24"/>
          <w:szCs w:val="20"/>
        </w:rPr>
        <w:t>）</w:t>
      </w:r>
      <w:r>
        <w:rPr>
          <w:rFonts w:ascii="Times New Roman" w:hAnsi="Times New Roman" w:eastAsia="宋体" w:cs="Times New Roman"/>
          <w:snapToGrid w:val="0"/>
          <w:sz w:val="24"/>
          <w:szCs w:val="20"/>
        </w:rPr>
        <w:t>，对室内声环境质量进行合理保护。对噪声敏感建筑物采取被动防护措施，建筑设计单位应依据</w:t>
      </w:r>
      <w:r>
        <w:rPr>
          <w:rFonts w:hint="eastAsia" w:ascii="Times New Roman" w:hAnsi="Times New Roman" w:eastAsia="宋体" w:cs="Times New Roman"/>
          <w:snapToGrid w:val="0"/>
          <w:sz w:val="24"/>
          <w:szCs w:val="20"/>
        </w:rPr>
        <w:t>《建筑环境通用规范》(GB55016-2021)</w:t>
      </w:r>
      <w:r>
        <w:rPr>
          <w:rFonts w:ascii="Times New Roman" w:hAnsi="Times New Roman" w:eastAsia="宋体" w:cs="Times New Roman"/>
          <w:snapToGrid w:val="0"/>
          <w:sz w:val="24"/>
          <w:szCs w:val="20"/>
        </w:rPr>
        <w:t>等有关规范文件要求，使室内声环境质量达到有关标准要求，同时宜合理考虑当地气候特点对通风的要求。</w:t>
      </w:r>
    </w:p>
    <w:p w14:paraId="097E99C2">
      <w:pPr>
        <w:spacing w:line="300" w:lineRule="auto"/>
        <w:ind w:firstLine="482"/>
        <w:rPr>
          <w:rFonts w:ascii="Times New Roman" w:hAnsi="Times New Roman" w:eastAsia="宋体" w:cs="Times New Roman"/>
          <w:sz w:val="24"/>
        </w:rPr>
      </w:pPr>
      <w:r>
        <w:rPr>
          <w:rFonts w:ascii="Times New Roman" w:hAnsi="Times New Roman" w:eastAsia="宋体" w:cs="Times New Roman"/>
          <w:sz w:val="24"/>
        </w:rPr>
        <w:t>针对拟建</w:t>
      </w:r>
      <w:r>
        <w:rPr>
          <w:rFonts w:hint="eastAsia" w:ascii="Times New Roman" w:hAnsi="Times New Roman" w:eastAsia="宋体" w:cs="Times New Roman"/>
          <w:sz w:val="24"/>
        </w:rPr>
        <w:t>公路</w:t>
      </w:r>
      <w:r>
        <w:rPr>
          <w:rFonts w:ascii="Times New Roman" w:hAnsi="Times New Roman" w:eastAsia="宋体" w:cs="Times New Roman"/>
          <w:sz w:val="24"/>
        </w:rPr>
        <w:t>的具体建设情况和环境特点</w:t>
      </w:r>
      <w:r>
        <w:rPr>
          <w:rFonts w:ascii="Times New Roman" w:hAnsi="Times New Roman" w:eastAsia="宋体" w:cs="Times New Roman"/>
          <w:snapToGrid w:val="0"/>
          <w:sz w:val="24"/>
        </w:rPr>
        <w:t>以及以上政策法规的要求</w:t>
      </w:r>
      <w:r>
        <w:rPr>
          <w:rFonts w:ascii="Times New Roman" w:hAnsi="Times New Roman" w:eastAsia="宋体" w:cs="Times New Roman"/>
          <w:sz w:val="24"/>
        </w:rPr>
        <w:t>，本评价提出以下声环境保护原则：</w:t>
      </w:r>
    </w:p>
    <w:p w14:paraId="5AF25F4A">
      <w:pPr>
        <w:spacing w:line="300" w:lineRule="auto"/>
        <w:ind w:firstLine="480" w:firstLineChars="200"/>
        <w:rPr>
          <w:rFonts w:ascii="Times New Roman" w:hAnsi="Times New Roman" w:eastAsia="宋体" w:cs="Times New Roman"/>
          <w:sz w:val="24"/>
        </w:rPr>
      </w:pPr>
      <w:r>
        <w:rPr>
          <w:rFonts w:ascii="Times New Roman" w:hAnsi="Times New Roman" w:eastAsia="宋体" w:cs="Times New Roman"/>
          <w:bCs/>
          <w:sz w:val="24"/>
        </w:rPr>
        <w:t>(</w:t>
      </w:r>
      <w:r>
        <w:rPr>
          <w:rFonts w:hint="eastAsia" w:ascii="Times New Roman" w:hAnsi="Times New Roman" w:eastAsia="宋体" w:cs="Times New Roman"/>
          <w:bCs/>
          <w:sz w:val="24"/>
        </w:rPr>
        <w:t>1</w:t>
      </w:r>
      <w:r>
        <w:rPr>
          <w:rFonts w:ascii="Times New Roman" w:hAnsi="Times New Roman" w:eastAsia="宋体" w:cs="Times New Roman"/>
          <w:bCs/>
          <w:sz w:val="24"/>
        </w:rPr>
        <w:t>)</w:t>
      </w:r>
      <w:r>
        <w:rPr>
          <w:rFonts w:ascii="Times New Roman" w:hAnsi="Times New Roman" w:eastAsia="宋体" w:cs="Times New Roman"/>
          <w:sz w:val="24"/>
        </w:rPr>
        <w:t xml:space="preserve"> </w:t>
      </w:r>
      <w:r>
        <w:rPr>
          <w:rFonts w:ascii="Times New Roman" w:hAnsi="Times New Roman" w:eastAsia="宋体" w:cs="Times New Roman"/>
          <w:snapToGrid w:val="0"/>
          <w:sz w:val="24"/>
        </w:rPr>
        <w:t>对于营运中期环境噪声预测结果超标的声环境保护目标采取一定的工程降噪措施，</w:t>
      </w:r>
      <w:r>
        <w:rPr>
          <w:rFonts w:hint="eastAsia" w:ascii="Times New Roman" w:hAnsi="Times New Roman" w:eastAsia="宋体" w:cs="Times New Roman"/>
          <w:snapToGrid w:val="0"/>
          <w:sz w:val="24"/>
        </w:rPr>
        <w:t>噪声</w:t>
      </w:r>
      <w:r>
        <w:rPr>
          <w:rFonts w:ascii="Times New Roman" w:hAnsi="Times New Roman" w:eastAsia="宋体" w:cs="Times New Roman"/>
          <w:snapToGrid w:val="0"/>
          <w:sz w:val="24"/>
        </w:rPr>
        <w:t>防治应优先采取噪声源和传播途径控制技术措施，必要时，可提出声环境保护目标自身防护措施。因此本项目优先采取声屏障、</w:t>
      </w:r>
      <w:r>
        <w:rPr>
          <w:rFonts w:hint="eastAsia" w:ascii="Times New Roman" w:hAnsi="Times New Roman" w:eastAsia="宋体" w:cs="Times New Roman"/>
          <w:snapToGrid w:val="0"/>
          <w:sz w:val="24"/>
        </w:rPr>
        <w:t>限速</w:t>
      </w:r>
      <w:r>
        <w:rPr>
          <w:rFonts w:ascii="Times New Roman" w:hAnsi="Times New Roman" w:eastAsia="宋体" w:cs="Times New Roman"/>
          <w:snapToGrid w:val="0"/>
          <w:sz w:val="24"/>
        </w:rPr>
        <w:t>等降噪措施，对于超标严重和距离较远的声环境保护目标辅之以隔声窗等措施以保证室内环境达标。其他声环境保护目标选择代表性的进行跟踪监测，视监测结果采取必要的声环境保护措施。</w:t>
      </w:r>
    </w:p>
    <w:p w14:paraId="5170691D">
      <w:pPr>
        <w:spacing w:line="300" w:lineRule="auto"/>
        <w:ind w:firstLine="480" w:firstLineChars="200"/>
        <w:rPr>
          <w:rFonts w:ascii="Times New Roman" w:hAnsi="Times New Roman" w:eastAsia="宋体" w:cs="Times New Roman"/>
          <w:sz w:val="24"/>
        </w:rPr>
      </w:pPr>
      <w:r>
        <w:rPr>
          <w:rFonts w:ascii="Times New Roman" w:hAnsi="Times New Roman" w:eastAsia="宋体" w:cs="Times New Roman"/>
          <w:bCs/>
          <w:sz w:val="24"/>
        </w:rPr>
        <w:t>(</w:t>
      </w:r>
      <w:r>
        <w:rPr>
          <w:rFonts w:hint="eastAsia" w:ascii="Times New Roman" w:hAnsi="Times New Roman" w:eastAsia="宋体" w:cs="Times New Roman"/>
          <w:bCs/>
          <w:sz w:val="24"/>
        </w:rPr>
        <w:t>2</w:t>
      </w:r>
      <w:r>
        <w:rPr>
          <w:rFonts w:ascii="Times New Roman" w:hAnsi="Times New Roman" w:eastAsia="宋体" w:cs="Times New Roman"/>
          <w:bCs/>
          <w:sz w:val="24"/>
        </w:rPr>
        <w:t>)</w:t>
      </w:r>
      <w:r>
        <w:rPr>
          <w:rFonts w:hint="eastAsia" w:ascii="宋体" w:hAnsi="宋体" w:eastAsia="宋体" w:cs="宋体"/>
          <w:sz w:val="24"/>
        </w:rPr>
        <w:t xml:space="preserve"> </w:t>
      </w:r>
      <w:r>
        <w:rPr>
          <w:rFonts w:ascii="Times New Roman" w:hAnsi="Times New Roman" w:eastAsia="宋体" w:cs="Times New Roman"/>
          <w:sz w:val="24"/>
        </w:rPr>
        <w:t>严格执行限速和禁止超载等交通规则，在通过沿线学校、卫生院及人口密度较大的村镇附近设置禁鸣标志，以减少交通噪声扰民问题。</w:t>
      </w:r>
    </w:p>
    <w:p w14:paraId="2B6D6471">
      <w:pPr>
        <w:adjustRightInd w:val="0"/>
        <w:spacing w:line="300" w:lineRule="auto"/>
        <w:ind w:firstLine="480" w:firstLineChars="200"/>
        <w:textAlignment w:val="baseline"/>
        <w:rPr>
          <w:rFonts w:ascii="Times New Roman" w:hAnsi="Times New Roman" w:eastAsia="宋体" w:cs="Times New Roman"/>
          <w:sz w:val="24"/>
        </w:rPr>
      </w:pPr>
      <w:r>
        <w:rPr>
          <w:rFonts w:ascii="Times New Roman" w:hAnsi="Times New Roman" w:eastAsia="宋体" w:cs="Times New Roman"/>
          <w:bCs/>
          <w:sz w:val="24"/>
        </w:rPr>
        <w:t>(</w:t>
      </w:r>
      <w:r>
        <w:rPr>
          <w:rFonts w:hint="eastAsia" w:ascii="Times New Roman" w:hAnsi="Times New Roman" w:eastAsia="宋体" w:cs="Times New Roman"/>
          <w:bCs/>
          <w:sz w:val="24"/>
        </w:rPr>
        <w:t>3</w:t>
      </w:r>
      <w:r>
        <w:rPr>
          <w:rFonts w:ascii="Times New Roman" w:hAnsi="Times New Roman" w:eastAsia="宋体" w:cs="Times New Roman"/>
          <w:bCs/>
          <w:sz w:val="24"/>
        </w:rPr>
        <w:t>)</w:t>
      </w:r>
      <w:r>
        <w:rPr>
          <w:rFonts w:hint="eastAsia" w:ascii="宋体" w:hAnsi="宋体" w:eastAsia="宋体" w:cs="宋体"/>
          <w:sz w:val="24"/>
        </w:rPr>
        <w:t xml:space="preserve"> </w:t>
      </w:r>
      <w:r>
        <w:rPr>
          <w:rFonts w:ascii="Times New Roman" w:hAnsi="Times New Roman" w:eastAsia="宋体" w:cs="Times New Roman"/>
          <w:sz w:val="24"/>
        </w:rPr>
        <w:t>加强</w:t>
      </w:r>
      <w:r>
        <w:rPr>
          <w:rFonts w:hint="eastAsia" w:ascii="Times New Roman" w:hAnsi="Times New Roman" w:eastAsia="宋体" w:cs="Times New Roman"/>
          <w:sz w:val="24"/>
        </w:rPr>
        <w:t>拟建</w:t>
      </w:r>
      <w:r>
        <w:rPr>
          <w:rFonts w:ascii="Times New Roman" w:hAnsi="Times New Roman" w:eastAsia="宋体" w:cs="Times New Roman"/>
          <w:sz w:val="24"/>
        </w:rPr>
        <w:t>公路沿线的声环境质量的环境监测工作，对可能受到较严重污染的声环境保护目标实行环境噪声定期监测制度，根据因交通量增大引起的声环境污染程度，及时采取相应的减缓措施。</w:t>
      </w:r>
    </w:p>
    <w:p w14:paraId="6D813220">
      <w:pPr>
        <w:adjustRightInd w:val="0"/>
        <w:spacing w:line="300" w:lineRule="auto"/>
        <w:ind w:firstLine="480" w:firstLineChars="200"/>
        <w:textAlignment w:val="baseline"/>
        <w:rPr>
          <w:rFonts w:ascii="Times New Roman" w:hAnsi="Times New Roman" w:eastAsia="宋体" w:cs="Times New Roman"/>
          <w:sz w:val="24"/>
        </w:rPr>
      </w:pPr>
      <w:r>
        <w:rPr>
          <w:rFonts w:ascii="Times New Roman" w:hAnsi="Times New Roman" w:eastAsia="宋体" w:cs="Times New Roman"/>
          <w:bCs/>
          <w:sz w:val="24"/>
        </w:rPr>
        <w:t>(</w:t>
      </w:r>
      <w:r>
        <w:rPr>
          <w:rFonts w:hint="eastAsia" w:ascii="Times New Roman" w:hAnsi="Times New Roman" w:eastAsia="宋体" w:cs="Times New Roman"/>
          <w:bCs/>
          <w:sz w:val="24"/>
        </w:rPr>
        <w:t>4</w:t>
      </w:r>
      <w:r>
        <w:rPr>
          <w:rFonts w:ascii="Times New Roman" w:hAnsi="Times New Roman" w:eastAsia="宋体" w:cs="Times New Roman"/>
          <w:bCs/>
          <w:sz w:val="24"/>
        </w:rPr>
        <w:t>)</w:t>
      </w:r>
      <w:r>
        <w:rPr>
          <w:rFonts w:hint="eastAsia" w:ascii="Times New Roman" w:hAnsi="Times New Roman" w:eastAsia="宋体" w:cs="Times New Roman"/>
          <w:bCs/>
          <w:sz w:val="24"/>
        </w:rPr>
        <w:t xml:space="preserve"> </w:t>
      </w:r>
      <w:r>
        <w:rPr>
          <w:rFonts w:hint="eastAsia" w:ascii="Times New Roman" w:hAnsi="Times New Roman" w:eastAsia="宋体" w:cs="Times New Roman"/>
          <w:sz w:val="24"/>
        </w:rPr>
        <w:t>拟建</w:t>
      </w:r>
      <w:r>
        <w:rPr>
          <w:rFonts w:ascii="Times New Roman" w:hAnsi="Times New Roman" w:eastAsia="宋体" w:cs="Times New Roman"/>
          <w:sz w:val="24"/>
        </w:rPr>
        <w:t>公路沿线区域在未采取降噪措施的情况下，建议格达良乡在后期规划时，对于本项目两侧距路中心线</w:t>
      </w:r>
      <w:r>
        <w:rPr>
          <w:rFonts w:hint="eastAsia" w:ascii="Times New Roman" w:hAnsi="Times New Roman" w:eastAsia="宋体" w:cs="Times New Roman"/>
          <w:sz w:val="24"/>
        </w:rPr>
        <w:t>190</w:t>
      </w:r>
      <w:r>
        <w:rPr>
          <w:rFonts w:ascii="Times New Roman" w:hAnsi="Times New Roman" w:eastAsia="宋体" w:cs="Times New Roman"/>
          <w:sz w:val="24"/>
        </w:rPr>
        <w:t>m以内区域的临路第一排房屋不宜居住用地，特别是学校、医院、敬老院等特殊敏感建筑规划建设用地。如确需建设上述噪声敏感建筑物时，应自行采取降噪措施。</w:t>
      </w:r>
    </w:p>
    <w:p w14:paraId="1FE305D8">
      <w:pPr>
        <w:widowControl w:val="0"/>
        <w:spacing w:line="300" w:lineRule="auto"/>
        <w:ind w:firstLine="480" w:firstLineChars="200"/>
        <w:jc w:val="both"/>
        <w:rPr>
          <w:rFonts w:ascii="Times New Roman" w:hAnsi="Times New Roman" w:eastAsia="宋体" w:cs="Times New Roman"/>
          <w:kern w:val="2"/>
          <w:sz w:val="24"/>
          <w:szCs w:val="24"/>
          <w:lang w:val="en-US" w:eastAsia="zh-CN" w:bidi="ar-SA"/>
        </w:rPr>
      </w:pPr>
      <w:bookmarkStart w:id="235" w:name="_Hlk42247536"/>
      <w:r>
        <w:rPr>
          <w:rFonts w:ascii="Times New Roman" w:hAnsi="Times New Roman" w:eastAsia="宋体" w:cs="Times New Roman"/>
          <w:bCs/>
          <w:kern w:val="2"/>
          <w:sz w:val="24"/>
          <w:szCs w:val="20"/>
          <w:lang w:val="en-US" w:eastAsia="zh-CN" w:bidi="ar-SA"/>
        </w:rPr>
        <w:t>(</w:t>
      </w:r>
      <w:r>
        <w:rPr>
          <w:rFonts w:hint="eastAsia" w:ascii="Times New Roman" w:hAnsi="Times New Roman" w:eastAsia="宋体" w:cs="Times New Roman"/>
          <w:bCs/>
          <w:kern w:val="2"/>
          <w:sz w:val="24"/>
          <w:szCs w:val="20"/>
          <w:lang w:val="en-US" w:eastAsia="zh-CN" w:bidi="ar-SA"/>
        </w:rPr>
        <w:t>5</w:t>
      </w:r>
      <w:r>
        <w:rPr>
          <w:rFonts w:ascii="Times New Roman" w:hAnsi="Times New Roman" w:eastAsia="宋体" w:cs="Times New Roman"/>
          <w:bCs/>
          <w:kern w:val="2"/>
          <w:sz w:val="24"/>
          <w:szCs w:val="20"/>
          <w:lang w:val="en-US" w:eastAsia="zh-CN" w:bidi="ar-SA"/>
        </w:rPr>
        <w:t>)</w:t>
      </w:r>
      <w:r>
        <w:rPr>
          <w:rFonts w:hint="eastAsia" w:ascii="宋体" w:hAnsi="宋体" w:eastAsia="宋体" w:cs="宋体"/>
          <w:kern w:val="2"/>
          <w:sz w:val="24"/>
          <w:szCs w:val="20"/>
          <w:lang w:val="en-US" w:eastAsia="zh-CN" w:bidi="ar-SA"/>
        </w:rPr>
        <w:t xml:space="preserve"> </w:t>
      </w:r>
      <w:r>
        <w:rPr>
          <w:rFonts w:ascii="Times New Roman" w:hAnsi="Times New Roman" w:eastAsia="宋体" w:cs="Times New Roman"/>
          <w:kern w:val="2"/>
          <w:sz w:val="24"/>
          <w:szCs w:val="20"/>
          <w:lang w:val="en-US" w:eastAsia="zh-CN" w:bidi="ar-SA"/>
        </w:rPr>
        <w:t>经常养护路面，保证本项目的良好路况。</w:t>
      </w:r>
      <w:bookmarkEnd w:id="235"/>
    </w:p>
    <w:p w14:paraId="100466AF">
      <w:pPr>
        <w:adjustRightInd w:val="0"/>
        <w:spacing w:line="300" w:lineRule="auto"/>
        <w:ind w:firstLine="480" w:firstLineChars="200"/>
        <w:textAlignment w:val="baseline"/>
        <w:rPr>
          <w:rFonts w:ascii="Times New Roman" w:hAnsi="Times New Roman" w:eastAsia="宋体" w:cs="Times New Roman"/>
          <w:sz w:val="24"/>
        </w:rPr>
      </w:pPr>
      <w:r>
        <w:rPr>
          <w:rFonts w:ascii="Times New Roman" w:hAnsi="Times New Roman" w:eastAsia="宋体" w:cs="Times New Roman"/>
          <w:bCs/>
          <w:sz w:val="24"/>
        </w:rPr>
        <w:t>(</w:t>
      </w:r>
      <w:r>
        <w:rPr>
          <w:rFonts w:hint="eastAsia" w:ascii="Times New Roman" w:hAnsi="Times New Roman" w:eastAsia="宋体" w:cs="Times New Roman"/>
          <w:bCs/>
          <w:sz w:val="24"/>
        </w:rPr>
        <w:t>6</w:t>
      </w:r>
      <w:r>
        <w:rPr>
          <w:rFonts w:ascii="Times New Roman" w:hAnsi="Times New Roman" w:eastAsia="宋体" w:cs="Times New Roman"/>
          <w:bCs/>
          <w:sz w:val="24"/>
        </w:rPr>
        <w:t>)</w:t>
      </w:r>
      <w:r>
        <w:rPr>
          <w:rFonts w:hint="eastAsia" w:ascii="宋体" w:hAnsi="宋体" w:eastAsia="宋体" w:cs="宋体"/>
          <w:spacing w:val="5"/>
          <w:sz w:val="24"/>
        </w:rPr>
        <w:t xml:space="preserve"> </w:t>
      </w:r>
      <w:r>
        <w:rPr>
          <w:rFonts w:ascii="Times New Roman" w:hAnsi="Times New Roman" w:eastAsia="宋体" w:cs="Times New Roman"/>
          <w:spacing w:val="5"/>
          <w:sz w:val="24"/>
        </w:rPr>
        <w:t>结合当地生态建设规划，加强</w:t>
      </w:r>
      <w:r>
        <w:rPr>
          <w:rFonts w:hint="eastAsia" w:ascii="Times New Roman" w:hAnsi="Times New Roman" w:eastAsia="宋体" w:cs="Times New Roman"/>
          <w:spacing w:val="5"/>
          <w:sz w:val="24"/>
        </w:rPr>
        <w:t>拟建</w:t>
      </w:r>
      <w:r>
        <w:rPr>
          <w:rFonts w:ascii="Times New Roman" w:hAnsi="Times New Roman" w:eastAsia="宋体" w:cs="Times New Roman"/>
          <w:spacing w:val="5"/>
          <w:sz w:val="24"/>
        </w:rPr>
        <w:t>公路征地范围内可绿化地段的绿化工作。对路堤边坡、排水沟边及立交路段等进行绿化工程设计，加强对交通噪声的阻隔、吸收作用。同时尽量利用村镇与公路之间的闲散空地营建四旁林。</w:t>
      </w:r>
    </w:p>
    <w:p w14:paraId="3771EBD8">
      <w:pPr>
        <w:spacing w:line="300" w:lineRule="auto"/>
        <w:ind w:left="480"/>
        <w:rPr>
          <w:rFonts w:ascii="Times New Roman" w:hAnsi="Times New Roman" w:eastAsia="宋体" w:cs="Times New Roman"/>
          <w:sz w:val="24"/>
        </w:rPr>
      </w:pPr>
      <w:r>
        <w:rPr>
          <w:rFonts w:ascii="Times New Roman" w:hAnsi="Times New Roman" w:eastAsia="宋体" w:cs="Times New Roman"/>
          <w:sz w:val="24"/>
        </w:rPr>
        <w:t>2. 敏感点声环境保护措施</w:t>
      </w:r>
    </w:p>
    <w:p w14:paraId="2ACD879B">
      <w:pPr>
        <w:spacing w:line="300" w:lineRule="auto"/>
        <w:ind w:firstLine="480" w:firstLineChars="200"/>
        <w:rPr>
          <w:rFonts w:ascii="Times New Roman" w:hAnsi="Times New Roman" w:eastAsia="宋体" w:cs="Times New Roman"/>
          <w:sz w:val="24"/>
          <w:szCs w:val="20"/>
        </w:rPr>
      </w:pPr>
      <w:r>
        <w:rPr>
          <w:rFonts w:ascii="Times New Roman" w:hAnsi="Times New Roman" w:eastAsia="宋体" w:cs="Times New Roman"/>
          <w:sz w:val="24"/>
          <w:szCs w:val="20"/>
        </w:rPr>
        <w:t>根据声环境保护原则，结合超标敏感点的环境特征，建议的声环境保护措施如下：</w:t>
      </w:r>
    </w:p>
    <w:p w14:paraId="35FF0707">
      <w:pPr>
        <w:spacing w:line="300" w:lineRule="auto"/>
        <w:ind w:firstLine="482"/>
        <w:rPr>
          <w:rFonts w:ascii="Times New Roman" w:hAnsi="Times New Roman" w:eastAsia="宋体" w:cs="Times New Roman"/>
          <w:sz w:val="24"/>
        </w:rPr>
      </w:pPr>
      <w:r>
        <w:rPr>
          <w:rFonts w:ascii="Times New Roman" w:hAnsi="Times New Roman" w:eastAsia="宋体" w:cs="Times New Roman"/>
          <w:sz w:val="24"/>
        </w:rPr>
        <w:t>(1) 营运中期环境噪声预测值超标的敏感点防噪措施</w:t>
      </w:r>
    </w:p>
    <w:p w14:paraId="7000D59A">
      <w:pPr>
        <w:spacing w:line="300" w:lineRule="auto"/>
        <w:ind w:firstLine="482"/>
        <w:rPr>
          <w:rFonts w:ascii="Times New Roman" w:hAnsi="Times New Roman" w:eastAsia="宋体" w:cs="Times New Roman"/>
          <w:sz w:val="24"/>
        </w:rPr>
      </w:pPr>
      <w:r>
        <w:rPr>
          <w:rFonts w:ascii="Times New Roman" w:hAnsi="Times New Roman" w:eastAsia="宋体" w:cs="Times New Roman"/>
          <w:sz w:val="24"/>
        </w:rPr>
        <w:t>为使拟建项目沿线两侧居民有一个安静的生活环境，根据敏感点噪声预测超标情况、位置、规模、当地条件以及工程特点来采取相应的噪声防治措施。</w:t>
      </w:r>
    </w:p>
    <w:p w14:paraId="759FB1B0">
      <w:pPr>
        <w:spacing w:line="30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一般来说，可供选择的声环境保护措施有：建声屏障、降噪路面、环保搬迁、绿化降噪、限速、隔声窗等。各种措施方案比选和降噪效果分析见表5.</w:t>
      </w:r>
      <w:r>
        <w:rPr>
          <w:rFonts w:hint="eastAsia" w:ascii="Times New Roman" w:hAnsi="Times New Roman" w:eastAsia="宋体" w:cs="Times New Roman"/>
          <w:sz w:val="24"/>
        </w:rPr>
        <w:t>3</w:t>
      </w:r>
      <w:r>
        <w:rPr>
          <w:rFonts w:ascii="Times New Roman" w:hAnsi="Times New Roman" w:eastAsia="宋体" w:cs="Times New Roman"/>
          <w:sz w:val="24"/>
        </w:rPr>
        <w:t>-1。</w:t>
      </w:r>
    </w:p>
    <w:p w14:paraId="22C61B1B">
      <w:pPr>
        <w:sectPr>
          <w:headerReference r:id="rId97" w:type="default"/>
          <w:footerReference r:id="rId98" w:type="default"/>
          <w:pgSz w:w="11906" w:h="16838"/>
          <w:pgMar w:top="1440" w:right="1797" w:bottom="1560" w:left="1797" w:header="851" w:footer="992" w:gutter="0"/>
          <w:pgBorders>
            <w:top w:val="none" w:sz="0" w:space="0"/>
            <w:left w:val="none" w:sz="0" w:space="0"/>
            <w:bottom w:val="none" w:sz="0" w:space="0"/>
            <w:right w:val="none" w:sz="0" w:space="0"/>
          </w:pgBorders>
          <w:cols w:space="720" w:num="1"/>
          <w:docGrid w:linePitch="312" w:charSpace="0"/>
        </w:sectPr>
      </w:pPr>
    </w:p>
    <w:p w14:paraId="2E9AB321">
      <w:pPr>
        <w:spacing w:beforeLines="50"/>
        <w:jc w:val="center"/>
        <w:rPr>
          <w:rFonts w:ascii="Times New Roman" w:hAnsi="Times New Roman" w:eastAsia="宋体" w:cs="Times New Roman"/>
          <w:b/>
        </w:rPr>
      </w:pPr>
      <w:r>
        <w:rPr>
          <w:rFonts w:ascii="Times New Roman" w:hAnsi="Times New Roman" w:eastAsia="宋体" w:cs="Times New Roman"/>
          <w:b/>
        </w:rPr>
        <w:t>表5.</w:t>
      </w:r>
      <w:r>
        <w:rPr>
          <w:rFonts w:hint="eastAsia" w:ascii="Times New Roman" w:hAnsi="Times New Roman" w:eastAsia="宋体" w:cs="Times New Roman"/>
          <w:b/>
        </w:rPr>
        <w:t>3</w:t>
      </w:r>
      <w:r>
        <w:rPr>
          <w:rFonts w:ascii="Times New Roman" w:hAnsi="Times New Roman" w:eastAsia="宋体" w:cs="Times New Roman"/>
          <w:b/>
        </w:rPr>
        <w:t>-1 常用降噪措施一览表</w:t>
      </w:r>
    </w:p>
    <w:tbl>
      <w:tblPr>
        <w:tblStyle w:val="22"/>
        <w:tblW w:w="8647" w:type="dxa"/>
        <w:jc w:val="center"/>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1019"/>
        <w:gridCol w:w="1574"/>
        <w:gridCol w:w="1518"/>
        <w:gridCol w:w="2909"/>
        <w:gridCol w:w="1627"/>
      </w:tblGrid>
      <w:tr w14:paraId="44042983">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tblHeader/>
          <w:jc w:val="center"/>
        </w:trPr>
        <w:tc>
          <w:tcPr>
            <w:tcW w:w="589" w:type="pct"/>
            <w:vAlign w:val="center"/>
          </w:tcPr>
          <w:p w14:paraId="01CBFD9B">
            <w:pPr>
              <w:snapToGrid w:val="0"/>
              <w:spacing w:line="260" w:lineRule="exact"/>
              <w:jc w:val="center"/>
              <w:rPr>
                <w:rFonts w:ascii="Times New Roman" w:hAnsi="Times New Roman" w:eastAsia="宋体" w:cs="Times New Roman"/>
                <w:b/>
                <w:bCs/>
                <w:szCs w:val="21"/>
              </w:rPr>
            </w:pPr>
            <w:r>
              <w:rPr>
                <w:rFonts w:ascii="Times New Roman" w:hAnsi="Times New Roman" w:eastAsia="宋体" w:cs="Times New Roman"/>
                <w:b/>
                <w:bCs/>
                <w:szCs w:val="21"/>
              </w:rPr>
              <w:t>防治措施</w:t>
            </w:r>
          </w:p>
        </w:tc>
        <w:tc>
          <w:tcPr>
            <w:tcW w:w="910" w:type="pct"/>
            <w:vAlign w:val="center"/>
          </w:tcPr>
          <w:p w14:paraId="68C67C20">
            <w:pPr>
              <w:snapToGrid w:val="0"/>
              <w:spacing w:line="260" w:lineRule="exact"/>
              <w:jc w:val="center"/>
              <w:rPr>
                <w:rFonts w:ascii="Times New Roman" w:hAnsi="Times New Roman" w:eastAsia="宋体" w:cs="Times New Roman"/>
                <w:b/>
                <w:bCs/>
                <w:szCs w:val="21"/>
              </w:rPr>
            </w:pPr>
            <w:r>
              <w:rPr>
                <w:rFonts w:ascii="Times New Roman" w:hAnsi="Times New Roman" w:eastAsia="宋体" w:cs="Times New Roman"/>
                <w:b/>
                <w:bCs/>
                <w:szCs w:val="21"/>
              </w:rPr>
              <w:t>优点</w:t>
            </w:r>
          </w:p>
        </w:tc>
        <w:tc>
          <w:tcPr>
            <w:tcW w:w="878" w:type="pct"/>
            <w:vAlign w:val="center"/>
          </w:tcPr>
          <w:p w14:paraId="3F4BDEDD">
            <w:pPr>
              <w:snapToGrid w:val="0"/>
              <w:spacing w:line="260" w:lineRule="exact"/>
              <w:jc w:val="center"/>
              <w:rPr>
                <w:rFonts w:ascii="Times New Roman" w:hAnsi="Times New Roman" w:eastAsia="宋体" w:cs="Times New Roman"/>
                <w:b/>
                <w:bCs/>
                <w:szCs w:val="21"/>
              </w:rPr>
            </w:pPr>
            <w:r>
              <w:rPr>
                <w:rFonts w:ascii="Times New Roman" w:hAnsi="Times New Roman" w:eastAsia="宋体" w:cs="Times New Roman"/>
                <w:b/>
                <w:bCs/>
                <w:szCs w:val="21"/>
              </w:rPr>
              <w:t>缺点</w:t>
            </w:r>
          </w:p>
        </w:tc>
        <w:tc>
          <w:tcPr>
            <w:tcW w:w="1682" w:type="pct"/>
            <w:vAlign w:val="center"/>
          </w:tcPr>
          <w:p w14:paraId="009C013E">
            <w:pPr>
              <w:snapToGrid w:val="0"/>
              <w:spacing w:line="260" w:lineRule="exact"/>
              <w:jc w:val="center"/>
              <w:rPr>
                <w:rFonts w:ascii="Times New Roman" w:hAnsi="Times New Roman" w:eastAsia="宋体" w:cs="Times New Roman"/>
                <w:b/>
                <w:bCs/>
                <w:szCs w:val="21"/>
              </w:rPr>
            </w:pPr>
            <w:r>
              <w:rPr>
                <w:rFonts w:ascii="Times New Roman" w:hAnsi="Times New Roman" w:eastAsia="宋体" w:cs="Times New Roman"/>
                <w:b/>
                <w:bCs/>
                <w:szCs w:val="21"/>
              </w:rPr>
              <w:t>防治效果</w:t>
            </w:r>
          </w:p>
        </w:tc>
        <w:tc>
          <w:tcPr>
            <w:tcW w:w="941" w:type="pct"/>
            <w:vAlign w:val="center"/>
          </w:tcPr>
          <w:p w14:paraId="3F02A5E9">
            <w:pPr>
              <w:snapToGrid w:val="0"/>
              <w:spacing w:line="260" w:lineRule="exact"/>
              <w:jc w:val="center"/>
              <w:rPr>
                <w:rFonts w:ascii="Times New Roman" w:hAnsi="Times New Roman" w:eastAsia="宋体" w:cs="Times New Roman"/>
                <w:b/>
                <w:bCs/>
                <w:szCs w:val="21"/>
              </w:rPr>
            </w:pPr>
            <w:r>
              <w:rPr>
                <w:rFonts w:ascii="Times New Roman" w:hAnsi="Times New Roman" w:eastAsia="宋体" w:cs="Times New Roman"/>
                <w:b/>
                <w:bCs/>
                <w:szCs w:val="21"/>
              </w:rPr>
              <w:t>实施费用</w:t>
            </w:r>
          </w:p>
        </w:tc>
      </w:tr>
      <w:tr w14:paraId="75202491">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589" w:type="pct"/>
            <w:tcMar>
              <w:left w:w="28" w:type="dxa"/>
              <w:right w:w="28" w:type="dxa"/>
            </w:tcMar>
            <w:vAlign w:val="center"/>
          </w:tcPr>
          <w:p w14:paraId="0555D899">
            <w:pPr>
              <w:snapToGrid w:val="0"/>
              <w:spacing w:line="260" w:lineRule="exact"/>
              <w:jc w:val="center"/>
              <w:rPr>
                <w:rFonts w:ascii="Times New Roman" w:hAnsi="Times New Roman" w:eastAsia="宋体" w:cs="Times New Roman"/>
                <w:szCs w:val="21"/>
              </w:rPr>
            </w:pPr>
            <w:r>
              <w:rPr>
                <w:rFonts w:ascii="Times New Roman" w:hAnsi="Times New Roman" w:eastAsia="宋体" w:cs="Times New Roman"/>
                <w:szCs w:val="21"/>
              </w:rPr>
              <w:t>声屏障</w:t>
            </w:r>
          </w:p>
        </w:tc>
        <w:tc>
          <w:tcPr>
            <w:tcW w:w="910" w:type="pct"/>
            <w:tcMar>
              <w:left w:w="28" w:type="dxa"/>
              <w:right w:w="28" w:type="dxa"/>
            </w:tcMar>
            <w:vAlign w:val="center"/>
          </w:tcPr>
          <w:p w14:paraId="0A4BBB6C">
            <w:pPr>
              <w:snapToGrid w:val="0"/>
              <w:spacing w:line="260" w:lineRule="exact"/>
              <w:rPr>
                <w:rFonts w:ascii="Times New Roman" w:hAnsi="Times New Roman" w:eastAsia="宋体" w:cs="Times New Roman"/>
                <w:szCs w:val="21"/>
              </w:rPr>
            </w:pPr>
            <w:r>
              <w:rPr>
                <w:rFonts w:ascii="Times New Roman" w:hAnsi="Times New Roman" w:eastAsia="宋体" w:cs="Times New Roman"/>
                <w:szCs w:val="21"/>
              </w:rPr>
              <w:t>节约土地、简单、实用、可行、有效、一次性投资小，易在公路建设中实施</w:t>
            </w:r>
            <w:r>
              <w:rPr>
                <w:rFonts w:hint="eastAsia" w:ascii="Times New Roman" w:hAnsi="Times New Roman" w:eastAsia="宋体" w:cs="Times New Roman"/>
                <w:szCs w:val="21"/>
              </w:rPr>
              <w:t>。</w:t>
            </w:r>
          </w:p>
        </w:tc>
        <w:tc>
          <w:tcPr>
            <w:tcW w:w="878" w:type="pct"/>
            <w:tcMar>
              <w:left w:w="28" w:type="dxa"/>
              <w:right w:w="28" w:type="dxa"/>
            </w:tcMar>
            <w:vAlign w:val="center"/>
          </w:tcPr>
          <w:p w14:paraId="05474351">
            <w:pPr>
              <w:snapToGrid w:val="0"/>
              <w:spacing w:line="260" w:lineRule="exact"/>
              <w:rPr>
                <w:rFonts w:ascii="Times New Roman" w:hAnsi="Times New Roman" w:eastAsia="宋体" w:cs="Times New Roman"/>
                <w:szCs w:val="21"/>
              </w:rPr>
            </w:pPr>
            <w:r>
              <w:rPr>
                <w:rFonts w:ascii="Times New Roman" w:hAnsi="Times New Roman" w:eastAsia="宋体" w:cs="Times New Roman"/>
                <w:spacing w:val="4"/>
                <w:szCs w:val="21"/>
              </w:rPr>
              <w:t>距公路较近的敏感点防噪效果好，</w:t>
            </w:r>
            <w:r>
              <w:rPr>
                <w:rFonts w:ascii="Times New Roman" w:hAnsi="Times New Roman" w:eastAsia="宋体" w:cs="Times New Roman"/>
                <w:szCs w:val="21"/>
              </w:rPr>
              <w:t>造价较高；影响行车安全。</w:t>
            </w:r>
          </w:p>
        </w:tc>
        <w:tc>
          <w:tcPr>
            <w:tcW w:w="1682" w:type="pct"/>
            <w:tcMar>
              <w:left w:w="28" w:type="dxa"/>
              <w:right w:w="28" w:type="dxa"/>
            </w:tcMar>
            <w:vAlign w:val="center"/>
          </w:tcPr>
          <w:p w14:paraId="254B3731">
            <w:pPr>
              <w:snapToGrid w:val="0"/>
              <w:spacing w:line="260" w:lineRule="exact"/>
              <w:rPr>
                <w:rFonts w:ascii="Times New Roman" w:hAnsi="Times New Roman" w:eastAsia="宋体" w:cs="Times New Roman"/>
                <w:szCs w:val="21"/>
              </w:rPr>
            </w:pPr>
            <w:r>
              <w:rPr>
                <w:rFonts w:ascii="Times New Roman" w:hAnsi="Times New Roman" w:eastAsia="宋体" w:cs="Times New Roman"/>
                <w:szCs w:val="21"/>
              </w:rPr>
              <w:t>声屏障设计应由专业环保设计和结构设计单位承担，且首先应做好声屏障声学设计，即合理设计声屏障位置、高度、长度、插入损失值、声学材料等。一般可降低噪声</w:t>
            </w:r>
            <w:r>
              <w:rPr>
                <w:rFonts w:hint="eastAsia" w:ascii="Times New Roman" w:hAnsi="Times New Roman" w:eastAsia="宋体" w:cs="Times New Roman"/>
                <w:szCs w:val="21"/>
              </w:rPr>
              <w:t>6</w:t>
            </w:r>
            <w:r>
              <w:rPr>
                <w:rFonts w:ascii="Times New Roman" w:hAnsi="Times New Roman" w:eastAsia="宋体" w:cs="Times New Roman"/>
                <w:szCs w:val="21"/>
              </w:rPr>
              <w:t>~1</w:t>
            </w:r>
            <w:r>
              <w:rPr>
                <w:rFonts w:hint="eastAsia" w:ascii="Times New Roman" w:hAnsi="Times New Roman" w:eastAsia="宋体" w:cs="Times New Roman"/>
                <w:szCs w:val="21"/>
              </w:rPr>
              <w:t>0</w:t>
            </w:r>
            <w:r>
              <w:rPr>
                <w:rFonts w:ascii="Times New Roman" w:hAnsi="Times New Roman" w:eastAsia="宋体" w:cs="Times New Roman"/>
                <w:szCs w:val="21"/>
              </w:rPr>
              <w:t>dB</w:t>
            </w:r>
            <w:r>
              <w:rPr>
                <w:rFonts w:hint="eastAsia" w:ascii="Times New Roman" w:hAnsi="Times New Roman" w:eastAsia="宋体" w:cs="Times New Roman"/>
                <w:szCs w:val="21"/>
              </w:rPr>
              <w:t>。</w:t>
            </w:r>
          </w:p>
        </w:tc>
        <w:tc>
          <w:tcPr>
            <w:tcW w:w="941" w:type="pct"/>
            <w:tcMar>
              <w:left w:w="28" w:type="dxa"/>
              <w:right w:w="28" w:type="dxa"/>
            </w:tcMar>
            <w:vAlign w:val="center"/>
          </w:tcPr>
          <w:p w14:paraId="0734B543">
            <w:pPr>
              <w:snapToGrid w:val="0"/>
              <w:spacing w:line="260" w:lineRule="exact"/>
              <w:jc w:val="left"/>
              <w:rPr>
                <w:rFonts w:ascii="Times New Roman" w:hAnsi="Times New Roman" w:eastAsia="宋体" w:cs="Times New Roman"/>
                <w:szCs w:val="21"/>
              </w:rPr>
            </w:pPr>
            <w:r>
              <w:rPr>
                <w:rFonts w:ascii="Times New Roman" w:hAnsi="Times New Roman" w:eastAsia="宋体" w:cs="Times New Roman"/>
                <w:szCs w:val="21"/>
              </w:rPr>
              <w:t>2000~4000元/m</w:t>
            </w:r>
            <w:r>
              <w:rPr>
                <w:rFonts w:hint="eastAsia" w:ascii="Times New Roman" w:hAnsi="Times New Roman" w:eastAsia="宋体" w:cs="Times New Roman"/>
                <w:szCs w:val="21"/>
              </w:rPr>
              <w:t>（</w:t>
            </w:r>
            <w:r>
              <w:rPr>
                <w:rFonts w:ascii="Times New Roman" w:hAnsi="Times New Roman" w:eastAsia="宋体" w:cs="Times New Roman"/>
                <w:szCs w:val="21"/>
              </w:rPr>
              <w:t>根据声学材料区别</w:t>
            </w:r>
            <w:r>
              <w:rPr>
                <w:rFonts w:hint="eastAsia" w:ascii="Times New Roman" w:hAnsi="Times New Roman" w:eastAsia="宋体" w:cs="Times New Roman"/>
                <w:szCs w:val="21"/>
              </w:rPr>
              <w:t>）</w:t>
            </w:r>
          </w:p>
        </w:tc>
      </w:tr>
      <w:tr w14:paraId="0B2085B7">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589" w:type="pct"/>
            <w:tcMar>
              <w:left w:w="28" w:type="dxa"/>
              <w:right w:w="28" w:type="dxa"/>
            </w:tcMar>
            <w:vAlign w:val="center"/>
          </w:tcPr>
          <w:p w14:paraId="4D9CD22B">
            <w:pPr>
              <w:snapToGrid w:val="0"/>
              <w:spacing w:line="260" w:lineRule="exact"/>
              <w:jc w:val="center"/>
              <w:rPr>
                <w:rFonts w:ascii="Times New Roman" w:hAnsi="Times New Roman" w:eastAsia="宋体" w:cs="Times New Roman"/>
                <w:szCs w:val="21"/>
              </w:rPr>
            </w:pPr>
            <w:r>
              <w:rPr>
                <w:rFonts w:ascii="Times New Roman" w:hAnsi="Times New Roman" w:eastAsia="宋体" w:cs="Times New Roman"/>
                <w:szCs w:val="21"/>
              </w:rPr>
              <w:t>隔声窗</w:t>
            </w:r>
          </w:p>
        </w:tc>
        <w:tc>
          <w:tcPr>
            <w:tcW w:w="910" w:type="pct"/>
            <w:tcMar>
              <w:left w:w="28" w:type="dxa"/>
              <w:right w:w="28" w:type="dxa"/>
            </w:tcMar>
            <w:vAlign w:val="center"/>
          </w:tcPr>
          <w:p w14:paraId="36A8C571">
            <w:pPr>
              <w:snapToGrid w:val="0"/>
              <w:spacing w:line="260" w:lineRule="exact"/>
              <w:rPr>
                <w:rFonts w:ascii="Times New Roman" w:hAnsi="Times New Roman" w:eastAsia="宋体" w:cs="Times New Roman"/>
                <w:szCs w:val="21"/>
              </w:rPr>
            </w:pPr>
            <w:r>
              <w:rPr>
                <w:rFonts w:ascii="Times New Roman" w:hAnsi="Times New Roman" w:eastAsia="宋体" w:cs="Times New Roman"/>
                <w:szCs w:val="21"/>
              </w:rPr>
              <w:t>可用于公共建筑物，或者噪声污染特别严重，建筑结构较好的建筑物</w:t>
            </w:r>
            <w:r>
              <w:rPr>
                <w:rFonts w:hint="eastAsia" w:ascii="Times New Roman" w:hAnsi="Times New Roman" w:eastAsia="宋体" w:cs="Times New Roman"/>
                <w:szCs w:val="21"/>
              </w:rPr>
              <w:t>。</w:t>
            </w:r>
          </w:p>
        </w:tc>
        <w:tc>
          <w:tcPr>
            <w:tcW w:w="878" w:type="pct"/>
            <w:tcMar>
              <w:left w:w="28" w:type="dxa"/>
              <w:right w:w="28" w:type="dxa"/>
            </w:tcMar>
            <w:vAlign w:val="center"/>
          </w:tcPr>
          <w:p w14:paraId="5A7AAD7C">
            <w:pPr>
              <w:snapToGrid w:val="0"/>
              <w:spacing w:line="260" w:lineRule="exact"/>
              <w:rPr>
                <w:rFonts w:ascii="Times New Roman" w:hAnsi="Times New Roman" w:eastAsia="宋体" w:cs="Times New Roman"/>
                <w:szCs w:val="21"/>
              </w:rPr>
            </w:pPr>
            <w:r>
              <w:rPr>
                <w:rFonts w:ascii="Times New Roman" w:hAnsi="Times New Roman" w:eastAsia="宋体" w:cs="Times New Roman"/>
                <w:szCs w:val="21"/>
              </w:rPr>
              <w:t>需解决通风问题</w:t>
            </w:r>
            <w:r>
              <w:rPr>
                <w:rFonts w:hint="eastAsia" w:ascii="Times New Roman" w:hAnsi="Times New Roman" w:eastAsia="宋体" w:cs="Times New Roman"/>
                <w:szCs w:val="21"/>
              </w:rPr>
              <w:t>。</w:t>
            </w:r>
          </w:p>
        </w:tc>
        <w:tc>
          <w:tcPr>
            <w:tcW w:w="1682" w:type="pct"/>
            <w:tcMar>
              <w:left w:w="28" w:type="dxa"/>
              <w:right w:w="28" w:type="dxa"/>
            </w:tcMar>
            <w:vAlign w:val="center"/>
          </w:tcPr>
          <w:p w14:paraId="231AE76B">
            <w:pPr>
              <w:snapToGrid w:val="0"/>
              <w:spacing w:line="260" w:lineRule="exact"/>
              <w:rPr>
                <w:rFonts w:ascii="Times New Roman" w:hAnsi="Times New Roman" w:eastAsia="宋体" w:cs="Times New Roman"/>
                <w:szCs w:val="21"/>
              </w:rPr>
            </w:pPr>
            <w:r>
              <w:rPr>
                <w:rFonts w:ascii="Times New Roman" w:hAnsi="Times New Roman" w:eastAsia="宋体" w:cs="Times New Roman"/>
                <w:iCs/>
                <w:spacing w:val="-2"/>
                <w:szCs w:val="21"/>
              </w:rPr>
              <w:t>根据实际采用经验，在窗户全关闭的情况下，室内噪声可降低25dB左右，可大大减轻交通噪声对村庄的干扰。</w:t>
            </w:r>
          </w:p>
        </w:tc>
        <w:tc>
          <w:tcPr>
            <w:tcW w:w="941" w:type="pct"/>
            <w:tcMar>
              <w:left w:w="28" w:type="dxa"/>
              <w:right w:w="28" w:type="dxa"/>
            </w:tcMar>
            <w:vAlign w:val="center"/>
          </w:tcPr>
          <w:p w14:paraId="02D3F4E6">
            <w:pPr>
              <w:snapToGrid w:val="0"/>
              <w:spacing w:line="260" w:lineRule="exact"/>
              <w:rPr>
                <w:rFonts w:ascii="Times New Roman" w:hAnsi="Times New Roman" w:eastAsia="宋体" w:cs="Times New Roman"/>
                <w:szCs w:val="21"/>
                <w:vertAlign w:val="superscript"/>
              </w:rPr>
            </w:pPr>
            <w:r>
              <w:rPr>
                <w:rFonts w:ascii="Times New Roman" w:hAnsi="Times New Roman" w:eastAsia="宋体" w:cs="Times New Roman"/>
                <w:szCs w:val="21"/>
              </w:rPr>
              <w:t>根据项目区调查</w:t>
            </w:r>
            <w:r>
              <w:rPr>
                <w:rFonts w:hint="eastAsia" w:ascii="Times New Roman" w:hAnsi="Times New Roman" w:eastAsia="宋体" w:cs="Times New Roman"/>
                <w:szCs w:val="21"/>
              </w:rPr>
              <w:t>，</w:t>
            </w:r>
            <w:r>
              <w:rPr>
                <w:rFonts w:ascii="Times New Roman" w:hAnsi="Times New Roman" w:eastAsia="宋体" w:cs="Times New Roman"/>
                <w:szCs w:val="21"/>
              </w:rPr>
              <w:t>约1</w:t>
            </w:r>
            <w:r>
              <w:rPr>
                <w:rFonts w:hint="eastAsia" w:ascii="Times New Roman" w:hAnsi="Times New Roman" w:eastAsia="宋体" w:cs="Times New Roman"/>
                <w:szCs w:val="21"/>
              </w:rPr>
              <w:t>万</w:t>
            </w:r>
            <w:r>
              <w:rPr>
                <w:rFonts w:ascii="Times New Roman" w:hAnsi="Times New Roman" w:eastAsia="宋体" w:cs="Times New Roman"/>
                <w:szCs w:val="21"/>
              </w:rPr>
              <w:t>元/</w:t>
            </w:r>
            <w:r>
              <w:rPr>
                <w:rFonts w:hint="eastAsia" w:ascii="Times New Roman" w:hAnsi="Times New Roman" w:eastAsia="宋体" w:cs="Times New Roman"/>
                <w:szCs w:val="21"/>
              </w:rPr>
              <w:t>户</w:t>
            </w:r>
          </w:p>
        </w:tc>
      </w:tr>
      <w:tr w14:paraId="19883B7C">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589" w:type="pct"/>
            <w:tcMar>
              <w:left w:w="28" w:type="dxa"/>
              <w:right w:w="28" w:type="dxa"/>
            </w:tcMar>
            <w:vAlign w:val="center"/>
          </w:tcPr>
          <w:p w14:paraId="53AFCFDB">
            <w:pPr>
              <w:snapToGrid w:val="0"/>
              <w:spacing w:line="260" w:lineRule="exact"/>
              <w:jc w:val="center"/>
              <w:rPr>
                <w:rFonts w:ascii="Times New Roman" w:hAnsi="Times New Roman" w:eastAsia="宋体" w:cs="Times New Roman"/>
                <w:szCs w:val="21"/>
              </w:rPr>
            </w:pPr>
            <w:r>
              <w:rPr>
                <w:rFonts w:ascii="Times New Roman" w:hAnsi="Times New Roman" w:eastAsia="宋体" w:cs="Times New Roman"/>
                <w:szCs w:val="21"/>
              </w:rPr>
              <w:t>环保搬迁</w:t>
            </w:r>
          </w:p>
        </w:tc>
        <w:tc>
          <w:tcPr>
            <w:tcW w:w="910" w:type="pct"/>
            <w:tcMar>
              <w:left w:w="28" w:type="dxa"/>
              <w:right w:w="28" w:type="dxa"/>
            </w:tcMar>
            <w:vAlign w:val="center"/>
          </w:tcPr>
          <w:p w14:paraId="18EE2CCA">
            <w:pPr>
              <w:snapToGrid w:val="0"/>
              <w:spacing w:line="260" w:lineRule="exact"/>
              <w:rPr>
                <w:rFonts w:ascii="Times New Roman" w:hAnsi="Times New Roman" w:eastAsia="宋体" w:cs="Times New Roman"/>
                <w:szCs w:val="21"/>
              </w:rPr>
            </w:pPr>
            <w:r>
              <w:rPr>
                <w:rFonts w:ascii="Times New Roman" w:hAnsi="Times New Roman" w:eastAsia="宋体" w:cs="Times New Roman"/>
                <w:szCs w:val="21"/>
              </w:rPr>
              <w:t>具有可永久性“解决”噪声污染问题的优点，环境效益和社会效益显著</w:t>
            </w:r>
            <w:r>
              <w:rPr>
                <w:rFonts w:hint="eastAsia" w:ascii="Times New Roman" w:hAnsi="Times New Roman" w:eastAsia="宋体" w:cs="Times New Roman"/>
                <w:szCs w:val="21"/>
              </w:rPr>
              <w:t>。</w:t>
            </w:r>
          </w:p>
        </w:tc>
        <w:tc>
          <w:tcPr>
            <w:tcW w:w="878" w:type="pct"/>
            <w:tcMar>
              <w:left w:w="28" w:type="dxa"/>
              <w:right w:w="28" w:type="dxa"/>
            </w:tcMar>
            <w:vAlign w:val="center"/>
          </w:tcPr>
          <w:p w14:paraId="6DC15AE9">
            <w:pPr>
              <w:snapToGrid w:val="0"/>
              <w:spacing w:line="260" w:lineRule="exact"/>
              <w:rPr>
                <w:rFonts w:ascii="Times New Roman" w:hAnsi="Times New Roman" w:eastAsia="宋体" w:cs="Times New Roman"/>
                <w:szCs w:val="21"/>
              </w:rPr>
            </w:pPr>
            <w:r>
              <w:rPr>
                <w:rFonts w:ascii="Times New Roman" w:hAnsi="Times New Roman" w:eastAsia="宋体" w:cs="Times New Roman"/>
                <w:szCs w:val="21"/>
              </w:rPr>
              <w:t>考虑重新征用土地进行开发建设，综合投资大，同时实施搬迁也会产生新的环境问题</w:t>
            </w:r>
            <w:r>
              <w:rPr>
                <w:rFonts w:hint="eastAsia" w:ascii="Times New Roman" w:hAnsi="Times New Roman" w:eastAsia="宋体" w:cs="Times New Roman"/>
                <w:szCs w:val="21"/>
              </w:rPr>
              <w:t>。</w:t>
            </w:r>
          </w:p>
        </w:tc>
        <w:tc>
          <w:tcPr>
            <w:tcW w:w="1682" w:type="pct"/>
            <w:tcMar>
              <w:left w:w="28" w:type="dxa"/>
              <w:right w:w="28" w:type="dxa"/>
            </w:tcMar>
            <w:vAlign w:val="center"/>
          </w:tcPr>
          <w:p w14:paraId="64101E22">
            <w:pPr>
              <w:snapToGrid w:val="0"/>
              <w:spacing w:line="260" w:lineRule="exact"/>
              <w:rPr>
                <w:rFonts w:ascii="Times New Roman" w:hAnsi="Times New Roman" w:eastAsia="宋体" w:cs="Times New Roman"/>
                <w:szCs w:val="21"/>
              </w:rPr>
            </w:pPr>
            <w:r>
              <w:rPr>
                <w:rFonts w:ascii="Times New Roman" w:hAnsi="Times New Roman" w:eastAsia="宋体" w:cs="Times New Roman"/>
                <w:szCs w:val="21"/>
              </w:rPr>
              <w:t>可彻底解决噪声扰民问题</w:t>
            </w:r>
            <w:r>
              <w:rPr>
                <w:rFonts w:hint="eastAsia" w:ascii="Times New Roman" w:hAnsi="Times New Roman" w:eastAsia="宋体" w:cs="Times New Roman"/>
                <w:szCs w:val="21"/>
              </w:rPr>
              <w:t>。</w:t>
            </w:r>
          </w:p>
        </w:tc>
        <w:tc>
          <w:tcPr>
            <w:tcW w:w="941" w:type="pct"/>
            <w:tcMar>
              <w:left w:w="28" w:type="dxa"/>
              <w:right w:w="28" w:type="dxa"/>
            </w:tcMar>
            <w:vAlign w:val="center"/>
          </w:tcPr>
          <w:p w14:paraId="091CF227">
            <w:pPr>
              <w:snapToGrid w:val="0"/>
              <w:spacing w:line="260" w:lineRule="exact"/>
              <w:rPr>
                <w:rFonts w:ascii="Times New Roman" w:hAnsi="Times New Roman" w:eastAsia="宋体" w:cs="Times New Roman"/>
                <w:szCs w:val="21"/>
              </w:rPr>
            </w:pPr>
            <w:r>
              <w:rPr>
                <w:rFonts w:ascii="Times New Roman" w:hAnsi="Times New Roman" w:eastAsia="宋体" w:cs="Times New Roman"/>
                <w:szCs w:val="21"/>
              </w:rPr>
              <w:t>按当地征地拆迁补偿标准纳入工程费用</w:t>
            </w:r>
            <w:r>
              <w:rPr>
                <w:rFonts w:hint="eastAsia" w:ascii="Times New Roman" w:hAnsi="Times New Roman" w:eastAsia="宋体" w:cs="Times New Roman"/>
                <w:szCs w:val="21"/>
              </w:rPr>
              <w:t>。</w:t>
            </w:r>
          </w:p>
        </w:tc>
      </w:tr>
      <w:tr w14:paraId="7B792BA3">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trHeight w:val="1920" w:hRule="atLeast"/>
          <w:tblHeader/>
          <w:jc w:val="center"/>
        </w:trPr>
        <w:tc>
          <w:tcPr>
            <w:tcW w:w="589" w:type="pct"/>
            <w:vAlign w:val="center"/>
          </w:tcPr>
          <w:p w14:paraId="78F5BC0B">
            <w:pPr>
              <w:snapToGrid w:val="0"/>
              <w:spacing w:line="260" w:lineRule="exact"/>
              <w:jc w:val="center"/>
              <w:rPr>
                <w:rFonts w:ascii="Times New Roman" w:hAnsi="Times New Roman" w:eastAsia="宋体" w:cs="Times New Roman"/>
                <w:szCs w:val="21"/>
              </w:rPr>
            </w:pPr>
            <w:r>
              <w:rPr>
                <w:rFonts w:ascii="Times New Roman" w:hAnsi="Times New Roman" w:eastAsia="宋体" w:cs="Times New Roman"/>
                <w:szCs w:val="21"/>
              </w:rPr>
              <w:t>栽植绿化降噪林带</w:t>
            </w:r>
          </w:p>
        </w:tc>
        <w:tc>
          <w:tcPr>
            <w:tcW w:w="910" w:type="pct"/>
            <w:vAlign w:val="center"/>
          </w:tcPr>
          <w:p w14:paraId="58D900CD">
            <w:pPr>
              <w:snapToGrid w:val="0"/>
              <w:spacing w:line="260" w:lineRule="exact"/>
              <w:rPr>
                <w:rFonts w:ascii="Times New Roman" w:hAnsi="Times New Roman" w:eastAsia="宋体" w:cs="Times New Roman"/>
                <w:szCs w:val="21"/>
              </w:rPr>
            </w:pPr>
            <w:r>
              <w:rPr>
                <w:rFonts w:ascii="Times New Roman" w:hAnsi="Times New Roman" w:eastAsia="宋体" w:cs="Times New Roman"/>
                <w:szCs w:val="21"/>
              </w:rPr>
              <w:t>防噪、防尘、水土保持、改善生态环境和美化环境等综合功能对人的心理作用良好</w:t>
            </w:r>
            <w:r>
              <w:rPr>
                <w:rFonts w:hint="eastAsia" w:ascii="Times New Roman" w:hAnsi="Times New Roman" w:eastAsia="宋体" w:cs="Times New Roman"/>
                <w:szCs w:val="21"/>
              </w:rPr>
              <w:t>。</w:t>
            </w:r>
          </w:p>
        </w:tc>
        <w:tc>
          <w:tcPr>
            <w:tcW w:w="878" w:type="pct"/>
            <w:vAlign w:val="center"/>
          </w:tcPr>
          <w:p w14:paraId="16B9595F">
            <w:pPr>
              <w:snapToGrid w:val="0"/>
              <w:spacing w:line="260" w:lineRule="exact"/>
              <w:rPr>
                <w:rFonts w:ascii="Times New Roman" w:hAnsi="Times New Roman" w:eastAsia="宋体" w:cs="Times New Roman"/>
                <w:szCs w:val="21"/>
              </w:rPr>
            </w:pPr>
            <w:r>
              <w:rPr>
                <w:rFonts w:ascii="Times New Roman" w:hAnsi="Times New Roman" w:eastAsia="宋体" w:cs="Times New Roman"/>
                <w:szCs w:val="21"/>
              </w:rPr>
              <w:t>占地较多，公路建设部门要面临购买土地及解决林带结构和宽度问题，一般对绿化林带的降噪功能不可估计过高</w:t>
            </w:r>
            <w:r>
              <w:rPr>
                <w:rFonts w:hint="eastAsia" w:ascii="Times New Roman" w:hAnsi="Times New Roman" w:eastAsia="宋体" w:cs="Times New Roman"/>
                <w:szCs w:val="21"/>
              </w:rPr>
              <w:t>。</w:t>
            </w:r>
          </w:p>
        </w:tc>
        <w:tc>
          <w:tcPr>
            <w:tcW w:w="1682" w:type="pct"/>
            <w:vAlign w:val="center"/>
          </w:tcPr>
          <w:p w14:paraId="70C18C3C">
            <w:pPr>
              <w:snapToGrid w:val="0"/>
              <w:spacing w:line="260" w:lineRule="exact"/>
              <w:rPr>
                <w:rFonts w:ascii="Times New Roman" w:hAnsi="Times New Roman" w:eastAsia="宋体" w:cs="Times New Roman"/>
                <w:szCs w:val="21"/>
              </w:rPr>
            </w:pPr>
            <w:r>
              <w:rPr>
                <w:rFonts w:ascii="Times New Roman" w:hAnsi="Times New Roman" w:eastAsia="宋体" w:cs="Times New Roman"/>
                <w:szCs w:val="21"/>
              </w:rPr>
              <w:t>与林带的宽度、高度、位置、配置方式以及植物种类有密切关系，密植林带10m可降噪1dB左右，加宽林带宽度最多可降低噪声10dB</w:t>
            </w:r>
            <w:r>
              <w:rPr>
                <w:rFonts w:hint="eastAsia" w:ascii="Times New Roman" w:hAnsi="Times New Roman" w:eastAsia="宋体" w:cs="Times New Roman"/>
                <w:szCs w:val="21"/>
              </w:rPr>
              <w:t>。</w:t>
            </w:r>
          </w:p>
        </w:tc>
        <w:tc>
          <w:tcPr>
            <w:tcW w:w="941" w:type="pct"/>
            <w:vAlign w:val="center"/>
          </w:tcPr>
          <w:p w14:paraId="36A5C39B">
            <w:pPr>
              <w:snapToGrid w:val="0"/>
              <w:spacing w:line="260" w:lineRule="exact"/>
              <w:rPr>
                <w:rFonts w:ascii="Times New Roman" w:hAnsi="Times New Roman" w:eastAsia="宋体" w:cs="Times New Roman"/>
                <w:szCs w:val="21"/>
              </w:rPr>
            </w:pPr>
            <w:r>
              <w:rPr>
                <w:rFonts w:ascii="Times New Roman" w:hAnsi="Times New Roman" w:eastAsia="宋体" w:cs="Times New Roman"/>
                <w:szCs w:val="21"/>
              </w:rPr>
              <w:t>25元/m</w:t>
            </w:r>
            <w:r>
              <w:rPr>
                <w:rFonts w:ascii="Times New Roman" w:hAnsi="Times New Roman" w:eastAsia="宋体" w:cs="Times New Roman"/>
                <w:szCs w:val="21"/>
                <w:vertAlign w:val="superscript"/>
              </w:rPr>
              <w:t>2</w:t>
            </w:r>
            <w:r>
              <w:rPr>
                <w:rFonts w:hint="eastAsia" w:ascii="Times New Roman" w:hAnsi="Times New Roman" w:eastAsia="宋体" w:cs="Times New Roman"/>
                <w:szCs w:val="21"/>
              </w:rPr>
              <w:t>（</w:t>
            </w:r>
            <w:r>
              <w:rPr>
                <w:rFonts w:ascii="Times New Roman" w:hAnsi="Times New Roman" w:eastAsia="宋体" w:cs="Times New Roman"/>
                <w:szCs w:val="21"/>
              </w:rPr>
              <w:t>只包括苗木购置费和养护费用</w:t>
            </w:r>
            <w:r>
              <w:rPr>
                <w:rFonts w:hint="eastAsia" w:ascii="Times New Roman" w:hAnsi="Times New Roman" w:eastAsia="宋体" w:cs="Times New Roman"/>
                <w:szCs w:val="21"/>
              </w:rPr>
              <w:t>）。</w:t>
            </w:r>
          </w:p>
        </w:tc>
      </w:tr>
      <w:tr w14:paraId="0BF54302">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trHeight w:val="165" w:hRule="atLeast"/>
          <w:tblHeader/>
          <w:jc w:val="center"/>
        </w:trPr>
        <w:tc>
          <w:tcPr>
            <w:tcW w:w="589" w:type="pct"/>
            <w:tcBorders>
              <w:top w:val="single" w:color="auto" w:sz="4" w:space="0"/>
            </w:tcBorders>
            <w:vAlign w:val="center"/>
          </w:tcPr>
          <w:p w14:paraId="7FA9D4D2">
            <w:pPr>
              <w:snapToGrid w:val="0"/>
              <w:spacing w:line="260" w:lineRule="exact"/>
              <w:jc w:val="center"/>
              <w:rPr>
                <w:rFonts w:ascii="Times New Roman" w:hAnsi="Times New Roman" w:eastAsia="宋体" w:cs="Times New Roman"/>
                <w:szCs w:val="21"/>
              </w:rPr>
            </w:pPr>
            <w:r>
              <w:rPr>
                <w:rFonts w:ascii="Times New Roman" w:hAnsi="Times New Roman" w:eastAsia="宋体" w:cs="Times New Roman"/>
                <w:szCs w:val="21"/>
              </w:rPr>
              <w:t>降噪路面</w:t>
            </w:r>
          </w:p>
        </w:tc>
        <w:tc>
          <w:tcPr>
            <w:tcW w:w="910" w:type="pct"/>
            <w:tcBorders>
              <w:top w:val="single" w:color="auto" w:sz="4" w:space="0"/>
            </w:tcBorders>
            <w:vAlign w:val="center"/>
          </w:tcPr>
          <w:p w14:paraId="5E393599">
            <w:pPr>
              <w:snapToGrid w:val="0"/>
              <w:spacing w:line="260" w:lineRule="exact"/>
              <w:jc w:val="center"/>
              <w:rPr>
                <w:rFonts w:ascii="Times New Roman" w:hAnsi="Times New Roman" w:eastAsia="宋体" w:cs="Times New Roman"/>
                <w:szCs w:val="21"/>
              </w:rPr>
            </w:pPr>
            <w:r>
              <w:rPr>
                <w:rFonts w:ascii="Times New Roman" w:hAnsi="Times New Roman" w:eastAsia="宋体" w:cs="Times New Roman"/>
                <w:szCs w:val="18"/>
              </w:rPr>
              <w:t>经济合理、保持环境原有风貌、行车安全、行车舒适</w:t>
            </w:r>
          </w:p>
        </w:tc>
        <w:tc>
          <w:tcPr>
            <w:tcW w:w="878" w:type="pct"/>
            <w:tcBorders>
              <w:top w:val="single" w:color="auto" w:sz="4" w:space="0"/>
            </w:tcBorders>
            <w:vAlign w:val="center"/>
          </w:tcPr>
          <w:p w14:paraId="55B5E558">
            <w:pPr>
              <w:snapToGrid w:val="0"/>
              <w:spacing w:line="260" w:lineRule="exact"/>
              <w:jc w:val="center"/>
              <w:rPr>
                <w:rFonts w:ascii="Times New Roman" w:hAnsi="Times New Roman" w:eastAsia="宋体" w:cs="Times New Roman"/>
                <w:szCs w:val="21"/>
              </w:rPr>
            </w:pPr>
            <w:r>
              <w:rPr>
                <w:rFonts w:ascii="Times New Roman" w:hAnsi="Times New Roman" w:eastAsia="宋体" w:cs="Times New Roman"/>
                <w:spacing w:val="4"/>
                <w:szCs w:val="18"/>
              </w:rPr>
              <w:t>耐久性差、空隙易堵塞造成减噪效果降低</w:t>
            </w:r>
          </w:p>
        </w:tc>
        <w:tc>
          <w:tcPr>
            <w:tcW w:w="1682" w:type="pct"/>
            <w:tcBorders>
              <w:top w:val="single" w:color="auto" w:sz="4" w:space="0"/>
            </w:tcBorders>
            <w:vAlign w:val="center"/>
          </w:tcPr>
          <w:p w14:paraId="40C96213">
            <w:pPr>
              <w:snapToGrid w:val="0"/>
              <w:spacing w:line="260" w:lineRule="exact"/>
              <w:jc w:val="center"/>
              <w:rPr>
                <w:rFonts w:ascii="Times New Roman" w:hAnsi="Times New Roman" w:eastAsia="宋体" w:cs="Times New Roman"/>
                <w:szCs w:val="21"/>
              </w:rPr>
            </w:pPr>
            <w:r>
              <w:rPr>
                <w:rFonts w:ascii="Times New Roman" w:hAnsi="Times New Roman" w:eastAsia="宋体" w:cs="Times New Roman"/>
                <w:szCs w:val="18"/>
              </w:rPr>
              <w:t>可降低噪声3～8dB</w:t>
            </w:r>
          </w:p>
        </w:tc>
        <w:tc>
          <w:tcPr>
            <w:tcW w:w="941" w:type="pct"/>
            <w:tcBorders>
              <w:top w:val="single" w:color="auto" w:sz="4" w:space="0"/>
            </w:tcBorders>
            <w:vAlign w:val="center"/>
          </w:tcPr>
          <w:p w14:paraId="1C280F8F">
            <w:pPr>
              <w:snapToGrid w:val="0"/>
              <w:spacing w:line="260" w:lineRule="exact"/>
              <w:rPr>
                <w:rFonts w:ascii="Times New Roman" w:hAnsi="Times New Roman" w:eastAsia="宋体" w:cs="Times New Roman"/>
                <w:szCs w:val="21"/>
              </w:rPr>
            </w:pPr>
            <w:r>
              <w:rPr>
                <w:rFonts w:hint="eastAsia" w:ascii="Times New Roman" w:hAnsi="Times New Roman" w:eastAsia="宋体" w:cs="Times New Roman"/>
                <w:spacing w:val="4"/>
                <w:szCs w:val="18"/>
              </w:rPr>
              <w:t>比普通沥青路面造价增加约2</w:t>
            </w:r>
            <w:r>
              <w:rPr>
                <w:rFonts w:ascii="Times New Roman" w:hAnsi="Times New Roman" w:eastAsia="宋体" w:cs="Times New Roman"/>
                <w:spacing w:val="4"/>
                <w:szCs w:val="18"/>
              </w:rPr>
              <w:t>0</w:t>
            </w:r>
            <w:r>
              <w:rPr>
                <w:rFonts w:hint="eastAsia" w:ascii="Times New Roman" w:hAnsi="Times New Roman" w:eastAsia="宋体" w:cs="Times New Roman"/>
                <w:spacing w:val="4"/>
                <w:szCs w:val="18"/>
              </w:rPr>
              <w:t>%</w:t>
            </w:r>
          </w:p>
        </w:tc>
      </w:tr>
      <w:tr w14:paraId="34D95BCB">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tblHeader/>
          <w:jc w:val="center"/>
        </w:trPr>
        <w:tc>
          <w:tcPr>
            <w:tcW w:w="589" w:type="pct"/>
            <w:tcBorders>
              <w:top w:val="single" w:color="auto" w:sz="6" w:space="0"/>
              <w:left w:val="thinThickSmallGap" w:color="auto" w:sz="12" w:space="0"/>
              <w:bottom w:val="thickThinSmallGap" w:color="auto" w:sz="12" w:space="0"/>
              <w:right w:val="single" w:color="auto" w:sz="6" w:space="0"/>
            </w:tcBorders>
            <w:vAlign w:val="center"/>
          </w:tcPr>
          <w:p w14:paraId="6579BD91">
            <w:pPr>
              <w:snapToGrid w:val="0"/>
              <w:spacing w:line="260" w:lineRule="exact"/>
              <w:jc w:val="center"/>
              <w:rPr>
                <w:rFonts w:ascii="Times New Roman" w:hAnsi="Times New Roman" w:eastAsia="宋体" w:cs="Times New Roman"/>
                <w:szCs w:val="21"/>
              </w:rPr>
            </w:pPr>
            <w:r>
              <w:rPr>
                <w:rFonts w:ascii="Times New Roman" w:hAnsi="Times New Roman" w:eastAsia="宋体" w:cs="Times New Roman"/>
                <w:szCs w:val="21"/>
              </w:rPr>
              <w:t>限速</w:t>
            </w:r>
          </w:p>
        </w:tc>
        <w:tc>
          <w:tcPr>
            <w:tcW w:w="910" w:type="pct"/>
            <w:tcBorders>
              <w:top w:val="single" w:color="auto" w:sz="6" w:space="0"/>
              <w:left w:val="single" w:color="auto" w:sz="6" w:space="0"/>
              <w:bottom w:val="thickThinSmallGap" w:color="auto" w:sz="12" w:space="0"/>
              <w:right w:val="single" w:color="auto" w:sz="6" w:space="0"/>
            </w:tcBorders>
            <w:vAlign w:val="center"/>
          </w:tcPr>
          <w:p w14:paraId="59E21171">
            <w:pPr>
              <w:snapToGrid w:val="0"/>
              <w:spacing w:line="260" w:lineRule="exact"/>
              <w:rPr>
                <w:rFonts w:ascii="Times New Roman" w:hAnsi="Times New Roman" w:eastAsia="宋体" w:cs="Times New Roman"/>
                <w:szCs w:val="21"/>
              </w:rPr>
            </w:pPr>
            <w:r>
              <w:rPr>
                <w:rFonts w:ascii="Times New Roman" w:hAnsi="Times New Roman" w:eastAsia="宋体" w:cs="Times New Roman"/>
                <w:szCs w:val="21"/>
              </w:rPr>
              <w:t>经济合理、易于实施，一次性投资小</w:t>
            </w:r>
            <w:r>
              <w:rPr>
                <w:rFonts w:hint="eastAsia" w:ascii="Times New Roman" w:hAnsi="Times New Roman" w:eastAsia="宋体" w:cs="Times New Roman"/>
                <w:szCs w:val="21"/>
              </w:rPr>
              <w:t>。</w:t>
            </w:r>
          </w:p>
        </w:tc>
        <w:tc>
          <w:tcPr>
            <w:tcW w:w="878" w:type="pct"/>
            <w:tcBorders>
              <w:top w:val="single" w:color="auto" w:sz="6" w:space="0"/>
              <w:left w:val="single" w:color="auto" w:sz="6" w:space="0"/>
              <w:bottom w:val="thickThinSmallGap" w:color="auto" w:sz="12" w:space="0"/>
              <w:right w:val="single" w:color="auto" w:sz="6" w:space="0"/>
            </w:tcBorders>
            <w:vAlign w:val="center"/>
          </w:tcPr>
          <w:p w14:paraId="6CF20B40">
            <w:pPr>
              <w:snapToGrid w:val="0"/>
              <w:spacing w:line="260" w:lineRule="exact"/>
              <w:rPr>
                <w:rFonts w:ascii="Times New Roman" w:hAnsi="Times New Roman" w:eastAsia="宋体" w:cs="Times New Roman"/>
                <w:szCs w:val="21"/>
              </w:rPr>
            </w:pPr>
            <w:r>
              <w:rPr>
                <w:rFonts w:ascii="Times New Roman" w:hAnsi="Times New Roman" w:eastAsia="宋体" w:cs="Times New Roman"/>
                <w:szCs w:val="21"/>
              </w:rPr>
              <w:t>行车舒适度降低</w:t>
            </w:r>
            <w:r>
              <w:rPr>
                <w:rFonts w:hint="eastAsia" w:ascii="Times New Roman" w:hAnsi="Times New Roman" w:eastAsia="宋体" w:cs="Times New Roman"/>
                <w:szCs w:val="21"/>
              </w:rPr>
              <w:t>。</w:t>
            </w:r>
          </w:p>
        </w:tc>
        <w:tc>
          <w:tcPr>
            <w:tcW w:w="1682" w:type="pct"/>
            <w:tcBorders>
              <w:top w:val="single" w:color="auto" w:sz="6" w:space="0"/>
              <w:left w:val="single" w:color="auto" w:sz="6" w:space="0"/>
              <w:bottom w:val="thickThinSmallGap" w:color="auto" w:sz="12" w:space="0"/>
              <w:right w:val="single" w:color="auto" w:sz="6" w:space="0"/>
            </w:tcBorders>
            <w:vAlign w:val="center"/>
          </w:tcPr>
          <w:p w14:paraId="4C3AAB85">
            <w:pPr>
              <w:snapToGrid w:val="0"/>
              <w:spacing w:line="260" w:lineRule="exact"/>
              <w:rPr>
                <w:rFonts w:ascii="Times New Roman" w:hAnsi="Times New Roman" w:eastAsia="宋体" w:cs="Times New Roman"/>
                <w:szCs w:val="21"/>
              </w:rPr>
            </w:pPr>
            <w:r>
              <w:rPr>
                <w:rFonts w:ascii="Times New Roman" w:hAnsi="Times New Roman" w:eastAsia="宋体" w:cs="Times New Roman"/>
                <w:szCs w:val="21"/>
              </w:rPr>
              <w:t>与交通量、设计车速、敏感点距公路距离等参数有关，车速超过60km/h时，降低车速10km/h，路侧一般可降低噪声</w:t>
            </w:r>
            <w:r>
              <w:rPr>
                <w:rFonts w:hint="eastAsia" w:ascii="Times New Roman" w:hAnsi="Times New Roman" w:eastAsia="宋体" w:cs="Times New Roman"/>
                <w:szCs w:val="21"/>
              </w:rPr>
              <w:t>1</w:t>
            </w:r>
            <w:r>
              <w:rPr>
                <w:rFonts w:ascii="Times New Roman" w:hAnsi="Times New Roman" w:eastAsia="宋体" w:cs="Times New Roman"/>
                <w:szCs w:val="18"/>
              </w:rPr>
              <w:t>～</w:t>
            </w:r>
            <w:r>
              <w:rPr>
                <w:rFonts w:hint="eastAsia" w:ascii="Times New Roman" w:hAnsi="Times New Roman" w:eastAsia="宋体" w:cs="Times New Roman"/>
                <w:szCs w:val="18"/>
              </w:rPr>
              <w:t>2</w:t>
            </w:r>
            <w:r>
              <w:rPr>
                <w:rFonts w:ascii="Times New Roman" w:hAnsi="Times New Roman" w:eastAsia="宋体" w:cs="Times New Roman"/>
                <w:szCs w:val="21"/>
              </w:rPr>
              <w:t>dB</w:t>
            </w:r>
            <w:r>
              <w:rPr>
                <w:rFonts w:hint="eastAsia" w:ascii="Times New Roman" w:hAnsi="Times New Roman" w:eastAsia="宋体" w:cs="Times New Roman"/>
                <w:szCs w:val="21"/>
              </w:rPr>
              <w:t>。</w:t>
            </w:r>
          </w:p>
        </w:tc>
        <w:tc>
          <w:tcPr>
            <w:tcW w:w="941" w:type="pct"/>
            <w:tcBorders>
              <w:top w:val="single" w:color="auto" w:sz="6" w:space="0"/>
              <w:left w:val="single" w:color="auto" w:sz="6" w:space="0"/>
              <w:bottom w:val="thickThinSmallGap" w:color="auto" w:sz="12" w:space="0"/>
              <w:right w:val="thickThinSmallGap" w:color="auto" w:sz="12" w:space="0"/>
            </w:tcBorders>
            <w:vAlign w:val="center"/>
          </w:tcPr>
          <w:p w14:paraId="384559AA">
            <w:pPr>
              <w:snapToGrid w:val="0"/>
              <w:spacing w:line="260" w:lineRule="exact"/>
              <w:rPr>
                <w:rFonts w:ascii="Times New Roman" w:hAnsi="Times New Roman" w:eastAsia="宋体" w:cs="Times New Roman"/>
                <w:szCs w:val="21"/>
              </w:rPr>
            </w:pPr>
            <w:r>
              <w:rPr>
                <w:rFonts w:ascii="Times New Roman" w:hAnsi="Times New Roman" w:eastAsia="宋体" w:cs="Times New Roman"/>
                <w:szCs w:val="21"/>
              </w:rPr>
              <w:t>限速标志牌5000元/个</w:t>
            </w:r>
            <w:r>
              <w:rPr>
                <w:rFonts w:hint="eastAsia" w:ascii="Times New Roman" w:hAnsi="Times New Roman" w:eastAsia="宋体" w:cs="Times New Roman"/>
                <w:szCs w:val="21"/>
              </w:rPr>
              <w:t>。</w:t>
            </w:r>
          </w:p>
        </w:tc>
      </w:tr>
    </w:tbl>
    <w:p w14:paraId="6E64EB05">
      <w:pPr>
        <w:rPr>
          <w:rFonts w:ascii="Times New Roman" w:hAnsi="Times New Roman" w:eastAsia="宋体" w:cs="Times New Roman"/>
        </w:rPr>
      </w:pPr>
    </w:p>
    <w:p w14:paraId="302651F4">
      <w:pPr>
        <w:spacing w:line="30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根据营运期交通噪声预测结果，本评价对拟建</w:t>
      </w:r>
      <w:r>
        <w:rPr>
          <w:rFonts w:hint="eastAsia" w:ascii="Times New Roman" w:hAnsi="Times New Roman" w:eastAsia="宋体" w:cs="Times New Roman"/>
          <w:sz w:val="24"/>
        </w:rPr>
        <w:t>公路</w:t>
      </w:r>
      <w:r>
        <w:rPr>
          <w:rFonts w:ascii="Times New Roman" w:hAnsi="Times New Roman" w:eastAsia="宋体" w:cs="Times New Roman"/>
          <w:sz w:val="24"/>
        </w:rPr>
        <w:t>沿线营运中期因受拟建</w:t>
      </w:r>
      <w:r>
        <w:rPr>
          <w:rFonts w:hint="eastAsia" w:ascii="Times New Roman" w:hAnsi="Times New Roman" w:eastAsia="宋体" w:cs="Times New Roman"/>
          <w:sz w:val="24"/>
        </w:rPr>
        <w:t>公路</w:t>
      </w:r>
      <w:r>
        <w:rPr>
          <w:rFonts w:ascii="Times New Roman" w:hAnsi="Times New Roman" w:eastAsia="宋体" w:cs="Times New Roman"/>
          <w:sz w:val="24"/>
        </w:rPr>
        <w:t>交通噪声影响预测结果超标的</w:t>
      </w:r>
      <w:r>
        <w:rPr>
          <w:rFonts w:hint="eastAsia" w:ascii="Times New Roman" w:hAnsi="Times New Roman" w:eastAsia="宋体" w:cs="Times New Roman"/>
          <w:sz w:val="24"/>
        </w:rPr>
        <w:t>27</w:t>
      </w:r>
      <w:r>
        <w:rPr>
          <w:rFonts w:ascii="Times New Roman" w:hAnsi="Times New Roman" w:eastAsia="宋体" w:cs="Times New Roman"/>
          <w:sz w:val="24"/>
        </w:rPr>
        <w:t>敏感点提出了降噪措施，措施经济技术论证具体内容详见表5.</w:t>
      </w:r>
      <w:r>
        <w:rPr>
          <w:rFonts w:hint="eastAsia" w:ascii="Times New Roman" w:hAnsi="Times New Roman" w:eastAsia="宋体" w:cs="Times New Roman"/>
          <w:sz w:val="24"/>
        </w:rPr>
        <w:t>3</w:t>
      </w:r>
      <w:r>
        <w:rPr>
          <w:rFonts w:ascii="Times New Roman" w:hAnsi="Times New Roman" w:eastAsia="宋体" w:cs="Times New Roman"/>
          <w:sz w:val="24"/>
        </w:rPr>
        <w:t>-2。</w:t>
      </w:r>
    </w:p>
    <w:p w14:paraId="3341F50D">
      <w:pPr>
        <w:spacing w:line="300" w:lineRule="auto"/>
        <w:ind w:firstLine="482"/>
        <w:rPr>
          <w:rFonts w:ascii="Times New Roman" w:hAnsi="Times New Roman" w:cs="Times New Roman" w:eastAsiaTheme="minorEastAsia"/>
          <w:color w:val="auto"/>
          <w:sz w:val="24"/>
        </w:rPr>
      </w:pPr>
      <w:r>
        <w:rPr>
          <w:rFonts w:ascii="Times New Roman" w:hAnsi="Times New Roman" w:eastAsia="宋体" w:cs="Times New Roman"/>
          <w:color w:val="auto"/>
          <w:sz w:val="24"/>
        </w:rPr>
        <w:t>从表5</w:t>
      </w:r>
      <w:r>
        <w:rPr>
          <w:rFonts w:hint="eastAsia" w:ascii="Times New Roman" w:hAnsi="Times New Roman" w:eastAsia="宋体" w:cs="Times New Roman"/>
          <w:color w:val="auto"/>
          <w:sz w:val="24"/>
        </w:rPr>
        <w:t>.3</w:t>
      </w:r>
      <w:r>
        <w:rPr>
          <w:rFonts w:ascii="Times New Roman" w:hAnsi="Times New Roman" w:eastAsia="宋体" w:cs="Times New Roman"/>
          <w:color w:val="auto"/>
          <w:sz w:val="24"/>
        </w:rPr>
        <w:t>-2可看出，</w:t>
      </w:r>
      <w:bookmarkStart w:id="236" w:name="_Hlk191207628"/>
      <w:bookmarkStart w:id="237" w:name="_Hlk187523795"/>
      <w:r>
        <w:rPr>
          <w:rFonts w:ascii="Times New Roman" w:hAnsi="Times New Roman" w:cs="Times New Roman" w:eastAsiaTheme="minorEastAsia"/>
          <w:color w:val="auto"/>
          <w:sz w:val="24"/>
        </w:rPr>
        <w:t>从表中可看出，拟建公路沿线降噪措施投资共</w:t>
      </w:r>
      <w:r>
        <w:rPr>
          <w:rFonts w:hint="eastAsia" w:ascii="Times New Roman" w:hAnsi="Times New Roman" w:cs="Times New Roman" w:eastAsiaTheme="minorEastAsia"/>
          <w:color w:val="auto"/>
          <w:sz w:val="24"/>
        </w:rPr>
        <w:t>4332</w:t>
      </w:r>
      <w:r>
        <w:rPr>
          <w:rFonts w:ascii="Times New Roman" w:hAnsi="Times New Roman" w:cs="Times New Roman" w:eastAsiaTheme="minorEastAsia"/>
          <w:color w:val="auto"/>
          <w:sz w:val="24"/>
        </w:rPr>
        <w:t>万元，包括：</w:t>
      </w:r>
      <w:bookmarkEnd w:id="236"/>
      <w:bookmarkEnd w:id="237"/>
      <w:r>
        <w:rPr>
          <w:rFonts w:ascii="Times New Roman" w:hAnsi="Times New Roman" w:cs="Times New Roman" w:eastAsiaTheme="minorEastAsia"/>
          <w:color w:val="auto"/>
          <w:sz w:val="24"/>
        </w:rPr>
        <w:t>声屏障（3m高</w:t>
      </w:r>
      <w:r>
        <w:rPr>
          <w:rFonts w:hint="eastAsia" w:ascii="Times New Roman" w:hAnsi="Times New Roman" w:cs="Times New Roman" w:eastAsiaTheme="minorEastAsia"/>
          <w:color w:val="auto"/>
          <w:sz w:val="24"/>
        </w:rPr>
        <w:t>13990</w:t>
      </w:r>
      <w:r>
        <w:rPr>
          <w:rFonts w:ascii="Times New Roman" w:hAnsi="Times New Roman" w:cs="Times New Roman" w:eastAsiaTheme="minorEastAsia"/>
          <w:color w:val="auto"/>
          <w:sz w:val="24"/>
        </w:rPr>
        <w:t>m）</w:t>
      </w:r>
      <w:r>
        <w:rPr>
          <w:rFonts w:hint="eastAsia" w:ascii="Times New Roman" w:hAnsi="Times New Roman" w:cs="Times New Roman" w:eastAsiaTheme="minorEastAsia"/>
          <w:color w:val="auto"/>
          <w:sz w:val="24"/>
        </w:rPr>
        <w:t>+隔声窗（</w:t>
      </w:r>
      <w:r>
        <w:rPr>
          <w:rFonts w:ascii="Times New Roman" w:hAnsi="Times New Roman" w:cs="Times New Roman" w:eastAsiaTheme="minorEastAsia"/>
          <w:color w:val="auto"/>
          <w:sz w:val="24"/>
        </w:rPr>
        <w:t>居民</w:t>
      </w:r>
      <w:r>
        <w:rPr>
          <w:rFonts w:hint="eastAsia" w:ascii="Times New Roman" w:hAnsi="Times New Roman" w:cs="Times New Roman" w:eastAsiaTheme="minorEastAsia"/>
          <w:color w:val="auto"/>
          <w:sz w:val="24"/>
        </w:rPr>
        <w:t>459户、卫生院1处、学校2处）15</w:t>
      </w:r>
      <w:r>
        <w:rPr>
          <w:rFonts w:ascii="Times New Roman" w:hAnsi="Times New Roman" w:cs="Times New Roman" w:eastAsiaTheme="minorEastAsia"/>
          <w:color w:val="auto"/>
          <w:sz w:val="24"/>
        </w:rPr>
        <w:t>处，费用</w:t>
      </w:r>
      <w:r>
        <w:rPr>
          <w:rFonts w:hint="eastAsia" w:ascii="Times New Roman" w:hAnsi="Times New Roman" w:cs="Times New Roman" w:eastAsiaTheme="minorEastAsia"/>
          <w:color w:val="auto"/>
          <w:sz w:val="24"/>
        </w:rPr>
        <w:t>3662</w:t>
      </w:r>
      <w:r>
        <w:rPr>
          <w:rFonts w:ascii="Times New Roman" w:hAnsi="Times New Roman" w:cs="Times New Roman" w:eastAsiaTheme="minorEastAsia"/>
          <w:color w:val="auto"/>
          <w:sz w:val="24"/>
        </w:rPr>
        <w:t>万元；声屏障（3m高</w:t>
      </w:r>
      <w:r>
        <w:rPr>
          <w:rFonts w:hint="eastAsia" w:ascii="Times New Roman" w:hAnsi="Times New Roman" w:cs="Times New Roman" w:eastAsiaTheme="minorEastAsia"/>
          <w:color w:val="auto"/>
          <w:sz w:val="24"/>
        </w:rPr>
        <w:t>500</w:t>
      </w:r>
      <w:r>
        <w:rPr>
          <w:rFonts w:ascii="Times New Roman" w:hAnsi="Times New Roman" w:cs="Times New Roman" w:eastAsiaTheme="minorEastAsia"/>
          <w:color w:val="auto"/>
          <w:sz w:val="24"/>
        </w:rPr>
        <w:t>m）</w:t>
      </w:r>
      <w:r>
        <w:rPr>
          <w:rFonts w:hint="eastAsia" w:ascii="Times New Roman" w:hAnsi="Times New Roman" w:cs="Times New Roman" w:eastAsiaTheme="minorEastAsia"/>
          <w:color w:val="auto"/>
          <w:sz w:val="24"/>
        </w:rPr>
        <w:t>2</w:t>
      </w:r>
      <w:r>
        <w:rPr>
          <w:rFonts w:ascii="Times New Roman" w:hAnsi="Times New Roman" w:cs="Times New Roman" w:eastAsiaTheme="minorEastAsia"/>
          <w:color w:val="auto"/>
          <w:sz w:val="24"/>
        </w:rPr>
        <w:t>处，费用</w:t>
      </w:r>
      <w:r>
        <w:rPr>
          <w:rFonts w:hint="eastAsia" w:ascii="Times New Roman" w:hAnsi="Times New Roman" w:cs="Times New Roman" w:eastAsiaTheme="minorEastAsia"/>
          <w:color w:val="auto"/>
          <w:sz w:val="24"/>
        </w:rPr>
        <w:t>100</w:t>
      </w:r>
      <w:r>
        <w:rPr>
          <w:rFonts w:ascii="Times New Roman" w:hAnsi="Times New Roman" w:cs="Times New Roman" w:eastAsiaTheme="minorEastAsia"/>
          <w:color w:val="auto"/>
          <w:sz w:val="24"/>
        </w:rPr>
        <w:t>万元；隔声窗（居民</w:t>
      </w:r>
      <w:r>
        <w:rPr>
          <w:rFonts w:hint="eastAsia" w:ascii="Times New Roman" w:hAnsi="Times New Roman" w:cs="Times New Roman" w:eastAsiaTheme="minorEastAsia"/>
          <w:color w:val="auto"/>
          <w:sz w:val="24"/>
        </w:rPr>
        <w:t>480</w:t>
      </w:r>
      <w:r>
        <w:rPr>
          <w:rFonts w:ascii="Times New Roman" w:hAnsi="Times New Roman" w:cs="Times New Roman" w:eastAsiaTheme="minorEastAsia"/>
          <w:color w:val="auto"/>
          <w:sz w:val="24"/>
        </w:rPr>
        <w:t>户、学校</w:t>
      </w:r>
      <w:r>
        <w:rPr>
          <w:rFonts w:hint="eastAsia" w:ascii="Times New Roman" w:hAnsi="Times New Roman" w:cs="Times New Roman" w:eastAsiaTheme="minorEastAsia"/>
          <w:color w:val="auto"/>
          <w:sz w:val="24"/>
        </w:rPr>
        <w:t>1处</w:t>
      </w:r>
      <w:r>
        <w:rPr>
          <w:rFonts w:ascii="Times New Roman" w:hAnsi="Times New Roman" w:cs="Times New Roman" w:eastAsiaTheme="minorEastAsia"/>
          <w:color w:val="auto"/>
          <w:sz w:val="24"/>
        </w:rPr>
        <w:t>）</w:t>
      </w:r>
      <w:r>
        <w:rPr>
          <w:rFonts w:hint="eastAsia" w:ascii="Times New Roman" w:hAnsi="Times New Roman" w:cs="Times New Roman" w:eastAsiaTheme="minorEastAsia"/>
          <w:color w:val="auto"/>
          <w:sz w:val="24"/>
        </w:rPr>
        <w:t>11</w:t>
      </w:r>
      <w:r>
        <w:rPr>
          <w:rFonts w:ascii="Times New Roman" w:hAnsi="Times New Roman" w:cs="Times New Roman" w:eastAsiaTheme="minorEastAsia"/>
          <w:color w:val="auto"/>
          <w:sz w:val="24"/>
        </w:rPr>
        <w:t>处，费用</w:t>
      </w:r>
      <w:r>
        <w:rPr>
          <w:rFonts w:hint="eastAsia" w:ascii="Times New Roman" w:hAnsi="Times New Roman" w:cs="Times New Roman" w:eastAsiaTheme="minorEastAsia"/>
          <w:color w:val="auto"/>
          <w:sz w:val="24"/>
        </w:rPr>
        <w:t>570</w:t>
      </w:r>
      <w:r>
        <w:rPr>
          <w:rFonts w:ascii="Times New Roman" w:hAnsi="Times New Roman" w:cs="Times New Roman" w:eastAsiaTheme="minorEastAsia"/>
          <w:color w:val="auto"/>
          <w:sz w:val="24"/>
        </w:rPr>
        <w:t>万元。</w:t>
      </w:r>
    </w:p>
    <w:p w14:paraId="404FDFA1">
      <w:pPr>
        <w:spacing w:line="300" w:lineRule="auto"/>
        <w:ind w:firstLine="482"/>
        <w:rPr>
          <w:rFonts w:ascii="Times New Roman" w:hAnsi="Times New Roman" w:cs="Times New Roman" w:eastAsiaTheme="minorEastAsia"/>
          <w:color w:val="auto"/>
          <w:sz w:val="24"/>
        </w:rPr>
      </w:pPr>
      <w:r>
        <w:rPr>
          <w:rFonts w:ascii="Times New Roman" w:hAnsi="Times New Roman" w:cs="Times New Roman" w:eastAsiaTheme="minorEastAsia"/>
          <w:color w:val="auto"/>
          <w:sz w:val="24"/>
        </w:rPr>
        <w:t>(</w:t>
      </w:r>
      <w:r>
        <w:rPr>
          <w:rFonts w:hint="eastAsia" w:ascii="Times New Roman" w:hAnsi="Times New Roman" w:cs="Times New Roman" w:eastAsiaTheme="minorEastAsia"/>
          <w:color w:val="auto"/>
          <w:sz w:val="24"/>
        </w:rPr>
        <w:t>2</w:t>
      </w:r>
      <w:r>
        <w:rPr>
          <w:rFonts w:ascii="Times New Roman" w:hAnsi="Times New Roman" w:cs="Times New Roman" w:eastAsiaTheme="minorEastAsia"/>
          <w:color w:val="auto"/>
          <w:sz w:val="24"/>
        </w:rPr>
        <w:t>) 隔声窗措施可行性分析</w:t>
      </w:r>
    </w:p>
    <w:p w14:paraId="1227CEF8">
      <w:pPr>
        <w:spacing w:line="300" w:lineRule="auto"/>
        <w:ind w:firstLine="482"/>
        <w:rPr>
          <w:rFonts w:ascii="Times New Roman" w:hAnsi="Times New Roman" w:cs="Times New Roman" w:eastAsiaTheme="minorEastAsia"/>
          <w:color w:val="auto"/>
          <w:sz w:val="24"/>
        </w:rPr>
      </w:pPr>
      <w:r>
        <w:rPr>
          <w:rFonts w:ascii="Times New Roman" w:hAnsi="Times New Roman" w:cs="Times New Roman" w:eastAsiaTheme="minorEastAsia"/>
          <w:color w:val="auto"/>
          <w:sz w:val="24"/>
        </w:rPr>
        <w:t>根据现场调查，拟建公路沿线房屋分布较</w:t>
      </w:r>
      <w:r>
        <w:rPr>
          <w:rFonts w:hint="eastAsia" w:ascii="Times New Roman" w:hAnsi="Times New Roman" w:cs="Times New Roman" w:eastAsiaTheme="minorEastAsia"/>
          <w:color w:val="auto"/>
          <w:sz w:val="24"/>
        </w:rPr>
        <w:t>集中</w:t>
      </w:r>
      <w:r>
        <w:rPr>
          <w:rFonts w:ascii="Times New Roman" w:hAnsi="Times New Roman" w:cs="Times New Roman" w:eastAsiaTheme="minorEastAsia"/>
          <w:color w:val="auto"/>
          <w:sz w:val="24"/>
        </w:rPr>
        <w:t>，房屋为砖混结构，主要分布在</w:t>
      </w:r>
      <w:r>
        <w:rPr>
          <w:rFonts w:hint="eastAsia" w:ascii="Times New Roman" w:hAnsi="Times New Roman" w:cs="Times New Roman" w:eastAsiaTheme="minorEastAsia"/>
          <w:color w:val="auto"/>
          <w:sz w:val="24"/>
        </w:rPr>
        <w:t>现有</w:t>
      </w:r>
      <w:r>
        <w:rPr>
          <w:rFonts w:ascii="Times New Roman" w:hAnsi="Times New Roman" w:cs="Times New Roman" w:eastAsiaTheme="minorEastAsia"/>
          <w:color w:val="auto"/>
          <w:sz w:val="24"/>
        </w:rPr>
        <w:t>公路两侧，平交路口较多；环保搬迁对村民正常生活影响较大。拟建公路位于新疆喀什地区和</w:t>
      </w:r>
      <w:r>
        <w:rPr>
          <w:rFonts w:hint="eastAsia" w:ascii="Times New Roman" w:hAnsi="Times New Roman" w:cs="Times New Roman" w:eastAsiaTheme="minorEastAsia"/>
          <w:color w:val="auto"/>
          <w:sz w:val="24"/>
        </w:rPr>
        <w:t>克孜勒苏柯尔克孜自治州</w:t>
      </w:r>
      <w:r>
        <w:rPr>
          <w:rFonts w:ascii="Times New Roman" w:hAnsi="Times New Roman" w:cs="Times New Roman" w:eastAsiaTheme="minorEastAsia"/>
          <w:color w:val="auto"/>
          <w:sz w:val="24"/>
        </w:rPr>
        <w:t>，冬季寒冷，气温低，风速较大，当地居民冬季基本不开窗户，而家中安装的普通玻璃隔音降噪、通风换气和保温等作用都较差，对居民的正常生活产生一定影响。</w:t>
      </w:r>
    </w:p>
    <w:p w14:paraId="7D9F61C3">
      <w:pPr>
        <w:spacing w:line="300" w:lineRule="auto"/>
        <w:ind w:firstLine="482"/>
        <w:rPr>
          <w:rFonts w:ascii="Times New Roman" w:hAnsi="Times New Roman" w:cs="Times New Roman" w:eastAsiaTheme="minorEastAsia"/>
          <w:color w:val="auto"/>
          <w:sz w:val="24"/>
        </w:rPr>
      </w:pPr>
      <w:r>
        <w:rPr>
          <w:rFonts w:ascii="Times New Roman" w:hAnsi="Times New Roman" w:cs="Times New Roman" w:eastAsiaTheme="minorEastAsia"/>
          <w:color w:val="auto"/>
          <w:sz w:val="24"/>
        </w:rPr>
        <w:t>拟建公路根据敏感点周围环境现状、性质、预测噪声及敏感点与公路的关系提出了</w:t>
      </w:r>
      <w:r>
        <w:rPr>
          <w:rFonts w:ascii="Times New Roman" w:hAnsi="Times New Roman" w:eastAsia="宋体" w:cs="Times New Roman"/>
          <w:color w:val="auto"/>
          <w:sz w:val="24"/>
        </w:rPr>
        <w:t>声屏障+隔声窗降噪措施</w:t>
      </w:r>
      <w:r>
        <w:rPr>
          <w:rFonts w:hint="eastAsia" w:ascii="Times New Roman" w:hAnsi="Times New Roman" w:eastAsia="宋体" w:cs="Times New Roman"/>
          <w:color w:val="auto"/>
          <w:sz w:val="24"/>
        </w:rPr>
        <w:t>15</w:t>
      </w:r>
      <w:r>
        <w:rPr>
          <w:rFonts w:ascii="Times New Roman" w:hAnsi="Times New Roman" w:eastAsia="宋体" w:cs="Times New Roman"/>
          <w:color w:val="auto"/>
          <w:sz w:val="24"/>
        </w:rPr>
        <w:t>处，</w:t>
      </w:r>
      <w:r>
        <w:rPr>
          <w:rFonts w:ascii="Times New Roman" w:hAnsi="Times New Roman" w:cs="Times New Roman" w:eastAsiaTheme="minorEastAsia"/>
          <w:color w:val="auto"/>
          <w:sz w:val="24"/>
        </w:rPr>
        <w:t>隔声窗降噪措施</w:t>
      </w:r>
      <w:r>
        <w:rPr>
          <w:rFonts w:hint="eastAsia" w:ascii="Times New Roman" w:hAnsi="Times New Roman" w:cs="Times New Roman" w:eastAsiaTheme="minorEastAsia"/>
          <w:color w:val="auto"/>
          <w:sz w:val="24"/>
        </w:rPr>
        <w:t>11</w:t>
      </w:r>
      <w:r>
        <w:rPr>
          <w:rFonts w:ascii="Times New Roman" w:hAnsi="Times New Roman" w:cs="Times New Roman" w:eastAsiaTheme="minorEastAsia"/>
          <w:color w:val="auto"/>
          <w:sz w:val="24"/>
        </w:rPr>
        <w:t>处，由于居民房屋分布在道路平交口，平交口处设置声屏障一是易导致公路运营安全风险，二是对沿线居民出行产生阻隔影响，因此对</w:t>
      </w:r>
      <w:r>
        <w:rPr>
          <w:rFonts w:ascii="Times New Roman" w:hAnsi="Times New Roman" w:eastAsia="宋体" w:cs="Times New Roman"/>
          <w:color w:val="auto"/>
          <w:sz w:val="24"/>
        </w:rPr>
        <w:t>平交口超标</w:t>
      </w:r>
      <w:r>
        <w:rPr>
          <w:rFonts w:ascii="Times New Roman" w:hAnsi="Times New Roman" w:cs="Times New Roman" w:eastAsiaTheme="minorEastAsia"/>
          <w:color w:val="auto"/>
          <w:sz w:val="24"/>
        </w:rPr>
        <w:t>的</w:t>
      </w:r>
      <w:r>
        <w:rPr>
          <w:rFonts w:hint="eastAsia" w:ascii="Times New Roman" w:hAnsi="Times New Roman" w:cs="Times New Roman" w:eastAsiaTheme="minorEastAsia"/>
          <w:color w:val="auto"/>
          <w:sz w:val="24"/>
        </w:rPr>
        <w:t>26</w:t>
      </w:r>
      <w:r>
        <w:rPr>
          <w:rFonts w:ascii="Times New Roman" w:hAnsi="Times New Roman" w:cs="Times New Roman" w:eastAsiaTheme="minorEastAsia"/>
          <w:color w:val="auto"/>
          <w:sz w:val="24"/>
        </w:rPr>
        <w:t>处保护目标安装隔声窗。根据隔声窗实际的性能测试分析和</w:t>
      </w:r>
      <w:r>
        <w:rPr>
          <w:rFonts w:hint="eastAsia" w:ascii="Times New Roman" w:hAnsi="Times New Roman" w:cs="Times New Roman" w:eastAsiaTheme="minorEastAsia"/>
          <w:color w:val="auto"/>
          <w:sz w:val="24"/>
        </w:rPr>
        <w:t>使用</w:t>
      </w:r>
      <w:r>
        <w:rPr>
          <w:rFonts w:ascii="Times New Roman" w:hAnsi="Times New Roman" w:cs="Times New Roman" w:eastAsiaTheme="minorEastAsia"/>
          <w:color w:val="auto"/>
          <w:sz w:val="24"/>
        </w:rPr>
        <w:t>经验，</w:t>
      </w:r>
      <w:r>
        <w:rPr>
          <w:rFonts w:ascii="Times New Roman" w:hAnsi="Times New Roman" w:cs="Times New Roman" w:eastAsiaTheme="minorEastAsia"/>
          <w:iCs/>
          <w:color w:val="auto"/>
          <w:spacing w:val="-2"/>
          <w:sz w:val="24"/>
        </w:rPr>
        <w:t>在窗户全关闭的情况下，室内噪声可降低11~15dB，双层玻璃窗比单层玻璃窗又可降低10dB左右，达25dB，可大大减轻交通噪声对居民的干扰，且投资较少，经济合理。</w:t>
      </w:r>
    </w:p>
    <w:p w14:paraId="7DC431E6">
      <w:pPr>
        <w:spacing w:line="300" w:lineRule="auto"/>
        <w:ind w:firstLine="482"/>
        <w:rPr>
          <w:rFonts w:ascii="Times New Roman" w:hAnsi="Times New Roman" w:cs="Times New Roman" w:eastAsiaTheme="minorEastAsia"/>
          <w:color w:val="auto"/>
          <w:sz w:val="24"/>
        </w:rPr>
      </w:pPr>
      <w:r>
        <w:rPr>
          <w:rFonts w:ascii="Times New Roman" w:hAnsi="Times New Roman" w:cs="Times New Roman" w:eastAsiaTheme="minorEastAsia"/>
          <w:color w:val="auto"/>
          <w:sz w:val="24"/>
        </w:rPr>
        <w:t>新型隔声窗采用自然通风方式，具有全关闭、通风、全开启的功能，并采用透明双层微穿孔结构作为消声通道，通道厚度不超过12cm，窗体最大厚度不超过20cm，适用于本工程沿线敏感点建筑外墙。新型隔声窗具有良好的隔声性能，其隔声性能与上悬窗、下悬窗的面积比、微穿孔结构的吸声性能、窗体宽度紧密相关，俞悟周等人在实验室测得的通风通道开启时隔声窗的隔声指数为28dB(A)，隔声性能频谱曲线与预测计算值吻合良好，现场隔声量略高于实验室测量值（图</w:t>
      </w:r>
      <w:r>
        <w:rPr>
          <w:rFonts w:hint="eastAsia" w:ascii="Times New Roman" w:hAnsi="Times New Roman" w:cs="Times New Roman" w:eastAsiaTheme="minorEastAsia"/>
          <w:color w:val="auto"/>
          <w:sz w:val="24"/>
        </w:rPr>
        <w:t>5.3-1</w:t>
      </w:r>
      <w:r>
        <w:rPr>
          <w:rFonts w:ascii="Times New Roman" w:hAnsi="Times New Roman" w:cs="Times New Roman" w:eastAsiaTheme="minorEastAsia"/>
          <w:color w:val="auto"/>
          <w:sz w:val="24"/>
        </w:rPr>
        <w:t>）。新型隔声窗用于公路两侧不但可取得满意的降噪效果，而且具有良好的通风性能，其通风量能满足住宅建筑室内空气质量的要求。</w:t>
      </w:r>
    </w:p>
    <w:p w14:paraId="56914A9B">
      <w:pPr>
        <w:rPr>
          <w:rFonts w:ascii="Times New Roman" w:hAnsi="Times New Roman" w:cs="Times New Roman" w:eastAsiaTheme="minorEastAsia"/>
          <w:color w:val="auto"/>
        </w:rPr>
      </w:pPr>
      <w:r>
        <w:rPr>
          <w:rFonts w:ascii="Times New Roman" w:hAnsi="Times New Roman" w:cs="Times New Roman" w:eastAsiaTheme="minorEastAsia"/>
          <w:color w:val="auto"/>
        </w:rPr>
        <w:drawing>
          <wp:inline distT="0" distB="0" distL="114300" distR="114300">
            <wp:extent cx="5072380" cy="2078990"/>
            <wp:effectExtent l="0" t="0" r="13970" b="16510"/>
            <wp:docPr id="248" name="图片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图片 1027"/>
                    <pic:cNvPicPr>
                      <a:picLocks noChangeAspect="1"/>
                    </pic:cNvPicPr>
                  </pic:nvPicPr>
                  <pic:blipFill>
                    <a:blip r:embed="rId272" cstate="print"/>
                    <a:stretch>
                      <a:fillRect/>
                    </a:stretch>
                  </pic:blipFill>
                  <pic:spPr>
                    <a:xfrm>
                      <a:off x="0" y="0"/>
                      <a:ext cx="5072380" cy="2078990"/>
                    </a:xfrm>
                    <a:prstGeom prst="rect">
                      <a:avLst/>
                    </a:prstGeom>
                    <a:noFill/>
                    <a:ln>
                      <a:noFill/>
                    </a:ln>
                  </pic:spPr>
                </pic:pic>
              </a:graphicData>
            </a:graphic>
          </wp:inline>
        </w:drawing>
      </w:r>
    </w:p>
    <w:p w14:paraId="20A00B75">
      <w:pPr>
        <w:spacing w:beforeLines="50" w:afterLines="50"/>
        <w:jc w:val="center"/>
        <w:rPr>
          <w:rFonts w:ascii="Times New Roman" w:hAnsi="Times New Roman" w:cs="Times New Roman" w:eastAsiaTheme="minorEastAsia"/>
          <w:b/>
          <w:color w:val="auto"/>
        </w:rPr>
      </w:pPr>
      <w:r>
        <w:rPr>
          <w:rFonts w:ascii="Times New Roman" w:hAnsi="Times New Roman" w:cs="Times New Roman" w:eastAsiaTheme="minorEastAsia"/>
          <w:b/>
          <w:color w:val="auto"/>
        </w:rPr>
        <w:t>图</w:t>
      </w:r>
      <w:r>
        <w:rPr>
          <w:rFonts w:hint="eastAsia" w:ascii="Times New Roman" w:hAnsi="Times New Roman" w:cs="Times New Roman" w:eastAsiaTheme="minorEastAsia"/>
          <w:b/>
          <w:color w:val="auto"/>
        </w:rPr>
        <w:t>5.3-1</w:t>
      </w:r>
      <w:r>
        <w:rPr>
          <w:rFonts w:ascii="Times New Roman" w:hAnsi="Times New Roman" w:cs="Times New Roman" w:eastAsiaTheme="minorEastAsia"/>
          <w:b/>
          <w:color w:val="auto"/>
        </w:rPr>
        <w:t xml:space="preserve">  隔声窗通风及消声通道设计示意图</w:t>
      </w:r>
    </w:p>
    <w:p w14:paraId="1FC19A25">
      <w:pPr>
        <w:shd w:val="clear" w:color="auto" w:fill="FFFFFF"/>
        <w:spacing w:line="300" w:lineRule="auto"/>
        <w:ind w:firstLine="480" w:firstLineChars="200"/>
        <w:rPr>
          <w:rFonts w:ascii="Times New Roman" w:hAnsi="Times New Roman" w:eastAsia="宋体" w:cs="Times New Roman"/>
          <w:color w:val="auto"/>
          <w:sz w:val="24"/>
          <w:szCs w:val="20"/>
        </w:rPr>
      </w:pPr>
      <w:r>
        <w:rPr>
          <w:rFonts w:ascii="Times New Roman" w:hAnsi="Times New Roman" w:cs="Times New Roman" w:eastAsiaTheme="minorEastAsia"/>
          <w:color w:val="auto"/>
          <w:sz w:val="24"/>
        </w:rPr>
        <w:t>隔声窗使用的是经过特别加工的隔音层，能大大降低室外噪声，取得良好的社会经济效益。隔声窗安装费用由公路建设单位或</w:t>
      </w:r>
      <w:r>
        <w:rPr>
          <w:rFonts w:hint="eastAsia" w:ascii="Times New Roman" w:hAnsi="Times New Roman" w:cs="Times New Roman" w:eastAsiaTheme="minorEastAsia"/>
          <w:color w:val="auto"/>
          <w:sz w:val="24"/>
        </w:rPr>
        <w:t>运营</w:t>
      </w:r>
      <w:r>
        <w:rPr>
          <w:rFonts w:ascii="Times New Roman" w:hAnsi="Times New Roman" w:cs="Times New Roman" w:eastAsiaTheme="minorEastAsia"/>
          <w:color w:val="auto"/>
          <w:sz w:val="24"/>
        </w:rPr>
        <w:t>管理单位来承担，在有效解决费用来源后，沿线村民对安装隔声窗比较认可。拟建公路沿线居民点房屋结构稳定性较好，房屋结构多以砖混为主，自身具备较好的隔音效果，加装隔声窗后，可起到较好的降噪效果。通风隔声窗本身安装过程简单、方便，可在房屋已有窗户窗台内安装，对房屋结构无影响，除了降噪效果好外，还具有以下优点：1.质量好不变形，经久耐用；2.抗风压性能强、密闭性好；3.防雨水渗漏、防灰尘；4.开启灵活、安全可靠；5.造型美观、结构新颖、采光面大、擦洗方便；6.安全防盗；7.具有一定的保温性。拟建公路安装通风隔声窗可参考相关公路的安装步骤实施，具体由公路建设单位负责实施，委托专业环保设计单位进行隔声窗的设计，委托地方政府负责与村民沟通，协调实施隔声窗，建设单位协助讲解有关隔声窗的优点和降噪性能。经村民同意后，由建设单位委托专业单位进行安装，并进行隔声窗效果测试和环保验收。在使用以上实施模式后，安装隔声窗在拟建公路是可靠可行的。</w:t>
      </w:r>
    </w:p>
    <w:p w14:paraId="154989D5">
      <w:pPr>
        <w:spacing w:line="300" w:lineRule="auto"/>
        <w:rPr>
          <w:color w:val="auto"/>
          <w:sz w:val="24"/>
          <w:szCs w:val="20"/>
        </w:rPr>
        <w:sectPr>
          <w:headerReference r:id="rId99" w:type="default"/>
          <w:footerReference r:id="rId100" w:type="default"/>
          <w:footerReference r:id="rId101" w:type="even"/>
          <w:pgSz w:w="11906" w:h="16838"/>
          <w:pgMar w:top="1440" w:right="1800" w:bottom="1560" w:left="1800" w:header="851" w:footer="992" w:gutter="0"/>
          <w:pgBorders>
            <w:top w:val="none" w:sz="0" w:space="0"/>
            <w:left w:val="none" w:sz="0" w:space="0"/>
            <w:bottom w:val="none" w:sz="0" w:space="0"/>
            <w:right w:val="none" w:sz="0" w:space="0"/>
          </w:pgBorders>
          <w:cols w:space="720" w:num="1"/>
          <w:docGrid w:type="lines" w:linePitch="312" w:charSpace="0"/>
        </w:sectPr>
      </w:pPr>
    </w:p>
    <w:p w14:paraId="76A3BCDC">
      <w:pPr>
        <w:spacing w:beforeLines="50"/>
        <w:jc w:val="center"/>
        <w:rPr>
          <w:rFonts w:ascii="Times New Roman" w:hAnsi="宋体" w:eastAsia="宋体" w:cs="Times New Roman"/>
          <w:b/>
          <w:spacing w:val="4"/>
          <w:szCs w:val="21"/>
        </w:rPr>
      </w:pPr>
      <w:r>
        <w:rPr>
          <w:rFonts w:ascii="Times New Roman" w:hAnsi="宋体" w:eastAsia="宋体" w:cs="Times New Roman"/>
          <w:b/>
          <w:spacing w:val="4"/>
          <w:szCs w:val="21"/>
        </w:rPr>
        <w:t>表</w:t>
      </w:r>
      <w:r>
        <w:rPr>
          <w:rFonts w:hint="eastAsia" w:ascii="Times New Roman" w:hAnsi="Times New Roman" w:eastAsia="宋体" w:cs="Times New Roman"/>
          <w:b/>
          <w:spacing w:val="4"/>
          <w:szCs w:val="21"/>
        </w:rPr>
        <w:t>5</w:t>
      </w:r>
      <w:r>
        <w:rPr>
          <w:rFonts w:ascii="Times New Roman" w:hAnsi="Times New Roman" w:eastAsia="宋体" w:cs="Times New Roman"/>
          <w:b/>
          <w:spacing w:val="4"/>
          <w:szCs w:val="21"/>
        </w:rPr>
        <w:t xml:space="preserve">.3-2  </w:t>
      </w:r>
      <w:r>
        <w:rPr>
          <w:rFonts w:ascii="Times New Roman" w:hAnsi="宋体" w:eastAsia="宋体" w:cs="Times New Roman"/>
          <w:b/>
          <w:spacing w:val="4"/>
          <w:szCs w:val="21"/>
        </w:rPr>
        <w:t>拟建公路营运中期噪声预测值超标敏感点及降噪措施</w:t>
      </w:r>
      <w:r>
        <w:rPr>
          <w:rFonts w:hint="eastAsia" w:ascii="Times New Roman" w:hAnsi="宋体" w:eastAsia="宋体" w:cs="Times New Roman"/>
          <w:b/>
          <w:spacing w:val="4"/>
          <w:szCs w:val="21"/>
        </w:rPr>
        <w:t>论证一览</w:t>
      </w:r>
      <w:r>
        <w:rPr>
          <w:rFonts w:ascii="Times New Roman" w:hAnsi="宋体" w:eastAsia="宋体" w:cs="Times New Roman"/>
          <w:b/>
          <w:spacing w:val="4"/>
          <w:szCs w:val="21"/>
        </w:rPr>
        <w:t>表</w:t>
      </w:r>
    </w:p>
    <w:tbl>
      <w:tblPr>
        <w:tblStyle w:val="22"/>
        <w:tblW w:w="5000" w:type="pct"/>
        <w:jc w:val="center"/>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fixed"/>
        <w:tblCellMar>
          <w:top w:w="0" w:type="dxa"/>
          <w:left w:w="28" w:type="dxa"/>
          <w:bottom w:w="0" w:type="dxa"/>
          <w:right w:w="28" w:type="dxa"/>
        </w:tblCellMar>
      </w:tblPr>
      <w:tblGrid>
        <w:gridCol w:w="736"/>
        <w:gridCol w:w="1137"/>
        <w:gridCol w:w="1417"/>
        <w:gridCol w:w="565"/>
        <w:gridCol w:w="856"/>
        <w:gridCol w:w="995"/>
        <w:gridCol w:w="995"/>
        <w:gridCol w:w="778"/>
        <w:gridCol w:w="778"/>
        <w:gridCol w:w="9131"/>
        <w:gridCol w:w="991"/>
        <w:gridCol w:w="1065"/>
        <w:gridCol w:w="1028"/>
      </w:tblGrid>
      <w:tr w14:paraId="422799DF">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PrEx>
        <w:trPr>
          <w:tblHeader/>
          <w:jc w:val="center"/>
        </w:trPr>
        <w:tc>
          <w:tcPr>
            <w:tcW w:w="180" w:type="pct"/>
            <w:vMerge w:val="restart"/>
            <w:noWrap/>
            <w:vAlign w:val="center"/>
          </w:tcPr>
          <w:p w14:paraId="4D79F744">
            <w:pPr>
              <w:spacing w:line="240" w:lineRule="exact"/>
              <w:jc w:val="center"/>
              <w:rPr>
                <w:rFonts w:ascii="Times New Roman" w:hAnsi="Times New Roman" w:eastAsia="宋体" w:cs="Times New Roman"/>
                <w:b/>
              </w:rPr>
            </w:pPr>
            <w:r>
              <w:rPr>
                <w:rFonts w:ascii="Times New Roman" w:hAnsi="Times New Roman" w:eastAsia="宋体" w:cs="Times New Roman"/>
                <w:b/>
              </w:rPr>
              <w:t>序号</w:t>
            </w:r>
          </w:p>
        </w:tc>
        <w:tc>
          <w:tcPr>
            <w:tcW w:w="278" w:type="pct"/>
            <w:vMerge w:val="restart"/>
            <w:vAlign w:val="center"/>
          </w:tcPr>
          <w:p w14:paraId="4D99ADD8">
            <w:pPr>
              <w:widowControl/>
              <w:adjustRightInd w:val="0"/>
              <w:snapToGrid w:val="0"/>
              <w:spacing w:line="240" w:lineRule="exact"/>
              <w:jc w:val="center"/>
              <w:rPr>
                <w:rFonts w:ascii="Times New Roman" w:hAnsi="Times New Roman" w:eastAsia="宋体" w:cs="Times New Roman"/>
                <w:b/>
                <w:snapToGrid w:val="0"/>
                <w:kern w:val="0"/>
                <w:szCs w:val="21"/>
              </w:rPr>
            </w:pPr>
            <w:r>
              <w:rPr>
                <w:rFonts w:ascii="Times New Roman" w:hAnsi="宋体" w:eastAsia="宋体" w:cs="Times New Roman"/>
                <w:b/>
                <w:snapToGrid w:val="0"/>
                <w:kern w:val="0"/>
                <w:szCs w:val="21"/>
              </w:rPr>
              <w:t>桩号</w:t>
            </w:r>
          </w:p>
        </w:tc>
        <w:tc>
          <w:tcPr>
            <w:tcW w:w="346" w:type="pct"/>
            <w:vMerge w:val="restart"/>
            <w:vAlign w:val="center"/>
          </w:tcPr>
          <w:p w14:paraId="15979D9F">
            <w:pPr>
              <w:widowControl/>
              <w:adjustRightInd w:val="0"/>
              <w:snapToGrid w:val="0"/>
              <w:spacing w:line="240" w:lineRule="exact"/>
              <w:jc w:val="center"/>
              <w:rPr>
                <w:rFonts w:ascii="Times New Roman" w:hAnsi="Times New Roman" w:eastAsia="宋体" w:cs="Times New Roman"/>
                <w:b/>
                <w:snapToGrid w:val="0"/>
                <w:kern w:val="0"/>
                <w:szCs w:val="21"/>
              </w:rPr>
            </w:pPr>
            <w:r>
              <w:rPr>
                <w:rFonts w:ascii="Times New Roman" w:hAnsi="宋体" w:eastAsia="宋体" w:cs="Times New Roman"/>
                <w:b/>
                <w:snapToGrid w:val="0"/>
                <w:kern w:val="0"/>
                <w:szCs w:val="21"/>
              </w:rPr>
              <w:t>敏感点名称</w:t>
            </w:r>
          </w:p>
        </w:tc>
        <w:tc>
          <w:tcPr>
            <w:tcW w:w="347" w:type="pct"/>
            <w:gridSpan w:val="2"/>
            <w:vAlign w:val="center"/>
          </w:tcPr>
          <w:p w14:paraId="131C66A5">
            <w:pPr>
              <w:adjustRightInd w:val="0"/>
              <w:snapToGrid w:val="0"/>
              <w:spacing w:line="240" w:lineRule="exact"/>
              <w:jc w:val="center"/>
              <w:rPr>
                <w:rFonts w:ascii="Times New Roman" w:hAnsi="Times New Roman" w:eastAsia="宋体" w:cs="Times New Roman"/>
                <w:b/>
                <w:snapToGrid w:val="0"/>
                <w:kern w:val="0"/>
                <w:szCs w:val="21"/>
              </w:rPr>
            </w:pPr>
            <w:r>
              <w:rPr>
                <w:rFonts w:ascii="Times New Roman" w:hAnsi="宋体" w:eastAsia="宋体" w:cs="Times New Roman"/>
                <w:b/>
                <w:snapToGrid w:val="0"/>
                <w:kern w:val="0"/>
                <w:szCs w:val="21"/>
              </w:rPr>
              <w:t>所在位置</w:t>
            </w:r>
          </w:p>
        </w:tc>
        <w:tc>
          <w:tcPr>
            <w:tcW w:w="486" w:type="pct"/>
            <w:gridSpan w:val="2"/>
            <w:vAlign w:val="center"/>
          </w:tcPr>
          <w:p w14:paraId="7EE220C3">
            <w:pPr>
              <w:widowControl/>
              <w:spacing w:line="240" w:lineRule="exact"/>
              <w:jc w:val="center"/>
              <w:rPr>
                <w:rFonts w:ascii="Times New Roman" w:hAnsi="Times New Roman" w:eastAsia="宋体" w:cs="Times New Roman"/>
                <w:b/>
                <w:bCs/>
                <w:szCs w:val="21"/>
              </w:rPr>
            </w:pPr>
            <w:r>
              <w:rPr>
                <w:rFonts w:ascii="Times New Roman" w:hAnsi="Times New Roman" w:eastAsia="宋体" w:cs="Times New Roman"/>
                <w:b/>
                <w:bCs/>
              </w:rPr>
              <w:t>营运中期昼间/夜间最大超标量（dB）</w:t>
            </w:r>
          </w:p>
        </w:tc>
        <w:tc>
          <w:tcPr>
            <w:tcW w:w="380" w:type="pct"/>
            <w:gridSpan w:val="2"/>
            <w:shd w:val="clear" w:color="auto" w:fill="auto"/>
            <w:vAlign w:val="center"/>
          </w:tcPr>
          <w:p w14:paraId="450F76F2">
            <w:pPr>
              <w:widowControl/>
              <w:adjustRightInd w:val="0"/>
              <w:snapToGrid w:val="0"/>
              <w:spacing w:line="240" w:lineRule="exact"/>
              <w:jc w:val="center"/>
              <w:rPr>
                <w:rFonts w:ascii="Times New Roman" w:hAnsi="Times New Roman" w:eastAsia="宋体" w:cs="Times New Roman"/>
                <w:b/>
                <w:snapToGrid w:val="0"/>
                <w:kern w:val="0"/>
                <w:szCs w:val="21"/>
              </w:rPr>
            </w:pPr>
            <w:r>
              <w:rPr>
                <w:rFonts w:ascii="Times New Roman" w:hAnsi="宋体" w:eastAsia="宋体" w:cs="Times New Roman"/>
                <w:b/>
                <w:snapToGrid w:val="0"/>
                <w:kern w:val="0"/>
                <w:szCs w:val="21"/>
              </w:rPr>
              <w:t>受影响户</w:t>
            </w:r>
            <w:r>
              <w:rPr>
                <w:rFonts w:ascii="Times New Roman" w:hAnsi="Times New Roman" w:eastAsia="宋体" w:cs="Times New Roman"/>
                <w:b/>
                <w:snapToGrid w:val="0"/>
                <w:kern w:val="0"/>
                <w:szCs w:val="21"/>
              </w:rPr>
              <w:t>(</w:t>
            </w:r>
            <w:r>
              <w:rPr>
                <w:rFonts w:ascii="Times New Roman" w:hAnsi="宋体" w:eastAsia="宋体" w:cs="Times New Roman"/>
                <w:b/>
                <w:snapToGrid w:val="0"/>
                <w:kern w:val="0"/>
                <w:szCs w:val="21"/>
              </w:rPr>
              <w:t>户</w:t>
            </w:r>
            <w:r>
              <w:rPr>
                <w:rFonts w:ascii="Times New Roman" w:hAnsi="Times New Roman" w:eastAsia="宋体" w:cs="Times New Roman"/>
                <w:b/>
                <w:snapToGrid w:val="0"/>
                <w:kern w:val="0"/>
                <w:szCs w:val="21"/>
              </w:rPr>
              <w:t>)</w:t>
            </w:r>
          </w:p>
        </w:tc>
        <w:tc>
          <w:tcPr>
            <w:tcW w:w="2230" w:type="pct"/>
            <w:vMerge w:val="restart"/>
            <w:noWrap/>
            <w:vAlign w:val="center"/>
          </w:tcPr>
          <w:p w14:paraId="11D261B3">
            <w:pPr>
              <w:spacing w:line="240" w:lineRule="exact"/>
              <w:jc w:val="center"/>
              <w:rPr>
                <w:rFonts w:ascii="Times New Roman" w:hAnsi="Times New Roman" w:eastAsia="宋体" w:cs="Times New Roman"/>
                <w:b/>
                <w:szCs w:val="21"/>
              </w:rPr>
            </w:pPr>
            <w:r>
              <w:rPr>
                <w:rFonts w:ascii="Times New Roman" w:hAnsi="Times New Roman" w:eastAsia="宋体" w:cs="Times New Roman"/>
                <w:b/>
                <w:szCs w:val="21"/>
              </w:rPr>
              <w:t>降噪措施方案论证比选</w:t>
            </w:r>
          </w:p>
        </w:tc>
        <w:tc>
          <w:tcPr>
            <w:tcW w:w="242" w:type="pct"/>
            <w:vMerge w:val="restart"/>
            <w:vAlign w:val="center"/>
          </w:tcPr>
          <w:p w14:paraId="4BE53505">
            <w:pPr>
              <w:widowControl/>
              <w:spacing w:line="240" w:lineRule="exact"/>
              <w:jc w:val="center"/>
              <w:rPr>
                <w:rFonts w:ascii="Times New Roman" w:hAnsi="Times New Roman" w:eastAsia="宋体" w:cs="Times New Roman"/>
                <w:b/>
                <w:szCs w:val="21"/>
              </w:rPr>
            </w:pPr>
            <w:r>
              <w:rPr>
                <w:rFonts w:ascii="Times New Roman" w:hAnsi="Times New Roman" w:eastAsia="宋体" w:cs="Times New Roman"/>
                <w:b/>
                <w:szCs w:val="21"/>
              </w:rPr>
              <w:t>推荐措施</w:t>
            </w:r>
          </w:p>
        </w:tc>
        <w:tc>
          <w:tcPr>
            <w:tcW w:w="260" w:type="pct"/>
            <w:vMerge w:val="restart"/>
            <w:vAlign w:val="center"/>
          </w:tcPr>
          <w:p w14:paraId="1BF3A9B7">
            <w:pPr>
              <w:widowControl/>
              <w:spacing w:line="240" w:lineRule="exact"/>
              <w:jc w:val="center"/>
              <w:rPr>
                <w:rFonts w:ascii="Times New Roman" w:hAnsi="Times New Roman" w:eastAsia="宋体" w:cs="Times New Roman"/>
                <w:b/>
                <w:szCs w:val="21"/>
              </w:rPr>
            </w:pPr>
            <w:r>
              <w:rPr>
                <w:rFonts w:ascii="Times New Roman" w:hAnsi="Times New Roman" w:eastAsia="宋体" w:cs="Times New Roman"/>
                <w:b/>
                <w:szCs w:val="21"/>
              </w:rPr>
              <w:t>降噪效果</w:t>
            </w:r>
          </w:p>
        </w:tc>
        <w:tc>
          <w:tcPr>
            <w:tcW w:w="251" w:type="pct"/>
            <w:vMerge w:val="restart"/>
            <w:vAlign w:val="center"/>
          </w:tcPr>
          <w:p w14:paraId="2C09C509">
            <w:pPr>
              <w:widowControl/>
              <w:spacing w:line="240" w:lineRule="exact"/>
              <w:jc w:val="center"/>
              <w:rPr>
                <w:rFonts w:ascii="Times New Roman" w:hAnsi="Times New Roman" w:eastAsia="宋体" w:cs="Times New Roman"/>
                <w:b/>
                <w:szCs w:val="21"/>
              </w:rPr>
            </w:pPr>
            <w:r>
              <w:rPr>
                <w:rFonts w:ascii="Times New Roman" w:hAnsi="Times New Roman" w:eastAsia="宋体" w:cs="Times New Roman"/>
                <w:b/>
                <w:szCs w:val="21"/>
              </w:rPr>
              <w:t>投资估算(万元)</w:t>
            </w:r>
          </w:p>
        </w:tc>
      </w:tr>
      <w:tr w14:paraId="338BC505">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trHeight w:val="382" w:hRule="atLeast"/>
          <w:tblHeader/>
          <w:jc w:val="center"/>
        </w:trPr>
        <w:tc>
          <w:tcPr>
            <w:tcW w:w="180" w:type="pct"/>
            <w:vMerge w:val="continue"/>
            <w:noWrap/>
            <w:vAlign w:val="center"/>
          </w:tcPr>
          <w:p w14:paraId="16DE28E5">
            <w:pPr>
              <w:spacing w:line="240" w:lineRule="exact"/>
              <w:jc w:val="center"/>
              <w:rPr>
                <w:rFonts w:ascii="Times New Roman" w:hAnsi="Times New Roman" w:eastAsia="宋体" w:cs="Times New Roman"/>
              </w:rPr>
            </w:pPr>
          </w:p>
        </w:tc>
        <w:tc>
          <w:tcPr>
            <w:tcW w:w="278" w:type="pct"/>
            <w:vMerge w:val="continue"/>
            <w:vAlign w:val="center"/>
          </w:tcPr>
          <w:p w14:paraId="6E22DDEA">
            <w:pPr>
              <w:widowControl/>
              <w:adjustRightInd w:val="0"/>
              <w:snapToGrid w:val="0"/>
              <w:spacing w:line="240" w:lineRule="exact"/>
              <w:jc w:val="center"/>
              <w:rPr>
                <w:rFonts w:ascii="Times New Roman" w:hAnsi="Times New Roman" w:eastAsia="宋体" w:cs="Times New Roman"/>
                <w:b/>
                <w:snapToGrid w:val="0"/>
                <w:kern w:val="0"/>
                <w:szCs w:val="21"/>
              </w:rPr>
            </w:pPr>
          </w:p>
        </w:tc>
        <w:tc>
          <w:tcPr>
            <w:tcW w:w="346" w:type="pct"/>
            <w:vMerge w:val="continue"/>
            <w:vAlign w:val="center"/>
          </w:tcPr>
          <w:p w14:paraId="05FFD050">
            <w:pPr>
              <w:widowControl/>
              <w:adjustRightInd w:val="0"/>
              <w:snapToGrid w:val="0"/>
              <w:spacing w:line="240" w:lineRule="exact"/>
              <w:jc w:val="center"/>
              <w:rPr>
                <w:rFonts w:ascii="Times New Roman" w:hAnsi="Times New Roman" w:eastAsia="宋体" w:cs="Times New Roman"/>
                <w:b/>
                <w:snapToGrid w:val="0"/>
                <w:kern w:val="0"/>
                <w:szCs w:val="21"/>
              </w:rPr>
            </w:pPr>
          </w:p>
        </w:tc>
        <w:tc>
          <w:tcPr>
            <w:tcW w:w="138" w:type="pct"/>
            <w:vAlign w:val="center"/>
          </w:tcPr>
          <w:p w14:paraId="1C0B0EE0">
            <w:pPr>
              <w:adjustRightInd w:val="0"/>
              <w:snapToGrid w:val="0"/>
              <w:spacing w:line="240" w:lineRule="exact"/>
              <w:jc w:val="center"/>
              <w:rPr>
                <w:rFonts w:ascii="Times New Roman" w:hAnsi="Times New Roman" w:eastAsia="宋体" w:cs="Times New Roman"/>
                <w:b/>
                <w:snapToGrid w:val="0"/>
                <w:kern w:val="0"/>
                <w:szCs w:val="21"/>
              </w:rPr>
            </w:pPr>
            <w:r>
              <w:rPr>
                <w:rFonts w:ascii="Times New Roman" w:hAnsi="宋体" w:eastAsia="宋体" w:cs="Times New Roman"/>
                <w:b/>
                <w:snapToGrid w:val="0"/>
                <w:kern w:val="0"/>
                <w:szCs w:val="21"/>
              </w:rPr>
              <w:t>方位</w:t>
            </w:r>
          </w:p>
        </w:tc>
        <w:tc>
          <w:tcPr>
            <w:tcW w:w="209" w:type="pct"/>
            <w:vAlign w:val="center"/>
          </w:tcPr>
          <w:p w14:paraId="2D94C525">
            <w:pPr>
              <w:adjustRightInd w:val="0"/>
              <w:snapToGrid w:val="0"/>
              <w:spacing w:line="240" w:lineRule="exact"/>
              <w:jc w:val="center"/>
              <w:rPr>
                <w:rFonts w:ascii="Times New Roman" w:hAnsi="Times New Roman" w:eastAsia="宋体" w:cs="Times New Roman"/>
                <w:b/>
                <w:snapToGrid w:val="0"/>
                <w:kern w:val="0"/>
                <w:szCs w:val="21"/>
              </w:rPr>
            </w:pPr>
            <w:r>
              <w:rPr>
                <w:rFonts w:ascii="Times New Roman" w:hAnsi="宋体" w:eastAsia="宋体" w:cs="Times New Roman"/>
                <w:b/>
                <w:snapToGrid w:val="0"/>
                <w:kern w:val="0"/>
                <w:szCs w:val="21"/>
              </w:rPr>
              <w:t>距路中心线</w:t>
            </w:r>
            <w:r>
              <w:rPr>
                <w:rFonts w:ascii="Times New Roman" w:hAnsi="Times New Roman" w:eastAsia="宋体" w:cs="Times New Roman"/>
                <w:b/>
                <w:snapToGrid w:val="0"/>
                <w:kern w:val="0"/>
                <w:szCs w:val="21"/>
              </w:rPr>
              <w:t>(m)</w:t>
            </w:r>
          </w:p>
        </w:tc>
        <w:tc>
          <w:tcPr>
            <w:tcW w:w="243" w:type="pct"/>
            <w:vAlign w:val="center"/>
          </w:tcPr>
          <w:p w14:paraId="739A6523">
            <w:pPr>
              <w:widowControl/>
              <w:jc w:val="center"/>
              <w:rPr>
                <w:rFonts w:ascii="Times New Roman" w:hAnsi="Times New Roman" w:eastAsia="宋体" w:cs="Times New Roman"/>
                <w:b/>
                <w:kern w:val="0"/>
              </w:rPr>
            </w:pPr>
            <w:r>
              <w:rPr>
                <w:rFonts w:ascii="Times New Roman" w:hAnsi="Times New Roman" w:eastAsia="宋体" w:cs="Times New Roman"/>
                <w:b/>
                <w:bCs/>
              </w:rPr>
              <w:t>4a类</w:t>
            </w:r>
          </w:p>
        </w:tc>
        <w:tc>
          <w:tcPr>
            <w:tcW w:w="243" w:type="pct"/>
            <w:vAlign w:val="center"/>
          </w:tcPr>
          <w:p w14:paraId="219531B9">
            <w:pPr>
              <w:widowControl/>
              <w:jc w:val="center"/>
              <w:rPr>
                <w:rFonts w:ascii="Times New Roman" w:hAnsi="Times New Roman" w:eastAsia="宋体" w:cs="Times New Roman"/>
                <w:b/>
                <w:kern w:val="0"/>
              </w:rPr>
            </w:pPr>
            <w:r>
              <w:rPr>
                <w:rFonts w:ascii="Times New Roman" w:hAnsi="Times New Roman" w:eastAsia="宋体" w:cs="Times New Roman"/>
                <w:b/>
                <w:bCs/>
              </w:rPr>
              <w:t>2类</w:t>
            </w:r>
          </w:p>
        </w:tc>
        <w:tc>
          <w:tcPr>
            <w:tcW w:w="190" w:type="pct"/>
            <w:shd w:val="clear" w:color="auto" w:fill="auto"/>
            <w:vAlign w:val="center"/>
          </w:tcPr>
          <w:p w14:paraId="7F0AACCA">
            <w:pPr>
              <w:adjustRightInd w:val="0"/>
              <w:snapToGrid w:val="0"/>
              <w:spacing w:line="240" w:lineRule="exact"/>
              <w:jc w:val="center"/>
              <w:rPr>
                <w:rFonts w:ascii="Times New Roman" w:hAnsi="Times New Roman" w:eastAsia="宋体" w:cs="Times New Roman"/>
                <w:b/>
                <w:snapToGrid w:val="0"/>
                <w:kern w:val="0"/>
                <w:szCs w:val="21"/>
              </w:rPr>
            </w:pPr>
            <w:r>
              <w:rPr>
                <w:rFonts w:ascii="Times New Roman" w:hAnsi="Times New Roman" w:eastAsia="宋体" w:cs="Times New Roman"/>
                <w:b/>
                <w:snapToGrid w:val="0"/>
                <w:kern w:val="0"/>
                <w:szCs w:val="21"/>
              </w:rPr>
              <w:t>4a</w:t>
            </w:r>
            <w:r>
              <w:rPr>
                <w:rFonts w:ascii="Times New Roman" w:hAnsi="宋体" w:eastAsia="宋体" w:cs="Times New Roman"/>
                <w:b/>
                <w:snapToGrid w:val="0"/>
                <w:kern w:val="0"/>
                <w:szCs w:val="21"/>
              </w:rPr>
              <w:t>类</w:t>
            </w:r>
          </w:p>
        </w:tc>
        <w:tc>
          <w:tcPr>
            <w:tcW w:w="190" w:type="pct"/>
            <w:shd w:val="clear" w:color="auto" w:fill="auto"/>
            <w:vAlign w:val="center"/>
          </w:tcPr>
          <w:p w14:paraId="0C27DFEA">
            <w:pPr>
              <w:adjustRightInd w:val="0"/>
              <w:snapToGrid w:val="0"/>
              <w:spacing w:line="240" w:lineRule="exact"/>
              <w:jc w:val="center"/>
              <w:rPr>
                <w:rFonts w:ascii="Times New Roman" w:hAnsi="Times New Roman" w:eastAsia="宋体" w:cs="Times New Roman"/>
                <w:b/>
                <w:snapToGrid w:val="0"/>
                <w:kern w:val="0"/>
                <w:szCs w:val="21"/>
              </w:rPr>
            </w:pPr>
            <w:r>
              <w:rPr>
                <w:rFonts w:ascii="Times New Roman" w:hAnsi="Times New Roman" w:eastAsia="宋体" w:cs="Times New Roman"/>
                <w:b/>
                <w:snapToGrid w:val="0"/>
                <w:kern w:val="0"/>
                <w:szCs w:val="21"/>
              </w:rPr>
              <w:t>2</w:t>
            </w:r>
            <w:r>
              <w:rPr>
                <w:rFonts w:ascii="Times New Roman" w:hAnsi="宋体" w:eastAsia="宋体" w:cs="Times New Roman"/>
                <w:b/>
                <w:snapToGrid w:val="0"/>
                <w:kern w:val="0"/>
                <w:szCs w:val="21"/>
              </w:rPr>
              <w:t>类</w:t>
            </w:r>
          </w:p>
        </w:tc>
        <w:tc>
          <w:tcPr>
            <w:tcW w:w="2230" w:type="pct"/>
            <w:vMerge w:val="continue"/>
            <w:noWrap/>
            <w:vAlign w:val="center"/>
          </w:tcPr>
          <w:p w14:paraId="6D2F904C">
            <w:pPr>
              <w:widowControl/>
              <w:adjustRightInd w:val="0"/>
              <w:snapToGrid w:val="0"/>
              <w:spacing w:line="240" w:lineRule="exact"/>
              <w:jc w:val="center"/>
              <w:rPr>
                <w:rFonts w:ascii="Times New Roman" w:hAnsi="Times New Roman" w:eastAsia="宋体" w:cs="Times New Roman"/>
                <w:b/>
                <w:snapToGrid w:val="0"/>
                <w:kern w:val="0"/>
                <w:szCs w:val="21"/>
              </w:rPr>
            </w:pPr>
          </w:p>
        </w:tc>
        <w:tc>
          <w:tcPr>
            <w:tcW w:w="242" w:type="pct"/>
            <w:vMerge w:val="continue"/>
          </w:tcPr>
          <w:p w14:paraId="76F04603">
            <w:pPr>
              <w:widowControl/>
              <w:adjustRightInd w:val="0"/>
              <w:snapToGrid w:val="0"/>
              <w:spacing w:line="240" w:lineRule="exact"/>
              <w:jc w:val="center"/>
              <w:rPr>
                <w:rFonts w:ascii="Times New Roman" w:hAnsi="Times New Roman" w:eastAsia="宋体" w:cs="Times New Roman"/>
                <w:b/>
                <w:snapToGrid w:val="0"/>
                <w:kern w:val="0"/>
                <w:szCs w:val="21"/>
              </w:rPr>
            </w:pPr>
          </w:p>
        </w:tc>
        <w:tc>
          <w:tcPr>
            <w:tcW w:w="260" w:type="pct"/>
            <w:vMerge w:val="continue"/>
          </w:tcPr>
          <w:p w14:paraId="11025D68">
            <w:pPr>
              <w:widowControl/>
              <w:adjustRightInd w:val="0"/>
              <w:snapToGrid w:val="0"/>
              <w:spacing w:line="240" w:lineRule="exact"/>
              <w:jc w:val="center"/>
              <w:rPr>
                <w:rFonts w:ascii="Times New Roman" w:hAnsi="Times New Roman" w:eastAsia="宋体" w:cs="Times New Roman"/>
                <w:b/>
                <w:snapToGrid w:val="0"/>
                <w:kern w:val="0"/>
                <w:szCs w:val="21"/>
              </w:rPr>
            </w:pPr>
          </w:p>
        </w:tc>
        <w:tc>
          <w:tcPr>
            <w:tcW w:w="251" w:type="pct"/>
            <w:vMerge w:val="continue"/>
          </w:tcPr>
          <w:p w14:paraId="6984C81A">
            <w:pPr>
              <w:widowControl/>
              <w:adjustRightInd w:val="0"/>
              <w:snapToGrid w:val="0"/>
              <w:spacing w:line="240" w:lineRule="exact"/>
              <w:jc w:val="center"/>
              <w:rPr>
                <w:rFonts w:ascii="Times New Roman" w:hAnsi="Times New Roman" w:eastAsia="宋体" w:cs="Times New Roman"/>
                <w:b/>
                <w:snapToGrid w:val="0"/>
                <w:kern w:val="0"/>
                <w:szCs w:val="21"/>
              </w:rPr>
            </w:pPr>
          </w:p>
        </w:tc>
      </w:tr>
      <w:tr w14:paraId="6023491F">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trHeight w:val="595" w:hRule="atLeast"/>
          <w:tblHeader/>
          <w:jc w:val="center"/>
        </w:trPr>
        <w:tc>
          <w:tcPr>
            <w:tcW w:w="180" w:type="pct"/>
            <w:vMerge w:val="restart"/>
            <w:noWrap/>
            <w:vAlign w:val="center"/>
          </w:tcPr>
          <w:p w14:paraId="56D3CA65">
            <w:pPr>
              <w:jc w:val="center"/>
              <w:rPr>
                <w:rFonts w:ascii="Times New Roman" w:hAnsi="Times New Roman" w:eastAsia="宋体" w:cs="Times New Roman"/>
              </w:rPr>
            </w:pPr>
            <w:bookmarkStart w:id="238" w:name="_Hlk230093450"/>
            <w:r>
              <w:rPr>
                <w:rFonts w:hint="eastAsia" w:ascii="Times New Roman" w:hAnsi="Times New Roman" w:eastAsia="宋体" w:cs="Times New Roman"/>
              </w:rPr>
              <w:t>1</w:t>
            </w:r>
          </w:p>
        </w:tc>
        <w:tc>
          <w:tcPr>
            <w:tcW w:w="278" w:type="pct"/>
            <w:vAlign w:val="center"/>
          </w:tcPr>
          <w:p w14:paraId="1698FD74">
            <w:pPr>
              <w:jc w:val="center"/>
              <w:rPr>
                <w:rFonts w:ascii="Times New Roman" w:hAnsi="Times New Roman" w:cs="Times New Roman" w:eastAsiaTheme="minorEastAsia"/>
                <w:szCs w:val="21"/>
              </w:rPr>
            </w:pPr>
            <w:r>
              <w:rPr>
                <w:rFonts w:ascii="Times New Roman" w:hAnsi="Times New Roman" w:cs="Times New Roman" w:eastAsiaTheme="minorEastAsia"/>
                <w:szCs w:val="21"/>
              </w:rPr>
              <w:t>K</w:t>
            </w:r>
            <w:r>
              <w:rPr>
                <w:rFonts w:hint="eastAsia" w:ascii="Times New Roman" w:hAnsi="Times New Roman" w:cs="Times New Roman" w:eastAsiaTheme="minorEastAsia"/>
                <w:szCs w:val="21"/>
              </w:rPr>
              <w:t>6</w:t>
            </w:r>
            <w:r>
              <w:rPr>
                <w:rFonts w:ascii="Times New Roman" w:hAnsi="Times New Roman" w:cs="Times New Roman" w:eastAsiaTheme="minorEastAsia"/>
                <w:szCs w:val="21"/>
              </w:rPr>
              <w:t>+</w:t>
            </w:r>
            <w:r>
              <w:rPr>
                <w:rFonts w:hint="eastAsia" w:ascii="Times New Roman" w:hAnsi="Times New Roman" w:cs="Times New Roman" w:eastAsiaTheme="minorEastAsia"/>
                <w:szCs w:val="21"/>
              </w:rPr>
              <w:t>63</w:t>
            </w:r>
            <w:r>
              <w:rPr>
                <w:rFonts w:ascii="Times New Roman" w:hAnsi="Times New Roman" w:cs="Times New Roman" w:eastAsiaTheme="minorEastAsia"/>
                <w:szCs w:val="21"/>
              </w:rPr>
              <w:t>0</w:t>
            </w:r>
            <w:r>
              <w:rPr>
                <w:rFonts w:ascii="Times New Roman" w:cs="Times New Roman" w:hAnsiTheme="minorEastAsia" w:eastAsiaTheme="minorEastAsia"/>
                <w:szCs w:val="21"/>
              </w:rPr>
              <w:t>～</w:t>
            </w:r>
            <w:r>
              <w:rPr>
                <w:rFonts w:ascii="Times New Roman" w:hAnsi="Times New Roman" w:cs="Times New Roman" w:eastAsiaTheme="minorEastAsia"/>
                <w:szCs w:val="21"/>
              </w:rPr>
              <w:t>K</w:t>
            </w:r>
            <w:r>
              <w:rPr>
                <w:rFonts w:hint="eastAsia" w:ascii="Times New Roman" w:hAnsi="Times New Roman" w:cs="Times New Roman" w:eastAsiaTheme="minorEastAsia"/>
                <w:szCs w:val="21"/>
              </w:rPr>
              <w:t>7</w:t>
            </w:r>
            <w:r>
              <w:rPr>
                <w:rFonts w:ascii="Times New Roman" w:hAnsi="Times New Roman" w:cs="Times New Roman" w:eastAsiaTheme="minorEastAsia"/>
                <w:szCs w:val="21"/>
              </w:rPr>
              <w:t>+</w:t>
            </w:r>
            <w:r>
              <w:rPr>
                <w:rFonts w:hint="eastAsia" w:ascii="Times New Roman" w:hAnsi="Times New Roman" w:cs="Times New Roman" w:eastAsiaTheme="minorEastAsia"/>
                <w:szCs w:val="21"/>
              </w:rPr>
              <w:t>23</w:t>
            </w:r>
            <w:r>
              <w:rPr>
                <w:rFonts w:ascii="Times New Roman" w:hAnsi="Times New Roman" w:cs="Times New Roman" w:eastAsiaTheme="minorEastAsia"/>
                <w:szCs w:val="21"/>
              </w:rPr>
              <w:t>0</w:t>
            </w:r>
          </w:p>
        </w:tc>
        <w:tc>
          <w:tcPr>
            <w:tcW w:w="346" w:type="pct"/>
            <w:vMerge w:val="restart"/>
            <w:vAlign w:val="center"/>
          </w:tcPr>
          <w:p w14:paraId="784EE0AC">
            <w:pPr>
              <w:jc w:val="center"/>
              <w:rPr>
                <w:rFonts w:ascii="Times New Roman" w:hAnsi="Times New Roman" w:cs="Times New Roman" w:eastAsiaTheme="minorEastAsia"/>
                <w:szCs w:val="21"/>
              </w:rPr>
            </w:pPr>
            <w:r>
              <w:rPr>
                <w:rFonts w:hint="eastAsia" w:ascii="Times New Roman" w:cs="Times New Roman" w:hAnsiTheme="minorEastAsia" w:eastAsiaTheme="minorEastAsia"/>
                <w:szCs w:val="21"/>
              </w:rPr>
              <w:t>库尔干村</w:t>
            </w:r>
          </w:p>
        </w:tc>
        <w:tc>
          <w:tcPr>
            <w:tcW w:w="138" w:type="pct"/>
            <w:vAlign w:val="center"/>
          </w:tcPr>
          <w:p w14:paraId="0370A975">
            <w:pPr>
              <w:jc w:val="center"/>
              <w:rPr>
                <w:rFonts w:ascii="Times New Roman" w:hAnsi="Times New Roman" w:cs="Times New Roman" w:eastAsiaTheme="minorEastAsia"/>
                <w:szCs w:val="21"/>
              </w:rPr>
            </w:pPr>
            <w:r>
              <w:rPr>
                <w:rFonts w:ascii="Times New Roman" w:cs="Times New Roman" w:hAnsiTheme="minorEastAsia" w:eastAsiaTheme="minorEastAsia"/>
                <w:szCs w:val="21"/>
              </w:rPr>
              <w:t>路右</w:t>
            </w:r>
          </w:p>
        </w:tc>
        <w:tc>
          <w:tcPr>
            <w:tcW w:w="209" w:type="pct"/>
            <w:vAlign w:val="center"/>
          </w:tcPr>
          <w:p w14:paraId="009A2C1A">
            <w:pPr>
              <w:jc w:val="center"/>
              <w:rPr>
                <w:rFonts w:ascii="Times New Roman" w:hAnsi="Times New Roman" w:cs="Times New Roman" w:eastAsiaTheme="minorEastAsia"/>
                <w:szCs w:val="21"/>
              </w:rPr>
            </w:pPr>
            <w:r>
              <w:rPr>
                <w:rFonts w:hint="eastAsia" w:ascii="Times New Roman" w:hAnsi="Times New Roman" w:cs="Times New Roman" w:eastAsiaTheme="minorEastAsia"/>
                <w:szCs w:val="21"/>
              </w:rPr>
              <w:t>36</w:t>
            </w:r>
          </w:p>
        </w:tc>
        <w:tc>
          <w:tcPr>
            <w:tcW w:w="243" w:type="pct"/>
            <w:vAlign w:val="center"/>
          </w:tcPr>
          <w:p w14:paraId="606BB037">
            <w:pPr>
              <w:adjustRightInd w:val="0"/>
              <w:snapToGrid w:val="0"/>
              <w:spacing w:line="240" w:lineRule="exact"/>
              <w:jc w:val="center"/>
              <w:rPr>
                <w:rFonts w:ascii="Times New Roman" w:hAnsi="Times New Roman" w:eastAsia="宋体" w:cs="Times New Roman"/>
                <w:snapToGrid w:val="0"/>
                <w:kern w:val="0"/>
                <w:szCs w:val="21"/>
              </w:rPr>
            </w:pPr>
            <w:r>
              <w:rPr>
                <w:rFonts w:hint="eastAsia" w:ascii="Times New Roman" w:hAnsi="Times New Roman" w:eastAsia="宋体" w:cs="Times New Roman"/>
                <w:snapToGrid w:val="0"/>
                <w:kern w:val="0"/>
                <w:szCs w:val="21"/>
              </w:rPr>
              <w:t>-/4.2</w:t>
            </w:r>
          </w:p>
        </w:tc>
        <w:tc>
          <w:tcPr>
            <w:tcW w:w="243" w:type="pct"/>
            <w:vAlign w:val="center"/>
          </w:tcPr>
          <w:p w14:paraId="13B22B13">
            <w:pPr>
              <w:adjustRightInd w:val="0"/>
              <w:snapToGrid w:val="0"/>
              <w:spacing w:line="240" w:lineRule="exact"/>
              <w:jc w:val="center"/>
              <w:rPr>
                <w:rFonts w:ascii="Times New Roman" w:hAnsi="Times New Roman" w:eastAsia="宋体" w:cs="Times New Roman"/>
                <w:snapToGrid w:val="0"/>
                <w:kern w:val="0"/>
                <w:szCs w:val="21"/>
              </w:rPr>
            </w:pPr>
            <w:r>
              <w:rPr>
                <w:rFonts w:hint="eastAsia" w:ascii="Times New Roman" w:hAnsi="Times New Roman" w:eastAsia="宋体" w:cs="Times New Roman"/>
                <w:snapToGrid w:val="0"/>
                <w:kern w:val="0"/>
                <w:szCs w:val="21"/>
              </w:rPr>
              <w:t>-/-</w:t>
            </w:r>
          </w:p>
        </w:tc>
        <w:tc>
          <w:tcPr>
            <w:tcW w:w="190" w:type="pct"/>
            <w:shd w:val="clear" w:color="auto" w:fill="auto"/>
            <w:vAlign w:val="center"/>
          </w:tcPr>
          <w:p w14:paraId="10F182CD">
            <w:pPr>
              <w:widowControl/>
              <w:jc w:val="center"/>
              <w:rPr>
                <w:rFonts w:ascii="Times New Roman" w:hAnsi="Times New Roman" w:cs="Times New Roman" w:eastAsiaTheme="minorEastAsia"/>
                <w:spacing w:val="-20"/>
                <w:kern w:val="0"/>
                <w:szCs w:val="21"/>
              </w:rPr>
            </w:pPr>
            <w:r>
              <w:rPr>
                <w:rFonts w:hint="eastAsia" w:ascii="Times New Roman" w:hAnsi="Times New Roman" w:cs="Times New Roman" w:eastAsiaTheme="minorEastAsia"/>
                <w:spacing w:val="-20"/>
                <w:kern w:val="0"/>
                <w:szCs w:val="21"/>
              </w:rPr>
              <w:t>25</w:t>
            </w:r>
          </w:p>
        </w:tc>
        <w:tc>
          <w:tcPr>
            <w:tcW w:w="190" w:type="pct"/>
            <w:shd w:val="clear" w:color="auto" w:fill="auto"/>
            <w:vAlign w:val="center"/>
          </w:tcPr>
          <w:p w14:paraId="44E8A7FC">
            <w:pPr>
              <w:widowControl/>
              <w:jc w:val="center"/>
              <w:rPr>
                <w:rFonts w:ascii="Times New Roman" w:hAnsi="Times New Roman" w:cs="Times New Roman" w:eastAsiaTheme="minorEastAsia"/>
                <w:spacing w:val="-20"/>
              </w:rPr>
            </w:pPr>
            <w:r>
              <w:rPr>
                <w:rFonts w:hint="eastAsia" w:ascii="Times New Roman" w:hAnsi="Times New Roman" w:cs="Times New Roman" w:eastAsiaTheme="minorEastAsia"/>
                <w:spacing w:val="-20"/>
              </w:rPr>
              <w:t>-</w:t>
            </w:r>
          </w:p>
        </w:tc>
        <w:tc>
          <w:tcPr>
            <w:tcW w:w="2230" w:type="pct"/>
            <w:noWrap/>
            <w:vAlign w:val="center"/>
          </w:tcPr>
          <w:p w14:paraId="3EA134F3">
            <w:pPr>
              <w:rPr>
                <w:rFonts w:ascii="Times New Roman" w:hAnsi="Times New Roman" w:eastAsia="宋体" w:cs="Times New Roman"/>
                <w:szCs w:val="21"/>
              </w:rPr>
            </w:pPr>
            <w:r>
              <w:rPr>
                <w:rFonts w:ascii="Times New Roman" w:hAnsi="Times New Roman" w:eastAsia="宋体" w:cs="Times New Roman"/>
                <w:szCs w:val="21"/>
              </w:rPr>
              <w:t>方案一：安装隔声窗，按每户1万元计，共</w:t>
            </w:r>
            <w:r>
              <w:rPr>
                <w:rFonts w:hint="eastAsia" w:ascii="Times New Roman" w:hAnsi="Times New Roman" w:eastAsia="宋体" w:cs="Times New Roman"/>
                <w:szCs w:val="21"/>
              </w:rPr>
              <w:t>25</w:t>
            </w:r>
            <w:r>
              <w:rPr>
                <w:rFonts w:ascii="Times New Roman" w:hAnsi="Times New Roman" w:eastAsia="宋体" w:cs="Times New Roman"/>
                <w:szCs w:val="21"/>
              </w:rPr>
              <w:t>户，投资</w:t>
            </w:r>
            <w:r>
              <w:rPr>
                <w:rFonts w:hint="eastAsia" w:ascii="Times New Roman" w:hAnsi="Times New Roman" w:eastAsia="宋体" w:cs="Times New Roman"/>
                <w:szCs w:val="21"/>
              </w:rPr>
              <w:t>25</w:t>
            </w:r>
            <w:r>
              <w:rPr>
                <w:rFonts w:ascii="Times New Roman" w:hAnsi="Times New Roman" w:eastAsia="宋体" w:cs="Times New Roman"/>
                <w:szCs w:val="21"/>
              </w:rPr>
              <w:t>万元，隔声量25dB。</w:t>
            </w:r>
          </w:p>
          <w:p w14:paraId="43F404EF">
            <w:pPr>
              <w:adjustRightInd w:val="0"/>
              <w:snapToGrid w:val="0"/>
              <w:spacing w:line="240" w:lineRule="exact"/>
              <w:rPr>
                <w:rFonts w:ascii="Times New Roman" w:hAnsi="Times New Roman" w:eastAsia="宋体" w:cs="Times New Roman"/>
                <w:szCs w:val="21"/>
              </w:rPr>
            </w:pPr>
            <w:r>
              <w:rPr>
                <w:rFonts w:ascii="Times New Roman" w:hAnsi="Times New Roman" w:eastAsia="宋体" w:cs="Times New Roman"/>
                <w:szCs w:val="21"/>
              </w:rPr>
              <w:t>方案二：设置声屏障，拟建公路右侧K</w:t>
            </w:r>
            <w:r>
              <w:rPr>
                <w:rFonts w:hint="eastAsia" w:ascii="Times New Roman" w:hAnsi="Times New Roman" w:eastAsia="宋体" w:cs="Times New Roman"/>
                <w:szCs w:val="21"/>
              </w:rPr>
              <w:t>6</w:t>
            </w:r>
            <w:r>
              <w:rPr>
                <w:rFonts w:ascii="Times New Roman" w:hAnsi="Times New Roman" w:eastAsia="宋体" w:cs="Times New Roman"/>
                <w:szCs w:val="21"/>
              </w:rPr>
              <w:t>+</w:t>
            </w:r>
            <w:r>
              <w:rPr>
                <w:rFonts w:hint="eastAsia" w:ascii="Times New Roman" w:hAnsi="Times New Roman" w:eastAsia="宋体" w:cs="Times New Roman"/>
                <w:szCs w:val="21"/>
              </w:rPr>
              <w:t>58</w:t>
            </w:r>
            <w:r>
              <w:rPr>
                <w:rFonts w:ascii="Times New Roman" w:hAnsi="Times New Roman" w:eastAsia="宋体" w:cs="Times New Roman"/>
                <w:szCs w:val="21"/>
              </w:rPr>
              <w:t>0～K</w:t>
            </w:r>
            <w:r>
              <w:rPr>
                <w:rFonts w:hint="eastAsia" w:ascii="Times New Roman" w:hAnsi="Times New Roman" w:eastAsia="宋体" w:cs="Times New Roman"/>
                <w:szCs w:val="21"/>
              </w:rPr>
              <w:t>7</w:t>
            </w:r>
            <w:r>
              <w:rPr>
                <w:rFonts w:ascii="Times New Roman" w:hAnsi="Times New Roman" w:eastAsia="宋体" w:cs="Times New Roman"/>
                <w:szCs w:val="21"/>
              </w:rPr>
              <w:t>+</w:t>
            </w:r>
            <w:r>
              <w:rPr>
                <w:rFonts w:hint="eastAsia" w:ascii="Times New Roman" w:hAnsi="Times New Roman" w:eastAsia="宋体" w:cs="Times New Roman"/>
                <w:szCs w:val="21"/>
              </w:rPr>
              <w:t>28</w:t>
            </w:r>
            <w:r>
              <w:rPr>
                <w:rFonts w:ascii="Times New Roman" w:hAnsi="Times New Roman" w:eastAsia="宋体" w:cs="Times New Roman"/>
                <w:szCs w:val="21"/>
              </w:rPr>
              <w:t>0</w:t>
            </w:r>
            <w:r>
              <w:rPr>
                <w:rFonts w:ascii="Times New Roman" w:hAnsi="Times New Roman" w:cs="Times New Roman" w:eastAsiaTheme="minorEastAsia"/>
                <w:szCs w:val="21"/>
              </w:rPr>
              <w:t>（根据《</w:t>
            </w:r>
            <w:r>
              <w:rPr>
                <w:rFonts w:hint="eastAsia" w:ascii="Times New Roman" w:hAnsi="Times New Roman" w:cs="Times New Roman" w:eastAsiaTheme="minorEastAsia"/>
                <w:szCs w:val="21"/>
              </w:rPr>
              <w:t>公路路线设计规范（JTG D20—2017）</w:t>
            </w:r>
            <w:r>
              <w:rPr>
                <w:rFonts w:ascii="Times New Roman" w:hAnsi="Times New Roman" w:cs="Times New Roman" w:eastAsiaTheme="minorEastAsia"/>
                <w:szCs w:val="21"/>
              </w:rPr>
              <w:t>》，考虑行车安全视距，每处平交口两侧共需断开</w:t>
            </w:r>
            <w:r>
              <w:rPr>
                <w:rFonts w:hint="eastAsia" w:ascii="Times New Roman" w:hAnsi="Times New Roman" w:cs="Times New Roman" w:eastAsiaTheme="minorEastAsia"/>
                <w:szCs w:val="21"/>
              </w:rPr>
              <w:t>220m，该路段共1处平交口</w:t>
            </w:r>
            <w:r>
              <w:rPr>
                <w:rFonts w:ascii="Times New Roman" w:hAnsi="Times New Roman" w:cs="Times New Roman" w:eastAsiaTheme="minorEastAsia"/>
                <w:szCs w:val="21"/>
              </w:rPr>
              <w:t>）</w:t>
            </w:r>
            <w:r>
              <w:rPr>
                <w:rFonts w:ascii="Times New Roman" w:hAnsi="Times New Roman" w:eastAsia="宋体" w:cs="Times New Roman"/>
                <w:szCs w:val="21"/>
              </w:rPr>
              <w:t>设置</w:t>
            </w:r>
            <w:r>
              <w:rPr>
                <w:rFonts w:hint="eastAsia" w:ascii="Times New Roman" w:hAnsi="Times New Roman" w:eastAsia="宋体" w:cs="Times New Roman"/>
                <w:szCs w:val="21"/>
              </w:rPr>
              <w:t>480</w:t>
            </w:r>
            <w:r>
              <w:rPr>
                <w:rFonts w:ascii="Times New Roman" w:hAnsi="Times New Roman" w:eastAsia="宋体" w:cs="Times New Roman"/>
                <w:szCs w:val="21"/>
              </w:rPr>
              <w:t>m（长）×</w:t>
            </w:r>
            <w:r>
              <w:rPr>
                <w:rFonts w:hint="eastAsia" w:ascii="Times New Roman" w:hAnsi="Times New Roman" w:eastAsia="宋体" w:cs="Times New Roman"/>
                <w:szCs w:val="21"/>
              </w:rPr>
              <w:t>3.0</w:t>
            </w:r>
            <w:r>
              <w:rPr>
                <w:rFonts w:ascii="Times New Roman" w:hAnsi="Times New Roman" w:eastAsia="宋体" w:cs="Times New Roman"/>
                <w:szCs w:val="21"/>
              </w:rPr>
              <w:t>m（高）声屏障，</w:t>
            </w:r>
            <w:r>
              <w:rPr>
                <w:rFonts w:hint="eastAsia" w:ascii="Times New Roman" w:hAnsi="Times New Roman" w:eastAsia="宋体" w:cs="Times New Roman"/>
                <w:szCs w:val="21"/>
              </w:rPr>
              <w:t>2</w:t>
            </w:r>
            <w:r>
              <w:rPr>
                <w:rFonts w:ascii="Times New Roman" w:hAnsi="Times New Roman" w:eastAsia="宋体" w:cs="Times New Roman"/>
                <w:szCs w:val="21"/>
              </w:rPr>
              <w:t>000元/m，共投资</w:t>
            </w:r>
            <w:r>
              <w:rPr>
                <w:rFonts w:hint="eastAsia" w:ascii="Times New Roman" w:hAnsi="Times New Roman" w:eastAsia="宋体" w:cs="Times New Roman"/>
                <w:szCs w:val="21"/>
              </w:rPr>
              <w:t>96</w:t>
            </w:r>
            <w:r>
              <w:rPr>
                <w:rFonts w:ascii="Times New Roman" w:hAnsi="Times New Roman" w:eastAsia="宋体" w:cs="Times New Roman"/>
                <w:szCs w:val="21"/>
              </w:rPr>
              <w:t>万元</w:t>
            </w:r>
            <w:r>
              <w:rPr>
                <w:rFonts w:hint="eastAsia" w:ascii="Times New Roman" w:hAnsi="Times New Roman" w:eastAsia="宋体" w:cs="Times New Roman"/>
              </w:rPr>
              <w:t>，</w:t>
            </w:r>
            <w:r>
              <w:rPr>
                <w:rFonts w:ascii="Times New Roman" w:hAnsi="Times New Roman" w:eastAsia="宋体" w:cs="Times New Roman"/>
              </w:rPr>
              <w:t>房屋距路较近，分布较集中，声屏障降噪效果好</w:t>
            </w:r>
            <w:r>
              <w:rPr>
                <w:rFonts w:hint="eastAsia" w:ascii="Times New Roman" w:hAnsi="Times New Roman" w:eastAsia="宋体" w:cs="Times New Roman"/>
                <w:szCs w:val="21"/>
              </w:rPr>
              <w:t>；</w:t>
            </w:r>
            <w:r>
              <w:rPr>
                <w:rFonts w:hint="eastAsia" w:ascii="Times New Roman" w:hAnsi="Times New Roman" w:eastAsia="宋体" w:cs="Times New Roman"/>
              </w:rPr>
              <w:t>同时</w:t>
            </w:r>
            <w:r>
              <w:rPr>
                <w:rFonts w:ascii="Times New Roman" w:hAnsi="Times New Roman" w:eastAsia="宋体" w:cs="Times New Roman"/>
              </w:rPr>
              <w:t>对平交口超标的</w:t>
            </w:r>
            <w:r>
              <w:rPr>
                <w:rFonts w:hint="eastAsia" w:ascii="Times New Roman" w:hAnsi="Times New Roman" w:eastAsia="宋体" w:cs="Times New Roman"/>
              </w:rPr>
              <w:t>9</w:t>
            </w:r>
            <w:r>
              <w:rPr>
                <w:rFonts w:ascii="Times New Roman" w:hAnsi="Times New Roman" w:eastAsia="宋体" w:cs="Times New Roman"/>
              </w:rPr>
              <w:t>户安装隔声窗，隔声量20～25dB，每户投资1万元，共计</w:t>
            </w:r>
            <w:r>
              <w:rPr>
                <w:rFonts w:hint="eastAsia" w:ascii="Times New Roman" w:hAnsi="Times New Roman" w:eastAsia="宋体" w:cs="Times New Roman"/>
              </w:rPr>
              <w:t>9</w:t>
            </w:r>
            <w:r>
              <w:rPr>
                <w:rFonts w:ascii="Times New Roman" w:hAnsi="Times New Roman" w:eastAsia="宋体" w:cs="Times New Roman"/>
              </w:rPr>
              <w:t>万元。</w:t>
            </w:r>
          </w:p>
          <w:p w14:paraId="6A5C6AF9">
            <w:pPr>
              <w:widowControl/>
              <w:jc w:val="left"/>
              <w:rPr>
                <w:rFonts w:ascii="Times New Roman" w:hAnsi="Times New Roman" w:eastAsia="宋体" w:cs="Times New Roman"/>
                <w:szCs w:val="21"/>
              </w:rPr>
            </w:pPr>
            <w:r>
              <w:rPr>
                <w:rFonts w:ascii="Times New Roman" w:hAnsi="Times New Roman" w:eastAsia="宋体" w:cs="Times New Roman"/>
                <w:szCs w:val="21"/>
              </w:rPr>
              <w:t>推荐：综合考虑推荐方案</w:t>
            </w:r>
            <w:r>
              <w:rPr>
                <w:rFonts w:hint="eastAsia" w:ascii="Times New Roman" w:hAnsi="Times New Roman" w:eastAsia="宋体" w:cs="Times New Roman"/>
                <w:szCs w:val="21"/>
              </w:rPr>
              <w:t>二</w:t>
            </w:r>
            <w:r>
              <w:rPr>
                <w:rFonts w:ascii="Times New Roman" w:hAnsi="Times New Roman" w:eastAsia="宋体" w:cs="Times New Roman"/>
                <w:szCs w:val="21"/>
              </w:rPr>
              <w:t>。</w:t>
            </w:r>
          </w:p>
        </w:tc>
        <w:tc>
          <w:tcPr>
            <w:tcW w:w="242" w:type="pct"/>
            <w:vAlign w:val="center"/>
          </w:tcPr>
          <w:p w14:paraId="46F03423">
            <w:pPr>
              <w:widowControl/>
              <w:jc w:val="center"/>
              <w:rPr>
                <w:rFonts w:ascii="Times New Roman" w:hAnsi="Times New Roman" w:eastAsia="宋体" w:cs="Times New Roman"/>
                <w:kern w:val="0"/>
              </w:rPr>
            </w:pPr>
            <w:r>
              <w:rPr>
                <w:rFonts w:ascii="Times New Roman" w:hAnsi="Times New Roman" w:eastAsia="宋体" w:cs="Times New Roman"/>
                <w:kern w:val="0"/>
              </w:rPr>
              <w:t>声屏障</w:t>
            </w:r>
            <w:r>
              <w:rPr>
                <w:rFonts w:hint="eastAsia" w:ascii="Times New Roman" w:hAnsi="Times New Roman" w:eastAsia="宋体" w:cs="Times New Roman"/>
                <w:kern w:val="0"/>
              </w:rPr>
              <w:t>+</w:t>
            </w:r>
            <w:r>
              <w:rPr>
                <w:rFonts w:ascii="Times New Roman" w:hAnsi="Times New Roman" w:eastAsia="宋体" w:cs="Times New Roman"/>
                <w:kern w:val="0"/>
              </w:rPr>
              <w:t>隔声窗</w:t>
            </w:r>
          </w:p>
        </w:tc>
        <w:tc>
          <w:tcPr>
            <w:tcW w:w="260" w:type="pct"/>
            <w:vAlign w:val="center"/>
          </w:tcPr>
          <w:p w14:paraId="70E3B021">
            <w:pPr>
              <w:widowControl/>
              <w:jc w:val="center"/>
              <w:rPr>
                <w:rFonts w:ascii="Times New Roman" w:hAnsi="Times New Roman" w:eastAsia="宋体" w:cs="Times New Roman"/>
                <w:kern w:val="0"/>
              </w:rPr>
            </w:pPr>
            <w:r>
              <w:rPr>
                <w:rFonts w:ascii="Times New Roman" w:hAnsi="Times New Roman" w:eastAsia="宋体" w:cs="Times New Roman"/>
                <w:kern w:val="0"/>
              </w:rPr>
              <w:t>室外达标+平交路口房屋室内达标</w:t>
            </w:r>
          </w:p>
        </w:tc>
        <w:tc>
          <w:tcPr>
            <w:tcW w:w="251" w:type="pct"/>
            <w:vAlign w:val="center"/>
          </w:tcPr>
          <w:p w14:paraId="184D84BC">
            <w:pPr>
              <w:jc w:val="center"/>
              <w:rPr>
                <w:rFonts w:ascii="Times New Roman" w:hAnsi="Times New Roman" w:eastAsia="宋体" w:cs="Times New Roman"/>
                <w:szCs w:val="21"/>
              </w:rPr>
            </w:pPr>
            <w:r>
              <w:rPr>
                <w:rFonts w:hint="eastAsia" w:ascii="Times New Roman" w:hAnsi="Times New Roman" w:eastAsia="宋体" w:cs="Times New Roman"/>
                <w:szCs w:val="21"/>
              </w:rPr>
              <w:t>105</w:t>
            </w:r>
          </w:p>
        </w:tc>
      </w:tr>
      <w:bookmarkEnd w:id="238"/>
      <w:tr w14:paraId="7D41CBEB">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trHeight w:val="595" w:hRule="atLeast"/>
          <w:tblHeader/>
          <w:jc w:val="center"/>
        </w:trPr>
        <w:tc>
          <w:tcPr>
            <w:tcW w:w="180" w:type="pct"/>
            <w:vMerge w:val="continue"/>
            <w:noWrap/>
            <w:vAlign w:val="center"/>
          </w:tcPr>
          <w:p w14:paraId="71CB031F">
            <w:pPr>
              <w:jc w:val="center"/>
              <w:rPr>
                <w:rFonts w:ascii="Times New Roman" w:hAnsi="Times New Roman" w:eastAsia="宋体" w:cs="Times New Roman"/>
              </w:rPr>
            </w:pPr>
          </w:p>
        </w:tc>
        <w:tc>
          <w:tcPr>
            <w:tcW w:w="278" w:type="pct"/>
            <w:vAlign w:val="center"/>
          </w:tcPr>
          <w:p w14:paraId="348190BA">
            <w:pPr>
              <w:jc w:val="center"/>
              <w:rPr>
                <w:rFonts w:ascii="Times New Roman" w:hAnsi="Times New Roman" w:cs="Times New Roman" w:eastAsiaTheme="minorEastAsia"/>
                <w:szCs w:val="21"/>
              </w:rPr>
            </w:pPr>
            <w:r>
              <w:rPr>
                <w:rFonts w:ascii="Times New Roman" w:hAnsi="Times New Roman" w:cs="Times New Roman" w:eastAsiaTheme="minorEastAsia"/>
                <w:szCs w:val="21"/>
              </w:rPr>
              <w:t>K</w:t>
            </w:r>
            <w:r>
              <w:rPr>
                <w:rFonts w:hint="eastAsia" w:ascii="Times New Roman" w:hAnsi="Times New Roman" w:cs="Times New Roman" w:eastAsiaTheme="minorEastAsia"/>
                <w:szCs w:val="21"/>
              </w:rPr>
              <w:t>7</w:t>
            </w:r>
            <w:r>
              <w:rPr>
                <w:rFonts w:ascii="Times New Roman" w:hAnsi="Times New Roman" w:cs="Times New Roman" w:eastAsiaTheme="minorEastAsia"/>
                <w:szCs w:val="21"/>
              </w:rPr>
              <w:t>+</w:t>
            </w:r>
            <w:r>
              <w:rPr>
                <w:rFonts w:hint="eastAsia" w:ascii="Times New Roman" w:hAnsi="Times New Roman" w:cs="Times New Roman" w:eastAsiaTheme="minorEastAsia"/>
                <w:szCs w:val="21"/>
              </w:rPr>
              <w:t>80</w:t>
            </w:r>
            <w:r>
              <w:rPr>
                <w:rFonts w:ascii="Times New Roman" w:hAnsi="Times New Roman" w:cs="Times New Roman" w:eastAsiaTheme="minorEastAsia"/>
                <w:szCs w:val="21"/>
              </w:rPr>
              <w:t>0</w:t>
            </w:r>
            <w:r>
              <w:rPr>
                <w:rFonts w:ascii="Times New Roman" w:cs="Times New Roman" w:hAnsiTheme="minorEastAsia" w:eastAsiaTheme="minorEastAsia"/>
                <w:szCs w:val="21"/>
              </w:rPr>
              <w:t>～</w:t>
            </w:r>
            <w:r>
              <w:rPr>
                <w:rFonts w:ascii="Times New Roman" w:hAnsi="Times New Roman" w:cs="Times New Roman" w:eastAsiaTheme="minorEastAsia"/>
                <w:szCs w:val="21"/>
              </w:rPr>
              <w:t>K</w:t>
            </w:r>
            <w:r>
              <w:rPr>
                <w:rFonts w:hint="eastAsia" w:ascii="Times New Roman" w:hAnsi="Times New Roman" w:cs="Times New Roman" w:eastAsiaTheme="minorEastAsia"/>
                <w:szCs w:val="21"/>
              </w:rPr>
              <w:t>8</w:t>
            </w:r>
            <w:r>
              <w:rPr>
                <w:rFonts w:ascii="Times New Roman" w:hAnsi="Times New Roman" w:cs="Times New Roman" w:eastAsiaTheme="minorEastAsia"/>
                <w:szCs w:val="21"/>
              </w:rPr>
              <w:t>+</w:t>
            </w:r>
            <w:r>
              <w:rPr>
                <w:rFonts w:hint="eastAsia" w:ascii="Times New Roman" w:hAnsi="Times New Roman" w:cs="Times New Roman" w:eastAsiaTheme="minorEastAsia"/>
                <w:szCs w:val="21"/>
              </w:rPr>
              <w:t>60</w:t>
            </w:r>
            <w:r>
              <w:rPr>
                <w:rFonts w:ascii="Times New Roman" w:hAnsi="Times New Roman" w:cs="Times New Roman" w:eastAsiaTheme="minorEastAsia"/>
                <w:szCs w:val="21"/>
              </w:rPr>
              <w:t>0</w:t>
            </w:r>
          </w:p>
        </w:tc>
        <w:tc>
          <w:tcPr>
            <w:tcW w:w="346" w:type="pct"/>
            <w:vMerge w:val="continue"/>
            <w:vAlign w:val="center"/>
          </w:tcPr>
          <w:p w14:paraId="4F33D9C5">
            <w:pPr>
              <w:widowControl/>
              <w:adjustRightInd w:val="0"/>
              <w:snapToGrid w:val="0"/>
              <w:spacing w:line="240" w:lineRule="exact"/>
              <w:jc w:val="center"/>
              <w:rPr>
                <w:rFonts w:ascii="Times New Roman" w:hAnsi="Times New Roman" w:eastAsia="宋体" w:cs="Times New Roman"/>
                <w:snapToGrid w:val="0"/>
                <w:kern w:val="0"/>
                <w:szCs w:val="21"/>
              </w:rPr>
            </w:pPr>
          </w:p>
        </w:tc>
        <w:tc>
          <w:tcPr>
            <w:tcW w:w="138" w:type="pct"/>
            <w:vAlign w:val="center"/>
          </w:tcPr>
          <w:p w14:paraId="16873ED7">
            <w:pPr>
              <w:jc w:val="center"/>
              <w:rPr>
                <w:rFonts w:ascii="Times New Roman" w:hAnsi="Times New Roman" w:cs="Times New Roman" w:eastAsiaTheme="minorEastAsia"/>
                <w:szCs w:val="21"/>
              </w:rPr>
            </w:pPr>
            <w:r>
              <w:rPr>
                <w:rFonts w:ascii="Times New Roman" w:cs="Times New Roman" w:hAnsiTheme="minorEastAsia" w:eastAsiaTheme="minorEastAsia"/>
                <w:szCs w:val="21"/>
              </w:rPr>
              <w:t>路右</w:t>
            </w:r>
          </w:p>
        </w:tc>
        <w:tc>
          <w:tcPr>
            <w:tcW w:w="209" w:type="pct"/>
            <w:vAlign w:val="center"/>
          </w:tcPr>
          <w:p w14:paraId="4C7CEA0E">
            <w:pPr>
              <w:jc w:val="center"/>
              <w:rPr>
                <w:rFonts w:ascii="Times New Roman" w:hAnsi="Times New Roman" w:cs="Times New Roman" w:eastAsiaTheme="minorEastAsia"/>
                <w:szCs w:val="21"/>
              </w:rPr>
            </w:pPr>
            <w:r>
              <w:rPr>
                <w:rFonts w:hint="eastAsia" w:ascii="Times New Roman" w:hAnsi="Times New Roman" w:cs="Times New Roman" w:eastAsiaTheme="minorEastAsia"/>
                <w:szCs w:val="21"/>
              </w:rPr>
              <w:t>36</w:t>
            </w:r>
          </w:p>
        </w:tc>
        <w:tc>
          <w:tcPr>
            <w:tcW w:w="243" w:type="pct"/>
            <w:vAlign w:val="center"/>
          </w:tcPr>
          <w:p w14:paraId="75CECCFA">
            <w:pPr>
              <w:adjustRightInd w:val="0"/>
              <w:snapToGrid w:val="0"/>
              <w:spacing w:line="240" w:lineRule="exact"/>
              <w:jc w:val="center"/>
              <w:rPr>
                <w:rFonts w:ascii="Times New Roman" w:hAnsi="Times New Roman" w:eastAsia="宋体" w:cs="Times New Roman"/>
                <w:snapToGrid w:val="0"/>
                <w:kern w:val="0"/>
                <w:szCs w:val="21"/>
              </w:rPr>
            </w:pPr>
            <w:r>
              <w:rPr>
                <w:rFonts w:hint="eastAsia" w:ascii="Times New Roman" w:hAnsi="Times New Roman" w:eastAsia="宋体" w:cs="Times New Roman"/>
                <w:snapToGrid w:val="0"/>
                <w:kern w:val="0"/>
                <w:szCs w:val="21"/>
              </w:rPr>
              <w:t>-/6.1</w:t>
            </w:r>
          </w:p>
        </w:tc>
        <w:tc>
          <w:tcPr>
            <w:tcW w:w="243" w:type="pct"/>
            <w:vAlign w:val="center"/>
          </w:tcPr>
          <w:p w14:paraId="39962F93">
            <w:pPr>
              <w:adjustRightInd w:val="0"/>
              <w:snapToGrid w:val="0"/>
              <w:spacing w:line="240" w:lineRule="exact"/>
              <w:jc w:val="center"/>
              <w:rPr>
                <w:rFonts w:ascii="Times New Roman" w:hAnsi="Times New Roman" w:eastAsia="宋体" w:cs="Times New Roman"/>
                <w:snapToGrid w:val="0"/>
                <w:kern w:val="0"/>
                <w:szCs w:val="21"/>
              </w:rPr>
            </w:pPr>
            <w:r>
              <w:rPr>
                <w:rFonts w:hint="eastAsia" w:ascii="Times New Roman" w:hAnsi="Times New Roman" w:eastAsia="宋体" w:cs="Times New Roman"/>
                <w:snapToGrid w:val="0"/>
                <w:kern w:val="0"/>
                <w:szCs w:val="21"/>
              </w:rPr>
              <w:t>2.0/8.1</w:t>
            </w:r>
          </w:p>
        </w:tc>
        <w:tc>
          <w:tcPr>
            <w:tcW w:w="190" w:type="pct"/>
            <w:shd w:val="clear" w:color="auto" w:fill="auto"/>
            <w:vAlign w:val="center"/>
          </w:tcPr>
          <w:p w14:paraId="05D00414">
            <w:pPr>
              <w:widowControl/>
              <w:jc w:val="center"/>
              <w:rPr>
                <w:rFonts w:ascii="Times New Roman" w:hAnsi="Times New Roman" w:cs="Times New Roman" w:eastAsiaTheme="minorEastAsia"/>
                <w:spacing w:val="-20"/>
                <w:kern w:val="0"/>
                <w:szCs w:val="21"/>
              </w:rPr>
            </w:pPr>
            <w:r>
              <w:rPr>
                <w:rFonts w:hint="eastAsia" w:ascii="Times New Roman" w:hAnsi="Times New Roman" w:cs="Times New Roman" w:eastAsiaTheme="minorEastAsia"/>
                <w:spacing w:val="-20"/>
                <w:kern w:val="0"/>
                <w:szCs w:val="21"/>
              </w:rPr>
              <w:t>25</w:t>
            </w:r>
          </w:p>
        </w:tc>
        <w:tc>
          <w:tcPr>
            <w:tcW w:w="190" w:type="pct"/>
            <w:shd w:val="clear" w:color="auto" w:fill="auto"/>
            <w:vAlign w:val="center"/>
          </w:tcPr>
          <w:p w14:paraId="178B0D1B">
            <w:pPr>
              <w:widowControl/>
              <w:jc w:val="center"/>
              <w:rPr>
                <w:rFonts w:ascii="Times New Roman" w:hAnsi="Times New Roman" w:cs="Times New Roman" w:eastAsiaTheme="minorEastAsia"/>
                <w:spacing w:val="-20"/>
                <w:kern w:val="0"/>
                <w:szCs w:val="21"/>
              </w:rPr>
            </w:pPr>
            <w:r>
              <w:rPr>
                <w:rFonts w:hint="eastAsia" w:ascii="Times New Roman" w:hAnsi="Times New Roman" w:cs="Times New Roman" w:eastAsiaTheme="minorEastAsia"/>
                <w:spacing w:val="-20"/>
                <w:kern w:val="0"/>
                <w:szCs w:val="21"/>
              </w:rPr>
              <w:t>25</w:t>
            </w:r>
          </w:p>
        </w:tc>
        <w:tc>
          <w:tcPr>
            <w:tcW w:w="2230" w:type="pct"/>
            <w:vMerge w:val="restart"/>
            <w:noWrap/>
            <w:vAlign w:val="center"/>
          </w:tcPr>
          <w:p w14:paraId="5A67D25A">
            <w:pPr>
              <w:rPr>
                <w:rFonts w:ascii="Times New Roman" w:hAnsi="Times New Roman" w:eastAsia="宋体" w:cs="Times New Roman"/>
                <w:szCs w:val="21"/>
              </w:rPr>
            </w:pPr>
            <w:r>
              <w:rPr>
                <w:rFonts w:ascii="Times New Roman" w:hAnsi="Times New Roman" w:eastAsia="宋体" w:cs="Times New Roman"/>
                <w:szCs w:val="21"/>
              </w:rPr>
              <w:t>方案一：安装隔声窗，按每户1万元计，共</w:t>
            </w:r>
            <w:r>
              <w:rPr>
                <w:rFonts w:hint="eastAsia" w:ascii="Times New Roman" w:hAnsi="Times New Roman" w:eastAsia="宋体" w:cs="Times New Roman"/>
                <w:szCs w:val="21"/>
              </w:rPr>
              <w:t>115</w:t>
            </w:r>
            <w:r>
              <w:rPr>
                <w:rFonts w:ascii="Times New Roman" w:hAnsi="Times New Roman" w:eastAsia="宋体" w:cs="Times New Roman"/>
                <w:szCs w:val="21"/>
              </w:rPr>
              <w:t>户，投资</w:t>
            </w:r>
            <w:r>
              <w:rPr>
                <w:rFonts w:hint="eastAsia" w:ascii="Times New Roman" w:hAnsi="Times New Roman" w:eastAsia="宋体" w:cs="Times New Roman"/>
                <w:szCs w:val="21"/>
              </w:rPr>
              <w:t>115</w:t>
            </w:r>
            <w:r>
              <w:rPr>
                <w:rFonts w:ascii="Times New Roman" w:hAnsi="Times New Roman" w:eastAsia="宋体" w:cs="Times New Roman"/>
                <w:szCs w:val="21"/>
              </w:rPr>
              <w:t>万元，隔声量25dB。</w:t>
            </w:r>
          </w:p>
          <w:p w14:paraId="2888F884">
            <w:pPr>
              <w:adjustRightInd w:val="0"/>
              <w:snapToGrid w:val="0"/>
              <w:spacing w:line="240" w:lineRule="exact"/>
              <w:rPr>
                <w:rFonts w:ascii="Times New Roman" w:hAnsi="Times New Roman" w:eastAsia="宋体" w:cs="Times New Roman"/>
                <w:szCs w:val="21"/>
              </w:rPr>
            </w:pPr>
            <w:r>
              <w:rPr>
                <w:rFonts w:ascii="Times New Roman" w:hAnsi="Times New Roman" w:eastAsia="宋体" w:cs="Times New Roman"/>
                <w:szCs w:val="21"/>
              </w:rPr>
              <w:t>方案二：设置声屏障，拟建公路右侧</w:t>
            </w:r>
            <w:r>
              <w:rPr>
                <w:rFonts w:ascii="Times New Roman" w:hAnsi="Times New Roman" w:cs="Times New Roman" w:eastAsiaTheme="minorEastAsia"/>
                <w:szCs w:val="21"/>
              </w:rPr>
              <w:t>K</w:t>
            </w:r>
            <w:r>
              <w:rPr>
                <w:rFonts w:hint="eastAsia" w:ascii="Times New Roman" w:hAnsi="Times New Roman" w:cs="Times New Roman" w:eastAsiaTheme="minorEastAsia"/>
                <w:szCs w:val="21"/>
              </w:rPr>
              <w:t>7</w:t>
            </w:r>
            <w:r>
              <w:rPr>
                <w:rFonts w:ascii="Times New Roman" w:hAnsi="Times New Roman" w:cs="Times New Roman" w:eastAsiaTheme="minorEastAsia"/>
                <w:szCs w:val="21"/>
              </w:rPr>
              <w:t>+</w:t>
            </w:r>
            <w:r>
              <w:rPr>
                <w:rFonts w:hint="eastAsia" w:ascii="Times New Roman" w:hAnsi="Times New Roman" w:cs="Times New Roman" w:eastAsiaTheme="minorEastAsia"/>
                <w:szCs w:val="21"/>
              </w:rPr>
              <w:t>75</w:t>
            </w:r>
            <w:r>
              <w:rPr>
                <w:rFonts w:ascii="Times New Roman" w:hAnsi="Times New Roman" w:cs="Times New Roman" w:eastAsiaTheme="minorEastAsia"/>
                <w:szCs w:val="21"/>
              </w:rPr>
              <w:t>0</w:t>
            </w:r>
            <w:r>
              <w:rPr>
                <w:rFonts w:ascii="Times New Roman" w:cs="Times New Roman" w:hAnsiTheme="minorEastAsia" w:eastAsiaTheme="minorEastAsia"/>
                <w:szCs w:val="21"/>
              </w:rPr>
              <w:t>～</w:t>
            </w:r>
            <w:r>
              <w:rPr>
                <w:rFonts w:ascii="Times New Roman" w:hAnsi="Times New Roman" w:cs="Times New Roman" w:eastAsiaTheme="minorEastAsia"/>
                <w:szCs w:val="21"/>
              </w:rPr>
              <w:t>K</w:t>
            </w:r>
            <w:r>
              <w:rPr>
                <w:rFonts w:hint="eastAsia" w:ascii="Times New Roman" w:hAnsi="Times New Roman" w:cs="Times New Roman" w:eastAsiaTheme="minorEastAsia"/>
                <w:szCs w:val="21"/>
              </w:rPr>
              <w:t>8</w:t>
            </w:r>
            <w:r>
              <w:rPr>
                <w:rFonts w:ascii="Times New Roman" w:hAnsi="Times New Roman" w:cs="Times New Roman" w:eastAsiaTheme="minorEastAsia"/>
                <w:szCs w:val="21"/>
              </w:rPr>
              <w:t>+</w:t>
            </w:r>
            <w:r>
              <w:rPr>
                <w:rFonts w:hint="eastAsia" w:ascii="Times New Roman" w:hAnsi="Times New Roman" w:cs="Times New Roman" w:eastAsiaTheme="minorEastAsia"/>
                <w:szCs w:val="21"/>
              </w:rPr>
              <w:t>65</w:t>
            </w:r>
            <w:r>
              <w:rPr>
                <w:rFonts w:ascii="Times New Roman" w:hAnsi="Times New Roman" w:cs="Times New Roman" w:eastAsiaTheme="minorEastAsia"/>
                <w:szCs w:val="21"/>
              </w:rPr>
              <w:t>0（根据《</w:t>
            </w:r>
            <w:r>
              <w:rPr>
                <w:rFonts w:hint="eastAsia" w:ascii="Times New Roman" w:hAnsi="Times New Roman" w:cs="Times New Roman" w:eastAsiaTheme="minorEastAsia"/>
                <w:szCs w:val="21"/>
              </w:rPr>
              <w:t>公路路线设计规范（JTG D20—2017）</w:t>
            </w:r>
            <w:r>
              <w:rPr>
                <w:rFonts w:ascii="Times New Roman" w:hAnsi="Times New Roman" w:cs="Times New Roman" w:eastAsiaTheme="minorEastAsia"/>
                <w:szCs w:val="21"/>
              </w:rPr>
              <w:t>》，考虑行车安全视距，每处平交口两侧共需断开</w:t>
            </w:r>
            <w:r>
              <w:rPr>
                <w:rFonts w:hint="eastAsia" w:ascii="Times New Roman" w:hAnsi="Times New Roman" w:cs="Times New Roman" w:eastAsiaTheme="minorEastAsia"/>
                <w:szCs w:val="21"/>
              </w:rPr>
              <w:t>220m，该路段共1处平交口</w:t>
            </w:r>
            <w:r>
              <w:rPr>
                <w:rFonts w:ascii="Times New Roman" w:hAnsi="Times New Roman" w:cs="Times New Roman" w:eastAsiaTheme="minorEastAsia"/>
                <w:szCs w:val="21"/>
              </w:rPr>
              <w:t>）</w:t>
            </w:r>
            <w:r>
              <w:rPr>
                <w:rFonts w:ascii="Times New Roman" w:hAnsi="Times New Roman" w:eastAsia="宋体" w:cs="Times New Roman"/>
                <w:szCs w:val="21"/>
              </w:rPr>
              <w:t>设置</w:t>
            </w:r>
            <w:r>
              <w:rPr>
                <w:rFonts w:hint="eastAsia" w:ascii="Times New Roman" w:hAnsi="Times New Roman" w:eastAsia="宋体" w:cs="Times New Roman"/>
                <w:szCs w:val="21"/>
              </w:rPr>
              <w:t>680</w:t>
            </w:r>
            <w:r>
              <w:rPr>
                <w:rFonts w:ascii="Times New Roman" w:hAnsi="Times New Roman" w:eastAsia="宋体" w:cs="Times New Roman"/>
                <w:szCs w:val="21"/>
              </w:rPr>
              <w:t>m（长）×</w:t>
            </w:r>
            <w:r>
              <w:rPr>
                <w:rFonts w:hint="eastAsia" w:ascii="Times New Roman" w:hAnsi="Times New Roman" w:eastAsia="宋体" w:cs="Times New Roman"/>
                <w:szCs w:val="21"/>
              </w:rPr>
              <w:t>3.0</w:t>
            </w:r>
            <w:r>
              <w:rPr>
                <w:rFonts w:ascii="Times New Roman" w:hAnsi="Times New Roman" w:eastAsia="宋体" w:cs="Times New Roman"/>
                <w:szCs w:val="21"/>
              </w:rPr>
              <w:t>m（高）声屏障，左侧</w:t>
            </w:r>
            <w:r>
              <w:rPr>
                <w:rFonts w:ascii="Times New Roman" w:hAnsi="Times New Roman" w:cs="Times New Roman" w:eastAsiaTheme="minorEastAsia"/>
                <w:szCs w:val="21"/>
              </w:rPr>
              <w:t>K</w:t>
            </w:r>
            <w:r>
              <w:rPr>
                <w:rFonts w:hint="eastAsia" w:ascii="Times New Roman" w:hAnsi="Times New Roman" w:cs="Times New Roman" w:eastAsiaTheme="minorEastAsia"/>
                <w:szCs w:val="21"/>
              </w:rPr>
              <w:t>7</w:t>
            </w:r>
            <w:r>
              <w:rPr>
                <w:rFonts w:ascii="Times New Roman" w:hAnsi="Times New Roman" w:cs="Times New Roman" w:eastAsiaTheme="minorEastAsia"/>
                <w:szCs w:val="21"/>
              </w:rPr>
              <w:t>+</w:t>
            </w:r>
            <w:r>
              <w:rPr>
                <w:rFonts w:hint="eastAsia" w:ascii="Times New Roman" w:hAnsi="Times New Roman" w:cs="Times New Roman" w:eastAsiaTheme="minorEastAsia"/>
                <w:szCs w:val="21"/>
              </w:rPr>
              <w:t>60</w:t>
            </w:r>
            <w:r>
              <w:rPr>
                <w:rFonts w:ascii="Times New Roman" w:hAnsi="Times New Roman" w:cs="Times New Roman" w:eastAsiaTheme="minorEastAsia"/>
                <w:szCs w:val="21"/>
              </w:rPr>
              <w:t>0</w:t>
            </w:r>
            <w:r>
              <w:rPr>
                <w:rFonts w:ascii="Times New Roman" w:cs="Times New Roman" w:hAnsiTheme="minorEastAsia" w:eastAsiaTheme="minorEastAsia"/>
                <w:szCs w:val="21"/>
              </w:rPr>
              <w:t>～</w:t>
            </w:r>
            <w:r>
              <w:rPr>
                <w:rFonts w:ascii="Times New Roman" w:hAnsi="Times New Roman" w:cs="Times New Roman" w:eastAsiaTheme="minorEastAsia"/>
                <w:szCs w:val="21"/>
              </w:rPr>
              <w:t>K</w:t>
            </w:r>
            <w:r>
              <w:rPr>
                <w:rFonts w:hint="eastAsia" w:ascii="Times New Roman" w:hAnsi="Times New Roman" w:cs="Times New Roman" w:eastAsiaTheme="minorEastAsia"/>
                <w:szCs w:val="21"/>
              </w:rPr>
              <w:t>8</w:t>
            </w:r>
            <w:r>
              <w:rPr>
                <w:rFonts w:ascii="Times New Roman" w:hAnsi="Times New Roman" w:cs="Times New Roman" w:eastAsiaTheme="minorEastAsia"/>
                <w:szCs w:val="21"/>
              </w:rPr>
              <w:t>+</w:t>
            </w:r>
            <w:r>
              <w:rPr>
                <w:rFonts w:hint="eastAsia" w:ascii="Times New Roman" w:hAnsi="Times New Roman" w:cs="Times New Roman" w:eastAsiaTheme="minorEastAsia"/>
                <w:szCs w:val="21"/>
              </w:rPr>
              <w:t>80</w:t>
            </w:r>
            <w:r>
              <w:rPr>
                <w:rFonts w:ascii="Times New Roman" w:hAnsi="Times New Roman" w:cs="Times New Roman" w:eastAsiaTheme="minorEastAsia"/>
                <w:szCs w:val="21"/>
              </w:rPr>
              <w:t>0（根据《</w:t>
            </w:r>
            <w:r>
              <w:rPr>
                <w:rFonts w:hint="eastAsia" w:ascii="Times New Roman" w:hAnsi="Times New Roman" w:cs="Times New Roman" w:eastAsiaTheme="minorEastAsia"/>
                <w:szCs w:val="21"/>
              </w:rPr>
              <w:t>公路路线设计规范（JTG D20—2017）</w:t>
            </w:r>
            <w:r>
              <w:rPr>
                <w:rFonts w:ascii="Times New Roman" w:hAnsi="Times New Roman" w:cs="Times New Roman" w:eastAsiaTheme="minorEastAsia"/>
                <w:szCs w:val="21"/>
              </w:rPr>
              <w:t>》，考虑行车安全视距，每处平交口两侧共需断开</w:t>
            </w:r>
            <w:r>
              <w:rPr>
                <w:rFonts w:hint="eastAsia" w:ascii="Times New Roman" w:hAnsi="Times New Roman" w:cs="Times New Roman" w:eastAsiaTheme="minorEastAsia"/>
                <w:szCs w:val="21"/>
              </w:rPr>
              <w:t>220m，该路段共2处平交口</w:t>
            </w:r>
            <w:r>
              <w:rPr>
                <w:rFonts w:ascii="Times New Roman" w:hAnsi="Times New Roman" w:cs="Times New Roman" w:eastAsiaTheme="minorEastAsia"/>
                <w:szCs w:val="21"/>
              </w:rPr>
              <w:t>）</w:t>
            </w:r>
            <w:r>
              <w:rPr>
                <w:rFonts w:ascii="Times New Roman" w:hAnsi="Times New Roman" w:eastAsia="宋体" w:cs="Times New Roman"/>
                <w:szCs w:val="21"/>
              </w:rPr>
              <w:t>设置</w:t>
            </w:r>
            <w:r>
              <w:rPr>
                <w:rFonts w:hint="eastAsia" w:ascii="Times New Roman" w:hAnsi="Times New Roman" w:eastAsia="宋体" w:cs="Times New Roman"/>
                <w:szCs w:val="21"/>
              </w:rPr>
              <w:t>760</w:t>
            </w:r>
            <w:r>
              <w:rPr>
                <w:rFonts w:ascii="Times New Roman" w:hAnsi="Times New Roman" w:eastAsia="宋体" w:cs="Times New Roman"/>
                <w:szCs w:val="21"/>
              </w:rPr>
              <w:t>m（长）×</w:t>
            </w:r>
            <w:r>
              <w:rPr>
                <w:rFonts w:hint="eastAsia" w:ascii="Times New Roman" w:hAnsi="Times New Roman" w:eastAsia="宋体" w:cs="Times New Roman"/>
                <w:szCs w:val="21"/>
              </w:rPr>
              <w:t>3.0</w:t>
            </w:r>
            <w:r>
              <w:rPr>
                <w:rFonts w:ascii="Times New Roman" w:hAnsi="Times New Roman" w:eastAsia="宋体" w:cs="Times New Roman"/>
                <w:szCs w:val="21"/>
              </w:rPr>
              <w:t>m（高）声屏障，</w:t>
            </w:r>
            <w:r>
              <w:rPr>
                <w:rFonts w:hint="eastAsia" w:ascii="Times New Roman" w:hAnsi="Times New Roman" w:eastAsia="宋体" w:cs="Times New Roman"/>
                <w:szCs w:val="21"/>
              </w:rPr>
              <w:t>2</w:t>
            </w:r>
            <w:r>
              <w:rPr>
                <w:rFonts w:ascii="Times New Roman" w:hAnsi="Times New Roman" w:eastAsia="宋体" w:cs="Times New Roman"/>
                <w:szCs w:val="21"/>
              </w:rPr>
              <w:t>000元/m，共投资</w:t>
            </w:r>
            <w:r>
              <w:rPr>
                <w:rFonts w:hint="eastAsia" w:ascii="Times New Roman" w:hAnsi="Times New Roman" w:eastAsia="宋体" w:cs="Times New Roman"/>
                <w:szCs w:val="21"/>
              </w:rPr>
              <w:t>288</w:t>
            </w:r>
            <w:r>
              <w:rPr>
                <w:rFonts w:ascii="Times New Roman" w:hAnsi="Times New Roman" w:eastAsia="宋体" w:cs="Times New Roman"/>
                <w:szCs w:val="21"/>
              </w:rPr>
              <w:t>万元</w:t>
            </w:r>
            <w:r>
              <w:rPr>
                <w:rFonts w:hint="eastAsia" w:ascii="Times New Roman" w:hAnsi="Times New Roman" w:eastAsia="宋体" w:cs="Times New Roman"/>
              </w:rPr>
              <w:t>。</w:t>
            </w:r>
            <w:r>
              <w:rPr>
                <w:rFonts w:ascii="Times New Roman" w:hAnsi="Times New Roman" w:eastAsia="宋体" w:cs="Times New Roman"/>
              </w:rPr>
              <w:t>房屋距路较近，超标量较大，仅采取声屏障降噪措施</w:t>
            </w:r>
            <w:r>
              <w:rPr>
                <w:rFonts w:hint="eastAsia" w:ascii="Times New Roman" w:hAnsi="Times New Roman" w:eastAsia="宋体" w:cs="Times New Roman"/>
              </w:rPr>
              <w:t>难以</w:t>
            </w:r>
            <w:r>
              <w:rPr>
                <w:rFonts w:ascii="Times New Roman" w:hAnsi="Times New Roman" w:eastAsia="宋体" w:cs="Times New Roman"/>
              </w:rPr>
              <w:t>达标</w:t>
            </w:r>
            <w:r>
              <w:rPr>
                <w:rFonts w:ascii="Times New Roman" w:hAnsi="Times New Roman" w:eastAsia="宋体" w:cs="Times New Roman"/>
                <w:szCs w:val="21"/>
              </w:rPr>
              <w:t>。同时</w:t>
            </w:r>
            <w:r>
              <w:rPr>
                <w:rFonts w:hint="eastAsia" w:ascii="Times New Roman" w:hAnsi="Times New Roman" w:eastAsia="宋体" w:cs="Times New Roman"/>
                <w:szCs w:val="21"/>
              </w:rPr>
              <w:t>该路段位于</w:t>
            </w:r>
            <w:r>
              <w:rPr>
                <w:rFonts w:hint="eastAsia" w:ascii="Times New Roman" w:hAnsi="Times New Roman" w:cs="Times New Roman" w:eastAsiaTheme="minorEastAsia"/>
                <w:szCs w:val="21"/>
              </w:rPr>
              <w:t>格达良乡镇路</w:t>
            </w:r>
            <w:r>
              <w:rPr>
                <w:rFonts w:hint="eastAsia" w:ascii="Times New Roman" w:hAnsi="Times New Roman" w:eastAsia="宋体" w:cs="Times New Roman"/>
                <w:szCs w:val="21"/>
              </w:rPr>
              <w:t>段，设置声屏障对两侧商业造成阻隔影响，实施难度较大</w:t>
            </w:r>
            <w:r>
              <w:rPr>
                <w:rFonts w:ascii="Times New Roman" w:hAnsi="Times New Roman" w:eastAsia="宋体" w:cs="Times New Roman"/>
                <w:szCs w:val="21"/>
              </w:rPr>
              <w:t>。</w:t>
            </w:r>
          </w:p>
          <w:p w14:paraId="7B0246F5">
            <w:pPr>
              <w:rPr>
                <w:rFonts w:ascii="Times New Roman" w:hAnsi="Times New Roman" w:eastAsia="宋体" w:cs="Times New Roman"/>
                <w:szCs w:val="21"/>
              </w:rPr>
            </w:pPr>
            <w:r>
              <w:rPr>
                <w:rFonts w:ascii="Times New Roman" w:hAnsi="Times New Roman" w:eastAsia="宋体" w:cs="Times New Roman"/>
                <w:szCs w:val="21"/>
              </w:rPr>
              <w:t>推荐：综合考虑推荐方案</w:t>
            </w:r>
            <w:r>
              <w:rPr>
                <w:rFonts w:hint="eastAsia" w:ascii="Times New Roman" w:hAnsi="Times New Roman" w:eastAsia="宋体" w:cs="Times New Roman"/>
                <w:szCs w:val="21"/>
              </w:rPr>
              <w:t>一</w:t>
            </w:r>
            <w:r>
              <w:rPr>
                <w:rFonts w:ascii="Times New Roman" w:hAnsi="Times New Roman" w:eastAsia="宋体" w:cs="Times New Roman"/>
                <w:szCs w:val="21"/>
              </w:rPr>
              <w:t>。</w:t>
            </w:r>
          </w:p>
        </w:tc>
        <w:tc>
          <w:tcPr>
            <w:tcW w:w="242" w:type="pct"/>
            <w:vMerge w:val="restart"/>
            <w:vAlign w:val="center"/>
          </w:tcPr>
          <w:p w14:paraId="6B2959AB">
            <w:pPr>
              <w:widowControl/>
              <w:jc w:val="center"/>
              <w:rPr>
                <w:rFonts w:ascii="Times New Roman" w:hAnsi="Times New Roman" w:eastAsia="宋体" w:cs="Times New Roman"/>
                <w:kern w:val="0"/>
              </w:rPr>
            </w:pPr>
            <w:r>
              <w:rPr>
                <w:rFonts w:ascii="Times New Roman" w:hAnsi="Times New Roman" w:eastAsia="宋体" w:cs="Times New Roman"/>
                <w:kern w:val="0"/>
              </w:rPr>
              <w:t>隔声窗</w:t>
            </w:r>
          </w:p>
        </w:tc>
        <w:tc>
          <w:tcPr>
            <w:tcW w:w="260" w:type="pct"/>
            <w:vMerge w:val="restart"/>
            <w:vAlign w:val="center"/>
          </w:tcPr>
          <w:p w14:paraId="01DE2041">
            <w:pPr>
              <w:widowControl/>
              <w:jc w:val="center"/>
              <w:rPr>
                <w:rFonts w:ascii="Times New Roman" w:hAnsi="Times New Roman" w:eastAsia="宋体" w:cs="Times New Roman"/>
                <w:kern w:val="0"/>
              </w:rPr>
            </w:pPr>
            <w:r>
              <w:rPr>
                <w:rFonts w:ascii="Times New Roman" w:hAnsi="Times New Roman" w:eastAsia="宋体" w:cs="Times New Roman"/>
                <w:kern w:val="0"/>
              </w:rPr>
              <w:t>室内达标</w:t>
            </w:r>
          </w:p>
        </w:tc>
        <w:tc>
          <w:tcPr>
            <w:tcW w:w="251" w:type="pct"/>
            <w:vMerge w:val="restart"/>
            <w:vAlign w:val="center"/>
          </w:tcPr>
          <w:p w14:paraId="6D749E30">
            <w:pPr>
              <w:jc w:val="center"/>
              <w:rPr>
                <w:rFonts w:ascii="Times New Roman" w:hAnsi="Times New Roman" w:eastAsia="宋体" w:cs="Times New Roman"/>
                <w:szCs w:val="21"/>
              </w:rPr>
            </w:pPr>
            <w:r>
              <w:rPr>
                <w:rFonts w:hint="eastAsia" w:ascii="Times New Roman" w:hAnsi="Times New Roman" w:eastAsia="宋体" w:cs="Times New Roman"/>
                <w:szCs w:val="21"/>
              </w:rPr>
              <w:t>115</w:t>
            </w:r>
          </w:p>
        </w:tc>
      </w:tr>
      <w:tr w14:paraId="3066BB0D">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trHeight w:val="595" w:hRule="atLeast"/>
          <w:tblHeader/>
          <w:jc w:val="center"/>
        </w:trPr>
        <w:tc>
          <w:tcPr>
            <w:tcW w:w="180" w:type="pct"/>
            <w:vMerge w:val="continue"/>
            <w:noWrap/>
            <w:vAlign w:val="center"/>
          </w:tcPr>
          <w:p w14:paraId="1C86B94B">
            <w:pPr>
              <w:jc w:val="center"/>
              <w:rPr>
                <w:rFonts w:ascii="Times New Roman" w:hAnsi="Times New Roman" w:eastAsia="宋体" w:cs="Times New Roman"/>
              </w:rPr>
            </w:pPr>
          </w:p>
        </w:tc>
        <w:tc>
          <w:tcPr>
            <w:tcW w:w="278" w:type="pct"/>
            <w:vAlign w:val="center"/>
          </w:tcPr>
          <w:p w14:paraId="1A323A3A">
            <w:pPr>
              <w:jc w:val="center"/>
              <w:rPr>
                <w:rFonts w:ascii="Times New Roman" w:hAnsi="Times New Roman" w:cs="Times New Roman" w:eastAsiaTheme="minorEastAsia"/>
                <w:szCs w:val="21"/>
              </w:rPr>
            </w:pPr>
            <w:r>
              <w:rPr>
                <w:rFonts w:ascii="Times New Roman" w:hAnsi="Times New Roman" w:cs="Times New Roman" w:eastAsiaTheme="minorEastAsia"/>
                <w:szCs w:val="21"/>
              </w:rPr>
              <w:t>K</w:t>
            </w:r>
            <w:r>
              <w:rPr>
                <w:rFonts w:hint="eastAsia" w:ascii="Times New Roman" w:hAnsi="Times New Roman" w:cs="Times New Roman" w:eastAsiaTheme="minorEastAsia"/>
                <w:szCs w:val="21"/>
              </w:rPr>
              <w:t>7</w:t>
            </w:r>
            <w:r>
              <w:rPr>
                <w:rFonts w:ascii="Times New Roman" w:hAnsi="Times New Roman" w:cs="Times New Roman" w:eastAsiaTheme="minorEastAsia"/>
                <w:szCs w:val="21"/>
              </w:rPr>
              <w:t>+</w:t>
            </w:r>
            <w:r>
              <w:rPr>
                <w:rFonts w:hint="eastAsia" w:ascii="Times New Roman" w:hAnsi="Times New Roman" w:cs="Times New Roman" w:eastAsiaTheme="minorEastAsia"/>
                <w:szCs w:val="21"/>
              </w:rPr>
              <w:t>65</w:t>
            </w:r>
            <w:r>
              <w:rPr>
                <w:rFonts w:ascii="Times New Roman" w:hAnsi="Times New Roman" w:cs="Times New Roman" w:eastAsiaTheme="minorEastAsia"/>
                <w:szCs w:val="21"/>
              </w:rPr>
              <w:t>0</w:t>
            </w:r>
            <w:r>
              <w:rPr>
                <w:rFonts w:ascii="Times New Roman" w:cs="Times New Roman" w:hAnsiTheme="minorEastAsia" w:eastAsiaTheme="minorEastAsia"/>
                <w:szCs w:val="21"/>
              </w:rPr>
              <w:t>～</w:t>
            </w:r>
            <w:r>
              <w:rPr>
                <w:rFonts w:ascii="Times New Roman" w:hAnsi="Times New Roman" w:cs="Times New Roman" w:eastAsiaTheme="minorEastAsia"/>
                <w:szCs w:val="21"/>
              </w:rPr>
              <w:t>K</w:t>
            </w:r>
            <w:r>
              <w:rPr>
                <w:rFonts w:hint="eastAsia" w:ascii="Times New Roman" w:hAnsi="Times New Roman" w:cs="Times New Roman" w:eastAsiaTheme="minorEastAsia"/>
                <w:szCs w:val="21"/>
              </w:rPr>
              <w:t>8</w:t>
            </w:r>
            <w:r>
              <w:rPr>
                <w:rFonts w:ascii="Times New Roman" w:hAnsi="Times New Roman" w:cs="Times New Roman" w:eastAsiaTheme="minorEastAsia"/>
                <w:szCs w:val="21"/>
              </w:rPr>
              <w:t>+</w:t>
            </w:r>
            <w:r>
              <w:rPr>
                <w:rFonts w:hint="eastAsia" w:ascii="Times New Roman" w:hAnsi="Times New Roman" w:cs="Times New Roman" w:eastAsiaTheme="minorEastAsia"/>
                <w:szCs w:val="21"/>
              </w:rPr>
              <w:t>75</w:t>
            </w:r>
            <w:r>
              <w:rPr>
                <w:rFonts w:ascii="Times New Roman" w:hAnsi="Times New Roman" w:cs="Times New Roman" w:eastAsiaTheme="minorEastAsia"/>
                <w:szCs w:val="21"/>
              </w:rPr>
              <w:t>0</w:t>
            </w:r>
          </w:p>
        </w:tc>
        <w:tc>
          <w:tcPr>
            <w:tcW w:w="346" w:type="pct"/>
            <w:vMerge w:val="continue"/>
            <w:vAlign w:val="center"/>
          </w:tcPr>
          <w:p w14:paraId="19DF1D34">
            <w:pPr>
              <w:widowControl/>
              <w:adjustRightInd w:val="0"/>
              <w:snapToGrid w:val="0"/>
              <w:spacing w:line="240" w:lineRule="exact"/>
              <w:jc w:val="center"/>
              <w:rPr>
                <w:rFonts w:ascii="Times New Roman" w:hAnsi="Times New Roman" w:eastAsia="宋体" w:cs="Times New Roman"/>
                <w:snapToGrid w:val="0"/>
                <w:kern w:val="0"/>
                <w:szCs w:val="21"/>
              </w:rPr>
            </w:pPr>
          </w:p>
        </w:tc>
        <w:tc>
          <w:tcPr>
            <w:tcW w:w="138" w:type="pct"/>
            <w:vAlign w:val="center"/>
          </w:tcPr>
          <w:p w14:paraId="3DAAC3D2">
            <w:pPr>
              <w:adjustRightInd w:val="0"/>
              <w:snapToGrid w:val="0"/>
              <w:spacing w:line="240" w:lineRule="exact"/>
              <w:jc w:val="center"/>
              <w:rPr>
                <w:rFonts w:ascii="Times New Roman" w:hAnsi="宋体" w:eastAsia="宋体" w:cs="Times New Roman"/>
                <w:snapToGrid w:val="0"/>
                <w:kern w:val="0"/>
                <w:szCs w:val="21"/>
              </w:rPr>
            </w:pPr>
            <w:r>
              <w:rPr>
                <w:rFonts w:ascii="Times New Roman" w:cs="Times New Roman" w:hAnsiTheme="minorEastAsia" w:eastAsiaTheme="minorEastAsia"/>
                <w:szCs w:val="21"/>
              </w:rPr>
              <w:t>路左</w:t>
            </w:r>
          </w:p>
        </w:tc>
        <w:tc>
          <w:tcPr>
            <w:tcW w:w="209" w:type="pct"/>
            <w:vAlign w:val="center"/>
          </w:tcPr>
          <w:p w14:paraId="59909B21">
            <w:pPr>
              <w:jc w:val="center"/>
              <w:rPr>
                <w:rFonts w:ascii="Times New Roman" w:hAnsi="Times New Roman" w:cs="Times New Roman" w:eastAsiaTheme="minorEastAsia"/>
                <w:szCs w:val="21"/>
              </w:rPr>
            </w:pPr>
            <w:r>
              <w:rPr>
                <w:rFonts w:hint="eastAsia" w:ascii="Times New Roman" w:hAnsi="Times New Roman" w:cs="Times New Roman" w:eastAsiaTheme="minorEastAsia"/>
                <w:szCs w:val="21"/>
              </w:rPr>
              <w:t>30</w:t>
            </w:r>
          </w:p>
        </w:tc>
        <w:tc>
          <w:tcPr>
            <w:tcW w:w="243" w:type="pct"/>
            <w:vAlign w:val="center"/>
          </w:tcPr>
          <w:p w14:paraId="16681415">
            <w:pPr>
              <w:adjustRightInd w:val="0"/>
              <w:snapToGrid w:val="0"/>
              <w:spacing w:line="240" w:lineRule="exact"/>
              <w:jc w:val="center"/>
              <w:rPr>
                <w:rFonts w:ascii="Times New Roman" w:hAnsi="Times New Roman" w:eastAsia="宋体" w:cs="Times New Roman"/>
                <w:snapToGrid w:val="0"/>
                <w:kern w:val="0"/>
                <w:szCs w:val="21"/>
              </w:rPr>
            </w:pPr>
            <w:r>
              <w:rPr>
                <w:rFonts w:hint="eastAsia" w:ascii="Times New Roman" w:hAnsi="Times New Roman" w:eastAsia="宋体" w:cs="Times New Roman"/>
                <w:snapToGrid w:val="0"/>
                <w:kern w:val="0"/>
                <w:szCs w:val="21"/>
              </w:rPr>
              <w:t>-/7.5</w:t>
            </w:r>
          </w:p>
        </w:tc>
        <w:tc>
          <w:tcPr>
            <w:tcW w:w="243" w:type="pct"/>
            <w:vAlign w:val="center"/>
          </w:tcPr>
          <w:p w14:paraId="2F56D369">
            <w:pPr>
              <w:adjustRightInd w:val="0"/>
              <w:snapToGrid w:val="0"/>
              <w:spacing w:line="240" w:lineRule="exact"/>
              <w:jc w:val="center"/>
              <w:rPr>
                <w:rFonts w:ascii="Times New Roman" w:hAnsi="Times New Roman" w:eastAsia="宋体" w:cs="Times New Roman"/>
                <w:snapToGrid w:val="0"/>
                <w:kern w:val="0"/>
                <w:szCs w:val="21"/>
              </w:rPr>
            </w:pPr>
            <w:r>
              <w:rPr>
                <w:rFonts w:hint="eastAsia" w:ascii="Times New Roman" w:hAnsi="Times New Roman" w:eastAsia="宋体" w:cs="Times New Roman"/>
                <w:snapToGrid w:val="0"/>
                <w:kern w:val="0"/>
                <w:szCs w:val="21"/>
              </w:rPr>
              <w:t>1.6/7.7</w:t>
            </w:r>
          </w:p>
        </w:tc>
        <w:tc>
          <w:tcPr>
            <w:tcW w:w="190" w:type="pct"/>
            <w:shd w:val="clear" w:color="auto" w:fill="auto"/>
            <w:vAlign w:val="center"/>
          </w:tcPr>
          <w:p w14:paraId="6D46700D">
            <w:pPr>
              <w:widowControl/>
              <w:jc w:val="center"/>
              <w:rPr>
                <w:rFonts w:ascii="Times New Roman" w:hAnsi="Times New Roman" w:cs="Times New Roman" w:eastAsiaTheme="minorEastAsia"/>
                <w:spacing w:val="-20"/>
                <w:kern w:val="0"/>
                <w:szCs w:val="21"/>
              </w:rPr>
            </w:pPr>
            <w:r>
              <w:rPr>
                <w:rFonts w:hint="eastAsia" w:ascii="Times New Roman" w:hAnsi="Times New Roman" w:cs="Times New Roman" w:eastAsiaTheme="minorEastAsia"/>
                <w:spacing w:val="-20"/>
                <w:kern w:val="0"/>
                <w:szCs w:val="21"/>
              </w:rPr>
              <w:t>20</w:t>
            </w:r>
          </w:p>
        </w:tc>
        <w:tc>
          <w:tcPr>
            <w:tcW w:w="190" w:type="pct"/>
            <w:shd w:val="clear" w:color="auto" w:fill="auto"/>
            <w:vAlign w:val="center"/>
          </w:tcPr>
          <w:p w14:paraId="73885479">
            <w:pPr>
              <w:widowControl/>
              <w:jc w:val="center"/>
              <w:rPr>
                <w:rFonts w:ascii="Times New Roman" w:hAnsi="Times New Roman" w:cs="Times New Roman" w:eastAsiaTheme="minorEastAsia"/>
                <w:spacing w:val="-20"/>
                <w:kern w:val="0"/>
                <w:szCs w:val="21"/>
              </w:rPr>
            </w:pPr>
            <w:r>
              <w:rPr>
                <w:rFonts w:hint="eastAsia" w:ascii="Times New Roman" w:hAnsi="Times New Roman" w:cs="Times New Roman" w:eastAsiaTheme="minorEastAsia"/>
                <w:spacing w:val="-20"/>
                <w:kern w:val="0"/>
                <w:szCs w:val="21"/>
              </w:rPr>
              <w:t>45</w:t>
            </w:r>
          </w:p>
        </w:tc>
        <w:tc>
          <w:tcPr>
            <w:tcW w:w="2230" w:type="pct"/>
            <w:vMerge w:val="continue"/>
            <w:noWrap/>
            <w:vAlign w:val="center"/>
          </w:tcPr>
          <w:p w14:paraId="23BBA51B">
            <w:pPr>
              <w:rPr>
                <w:rFonts w:ascii="Times New Roman" w:hAnsi="Times New Roman" w:eastAsia="宋体" w:cs="Times New Roman"/>
                <w:szCs w:val="21"/>
              </w:rPr>
            </w:pPr>
          </w:p>
        </w:tc>
        <w:tc>
          <w:tcPr>
            <w:tcW w:w="242" w:type="pct"/>
            <w:vMerge w:val="continue"/>
            <w:vAlign w:val="center"/>
          </w:tcPr>
          <w:p w14:paraId="1B1D6383">
            <w:pPr>
              <w:widowControl/>
              <w:jc w:val="center"/>
              <w:rPr>
                <w:rFonts w:ascii="Times New Roman" w:hAnsi="Times New Roman" w:eastAsia="宋体" w:cs="Times New Roman"/>
                <w:kern w:val="0"/>
              </w:rPr>
            </w:pPr>
          </w:p>
        </w:tc>
        <w:tc>
          <w:tcPr>
            <w:tcW w:w="260" w:type="pct"/>
            <w:vMerge w:val="continue"/>
            <w:vAlign w:val="center"/>
          </w:tcPr>
          <w:p w14:paraId="354E502E">
            <w:pPr>
              <w:widowControl/>
              <w:jc w:val="center"/>
              <w:rPr>
                <w:rFonts w:ascii="Times New Roman" w:hAnsi="Times New Roman" w:eastAsia="宋体" w:cs="Times New Roman"/>
                <w:kern w:val="0"/>
              </w:rPr>
            </w:pPr>
          </w:p>
        </w:tc>
        <w:tc>
          <w:tcPr>
            <w:tcW w:w="251" w:type="pct"/>
            <w:vMerge w:val="continue"/>
            <w:vAlign w:val="center"/>
          </w:tcPr>
          <w:p w14:paraId="173F1930">
            <w:pPr>
              <w:jc w:val="center"/>
              <w:rPr>
                <w:rFonts w:ascii="Times New Roman" w:hAnsi="Times New Roman" w:eastAsia="宋体" w:cs="Times New Roman"/>
                <w:szCs w:val="21"/>
              </w:rPr>
            </w:pPr>
          </w:p>
        </w:tc>
      </w:tr>
      <w:tr w14:paraId="68617BD6">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PrEx>
        <w:trPr>
          <w:trHeight w:val="566" w:hRule="atLeast"/>
          <w:tblHeader/>
          <w:jc w:val="center"/>
        </w:trPr>
        <w:tc>
          <w:tcPr>
            <w:tcW w:w="180" w:type="pct"/>
            <w:vMerge w:val="restart"/>
            <w:noWrap/>
            <w:vAlign w:val="center"/>
          </w:tcPr>
          <w:p w14:paraId="64A1E48B">
            <w:pPr>
              <w:jc w:val="center"/>
              <w:rPr>
                <w:rFonts w:ascii="Times New Roman" w:hAnsi="Times New Roman" w:eastAsia="宋体" w:cs="Times New Roman"/>
              </w:rPr>
            </w:pPr>
            <w:r>
              <w:rPr>
                <w:rFonts w:hint="eastAsia" w:ascii="Times New Roman" w:hAnsi="Times New Roman" w:eastAsia="宋体" w:cs="Times New Roman"/>
              </w:rPr>
              <w:t>2</w:t>
            </w:r>
          </w:p>
        </w:tc>
        <w:tc>
          <w:tcPr>
            <w:tcW w:w="278" w:type="pct"/>
            <w:vMerge w:val="restart"/>
            <w:vAlign w:val="center"/>
          </w:tcPr>
          <w:p w14:paraId="40EEEDEE">
            <w:pPr>
              <w:jc w:val="center"/>
              <w:rPr>
                <w:rFonts w:ascii="Times New Roman" w:hAnsi="Times New Roman" w:cs="Times New Roman" w:eastAsiaTheme="minorEastAsia"/>
                <w:szCs w:val="21"/>
              </w:rPr>
            </w:pPr>
            <w:r>
              <w:rPr>
                <w:rFonts w:ascii="Times New Roman" w:hAnsi="Times New Roman" w:cs="Times New Roman" w:eastAsiaTheme="minorEastAsia"/>
                <w:szCs w:val="21"/>
              </w:rPr>
              <w:t>K</w:t>
            </w:r>
            <w:r>
              <w:rPr>
                <w:rFonts w:hint="eastAsia" w:ascii="Times New Roman" w:hAnsi="Times New Roman" w:cs="Times New Roman" w:eastAsiaTheme="minorEastAsia"/>
                <w:szCs w:val="21"/>
              </w:rPr>
              <w:t>7</w:t>
            </w:r>
            <w:r>
              <w:rPr>
                <w:rFonts w:ascii="Times New Roman" w:hAnsi="Times New Roman" w:cs="Times New Roman" w:eastAsiaTheme="minorEastAsia"/>
                <w:szCs w:val="21"/>
              </w:rPr>
              <w:t>+</w:t>
            </w:r>
            <w:r>
              <w:rPr>
                <w:rFonts w:hint="eastAsia" w:ascii="Times New Roman" w:hAnsi="Times New Roman" w:cs="Times New Roman" w:eastAsiaTheme="minorEastAsia"/>
                <w:szCs w:val="21"/>
              </w:rPr>
              <w:t>50</w:t>
            </w:r>
            <w:r>
              <w:rPr>
                <w:rFonts w:ascii="Times New Roman" w:hAnsi="Times New Roman" w:cs="Times New Roman" w:eastAsiaTheme="minorEastAsia"/>
                <w:szCs w:val="21"/>
              </w:rPr>
              <w:t>0</w:t>
            </w:r>
          </w:p>
        </w:tc>
        <w:tc>
          <w:tcPr>
            <w:tcW w:w="346" w:type="pct"/>
            <w:vMerge w:val="restart"/>
            <w:vAlign w:val="center"/>
          </w:tcPr>
          <w:p w14:paraId="6EB83AB4">
            <w:pPr>
              <w:jc w:val="center"/>
              <w:rPr>
                <w:rFonts w:ascii="Times New Roman" w:hAnsi="Times New Roman" w:cs="Times New Roman" w:eastAsiaTheme="minorEastAsia"/>
                <w:szCs w:val="21"/>
              </w:rPr>
            </w:pPr>
            <w:r>
              <w:rPr>
                <w:rFonts w:hint="eastAsia" w:ascii="Times New Roman" w:hAnsi="Times New Roman" w:cs="Times New Roman" w:eastAsiaTheme="minorEastAsia"/>
                <w:szCs w:val="21"/>
              </w:rPr>
              <w:t>格达良乡</w:t>
            </w:r>
            <w:r>
              <w:rPr>
                <w:rFonts w:ascii="Times New Roman" w:hAnsi="Times New Roman" w:cs="Times New Roman" w:eastAsiaTheme="minorEastAsia"/>
                <w:szCs w:val="21"/>
              </w:rPr>
              <w:t>卫生院</w:t>
            </w:r>
          </w:p>
        </w:tc>
        <w:tc>
          <w:tcPr>
            <w:tcW w:w="138" w:type="pct"/>
            <w:vMerge w:val="restart"/>
            <w:vAlign w:val="center"/>
          </w:tcPr>
          <w:p w14:paraId="5088E083">
            <w:pPr>
              <w:jc w:val="center"/>
              <w:rPr>
                <w:rFonts w:ascii="Times New Roman" w:hAnsi="Times New Roman" w:cs="Times New Roman" w:eastAsiaTheme="minorEastAsia"/>
                <w:szCs w:val="21"/>
              </w:rPr>
            </w:pPr>
            <w:r>
              <w:rPr>
                <w:rFonts w:ascii="Times New Roman" w:hAnsi="Times New Roman" w:cs="Times New Roman" w:eastAsiaTheme="minorEastAsia"/>
                <w:szCs w:val="21"/>
              </w:rPr>
              <w:t>路左</w:t>
            </w:r>
          </w:p>
        </w:tc>
        <w:tc>
          <w:tcPr>
            <w:tcW w:w="209" w:type="pct"/>
            <w:vAlign w:val="center"/>
          </w:tcPr>
          <w:p w14:paraId="1D5B788C">
            <w:pPr>
              <w:adjustRightInd w:val="0"/>
              <w:snapToGrid w:val="0"/>
              <w:spacing w:line="240" w:lineRule="exact"/>
              <w:jc w:val="center"/>
              <w:rPr>
                <w:rFonts w:ascii="Times New Roman" w:hAnsi="Times New Roman" w:eastAsia="宋体" w:cs="Times New Roman"/>
                <w:snapToGrid w:val="0"/>
                <w:kern w:val="0"/>
                <w:szCs w:val="21"/>
              </w:rPr>
            </w:pPr>
            <w:r>
              <w:rPr>
                <w:rFonts w:hint="eastAsia" w:ascii="Times New Roman" w:hAnsi="Times New Roman" w:eastAsia="宋体" w:cs="Times New Roman"/>
                <w:snapToGrid w:val="0"/>
                <w:kern w:val="0"/>
                <w:szCs w:val="21"/>
              </w:rPr>
              <w:t>67</w:t>
            </w:r>
          </w:p>
        </w:tc>
        <w:tc>
          <w:tcPr>
            <w:tcW w:w="243" w:type="pct"/>
            <w:vAlign w:val="center"/>
          </w:tcPr>
          <w:p w14:paraId="52764861">
            <w:pPr>
              <w:adjustRightInd w:val="0"/>
              <w:snapToGrid w:val="0"/>
              <w:spacing w:line="240" w:lineRule="exact"/>
              <w:jc w:val="center"/>
              <w:rPr>
                <w:rFonts w:ascii="Times New Roman" w:hAnsi="Times New Roman" w:eastAsia="宋体" w:cs="Times New Roman"/>
                <w:snapToGrid w:val="0"/>
                <w:kern w:val="0"/>
                <w:szCs w:val="21"/>
              </w:rPr>
            </w:pPr>
            <w:r>
              <w:rPr>
                <w:rFonts w:hint="eastAsia" w:ascii="Times New Roman" w:hAnsi="Times New Roman" w:eastAsia="宋体" w:cs="Times New Roman"/>
                <w:snapToGrid w:val="0"/>
                <w:kern w:val="0"/>
                <w:szCs w:val="21"/>
              </w:rPr>
              <w:t>-/-</w:t>
            </w:r>
          </w:p>
        </w:tc>
        <w:tc>
          <w:tcPr>
            <w:tcW w:w="243" w:type="pct"/>
            <w:vAlign w:val="center"/>
          </w:tcPr>
          <w:p w14:paraId="3F3E0A27">
            <w:pPr>
              <w:adjustRightInd w:val="0"/>
              <w:snapToGrid w:val="0"/>
              <w:spacing w:line="240" w:lineRule="exact"/>
              <w:jc w:val="center"/>
              <w:rPr>
                <w:rFonts w:ascii="Times New Roman" w:hAnsi="Times New Roman" w:eastAsia="宋体" w:cs="Times New Roman"/>
                <w:snapToGrid w:val="0"/>
                <w:kern w:val="0"/>
                <w:szCs w:val="21"/>
              </w:rPr>
            </w:pPr>
            <w:r>
              <w:rPr>
                <w:rFonts w:hint="eastAsia" w:ascii="Times New Roman" w:hAnsi="Times New Roman" w:eastAsia="宋体" w:cs="Times New Roman"/>
                <w:snapToGrid w:val="0"/>
                <w:kern w:val="0"/>
                <w:szCs w:val="21"/>
              </w:rPr>
              <w:t>-/3.0</w:t>
            </w:r>
          </w:p>
        </w:tc>
        <w:tc>
          <w:tcPr>
            <w:tcW w:w="190" w:type="pct"/>
            <w:vMerge w:val="restart"/>
            <w:shd w:val="clear" w:color="auto" w:fill="auto"/>
            <w:vAlign w:val="center"/>
          </w:tcPr>
          <w:p w14:paraId="7906ECBC">
            <w:pPr>
              <w:adjustRightInd w:val="0"/>
              <w:snapToGrid w:val="0"/>
              <w:spacing w:line="240" w:lineRule="exact"/>
              <w:jc w:val="center"/>
              <w:rPr>
                <w:rFonts w:ascii="Times New Roman" w:hAnsi="Times New Roman" w:eastAsia="宋体" w:cs="Times New Roman"/>
                <w:snapToGrid w:val="0"/>
                <w:kern w:val="0"/>
                <w:szCs w:val="21"/>
              </w:rPr>
            </w:pPr>
            <w:r>
              <w:rPr>
                <w:rFonts w:hint="eastAsia" w:ascii="Times New Roman" w:hAnsi="Times New Roman" w:eastAsia="宋体" w:cs="Times New Roman"/>
                <w:snapToGrid w:val="0"/>
                <w:kern w:val="0"/>
                <w:szCs w:val="21"/>
              </w:rPr>
              <w:t>-</w:t>
            </w:r>
          </w:p>
        </w:tc>
        <w:tc>
          <w:tcPr>
            <w:tcW w:w="190" w:type="pct"/>
            <w:vMerge w:val="restart"/>
            <w:shd w:val="clear" w:color="auto" w:fill="auto"/>
            <w:vAlign w:val="center"/>
          </w:tcPr>
          <w:p w14:paraId="343A19C5">
            <w:pPr>
              <w:widowControl/>
              <w:jc w:val="center"/>
              <w:rPr>
                <w:rFonts w:ascii="Times New Roman" w:hAnsi="Times New Roman" w:cs="Times New Roman" w:eastAsiaTheme="minorEastAsia"/>
                <w:spacing w:val="-20"/>
                <w:kern w:val="0"/>
                <w:szCs w:val="21"/>
              </w:rPr>
            </w:pPr>
            <w:r>
              <w:rPr>
                <w:rFonts w:hint="eastAsia" w:ascii="Times New Roman" w:hAnsi="Times New Roman" w:eastAsia="宋体" w:cs="Times New Roman"/>
                <w:spacing w:val="-20"/>
                <w:kern w:val="0"/>
                <w:szCs w:val="21"/>
              </w:rPr>
              <w:t>1栋3层和2栋1层楼</w:t>
            </w:r>
          </w:p>
        </w:tc>
        <w:tc>
          <w:tcPr>
            <w:tcW w:w="2230" w:type="pct"/>
            <w:vMerge w:val="restart"/>
            <w:noWrap/>
            <w:vAlign w:val="center"/>
          </w:tcPr>
          <w:p w14:paraId="4D6A30D4">
            <w:pPr>
              <w:rPr>
                <w:rFonts w:ascii="Times New Roman" w:hAnsi="Times New Roman" w:eastAsia="宋体" w:cs="Times New Roman"/>
                <w:szCs w:val="21"/>
              </w:rPr>
            </w:pPr>
            <w:r>
              <w:rPr>
                <w:rFonts w:ascii="Times New Roman" w:hAnsi="Times New Roman" w:eastAsia="宋体" w:cs="Times New Roman"/>
                <w:szCs w:val="21"/>
              </w:rPr>
              <w:t>方案一：</w:t>
            </w:r>
            <w:r>
              <w:rPr>
                <w:rFonts w:ascii="Times New Roman" w:hAnsi="Times New Roman" w:cs="Times New Roman" w:eastAsiaTheme="minorEastAsia"/>
              </w:rPr>
              <w:t>安装隔声窗，超标范围内</w:t>
            </w:r>
            <w:r>
              <w:rPr>
                <w:rFonts w:ascii="Times New Roman" w:hAnsi="Times New Roman" w:cs="Times New Roman" w:eastAsiaTheme="minorEastAsia"/>
                <w:bCs/>
              </w:rPr>
              <w:t>1栋</w:t>
            </w:r>
            <w:r>
              <w:rPr>
                <w:rFonts w:hint="eastAsia" w:ascii="Times New Roman" w:hAnsi="Times New Roman" w:cs="Times New Roman" w:eastAsiaTheme="minorEastAsia"/>
                <w:bCs/>
              </w:rPr>
              <w:t>3</w:t>
            </w:r>
            <w:r>
              <w:rPr>
                <w:rFonts w:ascii="Times New Roman" w:hAnsi="Times New Roman" w:cs="Times New Roman" w:eastAsiaTheme="minorEastAsia"/>
                <w:bCs/>
              </w:rPr>
              <w:t>层和</w:t>
            </w:r>
            <w:r>
              <w:rPr>
                <w:rFonts w:hint="eastAsia" w:ascii="Times New Roman" w:hAnsi="Times New Roman" w:cs="Times New Roman" w:eastAsiaTheme="minorEastAsia"/>
                <w:bCs/>
              </w:rPr>
              <w:t>2栋1层</w:t>
            </w:r>
            <w:r>
              <w:rPr>
                <w:rFonts w:ascii="Times New Roman" w:hAnsi="Times New Roman" w:cs="Times New Roman" w:eastAsiaTheme="minorEastAsia"/>
                <w:bCs/>
              </w:rPr>
              <w:t>楼</w:t>
            </w:r>
            <w:r>
              <w:rPr>
                <w:rFonts w:ascii="Times New Roman" w:hAnsi="Times New Roman" w:cs="Times New Roman" w:eastAsiaTheme="minorEastAsia"/>
              </w:rPr>
              <w:t>，隔声量20～25dB，共计</w:t>
            </w:r>
            <w:r>
              <w:rPr>
                <w:rFonts w:hint="eastAsia" w:ascii="Times New Roman" w:hAnsi="Times New Roman" w:cs="Times New Roman" w:eastAsiaTheme="minorEastAsia"/>
              </w:rPr>
              <w:t>60</w:t>
            </w:r>
            <w:r>
              <w:rPr>
                <w:rFonts w:ascii="Times New Roman" w:hAnsi="Times New Roman" w:cs="Times New Roman" w:eastAsiaTheme="minorEastAsia"/>
              </w:rPr>
              <w:t>万元。</w:t>
            </w:r>
          </w:p>
          <w:p w14:paraId="097B5E40">
            <w:pPr>
              <w:spacing w:line="240" w:lineRule="exact"/>
              <w:rPr>
                <w:rFonts w:ascii="Times New Roman" w:hAnsi="Times New Roman" w:eastAsia="宋体" w:cs="Times New Roman"/>
                <w:szCs w:val="21"/>
              </w:rPr>
            </w:pPr>
            <w:r>
              <w:rPr>
                <w:rFonts w:ascii="Times New Roman" w:hAnsi="Times New Roman" w:eastAsia="宋体" w:cs="Times New Roman"/>
                <w:szCs w:val="21"/>
              </w:rPr>
              <w:t>方案二：设置声屏障，拟建公路</w:t>
            </w:r>
            <w:r>
              <w:rPr>
                <w:rFonts w:hint="eastAsia" w:ascii="Times New Roman" w:hAnsi="Times New Roman" w:eastAsia="宋体" w:cs="Times New Roman"/>
                <w:szCs w:val="21"/>
              </w:rPr>
              <w:t>左</w:t>
            </w:r>
            <w:r>
              <w:rPr>
                <w:rFonts w:ascii="Times New Roman" w:hAnsi="Times New Roman" w:eastAsia="宋体" w:cs="Times New Roman"/>
                <w:szCs w:val="21"/>
              </w:rPr>
              <w:t>侧K</w:t>
            </w:r>
            <w:r>
              <w:rPr>
                <w:rFonts w:hint="eastAsia" w:ascii="Times New Roman" w:hAnsi="Times New Roman" w:eastAsia="宋体" w:cs="Times New Roman"/>
                <w:szCs w:val="21"/>
              </w:rPr>
              <w:t>7+40</w:t>
            </w:r>
            <w:r>
              <w:rPr>
                <w:rFonts w:ascii="Times New Roman" w:hAnsi="Times New Roman" w:eastAsia="宋体" w:cs="Times New Roman"/>
                <w:szCs w:val="21"/>
              </w:rPr>
              <w:t>0～K</w:t>
            </w:r>
            <w:r>
              <w:rPr>
                <w:rFonts w:hint="eastAsia" w:ascii="Times New Roman" w:hAnsi="Times New Roman" w:eastAsia="宋体" w:cs="Times New Roman"/>
                <w:szCs w:val="21"/>
              </w:rPr>
              <w:t>7</w:t>
            </w:r>
            <w:r>
              <w:rPr>
                <w:rFonts w:ascii="Times New Roman" w:hAnsi="Times New Roman" w:eastAsia="宋体" w:cs="Times New Roman"/>
                <w:szCs w:val="21"/>
              </w:rPr>
              <w:t>+</w:t>
            </w:r>
            <w:r>
              <w:rPr>
                <w:rFonts w:hint="eastAsia" w:ascii="Times New Roman" w:hAnsi="Times New Roman" w:eastAsia="宋体" w:cs="Times New Roman"/>
                <w:szCs w:val="21"/>
              </w:rPr>
              <w:t>60</w:t>
            </w:r>
            <w:r>
              <w:rPr>
                <w:rFonts w:ascii="Times New Roman" w:hAnsi="Times New Roman" w:eastAsia="宋体" w:cs="Times New Roman"/>
                <w:szCs w:val="21"/>
              </w:rPr>
              <w:t>0设置</w:t>
            </w:r>
            <w:r>
              <w:rPr>
                <w:rFonts w:hint="eastAsia" w:ascii="Times New Roman" w:hAnsi="Times New Roman" w:eastAsia="宋体" w:cs="Times New Roman"/>
                <w:szCs w:val="21"/>
              </w:rPr>
              <w:t>200</w:t>
            </w:r>
            <w:r>
              <w:rPr>
                <w:rFonts w:ascii="Times New Roman" w:hAnsi="Times New Roman" w:eastAsia="宋体" w:cs="Times New Roman"/>
                <w:szCs w:val="21"/>
              </w:rPr>
              <w:t>m（长）×</w:t>
            </w:r>
            <w:r>
              <w:rPr>
                <w:rFonts w:hint="eastAsia" w:ascii="Times New Roman" w:hAnsi="Times New Roman" w:eastAsia="宋体" w:cs="Times New Roman"/>
                <w:szCs w:val="21"/>
              </w:rPr>
              <w:t>3.0</w:t>
            </w:r>
            <w:r>
              <w:rPr>
                <w:rFonts w:ascii="Times New Roman" w:hAnsi="Times New Roman" w:eastAsia="宋体" w:cs="Times New Roman"/>
                <w:szCs w:val="21"/>
              </w:rPr>
              <w:t>m（高）声屏障，</w:t>
            </w:r>
            <w:r>
              <w:rPr>
                <w:rFonts w:hint="eastAsia" w:ascii="Times New Roman" w:hAnsi="Times New Roman" w:eastAsia="宋体" w:cs="Times New Roman"/>
                <w:szCs w:val="21"/>
              </w:rPr>
              <w:t>2</w:t>
            </w:r>
            <w:r>
              <w:rPr>
                <w:rFonts w:ascii="Times New Roman" w:hAnsi="Times New Roman" w:eastAsia="宋体" w:cs="Times New Roman"/>
                <w:szCs w:val="21"/>
              </w:rPr>
              <w:t>000元/m，共投资</w:t>
            </w:r>
            <w:r>
              <w:rPr>
                <w:rFonts w:hint="eastAsia" w:ascii="Times New Roman" w:hAnsi="Times New Roman" w:eastAsia="宋体" w:cs="Times New Roman"/>
                <w:szCs w:val="21"/>
              </w:rPr>
              <w:t>40</w:t>
            </w:r>
            <w:r>
              <w:rPr>
                <w:rFonts w:ascii="Times New Roman" w:hAnsi="Times New Roman" w:eastAsia="宋体" w:cs="Times New Roman"/>
                <w:szCs w:val="21"/>
              </w:rPr>
              <w:t>万元。</w:t>
            </w:r>
            <w:r>
              <w:rPr>
                <w:rFonts w:ascii="Times New Roman" w:hAnsi="Times New Roman" w:eastAsia="宋体" w:cs="Times New Roman"/>
              </w:rPr>
              <w:t>由于</w:t>
            </w:r>
            <w:r>
              <w:rPr>
                <w:rFonts w:hint="eastAsia" w:ascii="Times New Roman" w:hAnsi="Times New Roman" w:eastAsia="宋体" w:cs="Times New Roman"/>
              </w:rPr>
              <w:t>卫生院3层建筑距路相对较远，</w:t>
            </w:r>
            <w:r>
              <w:rPr>
                <w:rFonts w:ascii="Times New Roman" w:hAnsi="Times New Roman" w:eastAsia="宋体" w:cs="Times New Roman"/>
              </w:rPr>
              <w:t>仅采取声屏障降噪措施</w:t>
            </w:r>
            <w:r>
              <w:rPr>
                <w:rFonts w:hint="eastAsia" w:ascii="Times New Roman" w:hAnsi="Times New Roman" w:eastAsia="宋体" w:cs="Times New Roman"/>
              </w:rPr>
              <w:t>难以</w:t>
            </w:r>
            <w:r>
              <w:rPr>
                <w:rFonts w:ascii="Times New Roman" w:hAnsi="Times New Roman" w:eastAsia="宋体" w:cs="Times New Roman"/>
              </w:rPr>
              <w:t>达标</w:t>
            </w:r>
            <w:r>
              <w:rPr>
                <w:rFonts w:hint="eastAsia" w:ascii="Times New Roman" w:hAnsi="Times New Roman" w:eastAsia="宋体" w:cs="Times New Roman"/>
                <w:szCs w:val="21"/>
              </w:rPr>
              <w:t>，需同时</w:t>
            </w:r>
            <w:r>
              <w:rPr>
                <w:rFonts w:ascii="Times New Roman" w:hAnsi="Times New Roman" w:eastAsia="宋体" w:cs="Times New Roman"/>
              </w:rPr>
              <w:t>对</w:t>
            </w:r>
            <w:r>
              <w:rPr>
                <w:rFonts w:hint="eastAsia" w:ascii="Times New Roman" w:hAnsi="Times New Roman" w:eastAsia="宋体" w:cs="Times New Roman"/>
              </w:rPr>
              <w:t>卫生院</w:t>
            </w:r>
            <w:r>
              <w:rPr>
                <w:rFonts w:ascii="Times New Roman" w:hAnsi="Times New Roman" w:eastAsia="宋体" w:cs="Times New Roman"/>
              </w:rPr>
              <w:t>安装隔声窗，隔声量20～25dB，共计</w:t>
            </w:r>
            <w:r>
              <w:rPr>
                <w:rFonts w:hint="eastAsia" w:ascii="Times New Roman" w:hAnsi="Times New Roman" w:eastAsia="宋体" w:cs="Times New Roman"/>
              </w:rPr>
              <w:t>60</w:t>
            </w:r>
            <w:r>
              <w:rPr>
                <w:rFonts w:ascii="Times New Roman" w:hAnsi="Times New Roman" w:eastAsia="宋体" w:cs="Times New Roman"/>
              </w:rPr>
              <w:t>万元。</w:t>
            </w:r>
          </w:p>
          <w:p w14:paraId="0E1A3328">
            <w:pPr>
              <w:widowControl/>
              <w:spacing w:line="260" w:lineRule="exact"/>
              <w:rPr>
                <w:rFonts w:ascii="Times New Roman" w:hAnsi="Times New Roman" w:eastAsia="宋体" w:cs="Times New Roman"/>
                <w:szCs w:val="21"/>
              </w:rPr>
            </w:pPr>
            <w:r>
              <w:rPr>
                <w:rFonts w:ascii="Times New Roman" w:hAnsi="Times New Roman" w:eastAsia="宋体" w:cs="Times New Roman"/>
                <w:szCs w:val="21"/>
              </w:rPr>
              <w:t>推荐：综合考虑推荐方案</w:t>
            </w:r>
            <w:r>
              <w:rPr>
                <w:rFonts w:hint="eastAsia" w:ascii="Times New Roman" w:hAnsi="Times New Roman" w:eastAsia="宋体" w:cs="Times New Roman"/>
                <w:szCs w:val="21"/>
              </w:rPr>
              <w:t>二</w:t>
            </w:r>
            <w:r>
              <w:rPr>
                <w:rFonts w:ascii="Times New Roman" w:hAnsi="Times New Roman" w:eastAsia="宋体" w:cs="Times New Roman"/>
                <w:szCs w:val="21"/>
              </w:rPr>
              <w:t>。</w:t>
            </w:r>
          </w:p>
        </w:tc>
        <w:tc>
          <w:tcPr>
            <w:tcW w:w="242" w:type="pct"/>
            <w:vMerge w:val="restart"/>
            <w:vAlign w:val="center"/>
          </w:tcPr>
          <w:p w14:paraId="30A76C1D">
            <w:pPr>
              <w:jc w:val="center"/>
              <w:rPr>
                <w:rFonts w:ascii="Times New Roman" w:hAnsi="Times New Roman" w:eastAsia="宋体" w:cs="Times New Roman"/>
                <w:szCs w:val="21"/>
              </w:rPr>
            </w:pPr>
            <w:r>
              <w:rPr>
                <w:rFonts w:ascii="Times New Roman" w:hAnsi="Times New Roman" w:eastAsia="宋体" w:cs="Times New Roman"/>
                <w:kern w:val="0"/>
              </w:rPr>
              <w:t>声屏障</w:t>
            </w:r>
            <w:r>
              <w:rPr>
                <w:rFonts w:hint="eastAsia" w:ascii="Times New Roman" w:hAnsi="Times New Roman" w:eastAsia="宋体" w:cs="Times New Roman"/>
                <w:kern w:val="0"/>
              </w:rPr>
              <w:t>+</w:t>
            </w:r>
            <w:r>
              <w:rPr>
                <w:rFonts w:ascii="Times New Roman" w:hAnsi="Times New Roman" w:eastAsia="宋体" w:cs="Times New Roman"/>
                <w:kern w:val="0"/>
              </w:rPr>
              <w:t>隔声窗</w:t>
            </w:r>
          </w:p>
        </w:tc>
        <w:tc>
          <w:tcPr>
            <w:tcW w:w="260" w:type="pct"/>
            <w:vMerge w:val="restart"/>
            <w:vAlign w:val="center"/>
          </w:tcPr>
          <w:p w14:paraId="45DE675B">
            <w:pPr>
              <w:jc w:val="center"/>
              <w:rPr>
                <w:rFonts w:ascii="Times New Roman" w:hAnsi="Times New Roman" w:eastAsia="宋体" w:cs="Times New Roman"/>
                <w:szCs w:val="21"/>
              </w:rPr>
            </w:pPr>
            <w:r>
              <w:rPr>
                <w:rFonts w:ascii="Times New Roman" w:hAnsi="Times New Roman" w:eastAsia="宋体" w:cs="Times New Roman"/>
                <w:kern w:val="0"/>
              </w:rPr>
              <w:t>室内达标</w:t>
            </w:r>
          </w:p>
        </w:tc>
        <w:tc>
          <w:tcPr>
            <w:tcW w:w="251" w:type="pct"/>
            <w:vMerge w:val="restart"/>
            <w:vAlign w:val="center"/>
          </w:tcPr>
          <w:p w14:paraId="1465F8E7">
            <w:pPr>
              <w:jc w:val="center"/>
              <w:rPr>
                <w:rFonts w:ascii="Times New Roman" w:hAnsi="Times New Roman" w:eastAsia="宋体" w:cs="Times New Roman"/>
                <w:szCs w:val="21"/>
              </w:rPr>
            </w:pPr>
            <w:r>
              <w:rPr>
                <w:rFonts w:hint="eastAsia" w:ascii="Times New Roman" w:hAnsi="Times New Roman" w:eastAsia="宋体" w:cs="Times New Roman"/>
                <w:szCs w:val="21"/>
              </w:rPr>
              <w:t>100</w:t>
            </w:r>
          </w:p>
        </w:tc>
      </w:tr>
      <w:tr w14:paraId="2B84B6B6">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trHeight w:val="253" w:hRule="atLeast"/>
          <w:tblHeader/>
          <w:jc w:val="center"/>
        </w:trPr>
        <w:tc>
          <w:tcPr>
            <w:tcW w:w="180" w:type="pct"/>
            <w:vMerge w:val="continue"/>
            <w:noWrap/>
            <w:vAlign w:val="center"/>
          </w:tcPr>
          <w:p w14:paraId="375B2575">
            <w:pPr>
              <w:jc w:val="center"/>
              <w:rPr>
                <w:rFonts w:ascii="Times New Roman" w:hAnsi="Times New Roman" w:eastAsia="宋体" w:cs="Times New Roman"/>
              </w:rPr>
            </w:pPr>
          </w:p>
        </w:tc>
        <w:tc>
          <w:tcPr>
            <w:tcW w:w="278" w:type="pct"/>
            <w:vMerge w:val="continue"/>
            <w:vAlign w:val="center"/>
          </w:tcPr>
          <w:p w14:paraId="32090183">
            <w:pPr>
              <w:jc w:val="center"/>
              <w:rPr>
                <w:rFonts w:ascii="Times New Roman" w:hAnsi="Times New Roman" w:cs="Times New Roman" w:eastAsiaTheme="minorEastAsia"/>
                <w:szCs w:val="21"/>
              </w:rPr>
            </w:pPr>
          </w:p>
        </w:tc>
        <w:tc>
          <w:tcPr>
            <w:tcW w:w="346" w:type="pct"/>
            <w:vMerge w:val="continue"/>
            <w:vAlign w:val="center"/>
          </w:tcPr>
          <w:p w14:paraId="31546FD8">
            <w:pPr>
              <w:jc w:val="center"/>
              <w:rPr>
                <w:rFonts w:ascii="Times New Roman" w:hAnsi="Times New Roman" w:cs="Times New Roman" w:eastAsiaTheme="minorEastAsia"/>
                <w:szCs w:val="21"/>
              </w:rPr>
            </w:pPr>
          </w:p>
        </w:tc>
        <w:tc>
          <w:tcPr>
            <w:tcW w:w="138" w:type="pct"/>
            <w:vMerge w:val="continue"/>
            <w:vAlign w:val="center"/>
          </w:tcPr>
          <w:p w14:paraId="6A3DAB0A">
            <w:pPr>
              <w:jc w:val="center"/>
              <w:rPr>
                <w:rFonts w:ascii="Times New Roman" w:hAnsi="Times New Roman" w:cs="Times New Roman" w:eastAsiaTheme="minorEastAsia"/>
                <w:szCs w:val="21"/>
              </w:rPr>
            </w:pPr>
          </w:p>
        </w:tc>
        <w:tc>
          <w:tcPr>
            <w:tcW w:w="209" w:type="pct"/>
            <w:vAlign w:val="center"/>
          </w:tcPr>
          <w:p w14:paraId="22AD293E">
            <w:pPr>
              <w:adjustRightInd w:val="0"/>
              <w:snapToGrid w:val="0"/>
              <w:spacing w:line="240" w:lineRule="exact"/>
              <w:jc w:val="center"/>
              <w:rPr>
                <w:rFonts w:ascii="Times New Roman" w:hAnsi="Times New Roman" w:eastAsia="宋体" w:cs="Times New Roman"/>
                <w:snapToGrid w:val="0"/>
                <w:kern w:val="0"/>
                <w:szCs w:val="21"/>
              </w:rPr>
            </w:pPr>
            <w:r>
              <w:rPr>
                <w:rFonts w:hint="eastAsia" w:ascii="Times New Roman" w:hAnsi="Times New Roman" w:eastAsia="宋体" w:cs="Times New Roman"/>
                <w:snapToGrid w:val="0"/>
                <w:kern w:val="0"/>
                <w:szCs w:val="21"/>
              </w:rPr>
              <w:t>95</w:t>
            </w:r>
          </w:p>
        </w:tc>
        <w:tc>
          <w:tcPr>
            <w:tcW w:w="243" w:type="pct"/>
            <w:vAlign w:val="center"/>
          </w:tcPr>
          <w:p w14:paraId="34FE963D">
            <w:pPr>
              <w:adjustRightInd w:val="0"/>
              <w:snapToGrid w:val="0"/>
              <w:spacing w:line="240" w:lineRule="exact"/>
              <w:jc w:val="center"/>
              <w:rPr>
                <w:rFonts w:ascii="Times New Roman" w:hAnsi="Times New Roman" w:eastAsia="宋体" w:cs="Times New Roman"/>
                <w:snapToGrid w:val="0"/>
                <w:kern w:val="0"/>
                <w:szCs w:val="21"/>
              </w:rPr>
            </w:pPr>
            <w:r>
              <w:rPr>
                <w:rFonts w:hint="eastAsia" w:ascii="Times New Roman" w:hAnsi="Times New Roman" w:eastAsia="宋体" w:cs="Times New Roman"/>
                <w:snapToGrid w:val="0"/>
                <w:kern w:val="0"/>
                <w:szCs w:val="21"/>
              </w:rPr>
              <w:t>-/-</w:t>
            </w:r>
          </w:p>
        </w:tc>
        <w:tc>
          <w:tcPr>
            <w:tcW w:w="243" w:type="pct"/>
            <w:vAlign w:val="center"/>
          </w:tcPr>
          <w:p w14:paraId="2A6571BF">
            <w:pPr>
              <w:adjustRightInd w:val="0"/>
              <w:snapToGrid w:val="0"/>
              <w:spacing w:line="240" w:lineRule="exact"/>
              <w:jc w:val="center"/>
              <w:rPr>
                <w:rFonts w:ascii="Times New Roman" w:hAnsi="Times New Roman" w:eastAsia="宋体" w:cs="Times New Roman"/>
                <w:snapToGrid w:val="0"/>
                <w:kern w:val="0"/>
                <w:szCs w:val="21"/>
              </w:rPr>
            </w:pPr>
            <w:r>
              <w:rPr>
                <w:rFonts w:hint="eastAsia" w:ascii="Times New Roman" w:hAnsi="Times New Roman" w:eastAsia="宋体" w:cs="Times New Roman"/>
                <w:snapToGrid w:val="0"/>
                <w:kern w:val="0"/>
                <w:szCs w:val="21"/>
              </w:rPr>
              <w:t>-/6.1</w:t>
            </w:r>
          </w:p>
        </w:tc>
        <w:tc>
          <w:tcPr>
            <w:tcW w:w="190" w:type="pct"/>
            <w:vMerge w:val="continue"/>
            <w:shd w:val="clear" w:color="auto" w:fill="auto"/>
            <w:vAlign w:val="center"/>
          </w:tcPr>
          <w:p w14:paraId="665A2C79">
            <w:pPr>
              <w:adjustRightInd w:val="0"/>
              <w:snapToGrid w:val="0"/>
              <w:spacing w:line="240" w:lineRule="exact"/>
              <w:jc w:val="center"/>
              <w:rPr>
                <w:rFonts w:ascii="Times New Roman" w:hAnsi="Times New Roman" w:eastAsia="宋体" w:cs="Times New Roman"/>
                <w:snapToGrid w:val="0"/>
                <w:kern w:val="0"/>
                <w:szCs w:val="21"/>
              </w:rPr>
            </w:pPr>
          </w:p>
        </w:tc>
        <w:tc>
          <w:tcPr>
            <w:tcW w:w="190" w:type="pct"/>
            <w:vMerge w:val="continue"/>
            <w:shd w:val="clear" w:color="auto" w:fill="auto"/>
            <w:vAlign w:val="center"/>
          </w:tcPr>
          <w:p w14:paraId="48735E78">
            <w:pPr>
              <w:widowControl/>
              <w:jc w:val="center"/>
              <w:rPr>
                <w:rFonts w:ascii="Times New Roman" w:hAnsi="Times New Roman" w:eastAsia="宋体" w:cs="Times New Roman"/>
                <w:spacing w:val="-20"/>
                <w:kern w:val="0"/>
                <w:szCs w:val="21"/>
              </w:rPr>
            </w:pPr>
          </w:p>
        </w:tc>
        <w:tc>
          <w:tcPr>
            <w:tcW w:w="2230" w:type="pct"/>
            <w:vMerge w:val="continue"/>
            <w:noWrap/>
            <w:vAlign w:val="center"/>
          </w:tcPr>
          <w:p w14:paraId="2E4CF724">
            <w:pPr>
              <w:rPr>
                <w:rFonts w:ascii="Times New Roman" w:hAnsi="Times New Roman" w:eastAsia="宋体" w:cs="Times New Roman"/>
                <w:szCs w:val="21"/>
              </w:rPr>
            </w:pPr>
          </w:p>
        </w:tc>
        <w:tc>
          <w:tcPr>
            <w:tcW w:w="242" w:type="pct"/>
            <w:vMerge w:val="continue"/>
            <w:vAlign w:val="center"/>
          </w:tcPr>
          <w:p w14:paraId="71E4AE20">
            <w:pPr>
              <w:jc w:val="center"/>
              <w:rPr>
                <w:rFonts w:ascii="Times New Roman" w:hAnsi="Times New Roman" w:eastAsia="宋体" w:cs="Times New Roman"/>
                <w:szCs w:val="21"/>
              </w:rPr>
            </w:pPr>
          </w:p>
        </w:tc>
        <w:tc>
          <w:tcPr>
            <w:tcW w:w="260" w:type="pct"/>
            <w:vMerge w:val="continue"/>
            <w:vAlign w:val="center"/>
          </w:tcPr>
          <w:p w14:paraId="3334BDCD">
            <w:pPr>
              <w:jc w:val="center"/>
              <w:rPr>
                <w:rFonts w:ascii="Times New Roman" w:hAnsi="Times New Roman" w:eastAsia="宋体" w:cs="Times New Roman"/>
                <w:szCs w:val="21"/>
              </w:rPr>
            </w:pPr>
          </w:p>
        </w:tc>
        <w:tc>
          <w:tcPr>
            <w:tcW w:w="251" w:type="pct"/>
            <w:vMerge w:val="continue"/>
            <w:vAlign w:val="center"/>
          </w:tcPr>
          <w:p w14:paraId="0BA48FDE">
            <w:pPr>
              <w:jc w:val="center"/>
              <w:rPr>
                <w:rFonts w:ascii="Times New Roman" w:hAnsi="Times New Roman" w:eastAsia="宋体" w:cs="Times New Roman"/>
                <w:szCs w:val="21"/>
              </w:rPr>
            </w:pPr>
          </w:p>
        </w:tc>
      </w:tr>
      <w:tr w14:paraId="156D950A">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trHeight w:val="1133" w:hRule="atLeast"/>
          <w:tblHeader/>
          <w:jc w:val="center"/>
        </w:trPr>
        <w:tc>
          <w:tcPr>
            <w:tcW w:w="180" w:type="pct"/>
            <w:noWrap/>
            <w:vAlign w:val="center"/>
          </w:tcPr>
          <w:p w14:paraId="79780FB8">
            <w:pPr>
              <w:jc w:val="center"/>
              <w:rPr>
                <w:rFonts w:ascii="Times New Roman" w:hAnsi="Times New Roman" w:eastAsia="宋体" w:cs="Times New Roman"/>
              </w:rPr>
            </w:pPr>
            <w:r>
              <w:rPr>
                <w:rFonts w:hint="eastAsia" w:ascii="Times New Roman" w:hAnsi="Times New Roman" w:eastAsia="宋体" w:cs="Times New Roman"/>
              </w:rPr>
              <w:t>3</w:t>
            </w:r>
          </w:p>
        </w:tc>
        <w:tc>
          <w:tcPr>
            <w:tcW w:w="278" w:type="pct"/>
            <w:vAlign w:val="center"/>
          </w:tcPr>
          <w:p w14:paraId="5C93B2F3">
            <w:pPr>
              <w:jc w:val="center"/>
              <w:rPr>
                <w:rFonts w:ascii="Times New Roman" w:hAnsi="Times New Roman" w:cs="Times New Roman" w:eastAsiaTheme="minorEastAsia"/>
                <w:szCs w:val="21"/>
              </w:rPr>
            </w:pPr>
            <w:r>
              <w:rPr>
                <w:rFonts w:ascii="Times New Roman" w:hAnsi="Times New Roman" w:cs="Times New Roman" w:eastAsiaTheme="minorEastAsia"/>
                <w:szCs w:val="21"/>
              </w:rPr>
              <w:t>K</w:t>
            </w:r>
            <w:r>
              <w:rPr>
                <w:rFonts w:hint="eastAsia" w:ascii="Times New Roman" w:hAnsi="Times New Roman" w:cs="Times New Roman" w:eastAsiaTheme="minorEastAsia"/>
                <w:szCs w:val="21"/>
              </w:rPr>
              <w:t>8</w:t>
            </w:r>
            <w:r>
              <w:rPr>
                <w:rFonts w:ascii="Times New Roman" w:hAnsi="Times New Roman" w:cs="Times New Roman" w:eastAsiaTheme="minorEastAsia"/>
                <w:szCs w:val="21"/>
              </w:rPr>
              <w:t>+</w:t>
            </w:r>
            <w:r>
              <w:rPr>
                <w:rFonts w:hint="eastAsia" w:ascii="Times New Roman" w:hAnsi="Times New Roman" w:cs="Times New Roman" w:eastAsiaTheme="minorEastAsia"/>
                <w:szCs w:val="21"/>
              </w:rPr>
              <w:t>38</w:t>
            </w:r>
            <w:r>
              <w:rPr>
                <w:rFonts w:ascii="Times New Roman" w:hAnsi="Times New Roman" w:cs="Times New Roman" w:eastAsiaTheme="minorEastAsia"/>
                <w:szCs w:val="21"/>
              </w:rPr>
              <w:t>0</w:t>
            </w:r>
          </w:p>
        </w:tc>
        <w:tc>
          <w:tcPr>
            <w:tcW w:w="346" w:type="pct"/>
            <w:vAlign w:val="center"/>
          </w:tcPr>
          <w:p w14:paraId="791F5BD9">
            <w:pPr>
              <w:jc w:val="center"/>
              <w:rPr>
                <w:rFonts w:ascii="Times New Roman" w:hAnsi="Times New Roman" w:cs="Times New Roman" w:eastAsiaTheme="minorEastAsia"/>
                <w:szCs w:val="21"/>
              </w:rPr>
            </w:pPr>
            <w:r>
              <w:rPr>
                <w:rFonts w:ascii="Times New Roman" w:hAnsi="Times New Roman" w:cs="Times New Roman" w:eastAsiaTheme="minorEastAsia"/>
                <w:szCs w:val="21"/>
              </w:rPr>
              <w:t>格达良乡中心小学</w:t>
            </w:r>
          </w:p>
        </w:tc>
        <w:tc>
          <w:tcPr>
            <w:tcW w:w="138" w:type="pct"/>
            <w:vAlign w:val="center"/>
          </w:tcPr>
          <w:p w14:paraId="37454D56">
            <w:pPr>
              <w:jc w:val="center"/>
              <w:rPr>
                <w:rFonts w:ascii="Times New Roman" w:hAnsi="Times New Roman" w:cs="Times New Roman" w:eastAsiaTheme="minorEastAsia"/>
                <w:szCs w:val="21"/>
              </w:rPr>
            </w:pPr>
            <w:r>
              <w:rPr>
                <w:rFonts w:ascii="Times New Roman" w:hAnsi="Times New Roman" w:cs="Times New Roman" w:eastAsiaTheme="minorEastAsia"/>
                <w:szCs w:val="21"/>
              </w:rPr>
              <w:t>路右</w:t>
            </w:r>
          </w:p>
        </w:tc>
        <w:tc>
          <w:tcPr>
            <w:tcW w:w="209" w:type="pct"/>
            <w:vAlign w:val="center"/>
          </w:tcPr>
          <w:p w14:paraId="4927CD45">
            <w:pPr>
              <w:adjustRightInd w:val="0"/>
              <w:snapToGrid w:val="0"/>
              <w:spacing w:line="240" w:lineRule="exact"/>
              <w:jc w:val="center"/>
              <w:rPr>
                <w:rFonts w:ascii="Times New Roman" w:hAnsi="Times New Roman" w:eastAsia="宋体" w:cs="Times New Roman"/>
                <w:snapToGrid w:val="0"/>
                <w:kern w:val="0"/>
                <w:szCs w:val="21"/>
              </w:rPr>
            </w:pPr>
            <w:r>
              <w:rPr>
                <w:rFonts w:hint="eastAsia" w:ascii="Times New Roman" w:hAnsi="Times New Roman" w:eastAsia="宋体" w:cs="Times New Roman"/>
                <w:snapToGrid w:val="0"/>
                <w:kern w:val="0"/>
                <w:szCs w:val="21"/>
              </w:rPr>
              <w:t>55</w:t>
            </w:r>
          </w:p>
        </w:tc>
        <w:tc>
          <w:tcPr>
            <w:tcW w:w="243" w:type="pct"/>
            <w:vAlign w:val="center"/>
          </w:tcPr>
          <w:p w14:paraId="11C9ECAE">
            <w:pPr>
              <w:adjustRightInd w:val="0"/>
              <w:snapToGrid w:val="0"/>
              <w:spacing w:line="240" w:lineRule="exact"/>
              <w:jc w:val="center"/>
              <w:rPr>
                <w:rFonts w:ascii="Times New Roman" w:hAnsi="Times New Roman" w:eastAsia="宋体" w:cs="Times New Roman"/>
                <w:snapToGrid w:val="0"/>
                <w:kern w:val="0"/>
                <w:szCs w:val="21"/>
              </w:rPr>
            </w:pPr>
            <w:r>
              <w:rPr>
                <w:rFonts w:hint="eastAsia" w:ascii="Times New Roman" w:hAnsi="Times New Roman" w:eastAsia="宋体" w:cs="Times New Roman"/>
                <w:snapToGrid w:val="0"/>
                <w:kern w:val="0"/>
                <w:szCs w:val="21"/>
              </w:rPr>
              <w:t>-/-</w:t>
            </w:r>
          </w:p>
        </w:tc>
        <w:tc>
          <w:tcPr>
            <w:tcW w:w="243" w:type="pct"/>
            <w:vAlign w:val="center"/>
          </w:tcPr>
          <w:p w14:paraId="6324BDF7">
            <w:pPr>
              <w:adjustRightInd w:val="0"/>
              <w:snapToGrid w:val="0"/>
              <w:spacing w:line="240" w:lineRule="exact"/>
              <w:jc w:val="center"/>
              <w:rPr>
                <w:rFonts w:ascii="Times New Roman" w:hAnsi="Times New Roman" w:eastAsia="宋体" w:cs="Times New Roman"/>
                <w:snapToGrid w:val="0"/>
                <w:kern w:val="0"/>
                <w:szCs w:val="21"/>
              </w:rPr>
            </w:pPr>
            <w:r>
              <w:rPr>
                <w:rFonts w:hint="eastAsia" w:ascii="Times New Roman" w:hAnsi="Times New Roman" w:eastAsia="宋体" w:cs="Times New Roman"/>
                <w:snapToGrid w:val="0"/>
                <w:kern w:val="0"/>
                <w:szCs w:val="21"/>
              </w:rPr>
              <w:t>4.4/-</w:t>
            </w:r>
          </w:p>
        </w:tc>
        <w:tc>
          <w:tcPr>
            <w:tcW w:w="190" w:type="pct"/>
            <w:shd w:val="clear" w:color="auto" w:fill="auto"/>
            <w:vAlign w:val="center"/>
          </w:tcPr>
          <w:p w14:paraId="00EAD299">
            <w:pPr>
              <w:adjustRightInd w:val="0"/>
              <w:snapToGrid w:val="0"/>
              <w:spacing w:line="240" w:lineRule="exact"/>
              <w:jc w:val="center"/>
              <w:rPr>
                <w:rFonts w:ascii="Times New Roman" w:hAnsi="Times New Roman" w:eastAsia="宋体" w:cs="Times New Roman"/>
                <w:snapToGrid w:val="0"/>
                <w:kern w:val="0"/>
                <w:szCs w:val="21"/>
              </w:rPr>
            </w:pPr>
            <w:r>
              <w:rPr>
                <w:rFonts w:hint="eastAsia" w:ascii="Times New Roman" w:hAnsi="Times New Roman" w:eastAsia="宋体" w:cs="Times New Roman"/>
                <w:snapToGrid w:val="0"/>
                <w:kern w:val="0"/>
                <w:szCs w:val="21"/>
              </w:rPr>
              <w:t>-</w:t>
            </w:r>
          </w:p>
        </w:tc>
        <w:tc>
          <w:tcPr>
            <w:tcW w:w="190" w:type="pct"/>
            <w:shd w:val="clear" w:color="auto" w:fill="auto"/>
            <w:vAlign w:val="center"/>
          </w:tcPr>
          <w:p w14:paraId="1B791D4E">
            <w:pPr>
              <w:widowControl/>
              <w:jc w:val="center"/>
              <w:rPr>
                <w:rFonts w:ascii="Times New Roman" w:hAnsi="Times New Roman" w:cs="Times New Roman" w:eastAsiaTheme="minorEastAsia"/>
                <w:spacing w:val="-20"/>
                <w:kern w:val="0"/>
                <w:szCs w:val="21"/>
              </w:rPr>
            </w:pPr>
            <w:r>
              <w:rPr>
                <w:rFonts w:hint="eastAsia" w:ascii="Times New Roman" w:hAnsi="Times New Roman" w:eastAsia="宋体" w:cs="Times New Roman"/>
                <w:spacing w:val="-20"/>
                <w:kern w:val="0"/>
                <w:szCs w:val="21"/>
              </w:rPr>
              <w:t>2</w:t>
            </w:r>
            <w:r>
              <w:rPr>
                <w:rFonts w:ascii="Times New Roman" w:hAnsi="Times New Roman" w:eastAsia="宋体" w:cs="Times New Roman"/>
                <w:spacing w:val="-20"/>
                <w:kern w:val="0"/>
                <w:szCs w:val="21"/>
              </w:rPr>
              <w:t>栋</w:t>
            </w:r>
            <w:r>
              <w:rPr>
                <w:rFonts w:hint="eastAsia" w:ascii="Times New Roman" w:hAnsi="Times New Roman" w:eastAsia="宋体" w:cs="Times New Roman"/>
                <w:spacing w:val="-20"/>
                <w:kern w:val="0"/>
                <w:szCs w:val="21"/>
              </w:rPr>
              <w:t>3</w:t>
            </w:r>
            <w:r>
              <w:rPr>
                <w:rFonts w:ascii="Times New Roman" w:hAnsi="Times New Roman" w:eastAsia="宋体" w:cs="Times New Roman"/>
                <w:spacing w:val="-20"/>
                <w:kern w:val="0"/>
                <w:szCs w:val="21"/>
              </w:rPr>
              <w:t>层楼</w:t>
            </w:r>
          </w:p>
        </w:tc>
        <w:tc>
          <w:tcPr>
            <w:tcW w:w="2230" w:type="pct"/>
            <w:noWrap/>
            <w:vAlign w:val="center"/>
          </w:tcPr>
          <w:p w14:paraId="0DC94464">
            <w:pPr>
              <w:rPr>
                <w:rFonts w:ascii="Times New Roman" w:hAnsi="Times New Roman" w:eastAsia="宋体" w:cs="Times New Roman"/>
                <w:szCs w:val="21"/>
              </w:rPr>
            </w:pPr>
            <w:r>
              <w:rPr>
                <w:rFonts w:ascii="Times New Roman" w:hAnsi="Times New Roman" w:eastAsia="宋体" w:cs="Times New Roman"/>
                <w:szCs w:val="21"/>
              </w:rPr>
              <w:t>方案一：</w:t>
            </w:r>
            <w:r>
              <w:rPr>
                <w:rFonts w:ascii="Times New Roman" w:hAnsi="Times New Roman" w:cs="Times New Roman" w:eastAsiaTheme="minorEastAsia"/>
              </w:rPr>
              <w:t>安装隔声窗，超标范围内</w:t>
            </w:r>
            <w:r>
              <w:rPr>
                <w:rFonts w:hint="eastAsia" w:ascii="Times New Roman" w:hAnsi="Times New Roman" w:cs="Times New Roman" w:eastAsiaTheme="minorEastAsia"/>
                <w:bCs/>
              </w:rPr>
              <w:t>2</w:t>
            </w:r>
            <w:r>
              <w:rPr>
                <w:rFonts w:ascii="Times New Roman" w:hAnsi="Times New Roman" w:cs="Times New Roman" w:eastAsiaTheme="minorEastAsia"/>
                <w:bCs/>
              </w:rPr>
              <w:t>栋</w:t>
            </w:r>
            <w:r>
              <w:rPr>
                <w:rFonts w:hint="eastAsia" w:ascii="Times New Roman" w:hAnsi="Times New Roman" w:cs="Times New Roman" w:eastAsiaTheme="minorEastAsia"/>
                <w:bCs/>
              </w:rPr>
              <w:t>3</w:t>
            </w:r>
            <w:r>
              <w:rPr>
                <w:rFonts w:ascii="Times New Roman" w:hAnsi="Times New Roman" w:cs="Times New Roman" w:eastAsiaTheme="minorEastAsia"/>
                <w:bCs/>
              </w:rPr>
              <w:t>层楼</w:t>
            </w:r>
            <w:r>
              <w:rPr>
                <w:rFonts w:ascii="Times New Roman" w:hAnsi="Times New Roman" w:cs="Times New Roman" w:eastAsiaTheme="minorEastAsia"/>
              </w:rPr>
              <w:t>，隔声量20～25dB，共计</w:t>
            </w:r>
            <w:r>
              <w:rPr>
                <w:rFonts w:hint="eastAsia" w:ascii="Times New Roman" w:hAnsi="Times New Roman" w:cs="Times New Roman" w:eastAsiaTheme="minorEastAsia"/>
              </w:rPr>
              <w:t>90</w:t>
            </w:r>
            <w:r>
              <w:rPr>
                <w:rFonts w:ascii="Times New Roman" w:hAnsi="Times New Roman" w:cs="Times New Roman" w:eastAsiaTheme="minorEastAsia"/>
              </w:rPr>
              <w:t>万元。</w:t>
            </w:r>
          </w:p>
          <w:p w14:paraId="46E0C862">
            <w:pPr>
              <w:adjustRightInd w:val="0"/>
              <w:snapToGrid w:val="0"/>
              <w:spacing w:line="240" w:lineRule="exact"/>
              <w:rPr>
                <w:rFonts w:ascii="Times New Roman" w:hAnsi="Times New Roman" w:eastAsia="宋体" w:cs="Times New Roman"/>
                <w:szCs w:val="21"/>
              </w:rPr>
            </w:pPr>
            <w:r>
              <w:rPr>
                <w:rFonts w:ascii="Times New Roman" w:hAnsi="Times New Roman" w:eastAsia="宋体" w:cs="Times New Roman"/>
                <w:szCs w:val="21"/>
              </w:rPr>
              <w:t>方案二：设置声屏障，拟建公路右侧</w:t>
            </w:r>
            <w:r>
              <w:rPr>
                <w:rFonts w:ascii="Times New Roman" w:hAnsi="Times New Roman" w:cs="Times New Roman" w:eastAsiaTheme="minorEastAsia"/>
                <w:szCs w:val="21"/>
              </w:rPr>
              <w:t>K</w:t>
            </w:r>
            <w:r>
              <w:rPr>
                <w:rFonts w:hint="eastAsia" w:ascii="Times New Roman" w:hAnsi="Times New Roman" w:cs="Times New Roman" w:eastAsiaTheme="minorEastAsia"/>
                <w:szCs w:val="21"/>
              </w:rPr>
              <w:t>8</w:t>
            </w:r>
            <w:r>
              <w:rPr>
                <w:rFonts w:ascii="Times New Roman" w:hAnsi="Times New Roman" w:cs="Times New Roman" w:eastAsiaTheme="minorEastAsia"/>
                <w:szCs w:val="21"/>
              </w:rPr>
              <w:t>+</w:t>
            </w:r>
            <w:r>
              <w:rPr>
                <w:rFonts w:hint="eastAsia" w:ascii="Times New Roman" w:hAnsi="Times New Roman" w:cs="Times New Roman" w:eastAsiaTheme="minorEastAsia"/>
                <w:szCs w:val="21"/>
              </w:rPr>
              <w:t>280</w:t>
            </w:r>
            <w:r>
              <w:rPr>
                <w:rFonts w:ascii="Times New Roman" w:cs="Times New Roman" w:hAnsiTheme="minorEastAsia" w:eastAsiaTheme="minorEastAsia"/>
                <w:szCs w:val="21"/>
              </w:rPr>
              <w:t>～</w:t>
            </w:r>
            <w:r>
              <w:rPr>
                <w:rFonts w:ascii="Times New Roman" w:hAnsi="Times New Roman" w:cs="Times New Roman" w:eastAsiaTheme="minorEastAsia"/>
                <w:szCs w:val="21"/>
              </w:rPr>
              <w:t>K</w:t>
            </w:r>
            <w:r>
              <w:rPr>
                <w:rFonts w:hint="eastAsia" w:ascii="Times New Roman" w:hAnsi="Times New Roman" w:cs="Times New Roman" w:eastAsiaTheme="minorEastAsia"/>
                <w:szCs w:val="21"/>
              </w:rPr>
              <w:t>8</w:t>
            </w:r>
            <w:r>
              <w:rPr>
                <w:rFonts w:ascii="Times New Roman" w:hAnsi="Times New Roman" w:cs="Times New Roman" w:eastAsiaTheme="minorEastAsia"/>
                <w:szCs w:val="21"/>
              </w:rPr>
              <w:t>+</w:t>
            </w:r>
            <w:r>
              <w:rPr>
                <w:rFonts w:hint="eastAsia" w:ascii="Times New Roman" w:hAnsi="Times New Roman" w:cs="Times New Roman" w:eastAsiaTheme="minorEastAsia"/>
                <w:szCs w:val="21"/>
              </w:rPr>
              <w:t>480</w:t>
            </w:r>
            <w:r>
              <w:rPr>
                <w:rFonts w:ascii="Times New Roman" w:hAnsi="Times New Roman" w:eastAsia="宋体" w:cs="Times New Roman"/>
                <w:szCs w:val="21"/>
              </w:rPr>
              <w:t>设置</w:t>
            </w:r>
            <w:r>
              <w:rPr>
                <w:rFonts w:hint="eastAsia" w:ascii="Times New Roman" w:hAnsi="Times New Roman" w:eastAsia="宋体" w:cs="Times New Roman"/>
                <w:szCs w:val="21"/>
              </w:rPr>
              <w:t>200</w:t>
            </w:r>
            <w:r>
              <w:rPr>
                <w:rFonts w:ascii="Times New Roman" w:hAnsi="Times New Roman" w:eastAsia="宋体" w:cs="Times New Roman"/>
                <w:szCs w:val="21"/>
              </w:rPr>
              <w:t>m（长）×</w:t>
            </w:r>
            <w:r>
              <w:rPr>
                <w:rFonts w:hint="eastAsia" w:ascii="Times New Roman" w:hAnsi="Times New Roman" w:eastAsia="宋体" w:cs="Times New Roman"/>
                <w:szCs w:val="21"/>
              </w:rPr>
              <w:t>3.0</w:t>
            </w:r>
            <w:r>
              <w:rPr>
                <w:rFonts w:ascii="Times New Roman" w:hAnsi="Times New Roman" w:eastAsia="宋体" w:cs="Times New Roman"/>
                <w:szCs w:val="21"/>
              </w:rPr>
              <w:t>m（高）声屏障，</w:t>
            </w:r>
            <w:r>
              <w:rPr>
                <w:rFonts w:hint="eastAsia" w:ascii="Times New Roman" w:hAnsi="Times New Roman" w:eastAsia="宋体" w:cs="Times New Roman"/>
                <w:szCs w:val="21"/>
              </w:rPr>
              <w:t>2</w:t>
            </w:r>
            <w:r>
              <w:rPr>
                <w:rFonts w:ascii="Times New Roman" w:hAnsi="Times New Roman" w:eastAsia="宋体" w:cs="Times New Roman"/>
                <w:szCs w:val="21"/>
              </w:rPr>
              <w:t>000元/m，共投资</w:t>
            </w:r>
            <w:r>
              <w:rPr>
                <w:rFonts w:hint="eastAsia" w:ascii="Times New Roman" w:hAnsi="Times New Roman" w:eastAsia="宋体" w:cs="Times New Roman"/>
                <w:szCs w:val="21"/>
              </w:rPr>
              <w:t>40</w:t>
            </w:r>
            <w:r>
              <w:rPr>
                <w:rFonts w:ascii="Times New Roman" w:hAnsi="Times New Roman" w:eastAsia="宋体" w:cs="Times New Roman"/>
                <w:szCs w:val="21"/>
              </w:rPr>
              <w:t>万元</w:t>
            </w:r>
            <w:r>
              <w:rPr>
                <w:rFonts w:hint="eastAsia" w:ascii="Times New Roman" w:hAnsi="Times New Roman" w:eastAsia="宋体" w:cs="Times New Roman"/>
              </w:rPr>
              <w:t>。学校</w:t>
            </w:r>
            <w:r>
              <w:rPr>
                <w:rFonts w:hint="eastAsia" w:ascii="Times New Roman" w:hAnsi="Times New Roman" w:eastAsia="宋体" w:cs="Times New Roman"/>
                <w:lang w:eastAsia="zh-CN"/>
              </w:rPr>
              <w:t>位于</w:t>
            </w:r>
            <w:r>
              <w:rPr>
                <w:rFonts w:hint="eastAsia" w:ascii="Times New Roman" w:hAnsi="Times New Roman" w:cs="Times New Roman" w:eastAsiaTheme="minorEastAsia"/>
                <w:szCs w:val="21"/>
              </w:rPr>
              <w:t>格达良乡镇路</w:t>
            </w:r>
            <w:r>
              <w:rPr>
                <w:rFonts w:hint="eastAsia" w:ascii="Times New Roman" w:hAnsi="Times New Roman" w:eastAsia="宋体" w:cs="Times New Roman"/>
                <w:szCs w:val="21"/>
              </w:rPr>
              <w:t>段，设置声屏障对学校造成阻隔影响，实施难度较大</w:t>
            </w:r>
            <w:r>
              <w:rPr>
                <w:rFonts w:ascii="Times New Roman" w:hAnsi="Times New Roman" w:eastAsia="宋体" w:cs="Times New Roman"/>
                <w:szCs w:val="21"/>
              </w:rPr>
              <w:t>。</w:t>
            </w:r>
          </w:p>
          <w:p w14:paraId="140186E5">
            <w:pPr>
              <w:widowControl/>
              <w:jc w:val="left"/>
              <w:rPr>
                <w:rFonts w:ascii="Times New Roman" w:hAnsi="Times New Roman" w:eastAsia="宋体" w:cs="Times New Roman"/>
                <w:szCs w:val="21"/>
              </w:rPr>
            </w:pPr>
            <w:r>
              <w:rPr>
                <w:rFonts w:ascii="Times New Roman" w:hAnsi="Times New Roman" w:eastAsia="宋体" w:cs="Times New Roman"/>
                <w:szCs w:val="21"/>
              </w:rPr>
              <w:t>推荐：综合考虑推荐方案</w:t>
            </w:r>
            <w:r>
              <w:rPr>
                <w:rFonts w:hint="eastAsia" w:ascii="Times New Roman" w:hAnsi="Times New Roman" w:eastAsia="宋体" w:cs="Times New Roman"/>
                <w:szCs w:val="21"/>
              </w:rPr>
              <w:t>一</w:t>
            </w:r>
            <w:r>
              <w:rPr>
                <w:rFonts w:ascii="Times New Roman" w:hAnsi="Times New Roman" w:eastAsia="宋体" w:cs="Times New Roman"/>
                <w:szCs w:val="21"/>
              </w:rPr>
              <w:t>。</w:t>
            </w:r>
          </w:p>
        </w:tc>
        <w:tc>
          <w:tcPr>
            <w:tcW w:w="242" w:type="pct"/>
            <w:vAlign w:val="center"/>
          </w:tcPr>
          <w:p w14:paraId="2289FEBF">
            <w:pPr>
              <w:widowControl/>
              <w:jc w:val="center"/>
              <w:rPr>
                <w:rFonts w:ascii="Times New Roman" w:hAnsi="Times New Roman" w:eastAsia="宋体" w:cs="Times New Roman"/>
                <w:kern w:val="0"/>
              </w:rPr>
            </w:pPr>
            <w:r>
              <w:rPr>
                <w:rFonts w:ascii="Times New Roman" w:hAnsi="Times New Roman" w:eastAsia="宋体" w:cs="Times New Roman"/>
                <w:kern w:val="0"/>
              </w:rPr>
              <w:t>隔声窗</w:t>
            </w:r>
          </w:p>
        </w:tc>
        <w:tc>
          <w:tcPr>
            <w:tcW w:w="260" w:type="pct"/>
            <w:vAlign w:val="center"/>
          </w:tcPr>
          <w:p w14:paraId="5C1FCA58">
            <w:pPr>
              <w:widowControl/>
              <w:jc w:val="center"/>
              <w:rPr>
                <w:rFonts w:ascii="Times New Roman" w:hAnsi="Times New Roman" w:eastAsia="宋体" w:cs="Times New Roman"/>
                <w:kern w:val="0"/>
              </w:rPr>
            </w:pPr>
            <w:r>
              <w:rPr>
                <w:rFonts w:ascii="Times New Roman" w:hAnsi="Times New Roman" w:eastAsia="宋体" w:cs="Times New Roman"/>
                <w:kern w:val="0"/>
              </w:rPr>
              <w:t>室内达标</w:t>
            </w:r>
          </w:p>
        </w:tc>
        <w:tc>
          <w:tcPr>
            <w:tcW w:w="251" w:type="pct"/>
            <w:vAlign w:val="center"/>
          </w:tcPr>
          <w:p w14:paraId="29E3D0DC">
            <w:pPr>
              <w:jc w:val="center"/>
              <w:rPr>
                <w:rFonts w:ascii="Times New Roman" w:hAnsi="Times New Roman" w:eastAsia="宋体" w:cs="Times New Roman"/>
                <w:szCs w:val="21"/>
              </w:rPr>
            </w:pPr>
            <w:r>
              <w:rPr>
                <w:rFonts w:hint="eastAsia" w:ascii="Times New Roman" w:hAnsi="Times New Roman" w:eastAsia="宋体" w:cs="Times New Roman"/>
                <w:szCs w:val="21"/>
              </w:rPr>
              <w:t>90</w:t>
            </w:r>
          </w:p>
        </w:tc>
      </w:tr>
      <w:tr w14:paraId="4A741BD0">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trHeight w:val="560" w:hRule="atLeast"/>
          <w:tblHeader/>
          <w:jc w:val="center"/>
        </w:trPr>
        <w:tc>
          <w:tcPr>
            <w:tcW w:w="180" w:type="pct"/>
            <w:vMerge w:val="restart"/>
            <w:noWrap/>
            <w:vAlign w:val="center"/>
          </w:tcPr>
          <w:p w14:paraId="36225D5F">
            <w:pPr>
              <w:jc w:val="center"/>
              <w:rPr>
                <w:rFonts w:ascii="Times New Roman" w:hAnsi="Times New Roman" w:eastAsia="宋体" w:cs="Times New Roman"/>
              </w:rPr>
            </w:pPr>
            <w:r>
              <w:rPr>
                <w:rFonts w:hint="eastAsia" w:ascii="Times New Roman" w:hAnsi="Times New Roman" w:eastAsia="宋体" w:cs="Times New Roman"/>
              </w:rPr>
              <w:t>4</w:t>
            </w:r>
          </w:p>
        </w:tc>
        <w:tc>
          <w:tcPr>
            <w:tcW w:w="278" w:type="pct"/>
            <w:vAlign w:val="center"/>
          </w:tcPr>
          <w:p w14:paraId="4E6D6C1A">
            <w:pPr>
              <w:jc w:val="center"/>
              <w:rPr>
                <w:rFonts w:ascii="Times New Roman" w:hAnsi="Times New Roman" w:cs="Times New Roman" w:eastAsiaTheme="minorEastAsia"/>
                <w:szCs w:val="21"/>
              </w:rPr>
            </w:pPr>
            <w:r>
              <w:rPr>
                <w:rFonts w:ascii="Times New Roman" w:hAnsi="Times New Roman" w:cs="Times New Roman" w:eastAsiaTheme="minorEastAsia"/>
                <w:szCs w:val="21"/>
              </w:rPr>
              <w:t>K</w:t>
            </w:r>
            <w:r>
              <w:rPr>
                <w:rFonts w:hint="eastAsia" w:ascii="Times New Roman" w:hAnsi="Times New Roman" w:cs="Times New Roman" w:eastAsiaTheme="minorEastAsia"/>
                <w:szCs w:val="21"/>
              </w:rPr>
              <w:t>9</w:t>
            </w:r>
            <w:r>
              <w:rPr>
                <w:rFonts w:ascii="Times New Roman" w:hAnsi="Times New Roman" w:cs="Times New Roman" w:eastAsiaTheme="minorEastAsia"/>
                <w:szCs w:val="21"/>
              </w:rPr>
              <w:t>+</w:t>
            </w:r>
            <w:r>
              <w:rPr>
                <w:rFonts w:hint="eastAsia" w:ascii="Times New Roman" w:hAnsi="Times New Roman" w:cs="Times New Roman" w:eastAsiaTheme="minorEastAsia"/>
                <w:szCs w:val="21"/>
              </w:rPr>
              <w:t>20</w:t>
            </w:r>
            <w:r>
              <w:rPr>
                <w:rFonts w:ascii="Times New Roman" w:hAnsi="Times New Roman" w:cs="Times New Roman" w:eastAsiaTheme="minorEastAsia"/>
                <w:szCs w:val="21"/>
              </w:rPr>
              <w:t>0～K</w:t>
            </w:r>
            <w:r>
              <w:rPr>
                <w:rFonts w:hint="eastAsia" w:ascii="Times New Roman" w:hAnsi="Times New Roman" w:cs="Times New Roman" w:eastAsiaTheme="minorEastAsia"/>
                <w:szCs w:val="21"/>
              </w:rPr>
              <w:t>9</w:t>
            </w:r>
            <w:r>
              <w:rPr>
                <w:rFonts w:ascii="Times New Roman" w:hAnsi="Times New Roman" w:cs="Times New Roman" w:eastAsiaTheme="minorEastAsia"/>
                <w:szCs w:val="21"/>
              </w:rPr>
              <w:t>+</w:t>
            </w:r>
            <w:r>
              <w:rPr>
                <w:rFonts w:hint="eastAsia" w:ascii="Times New Roman" w:hAnsi="Times New Roman" w:cs="Times New Roman" w:eastAsiaTheme="minorEastAsia"/>
                <w:szCs w:val="21"/>
              </w:rPr>
              <w:t>70</w:t>
            </w:r>
            <w:r>
              <w:rPr>
                <w:rFonts w:ascii="Times New Roman" w:hAnsi="Times New Roman" w:cs="Times New Roman" w:eastAsiaTheme="minorEastAsia"/>
                <w:szCs w:val="21"/>
              </w:rPr>
              <w:t>0</w:t>
            </w:r>
          </w:p>
        </w:tc>
        <w:tc>
          <w:tcPr>
            <w:tcW w:w="346" w:type="pct"/>
            <w:vMerge w:val="restart"/>
            <w:vAlign w:val="center"/>
          </w:tcPr>
          <w:p w14:paraId="25E5DEF9">
            <w:pPr>
              <w:jc w:val="center"/>
              <w:rPr>
                <w:rFonts w:ascii="Times New Roman" w:hAnsi="Times New Roman" w:cs="Times New Roman" w:eastAsiaTheme="minorEastAsia"/>
                <w:szCs w:val="21"/>
              </w:rPr>
            </w:pPr>
            <w:r>
              <w:rPr>
                <w:rFonts w:hint="eastAsia" w:ascii="Times New Roman" w:hAnsi="Times New Roman" w:cs="Times New Roman" w:eastAsiaTheme="minorEastAsia"/>
                <w:szCs w:val="21"/>
              </w:rPr>
              <w:t>艾拉木艾日克</w:t>
            </w:r>
          </w:p>
        </w:tc>
        <w:tc>
          <w:tcPr>
            <w:tcW w:w="138" w:type="pct"/>
            <w:vMerge w:val="restart"/>
            <w:vAlign w:val="center"/>
          </w:tcPr>
          <w:p w14:paraId="19D41BA3">
            <w:pPr>
              <w:jc w:val="center"/>
              <w:rPr>
                <w:rFonts w:ascii="Times New Roman" w:hAnsi="Times New Roman" w:cs="Times New Roman" w:eastAsiaTheme="minorEastAsia"/>
                <w:szCs w:val="21"/>
              </w:rPr>
            </w:pPr>
            <w:r>
              <w:rPr>
                <w:rFonts w:ascii="Times New Roman" w:hAnsi="Times New Roman" w:cs="Times New Roman" w:eastAsiaTheme="minorEastAsia"/>
                <w:szCs w:val="21"/>
              </w:rPr>
              <w:t>路左</w:t>
            </w:r>
          </w:p>
        </w:tc>
        <w:tc>
          <w:tcPr>
            <w:tcW w:w="209" w:type="pct"/>
            <w:vMerge w:val="restart"/>
            <w:vAlign w:val="center"/>
          </w:tcPr>
          <w:p w14:paraId="066F27F9">
            <w:pPr>
              <w:adjustRightInd w:val="0"/>
              <w:snapToGrid w:val="0"/>
              <w:spacing w:line="240" w:lineRule="exact"/>
              <w:jc w:val="center"/>
              <w:rPr>
                <w:rFonts w:ascii="Times New Roman" w:hAnsi="Times New Roman" w:eastAsia="宋体" w:cs="Times New Roman"/>
                <w:snapToGrid w:val="0"/>
                <w:kern w:val="0"/>
                <w:szCs w:val="21"/>
              </w:rPr>
            </w:pPr>
            <w:r>
              <w:rPr>
                <w:rFonts w:hint="eastAsia" w:ascii="Times New Roman" w:hAnsi="Times New Roman" w:eastAsia="宋体" w:cs="Times New Roman"/>
                <w:snapToGrid w:val="0"/>
                <w:kern w:val="0"/>
                <w:szCs w:val="21"/>
              </w:rPr>
              <w:t>35</w:t>
            </w:r>
          </w:p>
        </w:tc>
        <w:tc>
          <w:tcPr>
            <w:tcW w:w="243" w:type="pct"/>
            <w:vMerge w:val="restart"/>
            <w:vAlign w:val="center"/>
          </w:tcPr>
          <w:p w14:paraId="28553933">
            <w:pPr>
              <w:adjustRightInd w:val="0"/>
              <w:snapToGrid w:val="0"/>
              <w:spacing w:line="240" w:lineRule="exact"/>
              <w:jc w:val="center"/>
              <w:rPr>
                <w:rFonts w:ascii="Times New Roman" w:hAnsi="Times New Roman" w:eastAsia="宋体" w:cs="Times New Roman"/>
                <w:snapToGrid w:val="0"/>
                <w:kern w:val="0"/>
                <w:szCs w:val="21"/>
              </w:rPr>
            </w:pPr>
            <w:r>
              <w:rPr>
                <w:rFonts w:hint="eastAsia" w:ascii="Times New Roman" w:hAnsi="Times New Roman" w:eastAsia="宋体" w:cs="Times New Roman"/>
                <w:snapToGrid w:val="0"/>
                <w:kern w:val="0"/>
                <w:szCs w:val="21"/>
              </w:rPr>
              <w:t>-/1.8</w:t>
            </w:r>
          </w:p>
        </w:tc>
        <w:tc>
          <w:tcPr>
            <w:tcW w:w="243" w:type="pct"/>
            <w:vMerge w:val="restart"/>
            <w:vAlign w:val="center"/>
          </w:tcPr>
          <w:p w14:paraId="690C26D5">
            <w:pPr>
              <w:adjustRightInd w:val="0"/>
              <w:snapToGrid w:val="0"/>
              <w:spacing w:line="240" w:lineRule="exact"/>
              <w:jc w:val="center"/>
              <w:rPr>
                <w:rFonts w:ascii="Times New Roman" w:hAnsi="Times New Roman" w:eastAsia="宋体" w:cs="Times New Roman"/>
                <w:snapToGrid w:val="0"/>
                <w:kern w:val="0"/>
                <w:szCs w:val="21"/>
              </w:rPr>
            </w:pPr>
            <w:r>
              <w:rPr>
                <w:rFonts w:hint="eastAsia" w:ascii="Times New Roman" w:hAnsi="Times New Roman" w:eastAsia="宋体" w:cs="Times New Roman"/>
                <w:snapToGrid w:val="0"/>
                <w:kern w:val="0"/>
                <w:szCs w:val="21"/>
              </w:rPr>
              <w:t>-/4.0</w:t>
            </w:r>
          </w:p>
        </w:tc>
        <w:tc>
          <w:tcPr>
            <w:tcW w:w="190" w:type="pct"/>
            <w:vMerge w:val="restart"/>
            <w:shd w:val="clear" w:color="auto" w:fill="auto"/>
            <w:vAlign w:val="center"/>
          </w:tcPr>
          <w:p w14:paraId="353BFC3A">
            <w:pPr>
              <w:adjustRightInd w:val="0"/>
              <w:snapToGrid w:val="0"/>
              <w:spacing w:line="240" w:lineRule="exact"/>
              <w:jc w:val="center"/>
              <w:rPr>
                <w:rFonts w:ascii="Times New Roman" w:hAnsi="Times New Roman" w:eastAsia="宋体" w:cs="Times New Roman"/>
                <w:snapToGrid w:val="0"/>
                <w:kern w:val="0"/>
                <w:szCs w:val="21"/>
              </w:rPr>
            </w:pPr>
            <w:r>
              <w:rPr>
                <w:rFonts w:hint="eastAsia" w:ascii="Times New Roman" w:hAnsi="Times New Roman" w:eastAsia="宋体" w:cs="Times New Roman"/>
                <w:snapToGrid w:val="0"/>
                <w:kern w:val="0"/>
                <w:szCs w:val="21"/>
              </w:rPr>
              <w:t>25</w:t>
            </w:r>
          </w:p>
        </w:tc>
        <w:tc>
          <w:tcPr>
            <w:tcW w:w="190" w:type="pct"/>
            <w:vMerge w:val="restart"/>
            <w:shd w:val="clear" w:color="auto" w:fill="auto"/>
            <w:vAlign w:val="center"/>
          </w:tcPr>
          <w:p w14:paraId="4C1AFBDA">
            <w:pPr>
              <w:adjustRightInd w:val="0"/>
              <w:snapToGrid w:val="0"/>
              <w:spacing w:line="240" w:lineRule="exact"/>
              <w:jc w:val="center"/>
              <w:rPr>
                <w:rFonts w:ascii="Times New Roman" w:hAnsi="Times New Roman" w:eastAsia="宋体" w:cs="Times New Roman"/>
                <w:snapToGrid w:val="0"/>
                <w:kern w:val="0"/>
                <w:szCs w:val="21"/>
              </w:rPr>
            </w:pPr>
            <w:r>
              <w:rPr>
                <w:rFonts w:hint="eastAsia" w:ascii="Times New Roman" w:hAnsi="Times New Roman" w:eastAsia="宋体" w:cs="Times New Roman"/>
                <w:snapToGrid w:val="0"/>
                <w:kern w:val="0"/>
                <w:szCs w:val="21"/>
              </w:rPr>
              <w:t>5</w:t>
            </w:r>
          </w:p>
        </w:tc>
        <w:tc>
          <w:tcPr>
            <w:tcW w:w="2230" w:type="pct"/>
            <w:vMerge w:val="restart"/>
            <w:noWrap/>
            <w:vAlign w:val="center"/>
          </w:tcPr>
          <w:p w14:paraId="6135FD1D">
            <w:pPr>
              <w:rPr>
                <w:rFonts w:ascii="Times New Roman" w:hAnsi="Times New Roman" w:eastAsia="宋体" w:cs="Times New Roman"/>
                <w:szCs w:val="21"/>
              </w:rPr>
            </w:pPr>
            <w:r>
              <w:rPr>
                <w:rFonts w:ascii="Times New Roman" w:hAnsi="Times New Roman" w:eastAsia="宋体" w:cs="Times New Roman"/>
                <w:szCs w:val="21"/>
              </w:rPr>
              <w:t>方案一：安装隔声窗，按每户1万元计，共</w:t>
            </w:r>
            <w:r>
              <w:rPr>
                <w:rFonts w:hint="eastAsia" w:ascii="Times New Roman" w:hAnsi="Times New Roman" w:eastAsia="宋体" w:cs="Times New Roman"/>
                <w:szCs w:val="21"/>
              </w:rPr>
              <w:t>45</w:t>
            </w:r>
            <w:r>
              <w:rPr>
                <w:rFonts w:ascii="Times New Roman" w:hAnsi="Times New Roman" w:eastAsia="宋体" w:cs="Times New Roman"/>
                <w:szCs w:val="21"/>
              </w:rPr>
              <w:t>户，投资</w:t>
            </w:r>
            <w:r>
              <w:rPr>
                <w:rFonts w:hint="eastAsia" w:ascii="Times New Roman" w:hAnsi="Times New Roman" w:eastAsia="宋体" w:cs="Times New Roman"/>
                <w:szCs w:val="21"/>
              </w:rPr>
              <w:t>45</w:t>
            </w:r>
            <w:r>
              <w:rPr>
                <w:rFonts w:ascii="Times New Roman" w:hAnsi="Times New Roman" w:eastAsia="宋体" w:cs="Times New Roman"/>
                <w:szCs w:val="21"/>
              </w:rPr>
              <w:t>万元，隔声量25dB。</w:t>
            </w:r>
          </w:p>
          <w:p w14:paraId="069879C1">
            <w:pPr>
              <w:adjustRightInd w:val="0"/>
              <w:snapToGrid w:val="0"/>
              <w:spacing w:line="240" w:lineRule="exact"/>
              <w:rPr>
                <w:rFonts w:ascii="Times New Roman" w:hAnsi="Times New Roman" w:eastAsia="宋体" w:cs="Times New Roman"/>
                <w:szCs w:val="21"/>
              </w:rPr>
            </w:pPr>
            <w:r>
              <w:rPr>
                <w:rFonts w:ascii="Times New Roman" w:hAnsi="Times New Roman" w:eastAsia="宋体" w:cs="Times New Roman"/>
                <w:szCs w:val="21"/>
              </w:rPr>
              <w:t>方案二：设置声屏障，拟建公路</w:t>
            </w:r>
            <w:r>
              <w:rPr>
                <w:rFonts w:hint="eastAsia" w:ascii="Times New Roman" w:hAnsi="Times New Roman" w:eastAsia="宋体" w:cs="Times New Roman"/>
                <w:szCs w:val="21"/>
              </w:rPr>
              <w:t>左</w:t>
            </w:r>
            <w:r>
              <w:rPr>
                <w:rFonts w:ascii="Times New Roman" w:hAnsi="Times New Roman" w:eastAsia="宋体" w:cs="Times New Roman"/>
                <w:szCs w:val="21"/>
              </w:rPr>
              <w:t>侧</w:t>
            </w:r>
            <w:r>
              <w:rPr>
                <w:rFonts w:ascii="Times New Roman" w:hAnsi="Times New Roman" w:cs="Times New Roman" w:eastAsiaTheme="minorEastAsia"/>
                <w:szCs w:val="21"/>
              </w:rPr>
              <w:t>K</w:t>
            </w:r>
            <w:r>
              <w:rPr>
                <w:rFonts w:hint="eastAsia" w:ascii="Times New Roman" w:hAnsi="Times New Roman" w:cs="Times New Roman" w:eastAsiaTheme="minorEastAsia"/>
                <w:szCs w:val="21"/>
              </w:rPr>
              <w:t>9</w:t>
            </w:r>
            <w:r>
              <w:rPr>
                <w:rFonts w:ascii="Times New Roman" w:hAnsi="Times New Roman" w:cs="Times New Roman" w:eastAsiaTheme="minorEastAsia"/>
                <w:szCs w:val="21"/>
              </w:rPr>
              <w:t>+</w:t>
            </w:r>
            <w:r>
              <w:rPr>
                <w:rFonts w:hint="eastAsia" w:ascii="Times New Roman" w:hAnsi="Times New Roman" w:cs="Times New Roman" w:eastAsiaTheme="minorEastAsia"/>
                <w:szCs w:val="21"/>
              </w:rPr>
              <w:t>15</w:t>
            </w:r>
            <w:r>
              <w:rPr>
                <w:rFonts w:ascii="Times New Roman" w:hAnsi="Times New Roman" w:cs="Times New Roman" w:eastAsiaTheme="minorEastAsia"/>
                <w:szCs w:val="21"/>
              </w:rPr>
              <w:t>0～K</w:t>
            </w:r>
            <w:r>
              <w:rPr>
                <w:rFonts w:hint="eastAsia" w:ascii="Times New Roman" w:hAnsi="Times New Roman" w:cs="Times New Roman" w:eastAsiaTheme="minorEastAsia"/>
                <w:szCs w:val="21"/>
              </w:rPr>
              <w:t>9</w:t>
            </w:r>
            <w:r>
              <w:rPr>
                <w:rFonts w:ascii="Times New Roman" w:hAnsi="Times New Roman" w:cs="Times New Roman" w:eastAsiaTheme="minorEastAsia"/>
                <w:szCs w:val="21"/>
              </w:rPr>
              <w:t>+</w:t>
            </w:r>
            <w:r>
              <w:rPr>
                <w:rFonts w:hint="eastAsia" w:ascii="Times New Roman" w:hAnsi="Times New Roman" w:cs="Times New Roman" w:eastAsiaTheme="minorEastAsia"/>
                <w:szCs w:val="21"/>
              </w:rPr>
              <w:t>75</w:t>
            </w:r>
            <w:r>
              <w:rPr>
                <w:rFonts w:ascii="Times New Roman" w:hAnsi="Times New Roman" w:cs="Times New Roman" w:eastAsiaTheme="minorEastAsia"/>
                <w:szCs w:val="21"/>
              </w:rPr>
              <w:t>0</w:t>
            </w:r>
            <w:r>
              <w:rPr>
                <w:rFonts w:ascii="Times New Roman" w:hAnsi="Times New Roman" w:eastAsia="宋体" w:cs="Times New Roman"/>
                <w:szCs w:val="21"/>
              </w:rPr>
              <w:t>和</w:t>
            </w:r>
            <w:r>
              <w:rPr>
                <w:rFonts w:ascii="Times New Roman" w:hAnsi="Times New Roman" w:cs="Times New Roman" w:eastAsiaTheme="minorEastAsia"/>
                <w:szCs w:val="21"/>
              </w:rPr>
              <w:t>K</w:t>
            </w:r>
            <w:r>
              <w:rPr>
                <w:rFonts w:hint="eastAsia" w:ascii="Times New Roman" w:hAnsi="Times New Roman" w:cs="Times New Roman" w:eastAsiaTheme="minorEastAsia"/>
                <w:szCs w:val="21"/>
              </w:rPr>
              <w:t>10</w:t>
            </w:r>
            <w:r>
              <w:rPr>
                <w:rFonts w:ascii="Times New Roman" w:hAnsi="Times New Roman" w:cs="Times New Roman" w:eastAsiaTheme="minorEastAsia"/>
                <w:szCs w:val="21"/>
              </w:rPr>
              <w:t>+</w:t>
            </w:r>
            <w:r>
              <w:rPr>
                <w:rFonts w:hint="eastAsia" w:ascii="Times New Roman" w:hAnsi="Times New Roman" w:cs="Times New Roman" w:eastAsiaTheme="minorEastAsia"/>
                <w:szCs w:val="21"/>
              </w:rPr>
              <w:t>25</w:t>
            </w:r>
            <w:r>
              <w:rPr>
                <w:rFonts w:ascii="Times New Roman" w:hAnsi="Times New Roman" w:cs="Times New Roman" w:eastAsiaTheme="minorEastAsia"/>
                <w:szCs w:val="21"/>
              </w:rPr>
              <w:t>0～K</w:t>
            </w:r>
            <w:r>
              <w:rPr>
                <w:rFonts w:hint="eastAsia" w:ascii="Times New Roman" w:hAnsi="Times New Roman" w:cs="Times New Roman" w:eastAsiaTheme="minorEastAsia"/>
                <w:szCs w:val="21"/>
              </w:rPr>
              <w:t>10</w:t>
            </w:r>
            <w:r>
              <w:rPr>
                <w:rFonts w:ascii="Times New Roman" w:hAnsi="Times New Roman" w:cs="Times New Roman" w:eastAsiaTheme="minorEastAsia"/>
                <w:szCs w:val="21"/>
              </w:rPr>
              <w:t>+</w:t>
            </w:r>
            <w:r>
              <w:rPr>
                <w:rFonts w:hint="eastAsia" w:ascii="Times New Roman" w:hAnsi="Times New Roman" w:cs="Times New Roman" w:eastAsiaTheme="minorEastAsia"/>
                <w:szCs w:val="21"/>
              </w:rPr>
              <w:t>80</w:t>
            </w:r>
            <w:r>
              <w:rPr>
                <w:rFonts w:ascii="Times New Roman" w:hAnsi="Times New Roman" w:cs="Times New Roman" w:eastAsiaTheme="minorEastAsia"/>
                <w:szCs w:val="21"/>
              </w:rPr>
              <w:t>0（根据《</w:t>
            </w:r>
            <w:r>
              <w:rPr>
                <w:rFonts w:hint="eastAsia" w:ascii="Times New Roman" w:hAnsi="Times New Roman" w:cs="Times New Roman" w:eastAsiaTheme="minorEastAsia"/>
                <w:szCs w:val="21"/>
              </w:rPr>
              <w:t>公路路线设计规范（JTG D20—2017）</w:t>
            </w:r>
            <w:r>
              <w:rPr>
                <w:rFonts w:ascii="Times New Roman" w:hAnsi="Times New Roman" w:cs="Times New Roman" w:eastAsiaTheme="minorEastAsia"/>
                <w:szCs w:val="21"/>
              </w:rPr>
              <w:t>》，考虑行车安全视距，每处平交口两侧共需断开</w:t>
            </w:r>
            <w:r>
              <w:rPr>
                <w:rFonts w:hint="eastAsia" w:ascii="Times New Roman" w:hAnsi="Times New Roman" w:cs="Times New Roman" w:eastAsiaTheme="minorEastAsia"/>
                <w:szCs w:val="21"/>
              </w:rPr>
              <w:t>220m，该路段共2处平交口</w:t>
            </w:r>
            <w:r>
              <w:rPr>
                <w:rFonts w:ascii="Times New Roman" w:hAnsi="Times New Roman" w:cs="Times New Roman" w:eastAsiaTheme="minorEastAsia"/>
                <w:szCs w:val="21"/>
              </w:rPr>
              <w:t>）</w:t>
            </w:r>
            <w:r>
              <w:rPr>
                <w:rFonts w:ascii="Times New Roman" w:hAnsi="Times New Roman" w:eastAsia="宋体" w:cs="Times New Roman"/>
                <w:szCs w:val="21"/>
              </w:rPr>
              <w:t>设置</w:t>
            </w:r>
            <w:r>
              <w:rPr>
                <w:rFonts w:hint="eastAsia" w:ascii="Times New Roman" w:hAnsi="Times New Roman" w:eastAsia="宋体" w:cs="Times New Roman"/>
                <w:szCs w:val="21"/>
              </w:rPr>
              <w:t>710</w:t>
            </w:r>
            <w:r>
              <w:rPr>
                <w:rFonts w:ascii="Times New Roman" w:hAnsi="Times New Roman" w:eastAsia="宋体" w:cs="Times New Roman"/>
                <w:szCs w:val="21"/>
              </w:rPr>
              <w:t>m（长）×</w:t>
            </w:r>
            <w:r>
              <w:rPr>
                <w:rFonts w:hint="eastAsia" w:ascii="Times New Roman" w:hAnsi="Times New Roman" w:eastAsia="宋体" w:cs="Times New Roman"/>
                <w:szCs w:val="21"/>
              </w:rPr>
              <w:t>3.0</w:t>
            </w:r>
            <w:r>
              <w:rPr>
                <w:rFonts w:ascii="Times New Roman" w:hAnsi="Times New Roman" w:eastAsia="宋体" w:cs="Times New Roman"/>
                <w:szCs w:val="21"/>
              </w:rPr>
              <w:t>m（高）声屏障，</w:t>
            </w:r>
            <w:r>
              <w:rPr>
                <w:rFonts w:hint="eastAsia" w:ascii="Times New Roman" w:hAnsi="Times New Roman" w:eastAsia="宋体" w:cs="Times New Roman"/>
                <w:szCs w:val="21"/>
              </w:rPr>
              <w:t>2</w:t>
            </w:r>
            <w:r>
              <w:rPr>
                <w:rFonts w:ascii="Times New Roman" w:hAnsi="Times New Roman" w:eastAsia="宋体" w:cs="Times New Roman"/>
                <w:szCs w:val="21"/>
              </w:rPr>
              <w:t>000元/m，共投资</w:t>
            </w:r>
            <w:r>
              <w:rPr>
                <w:rFonts w:hint="eastAsia" w:ascii="Times New Roman" w:hAnsi="Times New Roman" w:eastAsia="宋体" w:cs="Times New Roman"/>
                <w:szCs w:val="21"/>
              </w:rPr>
              <w:t>142</w:t>
            </w:r>
            <w:r>
              <w:rPr>
                <w:rFonts w:ascii="Times New Roman" w:hAnsi="Times New Roman" w:eastAsia="宋体" w:cs="Times New Roman"/>
                <w:szCs w:val="21"/>
              </w:rPr>
              <w:t>万元</w:t>
            </w:r>
            <w:r>
              <w:rPr>
                <w:rFonts w:ascii="Times New Roman" w:hAnsi="Times New Roman" w:eastAsia="宋体" w:cs="Times New Roman"/>
              </w:rPr>
              <w:t>，房屋距路较近，分布较集中，声屏障降噪效果好</w:t>
            </w:r>
            <w:r>
              <w:rPr>
                <w:rFonts w:hint="eastAsia" w:ascii="Times New Roman" w:hAnsi="Times New Roman" w:eastAsia="宋体" w:cs="Times New Roman"/>
                <w:szCs w:val="21"/>
              </w:rPr>
              <w:t>；</w:t>
            </w:r>
            <w:r>
              <w:rPr>
                <w:rFonts w:hint="eastAsia" w:ascii="Times New Roman" w:hAnsi="Times New Roman" w:eastAsia="宋体" w:cs="Times New Roman"/>
              </w:rPr>
              <w:t>同时</w:t>
            </w:r>
            <w:r>
              <w:rPr>
                <w:rFonts w:ascii="Times New Roman" w:hAnsi="Times New Roman" w:eastAsia="宋体" w:cs="Times New Roman"/>
              </w:rPr>
              <w:t>对平交口超标的</w:t>
            </w:r>
            <w:r>
              <w:rPr>
                <w:rFonts w:hint="eastAsia" w:ascii="Times New Roman" w:hAnsi="Times New Roman" w:eastAsia="宋体" w:cs="Times New Roman"/>
              </w:rPr>
              <w:t>10</w:t>
            </w:r>
            <w:r>
              <w:rPr>
                <w:rFonts w:ascii="Times New Roman" w:hAnsi="Times New Roman" w:eastAsia="宋体" w:cs="Times New Roman"/>
              </w:rPr>
              <w:t>户安装隔声窗，隔声量20～25dB，每户投资1万元，共计</w:t>
            </w:r>
            <w:r>
              <w:rPr>
                <w:rFonts w:hint="eastAsia" w:ascii="Times New Roman" w:hAnsi="Times New Roman" w:eastAsia="宋体" w:cs="Times New Roman"/>
              </w:rPr>
              <w:t>10</w:t>
            </w:r>
            <w:r>
              <w:rPr>
                <w:rFonts w:ascii="Times New Roman" w:hAnsi="Times New Roman" w:eastAsia="宋体" w:cs="Times New Roman"/>
              </w:rPr>
              <w:t>万元。</w:t>
            </w:r>
            <w:r>
              <w:rPr>
                <w:rFonts w:ascii="Times New Roman" w:hAnsi="Times New Roman" w:eastAsia="宋体" w:cs="Times New Roman"/>
                <w:szCs w:val="21"/>
              </w:rPr>
              <w:t>拟建公路路左</w:t>
            </w:r>
            <w:r>
              <w:rPr>
                <w:rFonts w:ascii="Times New Roman" w:hAnsi="Times New Roman" w:cs="Times New Roman" w:eastAsiaTheme="minorEastAsia"/>
                <w:szCs w:val="21"/>
              </w:rPr>
              <w:t>K</w:t>
            </w:r>
            <w:r>
              <w:rPr>
                <w:rFonts w:hint="eastAsia" w:ascii="Times New Roman" w:hAnsi="Times New Roman" w:cs="Times New Roman" w:eastAsiaTheme="minorEastAsia"/>
                <w:szCs w:val="21"/>
              </w:rPr>
              <w:t>9</w:t>
            </w:r>
            <w:r>
              <w:rPr>
                <w:rFonts w:ascii="Times New Roman" w:hAnsi="Times New Roman" w:cs="Times New Roman" w:eastAsiaTheme="minorEastAsia"/>
                <w:szCs w:val="21"/>
              </w:rPr>
              <w:t>+</w:t>
            </w:r>
            <w:r>
              <w:rPr>
                <w:rFonts w:hint="eastAsia" w:ascii="Times New Roman" w:hAnsi="Times New Roman" w:cs="Times New Roman" w:eastAsiaTheme="minorEastAsia"/>
                <w:szCs w:val="21"/>
              </w:rPr>
              <w:t>90</w:t>
            </w:r>
            <w:r>
              <w:rPr>
                <w:rFonts w:ascii="Times New Roman" w:hAnsi="Times New Roman" w:cs="Times New Roman" w:eastAsiaTheme="minorEastAsia"/>
                <w:szCs w:val="21"/>
              </w:rPr>
              <w:t>0～K</w:t>
            </w:r>
            <w:r>
              <w:rPr>
                <w:rFonts w:hint="eastAsia" w:ascii="Times New Roman" w:hAnsi="Times New Roman" w:cs="Times New Roman" w:eastAsiaTheme="minorEastAsia"/>
                <w:szCs w:val="21"/>
              </w:rPr>
              <w:t>10</w:t>
            </w:r>
            <w:r>
              <w:rPr>
                <w:rFonts w:ascii="Times New Roman" w:hAnsi="Times New Roman" w:cs="Times New Roman" w:eastAsiaTheme="minorEastAsia"/>
                <w:szCs w:val="21"/>
              </w:rPr>
              <w:t>+</w:t>
            </w:r>
            <w:r>
              <w:rPr>
                <w:rFonts w:hint="eastAsia" w:ascii="Times New Roman" w:hAnsi="Times New Roman" w:cs="Times New Roman" w:eastAsiaTheme="minorEastAsia"/>
                <w:szCs w:val="21"/>
              </w:rPr>
              <w:t>05</w:t>
            </w:r>
            <w:r>
              <w:rPr>
                <w:rFonts w:ascii="Times New Roman" w:hAnsi="Times New Roman" w:cs="Times New Roman" w:eastAsiaTheme="minorEastAsia"/>
                <w:szCs w:val="21"/>
              </w:rPr>
              <w:t>0</w:t>
            </w:r>
            <w:r>
              <w:rPr>
                <w:rFonts w:ascii="Times New Roman" w:hAnsi="Times New Roman" w:eastAsia="宋体" w:cs="Times New Roman"/>
              </w:rPr>
              <w:t>路段房屋</w:t>
            </w:r>
            <w:r>
              <w:rPr>
                <w:rFonts w:hint="eastAsia" w:ascii="Times New Roman" w:hAnsi="Times New Roman" w:eastAsia="宋体" w:cs="Times New Roman"/>
              </w:rPr>
              <w:t>集中</w:t>
            </w:r>
            <w:r>
              <w:rPr>
                <w:rFonts w:ascii="Times New Roman" w:hAnsi="Times New Roman" w:eastAsia="宋体" w:cs="Times New Roman"/>
              </w:rPr>
              <w:t>分布于平交口两侧，</w:t>
            </w:r>
            <w:r>
              <w:rPr>
                <w:rFonts w:ascii="Times New Roman" w:hAnsi="Times New Roman" w:cs="Times New Roman" w:eastAsiaTheme="minorEastAsia"/>
                <w:szCs w:val="21"/>
              </w:rPr>
              <w:t>考虑行车安全视距，</w:t>
            </w:r>
            <w:r>
              <w:rPr>
                <w:rFonts w:ascii="Times New Roman" w:hAnsi="Times New Roman" w:eastAsia="宋体" w:cs="Times New Roman"/>
              </w:rPr>
              <w:t>平交口处无法设置声屏障，因此对</w:t>
            </w:r>
            <w:r>
              <w:rPr>
                <w:rFonts w:hint="eastAsia" w:ascii="Times New Roman" w:hAnsi="Times New Roman" w:eastAsia="宋体" w:cs="Times New Roman"/>
              </w:rPr>
              <w:t>该</w:t>
            </w:r>
            <w:r>
              <w:rPr>
                <w:rFonts w:ascii="Times New Roman" w:hAnsi="Times New Roman" w:eastAsia="宋体" w:cs="Times New Roman"/>
              </w:rPr>
              <w:t>路段超标的</w:t>
            </w:r>
            <w:r>
              <w:rPr>
                <w:rFonts w:hint="eastAsia" w:ascii="Times New Roman" w:hAnsi="Times New Roman" w:eastAsia="宋体" w:cs="Times New Roman"/>
              </w:rPr>
              <w:t>5</w:t>
            </w:r>
            <w:r>
              <w:rPr>
                <w:rFonts w:ascii="Times New Roman" w:hAnsi="Times New Roman" w:eastAsia="宋体" w:cs="Times New Roman"/>
              </w:rPr>
              <w:t>户安装隔声窗，隔声量20～25dB，每户投资1万元，共计</w:t>
            </w:r>
            <w:r>
              <w:rPr>
                <w:rFonts w:hint="eastAsia" w:ascii="Times New Roman" w:hAnsi="Times New Roman" w:eastAsia="宋体" w:cs="Times New Roman"/>
              </w:rPr>
              <w:t>5</w:t>
            </w:r>
            <w:r>
              <w:rPr>
                <w:rFonts w:ascii="Times New Roman" w:hAnsi="Times New Roman" w:eastAsia="宋体" w:cs="Times New Roman"/>
              </w:rPr>
              <w:t>万元。</w:t>
            </w:r>
          </w:p>
          <w:p w14:paraId="34DAA981">
            <w:pPr>
              <w:widowControl/>
              <w:adjustRightInd w:val="0"/>
              <w:snapToGrid w:val="0"/>
              <w:spacing w:line="240" w:lineRule="exact"/>
              <w:rPr>
                <w:rFonts w:ascii="Times New Roman" w:hAnsi="Times New Roman" w:eastAsia="宋体" w:cs="Times New Roman"/>
                <w:szCs w:val="21"/>
              </w:rPr>
            </w:pPr>
            <w:r>
              <w:rPr>
                <w:rFonts w:ascii="Times New Roman" w:hAnsi="Times New Roman" w:eastAsia="宋体" w:cs="Times New Roman"/>
                <w:szCs w:val="21"/>
              </w:rPr>
              <w:t>推荐：综合考虑推荐方案</w:t>
            </w:r>
            <w:r>
              <w:rPr>
                <w:rFonts w:hint="eastAsia" w:ascii="Times New Roman" w:hAnsi="Times New Roman" w:eastAsia="宋体" w:cs="Times New Roman"/>
                <w:szCs w:val="21"/>
              </w:rPr>
              <w:t>二</w:t>
            </w:r>
            <w:r>
              <w:rPr>
                <w:rFonts w:ascii="Times New Roman" w:hAnsi="Times New Roman" w:eastAsia="宋体" w:cs="Times New Roman"/>
                <w:szCs w:val="21"/>
              </w:rPr>
              <w:t>。</w:t>
            </w:r>
          </w:p>
        </w:tc>
        <w:tc>
          <w:tcPr>
            <w:tcW w:w="242" w:type="pct"/>
            <w:vMerge w:val="restart"/>
            <w:vAlign w:val="center"/>
          </w:tcPr>
          <w:p w14:paraId="628E9840">
            <w:pPr>
              <w:widowControl/>
              <w:jc w:val="center"/>
              <w:rPr>
                <w:rFonts w:ascii="Times New Roman" w:hAnsi="Times New Roman" w:eastAsia="宋体" w:cs="Times New Roman"/>
                <w:kern w:val="0"/>
              </w:rPr>
            </w:pPr>
            <w:r>
              <w:rPr>
                <w:rFonts w:ascii="Times New Roman" w:hAnsi="Times New Roman" w:eastAsia="宋体" w:cs="Times New Roman"/>
                <w:kern w:val="0"/>
              </w:rPr>
              <w:t>声屏障+隔声窗</w:t>
            </w:r>
          </w:p>
        </w:tc>
        <w:tc>
          <w:tcPr>
            <w:tcW w:w="260" w:type="pct"/>
            <w:vMerge w:val="restart"/>
            <w:vAlign w:val="center"/>
          </w:tcPr>
          <w:p w14:paraId="0608748D">
            <w:pPr>
              <w:widowControl/>
              <w:jc w:val="center"/>
              <w:rPr>
                <w:rFonts w:ascii="Times New Roman" w:hAnsi="Times New Roman" w:eastAsia="宋体" w:cs="Times New Roman"/>
                <w:kern w:val="0"/>
              </w:rPr>
            </w:pPr>
            <w:r>
              <w:rPr>
                <w:rFonts w:ascii="Times New Roman" w:hAnsi="Times New Roman" w:eastAsia="宋体" w:cs="Times New Roman"/>
                <w:kern w:val="0"/>
              </w:rPr>
              <w:t>室外达标+平交路口房屋室内达标</w:t>
            </w:r>
          </w:p>
        </w:tc>
        <w:tc>
          <w:tcPr>
            <w:tcW w:w="251" w:type="pct"/>
            <w:vMerge w:val="restart"/>
            <w:vAlign w:val="center"/>
          </w:tcPr>
          <w:p w14:paraId="0DE2421E">
            <w:pPr>
              <w:widowControl/>
              <w:adjustRightInd w:val="0"/>
              <w:snapToGrid w:val="0"/>
              <w:spacing w:line="240" w:lineRule="exact"/>
              <w:jc w:val="center"/>
              <w:rPr>
                <w:rFonts w:ascii="Times New Roman" w:hAnsi="宋体" w:eastAsia="宋体" w:cs="Times New Roman"/>
                <w:szCs w:val="21"/>
              </w:rPr>
            </w:pPr>
            <w:r>
              <w:rPr>
                <w:rFonts w:hint="eastAsia" w:ascii="Times New Roman" w:hAnsi="宋体" w:eastAsia="宋体" w:cs="Times New Roman"/>
                <w:szCs w:val="21"/>
              </w:rPr>
              <w:t>157</w:t>
            </w:r>
          </w:p>
        </w:tc>
      </w:tr>
      <w:tr w14:paraId="199240BC">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trHeight w:val="561" w:hRule="atLeast"/>
          <w:tblHeader/>
          <w:jc w:val="center"/>
        </w:trPr>
        <w:tc>
          <w:tcPr>
            <w:tcW w:w="180" w:type="pct"/>
            <w:vMerge w:val="continue"/>
            <w:noWrap/>
            <w:vAlign w:val="center"/>
          </w:tcPr>
          <w:p w14:paraId="6F833ED5">
            <w:pPr>
              <w:jc w:val="center"/>
              <w:rPr>
                <w:rFonts w:ascii="Times New Roman" w:hAnsi="Times New Roman" w:eastAsia="宋体" w:cs="Times New Roman"/>
              </w:rPr>
            </w:pPr>
          </w:p>
        </w:tc>
        <w:tc>
          <w:tcPr>
            <w:tcW w:w="278" w:type="pct"/>
            <w:vAlign w:val="center"/>
          </w:tcPr>
          <w:p w14:paraId="7E6CB013">
            <w:pPr>
              <w:jc w:val="center"/>
              <w:rPr>
                <w:rFonts w:ascii="Times New Roman" w:hAnsi="Times New Roman" w:cs="Times New Roman" w:eastAsiaTheme="minorEastAsia"/>
                <w:szCs w:val="21"/>
              </w:rPr>
            </w:pPr>
            <w:r>
              <w:rPr>
                <w:rFonts w:ascii="Times New Roman" w:hAnsi="Times New Roman" w:cs="Times New Roman" w:eastAsiaTheme="minorEastAsia"/>
                <w:szCs w:val="21"/>
              </w:rPr>
              <w:t>K</w:t>
            </w:r>
            <w:r>
              <w:rPr>
                <w:rFonts w:hint="eastAsia" w:ascii="Times New Roman" w:hAnsi="Times New Roman" w:cs="Times New Roman" w:eastAsiaTheme="minorEastAsia"/>
                <w:szCs w:val="21"/>
              </w:rPr>
              <w:t>9</w:t>
            </w:r>
            <w:r>
              <w:rPr>
                <w:rFonts w:ascii="Times New Roman" w:hAnsi="Times New Roman" w:cs="Times New Roman" w:eastAsiaTheme="minorEastAsia"/>
                <w:szCs w:val="21"/>
              </w:rPr>
              <w:t>+</w:t>
            </w:r>
            <w:r>
              <w:rPr>
                <w:rFonts w:hint="eastAsia" w:ascii="Times New Roman" w:hAnsi="Times New Roman" w:cs="Times New Roman" w:eastAsiaTheme="minorEastAsia"/>
                <w:szCs w:val="21"/>
              </w:rPr>
              <w:t>90</w:t>
            </w:r>
            <w:r>
              <w:rPr>
                <w:rFonts w:ascii="Times New Roman" w:hAnsi="Times New Roman" w:cs="Times New Roman" w:eastAsiaTheme="minorEastAsia"/>
                <w:szCs w:val="21"/>
              </w:rPr>
              <w:t>0～K</w:t>
            </w:r>
            <w:r>
              <w:rPr>
                <w:rFonts w:hint="eastAsia" w:ascii="Times New Roman" w:hAnsi="Times New Roman" w:cs="Times New Roman" w:eastAsiaTheme="minorEastAsia"/>
                <w:szCs w:val="21"/>
              </w:rPr>
              <w:t>10</w:t>
            </w:r>
            <w:r>
              <w:rPr>
                <w:rFonts w:ascii="Times New Roman" w:hAnsi="Times New Roman" w:cs="Times New Roman" w:eastAsiaTheme="minorEastAsia"/>
                <w:szCs w:val="21"/>
              </w:rPr>
              <w:t>+</w:t>
            </w:r>
            <w:r>
              <w:rPr>
                <w:rFonts w:hint="eastAsia" w:ascii="Times New Roman" w:hAnsi="Times New Roman" w:cs="Times New Roman" w:eastAsiaTheme="minorEastAsia"/>
                <w:szCs w:val="21"/>
              </w:rPr>
              <w:t>05</w:t>
            </w:r>
            <w:r>
              <w:rPr>
                <w:rFonts w:ascii="Times New Roman" w:hAnsi="Times New Roman" w:cs="Times New Roman" w:eastAsiaTheme="minorEastAsia"/>
                <w:szCs w:val="21"/>
              </w:rPr>
              <w:t>0</w:t>
            </w:r>
          </w:p>
        </w:tc>
        <w:tc>
          <w:tcPr>
            <w:tcW w:w="346" w:type="pct"/>
            <w:vMerge w:val="continue"/>
            <w:vAlign w:val="center"/>
          </w:tcPr>
          <w:p w14:paraId="62B6C517">
            <w:pPr>
              <w:adjustRightInd w:val="0"/>
              <w:snapToGrid w:val="0"/>
              <w:spacing w:line="240" w:lineRule="exact"/>
              <w:jc w:val="center"/>
              <w:rPr>
                <w:rFonts w:ascii="Times New Roman" w:hAnsi="Times New Roman" w:cs="Times New Roman" w:eastAsiaTheme="minorEastAsia"/>
                <w:szCs w:val="21"/>
              </w:rPr>
            </w:pPr>
          </w:p>
        </w:tc>
        <w:tc>
          <w:tcPr>
            <w:tcW w:w="138" w:type="pct"/>
            <w:vMerge w:val="continue"/>
            <w:vAlign w:val="center"/>
          </w:tcPr>
          <w:p w14:paraId="792AD28B">
            <w:pPr>
              <w:adjustRightInd w:val="0"/>
              <w:snapToGrid w:val="0"/>
              <w:spacing w:line="240" w:lineRule="exact"/>
              <w:jc w:val="center"/>
              <w:rPr>
                <w:rFonts w:ascii="Times New Roman" w:hAnsi="Times New Roman" w:cs="Times New Roman" w:eastAsiaTheme="minorEastAsia"/>
                <w:szCs w:val="21"/>
              </w:rPr>
            </w:pPr>
          </w:p>
        </w:tc>
        <w:tc>
          <w:tcPr>
            <w:tcW w:w="209" w:type="pct"/>
            <w:vMerge w:val="continue"/>
            <w:vAlign w:val="center"/>
          </w:tcPr>
          <w:p w14:paraId="4F043065">
            <w:pPr>
              <w:adjustRightInd w:val="0"/>
              <w:snapToGrid w:val="0"/>
              <w:spacing w:line="240" w:lineRule="exact"/>
              <w:jc w:val="center"/>
              <w:rPr>
                <w:rFonts w:ascii="Times New Roman" w:hAnsi="Times New Roman" w:eastAsia="宋体" w:cs="Times New Roman"/>
                <w:snapToGrid w:val="0"/>
                <w:kern w:val="0"/>
                <w:szCs w:val="21"/>
              </w:rPr>
            </w:pPr>
          </w:p>
        </w:tc>
        <w:tc>
          <w:tcPr>
            <w:tcW w:w="243" w:type="pct"/>
            <w:vMerge w:val="continue"/>
            <w:vAlign w:val="center"/>
          </w:tcPr>
          <w:p w14:paraId="1CEAF6DD">
            <w:pPr>
              <w:adjustRightInd w:val="0"/>
              <w:snapToGrid w:val="0"/>
              <w:spacing w:line="240" w:lineRule="exact"/>
              <w:jc w:val="center"/>
              <w:rPr>
                <w:rFonts w:ascii="Times New Roman" w:hAnsi="Times New Roman" w:eastAsia="宋体" w:cs="Times New Roman"/>
                <w:snapToGrid w:val="0"/>
                <w:kern w:val="0"/>
                <w:szCs w:val="21"/>
              </w:rPr>
            </w:pPr>
          </w:p>
        </w:tc>
        <w:tc>
          <w:tcPr>
            <w:tcW w:w="243" w:type="pct"/>
            <w:vMerge w:val="continue"/>
            <w:vAlign w:val="center"/>
          </w:tcPr>
          <w:p w14:paraId="4E9A9B4B">
            <w:pPr>
              <w:adjustRightInd w:val="0"/>
              <w:snapToGrid w:val="0"/>
              <w:spacing w:line="240" w:lineRule="exact"/>
              <w:jc w:val="center"/>
              <w:rPr>
                <w:rFonts w:ascii="Times New Roman" w:hAnsi="Times New Roman" w:eastAsia="宋体" w:cs="Times New Roman"/>
                <w:snapToGrid w:val="0"/>
                <w:kern w:val="0"/>
                <w:szCs w:val="21"/>
              </w:rPr>
            </w:pPr>
          </w:p>
        </w:tc>
        <w:tc>
          <w:tcPr>
            <w:tcW w:w="190" w:type="pct"/>
            <w:vMerge w:val="continue"/>
            <w:shd w:val="clear" w:color="auto" w:fill="auto"/>
            <w:vAlign w:val="center"/>
          </w:tcPr>
          <w:p w14:paraId="36E8312C">
            <w:pPr>
              <w:adjustRightInd w:val="0"/>
              <w:snapToGrid w:val="0"/>
              <w:spacing w:line="240" w:lineRule="exact"/>
              <w:jc w:val="center"/>
              <w:rPr>
                <w:rFonts w:ascii="Times New Roman" w:hAnsi="Times New Roman" w:eastAsia="宋体" w:cs="Times New Roman"/>
                <w:snapToGrid w:val="0"/>
                <w:kern w:val="0"/>
                <w:szCs w:val="21"/>
              </w:rPr>
            </w:pPr>
          </w:p>
        </w:tc>
        <w:tc>
          <w:tcPr>
            <w:tcW w:w="190" w:type="pct"/>
            <w:vMerge w:val="continue"/>
            <w:shd w:val="clear" w:color="auto" w:fill="auto"/>
            <w:vAlign w:val="center"/>
          </w:tcPr>
          <w:p w14:paraId="7ABDE166">
            <w:pPr>
              <w:adjustRightInd w:val="0"/>
              <w:snapToGrid w:val="0"/>
              <w:spacing w:line="240" w:lineRule="exact"/>
              <w:jc w:val="center"/>
              <w:rPr>
                <w:rFonts w:ascii="Times New Roman" w:hAnsi="Times New Roman" w:eastAsia="宋体" w:cs="Times New Roman"/>
                <w:snapToGrid w:val="0"/>
                <w:kern w:val="0"/>
                <w:szCs w:val="21"/>
              </w:rPr>
            </w:pPr>
          </w:p>
        </w:tc>
        <w:tc>
          <w:tcPr>
            <w:tcW w:w="2230" w:type="pct"/>
            <w:vMerge w:val="continue"/>
            <w:noWrap/>
            <w:vAlign w:val="center"/>
          </w:tcPr>
          <w:p w14:paraId="5754925D">
            <w:pPr>
              <w:rPr>
                <w:rFonts w:ascii="Times New Roman" w:hAnsi="Times New Roman" w:eastAsia="宋体" w:cs="Times New Roman"/>
                <w:szCs w:val="21"/>
              </w:rPr>
            </w:pPr>
          </w:p>
        </w:tc>
        <w:tc>
          <w:tcPr>
            <w:tcW w:w="242" w:type="pct"/>
            <w:vMerge w:val="continue"/>
            <w:vAlign w:val="center"/>
          </w:tcPr>
          <w:p w14:paraId="172E10E0">
            <w:pPr>
              <w:jc w:val="center"/>
              <w:rPr>
                <w:rFonts w:ascii="Times New Roman" w:hAnsi="Times New Roman" w:eastAsia="宋体" w:cs="Times New Roman"/>
                <w:szCs w:val="21"/>
              </w:rPr>
            </w:pPr>
          </w:p>
        </w:tc>
        <w:tc>
          <w:tcPr>
            <w:tcW w:w="260" w:type="pct"/>
            <w:vMerge w:val="continue"/>
            <w:vAlign w:val="center"/>
          </w:tcPr>
          <w:p w14:paraId="59B32C69">
            <w:pPr>
              <w:jc w:val="center"/>
              <w:rPr>
                <w:rFonts w:ascii="Times New Roman" w:hAnsi="Times New Roman" w:eastAsia="宋体" w:cs="Times New Roman"/>
                <w:szCs w:val="21"/>
              </w:rPr>
            </w:pPr>
          </w:p>
        </w:tc>
        <w:tc>
          <w:tcPr>
            <w:tcW w:w="251" w:type="pct"/>
            <w:vMerge w:val="continue"/>
            <w:vAlign w:val="center"/>
          </w:tcPr>
          <w:p w14:paraId="1E2B74BD">
            <w:pPr>
              <w:widowControl/>
              <w:adjustRightInd w:val="0"/>
              <w:snapToGrid w:val="0"/>
              <w:spacing w:line="240" w:lineRule="exact"/>
              <w:jc w:val="center"/>
              <w:rPr>
                <w:rFonts w:ascii="Times New Roman" w:hAnsi="Times New Roman" w:eastAsia="宋体" w:cs="Times New Roman"/>
                <w:szCs w:val="21"/>
              </w:rPr>
            </w:pPr>
          </w:p>
        </w:tc>
      </w:tr>
      <w:tr w14:paraId="1F8DAA6B">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trHeight w:val="561" w:hRule="atLeast"/>
          <w:tblHeader/>
          <w:jc w:val="center"/>
        </w:trPr>
        <w:tc>
          <w:tcPr>
            <w:tcW w:w="180" w:type="pct"/>
            <w:vMerge w:val="continue"/>
            <w:noWrap/>
            <w:vAlign w:val="center"/>
          </w:tcPr>
          <w:p w14:paraId="16518C95">
            <w:pPr>
              <w:jc w:val="center"/>
              <w:rPr>
                <w:rFonts w:ascii="Times New Roman" w:hAnsi="Times New Roman" w:eastAsia="宋体" w:cs="Times New Roman"/>
              </w:rPr>
            </w:pPr>
          </w:p>
        </w:tc>
        <w:tc>
          <w:tcPr>
            <w:tcW w:w="278" w:type="pct"/>
            <w:vAlign w:val="center"/>
          </w:tcPr>
          <w:p w14:paraId="2CA860E9">
            <w:pPr>
              <w:jc w:val="center"/>
              <w:rPr>
                <w:rFonts w:ascii="Times New Roman" w:hAnsi="Times New Roman" w:cs="Times New Roman" w:eastAsiaTheme="minorEastAsia"/>
                <w:szCs w:val="21"/>
              </w:rPr>
            </w:pPr>
            <w:r>
              <w:rPr>
                <w:rFonts w:ascii="Times New Roman" w:hAnsi="Times New Roman" w:cs="Times New Roman" w:eastAsiaTheme="minorEastAsia"/>
                <w:szCs w:val="21"/>
              </w:rPr>
              <w:t>K</w:t>
            </w:r>
            <w:r>
              <w:rPr>
                <w:rFonts w:hint="eastAsia" w:ascii="Times New Roman" w:hAnsi="Times New Roman" w:cs="Times New Roman" w:eastAsiaTheme="minorEastAsia"/>
                <w:szCs w:val="21"/>
              </w:rPr>
              <w:t>10</w:t>
            </w:r>
            <w:r>
              <w:rPr>
                <w:rFonts w:ascii="Times New Roman" w:hAnsi="Times New Roman" w:cs="Times New Roman" w:eastAsiaTheme="minorEastAsia"/>
                <w:szCs w:val="21"/>
              </w:rPr>
              <w:t>+</w:t>
            </w:r>
            <w:r>
              <w:rPr>
                <w:rFonts w:hint="eastAsia" w:ascii="Times New Roman" w:hAnsi="Times New Roman" w:cs="Times New Roman" w:eastAsiaTheme="minorEastAsia"/>
                <w:szCs w:val="21"/>
              </w:rPr>
              <w:t>30</w:t>
            </w:r>
            <w:r>
              <w:rPr>
                <w:rFonts w:ascii="Times New Roman" w:hAnsi="Times New Roman" w:cs="Times New Roman" w:eastAsiaTheme="minorEastAsia"/>
                <w:szCs w:val="21"/>
              </w:rPr>
              <w:t>0～K</w:t>
            </w:r>
            <w:r>
              <w:rPr>
                <w:rFonts w:hint="eastAsia" w:ascii="Times New Roman" w:hAnsi="Times New Roman" w:cs="Times New Roman" w:eastAsiaTheme="minorEastAsia"/>
                <w:szCs w:val="21"/>
              </w:rPr>
              <w:t>10</w:t>
            </w:r>
            <w:r>
              <w:rPr>
                <w:rFonts w:ascii="Times New Roman" w:hAnsi="Times New Roman" w:cs="Times New Roman" w:eastAsiaTheme="minorEastAsia"/>
                <w:szCs w:val="21"/>
              </w:rPr>
              <w:t>+</w:t>
            </w:r>
            <w:r>
              <w:rPr>
                <w:rFonts w:hint="eastAsia" w:ascii="Times New Roman" w:hAnsi="Times New Roman" w:cs="Times New Roman" w:eastAsiaTheme="minorEastAsia"/>
                <w:szCs w:val="21"/>
              </w:rPr>
              <w:t>75</w:t>
            </w:r>
            <w:r>
              <w:rPr>
                <w:rFonts w:ascii="Times New Roman" w:hAnsi="Times New Roman" w:cs="Times New Roman" w:eastAsiaTheme="minorEastAsia"/>
                <w:szCs w:val="21"/>
              </w:rPr>
              <w:t>0</w:t>
            </w:r>
          </w:p>
        </w:tc>
        <w:tc>
          <w:tcPr>
            <w:tcW w:w="346" w:type="pct"/>
            <w:vMerge w:val="continue"/>
            <w:vAlign w:val="center"/>
          </w:tcPr>
          <w:p w14:paraId="30834FBE">
            <w:pPr>
              <w:adjustRightInd w:val="0"/>
              <w:snapToGrid w:val="0"/>
              <w:spacing w:line="240" w:lineRule="exact"/>
              <w:jc w:val="center"/>
              <w:rPr>
                <w:rFonts w:ascii="Times New Roman" w:hAnsi="Times New Roman" w:cs="Times New Roman" w:eastAsiaTheme="minorEastAsia"/>
                <w:szCs w:val="21"/>
              </w:rPr>
            </w:pPr>
          </w:p>
        </w:tc>
        <w:tc>
          <w:tcPr>
            <w:tcW w:w="138" w:type="pct"/>
            <w:vMerge w:val="continue"/>
            <w:vAlign w:val="center"/>
          </w:tcPr>
          <w:p w14:paraId="72E380D4">
            <w:pPr>
              <w:adjustRightInd w:val="0"/>
              <w:snapToGrid w:val="0"/>
              <w:spacing w:line="240" w:lineRule="exact"/>
              <w:jc w:val="center"/>
              <w:rPr>
                <w:rFonts w:ascii="Times New Roman" w:hAnsi="Times New Roman" w:cs="Times New Roman" w:eastAsiaTheme="minorEastAsia"/>
                <w:szCs w:val="21"/>
              </w:rPr>
            </w:pPr>
          </w:p>
        </w:tc>
        <w:tc>
          <w:tcPr>
            <w:tcW w:w="209" w:type="pct"/>
            <w:vAlign w:val="center"/>
          </w:tcPr>
          <w:p w14:paraId="1BF9BA6B">
            <w:pPr>
              <w:adjustRightInd w:val="0"/>
              <w:snapToGrid w:val="0"/>
              <w:spacing w:line="240" w:lineRule="exact"/>
              <w:jc w:val="center"/>
              <w:rPr>
                <w:rFonts w:ascii="Times New Roman" w:hAnsi="Times New Roman" w:eastAsia="宋体" w:cs="Times New Roman"/>
                <w:snapToGrid w:val="0"/>
                <w:kern w:val="0"/>
                <w:szCs w:val="21"/>
              </w:rPr>
            </w:pPr>
            <w:r>
              <w:rPr>
                <w:rFonts w:hint="eastAsia" w:ascii="Times New Roman" w:hAnsi="Times New Roman" w:eastAsia="宋体" w:cs="Times New Roman"/>
                <w:snapToGrid w:val="0"/>
                <w:kern w:val="0"/>
                <w:szCs w:val="21"/>
              </w:rPr>
              <w:t>41</w:t>
            </w:r>
          </w:p>
        </w:tc>
        <w:tc>
          <w:tcPr>
            <w:tcW w:w="243" w:type="pct"/>
            <w:vAlign w:val="center"/>
          </w:tcPr>
          <w:p w14:paraId="487B630F">
            <w:pPr>
              <w:adjustRightInd w:val="0"/>
              <w:snapToGrid w:val="0"/>
              <w:spacing w:line="240" w:lineRule="exact"/>
              <w:jc w:val="center"/>
              <w:rPr>
                <w:rFonts w:ascii="Times New Roman" w:hAnsi="Times New Roman" w:eastAsia="宋体" w:cs="Times New Roman"/>
                <w:snapToGrid w:val="0"/>
                <w:kern w:val="0"/>
                <w:szCs w:val="21"/>
              </w:rPr>
            </w:pPr>
            <w:r>
              <w:rPr>
                <w:rFonts w:hint="eastAsia" w:ascii="Times New Roman" w:hAnsi="Times New Roman" w:eastAsia="宋体" w:cs="Times New Roman"/>
                <w:snapToGrid w:val="0"/>
                <w:kern w:val="0"/>
                <w:szCs w:val="21"/>
              </w:rPr>
              <w:t>-/0.9</w:t>
            </w:r>
          </w:p>
        </w:tc>
        <w:tc>
          <w:tcPr>
            <w:tcW w:w="243" w:type="pct"/>
            <w:vAlign w:val="center"/>
          </w:tcPr>
          <w:p w14:paraId="1A29BFDA">
            <w:pPr>
              <w:adjustRightInd w:val="0"/>
              <w:snapToGrid w:val="0"/>
              <w:spacing w:line="240" w:lineRule="exact"/>
              <w:jc w:val="center"/>
              <w:rPr>
                <w:rFonts w:ascii="Times New Roman" w:hAnsi="Times New Roman" w:eastAsia="宋体" w:cs="Times New Roman"/>
                <w:snapToGrid w:val="0"/>
                <w:kern w:val="0"/>
                <w:szCs w:val="21"/>
              </w:rPr>
            </w:pPr>
            <w:r>
              <w:rPr>
                <w:rFonts w:hint="eastAsia" w:ascii="Times New Roman" w:hAnsi="Times New Roman" w:eastAsia="宋体" w:cs="Times New Roman"/>
                <w:snapToGrid w:val="0"/>
                <w:kern w:val="0"/>
                <w:szCs w:val="21"/>
              </w:rPr>
              <w:t>-/3.9</w:t>
            </w:r>
          </w:p>
        </w:tc>
        <w:tc>
          <w:tcPr>
            <w:tcW w:w="190" w:type="pct"/>
            <w:shd w:val="clear" w:color="auto" w:fill="auto"/>
            <w:vAlign w:val="center"/>
          </w:tcPr>
          <w:p w14:paraId="487DEC2A">
            <w:pPr>
              <w:adjustRightInd w:val="0"/>
              <w:snapToGrid w:val="0"/>
              <w:spacing w:line="240" w:lineRule="exact"/>
              <w:jc w:val="center"/>
              <w:rPr>
                <w:rFonts w:ascii="Times New Roman" w:hAnsi="Times New Roman" w:eastAsia="宋体" w:cs="Times New Roman"/>
                <w:snapToGrid w:val="0"/>
                <w:kern w:val="0"/>
                <w:szCs w:val="21"/>
              </w:rPr>
            </w:pPr>
            <w:r>
              <w:rPr>
                <w:rFonts w:hint="eastAsia" w:ascii="Times New Roman" w:hAnsi="Times New Roman" w:eastAsia="宋体" w:cs="Times New Roman"/>
                <w:snapToGrid w:val="0"/>
                <w:kern w:val="0"/>
                <w:szCs w:val="21"/>
              </w:rPr>
              <w:t>10</w:t>
            </w:r>
          </w:p>
        </w:tc>
        <w:tc>
          <w:tcPr>
            <w:tcW w:w="190" w:type="pct"/>
            <w:shd w:val="clear" w:color="auto" w:fill="auto"/>
            <w:vAlign w:val="center"/>
          </w:tcPr>
          <w:p w14:paraId="5E98F847">
            <w:pPr>
              <w:adjustRightInd w:val="0"/>
              <w:snapToGrid w:val="0"/>
              <w:spacing w:line="240" w:lineRule="exact"/>
              <w:jc w:val="center"/>
              <w:rPr>
                <w:rFonts w:ascii="Times New Roman" w:hAnsi="Times New Roman" w:eastAsia="宋体" w:cs="Times New Roman"/>
                <w:snapToGrid w:val="0"/>
                <w:kern w:val="0"/>
                <w:szCs w:val="21"/>
              </w:rPr>
            </w:pPr>
            <w:r>
              <w:rPr>
                <w:rFonts w:hint="eastAsia" w:ascii="Times New Roman" w:hAnsi="Times New Roman" w:eastAsia="宋体" w:cs="Times New Roman"/>
                <w:snapToGrid w:val="0"/>
                <w:kern w:val="0"/>
                <w:szCs w:val="21"/>
              </w:rPr>
              <w:t>5</w:t>
            </w:r>
          </w:p>
        </w:tc>
        <w:tc>
          <w:tcPr>
            <w:tcW w:w="2230" w:type="pct"/>
            <w:vMerge w:val="continue"/>
            <w:noWrap/>
            <w:vAlign w:val="center"/>
          </w:tcPr>
          <w:p w14:paraId="30F57723">
            <w:pPr>
              <w:rPr>
                <w:rFonts w:ascii="Times New Roman" w:hAnsi="Times New Roman" w:eastAsia="宋体" w:cs="Times New Roman"/>
                <w:szCs w:val="21"/>
              </w:rPr>
            </w:pPr>
          </w:p>
        </w:tc>
        <w:tc>
          <w:tcPr>
            <w:tcW w:w="242" w:type="pct"/>
            <w:vMerge w:val="continue"/>
            <w:vAlign w:val="center"/>
          </w:tcPr>
          <w:p w14:paraId="44176405">
            <w:pPr>
              <w:jc w:val="center"/>
              <w:rPr>
                <w:rFonts w:ascii="Times New Roman" w:hAnsi="Times New Roman" w:eastAsia="宋体" w:cs="Times New Roman"/>
                <w:szCs w:val="21"/>
              </w:rPr>
            </w:pPr>
          </w:p>
        </w:tc>
        <w:tc>
          <w:tcPr>
            <w:tcW w:w="260" w:type="pct"/>
            <w:vMerge w:val="continue"/>
            <w:vAlign w:val="center"/>
          </w:tcPr>
          <w:p w14:paraId="30202C9B">
            <w:pPr>
              <w:jc w:val="center"/>
              <w:rPr>
                <w:rFonts w:ascii="Times New Roman" w:hAnsi="Times New Roman" w:eastAsia="宋体" w:cs="Times New Roman"/>
                <w:szCs w:val="21"/>
              </w:rPr>
            </w:pPr>
          </w:p>
        </w:tc>
        <w:tc>
          <w:tcPr>
            <w:tcW w:w="251" w:type="pct"/>
            <w:vMerge w:val="continue"/>
            <w:vAlign w:val="center"/>
          </w:tcPr>
          <w:p w14:paraId="3C135A41">
            <w:pPr>
              <w:widowControl/>
              <w:adjustRightInd w:val="0"/>
              <w:snapToGrid w:val="0"/>
              <w:spacing w:line="240" w:lineRule="exact"/>
              <w:jc w:val="center"/>
              <w:rPr>
                <w:rFonts w:ascii="Times New Roman" w:hAnsi="Times New Roman" w:eastAsia="宋体" w:cs="Times New Roman"/>
                <w:szCs w:val="21"/>
              </w:rPr>
            </w:pPr>
          </w:p>
        </w:tc>
      </w:tr>
      <w:tr w14:paraId="41748472">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trHeight w:val="519" w:hRule="atLeast"/>
          <w:tblHeader/>
          <w:jc w:val="center"/>
        </w:trPr>
        <w:tc>
          <w:tcPr>
            <w:tcW w:w="180" w:type="pct"/>
            <w:vMerge w:val="restart"/>
            <w:noWrap/>
            <w:vAlign w:val="center"/>
          </w:tcPr>
          <w:p w14:paraId="68C7BCFD">
            <w:pPr>
              <w:jc w:val="center"/>
              <w:rPr>
                <w:rFonts w:ascii="Times New Roman" w:hAnsi="Times New Roman" w:eastAsia="宋体" w:cs="Times New Roman"/>
              </w:rPr>
            </w:pPr>
            <w:r>
              <w:rPr>
                <w:rFonts w:hint="eastAsia" w:ascii="Times New Roman" w:hAnsi="Times New Roman" w:eastAsia="宋体" w:cs="Times New Roman"/>
              </w:rPr>
              <w:t>5</w:t>
            </w:r>
          </w:p>
        </w:tc>
        <w:tc>
          <w:tcPr>
            <w:tcW w:w="278" w:type="pct"/>
            <w:vAlign w:val="center"/>
          </w:tcPr>
          <w:p w14:paraId="57C4D488">
            <w:pPr>
              <w:jc w:val="center"/>
              <w:rPr>
                <w:rFonts w:ascii="Times New Roman" w:hAnsi="Times New Roman" w:cs="Times New Roman" w:eastAsiaTheme="minorEastAsia"/>
                <w:szCs w:val="21"/>
              </w:rPr>
            </w:pPr>
            <w:r>
              <w:rPr>
                <w:rFonts w:ascii="Times New Roman" w:hAnsi="Times New Roman" w:cs="Times New Roman" w:eastAsiaTheme="minorEastAsia"/>
                <w:szCs w:val="21"/>
              </w:rPr>
              <w:t>K</w:t>
            </w:r>
            <w:r>
              <w:rPr>
                <w:rFonts w:hint="eastAsia" w:ascii="Times New Roman" w:hAnsi="Times New Roman" w:cs="Times New Roman" w:eastAsiaTheme="minorEastAsia"/>
                <w:szCs w:val="21"/>
              </w:rPr>
              <w:t>20</w:t>
            </w:r>
            <w:r>
              <w:rPr>
                <w:rFonts w:ascii="Times New Roman" w:hAnsi="Times New Roman" w:cs="Times New Roman" w:eastAsiaTheme="minorEastAsia"/>
                <w:szCs w:val="21"/>
              </w:rPr>
              <w:t>+</w:t>
            </w:r>
            <w:r>
              <w:rPr>
                <w:rFonts w:hint="eastAsia" w:ascii="Times New Roman" w:hAnsi="Times New Roman" w:cs="Times New Roman" w:eastAsiaTheme="minorEastAsia"/>
                <w:szCs w:val="21"/>
              </w:rPr>
              <w:t>15</w:t>
            </w:r>
            <w:r>
              <w:rPr>
                <w:rFonts w:ascii="Times New Roman" w:hAnsi="Times New Roman" w:cs="Times New Roman" w:eastAsiaTheme="minorEastAsia"/>
                <w:szCs w:val="21"/>
              </w:rPr>
              <w:t>0～K</w:t>
            </w:r>
            <w:r>
              <w:rPr>
                <w:rFonts w:hint="eastAsia" w:ascii="Times New Roman" w:hAnsi="Times New Roman" w:cs="Times New Roman" w:eastAsiaTheme="minorEastAsia"/>
                <w:szCs w:val="21"/>
              </w:rPr>
              <w:t>20</w:t>
            </w:r>
            <w:r>
              <w:rPr>
                <w:rFonts w:ascii="Times New Roman" w:hAnsi="Times New Roman" w:cs="Times New Roman" w:eastAsiaTheme="minorEastAsia"/>
                <w:szCs w:val="21"/>
              </w:rPr>
              <w:t>+</w:t>
            </w:r>
            <w:r>
              <w:rPr>
                <w:rFonts w:hint="eastAsia" w:ascii="Times New Roman" w:hAnsi="Times New Roman" w:cs="Times New Roman" w:eastAsiaTheme="minorEastAsia"/>
                <w:szCs w:val="21"/>
              </w:rPr>
              <w:t>90</w:t>
            </w:r>
            <w:r>
              <w:rPr>
                <w:rFonts w:ascii="Times New Roman" w:hAnsi="Times New Roman" w:cs="Times New Roman" w:eastAsiaTheme="minorEastAsia"/>
                <w:szCs w:val="21"/>
              </w:rPr>
              <w:t>0</w:t>
            </w:r>
          </w:p>
        </w:tc>
        <w:tc>
          <w:tcPr>
            <w:tcW w:w="346" w:type="pct"/>
            <w:vMerge w:val="restart"/>
            <w:vAlign w:val="center"/>
          </w:tcPr>
          <w:p w14:paraId="1E54DF12">
            <w:pPr>
              <w:adjustRightInd w:val="0"/>
              <w:snapToGrid w:val="0"/>
              <w:spacing w:line="240" w:lineRule="exact"/>
              <w:jc w:val="center"/>
              <w:rPr>
                <w:rFonts w:ascii="Times New Roman" w:hAnsi="Times New Roman" w:cs="Times New Roman" w:eastAsiaTheme="minorEastAsia"/>
                <w:szCs w:val="21"/>
              </w:rPr>
            </w:pPr>
            <w:r>
              <w:rPr>
                <w:rFonts w:hint="eastAsia" w:ascii="Times New Roman" w:hAnsi="Times New Roman" w:cs="Times New Roman" w:eastAsiaTheme="minorEastAsia"/>
                <w:szCs w:val="21"/>
              </w:rPr>
              <w:t>巴什央艾日克村</w:t>
            </w:r>
          </w:p>
        </w:tc>
        <w:tc>
          <w:tcPr>
            <w:tcW w:w="138" w:type="pct"/>
            <w:vMerge w:val="restart"/>
            <w:vAlign w:val="center"/>
          </w:tcPr>
          <w:p w14:paraId="188F8431">
            <w:pPr>
              <w:jc w:val="center"/>
              <w:rPr>
                <w:rFonts w:ascii="Times New Roman" w:hAnsi="Times New Roman" w:cs="Times New Roman" w:eastAsiaTheme="minorEastAsia"/>
                <w:szCs w:val="21"/>
              </w:rPr>
            </w:pPr>
            <w:r>
              <w:rPr>
                <w:rFonts w:ascii="Times New Roman" w:hAnsi="Times New Roman" w:cs="Times New Roman" w:eastAsiaTheme="minorEastAsia"/>
                <w:szCs w:val="21"/>
              </w:rPr>
              <w:t>路右</w:t>
            </w:r>
          </w:p>
        </w:tc>
        <w:tc>
          <w:tcPr>
            <w:tcW w:w="209" w:type="pct"/>
            <w:vMerge w:val="restart"/>
            <w:vAlign w:val="center"/>
          </w:tcPr>
          <w:p w14:paraId="3C3FF003">
            <w:pPr>
              <w:adjustRightInd w:val="0"/>
              <w:snapToGrid w:val="0"/>
              <w:spacing w:line="240" w:lineRule="exact"/>
              <w:jc w:val="center"/>
              <w:rPr>
                <w:rFonts w:ascii="Times New Roman" w:hAnsi="Times New Roman" w:eastAsia="宋体" w:cs="Times New Roman"/>
                <w:snapToGrid w:val="0"/>
                <w:kern w:val="0"/>
                <w:szCs w:val="21"/>
              </w:rPr>
            </w:pPr>
            <w:r>
              <w:rPr>
                <w:rFonts w:hint="eastAsia" w:ascii="Times New Roman" w:hAnsi="Times New Roman" w:eastAsia="宋体" w:cs="Times New Roman"/>
                <w:snapToGrid w:val="0"/>
                <w:kern w:val="0"/>
                <w:szCs w:val="21"/>
              </w:rPr>
              <w:t>25</w:t>
            </w:r>
          </w:p>
        </w:tc>
        <w:tc>
          <w:tcPr>
            <w:tcW w:w="243" w:type="pct"/>
            <w:vMerge w:val="restart"/>
            <w:vAlign w:val="center"/>
          </w:tcPr>
          <w:p w14:paraId="06B48B07">
            <w:pPr>
              <w:adjustRightInd w:val="0"/>
              <w:snapToGrid w:val="0"/>
              <w:spacing w:line="240" w:lineRule="exact"/>
              <w:jc w:val="center"/>
              <w:rPr>
                <w:rFonts w:ascii="Times New Roman" w:hAnsi="Times New Roman" w:eastAsia="宋体" w:cs="Times New Roman"/>
                <w:snapToGrid w:val="0"/>
                <w:kern w:val="0"/>
                <w:szCs w:val="21"/>
              </w:rPr>
            </w:pPr>
            <w:r>
              <w:rPr>
                <w:rFonts w:hint="eastAsia" w:ascii="Times New Roman" w:hAnsi="Times New Roman" w:eastAsia="宋体" w:cs="Times New Roman"/>
                <w:snapToGrid w:val="0"/>
                <w:kern w:val="0"/>
                <w:szCs w:val="21"/>
              </w:rPr>
              <w:t>-/7.4</w:t>
            </w:r>
          </w:p>
        </w:tc>
        <w:tc>
          <w:tcPr>
            <w:tcW w:w="243" w:type="pct"/>
            <w:vMerge w:val="restart"/>
            <w:vAlign w:val="center"/>
          </w:tcPr>
          <w:p w14:paraId="0D4B23E3">
            <w:pPr>
              <w:adjustRightInd w:val="0"/>
              <w:snapToGrid w:val="0"/>
              <w:spacing w:line="240" w:lineRule="exact"/>
              <w:jc w:val="center"/>
              <w:rPr>
                <w:rFonts w:ascii="Times New Roman" w:hAnsi="Times New Roman" w:eastAsia="宋体" w:cs="Times New Roman"/>
                <w:snapToGrid w:val="0"/>
                <w:kern w:val="0"/>
                <w:szCs w:val="21"/>
              </w:rPr>
            </w:pPr>
            <w:r>
              <w:rPr>
                <w:rFonts w:hint="eastAsia" w:ascii="Times New Roman" w:hAnsi="Times New Roman" w:eastAsia="宋体" w:cs="Times New Roman"/>
                <w:snapToGrid w:val="0"/>
                <w:kern w:val="0"/>
                <w:szCs w:val="21"/>
              </w:rPr>
              <w:t>0.3/6.6</w:t>
            </w:r>
          </w:p>
        </w:tc>
        <w:tc>
          <w:tcPr>
            <w:tcW w:w="190" w:type="pct"/>
            <w:vMerge w:val="restart"/>
            <w:shd w:val="clear" w:color="auto" w:fill="auto"/>
            <w:vAlign w:val="center"/>
          </w:tcPr>
          <w:p w14:paraId="75CE9581">
            <w:pPr>
              <w:adjustRightInd w:val="0"/>
              <w:snapToGrid w:val="0"/>
              <w:spacing w:line="240" w:lineRule="exact"/>
              <w:jc w:val="center"/>
              <w:rPr>
                <w:rFonts w:ascii="Times New Roman" w:hAnsi="Times New Roman" w:eastAsia="宋体" w:cs="Times New Roman"/>
                <w:snapToGrid w:val="0"/>
                <w:kern w:val="0"/>
                <w:szCs w:val="21"/>
              </w:rPr>
            </w:pPr>
            <w:r>
              <w:rPr>
                <w:rFonts w:hint="eastAsia" w:ascii="Times New Roman" w:hAnsi="Times New Roman" w:eastAsia="宋体" w:cs="Times New Roman"/>
                <w:snapToGrid w:val="0"/>
                <w:kern w:val="0"/>
                <w:szCs w:val="21"/>
              </w:rPr>
              <w:t>40</w:t>
            </w:r>
          </w:p>
        </w:tc>
        <w:tc>
          <w:tcPr>
            <w:tcW w:w="190" w:type="pct"/>
            <w:vMerge w:val="restart"/>
            <w:shd w:val="clear" w:color="auto" w:fill="auto"/>
            <w:vAlign w:val="center"/>
          </w:tcPr>
          <w:p w14:paraId="5AA8D64F">
            <w:pPr>
              <w:adjustRightInd w:val="0"/>
              <w:snapToGrid w:val="0"/>
              <w:spacing w:line="240" w:lineRule="exact"/>
              <w:jc w:val="center"/>
              <w:rPr>
                <w:rFonts w:ascii="Times New Roman" w:hAnsi="Times New Roman" w:eastAsia="宋体" w:cs="Times New Roman"/>
                <w:snapToGrid w:val="0"/>
                <w:kern w:val="0"/>
                <w:szCs w:val="21"/>
              </w:rPr>
            </w:pPr>
            <w:r>
              <w:rPr>
                <w:rFonts w:hint="eastAsia" w:ascii="Times New Roman" w:hAnsi="Times New Roman" w:eastAsia="宋体" w:cs="Times New Roman"/>
                <w:snapToGrid w:val="0"/>
                <w:kern w:val="0"/>
                <w:szCs w:val="21"/>
              </w:rPr>
              <w:t>25</w:t>
            </w:r>
          </w:p>
        </w:tc>
        <w:tc>
          <w:tcPr>
            <w:tcW w:w="2230" w:type="pct"/>
            <w:vMerge w:val="restart"/>
            <w:noWrap/>
            <w:vAlign w:val="center"/>
          </w:tcPr>
          <w:p w14:paraId="06966126">
            <w:pPr>
              <w:rPr>
                <w:rFonts w:ascii="Times New Roman" w:hAnsi="Times New Roman" w:eastAsia="宋体" w:cs="Times New Roman"/>
                <w:szCs w:val="21"/>
              </w:rPr>
            </w:pPr>
            <w:r>
              <w:rPr>
                <w:rFonts w:ascii="Times New Roman" w:hAnsi="Times New Roman" w:eastAsia="宋体" w:cs="Times New Roman"/>
                <w:szCs w:val="21"/>
              </w:rPr>
              <w:t>方案一：安装隔声窗，按每户1万元计，共</w:t>
            </w:r>
            <w:r>
              <w:rPr>
                <w:rFonts w:hint="eastAsia" w:ascii="Times New Roman" w:hAnsi="Times New Roman" w:eastAsia="宋体" w:cs="Times New Roman"/>
                <w:szCs w:val="21"/>
              </w:rPr>
              <w:t>65</w:t>
            </w:r>
            <w:r>
              <w:rPr>
                <w:rFonts w:ascii="Times New Roman" w:hAnsi="Times New Roman" w:eastAsia="宋体" w:cs="Times New Roman"/>
                <w:szCs w:val="21"/>
              </w:rPr>
              <w:t>户，投资</w:t>
            </w:r>
            <w:r>
              <w:rPr>
                <w:rFonts w:hint="eastAsia" w:ascii="Times New Roman" w:hAnsi="Times New Roman" w:eastAsia="宋体" w:cs="Times New Roman"/>
                <w:szCs w:val="21"/>
              </w:rPr>
              <w:t>65</w:t>
            </w:r>
            <w:r>
              <w:rPr>
                <w:rFonts w:ascii="Times New Roman" w:hAnsi="Times New Roman" w:eastAsia="宋体" w:cs="Times New Roman"/>
                <w:szCs w:val="21"/>
              </w:rPr>
              <w:t>万元，隔声量25dB。</w:t>
            </w:r>
          </w:p>
          <w:p w14:paraId="68C097AA">
            <w:pPr>
              <w:adjustRightInd w:val="0"/>
              <w:snapToGrid w:val="0"/>
              <w:spacing w:line="240" w:lineRule="exact"/>
              <w:rPr>
                <w:rFonts w:ascii="Times New Roman" w:hAnsi="Times New Roman" w:eastAsia="宋体" w:cs="Times New Roman"/>
                <w:szCs w:val="21"/>
              </w:rPr>
            </w:pPr>
            <w:r>
              <w:rPr>
                <w:rFonts w:ascii="Times New Roman" w:hAnsi="Times New Roman" w:eastAsia="宋体" w:cs="Times New Roman"/>
                <w:szCs w:val="21"/>
              </w:rPr>
              <w:t>方案二：设置声屏障，拟建公路右侧</w:t>
            </w:r>
            <w:r>
              <w:rPr>
                <w:rFonts w:ascii="Times New Roman" w:hAnsi="Times New Roman" w:cs="Times New Roman" w:eastAsiaTheme="minorEastAsia"/>
                <w:szCs w:val="21"/>
              </w:rPr>
              <w:t>K</w:t>
            </w:r>
            <w:r>
              <w:rPr>
                <w:rFonts w:hint="eastAsia" w:ascii="Times New Roman" w:hAnsi="Times New Roman" w:cs="Times New Roman" w:eastAsiaTheme="minorEastAsia"/>
                <w:szCs w:val="21"/>
              </w:rPr>
              <w:t>20</w:t>
            </w:r>
            <w:r>
              <w:rPr>
                <w:rFonts w:ascii="Times New Roman" w:hAnsi="Times New Roman" w:cs="Times New Roman" w:eastAsiaTheme="minorEastAsia"/>
                <w:szCs w:val="21"/>
              </w:rPr>
              <w:t>+</w:t>
            </w:r>
            <w:r>
              <w:rPr>
                <w:rFonts w:hint="eastAsia" w:ascii="Times New Roman" w:hAnsi="Times New Roman" w:cs="Times New Roman" w:eastAsiaTheme="minorEastAsia"/>
                <w:szCs w:val="21"/>
              </w:rPr>
              <w:t>10</w:t>
            </w:r>
            <w:r>
              <w:rPr>
                <w:rFonts w:ascii="Times New Roman" w:hAnsi="Times New Roman" w:cs="Times New Roman" w:eastAsiaTheme="minorEastAsia"/>
                <w:szCs w:val="21"/>
              </w:rPr>
              <w:t>0～K</w:t>
            </w:r>
            <w:r>
              <w:rPr>
                <w:rFonts w:hint="eastAsia" w:ascii="Times New Roman" w:hAnsi="Times New Roman" w:cs="Times New Roman" w:eastAsiaTheme="minorEastAsia"/>
                <w:szCs w:val="21"/>
              </w:rPr>
              <w:t>20</w:t>
            </w:r>
            <w:r>
              <w:rPr>
                <w:rFonts w:ascii="Times New Roman" w:hAnsi="Times New Roman" w:cs="Times New Roman" w:eastAsiaTheme="minorEastAsia"/>
                <w:szCs w:val="21"/>
              </w:rPr>
              <w:t>+</w:t>
            </w:r>
            <w:r>
              <w:rPr>
                <w:rFonts w:hint="eastAsia" w:ascii="Times New Roman" w:hAnsi="Times New Roman" w:cs="Times New Roman" w:eastAsiaTheme="minorEastAsia"/>
                <w:szCs w:val="21"/>
              </w:rPr>
              <w:t>95</w:t>
            </w:r>
            <w:r>
              <w:rPr>
                <w:rFonts w:ascii="Times New Roman" w:hAnsi="Times New Roman" w:cs="Times New Roman" w:eastAsiaTheme="minorEastAsia"/>
                <w:szCs w:val="21"/>
              </w:rPr>
              <w:t>0</w:t>
            </w:r>
            <w:r>
              <w:rPr>
                <w:rFonts w:ascii="Times New Roman" w:hAnsi="Times New Roman" w:eastAsia="宋体" w:cs="Times New Roman"/>
                <w:szCs w:val="21"/>
              </w:rPr>
              <w:t>和</w:t>
            </w:r>
            <w:r>
              <w:rPr>
                <w:rFonts w:ascii="Times New Roman" w:hAnsi="Times New Roman" w:cs="Times New Roman" w:eastAsiaTheme="minorEastAsia"/>
                <w:szCs w:val="21"/>
              </w:rPr>
              <w:t>K</w:t>
            </w:r>
            <w:r>
              <w:rPr>
                <w:rFonts w:hint="eastAsia" w:ascii="Times New Roman" w:hAnsi="Times New Roman" w:cs="Times New Roman" w:eastAsiaTheme="minorEastAsia"/>
                <w:szCs w:val="21"/>
              </w:rPr>
              <w:t>21</w:t>
            </w:r>
            <w:r>
              <w:rPr>
                <w:rFonts w:ascii="Times New Roman" w:hAnsi="Times New Roman" w:cs="Times New Roman" w:eastAsiaTheme="minorEastAsia"/>
                <w:szCs w:val="21"/>
              </w:rPr>
              <w:t>+</w:t>
            </w:r>
            <w:r>
              <w:rPr>
                <w:rFonts w:hint="eastAsia" w:ascii="Times New Roman" w:hAnsi="Times New Roman" w:cs="Times New Roman" w:eastAsiaTheme="minorEastAsia"/>
                <w:szCs w:val="21"/>
              </w:rPr>
              <w:t>05</w:t>
            </w:r>
            <w:r>
              <w:rPr>
                <w:rFonts w:ascii="Times New Roman" w:hAnsi="Times New Roman" w:cs="Times New Roman" w:eastAsiaTheme="minorEastAsia"/>
                <w:szCs w:val="21"/>
              </w:rPr>
              <w:t>0～K</w:t>
            </w:r>
            <w:r>
              <w:rPr>
                <w:rFonts w:hint="eastAsia" w:ascii="Times New Roman" w:hAnsi="Times New Roman" w:cs="Times New Roman" w:eastAsiaTheme="minorEastAsia"/>
                <w:szCs w:val="21"/>
              </w:rPr>
              <w:t>21</w:t>
            </w:r>
            <w:r>
              <w:rPr>
                <w:rFonts w:ascii="Times New Roman" w:hAnsi="Times New Roman" w:cs="Times New Roman" w:eastAsiaTheme="minorEastAsia"/>
                <w:szCs w:val="21"/>
              </w:rPr>
              <w:t>+</w:t>
            </w:r>
            <w:r>
              <w:rPr>
                <w:rFonts w:hint="eastAsia" w:ascii="Times New Roman" w:hAnsi="Times New Roman" w:cs="Times New Roman" w:eastAsiaTheme="minorEastAsia"/>
                <w:szCs w:val="21"/>
              </w:rPr>
              <w:t>55</w:t>
            </w:r>
            <w:r>
              <w:rPr>
                <w:rFonts w:ascii="Times New Roman" w:hAnsi="Times New Roman" w:cs="Times New Roman" w:eastAsiaTheme="minorEastAsia"/>
                <w:szCs w:val="21"/>
              </w:rPr>
              <w:t>0（根据《</w:t>
            </w:r>
            <w:r>
              <w:rPr>
                <w:rFonts w:hint="eastAsia" w:ascii="Times New Roman" w:hAnsi="Times New Roman" w:cs="Times New Roman" w:eastAsiaTheme="minorEastAsia"/>
                <w:szCs w:val="21"/>
              </w:rPr>
              <w:t>公路路线设计规范（JTG D20—2017）</w:t>
            </w:r>
            <w:r>
              <w:rPr>
                <w:rFonts w:ascii="Times New Roman" w:hAnsi="Times New Roman" w:cs="Times New Roman" w:eastAsiaTheme="minorEastAsia"/>
                <w:szCs w:val="21"/>
              </w:rPr>
              <w:t>》，考虑行车安全视距，每处平交口两侧共需断开</w:t>
            </w:r>
            <w:r>
              <w:rPr>
                <w:rFonts w:hint="eastAsia" w:ascii="Times New Roman" w:hAnsi="Times New Roman" w:cs="Times New Roman" w:eastAsiaTheme="minorEastAsia"/>
                <w:szCs w:val="21"/>
              </w:rPr>
              <w:t>220m，该路段共3处平交口</w:t>
            </w:r>
            <w:r>
              <w:rPr>
                <w:rFonts w:ascii="Times New Roman" w:hAnsi="Times New Roman" w:cs="Times New Roman" w:eastAsiaTheme="minorEastAsia"/>
                <w:szCs w:val="21"/>
              </w:rPr>
              <w:t>）</w:t>
            </w:r>
            <w:r>
              <w:rPr>
                <w:rFonts w:ascii="Times New Roman" w:hAnsi="Times New Roman" w:eastAsia="宋体" w:cs="Times New Roman"/>
                <w:szCs w:val="21"/>
              </w:rPr>
              <w:t>设置</w:t>
            </w:r>
            <w:r>
              <w:rPr>
                <w:rFonts w:hint="eastAsia" w:ascii="Times New Roman" w:hAnsi="Times New Roman" w:eastAsia="宋体" w:cs="Times New Roman"/>
                <w:szCs w:val="21"/>
              </w:rPr>
              <w:t>690</w:t>
            </w:r>
            <w:r>
              <w:rPr>
                <w:rFonts w:ascii="Times New Roman" w:hAnsi="Times New Roman" w:eastAsia="宋体" w:cs="Times New Roman"/>
                <w:szCs w:val="21"/>
              </w:rPr>
              <w:t>m（长）×</w:t>
            </w:r>
            <w:r>
              <w:rPr>
                <w:rFonts w:hint="eastAsia" w:ascii="Times New Roman" w:hAnsi="Times New Roman" w:eastAsia="宋体" w:cs="Times New Roman"/>
                <w:szCs w:val="21"/>
              </w:rPr>
              <w:t>3.0</w:t>
            </w:r>
            <w:r>
              <w:rPr>
                <w:rFonts w:ascii="Times New Roman" w:hAnsi="Times New Roman" w:eastAsia="宋体" w:cs="Times New Roman"/>
                <w:szCs w:val="21"/>
              </w:rPr>
              <w:t>m（高）声屏障，左侧</w:t>
            </w:r>
            <w:r>
              <w:rPr>
                <w:rFonts w:ascii="Times New Roman" w:hAnsi="Times New Roman" w:cs="Times New Roman" w:eastAsiaTheme="minorEastAsia"/>
                <w:szCs w:val="21"/>
              </w:rPr>
              <w:t>K</w:t>
            </w:r>
            <w:r>
              <w:rPr>
                <w:rFonts w:hint="eastAsia" w:ascii="Times New Roman" w:hAnsi="Times New Roman" w:cs="Times New Roman" w:eastAsiaTheme="minorEastAsia"/>
                <w:szCs w:val="21"/>
              </w:rPr>
              <w:t>21</w:t>
            </w:r>
            <w:r>
              <w:rPr>
                <w:rFonts w:ascii="Times New Roman" w:hAnsi="Times New Roman" w:cs="Times New Roman" w:eastAsiaTheme="minorEastAsia"/>
                <w:szCs w:val="21"/>
              </w:rPr>
              <w:t>+</w:t>
            </w:r>
            <w:r>
              <w:rPr>
                <w:rFonts w:hint="eastAsia" w:ascii="Times New Roman" w:hAnsi="Times New Roman" w:cs="Times New Roman" w:eastAsiaTheme="minorEastAsia"/>
                <w:szCs w:val="21"/>
              </w:rPr>
              <w:t>25</w:t>
            </w:r>
            <w:r>
              <w:rPr>
                <w:rFonts w:ascii="Times New Roman" w:hAnsi="Times New Roman" w:cs="Times New Roman" w:eastAsiaTheme="minorEastAsia"/>
                <w:szCs w:val="21"/>
              </w:rPr>
              <w:t>0～K</w:t>
            </w:r>
            <w:r>
              <w:rPr>
                <w:rFonts w:hint="eastAsia" w:ascii="Times New Roman" w:hAnsi="Times New Roman" w:cs="Times New Roman" w:eastAsiaTheme="minorEastAsia"/>
                <w:szCs w:val="21"/>
              </w:rPr>
              <w:t>21</w:t>
            </w:r>
            <w:r>
              <w:rPr>
                <w:rFonts w:ascii="Times New Roman" w:hAnsi="Times New Roman" w:cs="Times New Roman" w:eastAsiaTheme="minorEastAsia"/>
                <w:szCs w:val="21"/>
              </w:rPr>
              <w:t>+</w:t>
            </w:r>
            <w:r>
              <w:rPr>
                <w:rFonts w:hint="eastAsia" w:ascii="Times New Roman" w:hAnsi="Times New Roman" w:cs="Times New Roman" w:eastAsiaTheme="minorEastAsia"/>
                <w:szCs w:val="21"/>
              </w:rPr>
              <w:t>75</w:t>
            </w:r>
            <w:r>
              <w:rPr>
                <w:rFonts w:ascii="Times New Roman" w:hAnsi="Times New Roman" w:cs="Times New Roman" w:eastAsiaTheme="minorEastAsia"/>
                <w:szCs w:val="21"/>
              </w:rPr>
              <w:t>0（根据《</w:t>
            </w:r>
            <w:r>
              <w:rPr>
                <w:rFonts w:hint="eastAsia" w:ascii="Times New Roman" w:hAnsi="Times New Roman" w:cs="Times New Roman" w:eastAsiaTheme="minorEastAsia"/>
                <w:szCs w:val="21"/>
              </w:rPr>
              <w:t>公路路线设计规范（JTG D20—2017）</w:t>
            </w:r>
            <w:r>
              <w:rPr>
                <w:rFonts w:ascii="Times New Roman" w:hAnsi="Times New Roman" w:cs="Times New Roman" w:eastAsiaTheme="minorEastAsia"/>
                <w:szCs w:val="21"/>
              </w:rPr>
              <w:t>》，考虑行车安全视距，每处平交口两侧共需断开</w:t>
            </w:r>
            <w:r>
              <w:rPr>
                <w:rFonts w:hint="eastAsia" w:ascii="Times New Roman" w:hAnsi="Times New Roman" w:cs="Times New Roman" w:eastAsiaTheme="minorEastAsia"/>
                <w:szCs w:val="21"/>
              </w:rPr>
              <w:t>220m，该路段共1处平交口</w:t>
            </w:r>
            <w:r>
              <w:rPr>
                <w:rFonts w:ascii="Times New Roman" w:hAnsi="Times New Roman" w:cs="Times New Roman" w:eastAsiaTheme="minorEastAsia"/>
                <w:szCs w:val="21"/>
              </w:rPr>
              <w:t>）</w:t>
            </w:r>
            <w:r>
              <w:rPr>
                <w:rFonts w:ascii="Times New Roman" w:hAnsi="Times New Roman" w:eastAsia="宋体" w:cs="Times New Roman"/>
                <w:szCs w:val="21"/>
              </w:rPr>
              <w:t>设置</w:t>
            </w:r>
            <w:r>
              <w:rPr>
                <w:rFonts w:hint="eastAsia" w:ascii="Times New Roman" w:hAnsi="Times New Roman" w:eastAsia="宋体" w:cs="Times New Roman"/>
                <w:szCs w:val="21"/>
              </w:rPr>
              <w:t>280</w:t>
            </w:r>
            <w:r>
              <w:rPr>
                <w:rFonts w:ascii="Times New Roman" w:hAnsi="Times New Roman" w:eastAsia="宋体" w:cs="Times New Roman"/>
                <w:szCs w:val="21"/>
              </w:rPr>
              <w:t>m（长）×</w:t>
            </w:r>
            <w:r>
              <w:rPr>
                <w:rFonts w:hint="eastAsia" w:ascii="Times New Roman" w:hAnsi="Times New Roman" w:eastAsia="宋体" w:cs="Times New Roman"/>
                <w:szCs w:val="21"/>
              </w:rPr>
              <w:t>3.0</w:t>
            </w:r>
            <w:r>
              <w:rPr>
                <w:rFonts w:ascii="Times New Roman" w:hAnsi="Times New Roman" w:eastAsia="宋体" w:cs="Times New Roman"/>
                <w:szCs w:val="21"/>
              </w:rPr>
              <w:t>m（高）声屏障，</w:t>
            </w:r>
            <w:r>
              <w:rPr>
                <w:rFonts w:hint="eastAsia" w:ascii="Times New Roman" w:hAnsi="Times New Roman" w:eastAsia="宋体" w:cs="Times New Roman"/>
                <w:szCs w:val="21"/>
              </w:rPr>
              <w:t>2</w:t>
            </w:r>
            <w:r>
              <w:rPr>
                <w:rFonts w:ascii="Times New Roman" w:hAnsi="Times New Roman" w:eastAsia="宋体" w:cs="Times New Roman"/>
                <w:szCs w:val="21"/>
              </w:rPr>
              <w:t>000元/m，共投资</w:t>
            </w:r>
            <w:r>
              <w:rPr>
                <w:rFonts w:hint="eastAsia" w:ascii="Times New Roman" w:hAnsi="Times New Roman" w:eastAsia="宋体" w:cs="Times New Roman"/>
                <w:szCs w:val="21"/>
              </w:rPr>
              <w:t>194</w:t>
            </w:r>
            <w:r>
              <w:rPr>
                <w:rFonts w:ascii="Times New Roman" w:hAnsi="Times New Roman" w:eastAsia="宋体" w:cs="Times New Roman"/>
                <w:szCs w:val="21"/>
              </w:rPr>
              <w:t>万元</w:t>
            </w:r>
            <w:r>
              <w:rPr>
                <w:rFonts w:ascii="Times New Roman" w:hAnsi="Times New Roman" w:eastAsia="宋体" w:cs="Times New Roman"/>
              </w:rPr>
              <w:t>。</w:t>
            </w:r>
            <w:r>
              <w:rPr>
                <w:rFonts w:ascii="Times New Roman" w:hAnsi="Times New Roman" w:eastAsia="宋体" w:cs="Times New Roman"/>
                <w:szCs w:val="21"/>
              </w:rPr>
              <w:t>拟建公路左侧</w:t>
            </w:r>
            <w:r>
              <w:rPr>
                <w:rFonts w:ascii="Times New Roman" w:hAnsi="Times New Roman" w:cs="Times New Roman" w:eastAsiaTheme="minorEastAsia"/>
                <w:szCs w:val="21"/>
              </w:rPr>
              <w:t>K</w:t>
            </w:r>
            <w:r>
              <w:rPr>
                <w:rFonts w:hint="eastAsia" w:ascii="Times New Roman" w:hAnsi="Times New Roman" w:cs="Times New Roman" w:eastAsiaTheme="minorEastAsia"/>
                <w:szCs w:val="21"/>
              </w:rPr>
              <w:t>20</w:t>
            </w:r>
            <w:r>
              <w:rPr>
                <w:rFonts w:ascii="Times New Roman" w:hAnsi="Times New Roman" w:cs="Times New Roman" w:eastAsiaTheme="minorEastAsia"/>
                <w:szCs w:val="21"/>
              </w:rPr>
              <w:t>+</w:t>
            </w:r>
            <w:r>
              <w:rPr>
                <w:rFonts w:hint="eastAsia" w:ascii="Times New Roman" w:hAnsi="Times New Roman" w:cs="Times New Roman" w:eastAsiaTheme="minorEastAsia"/>
                <w:szCs w:val="21"/>
              </w:rPr>
              <w:t>85</w:t>
            </w:r>
            <w:r>
              <w:rPr>
                <w:rFonts w:ascii="Times New Roman" w:hAnsi="Times New Roman" w:cs="Times New Roman" w:eastAsiaTheme="minorEastAsia"/>
                <w:szCs w:val="21"/>
              </w:rPr>
              <w:t>0～K</w:t>
            </w:r>
            <w:r>
              <w:rPr>
                <w:rFonts w:hint="eastAsia" w:ascii="Times New Roman" w:hAnsi="Times New Roman" w:cs="Times New Roman" w:eastAsiaTheme="minorEastAsia"/>
                <w:szCs w:val="21"/>
              </w:rPr>
              <w:t>21</w:t>
            </w:r>
            <w:r>
              <w:rPr>
                <w:rFonts w:ascii="Times New Roman" w:hAnsi="Times New Roman" w:cs="Times New Roman" w:eastAsiaTheme="minorEastAsia"/>
                <w:szCs w:val="21"/>
              </w:rPr>
              <w:t>+</w:t>
            </w:r>
            <w:r>
              <w:rPr>
                <w:rFonts w:hint="eastAsia" w:ascii="Times New Roman" w:hAnsi="Times New Roman" w:cs="Times New Roman" w:eastAsiaTheme="minorEastAsia"/>
                <w:szCs w:val="21"/>
              </w:rPr>
              <w:t>05</w:t>
            </w:r>
            <w:r>
              <w:rPr>
                <w:rFonts w:ascii="Times New Roman" w:hAnsi="Times New Roman" w:cs="Times New Roman" w:eastAsiaTheme="minorEastAsia"/>
                <w:szCs w:val="21"/>
              </w:rPr>
              <w:t>0</w:t>
            </w:r>
            <w:r>
              <w:rPr>
                <w:rFonts w:ascii="Times New Roman" w:hAnsi="Times New Roman" w:eastAsia="宋体" w:cs="Times New Roman"/>
              </w:rPr>
              <w:t>路段房屋</w:t>
            </w:r>
            <w:r>
              <w:rPr>
                <w:rFonts w:hint="eastAsia" w:ascii="Times New Roman" w:hAnsi="Times New Roman" w:eastAsia="宋体" w:cs="Times New Roman"/>
              </w:rPr>
              <w:t>集中</w:t>
            </w:r>
            <w:r>
              <w:rPr>
                <w:rFonts w:ascii="Times New Roman" w:hAnsi="Times New Roman" w:eastAsia="宋体" w:cs="Times New Roman"/>
              </w:rPr>
              <w:t>分布于平交口两侧，</w:t>
            </w:r>
            <w:r>
              <w:rPr>
                <w:rFonts w:ascii="Times New Roman" w:hAnsi="Times New Roman" w:cs="Times New Roman" w:eastAsiaTheme="minorEastAsia"/>
                <w:szCs w:val="21"/>
              </w:rPr>
              <w:t>考虑行车安全视距，</w:t>
            </w:r>
            <w:r>
              <w:rPr>
                <w:rFonts w:ascii="Times New Roman" w:hAnsi="Times New Roman" w:eastAsia="宋体" w:cs="Times New Roman"/>
              </w:rPr>
              <w:t>平交口处无法设置声屏障</w:t>
            </w:r>
            <w:r>
              <w:rPr>
                <w:rFonts w:hint="eastAsia" w:ascii="Times New Roman" w:hAnsi="Times New Roman" w:eastAsia="宋体" w:cs="Times New Roman"/>
              </w:rPr>
              <w:t>。</w:t>
            </w:r>
            <w:r>
              <w:rPr>
                <w:rFonts w:ascii="Times New Roman" w:hAnsi="Times New Roman" w:eastAsia="宋体" w:cs="Times New Roman"/>
              </w:rPr>
              <w:t>房屋距路较近，超标量较大，仅采取声屏障降噪措施</w:t>
            </w:r>
            <w:r>
              <w:rPr>
                <w:rFonts w:hint="eastAsia" w:ascii="Times New Roman" w:hAnsi="Times New Roman" w:eastAsia="宋体" w:cs="Times New Roman"/>
              </w:rPr>
              <w:t>难以</w:t>
            </w:r>
            <w:r>
              <w:rPr>
                <w:rFonts w:ascii="Times New Roman" w:hAnsi="Times New Roman" w:eastAsia="宋体" w:cs="Times New Roman"/>
              </w:rPr>
              <w:t>达标</w:t>
            </w:r>
            <w:r>
              <w:rPr>
                <w:rFonts w:hint="eastAsia" w:ascii="Times New Roman" w:hAnsi="Times New Roman" w:eastAsia="宋体" w:cs="Times New Roman"/>
                <w:szCs w:val="21"/>
              </w:rPr>
              <w:t>，需同时</w:t>
            </w:r>
            <w:r>
              <w:rPr>
                <w:rFonts w:ascii="Times New Roman" w:hAnsi="Times New Roman" w:eastAsia="宋体" w:cs="Times New Roman"/>
              </w:rPr>
              <w:t>对超标的</w:t>
            </w:r>
            <w:r>
              <w:rPr>
                <w:rFonts w:hint="eastAsia" w:ascii="Times New Roman" w:hAnsi="Times New Roman" w:eastAsia="宋体" w:cs="Times New Roman"/>
              </w:rPr>
              <w:t>65</w:t>
            </w:r>
            <w:r>
              <w:rPr>
                <w:rFonts w:ascii="Times New Roman" w:hAnsi="Times New Roman" w:eastAsia="宋体" w:cs="Times New Roman"/>
              </w:rPr>
              <w:t>户安装隔声窗，隔声量20～25dB，每户投资1万元，共计</w:t>
            </w:r>
            <w:r>
              <w:rPr>
                <w:rFonts w:hint="eastAsia" w:ascii="Times New Roman" w:hAnsi="Times New Roman" w:eastAsia="宋体" w:cs="Times New Roman"/>
              </w:rPr>
              <w:t>65</w:t>
            </w:r>
            <w:r>
              <w:rPr>
                <w:rFonts w:ascii="Times New Roman" w:hAnsi="Times New Roman" w:eastAsia="宋体" w:cs="Times New Roman"/>
              </w:rPr>
              <w:t>万元。</w:t>
            </w:r>
          </w:p>
          <w:p w14:paraId="33820935">
            <w:pPr>
              <w:widowControl/>
              <w:jc w:val="left"/>
              <w:rPr>
                <w:rFonts w:ascii="Times New Roman" w:hAnsi="Times New Roman" w:eastAsia="宋体" w:cs="Times New Roman"/>
                <w:szCs w:val="21"/>
              </w:rPr>
            </w:pPr>
            <w:r>
              <w:rPr>
                <w:rFonts w:ascii="Times New Roman" w:hAnsi="Times New Roman" w:eastAsia="宋体" w:cs="Times New Roman"/>
                <w:szCs w:val="21"/>
              </w:rPr>
              <w:t>推荐：综合考虑推荐方案</w:t>
            </w:r>
            <w:r>
              <w:rPr>
                <w:rFonts w:hint="eastAsia" w:ascii="Times New Roman" w:hAnsi="Times New Roman" w:eastAsia="宋体" w:cs="Times New Roman"/>
                <w:szCs w:val="21"/>
              </w:rPr>
              <w:t>二</w:t>
            </w:r>
            <w:r>
              <w:rPr>
                <w:rFonts w:ascii="Times New Roman" w:hAnsi="Times New Roman" w:eastAsia="宋体" w:cs="Times New Roman"/>
                <w:szCs w:val="21"/>
              </w:rPr>
              <w:t>。</w:t>
            </w:r>
          </w:p>
        </w:tc>
        <w:tc>
          <w:tcPr>
            <w:tcW w:w="242" w:type="pct"/>
            <w:vMerge w:val="restart"/>
            <w:vAlign w:val="center"/>
          </w:tcPr>
          <w:p w14:paraId="7196FAF4">
            <w:pPr>
              <w:widowControl/>
              <w:jc w:val="center"/>
              <w:rPr>
                <w:rFonts w:ascii="Times New Roman" w:hAnsi="Times New Roman" w:eastAsia="宋体" w:cs="Times New Roman"/>
                <w:kern w:val="0"/>
              </w:rPr>
            </w:pPr>
            <w:r>
              <w:rPr>
                <w:rFonts w:ascii="Times New Roman" w:hAnsi="Times New Roman" w:eastAsia="宋体" w:cs="Times New Roman"/>
                <w:kern w:val="0"/>
              </w:rPr>
              <w:t>声屏障+隔声窗</w:t>
            </w:r>
          </w:p>
        </w:tc>
        <w:tc>
          <w:tcPr>
            <w:tcW w:w="260" w:type="pct"/>
            <w:vMerge w:val="restart"/>
            <w:vAlign w:val="center"/>
          </w:tcPr>
          <w:p w14:paraId="5DEA5EFC">
            <w:pPr>
              <w:widowControl/>
              <w:jc w:val="center"/>
              <w:rPr>
                <w:rFonts w:ascii="Times New Roman" w:hAnsi="Times New Roman" w:eastAsia="宋体" w:cs="Times New Roman"/>
                <w:kern w:val="0"/>
              </w:rPr>
            </w:pPr>
            <w:r>
              <w:rPr>
                <w:rFonts w:ascii="Times New Roman" w:hAnsi="Times New Roman" w:eastAsia="宋体" w:cs="Times New Roman"/>
                <w:kern w:val="0"/>
              </w:rPr>
              <w:t>室内达标</w:t>
            </w:r>
          </w:p>
        </w:tc>
        <w:tc>
          <w:tcPr>
            <w:tcW w:w="251" w:type="pct"/>
            <w:vMerge w:val="restart"/>
            <w:vAlign w:val="center"/>
          </w:tcPr>
          <w:p w14:paraId="2622A4CE">
            <w:pPr>
              <w:jc w:val="center"/>
              <w:rPr>
                <w:rFonts w:ascii="Times New Roman" w:hAnsi="Times New Roman" w:eastAsia="宋体" w:cs="Times New Roman"/>
                <w:szCs w:val="21"/>
              </w:rPr>
            </w:pPr>
            <w:r>
              <w:rPr>
                <w:rFonts w:hint="eastAsia" w:ascii="Times New Roman" w:hAnsi="Times New Roman" w:eastAsia="宋体" w:cs="Times New Roman"/>
                <w:szCs w:val="21"/>
              </w:rPr>
              <w:t>259</w:t>
            </w:r>
          </w:p>
        </w:tc>
      </w:tr>
      <w:tr w14:paraId="6E79D777">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trHeight w:val="517" w:hRule="atLeast"/>
          <w:tblHeader/>
          <w:jc w:val="center"/>
        </w:trPr>
        <w:tc>
          <w:tcPr>
            <w:tcW w:w="180" w:type="pct"/>
            <w:vMerge w:val="continue"/>
            <w:noWrap/>
            <w:vAlign w:val="center"/>
          </w:tcPr>
          <w:p w14:paraId="71932F7C">
            <w:pPr>
              <w:jc w:val="center"/>
              <w:rPr>
                <w:rFonts w:ascii="Times New Roman" w:hAnsi="Times New Roman" w:eastAsia="宋体" w:cs="Times New Roman"/>
              </w:rPr>
            </w:pPr>
          </w:p>
        </w:tc>
        <w:tc>
          <w:tcPr>
            <w:tcW w:w="278" w:type="pct"/>
            <w:vAlign w:val="center"/>
          </w:tcPr>
          <w:p w14:paraId="43925C2A">
            <w:pPr>
              <w:jc w:val="center"/>
              <w:rPr>
                <w:rFonts w:ascii="Times New Roman" w:hAnsi="Times New Roman" w:cs="Times New Roman" w:eastAsiaTheme="minorEastAsia"/>
                <w:szCs w:val="21"/>
              </w:rPr>
            </w:pPr>
            <w:r>
              <w:rPr>
                <w:rFonts w:ascii="Times New Roman" w:hAnsi="Times New Roman" w:cs="Times New Roman" w:eastAsiaTheme="minorEastAsia"/>
                <w:szCs w:val="21"/>
              </w:rPr>
              <w:t>K</w:t>
            </w:r>
            <w:r>
              <w:rPr>
                <w:rFonts w:hint="eastAsia" w:ascii="Times New Roman" w:hAnsi="Times New Roman" w:cs="Times New Roman" w:eastAsiaTheme="minorEastAsia"/>
                <w:szCs w:val="21"/>
              </w:rPr>
              <w:t>21</w:t>
            </w:r>
            <w:r>
              <w:rPr>
                <w:rFonts w:ascii="Times New Roman" w:hAnsi="Times New Roman" w:cs="Times New Roman" w:eastAsiaTheme="minorEastAsia"/>
                <w:szCs w:val="21"/>
              </w:rPr>
              <w:t>+</w:t>
            </w:r>
            <w:r>
              <w:rPr>
                <w:rFonts w:hint="eastAsia" w:ascii="Times New Roman" w:hAnsi="Times New Roman" w:cs="Times New Roman" w:eastAsiaTheme="minorEastAsia"/>
                <w:szCs w:val="21"/>
              </w:rPr>
              <w:t>10</w:t>
            </w:r>
            <w:r>
              <w:rPr>
                <w:rFonts w:ascii="Times New Roman" w:hAnsi="Times New Roman" w:cs="Times New Roman" w:eastAsiaTheme="minorEastAsia"/>
                <w:szCs w:val="21"/>
              </w:rPr>
              <w:t>0～K</w:t>
            </w:r>
            <w:r>
              <w:rPr>
                <w:rFonts w:hint="eastAsia" w:ascii="Times New Roman" w:hAnsi="Times New Roman" w:cs="Times New Roman" w:eastAsiaTheme="minorEastAsia"/>
                <w:szCs w:val="21"/>
              </w:rPr>
              <w:t>21</w:t>
            </w:r>
            <w:r>
              <w:rPr>
                <w:rFonts w:ascii="Times New Roman" w:hAnsi="Times New Roman" w:cs="Times New Roman" w:eastAsiaTheme="minorEastAsia"/>
                <w:szCs w:val="21"/>
              </w:rPr>
              <w:t>+</w:t>
            </w:r>
            <w:r>
              <w:rPr>
                <w:rFonts w:hint="eastAsia" w:ascii="Times New Roman" w:hAnsi="Times New Roman" w:cs="Times New Roman" w:eastAsiaTheme="minorEastAsia"/>
                <w:szCs w:val="21"/>
              </w:rPr>
              <w:t>50</w:t>
            </w:r>
            <w:r>
              <w:rPr>
                <w:rFonts w:ascii="Times New Roman" w:hAnsi="Times New Roman" w:cs="Times New Roman" w:eastAsiaTheme="minorEastAsia"/>
                <w:szCs w:val="21"/>
              </w:rPr>
              <w:t>0</w:t>
            </w:r>
          </w:p>
        </w:tc>
        <w:tc>
          <w:tcPr>
            <w:tcW w:w="346" w:type="pct"/>
            <w:vMerge w:val="continue"/>
            <w:vAlign w:val="center"/>
          </w:tcPr>
          <w:p w14:paraId="3A4D6687">
            <w:pPr>
              <w:adjustRightInd w:val="0"/>
              <w:snapToGrid w:val="0"/>
              <w:spacing w:line="240" w:lineRule="exact"/>
              <w:jc w:val="center"/>
              <w:rPr>
                <w:rFonts w:ascii="Times New Roman" w:hAnsi="Times New Roman" w:cs="Times New Roman" w:eastAsiaTheme="minorEastAsia"/>
                <w:szCs w:val="21"/>
              </w:rPr>
            </w:pPr>
          </w:p>
        </w:tc>
        <w:tc>
          <w:tcPr>
            <w:tcW w:w="138" w:type="pct"/>
            <w:vMerge w:val="continue"/>
            <w:vAlign w:val="center"/>
          </w:tcPr>
          <w:p w14:paraId="4E06FCD4">
            <w:pPr>
              <w:adjustRightInd w:val="0"/>
              <w:snapToGrid w:val="0"/>
              <w:spacing w:line="240" w:lineRule="exact"/>
              <w:jc w:val="center"/>
              <w:rPr>
                <w:rFonts w:ascii="Times New Roman" w:hAnsi="Times New Roman" w:cs="Times New Roman" w:eastAsiaTheme="minorEastAsia"/>
                <w:szCs w:val="21"/>
              </w:rPr>
            </w:pPr>
          </w:p>
        </w:tc>
        <w:tc>
          <w:tcPr>
            <w:tcW w:w="209" w:type="pct"/>
            <w:vMerge w:val="continue"/>
            <w:vAlign w:val="center"/>
          </w:tcPr>
          <w:p w14:paraId="4CB94E50">
            <w:pPr>
              <w:adjustRightInd w:val="0"/>
              <w:snapToGrid w:val="0"/>
              <w:spacing w:line="240" w:lineRule="exact"/>
              <w:jc w:val="center"/>
              <w:rPr>
                <w:rFonts w:ascii="Times New Roman" w:hAnsi="Times New Roman" w:eastAsia="宋体" w:cs="Times New Roman"/>
                <w:snapToGrid w:val="0"/>
                <w:kern w:val="0"/>
                <w:szCs w:val="21"/>
              </w:rPr>
            </w:pPr>
          </w:p>
        </w:tc>
        <w:tc>
          <w:tcPr>
            <w:tcW w:w="243" w:type="pct"/>
            <w:vMerge w:val="continue"/>
            <w:vAlign w:val="center"/>
          </w:tcPr>
          <w:p w14:paraId="1535565E">
            <w:pPr>
              <w:adjustRightInd w:val="0"/>
              <w:snapToGrid w:val="0"/>
              <w:spacing w:line="240" w:lineRule="exact"/>
              <w:jc w:val="center"/>
              <w:rPr>
                <w:rFonts w:ascii="Times New Roman" w:hAnsi="Times New Roman" w:eastAsia="宋体" w:cs="Times New Roman"/>
                <w:snapToGrid w:val="0"/>
                <w:kern w:val="0"/>
                <w:szCs w:val="21"/>
              </w:rPr>
            </w:pPr>
          </w:p>
        </w:tc>
        <w:tc>
          <w:tcPr>
            <w:tcW w:w="243" w:type="pct"/>
            <w:vMerge w:val="continue"/>
            <w:vAlign w:val="center"/>
          </w:tcPr>
          <w:p w14:paraId="6798C136">
            <w:pPr>
              <w:adjustRightInd w:val="0"/>
              <w:snapToGrid w:val="0"/>
              <w:spacing w:line="240" w:lineRule="exact"/>
              <w:jc w:val="center"/>
              <w:rPr>
                <w:rFonts w:ascii="Times New Roman" w:hAnsi="Times New Roman" w:eastAsia="宋体" w:cs="Times New Roman"/>
                <w:snapToGrid w:val="0"/>
                <w:kern w:val="0"/>
                <w:szCs w:val="21"/>
              </w:rPr>
            </w:pPr>
          </w:p>
        </w:tc>
        <w:tc>
          <w:tcPr>
            <w:tcW w:w="190" w:type="pct"/>
            <w:vMerge w:val="continue"/>
            <w:shd w:val="clear" w:color="auto" w:fill="auto"/>
            <w:vAlign w:val="center"/>
          </w:tcPr>
          <w:p w14:paraId="404B0374">
            <w:pPr>
              <w:adjustRightInd w:val="0"/>
              <w:snapToGrid w:val="0"/>
              <w:spacing w:line="240" w:lineRule="exact"/>
              <w:jc w:val="center"/>
              <w:rPr>
                <w:rFonts w:ascii="Times New Roman" w:hAnsi="Times New Roman" w:eastAsia="宋体" w:cs="Times New Roman"/>
                <w:snapToGrid w:val="0"/>
                <w:kern w:val="0"/>
                <w:szCs w:val="21"/>
              </w:rPr>
            </w:pPr>
          </w:p>
        </w:tc>
        <w:tc>
          <w:tcPr>
            <w:tcW w:w="190" w:type="pct"/>
            <w:vMerge w:val="continue"/>
            <w:shd w:val="clear" w:color="auto" w:fill="auto"/>
            <w:vAlign w:val="center"/>
          </w:tcPr>
          <w:p w14:paraId="2253C759">
            <w:pPr>
              <w:adjustRightInd w:val="0"/>
              <w:snapToGrid w:val="0"/>
              <w:spacing w:line="240" w:lineRule="exact"/>
              <w:jc w:val="center"/>
              <w:rPr>
                <w:rFonts w:ascii="Times New Roman" w:hAnsi="Times New Roman" w:eastAsia="宋体" w:cs="Times New Roman"/>
                <w:snapToGrid w:val="0"/>
                <w:kern w:val="0"/>
                <w:szCs w:val="21"/>
              </w:rPr>
            </w:pPr>
          </w:p>
        </w:tc>
        <w:tc>
          <w:tcPr>
            <w:tcW w:w="2230" w:type="pct"/>
            <w:vMerge w:val="continue"/>
            <w:noWrap/>
            <w:vAlign w:val="center"/>
          </w:tcPr>
          <w:p w14:paraId="5D603B85">
            <w:pPr>
              <w:rPr>
                <w:rFonts w:ascii="Times New Roman" w:hAnsi="Times New Roman" w:eastAsia="宋体" w:cs="Times New Roman"/>
                <w:szCs w:val="21"/>
              </w:rPr>
            </w:pPr>
          </w:p>
        </w:tc>
        <w:tc>
          <w:tcPr>
            <w:tcW w:w="242" w:type="pct"/>
            <w:vMerge w:val="continue"/>
            <w:vAlign w:val="center"/>
          </w:tcPr>
          <w:p w14:paraId="307979AC">
            <w:pPr>
              <w:jc w:val="center"/>
              <w:rPr>
                <w:rFonts w:ascii="Times New Roman" w:hAnsi="Times New Roman" w:eastAsia="宋体" w:cs="Times New Roman"/>
                <w:szCs w:val="21"/>
              </w:rPr>
            </w:pPr>
          </w:p>
        </w:tc>
        <w:tc>
          <w:tcPr>
            <w:tcW w:w="260" w:type="pct"/>
            <w:vMerge w:val="continue"/>
            <w:vAlign w:val="center"/>
          </w:tcPr>
          <w:p w14:paraId="55050BD7">
            <w:pPr>
              <w:jc w:val="center"/>
              <w:rPr>
                <w:rFonts w:ascii="Times New Roman" w:hAnsi="Times New Roman" w:eastAsia="宋体" w:cs="Times New Roman"/>
                <w:szCs w:val="21"/>
              </w:rPr>
            </w:pPr>
          </w:p>
        </w:tc>
        <w:tc>
          <w:tcPr>
            <w:tcW w:w="251" w:type="pct"/>
            <w:vMerge w:val="continue"/>
            <w:vAlign w:val="center"/>
          </w:tcPr>
          <w:p w14:paraId="623B7022">
            <w:pPr>
              <w:widowControl/>
              <w:adjustRightInd w:val="0"/>
              <w:snapToGrid w:val="0"/>
              <w:spacing w:line="240" w:lineRule="exact"/>
              <w:jc w:val="center"/>
              <w:rPr>
                <w:rFonts w:ascii="Times New Roman" w:hAnsi="Times New Roman" w:eastAsia="宋体" w:cs="Times New Roman"/>
                <w:szCs w:val="21"/>
              </w:rPr>
            </w:pPr>
          </w:p>
        </w:tc>
      </w:tr>
      <w:tr w14:paraId="58E35C17">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trHeight w:val="517" w:hRule="atLeast"/>
          <w:tblHeader/>
          <w:jc w:val="center"/>
        </w:trPr>
        <w:tc>
          <w:tcPr>
            <w:tcW w:w="180" w:type="pct"/>
            <w:vMerge w:val="continue"/>
            <w:noWrap/>
            <w:vAlign w:val="center"/>
          </w:tcPr>
          <w:p w14:paraId="5F08F10E">
            <w:pPr>
              <w:jc w:val="center"/>
              <w:rPr>
                <w:rFonts w:ascii="Times New Roman" w:hAnsi="Times New Roman" w:eastAsia="宋体" w:cs="Times New Roman"/>
              </w:rPr>
            </w:pPr>
          </w:p>
        </w:tc>
        <w:tc>
          <w:tcPr>
            <w:tcW w:w="278" w:type="pct"/>
            <w:vAlign w:val="center"/>
          </w:tcPr>
          <w:p w14:paraId="2FAF24CB">
            <w:pPr>
              <w:jc w:val="center"/>
              <w:rPr>
                <w:rFonts w:ascii="Times New Roman" w:hAnsi="Times New Roman" w:cs="Times New Roman" w:eastAsiaTheme="minorEastAsia"/>
                <w:szCs w:val="21"/>
              </w:rPr>
            </w:pPr>
            <w:r>
              <w:rPr>
                <w:rFonts w:ascii="Times New Roman" w:hAnsi="Times New Roman" w:cs="Times New Roman" w:eastAsiaTheme="minorEastAsia"/>
                <w:szCs w:val="21"/>
              </w:rPr>
              <w:t>K</w:t>
            </w:r>
            <w:r>
              <w:rPr>
                <w:rFonts w:hint="eastAsia" w:ascii="Times New Roman" w:hAnsi="Times New Roman" w:cs="Times New Roman" w:eastAsiaTheme="minorEastAsia"/>
                <w:szCs w:val="21"/>
              </w:rPr>
              <w:t>20</w:t>
            </w:r>
            <w:r>
              <w:rPr>
                <w:rFonts w:ascii="Times New Roman" w:hAnsi="Times New Roman" w:cs="Times New Roman" w:eastAsiaTheme="minorEastAsia"/>
                <w:szCs w:val="21"/>
              </w:rPr>
              <w:t>+</w:t>
            </w:r>
            <w:r>
              <w:rPr>
                <w:rFonts w:hint="eastAsia" w:ascii="Times New Roman" w:hAnsi="Times New Roman" w:cs="Times New Roman" w:eastAsiaTheme="minorEastAsia"/>
                <w:szCs w:val="21"/>
              </w:rPr>
              <w:t>85</w:t>
            </w:r>
            <w:r>
              <w:rPr>
                <w:rFonts w:ascii="Times New Roman" w:hAnsi="Times New Roman" w:cs="Times New Roman" w:eastAsiaTheme="minorEastAsia"/>
                <w:szCs w:val="21"/>
              </w:rPr>
              <w:t>0～K</w:t>
            </w:r>
            <w:r>
              <w:rPr>
                <w:rFonts w:hint="eastAsia" w:ascii="Times New Roman" w:hAnsi="Times New Roman" w:cs="Times New Roman" w:eastAsiaTheme="minorEastAsia"/>
                <w:szCs w:val="21"/>
              </w:rPr>
              <w:t>21</w:t>
            </w:r>
            <w:r>
              <w:rPr>
                <w:rFonts w:ascii="Times New Roman" w:hAnsi="Times New Roman" w:cs="Times New Roman" w:eastAsiaTheme="minorEastAsia"/>
                <w:szCs w:val="21"/>
              </w:rPr>
              <w:t>+</w:t>
            </w:r>
            <w:r>
              <w:rPr>
                <w:rFonts w:hint="eastAsia" w:ascii="Times New Roman" w:hAnsi="Times New Roman" w:cs="Times New Roman" w:eastAsiaTheme="minorEastAsia"/>
                <w:szCs w:val="21"/>
              </w:rPr>
              <w:t>05</w:t>
            </w:r>
            <w:r>
              <w:rPr>
                <w:rFonts w:ascii="Times New Roman" w:hAnsi="Times New Roman" w:cs="Times New Roman" w:eastAsiaTheme="minorEastAsia"/>
                <w:szCs w:val="21"/>
              </w:rPr>
              <w:t>0</w:t>
            </w:r>
          </w:p>
        </w:tc>
        <w:tc>
          <w:tcPr>
            <w:tcW w:w="346" w:type="pct"/>
            <w:vMerge w:val="continue"/>
            <w:vAlign w:val="center"/>
          </w:tcPr>
          <w:p w14:paraId="3CBFE39D">
            <w:pPr>
              <w:adjustRightInd w:val="0"/>
              <w:snapToGrid w:val="0"/>
              <w:spacing w:line="240" w:lineRule="exact"/>
              <w:jc w:val="center"/>
              <w:rPr>
                <w:rFonts w:ascii="Times New Roman" w:hAnsi="Times New Roman" w:cs="Times New Roman" w:eastAsiaTheme="minorEastAsia"/>
                <w:szCs w:val="21"/>
              </w:rPr>
            </w:pPr>
          </w:p>
        </w:tc>
        <w:tc>
          <w:tcPr>
            <w:tcW w:w="138" w:type="pct"/>
            <w:vMerge w:val="restart"/>
            <w:vAlign w:val="center"/>
          </w:tcPr>
          <w:p w14:paraId="3480FA88">
            <w:pPr>
              <w:adjustRightInd w:val="0"/>
              <w:snapToGrid w:val="0"/>
              <w:spacing w:line="240" w:lineRule="exact"/>
              <w:jc w:val="center"/>
              <w:rPr>
                <w:rFonts w:ascii="Times New Roman" w:hAnsi="Times New Roman" w:cs="Times New Roman" w:eastAsiaTheme="minorEastAsia"/>
                <w:szCs w:val="21"/>
              </w:rPr>
            </w:pPr>
            <w:r>
              <w:rPr>
                <w:rFonts w:ascii="Times New Roman" w:hAnsi="Times New Roman" w:cs="Times New Roman" w:eastAsiaTheme="minorEastAsia"/>
                <w:szCs w:val="21"/>
              </w:rPr>
              <w:t>路左</w:t>
            </w:r>
          </w:p>
        </w:tc>
        <w:tc>
          <w:tcPr>
            <w:tcW w:w="209" w:type="pct"/>
            <w:vMerge w:val="continue"/>
            <w:vAlign w:val="center"/>
          </w:tcPr>
          <w:p w14:paraId="420F7D36">
            <w:pPr>
              <w:adjustRightInd w:val="0"/>
              <w:snapToGrid w:val="0"/>
              <w:spacing w:line="240" w:lineRule="exact"/>
              <w:jc w:val="center"/>
              <w:rPr>
                <w:rFonts w:ascii="Times New Roman" w:hAnsi="Times New Roman" w:eastAsia="宋体" w:cs="Times New Roman"/>
                <w:snapToGrid w:val="0"/>
                <w:kern w:val="0"/>
                <w:szCs w:val="21"/>
              </w:rPr>
            </w:pPr>
          </w:p>
        </w:tc>
        <w:tc>
          <w:tcPr>
            <w:tcW w:w="243" w:type="pct"/>
            <w:vMerge w:val="continue"/>
            <w:vAlign w:val="center"/>
          </w:tcPr>
          <w:p w14:paraId="279A226D">
            <w:pPr>
              <w:adjustRightInd w:val="0"/>
              <w:snapToGrid w:val="0"/>
              <w:spacing w:line="240" w:lineRule="exact"/>
              <w:jc w:val="center"/>
              <w:rPr>
                <w:rFonts w:ascii="Times New Roman" w:hAnsi="Times New Roman" w:eastAsia="宋体" w:cs="Times New Roman"/>
                <w:snapToGrid w:val="0"/>
                <w:kern w:val="0"/>
                <w:szCs w:val="21"/>
              </w:rPr>
            </w:pPr>
          </w:p>
        </w:tc>
        <w:tc>
          <w:tcPr>
            <w:tcW w:w="243" w:type="pct"/>
            <w:vMerge w:val="continue"/>
            <w:vAlign w:val="center"/>
          </w:tcPr>
          <w:p w14:paraId="53F09FCB">
            <w:pPr>
              <w:adjustRightInd w:val="0"/>
              <w:snapToGrid w:val="0"/>
              <w:spacing w:line="240" w:lineRule="exact"/>
              <w:jc w:val="center"/>
              <w:rPr>
                <w:rFonts w:ascii="Times New Roman" w:hAnsi="Times New Roman" w:eastAsia="宋体" w:cs="Times New Roman"/>
                <w:snapToGrid w:val="0"/>
                <w:kern w:val="0"/>
                <w:szCs w:val="21"/>
              </w:rPr>
            </w:pPr>
          </w:p>
        </w:tc>
        <w:tc>
          <w:tcPr>
            <w:tcW w:w="190" w:type="pct"/>
            <w:vMerge w:val="continue"/>
            <w:shd w:val="clear" w:color="auto" w:fill="auto"/>
            <w:vAlign w:val="center"/>
          </w:tcPr>
          <w:p w14:paraId="34F7CC42">
            <w:pPr>
              <w:adjustRightInd w:val="0"/>
              <w:snapToGrid w:val="0"/>
              <w:spacing w:line="240" w:lineRule="exact"/>
              <w:jc w:val="center"/>
              <w:rPr>
                <w:rFonts w:ascii="Times New Roman" w:hAnsi="Times New Roman" w:eastAsia="宋体" w:cs="Times New Roman"/>
                <w:snapToGrid w:val="0"/>
                <w:kern w:val="0"/>
                <w:szCs w:val="21"/>
              </w:rPr>
            </w:pPr>
          </w:p>
        </w:tc>
        <w:tc>
          <w:tcPr>
            <w:tcW w:w="190" w:type="pct"/>
            <w:vMerge w:val="continue"/>
            <w:shd w:val="clear" w:color="auto" w:fill="auto"/>
            <w:vAlign w:val="center"/>
          </w:tcPr>
          <w:p w14:paraId="1C7FD266">
            <w:pPr>
              <w:adjustRightInd w:val="0"/>
              <w:snapToGrid w:val="0"/>
              <w:spacing w:line="240" w:lineRule="exact"/>
              <w:jc w:val="center"/>
              <w:rPr>
                <w:rFonts w:ascii="Times New Roman" w:hAnsi="Times New Roman" w:eastAsia="宋体" w:cs="Times New Roman"/>
                <w:snapToGrid w:val="0"/>
                <w:kern w:val="0"/>
                <w:szCs w:val="21"/>
              </w:rPr>
            </w:pPr>
          </w:p>
        </w:tc>
        <w:tc>
          <w:tcPr>
            <w:tcW w:w="2230" w:type="pct"/>
            <w:vMerge w:val="continue"/>
            <w:noWrap/>
            <w:vAlign w:val="center"/>
          </w:tcPr>
          <w:p w14:paraId="4604E8C5">
            <w:pPr>
              <w:rPr>
                <w:rFonts w:ascii="Times New Roman" w:hAnsi="Times New Roman" w:eastAsia="宋体" w:cs="Times New Roman"/>
                <w:szCs w:val="21"/>
              </w:rPr>
            </w:pPr>
          </w:p>
        </w:tc>
        <w:tc>
          <w:tcPr>
            <w:tcW w:w="242" w:type="pct"/>
            <w:vMerge w:val="continue"/>
            <w:vAlign w:val="center"/>
          </w:tcPr>
          <w:p w14:paraId="7D61BB25">
            <w:pPr>
              <w:jc w:val="center"/>
              <w:rPr>
                <w:rFonts w:ascii="Times New Roman" w:hAnsi="Times New Roman" w:eastAsia="宋体" w:cs="Times New Roman"/>
                <w:szCs w:val="21"/>
              </w:rPr>
            </w:pPr>
          </w:p>
        </w:tc>
        <w:tc>
          <w:tcPr>
            <w:tcW w:w="260" w:type="pct"/>
            <w:vMerge w:val="continue"/>
            <w:vAlign w:val="center"/>
          </w:tcPr>
          <w:p w14:paraId="022C51CC">
            <w:pPr>
              <w:jc w:val="center"/>
              <w:rPr>
                <w:rFonts w:ascii="Times New Roman" w:hAnsi="Times New Roman" w:eastAsia="宋体" w:cs="Times New Roman"/>
                <w:szCs w:val="21"/>
              </w:rPr>
            </w:pPr>
          </w:p>
        </w:tc>
        <w:tc>
          <w:tcPr>
            <w:tcW w:w="251" w:type="pct"/>
            <w:vMerge w:val="continue"/>
            <w:vAlign w:val="center"/>
          </w:tcPr>
          <w:p w14:paraId="6C8D1F2B">
            <w:pPr>
              <w:widowControl/>
              <w:adjustRightInd w:val="0"/>
              <w:snapToGrid w:val="0"/>
              <w:spacing w:line="240" w:lineRule="exact"/>
              <w:jc w:val="center"/>
              <w:rPr>
                <w:rFonts w:ascii="Times New Roman" w:hAnsi="Times New Roman" w:eastAsia="宋体" w:cs="Times New Roman"/>
                <w:szCs w:val="21"/>
              </w:rPr>
            </w:pPr>
          </w:p>
        </w:tc>
      </w:tr>
      <w:tr w14:paraId="51C26087">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trHeight w:val="517" w:hRule="atLeast"/>
          <w:tblHeader/>
          <w:jc w:val="center"/>
        </w:trPr>
        <w:tc>
          <w:tcPr>
            <w:tcW w:w="180" w:type="pct"/>
            <w:vMerge w:val="continue"/>
            <w:noWrap/>
            <w:vAlign w:val="center"/>
          </w:tcPr>
          <w:p w14:paraId="7026BF85">
            <w:pPr>
              <w:jc w:val="center"/>
              <w:rPr>
                <w:rFonts w:ascii="Times New Roman" w:hAnsi="Times New Roman" w:eastAsia="宋体" w:cs="Times New Roman"/>
              </w:rPr>
            </w:pPr>
          </w:p>
        </w:tc>
        <w:tc>
          <w:tcPr>
            <w:tcW w:w="278" w:type="pct"/>
            <w:vAlign w:val="center"/>
          </w:tcPr>
          <w:p w14:paraId="4B5448BC">
            <w:pPr>
              <w:jc w:val="center"/>
              <w:rPr>
                <w:rFonts w:ascii="Times New Roman" w:hAnsi="Times New Roman" w:cs="Times New Roman" w:eastAsiaTheme="minorEastAsia"/>
                <w:szCs w:val="21"/>
              </w:rPr>
            </w:pPr>
            <w:r>
              <w:rPr>
                <w:rFonts w:ascii="Times New Roman" w:hAnsi="Times New Roman" w:cs="Times New Roman" w:eastAsiaTheme="minorEastAsia"/>
                <w:szCs w:val="21"/>
              </w:rPr>
              <w:t>K</w:t>
            </w:r>
            <w:r>
              <w:rPr>
                <w:rFonts w:hint="eastAsia" w:ascii="Times New Roman" w:hAnsi="Times New Roman" w:cs="Times New Roman" w:eastAsiaTheme="minorEastAsia"/>
                <w:szCs w:val="21"/>
              </w:rPr>
              <w:t>21</w:t>
            </w:r>
            <w:r>
              <w:rPr>
                <w:rFonts w:ascii="Times New Roman" w:hAnsi="Times New Roman" w:cs="Times New Roman" w:eastAsiaTheme="minorEastAsia"/>
                <w:szCs w:val="21"/>
              </w:rPr>
              <w:t>+</w:t>
            </w:r>
            <w:r>
              <w:rPr>
                <w:rFonts w:hint="eastAsia" w:ascii="Times New Roman" w:hAnsi="Times New Roman" w:cs="Times New Roman" w:eastAsiaTheme="minorEastAsia"/>
                <w:szCs w:val="21"/>
              </w:rPr>
              <w:t>30</w:t>
            </w:r>
            <w:r>
              <w:rPr>
                <w:rFonts w:ascii="Times New Roman" w:hAnsi="Times New Roman" w:cs="Times New Roman" w:eastAsiaTheme="minorEastAsia"/>
                <w:szCs w:val="21"/>
              </w:rPr>
              <w:t>0～K</w:t>
            </w:r>
            <w:r>
              <w:rPr>
                <w:rFonts w:hint="eastAsia" w:ascii="Times New Roman" w:hAnsi="Times New Roman" w:cs="Times New Roman" w:eastAsiaTheme="minorEastAsia"/>
                <w:szCs w:val="21"/>
              </w:rPr>
              <w:t>21</w:t>
            </w:r>
            <w:r>
              <w:rPr>
                <w:rFonts w:ascii="Times New Roman" w:hAnsi="Times New Roman" w:cs="Times New Roman" w:eastAsiaTheme="minorEastAsia"/>
                <w:szCs w:val="21"/>
              </w:rPr>
              <w:t>+</w:t>
            </w:r>
            <w:r>
              <w:rPr>
                <w:rFonts w:hint="eastAsia" w:ascii="Times New Roman" w:hAnsi="Times New Roman" w:cs="Times New Roman" w:eastAsiaTheme="minorEastAsia"/>
                <w:szCs w:val="21"/>
              </w:rPr>
              <w:t>70</w:t>
            </w:r>
            <w:r>
              <w:rPr>
                <w:rFonts w:ascii="Times New Roman" w:hAnsi="Times New Roman" w:cs="Times New Roman" w:eastAsiaTheme="minorEastAsia"/>
                <w:szCs w:val="21"/>
              </w:rPr>
              <w:t>0</w:t>
            </w:r>
          </w:p>
        </w:tc>
        <w:tc>
          <w:tcPr>
            <w:tcW w:w="346" w:type="pct"/>
            <w:vMerge w:val="continue"/>
            <w:vAlign w:val="center"/>
          </w:tcPr>
          <w:p w14:paraId="7FF1F1B4">
            <w:pPr>
              <w:adjustRightInd w:val="0"/>
              <w:snapToGrid w:val="0"/>
              <w:spacing w:line="240" w:lineRule="exact"/>
              <w:jc w:val="center"/>
              <w:rPr>
                <w:rFonts w:ascii="Times New Roman" w:hAnsi="Times New Roman" w:cs="Times New Roman" w:eastAsiaTheme="minorEastAsia"/>
                <w:szCs w:val="21"/>
              </w:rPr>
            </w:pPr>
          </w:p>
        </w:tc>
        <w:tc>
          <w:tcPr>
            <w:tcW w:w="138" w:type="pct"/>
            <w:vMerge w:val="continue"/>
            <w:vAlign w:val="center"/>
          </w:tcPr>
          <w:p w14:paraId="0212347B">
            <w:pPr>
              <w:adjustRightInd w:val="0"/>
              <w:snapToGrid w:val="0"/>
              <w:spacing w:line="240" w:lineRule="exact"/>
              <w:jc w:val="center"/>
              <w:rPr>
                <w:rFonts w:ascii="Times New Roman" w:hAnsi="Times New Roman" w:cs="Times New Roman" w:eastAsiaTheme="minorEastAsia"/>
                <w:szCs w:val="21"/>
              </w:rPr>
            </w:pPr>
          </w:p>
        </w:tc>
        <w:tc>
          <w:tcPr>
            <w:tcW w:w="209" w:type="pct"/>
            <w:vMerge w:val="continue"/>
            <w:vAlign w:val="center"/>
          </w:tcPr>
          <w:p w14:paraId="2302C6D3">
            <w:pPr>
              <w:adjustRightInd w:val="0"/>
              <w:snapToGrid w:val="0"/>
              <w:spacing w:line="240" w:lineRule="exact"/>
              <w:jc w:val="center"/>
              <w:rPr>
                <w:rFonts w:ascii="Times New Roman" w:hAnsi="Times New Roman" w:eastAsia="宋体" w:cs="Times New Roman"/>
                <w:snapToGrid w:val="0"/>
                <w:kern w:val="0"/>
                <w:szCs w:val="21"/>
              </w:rPr>
            </w:pPr>
          </w:p>
        </w:tc>
        <w:tc>
          <w:tcPr>
            <w:tcW w:w="243" w:type="pct"/>
            <w:vMerge w:val="continue"/>
            <w:vAlign w:val="center"/>
          </w:tcPr>
          <w:p w14:paraId="07F62DCF">
            <w:pPr>
              <w:adjustRightInd w:val="0"/>
              <w:snapToGrid w:val="0"/>
              <w:spacing w:line="240" w:lineRule="exact"/>
              <w:jc w:val="center"/>
              <w:rPr>
                <w:rFonts w:ascii="Times New Roman" w:hAnsi="Times New Roman" w:eastAsia="宋体" w:cs="Times New Roman"/>
                <w:snapToGrid w:val="0"/>
                <w:kern w:val="0"/>
                <w:szCs w:val="21"/>
              </w:rPr>
            </w:pPr>
          </w:p>
        </w:tc>
        <w:tc>
          <w:tcPr>
            <w:tcW w:w="243" w:type="pct"/>
            <w:vMerge w:val="continue"/>
            <w:vAlign w:val="center"/>
          </w:tcPr>
          <w:p w14:paraId="76AC207D">
            <w:pPr>
              <w:adjustRightInd w:val="0"/>
              <w:snapToGrid w:val="0"/>
              <w:spacing w:line="240" w:lineRule="exact"/>
              <w:jc w:val="center"/>
              <w:rPr>
                <w:rFonts w:ascii="Times New Roman" w:hAnsi="Times New Roman" w:eastAsia="宋体" w:cs="Times New Roman"/>
                <w:snapToGrid w:val="0"/>
                <w:kern w:val="0"/>
                <w:szCs w:val="21"/>
              </w:rPr>
            </w:pPr>
          </w:p>
        </w:tc>
        <w:tc>
          <w:tcPr>
            <w:tcW w:w="190" w:type="pct"/>
            <w:vMerge w:val="continue"/>
            <w:shd w:val="clear" w:color="auto" w:fill="auto"/>
            <w:vAlign w:val="center"/>
          </w:tcPr>
          <w:p w14:paraId="3D54C97A">
            <w:pPr>
              <w:adjustRightInd w:val="0"/>
              <w:snapToGrid w:val="0"/>
              <w:spacing w:line="240" w:lineRule="exact"/>
              <w:jc w:val="center"/>
              <w:rPr>
                <w:rFonts w:ascii="Times New Roman" w:hAnsi="Times New Roman" w:eastAsia="宋体" w:cs="Times New Roman"/>
                <w:snapToGrid w:val="0"/>
                <w:kern w:val="0"/>
                <w:szCs w:val="21"/>
              </w:rPr>
            </w:pPr>
          </w:p>
        </w:tc>
        <w:tc>
          <w:tcPr>
            <w:tcW w:w="190" w:type="pct"/>
            <w:vMerge w:val="continue"/>
            <w:shd w:val="clear" w:color="auto" w:fill="auto"/>
            <w:vAlign w:val="center"/>
          </w:tcPr>
          <w:p w14:paraId="4DF4A8C3">
            <w:pPr>
              <w:adjustRightInd w:val="0"/>
              <w:snapToGrid w:val="0"/>
              <w:spacing w:line="240" w:lineRule="exact"/>
              <w:jc w:val="center"/>
              <w:rPr>
                <w:rFonts w:ascii="Times New Roman" w:hAnsi="Times New Roman" w:eastAsia="宋体" w:cs="Times New Roman"/>
                <w:snapToGrid w:val="0"/>
                <w:kern w:val="0"/>
                <w:szCs w:val="21"/>
              </w:rPr>
            </w:pPr>
          </w:p>
        </w:tc>
        <w:tc>
          <w:tcPr>
            <w:tcW w:w="2230" w:type="pct"/>
            <w:vMerge w:val="continue"/>
            <w:noWrap/>
            <w:vAlign w:val="center"/>
          </w:tcPr>
          <w:p w14:paraId="33666E91">
            <w:pPr>
              <w:rPr>
                <w:rFonts w:ascii="Times New Roman" w:hAnsi="Times New Roman" w:eastAsia="宋体" w:cs="Times New Roman"/>
                <w:szCs w:val="21"/>
              </w:rPr>
            </w:pPr>
          </w:p>
        </w:tc>
        <w:tc>
          <w:tcPr>
            <w:tcW w:w="242" w:type="pct"/>
            <w:vMerge w:val="continue"/>
            <w:vAlign w:val="center"/>
          </w:tcPr>
          <w:p w14:paraId="6BC09C1A">
            <w:pPr>
              <w:jc w:val="center"/>
              <w:rPr>
                <w:rFonts w:ascii="Times New Roman" w:hAnsi="Times New Roman" w:eastAsia="宋体" w:cs="Times New Roman"/>
                <w:szCs w:val="21"/>
              </w:rPr>
            </w:pPr>
          </w:p>
        </w:tc>
        <w:tc>
          <w:tcPr>
            <w:tcW w:w="260" w:type="pct"/>
            <w:vMerge w:val="continue"/>
            <w:vAlign w:val="center"/>
          </w:tcPr>
          <w:p w14:paraId="403026E7">
            <w:pPr>
              <w:jc w:val="center"/>
              <w:rPr>
                <w:rFonts w:ascii="Times New Roman" w:hAnsi="Times New Roman" w:eastAsia="宋体" w:cs="Times New Roman"/>
                <w:szCs w:val="21"/>
              </w:rPr>
            </w:pPr>
          </w:p>
        </w:tc>
        <w:tc>
          <w:tcPr>
            <w:tcW w:w="251" w:type="pct"/>
            <w:vMerge w:val="continue"/>
            <w:vAlign w:val="center"/>
          </w:tcPr>
          <w:p w14:paraId="3FCE502C">
            <w:pPr>
              <w:widowControl/>
              <w:adjustRightInd w:val="0"/>
              <w:snapToGrid w:val="0"/>
              <w:spacing w:line="240" w:lineRule="exact"/>
              <w:jc w:val="center"/>
              <w:rPr>
                <w:rFonts w:ascii="Times New Roman" w:hAnsi="Times New Roman" w:eastAsia="宋体" w:cs="Times New Roman"/>
                <w:szCs w:val="21"/>
              </w:rPr>
            </w:pPr>
          </w:p>
        </w:tc>
      </w:tr>
    </w:tbl>
    <w:p w14:paraId="090AAA6C">
      <w:pPr>
        <w:spacing w:beforeLines="50"/>
        <w:jc w:val="center"/>
        <w:rPr>
          <w:b/>
          <w:spacing w:val="4"/>
          <w:szCs w:val="21"/>
        </w:rPr>
        <w:sectPr>
          <w:headerReference r:id="rId102" w:type="default"/>
          <w:footerReference r:id="rId103" w:type="default"/>
          <w:footerReference r:id="rId104" w:type="even"/>
          <w:pgSz w:w="23814" w:h="16840" w:orient="landscape"/>
          <w:pgMar w:top="1701" w:right="1701" w:bottom="1701" w:left="1701" w:header="1134" w:footer="1134" w:gutter="0"/>
          <w:pgBorders>
            <w:top w:val="none" w:sz="0" w:space="0"/>
            <w:left w:val="none" w:sz="0" w:space="0"/>
            <w:bottom w:val="none" w:sz="0" w:space="0"/>
            <w:right w:val="none" w:sz="0" w:space="0"/>
          </w:pgBorders>
          <w:cols w:space="720" w:num="1"/>
          <w:docGrid w:linePitch="312" w:charSpace="0"/>
        </w:sectPr>
      </w:pPr>
    </w:p>
    <w:p w14:paraId="51A7A90F">
      <w:pPr>
        <w:spacing w:beforeLines="50"/>
        <w:jc w:val="center"/>
        <w:rPr>
          <w:rFonts w:ascii="Times New Roman" w:hAnsi="宋体" w:eastAsia="宋体" w:cs="Times New Roman"/>
          <w:b/>
          <w:spacing w:val="4"/>
          <w:szCs w:val="21"/>
        </w:rPr>
      </w:pPr>
      <w:r>
        <w:rPr>
          <w:rFonts w:ascii="Times New Roman" w:hAnsi="宋体" w:eastAsia="宋体" w:cs="Times New Roman"/>
          <w:b/>
          <w:spacing w:val="4"/>
          <w:szCs w:val="21"/>
        </w:rPr>
        <w:t>续</w:t>
      </w:r>
      <w:r>
        <w:rPr>
          <w:rFonts w:hint="eastAsia" w:ascii="Times New Roman" w:hAnsi="宋体" w:eastAsia="宋体" w:cs="Times New Roman"/>
          <w:b/>
          <w:spacing w:val="4"/>
          <w:szCs w:val="21"/>
        </w:rPr>
        <w:t xml:space="preserve"> </w:t>
      </w:r>
      <w:r>
        <w:rPr>
          <w:rFonts w:ascii="Times New Roman" w:hAnsi="宋体" w:eastAsia="宋体" w:cs="Times New Roman"/>
          <w:b/>
          <w:spacing w:val="4"/>
          <w:szCs w:val="21"/>
        </w:rPr>
        <w:t>表</w:t>
      </w:r>
      <w:r>
        <w:rPr>
          <w:rFonts w:hint="eastAsia" w:ascii="Times New Roman" w:hAnsi="Times New Roman" w:eastAsia="宋体" w:cs="Times New Roman"/>
          <w:b/>
          <w:spacing w:val="4"/>
          <w:szCs w:val="21"/>
        </w:rPr>
        <w:t>5</w:t>
      </w:r>
      <w:r>
        <w:rPr>
          <w:rFonts w:ascii="Times New Roman" w:hAnsi="Times New Roman" w:eastAsia="宋体" w:cs="Times New Roman"/>
          <w:b/>
          <w:spacing w:val="4"/>
          <w:szCs w:val="21"/>
        </w:rPr>
        <w:t xml:space="preserve">.3-2  </w:t>
      </w:r>
      <w:r>
        <w:rPr>
          <w:rFonts w:ascii="Times New Roman" w:hAnsi="宋体" w:eastAsia="宋体" w:cs="Times New Roman"/>
          <w:b/>
          <w:spacing w:val="4"/>
          <w:szCs w:val="21"/>
        </w:rPr>
        <w:t>拟建公路营运中期噪声预测值超标敏感点及降噪措施</w:t>
      </w:r>
      <w:r>
        <w:rPr>
          <w:rFonts w:hint="eastAsia" w:ascii="Times New Roman" w:hAnsi="宋体" w:eastAsia="宋体" w:cs="Times New Roman"/>
          <w:b/>
          <w:spacing w:val="4"/>
          <w:szCs w:val="21"/>
        </w:rPr>
        <w:t>论证一览</w:t>
      </w:r>
      <w:r>
        <w:rPr>
          <w:rFonts w:ascii="Times New Roman" w:hAnsi="宋体" w:eastAsia="宋体" w:cs="Times New Roman"/>
          <w:b/>
          <w:spacing w:val="4"/>
          <w:szCs w:val="21"/>
        </w:rPr>
        <w:t>表</w:t>
      </w:r>
    </w:p>
    <w:tbl>
      <w:tblPr>
        <w:tblStyle w:val="22"/>
        <w:tblW w:w="5000" w:type="pct"/>
        <w:jc w:val="center"/>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fixed"/>
        <w:tblCellMar>
          <w:top w:w="0" w:type="dxa"/>
          <w:left w:w="28" w:type="dxa"/>
          <w:bottom w:w="0" w:type="dxa"/>
          <w:right w:w="28" w:type="dxa"/>
        </w:tblCellMar>
      </w:tblPr>
      <w:tblGrid>
        <w:gridCol w:w="736"/>
        <w:gridCol w:w="1137"/>
        <w:gridCol w:w="1417"/>
        <w:gridCol w:w="565"/>
        <w:gridCol w:w="856"/>
        <w:gridCol w:w="995"/>
        <w:gridCol w:w="995"/>
        <w:gridCol w:w="778"/>
        <w:gridCol w:w="778"/>
        <w:gridCol w:w="9131"/>
        <w:gridCol w:w="991"/>
        <w:gridCol w:w="1065"/>
        <w:gridCol w:w="1028"/>
      </w:tblGrid>
      <w:tr w14:paraId="7ADDB09A">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tblHeader/>
          <w:jc w:val="center"/>
        </w:trPr>
        <w:tc>
          <w:tcPr>
            <w:tcW w:w="180" w:type="pct"/>
            <w:vMerge w:val="restart"/>
            <w:noWrap/>
            <w:vAlign w:val="center"/>
          </w:tcPr>
          <w:p w14:paraId="44C42D7C">
            <w:pPr>
              <w:spacing w:line="240" w:lineRule="exact"/>
              <w:jc w:val="center"/>
              <w:rPr>
                <w:rFonts w:ascii="Times New Roman" w:hAnsi="Times New Roman" w:eastAsia="宋体" w:cs="Times New Roman"/>
                <w:b/>
              </w:rPr>
            </w:pPr>
            <w:r>
              <w:rPr>
                <w:rFonts w:ascii="Times New Roman" w:hAnsi="Times New Roman" w:eastAsia="宋体" w:cs="Times New Roman"/>
                <w:b/>
              </w:rPr>
              <w:t>序号</w:t>
            </w:r>
          </w:p>
        </w:tc>
        <w:tc>
          <w:tcPr>
            <w:tcW w:w="278" w:type="pct"/>
            <w:vMerge w:val="restart"/>
            <w:vAlign w:val="center"/>
          </w:tcPr>
          <w:p w14:paraId="24F04D9E">
            <w:pPr>
              <w:widowControl/>
              <w:adjustRightInd w:val="0"/>
              <w:snapToGrid w:val="0"/>
              <w:spacing w:line="240" w:lineRule="exact"/>
              <w:jc w:val="center"/>
              <w:rPr>
                <w:rFonts w:ascii="Times New Roman" w:hAnsi="Times New Roman" w:eastAsia="宋体" w:cs="Times New Roman"/>
                <w:b/>
                <w:snapToGrid w:val="0"/>
                <w:kern w:val="0"/>
                <w:szCs w:val="21"/>
              </w:rPr>
            </w:pPr>
            <w:r>
              <w:rPr>
                <w:rFonts w:ascii="Times New Roman" w:hAnsi="宋体" w:eastAsia="宋体" w:cs="Times New Roman"/>
                <w:b/>
                <w:snapToGrid w:val="0"/>
                <w:kern w:val="0"/>
                <w:szCs w:val="21"/>
              </w:rPr>
              <w:t>桩号</w:t>
            </w:r>
          </w:p>
        </w:tc>
        <w:tc>
          <w:tcPr>
            <w:tcW w:w="346" w:type="pct"/>
            <w:vMerge w:val="restart"/>
            <w:vAlign w:val="center"/>
          </w:tcPr>
          <w:p w14:paraId="55327E2F">
            <w:pPr>
              <w:widowControl/>
              <w:adjustRightInd w:val="0"/>
              <w:snapToGrid w:val="0"/>
              <w:spacing w:line="240" w:lineRule="exact"/>
              <w:jc w:val="center"/>
              <w:rPr>
                <w:rFonts w:ascii="Times New Roman" w:hAnsi="Times New Roman" w:eastAsia="宋体" w:cs="Times New Roman"/>
                <w:b/>
                <w:snapToGrid w:val="0"/>
                <w:kern w:val="0"/>
                <w:szCs w:val="21"/>
              </w:rPr>
            </w:pPr>
            <w:r>
              <w:rPr>
                <w:rFonts w:ascii="Times New Roman" w:hAnsi="宋体" w:eastAsia="宋体" w:cs="Times New Roman"/>
                <w:b/>
                <w:snapToGrid w:val="0"/>
                <w:kern w:val="0"/>
                <w:szCs w:val="21"/>
              </w:rPr>
              <w:t>敏感点名称</w:t>
            </w:r>
          </w:p>
        </w:tc>
        <w:tc>
          <w:tcPr>
            <w:tcW w:w="347" w:type="pct"/>
            <w:gridSpan w:val="2"/>
            <w:vAlign w:val="center"/>
          </w:tcPr>
          <w:p w14:paraId="3588961D">
            <w:pPr>
              <w:adjustRightInd w:val="0"/>
              <w:snapToGrid w:val="0"/>
              <w:spacing w:line="240" w:lineRule="exact"/>
              <w:jc w:val="center"/>
              <w:rPr>
                <w:rFonts w:ascii="Times New Roman" w:hAnsi="Times New Roman" w:eastAsia="宋体" w:cs="Times New Roman"/>
                <w:b/>
                <w:snapToGrid w:val="0"/>
                <w:kern w:val="0"/>
                <w:szCs w:val="21"/>
              </w:rPr>
            </w:pPr>
            <w:r>
              <w:rPr>
                <w:rFonts w:ascii="Times New Roman" w:hAnsi="宋体" w:eastAsia="宋体" w:cs="Times New Roman"/>
                <w:b/>
                <w:snapToGrid w:val="0"/>
                <w:kern w:val="0"/>
                <w:szCs w:val="21"/>
              </w:rPr>
              <w:t>所在位置</w:t>
            </w:r>
          </w:p>
        </w:tc>
        <w:tc>
          <w:tcPr>
            <w:tcW w:w="486" w:type="pct"/>
            <w:gridSpan w:val="2"/>
            <w:vAlign w:val="center"/>
          </w:tcPr>
          <w:p w14:paraId="16C34083">
            <w:pPr>
              <w:widowControl/>
              <w:spacing w:line="240" w:lineRule="exact"/>
              <w:jc w:val="center"/>
              <w:rPr>
                <w:rFonts w:ascii="Times New Roman" w:hAnsi="Times New Roman" w:eastAsia="宋体" w:cs="Times New Roman"/>
                <w:b/>
                <w:bCs/>
                <w:szCs w:val="21"/>
              </w:rPr>
            </w:pPr>
            <w:r>
              <w:rPr>
                <w:rFonts w:ascii="Times New Roman" w:hAnsi="Times New Roman" w:eastAsia="宋体" w:cs="Times New Roman"/>
                <w:b/>
                <w:bCs/>
              </w:rPr>
              <w:t>营运中期昼间/夜间最大超标量（dB）</w:t>
            </w:r>
          </w:p>
        </w:tc>
        <w:tc>
          <w:tcPr>
            <w:tcW w:w="380" w:type="pct"/>
            <w:gridSpan w:val="2"/>
            <w:shd w:val="clear" w:color="auto" w:fill="auto"/>
            <w:vAlign w:val="center"/>
          </w:tcPr>
          <w:p w14:paraId="00FAF3A9">
            <w:pPr>
              <w:widowControl/>
              <w:adjustRightInd w:val="0"/>
              <w:snapToGrid w:val="0"/>
              <w:spacing w:line="240" w:lineRule="exact"/>
              <w:jc w:val="center"/>
              <w:rPr>
                <w:rFonts w:ascii="Times New Roman" w:hAnsi="Times New Roman" w:eastAsia="宋体" w:cs="Times New Roman"/>
                <w:b/>
                <w:snapToGrid w:val="0"/>
                <w:kern w:val="0"/>
                <w:szCs w:val="21"/>
              </w:rPr>
            </w:pPr>
            <w:r>
              <w:rPr>
                <w:rFonts w:ascii="Times New Roman" w:hAnsi="宋体" w:eastAsia="宋体" w:cs="Times New Roman"/>
                <w:b/>
                <w:snapToGrid w:val="0"/>
                <w:kern w:val="0"/>
                <w:szCs w:val="21"/>
              </w:rPr>
              <w:t>受影响户</w:t>
            </w:r>
            <w:r>
              <w:rPr>
                <w:rFonts w:ascii="Times New Roman" w:hAnsi="Times New Roman" w:eastAsia="宋体" w:cs="Times New Roman"/>
                <w:b/>
                <w:snapToGrid w:val="0"/>
                <w:kern w:val="0"/>
                <w:szCs w:val="21"/>
              </w:rPr>
              <w:t>(</w:t>
            </w:r>
            <w:r>
              <w:rPr>
                <w:rFonts w:ascii="Times New Roman" w:hAnsi="宋体" w:eastAsia="宋体" w:cs="Times New Roman"/>
                <w:b/>
                <w:snapToGrid w:val="0"/>
                <w:kern w:val="0"/>
                <w:szCs w:val="21"/>
              </w:rPr>
              <w:t>户</w:t>
            </w:r>
            <w:r>
              <w:rPr>
                <w:rFonts w:ascii="Times New Roman" w:hAnsi="Times New Roman" w:eastAsia="宋体" w:cs="Times New Roman"/>
                <w:b/>
                <w:snapToGrid w:val="0"/>
                <w:kern w:val="0"/>
                <w:szCs w:val="21"/>
              </w:rPr>
              <w:t>)</w:t>
            </w:r>
          </w:p>
        </w:tc>
        <w:tc>
          <w:tcPr>
            <w:tcW w:w="2230" w:type="pct"/>
            <w:vMerge w:val="restart"/>
            <w:noWrap/>
            <w:vAlign w:val="center"/>
          </w:tcPr>
          <w:p w14:paraId="27C89256">
            <w:pPr>
              <w:spacing w:line="240" w:lineRule="exact"/>
              <w:jc w:val="center"/>
              <w:rPr>
                <w:rFonts w:ascii="Times New Roman" w:hAnsi="Times New Roman" w:eastAsia="宋体" w:cs="Times New Roman"/>
                <w:b/>
                <w:szCs w:val="21"/>
              </w:rPr>
            </w:pPr>
            <w:r>
              <w:rPr>
                <w:rFonts w:ascii="Times New Roman" w:hAnsi="Times New Roman" w:eastAsia="宋体" w:cs="Times New Roman"/>
                <w:b/>
                <w:szCs w:val="21"/>
              </w:rPr>
              <w:t>降噪措施方案论证比选</w:t>
            </w:r>
          </w:p>
        </w:tc>
        <w:tc>
          <w:tcPr>
            <w:tcW w:w="242" w:type="pct"/>
            <w:vMerge w:val="restart"/>
            <w:vAlign w:val="center"/>
          </w:tcPr>
          <w:p w14:paraId="7BDCFF58">
            <w:pPr>
              <w:widowControl/>
              <w:spacing w:line="240" w:lineRule="exact"/>
              <w:jc w:val="center"/>
              <w:rPr>
                <w:rFonts w:ascii="Times New Roman" w:hAnsi="Times New Roman" w:eastAsia="宋体" w:cs="Times New Roman"/>
                <w:b/>
                <w:szCs w:val="21"/>
              </w:rPr>
            </w:pPr>
            <w:r>
              <w:rPr>
                <w:rFonts w:ascii="Times New Roman" w:hAnsi="Times New Roman" w:eastAsia="宋体" w:cs="Times New Roman"/>
                <w:b/>
                <w:szCs w:val="21"/>
              </w:rPr>
              <w:t>推荐措施</w:t>
            </w:r>
          </w:p>
        </w:tc>
        <w:tc>
          <w:tcPr>
            <w:tcW w:w="260" w:type="pct"/>
            <w:vMerge w:val="restart"/>
            <w:vAlign w:val="center"/>
          </w:tcPr>
          <w:p w14:paraId="39E46091">
            <w:pPr>
              <w:widowControl/>
              <w:spacing w:line="240" w:lineRule="exact"/>
              <w:jc w:val="center"/>
              <w:rPr>
                <w:rFonts w:ascii="Times New Roman" w:hAnsi="Times New Roman" w:eastAsia="宋体" w:cs="Times New Roman"/>
                <w:b/>
                <w:szCs w:val="21"/>
              </w:rPr>
            </w:pPr>
            <w:r>
              <w:rPr>
                <w:rFonts w:ascii="Times New Roman" w:hAnsi="Times New Roman" w:eastAsia="宋体" w:cs="Times New Roman"/>
                <w:b/>
                <w:szCs w:val="21"/>
              </w:rPr>
              <w:t>降噪效果</w:t>
            </w:r>
          </w:p>
        </w:tc>
        <w:tc>
          <w:tcPr>
            <w:tcW w:w="251" w:type="pct"/>
            <w:vMerge w:val="restart"/>
            <w:vAlign w:val="center"/>
          </w:tcPr>
          <w:p w14:paraId="30DB505F">
            <w:pPr>
              <w:widowControl/>
              <w:spacing w:line="240" w:lineRule="exact"/>
              <w:jc w:val="center"/>
              <w:rPr>
                <w:rFonts w:ascii="Times New Roman" w:hAnsi="Times New Roman" w:eastAsia="宋体" w:cs="Times New Roman"/>
                <w:b/>
                <w:szCs w:val="21"/>
              </w:rPr>
            </w:pPr>
            <w:r>
              <w:rPr>
                <w:rFonts w:ascii="Times New Roman" w:hAnsi="Times New Roman" w:eastAsia="宋体" w:cs="Times New Roman"/>
                <w:b/>
                <w:szCs w:val="21"/>
              </w:rPr>
              <w:t>投资估算(万元)</w:t>
            </w:r>
          </w:p>
        </w:tc>
      </w:tr>
      <w:tr w14:paraId="41186879">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trHeight w:val="382" w:hRule="atLeast"/>
          <w:tblHeader/>
          <w:jc w:val="center"/>
        </w:trPr>
        <w:tc>
          <w:tcPr>
            <w:tcW w:w="180" w:type="pct"/>
            <w:vMerge w:val="continue"/>
            <w:noWrap/>
            <w:vAlign w:val="center"/>
          </w:tcPr>
          <w:p w14:paraId="3EDC4362">
            <w:pPr>
              <w:spacing w:line="240" w:lineRule="exact"/>
              <w:jc w:val="center"/>
              <w:rPr>
                <w:rFonts w:ascii="Times New Roman" w:hAnsi="Times New Roman" w:eastAsia="宋体" w:cs="Times New Roman"/>
              </w:rPr>
            </w:pPr>
          </w:p>
        </w:tc>
        <w:tc>
          <w:tcPr>
            <w:tcW w:w="278" w:type="pct"/>
            <w:vMerge w:val="continue"/>
            <w:vAlign w:val="center"/>
          </w:tcPr>
          <w:p w14:paraId="57B869FD">
            <w:pPr>
              <w:widowControl/>
              <w:adjustRightInd w:val="0"/>
              <w:snapToGrid w:val="0"/>
              <w:spacing w:line="240" w:lineRule="exact"/>
              <w:jc w:val="center"/>
              <w:rPr>
                <w:rFonts w:ascii="Times New Roman" w:hAnsi="Times New Roman" w:eastAsia="宋体" w:cs="Times New Roman"/>
                <w:b/>
                <w:snapToGrid w:val="0"/>
                <w:kern w:val="0"/>
                <w:szCs w:val="21"/>
              </w:rPr>
            </w:pPr>
          </w:p>
        </w:tc>
        <w:tc>
          <w:tcPr>
            <w:tcW w:w="346" w:type="pct"/>
            <w:vMerge w:val="continue"/>
            <w:vAlign w:val="center"/>
          </w:tcPr>
          <w:p w14:paraId="68D48088">
            <w:pPr>
              <w:widowControl/>
              <w:adjustRightInd w:val="0"/>
              <w:snapToGrid w:val="0"/>
              <w:spacing w:line="240" w:lineRule="exact"/>
              <w:jc w:val="center"/>
              <w:rPr>
                <w:rFonts w:ascii="Times New Roman" w:hAnsi="Times New Roman" w:eastAsia="宋体" w:cs="Times New Roman"/>
                <w:b/>
                <w:snapToGrid w:val="0"/>
                <w:kern w:val="0"/>
                <w:szCs w:val="21"/>
              </w:rPr>
            </w:pPr>
          </w:p>
        </w:tc>
        <w:tc>
          <w:tcPr>
            <w:tcW w:w="138" w:type="pct"/>
            <w:vAlign w:val="center"/>
          </w:tcPr>
          <w:p w14:paraId="59452E91">
            <w:pPr>
              <w:adjustRightInd w:val="0"/>
              <w:snapToGrid w:val="0"/>
              <w:spacing w:line="240" w:lineRule="exact"/>
              <w:jc w:val="center"/>
              <w:rPr>
                <w:rFonts w:ascii="Times New Roman" w:hAnsi="Times New Roman" w:eastAsia="宋体" w:cs="Times New Roman"/>
                <w:b/>
                <w:snapToGrid w:val="0"/>
                <w:kern w:val="0"/>
                <w:szCs w:val="21"/>
              </w:rPr>
            </w:pPr>
            <w:r>
              <w:rPr>
                <w:rFonts w:ascii="Times New Roman" w:hAnsi="宋体" w:eastAsia="宋体" w:cs="Times New Roman"/>
                <w:b/>
                <w:snapToGrid w:val="0"/>
                <w:kern w:val="0"/>
                <w:szCs w:val="21"/>
              </w:rPr>
              <w:t>方位</w:t>
            </w:r>
          </w:p>
        </w:tc>
        <w:tc>
          <w:tcPr>
            <w:tcW w:w="209" w:type="pct"/>
            <w:vAlign w:val="center"/>
          </w:tcPr>
          <w:p w14:paraId="7A68302C">
            <w:pPr>
              <w:adjustRightInd w:val="0"/>
              <w:snapToGrid w:val="0"/>
              <w:spacing w:line="240" w:lineRule="exact"/>
              <w:jc w:val="center"/>
              <w:rPr>
                <w:rFonts w:ascii="Times New Roman" w:hAnsi="Times New Roman" w:eastAsia="宋体" w:cs="Times New Roman"/>
                <w:b/>
                <w:snapToGrid w:val="0"/>
                <w:kern w:val="0"/>
                <w:szCs w:val="21"/>
              </w:rPr>
            </w:pPr>
            <w:r>
              <w:rPr>
                <w:rFonts w:ascii="Times New Roman" w:hAnsi="宋体" w:eastAsia="宋体" w:cs="Times New Roman"/>
                <w:b/>
                <w:snapToGrid w:val="0"/>
                <w:kern w:val="0"/>
                <w:szCs w:val="21"/>
              </w:rPr>
              <w:t>距路中心线</w:t>
            </w:r>
            <w:r>
              <w:rPr>
                <w:rFonts w:ascii="Times New Roman" w:hAnsi="Times New Roman" w:eastAsia="宋体" w:cs="Times New Roman"/>
                <w:b/>
                <w:snapToGrid w:val="0"/>
                <w:kern w:val="0"/>
                <w:szCs w:val="21"/>
              </w:rPr>
              <w:t>(m)</w:t>
            </w:r>
          </w:p>
        </w:tc>
        <w:tc>
          <w:tcPr>
            <w:tcW w:w="243" w:type="pct"/>
            <w:vAlign w:val="center"/>
          </w:tcPr>
          <w:p w14:paraId="3F40AE80">
            <w:pPr>
              <w:widowControl/>
              <w:jc w:val="center"/>
              <w:rPr>
                <w:rFonts w:ascii="Times New Roman" w:hAnsi="Times New Roman" w:eastAsia="宋体" w:cs="Times New Roman"/>
                <w:b/>
                <w:kern w:val="0"/>
              </w:rPr>
            </w:pPr>
            <w:r>
              <w:rPr>
                <w:rFonts w:ascii="Times New Roman" w:hAnsi="Times New Roman" w:eastAsia="宋体" w:cs="Times New Roman"/>
                <w:b/>
                <w:bCs/>
              </w:rPr>
              <w:t>4a类</w:t>
            </w:r>
          </w:p>
        </w:tc>
        <w:tc>
          <w:tcPr>
            <w:tcW w:w="243" w:type="pct"/>
            <w:vAlign w:val="center"/>
          </w:tcPr>
          <w:p w14:paraId="40C17D38">
            <w:pPr>
              <w:widowControl/>
              <w:jc w:val="center"/>
              <w:rPr>
                <w:rFonts w:ascii="Times New Roman" w:hAnsi="Times New Roman" w:eastAsia="宋体" w:cs="Times New Roman"/>
                <w:b/>
                <w:kern w:val="0"/>
              </w:rPr>
            </w:pPr>
            <w:r>
              <w:rPr>
                <w:rFonts w:ascii="Times New Roman" w:hAnsi="Times New Roman" w:eastAsia="宋体" w:cs="Times New Roman"/>
                <w:b/>
                <w:bCs/>
              </w:rPr>
              <w:t>2类</w:t>
            </w:r>
          </w:p>
        </w:tc>
        <w:tc>
          <w:tcPr>
            <w:tcW w:w="190" w:type="pct"/>
            <w:shd w:val="clear" w:color="auto" w:fill="auto"/>
            <w:vAlign w:val="center"/>
          </w:tcPr>
          <w:p w14:paraId="6EC560B8">
            <w:pPr>
              <w:adjustRightInd w:val="0"/>
              <w:snapToGrid w:val="0"/>
              <w:spacing w:line="240" w:lineRule="exact"/>
              <w:jc w:val="center"/>
              <w:rPr>
                <w:rFonts w:ascii="Times New Roman" w:hAnsi="Times New Roman" w:eastAsia="宋体" w:cs="Times New Roman"/>
                <w:b/>
                <w:snapToGrid w:val="0"/>
                <w:kern w:val="0"/>
                <w:szCs w:val="21"/>
              </w:rPr>
            </w:pPr>
            <w:r>
              <w:rPr>
                <w:rFonts w:ascii="Times New Roman" w:hAnsi="Times New Roman" w:eastAsia="宋体" w:cs="Times New Roman"/>
                <w:b/>
                <w:snapToGrid w:val="0"/>
                <w:kern w:val="0"/>
                <w:szCs w:val="21"/>
              </w:rPr>
              <w:t>4a</w:t>
            </w:r>
            <w:r>
              <w:rPr>
                <w:rFonts w:ascii="Times New Roman" w:hAnsi="宋体" w:eastAsia="宋体" w:cs="Times New Roman"/>
                <w:b/>
                <w:snapToGrid w:val="0"/>
                <w:kern w:val="0"/>
                <w:szCs w:val="21"/>
              </w:rPr>
              <w:t>类</w:t>
            </w:r>
          </w:p>
        </w:tc>
        <w:tc>
          <w:tcPr>
            <w:tcW w:w="190" w:type="pct"/>
            <w:shd w:val="clear" w:color="auto" w:fill="auto"/>
            <w:vAlign w:val="center"/>
          </w:tcPr>
          <w:p w14:paraId="2099AFA7">
            <w:pPr>
              <w:adjustRightInd w:val="0"/>
              <w:snapToGrid w:val="0"/>
              <w:spacing w:line="240" w:lineRule="exact"/>
              <w:jc w:val="center"/>
              <w:rPr>
                <w:rFonts w:ascii="Times New Roman" w:hAnsi="Times New Roman" w:eastAsia="宋体" w:cs="Times New Roman"/>
                <w:b/>
                <w:snapToGrid w:val="0"/>
                <w:kern w:val="0"/>
                <w:szCs w:val="21"/>
              </w:rPr>
            </w:pPr>
            <w:r>
              <w:rPr>
                <w:rFonts w:ascii="Times New Roman" w:hAnsi="Times New Roman" w:eastAsia="宋体" w:cs="Times New Roman"/>
                <w:b/>
                <w:snapToGrid w:val="0"/>
                <w:kern w:val="0"/>
                <w:szCs w:val="21"/>
              </w:rPr>
              <w:t>2</w:t>
            </w:r>
            <w:r>
              <w:rPr>
                <w:rFonts w:ascii="Times New Roman" w:hAnsi="宋体" w:eastAsia="宋体" w:cs="Times New Roman"/>
                <w:b/>
                <w:snapToGrid w:val="0"/>
                <w:kern w:val="0"/>
                <w:szCs w:val="21"/>
              </w:rPr>
              <w:t>类</w:t>
            </w:r>
          </w:p>
        </w:tc>
        <w:tc>
          <w:tcPr>
            <w:tcW w:w="2230" w:type="pct"/>
            <w:vMerge w:val="continue"/>
            <w:noWrap/>
            <w:vAlign w:val="center"/>
          </w:tcPr>
          <w:p w14:paraId="4FC9655E">
            <w:pPr>
              <w:widowControl/>
              <w:adjustRightInd w:val="0"/>
              <w:snapToGrid w:val="0"/>
              <w:spacing w:line="240" w:lineRule="exact"/>
              <w:jc w:val="center"/>
              <w:rPr>
                <w:rFonts w:ascii="Times New Roman" w:hAnsi="Times New Roman" w:eastAsia="宋体" w:cs="Times New Roman"/>
                <w:b/>
                <w:snapToGrid w:val="0"/>
                <w:kern w:val="0"/>
                <w:szCs w:val="21"/>
              </w:rPr>
            </w:pPr>
          </w:p>
        </w:tc>
        <w:tc>
          <w:tcPr>
            <w:tcW w:w="242" w:type="pct"/>
            <w:vMerge w:val="continue"/>
          </w:tcPr>
          <w:p w14:paraId="5E81DD0E">
            <w:pPr>
              <w:widowControl/>
              <w:adjustRightInd w:val="0"/>
              <w:snapToGrid w:val="0"/>
              <w:spacing w:line="240" w:lineRule="exact"/>
              <w:jc w:val="center"/>
              <w:rPr>
                <w:rFonts w:ascii="Times New Roman" w:hAnsi="Times New Roman" w:eastAsia="宋体" w:cs="Times New Roman"/>
                <w:b/>
                <w:snapToGrid w:val="0"/>
                <w:kern w:val="0"/>
                <w:szCs w:val="21"/>
              </w:rPr>
            </w:pPr>
          </w:p>
        </w:tc>
        <w:tc>
          <w:tcPr>
            <w:tcW w:w="260" w:type="pct"/>
            <w:vMerge w:val="continue"/>
          </w:tcPr>
          <w:p w14:paraId="3CB55E03">
            <w:pPr>
              <w:widowControl/>
              <w:adjustRightInd w:val="0"/>
              <w:snapToGrid w:val="0"/>
              <w:spacing w:line="240" w:lineRule="exact"/>
              <w:jc w:val="center"/>
              <w:rPr>
                <w:rFonts w:ascii="Times New Roman" w:hAnsi="Times New Roman" w:eastAsia="宋体" w:cs="Times New Roman"/>
                <w:b/>
                <w:snapToGrid w:val="0"/>
                <w:kern w:val="0"/>
                <w:szCs w:val="21"/>
              </w:rPr>
            </w:pPr>
          </w:p>
        </w:tc>
        <w:tc>
          <w:tcPr>
            <w:tcW w:w="251" w:type="pct"/>
            <w:vMerge w:val="continue"/>
          </w:tcPr>
          <w:p w14:paraId="4AC7A04E">
            <w:pPr>
              <w:widowControl/>
              <w:adjustRightInd w:val="0"/>
              <w:snapToGrid w:val="0"/>
              <w:spacing w:line="240" w:lineRule="exact"/>
              <w:jc w:val="center"/>
              <w:rPr>
                <w:rFonts w:ascii="Times New Roman" w:hAnsi="Times New Roman" w:eastAsia="宋体" w:cs="Times New Roman"/>
                <w:b/>
                <w:snapToGrid w:val="0"/>
                <w:kern w:val="0"/>
                <w:szCs w:val="21"/>
              </w:rPr>
            </w:pPr>
          </w:p>
        </w:tc>
      </w:tr>
      <w:tr w14:paraId="763CC8BE">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trHeight w:val="170" w:hRule="atLeast"/>
          <w:tblHeader/>
          <w:jc w:val="center"/>
        </w:trPr>
        <w:tc>
          <w:tcPr>
            <w:tcW w:w="180" w:type="pct"/>
            <w:vMerge w:val="restart"/>
            <w:noWrap/>
            <w:vAlign w:val="center"/>
          </w:tcPr>
          <w:p w14:paraId="3FC65CE3">
            <w:pPr>
              <w:jc w:val="center"/>
              <w:rPr>
                <w:rFonts w:ascii="Times New Roman" w:hAnsi="Times New Roman" w:eastAsia="宋体" w:cs="Times New Roman"/>
              </w:rPr>
            </w:pPr>
            <w:r>
              <w:rPr>
                <w:rFonts w:hint="eastAsia" w:ascii="Times New Roman" w:hAnsi="Times New Roman" w:eastAsia="宋体" w:cs="Times New Roman"/>
              </w:rPr>
              <w:t>6</w:t>
            </w:r>
          </w:p>
        </w:tc>
        <w:tc>
          <w:tcPr>
            <w:tcW w:w="278" w:type="pct"/>
            <w:vAlign w:val="center"/>
          </w:tcPr>
          <w:p w14:paraId="29E53D1A">
            <w:pPr>
              <w:jc w:val="center"/>
              <w:rPr>
                <w:rFonts w:ascii="Times New Roman" w:hAnsi="Times New Roman" w:cs="Times New Roman" w:eastAsiaTheme="minorEastAsia"/>
                <w:szCs w:val="21"/>
              </w:rPr>
            </w:pPr>
            <w:r>
              <w:rPr>
                <w:rFonts w:ascii="Times New Roman" w:hAnsi="Times New Roman" w:cs="Times New Roman" w:eastAsiaTheme="minorEastAsia"/>
                <w:szCs w:val="21"/>
              </w:rPr>
              <w:t>K</w:t>
            </w:r>
            <w:r>
              <w:rPr>
                <w:rFonts w:hint="eastAsia" w:ascii="Times New Roman" w:hAnsi="Times New Roman" w:cs="Times New Roman" w:eastAsiaTheme="minorEastAsia"/>
                <w:szCs w:val="21"/>
              </w:rPr>
              <w:t>21</w:t>
            </w:r>
            <w:r>
              <w:rPr>
                <w:rFonts w:ascii="Times New Roman" w:hAnsi="Times New Roman" w:cs="Times New Roman" w:eastAsiaTheme="minorEastAsia"/>
                <w:szCs w:val="21"/>
              </w:rPr>
              <w:t>+</w:t>
            </w:r>
            <w:r>
              <w:rPr>
                <w:rFonts w:hint="eastAsia" w:ascii="Times New Roman" w:hAnsi="Times New Roman" w:cs="Times New Roman" w:eastAsiaTheme="minorEastAsia"/>
                <w:szCs w:val="21"/>
              </w:rPr>
              <w:t>85</w:t>
            </w:r>
            <w:r>
              <w:rPr>
                <w:rFonts w:ascii="Times New Roman" w:hAnsi="Times New Roman" w:cs="Times New Roman" w:eastAsiaTheme="minorEastAsia"/>
                <w:szCs w:val="21"/>
              </w:rPr>
              <w:t>0～K</w:t>
            </w:r>
            <w:r>
              <w:rPr>
                <w:rFonts w:hint="eastAsia" w:ascii="Times New Roman" w:hAnsi="Times New Roman" w:cs="Times New Roman" w:eastAsiaTheme="minorEastAsia"/>
                <w:szCs w:val="21"/>
              </w:rPr>
              <w:t>22</w:t>
            </w:r>
            <w:r>
              <w:rPr>
                <w:rFonts w:ascii="Times New Roman" w:hAnsi="Times New Roman" w:cs="Times New Roman" w:eastAsiaTheme="minorEastAsia"/>
                <w:szCs w:val="21"/>
              </w:rPr>
              <w:t>+</w:t>
            </w:r>
            <w:r>
              <w:rPr>
                <w:rFonts w:hint="eastAsia" w:ascii="Times New Roman" w:hAnsi="Times New Roman" w:cs="Times New Roman" w:eastAsiaTheme="minorEastAsia"/>
                <w:szCs w:val="21"/>
              </w:rPr>
              <w:t>350</w:t>
            </w:r>
          </w:p>
        </w:tc>
        <w:tc>
          <w:tcPr>
            <w:tcW w:w="346" w:type="pct"/>
            <w:vMerge w:val="restart"/>
            <w:vAlign w:val="center"/>
          </w:tcPr>
          <w:p w14:paraId="0B35ED47">
            <w:pPr>
              <w:jc w:val="center"/>
              <w:rPr>
                <w:rFonts w:ascii="Times New Roman" w:hAnsi="Times New Roman" w:cs="Times New Roman" w:eastAsiaTheme="minorEastAsia"/>
                <w:szCs w:val="21"/>
              </w:rPr>
            </w:pPr>
            <w:r>
              <w:rPr>
                <w:rFonts w:hint="eastAsia" w:ascii="Times New Roman" w:hAnsi="Times New Roman" w:cs="Times New Roman" w:eastAsiaTheme="minorEastAsia"/>
                <w:szCs w:val="21"/>
              </w:rPr>
              <w:t>英兰干村</w:t>
            </w:r>
          </w:p>
        </w:tc>
        <w:tc>
          <w:tcPr>
            <w:tcW w:w="138" w:type="pct"/>
            <w:vAlign w:val="center"/>
          </w:tcPr>
          <w:p w14:paraId="038D5E9C">
            <w:pPr>
              <w:jc w:val="center"/>
              <w:rPr>
                <w:rFonts w:ascii="Times New Roman" w:hAnsi="Times New Roman" w:cs="Times New Roman" w:eastAsiaTheme="minorEastAsia"/>
                <w:szCs w:val="21"/>
              </w:rPr>
            </w:pPr>
            <w:r>
              <w:rPr>
                <w:rFonts w:ascii="Times New Roman" w:hAnsi="Times New Roman" w:cs="Times New Roman" w:eastAsiaTheme="minorEastAsia"/>
                <w:szCs w:val="21"/>
              </w:rPr>
              <w:t>路</w:t>
            </w:r>
            <w:r>
              <w:rPr>
                <w:rFonts w:hint="eastAsia" w:ascii="Times New Roman" w:hAnsi="Times New Roman" w:cs="Times New Roman" w:eastAsiaTheme="minorEastAsia"/>
                <w:szCs w:val="21"/>
              </w:rPr>
              <w:t>右</w:t>
            </w:r>
          </w:p>
        </w:tc>
        <w:tc>
          <w:tcPr>
            <w:tcW w:w="209" w:type="pct"/>
            <w:vMerge w:val="restart"/>
            <w:vAlign w:val="center"/>
          </w:tcPr>
          <w:p w14:paraId="26DC9C42">
            <w:pPr>
              <w:adjustRightInd w:val="0"/>
              <w:snapToGrid w:val="0"/>
              <w:spacing w:line="240" w:lineRule="exact"/>
              <w:jc w:val="center"/>
              <w:rPr>
                <w:rFonts w:ascii="Times New Roman" w:hAnsi="Times New Roman" w:eastAsia="宋体" w:cs="Times New Roman"/>
                <w:snapToGrid w:val="0"/>
                <w:kern w:val="0"/>
                <w:szCs w:val="21"/>
              </w:rPr>
            </w:pPr>
            <w:r>
              <w:rPr>
                <w:rFonts w:hint="eastAsia" w:ascii="Times New Roman" w:hAnsi="Times New Roman" w:eastAsia="宋体" w:cs="Times New Roman"/>
                <w:snapToGrid w:val="0"/>
                <w:kern w:val="0"/>
                <w:szCs w:val="21"/>
              </w:rPr>
              <w:t>20</w:t>
            </w:r>
          </w:p>
        </w:tc>
        <w:tc>
          <w:tcPr>
            <w:tcW w:w="243" w:type="pct"/>
            <w:vMerge w:val="restart"/>
            <w:vAlign w:val="center"/>
          </w:tcPr>
          <w:p w14:paraId="2FD7E3F9">
            <w:pPr>
              <w:adjustRightInd w:val="0"/>
              <w:snapToGrid w:val="0"/>
              <w:spacing w:line="240" w:lineRule="exact"/>
              <w:jc w:val="center"/>
              <w:rPr>
                <w:rFonts w:ascii="Times New Roman" w:hAnsi="Times New Roman" w:eastAsia="宋体" w:cs="Times New Roman"/>
                <w:snapToGrid w:val="0"/>
                <w:kern w:val="0"/>
                <w:szCs w:val="21"/>
              </w:rPr>
            </w:pPr>
            <w:r>
              <w:rPr>
                <w:rFonts w:hint="eastAsia" w:ascii="Times New Roman" w:hAnsi="Times New Roman" w:eastAsia="宋体" w:cs="Times New Roman"/>
                <w:snapToGrid w:val="0"/>
                <w:kern w:val="0"/>
                <w:szCs w:val="21"/>
              </w:rPr>
              <w:t>-/9.5</w:t>
            </w:r>
          </w:p>
        </w:tc>
        <w:tc>
          <w:tcPr>
            <w:tcW w:w="243" w:type="pct"/>
            <w:vMerge w:val="restart"/>
            <w:vAlign w:val="center"/>
          </w:tcPr>
          <w:p w14:paraId="51165A6D">
            <w:pPr>
              <w:adjustRightInd w:val="0"/>
              <w:snapToGrid w:val="0"/>
              <w:spacing w:line="240" w:lineRule="exact"/>
              <w:jc w:val="center"/>
              <w:rPr>
                <w:rFonts w:ascii="Times New Roman" w:hAnsi="Times New Roman" w:eastAsia="宋体" w:cs="Times New Roman"/>
                <w:snapToGrid w:val="0"/>
                <w:kern w:val="0"/>
                <w:szCs w:val="21"/>
              </w:rPr>
            </w:pPr>
            <w:r>
              <w:rPr>
                <w:rFonts w:hint="eastAsia" w:ascii="Times New Roman" w:hAnsi="Times New Roman" w:eastAsia="宋体" w:cs="Times New Roman"/>
                <w:snapToGrid w:val="0"/>
                <w:kern w:val="0"/>
                <w:szCs w:val="21"/>
              </w:rPr>
              <w:t>0.5/6.7</w:t>
            </w:r>
          </w:p>
        </w:tc>
        <w:tc>
          <w:tcPr>
            <w:tcW w:w="190" w:type="pct"/>
            <w:vMerge w:val="restart"/>
            <w:shd w:val="clear" w:color="auto" w:fill="auto"/>
            <w:vAlign w:val="center"/>
          </w:tcPr>
          <w:p w14:paraId="1523549C">
            <w:pPr>
              <w:adjustRightInd w:val="0"/>
              <w:snapToGrid w:val="0"/>
              <w:spacing w:line="240" w:lineRule="exact"/>
              <w:jc w:val="center"/>
              <w:rPr>
                <w:rFonts w:ascii="Times New Roman" w:hAnsi="Times New Roman" w:eastAsia="宋体" w:cs="Times New Roman"/>
                <w:snapToGrid w:val="0"/>
                <w:kern w:val="0"/>
                <w:szCs w:val="21"/>
              </w:rPr>
            </w:pPr>
            <w:r>
              <w:rPr>
                <w:rFonts w:hint="eastAsia" w:ascii="Times New Roman" w:hAnsi="Times New Roman" w:eastAsia="宋体" w:cs="Times New Roman"/>
                <w:snapToGrid w:val="0"/>
                <w:kern w:val="0"/>
                <w:szCs w:val="21"/>
              </w:rPr>
              <w:t>35</w:t>
            </w:r>
          </w:p>
        </w:tc>
        <w:tc>
          <w:tcPr>
            <w:tcW w:w="190" w:type="pct"/>
            <w:vMerge w:val="restart"/>
            <w:shd w:val="clear" w:color="auto" w:fill="auto"/>
            <w:vAlign w:val="center"/>
          </w:tcPr>
          <w:p w14:paraId="1FE06B80">
            <w:pPr>
              <w:adjustRightInd w:val="0"/>
              <w:snapToGrid w:val="0"/>
              <w:spacing w:line="240" w:lineRule="exact"/>
              <w:jc w:val="center"/>
              <w:rPr>
                <w:rFonts w:ascii="Times New Roman" w:hAnsi="Times New Roman" w:eastAsia="宋体" w:cs="Times New Roman"/>
                <w:snapToGrid w:val="0"/>
                <w:kern w:val="0"/>
                <w:szCs w:val="21"/>
              </w:rPr>
            </w:pPr>
            <w:r>
              <w:rPr>
                <w:rFonts w:hint="eastAsia" w:ascii="Times New Roman" w:hAnsi="Times New Roman" w:eastAsia="宋体" w:cs="Times New Roman"/>
                <w:snapToGrid w:val="0"/>
                <w:kern w:val="0"/>
                <w:szCs w:val="21"/>
              </w:rPr>
              <w:t>20</w:t>
            </w:r>
          </w:p>
        </w:tc>
        <w:tc>
          <w:tcPr>
            <w:tcW w:w="2230" w:type="pct"/>
            <w:vMerge w:val="restart"/>
            <w:noWrap/>
            <w:vAlign w:val="center"/>
          </w:tcPr>
          <w:p w14:paraId="76DE275A">
            <w:pPr>
              <w:rPr>
                <w:rFonts w:ascii="Times New Roman" w:hAnsi="Times New Roman" w:eastAsia="宋体" w:cs="Times New Roman"/>
                <w:szCs w:val="21"/>
              </w:rPr>
            </w:pPr>
            <w:r>
              <w:rPr>
                <w:rFonts w:ascii="Times New Roman" w:hAnsi="Times New Roman" w:eastAsia="宋体" w:cs="Times New Roman"/>
                <w:szCs w:val="21"/>
              </w:rPr>
              <w:t>方案一：安装隔声窗，按每户1万元计，共</w:t>
            </w:r>
            <w:r>
              <w:rPr>
                <w:rFonts w:hint="eastAsia" w:ascii="Times New Roman" w:hAnsi="Times New Roman" w:eastAsia="宋体" w:cs="Times New Roman"/>
                <w:szCs w:val="21"/>
              </w:rPr>
              <w:t>55</w:t>
            </w:r>
            <w:r>
              <w:rPr>
                <w:rFonts w:ascii="Times New Roman" w:hAnsi="Times New Roman" w:eastAsia="宋体" w:cs="Times New Roman"/>
                <w:szCs w:val="21"/>
              </w:rPr>
              <w:t>户，投资</w:t>
            </w:r>
            <w:r>
              <w:rPr>
                <w:rFonts w:hint="eastAsia" w:ascii="Times New Roman" w:hAnsi="Times New Roman" w:eastAsia="宋体" w:cs="Times New Roman"/>
                <w:szCs w:val="21"/>
              </w:rPr>
              <w:t>55</w:t>
            </w:r>
            <w:r>
              <w:rPr>
                <w:rFonts w:ascii="Times New Roman" w:hAnsi="Times New Roman" w:eastAsia="宋体" w:cs="Times New Roman"/>
                <w:szCs w:val="21"/>
              </w:rPr>
              <w:t>万元，隔声量25dB。</w:t>
            </w:r>
          </w:p>
          <w:p w14:paraId="33674574">
            <w:pPr>
              <w:adjustRightInd w:val="0"/>
              <w:snapToGrid w:val="0"/>
              <w:spacing w:line="240" w:lineRule="exact"/>
              <w:rPr>
                <w:rFonts w:ascii="Times New Roman" w:hAnsi="Times New Roman" w:eastAsia="宋体" w:cs="Times New Roman"/>
                <w:szCs w:val="21"/>
              </w:rPr>
            </w:pPr>
            <w:r>
              <w:rPr>
                <w:rFonts w:ascii="Times New Roman" w:hAnsi="Times New Roman" w:eastAsia="宋体" w:cs="Times New Roman"/>
                <w:szCs w:val="21"/>
              </w:rPr>
              <w:t>方案二：设置声屏障，拟建公路右侧</w:t>
            </w:r>
            <w:r>
              <w:rPr>
                <w:rFonts w:ascii="Times New Roman" w:hAnsi="Times New Roman" w:cs="Times New Roman" w:eastAsiaTheme="minorEastAsia"/>
                <w:szCs w:val="21"/>
              </w:rPr>
              <w:t>K</w:t>
            </w:r>
            <w:r>
              <w:rPr>
                <w:rFonts w:hint="eastAsia" w:ascii="Times New Roman" w:hAnsi="Times New Roman" w:cs="Times New Roman" w:eastAsiaTheme="minorEastAsia"/>
                <w:szCs w:val="21"/>
              </w:rPr>
              <w:t>21</w:t>
            </w:r>
            <w:r>
              <w:rPr>
                <w:rFonts w:ascii="Times New Roman" w:hAnsi="Times New Roman" w:cs="Times New Roman" w:eastAsiaTheme="minorEastAsia"/>
                <w:szCs w:val="21"/>
              </w:rPr>
              <w:t>+</w:t>
            </w:r>
            <w:r>
              <w:rPr>
                <w:rFonts w:hint="eastAsia" w:ascii="Times New Roman" w:hAnsi="Times New Roman" w:cs="Times New Roman" w:eastAsiaTheme="minorEastAsia"/>
                <w:szCs w:val="21"/>
              </w:rPr>
              <w:t>80</w:t>
            </w:r>
            <w:r>
              <w:rPr>
                <w:rFonts w:ascii="Times New Roman" w:hAnsi="Times New Roman" w:cs="Times New Roman" w:eastAsiaTheme="minorEastAsia"/>
                <w:szCs w:val="21"/>
              </w:rPr>
              <w:t>0～K</w:t>
            </w:r>
            <w:r>
              <w:rPr>
                <w:rFonts w:hint="eastAsia" w:ascii="Times New Roman" w:hAnsi="Times New Roman" w:cs="Times New Roman" w:eastAsiaTheme="minorEastAsia"/>
                <w:szCs w:val="21"/>
              </w:rPr>
              <w:t>22</w:t>
            </w:r>
            <w:r>
              <w:rPr>
                <w:rFonts w:ascii="Times New Roman" w:hAnsi="Times New Roman" w:cs="Times New Roman" w:eastAsiaTheme="minorEastAsia"/>
                <w:szCs w:val="21"/>
              </w:rPr>
              <w:t>+</w:t>
            </w:r>
            <w:r>
              <w:rPr>
                <w:rFonts w:hint="eastAsia" w:ascii="Times New Roman" w:hAnsi="Times New Roman" w:cs="Times New Roman" w:eastAsiaTheme="minorEastAsia"/>
                <w:szCs w:val="21"/>
              </w:rPr>
              <w:t>400</w:t>
            </w:r>
            <w:r>
              <w:rPr>
                <w:rFonts w:ascii="Times New Roman" w:hAnsi="Times New Roman" w:cs="Times New Roman" w:eastAsiaTheme="minorEastAsia"/>
                <w:szCs w:val="21"/>
              </w:rPr>
              <w:t>（根据《</w:t>
            </w:r>
            <w:r>
              <w:rPr>
                <w:rFonts w:hint="eastAsia" w:ascii="Times New Roman" w:hAnsi="Times New Roman" w:cs="Times New Roman" w:eastAsiaTheme="minorEastAsia"/>
                <w:szCs w:val="21"/>
              </w:rPr>
              <w:t>公路路线设计规范（JTG D20—2017）</w:t>
            </w:r>
            <w:r>
              <w:rPr>
                <w:rFonts w:ascii="Times New Roman" w:hAnsi="Times New Roman" w:cs="Times New Roman" w:eastAsiaTheme="minorEastAsia"/>
                <w:szCs w:val="21"/>
              </w:rPr>
              <w:t>》，考虑行车安全视距，每处平交口两侧共需断开</w:t>
            </w:r>
            <w:r>
              <w:rPr>
                <w:rFonts w:hint="eastAsia" w:ascii="Times New Roman" w:hAnsi="Times New Roman" w:cs="Times New Roman" w:eastAsiaTheme="minorEastAsia"/>
                <w:szCs w:val="21"/>
              </w:rPr>
              <w:t>220m，该路段共1处平交口</w:t>
            </w:r>
            <w:r>
              <w:rPr>
                <w:rFonts w:ascii="Times New Roman" w:hAnsi="Times New Roman" w:cs="Times New Roman" w:eastAsiaTheme="minorEastAsia"/>
                <w:szCs w:val="21"/>
              </w:rPr>
              <w:t>）</w:t>
            </w:r>
            <w:r>
              <w:rPr>
                <w:rFonts w:ascii="Times New Roman" w:hAnsi="Times New Roman" w:eastAsia="宋体" w:cs="Times New Roman"/>
                <w:szCs w:val="21"/>
              </w:rPr>
              <w:t>设置</w:t>
            </w:r>
            <w:r>
              <w:rPr>
                <w:rFonts w:hint="eastAsia" w:ascii="Times New Roman" w:hAnsi="Times New Roman" w:eastAsia="宋体" w:cs="Times New Roman"/>
                <w:szCs w:val="21"/>
              </w:rPr>
              <w:t>380</w:t>
            </w:r>
            <w:r>
              <w:rPr>
                <w:rFonts w:ascii="Times New Roman" w:hAnsi="Times New Roman" w:eastAsia="宋体" w:cs="Times New Roman"/>
                <w:szCs w:val="21"/>
              </w:rPr>
              <w:t>m（长）×</w:t>
            </w:r>
            <w:r>
              <w:rPr>
                <w:rFonts w:hint="eastAsia" w:ascii="Times New Roman" w:hAnsi="Times New Roman" w:eastAsia="宋体" w:cs="Times New Roman"/>
                <w:szCs w:val="21"/>
              </w:rPr>
              <w:t>3.0</w:t>
            </w:r>
            <w:r>
              <w:rPr>
                <w:rFonts w:ascii="Times New Roman" w:hAnsi="Times New Roman" w:eastAsia="宋体" w:cs="Times New Roman"/>
                <w:szCs w:val="21"/>
              </w:rPr>
              <w:t>m（高）声屏障，</w:t>
            </w:r>
            <w:r>
              <w:rPr>
                <w:rFonts w:hint="eastAsia" w:ascii="Times New Roman" w:hAnsi="Times New Roman" w:eastAsia="宋体" w:cs="Times New Roman"/>
                <w:szCs w:val="21"/>
              </w:rPr>
              <w:t>2</w:t>
            </w:r>
            <w:r>
              <w:rPr>
                <w:rFonts w:ascii="Times New Roman" w:hAnsi="Times New Roman" w:eastAsia="宋体" w:cs="Times New Roman"/>
                <w:szCs w:val="21"/>
              </w:rPr>
              <w:t>000元/m，共投资</w:t>
            </w:r>
            <w:r>
              <w:rPr>
                <w:rFonts w:hint="eastAsia" w:ascii="Times New Roman" w:hAnsi="Times New Roman" w:eastAsia="宋体" w:cs="Times New Roman"/>
                <w:szCs w:val="21"/>
              </w:rPr>
              <w:t>76</w:t>
            </w:r>
            <w:r>
              <w:rPr>
                <w:rFonts w:ascii="Times New Roman" w:hAnsi="Times New Roman" w:eastAsia="宋体" w:cs="Times New Roman"/>
                <w:szCs w:val="21"/>
              </w:rPr>
              <w:t>万元</w:t>
            </w:r>
            <w:r>
              <w:rPr>
                <w:rFonts w:hint="eastAsia" w:ascii="Times New Roman" w:hAnsi="Times New Roman" w:eastAsia="宋体" w:cs="Times New Roman"/>
              </w:rPr>
              <w:t>。</w:t>
            </w:r>
            <w:r>
              <w:rPr>
                <w:rFonts w:ascii="Times New Roman" w:hAnsi="Times New Roman" w:eastAsia="宋体" w:cs="Times New Roman"/>
              </w:rPr>
              <w:t>房屋距路较近，超标量较大，仅采取声屏障降噪措施</w:t>
            </w:r>
            <w:r>
              <w:rPr>
                <w:rFonts w:hint="eastAsia" w:ascii="Times New Roman" w:hAnsi="Times New Roman" w:eastAsia="宋体" w:cs="Times New Roman"/>
              </w:rPr>
              <w:t>难以</w:t>
            </w:r>
            <w:r>
              <w:rPr>
                <w:rFonts w:ascii="Times New Roman" w:hAnsi="Times New Roman" w:eastAsia="宋体" w:cs="Times New Roman"/>
              </w:rPr>
              <w:t>达标</w:t>
            </w:r>
            <w:r>
              <w:rPr>
                <w:rFonts w:hint="eastAsia" w:ascii="Times New Roman" w:hAnsi="Times New Roman" w:eastAsia="宋体" w:cs="Times New Roman"/>
                <w:szCs w:val="21"/>
              </w:rPr>
              <w:t>，需同时</w:t>
            </w:r>
            <w:r>
              <w:rPr>
                <w:rFonts w:ascii="Times New Roman" w:hAnsi="Times New Roman" w:eastAsia="宋体" w:cs="Times New Roman"/>
              </w:rPr>
              <w:t>对超标的</w:t>
            </w:r>
            <w:r>
              <w:rPr>
                <w:rFonts w:hint="eastAsia" w:ascii="Times New Roman" w:hAnsi="Times New Roman" w:eastAsia="宋体" w:cs="Times New Roman"/>
              </w:rPr>
              <w:t>20</w:t>
            </w:r>
            <w:r>
              <w:rPr>
                <w:rFonts w:ascii="Times New Roman" w:hAnsi="Times New Roman" w:eastAsia="宋体" w:cs="Times New Roman"/>
              </w:rPr>
              <w:t>户安装隔声窗，隔声量20～25dB，每户投资1万元，共计</w:t>
            </w:r>
            <w:r>
              <w:rPr>
                <w:rFonts w:hint="eastAsia" w:ascii="Times New Roman" w:hAnsi="Times New Roman" w:eastAsia="宋体" w:cs="Times New Roman"/>
              </w:rPr>
              <w:t>20</w:t>
            </w:r>
            <w:r>
              <w:rPr>
                <w:rFonts w:ascii="Times New Roman" w:hAnsi="Times New Roman" w:eastAsia="宋体" w:cs="Times New Roman"/>
              </w:rPr>
              <w:t>万元。</w:t>
            </w:r>
            <w:r>
              <w:rPr>
                <w:rFonts w:ascii="Times New Roman" w:hAnsi="Times New Roman" w:eastAsia="宋体" w:cs="Times New Roman"/>
                <w:szCs w:val="21"/>
              </w:rPr>
              <w:t>拟建公路左侧</w:t>
            </w:r>
            <w:r>
              <w:rPr>
                <w:rFonts w:ascii="Times New Roman" w:hAnsi="Times New Roman" w:cs="Times New Roman" w:eastAsiaTheme="minorEastAsia"/>
                <w:szCs w:val="21"/>
              </w:rPr>
              <w:t>K</w:t>
            </w:r>
            <w:r>
              <w:rPr>
                <w:rFonts w:hint="eastAsia" w:ascii="Times New Roman" w:hAnsi="Times New Roman" w:cs="Times New Roman" w:eastAsiaTheme="minorEastAsia"/>
                <w:szCs w:val="21"/>
              </w:rPr>
              <w:t>21</w:t>
            </w:r>
            <w:r>
              <w:rPr>
                <w:rFonts w:ascii="Times New Roman" w:hAnsi="Times New Roman" w:cs="Times New Roman" w:eastAsiaTheme="minorEastAsia"/>
                <w:szCs w:val="21"/>
              </w:rPr>
              <w:t>+</w:t>
            </w:r>
            <w:r>
              <w:rPr>
                <w:rFonts w:hint="eastAsia" w:ascii="Times New Roman" w:hAnsi="Times New Roman" w:cs="Times New Roman" w:eastAsiaTheme="minorEastAsia"/>
                <w:szCs w:val="21"/>
              </w:rPr>
              <w:t>85</w:t>
            </w:r>
            <w:r>
              <w:rPr>
                <w:rFonts w:ascii="Times New Roman" w:hAnsi="Times New Roman" w:cs="Times New Roman" w:eastAsiaTheme="minorEastAsia"/>
                <w:szCs w:val="21"/>
              </w:rPr>
              <w:t>0～K</w:t>
            </w:r>
            <w:r>
              <w:rPr>
                <w:rFonts w:hint="eastAsia" w:ascii="Times New Roman" w:hAnsi="Times New Roman" w:cs="Times New Roman" w:eastAsiaTheme="minorEastAsia"/>
                <w:szCs w:val="21"/>
              </w:rPr>
              <w:t>21</w:t>
            </w:r>
            <w:r>
              <w:rPr>
                <w:rFonts w:ascii="Times New Roman" w:hAnsi="Times New Roman" w:cs="Times New Roman" w:eastAsiaTheme="minorEastAsia"/>
                <w:szCs w:val="21"/>
              </w:rPr>
              <w:t>+</w:t>
            </w:r>
            <w:r>
              <w:rPr>
                <w:rFonts w:hint="eastAsia" w:ascii="Times New Roman" w:hAnsi="Times New Roman" w:cs="Times New Roman" w:eastAsiaTheme="minorEastAsia"/>
                <w:szCs w:val="21"/>
              </w:rPr>
              <w:t>95</w:t>
            </w:r>
            <w:r>
              <w:rPr>
                <w:rFonts w:ascii="Times New Roman" w:hAnsi="Times New Roman" w:cs="Times New Roman" w:eastAsiaTheme="minorEastAsia"/>
                <w:szCs w:val="21"/>
              </w:rPr>
              <w:t>0和K</w:t>
            </w:r>
            <w:r>
              <w:rPr>
                <w:rFonts w:hint="eastAsia" w:ascii="Times New Roman" w:hAnsi="Times New Roman" w:cs="Times New Roman" w:eastAsiaTheme="minorEastAsia"/>
                <w:szCs w:val="21"/>
              </w:rPr>
              <w:t>22</w:t>
            </w:r>
            <w:r>
              <w:rPr>
                <w:rFonts w:ascii="Times New Roman" w:hAnsi="Times New Roman" w:cs="Times New Roman" w:eastAsiaTheme="minorEastAsia"/>
                <w:szCs w:val="21"/>
              </w:rPr>
              <w:t>+</w:t>
            </w:r>
            <w:r>
              <w:rPr>
                <w:rFonts w:hint="eastAsia" w:ascii="Times New Roman" w:hAnsi="Times New Roman" w:cs="Times New Roman" w:eastAsiaTheme="minorEastAsia"/>
                <w:szCs w:val="21"/>
              </w:rPr>
              <w:t>20</w:t>
            </w:r>
            <w:r>
              <w:rPr>
                <w:rFonts w:ascii="Times New Roman" w:hAnsi="Times New Roman" w:cs="Times New Roman" w:eastAsiaTheme="minorEastAsia"/>
                <w:szCs w:val="21"/>
              </w:rPr>
              <w:t>0～K</w:t>
            </w:r>
            <w:r>
              <w:rPr>
                <w:rFonts w:hint="eastAsia" w:ascii="Times New Roman" w:hAnsi="Times New Roman" w:cs="Times New Roman" w:eastAsiaTheme="minorEastAsia"/>
                <w:szCs w:val="21"/>
              </w:rPr>
              <w:t>22</w:t>
            </w:r>
            <w:r>
              <w:rPr>
                <w:rFonts w:ascii="Times New Roman" w:hAnsi="Times New Roman" w:cs="Times New Roman" w:eastAsiaTheme="minorEastAsia"/>
                <w:szCs w:val="21"/>
              </w:rPr>
              <w:t>+</w:t>
            </w:r>
            <w:r>
              <w:rPr>
                <w:rFonts w:hint="eastAsia" w:ascii="Times New Roman" w:hAnsi="Times New Roman" w:cs="Times New Roman" w:eastAsiaTheme="minorEastAsia"/>
                <w:szCs w:val="21"/>
              </w:rPr>
              <w:t>35</w:t>
            </w:r>
            <w:r>
              <w:rPr>
                <w:rFonts w:ascii="Times New Roman" w:hAnsi="Times New Roman" w:cs="Times New Roman" w:eastAsiaTheme="minorEastAsia"/>
                <w:szCs w:val="21"/>
              </w:rPr>
              <w:t>0</w:t>
            </w:r>
            <w:r>
              <w:rPr>
                <w:rFonts w:ascii="Times New Roman" w:hAnsi="Times New Roman" w:eastAsia="宋体" w:cs="Times New Roman"/>
              </w:rPr>
              <w:t>路段房屋</w:t>
            </w:r>
            <w:r>
              <w:rPr>
                <w:rFonts w:hint="eastAsia" w:ascii="Times New Roman" w:hAnsi="Times New Roman" w:eastAsia="宋体" w:cs="Times New Roman"/>
              </w:rPr>
              <w:t>集中</w:t>
            </w:r>
            <w:r>
              <w:rPr>
                <w:rFonts w:ascii="Times New Roman" w:hAnsi="Times New Roman" w:eastAsia="宋体" w:cs="Times New Roman"/>
              </w:rPr>
              <w:t>分布于平交口两侧，</w:t>
            </w:r>
            <w:r>
              <w:rPr>
                <w:rFonts w:ascii="Times New Roman" w:hAnsi="Times New Roman" w:cs="Times New Roman" w:eastAsiaTheme="minorEastAsia"/>
                <w:szCs w:val="21"/>
              </w:rPr>
              <w:t>根据《</w:t>
            </w:r>
            <w:r>
              <w:rPr>
                <w:rFonts w:hint="eastAsia" w:ascii="Times New Roman" w:hAnsi="Times New Roman" w:cs="Times New Roman" w:eastAsiaTheme="minorEastAsia"/>
                <w:szCs w:val="21"/>
              </w:rPr>
              <w:t>公路路线设计规范（JTG D20—2017）</w:t>
            </w:r>
            <w:r>
              <w:rPr>
                <w:rFonts w:ascii="Times New Roman" w:hAnsi="Times New Roman" w:cs="Times New Roman" w:eastAsiaTheme="minorEastAsia"/>
                <w:szCs w:val="21"/>
              </w:rPr>
              <w:t>》，考虑行车安全视距，每处平交口两侧共需断开</w:t>
            </w:r>
            <w:r>
              <w:rPr>
                <w:rFonts w:hint="eastAsia" w:ascii="Times New Roman" w:hAnsi="Times New Roman" w:cs="Times New Roman" w:eastAsiaTheme="minorEastAsia"/>
                <w:szCs w:val="21"/>
              </w:rPr>
              <w:t>220m，该路段</w:t>
            </w:r>
            <w:r>
              <w:rPr>
                <w:rFonts w:ascii="Times New Roman" w:hAnsi="Times New Roman" w:eastAsia="宋体" w:cs="Times New Roman"/>
              </w:rPr>
              <w:t>平交口处无法设置声屏障，</w:t>
            </w:r>
            <w:r>
              <w:rPr>
                <w:rFonts w:hint="eastAsia" w:ascii="Times New Roman" w:hAnsi="Times New Roman" w:eastAsia="宋体" w:cs="Times New Roman"/>
                <w:szCs w:val="21"/>
              </w:rPr>
              <w:t>需</w:t>
            </w:r>
            <w:r>
              <w:rPr>
                <w:rFonts w:ascii="Times New Roman" w:hAnsi="Times New Roman" w:eastAsia="宋体" w:cs="Times New Roman"/>
              </w:rPr>
              <w:t>对超标的</w:t>
            </w:r>
            <w:r>
              <w:rPr>
                <w:rFonts w:hint="eastAsia" w:ascii="Times New Roman" w:hAnsi="Times New Roman" w:eastAsia="宋体" w:cs="Times New Roman"/>
              </w:rPr>
              <w:t>35</w:t>
            </w:r>
            <w:r>
              <w:rPr>
                <w:rFonts w:ascii="Times New Roman" w:hAnsi="Times New Roman" w:eastAsia="宋体" w:cs="Times New Roman"/>
              </w:rPr>
              <w:t>户安装隔声窗，隔声量20～25dB，每户投资1万元，共计</w:t>
            </w:r>
            <w:r>
              <w:rPr>
                <w:rFonts w:hint="eastAsia" w:ascii="Times New Roman" w:hAnsi="Times New Roman" w:eastAsia="宋体" w:cs="Times New Roman"/>
              </w:rPr>
              <w:t>35</w:t>
            </w:r>
            <w:r>
              <w:rPr>
                <w:rFonts w:ascii="Times New Roman" w:hAnsi="Times New Roman" w:eastAsia="宋体" w:cs="Times New Roman"/>
              </w:rPr>
              <w:t>万元。</w:t>
            </w:r>
          </w:p>
          <w:p w14:paraId="1BBB7512">
            <w:pPr>
              <w:widowControl/>
              <w:jc w:val="left"/>
              <w:rPr>
                <w:rFonts w:ascii="Times New Roman" w:hAnsi="Times New Roman" w:eastAsia="宋体" w:cs="Times New Roman"/>
                <w:szCs w:val="21"/>
              </w:rPr>
            </w:pPr>
            <w:r>
              <w:rPr>
                <w:rFonts w:ascii="Times New Roman" w:hAnsi="Times New Roman" w:eastAsia="宋体" w:cs="Times New Roman"/>
                <w:szCs w:val="21"/>
              </w:rPr>
              <w:t>推荐：综合考虑推荐方案</w:t>
            </w:r>
            <w:r>
              <w:rPr>
                <w:rFonts w:hint="eastAsia" w:ascii="Times New Roman" w:hAnsi="Times New Roman" w:eastAsia="宋体" w:cs="Times New Roman"/>
                <w:szCs w:val="21"/>
              </w:rPr>
              <w:t>二</w:t>
            </w:r>
            <w:r>
              <w:rPr>
                <w:rFonts w:ascii="Times New Roman" w:hAnsi="Times New Roman" w:eastAsia="宋体" w:cs="Times New Roman"/>
                <w:szCs w:val="21"/>
              </w:rPr>
              <w:t>。</w:t>
            </w:r>
          </w:p>
        </w:tc>
        <w:tc>
          <w:tcPr>
            <w:tcW w:w="242" w:type="pct"/>
            <w:vMerge w:val="restart"/>
            <w:vAlign w:val="center"/>
          </w:tcPr>
          <w:p w14:paraId="2ED49BC1">
            <w:pPr>
              <w:widowControl/>
              <w:jc w:val="center"/>
              <w:rPr>
                <w:rFonts w:ascii="Times New Roman" w:hAnsi="Times New Roman" w:eastAsia="宋体" w:cs="Times New Roman"/>
                <w:kern w:val="0"/>
              </w:rPr>
            </w:pPr>
            <w:r>
              <w:rPr>
                <w:rFonts w:ascii="Times New Roman" w:hAnsi="Times New Roman" w:eastAsia="宋体" w:cs="Times New Roman"/>
                <w:kern w:val="0"/>
              </w:rPr>
              <w:t>声屏障+隔声窗</w:t>
            </w:r>
          </w:p>
        </w:tc>
        <w:tc>
          <w:tcPr>
            <w:tcW w:w="260" w:type="pct"/>
            <w:vMerge w:val="restart"/>
            <w:vAlign w:val="center"/>
          </w:tcPr>
          <w:p w14:paraId="23E8844B">
            <w:pPr>
              <w:widowControl/>
              <w:jc w:val="center"/>
              <w:rPr>
                <w:rFonts w:ascii="Times New Roman" w:hAnsi="Times New Roman" w:eastAsia="宋体" w:cs="Times New Roman"/>
                <w:kern w:val="0"/>
              </w:rPr>
            </w:pPr>
            <w:r>
              <w:rPr>
                <w:rFonts w:ascii="Times New Roman" w:hAnsi="Times New Roman" w:eastAsia="宋体" w:cs="Times New Roman"/>
                <w:kern w:val="0"/>
              </w:rPr>
              <w:t>室内达标</w:t>
            </w:r>
          </w:p>
        </w:tc>
        <w:tc>
          <w:tcPr>
            <w:tcW w:w="251" w:type="pct"/>
            <w:vMerge w:val="restart"/>
            <w:vAlign w:val="center"/>
          </w:tcPr>
          <w:p w14:paraId="54D18BEF">
            <w:pPr>
              <w:jc w:val="center"/>
              <w:rPr>
                <w:rFonts w:ascii="Times New Roman" w:hAnsi="Times New Roman" w:eastAsia="宋体" w:cs="Times New Roman"/>
                <w:szCs w:val="21"/>
              </w:rPr>
            </w:pPr>
            <w:r>
              <w:rPr>
                <w:rFonts w:hint="eastAsia" w:ascii="Times New Roman" w:hAnsi="Times New Roman" w:eastAsia="宋体" w:cs="Times New Roman"/>
                <w:szCs w:val="21"/>
              </w:rPr>
              <w:t>131</w:t>
            </w:r>
          </w:p>
        </w:tc>
      </w:tr>
      <w:tr w14:paraId="66B0BE2A">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trHeight w:val="170" w:hRule="atLeast"/>
          <w:tblHeader/>
          <w:jc w:val="center"/>
        </w:trPr>
        <w:tc>
          <w:tcPr>
            <w:tcW w:w="180" w:type="pct"/>
            <w:vMerge w:val="continue"/>
            <w:noWrap/>
            <w:vAlign w:val="center"/>
          </w:tcPr>
          <w:p w14:paraId="6AAFE421">
            <w:pPr>
              <w:jc w:val="center"/>
              <w:rPr>
                <w:rFonts w:ascii="Times New Roman" w:hAnsi="Times New Roman" w:eastAsia="宋体" w:cs="Times New Roman"/>
              </w:rPr>
            </w:pPr>
          </w:p>
        </w:tc>
        <w:tc>
          <w:tcPr>
            <w:tcW w:w="278" w:type="pct"/>
            <w:vAlign w:val="center"/>
          </w:tcPr>
          <w:p w14:paraId="7E01391F">
            <w:pPr>
              <w:jc w:val="center"/>
              <w:rPr>
                <w:rFonts w:ascii="Times New Roman" w:hAnsi="Times New Roman" w:cs="Times New Roman" w:eastAsiaTheme="minorEastAsia"/>
                <w:szCs w:val="21"/>
              </w:rPr>
            </w:pPr>
            <w:r>
              <w:rPr>
                <w:rFonts w:ascii="Times New Roman" w:hAnsi="Times New Roman" w:cs="Times New Roman" w:eastAsiaTheme="minorEastAsia"/>
                <w:szCs w:val="21"/>
              </w:rPr>
              <w:t>K</w:t>
            </w:r>
            <w:r>
              <w:rPr>
                <w:rFonts w:hint="eastAsia" w:ascii="Times New Roman" w:hAnsi="Times New Roman" w:cs="Times New Roman" w:eastAsiaTheme="minorEastAsia"/>
                <w:szCs w:val="21"/>
              </w:rPr>
              <w:t>21</w:t>
            </w:r>
            <w:r>
              <w:rPr>
                <w:rFonts w:ascii="Times New Roman" w:hAnsi="Times New Roman" w:cs="Times New Roman" w:eastAsiaTheme="minorEastAsia"/>
                <w:szCs w:val="21"/>
              </w:rPr>
              <w:t>+</w:t>
            </w:r>
            <w:r>
              <w:rPr>
                <w:rFonts w:hint="eastAsia" w:ascii="Times New Roman" w:hAnsi="Times New Roman" w:cs="Times New Roman" w:eastAsiaTheme="minorEastAsia"/>
                <w:szCs w:val="21"/>
              </w:rPr>
              <w:t>85</w:t>
            </w:r>
            <w:r>
              <w:rPr>
                <w:rFonts w:ascii="Times New Roman" w:hAnsi="Times New Roman" w:cs="Times New Roman" w:eastAsiaTheme="minorEastAsia"/>
                <w:szCs w:val="21"/>
              </w:rPr>
              <w:t>0～K</w:t>
            </w:r>
            <w:r>
              <w:rPr>
                <w:rFonts w:hint="eastAsia" w:ascii="Times New Roman" w:hAnsi="Times New Roman" w:cs="Times New Roman" w:eastAsiaTheme="minorEastAsia"/>
                <w:szCs w:val="21"/>
              </w:rPr>
              <w:t>21</w:t>
            </w:r>
            <w:r>
              <w:rPr>
                <w:rFonts w:ascii="Times New Roman" w:hAnsi="Times New Roman" w:cs="Times New Roman" w:eastAsiaTheme="minorEastAsia"/>
                <w:szCs w:val="21"/>
              </w:rPr>
              <w:t>+</w:t>
            </w:r>
            <w:r>
              <w:rPr>
                <w:rFonts w:hint="eastAsia" w:ascii="Times New Roman" w:hAnsi="Times New Roman" w:cs="Times New Roman" w:eastAsiaTheme="minorEastAsia"/>
                <w:szCs w:val="21"/>
              </w:rPr>
              <w:t>95</w:t>
            </w:r>
            <w:r>
              <w:rPr>
                <w:rFonts w:ascii="Times New Roman" w:hAnsi="Times New Roman" w:cs="Times New Roman" w:eastAsiaTheme="minorEastAsia"/>
                <w:szCs w:val="21"/>
              </w:rPr>
              <w:t>0</w:t>
            </w:r>
          </w:p>
        </w:tc>
        <w:tc>
          <w:tcPr>
            <w:tcW w:w="346" w:type="pct"/>
            <w:vMerge w:val="continue"/>
            <w:vAlign w:val="center"/>
          </w:tcPr>
          <w:p w14:paraId="3727EC4F">
            <w:pPr>
              <w:widowControl/>
              <w:adjustRightInd w:val="0"/>
              <w:snapToGrid w:val="0"/>
              <w:spacing w:line="240" w:lineRule="exact"/>
              <w:jc w:val="center"/>
              <w:rPr>
                <w:rFonts w:ascii="Times New Roman" w:hAnsi="Times New Roman" w:cs="Times New Roman" w:eastAsiaTheme="minorEastAsia"/>
                <w:szCs w:val="21"/>
              </w:rPr>
            </w:pPr>
          </w:p>
        </w:tc>
        <w:tc>
          <w:tcPr>
            <w:tcW w:w="138" w:type="pct"/>
            <w:vMerge w:val="restart"/>
            <w:vAlign w:val="center"/>
          </w:tcPr>
          <w:p w14:paraId="6AAA7B34">
            <w:pPr>
              <w:adjustRightInd w:val="0"/>
              <w:snapToGrid w:val="0"/>
              <w:spacing w:line="240" w:lineRule="exact"/>
              <w:jc w:val="center"/>
              <w:rPr>
                <w:rFonts w:ascii="Times New Roman" w:hAnsi="Times New Roman" w:cs="Times New Roman" w:eastAsiaTheme="minorEastAsia"/>
                <w:szCs w:val="21"/>
              </w:rPr>
            </w:pPr>
            <w:r>
              <w:rPr>
                <w:rFonts w:ascii="Times New Roman" w:hAnsi="Times New Roman" w:cs="Times New Roman" w:eastAsiaTheme="minorEastAsia"/>
                <w:szCs w:val="21"/>
              </w:rPr>
              <w:t>路左</w:t>
            </w:r>
          </w:p>
        </w:tc>
        <w:tc>
          <w:tcPr>
            <w:tcW w:w="209" w:type="pct"/>
            <w:vMerge w:val="continue"/>
            <w:vAlign w:val="center"/>
          </w:tcPr>
          <w:p w14:paraId="030AD977">
            <w:pPr>
              <w:adjustRightInd w:val="0"/>
              <w:snapToGrid w:val="0"/>
              <w:spacing w:line="240" w:lineRule="exact"/>
              <w:jc w:val="center"/>
              <w:rPr>
                <w:rFonts w:ascii="Times New Roman" w:hAnsi="Times New Roman" w:eastAsia="宋体" w:cs="Times New Roman"/>
                <w:snapToGrid w:val="0"/>
                <w:kern w:val="0"/>
                <w:szCs w:val="21"/>
              </w:rPr>
            </w:pPr>
          </w:p>
        </w:tc>
        <w:tc>
          <w:tcPr>
            <w:tcW w:w="243" w:type="pct"/>
            <w:vMerge w:val="continue"/>
            <w:vAlign w:val="center"/>
          </w:tcPr>
          <w:p w14:paraId="1746E554">
            <w:pPr>
              <w:adjustRightInd w:val="0"/>
              <w:snapToGrid w:val="0"/>
              <w:spacing w:line="240" w:lineRule="exact"/>
              <w:jc w:val="center"/>
              <w:rPr>
                <w:rFonts w:ascii="Times New Roman" w:hAnsi="Times New Roman" w:eastAsia="宋体" w:cs="Times New Roman"/>
                <w:snapToGrid w:val="0"/>
                <w:kern w:val="0"/>
                <w:szCs w:val="21"/>
              </w:rPr>
            </w:pPr>
          </w:p>
        </w:tc>
        <w:tc>
          <w:tcPr>
            <w:tcW w:w="243" w:type="pct"/>
            <w:vMerge w:val="continue"/>
            <w:vAlign w:val="center"/>
          </w:tcPr>
          <w:p w14:paraId="72AD3D9D">
            <w:pPr>
              <w:adjustRightInd w:val="0"/>
              <w:snapToGrid w:val="0"/>
              <w:spacing w:line="240" w:lineRule="exact"/>
              <w:jc w:val="center"/>
              <w:rPr>
                <w:rFonts w:ascii="Times New Roman" w:hAnsi="Times New Roman" w:eastAsia="宋体" w:cs="Times New Roman"/>
                <w:snapToGrid w:val="0"/>
                <w:kern w:val="0"/>
                <w:szCs w:val="21"/>
              </w:rPr>
            </w:pPr>
          </w:p>
        </w:tc>
        <w:tc>
          <w:tcPr>
            <w:tcW w:w="190" w:type="pct"/>
            <w:vMerge w:val="continue"/>
            <w:shd w:val="clear" w:color="auto" w:fill="auto"/>
            <w:vAlign w:val="center"/>
          </w:tcPr>
          <w:p w14:paraId="540420A4">
            <w:pPr>
              <w:adjustRightInd w:val="0"/>
              <w:snapToGrid w:val="0"/>
              <w:spacing w:line="240" w:lineRule="exact"/>
              <w:jc w:val="center"/>
              <w:rPr>
                <w:rFonts w:ascii="Times New Roman" w:hAnsi="Times New Roman" w:eastAsia="宋体" w:cs="Times New Roman"/>
                <w:snapToGrid w:val="0"/>
                <w:kern w:val="0"/>
                <w:szCs w:val="21"/>
              </w:rPr>
            </w:pPr>
          </w:p>
        </w:tc>
        <w:tc>
          <w:tcPr>
            <w:tcW w:w="190" w:type="pct"/>
            <w:vMerge w:val="continue"/>
            <w:shd w:val="clear" w:color="auto" w:fill="auto"/>
            <w:vAlign w:val="center"/>
          </w:tcPr>
          <w:p w14:paraId="17518ED4">
            <w:pPr>
              <w:adjustRightInd w:val="0"/>
              <w:snapToGrid w:val="0"/>
              <w:spacing w:line="240" w:lineRule="exact"/>
              <w:jc w:val="center"/>
              <w:rPr>
                <w:rFonts w:ascii="Times New Roman" w:hAnsi="Times New Roman" w:eastAsia="宋体" w:cs="Times New Roman"/>
                <w:snapToGrid w:val="0"/>
                <w:kern w:val="0"/>
                <w:szCs w:val="21"/>
              </w:rPr>
            </w:pPr>
          </w:p>
        </w:tc>
        <w:tc>
          <w:tcPr>
            <w:tcW w:w="2230" w:type="pct"/>
            <w:vMerge w:val="continue"/>
            <w:noWrap/>
            <w:vAlign w:val="center"/>
          </w:tcPr>
          <w:p w14:paraId="2C5B1A17">
            <w:pPr>
              <w:rPr>
                <w:rFonts w:ascii="Times New Roman" w:hAnsi="Times New Roman" w:eastAsia="宋体" w:cs="Times New Roman"/>
                <w:szCs w:val="21"/>
              </w:rPr>
            </w:pPr>
          </w:p>
        </w:tc>
        <w:tc>
          <w:tcPr>
            <w:tcW w:w="242" w:type="pct"/>
            <w:vMerge w:val="continue"/>
            <w:vAlign w:val="center"/>
          </w:tcPr>
          <w:p w14:paraId="118C13FB">
            <w:pPr>
              <w:jc w:val="center"/>
              <w:rPr>
                <w:rFonts w:ascii="Times New Roman" w:hAnsi="Times New Roman" w:eastAsia="宋体" w:cs="Times New Roman"/>
                <w:szCs w:val="21"/>
              </w:rPr>
            </w:pPr>
          </w:p>
        </w:tc>
        <w:tc>
          <w:tcPr>
            <w:tcW w:w="260" w:type="pct"/>
            <w:vMerge w:val="continue"/>
            <w:vAlign w:val="center"/>
          </w:tcPr>
          <w:p w14:paraId="55C33468">
            <w:pPr>
              <w:jc w:val="center"/>
              <w:rPr>
                <w:rFonts w:ascii="Times New Roman" w:hAnsi="Times New Roman" w:eastAsia="宋体" w:cs="Times New Roman"/>
                <w:szCs w:val="21"/>
              </w:rPr>
            </w:pPr>
          </w:p>
        </w:tc>
        <w:tc>
          <w:tcPr>
            <w:tcW w:w="251" w:type="pct"/>
            <w:vMerge w:val="continue"/>
            <w:vAlign w:val="center"/>
          </w:tcPr>
          <w:p w14:paraId="5530522C">
            <w:pPr>
              <w:widowControl/>
              <w:adjustRightInd w:val="0"/>
              <w:snapToGrid w:val="0"/>
              <w:spacing w:line="240" w:lineRule="exact"/>
              <w:jc w:val="center"/>
              <w:rPr>
                <w:rFonts w:ascii="Times New Roman" w:hAnsi="Times New Roman" w:eastAsia="宋体" w:cs="Times New Roman"/>
                <w:szCs w:val="21"/>
              </w:rPr>
            </w:pPr>
          </w:p>
        </w:tc>
      </w:tr>
      <w:tr w14:paraId="46629419">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trHeight w:val="170" w:hRule="atLeast"/>
          <w:tblHeader/>
          <w:jc w:val="center"/>
        </w:trPr>
        <w:tc>
          <w:tcPr>
            <w:tcW w:w="180" w:type="pct"/>
            <w:vMerge w:val="continue"/>
            <w:noWrap/>
            <w:vAlign w:val="center"/>
          </w:tcPr>
          <w:p w14:paraId="663CBCAE">
            <w:pPr>
              <w:jc w:val="center"/>
              <w:rPr>
                <w:rFonts w:ascii="Times New Roman" w:hAnsi="Times New Roman" w:eastAsia="宋体" w:cs="Times New Roman"/>
              </w:rPr>
            </w:pPr>
          </w:p>
        </w:tc>
        <w:tc>
          <w:tcPr>
            <w:tcW w:w="278" w:type="pct"/>
            <w:vAlign w:val="center"/>
          </w:tcPr>
          <w:p w14:paraId="71205B3E">
            <w:pPr>
              <w:jc w:val="center"/>
              <w:rPr>
                <w:rFonts w:ascii="Times New Roman" w:hAnsi="Times New Roman" w:cs="Times New Roman" w:eastAsiaTheme="minorEastAsia"/>
                <w:szCs w:val="21"/>
              </w:rPr>
            </w:pPr>
            <w:r>
              <w:rPr>
                <w:rFonts w:ascii="Times New Roman" w:hAnsi="Times New Roman" w:cs="Times New Roman" w:eastAsiaTheme="minorEastAsia"/>
                <w:szCs w:val="21"/>
              </w:rPr>
              <w:t>K</w:t>
            </w:r>
            <w:r>
              <w:rPr>
                <w:rFonts w:hint="eastAsia" w:ascii="Times New Roman" w:hAnsi="Times New Roman" w:cs="Times New Roman" w:eastAsiaTheme="minorEastAsia"/>
                <w:szCs w:val="21"/>
              </w:rPr>
              <w:t>22</w:t>
            </w:r>
            <w:r>
              <w:rPr>
                <w:rFonts w:ascii="Times New Roman" w:hAnsi="Times New Roman" w:cs="Times New Roman" w:eastAsiaTheme="minorEastAsia"/>
                <w:szCs w:val="21"/>
              </w:rPr>
              <w:t>+</w:t>
            </w:r>
            <w:r>
              <w:rPr>
                <w:rFonts w:hint="eastAsia" w:ascii="Times New Roman" w:hAnsi="Times New Roman" w:cs="Times New Roman" w:eastAsiaTheme="minorEastAsia"/>
                <w:szCs w:val="21"/>
              </w:rPr>
              <w:t>20</w:t>
            </w:r>
            <w:r>
              <w:rPr>
                <w:rFonts w:ascii="Times New Roman" w:hAnsi="Times New Roman" w:cs="Times New Roman" w:eastAsiaTheme="minorEastAsia"/>
                <w:szCs w:val="21"/>
              </w:rPr>
              <w:t>0～K</w:t>
            </w:r>
            <w:r>
              <w:rPr>
                <w:rFonts w:hint="eastAsia" w:ascii="Times New Roman" w:hAnsi="Times New Roman" w:cs="Times New Roman" w:eastAsiaTheme="minorEastAsia"/>
                <w:szCs w:val="21"/>
              </w:rPr>
              <w:t>22</w:t>
            </w:r>
            <w:r>
              <w:rPr>
                <w:rFonts w:ascii="Times New Roman" w:hAnsi="Times New Roman" w:cs="Times New Roman" w:eastAsiaTheme="minorEastAsia"/>
                <w:szCs w:val="21"/>
              </w:rPr>
              <w:t>+</w:t>
            </w:r>
            <w:r>
              <w:rPr>
                <w:rFonts w:hint="eastAsia" w:ascii="Times New Roman" w:hAnsi="Times New Roman" w:cs="Times New Roman" w:eastAsiaTheme="minorEastAsia"/>
                <w:szCs w:val="21"/>
              </w:rPr>
              <w:t>35</w:t>
            </w:r>
            <w:r>
              <w:rPr>
                <w:rFonts w:ascii="Times New Roman" w:hAnsi="Times New Roman" w:cs="Times New Roman" w:eastAsiaTheme="minorEastAsia"/>
                <w:szCs w:val="21"/>
              </w:rPr>
              <w:t>0</w:t>
            </w:r>
          </w:p>
        </w:tc>
        <w:tc>
          <w:tcPr>
            <w:tcW w:w="346" w:type="pct"/>
            <w:vMerge w:val="continue"/>
            <w:vAlign w:val="center"/>
          </w:tcPr>
          <w:p w14:paraId="7EC59D38">
            <w:pPr>
              <w:widowControl/>
              <w:adjustRightInd w:val="0"/>
              <w:snapToGrid w:val="0"/>
              <w:spacing w:line="240" w:lineRule="exact"/>
              <w:jc w:val="center"/>
              <w:rPr>
                <w:rFonts w:ascii="Times New Roman" w:hAnsi="Times New Roman" w:cs="Times New Roman" w:eastAsiaTheme="minorEastAsia"/>
                <w:szCs w:val="21"/>
              </w:rPr>
            </w:pPr>
          </w:p>
        </w:tc>
        <w:tc>
          <w:tcPr>
            <w:tcW w:w="138" w:type="pct"/>
            <w:vMerge w:val="continue"/>
            <w:vAlign w:val="center"/>
          </w:tcPr>
          <w:p w14:paraId="61D24E9E">
            <w:pPr>
              <w:adjustRightInd w:val="0"/>
              <w:snapToGrid w:val="0"/>
              <w:spacing w:line="240" w:lineRule="exact"/>
              <w:jc w:val="center"/>
              <w:rPr>
                <w:rFonts w:ascii="Times New Roman" w:hAnsi="Times New Roman" w:cs="Times New Roman" w:eastAsiaTheme="minorEastAsia"/>
                <w:szCs w:val="21"/>
              </w:rPr>
            </w:pPr>
          </w:p>
        </w:tc>
        <w:tc>
          <w:tcPr>
            <w:tcW w:w="209" w:type="pct"/>
            <w:vMerge w:val="continue"/>
            <w:vAlign w:val="center"/>
          </w:tcPr>
          <w:p w14:paraId="173147B3">
            <w:pPr>
              <w:adjustRightInd w:val="0"/>
              <w:snapToGrid w:val="0"/>
              <w:spacing w:line="240" w:lineRule="exact"/>
              <w:jc w:val="center"/>
              <w:rPr>
                <w:rFonts w:ascii="Times New Roman" w:hAnsi="Times New Roman" w:eastAsia="宋体" w:cs="Times New Roman"/>
                <w:snapToGrid w:val="0"/>
                <w:kern w:val="0"/>
                <w:szCs w:val="21"/>
              </w:rPr>
            </w:pPr>
          </w:p>
        </w:tc>
        <w:tc>
          <w:tcPr>
            <w:tcW w:w="243" w:type="pct"/>
            <w:vMerge w:val="continue"/>
            <w:vAlign w:val="center"/>
          </w:tcPr>
          <w:p w14:paraId="6BCD6459">
            <w:pPr>
              <w:adjustRightInd w:val="0"/>
              <w:snapToGrid w:val="0"/>
              <w:spacing w:line="240" w:lineRule="exact"/>
              <w:jc w:val="center"/>
              <w:rPr>
                <w:rFonts w:ascii="Times New Roman" w:hAnsi="Times New Roman" w:eastAsia="宋体" w:cs="Times New Roman"/>
                <w:snapToGrid w:val="0"/>
                <w:kern w:val="0"/>
                <w:szCs w:val="21"/>
              </w:rPr>
            </w:pPr>
          </w:p>
        </w:tc>
        <w:tc>
          <w:tcPr>
            <w:tcW w:w="243" w:type="pct"/>
            <w:vMerge w:val="continue"/>
            <w:vAlign w:val="center"/>
          </w:tcPr>
          <w:p w14:paraId="40C168C1">
            <w:pPr>
              <w:adjustRightInd w:val="0"/>
              <w:snapToGrid w:val="0"/>
              <w:spacing w:line="240" w:lineRule="exact"/>
              <w:jc w:val="center"/>
              <w:rPr>
                <w:rFonts w:ascii="Times New Roman" w:hAnsi="Times New Roman" w:eastAsia="宋体" w:cs="Times New Roman"/>
                <w:snapToGrid w:val="0"/>
                <w:kern w:val="0"/>
                <w:szCs w:val="21"/>
              </w:rPr>
            </w:pPr>
          </w:p>
        </w:tc>
        <w:tc>
          <w:tcPr>
            <w:tcW w:w="190" w:type="pct"/>
            <w:vMerge w:val="continue"/>
            <w:shd w:val="clear" w:color="auto" w:fill="auto"/>
            <w:vAlign w:val="center"/>
          </w:tcPr>
          <w:p w14:paraId="051BF8F1">
            <w:pPr>
              <w:adjustRightInd w:val="0"/>
              <w:snapToGrid w:val="0"/>
              <w:spacing w:line="240" w:lineRule="exact"/>
              <w:jc w:val="center"/>
              <w:rPr>
                <w:rFonts w:ascii="Times New Roman" w:hAnsi="Times New Roman" w:eastAsia="宋体" w:cs="Times New Roman"/>
                <w:snapToGrid w:val="0"/>
                <w:kern w:val="0"/>
                <w:szCs w:val="21"/>
              </w:rPr>
            </w:pPr>
          </w:p>
        </w:tc>
        <w:tc>
          <w:tcPr>
            <w:tcW w:w="190" w:type="pct"/>
            <w:vMerge w:val="continue"/>
            <w:shd w:val="clear" w:color="auto" w:fill="auto"/>
            <w:vAlign w:val="center"/>
          </w:tcPr>
          <w:p w14:paraId="5ADFFE90">
            <w:pPr>
              <w:adjustRightInd w:val="0"/>
              <w:snapToGrid w:val="0"/>
              <w:spacing w:line="240" w:lineRule="exact"/>
              <w:jc w:val="center"/>
              <w:rPr>
                <w:rFonts w:ascii="Times New Roman" w:hAnsi="Times New Roman" w:eastAsia="宋体" w:cs="Times New Roman"/>
                <w:snapToGrid w:val="0"/>
                <w:kern w:val="0"/>
                <w:szCs w:val="21"/>
              </w:rPr>
            </w:pPr>
          </w:p>
        </w:tc>
        <w:tc>
          <w:tcPr>
            <w:tcW w:w="2230" w:type="pct"/>
            <w:vMerge w:val="continue"/>
            <w:noWrap/>
            <w:vAlign w:val="center"/>
          </w:tcPr>
          <w:p w14:paraId="16C0D2A6">
            <w:pPr>
              <w:rPr>
                <w:rFonts w:ascii="Times New Roman" w:hAnsi="Times New Roman" w:eastAsia="宋体" w:cs="Times New Roman"/>
                <w:szCs w:val="21"/>
              </w:rPr>
            </w:pPr>
          </w:p>
        </w:tc>
        <w:tc>
          <w:tcPr>
            <w:tcW w:w="242" w:type="pct"/>
            <w:vMerge w:val="continue"/>
            <w:vAlign w:val="center"/>
          </w:tcPr>
          <w:p w14:paraId="6DAE1066">
            <w:pPr>
              <w:jc w:val="center"/>
              <w:rPr>
                <w:rFonts w:ascii="Times New Roman" w:hAnsi="Times New Roman" w:eastAsia="宋体" w:cs="Times New Roman"/>
                <w:szCs w:val="21"/>
              </w:rPr>
            </w:pPr>
          </w:p>
        </w:tc>
        <w:tc>
          <w:tcPr>
            <w:tcW w:w="260" w:type="pct"/>
            <w:vMerge w:val="continue"/>
            <w:vAlign w:val="center"/>
          </w:tcPr>
          <w:p w14:paraId="04359A92">
            <w:pPr>
              <w:jc w:val="center"/>
              <w:rPr>
                <w:rFonts w:ascii="Times New Roman" w:hAnsi="Times New Roman" w:eastAsia="宋体" w:cs="Times New Roman"/>
                <w:szCs w:val="21"/>
              </w:rPr>
            </w:pPr>
          </w:p>
        </w:tc>
        <w:tc>
          <w:tcPr>
            <w:tcW w:w="251" w:type="pct"/>
            <w:vMerge w:val="continue"/>
            <w:vAlign w:val="center"/>
          </w:tcPr>
          <w:p w14:paraId="24E2ECD0">
            <w:pPr>
              <w:widowControl/>
              <w:adjustRightInd w:val="0"/>
              <w:snapToGrid w:val="0"/>
              <w:spacing w:line="240" w:lineRule="exact"/>
              <w:jc w:val="center"/>
              <w:rPr>
                <w:rFonts w:ascii="Times New Roman" w:hAnsi="Times New Roman" w:eastAsia="宋体" w:cs="Times New Roman"/>
                <w:szCs w:val="21"/>
              </w:rPr>
            </w:pPr>
          </w:p>
        </w:tc>
      </w:tr>
      <w:tr w14:paraId="5BC84F42">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trHeight w:val="170" w:hRule="atLeast"/>
          <w:tblHeader/>
          <w:jc w:val="center"/>
        </w:trPr>
        <w:tc>
          <w:tcPr>
            <w:tcW w:w="180" w:type="pct"/>
            <w:noWrap/>
            <w:vAlign w:val="center"/>
          </w:tcPr>
          <w:p w14:paraId="682C26C0">
            <w:pPr>
              <w:jc w:val="center"/>
              <w:rPr>
                <w:rFonts w:ascii="Times New Roman" w:hAnsi="Times New Roman" w:eastAsia="宋体" w:cs="Times New Roman"/>
              </w:rPr>
            </w:pPr>
            <w:r>
              <w:rPr>
                <w:rFonts w:hint="eastAsia" w:ascii="Times New Roman" w:hAnsi="Times New Roman" w:eastAsia="宋体" w:cs="Times New Roman"/>
              </w:rPr>
              <w:t>7</w:t>
            </w:r>
          </w:p>
        </w:tc>
        <w:tc>
          <w:tcPr>
            <w:tcW w:w="278" w:type="pct"/>
            <w:vAlign w:val="center"/>
          </w:tcPr>
          <w:p w14:paraId="3378B619">
            <w:pPr>
              <w:jc w:val="center"/>
              <w:rPr>
                <w:rFonts w:ascii="Times New Roman" w:hAnsi="Times New Roman" w:cs="Times New Roman" w:eastAsiaTheme="minorEastAsia"/>
                <w:szCs w:val="21"/>
              </w:rPr>
            </w:pPr>
            <w:r>
              <w:rPr>
                <w:rFonts w:ascii="Times New Roman" w:hAnsi="Times New Roman" w:cs="Times New Roman" w:eastAsiaTheme="minorEastAsia"/>
                <w:szCs w:val="21"/>
              </w:rPr>
              <w:t>K</w:t>
            </w:r>
            <w:r>
              <w:rPr>
                <w:rFonts w:hint="eastAsia" w:ascii="Times New Roman" w:hAnsi="Times New Roman" w:cs="Times New Roman" w:eastAsiaTheme="minorEastAsia"/>
                <w:szCs w:val="21"/>
              </w:rPr>
              <w:t>22</w:t>
            </w:r>
            <w:r>
              <w:rPr>
                <w:rFonts w:ascii="Times New Roman" w:hAnsi="Times New Roman" w:cs="Times New Roman" w:eastAsiaTheme="minorEastAsia"/>
                <w:szCs w:val="21"/>
              </w:rPr>
              <w:t>+</w:t>
            </w:r>
            <w:r>
              <w:rPr>
                <w:rFonts w:hint="eastAsia" w:ascii="Times New Roman" w:hAnsi="Times New Roman" w:cs="Times New Roman" w:eastAsiaTheme="minorEastAsia"/>
                <w:szCs w:val="21"/>
              </w:rPr>
              <w:t>45</w:t>
            </w:r>
            <w:r>
              <w:rPr>
                <w:rFonts w:ascii="Times New Roman" w:hAnsi="Times New Roman" w:cs="Times New Roman" w:eastAsiaTheme="minorEastAsia"/>
                <w:szCs w:val="21"/>
              </w:rPr>
              <w:t>0～K</w:t>
            </w:r>
            <w:r>
              <w:rPr>
                <w:rFonts w:hint="eastAsia" w:ascii="Times New Roman" w:hAnsi="Times New Roman" w:cs="Times New Roman" w:eastAsiaTheme="minorEastAsia"/>
                <w:szCs w:val="21"/>
              </w:rPr>
              <w:t>23</w:t>
            </w:r>
            <w:r>
              <w:rPr>
                <w:rFonts w:ascii="Times New Roman" w:hAnsi="Times New Roman" w:cs="Times New Roman" w:eastAsiaTheme="minorEastAsia"/>
                <w:szCs w:val="21"/>
              </w:rPr>
              <w:t>+</w:t>
            </w:r>
            <w:r>
              <w:rPr>
                <w:rFonts w:hint="eastAsia" w:ascii="Times New Roman" w:hAnsi="Times New Roman" w:cs="Times New Roman" w:eastAsiaTheme="minorEastAsia"/>
                <w:szCs w:val="21"/>
              </w:rPr>
              <w:t>30</w:t>
            </w:r>
            <w:r>
              <w:rPr>
                <w:rFonts w:ascii="Times New Roman" w:hAnsi="Times New Roman" w:cs="Times New Roman" w:eastAsiaTheme="minorEastAsia"/>
                <w:szCs w:val="21"/>
              </w:rPr>
              <w:t>0</w:t>
            </w:r>
          </w:p>
        </w:tc>
        <w:tc>
          <w:tcPr>
            <w:tcW w:w="346" w:type="pct"/>
            <w:vAlign w:val="center"/>
          </w:tcPr>
          <w:p w14:paraId="60CACAE1">
            <w:pPr>
              <w:jc w:val="center"/>
              <w:rPr>
                <w:rFonts w:ascii="Times New Roman" w:hAnsi="Times New Roman" w:cs="Times New Roman" w:eastAsiaTheme="minorEastAsia"/>
                <w:szCs w:val="21"/>
              </w:rPr>
            </w:pPr>
            <w:r>
              <w:rPr>
                <w:rFonts w:hint="eastAsia" w:ascii="Times New Roman" w:hAnsi="Times New Roman" w:cs="Times New Roman" w:eastAsiaTheme="minorEastAsia"/>
                <w:szCs w:val="21"/>
              </w:rPr>
              <w:t>勒格里地玛央艾日克村</w:t>
            </w:r>
          </w:p>
        </w:tc>
        <w:tc>
          <w:tcPr>
            <w:tcW w:w="138" w:type="pct"/>
            <w:vAlign w:val="center"/>
          </w:tcPr>
          <w:p w14:paraId="0191AADF">
            <w:pPr>
              <w:jc w:val="center"/>
              <w:rPr>
                <w:rFonts w:ascii="Times New Roman" w:hAnsi="Times New Roman" w:cs="Times New Roman" w:eastAsiaTheme="minorEastAsia"/>
                <w:szCs w:val="21"/>
              </w:rPr>
            </w:pPr>
            <w:r>
              <w:rPr>
                <w:rFonts w:ascii="Times New Roman" w:hAnsi="Times New Roman" w:cs="Times New Roman" w:eastAsiaTheme="minorEastAsia"/>
                <w:szCs w:val="21"/>
              </w:rPr>
              <w:t>两侧</w:t>
            </w:r>
          </w:p>
        </w:tc>
        <w:tc>
          <w:tcPr>
            <w:tcW w:w="209" w:type="pct"/>
            <w:vAlign w:val="center"/>
          </w:tcPr>
          <w:p w14:paraId="7C99EB8F">
            <w:pPr>
              <w:adjustRightInd w:val="0"/>
              <w:snapToGrid w:val="0"/>
              <w:spacing w:line="240" w:lineRule="exact"/>
              <w:jc w:val="center"/>
              <w:rPr>
                <w:rFonts w:ascii="Times New Roman" w:hAnsi="Times New Roman" w:eastAsia="宋体" w:cs="Times New Roman"/>
                <w:snapToGrid w:val="0"/>
                <w:kern w:val="0"/>
                <w:szCs w:val="21"/>
              </w:rPr>
            </w:pPr>
            <w:r>
              <w:rPr>
                <w:rFonts w:hint="eastAsia" w:ascii="Times New Roman" w:hAnsi="Times New Roman" w:eastAsia="宋体" w:cs="Times New Roman"/>
                <w:snapToGrid w:val="0"/>
                <w:kern w:val="0"/>
                <w:szCs w:val="21"/>
              </w:rPr>
              <w:t>23</w:t>
            </w:r>
          </w:p>
        </w:tc>
        <w:tc>
          <w:tcPr>
            <w:tcW w:w="243" w:type="pct"/>
            <w:vAlign w:val="center"/>
          </w:tcPr>
          <w:p w14:paraId="7BCD7266">
            <w:pPr>
              <w:adjustRightInd w:val="0"/>
              <w:snapToGrid w:val="0"/>
              <w:spacing w:line="240" w:lineRule="exact"/>
              <w:jc w:val="center"/>
              <w:rPr>
                <w:rFonts w:ascii="Times New Roman" w:hAnsi="Times New Roman" w:eastAsia="宋体" w:cs="Times New Roman"/>
                <w:snapToGrid w:val="0"/>
                <w:kern w:val="0"/>
                <w:szCs w:val="21"/>
              </w:rPr>
            </w:pPr>
            <w:r>
              <w:rPr>
                <w:rFonts w:hint="eastAsia" w:ascii="Times New Roman" w:hAnsi="Times New Roman" w:eastAsia="宋体" w:cs="Times New Roman"/>
                <w:snapToGrid w:val="0"/>
                <w:kern w:val="0"/>
                <w:szCs w:val="21"/>
              </w:rPr>
              <w:t>-/4.3</w:t>
            </w:r>
          </w:p>
        </w:tc>
        <w:tc>
          <w:tcPr>
            <w:tcW w:w="243" w:type="pct"/>
            <w:vAlign w:val="center"/>
          </w:tcPr>
          <w:p w14:paraId="61078660">
            <w:pPr>
              <w:adjustRightInd w:val="0"/>
              <w:snapToGrid w:val="0"/>
              <w:spacing w:line="240" w:lineRule="exact"/>
              <w:jc w:val="center"/>
              <w:rPr>
                <w:rFonts w:ascii="Times New Roman" w:hAnsi="Times New Roman" w:eastAsia="宋体" w:cs="Times New Roman"/>
                <w:snapToGrid w:val="0"/>
                <w:kern w:val="0"/>
                <w:szCs w:val="21"/>
              </w:rPr>
            </w:pPr>
            <w:r>
              <w:rPr>
                <w:rFonts w:hint="eastAsia" w:ascii="Times New Roman" w:hAnsi="Times New Roman" w:eastAsia="宋体" w:cs="Times New Roman"/>
                <w:snapToGrid w:val="0"/>
                <w:kern w:val="0"/>
                <w:szCs w:val="21"/>
              </w:rPr>
              <w:t>-/4.2</w:t>
            </w:r>
          </w:p>
        </w:tc>
        <w:tc>
          <w:tcPr>
            <w:tcW w:w="190" w:type="pct"/>
            <w:shd w:val="clear" w:color="auto" w:fill="auto"/>
            <w:vAlign w:val="center"/>
          </w:tcPr>
          <w:p w14:paraId="6FC5A872">
            <w:pPr>
              <w:adjustRightInd w:val="0"/>
              <w:snapToGrid w:val="0"/>
              <w:spacing w:line="240" w:lineRule="exact"/>
              <w:jc w:val="center"/>
              <w:rPr>
                <w:rFonts w:ascii="Times New Roman" w:hAnsi="Times New Roman" w:eastAsia="宋体" w:cs="Times New Roman"/>
                <w:snapToGrid w:val="0"/>
                <w:kern w:val="0"/>
                <w:szCs w:val="21"/>
              </w:rPr>
            </w:pPr>
            <w:r>
              <w:rPr>
                <w:rFonts w:hint="eastAsia" w:ascii="Times New Roman" w:hAnsi="Times New Roman" w:eastAsia="宋体" w:cs="Times New Roman"/>
                <w:snapToGrid w:val="0"/>
                <w:kern w:val="0"/>
                <w:szCs w:val="21"/>
              </w:rPr>
              <w:t>35</w:t>
            </w:r>
          </w:p>
        </w:tc>
        <w:tc>
          <w:tcPr>
            <w:tcW w:w="190" w:type="pct"/>
            <w:shd w:val="clear" w:color="auto" w:fill="auto"/>
            <w:vAlign w:val="center"/>
          </w:tcPr>
          <w:p w14:paraId="0A837511">
            <w:pPr>
              <w:adjustRightInd w:val="0"/>
              <w:snapToGrid w:val="0"/>
              <w:spacing w:line="240" w:lineRule="exact"/>
              <w:jc w:val="center"/>
              <w:rPr>
                <w:rFonts w:ascii="Times New Roman" w:hAnsi="Times New Roman" w:eastAsia="宋体" w:cs="Times New Roman"/>
                <w:snapToGrid w:val="0"/>
                <w:kern w:val="0"/>
                <w:szCs w:val="21"/>
              </w:rPr>
            </w:pPr>
            <w:r>
              <w:rPr>
                <w:rFonts w:hint="eastAsia" w:ascii="Times New Roman" w:hAnsi="Times New Roman" w:eastAsia="宋体" w:cs="Times New Roman"/>
                <w:snapToGrid w:val="0"/>
                <w:kern w:val="0"/>
                <w:szCs w:val="21"/>
              </w:rPr>
              <w:t>20</w:t>
            </w:r>
          </w:p>
        </w:tc>
        <w:tc>
          <w:tcPr>
            <w:tcW w:w="2230" w:type="pct"/>
            <w:noWrap/>
            <w:vAlign w:val="center"/>
          </w:tcPr>
          <w:p w14:paraId="6E9A6D73">
            <w:pPr>
              <w:rPr>
                <w:rFonts w:ascii="Times New Roman" w:hAnsi="Times New Roman" w:eastAsia="宋体" w:cs="Times New Roman"/>
                <w:szCs w:val="21"/>
              </w:rPr>
            </w:pPr>
            <w:r>
              <w:rPr>
                <w:rFonts w:ascii="Times New Roman" w:hAnsi="Times New Roman" w:eastAsia="宋体" w:cs="Times New Roman"/>
                <w:szCs w:val="21"/>
              </w:rPr>
              <w:t>方案一：安装隔声窗，按每户1万元计，共</w:t>
            </w:r>
            <w:r>
              <w:rPr>
                <w:rFonts w:hint="eastAsia" w:ascii="Times New Roman" w:hAnsi="Times New Roman" w:eastAsia="宋体" w:cs="Times New Roman"/>
                <w:szCs w:val="21"/>
              </w:rPr>
              <w:t>45</w:t>
            </w:r>
            <w:r>
              <w:rPr>
                <w:rFonts w:ascii="Times New Roman" w:hAnsi="Times New Roman" w:eastAsia="宋体" w:cs="Times New Roman"/>
                <w:szCs w:val="21"/>
              </w:rPr>
              <w:t>户，投资</w:t>
            </w:r>
            <w:r>
              <w:rPr>
                <w:rFonts w:hint="eastAsia" w:ascii="Times New Roman" w:hAnsi="Times New Roman" w:eastAsia="宋体" w:cs="Times New Roman"/>
                <w:szCs w:val="21"/>
              </w:rPr>
              <w:t>45</w:t>
            </w:r>
            <w:r>
              <w:rPr>
                <w:rFonts w:ascii="Times New Roman" w:hAnsi="Times New Roman" w:eastAsia="宋体" w:cs="Times New Roman"/>
                <w:szCs w:val="21"/>
              </w:rPr>
              <w:t>万元，隔声量25dB。</w:t>
            </w:r>
          </w:p>
          <w:p w14:paraId="7A36E594">
            <w:pPr>
              <w:adjustRightInd w:val="0"/>
              <w:snapToGrid w:val="0"/>
              <w:spacing w:line="240" w:lineRule="exact"/>
              <w:rPr>
                <w:rFonts w:ascii="Times New Roman" w:hAnsi="Times New Roman" w:eastAsia="宋体" w:cs="Times New Roman"/>
                <w:szCs w:val="21"/>
              </w:rPr>
            </w:pPr>
            <w:r>
              <w:rPr>
                <w:rFonts w:ascii="Times New Roman" w:hAnsi="Times New Roman" w:eastAsia="宋体" w:cs="Times New Roman"/>
                <w:szCs w:val="21"/>
              </w:rPr>
              <w:t>方案二：设置声屏障，拟建公路</w:t>
            </w:r>
            <w:r>
              <w:rPr>
                <w:rFonts w:hint="eastAsia" w:ascii="Times New Roman" w:hAnsi="Times New Roman" w:eastAsia="宋体" w:cs="Times New Roman"/>
                <w:szCs w:val="21"/>
              </w:rPr>
              <w:t>两侧</w:t>
            </w:r>
            <w:r>
              <w:rPr>
                <w:rFonts w:ascii="Times New Roman" w:hAnsi="Times New Roman" w:cs="Times New Roman" w:eastAsiaTheme="minorEastAsia"/>
                <w:szCs w:val="21"/>
              </w:rPr>
              <w:t>K</w:t>
            </w:r>
            <w:r>
              <w:rPr>
                <w:rFonts w:hint="eastAsia" w:ascii="Times New Roman" w:hAnsi="Times New Roman" w:cs="Times New Roman" w:eastAsiaTheme="minorEastAsia"/>
                <w:szCs w:val="21"/>
              </w:rPr>
              <w:t>22</w:t>
            </w:r>
            <w:r>
              <w:rPr>
                <w:rFonts w:ascii="Times New Roman" w:hAnsi="Times New Roman" w:cs="Times New Roman" w:eastAsiaTheme="minorEastAsia"/>
                <w:szCs w:val="21"/>
              </w:rPr>
              <w:t>+</w:t>
            </w:r>
            <w:r>
              <w:rPr>
                <w:rFonts w:hint="eastAsia" w:ascii="Times New Roman" w:hAnsi="Times New Roman" w:cs="Times New Roman" w:eastAsiaTheme="minorEastAsia"/>
                <w:szCs w:val="21"/>
              </w:rPr>
              <w:t>40</w:t>
            </w:r>
            <w:r>
              <w:rPr>
                <w:rFonts w:ascii="Times New Roman" w:hAnsi="Times New Roman" w:cs="Times New Roman" w:eastAsiaTheme="minorEastAsia"/>
                <w:szCs w:val="21"/>
              </w:rPr>
              <w:t>0～K</w:t>
            </w:r>
            <w:r>
              <w:rPr>
                <w:rFonts w:hint="eastAsia" w:ascii="Times New Roman" w:hAnsi="Times New Roman" w:cs="Times New Roman" w:eastAsiaTheme="minorEastAsia"/>
                <w:szCs w:val="21"/>
              </w:rPr>
              <w:t>23</w:t>
            </w:r>
            <w:r>
              <w:rPr>
                <w:rFonts w:ascii="Times New Roman" w:hAnsi="Times New Roman" w:cs="Times New Roman" w:eastAsiaTheme="minorEastAsia"/>
                <w:szCs w:val="21"/>
              </w:rPr>
              <w:t>+</w:t>
            </w:r>
            <w:r>
              <w:rPr>
                <w:rFonts w:hint="eastAsia" w:ascii="Times New Roman" w:hAnsi="Times New Roman" w:cs="Times New Roman" w:eastAsiaTheme="minorEastAsia"/>
                <w:szCs w:val="21"/>
              </w:rPr>
              <w:t>35</w:t>
            </w:r>
            <w:r>
              <w:rPr>
                <w:rFonts w:ascii="Times New Roman" w:hAnsi="Times New Roman" w:cs="Times New Roman" w:eastAsiaTheme="minorEastAsia"/>
                <w:szCs w:val="21"/>
              </w:rPr>
              <w:t>0（根据《</w:t>
            </w:r>
            <w:r>
              <w:rPr>
                <w:rFonts w:hint="eastAsia" w:ascii="Times New Roman" w:hAnsi="Times New Roman" w:cs="Times New Roman" w:eastAsiaTheme="minorEastAsia"/>
                <w:szCs w:val="21"/>
              </w:rPr>
              <w:t>公路路线设计规范（JTG D20—2017）</w:t>
            </w:r>
            <w:r>
              <w:rPr>
                <w:rFonts w:ascii="Times New Roman" w:hAnsi="Times New Roman" w:cs="Times New Roman" w:eastAsiaTheme="minorEastAsia"/>
                <w:szCs w:val="21"/>
              </w:rPr>
              <w:t>》，考虑行车安全视距，每处平交口两侧共需断开</w:t>
            </w:r>
            <w:r>
              <w:rPr>
                <w:rFonts w:hint="eastAsia" w:ascii="Times New Roman" w:hAnsi="Times New Roman" w:cs="Times New Roman" w:eastAsiaTheme="minorEastAsia"/>
                <w:szCs w:val="21"/>
              </w:rPr>
              <w:t>220m，该路段共5处平交口</w:t>
            </w:r>
            <w:r>
              <w:rPr>
                <w:rFonts w:ascii="Times New Roman" w:hAnsi="Times New Roman" w:cs="Times New Roman" w:eastAsiaTheme="minorEastAsia"/>
                <w:szCs w:val="21"/>
              </w:rPr>
              <w:t>）共</w:t>
            </w:r>
            <w:r>
              <w:rPr>
                <w:rFonts w:ascii="Times New Roman" w:hAnsi="Times New Roman" w:eastAsia="宋体" w:cs="Times New Roman"/>
                <w:szCs w:val="21"/>
              </w:rPr>
              <w:t>设置</w:t>
            </w:r>
            <w:r>
              <w:rPr>
                <w:rFonts w:hint="eastAsia" w:ascii="Times New Roman" w:hAnsi="Times New Roman" w:eastAsia="宋体" w:cs="Times New Roman"/>
                <w:szCs w:val="21"/>
              </w:rPr>
              <w:t>800</w:t>
            </w:r>
            <w:r>
              <w:rPr>
                <w:rFonts w:ascii="Times New Roman" w:hAnsi="Times New Roman" w:eastAsia="宋体" w:cs="Times New Roman"/>
                <w:szCs w:val="21"/>
              </w:rPr>
              <w:t>m（长）×</w:t>
            </w:r>
            <w:r>
              <w:rPr>
                <w:rFonts w:hint="eastAsia" w:ascii="Times New Roman" w:hAnsi="Times New Roman" w:eastAsia="宋体" w:cs="Times New Roman"/>
                <w:szCs w:val="21"/>
              </w:rPr>
              <w:t>3.0</w:t>
            </w:r>
            <w:r>
              <w:rPr>
                <w:rFonts w:ascii="Times New Roman" w:hAnsi="Times New Roman" w:eastAsia="宋体" w:cs="Times New Roman"/>
                <w:szCs w:val="21"/>
              </w:rPr>
              <w:t>m（高）声屏障，</w:t>
            </w:r>
            <w:r>
              <w:rPr>
                <w:rFonts w:hint="eastAsia" w:ascii="Times New Roman" w:hAnsi="Times New Roman" w:eastAsia="宋体" w:cs="Times New Roman"/>
                <w:szCs w:val="21"/>
              </w:rPr>
              <w:t>2</w:t>
            </w:r>
            <w:r>
              <w:rPr>
                <w:rFonts w:ascii="Times New Roman" w:hAnsi="Times New Roman" w:eastAsia="宋体" w:cs="Times New Roman"/>
                <w:szCs w:val="21"/>
              </w:rPr>
              <w:t>000元/m，共投资</w:t>
            </w:r>
            <w:r>
              <w:rPr>
                <w:rFonts w:hint="eastAsia" w:ascii="Times New Roman" w:hAnsi="Times New Roman" w:eastAsia="宋体" w:cs="Times New Roman"/>
                <w:szCs w:val="21"/>
              </w:rPr>
              <w:t>160</w:t>
            </w:r>
            <w:r>
              <w:rPr>
                <w:rFonts w:ascii="Times New Roman" w:hAnsi="Times New Roman" w:eastAsia="宋体" w:cs="Times New Roman"/>
                <w:szCs w:val="21"/>
              </w:rPr>
              <w:t>万元</w:t>
            </w:r>
            <w:r>
              <w:rPr>
                <w:rFonts w:ascii="Times New Roman" w:hAnsi="Times New Roman" w:eastAsia="宋体" w:cs="Times New Roman"/>
              </w:rPr>
              <w:t>，房屋距路较近，分布较集中，声屏障降噪效果好</w:t>
            </w:r>
            <w:r>
              <w:rPr>
                <w:rFonts w:ascii="Times New Roman" w:hAnsi="Times New Roman" w:eastAsia="宋体" w:cs="Times New Roman"/>
                <w:szCs w:val="21"/>
              </w:rPr>
              <w:t>。</w:t>
            </w:r>
            <w:r>
              <w:rPr>
                <w:rFonts w:ascii="Times New Roman" w:hAnsi="Times New Roman" w:eastAsia="宋体" w:cs="Times New Roman"/>
              </w:rPr>
              <w:t>路两侧均设置有平交口，平交口处无法设置声屏障，因此对平交口超标的</w:t>
            </w:r>
            <w:r>
              <w:rPr>
                <w:rFonts w:hint="eastAsia" w:ascii="Times New Roman" w:hAnsi="Times New Roman" w:eastAsia="宋体" w:cs="Times New Roman"/>
              </w:rPr>
              <w:t>15</w:t>
            </w:r>
            <w:r>
              <w:rPr>
                <w:rFonts w:ascii="Times New Roman" w:hAnsi="Times New Roman" w:eastAsia="宋体" w:cs="Times New Roman"/>
              </w:rPr>
              <w:t>户安装隔声窗，隔声量20～25dB，每户投资1万元，共计</w:t>
            </w:r>
            <w:r>
              <w:rPr>
                <w:rFonts w:hint="eastAsia" w:ascii="Times New Roman" w:hAnsi="Times New Roman" w:eastAsia="宋体" w:cs="Times New Roman"/>
              </w:rPr>
              <w:t>15</w:t>
            </w:r>
            <w:r>
              <w:rPr>
                <w:rFonts w:ascii="Times New Roman" w:hAnsi="Times New Roman" w:eastAsia="宋体" w:cs="Times New Roman"/>
              </w:rPr>
              <w:t>万元。</w:t>
            </w:r>
          </w:p>
          <w:p w14:paraId="17841330">
            <w:pPr>
              <w:widowControl/>
              <w:adjustRightInd w:val="0"/>
              <w:snapToGrid w:val="0"/>
              <w:spacing w:line="240" w:lineRule="exact"/>
              <w:rPr>
                <w:rFonts w:ascii="Times New Roman" w:hAnsi="Times New Roman" w:eastAsia="宋体" w:cs="Times New Roman"/>
                <w:szCs w:val="21"/>
              </w:rPr>
            </w:pPr>
            <w:r>
              <w:rPr>
                <w:rFonts w:ascii="Times New Roman" w:hAnsi="Times New Roman" w:eastAsia="宋体" w:cs="Times New Roman"/>
                <w:szCs w:val="21"/>
              </w:rPr>
              <w:t>推荐：综合考虑推荐方案</w:t>
            </w:r>
            <w:r>
              <w:rPr>
                <w:rFonts w:hint="eastAsia" w:ascii="Times New Roman" w:hAnsi="Times New Roman" w:eastAsia="宋体" w:cs="Times New Roman"/>
                <w:szCs w:val="21"/>
              </w:rPr>
              <w:t>二</w:t>
            </w:r>
            <w:r>
              <w:rPr>
                <w:rFonts w:ascii="Times New Roman" w:hAnsi="Times New Roman" w:eastAsia="宋体" w:cs="Times New Roman"/>
                <w:szCs w:val="21"/>
              </w:rPr>
              <w:t>。</w:t>
            </w:r>
          </w:p>
        </w:tc>
        <w:tc>
          <w:tcPr>
            <w:tcW w:w="242" w:type="pct"/>
            <w:vAlign w:val="center"/>
          </w:tcPr>
          <w:p w14:paraId="2CB7239D">
            <w:pPr>
              <w:widowControl/>
              <w:jc w:val="center"/>
              <w:rPr>
                <w:rFonts w:ascii="Times New Roman" w:hAnsi="Times New Roman" w:eastAsia="宋体" w:cs="Times New Roman"/>
                <w:kern w:val="0"/>
              </w:rPr>
            </w:pPr>
            <w:r>
              <w:rPr>
                <w:rFonts w:ascii="Times New Roman" w:hAnsi="Times New Roman" w:eastAsia="宋体" w:cs="Times New Roman"/>
                <w:kern w:val="0"/>
              </w:rPr>
              <w:t>声屏障+隔声窗</w:t>
            </w:r>
          </w:p>
        </w:tc>
        <w:tc>
          <w:tcPr>
            <w:tcW w:w="260" w:type="pct"/>
            <w:vAlign w:val="center"/>
          </w:tcPr>
          <w:p w14:paraId="6905BF3E">
            <w:pPr>
              <w:widowControl/>
              <w:jc w:val="center"/>
              <w:rPr>
                <w:rFonts w:ascii="Times New Roman" w:hAnsi="Times New Roman" w:eastAsia="宋体" w:cs="Times New Roman"/>
                <w:kern w:val="0"/>
              </w:rPr>
            </w:pPr>
            <w:r>
              <w:rPr>
                <w:rFonts w:ascii="Times New Roman" w:hAnsi="Times New Roman" w:eastAsia="宋体" w:cs="Times New Roman"/>
                <w:kern w:val="0"/>
              </w:rPr>
              <w:t>室外达标+平交路口房屋室内达标</w:t>
            </w:r>
          </w:p>
        </w:tc>
        <w:tc>
          <w:tcPr>
            <w:tcW w:w="251" w:type="pct"/>
            <w:vAlign w:val="center"/>
          </w:tcPr>
          <w:p w14:paraId="37F25A42">
            <w:pPr>
              <w:widowControl/>
              <w:adjustRightInd w:val="0"/>
              <w:snapToGrid w:val="0"/>
              <w:spacing w:line="240" w:lineRule="exact"/>
              <w:jc w:val="center"/>
              <w:rPr>
                <w:rFonts w:ascii="Times New Roman" w:hAnsi="宋体" w:eastAsia="宋体" w:cs="Times New Roman"/>
                <w:szCs w:val="21"/>
              </w:rPr>
            </w:pPr>
            <w:r>
              <w:rPr>
                <w:rFonts w:hint="eastAsia" w:ascii="Times New Roman" w:hAnsi="宋体" w:eastAsia="宋体" w:cs="Times New Roman"/>
                <w:szCs w:val="21"/>
              </w:rPr>
              <w:t>175</w:t>
            </w:r>
          </w:p>
        </w:tc>
      </w:tr>
      <w:tr w14:paraId="2206A195">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trHeight w:val="80" w:hRule="atLeast"/>
          <w:tblHeader/>
          <w:jc w:val="center"/>
        </w:trPr>
        <w:tc>
          <w:tcPr>
            <w:tcW w:w="180" w:type="pct"/>
            <w:vMerge w:val="restart"/>
            <w:noWrap/>
            <w:vAlign w:val="center"/>
          </w:tcPr>
          <w:p w14:paraId="00B6B9EB">
            <w:pPr>
              <w:jc w:val="center"/>
              <w:rPr>
                <w:rFonts w:ascii="Times New Roman" w:hAnsi="Times New Roman" w:eastAsia="宋体" w:cs="Times New Roman"/>
              </w:rPr>
            </w:pPr>
            <w:r>
              <w:rPr>
                <w:rFonts w:hint="eastAsia" w:ascii="Times New Roman" w:hAnsi="Times New Roman" w:eastAsia="宋体" w:cs="Times New Roman"/>
              </w:rPr>
              <w:t>8</w:t>
            </w:r>
          </w:p>
        </w:tc>
        <w:tc>
          <w:tcPr>
            <w:tcW w:w="278" w:type="pct"/>
            <w:vAlign w:val="center"/>
          </w:tcPr>
          <w:p w14:paraId="1476FB0C">
            <w:pPr>
              <w:jc w:val="center"/>
              <w:rPr>
                <w:rFonts w:ascii="Times New Roman" w:hAnsi="Times New Roman" w:cs="Times New Roman" w:eastAsiaTheme="minorEastAsia"/>
                <w:szCs w:val="21"/>
              </w:rPr>
            </w:pPr>
            <w:r>
              <w:rPr>
                <w:rFonts w:ascii="Times New Roman" w:hAnsi="Times New Roman" w:cs="Times New Roman" w:eastAsiaTheme="minorEastAsia"/>
                <w:szCs w:val="21"/>
              </w:rPr>
              <w:t>K</w:t>
            </w:r>
            <w:r>
              <w:rPr>
                <w:rFonts w:hint="eastAsia" w:ascii="Times New Roman" w:hAnsi="Times New Roman" w:cs="Times New Roman" w:eastAsiaTheme="minorEastAsia"/>
                <w:szCs w:val="21"/>
              </w:rPr>
              <w:t>23</w:t>
            </w:r>
            <w:r>
              <w:rPr>
                <w:rFonts w:ascii="Times New Roman" w:hAnsi="Times New Roman" w:cs="Times New Roman" w:eastAsiaTheme="minorEastAsia"/>
                <w:szCs w:val="21"/>
              </w:rPr>
              <w:t>+</w:t>
            </w:r>
            <w:r>
              <w:rPr>
                <w:rFonts w:hint="eastAsia" w:ascii="Times New Roman" w:hAnsi="Times New Roman" w:cs="Times New Roman" w:eastAsiaTheme="minorEastAsia"/>
                <w:szCs w:val="21"/>
              </w:rPr>
              <w:t>50</w:t>
            </w:r>
            <w:r>
              <w:rPr>
                <w:rFonts w:ascii="Times New Roman" w:hAnsi="Times New Roman" w:cs="Times New Roman" w:eastAsiaTheme="minorEastAsia"/>
                <w:szCs w:val="21"/>
              </w:rPr>
              <w:t>0～K</w:t>
            </w:r>
            <w:r>
              <w:rPr>
                <w:rFonts w:hint="eastAsia" w:ascii="Times New Roman" w:hAnsi="Times New Roman" w:cs="Times New Roman" w:eastAsiaTheme="minorEastAsia"/>
                <w:szCs w:val="21"/>
              </w:rPr>
              <w:t>24</w:t>
            </w:r>
            <w:r>
              <w:rPr>
                <w:rFonts w:ascii="Times New Roman" w:hAnsi="Times New Roman" w:cs="Times New Roman" w:eastAsiaTheme="minorEastAsia"/>
                <w:szCs w:val="21"/>
              </w:rPr>
              <w:t>+</w:t>
            </w:r>
            <w:r>
              <w:rPr>
                <w:rFonts w:hint="eastAsia" w:ascii="Times New Roman" w:hAnsi="Times New Roman" w:cs="Times New Roman" w:eastAsiaTheme="minorEastAsia"/>
                <w:szCs w:val="21"/>
              </w:rPr>
              <w:t>35</w:t>
            </w:r>
            <w:r>
              <w:rPr>
                <w:rFonts w:ascii="Times New Roman" w:hAnsi="Times New Roman" w:cs="Times New Roman" w:eastAsiaTheme="minorEastAsia"/>
                <w:szCs w:val="21"/>
              </w:rPr>
              <w:t>0</w:t>
            </w:r>
          </w:p>
        </w:tc>
        <w:tc>
          <w:tcPr>
            <w:tcW w:w="346" w:type="pct"/>
            <w:vMerge w:val="restart"/>
            <w:vAlign w:val="center"/>
          </w:tcPr>
          <w:p w14:paraId="4B745C72">
            <w:pPr>
              <w:jc w:val="center"/>
              <w:rPr>
                <w:rFonts w:ascii="Times New Roman" w:hAnsi="Times New Roman" w:cs="Times New Roman" w:eastAsiaTheme="minorEastAsia"/>
                <w:szCs w:val="21"/>
              </w:rPr>
            </w:pPr>
            <w:r>
              <w:rPr>
                <w:rFonts w:hint="eastAsia" w:ascii="Times New Roman" w:hAnsi="Times New Roman" w:cs="Times New Roman" w:eastAsiaTheme="minorEastAsia"/>
                <w:szCs w:val="21"/>
              </w:rPr>
              <w:t>阿亚克里格勒迪玛村</w:t>
            </w:r>
          </w:p>
        </w:tc>
        <w:tc>
          <w:tcPr>
            <w:tcW w:w="138" w:type="pct"/>
            <w:vMerge w:val="restart"/>
            <w:vAlign w:val="center"/>
          </w:tcPr>
          <w:p w14:paraId="481D119C">
            <w:pPr>
              <w:jc w:val="center"/>
              <w:rPr>
                <w:rFonts w:ascii="Times New Roman" w:hAnsi="Times New Roman" w:cs="Times New Roman" w:eastAsiaTheme="minorEastAsia"/>
                <w:szCs w:val="21"/>
              </w:rPr>
            </w:pPr>
            <w:r>
              <w:rPr>
                <w:rFonts w:ascii="Times New Roman" w:hAnsi="Times New Roman" w:cs="Times New Roman" w:eastAsiaTheme="minorEastAsia"/>
                <w:szCs w:val="21"/>
              </w:rPr>
              <w:t>路右</w:t>
            </w:r>
          </w:p>
        </w:tc>
        <w:tc>
          <w:tcPr>
            <w:tcW w:w="209" w:type="pct"/>
            <w:vMerge w:val="restart"/>
            <w:vAlign w:val="center"/>
          </w:tcPr>
          <w:p w14:paraId="0A0E03FF">
            <w:pPr>
              <w:adjustRightInd w:val="0"/>
              <w:snapToGrid w:val="0"/>
              <w:spacing w:line="240" w:lineRule="exact"/>
              <w:jc w:val="center"/>
              <w:rPr>
                <w:rFonts w:ascii="Times New Roman" w:hAnsi="Times New Roman" w:eastAsia="宋体" w:cs="Times New Roman"/>
                <w:snapToGrid w:val="0"/>
                <w:kern w:val="0"/>
                <w:szCs w:val="21"/>
              </w:rPr>
            </w:pPr>
            <w:r>
              <w:rPr>
                <w:rFonts w:hint="eastAsia" w:ascii="Times New Roman" w:hAnsi="Times New Roman" w:eastAsia="宋体" w:cs="Times New Roman"/>
                <w:snapToGrid w:val="0"/>
                <w:kern w:val="0"/>
                <w:szCs w:val="21"/>
              </w:rPr>
              <w:t>25</w:t>
            </w:r>
          </w:p>
        </w:tc>
        <w:tc>
          <w:tcPr>
            <w:tcW w:w="243" w:type="pct"/>
            <w:vMerge w:val="restart"/>
            <w:vAlign w:val="center"/>
          </w:tcPr>
          <w:p w14:paraId="37ADEE7C">
            <w:pPr>
              <w:adjustRightInd w:val="0"/>
              <w:snapToGrid w:val="0"/>
              <w:spacing w:line="240" w:lineRule="exact"/>
              <w:jc w:val="center"/>
              <w:rPr>
                <w:rFonts w:ascii="Times New Roman" w:hAnsi="Times New Roman" w:eastAsia="宋体" w:cs="Times New Roman"/>
                <w:snapToGrid w:val="0"/>
                <w:kern w:val="0"/>
                <w:szCs w:val="21"/>
              </w:rPr>
            </w:pPr>
            <w:r>
              <w:rPr>
                <w:rFonts w:hint="eastAsia" w:ascii="Times New Roman" w:hAnsi="Times New Roman" w:eastAsia="宋体" w:cs="Times New Roman"/>
                <w:snapToGrid w:val="0"/>
                <w:kern w:val="0"/>
                <w:szCs w:val="21"/>
              </w:rPr>
              <w:t>-/4.0</w:t>
            </w:r>
          </w:p>
        </w:tc>
        <w:tc>
          <w:tcPr>
            <w:tcW w:w="243" w:type="pct"/>
            <w:vMerge w:val="restart"/>
            <w:vAlign w:val="center"/>
          </w:tcPr>
          <w:p w14:paraId="170191FF">
            <w:pPr>
              <w:adjustRightInd w:val="0"/>
              <w:snapToGrid w:val="0"/>
              <w:spacing w:line="240" w:lineRule="exact"/>
              <w:jc w:val="center"/>
              <w:rPr>
                <w:rFonts w:ascii="Times New Roman" w:hAnsi="Times New Roman" w:eastAsia="宋体" w:cs="Times New Roman"/>
                <w:snapToGrid w:val="0"/>
                <w:kern w:val="0"/>
                <w:szCs w:val="21"/>
              </w:rPr>
            </w:pPr>
            <w:r>
              <w:rPr>
                <w:rFonts w:hint="eastAsia" w:ascii="Times New Roman" w:hAnsi="Times New Roman" w:eastAsia="宋体" w:cs="Times New Roman"/>
                <w:snapToGrid w:val="0"/>
                <w:kern w:val="0"/>
                <w:szCs w:val="21"/>
              </w:rPr>
              <w:t>-/4.9</w:t>
            </w:r>
          </w:p>
        </w:tc>
        <w:tc>
          <w:tcPr>
            <w:tcW w:w="190" w:type="pct"/>
            <w:vMerge w:val="restart"/>
            <w:shd w:val="clear" w:color="auto" w:fill="auto"/>
            <w:vAlign w:val="center"/>
          </w:tcPr>
          <w:p w14:paraId="6616A4AF">
            <w:pPr>
              <w:adjustRightInd w:val="0"/>
              <w:snapToGrid w:val="0"/>
              <w:spacing w:line="240" w:lineRule="exact"/>
              <w:jc w:val="center"/>
              <w:rPr>
                <w:rFonts w:ascii="Times New Roman" w:hAnsi="Times New Roman" w:eastAsia="宋体" w:cs="Times New Roman"/>
                <w:snapToGrid w:val="0"/>
                <w:kern w:val="0"/>
                <w:szCs w:val="21"/>
              </w:rPr>
            </w:pPr>
            <w:r>
              <w:rPr>
                <w:rFonts w:hint="eastAsia" w:ascii="Times New Roman" w:hAnsi="Times New Roman" w:eastAsia="宋体" w:cs="Times New Roman"/>
                <w:snapToGrid w:val="0"/>
                <w:kern w:val="0"/>
                <w:szCs w:val="21"/>
              </w:rPr>
              <w:t>55</w:t>
            </w:r>
          </w:p>
        </w:tc>
        <w:tc>
          <w:tcPr>
            <w:tcW w:w="190" w:type="pct"/>
            <w:vMerge w:val="restart"/>
            <w:shd w:val="clear" w:color="auto" w:fill="auto"/>
            <w:vAlign w:val="center"/>
          </w:tcPr>
          <w:p w14:paraId="6831466D">
            <w:pPr>
              <w:adjustRightInd w:val="0"/>
              <w:snapToGrid w:val="0"/>
              <w:spacing w:line="240" w:lineRule="exact"/>
              <w:jc w:val="center"/>
              <w:rPr>
                <w:rFonts w:ascii="Times New Roman" w:hAnsi="Times New Roman" w:eastAsia="宋体" w:cs="Times New Roman"/>
                <w:snapToGrid w:val="0"/>
                <w:kern w:val="0"/>
                <w:szCs w:val="21"/>
              </w:rPr>
            </w:pPr>
            <w:r>
              <w:rPr>
                <w:rFonts w:hint="eastAsia" w:ascii="Times New Roman" w:hAnsi="Times New Roman" w:eastAsia="宋体" w:cs="Times New Roman"/>
                <w:snapToGrid w:val="0"/>
                <w:kern w:val="0"/>
                <w:szCs w:val="21"/>
              </w:rPr>
              <w:t>25</w:t>
            </w:r>
          </w:p>
        </w:tc>
        <w:tc>
          <w:tcPr>
            <w:tcW w:w="2230" w:type="pct"/>
            <w:vMerge w:val="restart"/>
            <w:noWrap/>
            <w:vAlign w:val="center"/>
          </w:tcPr>
          <w:p w14:paraId="5805749D">
            <w:pPr>
              <w:rPr>
                <w:rFonts w:ascii="Times New Roman" w:hAnsi="Times New Roman" w:eastAsia="宋体" w:cs="Times New Roman"/>
                <w:szCs w:val="21"/>
              </w:rPr>
            </w:pPr>
            <w:r>
              <w:rPr>
                <w:rFonts w:ascii="Times New Roman" w:hAnsi="Times New Roman" w:eastAsia="宋体" w:cs="Times New Roman"/>
                <w:szCs w:val="21"/>
              </w:rPr>
              <w:t>方案一：安装隔声窗，按每户1万元计，共</w:t>
            </w:r>
            <w:r>
              <w:rPr>
                <w:rFonts w:hint="eastAsia" w:ascii="Times New Roman" w:hAnsi="Times New Roman" w:eastAsia="宋体" w:cs="Times New Roman"/>
                <w:szCs w:val="21"/>
              </w:rPr>
              <w:t>45</w:t>
            </w:r>
            <w:r>
              <w:rPr>
                <w:rFonts w:ascii="Times New Roman" w:hAnsi="Times New Roman" w:eastAsia="宋体" w:cs="Times New Roman"/>
                <w:szCs w:val="21"/>
              </w:rPr>
              <w:t>户，投资</w:t>
            </w:r>
            <w:r>
              <w:rPr>
                <w:rFonts w:hint="eastAsia" w:ascii="Times New Roman" w:hAnsi="Times New Roman" w:eastAsia="宋体" w:cs="Times New Roman"/>
                <w:szCs w:val="21"/>
              </w:rPr>
              <w:t>45</w:t>
            </w:r>
            <w:r>
              <w:rPr>
                <w:rFonts w:ascii="Times New Roman" w:hAnsi="Times New Roman" w:eastAsia="宋体" w:cs="Times New Roman"/>
                <w:szCs w:val="21"/>
              </w:rPr>
              <w:t>万元，隔声量25dB。</w:t>
            </w:r>
          </w:p>
          <w:p w14:paraId="5154C9D5">
            <w:pPr>
              <w:adjustRightInd w:val="0"/>
              <w:snapToGrid w:val="0"/>
              <w:spacing w:line="240" w:lineRule="exact"/>
              <w:rPr>
                <w:rFonts w:ascii="Times New Roman" w:hAnsi="Times New Roman" w:eastAsia="宋体" w:cs="Times New Roman"/>
                <w:szCs w:val="21"/>
              </w:rPr>
            </w:pPr>
            <w:r>
              <w:rPr>
                <w:rFonts w:ascii="Times New Roman" w:hAnsi="Times New Roman" w:eastAsia="宋体" w:cs="Times New Roman"/>
                <w:szCs w:val="21"/>
              </w:rPr>
              <w:t>方案二：设置声屏障，拟建公路</w:t>
            </w:r>
            <w:r>
              <w:rPr>
                <w:rFonts w:hint="eastAsia" w:ascii="Times New Roman" w:hAnsi="Times New Roman" w:eastAsia="宋体" w:cs="Times New Roman"/>
                <w:szCs w:val="21"/>
              </w:rPr>
              <w:t>右</w:t>
            </w:r>
            <w:r>
              <w:rPr>
                <w:rFonts w:ascii="Times New Roman" w:hAnsi="Times New Roman" w:eastAsia="宋体" w:cs="Times New Roman"/>
                <w:szCs w:val="21"/>
              </w:rPr>
              <w:t>侧</w:t>
            </w:r>
            <w:r>
              <w:rPr>
                <w:rFonts w:ascii="Times New Roman" w:hAnsi="Times New Roman" w:cs="Times New Roman" w:eastAsiaTheme="minorEastAsia"/>
                <w:szCs w:val="21"/>
              </w:rPr>
              <w:t>K</w:t>
            </w:r>
            <w:r>
              <w:rPr>
                <w:rFonts w:hint="eastAsia" w:ascii="Times New Roman" w:hAnsi="Times New Roman" w:cs="Times New Roman" w:eastAsiaTheme="minorEastAsia"/>
                <w:szCs w:val="21"/>
              </w:rPr>
              <w:t>23</w:t>
            </w:r>
            <w:r>
              <w:rPr>
                <w:rFonts w:ascii="Times New Roman" w:hAnsi="Times New Roman" w:cs="Times New Roman" w:eastAsiaTheme="minorEastAsia"/>
                <w:szCs w:val="21"/>
              </w:rPr>
              <w:t>+</w:t>
            </w:r>
            <w:r>
              <w:rPr>
                <w:rFonts w:hint="eastAsia" w:ascii="Times New Roman" w:hAnsi="Times New Roman" w:cs="Times New Roman" w:eastAsiaTheme="minorEastAsia"/>
                <w:szCs w:val="21"/>
              </w:rPr>
              <w:t>45</w:t>
            </w:r>
            <w:r>
              <w:rPr>
                <w:rFonts w:ascii="Times New Roman" w:hAnsi="Times New Roman" w:cs="Times New Roman" w:eastAsiaTheme="minorEastAsia"/>
                <w:szCs w:val="21"/>
              </w:rPr>
              <w:t>0～K</w:t>
            </w:r>
            <w:r>
              <w:rPr>
                <w:rFonts w:hint="eastAsia" w:ascii="Times New Roman" w:hAnsi="Times New Roman" w:cs="Times New Roman" w:eastAsiaTheme="minorEastAsia"/>
                <w:szCs w:val="21"/>
              </w:rPr>
              <w:t>24</w:t>
            </w:r>
            <w:r>
              <w:rPr>
                <w:rFonts w:ascii="Times New Roman" w:hAnsi="Times New Roman" w:cs="Times New Roman" w:eastAsiaTheme="minorEastAsia"/>
                <w:szCs w:val="21"/>
              </w:rPr>
              <w:t>+</w:t>
            </w:r>
            <w:r>
              <w:rPr>
                <w:rFonts w:hint="eastAsia" w:ascii="Times New Roman" w:hAnsi="Times New Roman" w:cs="Times New Roman" w:eastAsiaTheme="minorEastAsia"/>
                <w:szCs w:val="21"/>
              </w:rPr>
              <w:t>40</w:t>
            </w:r>
            <w:r>
              <w:rPr>
                <w:rFonts w:ascii="Times New Roman" w:hAnsi="Times New Roman" w:cs="Times New Roman" w:eastAsiaTheme="minorEastAsia"/>
                <w:szCs w:val="21"/>
              </w:rPr>
              <w:t>0</w:t>
            </w:r>
            <w:r>
              <w:rPr>
                <w:rFonts w:ascii="Times New Roman" w:hAnsi="Times New Roman" w:eastAsia="宋体" w:cs="Times New Roman"/>
                <w:szCs w:val="21"/>
              </w:rPr>
              <w:t>和</w:t>
            </w:r>
            <w:r>
              <w:rPr>
                <w:rFonts w:ascii="Times New Roman" w:hAnsi="Times New Roman" w:cs="Times New Roman" w:eastAsiaTheme="minorEastAsia"/>
                <w:szCs w:val="21"/>
              </w:rPr>
              <w:t>K</w:t>
            </w:r>
            <w:r>
              <w:rPr>
                <w:rFonts w:hint="eastAsia" w:ascii="Times New Roman" w:hAnsi="Times New Roman" w:cs="Times New Roman" w:eastAsiaTheme="minorEastAsia"/>
                <w:szCs w:val="21"/>
              </w:rPr>
              <w:t>24</w:t>
            </w:r>
            <w:r>
              <w:rPr>
                <w:rFonts w:ascii="Times New Roman" w:hAnsi="Times New Roman" w:cs="Times New Roman" w:eastAsiaTheme="minorEastAsia"/>
                <w:szCs w:val="21"/>
              </w:rPr>
              <w:t>+</w:t>
            </w:r>
            <w:r>
              <w:rPr>
                <w:rFonts w:hint="eastAsia" w:ascii="Times New Roman" w:hAnsi="Times New Roman" w:cs="Times New Roman" w:eastAsiaTheme="minorEastAsia"/>
                <w:szCs w:val="21"/>
              </w:rPr>
              <w:t>45</w:t>
            </w:r>
            <w:r>
              <w:rPr>
                <w:rFonts w:ascii="Times New Roman" w:hAnsi="Times New Roman" w:cs="Times New Roman" w:eastAsiaTheme="minorEastAsia"/>
                <w:szCs w:val="21"/>
              </w:rPr>
              <w:t>0～K</w:t>
            </w:r>
            <w:r>
              <w:rPr>
                <w:rFonts w:hint="eastAsia" w:ascii="Times New Roman" w:hAnsi="Times New Roman" w:cs="Times New Roman" w:eastAsiaTheme="minorEastAsia"/>
                <w:szCs w:val="21"/>
              </w:rPr>
              <w:t>25</w:t>
            </w:r>
            <w:r>
              <w:rPr>
                <w:rFonts w:ascii="Times New Roman" w:hAnsi="Times New Roman" w:cs="Times New Roman" w:eastAsiaTheme="minorEastAsia"/>
                <w:szCs w:val="21"/>
              </w:rPr>
              <w:t>+</w:t>
            </w:r>
            <w:r>
              <w:rPr>
                <w:rFonts w:hint="eastAsia" w:ascii="Times New Roman" w:hAnsi="Times New Roman" w:cs="Times New Roman" w:eastAsiaTheme="minorEastAsia"/>
                <w:szCs w:val="21"/>
              </w:rPr>
              <w:t>15</w:t>
            </w:r>
            <w:r>
              <w:rPr>
                <w:rFonts w:ascii="Times New Roman" w:hAnsi="Times New Roman" w:cs="Times New Roman" w:eastAsiaTheme="minorEastAsia"/>
                <w:szCs w:val="21"/>
              </w:rPr>
              <w:t>0（根据《</w:t>
            </w:r>
            <w:r>
              <w:rPr>
                <w:rFonts w:hint="eastAsia" w:ascii="Times New Roman" w:hAnsi="Times New Roman" w:cs="Times New Roman" w:eastAsiaTheme="minorEastAsia"/>
                <w:szCs w:val="21"/>
              </w:rPr>
              <w:t>公路路线设计规范（JTG D20—2017）</w:t>
            </w:r>
            <w:r>
              <w:rPr>
                <w:rFonts w:ascii="Times New Roman" w:hAnsi="Times New Roman" w:cs="Times New Roman" w:eastAsiaTheme="minorEastAsia"/>
                <w:szCs w:val="21"/>
              </w:rPr>
              <w:t>》，考虑行车安全视距，每处平交口两侧共需断开</w:t>
            </w:r>
            <w:r>
              <w:rPr>
                <w:rFonts w:hint="eastAsia" w:ascii="Times New Roman" w:hAnsi="Times New Roman" w:cs="Times New Roman" w:eastAsiaTheme="minorEastAsia"/>
                <w:szCs w:val="21"/>
              </w:rPr>
              <w:t>220m，该路段共4处平交口</w:t>
            </w:r>
            <w:r>
              <w:rPr>
                <w:rFonts w:ascii="Times New Roman" w:hAnsi="Times New Roman" w:cs="Times New Roman" w:eastAsiaTheme="minorEastAsia"/>
                <w:szCs w:val="21"/>
              </w:rPr>
              <w:t>）</w:t>
            </w:r>
            <w:r>
              <w:rPr>
                <w:rFonts w:ascii="Times New Roman" w:hAnsi="Times New Roman" w:eastAsia="宋体" w:cs="Times New Roman"/>
                <w:szCs w:val="21"/>
              </w:rPr>
              <w:t>设置</w:t>
            </w:r>
            <w:r>
              <w:rPr>
                <w:rFonts w:hint="eastAsia" w:ascii="Times New Roman" w:hAnsi="Times New Roman" w:eastAsia="宋体" w:cs="Times New Roman"/>
                <w:szCs w:val="21"/>
              </w:rPr>
              <w:t>770</w:t>
            </w:r>
            <w:r>
              <w:rPr>
                <w:rFonts w:ascii="Times New Roman" w:hAnsi="Times New Roman" w:eastAsia="宋体" w:cs="Times New Roman"/>
                <w:szCs w:val="21"/>
              </w:rPr>
              <w:t>m（长）×</w:t>
            </w:r>
            <w:r>
              <w:rPr>
                <w:rFonts w:hint="eastAsia" w:ascii="Times New Roman" w:hAnsi="Times New Roman" w:eastAsia="宋体" w:cs="Times New Roman"/>
                <w:szCs w:val="21"/>
              </w:rPr>
              <w:t>3.0</w:t>
            </w:r>
            <w:r>
              <w:rPr>
                <w:rFonts w:ascii="Times New Roman" w:hAnsi="Times New Roman" w:eastAsia="宋体" w:cs="Times New Roman"/>
                <w:szCs w:val="21"/>
              </w:rPr>
              <w:t>m（高）声屏障，</w:t>
            </w:r>
            <w:r>
              <w:rPr>
                <w:rFonts w:hint="eastAsia" w:ascii="Times New Roman" w:hAnsi="Times New Roman" w:eastAsia="宋体" w:cs="Times New Roman"/>
                <w:szCs w:val="21"/>
              </w:rPr>
              <w:t>左</w:t>
            </w:r>
            <w:r>
              <w:rPr>
                <w:rFonts w:ascii="Times New Roman" w:hAnsi="Times New Roman" w:eastAsia="宋体" w:cs="Times New Roman"/>
                <w:szCs w:val="21"/>
              </w:rPr>
              <w:t>侧</w:t>
            </w:r>
            <w:r>
              <w:rPr>
                <w:rFonts w:ascii="Times New Roman" w:hAnsi="Times New Roman" w:cs="Times New Roman" w:eastAsiaTheme="minorEastAsia"/>
                <w:szCs w:val="21"/>
              </w:rPr>
              <w:t>K</w:t>
            </w:r>
            <w:r>
              <w:rPr>
                <w:rFonts w:hint="eastAsia" w:ascii="Times New Roman" w:hAnsi="Times New Roman" w:cs="Times New Roman" w:eastAsiaTheme="minorEastAsia"/>
                <w:szCs w:val="21"/>
              </w:rPr>
              <w:t>23</w:t>
            </w:r>
            <w:r>
              <w:rPr>
                <w:rFonts w:ascii="Times New Roman" w:hAnsi="Times New Roman" w:cs="Times New Roman" w:eastAsiaTheme="minorEastAsia"/>
                <w:szCs w:val="21"/>
              </w:rPr>
              <w:t>+</w:t>
            </w:r>
            <w:r>
              <w:rPr>
                <w:rFonts w:hint="eastAsia" w:ascii="Times New Roman" w:hAnsi="Times New Roman" w:cs="Times New Roman" w:eastAsiaTheme="minorEastAsia"/>
                <w:szCs w:val="21"/>
              </w:rPr>
              <w:t>45</w:t>
            </w:r>
            <w:r>
              <w:rPr>
                <w:rFonts w:ascii="Times New Roman" w:hAnsi="Times New Roman" w:cs="Times New Roman" w:eastAsiaTheme="minorEastAsia"/>
                <w:szCs w:val="21"/>
              </w:rPr>
              <w:t>0～K</w:t>
            </w:r>
            <w:r>
              <w:rPr>
                <w:rFonts w:hint="eastAsia" w:ascii="Times New Roman" w:hAnsi="Times New Roman" w:cs="Times New Roman" w:eastAsiaTheme="minorEastAsia"/>
                <w:szCs w:val="21"/>
              </w:rPr>
              <w:t>24</w:t>
            </w:r>
            <w:r>
              <w:rPr>
                <w:rFonts w:ascii="Times New Roman" w:hAnsi="Times New Roman" w:cs="Times New Roman" w:eastAsiaTheme="minorEastAsia"/>
                <w:szCs w:val="21"/>
              </w:rPr>
              <w:t>+</w:t>
            </w:r>
            <w:r>
              <w:rPr>
                <w:rFonts w:hint="eastAsia" w:ascii="Times New Roman" w:hAnsi="Times New Roman" w:cs="Times New Roman" w:eastAsiaTheme="minorEastAsia"/>
                <w:szCs w:val="21"/>
              </w:rPr>
              <w:t>90</w:t>
            </w:r>
            <w:r>
              <w:rPr>
                <w:rFonts w:ascii="Times New Roman" w:hAnsi="Times New Roman" w:cs="Times New Roman" w:eastAsiaTheme="minorEastAsia"/>
                <w:szCs w:val="21"/>
              </w:rPr>
              <w:t>0（考虑行车安全视距，每处平交口需断开</w:t>
            </w:r>
            <w:r>
              <w:rPr>
                <w:rFonts w:hint="eastAsia" w:ascii="Times New Roman" w:hAnsi="Times New Roman" w:cs="Times New Roman" w:eastAsiaTheme="minorEastAsia"/>
                <w:szCs w:val="21"/>
              </w:rPr>
              <w:t>220m，该路段共3处平交口</w:t>
            </w:r>
            <w:r>
              <w:rPr>
                <w:rFonts w:ascii="Times New Roman" w:hAnsi="Times New Roman" w:cs="Times New Roman" w:eastAsiaTheme="minorEastAsia"/>
                <w:szCs w:val="21"/>
              </w:rPr>
              <w:t>）</w:t>
            </w:r>
            <w:r>
              <w:rPr>
                <w:rFonts w:ascii="Times New Roman" w:hAnsi="Times New Roman" w:eastAsia="宋体" w:cs="Times New Roman"/>
                <w:szCs w:val="21"/>
              </w:rPr>
              <w:t>设置</w:t>
            </w:r>
            <w:r>
              <w:rPr>
                <w:rFonts w:hint="eastAsia" w:ascii="Times New Roman" w:hAnsi="Times New Roman" w:eastAsia="宋体" w:cs="Times New Roman"/>
                <w:szCs w:val="21"/>
              </w:rPr>
              <w:t>890</w:t>
            </w:r>
            <w:r>
              <w:rPr>
                <w:rFonts w:ascii="Times New Roman" w:hAnsi="Times New Roman" w:eastAsia="宋体" w:cs="Times New Roman"/>
                <w:szCs w:val="21"/>
              </w:rPr>
              <w:t>m（长）×</w:t>
            </w:r>
            <w:r>
              <w:rPr>
                <w:rFonts w:hint="eastAsia" w:ascii="Times New Roman" w:hAnsi="Times New Roman" w:eastAsia="宋体" w:cs="Times New Roman"/>
                <w:szCs w:val="21"/>
              </w:rPr>
              <w:t>3.0</w:t>
            </w:r>
            <w:r>
              <w:rPr>
                <w:rFonts w:ascii="Times New Roman" w:hAnsi="Times New Roman" w:eastAsia="宋体" w:cs="Times New Roman"/>
                <w:szCs w:val="21"/>
              </w:rPr>
              <w:t>m（高）声屏障，</w:t>
            </w:r>
            <w:r>
              <w:rPr>
                <w:rFonts w:hint="eastAsia" w:ascii="Times New Roman" w:hAnsi="Times New Roman" w:eastAsia="宋体" w:cs="Times New Roman"/>
                <w:szCs w:val="21"/>
              </w:rPr>
              <w:t>2</w:t>
            </w:r>
            <w:r>
              <w:rPr>
                <w:rFonts w:ascii="Times New Roman" w:hAnsi="Times New Roman" w:eastAsia="宋体" w:cs="Times New Roman"/>
                <w:szCs w:val="21"/>
              </w:rPr>
              <w:t>000元/m，共投资</w:t>
            </w:r>
            <w:r>
              <w:rPr>
                <w:rFonts w:hint="eastAsia" w:ascii="Times New Roman" w:hAnsi="Times New Roman" w:eastAsia="宋体" w:cs="Times New Roman"/>
                <w:szCs w:val="21"/>
              </w:rPr>
              <w:t>332</w:t>
            </w:r>
            <w:r>
              <w:rPr>
                <w:rFonts w:ascii="Times New Roman" w:hAnsi="Times New Roman" w:eastAsia="宋体" w:cs="Times New Roman"/>
                <w:szCs w:val="21"/>
              </w:rPr>
              <w:t>万元</w:t>
            </w:r>
            <w:r>
              <w:rPr>
                <w:rFonts w:ascii="Times New Roman" w:hAnsi="Times New Roman" w:eastAsia="宋体" w:cs="Times New Roman"/>
              </w:rPr>
              <w:t>，房屋距路较近，分布较集中，声屏障降噪效果好</w:t>
            </w:r>
            <w:r>
              <w:rPr>
                <w:rFonts w:ascii="Times New Roman" w:hAnsi="Times New Roman" w:eastAsia="宋体" w:cs="Times New Roman"/>
                <w:szCs w:val="21"/>
              </w:rPr>
              <w:t>。</w:t>
            </w:r>
            <w:r>
              <w:rPr>
                <w:rFonts w:ascii="Times New Roman" w:hAnsi="Times New Roman" w:eastAsia="宋体" w:cs="Times New Roman"/>
              </w:rPr>
              <w:t>路两侧平交口处无法设置声屏障，因此对平交口超标的</w:t>
            </w:r>
            <w:r>
              <w:rPr>
                <w:rFonts w:hint="eastAsia" w:ascii="Times New Roman" w:hAnsi="Times New Roman" w:eastAsia="宋体" w:cs="Times New Roman"/>
              </w:rPr>
              <w:t>25</w:t>
            </w:r>
            <w:r>
              <w:rPr>
                <w:rFonts w:ascii="Times New Roman" w:hAnsi="Times New Roman" w:eastAsia="宋体" w:cs="Times New Roman"/>
              </w:rPr>
              <w:t>户安装隔声窗，隔声量20～25dB，每户投资1万元，共计</w:t>
            </w:r>
            <w:r>
              <w:rPr>
                <w:rFonts w:hint="eastAsia" w:ascii="Times New Roman" w:hAnsi="Times New Roman" w:eastAsia="宋体" w:cs="Times New Roman"/>
              </w:rPr>
              <w:t>25</w:t>
            </w:r>
            <w:r>
              <w:rPr>
                <w:rFonts w:ascii="Times New Roman" w:hAnsi="Times New Roman" w:eastAsia="宋体" w:cs="Times New Roman"/>
              </w:rPr>
              <w:t>万元。</w:t>
            </w:r>
          </w:p>
          <w:p w14:paraId="661CBC13">
            <w:pPr>
              <w:widowControl/>
              <w:adjustRightInd w:val="0"/>
              <w:snapToGrid w:val="0"/>
              <w:spacing w:line="240" w:lineRule="exact"/>
              <w:rPr>
                <w:rFonts w:ascii="Times New Roman" w:hAnsi="Times New Roman" w:eastAsia="宋体" w:cs="Times New Roman"/>
                <w:szCs w:val="21"/>
              </w:rPr>
            </w:pPr>
            <w:r>
              <w:rPr>
                <w:rFonts w:ascii="Times New Roman" w:hAnsi="Times New Roman" w:eastAsia="宋体" w:cs="Times New Roman"/>
                <w:szCs w:val="21"/>
              </w:rPr>
              <w:t>推荐：综合考虑推荐方案</w:t>
            </w:r>
            <w:r>
              <w:rPr>
                <w:rFonts w:hint="eastAsia" w:ascii="Times New Roman" w:hAnsi="Times New Roman" w:eastAsia="宋体" w:cs="Times New Roman"/>
                <w:szCs w:val="21"/>
              </w:rPr>
              <w:t>二</w:t>
            </w:r>
            <w:r>
              <w:rPr>
                <w:rFonts w:ascii="Times New Roman" w:hAnsi="Times New Roman" w:eastAsia="宋体" w:cs="Times New Roman"/>
                <w:szCs w:val="21"/>
              </w:rPr>
              <w:t>。</w:t>
            </w:r>
          </w:p>
        </w:tc>
        <w:tc>
          <w:tcPr>
            <w:tcW w:w="242" w:type="pct"/>
            <w:vMerge w:val="restart"/>
            <w:vAlign w:val="center"/>
          </w:tcPr>
          <w:p w14:paraId="3FBBCB86">
            <w:pPr>
              <w:widowControl/>
              <w:jc w:val="center"/>
              <w:rPr>
                <w:rFonts w:ascii="Times New Roman" w:hAnsi="Times New Roman" w:eastAsia="宋体" w:cs="Times New Roman"/>
                <w:kern w:val="0"/>
              </w:rPr>
            </w:pPr>
            <w:r>
              <w:rPr>
                <w:rFonts w:ascii="Times New Roman" w:hAnsi="Times New Roman" w:eastAsia="宋体" w:cs="Times New Roman"/>
                <w:kern w:val="0"/>
              </w:rPr>
              <w:t>声屏障+隔声窗</w:t>
            </w:r>
          </w:p>
        </w:tc>
        <w:tc>
          <w:tcPr>
            <w:tcW w:w="260" w:type="pct"/>
            <w:vMerge w:val="restart"/>
            <w:vAlign w:val="center"/>
          </w:tcPr>
          <w:p w14:paraId="5B8360A8">
            <w:pPr>
              <w:widowControl/>
              <w:jc w:val="center"/>
              <w:rPr>
                <w:rFonts w:ascii="Times New Roman" w:hAnsi="Times New Roman" w:eastAsia="宋体" w:cs="Times New Roman"/>
                <w:kern w:val="0"/>
              </w:rPr>
            </w:pPr>
            <w:r>
              <w:rPr>
                <w:rFonts w:ascii="Times New Roman" w:hAnsi="Times New Roman" w:eastAsia="宋体" w:cs="Times New Roman"/>
                <w:kern w:val="0"/>
              </w:rPr>
              <w:t>室外达标+平交路口房屋室内达标</w:t>
            </w:r>
          </w:p>
        </w:tc>
        <w:tc>
          <w:tcPr>
            <w:tcW w:w="251" w:type="pct"/>
            <w:vMerge w:val="restart"/>
            <w:vAlign w:val="center"/>
          </w:tcPr>
          <w:p w14:paraId="037929D5">
            <w:pPr>
              <w:widowControl/>
              <w:adjustRightInd w:val="0"/>
              <w:snapToGrid w:val="0"/>
              <w:spacing w:line="240" w:lineRule="exact"/>
              <w:jc w:val="center"/>
              <w:rPr>
                <w:rFonts w:ascii="Times New Roman" w:hAnsi="宋体" w:eastAsia="宋体" w:cs="Times New Roman"/>
                <w:szCs w:val="21"/>
              </w:rPr>
            </w:pPr>
            <w:r>
              <w:rPr>
                <w:rFonts w:hint="eastAsia" w:ascii="Times New Roman" w:hAnsi="宋体" w:eastAsia="宋体" w:cs="Times New Roman"/>
                <w:szCs w:val="21"/>
              </w:rPr>
              <w:t>357</w:t>
            </w:r>
          </w:p>
        </w:tc>
      </w:tr>
      <w:tr w14:paraId="581386A8">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trHeight w:val="80" w:hRule="atLeast"/>
          <w:tblHeader/>
          <w:jc w:val="center"/>
        </w:trPr>
        <w:tc>
          <w:tcPr>
            <w:tcW w:w="180" w:type="pct"/>
            <w:vMerge w:val="continue"/>
            <w:noWrap/>
            <w:vAlign w:val="center"/>
          </w:tcPr>
          <w:p w14:paraId="527983AA">
            <w:pPr>
              <w:jc w:val="center"/>
              <w:rPr>
                <w:rFonts w:ascii="Times New Roman" w:hAnsi="Times New Roman" w:eastAsia="宋体" w:cs="Times New Roman"/>
              </w:rPr>
            </w:pPr>
          </w:p>
        </w:tc>
        <w:tc>
          <w:tcPr>
            <w:tcW w:w="278" w:type="pct"/>
            <w:vAlign w:val="center"/>
          </w:tcPr>
          <w:p w14:paraId="1A874E36">
            <w:pPr>
              <w:jc w:val="center"/>
              <w:rPr>
                <w:rFonts w:ascii="Times New Roman" w:hAnsi="Times New Roman" w:cs="Times New Roman" w:eastAsiaTheme="minorEastAsia"/>
                <w:szCs w:val="21"/>
              </w:rPr>
            </w:pPr>
            <w:r>
              <w:rPr>
                <w:rFonts w:ascii="Times New Roman" w:hAnsi="Times New Roman" w:cs="Times New Roman" w:eastAsiaTheme="minorEastAsia"/>
                <w:szCs w:val="21"/>
              </w:rPr>
              <w:t>K</w:t>
            </w:r>
            <w:r>
              <w:rPr>
                <w:rFonts w:hint="eastAsia" w:ascii="Times New Roman" w:hAnsi="Times New Roman" w:cs="Times New Roman" w:eastAsiaTheme="minorEastAsia"/>
                <w:szCs w:val="21"/>
              </w:rPr>
              <w:t>24</w:t>
            </w:r>
            <w:r>
              <w:rPr>
                <w:rFonts w:ascii="Times New Roman" w:hAnsi="Times New Roman" w:cs="Times New Roman" w:eastAsiaTheme="minorEastAsia"/>
                <w:szCs w:val="21"/>
              </w:rPr>
              <w:t>+</w:t>
            </w:r>
            <w:r>
              <w:rPr>
                <w:rFonts w:hint="eastAsia" w:ascii="Times New Roman" w:hAnsi="Times New Roman" w:cs="Times New Roman" w:eastAsiaTheme="minorEastAsia"/>
                <w:szCs w:val="21"/>
              </w:rPr>
              <w:t>50</w:t>
            </w:r>
            <w:r>
              <w:rPr>
                <w:rFonts w:ascii="Times New Roman" w:hAnsi="Times New Roman" w:cs="Times New Roman" w:eastAsiaTheme="minorEastAsia"/>
                <w:szCs w:val="21"/>
              </w:rPr>
              <w:t>0～K</w:t>
            </w:r>
            <w:r>
              <w:rPr>
                <w:rFonts w:hint="eastAsia" w:ascii="Times New Roman" w:hAnsi="Times New Roman" w:cs="Times New Roman" w:eastAsiaTheme="minorEastAsia"/>
                <w:szCs w:val="21"/>
              </w:rPr>
              <w:t>25</w:t>
            </w:r>
            <w:r>
              <w:rPr>
                <w:rFonts w:ascii="Times New Roman" w:hAnsi="Times New Roman" w:cs="Times New Roman" w:eastAsiaTheme="minorEastAsia"/>
                <w:szCs w:val="21"/>
              </w:rPr>
              <w:t>+</w:t>
            </w:r>
            <w:r>
              <w:rPr>
                <w:rFonts w:hint="eastAsia" w:ascii="Times New Roman" w:hAnsi="Times New Roman" w:cs="Times New Roman" w:eastAsiaTheme="minorEastAsia"/>
                <w:szCs w:val="21"/>
              </w:rPr>
              <w:t>10</w:t>
            </w:r>
            <w:r>
              <w:rPr>
                <w:rFonts w:ascii="Times New Roman" w:hAnsi="Times New Roman" w:cs="Times New Roman" w:eastAsiaTheme="minorEastAsia"/>
                <w:szCs w:val="21"/>
              </w:rPr>
              <w:t>0</w:t>
            </w:r>
          </w:p>
        </w:tc>
        <w:tc>
          <w:tcPr>
            <w:tcW w:w="346" w:type="pct"/>
            <w:vMerge w:val="continue"/>
            <w:vAlign w:val="center"/>
          </w:tcPr>
          <w:p w14:paraId="3C172940">
            <w:pPr>
              <w:jc w:val="center"/>
              <w:rPr>
                <w:rFonts w:ascii="Times New Roman" w:hAnsi="Times New Roman" w:cs="Times New Roman" w:eastAsiaTheme="minorEastAsia"/>
                <w:szCs w:val="21"/>
              </w:rPr>
            </w:pPr>
          </w:p>
        </w:tc>
        <w:tc>
          <w:tcPr>
            <w:tcW w:w="138" w:type="pct"/>
            <w:vMerge w:val="continue"/>
            <w:vAlign w:val="center"/>
          </w:tcPr>
          <w:p w14:paraId="112229DE">
            <w:pPr>
              <w:jc w:val="center"/>
              <w:rPr>
                <w:rFonts w:ascii="Times New Roman" w:hAnsi="Times New Roman" w:cs="Times New Roman" w:eastAsiaTheme="minorEastAsia"/>
                <w:szCs w:val="21"/>
              </w:rPr>
            </w:pPr>
          </w:p>
        </w:tc>
        <w:tc>
          <w:tcPr>
            <w:tcW w:w="209" w:type="pct"/>
            <w:vMerge w:val="continue"/>
            <w:vAlign w:val="center"/>
          </w:tcPr>
          <w:p w14:paraId="55FE78AF">
            <w:pPr>
              <w:widowControl/>
              <w:jc w:val="center"/>
              <w:rPr>
                <w:rFonts w:ascii="Times New Roman" w:cs="Times New Roman" w:hAnsiTheme="minorEastAsia" w:eastAsiaTheme="minorEastAsia"/>
                <w:spacing w:val="-20"/>
                <w:szCs w:val="21"/>
              </w:rPr>
            </w:pPr>
          </w:p>
        </w:tc>
        <w:tc>
          <w:tcPr>
            <w:tcW w:w="243" w:type="pct"/>
            <w:vMerge w:val="continue"/>
            <w:vAlign w:val="center"/>
          </w:tcPr>
          <w:p w14:paraId="12CFE5AA">
            <w:pPr>
              <w:adjustRightInd w:val="0"/>
              <w:snapToGrid w:val="0"/>
              <w:spacing w:line="240" w:lineRule="exact"/>
              <w:jc w:val="center"/>
              <w:rPr>
                <w:rFonts w:ascii="Times New Roman" w:hAnsi="Times New Roman" w:eastAsia="宋体" w:cs="Times New Roman"/>
                <w:snapToGrid w:val="0"/>
                <w:kern w:val="0"/>
                <w:szCs w:val="21"/>
              </w:rPr>
            </w:pPr>
          </w:p>
        </w:tc>
        <w:tc>
          <w:tcPr>
            <w:tcW w:w="243" w:type="pct"/>
            <w:vMerge w:val="continue"/>
            <w:vAlign w:val="center"/>
          </w:tcPr>
          <w:p w14:paraId="61B940DC">
            <w:pPr>
              <w:adjustRightInd w:val="0"/>
              <w:snapToGrid w:val="0"/>
              <w:spacing w:line="240" w:lineRule="exact"/>
              <w:jc w:val="center"/>
              <w:rPr>
                <w:rFonts w:ascii="Times New Roman" w:hAnsi="Times New Roman" w:eastAsia="宋体" w:cs="Times New Roman"/>
                <w:snapToGrid w:val="0"/>
                <w:kern w:val="0"/>
                <w:szCs w:val="21"/>
              </w:rPr>
            </w:pPr>
          </w:p>
        </w:tc>
        <w:tc>
          <w:tcPr>
            <w:tcW w:w="190" w:type="pct"/>
            <w:vMerge w:val="continue"/>
            <w:shd w:val="clear" w:color="auto" w:fill="auto"/>
            <w:vAlign w:val="center"/>
          </w:tcPr>
          <w:p w14:paraId="466983E1">
            <w:pPr>
              <w:adjustRightInd w:val="0"/>
              <w:snapToGrid w:val="0"/>
              <w:spacing w:line="240" w:lineRule="exact"/>
              <w:jc w:val="center"/>
              <w:rPr>
                <w:rFonts w:ascii="Times New Roman" w:hAnsi="Times New Roman" w:eastAsia="宋体" w:cs="Times New Roman"/>
                <w:snapToGrid w:val="0"/>
                <w:kern w:val="0"/>
                <w:szCs w:val="21"/>
              </w:rPr>
            </w:pPr>
          </w:p>
        </w:tc>
        <w:tc>
          <w:tcPr>
            <w:tcW w:w="190" w:type="pct"/>
            <w:vMerge w:val="continue"/>
            <w:shd w:val="clear" w:color="auto" w:fill="auto"/>
            <w:vAlign w:val="center"/>
          </w:tcPr>
          <w:p w14:paraId="5F40D112">
            <w:pPr>
              <w:adjustRightInd w:val="0"/>
              <w:snapToGrid w:val="0"/>
              <w:spacing w:line="240" w:lineRule="exact"/>
              <w:jc w:val="center"/>
              <w:rPr>
                <w:rFonts w:ascii="Times New Roman" w:hAnsi="Times New Roman" w:eastAsia="宋体" w:cs="Times New Roman"/>
                <w:snapToGrid w:val="0"/>
                <w:kern w:val="0"/>
                <w:szCs w:val="21"/>
              </w:rPr>
            </w:pPr>
          </w:p>
        </w:tc>
        <w:tc>
          <w:tcPr>
            <w:tcW w:w="2230" w:type="pct"/>
            <w:vMerge w:val="continue"/>
            <w:noWrap/>
            <w:vAlign w:val="center"/>
          </w:tcPr>
          <w:p w14:paraId="77F574DA">
            <w:pPr>
              <w:rPr>
                <w:rFonts w:ascii="Times New Roman" w:hAnsi="Times New Roman" w:eastAsia="宋体" w:cs="Times New Roman"/>
                <w:szCs w:val="21"/>
              </w:rPr>
            </w:pPr>
          </w:p>
        </w:tc>
        <w:tc>
          <w:tcPr>
            <w:tcW w:w="242" w:type="pct"/>
            <w:vMerge w:val="continue"/>
            <w:vAlign w:val="center"/>
          </w:tcPr>
          <w:p w14:paraId="0A6FB64F">
            <w:pPr>
              <w:jc w:val="center"/>
              <w:rPr>
                <w:rFonts w:ascii="Times New Roman" w:hAnsi="Times New Roman" w:eastAsia="宋体" w:cs="Times New Roman"/>
                <w:szCs w:val="21"/>
              </w:rPr>
            </w:pPr>
          </w:p>
        </w:tc>
        <w:tc>
          <w:tcPr>
            <w:tcW w:w="260" w:type="pct"/>
            <w:vMerge w:val="continue"/>
            <w:vAlign w:val="center"/>
          </w:tcPr>
          <w:p w14:paraId="1F9B47B3">
            <w:pPr>
              <w:jc w:val="center"/>
              <w:rPr>
                <w:rFonts w:ascii="Times New Roman" w:hAnsi="Times New Roman" w:eastAsia="宋体" w:cs="Times New Roman"/>
                <w:szCs w:val="21"/>
              </w:rPr>
            </w:pPr>
          </w:p>
        </w:tc>
        <w:tc>
          <w:tcPr>
            <w:tcW w:w="251" w:type="pct"/>
            <w:vMerge w:val="continue"/>
            <w:vAlign w:val="center"/>
          </w:tcPr>
          <w:p w14:paraId="2A1E3CFB">
            <w:pPr>
              <w:widowControl/>
              <w:adjustRightInd w:val="0"/>
              <w:snapToGrid w:val="0"/>
              <w:spacing w:line="240" w:lineRule="exact"/>
              <w:jc w:val="center"/>
              <w:rPr>
                <w:rFonts w:ascii="Times New Roman" w:hAnsi="Times New Roman" w:eastAsia="宋体" w:cs="Times New Roman"/>
                <w:szCs w:val="21"/>
              </w:rPr>
            </w:pPr>
          </w:p>
        </w:tc>
      </w:tr>
      <w:tr w14:paraId="1D446655">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trHeight w:val="80" w:hRule="atLeast"/>
          <w:tblHeader/>
          <w:jc w:val="center"/>
        </w:trPr>
        <w:tc>
          <w:tcPr>
            <w:tcW w:w="180" w:type="pct"/>
            <w:vMerge w:val="continue"/>
            <w:noWrap/>
            <w:vAlign w:val="center"/>
          </w:tcPr>
          <w:p w14:paraId="17D282A1">
            <w:pPr>
              <w:jc w:val="center"/>
              <w:rPr>
                <w:rFonts w:ascii="Times New Roman" w:hAnsi="Times New Roman" w:eastAsia="宋体" w:cs="Times New Roman"/>
              </w:rPr>
            </w:pPr>
          </w:p>
        </w:tc>
        <w:tc>
          <w:tcPr>
            <w:tcW w:w="278" w:type="pct"/>
            <w:vAlign w:val="center"/>
          </w:tcPr>
          <w:p w14:paraId="3D46C95C">
            <w:pPr>
              <w:jc w:val="center"/>
              <w:rPr>
                <w:rFonts w:ascii="Times New Roman" w:hAnsi="Times New Roman" w:cs="Times New Roman" w:eastAsiaTheme="minorEastAsia"/>
                <w:szCs w:val="21"/>
              </w:rPr>
            </w:pPr>
            <w:r>
              <w:rPr>
                <w:rFonts w:ascii="Times New Roman" w:hAnsi="Times New Roman" w:cs="Times New Roman" w:eastAsiaTheme="minorEastAsia"/>
                <w:szCs w:val="21"/>
              </w:rPr>
              <w:t>K</w:t>
            </w:r>
            <w:r>
              <w:rPr>
                <w:rFonts w:hint="eastAsia" w:ascii="Times New Roman" w:hAnsi="Times New Roman" w:cs="Times New Roman" w:eastAsiaTheme="minorEastAsia"/>
                <w:szCs w:val="21"/>
              </w:rPr>
              <w:t>23</w:t>
            </w:r>
            <w:r>
              <w:rPr>
                <w:rFonts w:ascii="Times New Roman" w:hAnsi="Times New Roman" w:cs="Times New Roman" w:eastAsiaTheme="minorEastAsia"/>
                <w:szCs w:val="21"/>
              </w:rPr>
              <w:t>+</w:t>
            </w:r>
            <w:r>
              <w:rPr>
                <w:rFonts w:hint="eastAsia" w:ascii="Times New Roman" w:hAnsi="Times New Roman" w:cs="Times New Roman" w:eastAsiaTheme="minorEastAsia"/>
                <w:szCs w:val="21"/>
              </w:rPr>
              <w:t>50</w:t>
            </w:r>
            <w:r>
              <w:rPr>
                <w:rFonts w:ascii="Times New Roman" w:hAnsi="Times New Roman" w:cs="Times New Roman" w:eastAsiaTheme="minorEastAsia"/>
                <w:szCs w:val="21"/>
              </w:rPr>
              <w:t>0～K</w:t>
            </w:r>
            <w:r>
              <w:rPr>
                <w:rFonts w:hint="eastAsia" w:ascii="Times New Roman" w:hAnsi="Times New Roman" w:cs="Times New Roman" w:eastAsiaTheme="minorEastAsia"/>
                <w:szCs w:val="21"/>
              </w:rPr>
              <w:t>24</w:t>
            </w:r>
            <w:r>
              <w:rPr>
                <w:rFonts w:ascii="Times New Roman" w:hAnsi="Times New Roman" w:cs="Times New Roman" w:eastAsiaTheme="minorEastAsia"/>
                <w:szCs w:val="21"/>
              </w:rPr>
              <w:t>+</w:t>
            </w:r>
            <w:r>
              <w:rPr>
                <w:rFonts w:hint="eastAsia" w:ascii="Times New Roman" w:hAnsi="Times New Roman" w:cs="Times New Roman" w:eastAsiaTheme="minorEastAsia"/>
                <w:szCs w:val="21"/>
              </w:rPr>
              <w:t>85</w:t>
            </w:r>
            <w:r>
              <w:rPr>
                <w:rFonts w:ascii="Times New Roman" w:hAnsi="Times New Roman" w:cs="Times New Roman" w:eastAsiaTheme="minorEastAsia"/>
                <w:szCs w:val="21"/>
              </w:rPr>
              <w:t>0</w:t>
            </w:r>
          </w:p>
        </w:tc>
        <w:tc>
          <w:tcPr>
            <w:tcW w:w="346" w:type="pct"/>
            <w:vMerge w:val="continue"/>
            <w:vAlign w:val="center"/>
          </w:tcPr>
          <w:p w14:paraId="2B68F1F8">
            <w:pPr>
              <w:jc w:val="center"/>
              <w:rPr>
                <w:rFonts w:ascii="Times New Roman" w:hAnsi="Times New Roman" w:cs="Times New Roman" w:eastAsiaTheme="minorEastAsia"/>
                <w:szCs w:val="21"/>
              </w:rPr>
            </w:pPr>
          </w:p>
        </w:tc>
        <w:tc>
          <w:tcPr>
            <w:tcW w:w="138" w:type="pct"/>
            <w:vAlign w:val="center"/>
          </w:tcPr>
          <w:p w14:paraId="1EA56961">
            <w:pPr>
              <w:jc w:val="center"/>
              <w:rPr>
                <w:rFonts w:ascii="Times New Roman" w:hAnsi="Times New Roman" w:cs="Times New Roman" w:eastAsiaTheme="minorEastAsia"/>
                <w:szCs w:val="21"/>
              </w:rPr>
            </w:pPr>
            <w:r>
              <w:rPr>
                <w:rFonts w:ascii="Times New Roman" w:hAnsi="Times New Roman" w:cs="Times New Roman" w:eastAsiaTheme="minorEastAsia"/>
                <w:szCs w:val="21"/>
              </w:rPr>
              <w:t>路左</w:t>
            </w:r>
          </w:p>
        </w:tc>
        <w:tc>
          <w:tcPr>
            <w:tcW w:w="209" w:type="pct"/>
            <w:vMerge w:val="continue"/>
            <w:vAlign w:val="center"/>
          </w:tcPr>
          <w:p w14:paraId="247EF9E1">
            <w:pPr>
              <w:widowControl/>
              <w:jc w:val="center"/>
              <w:rPr>
                <w:rFonts w:ascii="Times New Roman" w:cs="Times New Roman" w:hAnsiTheme="minorEastAsia" w:eastAsiaTheme="minorEastAsia"/>
                <w:spacing w:val="-20"/>
                <w:szCs w:val="21"/>
              </w:rPr>
            </w:pPr>
          </w:p>
        </w:tc>
        <w:tc>
          <w:tcPr>
            <w:tcW w:w="243" w:type="pct"/>
            <w:vMerge w:val="continue"/>
            <w:vAlign w:val="center"/>
          </w:tcPr>
          <w:p w14:paraId="664DD223">
            <w:pPr>
              <w:adjustRightInd w:val="0"/>
              <w:snapToGrid w:val="0"/>
              <w:spacing w:line="240" w:lineRule="exact"/>
              <w:jc w:val="center"/>
              <w:rPr>
                <w:rFonts w:ascii="Times New Roman" w:hAnsi="Times New Roman" w:eastAsia="宋体" w:cs="Times New Roman"/>
                <w:snapToGrid w:val="0"/>
                <w:kern w:val="0"/>
                <w:szCs w:val="21"/>
              </w:rPr>
            </w:pPr>
          </w:p>
        </w:tc>
        <w:tc>
          <w:tcPr>
            <w:tcW w:w="243" w:type="pct"/>
            <w:vMerge w:val="continue"/>
            <w:vAlign w:val="center"/>
          </w:tcPr>
          <w:p w14:paraId="437ACB6A">
            <w:pPr>
              <w:adjustRightInd w:val="0"/>
              <w:snapToGrid w:val="0"/>
              <w:spacing w:line="240" w:lineRule="exact"/>
              <w:jc w:val="center"/>
              <w:rPr>
                <w:rFonts w:ascii="Times New Roman" w:hAnsi="Times New Roman" w:eastAsia="宋体" w:cs="Times New Roman"/>
                <w:snapToGrid w:val="0"/>
                <w:kern w:val="0"/>
                <w:szCs w:val="21"/>
              </w:rPr>
            </w:pPr>
          </w:p>
        </w:tc>
        <w:tc>
          <w:tcPr>
            <w:tcW w:w="190" w:type="pct"/>
            <w:vMerge w:val="continue"/>
            <w:shd w:val="clear" w:color="auto" w:fill="auto"/>
            <w:vAlign w:val="center"/>
          </w:tcPr>
          <w:p w14:paraId="71AC1AD7">
            <w:pPr>
              <w:adjustRightInd w:val="0"/>
              <w:snapToGrid w:val="0"/>
              <w:spacing w:line="240" w:lineRule="exact"/>
              <w:jc w:val="center"/>
              <w:rPr>
                <w:rFonts w:ascii="Times New Roman" w:hAnsi="Times New Roman" w:eastAsia="宋体" w:cs="Times New Roman"/>
                <w:snapToGrid w:val="0"/>
                <w:kern w:val="0"/>
                <w:szCs w:val="21"/>
              </w:rPr>
            </w:pPr>
          </w:p>
        </w:tc>
        <w:tc>
          <w:tcPr>
            <w:tcW w:w="190" w:type="pct"/>
            <w:vMerge w:val="continue"/>
            <w:shd w:val="clear" w:color="auto" w:fill="auto"/>
            <w:vAlign w:val="center"/>
          </w:tcPr>
          <w:p w14:paraId="008733C4">
            <w:pPr>
              <w:adjustRightInd w:val="0"/>
              <w:snapToGrid w:val="0"/>
              <w:spacing w:line="240" w:lineRule="exact"/>
              <w:jc w:val="center"/>
              <w:rPr>
                <w:rFonts w:ascii="Times New Roman" w:hAnsi="Times New Roman" w:eastAsia="宋体" w:cs="Times New Roman"/>
                <w:snapToGrid w:val="0"/>
                <w:kern w:val="0"/>
                <w:szCs w:val="21"/>
              </w:rPr>
            </w:pPr>
          </w:p>
        </w:tc>
        <w:tc>
          <w:tcPr>
            <w:tcW w:w="2230" w:type="pct"/>
            <w:vMerge w:val="continue"/>
            <w:noWrap/>
            <w:vAlign w:val="center"/>
          </w:tcPr>
          <w:p w14:paraId="79E6AEEC">
            <w:pPr>
              <w:rPr>
                <w:rFonts w:ascii="Times New Roman" w:hAnsi="Times New Roman" w:eastAsia="宋体" w:cs="Times New Roman"/>
                <w:szCs w:val="21"/>
              </w:rPr>
            </w:pPr>
          </w:p>
        </w:tc>
        <w:tc>
          <w:tcPr>
            <w:tcW w:w="242" w:type="pct"/>
            <w:vMerge w:val="continue"/>
            <w:vAlign w:val="center"/>
          </w:tcPr>
          <w:p w14:paraId="4D75AD15">
            <w:pPr>
              <w:jc w:val="center"/>
              <w:rPr>
                <w:rFonts w:ascii="Times New Roman" w:hAnsi="Times New Roman" w:eastAsia="宋体" w:cs="Times New Roman"/>
                <w:szCs w:val="21"/>
              </w:rPr>
            </w:pPr>
          </w:p>
        </w:tc>
        <w:tc>
          <w:tcPr>
            <w:tcW w:w="260" w:type="pct"/>
            <w:vMerge w:val="continue"/>
            <w:vAlign w:val="center"/>
          </w:tcPr>
          <w:p w14:paraId="504D44C0">
            <w:pPr>
              <w:jc w:val="center"/>
              <w:rPr>
                <w:rFonts w:ascii="Times New Roman" w:hAnsi="Times New Roman" w:eastAsia="宋体" w:cs="Times New Roman"/>
                <w:szCs w:val="21"/>
              </w:rPr>
            </w:pPr>
          </w:p>
        </w:tc>
        <w:tc>
          <w:tcPr>
            <w:tcW w:w="251" w:type="pct"/>
            <w:vMerge w:val="continue"/>
            <w:vAlign w:val="center"/>
          </w:tcPr>
          <w:p w14:paraId="679BF55A">
            <w:pPr>
              <w:widowControl/>
              <w:adjustRightInd w:val="0"/>
              <w:snapToGrid w:val="0"/>
              <w:spacing w:line="240" w:lineRule="exact"/>
              <w:jc w:val="center"/>
              <w:rPr>
                <w:rFonts w:ascii="Times New Roman" w:hAnsi="Times New Roman" w:eastAsia="宋体" w:cs="Times New Roman"/>
                <w:szCs w:val="21"/>
              </w:rPr>
            </w:pPr>
          </w:p>
        </w:tc>
      </w:tr>
      <w:tr w14:paraId="7809D9A8">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trHeight w:val="80" w:hRule="atLeast"/>
          <w:tblHeader/>
          <w:jc w:val="center"/>
        </w:trPr>
        <w:tc>
          <w:tcPr>
            <w:tcW w:w="180" w:type="pct"/>
            <w:noWrap/>
            <w:vAlign w:val="center"/>
          </w:tcPr>
          <w:p w14:paraId="62C28A82">
            <w:pPr>
              <w:jc w:val="center"/>
              <w:rPr>
                <w:rFonts w:ascii="Times New Roman" w:hAnsi="Times New Roman" w:eastAsia="宋体" w:cs="Times New Roman"/>
              </w:rPr>
            </w:pPr>
            <w:r>
              <w:rPr>
                <w:rFonts w:hint="eastAsia" w:ascii="Times New Roman" w:hAnsi="Times New Roman" w:eastAsia="宋体" w:cs="Times New Roman"/>
              </w:rPr>
              <w:t>9</w:t>
            </w:r>
          </w:p>
        </w:tc>
        <w:tc>
          <w:tcPr>
            <w:tcW w:w="278" w:type="pct"/>
            <w:vAlign w:val="center"/>
          </w:tcPr>
          <w:p w14:paraId="1AC1C882">
            <w:pPr>
              <w:widowControl/>
              <w:spacing w:line="300" w:lineRule="exact"/>
              <w:jc w:val="center"/>
              <w:rPr>
                <w:rFonts w:ascii="Times New Roman" w:hAnsi="Times New Roman" w:eastAsia="宋体" w:cs="Times New Roman"/>
              </w:rPr>
            </w:pPr>
            <w:r>
              <w:rPr>
                <w:rFonts w:ascii="Times New Roman" w:hAnsi="Times New Roman" w:eastAsia="宋体" w:cs="Times New Roman"/>
              </w:rPr>
              <w:t>K</w:t>
            </w:r>
            <w:r>
              <w:rPr>
                <w:rFonts w:hint="eastAsia" w:ascii="Times New Roman" w:hAnsi="Times New Roman" w:eastAsia="宋体" w:cs="Times New Roman"/>
              </w:rPr>
              <w:t>24</w:t>
            </w:r>
            <w:r>
              <w:rPr>
                <w:rFonts w:ascii="Times New Roman" w:hAnsi="Times New Roman" w:eastAsia="宋体" w:cs="Times New Roman"/>
              </w:rPr>
              <w:t>+</w:t>
            </w:r>
            <w:r>
              <w:rPr>
                <w:rFonts w:hint="eastAsia" w:ascii="Times New Roman" w:hAnsi="Times New Roman" w:eastAsia="宋体" w:cs="Times New Roman"/>
              </w:rPr>
              <w:t>150</w:t>
            </w:r>
          </w:p>
        </w:tc>
        <w:tc>
          <w:tcPr>
            <w:tcW w:w="346" w:type="pct"/>
            <w:vAlign w:val="center"/>
          </w:tcPr>
          <w:p w14:paraId="63B7C82C">
            <w:pPr>
              <w:widowControl/>
              <w:spacing w:line="300" w:lineRule="exact"/>
              <w:jc w:val="center"/>
              <w:rPr>
                <w:rFonts w:ascii="Times New Roman" w:hAnsi="Times New Roman" w:eastAsia="宋体" w:cs="Times New Roman"/>
              </w:rPr>
            </w:pPr>
            <w:r>
              <w:rPr>
                <w:rFonts w:hint="eastAsia" w:ascii="Times New Roman" w:hAnsi="Times New Roman" w:eastAsia="宋体" w:cs="Times New Roman"/>
              </w:rPr>
              <w:t>阿亚格勒格勒德玛小学</w:t>
            </w:r>
          </w:p>
        </w:tc>
        <w:tc>
          <w:tcPr>
            <w:tcW w:w="138" w:type="pct"/>
            <w:vAlign w:val="center"/>
          </w:tcPr>
          <w:p w14:paraId="1B3F343D">
            <w:pPr>
              <w:widowControl/>
              <w:spacing w:line="300" w:lineRule="exact"/>
              <w:jc w:val="center"/>
              <w:rPr>
                <w:rFonts w:ascii="Times New Roman" w:hAnsi="Times New Roman" w:eastAsia="宋体" w:cs="Times New Roman"/>
              </w:rPr>
            </w:pPr>
            <w:r>
              <w:rPr>
                <w:rFonts w:ascii="Times New Roman" w:hAnsi="Times New Roman" w:eastAsia="宋体" w:cs="Times New Roman"/>
              </w:rPr>
              <w:t>路左</w:t>
            </w:r>
          </w:p>
        </w:tc>
        <w:tc>
          <w:tcPr>
            <w:tcW w:w="209" w:type="pct"/>
            <w:vAlign w:val="center"/>
          </w:tcPr>
          <w:p w14:paraId="01D4802C">
            <w:pPr>
              <w:widowControl/>
              <w:spacing w:line="300" w:lineRule="exact"/>
              <w:jc w:val="center"/>
              <w:rPr>
                <w:rFonts w:ascii="Times New Roman" w:hAnsi="Times New Roman" w:eastAsia="宋体" w:cs="Times New Roman"/>
              </w:rPr>
            </w:pPr>
            <w:r>
              <w:rPr>
                <w:rFonts w:hint="eastAsia" w:ascii="Times New Roman" w:hAnsi="Times New Roman" w:eastAsia="宋体" w:cs="Times New Roman"/>
              </w:rPr>
              <w:t>45</w:t>
            </w:r>
          </w:p>
        </w:tc>
        <w:tc>
          <w:tcPr>
            <w:tcW w:w="243" w:type="pct"/>
            <w:vAlign w:val="center"/>
          </w:tcPr>
          <w:p w14:paraId="08F3CF8C">
            <w:pPr>
              <w:adjustRightInd w:val="0"/>
              <w:snapToGrid w:val="0"/>
              <w:spacing w:line="240" w:lineRule="exact"/>
              <w:jc w:val="center"/>
              <w:rPr>
                <w:rFonts w:ascii="Times New Roman" w:hAnsi="Times New Roman" w:eastAsia="宋体" w:cs="Times New Roman"/>
              </w:rPr>
            </w:pPr>
            <w:r>
              <w:rPr>
                <w:rFonts w:hint="eastAsia" w:ascii="Times New Roman" w:hAnsi="Times New Roman" w:eastAsia="宋体" w:cs="Times New Roman"/>
              </w:rPr>
              <w:t>-/-</w:t>
            </w:r>
          </w:p>
        </w:tc>
        <w:tc>
          <w:tcPr>
            <w:tcW w:w="243" w:type="pct"/>
            <w:vAlign w:val="center"/>
          </w:tcPr>
          <w:p w14:paraId="220CE6AA">
            <w:pPr>
              <w:adjustRightInd w:val="0"/>
              <w:snapToGrid w:val="0"/>
              <w:spacing w:line="240" w:lineRule="exact"/>
              <w:jc w:val="center"/>
              <w:rPr>
                <w:rFonts w:ascii="Times New Roman" w:hAnsi="Times New Roman" w:eastAsia="宋体" w:cs="Times New Roman"/>
              </w:rPr>
            </w:pPr>
            <w:r>
              <w:rPr>
                <w:rFonts w:hint="eastAsia" w:ascii="Times New Roman" w:hAnsi="Times New Roman" w:eastAsia="宋体" w:cs="Times New Roman"/>
              </w:rPr>
              <w:t>6.8/-</w:t>
            </w:r>
          </w:p>
        </w:tc>
        <w:tc>
          <w:tcPr>
            <w:tcW w:w="190" w:type="pct"/>
            <w:shd w:val="clear" w:color="auto" w:fill="auto"/>
            <w:vAlign w:val="center"/>
          </w:tcPr>
          <w:p w14:paraId="660D7D9C">
            <w:pPr>
              <w:adjustRightInd w:val="0"/>
              <w:snapToGrid w:val="0"/>
              <w:spacing w:line="240" w:lineRule="exact"/>
              <w:jc w:val="center"/>
              <w:rPr>
                <w:rFonts w:ascii="Times New Roman" w:hAnsi="Times New Roman" w:eastAsia="宋体" w:cs="Times New Roman"/>
              </w:rPr>
            </w:pPr>
            <w:r>
              <w:rPr>
                <w:rFonts w:hint="eastAsia" w:ascii="Times New Roman" w:hAnsi="Times New Roman" w:eastAsia="宋体" w:cs="Times New Roman"/>
              </w:rPr>
              <w:t>-</w:t>
            </w:r>
          </w:p>
        </w:tc>
        <w:tc>
          <w:tcPr>
            <w:tcW w:w="190" w:type="pct"/>
            <w:shd w:val="clear" w:color="auto" w:fill="auto"/>
            <w:vAlign w:val="center"/>
          </w:tcPr>
          <w:p w14:paraId="26C250A5">
            <w:pPr>
              <w:adjustRightInd w:val="0"/>
              <w:snapToGrid w:val="0"/>
              <w:spacing w:line="240" w:lineRule="exact"/>
              <w:jc w:val="center"/>
              <w:rPr>
                <w:rFonts w:ascii="Times New Roman" w:hAnsi="Times New Roman" w:eastAsia="宋体" w:cs="Times New Roman"/>
              </w:rPr>
            </w:pPr>
            <w:r>
              <w:rPr>
                <w:rFonts w:hint="eastAsia" w:ascii="Times New Roman" w:hAnsi="Times New Roman" w:eastAsia="宋体" w:cs="Times New Roman"/>
              </w:rPr>
              <w:t>1栋3层楼</w:t>
            </w:r>
          </w:p>
        </w:tc>
        <w:tc>
          <w:tcPr>
            <w:tcW w:w="2230" w:type="pct"/>
            <w:noWrap/>
            <w:vAlign w:val="center"/>
          </w:tcPr>
          <w:p w14:paraId="17A0B033">
            <w:pPr>
              <w:rPr>
                <w:rFonts w:ascii="Times New Roman" w:hAnsi="Times New Roman" w:eastAsia="宋体" w:cs="Times New Roman"/>
                <w:szCs w:val="21"/>
              </w:rPr>
            </w:pPr>
            <w:r>
              <w:rPr>
                <w:rFonts w:ascii="Times New Roman" w:hAnsi="Times New Roman" w:eastAsia="宋体" w:cs="Times New Roman"/>
                <w:szCs w:val="21"/>
              </w:rPr>
              <w:t>方案一：</w:t>
            </w:r>
            <w:r>
              <w:rPr>
                <w:rFonts w:ascii="Times New Roman" w:hAnsi="Times New Roman" w:cs="Times New Roman" w:eastAsiaTheme="minorEastAsia"/>
              </w:rPr>
              <w:t>安装隔声窗，超标范围内</w:t>
            </w:r>
            <w:r>
              <w:rPr>
                <w:rFonts w:ascii="Times New Roman" w:hAnsi="Times New Roman" w:cs="Times New Roman" w:eastAsiaTheme="minorEastAsia"/>
                <w:bCs/>
              </w:rPr>
              <w:t>1栋</w:t>
            </w:r>
            <w:r>
              <w:rPr>
                <w:rFonts w:hint="eastAsia" w:ascii="Times New Roman" w:hAnsi="Times New Roman" w:cs="Times New Roman" w:eastAsiaTheme="minorEastAsia"/>
                <w:bCs/>
              </w:rPr>
              <w:t>3</w:t>
            </w:r>
            <w:r>
              <w:rPr>
                <w:rFonts w:ascii="Times New Roman" w:hAnsi="Times New Roman" w:cs="Times New Roman" w:eastAsiaTheme="minorEastAsia"/>
                <w:bCs/>
              </w:rPr>
              <w:t>层楼</w:t>
            </w:r>
            <w:r>
              <w:rPr>
                <w:rFonts w:ascii="Times New Roman" w:hAnsi="Times New Roman" w:cs="Times New Roman" w:eastAsiaTheme="minorEastAsia"/>
              </w:rPr>
              <w:t>，隔声量20～25dB，共计</w:t>
            </w:r>
            <w:r>
              <w:rPr>
                <w:rFonts w:hint="eastAsia" w:ascii="Times New Roman" w:hAnsi="Times New Roman" w:cs="Times New Roman" w:eastAsiaTheme="minorEastAsia"/>
              </w:rPr>
              <w:t>45</w:t>
            </w:r>
            <w:r>
              <w:rPr>
                <w:rFonts w:ascii="Times New Roman" w:hAnsi="Times New Roman" w:cs="Times New Roman" w:eastAsiaTheme="minorEastAsia"/>
              </w:rPr>
              <w:t>万元。</w:t>
            </w:r>
          </w:p>
          <w:p w14:paraId="05BB0172">
            <w:pPr>
              <w:adjustRightInd w:val="0"/>
              <w:snapToGrid w:val="0"/>
              <w:spacing w:line="240" w:lineRule="exact"/>
              <w:rPr>
                <w:rFonts w:ascii="Times New Roman" w:hAnsi="Times New Roman" w:eastAsia="宋体" w:cs="Times New Roman"/>
                <w:szCs w:val="21"/>
              </w:rPr>
            </w:pPr>
            <w:r>
              <w:rPr>
                <w:rFonts w:ascii="Times New Roman" w:hAnsi="Times New Roman" w:eastAsia="宋体" w:cs="Times New Roman"/>
                <w:szCs w:val="21"/>
              </w:rPr>
              <w:t>方案二：设置声屏障，</w:t>
            </w:r>
            <w:r>
              <w:rPr>
                <w:rFonts w:hint="eastAsia" w:ascii="Times New Roman" w:hAnsi="Times New Roman" w:eastAsia="宋体" w:cs="Times New Roman"/>
              </w:rPr>
              <w:t>学校</w:t>
            </w:r>
            <w:r>
              <w:rPr>
                <w:rFonts w:ascii="Times New Roman" w:hAnsi="Times New Roman" w:eastAsia="宋体" w:cs="Times New Roman"/>
              </w:rPr>
              <w:t>位于</w:t>
            </w:r>
            <w:r>
              <w:rPr>
                <w:rFonts w:hint="eastAsia" w:ascii="Times New Roman" w:hAnsi="Times New Roman" w:cs="Times New Roman" w:eastAsiaTheme="minorEastAsia"/>
                <w:szCs w:val="21"/>
              </w:rPr>
              <w:t>阿亚克里格勒迪玛村</w:t>
            </w:r>
            <w:r>
              <w:rPr>
                <w:rFonts w:ascii="Times New Roman" w:hAnsi="Times New Roman" w:eastAsia="宋体" w:cs="Times New Roman"/>
              </w:rPr>
              <w:t>内，利用</w:t>
            </w:r>
            <w:r>
              <w:rPr>
                <w:rFonts w:hint="eastAsia" w:ascii="Times New Roman" w:hAnsi="Times New Roman" w:cs="Times New Roman" w:eastAsiaTheme="minorEastAsia"/>
                <w:szCs w:val="21"/>
              </w:rPr>
              <w:t>阿亚克里格勒迪玛村</w:t>
            </w:r>
            <w:r>
              <w:rPr>
                <w:rFonts w:ascii="Times New Roman" w:hAnsi="Times New Roman" w:eastAsia="宋体" w:cs="Times New Roman"/>
              </w:rPr>
              <w:t>设置的声屏障，房屋距路较近，声屏障降噪效果好。由于学校为</w:t>
            </w:r>
            <w:r>
              <w:rPr>
                <w:rFonts w:hint="eastAsia" w:ascii="Times New Roman" w:hAnsi="Times New Roman" w:eastAsia="宋体" w:cs="Times New Roman"/>
              </w:rPr>
              <w:t>3层建筑，</w:t>
            </w:r>
            <w:r>
              <w:rPr>
                <w:rFonts w:ascii="Times New Roman" w:hAnsi="Times New Roman" w:eastAsia="宋体" w:cs="Times New Roman"/>
              </w:rPr>
              <w:t>仅采取声屏障降噪措施高层</w:t>
            </w:r>
            <w:r>
              <w:rPr>
                <w:rFonts w:hint="eastAsia" w:ascii="Times New Roman" w:hAnsi="Times New Roman" w:eastAsia="宋体" w:cs="Times New Roman"/>
              </w:rPr>
              <w:t>难以</w:t>
            </w:r>
            <w:r>
              <w:rPr>
                <w:rFonts w:ascii="Times New Roman" w:hAnsi="Times New Roman" w:eastAsia="宋体" w:cs="Times New Roman"/>
              </w:rPr>
              <w:t>达标</w:t>
            </w:r>
            <w:r>
              <w:rPr>
                <w:rFonts w:hint="eastAsia" w:ascii="Times New Roman" w:hAnsi="Times New Roman" w:eastAsia="宋体" w:cs="Times New Roman"/>
                <w:szCs w:val="21"/>
              </w:rPr>
              <w:t>，需同时</w:t>
            </w:r>
            <w:r>
              <w:rPr>
                <w:rFonts w:ascii="Times New Roman" w:hAnsi="Times New Roman" w:eastAsia="宋体" w:cs="Times New Roman"/>
              </w:rPr>
              <w:t>对学校安装隔声窗，隔声量20～25dB，共计</w:t>
            </w:r>
            <w:r>
              <w:rPr>
                <w:rFonts w:hint="eastAsia" w:ascii="Times New Roman" w:hAnsi="Times New Roman" w:eastAsia="宋体" w:cs="Times New Roman"/>
              </w:rPr>
              <w:t>45</w:t>
            </w:r>
            <w:r>
              <w:rPr>
                <w:rFonts w:ascii="Times New Roman" w:hAnsi="Times New Roman" w:eastAsia="宋体" w:cs="Times New Roman"/>
              </w:rPr>
              <w:t>万元。</w:t>
            </w:r>
          </w:p>
          <w:p w14:paraId="245C3ECD">
            <w:pPr>
              <w:widowControl/>
              <w:jc w:val="left"/>
              <w:rPr>
                <w:rFonts w:ascii="Times New Roman" w:hAnsi="Times New Roman" w:eastAsia="宋体" w:cs="Times New Roman"/>
                <w:szCs w:val="21"/>
              </w:rPr>
            </w:pPr>
            <w:r>
              <w:rPr>
                <w:rFonts w:ascii="Times New Roman" w:hAnsi="Times New Roman" w:eastAsia="宋体" w:cs="Times New Roman"/>
                <w:szCs w:val="21"/>
              </w:rPr>
              <w:t>推荐：综合考虑推荐方案</w:t>
            </w:r>
            <w:r>
              <w:rPr>
                <w:rFonts w:hint="eastAsia" w:ascii="Times New Roman" w:hAnsi="Times New Roman" w:eastAsia="宋体" w:cs="Times New Roman"/>
                <w:szCs w:val="21"/>
              </w:rPr>
              <w:t>二</w:t>
            </w:r>
            <w:r>
              <w:rPr>
                <w:rFonts w:ascii="Times New Roman" w:hAnsi="Times New Roman" w:eastAsia="宋体" w:cs="Times New Roman"/>
                <w:szCs w:val="21"/>
              </w:rPr>
              <w:t>。</w:t>
            </w:r>
          </w:p>
        </w:tc>
        <w:tc>
          <w:tcPr>
            <w:tcW w:w="242" w:type="pct"/>
            <w:vAlign w:val="center"/>
          </w:tcPr>
          <w:p w14:paraId="57106B0E">
            <w:pPr>
              <w:jc w:val="center"/>
              <w:rPr>
                <w:rFonts w:ascii="Times New Roman" w:hAnsi="Times New Roman" w:eastAsia="宋体" w:cs="Times New Roman"/>
                <w:szCs w:val="21"/>
              </w:rPr>
            </w:pPr>
            <w:r>
              <w:rPr>
                <w:rFonts w:ascii="Times New Roman" w:hAnsi="Times New Roman" w:eastAsia="宋体" w:cs="Times New Roman"/>
                <w:kern w:val="0"/>
              </w:rPr>
              <w:t>声屏障+隔声窗</w:t>
            </w:r>
          </w:p>
        </w:tc>
        <w:tc>
          <w:tcPr>
            <w:tcW w:w="260" w:type="pct"/>
            <w:vAlign w:val="center"/>
          </w:tcPr>
          <w:p w14:paraId="5CCD7F9C">
            <w:pPr>
              <w:jc w:val="center"/>
              <w:rPr>
                <w:rFonts w:ascii="Times New Roman" w:hAnsi="Times New Roman" w:eastAsia="宋体" w:cs="Times New Roman"/>
                <w:szCs w:val="21"/>
              </w:rPr>
            </w:pPr>
            <w:r>
              <w:rPr>
                <w:rFonts w:hint="eastAsia" w:ascii="Times New Roman" w:hAnsi="Times New Roman" w:eastAsia="宋体" w:cs="Times New Roman"/>
                <w:kern w:val="0"/>
              </w:rPr>
              <w:t>室内</w:t>
            </w:r>
            <w:r>
              <w:rPr>
                <w:rFonts w:ascii="Times New Roman" w:hAnsi="Times New Roman" w:eastAsia="宋体" w:cs="Times New Roman"/>
                <w:kern w:val="0"/>
              </w:rPr>
              <w:t>达标</w:t>
            </w:r>
          </w:p>
        </w:tc>
        <w:tc>
          <w:tcPr>
            <w:tcW w:w="251" w:type="pct"/>
            <w:vAlign w:val="center"/>
          </w:tcPr>
          <w:p w14:paraId="3C8058F6">
            <w:pPr>
              <w:jc w:val="center"/>
              <w:rPr>
                <w:rFonts w:ascii="Times New Roman" w:hAnsi="Times New Roman" w:eastAsia="宋体" w:cs="Times New Roman"/>
                <w:szCs w:val="21"/>
              </w:rPr>
            </w:pPr>
            <w:r>
              <w:rPr>
                <w:rFonts w:hint="eastAsia" w:ascii="Times New Roman" w:hAnsi="Times New Roman" w:eastAsia="宋体" w:cs="Times New Roman"/>
                <w:szCs w:val="21"/>
              </w:rPr>
              <w:t>45</w:t>
            </w:r>
          </w:p>
        </w:tc>
      </w:tr>
      <w:tr w14:paraId="4707E638">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trHeight w:val="80" w:hRule="atLeast"/>
          <w:tblHeader/>
          <w:jc w:val="center"/>
        </w:trPr>
        <w:tc>
          <w:tcPr>
            <w:tcW w:w="180" w:type="pct"/>
            <w:noWrap/>
            <w:vAlign w:val="center"/>
          </w:tcPr>
          <w:p w14:paraId="71A45B05">
            <w:pPr>
              <w:jc w:val="center"/>
              <w:rPr>
                <w:rFonts w:ascii="Times New Roman" w:hAnsi="Times New Roman" w:eastAsia="宋体" w:cs="Times New Roman"/>
              </w:rPr>
            </w:pPr>
            <w:r>
              <w:rPr>
                <w:rFonts w:hint="eastAsia" w:ascii="Times New Roman" w:hAnsi="Times New Roman" w:eastAsia="宋体" w:cs="Times New Roman"/>
              </w:rPr>
              <w:t>10</w:t>
            </w:r>
          </w:p>
        </w:tc>
        <w:tc>
          <w:tcPr>
            <w:tcW w:w="278" w:type="pct"/>
            <w:vAlign w:val="center"/>
          </w:tcPr>
          <w:p w14:paraId="3044ED87">
            <w:pPr>
              <w:widowControl/>
              <w:spacing w:line="300" w:lineRule="exact"/>
              <w:jc w:val="center"/>
              <w:rPr>
                <w:rFonts w:ascii="Times New Roman" w:hAnsi="Times New Roman" w:eastAsia="宋体" w:cs="Times New Roman"/>
              </w:rPr>
            </w:pPr>
            <w:r>
              <w:rPr>
                <w:rFonts w:ascii="Times New Roman" w:hAnsi="Times New Roman" w:eastAsia="宋体" w:cs="Times New Roman"/>
              </w:rPr>
              <w:t>K</w:t>
            </w:r>
            <w:r>
              <w:rPr>
                <w:rFonts w:hint="eastAsia" w:ascii="Times New Roman" w:hAnsi="Times New Roman" w:eastAsia="宋体" w:cs="Times New Roman"/>
              </w:rPr>
              <w:t>25</w:t>
            </w:r>
            <w:r>
              <w:rPr>
                <w:rFonts w:ascii="Times New Roman" w:hAnsi="Times New Roman" w:eastAsia="宋体" w:cs="Times New Roman"/>
              </w:rPr>
              <w:t>+</w:t>
            </w:r>
            <w:r>
              <w:rPr>
                <w:rFonts w:hint="eastAsia" w:ascii="Times New Roman" w:hAnsi="Times New Roman" w:eastAsia="宋体" w:cs="Times New Roman"/>
              </w:rPr>
              <w:t>45</w:t>
            </w:r>
            <w:r>
              <w:rPr>
                <w:rFonts w:ascii="Times New Roman" w:hAnsi="Times New Roman" w:eastAsia="宋体" w:cs="Times New Roman"/>
              </w:rPr>
              <w:t>0～K</w:t>
            </w:r>
            <w:r>
              <w:rPr>
                <w:rFonts w:hint="eastAsia" w:ascii="Times New Roman" w:hAnsi="Times New Roman" w:eastAsia="宋体" w:cs="Times New Roman"/>
              </w:rPr>
              <w:t>26</w:t>
            </w:r>
            <w:r>
              <w:rPr>
                <w:rFonts w:ascii="Times New Roman" w:hAnsi="Times New Roman" w:eastAsia="宋体" w:cs="Times New Roman"/>
              </w:rPr>
              <w:t>+</w:t>
            </w:r>
            <w:r>
              <w:rPr>
                <w:rFonts w:hint="eastAsia" w:ascii="Times New Roman" w:hAnsi="Times New Roman" w:eastAsia="宋体" w:cs="Times New Roman"/>
              </w:rPr>
              <w:t>80</w:t>
            </w:r>
            <w:r>
              <w:rPr>
                <w:rFonts w:ascii="Times New Roman" w:hAnsi="Times New Roman" w:eastAsia="宋体" w:cs="Times New Roman"/>
              </w:rPr>
              <w:t>0</w:t>
            </w:r>
          </w:p>
        </w:tc>
        <w:tc>
          <w:tcPr>
            <w:tcW w:w="346" w:type="pct"/>
            <w:vAlign w:val="center"/>
          </w:tcPr>
          <w:p w14:paraId="13571379">
            <w:pPr>
              <w:widowControl/>
              <w:spacing w:line="300" w:lineRule="exact"/>
              <w:jc w:val="center"/>
              <w:rPr>
                <w:rFonts w:ascii="Times New Roman" w:hAnsi="Times New Roman" w:eastAsia="宋体" w:cs="Times New Roman"/>
              </w:rPr>
            </w:pPr>
            <w:r>
              <w:rPr>
                <w:rFonts w:hint="eastAsia" w:ascii="Times New Roman" w:hAnsi="Times New Roman" w:eastAsia="宋体" w:cs="Times New Roman"/>
              </w:rPr>
              <w:t>巴什英买里村</w:t>
            </w:r>
          </w:p>
        </w:tc>
        <w:tc>
          <w:tcPr>
            <w:tcW w:w="138" w:type="pct"/>
            <w:vAlign w:val="center"/>
          </w:tcPr>
          <w:p w14:paraId="30CBF906">
            <w:pPr>
              <w:widowControl/>
              <w:spacing w:line="300" w:lineRule="exact"/>
              <w:jc w:val="center"/>
              <w:rPr>
                <w:rFonts w:ascii="Times New Roman" w:hAnsi="Times New Roman" w:eastAsia="宋体" w:cs="Times New Roman"/>
              </w:rPr>
            </w:pPr>
            <w:r>
              <w:rPr>
                <w:rFonts w:hint="eastAsia" w:ascii="Times New Roman" w:hAnsi="Times New Roman" w:eastAsia="宋体" w:cs="Times New Roman"/>
              </w:rPr>
              <w:t>两侧</w:t>
            </w:r>
          </w:p>
        </w:tc>
        <w:tc>
          <w:tcPr>
            <w:tcW w:w="209" w:type="pct"/>
            <w:vAlign w:val="center"/>
          </w:tcPr>
          <w:p w14:paraId="6B7F2BAF">
            <w:pPr>
              <w:widowControl/>
              <w:spacing w:line="300" w:lineRule="exact"/>
              <w:jc w:val="center"/>
              <w:rPr>
                <w:rFonts w:ascii="Times New Roman" w:hAnsi="Times New Roman" w:eastAsia="宋体" w:cs="Times New Roman"/>
              </w:rPr>
            </w:pPr>
            <w:r>
              <w:rPr>
                <w:rFonts w:hint="eastAsia" w:ascii="Times New Roman" w:hAnsi="Times New Roman" w:eastAsia="宋体" w:cs="Times New Roman"/>
              </w:rPr>
              <w:t>23</w:t>
            </w:r>
          </w:p>
        </w:tc>
        <w:tc>
          <w:tcPr>
            <w:tcW w:w="243" w:type="pct"/>
            <w:vAlign w:val="center"/>
          </w:tcPr>
          <w:p w14:paraId="044733AB">
            <w:pPr>
              <w:adjustRightInd w:val="0"/>
              <w:snapToGrid w:val="0"/>
              <w:spacing w:line="240" w:lineRule="exact"/>
              <w:jc w:val="center"/>
              <w:rPr>
                <w:rFonts w:ascii="Times New Roman" w:hAnsi="Times New Roman" w:eastAsia="宋体" w:cs="Times New Roman"/>
                <w:snapToGrid w:val="0"/>
                <w:kern w:val="0"/>
                <w:szCs w:val="21"/>
              </w:rPr>
            </w:pPr>
            <w:r>
              <w:rPr>
                <w:rFonts w:hint="eastAsia" w:ascii="Times New Roman" w:hAnsi="Times New Roman" w:eastAsia="宋体" w:cs="Times New Roman"/>
                <w:snapToGrid w:val="0"/>
                <w:kern w:val="0"/>
                <w:szCs w:val="21"/>
              </w:rPr>
              <w:t>-/4.3</w:t>
            </w:r>
          </w:p>
        </w:tc>
        <w:tc>
          <w:tcPr>
            <w:tcW w:w="243" w:type="pct"/>
            <w:vAlign w:val="center"/>
          </w:tcPr>
          <w:p w14:paraId="7D9397BD">
            <w:pPr>
              <w:adjustRightInd w:val="0"/>
              <w:snapToGrid w:val="0"/>
              <w:spacing w:line="240" w:lineRule="exact"/>
              <w:jc w:val="center"/>
              <w:rPr>
                <w:rFonts w:ascii="Times New Roman" w:hAnsi="Times New Roman" w:eastAsia="宋体" w:cs="Times New Roman"/>
                <w:snapToGrid w:val="0"/>
                <w:kern w:val="0"/>
                <w:szCs w:val="21"/>
              </w:rPr>
            </w:pPr>
            <w:r>
              <w:rPr>
                <w:rFonts w:hint="eastAsia" w:ascii="Times New Roman" w:hAnsi="Times New Roman" w:eastAsia="宋体" w:cs="Times New Roman"/>
                <w:snapToGrid w:val="0"/>
                <w:kern w:val="0"/>
                <w:szCs w:val="21"/>
              </w:rPr>
              <w:t>-/4.5</w:t>
            </w:r>
          </w:p>
        </w:tc>
        <w:tc>
          <w:tcPr>
            <w:tcW w:w="190" w:type="pct"/>
            <w:shd w:val="clear" w:color="auto" w:fill="auto"/>
            <w:vAlign w:val="center"/>
          </w:tcPr>
          <w:p w14:paraId="60CF32C0">
            <w:pPr>
              <w:adjustRightInd w:val="0"/>
              <w:snapToGrid w:val="0"/>
              <w:spacing w:line="240" w:lineRule="exact"/>
              <w:jc w:val="center"/>
              <w:rPr>
                <w:rFonts w:ascii="Times New Roman" w:hAnsi="Times New Roman" w:eastAsia="宋体" w:cs="Times New Roman"/>
                <w:snapToGrid w:val="0"/>
                <w:kern w:val="0"/>
                <w:szCs w:val="21"/>
              </w:rPr>
            </w:pPr>
            <w:r>
              <w:rPr>
                <w:rFonts w:hint="eastAsia" w:ascii="Times New Roman" w:hAnsi="Times New Roman" w:eastAsia="宋体" w:cs="Times New Roman"/>
                <w:snapToGrid w:val="0"/>
                <w:kern w:val="0"/>
                <w:szCs w:val="21"/>
              </w:rPr>
              <w:t>75</w:t>
            </w:r>
          </w:p>
        </w:tc>
        <w:tc>
          <w:tcPr>
            <w:tcW w:w="190" w:type="pct"/>
            <w:shd w:val="clear" w:color="auto" w:fill="auto"/>
            <w:vAlign w:val="center"/>
          </w:tcPr>
          <w:p w14:paraId="20D3F111">
            <w:pPr>
              <w:adjustRightInd w:val="0"/>
              <w:snapToGrid w:val="0"/>
              <w:spacing w:line="240" w:lineRule="exact"/>
              <w:jc w:val="center"/>
              <w:rPr>
                <w:rFonts w:ascii="Times New Roman" w:hAnsi="Times New Roman" w:cs="Times New Roman" w:eastAsiaTheme="minorEastAsia"/>
                <w:spacing w:val="-20"/>
                <w:kern w:val="0"/>
                <w:szCs w:val="21"/>
              </w:rPr>
            </w:pPr>
            <w:r>
              <w:rPr>
                <w:rFonts w:hint="eastAsia" w:ascii="Times New Roman" w:hAnsi="Times New Roman" w:cs="Times New Roman" w:eastAsiaTheme="minorEastAsia"/>
                <w:spacing w:val="-20"/>
                <w:kern w:val="0"/>
                <w:szCs w:val="21"/>
              </w:rPr>
              <w:t>20</w:t>
            </w:r>
          </w:p>
        </w:tc>
        <w:tc>
          <w:tcPr>
            <w:tcW w:w="2230" w:type="pct"/>
            <w:noWrap/>
            <w:vAlign w:val="center"/>
          </w:tcPr>
          <w:p w14:paraId="510DA65D">
            <w:pPr>
              <w:rPr>
                <w:rFonts w:ascii="Times New Roman" w:hAnsi="Times New Roman" w:eastAsia="宋体" w:cs="Times New Roman"/>
                <w:szCs w:val="21"/>
              </w:rPr>
            </w:pPr>
            <w:r>
              <w:rPr>
                <w:rFonts w:ascii="Times New Roman" w:hAnsi="Times New Roman" w:eastAsia="宋体" w:cs="Times New Roman"/>
                <w:szCs w:val="21"/>
              </w:rPr>
              <w:t>方案一：安装隔声窗，按每户1万元计，共</w:t>
            </w:r>
            <w:r>
              <w:rPr>
                <w:rFonts w:hint="eastAsia" w:ascii="Times New Roman" w:hAnsi="Times New Roman" w:eastAsia="宋体" w:cs="Times New Roman"/>
                <w:szCs w:val="21"/>
              </w:rPr>
              <w:t>95</w:t>
            </w:r>
            <w:r>
              <w:rPr>
                <w:rFonts w:ascii="Times New Roman" w:hAnsi="Times New Roman" w:eastAsia="宋体" w:cs="Times New Roman"/>
                <w:szCs w:val="21"/>
              </w:rPr>
              <w:t>户，投资</w:t>
            </w:r>
            <w:r>
              <w:rPr>
                <w:rFonts w:hint="eastAsia" w:ascii="Times New Roman" w:hAnsi="Times New Roman" w:eastAsia="宋体" w:cs="Times New Roman"/>
                <w:szCs w:val="21"/>
              </w:rPr>
              <w:t>95</w:t>
            </w:r>
            <w:r>
              <w:rPr>
                <w:rFonts w:ascii="Times New Roman" w:hAnsi="Times New Roman" w:eastAsia="宋体" w:cs="Times New Roman"/>
                <w:szCs w:val="21"/>
              </w:rPr>
              <w:t>万元，隔声量25dB。</w:t>
            </w:r>
          </w:p>
          <w:p w14:paraId="080C970B">
            <w:pPr>
              <w:adjustRightInd w:val="0"/>
              <w:snapToGrid w:val="0"/>
              <w:spacing w:line="240" w:lineRule="exact"/>
              <w:rPr>
                <w:rFonts w:ascii="Times New Roman" w:hAnsi="Times New Roman" w:eastAsia="宋体" w:cs="Times New Roman"/>
                <w:szCs w:val="21"/>
              </w:rPr>
            </w:pPr>
            <w:r>
              <w:rPr>
                <w:rFonts w:ascii="Times New Roman" w:hAnsi="Times New Roman" w:eastAsia="宋体" w:cs="Times New Roman"/>
                <w:szCs w:val="21"/>
              </w:rPr>
              <w:t>方案二：设置声屏障，拟建公路</w:t>
            </w:r>
            <w:r>
              <w:rPr>
                <w:rFonts w:hint="eastAsia" w:ascii="Times New Roman" w:hAnsi="Times New Roman" w:eastAsia="宋体" w:cs="Times New Roman"/>
                <w:szCs w:val="21"/>
              </w:rPr>
              <w:t>两侧</w:t>
            </w:r>
            <w:r>
              <w:rPr>
                <w:rFonts w:ascii="Times New Roman" w:hAnsi="Times New Roman" w:eastAsia="宋体" w:cs="Times New Roman"/>
              </w:rPr>
              <w:t>K</w:t>
            </w:r>
            <w:r>
              <w:rPr>
                <w:rFonts w:hint="eastAsia" w:ascii="Times New Roman" w:hAnsi="Times New Roman" w:eastAsia="宋体" w:cs="Times New Roman"/>
              </w:rPr>
              <w:t>25</w:t>
            </w:r>
            <w:r>
              <w:rPr>
                <w:rFonts w:ascii="Times New Roman" w:hAnsi="Times New Roman" w:eastAsia="宋体" w:cs="Times New Roman"/>
              </w:rPr>
              <w:t>+</w:t>
            </w:r>
            <w:r>
              <w:rPr>
                <w:rFonts w:hint="eastAsia" w:ascii="Times New Roman" w:hAnsi="Times New Roman" w:eastAsia="宋体" w:cs="Times New Roman"/>
              </w:rPr>
              <w:t>40</w:t>
            </w:r>
            <w:r>
              <w:rPr>
                <w:rFonts w:ascii="Times New Roman" w:hAnsi="Times New Roman" w:eastAsia="宋体" w:cs="Times New Roman"/>
              </w:rPr>
              <w:t>0～K</w:t>
            </w:r>
            <w:r>
              <w:rPr>
                <w:rFonts w:hint="eastAsia" w:ascii="Times New Roman" w:hAnsi="Times New Roman" w:eastAsia="宋体" w:cs="Times New Roman"/>
              </w:rPr>
              <w:t>26</w:t>
            </w:r>
            <w:r>
              <w:rPr>
                <w:rFonts w:ascii="Times New Roman" w:hAnsi="Times New Roman" w:eastAsia="宋体" w:cs="Times New Roman"/>
              </w:rPr>
              <w:t>+</w:t>
            </w:r>
            <w:r>
              <w:rPr>
                <w:rFonts w:hint="eastAsia" w:ascii="Times New Roman" w:hAnsi="Times New Roman" w:eastAsia="宋体" w:cs="Times New Roman"/>
              </w:rPr>
              <w:t>85</w:t>
            </w:r>
            <w:r>
              <w:rPr>
                <w:rFonts w:ascii="Times New Roman" w:hAnsi="Times New Roman" w:eastAsia="宋体" w:cs="Times New Roman"/>
              </w:rPr>
              <w:t>0</w:t>
            </w:r>
            <w:r>
              <w:rPr>
                <w:rFonts w:ascii="Times New Roman" w:hAnsi="Times New Roman" w:cs="Times New Roman" w:eastAsiaTheme="minorEastAsia"/>
                <w:szCs w:val="21"/>
              </w:rPr>
              <w:t>（根据《</w:t>
            </w:r>
            <w:r>
              <w:rPr>
                <w:rFonts w:hint="eastAsia" w:ascii="Times New Roman" w:hAnsi="Times New Roman" w:cs="Times New Roman" w:eastAsiaTheme="minorEastAsia"/>
                <w:szCs w:val="21"/>
              </w:rPr>
              <w:t>公路路线设计规范（JTG D20—2017）</w:t>
            </w:r>
            <w:r>
              <w:rPr>
                <w:rFonts w:ascii="Times New Roman" w:hAnsi="Times New Roman" w:cs="Times New Roman" w:eastAsiaTheme="minorEastAsia"/>
                <w:szCs w:val="21"/>
              </w:rPr>
              <w:t>》，考虑行车安全视距，每处平交口两侧共需断开</w:t>
            </w:r>
            <w:r>
              <w:rPr>
                <w:rFonts w:hint="eastAsia" w:ascii="Times New Roman" w:hAnsi="Times New Roman" w:cs="Times New Roman" w:eastAsiaTheme="minorEastAsia"/>
                <w:szCs w:val="21"/>
              </w:rPr>
              <w:t>220m，该路段两侧共6处平交口</w:t>
            </w:r>
            <w:r>
              <w:rPr>
                <w:rFonts w:ascii="Times New Roman" w:hAnsi="Times New Roman" w:cs="Times New Roman" w:eastAsiaTheme="minorEastAsia"/>
                <w:szCs w:val="21"/>
              </w:rPr>
              <w:t>）共</w:t>
            </w:r>
            <w:r>
              <w:rPr>
                <w:rFonts w:ascii="Times New Roman" w:hAnsi="Times New Roman" w:eastAsia="宋体" w:cs="Times New Roman"/>
                <w:szCs w:val="21"/>
              </w:rPr>
              <w:t>设置</w:t>
            </w:r>
            <w:r>
              <w:rPr>
                <w:rFonts w:hint="eastAsia" w:ascii="Times New Roman" w:hAnsi="Times New Roman" w:eastAsia="宋体" w:cs="Times New Roman"/>
                <w:szCs w:val="21"/>
              </w:rPr>
              <w:t>1380</w:t>
            </w:r>
            <w:r>
              <w:rPr>
                <w:rFonts w:ascii="Times New Roman" w:hAnsi="Times New Roman" w:eastAsia="宋体" w:cs="Times New Roman"/>
                <w:szCs w:val="21"/>
              </w:rPr>
              <w:t>m（长）×</w:t>
            </w:r>
            <w:r>
              <w:rPr>
                <w:rFonts w:hint="eastAsia" w:ascii="Times New Roman" w:hAnsi="Times New Roman" w:eastAsia="宋体" w:cs="Times New Roman"/>
                <w:szCs w:val="21"/>
              </w:rPr>
              <w:t>3.0</w:t>
            </w:r>
            <w:r>
              <w:rPr>
                <w:rFonts w:ascii="Times New Roman" w:hAnsi="Times New Roman" w:eastAsia="宋体" w:cs="Times New Roman"/>
                <w:szCs w:val="21"/>
              </w:rPr>
              <w:t>m（高）声屏障，</w:t>
            </w:r>
            <w:r>
              <w:rPr>
                <w:rFonts w:hint="eastAsia" w:ascii="Times New Roman" w:hAnsi="Times New Roman" w:eastAsia="宋体" w:cs="Times New Roman"/>
                <w:szCs w:val="21"/>
              </w:rPr>
              <w:t>2</w:t>
            </w:r>
            <w:r>
              <w:rPr>
                <w:rFonts w:ascii="Times New Roman" w:hAnsi="Times New Roman" w:eastAsia="宋体" w:cs="Times New Roman"/>
                <w:szCs w:val="21"/>
              </w:rPr>
              <w:t>000元/m，共投资</w:t>
            </w:r>
            <w:r>
              <w:rPr>
                <w:rFonts w:hint="eastAsia" w:ascii="Times New Roman" w:hAnsi="Times New Roman" w:eastAsia="宋体" w:cs="Times New Roman"/>
                <w:szCs w:val="21"/>
              </w:rPr>
              <w:t>276</w:t>
            </w:r>
            <w:r>
              <w:rPr>
                <w:rFonts w:ascii="Times New Roman" w:hAnsi="Times New Roman" w:eastAsia="宋体" w:cs="Times New Roman"/>
                <w:szCs w:val="21"/>
              </w:rPr>
              <w:t>万元</w:t>
            </w:r>
            <w:r>
              <w:rPr>
                <w:rFonts w:ascii="Times New Roman" w:hAnsi="Times New Roman" w:eastAsia="宋体" w:cs="Times New Roman"/>
              </w:rPr>
              <w:t>，房屋距路较近，分布较集中，声屏障降噪效果好</w:t>
            </w:r>
            <w:r>
              <w:rPr>
                <w:rFonts w:ascii="Times New Roman" w:hAnsi="Times New Roman" w:eastAsia="宋体" w:cs="Times New Roman"/>
                <w:szCs w:val="21"/>
              </w:rPr>
              <w:t>。</w:t>
            </w:r>
            <w:r>
              <w:rPr>
                <w:rFonts w:ascii="Times New Roman" w:hAnsi="Times New Roman" w:eastAsia="宋体" w:cs="Times New Roman"/>
              </w:rPr>
              <w:t>路两侧平交口处无法设置声屏障，因此对平交口超标的</w:t>
            </w:r>
            <w:r>
              <w:rPr>
                <w:rFonts w:hint="eastAsia" w:ascii="Times New Roman" w:hAnsi="Times New Roman" w:eastAsia="宋体" w:cs="Times New Roman"/>
              </w:rPr>
              <w:t>30</w:t>
            </w:r>
            <w:r>
              <w:rPr>
                <w:rFonts w:ascii="Times New Roman" w:hAnsi="Times New Roman" w:eastAsia="宋体" w:cs="Times New Roman"/>
              </w:rPr>
              <w:t>户安装隔声窗，隔声量20～25dB，每户投资1万元，共计</w:t>
            </w:r>
            <w:r>
              <w:rPr>
                <w:rFonts w:hint="eastAsia" w:ascii="Times New Roman" w:hAnsi="Times New Roman" w:eastAsia="宋体" w:cs="Times New Roman"/>
              </w:rPr>
              <w:t>30</w:t>
            </w:r>
            <w:r>
              <w:rPr>
                <w:rFonts w:ascii="Times New Roman" w:hAnsi="Times New Roman" w:eastAsia="宋体" w:cs="Times New Roman"/>
              </w:rPr>
              <w:t>万元。</w:t>
            </w:r>
          </w:p>
          <w:p w14:paraId="37E86FBC">
            <w:pPr>
              <w:widowControl/>
              <w:adjustRightInd w:val="0"/>
              <w:snapToGrid w:val="0"/>
              <w:spacing w:line="240" w:lineRule="exact"/>
              <w:rPr>
                <w:rFonts w:ascii="Times New Roman" w:hAnsi="Times New Roman" w:eastAsia="宋体" w:cs="Times New Roman"/>
                <w:szCs w:val="21"/>
              </w:rPr>
            </w:pPr>
            <w:r>
              <w:rPr>
                <w:rFonts w:ascii="Times New Roman" w:hAnsi="Times New Roman" w:eastAsia="宋体" w:cs="Times New Roman"/>
                <w:szCs w:val="21"/>
              </w:rPr>
              <w:t>推荐：综合考虑推荐方案</w:t>
            </w:r>
            <w:r>
              <w:rPr>
                <w:rFonts w:hint="eastAsia" w:ascii="Times New Roman" w:hAnsi="Times New Roman" w:eastAsia="宋体" w:cs="Times New Roman"/>
                <w:szCs w:val="21"/>
              </w:rPr>
              <w:t>二</w:t>
            </w:r>
            <w:r>
              <w:rPr>
                <w:rFonts w:ascii="Times New Roman" w:hAnsi="Times New Roman" w:eastAsia="宋体" w:cs="Times New Roman"/>
                <w:szCs w:val="21"/>
              </w:rPr>
              <w:t>。</w:t>
            </w:r>
          </w:p>
        </w:tc>
        <w:tc>
          <w:tcPr>
            <w:tcW w:w="242" w:type="pct"/>
            <w:vAlign w:val="center"/>
          </w:tcPr>
          <w:p w14:paraId="3A8F4209">
            <w:pPr>
              <w:widowControl/>
              <w:jc w:val="center"/>
              <w:rPr>
                <w:rFonts w:ascii="Times New Roman" w:hAnsi="Times New Roman" w:eastAsia="宋体" w:cs="Times New Roman"/>
                <w:kern w:val="0"/>
              </w:rPr>
            </w:pPr>
            <w:r>
              <w:rPr>
                <w:rFonts w:ascii="Times New Roman" w:hAnsi="Times New Roman" w:eastAsia="宋体" w:cs="Times New Roman"/>
                <w:kern w:val="0"/>
              </w:rPr>
              <w:t>声屏障+隔声窗</w:t>
            </w:r>
          </w:p>
        </w:tc>
        <w:tc>
          <w:tcPr>
            <w:tcW w:w="260" w:type="pct"/>
            <w:vAlign w:val="center"/>
          </w:tcPr>
          <w:p w14:paraId="2D7E0A9D">
            <w:pPr>
              <w:widowControl/>
              <w:jc w:val="center"/>
              <w:rPr>
                <w:rFonts w:ascii="Times New Roman" w:hAnsi="Times New Roman" w:eastAsia="宋体" w:cs="Times New Roman"/>
                <w:kern w:val="0"/>
              </w:rPr>
            </w:pPr>
            <w:r>
              <w:rPr>
                <w:rFonts w:ascii="Times New Roman" w:hAnsi="Times New Roman" w:eastAsia="宋体" w:cs="Times New Roman"/>
                <w:kern w:val="0"/>
              </w:rPr>
              <w:t>室外达标+平交路口房屋室内达标</w:t>
            </w:r>
          </w:p>
        </w:tc>
        <w:tc>
          <w:tcPr>
            <w:tcW w:w="251" w:type="pct"/>
            <w:vAlign w:val="center"/>
          </w:tcPr>
          <w:p w14:paraId="0FF2D575">
            <w:pPr>
              <w:widowControl/>
              <w:adjustRightInd w:val="0"/>
              <w:snapToGrid w:val="0"/>
              <w:spacing w:line="240" w:lineRule="exact"/>
              <w:jc w:val="center"/>
              <w:rPr>
                <w:rFonts w:ascii="Times New Roman" w:hAnsi="宋体" w:eastAsia="宋体" w:cs="Times New Roman"/>
                <w:szCs w:val="21"/>
              </w:rPr>
            </w:pPr>
            <w:r>
              <w:rPr>
                <w:rFonts w:hint="eastAsia" w:ascii="Times New Roman" w:hAnsi="宋体" w:eastAsia="宋体" w:cs="Times New Roman"/>
                <w:szCs w:val="21"/>
              </w:rPr>
              <w:t>306</w:t>
            </w:r>
          </w:p>
        </w:tc>
      </w:tr>
      <w:tr w14:paraId="3F157A33">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trHeight w:val="100" w:hRule="atLeast"/>
          <w:tblHeader/>
          <w:jc w:val="center"/>
        </w:trPr>
        <w:tc>
          <w:tcPr>
            <w:tcW w:w="180" w:type="pct"/>
            <w:vMerge w:val="restart"/>
            <w:noWrap/>
            <w:vAlign w:val="center"/>
          </w:tcPr>
          <w:p w14:paraId="28763ACF">
            <w:pPr>
              <w:jc w:val="center"/>
              <w:rPr>
                <w:rFonts w:ascii="Times New Roman" w:hAnsi="Times New Roman" w:eastAsia="宋体" w:cs="Times New Roman"/>
              </w:rPr>
            </w:pPr>
            <w:r>
              <w:rPr>
                <w:rFonts w:hint="eastAsia" w:ascii="Times New Roman" w:hAnsi="Times New Roman" w:eastAsia="宋体" w:cs="Times New Roman"/>
              </w:rPr>
              <w:t>11</w:t>
            </w:r>
          </w:p>
        </w:tc>
        <w:tc>
          <w:tcPr>
            <w:tcW w:w="278" w:type="pct"/>
            <w:vAlign w:val="center"/>
          </w:tcPr>
          <w:p w14:paraId="61EA5F1C">
            <w:pPr>
              <w:widowControl/>
              <w:spacing w:line="300" w:lineRule="exact"/>
              <w:jc w:val="center"/>
              <w:rPr>
                <w:rFonts w:ascii="Times New Roman" w:hAnsi="Times New Roman" w:eastAsia="宋体" w:cs="Times New Roman"/>
              </w:rPr>
            </w:pPr>
            <w:r>
              <w:rPr>
                <w:rFonts w:ascii="Times New Roman" w:hAnsi="Times New Roman" w:eastAsia="宋体" w:cs="Times New Roman"/>
              </w:rPr>
              <w:t>K</w:t>
            </w:r>
            <w:r>
              <w:rPr>
                <w:rFonts w:hint="eastAsia" w:ascii="Times New Roman" w:hAnsi="Times New Roman" w:eastAsia="宋体" w:cs="Times New Roman"/>
              </w:rPr>
              <w:t>27</w:t>
            </w:r>
            <w:r>
              <w:rPr>
                <w:rFonts w:ascii="Times New Roman" w:hAnsi="Times New Roman" w:eastAsia="宋体" w:cs="Times New Roman"/>
              </w:rPr>
              <w:t>+</w:t>
            </w:r>
            <w:r>
              <w:rPr>
                <w:rFonts w:hint="eastAsia" w:ascii="Times New Roman" w:hAnsi="Times New Roman" w:eastAsia="宋体" w:cs="Times New Roman"/>
              </w:rPr>
              <w:t>60</w:t>
            </w:r>
            <w:r>
              <w:rPr>
                <w:rFonts w:ascii="Times New Roman" w:hAnsi="Times New Roman" w:eastAsia="宋体" w:cs="Times New Roman"/>
              </w:rPr>
              <w:t>0～K</w:t>
            </w:r>
            <w:r>
              <w:rPr>
                <w:rFonts w:hint="eastAsia" w:ascii="Times New Roman" w:hAnsi="Times New Roman" w:eastAsia="宋体" w:cs="Times New Roman"/>
              </w:rPr>
              <w:t>27</w:t>
            </w:r>
            <w:r>
              <w:rPr>
                <w:rFonts w:ascii="Times New Roman" w:hAnsi="Times New Roman" w:eastAsia="宋体" w:cs="Times New Roman"/>
              </w:rPr>
              <w:t>+</w:t>
            </w:r>
            <w:r>
              <w:rPr>
                <w:rFonts w:hint="eastAsia" w:ascii="Times New Roman" w:hAnsi="Times New Roman" w:eastAsia="宋体" w:cs="Times New Roman"/>
              </w:rPr>
              <w:t>80</w:t>
            </w:r>
            <w:r>
              <w:rPr>
                <w:rFonts w:ascii="Times New Roman" w:hAnsi="Times New Roman" w:eastAsia="宋体" w:cs="Times New Roman"/>
              </w:rPr>
              <w:t>0</w:t>
            </w:r>
          </w:p>
        </w:tc>
        <w:tc>
          <w:tcPr>
            <w:tcW w:w="346" w:type="pct"/>
            <w:vMerge w:val="restart"/>
            <w:vAlign w:val="center"/>
          </w:tcPr>
          <w:p w14:paraId="66C0D713">
            <w:pPr>
              <w:widowControl/>
              <w:spacing w:line="300" w:lineRule="exact"/>
              <w:jc w:val="center"/>
              <w:rPr>
                <w:rFonts w:ascii="Times New Roman" w:hAnsi="Times New Roman" w:eastAsia="宋体" w:cs="Times New Roman"/>
              </w:rPr>
            </w:pPr>
            <w:r>
              <w:rPr>
                <w:rFonts w:hint="eastAsia" w:ascii="Times New Roman" w:hAnsi="Times New Roman" w:eastAsia="宋体" w:cs="Times New Roman"/>
              </w:rPr>
              <w:t>夏合亚迪村</w:t>
            </w:r>
          </w:p>
        </w:tc>
        <w:tc>
          <w:tcPr>
            <w:tcW w:w="138" w:type="pct"/>
            <w:vMerge w:val="restart"/>
            <w:vAlign w:val="center"/>
          </w:tcPr>
          <w:p w14:paraId="38E7478B">
            <w:pPr>
              <w:widowControl/>
              <w:spacing w:line="300" w:lineRule="exact"/>
              <w:jc w:val="center"/>
              <w:rPr>
                <w:rFonts w:ascii="Times New Roman" w:hAnsi="Times New Roman" w:eastAsia="宋体" w:cs="Times New Roman"/>
              </w:rPr>
            </w:pPr>
            <w:r>
              <w:rPr>
                <w:rFonts w:ascii="Times New Roman" w:hAnsi="Times New Roman" w:eastAsia="宋体" w:cs="Times New Roman"/>
              </w:rPr>
              <w:t>路右</w:t>
            </w:r>
          </w:p>
        </w:tc>
        <w:tc>
          <w:tcPr>
            <w:tcW w:w="209" w:type="pct"/>
            <w:vAlign w:val="center"/>
          </w:tcPr>
          <w:p w14:paraId="5699B2A1">
            <w:pPr>
              <w:widowControl/>
              <w:spacing w:line="300" w:lineRule="exact"/>
              <w:jc w:val="center"/>
              <w:rPr>
                <w:rFonts w:ascii="Times New Roman" w:hAnsi="Times New Roman" w:eastAsia="宋体" w:cs="Times New Roman"/>
              </w:rPr>
            </w:pPr>
            <w:r>
              <w:rPr>
                <w:rFonts w:hint="eastAsia" w:ascii="Times New Roman" w:hAnsi="Times New Roman" w:eastAsia="宋体" w:cs="Times New Roman"/>
              </w:rPr>
              <w:t>43</w:t>
            </w:r>
          </w:p>
        </w:tc>
        <w:tc>
          <w:tcPr>
            <w:tcW w:w="243" w:type="pct"/>
            <w:vAlign w:val="center"/>
          </w:tcPr>
          <w:p w14:paraId="1775CB93">
            <w:pPr>
              <w:adjustRightInd w:val="0"/>
              <w:snapToGrid w:val="0"/>
              <w:spacing w:line="240" w:lineRule="exact"/>
              <w:jc w:val="center"/>
              <w:rPr>
                <w:rFonts w:ascii="Times New Roman" w:hAnsi="Times New Roman" w:eastAsia="宋体" w:cs="Times New Roman"/>
                <w:snapToGrid w:val="0"/>
                <w:kern w:val="0"/>
                <w:szCs w:val="21"/>
              </w:rPr>
            </w:pPr>
            <w:r>
              <w:rPr>
                <w:rFonts w:hint="eastAsia" w:ascii="Times New Roman" w:hAnsi="Times New Roman" w:eastAsia="宋体" w:cs="Times New Roman"/>
                <w:snapToGrid w:val="0"/>
                <w:kern w:val="0"/>
                <w:szCs w:val="21"/>
              </w:rPr>
              <w:t>-/1.2</w:t>
            </w:r>
          </w:p>
        </w:tc>
        <w:tc>
          <w:tcPr>
            <w:tcW w:w="243" w:type="pct"/>
            <w:vAlign w:val="center"/>
          </w:tcPr>
          <w:p w14:paraId="49696C70">
            <w:pPr>
              <w:adjustRightInd w:val="0"/>
              <w:snapToGrid w:val="0"/>
              <w:spacing w:line="240" w:lineRule="exact"/>
              <w:jc w:val="center"/>
              <w:rPr>
                <w:rFonts w:ascii="Times New Roman" w:hAnsi="Times New Roman" w:eastAsia="宋体" w:cs="Times New Roman"/>
                <w:snapToGrid w:val="0"/>
                <w:kern w:val="0"/>
                <w:szCs w:val="21"/>
              </w:rPr>
            </w:pPr>
            <w:r>
              <w:rPr>
                <w:rFonts w:hint="eastAsia" w:ascii="Times New Roman" w:hAnsi="Times New Roman" w:eastAsia="宋体" w:cs="Times New Roman"/>
                <w:snapToGrid w:val="0"/>
                <w:kern w:val="0"/>
                <w:szCs w:val="21"/>
              </w:rPr>
              <w:t>-/4.4</w:t>
            </w:r>
          </w:p>
        </w:tc>
        <w:tc>
          <w:tcPr>
            <w:tcW w:w="190" w:type="pct"/>
            <w:shd w:val="clear" w:color="auto" w:fill="auto"/>
            <w:vAlign w:val="center"/>
          </w:tcPr>
          <w:p w14:paraId="5D86A7F7">
            <w:pPr>
              <w:widowControl/>
              <w:adjustRightInd w:val="0"/>
              <w:snapToGrid w:val="0"/>
              <w:spacing w:line="240" w:lineRule="exact"/>
              <w:jc w:val="center"/>
              <w:rPr>
                <w:rFonts w:ascii="Times New Roman" w:hAnsi="Times New Roman" w:eastAsia="宋体" w:cs="Times New Roman"/>
              </w:rPr>
            </w:pPr>
            <w:r>
              <w:rPr>
                <w:rFonts w:hint="eastAsia" w:ascii="Times New Roman" w:hAnsi="Times New Roman" w:eastAsia="宋体" w:cs="Times New Roman"/>
              </w:rPr>
              <w:t>5</w:t>
            </w:r>
          </w:p>
        </w:tc>
        <w:tc>
          <w:tcPr>
            <w:tcW w:w="190" w:type="pct"/>
            <w:shd w:val="clear" w:color="auto" w:fill="auto"/>
            <w:vAlign w:val="center"/>
          </w:tcPr>
          <w:p w14:paraId="5A14EC8E">
            <w:pPr>
              <w:widowControl/>
              <w:adjustRightInd w:val="0"/>
              <w:snapToGrid w:val="0"/>
              <w:spacing w:line="240" w:lineRule="exact"/>
              <w:jc w:val="center"/>
              <w:rPr>
                <w:rFonts w:ascii="Times New Roman" w:hAnsi="Times New Roman" w:eastAsia="宋体" w:cs="Times New Roman"/>
              </w:rPr>
            </w:pPr>
            <w:r>
              <w:rPr>
                <w:rFonts w:hint="eastAsia" w:ascii="Times New Roman" w:hAnsi="Times New Roman" w:eastAsia="宋体" w:cs="Times New Roman"/>
              </w:rPr>
              <w:t>5</w:t>
            </w:r>
          </w:p>
        </w:tc>
        <w:tc>
          <w:tcPr>
            <w:tcW w:w="2230" w:type="pct"/>
            <w:vMerge w:val="restart"/>
            <w:noWrap/>
            <w:vAlign w:val="center"/>
          </w:tcPr>
          <w:p w14:paraId="1B9286BF">
            <w:pPr>
              <w:rPr>
                <w:rFonts w:ascii="Times New Roman" w:hAnsi="Times New Roman" w:eastAsia="宋体" w:cs="Times New Roman"/>
                <w:szCs w:val="21"/>
              </w:rPr>
            </w:pPr>
            <w:r>
              <w:rPr>
                <w:rFonts w:ascii="Times New Roman" w:hAnsi="Times New Roman" w:eastAsia="宋体" w:cs="Times New Roman"/>
                <w:szCs w:val="21"/>
              </w:rPr>
              <w:t>方案一：安装隔声窗，按每户1万元计，共</w:t>
            </w:r>
            <w:r>
              <w:rPr>
                <w:rFonts w:hint="eastAsia" w:ascii="Times New Roman" w:hAnsi="Times New Roman" w:eastAsia="宋体" w:cs="Times New Roman"/>
                <w:szCs w:val="21"/>
              </w:rPr>
              <w:t>110</w:t>
            </w:r>
            <w:r>
              <w:rPr>
                <w:rFonts w:ascii="Times New Roman" w:hAnsi="Times New Roman" w:eastAsia="宋体" w:cs="Times New Roman"/>
                <w:szCs w:val="21"/>
              </w:rPr>
              <w:t>户，投资</w:t>
            </w:r>
            <w:r>
              <w:rPr>
                <w:rFonts w:hint="eastAsia" w:ascii="Times New Roman" w:hAnsi="Times New Roman" w:eastAsia="宋体" w:cs="Times New Roman"/>
                <w:szCs w:val="21"/>
              </w:rPr>
              <w:t>110</w:t>
            </w:r>
            <w:r>
              <w:rPr>
                <w:rFonts w:ascii="Times New Roman" w:hAnsi="Times New Roman" w:eastAsia="宋体" w:cs="Times New Roman"/>
                <w:szCs w:val="21"/>
              </w:rPr>
              <w:t>万元，隔声量25dB。</w:t>
            </w:r>
          </w:p>
          <w:p w14:paraId="2F2C8DA2">
            <w:pPr>
              <w:adjustRightInd w:val="0"/>
              <w:snapToGrid w:val="0"/>
              <w:spacing w:line="240" w:lineRule="exact"/>
              <w:rPr>
                <w:rFonts w:ascii="Times New Roman" w:hAnsi="Times New Roman" w:eastAsia="宋体" w:cs="Times New Roman"/>
                <w:szCs w:val="21"/>
              </w:rPr>
            </w:pPr>
            <w:r>
              <w:rPr>
                <w:rFonts w:ascii="Times New Roman" w:hAnsi="Times New Roman" w:eastAsia="宋体" w:cs="Times New Roman"/>
                <w:szCs w:val="21"/>
              </w:rPr>
              <w:t>方案二：设置声屏障，拟建公路</w:t>
            </w:r>
            <w:r>
              <w:rPr>
                <w:rFonts w:hint="eastAsia" w:ascii="Times New Roman" w:hAnsi="Times New Roman" w:eastAsia="宋体" w:cs="Times New Roman"/>
                <w:szCs w:val="21"/>
              </w:rPr>
              <w:t>右</w:t>
            </w:r>
            <w:r>
              <w:rPr>
                <w:rFonts w:ascii="Times New Roman" w:hAnsi="Times New Roman" w:eastAsia="宋体" w:cs="Times New Roman"/>
                <w:szCs w:val="21"/>
              </w:rPr>
              <w:t>侧</w:t>
            </w:r>
            <w:r>
              <w:rPr>
                <w:rFonts w:ascii="Times New Roman" w:hAnsi="Times New Roman" w:eastAsia="宋体" w:cs="Times New Roman"/>
              </w:rPr>
              <w:t>K</w:t>
            </w:r>
            <w:r>
              <w:rPr>
                <w:rFonts w:hint="eastAsia" w:ascii="Times New Roman" w:hAnsi="Times New Roman" w:eastAsia="宋体" w:cs="Times New Roman"/>
              </w:rPr>
              <w:t>27</w:t>
            </w:r>
            <w:r>
              <w:rPr>
                <w:rFonts w:ascii="Times New Roman" w:hAnsi="Times New Roman" w:eastAsia="宋体" w:cs="Times New Roman"/>
              </w:rPr>
              <w:t>+</w:t>
            </w:r>
            <w:r>
              <w:rPr>
                <w:rFonts w:hint="eastAsia" w:ascii="Times New Roman" w:hAnsi="Times New Roman" w:eastAsia="宋体" w:cs="Times New Roman"/>
              </w:rPr>
              <w:t>550</w:t>
            </w:r>
            <w:r>
              <w:rPr>
                <w:rFonts w:ascii="Times New Roman" w:hAnsi="Times New Roman" w:eastAsia="宋体" w:cs="Times New Roman"/>
              </w:rPr>
              <w:t>～K</w:t>
            </w:r>
            <w:r>
              <w:rPr>
                <w:rFonts w:hint="eastAsia" w:ascii="Times New Roman" w:hAnsi="Times New Roman" w:eastAsia="宋体" w:cs="Times New Roman"/>
              </w:rPr>
              <w:t>27</w:t>
            </w:r>
            <w:r>
              <w:rPr>
                <w:rFonts w:ascii="Times New Roman" w:hAnsi="Times New Roman" w:eastAsia="宋体" w:cs="Times New Roman"/>
              </w:rPr>
              <w:t>+</w:t>
            </w:r>
            <w:r>
              <w:rPr>
                <w:rFonts w:hint="eastAsia" w:ascii="Times New Roman" w:hAnsi="Times New Roman" w:eastAsia="宋体" w:cs="Times New Roman"/>
              </w:rPr>
              <w:t>85</w:t>
            </w:r>
            <w:r>
              <w:rPr>
                <w:rFonts w:ascii="Times New Roman" w:hAnsi="Times New Roman" w:eastAsia="宋体" w:cs="Times New Roman"/>
              </w:rPr>
              <w:t>0和K</w:t>
            </w:r>
            <w:r>
              <w:rPr>
                <w:rFonts w:hint="eastAsia" w:ascii="Times New Roman" w:hAnsi="Times New Roman" w:eastAsia="宋体" w:cs="Times New Roman"/>
              </w:rPr>
              <w:t>28</w:t>
            </w:r>
            <w:r>
              <w:rPr>
                <w:rFonts w:ascii="Times New Roman" w:hAnsi="Times New Roman" w:eastAsia="宋体" w:cs="Times New Roman"/>
              </w:rPr>
              <w:t>+</w:t>
            </w:r>
            <w:r>
              <w:rPr>
                <w:rFonts w:hint="eastAsia" w:ascii="Times New Roman" w:hAnsi="Times New Roman" w:eastAsia="宋体" w:cs="Times New Roman"/>
              </w:rPr>
              <w:t>05</w:t>
            </w:r>
            <w:r>
              <w:rPr>
                <w:rFonts w:ascii="Times New Roman" w:hAnsi="Times New Roman" w:eastAsia="宋体" w:cs="Times New Roman"/>
              </w:rPr>
              <w:t>0～K</w:t>
            </w:r>
            <w:r>
              <w:rPr>
                <w:rFonts w:hint="eastAsia" w:ascii="Times New Roman" w:hAnsi="Times New Roman" w:eastAsia="宋体" w:cs="Times New Roman"/>
              </w:rPr>
              <w:t>28</w:t>
            </w:r>
            <w:r>
              <w:rPr>
                <w:rFonts w:ascii="Times New Roman" w:hAnsi="Times New Roman" w:eastAsia="宋体" w:cs="Times New Roman"/>
              </w:rPr>
              <w:t>+</w:t>
            </w:r>
            <w:r>
              <w:rPr>
                <w:rFonts w:hint="eastAsia" w:ascii="Times New Roman" w:hAnsi="Times New Roman" w:eastAsia="宋体" w:cs="Times New Roman"/>
              </w:rPr>
              <w:t>85</w:t>
            </w:r>
            <w:r>
              <w:rPr>
                <w:rFonts w:ascii="Times New Roman" w:hAnsi="Times New Roman" w:eastAsia="宋体" w:cs="Times New Roman"/>
              </w:rPr>
              <w:t>0</w:t>
            </w:r>
            <w:r>
              <w:rPr>
                <w:rFonts w:ascii="Times New Roman" w:hAnsi="Times New Roman" w:cs="Times New Roman" w:eastAsiaTheme="minorEastAsia"/>
                <w:szCs w:val="21"/>
              </w:rPr>
              <w:t>（根据《</w:t>
            </w:r>
            <w:r>
              <w:rPr>
                <w:rFonts w:hint="eastAsia" w:ascii="Times New Roman" w:hAnsi="Times New Roman" w:cs="Times New Roman" w:eastAsiaTheme="minorEastAsia"/>
                <w:szCs w:val="21"/>
              </w:rPr>
              <w:t>公路路线设计规范（JTG D20—2017）</w:t>
            </w:r>
            <w:r>
              <w:rPr>
                <w:rFonts w:ascii="Times New Roman" w:hAnsi="Times New Roman" w:cs="Times New Roman" w:eastAsiaTheme="minorEastAsia"/>
                <w:szCs w:val="21"/>
              </w:rPr>
              <w:t>》，考虑行车安全视距，每处平交口两侧共需断开</w:t>
            </w:r>
            <w:r>
              <w:rPr>
                <w:rFonts w:hint="eastAsia" w:ascii="Times New Roman" w:hAnsi="Times New Roman" w:cs="Times New Roman" w:eastAsiaTheme="minorEastAsia"/>
                <w:szCs w:val="21"/>
              </w:rPr>
              <w:t>220m，该路段共3处平交口</w:t>
            </w:r>
            <w:r>
              <w:rPr>
                <w:rFonts w:ascii="Times New Roman" w:hAnsi="Times New Roman" w:cs="Times New Roman" w:eastAsiaTheme="minorEastAsia"/>
                <w:szCs w:val="21"/>
              </w:rPr>
              <w:t>）</w:t>
            </w:r>
            <w:r>
              <w:rPr>
                <w:rFonts w:ascii="Times New Roman" w:hAnsi="Times New Roman" w:eastAsia="宋体" w:cs="Times New Roman"/>
                <w:szCs w:val="21"/>
              </w:rPr>
              <w:t>设置</w:t>
            </w:r>
            <w:r>
              <w:rPr>
                <w:rFonts w:hint="eastAsia" w:ascii="Times New Roman" w:hAnsi="Times New Roman" w:eastAsia="宋体" w:cs="Times New Roman"/>
                <w:szCs w:val="21"/>
              </w:rPr>
              <w:t>440</w:t>
            </w:r>
            <w:r>
              <w:rPr>
                <w:rFonts w:ascii="Times New Roman" w:hAnsi="Times New Roman" w:eastAsia="宋体" w:cs="Times New Roman"/>
                <w:szCs w:val="21"/>
              </w:rPr>
              <w:t>m（长）×</w:t>
            </w:r>
            <w:r>
              <w:rPr>
                <w:rFonts w:hint="eastAsia" w:ascii="Times New Roman" w:hAnsi="Times New Roman" w:eastAsia="宋体" w:cs="Times New Roman"/>
                <w:szCs w:val="21"/>
              </w:rPr>
              <w:t>3.0</w:t>
            </w:r>
            <w:r>
              <w:rPr>
                <w:rFonts w:ascii="Times New Roman" w:hAnsi="Times New Roman" w:eastAsia="宋体" w:cs="Times New Roman"/>
                <w:szCs w:val="21"/>
              </w:rPr>
              <w:t>m（高）声屏障，</w:t>
            </w:r>
            <w:r>
              <w:rPr>
                <w:rFonts w:hint="eastAsia" w:ascii="Times New Roman" w:hAnsi="Times New Roman" w:eastAsia="宋体" w:cs="Times New Roman"/>
                <w:szCs w:val="21"/>
              </w:rPr>
              <w:t>左</w:t>
            </w:r>
            <w:r>
              <w:rPr>
                <w:rFonts w:ascii="Times New Roman" w:hAnsi="Times New Roman" w:eastAsia="宋体" w:cs="Times New Roman"/>
                <w:szCs w:val="21"/>
              </w:rPr>
              <w:t>侧</w:t>
            </w:r>
            <w:r>
              <w:rPr>
                <w:rFonts w:ascii="Times New Roman" w:hAnsi="Times New Roman" w:eastAsia="宋体" w:cs="Times New Roman"/>
              </w:rPr>
              <w:t>K</w:t>
            </w:r>
            <w:r>
              <w:rPr>
                <w:rFonts w:hint="eastAsia" w:ascii="Times New Roman" w:hAnsi="Times New Roman" w:eastAsia="宋体" w:cs="Times New Roman"/>
              </w:rPr>
              <w:t>28</w:t>
            </w:r>
            <w:r>
              <w:rPr>
                <w:rFonts w:ascii="Times New Roman" w:hAnsi="Times New Roman" w:eastAsia="宋体" w:cs="Times New Roman"/>
              </w:rPr>
              <w:t>+</w:t>
            </w:r>
            <w:r>
              <w:rPr>
                <w:rFonts w:hint="eastAsia" w:ascii="Times New Roman" w:hAnsi="Times New Roman" w:eastAsia="宋体" w:cs="Times New Roman"/>
              </w:rPr>
              <w:t>05</w:t>
            </w:r>
            <w:r>
              <w:rPr>
                <w:rFonts w:ascii="Times New Roman" w:hAnsi="Times New Roman" w:eastAsia="宋体" w:cs="Times New Roman"/>
              </w:rPr>
              <w:t>0～K</w:t>
            </w:r>
            <w:r>
              <w:rPr>
                <w:rFonts w:hint="eastAsia" w:ascii="Times New Roman" w:hAnsi="Times New Roman" w:eastAsia="宋体" w:cs="Times New Roman"/>
              </w:rPr>
              <w:t>28</w:t>
            </w:r>
            <w:r>
              <w:rPr>
                <w:rFonts w:ascii="Times New Roman" w:hAnsi="Times New Roman" w:eastAsia="宋体" w:cs="Times New Roman"/>
              </w:rPr>
              <w:t>+</w:t>
            </w:r>
            <w:r>
              <w:rPr>
                <w:rFonts w:hint="eastAsia" w:ascii="Times New Roman" w:hAnsi="Times New Roman" w:eastAsia="宋体" w:cs="Times New Roman"/>
              </w:rPr>
              <w:t>55</w:t>
            </w:r>
            <w:r>
              <w:rPr>
                <w:rFonts w:ascii="Times New Roman" w:hAnsi="Times New Roman" w:eastAsia="宋体" w:cs="Times New Roman"/>
              </w:rPr>
              <w:t>0</w:t>
            </w:r>
            <w:r>
              <w:rPr>
                <w:rFonts w:ascii="Times New Roman" w:hAnsi="Times New Roman" w:cs="Times New Roman" w:eastAsiaTheme="minorEastAsia"/>
                <w:szCs w:val="21"/>
              </w:rPr>
              <w:t>（考虑行车安全视距，每处平交口需断开</w:t>
            </w:r>
            <w:r>
              <w:rPr>
                <w:rFonts w:hint="eastAsia" w:ascii="Times New Roman" w:hAnsi="Times New Roman" w:cs="Times New Roman" w:eastAsiaTheme="minorEastAsia"/>
                <w:szCs w:val="21"/>
              </w:rPr>
              <w:t>220m，该路段共1处平交口</w:t>
            </w:r>
            <w:r>
              <w:rPr>
                <w:rFonts w:ascii="Times New Roman" w:hAnsi="Times New Roman" w:cs="Times New Roman" w:eastAsiaTheme="minorEastAsia"/>
                <w:szCs w:val="21"/>
              </w:rPr>
              <w:t>）</w:t>
            </w:r>
            <w:r>
              <w:rPr>
                <w:rFonts w:ascii="Times New Roman" w:hAnsi="Times New Roman" w:eastAsia="宋体" w:cs="Times New Roman"/>
                <w:szCs w:val="21"/>
              </w:rPr>
              <w:t>设置</w:t>
            </w:r>
            <w:r>
              <w:rPr>
                <w:rFonts w:hint="eastAsia" w:ascii="Times New Roman" w:hAnsi="Times New Roman" w:eastAsia="宋体" w:cs="Times New Roman"/>
                <w:szCs w:val="21"/>
              </w:rPr>
              <w:t>280</w:t>
            </w:r>
            <w:r>
              <w:rPr>
                <w:rFonts w:ascii="Times New Roman" w:hAnsi="Times New Roman" w:eastAsia="宋体" w:cs="Times New Roman"/>
                <w:szCs w:val="21"/>
              </w:rPr>
              <w:t>m（长）×</w:t>
            </w:r>
            <w:r>
              <w:rPr>
                <w:rFonts w:hint="eastAsia" w:ascii="Times New Roman" w:hAnsi="Times New Roman" w:eastAsia="宋体" w:cs="Times New Roman"/>
                <w:szCs w:val="21"/>
              </w:rPr>
              <w:t>3.0</w:t>
            </w:r>
            <w:r>
              <w:rPr>
                <w:rFonts w:ascii="Times New Roman" w:hAnsi="Times New Roman" w:eastAsia="宋体" w:cs="Times New Roman"/>
                <w:szCs w:val="21"/>
              </w:rPr>
              <w:t>m（高）声屏障，</w:t>
            </w:r>
            <w:r>
              <w:rPr>
                <w:rFonts w:hint="eastAsia" w:ascii="Times New Roman" w:hAnsi="Times New Roman" w:eastAsia="宋体" w:cs="Times New Roman"/>
                <w:szCs w:val="21"/>
              </w:rPr>
              <w:t>2</w:t>
            </w:r>
            <w:r>
              <w:rPr>
                <w:rFonts w:ascii="Times New Roman" w:hAnsi="Times New Roman" w:eastAsia="宋体" w:cs="Times New Roman"/>
                <w:szCs w:val="21"/>
              </w:rPr>
              <w:t>000元/m，共投资</w:t>
            </w:r>
            <w:r>
              <w:rPr>
                <w:rFonts w:hint="eastAsia" w:ascii="Times New Roman" w:hAnsi="Times New Roman" w:eastAsia="宋体" w:cs="Times New Roman"/>
                <w:szCs w:val="21"/>
              </w:rPr>
              <w:t>144</w:t>
            </w:r>
            <w:r>
              <w:rPr>
                <w:rFonts w:ascii="Times New Roman" w:hAnsi="Times New Roman" w:eastAsia="宋体" w:cs="Times New Roman"/>
                <w:szCs w:val="21"/>
              </w:rPr>
              <w:t>万元</w:t>
            </w:r>
            <w:r>
              <w:rPr>
                <w:rFonts w:ascii="Times New Roman" w:hAnsi="Times New Roman" w:eastAsia="宋体" w:cs="Times New Roman"/>
              </w:rPr>
              <w:t>，房屋距路较近，分布较集中，声屏障降噪效果好</w:t>
            </w:r>
            <w:r>
              <w:rPr>
                <w:rFonts w:ascii="Times New Roman" w:hAnsi="Times New Roman" w:eastAsia="宋体" w:cs="Times New Roman"/>
                <w:szCs w:val="21"/>
              </w:rPr>
              <w:t>。路两侧</w:t>
            </w:r>
            <w:r>
              <w:rPr>
                <w:rFonts w:ascii="Times New Roman" w:hAnsi="Times New Roman" w:eastAsia="宋体" w:cs="Times New Roman"/>
              </w:rPr>
              <w:t>平交口处无法设置声屏障，因此对平交口超标的</w:t>
            </w:r>
            <w:r>
              <w:rPr>
                <w:rFonts w:hint="eastAsia" w:ascii="Times New Roman" w:hAnsi="Times New Roman" w:eastAsia="宋体" w:cs="Times New Roman"/>
              </w:rPr>
              <w:t>30</w:t>
            </w:r>
            <w:r>
              <w:rPr>
                <w:rFonts w:ascii="Times New Roman" w:hAnsi="Times New Roman" w:eastAsia="宋体" w:cs="Times New Roman"/>
              </w:rPr>
              <w:t>户安装隔声窗，隔声量20～25dB，每户投资1万元，共计</w:t>
            </w:r>
            <w:r>
              <w:rPr>
                <w:rFonts w:hint="eastAsia" w:ascii="Times New Roman" w:hAnsi="Times New Roman" w:eastAsia="宋体" w:cs="Times New Roman"/>
              </w:rPr>
              <w:t>30</w:t>
            </w:r>
            <w:r>
              <w:rPr>
                <w:rFonts w:ascii="Times New Roman" w:hAnsi="Times New Roman" w:eastAsia="宋体" w:cs="Times New Roman"/>
              </w:rPr>
              <w:t>元。</w:t>
            </w:r>
          </w:p>
          <w:p w14:paraId="7A74EBFB">
            <w:pPr>
              <w:widowControl/>
              <w:adjustRightInd w:val="0"/>
              <w:snapToGrid w:val="0"/>
              <w:spacing w:line="240" w:lineRule="exact"/>
              <w:rPr>
                <w:rFonts w:ascii="Times New Roman" w:hAnsi="Times New Roman" w:eastAsia="宋体" w:cs="Times New Roman"/>
                <w:szCs w:val="21"/>
              </w:rPr>
            </w:pPr>
            <w:r>
              <w:rPr>
                <w:rFonts w:ascii="Times New Roman" w:hAnsi="Times New Roman" w:eastAsia="宋体" w:cs="Times New Roman"/>
                <w:szCs w:val="21"/>
              </w:rPr>
              <w:t>推荐：综合考虑推荐方案</w:t>
            </w:r>
            <w:r>
              <w:rPr>
                <w:rFonts w:hint="eastAsia" w:ascii="Times New Roman" w:hAnsi="Times New Roman" w:eastAsia="宋体" w:cs="Times New Roman"/>
                <w:szCs w:val="21"/>
              </w:rPr>
              <w:t>二</w:t>
            </w:r>
            <w:r>
              <w:rPr>
                <w:rFonts w:ascii="Times New Roman" w:hAnsi="Times New Roman" w:eastAsia="宋体" w:cs="Times New Roman"/>
                <w:szCs w:val="21"/>
              </w:rPr>
              <w:t>。</w:t>
            </w:r>
          </w:p>
        </w:tc>
        <w:tc>
          <w:tcPr>
            <w:tcW w:w="242" w:type="pct"/>
            <w:vMerge w:val="restart"/>
            <w:vAlign w:val="center"/>
          </w:tcPr>
          <w:p w14:paraId="39E3B7FC">
            <w:pPr>
              <w:jc w:val="center"/>
              <w:rPr>
                <w:rFonts w:ascii="Times New Roman" w:hAnsi="Times New Roman" w:eastAsia="宋体" w:cs="Times New Roman"/>
                <w:kern w:val="0"/>
              </w:rPr>
            </w:pPr>
            <w:r>
              <w:rPr>
                <w:rFonts w:ascii="Times New Roman" w:hAnsi="Times New Roman" w:eastAsia="宋体" w:cs="Times New Roman"/>
                <w:kern w:val="0"/>
              </w:rPr>
              <w:t>声屏障+隔声窗</w:t>
            </w:r>
          </w:p>
        </w:tc>
        <w:tc>
          <w:tcPr>
            <w:tcW w:w="260" w:type="pct"/>
            <w:vMerge w:val="restart"/>
            <w:vAlign w:val="center"/>
          </w:tcPr>
          <w:p w14:paraId="716E887A">
            <w:pPr>
              <w:jc w:val="center"/>
              <w:rPr>
                <w:rFonts w:ascii="Times New Roman" w:hAnsi="Times New Roman" w:eastAsia="宋体" w:cs="Times New Roman"/>
                <w:kern w:val="0"/>
              </w:rPr>
            </w:pPr>
            <w:r>
              <w:rPr>
                <w:rFonts w:ascii="Times New Roman" w:hAnsi="Times New Roman" w:eastAsia="宋体" w:cs="Times New Roman"/>
                <w:kern w:val="0"/>
              </w:rPr>
              <w:t>室外达标+平交路口房屋室内达标</w:t>
            </w:r>
          </w:p>
        </w:tc>
        <w:tc>
          <w:tcPr>
            <w:tcW w:w="251" w:type="pct"/>
            <w:vMerge w:val="restart"/>
            <w:vAlign w:val="center"/>
          </w:tcPr>
          <w:p w14:paraId="042FDF9C">
            <w:pPr>
              <w:adjustRightInd w:val="0"/>
              <w:snapToGrid w:val="0"/>
              <w:spacing w:line="240" w:lineRule="exact"/>
              <w:jc w:val="center"/>
              <w:rPr>
                <w:rFonts w:ascii="Times New Roman" w:hAnsi="宋体" w:eastAsia="宋体" w:cs="Times New Roman"/>
                <w:szCs w:val="21"/>
              </w:rPr>
            </w:pPr>
            <w:r>
              <w:rPr>
                <w:rFonts w:hint="eastAsia" w:ascii="Times New Roman" w:hAnsi="宋体" w:eastAsia="宋体" w:cs="Times New Roman"/>
                <w:szCs w:val="21"/>
              </w:rPr>
              <w:t>174</w:t>
            </w:r>
          </w:p>
        </w:tc>
      </w:tr>
      <w:tr w14:paraId="71DE8F41">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trHeight w:val="100" w:hRule="atLeast"/>
          <w:tblHeader/>
          <w:jc w:val="center"/>
        </w:trPr>
        <w:tc>
          <w:tcPr>
            <w:tcW w:w="180" w:type="pct"/>
            <w:vMerge w:val="continue"/>
            <w:noWrap/>
            <w:vAlign w:val="center"/>
          </w:tcPr>
          <w:p w14:paraId="6A25EC5C">
            <w:pPr>
              <w:jc w:val="center"/>
              <w:rPr>
                <w:rFonts w:ascii="Times New Roman" w:hAnsi="Times New Roman" w:eastAsia="宋体" w:cs="Times New Roman"/>
              </w:rPr>
            </w:pPr>
          </w:p>
        </w:tc>
        <w:tc>
          <w:tcPr>
            <w:tcW w:w="278" w:type="pct"/>
            <w:vAlign w:val="center"/>
          </w:tcPr>
          <w:p w14:paraId="0D35F683">
            <w:pPr>
              <w:widowControl/>
              <w:spacing w:line="300" w:lineRule="exact"/>
              <w:jc w:val="center"/>
              <w:rPr>
                <w:rFonts w:ascii="Times New Roman" w:hAnsi="Times New Roman" w:eastAsia="宋体" w:cs="Times New Roman"/>
              </w:rPr>
            </w:pPr>
            <w:r>
              <w:rPr>
                <w:rFonts w:ascii="Times New Roman" w:hAnsi="Times New Roman" w:eastAsia="宋体" w:cs="Times New Roman"/>
              </w:rPr>
              <w:t>K</w:t>
            </w:r>
            <w:r>
              <w:rPr>
                <w:rFonts w:hint="eastAsia" w:ascii="Times New Roman" w:hAnsi="Times New Roman" w:eastAsia="宋体" w:cs="Times New Roman"/>
              </w:rPr>
              <w:t>28</w:t>
            </w:r>
            <w:r>
              <w:rPr>
                <w:rFonts w:ascii="Times New Roman" w:hAnsi="Times New Roman" w:eastAsia="宋体" w:cs="Times New Roman"/>
              </w:rPr>
              <w:t>+</w:t>
            </w:r>
            <w:r>
              <w:rPr>
                <w:rFonts w:hint="eastAsia" w:ascii="Times New Roman" w:hAnsi="Times New Roman" w:eastAsia="宋体" w:cs="Times New Roman"/>
              </w:rPr>
              <w:t>10</w:t>
            </w:r>
            <w:r>
              <w:rPr>
                <w:rFonts w:ascii="Times New Roman" w:hAnsi="Times New Roman" w:eastAsia="宋体" w:cs="Times New Roman"/>
              </w:rPr>
              <w:t>0～K</w:t>
            </w:r>
            <w:r>
              <w:rPr>
                <w:rFonts w:hint="eastAsia" w:ascii="Times New Roman" w:hAnsi="Times New Roman" w:eastAsia="宋体" w:cs="Times New Roman"/>
              </w:rPr>
              <w:t>28</w:t>
            </w:r>
            <w:r>
              <w:rPr>
                <w:rFonts w:ascii="Times New Roman" w:hAnsi="Times New Roman" w:eastAsia="宋体" w:cs="Times New Roman"/>
              </w:rPr>
              <w:t>+</w:t>
            </w:r>
            <w:r>
              <w:rPr>
                <w:rFonts w:hint="eastAsia" w:ascii="Times New Roman" w:hAnsi="Times New Roman" w:eastAsia="宋体" w:cs="Times New Roman"/>
              </w:rPr>
              <w:t>80</w:t>
            </w:r>
            <w:r>
              <w:rPr>
                <w:rFonts w:ascii="Times New Roman" w:hAnsi="Times New Roman" w:eastAsia="宋体" w:cs="Times New Roman"/>
              </w:rPr>
              <w:t>0</w:t>
            </w:r>
          </w:p>
        </w:tc>
        <w:tc>
          <w:tcPr>
            <w:tcW w:w="346" w:type="pct"/>
            <w:vMerge w:val="continue"/>
            <w:vAlign w:val="center"/>
          </w:tcPr>
          <w:p w14:paraId="3BAE977F">
            <w:pPr>
              <w:widowControl/>
              <w:spacing w:line="300" w:lineRule="exact"/>
              <w:jc w:val="center"/>
              <w:rPr>
                <w:rFonts w:ascii="Times New Roman" w:hAnsi="Times New Roman" w:eastAsia="宋体" w:cs="Times New Roman"/>
              </w:rPr>
            </w:pPr>
          </w:p>
        </w:tc>
        <w:tc>
          <w:tcPr>
            <w:tcW w:w="138" w:type="pct"/>
            <w:vMerge w:val="continue"/>
            <w:vAlign w:val="center"/>
          </w:tcPr>
          <w:p w14:paraId="1545B895">
            <w:pPr>
              <w:spacing w:line="300" w:lineRule="exact"/>
              <w:jc w:val="center"/>
              <w:rPr>
                <w:rFonts w:ascii="Times New Roman" w:hAnsi="Times New Roman" w:eastAsia="宋体" w:cs="Times New Roman"/>
              </w:rPr>
            </w:pPr>
          </w:p>
        </w:tc>
        <w:tc>
          <w:tcPr>
            <w:tcW w:w="209" w:type="pct"/>
            <w:vMerge w:val="restart"/>
            <w:vAlign w:val="center"/>
          </w:tcPr>
          <w:p w14:paraId="69054D1F">
            <w:pPr>
              <w:spacing w:line="300" w:lineRule="exact"/>
              <w:jc w:val="center"/>
              <w:rPr>
                <w:rFonts w:ascii="Times New Roman" w:hAnsi="Times New Roman" w:eastAsia="宋体" w:cs="Times New Roman"/>
              </w:rPr>
            </w:pPr>
            <w:r>
              <w:rPr>
                <w:rFonts w:hint="eastAsia" w:ascii="Times New Roman" w:hAnsi="Times New Roman" w:eastAsia="宋体" w:cs="Times New Roman"/>
              </w:rPr>
              <w:t>25</w:t>
            </w:r>
          </w:p>
        </w:tc>
        <w:tc>
          <w:tcPr>
            <w:tcW w:w="243" w:type="pct"/>
            <w:vMerge w:val="restart"/>
            <w:vAlign w:val="center"/>
          </w:tcPr>
          <w:p w14:paraId="583710DF">
            <w:pPr>
              <w:adjustRightInd w:val="0"/>
              <w:snapToGrid w:val="0"/>
              <w:spacing w:line="240" w:lineRule="exact"/>
              <w:jc w:val="center"/>
              <w:rPr>
                <w:rFonts w:ascii="Times New Roman" w:hAnsi="Times New Roman" w:eastAsia="宋体" w:cs="Times New Roman"/>
                <w:snapToGrid w:val="0"/>
                <w:kern w:val="0"/>
                <w:szCs w:val="21"/>
              </w:rPr>
            </w:pPr>
            <w:r>
              <w:rPr>
                <w:rFonts w:hint="eastAsia" w:ascii="Times New Roman" w:hAnsi="Times New Roman" w:eastAsia="宋体" w:cs="Times New Roman"/>
                <w:snapToGrid w:val="0"/>
                <w:kern w:val="0"/>
                <w:szCs w:val="21"/>
              </w:rPr>
              <w:t>-/4.0</w:t>
            </w:r>
          </w:p>
        </w:tc>
        <w:tc>
          <w:tcPr>
            <w:tcW w:w="243" w:type="pct"/>
            <w:vMerge w:val="restart"/>
            <w:vAlign w:val="center"/>
          </w:tcPr>
          <w:p w14:paraId="19985F4C">
            <w:pPr>
              <w:adjustRightInd w:val="0"/>
              <w:snapToGrid w:val="0"/>
              <w:spacing w:line="240" w:lineRule="exact"/>
              <w:jc w:val="center"/>
              <w:rPr>
                <w:rFonts w:ascii="Times New Roman" w:hAnsi="Times New Roman" w:eastAsia="宋体" w:cs="Times New Roman"/>
                <w:snapToGrid w:val="0"/>
                <w:kern w:val="0"/>
                <w:szCs w:val="21"/>
              </w:rPr>
            </w:pPr>
            <w:r>
              <w:rPr>
                <w:rFonts w:hint="eastAsia" w:ascii="Times New Roman" w:hAnsi="Times New Roman" w:eastAsia="宋体" w:cs="Times New Roman"/>
                <w:snapToGrid w:val="0"/>
                <w:kern w:val="0"/>
                <w:szCs w:val="21"/>
              </w:rPr>
              <w:t>-/4.9</w:t>
            </w:r>
          </w:p>
        </w:tc>
        <w:tc>
          <w:tcPr>
            <w:tcW w:w="190" w:type="pct"/>
            <w:vMerge w:val="restart"/>
            <w:shd w:val="clear" w:color="auto" w:fill="auto"/>
            <w:vAlign w:val="center"/>
          </w:tcPr>
          <w:p w14:paraId="33701F9C">
            <w:pPr>
              <w:adjustRightInd w:val="0"/>
              <w:snapToGrid w:val="0"/>
              <w:spacing w:line="240" w:lineRule="exact"/>
              <w:jc w:val="center"/>
              <w:rPr>
                <w:rFonts w:ascii="Times New Roman" w:hAnsi="Times New Roman" w:eastAsia="宋体" w:cs="Times New Roman"/>
              </w:rPr>
            </w:pPr>
            <w:r>
              <w:rPr>
                <w:rFonts w:hint="eastAsia" w:ascii="Times New Roman" w:hAnsi="Times New Roman" w:eastAsia="宋体" w:cs="Times New Roman"/>
              </w:rPr>
              <w:t>40</w:t>
            </w:r>
          </w:p>
        </w:tc>
        <w:tc>
          <w:tcPr>
            <w:tcW w:w="190" w:type="pct"/>
            <w:vMerge w:val="restart"/>
            <w:shd w:val="clear" w:color="auto" w:fill="auto"/>
            <w:vAlign w:val="center"/>
          </w:tcPr>
          <w:p w14:paraId="4C596B68">
            <w:pPr>
              <w:adjustRightInd w:val="0"/>
              <w:snapToGrid w:val="0"/>
              <w:spacing w:line="240" w:lineRule="exact"/>
              <w:jc w:val="center"/>
              <w:rPr>
                <w:rFonts w:ascii="Times New Roman" w:hAnsi="Times New Roman" w:eastAsia="宋体" w:cs="Times New Roman"/>
              </w:rPr>
            </w:pPr>
            <w:r>
              <w:rPr>
                <w:rFonts w:hint="eastAsia" w:ascii="Times New Roman" w:hAnsi="Times New Roman" w:eastAsia="宋体" w:cs="Times New Roman"/>
              </w:rPr>
              <w:t>60</w:t>
            </w:r>
          </w:p>
        </w:tc>
        <w:tc>
          <w:tcPr>
            <w:tcW w:w="2230" w:type="pct"/>
            <w:vMerge w:val="continue"/>
            <w:noWrap/>
            <w:vAlign w:val="center"/>
          </w:tcPr>
          <w:p w14:paraId="1AA81BA8">
            <w:pPr>
              <w:rPr>
                <w:rFonts w:ascii="Times New Roman" w:hAnsi="Times New Roman" w:eastAsia="宋体" w:cs="Times New Roman"/>
                <w:szCs w:val="21"/>
              </w:rPr>
            </w:pPr>
          </w:p>
        </w:tc>
        <w:tc>
          <w:tcPr>
            <w:tcW w:w="242" w:type="pct"/>
            <w:vMerge w:val="continue"/>
            <w:vAlign w:val="center"/>
          </w:tcPr>
          <w:p w14:paraId="10931053">
            <w:pPr>
              <w:widowControl/>
              <w:jc w:val="center"/>
              <w:rPr>
                <w:rFonts w:ascii="Times New Roman" w:hAnsi="Times New Roman" w:eastAsia="宋体" w:cs="Times New Roman"/>
                <w:kern w:val="0"/>
              </w:rPr>
            </w:pPr>
          </w:p>
        </w:tc>
        <w:tc>
          <w:tcPr>
            <w:tcW w:w="260" w:type="pct"/>
            <w:vMerge w:val="continue"/>
            <w:vAlign w:val="center"/>
          </w:tcPr>
          <w:p w14:paraId="3D2A4340">
            <w:pPr>
              <w:widowControl/>
              <w:jc w:val="center"/>
              <w:rPr>
                <w:rFonts w:ascii="Times New Roman" w:hAnsi="Times New Roman" w:eastAsia="宋体" w:cs="Times New Roman"/>
                <w:kern w:val="0"/>
              </w:rPr>
            </w:pPr>
          </w:p>
        </w:tc>
        <w:tc>
          <w:tcPr>
            <w:tcW w:w="251" w:type="pct"/>
            <w:vMerge w:val="continue"/>
            <w:vAlign w:val="center"/>
          </w:tcPr>
          <w:p w14:paraId="6D7DD780">
            <w:pPr>
              <w:widowControl/>
              <w:adjustRightInd w:val="0"/>
              <w:snapToGrid w:val="0"/>
              <w:spacing w:line="240" w:lineRule="exact"/>
              <w:jc w:val="center"/>
              <w:rPr>
                <w:rFonts w:ascii="Times New Roman" w:hAnsi="Times New Roman" w:eastAsia="宋体" w:cs="Times New Roman"/>
                <w:szCs w:val="21"/>
              </w:rPr>
            </w:pPr>
          </w:p>
        </w:tc>
      </w:tr>
      <w:tr w14:paraId="5705697C">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trHeight w:val="100" w:hRule="atLeast"/>
          <w:tblHeader/>
          <w:jc w:val="center"/>
        </w:trPr>
        <w:tc>
          <w:tcPr>
            <w:tcW w:w="180" w:type="pct"/>
            <w:vMerge w:val="continue"/>
            <w:noWrap/>
            <w:vAlign w:val="center"/>
          </w:tcPr>
          <w:p w14:paraId="0E7B0D49">
            <w:pPr>
              <w:jc w:val="center"/>
              <w:rPr>
                <w:rFonts w:ascii="Times New Roman" w:hAnsi="Times New Roman" w:eastAsia="宋体" w:cs="Times New Roman"/>
              </w:rPr>
            </w:pPr>
          </w:p>
        </w:tc>
        <w:tc>
          <w:tcPr>
            <w:tcW w:w="278" w:type="pct"/>
            <w:vAlign w:val="center"/>
          </w:tcPr>
          <w:p w14:paraId="6EB87E72">
            <w:pPr>
              <w:widowControl/>
              <w:spacing w:line="300" w:lineRule="exact"/>
              <w:jc w:val="center"/>
              <w:rPr>
                <w:rFonts w:ascii="Times New Roman" w:hAnsi="Times New Roman" w:eastAsia="宋体" w:cs="Times New Roman"/>
              </w:rPr>
            </w:pPr>
            <w:r>
              <w:rPr>
                <w:rFonts w:ascii="Times New Roman" w:hAnsi="Times New Roman" w:eastAsia="宋体" w:cs="Times New Roman"/>
              </w:rPr>
              <w:t>K</w:t>
            </w:r>
            <w:r>
              <w:rPr>
                <w:rFonts w:hint="eastAsia" w:ascii="Times New Roman" w:hAnsi="Times New Roman" w:eastAsia="宋体" w:cs="Times New Roman"/>
              </w:rPr>
              <w:t>28</w:t>
            </w:r>
            <w:r>
              <w:rPr>
                <w:rFonts w:ascii="Times New Roman" w:hAnsi="Times New Roman" w:eastAsia="宋体" w:cs="Times New Roman"/>
              </w:rPr>
              <w:t>+</w:t>
            </w:r>
            <w:r>
              <w:rPr>
                <w:rFonts w:hint="eastAsia" w:ascii="Times New Roman" w:hAnsi="Times New Roman" w:eastAsia="宋体" w:cs="Times New Roman"/>
              </w:rPr>
              <w:t>10</w:t>
            </w:r>
            <w:r>
              <w:rPr>
                <w:rFonts w:ascii="Times New Roman" w:hAnsi="Times New Roman" w:eastAsia="宋体" w:cs="Times New Roman"/>
              </w:rPr>
              <w:t>0～K</w:t>
            </w:r>
            <w:r>
              <w:rPr>
                <w:rFonts w:hint="eastAsia" w:ascii="Times New Roman" w:hAnsi="Times New Roman" w:eastAsia="宋体" w:cs="Times New Roman"/>
              </w:rPr>
              <w:t>28</w:t>
            </w:r>
            <w:r>
              <w:rPr>
                <w:rFonts w:ascii="Times New Roman" w:hAnsi="Times New Roman" w:eastAsia="宋体" w:cs="Times New Roman"/>
              </w:rPr>
              <w:t>+</w:t>
            </w:r>
            <w:r>
              <w:rPr>
                <w:rFonts w:hint="eastAsia" w:ascii="Times New Roman" w:hAnsi="Times New Roman" w:eastAsia="宋体" w:cs="Times New Roman"/>
              </w:rPr>
              <w:t>50</w:t>
            </w:r>
            <w:r>
              <w:rPr>
                <w:rFonts w:ascii="Times New Roman" w:hAnsi="Times New Roman" w:eastAsia="宋体" w:cs="Times New Roman"/>
              </w:rPr>
              <w:t>0</w:t>
            </w:r>
          </w:p>
        </w:tc>
        <w:tc>
          <w:tcPr>
            <w:tcW w:w="346" w:type="pct"/>
            <w:vMerge w:val="continue"/>
            <w:vAlign w:val="center"/>
          </w:tcPr>
          <w:p w14:paraId="08864F8E">
            <w:pPr>
              <w:widowControl/>
              <w:spacing w:line="300" w:lineRule="exact"/>
              <w:jc w:val="center"/>
              <w:rPr>
                <w:rFonts w:ascii="Times New Roman" w:hAnsi="Times New Roman" w:eastAsia="宋体" w:cs="Times New Roman"/>
              </w:rPr>
            </w:pPr>
          </w:p>
        </w:tc>
        <w:tc>
          <w:tcPr>
            <w:tcW w:w="138" w:type="pct"/>
            <w:vAlign w:val="center"/>
          </w:tcPr>
          <w:p w14:paraId="44830F0D">
            <w:pPr>
              <w:spacing w:line="300" w:lineRule="exact"/>
              <w:jc w:val="center"/>
              <w:rPr>
                <w:rFonts w:ascii="Times New Roman" w:hAnsi="Times New Roman" w:eastAsia="宋体" w:cs="Times New Roman"/>
              </w:rPr>
            </w:pPr>
            <w:r>
              <w:rPr>
                <w:rFonts w:ascii="Times New Roman" w:hAnsi="Times New Roman" w:eastAsia="宋体" w:cs="Times New Roman"/>
              </w:rPr>
              <w:t>路左</w:t>
            </w:r>
          </w:p>
        </w:tc>
        <w:tc>
          <w:tcPr>
            <w:tcW w:w="209" w:type="pct"/>
            <w:vMerge w:val="continue"/>
            <w:vAlign w:val="center"/>
          </w:tcPr>
          <w:p w14:paraId="00428A60">
            <w:pPr>
              <w:spacing w:line="300" w:lineRule="exact"/>
              <w:jc w:val="center"/>
              <w:rPr>
                <w:rFonts w:ascii="Times New Roman" w:hAnsi="Times New Roman" w:eastAsia="宋体" w:cs="Times New Roman"/>
              </w:rPr>
            </w:pPr>
          </w:p>
        </w:tc>
        <w:tc>
          <w:tcPr>
            <w:tcW w:w="243" w:type="pct"/>
            <w:vMerge w:val="continue"/>
            <w:vAlign w:val="center"/>
          </w:tcPr>
          <w:p w14:paraId="5CD1ACE5">
            <w:pPr>
              <w:adjustRightInd w:val="0"/>
              <w:snapToGrid w:val="0"/>
              <w:spacing w:line="240" w:lineRule="exact"/>
              <w:jc w:val="center"/>
              <w:rPr>
                <w:rFonts w:ascii="Times New Roman" w:hAnsi="Times New Roman" w:eastAsia="宋体" w:cs="Times New Roman"/>
              </w:rPr>
            </w:pPr>
          </w:p>
        </w:tc>
        <w:tc>
          <w:tcPr>
            <w:tcW w:w="243" w:type="pct"/>
            <w:vMerge w:val="continue"/>
            <w:vAlign w:val="center"/>
          </w:tcPr>
          <w:p w14:paraId="331F6984">
            <w:pPr>
              <w:adjustRightInd w:val="0"/>
              <w:snapToGrid w:val="0"/>
              <w:spacing w:line="240" w:lineRule="exact"/>
              <w:jc w:val="center"/>
              <w:rPr>
                <w:rFonts w:ascii="Times New Roman" w:hAnsi="Times New Roman" w:eastAsia="宋体" w:cs="Times New Roman"/>
              </w:rPr>
            </w:pPr>
          </w:p>
        </w:tc>
        <w:tc>
          <w:tcPr>
            <w:tcW w:w="190" w:type="pct"/>
            <w:vMerge w:val="continue"/>
            <w:shd w:val="clear" w:color="auto" w:fill="auto"/>
            <w:vAlign w:val="center"/>
          </w:tcPr>
          <w:p w14:paraId="0CCE2BD5">
            <w:pPr>
              <w:adjustRightInd w:val="0"/>
              <w:snapToGrid w:val="0"/>
              <w:spacing w:line="240" w:lineRule="exact"/>
              <w:jc w:val="center"/>
              <w:rPr>
                <w:rFonts w:ascii="Times New Roman" w:hAnsi="Times New Roman" w:eastAsia="宋体" w:cs="Times New Roman"/>
              </w:rPr>
            </w:pPr>
          </w:p>
        </w:tc>
        <w:tc>
          <w:tcPr>
            <w:tcW w:w="190" w:type="pct"/>
            <w:vMerge w:val="continue"/>
            <w:shd w:val="clear" w:color="auto" w:fill="auto"/>
            <w:vAlign w:val="center"/>
          </w:tcPr>
          <w:p w14:paraId="543C4F88">
            <w:pPr>
              <w:adjustRightInd w:val="0"/>
              <w:snapToGrid w:val="0"/>
              <w:spacing w:line="240" w:lineRule="exact"/>
              <w:jc w:val="center"/>
              <w:rPr>
                <w:rFonts w:ascii="Times New Roman" w:hAnsi="Times New Roman" w:eastAsia="宋体" w:cs="Times New Roman"/>
              </w:rPr>
            </w:pPr>
          </w:p>
        </w:tc>
        <w:tc>
          <w:tcPr>
            <w:tcW w:w="2230" w:type="pct"/>
            <w:vMerge w:val="continue"/>
            <w:noWrap/>
            <w:vAlign w:val="center"/>
          </w:tcPr>
          <w:p w14:paraId="0A10EEB7">
            <w:pPr>
              <w:rPr>
                <w:rFonts w:ascii="Times New Roman" w:hAnsi="Times New Roman" w:eastAsia="宋体" w:cs="Times New Roman"/>
                <w:szCs w:val="21"/>
              </w:rPr>
            </w:pPr>
          </w:p>
        </w:tc>
        <w:tc>
          <w:tcPr>
            <w:tcW w:w="242" w:type="pct"/>
            <w:vMerge w:val="continue"/>
            <w:vAlign w:val="center"/>
          </w:tcPr>
          <w:p w14:paraId="6905414E">
            <w:pPr>
              <w:jc w:val="center"/>
              <w:rPr>
                <w:rFonts w:ascii="Times New Roman" w:hAnsi="Times New Roman" w:eastAsia="宋体" w:cs="Times New Roman"/>
                <w:szCs w:val="21"/>
              </w:rPr>
            </w:pPr>
          </w:p>
        </w:tc>
        <w:tc>
          <w:tcPr>
            <w:tcW w:w="260" w:type="pct"/>
            <w:vMerge w:val="continue"/>
            <w:vAlign w:val="center"/>
          </w:tcPr>
          <w:p w14:paraId="1C8673B5">
            <w:pPr>
              <w:jc w:val="center"/>
              <w:rPr>
                <w:rFonts w:ascii="Times New Roman" w:hAnsi="Times New Roman" w:eastAsia="宋体" w:cs="Times New Roman"/>
                <w:szCs w:val="21"/>
              </w:rPr>
            </w:pPr>
          </w:p>
        </w:tc>
        <w:tc>
          <w:tcPr>
            <w:tcW w:w="251" w:type="pct"/>
            <w:vMerge w:val="continue"/>
            <w:vAlign w:val="center"/>
          </w:tcPr>
          <w:p w14:paraId="703165B7">
            <w:pPr>
              <w:widowControl/>
              <w:adjustRightInd w:val="0"/>
              <w:snapToGrid w:val="0"/>
              <w:spacing w:line="240" w:lineRule="exact"/>
              <w:jc w:val="center"/>
              <w:rPr>
                <w:rFonts w:ascii="Times New Roman" w:hAnsi="Times New Roman" w:eastAsia="宋体" w:cs="Times New Roman"/>
                <w:szCs w:val="21"/>
              </w:rPr>
            </w:pPr>
          </w:p>
        </w:tc>
      </w:tr>
    </w:tbl>
    <w:p w14:paraId="62AB8CBC">
      <w:pPr>
        <w:rPr>
          <w:rFonts w:ascii="Times New Roman" w:hAnsi="Times New Roman" w:eastAsia="宋体" w:cs="Times New Roman"/>
        </w:rPr>
      </w:pPr>
    </w:p>
    <w:p w14:paraId="3EC88828">
      <w:pPr>
        <w:spacing w:beforeLines="50"/>
        <w:jc w:val="center"/>
        <w:rPr>
          <w:b/>
          <w:spacing w:val="4"/>
          <w:szCs w:val="21"/>
        </w:rPr>
        <w:sectPr>
          <w:headerReference r:id="rId105" w:type="default"/>
          <w:footerReference r:id="rId106" w:type="default"/>
          <w:footerReference r:id="rId107" w:type="even"/>
          <w:pgSz w:w="23814" w:h="16840" w:orient="landscape"/>
          <w:pgMar w:top="1701" w:right="1701" w:bottom="1701" w:left="1701" w:header="1134" w:footer="1134" w:gutter="0"/>
          <w:pgBorders>
            <w:top w:val="none" w:sz="0" w:space="0"/>
            <w:left w:val="none" w:sz="0" w:space="0"/>
            <w:bottom w:val="none" w:sz="0" w:space="0"/>
            <w:right w:val="none" w:sz="0" w:space="0"/>
          </w:pgBorders>
          <w:cols w:space="720" w:num="1"/>
          <w:docGrid w:linePitch="312" w:charSpace="0"/>
        </w:sectPr>
      </w:pPr>
    </w:p>
    <w:p w14:paraId="3AC9CFD4">
      <w:pPr>
        <w:spacing w:beforeLines="50"/>
        <w:jc w:val="center"/>
        <w:rPr>
          <w:rFonts w:ascii="Times New Roman" w:hAnsi="宋体" w:eastAsia="宋体" w:cs="Times New Roman"/>
          <w:b/>
          <w:spacing w:val="4"/>
          <w:szCs w:val="21"/>
        </w:rPr>
      </w:pPr>
      <w:r>
        <w:rPr>
          <w:rFonts w:ascii="Times New Roman" w:hAnsi="宋体" w:eastAsia="宋体" w:cs="Times New Roman"/>
          <w:b/>
          <w:spacing w:val="4"/>
          <w:szCs w:val="21"/>
        </w:rPr>
        <w:t>续</w:t>
      </w:r>
      <w:r>
        <w:rPr>
          <w:rFonts w:hint="eastAsia" w:ascii="Times New Roman" w:hAnsi="宋体" w:eastAsia="宋体" w:cs="Times New Roman"/>
          <w:b/>
          <w:spacing w:val="4"/>
          <w:szCs w:val="21"/>
        </w:rPr>
        <w:t xml:space="preserve"> </w:t>
      </w:r>
      <w:r>
        <w:rPr>
          <w:rFonts w:ascii="Times New Roman" w:hAnsi="宋体" w:eastAsia="宋体" w:cs="Times New Roman"/>
          <w:b/>
          <w:spacing w:val="4"/>
          <w:szCs w:val="21"/>
        </w:rPr>
        <w:t>表</w:t>
      </w:r>
      <w:r>
        <w:rPr>
          <w:rFonts w:hint="eastAsia" w:ascii="Times New Roman" w:hAnsi="Times New Roman" w:eastAsia="宋体" w:cs="Times New Roman"/>
          <w:b/>
          <w:spacing w:val="4"/>
          <w:szCs w:val="21"/>
        </w:rPr>
        <w:t>5</w:t>
      </w:r>
      <w:r>
        <w:rPr>
          <w:rFonts w:ascii="Times New Roman" w:hAnsi="Times New Roman" w:eastAsia="宋体" w:cs="Times New Roman"/>
          <w:b/>
          <w:spacing w:val="4"/>
          <w:szCs w:val="21"/>
        </w:rPr>
        <w:t xml:space="preserve">.3-2  </w:t>
      </w:r>
      <w:r>
        <w:rPr>
          <w:rFonts w:ascii="Times New Roman" w:hAnsi="宋体" w:eastAsia="宋体" w:cs="Times New Roman"/>
          <w:b/>
          <w:spacing w:val="4"/>
          <w:szCs w:val="21"/>
        </w:rPr>
        <w:t>拟建公路营运中期噪声预测值超标敏感点及降噪措施</w:t>
      </w:r>
      <w:r>
        <w:rPr>
          <w:rFonts w:hint="eastAsia" w:ascii="Times New Roman" w:hAnsi="宋体" w:eastAsia="宋体" w:cs="Times New Roman"/>
          <w:b/>
          <w:spacing w:val="4"/>
          <w:szCs w:val="21"/>
        </w:rPr>
        <w:t>论证一览</w:t>
      </w:r>
      <w:r>
        <w:rPr>
          <w:rFonts w:ascii="Times New Roman" w:hAnsi="宋体" w:eastAsia="宋体" w:cs="Times New Roman"/>
          <w:b/>
          <w:spacing w:val="4"/>
          <w:szCs w:val="21"/>
        </w:rPr>
        <w:t>表</w:t>
      </w:r>
    </w:p>
    <w:tbl>
      <w:tblPr>
        <w:tblStyle w:val="22"/>
        <w:tblW w:w="5000" w:type="pct"/>
        <w:jc w:val="center"/>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fixed"/>
        <w:tblCellMar>
          <w:top w:w="0" w:type="dxa"/>
          <w:left w:w="28" w:type="dxa"/>
          <w:bottom w:w="0" w:type="dxa"/>
          <w:right w:w="28" w:type="dxa"/>
        </w:tblCellMar>
      </w:tblPr>
      <w:tblGrid>
        <w:gridCol w:w="736"/>
        <w:gridCol w:w="1137"/>
        <w:gridCol w:w="1417"/>
        <w:gridCol w:w="565"/>
        <w:gridCol w:w="856"/>
        <w:gridCol w:w="995"/>
        <w:gridCol w:w="995"/>
        <w:gridCol w:w="778"/>
        <w:gridCol w:w="778"/>
        <w:gridCol w:w="9131"/>
        <w:gridCol w:w="991"/>
        <w:gridCol w:w="1065"/>
        <w:gridCol w:w="1028"/>
      </w:tblGrid>
      <w:tr w14:paraId="4D018BA0">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tblHeader/>
          <w:jc w:val="center"/>
        </w:trPr>
        <w:tc>
          <w:tcPr>
            <w:tcW w:w="180" w:type="pct"/>
            <w:vMerge w:val="restart"/>
            <w:noWrap/>
            <w:vAlign w:val="center"/>
          </w:tcPr>
          <w:p w14:paraId="65F14877">
            <w:pPr>
              <w:spacing w:line="240" w:lineRule="exact"/>
              <w:jc w:val="center"/>
              <w:rPr>
                <w:rFonts w:ascii="Times New Roman" w:hAnsi="Times New Roman" w:eastAsia="宋体" w:cs="Times New Roman"/>
                <w:b/>
              </w:rPr>
            </w:pPr>
            <w:r>
              <w:rPr>
                <w:rFonts w:ascii="Times New Roman" w:hAnsi="Times New Roman" w:eastAsia="宋体" w:cs="Times New Roman"/>
                <w:b/>
              </w:rPr>
              <w:t>序号</w:t>
            </w:r>
          </w:p>
        </w:tc>
        <w:tc>
          <w:tcPr>
            <w:tcW w:w="278" w:type="pct"/>
            <w:vMerge w:val="restart"/>
            <w:vAlign w:val="center"/>
          </w:tcPr>
          <w:p w14:paraId="1E9F8E2E">
            <w:pPr>
              <w:widowControl/>
              <w:adjustRightInd w:val="0"/>
              <w:snapToGrid w:val="0"/>
              <w:spacing w:line="240" w:lineRule="exact"/>
              <w:jc w:val="center"/>
              <w:rPr>
                <w:rFonts w:ascii="Times New Roman" w:hAnsi="Times New Roman" w:eastAsia="宋体" w:cs="Times New Roman"/>
                <w:b/>
                <w:snapToGrid w:val="0"/>
                <w:kern w:val="0"/>
                <w:szCs w:val="21"/>
              </w:rPr>
            </w:pPr>
            <w:r>
              <w:rPr>
                <w:rFonts w:ascii="Times New Roman" w:hAnsi="宋体" w:eastAsia="宋体" w:cs="Times New Roman"/>
                <w:b/>
                <w:snapToGrid w:val="0"/>
                <w:kern w:val="0"/>
                <w:szCs w:val="21"/>
              </w:rPr>
              <w:t>桩号</w:t>
            </w:r>
          </w:p>
        </w:tc>
        <w:tc>
          <w:tcPr>
            <w:tcW w:w="346" w:type="pct"/>
            <w:vMerge w:val="restart"/>
            <w:vAlign w:val="center"/>
          </w:tcPr>
          <w:p w14:paraId="5C41C373">
            <w:pPr>
              <w:widowControl/>
              <w:adjustRightInd w:val="0"/>
              <w:snapToGrid w:val="0"/>
              <w:spacing w:line="240" w:lineRule="exact"/>
              <w:jc w:val="center"/>
              <w:rPr>
                <w:rFonts w:ascii="Times New Roman" w:hAnsi="Times New Roman" w:eastAsia="宋体" w:cs="Times New Roman"/>
                <w:b/>
                <w:snapToGrid w:val="0"/>
                <w:kern w:val="0"/>
                <w:szCs w:val="21"/>
              </w:rPr>
            </w:pPr>
            <w:r>
              <w:rPr>
                <w:rFonts w:ascii="Times New Roman" w:hAnsi="宋体" w:eastAsia="宋体" w:cs="Times New Roman"/>
                <w:b/>
                <w:snapToGrid w:val="0"/>
                <w:kern w:val="0"/>
                <w:szCs w:val="21"/>
              </w:rPr>
              <w:t>敏感点名称</w:t>
            </w:r>
          </w:p>
        </w:tc>
        <w:tc>
          <w:tcPr>
            <w:tcW w:w="347" w:type="pct"/>
            <w:gridSpan w:val="2"/>
            <w:vAlign w:val="center"/>
          </w:tcPr>
          <w:p w14:paraId="5490FCE5">
            <w:pPr>
              <w:adjustRightInd w:val="0"/>
              <w:snapToGrid w:val="0"/>
              <w:spacing w:line="240" w:lineRule="exact"/>
              <w:jc w:val="center"/>
              <w:rPr>
                <w:rFonts w:ascii="Times New Roman" w:hAnsi="Times New Roman" w:eastAsia="宋体" w:cs="Times New Roman"/>
                <w:b/>
                <w:snapToGrid w:val="0"/>
                <w:kern w:val="0"/>
                <w:szCs w:val="21"/>
              </w:rPr>
            </w:pPr>
            <w:r>
              <w:rPr>
                <w:rFonts w:ascii="Times New Roman" w:hAnsi="宋体" w:eastAsia="宋体" w:cs="Times New Roman"/>
                <w:b/>
                <w:snapToGrid w:val="0"/>
                <w:kern w:val="0"/>
                <w:szCs w:val="21"/>
              </w:rPr>
              <w:t>所在位置</w:t>
            </w:r>
          </w:p>
        </w:tc>
        <w:tc>
          <w:tcPr>
            <w:tcW w:w="486" w:type="pct"/>
            <w:gridSpan w:val="2"/>
            <w:vAlign w:val="center"/>
          </w:tcPr>
          <w:p w14:paraId="653D31FE">
            <w:pPr>
              <w:widowControl/>
              <w:spacing w:line="240" w:lineRule="exact"/>
              <w:jc w:val="center"/>
              <w:rPr>
                <w:rFonts w:ascii="Times New Roman" w:hAnsi="Times New Roman" w:eastAsia="宋体" w:cs="Times New Roman"/>
                <w:b/>
                <w:bCs/>
                <w:szCs w:val="21"/>
              </w:rPr>
            </w:pPr>
            <w:r>
              <w:rPr>
                <w:rFonts w:ascii="Times New Roman" w:hAnsi="Times New Roman" w:eastAsia="宋体" w:cs="Times New Roman"/>
                <w:b/>
                <w:bCs/>
              </w:rPr>
              <w:t>营运中期昼间/夜间最大超标量（dB）</w:t>
            </w:r>
          </w:p>
        </w:tc>
        <w:tc>
          <w:tcPr>
            <w:tcW w:w="380" w:type="pct"/>
            <w:gridSpan w:val="2"/>
            <w:shd w:val="clear" w:color="auto" w:fill="auto"/>
            <w:vAlign w:val="center"/>
          </w:tcPr>
          <w:p w14:paraId="743D9B28">
            <w:pPr>
              <w:widowControl/>
              <w:adjustRightInd w:val="0"/>
              <w:snapToGrid w:val="0"/>
              <w:spacing w:line="240" w:lineRule="exact"/>
              <w:jc w:val="center"/>
              <w:rPr>
                <w:rFonts w:ascii="Times New Roman" w:hAnsi="Times New Roman" w:eastAsia="宋体" w:cs="Times New Roman"/>
                <w:b/>
                <w:snapToGrid w:val="0"/>
                <w:kern w:val="0"/>
                <w:szCs w:val="21"/>
              </w:rPr>
            </w:pPr>
            <w:r>
              <w:rPr>
                <w:rFonts w:ascii="Times New Roman" w:hAnsi="宋体" w:eastAsia="宋体" w:cs="Times New Roman"/>
                <w:b/>
                <w:snapToGrid w:val="0"/>
                <w:kern w:val="0"/>
                <w:szCs w:val="21"/>
              </w:rPr>
              <w:t>受影响户</w:t>
            </w:r>
            <w:r>
              <w:rPr>
                <w:rFonts w:ascii="Times New Roman" w:hAnsi="Times New Roman" w:eastAsia="宋体" w:cs="Times New Roman"/>
                <w:b/>
                <w:snapToGrid w:val="0"/>
                <w:kern w:val="0"/>
                <w:szCs w:val="21"/>
              </w:rPr>
              <w:t>(</w:t>
            </w:r>
            <w:r>
              <w:rPr>
                <w:rFonts w:ascii="Times New Roman" w:hAnsi="宋体" w:eastAsia="宋体" w:cs="Times New Roman"/>
                <w:b/>
                <w:snapToGrid w:val="0"/>
                <w:kern w:val="0"/>
                <w:szCs w:val="21"/>
              </w:rPr>
              <w:t>户</w:t>
            </w:r>
            <w:r>
              <w:rPr>
                <w:rFonts w:ascii="Times New Roman" w:hAnsi="Times New Roman" w:eastAsia="宋体" w:cs="Times New Roman"/>
                <w:b/>
                <w:snapToGrid w:val="0"/>
                <w:kern w:val="0"/>
                <w:szCs w:val="21"/>
              </w:rPr>
              <w:t>)</w:t>
            </w:r>
          </w:p>
        </w:tc>
        <w:tc>
          <w:tcPr>
            <w:tcW w:w="2230" w:type="pct"/>
            <w:vMerge w:val="restart"/>
            <w:noWrap/>
            <w:vAlign w:val="center"/>
          </w:tcPr>
          <w:p w14:paraId="2D614F41">
            <w:pPr>
              <w:spacing w:line="240" w:lineRule="exact"/>
              <w:jc w:val="center"/>
              <w:rPr>
                <w:rFonts w:ascii="Times New Roman" w:hAnsi="Times New Roman" w:eastAsia="宋体" w:cs="Times New Roman"/>
                <w:b/>
                <w:szCs w:val="21"/>
              </w:rPr>
            </w:pPr>
            <w:r>
              <w:rPr>
                <w:rFonts w:ascii="Times New Roman" w:hAnsi="Times New Roman" w:eastAsia="宋体" w:cs="Times New Roman"/>
                <w:b/>
                <w:szCs w:val="21"/>
              </w:rPr>
              <w:t>降噪措施方案论证比选</w:t>
            </w:r>
          </w:p>
        </w:tc>
        <w:tc>
          <w:tcPr>
            <w:tcW w:w="242" w:type="pct"/>
            <w:vMerge w:val="restart"/>
            <w:vAlign w:val="center"/>
          </w:tcPr>
          <w:p w14:paraId="2E7056A3">
            <w:pPr>
              <w:widowControl/>
              <w:spacing w:line="240" w:lineRule="exact"/>
              <w:jc w:val="center"/>
              <w:rPr>
                <w:rFonts w:ascii="Times New Roman" w:hAnsi="Times New Roman" w:eastAsia="宋体" w:cs="Times New Roman"/>
                <w:b/>
                <w:szCs w:val="21"/>
              </w:rPr>
            </w:pPr>
            <w:r>
              <w:rPr>
                <w:rFonts w:ascii="Times New Roman" w:hAnsi="Times New Roman" w:eastAsia="宋体" w:cs="Times New Roman"/>
                <w:b/>
                <w:szCs w:val="21"/>
              </w:rPr>
              <w:t>推荐措施</w:t>
            </w:r>
          </w:p>
        </w:tc>
        <w:tc>
          <w:tcPr>
            <w:tcW w:w="260" w:type="pct"/>
            <w:vMerge w:val="restart"/>
            <w:vAlign w:val="center"/>
          </w:tcPr>
          <w:p w14:paraId="0C3F2525">
            <w:pPr>
              <w:widowControl/>
              <w:spacing w:line="240" w:lineRule="exact"/>
              <w:jc w:val="center"/>
              <w:rPr>
                <w:rFonts w:ascii="Times New Roman" w:hAnsi="Times New Roman" w:eastAsia="宋体" w:cs="Times New Roman"/>
                <w:b/>
                <w:szCs w:val="21"/>
              </w:rPr>
            </w:pPr>
            <w:r>
              <w:rPr>
                <w:rFonts w:ascii="Times New Roman" w:hAnsi="Times New Roman" w:eastAsia="宋体" w:cs="Times New Roman"/>
                <w:b/>
                <w:szCs w:val="21"/>
              </w:rPr>
              <w:t>降噪效果</w:t>
            </w:r>
          </w:p>
        </w:tc>
        <w:tc>
          <w:tcPr>
            <w:tcW w:w="251" w:type="pct"/>
            <w:vMerge w:val="restart"/>
            <w:vAlign w:val="center"/>
          </w:tcPr>
          <w:p w14:paraId="1A34FD18">
            <w:pPr>
              <w:widowControl/>
              <w:spacing w:line="240" w:lineRule="exact"/>
              <w:jc w:val="center"/>
              <w:rPr>
                <w:rFonts w:ascii="Times New Roman" w:hAnsi="Times New Roman" w:eastAsia="宋体" w:cs="Times New Roman"/>
                <w:b/>
                <w:szCs w:val="21"/>
              </w:rPr>
            </w:pPr>
            <w:r>
              <w:rPr>
                <w:rFonts w:ascii="Times New Roman" w:hAnsi="Times New Roman" w:eastAsia="宋体" w:cs="Times New Roman"/>
                <w:b/>
                <w:szCs w:val="21"/>
              </w:rPr>
              <w:t>投资估算(万元)</w:t>
            </w:r>
          </w:p>
        </w:tc>
      </w:tr>
      <w:tr w14:paraId="41E79AEF">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trHeight w:val="382" w:hRule="atLeast"/>
          <w:tblHeader/>
          <w:jc w:val="center"/>
        </w:trPr>
        <w:tc>
          <w:tcPr>
            <w:tcW w:w="180" w:type="pct"/>
            <w:vMerge w:val="continue"/>
            <w:noWrap/>
            <w:vAlign w:val="center"/>
          </w:tcPr>
          <w:p w14:paraId="106E4BDB">
            <w:pPr>
              <w:spacing w:line="240" w:lineRule="exact"/>
              <w:jc w:val="center"/>
              <w:rPr>
                <w:rFonts w:ascii="Times New Roman" w:hAnsi="Times New Roman" w:eastAsia="宋体" w:cs="Times New Roman"/>
              </w:rPr>
            </w:pPr>
          </w:p>
        </w:tc>
        <w:tc>
          <w:tcPr>
            <w:tcW w:w="278" w:type="pct"/>
            <w:vMerge w:val="continue"/>
            <w:vAlign w:val="center"/>
          </w:tcPr>
          <w:p w14:paraId="2BCD3320">
            <w:pPr>
              <w:widowControl/>
              <w:adjustRightInd w:val="0"/>
              <w:snapToGrid w:val="0"/>
              <w:spacing w:line="240" w:lineRule="exact"/>
              <w:jc w:val="center"/>
              <w:rPr>
                <w:rFonts w:ascii="Times New Roman" w:hAnsi="Times New Roman" w:eastAsia="宋体" w:cs="Times New Roman"/>
                <w:b/>
                <w:snapToGrid w:val="0"/>
                <w:kern w:val="0"/>
                <w:szCs w:val="21"/>
              </w:rPr>
            </w:pPr>
          </w:p>
        </w:tc>
        <w:tc>
          <w:tcPr>
            <w:tcW w:w="346" w:type="pct"/>
            <w:vMerge w:val="continue"/>
            <w:vAlign w:val="center"/>
          </w:tcPr>
          <w:p w14:paraId="44400D91">
            <w:pPr>
              <w:widowControl/>
              <w:adjustRightInd w:val="0"/>
              <w:snapToGrid w:val="0"/>
              <w:spacing w:line="240" w:lineRule="exact"/>
              <w:jc w:val="center"/>
              <w:rPr>
                <w:rFonts w:ascii="Times New Roman" w:hAnsi="Times New Roman" w:eastAsia="宋体" w:cs="Times New Roman"/>
                <w:b/>
                <w:snapToGrid w:val="0"/>
                <w:kern w:val="0"/>
                <w:szCs w:val="21"/>
              </w:rPr>
            </w:pPr>
          </w:p>
        </w:tc>
        <w:tc>
          <w:tcPr>
            <w:tcW w:w="138" w:type="pct"/>
            <w:vAlign w:val="center"/>
          </w:tcPr>
          <w:p w14:paraId="6592E2FC">
            <w:pPr>
              <w:adjustRightInd w:val="0"/>
              <w:snapToGrid w:val="0"/>
              <w:spacing w:line="240" w:lineRule="exact"/>
              <w:jc w:val="center"/>
              <w:rPr>
                <w:rFonts w:ascii="Times New Roman" w:hAnsi="Times New Roman" w:eastAsia="宋体" w:cs="Times New Roman"/>
                <w:b/>
                <w:snapToGrid w:val="0"/>
                <w:kern w:val="0"/>
                <w:szCs w:val="21"/>
              </w:rPr>
            </w:pPr>
            <w:r>
              <w:rPr>
                <w:rFonts w:ascii="Times New Roman" w:hAnsi="宋体" w:eastAsia="宋体" w:cs="Times New Roman"/>
                <w:b/>
                <w:snapToGrid w:val="0"/>
                <w:kern w:val="0"/>
                <w:szCs w:val="21"/>
              </w:rPr>
              <w:t>方位</w:t>
            </w:r>
          </w:p>
        </w:tc>
        <w:tc>
          <w:tcPr>
            <w:tcW w:w="209" w:type="pct"/>
            <w:vAlign w:val="center"/>
          </w:tcPr>
          <w:p w14:paraId="4F497799">
            <w:pPr>
              <w:adjustRightInd w:val="0"/>
              <w:snapToGrid w:val="0"/>
              <w:spacing w:line="240" w:lineRule="exact"/>
              <w:jc w:val="center"/>
              <w:rPr>
                <w:rFonts w:ascii="Times New Roman" w:hAnsi="Times New Roman" w:eastAsia="宋体" w:cs="Times New Roman"/>
                <w:b/>
                <w:snapToGrid w:val="0"/>
                <w:kern w:val="0"/>
                <w:szCs w:val="21"/>
              </w:rPr>
            </w:pPr>
            <w:r>
              <w:rPr>
                <w:rFonts w:ascii="Times New Roman" w:hAnsi="宋体" w:eastAsia="宋体" w:cs="Times New Roman"/>
                <w:b/>
                <w:snapToGrid w:val="0"/>
                <w:kern w:val="0"/>
                <w:szCs w:val="21"/>
              </w:rPr>
              <w:t>距路中心线</w:t>
            </w:r>
            <w:r>
              <w:rPr>
                <w:rFonts w:ascii="Times New Roman" w:hAnsi="Times New Roman" w:eastAsia="宋体" w:cs="Times New Roman"/>
                <w:b/>
                <w:snapToGrid w:val="0"/>
                <w:kern w:val="0"/>
                <w:szCs w:val="21"/>
              </w:rPr>
              <w:t>(m)</w:t>
            </w:r>
          </w:p>
        </w:tc>
        <w:tc>
          <w:tcPr>
            <w:tcW w:w="243" w:type="pct"/>
            <w:vAlign w:val="center"/>
          </w:tcPr>
          <w:p w14:paraId="4ADCFA91">
            <w:pPr>
              <w:widowControl/>
              <w:jc w:val="center"/>
              <w:rPr>
                <w:rFonts w:ascii="Times New Roman" w:hAnsi="Times New Roman" w:eastAsia="宋体" w:cs="Times New Roman"/>
                <w:b/>
                <w:kern w:val="0"/>
              </w:rPr>
            </w:pPr>
            <w:r>
              <w:rPr>
                <w:rFonts w:ascii="Times New Roman" w:hAnsi="Times New Roman" w:eastAsia="宋体" w:cs="Times New Roman"/>
                <w:b/>
                <w:bCs/>
              </w:rPr>
              <w:t>4a类</w:t>
            </w:r>
          </w:p>
        </w:tc>
        <w:tc>
          <w:tcPr>
            <w:tcW w:w="243" w:type="pct"/>
            <w:vAlign w:val="center"/>
          </w:tcPr>
          <w:p w14:paraId="25FD37C2">
            <w:pPr>
              <w:widowControl/>
              <w:jc w:val="center"/>
              <w:rPr>
                <w:rFonts w:ascii="Times New Roman" w:hAnsi="Times New Roman" w:eastAsia="宋体" w:cs="Times New Roman"/>
                <w:b/>
                <w:kern w:val="0"/>
              </w:rPr>
            </w:pPr>
            <w:r>
              <w:rPr>
                <w:rFonts w:ascii="Times New Roman" w:hAnsi="Times New Roman" w:eastAsia="宋体" w:cs="Times New Roman"/>
                <w:b/>
                <w:bCs/>
              </w:rPr>
              <w:t>2类</w:t>
            </w:r>
          </w:p>
        </w:tc>
        <w:tc>
          <w:tcPr>
            <w:tcW w:w="190" w:type="pct"/>
            <w:shd w:val="clear" w:color="auto" w:fill="auto"/>
            <w:vAlign w:val="center"/>
          </w:tcPr>
          <w:p w14:paraId="6E62E69E">
            <w:pPr>
              <w:adjustRightInd w:val="0"/>
              <w:snapToGrid w:val="0"/>
              <w:spacing w:line="240" w:lineRule="exact"/>
              <w:jc w:val="center"/>
              <w:rPr>
                <w:rFonts w:ascii="Times New Roman" w:hAnsi="Times New Roman" w:eastAsia="宋体" w:cs="Times New Roman"/>
                <w:b/>
                <w:snapToGrid w:val="0"/>
                <w:kern w:val="0"/>
                <w:szCs w:val="21"/>
              </w:rPr>
            </w:pPr>
            <w:r>
              <w:rPr>
                <w:rFonts w:ascii="Times New Roman" w:hAnsi="Times New Roman" w:eastAsia="宋体" w:cs="Times New Roman"/>
                <w:b/>
                <w:snapToGrid w:val="0"/>
                <w:kern w:val="0"/>
                <w:szCs w:val="21"/>
              </w:rPr>
              <w:t>4a</w:t>
            </w:r>
            <w:r>
              <w:rPr>
                <w:rFonts w:ascii="Times New Roman" w:hAnsi="宋体" w:eastAsia="宋体" w:cs="Times New Roman"/>
                <w:b/>
                <w:snapToGrid w:val="0"/>
                <w:kern w:val="0"/>
                <w:szCs w:val="21"/>
              </w:rPr>
              <w:t>类</w:t>
            </w:r>
          </w:p>
        </w:tc>
        <w:tc>
          <w:tcPr>
            <w:tcW w:w="190" w:type="pct"/>
            <w:shd w:val="clear" w:color="auto" w:fill="auto"/>
            <w:vAlign w:val="center"/>
          </w:tcPr>
          <w:p w14:paraId="31DE6C8C">
            <w:pPr>
              <w:adjustRightInd w:val="0"/>
              <w:snapToGrid w:val="0"/>
              <w:spacing w:line="240" w:lineRule="exact"/>
              <w:jc w:val="center"/>
              <w:rPr>
                <w:rFonts w:ascii="Times New Roman" w:hAnsi="Times New Roman" w:eastAsia="宋体" w:cs="Times New Roman"/>
                <w:b/>
                <w:snapToGrid w:val="0"/>
                <w:kern w:val="0"/>
                <w:szCs w:val="21"/>
              </w:rPr>
            </w:pPr>
            <w:r>
              <w:rPr>
                <w:rFonts w:ascii="Times New Roman" w:hAnsi="Times New Roman" w:eastAsia="宋体" w:cs="Times New Roman"/>
                <w:b/>
                <w:snapToGrid w:val="0"/>
                <w:kern w:val="0"/>
                <w:szCs w:val="21"/>
              </w:rPr>
              <w:t>2</w:t>
            </w:r>
            <w:r>
              <w:rPr>
                <w:rFonts w:ascii="Times New Roman" w:hAnsi="宋体" w:eastAsia="宋体" w:cs="Times New Roman"/>
                <w:b/>
                <w:snapToGrid w:val="0"/>
                <w:kern w:val="0"/>
                <w:szCs w:val="21"/>
              </w:rPr>
              <w:t>类</w:t>
            </w:r>
          </w:p>
        </w:tc>
        <w:tc>
          <w:tcPr>
            <w:tcW w:w="2230" w:type="pct"/>
            <w:vMerge w:val="continue"/>
            <w:noWrap/>
            <w:vAlign w:val="center"/>
          </w:tcPr>
          <w:p w14:paraId="6AE1D03B">
            <w:pPr>
              <w:widowControl/>
              <w:adjustRightInd w:val="0"/>
              <w:snapToGrid w:val="0"/>
              <w:spacing w:line="240" w:lineRule="exact"/>
              <w:jc w:val="center"/>
              <w:rPr>
                <w:rFonts w:ascii="Times New Roman" w:hAnsi="Times New Roman" w:eastAsia="宋体" w:cs="Times New Roman"/>
                <w:b/>
                <w:snapToGrid w:val="0"/>
                <w:kern w:val="0"/>
                <w:szCs w:val="21"/>
              </w:rPr>
            </w:pPr>
          </w:p>
        </w:tc>
        <w:tc>
          <w:tcPr>
            <w:tcW w:w="242" w:type="pct"/>
            <w:vMerge w:val="continue"/>
          </w:tcPr>
          <w:p w14:paraId="6AABE0FD">
            <w:pPr>
              <w:widowControl/>
              <w:adjustRightInd w:val="0"/>
              <w:snapToGrid w:val="0"/>
              <w:spacing w:line="240" w:lineRule="exact"/>
              <w:jc w:val="center"/>
              <w:rPr>
                <w:rFonts w:ascii="Times New Roman" w:hAnsi="Times New Roman" w:eastAsia="宋体" w:cs="Times New Roman"/>
                <w:b/>
                <w:snapToGrid w:val="0"/>
                <w:kern w:val="0"/>
                <w:szCs w:val="21"/>
              </w:rPr>
            </w:pPr>
          </w:p>
        </w:tc>
        <w:tc>
          <w:tcPr>
            <w:tcW w:w="260" w:type="pct"/>
            <w:vMerge w:val="continue"/>
          </w:tcPr>
          <w:p w14:paraId="75A8718F">
            <w:pPr>
              <w:widowControl/>
              <w:adjustRightInd w:val="0"/>
              <w:snapToGrid w:val="0"/>
              <w:spacing w:line="240" w:lineRule="exact"/>
              <w:jc w:val="center"/>
              <w:rPr>
                <w:rFonts w:ascii="Times New Roman" w:hAnsi="Times New Roman" w:eastAsia="宋体" w:cs="Times New Roman"/>
                <w:b/>
                <w:snapToGrid w:val="0"/>
                <w:kern w:val="0"/>
                <w:szCs w:val="21"/>
              </w:rPr>
            </w:pPr>
          </w:p>
        </w:tc>
        <w:tc>
          <w:tcPr>
            <w:tcW w:w="251" w:type="pct"/>
            <w:vMerge w:val="continue"/>
          </w:tcPr>
          <w:p w14:paraId="6F70B476">
            <w:pPr>
              <w:widowControl/>
              <w:adjustRightInd w:val="0"/>
              <w:snapToGrid w:val="0"/>
              <w:spacing w:line="240" w:lineRule="exact"/>
              <w:jc w:val="center"/>
              <w:rPr>
                <w:rFonts w:ascii="Times New Roman" w:hAnsi="Times New Roman" w:eastAsia="宋体" w:cs="Times New Roman"/>
                <w:b/>
                <w:snapToGrid w:val="0"/>
                <w:kern w:val="0"/>
                <w:szCs w:val="21"/>
              </w:rPr>
            </w:pPr>
          </w:p>
        </w:tc>
      </w:tr>
      <w:tr w14:paraId="5A6083E2">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trHeight w:val="80" w:hRule="atLeast"/>
          <w:tblHeader/>
          <w:jc w:val="center"/>
        </w:trPr>
        <w:tc>
          <w:tcPr>
            <w:tcW w:w="180" w:type="pct"/>
            <w:noWrap/>
            <w:vAlign w:val="center"/>
          </w:tcPr>
          <w:p w14:paraId="66D61AEE">
            <w:pPr>
              <w:jc w:val="center"/>
              <w:rPr>
                <w:rFonts w:ascii="Times New Roman" w:hAnsi="Times New Roman" w:eastAsia="宋体" w:cs="Times New Roman"/>
              </w:rPr>
            </w:pPr>
            <w:r>
              <w:rPr>
                <w:rFonts w:hint="eastAsia" w:ascii="Times New Roman" w:hAnsi="Times New Roman" w:eastAsia="宋体" w:cs="Times New Roman"/>
              </w:rPr>
              <w:t>12</w:t>
            </w:r>
          </w:p>
        </w:tc>
        <w:tc>
          <w:tcPr>
            <w:tcW w:w="278" w:type="pct"/>
            <w:vAlign w:val="center"/>
          </w:tcPr>
          <w:p w14:paraId="08F306F4">
            <w:pPr>
              <w:widowControl/>
              <w:spacing w:line="300" w:lineRule="exact"/>
              <w:jc w:val="center"/>
              <w:rPr>
                <w:rFonts w:ascii="Times New Roman" w:hAnsi="Times New Roman" w:eastAsia="宋体" w:cs="Times New Roman"/>
              </w:rPr>
            </w:pPr>
            <w:r>
              <w:rPr>
                <w:rFonts w:ascii="Times New Roman" w:hAnsi="Times New Roman" w:eastAsia="宋体" w:cs="Times New Roman"/>
              </w:rPr>
              <w:t>K</w:t>
            </w:r>
            <w:r>
              <w:rPr>
                <w:rFonts w:hint="eastAsia" w:ascii="Times New Roman" w:hAnsi="Times New Roman" w:eastAsia="宋体" w:cs="Times New Roman"/>
              </w:rPr>
              <w:t>28</w:t>
            </w:r>
            <w:r>
              <w:rPr>
                <w:rFonts w:ascii="Times New Roman" w:hAnsi="Times New Roman" w:eastAsia="宋体" w:cs="Times New Roman"/>
              </w:rPr>
              <w:t>+</w:t>
            </w:r>
            <w:r>
              <w:rPr>
                <w:rFonts w:hint="eastAsia" w:ascii="Times New Roman" w:hAnsi="Times New Roman" w:eastAsia="宋体" w:cs="Times New Roman"/>
              </w:rPr>
              <w:t>67</w:t>
            </w:r>
            <w:r>
              <w:rPr>
                <w:rFonts w:ascii="Times New Roman" w:hAnsi="Times New Roman" w:eastAsia="宋体" w:cs="Times New Roman"/>
              </w:rPr>
              <w:t>0</w:t>
            </w:r>
          </w:p>
        </w:tc>
        <w:tc>
          <w:tcPr>
            <w:tcW w:w="346" w:type="pct"/>
            <w:vAlign w:val="center"/>
          </w:tcPr>
          <w:p w14:paraId="0AB9CA88">
            <w:pPr>
              <w:widowControl/>
              <w:spacing w:line="300" w:lineRule="exact"/>
              <w:jc w:val="center"/>
              <w:rPr>
                <w:rFonts w:ascii="Times New Roman" w:hAnsi="Times New Roman" w:eastAsia="宋体" w:cs="Times New Roman"/>
              </w:rPr>
            </w:pPr>
            <w:r>
              <w:rPr>
                <w:rFonts w:hint="eastAsia" w:ascii="Times New Roman" w:hAnsi="Times New Roman" w:eastAsia="宋体" w:cs="Times New Roman"/>
              </w:rPr>
              <w:t>伽师县和夏阿瓦提镇夏合亚迪村幼儿园</w:t>
            </w:r>
          </w:p>
        </w:tc>
        <w:tc>
          <w:tcPr>
            <w:tcW w:w="138" w:type="pct"/>
            <w:vAlign w:val="center"/>
          </w:tcPr>
          <w:p w14:paraId="66C3C259">
            <w:pPr>
              <w:widowControl/>
              <w:spacing w:line="300" w:lineRule="exact"/>
              <w:jc w:val="center"/>
              <w:rPr>
                <w:rFonts w:ascii="Times New Roman" w:hAnsi="Times New Roman" w:eastAsia="宋体" w:cs="Times New Roman"/>
              </w:rPr>
            </w:pPr>
            <w:r>
              <w:rPr>
                <w:rFonts w:ascii="Times New Roman" w:hAnsi="Times New Roman" w:eastAsia="宋体" w:cs="Times New Roman"/>
              </w:rPr>
              <w:t>路左</w:t>
            </w:r>
          </w:p>
        </w:tc>
        <w:tc>
          <w:tcPr>
            <w:tcW w:w="209" w:type="pct"/>
            <w:vAlign w:val="center"/>
          </w:tcPr>
          <w:p w14:paraId="3486CDE0">
            <w:pPr>
              <w:widowControl/>
              <w:spacing w:line="300" w:lineRule="exact"/>
              <w:jc w:val="center"/>
              <w:rPr>
                <w:rFonts w:ascii="Times New Roman" w:hAnsi="Times New Roman" w:eastAsia="宋体" w:cs="Times New Roman"/>
              </w:rPr>
            </w:pPr>
            <w:r>
              <w:rPr>
                <w:rFonts w:hint="eastAsia" w:ascii="Times New Roman" w:hAnsi="Times New Roman" w:eastAsia="宋体" w:cs="Times New Roman"/>
              </w:rPr>
              <w:t>72</w:t>
            </w:r>
          </w:p>
        </w:tc>
        <w:tc>
          <w:tcPr>
            <w:tcW w:w="243" w:type="pct"/>
            <w:vAlign w:val="center"/>
          </w:tcPr>
          <w:p w14:paraId="7A08AB51">
            <w:pPr>
              <w:adjustRightInd w:val="0"/>
              <w:snapToGrid w:val="0"/>
              <w:spacing w:line="240" w:lineRule="exact"/>
              <w:jc w:val="center"/>
              <w:rPr>
                <w:rFonts w:ascii="Times New Roman" w:hAnsi="Times New Roman" w:eastAsia="宋体" w:cs="Times New Roman"/>
              </w:rPr>
            </w:pPr>
            <w:r>
              <w:rPr>
                <w:rFonts w:hint="eastAsia" w:ascii="Times New Roman" w:hAnsi="Times New Roman" w:eastAsia="宋体" w:cs="Times New Roman"/>
              </w:rPr>
              <w:t>-/-</w:t>
            </w:r>
          </w:p>
        </w:tc>
        <w:tc>
          <w:tcPr>
            <w:tcW w:w="243" w:type="pct"/>
            <w:vAlign w:val="center"/>
          </w:tcPr>
          <w:p w14:paraId="66A3CFA4">
            <w:pPr>
              <w:adjustRightInd w:val="0"/>
              <w:snapToGrid w:val="0"/>
              <w:spacing w:line="240" w:lineRule="exact"/>
              <w:jc w:val="center"/>
              <w:rPr>
                <w:rFonts w:ascii="Times New Roman" w:hAnsi="Times New Roman" w:eastAsia="宋体" w:cs="Times New Roman"/>
              </w:rPr>
            </w:pPr>
            <w:r>
              <w:rPr>
                <w:rFonts w:hint="eastAsia" w:ascii="Times New Roman" w:hAnsi="Times New Roman" w:eastAsia="宋体" w:cs="Times New Roman"/>
              </w:rPr>
              <w:t>2.2/-</w:t>
            </w:r>
          </w:p>
        </w:tc>
        <w:tc>
          <w:tcPr>
            <w:tcW w:w="190" w:type="pct"/>
            <w:shd w:val="clear" w:color="auto" w:fill="auto"/>
            <w:vAlign w:val="center"/>
          </w:tcPr>
          <w:p w14:paraId="3574682A">
            <w:pPr>
              <w:adjustRightInd w:val="0"/>
              <w:snapToGrid w:val="0"/>
              <w:spacing w:line="240" w:lineRule="exact"/>
              <w:jc w:val="center"/>
              <w:rPr>
                <w:rFonts w:ascii="Times New Roman" w:hAnsi="Times New Roman" w:eastAsia="宋体" w:cs="Times New Roman"/>
              </w:rPr>
            </w:pPr>
            <w:r>
              <w:rPr>
                <w:rFonts w:hint="eastAsia" w:ascii="Times New Roman" w:hAnsi="Times New Roman" w:eastAsia="宋体" w:cs="Times New Roman"/>
              </w:rPr>
              <w:t>-</w:t>
            </w:r>
          </w:p>
        </w:tc>
        <w:tc>
          <w:tcPr>
            <w:tcW w:w="190" w:type="pct"/>
            <w:shd w:val="clear" w:color="auto" w:fill="auto"/>
            <w:vAlign w:val="center"/>
          </w:tcPr>
          <w:p w14:paraId="15822D3A">
            <w:pPr>
              <w:adjustRightInd w:val="0"/>
              <w:snapToGrid w:val="0"/>
              <w:spacing w:line="240" w:lineRule="exact"/>
              <w:jc w:val="center"/>
              <w:rPr>
                <w:rFonts w:ascii="Times New Roman" w:hAnsi="Times New Roman" w:eastAsia="宋体" w:cs="Times New Roman"/>
              </w:rPr>
            </w:pPr>
            <w:r>
              <w:rPr>
                <w:rFonts w:hint="eastAsia" w:ascii="Times New Roman" w:hAnsi="Times New Roman" w:eastAsia="宋体" w:cs="Times New Roman"/>
              </w:rPr>
              <w:t>1栋2层楼</w:t>
            </w:r>
          </w:p>
        </w:tc>
        <w:tc>
          <w:tcPr>
            <w:tcW w:w="2230" w:type="pct"/>
            <w:noWrap/>
            <w:vAlign w:val="center"/>
          </w:tcPr>
          <w:p w14:paraId="6E689EC6">
            <w:pPr>
              <w:rPr>
                <w:rFonts w:ascii="Times New Roman" w:hAnsi="Times New Roman" w:eastAsia="宋体" w:cs="Times New Roman"/>
                <w:szCs w:val="21"/>
              </w:rPr>
            </w:pPr>
            <w:r>
              <w:rPr>
                <w:rFonts w:ascii="Times New Roman" w:hAnsi="Times New Roman" w:eastAsia="宋体" w:cs="Times New Roman"/>
                <w:szCs w:val="21"/>
              </w:rPr>
              <w:t>方案一：</w:t>
            </w:r>
            <w:r>
              <w:rPr>
                <w:rFonts w:ascii="Times New Roman" w:hAnsi="Times New Roman" w:cs="Times New Roman" w:eastAsiaTheme="minorEastAsia"/>
              </w:rPr>
              <w:t>安装隔声窗，超标范围内</w:t>
            </w:r>
            <w:r>
              <w:rPr>
                <w:rFonts w:hint="eastAsia" w:ascii="Times New Roman" w:hAnsi="Times New Roman" w:cs="Times New Roman" w:eastAsiaTheme="minorEastAsia"/>
                <w:bCs/>
              </w:rPr>
              <w:t>1栋2层</w:t>
            </w:r>
            <w:r>
              <w:rPr>
                <w:rFonts w:ascii="Times New Roman" w:hAnsi="Times New Roman" w:cs="Times New Roman" w:eastAsiaTheme="minorEastAsia"/>
                <w:bCs/>
              </w:rPr>
              <w:t>楼</w:t>
            </w:r>
            <w:r>
              <w:rPr>
                <w:rFonts w:ascii="Times New Roman" w:hAnsi="Times New Roman" w:cs="Times New Roman" w:eastAsiaTheme="minorEastAsia"/>
              </w:rPr>
              <w:t>，隔声量20～25dB，共计</w:t>
            </w:r>
            <w:r>
              <w:rPr>
                <w:rFonts w:hint="eastAsia" w:ascii="Times New Roman" w:hAnsi="Times New Roman" w:cs="Times New Roman" w:eastAsiaTheme="minorEastAsia"/>
              </w:rPr>
              <w:t>30</w:t>
            </w:r>
            <w:r>
              <w:rPr>
                <w:rFonts w:ascii="Times New Roman" w:hAnsi="Times New Roman" w:cs="Times New Roman" w:eastAsiaTheme="minorEastAsia"/>
              </w:rPr>
              <w:t>万元。</w:t>
            </w:r>
          </w:p>
          <w:p w14:paraId="1F6823D4">
            <w:pPr>
              <w:spacing w:line="240" w:lineRule="exact"/>
              <w:rPr>
                <w:rFonts w:ascii="Times New Roman" w:hAnsi="Times New Roman" w:eastAsia="宋体" w:cs="Times New Roman"/>
                <w:szCs w:val="21"/>
              </w:rPr>
            </w:pPr>
            <w:r>
              <w:rPr>
                <w:rFonts w:ascii="Times New Roman" w:hAnsi="Times New Roman" w:eastAsia="宋体" w:cs="Times New Roman"/>
                <w:szCs w:val="21"/>
              </w:rPr>
              <w:t>方案二：设置声屏障，拟建公路</w:t>
            </w:r>
            <w:r>
              <w:rPr>
                <w:rFonts w:hint="eastAsia" w:ascii="Times New Roman" w:hAnsi="Times New Roman" w:eastAsia="宋体" w:cs="Times New Roman"/>
                <w:szCs w:val="21"/>
              </w:rPr>
              <w:t>左</w:t>
            </w:r>
            <w:r>
              <w:rPr>
                <w:rFonts w:ascii="Times New Roman" w:hAnsi="Times New Roman" w:eastAsia="宋体" w:cs="Times New Roman"/>
                <w:szCs w:val="21"/>
              </w:rPr>
              <w:t>侧</w:t>
            </w:r>
            <w:r>
              <w:rPr>
                <w:rFonts w:ascii="Times New Roman" w:hAnsi="Times New Roman" w:eastAsia="宋体" w:cs="Times New Roman"/>
              </w:rPr>
              <w:t>K</w:t>
            </w:r>
            <w:r>
              <w:rPr>
                <w:rFonts w:hint="eastAsia" w:ascii="Times New Roman" w:hAnsi="Times New Roman" w:eastAsia="宋体" w:cs="Times New Roman"/>
              </w:rPr>
              <w:t>28</w:t>
            </w:r>
            <w:r>
              <w:rPr>
                <w:rFonts w:ascii="Times New Roman" w:hAnsi="Times New Roman" w:eastAsia="宋体" w:cs="Times New Roman"/>
              </w:rPr>
              <w:t>+</w:t>
            </w:r>
            <w:r>
              <w:rPr>
                <w:rFonts w:hint="eastAsia" w:ascii="Times New Roman" w:hAnsi="Times New Roman" w:eastAsia="宋体" w:cs="Times New Roman"/>
              </w:rPr>
              <w:t>60</w:t>
            </w:r>
            <w:r>
              <w:rPr>
                <w:rFonts w:ascii="Times New Roman" w:hAnsi="Times New Roman" w:eastAsia="宋体" w:cs="Times New Roman"/>
              </w:rPr>
              <w:t>0</w:t>
            </w:r>
            <w:r>
              <w:rPr>
                <w:rFonts w:ascii="Times New Roman" w:hAnsi="Times New Roman" w:eastAsia="宋体" w:cs="Times New Roman"/>
                <w:szCs w:val="21"/>
              </w:rPr>
              <w:t>～</w:t>
            </w:r>
            <w:r>
              <w:rPr>
                <w:rFonts w:ascii="Times New Roman" w:hAnsi="Times New Roman" w:eastAsia="宋体" w:cs="Times New Roman"/>
              </w:rPr>
              <w:t>K</w:t>
            </w:r>
            <w:r>
              <w:rPr>
                <w:rFonts w:hint="eastAsia" w:ascii="Times New Roman" w:hAnsi="Times New Roman" w:eastAsia="宋体" w:cs="Times New Roman"/>
              </w:rPr>
              <w:t>28</w:t>
            </w:r>
            <w:r>
              <w:rPr>
                <w:rFonts w:ascii="Times New Roman" w:hAnsi="Times New Roman" w:eastAsia="宋体" w:cs="Times New Roman"/>
              </w:rPr>
              <w:t>+</w:t>
            </w:r>
            <w:r>
              <w:rPr>
                <w:rFonts w:hint="eastAsia" w:ascii="Times New Roman" w:hAnsi="Times New Roman" w:eastAsia="宋体" w:cs="Times New Roman"/>
              </w:rPr>
              <w:t>75</w:t>
            </w:r>
            <w:r>
              <w:rPr>
                <w:rFonts w:ascii="Times New Roman" w:hAnsi="Times New Roman" w:eastAsia="宋体" w:cs="Times New Roman"/>
              </w:rPr>
              <w:t>0</w:t>
            </w:r>
            <w:r>
              <w:rPr>
                <w:rFonts w:ascii="Times New Roman" w:hAnsi="Times New Roman" w:eastAsia="宋体" w:cs="Times New Roman"/>
                <w:szCs w:val="21"/>
              </w:rPr>
              <w:t>设置</w:t>
            </w:r>
            <w:r>
              <w:rPr>
                <w:rFonts w:hint="eastAsia" w:ascii="Times New Roman" w:hAnsi="Times New Roman" w:eastAsia="宋体" w:cs="Times New Roman"/>
                <w:szCs w:val="21"/>
              </w:rPr>
              <w:t>150</w:t>
            </w:r>
            <w:r>
              <w:rPr>
                <w:rFonts w:ascii="Times New Roman" w:hAnsi="Times New Roman" w:eastAsia="宋体" w:cs="Times New Roman"/>
                <w:szCs w:val="21"/>
              </w:rPr>
              <w:t>m（长）×</w:t>
            </w:r>
            <w:r>
              <w:rPr>
                <w:rFonts w:hint="eastAsia" w:ascii="Times New Roman" w:hAnsi="Times New Roman" w:eastAsia="宋体" w:cs="Times New Roman"/>
                <w:szCs w:val="21"/>
              </w:rPr>
              <w:t>3.0</w:t>
            </w:r>
            <w:r>
              <w:rPr>
                <w:rFonts w:ascii="Times New Roman" w:hAnsi="Times New Roman" w:eastAsia="宋体" w:cs="Times New Roman"/>
                <w:szCs w:val="21"/>
              </w:rPr>
              <w:t>m（高）声屏障，</w:t>
            </w:r>
            <w:r>
              <w:rPr>
                <w:rFonts w:hint="eastAsia" w:ascii="Times New Roman" w:hAnsi="Times New Roman" w:eastAsia="宋体" w:cs="Times New Roman"/>
                <w:szCs w:val="21"/>
              </w:rPr>
              <w:t>2</w:t>
            </w:r>
            <w:r>
              <w:rPr>
                <w:rFonts w:ascii="Times New Roman" w:hAnsi="Times New Roman" w:eastAsia="宋体" w:cs="Times New Roman"/>
                <w:szCs w:val="21"/>
              </w:rPr>
              <w:t>000元/m，共投资</w:t>
            </w:r>
            <w:r>
              <w:rPr>
                <w:rFonts w:hint="eastAsia" w:ascii="Times New Roman" w:hAnsi="Times New Roman" w:eastAsia="宋体" w:cs="Times New Roman"/>
                <w:szCs w:val="21"/>
              </w:rPr>
              <w:t>30</w:t>
            </w:r>
            <w:r>
              <w:rPr>
                <w:rFonts w:ascii="Times New Roman" w:hAnsi="Times New Roman" w:eastAsia="宋体" w:cs="Times New Roman"/>
                <w:szCs w:val="21"/>
              </w:rPr>
              <w:t>万元</w:t>
            </w:r>
            <w:r>
              <w:rPr>
                <w:rFonts w:ascii="Times New Roman" w:hAnsi="Times New Roman" w:eastAsia="宋体" w:cs="Times New Roman"/>
              </w:rPr>
              <w:t>，房屋距路较近，分布较集中，声屏障降噪效果好</w:t>
            </w:r>
            <w:r>
              <w:rPr>
                <w:rFonts w:ascii="Times New Roman" w:hAnsi="Times New Roman" w:eastAsia="宋体" w:cs="Times New Roman"/>
                <w:szCs w:val="21"/>
              </w:rPr>
              <w:t>。</w:t>
            </w:r>
          </w:p>
          <w:p w14:paraId="5C4A1561">
            <w:pPr>
              <w:widowControl/>
              <w:spacing w:line="260" w:lineRule="exact"/>
              <w:rPr>
                <w:rFonts w:ascii="Times New Roman" w:hAnsi="Times New Roman" w:eastAsia="宋体" w:cs="Times New Roman"/>
                <w:szCs w:val="21"/>
              </w:rPr>
            </w:pPr>
            <w:r>
              <w:rPr>
                <w:rFonts w:ascii="Times New Roman" w:hAnsi="Times New Roman" w:eastAsia="宋体" w:cs="Times New Roman"/>
                <w:szCs w:val="21"/>
              </w:rPr>
              <w:t>推荐：综合考虑推荐方案</w:t>
            </w:r>
            <w:r>
              <w:rPr>
                <w:rFonts w:hint="eastAsia" w:ascii="Times New Roman" w:hAnsi="Times New Roman" w:eastAsia="宋体" w:cs="Times New Roman"/>
                <w:szCs w:val="21"/>
              </w:rPr>
              <w:t>二</w:t>
            </w:r>
            <w:r>
              <w:rPr>
                <w:rFonts w:ascii="Times New Roman" w:hAnsi="Times New Roman" w:eastAsia="宋体" w:cs="Times New Roman"/>
                <w:szCs w:val="21"/>
              </w:rPr>
              <w:t>。</w:t>
            </w:r>
          </w:p>
        </w:tc>
        <w:tc>
          <w:tcPr>
            <w:tcW w:w="242" w:type="pct"/>
            <w:vAlign w:val="center"/>
          </w:tcPr>
          <w:p w14:paraId="0134BD2A">
            <w:pPr>
              <w:jc w:val="center"/>
              <w:rPr>
                <w:rFonts w:ascii="Times New Roman" w:hAnsi="Times New Roman" w:eastAsia="宋体" w:cs="Times New Roman"/>
                <w:szCs w:val="21"/>
              </w:rPr>
            </w:pPr>
            <w:r>
              <w:rPr>
                <w:rFonts w:ascii="Times New Roman" w:hAnsi="Times New Roman" w:eastAsia="宋体" w:cs="Times New Roman"/>
                <w:kern w:val="0"/>
              </w:rPr>
              <w:t>声屏障</w:t>
            </w:r>
          </w:p>
        </w:tc>
        <w:tc>
          <w:tcPr>
            <w:tcW w:w="260" w:type="pct"/>
            <w:vAlign w:val="center"/>
          </w:tcPr>
          <w:p w14:paraId="3B6B5625">
            <w:pPr>
              <w:jc w:val="center"/>
              <w:rPr>
                <w:rFonts w:ascii="Times New Roman" w:hAnsi="Times New Roman" w:eastAsia="宋体" w:cs="Times New Roman"/>
                <w:szCs w:val="21"/>
              </w:rPr>
            </w:pPr>
            <w:r>
              <w:rPr>
                <w:rFonts w:ascii="Times New Roman" w:hAnsi="Times New Roman" w:eastAsia="宋体" w:cs="Times New Roman"/>
                <w:kern w:val="0"/>
              </w:rPr>
              <w:t>室外达标</w:t>
            </w:r>
          </w:p>
        </w:tc>
        <w:tc>
          <w:tcPr>
            <w:tcW w:w="251" w:type="pct"/>
            <w:vAlign w:val="center"/>
          </w:tcPr>
          <w:p w14:paraId="338EE02F">
            <w:pPr>
              <w:jc w:val="center"/>
              <w:rPr>
                <w:rFonts w:ascii="Times New Roman" w:hAnsi="Times New Roman" w:eastAsia="宋体" w:cs="Times New Roman"/>
                <w:szCs w:val="21"/>
              </w:rPr>
            </w:pPr>
            <w:r>
              <w:rPr>
                <w:rFonts w:hint="eastAsia" w:ascii="Times New Roman" w:hAnsi="Times New Roman" w:eastAsia="宋体" w:cs="Times New Roman"/>
                <w:szCs w:val="21"/>
              </w:rPr>
              <w:t>30</w:t>
            </w:r>
          </w:p>
        </w:tc>
      </w:tr>
      <w:tr w14:paraId="51D24496">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trHeight w:val="80" w:hRule="atLeast"/>
          <w:tblHeader/>
          <w:jc w:val="center"/>
        </w:trPr>
        <w:tc>
          <w:tcPr>
            <w:tcW w:w="180" w:type="pct"/>
            <w:noWrap/>
            <w:vAlign w:val="center"/>
          </w:tcPr>
          <w:p w14:paraId="7C848C48">
            <w:pPr>
              <w:jc w:val="center"/>
              <w:rPr>
                <w:rFonts w:ascii="Times New Roman" w:hAnsi="Times New Roman" w:eastAsia="宋体" w:cs="Times New Roman"/>
              </w:rPr>
            </w:pPr>
            <w:r>
              <w:rPr>
                <w:rFonts w:hint="eastAsia" w:ascii="Times New Roman" w:hAnsi="Times New Roman" w:eastAsia="宋体" w:cs="Times New Roman"/>
              </w:rPr>
              <w:t>13</w:t>
            </w:r>
          </w:p>
        </w:tc>
        <w:tc>
          <w:tcPr>
            <w:tcW w:w="278" w:type="pct"/>
            <w:vAlign w:val="center"/>
          </w:tcPr>
          <w:p w14:paraId="2FA9E96B">
            <w:pPr>
              <w:widowControl/>
              <w:spacing w:line="300" w:lineRule="exact"/>
              <w:jc w:val="center"/>
              <w:rPr>
                <w:rFonts w:ascii="Times New Roman" w:hAnsi="Times New Roman" w:eastAsia="宋体" w:cs="Times New Roman"/>
              </w:rPr>
            </w:pPr>
            <w:r>
              <w:rPr>
                <w:rFonts w:ascii="Times New Roman" w:hAnsi="Times New Roman" w:eastAsia="宋体" w:cs="Times New Roman"/>
              </w:rPr>
              <w:t>K</w:t>
            </w:r>
            <w:r>
              <w:rPr>
                <w:rFonts w:hint="eastAsia" w:ascii="Times New Roman" w:hAnsi="Times New Roman" w:eastAsia="宋体" w:cs="Times New Roman"/>
              </w:rPr>
              <w:t>30</w:t>
            </w:r>
            <w:r>
              <w:rPr>
                <w:rFonts w:ascii="Times New Roman" w:hAnsi="Times New Roman" w:eastAsia="宋体" w:cs="Times New Roman"/>
              </w:rPr>
              <w:t>+</w:t>
            </w:r>
            <w:r>
              <w:rPr>
                <w:rFonts w:hint="eastAsia" w:ascii="Times New Roman" w:hAnsi="Times New Roman" w:eastAsia="宋体" w:cs="Times New Roman"/>
              </w:rPr>
              <w:t>0</w:t>
            </w:r>
            <w:r>
              <w:rPr>
                <w:rFonts w:ascii="Times New Roman" w:hAnsi="Times New Roman" w:eastAsia="宋体" w:cs="Times New Roman"/>
              </w:rPr>
              <w:t>00～K</w:t>
            </w:r>
            <w:r>
              <w:rPr>
                <w:rFonts w:hint="eastAsia" w:ascii="Times New Roman" w:hAnsi="Times New Roman" w:eastAsia="宋体" w:cs="Times New Roman"/>
              </w:rPr>
              <w:t>31</w:t>
            </w:r>
            <w:r>
              <w:rPr>
                <w:rFonts w:ascii="Times New Roman" w:hAnsi="Times New Roman" w:eastAsia="宋体" w:cs="Times New Roman"/>
              </w:rPr>
              <w:t>+</w:t>
            </w:r>
            <w:r>
              <w:rPr>
                <w:rFonts w:hint="eastAsia" w:ascii="Times New Roman" w:hAnsi="Times New Roman" w:eastAsia="宋体" w:cs="Times New Roman"/>
              </w:rPr>
              <w:t>3</w:t>
            </w:r>
            <w:r>
              <w:rPr>
                <w:rFonts w:ascii="Times New Roman" w:hAnsi="Times New Roman" w:eastAsia="宋体" w:cs="Times New Roman"/>
              </w:rPr>
              <w:t>00</w:t>
            </w:r>
          </w:p>
        </w:tc>
        <w:tc>
          <w:tcPr>
            <w:tcW w:w="346" w:type="pct"/>
            <w:vAlign w:val="center"/>
          </w:tcPr>
          <w:p w14:paraId="27B44963">
            <w:pPr>
              <w:widowControl/>
              <w:spacing w:line="300" w:lineRule="exact"/>
              <w:jc w:val="center"/>
              <w:rPr>
                <w:rFonts w:ascii="Times New Roman" w:hAnsi="Times New Roman" w:eastAsia="宋体" w:cs="Times New Roman"/>
              </w:rPr>
            </w:pPr>
            <w:r>
              <w:rPr>
                <w:rFonts w:hint="eastAsia" w:ascii="Times New Roman" w:hAnsi="Times New Roman" w:eastAsia="宋体" w:cs="Times New Roman"/>
              </w:rPr>
              <w:t>帕合塔买里斯村</w:t>
            </w:r>
          </w:p>
        </w:tc>
        <w:tc>
          <w:tcPr>
            <w:tcW w:w="138" w:type="pct"/>
            <w:vAlign w:val="center"/>
          </w:tcPr>
          <w:p w14:paraId="0477DF57">
            <w:pPr>
              <w:widowControl/>
              <w:spacing w:line="300" w:lineRule="exact"/>
              <w:jc w:val="center"/>
              <w:rPr>
                <w:rFonts w:ascii="Times New Roman" w:hAnsi="Times New Roman" w:eastAsia="宋体" w:cs="Times New Roman"/>
              </w:rPr>
            </w:pPr>
            <w:r>
              <w:rPr>
                <w:rFonts w:hint="eastAsia" w:ascii="Times New Roman" w:hAnsi="Times New Roman" w:eastAsia="宋体" w:cs="Times New Roman"/>
              </w:rPr>
              <w:t>两侧</w:t>
            </w:r>
          </w:p>
        </w:tc>
        <w:tc>
          <w:tcPr>
            <w:tcW w:w="209" w:type="pct"/>
            <w:vAlign w:val="center"/>
          </w:tcPr>
          <w:p w14:paraId="2FBC7A93">
            <w:pPr>
              <w:widowControl/>
              <w:spacing w:line="300" w:lineRule="exact"/>
              <w:jc w:val="center"/>
              <w:rPr>
                <w:rFonts w:ascii="Times New Roman" w:hAnsi="Times New Roman" w:eastAsia="宋体" w:cs="Times New Roman"/>
              </w:rPr>
            </w:pPr>
            <w:r>
              <w:rPr>
                <w:rFonts w:hint="eastAsia" w:ascii="Times New Roman" w:hAnsi="Times New Roman" w:eastAsia="宋体" w:cs="Times New Roman"/>
              </w:rPr>
              <w:t>26</w:t>
            </w:r>
          </w:p>
        </w:tc>
        <w:tc>
          <w:tcPr>
            <w:tcW w:w="243" w:type="pct"/>
            <w:vAlign w:val="center"/>
          </w:tcPr>
          <w:p w14:paraId="66856CD0">
            <w:pPr>
              <w:adjustRightInd w:val="0"/>
              <w:snapToGrid w:val="0"/>
              <w:spacing w:line="240" w:lineRule="exact"/>
              <w:jc w:val="center"/>
              <w:rPr>
                <w:rFonts w:ascii="Times New Roman" w:hAnsi="Times New Roman" w:eastAsia="宋体" w:cs="Times New Roman"/>
                <w:snapToGrid w:val="0"/>
                <w:kern w:val="0"/>
                <w:szCs w:val="21"/>
              </w:rPr>
            </w:pPr>
            <w:r>
              <w:rPr>
                <w:rFonts w:hint="eastAsia" w:ascii="Times New Roman" w:hAnsi="Times New Roman" w:eastAsia="宋体" w:cs="Times New Roman"/>
                <w:snapToGrid w:val="0"/>
                <w:kern w:val="0"/>
                <w:szCs w:val="21"/>
              </w:rPr>
              <w:t>-/3.8</w:t>
            </w:r>
          </w:p>
        </w:tc>
        <w:tc>
          <w:tcPr>
            <w:tcW w:w="243" w:type="pct"/>
            <w:vAlign w:val="center"/>
          </w:tcPr>
          <w:p w14:paraId="198AC25D">
            <w:pPr>
              <w:adjustRightInd w:val="0"/>
              <w:snapToGrid w:val="0"/>
              <w:spacing w:line="240" w:lineRule="exact"/>
              <w:jc w:val="center"/>
              <w:rPr>
                <w:rFonts w:ascii="Times New Roman" w:hAnsi="Times New Roman" w:eastAsia="宋体" w:cs="Times New Roman"/>
                <w:snapToGrid w:val="0"/>
                <w:kern w:val="0"/>
                <w:szCs w:val="21"/>
              </w:rPr>
            </w:pPr>
            <w:r>
              <w:rPr>
                <w:rFonts w:hint="eastAsia" w:ascii="Times New Roman" w:hAnsi="Times New Roman" w:eastAsia="宋体" w:cs="Times New Roman"/>
                <w:snapToGrid w:val="0"/>
                <w:kern w:val="0"/>
                <w:szCs w:val="21"/>
              </w:rPr>
              <w:t>-/4.8</w:t>
            </w:r>
          </w:p>
        </w:tc>
        <w:tc>
          <w:tcPr>
            <w:tcW w:w="190" w:type="pct"/>
            <w:shd w:val="clear" w:color="auto" w:fill="auto"/>
            <w:vAlign w:val="center"/>
          </w:tcPr>
          <w:p w14:paraId="1CD54C40">
            <w:pPr>
              <w:adjustRightInd w:val="0"/>
              <w:snapToGrid w:val="0"/>
              <w:spacing w:line="240" w:lineRule="exact"/>
              <w:jc w:val="center"/>
              <w:rPr>
                <w:rFonts w:ascii="Times New Roman" w:hAnsi="Times New Roman" w:eastAsia="宋体" w:cs="Times New Roman"/>
              </w:rPr>
            </w:pPr>
            <w:r>
              <w:rPr>
                <w:rFonts w:hint="eastAsia" w:ascii="Times New Roman" w:hAnsi="Times New Roman" w:eastAsia="宋体" w:cs="Times New Roman"/>
              </w:rPr>
              <w:t>60</w:t>
            </w:r>
          </w:p>
        </w:tc>
        <w:tc>
          <w:tcPr>
            <w:tcW w:w="190" w:type="pct"/>
            <w:shd w:val="clear" w:color="auto" w:fill="auto"/>
            <w:vAlign w:val="center"/>
          </w:tcPr>
          <w:p w14:paraId="1E6B636D">
            <w:pPr>
              <w:adjustRightInd w:val="0"/>
              <w:snapToGrid w:val="0"/>
              <w:spacing w:line="240" w:lineRule="exact"/>
              <w:jc w:val="center"/>
              <w:rPr>
                <w:rFonts w:ascii="Times New Roman" w:hAnsi="Times New Roman" w:eastAsia="宋体" w:cs="Times New Roman"/>
              </w:rPr>
            </w:pPr>
            <w:r>
              <w:rPr>
                <w:rFonts w:hint="eastAsia" w:ascii="Times New Roman" w:hAnsi="Times New Roman" w:eastAsia="宋体" w:cs="Times New Roman"/>
              </w:rPr>
              <w:t>25</w:t>
            </w:r>
          </w:p>
        </w:tc>
        <w:tc>
          <w:tcPr>
            <w:tcW w:w="2230" w:type="pct"/>
            <w:noWrap/>
            <w:vAlign w:val="center"/>
          </w:tcPr>
          <w:p w14:paraId="17DC549D">
            <w:pPr>
              <w:rPr>
                <w:rFonts w:ascii="Times New Roman" w:hAnsi="Times New Roman" w:eastAsia="宋体" w:cs="Times New Roman"/>
                <w:szCs w:val="21"/>
              </w:rPr>
            </w:pPr>
            <w:r>
              <w:rPr>
                <w:rFonts w:ascii="Times New Roman" w:hAnsi="Times New Roman" w:eastAsia="宋体" w:cs="Times New Roman"/>
                <w:szCs w:val="21"/>
              </w:rPr>
              <w:t>方案一：安装隔声窗，按每户1万元计，共</w:t>
            </w:r>
            <w:r>
              <w:rPr>
                <w:rFonts w:hint="eastAsia" w:ascii="Times New Roman" w:hAnsi="Times New Roman" w:eastAsia="宋体" w:cs="Times New Roman"/>
                <w:szCs w:val="21"/>
              </w:rPr>
              <w:t>85</w:t>
            </w:r>
            <w:r>
              <w:rPr>
                <w:rFonts w:ascii="Times New Roman" w:hAnsi="Times New Roman" w:eastAsia="宋体" w:cs="Times New Roman"/>
                <w:szCs w:val="21"/>
              </w:rPr>
              <w:t>户，投资</w:t>
            </w:r>
            <w:r>
              <w:rPr>
                <w:rFonts w:hint="eastAsia" w:ascii="Times New Roman" w:hAnsi="Times New Roman" w:eastAsia="宋体" w:cs="Times New Roman"/>
                <w:szCs w:val="21"/>
              </w:rPr>
              <w:t>85</w:t>
            </w:r>
            <w:r>
              <w:rPr>
                <w:rFonts w:ascii="Times New Roman" w:hAnsi="Times New Roman" w:eastAsia="宋体" w:cs="Times New Roman"/>
                <w:szCs w:val="21"/>
              </w:rPr>
              <w:t>万元，隔声量25dB。</w:t>
            </w:r>
          </w:p>
          <w:p w14:paraId="2111C1D9">
            <w:pPr>
              <w:adjustRightInd w:val="0"/>
              <w:snapToGrid w:val="0"/>
              <w:spacing w:line="240" w:lineRule="exact"/>
              <w:rPr>
                <w:rFonts w:ascii="Times New Roman" w:hAnsi="Times New Roman" w:eastAsia="宋体" w:cs="Times New Roman"/>
                <w:szCs w:val="21"/>
              </w:rPr>
            </w:pPr>
            <w:r>
              <w:rPr>
                <w:rFonts w:ascii="Times New Roman" w:hAnsi="Times New Roman" w:eastAsia="宋体" w:cs="Times New Roman"/>
                <w:szCs w:val="21"/>
              </w:rPr>
              <w:t>方案二：设置声屏障，拟建公路</w:t>
            </w:r>
            <w:r>
              <w:rPr>
                <w:rFonts w:hint="eastAsia" w:ascii="Times New Roman" w:hAnsi="Times New Roman" w:eastAsia="宋体" w:cs="Times New Roman"/>
                <w:szCs w:val="21"/>
              </w:rPr>
              <w:t>两侧</w:t>
            </w:r>
            <w:r>
              <w:rPr>
                <w:rFonts w:ascii="Times New Roman" w:hAnsi="Times New Roman" w:eastAsia="宋体" w:cs="Times New Roman"/>
              </w:rPr>
              <w:t>K</w:t>
            </w:r>
            <w:r>
              <w:rPr>
                <w:rFonts w:hint="eastAsia" w:ascii="Times New Roman" w:hAnsi="Times New Roman" w:eastAsia="宋体" w:cs="Times New Roman"/>
              </w:rPr>
              <w:t>29</w:t>
            </w:r>
            <w:r>
              <w:rPr>
                <w:rFonts w:ascii="Times New Roman" w:hAnsi="Times New Roman" w:eastAsia="宋体" w:cs="Times New Roman"/>
              </w:rPr>
              <w:t>+</w:t>
            </w:r>
            <w:r>
              <w:rPr>
                <w:rFonts w:hint="eastAsia" w:ascii="Times New Roman" w:hAnsi="Times New Roman" w:eastAsia="宋体" w:cs="Times New Roman"/>
              </w:rPr>
              <w:t>95</w:t>
            </w:r>
            <w:r>
              <w:rPr>
                <w:rFonts w:ascii="Times New Roman" w:hAnsi="Times New Roman" w:eastAsia="宋体" w:cs="Times New Roman"/>
              </w:rPr>
              <w:t>0～K</w:t>
            </w:r>
            <w:r>
              <w:rPr>
                <w:rFonts w:hint="eastAsia" w:ascii="Times New Roman" w:hAnsi="Times New Roman" w:eastAsia="宋体" w:cs="Times New Roman"/>
              </w:rPr>
              <w:t>31</w:t>
            </w:r>
            <w:r>
              <w:rPr>
                <w:rFonts w:ascii="Times New Roman" w:hAnsi="Times New Roman" w:eastAsia="宋体" w:cs="Times New Roman"/>
              </w:rPr>
              <w:t>+</w:t>
            </w:r>
            <w:r>
              <w:rPr>
                <w:rFonts w:hint="eastAsia" w:ascii="Times New Roman" w:hAnsi="Times New Roman" w:eastAsia="宋体" w:cs="Times New Roman"/>
              </w:rPr>
              <w:t>35</w:t>
            </w:r>
            <w:r>
              <w:rPr>
                <w:rFonts w:ascii="Times New Roman" w:hAnsi="Times New Roman" w:eastAsia="宋体" w:cs="Times New Roman"/>
              </w:rPr>
              <w:t>0</w:t>
            </w:r>
            <w:r>
              <w:rPr>
                <w:rFonts w:ascii="Times New Roman" w:hAnsi="Times New Roman" w:cs="Times New Roman" w:eastAsiaTheme="minorEastAsia"/>
                <w:szCs w:val="21"/>
              </w:rPr>
              <w:t>（根据《</w:t>
            </w:r>
            <w:r>
              <w:rPr>
                <w:rFonts w:hint="eastAsia" w:ascii="Times New Roman" w:hAnsi="Times New Roman" w:cs="Times New Roman" w:eastAsiaTheme="minorEastAsia"/>
                <w:szCs w:val="21"/>
              </w:rPr>
              <w:t>公路路线设计规范（JTG D20—2017）</w:t>
            </w:r>
            <w:r>
              <w:rPr>
                <w:rFonts w:ascii="Times New Roman" w:hAnsi="Times New Roman" w:cs="Times New Roman" w:eastAsiaTheme="minorEastAsia"/>
                <w:szCs w:val="21"/>
              </w:rPr>
              <w:t>》，考虑行车安全视距，每处平交口两侧共需断开</w:t>
            </w:r>
            <w:r>
              <w:rPr>
                <w:rFonts w:hint="eastAsia" w:ascii="Times New Roman" w:hAnsi="Times New Roman" w:cs="Times New Roman" w:eastAsiaTheme="minorEastAsia"/>
                <w:szCs w:val="21"/>
              </w:rPr>
              <w:t>220m，该路段两侧共6处平交口</w:t>
            </w:r>
            <w:r>
              <w:rPr>
                <w:rFonts w:ascii="Times New Roman" w:hAnsi="Times New Roman" w:cs="Times New Roman" w:eastAsiaTheme="minorEastAsia"/>
                <w:szCs w:val="21"/>
              </w:rPr>
              <w:t>）共</w:t>
            </w:r>
            <w:r>
              <w:rPr>
                <w:rFonts w:ascii="Times New Roman" w:hAnsi="Times New Roman" w:eastAsia="宋体" w:cs="Times New Roman"/>
                <w:szCs w:val="21"/>
              </w:rPr>
              <w:t>设置</w:t>
            </w:r>
            <w:r>
              <w:rPr>
                <w:rFonts w:hint="eastAsia" w:ascii="Times New Roman" w:hAnsi="Times New Roman" w:eastAsia="宋体" w:cs="Times New Roman"/>
                <w:szCs w:val="21"/>
              </w:rPr>
              <w:t>1480</w:t>
            </w:r>
            <w:r>
              <w:rPr>
                <w:rFonts w:ascii="Times New Roman" w:hAnsi="Times New Roman" w:eastAsia="宋体" w:cs="Times New Roman"/>
                <w:szCs w:val="21"/>
              </w:rPr>
              <w:t>m（长）×</w:t>
            </w:r>
            <w:r>
              <w:rPr>
                <w:rFonts w:hint="eastAsia" w:ascii="Times New Roman" w:hAnsi="Times New Roman" w:eastAsia="宋体" w:cs="Times New Roman"/>
                <w:szCs w:val="21"/>
              </w:rPr>
              <w:t>3.0</w:t>
            </w:r>
            <w:r>
              <w:rPr>
                <w:rFonts w:ascii="Times New Roman" w:hAnsi="Times New Roman" w:eastAsia="宋体" w:cs="Times New Roman"/>
                <w:szCs w:val="21"/>
              </w:rPr>
              <w:t>m（高）声屏障，</w:t>
            </w:r>
            <w:r>
              <w:rPr>
                <w:rFonts w:hint="eastAsia" w:ascii="Times New Roman" w:hAnsi="Times New Roman" w:eastAsia="宋体" w:cs="Times New Roman"/>
                <w:szCs w:val="21"/>
              </w:rPr>
              <w:t>2</w:t>
            </w:r>
            <w:r>
              <w:rPr>
                <w:rFonts w:ascii="Times New Roman" w:hAnsi="Times New Roman" w:eastAsia="宋体" w:cs="Times New Roman"/>
                <w:szCs w:val="21"/>
              </w:rPr>
              <w:t>000元/m，共投资</w:t>
            </w:r>
            <w:r>
              <w:rPr>
                <w:rFonts w:hint="eastAsia" w:ascii="Times New Roman" w:hAnsi="Times New Roman" w:eastAsia="宋体" w:cs="Times New Roman"/>
                <w:szCs w:val="21"/>
              </w:rPr>
              <w:t>296</w:t>
            </w:r>
            <w:r>
              <w:rPr>
                <w:rFonts w:ascii="Times New Roman" w:hAnsi="Times New Roman" w:eastAsia="宋体" w:cs="Times New Roman"/>
                <w:szCs w:val="21"/>
              </w:rPr>
              <w:t>万元</w:t>
            </w:r>
            <w:r>
              <w:rPr>
                <w:rFonts w:ascii="Times New Roman" w:hAnsi="Times New Roman" w:eastAsia="宋体" w:cs="Times New Roman"/>
              </w:rPr>
              <w:t>，房屋距路较近，分布较集中，声屏障降噪效果好</w:t>
            </w:r>
            <w:r>
              <w:rPr>
                <w:rFonts w:ascii="Times New Roman" w:hAnsi="Times New Roman" w:eastAsia="宋体" w:cs="Times New Roman"/>
                <w:szCs w:val="21"/>
              </w:rPr>
              <w:t>。</w:t>
            </w:r>
            <w:r>
              <w:rPr>
                <w:rFonts w:ascii="Times New Roman" w:hAnsi="Times New Roman" w:eastAsia="宋体" w:cs="Times New Roman"/>
              </w:rPr>
              <w:t>路两侧均设置有平交口，平交口处无法设置声屏障，因此对平交口超标的</w:t>
            </w:r>
            <w:r>
              <w:rPr>
                <w:rFonts w:hint="eastAsia" w:ascii="Times New Roman" w:hAnsi="Times New Roman" w:eastAsia="宋体" w:cs="Times New Roman"/>
              </w:rPr>
              <w:t>25</w:t>
            </w:r>
            <w:r>
              <w:rPr>
                <w:rFonts w:ascii="Times New Roman" w:hAnsi="Times New Roman" w:eastAsia="宋体" w:cs="Times New Roman"/>
              </w:rPr>
              <w:t>户安装隔声窗，隔声量20～25dB，每户投资1万元，共计</w:t>
            </w:r>
            <w:r>
              <w:rPr>
                <w:rFonts w:hint="eastAsia" w:ascii="Times New Roman" w:hAnsi="Times New Roman" w:eastAsia="宋体" w:cs="Times New Roman"/>
              </w:rPr>
              <w:t>25</w:t>
            </w:r>
            <w:r>
              <w:rPr>
                <w:rFonts w:ascii="Times New Roman" w:hAnsi="Times New Roman" w:eastAsia="宋体" w:cs="Times New Roman"/>
              </w:rPr>
              <w:t>万元。</w:t>
            </w:r>
          </w:p>
          <w:p w14:paraId="5FA12FA6">
            <w:pPr>
              <w:widowControl/>
              <w:adjustRightInd w:val="0"/>
              <w:snapToGrid w:val="0"/>
              <w:spacing w:line="240" w:lineRule="exact"/>
              <w:rPr>
                <w:rFonts w:ascii="Times New Roman" w:hAnsi="Times New Roman" w:eastAsia="宋体" w:cs="Times New Roman"/>
                <w:szCs w:val="21"/>
              </w:rPr>
            </w:pPr>
            <w:r>
              <w:rPr>
                <w:rFonts w:ascii="Times New Roman" w:hAnsi="Times New Roman" w:eastAsia="宋体" w:cs="Times New Roman"/>
                <w:szCs w:val="21"/>
              </w:rPr>
              <w:t>推荐：综合考虑推荐方案</w:t>
            </w:r>
            <w:r>
              <w:rPr>
                <w:rFonts w:hint="eastAsia" w:ascii="Times New Roman" w:hAnsi="Times New Roman" w:eastAsia="宋体" w:cs="Times New Roman"/>
                <w:szCs w:val="21"/>
              </w:rPr>
              <w:t>二</w:t>
            </w:r>
            <w:r>
              <w:rPr>
                <w:rFonts w:ascii="Times New Roman" w:hAnsi="Times New Roman" w:eastAsia="宋体" w:cs="Times New Roman"/>
                <w:szCs w:val="21"/>
              </w:rPr>
              <w:t>。</w:t>
            </w:r>
          </w:p>
        </w:tc>
        <w:tc>
          <w:tcPr>
            <w:tcW w:w="242" w:type="pct"/>
            <w:vAlign w:val="center"/>
          </w:tcPr>
          <w:p w14:paraId="0CB7DCA0">
            <w:pPr>
              <w:widowControl/>
              <w:jc w:val="center"/>
              <w:rPr>
                <w:rFonts w:ascii="Times New Roman" w:hAnsi="Times New Roman" w:eastAsia="宋体" w:cs="Times New Roman"/>
                <w:kern w:val="0"/>
              </w:rPr>
            </w:pPr>
            <w:r>
              <w:rPr>
                <w:rFonts w:ascii="Times New Roman" w:hAnsi="Times New Roman" w:eastAsia="宋体" w:cs="Times New Roman"/>
                <w:kern w:val="0"/>
              </w:rPr>
              <w:t>声屏障+隔声窗</w:t>
            </w:r>
          </w:p>
        </w:tc>
        <w:tc>
          <w:tcPr>
            <w:tcW w:w="260" w:type="pct"/>
            <w:vAlign w:val="center"/>
          </w:tcPr>
          <w:p w14:paraId="03160A55">
            <w:pPr>
              <w:widowControl/>
              <w:jc w:val="center"/>
              <w:rPr>
                <w:rFonts w:ascii="Times New Roman" w:hAnsi="Times New Roman" w:eastAsia="宋体" w:cs="Times New Roman"/>
                <w:kern w:val="0"/>
              </w:rPr>
            </w:pPr>
            <w:r>
              <w:rPr>
                <w:rFonts w:ascii="Times New Roman" w:hAnsi="Times New Roman" w:eastAsia="宋体" w:cs="Times New Roman"/>
                <w:kern w:val="0"/>
              </w:rPr>
              <w:t>室外达标+平交路口房屋室内达标</w:t>
            </w:r>
          </w:p>
        </w:tc>
        <w:tc>
          <w:tcPr>
            <w:tcW w:w="251" w:type="pct"/>
            <w:vAlign w:val="center"/>
          </w:tcPr>
          <w:p w14:paraId="529D4F50">
            <w:pPr>
              <w:widowControl/>
              <w:adjustRightInd w:val="0"/>
              <w:snapToGrid w:val="0"/>
              <w:spacing w:line="240" w:lineRule="exact"/>
              <w:jc w:val="center"/>
              <w:rPr>
                <w:rFonts w:ascii="Times New Roman" w:hAnsi="宋体" w:eastAsia="宋体" w:cs="Times New Roman"/>
                <w:szCs w:val="21"/>
              </w:rPr>
            </w:pPr>
            <w:r>
              <w:rPr>
                <w:rFonts w:hint="eastAsia" w:ascii="Times New Roman" w:hAnsi="宋体" w:eastAsia="宋体" w:cs="Times New Roman"/>
                <w:szCs w:val="21"/>
              </w:rPr>
              <w:t>321</w:t>
            </w:r>
          </w:p>
        </w:tc>
      </w:tr>
      <w:tr w14:paraId="36096AA2">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trHeight w:val="80" w:hRule="atLeast"/>
          <w:tblHeader/>
          <w:jc w:val="center"/>
        </w:trPr>
        <w:tc>
          <w:tcPr>
            <w:tcW w:w="180" w:type="pct"/>
            <w:noWrap/>
            <w:vAlign w:val="center"/>
          </w:tcPr>
          <w:p w14:paraId="33A6BBD9">
            <w:pPr>
              <w:jc w:val="center"/>
              <w:rPr>
                <w:rFonts w:ascii="Times New Roman" w:hAnsi="Times New Roman" w:eastAsia="宋体" w:cs="Times New Roman"/>
              </w:rPr>
            </w:pPr>
            <w:r>
              <w:rPr>
                <w:rFonts w:hint="eastAsia" w:ascii="Times New Roman" w:hAnsi="Times New Roman" w:eastAsia="宋体" w:cs="Times New Roman"/>
              </w:rPr>
              <w:t>14</w:t>
            </w:r>
          </w:p>
        </w:tc>
        <w:tc>
          <w:tcPr>
            <w:tcW w:w="278" w:type="pct"/>
            <w:vAlign w:val="center"/>
          </w:tcPr>
          <w:p w14:paraId="6245C2BB">
            <w:pPr>
              <w:widowControl/>
              <w:spacing w:line="300" w:lineRule="exact"/>
              <w:jc w:val="center"/>
              <w:rPr>
                <w:rFonts w:ascii="Times New Roman" w:hAnsi="Times New Roman" w:eastAsia="宋体" w:cs="Times New Roman"/>
              </w:rPr>
            </w:pPr>
            <w:r>
              <w:rPr>
                <w:rFonts w:ascii="Times New Roman" w:hAnsi="Times New Roman" w:eastAsia="宋体" w:cs="Times New Roman"/>
              </w:rPr>
              <w:t>K</w:t>
            </w:r>
            <w:r>
              <w:rPr>
                <w:rFonts w:hint="eastAsia" w:ascii="Times New Roman" w:hAnsi="Times New Roman" w:eastAsia="宋体" w:cs="Times New Roman"/>
              </w:rPr>
              <w:t>36</w:t>
            </w:r>
            <w:r>
              <w:rPr>
                <w:rFonts w:ascii="Times New Roman" w:hAnsi="Times New Roman" w:eastAsia="宋体" w:cs="Times New Roman"/>
              </w:rPr>
              <w:t>+</w:t>
            </w:r>
            <w:r>
              <w:rPr>
                <w:rFonts w:hint="eastAsia" w:ascii="Times New Roman" w:hAnsi="Times New Roman" w:eastAsia="宋体" w:cs="Times New Roman"/>
              </w:rPr>
              <w:t>350</w:t>
            </w:r>
            <w:r>
              <w:rPr>
                <w:rFonts w:ascii="Times New Roman" w:hAnsi="Times New Roman" w:eastAsia="宋体" w:cs="Times New Roman"/>
              </w:rPr>
              <w:t>～K</w:t>
            </w:r>
            <w:r>
              <w:rPr>
                <w:rFonts w:hint="eastAsia" w:ascii="Times New Roman" w:hAnsi="Times New Roman" w:eastAsia="宋体" w:cs="Times New Roman"/>
              </w:rPr>
              <w:t>36</w:t>
            </w:r>
            <w:r>
              <w:rPr>
                <w:rFonts w:ascii="Times New Roman" w:hAnsi="Times New Roman" w:eastAsia="宋体" w:cs="Times New Roman"/>
              </w:rPr>
              <w:t>+</w:t>
            </w:r>
            <w:r>
              <w:rPr>
                <w:rFonts w:hint="eastAsia" w:ascii="Times New Roman" w:hAnsi="Times New Roman" w:eastAsia="宋体" w:cs="Times New Roman"/>
              </w:rPr>
              <w:t>6</w:t>
            </w:r>
            <w:r>
              <w:rPr>
                <w:rFonts w:ascii="Times New Roman" w:hAnsi="Times New Roman" w:eastAsia="宋体" w:cs="Times New Roman"/>
              </w:rPr>
              <w:t>00</w:t>
            </w:r>
          </w:p>
        </w:tc>
        <w:tc>
          <w:tcPr>
            <w:tcW w:w="346" w:type="pct"/>
            <w:vAlign w:val="center"/>
          </w:tcPr>
          <w:p w14:paraId="47DF1DAF">
            <w:pPr>
              <w:widowControl/>
              <w:spacing w:line="300" w:lineRule="exact"/>
              <w:jc w:val="center"/>
              <w:rPr>
                <w:rFonts w:ascii="Times New Roman" w:hAnsi="Times New Roman" w:eastAsia="宋体" w:cs="Times New Roman"/>
              </w:rPr>
            </w:pPr>
            <w:r>
              <w:rPr>
                <w:rFonts w:hint="eastAsia" w:ascii="Times New Roman" w:hAnsi="Times New Roman" w:eastAsia="宋体" w:cs="Times New Roman"/>
              </w:rPr>
              <w:t>兰干</w:t>
            </w:r>
          </w:p>
        </w:tc>
        <w:tc>
          <w:tcPr>
            <w:tcW w:w="138" w:type="pct"/>
            <w:vAlign w:val="center"/>
          </w:tcPr>
          <w:p w14:paraId="37F604BF">
            <w:pPr>
              <w:widowControl/>
              <w:spacing w:line="300" w:lineRule="exact"/>
              <w:jc w:val="center"/>
              <w:rPr>
                <w:rFonts w:ascii="Times New Roman" w:hAnsi="Times New Roman" w:eastAsia="宋体" w:cs="Times New Roman"/>
              </w:rPr>
            </w:pPr>
            <w:r>
              <w:rPr>
                <w:rFonts w:hint="eastAsia" w:ascii="Times New Roman" w:hAnsi="Times New Roman" w:eastAsia="宋体" w:cs="Times New Roman"/>
              </w:rPr>
              <w:t>路右</w:t>
            </w:r>
          </w:p>
        </w:tc>
        <w:tc>
          <w:tcPr>
            <w:tcW w:w="209" w:type="pct"/>
            <w:vAlign w:val="center"/>
          </w:tcPr>
          <w:p w14:paraId="3D39735A">
            <w:pPr>
              <w:widowControl/>
              <w:spacing w:line="300" w:lineRule="exact"/>
              <w:jc w:val="center"/>
              <w:rPr>
                <w:rFonts w:ascii="Times New Roman" w:hAnsi="Times New Roman" w:eastAsia="宋体" w:cs="Times New Roman"/>
              </w:rPr>
            </w:pPr>
            <w:r>
              <w:rPr>
                <w:rFonts w:hint="eastAsia" w:ascii="Times New Roman" w:hAnsi="Times New Roman" w:eastAsia="宋体" w:cs="Times New Roman"/>
              </w:rPr>
              <w:t>23</w:t>
            </w:r>
          </w:p>
        </w:tc>
        <w:tc>
          <w:tcPr>
            <w:tcW w:w="243" w:type="pct"/>
            <w:vAlign w:val="center"/>
          </w:tcPr>
          <w:p w14:paraId="3DBB7B01">
            <w:pPr>
              <w:adjustRightInd w:val="0"/>
              <w:snapToGrid w:val="0"/>
              <w:spacing w:line="240" w:lineRule="exact"/>
              <w:jc w:val="center"/>
              <w:rPr>
                <w:rFonts w:ascii="Times New Roman" w:hAnsi="Times New Roman" w:eastAsia="宋体" w:cs="Times New Roman"/>
                <w:snapToGrid w:val="0"/>
                <w:kern w:val="0"/>
                <w:szCs w:val="21"/>
              </w:rPr>
            </w:pPr>
            <w:r>
              <w:rPr>
                <w:rFonts w:hint="eastAsia" w:ascii="Times New Roman" w:hAnsi="Times New Roman" w:eastAsia="宋体" w:cs="Times New Roman"/>
                <w:snapToGrid w:val="0"/>
                <w:kern w:val="0"/>
                <w:szCs w:val="21"/>
              </w:rPr>
              <w:t>-/3.1</w:t>
            </w:r>
          </w:p>
        </w:tc>
        <w:tc>
          <w:tcPr>
            <w:tcW w:w="243" w:type="pct"/>
            <w:vAlign w:val="center"/>
          </w:tcPr>
          <w:p w14:paraId="7F81861C">
            <w:pPr>
              <w:adjustRightInd w:val="0"/>
              <w:snapToGrid w:val="0"/>
              <w:spacing w:line="240" w:lineRule="exact"/>
              <w:jc w:val="center"/>
              <w:rPr>
                <w:rFonts w:ascii="Times New Roman" w:hAnsi="Times New Roman" w:eastAsia="宋体" w:cs="Times New Roman"/>
                <w:snapToGrid w:val="0"/>
                <w:kern w:val="0"/>
                <w:szCs w:val="21"/>
              </w:rPr>
            </w:pPr>
            <w:r>
              <w:rPr>
                <w:rFonts w:hint="eastAsia" w:ascii="Times New Roman" w:hAnsi="Times New Roman" w:eastAsia="宋体" w:cs="Times New Roman"/>
                <w:snapToGrid w:val="0"/>
                <w:kern w:val="0"/>
                <w:szCs w:val="21"/>
              </w:rPr>
              <w:t>-/3.4</w:t>
            </w:r>
          </w:p>
        </w:tc>
        <w:tc>
          <w:tcPr>
            <w:tcW w:w="190" w:type="pct"/>
            <w:shd w:val="clear" w:color="auto" w:fill="auto"/>
            <w:vAlign w:val="center"/>
          </w:tcPr>
          <w:p w14:paraId="1A589381">
            <w:pPr>
              <w:adjustRightInd w:val="0"/>
              <w:snapToGrid w:val="0"/>
              <w:spacing w:line="240" w:lineRule="exact"/>
              <w:jc w:val="center"/>
              <w:rPr>
                <w:rFonts w:ascii="Times New Roman" w:hAnsi="Times New Roman" w:eastAsia="宋体" w:cs="Times New Roman"/>
              </w:rPr>
            </w:pPr>
            <w:r>
              <w:rPr>
                <w:rFonts w:hint="eastAsia" w:ascii="Times New Roman" w:hAnsi="Times New Roman" w:eastAsia="宋体" w:cs="Times New Roman"/>
              </w:rPr>
              <w:t>4</w:t>
            </w:r>
          </w:p>
        </w:tc>
        <w:tc>
          <w:tcPr>
            <w:tcW w:w="190" w:type="pct"/>
            <w:shd w:val="clear" w:color="auto" w:fill="auto"/>
            <w:vAlign w:val="center"/>
          </w:tcPr>
          <w:p w14:paraId="7414E7A1">
            <w:pPr>
              <w:adjustRightInd w:val="0"/>
              <w:snapToGrid w:val="0"/>
              <w:spacing w:line="240" w:lineRule="exact"/>
              <w:jc w:val="center"/>
              <w:rPr>
                <w:rFonts w:ascii="Times New Roman" w:hAnsi="Times New Roman" w:eastAsia="宋体" w:cs="Times New Roman"/>
              </w:rPr>
            </w:pPr>
            <w:r>
              <w:rPr>
                <w:rFonts w:hint="eastAsia" w:ascii="Times New Roman" w:hAnsi="Times New Roman" w:eastAsia="宋体" w:cs="Times New Roman"/>
              </w:rPr>
              <w:t>17</w:t>
            </w:r>
          </w:p>
        </w:tc>
        <w:tc>
          <w:tcPr>
            <w:tcW w:w="2230" w:type="pct"/>
            <w:noWrap/>
            <w:vAlign w:val="center"/>
          </w:tcPr>
          <w:p w14:paraId="0660C9F5">
            <w:pPr>
              <w:rPr>
                <w:rFonts w:ascii="Times New Roman" w:hAnsi="Times New Roman" w:eastAsia="宋体" w:cs="Times New Roman"/>
                <w:szCs w:val="21"/>
              </w:rPr>
            </w:pPr>
            <w:r>
              <w:rPr>
                <w:rFonts w:ascii="Times New Roman" w:hAnsi="Times New Roman" w:eastAsia="宋体" w:cs="Times New Roman"/>
                <w:szCs w:val="21"/>
              </w:rPr>
              <w:t>方案一：安装隔声窗，按每户1万元计，共</w:t>
            </w:r>
            <w:r>
              <w:rPr>
                <w:rFonts w:hint="eastAsia" w:ascii="Times New Roman" w:hAnsi="Times New Roman" w:eastAsia="宋体" w:cs="Times New Roman"/>
                <w:szCs w:val="21"/>
              </w:rPr>
              <w:t>21</w:t>
            </w:r>
            <w:r>
              <w:rPr>
                <w:rFonts w:ascii="Times New Roman" w:hAnsi="Times New Roman" w:eastAsia="宋体" w:cs="Times New Roman"/>
                <w:szCs w:val="21"/>
              </w:rPr>
              <w:t>户，投资</w:t>
            </w:r>
            <w:r>
              <w:rPr>
                <w:rFonts w:hint="eastAsia" w:ascii="Times New Roman" w:hAnsi="Times New Roman" w:eastAsia="宋体" w:cs="Times New Roman"/>
                <w:szCs w:val="21"/>
              </w:rPr>
              <w:t>21</w:t>
            </w:r>
            <w:r>
              <w:rPr>
                <w:rFonts w:ascii="Times New Roman" w:hAnsi="Times New Roman" w:eastAsia="宋体" w:cs="Times New Roman"/>
                <w:szCs w:val="21"/>
              </w:rPr>
              <w:t>万元，隔声量25dB。</w:t>
            </w:r>
          </w:p>
          <w:p w14:paraId="3B5E4989">
            <w:pPr>
              <w:adjustRightInd w:val="0"/>
              <w:snapToGrid w:val="0"/>
              <w:spacing w:line="240" w:lineRule="exact"/>
              <w:rPr>
                <w:rFonts w:ascii="Times New Roman" w:hAnsi="Times New Roman" w:eastAsia="宋体" w:cs="Times New Roman"/>
                <w:szCs w:val="21"/>
              </w:rPr>
            </w:pPr>
            <w:r>
              <w:rPr>
                <w:rFonts w:ascii="Times New Roman" w:hAnsi="Times New Roman" w:eastAsia="宋体" w:cs="Times New Roman"/>
                <w:szCs w:val="21"/>
              </w:rPr>
              <w:t>方案二：设置声屏障，拟建公路</w:t>
            </w:r>
            <w:r>
              <w:rPr>
                <w:rFonts w:hint="eastAsia" w:ascii="Times New Roman" w:hAnsi="Times New Roman" w:eastAsia="宋体" w:cs="Times New Roman"/>
                <w:szCs w:val="21"/>
              </w:rPr>
              <w:t>右侧</w:t>
            </w:r>
            <w:r>
              <w:rPr>
                <w:rFonts w:ascii="Times New Roman" w:hAnsi="Times New Roman" w:eastAsia="宋体" w:cs="Times New Roman"/>
              </w:rPr>
              <w:t>K</w:t>
            </w:r>
            <w:r>
              <w:rPr>
                <w:rFonts w:hint="eastAsia" w:ascii="Times New Roman" w:hAnsi="Times New Roman" w:eastAsia="宋体" w:cs="Times New Roman"/>
              </w:rPr>
              <w:t>36</w:t>
            </w:r>
            <w:r>
              <w:rPr>
                <w:rFonts w:ascii="Times New Roman" w:hAnsi="Times New Roman" w:eastAsia="宋体" w:cs="Times New Roman"/>
              </w:rPr>
              <w:t>+</w:t>
            </w:r>
            <w:r>
              <w:rPr>
                <w:rFonts w:hint="eastAsia" w:ascii="Times New Roman" w:hAnsi="Times New Roman" w:eastAsia="宋体" w:cs="Times New Roman"/>
              </w:rPr>
              <w:t>30</w:t>
            </w:r>
            <w:r>
              <w:rPr>
                <w:rFonts w:ascii="Times New Roman" w:hAnsi="Times New Roman" w:eastAsia="宋体" w:cs="Times New Roman"/>
              </w:rPr>
              <w:t>0～K</w:t>
            </w:r>
            <w:r>
              <w:rPr>
                <w:rFonts w:hint="eastAsia" w:ascii="Times New Roman" w:hAnsi="Times New Roman" w:eastAsia="宋体" w:cs="Times New Roman"/>
              </w:rPr>
              <w:t>36</w:t>
            </w:r>
            <w:r>
              <w:rPr>
                <w:rFonts w:ascii="Times New Roman" w:hAnsi="Times New Roman" w:eastAsia="宋体" w:cs="Times New Roman"/>
              </w:rPr>
              <w:t>+</w:t>
            </w:r>
            <w:r>
              <w:rPr>
                <w:rFonts w:hint="eastAsia" w:ascii="Times New Roman" w:hAnsi="Times New Roman" w:eastAsia="宋体" w:cs="Times New Roman"/>
              </w:rPr>
              <w:t>65</w:t>
            </w:r>
            <w:r>
              <w:rPr>
                <w:rFonts w:ascii="Times New Roman" w:hAnsi="Times New Roman" w:eastAsia="宋体" w:cs="Times New Roman"/>
              </w:rPr>
              <w:t>0</w:t>
            </w:r>
            <w:r>
              <w:rPr>
                <w:rFonts w:ascii="Times New Roman" w:hAnsi="Times New Roman" w:cs="Times New Roman" w:eastAsiaTheme="minorEastAsia"/>
                <w:szCs w:val="21"/>
              </w:rPr>
              <w:t>共</w:t>
            </w:r>
            <w:r>
              <w:rPr>
                <w:rFonts w:ascii="Times New Roman" w:hAnsi="Times New Roman" w:eastAsia="宋体" w:cs="Times New Roman"/>
                <w:szCs w:val="21"/>
              </w:rPr>
              <w:t>设置</w:t>
            </w:r>
            <w:r>
              <w:rPr>
                <w:rFonts w:hint="eastAsia" w:ascii="Times New Roman" w:hAnsi="Times New Roman" w:eastAsia="宋体" w:cs="Times New Roman"/>
                <w:szCs w:val="21"/>
              </w:rPr>
              <w:t>350</w:t>
            </w:r>
            <w:r>
              <w:rPr>
                <w:rFonts w:ascii="Times New Roman" w:hAnsi="Times New Roman" w:eastAsia="宋体" w:cs="Times New Roman"/>
                <w:szCs w:val="21"/>
              </w:rPr>
              <w:t>m（长）×</w:t>
            </w:r>
            <w:r>
              <w:rPr>
                <w:rFonts w:hint="eastAsia" w:ascii="Times New Roman" w:hAnsi="Times New Roman" w:eastAsia="宋体" w:cs="Times New Roman"/>
                <w:szCs w:val="21"/>
              </w:rPr>
              <w:t>3.0</w:t>
            </w:r>
            <w:r>
              <w:rPr>
                <w:rFonts w:ascii="Times New Roman" w:hAnsi="Times New Roman" w:eastAsia="宋体" w:cs="Times New Roman"/>
                <w:szCs w:val="21"/>
              </w:rPr>
              <w:t>m（高）声屏障，</w:t>
            </w:r>
            <w:r>
              <w:rPr>
                <w:rFonts w:hint="eastAsia" w:ascii="Times New Roman" w:hAnsi="Times New Roman" w:eastAsia="宋体" w:cs="Times New Roman"/>
                <w:szCs w:val="21"/>
              </w:rPr>
              <w:t>2</w:t>
            </w:r>
            <w:r>
              <w:rPr>
                <w:rFonts w:ascii="Times New Roman" w:hAnsi="Times New Roman" w:eastAsia="宋体" w:cs="Times New Roman"/>
                <w:szCs w:val="21"/>
              </w:rPr>
              <w:t>000元/m，共投资</w:t>
            </w:r>
            <w:r>
              <w:rPr>
                <w:rFonts w:hint="eastAsia" w:ascii="Times New Roman" w:hAnsi="Times New Roman" w:eastAsia="宋体" w:cs="Times New Roman"/>
                <w:szCs w:val="21"/>
              </w:rPr>
              <w:t>70</w:t>
            </w:r>
            <w:r>
              <w:rPr>
                <w:rFonts w:ascii="Times New Roman" w:hAnsi="Times New Roman" w:eastAsia="宋体" w:cs="Times New Roman"/>
                <w:szCs w:val="21"/>
              </w:rPr>
              <w:t>万元</w:t>
            </w:r>
            <w:r>
              <w:rPr>
                <w:rFonts w:ascii="Times New Roman" w:hAnsi="Times New Roman" w:eastAsia="宋体" w:cs="Times New Roman"/>
              </w:rPr>
              <w:t>，房屋距路较近，分布较集中，声屏障降噪效果好</w:t>
            </w:r>
            <w:r>
              <w:rPr>
                <w:rFonts w:ascii="Times New Roman" w:hAnsi="Times New Roman" w:eastAsia="宋体" w:cs="Times New Roman"/>
                <w:szCs w:val="21"/>
              </w:rPr>
              <w:t>。</w:t>
            </w:r>
          </w:p>
          <w:p w14:paraId="1C520C5B">
            <w:pPr>
              <w:widowControl/>
              <w:adjustRightInd w:val="0"/>
              <w:snapToGrid w:val="0"/>
              <w:spacing w:line="240" w:lineRule="exact"/>
              <w:rPr>
                <w:rFonts w:ascii="Times New Roman" w:hAnsi="Times New Roman" w:eastAsia="宋体" w:cs="Times New Roman"/>
                <w:szCs w:val="21"/>
              </w:rPr>
            </w:pPr>
            <w:r>
              <w:rPr>
                <w:rFonts w:ascii="Times New Roman" w:hAnsi="Times New Roman" w:eastAsia="宋体" w:cs="Times New Roman"/>
                <w:szCs w:val="21"/>
              </w:rPr>
              <w:t>推荐：综合考虑推荐方案</w:t>
            </w:r>
            <w:r>
              <w:rPr>
                <w:rFonts w:hint="eastAsia" w:ascii="Times New Roman" w:hAnsi="Times New Roman" w:eastAsia="宋体" w:cs="Times New Roman"/>
                <w:szCs w:val="21"/>
              </w:rPr>
              <w:t>二</w:t>
            </w:r>
            <w:r>
              <w:rPr>
                <w:rFonts w:ascii="Times New Roman" w:hAnsi="Times New Roman" w:eastAsia="宋体" w:cs="Times New Roman"/>
                <w:szCs w:val="21"/>
              </w:rPr>
              <w:t>。</w:t>
            </w:r>
          </w:p>
        </w:tc>
        <w:tc>
          <w:tcPr>
            <w:tcW w:w="242" w:type="pct"/>
            <w:vAlign w:val="center"/>
          </w:tcPr>
          <w:p w14:paraId="47B3A04A">
            <w:pPr>
              <w:widowControl/>
              <w:jc w:val="center"/>
              <w:rPr>
                <w:rFonts w:ascii="Times New Roman" w:hAnsi="Times New Roman" w:eastAsia="宋体" w:cs="Times New Roman"/>
                <w:kern w:val="0"/>
              </w:rPr>
            </w:pPr>
            <w:r>
              <w:rPr>
                <w:rFonts w:ascii="Times New Roman" w:hAnsi="Times New Roman" w:eastAsia="宋体" w:cs="Times New Roman"/>
                <w:kern w:val="0"/>
              </w:rPr>
              <w:t>声屏障</w:t>
            </w:r>
          </w:p>
        </w:tc>
        <w:tc>
          <w:tcPr>
            <w:tcW w:w="260" w:type="pct"/>
            <w:vAlign w:val="center"/>
          </w:tcPr>
          <w:p w14:paraId="3F220F16">
            <w:pPr>
              <w:widowControl/>
              <w:jc w:val="center"/>
              <w:rPr>
                <w:rFonts w:ascii="Times New Roman" w:hAnsi="Times New Roman" w:eastAsia="宋体" w:cs="Times New Roman"/>
                <w:kern w:val="0"/>
              </w:rPr>
            </w:pPr>
            <w:r>
              <w:rPr>
                <w:rFonts w:ascii="Times New Roman" w:hAnsi="Times New Roman" w:eastAsia="宋体" w:cs="Times New Roman"/>
                <w:kern w:val="0"/>
              </w:rPr>
              <w:t>室外达标</w:t>
            </w:r>
          </w:p>
        </w:tc>
        <w:tc>
          <w:tcPr>
            <w:tcW w:w="251" w:type="pct"/>
            <w:vAlign w:val="center"/>
          </w:tcPr>
          <w:p w14:paraId="3B77ABEE">
            <w:pPr>
              <w:widowControl/>
              <w:adjustRightInd w:val="0"/>
              <w:snapToGrid w:val="0"/>
              <w:spacing w:line="240" w:lineRule="exact"/>
              <w:jc w:val="center"/>
              <w:rPr>
                <w:rFonts w:ascii="Times New Roman" w:hAnsi="宋体" w:eastAsia="宋体" w:cs="Times New Roman"/>
                <w:szCs w:val="21"/>
              </w:rPr>
            </w:pPr>
            <w:r>
              <w:rPr>
                <w:rFonts w:hint="eastAsia" w:ascii="Times New Roman" w:hAnsi="宋体" w:eastAsia="宋体" w:cs="Times New Roman"/>
                <w:szCs w:val="21"/>
              </w:rPr>
              <w:t>70</w:t>
            </w:r>
          </w:p>
        </w:tc>
      </w:tr>
      <w:tr w14:paraId="0ADB35AE">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trHeight w:val="498" w:hRule="atLeast"/>
          <w:tblHeader/>
          <w:jc w:val="center"/>
        </w:trPr>
        <w:tc>
          <w:tcPr>
            <w:tcW w:w="180" w:type="pct"/>
            <w:vMerge w:val="restart"/>
            <w:noWrap/>
            <w:vAlign w:val="center"/>
          </w:tcPr>
          <w:p w14:paraId="719403C3">
            <w:pPr>
              <w:jc w:val="center"/>
              <w:rPr>
                <w:rFonts w:ascii="Times New Roman" w:hAnsi="Times New Roman" w:eastAsia="宋体" w:cs="Times New Roman"/>
                <w:color w:val="auto"/>
              </w:rPr>
            </w:pPr>
            <w:r>
              <w:rPr>
                <w:rFonts w:hint="eastAsia" w:ascii="Times New Roman" w:hAnsi="Times New Roman" w:eastAsia="宋体" w:cs="Times New Roman"/>
                <w:color w:val="auto"/>
              </w:rPr>
              <w:t>15</w:t>
            </w:r>
          </w:p>
        </w:tc>
        <w:tc>
          <w:tcPr>
            <w:tcW w:w="278" w:type="pct"/>
            <w:vMerge w:val="restart"/>
            <w:vAlign w:val="center"/>
          </w:tcPr>
          <w:p w14:paraId="7A8F1246">
            <w:pPr>
              <w:widowControl/>
              <w:spacing w:line="300" w:lineRule="exact"/>
              <w:jc w:val="center"/>
              <w:rPr>
                <w:rFonts w:ascii="Times New Roman" w:hAnsi="Times New Roman" w:eastAsia="宋体" w:cs="Times New Roman"/>
                <w:color w:val="auto"/>
              </w:rPr>
            </w:pPr>
            <w:r>
              <w:rPr>
                <w:rFonts w:ascii="Times New Roman" w:hAnsi="Times New Roman" w:eastAsia="宋体" w:cs="Times New Roman"/>
                <w:color w:val="auto"/>
              </w:rPr>
              <w:t>K</w:t>
            </w:r>
            <w:r>
              <w:rPr>
                <w:rFonts w:hint="eastAsia" w:ascii="Times New Roman" w:hAnsi="Times New Roman" w:eastAsia="宋体" w:cs="Times New Roman"/>
                <w:color w:val="auto"/>
              </w:rPr>
              <w:t>36</w:t>
            </w:r>
            <w:r>
              <w:rPr>
                <w:rFonts w:ascii="Times New Roman" w:hAnsi="Times New Roman" w:eastAsia="宋体" w:cs="Times New Roman"/>
                <w:color w:val="auto"/>
              </w:rPr>
              <w:t>+</w:t>
            </w:r>
            <w:r>
              <w:rPr>
                <w:rFonts w:hint="eastAsia" w:ascii="Times New Roman" w:hAnsi="Times New Roman" w:eastAsia="宋体" w:cs="Times New Roman"/>
                <w:color w:val="auto"/>
              </w:rPr>
              <w:t>4</w:t>
            </w:r>
            <w:r>
              <w:rPr>
                <w:rFonts w:ascii="Times New Roman" w:hAnsi="Times New Roman" w:eastAsia="宋体" w:cs="Times New Roman"/>
                <w:color w:val="auto"/>
              </w:rPr>
              <w:t>00</w:t>
            </w:r>
          </w:p>
        </w:tc>
        <w:tc>
          <w:tcPr>
            <w:tcW w:w="346" w:type="pct"/>
            <w:vMerge w:val="restart"/>
            <w:vAlign w:val="center"/>
          </w:tcPr>
          <w:p w14:paraId="0ADBECB7">
            <w:pPr>
              <w:widowControl/>
              <w:spacing w:line="30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伽师县中等职业技术学校</w:t>
            </w:r>
          </w:p>
        </w:tc>
        <w:tc>
          <w:tcPr>
            <w:tcW w:w="138" w:type="pct"/>
            <w:vMerge w:val="restart"/>
            <w:vAlign w:val="center"/>
          </w:tcPr>
          <w:p w14:paraId="1A57A6C8">
            <w:pPr>
              <w:widowControl/>
              <w:spacing w:line="300" w:lineRule="exact"/>
              <w:jc w:val="center"/>
              <w:rPr>
                <w:rFonts w:ascii="Times New Roman" w:hAnsi="Times New Roman" w:eastAsia="宋体" w:cs="Times New Roman"/>
                <w:color w:val="auto"/>
              </w:rPr>
            </w:pPr>
            <w:r>
              <w:rPr>
                <w:rFonts w:ascii="Times New Roman" w:hAnsi="Times New Roman" w:eastAsia="宋体" w:cs="Times New Roman"/>
                <w:color w:val="auto"/>
              </w:rPr>
              <w:t>路</w:t>
            </w:r>
            <w:r>
              <w:rPr>
                <w:rFonts w:hint="eastAsia" w:ascii="Times New Roman" w:hAnsi="Times New Roman" w:eastAsia="宋体" w:cs="Times New Roman"/>
                <w:color w:val="auto"/>
              </w:rPr>
              <w:t>左</w:t>
            </w:r>
          </w:p>
        </w:tc>
        <w:tc>
          <w:tcPr>
            <w:tcW w:w="209" w:type="pct"/>
            <w:vAlign w:val="center"/>
          </w:tcPr>
          <w:p w14:paraId="66EE1D63">
            <w:pPr>
              <w:widowControl/>
              <w:spacing w:line="30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61</w:t>
            </w:r>
          </w:p>
        </w:tc>
        <w:tc>
          <w:tcPr>
            <w:tcW w:w="243" w:type="pct"/>
            <w:vAlign w:val="center"/>
          </w:tcPr>
          <w:p w14:paraId="3EA692D3">
            <w:pPr>
              <w:adjustRightInd w:val="0"/>
              <w:snapToGrid w:val="0"/>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w:t>
            </w:r>
          </w:p>
        </w:tc>
        <w:tc>
          <w:tcPr>
            <w:tcW w:w="243" w:type="pct"/>
            <w:vAlign w:val="center"/>
          </w:tcPr>
          <w:p w14:paraId="1F99B530">
            <w:pPr>
              <w:adjustRightInd w:val="0"/>
              <w:snapToGrid w:val="0"/>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3.5/-</w:t>
            </w:r>
          </w:p>
        </w:tc>
        <w:tc>
          <w:tcPr>
            <w:tcW w:w="190" w:type="pct"/>
            <w:vMerge w:val="restart"/>
            <w:shd w:val="clear" w:color="auto" w:fill="auto"/>
            <w:vAlign w:val="center"/>
          </w:tcPr>
          <w:p w14:paraId="243FF67D">
            <w:pPr>
              <w:adjustRightInd w:val="0"/>
              <w:snapToGrid w:val="0"/>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w:t>
            </w:r>
          </w:p>
        </w:tc>
        <w:tc>
          <w:tcPr>
            <w:tcW w:w="190" w:type="pct"/>
            <w:vMerge w:val="restart"/>
            <w:shd w:val="clear" w:color="auto" w:fill="auto"/>
            <w:vAlign w:val="center"/>
          </w:tcPr>
          <w:p w14:paraId="0A2B06A2">
            <w:pPr>
              <w:adjustRightInd w:val="0"/>
              <w:snapToGrid w:val="0"/>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5栋4层楼</w:t>
            </w:r>
          </w:p>
        </w:tc>
        <w:tc>
          <w:tcPr>
            <w:tcW w:w="2230" w:type="pct"/>
            <w:vMerge w:val="restart"/>
            <w:noWrap/>
            <w:vAlign w:val="center"/>
          </w:tcPr>
          <w:p w14:paraId="71BF4C15">
            <w:pPr>
              <w:rPr>
                <w:rFonts w:ascii="Times New Roman" w:hAnsi="Times New Roman" w:eastAsia="宋体" w:cs="Times New Roman"/>
                <w:color w:val="auto"/>
                <w:szCs w:val="21"/>
              </w:rPr>
            </w:pPr>
            <w:r>
              <w:rPr>
                <w:rFonts w:ascii="Times New Roman" w:hAnsi="Times New Roman" w:eastAsia="宋体" w:cs="Times New Roman"/>
                <w:color w:val="auto"/>
                <w:szCs w:val="21"/>
              </w:rPr>
              <w:t>方案一：</w:t>
            </w:r>
            <w:r>
              <w:rPr>
                <w:rFonts w:ascii="Times New Roman" w:hAnsi="Times New Roman" w:cs="Times New Roman" w:eastAsiaTheme="minorEastAsia"/>
                <w:color w:val="auto"/>
              </w:rPr>
              <w:t>安装隔声窗，超标范围内</w:t>
            </w:r>
            <w:r>
              <w:rPr>
                <w:rFonts w:hint="eastAsia" w:ascii="Times New Roman" w:hAnsi="Times New Roman" w:cs="Times New Roman" w:eastAsiaTheme="minorEastAsia"/>
                <w:bCs/>
                <w:color w:val="auto"/>
              </w:rPr>
              <w:t>5栋4层</w:t>
            </w:r>
            <w:r>
              <w:rPr>
                <w:rFonts w:ascii="Times New Roman" w:hAnsi="Times New Roman" w:cs="Times New Roman" w:eastAsiaTheme="minorEastAsia"/>
                <w:bCs/>
                <w:color w:val="auto"/>
              </w:rPr>
              <w:t>楼</w:t>
            </w:r>
            <w:r>
              <w:rPr>
                <w:rFonts w:ascii="Times New Roman" w:hAnsi="Times New Roman" w:cs="Times New Roman" w:eastAsiaTheme="minorEastAsia"/>
                <w:color w:val="auto"/>
              </w:rPr>
              <w:t>，隔声量20～25dB，共计</w:t>
            </w:r>
            <w:r>
              <w:rPr>
                <w:rFonts w:hint="eastAsia" w:ascii="Times New Roman" w:hAnsi="Times New Roman" w:cs="Times New Roman" w:eastAsiaTheme="minorEastAsia"/>
                <w:color w:val="auto"/>
              </w:rPr>
              <w:t>300</w:t>
            </w:r>
            <w:r>
              <w:rPr>
                <w:rFonts w:ascii="Times New Roman" w:hAnsi="Times New Roman" w:cs="Times New Roman" w:eastAsiaTheme="minorEastAsia"/>
                <w:color w:val="auto"/>
              </w:rPr>
              <w:t>万元。</w:t>
            </w:r>
          </w:p>
          <w:p w14:paraId="5AEB4A8B">
            <w:pPr>
              <w:adjustRightInd w:val="0"/>
              <w:snapToGrid w:val="0"/>
              <w:spacing w:line="240" w:lineRule="exact"/>
              <w:rPr>
                <w:rFonts w:ascii="Times New Roman" w:hAnsi="Times New Roman" w:eastAsia="宋体" w:cs="Times New Roman"/>
                <w:color w:val="auto"/>
                <w:szCs w:val="21"/>
              </w:rPr>
            </w:pPr>
            <w:r>
              <w:rPr>
                <w:rFonts w:ascii="Times New Roman" w:hAnsi="Times New Roman" w:eastAsia="宋体" w:cs="Times New Roman"/>
                <w:color w:val="auto"/>
                <w:szCs w:val="21"/>
              </w:rPr>
              <w:t>方案二：设置声屏障，拟建公路</w:t>
            </w:r>
            <w:r>
              <w:rPr>
                <w:rFonts w:hint="eastAsia" w:ascii="Times New Roman" w:hAnsi="Times New Roman" w:eastAsia="宋体" w:cs="Times New Roman"/>
                <w:color w:val="auto"/>
                <w:szCs w:val="21"/>
              </w:rPr>
              <w:t>左</w:t>
            </w:r>
            <w:r>
              <w:rPr>
                <w:rFonts w:ascii="Times New Roman" w:hAnsi="Times New Roman" w:eastAsia="宋体" w:cs="Times New Roman"/>
                <w:color w:val="auto"/>
                <w:szCs w:val="21"/>
              </w:rPr>
              <w:t>侧</w:t>
            </w:r>
            <w:r>
              <w:rPr>
                <w:rFonts w:ascii="Times New Roman" w:hAnsi="Times New Roman" w:eastAsia="宋体" w:cs="Times New Roman"/>
                <w:color w:val="auto"/>
              </w:rPr>
              <w:t>K</w:t>
            </w:r>
            <w:r>
              <w:rPr>
                <w:rFonts w:hint="eastAsia" w:ascii="Times New Roman" w:hAnsi="Times New Roman" w:eastAsia="宋体" w:cs="Times New Roman"/>
                <w:color w:val="auto"/>
              </w:rPr>
              <w:t>36</w:t>
            </w:r>
            <w:r>
              <w:rPr>
                <w:rFonts w:ascii="Times New Roman" w:hAnsi="Times New Roman" w:eastAsia="宋体" w:cs="Times New Roman"/>
                <w:color w:val="auto"/>
              </w:rPr>
              <w:t>+</w:t>
            </w:r>
            <w:r>
              <w:rPr>
                <w:rFonts w:hint="eastAsia" w:ascii="Times New Roman" w:hAnsi="Times New Roman" w:eastAsia="宋体" w:cs="Times New Roman"/>
                <w:color w:val="auto"/>
              </w:rPr>
              <w:t>35</w:t>
            </w:r>
            <w:r>
              <w:rPr>
                <w:rFonts w:ascii="Times New Roman" w:hAnsi="Times New Roman" w:eastAsia="宋体" w:cs="Times New Roman"/>
                <w:color w:val="auto"/>
              </w:rPr>
              <w:t>0</w:t>
            </w:r>
            <w:r>
              <w:rPr>
                <w:rFonts w:ascii="Times New Roman" w:hAnsi="Times New Roman" w:eastAsia="宋体" w:cs="Times New Roman"/>
                <w:color w:val="auto"/>
                <w:szCs w:val="21"/>
              </w:rPr>
              <w:t>～</w:t>
            </w:r>
            <w:r>
              <w:rPr>
                <w:rFonts w:ascii="Times New Roman" w:hAnsi="Times New Roman" w:eastAsia="宋体" w:cs="Times New Roman"/>
                <w:color w:val="auto"/>
              </w:rPr>
              <w:t>K</w:t>
            </w:r>
            <w:r>
              <w:rPr>
                <w:rFonts w:hint="eastAsia" w:ascii="Times New Roman" w:hAnsi="Times New Roman" w:eastAsia="宋体" w:cs="Times New Roman"/>
                <w:color w:val="auto"/>
              </w:rPr>
              <w:t>36</w:t>
            </w:r>
            <w:r>
              <w:rPr>
                <w:rFonts w:ascii="Times New Roman" w:hAnsi="Times New Roman" w:eastAsia="宋体" w:cs="Times New Roman"/>
                <w:color w:val="auto"/>
              </w:rPr>
              <w:t>+</w:t>
            </w:r>
            <w:r>
              <w:rPr>
                <w:rFonts w:hint="eastAsia" w:ascii="Times New Roman" w:hAnsi="Times New Roman" w:eastAsia="宋体" w:cs="Times New Roman"/>
                <w:color w:val="auto"/>
              </w:rPr>
              <w:t>5</w:t>
            </w:r>
            <w:r>
              <w:rPr>
                <w:rFonts w:ascii="Times New Roman" w:hAnsi="Times New Roman" w:eastAsia="宋体" w:cs="Times New Roman"/>
                <w:color w:val="auto"/>
              </w:rPr>
              <w:t>00</w:t>
            </w:r>
            <w:r>
              <w:rPr>
                <w:rFonts w:ascii="Times New Roman" w:hAnsi="Times New Roman" w:eastAsia="宋体" w:cs="Times New Roman"/>
                <w:color w:val="auto"/>
                <w:szCs w:val="21"/>
              </w:rPr>
              <w:t>设置</w:t>
            </w:r>
            <w:r>
              <w:rPr>
                <w:rFonts w:hint="eastAsia" w:ascii="Times New Roman" w:hAnsi="Times New Roman" w:eastAsia="宋体" w:cs="Times New Roman"/>
                <w:color w:val="auto"/>
                <w:szCs w:val="21"/>
              </w:rPr>
              <w:t>150</w:t>
            </w:r>
            <w:r>
              <w:rPr>
                <w:rFonts w:ascii="Times New Roman" w:hAnsi="Times New Roman" w:eastAsia="宋体" w:cs="Times New Roman"/>
                <w:color w:val="auto"/>
                <w:szCs w:val="21"/>
              </w:rPr>
              <w:t>m（长）×</w:t>
            </w:r>
            <w:r>
              <w:rPr>
                <w:rFonts w:hint="eastAsia" w:ascii="Times New Roman" w:hAnsi="Times New Roman" w:eastAsia="宋体" w:cs="Times New Roman"/>
                <w:color w:val="auto"/>
                <w:szCs w:val="21"/>
              </w:rPr>
              <w:t>3.0</w:t>
            </w:r>
            <w:r>
              <w:rPr>
                <w:rFonts w:ascii="Times New Roman" w:hAnsi="Times New Roman" w:eastAsia="宋体" w:cs="Times New Roman"/>
                <w:color w:val="auto"/>
                <w:szCs w:val="21"/>
              </w:rPr>
              <w:t>m（高）声屏障，</w:t>
            </w:r>
            <w:r>
              <w:rPr>
                <w:rFonts w:hint="eastAsia" w:ascii="Times New Roman" w:hAnsi="Times New Roman" w:eastAsia="宋体" w:cs="Times New Roman"/>
                <w:color w:val="auto"/>
                <w:szCs w:val="21"/>
              </w:rPr>
              <w:t>2</w:t>
            </w:r>
            <w:r>
              <w:rPr>
                <w:rFonts w:ascii="Times New Roman" w:hAnsi="Times New Roman" w:eastAsia="宋体" w:cs="Times New Roman"/>
                <w:color w:val="auto"/>
                <w:szCs w:val="21"/>
              </w:rPr>
              <w:t>000元/m，共投资</w:t>
            </w:r>
            <w:r>
              <w:rPr>
                <w:rFonts w:hint="eastAsia" w:ascii="Times New Roman" w:hAnsi="Times New Roman" w:eastAsia="宋体" w:cs="Times New Roman"/>
                <w:color w:val="auto"/>
                <w:szCs w:val="21"/>
              </w:rPr>
              <w:t>30</w:t>
            </w:r>
            <w:r>
              <w:rPr>
                <w:rFonts w:ascii="Times New Roman" w:hAnsi="Times New Roman" w:eastAsia="宋体" w:cs="Times New Roman"/>
                <w:color w:val="auto"/>
                <w:szCs w:val="21"/>
              </w:rPr>
              <w:t>万元</w:t>
            </w:r>
            <w:r>
              <w:rPr>
                <w:rFonts w:ascii="Times New Roman" w:hAnsi="Times New Roman" w:eastAsia="宋体" w:cs="Times New Roman"/>
                <w:color w:val="auto"/>
              </w:rPr>
              <w:t>，</w:t>
            </w:r>
            <w:r>
              <w:rPr>
                <w:rFonts w:hint="eastAsia" w:ascii="Times New Roman" w:hAnsi="Times New Roman" w:eastAsia="宋体" w:cs="Times New Roman"/>
                <w:color w:val="auto"/>
              </w:rPr>
              <w:t>学校</w:t>
            </w:r>
            <w:r>
              <w:rPr>
                <w:rFonts w:ascii="Times New Roman" w:hAnsi="Times New Roman" w:eastAsia="宋体" w:cs="Times New Roman"/>
                <w:color w:val="auto"/>
              </w:rPr>
              <w:t>距路较近，分布较集中，声屏障降噪效果好</w:t>
            </w:r>
            <w:r>
              <w:rPr>
                <w:rFonts w:ascii="Times New Roman" w:hAnsi="Times New Roman" w:eastAsia="宋体" w:cs="Times New Roman"/>
                <w:color w:val="auto"/>
                <w:szCs w:val="21"/>
              </w:rPr>
              <w:t>。</w:t>
            </w:r>
            <w:r>
              <w:rPr>
                <w:rFonts w:ascii="Times New Roman" w:hAnsi="Times New Roman" w:eastAsia="宋体" w:cs="Times New Roman"/>
                <w:color w:val="auto"/>
              </w:rPr>
              <w:t>由于学校为</w:t>
            </w:r>
            <w:r>
              <w:rPr>
                <w:rFonts w:hint="eastAsia" w:ascii="Times New Roman" w:hAnsi="Times New Roman" w:eastAsia="宋体" w:cs="Times New Roman"/>
                <w:color w:val="auto"/>
              </w:rPr>
              <w:t>4层建筑，</w:t>
            </w:r>
            <w:r>
              <w:rPr>
                <w:rFonts w:ascii="Times New Roman" w:hAnsi="Times New Roman" w:eastAsia="宋体" w:cs="Times New Roman"/>
                <w:color w:val="auto"/>
              </w:rPr>
              <w:t>仅采取声屏障降噪措施高层</w:t>
            </w:r>
            <w:r>
              <w:rPr>
                <w:rFonts w:hint="eastAsia" w:ascii="Times New Roman" w:hAnsi="Times New Roman" w:eastAsia="宋体" w:cs="Times New Roman"/>
                <w:color w:val="auto"/>
              </w:rPr>
              <w:t>难以</w:t>
            </w:r>
            <w:r>
              <w:rPr>
                <w:rFonts w:ascii="Times New Roman" w:hAnsi="Times New Roman" w:eastAsia="宋体" w:cs="Times New Roman"/>
                <w:color w:val="auto"/>
              </w:rPr>
              <w:t>达标</w:t>
            </w:r>
            <w:r>
              <w:rPr>
                <w:rFonts w:hint="eastAsia" w:ascii="Times New Roman" w:hAnsi="Times New Roman" w:eastAsia="宋体" w:cs="Times New Roman"/>
                <w:color w:val="auto"/>
                <w:szCs w:val="21"/>
              </w:rPr>
              <w:t>，需同时</w:t>
            </w:r>
            <w:r>
              <w:rPr>
                <w:rFonts w:ascii="Times New Roman" w:hAnsi="Times New Roman" w:eastAsia="宋体" w:cs="Times New Roman"/>
                <w:color w:val="auto"/>
              </w:rPr>
              <w:t>对学校安装隔声窗，隔声量20～25dB，共计</w:t>
            </w:r>
            <w:r>
              <w:rPr>
                <w:rFonts w:hint="eastAsia" w:ascii="Times New Roman" w:hAnsi="Times New Roman" w:eastAsia="宋体" w:cs="Times New Roman"/>
                <w:color w:val="auto"/>
              </w:rPr>
              <w:t>300</w:t>
            </w:r>
            <w:r>
              <w:rPr>
                <w:rFonts w:ascii="Times New Roman" w:hAnsi="Times New Roman" w:eastAsia="宋体" w:cs="Times New Roman"/>
                <w:color w:val="auto"/>
              </w:rPr>
              <w:t>万元。</w:t>
            </w:r>
          </w:p>
          <w:p w14:paraId="56C8E139">
            <w:pPr>
              <w:spacing w:line="240" w:lineRule="exact"/>
              <w:rPr>
                <w:rFonts w:ascii="Times New Roman" w:hAnsi="Times New Roman" w:eastAsia="宋体" w:cs="Times New Roman"/>
                <w:color w:val="auto"/>
                <w:szCs w:val="21"/>
              </w:rPr>
            </w:pPr>
            <w:r>
              <w:rPr>
                <w:rFonts w:ascii="Times New Roman" w:hAnsi="Times New Roman" w:eastAsia="宋体" w:cs="Times New Roman"/>
                <w:color w:val="auto"/>
                <w:szCs w:val="21"/>
              </w:rPr>
              <w:t>推荐：综合考虑推荐方案</w:t>
            </w:r>
            <w:r>
              <w:rPr>
                <w:rFonts w:hint="eastAsia" w:ascii="Times New Roman" w:hAnsi="Times New Roman" w:eastAsia="宋体" w:cs="Times New Roman"/>
                <w:color w:val="auto"/>
                <w:szCs w:val="21"/>
              </w:rPr>
              <w:t>二</w:t>
            </w:r>
            <w:r>
              <w:rPr>
                <w:rFonts w:ascii="Times New Roman" w:hAnsi="Times New Roman" w:eastAsia="宋体" w:cs="Times New Roman"/>
                <w:color w:val="auto"/>
                <w:szCs w:val="21"/>
              </w:rPr>
              <w:t>。</w:t>
            </w:r>
          </w:p>
        </w:tc>
        <w:tc>
          <w:tcPr>
            <w:tcW w:w="242" w:type="pct"/>
            <w:vMerge w:val="restart"/>
            <w:vAlign w:val="center"/>
          </w:tcPr>
          <w:p w14:paraId="476D26E0">
            <w:pPr>
              <w:jc w:val="center"/>
              <w:rPr>
                <w:rFonts w:ascii="Times New Roman" w:hAnsi="Times New Roman" w:eastAsia="宋体" w:cs="Times New Roman"/>
                <w:color w:val="auto"/>
                <w:szCs w:val="21"/>
              </w:rPr>
            </w:pPr>
            <w:r>
              <w:rPr>
                <w:rFonts w:ascii="Times New Roman" w:hAnsi="Times New Roman" w:eastAsia="宋体" w:cs="Times New Roman"/>
                <w:color w:val="auto"/>
                <w:kern w:val="0"/>
              </w:rPr>
              <w:t>声屏障+隔声窗</w:t>
            </w:r>
          </w:p>
        </w:tc>
        <w:tc>
          <w:tcPr>
            <w:tcW w:w="260" w:type="pct"/>
            <w:vMerge w:val="restart"/>
            <w:vAlign w:val="center"/>
          </w:tcPr>
          <w:p w14:paraId="57C3D1AB">
            <w:pPr>
              <w:jc w:val="center"/>
              <w:rPr>
                <w:rFonts w:ascii="Times New Roman" w:hAnsi="Times New Roman" w:eastAsia="宋体" w:cs="Times New Roman"/>
                <w:color w:val="auto"/>
                <w:szCs w:val="21"/>
              </w:rPr>
            </w:pPr>
            <w:r>
              <w:rPr>
                <w:rFonts w:hint="eastAsia" w:ascii="Times New Roman" w:hAnsi="Times New Roman" w:eastAsia="宋体" w:cs="Times New Roman"/>
                <w:color w:val="auto"/>
                <w:kern w:val="0"/>
              </w:rPr>
              <w:t>室内</w:t>
            </w:r>
            <w:r>
              <w:rPr>
                <w:rFonts w:ascii="Times New Roman" w:hAnsi="Times New Roman" w:eastAsia="宋体" w:cs="Times New Roman"/>
                <w:color w:val="auto"/>
                <w:kern w:val="0"/>
              </w:rPr>
              <w:t>达标</w:t>
            </w:r>
          </w:p>
        </w:tc>
        <w:tc>
          <w:tcPr>
            <w:tcW w:w="251" w:type="pct"/>
            <w:vMerge w:val="restart"/>
            <w:vAlign w:val="center"/>
          </w:tcPr>
          <w:p w14:paraId="26EBDFD6">
            <w:pPr>
              <w:jc w:val="center"/>
              <w:rPr>
                <w:rFonts w:ascii="Times New Roman" w:hAnsi="Times New Roman" w:eastAsia="宋体" w:cs="Times New Roman"/>
                <w:color w:val="auto"/>
                <w:szCs w:val="21"/>
              </w:rPr>
            </w:pPr>
            <w:r>
              <w:rPr>
                <w:rFonts w:hint="eastAsia" w:ascii="Times New Roman" w:hAnsi="Times New Roman" w:eastAsia="宋体" w:cs="Times New Roman"/>
                <w:color w:val="auto"/>
                <w:szCs w:val="21"/>
              </w:rPr>
              <w:t>330</w:t>
            </w:r>
          </w:p>
        </w:tc>
      </w:tr>
      <w:tr w14:paraId="15CEEA0D">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trHeight w:val="499" w:hRule="atLeast"/>
          <w:tblHeader/>
          <w:jc w:val="center"/>
        </w:trPr>
        <w:tc>
          <w:tcPr>
            <w:tcW w:w="180" w:type="pct"/>
            <w:vMerge w:val="continue"/>
            <w:noWrap/>
            <w:vAlign w:val="center"/>
          </w:tcPr>
          <w:p w14:paraId="7714E78A">
            <w:pPr>
              <w:jc w:val="center"/>
              <w:rPr>
                <w:rFonts w:ascii="Times New Roman" w:hAnsi="Times New Roman" w:eastAsia="宋体" w:cs="Times New Roman"/>
                <w:color w:val="FF0000"/>
              </w:rPr>
            </w:pPr>
          </w:p>
        </w:tc>
        <w:tc>
          <w:tcPr>
            <w:tcW w:w="278" w:type="pct"/>
            <w:vMerge w:val="continue"/>
            <w:vAlign w:val="center"/>
          </w:tcPr>
          <w:p w14:paraId="7CBEB5F0">
            <w:pPr>
              <w:widowControl/>
              <w:spacing w:line="300" w:lineRule="exact"/>
              <w:jc w:val="center"/>
              <w:rPr>
                <w:rFonts w:ascii="Times New Roman" w:hAnsi="Times New Roman" w:eastAsia="宋体" w:cs="Times New Roman"/>
                <w:color w:val="FF0000"/>
              </w:rPr>
            </w:pPr>
          </w:p>
        </w:tc>
        <w:tc>
          <w:tcPr>
            <w:tcW w:w="346" w:type="pct"/>
            <w:vMerge w:val="continue"/>
            <w:vAlign w:val="center"/>
          </w:tcPr>
          <w:p w14:paraId="3CE21E1C">
            <w:pPr>
              <w:widowControl/>
              <w:spacing w:line="300" w:lineRule="exact"/>
              <w:jc w:val="center"/>
              <w:rPr>
                <w:rFonts w:ascii="Times New Roman" w:hAnsi="Times New Roman" w:eastAsia="宋体" w:cs="Times New Roman"/>
                <w:color w:val="FF0000"/>
              </w:rPr>
            </w:pPr>
          </w:p>
        </w:tc>
        <w:tc>
          <w:tcPr>
            <w:tcW w:w="138" w:type="pct"/>
            <w:vMerge w:val="continue"/>
            <w:vAlign w:val="center"/>
          </w:tcPr>
          <w:p w14:paraId="78A5FFA1">
            <w:pPr>
              <w:widowControl/>
              <w:spacing w:line="300" w:lineRule="exact"/>
              <w:jc w:val="center"/>
              <w:rPr>
                <w:rFonts w:ascii="Times New Roman" w:hAnsi="Times New Roman" w:eastAsia="宋体" w:cs="Times New Roman"/>
                <w:color w:val="FF0000"/>
              </w:rPr>
            </w:pPr>
          </w:p>
        </w:tc>
        <w:tc>
          <w:tcPr>
            <w:tcW w:w="209" w:type="pct"/>
            <w:vAlign w:val="center"/>
          </w:tcPr>
          <w:p w14:paraId="456D3E62">
            <w:pPr>
              <w:widowControl/>
              <w:spacing w:line="30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105</w:t>
            </w:r>
          </w:p>
        </w:tc>
        <w:tc>
          <w:tcPr>
            <w:tcW w:w="243" w:type="pct"/>
            <w:vAlign w:val="center"/>
          </w:tcPr>
          <w:p w14:paraId="6DE17E51">
            <w:pPr>
              <w:adjustRightInd w:val="0"/>
              <w:snapToGrid w:val="0"/>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w:t>
            </w:r>
          </w:p>
        </w:tc>
        <w:tc>
          <w:tcPr>
            <w:tcW w:w="243" w:type="pct"/>
            <w:vAlign w:val="center"/>
          </w:tcPr>
          <w:p w14:paraId="76DFBC79">
            <w:pPr>
              <w:adjustRightInd w:val="0"/>
              <w:snapToGrid w:val="0"/>
              <w:spacing w:line="240" w:lineRule="exact"/>
              <w:jc w:val="center"/>
              <w:rPr>
                <w:rFonts w:ascii="Times New Roman" w:hAnsi="Times New Roman" w:eastAsia="宋体" w:cs="Times New Roman"/>
                <w:color w:val="auto"/>
              </w:rPr>
            </w:pPr>
            <w:r>
              <w:rPr>
                <w:rFonts w:hint="eastAsia" w:ascii="Times New Roman" w:hAnsi="Times New Roman" w:eastAsia="宋体" w:cs="Times New Roman"/>
                <w:color w:val="auto"/>
              </w:rPr>
              <w:t>-/4.2</w:t>
            </w:r>
          </w:p>
        </w:tc>
        <w:tc>
          <w:tcPr>
            <w:tcW w:w="190" w:type="pct"/>
            <w:vMerge w:val="continue"/>
            <w:shd w:val="clear" w:color="auto" w:fill="auto"/>
            <w:vAlign w:val="center"/>
          </w:tcPr>
          <w:p w14:paraId="35FCDA3A">
            <w:pPr>
              <w:adjustRightInd w:val="0"/>
              <w:snapToGrid w:val="0"/>
              <w:spacing w:line="240" w:lineRule="exact"/>
              <w:jc w:val="center"/>
              <w:rPr>
                <w:rFonts w:ascii="Times New Roman" w:hAnsi="Times New Roman" w:eastAsia="宋体" w:cs="Times New Roman"/>
                <w:color w:val="FF0000"/>
              </w:rPr>
            </w:pPr>
          </w:p>
        </w:tc>
        <w:tc>
          <w:tcPr>
            <w:tcW w:w="190" w:type="pct"/>
            <w:vMerge w:val="continue"/>
            <w:shd w:val="clear" w:color="auto" w:fill="auto"/>
            <w:vAlign w:val="center"/>
          </w:tcPr>
          <w:p w14:paraId="426B3C91">
            <w:pPr>
              <w:adjustRightInd w:val="0"/>
              <w:snapToGrid w:val="0"/>
              <w:spacing w:line="240" w:lineRule="exact"/>
              <w:jc w:val="center"/>
              <w:rPr>
                <w:rFonts w:ascii="Times New Roman" w:hAnsi="Times New Roman" w:eastAsia="宋体" w:cs="Times New Roman"/>
                <w:color w:val="FF0000"/>
              </w:rPr>
            </w:pPr>
          </w:p>
        </w:tc>
        <w:tc>
          <w:tcPr>
            <w:tcW w:w="2230" w:type="pct"/>
            <w:vMerge w:val="continue"/>
            <w:noWrap/>
            <w:vAlign w:val="center"/>
          </w:tcPr>
          <w:p w14:paraId="1ACDADE1">
            <w:pPr>
              <w:rPr>
                <w:rFonts w:ascii="Times New Roman" w:hAnsi="Times New Roman" w:eastAsia="宋体" w:cs="Times New Roman"/>
                <w:color w:val="FF0000"/>
                <w:szCs w:val="21"/>
              </w:rPr>
            </w:pPr>
          </w:p>
        </w:tc>
        <w:tc>
          <w:tcPr>
            <w:tcW w:w="242" w:type="pct"/>
            <w:vMerge w:val="continue"/>
            <w:vAlign w:val="center"/>
          </w:tcPr>
          <w:p w14:paraId="3B497601">
            <w:pPr>
              <w:jc w:val="center"/>
              <w:rPr>
                <w:rFonts w:ascii="Times New Roman" w:hAnsi="Times New Roman" w:eastAsia="宋体" w:cs="Times New Roman"/>
                <w:color w:val="FF0000"/>
                <w:szCs w:val="21"/>
              </w:rPr>
            </w:pPr>
          </w:p>
        </w:tc>
        <w:tc>
          <w:tcPr>
            <w:tcW w:w="260" w:type="pct"/>
            <w:vMerge w:val="continue"/>
            <w:vAlign w:val="center"/>
          </w:tcPr>
          <w:p w14:paraId="7DC12B11">
            <w:pPr>
              <w:jc w:val="center"/>
              <w:rPr>
                <w:rFonts w:ascii="Times New Roman" w:hAnsi="Times New Roman" w:eastAsia="宋体" w:cs="Times New Roman"/>
                <w:color w:val="FF0000"/>
                <w:szCs w:val="21"/>
              </w:rPr>
            </w:pPr>
          </w:p>
        </w:tc>
        <w:tc>
          <w:tcPr>
            <w:tcW w:w="251" w:type="pct"/>
            <w:vMerge w:val="continue"/>
            <w:vAlign w:val="center"/>
          </w:tcPr>
          <w:p w14:paraId="461D1764">
            <w:pPr>
              <w:widowControl/>
              <w:adjustRightInd w:val="0"/>
              <w:snapToGrid w:val="0"/>
              <w:spacing w:line="240" w:lineRule="exact"/>
              <w:jc w:val="center"/>
              <w:rPr>
                <w:rFonts w:ascii="Times New Roman" w:hAnsi="Times New Roman" w:eastAsia="宋体" w:cs="Times New Roman"/>
                <w:color w:val="FF0000"/>
                <w:szCs w:val="21"/>
              </w:rPr>
            </w:pPr>
          </w:p>
        </w:tc>
      </w:tr>
      <w:tr w14:paraId="3C86F170">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trHeight w:val="80" w:hRule="atLeast"/>
          <w:tblHeader/>
          <w:jc w:val="center"/>
        </w:trPr>
        <w:tc>
          <w:tcPr>
            <w:tcW w:w="180" w:type="pct"/>
            <w:noWrap/>
            <w:vAlign w:val="center"/>
          </w:tcPr>
          <w:p w14:paraId="47341135">
            <w:pPr>
              <w:jc w:val="center"/>
              <w:rPr>
                <w:rFonts w:ascii="Times New Roman" w:hAnsi="Times New Roman" w:eastAsia="宋体" w:cs="Times New Roman"/>
              </w:rPr>
            </w:pPr>
            <w:r>
              <w:rPr>
                <w:rFonts w:hint="eastAsia" w:ascii="Times New Roman" w:hAnsi="Times New Roman" w:eastAsia="宋体" w:cs="Times New Roman"/>
              </w:rPr>
              <w:t>16</w:t>
            </w:r>
          </w:p>
        </w:tc>
        <w:tc>
          <w:tcPr>
            <w:tcW w:w="278" w:type="pct"/>
            <w:vAlign w:val="center"/>
          </w:tcPr>
          <w:p w14:paraId="09DD0BAC">
            <w:pPr>
              <w:widowControl/>
              <w:spacing w:line="300" w:lineRule="exact"/>
              <w:jc w:val="center"/>
              <w:rPr>
                <w:rFonts w:ascii="Times New Roman" w:hAnsi="Times New Roman" w:eastAsia="宋体" w:cs="Times New Roman"/>
              </w:rPr>
            </w:pPr>
            <w:r>
              <w:rPr>
                <w:rFonts w:hint="eastAsia" w:ascii="Times New Roman" w:hAnsi="Times New Roman" w:eastAsia="宋体" w:cs="Times New Roman"/>
              </w:rPr>
              <w:t>K37+600～K37+700</w:t>
            </w:r>
          </w:p>
        </w:tc>
        <w:tc>
          <w:tcPr>
            <w:tcW w:w="346" w:type="pct"/>
            <w:vAlign w:val="center"/>
          </w:tcPr>
          <w:p w14:paraId="106F241B">
            <w:pPr>
              <w:spacing w:line="300" w:lineRule="exact"/>
              <w:jc w:val="center"/>
              <w:rPr>
                <w:rFonts w:ascii="Times New Roman" w:hAnsi="Times New Roman" w:eastAsia="宋体" w:cs="Times New Roman"/>
              </w:rPr>
            </w:pPr>
            <w:r>
              <w:rPr>
                <w:rFonts w:hint="eastAsia" w:ascii="Times New Roman" w:hAnsi="Times New Roman" w:eastAsia="宋体" w:cs="Times New Roman"/>
              </w:rPr>
              <w:t>霍加艾日克村</w:t>
            </w:r>
          </w:p>
        </w:tc>
        <w:tc>
          <w:tcPr>
            <w:tcW w:w="138" w:type="pct"/>
            <w:vAlign w:val="center"/>
          </w:tcPr>
          <w:p w14:paraId="6E2C88F9">
            <w:pPr>
              <w:widowControl/>
              <w:spacing w:line="300" w:lineRule="exact"/>
              <w:jc w:val="center"/>
              <w:rPr>
                <w:rFonts w:ascii="Times New Roman" w:hAnsi="Times New Roman" w:eastAsia="宋体" w:cs="Times New Roman"/>
              </w:rPr>
            </w:pPr>
            <w:r>
              <w:rPr>
                <w:rFonts w:hint="eastAsia" w:ascii="Times New Roman" w:hAnsi="Times New Roman" w:eastAsia="宋体" w:cs="Times New Roman"/>
              </w:rPr>
              <w:t>两侧</w:t>
            </w:r>
          </w:p>
        </w:tc>
        <w:tc>
          <w:tcPr>
            <w:tcW w:w="209" w:type="pct"/>
            <w:vAlign w:val="center"/>
          </w:tcPr>
          <w:p w14:paraId="03523165">
            <w:pPr>
              <w:widowControl/>
              <w:spacing w:line="300" w:lineRule="exact"/>
              <w:jc w:val="center"/>
              <w:rPr>
                <w:rFonts w:ascii="Times New Roman" w:hAnsi="Times New Roman" w:eastAsia="宋体" w:cs="Times New Roman"/>
              </w:rPr>
            </w:pPr>
            <w:r>
              <w:rPr>
                <w:rFonts w:hint="eastAsia" w:ascii="Times New Roman" w:hAnsi="Times New Roman" w:eastAsia="宋体" w:cs="Times New Roman"/>
              </w:rPr>
              <w:t>25</w:t>
            </w:r>
          </w:p>
        </w:tc>
        <w:tc>
          <w:tcPr>
            <w:tcW w:w="243" w:type="pct"/>
            <w:vAlign w:val="center"/>
          </w:tcPr>
          <w:p w14:paraId="51BCAD4D">
            <w:pPr>
              <w:adjustRightInd w:val="0"/>
              <w:snapToGrid w:val="0"/>
              <w:spacing w:line="240" w:lineRule="exact"/>
              <w:jc w:val="center"/>
              <w:rPr>
                <w:rFonts w:ascii="Times New Roman" w:hAnsi="Times New Roman" w:eastAsia="宋体" w:cs="Times New Roman"/>
                <w:snapToGrid w:val="0"/>
                <w:kern w:val="0"/>
                <w:szCs w:val="21"/>
              </w:rPr>
            </w:pPr>
            <w:r>
              <w:rPr>
                <w:rFonts w:hint="eastAsia" w:ascii="Times New Roman" w:hAnsi="Times New Roman" w:eastAsia="宋体" w:cs="Times New Roman"/>
                <w:snapToGrid w:val="0"/>
                <w:kern w:val="0"/>
                <w:szCs w:val="21"/>
              </w:rPr>
              <w:t>-/2.6</w:t>
            </w:r>
          </w:p>
        </w:tc>
        <w:tc>
          <w:tcPr>
            <w:tcW w:w="243" w:type="pct"/>
            <w:vAlign w:val="center"/>
          </w:tcPr>
          <w:p w14:paraId="687AE7F7">
            <w:pPr>
              <w:adjustRightInd w:val="0"/>
              <w:snapToGrid w:val="0"/>
              <w:spacing w:line="240" w:lineRule="exact"/>
              <w:jc w:val="center"/>
              <w:rPr>
                <w:rFonts w:ascii="Times New Roman" w:hAnsi="Times New Roman" w:eastAsia="宋体" w:cs="Times New Roman"/>
                <w:snapToGrid w:val="0"/>
                <w:kern w:val="0"/>
                <w:szCs w:val="21"/>
              </w:rPr>
            </w:pPr>
            <w:r>
              <w:rPr>
                <w:rFonts w:hint="eastAsia" w:ascii="Times New Roman" w:hAnsi="Times New Roman" w:eastAsia="宋体" w:cs="Times New Roman"/>
                <w:snapToGrid w:val="0"/>
                <w:kern w:val="0"/>
                <w:szCs w:val="21"/>
              </w:rPr>
              <w:t>-/3.5</w:t>
            </w:r>
          </w:p>
        </w:tc>
        <w:tc>
          <w:tcPr>
            <w:tcW w:w="190" w:type="pct"/>
            <w:shd w:val="clear" w:color="auto" w:fill="auto"/>
            <w:vAlign w:val="center"/>
          </w:tcPr>
          <w:p w14:paraId="2D20C63D">
            <w:pPr>
              <w:adjustRightInd w:val="0"/>
              <w:snapToGrid w:val="0"/>
              <w:spacing w:line="240" w:lineRule="exact"/>
              <w:jc w:val="center"/>
              <w:rPr>
                <w:rFonts w:ascii="Times New Roman" w:hAnsi="Times New Roman" w:eastAsia="宋体" w:cs="Times New Roman"/>
              </w:rPr>
            </w:pPr>
            <w:r>
              <w:rPr>
                <w:rFonts w:hint="eastAsia" w:ascii="Times New Roman" w:hAnsi="Times New Roman" w:eastAsia="宋体" w:cs="Times New Roman"/>
              </w:rPr>
              <w:t>5</w:t>
            </w:r>
          </w:p>
        </w:tc>
        <w:tc>
          <w:tcPr>
            <w:tcW w:w="190" w:type="pct"/>
            <w:shd w:val="clear" w:color="auto" w:fill="auto"/>
            <w:vAlign w:val="center"/>
          </w:tcPr>
          <w:p w14:paraId="45A13518">
            <w:pPr>
              <w:adjustRightInd w:val="0"/>
              <w:snapToGrid w:val="0"/>
              <w:spacing w:line="240" w:lineRule="exact"/>
              <w:jc w:val="center"/>
              <w:rPr>
                <w:rFonts w:ascii="Times New Roman" w:hAnsi="Times New Roman" w:eastAsia="宋体" w:cs="Times New Roman"/>
              </w:rPr>
            </w:pPr>
            <w:r>
              <w:rPr>
                <w:rFonts w:hint="eastAsia" w:ascii="Times New Roman" w:hAnsi="Times New Roman" w:eastAsia="宋体" w:cs="Times New Roman"/>
              </w:rPr>
              <w:t>30</w:t>
            </w:r>
          </w:p>
        </w:tc>
        <w:tc>
          <w:tcPr>
            <w:tcW w:w="2230" w:type="pct"/>
            <w:noWrap/>
            <w:vAlign w:val="center"/>
          </w:tcPr>
          <w:p w14:paraId="27683266">
            <w:pPr>
              <w:rPr>
                <w:rFonts w:ascii="Times New Roman" w:hAnsi="Times New Roman" w:eastAsia="宋体" w:cs="Times New Roman"/>
                <w:szCs w:val="21"/>
              </w:rPr>
            </w:pPr>
            <w:r>
              <w:rPr>
                <w:rFonts w:ascii="Times New Roman" w:hAnsi="Times New Roman" w:eastAsia="宋体" w:cs="Times New Roman"/>
                <w:szCs w:val="21"/>
              </w:rPr>
              <w:t>方案一：安装隔声窗，按每户1万元计，共</w:t>
            </w:r>
            <w:r>
              <w:rPr>
                <w:rFonts w:hint="eastAsia" w:ascii="Times New Roman" w:hAnsi="Times New Roman" w:eastAsia="宋体" w:cs="Times New Roman"/>
                <w:szCs w:val="21"/>
              </w:rPr>
              <w:t>35</w:t>
            </w:r>
            <w:r>
              <w:rPr>
                <w:rFonts w:ascii="Times New Roman" w:hAnsi="Times New Roman" w:eastAsia="宋体" w:cs="Times New Roman"/>
                <w:szCs w:val="21"/>
              </w:rPr>
              <w:t>户，投资</w:t>
            </w:r>
            <w:r>
              <w:rPr>
                <w:rFonts w:hint="eastAsia" w:ascii="Times New Roman" w:hAnsi="Times New Roman" w:eastAsia="宋体" w:cs="Times New Roman"/>
                <w:szCs w:val="21"/>
              </w:rPr>
              <w:t>35</w:t>
            </w:r>
            <w:r>
              <w:rPr>
                <w:rFonts w:ascii="Times New Roman" w:hAnsi="Times New Roman" w:eastAsia="宋体" w:cs="Times New Roman"/>
                <w:szCs w:val="21"/>
              </w:rPr>
              <w:t>万元，隔声量25dB。</w:t>
            </w:r>
          </w:p>
          <w:p w14:paraId="43016AA8">
            <w:pPr>
              <w:adjustRightInd w:val="0"/>
              <w:snapToGrid w:val="0"/>
              <w:spacing w:line="240" w:lineRule="exact"/>
              <w:rPr>
                <w:rFonts w:ascii="Times New Roman" w:hAnsi="Times New Roman" w:eastAsia="宋体" w:cs="Times New Roman"/>
                <w:szCs w:val="21"/>
              </w:rPr>
            </w:pPr>
            <w:r>
              <w:rPr>
                <w:rFonts w:ascii="Times New Roman" w:hAnsi="Times New Roman" w:eastAsia="宋体" w:cs="Times New Roman"/>
                <w:szCs w:val="21"/>
              </w:rPr>
              <w:t>方案二：设置声屏障，拟建公路两侧</w:t>
            </w:r>
            <w:r>
              <w:rPr>
                <w:rFonts w:hint="eastAsia" w:ascii="Times New Roman" w:hAnsi="Times New Roman" w:eastAsia="宋体" w:cs="Times New Roman"/>
              </w:rPr>
              <w:t>K37+600～K37+700</w:t>
            </w:r>
            <w:r>
              <w:rPr>
                <w:rFonts w:hint="eastAsia" w:ascii="Times New Roman" w:hAnsi="Times New Roman" w:eastAsia="宋体" w:cs="Times New Roman"/>
                <w:szCs w:val="21"/>
              </w:rPr>
              <w:t>路段</w:t>
            </w:r>
            <w:r>
              <w:rPr>
                <w:rFonts w:ascii="Times New Roman" w:hAnsi="Times New Roman" w:eastAsia="宋体" w:cs="Times New Roman"/>
              </w:rPr>
              <w:t>房屋</w:t>
            </w:r>
            <w:r>
              <w:rPr>
                <w:rFonts w:hint="eastAsia" w:ascii="Times New Roman" w:hAnsi="Times New Roman" w:eastAsia="宋体" w:cs="Times New Roman"/>
              </w:rPr>
              <w:t>集中</w:t>
            </w:r>
            <w:r>
              <w:rPr>
                <w:rFonts w:ascii="Times New Roman" w:hAnsi="Times New Roman" w:eastAsia="宋体" w:cs="Times New Roman"/>
              </w:rPr>
              <w:t>分布于平交口两侧，</w:t>
            </w:r>
            <w:r>
              <w:rPr>
                <w:rFonts w:ascii="Times New Roman" w:hAnsi="Times New Roman" w:cs="Times New Roman" w:eastAsiaTheme="minorEastAsia"/>
                <w:szCs w:val="21"/>
              </w:rPr>
              <w:t>根据《</w:t>
            </w:r>
            <w:r>
              <w:rPr>
                <w:rFonts w:hint="eastAsia" w:ascii="Times New Roman" w:hAnsi="Times New Roman" w:cs="Times New Roman" w:eastAsiaTheme="minorEastAsia"/>
                <w:szCs w:val="21"/>
              </w:rPr>
              <w:t>公路路线设计规范（JTG D20—2017）</w:t>
            </w:r>
            <w:r>
              <w:rPr>
                <w:rFonts w:ascii="Times New Roman" w:hAnsi="Times New Roman" w:cs="Times New Roman" w:eastAsiaTheme="minorEastAsia"/>
                <w:szCs w:val="21"/>
              </w:rPr>
              <w:t>》，考虑行车安全视距，每处平交口两侧共需断开</w:t>
            </w:r>
            <w:r>
              <w:rPr>
                <w:rFonts w:hint="eastAsia" w:ascii="Times New Roman" w:hAnsi="Times New Roman" w:cs="Times New Roman" w:eastAsiaTheme="minorEastAsia"/>
                <w:szCs w:val="21"/>
              </w:rPr>
              <w:t>220m，该路段</w:t>
            </w:r>
            <w:r>
              <w:rPr>
                <w:rFonts w:ascii="Times New Roman" w:hAnsi="Times New Roman" w:eastAsia="宋体" w:cs="Times New Roman"/>
              </w:rPr>
              <w:t>平交口处无法设置声屏障。</w:t>
            </w:r>
          </w:p>
          <w:p w14:paraId="6C84B61D">
            <w:pPr>
              <w:widowControl/>
              <w:adjustRightInd w:val="0"/>
              <w:snapToGrid w:val="0"/>
              <w:spacing w:line="240" w:lineRule="exact"/>
              <w:rPr>
                <w:rFonts w:ascii="Times New Roman" w:hAnsi="Times New Roman" w:eastAsia="宋体" w:cs="Times New Roman"/>
                <w:szCs w:val="21"/>
              </w:rPr>
            </w:pPr>
            <w:r>
              <w:rPr>
                <w:rFonts w:ascii="Times New Roman" w:hAnsi="Times New Roman" w:eastAsia="宋体" w:cs="Times New Roman"/>
                <w:szCs w:val="21"/>
              </w:rPr>
              <w:t>推荐：综合考虑推荐方案</w:t>
            </w:r>
            <w:r>
              <w:rPr>
                <w:rFonts w:hint="eastAsia" w:ascii="Times New Roman" w:hAnsi="Times New Roman" w:eastAsia="宋体" w:cs="Times New Roman"/>
                <w:szCs w:val="21"/>
              </w:rPr>
              <w:t>一</w:t>
            </w:r>
            <w:r>
              <w:rPr>
                <w:rFonts w:ascii="Times New Roman" w:hAnsi="Times New Roman" w:eastAsia="宋体" w:cs="Times New Roman"/>
                <w:szCs w:val="21"/>
              </w:rPr>
              <w:t>。</w:t>
            </w:r>
          </w:p>
        </w:tc>
        <w:tc>
          <w:tcPr>
            <w:tcW w:w="242" w:type="pct"/>
            <w:vAlign w:val="center"/>
          </w:tcPr>
          <w:p w14:paraId="0DA3441C">
            <w:pPr>
              <w:widowControl/>
              <w:jc w:val="center"/>
              <w:rPr>
                <w:rFonts w:ascii="Times New Roman" w:hAnsi="Times New Roman" w:eastAsia="宋体" w:cs="Times New Roman"/>
                <w:kern w:val="0"/>
              </w:rPr>
            </w:pPr>
            <w:r>
              <w:rPr>
                <w:rFonts w:ascii="Times New Roman" w:hAnsi="Times New Roman" w:eastAsia="宋体" w:cs="Times New Roman"/>
                <w:kern w:val="0"/>
              </w:rPr>
              <w:t>隔声窗</w:t>
            </w:r>
          </w:p>
        </w:tc>
        <w:tc>
          <w:tcPr>
            <w:tcW w:w="260" w:type="pct"/>
            <w:vAlign w:val="center"/>
          </w:tcPr>
          <w:p w14:paraId="36748B00">
            <w:pPr>
              <w:widowControl/>
              <w:jc w:val="center"/>
              <w:rPr>
                <w:rFonts w:ascii="Times New Roman" w:hAnsi="Times New Roman" w:eastAsia="宋体" w:cs="Times New Roman"/>
                <w:kern w:val="0"/>
              </w:rPr>
            </w:pPr>
            <w:r>
              <w:rPr>
                <w:rFonts w:ascii="Times New Roman" w:hAnsi="Times New Roman" w:eastAsia="宋体" w:cs="Times New Roman"/>
                <w:kern w:val="0"/>
              </w:rPr>
              <w:t>室内达标</w:t>
            </w:r>
          </w:p>
        </w:tc>
        <w:tc>
          <w:tcPr>
            <w:tcW w:w="251" w:type="pct"/>
            <w:vAlign w:val="center"/>
          </w:tcPr>
          <w:p w14:paraId="7A2EB60A">
            <w:pPr>
              <w:widowControl/>
              <w:adjustRightInd w:val="0"/>
              <w:snapToGrid w:val="0"/>
              <w:spacing w:line="240" w:lineRule="exact"/>
              <w:jc w:val="center"/>
              <w:rPr>
                <w:rFonts w:ascii="Times New Roman" w:hAnsi="宋体" w:eastAsia="宋体" w:cs="Times New Roman"/>
                <w:szCs w:val="21"/>
              </w:rPr>
            </w:pPr>
            <w:r>
              <w:rPr>
                <w:rFonts w:hint="eastAsia" w:ascii="Times New Roman" w:hAnsi="宋体" w:eastAsia="宋体" w:cs="Times New Roman"/>
                <w:szCs w:val="21"/>
              </w:rPr>
              <w:t>35</w:t>
            </w:r>
          </w:p>
        </w:tc>
      </w:tr>
      <w:tr w14:paraId="627A565D">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trHeight w:val="100" w:hRule="atLeast"/>
          <w:tblHeader/>
          <w:jc w:val="center"/>
        </w:trPr>
        <w:tc>
          <w:tcPr>
            <w:tcW w:w="180" w:type="pct"/>
            <w:vMerge w:val="restart"/>
            <w:noWrap/>
            <w:vAlign w:val="center"/>
          </w:tcPr>
          <w:p w14:paraId="1CD81DA0">
            <w:pPr>
              <w:jc w:val="center"/>
              <w:rPr>
                <w:rFonts w:ascii="Times New Roman" w:hAnsi="Times New Roman" w:eastAsia="宋体" w:cs="Times New Roman"/>
              </w:rPr>
            </w:pPr>
            <w:r>
              <w:rPr>
                <w:rFonts w:hint="eastAsia" w:ascii="Times New Roman" w:hAnsi="Times New Roman" w:eastAsia="宋体" w:cs="Times New Roman"/>
              </w:rPr>
              <w:t>17</w:t>
            </w:r>
          </w:p>
        </w:tc>
        <w:tc>
          <w:tcPr>
            <w:tcW w:w="278" w:type="pct"/>
            <w:vAlign w:val="center"/>
          </w:tcPr>
          <w:p w14:paraId="70CCE53E">
            <w:pPr>
              <w:widowControl/>
              <w:spacing w:line="300" w:lineRule="exact"/>
              <w:jc w:val="center"/>
              <w:rPr>
                <w:rFonts w:ascii="Times New Roman" w:hAnsi="Times New Roman" w:eastAsia="宋体" w:cs="Times New Roman"/>
              </w:rPr>
            </w:pPr>
            <w:r>
              <w:rPr>
                <w:rFonts w:ascii="Times New Roman" w:hAnsi="Times New Roman" w:eastAsia="宋体" w:cs="Times New Roman"/>
              </w:rPr>
              <w:t>K</w:t>
            </w:r>
            <w:r>
              <w:rPr>
                <w:rFonts w:hint="eastAsia" w:ascii="Times New Roman" w:hAnsi="Times New Roman" w:eastAsia="宋体" w:cs="Times New Roman"/>
              </w:rPr>
              <w:t>38</w:t>
            </w:r>
            <w:r>
              <w:rPr>
                <w:rFonts w:ascii="Times New Roman" w:hAnsi="Times New Roman" w:eastAsia="宋体" w:cs="Times New Roman"/>
              </w:rPr>
              <w:t>+</w:t>
            </w:r>
            <w:r>
              <w:rPr>
                <w:rFonts w:hint="eastAsia" w:ascii="Times New Roman" w:hAnsi="Times New Roman" w:eastAsia="宋体" w:cs="Times New Roman"/>
              </w:rPr>
              <w:t>40</w:t>
            </w:r>
            <w:r>
              <w:rPr>
                <w:rFonts w:ascii="Times New Roman" w:hAnsi="Times New Roman" w:eastAsia="宋体" w:cs="Times New Roman"/>
              </w:rPr>
              <w:t>0～K</w:t>
            </w:r>
            <w:r>
              <w:rPr>
                <w:rFonts w:hint="eastAsia" w:ascii="Times New Roman" w:hAnsi="Times New Roman" w:eastAsia="宋体" w:cs="Times New Roman"/>
              </w:rPr>
              <w:t>38</w:t>
            </w:r>
            <w:r>
              <w:rPr>
                <w:rFonts w:ascii="Times New Roman" w:hAnsi="Times New Roman" w:eastAsia="宋体" w:cs="Times New Roman"/>
              </w:rPr>
              <w:t>+</w:t>
            </w:r>
            <w:r>
              <w:rPr>
                <w:rFonts w:hint="eastAsia" w:ascii="Times New Roman" w:hAnsi="Times New Roman" w:eastAsia="宋体" w:cs="Times New Roman"/>
              </w:rPr>
              <w:t>45</w:t>
            </w:r>
            <w:r>
              <w:rPr>
                <w:rFonts w:ascii="Times New Roman" w:hAnsi="Times New Roman" w:eastAsia="宋体" w:cs="Times New Roman"/>
              </w:rPr>
              <w:t>0</w:t>
            </w:r>
          </w:p>
        </w:tc>
        <w:tc>
          <w:tcPr>
            <w:tcW w:w="346" w:type="pct"/>
            <w:vMerge w:val="restart"/>
            <w:vAlign w:val="center"/>
          </w:tcPr>
          <w:p w14:paraId="459D7901">
            <w:pPr>
              <w:widowControl/>
              <w:spacing w:line="300" w:lineRule="exact"/>
              <w:jc w:val="center"/>
              <w:rPr>
                <w:rFonts w:ascii="Times New Roman" w:hAnsi="Times New Roman" w:eastAsia="宋体" w:cs="Times New Roman"/>
              </w:rPr>
            </w:pPr>
            <w:r>
              <w:rPr>
                <w:rFonts w:hint="eastAsia" w:ascii="Times New Roman" w:hAnsi="Times New Roman" w:eastAsia="宋体" w:cs="Times New Roman"/>
              </w:rPr>
              <w:t>提木村</w:t>
            </w:r>
          </w:p>
        </w:tc>
        <w:tc>
          <w:tcPr>
            <w:tcW w:w="138" w:type="pct"/>
            <w:vMerge w:val="restart"/>
            <w:vAlign w:val="center"/>
          </w:tcPr>
          <w:p w14:paraId="6518F8A5">
            <w:pPr>
              <w:widowControl/>
              <w:spacing w:line="300" w:lineRule="exact"/>
              <w:jc w:val="center"/>
              <w:rPr>
                <w:rFonts w:ascii="Times New Roman" w:hAnsi="Times New Roman" w:eastAsia="宋体" w:cs="Times New Roman"/>
              </w:rPr>
            </w:pPr>
            <w:r>
              <w:rPr>
                <w:rFonts w:ascii="Times New Roman" w:hAnsi="Times New Roman" w:eastAsia="宋体" w:cs="Times New Roman"/>
              </w:rPr>
              <w:t>路右</w:t>
            </w:r>
          </w:p>
        </w:tc>
        <w:tc>
          <w:tcPr>
            <w:tcW w:w="209" w:type="pct"/>
            <w:vMerge w:val="restart"/>
            <w:vAlign w:val="center"/>
          </w:tcPr>
          <w:p w14:paraId="739138E1">
            <w:pPr>
              <w:widowControl/>
              <w:spacing w:line="300" w:lineRule="exact"/>
              <w:jc w:val="center"/>
              <w:rPr>
                <w:rFonts w:ascii="Times New Roman" w:hAnsi="Times New Roman" w:eastAsia="宋体" w:cs="Times New Roman"/>
              </w:rPr>
            </w:pPr>
            <w:r>
              <w:rPr>
                <w:rFonts w:hint="eastAsia" w:ascii="Times New Roman" w:hAnsi="Times New Roman" w:eastAsia="宋体" w:cs="Times New Roman"/>
              </w:rPr>
              <w:t>23</w:t>
            </w:r>
          </w:p>
        </w:tc>
        <w:tc>
          <w:tcPr>
            <w:tcW w:w="243" w:type="pct"/>
            <w:vMerge w:val="restart"/>
            <w:vAlign w:val="center"/>
          </w:tcPr>
          <w:p w14:paraId="0A8F3D07">
            <w:pPr>
              <w:adjustRightInd w:val="0"/>
              <w:snapToGrid w:val="0"/>
              <w:spacing w:line="240" w:lineRule="exact"/>
              <w:jc w:val="center"/>
              <w:rPr>
                <w:rFonts w:ascii="Times New Roman" w:hAnsi="Times New Roman" w:eastAsia="宋体" w:cs="Times New Roman"/>
                <w:snapToGrid w:val="0"/>
                <w:kern w:val="0"/>
                <w:szCs w:val="21"/>
              </w:rPr>
            </w:pPr>
            <w:r>
              <w:rPr>
                <w:rFonts w:hint="eastAsia" w:ascii="Times New Roman" w:hAnsi="Times New Roman" w:eastAsia="宋体" w:cs="Times New Roman"/>
                <w:snapToGrid w:val="0"/>
                <w:kern w:val="0"/>
                <w:szCs w:val="21"/>
              </w:rPr>
              <w:t>-/3.0</w:t>
            </w:r>
          </w:p>
        </w:tc>
        <w:tc>
          <w:tcPr>
            <w:tcW w:w="243" w:type="pct"/>
            <w:vMerge w:val="restart"/>
            <w:vAlign w:val="center"/>
          </w:tcPr>
          <w:p w14:paraId="3272D909">
            <w:pPr>
              <w:adjustRightInd w:val="0"/>
              <w:snapToGrid w:val="0"/>
              <w:spacing w:line="240" w:lineRule="exact"/>
              <w:jc w:val="center"/>
              <w:rPr>
                <w:rFonts w:ascii="Times New Roman" w:hAnsi="Times New Roman" w:eastAsia="宋体" w:cs="Times New Roman"/>
                <w:snapToGrid w:val="0"/>
                <w:kern w:val="0"/>
                <w:szCs w:val="21"/>
              </w:rPr>
            </w:pPr>
            <w:r>
              <w:rPr>
                <w:rFonts w:hint="eastAsia" w:ascii="Times New Roman" w:hAnsi="Times New Roman" w:eastAsia="宋体" w:cs="Times New Roman"/>
                <w:snapToGrid w:val="0"/>
                <w:kern w:val="0"/>
                <w:szCs w:val="21"/>
              </w:rPr>
              <w:t>-/3.0</w:t>
            </w:r>
          </w:p>
        </w:tc>
        <w:tc>
          <w:tcPr>
            <w:tcW w:w="190" w:type="pct"/>
            <w:vMerge w:val="restart"/>
            <w:shd w:val="clear" w:color="auto" w:fill="auto"/>
            <w:vAlign w:val="center"/>
          </w:tcPr>
          <w:p w14:paraId="638B4C3A">
            <w:pPr>
              <w:widowControl/>
              <w:spacing w:line="300" w:lineRule="exact"/>
              <w:jc w:val="center"/>
              <w:rPr>
                <w:rFonts w:ascii="Times New Roman" w:hAnsi="Times New Roman" w:eastAsia="宋体" w:cs="Times New Roman"/>
              </w:rPr>
            </w:pPr>
            <w:r>
              <w:rPr>
                <w:rFonts w:hint="eastAsia" w:ascii="Times New Roman" w:hAnsi="Times New Roman" w:eastAsia="宋体" w:cs="Times New Roman"/>
              </w:rPr>
              <w:t>8</w:t>
            </w:r>
          </w:p>
        </w:tc>
        <w:tc>
          <w:tcPr>
            <w:tcW w:w="190" w:type="pct"/>
            <w:vMerge w:val="restart"/>
            <w:shd w:val="clear" w:color="auto" w:fill="auto"/>
            <w:vAlign w:val="center"/>
          </w:tcPr>
          <w:p w14:paraId="17A378F4">
            <w:pPr>
              <w:widowControl/>
              <w:spacing w:line="300" w:lineRule="exact"/>
              <w:jc w:val="center"/>
              <w:rPr>
                <w:rFonts w:ascii="Times New Roman" w:hAnsi="Times New Roman" w:eastAsia="宋体" w:cs="Times New Roman"/>
              </w:rPr>
            </w:pPr>
            <w:r>
              <w:rPr>
                <w:rFonts w:hint="eastAsia" w:ascii="Times New Roman" w:hAnsi="Times New Roman" w:eastAsia="宋体" w:cs="Times New Roman"/>
              </w:rPr>
              <w:t>42</w:t>
            </w:r>
          </w:p>
        </w:tc>
        <w:tc>
          <w:tcPr>
            <w:tcW w:w="2230" w:type="pct"/>
            <w:vMerge w:val="restart"/>
            <w:noWrap/>
            <w:vAlign w:val="center"/>
          </w:tcPr>
          <w:p w14:paraId="48565640">
            <w:pPr>
              <w:rPr>
                <w:rFonts w:ascii="Times New Roman" w:hAnsi="Times New Roman" w:eastAsia="宋体" w:cs="Times New Roman"/>
                <w:szCs w:val="21"/>
              </w:rPr>
            </w:pPr>
            <w:r>
              <w:rPr>
                <w:rFonts w:ascii="Times New Roman" w:hAnsi="Times New Roman" w:eastAsia="宋体" w:cs="Times New Roman"/>
                <w:szCs w:val="21"/>
              </w:rPr>
              <w:t>方案一：安装隔声窗，按每户1万元计，共</w:t>
            </w:r>
            <w:r>
              <w:rPr>
                <w:rFonts w:hint="eastAsia" w:ascii="Times New Roman" w:hAnsi="Times New Roman" w:eastAsia="宋体" w:cs="Times New Roman"/>
                <w:szCs w:val="21"/>
              </w:rPr>
              <w:t>50</w:t>
            </w:r>
            <w:r>
              <w:rPr>
                <w:rFonts w:ascii="Times New Roman" w:hAnsi="Times New Roman" w:eastAsia="宋体" w:cs="Times New Roman"/>
                <w:szCs w:val="21"/>
              </w:rPr>
              <w:t>户，投资</w:t>
            </w:r>
            <w:r>
              <w:rPr>
                <w:rFonts w:hint="eastAsia" w:ascii="Times New Roman" w:hAnsi="Times New Roman" w:eastAsia="宋体" w:cs="Times New Roman"/>
                <w:szCs w:val="21"/>
              </w:rPr>
              <w:t>50</w:t>
            </w:r>
            <w:r>
              <w:rPr>
                <w:rFonts w:ascii="Times New Roman" w:hAnsi="Times New Roman" w:eastAsia="宋体" w:cs="Times New Roman"/>
                <w:szCs w:val="21"/>
              </w:rPr>
              <w:t>万元，隔声量25dB。</w:t>
            </w:r>
          </w:p>
          <w:p w14:paraId="2828E764">
            <w:pPr>
              <w:adjustRightInd w:val="0"/>
              <w:snapToGrid w:val="0"/>
              <w:spacing w:line="240" w:lineRule="exact"/>
              <w:rPr>
                <w:rFonts w:ascii="Times New Roman" w:hAnsi="Times New Roman" w:eastAsia="宋体" w:cs="Times New Roman"/>
                <w:szCs w:val="21"/>
              </w:rPr>
            </w:pPr>
            <w:r>
              <w:rPr>
                <w:rFonts w:ascii="Times New Roman" w:hAnsi="Times New Roman" w:eastAsia="宋体" w:cs="Times New Roman"/>
                <w:szCs w:val="21"/>
              </w:rPr>
              <w:t>方案二：设置声屏障，拟建公路</w:t>
            </w:r>
            <w:r>
              <w:rPr>
                <w:rFonts w:hint="eastAsia" w:ascii="Times New Roman" w:hAnsi="Times New Roman" w:eastAsia="宋体" w:cs="Times New Roman"/>
                <w:szCs w:val="21"/>
              </w:rPr>
              <w:t>右侧</w:t>
            </w:r>
            <w:r>
              <w:rPr>
                <w:rFonts w:ascii="Times New Roman" w:hAnsi="Times New Roman" w:eastAsia="宋体" w:cs="Times New Roman"/>
              </w:rPr>
              <w:t>K</w:t>
            </w:r>
            <w:r>
              <w:rPr>
                <w:rFonts w:hint="eastAsia" w:ascii="Times New Roman" w:hAnsi="Times New Roman" w:eastAsia="宋体" w:cs="Times New Roman"/>
              </w:rPr>
              <w:t>38</w:t>
            </w:r>
            <w:r>
              <w:rPr>
                <w:rFonts w:ascii="Times New Roman" w:hAnsi="Times New Roman" w:eastAsia="宋体" w:cs="Times New Roman"/>
              </w:rPr>
              <w:t>+</w:t>
            </w:r>
            <w:r>
              <w:rPr>
                <w:rFonts w:hint="eastAsia" w:ascii="Times New Roman" w:hAnsi="Times New Roman" w:eastAsia="宋体" w:cs="Times New Roman"/>
              </w:rPr>
              <w:t>40</w:t>
            </w:r>
            <w:r>
              <w:rPr>
                <w:rFonts w:ascii="Times New Roman" w:hAnsi="Times New Roman" w:eastAsia="宋体" w:cs="Times New Roman"/>
              </w:rPr>
              <w:t>0～K</w:t>
            </w:r>
            <w:r>
              <w:rPr>
                <w:rFonts w:hint="eastAsia" w:ascii="Times New Roman" w:hAnsi="Times New Roman" w:eastAsia="宋体" w:cs="Times New Roman"/>
              </w:rPr>
              <w:t>38</w:t>
            </w:r>
            <w:r>
              <w:rPr>
                <w:rFonts w:ascii="Times New Roman" w:hAnsi="Times New Roman" w:eastAsia="宋体" w:cs="Times New Roman"/>
              </w:rPr>
              <w:t>+</w:t>
            </w:r>
            <w:r>
              <w:rPr>
                <w:rFonts w:hint="eastAsia" w:ascii="Times New Roman" w:hAnsi="Times New Roman" w:eastAsia="宋体" w:cs="Times New Roman"/>
              </w:rPr>
              <w:t>45</w:t>
            </w:r>
            <w:r>
              <w:rPr>
                <w:rFonts w:ascii="Times New Roman" w:hAnsi="Times New Roman" w:eastAsia="宋体" w:cs="Times New Roman"/>
              </w:rPr>
              <w:t>0和K</w:t>
            </w:r>
            <w:r>
              <w:rPr>
                <w:rFonts w:hint="eastAsia" w:ascii="Times New Roman" w:hAnsi="Times New Roman" w:eastAsia="宋体" w:cs="Times New Roman"/>
              </w:rPr>
              <w:t>38</w:t>
            </w:r>
            <w:r>
              <w:rPr>
                <w:rFonts w:ascii="Times New Roman" w:hAnsi="Times New Roman" w:eastAsia="宋体" w:cs="Times New Roman"/>
              </w:rPr>
              <w:t>+</w:t>
            </w:r>
            <w:r>
              <w:rPr>
                <w:rFonts w:hint="eastAsia" w:ascii="Times New Roman" w:hAnsi="Times New Roman" w:eastAsia="宋体" w:cs="Times New Roman"/>
              </w:rPr>
              <w:t>80</w:t>
            </w:r>
            <w:r>
              <w:rPr>
                <w:rFonts w:ascii="Times New Roman" w:hAnsi="Times New Roman" w:eastAsia="宋体" w:cs="Times New Roman"/>
              </w:rPr>
              <w:t>0～K</w:t>
            </w:r>
            <w:r>
              <w:rPr>
                <w:rFonts w:hint="eastAsia" w:ascii="Times New Roman" w:hAnsi="Times New Roman" w:eastAsia="宋体" w:cs="Times New Roman"/>
              </w:rPr>
              <w:t>38</w:t>
            </w:r>
            <w:r>
              <w:rPr>
                <w:rFonts w:ascii="Times New Roman" w:hAnsi="Times New Roman" w:eastAsia="宋体" w:cs="Times New Roman"/>
              </w:rPr>
              <w:t>+</w:t>
            </w:r>
            <w:r>
              <w:rPr>
                <w:rFonts w:hint="eastAsia" w:ascii="Times New Roman" w:hAnsi="Times New Roman" w:eastAsia="宋体" w:cs="Times New Roman"/>
              </w:rPr>
              <w:t>90</w:t>
            </w:r>
            <w:r>
              <w:rPr>
                <w:rFonts w:ascii="Times New Roman" w:hAnsi="Times New Roman" w:eastAsia="宋体" w:cs="Times New Roman"/>
              </w:rPr>
              <w:t>0</w:t>
            </w:r>
            <w:r>
              <w:rPr>
                <w:rFonts w:hint="eastAsia" w:ascii="Times New Roman" w:hAnsi="Times New Roman" w:eastAsia="宋体" w:cs="Times New Roman"/>
                <w:szCs w:val="21"/>
              </w:rPr>
              <w:t>、左侧</w:t>
            </w:r>
            <w:r>
              <w:rPr>
                <w:rFonts w:ascii="Times New Roman" w:hAnsi="Times New Roman" w:eastAsia="宋体" w:cs="Times New Roman"/>
              </w:rPr>
              <w:t>K</w:t>
            </w:r>
            <w:r>
              <w:rPr>
                <w:rFonts w:hint="eastAsia" w:ascii="Times New Roman" w:hAnsi="Times New Roman" w:eastAsia="宋体" w:cs="Times New Roman"/>
              </w:rPr>
              <w:t>38</w:t>
            </w:r>
            <w:r>
              <w:rPr>
                <w:rFonts w:ascii="Times New Roman" w:hAnsi="Times New Roman" w:eastAsia="宋体" w:cs="Times New Roman"/>
              </w:rPr>
              <w:t>+</w:t>
            </w:r>
            <w:r>
              <w:rPr>
                <w:rFonts w:hint="eastAsia" w:ascii="Times New Roman" w:hAnsi="Times New Roman" w:eastAsia="宋体" w:cs="Times New Roman"/>
              </w:rPr>
              <w:t>45</w:t>
            </w:r>
            <w:r>
              <w:rPr>
                <w:rFonts w:ascii="Times New Roman" w:hAnsi="Times New Roman" w:eastAsia="宋体" w:cs="Times New Roman"/>
              </w:rPr>
              <w:t>0～K</w:t>
            </w:r>
            <w:r>
              <w:rPr>
                <w:rFonts w:hint="eastAsia" w:ascii="Times New Roman" w:hAnsi="Times New Roman" w:eastAsia="宋体" w:cs="Times New Roman"/>
              </w:rPr>
              <w:t>38</w:t>
            </w:r>
            <w:r>
              <w:rPr>
                <w:rFonts w:ascii="Times New Roman" w:hAnsi="Times New Roman" w:eastAsia="宋体" w:cs="Times New Roman"/>
              </w:rPr>
              <w:t>+</w:t>
            </w:r>
            <w:r>
              <w:rPr>
                <w:rFonts w:hint="eastAsia" w:ascii="Times New Roman" w:hAnsi="Times New Roman" w:eastAsia="宋体" w:cs="Times New Roman"/>
              </w:rPr>
              <w:t>50</w:t>
            </w:r>
            <w:r>
              <w:rPr>
                <w:rFonts w:ascii="Times New Roman" w:hAnsi="Times New Roman" w:eastAsia="宋体" w:cs="Times New Roman"/>
              </w:rPr>
              <w:t>0路段房屋</w:t>
            </w:r>
            <w:r>
              <w:rPr>
                <w:rFonts w:hint="eastAsia" w:ascii="Times New Roman" w:hAnsi="Times New Roman" w:eastAsia="宋体" w:cs="Times New Roman"/>
              </w:rPr>
              <w:t>集中</w:t>
            </w:r>
            <w:r>
              <w:rPr>
                <w:rFonts w:ascii="Times New Roman" w:hAnsi="Times New Roman" w:eastAsia="宋体" w:cs="Times New Roman"/>
              </w:rPr>
              <w:t>分布于平交口两侧，</w:t>
            </w:r>
            <w:r>
              <w:rPr>
                <w:rFonts w:ascii="Times New Roman" w:hAnsi="Times New Roman" w:cs="Times New Roman" w:eastAsiaTheme="minorEastAsia"/>
                <w:szCs w:val="21"/>
              </w:rPr>
              <w:t>根据《</w:t>
            </w:r>
            <w:r>
              <w:rPr>
                <w:rFonts w:hint="eastAsia" w:ascii="Times New Roman" w:hAnsi="Times New Roman" w:cs="Times New Roman" w:eastAsiaTheme="minorEastAsia"/>
                <w:szCs w:val="21"/>
              </w:rPr>
              <w:t>公路路线设计规范（JTG D20—2017）</w:t>
            </w:r>
            <w:r>
              <w:rPr>
                <w:rFonts w:ascii="Times New Roman" w:hAnsi="Times New Roman" w:cs="Times New Roman" w:eastAsiaTheme="minorEastAsia"/>
                <w:szCs w:val="21"/>
              </w:rPr>
              <w:t>》，考虑行车安全视距，每处平交口两侧共需断开</w:t>
            </w:r>
            <w:r>
              <w:rPr>
                <w:rFonts w:hint="eastAsia" w:ascii="Times New Roman" w:hAnsi="Times New Roman" w:cs="Times New Roman" w:eastAsiaTheme="minorEastAsia"/>
                <w:szCs w:val="21"/>
              </w:rPr>
              <w:t>220m，该路段</w:t>
            </w:r>
            <w:r>
              <w:rPr>
                <w:rFonts w:ascii="Times New Roman" w:hAnsi="Times New Roman" w:eastAsia="宋体" w:cs="Times New Roman"/>
              </w:rPr>
              <w:t>平交口处无法设置声屏障。</w:t>
            </w:r>
          </w:p>
          <w:p w14:paraId="3C461494">
            <w:pPr>
              <w:widowControl/>
              <w:adjustRightInd w:val="0"/>
              <w:snapToGrid w:val="0"/>
              <w:spacing w:line="240" w:lineRule="exact"/>
              <w:rPr>
                <w:rFonts w:ascii="Times New Roman" w:hAnsi="Times New Roman" w:eastAsia="宋体" w:cs="Times New Roman"/>
                <w:szCs w:val="21"/>
              </w:rPr>
            </w:pPr>
            <w:r>
              <w:rPr>
                <w:rFonts w:ascii="Times New Roman" w:hAnsi="Times New Roman" w:eastAsia="宋体" w:cs="Times New Roman"/>
                <w:szCs w:val="21"/>
              </w:rPr>
              <w:t>推荐：综合考虑推荐方案</w:t>
            </w:r>
            <w:r>
              <w:rPr>
                <w:rFonts w:hint="eastAsia" w:ascii="Times New Roman" w:hAnsi="Times New Roman" w:eastAsia="宋体" w:cs="Times New Roman"/>
                <w:szCs w:val="21"/>
              </w:rPr>
              <w:t>一</w:t>
            </w:r>
            <w:r>
              <w:rPr>
                <w:rFonts w:ascii="Times New Roman" w:hAnsi="Times New Roman" w:eastAsia="宋体" w:cs="Times New Roman"/>
                <w:szCs w:val="21"/>
              </w:rPr>
              <w:t>。</w:t>
            </w:r>
          </w:p>
        </w:tc>
        <w:tc>
          <w:tcPr>
            <w:tcW w:w="242" w:type="pct"/>
            <w:vMerge w:val="restart"/>
            <w:vAlign w:val="center"/>
          </w:tcPr>
          <w:p w14:paraId="19CA87E4">
            <w:pPr>
              <w:widowControl/>
              <w:jc w:val="center"/>
              <w:rPr>
                <w:rFonts w:ascii="Times New Roman" w:hAnsi="Times New Roman" w:eastAsia="宋体" w:cs="Times New Roman"/>
                <w:kern w:val="0"/>
              </w:rPr>
            </w:pPr>
            <w:r>
              <w:rPr>
                <w:rFonts w:ascii="Times New Roman" w:hAnsi="Times New Roman" w:eastAsia="宋体" w:cs="Times New Roman"/>
                <w:kern w:val="0"/>
              </w:rPr>
              <w:t>隔声窗</w:t>
            </w:r>
          </w:p>
        </w:tc>
        <w:tc>
          <w:tcPr>
            <w:tcW w:w="260" w:type="pct"/>
            <w:vMerge w:val="restart"/>
            <w:vAlign w:val="center"/>
          </w:tcPr>
          <w:p w14:paraId="33FC25C6">
            <w:pPr>
              <w:widowControl/>
              <w:jc w:val="center"/>
              <w:rPr>
                <w:rFonts w:ascii="Times New Roman" w:hAnsi="Times New Roman" w:eastAsia="宋体" w:cs="Times New Roman"/>
                <w:kern w:val="0"/>
              </w:rPr>
            </w:pPr>
            <w:r>
              <w:rPr>
                <w:rFonts w:ascii="Times New Roman" w:hAnsi="Times New Roman" w:eastAsia="宋体" w:cs="Times New Roman"/>
                <w:kern w:val="0"/>
              </w:rPr>
              <w:t>室内达标</w:t>
            </w:r>
          </w:p>
        </w:tc>
        <w:tc>
          <w:tcPr>
            <w:tcW w:w="251" w:type="pct"/>
            <w:vMerge w:val="restart"/>
            <w:vAlign w:val="center"/>
          </w:tcPr>
          <w:p w14:paraId="6F721A52">
            <w:pPr>
              <w:widowControl/>
              <w:adjustRightInd w:val="0"/>
              <w:snapToGrid w:val="0"/>
              <w:spacing w:line="240" w:lineRule="exact"/>
              <w:jc w:val="center"/>
              <w:rPr>
                <w:rFonts w:ascii="Times New Roman" w:hAnsi="宋体" w:eastAsia="宋体" w:cs="Times New Roman"/>
                <w:szCs w:val="21"/>
              </w:rPr>
            </w:pPr>
            <w:r>
              <w:rPr>
                <w:rFonts w:hint="eastAsia" w:ascii="Times New Roman" w:hAnsi="宋体" w:eastAsia="宋体" w:cs="Times New Roman"/>
                <w:szCs w:val="21"/>
              </w:rPr>
              <w:t>50</w:t>
            </w:r>
          </w:p>
        </w:tc>
      </w:tr>
      <w:tr w14:paraId="364135ED">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trHeight w:val="100" w:hRule="atLeast"/>
          <w:tblHeader/>
          <w:jc w:val="center"/>
        </w:trPr>
        <w:tc>
          <w:tcPr>
            <w:tcW w:w="180" w:type="pct"/>
            <w:vMerge w:val="continue"/>
            <w:noWrap/>
            <w:vAlign w:val="center"/>
          </w:tcPr>
          <w:p w14:paraId="72C52B25">
            <w:pPr>
              <w:jc w:val="center"/>
              <w:rPr>
                <w:rFonts w:ascii="Times New Roman" w:hAnsi="Times New Roman" w:eastAsia="宋体" w:cs="Times New Roman"/>
              </w:rPr>
            </w:pPr>
          </w:p>
        </w:tc>
        <w:tc>
          <w:tcPr>
            <w:tcW w:w="278" w:type="pct"/>
            <w:vAlign w:val="center"/>
          </w:tcPr>
          <w:p w14:paraId="27A06E56">
            <w:pPr>
              <w:widowControl/>
              <w:spacing w:line="300" w:lineRule="exact"/>
              <w:jc w:val="center"/>
              <w:rPr>
                <w:rFonts w:ascii="Times New Roman" w:hAnsi="Times New Roman" w:eastAsia="宋体" w:cs="Times New Roman"/>
              </w:rPr>
            </w:pPr>
            <w:r>
              <w:rPr>
                <w:rFonts w:ascii="Times New Roman" w:hAnsi="Times New Roman" w:eastAsia="宋体" w:cs="Times New Roman"/>
              </w:rPr>
              <w:t>K</w:t>
            </w:r>
            <w:r>
              <w:rPr>
                <w:rFonts w:hint="eastAsia" w:ascii="Times New Roman" w:hAnsi="Times New Roman" w:eastAsia="宋体" w:cs="Times New Roman"/>
              </w:rPr>
              <w:t>38</w:t>
            </w:r>
            <w:r>
              <w:rPr>
                <w:rFonts w:ascii="Times New Roman" w:hAnsi="Times New Roman" w:eastAsia="宋体" w:cs="Times New Roman"/>
              </w:rPr>
              <w:t>+</w:t>
            </w:r>
            <w:r>
              <w:rPr>
                <w:rFonts w:hint="eastAsia" w:ascii="Times New Roman" w:hAnsi="Times New Roman" w:eastAsia="宋体" w:cs="Times New Roman"/>
              </w:rPr>
              <w:t>80</w:t>
            </w:r>
            <w:r>
              <w:rPr>
                <w:rFonts w:ascii="Times New Roman" w:hAnsi="Times New Roman" w:eastAsia="宋体" w:cs="Times New Roman"/>
              </w:rPr>
              <w:t>0～K</w:t>
            </w:r>
            <w:r>
              <w:rPr>
                <w:rFonts w:hint="eastAsia" w:ascii="Times New Roman" w:hAnsi="Times New Roman" w:eastAsia="宋体" w:cs="Times New Roman"/>
              </w:rPr>
              <w:t>38</w:t>
            </w:r>
            <w:r>
              <w:rPr>
                <w:rFonts w:ascii="Times New Roman" w:hAnsi="Times New Roman" w:eastAsia="宋体" w:cs="Times New Roman"/>
              </w:rPr>
              <w:t>+</w:t>
            </w:r>
            <w:r>
              <w:rPr>
                <w:rFonts w:hint="eastAsia" w:ascii="Times New Roman" w:hAnsi="Times New Roman" w:eastAsia="宋体" w:cs="Times New Roman"/>
              </w:rPr>
              <w:t>90</w:t>
            </w:r>
            <w:r>
              <w:rPr>
                <w:rFonts w:ascii="Times New Roman" w:hAnsi="Times New Roman" w:eastAsia="宋体" w:cs="Times New Roman"/>
              </w:rPr>
              <w:t>0</w:t>
            </w:r>
          </w:p>
        </w:tc>
        <w:tc>
          <w:tcPr>
            <w:tcW w:w="346" w:type="pct"/>
            <w:vMerge w:val="continue"/>
            <w:vAlign w:val="center"/>
          </w:tcPr>
          <w:p w14:paraId="5DBA1B4F">
            <w:pPr>
              <w:widowControl/>
              <w:spacing w:line="300" w:lineRule="exact"/>
              <w:jc w:val="center"/>
              <w:rPr>
                <w:rFonts w:ascii="Times New Roman" w:hAnsi="Times New Roman" w:eastAsia="宋体" w:cs="Times New Roman"/>
              </w:rPr>
            </w:pPr>
          </w:p>
        </w:tc>
        <w:tc>
          <w:tcPr>
            <w:tcW w:w="138" w:type="pct"/>
            <w:vMerge w:val="continue"/>
            <w:vAlign w:val="center"/>
          </w:tcPr>
          <w:p w14:paraId="343F0F5C">
            <w:pPr>
              <w:widowControl/>
              <w:spacing w:line="300" w:lineRule="exact"/>
              <w:jc w:val="center"/>
              <w:rPr>
                <w:rFonts w:ascii="Times New Roman" w:hAnsi="Times New Roman" w:eastAsia="宋体" w:cs="Times New Roman"/>
              </w:rPr>
            </w:pPr>
          </w:p>
        </w:tc>
        <w:tc>
          <w:tcPr>
            <w:tcW w:w="209" w:type="pct"/>
            <w:vMerge w:val="continue"/>
            <w:vAlign w:val="center"/>
          </w:tcPr>
          <w:p w14:paraId="29537A84">
            <w:pPr>
              <w:widowControl/>
              <w:spacing w:line="300" w:lineRule="exact"/>
              <w:jc w:val="center"/>
              <w:rPr>
                <w:rFonts w:ascii="Times New Roman" w:hAnsi="Times New Roman" w:eastAsia="宋体" w:cs="Times New Roman"/>
              </w:rPr>
            </w:pPr>
          </w:p>
        </w:tc>
        <w:tc>
          <w:tcPr>
            <w:tcW w:w="243" w:type="pct"/>
            <w:vMerge w:val="continue"/>
            <w:vAlign w:val="center"/>
          </w:tcPr>
          <w:p w14:paraId="792C85F0">
            <w:pPr>
              <w:adjustRightInd w:val="0"/>
              <w:snapToGrid w:val="0"/>
              <w:spacing w:line="240" w:lineRule="exact"/>
              <w:jc w:val="center"/>
              <w:rPr>
                <w:rFonts w:ascii="Times New Roman" w:hAnsi="Times New Roman" w:eastAsia="宋体" w:cs="Times New Roman"/>
              </w:rPr>
            </w:pPr>
          </w:p>
        </w:tc>
        <w:tc>
          <w:tcPr>
            <w:tcW w:w="243" w:type="pct"/>
            <w:vMerge w:val="continue"/>
            <w:vAlign w:val="center"/>
          </w:tcPr>
          <w:p w14:paraId="5D4CA54B">
            <w:pPr>
              <w:adjustRightInd w:val="0"/>
              <w:snapToGrid w:val="0"/>
              <w:spacing w:line="240" w:lineRule="exact"/>
              <w:jc w:val="center"/>
              <w:rPr>
                <w:rFonts w:ascii="Times New Roman" w:hAnsi="Times New Roman" w:eastAsia="宋体" w:cs="Times New Roman"/>
              </w:rPr>
            </w:pPr>
          </w:p>
        </w:tc>
        <w:tc>
          <w:tcPr>
            <w:tcW w:w="190" w:type="pct"/>
            <w:vMerge w:val="continue"/>
            <w:shd w:val="clear" w:color="auto" w:fill="auto"/>
            <w:vAlign w:val="center"/>
          </w:tcPr>
          <w:p w14:paraId="572C2ED5">
            <w:pPr>
              <w:adjustRightInd w:val="0"/>
              <w:snapToGrid w:val="0"/>
              <w:spacing w:line="240" w:lineRule="exact"/>
              <w:jc w:val="center"/>
              <w:rPr>
                <w:rFonts w:ascii="Times New Roman" w:hAnsi="Times New Roman" w:eastAsia="宋体" w:cs="Times New Roman"/>
              </w:rPr>
            </w:pPr>
          </w:p>
        </w:tc>
        <w:tc>
          <w:tcPr>
            <w:tcW w:w="190" w:type="pct"/>
            <w:vMerge w:val="continue"/>
            <w:shd w:val="clear" w:color="auto" w:fill="auto"/>
            <w:vAlign w:val="center"/>
          </w:tcPr>
          <w:p w14:paraId="3402070C">
            <w:pPr>
              <w:adjustRightInd w:val="0"/>
              <w:snapToGrid w:val="0"/>
              <w:spacing w:line="240" w:lineRule="exact"/>
              <w:jc w:val="center"/>
              <w:rPr>
                <w:rFonts w:ascii="Times New Roman" w:hAnsi="Times New Roman" w:eastAsia="宋体" w:cs="Times New Roman"/>
              </w:rPr>
            </w:pPr>
          </w:p>
        </w:tc>
        <w:tc>
          <w:tcPr>
            <w:tcW w:w="2230" w:type="pct"/>
            <w:vMerge w:val="continue"/>
            <w:noWrap/>
            <w:vAlign w:val="center"/>
          </w:tcPr>
          <w:p w14:paraId="6980CA6C">
            <w:pPr>
              <w:rPr>
                <w:rFonts w:ascii="Times New Roman" w:hAnsi="Times New Roman" w:eastAsia="宋体" w:cs="Times New Roman"/>
              </w:rPr>
            </w:pPr>
          </w:p>
        </w:tc>
        <w:tc>
          <w:tcPr>
            <w:tcW w:w="242" w:type="pct"/>
            <w:vMerge w:val="continue"/>
            <w:vAlign w:val="center"/>
          </w:tcPr>
          <w:p w14:paraId="4D7D62F3">
            <w:pPr>
              <w:jc w:val="center"/>
              <w:rPr>
                <w:rFonts w:ascii="Times New Roman" w:hAnsi="Times New Roman" w:eastAsia="宋体" w:cs="Times New Roman"/>
              </w:rPr>
            </w:pPr>
          </w:p>
        </w:tc>
        <w:tc>
          <w:tcPr>
            <w:tcW w:w="260" w:type="pct"/>
            <w:vMerge w:val="continue"/>
            <w:vAlign w:val="center"/>
          </w:tcPr>
          <w:p w14:paraId="5D1EDC72">
            <w:pPr>
              <w:jc w:val="center"/>
              <w:rPr>
                <w:rFonts w:ascii="Times New Roman" w:hAnsi="Times New Roman" w:eastAsia="宋体" w:cs="Times New Roman"/>
              </w:rPr>
            </w:pPr>
          </w:p>
        </w:tc>
        <w:tc>
          <w:tcPr>
            <w:tcW w:w="251" w:type="pct"/>
            <w:vMerge w:val="continue"/>
            <w:vAlign w:val="center"/>
          </w:tcPr>
          <w:p w14:paraId="646358C3">
            <w:pPr>
              <w:widowControl/>
              <w:adjustRightInd w:val="0"/>
              <w:snapToGrid w:val="0"/>
              <w:spacing w:line="240" w:lineRule="exact"/>
              <w:jc w:val="center"/>
              <w:rPr>
                <w:rFonts w:ascii="Times New Roman" w:hAnsi="Times New Roman" w:eastAsia="宋体" w:cs="Times New Roman"/>
              </w:rPr>
            </w:pPr>
          </w:p>
        </w:tc>
      </w:tr>
      <w:tr w14:paraId="420B6183">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trHeight w:val="100" w:hRule="atLeast"/>
          <w:tblHeader/>
          <w:jc w:val="center"/>
        </w:trPr>
        <w:tc>
          <w:tcPr>
            <w:tcW w:w="180" w:type="pct"/>
            <w:vMerge w:val="continue"/>
            <w:noWrap/>
            <w:vAlign w:val="center"/>
          </w:tcPr>
          <w:p w14:paraId="5026801F">
            <w:pPr>
              <w:jc w:val="center"/>
              <w:rPr>
                <w:rFonts w:ascii="Times New Roman" w:hAnsi="Times New Roman" w:eastAsia="宋体" w:cs="Times New Roman"/>
              </w:rPr>
            </w:pPr>
          </w:p>
        </w:tc>
        <w:tc>
          <w:tcPr>
            <w:tcW w:w="278" w:type="pct"/>
            <w:vAlign w:val="center"/>
          </w:tcPr>
          <w:p w14:paraId="173C67D9">
            <w:pPr>
              <w:widowControl/>
              <w:spacing w:line="300" w:lineRule="exact"/>
              <w:jc w:val="center"/>
              <w:rPr>
                <w:rFonts w:ascii="Times New Roman" w:hAnsi="Times New Roman" w:eastAsia="宋体" w:cs="Times New Roman"/>
              </w:rPr>
            </w:pPr>
            <w:r>
              <w:rPr>
                <w:rFonts w:ascii="Times New Roman" w:hAnsi="Times New Roman" w:eastAsia="宋体" w:cs="Times New Roman"/>
              </w:rPr>
              <w:t>K</w:t>
            </w:r>
            <w:r>
              <w:rPr>
                <w:rFonts w:hint="eastAsia" w:ascii="Times New Roman" w:hAnsi="Times New Roman" w:eastAsia="宋体" w:cs="Times New Roman"/>
              </w:rPr>
              <w:t>38</w:t>
            </w:r>
            <w:r>
              <w:rPr>
                <w:rFonts w:ascii="Times New Roman" w:hAnsi="Times New Roman" w:eastAsia="宋体" w:cs="Times New Roman"/>
              </w:rPr>
              <w:t>+</w:t>
            </w:r>
            <w:r>
              <w:rPr>
                <w:rFonts w:hint="eastAsia" w:ascii="Times New Roman" w:hAnsi="Times New Roman" w:eastAsia="宋体" w:cs="Times New Roman"/>
              </w:rPr>
              <w:t>45</w:t>
            </w:r>
            <w:r>
              <w:rPr>
                <w:rFonts w:ascii="Times New Roman" w:hAnsi="Times New Roman" w:eastAsia="宋体" w:cs="Times New Roman"/>
              </w:rPr>
              <w:t>0～K</w:t>
            </w:r>
            <w:r>
              <w:rPr>
                <w:rFonts w:hint="eastAsia" w:ascii="Times New Roman" w:hAnsi="Times New Roman" w:eastAsia="宋体" w:cs="Times New Roman"/>
              </w:rPr>
              <w:t>38</w:t>
            </w:r>
            <w:r>
              <w:rPr>
                <w:rFonts w:ascii="Times New Roman" w:hAnsi="Times New Roman" w:eastAsia="宋体" w:cs="Times New Roman"/>
              </w:rPr>
              <w:t>+</w:t>
            </w:r>
            <w:r>
              <w:rPr>
                <w:rFonts w:hint="eastAsia" w:ascii="Times New Roman" w:hAnsi="Times New Roman" w:eastAsia="宋体" w:cs="Times New Roman"/>
              </w:rPr>
              <w:t>50</w:t>
            </w:r>
            <w:r>
              <w:rPr>
                <w:rFonts w:ascii="Times New Roman" w:hAnsi="Times New Roman" w:eastAsia="宋体" w:cs="Times New Roman"/>
              </w:rPr>
              <w:t>0</w:t>
            </w:r>
          </w:p>
        </w:tc>
        <w:tc>
          <w:tcPr>
            <w:tcW w:w="346" w:type="pct"/>
            <w:vMerge w:val="continue"/>
            <w:vAlign w:val="center"/>
          </w:tcPr>
          <w:p w14:paraId="2312C657">
            <w:pPr>
              <w:widowControl/>
              <w:spacing w:line="300" w:lineRule="exact"/>
              <w:jc w:val="center"/>
              <w:rPr>
                <w:rFonts w:ascii="Times New Roman" w:hAnsi="Times New Roman" w:eastAsia="宋体" w:cs="Times New Roman"/>
              </w:rPr>
            </w:pPr>
          </w:p>
        </w:tc>
        <w:tc>
          <w:tcPr>
            <w:tcW w:w="138" w:type="pct"/>
            <w:vAlign w:val="center"/>
          </w:tcPr>
          <w:p w14:paraId="12010340">
            <w:pPr>
              <w:widowControl/>
              <w:spacing w:line="300" w:lineRule="exact"/>
              <w:jc w:val="center"/>
              <w:rPr>
                <w:rFonts w:ascii="Times New Roman" w:hAnsi="Times New Roman" w:eastAsia="宋体" w:cs="Times New Roman"/>
              </w:rPr>
            </w:pPr>
            <w:r>
              <w:rPr>
                <w:rFonts w:ascii="Times New Roman" w:hAnsi="Times New Roman" w:eastAsia="宋体" w:cs="Times New Roman"/>
              </w:rPr>
              <w:t>路左</w:t>
            </w:r>
          </w:p>
        </w:tc>
        <w:tc>
          <w:tcPr>
            <w:tcW w:w="209" w:type="pct"/>
            <w:vMerge w:val="continue"/>
            <w:vAlign w:val="center"/>
          </w:tcPr>
          <w:p w14:paraId="0B7938F3">
            <w:pPr>
              <w:widowControl/>
              <w:spacing w:line="300" w:lineRule="exact"/>
              <w:jc w:val="center"/>
              <w:rPr>
                <w:rFonts w:ascii="Times New Roman" w:hAnsi="Times New Roman" w:eastAsia="宋体" w:cs="Times New Roman"/>
              </w:rPr>
            </w:pPr>
          </w:p>
        </w:tc>
        <w:tc>
          <w:tcPr>
            <w:tcW w:w="243" w:type="pct"/>
            <w:vMerge w:val="continue"/>
            <w:vAlign w:val="center"/>
          </w:tcPr>
          <w:p w14:paraId="6910BB16">
            <w:pPr>
              <w:adjustRightInd w:val="0"/>
              <w:snapToGrid w:val="0"/>
              <w:spacing w:line="240" w:lineRule="exact"/>
              <w:jc w:val="center"/>
              <w:rPr>
                <w:rFonts w:ascii="Times New Roman" w:hAnsi="Times New Roman" w:eastAsia="宋体" w:cs="Times New Roman"/>
              </w:rPr>
            </w:pPr>
          </w:p>
        </w:tc>
        <w:tc>
          <w:tcPr>
            <w:tcW w:w="243" w:type="pct"/>
            <w:vMerge w:val="continue"/>
            <w:vAlign w:val="center"/>
          </w:tcPr>
          <w:p w14:paraId="625A4E5E">
            <w:pPr>
              <w:adjustRightInd w:val="0"/>
              <w:snapToGrid w:val="0"/>
              <w:spacing w:line="240" w:lineRule="exact"/>
              <w:jc w:val="center"/>
              <w:rPr>
                <w:rFonts w:ascii="Times New Roman" w:hAnsi="Times New Roman" w:eastAsia="宋体" w:cs="Times New Roman"/>
              </w:rPr>
            </w:pPr>
          </w:p>
        </w:tc>
        <w:tc>
          <w:tcPr>
            <w:tcW w:w="190" w:type="pct"/>
            <w:vMerge w:val="continue"/>
            <w:shd w:val="clear" w:color="auto" w:fill="auto"/>
            <w:vAlign w:val="center"/>
          </w:tcPr>
          <w:p w14:paraId="7C5F5D3A">
            <w:pPr>
              <w:adjustRightInd w:val="0"/>
              <w:snapToGrid w:val="0"/>
              <w:spacing w:line="240" w:lineRule="exact"/>
              <w:jc w:val="center"/>
              <w:rPr>
                <w:rFonts w:ascii="Times New Roman" w:hAnsi="Times New Roman" w:eastAsia="宋体" w:cs="Times New Roman"/>
              </w:rPr>
            </w:pPr>
          </w:p>
        </w:tc>
        <w:tc>
          <w:tcPr>
            <w:tcW w:w="190" w:type="pct"/>
            <w:vMerge w:val="continue"/>
            <w:shd w:val="clear" w:color="auto" w:fill="auto"/>
            <w:vAlign w:val="center"/>
          </w:tcPr>
          <w:p w14:paraId="361311F0">
            <w:pPr>
              <w:adjustRightInd w:val="0"/>
              <w:snapToGrid w:val="0"/>
              <w:spacing w:line="240" w:lineRule="exact"/>
              <w:jc w:val="center"/>
              <w:rPr>
                <w:rFonts w:ascii="Times New Roman" w:hAnsi="Times New Roman" w:eastAsia="宋体" w:cs="Times New Roman"/>
              </w:rPr>
            </w:pPr>
          </w:p>
        </w:tc>
        <w:tc>
          <w:tcPr>
            <w:tcW w:w="2230" w:type="pct"/>
            <w:vMerge w:val="continue"/>
            <w:noWrap/>
            <w:vAlign w:val="center"/>
          </w:tcPr>
          <w:p w14:paraId="265F2B4D">
            <w:pPr>
              <w:rPr>
                <w:rFonts w:ascii="Times New Roman" w:hAnsi="Times New Roman" w:eastAsia="宋体" w:cs="Times New Roman"/>
              </w:rPr>
            </w:pPr>
          </w:p>
        </w:tc>
        <w:tc>
          <w:tcPr>
            <w:tcW w:w="242" w:type="pct"/>
            <w:vMerge w:val="continue"/>
            <w:vAlign w:val="center"/>
          </w:tcPr>
          <w:p w14:paraId="04C05604">
            <w:pPr>
              <w:jc w:val="center"/>
              <w:rPr>
                <w:rFonts w:ascii="Times New Roman" w:hAnsi="Times New Roman" w:eastAsia="宋体" w:cs="Times New Roman"/>
              </w:rPr>
            </w:pPr>
          </w:p>
        </w:tc>
        <w:tc>
          <w:tcPr>
            <w:tcW w:w="260" w:type="pct"/>
            <w:vMerge w:val="continue"/>
            <w:vAlign w:val="center"/>
          </w:tcPr>
          <w:p w14:paraId="3B29C40C">
            <w:pPr>
              <w:jc w:val="center"/>
              <w:rPr>
                <w:rFonts w:ascii="Times New Roman" w:hAnsi="Times New Roman" w:eastAsia="宋体" w:cs="Times New Roman"/>
              </w:rPr>
            </w:pPr>
          </w:p>
        </w:tc>
        <w:tc>
          <w:tcPr>
            <w:tcW w:w="251" w:type="pct"/>
            <w:vMerge w:val="continue"/>
            <w:vAlign w:val="center"/>
          </w:tcPr>
          <w:p w14:paraId="05C817B4">
            <w:pPr>
              <w:widowControl/>
              <w:adjustRightInd w:val="0"/>
              <w:snapToGrid w:val="0"/>
              <w:spacing w:line="240" w:lineRule="exact"/>
              <w:jc w:val="center"/>
              <w:rPr>
                <w:rFonts w:ascii="Times New Roman" w:hAnsi="Times New Roman" w:eastAsia="宋体" w:cs="Times New Roman"/>
              </w:rPr>
            </w:pPr>
          </w:p>
        </w:tc>
      </w:tr>
      <w:tr w14:paraId="564E9686">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trHeight w:val="704" w:hRule="atLeast"/>
          <w:tblHeader/>
          <w:jc w:val="center"/>
        </w:trPr>
        <w:tc>
          <w:tcPr>
            <w:tcW w:w="180" w:type="pct"/>
            <w:vMerge w:val="restart"/>
            <w:noWrap/>
            <w:vAlign w:val="center"/>
          </w:tcPr>
          <w:p w14:paraId="4E53D56F">
            <w:pPr>
              <w:jc w:val="center"/>
              <w:rPr>
                <w:rFonts w:ascii="Times New Roman" w:hAnsi="Times New Roman" w:eastAsia="宋体" w:cs="Times New Roman"/>
              </w:rPr>
            </w:pPr>
            <w:r>
              <w:rPr>
                <w:rFonts w:hint="eastAsia" w:ascii="Times New Roman" w:hAnsi="Times New Roman" w:eastAsia="宋体" w:cs="Times New Roman"/>
              </w:rPr>
              <w:t>18</w:t>
            </w:r>
          </w:p>
        </w:tc>
        <w:tc>
          <w:tcPr>
            <w:tcW w:w="278" w:type="pct"/>
            <w:vMerge w:val="restart"/>
            <w:vAlign w:val="center"/>
          </w:tcPr>
          <w:p w14:paraId="2D97DC2E">
            <w:pPr>
              <w:widowControl/>
              <w:spacing w:line="300" w:lineRule="exact"/>
              <w:jc w:val="center"/>
              <w:rPr>
                <w:rFonts w:ascii="Times New Roman" w:hAnsi="Times New Roman" w:eastAsia="宋体" w:cs="Times New Roman"/>
              </w:rPr>
            </w:pPr>
            <w:r>
              <w:rPr>
                <w:rFonts w:ascii="Times New Roman" w:hAnsi="Times New Roman" w:eastAsia="宋体" w:cs="Times New Roman"/>
              </w:rPr>
              <w:t>K</w:t>
            </w:r>
            <w:r>
              <w:rPr>
                <w:rFonts w:hint="eastAsia" w:ascii="Times New Roman" w:hAnsi="Times New Roman" w:eastAsia="宋体" w:cs="Times New Roman"/>
              </w:rPr>
              <w:t>42</w:t>
            </w:r>
            <w:r>
              <w:rPr>
                <w:rFonts w:ascii="Times New Roman" w:hAnsi="Times New Roman" w:eastAsia="宋体" w:cs="Times New Roman"/>
              </w:rPr>
              <w:t>+</w:t>
            </w:r>
            <w:r>
              <w:rPr>
                <w:rFonts w:hint="eastAsia" w:ascii="Times New Roman" w:hAnsi="Times New Roman" w:eastAsia="宋体" w:cs="Times New Roman"/>
              </w:rPr>
              <w:t>87</w:t>
            </w:r>
            <w:r>
              <w:rPr>
                <w:rFonts w:ascii="Times New Roman" w:hAnsi="Times New Roman" w:eastAsia="宋体" w:cs="Times New Roman"/>
              </w:rPr>
              <w:t>0～K</w:t>
            </w:r>
            <w:r>
              <w:rPr>
                <w:rFonts w:hint="eastAsia" w:ascii="Times New Roman" w:hAnsi="Times New Roman" w:eastAsia="宋体" w:cs="Times New Roman"/>
              </w:rPr>
              <w:t>42</w:t>
            </w:r>
            <w:r>
              <w:rPr>
                <w:rFonts w:ascii="Times New Roman" w:hAnsi="Times New Roman" w:eastAsia="宋体" w:cs="Times New Roman"/>
              </w:rPr>
              <w:t>+</w:t>
            </w:r>
            <w:r>
              <w:rPr>
                <w:rFonts w:hint="eastAsia" w:ascii="Times New Roman" w:hAnsi="Times New Roman" w:eastAsia="宋体" w:cs="Times New Roman"/>
              </w:rPr>
              <w:t>92</w:t>
            </w:r>
            <w:r>
              <w:rPr>
                <w:rFonts w:ascii="Times New Roman" w:hAnsi="Times New Roman" w:eastAsia="宋体" w:cs="Times New Roman"/>
              </w:rPr>
              <w:t>0</w:t>
            </w:r>
          </w:p>
        </w:tc>
        <w:tc>
          <w:tcPr>
            <w:tcW w:w="346" w:type="pct"/>
            <w:vMerge w:val="restart"/>
            <w:vAlign w:val="center"/>
          </w:tcPr>
          <w:p w14:paraId="08A21609">
            <w:pPr>
              <w:widowControl/>
              <w:spacing w:line="300" w:lineRule="exact"/>
              <w:jc w:val="center"/>
              <w:rPr>
                <w:rFonts w:ascii="Times New Roman" w:hAnsi="Times New Roman" w:eastAsia="宋体" w:cs="Times New Roman"/>
              </w:rPr>
            </w:pPr>
            <w:r>
              <w:rPr>
                <w:rFonts w:hint="eastAsia" w:ascii="Times New Roman" w:hAnsi="Times New Roman" w:eastAsia="宋体" w:cs="Times New Roman"/>
              </w:rPr>
              <w:t>吐碗</w:t>
            </w:r>
          </w:p>
        </w:tc>
        <w:tc>
          <w:tcPr>
            <w:tcW w:w="138" w:type="pct"/>
            <w:vAlign w:val="center"/>
          </w:tcPr>
          <w:p w14:paraId="174B77F4">
            <w:pPr>
              <w:widowControl/>
              <w:spacing w:line="300" w:lineRule="exact"/>
              <w:jc w:val="center"/>
              <w:rPr>
                <w:rFonts w:ascii="Times New Roman" w:hAnsi="Times New Roman" w:eastAsia="宋体" w:cs="Times New Roman"/>
              </w:rPr>
            </w:pPr>
            <w:r>
              <w:rPr>
                <w:rFonts w:ascii="Times New Roman" w:hAnsi="Times New Roman" w:eastAsia="宋体" w:cs="Times New Roman"/>
              </w:rPr>
              <w:t>路右</w:t>
            </w:r>
          </w:p>
        </w:tc>
        <w:tc>
          <w:tcPr>
            <w:tcW w:w="209" w:type="pct"/>
            <w:vAlign w:val="center"/>
          </w:tcPr>
          <w:p w14:paraId="3DD78FDD">
            <w:pPr>
              <w:widowControl/>
              <w:spacing w:line="300" w:lineRule="exact"/>
              <w:jc w:val="center"/>
              <w:rPr>
                <w:rFonts w:ascii="Times New Roman" w:hAnsi="Times New Roman" w:eastAsia="宋体" w:cs="Times New Roman"/>
              </w:rPr>
            </w:pPr>
            <w:r>
              <w:rPr>
                <w:rFonts w:hint="eastAsia" w:ascii="Times New Roman" w:hAnsi="Times New Roman" w:eastAsia="宋体" w:cs="Times New Roman"/>
              </w:rPr>
              <w:t>21</w:t>
            </w:r>
          </w:p>
        </w:tc>
        <w:tc>
          <w:tcPr>
            <w:tcW w:w="243" w:type="pct"/>
            <w:vAlign w:val="center"/>
          </w:tcPr>
          <w:p w14:paraId="2AAB3BC2">
            <w:pPr>
              <w:adjustRightInd w:val="0"/>
              <w:snapToGrid w:val="0"/>
              <w:spacing w:line="240" w:lineRule="exact"/>
              <w:jc w:val="center"/>
              <w:rPr>
                <w:rFonts w:ascii="Times New Roman" w:hAnsi="Times New Roman" w:eastAsia="宋体" w:cs="Times New Roman"/>
                <w:snapToGrid w:val="0"/>
                <w:kern w:val="0"/>
                <w:szCs w:val="21"/>
              </w:rPr>
            </w:pPr>
            <w:r>
              <w:rPr>
                <w:rFonts w:hint="eastAsia" w:ascii="Times New Roman" w:hAnsi="Times New Roman" w:eastAsia="宋体" w:cs="Times New Roman"/>
                <w:snapToGrid w:val="0"/>
                <w:kern w:val="0"/>
                <w:szCs w:val="21"/>
              </w:rPr>
              <w:t>-/6.5</w:t>
            </w:r>
          </w:p>
        </w:tc>
        <w:tc>
          <w:tcPr>
            <w:tcW w:w="243" w:type="pct"/>
            <w:vAlign w:val="center"/>
          </w:tcPr>
          <w:p w14:paraId="6014B2F4">
            <w:pPr>
              <w:adjustRightInd w:val="0"/>
              <w:snapToGrid w:val="0"/>
              <w:spacing w:line="240" w:lineRule="exact"/>
              <w:jc w:val="center"/>
              <w:rPr>
                <w:rFonts w:ascii="Times New Roman" w:hAnsi="Times New Roman" w:eastAsia="宋体" w:cs="Times New Roman"/>
                <w:snapToGrid w:val="0"/>
                <w:kern w:val="0"/>
                <w:szCs w:val="21"/>
              </w:rPr>
            </w:pPr>
            <w:r>
              <w:rPr>
                <w:rFonts w:hint="eastAsia" w:ascii="Times New Roman" w:hAnsi="Times New Roman" w:eastAsia="宋体" w:cs="Times New Roman"/>
                <w:snapToGrid w:val="0"/>
                <w:kern w:val="0"/>
                <w:szCs w:val="21"/>
              </w:rPr>
              <w:t>-/4.9</w:t>
            </w:r>
          </w:p>
        </w:tc>
        <w:tc>
          <w:tcPr>
            <w:tcW w:w="190" w:type="pct"/>
            <w:shd w:val="clear" w:color="auto" w:fill="auto"/>
            <w:vAlign w:val="center"/>
          </w:tcPr>
          <w:p w14:paraId="3B6FAFF1">
            <w:pPr>
              <w:widowControl/>
              <w:spacing w:line="300" w:lineRule="exact"/>
              <w:jc w:val="center"/>
              <w:rPr>
                <w:rFonts w:ascii="Times New Roman" w:hAnsi="Times New Roman" w:eastAsia="宋体" w:cs="Times New Roman"/>
              </w:rPr>
            </w:pPr>
            <w:r>
              <w:rPr>
                <w:rFonts w:hint="eastAsia" w:ascii="Times New Roman" w:hAnsi="Times New Roman" w:eastAsia="宋体" w:cs="Times New Roman"/>
              </w:rPr>
              <w:t>3</w:t>
            </w:r>
          </w:p>
        </w:tc>
        <w:tc>
          <w:tcPr>
            <w:tcW w:w="190" w:type="pct"/>
            <w:shd w:val="clear" w:color="auto" w:fill="auto"/>
            <w:vAlign w:val="center"/>
          </w:tcPr>
          <w:p w14:paraId="0DB3365D">
            <w:pPr>
              <w:widowControl/>
              <w:spacing w:line="300" w:lineRule="exact"/>
              <w:jc w:val="center"/>
              <w:rPr>
                <w:rFonts w:ascii="Times New Roman" w:hAnsi="Times New Roman" w:eastAsia="宋体" w:cs="Times New Roman"/>
              </w:rPr>
            </w:pPr>
            <w:r>
              <w:rPr>
                <w:rFonts w:hint="eastAsia" w:ascii="Times New Roman" w:hAnsi="Times New Roman" w:eastAsia="宋体" w:cs="Times New Roman"/>
              </w:rPr>
              <w:t>7</w:t>
            </w:r>
          </w:p>
        </w:tc>
        <w:tc>
          <w:tcPr>
            <w:tcW w:w="2230" w:type="pct"/>
            <w:vMerge w:val="restart"/>
            <w:noWrap/>
            <w:vAlign w:val="center"/>
          </w:tcPr>
          <w:p w14:paraId="719912DA">
            <w:pPr>
              <w:rPr>
                <w:rFonts w:ascii="Times New Roman" w:hAnsi="Times New Roman" w:eastAsia="宋体" w:cs="Times New Roman"/>
                <w:szCs w:val="21"/>
              </w:rPr>
            </w:pPr>
            <w:r>
              <w:rPr>
                <w:rFonts w:ascii="Times New Roman" w:hAnsi="Times New Roman" w:eastAsia="宋体" w:cs="Times New Roman"/>
                <w:szCs w:val="21"/>
              </w:rPr>
              <w:t>方案一：安装隔声窗，按每户1万元计，共</w:t>
            </w:r>
            <w:r>
              <w:rPr>
                <w:rFonts w:hint="eastAsia" w:ascii="Times New Roman" w:hAnsi="Times New Roman" w:eastAsia="宋体" w:cs="Times New Roman"/>
                <w:szCs w:val="21"/>
              </w:rPr>
              <w:t>12</w:t>
            </w:r>
            <w:r>
              <w:rPr>
                <w:rFonts w:ascii="Times New Roman" w:hAnsi="Times New Roman" w:eastAsia="宋体" w:cs="Times New Roman"/>
                <w:szCs w:val="21"/>
              </w:rPr>
              <w:t>户，投资</w:t>
            </w:r>
            <w:r>
              <w:rPr>
                <w:rFonts w:hint="eastAsia" w:ascii="Times New Roman" w:hAnsi="Times New Roman" w:eastAsia="宋体" w:cs="Times New Roman"/>
                <w:szCs w:val="21"/>
              </w:rPr>
              <w:t>12</w:t>
            </w:r>
            <w:r>
              <w:rPr>
                <w:rFonts w:ascii="Times New Roman" w:hAnsi="Times New Roman" w:eastAsia="宋体" w:cs="Times New Roman"/>
                <w:szCs w:val="21"/>
              </w:rPr>
              <w:t>万元，隔声量25dB。</w:t>
            </w:r>
          </w:p>
          <w:p w14:paraId="6A67622C">
            <w:pPr>
              <w:adjustRightInd w:val="0"/>
              <w:snapToGrid w:val="0"/>
              <w:spacing w:line="240" w:lineRule="exact"/>
              <w:rPr>
                <w:rFonts w:ascii="Times New Roman" w:hAnsi="Times New Roman" w:eastAsia="宋体" w:cs="Times New Roman"/>
                <w:szCs w:val="21"/>
              </w:rPr>
            </w:pPr>
            <w:r>
              <w:rPr>
                <w:rFonts w:ascii="Times New Roman" w:hAnsi="Times New Roman" w:eastAsia="宋体" w:cs="Times New Roman"/>
                <w:szCs w:val="21"/>
              </w:rPr>
              <w:t>方案二：设置声屏障，拟建公路两侧</w:t>
            </w:r>
            <w:r>
              <w:rPr>
                <w:rFonts w:ascii="Times New Roman" w:hAnsi="Times New Roman" w:eastAsia="宋体" w:cs="Times New Roman"/>
              </w:rPr>
              <w:t>K</w:t>
            </w:r>
            <w:r>
              <w:rPr>
                <w:rFonts w:hint="eastAsia" w:ascii="Times New Roman" w:hAnsi="Times New Roman" w:eastAsia="宋体" w:cs="Times New Roman"/>
              </w:rPr>
              <w:t>42</w:t>
            </w:r>
            <w:r>
              <w:rPr>
                <w:rFonts w:ascii="Times New Roman" w:hAnsi="Times New Roman" w:eastAsia="宋体" w:cs="Times New Roman"/>
              </w:rPr>
              <w:t>+</w:t>
            </w:r>
            <w:r>
              <w:rPr>
                <w:rFonts w:hint="eastAsia" w:ascii="Times New Roman" w:hAnsi="Times New Roman" w:eastAsia="宋体" w:cs="Times New Roman"/>
              </w:rPr>
              <w:t>87</w:t>
            </w:r>
            <w:r>
              <w:rPr>
                <w:rFonts w:ascii="Times New Roman" w:hAnsi="Times New Roman" w:eastAsia="宋体" w:cs="Times New Roman"/>
              </w:rPr>
              <w:t>0～K</w:t>
            </w:r>
            <w:r>
              <w:rPr>
                <w:rFonts w:hint="eastAsia" w:ascii="Times New Roman" w:hAnsi="Times New Roman" w:eastAsia="宋体" w:cs="Times New Roman"/>
              </w:rPr>
              <w:t>42</w:t>
            </w:r>
            <w:r>
              <w:rPr>
                <w:rFonts w:ascii="Times New Roman" w:hAnsi="Times New Roman" w:eastAsia="宋体" w:cs="Times New Roman"/>
              </w:rPr>
              <w:t>+</w:t>
            </w:r>
            <w:r>
              <w:rPr>
                <w:rFonts w:hint="eastAsia" w:ascii="Times New Roman" w:hAnsi="Times New Roman" w:eastAsia="宋体" w:cs="Times New Roman"/>
              </w:rPr>
              <w:t>92</w:t>
            </w:r>
            <w:r>
              <w:rPr>
                <w:rFonts w:ascii="Times New Roman" w:hAnsi="Times New Roman" w:eastAsia="宋体" w:cs="Times New Roman"/>
              </w:rPr>
              <w:t>0</w:t>
            </w:r>
            <w:r>
              <w:rPr>
                <w:rFonts w:hint="eastAsia" w:ascii="Times New Roman" w:hAnsi="Times New Roman" w:eastAsia="宋体" w:cs="Times New Roman"/>
                <w:szCs w:val="21"/>
              </w:rPr>
              <w:t>路段</w:t>
            </w:r>
            <w:r>
              <w:rPr>
                <w:rFonts w:ascii="Times New Roman" w:hAnsi="Times New Roman" w:eastAsia="宋体" w:cs="Times New Roman"/>
              </w:rPr>
              <w:t>房屋</w:t>
            </w:r>
            <w:r>
              <w:rPr>
                <w:rFonts w:hint="eastAsia" w:ascii="Times New Roman" w:hAnsi="Times New Roman" w:eastAsia="宋体" w:cs="Times New Roman"/>
              </w:rPr>
              <w:t>集中</w:t>
            </w:r>
            <w:r>
              <w:rPr>
                <w:rFonts w:ascii="Times New Roman" w:hAnsi="Times New Roman" w:eastAsia="宋体" w:cs="Times New Roman"/>
              </w:rPr>
              <w:t>分布于平交口两侧，</w:t>
            </w:r>
            <w:r>
              <w:rPr>
                <w:rFonts w:ascii="Times New Roman" w:hAnsi="Times New Roman" w:cs="Times New Roman" w:eastAsiaTheme="minorEastAsia"/>
                <w:szCs w:val="21"/>
              </w:rPr>
              <w:t>根据《</w:t>
            </w:r>
            <w:r>
              <w:rPr>
                <w:rFonts w:hint="eastAsia" w:ascii="Times New Roman" w:hAnsi="Times New Roman" w:cs="Times New Roman" w:eastAsiaTheme="minorEastAsia"/>
                <w:szCs w:val="21"/>
              </w:rPr>
              <w:t>公路路线设计规范（JTG D20—2017）</w:t>
            </w:r>
            <w:r>
              <w:rPr>
                <w:rFonts w:ascii="Times New Roman" w:hAnsi="Times New Roman" w:cs="Times New Roman" w:eastAsiaTheme="minorEastAsia"/>
                <w:szCs w:val="21"/>
              </w:rPr>
              <w:t>》，考虑行车安全视距，每处平交口两侧共需断开</w:t>
            </w:r>
            <w:r>
              <w:rPr>
                <w:rFonts w:hint="eastAsia" w:ascii="Times New Roman" w:hAnsi="Times New Roman" w:cs="Times New Roman" w:eastAsiaTheme="minorEastAsia"/>
                <w:szCs w:val="21"/>
              </w:rPr>
              <w:t>220m，该路段</w:t>
            </w:r>
            <w:r>
              <w:rPr>
                <w:rFonts w:ascii="Times New Roman" w:hAnsi="Times New Roman" w:eastAsia="宋体" w:cs="Times New Roman"/>
              </w:rPr>
              <w:t>平交口处无法设置声屏障</w:t>
            </w:r>
            <w:r>
              <w:rPr>
                <w:rFonts w:hint="eastAsia" w:ascii="Times New Roman" w:hAnsi="Times New Roman" w:eastAsia="宋体" w:cs="Times New Roman"/>
              </w:rPr>
              <w:t>。</w:t>
            </w:r>
          </w:p>
          <w:p w14:paraId="46184A80">
            <w:pPr>
              <w:widowControl/>
              <w:adjustRightInd w:val="0"/>
              <w:snapToGrid w:val="0"/>
              <w:spacing w:line="240" w:lineRule="exact"/>
              <w:rPr>
                <w:rFonts w:ascii="Times New Roman" w:hAnsi="Times New Roman" w:eastAsia="宋体" w:cs="Times New Roman"/>
                <w:szCs w:val="21"/>
              </w:rPr>
            </w:pPr>
            <w:r>
              <w:rPr>
                <w:rFonts w:ascii="Times New Roman" w:hAnsi="Times New Roman" w:eastAsia="宋体" w:cs="Times New Roman"/>
                <w:szCs w:val="21"/>
              </w:rPr>
              <w:t>推荐：综合考虑推荐方案</w:t>
            </w:r>
            <w:r>
              <w:rPr>
                <w:rFonts w:hint="eastAsia" w:ascii="Times New Roman" w:hAnsi="Times New Roman" w:eastAsia="宋体" w:cs="Times New Roman"/>
                <w:szCs w:val="21"/>
              </w:rPr>
              <w:t>一</w:t>
            </w:r>
            <w:r>
              <w:rPr>
                <w:rFonts w:ascii="Times New Roman" w:hAnsi="Times New Roman" w:eastAsia="宋体" w:cs="Times New Roman"/>
                <w:szCs w:val="21"/>
              </w:rPr>
              <w:t>。</w:t>
            </w:r>
          </w:p>
        </w:tc>
        <w:tc>
          <w:tcPr>
            <w:tcW w:w="242" w:type="pct"/>
            <w:vMerge w:val="restart"/>
            <w:vAlign w:val="center"/>
          </w:tcPr>
          <w:p w14:paraId="7DC2A387">
            <w:pPr>
              <w:widowControl/>
              <w:jc w:val="center"/>
              <w:rPr>
                <w:rFonts w:ascii="Times New Roman" w:hAnsi="Times New Roman" w:eastAsia="宋体" w:cs="Times New Roman"/>
                <w:kern w:val="0"/>
              </w:rPr>
            </w:pPr>
            <w:r>
              <w:rPr>
                <w:rFonts w:ascii="Times New Roman" w:hAnsi="Times New Roman" w:eastAsia="宋体" w:cs="Times New Roman"/>
                <w:kern w:val="0"/>
              </w:rPr>
              <w:t>隔声窗</w:t>
            </w:r>
          </w:p>
        </w:tc>
        <w:tc>
          <w:tcPr>
            <w:tcW w:w="260" w:type="pct"/>
            <w:vMerge w:val="restart"/>
            <w:vAlign w:val="center"/>
          </w:tcPr>
          <w:p w14:paraId="53AF3229">
            <w:pPr>
              <w:widowControl/>
              <w:jc w:val="center"/>
              <w:rPr>
                <w:rFonts w:ascii="Times New Roman" w:hAnsi="Times New Roman" w:eastAsia="宋体" w:cs="Times New Roman"/>
                <w:kern w:val="0"/>
              </w:rPr>
            </w:pPr>
            <w:r>
              <w:rPr>
                <w:rFonts w:ascii="Times New Roman" w:hAnsi="Times New Roman" w:eastAsia="宋体" w:cs="Times New Roman"/>
                <w:kern w:val="0"/>
              </w:rPr>
              <w:t>室内达标</w:t>
            </w:r>
          </w:p>
        </w:tc>
        <w:tc>
          <w:tcPr>
            <w:tcW w:w="251" w:type="pct"/>
            <w:vMerge w:val="restart"/>
            <w:vAlign w:val="center"/>
          </w:tcPr>
          <w:p w14:paraId="4ADFA6E4">
            <w:pPr>
              <w:widowControl/>
              <w:adjustRightInd w:val="0"/>
              <w:snapToGrid w:val="0"/>
              <w:spacing w:line="240" w:lineRule="exact"/>
              <w:jc w:val="center"/>
              <w:rPr>
                <w:rFonts w:ascii="Times New Roman" w:hAnsi="宋体" w:eastAsia="宋体" w:cs="Times New Roman"/>
                <w:szCs w:val="21"/>
              </w:rPr>
            </w:pPr>
            <w:r>
              <w:rPr>
                <w:rFonts w:hint="eastAsia" w:ascii="Times New Roman" w:hAnsi="宋体" w:eastAsia="宋体" w:cs="Times New Roman"/>
                <w:szCs w:val="21"/>
              </w:rPr>
              <w:t>12</w:t>
            </w:r>
          </w:p>
        </w:tc>
      </w:tr>
      <w:tr w14:paraId="7CCC1A0D">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trHeight w:val="150" w:hRule="atLeast"/>
          <w:tblHeader/>
          <w:jc w:val="center"/>
        </w:trPr>
        <w:tc>
          <w:tcPr>
            <w:tcW w:w="180" w:type="pct"/>
            <w:vMerge w:val="continue"/>
            <w:noWrap/>
            <w:vAlign w:val="center"/>
          </w:tcPr>
          <w:p w14:paraId="4E4912A9">
            <w:pPr>
              <w:jc w:val="center"/>
              <w:rPr>
                <w:rFonts w:ascii="Times New Roman" w:hAnsi="Times New Roman" w:eastAsia="宋体" w:cs="Times New Roman"/>
              </w:rPr>
            </w:pPr>
          </w:p>
        </w:tc>
        <w:tc>
          <w:tcPr>
            <w:tcW w:w="278" w:type="pct"/>
            <w:vMerge w:val="continue"/>
            <w:vAlign w:val="center"/>
          </w:tcPr>
          <w:p w14:paraId="171076E8">
            <w:pPr>
              <w:widowControl/>
              <w:spacing w:line="300" w:lineRule="exact"/>
              <w:jc w:val="center"/>
              <w:rPr>
                <w:rFonts w:ascii="Times New Roman" w:hAnsi="Times New Roman" w:eastAsia="宋体" w:cs="Times New Roman"/>
              </w:rPr>
            </w:pPr>
          </w:p>
        </w:tc>
        <w:tc>
          <w:tcPr>
            <w:tcW w:w="346" w:type="pct"/>
            <w:vMerge w:val="continue"/>
            <w:vAlign w:val="center"/>
          </w:tcPr>
          <w:p w14:paraId="05CD24AB">
            <w:pPr>
              <w:widowControl/>
              <w:spacing w:line="300" w:lineRule="exact"/>
              <w:jc w:val="center"/>
              <w:rPr>
                <w:rFonts w:ascii="Times New Roman" w:hAnsi="Times New Roman" w:eastAsia="宋体" w:cs="Times New Roman"/>
              </w:rPr>
            </w:pPr>
          </w:p>
        </w:tc>
        <w:tc>
          <w:tcPr>
            <w:tcW w:w="138" w:type="pct"/>
            <w:vAlign w:val="center"/>
          </w:tcPr>
          <w:p w14:paraId="3F6A7024">
            <w:pPr>
              <w:widowControl/>
              <w:spacing w:line="300" w:lineRule="exact"/>
              <w:jc w:val="center"/>
              <w:rPr>
                <w:rFonts w:ascii="Times New Roman" w:hAnsi="Times New Roman" w:eastAsia="宋体" w:cs="Times New Roman"/>
              </w:rPr>
            </w:pPr>
            <w:r>
              <w:rPr>
                <w:rFonts w:ascii="Times New Roman" w:hAnsi="Times New Roman" w:eastAsia="宋体" w:cs="Times New Roman"/>
              </w:rPr>
              <w:t>路左</w:t>
            </w:r>
          </w:p>
        </w:tc>
        <w:tc>
          <w:tcPr>
            <w:tcW w:w="209" w:type="pct"/>
            <w:vAlign w:val="center"/>
          </w:tcPr>
          <w:p w14:paraId="696CA969">
            <w:pPr>
              <w:widowControl/>
              <w:spacing w:line="300" w:lineRule="exact"/>
              <w:jc w:val="center"/>
              <w:rPr>
                <w:rFonts w:ascii="Times New Roman" w:hAnsi="Times New Roman" w:eastAsia="宋体" w:cs="Times New Roman"/>
              </w:rPr>
            </w:pPr>
            <w:r>
              <w:rPr>
                <w:rFonts w:hint="eastAsia" w:ascii="Times New Roman" w:hAnsi="Times New Roman" w:eastAsia="宋体" w:cs="Times New Roman"/>
              </w:rPr>
              <w:t>25</w:t>
            </w:r>
          </w:p>
        </w:tc>
        <w:tc>
          <w:tcPr>
            <w:tcW w:w="243" w:type="pct"/>
            <w:vAlign w:val="center"/>
          </w:tcPr>
          <w:p w14:paraId="66C70933">
            <w:pPr>
              <w:adjustRightInd w:val="0"/>
              <w:snapToGrid w:val="0"/>
              <w:spacing w:line="240" w:lineRule="exact"/>
              <w:jc w:val="center"/>
              <w:rPr>
                <w:rFonts w:ascii="Times New Roman" w:hAnsi="Times New Roman" w:eastAsia="宋体" w:cs="Times New Roman"/>
                <w:snapToGrid w:val="0"/>
                <w:kern w:val="0"/>
                <w:szCs w:val="21"/>
              </w:rPr>
            </w:pPr>
            <w:r>
              <w:rPr>
                <w:rFonts w:hint="eastAsia" w:ascii="Times New Roman" w:hAnsi="Times New Roman" w:eastAsia="宋体" w:cs="Times New Roman"/>
                <w:snapToGrid w:val="0"/>
                <w:kern w:val="0"/>
                <w:szCs w:val="21"/>
              </w:rPr>
              <w:t>-/5.2</w:t>
            </w:r>
          </w:p>
        </w:tc>
        <w:tc>
          <w:tcPr>
            <w:tcW w:w="243" w:type="pct"/>
            <w:vAlign w:val="center"/>
          </w:tcPr>
          <w:p w14:paraId="0F546BCC">
            <w:pPr>
              <w:adjustRightInd w:val="0"/>
              <w:snapToGrid w:val="0"/>
              <w:spacing w:line="240" w:lineRule="exact"/>
              <w:jc w:val="center"/>
              <w:rPr>
                <w:rFonts w:ascii="Times New Roman" w:hAnsi="Times New Roman" w:eastAsia="宋体" w:cs="Times New Roman"/>
                <w:snapToGrid w:val="0"/>
                <w:kern w:val="0"/>
                <w:szCs w:val="21"/>
              </w:rPr>
            </w:pPr>
            <w:r>
              <w:rPr>
                <w:rFonts w:hint="eastAsia" w:ascii="Times New Roman" w:hAnsi="Times New Roman" w:eastAsia="宋体" w:cs="Times New Roman"/>
                <w:snapToGrid w:val="0"/>
                <w:kern w:val="0"/>
                <w:szCs w:val="21"/>
              </w:rPr>
              <w:t>-/4.6</w:t>
            </w:r>
          </w:p>
        </w:tc>
        <w:tc>
          <w:tcPr>
            <w:tcW w:w="190" w:type="pct"/>
            <w:shd w:val="clear" w:color="auto" w:fill="auto"/>
            <w:vAlign w:val="center"/>
          </w:tcPr>
          <w:p w14:paraId="0C654EF0">
            <w:pPr>
              <w:widowControl/>
              <w:spacing w:line="300" w:lineRule="exact"/>
              <w:jc w:val="center"/>
              <w:rPr>
                <w:rFonts w:ascii="Times New Roman" w:hAnsi="Times New Roman" w:eastAsia="宋体" w:cs="Times New Roman"/>
              </w:rPr>
            </w:pPr>
            <w:r>
              <w:rPr>
                <w:rFonts w:hint="eastAsia" w:ascii="Times New Roman" w:hAnsi="Times New Roman" w:eastAsia="宋体" w:cs="Times New Roman"/>
              </w:rPr>
              <w:t>1</w:t>
            </w:r>
          </w:p>
        </w:tc>
        <w:tc>
          <w:tcPr>
            <w:tcW w:w="190" w:type="pct"/>
            <w:shd w:val="clear" w:color="auto" w:fill="auto"/>
            <w:vAlign w:val="center"/>
          </w:tcPr>
          <w:p w14:paraId="4B1F4EAD">
            <w:pPr>
              <w:widowControl/>
              <w:spacing w:line="300" w:lineRule="exact"/>
              <w:jc w:val="center"/>
              <w:rPr>
                <w:rFonts w:ascii="Times New Roman" w:hAnsi="Times New Roman" w:eastAsia="宋体" w:cs="Times New Roman"/>
              </w:rPr>
            </w:pPr>
            <w:r>
              <w:rPr>
                <w:rFonts w:hint="eastAsia" w:ascii="Times New Roman" w:hAnsi="Times New Roman" w:eastAsia="宋体" w:cs="Times New Roman"/>
              </w:rPr>
              <w:t>1</w:t>
            </w:r>
          </w:p>
        </w:tc>
        <w:tc>
          <w:tcPr>
            <w:tcW w:w="2230" w:type="pct"/>
            <w:vMerge w:val="continue"/>
            <w:noWrap/>
            <w:vAlign w:val="center"/>
          </w:tcPr>
          <w:p w14:paraId="4A996020">
            <w:pPr>
              <w:rPr>
                <w:rFonts w:ascii="Times New Roman" w:hAnsi="Times New Roman" w:eastAsia="宋体" w:cs="Times New Roman"/>
              </w:rPr>
            </w:pPr>
          </w:p>
        </w:tc>
        <w:tc>
          <w:tcPr>
            <w:tcW w:w="242" w:type="pct"/>
            <w:vMerge w:val="continue"/>
            <w:vAlign w:val="center"/>
          </w:tcPr>
          <w:p w14:paraId="7F52F778">
            <w:pPr>
              <w:jc w:val="center"/>
              <w:rPr>
                <w:rFonts w:ascii="Times New Roman" w:hAnsi="Times New Roman" w:eastAsia="宋体" w:cs="Times New Roman"/>
              </w:rPr>
            </w:pPr>
          </w:p>
        </w:tc>
        <w:tc>
          <w:tcPr>
            <w:tcW w:w="260" w:type="pct"/>
            <w:vMerge w:val="continue"/>
            <w:vAlign w:val="center"/>
          </w:tcPr>
          <w:p w14:paraId="1A12B227">
            <w:pPr>
              <w:jc w:val="center"/>
              <w:rPr>
                <w:rFonts w:ascii="Times New Roman" w:hAnsi="Times New Roman" w:eastAsia="宋体" w:cs="Times New Roman"/>
              </w:rPr>
            </w:pPr>
          </w:p>
        </w:tc>
        <w:tc>
          <w:tcPr>
            <w:tcW w:w="251" w:type="pct"/>
            <w:vMerge w:val="continue"/>
            <w:vAlign w:val="center"/>
          </w:tcPr>
          <w:p w14:paraId="65FA3F8C">
            <w:pPr>
              <w:widowControl/>
              <w:adjustRightInd w:val="0"/>
              <w:snapToGrid w:val="0"/>
              <w:spacing w:line="240" w:lineRule="exact"/>
              <w:jc w:val="center"/>
              <w:rPr>
                <w:rFonts w:ascii="Times New Roman" w:hAnsi="Times New Roman" w:eastAsia="宋体" w:cs="Times New Roman"/>
              </w:rPr>
            </w:pPr>
          </w:p>
        </w:tc>
      </w:tr>
      <w:tr w14:paraId="62AD7525">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trHeight w:val="150" w:hRule="atLeast"/>
          <w:tblHeader/>
          <w:jc w:val="center"/>
        </w:trPr>
        <w:tc>
          <w:tcPr>
            <w:tcW w:w="180" w:type="pct"/>
            <w:vMerge w:val="restart"/>
            <w:noWrap/>
            <w:vAlign w:val="center"/>
          </w:tcPr>
          <w:p w14:paraId="01C818A5">
            <w:pPr>
              <w:jc w:val="center"/>
              <w:rPr>
                <w:rFonts w:ascii="Times New Roman" w:hAnsi="Times New Roman" w:eastAsia="宋体" w:cs="Times New Roman"/>
              </w:rPr>
            </w:pPr>
            <w:r>
              <w:rPr>
                <w:rFonts w:hint="eastAsia" w:ascii="Times New Roman" w:hAnsi="Times New Roman" w:eastAsia="宋体" w:cs="Times New Roman"/>
              </w:rPr>
              <w:t>19</w:t>
            </w:r>
          </w:p>
        </w:tc>
        <w:tc>
          <w:tcPr>
            <w:tcW w:w="278" w:type="pct"/>
            <w:vAlign w:val="center"/>
          </w:tcPr>
          <w:p w14:paraId="5C82A8DA">
            <w:pPr>
              <w:widowControl/>
              <w:spacing w:line="300" w:lineRule="exact"/>
              <w:jc w:val="center"/>
              <w:rPr>
                <w:rFonts w:ascii="Times New Roman" w:hAnsi="Times New Roman" w:eastAsia="宋体" w:cs="Times New Roman"/>
              </w:rPr>
            </w:pPr>
            <w:r>
              <w:rPr>
                <w:rFonts w:ascii="Times New Roman" w:hAnsi="Times New Roman" w:eastAsia="宋体" w:cs="Times New Roman"/>
              </w:rPr>
              <w:t>K</w:t>
            </w:r>
            <w:r>
              <w:rPr>
                <w:rFonts w:hint="eastAsia" w:ascii="Times New Roman" w:hAnsi="Times New Roman" w:eastAsia="宋体" w:cs="Times New Roman"/>
              </w:rPr>
              <w:t>44</w:t>
            </w:r>
            <w:r>
              <w:rPr>
                <w:rFonts w:ascii="Times New Roman" w:hAnsi="Times New Roman" w:eastAsia="宋体" w:cs="Times New Roman"/>
              </w:rPr>
              <w:t>+</w:t>
            </w:r>
            <w:r>
              <w:rPr>
                <w:rFonts w:hint="eastAsia" w:ascii="Times New Roman" w:hAnsi="Times New Roman" w:eastAsia="宋体" w:cs="Times New Roman"/>
              </w:rPr>
              <w:t>04</w:t>
            </w:r>
            <w:r>
              <w:rPr>
                <w:rFonts w:ascii="Times New Roman" w:hAnsi="Times New Roman" w:eastAsia="宋体" w:cs="Times New Roman"/>
              </w:rPr>
              <w:t>0～K</w:t>
            </w:r>
            <w:r>
              <w:rPr>
                <w:rFonts w:hint="eastAsia" w:ascii="Times New Roman" w:hAnsi="Times New Roman" w:eastAsia="宋体" w:cs="Times New Roman"/>
              </w:rPr>
              <w:t>44</w:t>
            </w:r>
            <w:r>
              <w:rPr>
                <w:rFonts w:ascii="Times New Roman" w:hAnsi="Times New Roman" w:eastAsia="宋体" w:cs="Times New Roman"/>
              </w:rPr>
              <w:t>+</w:t>
            </w:r>
            <w:r>
              <w:rPr>
                <w:rFonts w:hint="eastAsia" w:ascii="Times New Roman" w:hAnsi="Times New Roman" w:eastAsia="宋体" w:cs="Times New Roman"/>
              </w:rPr>
              <w:t>14</w:t>
            </w:r>
            <w:r>
              <w:rPr>
                <w:rFonts w:ascii="Times New Roman" w:hAnsi="Times New Roman" w:eastAsia="宋体" w:cs="Times New Roman"/>
              </w:rPr>
              <w:t>0</w:t>
            </w:r>
          </w:p>
        </w:tc>
        <w:tc>
          <w:tcPr>
            <w:tcW w:w="346" w:type="pct"/>
            <w:vMerge w:val="restart"/>
            <w:vAlign w:val="center"/>
          </w:tcPr>
          <w:p w14:paraId="5DC0221E">
            <w:pPr>
              <w:widowControl/>
              <w:spacing w:line="300" w:lineRule="exact"/>
              <w:jc w:val="center"/>
              <w:rPr>
                <w:rFonts w:ascii="Times New Roman" w:hAnsi="Times New Roman" w:eastAsia="宋体" w:cs="Times New Roman"/>
              </w:rPr>
            </w:pPr>
            <w:r>
              <w:rPr>
                <w:rFonts w:hint="eastAsia" w:ascii="Times New Roman" w:hAnsi="Times New Roman" w:eastAsia="宋体" w:cs="Times New Roman"/>
              </w:rPr>
              <w:t>其维克村</w:t>
            </w:r>
          </w:p>
        </w:tc>
        <w:tc>
          <w:tcPr>
            <w:tcW w:w="138" w:type="pct"/>
            <w:vMerge w:val="restart"/>
            <w:vAlign w:val="center"/>
          </w:tcPr>
          <w:p w14:paraId="6E8F42A0">
            <w:pPr>
              <w:widowControl/>
              <w:spacing w:line="300" w:lineRule="exact"/>
              <w:jc w:val="center"/>
              <w:rPr>
                <w:rFonts w:ascii="Times New Roman" w:hAnsi="Times New Roman" w:eastAsia="宋体" w:cs="Times New Roman"/>
              </w:rPr>
            </w:pPr>
            <w:r>
              <w:rPr>
                <w:rFonts w:ascii="Times New Roman" w:hAnsi="Times New Roman" w:eastAsia="宋体" w:cs="Times New Roman"/>
              </w:rPr>
              <w:t>两侧</w:t>
            </w:r>
          </w:p>
        </w:tc>
        <w:tc>
          <w:tcPr>
            <w:tcW w:w="209" w:type="pct"/>
            <w:vMerge w:val="restart"/>
            <w:vAlign w:val="center"/>
          </w:tcPr>
          <w:p w14:paraId="5E266BB0">
            <w:pPr>
              <w:widowControl/>
              <w:spacing w:line="300" w:lineRule="exact"/>
              <w:jc w:val="center"/>
              <w:rPr>
                <w:rFonts w:ascii="Times New Roman" w:hAnsi="Times New Roman" w:eastAsia="宋体" w:cs="Times New Roman"/>
              </w:rPr>
            </w:pPr>
            <w:r>
              <w:rPr>
                <w:rFonts w:hint="eastAsia" w:ascii="Times New Roman" w:hAnsi="Times New Roman" w:eastAsia="宋体" w:cs="Times New Roman"/>
              </w:rPr>
              <w:t>27</w:t>
            </w:r>
          </w:p>
        </w:tc>
        <w:tc>
          <w:tcPr>
            <w:tcW w:w="243" w:type="pct"/>
            <w:vMerge w:val="restart"/>
            <w:vAlign w:val="center"/>
          </w:tcPr>
          <w:p w14:paraId="22CCBF80">
            <w:pPr>
              <w:adjustRightInd w:val="0"/>
              <w:snapToGrid w:val="0"/>
              <w:spacing w:line="240" w:lineRule="exact"/>
              <w:jc w:val="center"/>
              <w:rPr>
                <w:rFonts w:ascii="Times New Roman" w:hAnsi="Times New Roman" w:eastAsia="宋体" w:cs="Times New Roman"/>
                <w:snapToGrid w:val="0"/>
                <w:kern w:val="0"/>
                <w:szCs w:val="21"/>
              </w:rPr>
            </w:pPr>
            <w:r>
              <w:rPr>
                <w:rFonts w:hint="eastAsia" w:ascii="Times New Roman" w:hAnsi="Times New Roman" w:eastAsia="宋体" w:cs="Times New Roman"/>
                <w:snapToGrid w:val="0"/>
                <w:kern w:val="0"/>
                <w:szCs w:val="21"/>
              </w:rPr>
              <w:t>-/2.1</w:t>
            </w:r>
          </w:p>
        </w:tc>
        <w:tc>
          <w:tcPr>
            <w:tcW w:w="243" w:type="pct"/>
            <w:vMerge w:val="restart"/>
            <w:vAlign w:val="center"/>
          </w:tcPr>
          <w:p w14:paraId="2F1E64CE">
            <w:pPr>
              <w:adjustRightInd w:val="0"/>
              <w:snapToGrid w:val="0"/>
              <w:spacing w:line="240" w:lineRule="exact"/>
              <w:jc w:val="center"/>
              <w:rPr>
                <w:rFonts w:ascii="Times New Roman" w:hAnsi="Times New Roman" w:eastAsia="宋体" w:cs="Times New Roman"/>
                <w:snapToGrid w:val="0"/>
                <w:kern w:val="0"/>
                <w:szCs w:val="21"/>
              </w:rPr>
            </w:pPr>
            <w:r>
              <w:rPr>
                <w:rFonts w:hint="eastAsia" w:ascii="Times New Roman" w:hAnsi="Times New Roman" w:eastAsia="宋体" w:cs="Times New Roman"/>
                <w:snapToGrid w:val="0"/>
                <w:kern w:val="0"/>
                <w:szCs w:val="21"/>
              </w:rPr>
              <w:t>-/2.9</w:t>
            </w:r>
          </w:p>
        </w:tc>
        <w:tc>
          <w:tcPr>
            <w:tcW w:w="190" w:type="pct"/>
            <w:vMerge w:val="restart"/>
            <w:shd w:val="clear" w:color="auto" w:fill="auto"/>
            <w:vAlign w:val="center"/>
          </w:tcPr>
          <w:p w14:paraId="654059DF">
            <w:pPr>
              <w:widowControl/>
              <w:spacing w:line="300" w:lineRule="exact"/>
              <w:jc w:val="center"/>
              <w:rPr>
                <w:rFonts w:ascii="Times New Roman" w:hAnsi="Times New Roman" w:eastAsia="宋体" w:cs="Times New Roman"/>
              </w:rPr>
            </w:pPr>
            <w:r>
              <w:rPr>
                <w:rFonts w:hint="eastAsia" w:ascii="Times New Roman" w:hAnsi="Times New Roman" w:eastAsia="宋体" w:cs="Times New Roman"/>
              </w:rPr>
              <w:t>30</w:t>
            </w:r>
          </w:p>
        </w:tc>
        <w:tc>
          <w:tcPr>
            <w:tcW w:w="190" w:type="pct"/>
            <w:vMerge w:val="restart"/>
            <w:shd w:val="clear" w:color="auto" w:fill="auto"/>
            <w:vAlign w:val="center"/>
          </w:tcPr>
          <w:p w14:paraId="5F34CE77">
            <w:pPr>
              <w:widowControl/>
              <w:spacing w:line="300" w:lineRule="exact"/>
              <w:jc w:val="center"/>
              <w:rPr>
                <w:rFonts w:ascii="Times New Roman" w:hAnsi="Times New Roman" w:eastAsia="宋体" w:cs="Times New Roman"/>
              </w:rPr>
            </w:pPr>
            <w:r>
              <w:rPr>
                <w:rFonts w:hint="eastAsia" w:ascii="Times New Roman" w:hAnsi="Times New Roman" w:eastAsia="宋体" w:cs="Times New Roman"/>
              </w:rPr>
              <w:t>18</w:t>
            </w:r>
          </w:p>
        </w:tc>
        <w:tc>
          <w:tcPr>
            <w:tcW w:w="2230" w:type="pct"/>
            <w:vMerge w:val="restart"/>
            <w:noWrap/>
            <w:vAlign w:val="center"/>
          </w:tcPr>
          <w:p w14:paraId="44CC565D">
            <w:pPr>
              <w:rPr>
                <w:rFonts w:ascii="Times New Roman" w:hAnsi="Times New Roman" w:eastAsia="宋体" w:cs="Times New Roman"/>
                <w:szCs w:val="21"/>
              </w:rPr>
            </w:pPr>
            <w:r>
              <w:rPr>
                <w:rFonts w:ascii="Times New Roman" w:hAnsi="Times New Roman" w:eastAsia="宋体" w:cs="Times New Roman"/>
                <w:szCs w:val="21"/>
              </w:rPr>
              <w:t>方案一：安装隔声窗，按每户1万元计，共</w:t>
            </w:r>
            <w:r>
              <w:rPr>
                <w:rFonts w:hint="eastAsia" w:ascii="Times New Roman" w:hAnsi="Times New Roman" w:eastAsia="宋体" w:cs="Times New Roman"/>
                <w:szCs w:val="21"/>
              </w:rPr>
              <w:t>48</w:t>
            </w:r>
            <w:r>
              <w:rPr>
                <w:rFonts w:ascii="Times New Roman" w:hAnsi="Times New Roman" w:eastAsia="宋体" w:cs="Times New Roman"/>
                <w:szCs w:val="21"/>
              </w:rPr>
              <w:t>户，投资</w:t>
            </w:r>
            <w:r>
              <w:rPr>
                <w:rFonts w:hint="eastAsia" w:ascii="Times New Roman" w:hAnsi="Times New Roman" w:eastAsia="宋体" w:cs="Times New Roman"/>
                <w:szCs w:val="21"/>
              </w:rPr>
              <w:t>48</w:t>
            </w:r>
            <w:r>
              <w:rPr>
                <w:rFonts w:ascii="Times New Roman" w:hAnsi="Times New Roman" w:eastAsia="宋体" w:cs="Times New Roman"/>
                <w:szCs w:val="21"/>
              </w:rPr>
              <w:t>万元，隔声量25dB。</w:t>
            </w:r>
          </w:p>
          <w:p w14:paraId="32D41811">
            <w:pPr>
              <w:adjustRightInd w:val="0"/>
              <w:snapToGrid w:val="0"/>
              <w:spacing w:line="240" w:lineRule="exact"/>
              <w:rPr>
                <w:rFonts w:ascii="Times New Roman" w:hAnsi="Times New Roman" w:eastAsia="宋体" w:cs="Times New Roman"/>
                <w:szCs w:val="21"/>
              </w:rPr>
            </w:pPr>
            <w:r>
              <w:rPr>
                <w:rFonts w:ascii="Times New Roman" w:hAnsi="Times New Roman" w:eastAsia="宋体" w:cs="Times New Roman"/>
                <w:szCs w:val="21"/>
              </w:rPr>
              <w:t>方案二：设置声屏障，拟建公路两侧</w:t>
            </w:r>
            <w:r>
              <w:rPr>
                <w:rFonts w:ascii="Times New Roman" w:hAnsi="Times New Roman" w:eastAsia="宋体" w:cs="Times New Roman"/>
              </w:rPr>
              <w:t>K</w:t>
            </w:r>
            <w:r>
              <w:rPr>
                <w:rFonts w:hint="eastAsia" w:ascii="Times New Roman" w:hAnsi="Times New Roman" w:eastAsia="宋体" w:cs="Times New Roman"/>
              </w:rPr>
              <w:t>44</w:t>
            </w:r>
            <w:r>
              <w:rPr>
                <w:rFonts w:ascii="Times New Roman" w:hAnsi="Times New Roman" w:eastAsia="宋体" w:cs="Times New Roman"/>
              </w:rPr>
              <w:t>+</w:t>
            </w:r>
            <w:r>
              <w:rPr>
                <w:rFonts w:hint="eastAsia" w:ascii="Times New Roman" w:hAnsi="Times New Roman" w:eastAsia="宋体" w:cs="Times New Roman"/>
              </w:rPr>
              <w:t>04</w:t>
            </w:r>
            <w:r>
              <w:rPr>
                <w:rFonts w:ascii="Times New Roman" w:hAnsi="Times New Roman" w:eastAsia="宋体" w:cs="Times New Roman"/>
              </w:rPr>
              <w:t>0～K</w:t>
            </w:r>
            <w:r>
              <w:rPr>
                <w:rFonts w:hint="eastAsia" w:ascii="Times New Roman" w:hAnsi="Times New Roman" w:eastAsia="宋体" w:cs="Times New Roman"/>
              </w:rPr>
              <w:t>44</w:t>
            </w:r>
            <w:r>
              <w:rPr>
                <w:rFonts w:ascii="Times New Roman" w:hAnsi="Times New Roman" w:eastAsia="宋体" w:cs="Times New Roman"/>
              </w:rPr>
              <w:t>+</w:t>
            </w:r>
            <w:r>
              <w:rPr>
                <w:rFonts w:hint="eastAsia" w:ascii="Times New Roman" w:hAnsi="Times New Roman" w:eastAsia="宋体" w:cs="Times New Roman"/>
              </w:rPr>
              <w:t>14</w:t>
            </w:r>
            <w:r>
              <w:rPr>
                <w:rFonts w:ascii="Times New Roman" w:hAnsi="Times New Roman" w:eastAsia="宋体" w:cs="Times New Roman"/>
              </w:rPr>
              <w:t>0和K</w:t>
            </w:r>
            <w:r>
              <w:rPr>
                <w:rFonts w:hint="eastAsia" w:ascii="Times New Roman" w:hAnsi="Times New Roman" w:eastAsia="宋体" w:cs="Times New Roman"/>
              </w:rPr>
              <w:t>44</w:t>
            </w:r>
            <w:r>
              <w:rPr>
                <w:rFonts w:ascii="Times New Roman" w:hAnsi="Times New Roman" w:eastAsia="宋体" w:cs="Times New Roman"/>
              </w:rPr>
              <w:t>+</w:t>
            </w:r>
            <w:r>
              <w:rPr>
                <w:rFonts w:hint="eastAsia" w:ascii="Times New Roman" w:hAnsi="Times New Roman" w:eastAsia="宋体" w:cs="Times New Roman"/>
              </w:rPr>
              <w:t>26</w:t>
            </w:r>
            <w:r>
              <w:rPr>
                <w:rFonts w:ascii="Times New Roman" w:hAnsi="Times New Roman" w:eastAsia="宋体" w:cs="Times New Roman"/>
              </w:rPr>
              <w:t>0～K</w:t>
            </w:r>
            <w:r>
              <w:rPr>
                <w:rFonts w:hint="eastAsia" w:ascii="Times New Roman" w:hAnsi="Times New Roman" w:eastAsia="宋体" w:cs="Times New Roman"/>
              </w:rPr>
              <w:t>44</w:t>
            </w:r>
            <w:r>
              <w:rPr>
                <w:rFonts w:ascii="Times New Roman" w:hAnsi="Times New Roman" w:eastAsia="宋体" w:cs="Times New Roman"/>
              </w:rPr>
              <w:t>+</w:t>
            </w:r>
            <w:r>
              <w:rPr>
                <w:rFonts w:hint="eastAsia" w:ascii="Times New Roman" w:hAnsi="Times New Roman" w:eastAsia="宋体" w:cs="Times New Roman"/>
              </w:rPr>
              <w:t>29</w:t>
            </w:r>
            <w:r>
              <w:rPr>
                <w:rFonts w:ascii="Times New Roman" w:hAnsi="Times New Roman" w:eastAsia="宋体" w:cs="Times New Roman"/>
              </w:rPr>
              <w:t>0路段房屋</w:t>
            </w:r>
            <w:r>
              <w:rPr>
                <w:rFonts w:hint="eastAsia" w:ascii="Times New Roman" w:hAnsi="Times New Roman" w:eastAsia="宋体" w:cs="Times New Roman"/>
              </w:rPr>
              <w:t>集中</w:t>
            </w:r>
            <w:r>
              <w:rPr>
                <w:rFonts w:ascii="Times New Roman" w:hAnsi="Times New Roman" w:eastAsia="宋体" w:cs="Times New Roman"/>
              </w:rPr>
              <w:t>分布于平交口两侧，</w:t>
            </w:r>
            <w:r>
              <w:rPr>
                <w:rFonts w:ascii="Times New Roman" w:hAnsi="Times New Roman" w:cs="Times New Roman" w:eastAsiaTheme="minorEastAsia"/>
                <w:szCs w:val="21"/>
              </w:rPr>
              <w:t>根据《</w:t>
            </w:r>
            <w:r>
              <w:rPr>
                <w:rFonts w:hint="eastAsia" w:ascii="Times New Roman" w:hAnsi="Times New Roman" w:cs="Times New Roman" w:eastAsiaTheme="minorEastAsia"/>
                <w:szCs w:val="21"/>
              </w:rPr>
              <w:t>公路路线设计规范（JTG D20—2017）</w:t>
            </w:r>
            <w:r>
              <w:rPr>
                <w:rFonts w:ascii="Times New Roman" w:hAnsi="Times New Roman" w:cs="Times New Roman" w:eastAsiaTheme="minorEastAsia"/>
                <w:szCs w:val="21"/>
              </w:rPr>
              <w:t>》，考虑行车安全视距，每处平交口两侧共需断开</w:t>
            </w:r>
            <w:r>
              <w:rPr>
                <w:rFonts w:hint="eastAsia" w:ascii="Times New Roman" w:hAnsi="Times New Roman" w:cs="Times New Roman" w:eastAsiaTheme="minorEastAsia"/>
                <w:szCs w:val="21"/>
              </w:rPr>
              <w:t>220m，该路段</w:t>
            </w:r>
            <w:r>
              <w:rPr>
                <w:rFonts w:ascii="Times New Roman" w:hAnsi="Times New Roman" w:eastAsia="宋体" w:cs="Times New Roman"/>
              </w:rPr>
              <w:t>平交口处无法设置声屏障</w:t>
            </w:r>
            <w:r>
              <w:rPr>
                <w:rFonts w:hint="eastAsia" w:ascii="Times New Roman" w:hAnsi="Times New Roman" w:eastAsia="宋体" w:cs="Times New Roman"/>
              </w:rPr>
              <w:t>。</w:t>
            </w:r>
          </w:p>
          <w:p w14:paraId="7463416F">
            <w:pPr>
              <w:widowControl/>
              <w:adjustRightInd w:val="0"/>
              <w:snapToGrid w:val="0"/>
              <w:spacing w:line="240" w:lineRule="exact"/>
              <w:rPr>
                <w:rFonts w:ascii="Times New Roman" w:hAnsi="Times New Roman" w:eastAsia="宋体" w:cs="Times New Roman"/>
                <w:szCs w:val="21"/>
              </w:rPr>
            </w:pPr>
            <w:r>
              <w:rPr>
                <w:rFonts w:ascii="Times New Roman" w:hAnsi="Times New Roman" w:eastAsia="宋体" w:cs="Times New Roman"/>
                <w:szCs w:val="21"/>
              </w:rPr>
              <w:t>推荐：综合考虑推荐方案</w:t>
            </w:r>
            <w:r>
              <w:rPr>
                <w:rFonts w:hint="eastAsia" w:ascii="Times New Roman" w:hAnsi="Times New Roman" w:eastAsia="宋体" w:cs="Times New Roman"/>
                <w:szCs w:val="21"/>
              </w:rPr>
              <w:t>一</w:t>
            </w:r>
            <w:r>
              <w:rPr>
                <w:rFonts w:ascii="Times New Roman" w:hAnsi="Times New Roman" w:eastAsia="宋体" w:cs="Times New Roman"/>
                <w:szCs w:val="21"/>
              </w:rPr>
              <w:t>。</w:t>
            </w:r>
          </w:p>
        </w:tc>
        <w:tc>
          <w:tcPr>
            <w:tcW w:w="242" w:type="pct"/>
            <w:vMerge w:val="restart"/>
            <w:vAlign w:val="center"/>
          </w:tcPr>
          <w:p w14:paraId="48D4A1D6">
            <w:pPr>
              <w:widowControl/>
              <w:jc w:val="center"/>
              <w:rPr>
                <w:rFonts w:ascii="Times New Roman" w:hAnsi="Times New Roman" w:eastAsia="宋体" w:cs="Times New Roman"/>
                <w:kern w:val="0"/>
              </w:rPr>
            </w:pPr>
            <w:r>
              <w:rPr>
                <w:rFonts w:ascii="Times New Roman" w:hAnsi="Times New Roman" w:eastAsia="宋体" w:cs="Times New Roman"/>
                <w:kern w:val="0"/>
              </w:rPr>
              <w:t>隔声窗</w:t>
            </w:r>
          </w:p>
        </w:tc>
        <w:tc>
          <w:tcPr>
            <w:tcW w:w="260" w:type="pct"/>
            <w:vMerge w:val="restart"/>
            <w:vAlign w:val="center"/>
          </w:tcPr>
          <w:p w14:paraId="5104DC78">
            <w:pPr>
              <w:widowControl/>
              <w:jc w:val="center"/>
              <w:rPr>
                <w:rFonts w:ascii="Times New Roman" w:hAnsi="Times New Roman" w:eastAsia="宋体" w:cs="Times New Roman"/>
                <w:kern w:val="0"/>
              </w:rPr>
            </w:pPr>
            <w:r>
              <w:rPr>
                <w:rFonts w:ascii="Times New Roman" w:hAnsi="Times New Roman" w:eastAsia="宋体" w:cs="Times New Roman"/>
                <w:kern w:val="0"/>
              </w:rPr>
              <w:t>室内达标</w:t>
            </w:r>
          </w:p>
        </w:tc>
        <w:tc>
          <w:tcPr>
            <w:tcW w:w="251" w:type="pct"/>
            <w:vMerge w:val="restart"/>
            <w:vAlign w:val="center"/>
          </w:tcPr>
          <w:p w14:paraId="2F41E544">
            <w:pPr>
              <w:widowControl/>
              <w:adjustRightInd w:val="0"/>
              <w:snapToGrid w:val="0"/>
              <w:spacing w:line="240" w:lineRule="exact"/>
              <w:jc w:val="center"/>
              <w:rPr>
                <w:rFonts w:ascii="Times New Roman" w:hAnsi="宋体" w:eastAsia="宋体" w:cs="Times New Roman"/>
                <w:szCs w:val="21"/>
              </w:rPr>
            </w:pPr>
            <w:r>
              <w:rPr>
                <w:rFonts w:hint="eastAsia" w:ascii="Times New Roman" w:hAnsi="宋体" w:eastAsia="宋体" w:cs="Times New Roman"/>
                <w:szCs w:val="21"/>
              </w:rPr>
              <w:t>48</w:t>
            </w:r>
          </w:p>
        </w:tc>
      </w:tr>
      <w:tr w14:paraId="2597E205">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trHeight w:val="150" w:hRule="atLeast"/>
          <w:tblHeader/>
          <w:jc w:val="center"/>
        </w:trPr>
        <w:tc>
          <w:tcPr>
            <w:tcW w:w="180" w:type="pct"/>
            <w:vMerge w:val="continue"/>
            <w:noWrap/>
            <w:vAlign w:val="center"/>
          </w:tcPr>
          <w:p w14:paraId="7EBECAA2">
            <w:pPr>
              <w:jc w:val="center"/>
              <w:rPr>
                <w:rFonts w:ascii="Times New Roman" w:hAnsi="Times New Roman" w:eastAsia="宋体" w:cs="Times New Roman"/>
              </w:rPr>
            </w:pPr>
          </w:p>
        </w:tc>
        <w:tc>
          <w:tcPr>
            <w:tcW w:w="278" w:type="pct"/>
            <w:vAlign w:val="center"/>
          </w:tcPr>
          <w:p w14:paraId="3B8FC499">
            <w:pPr>
              <w:widowControl/>
              <w:spacing w:line="300" w:lineRule="exact"/>
              <w:jc w:val="center"/>
              <w:rPr>
                <w:rFonts w:ascii="Times New Roman" w:hAnsi="Times New Roman" w:eastAsia="宋体" w:cs="Times New Roman"/>
              </w:rPr>
            </w:pPr>
            <w:r>
              <w:rPr>
                <w:rFonts w:ascii="Times New Roman" w:hAnsi="Times New Roman" w:eastAsia="宋体" w:cs="Times New Roman"/>
              </w:rPr>
              <w:t>K</w:t>
            </w:r>
            <w:r>
              <w:rPr>
                <w:rFonts w:hint="eastAsia" w:ascii="Times New Roman" w:hAnsi="Times New Roman" w:eastAsia="宋体" w:cs="Times New Roman"/>
              </w:rPr>
              <w:t>44</w:t>
            </w:r>
            <w:r>
              <w:rPr>
                <w:rFonts w:ascii="Times New Roman" w:hAnsi="Times New Roman" w:eastAsia="宋体" w:cs="Times New Roman"/>
              </w:rPr>
              <w:t>+</w:t>
            </w:r>
            <w:r>
              <w:rPr>
                <w:rFonts w:hint="eastAsia" w:ascii="Times New Roman" w:hAnsi="Times New Roman" w:eastAsia="宋体" w:cs="Times New Roman"/>
              </w:rPr>
              <w:t>26</w:t>
            </w:r>
            <w:r>
              <w:rPr>
                <w:rFonts w:ascii="Times New Roman" w:hAnsi="Times New Roman" w:eastAsia="宋体" w:cs="Times New Roman"/>
              </w:rPr>
              <w:t>0～K</w:t>
            </w:r>
            <w:r>
              <w:rPr>
                <w:rFonts w:hint="eastAsia" w:ascii="Times New Roman" w:hAnsi="Times New Roman" w:eastAsia="宋体" w:cs="Times New Roman"/>
              </w:rPr>
              <w:t>44</w:t>
            </w:r>
            <w:r>
              <w:rPr>
                <w:rFonts w:ascii="Times New Roman" w:hAnsi="Times New Roman" w:eastAsia="宋体" w:cs="Times New Roman"/>
              </w:rPr>
              <w:t>+</w:t>
            </w:r>
            <w:r>
              <w:rPr>
                <w:rFonts w:hint="eastAsia" w:ascii="Times New Roman" w:hAnsi="Times New Roman" w:eastAsia="宋体" w:cs="Times New Roman"/>
              </w:rPr>
              <w:t>29</w:t>
            </w:r>
            <w:r>
              <w:rPr>
                <w:rFonts w:ascii="Times New Roman" w:hAnsi="Times New Roman" w:eastAsia="宋体" w:cs="Times New Roman"/>
              </w:rPr>
              <w:t>0</w:t>
            </w:r>
          </w:p>
        </w:tc>
        <w:tc>
          <w:tcPr>
            <w:tcW w:w="346" w:type="pct"/>
            <w:vMerge w:val="continue"/>
            <w:vAlign w:val="center"/>
          </w:tcPr>
          <w:p w14:paraId="2D8A5F2C">
            <w:pPr>
              <w:widowControl/>
              <w:spacing w:line="300" w:lineRule="exact"/>
              <w:jc w:val="center"/>
              <w:rPr>
                <w:rFonts w:ascii="Times New Roman" w:hAnsi="Times New Roman" w:eastAsia="宋体" w:cs="Times New Roman"/>
              </w:rPr>
            </w:pPr>
          </w:p>
        </w:tc>
        <w:tc>
          <w:tcPr>
            <w:tcW w:w="138" w:type="pct"/>
            <w:vMerge w:val="continue"/>
            <w:vAlign w:val="center"/>
          </w:tcPr>
          <w:p w14:paraId="013AE732">
            <w:pPr>
              <w:widowControl/>
              <w:spacing w:line="300" w:lineRule="exact"/>
              <w:jc w:val="center"/>
              <w:rPr>
                <w:rFonts w:ascii="Times New Roman" w:hAnsi="Times New Roman" w:eastAsia="宋体" w:cs="Times New Roman"/>
              </w:rPr>
            </w:pPr>
          </w:p>
        </w:tc>
        <w:tc>
          <w:tcPr>
            <w:tcW w:w="209" w:type="pct"/>
            <w:vMerge w:val="continue"/>
            <w:vAlign w:val="center"/>
          </w:tcPr>
          <w:p w14:paraId="45181DB5">
            <w:pPr>
              <w:widowControl/>
              <w:spacing w:line="300" w:lineRule="exact"/>
              <w:jc w:val="center"/>
              <w:rPr>
                <w:rFonts w:ascii="Times New Roman" w:hAnsi="Times New Roman" w:eastAsia="宋体" w:cs="Times New Roman"/>
              </w:rPr>
            </w:pPr>
          </w:p>
        </w:tc>
        <w:tc>
          <w:tcPr>
            <w:tcW w:w="243" w:type="pct"/>
            <w:vMerge w:val="continue"/>
            <w:vAlign w:val="center"/>
          </w:tcPr>
          <w:p w14:paraId="34A81080">
            <w:pPr>
              <w:adjustRightInd w:val="0"/>
              <w:snapToGrid w:val="0"/>
              <w:spacing w:line="240" w:lineRule="exact"/>
              <w:jc w:val="center"/>
              <w:rPr>
                <w:rFonts w:ascii="Times New Roman" w:hAnsi="Times New Roman" w:eastAsia="宋体" w:cs="Times New Roman"/>
              </w:rPr>
            </w:pPr>
          </w:p>
        </w:tc>
        <w:tc>
          <w:tcPr>
            <w:tcW w:w="243" w:type="pct"/>
            <w:vMerge w:val="continue"/>
            <w:vAlign w:val="center"/>
          </w:tcPr>
          <w:p w14:paraId="2BD08F77">
            <w:pPr>
              <w:adjustRightInd w:val="0"/>
              <w:snapToGrid w:val="0"/>
              <w:spacing w:line="240" w:lineRule="exact"/>
              <w:jc w:val="center"/>
              <w:rPr>
                <w:rFonts w:ascii="Times New Roman" w:hAnsi="Times New Roman" w:eastAsia="宋体" w:cs="Times New Roman"/>
              </w:rPr>
            </w:pPr>
          </w:p>
        </w:tc>
        <w:tc>
          <w:tcPr>
            <w:tcW w:w="190" w:type="pct"/>
            <w:vMerge w:val="continue"/>
            <w:shd w:val="clear" w:color="auto" w:fill="auto"/>
            <w:vAlign w:val="center"/>
          </w:tcPr>
          <w:p w14:paraId="2078B95E">
            <w:pPr>
              <w:adjustRightInd w:val="0"/>
              <w:snapToGrid w:val="0"/>
              <w:spacing w:line="240" w:lineRule="exact"/>
              <w:jc w:val="center"/>
              <w:rPr>
                <w:rFonts w:ascii="Times New Roman" w:hAnsi="Times New Roman" w:eastAsia="宋体" w:cs="Times New Roman"/>
              </w:rPr>
            </w:pPr>
          </w:p>
        </w:tc>
        <w:tc>
          <w:tcPr>
            <w:tcW w:w="190" w:type="pct"/>
            <w:vMerge w:val="continue"/>
            <w:shd w:val="clear" w:color="auto" w:fill="auto"/>
            <w:vAlign w:val="center"/>
          </w:tcPr>
          <w:p w14:paraId="2F392A03">
            <w:pPr>
              <w:adjustRightInd w:val="0"/>
              <w:snapToGrid w:val="0"/>
              <w:spacing w:line="240" w:lineRule="exact"/>
              <w:jc w:val="center"/>
              <w:rPr>
                <w:rFonts w:ascii="Times New Roman" w:hAnsi="Times New Roman" w:eastAsia="宋体" w:cs="Times New Roman"/>
              </w:rPr>
            </w:pPr>
          </w:p>
        </w:tc>
        <w:tc>
          <w:tcPr>
            <w:tcW w:w="2230" w:type="pct"/>
            <w:vMerge w:val="continue"/>
            <w:noWrap/>
            <w:vAlign w:val="center"/>
          </w:tcPr>
          <w:p w14:paraId="7BAC1987">
            <w:pPr>
              <w:rPr>
                <w:rFonts w:ascii="Times New Roman" w:hAnsi="Times New Roman" w:eastAsia="宋体" w:cs="Times New Roman"/>
              </w:rPr>
            </w:pPr>
          </w:p>
        </w:tc>
        <w:tc>
          <w:tcPr>
            <w:tcW w:w="242" w:type="pct"/>
            <w:vMerge w:val="continue"/>
            <w:vAlign w:val="center"/>
          </w:tcPr>
          <w:p w14:paraId="0CD21DE3">
            <w:pPr>
              <w:jc w:val="center"/>
              <w:rPr>
                <w:rFonts w:ascii="Times New Roman" w:hAnsi="Times New Roman" w:eastAsia="宋体" w:cs="Times New Roman"/>
              </w:rPr>
            </w:pPr>
          </w:p>
        </w:tc>
        <w:tc>
          <w:tcPr>
            <w:tcW w:w="260" w:type="pct"/>
            <w:vMerge w:val="continue"/>
            <w:vAlign w:val="center"/>
          </w:tcPr>
          <w:p w14:paraId="3BEC92ED">
            <w:pPr>
              <w:jc w:val="center"/>
              <w:rPr>
                <w:rFonts w:ascii="Times New Roman" w:hAnsi="Times New Roman" w:eastAsia="宋体" w:cs="Times New Roman"/>
              </w:rPr>
            </w:pPr>
          </w:p>
        </w:tc>
        <w:tc>
          <w:tcPr>
            <w:tcW w:w="251" w:type="pct"/>
            <w:vMerge w:val="continue"/>
            <w:vAlign w:val="center"/>
          </w:tcPr>
          <w:p w14:paraId="0F35B699">
            <w:pPr>
              <w:widowControl/>
              <w:adjustRightInd w:val="0"/>
              <w:snapToGrid w:val="0"/>
              <w:spacing w:line="240" w:lineRule="exact"/>
              <w:jc w:val="center"/>
              <w:rPr>
                <w:rFonts w:ascii="Times New Roman" w:hAnsi="Times New Roman" w:eastAsia="宋体" w:cs="Times New Roman"/>
              </w:rPr>
            </w:pPr>
          </w:p>
        </w:tc>
      </w:tr>
    </w:tbl>
    <w:p w14:paraId="45D1B4A5">
      <w:pPr>
        <w:rPr>
          <w:rFonts w:ascii="Times New Roman" w:hAnsi="Times New Roman" w:eastAsia="宋体" w:cs="Times New Roman"/>
        </w:rPr>
      </w:pPr>
    </w:p>
    <w:p w14:paraId="5294666A">
      <w:pPr>
        <w:spacing w:beforeLines="50"/>
        <w:jc w:val="center"/>
        <w:rPr>
          <w:b/>
          <w:spacing w:val="4"/>
          <w:szCs w:val="21"/>
        </w:rPr>
        <w:sectPr>
          <w:headerReference r:id="rId108" w:type="default"/>
          <w:footerReference r:id="rId109" w:type="default"/>
          <w:footerReference r:id="rId110" w:type="even"/>
          <w:pgSz w:w="23814" w:h="16840" w:orient="landscape"/>
          <w:pgMar w:top="1701" w:right="1701" w:bottom="1701" w:left="1701" w:header="1134" w:footer="1134" w:gutter="0"/>
          <w:pgBorders>
            <w:top w:val="none" w:sz="0" w:space="0"/>
            <w:left w:val="none" w:sz="0" w:space="0"/>
            <w:bottom w:val="none" w:sz="0" w:space="0"/>
            <w:right w:val="none" w:sz="0" w:space="0"/>
          </w:pgBorders>
          <w:cols w:space="720" w:num="1"/>
          <w:docGrid w:linePitch="312" w:charSpace="0"/>
        </w:sectPr>
      </w:pPr>
    </w:p>
    <w:p w14:paraId="07D820CE">
      <w:pPr>
        <w:spacing w:beforeLines="50"/>
        <w:jc w:val="center"/>
        <w:rPr>
          <w:rFonts w:ascii="Times New Roman" w:hAnsi="宋体" w:eastAsia="宋体" w:cs="Times New Roman"/>
          <w:b/>
          <w:spacing w:val="4"/>
          <w:szCs w:val="21"/>
        </w:rPr>
      </w:pPr>
      <w:r>
        <w:rPr>
          <w:rFonts w:ascii="Times New Roman" w:hAnsi="宋体" w:eastAsia="宋体" w:cs="Times New Roman"/>
          <w:b/>
          <w:spacing w:val="4"/>
          <w:szCs w:val="21"/>
        </w:rPr>
        <w:t>续</w:t>
      </w:r>
      <w:r>
        <w:rPr>
          <w:rFonts w:hint="eastAsia" w:ascii="Times New Roman" w:hAnsi="宋体" w:eastAsia="宋体" w:cs="Times New Roman"/>
          <w:b/>
          <w:spacing w:val="4"/>
          <w:szCs w:val="21"/>
        </w:rPr>
        <w:t xml:space="preserve"> </w:t>
      </w:r>
      <w:r>
        <w:rPr>
          <w:rFonts w:ascii="Times New Roman" w:hAnsi="宋体" w:eastAsia="宋体" w:cs="Times New Roman"/>
          <w:b/>
          <w:spacing w:val="4"/>
          <w:szCs w:val="21"/>
        </w:rPr>
        <w:t>表</w:t>
      </w:r>
      <w:r>
        <w:rPr>
          <w:rFonts w:hint="eastAsia" w:ascii="Times New Roman" w:hAnsi="Times New Roman" w:eastAsia="宋体" w:cs="Times New Roman"/>
          <w:b/>
          <w:spacing w:val="4"/>
          <w:szCs w:val="21"/>
        </w:rPr>
        <w:t>5</w:t>
      </w:r>
      <w:r>
        <w:rPr>
          <w:rFonts w:ascii="Times New Roman" w:hAnsi="Times New Roman" w:eastAsia="宋体" w:cs="Times New Roman"/>
          <w:b/>
          <w:spacing w:val="4"/>
          <w:szCs w:val="21"/>
        </w:rPr>
        <w:t xml:space="preserve">.3-2  </w:t>
      </w:r>
      <w:r>
        <w:rPr>
          <w:rFonts w:ascii="Times New Roman" w:hAnsi="宋体" w:eastAsia="宋体" w:cs="Times New Roman"/>
          <w:b/>
          <w:spacing w:val="4"/>
          <w:szCs w:val="21"/>
        </w:rPr>
        <w:t>拟建公路营运中期噪声预测值超标敏感点及降噪措施</w:t>
      </w:r>
      <w:r>
        <w:rPr>
          <w:rFonts w:hint="eastAsia" w:ascii="Times New Roman" w:hAnsi="宋体" w:eastAsia="宋体" w:cs="Times New Roman"/>
          <w:b/>
          <w:spacing w:val="4"/>
          <w:szCs w:val="21"/>
        </w:rPr>
        <w:t>论证一览</w:t>
      </w:r>
      <w:r>
        <w:rPr>
          <w:rFonts w:ascii="Times New Roman" w:hAnsi="宋体" w:eastAsia="宋体" w:cs="Times New Roman"/>
          <w:b/>
          <w:spacing w:val="4"/>
          <w:szCs w:val="21"/>
        </w:rPr>
        <w:t>表</w:t>
      </w:r>
    </w:p>
    <w:tbl>
      <w:tblPr>
        <w:tblStyle w:val="22"/>
        <w:tblW w:w="5000" w:type="pct"/>
        <w:jc w:val="center"/>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fixed"/>
        <w:tblCellMar>
          <w:top w:w="0" w:type="dxa"/>
          <w:left w:w="28" w:type="dxa"/>
          <w:bottom w:w="0" w:type="dxa"/>
          <w:right w:w="28" w:type="dxa"/>
        </w:tblCellMar>
      </w:tblPr>
      <w:tblGrid>
        <w:gridCol w:w="736"/>
        <w:gridCol w:w="1137"/>
        <w:gridCol w:w="1417"/>
        <w:gridCol w:w="565"/>
        <w:gridCol w:w="856"/>
        <w:gridCol w:w="995"/>
        <w:gridCol w:w="995"/>
        <w:gridCol w:w="778"/>
        <w:gridCol w:w="778"/>
        <w:gridCol w:w="9131"/>
        <w:gridCol w:w="991"/>
        <w:gridCol w:w="1065"/>
        <w:gridCol w:w="1028"/>
      </w:tblGrid>
      <w:tr w14:paraId="1FE739AA">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tblHeader/>
          <w:jc w:val="center"/>
        </w:trPr>
        <w:tc>
          <w:tcPr>
            <w:tcW w:w="180" w:type="pct"/>
            <w:vMerge w:val="restart"/>
            <w:noWrap/>
            <w:vAlign w:val="center"/>
          </w:tcPr>
          <w:p w14:paraId="6CFF9FEE">
            <w:pPr>
              <w:spacing w:line="240" w:lineRule="exact"/>
              <w:jc w:val="center"/>
              <w:rPr>
                <w:rFonts w:ascii="Times New Roman" w:hAnsi="Times New Roman" w:eastAsia="宋体" w:cs="Times New Roman"/>
                <w:b/>
              </w:rPr>
            </w:pPr>
            <w:r>
              <w:rPr>
                <w:rFonts w:ascii="Times New Roman" w:hAnsi="Times New Roman" w:eastAsia="宋体" w:cs="Times New Roman"/>
                <w:b/>
              </w:rPr>
              <w:t>序号</w:t>
            </w:r>
          </w:p>
        </w:tc>
        <w:tc>
          <w:tcPr>
            <w:tcW w:w="278" w:type="pct"/>
            <w:vMerge w:val="restart"/>
            <w:vAlign w:val="center"/>
          </w:tcPr>
          <w:p w14:paraId="34D2B1A8">
            <w:pPr>
              <w:widowControl/>
              <w:adjustRightInd w:val="0"/>
              <w:snapToGrid w:val="0"/>
              <w:spacing w:line="240" w:lineRule="exact"/>
              <w:jc w:val="center"/>
              <w:rPr>
                <w:rFonts w:ascii="Times New Roman" w:hAnsi="Times New Roman" w:eastAsia="宋体" w:cs="Times New Roman"/>
                <w:b/>
                <w:snapToGrid w:val="0"/>
                <w:kern w:val="0"/>
                <w:szCs w:val="21"/>
              </w:rPr>
            </w:pPr>
            <w:r>
              <w:rPr>
                <w:rFonts w:ascii="Times New Roman" w:hAnsi="宋体" w:eastAsia="宋体" w:cs="Times New Roman"/>
                <w:b/>
                <w:snapToGrid w:val="0"/>
                <w:kern w:val="0"/>
                <w:szCs w:val="21"/>
              </w:rPr>
              <w:t>桩号</w:t>
            </w:r>
          </w:p>
        </w:tc>
        <w:tc>
          <w:tcPr>
            <w:tcW w:w="346" w:type="pct"/>
            <w:vMerge w:val="restart"/>
            <w:vAlign w:val="center"/>
          </w:tcPr>
          <w:p w14:paraId="30F7649B">
            <w:pPr>
              <w:widowControl/>
              <w:adjustRightInd w:val="0"/>
              <w:snapToGrid w:val="0"/>
              <w:spacing w:line="240" w:lineRule="exact"/>
              <w:jc w:val="center"/>
              <w:rPr>
                <w:rFonts w:ascii="Times New Roman" w:hAnsi="Times New Roman" w:eastAsia="宋体" w:cs="Times New Roman"/>
                <w:b/>
                <w:snapToGrid w:val="0"/>
                <w:kern w:val="0"/>
                <w:szCs w:val="21"/>
              </w:rPr>
            </w:pPr>
            <w:r>
              <w:rPr>
                <w:rFonts w:ascii="Times New Roman" w:hAnsi="宋体" w:eastAsia="宋体" w:cs="Times New Roman"/>
                <w:b/>
                <w:snapToGrid w:val="0"/>
                <w:kern w:val="0"/>
                <w:szCs w:val="21"/>
              </w:rPr>
              <w:t>敏感点名称</w:t>
            </w:r>
          </w:p>
        </w:tc>
        <w:tc>
          <w:tcPr>
            <w:tcW w:w="347" w:type="pct"/>
            <w:gridSpan w:val="2"/>
            <w:vAlign w:val="center"/>
          </w:tcPr>
          <w:p w14:paraId="6744DFAC">
            <w:pPr>
              <w:adjustRightInd w:val="0"/>
              <w:snapToGrid w:val="0"/>
              <w:spacing w:line="240" w:lineRule="exact"/>
              <w:jc w:val="center"/>
              <w:rPr>
                <w:rFonts w:ascii="Times New Roman" w:hAnsi="Times New Roman" w:eastAsia="宋体" w:cs="Times New Roman"/>
                <w:b/>
                <w:snapToGrid w:val="0"/>
                <w:kern w:val="0"/>
                <w:szCs w:val="21"/>
              </w:rPr>
            </w:pPr>
            <w:r>
              <w:rPr>
                <w:rFonts w:ascii="Times New Roman" w:hAnsi="宋体" w:eastAsia="宋体" w:cs="Times New Roman"/>
                <w:b/>
                <w:snapToGrid w:val="0"/>
                <w:kern w:val="0"/>
                <w:szCs w:val="21"/>
              </w:rPr>
              <w:t>所在位置</w:t>
            </w:r>
          </w:p>
        </w:tc>
        <w:tc>
          <w:tcPr>
            <w:tcW w:w="486" w:type="pct"/>
            <w:gridSpan w:val="2"/>
            <w:vAlign w:val="center"/>
          </w:tcPr>
          <w:p w14:paraId="2ABEBA14">
            <w:pPr>
              <w:widowControl/>
              <w:spacing w:line="240" w:lineRule="exact"/>
              <w:jc w:val="center"/>
              <w:rPr>
                <w:rFonts w:ascii="Times New Roman" w:hAnsi="Times New Roman" w:eastAsia="宋体" w:cs="Times New Roman"/>
                <w:b/>
                <w:bCs/>
                <w:szCs w:val="21"/>
              </w:rPr>
            </w:pPr>
            <w:r>
              <w:rPr>
                <w:rFonts w:ascii="Times New Roman" w:hAnsi="Times New Roman" w:eastAsia="宋体" w:cs="Times New Roman"/>
                <w:b/>
                <w:bCs/>
              </w:rPr>
              <w:t>营运中期昼间/夜间最大超标量（dB）</w:t>
            </w:r>
          </w:p>
        </w:tc>
        <w:tc>
          <w:tcPr>
            <w:tcW w:w="380" w:type="pct"/>
            <w:gridSpan w:val="2"/>
            <w:shd w:val="clear" w:color="auto" w:fill="auto"/>
            <w:vAlign w:val="center"/>
          </w:tcPr>
          <w:p w14:paraId="3F2EA70C">
            <w:pPr>
              <w:widowControl/>
              <w:adjustRightInd w:val="0"/>
              <w:snapToGrid w:val="0"/>
              <w:spacing w:line="240" w:lineRule="exact"/>
              <w:jc w:val="center"/>
              <w:rPr>
                <w:rFonts w:ascii="Times New Roman" w:hAnsi="Times New Roman" w:eastAsia="宋体" w:cs="Times New Roman"/>
                <w:b/>
                <w:snapToGrid w:val="0"/>
                <w:kern w:val="0"/>
                <w:szCs w:val="21"/>
              </w:rPr>
            </w:pPr>
            <w:r>
              <w:rPr>
                <w:rFonts w:ascii="Times New Roman" w:hAnsi="宋体" w:eastAsia="宋体" w:cs="Times New Roman"/>
                <w:b/>
                <w:snapToGrid w:val="0"/>
                <w:kern w:val="0"/>
                <w:szCs w:val="21"/>
              </w:rPr>
              <w:t>受影响户</w:t>
            </w:r>
            <w:r>
              <w:rPr>
                <w:rFonts w:ascii="Times New Roman" w:hAnsi="Times New Roman" w:eastAsia="宋体" w:cs="Times New Roman"/>
                <w:b/>
                <w:snapToGrid w:val="0"/>
                <w:kern w:val="0"/>
                <w:szCs w:val="21"/>
              </w:rPr>
              <w:t>(</w:t>
            </w:r>
            <w:r>
              <w:rPr>
                <w:rFonts w:ascii="Times New Roman" w:hAnsi="宋体" w:eastAsia="宋体" w:cs="Times New Roman"/>
                <w:b/>
                <w:snapToGrid w:val="0"/>
                <w:kern w:val="0"/>
                <w:szCs w:val="21"/>
              </w:rPr>
              <w:t>户</w:t>
            </w:r>
            <w:r>
              <w:rPr>
                <w:rFonts w:ascii="Times New Roman" w:hAnsi="Times New Roman" w:eastAsia="宋体" w:cs="Times New Roman"/>
                <w:b/>
                <w:snapToGrid w:val="0"/>
                <w:kern w:val="0"/>
                <w:szCs w:val="21"/>
              </w:rPr>
              <w:t>)</w:t>
            </w:r>
          </w:p>
        </w:tc>
        <w:tc>
          <w:tcPr>
            <w:tcW w:w="2230" w:type="pct"/>
            <w:vMerge w:val="restart"/>
            <w:noWrap/>
            <w:vAlign w:val="center"/>
          </w:tcPr>
          <w:p w14:paraId="4E77DD87">
            <w:pPr>
              <w:spacing w:line="240" w:lineRule="exact"/>
              <w:jc w:val="center"/>
              <w:rPr>
                <w:rFonts w:ascii="Times New Roman" w:hAnsi="Times New Roman" w:eastAsia="宋体" w:cs="Times New Roman"/>
                <w:b/>
                <w:szCs w:val="21"/>
              </w:rPr>
            </w:pPr>
            <w:r>
              <w:rPr>
                <w:rFonts w:ascii="Times New Roman" w:hAnsi="Times New Roman" w:eastAsia="宋体" w:cs="Times New Roman"/>
                <w:b/>
                <w:szCs w:val="21"/>
              </w:rPr>
              <w:t>降噪措施方案论证比选</w:t>
            </w:r>
          </w:p>
        </w:tc>
        <w:tc>
          <w:tcPr>
            <w:tcW w:w="242" w:type="pct"/>
            <w:vMerge w:val="restart"/>
            <w:vAlign w:val="center"/>
          </w:tcPr>
          <w:p w14:paraId="54C0F1F2">
            <w:pPr>
              <w:widowControl/>
              <w:spacing w:line="240" w:lineRule="exact"/>
              <w:jc w:val="center"/>
              <w:rPr>
                <w:rFonts w:ascii="Times New Roman" w:hAnsi="Times New Roman" w:eastAsia="宋体" w:cs="Times New Roman"/>
                <w:b/>
                <w:szCs w:val="21"/>
              </w:rPr>
            </w:pPr>
            <w:r>
              <w:rPr>
                <w:rFonts w:ascii="Times New Roman" w:hAnsi="Times New Roman" w:eastAsia="宋体" w:cs="Times New Roman"/>
                <w:b/>
                <w:szCs w:val="21"/>
              </w:rPr>
              <w:t>推荐措施</w:t>
            </w:r>
          </w:p>
        </w:tc>
        <w:tc>
          <w:tcPr>
            <w:tcW w:w="260" w:type="pct"/>
            <w:vMerge w:val="restart"/>
            <w:vAlign w:val="center"/>
          </w:tcPr>
          <w:p w14:paraId="22F580EA">
            <w:pPr>
              <w:widowControl/>
              <w:spacing w:line="240" w:lineRule="exact"/>
              <w:jc w:val="center"/>
              <w:rPr>
                <w:rFonts w:ascii="Times New Roman" w:hAnsi="Times New Roman" w:eastAsia="宋体" w:cs="Times New Roman"/>
                <w:b/>
                <w:szCs w:val="21"/>
              </w:rPr>
            </w:pPr>
            <w:r>
              <w:rPr>
                <w:rFonts w:ascii="Times New Roman" w:hAnsi="Times New Roman" w:eastAsia="宋体" w:cs="Times New Roman"/>
                <w:b/>
                <w:szCs w:val="21"/>
              </w:rPr>
              <w:t>降噪效果</w:t>
            </w:r>
          </w:p>
        </w:tc>
        <w:tc>
          <w:tcPr>
            <w:tcW w:w="251" w:type="pct"/>
            <w:vMerge w:val="restart"/>
            <w:vAlign w:val="center"/>
          </w:tcPr>
          <w:p w14:paraId="1548AB17">
            <w:pPr>
              <w:widowControl/>
              <w:spacing w:line="240" w:lineRule="exact"/>
              <w:jc w:val="center"/>
              <w:rPr>
                <w:rFonts w:ascii="Times New Roman" w:hAnsi="Times New Roman" w:eastAsia="宋体" w:cs="Times New Roman"/>
                <w:b/>
                <w:szCs w:val="21"/>
              </w:rPr>
            </w:pPr>
            <w:r>
              <w:rPr>
                <w:rFonts w:ascii="Times New Roman" w:hAnsi="Times New Roman" w:eastAsia="宋体" w:cs="Times New Roman"/>
                <w:b/>
                <w:szCs w:val="21"/>
              </w:rPr>
              <w:t>投资估算(万元)</w:t>
            </w:r>
          </w:p>
        </w:tc>
      </w:tr>
      <w:tr w14:paraId="1BA2922D">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trHeight w:val="382" w:hRule="atLeast"/>
          <w:tblHeader/>
          <w:jc w:val="center"/>
        </w:trPr>
        <w:tc>
          <w:tcPr>
            <w:tcW w:w="180" w:type="pct"/>
            <w:vMerge w:val="continue"/>
            <w:noWrap/>
            <w:vAlign w:val="center"/>
          </w:tcPr>
          <w:p w14:paraId="7002333F">
            <w:pPr>
              <w:spacing w:line="240" w:lineRule="exact"/>
              <w:jc w:val="center"/>
              <w:rPr>
                <w:rFonts w:ascii="Times New Roman" w:hAnsi="Times New Roman" w:eastAsia="宋体" w:cs="Times New Roman"/>
              </w:rPr>
            </w:pPr>
          </w:p>
        </w:tc>
        <w:tc>
          <w:tcPr>
            <w:tcW w:w="278" w:type="pct"/>
            <w:vMerge w:val="continue"/>
            <w:vAlign w:val="center"/>
          </w:tcPr>
          <w:p w14:paraId="3ABD8FCF">
            <w:pPr>
              <w:widowControl/>
              <w:adjustRightInd w:val="0"/>
              <w:snapToGrid w:val="0"/>
              <w:spacing w:line="240" w:lineRule="exact"/>
              <w:jc w:val="center"/>
              <w:rPr>
                <w:rFonts w:ascii="Times New Roman" w:hAnsi="Times New Roman" w:eastAsia="宋体" w:cs="Times New Roman"/>
                <w:b/>
                <w:snapToGrid w:val="0"/>
                <w:kern w:val="0"/>
                <w:szCs w:val="21"/>
              </w:rPr>
            </w:pPr>
          </w:p>
        </w:tc>
        <w:tc>
          <w:tcPr>
            <w:tcW w:w="346" w:type="pct"/>
            <w:vMerge w:val="continue"/>
            <w:vAlign w:val="center"/>
          </w:tcPr>
          <w:p w14:paraId="2E9B6FE9">
            <w:pPr>
              <w:widowControl/>
              <w:adjustRightInd w:val="0"/>
              <w:snapToGrid w:val="0"/>
              <w:spacing w:line="240" w:lineRule="exact"/>
              <w:jc w:val="center"/>
              <w:rPr>
                <w:rFonts w:ascii="Times New Roman" w:hAnsi="Times New Roman" w:eastAsia="宋体" w:cs="Times New Roman"/>
                <w:b/>
                <w:snapToGrid w:val="0"/>
                <w:kern w:val="0"/>
                <w:szCs w:val="21"/>
              </w:rPr>
            </w:pPr>
          </w:p>
        </w:tc>
        <w:tc>
          <w:tcPr>
            <w:tcW w:w="138" w:type="pct"/>
            <w:vAlign w:val="center"/>
          </w:tcPr>
          <w:p w14:paraId="0211C026">
            <w:pPr>
              <w:adjustRightInd w:val="0"/>
              <w:snapToGrid w:val="0"/>
              <w:spacing w:line="240" w:lineRule="exact"/>
              <w:jc w:val="center"/>
              <w:rPr>
                <w:rFonts w:ascii="Times New Roman" w:hAnsi="Times New Roman" w:eastAsia="宋体" w:cs="Times New Roman"/>
                <w:b/>
                <w:snapToGrid w:val="0"/>
                <w:kern w:val="0"/>
                <w:szCs w:val="21"/>
              </w:rPr>
            </w:pPr>
            <w:r>
              <w:rPr>
                <w:rFonts w:ascii="Times New Roman" w:hAnsi="宋体" w:eastAsia="宋体" w:cs="Times New Roman"/>
                <w:b/>
                <w:snapToGrid w:val="0"/>
                <w:kern w:val="0"/>
                <w:szCs w:val="21"/>
              </w:rPr>
              <w:t>方位</w:t>
            </w:r>
          </w:p>
        </w:tc>
        <w:tc>
          <w:tcPr>
            <w:tcW w:w="209" w:type="pct"/>
            <w:vAlign w:val="center"/>
          </w:tcPr>
          <w:p w14:paraId="151B7CBF">
            <w:pPr>
              <w:adjustRightInd w:val="0"/>
              <w:snapToGrid w:val="0"/>
              <w:spacing w:line="240" w:lineRule="exact"/>
              <w:jc w:val="center"/>
              <w:rPr>
                <w:rFonts w:ascii="Times New Roman" w:hAnsi="Times New Roman" w:eastAsia="宋体" w:cs="Times New Roman"/>
                <w:b/>
                <w:snapToGrid w:val="0"/>
                <w:kern w:val="0"/>
                <w:szCs w:val="21"/>
              </w:rPr>
            </w:pPr>
            <w:r>
              <w:rPr>
                <w:rFonts w:ascii="Times New Roman" w:hAnsi="宋体" w:eastAsia="宋体" w:cs="Times New Roman"/>
                <w:b/>
                <w:snapToGrid w:val="0"/>
                <w:kern w:val="0"/>
                <w:szCs w:val="21"/>
              </w:rPr>
              <w:t>距路中心线</w:t>
            </w:r>
            <w:r>
              <w:rPr>
                <w:rFonts w:ascii="Times New Roman" w:hAnsi="Times New Roman" w:eastAsia="宋体" w:cs="Times New Roman"/>
                <w:b/>
                <w:snapToGrid w:val="0"/>
                <w:kern w:val="0"/>
                <w:szCs w:val="21"/>
              </w:rPr>
              <w:t>(m)</w:t>
            </w:r>
          </w:p>
        </w:tc>
        <w:tc>
          <w:tcPr>
            <w:tcW w:w="243" w:type="pct"/>
            <w:vAlign w:val="center"/>
          </w:tcPr>
          <w:p w14:paraId="0A81AFB5">
            <w:pPr>
              <w:widowControl/>
              <w:jc w:val="center"/>
              <w:rPr>
                <w:rFonts w:ascii="Times New Roman" w:hAnsi="Times New Roman" w:eastAsia="宋体" w:cs="Times New Roman"/>
                <w:b/>
                <w:kern w:val="0"/>
              </w:rPr>
            </w:pPr>
            <w:r>
              <w:rPr>
                <w:rFonts w:ascii="Times New Roman" w:hAnsi="Times New Roman" w:eastAsia="宋体" w:cs="Times New Roman"/>
                <w:b/>
                <w:bCs/>
              </w:rPr>
              <w:t>4a类</w:t>
            </w:r>
          </w:p>
        </w:tc>
        <w:tc>
          <w:tcPr>
            <w:tcW w:w="243" w:type="pct"/>
            <w:vAlign w:val="center"/>
          </w:tcPr>
          <w:p w14:paraId="2B7D0499">
            <w:pPr>
              <w:widowControl/>
              <w:jc w:val="center"/>
              <w:rPr>
                <w:rFonts w:ascii="Times New Roman" w:hAnsi="Times New Roman" w:eastAsia="宋体" w:cs="Times New Roman"/>
                <w:b/>
                <w:kern w:val="0"/>
              </w:rPr>
            </w:pPr>
            <w:r>
              <w:rPr>
                <w:rFonts w:ascii="Times New Roman" w:hAnsi="Times New Roman" w:eastAsia="宋体" w:cs="Times New Roman"/>
                <w:b/>
                <w:bCs/>
              </w:rPr>
              <w:t>2类</w:t>
            </w:r>
          </w:p>
        </w:tc>
        <w:tc>
          <w:tcPr>
            <w:tcW w:w="190" w:type="pct"/>
            <w:shd w:val="clear" w:color="auto" w:fill="auto"/>
            <w:vAlign w:val="center"/>
          </w:tcPr>
          <w:p w14:paraId="4A63302F">
            <w:pPr>
              <w:adjustRightInd w:val="0"/>
              <w:snapToGrid w:val="0"/>
              <w:spacing w:line="240" w:lineRule="exact"/>
              <w:jc w:val="center"/>
              <w:rPr>
                <w:rFonts w:ascii="Times New Roman" w:hAnsi="Times New Roman" w:eastAsia="宋体" w:cs="Times New Roman"/>
                <w:b/>
                <w:snapToGrid w:val="0"/>
                <w:kern w:val="0"/>
                <w:szCs w:val="21"/>
              </w:rPr>
            </w:pPr>
            <w:r>
              <w:rPr>
                <w:rFonts w:ascii="Times New Roman" w:hAnsi="Times New Roman" w:eastAsia="宋体" w:cs="Times New Roman"/>
                <w:b/>
                <w:snapToGrid w:val="0"/>
                <w:kern w:val="0"/>
                <w:szCs w:val="21"/>
              </w:rPr>
              <w:t>4a</w:t>
            </w:r>
            <w:r>
              <w:rPr>
                <w:rFonts w:ascii="Times New Roman" w:hAnsi="宋体" w:eastAsia="宋体" w:cs="Times New Roman"/>
                <w:b/>
                <w:snapToGrid w:val="0"/>
                <w:kern w:val="0"/>
                <w:szCs w:val="21"/>
              </w:rPr>
              <w:t>类</w:t>
            </w:r>
          </w:p>
        </w:tc>
        <w:tc>
          <w:tcPr>
            <w:tcW w:w="190" w:type="pct"/>
            <w:shd w:val="clear" w:color="auto" w:fill="auto"/>
            <w:vAlign w:val="center"/>
          </w:tcPr>
          <w:p w14:paraId="57C91578">
            <w:pPr>
              <w:adjustRightInd w:val="0"/>
              <w:snapToGrid w:val="0"/>
              <w:spacing w:line="240" w:lineRule="exact"/>
              <w:jc w:val="center"/>
              <w:rPr>
                <w:rFonts w:ascii="Times New Roman" w:hAnsi="Times New Roman" w:eastAsia="宋体" w:cs="Times New Roman"/>
                <w:b/>
                <w:snapToGrid w:val="0"/>
                <w:kern w:val="0"/>
                <w:szCs w:val="21"/>
              </w:rPr>
            </w:pPr>
            <w:r>
              <w:rPr>
                <w:rFonts w:ascii="Times New Roman" w:hAnsi="Times New Roman" w:eastAsia="宋体" w:cs="Times New Roman"/>
                <w:b/>
                <w:snapToGrid w:val="0"/>
                <w:kern w:val="0"/>
                <w:szCs w:val="21"/>
              </w:rPr>
              <w:t>2</w:t>
            </w:r>
            <w:r>
              <w:rPr>
                <w:rFonts w:ascii="Times New Roman" w:hAnsi="宋体" w:eastAsia="宋体" w:cs="Times New Roman"/>
                <w:b/>
                <w:snapToGrid w:val="0"/>
                <w:kern w:val="0"/>
                <w:szCs w:val="21"/>
              </w:rPr>
              <w:t>类</w:t>
            </w:r>
          </w:p>
        </w:tc>
        <w:tc>
          <w:tcPr>
            <w:tcW w:w="2230" w:type="pct"/>
            <w:vMerge w:val="continue"/>
            <w:noWrap/>
            <w:vAlign w:val="center"/>
          </w:tcPr>
          <w:p w14:paraId="2F2ABCBB">
            <w:pPr>
              <w:widowControl/>
              <w:adjustRightInd w:val="0"/>
              <w:snapToGrid w:val="0"/>
              <w:spacing w:line="240" w:lineRule="exact"/>
              <w:jc w:val="center"/>
              <w:rPr>
                <w:rFonts w:ascii="Times New Roman" w:hAnsi="Times New Roman" w:eastAsia="宋体" w:cs="Times New Roman"/>
                <w:b/>
                <w:snapToGrid w:val="0"/>
                <w:kern w:val="0"/>
                <w:szCs w:val="21"/>
              </w:rPr>
            </w:pPr>
          </w:p>
        </w:tc>
        <w:tc>
          <w:tcPr>
            <w:tcW w:w="242" w:type="pct"/>
            <w:vMerge w:val="continue"/>
          </w:tcPr>
          <w:p w14:paraId="67FFA399">
            <w:pPr>
              <w:widowControl/>
              <w:adjustRightInd w:val="0"/>
              <w:snapToGrid w:val="0"/>
              <w:spacing w:line="240" w:lineRule="exact"/>
              <w:jc w:val="center"/>
              <w:rPr>
                <w:rFonts w:ascii="Times New Roman" w:hAnsi="Times New Roman" w:eastAsia="宋体" w:cs="Times New Roman"/>
                <w:b/>
                <w:snapToGrid w:val="0"/>
                <w:kern w:val="0"/>
                <w:szCs w:val="21"/>
              </w:rPr>
            </w:pPr>
          </w:p>
        </w:tc>
        <w:tc>
          <w:tcPr>
            <w:tcW w:w="260" w:type="pct"/>
            <w:vMerge w:val="continue"/>
          </w:tcPr>
          <w:p w14:paraId="713FC04C">
            <w:pPr>
              <w:widowControl/>
              <w:adjustRightInd w:val="0"/>
              <w:snapToGrid w:val="0"/>
              <w:spacing w:line="240" w:lineRule="exact"/>
              <w:jc w:val="center"/>
              <w:rPr>
                <w:rFonts w:ascii="Times New Roman" w:hAnsi="Times New Roman" w:eastAsia="宋体" w:cs="Times New Roman"/>
                <w:b/>
                <w:snapToGrid w:val="0"/>
                <w:kern w:val="0"/>
                <w:szCs w:val="21"/>
              </w:rPr>
            </w:pPr>
          </w:p>
        </w:tc>
        <w:tc>
          <w:tcPr>
            <w:tcW w:w="251" w:type="pct"/>
            <w:vMerge w:val="continue"/>
          </w:tcPr>
          <w:p w14:paraId="726818F0">
            <w:pPr>
              <w:widowControl/>
              <w:adjustRightInd w:val="0"/>
              <w:snapToGrid w:val="0"/>
              <w:spacing w:line="240" w:lineRule="exact"/>
              <w:jc w:val="center"/>
              <w:rPr>
                <w:rFonts w:ascii="Times New Roman" w:hAnsi="Times New Roman" w:eastAsia="宋体" w:cs="Times New Roman"/>
                <w:b/>
                <w:snapToGrid w:val="0"/>
                <w:kern w:val="0"/>
                <w:szCs w:val="21"/>
              </w:rPr>
            </w:pPr>
          </w:p>
        </w:tc>
      </w:tr>
      <w:tr w14:paraId="62AD55ED">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PrEx>
        <w:trPr>
          <w:trHeight w:val="677" w:hRule="atLeast"/>
          <w:tblHeader/>
          <w:jc w:val="center"/>
        </w:trPr>
        <w:tc>
          <w:tcPr>
            <w:tcW w:w="180" w:type="pct"/>
            <w:vMerge w:val="restart"/>
            <w:noWrap/>
            <w:vAlign w:val="center"/>
          </w:tcPr>
          <w:p w14:paraId="73177394">
            <w:pPr>
              <w:adjustRightInd w:val="0"/>
              <w:snapToGrid w:val="0"/>
              <w:spacing w:line="240" w:lineRule="exact"/>
              <w:jc w:val="center"/>
              <w:rPr>
                <w:rFonts w:ascii="Times New Roman" w:hAnsi="Times New Roman" w:eastAsia="宋体" w:cs="Times New Roman"/>
              </w:rPr>
            </w:pPr>
            <w:r>
              <w:rPr>
                <w:rFonts w:hint="eastAsia" w:ascii="Times New Roman" w:hAnsi="Times New Roman" w:eastAsia="宋体" w:cs="Times New Roman"/>
              </w:rPr>
              <w:t>20</w:t>
            </w:r>
          </w:p>
        </w:tc>
        <w:tc>
          <w:tcPr>
            <w:tcW w:w="278" w:type="pct"/>
            <w:vAlign w:val="center"/>
          </w:tcPr>
          <w:p w14:paraId="2B2AF018">
            <w:pPr>
              <w:widowControl/>
              <w:adjustRightInd w:val="0"/>
              <w:snapToGrid w:val="0"/>
              <w:spacing w:line="240" w:lineRule="exact"/>
              <w:jc w:val="center"/>
              <w:rPr>
                <w:rFonts w:ascii="Times New Roman" w:hAnsi="Times New Roman" w:eastAsia="宋体" w:cs="Times New Roman"/>
              </w:rPr>
            </w:pPr>
            <w:r>
              <w:rPr>
                <w:rFonts w:ascii="Times New Roman" w:hAnsi="Times New Roman" w:eastAsia="宋体" w:cs="Times New Roman"/>
              </w:rPr>
              <w:t>K</w:t>
            </w:r>
            <w:r>
              <w:rPr>
                <w:rFonts w:hint="eastAsia" w:ascii="Times New Roman" w:hAnsi="Times New Roman" w:eastAsia="宋体" w:cs="Times New Roman"/>
              </w:rPr>
              <w:t>44</w:t>
            </w:r>
            <w:r>
              <w:rPr>
                <w:rFonts w:ascii="Times New Roman" w:hAnsi="Times New Roman" w:eastAsia="宋体" w:cs="Times New Roman"/>
              </w:rPr>
              <w:t>+</w:t>
            </w:r>
            <w:r>
              <w:rPr>
                <w:rFonts w:hint="eastAsia" w:ascii="Times New Roman" w:hAnsi="Times New Roman" w:eastAsia="宋体" w:cs="Times New Roman"/>
              </w:rPr>
              <w:t>750</w:t>
            </w:r>
            <w:r>
              <w:rPr>
                <w:rFonts w:ascii="Times New Roman" w:hAnsi="Times New Roman" w:eastAsia="宋体" w:cs="Times New Roman"/>
              </w:rPr>
              <w:t>～K</w:t>
            </w:r>
            <w:r>
              <w:rPr>
                <w:rFonts w:hint="eastAsia" w:ascii="Times New Roman" w:hAnsi="Times New Roman" w:eastAsia="宋体" w:cs="Times New Roman"/>
              </w:rPr>
              <w:t>45</w:t>
            </w:r>
            <w:r>
              <w:rPr>
                <w:rFonts w:ascii="Times New Roman" w:hAnsi="Times New Roman" w:eastAsia="宋体" w:cs="Times New Roman"/>
              </w:rPr>
              <w:t>+</w:t>
            </w:r>
            <w:r>
              <w:rPr>
                <w:rFonts w:hint="eastAsia" w:ascii="Times New Roman" w:hAnsi="Times New Roman" w:eastAsia="宋体" w:cs="Times New Roman"/>
              </w:rPr>
              <w:t>05</w:t>
            </w:r>
            <w:r>
              <w:rPr>
                <w:rFonts w:ascii="Times New Roman" w:hAnsi="Times New Roman" w:eastAsia="宋体" w:cs="Times New Roman"/>
              </w:rPr>
              <w:t>0</w:t>
            </w:r>
          </w:p>
        </w:tc>
        <w:tc>
          <w:tcPr>
            <w:tcW w:w="346" w:type="pct"/>
            <w:vMerge w:val="restart"/>
            <w:vAlign w:val="center"/>
          </w:tcPr>
          <w:p w14:paraId="375E1F24">
            <w:pPr>
              <w:widowControl/>
              <w:adjustRightInd w:val="0"/>
              <w:snapToGrid w:val="0"/>
              <w:spacing w:line="240" w:lineRule="exact"/>
              <w:jc w:val="center"/>
              <w:rPr>
                <w:rFonts w:ascii="Times New Roman" w:hAnsi="Times New Roman" w:eastAsia="宋体" w:cs="Times New Roman"/>
              </w:rPr>
            </w:pPr>
            <w:r>
              <w:rPr>
                <w:rFonts w:hint="eastAsia" w:ascii="Times New Roman" w:hAnsi="Times New Roman" w:eastAsia="宋体" w:cs="Times New Roman"/>
              </w:rPr>
              <w:t>丘如克</w:t>
            </w:r>
          </w:p>
        </w:tc>
        <w:tc>
          <w:tcPr>
            <w:tcW w:w="138" w:type="pct"/>
            <w:vAlign w:val="center"/>
          </w:tcPr>
          <w:p w14:paraId="38E60E82">
            <w:pPr>
              <w:widowControl/>
              <w:adjustRightInd w:val="0"/>
              <w:snapToGrid w:val="0"/>
              <w:spacing w:line="240" w:lineRule="exact"/>
              <w:jc w:val="center"/>
              <w:rPr>
                <w:rFonts w:ascii="Times New Roman" w:hAnsi="Times New Roman" w:eastAsia="宋体" w:cs="Times New Roman"/>
              </w:rPr>
            </w:pPr>
            <w:r>
              <w:rPr>
                <w:rFonts w:ascii="Times New Roman" w:hAnsi="Times New Roman" w:eastAsia="宋体" w:cs="Times New Roman"/>
              </w:rPr>
              <w:t>路右</w:t>
            </w:r>
          </w:p>
        </w:tc>
        <w:tc>
          <w:tcPr>
            <w:tcW w:w="209" w:type="pct"/>
            <w:vMerge w:val="restart"/>
            <w:vAlign w:val="center"/>
          </w:tcPr>
          <w:p w14:paraId="189C54DB">
            <w:pPr>
              <w:widowControl/>
              <w:adjustRightInd w:val="0"/>
              <w:snapToGrid w:val="0"/>
              <w:spacing w:line="240" w:lineRule="exact"/>
              <w:jc w:val="center"/>
              <w:rPr>
                <w:rFonts w:ascii="Times New Roman" w:hAnsi="Times New Roman" w:eastAsia="宋体" w:cs="Times New Roman"/>
              </w:rPr>
            </w:pPr>
            <w:r>
              <w:rPr>
                <w:rFonts w:hint="eastAsia" w:ascii="Times New Roman" w:hAnsi="Times New Roman" w:eastAsia="宋体" w:cs="Times New Roman"/>
              </w:rPr>
              <w:t>22</w:t>
            </w:r>
          </w:p>
        </w:tc>
        <w:tc>
          <w:tcPr>
            <w:tcW w:w="243" w:type="pct"/>
            <w:vMerge w:val="restart"/>
            <w:vAlign w:val="center"/>
          </w:tcPr>
          <w:p w14:paraId="73758031">
            <w:pPr>
              <w:adjustRightInd w:val="0"/>
              <w:snapToGrid w:val="0"/>
              <w:spacing w:line="240" w:lineRule="exact"/>
              <w:jc w:val="center"/>
              <w:rPr>
                <w:rFonts w:ascii="Times New Roman" w:hAnsi="Times New Roman" w:eastAsia="宋体" w:cs="Times New Roman"/>
              </w:rPr>
            </w:pPr>
            <w:r>
              <w:rPr>
                <w:rFonts w:hint="eastAsia" w:ascii="Times New Roman" w:hAnsi="Times New Roman" w:eastAsia="宋体" w:cs="Times New Roman"/>
              </w:rPr>
              <w:t>-/3.0</w:t>
            </w:r>
          </w:p>
        </w:tc>
        <w:tc>
          <w:tcPr>
            <w:tcW w:w="243" w:type="pct"/>
            <w:vMerge w:val="restart"/>
            <w:vAlign w:val="center"/>
          </w:tcPr>
          <w:p w14:paraId="1DB077FF">
            <w:pPr>
              <w:adjustRightInd w:val="0"/>
              <w:snapToGrid w:val="0"/>
              <w:spacing w:line="240" w:lineRule="exact"/>
              <w:jc w:val="center"/>
              <w:rPr>
                <w:rFonts w:ascii="Times New Roman" w:hAnsi="Times New Roman" w:eastAsia="宋体" w:cs="Times New Roman"/>
              </w:rPr>
            </w:pPr>
            <w:r>
              <w:rPr>
                <w:rFonts w:hint="eastAsia" w:ascii="Times New Roman" w:hAnsi="Times New Roman" w:eastAsia="宋体" w:cs="Times New Roman"/>
              </w:rPr>
              <w:t>-/3.0</w:t>
            </w:r>
          </w:p>
        </w:tc>
        <w:tc>
          <w:tcPr>
            <w:tcW w:w="190" w:type="pct"/>
            <w:vMerge w:val="restart"/>
            <w:shd w:val="clear" w:color="auto" w:fill="auto"/>
            <w:vAlign w:val="center"/>
          </w:tcPr>
          <w:p w14:paraId="0B5A9EE9">
            <w:pPr>
              <w:widowControl/>
              <w:adjustRightInd w:val="0"/>
              <w:snapToGrid w:val="0"/>
              <w:spacing w:line="240" w:lineRule="exact"/>
              <w:jc w:val="center"/>
              <w:rPr>
                <w:rFonts w:ascii="Times New Roman" w:hAnsi="Times New Roman" w:eastAsia="宋体" w:cs="Times New Roman"/>
              </w:rPr>
            </w:pPr>
            <w:r>
              <w:rPr>
                <w:rFonts w:hint="eastAsia" w:ascii="Times New Roman" w:hAnsi="Times New Roman" w:eastAsia="宋体" w:cs="Times New Roman"/>
              </w:rPr>
              <w:t>20</w:t>
            </w:r>
          </w:p>
        </w:tc>
        <w:tc>
          <w:tcPr>
            <w:tcW w:w="190" w:type="pct"/>
            <w:vMerge w:val="restart"/>
            <w:shd w:val="clear" w:color="auto" w:fill="auto"/>
            <w:vAlign w:val="center"/>
          </w:tcPr>
          <w:p w14:paraId="129A16E5">
            <w:pPr>
              <w:widowControl/>
              <w:adjustRightInd w:val="0"/>
              <w:snapToGrid w:val="0"/>
              <w:spacing w:line="240" w:lineRule="exact"/>
              <w:jc w:val="center"/>
              <w:rPr>
                <w:rFonts w:ascii="Times New Roman" w:hAnsi="Times New Roman" w:eastAsia="宋体" w:cs="Times New Roman"/>
              </w:rPr>
            </w:pPr>
            <w:r>
              <w:rPr>
                <w:rFonts w:hint="eastAsia" w:ascii="Times New Roman" w:hAnsi="Times New Roman" w:eastAsia="宋体" w:cs="Times New Roman"/>
              </w:rPr>
              <w:t>38</w:t>
            </w:r>
          </w:p>
        </w:tc>
        <w:tc>
          <w:tcPr>
            <w:tcW w:w="2230" w:type="pct"/>
            <w:vMerge w:val="restart"/>
            <w:noWrap/>
            <w:vAlign w:val="center"/>
          </w:tcPr>
          <w:p w14:paraId="4B5E1824">
            <w:pPr>
              <w:rPr>
                <w:rFonts w:ascii="Times New Roman" w:hAnsi="Times New Roman" w:eastAsia="宋体" w:cs="Times New Roman"/>
                <w:szCs w:val="21"/>
              </w:rPr>
            </w:pPr>
            <w:r>
              <w:rPr>
                <w:rFonts w:ascii="Times New Roman" w:hAnsi="Times New Roman" w:eastAsia="宋体" w:cs="Times New Roman"/>
                <w:szCs w:val="21"/>
              </w:rPr>
              <w:t>方案一：安装隔声窗，按每户1万元计，共</w:t>
            </w:r>
            <w:r>
              <w:rPr>
                <w:rFonts w:hint="eastAsia" w:ascii="Times New Roman" w:hAnsi="Times New Roman" w:eastAsia="宋体" w:cs="Times New Roman"/>
                <w:szCs w:val="21"/>
              </w:rPr>
              <w:t>58</w:t>
            </w:r>
            <w:r>
              <w:rPr>
                <w:rFonts w:ascii="Times New Roman" w:hAnsi="Times New Roman" w:eastAsia="宋体" w:cs="Times New Roman"/>
                <w:szCs w:val="21"/>
              </w:rPr>
              <w:t>户，投资</w:t>
            </w:r>
            <w:r>
              <w:rPr>
                <w:rFonts w:hint="eastAsia" w:ascii="Times New Roman" w:hAnsi="Times New Roman" w:eastAsia="宋体" w:cs="Times New Roman"/>
                <w:szCs w:val="21"/>
              </w:rPr>
              <w:t>58</w:t>
            </w:r>
            <w:r>
              <w:rPr>
                <w:rFonts w:ascii="Times New Roman" w:hAnsi="Times New Roman" w:eastAsia="宋体" w:cs="Times New Roman"/>
                <w:szCs w:val="21"/>
              </w:rPr>
              <w:t>万元，隔声量25dB。</w:t>
            </w:r>
          </w:p>
          <w:p w14:paraId="31126C37">
            <w:pPr>
              <w:adjustRightInd w:val="0"/>
              <w:snapToGrid w:val="0"/>
              <w:spacing w:line="240" w:lineRule="exact"/>
              <w:rPr>
                <w:rFonts w:ascii="Times New Roman" w:hAnsi="Times New Roman" w:eastAsia="宋体" w:cs="Times New Roman"/>
              </w:rPr>
            </w:pPr>
            <w:r>
              <w:rPr>
                <w:rFonts w:ascii="Times New Roman" w:hAnsi="Times New Roman" w:eastAsia="宋体" w:cs="Times New Roman"/>
                <w:szCs w:val="21"/>
              </w:rPr>
              <w:t>方案二：设置声屏障，拟建公路</w:t>
            </w:r>
            <w:r>
              <w:rPr>
                <w:rFonts w:hint="eastAsia" w:ascii="Times New Roman" w:hAnsi="Times New Roman" w:eastAsia="宋体" w:cs="Times New Roman"/>
                <w:szCs w:val="21"/>
              </w:rPr>
              <w:t>右</w:t>
            </w:r>
            <w:r>
              <w:rPr>
                <w:rFonts w:ascii="Times New Roman" w:hAnsi="Times New Roman" w:eastAsia="宋体" w:cs="Times New Roman"/>
                <w:szCs w:val="21"/>
              </w:rPr>
              <w:t>侧</w:t>
            </w:r>
            <w:r>
              <w:rPr>
                <w:rFonts w:ascii="Times New Roman" w:hAnsi="Times New Roman" w:eastAsia="宋体" w:cs="Times New Roman"/>
              </w:rPr>
              <w:t>K</w:t>
            </w:r>
            <w:r>
              <w:rPr>
                <w:rFonts w:hint="eastAsia" w:ascii="Times New Roman" w:hAnsi="Times New Roman" w:eastAsia="宋体" w:cs="Times New Roman"/>
              </w:rPr>
              <w:t>44</w:t>
            </w:r>
            <w:r>
              <w:rPr>
                <w:rFonts w:ascii="Times New Roman" w:hAnsi="Times New Roman" w:eastAsia="宋体" w:cs="Times New Roman"/>
              </w:rPr>
              <w:t>+</w:t>
            </w:r>
            <w:r>
              <w:rPr>
                <w:rFonts w:hint="eastAsia" w:ascii="Times New Roman" w:hAnsi="Times New Roman" w:eastAsia="宋体" w:cs="Times New Roman"/>
              </w:rPr>
              <w:t>700</w:t>
            </w:r>
            <w:r>
              <w:rPr>
                <w:rFonts w:ascii="Times New Roman" w:hAnsi="Times New Roman" w:eastAsia="宋体" w:cs="Times New Roman"/>
              </w:rPr>
              <w:t>～K</w:t>
            </w:r>
            <w:r>
              <w:rPr>
                <w:rFonts w:hint="eastAsia" w:ascii="Times New Roman" w:hAnsi="Times New Roman" w:eastAsia="宋体" w:cs="Times New Roman"/>
              </w:rPr>
              <w:t>45</w:t>
            </w:r>
            <w:r>
              <w:rPr>
                <w:rFonts w:ascii="Times New Roman" w:hAnsi="Times New Roman" w:eastAsia="宋体" w:cs="Times New Roman"/>
              </w:rPr>
              <w:t>+</w:t>
            </w:r>
            <w:r>
              <w:rPr>
                <w:rFonts w:hint="eastAsia" w:ascii="Times New Roman" w:hAnsi="Times New Roman" w:eastAsia="宋体" w:cs="Times New Roman"/>
              </w:rPr>
              <w:t>10</w:t>
            </w:r>
            <w:r>
              <w:rPr>
                <w:rFonts w:ascii="Times New Roman" w:hAnsi="Times New Roman" w:eastAsia="宋体" w:cs="Times New Roman"/>
              </w:rPr>
              <w:t>0路段设置有</w:t>
            </w:r>
            <w:r>
              <w:rPr>
                <w:rFonts w:hint="eastAsia" w:ascii="Times New Roman" w:hAnsi="Times New Roman" w:eastAsia="宋体" w:cs="Times New Roman"/>
              </w:rPr>
              <w:t>2处平交口，</w:t>
            </w:r>
            <w:r>
              <w:rPr>
                <w:rFonts w:ascii="Times New Roman" w:hAnsi="Times New Roman" w:eastAsia="宋体" w:cs="Times New Roman"/>
                <w:szCs w:val="21"/>
              </w:rPr>
              <w:t>拟建公路</w:t>
            </w:r>
            <w:r>
              <w:rPr>
                <w:rFonts w:hint="eastAsia" w:ascii="Times New Roman" w:hAnsi="Times New Roman" w:eastAsia="宋体" w:cs="Times New Roman"/>
                <w:szCs w:val="21"/>
              </w:rPr>
              <w:t>左</w:t>
            </w:r>
            <w:r>
              <w:rPr>
                <w:rFonts w:ascii="Times New Roman" w:hAnsi="Times New Roman" w:eastAsia="宋体" w:cs="Times New Roman"/>
                <w:szCs w:val="21"/>
              </w:rPr>
              <w:t>侧</w:t>
            </w:r>
            <w:r>
              <w:rPr>
                <w:rFonts w:ascii="Times New Roman" w:hAnsi="Times New Roman" w:eastAsia="宋体" w:cs="Times New Roman"/>
              </w:rPr>
              <w:t>K</w:t>
            </w:r>
            <w:r>
              <w:rPr>
                <w:rFonts w:hint="eastAsia" w:ascii="Times New Roman" w:hAnsi="Times New Roman" w:eastAsia="宋体" w:cs="Times New Roman"/>
              </w:rPr>
              <w:t>44</w:t>
            </w:r>
            <w:r>
              <w:rPr>
                <w:rFonts w:ascii="Times New Roman" w:hAnsi="Times New Roman" w:eastAsia="宋体" w:cs="Times New Roman"/>
              </w:rPr>
              <w:t>+</w:t>
            </w:r>
            <w:r>
              <w:rPr>
                <w:rFonts w:hint="eastAsia" w:ascii="Times New Roman" w:hAnsi="Times New Roman" w:eastAsia="宋体" w:cs="Times New Roman"/>
              </w:rPr>
              <w:t>730</w:t>
            </w:r>
            <w:r>
              <w:rPr>
                <w:rFonts w:ascii="Times New Roman" w:hAnsi="Times New Roman" w:eastAsia="宋体" w:cs="Times New Roman"/>
              </w:rPr>
              <w:t>～K</w:t>
            </w:r>
            <w:r>
              <w:rPr>
                <w:rFonts w:hint="eastAsia" w:ascii="Times New Roman" w:hAnsi="Times New Roman" w:eastAsia="宋体" w:cs="Times New Roman"/>
              </w:rPr>
              <w:t>44</w:t>
            </w:r>
            <w:r>
              <w:rPr>
                <w:rFonts w:ascii="Times New Roman" w:hAnsi="Times New Roman" w:eastAsia="宋体" w:cs="Times New Roman"/>
              </w:rPr>
              <w:t>+</w:t>
            </w:r>
            <w:r>
              <w:rPr>
                <w:rFonts w:hint="eastAsia" w:ascii="Times New Roman" w:hAnsi="Times New Roman" w:eastAsia="宋体" w:cs="Times New Roman"/>
              </w:rPr>
              <w:t>83</w:t>
            </w:r>
            <w:r>
              <w:rPr>
                <w:rFonts w:ascii="Times New Roman" w:hAnsi="Times New Roman" w:eastAsia="宋体" w:cs="Times New Roman"/>
              </w:rPr>
              <w:t>0路段设置有</w:t>
            </w:r>
            <w:r>
              <w:rPr>
                <w:rFonts w:hint="eastAsia" w:ascii="Times New Roman" w:hAnsi="Times New Roman" w:eastAsia="宋体" w:cs="Times New Roman"/>
              </w:rPr>
              <w:t>1处平交口，</w:t>
            </w:r>
            <w:r>
              <w:rPr>
                <w:rFonts w:ascii="Times New Roman" w:hAnsi="Times New Roman" w:eastAsia="宋体" w:cs="Times New Roman"/>
              </w:rPr>
              <w:t>房屋</w:t>
            </w:r>
            <w:r>
              <w:rPr>
                <w:rFonts w:hint="eastAsia" w:ascii="Times New Roman" w:hAnsi="Times New Roman" w:eastAsia="宋体" w:cs="Times New Roman"/>
              </w:rPr>
              <w:t>集中</w:t>
            </w:r>
            <w:r>
              <w:rPr>
                <w:rFonts w:ascii="Times New Roman" w:hAnsi="Times New Roman" w:eastAsia="宋体" w:cs="Times New Roman"/>
              </w:rPr>
              <w:t>分布于平交口两侧，</w:t>
            </w:r>
            <w:r>
              <w:rPr>
                <w:rFonts w:ascii="Times New Roman" w:hAnsi="Times New Roman" w:cs="Times New Roman" w:eastAsiaTheme="minorEastAsia"/>
                <w:szCs w:val="21"/>
              </w:rPr>
              <w:t>根据《</w:t>
            </w:r>
            <w:r>
              <w:rPr>
                <w:rFonts w:hint="eastAsia" w:ascii="Times New Roman" w:hAnsi="Times New Roman" w:cs="Times New Roman" w:eastAsiaTheme="minorEastAsia"/>
                <w:szCs w:val="21"/>
              </w:rPr>
              <w:t>公路路线设计规范（JTG D20—2017）</w:t>
            </w:r>
            <w:r>
              <w:rPr>
                <w:rFonts w:ascii="Times New Roman" w:hAnsi="Times New Roman" w:cs="Times New Roman" w:eastAsiaTheme="minorEastAsia"/>
                <w:szCs w:val="21"/>
              </w:rPr>
              <w:t>》，考虑行车安全视距，每处平交口两侧共需断开</w:t>
            </w:r>
            <w:r>
              <w:rPr>
                <w:rFonts w:hint="eastAsia" w:ascii="Times New Roman" w:hAnsi="Times New Roman" w:cs="Times New Roman" w:eastAsiaTheme="minorEastAsia"/>
                <w:szCs w:val="21"/>
              </w:rPr>
              <w:t>220m，该路段</w:t>
            </w:r>
            <w:r>
              <w:rPr>
                <w:rFonts w:ascii="Times New Roman" w:hAnsi="Times New Roman" w:eastAsia="宋体" w:cs="Times New Roman"/>
              </w:rPr>
              <w:t>平交口处无法设置声屏障。</w:t>
            </w:r>
          </w:p>
          <w:p w14:paraId="356277F0">
            <w:pPr>
              <w:adjustRightInd w:val="0"/>
              <w:snapToGrid w:val="0"/>
              <w:spacing w:line="240" w:lineRule="exact"/>
              <w:rPr>
                <w:rFonts w:ascii="Times New Roman" w:hAnsi="Times New Roman" w:eastAsia="宋体" w:cs="Times New Roman"/>
                <w:szCs w:val="21"/>
              </w:rPr>
            </w:pPr>
            <w:r>
              <w:rPr>
                <w:rFonts w:ascii="Times New Roman" w:hAnsi="Times New Roman" w:eastAsia="宋体" w:cs="Times New Roman"/>
                <w:szCs w:val="21"/>
              </w:rPr>
              <w:t>推荐：综合考虑推荐方案</w:t>
            </w:r>
            <w:r>
              <w:rPr>
                <w:rFonts w:hint="eastAsia" w:ascii="Times New Roman" w:hAnsi="Times New Roman" w:eastAsia="宋体" w:cs="Times New Roman"/>
                <w:szCs w:val="21"/>
              </w:rPr>
              <w:t>一</w:t>
            </w:r>
            <w:r>
              <w:rPr>
                <w:rFonts w:ascii="Times New Roman" w:hAnsi="Times New Roman" w:eastAsia="宋体" w:cs="Times New Roman"/>
                <w:szCs w:val="21"/>
              </w:rPr>
              <w:t>。</w:t>
            </w:r>
          </w:p>
        </w:tc>
        <w:tc>
          <w:tcPr>
            <w:tcW w:w="242" w:type="pct"/>
            <w:vMerge w:val="restart"/>
            <w:vAlign w:val="center"/>
          </w:tcPr>
          <w:p w14:paraId="48B4F2C1">
            <w:pPr>
              <w:widowControl/>
              <w:jc w:val="center"/>
              <w:rPr>
                <w:rFonts w:ascii="Times New Roman" w:hAnsi="Times New Roman" w:eastAsia="宋体" w:cs="Times New Roman"/>
                <w:kern w:val="0"/>
              </w:rPr>
            </w:pPr>
            <w:r>
              <w:rPr>
                <w:rFonts w:ascii="Times New Roman" w:hAnsi="Times New Roman" w:eastAsia="宋体" w:cs="Times New Roman"/>
                <w:kern w:val="0"/>
              </w:rPr>
              <w:t>隔声窗</w:t>
            </w:r>
          </w:p>
        </w:tc>
        <w:tc>
          <w:tcPr>
            <w:tcW w:w="260" w:type="pct"/>
            <w:vMerge w:val="restart"/>
            <w:vAlign w:val="center"/>
          </w:tcPr>
          <w:p w14:paraId="74143F30">
            <w:pPr>
              <w:widowControl/>
              <w:jc w:val="center"/>
              <w:rPr>
                <w:rFonts w:ascii="Times New Roman" w:hAnsi="Times New Roman" w:eastAsia="宋体" w:cs="Times New Roman"/>
                <w:kern w:val="0"/>
              </w:rPr>
            </w:pPr>
            <w:r>
              <w:rPr>
                <w:rFonts w:ascii="Times New Roman" w:hAnsi="Times New Roman" w:eastAsia="宋体" w:cs="Times New Roman"/>
                <w:kern w:val="0"/>
              </w:rPr>
              <w:t>室内达标</w:t>
            </w:r>
          </w:p>
        </w:tc>
        <w:tc>
          <w:tcPr>
            <w:tcW w:w="251" w:type="pct"/>
            <w:vMerge w:val="restart"/>
            <w:vAlign w:val="center"/>
          </w:tcPr>
          <w:p w14:paraId="608D78BC">
            <w:pPr>
              <w:widowControl/>
              <w:adjustRightInd w:val="0"/>
              <w:snapToGrid w:val="0"/>
              <w:spacing w:line="240" w:lineRule="exact"/>
              <w:jc w:val="center"/>
              <w:rPr>
                <w:rFonts w:ascii="Times New Roman" w:hAnsi="Times New Roman" w:eastAsia="宋体" w:cs="Times New Roman"/>
              </w:rPr>
            </w:pPr>
            <w:r>
              <w:rPr>
                <w:rFonts w:hint="eastAsia" w:ascii="Times New Roman" w:hAnsi="Times New Roman" w:eastAsia="宋体" w:cs="Times New Roman"/>
              </w:rPr>
              <w:t>55</w:t>
            </w:r>
          </w:p>
        </w:tc>
      </w:tr>
      <w:tr w14:paraId="02403F09">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trHeight w:val="65" w:hRule="atLeast"/>
          <w:tblHeader/>
          <w:jc w:val="center"/>
        </w:trPr>
        <w:tc>
          <w:tcPr>
            <w:tcW w:w="180" w:type="pct"/>
            <w:vMerge w:val="continue"/>
            <w:noWrap/>
            <w:vAlign w:val="center"/>
          </w:tcPr>
          <w:p w14:paraId="32C3FEFA">
            <w:pPr>
              <w:adjustRightInd w:val="0"/>
              <w:snapToGrid w:val="0"/>
              <w:spacing w:line="240" w:lineRule="exact"/>
              <w:jc w:val="center"/>
              <w:rPr>
                <w:rFonts w:ascii="Times New Roman" w:hAnsi="Times New Roman" w:eastAsia="宋体" w:cs="Times New Roman"/>
              </w:rPr>
            </w:pPr>
          </w:p>
        </w:tc>
        <w:tc>
          <w:tcPr>
            <w:tcW w:w="278" w:type="pct"/>
            <w:vAlign w:val="center"/>
          </w:tcPr>
          <w:p w14:paraId="568BB159">
            <w:pPr>
              <w:widowControl/>
              <w:adjustRightInd w:val="0"/>
              <w:snapToGrid w:val="0"/>
              <w:spacing w:line="240" w:lineRule="exact"/>
              <w:jc w:val="center"/>
              <w:rPr>
                <w:rFonts w:ascii="Times New Roman" w:hAnsi="Times New Roman" w:eastAsia="宋体" w:cs="Times New Roman"/>
              </w:rPr>
            </w:pPr>
            <w:r>
              <w:rPr>
                <w:rFonts w:ascii="Times New Roman" w:hAnsi="Times New Roman" w:eastAsia="宋体" w:cs="Times New Roman"/>
              </w:rPr>
              <w:t>K</w:t>
            </w:r>
            <w:r>
              <w:rPr>
                <w:rFonts w:hint="eastAsia" w:ascii="Times New Roman" w:hAnsi="Times New Roman" w:eastAsia="宋体" w:cs="Times New Roman"/>
              </w:rPr>
              <w:t>44</w:t>
            </w:r>
            <w:r>
              <w:rPr>
                <w:rFonts w:ascii="Times New Roman" w:hAnsi="Times New Roman" w:eastAsia="宋体" w:cs="Times New Roman"/>
              </w:rPr>
              <w:t>+</w:t>
            </w:r>
            <w:r>
              <w:rPr>
                <w:rFonts w:hint="eastAsia" w:ascii="Times New Roman" w:hAnsi="Times New Roman" w:eastAsia="宋体" w:cs="Times New Roman"/>
              </w:rPr>
              <w:t>730</w:t>
            </w:r>
            <w:r>
              <w:rPr>
                <w:rFonts w:ascii="Times New Roman" w:hAnsi="Times New Roman" w:eastAsia="宋体" w:cs="Times New Roman"/>
              </w:rPr>
              <w:t>～K</w:t>
            </w:r>
            <w:r>
              <w:rPr>
                <w:rFonts w:hint="eastAsia" w:ascii="Times New Roman" w:hAnsi="Times New Roman" w:eastAsia="宋体" w:cs="Times New Roman"/>
              </w:rPr>
              <w:t>44</w:t>
            </w:r>
            <w:r>
              <w:rPr>
                <w:rFonts w:ascii="Times New Roman" w:hAnsi="Times New Roman" w:eastAsia="宋体" w:cs="Times New Roman"/>
              </w:rPr>
              <w:t>+</w:t>
            </w:r>
            <w:r>
              <w:rPr>
                <w:rFonts w:hint="eastAsia" w:ascii="Times New Roman" w:hAnsi="Times New Roman" w:eastAsia="宋体" w:cs="Times New Roman"/>
              </w:rPr>
              <w:t>83</w:t>
            </w:r>
            <w:r>
              <w:rPr>
                <w:rFonts w:ascii="Times New Roman" w:hAnsi="Times New Roman" w:eastAsia="宋体" w:cs="Times New Roman"/>
              </w:rPr>
              <w:t>0</w:t>
            </w:r>
          </w:p>
        </w:tc>
        <w:tc>
          <w:tcPr>
            <w:tcW w:w="346" w:type="pct"/>
            <w:vMerge w:val="continue"/>
            <w:vAlign w:val="center"/>
          </w:tcPr>
          <w:p w14:paraId="1F195519">
            <w:pPr>
              <w:widowControl/>
              <w:adjustRightInd w:val="0"/>
              <w:snapToGrid w:val="0"/>
              <w:spacing w:line="240" w:lineRule="exact"/>
              <w:jc w:val="center"/>
              <w:rPr>
                <w:rFonts w:ascii="Times New Roman" w:hAnsi="Times New Roman" w:eastAsia="宋体" w:cs="Times New Roman"/>
              </w:rPr>
            </w:pPr>
          </w:p>
        </w:tc>
        <w:tc>
          <w:tcPr>
            <w:tcW w:w="138" w:type="pct"/>
            <w:vMerge w:val="restart"/>
            <w:vAlign w:val="center"/>
          </w:tcPr>
          <w:p w14:paraId="15DA932C">
            <w:pPr>
              <w:widowControl/>
              <w:adjustRightInd w:val="0"/>
              <w:snapToGrid w:val="0"/>
              <w:spacing w:line="240" w:lineRule="exact"/>
              <w:jc w:val="center"/>
              <w:rPr>
                <w:rFonts w:ascii="Times New Roman" w:hAnsi="Times New Roman" w:eastAsia="宋体" w:cs="Times New Roman"/>
              </w:rPr>
            </w:pPr>
            <w:r>
              <w:rPr>
                <w:rFonts w:ascii="Times New Roman" w:hAnsi="Times New Roman" w:eastAsia="宋体" w:cs="Times New Roman"/>
              </w:rPr>
              <w:t>路左</w:t>
            </w:r>
          </w:p>
        </w:tc>
        <w:tc>
          <w:tcPr>
            <w:tcW w:w="209" w:type="pct"/>
            <w:vMerge w:val="continue"/>
            <w:vAlign w:val="center"/>
          </w:tcPr>
          <w:p w14:paraId="62E7C5B0">
            <w:pPr>
              <w:widowControl/>
              <w:adjustRightInd w:val="0"/>
              <w:snapToGrid w:val="0"/>
              <w:spacing w:line="240" w:lineRule="exact"/>
              <w:jc w:val="center"/>
              <w:rPr>
                <w:rFonts w:ascii="Times New Roman" w:hAnsi="Times New Roman" w:eastAsia="宋体" w:cs="Times New Roman"/>
              </w:rPr>
            </w:pPr>
          </w:p>
        </w:tc>
        <w:tc>
          <w:tcPr>
            <w:tcW w:w="243" w:type="pct"/>
            <w:vMerge w:val="continue"/>
            <w:vAlign w:val="center"/>
          </w:tcPr>
          <w:p w14:paraId="0B005A16">
            <w:pPr>
              <w:adjustRightInd w:val="0"/>
              <w:snapToGrid w:val="0"/>
              <w:spacing w:line="240" w:lineRule="exact"/>
              <w:jc w:val="center"/>
              <w:rPr>
                <w:rFonts w:ascii="Times New Roman" w:hAnsi="Times New Roman" w:eastAsia="宋体" w:cs="Times New Roman"/>
              </w:rPr>
            </w:pPr>
          </w:p>
        </w:tc>
        <w:tc>
          <w:tcPr>
            <w:tcW w:w="243" w:type="pct"/>
            <w:vMerge w:val="continue"/>
            <w:vAlign w:val="center"/>
          </w:tcPr>
          <w:p w14:paraId="53B8EFCF">
            <w:pPr>
              <w:adjustRightInd w:val="0"/>
              <w:snapToGrid w:val="0"/>
              <w:spacing w:line="240" w:lineRule="exact"/>
              <w:jc w:val="center"/>
              <w:rPr>
                <w:rFonts w:ascii="Times New Roman" w:hAnsi="Times New Roman" w:eastAsia="宋体" w:cs="Times New Roman"/>
              </w:rPr>
            </w:pPr>
          </w:p>
        </w:tc>
        <w:tc>
          <w:tcPr>
            <w:tcW w:w="190" w:type="pct"/>
            <w:vMerge w:val="continue"/>
            <w:shd w:val="clear" w:color="auto" w:fill="auto"/>
            <w:vAlign w:val="center"/>
          </w:tcPr>
          <w:p w14:paraId="0379A037">
            <w:pPr>
              <w:adjustRightInd w:val="0"/>
              <w:snapToGrid w:val="0"/>
              <w:spacing w:line="240" w:lineRule="exact"/>
              <w:jc w:val="center"/>
              <w:rPr>
                <w:rFonts w:ascii="Times New Roman" w:hAnsi="Times New Roman" w:eastAsia="宋体" w:cs="Times New Roman"/>
              </w:rPr>
            </w:pPr>
          </w:p>
        </w:tc>
        <w:tc>
          <w:tcPr>
            <w:tcW w:w="190" w:type="pct"/>
            <w:vMerge w:val="continue"/>
            <w:shd w:val="clear" w:color="auto" w:fill="auto"/>
            <w:vAlign w:val="center"/>
          </w:tcPr>
          <w:p w14:paraId="1BB366E1">
            <w:pPr>
              <w:adjustRightInd w:val="0"/>
              <w:snapToGrid w:val="0"/>
              <w:spacing w:line="240" w:lineRule="exact"/>
              <w:jc w:val="center"/>
              <w:rPr>
                <w:rFonts w:ascii="Times New Roman" w:hAnsi="Times New Roman" w:eastAsia="宋体" w:cs="Times New Roman"/>
              </w:rPr>
            </w:pPr>
          </w:p>
        </w:tc>
        <w:tc>
          <w:tcPr>
            <w:tcW w:w="2230" w:type="pct"/>
            <w:vMerge w:val="continue"/>
            <w:noWrap/>
            <w:vAlign w:val="center"/>
          </w:tcPr>
          <w:p w14:paraId="5CA2FB83">
            <w:pPr>
              <w:rPr>
                <w:rFonts w:ascii="Times New Roman" w:hAnsi="Times New Roman" w:eastAsia="宋体" w:cs="Times New Roman"/>
              </w:rPr>
            </w:pPr>
          </w:p>
        </w:tc>
        <w:tc>
          <w:tcPr>
            <w:tcW w:w="242" w:type="pct"/>
            <w:vMerge w:val="continue"/>
            <w:vAlign w:val="center"/>
          </w:tcPr>
          <w:p w14:paraId="682D0B6D">
            <w:pPr>
              <w:widowControl/>
              <w:jc w:val="center"/>
              <w:rPr>
                <w:rFonts w:ascii="Times New Roman" w:hAnsi="Times New Roman" w:eastAsia="宋体" w:cs="Times New Roman"/>
                <w:kern w:val="0"/>
              </w:rPr>
            </w:pPr>
          </w:p>
        </w:tc>
        <w:tc>
          <w:tcPr>
            <w:tcW w:w="260" w:type="pct"/>
            <w:vMerge w:val="continue"/>
            <w:vAlign w:val="center"/>
          </w:tcPr>
          <w:p w14:paraId="73DDD152">
            <w:pPr>
              <w:widowControl/>
              <w:jc w:val="center"/>
              <w:rPr>
                <w:rFonts w:ascii="Times New Roman" w:hAnsi="Times New Roman" w:eastAsia="宋体" w:cs="Times New Roman"/>
                <w:kern w:val="0"/>
              </w:rPr>
            </w:pPr>
          </w:p>
        </w:tc>
        <w:tc>
          <w:tcPr>
            <w:tcW w:w="251" w:type="pct"/>
            <w:vMerge w:val="continue"/>
            <w:vAlign w:val="center"/>
          </w:tcPr>
          <w:p w14:paraId="1303D5EF">
            <w:pPr>
              <w:widowControl/>
              <w:adjustRightInd w:val="0"/>
              <w:snapToGrid w:val="0"/>
              <w:spacing w:line="240" w:lineRule="exact"/>
              <w:jc w:val="center"/>
              <w:rPr>
                <w:rFonts w:ascii="Times New Roman" w:hAnsi="Times New Roman" w:eastAsia="宋体" w:cs="Times New Roman"/>
              </w:rPr>
            </w:pPr>
          </w:p>
        </w:tc>
      </w:tr>
      <w:tr w14:paraId="3614DF89">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trHeight w:val="100" w:hRule="atLeast"/>
          <w:tblHeader/>
          <w:jc w:val="center"/>
        </w:trPr>
        <w:tc>
          <w:tcPr>
            <w:tcW w:w="180" w:type="pct"/>
            <w:vMerge w:val="continue"/>
            <w:noWrap/>
            <w:vAlign w:val="center"/>
          </w:tcPr>
          <w:p w14:paraId="47A1A019">
            <w:pPr>
              <w:adjustRightInd w:val="0"/>
              <w:snapToGrid w:val="0"/>
              <w:spacing w:line="240" w:lineRule="exact"/>
              <w:jc w:val="center"/>
              <w:rPr>
                <w:rFonts w:ascii="Times New Roman" w:hAnsi="Times New Roman" w:eastAsia="宋体" w:cs="Times New Roman"/>
              </w:rPr>
            </w:pPr>
          </w:p>
        </w:tc>
        <w:tc>
          <w:tcPr>
            <w:tcW w:w="278" w:type="pct"/>
            <w:vAlign w:val="center"/>
          </w:tcPr>
          <w:p w14:paraId="0CE59078">
            <w:pPr>
              <w:widowControl/>
              <w:adjustRightInd w:val="0"/>
              <w:snapToGrid w:val="0"/>
              <w:spacing w:line="240" w:lineRule="exact"/>
              <w:jc w:val="center"/>
              <w:rPr>
                <w:rFonts w:ascii="Times New Roman" w:hAnsi="Times New Roman" w:eastAsia="宋体" w:cs="Times New Roman"/>
              </w:rPr>
            </w:pPr>
            <w:r>
              <w:rPr>
                <w:rFonts w:ascii="Times New Roman" w:hAnsi="Times New Roman" w:eastAsia="宋体" w:cs="Times New Roman"/>
              </w:rPr>
              <w:t>K</w:t>
            </w:r>
            <w:r>
              <w:rPr>
                <w:rFonts w:hint="eastAsia" w:ascii="Times New Roman" w:hAnsi="Times New Roman" w:eastAsia="宋体" w:cs="Times New Roman"/>
              </w:rPr>
              <w:t>44</w:t>
            </w:r>
            <w:r>
              <w:rPr>
                <w:rFonts w:ascii="Times New Roman" w:hAnsi="Times New Roman" w:eastAsia="宋体" w:cs="Times New Roman"/>
              </w:rPr>
              <w:t>+</w:t>
            </w:r>
            <w:r>
              <w:rPr>
                <w:rFonts w:hint="eastAsia" w:ascii="Times New Roman" w:hAnsi="Times New Roman" w:eastAsia="宋体" w:cs="Times New Roman"/>
              </w:rPr>
              <w:t>950</w:t>
            </w:r>
            <w:r>
              <w:rPr>
                <w:rFonts w:ascii="Times New Roman" w:hAnsi="Times New Roman" w:eastAsia="宋体" w:cs="Times New Roman"/>
              </w:rPr>
              <w:t>～K</w:t>
            </w:r>
            <w:r>
              <w:rPr>
                <w:rFonts w:hint="eastAsia" w:ascii="Times New Roman" w:hAnsi="Times New Roman" w:eastAsia="宋体" w:cs="Times New Roman"/>
              </w:rPr>
              <w:t>45</w:t>
            </w:r>
            <w:r>
              <w:rPr>
                <w:rFonts w:ascii="Times New Roman" w:hAnsi="Times New Roman" w:eastAsia="宋体" w:cs="Times New Roman"/>
              </w:rPr>
              <w:t>+</w:t>
            </w:r>
            <w:r>
              <w:rPr>
                <w:rFonts w:hint="eastAsia" w:ascii="Times New Roman" w:hAnsi="Times New Roman" w:eastAsia="宋体" w:cs="Times New Roman"/>
              </w:rPr>
              <w:t>00</w:t>
            </w:r>
            <w:r>
              <w:rPr>
                <w:rFonts w:ascii="Times New Roman" w:hAnsi="Times New Roman" w:eastAsia="宋体" w:cs="Times New Roman"/>
              </w:rPr>
              <w:t>0</w:t>
            </w:r>
          </w:p>
        </w:tc>
        <w:tc>
          <w:tcPr>
            <w:tcW w:w="346" w:type="pct"/>
            <w:vMerge w:val="continue"/>
            <w:vAlign w:val="center"/>
          </w:tcPr>
          <w:p w14:paraId="10BFBD28">
            <w:pPr>
              <w:widowControl/>
              <w:adjustRightInd w:val="0"/>
              <w:snapToGrid w:val="0"/>
              <w:spacing w:line="240" w:lineRule="exact"/>
              <w:jc w:val="center"/>
              <w:rPr>
                <w:rFonts w:ascii="Times New Roman" w:hAnsi="Times New Roman" w:eastAsia="宋体" w:cs="Times New Roman"/>
              </w:rPr>
            </w:pPr>
          </w:p>
        </w:tc>
        <w:tc>
          <w:tcPr>
            <w:tcW w:w="138" w:type="pct"/>
            <w:vMerge w:val="continue"/>
            <w:vAlign w:val="center"/>
          </w:tcPr>
          <w:p w14:paraId="12AC2F2B">
            <w:pPr>
              <w:widowControl/>
              <w:adjustRightInd w:val="0"/>
              <w:snapToGrid w:val="0"/>
              <w:spacing w:line="240" w:lineRule="exact"/>
              <w:jc w:val="center"/>
              <w:rPr>
                <w:rFonts w:ascii="Times New Roman" w:hAnsi="Times New Roman" w:eastAsia="宋体" w:cs="Times New Roman"/>
              </w:rPr>
            </w:pPr>
          </w:p>
        </w:tc>
        <w:tc>
          <w:tcPr>
            <w:tcW w:w="209" w:type="pct"/>
            <w:vMerge w:val="continue"/>
            <w:vAlign w:val="center"/>
          </w:tcPr>
          <w:p w14:paraId="46FE1A0B">
            <w:pPr>
              <w:widowControl/>
              <w:adjustRightInd w:val="0"/>
              <w:snapToGrid w:val="0"/>
              <w:spacing w:line="240" w:lineRule="exact"/>
              <w:jc w:val="center"/>
              <w:rPr>
                <w:rFonts w:ascii="Times New Roman" w:hAnsi="Times New Roman" w:eastAsia="宋体" w:cs="Times New Roman"/>
              </w:rPr>
            </w:pPr>
          </w:p>
        </w:tc>
        <w:tc>
          <w:tcPr>
            <w:tcW w:w="243" w:type="pct"/>
            <w:vMerge w:val="continue"/>
            <w:vAlign w:val="center"/>
          </w:tcPr>
          <w:p w14:paraId="4ECFB537">
            <w:pPr>
              <w:adjustRightInd w:val="0"/>
              <w:snapToGrid w:val="0"/>
              <w:spacing w:line="240" w:lineRule="exact"/>
              <w:jc w:val="center"/>
              <w:rPr>
                <w:rFonts w:ascii="Times New Roman" w:hAnsi="Times New Roman" w:eastAsia="宋体" w:cs="Times New Roman"/>
              </w:rPr>
            </w:pPr>
          </w:p>
        </w:tc>
        <w:tc>
          <w:tcPr>
            <w:tcW w:w="243" w:type="pct"/>
            <w:vMerge w:val="continue"/>
            <w:vAlign w:val="center"/>
          </w:tcPr>
          <w:p w14:paraId="3C48EFB4">
            <w:pPr>
              <w:adjustRightInd w:val="0"/>
              <w:snapToGrid w:val="0"/>
              <w:spacing w:line="240" w:lineRule="exact"/>
              <w:jc w:val="center"/>
              <w:rPr>
                <w:rFonts w:ascii="Times New Roman" w:hAnsi="Times New Roman" w:eastAsia="宋体" w:cs="Times New Roman"/>
              </w:rPr>
            </w:pPr>
          </w:p>
        </w:tc>
        <w:tc>
          <w:tcPr>
            <w:tcW w:w="190" w:type="pct"/>
            <w:vMerge w:val="continue"/>
            <w:shd w:val="clear" w:color="auto" w:fill="auto"/>
            <w:vAlign w:val="center"/>
          </w:tcPr>
          <w:p w14:paraId="0F587595">
            <w:pPr>
              <w:adjustRightInd w:val="0"/>
              <w:snapToGrid w:val="0"/>
              <w:spacing w:line="240" w:lineRule="exact"/>
              <w:jc w:val="center"/>
              <w:rPr>
                <w:rFonts w:ascii="Times New Roman" w:hAnsi="Times New Roman" w:eastAsia="宋体" w:cs="Times New Roman"/>
              </w:rPr>
            </w:pPr>
          </w:p>
        </w:tc>
        <w:tc>
          <w:tcPr>
            <w:tcW w:w="190" w:type="pct"/>
            <w:vMerge w:val="continue"/>
            <w:shd w:val="clear" w:color="auto" w:fill="auto"/>
            <w:vAlign w:val="center"/>
          </w:tcPr>
          <w:p w14:paraId="15B4375D">
            <w:pPr>
              <w:adjustRightInd w:val="0"/>
              <w:snapToGrid w:val="0"/>
              <w:spacing w:line="240" w:lineRule="exact"/>
              <w:jc w:val="center"/>
              <w:rPr>
                <w:rFonts w:ascii="Times New Roman" w:hAnsi="Times New Roman" w:eastAsia="宋体" w:cs="Times New Roman"/>
              </w:rPr>
            </w:pPr>
          </w:p>
        </w:tc>
        <w:tc>
          <w:tcPr>
            <w:tcW w:w="2230" w:type="pct"/>
            <w:noWrap/>
            <w:vAlign w:val="center"/>
          </w:tcPr>
          <w:p w14:paraId="26A3C98D">
            <w:pPr>
              <w:rPr>
                <w:rFonts w:ascii="Times New Roman" w:hAnsi="Times New Roman" w:eastAsia="宋体" w:cs="Times New Roman"/>
                <w:szCs w:val="21"/>
              </w:rPr>
            </w:pPr>
            <w:r>
              <w:rPr>
                <w:rFonts w:ascii="Times New Roman" w:hAnsi="Times New Roman" w:eastAsia="宋体" w:cs="Times New Roman"/>
                <w:szCs w:val="21"/>
              </w:rPr>
              <w:t>方案一：安装隔声窗，按每户1万元计，共</w:t>
            </w:r>
            <w:r>
              <w:rPr>
                <w:rFonts w:hint="eastAsia" w:ascii="Times New Roman" w:hAnsi="Times New Roman" w:eastAsia="宋体" w:cs="Times New Roman"/>
                <w:szCs w:val="21"/>
              </w:rPr>
              <w:t>3</w:t>
            </w:r>
            <w:r>
              <w:rPr>
                <w:rFonts w:ascii="Times New Roman" w:hAnsi="Times New Roman" w:eastAsia="宋体" w:cs="Times New Roman"/>
                <w:szCs w:val="21"/>
              </w:rPr>
              <w:t>户，投资</w:t>
            </w:r>
            <w:r>
              <w:rPr>
                <w:rFonts w:hint="eastAsia" w:ascii="Times New Roman" w:hAnsi="Times New Roman" w:eastAsia="宋体" w:cs="Times New Roman"/>
                <w:szCs w:val="21"/>
              </w:rPr>
              <w:t>3</w:t>
            </w:r>
            <w:r>
              <w:rPr>
                <w:rFonts w:ascii="Times New Roman" w:hAnsi="Times New Roman" w:eastAsia="宋体" w:cs="Times New Roman"/>
                <w:szCs w:val="21"/>
              </w:rPr>
              <w:t>万元，隔声量25dB。</w:t>
            </w:r>
          </w:p>
          <w:p w14:paraId="4C7B6C04">
            <w:pPr>
              <w:adjustRightInd w:val="0"/>
              <w:snapToGrid w:val="0"/>
              <w:spacing w:line="240" w:lineRule="exact"/>
              <w:rPr>
                <w:rFonts w:ascii="Times New Roman" w:hAnsi="Times New Roman" w:eastAsia="宋体" w:cs="Times New Roman"/>
                <w:szCs w:val="21"/>
              </w:rPr>
            </w:pPr>
            <w:r>
              <w:rPr>
                <w:rFonts w:ascii="Times New Roman" w:hAnsi="Times New Roman" w:eastAsia="宋体" w:cs="Times New Roman"/>
                <w:szCs w:val="21"/>
              </w:rPr>
              <w:t>方案二：设置声屏障，拟建公路</w:t>
            </w:r>
            <w:r>
              <w:rPr>
                <w:rFonts w:hint="eastAsia" w:ascii="Times New Roman" w:hAnsi="Times New Roman" w:eastAsia="宋体" w:cs="Times New Roman"/>
                <w:szCs w:val="21"/>
              </w:rPr>
              <w:t>左</w:t>
            </w:r>
            <w:r>
              <w:rPr>
                <w:rFonts w:ascii="Times New Roman" w:hAnsi="Times New Roman" w:eastAsia="宋体" w:cs="Times New Roman"/>
                <w:szCs w:val="21"/>
              </w:rPr>
              <w:t>侧</w:t>
            </w:r>
            <w:r>
              <w:rPr>
                <w:rFonts w:ascii="Times New Roman" w:hAnsi="Times New Roman" w:eastAsia="宋体" w:cs="Times New Roman"/>
              </w:rPr>
              <w:t>K</w:t>
            </w:r>
            <w:r>
              <w:rPr>
                <w:rFonts w:hint="eastAsia" w:ascii="Times New Roman" w:hAnsi="Times New Roman" w:eastAsia="宋体" w:cs="Times New Roman"/>
              </w:rPr>
              <w:t>44</w:t>
            </w:r>
            <w:r>
              <w:rPr>
                <w:rFonts w:ascii="Times New Roman" w:hAnsi="Times New Roman" w:eastAsia="宋体" w:cs="Times New Roman"/>
              </w:rPr>
              <w:t>+</w:t>
            </w:r>
            <w:r>
              <w:rPr>
                <w:rFonts w:hint="eastAsia" w:ascii="Times New Roman" w:hAnsi="Times New Roman" w:eastAsia="宋体" w:cs="Times New Roman"/>
              </w:rPr>
              <w:t>900</w:t>
            </w:r>
            <w:r>
              <w:rPr>
                <w:rFonts w:ascii="Times New Roman" w:hAnsi="Times New Roman" w:eastAsia="宋体" w:cs="Times New Roman"/>
              </w:rPr>
              <w:t>～K</w:t>
            </w:r>
            <w:r>
              <w:rPr>
                <w:rFonts w:hint="eastAsia" w:ascii="Times New Roman" w:hAnsi="Times New Roman" w:eastAsia="宋体" w:cs="Times New Roman"/>
              </w:rPr>
              <w:t>45</w:t>
            </w:r>
            <w:r>
              <w:rPr>
                <w:rFonts w:ascii="Times New Roman" w:hAnsi="Times New Roman" w:eastAsia="宋体" w:cs="Times New Roman"/>
              </w:rPr>
              <w:t>+</w:t>
            </w:r>
            <w:r>
              <w:rPr>
                <w:rFonts w:hint="eastAsia" w:ascii="Times New Roman" w:hAnsi="Times New Roman" w:eastAsia="宋体" w:cs="Times New Roman"/>
              </w:rPr>
              <w:t>05</w:t>
            </w:r>
            <w:r>
              <w:rPr>
                <w:rFonts w:ascii="Times New Roman" w:hAnsi="Times New Roman" w:eastAsia="宋体" w:cs="Times New Roman"/>
              </w:rPr>
              <w:t>0</w:t>
            </w:r>
            <w:r>
              <w:rPr>
                <w:rFonts w:ascii="Times New Roman" w:hAnsi="Times New Roman" w:eastAsia="宋体" w:cs="Times New Roman"/>
                <w:szCs w:val="21"/>
              </w:rPr>
              <w:t>设置</w:t>
            </w:r>
            <w:r>
              <w:rPr>
                <w:rFonts w:hint="eastAsia" w:ascii="Times New Roman" w:hAnsi="Times New Roman" w:eastAsia="宋体" w:cs="Times New Roman"/>
                <w:szCs w:val="21"/>
              </w:rPr>
              <w:t>150</w:t>
            </w:r>
            <w:r>
              <w:rPr>
                <w:rFonts w:ascii="Times New Roman" w:hAnsi="Times New Roman" w:eastAsia="宋体" w:cs="Times New Roman"/>
                <w:szCs w:val="21"/>
              </w:rPr>
              <w:t>m（长）×</w:t>
            </w:r>
            <w:r>
              <w:rPr>
                <w:rFonts w:hint="eastAsia" w:ascii="Times New Roman" w:hAnsi="Times New Roman" w:eastAsia="宋体" w:cs="Times New Roman"/>
                <w:szCs w:val="21"/>
              </w:rPr>
              <w:t>3.0</w:t>
            </w:r>
            <w:r>
              <w:rPr>
                <w:rFonts w:ascii="Times New Roman" w:hAnsi="Times New Roman" w:eastAsia="宋体" w:cs="Times New Roman"/>
                <w:szCs w:val="21"/>
              </w:rPr>
              <w:t>m（高）声屏障，</w:t>
            </w:r>
            <w:r>
              <w:rPr>
                <w:rFonts w:hint="eastAsia" w:ascii="Times New Roman" w:hAnsi="Times New Roman" w:eastAsia="宋体" w:cs="Times New Roman"/>
                <w:szCs w:val="21"/>
              </w:rPr>
              <w:t>2</w:t>
            </w:r>
            <w:r>
              <w:rPr>
                <w:rFonts w:ascii="Times New Roman" w:hAnsi="Times New Roman" w:eastAsia="宋体" w:cs="Times New Roman"/>
                <w:szCs w:val="21"/>
              </w:rPr>
              <w:t>000元/m，共投资</w:t>
            </w:r>
            <w:r>
              <w:rPr>
                <w:rFonts w:hint="eastAsia" w:ascii="Times New Roman" w:hAnsi="Times New Roman" w:eastAsia="宋体" w:cs="Times New Roman"/>
                <w:szCs w:val="21"/>
              </w:rPr>
              <w:t>30</w:t>
            </w:r>
            <w:r>
              <w:rPr>
                <w:rFonts w:ascii="Times New Roman" w:hAnsi="Times New Roman" w:eastAsia="宋体" w:cs="Times New Roman"/>
                <w:szCs w:val="21"/>
              </w:rPr>
              <w:t>万元</w:t>
            </w:r>
            <w:r>
              <w:rPr>
                <w:rFonts w:ascii="Times New Roman" w:hAnsi="Times New Roman" w:eastAsia="宋体" w:cs="Times New Roman"/>
              </w:rPr>
              <w:t>，房屋距路较近，分布较集中，声屏障降噪效果好。</w:t>
            </w:r>
          </w:p>
          <w:p w14:paraId="23B2EB99">
            <w:pPr>
              <w:rPr>
                <w:rFonts w:ascii="Times New Roman" w:hAnsi="Times New Roman" w:eastAsia="宋体" w:cs="Times New Roman"/>
              </w:rPr>
            </w:pPr>
            <w:r>
              <w:rPr>
                <w:rFonts w:ascii="Times New Roman" w:hAnsi="Times New Roman" w:eastAsia="宋体" w:cs="Times New Roman"/>
                <w:szCs w:val="21"/>
              </w:rPr>
              <w:t>推荐：综合考虑推荐方案</w:t>
            </w:r>
            <w:r>
              <w:rPr>
                <w:rFonts w:hint="eastAsia" w:ascii="Times New Roman" w:hAnsi="Times New Roman" w:eastAsia="宋体" w:cs="Times New Roman"/>
                <w:szCs w:val="21"/>
              </w:rPr>
              <w:t>二</w:t>
            </w:r>
            <w:r>
              <w:rPr>
                <w:rFonts w:ascii="Times New Roman" w:hAnsi="Times New Roman" w:eastAsia="宋体" w:cs="Times New Roman"/>
                <w:szCs w:val="21"/>
              </w:rPr>
              <w:t>。</w:t>
            </w:r>
          </w:p>
        </w:tc>
        <w:tc>
          <w:tcPr>
            <w:tcW w:w="242" w:type="pct"/>
            <w:vAlign w:val="center"/>
          </w:tcPr>
          <w:p w14:paraId="7F8E2191">
            <w:pPr>
              <w:jc w:val="center"/>
              <w:rPr>
                <w:rFonts w:ascii="Times New Roman" w:hAnsi="Times New Roman" w:eastAsia="宋体" w:cs="Times New Roman"/>
              </w:rPr>
            </w:pPr>
            <w:r>
              <w:rPr>
                <w:rFonts w:ascii="Times New Roman" w:hAnsi="Times New Roman" w:eastAsia="宋体" w:cs="Times New Roman"/>
                <w:kern w:val="0"/>
              </w:rPr>
              <w:t>声屏障</w:t>
            </w:r>
          </w:p>
        </w:tc>
        <w:tc>
          <w:tcPr>
            <w:tcW w:w="260" w:type="pct"/>
            <w:vAlign w:val="center"/>
          </w:tcPr>
          <w:p w14:paraId="4304BC7A">
            <w:pPr>
              <w:jc w:val="center"/>
              <w:rPr>
                <w:rFonts w:ascii="Times New Roman" w:hAnsi="Times New Roman" w:eastAsia="宋体" w:cs="Times New Roman"/>
              </w:rPr>
            </w:pPr>
            <w:r>
              <w:rPr>
                <w:rFonts w:ascii="Times New Roman" w:hAnsi="Times New Roman" w:eastAsia="宋体" w:cs="Times New Roman"/>
                <w:kern w:val="0"/>
              </w:rPr>
              <w:t>室外达标</w:t>
            </w:r>
          </w:p>
        </w:tc>
        <w:tc>
          <w:tcPr>
            <w:tcW w:w="251" w:type="pct"/>
            <w:vAlign w:val="center"/>
          </w:tcPr>
          <w:p w14:paraId="19DE9210">
            <w:pPr>
              <w:widowControl/>
              <w:adjustRightInd w:val="0"/>
              <w:snapToGrid w:val="0"/>
              <w:spacing w:line="240" w:lineRule="exact"/>
              <w:jc w:val="center"/>
              <w:rPr>
                <w:rFonts w:ascii="Times New Roman" w:hAnsi="Times New Roman" w:eastAsia="宋体" w:cs="Times New Roman"/>
              </w:rPr>
            </w:pPr>
            <w:r>
              <w:rPr>
                <w:rFonts w:hint="eastAsia" w:ascii="Times New Roman" w:hAnsi="Times New Roman" w:eastAsia="宋体" w:cs="Times New Roman"/>
              </w:rPr>
              <w:t>30</w:t>
            </w:r>
          </w:p>
        </w:tc>
      </w:tr>
      <w:tr w14:paraId="56B9C2EF">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trHeight w:val="80" w:hRule="atLeast"/>
          <w:tblHeader/>
          <w:jc w:val="center"/>
        </w:trPr>
        <w:tc>
          <w:tcPr>
            <w:tcW w:w="180" w:type="pct"/>
            <w:noWrap/>
            <w:vAlign w:val="center"/>
          </w:tcPr>
          <w:p w14:paraId="74236C23">
            <w:pPr>
              <w:adjustRightInd w:val="0"/>
              <w:snapToGrid w:val="0"/>
              <w:spacing w:line="240" w:lineRule="exact"/>
              <w:jc w:val="center"/>
              <w:rPr>
                <w:rFonts w:ascii="Times New Roman" w:hAnsi="Times New Roman" w:eastAsia="宋体" w:cs="Times New Roman"/>
              </w:rPr>
            </w:pPr>
            <w:r>
              <w:rPr>
                <w:rFonts w:hint="eastAsia" w:ascii="Times New Roman" w:hAnsi="Times New Roman" w:eastAsia="宋体" w:cs="Times New Roman"/>
              </w:rPr>
              <w:t>21</w:t>
            </w:r>
          </w:p>
        </w:tc>
        <w:tc>
          <w:tcPr>
            <w:tcW w:w="278" w:type="pct"/>
            <w:vAlign w:val="center"/>
          </w:tcPr>
          <w:p w14:paraId="24F70A62">
            <w:pPr>
              <w:widowControl/>
              <w:adjustRightInd w:val="0"/>
              <w:snapToGrid w:val="0"/>
              <w:spacing w:line="240" w:lineRule="exact"/>
              <w:jc w:val="center"/>
              <w:rPr>
                <w:rFonts w:ascii="Times New Roman" w:hAnsi="Times New Roman" w:eastAsia="宋体" w:cs="Times New Roman"/>
              </w:rPr>
            </w:pPr>
            <w:r>
              <w:rPr>
                <w:rFonts w:ascii="Times New Roman" w:hAnsi="Times New Roman" w:eastAsia="宋体" w:cs="Times New Roman"/>
              </w:rPr>
              <w:t>K</w:t>
            </w:r>
            <w:r>
              <w:rPr>
                <w:rFonts w:hint="eastAsia" w:ascii="Times New Roman" w:hAnsi="Times New Roman" w:eastAsia="宋体" w:cs="Times New Roman"/>
              </w:rPr>
              <w:t>45</w:t>
            </w:r>
            <w:r>
              <w:rPr>
                <w:rFonts w:ascii="Times New Roman" w:hAnsi="Times New Roman" w:eastAsia="宋体" w:cs="Times New Roman"/>
              </w:rPr>
              <w:t>+</w:t>
            </w:r>
            <w:r>
              <w:rPr>
                <w:rFonts w:hint="eastAsia" w:ascii="Times New Roman" w:hAnsi="Times New Roman" w:eastAsia="宋体" w:cs="Times New Roman"/>
              </w:rPr>
              <w:t>730</w:t>
            </w:r>
            <w:r>
              <w:rPr>
                <w:rFonts w:ascii="Times New Roman" w:hAnsi="Times New Roman" w:eastAsia="宋体" w:cs="Times New Roman"/>
              </w:rPr>
              <w:t>～K</w:t>
            </w:r>
            <w:r>
              <w:rPr>
                <w:rFonts w:hint="eastAsia" w:ascii="Times New Roman" w:hAnsi="Times New Roman" w:eastAsia="宋体" w:cs="Times New Roman"/>
              </w:rPr>
              <w:t>45</w:t>
            </w:r>
            <w:r>
              <w:rPr>
                <w:rFonts w:ascii="Times New Roman" w:hAnsi="Times New Roman" w:eastAsia="宋体" w:cs="Times New Roman"/>
              </w:rPr>
              <w:t>+</w:t>
            </w:r>
            <w:r>
              <w:rPr>
                <w:rFonts w:hint="eastAsia" w:ascii="Times New Roman" w:hAnsi="Times New Roman" w:eastAsia="宋体" w:cs="Times New Roman"/>
              </w:rPr>
              <w:t>83</w:t>
            </w:r>
            <w:r>
              <w:rPr>
                <w:rFonts w:ascii="Times New Roman" w:hAnsi="Times New Roman" w:eastAsia="宋体" w:cs="Times New Roman"/>
              </w:rPr>
              <w:t>0</w:t>
            </w:r>
          </w:p>
        </w:tc>
        <w:tc>
          <w:tcPr>
            <w:tcW w:w="346" w:type="pct"/>
            <w:vAlign w:val="center"/>
          </w:tcPr>
          <w:p w14:paraId="662B8B27">
            <w:pPr>
              <w:adjustRightInd w:val="0"/>
              <w:snapToGrid w:val="0"/>
              <w:spacing w:line="240" w:lineRule="exact"/>
              <w:jc w:val="center"/>
              <w:rPr>
                <w:rFonts w:ascii="Times New Roman" w:hAnsi="Times New Roman" w:eastAsia="宋体" w:cs="Times New Roman"/>
              </w:rPr>
            </w:pPr>
            <w:r>
              <w:rPr>
                <w:rFonts w:hint="eastAsia" w:ascii="Times New Roman" w:hAnsi="Times New Roman" w:eastAsia="宋体" w:cs="Times New Roman"/>
              </w:rPr>
              <w:t>布鲁胡其</w:t>
            </w:r>
          </w:p>
        </w:tc>
        <w:tc>
          <w:tcPr>
            <w:tcW w:w="138" w:type="pct"/>
            <w:vAlign w:val="center"/>
          </w:tcPr>
          <w:p w14:paraId="1685603C">
            <w:pPr>
              <w:adjustRightInd w:val="0"/>
              <w:snapToGrid w:val="0"/>
              <w:spacing w:line="240" w:lineRule="exact"/>
              <w:jc w:val="center"/>
              <w:rPr>
                <w:rFonts w:ascii="Times New Roman" w:hAnsi="Times New Roman" w:eastAsia="宋体" w:cs="Times New Roman"/>
              </w:rPr>
            </w:pPr>
            <w:r>
              <w:rPr>
                <w:rFonts w:hint="eastAsia" w:ascii="Times New Roman" w:hAnsi="Times New Roman" w:eastAsia="宋体" w:cs="Times New Roman"/>
              </w:rPr>
              <w:t>两侧</w:t>
            </w:r>
          </w:p>
        </w:tc>
        <w:tc>
          <w:tcPr>
            <w:tcW w:w="209" w:type="pct"/>
            <w:vAlign w:val="center"/>
          </w:tcPr>
          <w:p w14:paraId="78095FDD">
            <w:pPr>
              <w:widowControl/>
              <w:adjustRightInd w:val="0"/>
              <w:snapToGrid w:val="0"/>
              <w:spacing w:line="240" w:lineRule="exact"/>
              <w:jc w:val="center"/>
              <w:rPr>
                <w:rFonts w:ascii="Times New Roman" w:hAnsi="Times New Roman" w:eastAsia="宋体" w:cs="Times New Roman"/>
              </w:rPr>
            </w:pPr>
            <w:r>
              <w:rPr>
                <w:rFonts w:hint="eastAsia" w:ascii="Times New Roman" w:hAnsi="Times New Roman" w:eastAsia="宋体" w:cs="Times New Roman"/>
              </w:rPr>
              <w:t>23</w:t>
            </w:r>
          </w:p>
        </w:tc>
        <w:tc>
          <w:tcPr>
            <w:tcW w:w="243" w:type="pct"/>
            <w:vAlign w:val="center"/>
          </w:tcPr>
          <w:p w14:paraId="518A27CD">
            <w:pPr>
              <w:adjustRightInd w:val="0"/>
              <w:snapToGrid w:val="0"/>
              <w:spacing w:line="240" w:lineRule="exact"/>
              <w:jc w:val="center"/>
              <w:rPr>
                <w:rFonts w:ascii="Times New Roman" w:hAnsi="Times New Roman" w:eastAsia="宋体" w:cs="Times New Roman"/>
              </w:rPr>
            </w:pPr>
            <w:r>
              <w:rPr>
                <w:rFonts w:hint="eastAsia" w:ascii="Times New Roman" w:hAnsi="Times New Roman" w:eastAsia="宋体" w:cs="Times New Roman"/>
              </w:rPr>
              <w:t>-/1.9</w:t>
            </w:r>
          </w:p>
        </w:tc>
        <w:tc>
          <w:tcPr>
            <w:tcW w:w="243" w:type="pct"/>
            <w:vAlign w:val="center"/>
          </w:tcPr>
          <w:p w14:paraId="43F95585">
            <w:pPr>
              <w:adjustRightInd w:val="0"/>
              <w:snapToGrid w:val="0"/>
              <w:spacing w:line="240" w:lineRule="exact"/>
              <w:jc w:val="center"/>
              <w:rPr>
                <w:rFonts w:ascii="Times New Roman" w:hAnsi="Times New Roman" w:eastAsia="宋体" w:cs="Times New Roman"/>
              </w:rPr>
            </w:pPr>
            <w:r>
              <w:rPr>
                <w:rFonts w:hint="eastAsia" w:ascii="Times New Roman" w:hAnsi="Times New Roman" w:eastAsia="宋体" w:cs="Times New Roman"/>
              </w:rPr>
              <w:t>-/2.1</w:t>
            </w:r>
          </w:p>
        </w:tc>
        <w:tc>
          <w:tcPr>
            <w:tcW w:w="190" w:type="pct"/>
            <w:shd w:val="clear" w:color="auto" w:fill="auto"/>
            <w:vAlign w:val="center"/>
          </w:tcPr>
          <w:p w14:paraId="1AB9DDCA">
            <w:pPr>
              <w:adjustRightInd w:val="0"/>
              <w:snapToGrid w:val="0"/>
              <w:spacing w:line="240" w:lineRule="exact"/>
              <w:jc w:val="center"/>
              <w:rPr>
                <w:rFonts w:ascii="Times New Roman" w:hAnsi="Times New Roman" w:eastAsia="宋体" w:cs="Times New Roman"/>
              </w:rPr>
            </w:pPr>
            <w:r>
              <w:rPr>
                <w:rFonts w:hint="eastAsia" w:ascii="Times New Roman" w:hAnsi="Times New Roman" w:eastAsia="宋体" w:cs="Times New Roman"/>
              </w:rPr>
              <w:t>10</w:t>
            </w:r>
          </w:p>
        </w:tc>
        <w:tc>
          <w:tcPr>
            <w:tcW w:w="190" w:type="pct"/>
            <w:shd w:val="clear" w:color="auto" w:fill="auto"/>
            <w:vAlign w:val="center"/>
          </w:tcPr>
          <w:p w14:paraId="525B563C">
            <w:pPr>
              <w:adjustRightInd w:val="0"/>
              <w:snapToGrid w:val="0"/>
              <w:spacing w:line="240" w:lineRule="exact"/>
              <w:jc w:val="center"/>
              <w:rPr>
                <w:rFonts w:ascii="Times New Roman" w:hAnsi="Times New Roman" w:eastAsia="宋体" w:cs="Times New Roman"/>
              </w:rPr>
            </w:pPr>
            <w:r>
              <w:rPr>
                <w:rFonts w:hint="eastAsia" w:ascii="Times New Roman" w:hAnsi="Times New Roman" w:eastAsia="宋体" w:cs="Times New Roman"/>
              </w:rPr>
              <w:t>30</w:t>
            </w:r>
          </w:p>
        </w:tc>
        <w:tc>
          <w:tcPr>
            <w:tcW w:w="2230" w:type="pct"/>
            <w:noWrap/>
            <w:vAlign w:val="center"/>
          </w:tcPr>
          <w:p w14:paraId="3D71AAA3">
            <w:pPr>
              <w:rPr>
                <w:rFonts w:ascii="Times New Roman" w:hAnsi="Times New Roman" w:eastAsia="宋体" w:cs="Times New Roman"/>
                <w:szCs w:val="21"/>
              </w:rPr>
            </w:pPr>
            <w:r>
              <w:rPr>
                <w:rFonts w:ascii="Times New Roman" w:hAnsi="Times New Roman" w:eastAsia="宋体" w:cs="Times New Roman"/>
                <w:szCs w:val="21"/>
              </w:rPr>
              <w:t>方案一：安装隔声窗，按每户1万元计，共</w:t>
            </w:r>
            <w:r>
              <w:rPr>
                <w:rFonts w:hint="eastAsia" w:ascii="Times New Roman" w:hAnsi="Times New Roman" w:eastAsia="宋体" w:cs="Times New Roman"/>
                <w:szCs w:val="21"/>
              </w:rPr>
              <w:t>40</w:t>
            </w:r>
            <w:r>
              <w:rPr>
                <w:rFonts w:ascii="Times New Roman" w:hAnsi="Times New Roman" w:eastAsia="宋体" w:cs="Times New Roman"/>
                <w:szCs w:val="21"/>
              </w:rPr>
              <w:t>户，投资</w:t>
            </w:r>
            <w:r>
              <w:rPr>
                <w:rFonts w:hint="eastAsia" w:ascii="Times New Roman" w:hAnsi="Times New Roman" w:eastAsia="宋体" w:cs="Times New Roman"/>
                <w:szCs w:val="21"/>
              </w:rPr>
              <w:t>40</w:t>
            </w:r>
            <w:r>
              <w:rPr>
                <w:rFonts w:ascii="Times New Roman" w:hAnsi="Times New Roman" w:eastAsia="宋体" w:cs="Times New Roman"/>
                <w:szCs w:val="21"/>
              </w:rPr>
              <w:t>万元，隔声量25dB。</w:t>
            </w:r>
          </w:p>
          <w:p w14:paraId="00EFEE52">
            <w:pPr>
              <w:adjustRightInd w:val="0"/>
              <w:snapToGrid w:val="0"/>
              <w:spacing w:line="240" w:lineRule="exact"/>
              <w:rPr>
                <w:rFonts w:ascii="Times New Roman" w:hAnsi="Times New Roman" w:eastAsia="宋体" w:cs="Times New Roman"/>
                <w:szCs w:val="21"/>
              </w:rPr>
            </w:pPr>
            <w:r>
              <w:rPr>
                <w:rFonts w:ascii="Times New Roman" w:hAnsi="Times New Roman" w:eastAsia="宋体" w:cs="Times New Roman"/>
                <w:szCs w:val="21"/>
              </w:rPr>
              <w:t>方案二：设置声屏障，拟建公路</w:t>
            </w:r>
            <w:r>
              <w:rPr>
                <w:rFonts w:hint="eastAsia" w:ascii="Times New Roman" w:hAnsi="Times New Roman" w:eastAsia="宋体" w:cs="Times New Roman"/>
                <w:szCs w:val="21"/>
              </w:rPr>
              <w:t>两侧</w:t>
            </w:r>
            <w:r>
              <w:rPr>
                <w:rFonts w:ascii="Times New Roman" w:hAnsi="Times New Roman" w:eastAsia="宋体" w:cs="Times New Roman"/>
              </w:rPr>
              <w:t>K</w:t>
            </w:r>
            <w:r>
              <w:rPr>
                <w:rFonts w:hint="eastAsia" w:ascii="Times New Roman" w:hAnsi="Times New Roman" w:eastAsia="宋体" w:cs="Times New Roman"/>
              </w:rPr>
              <w:t>45</w:t>
            </w:r>
            <w:r>
              <w:rPr>
                <w:rFonts w:ascii="Times New Roman" w:hAnsi="Times New Roman" w:eastAsia="宋体" w:cs="Times New Roman"/>
              </w:rPr>
              <w:t>+</w:t>
            </w:r>
            <w:r>
              <w:rPr>
                <w:rFonts w:hint="eastAsia" w:ascii="Times New Roman" w:hAnsi="Times New Roman" w:eastAsia="宋体" w:cs="Times New Roman"/>
              </w:rPr>
              <w:t>730</w:t>
            </w:r>
            <w:r>
              <w:rPr>
                <w:rFonts w:ascii="Times New Roman" w:hAnsi="Times New Roman" w:eastAsia="宋体" w:cs="Times New Roman"/>
              </w:rPr>
              <w:t>～K</w:t>
            </w:r>
            <w:r>
              <w:rPr>
                <w:rFonts w:hint="eastAsia" w:ascii="Times New Roman" w:hAnsi="Times New Roman" w:eastAsia="宋体" w:cs="Times New Roman"/>
              </w:rPr>
              <w:t>45</w:t>
            </w:r>
            <w:r>
              <w:rPr>
                <w:rFonts w:ascii="Times New Roman" w:hAnsi="Times New Roman" w:eastAsia="宋体" w:cs="Times New Roman"/>
              </w:rPr>
              <w:t>+</w:t>
            </w:r>
            <w:r>
              <w:rPr>
                <w:rFonts w:hint="eastAsia" w:ascii="Times New Roman" w:hAnsi="Times New Roman" w:eastAsia="宋体" w:cs="Times New Roman"/>
              </w:rPr>
              <w:t>83</w:t>
            </w:r>
            <w:r>
              <w:rPr>
                <w:rFonts w:ascii="Times New Roman" w:hAnsi="Times New Roman" w:eastAsia="宋体" w:cs="Times New Roman"/>
              </w:rPr>
              <w:t>0</w:t>
            </w:r>
            <w:r>
              <w:rPr>
                <w:rFonts w:hint="eastAsia" w:ascii="Times New Roman" w:hAnsi="Times New Roman" w:eastAsia="宋体" w:cs="Times New Roman"/>
                <w:szCs w:val="21"/>
              </w:rPr>
              <w:t>路段</w:t>
            </w:r>
            <w:r>
              <w:rPr>
                <w:rFonts w:ascii="Times New Roman" w:hAnsi="Times New Roman" w:eastAsia="宋体" w:cs="Times New Roman"/>
              </w:rPr>
              <w:t>房屋</w:t>
            </w:r>
            <w:r>
              <w:rPr>
                <w:rFonts w:hint="eastAsia" w:ascii="Times New Roman" w:hAnsi="Times New Roman" w:eastAsia="宋体" w:cs="Times New Roman"/>
              </w:rPr>
              <w:t>集中</w:t>
            </w:r>
            <w:r>
              <w:rPr>
                <w:rFonts w:ascii="Times New Roman" w:hAnsi="Times New Roman" w:eastAsia="宋体" w:cs="Times New Roman"/>
              </w:rPr>
              <w:t>分布于平交口两侧，</w:t>
            </w:r>
            <w:r>
              <w:rPr>
                <w:rFonts w:ascii="Times New Roman" w:hAnsi="Times New Roman" w:cs="Times New Roman" w:eastAsiaTheme="minorEastAsia"/>
                <w:szCs w:val="21"/>
              </w:rPr>
              <w:t>根据《</w:t>
            </w:r>
            <w:r>
              <w:rPr>
                <w:rFonts w:hint="eastAsia" w:ascii="Times New Roman" w:hAnsi="Times New Roman" w:cs="Times New Roman" w:eastAsiaTheme="minorEastAsia"/>
                <w:szCs w:val="21"/>
              </w:rPr>
              <w:t>公路路线设计规范（JTG D20—2017）</w:t>
            </w:r>
            <w:r>
              <w:rPr>
                <w:rFonts w:ascii="Times New Roman" w:hAnsi="Times New Roman" w:cs="Times New Roman" w:eastAsiaTheme="minorEastAsia"/>
                <w:szCs w:val="21"/>
              </w:rPr>
              <w:t>》，考虑行车安全视距，每处平交口两侧共需断开</w:t>
            </w:r>
            <w:r>
              <w:rPr>
                <w:rFonts w:hint="eastAsia" w:ascii="Times New Roman" w:hAnsi="Times New Roman" w:cs="Times New Roman" w:eastAsiaTheme="minorEastAsia"/>
                <w:szCs w:val="21"/>
              </w:rPr>
              <w:t>220m，该路段</w:t>
            </w:r>
            <w:r>
              <w:rPr>
                <w:rFonts w:ascii="Times New Roman" w:hAnsi="Times New Roman" w:eastAsia="宋体" w:cs="Times New Roman"/>
              </w:rPr>
              <w:t>平交口处无法设置声屏障</w:t>
            </w:r>
            <w:r>
              <w:rPr>
                <w:rFonts w:hint="eastAsia" w:ascii="Times New Roman" w:hAnsi="Times New Roman" w:eastAsia="宋体" w:cs="Times New Roman"/>
              </w:rPr>
              <w:t>。</w:t>
            </w:r>
          </w:p>
          <w:p w14:paraId="341D2942">
            <w:pPr>
              <w:widowControl/>
              <w:adjustRightInd w:val="0"/>
              <w:snapToGrid w:val="0"/>
              <w:spacing w:line="240" w:lineRule="exact"/>
              <w:rPr>
                <w:rFonts w:ascii="Times New Roman" w:hAnsi="Times New Roman" w:eastAsia="宋体" w:cs="Times New Roman"/>
                <w:szCs w:val="21"/>
              </w:rPr>
            </w:pPr>
            <w:r>
              <w:rPr>
                <w:rFonts w:ascii="Times New Roman" w:hAnsi="Times New Roman" w:eastAsia="宋体" w:cs="Times New Roman"/>
                <w:szCs w:val="21"/>
              </w:rPr>
              <w:t>推荐：综合考虑推荐方案</w:t>
            </w:r>
            <w:r>
              <w:rPr>
                <w:rFonts w:hint="eastAsia" w:ascii="Times New Roman" w:hAnsi="Times New Roman" w:eastAsia="宋体" w:cs="Times New Roman"/>
                <w:szCs w:val="21"/>
              </w:rPr>
              <w:t>一</w:t>
            </w:r>
            <w:r>
              <w:rPr>
                <w:rFonts w:ascii="Times New Roman" w:hAnsi="Times New Roman" w:eastAsia="宋体" w:cs="Times New Roman"/>
                <w:szCs w:val="21"/>
              </w:rPr>
              <w:t>。</w:t>
            </w:r>
          </w:p>
        </w:tc>
        <w:tc>
          <w:tcPr>
            <w:tcW w:w="242" w:type="pct"/>
            <w:vAlign w:val="center"/>
          </w:tcPr>
          <w:p w14:paraId="40621D85">
            <w:pPr>
              <w:widowControl/>
              <w:jc w:val="center"/>
              <w:rPr>
                <w:rFonts w:ascii="Times New Roman" w:hAnsi="Times New Roman" w:eastAsia="宋体" w:cs="Times New Roman"/>
                <w:kern w:val="0"/>
              </w:rPr>
            </w:pPr>
            <w:r>
              <w:rPr>
                <w:rFonts w:ascii="Times New Roman" w:hAnsi="Times New Roman" w:eastAsia="宋体" w:cs="Times New Roman"/>
                <w:kern w:val="0"/>
              </w:rPr>
              <w:t>隔声窗</w:t>
            </w:r>
          </w:p>
        </w:tc>
        <w:tc>
          <w:tcPr>
            <w:tcW w:w="260" w:type="pct"/>
            <w:vAlign w:val="center"/>
          </w:tcPr>
          <w:p w14:paraId="6DA0EAB8">
            <w:pPr>
              <w:widowControl/>
              <w:jc w:val="center"/>
              <w:rPr>
                <w:rFonts w:ascii="Times New Roman" w:hAnsi="Times New Roman" w:eastAsia="宋体" w:cs="Times New Roman"/>
                <w:kern w:val="0"/>
              </w:rPr>
            </w:pPr>
            <w:r>
              <w:rPr>
                <w:rFonts w:ascii="Times New Roman" w:hAnsi="Times New Roman" w:eastAsia="宋体" w:cs="Times New Roman"/>
                <w:kern w:val="0"/>
              </w:rPr>
              <w:t>室内达标</w:t>
            </w:r>
          </w:p>
        </w:tc>
        <w:tc>
          <w:tcPr>
            <w:tcW w:w="251" w:type="pct"/>
            <w:vAlign w:val="center"/>
          </w:tcPr>
          <w:p w14:paraId="325F344F">
            <w:pPr>
              <w:widowControl/>
              <w:adjustRightInd w:val="0"/>
              <w:snapToGrid w:val="0"/>
              <w:spacing w:line="240" w:lineRule="exact"/>
              <w:jc w:val="center"/>
              <w:rPr>
                <w:rFonts w:ascii="Times New Roman" w:hAnsi="宋体" w:eastAsia="宋体" w:cs="Times New Roman"/>
                <w:szCs w:val="21"/>
              </w:rPr>
            </w:pPr>
            <w:r>
              <w:rPr>
                <w:rFonts w:hint="eastAsia" w:ascii="Times New Roman" w:hAnsi="宋体" w:eastAsia="宋体" w:cs="Times New Roman"/>
                <w:szCs w:val="21"/>
              </w:rPr>
              <w:t>40</w:t>
            </w:r>
          </w:p>
        </w:tc>
      </w:tr>
      <w:tr w14:paraId="6F9320FA">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trHeight w:val="744" w:hRule="atLeast"/>
          <w:tblHeader/>
          <w:jc w:val="center"/>
        </w:trPr>
        <w:tc>
          <w:tcPr>
            <w:tcW w:w="180" w:type="pct"/>
            <w:vMerge w:val="restart"/>
            <w:noWrap/>
            <w:vAlign w:val="center"/>
          </w:tcPr>
          <w:p w14:paraId="689C67E9">
            <w:pPr>
              <w:adjustRightInd w:val="0"/>
              <w:snapToGrid w:val="0"/>
              <w:spacing w:line="240" w:lineRule="exact"/>
              <w:jc w:val="center"/>
              <w:rPr>
                <w:rFonts w:ascii="Times New Roman" w:hAnsi="Times New Roman" w:eastAsia="宋体" w:cs="Times New Roman"/>
              </w:rPr>
            </w:pPr>
            <w:r>
              <w:rPr>
                <w:rFonts w:hint="eastAsia" w:ascii="Times New Roman" w:hAnsi="Times New Roman" w:eastAsia="宋体" w:cs="Times New Roman"/>
              </w:rPr>
              <w:t>22</w:t>
            </w:r>
          </w:p>
        </w:tc>
        <w:tc>
          <w:tcPr>
            <w:tcW w:w="278" w:type="pct"/>
            <w:vAlign w:val="center"/>
          </w:tcPr>
          <w:p w14:paraId="406AAD33">
            <w:pPr>
              <w:widowControl/>
              <w:adjustRightInd w:val="0"/>
              <w:snapToGrid w:val="0"/>
              <w:spacing w:line="240" w:lineRule="exact"/>
              <w:jc w:val="center"/>
              <w:rPr>
                <w:rFonts w:ascii="Times New Roman" w:hAnsi="Times New Roman" w:eastAsia="宋体" w:cs="Times New Roman"/>
              </w:rPr>
            </w:pPr>
            <w:r>
              <w:rPr>
                <w:rFonts w:ascii="Times New Roman" w:hAnsi="Times New Roman" w:eastAsia="宋体" w:cs="Times New Roman"/>
              </w:rPr>
              <w:t>K</w:t>
            </w:r>
            <w:r>
              <w:rPr>
                <w:rFonts w:hint="eastAsia" w:ascii="Times New Roman" w:hAnsi="Times New Roman" w:eastAsia="宋体" w:cs="Times New Roman"/>
              </w:rPr>
              <w:t>46</w:t>
            </w:r>
            <w:r>
              <w:rPr>
                <w:rFonts w:ascii="Times New Roman" w:hAnsi="Times New Roman" w:eastAsia="宋体" w:cs="Times New Roman"/>
              </w:rPr>
              <w:t>+</w:t>
            </w:r>
            <w:r>
              <w:rPr>
                <w:rFonts w:hint="eastAsia" w:ascii="Times New Roman" w:hAnsi="Times New Roman" w:eastAsia="宋体" w:cs="Times New Roman"/>
              </w:rPr>
              <w:t>450</w:t>
            </w:r>
            <w:r>
              <w:rPr>
                <w:rFonts w:ascii="Times New Roman" w:hAnsi="Times New Roman" w:eastAsia="宋体" w:cs="Times New Roman"/>
              </w:rPr>
              <w:t>～K</w:t>
            </w:r>
            <w:r>
              <w:rPr>
                <w:rFonts w:hint="eastAsia" w:ascii="Times New Roman" w:hAnsi="Times New Roman" w:eastAsia="宋体" w:cs="Times New Roman"/>
              </w:rPr>
              <w:t>46</w:t>
            </w:r>
            <w:r>
              <w:rPr>
                <w:rFonts w:ascii="Times New Roman" w:hAnsi="Times New Roman" w:eastAsia="宋体" w:cs="Times New Roman"/>
              </w:rPr>
              <w:t>+</w:t>
            </w:r>
            <w:r>
              <w:rPr>
                <w:rFonts w:hint="eastAsia" w:ascii="Times New Roman" w:hAnsi="Times New Roman" w:eastAsia="宋体" w:cs="Times New Roman"/>
              </w:rPr>
              <w:t>65</w:t>
            </w:r>
            <w:r>
              <w:rPr>
                <w:rFonts w:ascii="Times New Roman" w:hAnsi="Times New Roman" w:eastAsia="宋体" w:cs="Times New Roman"/>
              </w:rPr>
              <w:t>0</w:t>
            </w:r>
          </w:p>
        </w:tc>
        <w:tc>
          <w:tcPr>
            <w:tcW w:w="346" w:type="pct"/>
            <w:vMerge w:val="restart"/>
            <w:vAlign w:val="center"/>
          </w:tcPr>
          <w:p w14:paraId="65821066">
            <w:pPr>
              <w:widowControl/>
              <w:adjustRightInd w:val="0"/>
              <w:snapToGrid w:val="0"/>
              <w:spacing w:line="240" w:lineRule="exact"/>
              <w:jc w:val="center"/>
              <w:rPr>
                <w:rFonts w:ascii="Times New Roman" w:hAnsi="Times New Roman" w:eastAsia="宋体" w:cs="Times New Roman"/>
              </w:rPr>
            </w:pPr>
            <w:r>
              <w:rPr>
                <w:rFonts w:hint="eastAsia" w:ascii="Times New Roman" w:hAnsi="Times New Roman" w:eastAsia="宋体" w:cs="Times New Roman"/>
              </w:rPr>
              <w:t>阿克霍伊拉卡尔瓦克</w:t>
            </w:r>
          </w:p>
        </w:tc>
        <w:tc>
          <w:tcPr>
            <w:tcW w:w="138" w:type="pct"/>
            <w:vAlign w:val="center"/>
          </w:tcPr>
          <w:p w14:paraId="64FAA67B">
            <w:pPr>
              <w:widowControl/>
              <w:adjustRightInd w:val="0"/>
              <w:snapToGrid w:val="0"/>
              <w:spacing w:line="240" w:lineRule="exact"/>
              <w:jc w:val="center"/>
              <w:rPr>
                <w:rFonts w:ascii="Times New Roman" w:hAnsi="Times New Roman" w:eastAsia="宋体" w:cs="Times New Roman"/>
              </w:rPr>
            </w:pPr>
            <w:r>
              <w:rPr>
                <w:rFonts w:ascii="Times New Roman" w:hAnsi="Times New Roman" w:eastAsia="宋体" w:cs="Times New Roman"/>
              </w:rPr>
              <w:t>路右</w:t>
            </w:r>
          </w:p>
        </w:tc>
        <w:tc>
          <w:tcPr>
            <w:tcW w:w="209" w:type="pct"/>
            <w:vMerge w:val="restart"/>
            <w:vAlign w:val="center"/>
          </w:tcPr>
          <w:p w14:paraId="2148760B">
            <w:pPr>
              <w:widowControl/>
              <w:adjustRightInd w:val="0"/>
              <w:snapToGrid w:val="0"/>
              <w:spacing w:line="240" w:lineRule="exact"/>
              <w:jc w:val="center"/>
              <w:rPr>
                <w:rFonts w:ascii="Times New Roman" w:hAnsi="Times New Roman" w:eastAsia="宋体" w:cs="Times New Roman"/>
              </w:rPr>
            </w:pPr>
            <w:r>
              <w:rPr>
                <w:rFonts w:hint="eastAsia" w:ascii="Times New Roman" w:hAnsi="Times New Roman" w:eastAsia="宋体" w:cs="Times New Roman"/>
              </w:rPr>
              <w:t>22</w:t>
            </w:r>
          </w:p>
        </w:tc>
        <w:tc>
          <w:tcPr>
            <w:tcW w:w="243" w:type="pct"/>
            <w:vMerge w:val="restart"/>
            <w:vAlign w:val="center"/>
          </w:tcPr>
          <w:p w14:paraId="440DF750">
            <w:pPr>
              <w:adjustRightInd w:val="0"/>
              <w:snapToGrid w:val="0"/>
              <w:spacing w:line="240" w:lineRule="exact"/>
              <w:jc w:val="center"/>
              <w:rPr>
                <w:rFonts w:ascii="Times New Roman" w:hAnsi="Times New Roman" w:eastAsia="宋体" w:cs="Times New Roman"/>
              </w:rPr>
            </w:pPr>
            <w:r>
              <w:rPr>
                <w:rFonts w:hint="eastAsia" w:ascii="Times New Roman" w:hAnsi="Times New Roman" w:eastAsia="宋体" w:cs="Times New Roman"/>
              </w:rPr>
              <w:t>-/3.7</w:t>
            </w:r>
          </w:p>
        </w:tc>
        <w:tc>
          <w:tcPr>
            <w:tcW w:w="243" w:type="pct"/>
            <w:vMerge w:val="restart"/>
            <w:vAlign w:val="center"/>
          </w:tcPr>
          <w:p w14:paraId="4B520DE5">
            <w:pPr>
              <w:adjustRightInd w:val="0"/>
              <w:snapToGrid w:val="0"/>
              <w:spacing w:line="240" w:lineRule="exact"/>
              <w:jc w:val="center"/>
              <w:rPr>
                <w:rFonts w:ascii="Times New Roman" w:hAnsi="Times New Roman" w:eastAsia="宋体" w:cs="Times New Roman"/>
              </w:rPr>
            </w:pPr>
            <w:r>
              <w:rPr>
                <w:rFonts w:hint="eastAsia" w:ascii="Times New Roman" w:hAnsi="Times New Roman" w:eastAsia="宋体" w:cs="Times New Roman"/>
              </w:rPr>
              <w:t>-/3.8</w:t>
            </w:r>
          </w:p>
        </w:tc>
        <w:tc>
          <w:tcPr>
            <w:tcW w:w="190" w:type="pct"/>
            <w:vMerge w:val="restart"/>
            <w:shd w:val="clear" w:color="auto" w:fill="auto"/>
            <w:vAlign w:val="center"/>
          </w:tcPr>
          <w:p w14:paraId="6512855F">
            <w:pPr>
              <w:widowControl/>
              <w:adjustRightInd w:val="0"/>
              <w:snapToGrid w:val="0"/>
              <w:spacing w:line="240" w:lineRule="exact"/>
              <w:jc w:val="center"/>
              <w:rPr>
                <w:rFonts w:ascii="Times New Roman" w:hAnsi="Times New Roman" w:eastAsia="宋体" w:cs="Times New Roman"/>
              </w:rPr>
            </w:pPr>
            <w:r>
              <w:rPr>
                <w:rFonts w:hint="eastAsia" w:ascii="Times New Roman" w:hAnsi="Times New Roman" w:eastAsia="宋体" w:cs="Times New Roman"/>
              </w:rPr>
              <w:t>15</w:t>
            </w:r>
          </w:p>
        </w:tc>
        <w:tc>
          <w:tcPr>
            <w:tcW w:w="190" w:type="pct"/>
            <w:vMerge w:val="restart"/>
            <w:shd w:val="clear" w:color="auto" w:fill="auto"/>
            <w:vAlign w:val="center"/>
          </w:tcPr>
          <w:p w14:paraId="1ACED229">
            <w:pPr>
              <w:widowControl/>
              <w:adjustRightInd w:val="0"/>
              <w:snapToGrid w:val="0"/>
              <w:spacing w:line="240" w:lineRule="exact"/>
              <w:jc w:val="center"/>
              <w:rPr>
                <w:rFonts w:ascii="Times New Roman" w:hAnsi="Times New Roman" w:eastAsia="宋体" w:cs="Times New Roman"/>
              </w:rPr>
            </w:pPr>
            <w:r>
              <w:rPr>
                <w:rFonts w:hint="eastAsia" w:ascii="Times New Roman" w:hAnsi="Times New Roman" w:eastAsia="宋体" w:cs="Times New Roman"/>
              </w:rPr>
              <w:t>30</w:t>
            </w:r>
          </w:p>
        </w:tc>
        <w:tc>
          <w:tcPr>
            <w:tcW w:w="2230" w:type="pct"/>
            <w:vMerge w:val="restart"/>
            <w:noWrap/>
            <w:vAlign w:val="center"/>
          </w:tcPr>
          <w:p w14:paraId="24E4B20B">
            <w:pPr>
              <w:rPr>
                <w:rFonts w:ascii="Times New Roman" w:hAnsi="Times New Roman" w:eastAsia="宋体" w:cs="Times New Roman"/>
                <w:szCs w:val="21"/>
              </w:rPr>
            </w:pPr>
            <w:r>
              <w:rPr>
                <w:rFonts w:ascii="Times New Roman" w:hAnsi="Times New Roman" w:eastAsia="宋体" w:cs="Times New Roman"/>
                <w:szCs w:val="21"/>
              </w:rPr>
              <w:t>方案一：安装隔声窗，按每户1万元计，共</w:t>
            </w:r>
            <w:r>
              <w:rPr>
                <w:rFonts w:hint="eastAsia" w:ascii="Times New Roman" w:hAnsi="Times New Roman" w:eastAsia="宋体" w:cs="Times New Roman"/>
                <w:szCs w:val="21"/>
              </w:rPr>
              <w:t>45</w:t>
            </w:r>
            <w:r>
              <w:rPr>
                <w:rFonts w:ascii="Times New Roman" w:hAnsi="Times New Roman" w:eastAsia="宋体" w:cs="Times New Roman"/>
                <w:szCs w:val="21"/>
              </w:rPr>
              <w:t>户，投资</w:t>
            </w:r>
            <w:r>
              <w:rPr>
                <w:rFonts w:hint="eastAsia" w:ascii="Times New Roman" w:hAnsi="Times New Roman" w:eastAsia="宋体" w:cs="Times New Roman"/>
                <w:szCs w:val="21"/>
              </w:rPr>
              <w:t>45</w:t>
            </w:r>
            <w:r>
              <w:rPr>
                <w:rFonts w:ascii="Times New Roman" w:hAnsi="Times New Roman" w:eastAsia="宋体" w:cs="Times New Roman"/>
                <w:szCs w:val="21"/>
              </w:rPr>
              <w:t>万元，隔声量25dB。</w:t>
            </w:r>
          </w:p>
          <w:p w14:paraId="1774211F">
            <w:pPr>
              <w:adjustRightInd w:val="0"/>
              <w:snapToGrid w:val="0"/>
              <w:spacing w:line="240" w:lineRule="exact"/>
              <w:rPr>
                <w:rFonts w:ascii="Times New Roman" w:hAnsi="Times New Roman" w:eastAsia="宋体" w:cs="Times New Roman"/>
              </w:rPr>
            </w:pPr>
            <w:r>
              <w:rPr>
                <w:rFonts w:ascii="Times New Roman" w:hAnsi="Times New Roman" w:eastAsia="宋体" w:cs="Times New Roman"/>
                <w:szCs w:val="21"/>
              </w:rPr>
              <w:t>方案二：设置声屏障，拟建公路</w:t>
            </w:r>
            <w:r>
              <w:rPr>
                <w:rFonts w:hint="eastAsia" w:ascii="Times New Roman" w:hAnsi="Times New Roman" w:eastAsia="宋体" w:cs="Times New Roman"/>
                <w:szCs w:val="21"/>
              </w:rPr>
              <w:t>右</w:t>
            </w:r>
            <w:r>
              <w:rPr>
                <w:rFonts w:ascii="Times New Roman" w:hAnsi="Times New Roman" w:eastAsia="宋体" w:cs="Times New Roman"/>
                <w:szCs w:val="21"/>
              </w:rPr>
              <w:t>侧</w:t>
            </w:r>
            <w:r>
              <w:rPr>
                <w:rFonts w:ascii="Times New Roman" w:hAnsi="Times New Roman" w:eastAsia="宋体" w:cs="Times New Roman"/>
              </w:rPr>
              <w:t>K</w:t>
            </w:r>
            <w:r>
              <w:rPr>
                <w:rFonts w:hint="eastAsia" w:ascii="Times New Roman" w:hAnsi="Times New Roman" w:eastAsia="宋体" w:cs="Times New Roman"/>
              </w:rPr>
              <w:t>46</w:t>
            </w:r>
            <w:r>
              <w:rPr>
                <w:rFonts w:ascii="Times New Roman" w:hAnsi="Times New Roman" w:eastAsia="宋体" w:cs="Times New Roman"/>
              </w:rPr>
              <w:t>+</w:t>
            </w:r>
            <w:r>
              <w:rPr>
                <w:rFonts w:hint="eastAsia" w:ascii="Times New Roman" w:hAnsi="Times New Roman" w:eastAsia="宋体" w:cs="Times New Roman"/>
              </w:rPr>
              <w:t>450</w:t>
            </w:r>
            <w:r>
              <w:rPr>
                <w:rFonts w:ascii="Times New Roman" w:hAnsi="Times New Roman" w:eastAsia="宋体" w:cs="Times New Roman"/>
              </w:rPr>
              <w:t>～K</w:t>
            </w:r>
            <w:r>
              <w:rPr>
                <w:rFonts w:hint="eastAsia" w:ascii="Times New Roman" w:hAnsi="Times New Roman" w:eastAsia="宋体" w:cs="Times New Roman"/>
              </w:rPr>
              <w:t>46</w:t>
            </w:r>
            <w:r>
              <w:rPr>
                <w:rFonts w:ascii="Times New Roman" w:hAnsi="Times New Roman" w:eastAsia="宋体" w:cs="Times New Roman"/>
              </w:rPr>
              <w:t>+</w:t>
            </w:r>
            <w:r>
              <w:rPr>
                <w:rFonts w:hint="eastAsia" w:ascii="Times New Roman" w:hAnsi="Times New Roman" w:eastAsia="宋体" w:cs="Times New Roman"/>
              </w:rPr>
              <w:t>65</w:t>
            </w:r>
            <w:r>
              <w:rPr>
                <w:rFonts w:ascii="Times New Roman" w:hAnsi="Times New Roman" w:eastAsia="宋体" w:cs="Times New Roman"/>
              </w:rPr>
              <w:t>0路段设置有</w:t>
            </w:r>
            <w:r>
              <w:rPr>
                <w:rFonts w:hint="eastAsia" w:ascii="Times New Roman" w:hAnsi="Times New Roman" w:eastAsia="宋体" w:cs="Times New Roman"/>
              </w:rPr>
              <w:t>2处平交口，</w:t>
            </w:r>
            <w:r>
              <w:rPr>
                <w:rFonts w:ascii="Times New Roman" w:hAnsi="Times New Roman" w:eastAsia="宋体" w:cs="Times New Roman"/>
                <w:szCs w:val="21"/>
              </w:rPr>
              <w:t>拟建公路左侧</w:t>
            </w:r>
            <w:r>
              <w:rPr>
                <w:rFonts w:ascii="Times New Roman" w:hAnsi="Times New Roman" w:eastAsia="宋体" w:cs="Times New Roman"/>
              </w:rPr>
              <w:t>K</w:t>
            </w:r>
            <w:r>
              <w:rPr>
                <w:rFonts w:hint="eastAsia" w:ascii="Times New Roman" w:hAnsi="Times New Roman" w:eastAsia="宋体" w:cs="Times New Roman"/>
              </w:rPr>
              <w:t>46</w:t>
            </w:r>
            <w:r>
              <w:rPr>
                <w:rFonts w:ascii="Times New Roman" w:hAnsi="Times New Roman" w:eastAsia="宋体" w:cs="Times New Roman"/>
              </w:rPr>
              <w:t>+</w:t>
            </w:r>
            <w:r>
              <w:rPr>
                <w:rFonts w:hint="eastAsia" w:ascii="Times New Roman" w:hAnsi="Times New Roman" w:eastAsia="宋体" w:cs="Times New Roman"/>
              </w:rPr>
              <w:t>550</w:t>
            </w:r>
            <w:r>
              <w:rPr>
                <w:rFonts w:ascii="Times New Roman" w:hAnsi="Times New Roman" w:eastAsia="宋体" w:cs="Times New Roman"/>
              </w:rPr>
              <w:t>～K</w:t>
            </w:r>
            <w:r>
              <w:rPr>
                <w:rFonts w:hint="eastAsia" w:ascii="Times New Roman" w:hAnsi="Times New Roman" w:eastAsia="宋体" w:cs="Times New Roman"/>
              </w:rPr>
              <w:t>46</w:t>
            </w:r>
            <w:r>
              <w:rPr>
                <w:rFonts w:ascii="Times New Roman" w:hAnsi="Times New Roman" w:eastAsia="宋体" w:cs="Times New Roman"/>
              </w:rPr>
              <w:t>+</w:t>
            </w:r>
            <w:r>
              <w:rPr>
                <w:rFonts w:hint="eastAsia" w:ascii="Times New Roman" w:hAnsi="Times New Roman" w:eastAsia="宋体" w:cs="Times New Roman"/>
              </w:rPr>
              <w:t>65</w:t>
            </w:r>
            <w:r>
              <w:rPr>
                <w:rFonts w:ascii="Times New Roman" w:hAnsi="Times New Roman" w:eastAsia="宋体" w:cs="Times New Roman"/>
              </w:rPr>
              <w:t>0路段设置有</w:t>
            </w:r>
            <w:r>
              <w:rPr>
                <w:rFonts w:hint="eastAsia" w:ascii="Times New Roman" w:hAnsi="Times New Roman" w:eastAsia="宋体" w:cs="Times New Roman"/>
              </w:rPr>
              <w:t>1处平交口，</w:t>
            </w:r>
            <w:r>
              <w:rPr>
                <w:rFonts w:ascii="Times New Roman" w:hAnsi="Times New Roman" w:eastAsia="宋体" w:cs="Times New Roman"/>
              </w:rPr>
              <w:t>房屋</w:t>
            </w:r>
            <w:r>
              <w:rPr>
                <w:rFonts w:hint="eastAsia" w:ascii="Times New Roman" w:hAnsi="Times New Roman" w:eastAsia="宋体" w:cs="Times New Roman"/>
              </w:rPr>
              <w:t>集中</w:t>
            </w:r>
            <w:r>
              <w:rPr>
                <w:rFonts w:ascii="Times New Roman" w:hAnsi="Times New Roman" w:eastAsia="宋体" w:cs="Times New Roman"/>
              </w:rPr>
              <w:t>分布于平交口两侧，</w:t>
            </w:r>
            <w:r>
              <w:rPr>
                <w:rFonts w:ascii="Times New Roman" w:hAnsi="Times New Roman" w:cs="Times New Roman" w:eastAsiaTheme="minorEastAsia"/>
                <w:szCs w:val="21"/>
              </w:rPr>
              <w:t>根据《</w:t>
            </w:r>
            <w:r>
              <w:rPr>
                <w:rFonts w:hint="eastAsia" w:ascii="Times New Roman" w:hAnsi="Times New Roman" w:cs="Times New Roman" w:eastAsiaTheme="minorEastAsia"/>
                <w:szCs w:val="21"/>
              </w:rPr>
              <w:t>公路路线设计规范（JTG D20—2017）</w:t>
            </w:r>
            <w:r>
              <w:rPr>
                <w:rFonts w:ascii="Times New Roman" w:hAnsi="Times New Roman" w:cs="Times New Roman" w:eastAsiaTheme="minorEastAsia"/>
                <w:szCs w:val="21"/>
              </w:rPr>
              <w:t>》，考虑行车安全视距，每处平交口两侧共需断开</w:t>
            </w:r>
            <w:r>
              <w:rPr>
                <w:rFonts w:hint="eastAsia" w:ascii="Times New Roman" w:hAnsi="Times New Roman" w:cs="Times New Roman" w:eastAsiaTheme="minorEastAsia"/>
                <w:szCs w:val="21"/>
              </w:rPr>
              <w:t>220m，该路段</w:t>
            </w:r>
            <w:r>
              <w:rPr>
                <w:rFonts w:ascii="Times New Roman" w:hAnsi="Times New Roman" w:eastAsia="宋体" w:cs="Times New Roman"/>
              </w:rPr>
              <w:t>平交口处无法设置声屏障。</w:t>
            </w:r>
          </w:p>
          <w:p w14:paraId="1ABDD869">
            <w:pPr>
              <w:widowControl/>
              <w:adjustRightInd w:val="0"/>
              <w:snapToGrid w:val="0"/>
              <w:spacing w:line="240" w:lineRule="exact"/>
              <w:rPr>
                <w:rFonts w:ascii="Times New Roman" w:hAnsi="Times New Roman" w:eastAsia="宋体" w:cs="Times New Roman"/>
                <w:szCs w:val="21"/>
              </w:rPr>
            </w:pPr>
            <w:r>
              <w:rPr>
                <w:rFonts w:ascii="Times New Roman" w:hAnsi="Times New Roman" w:eastAsia="宋体" w:cs="Times New Roman"/>
                <w:szCs w:val="21"/>
              </w:rPr>
              <w:t>推荐：综合考虑推荐方案</w:t>
            </w:r>
            <w:r>
              <w:rPr>
                <w:rFonts w:hint="eastAsia" w:ascii="Times New Roman" w:hAnsi="Times New Roman" w:eastAsia="宋体" w:cs="Times New Roman"/>
                <w:szCs w:val="21"/>
              </w:rPr>
              <w:t>一</w:t>
            </w:r>
            <w:r>
              <w:rPr>
                <w:rFonts w:ascii="Times New Roman" w:hAnsi="Times New Roman" w:eastAsia="宋体" w:cs="Times New Roman"/>
                <w:szCs w:val="21"/>
              </w:rPr>
              <w:t>。</w:t>
            </w:r>
          </w:p>
        </w:tc>
        <w:tc>
          <w:tcPr>
            <w:tcW w:w="242" w:type="pct"/>
            <w:vMerge w:val="restart"/>
            <w:vAlign w:val="center"/>
          </w:tcPr>
          <w:p w14:paraId="3D47F383">
            <w:pPr>
              <w:jc w:val="center"/>
              <w:rPr>
                <w:rFonts w:ascii="Times New Roman" w:hAnsi="Times New Roman" w:eastAsia="宋体" w:cs="Times New Roman"/>
                <w:kern w:val="0"/>
              </w:rPr>
            </w:pPr>
            <w:r>
              <w:rPr>
                <w:rFonts w:ascii="Times New Roman" w:hAnsi="Times New Roman" w:eastAsia="宋体" w:cs="Times New Roman"/>
                <w:kern w:val="0"/>
              </w:rPr>
              <w:t>隔声窗</w:t>
            </w:r>
          </w:p>
        </w:tc>
        <w:tc>
          <w:tcPr>
            <w:tcW w:w="260" w:type="pct"/>
            <w:vMerge w:val="restart"/>
            <w:vAlign w:val="center"/>
          </w:tcPr>
          <w:p w14:paraId="62FE24D9">
            <w:pPr>
              <w:jc w:val="center"/>
              <w:rPr>
                <w:rFonts w:ascii="Times New Roman" w:hAnsi="Times New Roman" w:eastAsia="宋体" w:cs="Times New Roman"/>
                <w:kern w:val="0"/>
              </w:rPr>
            </w:pPr>
            <w:r>
              <w:rPr>
                <w:rFonts w:ascii="Times New Roman" w:hAnsi="Times New Roman" w:eastAsia="宋体" w:cs="Times New Roman"/>
                <w:kern w:val="0"/>
              </w:rPr>
              <w:t>室内达标</w:t>
            </w:r>
          </w:p>
        </w:tc>
        <w:tc>
          <w:tcPr>
            <w:tcW w:w="251" w:type="pct"/>
            <w:vMerge w:val="restart"/>
            <w:vAlign w:val="center"/>
          </w:tcPr>
          <w:p w14:paraId="7E3CF742">
            <w:pPr>
              <w:widowControl/>
              <w:adjustRightInd w:val="0"/>
              <w:snapToGrid w:val="0"/>
              <w:spacing w:line="240" w:lineRule="exact"/>
              <w:jc w:val="center"/>
              <w:rPr>
                <w:rFonts w:ascii="Times New Roman" w:hAnsi="宋体" w:eastAsia="宋体" w:cs="Times New Roman"/>
                <w:szCs w:val="21"/>
              </w:rPr>
            </w:pPr>
            <w:r>
              <w:rPr>
                <w:rFonts w:hint="eastAsia" w:ascii="Times New Roman" w:hAnsi="宋体" w:eastAsia="宋体" w:cs="Times New Roman"/>
                <w:szCs w:val="21"/>
              </w:rPr>
              <w:t>45</w:t>
            </w:r>
          </w:p>
        </w:tc>
      </w:tr>
      <w:tr w14:paraId="116EC145">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trHeight w:val="150" w:hRule="atLeast"/>
          <w:tblHeader/>
          <w:jc w:val="center"/>
        </w:trPr>
        <w:tc>
          <w:tcPr>
            <w:tcW w:w="180" w:type="pct"/>
            <w:vMerge w:val="continue"/>
            <w:noWrap/>
            <w:vAlign w:val="center"/>
          </w:tcPr>
          <w:p w14:paraId="19EBBD7E">
            <w:pPr>
              <w:adjustRightInd w:val="0"/>
              <w:snapToGrid w:val="0"/>
              <w:spacing w:line="240" w:lineRule="exact"/>
              <w:jc w:val="center"/>
              <w:rPr>
                <w:rFonts w:ascii="Times New Roman" w:hAnsi="Times New Roman" w:eastAsia="宋体" w:cs="Times New Roman"/>
              </w:rPr>
            </w:pPr>
          </w:p>
        </w:tc>
        <w:tc>
          <w:tcPr>
            <w:tcW w:w="278" w:type="pct"/>
            <w:vAlign w:val="center"/>
          </w:tcPr>
          <w:p w14:paraId="6FCC933D">
            <w:pPr>
              <w:widowControl/>
              <w:adjustRightInd w:val="0"/>
              <w:snapToGrid w:val="0"/>
              <w:spacing w:line="240" w:lineRule="exact"/>
              <w:jc w:val="center"/>
              <w:rPr>
                <w:rFonts w:ascii="Times New Roman" w:hAnsi="Times New Roman" w:eastAsia="宋体" w:cs="Times New Roman"/>
              </w:rPr>
            </w:pPr>
            <w:r>
              <w:rPr>
                <w:rFonts w:ascii="Times New Roman" w:hAnsi="Times New Roman" w:eastAsia="宋体" w:cs="Times New Roman"/>
              </w:rPr>
              <w:t>K</w:t>
            </w:r>
            <w:r>
              <w:rPr>
                <w:rFonts w:hint="eastAsia" w:ascii="Times New Roman" w:hAnsi="Times New Roman" w:eastAsia="宋体" w:cs="Times New Roman"/>
              </w:rPr>
              <w:t>46</w:t>
            </w:r>
            <w:r>
              <w:rPr>
                <w:rFonts w:ascii="Times New Roman" w:hAnsi="Times New Roman" w:eastAsia="宋体" w:cs="Times New Roman"/>
              </w:rPr>
              <w:t>+</w:t>
            </w:r>
            <w:r>
              <w:rPr>
                <w:rFonts w:hint="eastAsia" w:ascii="Times New Roman" w:hAnsi="Times New Roman" w:eastAsia="宋体" w:cs="Times New Roman"/>
              </w:rPr>
              <w:t>550</w:t>
            </w:r>
            <w:r>
              <w:rPr>
                <w:rFonts w:ascii="Times New Roman" w:hAnsi="Times New Roman" w:eastAsia="宋体" w:cs="Times New Roman"/>
              </w:rPr>
              <w:t>～K</w:t>
            </w:r>
            <w:r>
              <w:rPr>
                <w:rFonts w:hint="eastAsia" w:ascii="Times New Roman" w:hAnsi="Times New Roman" w:eastAsia="宋体" w:cs="Times New Roman"/>
              </w:rPr>
              <w:t>46</w:t>
            </w:r>
            <w:r>
              <w:rPr>
                <w:rFonts w:ascii="Times New Roman" w:hAnsi="Times New Roman" w:eastAsia="宋体" w:cs="Times New Roman"/>
              </w:rPr>
              <w:t>+</w:t>
            </w:r>
            <w:r>
              <w:rPr>
                <w:rFonts w:hint="eastAsia" w:ascii="Times New Roman" w:hAnsi="Times New Roman" w:eastAsia="宋体" w:cs="Times New Roman"/>
              </w:rPr>
              <w:t>65</w:t>
            </w:r>
            <w:r>
              <w:rPr>
                <w:rFonts w:ascii="Times New Roman" w:hAnsi="Times New Roman" w:eastAsia="宋体" w:cs="Times New Roman"/>
              </w:rPr>
              <w:t>0</w:t>
            </w:r>
          </w:p>
        </w:tc>
        <w:tc>
          <w:tcPr>
            <w:tcW w:w="346" w:type="pct"/>
            <w:vMerge w:val="continue"/>
            <w:vAlign w:val="center"/>
          </w:tcPr>
          <w:p w14:paraId="4E11EE8A">
            <w:pPr>
              <w:widowControl/>
              <w:adjustRightInd w:val="0"/>
              <w:snapToGrid w:val="0"/>
              <w:spacing w:line="240" w:lineRule="exact"/>
              <w:jc w:val="center"/>
              <w:rPr>
                <w:rFonts w:ascii="Times New Roman" w:hAnsi="Times New Roman" w:eastAsia="宋体" w:cs="Times New Roman"/>
              </w:rPr>
            </w:pPr>
          </w:p>
        </w:tc>
        <w:tc>
          <w:tcPr>
            <w:tcW w:w="138" w:type="pct"/>
            <w:vAlign w:val="center"/>
          </w:tcPr>
          <w:p w14:paraId="289B5D3D">
            <w:pPr>
              <w:widowControl/>
              <w:adjustRightInd w:val="0"/>
              <w:snapToGrid w:val="0"/>
              <w:spacing w:line="240" w:lineRule="exact"/>
              <w:jc w:val="center"/>
              <w:rPr>
                <w:rFonts w:ascii="Times New Roman" w:hAnsi="Times New Roman" w:eastAsia="宋体" w:cs="Times New Roman"/>
              </w:rPr>
            </w:pPr>
            <w:r>
              <w:rPr>
                <w:rFonts w:ascii="Times New Roman" w:hAnsi="Times New Roman" w:eastAsia="宋体" w:cs="Times New Roman"/>
              </w:rPr>
              <w:t>路左</w:t>
            </w:r>
          </w:p>
        </w:tc>
        <w:tc>
          <w:tcPr>
            <w:tcW w:w="209" w:type="pct"/>
            <w:vMerge w:val="continue"/>
            <w:vAlign w:val="center"/>
          </w:tcPr>
          <w:p w14:paraId="58124ED5">
            <w:pPr>
              <w:widowControl/>
              <w:adjustRightInd w:val="0"/>
              <w:snapToGrid w:val="0"/>
              <w:spacing w:line="240" w:lineRule="exact"/>
              <w:jc w:val="center"/>
              <w:rPr>
                <w:rFonts w:ascii="Times New Roman" w:hAnsi="Times New Roman" w:eastAsia="宋体" w:cs="Times New Roman"/>
              </w:rPr>
            </w:pPr>
          </w:p>
        </w:tc>
        <w:tc>
          <w:tcPr>
            <w:tcW w:w="243" w:type="pct"/>
            <w:vMerge w:val="continue"/>
            <w:vAlign w:val="center"/>
          </w:tcPr>
          <w:p w14:paraId="5F270938">
            <w:pPr>
              <w:adjustRightInd w:val="0"/>
              <w:snapToGrid w:val="0"/>
              <w:spacing w:line="240" w:lineRule="exact"/>
              <w:jc w:val="center"/>
              <w:rPr>
                <w:rFonts w:ascii="Times New Roman" w:hAnsi="Times New Roman" w:eastAsia="宋体" w:cs="Times New Roman"/>
              </w:rPr>
            </w:pPr>
          </w:p>
        </w:tc>
        <w:tc>
          <w:tcPr>
            <w:tcW w:w="243" w:type="pct"/>
            <w:vMerge w:val="continue"/>
            <w:vAlign w:val="center"/>
          </w:tcPr>
          <w:p w14:paraId="2B5CD3CB">
            <w:pPr>
              <w:adjustRightInd w:val="0"/>
              <w:snapToGrid w:val="0"/>
              <w:spacing w:line="240" w:lineRule="exact"/>
              <w:jc w:val="center"/>
              <w:rPr>
                <w:rFonts w:ascii="Times New Roman" w:hAnsi="Times New Roman" w:eastAsia="宋体" w:cs="Times New Roman"/>
              </w:rPr>
            </w:pPr>
          </w:p>
        </w:tc>
        <w:tc>
          <w:tcPr>
            <w:tcW w:w="190" w:type="pct"/>
            <w:vMerge w:val="continue"/>
            <w:shd w:val="clear" w:color="auto" w:fill="auto"/>
            <w:vAlign w:val="center"/>
          </w:tcPr>
          <w:p w14:paraId="5E9BF53F">
            <w:pPr>
              <w:adjustRightInd w:val="0"/>
              <w:snapToGrid w:val="0"/>
              <w:spacing w:line="240" w:lineRule="exact"/>
              <w:jc w:val="center"/>
              <w:rPr>
                <w:rFonts w:ascii="Times New Roman" w:hAnsi="Times New Roman" w:eastAsia="宋体" w:cs="Times New Roman"/>
              </w:rPr>
            </w:pPr>
          </w:p>
        </w:tc>
        <w:tc>
          <w:tcPr>
            <w:tcW w:w="190" w:type="pct"/>
            <w:vMerge w:val="continue"/>
            <w:shd w:val="clear" w:color="auto" w:fill="auto"/>
            <w:vAlign w:val="center"/>
          </w:tcPr>
          <w:p w14:paraId="1BEA4FA9">
            <w:pPr>
              <w:adjustRightInd w:val="0"/>
              <w:snapToGrid w:val="0"/>
              <w:spacing w:line="240" w:lineRule="exact"/>
              <w:jc w:val="center"/>
              <w:rPr>
                <w:rFonts w:ascii="Times New Roman" w:hAnsi="Times New Roman" w:eastAsia="宋体" w:cs="Times New Roman"/>
              </w:rPr>
            </w:pPr>
          </w:p>
        </w:tc>
        <w:tc>
          <w:tcPr>
            <w:tcW w:w="2230" w:type="pct"/>
            <w:vMerge w:val="continue"/>
            <w:noWrap/>
            <w:vAlign w:val="center"/>
          </w:tcPr>
          <w:p w14:paraId="14A119D2">
            <w:pPr>
              <w:rPr>
                <w:rFonts w:ascii="Times New Roman" w:hAnsi="Times New Roman" w:eastAsia="宋体" w:cs="Times New Roman"/>
                <w:szCs w:val="21"/>
              </w:rPr>
            </w:pPr>
          </w:p>
        </w:tc>
        <w:tc>
          <w:tcPr>
            <w:tcW w:w="242" w:type="pct"/>
            <w:vMerge w:val="continue"/>
            <w:vAlign w:val="center"/>
          </w:tcPr>
          <w:p w14:paraId="07597668">
            <w:pPr>
              <w:jc w:val="center"/>
              <w:rPr>
                <w:rFonts w:ascii="Times New Roman" w:hAnsi="Times New Roman" w:eastAsia="宋体" w:cs="Times New Roman"/>
                <w:szCs w:val="21"/>
              </w:rPr>
            </w:pPr>
          </w:p>
        </w:tc>
        <w:tc>
          <w:tcPr>
            <w:tcW w:w="260" w:type="pct"/>
            <w:vMerge w:val="continue"/>
            <w:vAlign w:val="center"/>
          </w:tcPr>
          <w:p w14:paraId="77F080A6">
            <w:pPr>
              <w:jc w:val="center"/>
              <w:rPr>
                <w:rFonts w:ascii="Times New Roman" w:hAnsi="Times New Roman" w:eastAsia="宋体" w:cs="Times New Roman"/>
                <w:szCs w:val="21"/>
              </w:rPr>
            </w:pPr>
          </w:p>
        </w:tc>
        <w:tc>
          <w:tcPr>
            <w:tcW w:w="251" w:type="pct"/>
            <w:vMerge w:val="continue"/>
            <w:vAlign w:val="center"/>
          </w:tcPr>
          <w:p w14:paraId="3F8530A1">
            <w:pPr>
              <w:widowControl/>
              <w:adjustRightInd w:val="0"/>
              <w:snapToGrid w:val="0"/>
              <w:spacing w:line="240" w:lineRule="exact"/>
              <w:jc w:val="center"/>
              <w:rPr>
                <w:rFonts w:ascii="Times New Roman" w:hAnsi="Times New Roman" w:eastAsia="宋体" w:cs="Times New Roman"/>
                <w:szCs w:val="21"/>
              </w:rPr>
            </w:pPr>
          </w:p>
        </w:tc>
      </w:tr>
      <w:tr w14:paraId="7272A52C">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trHeight w:val="570" w:hRule="atLeast"/>
          <w:tblHeader/>
          <w:jc w:val="center"/>
        </w:trPr>
        <w:tc>
          <w:tcPr>
            <w:tcW w:w="180" w:type="pct"/>
            <w:vMerge w:val="restart"/>
            <w:noWrap/>
            <w:vAlign w:val="center"/>
          </w:tcPr>
          <w:p w14:paraId="752D8183">
            <w:pPr>
              <w:adjustRightInd w:val="0"/>
              <w:snapToGrid w:val="0"/>
              <w:spacing w:line="240" w:lineRule="exact"/>
              <w:jc w:val="center"/>
              <w:rPr>
                <w:rFonts w:ascii="Times New Roman" w:hAnsi="Times New Roman" w:eastAsia="宋体" w:cs="Times New Roman"/>
              </w:rPr>
            </w:pPr>
            <w:r>
              <w:rPr>
                <w:rFonts w:hint="eastAsia" w:ascii="Times New Roman" w:hAnsi="Times New Roman" w:eastAsia="宋体" w:cs="Times New Roman"/>
              </w:rPr>
              <w:t>23</w:t>
            </w:r>
          </w:p>
        </w:tc>
        <w:tc>
          <w:tcPr>
            <w:tcW w:w="278" w:type="pct"/>
            <w:vAlign w:val="center"/>
          </w:tcPr>
          <w:p w14:paraId="23F6199E">
            <w:pPr>
              <w:widowControl/>
              <w:adjustRightInd w:val="0"/>
              <w:snapToGrid w:val="0"/>
              <w:spacing w:line="240" w:lineRule="exact"/>
              <w:jc w:val="center"/>
              <w:rPr>
                <w:rFonts w:ascii="Times New Roman" w:hAnsi="Times New Roman" w:eastAsia="宋体" w:cs="Times New Roman"/>
              </w:rPr>
            </w:pPr>
            <w:r>
              <w:rPr>
                <w:rFonts w:ascii="Times New Roman" w:hAnsi="Times New Roman" w:eastAsia="宋体" w:cs="Times New Roman"/>
              </w:rPr>
              <w:t>K</w:t>
            </w:r>
            <w:r>
              <w:rPr>
                <w:rFonts w:hint="eastAsia" w:ascii="Times New Roman" w:hAnsi="Times New Roman" w:eastAsia="宋体" w:cs="Times New Roman"/>
              </w:rPr>
              <w:t>47</w:t>
            </w:r>
            <w:r>
              <w:rPr>
                <w:rFonts w:ascii="Times New Roman" w:hAnsi="Times New Roman" w:eastAsia="宋体" w:cs="Times New Roman"/>
              </w:rPr>
              <w:t>+</w:t>
            </w:r>
            <w:r>
              <w:rPr>
                <w:rFonts w:hint="eastAsia" w:ascii="Times New Roman" w:hAnsi="Times New Roman" w:eastAsia="宋体" w:cs="Times New Roman"/>
              </w:rPr>
              <w:t>380</w:t>
            </w:r>
            <w:r>
              <w:rPr>
                <w:rFonts w:ascii="Times New Roman" w:hAnsi="Times New Roman" w:eastAsia="宋体" w:cs="Times New Roman"/>
              </w:rPr>
              <w:t>～K</w:t>
            </w:r>
            <w:r>
              <w:rPr>
                <w:rFonts w:hint="eastAsia" w:ascii="Times New Roman" w:hAnsi="Times New Roman" w:eastAsia="宋体" w:cs="Times New Roman"/>
              </w:rPr>
              <w:t>47</w:t>
            </w:r>
            <w:r>
              <w:rPr>
                <w:rFonts w:ascii="Times New Roman" w:hAnsi="Times New Roman" w:eastAsia="宋体" w:cs="Times New Roman"/>
              </w:rPr>
              <w:t>+</w:t>
            </w:r>
            <w:r>
              <w:rPr>
                <w:rFonts w:hint="eastAsia" w:ascii="Times New Roman" w:hAnsi="Times New Roman" w:eastAsia="宋体" w:cs="Times New Roman"/>
              </w:rPr>
              <w:t>41</w:t>
            </w:r>
            <w:r>
              <w:rPr>
                <w:rFonts w:ascii="Times New Roman" w:hAnsi="Times New Roman" w:eastAsia="宋体" w:cs="Times New Roman"/>
              </w:rPr>
              <w:t>0</w:t>
            </w:r>
          </w:p>
        </w:tc>
        <w:tc>
          <w:tcPr>
            <w:tcW w:w="346" w:type="pct"/>
            <w:vMerge w:val="restart"/>
            <w:vAlign w:val="center"/>
          </w:tcPr>
          <w:p w14:paraId="7EBE4DA5">
            <w:pPr>
              <w:widowControl/>
              <w:adjustRightInd w:val="0"/>
              <w:snapToGrid w:val="0"/>
              <w:spacing w:line="240" w:lineRule="exact"/>
              <w:jc w:val="center"/>
              <w:rPr>
                <w:rFonts w:ascii="Times New Roman" w:hAnsi="Times New Roman" w:eastAsia="宋体" w:cs="Times New Roman"/>
              </w:rPr>
            </w:pPr>
            <w:r>
              <w:rPr>
                <w:rFonts w:hint="eastAsia" w:ascii="Times New Roman" w:hAnsi="Times New Roman" w:eastAsia="宋体" w:cs="Times New Roman"/>
              </w:rPr>
              <w:t>克孜勒吉依木村</w:t>
            </w:r>
          </w:p>
        </w:tc>
        <w:tc>
          <w:tcPr>
            <w:tcW w:w="138" w:type="pct"/>
            <w:vMerge w:val="restart"/>
            <w:vAlign w:val="center"/>
          </w:tcPr>
          <w:p w14:paraId="41C0F21E">
            <w:pPr>
              <w:widowControl/>
              <w:adjustRightInd w:val="0"/>
              <w:snapToGrid w:val="0"/>
              <w:spacing w:line="240" w:lineRule="exact"/>
              <w:jc w:val="center"/>
              <w:rPr>
                <w:rFonts w:ascii="Times New Roman" w:hAnsi="Times New Roman" w:eastAsia="宋体" w:cs="Times New Roman"/>
              </w:rPr>
            </w:pPr>
            <w:r>
              <w:rPr>
                <w:rFonts w:hint="eastAsia" w:ascii="Times New Roman" w:hAnsi="Times New Roman" w:eastAsia="宋体" w:cs="Times New Roman"/>
              </w:rPr>
              <w:t>两侧</w:t>
            </w:r>
          </w:p>
        </w:tc>
        <w:tc>
          <w:tcPr>
            <w:tcW w:w="209" w:type="pct"/>
            <w:vMerge w:val="restart"/>
            <w:vAlign w:val="center"/>
          </w:tcPr>
          <w:p w14:paraId="11B98D82">
            <w:pPr>
              <w:widowControl/>
              <w:adjustRightInd w:val="0"/>
              <w:snapToGrid w:val="0"/>
              <w:spacing w:line="240" w:lineRule="exact"/>
              <w:jc w:val="center"/>
              <w:rPr>
                <w:rFonts w:ascii="Times New Roman" w:hAnsi="Times New Roman" w:eastAsia="宋体" w:cs="Times New Roman"/>
              </w:rPr>
            </w:pPr>
            <w:r>
              <w:rPr>
                <w:rFonts w:hint="eastAsia" w:ascii="Times New Roman" w:hAnsi="Times New Roman" w:eastAsia="宋体" w:cs="Times New Roman"/>
              </w:rPr>
              <w:t>21</w:t>
            </w:r>
          </w:p>
        </w:tc>
        <w:tc>
          <w:tcPr>
            <w:tcW w:w="243" w:type="pct"/>
            <w:vMerge w:val="restart"/>
            <w:vAlign w:val="center"/>
          </w:tcPr>
          <w:p w14:paraId="515054DC">
            <w:pPr>
              <w:adjustRightInd w:val="0"/>
              <w:snapToGrid w:val="0"/>
              <w:spacing w:line="240" w:lineRule="exact"/>
              <w:jc w:val="center"/>
              <w:rPr>
                <w:rFonts w:ascii="Times New Roman" w:hAnsi="Times New Roman" w:eastAsia="宋体" w:cs="Times New Roman"/>
              </w:rPr>
            </w:pPr>
            <w:r>
              <w:rPr>
                <w:rFonts w:hint="eastAsia" w:ascii="Times New Roman" w:hAnsi="Times New Roman" w:eastAsia="宋体" w:cs="Times New Roman"/>
              </w:rPr>
              <w:t>-/6.2</w:t>
            </w:r>
          </w:p>
        </w:tc>
        <w:tc>
          <w:tcPr>
            <w:tcW w:w="243" w:type="pct"/>
            <w:vMerge w:val="restart"/>
            <w:vAlign w:val="center"/>
          </w:tcPr>
          <w:p w14:paraId="4FE2A49E">
            <w:pPr>
              <w:adjustRightInd w:val="0"/>
              <w:snapToGrid w:val="0"/>
              <w:spacing w:line="240" w:lineRule="exact"/>
              <w:jc w:val="center"/>
              <w:rPr>
                <w:rFonts w:ascii="Times New Roman" w:hAnsi="Times New Roman" w:eastAsia="宋体" w:cs="Times New Roman"/>
              </w:rPr>
            </w:pPr>
            <w:r>
              <w:rPr>
                <w:rFonts w:hint="eastAsia" w:ascii="Times New Roman" w:hAnsi="Times New Roman" w:eastAsia="宋体" w:cs="Times New Roman"/>
              </w:rPr>
              <w:t>-/4.9</w:t>
            </w:r>
          </w:p>
        </w:tc>
        <w:tc>
          <w:tcPr>
            <w:tcW w:w="190" w:type="pct"/>
            <w:vMerge w:val="restart"/>
            <w:shd w:val="clear" w:color="auto" w:fill="auto"/>
            <w:vAlign w:val="center"/>
          </w:tcPr>
          <w:p w14:paraId="0F0060BA">
            <w:pPr>
              <w:widowControl/>
              <w:adjustRightInd w:val="0"/>
              <w:snapToGrid w:val="0"/>
              <w:spacing w:line="240" w:lineRule="exact"/>
              <w:jc w:val="center"/>
              <w:rPr>
                <w:rFonts w:ascii="Times New Roman" w:hAnsi="Times New Roman" w:eastAsia="宋体" w:cs="Times New Roman"/>
              </w:rPr>
            </w:pPr>
            <w:r>
              <w:rPr>
                <w:rFonts w:hint="eastAsia" w:ascii="Times New Roman" w:hAnsi="Times New Roman" w:eastAsia="宋体" w:cs="Times New Roman"/>
              </w:rPr>
              <w:t>8</w:t>
            </w:r>
          </w:p>
        </w:tc>
        <w:tc>
          <w:tcPr>
            <w:tcW w:w="190" w:type="pct"/>
            <w:vMerge w:val="restart"/>
            <w:shd w:val="clear" w:color="auto" w:fill="auto"/>
            <w:vAlign w:val="center"/>
          </w:tcPr>
          <w:p w14:paraId="4A76F42C">
            <w:pPr>
              <w:widowControl/>
              <w:adjustRightInd w:val="0"/>
              <w:snapToGrid w:val="0"/>
              <w:spacing w:line="240" w:lineRule="exact"/>
              <w:jc w:val="center"/>
              <w:rPr>
                <w:rFonts w:ascii="Times New Roman" w:hAnsi="Times New Roman" w:eastAsia="宋体" w:cs="Times New Roman"/>
              </w:rPr>
            </w:pPr>
            <w:r>
              <w:rPr>
                <w:rFonts w:hint="eastAsia" w:ascii="Times New Roman" w:hAnsi="Times New Roman" w:eastAsia="宋体" w:cs="Times New Roman"/>
              </w:rPr>
              <w:t>30</w:t>
            </w:r>
          </w:p>
        </w:tc>
        <w:tc>
          <w:tcPr>
            <w:tcW w:w="2230" w:type="pct"/>
            <w:vMerge w:val="restart"/>
            <w:noWrap/>
            <w:vAlign w:val="center"/>
          </w:tcPr>
          <w:p w14:paraId="61DA624C">
            <w:pPr>
              <w:rPr>
                <w:rFonts w:ascii="Times New Roman" w:hAnsi="Times New Roman" w:eastAsia="宋体" w:cs="Times New Roman"/>
                <w:szCs w:val="21"/>
              </w:rPr>
            </w:pPr>
            <w:r>
              <w:rPr>
                <w:rFonts w:ascii="Times New Roman" w:hAnsi="Times New Roman" w:eastAsia="宋体" w:cs="Times New Roman"/>
                <w:szCs w:val="21"/>
              </w:rPr>
              <w:t>方案一：安装隔声窗，按每户1万元计，共</w:t>
            </w:r>
            <w:r>
              <w:rPr>
                <w:rFonts w:hint="eastAsia" w:ascii="Times New Roman" w:hAnsi="Times New Roman" w:eastAsia="宋体" w:cs="Times New Roman"/>
                <w:szCs w:val="21"/>
              </w:rPr>
              <w:t>38</w:t>
            </w:r>
            <w:r>
              <w:rPr>
                <w:rFonts w:ascii="Times New Roman" w:hAnsi="Times New Roman" w:eastAsia="宋体" w:cs="Times New Roman"/>
                <w:szCs w:val="21"/>
              </w:rPr>
              <w:t>户，投资</w:t>
            </w:r>
            <w:r>
              <w:rPr>
                <w:rFonts w:hint="eastAsia" w:ascii="Times New Roman" w:hAnsi="Times New Roman" w:eastAsia="宋体" w:cs="Times New Roman"/>
                <w:szCs w:val="21"/>
              </w:rPr>
              <w:t>38</w:t>
            </w:r>
            <w:r>
              <w:rPr>
                <w:rFonts w:ascii="Times New Roman" w:hAnsi="Times New Roman" w:eastAsia="宋体" w:cs="Times New Roman"/>
                <w:szCs w:val="21"/>
              </w:rPr>
              <w:t>万元，隔声量25dB。</w:t>
            </w:r>
          </w:p>
          <w:p w14:paraId="7D26C736">
            <w:pPr>
              <w:adjustRightInd w:val="0"/>
              <w:snapToGrid w:val="0"/>
              <w:spacing w:line="240" w:lineRule="exact"/>
              <w:rPr>
                <w:rFonts w:ascii="Times New Roman" w:hAnsi="Times New Roman" w:eastAsia="宋体" w:cs="Times New Roman"/>
                <w:szCs w:val="21"/>
              </w:rPr>
            </w:pPr>
            <w:r>
              <w:rPr>
                <w:rFonts w:ascii="Times New Roman" w:hAnsi="Times New Roman" w:eastAsia="宋体" w:cs="Times New Roman"/>
                <w:szCs w:val="21"/>
              </w:rPr>
              <w:t>方案二：设置声屏障，拟建公路两侧</w:t>
            </w:r>
            <w:r>
              <w:rPr>
                <w:rFonts w:ascii="Times New Roman" w:hAnsi="Times New Roman" w:eastAsia="宋体" w:cs="Times New Roman"/>
              </w:rPr>
              <w:t>K</w:t>
            </w:r>
            <w:r>
              <w:rPr>
                <w:rFonts w:hint="eastAsia" w:ascii="Times New Roman" w:hAnsi="Times New Roman" w:eastAsia="宋体" w:cs="Times New Roman"/>
              </w:rPr>
              <w:t>47</w:t>
            </w:r>
            <w:r>
              <w:rPr>
                <w:rFonts w:ascii="Times New Roman" w:hAnsi="Times New Roman" w:eastAsia="宋体" w:cs="Times New Roman"/>
              </w:rPr>
              <w:t>+</w:t>
            </w:r>
            <w:r>
              <w:rPr>
                <w:rFonts w:hint="eastAsia" w:ascii="Times New Roman" w:hAnsi="Times New Roman" w:eastAsia="宋体" w:cs="Times New Roman"/>
              </w:rPr>
              <w:t>380</w:t>
            </w:r>
            <w:r>
              <w:rPr>
                <w:rFonts w:ascii="Times New Roman" w:hAnsi="Times New Roman" w:eastAsia="宋体" w:cs="Times New Roman"/>
              </w:rPr>
              <w:t>～K</w:t>
            </w:r>
            <w:r>
              <w:rPr>
                <w:rFonts w:hint="eastAsia" w:ascii="Times New Roman" w:hAnsi="Times New Roman" w:eastAsia="宋体" w:cs="Times New Roman"/>
              </w:rPr>
              <w:t>47</w:t>
            </w:r>
            <w:r>
              <w:rPr>
                <w:rFonts w:ascii="Times New Roman" w:hAnsi="Times New Roman" w:eastAsia="宋体" w:cs="Times New Roman"/>
              </w:rPr>
              <w:t>+</w:t>
            </w:r>
            <w:r>
              <w:rPr>
                <w:rFonts w:hint="eastAsia" w:ascii="Times New Roman" w:hAnsi="Times New Roman" w:eastAsia="宋体" w:cs="Times New Roman"/>
              </w:rPr>
              <w:t>41</w:t>
            </w:r>
            <w:r>
              <w:rPr>
                <w:rFonts w:ascii="Times New Roman" w:hAnsi="Times New Roman" w:eastAsia="宋体" w:cs="Times New Roman"/>
              </w:rPr>
              <w:t>0</w:t>
            </w:r>
            <w:r>
              <w:rPr>
                <w:rFonts w:hint="eastAsia" w:ascii="Times New Roman" w:hAnsi="Times New Roman" w:eastAsia="宋体" w:cs="Times New Roman"/>
              </w:rPr>
              <w:t>和</w:t>
            </w:r>
            <w:r>
              <w:rPr>
                <w:rFonts w:ascii="Times New Roman" w:hAnsi="Times New Roman" w:eastAsia="宋体" w:cs="Times New Roman"/>
              </w:rPr>
              <w:t>K</w:t>
            </w:r>
            <w:r>
              <w:rPr>
                <w:rFonts w:hint="eastAsia" w:ascii="Times New Roman" w:hAnsi="Times New Roman" w:eastAsia="宋体" w:cs="Times New Roman"/>
              </w:rPr>
              <w:t>47</w:t>
            </w:r>
            <w:r>
              <w:rPr>
                <w:rFonts w:ascii="Times New Roman" w:hAnsi="Times New Roman" w:eastAsia="宋体" w:cs="Times New Roman"/>
              </w:rPr>
              <w:t>+</w:t>
            </w:r>
            <w:r>
              <w:rPr>
                <w:rFonts w:hint="eastAsia" w:ascii="Times New Roman" w:hAnsi="Times New Roman" w:eastAsia="宋体" w:cs="Times New Roman"/>
              </w:rPr>
              <w:t>600</w:t>
            </w:r>
            <w:r>
              <w:rPr>
                <w:rFonts w:ascii="Times New Roman" w:hAnsi="Times New Roman" w:eastAsia="宋体" w:cs="Times New Roman"/>
              </w:rPr>
              <w:t>～K</w:t>
            </w:r>
            <w:r>
              <w:rPr>
                <w:rFonts w:hint="eastAsia" w:ascii="Times New Roman" w:hAnsi="Times New Roman" w:eastAsia="宋体" w:cs="Times New Roman"/>
              </w:rPr>
              <w:t>47</w:t>
            </w:r>
            <w:r>
              <w:rPr>
                <w:rFonts w:ascii="Times New Roman" w:hAnsi="Times New Roman" w:eastAsia="宋体" w:cs="Times New Roman"/>
              </w:rPr>
              <w:t>+</w:t>
            </w:r>
            <w:r>
              <w:rPr>
                <w:rFonts w:hint="eastAsia" w:ascii="Times New Roman" w:hAnsi="Times New Roman" w:eastAsia="宋体" w:cs="Times New Roman"/>
              </w:rPr>
              <w:t>750</w:t>
            </w:r>
            <w:r>
              <w:rPr>
                <w:rFonts w:hint="eastAsia" w:ascii="Times New Roman" w:hAnsi="Times New Roman" w:eastAsia="宋体" w:cs="Times New Roman"/>
                <w:szCs w:val="21"/>
              </w:rPr>
              <w:t>路段</w:t>
            </w:r>
            <w:r>
              <w:rPr>
                <w:rFonts w:ascii="Times New Roman" w:hAnsi="Times New Roman" w:eastAsia="宋体" w:cs="Times New Roman"/>
              </w:rPr>
              <w:t>房屋</w:t>
            </w:r>
            <w:r>
              <w:rPr>
                <w:rFonts w:hint="eastAsia" w:ascii="Times New Roman" w:hAnsi="Times New Roman" w:eastAsia="宋体" w:cs="Times New Roman"/>
              </w:rPr>
              <w:t>集中</w:t>
            </w:r>
            <w:r>
              <w:rPr>
                <w:rFonts w:ascii="Times New Roman" w:hAnsi="Times New Roman" w:eastAsia="宋体" w:cs="Times New Roman"/>
              </w:rPr>
              <w:t>分布于平交口两侧，</w:t>
            </w:r>
            <w:r>
              <w:rPr>
                <w:rFonts w:ascii="Times New Roman" w:hAnsi="Times New Roman" w:cs="Times New Roman" w:eastAsiaTheme="minorEastAsia"/>
                <w:szCs w:val="21"/>
              </w:rPr>
              <w:t>根据《</w:t>
            </w:r>
            <w:r>
              <w:rPr>
                <w:rFonts w:hint="eastAsia" w:ascii="Times New Roman" w:hAnsi="Times New Roman" w:cs="Times New Roman" w:eastAsiaTheme="minorEastAsia"/>
                <w:szCs w:val="21"/>
              </w:rPr>
              <w:t>公路路线设计规范（JTG D20—2017）</w:t>
            </w:r>
            <w:r>
              <w:rPr>
                <w:rFonts w:ascii="Times New Roman" w:hAnsi="Times New Roman" w:cs="Times New Roman" w:eastAsiaTheme="minorEastAsia"/>
                <w:szCs w:val="21"/>
              </w:rPr>
              <w:t>》，考虑行车安全视距，每处平交口两侧共需断开</w:t>
            </w:r>
            <w:r>
              <w:rPr>
                <w:rFonts w:hint="eastAsia" w:ascii="Times New Roman" w:hAnsi="Times New Roman" w:cs="Times New Roman" w:eastAsiaTheme="minorEastAsia"/>
                <w:szCs w:val="21"/>
              </w:rPr>
              <w:t>220m，该路段</w:t>
            </w:r>
            <w:r>
              <w:rPr>
                <w:rFonts w:ascii="Times New Roman" w:hAnsi="Times New Roman" w:eastAsia="宋体" w:cs="Times New Roman"/>
              </w:rPr>
              <w:t>平交口处无法设置声屏障</w:t>
            </w:r>
            <w:r>
              <w:rPr>
                <w:rFonts w:hint="eastAsia" w:ascii="Times New Roman" w:hAnsi="Times New Roman" w:eastAsia="宋体" w:cs="Times New Roman"/>
              </w:rPr>
              <w:t>。</w:t>
            </w:r>
          </w:p>
          <w:p w14:paraId="1242B58D">
            <w:pPr>
              <w:widowControl/>
              <w:adjustRightInd w:val="0"/>
              <w:snapToGrid w:val="0"/>
              <w:spacing w:line="240" w:lineRule="exact"/>
              <w:rPr>
                <w:rFonts w:ascii="Times New Roman" w:hAnsi="Times New Roman" w:eastAsia="宋体" w:cs="Times New Roman"/>
                <w:szCs w:val="21"/>
              </w:rPr>
            </w:pPr>
            <w:r>
              <w:rPr>
                <w:rFonts w:ascii="Times New Roman" w:hAnsi="Times New Roman" w:eastAsia="宋体" w:cs="Times New Roman"/>
                <w:szCs w:val="21"/>
              </w:rPr>
              <w:t>推荐：综合考虑推荐方案</w:t>
            </w:r>
            <w:r>
              <w:rPr>
                <w:rFonts w:hint="eastAsia" w:ascii="Times New Roman" w:hAnsi="Times New Roman" w:eastAsia="宋体" w:cs="Times New Roman"/>
                <w:szCs w:val="21"/>
              </w:rPr>
              <w:t>一</w:t>
            </w:r>
            <w:r>
              <w:rPr>
                <w:rFonts w:ascii="Times New Roman" w:hAnsi="Times New Roman" w:eastAsia="宋体" w:cs="Times New Roman"/>
                <w:szCs w:val="21"/>
              </w:rPr>
              <w:t>。</w:t>
            </w:r>
          </w:p>
        </w:tc>
        <w:tc>
          <w:tcPr>
            <w:tcW w:w="242" w:type="pct"/>
            <w:vMerge w:val="restart"/>
            <w:vAlign w:val="center"/>
          </w:tcPr>
          <w:p w14:paraId="4C95721D">
            <w:pPr>
              <w:widowControl/>
              <w:jc w:val="center"/>
              <w:rPr>
                <w:rFonts w:ascii="Times New Roman" w:hAnsi="Times New Roman" w:eastAsia="宋体" w:cs="Times New Roman"/>
                <w:kern w:val="0"/>
              </w:rPr>
            </w:pPr>
            <w:r>
              <w:rPr>
                <w:rFonts w:ascii="Times New Roman" w:hAnsi="Times New Roman" w:eastAsia="宋体" w:cs="Times New Roman"/>
                <w:kern w:val="0"/>
              </w:rPr>
              <w:t>隔声窗</w:t>
            </w:r>
          </w:p>
        </w:tc>
        <w:tc>
          <w:tcPr>
            <w:tcW w:w="260" w:type="pct"/>
            <w:vMerge w:val="restart"/>
            <w:vAlign w:val="center"/>
          </w:tcPr>
          <w:p w14:paraId="573F05AB">
            <w:pPr>
              <w:widowControl/>
              <w:jc w:val="center"/>
              <w:rPr>
                <w:rFonts w:ascii="Times New Roman" w:hAnsi="Times New Roman" w:eastAsia="宋体" w:cs="Times New Roman"/>
                <w:kern w:val="0"/>
              </w:rPr>
            </w:pPr>
            <w:r>
              <w:rPr>
                <w:rFonts w:ascii="Times New Roman" w:hAnsi="Times New Roman" w:eastAsia="宋体" w:cs="Times New Roman"/>
                <w:kern w:val="0"/>
              </w:rPr>
              <w:t>室内达标</w:t>
            </w:r>
          </w:p>
        </w:tc>
        <w:tc>
          <w:tcPr>
            <w:tcW w:w="251" w:type="pct"/>
            <w:vMerge w:val="restart"/>
            <w:vAlign w:val="center"/>
          </w:tcPr>
          <w:p w14:paraId="486AF0B7">
            <w:pPr>
              <w:widowControl/>
              <w:adjustRightInd w:val="0"/>
              <w:snapToGrid w:val="0"/>
              <w:spacing w:line="240" w:lineRule="exact"/>
              <w:jc w:val="center"/>
              <w:rPr>
                <w:rFonts w:ascii="Times New Roman" w:hAnsi="宋体" w:eastAsia="宋体" w:cs="Times New Roman"/>
                <w:szCs w:val="21"/>
              </w:rPr>
            </w:pPr>
            <w:r>
              <w:rPr>
                <w:rFonts w:hint="eastAsia" w:ascii="Times New Roman" w:hAnsi="宋体" w:eastAsia="宋体" w:cs="Times New Roman"/>
                <w:szCs w:val="21"/>
              </w:rPr>
              <w:t>38</w:t>
            </w:r>
          </w:p>
        </w:tc>
      </w:tr>
      <w:tr w14:paraId="02FA98B7">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trHeight w:val="150" w:hRule="atLeast"/>
          <w:tblHeader/>
          <w:jc w:val="center"/>
        </w:trPr>
        <w:tc>
          <w:tcPr>
            <w:tcW w:w="180" w:type="pct"/>
            <w:vMerge w:val="continue"/>
            <w:noWrap/>
            <w:vAlign w:val="center"/>
          </w:tcPr>
          <w:p w14:paraId="027AF5D1">
            <w:pPr>
              <w:adjustRightInd w:val="0"/>
              <w:snapToGrid w:val="0"/>
              <w:spacing w:line="240" w:lineRule="exact"/>
              <w:jc w:val="center"/>
              <w:rPr>
                <w:rFonts w:ascii="Times New Roman" w:hAnsi="Times New Roman" w:eastAsia="宋体" w:cs="Times New Roman"/>
              </w:rPr>
            </w:pPr>
          </w:p>
        </w:tc>
        <w:tc>
          <w:tcPr>
            <w:tcW w:w="278" w:type="pct"/>
            <w:vAlign w:val="center"/>
          </w:tcPr>
          <w:p w14:paraId="299B958D">
            <w:pPr>
              <w:widowControl/>
              <w:adjustRightInd w:val="0"/>
              <w:snapToGrid w:val="0"/>
              <w:spacing w:line="240" w:lineRule="exact"/>
              <w:jc w:val="center"/>
              <w:rPr>
                <w:rFonts w:ascii="Times New Roman" w:hAnsi="Times New Roman" w:eastAsia="宋体" w:cs="Times New Roman"/>
              </w:rPr>
            </w:pPr>
            <w:r>
              <w:rPr>
                <w:rFonts w:ascii="Times New Roman" w:hAnsi="Times New Roman" w:eastAsia="宋体" w:cs="Times New Roman"/>
              </w:rPr>
              <w:t>K</w:t>
            </w:r>
            <w:r>
              <w:rPr>
                <w:rFonts w:hint="eastAsia" w:ascii="Times New Roman" w:hAnsi="Times New Roman" w:eastAsia="宋体" w:cs="Times New Roman"/>
              </w:rPr>
              <w:t>47</w:t>
            </w:r>
            <w:r>
              <w:rPr>
                <w:rFonts w:ascii="Times New Roman" w:hAnsi="Times New Roman" w:eastAsia="宋体" w:cs="Times New Roman"/>
              </w:rPr>
              <w:t>+</w:t>
            </w:r>
            <w:r>
              <w:rPr>
                <w:rFonts w:hint="eastAsia" w:ascii="Times New Roman" w:hAnsi="Times New Roman" w:eastAsia="宋体" w:cs="Times New Roman"/>
              </w:rPr>
              <w:t>600</w:t>
            </w:r>
            <w:r>
              <w:rPr>
                <w:rFonts w:ascii="Times New Roman" w:hAnsi="Times New Roman" w:eastAsia="宋体" w:cs="Times New Roman"/>
              </w:rPr>
              <w:t>～K</w:t>
            </w:r>
            <w:r>
              <w:rPr>
                <w:rFonts w:hint="eastAsia" w:ascii="Times New Roman" w:hAnsi="Times New Roman" w:eastAsia="宋体" w:cs="Times New Roman"/>
              </w:rPr>
              <w:t>47</w:t>
            </w:r>
            <w:r>
              <w:rPr>
                <w:rFonts w:ascii="Times New Roman" w:hAnsi="Times New Roman" w:eastAsia="宋体" w:cs="Times New Roman"/>
              </w:rPr>
              <w:t>+</w:t>
            </w:r>
            <w:r>
              <w:rPr>
                <w:rFonts w:hint="eastAsia" w:ascii="Times New Roman" w:hAnsi="Times New Roman" w:eastAsia="宋体" w:cs="Times New Roman"/>
              </w:rPr>
              <w:t>750</w:t>
            </w:r>
          </w:p>
        </w:tc>
        <w:tc>
          <w:tcPr>
            <w:tcW w:w="346" w:type="pct"/>
            <w:vMerge w:val="continue"/>
            <w:vAlign w:val="center"/>
          </w:tcPr>
          <w:p w14:paraId="5DBC7D43">
            <w:pPr>
              <w:widowControl/>
              <w:adjustRightInd w:val="0"/>
              <w:snapToGrid w:val="0"/>
              <w:spacing w:line="240" w:lineRule="exact"/>
              <w:jc w:val="center"/>
              <w:rPr>
                <w:rFonts w:ascii="Times New Roman" w:hAnsi="Times New Roman" w:eastAsia="宋体" w:cs="Times New Roman"/>
              </w:rPr>
            </w:pPr>
          </w:p>
        </w:tc>
        <w:tc>
          <w:tcPr>
            <w:tcW w:w="138" w:type="pct"/>
            <w:vMerge w:val="continue"/>
            <w:vAlign w:val="center"/>
          </w:tcPr>
          <w:p w14:paraId="19DF31F3">
            <w:pPr>
              <w:widowControl/>
              <w:adjustRightInd w:val="0"/>
              <w:snapToGrid w:val="0"/>
              <w:spacing w:line="240" w:lineRule="exact"/>
              <w:jc w:val="center"/>
              <w:rPr>
                <w:rFonts w:ascii="Times New Roman" w:hAnsi="Times New Roman" w:eastAsia="宋体" w:cs="Times New Roman"/>
              </w:rPr>
            </w:pPr>
          </w:p>
        </w:tc>
        <w:tc>
          <w:tcPr>
            <w:tcW w:w="209" w:type="pct"/>
            <w:vMerge w:val="continue"/>
            <w:vAlign w:val="center"/>
          </w:tcPr>
          <w:p w14:paraId="313565E6">
            <w:pPr>
              <w:widowControl/>
              <w:adjustRightInd w:val="0"/>
              <w:snapToGrid w:val="0"/>
              <w:spacing w:line="240" w:lineRule="exact"/>
              <w:jc w:val="center"/>
              <w:rPr>
                <w:rFonts w:ascii="Times New Roman" w:hAnsi="Times New Roman" w:eastAsia="宋体" w:cs="Times New Roman"/>
              </w:rPr>
            </w:pPr>
          </w:p>
        </w:tc>
        <w:tc>
          <w:tcPr>
            <w:tcW w:w="243" w:type="pct"/>
            <w:vMerge w:val="continue"/>
            <w:vAlign w:val="center"/>
          </w:tcPr>
          <w:p w14:paraId="5833EBB5">
            <w:pPr>
              <w:adjustRightInd w:val="0"/>
              <w:snapToGrid w:val="0"/>
              <w:spacing w:line="240" w:lineRule="exact"/>
              <w:jc w:val="center"/>
              <w:rPr>
                <w:rFonts w:ascii="Times New Roman" w:hAnsi="Times New Roman" w:eastAsia="宋体" w:cs="Times New Roman"/>
              </w:rPr>
            </w:pPr>
          </w:p>
        </w:tc>
        <w:tc>
          <w:tcPr>
            <w:tcW w:w="243" w:type="pct"/>
            <w:vMerge w:val="continue"/>
            <w:vAlign w:val="center"/>
          </w:tcPr>
          <w:p w14:paraId="00A8A4E9">
            <w:pPr>
              <w:adjustRightInd w:val="0"/>
              <w:snapToGrid w:val="0"/>
              <w:spacing w:line="240" w:lineRule="exact"/>
              <w:jc w:val="center"/>
              <w:rPr>
                <w:rFonts w:ascii="Times New Roman" w:hAnsi="Times New Roman" w:eastAsia="宋体" w:cs="Times New Roman"/>
              </w:rPr>
            </w:pPr>
          </w:p>
        </w:tc>
        <w:tc>
          <w:tcPr>
            <w:tcW w:w="190" w:type="pct"/>
            <w:vMerge w:val="continue"/>
            <w:shd w:val="clear" w:color="auto" w:fill="auto"/>
            <w:vAlign w:val="center"/>
          </w:tcPr>
          <w:p w14:paraId="4E3C9C39">
            <w:pPr>
              <w:adjustRightInd w:val="0"/>
              <w:snapToGrid w:val="0"/>
              <w:spacing w:line="240" w:lineRule="exact"/>
              <w:jc w:val="center"/>
              <w:rPr>
                <w:rFonts w:ascii="Times New Roman" w:hAnsi="Times New Roman" w:eastAsia="宋体" w:cs="Times New Roman"/>
              </w:rPr>
            </w:pPr>
          </w:p>
        </w:tc>
        <w:tc>
          <w:tcPr>
            <w:tcW w:w="190" w:type="pct"/>
            <w:vMerge w:val="continue"/>
            <w:shd w:val="clear" w:color="auto" w:fill="auto"/>
            <w:vAlign w:val="center"/>
          </w:tcPr>
          <w:p w14:paraId="63D2DEAC">
            <w:pPr>
              <w:adjustRightInd w:val="0"/>
              <w:snapToGrid w:val="0"/>
              <w:spacing w:line="240" w:lineRule="exact"/>
              <w:jc w:val="center"/>
              <w:rPr>
                <w:rFonts w:ascii="Times New Roman" w:hAnsi="Times New Roman" w:eastAsia="宋体" w:cs="Times New Roman"/>
              </w:rPr>
            </w:pPr>
          </w:p>
        </w:tc>
        <w:tc>
          <w:tcPr>
            <w:tcW w:w="2230" w:type="pct"/>
            <w:vMerge w:val="continue"/>
            <w:noWrap/>
            <w:vAlign w:val="center"/>
          </w:tcPr>
          <w:p w14:paraId="39F693EA">
            <w:pPr>
              <w:rPr>
                <w:rFonts w:ascii="Times New Roman" w:hAnsi="Times New Roman" w:eastAsia="宋体" w:cs="Times New Roman"/>
                <w:szCs w:val="21"/>
              </w:rPr>
            </w:pPr>
          </w:p>
        </w:tc>
        <w:tc>
          <w:tcPr>
            <w:tcW w:w="242" w:type="pct"/>
            <w:vMerge w:val="continue"/>
            <w:vAlign w:val="center"/>
          </w:tcPr>
          <w:p w14:paraId="1E30F9CC">
            <w:pPr>
              <w:jc w:val="center"/>
              <w:rPr>
                <w:rFonts w:ascii="Times New Roman" w:hAnsi="Times New Roman" w:eastAsia="宋体" w:cs="Times New Roman"/>
                <w:szCs w:val="21"/>
              </w:rPr>
            </w:pPr>
          </w:p>
        </w:tc>
        <w:tc>
          <w:tcPr>
            <w:tcW w:w="260" w:type="pct"/>
            <w:vMerge w:val="continue"/>
            <w:vAlign w:val="center"/>
          </w:tcPr>
          <w:p w14:paraId="62703CB8">
            <w:pPr>
              <w:jc w:val="center"/>
              <w:rPr>
                <w:rFonts w:ascii="Times New Roman" w:hAnsi="Times New Roman" w:eastAsia="宋体" w:cs="Times New Roman"/>
                <w:szCs w:val="21"/>
              </w:rPr>
            </w:pPr>
          </w:p>
        </w:tc>
        <w:tc>
          <w:tcPr>
            <w:tcW w:w="251" w:type="pct"/>
            <w:vMerge w:val="continue"/>
            <w:vAlign w:val="center"/>
          </w:tcPr>
          <w:p w14:paraId="65EC9B53">
            <w:pPr>
              <w:widowControl/>
              <w:adjustRightInd w:val="0"/>
              <w:snapToGrid w:val="0"/>
              <w:spacing w:line="240" w:lineRule="exact"/>
              <w:jc w:val="center"/>
              <w:rPr>
                <w:rFonts w:ascii="Times New Roman" w:hAnsi="Times New Roman" w:eastAsia="宋体" w:cs="Times New Roman"/>
                <w:szCs w:val="21"/>
              </w:rPr>
            </w:pPr>
          </w:p>
        </w:tc>
      </w:tr>
      <w:tr w14:paraId="0B994F8E">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trHeight w:val="748" w:hRule="atLeast"/>
          <w:tblHeader/>
          <w:jc w:val="center"/>
        </w:trPr>
        <w:tc>
          <w:tcPr>
            <w:tcW w:w="180" w:type="pct"/>
            <w:vMerge w:val="restart"/>
            <w:noWrap/>
            <w:vAlign w:val="center"/>
          </w:tcPr>
          <w:p w14:paraId="218A3C36">
            <w:pPr>
              <w:adjustRightInd w:val="0"/>
              <w:snapToGrid w:val="0"/>
              <w:spacing w:line="240" w:lineRule="exact"/>
              <w:jc w:val="center"/>
              <w:rPr>
                <w:rFonts w:ascii="Times New Roman" w:hAnsi="Times New Roman" w:eastAsia="宋体" w:cs="Times New Roman"/>
              </w:rPr>
            </w:pPr>
            <w:r>
              <w:rPr>
                <w:rFonts w:hint="eastAsia" w:ascii="Times New Roman" w:hAnsi="Times New Roman" w:eastAsia="宋体" w:cs="Times New Roman"/>
              </w:rPr>
              <w:t>24</w:t>
            </w:r>
          </w:p>
        </w:tc>
        <w:tc>
          <w:tcPr>
            <w:tcW w:w="278" w:type="pct"/>
            <w:vAlign w:val="center"/>
          </w:tcPr>
          <w:p w14:paraId="27F8329C">
            <w:pPr>
              <w:adjustRightInd w:val="0"/>
              <w:snapToGrid w:val="0"/>
              <w:spacing w:line="240" w:lineRule="exact"/>
              <w:jc w:val="center"/>
              <w:rPr>
                <w:rFonts w:ascii="Times New Roman" w:hAnsi="Times New Roman" w:eastAsia="宋体" w:cs="Times New Roman"/>
              </w:rPr>
            </w:pPr>
            <w:r>
              <w:rPr>
                <w:rFonts w:ascii="Times New Roman" w:hAnsi="Times New Roman" w:eastAsia="宋体" w:cs="Times New Roman"/>
              </w:rPr>
              <w:t>K</w:t>
            </w:r>
            <w:r>
              <w:rPr>
                <w:rFonts w:hint="eastAsia" w:ascii="Times New Roman" w:hAnsi="Times New Roman" w:eastAsia="宋体" w:cs="Times New Roman"/>
              </w:rPr>
              <w:t>48</w:t>
            </w:r>
            <w:r>
              <w:rPr>
                <w:rFonts w:ascii="Times New Roman" w:hAnsi="Times New Roman" w:eastAsia="宋体" w:cs="Times New Roman"/>
              </w:rPr>
              <w:t>+</w:t>
            </w:r>
            <w:r>
              <w:rPr>
                <w:rFonts w:hint="eastAsia" w:ascii="Times New Roman" w:hAnsi="Times New Roman" w:eastAsia="宋体" w:cs="Times New Roman"/>
              </w:rPr>
              <w:t>15</w:t>
            </w:r>
            <w:r>
              <w:rPr>
                <w:rFonts w:ascii="Times New Roman" w:hAnsi="Times New Roman" w:eastAsia="宋体" w:cs="Times New Roman"/>
              </w:rPr>
              <w:t>0～K</w:t>
            </w:r>
            <w:r>
              <w:rPr>
                <w:rFonts w:hint="eastAsia" w:ascii="Times New Roman" w:hAnsi="Times New Roman" w:eastAsia="宋体" w:cs="Times New Roman"/>
              </w:rPr>
              <w:t>48</w:t>
            </w:r>
            <w:r>
              <w:rPr>
                <w:rFonts w:ascii="Times New Roman" w:hAnsi="Times New Roman" w:eastAsia="宋体" w:cs="Times New Roman"/>
              </w:rPr>
              <w:t>+</w:t>
            </w:r>
            <w:r>
              <w:rPr>
                <w:rFonts w:hint="eastAsia" w:ascii="Times New Roman" w:hAnsi="Times New Roman" w:eastAsia="宋体" w:cs="Times New Roman"/>
              </w:rPr>
              <w:t>2</w:t>
            </w:r>
            <w:r>
              <w:rPr>
                <w:rFonts w:ascii="Times New Roman" w:hAnsi="Times New Roman" w:eastAsia="宋体" w:cs="Times New Roman"/>
              </w:rPr>
              <w:t>00</w:t>
            </w:r>
          </w:p>
        </w:tc>
        <w:tc>
          <w:tcPr>
            <w:tcW w:w="346" w:type="pct"/>
            <w:vMerge w:val="restart"/>
            <w:vAlign w:val="center"/>
          </w:tcPr>
          <w:p w14:paraId="69A41C92">
            <w:pPr>
              <w:adjustRightInd w:val="0"/>
              <w:snapToGrid w:val="0"/>
              <w:spacing w:line="240" w:lineRule="exact"/>
              <w:jc w:val="center"/>
              <w:rPr>
                <w:rFonts w:ascii="Times New Roman" w:hAnsi="Times New Roman" w:eastAsia="宋体" w:cs="Times New Roman"/>
              </w:rPr>
            </w:pPr>
            <w:r>
              <w:rPr>
                <w:rFonts w:hint="eastAsia" w:ascii="Times New Roman" w:hAnsi="Times New Roman" w:eastAsia="宋体" w:cs="Times New Roman"/>
              </w:rPr>
              <w:t>土木拉克</w:t>
            </w:r>
          </w:p>
        </w:tc>
        <w:tc>
          <w:tcPr>
            <w:tcW w:w="138" w:type="pct"/>
            <w:vMerge w:val="restart"/>
            <w:vAlign w:val="center"/>
          </w:tcPr>
          <w:p w14:paraId="35BA8D69">
            <w:pPr>
              <w:adjustRightInd w:val="0"/>
              <w:snapToGrid w:val="0"/>
              <w:spacing w:line="240" w:lineRule="exact"/>
              <w:jc w:val="center"/>
              <w:rPr>
                <w:rFonts w:ascii="Times New Roman" w:hAnsi="Times New Roman" w:eastAsia="宋体" w:cs="Times New Roman"/>
              </w:rPr>
            </w:pPr>
            <w:r>
              <w:rPr>
                <w:rFonts w:ascii="Times New Roman" w:hAnsi="Times New Roman" w:eastAsia="宋体" w:cs="Times New Roman"/>
              </w:rPr>
              <w:t>两侧</w:t>
            </w:r>
          </w:p>
        </w:tc>
        <w:tc>
          <w:tcPr>
            <w:tcW w:w="209" w:type="pct"/>
            <w:vMerge w:val="restart"/>
            <w:vAlign w:val="center"/>
          </w:tcPr>
          <w:p w14:paraId="116A4B49">
            <w:pPr>
              <w:adjustRightInd w:val="0"/>
              <w:snapToGrid w:val="0"/>
              <w:spacing w:line="240" w:lineRule="exact"/>
              <w:jc w:val="center"/>
              <w:rPr>
                <w:rFonts w:ascii="Times New Roman" w:hAnsi="Times New Roman" w:eastAsia="宋体" w:cs="Times New Roman"/>
              </w:rPr>
            </w:pPr>
            <w:r>
              <w:rPr>
                <w:rFonts w:hint="eastAsia" w:ascii="Times New Roman" w:hAnsi="Times New Roman" w:eastAsia="宋体" w:cs="Times New Roman"/>
              </w:rPr>
              <w:t>25</w:t>
            </w:r>
          </w:p>
        </w:tc>
        <w:tc>
          <w:tcPr>
            <w:tcW w:w="243" w:type="pct"/>
            <w:vMerge w:val="restart"/>
            <w:vAlign w:val="center"/>
          </w:tcPr>
          <w:p w14:paraId="3574B4C5">
            <w:pPr>
              <w:adjustRightInd w:val="0"/>
              <w:snapToGrid w:val="0"/>
              <w:spacing w:line="240" w:lineRule="exact"/>
              <w:jc w:val="center"/>
              <w:rPr>
                <w:rFonts w:ascii="Times New Roman" w:hAnsi="Times New Roman" w:eastAsia="宋体" w:cs="Times New Roman"/>
              </w:rPr>
            </w:pPr>
            <w:r>
              <w:rPr>
                <w:rFonts w:hint="eastAsia" w:ascii="Times New Roman" w:hAnsi="Times New Roman" w:eastAsia="宋体" w:cs="Times New Roman"/>
              </w:rPr>
              <w:t>-/4.9</w:t>
            </w:r>
          </w:p>
        </w:tc>
        <w:tc>
          <w:tcPr>
            <w:tcW w:w="243" w:type="pct"/>
            <w:vMerge w:val="restart"/>
            <w:vAlign w:val="center"/>
          </w:tcPr>
          <w:p w14:paraId="49780966">
            <w:pPr>
              <w:adjustRightInd w:val="0"/>
              <w:snapToGrid w:val="0"/>
              <w:spacing w:line="240" w:lineRule="exact"/>
              <w:jc w:val="center"/>
              <w:rPr>
                <w:rFonts w:ascii="Times New Roman" w:hAnsi="Times New Roman" w:eastAsia="宋体" w:cs="Times New Roman"/>
              </w:rPr>
            </w:pPr>
            <w:r>
              <w:rPr>
                <w:rFonts w:hint="eastAsia" w:ascii="Times New Roman" w:hAnsi="Times New Roman" w:eastAsia="宋体" w:cs="Times New Roman"/>
              </w:rPr>
              <w:t>-/4.9</w:t>
            </w:r>
          </w:p>
        </w:tc>
        <w:tc>
          <w:tcPr>
            <w:tcW w:w="190" w:type="pct"/>
            <w:vMerge w:val="restart"/>
            <w:shd w:val="clear" w:color="auto" w:fill="auto"/>
            <w:vAlign w:val="center"/>
          </w:tcPr>
          <w:p w14:paraId="37EB6745">
            <w:pPr>
              <w:widowControl/>
              <w:adjustRightInd w:val="0"/>
              <w:snapToGrid w:val="0"/>
              <w:spacing w:line="240" w:lineRule="exact"/>
              <w:jc w:val="center"/>
              <w:rPr>
                <w:rFonts w:ascii="Times New Roman" w:hAnsi="Times New Roman" w:eastAsia="宋体" w:cs="Times New Roman"/>
              </w:rPr>
            </w:pPr>
            <w:r>
              <w:rPr>
                <w:rFonts w:hint="eastAsia" w:ascii="Times New Roman" w:hAnsi="Times New Roman" w:eastAsia="宋体" w:cs="Times New Roman"/>
              </w:rPr>
              <w:t>12</w:t>
            </w:r>
          </w:p>
        </w:tc>
        <w:tc>
          <w:tcPr>
            <w:tcW w:w="190" w:type="pct"/>
            <w:vMerge w:val="restart"/>
            <w:shd w:val="clear" w:color="auto" w:fill="auto"/>
            <w:vAlign w:val="center"/>
          </w:tcPr>
          <w:p w14:paraId="490EC905">
            <w:pPr>
              <w:widowControl/>
              <w:adjustRightInd w:val="0"/>
              <w:snapToGrid w:val="0"/>
              <w:spacing w:line="240" w:lineRule="exact"/>
              <w:jc w:val="center"/>
              <w:rPr>
                <w:rFonts w:ascii="Times New Roman" w:hAnsi="Times New Roman" w:eastAsia="宋体" w:cs="Times New Roman"/>
              </w:rPr>
            </w:pPr>
            <w:r>
              <w:rPr>
                <w:rFonts w:hint="eastAsia" w:ascii="Times New Roman" w:hAnsi="Times New Roman" w:eastAsia="宋体" w:cs="Times New Roman"/>
              </w:rPr>
              <w:t>30</w:t>
            </w:r>
          </w:p>
        </w:tc>
        <w:tc>
          <w:tcPr>
            <w:tcW w:w="2230" w:type="pct"/>
            <w:vMerge w:val="restart"/>
            <w:noWrap/>
            <w:vAlign w:val="center"/>
          </w:tcPr>
          <w:p w14:paraId="63F75AE0">
            <w:pPr>
              <w:rPr>
                <w:rFonts w:ascii="Times New Roman" w:hAnsi="Times New Roman" w:eastAsia="宋体" w:cs="Times New Roman"/>
                <w:szCs w:val="21"/>
              </w:rPr>
            </w:pPr>
            <w:r>
              <w:rPr>
                <w:rFonts w:ascii="Times New Roman" w:hAnsi="Times New Roman" w:eastAsia="宋体" w:cs="Times New Roman"/>
                <w:szCs w:val="21"/>
              </w:rPr>
              <w:t>方案一：安装隔声窗，按每户1万元计，共</w:t>
            </w:r>
            <w:r>
              <w:rPr>
                <w:rFonts w:hint="eastAsia" w:ascii="Times New Roman" w:hAnsi="Times New Roman" w:eastAsia="宋体" w:cs="Times New Roman"/>
                <w:szCs w:val="21"/>
              </w:rPr>
              <w:t>42</w:t>
            </w:r>
            <w:r>
              <w:rPr>
                <w:rFonts w:ascii="Times New Roman" w:hAnsi="Times New Roman" w:eastAsia="宋体" w:cs="Times New Roman"/>
                <w:szCs w:val="21"/>
              </w:rPr>
              <w:t>户，投资</w:t>
            </w:r>
            <w:r>
              <w:rPr>
                <w:rFonts w:hint="eastAsia" w:ascii="Times New Roman" w:hAnsi="Times New Roman" w:eastAsia="宋体" w:cs="Times New Roman"/>
                <w:szCs w:val="21"/>
              </w:rPr>
              <w:t>42</w:t>
            </w:r>
            <w:r>
              <w:rPr>
                <w:rFonts w:ascii="Times New Roman" w:hAnsi="Times New Roman" w:eastAsia="宋体" w:cs="Times New Roman"/>
                <w:szCs w:val="21"/>
              </w:rPr>
              <w:t>万元，隔声量25dB。</w:t>
            </w:r>
          </w:p>
          <w:p w14:paraId="2146D724">
            <w:pPr>
              <w:adjustRightInd w:val="0"/>
              <w:snapToGrid w:val="0"/>
              <w:spacing w:line="240" w:lineRule="exact"/>
              <w:rPr>
                <w:rFonts w:ascii="Times New Roman" w:hAnsi="Times New Roman" w:eastAsia="宋体" w:cs="Times New Roman"/>
                <w:szCs w:val="21"/>
              </w:rPr>
            </w:pPr>
            <w:r>
              <w:rPr>
                <w:rFonts w:ascii="Times New Roman" w:hAnsi="Times New Roman" w:eastAsia="宋体" w:cs="Times New Roman"/>
                <w:szCs w:val="21"/>
              </w:rPr>
              <w:t>方案二：设置声屏障，拟建公路</w:t>
            </w:r>
            <w:r>
              <w:rPr>
                <w:rFonts w:hint="eastAsia" w:ascii="Times New Roman" w:hAnsi="Times New Roman" w:eastAsia="宋体" w:cs="Times New Roman"/>
                <w:szCs w:val="21"/>
              </w:rPr>
              <w:t>两侧</w:t>
            </w:r>
            <w:r>
              <w:rPr>
                <w:rFonts w:ascii="Times New Roman" w:hAnsi="Times New Roman" w:eastAsia="宋体" w:cs="Times New Roman"/>
              </w:rPr>
              <w:t>K</w:t>
            </w:r>
            <w:r>
              <w:rPr>
                <w:rFonts w:hint="eastAsia" w:ascii="Times New Roman" w:hAnsi="Times New Roman" w:eastAsia="宋体" w:cs="Times New Roman"/>
              </w:rPr>
              <w:t>48</w:t>
            </w:r>
            <w:r>
              <w:rPr>
                <w:rFonts w:ascii="Times New Roman" w:hAnsi="Times New Roman" w:eastAsia="宋体" w:cs="Times New Roman"/>
              </w:rPr>
              <w:t>+</w:t>
            </w:r>
            <w:r>
              <w:rPr>
                <w:rFonts w:hint="eastAsia" w:ascii="Times New Roman" w:hAnsi="Times New Roman" w:eastAsia="宋体" w:cs="Times New Roman"/>
              </w:rPr>
              <w:t>15</w:t>
            </w:r>
            <w:r>
              <w:rPr>
                <w:rFonts w:ascii="Times New Roman" w:hAnsi="Times New Roman" w:eastAsia="宋体" w:cs="Times New Roman"/>
              </w:rPr>
              <w:t>0～K</w:t>
            </w:r>
            <w:r>
              <w:rPr>
                <w:rFonts w:hint="eastAsia" w:ascii="Times New Roman" w:hAnsi="Times New Roman" w:eastAsia="宋体" w:cs="Times New Roman"/>
              </w:rPr>
              <w:t>48</w:t>
            </w:r>
            <w:r>
              <w:rPr>
                <w:rFonts w:ascii="Times New Roman" w:hAnsi="Times New Roman" w:eastAsia="宋体" w:cs="Times New Roman"/>
              </w:rPr>
              <w:t>+</w:t>
            </w:r>
            <w:r>
              <w:rPr>
                <w:rFonts w:hint="eastAsia" w:ascii="Times New Roman" w:hAnsi="Times New Roman" w:eastAsia="宋体" w:cs="Times New Roman"/>
              </w:rPr>
              <w:t>20</w:t>
            </w:r>
            <w:r>
              <w:rPr>
                <w:rFonts w:ascii="Times New Roman" w:hAnsi="Times New Roman" w:eastAsia="宋体" w:cs="Times New Roman"/>
              </w:rPr>
              <w:t>0和K</w:t>
            </w:r>
            <w:r>
              <w:rPr>
                <w:rFonts w:hint="eastAsia" w:ascii="Times New Roman" w:hAnsi="Times New Roman" w:eastAsia="宋体" w:cs="Times New Roman"/>
              </w:rPr>
              <w:t>48</w:t>
            </w:r>
            <w:r>
              <w:rPr>
                <w:rFonts w:ascii="Times New Roman" w:hAnsi="Times New Roman" w:eastAsia="宋体" w:cs="Times New Roman"/>
              </w:rPr>
              <w:t>+</w:t>
            </w:r>
            <w:r>
              <w:rPr>
                <w:rFonts w:hint="eastAsia" w:ascii="Times New Roman" w:hAnsi="Times New Roman" w:eastAsia="宋体" w:cs="Times New Roman"/>
              </w:rPr>
              <w:t>900</w:t>
            </w:r>
            <w:r>
              <w:rPr>
                <w:rFonts w:ascii="Times New Roman" w:hAnsi="Times New Roman" w:eastAsia="宋体" w:cs="Times New Roman"/>
              </w:rPr>
              <w:t>～K</w:t>
            </w:r>
            <w:r>
              <w:rPr>
                <w:rFonts w:hint="eastAsia" w:ascii="Times New Roman" w:hAnsi="Times New Roman" w:eastAsia="宋体" w:cs="Times New Roman"/>
              </w:rPr>
              <w:t>49</w:t>
            </w:r>
            <w:r>
              <w:rPr>
                <w:rFonts w:ascii="Times New Roman" w:hAnsi="Times New Roman" w:eastAsia="宋体" w:cs="Times New Roman"/>
              </w:rPr>
              <w:t>+</w:t>
            </w:r>
            <w:r>
              <w:rPr>
                <w:rFonts w:hint="eastAsia" w:ascii="Times New Roman" w:hAnsi="Times New Roman" w:eastAsia="宋体" w:cs="Times New Roman"/>
              </w:rPr>
              <w:t>00</w:t>
            </w:r>
            <w:r>
              <w:rPr>
                <w:rFonts w:ascii="Times New Roman" w:hAnsi="Times New Roman" w:eastAsia="宋体" w:cs="Times New Roman"/>
              </w:rPr>
              <w:t>0</w:t>
            </w:r>
            <w:r>
              <w:rPr>
                <w:rFonts w:hint="eastAsia" w:ascii="Times New Roman" w:hAnsi="Times New Roman" w:eastAsia="宋体" w:cs="Times New Roman"/>
                <w:szCs w:val="21"/>
              </w:rPr>
              <w:t>路段</w:t>
            </w:r>
            <w:r>
              <w:rPr>
                <w:rFonts w:ascii="Times New Roman" w:hAnsi="Times New Roman" w:eastAsia="宋体" w:cs="Times New Roman"/>
              </w:rPr>
              <w:t>房屋</w:t>
            </w:r>
            <w:r>
              <w:rPr>
                <w:rFonts w:hint="eastAsia" w:ascii="Times New Roman" w:hAnsi="Times New Roman" w:eastAsia="宋体" w:cs="Times New Roman"/>
              </w:rPr>
              <w:t>集中</w:t>
            </w:r>
            <w:r>
              <w:rPr>
                <w:rFonts w:ascii="Times New Roman" w:hAnsi="Times New Roman" w:eastAsia="宋体" w:cs="Times New Roman"/>
              </w:rPr>
              <w:t>分布于平交口两侧，</w:t>
            </w:r>
            <w:r>
              <w:rPr>
                <w:rFonts w:ascii="Times New Roman" w:hAnsi="Times New Roman" w:cs="Times New Roman" w:eastAsiaTheme="minorEastAsia"/>
                <w:szCs w:val="21"/>
              </w:rPr>
              <w:t>根据《</w:t>
            </w:r>
            <w:r>
              <w:rPr>
                <w:rFonts w:hint="eastAsia" w:ascii="Times New Roman" w:hAnsi="Times New Roman" w:cs="Times New Roman" w:eastAsiaTheme="minorEastAsia"/>
                <w:szCs w:val="21"/>
              </w:rPr>
              <w:t>公路路线设计规范（JTG D20—2017）</w:t>
            </w:r>
            <w:r>
              <w:rPr>
                <w:rFonts w:ascii="Times New Roman" w:hAnsi="Times New Roman" w:cs="Times New Roman" w:eastAsiaTheme="minorEastAsia"/>
                <w:szCs w:val="21"/>
              </w:rPr>
              <w:t>》，考虑行车安全视距，每处平交口两侧共需断开</w:t>
            </w:r>
            <w:r>
              <w:rPr>
                <w:rFonts w:hint="eastAsia" w:ascii="Times New Roman" w:hAnsi="Times New Roman" w:cs="Times New Roman" w:eastAsiaTheme="minorEastAsia"/>
                <w:szCs w:val="21"/>
              </w:rPr>
              <w:t>220m，该路段</w:t>
            </w:r>
            <w:r>
              <w:rPr>
                <w:rFonts w:ascii="Times New Roman" w:hAnsi="Times New Roman" w:eastAsia="宋体" w:cs="Times New Roman"/>
              </w:rPr>
              <w:t>平交口处无法设置声屏障</w:t>
            </w:r>
            <w:r>
              <w:rPr>
                <w:rFonts w:hint="eastAsia" w:ascii="Times New Roman" w:hAnsi="Times New Roman" w:eastAsia="宋体" w:cs="Times New Roman"/>
              </w:rPr>
              <w:t>。</w:t>
            </w:r>
          </w:p>
          <w:p w14:paraId="4FD81585">
            <w:pPr>
              <w:widowControl/>
              <w:adjustRightInd w:val="0"/>
              <w:snapToGrid w:val="0"/>
              <w:spacing w:line="240" w:lineRule="exact"/>
              <w:rPr>
                <w:rFonts w:ascii="Times New Roman" w:hAnsi="Times New Roman" w:eastAsia="宋体" w:cs="Times New Roman"/>
                <w:szCs w:val="21"/>
              </w:rPr>
            </w:pPr>
            <w:r>
              <w:rPr>
                <w:rFonts w:ascii="Times New Roman" w:hAnsi="Times New Roman" w:eastAsia="宋体" w:cs="Times New Roman"/>
                <w:szCs w:val="21"/>
              </w:rPr>
              <w:t>推荐：综合考虑推荐方案</w:t>
            </w:r>
            <w:r>
              <w:rPr>
                <w:rFonts w:hint="eastAsia" w:ascii="Times New Roman" w:hAnsi="Times New Roman" w:eastAsia="宋体" w:cs="Times New Roman"/>
                <w:szCs w:val="21"/>
              </w:rPr>
              <w:t>一</w:t>
            </w:r>
            <w:r>
              <w:rPr>
                <w:rFonts w:ascii="Times New Roman" w:hAnsi="Times New Roman" w:eastAsia="宋体" w:cs="Times New Roman"/>
                <w:szCs w:val="21"/>
              </w:rPr>
              <w:t>。</w:t>
            </w:r>
          </w:p>
        </w:tc>
        <w:tc>
          <w:tcPr>
            <w:tcW w:w="242" w:type="pct"/>
            <w:vMerge w:val="restart"/>
            <w:vAlign w:val="center"/>
          </w:tcPr>
          <w:p w14:paraId="05A89BFD">
            <w:pPr>
              <w:widowControl/>
              <w:jc w:val="center"/>
              <w:rPr>
                <w:rFonts w:ascii="Times New Roman" w:hAnsi="Times New Roman" w:eastAsia="宋体" w:cs="Times New Roman"/>
                <w:kern w:val="0"/>
              </w:rPr>
            </w:pPr>
            <w:r>
              <w:rPr>
                <w:rFonts w:ascii="Times New Roman" w:hAnsi="Times New Roman" w:eastAsia="宋体" w:cs="Times New Roman"/>
                <w:kern w:val="0"/>
              </w:rPr>
              <w:t>隔声窗</w:t>
            </w:r>
          </w:p>
        </w:tc>
        <w:tc>
          <w:tcPr>
            <w:tcW w:w="260" w:type="pct"/>
            <w:vMerge w:val="restart"/>
            <w:vAlign w:val="center"/>
          </w:tcPr>
          <w:p w14:paraId="37A1D7B5">
            <w:pPr>
              <w:widowControl/>
              <w:jc w:val="center"/>
              <w:rPr>
                <w:rFonts w:ascii="Times New Roman" w:hAnsi="Times New Roman" w:eastAsia="宋体" w:cs="Times New Roman"/>
                <w:kern w:val="0"/>
              </w:rPr>
            </w:pPr>
            <w:r>
              <w:rPr>
                <w:rFonts w:ascii="Times New Roman" w:hAnsi="Times New Roman" w:eastAsia="宋体" w:cs="Times New Roman"/>
                <w:kern w:val="0"/>
              </w:rPr>
              <w:t>室内达标</w:t>
            </w:r>
          </w:p>
        </w:tc>
        <w:tc>
          <w:tcPr>
            <w:tcW w:w="251" w:type="pct"/>
            <w:vMerge w:val="restart"/>
            <w:vAlign w:val="center"/>
          </w:tcPr>
          <w:p w14:paraId="2C1C3C56">
            <w:pPr>
              <w:widowControl/>
              <w:adjustRightInd w:val="0"/>
              <w:snapToGrid w:val="0"/>
              <w:spacing w:line="240" w:lineRule="exact"/>
              <w:jc w:val="center"/>
              <w:rPr>
                <w:rFonts w:ascii="Times New Roman" w:hAnsi="宋体" w:eastAsia="宋体" w:cs="Times New Roman"/>
                <w:szCs w:val="21"/>
              </w:rPr>
            </w:pPr>
            <w:r>
              <w:rPr>
                <w:rFonts w:hint="eastAsia" w:ascii="Times New Roman" w:hAnsi="宋体" w:eastAsia="宋体" w:cs="Times New Roman"/>
                <w:szCs w:val="21"/>
              </w:rPr>
              <w:t>42</w:t>
            </w:r>
          </w:p>
        </w:tc>
      </w:tr>
      <w:tr w14:paraId="3527931D">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trHeight w:val="150" w:hRule="atLeast"/>
          <w:tblHeader/>
          <w:jc w:val="center"/>
        </w:trPr>
        <w:tc>
          <w:tcPr>
            <w:tcW w:w="180" w:type="pct"/>
            <w:vMerge w:val="continue"/>
            <w:noWrap/>
            <w:vAlign w:val="center"/>
          </w:tcPr>
          <w:p w14:paraId="2D00EF98">
            <w:pPr>
              <w:adjustRightInd w:val="0"/>
              <w:snapToGrid w:val="0"/>
              <w:spacing w:line="240" w:lineRule="exact"/>
              <w:jc w:val="center"/>
              <w:rPr>
                <w:rFonts w:ascii="Times New Roman" w:hAnsi="Times New Roman" w:eastAsia="宋体" w:cs="Times New Roman"/>
              </w:rPr>
            </w:pPr>
          </w:p>
        </w:tc>
        <w:tc>
          <w:tcPr>
            <w:tcW w:w="278" w:type="pct"/>
            <w:vAlign w:val="center"/>
          </w:tcPr>
          <w:p w14:paraId="30A95E98">
            <w:pPr>
              <w:adjustRightInd w:val="0"/>
              <w:snapToGrid w:val="0"/>
              <w:spacing w:line="240" w:lineRule="exact"/>
              <w:jc w:val="center"/>
              <w:rPr>
                <w:rFonts w:ascii="Times New Roman" w:hAnsi="Times New Roman" w:eastAsia="宋体" w:cs="Times New Roman"/>
              </w:rPr>
            </w:pPr>
            <w:r>
              <w:rPr>
                <w:rFonts w:ascii="Times New Roman" w:hAnsi="Times New Roman" w:eastAsia="宋体" w:cs="Times New Roman"/>
              </w:rPr>
              <w:t>K</w:t>
            </w:r>
            <w:r>
              <w:rPr>
                <w:rFonts w:hint="eastAsia" w:ascii="Times New Roman" w:hAnsi="Times New Roman" w:eastAsia="宋体" w:cs="Times New Roman"/>
              </w:rPr>
              <w:t>48</w:t>
            </w:r>
            <w:r>
              <w:rPr>
                <w:rFonts w:ascii="Times New Roman" w:hAnsi="Times New Roman" w:eastAsia="宋体" w:cs="Times New Roman"/>
              </w:rPr>
              <w:t>+</w:t>
            </w:r>
            <w:r>
              <w:rPr>
                <w:rFonts w:hint="eastAsia" w:ascii="Times New Roman" w:hAnsi="Times New Roman" w:eastAsia="宋体" w:cs="Times New Roman"/>
              </w:rPr>
              <w:t>90</w:t>
            </w:r>
            <w:r>
              <w:rPr>
                <w:rFonts w:ascii="Times New Roman" w:hAnsi="Times New Roman" w:eastAsia="宋体" w:cs="Times New Roman"/>
              </w:rPr>
              <w:t>0～K</w:t>
            </w:r>
            <w:r>
              <w:rPr>
                <w:rFonts w:hint="eastAsia" w:ascii="Times New Roman" w:hAnsi="Times New Roman" w:eastAsia="宋体" w:cs="Times New Roman"/>
              </w:rPr>
              <w:t>49</w:t>
            </w:r>
            <w:r>
              <w:rPr>
                <w:rFonts w:ascii="Times New Roman" w:hAnsi="Times New Roman" w:eastAsia="宋体" w:cs="Times New Roman"/>
              </w:rPr>
              <w:t>+</w:t>
            </w:r>
            <w:r>
              <w:rPr>
                <w:rFonts w:hint="eastAsia" w:ascii="Times New Roman" w:hAnsi="Times New Roman" w:eastAsia="宋体" w:cs="Times New Roman"/>
              </w:rPr>
              <w:t>0</w:t>
            </w:r>
            <w:r>
              <w:rPr>
                <w:rFonts w:ascii="Times New Roman" w:hAnsi="Times New Roman" w:eastAsia="宋体" w:cs="Times New Roman"/>
              </w:rPr>
              <w:t>00</w:t>
            </w:r>
          </w:p>
        </w:tc>
        <w:tc>
          <w:tcPr>
            <w:tcW w:w="346" w:type="pct"/>
            <w:vMerge w:val="continue"/>
            <w:vAlign w:val="center"/>
          </w:tcPr>
          <w:p w14:paraId="78277BA5">
            <w:pPr>
              <w:widowControl/>
              <w:adjustRightInd w:val="0"/>
              <w:snapToGrid w:val="0"/>
              <w:spacing w:line="240" w:lineRule="exact"/>
              <w:jc w:val="center"/>
              <w:rPr>
                <w:rFonts w:ascii="Times New Roman" w:hAnsi="Times New Roman" w:eastAsia="宋体" w:cs="Times New Roman"/>
              </w:rPr>
            </w:pPr>
          </w:p>
        </w:tc>
        <w:tc>
          <w:tcPr>
            <w:tcW w:w="138" w:type="pct"/>
            <w:vMerge w:val="continue"/>
            <w:vAlign w:val="center"/>
          </w:tcPr>
          <w:p w14:paraId="34E71300">
            <w:pPr>
              <w:widowControl/>
              <w:adjustRightInd w:val="0"/>
              <w:snapToGrid w:val="0"/>
              <w:spacing w:line="240" w:lineRule="exact"/>
              <w:jc w:val="center"/>
              <w:rPr>
                <w:rFonts w:ascii="Times New Roman" w:hAnsi="Times New Roman" w:eastAsia="宋体" w:cs="Times New Roman"/>
              </w:rPr>
            </w:pPr>
          </w:p>
        </w:tc>
        <w:tc>
          <w:tcPr>
            <w:tcW w:w="209" w:type="pct"/>
            <w:vMerge w:val="continue"/>
            <w:vAlign w:val="center"/>
          </w:tcPr>
          <w:p w14:paraId="66205E67">
            <w:pPr>
              <w:widowControl/>
              <w:adjustRightInd w:val="0"/>
              <w:snapToGrid w:val="0"/>
              <w:spacing w:line="240" w:lineRule="exact"/>
              <w:jc w:val="center"/>
              <w:rPr>
                <w:rFonts w:ascii="Times New Roman" w:hAnsi="Times New Roman" w:eastAsia="宋体" w:cs="Times New Roman"/>
              </w:rPr>
            </w:pPr>
          </w:p>
        </w:tc>
        <w:tc>
          <w:tcPr>
            <w:tcW w:w="243" w:type="pct"/>
            <w:vMerge w:val="continue"/>
            <w:vAlign w:val="center"/>
          </w:tcPr>
          <w:p w14:paraId="62A00542">
            <w:pPr>
              <w:adjustRightInd w:val="0"/>
              <w:snapToGrid w:val="0"/>
              <w:spacing w:line="240" w:lineRule="exact"/>
              <w:jc w:val="center"/>
              <w:rPr>
                <w:rFonts w:ascii="Times New Roman" w:hAnsi="Times New Roman" w:eastAsia="宋体" w:cs="Times New Roman"/>
              </w:rPr>
            </w:pPr>
          </w:p>
        </w:tc>
        <w:tc>
          <w:tcPr>
            <w:tcW w:w="243" w:type="pct"/>
            <w:vMerge w:val="continue"/>
            <w:vAlign w:val="center"/>
          </w:tcPr>
          <w:p w14:paraId="294ADDD0">
            <w:pPr>
              <w:adjustRightInd w:val="0"/>
              <w:snapToGrid w:val="0"/>
              <w:spacing w:line="240" w:lineRule="exact"/>
              <w:jc w:val="center"/>
              <w:rPr>
                <w:rFonts w:ascii="Times New Roman" w:hAnsi="Times New Roman" w:eastAsia="宋体" w:cs="Times New Roman"/>
              </w:rPr>
            </w:pPr>
          </w:p>
        </w:tc>
        <w:tc>
          <w:tcPr>
            <w:tcW w:w="190" w:type="pct"/>
            <w:vMerge w:val="continue"/>
            <w:shd w:val="clear" w:color="auto" w:fill="auto"/>
            <w:vAlign w:val="center"/>
          </w:tcPr>
          <w:p w14:paraId="4C396875">
            <w:pPr>
              <w:adjustRightInd w:val="0"/>
              <w:snapToGrid w:val="0"/>
              <w:spacing w:line="240" w:lineRule="exact"/>
              <w:jc w:val="center"/>
              <w:rPr>
                <w:rFonts w:ascii="Times New Roman" w:hAnsi="Times New Roman" w:eastAsia="宋体" w:cs="Times New Roman"/>
              </w:rPr>
            </w:pPr>
          </w:p>
        </w:tc>
        <w:tc>
          <w:tcPr>
            <w:tcW w:w="190" w:type="pct"/>
            <w:vMerge w:val="continue"/>
            <w:shd w:val="clear" w:color="auto" w:fill="auto"/>
            <w:vAlign w:val="center"/>
          </w:tcPr>
          <w:p w14:paraId="48D26DF9">
            <w:pPr>
              <w:adjustRightInd w:val="0"/>
              <w:snapToGrid w:val="0"/>
              <w:spacing w:line="240" w:lineRule="exact"/>
              <w:jc w:val="center"/>
              <w:rPr>
                <w:rFonts w:ascii="Times New Roman" w:hAnsi="Times New Roman" w:eastAsia="宋体" w:cs="Times New Roman"/>
              </w:rPr>
            </w:pPr>
          </w:p>
        </w:tc>
        <w:tc>
          <w:tcPr>
            <w:tcW w:w="2230" w:type="pct"/>
            <w:vMerge w:val="continue"/>
            <w:noWrap/>
            <w:vAlign w:val="center"/>
          </w:tcPr>
          <w:p w14:paraId="7803D5C5">
            <w:pPr>
              <w:rPr>
                <w:rFonts w:ascii="Times New Roman" w:hAnsi="Times New Roman" w:eastAsia="宋体" w:cs="Times New Roman"/>
                <w:szCs w:val="21"/>
              </w:rPr>
            </w:pPr>
          </w:p>
        </w:tc>
        <w:tc>
          <w:tcPr>
            <w:tcW w:w="242" w:type="pct"/>
            <w:vMerge w:val="continue"/>
            <w:vAlign w:val="center"/>
          </w:tcPr>
          <w:p w14:paraId="092469AF">
            <w:pPr>
              <w:jc w:val="center"/>
              <w:rPr>
                <w:rFonts w:ascii="Times New Roman" w:hAnsi="Times New Roman" w:eastAsia="宋体" w:cs="Times New Roman"/>
                <w:szCs w:val="21"/>
              </w:rPr>
            </w:pPr>
          </w:p>
        </w:tc>
        <w:tc>
          <w:tcPr>
            <w:tcW w:w="260" w:type="pct"/>
            <w:vMerge w:val="continue"/>
            <w:vAlign w:val="center"/>
          </w:tcPr>
          <w:p w14:paraId="650F1D99">
            <w:pPr>
              <w:jc w:val="center"/>
              <w:rPr>
                <w:rFonts w:ascii="Times New Roman" w:hAnsi="Times New Roman" w:eastAsia="宋体" w:cs="Times New Roman"/>
                <w:szCs w:val="21"/>
              </w:rPr>
            </w:pPr>
          </w:p>
        </w:tc>
        <w:tc>
          <w:tcPr>
            <w:tcW w:w="251" w:type="pct"/>
            <w:vMerge w:val="continue"/>
            <w:vAlign w:val="center"/>
          </w:tcPr>
          <w:p w14:paraId="20D66849">
            <w:pPr>
              <w:widowControl/>
              <w:adjustRightInd w:val="0"/>
              <w:snapToGrid w:val="0"/>
              <w:spacing w:line="240" w:lineRule="exact"/>
              <w:jc w:val="center"/>
              <w:rPr>
                <w:rFonts w:ascii="Times New Roman" w:hAnsi="Times New Roman" w:eastAsia="宋体" w:cs="Times New Roman"/>
                <w:szCs w:val="21"/>
              </w:rPr>
            </w:pPr>
          </w:p>
        </w:tc>
      </w:tr>
      <w:tr w14:paraId="2292290E">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trHeight w:val="80" w:hRule="atLeast"/>
          <w:tblHeader/>
          <w:jc w:val="center"/>
        </w:trPr>
        <w:tc>
          <w:tcPr>
            <w:tcW w:w="180" w:type="pct"/>
            <w:noWrap/>
            <w:vAlign w:val="center"/>
          </w:tcPr>
          <w:p w14:paraId="434A309B">
            <w:pPr>
              <w:adjustRightInd w:val="0"/>
              <w:snapToGrid w:val="0"/>
              <w:spacing w:line="240" w:lineRule="exact"/>
              <w:jc w:val="center"/>
              <w:rPr>
                <w:rFonts w:ascii="Times New Roman" w:hAnsi="Times New Roman" w:eastAsia="宋体" w:cs="Times New Roman"/>
              </w:rPr>
            </w:pPr>
            <w:r>
              <w:rPr>
                <w:rFonts w:hint="eastAsia" w:ascii="Times New Roman" w:hAnsi="Times New Roman" w:eastAsia="宋体" w:cs="Times New Roman"/>
              </w:rPr>
              <w:t>25</w:t>
            </w:r>
          </w:p>
        </w:tc>
        <w:tc>
          <w:tcPr>
            <w:tcW w:w="278" w:type="pct"/>
            <w:vAlign w:val="center"/>
          </w:tcPr>
          <w:p w14:paraId="1C480009">
            <w:pPr>
              <w:widowControl/>
              <w:adjustRightInd w:val="0"/>
              <w:snapToGrid w:val="0"/>
              <w:spacing w:line="240" w:lineRule="exact"/>
              <w:jc w:val="center"/>
              <w:rPr>
                <w:rFonts w:ascii="Times New Roman" w:hAnsi="Times New Roman" w:eastAsia="宋体" w:cs="Times New Roman"/>
              </w:rPr>
            </w:pPr>
            <w:r>
              <w:rPr>
                <w:rFonts w:ascii="Times New Roman" w:hAnsi="Times New Roman" w:eastAsia="宋体" w:cs="Times New Roman"/>
              </w:rPr>
              <w:t>K</w:t>
            </w:r>
            <w:r>
              <w:rPr>
                <w:rFonts w:hint="eastAsia" w:ascii="Times New Roman" w:hAnsi="Times New Roman" w:eastAsia="宋体" w:cs="Times New Roman"/>
              </w:rPr>
              <w:t>49</w:t>
            </w:r>
            <w:r>
              <w:rPr>
                <w:rFonts w:ascii="Times New Roman" w:hAnsi="Times New Roman" w:eastAsia="宋体" w:cs="Times New Roman"/>
              </w:rPr>
              <w:t>+</w:t>
            </w:r>
            <w:r>
              <w:rPr>
                <w:rFonts w:hint="eastAsia" w:ascii="Times New Roman" w:hAnsi="Times New Roman" w:eastAsia="宋体" w:cs="Times New Roman"/>
              </w:rPr>
              <w:t>68</w:t>
            </w:r>
            <w:r>
              <w:rPr>
                <w:rFonts w:ascii="Times New Roman" w:hAnsi="Times New Roman" w:eastAsia="宋体" w:cs="Times New Roman"/>
              </w:rPr>
              <w:t>0～K</w:t>
            </w:r>
            <w:r>
              <w:rPr>
                <w:rFonts w:hint="eastAsia" w:ascii="Times New Roman" w:hAnsi="Times New Roman" w:eastAsia="宋体" w:cs="Times New Roman"/>
              </w:rPr>
              <w:t>49</w:t>
            </w:r>
            <w:r>
              <w:rPr>
                <w:rFonts w:ascii="Times New Roman" w:hAnsi="Times New Roman" w:eastAsia="宋体" w:cs="Times New Roman"/>
              </w:rPr>
              <w:t>+</w:t>
            </w:r>
            <w:r>
              <w:rPr>
                <w:rFonts w:hint="eastAsia" w:ascii="Times New Roman" w:hAnsi="Times New Roman" w:eastAsia="宋体" w:cs="Times New Roman"/>
              </w:rPr>
              <w:t>78</w:t>
            </w:r>
            <w:r>
              <w:rPr>
                <w:rFonts w:ascii="Times New Roman" w:hAnsi="Times New Roman" w:eastAsia="宋体" w:cs="Times New Roman"/>
              </w:rPr>
              <w:t>0</w:t>
            </w:r>
          </w:p>
        </w:tc>
        <w:tc>
          <w:tcPr>
            <w:tcW w:w="346" w:type="pct"/>
            <w:vAlign w:val="center"/>
          </w:tcPr>
          <w:p w14:paraId="4A657341">
            <w:pPr>
              <w:adjustRightInd w:val="0"/>
              <w:snapToGrid w:val="0"/>
              <w:spacing w:line="240" w:lineRule="exact"/>
              <w:jc w:val="center"/>
              <w:rPr>
                <w:rFonts w:ascii="Times New Roman" w:hAnsi="Times New Roman" w:eastAsia="宋体" w:cs="Times New Roman"/>
              </w:rPr>
            </w:pPr>
            <w:r>
              <w:rPr>
                <w:rFonts w:hint="eastAsia" w:ascii="Times New Roman" w:hAnsi="Times New Roman" w:eastAsia="宋体" w:cs="Times New Roman"/>
              </w:rPr>
              <w:t>江巴孜村</w:t>
            </w:r>
          </w:p>
        </w:tc>
        <w:tc>
          <w:tcPr>
            <w:tcW w:w="138" w:type="pct"/>
            <w:vAlign w:val="center"/>
          </w:tcPr>
          <w:p w14:paraId="55A3075C">
            <w:pPr>
              <w:widowControl/>
              <w:adjustRightInd w:val="0"/>
              <w:snapToGrid w:val="0"/>
              <w:spacing w:line="240" w:lineRule="exact"/>
              <w:jc w:val="center"/>
              <w:rPr>
                <w:rFonts w:ascii="Times New Roman" w:hAnsi="Times New Roman" w:eastAsia="宋体" w:cs="Times New Roman"/>
              </w:rPr>
            </w:pPr>
            <w:r>
              <w:rPr>
                <w:rFonts w:hint="eastAsia" w:ascii="Times New Roman" w:hAnsi="Times New Roman" w:eastAsia="宋体" w:cs="Times New Roman"/>
              </w:rPr>
              <w:t>两侧</w:t>
            </w:r>
          </w:p>
        </w:tc>
        <w:tc>
          <w:tcPr>
            <w:tcW w:w="209" w:type="pct"/>
            <w:vAlign w:val="center"/>
          </w:tcPr>
          <w:p w14:paraId="6B3FE910">
            <w:pPr>
              <w:widowControl/>
              <w:adjustRightInd w:val="0"/>
              <w:snapToGrid w:val="0"/>
              <w:spacing w:line="240" w:lineRule="exact"/>
              <w:jc w:val="center"/>
              <w:rPr>
                <w:rFonts w:ascii="Times New Roman" w:hAnsi="Times New Roman" w:eastAsia="宋体" w:cs="Times New Roman"/>
              </w:rPr>
            </w:pPr>
            <w:r>
              <w:rPr>
                <w:rFonts w:hint="eastAsia" w:ascii="Times New Roman" w:hAnsi="Times New Roman" w:eastAsia="宋体" w:cs="Times New Roman"/>
              </w:rPr>
              <w:t>23</w:t>
            </w:r>
          </w:p>
        </w:tc>
        <w:tc>
          <w:tcPr>
            <w:tcW w:w="243" w:type="pct"/>
            <w:vAlign w:val="center"/>
          </w:tcPr>
          <w:p w14:paraId="0B8967E3">
            <w:pPr>
              <w:adjustRightInd w:val="0"/>
              <w:snapToGrid w:val="0"/>
              <w:spacing w:line="240" w:lineRule="exact"/>
              <w:jc w:val="center"/>
              <w:rPr>
                <w:rFonts w:ascii="Times New Roman" w:hAnsi="Times New Roman" w:eastAsia="宋体" w:cs="Times New Roman"/>
              </w:rPr>
            </w:pPr>
            <w:r>
              <w:rPr>
                <w:rFonts w:hint="eastAsia" w:ascii="Times New Roman" w:hAnsi="Times New Roman" w:eastAsia="宋体" w:cs="Times New Roman"/>
              </w:rPr>
              <w:t>-/2.8</w:t>
            </w:r>
          </w:p>
        </w:tc>
        <w:tc>
          <w:tcPr>
            <w:tcW w:w="243" w:type="pct"/>
            <w:vAlign w:val="center"/>
          </w:tcPr>
          <w:p w14:paraId="0CB2F396">
            <w:pPr>
              <w:adjustRightInd w:val="0"/>
              <w:snapToGrid w:val="0"/>
              <w:spacing w:line="240" w:lineRule="exact"/>
              <w:jc w:val="center"/>
              <w:rPr>
                <w:rFonts w:ascii="Times New Roman" w:hAnsi="Times New Roman" w:eastAsia="宋体" w:cs="Times New Roman"/>
              </w:rPr>
            </w:pPr>
            <w:r>
              <w:rPr>
                <w:rFonts w:hint="eastAsia" w:ascii="Times New Roman" w:hAnsi="Times New Roman" w:eastAsia="宋体" w:cs="Times New Roman"/>
              </w:rPr>
              <w:t>-/3.0</w:t>
            </w:r>
          </w:p>
        </w:tc>
        <w:tc>
          <w:tcPr>
            <w:tcW w:w="190" w:type="pct"/>
            <w:shd w:val="clear" w:color="auto" w:fill="auto"/>
            <w:vAlign w:val="center"/>
          </w:tcPr>
          <w:p w14:paraId="65AA2D3A">
            <w:pPr>
              <w:widowControl/>
              <w:adjustRightInd w:val="0"/>
              <w:snapToGrid w:val="0"/>
              <w:spacing w:line="240" w:lineRule="exact"/>
              <w:jc w:val="center"/>
              <w:rPr>
                <w:rFonts w:ascii="Times New Roman" w:hAnsi="Times New Roman" w:eastAsia="宋体" w:cs="Times New Roman"/>
              </w:rPr>
            </w:pPr>
            <w:r>
              <w:rPr>
                <w:rFonts w:hint="eastAsia" w:ascii="Times New Roman" w:hAnsi="Times New Roman" w:eastAsia="宋体" w:cs="Times New Roman"/>
              </w:rPr>
              <w:t>10</w:t>
            </w:r>
          </w:p>
        </w:tc>
        <w:tc>
          <w:tcPr>
            <w:tcW w:w="190" w:type="pct"/>
            <w:shd w:val="clear" w:color="auto" w:fill="auto"/>
            <w:vAlign w:val="center"/>
          </w:tcPr>
          <w:p w14:paraId="1927C3F8">
            <w:pPr>
              <w:widowControl/>
              <w:adjustRightInd w:val="0"/>
              <w:snapToGrid w:val="0"/>
              <w:spacing w:line="240" w:lineRule="exact"/>
              <w:jc w:val="center"/>
              <w:rPr>
                <w:rFonts w:ascii="Times New Roman" w:hAnsi="Times New Roman" w:eastAsia="宋体" w:cs="Times New Roman"/>
              </w:rPr>
            </w:pPr>
            <w:r>
              <w:rPr>
                <w:rFonts w:hint="eastAsia" w:ascii="Times New Roman" w:hAnsi="Times New Roman" w:eastAsia="宋体" w:cs="Times New Roman"/>
              </w:rPr>
              <w:t>45</w:t>
            </w:r>
          </w:p>
        </w:tc>
        <w:tc>
          <w:tcPr>
            <w:tcW w:w="2230" w:type="pct"/>
            <w:noWrap/>
            <w:vAlign w:val="center"/>
          </w:tcPr>
          <w:p w14:paraId="180F8945">
            <w:pPr>
              <w:rPr>
                <w:rFonts w:ascii="Times New Roman" w:hAnsi="Times New Roman" w:eastAsia="宋体" w:cs="Times New Roman"/>
                <w:szCs w:val="21"/>
              </w:rPr>
            </w:pPr>
            <w:r>
              <w:rPr>
                <w:rFonts w:ascii="Times New Roman" w:hAnsi="Times New Roman" w:eastAsia="宋体" w:cs="Times New Roman"/>
                <w:szCs w:val="21"/>
              </w:rPr>
              <w:t>方案一：安装隔声窗，按每户1万元计，共</w:t>
            </w:r>
            <w:r>
              <w:rPr>
                <w:rFonts w:hint="eastAsia" w:ascii="Times New Roman" w:hAnsi="Times New Roman" w:eastAsia="宋体" w:cs="Times New Roman"/>
                <w:szCs w:val="21"/>
              </w:rPr>
              <w:t>55</w:t>
            </w:r>
            <w:r>
              <w:rPr>
                <w:rFonts w:ascii="Times New Roman" w:hAnsi="Times New Roman" w:eastAsia="宋体" w:cs="Times New Roman"/>
                <w:szCs w:val="21"/>
              </w:rPr>
              <w:t>户，投资</w:t>
            </w:r>
            <w:r>
              <w:rPr>
                <w:rFonts w:hint="eastAsia" w:ascii="Times New Roman" w:hAnsi="Times New Roman" w:eastAsia="宋体" w:cs="Times New Roman"/>
                <w:szCs w:val="21"/>
              </w:rPr>
              <w:t>55</w:t>
            </w:r>
            <w:r>
              <w:rPr>
                <w:rFonts w:ascii="Times New Roman" w:hAnsi="Times New Roman" w:eastAsia="宋体" w:cs="Times New Roman"/>
                <w:szCs w:val="21"/>
              </w:rPr>
              <w:t>万元，隔声量25dB。</w:t>
            </w:r>
          </w:p>
          <w:p w14:paraId="34A69016">
            <w:pPr>
              <w:adjustRightInd w:val="0"/>
              <w:snapToGrid w:val="0"/>
              <w:spacing w:line="240" w:lineRule="exact"/>
              <w:rPr>
                <w:rFonts w:ascii="Times New Roman" w:hAnsi="Times New Roman" w:eastAsia="宋体" w:cs="Times New Roman"/>
                <w:szCs w:val="21"/>
              </w:rPr>
            </w:pPr>
            <w:r>
              <w:rPr>
                <w:rFonts w:ascii="Times New Roman" w:hAnsi="Times New Roman" w:eastAsia="宋体" w:cs="Times New Roman"/>
                <w:szCs w:val="21"/>
              </w:rPr>
              <w:t>方案二：设置声屏障，拟建公路</w:t>
            </w:r>
            <w:r>
              <w:rPr>
                <w:rFonts w:hint="eastAsia" w:ascii="Times New Roman" w:hAnsi="Times New Roman" w:eastAsia="宋体" w:cs="Times New Roman"/>
                <w:szCs w:val="21"/>
              </w:rPr>
              <w:t>两侧</w:t>
            </w:r>
            <w:r>
              <w:rPr>
                <w:rFonts w:ascii="Times New Roman" w:hAnsi="Times New Roman" w:eastAsia="宋体" w:cs="Times New Roman"/>
              </w:rPr>
              <w:t>K</w:t>
            </w:r>
            <w:r>
              <w:rPr>
                <w:rFonts w:hint="eastAsia" w:ascii="Times New Roman" w:hAnsi="Times New Roman" w:eastAsia="宋体" w:cs="Times New Roman"/>
              </w:rPr>
              <w:t>49</w:t>
            </w:r>
            <w:r>
              <w:rPr>
                <w:rFonts w:ascii="Times New Roman" w:hAnsi="Times New Roman" w:eastAsia="宋体" w:cs="Times New Roman"/>
              </w:rPr>
              <w:t>+</w:t>
            </w:r>
            <w:r>
              <w:rPr>
                <w:rFonts w:hint="eastAsia" w:ascii="Times New Roman" w:hAnsi="Times New Roman" w:eastAsia="宋体" w:cs="Times New Roman"/>
              </w:rPr>
              <w:t>68</w:t>
            </w:r>
            <w:r>
              <w:rPr>
                <w:rFonts w:ascii="Times New Roman" w:hAnsi="Times New Roman" w:eastAsia="宋体" w:cs="Times New Roman"/>
              </w:rPr>
              <w:t>0～K</w:t>
            </w:r>
            <w:r>
              <w:rPr>
                <w:rFonts w:hint="eastAsia" w:ascii="Times New Roman" w:hAnsi="Times New Roman" w:eastAsia="宋体" w:cs="Times New Roman"/>
              </w:rPr>
              <w:t>49</w:t>
            </w:r>
            <w:r>
              <w:rPr>
                <w:rFonts w:ascii="Times New Roman" w:hAnsi="Times New Roman" w:eastAsia="宋体" w:cs="Times New Roman"/>
              </w:rPr>
              <w:t>+</w:t>
            </w:r>
            <w:r>
              <w:rPr>
                <w:rFonts w:hint="eastAsia" w:ascii="Times New Roman" w:hAnsi="Times New Roman" w:eastAsia="宋体" w:cs="Times New Roman"/>
              </w:rPr>
              <w:t>78</w:t>
            </w:r>
            <w:r>
              <w:rPr>
                <w:rFonts w:ascii="Times New Roman" w:hAnsi="Times New Roman" w:eastAsia="宋体" w:cs="Times New Roman"/>
              </w:rPr>
              <w:t>0路段房屋</w:t>
            </w:r>
            <w:r>
              <w:rPr>
                <w:rFonts w:hint="eastAsia" w:ascii="Times New Roman" w:hAnsi="Times New Roman" w:eastAsia="宋体" w:cs="Times New Roman"/>
              </w:rPr>
              <w:t>集中</w:t>
            </w:r>
            <w:r>
              <w:rPr>
                <w:rFonts w:ascii="Times New Roman" w:hAnsi="Times New Roman" w:eastAsia="宋体" w:cs="Times New Roman"/>
              </w:rPr>
              <w:t>分布于平交口两侧，</w:t>
            </w:r>
            <w:r>
              <w:rPr>
                <w:rFonts w:ascii="Times New Roman" w:hAnsi="Times New Roman" w:cs="Times New Roman" w:eastAsiaTheme="minorEastAsia"/>
                <w:szCs w:val="21"/>
              </w:rPr>
              <w:t>根据《</w:t>
            </w:r>
            <w:r>
              <w:rPr>
                <w:rFonts w:hint="eastAsia" w:ascii="Times New Roman" w:hAnsi="Times New Roman" w:cs="Times New Roman" w:eastAsiaTheme="minorEastAsia"/>
                <w:szCs w:val="21"/>
              </w:rPr>
              <w:t>公路路线设计规范（JTG D20—2017）</w:t>
            </w:r>
            <w:r>
              <w:rPr>
                <w:rFonts w:ascii="Times New Roman" w:hAnsi="Times New Roman" w:cs="Times New Roman" w:eastAsiaTheme="minorEastAsia"/>
                <w:szCs w:val="21"/>
              </w:rPr>
              <w:t>》，考虑行车安全视距，每处平交口两侧共需断开</w:t>
            </w:r>
            <w:r>
              <w:rPr>
                <w:rFonts w:hint="eastAsia" w:ascii="Times New Roman" w:hAnsi="Times New Roman" w:cs="Times New Roman" w:eastAsiaTheme="minorEastAsia"/>
                <w:szCs w:val="21"/>
              </w:rPr>
              <w:t>220m，该路段</w:t>
            </w:r>
            <w:r>
              <w:rPr>
                <w:rFonts w:ascii="Times New Roman" w:hAnsi="Times New Roman" w:eastAsia="宋体" w:cs="Times New Roman"/>
              </w:rPr>
              <w:t>平交口处无法设置声屏障</w:t>
            </w:r>
            <w:r>
              <w:rPr>
                <w:rFonts w:hint="eastAsia" w:ascii="Times New Roman" w:hAnsi="Times New Roman" w:eastAsia="宋体" w:cs="Times New Roman"/>
              </w:rPr>
              <w:t>。</w:t>
            </w:r>
          </w:p>
          <w:p w14:paraId="129CB545">
            <w:pPr>
              <w:widowControl/>
              <w:adjustRightInd w:val="0"/>
              <w:snapToGrid w:val="0"/>
              <w:spacing w:line="240" w:lineRule="exact"/>
              <w:rPr>
                <w:rFonts w:ascii="Times New Roman" w:hAnsi="Times New Roman" w:eastAsia="宋体" w:cs="Times New Roman"/>
                <w:szCs w:val="21"/>
              </w:rPr>
            </w:pPr>
            <w:r>
              <w:rPr>
                <w:rFonts w:ascii="Times New Roman" w:hAnsi="Times New Roman" w:eastAsia="宋体" w:cs="Times New Roman"/>
                <w:szCs w:val="21"/>
              </w:rPr>
              <w:t>推荐：综合考虑推荐方案</w:t>
            </w:r>
            <w:r>
              <w:rPr>
                <w:rFonts w:hint="eastAsia" w:ascii="Times New Roman" w:hAnsi="Times New Roman" w:eastAsia="宋体" w:cs="Times New Roman"/>
                <w:szCs w:val="21"/>
              </w:rPr>
              <w:t>一</w:t>
            </w:r>
            <w:r>
              <w:rPr>
                <w:rFonts w:ascii="Times New Roman" w:hAnsi="Times New Roman" w:eastAsia="宋体" w:cs="Times New Roman"/>
                <w:szCs w:val="21"/>
              </w:rPr>
              <w:t>。</w:t>
            </w:r>
          </w:p>
        </w:tc>
        <w:tc>
          <w:tcPr>
            <w:tcW w:w="242" w:type="pct"/>
            <w:vAlign w:val="center"/>
          </w:tcPr>
          <w:p w14:paraId="7D067823">
            <w:pPr>
              <w:widowControl/>
              <w:jc w:val="center"/>
              <w:rPr>
                <w:rFonts w:ascii="Times New Roman" w:hAnsi="Times New Roman" w:eastAsia="宋体" w:cs="Times New Roman"/>
                <w:kern w:val="0"/>
              </w:rPr>
            </w:pPr>
            <w:r>
              <w:rPr>
                <w:rFonts w:ascii="Times New Roman" w:hAnsi="Times New Roman" w:eastAsia="宋体" w:cs="Times New Roman"/>
                <w:kern w:val="0"/>
              </w:rPr>
              <w:t>隔声窗</w:t>
            </w:r>
          </w:p>
        </w:tc>
        <w:tc>
          <w:tcPr>
            <w:tcW w:w="260" w:type="pct"/>
            <w:vAlign w:val="center"/>
          </w:tcPr>
          <w:p w14:paraId="309DE8DA">
            <w:pPr>
              <w:widowControl/>
              <w:jc w:val="center"/>
              <w:rPr>
                <w:rFonts w:ascii="Times New Roman" w:hAnsi="Times New Roman" w:eastAsia="宋体" w:cs="Times New Roman"/>
                <w:kern w:val="0"/>
              </w:rPr>
            </w:pPr>
            <w:r>
              <w:rPr>
                <w:rFonts w:ascii="Times New Roman" w:hAnsi="Times New Roman" w:eastAsia="宋体" w:cs="Times New Roman"/>
                <w:kern w:val="0"/>
              </w:rPr>
              <w:t>室内达标</w:t>
            </w:r>
          </w:p>
        </w:tc>
        <w:tc>
          <w:tcPr>
            <w:tcW w:w="251" w:type="pct"/>
            <w:vAlign w:val="center"/>
          </w:tcPr>
          <w:p w14:paraId="678A4B47">
            <w:pPr>
              <w:widowControl/>
              <w:adjustRightInd w:val="0"/>
              <w:snapToGrid w:val="0"/>
              <w:spacing w:line="240" w:lineRule="exact"/>
              <w:jc w:val="center"/>
              <w:rPr>
                <w:rFonts w:ascii="Times New Roman" w:hAnsi="宋体" w:eastAsia="宋体" w:cs="Times New Roman"/>
                <w:szCs w:val="21"/>
              </w:rPr>
            </w:pPr>
            <w:r>
              <w:rPr>
                <w:rFonts w:hint="eastAsia" w:ascii="Times New Roman" w:hAnsi="宋体" w:eastAsia="宋体" w:cs="Times New Roman"/>
                <w:szCs w:val="21"/>
              </w:rPr>
              <w:t>55</w:t>
            </w:r>
          </w:p>
        </w:tc>
      </w:tr>
      <w:tr w14:paraId="4E03DD09">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trHeight w:val="75" w:hRule="atLeast"/>
          <w:tblHeader/>
          <w:jc w:val="center"/>
        </w:trPr>
        <w:tc>
          <w:tcPr>
            <w:tcW w:w="180" w:type="pct"/>
            <w:vMerge w:val="restart"/>
            <w:noWrap/>
            <w:vAlign w:val="center"/>
          </w:tcPr>
          <w:p w14:paraId="245FF3DA">
            <w:pPr>
              <w:adjustRightInd w:val="0"/>
              <w:snapToGrid w:val="0"/>
              <w:spacing w:line="240" w:lineRule="exact"/>
              <w:jc w:val="center"/>
              <w:rPr>
                <w:rFonts w:ascii="Times New Roman" w:hAnsi="Times New Roman" w:eastAsia="宋体" w:cs="Times New Roman"/>
              </w:rPr>
            </w:pPr>
            <w:r>
              <w:rPr>
                <w:rFonts w:hint="eastAsia" w:ascii="Times New Roman" w:hAnsi="Times New Roman" w:eastAsia="宋体" w:cs="Times New Roman"/>
              </w:rPr>
              <w:t>26</w:t>
            </w:r>
          </w:p>
        </w:tc>
        <w:tc>
          <w:tcPr>
            <w:tcW w:w="278" w:type="pct"/>
            <w:vAlign w:val="center"/>
          </w:tcPr>
          <w:p w14:paraId="78C813F1">
            <w:pPr>
              <w:widowControl/>
              <w:adjustRightInd w:val="0"/>
              <w:snapToGrid w:val="0"/>
              <w:spacing w:line="240" w:lineRule="exact"/>
              <w:jc w:val="center"/>
              <w:rPr>
                <w:rFonts w:ascii="Times New Roman" w:hAnsi="Times New Roman" w:eastAsia="宋体" w:cs="Times New Roman"/>
              </w:rPr>
            </w:pPr>
            <w:r>
              <w:rPr>
                <w:rFonts w:ascii="Times New Roman" w:hAnsi="Times New Roman" w:eastAsia="宋体" w:cs="Times New Roman"/>
              </w:rPr>
              <w:t>K</w:t>
            </w:r>
            <w:r>
              <w:rPr>
                <w:rFonts w:hint="eastAsia" w:ascii="Times New Roman" w:hAnsi="Times New Roman" w:eastAsia="宋体" w:cs="Times New Roman"/>
              </w:rPr>
              <w:t>56</w:t>
            </w:r>
            <w:r>
              <w:rPr>
                <w:rFonts w:ascii="Times New Roman" w:hAnsi="Times New Roman" w:eastAsia="宋体" w:cs="Times New Roman"/>
              </w:rPr>
              <w:t>+6</w:t>
            </w:r>
            <w:r>
              <w:rPr>
                <w:rFonts w:hint="eastAsia" w:ascii="Times New Roman" w:hAnsi="Times New Roman" w:eastAsia="宋体" w:cs="Times New Roman"/>
              </w:rPr>
              <w:t>0</w:t>
            </w:r>
            <w:r>
              <w:rPr>
                <w:rFonts w:ascii="Times New Roman" w:hAnsi="Times New Roman" w:eastAsia="宋体" w:cs="Times New Roman"/>
              </w:rPr>
              <w:t>0～K</w:t>
            </w:r>
            <w:r>
              <w:rPr>
                <w:rFonts w:hint="eastAsia" w:ascii="Times New Roman" w:hAnsi="Times New Roman" w:eastAsia="宋体" w:cs="Times New Roman"/>
              </w:rPr>
              <w:t>58</w:t>
            </w:r>
            <w:r>
              <w:rPr>
                <w:rFonts w:ascii="Times New Roman" w:hAnsi="Times New Roman" w:eastAsia="宋体" w:cs="Times New Roman"/>
              </w:rPr>
              <w:t>+</w:t>
            </w:r>
            <w:r>
              <w:rPr>
                <w:rFonts w:hint="eastAsia" w:ascii="Times New Roman" w:hAnsi="Times New Roman" w:eastAsia="宋体" w:cs="Times New Roman"/>
              </w:rPr>
              <w:t>30</w:t>
            </w:r>
            <w:r>
              <w:rPr>
                <w:rFonts w:ascii="Times New Roman" w:hAnsi="Times New Roman" w:eastAsia="宋体" w:cs="Times New Roman"/>
              </w:rPr>
              <w:t>0</w:t>
            </w:r>
          </w:p>
        </w:tc>
        <w:tc>
          <w:tcPr>
            <w:tcW w:w="346" w:type="pct"/>
            <w:vMerge w:val="restart"/>
            <w:vAlign w:val="center"/>
          </w:tcPr>
          <w:p w14:paraId="18A1341D">
            <w:pPr>
              <w:adjustRightInd w:val="0"/>
              <w:snapToGrid w:val="0"/>
              <w:spacing w:line="240" w:lineRule="exact"/>
              <w:jc w:val="center"/>
              <w:rPr>
                <w:rFonts w:ascii="Times New Roman" w:hAnsi="Times New Roman" w:eastAsia="宋体" w:cs="Times New Roman"/>
              </w:rPr>
            </w:pPr>
            <w:r>
              <w:rPr>
                <w:rFonts w:hint="eastAsia" w:ascii="Times New Roman" w:hAnsi="Times New Roman" w:eastAsia="宋体" w:cs="Times New Roman"/>
              </w:rPr>
              <w:t>阿亚格乔拉克村</w:t>
            </w:r>
          </w:p>
        </w:tc>
        <w:tc>
          <w:tcPr>
            <w:tcW w:w="138" w:type="pct"/>
            <w:vMerge w:val="restart"/>
            <w:vAlign w:val="center"/>
          </w:tcPr>
          <w:p w14:paraId="0BC9698F">
            <w:pPr>
              <w:widowControl/>
              <w:adjustRightInd w:val="0"/>
              <w:snapToGrid w:val="0"/>
              <w:spacing w:line="240" w:lineRule="exact"/>
              <w:jc w:val="center"/>
              <w:rPr>
                <w:rFonts w:ascii="Times New Roman" w:hAnsi="Times New Roman" w:eastAsia="宋体" w:cs="Times New Roman"/>
              </w:rPr>
            </w:pPr>
            <w:r>
              <w:rPr>
                <w:rFonts w:ascii="Times New Roman" w:hAnsi="Times New Roman" w:eastAsia="宋体" w:cs="Times New Roman"/>
              </w:rPr>
              <w:t>路右</w:t>
            </w:r>
          </w:p>
        </w:tc>
        <w:tc>
          <w:tcPr>
            <w:tcW w:w="209" w:type="pct"/>
            <w:vMerge w:val="restart"/>
            <w:vAlign w:val="center"/>
          </w:tcPr>
          <w:p w14:paraId="0B59C6F4">
            <w:pPr>
              <w:widowControl/>
              <w:adjustRightInd w:val="0"/>
              <w:snapToGrid w:val="0"/>
              <w:spacing w:line="240" w:lineRule="exact"/>
              <w:jc w:val="center"/>
              <w:rPr>
                <w:rFonts w:ascii="Times New Roman" w:hAnsi="Times New Roman" w:eastAsia="宋体" w:cs="Times New Roman"/>
              </w:rPr>
            </w:pPr>
            <w:r>
              <w:rPr>
                <w:rFonts w:hint="eastAsia" w:ascii="Times New Roman" w:hAnsi="Times New Roman" w:eastAsia="宋体" w:cs="Times New Roman"/>
              </w:rPr>
              <w:t>25</w:t>
            </w:r>
          </w:p>
        </w:tc>
        <w:tc>
          <w:tcPr>
            <w:tcW w:w="243" w:type="pct"/>
            <w:vMerge w:val="restart"/>
            <w:vAlign w:val="center"/>
          </w:tcPr>
          <w:p w14:paraId="14F370E4">
            <w:pPr>
              <w:adjustRightInd w:val="0"/>
              <w:snapToGrid w:val="0"/>
              <w:spacing w:line="240" w:lineRule="exact"/>
              <w:jc w:val="center"/>
              <w:rPr>
                <w:rFonts w:ascii="Times New Roman" w:hAnsi="Times New Roman" w:eastAsia="宋体" w:cs="Times New Roman"/>
              </w:rPr>
            </w:pPr>
            <w:r>
              <w:rPr>
                <w:rFonts w:hint="eastAsia" w:ascii="Times New Roman" w:hAnsi="Times New Roman" w:eastAsia="宋体" w:cs="Times New Roman"/>
              </w:rPr>
              <w:t>-/2.8</w:t>
            </w:r>
          </w:p>
        </w:tc>
        <w:tc>
          <w:tcPr>
            <w:tcW w:w="243" w:type="pct"/>
            <w:vMerge w:val="restart"/>
            <w:vAlign w:val="center"/>
          </w:tcPr>
          <w:p w14:paraId="603E6B02">
            <w:pPr>
              <w:adjustRightInd w:val="0"/>
              <w:snapToGrid w:val="0"/>
              <w:spacing w:line="240" w:lineRule="exact"/>
              <w:jc w:val="center"/>
              <w:rPr>
                <w:rFonts w:ascii="Times New Roman" w:hAnsi="Times New Roman" w:eastAsia="宋体" w:cs="Times New Roman"/>
              </w:rPr>
            </w:pPr>
            <w:r>
              <w:rPr>
                <w:rFonts w:hint="eastAsia" w:ascii="Times New Roman" w:hAnsi="Times New Roman" w:eastAsia="宋体" w:cs="Times New Roman"/>
              </w:rPr>
              <w:t>-/3.8</w:t>
            </w:r>
          </w:p>
        </w:tc>
        <w:tc>
          <w:tcPr>
            <w:tcW w:w="190" w:type="pct"/>
            <w:vMerge w:val="restart"/>
            <w:shd w:val="clear" w:color="auto" w:fill="auto"/>
            <w:vAlign w:val="center"/>
          </w:tcPr>
          <w:p w14:paraId="74CA7736">
            <w:pPr>
              <w:widowControl/>
              <w:adjustRightInd w:val="0"/>
              <w:snapToGrid w:val="0"/>
              <w:spacing w:line="240" w:lineRule="exact"/>
              <w:jc w:val="center"/>
              <w:rPr>
                <w:rFonts w:ascii="Times New Roman" w:hAnsi="Times New Roman" w:eastAsia="宋体" w:cs="Times New Roman"/>
              </w:rPr>
            </w:pPr>
            <w:r>
              <w:rPr>
                <w:rFonts w:hint="eastAsia" w:ascii="Times New Roman" w:hAnsi="Times New Roman" w:eastAsia="宋体" w:cs="Times New Roman"/>
              </w:rPr>
              <w:t>130</w:t>
            </w:r>
          </w:p>
        </w:tc>
        <w:tc>
          <w:tcPr>
            <w:tcW w:w="190" w:type="pct"/>
            <w:vMerge w:val="restart"/>
            <w:shd w:val="clear" w:color="auto" w:fill="auto"/>
            <w:vAlign w:val="center"/>
          </w:tcPr>
          <w:p w14:paraId="058B90B2">
            <w:pPr>
              <w:widowControl/>
              <w:adjustRightInd w:val="0"/>
              <w:snapToGrid w:val="0"/>
              <w:spacing w:line="240" w:lineRule="exact"/>
              <w:jc w:val="center"/>
              <w:rPr>
                <w:rFonts w:ascii="Times New Roman" w:hAnsi="Times New Roman" w:eastAsia="宋体" w:cs="Times New Roman"/>
              </w:rPr>
            </w:pPr>
            <w:r>
              <w:rPr>
                <w:rFonts w:hint="eastAsia" w:ascii="Times New Roman" w:hAnsi="Times New Roman" w:eastAsia="宋体" w:cs="Times New Roman"/>
              </w:rPr>
              <w:t>150</w:t>
            </w:r>
          </w:p>
        </w:tc>
        <w:tc>
          <w:tcPr>
            <w:tcW w:w="2230" w:type="pct"/>
            <w:vMerge w:val="restart"/>
            <w:noWrap/>
            <w:vAlign w:val="center"/>
          </w:tcPr>
          <w:p w14:paraId="7D1FAC35">
            <w:pPr>
              <w:rPr>
                <w:rFonts w:ascii="Times New Roman" w:hAnsi="Times New Roman" w:eastAsia="宋体" w:cs="Times New Roman"/>
                <w:szCs w:val="21"/>
              </w:rPr>
            </w:pPr>
            <w:r>
              <w:rPr>
                <w:rFonts w:ascii="Times New Roman" w:hAnsi="Times New Roman" w:eastAsia="宋体" w:cs="Times New Roman"/>
                <w:szCs w:val="21"/>
              </w:rPr>
              <w:t>方案一：安装隔声窗，按每户1万元计，共</w:t>
            </w:r>
            <w:r>
              <w:rPr>
                <w:rFonts w:hint="eastAsia" w:ascii="Times New Roman" w:hAnsi="Times New Roman" w:eastAsia="宋体" w:cs="Times New Roman"/>
                <w:szCs w:val="21"/>
              </w:rPr>
              <w:t>280</w:t>
            </w:r>
            <w:r>
              <w:rPr>
                <w:rFonts w:ascii="Times New Roman" w:hAnsi="Times New Roman" w:eastAsia="宋体" w:cs="Times New Roman"/>
                <w:szCs w:val="21"/>
              </w:rPr>
              <w:t>户，投资</w:t>
            </w:r>
            <w:r>
              <w:rPr>
                <w:rFonts w:hint="eastAsia" w:ascii="Times New Roman" w:hAnsi="Times New Roman" w:eastAsia="宋体" w:cs="Times New Roman"/>
                <w:szCs w:val="21"/>
              </w:rPr>
              <w:t>280</w:t>
            </w:r>
            <w:r>
              <w:rPr>
                <w:rFonts w:ascii="Times New Roman" w:hAnsi="Times New Roman" w:eastAsia="宋体" w:cs="Times New Roman"/>
                <w:szCs w:val="21"/>
              </w:rPr>
              <w:t>万元，隔声量25dB。</w:t>
            </w:r>
          </w:p>
          <w:p w14:paraId="039165F2">
            <w:pPr>
              <w:adjustRightInd w:val="0"/>
              <w:snapToGrid w:val="0"/>
              <w:spacing w:line="240" w:lineRule="exact"/>
              <w:rPr>
                <w:rFonts w:ascii="Times New Roman" w:hAnsi="Times New Roman" w:eastAsia="宋体" w:cs="Times New Roman"/>
                <w:szCs w:val="21"/>
              </w:rPr>
            </w:pPr>
            <w:r>
              <w:rPr>
                <w:rFonts w:ascii="Times New Roman" w:hAnsi="Times New Roman" w:eastAsia="宋体" w:cs="Times New Roman"/>
                <w:szCs w:val="21"/>
              </w:rPr>
              <w:t>方案二：设置声屏障，拟建公路</w:t>
            </w:r>
            <w:r>
              <w:rPr>
                <w:rFonts w:hint="eastAsia" w:ascii="Times New Roman" w:hAnsi="Times New Roman" w:eastAsia="宋体" w:cs="Times New Roman"/>
                <w:szCs w:val="21"/>
              </w:rPr>
              <w:t>右</w:t>
            </w:r>
            <w:r>
              <w:rPr>
                <w:rFonts w:ascii="Times New Roman" w:hAnsi="Times New Roman" w:eastAsia="宋体" w:cs="Times New Roman"/>
                <w:szCs w:val="21"/>
              </w:rPr>
              <w:t>侧</w:t>
            </w:r>
            <w:r>
              <w:rPr>
                <w:rFonts w:ascii="Times New Roman" w:hAnsi="Times New Roman" w:eastAsia="宋体" w:cs="Times New Roman"/>
              </w:rPr>
              <w:t>K</w:t>
            </w:r>
            <w:r>
              <w:rPr>
                <w:rFonts w:hint="eastAsia" w:ascii="Times New Roman" w:hAnsi="Times New Roman" w:eastAsia="宋体" w:cs="Times New Roman"/>
              </w:rPr>
              <w:t>56</w:t>
            </w:r>
            <w:r>
              <w:rPr>
                <w:rFonts w:ascii="Times New Roman" w:hAnsi="Times New Roman" w:eastAsia="宋体" w:cs="Times New Roman"/>
              </w:rPr>
              <w:t>+</w:t>
            </w:r>
            <w:r>
              <w:rPr>
                <w:rFonts w:hint="eastAsia" w:ascii="Times New Roman" w:hAnsi="Times New Roman" w:eastAsia="宋体" w:cs="Times New Roman"/>
              </w:rPr>
              <w:t>55</w:t>
            </w:r>
            <w:r>
              <w:rPr>
                <w:rFonts w:ascii="Times New Roman" w:hAnsi="Times New Roman" w:eastAsia="宋体" w:cs="Times New Roman"/>
              </w:rPr>
              <w:t>0～K</w:t>
            </w:r>
            <w:r>
              <w:rPr>
                <w:rFonts w:hint="eastAsia" w:ascii="Times New Roman" w:hAnsi="Times New Roman" w:eastAsia="宋体" w:cs="Times New Roman"/>
              </w:rPr>
              <w:t>58</w:t>
            </w:r>
            <w:r>
              <w:rPr>
                <w:rFonts w:ascii="Times New Roman" w:hAnsi="Times New Roman" w:eastAsia="宋体" w:cs="Times New Roman"/>
              </w:rPr>
              <w:t>+</w:t>
            </w:r>
            <w:r>
              <w:rPr>
                <w:rFonts w:hint="eastAsia" w:ascii="Times New Roman" w:hAnsi="Times New Roman" w:eastAsia="宋体" w:cs="Times New Roman"/>
              </w:rPr>
              <w:t>35</w:t>
            </w:r>
            <w:r>
              <w:rPr>
                <w:rFonts w:ascii="Times New Roman" w:hAnsi="Times New Roman" w:eastAsia="宋体" w:cs="Times New Roman"/>
              </w:rPr>
              <w:t>0</w:t>
            </w:r>
            <w:r>
              <w:rPr>
                <w:rFonts w:ascii="Times New Roman" w:hAnsi="Times New Roman" w:eastAsia="宋体" w:cs="Times New Roman"/>
                <w:szCs w:val="21"/>
              </w:rPr>
              <w:t>和</w:t>
            </w:r>
            <w:r>
              <w:rPr>
                <w:rFonts w:ascii="Times New Roman" w:hAnsi="Times New Roman" w:eastAsia="宋体" w:cs="Times New Roman"/>
              </w:rPr>
              <w:t>K</w:t>
            </w:r>
            <w:r>
              <w:rPr>
                <w:rFonts w:hint="eastAsia" w:ascii="Times New Roman" w:hAnsi="Times New Roman" w:eastAsia="宋体" w:cs="Times New Roman"/>
              </w:rPr>
              <w:t>58</w:t>
            </w:r>
            <w:r>
              <w:rPr>
                <w:rFonts w:ascii="Times New Roman" w:hAnsi="Times New Roman" w:eastAsia="宋体" w:cs="Times New Roman"/>
              </w:rPr>
              <w:t>+</w:t>
            </w:r>
            <w:r>
              <w:rPr>
                <w:rFonts w:hint="eastAsia" w:ascii="Times New Roman" w:hAnsi="Times New Roman" w:eastAsia="宋体" w:cs="Times New Roman"/>
              </w:rPr>
              <w:t>75</w:t>
            </w:r>
            <w:r>
              <w:rPr>
                <w:rFonts w:ascii="Times New Roman" w:hAnsi="Times New Roman" w:eastAsia="宋体" w:cs="Times New Roman"/>
              </w:rPr>
              <w:t>0～K</w:t>
            </w:r>
            <w:r>
              <w:rPr>
                <w:rFonts w:hint="eastAsia" w:ascii="Times New Roman" w:hAnsi="Times New Roman" w:eastAsia="宋体" w:cs="Times New Roman"/>
              </w:rPr>
              <w:t>59</w:t>
            </w:r>
            <w:r>
              <w:rPr>
                <w:rFonts w:ascii="Times New Roman" w:hAnsi="Times New Roman" w:eastAsia="宋体" w:cs="Times New Roman"/>
              </w:rPr>
              <w:t>+</w:t>
            </w:r>
            <w:r>
              <w:rPr>
                <w:rFonts w:hint="eastAsia" w:ascii="Times New Roman" w:hAnsi="Times New Roman" w:eastAsia="宋体" w:cs="Times New Roman"/>
              </w:rPr>
              <w:t>85</w:t>
            </w:r>
            <w:r>
              <w:rPr>
                <w:rFonts w:ascii="Times New Roman" w:hAnsi="Times New Roman" w:eastAsia="宋体" w:cs="Times New Roman"/>
              </w:rPr>
              <w:t>0</w:t>
            </w:r>
            <w:r>
              <w:rPr>
                <w:rFonts w:ascii="Times New Roman" w:hAnsi="Times New Roman" w:cs="Times New Roman" w:eastAsiaTheme="minorEastAsia"/>
                <w:szCs w:val="21"/>
              </w:rPr>
              <w:t>（根据《</w:t>
            </w:r>
            <w:r>
              <w:rPr>
                <w:rFonts w:hint="eastAsia" w:ascii="Times New Roman" w:hAnsi="Times New Roman" w:cs="Times New Roman" w:eastAsiaTheme="minorEastAsia"/>
                <w:szCs w:val="21"/>
              </w:rPr>
              <w:t>公路路线设计规范（JTG D20—2017）</w:t>
            </w:r>
            <w:r>
              <w:rPr>
                <w:rFonts w:ascii="Times New Roman" w:hAnsi="Times New Roman" w:cs="Times New Roman" w:eastAsiaTheme="minorEastAsia"/>
                <w:szCs w:val="21"/>
              </w:rPr>
              <w:t>》，考虑行车安全视距，每处平交口两侧共需断开</w:t>
            </w:r>
            <w:r>
              <w:rPr>
                <w:rFonts w:hint="eastAsia" w:ascii="Times New Roman" w:hAnsi="Times New Roman" w:cs="Times New Roman" w:eastAsiaTheme="minorEastAsia"/>
                <w:szCs w:val="21"/>
              </w:rPr>
              <w:t>220m，该路段两侧共6处平交口</w:t>
            </w:r>
            <w:r>
              <w:rPr>
                <w:rFonts w:ascii="Times New Roman" w:hAnsi="Times New Roman" w:cs="Times New Roman" w:eastAsiaTheme="minorEastAsia"/>
                <w:szCs w:val="21"/>
              </w:rPr>
              <w:t>）</w:t>
            </w:r>
            <w:r>
              <w:rPr>
                <w:rFonts w:ascii="Times New Roman" w:hAnsi="Times New Roman" w:eastAsia="宋体" w:cs="Times New Roman"/>
                <w:szCs w:val="21"/>
              </w:rPr>
              <w:t>设置</w:t>
            </w:r>
            <w:r>
              <w:rPr>
                <w:rFonts w:hint="eastAsia" w:ascii="Times New Roman" w:hAnsi="Times New Roman" w:eastAsia="宋体" w:cs="Times New Roman"/>
                <w:szCs w:val="21"/>
              </w:rPr>
              <w:t>1580</w:t>
            </w:r>
            <w:r>
              <w:rPr>
                <w:rFonts w:ascii="Times New Roman" w:hAnsi="Times New Roman" w:eastAsia="宋体" w:cs="Times New Roman"/>
                <w:szCs w:val="21"/>
              </w:rPr>
              <w:t>m（长）×</w:t>
            </w:r>
            <w:r>
              <w:rPr>
                <w:rFonts w:hint="eastAsia" w:ascii="Times New Roman" w:hAnsi="Times New Roman" w:eastAsia="宋体" w:cs="Times New Roman"/>
                <w:szCs w:val="21"/>
              </w:rPr>
              <w:t>3.0</w:t>
            </w:r>
            <w:r>
              <w:rPr>
                <w:rFonts w:ascii="Times New Roman" w:hAnsi="Times New Roman" w:eastAsia="宋体" w:cs="Times New Roman"/>
                <w:szCs w:val="21"/>
              </w:rPr>
              <w:t>m（高）声屏障，</w:t>
            </w:r>
            <w:r>
              <w:rPr>
                <w:rFonts w:hint="eastAsia" w:ascii="Times New Roman" w:hAnsi="Times New Roman" w:eastAsia="宋体" w:cs="Times New Roman"/>
                <w:szCs w:val="21"/>
              </w:rPr>
              <w:t>左</w:t>
            </w:r>
            <w:r>
              <w:rPr>
                <w:rFonts w:ascii="Times New Roman" w:hAnsi="Times New Roman" w:eastAsia="宋体" w:cs="Times New Roman"/>
                <w:szCs w:val="21"/>
              </w:rPr>
              <w:t>侧</w:t>
            </w:r>
            <w:r>
              <w:rPr>
                <w:rFonts w:ascii="Times New Roman" w:hAnsi="Times New Roman" w:eastAsia="宋体" w:cs="Times New Roman"/>
              </w:rPr>
              <w:t>K</w:t>
            </w:r>
            <w:r>
              <w:rPr>
                <w:rFonts w:hint="eastAsia" w:ascii="Times New Roman" w:hAnsi="Times New Roman" w:eastAsia="宋体" w:cs="Times New Roman"/>
              </w:rPr>
              <w:t>57</w:t>
            </w:r>
            <w:r>
              <w:rPr>
                <w:rFonts w:ascii="Times New Roman" w:hAnsi="Times New Roman" w:eastAsia="宋体" w:cs="Times New Roman"/>
              </w:rPr>
              <w:t>+</w:t>
            </w:r>
            <w:r>
              <w:rPr>
                <w:rFonts w:hint="eastAsia" w:ascii="Times New Roman" w:hAnsi="Times New Roman" w:eastAsia="宋体" w:cs="Times New Roman"/>
              </w:rPr>
              <w:t>25</w:t>
            </w:r>
            <w:r>
              <w:rPr>
                <w:rFonts w:ascii="Times New Roman" w:hAnsi="Times New Roman" w:eastAsia="宋体" w:cs="Times New Roman"/>
              </w:rPr>
              <w:t>0～K</w:t>
            </w:r>
            <w:r>
              <w:rPr>
                <w:rFonts w:hint="eastAsia" w:ascii="Times New Roman" w:hAnsi="Times New Roman" w:eastAsia="宋体" w:cs="Times New Roman"/>
              </w:rPr>
              <w:t>59</w:t>
            </w:r>
            <w:r>
              <w:rPr>
                <w:rFonts w:ascii="Times New Roman" w:hAnsi="Times New Roman" w:eastAsia="宋体" w:cs="Times New Roman"/>
              </w:rPr>
              <w:t>+</w:t>
            </w:r>
            <w:r>
              <w:rPr>
                <w:rFonts w:hint="eastAsia" w:ascii="Times New Roman" w:hAnsi="Times New Roman" w:eastAsia="宋体" w:cs="Times New Roman"/>
              </w:rPr>
              <w:t>10</w:t>
            </w:r>
            <w:r>
              <w:rPr>
                <w:rFonts w:ascii="Times New Roman" w:hAnsi="Times New Roman" w:eastAsia="宋体" w:cs="Times New Roman"/>
              </w:rPr>
              <w:t>0和K</w:t>
            </w:r>
            <w:r>
              <w:rPr>
                <w:rFonts w:hint="eastAsia" w:ascii="Times New Roman" w:hAnsi="Times New Roman" w:eastAsia="宋体" w:cs="Times New Roman"/>
              </w:rPr>
              <w:t>59</w:t>
            </w:r>
            <w:r>
              <w:rPr>
                <w:rFonts w:ascii="Times New Roman" w:hAnsi="Times New Roman" w:eastAsia="宋体" w:cs="Times New Roman"/>
              </w:rPr>
              <w:t>+</w:t>
            </w:r>
            <w:r>
              <w:rPr>
                <w:rFonts w:hint="eastAsia" w:ascii="Times New Roman" w:hAnsi="Times New Roman" w:eastAsia="宋体" w:cs="Times New Roman"/>
              </w:rPr>
              <w:t>45</w:t>
            </w:r>
            <w:r>
              <w:rPr>
                <w:rFonts w:ascii="Times New Roman" w:hAnsi="Times New Roman" w:eastAsia="宋体" w:cs="Times New Roman"/>
              </w:rPr>
              <w:t>0～K</w:t>
            </w:r>
            <w:r>
              <w:rPr>
                <w:rFonts w:hint="eastAsia" w:ascii="Times New Roman" w:hAnsi="Times New Roman" w:eastAsia="宋体" w:cs="Times New Roman"/>
              </w:rPr>
              <w:t>59</w:t>
            </w:r>
            <w:r>
              <w:rPr>
                <w:rFonts w:ascii="Times New Roman" w:hAnsi="Times New Roman" w:eastAsia="宋体" w:cs="Times New Roman"/>
              </w:rPr>
              <w:t>+</w:t>
            </w:r>
            <w:r>
              <w:rPr>
                <w:rFonts w:hint="eastAsia" w:ascii="Times New Roman" w:hAnsi="Times New Roman" w:eastAsia="宋体" w:cs="Times New Roman"/>
              </w:rPr>
              <w:t>90</w:t>
            </w:r>
            <w:r>
              <w:rPr>
                <w:rFonts w:ascii="Times New Roman" w:hAnsi="Times New Roman" w:eastAsia="宋体" w:cs="Times New Roman"/>
              </w:rPr>
              <w:t>0</w:t>
            </w:r>
            <w:r>
              <w:rPr>
                <w:rFonts w:ascii="Times New Roman" w:hAnsi="Times New Roman" w:cs="Times New Roman" w:eastAsiaTheme="minorEastAsia"/>
                <w:szCs w:val="21"/>
              </w:rPr>
              <w:t>（根据《</w:t>
            </w:r>
            <w:r>
              <w:rPr>
                <w:rFonts w:hint="eastAsia" w:ascii="Times New Roman" w:hAnsi="Times New Roman" w:cs="Times New Roman" w:eastAsiaTheme="minorEastAsia"/>
                <w:szCs w:val="21"/>
              </w:rPr>
              <w:t>公路路线设计规范（JTG D20—2017）</w:t>
            </w:r>
            <w:r>
              <w:rPr>
                <w:rFonts w:ascii="Times New Roman" w:hAnsi="Times New Roman" w:cs="Times New Roman" w:eastAsiaTheme="minorEastAsia"/>
                <w:szCs w:val="21"/>
              </w:rPr>
              <w:t>》，考虑行车安全视距，每处平交口两侧共需断开</w:t>
            </w:r>
            <w:r>
              <w:rPr>
                <w:rFonts w:hint="eastAsia" w:ascii="Times New Roman" w:hAnsi="Times New Roman" w:cs="Times New Roman" w:eastAsiaTheme="minorEastAsia"/>
                <w:szCs w:val="21"/>
              </w:rPr>
              <w:t>220m，该路段两侧共4处平交口</w:t>
            </w:r>
            <w:r>
              <w:rPr>
                <w:rFonts w:ascii="Times New Roman" w:hAnsi="Times New Roman" w:cs="Times New Roman" w:eastAsiaTheme="minorEastAsia"/>
                <w:szCs w:val="21"/>
              </w:rPr>
              <w:t>）</w:t>
            </w:r>
            <w:r>
              <w:rPr>
                <w:rFonts w:ascii="Times New Roman" w:hAnsi="Times New Roman" w:eastAsia="宋体" w:cs="Times New Roman"/>
                <w:szCs w:val="21"/>
              </w:rPr>
              <w:t>设置</w:t>
            </w:r>
            <w:r>
              <w:rPr>
                <w:rFonts w:hint="eastAsia" w:ascii="Times New Roman" w:hAnsi="Times New Roman" w:eastAsia="宋体" w:cs="Times New Roman"/>
                <w:szCs w:val="21"/>
              </w:rPr>
              <w:t>1420</w:t>
            </w:r>
            <w:r>
              <w:rPr>
                <w:rFonts w:ascii="Times New Roman" w:hAnsi="Times New Roman" w:eastAsia="宋体" w:cs="Times New Roman"/>
                <w:szCs w:val="21"/>
              </w:rPr>
              <w:t>m（长）×</w:t>
            </w:r>
            <w:r>
              <w:rPr>
                <w:rFonts w:hint="eastAsia" w:ascii="Times New Roman" w:hAnsi="Times New Roman" w:eastAsia="宋体" w:cs="Times New Roman"/>
                <w:szCs w:val="21"/>
              </w:rPr>
              <w:t>3.0</w:t>
            </w:r>
            <w:r>
              <w:rPr>
                <w:rFonts w:ascii="Times New Roman" w:hAnsi="Times New Roman" w:eastAsia="宋体" w:cs="Times New Roman"/>
                <w:szCs w:val="21"/>
              </w:rPr>
              <w:t>m（高）声屏障，</w:t>
            </w:r>
            <w:r>
              <w:rPr>
                <w:rFonts w:hint="eastAsia" w:ascii="Times New Roman" w:hAnsi="Times New Roman" w:eastAsia="宋体" w:cs="Times New Roman"/>
                <w:szCs w:val="21"/>
              </w:rPr>
              <w:t>2</w:t>
            </w:r>
            <w:r>
              <w:rPr>
                <w:rFonts w:ascii="Times New Roman" w:hAnsi="Times New Roman" w:eastAsia="宋体" w:cs="Times New Roman"/>
                <w:szCs w:val="21"/>
              </w:rPr>
              <w:t>000元/m，共投资</w:t>
            </w:r>
            <w:r>
              <w:rPr>
                <w:rFonts w:hint="eastAsia" w:ascii="Times New Roman" w:hAnsi="Times New Roman" w:eastAsia="宋体" w:cs="Times New Roman"/>
                <w:szCs w:val="21"/>
              </w:rPr>
              <w:t>600</w:t>
            </w:r>
            <w:r>
              <w:rPr>
                <w:rFonts w:ascii="Times New Roman" w:hAnsi="Times New Roman" w:eastAsia="宋体" w:cs="Times New Roman"/>
                <w:szCs w:val="21"/>
              </w:rPr>
              <w:t>万元</w:t>
            </w:r>
            <w:r>
              <w:rPr>
                <w:rFonts w:ascii="Times New Roman" w:hAnsi="Times New Roman" w:eastAsia="宋体" w:cs="Times New Roman"/>
              </w:rPr>
              <w:t>，房屋距路较近，分布较集中，声屏障降噪效果好</w:t>
            </w:r>
            <w:r>
              <w:rPr>
                <w:rFonts w:ascii="Times New Roman" w:hAnsi="Times New Roman" w:eastAsia="宋体" w:cs="Times New Roman"/>
                <w:szCs w:val="21"/>
              </w:rPr>
              <w:t>。</w:t>
            </w:r>
            <w:r>
              <w:rPr>
                <w:rFonts w:ascii="Times New Roman" w:hAnsi="Times New Roman" w:eastAsia="宋体" w:cs="Times New Roman"/>
              </w:rPr>
              <w:t>路两侧均设置有平交口，平交口处无法设置声屏障，因此对平交口超标的</w:t>
            </w:r>
            <w:r>
              <w:rPr>
                <w:rFonts w:hint="eastAsia" w:ascii="Times New Roman" w:hAnsi="Times New Roman" w:eastAsia="宋体" w:cs="Times New Roman"/>
              </w:rPr>
              <w:t>80</w:t>
            </w:r>
            <w:r>
              <w:rPr>
                <w:rFonts w:ascii="Times New Roman" w:hAnsi="Times New Roman" w:eastAsia="宋体" w:cs="Times New Roman"/>
              </w:rPr>
              <w:t>户安装隔声窗，隔声量20～25dB，每户投资1万元，共计</w:t>
            </w:r>
            <w:r>
              <w:rPr>
                <w:rFonts w:hint="eastAsia" w:ascii="Times New Roman" w:hAnsi="Times New Roman" w:eastAsia="宋体" w:cs="Times New Roman"/>
              </w:rPr>
              <w:t>80</w:t>
            </w:r>
            <w:r>
              <w:rPr>
                <w:rFonts w:ascii="Times New Roman" w:hAnsi="Times New Roman" w:eastAsia="宋体" w:cs="Times New Roman"/>
              </w:rPr>
              <w:t>万元。</w:t>
            </w:r>
          </w:p>
          <w:p w14:paraId="685931E9">
            <w:pPr>
              <w:widowControl/>
              <w:adjustRightInd w:val="0"/>
              <w:snapToGrid w:val="0"/>
              <w:spacing w:line="240" w:lineRule="exact"/>
              <w:rPr>
                <w:rFonts w:ascii="Times New Roman" w:hAnsi="Times New Roman" w:eastAsia="宋体" w:cs="Times New Roman"/>
                <w:szCs w:val="21"/>
              </w:rPr>
            </w:pPr>
            <w:r>
              <w:rPr>
                <w:rFonts w:ascii="Times New Roman" w:hAnsi="Times New Roman" w:eastAsia="宋体" w:cs="Times New Roman"/>
                <w:szCs w:val="21"/>
              </w:rPr>
              <w:t>推荐：综合考虑推荐方案</w:t>
            </w:r>
            <w:r>
              <w:rPr>
                <w:rFonts w:hint="eastAsia" w:ascii="Times New Roman" w:hAnsi="Times New Roman" w:eastAsia="宋体" w:cs="Times New Roman"/>
                <w:szCs w:val="21"/>
              </w:rPr>
              <w:t>二</w:t>
            </w:r>
            <w:r>
              <w:rPr>
                <w:rFonts w:ascii="Times New Roman" w:hAnsi="Times New Roman" w:eastAsia="宋体" w:cs="Times New Roman"/>
                <w:szCs w:val="21"/>
              </w:rPr>
              <w:t>。</w:t>
            </w:r>
          </w:p>
        </w:tc>
        <w:tc>
          <w:tcPr>
            <w:tcW w:w="242" w:type="pct"/>
            <w:vMerge w:val="restart"/>
            <w:vAlign w:val="center"/>
          </w:tcPr>
          <w:p w14:paraId="27E6EF6A">
            <w:pPr>
              <w:widowControl/>
              <w:jc w:val="center"/>
              <w:rPr>
                <w:rFonts w:ascii="Times New Roman" w:hAnsi="Times New Roman" w:eastAsia="宋体" w:cs="Times New Roman"/>
                <w:kern w:val="0"/>
              </w:rPr>
            </w:pPr>
            <w:r>
              <w:rPr>
                <w:rFonts w:ascii="Times New Roman" w:hAnsi="Times New Roman" w:eastAsia="宋体" w:cs="Times New Roman"/>
                <w:kern w:val="0"/>
              </w:rPr>
              <w:t>声屏障+隔声窗</w:t>
            </w:r>
          </w:p>
        </w:tc>
        <w:tc>
          <w:tcPr>
            <w:tcW w:w="260" w:type="pct"/>
            <w:vMerge w:val="restart"/>
            <w:vAlign w:val="center"/>
          </w:tcPr>
          <w:p w14:paraId="36002D8F">
            <w:pPr>
              <w:widowControl/>
              <w:jc w:val="center"/>
              <w:rPr>
                <w:rFonts w:ascii="Times New Roman" w:hAnsi="Times New Roman" w:eastAsia="宋体" w:cs="Times New Roman"/>
                <w:kern w:val="0"/>
              </w:rPr>
            </w:pPr>
            <w:r>
              <w:rPr>
                <w:rFonts w:ascii="Times New Roman" w:hAnsi="Times New Roman" w:eastAsia="宋体" w:cs="Times New Roman"/>
                <w:kern w:val="0"/>
              </w:rPr>
              <w:t>室外达标+平交路口房屋室内达标</w:t>
            </w:r>
          </w:p>
        </w:tc>
        <w:tc>
          <w:tcPr>
            <w:tcW w:w="251" w:type="pct"/>
            <w:vMerge w:val="restart"/>
            <w:vAlign w:val="center"/>
          </w:tcPr>
          <w:p w14:paraId="40FE968A">
            <w:pPr>
              <w:widowControl/>
              <w:adjustRightInd w:val="0"/>
              <w:snapToGrid w:val="0"/>
              <w:spacing w:line="240" w:lineRule="exact"/>
              <w:jc w:val="center"/>
              <w:rPr>
                <w:rFonts w:ascii="Times New Roman" w:hAnsi="宋体" w:eastAsia="宋体" w:cs="Times New Roman"/>
                <w:szCs w:val="21"/>
              </w:rPr>
            </w:pPr>
            <w:r>
              <w:rPr>
                <w:rFonts w:hint="eastAsia" w:ascii="Times New Roman" w:hAnsi="宋体" w:eastAsia="宋体" w:cs="Times New Roman"/>
                <w:szCs w:val="21"/>
              </w:rPr>
              <w:t>680</w:t>
            </w:r>
          </w:p>
        </w:tc>
      </w:tr>
      <w:tr w14:paraId="53B78A2D">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trHeight w:val="75" w:hRule="atLeast"/>
          <w:tblHeader/>
          <w:jc w:val="center"/>
        </w:trPr>
        <w:tc>
          <w:tcPr>
            <w:tcW w:w="180" w:type="pct"/>
            <w:vMerge w:val="continue"/>
            <w:noWrap/>
            <w:vAlign w:val="center"/>
          </w:tcPr>
          <w:p w14:paraId="1843238F">
            <w:pPr>
              <w:adjustRightInd w:val="0"/>
              <w:snapToGrid w:val="0"/>
              <w:spacing w:line="240" w:lineRule="exact"/>
              <w:jc w:val="center"/>
              <w:rPr>
                <w:rFonts w:ascii="Times New Roman" w:hAnsi="Times New Roman" w:eastAsia="宋体" w:cs="Times New Roman"/>
              </w:rPr>
            </w:pPr>
          </w:p>
        </w:tc>
        <w:tc>
          <w:tcPr>
            <w:tcW w:w="278" w:type="pct"/>
            <w:vAlign w:val="center"/>
          </w:tcPr>
          <w:p w14:paraId="5FF81AEE">
            <w:pPr>
              <w:widowControl/>
              <w:adjustRightInd w:val="0"/>
              <w:snapToGrid w:val="0"/>
              <w:spacing w:line="240" w:lineRule="exact"/>
              <w:jc w:val="center"/>
              <w:rPr>
                <w:rFonts w:ascii="Times New Roman" w:hAnsi="Times New Roman" w:eastAsia="宋体" w:cs="Times New Roman"/>
              </w:rPr>
            </w:pPr>
            <w:r>
              <w:rPr>
                <w:rFonts w:ascii="Times New Roman" w:hAnsi="Times New Roman" w:eastAsia="宋体" w:cs="Times New Roman"/>
              </w:rPr>
              <w:t>K</w:t>
            </w:r>
            <w:r>
              <w:rPr>
                <w:rFonts w:hint="eastAsia" w:ascii="Times New Roman" w:hAnsi="Times New Roman" w:eastAsia="宋体" w:cs="Times New Roman"/>
              </w:rPr>
              <w:t>58</w:t>
            </w:r>
            <w:r>
              <w:rPr>
                <w:rFonts w:ascii="Times New Roman" w:hAnsi="Times New Roman" w:eastAsia="宋体" w:cs="Times New Roman"/>
              </w:rPr>
              <w:t>+</w:t>
            </w:r>
            <w:r>
              <w:rPr>
                <w:rFonts w:hint="eastAsia" w:ascii="Times New Roman" w:hAnsi="Times New Roman" w:eastAsia="宋体" w:cs="Times New Roman"/>
              </w:rPr>
              <w:t>80</w:t>
            </w:r>
            <w:r>
              <w:rPr>
                <w:rFonts w:ascii="Times New Roman" w:hAnsi="Times New Roman" w:eastAsia="宋体" w:cs="Times New Roman"/>
              </w:rPr>
              <w:t>0～K</w:t>
            </w:r>
            <w:r>
              <w:rPr>
                <w:rFonts w:hint="eastAsia" w:ascii="Times New Roman" w:hAnsi="Times New Roman" w:eastAsia="宋体" w:cs="Times New Roman"/>
              </w:rPr>
              <w:t>59</w:t>
            </w:r>
            <w:r>
              <w:rPr>
                <w:rFonts w:ascii="Times New Roman" w:hAnsi="Times New Roman" w:eastAsia="宋体" w:cs="Times New Roman"/>
              </w:rPr>
              <w:t>+</w:t>
            </w:r>
            <w:r>
              <w:rPr>
                <w:rFonts w:hint="eastAsia" w:ascii="Times New Roman" w:hAnsi="Times New Roman" w:eastAsia="宋体" w:cs="Times New Roman"/>
              </w:rPr>
              <w:t>80</w:t>
            </w:r>
            <w:r>
              <w:rPr>
                <w:rFonts w:ascii="Times New Roman" w:hAnsi="Times New Roman" w:eastAsia="宋体" w:cs="Times New Roman"/>
              </w:rPr>
              <w:t>0</w:t>
            </w:r>
          </w:p>
        </w:tc>
        <w:tc>
          <w:tcPr>
            <w:tcW w:w="346" w:type="pct"/>
            <w:vMerge w:val="continue"/>
            <w:vAlign w:val="center"/>
          </w:tcPr>
          <w:p w14:paraId="12EB7E93">
            <w:pPr>
              <w:widowControl/>
              <w:adjustRightInd w:val="0"/>
              <w:snapToGrid w:val="0"/>
              <w:spacing w:line="240" w:lineRule="exact"/>
              <w:jc w:val="center"/>
              <w:rPr>
                <w:rFonts w:ascii="Times New Roman" w:hAnsi="Times New Roman" w:eastAsia="宋体" w:cs="Times New Roman"/>
              </w:rPr>
            </w:pPr>
          </w:p>
        </w:tc>
        <w:tc>
          <w:tcPr>
            <w:tcW w:w="138" w:type="pct"/>
            <w:vMerge w:val="continue"/>
            <w:vAlign w:val="center"/>
          </w:tcPr>
          <w:p w14:paraId="06FAE401">
            <w:pPr>
              <w:widowControl/>
              <w:adjustRightInd w:val="0"/>
              <w:snapToGrid w:val="0"/>
              <w:spacing w:line="240" w:lineRule="exact"/>
              <w:jc w:val="center"/>
              <w:rPr>
                <w:rFonts w:ascii="Times New Roman" w:hAnsi="Times New Roman" w:eastAsia="宋体" w:cs="Times New Roman"/>
              </w:rPr>
            </w:pPr>
          </w:p>
        </w:tc>
        <w:tc>
          <w:tcPr>
            <w:tcW w:w="209" w:type="pct"/>
            <w:vMerge w:val="continue"/>
            <w:vAlign w:val="center"/>
          </w:tcPr>
          <w:p w14:paraId="2B385D9D">
            <w:pPr>
              <w:widowControl/>
              <w:adjustRightInd w:val="0"/>
              <w:snapToGrid w:val="0"/>
              <w:spacing w:line="240" w:lineRule="exact"/>
              <w:jc w:val="center"/>
              <w:rPr>
                <w:rFonts w:ascii="Times New Roman" w:hAnsi="Times New Roman" w:eastAsia="宋体" w:cs="Times New Roman"/>
              </w:rPr>
            </w:pPr>
          </w:p>
        </w:tc>
        <w:tc>
          <w:tcPr>
            <w:tcW w:w="243" w:type="pct"/>
            <w:vMerge w:val="continue"/>
            <w:vAlign w:val="center"/>
          </w:tcPr>
          <w:p w14:paraId="652110B6">
            <w:pPr>
              <w:adjustRightInd w:val="0"/>
              <w:snapToGrid w:val="0"/>
              <w:spacing w:line="240" w:lineRule="exact"/>
              <w:jc w:val="center"/>
              <w:rPr>
                <w:rFonts w:ascii="Times New Roman" w:hAnsi="Times New Roman" w:eastAsia="宋体" w:cs="Times New Roman"/>
              </w:rPr>
            </w:pPr>
          </w:p>
        </w:tc>
        <w:tc>
          <w:tcPr>
            <w:tcW w:w="243" w:type="pct"/>
            <w:vMerge w:val="continue"/>
            <w:vAlign w:val="center"/>
          </w:tcPr>
          <w:p w14:paraId="3AA38262">
            <w:pPr>
              <w:adjustRightInd w:val="0"/>
              <w:snapToGrid w:val="0"/>
              <w:spacing w:line="240" w:lineRule="exact"/>
              <w:jc w:val="center"/>
              <w:rPr>
                <w:rFonts w:ascii="Times New Roman" w:hAnsi="Times New Roman" w:eastAsia="宋体" w:cs="Times New Roman"/>
              </w:rPr>
            </w:pPr>
          </w:p>
        </w:tc>
        <w:tc>
          <w:tcPr>
            <w:tcW w:w="190" w:type="pct"/>
            <w:vMerge w:val="continue"/>
            <w:shd w:val="clear" w:color="auto" w:fill="auto"/>
            <w:vAlign w:val="center"/>
          </w:tcPr>
          <w:p w14:paraId="0EC32F2D">
            <w:pPr>
              <w:adjustRightInd w:val="0"/>
              <w:snapToGrid w:val="0"/>
              <w:spacing w:line="240" w:lineRule="exact"/>
              <w:jc w:val="center"/>
              <w:rPr>
                <w:rFonts w:ascii="Times New Roman" w:hAnsi="Times New Roman" w:eastAsia="宋体" w:cs="Times New Roman"/>
              </w:rPr>
            </w:pPr>
          </w:p>
        </w:tc>
        <w:tc>
          <w:tcPr>
            <w:tcW w:w="190" w:type="pct"/>
            <w:vMerge w:val="continue"/>
            <w:shd w:val="clear" w:color="auto" w:fill="auto"/>
            <w:vAlign w:val="center"/>
          </w:tcPr>
          <w:p w14:paraId="69F4C49D">
            <w:pPr>
              <w:adjustRightInd w:val="0"/>
              <w:snapToGrid w:val="0"/>
              <w:spacing w:line="240" w:lineRule="exact"/>
              <w:jc w:val="center"/>
              <w:rPr>
                <w:rFonts w:ascii="Times New Roman" w:hAnsi="Times New Roman" w:eastAsia="宋体" w:cs="Times New Roman"/>
              </w:rPr>
            </w:pPr>
          </w:p>
        </w:tc>
        <w:tc>
          <w:tcPr>
            <w:tcW w:w="2230" w:type="pct"/>
            <w:vMerge w:val="continue"/>
            <w:noWrap/>
            <w:vAlign w:val="center"/>
          </w:tcPr>
          <w:p w14:paraId="55F2C63E">
            <w:pPr>
              <w:rPr>
                <w:rFonts w:ascii="Times New Roman" w:hAnsi="Times New Roman" w:eastAsia="宋体" w:cs="Times New Roman"/>
                <w:szCs w:val="21"/>
              </w:rPr>
            </w:pPr>
          </w:p>
        </w:tc>
        <w:tc>
          <w:tcPr>
            <w:tcW w:w="242" w:type="pct"/>
            <w:vMerge w:val="continue"/>
            <w:vAlign w:val="center"/>
          </w:tcPr>
          <w:p w14:paraId="7EB9EA4A">
            <w:pPr>
              <w:jc w:val="center"/>
              <w:rPr>
                <w:rFonts w:ascii="Times New Roman" w:hAnsi="Times New Roman" w:eastAsia="宋体" w:cs="Times New Roman"/>
                <w:szCs w:val="21"/>
              </w:rPr>
            </w:pPr>
          </w:p>
        </w:tc>
        <w:tc>
          <w:tcPr>
            <w:tcW w:w="260" w:type="pct"/>
            <w:vMerge w:val="continue"/>
            <w:vAlign w:val="center"/>
          </w:tcPr>
          <w:p w14:paraId="3378D7D1">
            <w:pPr>
              <w:jc w:val="center"/>
              <w:rPr>
                <w:rFonts w:ascii="Times New Roman" w:hAnsi="Times New Roman" w:eastAsia="宋体" w:cs="Times New Roman"/>
                <w:szCs w:val="21"/>
              </w:rPr>
            </w:pPr>
          </w:p>
        </w:tc>
        <w:tc>
          <w:tcPr>
            <w:tcW w:w="251" w:type="pct"/>
            <w:vMerge w:val="continue"/>
            <w:vAlign w:val="center"/>
          </w:tcPr>
          <w:p w14:paraId="20F495BC">
            <w:pPr>
              <w:widowControl/>
              <w:adjustRightInd w:val="0"/>
              <w:snapToGrid w:val="0"/>
              <w:spacing w:line="240" w:lineRule="exact"/>
              <w:jc w:val="center"/>
              <w:rPr>
                <w:rFonts w:ascii="Times New Roman" w:hAnsi="Times New Roman" w:eastAsia="宋体" w:cs="Times New Roman"/>
                <w:szCs w:val="21"/>
              </w:rPr>
            </w:pPr>
          </w:p>
        </w:tc>
      </w:tr>
      <w:tr w14:paraId="5E8F65B1">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trHeight w:val="75" w:hRule="atLeast"/>
          <w:tblHeader/>
          <w:jc w:val="center"/>
        </w:trPr>
        <w:tc>
          <w:tcPr>
            <w:tcW w:w="180" w:type="pct"/>
            <w:vMerge w:val="continue"/>
            <w:noWrap/>
            <w:vAlign w:val="center"/>
          </w:tcPr>
          <w:p w14:paraId="4734877C">
            <w:pPr>
              <w:adjustRightInd w:val="0"/>
              <w:snapToGrid w:val="0"/>
              <w:spacing w:line="240" w:lineRule="exact"/>
              <w:jc w:val="center"/>
              <w:rPr>
                <w:rFonts w:ascii="Times New Roman" w:hAnsi="Times New Roman" w:eastAsia="宋体" w:cs="Times New Roman"/>
              </w:rPr>
            </w:pPr>
          </w:p>
        </w:tc>
        <w:tc>
          <w:tcPr>
            <w:tcW w:w="278" w:type="pct"/>
            <w:vAlign w:val="center"/>
          </w:tcPr>
          <w:p w14:paraId="32CD243A">
            <w:pPr>
              <w:widowControl/>
              <w:adjustRightInd w:val="0"/>
              <w:snapToGrid w:val="0"/>
              <w:spacing w:line="240" w:lineRule="exact"/>
              <w:jc w:val="center"/>
              <w:rPr>
                <w:rFonts w:ascii="Times New Roman" w:hAnsi="Times New Roman" w:eastAsia="宋体" w:cs="Times New Roman"/>
              </w:rPr>
            </w:pPr>
            <w:r>
              <w:rPr>
                <w:rFonts w:ascii="Times New Roman" w:hAnsi="Times New Roman" w:eastAsia="宋体" w:cs="Times New Roman"/>
              </w:rPr>
              <w:t>K</w:t>
            </w:r>
            <w:r>
              <w:rPr>
                <w:rFonts w:hint="eastAsia" w:ascii="Times New Roman" w:hAnsi="Times New Roman" w:eastAsia="宋体" w:cs="Times New Roman"/>
              </w:rPr>
              <w:t>57</w:t>
            </w:r>
            <w:r>
              <w:rPr>
                <w:rFonts w:ascii="Times New Roman" w:hAnsi="Times New Roman" w:eastAsia="宋体" w:cs="Times New Roman"/>
              </w:rPr>
              <w:t>+300～K</w:t>
            </w:r>
            <w:r>
              <w:rPr>
                <w:rFonts w:hint="eastAsia" w:ascii="Times New Roman" w:hAnsi="Times New Roman" w:eastAsia="宋体" w:cs="Times New Roman"/>
              </w:rPr>
              <w:t>59</w:t>
            </w:r>
            <w:r>
              <w:rPr>
                <w:rFonts w:ascii="Times New Roman" w:hAnsi="Times New Roman" w:eastAsia="宋体" w:cs="Times New Roman"/>
              </w:rPr>
              <w:t>+050</w:t>
            </w:r>
          </w:p>
        </w:tc>
        <w:tc>
          <w:tcPr>
            <w:tcW w:w="346" w:type="pct"/>
            <w:vMerge w:val="continue"/>
            <w:vAlign w:val="center"/>
          </w:tcPr>
          <w:p w14:paraId="60149F2A">
            <w:pPr>
              <w:widowControl/>
              <w:adjustRightInd w:val="0"/>
              <w:snapToGrid w:val="0"/>
              <w:spacing w:line="240" w:lineRule="exact"/>
              <w:jc w:val="center"/>
              <w:rPr>
                <w:rFonts w:ascii="Times New Roman" w:hAnsi="Times New Roman" w:eastAsia="宋体" w:cs="Times New Roman"/>
              </w:rPr>
            </w:pPr>
          </w:p>
        </w:tc>
        <w:tc>
          <w:tcPr>
            <w:tcW w:w="138" w:type="pct"/>
            <w:vMerge w:val="restart"/>
            <w:vAlign w:val="center"/>
          </w:tcPr>
          <w:p w14:paraId="53B166D7">
            <w:pPr>
              <w:widowControl/>
              <w:adjustRightInd w:val="0"/>
              <w:snapToGrid w:val="0"/>
              <w:spacing w:line="240" w:lineRule="exact"/>
              <w:jc w:val="center"/>
              <w:rPr>
                <w:rFonts w:ascii="Times New Roman" w:hAnsi="Times New Roman" w:eastAsia="宋体" w:cs="Times New Roman"/>
              </w:rPr>
            </w:pPr>
            <w:r>
              <w:rPr>
                <w:rFonts w:ascii="Times New Roman" w:hAnsi="Times New Roman" w:eastAsia="宋体" w:cs="Times New Roman"/>
              </w:rPr>
              <w:t>路左</w:t>
            </w:r>
          </w:p>
        </w:tc>
        <w:tc>
          <w:tcPr>
            <w:tcW w:w="209" w:type="pct"/>
            <w:vMerge w:val="continue"/>
            <w:vAlign w:val="center"/>
          </w:tcPr>
          <w:p w14:paraId="7124AAD1">
            <w:pPr>
              <w:widowControl/>
              <w:adjustRightInd w:val="0"/>
              <w:snapToGrid w:val="0"/>
              <w:spacing w:line="240" w:lineRule="exact"/>
              <w:jc w:val="center"/>
              <w:rPr>
                <w:rFonts w:ascii="Times New Roman" w:hAnsi="Times New Roman" w:eastAsia="宋体" w:cs="Times New Roman"/>
              </w:rPr>
            </w:pPr>
          </w:p>
        </w:tc>
        <w:tc>
          <w:tcPr>
            <w:tcW w:w="243" w:type="pct"/>
            <w:vMerge w:val="continue"/>
            <w:vAlign w:val="center"/>
          </w:tcPr>
          <w:p w14:paraId="5564BF2B">
            <w:pPr>
              <w:adjustRightInd w:val="0"/>
              <w:snapToGrid w:val="0"/>
              <w:spacing w:line="240" w:lineRule="exact"/>
              <w:jc w:val="center"/>
              <w:rPr>
                <w:rFonts w:ascii="Times New Roman" w:hAnsi="Times New Roman" w:eastAsia="宋体" w:cs="Times New Roman"/>
              </w:rPr>
            </w:pPr>
          </w:p>
        </w:tc>
        <w:tc>
          <w:tcPr>
            <w:tcW w:w="243" w:type="pct"/>
            <w:vMerge w:val="continue"/>
            <w:vAlign w:val="center"/>
          </w:tcPr>
          <w:p w14:paraId="33028013">
            <w:pPr>
              <w:adjustRightInd w:val="0"/>
              <w:snapToGrid w:val="0"/>
              <w:spacing w:line="240" w:lineRule="exact"/>
              <w:jc w:val="center"/>
              <w:rPr>
                <w:rFonts w:ascii="Times New Roman" w:hAnsi="Times New Roman" w:eastAsia="宋体" w:cs="Times New Roman"/>
              </w:rPr>
            </w:pPr>
          </w:p>
        </w:tc>
        <w:tc>
          <w:tcPr>
            <w:tcW w:w="190" w:type="pct"/>
            <w:vMerge w:val="continue"/>
            <w:shd w:val="clear" w:color="auto" w:fill="auto"/>
            <w:vAlign w:val="center"/>
          </w:tcPr>
          <w:p w14:paraId="2BB3EF7F">
            <w:pPr>
              <w:adjustRightInd w:val="0"/>
              <w:snapToGrid w:val="0"/>
              <w:spacing w:line="240" w:lineRule="exact"/>
              <w:jc w:val="center"/>
              <w:rPr>
                <w:rFonts w:ascii="Times New Roman" w:hAnsi="Times New Roman" w:eastAsia="宋体" w:cs="Times New Roman"/>
              </w:rPr>
            </w:pPr>
          </w:p>
        </w:tc>
        <w:tc>
          <w:tcPr>
            <w:tcW w:w="190" w:type="pct"/>
            <w:vMerge w:val="continue"/>
            <w:shd w:val="clear" w:color="auto" w:fill="auto"/>
            <w:vAlign w:val="center"/>
          </w:tcPr>
          <w:p w14:paraId="4D9DD70C">
            <w:pPr>
              <w:adjustRightInd w:val="0"/>
              <w:snapToGrid w:val="0"/>
              <w:spacing w:line="240" w:lineRule="exact"/>
              <w:jc w:val="center"/>
              <w:rPr>
                <w:rFonts w:ascii="Times New Roman" w:hAnsi="Times New Roman" w:eastAsia="宋体" w:cs="Times New Roman"/>
              </w:rPr>
            </w:pPr>
          </w:p>
        </w:tc>
        <w:tc>
          <w:tcPr>
            <w:tcW w:w="2230" w:type="pct"/>
            <w:vMerge w:val="continue"/>
            <w:noWrap/>
            <w:vAlign w:val="center"/>
          </w:tcPr>
          <w:p w14:paraId="656A2CFB">
            <w:pPr>
              <w:rPr>
                <w:rFonts w:ascii="Times New Roman" w:hAnsi="Times New Roman" w:eastAsia="宋体" w:cs="Times New Roman"/>
                <w:szCs w:val="21"/>
              </w:rPr>
            </w:pPr>
          </w:p>
        </w:tc>
        <w:tc>
          <w:tcPr>
            <w:tcW w:w="242" w:type="pct"/>
            <w:vMerge w:val="continue"/>
            <w:vAlign w:val="center"/>
          </w:tcPr>
          <w:p w14:paraId="19DB81F7">
            <w:pPr>
              <w:jc w:val="center"/>
              <w:rPr>
                <w:rFonts w:ascii="Times New Roman" w:hAnsi="Times New Roman" w:eastAsia="宋体" w:cs="Times New Roman"/>
                <w:szCs w:val="21"/>
              </w:rPr>
            </w:pPr>
          </w:p>
        </w:tc>
        <w:tc>
          <w:tcPr>
            <w:tcW w:w="260" w:type="pct"/>
            <w:vMerge w:val="continue"/>
            <w:vAlign w:val="center"/>
          </w:tcPr>
          <w:p w14:paraId="261EE1C6">
            <w:pPr>
              <w:jc w:val="center"/>
              <w:rPr>
                <w:rFonts w:ascii="Times New Roman" w:hAnsi="Times New Roman" w:eastAsia="宋体" w:cs="Times New Roman"/>
                <w:szCs w:val="21"/>
              </w:rPr>
            </w:pPr>
          </w:p>
        </w:tc>
        <w:tc>
          <w:tcPr>
            <w:tcW w:w="251" w:type="pct"/>
            <w:vMerge w:val="continue"/>
            <w:vAlign w:val="center"/>
          </w:tcPr>
          <w:p w14:paraId="73944D0D">
            <w:pPr>
              <w:widowControl/>
              <w:adjustRightInd w:val="0"/>
              <w:snapToGrid w:val="0"/>
              <w:spacing w:line="240" w:lineRule="exact"/>
              <w:jc w:val="center"/>
              <w:rPr>
                <w:rFonts w:ascii="Times New Roman" w:hAnsi="Times New Roman" w:eastAsia="宋体" w:cs="Times New Roman"/>
                <w:szCs w:val="21"/>
              </w:rPr>
            </w:pPr>
          </w:p>
        </w:tc>
      </w:tr>
      <w:tr w14:paraId="4F986A6A">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trHeight w:val="75" w:hRule="atLeast"/>
          <w:tblHeader/>
          <w:jc w:val="center"/>
        </w:trPr>
        <w:tc>
          <w:tcPr>
            <w:tcW w:w="180" w:type="pct"/>
            <w:vMerge w:val="continue"/>
            <w:noWrap/>
            <w:vAlign w:val="center"/>
          </w:tcPr>
          <w:p w14:paraId="722EB6FD">
            <w:pPr>
              <w:adjustRightInd w:val="0"/>
              <w:snapToGrid w:val="0"/>
              <w:spacing w:line="240" w:lineRule="exact"/>
              <w:jc w:val="center"/>
              <w:rPr>
                <w:rFonts w:ascii="Times New Roman" w:hAnsi="Times New Roman" w:eastAsia="宋体" w:cs="Times New Roman"/>
              </w:rPr>
            </w:pPr>
          </w:p>
        </w:tc>
        <w:tc>
          <w:tcPr>
            <w:tcW w:w="278" w:type="pct"/>
            <w:vAlign w:val="center"/>
          </w:tcPr>
          <w:p w14:paraId="6294D045">
            <w:pPr>
              <w:widowControl/>
              <w:adjustRightInd w:val="0"/>
              <w:snapToGrid w:val="0"/>
              <w:spacing w:line="240" w:lineRule="exact"/>
              <w:jc w:val="center"/>
              <w:rPr>
                <w:rFonts w:ascii="Times New Roman" w:hAnsi="Times New Roman" w:eastAsia="宋体" w:cs="Times New Roman"/>
              </w:rPr>
            </w:pPr>
            <w:r>
              <w:rPr>
                <w:rFonts w:ascii="Times New Roman" w:hAnsi="Times New Roman" w:eastAsia="宋体" w:cs="Times New Roman"/>
              </w:rPr>
              <w:t>K</w:t>
            </w:r>
            <w:r>
              <w:rPr>
                <w:rFonts w:hint="eastAsia" w:ascii="Times New Roman" w:hAnsi="Times New Roman" w:eastAsia="宋体" w:cs="Times New Roman"/>
              </w:rPr>
              <w:t>59</w:t>
            </w:r>
            <w:r>
              <w:rPr>
                <w:rFonts w:ascii="Times New Roman" w:hAnsi="Times New Roman" w:eastAsia="宋体" w:cs="Times New Roman"/>
              </w:rPr>
              <w:t>+</w:t>
            </w:r>
            <w:r>
              <w:rPr>
                <w:rFonts w:hint="eastAsia" w:ascii="Times New Roman" w:hAnsi="Times New Roman" w:eastAsia="宋体" w:cs="Times New Roman"/>
              </w:rPr>
              <w:t>5</w:t>
            </w:r>
            <w:r>
              <w:rPr>
                <w:rFonts w:ascii="Times New Roman" w:hAnsi="Times New Roman" w:eastAsia="宋体" w:cs="Times New Roman"/>
              </w:rPr>
              <w:t>00～K</w:t>
            </w:r>
            <w:r>
              <w:rPr>
                <w:rFonts w:hint="eastAsia" w:ascii="Times New Roman" w:hAnsi="Times New Roman" w:eastAsia="宋体" w:cs="Times New Roman"/>
              </w:rPr>
              <w:t>59</w:t>
            </w:r>
            <w:r>
              <w:rPr>
                <w:rFonts w:ascii="Times New Roman" w:hAnsi="Times New Roman" w:eastAsia="宋体" w:cs="Times New Roman"/>
              </w:rPr>
              <w:t>+</w:t>
            </w:r>
            <w:r>
              <w:rPr>
                <w:rFonts w:hint="eastAsia" w:ascii="Times New Roman" w:hAnsi="Times New Roman" w:eastAsia="宋体" w:cs="Times New Roman"/>
              </w:rPr>
              <w:t>8</w:t>
            </w:r>
            <w:r>
              <w:rPr>
                <w:rFonts w:ascii="Times New Roman" w:hAnsi="Times New Roman" w:eastAsia="宋体" w:cs="Times New Roman"/>
              </w:rPr>
              <w:t>50</w:t>
            </w:r>
          </w:p>
        </w:tc>
        <w:tc>
          <w:tcPr>
            <w:tcW w:w="346" w:type="pct"/>
            <w:vMerge w:val="continue"/>
            <w:vAlign w:val="center"/>
          </w:tcPr>
          <w:p w14:paraId="2D0EC836">
            <w:pPr>
              <w:widowControl/>
              <w:adjustRightInd w:val="0"/>
              <w:snapToGrid w:val="0"/>
              <w:spacing w:line="240" w:lineRule="exact"/>
              <w:jc w:val="center"/>
              <w:rPr>
                <w:rFonts w:ascii="Times New Roman" w:hAnsi="Times New Roman" w:eastAsia="宋体" w:cs="Times New Roman"/>
              </w:rPr>
            </w:pPr>
          </w:p>
        </w:tc>
        <w:tc>
          <w:tcPr>
            <w:tcW w:w="138" w:type="pct"/>
            <w:vMerge w:val="continue"/>
            <w:vAlign w:val="center"/>
          </w:tcPr>
          <w:p w14:paraId="0BC9FD0C">
            <w:pPr>
              <w:widowControl/>
              <w:adjustRightInd w:val="0"/>
              <w:snapToGrid w:val="0"/>
              <w:spacing w:line="240" w:lineRule="exact"/>
              <w:jc w:val="center"/>
              <w:rPr>
                <w:rFonts w:ascii="Times New Roman" w:hAnsi="Times New Roman" w:eastAsia="宋体" w:cs="Times New Roman"/>
              </w:rPr>
            </w:pPr>
          </w:p>
        </w:tc>
        <w:tc>
          <w:tcPr>
            <w:tcW w:w="209" w:type="pct"/>
            <w:vMerge w:val="continue"/>
            <w:vAlign w:val="center"/>
          </w:tcPr>
          <w:p w14:paraId="6D1012C5">
            <w:pPr>
              <w:widowControl/>
              <w:adjustRightInd w:val="0"/>
              <w:snapToGrid w:val="0"/>
              <w:spacing w:line="240" w:lineRule="exact"/>
              <w:jc w:val="center"/>
              <w:rPr>
                <w:rFonts w:ascii="Times New Roman" w:hAnsi="Times New Roman" w:eastAsia="宋体" w:cs="Times New Roman"/>
              </w:rPr>
            </w:pPr>
          </w:p>
        </w:tc>
        <w:tc>
          <w:tcPr>
            <w:tcW w:w="243" w:type="pct"/>
            <w:vMerge w:val="continue"/>
            <w:vAlign w:val="center"/>
          </w:tcPr>
          <w:p w14:paraId="73FFDED8">
            <w:pPr>
              <w:adjustRightInd w:val="0"/>
              <w:snapToGrid w:val="0"/>
              <w:spacing w:line="240" w:lineRule="exact"/>
              <w:jc w:val="center"/>
              <w:rPr>
                <w:rFonts w:ascii="Times New Roman" w:hAnsi="Times New Roman" w:eastAsia="宋体" w:cs="Times New Roman"/>
              </w:rPr>
            </w:pPr>
          </w:p>
        </w:tc>
        <w:tc>
          <w:tcPr>
            <w:tcW w:w="243" w:type="pct"/>
            <w:vMerge w:val="continue"/>
            <w:vAlign w:val="center"/>
          </w:tcPr>
          <w:p w14:paraId="4279AE92">
            <w:pPr>
              <w:adjustRightInd w:val="0"/>
              <w:snapToGrid w:val="0"/>
              <w:spacing w:line="240" w:lineRule="exact"/>
              <w:jc w:val="center"/>
              <w:rPr>
                <w:rFonts w:ascii="Times New Roman" w:hAnsi="Times New Roman" w:eastAsia="宋体" w:cs="Times New Roman"/>
              </w:rPr>
            </w:pPr>
          </w:p>
        </w:tc>
        <w:tc>
          <w:tcPr>
            <w:tcW w:w="190" w:type="pct"/>
            <w:vMerge w:val="continue"/>
            <w:shd w:val="clear" w:color="auto" w:fill="auto"/>
            <w:vAlign w:val="center"/>
          </w:tcPr>
          <w:p w14:paraId="15ED62CA">
            <w:pPr>
              <w:adjustRightInd w:val="0"/>
              <w:snapToGrid w:val="0"/>
              <w:spacing w:line="240" w:lineRule="exact"/>
              <w:jc w:val="center"/>
              <w:rPr>
                <w:rFonts w:ascii="Times New Roman" w:hAnsi="Times New Roman" w:eastAsia="宋体" w:cs="Times New Roman"/>
              </w:rPr>
            </w:pPr>
          </w:p>
        </w:tc>
        <w:tc>
          <w:tcPr>
            <w:tcW w:w="190" w:type="pct"/>
            <w:vMerge w:val="continue"/>
            <w:shd w:val="clear" w:color="auto" w:fill="auto"/>
            <w:vAlign w:val="center"/>
          </w:tcPr>
          <w:p w14:paraId="3FD7CA6F">
            <w:pPr>
              <w:adjustRightInd w:val="0"/>
              <w:snapToGrid w:val="0"/>
              <w:spacing w:line="240" w:lineRule="exact"/>
              <w:jc w:val="center"/>
              <w:rPr>
                <w:rFonts w:ascii="Times New Roman" w:hAnsi="Times New Roman" w:eastAsia="宋体" w:cs="Times New Roman"/>
              </w:rPr>
            </w:pPr>
          </w:p>
        </w:tc>
        <w:tc>
          <w:tcPr>
            <w:tcW w:w="2230" w:type="pct"/>
            <w:vMerge w:val="continue"/>
            <w:noWrap/>
            <w:vAlign w:val="center"/>
          </w:tcPr>
          <w:p w14:paraId="66C3777D">
            <w:pPr>
              <w:rPr>
                <w:rFonts w:ascii="Times New Roman" w:hAnsi="Times New Roman" w:eastAsia="宋体" w:cs="Times New Roman"/>
                <w:szCs w:val="21"/>
              </w:rPr>
            </w:pPr>
          </w:p>
        </w:tc>
        <w:tc>
          <w:tcPr>
            <w:tcW w:w="242" w:type="pct"/>
            <w:vMerge w:val="continue"/>
            <w:vAlign w:val="center"/>
          </w:tcPr>
          <w:p w14:paraId="026FC501">
            <w:pPr>
              <w:jc w:val="center"/>
              <w:rPr>
                <w:rFonts w:ascii="Times New Roman" w:hAnsi="Times New Roman" w:eastAsia="宋体" w:cs="Times New Roman"/>
                <w:szCs w:val="21"/>
              </w:rPr>
            </w:pPr>
          </w:p>
        </w:tc>
        <w:tc>
          <w:tcPr>
            <w:tcW w:w="260" w:type="pct"/>
            <w:vMerge w:val="continue"/>
            <w:vAlign w:val="center"/>
          </w:tcPr>
          <w:p w14:paraId="4DC08EEB">
            <w:pPr>
              <w:jc w:val="center"/>
              <w:rPr>
                <w:rFonts w:ascii="Times New Roman" w:hAnsi="Times New Roman" w:eastAsia="宋体" w:cs="Times New Roman"/>
                <w:szCs w:val="21"/>
              </w:rPr>
            </w:pPr>
          </w:p>
        </w:tc>
        <w:tc>
          <w:tcPr>
            <w:tcW w:w="251" w:type="pct"/>
            <w:vMerge w:val="continue"/>
            <w:vAlign w:val="center"/>
          </w:tcPr>
          <w:p w14:paraId="11B0458D">
            <w:pPr>
              <w:widowControl/>
              <w:adjustRightInd w:val="0"/>
              <w:snapToGrid w:val="0"/>
              <w:spacing w:line="240" w:lineRule="exact"/>
              <w:jc w:val="center"/>
              <w:rPr>
                <w:rFonts w:ascii="Times New Roman" w:hAnsi="Times New Roman" w:eastAsia="宋体" w:cs="Times New Roman"/>
                <w:szCs w:val="21"/>
              </w:rPr>
            </w:pPr>
          </w:p>
        </w:tc>
      </w:tr>
    </w:tbl>
    <w:p w14:paraId="037D590F">
      <w:pPr>
        <w:rPr>
          <w:rFonts w:ascii="Times New Roman" w:hAnsi="Times New Roman" w:eastAsia="宋体" w:cs="Times New Roman"/>
        </w:rPr>
      </w:pPr>
    </w:p>
    <w:p w14:paraId="000902C4">
      <w:pPr>
        <w:spacing w:beforeLines="50"/>
        <w:jc w:val="center"/>
        <w:rPr>
          <w:b/>
          <w:spacing w:val="4"/>
          <w:szCs w:val="21"/>
        </w:rPr>
        <w:sectPr>
          <w:headerReference r:id="rId111" w:type="default"/>
          <w:footerReference r:id="rId112" w:type="default"/>
          <w:footerReference r:id="rId113" w:type="even"/>
          <w:pgSz w:w="23814" w:h="16840" w:orient="landscape"/>
          <w:pgMar w:top="1701" w:right="1701" w:bottom="1701" w:left="1701" w:header="1134" w:footer="1134" w:gutter="0"/>
          <w:pgBorders>
            <w:top w:val="none" w:sz="0" w:space="0"/>
            <w:left w:val="none" w:sz="0" w:space="0"/>
            <w:bottom w:val="none" w:sz="0" w:space="0"/>
            <w:right w:val="none" w:sz="0" w:space="0"/>
          </w:pgBorders>
          <w:cols w:space="720" w:num="1"/>
          <w:docGrid w:linePitch="312" w:charSpace="0"/>
        </w:sectPr>
      </w:pPr>
    </w:p>
    <w:p w14:paraId="0CAE14F4">
      <w:pPr>
        <w:spacing w:beforeLines="50"/>
        <w:jc w:val="center"/>
        <w:rPr>
          <w:rFonts w:ascii="Times New Roman" w:hAnsi="宋体" w:eastAsia="宋体" w:cs="Times New Roman"/>
          <w:b/>
          <w:spacing w:val="4"/>
          <w:szCs w:val="21"/>
        </w:rPr>
      </w:pPr>
      <w:r>
        <w:rPr>
          <w:rFonts w:ascii="Times New Roman" w:hAnsi="宋体" w:eastAsia="宋体" w:cs="Times New Roman"/>
          <w:b/>
          <w:spacing w:val="4"/>
          <w:szCs w:val="21"/>
        </w:rPr>
        <w:t>续</w:t>
      </w:r>
      <w:r>
        <w:rPr>
          <w:rFonts w:hint="eastAsia" w:ascii="Times New Roman" w:hAnsi="宋体" w:eastAsia="宋体" w:cs="Times New Roman"/>
          <w:b/>
          <w:spacing w:val="4"/>
          <w:szCs w:val="21"/>
        </w:rPr>
        <w:t xml:space="preserve"> </w:t>
      </w:r>
      <w:r>
        <w:rPr>
          <w:rFonts w:ascii="Times New Roman" w:hAnsi="宋体" w:eastAsia="宋体" w:cs="Times New Roman"/>
          <w:b/>
          <w:spacing w:val="4"/>
          <w:szCs w:val="21"/>
        </w:rPr>
        <w:t>表</w:t>
      </w:r>
      <w:r>
        <w:rPr>
          <w:rFonts w:hint="eastAsia" w:ascii="Times New Roman" w:hAnsi="Times New Roman" w:eastAsia="宋体" w:cs="Times New Roman"/>
          <w:b/>
          <w:spacing w:val="4"/>
          <w:szCs w:val="21"/>
        </w:rPr>
        <w:t>5</w:t>
      </w:r>
      <w:r>
        <w:rPr>
          <w:rFonts w:ascii="Times New Roman" w:hAnsi="Times New Roman" w:eastAsia="宋体" w:cs="Times New Roman"/>
          <w:b/>
          <w:spacing w:val="4"/>
          <w:szCs w:val="21"/>
        </w:rPr>
        <w:t xml:space="preserve">.3-2  </w:t>
      </w:r>
      <w:r>
        <w:rPr>
          <w:rFonts w:ascii="Times New Roman" w:hAnsi="宋体" w:eastAsia="宋体" w:cs="Times New Roman"/>
          <w:b/>
          <w:spacing w:val="4"/>
          <w:szCs w:val="21"/>
        </w:rPr>
        <w:t>拟建公路营运中期噪声预测值超标敏感点及降噪措施</w:t>
      </w:r>
      <w:r>
        <w:rPr>
          <w:rFonts w:hint="eastAsia" w:ascii="Times New Roman" w:hAnsi="宋体" w:eastAsia="宋体" w:cs="Times New Roman"/>
          <w:b/>
          <w:spacing w:val="4"/>
          <w:szCs w:val="21"/>
        </w:rPr>
        <w:t>论证一览</w:t>
      </w:r>
      <w:r>
        <w:rPr>
          <w:rFonts w:ascii="Times New Roman" w:hAnsi="宋体" w:eastAsia="宋体" w:cs="Times New Roman"/>
          <w:b/>
          <w:spacing w:val="4"/>
          <w:szCs w:val="21"/>
        </w:rPr>
        <w:t>表</w:t>
      </w:r>
    </w:p>
    <w:tbl>
      <w:tblPr>
        <w:tblStyle w:val="22"/>
        <w:tblW w:w="5000" w:type="pct"/>
        <w:jc w:val="center"/>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fixed"/>
        <w:tblCellMar>
          <w:top w:w="0" w:type="dxa"/>
          <w:left w:w="28" w:type="dxa"/>
          <w:bottom w:w="0" w:type="dxa"/>
          <w:right w:w="28" w:type="dxa"/>
        </w:tblCellMar>
      </w:tblPr>
      <w:tblGrid>
        <w:gridCol w:w="736"/>
        <w:gridCol w:w="1137"/>
        <w:gridCol w:w="1417"/>
        <w:gridCol w:w="565"/>
        <w:gridCol w:w="856"/>
        <w:gridCol w:w="995"/>
        <w:gridCol w:w="995"/>
        <w:gridCol w:w="778"/>
        <w:gridCol w:w="778"/>
        <w:gridCol w:w="9131"/>
        <w:gridCol w:w="991"/>
        <w:gridCol w:w="1065"/>
        <w:gridCol w:w="1028"/>
      </w:tblGrid>
      <w:tr w14:paraId="4CA95C6F">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tblHeader/>
          <w:jc w:val="center"/>
        </w:trPr>
        <w:tc>
          <w:tcPr>
            <w:tcW w:w="180" w:type="pct"/>
            <w:vMerge w:val="restart"/>
            <w:noWrap/>
            <w:vAlign w:val="center"/>
          </w:tcPr>
          <w:p w14:paraId="1364CFD9">
            <w:pPr>
              <w:spacing w:line="240" w:lineRule="exact"/>
              <w:jc w:val="center"/>
              <w:rPr>
                <w:rFonts w:ascii="Times New Roman" w:hAnsi="Times New Roman" w:eastAsia="宋体" w:cs="Times New Roman"/>
                <w:b/>
              </w:rPr>
            </w:pPr>
            <w:r>
              <w:rPr>
                <w:rFonts w:ascii="Times New Roman" w:hAnsi="Times New Roman" w:eastAsia="宋体" w:cs="Times New Roman"/>
                <w:b/>
              </w:rPr>
              <w:t>序号</w:t>
            </w:r>
          </w:p>
        </w:tc>
        <w:tc>
          <w:tcPr>
            <w:tcW w:w="278" w:type="pct"/>
            <w:vMerge w:val="restart"/>
            <w:vAlign w:val="center"/>
          </w:tcPr>
          <w:p w14:paraId="3F55756B">
            <w:pPr>
              <w:widowControl/>
              <w:adjustRightInd w:val="0"/>
              <w:snapToGrid w:val="0"/>
              <w:spacing w:line="240" w:lineRule="exact"/>
              <w:jc w:val="center"/>
              <w:rPr>
                <w:rFonts w:ascii="Times New Roman" w:hAnsi="Times New Roman" w:eastAsia="宋体" w:cs="Times New Roman"/>
                <w:b/>
                <w:snapToGrid w:val="0"/>
                <w:kern w:val="0"/>
                <w:szCs w:val="21"/>
              </w:rPr>
            </w:pPr>
            <w:r>
              <w:rPr>
                <w:rFonts w:ascii="Times New Roman" w:hAnsi="宋体" w:eastAsia="宋体" w:cs="Times New Roman"/>
                <w:b/>
                <w:snapToGrid w:val="0"/>
                <w:kern w:val="0"/>
                <w:szCs w:val="21"/>
              </w:rPr>
              <w:t>桩号</w:t>
            </w:r>
          </w:p>
        </w:tc>
        <w:tc>
          <w:tcPr>
            <w:tcW w:w="346" w:type="pct"/>
            <w:vMerge w:val="restart"/>
            <w:vAlign w:val="center"/>
          </w:tcPr>
          <w:p w14:paraId="229D7E7A">
            <w:pPr>
              <w:widowControl/>
              <w:adjustRightInd w:val="0"/>
              <w:snapToGrid w:val="0"/>
              <w:spacing w:line="240" w:lineRule="exact"/>
              <w:jc w:val="center"/>
              <w:rPr>
                <w:rFonts w:ascii="Times New Roman" w:hAnsi="Times New Roman" w:eastAsia="宋体" w:cs="Times New Roman"/>
                <w:b/>
                <w:snapToGrid w:val="0"/>
                <w:kern w:val="0"/>
                <w:szCs w:val="21"/>
              </w:rPr>
            </w:pPr>
            <w:r>
              <w:rPr>
                <w:rFonts w:ascii="Times New Roman" w:hAnsi="宋体" w:eastAsia="宋体" w:cs="Times New Roman"/>
                <w:b/>
                <w:snapToGrid w:val="0"/>
                <w:kern w:val="0"/>
                <w:szCs w:val="21"/>
              </w:rPr>
              <w:t>敏感点名称</w:t>
            </w:r>
          </w:p>
        </w:tc>
        <w:tc>
          <w:tcPr>
            <w:tcW w:w="347" w:type="pct"/>
            <w:gridSpan w:val="2"/>
            <w:vAlign w:val="center"/>
          </w:tcPr>
          <w:p w14:paraId="7D24BBF9">
            <w:pPr>
              <w:adjustRightInd w:val="0"/>
              <w:snapToGrid w:val="0"/>
              <w:spacing w:line="240" w:lineRule="exact"/>
              <w:jc w:val="center"/>
              <w:rPr>
                <w:rFonts w:ascii="Times New Roman" w:hAnsi="Times New Roman" w:eastAsia="宋体" w:cs="Times New Roman"/>
                <w:b/>
                <w:snapToGrid w:val="0"/>
                <w:kern w:val="0"/>
                <w:szCs w:val="21"/>
              </w:rPr>
            </w:pPr>
            <w:r>
              <w:rPr>
                <w:rFonts w:ascii="Times New Roman" w:hAnsi="宋体" w:eastAsia="宋体" w:cs="Times New Roman"/>
                <w:b/>
                <w:snapToGrid w:val="0"/>
                <w:kern w:val="0"/>
                <w:szCs w:val="21"/>
              </w:rPr>
              <w:t>所在位置</w:t>
            </w:r>
          </w:p>
        </w:tc>
        <w:tc>
          <w:tcPr>
            <w:tcW w:w="486" w:type="pct"/>
            <w:gridSpan w:val="2"/>
            <w:vAlign w:val="center"/>
          </w:tcPr>
          <w:p w14:paraId="2DB45BBB">
            <w:pPr>
              <w:widowControl/>
              <w:spacing w:line="240" w:lineRule="exact"/>
              <w:jc w:val="center"/>
              <w:rPr>
                <w:rFonts w:ascii="Times New Roman" w:hAnsi="Times New Roman" w:eastAsia="宋体" w:cs="Times New Roman"/>
                <w:b/>
                <w:bCs/>
                <w:szCs w:val="21"/>
              </w:rPr>
            </w:pPr>
            <w:r>
              <w:rPr>
                <w:rFonts w:ascii="Times New Roman" w:hAnsi="Times New Roman" w:eastAsia="宋体" w:cs="Times New Roman"/>
                <w:b/>
                <w:bCs/>
              </w:rPr>
              <w:t>营运中期昼间/夜间最大超标量（dB）</w:t>
            </w:r>
          </w:p>
        </w:tc>
        <w:tc>
          <w:tcPr>
            <w:tcW w:w="380" w:type="pct"/>
            <w:gridSpan w:val="2"/>
            <w:shd w:val="clear" w:color="auto" w:fill="auto"/>
            <w:vAlign w:val="center"/>
          </w:tcPr>
          <w:p w14:paraId="5F042A8C">
            <w:pPr>
              <w:widowControl/>
              <w:adjustRightInd w:val="0"/>
              <w:snapToGrid w:val="0"/>
              <w:spacing w:line="240" w:lineRule="exact"/>
              <w:jc w:val="center"/>
              <w:rPr>
                <w:rFonts w:ascii="Times New Roman" w:hAnsi="Times New Roman" w:eastAsia="宋体" w:cs="Times New Roman"/>
                <w:b/>
                <w:snapToGrid w:val="0"/>
                <w:kern w:val="0"/>
                <w:szCs w:val="21"/>
              </w:rPr>
            </w:pPr>
            <w:r>
              <w:rPr>
                <w:rFonts w:ascii="Times New Roman" w:hAnsi="宋体" w:eastAsia="宋体" w:cs="Times New Roman"/>
                <w:b/>
                <w:snapToGrid w:val="0"/>
                <w:kern w:val="0"/>
                <w:szCs w:val="21"/>
              </w:rPr>
              <w:t>受影响户</w:t>
            </w:r>
            <w:r>
              <w:rPr>
                <w:rFonts w:ascii="Times New Roman" w:hAnsi="Times New Roman" w:eastAsia="宋体" w:cs="Times New Roman"/>
                <w:b/>
                <w:snapToGrid w:val="0"/>
                <w:kern w:val="0"/>
                <w:szCs w:val="21"/>
              </w:rPr>
              <w:t>(</w:t>
            </w:r>
            <w:r>
              <w:rPr>
                <w:rFonts w:ascii="Times New Roman" w:hAnsi="宋体" w:eastAsia="宋体" w:cs="Times New Roman"/>
                <w:b/>
                <w:snapToGrid w:val="0"/>
                <w:kern w:val="0"/>
                <w:szCs w:val="21"/>
              </w:rPr>
              <w:t>户</w:t>
            </w:r>
            <w:r>
              <w:rPr>
                <w:rFonts w:ascii="Times New Roman" w:hAnsi="Times New Roman" w:eastAsia="宋体" w:cs="Times New Roman"/>
                <w:b/>
                <w:snapToGrid w:val="0"/>
                <w:kern w:val="0"/>
                <w:szCs w:val="21"/>
              </w:rPr>
              <w:t>)</w:t>
            </w:r>
          </w:p>
        </w:tc>
        <w:tc>
          <w:tcPr>
            <w:tcW w:w="2230" w:type="pct"/>
            <w:vMerge w:val="restart"/>
            <w:noWrap/>
            <w:vAlign w:val="center"/>
          </w:tcPr>
          <w:p w14:paraId="227A4B60">
            <w:pPr>
              <w:spacing w:line="240" w:lineRule="exact"/>
              <w:jc w:val="center"/>
              <w:rPr>
                <w:rFonts w:ascii="Times New Roman" w:hAnsi="Times New Roman" w:eastAsia="宋体" w:cs="Times New Roman"/>
                <w:b/>
                <w:szCs w:val="21"/>
              </w:rPr>
            </w:pPr>
            <w:r>
              <w:rPr>
                <w:rFonts w:ascii="Times New Roman" w:hAnsi="Times New Roman" w:eastAsia="宋体" w:cs="Times New Roman"/>
                <w:b/>
                <w:szCs w:val="21"/>
              </w:rPr>
              <w:t>降噪措施方案论证比选</w:t>
            </w:r>
          </w:p>
        </w:tc>
        <w:tc>
          <w:tcPr>
            <w:tcW w:w="242" w:type="pct"/>
            <w:vMerge w:val="restart"/>
            <w:vAlign w:val="center"/>
          </w:tcPr>
          <w:p w14:paraId="1AF6ED69">
            <w:pPr>
              <w:widowControl/>
              <w:spacing w:line="240" w:lineRule="exact"/>
              <w:jc w:val="center"/>
              <w:rPr>
                <w:rFonts w:ascii="Times New Roman" w:hAnsi="Times New Roman" w:eastAsia="宋体" w:cs="Times New Roman"/>
                <w:b/>
                <w:szCs w:val="21"/>
              </w:rPr>
            </w:pPr>
            <w:r>
              <w:rPr>
                <w:rFonts w:ascii="Times New Roman" w:hAnsi="Times New Roman" w:eastAsia="宋体" w:cs="Times New Roman"/>
                <w:b/>
                <w:szCs w:val="21"/>
              </w:rPr>
              <w:t>推荐措施</w:t>
            </w:r>
          </w:p>
        </w:tc>
        <w:tc>
          <w:tcPr>
            <w:tcW w:w="260" w:type="pct"/>
            <w:vMerge w:val="restart"/>
            <w:vAlign w:val="center"/>
          </w:tcPr>
          <w:p w14:paraId="31C3E8B1">
            <w:pPr>
              <w:widowControl/>
              <w:spacing w:line="240" w:lineRule="exact"/>
              <w:jc w:val="center"/>
              <w:rPr>
                <w:rFonts w:ascii="Times New Roman" w:hAnsi="Times New Roman" w:eastAsia="宋体" w:cs="Times New Roman"/>
                <w:b/>
                <w:szCs w:val="21"/>
              </w:rPr>
            </w:pPr>
            <w:r>
              <w:rPr>
                <w:rFonts w:ascii="Times New Roman" w:hAnsi="Times New Roman" w:eastAsia="宋体" w:cs="Times New Roman"/>
                <w:b/>
                <w:szCs w:val="21"/>
              </w:rPr>
              <w:t>降噪效果</w:t>
            </w:r>
          </w:p>
        </w:tc>
        <w:tc>
          <w:tcPr>
            <w:tcW w:w="251" w:type="pct"/>
            <w:vMerge w:val="restart"/>
            <w:vAlign w:val="center"/>
          </w:tcPr>
          <w:p w14:paraId="6BB16CBC">
            <w:pPr>
              <w:widowControl/>
              <w:spacing w:line="240" w:lineRule="exact"/>
              <w:jc w:val="center"/>
              <w:rPr>
                <w:rFonts w:ascii="Times New Roman" w:hAnsi="Times New Roman" w:eastAsia="宋体" w:cs="Times New Roman"/>
                <w:b/>
                <w:szCs w:val="21"/>
              </w:rPr>
            </w:pPr>
            <w:r>
              <w:rPr>
                <w:rFonts w:ascii="Times New Roman" w:hAnsi="Times New Roman" w:eastAsia="宋体" w:cs="Times New Roman"/>
                <w:b/>
                <w:szCs w:val="21"/>
              </w:rPr>
              <w:t>投资估算(万元)</w:t>
            </w:r>
          </w:p>
        </w:tc>
      </w:tr>
      <w:tr w14:paraId="384D4D63">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trHeight w:val="382" w:hRule="atLeast"/>
          <w:tblHeader/>
          <w:jc w:val="center"/>
        </w:trPr>
        <w:tc>
          <w:tcPr>
            <w:tcW w:w="180" w:type="pct"/>
            <w:vMerge w:val="continue"/>
            <w:noWrap/>
            <w:vAlign w:val="center"/>
          </w:tcPr>
          <w:p w14:paraId="0D4147E1">
            <w:pPr>
              <w:spacing w:line="240" w:lineRule="exact"/>
              <w:jc w:val="center"/>
              <w:rPr>
                <w:rFonts w:ascii="Times New Roman" w:hAnsi="Times New Roman" w:eastAsia="宋体" w:cs="Times New Roman"/>
              </w:rPr>
            </w:pPr>
          </w:p>
        </w:tc>
        <w:tc>
          <w:tcPr>
            <w:tcW w:w="278" w:type="pct"/>
            <w:vMerge w:val="continue"/>
            <w:vAlign w:val="center"/>
          </w:tcPr>
          <w:p w14:paraId="36CBC4EE">
            <w:pPr>
              <w:widowControl/>
              <w:adjustRightInd w:val="0"/>
              <w:snapToGrid w:val="0"/>
              <w:spacing w:line="240" w:lineRule="exact"/>
              <w:jc w:val="center"/>
              <w:rPr>
                <w:rFonts w:ascii="Times New Roman" w:hAnsi="Times New Roman" w:eastAsia="宋体" w:cs="Times New Roman"/>
                <w:b/>
                <w:snapToGrid w:val="0"/>
                <w:kern w:val="0"/>
                <w:szCs w:val="21"/>
              </w:rPr>
            </w:pPr>
          </w:p>
        </w:tc>
        <w:tc>
          <w:tcPr>
            <w:tcW w:w="346" w:type="pct"/>
            <w:vMerge w:val="continue"/>
            <w:vAlign w:val="center"/>
          </w:tcPr>
          <w:p w14:paraId="78A53D7A">
            <w:pPr>
              <w:widowControl/>
              <w:adjustRightInd w:val="0"/>
              <w:snapToGrid w:val="0"/>
              <w:spacing w:line="240" w:lineRule="exact"/>
              <w:jc w:val="center"/>
              <w:rPr>
                <w:rFonts w:ascii="Times New Roman" w:hAnsi="Times New Roman" w:eastAsia="宋体" w:cs="Times New Roman"/>
                <w:b/>
                <w:snapToGrid w:val="0"/>
                <w:kern w:val="0"/>
                <w:szCs w:val="21"/>
              </w:rPr>
            </w:pPr>
          </w:p>
        </w:tc>
        <w:tc>
          <w:tcPr>
            <w:tcW w:w="138" w:type="pct"/>
            <w:vAlign w:val="center"/>
          </w:tcPr>
          <w:p w14:paraId="41B82709">
            <w:pPr>
              <w:adjustRightInd w:val="0"/>
              <w:snapToGrid w:val="0"/>
              <w:spacing w:line="240" w:lineRule="exact"/>
              <w:jc w:val="center"/>
              <w:rPr>
                <w:rFonts w:ascii="Times New Roman" w:hAnsi="Times New Roman" w:eastAsia="宋体" w:cs="Times New Roman"/>
                <w:b/>
                <w:snapToGrid w:val="0"/>
                <w:kern w:val="0"/>
                <w:szCs w:val="21"/>
              </w:rPr>
            </w:pPr>
            <w:r>
              <w:rPr>
                <w:rFonts w:ascii="Times New Roman" w:hAnsi="宋体" w:eastAsia="宋体" w:cs="Times New Roman"/>
                <w:b/>
                <w:snapToGrid w:val="0"/>
                <w:kern w:val="0"/>
                <w:szCs w:val="21"/>
              </w:rPr>
              <w:t>方位</w:t>
            </w:r>
          </w:p>
        </w:tc>
        <w:tc>
          <w:tcPr>
            <w:tcW w:w="209" w:type="pct"/>
            <w:vAlign w:val="center"/>
          </w:tcPr>
          <w:p w14:paraId="6BEF9BDF">
            <w:pPr>
              <w:adjustRightInd w:val="0"/>
              <w:snapToGrid w:val="0"/>
              <w:spacing w:line="240" w:lineRule="exact"/>
              <w:jc w:val="center"/>
              <w:rPr>
                <w:rFonts w:ascii="Times New Roman" w:hAnsi="Times New Roman" w:eastAsia="宋体" w:cs="Times New Roman"/>
                <w:b/>
                <w:snapToGrid w:val="0"/>
                <w:kern w:val="0"/>
                <w:szCs w:val="21"/>
              </w:rPr>
            </w:pPr>
            <w:r>
              <w:rPr>
                <w:rFonts w:ascii="Times New Roman" w:hAnsi="宋体" w:eastAsia="宋体" w:cs="Times New Roman"/>
                <w:b/>
                <w:snapToGrid w:val="0"/>
                <w:kern w:val="0"/>
                <w:szCs w:val="21"/>
              </w:rPr>
              <w:t>距路中心线</w:t>
            </w:r>
            <w:r>
              <w:rPr>
                <w:rFonts w:ascii="Times New Roman" w:hAnsi="Times New Roman" w:eastAsia="宋体" w:cs="Times New Roman"/>
                <w:b/>
                <w:snapToGrid w:val="0"/>
                <w:kern w:val="0"/>
                <w:szCs w:val="21"/>
              </w:rPr>
              <w:t>(m)</w:t>
            </w:r>
          </w:p>
        </w:tc>
        <w:tc>
          <w:tcPr>
            <w:tcW w:w="243" w:type="pct"/>
            <w:vAlign w:val="center"/>
          </w:tcPr>
          <w:p w14:paraId="3DADFBE5">
            <w:pPr>
              <w:widowControl/>
              <w:jc w:val="center"/>
              <w:rPr>
                <w:rFonts w:ascii="Times New Roman" w:hAnsi="Times New Roman" w:eastAsia="宋体" w:cs="Times New Roman"/>
                <w:b/>
                <w:kern w:val="0"/>
              </w:rPr>
            </w:pPr>
            <w:r>
              <w:rPr>
                <w:rFonts w:ascii="Times New Roman" w:hAnsi="Times New Roman" w:eastAsia="宋体" w:cs="Times New Roman"/>
                <w:b/>
                <w:bCs/>
              </w:rPr>
              <w:t>4a类</w:t>
            </w:r>
          </w:p>
        </w:tc>
        <w:tc>
          <w:tcPr>
            <w:tcW w:w="243" w:type="pct"/>
            <w:vAlign w:val="center"/>
          </w:tcPr>
          <w:p w14:paraId="02C4CE68">
            <w:pPr>
              <w:widowControl/>
              <w:jc w:val="center"/>
              <w:rPr>
                <w:rFonts w:ascii="Times New Roman" w:hAnsi="Times New Roman" w:eastAsia="宋体" w:cs="Times New Roman"/>
                <w:b/>
                <w:kern w:val="0"/>
              </w:rPr>
            </w:pPr>
            <w:r>
              <w:rPr>
                <w:rFonts w:ascii="Times New Roman" w:hAnsi="Times New Roman" w:eastAsia="宋体" w:cs="Times New Roman"/>
                <w:b/>
                <w:bCs/>
              </w:rPr>
              <w:t>2类</w:t>
            </w:r>
          </w:p>
        </w:tc>
        <w:tc>
          <w:tcPr>
            <w:tcW w:w="190" w:type="pct"/>
            <w:shd w:val="clear" w:color="auto" w:fill="auto"/>
            <w:vAlign w:val="center"/>
          </w:tcPr>
          <w:p w14:paraId="7EDFAB94">
            <w:pPr>
              <w:adjustRightInd w:val="0"/>
              <w:snapToGrid w:val="0"/>
              <w:spacing w:line="240" w:lineRule="exact"/>
              <w:jc w:val="center"/>
              <w:rPr>
                <w:rFonts w:ascii="Times New Roman" w:hAnsi="Times New Roman" w:eastAsia="宋体" w:cs="Times New Roman"/>
                <w:b/>
                <w:snapToGrid w:val="0"/>
                <w:kern w:val="0"/>
                <w:szCs w:val="21"/>
              </w:rPr>
            </w:pPr>
            <w:r>
              <w:rPr>
                <w:rFonts w:ascii="Times New Roman" w:hAnsi="Times New Roman" w:eastAsia="宋体" w:cs="Times New Roman"/>
                <w:b/>
                <w:snapToGrid w:val="0"/>
                <w:kern w:val="0"/>
                <w:szCs w:val="21"/>
              </w:rPr>
              <w:t>4a</w:t>
            </w:r>
            <w:r>
              <w:rPr>
                <w:rFonts w:ascii="Times New Roman" w:hAnsi="宋体" w:eastAsia="宋体" w:cs="Times New Roman"/>
                <w:b/>
                <w:snapToGrid w:val="0"/>
                <w:kern w:val="0"/>
                <w:szCs w:val="21"/>
              </w:rPr>
              <w:t>类</w:t>
            </w:r>
          </w:p>
        </w:tc>
        <w:tc>
          <w:tcPr>
            <w:tcW w:w="190" w:type="pct"/>
            <w:shd w:val="clear" w:color="auto" w:fill="auto"/>
            <w:vAlign w:val="center"/>
          </w:tcPr>
          <w:p w14:paraId="22A07735">
            <w:pPr>
              <w:adjustRightInd w:val="0"/>
              <w:snapToGrid w:val="0"/>
              <w:spacing w:line="240" w:lineRule="exact"/>
              <w:jc w:val="center"/>
              <w:rPr>
                <w:rFonts w:ascii="Times New Roman" w:hAnsi="Times New Roman" w:eastAsia="宋体" w:cs="Times New Roman"/>
                <w:b/>
                <w:snapToGrid w:val="0"/>
                <w:kern w:val="0"/>
                <w:szCs w:val="21"/>
              </w:rPr>
            </w:pPr>
            <w:r>
              <w:rPr>
                <w:rFonts w:ascii="Times New Roman" w:hAnsi="Times New Roman" w:eastAsia="宋体" w:cs="Times New Roman"/>
                <w:b/>
                <w:snapToGrid w:val="0"/>
                <w:kern w:val="0"/>
                <w:szCs w:val="21"/>
              </w:rPr>
              <w:t>2</w:t>
            </w:r>
            <w:r>
              <w:rPr>
                <w:rFonts w:ascii="Times New Roman" w:hAnsi="宋体" w:eastAsia="宋体" w:cs="Times New Roman"/>
                <w:b/>
                <w:snapToGrid w:val="0"/>
                <w:kern w:val="0"/>
                <w:szCs w:val="21"/>
              </w:rPr>
              <w:t>类</w:t>
            </w:r>
          </w:p>
        </w:tc>
        <w:tc>
          <w:tcPr>
            <w:tcW w:w="2230" w:type="pct"/>
            <w:vMerge w:val="continue"/>
            <w:noWrap/>
            <w:vAlign w:val="center"/>
          </w:tcPr>
          <w:p w14:paraId="70DCBB27">
            <w:pPr>
              <w:widowControl/>
              <w:adjustRightInd w:val="0"/>
              <w:snapToGrid w:val="0"/>
              <w:spacing w:line="240" w:lineRule="exact"/>
              <w:jc w:val="center"/>
              <w:rPr>
                <w:rFonts w:ascii="Times New Roman" w:hAnsi="Times New Roman" w:eastAsia="宋体" w:cs="Times New Roman"/>
                <w:b/>
                <w:snapToGrid w:val="0"/>
                <w:kern w:val="0"/>
                <w:szCs w:val="21"/>
              </w:rPr>
            </w:pPr>
          </w:p>
        </w:tc>
        <w:tc>
          <w:tcPr>
            <w:tcW w:w="242" w:type="pct"/>
            <w:vMerge w:val="continue"/>
          </w:tcPr>
          <w:p w14:paraId="18140374">
            <w:pPr>
              <w:widowControl/>
              <w:adjustRightInd w:val="0"/>
              <w:snapToGrid w:val="0"/>
              <w:spacing w:line="240" w:lineRule="exact"/>
              <w:jc w:val="center"/>
              <w:rPr>
                <w:rFonts w:ascii="Times New Roman" w:hAnsi="Times New Roman" w:eastAsia="宋体" w:cs="Times New Roman"/>
                <w:b/>
                <w:snapToGrid w:val="0"/>
                <w:kern w:val="0"/>
                <w:szCs w:val="21"/>
              </w:rPr>
            </w:pPr>
          </w:p>
        </w:tc>
        <w:tc>
          <w:tcPr>
            <w:tcW w:w="260" w:type="pct"/>
            <w:vMerge w:val="continue"/>
          </w:tcPr>
          <w:p w14:paraId="22CC6BCE">
            <w:pPr>
              <w:widowControl/>
              <w:adjustRightInd w:val="0"/>
              <w:snapToGrid w:val="0"/>
              <w:spacing w:line="240" w:lineRule="exact"/>
              <w:jc w:val="center"/>
              <w:rPr>
                <w:rFonts w:ascii="Times New Roman" w:hAnsi="Times New Roman" w:eastAsia="宋体" w:cs="Times New Roman"/>
                <w:b/>
                <w:snapToGrid w:val="0"/>
                <w:kern w:val="0"/>
                <w:szCs w:val="21"/>
              </w:rPr>
            </w:pPr>
          </w:p>
        </w:tc>
        <w:tc>
          <w:tcPr>
            <w:tcW w:w="251" w:type="pct"/>
            <w:vMerge w:val="continue"/>
          </w:tcPr>
          <w:p w14:paraId="43AD2023">
            <w:pPr>
              <w:widowControl/>
              <w:adjustRightInd w:val="0"/>
              <w:snapToGrid w:val="0"/>
              <w:spacing w:line="240" w:lineRule="exact"/>
              <w:jc w:val="center"/>
              <w:rPr>
                <w:rFonts w:ascii="Times New Roman" w:hAnsi="Times New Roman" w:eastAsia="宋体" w:cs="Times New Roman"/>
                <w:b/>
                <w:snapToGrid w:val="0"/>
                <w:kern w:val="0"/>
                <w:szCs w:val="21"/>
              </w:rPr>
            </w:pPr>
          </w:p>
        </w:tc>
      </w:tr>
      <w:tr w14:paraId="3A5E319C">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trHeight w:val="100" w:hRule="atLeast"/>
          <w:tblHeader/>
          <w:jc w:val="center"/>
        </w:trPr>
        <w:tc>
          <w:tcPr>
            <w:tcW w:w="180" w:type="pct"/>
            <w:vMerge w:val="restart"/>
            <w:noWrap/>
            <w:vAlign w:val="center"/>
          </w:tcPr>
          <w:p w14:paraId="02EE0B65">
            <w:pPr>
              <w:adjustRightInd w:val="0"/>
              <w:snapToGrid w:val="0"/>
              <w:spacing w:line="240" w:lineRule="exact"/>
              <w:jc w:val="center"/>
              <w:rPr>
                <w:rFonts w:ascii="Times New Roman" w:hAnsi="Times New Roman" w:eastAsia="宋体" w:cs="Times New Roman"/>
              </w:rPr>
            </w:pPr>
            <w:r>
              <w:rPr>
                <w:rFonts w:hint="eastAsia" w:ascii="Times New Roman" w:hAnsi="Times New Roman" w:eastAsia="宋体" w:cs="Times New Roman"/>
              </w:rPr>
              <w:t>27</w:t>
            </w:r>
          </w:p>
        </w:tc>
        <w:tc>
          <w:tcPr>
            <w:tcW w:w="278" w:type="pct"/>
            <w:vAlign w:val="center"/>
          </w:tcPr>
          <w:p w14:paraId="3D427E26">
            <w:pPr>
              <w:adjustRightInd w:val="0"/>
              <w:snapToGrid w:val="0"/>
              <w:spacing w:line="240" w:lineRule="exact"/>
              <w:jc w:val="center"/>
              <w:rPr>
                <w:rFonts w:ascii="Times New Roman" w:hAnsi="Times New Roman" w:eastAsia="宋体" w:cs="Times New Roman"/>
              </w:rPr>
            </w:pPr>
            <w:r>
              <w:rPr>
                <w:rFonts w:ascii="Times New Roman" w:hAnsi="Times New Roman" w:eastAsia="宋体" w:cs="Times New Roman"/>
              </w:rPr>
              <w:t>K</w:t>
            </w:r>
            <w:r>
              <w:rPr>
                <w:rFonts w:hint="eastAsia" w:ascii="Times New Roman" w:hAnsi="Times New Roman" w:eastAsia="宋体" w:cs="Times New Roman"/>
              </w:rPr>
              <w:t>66</w:t>
            </w:r>
            <w:r>
              <w:rPr>
                <w:rFonts w:ascii="Times New Roman" w:hAnsi="Times New Roman" w:eastAsia="宋体" w:cs="Times New Roman"/>
              </w:rPr>
              <w:t>+</w:t>
            </w:r>
            <w:r>
              <w:rPr>
                <w:rFonts w:hint="eastAsia" w:ascii="Times New Roman" w:hAnsi="Times New Roman" w:eastAsia="宋体" w:cs="Times New Roman"/>
              </w:rPr>
              <w:t>1</w:t>
            </w:r>
            <w:r>
              <w:rPr>
                <w:rFonts w:ascii="Times New Roman" w:hAnsi="Times New Roman" w:eastAsia="宋体" w:cs="Times New Roman"/>
              </w:rPr>
              <w:t>00～K</w:t>
            </w:r>
            <w:r>
              <w:rPr>
                <w:rFonts w:hint="eastAsia" w:ascii="Times New Roman" w:hAnsi="Times New Roman" w:eastAsia="宋体" w:cs="Times New Roman"/>
              </w:rPr>
              <w:t>68</w:t>
            </w:r>
            <w:r>
              <w:rPr>
                <w:rFonts w:ascii="Times New Roman" w:hAnsi="Times New Roman" w:eastAsia="宋体" w:cs="Times New Roman"/>
              </w:rPr>
              <w:t>+</w:t>
            </w:r>
            <w:r>
              <w:rPr>
                <w:rFonts w:hint="eastAsia" w:ascii="Times New Roman" w:hAnsi="Times New Roman" w:eastAsia="宋体" w:cs="Times New Roman"/>
              </w:rPr>
              <w:t>6</w:t>
            </w:r>
            <w:r>
              <w:rPr>
                <w:rFonts w:ascii="Times New Roman" w:hAnsi="Times New Roman" w:eastAsia="宋体" w:cs="Times New Roman"/>
              </w:rPr>
              <w:t>00</w:t>
            </w:r>
          </w:p>
        </w:tc>
        <w:tc>
          <w:tcPr>
            <w:tcW w:w="346" w:type="pct"/>
            <w:vMerge w:val="restart"/>
            <w:vAlign w:val="center"/>
          </w:tcPr>
          <w:p w14:paraId="6EB78D19">
            <w:pPr>
              <w:adjustRightInd w:val="0"/>
              <w:snapToGrid w:val="0"/>
              <w:spacing w:line="240" w:lineRule="exact"/>
              <w:jc w:val="center"/>
              <w:rPr>
                <w:rFonts w:ascii="Times New Roman" w:hAnsi="Times New Roman" w:eastAsia="宋体" w:cs="Times New Roman"/>
              </w:rPr>
            </w:pPr>
            <w:r>
              <w:rPr>
                <w:rFonts w:hint="eastAsia" w:ascii="Times New Roman" w:hAnsi="Times New Roman" w:eastAsia="宋体" w:cs="Times New Roman"/>
              </w:rPr>
              <w:t>托万克阿帕霍加</w:t>
            </w:r>
          </w:p>
        </w:tc>
        <w:tc>
          <w:tcPr>
            <w:tcW w:w="138" w:type="pct"/>
            <w:vMerge w:val="restart"/>
            <w:vAlign w:val="center"/>
          </w:tcPr>
          <w:p w14:paraId="5B387E1F">
            <w:pPr>
              <w:adjustRightInd w:val="0"/>
              <w:snapToGrid w:val="0"/>
              <w:spacing w:line="240" w:lineRule="exact"/>
              <w:jc w:val="center"/>
              <w:rPr>
                <w:rFonts w:ascii="Times New Roman" w:hAnsi="Times New Roman" w:eastAsia="宋体" w:cs="Times New Roman"/>
              </w:rPr>
            </w:pPr>
            <w:r>
              <w:rPr>
                <w:rFonts w:ascii="Times New Roman" w:hAnsi="Times New Roman" w:eastAsia="宋体" w:cs="Times New Roman"/>
              </w:rPr>
              <w:t>路右</w:t>
            </w:r>
          </w:p>
        </w:tc>
        <w:tc>
          <w:tcPr>
            <w:tcW w:w="209" w:type="pct"/>
            <w:vMerge w:val="restart"/>
            <w:vAlign w:val="center"/>
          </w:tcPr>
          <w:p w14:paraId="3791774C">
            <w:pPr>
              <w:widowControl/>
              <w:adjustRightInd w:val="0"/>
              <w:snapToGrid w:val="0"/>
              <w:spacing w:line="240" w:lineRule="exact"/>
              <w:jc w:val="center"/>
              <w:rPr>
                <w:rFonts w:ascii="Times New Roman" w:hAnsi="Times New Roman" w:eastAsia="宋体" w:cs="Times New Roman"/>
              </w:rPr>
            </w:pPr>
            <w:r>
              <w:rPr>
                <w:rFonts w:hint="eastAsia" w:ascii="Times New Roman" w:hAnsi="Times New Roman" w:eastAsia="宋体" w:cs="Times New Roman"/>
              </w:rPr>
              <w:t>24</w:t>
            </w:r>
          </w:p>
        </w:tc>
        <w:tc>
          <w:tcPr>
            <w:tcW w:w="243" w:type="pct"/>
            <w:vMerge w:val="restart"/>
            <w:vAlign w:val="center"/>
          </w:tcPr>
          <w:p w14:paraId="3B21A3E7">
            <w:pPr>
              <w:adjustRightInd w:val="0"/>
              <w:snapToGrid w:val="0"/>
              <w:spacing w:line="240" w:lineRule="exact"/>
              <w:jc w:val="center"/>
              <w:rPr>
                <w:rFonts w:ascii="Times New Roman" w:hAnsi="Times New Roman" w:eastAsia="宋体" w:cs="Times New Roman"/>
              </w:rPr>
            </w:pPr>
            <w:r>
              <w:rPr>
                <w:rFonts w:hint="eastAsia" w:ascii="Times New Roman" w:hAnsi="Times New Roman" w:eastAsia="宋体" w:cs="Times New Roman"/>
              </w:rPr>
              <w:t>-/3.1</w:t>
            </w:r>
          </w:p>
        </w:tc>
        <w:tc>
          <w:tcPr>
            <w:tcW w:w="243" w:type="pct"/>
            <w:vMerge w:val="restart"/>
            <w:vAlign w:val="center"/>
          </w:tcPr>
          <w:p w14:paraId="196CAC35">
            <w:pPr>
              <w:adjustRightInd w:val="0"/>
              <w:snapToGrid w:val="0"/>
              <w:spacing w:line="240" w:lineRule="exact"/>
              <w:jc w:val="center"/>
              <w:rPr>
                <w:rFonts w:ascii="Times New Roman" w:hAnsi="Times New Roman" w:eastAsia="宋体" w:cs="Times New Roman"/>
              </w:rPr>
            </w:pPr>
            <w:r>
              <w:rPr>
                <w:rFonts w:hint="eastAsia" w:ascii="Times New Roman" w:hAnsi="Times New Roman" w:eastAsia="宋体" w:cs="Times New Roman"/>
              </w:rPr>
              <w:t>-/3.8</w:t>
            </w:r>
          </w:p>
        </w:tc>
        <w:tc>
          <w:tcPr>
            <w:tcW w:w="190" w:type="pct"/>
            <w:vMerge w:val="restart"/>
            <w:shd w:val="clear" w:color="auto" w:fill="auto"/>
            <w:vAlign w:val="center"/>
          </w:tcPr>
          <w:p w14:paraId="3A3D100B">
            <w:pPr>
              <w:adjustRightInd w:val="0"/>
              <w:snapToGrid w:val="0"/>
              <w:spacing w:line="240" w:lineRule="exact"/>
              <w:jc w:val="center"/>
              <w:rPr>
                <w:rFonts w:ascii="Times New Roman" w:hAnsi="Times New Roman" w:eastAsia="宋体" w:cs="Times New Roman"/>
              </w:rPr>
            </w:pPr>
            <w:r>
              <w:rPr>
                <w:rFonts w:hint="eastAsia" w:ascii="Times New Roman" w:hAnsi="Times New Roman" w:eastAsia="宋体" w:cs="Times New Roman"/>
              </w:rPr>
              <w:t>85</w:t>
            </w:r>
          </w:p>
        </w:tc>
        <w:tc>
          <w:tcPr>
            <w:tcW w:w="190" w:type="pct"/>
            <w:vMerge w:val="restart"/>
            <w:shd w:val="clear" w:color="auto" w:fill="auto"/>
            <w:vAlign w:val="center"/>
          </w:tcPr>
          <w:p w14:paraId="37759345">
            <w:pPr>
              <w:adjustRightInd w:val="0"/>
              <w:snapToGrid w:val="0"/>
              <w:spacing w:line="240" w:lineRule="exact"/>
              <w:jc w:val="center"/>
              <w:rPr>
                <w:rFonts w:ascii="Times New Roman" w:hAnsi="Times New Roman" w:eastAsia="宋体" w:cs="Times New Roman"/>
              </w:rPr>
            </w:pPr>
            <w:r>
              <w:rPr>
                <w:rFonts w:hint="eastAsia" w:ascii="Times New Roman" w:hAnsi="Times New Roman" w:eastAsia="宋体" w:cs="Times New Roman"/>
              </w:rPr>
              <w:t>35</w:t>
            </w:r>
          </w:p>
        </w:tc>
        <w:tc>
          <w:tcPr>
            <w:tcW w:w="2230" w:type="pct"/>
            <w:vMerge w:val="restart"/>
            <w:noWrap/>
            <w:vAlign w:val="center"/>
          </w:tcPr>
          <w:p w14:paraId="13C249F3">
            <w:pPr>
              <w:rPr>
                <w:rFonts w:ascii="Times New Roman" w:hAnsi="Times New Roman" w:eastAsia="宋体" w:cs="Times New Roman"/>
                <w:szCs w:val="21"/>
              </w:rPr>
            </w:pPr>
            <w:r>
              <w:rPr>
                <w:rFonts w:ascii="Times New Roman" w:hAnsi="Times New Roman" w:eastAsia="宋体" w:cs="Times New Roman"/>
                <w:szCs w:val="21"/>
              </w:rPr>
              <w:t>方案一：安装隔声窗，按每户1万元计，共</w:t>
            </w:r>
            <w:r>
              <w:rPr>
                <w:rFonts w:hint="eastAsia" w:ascii="Times New Roman" w:hAnsi="Times New Roman" w:eastAsia="宋体" w:cs="Times New Roman"/>
                <w:szCs w:val="21"/>
              </w:rPr>
              <w:t>120</w:t>
            </w:r>
            <w:r>
              <w:rPr>
                <w:rFonts w:ascii="Times New Roman" w:hAnsi="Times New Roman" w:eastAsia="宋体" w:cs="Times New Roman"/>
                <w:szCs w:val="21"/>
              </w:rPr>
              <w:t>户，投资</w:t>
            </w:r>
            <w:r>
              <w:rPr>
                <w:rFonts w:hint="eastAsia" w:ascii="Times New Roman" w:hAnsi="Times New Roman" w:eastAsia="宋体" w:cs="Times New Roman"/>
                <w:szCs w:val="21"/>
              </w:rPr>
              <w:t>120</w:t>
            </w:r>
            <w:r>
              <w:rPr>
                <w:rFonts w:ascii="Times New Roman" w:hAnsi="Times New Roman" w:eastAsia="宋体" w:cs="Times New Roman"/>
                <w:szCs w:val="21"/>
              </w:rPr>
              <w:t>万元，隔声量25dB。</w:t>
            </w:r>
          </w:p>
          <w:p w14:paraId="3321B42D">
            <w:pPr>
              <w:adjustRightInd w:val="0"/>
              <w:snapToGrid w:val="0"/>
              <w:spacing w:line="240" w:lineRule="exact"/>
              <w:rPr>
                <w:rFonts w:ascii="Times New Roman" w:hAnsi="Times New Roman" w:eastAsia="宋体" w:cs="Times New Roman"/>
                <w:szCs w:val="21"/>
              </w:rPr>
            </w:pPr>
            <w:r>
              <w:rPr>
                <w:rFonts w:ascii="Times New Roman" w:hAnsi="Times New Roman" w:eastAsia="宋体" w:cs="Times New Roman"/>
                <w:szCs w:val="21"/>
              </w:rPr>
              <w:t>方案二：设置声屏障，拟建公路</w:t>
            </w:r>
            <w:r>
              <w:rPr>
                <w:rFonts w:hint="eastAsia" w:ascii="Times New Roman" w:hAnsi="Times New Roman" w:eastAsia="宋体" w:cs="Times New Roman"/>
                <w:szCs w:val="21"/>
              </w:rPr>
              <w:t>右</w:t>
            </w:r>
            <w:r>
              <w:rPr>
                <w:rFonts w:ascii="Times New Roman" w:hAnsi="Times New Roman" w:eastAsia="宋体" w:cs="Times New Roman"/>
                <w:szCs w:val="21"/>
              </w:rPr>
              <w:t>侧</w:t>
            </w:r>
            <w:r>
              <w:rPr>
                <w:rFonts w:ascii="Times New Roman" w:hAnsi="Times New Roman" w:eastAsia="宋体" w:cs="Times New Roman"/>
              </w:rPr>
              <w:t>K</w:t>
            </w:r>
            <w:r>
              <w:rPr>
                <w:rFonts w:hint="eastAsia" w:ascii="Times New Roman" w:hAnsi="Times New Roman" w:eastAsia="宋体" w:cs="Times New Roman"/>
              </w:rPr>
              <w:t>66</w:t>
            </w:r>
            <w:r>
              <w:rPr>
                <w:rFonts w:ascii="Times New Roman" w:hAnsi="Times New Roman" w:eastAsia="宋体" w:cs="Times New Roman"/>
              </w:rPr>
              <w:t>+</w:t>
            </w:r>
            <w:r>
              <w:rPr>
                <w:rFonts w:hint="eastAsia" w:ascii="Times New Roman" w:hAnsi="Times New Roman" w:eastAsia="宋体" w:cs="Times New Roman"/>
              </w:rPr>
              <w:t>05</w:t>
            </w:r>
            <w:r>
              <w:rPr>
                <w:rFonts w:ascii="Times New Roman" w:hAnsi="Times New Roman" w:eastAsia="宋体" w:cs="Times New Roman"/>
              </w:rPr>
              <w:t>0～K</w:t>
            </w:r>
            <w:r>
              <w:rPr>
                <w:rFonts w:hint="eastAsia" w:ascii="Times New Roman" w:hAnsi="Times New Roman" w:eastAsia="宋体" w:cs="Times New Roman"/>
              </w:rPr>
              <w:t>68</w:t>
            </w:r>
            <w:r>
              <w:rPr>
                <w:rFonts w:ascii="Times New Roman" w:hAnsi="Times New Roman" w:eastAsia="宋体" w:cs="Times New Roman"/>
              </w:rPr>
              <w:t>+</w:t>
            </w:r>
            <w:r>
              <w:rPr>
                <w:rFonts w:hint="eastAsia" w:ascii="Times New Roman" w:hAnsi="Times New Roman" w:eastAsia="宋体" w:cs="Times New Roman"/>
              </w:rPr>
              <w:t>65</w:t>
            </w:r>
            <w:r>
              <w:rPr>
                <w:rFonts w:ascii="Times New Roman" w:hAnsi="Times New Roman" w:eastAsia="宋体" w:cs="Times New Roman"/>
              </w:rPr>
              <w:t>0</w:t>
            </w:r>
            <w:r>
              <w:rPr>
                <w:rFonts w:ascii="Times New Roman" w:hAnsi="Times New Roman" w:cs="Times New Roman" w:eastAsiaTheme="minorEastAsia"/>
                <w:szCs w:val="21"/>
              </w:rPr>
              <w:t>（根据《</w:t>
            </w:r>
            <w:r>
              <w:rPr>
                <w:rFonts w:hint="eastAsia" w:ascii="Times New Roman" w:hAnsi="Times New Roman" w:cs="Times New Roman" w:eastAsiaTheme="minorEastAsia"/>
                <w:szCs w:val="21"/>
              </w:rPr>
              <w:t>公路路线设计规范（JTG D20—2017）</w:t>
            </w:r>
            <w:r>
              <w:rPr>
                <w:rFonts w:ascii="Times New Roman" w:hAnsi="Times New Roman" w:cs="Times New Roman" w:eastAsiaTheme="minorEastAsia"/>
                <w:szCs w:val="21"/>
              </w:rPr>
              <w:t>》，考虑行车安全视距，每处平交口两侧共需断开</w:t>
            </w:r>
            <w:r>
              <w:rPr>
                <w:rFonts w:hint="eastAsia" w:ascii="Times New Roman" w:hAnsi="Times New Roman" w:cs="Times New Roman" w:eastAsiaTheme="minorEastAsia"/>
                <w:szCs w:val="21"/>
              </w:rPr>
              <w:t>220m，该路段两侧共5处平交口</w:t>
            </w:r>
            <w:r>
              <w:rPr>
                <w:rFonts w:ascii="Times New Roman" w:hAnsi="Times New Roman" w:cs="Times New Roman" w:eastAsiaTheme="minorEastAsia"/>
                <w:szCs w:val="21"/>
              </w:rPr>
              <w:t>）</w:t>
            </w:r>
            <w:r>
              <w:rPr>
                <w:rFonts w:ascii="Times New Roman" w:hAnsi="Times New Roman" w:eastAsia="宋体" w:cs="Times New Roman"/>
                <w:szCs w:val="21"/>
              </w:rPr>
              <w:t>设置</w:t>
            </w:r>
            <w:r>
              <w:rPr>
                <w:rFonts w:hint="eastAsia" w:ascii="Times New Roman" w:hAnsi="Times New Roman" w:eastAsia="宋体" w:cs="Times New Roman"/>
                <w:szCs w:val="21"/>
              </w:rPr>
              <w:t>1500</w:t>
            </w:r>
            <w:r>
              <w:rPr>
                <w:rFonts w:ascii="Times New Roman" w:hAnsi="Times New Roman" w:eastAsia="宋体" w:cs="Times New Roman"/>
                <w:szCs w:val="21"/>
              </w:rPr>
              <w:t>m（长）×</w:t>
            </w:r>
            <w:r>
              <w:rPr>
                <w:rFonts w:hint="eastAsia" w:ascii="Times New Roman" w:hAnsi="Times New Roman" w:eastAsia="宋体" w:cs="Times New Roman"/>
                <w:szCs w:val="21"/>
              </w:rPr>
              <w:t>3.0</w:t>
            </w:r>
            <w:r>
              <w:rPr>
                <w:rFonts w:ascii="Times New Roman" w:hAnsi="Times New Roman" w:eastAsia="宋体" w:cs="Times New Roman"/>
                <w:szCs w:val="21"/>
              </w:rPr>
              <w:t>m（高）声屏障，</w:t>
            </w:r>
            <w:r>
              <w:rPr>
                <w:rFonts w:hint="eastAsia" w:ascii="Times New Roman" w:hAnsi="Times New Roman" w:eastAsia="宋体" w:cs="Times New Roman"/>
                <w:szCs w:val="21"/>
              </w:rPr>
              <w:t>左</w:t>
            </w:r>
            <w:r>
              <w:rPr>
                <w:rFonts w:ascii="Times New Roman" w:hAnsi="Times New Roman" w:eastAsia="宋体" w:cs="Times New Roman"/>
                <w:szCs w:val="21"/>
              </w:rPr>
              <w:t>侧</w:t>
            </w:r>
            <w:r>
              <w:rPr>
                <w:rFonts w:ascii="Times New Roman" w:hAnsi="Times New Roman" w:eastAsia="宋体" w:cs="Times New Roman"/>
              </w:rPr>
              <w:t>K</w:t>
            </w:r>
            <w:r>
              <w:rPr>
                <w:rFonts w:hint="eastAsia" w:ascii="Times New Roman" w:hAnsi="Times New Roman" w:eastAsia="宋体" w:cs="Times New Roman"/>
              </w:rPr>
              <w:t>67</w:t>
            </w:r>
            <w:r>
              <w:rPr>
                <w:rFonts w:ascii="Times New Roman" w:hAnsi="Times New Roman" w:eastAsia="宋体" w:cs="Times New Roman"/>
              </w:rPr>
              <w:t>+</w:t>
            </w:r>
            <w:r>
              <w:rPr>
                <w:rFonts w:hint="eastAsia" w:ascii="Times New Roman" w:hAnsi="Times New Roman" w:eastAsia="宋体" w:cs="Times New Roman"/>
              </w:rPr>
              <w:t>75</w:t>
            </w:r>
            <w:r>
              <w:rPr>
                <w:rFonts w:ascii="Times New Roman" w:hAnsi="Times New Roman" w:eastAsia="宋体" w:cs="Times New Roman"/>
              </w:rPr>
              <w:t>0～K</w:t>
            </w:r>
            <w:r>
              <w:rPr>
                <w:rFonts w:hint="eastAsia" w:ascii="Times New Roman" w:hAnsi="Times New Roman" w:eastAsia="宋体" w:cs="Times New Roman"/>
              </w:rPr>
              <w:t>68</w:t>
            </w:r>
            <w:r>
              <w:rPr>
                <w:rFonts w:ascii="Times New Roman" w:hAnsi="Times New Roman" w:eastAsia="宋体" w:cs="Times New Roman"/>
              </w:rPr>
              <w:t>+</w:t>
            </w:r>
            <w:r>
              <w:rPr>
                <w:rFonts w:hint="eastAsia" w:ascii="Times New Roman" w:hAnsi="Times New Roman" w:eastAsia="宋体" w:cs="Times New Roman"/>
              </w:rPr>
              <w:t>60</w:t>
            </w:r>
            <w:r>
              <w:rPr>
                <w:rFonts w:ascii="Times New Roman" w:hAnsi="Times New Roman" w:eastAsia="宋体" w:cs="Times New Roman"/>
              </w:rPr>
              <w:t>0</w:t>
            </w:r>
            <w:r>
              <w:rPr>
                <w:rFonts w:ascii="Times New Roman" w:hAnsi="Times New Roman" w:cs="Times New Roman" w:eastAsiaTheme="minorEastAsia"/>
                <w:szCs w:val="21"/>
              </w:rPr>
              <w:t>（根据《</w:t>
            </w:r>
            <w:r>
              <w:rPr>
                <w:rFonts w:hint="eastAsia" w:ascii="Times New Roman" w:hAnsi="Times New Roman" w:cs="Times New Roman" w:eastAsiaTheme="minorEastAsia"/>
                <w:szCs w:val="21"/>
              </w:rPr>
              <w:t>公路路线设计规范（JTG D20—2017）</w:t>
            </w:r>
            <w:r>
              <w:rPr>
                <w:rFonts w:ascii="Times New Roman" w:hAnsi="Times New Roman" w:cs="Times New Roman" w:eastAsiaTheme="minorEastAsia"/>
                <w:szCs w:val="21"/>
              </w:rPr>
              <w:t>》，考虑行车安全视距，每处平交口两侧共需断开</w:t>
            </w:r>
            <w:r>
              <w:rPr>
                <w:rFonts w:hint="eastAsia" w:ascii="Times New Roman" w:hAnsi="Times New Roman" w:cs="Times New Roman" w:eastAsiaTheme="minorEastAsia"/>
                <w:szCs w:val="21"/>
              </w:rPr>
              <w:t>220m，该路段两侧共2处平交口</w:t>
            </w:r>
            <w:r>
              <w:rPr>
                <w:rFonts w:ascii="Times New Roman" w:hAnsi="Times New Roman" w:cs="Times New Roman" w:eastAsiaTheme="minorEastAsia"/>
                <w:szCs w:val="21"/>
              </w:rPr>
              <w:t>）</w:t>
            </w:r>
            <w:r>
              <w:rPr>
                <w:rFonts w:ascii="Times New Roman" w:hAnsi="Times New Roman" w:eastAsia="宋体" w:cs="Times New Roman"/>
                <w:szCs w:val="21"/>
              </w:rPr>
              <w:t>设置</w:t>
            </w:r>
            <w:r>
              <w:rPr>
                <w:rFonts w:hint="eastAsia" w:ascii="Times New Roman" w:hAnsi="Times New Roman" w:eastAsia="宋体" w:cs="Times New Roman"/>
                <w:szCs w:val="21"/>
              </w:rPr>
              <w:t>410</w:t>
            </w:r>
            <w:r>
              <w:rPr>
                <w:rFonts w:ascii="Times New Roman" w:hAnsi="Times New Roman" w:eastAsia="宋体" w:cs="Times New Roman"/>
                <w:szCs w:val="21"/>
              </w:rPr>
              <w:t>m（长）×</w:t>
            </w:r>
            <w:r>
              <w:rPr>
                <w:rFonts w:hint="eastAsia" w:ascii="Times New Roman" w:hAnsi="Times New Roman" w:eastAsia="宋体" w:cs="Times New Roman"/>
                <w:szCs w:val="21"/>
              </w:rPr>
              <w:t>3.0</w:t>
            </w:r>
            <w:r>
              <w:rPr>
                <w:rFonts w:ascii="Times New Roman" w:hAnsi="Times New Roman" w:eastAsia="宋体" w:cs="Times New Roman"/>
                <w:szCs w:val="21"/>
              </w:rPr>
              <w:t>m（高）声屏障，</w:t>
            </w:r>
            <w:r>
              <w:rPr>
                <w:rFonts w:hint="eastAsia" w:ascii="Times New Roman" w:hAnsi="Times New Roman" w:eastAsia="宋体" w:cs="Times New Roman"/>
                <w:szCs w:val="21"/>
              </w:rPr>
              <w:t>2</w:t>
            </w:r>
            <w:r>
              <w:rPr>
                <w:rFonts w:ascii="Times New Roman" w:hAnsi="Times New Roman" w:eastAsia="宋体" w:cs="Times New Roman"/>
                <w:szCs w:val="21"/>
              </w:rPr>
              <w:t>000元/m，共投资</w:t>
            </w:r>
            <w:r>
              <w:rPr>
                <w:rFonts w:hint="eastAsia" w:ascii="Times New Roman" w:hAnsi="Times New Roman" w:eastAsia="宋体" w:cs="Times New Roman"/>
                <w:szCs w:val="21"/>
              </w:rPr>
              <w:t>382</w:t>
            </w:r>
            <w:r>
              <w:rPr>
                <w:rFonts w:ascii="Times New Roman" w:hAnsi="Times New Roman" w:eastAsia="宋体" w:cs="Times New Roman"/>
                <w:szCs w:val="21"/>
              </w:rPr>
              <w:t>万元</w:t>
            </w:r>
            <w:r>
              <w:rPr>
                <w:rFonts w:ascii="Times New Roman" w:hAnsi="Times New Roman" w:eastAsia="宋体" w:cs="Times New Roman"/>
              </w:rPr>
              <w:t>，房屋距路较近，分布较集中，声屏障降噪效果好</w:t>
            </w:r>
            <w:r>
              <w:rPr>
                <w:rFonts w:hint="eastAsia" w:ascii="Times New Roman" w:hAnsi="Times New Roman" w:eastAsia="宋体" w:cs="Times New Roman"/>
                <w:szCs w:val="21"/>
              </w:rPr>
              <w:t>；</w:t>
            </w:r>
            <w:r>
              <w:rPr>
                <w:rFonts w:hint="eastAsia" w:ascii="Times New Roman" w:hAnsi="Times New Roman" w:eastAsia="宋体" w:cs="Times New Roman"/>
              </w:rPr>
              <w:t>同时</w:t>
            </w:r>
            <w:r>
              <w:rPr>
                <w:rFonts w:ascii="Times New Roman" w:hAnsi="Times New Roman" w:eastAsia="宋体" w:cs="Times New Roman"/>
              </w:rPr>
              <w:t>对平交口超标的</w:t>
            </w:r>
            <w:r>
              <w:rPr>
                <w:rFonts w:hint="eastAsia" w:ascii="Times New Roman" w:hAnsi="Times New Roman" w:eastAsia="宋体" w:cs="Times New Roman"/>
              </w:rPr>
              <w:t>55</w:t>
            </w:r>
            <w:r>
              <w:rPr>
                <w:rFonts w:ascii="Times New Roman" w:hAnsi="Times New Roman" w:eastAsia="宋体" w:cs="Times New Roman"/>
              </w:rPr>
              <w:t>户安装隔声窗，隔声量20～25dB，每户投资1万元，共计</w:t>
            </w:r>
            <w:r>
              <w:rPr>
                <w:rFonts w:hint="eastAsia" w:ascii="Times New Roman" w:hAnsi="Times New Roman" w:eastAsia="宋体" w:cs="Times New Roman"/>
              </w:rPr>
              <w:t>40</w:t>
            </w:r>
            <w:r>
              <w:rPr>
                <w:rFonts w:ascii="Times New Roman" w:hAnsi="Times New Roman" w:eastAsia="宋体" w:cs="Times New Roman"/>
              </w:rPr>
              <w:t>万元</w:t>
            </w:r>
            <w:r>
              <w:rPr>
                <w:rFonts w:ascii="Times New Roman" w:hAnsi="Times New Roman" w:eastAsia="宋体" w:cs="Times New Roman"/>
                <w:szCs w:val="21"/>
              </w:rPr>
              <w:t>。拟建公路</w:t>
            </w:r>
            <w:r>
              <w:rPr>
                <w:rFonts w:hint="eastAsia" w:ascii="Times New Roman" w:hAnsi="Times New Roman" w:eastAsia="宋体" w:cs="Times New Roman"/>
                <w:szCs w:val="21"/>
              </w:rPr>
              <w:t>右侧</w:t>
            </w:r>
            <w:r>
              <w:rPr>
                <w:rFonts w:ascii="Times New Roman" w:hAnsi="Times New Roman" w:eastAsia="宋体" w:cs="Times New Roman"/>
              </w:rPr>
              <w:t>K</w:t>
            </w:r>
            <w:r>
              <w:rPr>
                <w:rFonts w:hint="eastAsia" w:ascii="Times New Roman" w:hAnsi="Times New Roman" w:eastAsia="宋体" w:cs="Times New Roman"/>
              </w:rPr>
              <w:t>68</w:t>
            </w:r>
            <w:r>
              <w:rPr>
                <w:rFonts w:ascii="Times New Roman" w:hAnsi="Times New Roman" w:eastAsia="宋体" w:cs="Times New Roman"/>
              </w:rPr>
              <w:t>+</w:t>
            </w:r>
            <w:r>
              <w:rPr>
                <w:rFonts w:hint="eastAsia" w:ascii="Times New Roman" w:hAnsi="Times New Roman" w:eastAsia="宋体" w:cs="Times New Roman"/>
              </w:rPr>
              <w:t>75</w:t>
            </w:r>
            <w:r>
              <w:rPr>
                <w:rFonts w:ascii="Times New Roman" w:hAnsi="Times New Roman" w:eastAsia="宋体" w:cs="Times New Roman"/>
              </w:rPr>
              <w:t>0～K</w:t>
            </w:r>
            <w:r>
              <w:rPr>
                <w:rFonts w:hint="eastAsia" w:ascii="Times New Roman" w:hAnsi="Times New Roman" w:eastAsia="宋体" w:cs="Times New Roman"/>
              </w:rPr>
              <w:t>68</w:t>
            </w:r>
            <w:r>
              <w:rPr>
                <w:rFonts w:ascii="Times New Roman" w:hAnsi="Times New Roman" w:eastAsia="宋体" w:cs="Times New Roman"/>
              </w:rPr>
              <w:t>+</w:t>
            </w:r>
            <w:r>
              <w:rPr>
                <w:rFonts w:hint="eastAsia" w:ascii="Times New Roman" w:hAnsi="Times New Roman" w:eastAsia="宋体" w:cs="Times New Roman"/>
              </w:rPr>
              <w:t>85</w:t>
            </w:r>
            <w:r>
              <w:rPr>
                <w:rFonts w:ascii="Times New Roman" w:hAnsi="Times New Roman" w:eastAsia="宋体" w:cs="Times New Roman"/>
              </w:rPr>
              <w:t>0</w:t>
            </w:r>
            <w:r>
              <w:rPr>
                <w:rFonts w:hint="eastAsia" w:ascii="Times New Roman" w:hAnsi="Times New Roman" w:eastAsia="宋体" w:cs="Times New Roman"/>
                <w:szCs w:val="21"/>
              </w:rPr>
              <w:t>路段</w:t>
            </w:r>
            <w:r>
              <w:rPr>
                <w:rFonts w:ascii="Times New Roman" w:hAnsi="Times New Roman" w:eastAsia="宋体" w:cs="Times New Roman"/>
              </w:rPr>
              <w:t>房屋</w:t>
            </w:r>
            <w:r>
              <w:rPr>
                <w:rFonts w:hint="eastAsia" w:ascii="Times New Roman" w:hAnsi="Times New Roman" w:eastAsia="宋体" w:cs="Times New Roman"/>
              </w:rPr>
              <w:t>集中</w:t>
            </w:r>
            <w:r>
              <w:rPr>
                <w:rFonts w:ascii="Times New Roman" w:hAnsi="Times New Roman" w:eastAsia="宋体" w:cs="Times New Roman"/>
              </w:rPr>
              <w:t>分布于平交口两侧，</w:t>
            </w:r>
            <w:r>
              <w:rPr>
                <w:rFonts w:ascii="Times New Roman" w:hAnsi="Times New Roman" w:cs="Times New Roman" w:eastAsiaTheme="minorEastAsia"/>
                <w:szCs w:val="21"/>
              </w:rPr>
              <w:t>根据《</w:t>
            </w:r>
            <w:r>
              <w:rPr>
                <w:rFonts w:hint="eastAsia" w:ascii="Times New Roman" w:hAnsi="Times New Roman" w:cs="Times New Roman" w:eastAsiaTheme="minorEastAsia"/>
                <w:szCs w:val="21"/>
              </w:rPr>
              <w:t>公路路线设计规范（JTG D20—2017）</w:t>
            </w:r>
            <w:r>
              <w:rPr>
                <w:rFonts w:ascii="Times New Roman" w:hAnsi="Times New Roman" w:cs="Times New Roman" w:eastAsiaTheme="minorEastAsia"/>
                <w:szCs w:val="21"/>
              </w:rPr>
              <w:t>》，考虑行车安全视距，每处平交口两侧共需断开</w:t>
            </w:r>
            <w:r>
              <w:rPr>
                <w:rFonts w:hint="eastAsia" w:ascii="Times New Roman" w:hAnsi="Times New Roman" w:cs="Times New Roman" w:eastAsiaTheme="minorEastAsia"/>
                <w:szCs w:val="21"/>
              </w:rPr>
              <w:t>220m，该路段</w:t>
            </w:r>
            <w:r>
              <w:rPr>
                <w:rFonts w:ascii="Times New Roman" w:hAnsi="Times New Roman" w:eastAsia="宋体" w:cs="Times New Roman"/>
              </w:rPr>
              <w:t>平交口处无法设置声屏障</w:t>
            </w:r>
            <w:r>
              <w:rPr>
                <w:rFonts w:hint="eastAsia" w:ascii="Times New Roman" w:hAnsi="Times New Roman" w:eastAsia="宋体" w:cs="Times New Roman"/>
              </w:rPr>
              <w:t>，需</w:t>
            </w:r>
            <w:r>
              <w:rPr>
                <w:rFonts w:ascii="Times New Roman" w:hAnsi="Times New Roman" w:eastAsia="宋体" w:cs="Times New Roman"/>
              </w:rPr>
              <w:t>对平交口超标的</w:t>
            </w:r>
            <w:r>
              <w:rPr>
                <w:rFonts w:hint="eastAsia" w:ascii="Times New Roman" w:hAnsi="Times New Roman" w:eastAsia="宋体" w:cs="Times New Roman"/>
              </w:rPr>
              <w:t>15</w:t>
            </w:r>
            <w:r>
              <w:rPr>
                <w:rFonts w:ascii="Times New Roman" w:hAnsi="Times New Roman" w:eastAsia="宋体" w:cs="Times New Roman"/>
              </w:rPr>
              <w:t>户安装隔声窗，隔声量20～25dB，每户投资1万元，共计</w:t>
            </w:r>
            <w:r>
              <w:rPr>
                <w:rFonts w:hint="eastAsia" w:ascii="Times New Roman" w:hAnsi="Times New Roman" w:eastAsia="宋体" w:cs="Times New Roman"/>
              </w:rPr>
              <w:t>15</w:t>
            </w:r>
            <w:r>
              <w:rPr>
                <w:rFonts w:ascii="Times New Roman" w:hAnsi="Times New Roman" w:eastAsia="宋体" w:cs="Times New Roman"/>
              </w:rPr>
              <w:t>万元。</w:t>
            </w:r>
          </w:p>
          <w:p w14:paraId="0BED7AA8">
            <w:pPr>
              <w:widowControl/>
              <w:adjustRightInd w:val="0"/>
              <w:snapToGrid w:val="0"/>
              <w:spacing w:line="240" w:lineRule="exact"/>
              <w:rPr>
                <w:rFonts w:ascii="Times New Roman" w:hAnsi="Times New Roman" w:eastAsia="宋体" w:cs="Times New Roman"/>
                <w:szCs w:val="21"/>
              </w:rPr>
            </w:pPr>
            <w:r>
              <w:rPr>
                <w:rFonts w:ascii="Times New Roman" w:hAnsi="Times New Roman" w:eastAsia="宋体" w:cs="Times New Roman"/>
                <w:szCs w:val="21"/>
              </w:rPr>
              <w:t>推荐：综合考虑推荐方案</w:t>
            </w:r>
            <w:r>
              <w:rPr>
                <w:rFonts w:hint="eastAsia" w:ascii="Times New Roman" w:hAnsi="Times New Roman" w:eastAsia="宋体" w:cs="Times New Roman"/>
                <w:szCs w:val="21"/>
              </w:rPr>
              <w:t>二</w:t>
            </w:r>
            <w:r>
              <w:rPr>
                <w:rFonts w:ascii="Times New Roman" w:hAnsi="Times New Roman" w:eastAsia="宋体" w:cs="Times New Roman"/>
                <w:szCs w:val="21"/>
              </w:rPr>
              <w:t>。</w:t>
            </w:r>
          </w:p>
        </w:tc>
        <w:tc>
          <w:tcPr>
            <w:tcW w:w="242" w:type="pct"/>
            <w:vMerge w:val="restart"/>
            <w:vAlign w:val="center"/>
          </w:tcPr>
          <w:p w14:paraId="6666903C">
            <w:pPr>
              <w:widowControl/>
              <w:jc w:val="center"/>
              <w:rPr>
                <w:rFonts w:ascii="Times New Roman" w:hAnsi="Times New Roman" w:eastAsia="宋体" w:cs="Times New Roman"/>
                <w:kern w:val="0"/>
              </w:rPr>
            </w:pPr>
            <w:r>
              <w:rPr>
                <w:rFonts w:ascii="Times New Roman" w:hAnsi="Times New Roman" w:eastAsia="宋体" w:cs="Times New Roman"/>
                <w:kern w:val="0"/>
              </w:rPr>
              <w:t>声屏障+隔声窗</w:t>
            </w:r>
          </w:p>
        </w:tc>
        <w:tc>
          <w:tcPr>
            <w:tcW w:w="260" w:type="pct"/>
            <w:vMerge w:val="restart"/>
            <w:vAlign w:val="center"/>
          </w:tcPr>
          <w:p w14:paraId="3AAFB615">
            <w:pPr>
              <w:widowControl/>
              <w:jc w:val="center"/>
              <w:rPr>
                <w:rFonts w:ascii="Times New Roman" w:hAnsi="Times New Roman" w:eastAsia="宋体" w:cs="Times New Roman"/>
                <w:kern w:val="0"/>
              </w:rPr>
            </w:pPr>
            <w:r>
              <w:rPr>
                <w:rFonts w:ascii="Times New Roman" w:hAnsi="Times New Roman" w:eastAsia="宋体" w:cs="Times New Roman"/>
                <w:kern w:val="0"/>
              </w:rPr>
              <w:t>室外达标+平交路口房屋室内达标</w:t>
            </w:r>
          </w:p>
        </w:tc>
        <w:tc>
          <w:tcPr>
            <w:tcW w:w="251" w:type="pct"/>
            <w:vMerge w:val="restart"/>
            <w:vAlign w:val="center"/>
          </w:tcPr>
          <w:p w14:paraId="49F89D1B">
            <w:pPr>
              <w:widowControl/>
              <w:adjustRightInd w:val="0"/>
              <w:snapToGrid w:val="0"/>
              <w:spacing w:line="240" w:lineRule="exact"/>
              <w:jc w:val="center"/>
              <w:rPr>
                <w:rFonts w:ascii="Times New Roman" w:hAnsi="宋体" w:eastAsia="宋体" w:cs="Times New Roman"/>
                <w:szCs w:val="21"/>
              </w:rPr>
            </w:pPr>
            <w:r>
              <w:rPr>
                <w:rFonts w:hint="eastAsia" w:ascii="Times New Roman" w:hAnsi="宋体" w:eastAsia="宋体" w:cs="Times New Roman"/>
                <w:szCs w:val="21"/>
              </w:rPr>
              <w:t>437</w:t>
            </w:r>
          </w:p>
        </w:tc>
      </w:tr>
      <w:tr w14:paraId="1426BE44">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trHeight w:val="100" w:hRule="atLeast"/>
          <w:tblHeader/>
          <w:jc w:val="center"/>
        </w:trPr>
        <w:tc>
          <w:tcPr>
            <w:tcW w:w="180" w:type="pct"/>
            <w:vMerge w:val="continue"/>
            <w:noWrap/>
            <w:vAlign w:val="center"/>
          </w:tcPr>
          <w:p w14:paraId="478EA627">
            <w:pPr>
              <w:adjustRightInd w:val="0"/>
              <w:snapToGrid w:val="0"/>
              <w:spacing w:line="240" w:lineRule="exact"/>
              <w:jc w:val="center"/>
              <w:rPr>
                <w:rFonts w:ascii="Times New Roman" w:hAnsi="Times New Roman" w:eastAsia="宋体" w:cs="Times New Roman"/>
              </w:rPr>
            </w:pPr>
          </w:p>
        </w:tc>
        <w:tc>
          <w:tcPr>
            <w:tcW w:w="278" w:type="pct"/>
            <w:vAlign w:val="center"/>
          </w:tcPr>
          <w:p w14:paraId="3421B0AC">
            <w:pPr>
              <w:adjustRightInd w:val="0"/>
              <w:snapToGrid w:val="0"/>
              <w:spacing w:line="240" w:lineRule="exact"/>
              <w:jc w:val="center"/>
              <w:rPr>
                <w:rFonts w:ascii="Times New Roman" w:hAnsi="Times New Roman" w:eastAsia="宋体" w:cs="Times New Roman"/>
              </w:rPr>
            </w:pPr>
            <w:r>
              <w:rPr>
                <w:rFonts w:ascii="Times New Roman" w:hAnsi="Times New Roman" w:eastAsia="宋体" w:cs="Times New Roman"/>
              </w:rPr>
              <w:t>K</w:t>
            </w:r>
            <w:r>
              <w:rPr>
                <w:rFonts w:hint="eastAsia" w:ascii="Times New Roman" w:hAnsi="Times New Roman" w:eastAsia="宋体" w:cs="Times New Roman"/>
              </w:rPr>
              <w:t>68</w:t>
            </w:r>
            <w:r>
              <w:rPr>
                <w:rFonts w:ascii="Times New Roman" w:hAnsi="Times New Roman" w:eastAsia="宋体" w:cs="Times New Roman"/>
              </w:rPr>
              <w:t>+</w:t>
            </w:r>
            <w:r>
              <w:rPr>
                <w:rFonts w:hint="eastAsia" w:ascii="Times New Roman" w:hAnsi="Times New Roman" w:eastAsia="宋体" w:cs="Times New Roman"/>
              </w:rPr>
              <w:t>75</w:t>
            </w:r>
            <w:r>
              <w:rPr>
                <w:rFonts w:ascii="Times New Roman" w:hAnsi="Times New Roman" w:eastAsia="宋体" w:cs="Times New Roman"/>
              </w:rPr>
              <w:t>0～K</w:t>
            </w:r>
            <w:r>
              <w:rPr>
                <w:rFonts w:hint="eastAsia" w:ascii="Times New Roman" w:hAnsi="Times New Roman" w:eastAsia="宋体" w:cs="Times New Roman"/>
              </w:rPr>
              <w:t>68</w:t>
            </w:r>
            <w:r>
              <w:rPr>
                <w:rFonts w:ascii="Times New Roman" w:hAnsi="Times New Roman" w:eastAsia="宋体" w:cs="Times New Roman"/>
              </w:rPr>
              <w:t>+</w:t>
            </w:r>
            <w:r>
              <w:rPr>
                <w:rFonts w:hint="eastAsia" w:ascii="Times New Roman" w:hAnsi="Times New Roman" w:eastAsia="宋体" w:cs="Times New Roman"/>
              </w:rPr>
              <w:t>85</w:t>
            </w:r>
            <w:r>
              <w:rPr>
                <w:rFonts w:ascii="Times New Roman" w:hAnsi="Times New Roman" w:eastAsia="宋体" w:cs="Times New Roman"/>
              </w:rPr>
              <w:t>0</w:t>
            </w:r>
          </w:p>
        </w:tc>
        <w:tc>
          <w:tcPr>
            <w:tcW w:w="346" w:type="pct"/>
            <w:vMerge w:val="continue"/>
            <w:vAlign w:val="center"/>
          </w:tcPr>
          <w:p w14:paraId="5B4A026A">
            <w:pPr>
              <w:widowControl/>
              <w:adjustRightInd w:val="0"/>
              <w:snapToGrid w:val="0"/>
              <w:spacing w:line="240" w:lineRule="exact"/>
              <w:jc w:val="center"/>
              <w:rPr>
                <w:rFonts w:ascii="Times New Roman" w:hAnsi="Times New Roman" w:eastAsia="宋体" w:cs="Times New Roman"/>
              </w:rPr>
            </w:pPr>
          </w:p>
        </w:tc>
        <w:tc>
          <w:tcPr>
            <w:tcW w:w="138" w:type="pct"/>
            <w:vMerge w:val="continue"/>
            <w:vAlign w:val="center"/>
          </w:tcPr>
          <w:p w14:paraId="0F3BAA09">
            <w:pPr>
              <w:widowControl/>
              <w:adjustRightInd w:val="0"/>
              <w:snapToGrid w:val="0"/>
              <w:spacing w:line="240" w:lineRule="exact"/>
              <w:jc w:val="center"/>
              <w:rPr>
                <w:rFonts w:ascii="Times New Roman" w:hAnsi="Times New Roman" w:eastAsia="宋体" w:cs="Times New Roman"/>
              </w:rPr>
            </w:pPr>
          </w:p>
        </w:tc>
        <w:tc>
          <w:tcPr>
            <w:tcW w:w="209" w:type="pct"/>
            <w:vMerge w:val="continue"/>
            <w:vAlign w:val="center"/>
          </w:tcPr>
          <w:p w14:paraId="53BBC232">
            <w:pPr>
              <w:widowControl/>
              <w:adjustRightInd w:val="0"/>
              <w:snapToGrid w:val="0"/>
              <w:spacing w:line="240" w:lineRule="exact"/>
              <w:jc w:val="center"/>
              <w:rPr>
                <w:rFonts w:ascii="Times New Roman" w:hAnsi="Times New Roman" w:eastAsia="宋体" w:cs="Times New Roman"/>
              </w:rPr>
            </w:pPr>
          </w:p>
        </w:tc>
        <w:tc>
          <w:tcPr>
            <w:tcW w:w="243" w:type="pct"/>
            <w:vMerge w:val="continue"/>
            <w:vAlign w:val="center"/>
          </w:tcPr>
          <w:p w14:paraId="3767C208">
            <w:pPr>
              <w:adjustRightInd w:val="0"/>
              <w:snapToGrid w:val="0"/>
              <w:spacing w:line="240" w:lineRule="exact"/>
              <w:jc w:val="center"/>
              <w:rPr>
                <w:rFonts w:ascii="Times New Roman" w:hAnsi="Times New Roman" w:eastAsia="宋体" w:cs="Times New Roman"/>
              </w:rPr>
            </w:pPr>
          </w:p>
        </w:tc>
        <w:tc>
          <w:tcPr>
            <w:tcW w:w="243" w:type="pct"/>
            <w:vMerge w:val="continue"/>
            <w:vAlign w:val="center"/>
          </w:tcPr>
          <w:p w14:paraId="55320ECF">
            <w:pPr>
              <w:adjustRightInd w:val="0"/>
              <w:snapToGrid w:val="0"/>
              <w:spacing w:line="240" w:lineRule="exact"/>
              <w:jc w:val="center"/>
              <w:rPr>
                <w:rFonts w:ascii="Times New Roman" w:hAnsi="Times New Roman" w:eastAsia="宋体" w:cs="Times New Roman"/>
              </w:rPr>
            </w:pPr>
          </w:p>
        </w:tc>
        <w:tc>
          <w:tcPr>
            <w:tcW w:w="190" w:type="pct"/>
            <w:vMerge w:val="continue"/>
            <w:shd w:val="clear" w:color="auto" w:fill="auto"/>
            <w:vAlign w:val="center"/>
          </w:tcPr>
          <w:p w14:paraId="36B95F62">
            <w:pPr>
              <w:adjustRightInd w:val="0"/>
              <w:snapToGrid w:val="0"/>
              <w:spacing w:line="240" w:lineRule="exact"/>
              <w:jc w:val="center"/>
              <w:rPr>
                <w:rFonts w:ascii="Times New Roman" w:hAnsi="Times New Roman" w:eastAsia="宋体" w:cs="Times New Roman"/>
              </w:rPr>
            </w:pPr>
          </w:p>
        </w:tc>
        <w:tc>
          <w:tcPr>
            <w:tcW w:w="190" w:type="pct"/>
            <w:vMerge w:val="continue"/>
            <w:shd w:val="clear" w:color="auto" w:fill="auto"/>
            <w:vAlign w:val="center"/>
          </w:tcPr>
          <w:p w14:paraId="7AA6360B">
            <w:pPr>
              <w:adjustRightInd w:val="0"/>
              <w:snapToGrid w:val="0"/>
              <w:spacing w:line="240" w:lineRule="exact"/>
              <w:jc w:val="center"/>
              <w:rPr>
                <w:rFonts w:ascii="Times New Roman" w:hAnsi="Times New Roman" w:eastAsia="宋体" w:cs="Times New Roman"/>
              </w:rPr>
            </w:pPr>
          </w:p>
        </w:tc>
        <w:tc>
          <w:tcPr>
            <w:tcW w:w="2230" w:type="pct"/>
            <w:vMerge w:val="continue"/>
            <w:noWrap/>
            <w:vAlign w:val="center"/>
          </w:tcPr>
          <w:p w14:paraId="211D0C27">
            <w:pPr>
              <w:rPr>
                <w:rFonts w:ascii="Times New Roman" w:hAnsi="Times New Roman" w:eastAsia="宋体" w:cs="Times New Roman"/>
                <w:szCs w:val="21"/>
              </w:rPr>
            </w:pPr>
          </w:p>
        </w:tc>
        <w:tc>
          <w:tcPr>
            <w:tcW w:w="242" w:type="pct"/>
            <w:vMerge w:val="continue"/>
            <w:vAlign w:val="center"/>
          </w:tcPr>
          <w:p w14:paraId="31718D2E">
            <w:pPr>
              <w:jc w:val="center"/>
              <w:rPr>
                <w:rFonts w:ascii="Times New Roman" w:hAnsi="Times New Roman" w:eastAsia="宋体" w:cs="Times New Roman"/>
                <w:szCs w:val="21"/>
              </w:rPr>
            </w:pPr>
          </w:p>
        </w:tc>
        <w:tc>
          <w:tcPr>
            <w:tcW w:w="260" w:type="pct"/>
            <w:vMerge w:val="continue"/>
            <w:vAlign w:val="center"/>
          </w:tcPr>
          <w:p w14:paraId="64C67256">
            <w:pPr>
              <w:jc w:val="center"/>
              <w:rPr>
                <w:rFonts w:ascii="Times New Roman" w:hAnsi="Times New Roman" w:eastAsia="宋体" w:cs="Times New Roman"/>
                <w:szCs w:val="21"/>
              </w:rPr>
            </w:pPr>
          </w:p>
        </w:tc>
        <w:tc>
          <w:tcPr>
            <w:tcW w:w="251" w:type="pct"/>
            <w:vMerge w:val="continue"/>
            <w:vAlign w:val="center"/>
          </w:tcPr>
          <w:p w14:paraId="5E362538">
            <w:pPr>
              <w:widowControl/>
              <w:adjustRightInd w:val="0"/>
              <w:snapToGrid w:val="0"/>
              <w:spacing w:line="240" w:lineRule="exact"/>
              <w:jc w:val="center"/>
              <w:rPr>
                <w:rFonts w:ascii="Times New Roman" w:hAnsi="Times New Roman" w:eastAsia="宋体" w:cs="Times New Roman"/>
                <w:szCs w:val="21"/>
              </w:rPr>
            </w:pPr>
          </w:p>
        </w:tc>
      </w:tr>
      <w:tr w14:paraId="51678B8E">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trHeight w:val="100" w:hRule="atLeast"/>
          <w:tblHeader/>
          <w:jc w:val="center"/>
        </w:trPr>
        <w:tc>
          <w:tcPr>
            <w:tcW w:w="180" w:type="pct"/>
            <w:vMerge w:val="continue"/>
            <w:noWrap/>
            <w:vAlign w:val="center"/>
          </w:tcPr>
          <w:p w14:paraId="472415BC">
            <w:pPr>
              <w:adjustRightInd w:val="0"/>
              <w:snapToGrid w:val="0"/>
              <w:spacing w:line="240" w:lineRule="exact"/>
              <w:jc w:val="center"/>
              <w:rPr>
                <w:rFonts w:ascii="Times New Roman" w:hAnsi="Times New Roman" w:eastAsia="宋体" w:cs="Times New Roman"/>
              </w:rPr>
            </w:pPr>
          </w:p>
        </w:tc>
        <w:tc>
          <w:tcPr>
            <w:tcW w:w="278" w:type="pct"/>
            <w:vAlign w:val="center"/>
          </w:tcPr>
          <w:p w14:paraId="621AD5D0">
            <w:pPr>
              <w:adjustRightInd w:val="0"/>
              <w:snapToGrid w:val="0"/>
              <w:spacing w:line="240" w:lineRule="exact"/>
              <w:jc w:val="center"/>
              <w:rPr>
                <w:rFonts w:ascii="Times New Roman" w:hAnsi="Times New Roman" w:eastAsia="宋体" w:cs="Times New Roman"/>
              </w:rPr>
            </w:pPr>
            <w:r>
              <w:rPr>
                <w:rFonts w:ascii="Times New Roman" w:hAnsi="Times New Roman" w:eastAsia="宋体" w:cs="Times New Roman"/>
              </w:rPr>
              <w:t>K</w:t>
            </w:r>
            <w:r>
              <w:rPr>
                <w:rFonts w:hint="eastAsia" w:ascii="Times New Roman" w:hAnsi="Times New Roman" w:eastAsia="宋体" w:cs="Times New Roman"/>
              </w:rPr>
              <w:t>67</w:t>
            </w:r>
            <w:r>
              <w:rPr>
                <w:rFonts w:ascii="Times New Roman" w:hAnsi="Times New Roman" w:eastAsia="宋体" w:cs="Times New Roman"/>
              </w:rPr>
              <w:t>+</w:t>
            </w:r>
            <w:r>
              <w:rPr>
                <w:rFonts w:hint="eastAsia" w:ascii="Times New Roman" w:hAnsi="Times New Roman" w:eastAsia="宋体" w:cs="Times New Roman"/>
              </w:rPr>
              <w:t>8</w:t>
            </w:r>
            <w:r>
              <w:rPr>
                <w:rFonts w:ascii="Times New Roman" w:hAnsi="Times New Roman" w:eastAsia="宋体" w:cs="Times New Roman"/>
              </w:rPr>
              <w:t>00～K</w:t>
            </w:r>
            <w:r>
              <w:rPr>
                <w:rFonts w:hint="eastAsia" w:ascii="Times New Roman" w:hAnsi="Times New Roman" w:eastAsia="宋体" w:cs="Times New Roman"/>
              </w:rPr>
              <w:t>68</w:t>
            </w:r>
            <w:r>
              <w:rPr>
                <w:rFonts w:ascii="Times New Roman" w:hAnsi="Times New Roman" w:eastAsia="宋体" w:cs="Times New Roman"/>
              </w:rPr>
              <w:t>+</w:t>
            </w:r>
            <w:r>
              <w:rPr>
                <w:rFonts w:hint="eastAsia" w:ascii="Times New Roman" w:hAnsi="Times New Roman" w:eastAsia="宋体" w:cs="Times New Roman"/>
              </w:rPr>
              <w:t>55</w:t>
            </w:r>
            <w:r>
              <w:rPr>
                <w:rFonts w:ascii="Times New Roman" w:hAnsi="Times New Roman" w:eastAsia="宋体" w:cs="Times New Roman"/>
              </w:rPr>
              <w:t>0</w:t>
            </w:r>
          </w:p>
        </w:tc>
        <w:tc>
          <w:tcPr>
            <w:tcW w:w="346" w:type="pct"/>
            <w:vMerge w:val="continue"/>
            <w:vAlign w:val="center"/>
          </w:tcPr>
          <w:p w14:paraId="1B86F218">
            <w:pPr>
              <w:widowControl/>
              <w:adjustRightInd w:val="0"/>
              <w:snapToGrid w:val="0"/>
              <w:spacing w:line="240" w:lineRule="exact"/>
              <w:jc w:val="center"/>
              <w:rPr>
                <w:rFonts w:ascii="Times New Roman" w:hAnsi="Times New Roman" w:eastAsia="宋体" w:cs="Times New Roman"/>
              </w:rPr>
            </w:pPr>
          </w:p>
        </w:tc>
        <w:tc>
          <w:tcPr>
            <w:tcW w:w="138" w:type="pct"/>
            <w:vAlign w:val="center"/>
          </w:tcPr>
          <w:p w14:paraId="7C55EF00">
            <w:pPr>
              <w:widowControl/>
              <w:adjustRightInd w:val="0"/>
              <w:snapToGrid w:val="0"/>
              <w:spacing w:line="240" w:lineRule="exact"/>
              <w:jc w:val="center"/>
              <w:rPr>
                <w:rFonts w:ascii="Times New Roman" w:hAnsi="Times New Roman" w:eastAsia="宋体" w:cs="Times New Roman"/>
              </w:rPr>
            </w:pPr>
            <w:r>
              <w:rPr>
                <w:rFonts w:ascii="Times New Roman" w:hAnsi="Times New Roman" w:eastAsia="宋体" w:cs="Times New Roman"/>
              </w:rPr>
              <w:t>路左</w:t>
            </w:r>
          </w:p>
        </w:tc>
        <w:tc>
          <w:tcPr>
            <w:tcW w:w="209" w:type="pct"/>
            <w:vMerge w:val="continue"/>
            <w:vAlign w:val="center"/>
          </w:tcPr>
          <w:p w14:paraId="7C9385FC">
            <w:pPr>
              <w:widowControl/>
              <w:adjustRightInd w:val="0"/>
              <w:snapToGrid w:val="0"/>
              <w:spacing w:line="240" w:lineRule="exact"/>
              <w:jc w:val="center"/>
              <w:rPr>
                <w:rFonts w:ascii="Times New Roman" w:hAnsi="Times New Roman" w:eastAsia="宋体" w:cs="Times New Roman"/>
              </w:rPr>
            </w:pPr>
          </w:p>
        </w:tc>
        <w:tc>
          <w:tcPr>
            <w:tcW w:w="243" w:type="pct"/>
            <w:vMerge w:val="continue"/>
            <w:vAlign w:val="center"/>
          </w:tcPr>
          <w:p w14:paraId="7C482AAC">
            <w:pPr>
              <w:adjustRightInd w:val="0"/>
              <w:snapToGrid w:val="0"/>
              <w:spacing w:line="240" w:lineRule="exact"/>
              <w:jc w:val="center"/>
              <w:rPr>
                <w:rFonts w:ascii="Times New Roman" w:hAnsi="Times New Roman" w:eastAsia="宋体" w:cs="Times New Roman"/>
              </w:rPr>
            </w:pPr>
          </w:p>
        </w:tc>
        <w:tc>
          <w:tcPr>
            <w:tcW w:w="243" w:type="pct"/>
            <w:vMerge w:val="continue"/>
            <w:vAlign w:val="center"/>
          </w:tcPr>
          <w:p w14:paraId="37967A55">
            <w:pPr>
              <w:adjustRightInd w:val="0"/>
              <w:snapToGrid w:val="0"/>
              <w:spacing w:line="240" w:lineRule="exact"/>
              <w:jc w:val="center"/>
              <w:rPr>
                <w:rFonts w:ascii="Times New Roman" w:hAnsi="Times New Roman" w:eastAsia="宋体" w:cs="Times New Roman"/>
              </w:rPr>
            </w:pPr>
          </w:p>
        </w:tc>
        <w:tc>
          <w:tcPr>
            <w:tcW w:w="190" w:type="pct"/>
            <w:vMerge w:val="continue"/>
            <w:shd w:val="clear" w:color="auto" w:fill="auto"/>
            <w:vAlign w:val="center"/>
          </w:tcPr>
          <w:p w14:paraId="1602FAE7">
            <w:pPr>
              <w:adjustRightInd w:val="0"/>
              <w:snapToGrid w:val="0"/>
              <w:spacing w:line="240" w:lineRule="exact"/>
              <w:jc w:val="center"/>
              <w:rPr>
                <w:rFonts w:ascii="Times New Roman" w:hAnsi="Times New Roman" w:eastAsia="宋体" w:cs="Times New Roman"/>
              </w:rPr>
            </w:pPr>
          </w:p>
        </w:tc>
        <w:tc>
          <w:tcPr>
            <w:tcW w:w="190" w:type="pct"/>
            <w:vMerge w:val="continue"/>
            <w:shd w:val="clear" w:color="auto" w:fill="auto"/>
            <w:vAlign w:val="center"/>
          </w:tcPr>
          <w:p w14:paraId="365D61A1">
            <w:pPr>
              <w:adjustRightInd w:val="0"/>
              <w:snapToGrid w:val="0"/>
              <w:spacing w:line="240" w:lineRule="exact"/>
              <w:jc w:val="center"/>
              <w:rPr>
                <w:rFonts w:ascii="Times New Roman" w:hAnsi="Times New Roman" w:eastAsia="宋体" w:cs="Times New Roman"/>
              </w:rPr>
            </w:pPr>
          </w:p>
        </w:tc>
        <w:tc>
          <w:tcPr>
            <w:tcW w:w="2230" w:type="pct"/>
            <w:vMerge w:val="continue"/>
            <w:noWrap/>
            <w:vAlign w:val="center"/>
          </w:tcPr>
          <w:p w14:paraId="0921492E">
            <w:pPr>
              <w:rPr>
                <w:rFonts w:ascii="Times New Roman" w:hAnsi="Times New Roman" w:eastAsia="宋体" w:cs="Times New Roman"/>
                <w:szCs w:val="21"/>
              </w:rPr>
            </w:pPr>
          </w:p>
        </w:tc>
        <w:tc>
          <w:tcPr>
            <w:tcW w:w="242" w:type="pct"/>
            <w:vMerge w:val="continue"/>
            <w:vAlign w:val="center"/>
          </w:tcPr>
          <w:p w14:paraId="02E6EAAE">
            <w:pPr>
              <w:jc w:val="center"/>
              <w:rPr>
                <w:rFonts w:ascii="Times New Roman" w:hAnsi="Times New Roman" w:eastAsia="宋体" w:cs="Times New Roman"/>
                <w:szCs w:val="21"/>
              </w:rPr>
            </w:pPr>
          </w:p>
        </w:tc>
        <w:tc>
          <w:tcPr>
            <w:tcW w:w="260" w:type="pct"/>
            <w:vMerge w:val="continue"/>
            <w:vAlign w:val="center"/>
          </w:tcPr>
          <w:p w14:paraId="2DF16BFC">
            <w:pPr>
              <w:jc w:val="center"/>
              <w:rPr>
                <w:rFonts w:ascii="Times New Roman" w:hAnsi="Times New Roman" w:eastAsia="宋体" w:cs="Times New Roman"/>
                <w:szCs w:val="21"/>
              </w:rPr>
            </w:pPr>
          </w:p>
        </w:tc>
        <w:tc>
          <w:tcPr>
            <w:tcW w:w="251" w:type="pct"/>
            <w:vMerge w:val="continue"/>
            <w:vAlign w:val="center"/>
          </w:tcPr>
          <w:p w14:paraId="0AF7AD7E">
            <w:pPr>
              <w:widowControl/>
              <w:adjustRightInd w:val="0"/>
              <w:snapToGrid w:val="0"/>
              <w:spacing w:line="240" w:lineRule="exact"/>
              <w:jc w:val="center"/>
              <w:rPr>
                <w:rFonts w:ascii="Times New Roman" w:hAnsi="Times New Roman" w:eastAsia="宋体" w:cs="Times New Roman"/>
                <w:szCs w:val="21"/>
              </w:rPr>
            </w:pPr>
          </w:p>
        </w:tc>
      </w:tr>
      <w:tr w14:paraId="7F956D15">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trHeight w:val="80" w:hRule="atLeast"/>
          <w:tblHeader/>
          <w:jc w:val="center"/>
        </w:trPr>
        <w:tc>
          <w:tcPr>
            <w:tcW w:w="180" w:type="pct"/>
            <w:noWrap/>
            <w:vAlign w:val="center"/>
          </w:tcPr>
          <w:p w14:paraId="2979F8D9">
            <w:pPr>
              <w:adjustRightInd w:val="0"/>
              <w:snapToGrid w:val="0"/>
              <w:spacing w:line="240" w:lineRule="exact"/>
              <w:jc w:val="center"/>
              <w:rPr>
                <w:rFonts w:ascii="Times New Roman" w:hAnsi="Times New Roman" w:eastAsia="宋体" w:cs="Times New Roman"/>
                <w:b/>
                <w:color w:val="FF0000"/>
              </w:rPr>
            </w:pPr>
            <w:r>
              <w:rPr>
                <w:rFonts w:hint="eastAsia" w:ascii="Times New Roman" w:hAnsi="Times New Roman" w:eastAsia="宋体" w:cs="Times New Roman"/>
                <w:b/>
                <w:color w:val="FF0000"/>
              </w:rPr>
              <w:t>合计</w:t>
            </w:r>
          </w:p>
        </w:tc>
        <w:tc>
          <w:tcPr>
            <w:tcW w:w="278" w:type="pct"/>
            <w:vAlign w:val="center"/>
          </w:tcPr>
          <w:p w14:paraId="2130AC10">
            <w:pPr>
              <w:widowControl/>
              <w:adjustRightInd w:val="0"/>
              <w:snapToGrid w:val="0"/>
              <w:spacing w:line="240" w:lineRule="exact"/>
              <w:jc w:val="center"/>
              <w:rPr>
                <w:rFonts w:ascii="Times New Roman" w:hAnsi="Times New Roman" w:eastAsia="宋体" w:cs="Times New Roman"/>
                <w:color w:val="FF0000"/>
              </w:rPr>
            </w:pPr>
          </w:p>
        </w:tc>
        <w:tc>
          <w:tcPr>
            <w:tcW w:w="346" w:type="pct"/>
            <w:vAlign w:val="center"/>
          </w:tcPr>
          <w:p w14:paraId="4DC15D9B">
            <w:pPr>
              <w:widowControl/>
              <w:adjustRightInd w:val="0"/>
              <w:snapToGrid w:val="0"/>
              <w:spacing w:line="240" w:lineRule="exact"/>
              <w:jc w:val="center"/>
              <w:rPr>
                <w:rFonts w:ascii="Times New Roman" w:hAnsi="Times New Roman" w:eastAsia="宋体" w:cs="Times New Roman"/>
                <w:color w:val="FF0000"/>
              </w:rPr>
            </w:pPr>
          </w:p>
        </w:tc>
        <w:tc>
          <w:tcPr>
            <w:tcW w:w="138" w:type="pct"/>
            <w:vAlign w:val="center"/>
          </w:tcPr>
          <w:p w14:paraId="47AECD90">
            <w:pPr>
              <w:widowControl/>
              <w:adjustRightInd w:val="0"/>
              <w:snapToGrid w:val="0"/>
              <w:spacing w:line="240" w:lineRule="exact"/>
              <w:jc w:val="center"/>
              <w:rPr>
                <w:rFonts w:ascii="Times New Roman" w:hAnsi="Times New Roman" w:eastAsia="宋体" w:cs="Times New Roman"/>
                <w:color w:val="FF0000"/>
              </w:rPr>
            </w:pPr>
          </w:p>
        </w:tc>
        <w:tc>
          <w:tcPr>
            <w:tcW w:w="209" w:type="pct"/>
            <w:vAlign w:val="center"/>
          </w:tcPr>
          <w:p w14:paraId="61D62A5B">
            <w:pPr>
              <w:widowControl/>
              <w:adjustRightInd w:val="0"/>
              <w:snapToGrid w:val="0"/>
              <w:spacing w:line="240" w:lineRule="exact"/>
              <w:jc w:val="center"/>
              <w:rPr>
                <w:rFonts w:ascii="Times New Roman" w:hAnsi="Times New Roman" w:eastAsia="宋体" w:cs="Times New Roman"/>
                <w:color w:val="FF0000"/>
              </w:rPr>
            </w:pPr>
          </w:p>
        </w:tc>
        <w:tc>
          <w:tcPr>
            <w:tcW w:w="243" w:type="pct"/>
            <w:vAlign w:val="center"/>
          </w:tcPr>
          <w:p w14:paraId="54E7A664">
            <w:pPr>
              <w:adjustRightInd w:val="0"/>
              <w:snapToGrid w:val="0"/>
              <w:spacing w:line="240" w:lineRule="exact"/>
              <w:jc w:val="center"/>
              <w:rPr>
                <w:rFonts w:ascii="Times New Roman" w:hAnsi="Times New Roman" w:eastAsia="宋体" w:cs="Times New Roman"/>
                <w:color w:val="FF0000"/>
              </w:rPr>
            </w:pPr>
          </w:p>
        </w:tc>
        <w:tc>
          <w:tcPr>
            <w:tcW w:w="243" w:type="pct"/>
            <w:vAlign w:val="center"/>
          </w:tcPr>
          <w:p w14:paraId="07EE70BF">
            <w:pPr>
              <w:adjustRightInd w:val="0"/>
              <w:snapToGrid w:val="0"/>
              <w:spacing w:line="240" w:lineRule="exact"/>
              <w:jc w:val="center"/>
              <w:rPr>
                <w:rFonts w:ascii="Times New Roman" w:hAnsi="Times New Roman" w:eastAsia="宋体" w:cs="Times New Roman"/>
                <w:color w:val="FF0000"/>
              </w:rPr>
            </w:pPr>
          </w:p>
        </w:tc>
        <w:tc>
          <w:tcPr>
            <w:tcW w:w="190" w:type="pct"/>
            <w:shd w:val="clear" w:color="auto" w:fill="auto"/>
            <w:vAlign w:val="center"/>
          </w:tcPr>
          <w:p w14:paraId="60539338">
            <w:pPr>
              <w:adjustRightInd w:val="0"/>
              <w:snapToGrid w:val="0"/>
              <w:spacing w:line="240" w:lineRule="exact"/>
              <w:jc w:val="center"/>
              <w:rPr>
                <w:rFonts w:ascii="Times New Roman" w:hAnsi="Times New Roman" w:eastAsia="宋体" w:cs="Times New Roman"/>
                <w:color w:val="FF0000"/>
              </w:rPr>
            </w:pPr>
          </w:p>
        </w:tc>
        <w:tc>
          <w:tcPr>
            <w:tcW w:w="190" w:type="pct"/>
            <w:shd w:val="clear" w:color="auto" w:fill="auto"/>
            <w:vAlign w:val="center"/>
          </w:tcPr>
          <w:p w14:paraId="21C842A2">
            <w:pPr>
              <w:adjustRightInd w:val="0"/>
              <w:snapToGrid w:val="0"/>
              <w:spacing w:line="240" w:lineRule="exact"/>
              <w:jc w:val="center"/>
              <w:rPr>
                <w:rFonts w:ascii="Times New Roman" w:hAnsi="Times New Roman" w:eastAsia="宋体" w:cs="Times New Roman"/>
                <w:color w:val="FF0000"/>
              </w:rPr>
            </w:pPr>
          </w:p>
        </w:tc>
        <w:tc>
          <w:tcPr>
            <w:tcW w:w="2732" w:type="pct"/>
            <w:gridSpan w:val="3"/>
            <w:noWrap/>
            <w:vAlign w:val="center"/>
          </w:tcPr>
          <w:p w14:paraId="3C194C46">
            <w:pPr>
              <w:jc w:val="left"/>
              <w:rPr>
                <w:rFonts w:ascii="Times New Roman" w:hAnsi="Times New Roman" w:eastAsia="宋体" w:cs="Times New Roman"/>
                <w:color w:val="auto"/>
                <w:szCs w:val="21"/>
              </w:rPr>
            </w:pPr>
            <w:r>
              <w:rPr>
                <w:rFonts w:ascii="Times New Roman" w:hAnsi="Times New Roman" w:cs="Times New Roman" w:eastAsiaTheme="minorEastAsia"/>
                <w:b/>
                <w:color w:val="auto"/>
              </w:rPr>
              <w:t>声屏障（3m高</w:t>
            </w:r>
            <w:r>
              <w:rPr>
                <w:rFonts w:hint="eastAsia" w:ascii="Times New Roman" w:hAnsi="Times New Roman" w:cs="Times New Roman" w:eastAsiaTheme="minorEastAsia"/>
                <w:b/>
                <w:color w:val="auto"/>
              </w:rPr>
              <w:t>13990</w:t>
            </w:r>
            <w:r>
              <w:rPr>
                <w:rFonts w:ascii="Times New Roman" w:hAnsi="Times New Roman" w:cs="Times New Roman" w:eastAsiaTheme="minorEastAsia"/>
                <w:b/>
                <w:color w:val="auto"/>
              </w:rPr>
              <w:t>m）</w:t>
            </w:r>
            <w:r>
              <w:rPr>
                <w:rFonts w:hint="eastAsia" w:ascii="Times New Roman" w:hAnsi="Times New Roman" w:cs="Times New Roman" w:eastAsiaTheme="minorEastAsia"/>
                <w:b/>
                <w:color w:val="auto"/>
              </w:rPr>
              <w:t>+隔声窗（</w:t>
            </w:r>
            <w:r>
              <w:rPr>
                <w:rFonts w:ascii="Times New Roman" w:hAnsi="Times New Roman" w:cs="Times New Roman" w:eastAsiaTheme="minorEastAsia"/>
                <w:b/>
                <w:color w:val="auto"/>
              </w:rPr>
              <w:t>居民</w:t>
            </w:r>
            <w:r>
              <w:rPr>
                <w:rFonts w:hint="eastAsia" w:ascii="Times New Roman" w:hAnsi="Times New Roman" w:cs="Times New Roman" w:eastAsiaTheme="minorEastAsia"/>
                <w:b/>
                <w:color w:val="auto"/>
              </w:rPr>
              <w:t>459户、卫生院1处、学校2处）15</w:t>
            </w:r>
            <w:r>
              <w:rPr>
                <w:rFonts w:ascii="Times New Roman" w:hAnsi="Times New Roman" w:cs="Times New Roman" w:eastAsiaTheme="minorEastAsia"/>
                <w:b/>
                <w:color w:val="auto"/>
              </w:rPr>
              <w:t>处，费用</w:t>
            </w:r>
            <w:r>
              <w:rPr>
                <w:rFonts w:hint="eastAsia" w:ascii="Times New Roman" w:hAnsi="Times New Roman" w:cs="Times New Roman" w:eastAsiaTheme="minorEastAsia"/>
                <w:b/>
                <w:color w:val="auto"/>
              </w:rPr>
              <w:t>3662</w:t>
            </w:r>
            <w:r>
              <w:rPr>
                <w:rFonts w:ascii="Times New Roman" w:hAnsi="Times New Roman" w:cs="Times New Roman" w:eastAsiaTheme="minorEastAsia"/>
                <w:b/>
                <w:color w:val="auto"/>
              </w:rPr>
              <w:t>万元；声屏障（3m高</w:t>
            </w:r>
            <w:r>
              <w:rPr>
                <w:rFonts w:hint="eastAsia" w:ascii="Times New Roman" w:hAnsi="Times New Roman" w:cs="Times New Roman" w:eastAsiaTheme="minorEastAsia"/>
                <w:b/>
                <w:color w:val="auto"/>
              </w:rPr>
              <w:t>500</w:t>
            </w:r>
            <w:r>
              <w:rPr>
                <w:rFonts w:ascii="Times New Roman" w:hAnsi="Times New Roman" w:cs="Times New Roman" w:eastAsiaTheme="minorEastAsia"/>
                <w:b/>
                <w:color w:val="auto"/>
              </w:rPr>
              <w:t>m）</w:t>
            </w:r>
            <w:r>
              <w:rPr>
                <w:rFonts w:hint="eastAsia" w:ascii="Times New Roman" w:hAnsi="Times New Roman" w:cs="Times New Roman" w:eastAsiaTheme="minorEastAsia"/>
                <w:b/>
                <w:color w:val="auto"/>
              </w:rPr>
              <w:t>2</w:t>
            </w:r>
            <w:r>
              <w:rPr>
                <w:rFonts w:ascii="Times New Roman" w:hAnsi="Times New Roman" w:cs="Times New Roman" w:eastAsiaTheme="minorEastAsia"/>
                <w:b/>
                <w:color w:val="auto"/>
              </w:rPr>
              <w:t>处，费用</w:t>
            </w:r>
            <w:r>
              <w:rPr>
                <w:rFonts w:hint="eastAsia" w:ascii="Times New Roman" w:hAnsi="Times New Roman" w:cs="Times New Roman" w:eastAsiaTheme="minorEastAsia"/>
                <w:b/>
                <w:color w:val="auto"/>
              </w:rPr>
              <w:t>100</w:t>
            </w:r>
            <w:r>
              <w:rPr>
                <w:rFonts w:ascii="Times New Roman" w:hAnsi="Times New Roman" w:cs="Times New Roman" w:eastAsiaTheme="minorEastAsia"/>
                <w:b/>
                <w:color w:val="auto"/>
              </w:rPr>
              <w:t>万元；隔声窗（居民</w:t>
            </w:r>
            <w:r>
              <w:rPr>
                <w:rFonts w:hint="eastAsia" w:ascii="Times New Roman" w:hAnsi="Times New Roman" w:cs="Times New Roman" w:eastAsiaTheme="minorEastAsia"/>
                <w:b/>
                <w:color w:val="auto"/>
              </w:rPr>
              <w:t>480</w:t>
            </w:r>
            <w:r>
              <w:rPr>
                <w:rFonts w:ascii="Times New Roman" w:hAnsi="Times New Roman" w:cs="Times New Roman" w:eastAsiaTheme="minorEastAsia"/>
                <w:b/>
                <w:color w:val="auto"/>
              </w:rPr>
              <w:t>户、学校</w:t>
            </w:r>
            <w:r>
              <w:rPr>
                <w:rFonts w:hint="eastAsia" w:ascii="Times New Roman" w:hAnsi="Times New Roman" w:cs="Times New Roman" w:eastAsiaTheme="minorEastAsia"/>
                <w:b/>
                <w:color w:val="auto"/>
              </w:rPr>
              <w:t>1处</w:t>
            </w:r>
            <w:r>
              <w:rPr>
                <w:rFonts w:ascii="Times New Roman" w:hAnsi="Times New Roman" w:cs="Times New Roman" w:eastAsiaTheme="minorEastAsia"/>
                <w:b/>
                <w:color w:val="auto"/>
              </w:rPr>
              <w:t>）</w:t>
            </w:r>
            <w:r>
              <w:rPr>
                <w:rFonts w:hint="eastAsia" w:ascii="Times New Roman" w:hAnsi="Times New Roman" w:cs="Times New Roman" w:eastAsiaTheme="minorEastAsia"/>
                <w:b/>
                <w:color w:val="auto"/>
              </w:rPr>
              <w:t>11</w:t>
            </w:r>
            <w:r>
              <w:rPr>
                <w:rFonts w:ascii="Times New Roman" w:hAnsi="Times New Roman" w:cs="Times New Roman" w:eastAsiaTheme="minorEastAsia"/>
                <w:b/>
                <w:color w:val="auto"/>
              </w:rPr>
              <w:t>处，费用</w:t>
            </w:r>
            <w:r>
              <w:rPr>
                <w:rFonts w:hint="eastAsia" w:ascii="Times New Roman" w:hAnsi="Times New Roman" w:cs="Times New Roman" w:eastAsiaTheme="minorEastAsia"/>
                <w:b/>
                <w:color w:val="auto"/>
              </w:rPr>
              <w:t>570</w:t>
            </w:r>
            <w:r>
              <w:rPr>
                <w:rFonts w:ascii="Times New Roman" w:hAnsi="Times New Roman" w:cs="Times New Roman" w:eastAsiaTheme="minorEastAsia"/>
                <w:b/>
                <w:color w:val="auto"/>
              </w:rPr>
              <w:t>万元。</w:t>
            </w:r>
          </w:p>
        </w:tc>
        <w:tc>
          <w:tcPr>
            <w:tcW w:w="251" w:type="pct"/>
            <w:vAlign w:val="center"/>
          </w:tcPr>
          <w:p w14:paraId="2C7EE757">
            <w:pPr>
              <w:widowControl/>
              <w:adjustRightInd w:val="0"/>
              <w:snapToGrid w:val="0"/>
              <w:spacing w:line="240" w:lineRule="exact"/>
              <w:jc w:val="center"/>
              <w:rPr>
                <w:rFonts w:ascii="Times New Roman" w:hAnsi="Times New Roman" w:eastAsia="宋体" w:cs="Times New Roman"/>
                <w:b/>
                <w:color w:val="auto"/>
                <w:szCs w:val="21"/>
              </w:rPr>
            </w:pPr>
            <w:r>
              <w:rPr>
                <w:rFonts w:hint="eastAsia" w:ascii="Times New Roman" w:hAnsi="Times New Roman" w:eastAsia="宋体" w:cs="Times New Roman"/>
                <w:b/>
                <w:color w:val="auto"/>
                <w:szCs w:val="21"/>
              </w:rPr>
              <w:t>4332</w:t>
            </w:r>
          </w:p>
        </w:tc>
      </w:tr>
    </w:tbl>
    <w:p w14:paraId="49C6E3A5">
      <w:pPr>
        <w:rPr>
          <w:rFonts w:ascii="Times New Roman" w:hAnsi="Times New Roman" w:eastAsia="宋体" w:cs="Times New Roman"/>
        </w:rPr>
      </w:pPr>
    </w:p>
    <w:p w14:paraId="081A20C6">
      <w:pPr>
        <w:spacing w:beforeLines="50"/>
        <w:jc w:val="center"/>
        <w:rPr>
          <w:b/>
          <w:spacing w:val="4"/>
          <w:szCs w:val="21"/>
        </w:rPr>
        <w:sectPr>
          <w:headerReference r:id="rId114" w:type="default"/>
          <w:footerReference r:id="rId115" w:type="default"/>
          <w:footerReference r:id="rId116" w:type="even"/>
          <w:pgSz w:w="23814" w:h="16840" w:orient="landscape"/>
          <w:pgMar w:top="1701" w:right="1701" w:bottom="1701" w:left="1701" w:header="1134" w:footer="1134" w:gutter="0"/>
          <w:pgBorders>
            <w:top w:val="none" w:sz="0" w:space="0"/>
            <w:left w:val="none" w:sz="0" w:space="0"/>
            <w:bottom w:val="none" w:sz="0" w:space="0"/>
            <w:right w:val="none" w:sz="0" w:space="0"/>
          </w:pgBorders>
          <w:cols w:space="720" w:num="1"/>
          <w:docGrid w:linePitch="312" w:charSpace="0"/>
        </w:sectPr>
      </w:pPr>
    </w:p>
    <w:p w14:paraId="4519F790">
      <w:pPr>
        <w:keepNext/>
        <w:keepLines/>
        <w:widowControl w:val="0"/>
        <w:tabs>
          <w:tab w:val="center" w:pos="4252"/>
          <w:tab w:val="left" w:pos="6855"/>
        </w:tabs>
        <w:spacing w:before="480" w:after="480"/>
        <w:jc w:val="center"/>
        <w:outlineLvl w:val="0"/>
        <w:rPr>
          <w:rFonts w:ascii="Times New Roman" w:hAnsi="Times New Roman" w:eastAsia="黑体" w:cs="Times New Roman"/>
          <w:snapToGrid w:val="0"/>
          <w:kern w:val="0"/>
          <w:sz w:val="32"/>
          <w:szCs w:val="32"/>
          <w:lang w:val="en-US" w:eastAsia="zh-CN" w:bidi="ar-SA"/>
        </w:rPr>
      </w:pPr>
      <w:bookmarkStart w:id="239" w:name="_Toc187528267"/>
      <w:bookmarkStart w:id="240" w:name="_Hlk187523411"/>
      <w:r>
        <w:rPr>
          <w:rFonts w:ascii="Times New Roman" w:hAnsi="Times New Roman" w:eastAsia="黑体" w:cs="Times New Roman"/>
          <w:snapToGrid w:val="0"/>
          <w:kern w:val="0"/>
          <w:sz w:val="32"/>
          <w:szCs w:val="32"/>
          <w:lang w:val="en-US" w:eastAsia="zh-CN" w:bidi="ar-SA"/>
        </w:rPr>
        <w:t>6 声环境</w:t>
      </w:r>
      <w:r>
        <w:rPr>
          <w:rFonts w:hint="eastAsia" w:ascii="Times New Roman" w:hAnsi="Times New Roman" w:eastAsia="黑体" w:cs="Times New Roman"/>
          <w:snapToGrid w:val="0"/>
          <w:kern w:val="0"/>
          <w:sz w:val="32"/>
          <w:szCs w:val="32"/>
          <w:lang w:val="en-US" w:eastAsia="zh-CN" w:bidi="ar-SA"/>
        </w:rPr>
        <w:t>影响</w:t>
      </w:r>
      <w:r>
        <w:rPr>
          <w:rFonts w:ascii="Times New Roman" w:hAnsi="Times New Roman" w:eastAsia="黑体" w:cs="Times New Roman"/>
          <w:snapToGrid w:val="0"/>
          <w:kern w:val="0"/>
          <w:sz w:val="32"/>
          <w:szCs w:val="32"/>
          <w:lang w:val="en-US" w:eastAsia="zh-CN" w:bidi="ar-SA"/>
        </w:rPr>
        <w:t>评价结论</w:t>
      </w:r>
      <w:bookmarkEnd w:id="239"/>
    </w:p>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40"/>
    <w:p w14:paraId="2A566975">
      <w:pPr>
        <w:spacing w:line="30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1. 拟建</w:t>
      </w:r>
      <w:r>
        <w:rPr>
          <w:rFonts w:hint="eastAsia" w:ascii="Times New Roman" w:hAnsi="Times New Roman" w:eastAsia="宋体" w:cs="Times New Roman"/>
          <w:sz w:val="24"/>
        </w:rPr>
        <w:t>公路沿线主要位于乡村地区，无大型</w:t>
      </w:r>
      <w:r>
        <w:rPr>
          <w:rFonts w:ascii="Times New Roman" w:hAnsi="Times New Roman" w:eastAsia="宋体" w:cs="Times New Roman"/>
          <w:sz w:val="24"/>
        </w:rPr>
        <w:t>强噪声工矿企业分布</w:t>
      </w:r>
      <w:r>
        <w:rPr>
          <w:rFonts w:hint="eastAsia" w:ascii="Times New Roman" w:hAnsi="Times New Roman" w:eastAsia="宋体" w:cs="Times New Roman"/>
          <w:sz w:val="24"/>
        </w:rPr>
        <w:t>，</w:t>
      </w:r>
      <w:r>
        <w:rPr>
          <w:rFonts w:ascii="Times New Roman" w:hAnsi="Times New Roman" w:eastAsia="宋体" w:cs="Times New Roman"/>
          <w:sz w:val="24"/>
        </w:rPr>
        <w:t>主要交通</w:t>
      </w:r>
      <w:r>
        <w:rPr>
          <w:rFonts w:hint="eastAsia" w:ascii="Times New Roman" w:hAnsi="Times New Roman" w:eastAsia="宋体" w:cs="Times New Roman"/>
          <w:sz w:val="24"/>
        </w:rPr>
        <w:t>干线</w:t>
      </w:r>
      <w:r>
        <w:rPr>
          <w:rFonts w:ascii="Times New Roman" w:hAnsi="Times New Roman" w:eastAsia="宋体" w:cs="Times New Roman"/>
          <w:sz w:val="24"/>
        </w:rPr>
        <w:t>有</w:t>
      </w:r>
      <w:r>
        <w:rPr>
          <w:rFonts w:hint="eastAsia" w:ascii="Times New Roman" w:hAnsi="Times New Roman" w:eastAsia="宋体" w:cs="Times New Roman"/>
          <w:sz w:val="24"/>
        </w:rPr>
        <w:t>G219、</w:t>
      </w:r>
      <w:r>
        <w:rPr>
          <w:rFonts w:hint="eastAsia" w:ascii="Times New Roman" w:hAnsi="Times New Roman" w:eastAsia="宋体" w:cs="Times New Roman"/>
          <w:kern w:val="0"/>
          <w:sz w:val="24"/>
        </w:rPr>
        <w:t>G3012</w:t>
      </w:r>
      <w:r>
        <w:rPr>
          <w:rFonts w:hint="eastAsia" w:ascii="Times New Roman" w:hAnsi="Times New Roman" w:eastAsia="宋体" w:cs="Times New Roman"/>
          <w:sz w:val="24"/>
          <w:szCs w:val="20"/>
        </w:rPr>
        <w:t>、S311及南疆铁路</w:t>
      </w:r>
      <w:r>
        <w:rPr>
          <w:rFonts w:ascii="Times New Roman" w:hAnsi="Times New Roman" w:eastAsia="宋体" w:cs="Times New Roman"/>
          <w:sz w:val="24"/>
        </w:rPr>
        <w:t>等</w:t>
      </w:r>
      <w:r>
        <w:rPr>
          <w:rFonts w:hint="eastAsia" w:ascii="Times New Roman" w:hAnsi="Times New Roman" w:eastAsia="宋体" w:cs="Times New Roman"/>
          <w:sz w:val="24"/>
        </w:rPr>
        <w:t>，</w:t>
      </w:r>
      <w:r>
        <w:rPr>
          <w:rFonts w:ascii="Times New Roman" w:hAnsi="Times New Roman" w:eastAsia="宋体" w:cs="Times New Roman"/>
          <w:sz w:val="24"/>
        </w:rPr>
        <w:t>噪声源主要为现有交通噪声和</w:t>
      </w:r>
      <w:r>
        <w:rPr>
          <w:rFonts w:hint="eastAsia" w:ascii="Times New Roman" w:hAnsi="Times New Roman" w:eastAsia="宋体" w:cs="Times New Roman"/>
          <w:sz w:val="24"/>
        </w:rPr>
        <w:t>社会</w:t>
      </w:r>
      <w:r>
        <w:rPr>
          <w:rFonts w:ascii="Times New Roman" w:hAnsi="Times New Roman" w:eastAsia="宋体" w:cs="Times New Roman"/>
          <w:sz w:val="24"/>
        </w:rPr>
        <w:t>生活噪声，其中交通噪声为主要污染源。</w:t>
      </w:r>
    </w:p>
    <w:p w14:paraId="5BCB2ADA">
      <w:pPr>
        <w:spacing w:line="300" w:lineRule="auto"/>
        <w:ind w:firstLine="520" w:firstLineChars="217"/>
        <w:rPr>
          <w:rFonts w:ascii="Times New Roman" w:hAnsi="Times New Roman" w:eastAsia="宋体" w:cs="Times New Roman"/>
          <w:spacing w:val="4"/>
          <w:sz w:val="24"/>
        </w:rPr>
      </w:pPr>
      <w:r>
        <w:rPr>
          <w:rFonts w:hint="eastAsia" w:ascii="Times New Roman" w:hAnsi="Times New Roman" w:eastAsia="宋体" w:cs="Times New Roman"/>
          <w:sz w:val="24"/>
        </w:rPr>
        <w:t xml:space="preserve">2. </w:t>
      </w:r>
      <w:r>
        <w:rPr>
          <w:rFonts w:hint="eastAsia" w:ascii="Times New Roman" w:hAnsi="Times New Roman" w:eastAsia="宋体" w:cs="Times New Roman"/>
          <w:spacing w:val="4"/>
          <w:sz w:val="24"/>
        </w:rPr>
        <w:t>声环境质量现状监测结果表明，沿线布设代表性的20处监测点位昼、夜环境噪声均可以达到《声环境质量标准》（GB3096-2008）的4a类和2类标准要求。总体来说，项目沿线声环境现状较好。</w:t>
      </w:r>
    </w:p>
    <w:p w14:paraId="58182B3F">
      <w:pPr>
        <w:widowControl w:val="0"/>
        <w:overflowPunct w:val="0"/>
        <w:spacing w:line="300" w:lineRule="auto"/>
        <w:ind w:firstLine="480" w:firstLineChars="200"/>
        <w:jc w:val="left"/>
        <w:rPr>
          <w:rFonts w:ascii="Times New Roman" w:hAnsi="Times New Roman" w:eastAsia="宋体" w:cs="Times New Roman"/>
          <w:kern w:val="2"/>
          <w:sz w:val="24"/>
          <w:szCs w:val="20"/>
          <w:lang w:val="en-US" w:eastAsia="zh-CN" w:bidi="ar-SA"/>
        </w:rPr>
      </w:pPr>
      <w:r>
        <w:rPr>
          <w:rFonts w:ascii="Times New Roman" w:hAnsi="Times New Roman" w:eastAsia="宋体" w:cs="Times New Roman"/>
          <w:kern w:val="2"/>
          <w:sz w:val="24"/>
          <w:szCs w:val="20"/>
          <w:lang w:val="en-US" w:eastAsia="zh-CN" w:bidi="ar-SA"/>
        </w:rPr>
        <w:t>3. 施工噪声将对沿线声环境质量产生一定的影响，这种噪声影响白天将主要出现在距施工场地115m范围内，夜间将主要出现在距施工场地642m范围内。</w:t>
      </w:r>
      <w:r>
        <w:rPr>
          <w:rFonts w:hint="eastAsia" w:ascii="Times New Roman" w:hAnsi="Times New Roman" w:eastAsia="宋体" w:cs="Times New Roman"/>
          <w:kern w:val="2"/>
          <w:sz w:val="24"/>
          <w:szCs w:val="20"/>
          <w:lang w:val="en-US" w:eastAsia="zh-CN" w:bidi="ar-SA"/>
        </w:rPr>
        <w:t>为有效控制影响，必须严格落实综合防治措施：在施工活动中，</w:t>
      </w:r>
      <w:r>
        <w:rPr>
          <w:rFonts w:ascii="Times New Roman" w:hAnsi="Times New Roman" w:eastAsia="宋体" w:cs="Times New Roman"/>
          <w:kern w:val="2"/>
          <w:sz w:val="24"/>
          <w:szCs w:val="20"/>
          <w:lang w:val="en-US" w:eastAsia="zh-CN" w:bidi="ar-SA"/>
        </w:rPr>
        <w:t>合理安排各种施工机械操作的时间，</w:t>
      </w:r>
      <w:r>
        <w:rPr>
          <w:rFonts w:hint="eastAsia" w:ascii="Times New Roman" w:hAnsi="Times New Roman" w:eastAsia="宋体" w:cs="Times New Roman"/>
          <w:kern w:val="2"/>
          <w:sz w:val="24"/>
          <w:szCs w:val="20"/>
          <w:lang w:val="en-US" w:eastAsia="zh-CN" w:bidi="ar-SA"/>
        </w:rPr>
        <w:t>须优先选用低噪声设备与工艺，</w:t>
      </w:r>
      <w:r>
        <w:rPr>
          <w:rFonts w:hint="eastAsia" w:ascii="Times New Roman" w:hAnsi="Times New Roman" w:eastAsia="宋体" w:cs="Times New Roman"/>
          <w:kern w:val="2"/>
          <w:sz w:val="24"/>
          <w:szCs w:val="22"/>
          <w:lang w:val="en-US" w:eastAsia="zh-CN" w:bidi="ar-SA"/>
        </w:rPr>
        <w:t>强固定噪声源应加装隔声罩或可移动全封闭隔声罩，</w:t>
      </w:r>
      <w:r>
        <w:rPr>
          <w:rFonts w:hint="eastAsia" w:ascii="Times New Roman" w:hAnsi="Times New Roman" w:eastAsia="宋体" w:cs="Times New Roman"/>
          <w:kern w:val="2"/>
          <w:sz w:val="24"/>
          <w:szCs w:val="20"/>
          <w:lang w:val="en-US" w:eastAsia="zh-CN" w:bidi="ar-SA"/>
        </w:rPr>
        <w:t>严禁夜间高噪声作业，</w:t>
      </w:r>
      <w:r>
        <w:rPr>
          <w:rFonts w:hint="eastAsia" w:ascii="Times New Roman" w:hAnsi="Times New Roman" w:eastAsia="宋体" w:cs="Times New Roman"/>
          <w:kern w:val="2"/>
          <w:sz w:val="24"/>
          <w:szCs w:val="22"/>
          <w:lang w:val="en-US" w:eastAsia="zh-CN" w:bidi="ar-SA"/>
        </w:rPr>
        <w:t>施工场界设置围挡，</w:t>
      </w:r>
      <w:r>
        <w:rPr>
          <w:rFonts w:hint="eastAsia" w:ascii="Times New Roman" w:hAnsi="Times New Roman" w:eastAsia="宋体" w:cs="Times New Roman"/>
          <w:kern w:val="2"/>
          <w:sz w:val="24"/>
          <w:szCs w:val="20"/>
          <w:lang w:val="en-US" w:eastAsia="zh-CN" w:bidi="ar-SA"/>
        </w:rPr>
        <w:t>并对超标严重路段</w:t>
      </w:r>
      <w:r>
        <w:rPr>
          <w:rFonts w:hint="eastAsia" w:ascii="Times New Roman" w:hAnsi="Times New Roman" w:eastAsia="宋体" w:cs="Times New Roman"/>
          <w:kern w:val="2"/>
          <w:sz w:val="24"/>
          <w:szCs w:val="22"/>
          <w:lang w:val="en-US" w:eastAsia="zh-CN" w:bidi="ar-SA"/>
        </w:rPr>
        <w:t>加装隔声围挡（声屏障）</w:t>
      </w:r>
      <w:r>
        <w:rPr>
          <w:rFonts w:hint="eastAsia" w:ascii="Times New Roman" w:hAnsi="Times New Roman" w:eastAsia="宋体" w:cs="Times New Roman"/>
          <w:kern w:val="2"/>
          <w:sz w:val="24"/>
          <w:szCs w:val="20"/>
          <w:lang w:val="en-US" w:eastAsia="zh-CN" w:bidi="ar-SA"/>
        </w:rPr>
        <w:t>等防护设施，学校路段需避开上课时间，居民区需避开夜间及午间；在交通噪声方面，须重点管控重型运输车辆，严禁夜间运输，优化行驶路线，车辆经过学校、卫生院、居民集中区时限速、禁鸣。在全面落实上述措施并加强施工管理、公众沟通与监测的前提下，施工期噪声影响可得到有效控制，对环境的影响是可控的。</w:t>
      </w:r>
    </w:p>
    <w:p w14:paraId="42B7572C">
      <w:pPr>
        <w:widowControl w:val="0"/>
        <w:overflowPunct w:val="0"/>
        <w:spacing w:line="300" w:lineRule="auto"/>
        <w:ind w:firstLine="480" w:firstLineChars="200"/>
        <w:jc w:val="left"/>
        <w:rPr>
          <w:rFonts w:ascii="Times New Roman" w:hAnsi="Times New Roman" w:eastAsia="宋体" w:cs="Times New Roman"/>
          <w:kern w:val="2"/>
          <w:sz w:val="24"/>
          <w:szCs w:val="20"/>
          <w:lang w:val="en-US" w:eastAsia="zh-CN" w:bidi="ar-SA"/>
        </w:rPr>
      </w:pPr>
      <w:r>
        <w:rPr>
          <w:rFonts w:ascii="Times New Roman" w:hAnsi="Times New Roman" w:eastAsia="宋体" w:cs="Times New Roman"/>
          <w:kern w:val="2"/>
          <w:sz w:val="24"/>
          <w:szCs w:val="20"/>
          <w:lang w:val="en-US" w:eastAsia="zh-CN" w:bidi="ar-SA"/>
        </w:rPr>
        <w:t>4. 拟建公路沿线设计车速为80km/h</w:t>
      </w:r>
      <w:r>
        <w:rPr>
          <w:rFonts w:hint="eastAsia" w:ascii="Times New Roman" w:hAnsi="Times New Roman" w:eastAsia="宋体" w:cs="Times New Roman"/>
          <w:kern w:val="2"/>
          <w:sz w:val="24"/>
          <w:szCs w:val="20"/>
          <w:lang w:val="en-US" w:eastAsia="zh-CN" w:bidi="ar-SA"/>
        </w:rPr>
        <w:t>的各路段，</w:t>
      </w:r>
      <w:r>
        <w:rPr>
          <w:rFonts w:ascii="Times New Roman" w:hAnsi="Times New Roman" w:eastAsia="宋体" w:cs="Times New Roman"/>
          <w:kern w:val="2"/>
          <w:sz w:val="24"/>
          <w:szCs w:val="20"/>
          <w:lang w:val="en-US" w:eastAsia="zh-CN" w:bidi="ar-SA"/>
        </w:rPr>
        <w:t>按4a类标准，营运近、中、远昼间达标距离为距路中心线＜20.0m、＜20.0m～</w:t>
      </w:r>
      <w:r>
        <w:rPr>
          <w:rFonts w:hint="eastAsia" w:ascii="Times New Roman" w:hAnsi="Times New Roman" w:eastAsia="宋体" w:cs="Times New Roman"/>
          <w:kern w:val="2"/>
          <w:sz w:val="24"/>
          <w:szCs w:val="20"/>
          <w:lang w:val="en-US" w:eastAsia="zh-CN" w:bidi="ar-SA"/>
        </w:rPr>
        <w:t>21.1</w:t>
      </w:r>
      <w:r>
        <w:rPr>
          <w:rFonts w:ascii="Times New Roman" w:hAnsi="Times New Roman" w:eastAsia="宋体" w:cs="Times New Roman"/>
          <w:kern w:val="2"/>
          <w:sz w:val="24"/>
          <w:szCs w:val="20"/>
          <w:lang w:val="en-US" w:eastAsia="zh-CN" w:bidi="ar-SA"/>
        </w:rPr>
        <w:t>m和＜20.0m，夜间近、中、远期达标距离分别为距路中心线</w:t>
      </w:r>
      <w:r>
        <w:rPr>
          <w:rFonts w:hint="eastAsia" w:ascii="Times New Roman" w:hAnsi="Times New Roman" w:eastAsia="宋体" w:cs="Times New Roman"/>
          <w:kern w:val="2"/>
          <w:sz w:val="24"/>
          <w:szCs w:val="20"/>
          <w:lang w:val="en-US" w:eastAsia="zh-CN" w:bidi="ar-SA"/>
        </w:rPr>
        <w:t>63.4</w:t>
      </w:r>
      <w:r>
        <w:rPr>
          <w:rFonts w:ascii="Times New Roman" w:hAnsi="Times New Roman" w:eastAsia="宋体" w:cs="Times New Roman"/>
          <w:kern w:val="2"/>
          <w:sz w:val="24"/>
          <w:szCs w:val="20"/>
          <w:lang w:val="en-US" w:eastAsia="zh-CN" w:bidi="ar-SA"/>
        </w:rPr>
        <w:t>m～</w:t>
      </w:r>
      <w:r>
        <w:rPr>
          <w:rFonts w:hint="eastAsia" w:ascii="Times New Roman" w:hAnsi="Times New Roman" w:eastAsia="宋体" w:cs="Times New Roman"/>
          <w:kern w:val="2"/>
          <w:sz w:val="24"/>
          <w:szCs w:val="20"/>
          <w:lang w:val="en-US" w:eastAsia="zh-CN" w:bidi="ar-SA"/>
        </w:rPr>
        <w:t>86.3</w:t>
      </w:r>
      <w:r>
        <w:rPr>
          <w:rFonts w:ascii="Times New Roman" w:hAnsi="Times New Roman" w:eastAsia="宋体" w:cs="Times New Roman"/>
          <w:kern w:val="2"/>
          <w:sz w:val="24"/>
          <w:szCs w:val="20"/>
          <w:lang w:val="en-US" w:eastAsia="zh-CN" w:bidi="ar-SA"/>
        </w:rPr>
        <w:t>m、</w:t>
      </w:r>
      <w:r>
        <w:rPr>
          <w:rFonts w:hint="eastAsia" w:ascii="Times New Roman" w:hAnsi="Times New Roman" w:eastAsia="宋体" w:cs="Times New Roman"/>
          <w:kern w:val="2"/>
          <w:sz w:val="24"/>
          <w:szCs w:val="20"/>
          <w:lang w:val="en-US" w:eastAsia="zh-CN" w:bidi="ar-SA"/>
        </w:rPr>
        <w:t>77.7</w:t>
      </w:r>
      <w:r>
        <w:rPr>
          <w:rFonts w:ascii="Times New Roman" w:hAnsi="Times New Roman" w:eastAsia="宋体" w:cs="Times New Roman"/>
          <w:kern w:val="2"/>
          <w:sz w:val="24"/>
          <w:szCs w:val="20"/>
          <w:lang w:val="en-US" w:eastAsia="zh-CN" w:bidi="ar-SA"/>
        </w:rPr>
        <w:t>m～</w:t>
      </w:r>
      <w:r>
        <w:rPr>
          <w:rFonts w:hint="eastAsia" w:ascii="Times New Roman" w:hAnsi="Times New Roman" w:eastAsia="宋体" w:cs="Times New Roman"/>
          <w:kern w:val="2"/>
          <w:sz w:val="24"/>
          <w:szCs w:val="20"/>
          <w:lang w:val="en-US" w:eastAsia="zh-CN" w:bidi="ar-SA"/>
        </w:rPr>
        <w:t>97.7</w:t>
      </w:r>
      <w:r>
        <w:rPr>
          <w:rFonts w:ascii="Times New Roman" w:hAnsi="Times New Roman" w:eastAsia="宋体" w:cs="Times New Roman"/>
          <w:kern w:val="2"/>
          <w:sz w:val="24"/>
          <w:szCs w:val="20"/>
          <w:lang w:val="en-US" w:eastAsia="zh-CN" w:bidi="ar-SA"/>
        </w:rPr>
        <w:t>m和</w:t>
      </w:r>
      <w:r>
        <w:rPr>
          <w:rFonts w:hint="eastAsia" w:ascii="Times New Roman" w:hAnsi="Times New Roman" w:eastAsia="宋体" w:cs="Times New Roman"/>
          <w:kern w:val="2"/>
          <w:sz w:val="24"/>
          <w:szCs w:val="20"/>
          <w:lang w:val="en-US" w:eastAsia="zh-CN" w:bidi="ar-SA"/>
        </w:rPr>
        <w:t>87.5</w:t>
      </w:r>
      <w:r>
        <w:rPr>
          <w:rFonts w:ascii="Times New Roman" w:hAnsi="Times New Roman" w:eastAsia="宋体" w:cs="Times New Roman"/>
          <w:kern w:val="2"/>
          <w:sz w:val="24"/>
          <w:szCs w:val="20"/>
          <w:lang w:val="en-US" w:eastAsia="zh-CN" w:bidi="ar-SA"/>
        </w:rPr>
        <w:t>m～</w:t>
      </w:r>
      <w:r>
        <w:rPr>
          <w:rFonts w:hint="eastAsia" w:ascii="Times New Roman" w:hAnsi="Times New Roman" w:eastAsia="宋体" w:cs="Times New Roman"/>
          <w:kern w:val="2"/>
          <w:sz w:val="24"/>
          <w:szCs w:val="20"/>
          <w:lang w:val="en-US" w:eastAsia="zh-CN" w:bidi="ar-SA"/>
        </w:rPr>
        <w:t>109.7</w:t>
      </w:r>
      <w:r>
        <w:rPr>
          <w:rFonts w:ascii="Times New Roman" w:hAnsi="Times New Roman" w:eastAsia="宋体" w:cs="Times New Roman"/>
          <w:kern w:val="2"/>
          <w:sz w:val="24"/>
          <w:szCs w:val="20"/>
          <w:lang w:val="en-US" w:eastAsia="zh-CN" w:bidi="ar-SA"/>
        </w:rPr>
        <w:t>m。</w:t>
      </w:r>
    </w:p>
    <w:p w14:paraId="4B591E06">
      <w:pPr>
        <w:spacing w:line="300" w:lineRule="auto"/>
        <w:ind w:firstLine="480" w:firstLineChars="200"/>
        <w:rPr>
          <w:rFonts w:ascii="Times New Roman" w:hAnsi="Times New Roman" w:eastAsia="宋体" w:cs="Times New Roman"/>
          <w:bCs/>
          <w:sz w:val="24"/>
        </w:rPr>
      </w:pPr>
      <w:r>
        <w:rPr>
          <w:rFonts w:hint="eastAsia" w:ascii="Times New Roman" w:hAnsi="宋体" w:eastAsia="宋体" w:cs="Times New Roman"/>
          <w:bCs/>
          <w:sz w:val="24"/>
        </w:rPr>
        <w:t xml:space="preserve">5. </w:t>
      </w:r>
      <w:r>
        <w:rPr>
          <w:rFonts w:ascii="Times New Roman" w:hAnsi="Times New Roman" w:eastAsia="宋体" w:cs="Times New Roman"/>
          <w:bCs/>
          <w:sz w:val="24"/>
        </w:rPr>
        <w:t>拟建公路沿线</w:t>
      </w:r>
      <w:r>
        <w:rPr>
          <w:rFonts w:ascii="Times New Roman" w:hAnsi="宋体" w:eastAsia="宋体" w:cs="Times New Roman"/>
          <w:bCs/>
          <w:sz w:val="24"/>
        </w:rPr>
        <w:t>设计车速为</w:t>
      </w:r>
      <w:r>
        <w:rPr>
          <w:rFonts w:ascii="Times New Roman" w:hAnsi="Times New Roman" w:eastAsia="宋体" w:cs="Times New Roman"/>
          <w:bCs/>
          <w:sz w:val="24"/>
        </w:rPr>
        <w:t>80km/h</w:t>
      </w:r>
      <w:r>
        <w:rPr>
          <w:rFonts w:hint="eastAsia" w:ascii="Times New Roman" w:hAnsi="Times New Roman" w:eastAsia="宋体" w:cs="Times New Roman"/>
          <w:bCs/>
          <w:sz w:val="24"/>
        </w:rPr>
        <w:t>的各路段，</w:t>
      </w:r>
      <w:r>
        <w:rPr>
          <w:rFonts w:ascii="Times New Roman" w:hAnsi="Times New Roman" w:eastAsia="宋体" w:cs="Times New Roman"/>
          <w:bCs/>
          <w:sz w:val="24"/>
        </w:rPr>
        <w:t>按2类标准，营运近期、中期、远期昼间达标距离分别为距路中心线</w:t>
      </w:r>
      <w:r>
        <w:rPr>
          <w:rFonts w:hint="eastAsia" w:ascii="Times New Roman" w:hAnsi="Times New Roman" w:eastAsia="宋体" w:cs="Times New Roman"/>
          <w:bCs/>
          <w:sz w:val="24"/>
        </w:rPr>
        <w:t>57.0</w:t>
      </w:r>
      <w:r>
        <w:rPr>
          <w:rFonts w:ascii="Times New Roman" w:hAnsi="Times New Roman" w:eastAsia="宋体" w:cs="Times New Roman"/>
          <w:bCs/>
          <w:sz w:val="24"/>
        </w:rPr>
        <w:t>m～</w:t>
      </w:r>
      <w:r>
        <w:rPr>
          <w:rFonts w:hint="eastAsia" w:ascii="Times New Roman" w:hAnsi="Times New Roman" w:eastAsia="宋体" w:cs="Times New Roman"/>
          <w:bCs/>
          <w:sz w:val="24"/>
        </w:rPr>
        <w:t>72.2</w:t>
      </w:r>
      <w:r>
        <w:rPr>
          <w:rFonts w:ascii="Times New Roman" w:hAnsi="Times New Roman" w:eastAsia="宋体" w:cs="Times New Roman"/>
          <w:bCs/>
          <w:sz w:val="24"/>
        </w:rPr>
        <w:t>m、</w:t>
      </w:r>
      <w:r>
        <w:rPr>
          <w:rFonts w:hint="eastAsia" w:ascii="Times New Roman" w:hAnsi="Times New Roman" w:eastAsia="宋体" w:cs="Times New Roman"/>
          <w:bCs/>
          <w:sz w:val="24"/>
        </w:rPr>
        <w:t>65.0</w:t>
      </w:r>
      <w:r>
        <w:rPr>
          <w:rFonts w:ascii="Times New Roman" w:hAnsi="Times New Roman" w:eastAsia="宋体" w:cs="Times New Roman"/>
          <w:bCs/>
          <w:sz w:val="24"/>
        </w:rPr>
        <w:t>m～</w:t>
      </w:r>
      <w:r>
        <w:rPr>
          <w:rFonts w:hint="eastAsia" w:ascii="Times New Roman" w:hAnsi="Times New Roman" w:eastAsia="宋体" w:cs="Times New Roman"/>
          <w:bCs/>
          <w:sz w:val="24"/>
        </w:rPr>
        <w:t>81.4</w:t>
      </w:r>
      <w:r>
        <w:rPr>
          <w:rFonts w:ascii="Times New Roman" w:hAnsi="Times New Roman" w:eastAsia="宋体" w:cs="Times New Roman"/>
          <w:bCs/>
          <w:sz w:val="24"/>
        </w:rPr>
        <w:t>m和</w:t>
      </w:r>
      <w:r>
        <w:rPr>
          <w:rFonts w:hint="eastAsia" w:ascii="Times New Roman" w:hAnsi="Times New Roman" w:eastAsia="宋体" w:cs="Times New Roman"/>
          <w:bCs/>
          <w:sz w:val="24"/>
        </w:rPr>
        <w:t>68.6</w:t>
      </w:r>
      <w:r>
        <w:rPr>
          <w:rFonts w:ascii="Times New Roman" w:hAnsi="Times New Roman" w:eastAsia="宋体" w:cs="Times New Roman"/>
          <w:bCs/>
          <w:sz w:val="24"/>
        </w:rPr>
        <w:t>m～</w:t>
      </w:r>
      <w:r>
        <w:rPr>
          <w:rFonts w:hint="eastAsia" w:ascii="Times New Roman" w:hAnsi="Times New Roman" w:eastAsia="宋体" w:cs="Times New Roman"/>
          <w:bCs/>
          <w:sz w:val="24"/>
        </w:rPr>
        <w:t>73.1</w:t>
      </w:r>
      <w:r>
        <w:rPr>
          <w:rFonts w:ascii="Times New Roman" w:hAnsi="Times New Roman" w:eastAsia="宋体" w:cs="Times New Roman"/>
          <w:bCs/>
          <w:sz w:val="24"/>
        </w:rPr>
        <w:t>m，夜间近、中、远期达标距离分别为距路中心线</w:t>
      </w:r>
      <w:r>
        <w:rPr>
          <w:rFonts w:hint="eastAsia" w:ascii="Times New Roman" w:hAnsi="Times New Roman" w:eastAsia="宋体" w:cs="Times New Roman"/>
          <w:bCs/>
          <w:sz w:val="24"/>
        </w:rPr>
        <w:t>151.6</w:t>
      </w:r>
      <w:r>
        <w:rPr>
          <w:rFonts w:ascii="Times New Roman" w:hAnsi="Times New Roman" w:eastAsia="宋体" w:cs="Times New Roman"/>
          <w:bCs/>
          <w:sz w:val="24"/>
        </w:rPr>
        <w:t>m～</w:t>
      </w:r>
      <w:r>
        <w:rPr>
          <w:rFonts w:hint="eastAsia" w:ascii="Times New Roman" w:hAnsi="Times New Roman" w:eastAsia="宋体" w:cs="Times New Roman"/>
          <w:bCs/>
          <w:sz w:val="24"/>
        </w:rPr>
        <w:t>186.2</w:t>
      </w:r>
      <w:r>
        <w:rPr>
          <w:rFonts w:ascii="Times New Roman" w:hAnsi="Times New Roman" w:eastAsia="宋体" w:cs="Times New Roman"/>
          <w:bCs/>
          <w:sz w:val="24"/>
        </w:rPr>
        <w:t>m、</w:t>
      </w:r>
      <w:r>
        <w:rPr>
          <w:rFonts w:hint="eastAsia" w:ascii="Times New Roman" w:hAnsi="Times New Roman" w:eastAsia="宋体" w:cs="Times New Roman"/>
          <w:bCs/>
          <w:sz w:val="24"/>
        </w:rPr>
        <w:t>170.0</w:t>
      </w:r>
      <w:r>
        <w:rPr>
          <w:rFonts w:ascii="Times New Roman" w:hAnsi="Times New Roman" w:eastAsia="宋体" w:cs="Times New Roman"/>
          <w:bCs/>
          <w:sz w:val="24"/>
        </w:rPr>
        <w:t>m～</w:t>
      </w:r>
      <w:r>
        <w:rPr>
          <w:rFonts w:hint="eastAsia" w:ascii="Times New Roman" w:hAnsi="Times New Roman" w:eastAsia="宋体" w:cs="Times New Roman"/>
          <w:bCs/>
          <w:sz w:val="24"/>
        </w:rPr>
        <w:t>206.4</w:t>
      </w:r>
      <w:r>
        <w:rPr>
          <w:rFonts w:ascii="Times New Roman" w:hAnsi="Times New Roman" w:eastAsia="宋体" w:cs="Times New Roman"/>
          <w:bCs/>
          <w:sz w:val="24"/>
        </w:rPr>
        <w:t>m和</w:t>
      </w:r>
      <w:r>
        <w:rPr>
          <w:rFonts w:hint="eastAsia" w:ascii="Times New Roman" w:hAnsi="Times New Roman" w:eastAsia="宋体" w:cs="Times New Roman"/>
          <w:bCs/>
          <w:sz w:val="24"/>
        </w:rPr>
        <w:t>188.3</w:t>
      </w:r>
      <w:r>
        <w:rPr>
          <w:rFonts w:ascii="Times New Roman" w:hAnsi="Times New Roman" w:eastAsia="宋体" w:cs="Times New Roman"/>
          <w:bCs/>
          <w:sz w:val="24"/>
        </w:rPr>
        <w:t>m～</w:t>
      </w:r>
      <w:r>
        <w:rPr>
          <w:rFonts w:hint="eastAsia" w:ascii="Times New Roman" w:hAnsi="Times New Roman" w:eastAsia="宋体" w:cs="Times New Roman"/>
          <w:bCs/>
          <w:sz w:val="24"/>
        </w:rPr>
        <w:t>224.7</w:t>
      </w:r>
      <w:r>
        <w:rPr>
          <w:rFonts w:ascii="Times New Roman" w:hAnsi="Times New Roman" w:eastAsia="宋体" w:cs="Times New Roman"/>
          <w:bCs/>
          <w:sz w:val="24"/>
        </w:rPr>
        <w:t>m。</w:t>
      </w:r>
    </w:p>
    <w:p w14:paraId="28F71485">
      <w:pPr>
        <w:spacing w:line="300" w:lineRule="auto"/>
        <w:ind w:firstLine="480" w:firstLineChars="200"/>
        <w:rPr>
          <w:rFonts w:ascii="Times New Roman" w:hAnsi="Times New Roman" w:eastAsia="宋体" w:cs="Times New Roman"/>
          <w:bCs/>
          <w:sz w:val="24"/>
        </w:rPr>
      </w:pPr>
      <w:r>
        <w:rPr>
          <w:rFonts w:hint="eastAsia" w:ascii="Times New Roman" w:hAnsi="宋体" w:eastAsia="宋体" w:cs="Times New Roman"/>
          <w:bCs/>
          <w:sz w:val="24"/>
        </w:rPr>
        <w:t xml:space="preserve">6. </w:t>
      </w:r>
      <w:r>
        <w:rPr>
          <w:rFonts w:ascii="Times New Roman" w:hAnsi="Times New Roman" w:eastAsia="宋体" w:cs="Times New Roman"/>
          <w:bCs/>
          <w:sz w:val="24"/>
        </w:rPr>
        <w:t>拟建公路沿线</w:t>
      </w:r>
      <w:r>
        <w:rPr>
          <w:rFonts w:ascii="Times New Roman" w:hAnsi="宋体" w:eastAsia="宋体" w:cs="Times New Roman"/>
          <w:bCs/>
          <w:sz w:val="24"/>
        </w:rPr>
        <w:t>设计车速为</w:t>
      </w:r>
      <w:r>
        <w:rPr>
          <w:rFonts w:hint="eastAsia" w:ascii="Times New Roman" w:hAnsi="Times New Roman" w:eastAsia="宋体" w:cs="Times New Roman"/>
          <w:bCs/>
          <w:sz w:val="24"/>
        </w:rPr>
        <w:t>6</w:t>
      </w:r>
      <w:r>
        <w:rPr>
          <w:rFonts w:ascii="Times New Roman" w:hAnsi="Times New Roman" w:eastAsia="宋体" w:cs="Times New Roman"/>
          <w:bCs/>
          <w:sz w:val="24"/>
        </w:rPr>
        <w:t>0km/h</w:t>
      </w:r>
      <w:r>
        <w:rPr>
          <w:rFonts w:hint="eastAsia" w:ascii="Times New Roman" w:hAnsi="Times New Roman" w:eastAsia="宋体" w:cs="Times New Roman"/>
          <w:bCs/>
          <w:sz w:val="24"/>
        </w:rPr>
        <w:t>的路段，</w:t>
      </w:r>
      <w:r>
        <w:rPr>
          <w:rFonts w:ascii="Times New Roman" w:hAnsi="Times New Roman" w:eastAsia="宋体" w:cs="Times New Roman"/>
          <w:bCs/>
          <w:sz w:val="24"/>
        </w:rPr>
        <w:t>按4a类标准，营运近、中、远昼间达标距离均为距路中心线＜20.0m，夜间近、中、远期达标距离分别为距路中心线</w:t>
      </w:r>
      <w:r>
        <w:rPr>
          <w:rFonts w:hint="eastAsia" w:ascii="Times New Roman" w:hAnsi="Times New Roman" w:eastAsia="宋体" w:cs="Times New Roman"/>
          <w:bCs/>
          <w:sz w:val="24"/>
        </w:rPr>
        <w:t>63.4</w:t>
      </w:r>
      <w:r>
        <w:rPr>
          <w:rFonts w:ascii="Times New Roman" w:hAnsi="Times New Roman" w:eastAsia="宋体" w:cs="Times New Roman"/>
          <w:bCs/>
          <w:sz w:val="24"/>
        </w:rPr>
        <w:t>m、</w:t>
      </w:r>
      <w:r>
        <w:rPr>
          <w:rFonts w:hint="eastAsia" w:ascii="Times New Roman" w:hAnsi="Times New Roman" w:eastAsia="宋体" w:cs="Times New Roman"/>
          <w:bCs/>
          <w:sz w:val="24"/>
        </w:rPr>
        <w:t>72.0</w:t>
      </w:r>
      <w:r>
        <w:rPr>
          <w:rFonts w:ascii="Times New Roman" w:hAnsi="Times New Roman" w:eastAsia="宋体" w:cs="Times New Roman"/>
          <w:bCs/>
          <w:sz w:val="24"/>
        </w:rPr>
        <w:t>m和</w:t>
      </w:r>
      <w:r>
        <w:rPr>
          <w:rFonts w:hint="eastAsia" w:ascii="Times New Roman" w:hAnsi="Times New Roman" w:eastAsia="宋体" w:cs="Times New Roman"/>
          <w:bCs/>
          <w:sz w:val="24"/>
        </w:rPr>
        <w:t>79.7</w:t>
      </w:r>
      <w:r>
        <w:rPr>
          <w:rFonts w:ascii="Times New Roman" w:hAnsi="Times New Roman" w:eastAsia="宋体" w:cs="Times New Roman"/>
          <w:bCs/>
          <w:sz w:val="24"/>
        </w:rPr>
        <w:t>m。</w:t>
      </w:r>
    </w:p>
    <w:p w14:paraId="16C0B7D3">
      <w:pPr>
        <w:spacing w:line="300" w:lineRule="auto"/>
        <w:ind w:firstLine="480" w:firstLineChars="200"/>
        <w:rPr>
          <w:rFonts w:ascii="Times New Roman" w:hAnsi="Times New Roman" w:eastAsia="宋体" w:cs="Times New Roman"/>
          <w:bCs/>
          <w:sz w:val="24"/>
        </w:rPr>
      </w:pPr>
      <w:r>
        <w:rPr>
          <w:rFonts w:hint="eastAsia" w:ascii="Times New Roman" w:hAnsi="宋体" w:eastAsia="宋体" w:cs="Times New Roman"/>
          <w:bCs/>
          <w:sz w:val="24"/>
        </w:rPr>
        <w:t xml:space="preserve">7. </w:t>
      </w:r>
      <w:r>
        <w:rPr>
          <w:rFonts w:ascii="Times New Roman" w:hAnsi="Times New Roman" w:eastAsia="宋体" w:cs="Times New Roman"/>
          <w:bCs/>
          <w:sz w:val="24"/>
        </w:rPr>
        <w:t>拟建公路沿线</w:t>
      </w:r>
      <w:r>
        <w:rPr>
          <w:rFonts w:ascii="Times New Roman" w:hAnsi="宋体" w:eastAsia="宋体" w:cs="Times New Roman"/>
          <w:bCs/>
          <w:sz w:val="24"/>
        </w:rPr>
        <w:t>设计车速为</w:t>
      </w:r>
      <w:r>
        <w:rPr>
          <w:rFonts w:hint="eastAsia" w:ascii="Times New Roman" w:hAnsi="Times New Roman" w:eastAsia="宋体" w:cs="Times New Roman"/>
          <w:bCs/>
          <w:sz w:val="24"/>
        </w:rPr>
        <w:t>6</w:t>
      </w:r>
      <w:r>
        <w:rPr>
          <w:rFonts w:ascii="Times New Roman" w:hAnsi="Times New Roman" w:eastAsia="宋体" w:cs="Times New Roman"/>
          <w:bCs/>
          <w:sz w:val="24"/>
        </w:rPr>
        <w:t>0km/h</w:t>
      </w:r>
      <w:r>
        <w:rPr>
          <w:rFonts w:hint="eastAsia" w:ascii="Times New Roman" w:hAnsi="Times New Roman" w:eastAsia="宋体" w:cs="Times New Roman"/>
          <w:bCs/>
          <w:sz w:val="24"/>
        </w:rPr>
        <w:t>的路段，</w:t>
      </w:r>
      <w:r>
        <w:rPr>
          <w:rFonts w:ascii="Times New Roman" w:hAnsi="Times New Roman" w:eastAsia="宋体" w:cs="Times New Roman"/>
          <w:bCs/>
          <w:sz w:val="24"/>
        </w:rPr>
        <w:t>按</w:t>
      </w:r>
      <w:r>
        <w:rPr>
          <w:rFonts w:hint="eastAsia" w:ascii="Times New Roman" w:hAnsi="Times New Roman" w:eastAsia="宋体" w:cs="Times New Roman"/>
          <w:bCs/>
          <w:sz w:val="24"/>
        </w:rPr>
        <w:t>2</w:t>
      </w:r>
      <w:r>
        <w:rPr>
          <w:rFonts w:ascii="Times New Roman" w:hAnsi="Times New Roman" w:eastAsia="宋体" w:cs="Times New Roman"/>
          <w:bCs/>
          <w:sz w:val="24"/>
        </w:rPr>
        <w:t>类标准，营运近、中、远昼间达标距离均为距路中心线</w:t>
      </w:r>
      <w:r>
        <w:rPr>
          <w:rFonts w:hint="eastAsia" w:ascii="Times New Roman" w:hAnsi="Times New Roman" w:eastAsia="宋体" w:cs="Times New Roman"/>
          <w:bCs/>
          <w:sz w:val="24"/>
        </w:rPr>
        <w:t>53.2</w:t>
      </w:r>
      <w:r>
        <w:rPr>
          <w:rFonts w:ascii="Times New Roman" w:hAnsi="Times New Roman" w:eastAsia="宋体" w:cs="Times New Roman"/>
          <w:bCs/>
          <w:sz w:val="24"/>
        </w:rPr>
        <w:t>m、</w:t>
      </w:r>
      <w:r>
        <w:rPr>
          <w:rFonts w:hint="eastAsia" w:ascii="Times New Roman" w:hAnsi="Times New Roman" w:eastAsia="宋体" w:cs="Times New Roman"/>
          <w:bCs/>
          <w:sz w:val="24"/>
        </w:rPr>
        <w:t>58.4</w:t>
      </w:r>
      <w:r>
        <w:rPr>
          <w:rFonts w:ascii="Times New Roman" w:hAnsi="Times New Roman" w:eastAsia="宋体" w:cs="Times New Roman"/>
          <w:bCs/>
          <w:sz w:val="24"/>
        </w:rPr>
        <w:t>m和</w:t>
      </w:r>
      <w:r>
        <w:rPr>
          <w:rFonts w:hint="eastAsia" w:ascii="Times New Roman" w:hAnsi="Times New Roman" w:eastAsia="宋体" w:cs="Times New Roman"/>
          <w:bCs/>
          <w:sz w:val="24"/>
        </w:rPr>
        <w:t>65.7</w:t>
      </w:r>
      <w:r>
        <w:rPr>
          <w:rFonts w:ascii="Times New Roman" w:hAnsi="Times New Roman" w:eastAsia="宋体" w:cs="Times New Roman"/>
          <w:bCs/>
          <w:sz w:val="24"/>
        </w:rPr>
        <w:t>m，夜间近、中、远期达标距离分别为距路中心线</w:t>
      </w:r>
      <w:r>
        <w:rPr>
          <w:rFonts w:hint="eastAsia" w:ascii="Times New Roman" w:hAnsi="Times New Roman" w:eastAsia="宋体" w:cs="Times New Roman"/>
          <w:bCs/>
          <w:sz w:val="24"/>
        </w:rPr>
        <w:t>135.9</w:t>
      </w:r>
      <w:r>
        <w:rPr>
          <w:rFonts w:ascii="Times New Roman" w:hAnsi="Times New Roman" w:eastAsia="宋体" w:cs="Times New Roman"/>
          <w:bCs/>
          <w:sz w:val="24"/>
        </w:rPr>
        <w:t>m、</w:t>
      </w:r>
      <w:r>
        <w:rPr>
          <w:rFonts w:hint="eastAsia" w:ascii="Times New Roman" w:hAnsi="Times New Roman" w:eastAsia="宋体" w:cs="Times New Roman"/>
          <w:bCs/>
          <w:sz w:val="24"/>
        </w:rPr>
        <w:t>151.5</w:t>
      </w:r>
      <w:r>
        <w:rPr>
          <w:rFonts w:ascii="Times New Roman" w:hAnsi="Times New Roman" w:eastAsia="宋体" w:cs="Times New Roman"/>
          <w:bCs/>
          <w:sz w:val="24"/>
        </w:rPr>
        <w:t>m和</w:t>
      </w:r>
      <w:r>
        <w:rPr>
          <w:rFonts w:hint="eastAsia" w:ascii="Times New Roman" w:hAnsi="Times New Roman" w:eastAsia="宋体" w:cs="Times New Roman"/>
          <w:bCs/>
          <w:sz w:val="24"/>
        </w:rPr>
        <w:t>166.6</w:t>
      </w:r>
      <w:r>
        <w:rPr>
          <w:rFonts w:ascii="Times New Roman" w:hAnsi="Times New Roman" w:eastAsia="宋体" w:cs="Times New Roman"/>
          <w:bCs/>
          <w:sz w:val="24"/>
        </w:rPr>
        <w:t>m。</w:t>
      </w:r>
    </w:p>
    <w:p w14:paraId="5AECE76A">
      <w:pPr>
        <w:spacing w:line="300" w:lineRule="auto"/>
        <w:ind w:firstLine="480" w:firstLineChars="200"/>
        <w:rPr>
          <w:rFonts w:ascii="Times New Roman" w:hAnsi="Times New Roman" w:eastAsia="宋体" w:cs="Times New Roman"/>
          <w:sz w:val="24"/>
        </w:rPr>
      </w:pPr>
      <w:r>
        <w:rPr>
          <w:rFonts w:hint="eastAsia" w:ascii="Times New Roman" w:hAnsi="Times New Roman" w:eastAsia="宋体" w:cs="Times New Roman"/>
          <w:bCs/>
          <w:sz w:val="24"/>
        </w:rPr>
        <w:t>8</w:t>
      </w:r>
      <w:r>
        <w:rPr>
          <w:rFonts w:ascii="Times New Roman" w:hAnsi="Times New Roman" w:eastAsia="宋体" w:cs="Times New Roman"/>
          <w:bCs/>
          <w:sz w:val="24"/>
        </w:rPr>
        <w:t>. 拟建</w:t>
      </w:r>
      <w:r>
        <w:rPr>
          <w:rFonts w:hint="eastAsia" w:ascii="Times New Roman" w:hAnsi="Times New Roman" w:eastAsia="宋体" w:cs="Times New Roman"/>
          <w:bCs/>
          <w:sz w:val="24"/>
        </w:rPr>
        <w:t>公路</w:t>
      </w:r>
      <w:r>
        <w:rPr>
          <w:rFonts w:ascii="Times New Roman" w:hAnsi="Times New Roman" w:eastAsia="宋体" w:cs="Times New Roman"/>
          <w:bCs/>
          <w:sz w:val="24"/>
        </w:rPr>
        <w:t>沿线声环境敏感点营运期环境噪声预测结果</w:t>
      </w:r>
      <w:r>
        <w:rPr>
          <w:rFonts w:hint="eastAsia" w:ascii="Times New Roman" w:hAnsi="Times New Roman" w:eastAsia="宋体" w:cs="Times New Roman"/>
          <w:bCs/>
          <w:sz w:val="24"/>
        </w:rPr>
        <w:t>表明：</w:t>
      </w:r>
      <w:r>
        <w:rPr>
          <w:rFonts w:ascii="Times New Roman" w:hAnsi="Times New Roman" w:eastAsia="宋体" w:cs="Times New Roman"/>
          <w:bCs/>
          <w:sz w:val="24"/>
        </w:rPr>
        <w:t>拟建</w:t>
      </w:r>
      <w:r>
        <w:rPr>
          <w:rFonts w:hint="eastAsia" w:ascii="Times New Roman" w:hAnsi="Times New Roman" w:eastAsia="宋体" w:cs="Times New Roman"/>
          <w:bCs/>
          <w:sz w:val="24"/>
        </w:rPr>
        <w:t>公路</w:t>
      </w:r>
      <w:r>
        <w:rPr>
          <w:rFonts w:ascii="Times New Roman" w:hAnsi="Times New Roman" w:eastAsia="宋体" w:cs="Times New Roman"/>
          <w:bCs/>
          <w:sz w:val="24"/>
        </w:rPr>
        <w:t>沿线</w:t>
      </w:r>
      <w:r>
        <w:rPr>
          <w:rFonts w:hint="eastAsia" w:ascii="Times New Roman" w:hAnsi="Times New Roman" w:eastAsia="宋体" w:cs="Times New Roman"/>
          <w:sz w:val="24"/>
        </w:rPr>
        <w:t>22</w:t>
      </w:r>
      <w:r>
        <w:rPr>
          <w:rFonts w:ascii="Times New Roman" w:hAnsi="Times New Roman" w:eastAsia="宋体" w:cs="Times New Roman"/>
          <w:sz w:val="24"/>
        </w:rPr>
        <w:t>处村庄</w:t>
      </w:r>
      <w:r>
        <w:rPr>
          <w:rFonts w:hint="eastAsia" w:ascii="Times New Roman" w:hAnsi="Times New Roman" w:eastAsia="宋体" w:cs="Times New Roman"/>
          <w:sz w:val="24"/>
        </w:rPr>
        <w:t>居民点</w:t>
      </w:r>
      <w:r>
        <w:rPr>
          <w:rFonts w:ascii="Times New Roman" w:hAnsi="Times New Roman" w:eastAsia="宋体" w:cs="Times New Roman"/>
          <w:sz w:val="24"/>
        </w:rPr>
        <w:t>中，运营近、中、远期昼间</w:t>
      </w:r>
      <w:r>
        <w:rPr>
          <w:rFonts w:hint="eastAsia" w:ascii="Times New Roman" w:hAnsi="Times New Roman" w:eastAsia="宋体" w:cs="Times New Roman"/>
          <w:sz w:val="24"/>
        </w:rPr>
        <w:t>分别</w:t>
      </w:r>
      <w:r>
        <w:rPr>
          <w:rFonts w:ascii="Times New Roman" w:hAnsi="Times New Roman" w:eastAsia="宋体" w:cs="Times New Roman"/>
          <w:sz w:val="24"/>
        </w:rPr>
        <w:t>有</w:t>
      </w:r>
      <w:r>
        <w:rPr>
          <w:rFonts w:hint="eastAsia" w:ascii="Times New Roman" w:hAnsi="Times New Roman" w:eastAsia="宋体" w:cs="Times New Roman"/>
          <w:sz w:val="24"/>
        </w:rPr>
        <w:t>1</w:t>
      </w:r>
      <w:r>
        <w:rPr>
          <w:rFonts w:ascii="Times New Roman" w:hAnsi="Times New Roman" w:eastAsia="宋体" w:cs="Times New Roman"/>
          <w:sz w:val="24"/>
        </w:rPr>
        <w:t>处、</w:t>
      </w:r>
      <w:r>
        <w:rPr>
          <w:rFonts w:hint="eastAsia" w:ascii="Times New Roman" w:hAnsi="Times New Roman" w:eastAsia="宋体" w:cs="Times New Roman"/>
          <w:sz w:val="24"/>
        </w:rPr>
        <w:t>3处和3处</w:t>
      </w:r>
      <w:r>
        <w:rPr>
          <w:rFonts w:ascii="Times New Roman" w:hAnsi="Times New Roman" w:eastAsia="宋体" w:cs="Times New Roman"/>
          <w:sz w:val="24"/>
        </w:rPr>
        <w:t>超标，超标量分别为：</w:t>
      </w:r>
      <w:r>
        <w:rPr>
          <w:rFonts w:hint="eastAsia" w:ascii="Times New Roman" w:hAnsi="Times New Roman" w:eastAsia="宋体" w:cs="Times New Roman"/>
          <w:sz w:val="24"/>
        </w:rPr>
        <w:t>1.2</w:t>
      </w:r>
      <w:r>
        <w:rPr>
          <w:rFonts w:ascii="Times New Roman" w:hAnsi="Times New Roman" w:eastAsia="宋体" w:cs="Times New Roman"/>
          <w:sz w:val="24"/>
        </w:rPr>
        <w:t>dB、</w:t>
      </w:r>
      <w:r>
        <w:rPr>
          <w:rFonts w:hint="eastAsia" w:ascii="Times New Roman" w:hAnsi="Times New Roman" w:eastAsia="宋体" w:cs="Times New Roman"/>
          <w:sz w:val="24"/>
        </w:rPr>
        <w:t>0.3</w:t>
      </w:r>
      <w:r>
        <w:rPr>
          <w:rFonts w:ascii="Times New Roman" w:hAnsi="Times New Roman" w:eastAsia="宋体" w:cs="Times New Roman"/>
          <w:sz w:val="24"/>
        </w:rPr>
        <w:t>~</w:t>
      </w:r>
      <w:r>
        <w:rPr>
          <w:rFonts w:hint="eastAsia" w:ascii="Times New Roman" w:hAnsi="Times New Roman" w:eastAsia="宋体" w:cs="Times New Roman"/>
          <w:sz w:val="24"/>
        </w:rPr>
        <w:t>2.0</w:t>
      </w:r>
      <w:r>
        <w:rPr>
          <w:rFonts w:ascii="Times New Roman" w:hAnsi="Times New Roman" w:eastAsia="宋体" w:cs="Times New Roman"/>
          <w:sz w:val="24"/>
        </w:rPr>
        <w:t>dB、</w:t>
      </w:r>
      <w:r>
        <w:rPr>
          <w:rFonts w:hint="eastAsia" w:ascii="Times New Roman" w:hAnsi="Times New Roman" w:eastAsia="宋体" w:cs="Times New Roman"/>
          <w:sz w:val="24"/>
        </w:rPr>
        <w:t>0.9</w:t>
      </w:r>
      <w:r>
        <w:rPr>
          <w:rFonts w:ascii="Times New Roman" w:hAnsi="Times New Roman" w:eastAsia="宋体" w:cs="Times New Roman"/>
          <w:sz w:val="24"/>
        </w:rPr>
        <w:t>~</w:t>
      </w:r>
      <w:r>
        <w:rPr>
          <w:rFonts w:hint="eastAsia" w:ascii="Times New Roman" w:hAnsi="Times New Roman" w:eastAsia="宋体" w:cs="Times New Roman"/>
          <w:sz w:val="24"/>
        </w:rPr>
        <w:t>1.2</w:t>
      </w:r>
      <w:r>
        <w:rPr>
          <w:rFonts w:ascii="Times New Roman" w:hAnsi="Times New Roman" w:eastAsia="宋体" w:cs="Times New Roman"/>
          <w:sz w:val="24"/>
        </w:rPr>
        <w:t>dB；运营近、中、远期夜间</w:t>
      </w:r>
      <w:r>
        <w:rPr>
          <w:rFonts w:hint="eastAsia" w:ascii="Times New Roman" w:hAnsi="Times New Roman" w:eastAsia="宋体" w:cs="Times New Roman"/>
          <w:sz w:val="24"/>
        </w:rPr>
        <w:t>22</w:t>
      </w:r>
      <w:r>
        <w:rPr>
          <w:rFonts w:ascii="Times New Roman" w:hAnsi="Times New Roman" w:eastAsia="宋体" w:cs="Times New Roman"/>
          <w:sz w:val="24"/>
        </w:rPr>
        <w:t>处均超标，超标量分别为：</w:t>
      </w:r>
      <w:r>
        <w:rPr>
          <w:rFonts w:hint="eastAsia" w:ascii="Times New Roman" w:hAnsi="Times New Roman" w:eastAsia="宋体" w:cs="Times New Roman"/>
          <w:sz w:val="24"/>
        </w:rPr>
        <w:t>1.3</w:t>
      </w:r>
      <w:r>
        <w:rPr>
          <w:rFonts w:ascii="Times New Roman" w:hAnsi="Times New Roman" w:eastAsia="宋体" w:cs="Times New Roman"/>
          <w:sz w:val="24"/>
        </w:rPr>
        <w:t>~</w:t>
      </w:r>
      <w:r>
        <w:rPr>
          <w:rFonts w:hint="eastAsia" w:ascii="Times New Roman" w:hAnsi="Times New Roman" w:eastAsia="宋体" w:cs="Times New Roman"/>
          <w:sz w:val="24"/>
        </w:rPr>
        <w:t>8.7</w:t>
      </w:r>
      <w:r>
        <w:rPr>
          <w:rFonts w:ascii="Times New Roman" w:hAnsi="Times New Roman" w:eastAsia="宋体" w:cs="Times New Roman"/>
          <w:sz w:val="24"/>
        </w:rPr>
        <w:t>dB、</w:t>
      </w:r>
      <w:r>
        <w:rPr>
          <w:rFonts w:hint="eastAsia" w:ascii="Times New Roman" w:hAnsi="Times New Roman" w:eastAsia="宋体" w:cs="Times New Roman"/>
          <w:sz w:val="24"/>
        </w:rPr>
        <w:t>2.1</w:t>
      </w:r>
      <w:r>
        <w:rPr>
          <w:rFonts w:ascii="Times New Roman" w:hAnsi="Times New Roman" w:eastAsia="宋体" w:cs="Times New Roman"/>
          <w:sz w:val="24"/>
        </w:rPr>
        <w:t>~</w:t>
      </w:r>
      <w:r>
        <w:rPr>
          <w:rFonts w:hint="eastAsia" w:ascii="Times New Roman" w:hAnsi="Times New Roman" w:eastAsia="宋体" w:cs="Times New Roman"/>
          <w:sz w:val="24"/>
        </w:rPr>
        <w:t>9.5</w:t>
      </w:r>
      <w:r>
        <w:rPr>
          <w:rFonts w:ascii="Times New Roman" w:hAnsi="Times New Roman" w:eastAsia="宋体" w:cs="Times New Roman"/>
          <w:sz w:val="24"/>
        </w:rPr>
        <w:t>dB、</w:t>
      </w:r>
      <w:r>
        <w:rPr>
          <w:rFonts w:hint="eastAsia" w:ascii="Times New Roman" w:hAnsi="Times New Roman" w:eastAsia="宋体" w:cs="Times New Roman"/>
          <w:sz w:val="24"/>
        </w:rPr>
        <w:t>2.8</w:t>
      </w:r>
      <w:r>
        <w:rPr>
          <w:rFonts w:ascii="Times New Roman" w:hAnsi="Times New Roman" w:eastAsia="宋体" w:cs="Times New Roman"/>
          <w:sz w:val="24"/>
        </w:rPr>
        <w:t>~</w:t>
      </w:r>
      <w:r>
        <w:rPr>
          <w:rFonts w:hint="eastAsia" w:ascii="Times New Roman" w:hAnsi="Times New Roman" w:eastAsia="宋体" w:cs="Times New Roman"/>
          <w:sz w:val="24"/>
        </w:rPr>
        <w:t>10.2</w:t>
      </w:r>
      <w:r>
        <w:rPr>
          <w:rFonts w:ascii="Times New Roman" w:hAnsi="Times New Roman" w:eastAsia="宋体" w:cs="Times New Roman"/>
          <w:sz w:val="24"/>
        </w:rPr>
        <w:t>dB。沿线</w:t>
      </w:r>
      <w:r>
        <w:rPr>
          <w:rFonts w:hint="eastAsia" w:ascii="Times New Roman" w:hAnsi="Times New Roman" w:eastAsia="宋体" w:cs="Times New Roman"/>
          <w:sz w:val="24"/>
        </w:rPr>
        <w:t>6</w:t>
      </w:r>
      <w:r>
        <w:rPr>
          <w:rFonts w:hint="eastAsia" w:ascii="Times New Roman" w:hAnsi="Times New Roman" w:eastAsia="宋体" w:cs="Times New Roman"/>
          <w:sz w:val="24"/>
          <w:lang w:eastAsia="zh-CN"/>
        </w:rPr>
        <w:t>所</w:t>
      </w:r>
      <w:r>
        <w:rPr>
          <w:rFonts w:hint="eastAsia" w:ascii="Times New Roman" w:hAnsi="Times New Roman" w:eastAsia="宋体" w:cs="Times New Roman"/>
          <w:sz w:val="24"/>
        </w:rPr>
        <w:t>学校</w:t>
      </w:r>
      <w:r>
        <w:rPr>
          <w:rFonts w:ascii="Times New Roman" w:hAnsi="Times New Roman" w:eastAsia="宋体" w:cs="Times New Roman"/>
          <w:sz w:val="24"/>
        </w:rPr>
        <w:t>，</w:t>
      </w:r>
      <w:r>
        <w:rPr>
          <w:rFonts w:hint="eastAsia" w:ascii="Times New Roman" w:hAnsi="Times New Roman" w:eastAsia="宋体" w:cs="Times New Roman"/>
          <w:sz w:val="24"/>
        </w:rPr>
        <w:t>英兰干村幼儿园和夏合亚迪村小学等2处</w:t>
      </w:r>
      <w:r>
        <w:rPr>
          <w:rFonts w:ascii="Times New Roman" w:hAnsi="Times New Roman" w:eastAsia="宋体" w:cs="Times New Roman"/>
          <w:sz w:val="24"/>
        </w:rPr>
        <w:t>昼间营运近、中、远期噪声预测值均达标，学校夜间无住宿，不评价</w:t>
      </w:r>
      <w:r>
        <w:rPr>
          <w:rFonts w:hint="eastAsia" w:ascii="Times New Roman" w:hAnsi="Times New Roman" w:eastAsia="宋体" w:cs="Times New Roman"/>
          <w:sz w:val="24"/>
        </w:rPr>
        <w:t>；格达良乡中心小学、阿亚格勒格勒德玛小学和伽师县和夏阿瓦提镇夏合亚迪村幼儿园等3</w:t>
      </w:r>
      <w:r>
        <w:rPr>
          <w:rFonts w:ascii="Times New Roman" w:hAnsi="Times New Roman" w:eastAsia="宋体" w:cs="Times New Roman"/>
          <w:sz w:val="24"/>
        </w:rPr>
        <w:t>处昼间营运近、中、远期噪声预测值均</w:t>
      </w:r>
      <w:r>
        <w:rPr>
          <w:rFonts w:hint="eastAsia" w:ascii="Times New Roman" w:hAnsi="Times New Roman" w:eastAsia="宋体" w:cs="Times New Roman"/>
          <w:sz w:val="24"/>
        </w:rPr>
        <w:t>超标</w:t>
      </w:r>
      <w:r>
        <w:rPr>
          <w:rFonts w:ascii="Times New Roman" w:hAnsi="Times New Roman" w:eastAsia="宋体" w:cs="Times New Roman"/>
          <w:sz w:val="24"/>
        </w:rPr>
        <w:t>，超标量分别为：</w:t>
      </w:r>
      <w:r>
        <w:rPr>
          <w:rFonts w:hint="eastAsia" w:ascii="Times New Roman" w:hAnsi="Times New Roman" w:eastAsia="宋体" w:cs="Times New Roman"/>
          <w:sz w:val="24"/>
        </w:rPr>
        <w:t>1.4</w:t>
      </w:r>
      <w:r>
        <w:rPr>
          <w:rFonts w:ascii="Times New Roman" w:hAnsi="Times New Roman" w:eastAsia="宋体" w:cs="Times New Roman"/>
          <w:sz w:val="24"/>
        </w:rPr>
        <w:t>～</w:t>
      </w:r>
      <w:r>
        <w:rPr>
          <w:rFonts w:hint="eastAsia" w:ascii="Times New Roman" w:hAnsi="Times New Roman" w:eastAsia="宋体" w:cs="Times New Roman"/>
          <w:sz w:val="24"/>
        </w:rPr>
        <w:t>6.0</w:t>
      </w:r>
      <w:r>
        <w:rPr>
          <w:rFonts w:ascii="Times New Roman" w:hAnsi="Times New Roman" w:eastAsia="宋体" w:cs="Times New Roman"/>
          <w:sz w:val="24"/>
        </w:rPr>
        <w:t>dB</w:t>
      </w:r>
      <w:r>
        <w:rPr>
          <w:rFonts w:hint="eastAsia" w:ascii="Times New Roman" w:hAnsi="Times New Roman" w:eastAsia="宋体" w:cs="Times New Roman"/>
          <w:sz w:val="24"/>
        </w:rPr>
        <w:t>、2.2</w:t>
      </w:r>
      <w:r>
        <w:rPr>
          <w:rFonts w:ascii="Times New Roman" w:hAnsi="Times New Roman" w:eastAsia="宋体" w:cs="Times New Roman"/>
          <w:sz w:val="24"/>
        </w:rPr>
        <w:t>～</w:t>
      </w:r>
      <w:r>
        <w:rPr>
          <w:rFonts w:hint="eastAsia" w:ascii="Times New Roman" w:hAnsi="Times New Roman" w:eastAsia="宋体" w:cs="Times New Roman"/>
          <w:sz w:val="24"/>
        </w:rPr>
        <w:t>6.8</w:t>
      </w:r>
      <w:r>
        <w:rPr>
          <w:rFonts w:ascii="Times New Roman" w:hAnsi="Times New Roman" w:eastAsia="宋体" w:cs="Times New Roman"/>
          <w:sz w:val="24"/>
        </w:rPr>
        <w:t>dB</w:t>
      </w:r>
      <w:r>
        <w:rPr>
          <w:rFonts w:hint="eastAsia" w:ascii="Times New Roman" w:hAnsi="Times New Roman" w:eastAsia="宋体" w:cs="Times New Roman"/>
          <w:sz w:val="24"/>
        </w:rPr>
        <w:t>和1.1</w:t>
      </w:r>
      <w:r>
        <w:rPr>
          <w:rFonts w:ascii="Times New Roman" w:hAnsi="Times New Roman" w:eastAsia="宋体" w:cs="Times New Roman"/>
          <w:sz w:val="24"/>
        </w:rPr>
        <w:t>～</w:t>
      </w:r>
      <w:r>
        <w:rPr>
          <w:rFonts w:hint="eastAsia" w:ascii="Times New Roman" w:hAnsi="Times New Roman" w:eastAsia="宋体" w:cs="Times New Roman"/>
          <w:sz w:val="24"/>
        </w:rPr>
        <w:t>5.7</w:t>
      </w:r>
      <w:r>
        <w:rPr>
          <w:rFonts w:ascii="Times New Roman" w:hAnsi="Times New Roman" w:eastAsia="宋体" w:cs="Times New Roman"/>
          <w:sz w:val="24"/>
        </w:rPr>
        <w:t>dB</w:t>
      </w:r>
      <w:r>
        <w:rPr>
          <w:rFonts w:hint="eastAsia" w:ascii="Times New Roman" w:hAnsi="Times New Roman" w:eastAsia="宋体" w:cs="Times New Roman"/>
          <w:sz w:val="24"/>
        </w:rPr>
        <w:t>，</w:t>
      </w:r>
      <w:r>
        <w:rPr>
          <w:rFonts w:ascii="Times New Roman" w:hAnsi="Times New Roman" w:eastAsia="宋体" w:cs="Times New Roman"/>
          <w:sz w:val="24"/>
        </w:rPr>
        <w:t>学校夜间无住宿，不评价；</w:t>
      </w:r>
      <w:r>
        <w:rPr>
          <w:rFonts w:hint="eastAsia" w:ascii="Times New Roman" w:hAnsi="Times New Roman" w:eastAsia="宋体" w:cs="Times New Roman"/>
          <w:sz w:val="24"/>
        </w:rPr>
        <w:t>伽师县中等职业技术学校</w:t>
      </w:r>
      <w:r>
        <w:rPr>
          <w:rFonts w:ascii="Times New Roman" w:hAnsi="Times New Roman" w:eastAsia="宋体" w:cs="Times New Roman"/>
          <w:sz w:val="24"/>
        </w:rPr>
        <w:t>营运近、中、远期昼间和夜间均</w:t>
      </w:r>
      <w:r>
        <w:rPr>
          <w:rFonts w:hint="eastAsia" w:ascii="Times New Roman" w:hAnsi="Times New Roman" w:eastAsia="宋体" w:cs="Times New Roman"/>
          <w:sz w:val="24"/>
        </w:rPr>
        <w:t>超标，昼间</w:t>
      </w:r>
      <w:r>
        <w:rPr>
          <w:rFonts w:ascii="Times New Roman" w:hAnsi="Times New Roman" w:eastAsia="宋体" w:cs="Times New Roman"/>
          <w:sz w:val="24"/>
        </w:rPr>
        <w:t>超标量分别为：</w:t>
      </w:r>
      <w:r>
        <w:rPr>
          <w:rFonts w:hint="eastAsia" w:ascii="Times New Roman" w:hAnsi="Times New Roman" w:eastAsia="宋体" w:cs="Times New Roman"/>
          <w:sz w:val="24"/>
        </w:rPr>
        <w:t>2.7</w:t>
      </w:r>
      <w:r>
        <w:rPr>
          <w:rFonts w:ascii="Times New Roman" w:hAnsi="Times New Roman" w:eastAsia="宋体" w:cs="Times New Roman"/>
          <w:sz w:val="24"/>
        </w:rPr>
        <w:t>dB、</w:t>
      </w:r>
      <w:r>
        <w:rPr>
          <w:rFonts w:hint="eastAsia" w:ascii="Times New Roman" w:hAnsi="Times New Roman" w:eastAsia="宋体" w:cs="Times New Roman"/>
          <w:sz w:val="24"/>
        </w:rPr>
        <w:t>3.5</w:t>
      </w:r>
      <w:r>
        <w:rPr>
          <w:rFonts w:ascii="Times New Roman" w:hAnsi="Times New Roman" w:eastAsia="宋体" w:cs="Times New Roman"/>
          <w:sz w:val="24"/>
        </w:rPr>
        <w:t>dB、</w:t>
      </w:r>
      <w:r>
        <w:rPr>
          <w:rFonts w:hint="eastAsia" w:ascii="Times New Roman" w:hAnsi="Times New Roman" w:eastAsia="宋体" w:cs="Times New Roman"/>
          <w:sz w:val="24"/>
        </w:rPr>
        <w:t>4.2</w:t>
      </w:r>
      <w:r>
        <w:rPr>
          <w:rFonts w:ascii="Times New Roman" w:hAnsi="Times New Roman" w:eastAsia="宋体" w:cs="Times New Roman"/>
          <w:sz w:val="24"/>
        </w:rPr>
        <w:t>dB</w:t>
      </w:r>
      <w:r>
        <w:rPr>
          <w:rFonts w:hint="eastAsia" w:ascii="Times New Roman" w:hAnsi="Times New Roman" w:eastAsia="宋体" w:cs="Times New Roman"/>
          <w:sz w:val="24"/>
        </w:rPr>
        <w:t>，夜间</w:t>
      </w:r>
      <w:r>
        <w:rPr>
          <w:rFonts w:ascii="Times New Roman" w:hAnsi="Times New Roman" w:eastAsia="宋体" w:cs="Times New Roman"/>
          <w:sz w:val="24"/>
        </w:rPr>
        <w:t>超标量分别为：</w:t>
      </w:r>
      <w:r>
        <w:rPr>
          <w:rFonts w:hint="eastAsia" w:ascii="Times New Roman" w:hAnsi="Times New Roman" w:eastAsia="宋体" w:cs="Times New Roman"/>
          <w:sz w:val="24"/>
        </w:rPr>
        <w:t>3.4</w:t>
      </w:r>
      <w:r>
        <w:rPr>
          <w:rFonts w:ascii="Times New Roman" w:hAnsi="Times New Roman" w:eastAsia="宋体" w:cs="Times New Roman"/>
          <w:sz w:val="24"/>
        </w:rPr>
        <w:t>dB、</w:t>
      </w:r>
      <w:r>
        <w:rPr>
          <w:rFonts w:hint="eastAsia" w:ascii="Times New Roman" w:hAnsi="Times New Roman" w:eastAsia="宋体" w:cs="Times New Roman"/>
          <w:sz w:val="24"/>
        </w:rPr>
        <w:t>4.2</w:t>
      </w:r>
      <w:r>
        <w:rPr>
          <w:rFonts w:ascii="Times New Roman" w:hAnsi="Times New Roman" w:eastAsia="宋体" w:cs="Times New Roman"/>
          <w:sz w:val="24"/>
        </w:rPr>
        <w:t>dB、</w:t>
      </w:r>
      <w:r>
        <w:rPr>
          <w:rFonts w:hint="eastAsia" w:ascii="Times New Roman" w:hAnsi="Times New Roman" w:eastAsia="宋体" w:cs="Times New Roman"/>
          <w:sz w:val="24"/>
        </w:rPr>
        <w:t>4.9</w:t>
      </w:r>
      <w:r>
        <w:rPr>
          <w:rFonts w:ascii="Times New Roman" w:hAnsi="Times New Roman" w:eastAsia="宋体" w:cs="Times New Roman"/>
          <w:sz w:val="24"/>
        </w:rPr>
        <w:t>dB。</w:t>
      </w:r>
      <w:r>
        <w:rPr>
          <w:rFonts w:hint="eastAsia" w:ascii="Times New Roman" w:hAnsi="Times New Roman" w:eastAsia="宋体" w:cs="Times New Roman"/>
          <w:sz w:val="24"/>
        </w:rPr>
        <w:t>格达良乡卫生院</w:t>
      </w:r>
      <w:r>
        <w:rPr>
          <w:rFonts w:ascii="Times New Roman" w:hAnsi="Times New Roman" w:eastAsia="宋体" w:cs="Times New Roman"/>
          <w:sz w:val="24"/>
        </w:rPr>
        <w:t>营运近、中、远期昼</w:t>
      </w:r>
      <w:r>
        <w:rPr>
          <w:rFonts w:hint="eastAsia" w:ascii="Times New Roman" w:hAnsi="Times New Roman" w:eastAsia="宋体" w:cs="Times New Roman"/>
          <w:sz w:val="24"/>
        </w:rPr>
        <w:t>间</w:t>
      </w:r>
      <w:r>
        <w:rPr>
          <w:rFonts w:ascii="Times New Roman" w:hAnsi="Times New Roman" w:eastAsia="宋体" w:cs="Times New Roman"/>
          <w:sz w:val="24"/>
        </w:rPr>
        <w:t>噪声预测值均达标，夜间噪声预测值均</w:t>
      </w:r>
      <w:r>
        <w:rPr>
          <w:rFonts w:hint="eastAsia" w:ascii="Times New Roman" w:hAnsi="Times New Roman" w:eastAsia="宋体" w:cs="Times New Roman"/>
          <w:sz w:val="24"/>
        </w:rPr>
        <w:t>超标</w:t>
      </w:r>
      <w:r>
        <w:rPr>
          <w:rFonts w:ascii="Times New Roman" w:hAnsi="Times New Roman" w:eastAsia="宋体" w:cs="Times New Roman"/>
          <w:sz w:val="24"/>
        </w:rPr>
        <w:t>，超标量分别为：</w:t>
      </w:r>
      <w:r>
        <w:rPr>
          <w:rFonts w:hint="eastAsia" w:ascii="Times New Roman" w:hAnsi="Times New Roman" w:eastAsia="宋体" w:cs="Times New Roman"/>
          <w:sz w:val="24"/>
        </w:rPr>
        <w:t>5.3</w:t>
      </w:r>
      <w:r>
        <w:rPr>
          <w:rFonts w:ascii="Times New Roman" w:hAnsi="Times New Roman" w:eastAsia="宋体" w:cs="Times New Roman"/>
          <w:sz w:val="24"/>
        </w:rPr>
        <w:t>dB</w:t>
      </w:r>
      <w:r>
        <w:rPr>
          <w:rFonts w:hint="eastAsia" w:ascii="Times New Roman" w:hAnsi="Times New Roman" w:eastAsia="宋体" w:cs="Times New Roman"/>
          <w:sz w:val="24"/>
        </w:rPr>
        <w:t>、6.1</w:t>
      </w:r>
      <w:r>
        <w:rPr>
          <w:rFonts w:ascii="Times New Roman" w:hAnsi="Times New Roman" w:eastAsia="宋体" w:cs="Times New Roman"/>
          <w:sz w:val="24"/>
        </w:rPr>
        <w:t>dB</w:t>
      </w:r>
      <w:r>
        <w:rPr>
          <w:rFonts w:hint="eastAsia" w:ascii="Times New Roman" w:hAnsi="Times New Roman" w:eastAsia="宋体" w:cs="Times New Roman"/>
          <w:sz w:val="24"/>
        </w:rPr>
        <w:t>和6.8</w:t>
      </w:r>
      <w:r>
        <w:rPr>
          <w:rFonts w:ascii="Times New Roman" w:hAnsi="Times New Roman" w:eastAsia="宋体" w:cs="Times New Roman"/>
          <w:sz w:val="24"/>
        </w:rPr>
        <w:t>dB。</w:t>
      </w:r>
    </w:p>
    <w:p w14:paraId="270FE04C">
      <w:pPr>
        <w:spacing w:line="300" w:lineRule="auto"/>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9</w:t>
      </w:r>
      <w:r>
        <w:rPr>
          <w:rFonts w:ascii="Times New Roman" w:hAnsi="Times New Roman" w:eastAsia="宋体" w:cs="Times New Roman"/>
          <w:color w:val="auto"/>
          <w:sz w:val="24"/>
        </w:rPr>
        <w:t>.</w:t>
      </w:r>
      <w:r>
        <w:rPr>
          <w:rFonts w:hint="eastAsia" w:ascii="Times New Roman" w:hAnsi="Times New Roman" w:eastAsia="宋体" w:cs="Times New Roman"/>
          <w:color w:val="auto"/>
          <w:sz w:val="24"/>
        </w:rPr>
        <w:t xml:space="preserve"> </w:t>
      </w:r>
      <w:r>
        <w:rPr>
          <w:rFonts w:ascii="Times New Roman" w:hAnsi="Times New Roman" w:eastAsia="宋体" w:cs="Times New Roman"/>
          <w:color w:val="auto"/>
          <w:sz w:val="24"/>
        </w:rPr>
        <w:t>本评价对拟建</w:t>
      </w:r>
      <w:r>
        <w:rPr>
          <w:rFonts w:hint="eastAsia" w:ascii="Times New Roman" w:hAnsi="Times New Roman" w:eastAsia="宋体" w:cs="Times New Roman"/>
          <w:color w:val="auto"/>
          <w:sz w:val="24"/>
        </w:rPr>
        <w:t>公路</w:t>
      </w:r>
      <w:r>
        <w:rPr>
          <w:rFonts w:ascii="Times New Roman" w:hAnsi="Times New Roman" w:eastAsia="宋体" w:cs="Times New Roman"/>
          <w:color w:val="auto"/>
          <w:sz w:val="24"/>
        </w:rPr>
        <w:t>沿线营运中期噪声预测结果超标的</w:t>
      </w:r>
      <w:r>
        <w:rPr>
          <w:rFonts w:hint="eastAsia" w:ascii="Times New Roman" w:hAnsi="Times New Roman" w:eastAsia="宋体" w:cs="Times New Roman"/>
          <w:color w:val="auto"/>
          <w:sz w:val="24"/>
        </w:rPr>
        <w:t>27</w:t>
      </w:r>
      <w:r>
        <w:rPr>
          <w:rFonts w:ascii="Times New Roman" w:hAnsi="Times New Roman" w:eastAsia="宋体" w:cs="Times New Roman"/>
          <w:color w:val="auto"/>
          <w:sz w:val="24"/>
        </w:rPr>
        <w:t>敏感点提出了降噪措施，</w:t>
      </w:r>
      <w:r>
        <w:rPr>
          <w:rFonts w:ascii="Times New Roman" w:hAnsi="Times New Roman" w:cs="Times New Roman" w:eastAsiaTheme="minorEastAsia"/>
          <w:color w:val="auto"/>
          <w:sz w:val="24"/>
        </w:rPr>
        <w:t>降噪措施投资共</w:t>
      </w:r>
      <w:r>
        <w:rPr>
          <w:rFonts w:hint="eastAsia" w:ascii="Times New Roman" w:hAnsi="Times New Roman" w:cs="Times New Roman" w:eastAsiaTheme="minorEastAsia"/>
          <w:color w:val="auto"/>
          <w:sz w:val="24"/>
        </w:rPr>
        <w:t>4332</w:t>
      </w:r>
      <w:r>
        <w:rPr>
          <w:rFonts w:ascii="Times New Roman" w:hAnsi="Times New Roman" w:cs="Times New Roman" w:eastAsiaTheme="minorEastAsia"/>
          <w:color w:val="auto"/>
          <w:sz w:val="24"/>
        </w:rPr>
        <w:t>万元，包括：声屏障（3m高</w:t>
      </w:r>
      <w:r>
        <w:rPr>
          <w:rFonts w:hint="eastAsia" w:ascii="Times New Roman" w:hAnsi="Times New Roman" w:cs="Times New Roman" w:eastAsiaTheme="minorEastAsia"/>
          <w:color w:val="auto"/>
          <w:sz w:val="24"/>
        </w:rPr>
        <w:t>13990</w:t>
      </w:r>
      <w:r>
        <w:rPr>
          <w:rFonts w:ascii="Times New Roman" w:hAnsi="Times New Roman" w:cs="Times New Roman" w:eastAsiaTheme="minorEastAsia"/>
          <w:color w:val="auto"/>
          <w:sz w:val="24"/>
        </w:rPr>
        <w:t>m）</w:t>
      </w:r>
      <w:r>
        <w:rPr>
          <w:rFonts w:hint="eastAsia" w:ascii="Times New Roman" w:hAnsi="Times New Roman" w:cs="Times New Roman" w:eastAsiaTheme="minorEastAsia"/>
          <w:color w:val="auto"/>
          <w:sz w:val="24"/>
        </w:rPr>
        <w:t>+隔声窗（</w:t>
      </w:r>
      <w:r>
        <w:rPr>
          <w:rFonts w:ascii="Times New Roman" w:hAnsi="Times New Roman" w:cs="Times New Roman" w:eastAsiaTheme="minorEastAsia"/>
          <w:color w:val="auto"/>
          <w:sz w:val="24"/>
        </w:rPr>
        <w:t>居民</w:t>
      </w:r>
      <w:r>
        <w:rPr>
          <w:rFonts w:hint="eastAsia" w:ascii="Times New Roman" w:hAnsi="Times New Roman" w:cs="Times New Roman" w:eastAsiaTheme="minorEastAsia"/>
          <w:color w:val="auto"/>
          <w:sz w:val="24"/>
        </w:rPr>
        <w:t>459户、卫生院1处、学校2处）15</w:t>
      </w:r>
      <w:r>
        <w:rPr>
          <w:rFonts w:ascii="Times New Roman" w:hAnsi="Times New Roman" w:cs="Times New Roman" w:eastAsiaTheme="minorEastAsia"/>
          <w:color w:val="auto"/>
          <w:sz w:val="24"/>
        </w:rPr>
        <w:t>处，费用</w:t>
      </w:r>
      <w:r>
        <w:rPr>
          <w:rFonts w:hint="eastAsia" w:ascii="Times New Roman" w:hAnsi="Times New Roman" w:cs="Times New Roman" w:eastAsiaTheme="minorEastAsia"/>
          <w:color w:val="auto"/>
          <w:sz w:val="24"/>
        </w:rPr>
        <w:t>3662</w:t>
      </w:r>
      <w:r>
        <w:rPr>
          <w:rFonts w:ascii="Times New Roman" w:hAnsi="Times New Roman" w:cs="Times New Roman" w:eastAsiaTheme="minorEastAsia"/>
          <w:color w:val="auto"/>
          <w:sz w:val="24"/>
        </w:rPr>
        <w:t>万元；声屏障（3m高</w:t>
      </w:r>
      <w:r>
        <w:rPr>
          <w:rFonts w:hint="eastAsia" w:ascii="Times New Roman" w:hAnsi="Times New Roman" w:cs="Times New Roman" w:eastAsiaTheme="minorEastAsia"/>
          <w:color w:val="auto"/>
          <w:sz w:val="24"/>
        </w:rPr>
        <w:t>500</w:t>
      </w:r>
      <w:r>
        <w:rPr>
          <w:rFonts w:ascii="Times New Roman" w:hAnsi="Times New Roman" w:cs="Times New Roman" w:eastAsiaTheme="minorEastAsia"/>
          <w:color w:val="auto"/>
          <w:sz w:val="24"/>
        </w:rPr>
        <w:t>m）</w:t>
      </w:r>
      <w:r>
        <w:rPr>
          <w:rFonts w:hint="eastAsia" w:ascii="Times New Roman" w:hAnsi="Times New Roman" w:cs="Times New Roman" w:eastAsiaTheme="minorEastAsia"/>
          <w:color w:val="auto"/>
          <w:sz w:val="24"/>
        </w:rPr>
        <w:t>2</w:t>
      </w:r>
      <w:r>
        <w:rPr>
          <w:rFonts w:ascii="Times New Roman" w:hAnsi="Times New Roman" w:cs="Times New Roman" w:eastAsiaTheme="minorEastAsia"/>
          <w:color w:val="auto"/>
          <w:sz w:val="24"/>
        </w:rPr>
        <w:t>处，费用</w:t>
      </w:r>
      <w:r>
        <w:rPr>
          <w:rFonts w:hint="eastAsia" w:ascii="Times New Roman" w:hAnsi="Times New Roman" w:cs="Times New Roman" w:eastAsiaTheme="minorEastAsia"/>
          <w:color w:val="auto"/>
          <w:sz w:val="24"/>
        </w:rPr>
        <w:t>100</w:t>
      </w:r>
      <w:r>
        <w:rPr>
          <w:rFonts w:ascii="Times New Roman" w:hAnsi="Times New Roman" w:cs="Times New Roman" w:eastAsiaTheme="minorEastAsia"/>
          <w:color w:val="auto"/>
          <w:sz w:val="24"/>
        </w:rPr>
        <w:t>万元；隔声窗（居民</w:t>
      </w:r>
      <w:r>
        <w:rPr>
          <w:rFonts w:hint="eastAsia" w:ascii="Times New Roman" w:hAnsi="Times New Roman" w:cs="Times New Roman" w:eastAsiaTheme="minorEastAsia"/>
          <w:color w:val="auto"/>
          <w:sz w:val="24"/>
        </w:rPr>
        <w:t>480</w:t>
      </w:r>
      <w:r>
        <w:rPr>
          <w:rFonts w:ascii="Times New Roman" w:hAnsi="Times New Roman" w:cs="Times New Roman" w:eastAsiaTheme="minorEastAsia"/>
          <w:color w:val="auto"/>
          <w:sz w:val="24"/>
        </w:rPr>
        <w:t>户、学校</w:t>
      </w:r>
      <w:r>
        <w:rPr>
          <w:rFonts w:hint="eastAsia" w:ascii="Times New Roman" w:hAnsi="Times New Roman" w:cs="Times New Roman" w:eastAsiaTheme="minorEastAsia"/>
          <w:color w:val="auto"/>
          <w:sz w:val="24"/>
        </w:rPr>
        <w:t>1处</w:t>
      </w:r>
      <w:r>
        <w:rPr>
          <w:rFonts w:ascii="Times New Roman" w:hAnsi="Times New Roman" w:cs="Times New Roman" w:eastAsiaTheme="minorEastAsia"/>
          <w:color w:val="auto"/>
          <w:sz w:val="24"/>
        </w:rPr>
        <w:t>）</w:t>
      </w:r>
      <w:r>
        <w:rPr>
          <w:rFonts w:hint="eastAsia" w:ascii="Times New Roman" w:hAnsi="Times New Roman" w:cs="Times New Roman" w:eastAsiaTheme="minorEastAsia"/>
          <w:color w:val="auto"/>
          <w:sz w:val="24"/>
        </w:rPr>
        <w:t>11</w:t>
      </w:r>
      <w:r>
        <w:rPr>
          <w:rFonts w:ascii="Times New Roman" w:hAnsi="Times New Roman" w:cs="Times New Roman" w:eastAsiaTheme="minorEastAsia"/>
          <w:color w:val="auto"/>
          <w:sz w:val="24"/>
        </w:rPr>
        <w:t>处，费用</w:t>
      </w:r>
      <w:r>
        <w:rPr>
          <w:rFonts w:hint="eastAsia" w:ascii="Times New Roman" w:hAnsi="Times New Roman" w:cs="Times New Roman" w:eastAsiaTheme="minorEastAsia"/>
          <w:color w:val="auto"/>
          <w:sz w:val="24"/>
        </w:rPr>
        <w:t>570</w:t>
      </w:r>
      <w:r>
        <w:rPr>
          <w:rFonts w:ascii="Times New Roman" w:hAnsi="Times New Roman" w:cs="Times New Roman" w:eastAsiaTheme="minorEastAsia"/>
          <w:color w:val="auto"/>
          <w:sz w:val="24"/>
        </w:rPr>
        <w:t>万元。</w:t>
      </w:r>
    </w:p>
    <w:p w14:paraId="25DF1968">
      <w:pPr>
        <w:adjustRightInd w:val="0"/>
        <w:spacing w:line="300" w:lineRule="auto"/>
        <w:ind w:firstLine="480" w:firstLineChars="200"/>
        <w:textAlignment w:val="baseline"/>
        <w:rPr>
          <w:rFonts w:ascii="Times New Roman" w:hAnsi="Times New Roman" w:eastAsia="宋体" w:cs="Times New Roman"/>
          <w:kern w:val="0"/>
          <w:sz w:val="28"/>
        </w:rPr>
      </w:pPr>
      <w:r>
        <w:rPr>
          <w:rFonts w:hint="eastAsia" w:ascii="Times New Roman" w:hAnsi="Times New Roman" w:eastAsia="宋体" w:cs="Times New Roman"/>
          <w:sz w:val="24"/>
        </w:rPr>
        <w:t>10. 拟建</w:t>
      </w:r>
      <w:r>
        <w:rPr>
          <w:rFonts w:ascii="Times New Roman" w:hAnsi="Times New Roman" w:eastAsia="宋体" w:cs="Times New Roman"/>
          <w:sz w:val="24"/>
        </w:rPr>
        <w:t>公路沿线区域在未采取降噪措施的情况下，建议格达良乡在后期规划时，对于本项目两侧距路中心线</w:t>
      </w:r>
      <w:r>
        <w:rPr>
          <w:rFonts w:hint="eastAsia" w:ascii="Times New Roman" w:hAnsi="Times New Roman" w:eastAsia="宋体" w:cs="Times New Roman"/>
          <w:sz w:val="24"/>
        </w:rPr>
        <w:t>190</w:t>
      </w:r>
      <w:r>
        <w:rPr>
          <w:rFonts w:ascii="Times New Roman" w:hAnsi="Times New Roman" w:eastAsia="宋体" w:cs="Times New Roman"/>
          <w:sz w:val="24"/>
        </w:rPr>
        <w:t>m以内区域的临路第一排房屋不宜居住用地，特别是学校、医院、敬老院等特殊敏感建筑规划建设用地。如确需建设上述噪声敏感建筑物时，应自行采取降噪措施。</w:t>
      </w:r>
    </w:p>
    <w:p w14:paraId="51E0D211">
      <w:pPr>
        <w:adjustRightInd w:val="0"/>
        <w:snapToGrid w:val="0"/>
        <w:spacing w:before="192" w:beforeLines="80"/>
        <w:rPr>
          <w:color w:val="0070C0"/>
          <w:szCs w:val="21"/>
        </w:rPr>
        <w:sectPr>
          <w:headerReference r:id="rId117" w:type="default"/>
          <w:footerReference r:id="rId118" w:type="default"/>
          <w:footerReference r:id="rId119" w:type="even"/>
          <w:pgSz w:w="11906" w:h="16838"/>
          <w:pgMar w:top="1440" w:right="1800" w:bottom="1560" w:left="1800" w:header="851" w:footer="992" w:gutter="0"/>
          <w:pgBorders>
            <w:top w:val="none" w:sz="0" w:space="0"/>
            <w:left w:val="none" w:sz="0" w:space="0"/>
            <w:bottom w:val="none" w:sz="0" w:space="0"/>
            <w:right w:val="none" w:sz="0" w:space="0"/>
          </w:pgBorders>
          <w:cols w:space="720" w:num="1"/>
          <w:docGrid w:type="lines" w:linePitch="312" w:charSpace="0"/>
        </w:sectPr>
      </w:pPr>
    </w:p>
    <w:p w14:paraId="375BC98A">
      <w:pPr>
        <w:spacing w:line="300" w:lineRule="auto"/>
        <w:ind w:firstLine="480" w:firstLineChars="200"/>
        <w:rPr>
          <w:rFonts w:ascii="Times New Roman" w:hAnsi="Times New Roman" w:eastAsia="宋体" w:cs="Times New Roman"/>
          <w:color w:val="000000"/>
          <w:sz w:val="24"/>
          <w:szCs w:val="22"/>
        </w:rPr>
      </w:pPr>
    </w:p>
    <w:p w14:paraId="22363A40">
      <w:pPr>
        <w:spacing w:line="300" w:lineRule="auto"/>
        <w:ind w:firstLine="480" w:firstLineChars="200"/>
        <w:rPr>
          <w:rFonts w:ascii="Times New Roman" w:hAnsi="Times New Roman" w:eastAsia="宋体" w:cs="Times New Roman"/>
          <w:color w:val="000000"/>
          <w:sz w:val="24"/>
          <w:szCs w:val="22"/>
        </w:rPr>
      </w:pPr>
    </w:p>
    <w:p w14:paraId="7109EA8B">
      <w:pPr>
        <w:spacing w:line="300" w:lineRule="auto"/>
        <w:ind w:firstLine="480" w:firstLineChars="200"/>
        <w:rPr>
          <w:rFonts w:ascii="Times New Roman" w:hAnsi="Times New Roman" w:eastAsia="宋体" w:cs="Times New Roman"/>
          <w:color w:val="000000"/>
          <w:sz w:val="24"/>
          <w:szCs w:val="22"/>
        </w:rPr>
      </w:pPr>
    </w:p>
    <w:p w14:paraId="54C10F34">
      <w:pPr>
        <w:spacing w:line="300" w:lineRule="auto"/>
        <w:ind w:firstLine="480" w:firstLineChars="200"/>
        <w:rPr>
          <w:rFonts w:ascii="Times New Roman" w:hAnsi="Times New Roman" w:eastAsia="宋体" w:cs="Times New Roman"/>
          <w:color w:val="000000"/>
          <w:sz w:val="24"/>
          <w:szCs w:val="22"/>
        </w:rPr>
      </w:pPr>
    </w:p>
    <w:p w14:paraId="46F00F5F">
      <w:pPr>
        <w:spacing w:line="300" w:lineRule="auto"/>
        <w:ind w:firstLine="480" w:firstLineChars="200"/>
        <w:rPr>
          <w:rFonts w:ascii="Times New Roman" w:hAnsi="Times New Roman" w:eastAsia="宋体" w:cs="Times New Roman"/>
          <w:color w:val="000000"/>
          <w:sz w:val="24"/>
          <w:szCs w:val="22"/>
        </w:rPr>
      </w:pPr>
    </w:p>
    <w:p w14:paraId="6312AC21">
      <w:pPr>
        <w:spacing w:line="300" w:lineRule="auto"/>
        <w:ind w:firstLine="1084" w:firstLineChars="300"/>
        <w:jc w:val="both"/>
        <w:rPr>
          <w:rFonts w:hint="eastAsia" w:ascii="Times New Roman" w:hAnsi="Times New Roman" w:eastAsia="宋体" w:cs="Times New Roman"/>
          <w:color w:val="000000"/>
          <w:sz w:val="24"/>
          <w:szCs w:val="22"/>
          <w:lang w:eastAsia="zh-CN"/>
        </w:rPr>
      </w:pPr>
      <w:r>
        <w:rPr>
          <w:rFonts w:ascii="Times New Roman" w:hAnsi="Times New Roman" w:eastAsia="宋体" w:cs="Times New Roman"/>
          <w:b/>
          <w:bCs/>
          <w:color w:val="000000"/>
          <w:sz w:val="36"/>
          <w:szCs w:val="36"/>
        </w:rPr>
        <w:t>G219</w:t>
      </w:r>
      <w:r>
        <w:rPr>
          <w:rFonts w:hint="eastAsia" w:ascii="Times New Roman" w:hAnsi="Times New Roman" w:eastAsia="宋体" w:cs="Times New Roman"/>
          <w:b/>
          <w:bCs/>
          <w:color w:val="000000"/>
          <w:sz w:val="36"/>
          <w:szCs w:val="36"/>
          <w:lang w:eastAsia="zh-CN"/>
        </w:rPr>
        <w:t>八盘水磨至伽师沿边通道工程</w:t>
      </w:r>
    </w:p>
    <w:p w14:paraId="254BE327">
      <w:pPr>
        <w:spacing w:line="300" w:lineRule="auto"/>
        <w:ind w:firstLine="480" w:firstLineChars="200"/>
        <w:rPr>
          <w:rFonts w:ascii="Times New Roman" w:hAnsi="Times New Roman" w:eastAsia="宋体" w:cs="Times New Roman"/>
          <w:color w:val="000000"/>
          <w:sz w:val="24"/>
          <w:szCs w:val="22"/>
        </w:rPr>
      </w:pPr>
    </w:p>
    <w:p w14:paraId="602B8908">
      <w:pPr>
        <w:spacing w:line="300" w:lineRule="auto"/>
        <w:ind w:firstLine="480" w:firstLineChars="200"/>
        <w:rPr>
          <w:rFonts w:ascii="Times New Roman" w:hAnsi="Times New Roman" w:eastAsia="宋体" w:cs="Times New Roman"/>
          <w:color w:val="000000"/>
          <w:sz w:val="24"/>
          <w:szCs w:val="22"/>
        </w:rPr>
      </w:pPr>
    </w:p>
    <w:p w14:paraId="27EB8337">
      <w:pPr>
        <w:spacing w:line="300" w:lineRule="auto"/>
        <w:ind w:firstLine="480" w:firstLineChars="200"/>
        <w:rPr>
          <w:rFonts w:ascii="Times New Roman" w:hAnsi="Times New Roman" w:eastAsia="宋体" w:cs="Times New Roman"/>
          <w:color w:val="000000"/>
          <w:sz w:val="24"/>
          <w:szCs w:val="22"/>
        </w:rPr>
      </w:pPr>
    </w:p>
    <w:p w14:paraId="5E62613A">
      <w:pPr>
        <w:spacing w:line="300" w:lineRule="auto"/>
        <w:ind w:firstLine="0" w:firstLineChars="0"/>
        <w:jc w:val="distribute"/>
        <w:rPr>
          <w:rFonts w:ascii="Times New Roman" w:hAnsi="Times New Roman" w:eastAsia="宋体" w:cs="Times New Roman"/>
          <w:color w:val="000000"/>
          <w:sz w:val="72"/>
          <w:szCs w:val="72"/>
        </w:rPr>
      </w:pPr>
      <w:r>
        <w:rPr>
          <w:rFonts w:ascii="Times New Roman" w:hAnsi="Times New Roman" w:eastAsia="宋体" w:cs="Times New Roman"/>
          <w:color w:val="000000"/>
          <w:sz w:val="72"/>
          <w:szCs w:val="72"/>
        </w:rPr>
        <w:t>生态专项评价</w:t>
      </w:r>
    </w:p>
    <w:p w14:paraId="7F38D5D8">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 xml:space="preserve"> </w:t>
      </w:r>
    </w:p>
    <w:p w14:paraId="4270AF43">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 xml:space="preserve"> </w:t>
      </w:r>
    </w:p>
    <w:p w14:paraId="7800777A">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 xml:space="preserve"> </w:t>
      </w:r>
    </w:p>
    <w:p w14:paraId="44F470DE">
      <w:pPr>
        <w:spacing w:line="300" w:lineRule="auto"/>
        <w:ind w:firstLine="480" w:firstLineChars="200"/>
        <w:rPr>
          <w:rFonts w:ascii="Times New Roman" w:hAnsi="Times New Roman" w:eastAsia="宋体" w:cs="Times New Roman"/>
          <w:color w:val="000000"/>
          <w:sz w:val="24"/>
          <w:szCs w:val="22"/>
        </w:rPr>
      </w:pPr>
    </w:p>
    <w:p w14:paraId="709ABDB3">
      <w:pPr>
        <w:spacing w:line="300" w:lineRule="auto"/>
        <w:ind w:firstLine="480" w:firstLineChars="200"/>
        <w:rPr>
          <w:rFonts w:ascii="Times New Roman" w:hAnsi="Times New Roman" w:eastAsia="宋体" w:cs="Times New Roman"/>
          <w:color w:val="000000"/>
          <w:sz w:val="24"/>
          <w:szCs w:val="22"/>
        </w:rPr>
      </w:pPr>
    </w:p>
    <w:p w14:paraId="78DDF363">
      <w:pPr>
        <w:spacing w:line="300" w:lineRule="auto"/>
        <w:ind w:firstLine="480" w:firstLineChars="200"/>
        <w:rPr>
          <w:rFonts w:ascii="Times New Roman" w:hAnsi="Times New Roman" w:eastAsia="宋体" w:cs="Times New Roman"/>
          <w:color w:val="000000"/>
          <w:sz w:val="24"/>
          <w:szCs w:val="22"/>
        </w:rPr>
      </w:pPr>
    </w:p>
    <w:p w14:paraId="23FDFF32">
      <w:pPr>
        <w:spacing w:line="300" w:lineRule="auto"/>
        <w:ind w:firstLine="480" w:firstLineChars="200"/>
        <w:rPr>
          <w:rFonts w:ascii="Times New Roman" w:hAnsi="Times New Roman" w:eastAsia="宋体" w:cs="Times New Roman"/>
          <w:color w:val="000000"/>
          <w:sz w:val="24"/>
          <w:szCs w:val="22"/>
        </w:rPr>
      </w:pPr>
    </w:p>
    <w:p w14:paraId="317F7B34">
      <w:pPr>
        <w:spacing w:line="300" w:lineRule="auto"/>
        <w:ind w:firstLine="480" w:firstLineChars="200"/>
        <w:rPr>
          <w:rFonts w:ascii="Times New Roman" w:hAnsi="Times New Roman" w:eastAsia="宋体" w:cs="Times New Roman"/>
          <w:color w:val="000000"/>
          <w:sz w:val="24"/>
          <w:szCs w:val="22"/>
        </w:rPr>
      </w:pPr>
    </w:p>
    <w:p w14:paraId="7B6C800C">
      <w:pPr>
        <w:spacing w:line="300" w:lineRule="auto"/>
        <w:ind w:firstLine="480" w:firstLineChars="200"/>
        <w:rPr>
          <w:rFonts w:ascii="Times New Roman" w:hAnsi="Times New Roman" w:eastAsia="宋体" w:cs="Times New Roman"/>
          <w:color w:val="000000"/>
          <w:sz w:val="24"/>
          <w:szCs w:val="22"/>
        </w:rPr>
      </w:pPr>
    </w:p>
    <w:p w14:paraId="0C794EAA">
      <w:pPr>
        <w:spacing w:line="300" w:lineRule="auto"/>
        <w:ind w:firstLine="480" w:firstLineChars="200"/>
        <w:rPr>
          <w:rFonts w:ascii="Times New Roman" w:hAnsi="Times New Roman" w:eastAsia="宋体" w:cs="Times New Roman"/>
          <w:color w:val="000000"/>
          <w:sz w:val="24"/>
          <w:szCs w:val="22"/>
        </w:rPr>
      </w:pPr>
    </w:p>
    <w:p w14:paraId="24CB7E71">
      <w:pPr>
        <w:keepNext w:val="0"/>
        <w:keepLines w:val="0"/>
        <w:pageBreakBefore w:val="0"/>
        <w:widowControl w:val="0"/>
        <w:kinsoku/>
        <w:wordWrap/>
        <w:overflowPunct/>
        <w:topLinePunct w:val="0"/>
        <w:autoSpaceDE/>
        <w:autoSpaceDN/>
        <w:bidi w:val="0"/>
        <w:adjustRightInd/>
        <w:snapToGrid/>
        <w:spacing w:after="327" w:afterLines="100" w:line="300" w:lineRule="auto"/>
        <w:ind w:firstLine="0" w:firstLineChars="0"/>
        <w:textAlignment w:val="auto"/>
        <w:rPr>
          <w:rFonts w:ascii="Times New Roman" w:hAnsi="Times New Roman" w:eastAsia="宋体" w:cs="Times New Roman"/>
          <w:b/>
          <w:bCs/>
          <w:color w:val="000000"/>
          <w:sz w:val="36"/>
          <w:szCs w:val="36"/>
        </w:rPr>
      </w:pPr>
      <w:r>
        <w:rPr>
          <w:rFonts w:ascii="Times New Roman" w:hAnsi="Times New Roman" w:eastAsia="宋体" w:cs="Times New Roman"/>
          <w:b/>
          <w:bCs/>
          <w:color w:val="000000"/>
          <w:sz w:val="36"/>
          <w:szCs w:val="36"/>
        </w:rPr>
        <w:t>建设单位：</w:t>
      </w:r>
      <w:r>
        <w:rPr>
          <w:rFonts w:ascii="Times New Roman" w:hAnsi="Times New Roman" w:eastAsia="宋体" w:cs="Times New Roman"/>
          <w:b/>
          <w:bCs/>
          <w:color w:val="000000"/>
          <w:sz w:val="36"/>
          <w:szCs w:val="36"/>
        </w:rPr>
        <w:tab/>
      </w:r>
      <w:r>
        <w:rPr>
          <w:rFonts w:ascii="Times New Roman" w:hAnsi="Times New Roman" w:eastAsia="宋体" w:cs="Times New Roman"/>
          <w:b/>
          <w:bCs/>
          <w:color w:val="000000"/>
          <w:sz w:val="36"/>
          <w:szCs w:val="36"/>
        </w:rPr>
        <w:t>新疆维吾尔自治区交通建设事务中心</w:t>
      </w:r>
    </w:p>
    <w:p w14:paraId="2DBE6EBF">
      <w:pPr>
        <w:keepNext w:val="0"/>
        <w:keepLines w:val="0"/>
        <w:pageBreakBefore w:val="0"/>
        <w:widowControl w:val="0"/>
        <w:kinsoku/>
        <w:wordWrap/>
        <w:overflowPunct/>
        <w:topLinePunct w:val="0"/>
        <w:autoSpaceDE/>
        <w:autoSpaceDN/>
        <w:bidi w:val="0"/>
        <w:adjustRightInd/>
        <w:snapToGrid/>
        <w:spacing w:after="653" w:afterLines="200" w:line="300" w:lineRule="auto"/>
        <w:ind w:firstLine="0" w:firstLineChars="0"/>
        <w:textAlignment w:val="auto"/>
        <w:rPr>
          <w:rFonts w:hint="default" w:ascii="Times New Roman" w:hAnsi="Times New Roman" w:eastAsia="宋体" w:cs="Times New Roman"/>
          <w:b/>
          <w:bCs/>
          <w:color w:val="000000"/>
          <w:sz w:val="36"/>
          <w:szCs w:val="36"/>
          <w:lang w:val="en-US" w:eastAsia="zh-CN"/>
        </w:rPr>
      </w:pPr>
      <w:r>
        <w:rPr>
          <w:rFonts w:ascii="Times New Roman" w:hAnsi="Times New Roman" w:eastAsia="宋体" w:cs="Times New Roman"/>
          <w:b/>
          <w:bCs/>
          <w:color w:val="000000"/>
          <w:sz w:val="36"/>
          <w:szCs w:val="36"/>
        </w:rPr>
        <w:t>编制单位：</w:t>
      </w:r>
      <w:r>
        <w:rPr>
          <w:rFonts w:ascii="Times New Roman" w:hAnsi="Times New Roman" w:eastAsia="宋体" w:cs="Times New Roman"/>
          <w:b/>
          <w:bCs/>
          <w:color w:val="000000"/>
          <w:sz w:val="36"/>
          <w:szCs w:val="36"/>
        </w:rPr>
        <w:tab/>
      </w:r>
      <w:r>
        <w:rPr>
          <w:rFonts w:hint="eastAsia" w:ascii="Times New Roman" w:hAnsi="Times New Roman" w:eastAsia="宋体" w:cs="Times New Roman"/>
          <w:b/>
          <w:bCs/>
          <w:color w:val="000000"/>
          <w:sz w:val="36"/>
          <w:szCs w:val="36"/>
          <w:lang w:val="en-US" w:eastAsia="zh-CN"/>
        </w:rPr>
        <w:t>北京交科公路勘察设计研究院有限公司</w:t>
      </w:r>
    </w:p>
    <w:p w14:paraId="648A0259">
      <w:pPr>
        <w:spacing w:line="300" w:lineRule="auto"/>
        <w:ind w:left="0" w:leftChars="0" w:firstLine="0" w:firstLineChars="0"/>
        <w:jc w:val="center"/>
        <w:rPr>
          <w:rFonts w:ascii="Times New Roman" w:hAnsi="Times New Roman" w:eastAsia="宋体" w:cs="Times New Roman"/>
          <w:b/>
          <w:bCs/>
          <w:color w:val="000000"/>
          <w:sz w:val="36"/>
          <w:szCs w:val="36"/>
        </w:rPr>
      </w:pPr>
      <w:r>
        <w:rPr>
          <w:rFonts w:ascii="Times New Roman" w:hAnsi="Times New Roman" w:eastAsia="宋体" w:cs="Times New Roman"/>
          <w:b/>
          <w:bCs/>
          <w:color w:val="000000"/>
          <w:sz w:val="36"/>
          <w:szCs w:val="36"/>
        </w:rPr>
        <w:t>二〇二六年</w:t>
      </w:r>
      <w:r>
        <w:rPr>
          <w:rFonts w:hint="eastAsia" w:ascii="Times New Roman" w:hAnsi="Times New Roman" w:eastAsia="宋体" w:cs="Times New Roman"/>
          <w:b/>
          <w:bCs/>
          <w:color w:val="000000"/>
          <w:sz w:val="36"/>
          <w:szCs w:val="36"/>
          <w:lang w:val="en-US" w:eastAsia="zh-CN"/>
        </w:rPr>
        <w:t>八</w:t>
      </w:r>
      <w:r>
        <w:rPr>
          <w:rFonts w:ascii="Times New Roman" w:hAnsi="Times New Roman" w:eastAsia="宋体" w:cs="Times New Roman"/>
          <w:b/>
          <w:bCs/>
          <w:color w:val="000000"/>
          <w:sz w:val="36"/>
          <w:szCs w:val="36"/>
        </w:rPr>
        <w:t>月</w:t>
      </w:r>
    </w:p>
    <w:p w14:paraId="4E601217">
      <w:pPr>
        <w:ind w:firstLine="723"/>
        <w:jc w:val="center"/>
        <w:rPr>
          <w:rFonts w:cs="Times New Roman"/>
          <w:b/>
          <w:bCs/>
          <w:color w:val="000000"/>
          <w:sz w:val="36"/>
          <w:szCs w:val="36"/>
        </w:rPr>
        <w:sectPr>
          <w:headerReference r:id="rId122" w:type="first"/>
          <w:footerReference r:id="rId125" w:type="first"/>
          <w:headerReference r:id="rId120" w:type="default"/>
          <w:footerReference r:id="rId123" w:type="default"/>
          <w:headerReference r:id="rId121" w:type="even"/>
          <w:footerReference r:id="rId124" w:type="even"/>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26" w:charSpace="0"/>
        </w:sectPr>
      </w:pPr>
    </w:p>
    <w:sdt>
      <w:sdtPr>
        <w:rPr>
          <w:rFonts w:ascii="Times New Roman" w:hAnsi="Times New Roman" w:eastAsia="宋体" w:cs="Times New Roman"/>
          <w:color w:val="000000"/>
          <w:kern w:val="2"/>
          <w:sz w:val="24"/>
          <w:szCs w:val="22"/>
          <w:lang w:val="zh-CN" w:eastAsia="zh-CN" w:bidi="ar-SA"/>
        </w:rPr>
        <w:id w:val="-1913926208"/>
        <w:docPartObj>
          <w:docPartGallery w:val="Table of Contents"/>
          <w:docPartUnique/>
        </w:docPartObj>
      </w:sdtPr>
      <w:sdtEndPr>
        <w:rPr>
          <w:rFonts w:ascii="Times New Roman" w:hAnsi="Times New Roman" w:eastAsia="宋体" w:cs="Times New Roman"/>
          <w:b/>
          <w:bCs/>
          <w:color w:val="000000"/>
          <w:kern w:val="2"/>
          <w:sz w:val="24"/>
          <w:szCs w:val="22"/>
          <w:lang w:val="zh-CN" w:eastAsia="zh-CN" w:bidi="ar-SA"/>
        </w:rPr>
      </w:sdtEndPr>
      <w:sdtContent>
        <w:p w14:paraId="76CFABE0">
          <w:pPr>
            <w:keepNext/>
            <w:keepLines/>
            <w:widowControl/>
            <w:numPr>
              <w:ilvl w:val="0"/>
              <w:numId w:val="0"/>
            </w:numPr>
            <w:spacing w:before="240" w:after="0" w:line="259" w:lineRule="auto"/>
            <w:ind w:firstLine="480" w:firstLineChars="0"/>
            <w:jc w:val="center"/>
            <w:outlineLvl w:val="9"/>
            <w:rPr>
              <w:rFonts w:ascii="Times New Roman" w:hAnsi="Times New Roman" w:eastAsia="宋体" w:cs="Times New Roman"/>
              <w:b w:val="0"/>
              <w:bCs w:val="0"/>
              <w:color w:val="000000"/>
              <w:kern w:val="0"/>
              <w:sz w:val="32"/>
              <w:szCs w:val="32"/>
              <w:lang w:val="en-US" w:eastAsia="zh-CN" w:bidi="ar-SA"/>
            </w:rPr>
          </w:pPr>
          <w:r>
            <w:rPr>
              <w:rFonts w:ascii="Times New Roman" w:hAnsi="Times New Roman" w:eastAsia="宋体" w:cs="Times New Roman"/>
              <w:b w:val="0"/>
              <w:bCs w:val="0"/>
              <w:color w:val="000000"/>
              <w:kern w:val="0"/>
              <w:sz w:val="32"/>
              <w:szCs w:val="32"/>
              <w:lang w:val="en-US" w:eastAsia="zh-CN" w:bidi="ar-SA"/>
            </w:rPr>
            <w:t>目  录</w:t>
          </w:r>
        </w:p>
        <w:p w14:paraId="6549EC56">
          <w:pPr>
            <w:widowControl w:val="0"/>
            <w:tabs>
              <w:tab w:val="right" w:leader="dot" w:pos="8306"/>
            </w:tabs>
            <w:spacing w:line="300" w:lineRule="auto"/>
            <w:ind w:left="0" w:leftChars="0" w:firstLine="0" w:firstLineChars="0"/>
            <w:jc w:val="both"/>
            <w:rPr>
              <w:rFonts w:ascii="Times New Roman" w:hAnsi="Times New Roman" w:eastAsia="宋体" w:cs="Times New Roman"/>
              <w:kern w:val="2"/>
              <w:sz w:val="24"/>
              <w:szCs w:val="22"/>
              <w:lang w:val="en-US" w:eastAsia="zh-CN" w:bidi="ar-SA"/>
            </w:rPr>
          </w:pPr>
          <w:r>
            <w:rPr>
              <w:rFonts w:ascii="Times New Roman" w:hAnsi="Times New Roman" w:eastAsia="宋体" w:cs="Times New Roman"/>
              <w:color w:val="000000"/>
              <w:kern w:val="2"/>
              <w:sz w:val="24"/>
              <w:szCs w:val="22"/>
              <w:lang w:val="en-US" w:eastAsia="zh-CN" w:bidi="ar-SA"/>
            </w:rPr>
            <w:fldChar w:fldCharType="begin"/>
          </w:r>
          <w:r>
            <w:rPr>
              <w:rFonts w:ascii="Times New Roman" w:hAnsi="Times New Roman" w:eastAsia="宋体" w:cs="Times New Roman"/>
              <w:color w:val="000000"/>
              <w:kern w:val="2"/>
              <w:sz w:val="24"/>
              <w:szCs w:val="22"/>
              <w:lang w:val="en-US" w:eastAsia="zh-CN" w:bidi="ar-SA"/>
            </w:rPr>
            <w:instrText xml:space="preserve"> TOC \o "1-3" \h \z \u </w:instrText>
          </w:r>
          <w:r>
            <w:rPr>
              <w:rFonts w:ascii="Times New Roman" w:hAnsi="Times New Roman" w:eastAsia="宋体" w:cs="Times New Roman"/>
              <w:color w:val="000000"/>
              <w:kern w:val="2"/>
              <w:sz w:val="24"/>
              <w:szCs w:val="22"/>
              <w:lang w:val="en-US" w:eastAsia="zh-CN" w:bidi="ar-SA"/>
            </w:rPr>
            <w:fldChar w:fldCharType="separate"/>
          </w:r>
          <w:r>
            <w:rPr>
              <w:rFonts w:ascii="Times New Roman" w:hAnsi="Times New Roman" w:eastAsia="宋体" w:cs="Times New Roman"/>
              <w:color w:val="000000"/>
              <w:kern w:val="2"/>
              <w:sz w:val="24"/>
              <w:szCs w:val="22"/>
              <w:lang w:val="en-US" w:eastAsia="zh-CN" w:bidi="ar-SA"/>
            </w:rPr>
            <w:fldChar w:fldCharType="begin"/>
          </w:r>
          <w:r>
            <w:rPr>
              <w:rFonts w:ascii="Times New Roman" w:hAnsi="Times New Roman" w:eastAsia="宋体" w:cs="Times New Roman"/>
              <w:kern w:val="2"/>
              <w:sz w:val="24"/>
              <w:szCs w:val="22"/>
              <w:lang w:val="en-US" w:eastAsia="zh-CN" w:bidi="ar-SA"/>
            </w:rPr>
            <w:instrText xml:space="preserve"> HYPERLINK \l _Toc820 </w:instrText>
          </w:r>
          <w:r>
            <w:rPr>
              <w:rFonts w:ascii="Times New Roman" w:hAnsi="Times New Roman" w:eastAsia="宋体" w:cs="Times New Roman"/>
              <w:kern w:val="2"/>
              <w:sz w:val="24"/>
              <w:szCs w:val="22"/>
              <w:lang w:val="en-US" w:eastAsia="zh-CN" w:bidi="ar-SA"/>
            </w:rPr>
            <w:fldChar w:fldCharType="separate"/>
          </w:r>
          <w:r>
            <w:rPr>
              <w:rFonts w:hint="eastAsia" w:ascii="Times New Roman" w:hAnsi="Times New Roman" w:eastAsia="宋体" w:cs="Times New Roman"/>
              <w:kern w:val="2"/>
              <w:sz w:val="24"/>
              <w:szCs w:val="22"/>
              <w:lang w:val="en-US" w:eastAsia="zh-CN" w:bidi="ar-SA"/>
            </w:rPr>
            <w:t xml:space="preserve">1 </w:t>
          </w:r>
          <w:r>
            <w:rPr>
              <w:rFonts w:ascii="Times New Roman" w:hAnsi="Times New Roman" w:eastAsia="宋体" w:cs="Times New Roman"/>
              <w:kern w:val="2"/>
              <w:sz w:val="24"/>
              <w:szCs w:val="22"/>
              <w:lang w:val="en-US" w:eastAsia="zh-CN" w:bidi="ar-SA"/>
            </w:rPr>
            <w:t>总则</w:t>
          </w:r>
          <w:r>
            <w:rPr>
              <w:rFonts w:ascii="Times New Roman" w:hAnsi="Times New Roman" w:eastAsia="宋体" w:cs="Times New Roman"/>
              <w:kern w:val="2"/>
              <w:sz w:val="24"/>
              <w:szCs w:val="22"/>
              <w:lang w:val="en-US" w:eastAsia="zh-CN" w:bidi="ar-SA"/>
            </w:rPr>
            <w:tab/>
          </w:r>
          <w:r>
            <w:rPr>
              <w:rFonts w:ascii="Times New Roman" w:hAnsi="Times New Roman" w:eastAsia="宋体" w:cs="Times New Roman"/>
              <w:kern w:val="2"/>
              <w:sz w:val="24"/>
              <w:szCs w:val="22"/>
              <w:lang w:val="en-US" w:eastAsia="zh-CN" w:bidi="ar-SA"/>
            </w:rPr>
            <w:fldChar w:fldCharType="begin"/>
          </w:r>
          <w:r>
            <w:rPr>
              <w:rFonts w:ascii="Times New Roman" w:hAnsi="Times New Roman" w:eastAsia="宋体" w:cs="Times New Roman"/>
              <w:kern w:val="2"/>
              <w:sz w:val="24"/>
              <w:szCs w:val="22"/>
              <w:lang w:val="en-US" w:eastAsia="zh-CN" w:bidi="ar-SA"/>
            </w:rPr>
            <w:instrText xml:space="preserve"> PAGEREF _Toc820 \h </w:instrText>
          </w:r>
          <w:r>
            <w:rPr>
              <w:rFonts w:ascii="Times New Roman" w:hAnsi="Times New Roman" w:eastAsia="宋体" w:cs="Times New Roman"/>
              <w:kern w:val="2"/>
              <w:sz w:val="24"/>
              <w:szCs w:val="22"/>
              <w:lang w:val="en-US" w:eastAsia="zh-CN" w:bidi="ar-SA"/>
            </w:rPr>
            <w:fldChar w:fldCharType="separate"/>
          </w:r>
          <w:r>
            <w:rPr>
              <w:rFonts w:ascii="Times New Roman" w:hAnsi="Times New Roman" w:eastAsia="宋体" w:cs="Times New Roman"/>
              <w:kern w:val="2"/>
              <w:sz w:val="24"/>
              <w:szCs w:val="22"/>
              <w:lang w:val="en-US" w:eastAsia="zh-CN" w:bidi="ar-SA"/>
            </w:rPr>
            <w:t>1</w:t>
          </w:r>
          <w:r>
            <w:rPr>
              <w:rFonts w:ascii="Times New Roman" w:hAnsi="Times New Roman" w:eastAsia="宋体" w:cs="Times New Roman"/>
              <w:kern w:val="2"/>
              <w:sz w:val="24"/>
              <w:szCs w:val="22"/>
              <w:lang w:val="en-US" w:eastAsia="zh-CN" w:bidi="ar-SA"/>
            </w:rPr>
            <w:fldChar w:fldCharType="end"/>
          </w:r>
          <w:r>
            <w:rPr>
              <w:rFonts w:ascii="Times New Roman" w:hAnsi="Times New Roman" w:eastAsia="宋体" w:cs="Times New Roman"/>
              <w:color w:val="000000"/>
              <w:kern w:val="2"/>
              <w:sz w:val="24"/>
              <w:szCs w:val="22"/>
              <w:lang w:val="en-US" w:eastAsia="zh-CN" w:bidi="ar-SA"/>
            </w:rPr>
            <w:fldChar w:fldCharType="end"/>
          </w:r>
        </w:p>
        <w:p w14:paraId="02C93CA0">
          <w:pPr>
            <w:widowControl w:val="0"/>
            <w:tabs>
              <w:tab w:val="right" w:leader="dot" w:pos="8306"/>
            </w:tabs>
            <w:spacing w:line="300" w:lineRule="auto"/>
            <w:ind w:left="420" w:leftChars="200" w:firstLine="0" w:firstLineChars="0"/>
            <w:jc w:val="both"/>
            <w:rPr>
              <w:rFonts w:ascii="Times New Roman" w:hAnsi="Times New Roman" w:eastAsia="宋体" w:cs="Times New Roman"/>
              <w:kern w:val="2"/>
              <w:sz w:val="24"/>
              <w:szCs w:val="22"/>
              <w:lang w:val="en-US" w:eastAsia="zh-CN" w:bidi="ar-SA"/>
            </w:rPr>
          </w:pPr>
          <w:r>
            <w:rPr>
              <w:rFonts w:ascii="Times New Roman" w:hAnsi="Times New Roman" w:eastAsia="宋体" w:cs="Times New Roman"/>
              <w:bCs/>
              <w:color w:val="000000"/>
              <w:kern w:val="2"/>
              <w:sz w:val="24"/>
              <w:szCs w:val="22"/>
              <w:lang w:val="zh-CN" w:eastAsia="zh-CN" w:bidi="ar-SA"/>
            </w:rPr>
            <w:fldChar w:fldCharType="begin"/>
          </w:r>
          <w:r>
            <w:rPr>
              <w:rFonts w:ascii="Times New Roman" w:hAnsi="Times New Roman" w:eastAsia="宋体" w:cs="Times New Roman"/>
              <w:bCs/>
              <w:kern w:val="2"/>
              <w:sz w:val="24"/>
              <w:szCs w:val="22"/>
              <w:lang w:val="zh-CN" w:eastAsia="zh-CN" w:bidi="ar-SA"/>
            </w:rPr>
            <w:instrText xml:space="preserve"> HYPERLINK \l _Toc492 </w:instrText>
          </w:r>
          <w:r>
            <w:rPr>
              <w:rFonts w:ascii="Times New Roman" w:hAnsi="Times New Roman" w:eastAsia="宋体" w:cs="Times New Roman"/>
              <w:bCs/>
              <w:kern w:val="2"/>
              <w:sz w:val="24"/>
              <w:szCs w:val="22"/>
              <w:lang w:val="zh-CN" w:eastAsia="zh-CN" w:bidi="ar-SA"/>
            </w:rPr>
            <w:fldChar w:fldCharType="separate"/>
          </w:r>
          <w:r>
            <w:rPr>
              <w:rFonts w:hint="eastAsia" w:ascii="Times New Roman" w:hAnsi="Times New Roman" w:eastAsia="宋体" w:cs="Times New Roman"/>
              <w:bCs/>
              <w:kern w:val="0"/>
              <w:sz w:val="24"/>
              <w:szCs w:val="32"/>
              <w:lang w:val="en-US" w:eastAsia="zh-CN" w:bidi="ar-SA"/>
            </w:rPr>
            <w:t>1.1</w:t>
          </w:r>
          <w:r>
            <w:rPr>
              <w:rFonts w:ascii="Times New Roman" w:hAnsi="Times New Roman" w:eastAsia="宋体" w:cs="Times New Roman"/>
              <w:bCs/>
              <w:kern w:val="0"/>
              <w:sz w:val="24"/>
              <w:szCs w:val="32"/>
              <w:lang w:val="en-US" w:eastAsia="zh-CN" w:bidi="ar-SA"/>
            </w:rPr>
            <w:t xml:space="preserve"> </w:t>
          </w:r>
          <w:r>
            <w:rPr>
              <w:rFonts w:hint="eastAsia" w:ascii="Times New Roman" w:hAnsi="Times New Roman" w:eastAsia="宋体" w:cs="Times New Roman"/>
              <w:bCs/>
              <w:kern w:val="0"/>
              <w:sz w:val="24"/>
              <w:szCs w:val="32"/>
              <w:lang w:val="en-US" w:eastAsia="zh-CN" w:bidi="ar-SA"/>
            </w:rPr>
            <w:t>建设项目特点</w:t>
          </w:r>
          <w:r>
            <w:rPr>
              <w:rFonts w:ascii="Times New Roman" w:hAnsi="Times New Roman" w:eastAsia="宋体" w:cs="Times New Roman"/>
              <w:kern w:val="2"/>
              <w:sz w:val="24"/>
              <w:szCs w:val="22"/>
              <w:lang w:val="en-US" w:eastAsia="zh-CN" w:bidi="ar-SA"/>
            </w:rPr>
            <w:tab/>
          </w:r>
          <w:r>
            <w:rPr>
              <w:rFonts w:ascii="Times New Roman" w:hAnsi="Times New Roman" w:eastAsia="宋体" w:cs="Times New Roman"/>
              <w:kern w:val="2"/>
              <w:sz w:val="24"/>
              <w:szCs w:val="22"/>
              <w:lang w:val="en-US" w:eastAsia="zh-CN" w:bidi="ar-SA"/>
            </w:rPr>
            <w:fldChar w:fldCharType="begin"/>
          </w:r>
          <w:r>
            <w:rPr>
              <w:rFonts w:ascii="Times New Roman" w:hAnsi="Times New Roman" w:eastAsia="宋体" w:cs="Times New Roman"/>
              <w:kern w:val="2"/>
              <w:sz w:val="24"/>
              <w:szCs w:val="22"/>
              <w:lang w:val="en-US" w:eastAsia="zh-CN" w:bidi="ar-SA"/>
            </w:rPr>
            <w:instrText xml:space="preserve"> PAGEREF _Toc492 \h </w:instrText>
          </w:r>
          <w:r>
            <w:rPr>
              <w:rFonts w:ascii="Times New Roman" w:hAnsi="Times New Roman" w:eastAsia="宋体" w:cs="Times New Roman"/>
              <w:kern w:val="2"/>
              <w:sz w:val="24"/>
              <w:szCs w:val="22"/>
              <w:lang w:val="en-US" w:eastAsia="zh-CN" w:bidi="ar-SA"/>
            </w:rPr>
            <w:fldChar w:fldCharType="separate"/>
          </w:r>
          <w:r>
            <w:rPr>
              <w:rFonts w:ascii="Times New Roman" w:hAnsi="Times New Roman" w:eastAsia="宋体" w:cs="Times New Roman"/>
              <w:kern w:val="2"/>
              <w:sz w:val="24"/>
              <w:szCs w:val="22"/>
              <w:lang w:val="en-US" w:eastAsia="zh-CN" w:bidi="ar-SA"/>
            </w:rPr>
            <w:t>1</w:t>
          </w:r>
          <w:r>
            <w:rPr>
              <w:rFonts w:ascii="Times New Roman" w:hAnsi="Times New Roman" w:eastAsia="宋体" w:cs="Times New Roman"/>
              <w:kern w:val="2"/>
              <w:sz w:val="24"/>
              <w:szCs w:val="22"/>
              <w:lang w:val="en-US" w:eastAsia="zh-CN" w:bidi="ar-SA"/>
            </w:rPr>
            <w:fldChar w:fldCharType="end"/>
          </w:r>
          <w:r>
            <w:rPr>
              <w:rFonts w:ascii="Times New Roman" w:hAnsi="Times New Roman" w:eastAsia="宋体" w:cs="Times New Roman"/>
              <w:bCs/>
              <w:color w:val="000000"/>
              <w:kern w:val="2"/>
              <w:sz w:val="24"/>
              <w:szCs w:val="22"/>
              <w:lang w:val="zh-CN" w:eastAsia="zh-CN" w:bidi="ar-SA"/>
            </w:rPr>
            <w:fldChar w:fldCharType="end"/>
          </w:r>
        </w:p>
        <w:p w14:paraId="1AAADBE5">
          <w:pPr>
            <w:widowControl w:val="0"/>
            <w:tabs>
              <w:tab w:val="right" w:leader="dot" w:pos="8306"/>
            </w:tabs>
            <w:spacing w:line="300" w:lineRule="auto"/>
            <w:ind w:left="840" w:leftChars="400" w:firstLine="0" w:firstLineChars="0"/>
            <w:jc w:val="both"/>
            <w:rPr>
              <w:rFonts w:ascii="Times New Roman" w:hAnsi="Times New Roman" w:eastAsia="宋体" w:cs="Times New Roman"/>
              <w:kern w:val="2"/>
              <w:sz w:val="24"/>
              <w:szCs w:val="22"/>
              <w:lang w:val="en-US" w:eastAsia="zh-CN" w:bidi="ar-SA"/>
            </w:rPr>
          </w:pPr>
          <w:r>
            <w:rPr>
              <w:rFonts w:ascii="Times New Roman" w:hAnsi="Times New Roman" w:eastAsia="宋体" w:cs="Times New Roman"/>
              <w:bCs/>
              <w:color w:val="000000"/>
              <w:kern w:val="2"/>
              <w:sz w:val="24"/>
              <w:szCs w:val="22"/>
              <w:lang w:val="zh-CN" w:eastAsia="zh-CN" w:bidi="ar-SA"/>
            </w:rPr>
            <w:fldChar w:fldCharType="begin"/>
          </w:r>
          <w:r>
            <w:rPr>
              <w:rFonts w:ascii="Times New Roman" w:hAnsi="Times New Roman" w:eastAsia="宋体" w:cs="Times New Roman"/>
              <w:bCs/>
              <w:kern w:val="2"/>
              <w:sz w:val="24"/>
              <w:szCs w:val="22"/>
              <w:lang w:val="zh-CN" w:eastAsia="zh-CN" w:bidi="ar-SA"/>
            </w:rPr>
            <w:instrText xml:space="preserve"> HYPERLINK \l _Toc18411 </w:instrText>
          </w:r>
          <w:r>
            <w:rPr>
              <w:rFonts w:ascii="Times New Roman" w:hAnsi="Times New Roman" w:eastAsia="宋体" w:cs="Times New Roman"/>
              <w:bCs/>
              <w:kern w:val="2"/>
              <w:sz w:val="24"/>
              <w:szCs w:val="22"/>
              <w:lang w:val="zh-CN" w:eastAsia="zh-CN" w:bidi="ar-SA"/>
            </w:rPr>
            <w:fldChar w:fldCharType="separate"/>
          </w:r>
          <w:r>
            <w:rPr>
              <w:rFonts w:ascii="Times New Roman" w:hAnsi="Times New Roman" w:eastAsia="宋体" w:cs="Times New Roman"/>
              <w:bCs w:val="0"/>
              <w:kern w:val="0"/>
              <w:sz w:val="24"/>
              <w:szCs w:val="32"/>
              <w:lang w:val="en-US" w:eastAsia="zh-CN" w:bidi="ar-SA"/>
            </w:rPr>
            <w:t xml:space="preserve">1.1.1 </w:t>
          </w:r>
          <w:r>
            <w:rPr>
              <w:rFonts w:hint="eastAsia" w:ascii="Times New Roman" w:hAnsi="Times New Roman" w:eastAsia="宋体" w:cs="Times New Roman"/>
              <w:bCs w:val="0"/>
              <w:kern w:val="0"/>
              <w:sz w:val="24"/>
              <w:szCs w:val="32"/>
              <w:lang w:val="en-US" w:eastAsia="zh-CN" w:bidi="ar-SA"/>
            </w:rPr>
            <w:t>地理位置</w:t>
          </w:r>
          <w:r>
            <w:rPr>
              <w:rFonts w:ascii="Times New Roman" w:hAnsi="Times New Roman" w:eastAsia="宋体" w:cs="Times New Roman"/>
              <w:kern w:val="2"/>
              <w:sz w:val="24"/>
              <w:szCs w:val="22"/>
              <w:lang w:val="en-US" w:eastAsia="zh-CN" w:bidi="ar-SA"/>
            </w:rPr>
            <w:tab/>
          </w:r>
          <w:r>
            <w:rPr>
              <w:rFonts w:ascii="Times New Roman" w:hAnsi="Times New Roman" w:eastAsia="宋体" w:cs="Times New Roman"/>
              <w:kern w:val="2"/>
              <w:sz w:val="24"/>
              <w:szCs w:val="22"/>
              <w:lang w:val="en-US" w:eastAsia="zh-CN" w:bidi="ar-SA"/>
            </w:rPr>
            <w:fldChar w:fldCharType="begin"/>
          </w:r>
          <w:r>
            <w:rPr>
              <w:rFonts w:ascii="Times New Roman" w:hAnsi="Times New Roman" w:eastAsia="宋体" w:cs="Times New Roman"/>
              <w:kern w:val="2"/>
              <w:sz w:val="24"/>
              <w:szCs w:val="22"/>
              <w:lang w:val="en-US" w:eastAsia="zh-CN" w:bidi="ar-SA"/>
            </w:rPr>
            <w:instrText xml:space="preserve"> PAGEREF _Toc18411 \h </w:instrText>
          </w:r>
          <w:r>
            <w:rPr>
              <w:rFonts w:ascii="Times New Roman" w:hAnsi="Times New Roman" w:eastAsia="宋体" w:cs="Times New Roman"/>
              <w:kern w:val="2"/>
              <w:sz w:val="24"/>
              <w:szCs w:val="22"/>
              <w:lang w:val="en-US" w:eastAsia="zh-CN" w:bidi="ar-SA"/>
            </w:rPr>
            <w:fldChar w:fldCharType="separate"/>
          </w:r>
          <w:r>
            <w:rPr>
              <w:rFonts w:ascii="Times New Roman" w:hAnsi="Times New Roman" w:eastAsia="宋体" w:cs="Times New Roman"/>
              <w:kern w:val="2"/>
              <w:sz w:val="24"/>
              <w:szCs w:val="22"/>
              <w:lang w:val="en-US" w:eastAsia="zh-CN" w:bidi="ar-SA"/>
            </w:rPr>
            <w:t>1</w:t>
          </w:r>
          <w:r>
            <w:rPr>
              <w:rFonts w:ascii="Times New Roman" w:hAnsi="Times New Roman" w:eastAsia="宋体" w:cs="Times New Roman"/>
              <w:kern w:val="2"/>
              <w:sz w:val="24"/>
              <w:szCs w:val="22"/>
              <w:lang w:val="en-US" w:eastAsia="zh-CN" w:bidi="ar-SA"/>
            </w:rPr>
            <w:fldChar w:fldCharType="end"/>
          </w:r>
          <w:r>
            <w:rPr>
              <w:rFonts w:ascii="Times New Roman" w:hAnsi="Times New Roman" w:eastAsia="宋体" w:cs="Times New Roman"/>
              <w:bCs/>
              <w:color w:val="000000"/>
              <w:kern w:val="2"/>
              <w:sz w:val="24"/>
              <w:szCs w:val="22"/>
              <w:lang w:val="zh-CN" w:eastAsia="zh-CN" w:bidi="ar-SA"/>
            </w:rPr>
            <w:fldChar w:fldCharType="end"/>
          </w:r>
        </w:p>
        <w:p w14:paraId="2367BB5B">
          <w:pPr>
            <w:widowControl w:val="0"/>
            <w:tabs>
              <w:tab w:val="right" w:leader="dot" w:pos="8306"/>
            </w:tabs>
            <w:spacing w:line="300" w:lineRule="auto"/>
            <w:ind w:left="840" w:leftChars="400" w:firstLine="0" w:firstLineChars="0"/>
            <w:jc w:val="both"/>
            <w:rPr>
              <w:rFonts w:ascii="Times New Roman" w:hAnsi="Times New Roman" w:eastAsia="宋体" w:cs="Times New Roman"/>
              <w:kern w:val="2"/>
              <w:sz w:val="24"/>
              <w:szCs w:val="22"/>
              <w:lang w:val="en-US" w:eastAsia="zh-CN" w:bidi="ar-SA"/>
            </w:rPr>
          </w:pPr>
          <w:r>
            <w:rPr>
              <w:rFonts w:ascii="Times New Roman" w:hAnsi="Times New Roman" w:eastAsia="宋体" w:cs="Times New Roman"/>
              <w:bCs/>
              <w:color w:val="000000"/>
              <w:kern w:val="2"/>
              <w:sz w:val="24"/>
              <w:szCs w:val="22"/>
              <w:lang w:val="zh-CN" w:eastAsia="zh-CN" w:bidi="ar-SA"/>
            </w:rPr>
            <w:fldChar w:fldCharType="begin"/>
          </w:r>
          <w:r>
            <w:rPr>
              <w:rFonts w:ascii="Times New Roman" w:hAnsi="Times New Roman" w:eastAsia="宋体" w:cs="Times New Roman"/>
              <w:bCs/>
              <w:kern w:val="2"/>
              <w:sz w:val="24"/>
              <w:szCs w:val="22"/>
              <w:lang w:val="zh-CN" w:eastAsia="zh-CN" w:bidi="ar-SA"/>
            </w:rPr>
            <w:instrText xml:space="preserve"> HYPERLINK \l _Toc21673 </w:instrText>
          </w:r>
          <w:r>
            <w:rPr>
              <w:rFonts w:ascii="Times New Roman" w:hAnsi="Times New Roman" w:eastAsia="宋体" w:cs="Times New Roman"/>
              <w:bCs/>
              <w:kern w:val="2"/>
              <w:sz w:val="24"/>
              <w:szCs w:val="22"/>
              <w:lang w:val="zh-CN" w:eastAsia="zh-CN" w:bidi="ar-SA"/>
            </w:rPr>
            <w:fldChar w:fldCharType="separate"/>
          </w:r>
          <w:r>
            <w:rPr>
              <w:rFonts w:ascii="Times New Roman" w:hAnsi="Times New Roman" w:eastAsia="宋体" w:cs="Times New Roman"/>
              <w:bCs w:val="0"/>
              <w:kern w:val="0"/>
              <w:sz w:val="24"/>
              <w:szCs w:val="32"/>
              <w:lang w:val="en-US" w:eastAsia="zh-CN" w:bidi="ar-SA"/>
            </w:rPr>
            <w:t xml:space="preserve">1.1.2 </w:t>
          </w:r>
          <w:r>
            <w:rPr>
              <w:rFonts w:hint="eastAsia" w:ascii="Times New Roman" w:hAnsi="Times New Roman" w:eastAsia="宋体" w:cs="Times New Roman"/>
              <w:bCs w:val="0"/>
              <w:kern w:val="0"/>
              <w:sz w:val="24"/>
              <w:szCs w:val="32"/>
              <w:lang w:val="en-US" w:eastAsia="zh-CN" w:bidi="ar-SA"/>
            </w:rPr>
            <w:t>主要工程特性</w:t>
          </w:r>
          <w:r>
            <w:rPr>
              <w:rFonts w:ascii="Times New Roman" w:hAnsi="Times New Roman" w:eastAsia="宋体" w:cs="Times New Roman"/>
              <w:kern w:val="2"/>
              <w:sz w:val="24"/>
              <w:szCs w:val="22"/>
              <w:lang w:val="en-US" w:eastAsia="zh-CN" w:bidi="ar-SA"/>
            </w:rPr>
            <w:tab/>
          </w:r>
          <w:r>
            <w:rPr>
              <w:rFonts w:ascii="Times New Roman" w:hAnsi="Times New Roman" w:eastAsia="宋体" w:cs="Times New Roman"/>
              <w:kern w:val="2"/>
              <w:sz w:val="24"/>
              <w:szCs w:val="22"/>
              <w:lang w:val="en-US" w:eastAsia="zh-CN" w:bidi="ar-SA"/>
            </w:rPr>
            <w:fldChar w:fldCharType="begin"/>
          </w:r>
          <w:r>
            <w:rPr>
              <w:rFonts w:ascii="Times New Roman" w:hAnsi="Times New Roman" w:eastAsia="宋体" w:cs="Times New Roman"/>
              <w:kern w:val="2"/>
              <w:sz w:val="24"/>
              <w:szCs w:val="22"/>
              <w:lang w:val="en-US" w:eastAsia="zh-CN" w:bidi="ar-SA"/>
            </w:rPr>
            <w:instrText xml:space="preserve"> PAGEREF _Toc21673 \h </w:instrText>
          </w:r>
          <w:r>
            <w:rPr>
              <w:rFonts w:ascii="Times New Roman" w:hAnsi="Times New Roman" w:eastAsia="宋体" w:cs="Times New Roman"/>
              <w:kern w:val="2"/>
              <w:sz w:val="24"/>
              <w:szCs w:val="22"/>
              <w:lang w:val="en-US" w:eastAsia="zh-CN" w:bidi="ar-SA"/>
            </w:rPr>
            <w:fldChar w:fldCharType="separate"/>
          </w:r>
          <w:r>
            <w:rPr>
              <w:rFonts w:ascii="Times New Roman" w:hAnsi="Times New Roman" w:eastAsia="宋体" w:cs="Times New Roman"/>
              <w:kern w:val="2"/>
              <w:sz w:val="24"/>
              <w:szCs w:val="22"/>
              <w:lang w:val="en-US" w:eastAsia="zh-CN" w:bidi="ar-SA"/>
            </w:rPr>
            <w:t>1</w:t>
          </w:r>
          <w:r>
            <w:rPr>
              <w:rFonts w:ascii="Times New Roman" w:hAnsi="Times New Roman" w:eastAsia="宋体" w:cs="Times New Roman"/>
              <w:kern w:val="2"/>
              <w:sz w:val="24"/>
              <w:szCs w:val="22"/>
              <w:lang w:val="en-US" w:eastAsia="zh-CN" w:bidi="ar-SA"/>
            </w:rPr>
            <w:fldChar w:fldCharType="end"/>
          </w:r>
          <w:r>
            <w:rPr>
              <w:rFonts w:ascii="Times New Roman" w:hAnsi="Times New Roman" w:eastAsia="宋体" w:cs="Times New Roman"/>
              <w:bCs/>
              <w:color w:val="000000"/>
              <w:kern w:val="2"/>
              <w:sz w:val="24"/>
              <w:szCs w:val="22"/>
              <w:lang w:val="zh-CN" w:eastAsia="zh-CN" w:bidi="ar-SA"/>
            </w:rPr>
            <w:fldChar w:fldCharType="end"/>
          </w:r>
        </w:p>
        <w:p w14:paraId="3E7145CA">
          <w:pPr>
            <w:widowControl w:val="0"/>
            <w:tabs>
              <w:tab w:val="right" w:leader="dot" w:pos="8306"/>
            </w:tabs>
            <w:spacing w:line="300" w:lineRule="auto"/>
            <w:ind w:left="420" w:leftChars="200" w:firstLine="0" w:firstLineChars="0"/>
            <w:jc w:val="both"/>
            <w:rPr>
              <w:rFonts w:ascii="Times New Roman" w:hAnsi="Times New Roman" w:eastAsia="宋体" w:cs="Times New Roman"/>
              <w:kern w:val="2"/>
              <w:sz w:val="24"/>
              <w:szCs w:val="22"/>
              <w:lang w:val="en-US" w:eastAsia="zh-CN" w:bidi="ar-SA"/>
            </w:rPr>
          </w:pPr>
          <w:r>
            <w:rPr>
              <w:rFonts w:ascii="Times New Roman" w:hAnsi="Times New Roman" w:eastAsia="宋体" w:cs="Times New Roman"/>
              <w:bCs/>
              <w:color w:val="000000"/>
              <w:kern w:val="2"/>
              <w:sz w:val="24"/>
              <w:szCs w:val="22"/>
              <w:lang w:val="zh-CN" w:eastAsia="zh-CN" w:bidi="ar-SA"/>
            </w:rPr>
            <w:fldChar w:fldCharType="begin"/>
          </w:r>
          <w:r>
            <w:rPr>
              <w:rFonts w:ascii="Times New Roman" w:hAnsi="Times New Roman" w:eastAsia="宋体" w:cs="Times New Roman"/>
              <w:bCs/>
              <w:kern w:val="2"/>
              <w:sz w:val="24"/>
              <w:szCs w:val="22"/>
              <w:lang w:val="zh-CN" w:eastAsia="zh-CN" w:bidi="ar-SA"/>
            </w:rPr>
            <w:instrText xml:space="preserve"> HYPERLINK \l _Toc25265 </w:instrText>
          </w:r>
          <w:r>
            <w:rPr>
              <w:rFonts w:ascii="Times New Roman" w:hAnsi="Times New Roman" w:eastAsia="宋体" w:cs="Times New Roman"/>
              <w:bCs/>
              <w:kern w:val="2"/>
              <w:sz w:val="24"/>
              <w:szCs w:val="22"/>
              <w:lang w:val="zh-CN" w:eastAsia="zh-CN" w:bidi="ar-SA"/>
            </w:rPr>
            <w:fldChar w:fldCharType="separate"/>
          </w:r>
          <w:r>
            <w:rPr>
              <w:rFonts w:hint="eastAsia" w:ascii="Times New Roman" w:hAnsi="Times New Roman" w:eastAsia="宋体" w:cs="Times New Roman"/>
              <w:bCs/>
              <w:kern w:val="0"/>
              <w:sz w:val="24"/>
              <w:szCs w:val="32"/>
              <w:lang w:val="en-US" w:eastAsia="zh-CN" w:bidi="ar-SA"/>
            </w:rPr>
            <w:t>1.2 编制依据</w:t>
          </w:r>
          <w:r>
            <w:rPr>
              <w:rFonts w:ascii="Times New Roman" w:hAnsi="Times New Roman" w:eastAsia="宋体" w:cs="Times New Roman"/>
              <w:kern w:val="2"/>
              <w:sz w:val="24"/>
              <w:szCs w:val="22"/>
              <w:lang w:val="en-US" w:eastAsia="zh-CN" w:bidi="ar-SA"/>
            </w:rPr>
            <w:tab/>
          </w:r>
          <w:r>
            <w:rPr>
              <w:rFonts w:ascii="Times New Roman" w:hAnsi="Times New Roman" w:eastAsia="宋体" w:cs="Times New Roman"/>
              <w:kern w:val="2"/>
              <w:sz w:val="24"/>
              <w:szCs w:val="22"/>
              <w:lang w:val="en-US" w:eastAsia="zh-CN" w:bidi="ar-SA"/>
            </w:rPr>
            <w:fldChar w:fldCharType="begin"/>
          </w:r>
          <w:r>
            <w:rPr>
              <w:rFonts w:ascii="Times New Roman" w:hAnsi="Times New Roman" w:eastAsia="宋体" w:cs="Times New Roman"/>
              <w:kern w:val="2"/>
              <w:sz w:val="24"/>
              <w:szCs w:val="22"/>
              <w:lang w:val="en-US" w:eastAsia="zh-CN" w:bidi="ar-SA"/>
            </w:rPr>
            <w:instrText xml:space="preserve"> PAGEREF _Toc25265 \h </w:instrText>
          </w:r>
          <w:r>
            <w:rPr>
              <w:rFonts w:ascii="Times New Roman" w:hAnsi="Times New Roman" w:eastAsia="宋体" w:cs="Times New Roman"/>
              <w:kern w:val="2"/>
              <w:sz w:val="24"/>
              <w:szCs w:val="22"/>
              <w:lang w:val="en-US" w:eastAsia="zh-CN" w:bidi="ar-SA"/>
            </w:rPr>
            <w:fldChar w:fldCharType="separate"/>
          </w:r>
          <w:r>
            <w:rPr>
              <w:rFonts w:ascii="Times New Roman" w:hAnsi="Times New Roman" w:eastAsia="宋体" w:cs="Times New Roman"/>
              <w:kern w:val="2"/>
              <w:sz w:val="24"/>
              <w:szCs w:val="22"/>
              <w:lang w:val="en-US" w:eastAsia="zh-CN" w:bidi="ar-SA"/>
            </w:rPr>
            <w:t>1</w:t>
          </w:r>
          <w:r>
            <w:rPr>
              <w:rFonts w:ascii="Times New Roman" w:hAnsi="Times New Roman" w:eastAsia="宋体" w:cs="Times New Roman"/>
              <w:kern w:val="2"/>
              <w:sz w:val="24"/>
              <w:szCs w:val="22"/>
              <w:lang w:val="en-US" w:eastAsia="zh-CN" w:bidi="ar-SA"/>
            </w:rPr>
            <w:fldChar w:fldCharType="end"/>
          </w:r>
          <w:r>
            <w:rPr>
              <w:rFonts w:ascii="Times New Roman" w:hAnsi="Times New Roman" w:eastAsia="宋体" w:cs="Times New Roman"/>
              <w:bCs/>
              <w:color w:val="000000"/>
              <w:kern w:val="2"/>
              <w:sz w:val="24"/>
              <w:szCs w:val="22"/>
              <w:lang w:val="zh-CN" w:eastAsia="zh-CN" w:bidi="ar-SA"/>
            </w:rPr>
            <w:fldChar w:fldCharType="end"/>
          </w:r>
        </w:p>
        <w:p w14:paraId="19782EC5">
          <w:pPr>
            <w:widowControl w:val="0"/>
            <w:tabs>
              <w:tab w:val="right" w:leader="dot" w:pos="8306"/>
            </w:tabs>
            <w:spacing w:line="300" w:lineRule="auto"/>
            <w:ind w:left="840" w:leftChars="400" w:firstLine="0" w:firstLineChars="0"/>
            <w:jc w:val="both"/>
            <w:rPr>
              <w:rFonts w:ascii="Times New Roman" w:hAnsi="Times New Roman" w:eastAsia="宋体" w:cs="Times New Roman"/>
              <w:bCs w:val="0"/>
              <w:kern w:val="0"/>
              <w:sz w:val="24"/>
              <w:szCs w:val="32"/>
              <w:lang w:val="en-US" w:eastAsia="zh-CN" w:bidi="ar-SA"/>
            </w:rPr>
          </w:pPr>
          <w:r>
            <w:rPr>
              <w:rFonts w:ascii="Times New Roman" w:hAnsi="Times New Roman" w:eastAsia="宋体" w:cs="Times New Roman"/>
              <w:bCs w:val="0"/>
              <w:kern w:val="0"/>
              <w:sz w:val="24"/>
              <w:szCs w:val="32"/>
              <w:lang w:val="zh-CN" w:eastAsia="zh-CN" w:bidi="ar-SA"/>
            </w:rPr>
            <w:fldChar w:fldCharType="begin"/>
          </w:r>
          <w:r>
            <w:rPr>
              <w:rFonts w:ascii="Times New Roman" w:hAnsi="Times New Roman" w:eastAsia="宋体" w:cs="Times New Roman"/>
              <w:bCs w:val="0"/>
              <w:kern w:val="0"/>
              <w:sz w:val="24"/>
              <w:szCs w:val="32"/>
              <w:lang w:val="zh-CN" w:eastAsia="zh-CN" w:bidi="ar-SA"/>
            </w:rPr>
            <w:instrText xml:space="preserve"> HYPERLINK \l _Toc27261 </w:instrText>
          </w:r>
          <w:r>
            <w:rPr>
              <w:rFonts w:ascii="Times New Roman" w:hAnsi="Times New Roman" w:eastAsia="宋体" w:cs="Times New Roman"/>
              <w:bCs w:val="0"/>
              <w:kern w:val="0"/>
              <w:sz w:val="24"/>
              <w:szCs w:val="32"/>
              <w:lang w:val="zh-CN" w:eastAsia="zh-CN" w:bidi="ar-SA"/>
            </w:rPr>
            <w:fldChar w:fldCharType="separate"/>
          </w:r>
          <w:r>
            <w:rPr>
              <w:rFonts w:ascii="Times New Roman" w:hAnsi="Times New Roman" w:eastAsia="宋体" w:cs="Times New Roman"/>
              <w:bCs w:val="0"/>
              <w:kern w:val="0"/>
              <w:sz w:val="24"/>
              <w:szCs w:val="32"/>
              <w:lang w:val="en-US" w:eastAsia="zh-CN" w:bidi="ar-SA"/>
            </w:rPr>
            <w:t xml:space="preserve">1.2.1 </w:t>
          </w:r>
          <w:r>
            <w:rPr>
              <w:rFonts w:hint="eastAsia" w:ascii="Times New Roman" w:hAnsi="Times New Roman" w:eastAsia="宋体" w:cs="Times New Roman"/>
              <w:bCs w:val="0"/>
              <w:kern w:val="0"/>
              <w:sz w:val="24"/>
              <w:szCs w:val="32"/>
              <w:lang w:val="en-US" w:eastAsia="zh-CN" w:bidi="ar-SA"/>
            </w:rPr>
            <w:t>法律法规及规章</w:t>
          </w:r>
          <w:r>
            <w:rPr>
              <w:rFonts w:ascii="Times New Roman" w:hAnsi="Times New Roman" w:eastAsia="宋体" w:cs="Times New Roman"/>
              <w:bCs w:val="0"/>
              <w:kern w:val="0"/>
              <w:sz w:val="24"/>
              <w:szCs w:val="32"/>
              <w:lang w:val="en-US" w:eastAsia="zh-CN" w:bidi="ar-SA"/>
            </w:rPr>
            <w:tab/>
          </w:r>
          <w:r>
            <w:rPr>
              <w:rFonts w:ascii="Times New Roman" w:hAnsi="Times New Roman" w:eastAsia="宋体" w:cs="Times New Roman"/>
              <w:bCs w:val="0"/>
              <w:kern w:val="0"/>
              <w:sz w:val="24"/>
              <w:szCs w:val="32"/>
              <w:lang w:val="en-US" w:eastAsia="zh-CN" w:bidi="ar-SA"/>
            </w:rPr>
            <w:fldChar w:fldCharType="begin"/>
          </w:r>
          <w:r>
            <w:rPr>
              <w:rFonts w:ascii="Times New Roman" w:hAnsi="Times New Roman" w:eastAsia="宋体" w:cs="Times New Roman"/>
              <w:bCs w:val="0"/>
              <w:kern w:val="0"/>
              <w:sz w:val="24"/>
              <w:szCs w:val="32"/>
              <w:lang w:val="en-US" w:eastAsia="zh-CN" w:bidi="ar-SA"/>
            </w:rPr>
            <w:instrText xml:space="preserve"> PAGEREF _Toc27261 \h </w:instrText>
          </w:r>
          <w:r>
            <w:rPr>
              <w:rFonts w:ascii="Times New Roman" w:hAnsi="Times New Roman" w:eastAsia="宋体" w:cs="Times New Roman"/>
              <w:bCs w:val="0"/>
              <w:kern w:val="0"/>
              <w:sz w:val="24"/>
              <w:szCs w:val="32"/>
              <w:lang w:val="en-US" w:eastAsia="zh-CN" w:bidi="ar-SA"/>
            </w:rPr>
            <w:fldChar w:fldCharType="separate"/>
          </w:r>
          <w:r>
            <w:rPr>
              <w:rFonts w:ascii="Times New Roman" w:hAnsi="Times New Roman" w:eastAsia="宋体" w:cs="Times New Roman"/>
              <w:bCs w:val="0"/>
              <w:kern w:val="0"/>
              <w:sz w:val="24"/>
              <w:szCs w:val="32"/>
              <w:lang w:val="en-US" w:eastAsia="zh-CN" w:bidi="ar-SA"/>
            </w:rPr>
            <w:t>1</w:t>
          </w:r>
          <w:r>
            <w:rPr>
              <w:rFonts w:ascii="Times New Roman" w:hAnsi="Times New Roman" w:eastAsia="宋体" w:cs="Times New Roman"/>
              <w:bCs w:val="0"/>
              <w:kern w:val="0"/>
              <w:sz w:val="24"/>
              <w:szCs w:val="32"/>
              <w:lang w:val="en-US" w:eastAsia="zh-CN" w:bidi="ar-SA"/>
            </w:rPr>
            <w:fldChar w:fldCharType="end"/>
          </w:r>
          <w:r>
            <w:rPr>
              <w:rFonts w:ascii="Times New Roman" w:hAnsi="Times New Roman" w:eastAsia="宋体" w:cs="Times New Roman"/>
              <w:bCs w:val="0"/>
              <w:kern w:val="0"/>
              <w:sz w:val="24"/>
              <w:szCs w:val="32"/>
              <w:lang w:val="zh-CN" w:eastAsia="zh-CN" w:bidi="ar-SA"/>
            </w:rPr>
            <w:fldChar w:fldCharType="end"/>
          </w:r>
        </w:p>
        <w:p w14:paraId="016D2601">
          <w:pPr>
            <w:widowControl w:val="0"/>
            <w:tabs>
              <w:tab w:val="right" w:leader="dot" w:pos="8306"/>
            </w:tabs>
            <w:spacing w:line="300" w:lineRule="auto"/>
            <w:ind w:left="840" w:leftChars="400" w:firstLine="0" w:firstLineChars="0"/>
            <w:jc w:val="both"/>
            <w:rPr>
              <w:rFonts w:ascii="Times New Roman" w:hAnsi="Times New Roman" w:eastAsia="宋体" w:cs="Times New Roman"/>
              <w:kern w:val="2"/>
              <w:sz w:val="24"/>
              <w:szCs w:val="22"/>
              <w:lang w:val="en-US" w:eastAsia="zh-CN" w:bidi="ar-SA"/>
            </w:rPr>
          </w:pPr>
          <w:r>
            <w:rPr>
              <w:rFonts w:ascii="Times New Roman" w:hAnsi="Times New Roman" w:eastAsia="宋体" w:cs="Times New Roman"/>
              <w:bCs w:val="0"/>
              <w:kern w:val="0"/>
              <w:sz w:val="24"/>
              <w:szCs w:val="32"/>
              <w:lang w:val="zh-CN" w:eastAsia="zh-CN" w:bidi="ar-SA"/>
            </w:rPr>
            <w:fldChar w:fldCharType="begin"/>
          </w:r>
          <w:r>
            <w:rPr>
              <w:rFonts w:ascii="Times New Roman" w:hAnsi="Times New Roman" w:eastAsia="宋体" w:cs="Times New Roman"/>
              <w:bCs w:val="0"/>
              <w:kern w:val="0"/>
              <w:sz w:val="24"/>
              <w:szCs w:val="32"/>
              <w:lang w:val="zh-CN" w:eastAsia="zh-CN" w:bidi="ar-SA"/>
            </w:rPr>
            <w:instrText xml:space="preserve"> HYPERLINK \l _Toc4446 </w:instrText>
          </w:r>
          <w:r>
            <w:rPr>
              <w:rFonts w:ascii="Times New Roman" w:hAnsi="Times New Roman" w:eastAsia="宋体" w:cs="Times New Roman"/>
              <w:bCs w:val="0"/>
              <w:kern w:val="0"/>
              <w:sz w:val="24"/>
              <w:szCs w:val="32"/>
              <w:lang w:val="zh-CN" w:eastAsia="zh-CN" w:bidi="ar-SA"/>
            </w:rPr>
            <w:fldChar w:fldCharType="separate"/>
          </w:r>
          <w:r>
            <w:rPr>
              <w:rFonts w:ascii="Times New Roman" w:hAnsi="Times New Roman" w:eastAsia="宋体" w:cs="Times New Roman"/>
              <w:bCs w:val="0"/>
              <w:kern w:val="0"/>
              <w:sz w:val="24"/>
              <w:szCs w:val="32"/>
              <w:lang w:val="en-US" w:eastAsia="zh-CN" w:bidi="ar-SA"/>
            </w:rPr>
            <w:t xml:space="preserve">1.2.2 </w:t>
          </w:r>
          <w:r>
            <w:rPr>
              <w:rFonts w:hint="eastAsia" w:ascii="Times New Roman" w:hAnsi="Times New Roman" w:eastAsia="宋体" w:cs="Times New Roman"/>
              <w:bCs w:val="0"/>
              <w:kern w:val="0"/>
              <w:sz w:val="24"/>
              <w:szCs w:val="32"/>
              <w:lang w:val="en-US" w:eastAsia="zh-CN" w:bidi="ar-SA"/>
            </w:rPr>
            <w:t>技术标准</w:t>
          </w:r>
          <w:r>
            <w:rPr>
              <w:rFonts w:ascii="Times New Roman" w:hAnsi="Times New Roman" w:eastAsia="宋体" w:cs="Times New Roman"/>
              <w:bCs w:val="0"/>
              <w:kern w:val="0"/>
              <w:sz w:val="24"/>
              <w:szCs w:val="32"/>
              <w:lang w:val="en-US" w:eastAsia="zh-CN" w:bidi="ar-SA"/>
            </w:rPr>
            <w:tab/>
          </w:r>
          <w:r>
            <w:rPr>
              <w:rFonts w:ascii="Times New Roman" w:hAnsi="Times New Roman" w:eastAsia="宋体" w:cs="Times New Roman"/>
              <w:bCs w:val="0"/>
              <w:kern w:val="0"/>
              <w:sz w:val="24"/>
              <w:szCs w:val="32"/>
              <w:lang w:val="en-US" w:eastAsia="zh-CN" w:bidi="ar-SA"/>
            </w:rPr>
            <w:fldChar w:fldCharType="begin"/>
          </w:r>
          <w:r>
            <w:rPr>
              <w:rFonts w:ascii="Times New Roman" w:hAnsi="Times New Roman" w:eastAsia="宋体" w:cs="Times New Roman"/>
              <w:bCs w:val="0"/>
              <w:kern w:val="0"/>
              <w:sz w:val="24"/>
              <w:szCs w:val="32"/>
              <w:lang w:val="en-US" w:eastAsia="zh-CN" w:bidi="ar-SA"/>
            </w:rPr>
            <w:instrText xml:space="preserve"> PAGEREF _Toc4446 \h </w:instrText>
          </w:r>
          <w:r>
            <w:rPr>
              <w:rFonts w:ascii="Times New Roman" w:hAnsi="Times New Roman" w:eastAsia="宋体" w:cs="Times New Roman"/>
              <w:bCs w:val="0"/>
              <w:kern w:val="0"/>
              <w:sz w:val="24"/>
              <w:szCs w:val="32"/>
              <w:lang w:val="en-US" w:eastAsia="zh-CN" w:bidi="ar-SA"/>
            </w:rPr>
            <w:fldChar w:fldCharType="separate"/>
          </w:r>
          <w:r>
            <w:rPr>
              <w:rFonts w:ascii="Times New Roman" w:hAnsi="Times New Roman" w:eastAsia="宋体" w:cs="Times New Roman"/>
              <w:bCs w:val="0"/>
              <w:kern w:val="0"/>
              <w:sz w:val="24"/>
              <w:szCs w:val="32"/>
              <w:lang w:val="en-US" w:eastAsia="zh-CN" w:bidi="ar-SA"/>
            </w:rPr>
            <w:t>2</w:t>
          </w:r>
          <w:r>
            <w:rPr>
              <w:rFonts w:ascii="Times New Roman" w:hAnsi="Times New Roman" w:eastAsia="宋体" w:cs="Times New Roman"/>
              <w:bCs w:val="0"/>
              <w:kern w:val="0"/>
              <w:sz w:val="24"/>
              <w:szCs w:val="32"/>
              <w:lang w:val="en-US" w:eastAsia="zh-CN" w:bidi="ar-SA"/>
            </w:rPr>
            <w:fldChar w:fldCharType="end"/>
          </w:r>
          <w:r>
            <w:rPr>
              <w:rFonts w:ascii="Times New Roman" w:hAnsi="Times New Roman" w:eastAsia="宋体" w:cs="Times New Roman"/>
              <w:bCs w:val="0"/>
              <w:kern w:val="0"/>
              <w:sz w:val="24"/>
              <w:szCs w:val="32"/>
              <w:lang w:val="zh-CN" w:eastAsia="zh-CN" w:bidi="ar-SA"/>
            </w:rPr>
            <w:fldChar w:fldCharType="end"/>
          </w:r>
        </w:p>
        <w:p w14:paraId="5E1F36F5">
          <w:pPr>
            <w:widowControl w:val="0"/>
            <w:tabs>
              <w:tab w:val="right" w:leader="dot" w:pos="8306"/>
            </w:tabs>
            <w:spacing w:line="300" w:lineRule="auto"/>
            <w:ind w:left="420" w:leftChars="200" w:firstLine="0" w:firstLineChars="0"/>
            <w:jc w:val="both"/>
            <w:rPr>
              <w:rFonts w:ascii="Times New Roman" w:hAnsi="Times New Roman" w:eastAsia="宋体" w:cs="Times New Roman"/>
              <w:kern w:val="2"/>
              <w:sz w:val="24"/>
              <w:szCs w:val="22"/>
              <w:lang w:val="en-US" w:eastAsia="zh-CN" w:bidi="ar-SA"/>
            </w:rPr>
          </w:pPr>
          <w:r>
            <w:rPr>
              <w:rFonts w:ascii="Times New Roman" w:hAnsi="Times New Roman" w:eastAsia="宋体" w:cs="Times New Roman"/>
              <w:bCs/>
              <w:color w:val="000000"/>
              <w:kern w:val="2"/>
              <w:sz w:val="24"/>
              <w:szCs w:val="22"/>
              <w:lang w:val="zh-CN" w:eastAsia="zh-CN" w:bidi="ar-SA"/>
            </w:rPr>
            <w:fldChar w:fldCharType="begin"/>
          </w:r>
          <w:r>
            <w:rPr>
              <w:rFonts w:ascii="Times New Roman" w:hAnsi="Times New Roman" w:eastAsia="宋体" w:cs="Times New Roman"/>
              <w:bCs/>
              <w:kern w:val="2"/>
              <w:sz w:val="24"/>
              <w:szCs w:val="22"/>
              <w:lang w:val="zh-CN" w:eastAsia="zh-CN" w:bidi="ar-SA"/>
            </w:rPr>
            <w:instrText xml:space="preserve"> HYPERLINK \l _Toc9760 </w:instrText>
          </w:r>
          <w:r>
            <w:rPr>
              <w:rFonts w:ascii="Times New Roman" w:hAnsi="Times New Roman" w:eastAsia="宋体" w:cs="Times New Roman"/>
              <w:bCs/>
              <w:kern w:val="2"/>
              <w:sz w:val="24"/>
              <w:szCs w:val="22"/>
              <w:lang w:val="zh-CN" w:eastAsia="zh-CN" w:bidi="ar-SA"/>
            </w:rPr>
            <w:fldChar w:fldCharType="separate"/>
          </w:r>
          <w:r>
            <w:rPr>
              <w:rFonts w:ascii="Times New Roman" w:hAnsi="Times New Roman" w:eastAsia="宋体" w:cs="Times New Roman"/>
              <w:bCs/>
              <w:kern w:val="0"/>
              <w:sz w:val="24"/>
              <w:szCs w:val="32"/>
              <w:lang w:val="en-US" w:eastAsia="zh-CN" w:bidi="ar-SA"/>
            </w:rPr>
            <w:t xml:space="preserve">1.3 </w:t>
          </w:r>
          <w:r>
            <w:rPr>
              <w:rFonts w:hint="eastAsia" w:ascii="Times New Roman" w:hAnsi="Times New Roman" w:eastAsia="宋体" w:cs="Times New Roman"/>
              <w:bCs/>
              <w:kern w:val="0"/>
              <w:sz w:val="24"/>
              <w:szCs w:val="32"/>
              <w:lang w:val="en-US" w:eastAsia="zh-CN" w:bidi="ar-SA"/>
            </w:rPr>
            <w:t>评价内容及评价工作重点</w:t>
          </w:r>
          <w:r>
            <w:rPr>
              <w:rFonts w:ascii="Times New Roman" w:hAnsi="Times New Roman" w:eastAsia="宋体" w:cs="Times New Roman"/>
              <w:kern w:val="2"/>
              <w:sz w:val="24"/>
              <w:szCs w:val="22"/>
              <w:lang w:val="en-US" w:eastAsia="zh-CN" w:bidi="ar-SA"/>
            </w:rPr>
            <w:tab/>
          </w:r>
          <w:r>
            <w:rPr>
              <w:rFonts w:ascii="Times New Roman" w:hAnsi="Times New Roman" w:eastAsia="宋体" w:cs="Times New Roman"/>
              <w:kern w:val="2"/>
              <w:sz w:val="24"/>
              <w:szCs w:val="22"/>
              <w:lang w:val="en-US" w:eastAsia="zh-CN" w:bidi="ar-SA"/>
            </w:rPr>
            <w:fldChar w:fldCharType="begin"/>
          </w:r>
          <w:r>
            <w:rPr>
              <w:rFonts w:ascii="Times New Roman" w:hAnsi="Times New Roman" w:eastAsia="宋体" w:cs="Times New Roman"/>
              <w:kern w:val="2"/>
              <w:sz w:val="24"/>
              <w:szCs w:val="22"/>
              <w:lang w:val="en-US" w:eastAsia="zh-CN" w:bidi="ar-SA"/>
            </w:rPr>
            <w:instrText xml:space="preserve"> PAGEREF _Toc9760 \h </w:instrText>
          </w:r>
          <w:r>
            <w:rPr>
              <w:rFonts w:ascii="Times New Roman" w:hAnsi="Times New Roman" w:eastAsia="宋体" w:cs="Times New Roman"/>
              <w:kern w:val="2"/>
              <w:sz w:val="24"/>
              <w:szCs w:val="22"/>
              <w:lang w:val="en-US" w:eastAsia="zh-CN" w:bidi="ar-SA"/>
            </w:rPr>
            <w:fldChar w:fldCharType="separate"/>
          </w:r>
          <w:r>
            <w:rPr>
              <w:rFonts w:ascii="Times New Roman" w:hAnsi="Times New Roman" w:eastAsia="宋体" w:cs="Times New Roman"/>
              <w:kern w:val="2"/>
              <w:sz w:val="24"/>
              <w:szCs w:val="22"/>
              <w:lang w:val="en-US" w:eastAsia="zh-CN" w:bidi="ar-SA"/>
            </w:rPr>
            <w:t>2</w:t>
          </w:r>
          <w:r>
            <w:rPr>
              <w:rFonts w:ascii="Times New Roman" w:hAnsi="Times New Roman" w:eastAsia="宋体" w:cs="Times New Roman"/>
              <w:kern w:val="2"/>
              <w:sz w:val="24"/>
              <w:szCs w:val="22"/>
              <w:lang w:val="en-US" w:eastAsia="zh-CN" w:bidi="ar-SA"/>
            </w:rPr>
            <w:fldChar w:fldCharType="end"/>
          </w:r>
          <w:r>
            <w:rPr>
              <w:rFonts w:ascii="Times New Roman" w:hAnsi="Times New Roman" w:eastAsia="宋体" w:cs="Times New Roman"/>
              <w:bCs/>
              <w:color w:val="000000"/>
              <w:kern w:val="2"/>
              <w:sz w:val="24"/>
              <w:szCs w:val="22"/>
              <w:lang w:val="zh-CN" w:eastAsia="zh-CN" w:bidi="ar-SA"/>
            </w:rPr>
            <w:fldChar w:fldCharType="end"/>
          </w:r>
        </w:p>
        <w:p w14:paraId="691CC28E">
          <w:pPr>
            <w:widowControl w:val="0"/>
            <w:tabs>
              <w:tab w:val="right" w:leader="dot" w:pos="8306"/>
            </w:tabs>
            <w:spacing w:line="300" w:lineRule="auto"/>
            <w:ind w:left="840" w:leftChars="400" w:firstLine="0" w:firstLineChars="0"/>
            <w:jc w:val="both"/>
            <w:rPr>
              <w:rFonts w:ascii="Times New Roman" w:hAnsi="Times New Roman" w:eastAsia="宋体" w:cs="Times New Roman"/>
              <w:bCs w:val="0"/>
              <w:kern w:val="0"/>
              <w:sz w:val="24"/>
              <w:szCs w:val="32"/>
              <w:lang w:val="zh-CN" w:eastAsia="zh-CN" w:bidi="ar-SA"/>
            </w:rPr>
          </w:pPr>
          <w:r>
            <w:rPr>
              <w:rFonts w:ascii="Times New Roman" w:hAnsi="Times New Roman" w:eastAsia="宋体" w:cs="Times New Roman"/>
              <w:bCs w:val="0"/>
              <w:kern w:val="0"/>
              <w:sz w:val="24"/>
              <w:szCs w:val="32"/>
              <w:lang w:val="zh-CN" w:eastAsia="zh-CN" w:bidi="ar-SA"/>
            </w:rPr>
            <w:fldChar w:fldCharType="begin"/>
          </w:r>
          <w:r>
            <w:rPr>
              <w:rFonts w:ascii="Times New Roman" w:hAnsi="Times New Roman" w:eastAsia="宋体" w:cs="Times New Roman"/>
              <w:bCs w:val="0"/>
              <w:kern w:val="0"/>
              <w:sz w:val="24"/>
              <w:szCs w:val="32"/>
              <w:lang w:val="zh-CN" w:eastAsia="zh-CN" w:bidi="ar-SA"/>
            </w:rPr>
            <w:instrText xml:space="preserve"> HYPERLINK \l _Toc16153 </w:instrText>
          </w:r>
          <w:r>
            <w:rPr>
              <w:rFonts w:ascii="Times New Roman" w:hAnsi="Times New Roman" w:eastAsia="宋体" w:cs="Times New Roman"/>
              <w:bCs w:val="0"/>
              <w:kern w:val="0"/>
              <w:sz w:val="24"/>
              <w:szCs w:val="32"/>
              <w:lang w:val="zh-CN" w:eastAsia="zh-CN" w:bidi="ar-SA"/>
            </w:rPr>
            <w:fldChar w:fldCharType="separate"/>
          </w:r>
          <w:r>
            <w:rPr>
              <w:rFonts w:ascii="Times New Roman" w:hAnsi="Times New Roman" w:eastAsia="宋体" w:cs="Times New Roman"/>
              <w:bCs w:val="0"/>
              <w:kern w:val="0"/>
              <w:sz w:val="24"/>
              <w:szCs w:val="32"/>
              <w:lang w:val="en-US" w:eastAsia="zh-CN" w:bidi="ar-SA"/>
            </w:rPr>
            <w:t xml:space="preserve">1.3.1 </w:t>
          </w:r>
          <w:r>
            <w:rPr>
              <w:rFonts w:hint="eastAsia" w:ascii="Times New Roman" w:hAnsi="Times New Roman" w:eastAsia="宋体" w:cs="Times New Roman"/>
              <w:bCs w:val="0"/>
              <w:kern w:val="0"/>
              <w:sz w:val="24"/>
              <w:szCs w:val="32"/>
              <w:lang w:val="en-US" w:eastAsia="zh-CN" w:bidi="ar-SA"/>
            </w:rPr>
            <w:t>评价工作内容</w:t>
          </w:r>
          <w:r>
            <w:rPr>
              <w:rFonts w:ascii="Times New Roman" w:hAnsi="Times New Roman" w:eastAsia="宋体" w:cs="Times New Roman"/>
              <w:bCs w:val="0"/>
              <w:kern w:val="0"/>
              <w:sz w:val="24"/>
              <w:szCs w:val="32"/>
              <w:lang w:val="zh-CN" w:eastAsia="zh-CN" w:bidi="ar-SA"/>
            </w:rPr>
            <w:tab/>
          </w:r>
          <w:r>
            <w:rPr>
              <w:rFonts w:ascii="Times New Roman" w:hAnsi="Times New Roman" w:eastAsia="宋体" w:cs="Times New Roman"/>
              <w:bCs w:val="0"/>
              <w:kern w:val="0"/>
              <w:sz w:val="24"/>
              <w:szCs w:val="32"/>
              <w:lang w:val="zh-CN" w:eastAsia="zh-CN" w:bidi="ar-SA"/>
            </w:rPr>
            <w:fldChar w:fldCharType="begin"/>
          </w:r>
          <w:r>
            <w:rPr>
              <w:rFonts w:ascii="Times New Roman" w:hAnsi="Times New Roman" w:eastAsia="宋体" w:cs="Times New Roman"/>
              <w:bCs w:val="0"/>
              <w:kern w:val="0"/>
              <w:sz w:val="24"/>
              <w:szCs w:val="32"/>
              <w:lang w:val="zh-CN" w:eastAsia="zh-CN" w:bidi="ar-SA"/>
            </w:rPr>
            <w:instrText xml:space="preserve"> PAGEREF _Toc16153 \h </w:instrText>
          </w:r>
          <w:r>
            <w:rPr>
              <w:rFonts w:ascii="Times New Roman" w:hAnsi="Times New Roman" w:eastAsia="宋体" w:cs="Times New Roman"/>
              <w:bCs w:val="0"/>
              <w:kern w:val="0"/>
              <w:sz w:val="24"/>
              <w:szCs w:val="32"/>
              <w:lang w:val="zh-CN" w:eastAsia="zh-CN" w:bidi="ar-SA"/>
            </w:rPr>
            <w:fldChar w:fldCharType="separate"/>
          </w:r>
          <w:r>
            <w:rPr>
              <w:rFonts w:ascii="Times New Roman" w:hAnsi="Times New Roman" w:eastAsia="宋体" w:cs="Times New Roman"/>
              <w:bCs w:val="0"/>
              <w:kern w:val="0"/>
              <w:sz w:val="24"/>
              <w:szCs w:val="32"/>
              <w:lang w:val="zh-CN" w:eastAsia="zh-CN" w:bidi="ar-SA"/>
            </w:rPr>
            <w:t>2</w:t>
          </w:r>
          <w:r>
            <w:rPr>
              <w:rFonts w:ascii="Times New Roman" w:hAnsi="Times New Roman" w:eastAsia="宋体" w:cs="Times New Roman"/>
              <w:bCs w:val="0"/>
              <w:kern w:val="0"/>
              <w:sz w:val="24"/>
              <w:szCs w:val="32"/>
              <w:lang w:val="zh-CN" w:eastAsia="zh-CN" w:bidi="ar-SA"/>
            </w:rPr>
            <w:fldChar w:fldCharType="end"/>
          </w:r>
          <w:r>
            <w:rPr>
              <w:rFonts w:ascii="Times New Roman" w:hAnsi="Times New Roman" w:eastAsia="宋体" w:cs="Times New Roman"/>
              <w:bCs w:val="0"/>
              <w:kern w:val="0"/>
              <w:sz w:val="24"/>
              <w:szCs w:val="32"/>
              <w:lang w:val="zh-CN" w:eastAsia="zh-CN" w:bidi="ar-SA"/>
            </w:rPr>
            <w:fldChar w:fldCharType="end"/>
          </w:r>
        </w:p>
        <w:p w14:paraId="76437C56">
          <w:pPr>
            <w:widowControl w:val="0"/>
            <w:tabs>
              <w:tab w:val="right" w:leader="dot" w:pos="8306"/>
            </w:tabs>
            <w:spacing w:line="300" w:lineRule="auto"/>
            <w:ind w:left="840" w:leftChars="400" w:firstLine="0" w:firstLineChars="0"/>
            <w:jc w:val="both"/>
            <w:rPr>
              <w:rFonts w:ascii="Times New Roman" w:hAnsi="Times New Roman" w:eastAsia="宋体" w:cs="Times New Roman"/>
              <w:kern w:val="2"/>
              <w:sz w:val="24"/>
              <w:szCs w:val="22"/>
              <w:lang w:val="en-US" w:eastAsia="zh-CN" w:bidi="ar-SA"/>
            </w:rPr>
          </w:pPr>
          <w:r>
            <w:rPr>
              <w:rFonts w:ascii="Times New Roman" w:hAnsi="Times New Roman" w:eastAsia="宋体" w:cs="Times New Roman"/>
              <w:bCs w:val="0"/>
              <w:kern w:val="0"/>
              <w:sz w:val="24"/>
              <w:szCs w:val="32"/>
              <w:lang w:val="zh-CN" w:eastAsia="zh-CN" w:bidi="ar-SA"/>
            </w:rPr>
            <w:fldChar w:fldCharType="begin"/>
          </w:r>
          <w:r>
            <w:rPr>
              <w:rFonts w:ascii="Times New Roman" w:hAnsi="Times New Roman" w:eastAsia="宋体" w:cs="Times New Roman"/>
              <w:bCs w:val="0"/>
              <w:kern w:val="0"/>
              <w:sz w:val="24"/>
              <w:szCs w:val="32"/>
              <w:lang w:val="zh-CN" w:eastAsia="zh-CN" w:bidi="ar-SA"/>
            </w:rPr>
            <w:instrText xml:space="preserve"> HYPERLINK \l _Toc21540 </w:instrText>
          </w:r>
          <w:r>
            <w:rPr>
              <w:rFonts w:ascii="Times New Roman" w:hAnsi="Times New Roman" w:eastAsia="宋体" w:cs="Times New Roman"/>
              <w:bCs w:val="0"/>
              <w:kern w:val="0"/>
              <w:sz w:val="24"/>
              <w:szCs w:val="32"/>
              <w:lang w:val="zh-CN" w:eastAsia="zh-CN" w:bidi="ar-SA"/>
            </w:rPr>
            <w:fldChar w:fldCharType="separate"/>
          </w:r>
          <w:r>
            <w:rPr>
              <w:rFonts w:ascii="Times New Roman" w:hAnsi="Times New Roman" w:eastAsia="宋体" w:cs="Times New Roman"/>
              <w:bCs w:val="0"/>
              <w:kern w:val="0"/>
              <w:sz w:val="24"/>
              <w:szCs w:val="32"/>
              <w:lang w:val="en-US" w:eastAsia="zh-CN" w:bidi="ar-SA"/>
            </w:rPr>
            <w:t>1.3.</w:t>
          </w:r>
          <w:r>
            <w:rPr>
              <w:rFonts w:hint="eastAsia" w:ascii="Times New Roman" w:hAnsi="Times New Roman" w:eastAsia="宋体" w:cs="Times New Roman"/>
              <w:bCs w:val="0"/>
              <w:kern w:val="0"/>
              <w:sz w:val="24"/>
              <w:szCs w:val="32"/>
              <w:lang w:val="en-US" w:eastAsia="zh-CN" w:bidi="ar-SA"/>
            </w:rPr>
            <w:t>2</w:t>
          </w:r>
          <w:r>
            <w:rPr>
              <w:rFonts w:ascii="Times New Roman" w:hAnsi="Times New Roman" w:eastAsia="宋体" w:cs="Times New Roman"/>
              <w:bCs w:val="0"/>
              <w:kern w:val="0"/>
              <w:sz w:val="24"/>
              <w:szCs w:val="32"/>
              <w:lang w:val="en-US" w:eastAsia="zh-CN" w:bidi="ar-SA"/>
            </w:rPr>
            <w:t xml:space="preserve"> </w:t>
          </w:r>
          <w:r>
            <w:rPr>
              <w:rFonts w:hint="eastAsia" w:ascii="Times New Roman" w:hAnsi="Times New Roman" w:eastAsia="宋体" w:cs="Times New Roman"/>
              <w:bCs w:val="0"/>
              <w:kern w:val="0"/>
              <w:sz w:val="24"/>
              <w:szCs w:val="32"/>
              <w:lang w:val="en-US" w:eastAsia="zh-CN" w:bidi="ar-SA"/>
            </w:rPr>
            <w:t>评价工作重点</w:t>
          </w:r>
          <w:r>
            <w:rPr>
              <w:rFonts w:ascii="Times New Roman" w:hAnsi="Times New Roman" w:eastAsia="宋体" w:cs="Times New Roman"/>
              <w:bCs w:val="0"/>
              <w:kern w:val="0"/>
              <w:sz w:val="24"/>
              <w:szCs w:val="32"/>
              <w:lang w:val="zh-CN" w:eastAsia="zh-CN" w:bidi="ar-SA"/>
            </w:rPr>
            <w:tab/>
          </w:r>
          <w:r>
            <w:rPr>
              <w:rFonts w:ascii="Times New Roman" w:hAnsi="Times New Roman" w:eastAsia="宋体" w:cs="Times New Roman"/>
              <w:bCs w:val="0"/>
              <w:kern w:val="0"/>
              <w:sz w:val="24"/>
              <w:szCs w:val="32"/>
              <w:lang w:val="zh-CN" w:eastAsia="zh-CN" w:bidi="ar-SA"/>
            </w:rPr>
            <w:fldChar w:fldCharType="begin"/>
          </w:r>
          <w:r>
            <w:rPr>
              <w:rFonts w:ascii="Times New Roman" w:hAnsi="Times New Roman" w:eastAsia="宋体" w:cs="Times New Roman"/>
              <w:bCs w:val="0"/>
              <w:kern w:val="0"/>
              <w:sz w:val="24"/>
              <w:szCs w:val="32"/>
              <w:lang w:val="zh-CN" w:eastAsia="zh-CN" w:bidi="ar-SA"/>
            </w:rPr>
            <w:instrText xml:space="preserve"> PAGEREF _Toc21540 \h </w:instrText>
          </w:r>
          <w:r>
            <w:rPr>
              <w:rFonts w:ascii="Times New Roman" w:hAnsi="Times New Roman" w:eastAsia="宋体" w:cs="Times New Roman"/>
              <w:bCs w:val="0"/>
              <w:kern w:val="0"/>
              <w:sz w:val="24"/>
              <w:szCs w:val="32"/>
              <w:lang w:val="zh-CN" w:eastAsia="zh-CN" w:bidi="ar-SA"/>
            </w:rPr>
            <w:fldChar w:fldCharType="separate"/>
          </w:r>
          <w:r>
            <w:rPr>
              <w:rFonts w:ascii="Times New Roman" w:hAnsi="Times New Roman" w:eastAsia="宋体" w:cs="Times New Roman"/>
              <w:bCs w:val="0"/>
              <w:kern w:val="0"/>
              <w:sz w:val="24"/>
              <w:szCs w:val="32"/>
              <w:lang w:val="zh-CN" w:eastAsia="zh-CN" w:bidi="ar-SA"/>
            </w:rPr>
            <w:t>3</w:t>
          </w:r>
          <w:r>
            <w:rPr>
              <w:rFonts w:ascii="Times New Roman" w:hAnsi="Times New Roman" w:eastAsia="宋体" w:cs="Times New Roman"/>
              <w:bCs w:val="0"/>
              <w:kern w:val="0"/>
              <w:sz w:val="24"/>
              <w:szCs w:val="32"/>
              <w:lang w:val="zh-CN" w:eastAsia="zh-CN" w:bidi="ar-SA"/>
            </w:rPr>
            <w:fldChar w:fldCharType="end"/>
          </w:r>
          <w:r>
            <w:rPr>
              <w:rFonts w:ascii="Times New Roman" w:hAnsi="Times New Roman" w:eastAsia="宋体" w:cs="Times New Roman"/>
              <w:bCs w:val="0"/>
              <w:kern w:val="0"/>
              <w:sz w:val="24"/>
              <w:szCs w:val="32"/>
              <w:lang w:val="zh-CN" w:eastAsia="zh-CN" w:bidi="ar-SA"/>
            </w:rPr>
            <w:fldChar w:fldCharType="end"/>
          </w:r>
        </w:p>
        <w:p w14:paraId="356FB4B6">
          <w:pPr>
            <w:widowControl w:val="0"/>
            <w:tabs>
              <w:tab w:val="right" w:leader="dot" w:pos="8306"/>
            </w:tabs>
            <w:spacing w:line="300" w:lineRule="auto"/>
            <w:ind w:left="420" w:leftChars="200" w:firstLine="0" w:firstLineChars="0"/>
            <w:jc w:val="both"/>
            <w:rPr>
              <w:rFonts w:ascii="Times New Roman" w:hAnsi="Times New Roman" w:eastAsia="宋体" w:cs="Times New Roman"/>
              <w:kern w:val="2"/>
              <w:sz w:val="24"/>
              <w:szCs w:val="22"/>
              <w:lang w:val="en-US" w:eastAsia="zh-CN" w:bidi="ar-SA"/>
            </w:rPr>
          </w:pPr>
          <w:r>
            <w:rPr>
              <w:rFonts w:ascii="Times New Roman" w:hAnsi="Times New Roman" w:eastAsia="宋体" w:cs="Times New Roman"/>
              <w:bCs/>
              <w:color w:val="000000"/>
              <w:kern w:val="2"/>
              <w:sz w:val="24"/>
              <w:szCs w:val="22"/>
              <w:lang w:val="zh-CN" w:eastAsia="zh-CN" w:bidi="ar-SA"/>
            </w:rPr>
            <w:fldChar w:fldCharType="begin"/>
          </w:r>
          <w:r>
            <w:rPr>
              <w:rFonts w:ascii="Times New Roman" w:hAnsi="Times New Roman" w:eastAsia="宋体" w:cs="Times New Roman"/>
              <w:bCs/>
              <w:kern w:val="2"/>
              <w:sz w:val="24"/>
              <w:szCs w:val="22"/>
              <w:lang w:val="zh-CN" w:eastAsia="zh-CN" w:bidi="ar-SA"/>
            </w:rPr>
            <w:instrText xml:space="preserve"> HYPERLINK \l _Toc1037 </w:instrText>
          </w:r>
          <w:r>
            <w:rPr>
              <w:rFonts w:ascii="Times New Roman" w:hAnsi="Times New Roman" w:eastAsia="宋体" w:cs="Times New Roman"/>
              <w:bCs/>
              <w:kern w:val="2"/>
              <w:sz w:val="24"/>
              <w:szCs w:val="22"/>
              <w:lang w:val="zh-CN" w:eastAsia="zh-CN" w:bidi="ar-SA"/>
            </w:rPr>
            <w:fldChar w:fldCharType="separate"/>
          </w:r>
          <w:r>
            <w:rPr>
              <w:rFonts w:hint="eastAsia" w:ascii="Times New Roman" w:hAnsi="Times New Roman" w:eastAsia="宋体" w:cs="Times New Roman"/>
              <w:bCs/>
              <w:kern w:val="0"/>
              <w:sz w:val="24"/>
              <w:szCs w:val="32"/>
              <w:lang w:val="en-US" w:eastAsia="zh-CN" w:bidi="ar-SA"/>
            </w:rPr>
            <w:t xml:space="preserve">1.4 </w:t>
          </w:r>
          <w:r>
            <w:rPr>
              <w:rFonts w:ascii="Times New Roman" w:hAnsi="Times New Roman" w:eastAsia="宋体" w:cs="Times New Roman"/>
              <w:bCs/>
              <w:kern w:val="0"/>
              <w:sz w:val="24"/>
              <w:szCs w:val="32"/>
              <w:lang w:val="en-US" w:eastAsia="zh-CN" w:bidi="ar-SA"/>
            </w:rPr>
            <w:t>评价工作等级及评价范围</w:t>
          </w:r>
          <w:r>
            <w:rPr>
              <w:rFonts w:ascii="Times New Roman" w:hAnsi="Times New Roman" w:eastAsia="宋体" w:cs="Times New Roman"/>
              <w:kern w:val="2"/>
              <w:sz w:val="24"/>
              <w:szCs w:val="22"/>
              <w:lang w:val="en-US" w:eastAsia="zh-CN" w:bidi="ar-SA"/>
            </w:rPr>
            <w:tab/>
          </w:r>
          <w:r>
            <w:rPr>
              <w:rFonts w:ascii="Times New Roman" w:hAnsi="Times New Roman" w:eastAsia="宋体" w:cs="Times New Roman"/>
              <w:kern w:val="2"/>
              <w:sz w:val="24"/>
              <w:szCs w:val="22"/>
              <w:lang w:val="en-US" w:eastAsia="zh-CN" w:bidi="ar-SA"/>
            </w:rPr>
            <w:fldChar w:fldCharType="begin"/>
          </w:r>
          <w:r>
            <w:rPr>
              <w:rFonts w:ascii="Times New Roman" w:hAnsi="Times New Roman" w:eastAsia="宋体" w:cs="Times New Roman"/>
              <w:kern w:val="2"/>
              <w:sz w:val="24"/>
              <w:szCs w:val="22"/>
              <w:lang w:val="en-US" w:eastAsia="zh-CN" w:bidi="ar-SA"/>
            </w:rPr>
            <w:instrText xml:space="preserve"> PAGEREF _Toc1037 \h </w:instrText>
          </w:r>
          <w:r>
            <w:rPr>
              <w:rFonts w:ascii="Times New Roman" w:hAnsi="Times New Roman" w:eastAsia="宋体" w:cs="Times New Roman"/>
              <w:kern w:val="2"/>
              <w:sz w:val="24"/>
              <w:szCs w:val="22"/>
              <w:lang w:val="en-US" w:eastAsia="zh-CN" w:bidi="ar-SA"/>
            </w:rPr>
            <w:fldChar w:fldCharType="separate"/>
          </w:r>
          <w:r>
            <w:rPr>
              <w:rFonts w:ascii="Times New Roman" w:hAnsi="Times New Roman" w:eastAsia="宋体" w:cs="Times New Roman"/>
              <w:kern w:val="2"/>
              <w:sz w:val="24"/>
              <w:szCs w:val="22"/>
              <w:lang w:val="en-US" w:eastAsia="zh-CN" w:bidi="ar-SA"/>
            </w:rPr>
            <w:t>3</w:t>
          </w:r>
          <w:r>
            <w:rPr>
              <w:rFonts w:ascii="Times New Roman" w:hAnsi="Times New Roman" w:eastAsia="宋体" w:cs="Times New Roman"/>
              <w:kern w:val="2"/>
              <w:sz w:val="24"/>
              <w:szCs w:val="22"/>
              <w:lang w:val="en-US" w:eastAsia="zh-CN" w:bidi="ar-SA"/>
            </w:rPr>
            <w:fldChar w:fldCharType="end"/>
          </w:r>
          <w:r>
            <w:rPr>
              <w:rFonts w:ascii="Times New Roman" w:hAnsi="Times New Roman" w:eastAsia="宋体" w:cs="Times New Roman"/>
              <w:bCs/>
              <w:color w:val="000000"/>
              <w:kern w:val="2"/>
              <w:sz w:val="24"/>
              <w:szCs w:val="22"/>
              <w:lang w:val="zh-CN" w:eastAsia="zh-CN" w:bidi="ar-SA"/>
            </w:rPr>
            <w:fldChar w:fldCharType="end"/>
          </w:r>
        </w:p>
        <w:p w14:paraId="7E1FD15C">
          <w:pPr>
            <w:widowControl w:val="0"/>
            <w:tabs>
              <w:tab w:val="right" w:leader="dot" w:pos="8306"/>
            </w:tabs>
            <w:spacing w:line="300" w:lineRule="auto"/>
            <w:ind w:left="840" w:leftChars="400" w:firstLine="0" w:firstLineChars="0"/>
            <w:jc w:val="both"/>
            <w:rPr>
              <w:rFonts w:ascii="Times New Roman" w:hAnsi="Times New Roman" w:eastAsia="宋体" w:cs="Times New Roman"/>
              <w:bCs w:val="0"/>
              <w:kern w:val="0"/>
              <w:sz w:val="24"/>
              <w:szCs w:val="32"/>
              <w:lang w:val="zh-CN" w:eastAsia="zh-CN" w:bidi="ar-SA"/>
            </w:rPr>
          </w:pPr>
          <w:r>
            <w:rPr>
              <w:rFonts w:ascii="Times New Roman" w:hAnsi="Times New Roman" w:eastAsia="宋体" w:cs="Times New Roman"/>
              <w:bCs w:val="0"/>
              <w:kern w:val="0"/>
              <w:sz w:val="24"/>
              <w:szCs w:val="32"/>
              <w:lang w:val="zh-CN" w:eastAsia="zh-CN" w:bidi="ar-SA"/>
            </w:rPr>
            <w:fldChar w:fldCharType="begin"/>
          </w:r>
          <w:r>
            <w:rPr>
              <w:rFonts w:ascii="Times New Roman" w:hAnsi="Times New Roman" w:eastAsia="宋体" w:cs="Times New Roman"/>
              <w:bCs w:val="0"/>
              <w:kern w:val="0"/>
              <w:sz w:val="24"/>
              <w:szCs w:val="32"/>
              <w:lang w:val="zh-CN" w:eastAsia="zh-CN" w:bidi="ar-SA"/>
            </w:rPr>
            <w:instrText xml:space="preserve"> HYPERLINK \l _Toc14945 </w:instrText>
          </w:r>
          <w:r>
            <w:rPr>
              <w:rFonts w:ascii="Times New Roman" w:hAnsi="Times New Roman" w:eastAsia="宋体" w:cs="Times New Roman"/>
              <w:bCs w:val="0"/>
              <w:kern w:val="0"/>
              <w:sz w:val="24"/>
              <w:szCs w:val="32"/>
              <w:lang w:val="zh-CN" w:eastAsia="zh-CN" w:bidi="ar-SA"/>
            </w:rPr>
            <w:fldChar w:fldCharType="separate"/>
          </w:r>
          <w:r>
            <w:rPr>
              <w:rFonts w:hint="eastAsia" w:ascii="Times New Roman" w:hAnsi="Times New Roman" w:eastAsia="宋体" w:cs="Times New Roman"/>
              <w:bCs w:val="0"/>
              <w:kern w:val="0"/>
              <w:sz w:val="24"/>
              <w:szCs w:val="32"/>
              <w:lang w:val="en-US" w:eastAsia="zh-CN" w:bidi="ar-SA"/>
            </w:rPr>
            <w:t xml:space="preserve">1.4.1 </w:t>
          </w:r>
          <w:r>
            <w:rPr>
              <w:rFonts w:ascii="Times New Roman" w:hAnsi="Times New Roman" w:eastAsia="宋体" w:cs="Times New Roman"/>
              <w:bCs w:val="0"/>
              <w:kern w:val="0"/>
              <w:sz w:val="24"/>
              <w:szCs w:val="32"/>
              <w:lang w:val="en-US" w:eastAsia="zh-CN" w:bidi="ar-SA"/>
            </w:rPr>
            <w:t>评价工作等级</w:t>
          </w:r>
          <w:r>
            <w:rPr>
              <w:rFonts w:ascii="Times New Roman" w:hAnsi="Times New Roman" w:eastAsia="宋体" w:cs="Times New Roman"/>
              <w:bCs w:val="0"/>
              <w:kern w:val="0"/>
              <w:sz w:val="24"/>
              <w:szCs w:val="32"/>
              <w:lang w:val="zh-CN" w:eastAsia="zh-CN" w:bidi="ar-SA"/>
            </w:rPr>
            <w:tab/>
          </w:r>
          <w:r>
            <w:rPr>
              <w:rFonts w:ascii="Times New Roman" w:hAnsi="Times New Roman" w:eastAsia="宋体" w:cs="Times New Roman"/>
              <w:bCs w:val="0"/>
              <w:kern w:val="0"/>
              <w:sz w:val="24"/>
              <w:szCs w:val="32"/>
              <w:lang w:val="zh-CN" w:eastAsia="zh-CN" w:bidi="ar-SA"/>
            </w:rPr>
            <w:fldChar w:fldCharType="begin"/>
          </w:r>
          <w:r>
            <w:rPr>
              <w:rFonts w:ascii="Times New Roman" w:hAnsi="Times New Roman" w:eastAsia="宋体" w:cs="Times New Roman"/>
              <w:bCs w:val="0"/>
              <w:kern w:val="0"/>
              <w:sz w:val="24"/>
              <w:szCs w:val="32"/>
              <w:lang w:val="zh-CN" w:eastAsia="zh-CN" w:bidi="ar-SA"/>
            </w:rPr>
            <w:instrText xml:space="preserve"> PAGEREF _Toc14945 \h </w:instrText>
          </w:r>
          <w:r>
            <w:rPr>
              <w:rFonts w:ascii="Times New Roman" w:hAnsi="Times New Roman" w:eastAsia="宋体" w:cs="Times New Roman"/>
              <w:bCs w:val="0"/>
              <w:kern w:val="0"/>
              <w:sz w:val="24"/>
              <w:szCs w:val="32"/>
              <w:lang w:val="zh-CN" w:eastAsia="zh-CN" w:bidi="ar-SA"/>
            </w:rPr>
            <w:fldChar w:fldCharType="separate"/>
          </w:r>
          <w:r>
            <w:rPr>
              <w:rFonts w:ascii="Times New Roman" w:hAnsi="Times New Roman" w:eastAsia="宋体" w:cs="Times New Roman"/>
              <w:bCs w:val="0"/>
              <w:kern w:val="0"/>
              <w:sz w:val="24"/>
              <w:szCs w:val="32"/>
              <w:lang w:val="zh-CN" w:eastAsia="zh-CN" w:bidi="ar-SA"/>
            </w:rPr>
            <w:t>3</w:t>
          </w:r>
          <w:r>
            <w:rPr>
              <w:rFonts w:ascii="Times New Roman" w:hAnsi="Times New Roman" w:eastAsia="宋体" w:cs="Times New Roman"/>
              <w:bCs w:val="0"/>
              <w:kern w:val="0"/>
              <w:sz w:val="24"/>
              <w:szCs w:val="32"/>
              <w:lang w:val="zh-CN" w:eastAsia="zh-CN" w:bidi="ar-SA"/>
            </w:rPr>
            <w:fldChar w:fldCharType="end"/>
          </w:r>
          <w:r>
            <w:rPr>
              <w:rFonts w:ascii="Times New Roman" w:hAnsi="Times New Roman" w:eastAsia="宋体" w:cs="Times New Roman"/>
              <w:bCs w:val="0"/>
              <w:kern w:val="0"/>
              <w:sz w:val="24"/>
              <w:szCs w:val="32"/>
              <w:lang w:val="zh-CN" w:eastAsia="zh-CN" w:bidi="ar-SA"/>
            </w:rPr>
            <w:fldChar w:fldCharType="end"/>
          </w:r>
        </w:p>
        <w:p w14:paraId="0DDB1686">
          <w:pPr>
            <w:widowControl w:val="0"/>
            <w:tabs>
              <w:tab w:val="right" w:leader="dot" w:pos="8306"/>
            </w:tabs>
            <w:spacing w:line="300" w:lineRule="auto"/>
            <w:ind w:left="840" w:leftChars="400" w:firstLine="0" w:firstLineChars="0"/>
            <w:jc w:val="both"/>
            <w:rPr>
              <w:rFonts w:ascii="Times New Roman" w:hAnsi="Times New Roman" w:eastAsia="宋体" w:cs="Times New Roman"/>
              <w:kern w:val="2"/>
              <w:sz w:val="24"/>
              <w:szCs w:val="22"/>
              <w:lang w:val="en-US" w:eastAsia="zh-CN" w:bidi="ar-SA"/>
            </w:rPr>
          </w:pPr>
          <w:r>
            <w:rPr>
              <w:rFonts w:ascii="Times New Roman" w:hAnsi="Times New Roman" w:eastAsia="宋体" w:cs="Times New Roman"/>
              <w:bCs w:val="0"/>
              <w:kern w:val="0"/>
              <w:sz w:val="24"/>
              <w:szCs w:val="32"/>
              <w:lang w:val="zh-CN" w:eastAsia="zh-CN" w:bidi="ar-SA"/>
            </w:rPr>
            <w:fldChar w:fldCharType="begin"/>
          </w:r>
          <w:r>
            <w:rPr>
              <w:rFonts w:ascii="Times New Roman" w:hAnsi="Times New Roman" w:eastAsia="宋体" w:cs="Times New Roman"/>
              <w:bCs w:val="0"/>
              <w:kern w:val="0"/>
              <w:sz w:val="24"/>
              <w:szCs w:val="32"/>
              <w:lang w:val="zh-CN" w:eastAsia="zh-CN" w:bidi="ar-SA"/>
            </w:rPr>
            <w:instrText xml:space="preserve"> HYPERLINK \l _Toc19370 </w:instrText>
          </w:r>
          <w:r>
            <w:rPr>
              <w:rFonts w:ascii="Times New Roman" w:hAnsi="Times New Roman" w:eastAsia="宋体" w:cs="Times New Roman"/>
              <w:bCs w:val="0"/>
              <w:kern w:val="0"/>
              <w:sz w:val="24"/>
              <w:szCs w:val="32"/>
              <w:lang w:val="zh-CN" w:eastAsia="zh-CN" w:bidi="ar-SA"/>
            </w:rPr>
            <w:fldChar w:fldCharType="separate"/>
          </w:r>
          <w:r>
            <w:rPr>
              <w:rFonts w:hint="eastAsia" w:ascii="Times New Roman" w:hAnsi="Times New Roman" w:eastAsia="宋体" w:cs="Times New Roman"/>
              <w:bCs w:val="0"/>
              <w:kern w:val="0"/>
              <w:sz w:val="24"/>
              <w:szCs w:val="32"/>
              <w:lang w:val="en-US" w:eastAsia="zh-CN" w:bidi="ar-SA"/>
            </w:rPr>
            <w:t>1.4.2 评价范围</w:t>
          </w:r>
          <w:r>
            <w:rPr>
              <w:rFonts w:ascii="Times New Roman" w:hAnsi="Times New Roman" w:eastAsia="宋体" w:cs="Times New Roman"/>
              <w:bCs w:val="0"/>
              <w:kern w:val="0"/>
              <w:sz w:val="24"/>
              <w:szCs w:val="32"/>
              <w:lang w:val="zh-CN" w:eastAsia="zh-CN" w:bidi="ar-SA"/>
            </w:rPr>
            <w:tab/>
          </w:r>
          <w:r>
            <w:rPr>
              <w:rFonts w:ascii="Times New Roman" w:hAnsi="Times New Roman" w:eastAsia="宋体" w:cs="Times New Roman"/>
              <w:bCs w:val="0"/>
              <w:kern w:val="0"/>
              <w:sz w:val="24"/>
              <w:szCs w:val="32"/>
              <w:lang w:val="zh-CN" w:eastAsia="zh-CN" w:bidi="ar-SA"/>
            </w:rPr>
            <w:fldChar w:fldCharType="begin"/>
          </w:r>
          <w:r>
            <w:rPr>
              <w:rFonts w:ascii="Times New Roman" w:hAnsi="Times New Roman" w:eastAsia="宋体" w:cs="Times New Roman"/>
              <w:bCs w:val="0"/>
              <w:kern w:val="0"/>
              <w:sz w:val="24"/>
              <w:szCs w:val="32"/>
              <w:lang w:val="zh-CN" w:eastAsia="zh-CN" w:bidi="ar-SA"/>
            </w:rPr>
            <w:instrText xml:space="preserve"> PAGEREF _Toc19370 \h </w:instrText>
          </w:r>
          <w:r>
            <w:rPr>
              <w:rFonts w:ascii="Times New Roman" w:hAnsi="Times New Roman" w:eastAsia="宋体" w:cs="Times New Roman"/>
              <w:bCs w:val="0"/>
              <w:kern w:val="0"/>
              <w:sz w:val="24"/>
              <w:szCs w:val="32"/>
              <w:lang w:val="zh-CN" w:eastAsia="zh-CN" w:bidi="ar-SA"/>
            </w:rPr>
            <w:fldChar w:fldCharType="separate"/>
          </w:r>
          <w:r>
            <w:rPr>
              <w:rFonts w:ascii="Times New Roman" w:hAnsi="Times New Roman" w:eastAsia="宋体" w:cs="Times New Roman"/>
              <w:bCs w:val="0"/>
              <w:kern w:val="0"/>
              <w:sz w:val="24"/>
              <w:szCs w:val="32"/>
              <w:lang w:val="zh-CN" w:eastAsia="zh-CN" w:bidi="ar-SA"/>
            </w:rPr>
            <w:t>3</w:t>
          </w:r>
          <w:r>
            <w:rPr>
              <w:rFonts w:ascii="Times New Roman" w:hAnsi="Times New Roman" w:eastAsia="宋体" w:cs="Times New Roman"/>
              <w:bCs w:val="0"/>
              <w:kern w:val="0"/>
              <w:sz w:val="24"/>
              <w:szCs w:val="32"/>
              <w:lang w:val="zh-CN" w:eastAsia="zh-CN" w:bidi="ar-SA"/>
            </w:rPr>
            <w:fldChar w:fldCharType="end"/>
          </w:r>
          <w:r>
            <w:rPr>
              <w:rFonts w:ascii="Times New Roman" w:hAnsi="Times New Roman" w:eastAsia="宋体" w:cs="Times New Roman"/>
              <w:bCs w:val="0"/>
              <w:kern w:val="0"/>
              <w:sz w:val="24"/>
              <w:szCs w:val="32"/>
              <w:lang w:val="zh-CN" w:eastAsia="zh-CN" w:bidi="ar-SA"/>
            </w:rPr>
            <w:fldChar w:fldCharType="end"/>
          </w:r>
        </w:p>
        <w:p w14:paraId="0A4D6F99">
          <w:pPr>
            <w:widowControl w:val="0"/>
            <w:tabs>
              <w:tab w:val="right" w:leader="dot" w:pos="8306"/>
            </w:tabs>
            <w:spacing w:line="300" w:lineRule="auto"/>
            <w:ind w:left="420" w:leftChars="200" w:firstLine="0" w:firstLineChars="0"/>
            <w:jc w:val="both"/>
            <w:rPr>
              <w:rFonts w:ascii="Times New Roman" w:hAnsi="Times New Roman" w:eastAsia="宋体" w:cs="Times New Roman"/>
              <w:kern w:val="2"/>
              <w:sz w:val="24"/>
              <w:szCs w:val="22"/>
              <w:lang w:val="en-US" w:eastAsia="zh-CN" w:bidi="ar-SA"/>
            </w:rPr>
          </w:pPr>
          <w:r>
            <w:rPr>
              <w:rFonts w:ascii="Times New Roman" w:hAnsi="Times New Roman" w:eastAsia="宋体" w:cs="Times New Roman"/>
              <w:bCs/>
              <w:color w:val="000000"/>
              <w:kern w:val="2"/>
              <w:sz w:val="24"/>
              <w:szCs w:val="22"/>
              <w:lang w:val="zh-CN" w:eastAsia="zh-CN" w:bidi="ar-SA"/>
            </w:rPr>
            <w:fldChar w:fldCharType="begin"/>
          </w:r>
          <w:r>
            <w:rPr>
              <w:rFonts w:ascii="Times New Roman" w:hAnsi="Times New Roman" w:eastAsia="宋体" w:cs="Times New Roman"/>
              <w:bCs/>
              <w:kern w:val="2"/>
              <w:sz w:val="24"/>
              <w:szCs w:val="22"/>
              <w:lang w:val="zh-CN" w:eastAsia="zh-CN" w:bidi="ar-SA"/>
            </w:rPr>
            <w:instrText xml:space="preserve"> HYPERLINK \l _Toc10165 </w:instrText>
          </w:r>
          <w:r>
            <w:rPr>
              <w:rFonts w:ascii="Times New Roman" w:hAnsi="Times New Roman" w:eastAsia="宋体" w:cs="Times New Roman"/>
              <w:bCs/>
              <w:kern w:val="2"/>
              <w:sz w:val="24"/>
              <w:szCs w:val="22"/>
              <w:lang w:val="zh-CN" w:eastAsia="zh-CN" w:bidi="ar-SA"/>
            </w:rPr>
            <w:fldChar w:fldCharType="separate"/>
          </w:r>
          <w:r>
            <w:rPr>
              <w:rFonts w:hint="eastAsia" w:ascii="Times New Roman" w:hAnsi="Times New Roman" w:eastAsia="宋体" w:cs="Times New Roman"/>
              <w:kern w:val="2"/>
              <w:sz w:val="24"/>
              <w:szCs w:val="22"/>
              <w:lang w:val="en-US" w:eastAsia="zh-CN" w:bidi="ar-SA"/>
            </w:rPr>
            <w:t xml:space="preserve">1.5 </w:t>
          </w:r>
          <w:r>
            <w:rPr>
              <w:rFonts w:ascii="Times New Roman" w:hAnsi="Times New Roman" w:eastAsia="宋体" w:cs="Times New Roman"/>
              <w:kern w:val="2"/>
              <w:sz w:val="24"/>
              <w:szCs w:val="22"/>
              <w:lang w:val="en-US" w:eastAsia="zh-CN" w:bidi="ar-SA"/>
            </w:rPr>
            <w:t>环境影响因素识别及评价因子筛选</w:t>
          </w:r>
          <w:r>
            <w:rPr>
              <w:rFonts w:ascii="Times New Roman" w:hAnsi="Times New Roman" w:eastAsia="宋体" w:cs="Times New Roman"/>
              <w:kern w:val="2"/>
              <w:sz w:val="24"/>
              <w:szCs w:val="22"/>
              <w:lang w:val="en-US" w:eastAsia="zh-CN" w:bidi="ar-SA"/>
            </w:rPr>
            <w:tab/>
          </w:r>
          <w:r>
            <w:rPr>
              <w:rFonts w:ascii="Times New Roman" w:hAnsi="Times New Roman" w:eastAsia="宋体" w:cs="Times New Roman"/>
              <w:kern w:val="2"/>
              <w:sz w:val="24"/>
              <w:szCs w:val="22"/>
              <w:lang w:val="en-US" w:eastAsia="zh-CN" w:bidi="ar-SA"/>
            </w:rPr>
            <w:fldChar w:fldCharType="begin"/>
          </w:r>
          <w:r>
            <w:rPr>
              <w:rFonts w:ascii="Times New Roman" w:hAnsi="Times New Roman" w:eastAsia="宋体" w:cs="Times New Roman"/>
              <w:kern w:val="2"/>
              <w:sz w:val="24"/>
              <w:szCs w:val="22"/>
              <w:lang w:val="en-US" w:eastAsia="zh-CN" w:bidi="ar-SA"/>
            </w:rPr>
            <w:instrText xml:space="preserve"> PAGEREF _Toc10165 \h </w:instrText>
          </w:r>
          <w:r>
            <w:rPr>
              <w:rFonts w:ascii="Times New Roman" w:hAnsi="Times New Roman" w:eastAsia="宋体" w:cs="Times New Roman"/>
              <w:kern w:val="2"/>
              <w:sz w:val="24"/>
              <w:szCs w:val="22"/>
              <w:lang w:val="en-US" w:eastAsia="zh-CN" w:bidi="ar-SA"/>
            </w:rPr>
            <w:fldChar w:fldCharType="separate"/>
          </w:r>
          <w:r>
            <w:rPr>
              <w:rFonts w:ascii="Times New Roman" w:hAnsi="Times New Roman" w:eastAsia="宋体" w:cs="Times New Roman"/>
              <w:kern w:val="2"/>
              <w:sz w:val="24"/>
              <w:szCs w:val="22"/>
              <w:lang w:val="en-US" w:eastAsia="zh-CN" w:bidi="ar-SA"/>
            </w:rPr>
            <w:t>3</w:t>
          </w:r>
          <w:r>
            <w:rPr>
              <w:rFonts w:ascii="Times New Roman" w:hAnsi="Times New Roman" w:eastAsia="宋体" w:cs="Times New Roman"/>
              <w:kern w:val="2"/>
              <w:sz w:val="24"/>
              <w:szCs w:val="22"/>
              <w:lang w:val="en-US" w:eastAsia="zh-CN" w:bidi="ar-SA"/>
            </w:rPr>
            <w:fldChar w:fldCharType="end"/>
          </w:r>
          <w:r>
            <w:rPr>
              <w:rFonts w:ascii="Times New Roman" w:hAnsi="Times New Roman" w:eastAsia="宋体" w:cs="Times New Roman"/>
              <w:bCs/>
              <w:color w:val="000000"/>
              <w:kern w:val="2"/>
              <w:sz w:val="24"/>
              <w:szCs w:val="22"/>
              <w:lang w:val="zh-CN" w:eastAsia="zh-CN" w:bidi="ar-SA"/>
            </w:rPr>
            <w:fldChar w:fldCharType="end"/>
          </w:r>
        </w:p>
        <w:p w14:paraId="344E2686">
          <w:pPr>
            <w:widowControl w:val="0"/>
            <w:tabs>
              <w:tab w:val="right" w:leader="dot" w:pos="8306"/>
            </w:tabs>
            <w:spacing w:line="300" w:lineRule="auto"/>
            <w:ind w:left="420" w:leftChars="200" w:firstLine="0" w:firstLineChars="0"/>
            <w:jc w:val="both"/>
            <w:rPr>
              <w:rFonts w:ascii="Times New Roman" w:hAnsi="Times New Roman" w:eastAsia="宋体" w:cs="Times New Roman"/>
              <w:kern w:val="2"/>
              <w:sz w:val="24"/>
              <w:szCs w:val="22"/>
              <w:lang w:val="en-US" w:eastAsia="zh-CN" w:bidi="ar-SA"/>
            </w:rPr>
          </w:pPr>
          <w:r>
            <w:rPr>
              <w:rFonts w:ascii="Times New Roman" w:hAnsi="Times New Roman" w:eastAsia="宋体" w:cs="Times New Roman"/>
              <w:bCs/>
              <w:color w:val="000000"/>
              <w:kern w:val="2"/>
              <w:sz w:val="24"/>
              <w:szCs w:val="22"/>
              <w:lang w:val="zh-CN" w:eastAsia="zh-CN" w:bidi="ar-SA"/>
            </w:rPr>
            <w:fldChar w:fldCharType="begin"/>
          </w:r>
          <w:r>
            <w:rPr>
              <w:rFonts w:ascii="Times New Roman" w:hAnsi="Times New Roman" w:eastAsia="宋体" w:cs="Times New Roman"/>
              <w:bCs/>
              <w:kern w:val="2"/>
              <w:sz w:val="24"/>
              <w:szCs w:val="22"/>
              <w:lang w:val="zh-CN" w:eastAsia="zh-CN" w:bidi="ar-SA"/>
            </w:rPr>
            <w:instrText xml:space="preserve"> HYPERLINK \l _Toc7634 </w:instrText>
          </w:r>
          <w:r>
            <w:rPr>
              <w:rFonts w:ascii="Times New Roman" w:hAnsi="Times New Roman" w:eastAsia="宋体" w:cs="Times New Roman"/>
              <w:bCs/>
              <w:kern w:val="2"/>
              <w:sz w:val="24"/>
              <w:szCs w:val="22"/>
              <w:lang w:val="zh-CN" w:eastAsia="zh-CN" w:bidi="ar-SA"/>
            </w:rPr>
            <w:fldChar w:fldCharType="separate"/>
          </w:r>
          <w:r>
            <w:rPr>
              <w:rFonts w:hint="eastAsia" w:ascii="Times New Roman" w:hAnsi="Times New Roman" w:eastAsia="宋体" w:cs="Times New Roman"/>
              <w:kern w:val="2"/>
              <w:sz w:val="24"/>
              <w:szCs w:val="22"/>
              <w:lang w:val="en-US" w:eastAsia="zh-CN" w:bidi="ar-SA"/>
            </w:rPr>
            <w:t xml:space="preserve">1.6 </w:t>
          </w:r>
          <w:r>
            <w:rPr>
              <w:rFonts w:ascii="Times New Roman" w:hAnsi="Times New Roman" w:eastAsia="宋体" w:cs="Times New Roman"/>
              <w:kern w:val="2"/>
              <w:sz w:val="24"/>
              <w:szCs w:val="22"/>
              <w:lang w:val="en-US" w:eastAsia="zh-CN" w:bidi="ar-SA"/>
            </w:rPr>
            <w:t>环境功能区划及环境保护目标</w:t>
          </w:r>
          <w:r>
            <w:rPr>
              <w:rFonts w:ascii="Times New Roman" w:hAnsi="Times New Roman" w:eastAsia="宋体" w:cs="Times New Roman"/>
              <w:kern w:val="2"/>
              <w:sz w:val="24"/>
              <w:szCs w:val="22"/>
              <w:lang w:val="en-US" w:eastAsia="zh-CN" w:bidi="ar-SA"/>
            </w:rPr>
            <w:tab/>
          </w:r>
          <w:r>
            <w:rPr>
              <w:rFonts w:ascii="Times New Roman" w:hAnsi="Times New Roman" w:eastAsia="宋体" w:cs="Times New Roman"/>
              <w:kern w:val="2"/>
              <w:sz w:val="24"/>
              <w:szCs w:val="22"/>
              <w:lang w:val="en-US" w:eastAsia="zh-CN" w:bidi="ar-SA"/>
            </w:rPr>
            <w:fldChar w:fldCharType="begin"/>
          </w:r>
          <w:r>
            <w:rPr>
              <w:rFonts w:ascii="Times New Roman" w:hAnsi="Times New Roman" w:eastAsia="宋体" w:cs="Times New Roman"/>
              <w:kern w:val="2"/>
              <w:sz w:val="24"/>
              <w:szCs w:val="22"/>
              <w:lang w:val="en-US" w:eastAsia="zh-CN" w:bidi="ar-SA"/>
            </w:rPr>
            <w:instrText xml:space="preserve"> PAGEREF _Toc7634 \h </w:instrText>
          </w:r>
          <w:r>
            <w:rPr>
              <w:rFonts w:ascii="Times New Roman" w:hAnsi="Times New Roman" w:eastAsia="宋体" w:cs="Times New Roman"/>
              <w:kern w:val="2"/>
              <w:sz w:val="24"/>
              <w:szCs w:val="22"/>
              <w:lang w:val="en-US" w:eastAsia="zh-CN" w:bidi="ar-SA"/>
            </w:rPr>
            <w:fldChar w:fldCharType="separate"/>
          </w:r>
          <w:r>
            <w:rPr>
              <w:rFonts w:ascii="Times New Roman" w:hAnsi="Times New Roman" w:eastAsia="宋体" w:cs="Times New Roman"/>
              <w:kern w:val="2"/>
              <w:sz w:val="24"/>
              <w:szCs w:val="22"/>
              <w:lang w:val="en-US" w:eastAsia="zh-CN" w:bidi="ar-SA"/>
            </w:rPr>
            <w:t>6</w:t>
          </w:r>
          <w:r>
            <w:rPr>
              <w:rFonts w:ascii="Times New Roman" w:hAnsi="Times New Roman" w:eastAsia="宋体" w:cs="Times New Roman"/>
              <w:kern w:val="2"/>
              <w:sz w:val="24"/>
              <w:szCs w:val="22"/>
              <w:lang w:val="en-US" w:eastAsia="zh-CN" w:bidi="ar-SA"/>
            </w:rPr>
            <w:fldChar w:fldCharType="end"/>
          </w:r>
          <w:r>
            <w:rPr>
              <w:rFonts w:ascii="Times New Roman" w:hAnsi="Times New Roman" w:eastAsia="宋体" w:cs="Times New Roman"/>
              <w:bCs/>
              <w:color w:val="000000"/>
              <w:kern w:val="2"/>
              <w:sz w:val="24"/>
              <w:szCs w:val="22"/>
              <w:lang w:val="zh-CN" w:eastAsia="zh-CN" w:bidi="ar-SA"/>
            </w:rPr>
            <w:fldChar w:fldCharType="end"/>
          </w:r>
        </w:p>
        <w:p w14:paraId="23D2F653">
          <w:pPr>
            <w:widowControl w:val="0"/>
            <w:tabs>
              <w:tab w:val="right" w:leader="dot" w:pos="8306"/>
            </w:tabs>
            <w:spacing w:line="300" w:lineRule="auto"/>
            <w:ind w:left="840" w:leftChars="400" w:firstLine="0" w:firstLineChars="0"/>
            <w:jc w:val="both"/>
            <w:rPr>
              <w:rFonts w:ascii="Times New Roman" w:hAnsi="Times New Roman" w:eastAsia="宋体" w:cs="Times New Roman"/>
              <w:bCs w:val="0"/>
              <w:kern w:val="0"/>
              <w:sz w:val="24"/>
              <w:szCs w:val="32"/>
              <w:lang w:val="zh-CN" w:eastAsia="zh-CN" w:bidi="ar-SA"/>
            </w:rPr>
          </w:pPr>
          <w:r>
            <w:rPr>
              <w:rFonts w:ascii="Times New Roman" w:hAnsi="Times New Roman" w:eastAsia="宋体" w:cs="Times New Roman"/>
              <w:bCs w:val="0"/>
              <w:kern w:val="0"/>
              <w:sz w:val="24"/>
              <w:szCs w:val="32"/>
              <w:lang w:val="zh-CN" w:eastAsia="zh-CN" w:bidi="ar-SA"/>
            </w:rPr>
            <w:fldChar w:fldCharType="begin"/>
          </w:r>
          <w:r>
            <w:rPr>
              <w:rFonts w:ascii="Times New Roman" w:hAnsi="Times New Roman" w:eastAsia="宋体" w:cs="Times New Roman"/>
              <w:bCs w:val="0"/>
              <w:kern w:val="0"/>
              <w:sz w:val="24"/>
              <w:szCs w:val="32"/>
              <w:lang w:val="zh-CN" w:eastAsia="zh-CN" w:bidi="ar-SA"/>
            </w:rPr>
            <w:instrText xml:space="preserve"> HYPERLINK \l _Toc12013 </w:instrText>
          </w:r>
          <w:r>
            <w:rPr>
              <w:rFonts w:ascii="Times New Roman" w:hAnsi="Times New Roman" w:eastAsia="宋体" w:cs="Times New Roman"/>
              <w:bCs w:val="0"/>
              <w:kern w:val="0"/>
              <w:sz w:val="24"/>
              <w:szCs w:val="32"/>
              <w:lang w:val="zh-CN" w:eastAsia="zh-CN" w:bidi="ar-SA"/>
            </w:rPr>
            <w:fldChar w:fldCharType="separate"/>
          </w:r>
          <w:r>
            <w:rPr>
              <w:rFonts w:hint="eastAsia" w:ascii="Times New Roman" w:hAnsi="Times New Roman" w:eastAsia="宋体" w:cs="Times New Roman"/>
              <w:bCs w:val="0"/>
              <w:kern w:val="0"/>
              <w:sz w:val="24"/>
              <w:szCs w:val="32"/>
              <w:lang w:val="en-US" w:eastAsia="zh-CN" w:bidi="ar-SA"/>
            </w:rPr>
            <w:t xml:space="preserve">1.6.1 </w:t>
          </w:r>
          <w:r>
            <w:rPr>
              <w:rFonts w:ascii="Times New Roman" w:hAnsi="Times New Roman" w:eastAsia="宋体" w:cs="Times New Roman"/>
              <w:bCs w:val="0"/>
              <w:kern w:val="0"/>
              <w:sz w:val="24"/>
              <w:szCs w:val="32"/>
              <w:lang w:val="zh-CN" w:eastAsia="zh-CN" w:bidi="ar-SA"/>
            </w:rPr>
            <w:t>环境功能区划</w:t>
          </w:r>
          <w:r>
            <w:rPr>
              <w:rFonts w:ascii="Times New Roman" w:hAnsi="Times New Roman" w:eastAsia="宋体" w:cs="Times New Roman"/>
              <w:bCs w:val="0"/>
              <w:kern w:val="0"/>
              <w:sz w:val="24"/>
              <w:szCs w:val="32"/>
              <w:lang w:val="zh-CN" w:eastAsia="zh-CN" w:bidi="ar-SA"/>
            </w:rPr>
            <w:tab/>
          </w:r>
          <w:r>
            <w:rPr>
              <w:rFonts w:ascii="Times New Roman" w:hAnsi="Times New Roman" w:eastAsia="宋体" w:cs="Times New Roman"/>
              <w:bCs w:val="0"/>
              <w:kern w:val="0"/>
              <w:sz w:val="24"/>
              <w:szCs w:val="32"/>
              <w:lang w:val="zh-CN" w:eastAsia="zh-CN" w:bidi="ar-SA"/>
            </w:rPr>
            <w:fldChar w:fldCharType="begin"/>
          </w:r>
          <w:r>
            <w:rPr>
              <w:rFonts w:ascii="Times New Roman" w:hAnsi="Times New Roman" w:eastAsia="宋体" w:cs="Times New Roman"/>
              <w:bCs w:val="0"/>
              <w:kern w:val="0"/>
              <w:sz w:val="24"/>
              <w:szCs w:val="32"/>
              <w:lang w:val="zh-CN" w:eastAsia="zh-CN" w:bidi="ar-SA"/>
            </w:rPr>
            <w:instrText xml:space="preserve"> PAGEREF _Toc12013 \h </w:instrText>
          </w:r>
          <w:r>
            <w:rPr>
              <w:rFonts w:ascii="Times New Roman" w:hAnsi="Times New Roman" w:eastAsia="宋体" w:cs="Times New Roman"/>
              <w:bCs w:val="0"/>
              <w:kern w:val="0"/>
              <w:sz w:val="24"/>
              <w:szCs w:val="32"/>
              <w:lang w:val="zh-CN" w:eastAsia="zh-CN" w:bidi="ar-SA"/>
            </w:rPr>
            <w:fldChar w:fldCharType="separate"/>
          </w:r>
          <w:r>
            <w:rPr>
              <w:rFonts w:ascii="Times New Roman" w:hAnsi="Times New Roman" w:eastAsia="宋体" w:cs="Times New Roman"/>
              <w:bCs w:val="0"/>
              <w:kern w:val="0"/>
              <w:sz w:val="24"/>
              <w:szCs w:val="32"/>
              <w:lang w:val="zh-CN" w:eastAsia="zh-CN" w:bidi="ar-SA"/>
            </w:rPr>
            <w:t>6</w:t>
          </w:r>
          <w:r>
            <w:rPr>
              <w:rFonts w:ascii="Times New Roman" w:hAnsi="Times New Roman" w:eastAsia="宋体" w:cs="Times New Roman"/>
              <w:bCs w:val="0"/>
              <w:kern w:val="0"/>
              <w:sz w:val="24"/>
              <w:szCs w:val="32"/>
              <w:lang w:val="zh-CN" w:eastAsia="zh-CN" w:bidi="ar-SA"/>
            </w:rPr>
            <w:fldChar w:fldCharType="end"/>
          </w:r>
          <w:r>
            <w:rPr>
              <w:rFonts w:ascii="Times New Roman" w:hAnsi="Times New Roman" w:eastAsia="宋体" w:cs="Times New Roman"/>
              <w:bCs w:val="0"/>
              <w:kern w:val="0"/>
              <w:sz w:val="24"/>
              <w:szCs w:val="32"/>
              <w:lang w:val="zh-CN" w:eastAsia="zh-CN" w:bidi="ar-SA"/>
            </w:rPr>
            <w:fldChar w:fldCharType="end"/>
          </w:r>
        </w:p>
        <w:p w14:paraId="281E56D8">
          <w:pPr>
            <w:widowControl w:val="0"/>
            <w:tabs>
              <w:tab w:val="right" w:leader="dot" w:pos="8306"/>
            </w:tabs>
            <w:spacing w:line="300" w:lineRule="auto"/>
            <w:ind w:left="840" w:leftChars="400" w:firstLine="0" w:firstLineChars="0"/>
            <w:jc w:val="both"/>
            <w:rPr>
              <w:rFonts w:ascii="Times New Roman" w:hAnsi="Times New Roman" w:eastAsia="宋体" w:cs="Times New Roman"/>
              <w:kern w:val="2"/>
              <w:sz w:val="24"/>
              <w:szCs w:val="22"/>
              <w:lang w:val="en-US" w:eastAsia="zh-CN" w:bidi="ar-SA"/>
            </w:rPr>
          </w:pPr>
          <w:r>
            <w:rPr>
              <w:rFonts w:ascii="Times New Roman" w:hAnsi="Times New Roman" w:eastAsia="宋体" w:cs="Times New Roman"/>
              <w:bCs w:val="0"/>
              <w:kern w:val="0"/>
              <w:sz w:val="24"/>
              <w:szCs w:val="32"/>
              <w:lang w:val="zh-CN" w:eastAsia="zh-CN" w:bidi="ar-SA"/>
            </w:rPr>
            <w:fldChar w:fldCharType="begin"/>
          </w:r>
          <w:r>
            <w:rPr>
              <w:rFonts w:ascii="Times New Roman" w:hAnsi="Times New Roman" w:eastAsia="宋体" w:cs="Times New Roman"/>
              <w:bCs w:val="0"/>
              <w:kern w:val="0"/>
              <w:sz w:val="24"/>
              <w:szCs w:val="32"/>
              <w:lang w:val="zh-CN" w:eastAsia="zh-CN" w:bidi="ar-SA"/>
            </w:rPr>
            <w:instrText xml:space="preserve"> HYPERLINK \l _Toc10931 </w:instrText>
          </w:r>
          <w:r>
            <w:rPr>
              <w:rFonts w:ascii="Times New Roman" w:hAnsi="Times New Roman" w:eastAsia="宋体" w:cs="Times New Roman"/>
              <w:bCs w:val="0"/>
              <w:kern w:val="0"/>
              <w:sz w:val="24"/>
              <w:szCs w:val="32"/>
              <w:lang w:val="zh-CN" w:eastAsia="zh-CN" w:bidi="ar-SA"/>
            </w:rPr>
            <w:fldChar w:fldCharType="separate"/>
          </w:r>
          <w:r>
            <w:rPr>
              <w:rFonts w:hint="eastAsia" w:ascii="Times New Roman" w:hAnsi="Times New Roman" w:eastAsia="宋体" w:cs="Times New Roman"/>
              <w:bCs w:val="0"/>
              <w:kern w:val="0"/>
              <w:sz w:val="24"/>
              <w:szCs w:val="32"/>
              <w:lang w:val="en-US" w:eastAsia="zh-CN" w:bidi="ar-SA"/>
            </w:rPr>
            <w:t xml:space="preserve">1.6.2 </w:t>
          </w:r>
          <w:r>
            <w:rPr>
              <w:rFonts w:ascii="Times New Roman" w:hAnsi="Times New Roman" w:eastAsia="宋体" w:cs="Times New Roman"/>
              <w:bCs w:val="0"/>
              <w:kern w:val="0"/>
              <w:sz w:val="24"/>
              <w:szCs w:val="32"/>
              <w:lang w:val="zh-CN" w:eastAsia="zh-CN" w:bidi="ar-SA"/>
            </w:rPr>
            <w:t>生态保护目标</w:t>
          </w:r>
          <w:r>
            <w:rPr>
              <w:rFonts w:ascii="Times New Roman" w:hAnsi="Times New Roman" w:eastAsia="宋体" w:cs="Times New Roman"/>
              <w:bCs w:val="0"/>
              <w:kern w:val="0"/>
              <w:sz w:val="24"/>
              <w:szCs w:val="32"/>
              <w:lang w:val="zh-CN" w:eastAsia="zh-CN" w:bidi="ar-SA"/>
            </w:rPr>
            <w:tab/>
          </w:r>
          <w:r>
            <w:rPr>
              <w:rFonts w:ascii="Times New Roman" w:hAnsi="Times New Roman" w:eastAsia="宋体" w:cs="Times New Roman"/>
              <w:bCs w:val="0"/>
              <w:kern w:val="0"/>
              <w:sz w:val="24"/>
              <w:szCs w:val="32"/>
              <w:lang w:val="zh-CN" w:eastAsia="zh-CN" w:bidi="ar-SA"/>
            </w:rPr>
            <w:fldChar w:fldCharType="begin"/>
          </w:r>
          <w:r>
            <w:rPr>
              <w:rFonts w:ascii="Times New Roman" w:hAnsi="Times New Roman" w:eastAsia="宋体" w:cs="Times New Roman"/>
              <w:bCs w:val="0"/>
              <w:kern w:val="0"/>
              <w:sz w:val="24"/>
              <w:szCs w:val="32"/>
              <w:lang w:val="zh-CN" w:eastAsia="zh-CN" w:bidi="ar-SA"/>
            </w:rPr>
            <w:instrText xml:space="preserve"> PAGEREF _Toc10931 \h </w:instrText>
          </w:r>
          <w:r>
            <w:rPr>
              <w:rFonts w:ascii="Times New Roman" w:hAnsi="Times New Roman" w:eastAsia="宋体" w:cs="Times New Roman"/>
              <w:bCs w:val="0"/>
              <w:kern w:val="0"/>
              <w:sz w:val="24"/>
              <w:szCs w:val="32"/>
              <w:lang w:val="zh-CN" w:eastAsia="zh-CN" w:bidi="ar-SA"/>
            </w:rPr>
            <w:fldChar w:fldCharType="separate"/>
          </w:r>
          <w:r>
            <w:rPr>
              <w:rFonts w:ascii="Times New Roman" w:hAnsi="Times New Roman" w:eastAsia="宋体" w:cs="Times New Roman"/>
              <w:bCs w:val="0"/>
              <w:kern w:val="0"/>
              <w:sz w:val="24"/>
              <w:szCs w:val="32"/>
              <w:lang w:val="zh-CN" w:eastAsia="zh-CN" w:bidi="ar-SA"/>
            </w:rPr>
            <w:t>6</w:t>
          </w:r>
          <w:r>
            <w:rPr>
              <w:rFonts w:ascii="Times New Roman" w:hAnsi="Times New Roman" w:eastAsia="宋体" w:cs="Times New Roman"/>
              <w:bCs w:val="0"/>
              <w:kern w:val="0"/>
              <w:sz w:val="24"/>
              <w:szCs w:val="32"/>
              <w:lang w:val="zh-CN" w:eastAsia="zh-CN" w:bidi="ar-SA"/>
            </w:rPr>
            <w:fldChar w:fldCharType="end"/>
          </w:r>
          <w:r>
            <w:rPr>
              <w:rFonts w:ascii="Times New Roman" w:hAnsi="Times New Roman" w:eastAsia="宋体" w:cs="Times New Roman"/>
              <w:bCs w:val="0"/>
              <w:kern w:val="0"/>
              <w:sz w:val="24"/>
              <w:szCs w:val="32"/>
              <w:lang w:val="zh-CN" w:eastAsia="zh-CN" w:bidi="ar-SA"/>
            </w:rPr>
            <w:fldChar w:fldCharType="end"/>
          </w:r>
        </w:p>
        <w:p w14:paraId="480EE02C">
          <w:pPr>
            <w:widowControl w:val="0"/>
            <w:tabs>
              <w:tab w:val="right" w:leader="dot" w:pos="8306"/>
            </w:tabs>
            <w:spacing w:line="300" w:lineRule="auto"/>
            <w:ind w:left="420" w:leftChars="200" w:firstLine="0" w:firstLineChars="0"/>
            <w:jc w:val="both"/>
            <w:rPr>
              <w:rFonts w:ascii="Times New Roman" w:hAnsi="Times New Roman" w:eastAsia="宋体" w:cs="Times New Roman"/>
              <w:kern w:val="2"/>
              <w:sz w:val="24"/>
              <w:szCs w:val="22"/>
              <w:lang w:val="en-US" w:eastAsia="zh-CN" w:bidi="ar-SA"/>
            </w:rPr>
          </w:pPr>
          <w:r>
            <w:rPr>
              <w:rFonts w:ascii="Times New Roman" w:hAnsi="Times New Roman" w:eastAsia="宋体" w:cs="Times New Roman"/>
              <w:bCs/>
              <w:color w:val="000000"/>
              <w:kern w:val="2"/>
              <w:sz w:val="24"/>
              <w:szCs w:val="22"/>
              <w:lang w:val="zh-CN" w:eastAsia="zh-CN" w:bidi="ar-SA"/>
            </w:rPr>
            <w:fldChar w:fldCharType="begin"/>
          </w:r>
          <w:r>
            <w:rPr>
              <w:rFonts w:ascii="Times New Roman" w:hAnsi="Times New Roman" w:eastAsia="宋体" w:cs="Times New Roman"/>
              <w:bCs/>
              <w:kern w:val="2"/>
              <w:sz w:val="24"/>
              <w:szCs w:val="22"/>
              <w:lang w:val="zh-CN" w:eastAsia="zh-CN" w:bidi="ar-SA"/>
            </w:rPr>
            <w:instrText xml:space="preserve"> HYPERLINK \l _Toc19922 </w:instrText>
          </w:r>
          <w:r>
            <w:rPr>
              <w:rFonts w:ascii="Times New Roman" w:hAnsi="Times New Roman" w:eastAsia="宋体" w:cs="Times New Roman"/>
              <w:bCs/>
              <w:kern w:val="2"/>
              <w:sz w:val="24"/>
              <w:szCs w:val="22"/>
              <w:lang w:val="zh-CN" w:eastAsia="zh-CN" w:bidi="ar-SA"/>
            </w:rPr>
            <w:fldChar w:fldCharType="separate"/>
          </w:r>
          <w:r>
            <w:rPr>
              <w:rFonts w:hint="eastAsia" w:ascii="Times New Roman" w:hAnsi="Times New Roman" w:eastAsia="宋体" w:cs="Times New Roman"/>
              <w:kern w:val="2"/>
              <w:sz w:val="24"/>
              <w:szCs w:val="22"/>
              <w:lang w:val="en-US" w:eastAsia="zh-CN" w:bidi="ar-SA"/>
            </w:rPr>
            <w:t xml:space="preserve">1.7 </w:t>
          </w:r>
          <w:r>
            <w:rPr>
              <w:rFonts w:ascii="Times New Roman" w:hAnsi="Times New Roman" w:eastAsia="宋体" w:cs="Times New Roman"/>
              <w:kern w:val="2"/>
              <w:sz w:val="24"/>
              <w:szCs w:val="22"/>
              <w:lang w:val="en-US" w:eastAsia="zh-CN" w:bidi="ar-SA"/>
            </w:rPr>
            <w:t>评价时段</w:t>
          </w:r>
          <w:r>
            <w:rPr>
              <w:rFonts w:ascii="Times New Roman" w:hAnsi="Times New Roman" w:eastAsia="宋体" w:cs="Times New Roman"/>
              <w:kern w:val="2"/>
              <w:sz w:val="24"/>
              <w:szCs w:val="22"/>
              <w:lang w:val="en-US" w:eastAsia="zh-CN" w:bidi="ar-SA"/>
            </w:rPr>
            <w:tab/>
          </w:r>
          <w:r>
            <w:rPr>
              <w:rFonts w:ascii="Times New Roman" w:hAnsi="Times New Roman" w:eastAsia="宋体" w:cs="Times New Roman"/>
              <w:kern w:val="2"/>
              <w:sz w:val="24"/>
              <w:szCs w:val="22"/>
              <w:lang w:val="en-US" w:eastAsia="zh-CN" w:bidi="ar-SA"/>
            </w:rPr>
            <w:fldChar w:fldCharType="begin"/>
          </w:r>
          <w:r>
            <w:rPr>
              <w:rFonts w:ascii="Times New Roman" w:hAnsi="Times New Roman" w:eastAsia="宋体" w:cs="Times New Roman"/>
              <w:kern w:val="2"/>
              <w:sz w:val="24"/>
              <w:szCs w:val="22"/>
              <w:lang w:val="en-US" w:eastAsia="zh-CN" w:bidi="ar-SA"/>
            </w:rPr>
            <w:instrText xml:space="preserve"> PAGEREF _Toc19922 \h </w:instrText>
          </w:r>
          <w:r>
            <w:rPr>
              <w:rFonts w:ascii="Times New Roman" w:hAnsi="Times New Roman" w:eastAsia="宋体" w:cs="Times New Roman"/>
              <w:kern w:val="2"/>
              <w:sz w:val="24"/>
              <w:szCs w:val="22"/>
              <w:lang w:val="en-US" w:eastAsia="zh-CN" w:bidi="ar-SA"/>
            </w:rPr>
            <w:fldChar w:fldCharType="separate"/>
          </w:r>
          <w:r>
            <w:rPr>
              <w:rFonts w:ascii="Times New Roman" w:hAnsi="Times New Roman" w:eastAsia="宋体" w:cs="Times New Roman"/>
              <w:kern w:val="2"/>
              <w:sz w:val="24"/>
              <w:szCs w:val="22"/>
              <w:lang w:val="en-US" w:eastAsia="zh-CN" w:bidi="ar-SA"/>
            </w:rPr>
            <w:t>7</w:t>
          </w:r>
          <w:r>
            <w:rPr>
              <w:rFonts w:ascii="Times New Roman" w:hAnsi="Times New Roman" w:eastAsia="宋体" w:cs="Times New Roman"/>
              <w:kern w:val="2"/>
              <w:sz w:val="24"/>
              <w:szCs w:val="22"/>
              <w:lang w:val="en-US" w:eastAsia="zh-CN" w:bidi="ar-SA"/>
            </w:rPr>
            <w:fldChar w:fldCharType="end"/>
          </w:r>
          <w:r>
            <w:rPr>
              <w:rFonts w:ascii="Times New Roman" w:hAnsi="Times New Roman" w:eastAsia="宋体" w:cs="Times New Roman"/>
              <w:bCs/>
              <w:color w:val="000000"/>
              <w:kern w:val="2"/>
              <w:sz w:val="24"/>
              <w:szCs w:val="22"/>
              <w:lang w:val="zh-CN" w:eastAsia="zh-CN" w:bidi="ar-SA"/>
            </w:rPr>
            <w:fldChar w:fldCharType="end"/>
          </w:r>
        </w:p>
        <w:p w14:paraId="72546F1F">
          <w:pPr>
            <w:widowControl w:val="0"/>
            <w:tabs>
              <w:tab w:val="right" w:leader="dot" w:pos="8306"/>
            </w:tabs>
            <w:spacing w:line="300" w:lineRule="auto"/>
            <w:ind w:left="420" w:leftChars="200" w:firstLine="0" w:firstLineChars="0"/>
            <w:jc w:val="both"/>
            <w:rPr>
              <w:rFonts w:ascii="Times New Roman" w:hAnsi="Times New Roman" w:eastAsia="宋体" w:cs="Times New Roman"/>
              <w:kern w:val="2"/>
              <w:sz w:val="24"/>
              <w:szCs w:val="22"/>
              <w:lang w:val="en-US" w:eastAsia="zh-CN" w:bidi="ar-SA"/>
            </w:rPr>
          </w:pPr>
          <w:r>
            <w:rPr>
              <w:rFonts w:ascii="Times New Roman" w:hAnsi="Times New Roman" w:eastAsia="宋体" w:cs="Times New Roman"/>
              <w:bCs/>
              <w:color w:val="000000"/>
              <w:kern w:val="2"/>
              <w:sz w:val="24"/>
              <w:szCs w:val="22"/>
              <w:lang w:val="zh-CN" w:eastAsia="zh-CN" w:bidi="ar-SA"/>
            </w:rPr>
            <w:fldChar w:fldCharType="begin"/>
          </w:r>
          <w:r>
            <w:rPr>
              <w:rFonts w:ascii="Times New Roman" w:hAnsi="Times New Roman" w:eastAsia="宋体" w:cs="Times New Roman"/>
              <w:bCs/>
              <w:kern w:val="2"/>
              <w:sz w:val="24"/>
              <w:szCs w:val="22"/>
              <w:lang w:val="zh-CN" w:eastAsia="zh-CN" w:bidi="ar-SA"/>
            </w:rPr>
            <w:instrText xml:space="preserve"> HYPERLINK \l _Toc30225 </w:instrText>
          </w:r>
          <w:r>
            <w:rPr>
              <w:rFonts w:ascii="Times New Roman" w:hAnsi="Times New Roman" w:eastAsia="宋体" w:cs="Times New Roman"/>
              <w:bCs/>
              <w:kern w:val="2"/>
              <w:sz w:val="24"/>
              <w:szCs w:val="22"/>
              <w:lang w:val="zh-CN" w:eastAsia="zh-CN" w:bidi="ar-SA"/>
            </w:rPr>
            <w:fldChar w:fldCharType="separate"/>
          </w:r>
          <w:r>
            <w:rPr>
              <w:rFonts w:hint="eastAsia" w:ascii="Times New Roman" w:hAnsi="Times New Roman" w:eastAsia="宋体" w:cs="Times New Roman"/>
              <w:kern w:val="2"/>
              <w:sz w:val="24"/>
              <w:szCs w:val="22"/>
              <w:lang w:val="en-US" w:eastAsia="zh-CN" w:bidi="ar-SA"/>
            </w:rPr>
            <w:t xml:space="preserve">1.8 </w:t>
          </w:r>
          <w:r>
            <w:rPr>
              <w:rFonts w:ascii="Times New Roman" w:hAnsi="Times New Roman" w:eastAsia="宋体" w:cs="Times New Roman"/>
              <w:kern w:val="2"/>
              <w:sz w:val="24"/>
              <w:szCs w:val="22"/>
              <w:lang w:val="en-US" w:eastAsia="zh-CN" w:bidi="ar-SA"/>
            </w:rPr>
            <w:t>评价工作程序</w:t>
          </w:r>
          <w:r>
            <w:rPr>
              <w:rFonts w:ascii="Times New Roman" w:hAnsi="Times New Roman" w:eastAsia="宋体" w:cs="Times New Roman"/>
              <w:kern w:val="2"/>
              <w:sz w:val="24"/>
              <w:szCs w:val="22"/>
              <w:lang w:val="en-US" w:eastAsia="zh-CN" w:bidi="ar-SA"/>
            </w:rPr>
            <w:tab/>
          </w:r>
          <w:r>
            <w:rPr>
              <w:rFonts w:ascii="Times New Roman" w:hAnsi="Times New Roman" w:eastAsia="宋体" w:cs="Times New Roman"/>
              <w:kern w:val="2"/>
              <w:sz w:val="24"/>
              <w:szCs w:val="22"/>
              <w:lang w:val="en-US" w:eastAsia="zh-CN" w:bidi="ar-SA"/>
            </w:rPr>
            <w:fldChar w:fldCharType="begin"/>
          </w:r>
          <w:r>
            <w:rPr>
              <w:rFonts w:ascii="Times New Roman" w:hAnsi="Times New Roman" w:eastAsia="宋体" w:cs="Times New Roman"/>
              <w:kern w:val="2"/>
              <w:sz w:val="24"/>
              <w:szCs w:val="22"/>
              <w:lang w:val="en-US" w:eastAsia="zh-CN" w:bidi="ar-SA"/>
            </w:rPr>
            <w:instrText xml:space="preserve"> PAGEREF _Toc30225 \h </w:instrText>
          </w:r>
          <w:r>
            <w:rPr>
              <w:rFonts w:ascii="Times New Roman" w:hAnsi="Times New Roman" w:eastAsia="宋体" w:cs="Times New Roman"/>
              <w:kern w:val="2"/>
              <w:sz w:val="24"/>
              <w:szCs w:val="22"/>
              <w:lang w:val="en-US" w:eastAsia="zh-CN" w:bidi="ar-SA"/>
            </w:rPr>
            <w:fldChar w:fldCharType="separate"/>
          </w:r>
          <w:r>
            <w:rPr>
              <w:rFonts w:ascii="Times New Roman" w:hAnsi="Times New Roman" w:eastAsia="宋体" w:cs="Times New Roman"/>
              <w:kern w:val="2"/>
              <w:sz w:val="24"/>
              <w:szCs w:val="22"/>
              <w:lang w:val="en-US" w:eastAsia="zh-CN" w:bidi="ar-SA"/>
            </w:rPr>
            <w:t>8</w:t>
          </w:r>
          <w:r>
            <w:rPr>
              <w:rFonts w:ascii="Times New Roman" w:hAnsi="Times New Roman" w:eastAsia="宋体" w:cs="Times New Roman"/>
              <w:kern w:val="2"/>
              <w:sz w:val="24"/>
              <w:szCs w:val="22"/>
              <w:lang w:val="en-US" w:eastAsia="zh-CN" w:bidi="ar-SA"/>
            </w:rPr>
            <w:fldChar w:fldCharType="end"/>
          </w:r>
          <w:r>
            <w:rPr>
              <w:rFonts w:ascii="Times New Roman" w:hAnsi="Times New Roman" w:eastAsia="宋体" w:cs="Times New Roman"/>
              <w:bCs/>
              <w:color w:val="000000"/>
              <w:kern w:val="2"/>
              <w:sz w:val="24"/>
              <w:szCs w:val="22"/>
              <w:lang w:val="zh-CN" w:eastAsia="zh-CN" w:bidi="ar-SA"/>
            </w:rPr>
            <w:fldChar w:fldCharType="end"/>
          </w:r>
        </w:p>
        <w:p w14:paraId="2922F941">
          <w:pPr>
            <w:widowControl w:val="0"/>
            <w:tabs>
              <w:tab w:val="right" w:leader="dot" w:pos="8306"/>
            </w:tabs>
            <w:spacing w:line="300" w:lineRule="auto"/>
            <w:ind w:left="0" w:leftChars="0" w:firstLine="0" w:firstLineChars="0"/>
            <w:jc w:val="both"/>
            <w:rPr>
              <w:rFonts w:ascii="Times New Roman" w:hAnsi="Times New Roman" w:eastAsia="宋体" w:cs="Times New Roman"/>
              <w:kern w:val="2"/>
              <w:sz w:val="24"/>
              <w:szCs w:val="22"/>
              <w:lang w:val="en-US" w:eastAsia="zh-CN" w:bidi="ar-SA"/>
            </w:rPr>
          </w:pPr>
          <w:r>
            <w:rPr>
              <w:rFonts w:ascii="Times New Roman" w:hAnsi="Times New Roman" w:eastAsia="宋体" w:cs="Times New Roman"/>
              <w:bCs/>
              <w:color w:val="000000"/>
              <w:kern w:val="2"/>
              <w:sz w:val="24"/>
              <w:szCs w:val="22"/>
              <w:lang w:val="zh-CN" w:eastAsia="zh-CN" w:bidi="ar-SA"/>
            </w:rPr>
            <w:fldChar w:fldCharType="begin"/>
          </w:r>
          <w:r>
            <w:rPr>
              <w:rFonts w:ascii="Times New Roman" w:hAnsi="Times New Roman" w:eastAsia="宋体" w:cs="Times New Roman"/>
              <w:bCs/>
              <w:kern w:val="2"/>
              <w:sz w:val="24"/>
              <w:szCs w:val="22"/>
              <w:lang w:val="zh-CN" w:eastAsia="zh-CN" w:bidi="ar-SA"/>
            </w:rPr>
            <w:instrText xml:space="preserve"> HYPERLINK \l _Toc2473 </w:instrText>
          </w:r>
          <w:r>
            <w:rPr>
              <w:rFonts w:ascii="Times New Roman" w:hAnsi="Times New Roman" w:eastAsia="宋体" w:cs="Times New Roman"/>
              <w:bCs/>
              <w:kern w:val="2"/>
              <w:sz w:val="24"/>
              <w:szCs w:val="22"/>
              <w:lang w:val="zh-CN" w:eastAsia="zh-CN" w:bidi="ar-SA"/>
            </w:rPr>
            <w:fldChar w:fldCharType="separate"/>
          </w:r>
          <w:r>
            <w:rPr>
              <w:rFonts w:hint="eastAsia" w:ascii="Times New Roman" w:hAnsi="Times New Roman" w:eastAsia="宋体" w:cs="Times New Roman"/>
              <w:kern w:val="2"/>
              <w:sz w:val="24"/>
              <w:szCs w:val="22"/>
              <w:lang w:val="en-US" w:eastAsia="zh-CN" w:bidi="ar-SA"/>
            </w:rPr>
            <w:t xml:space="preserve">2 </w:t>
          </w:r>
          <w:r>
            <w:rPr>
              <w:rFonts w:ascii="Times New Roman" w:hAnsi="Times New Roman" w:eastAsia="宋体" w:cs="Times New Roman"/>
              <w:kern w:val="2"/>
              <w:sz w:val="24"/>
              <w:szCs w:val="22"/>
              <w:lang w:val="en-US" w:eastAsia="zh-CN" w:bidi="ar-SA"/>
            </w:rPr>
            <w:t>生态现状调查与评价</w:t>
          </w:r>
          <w:r>
            <w:rPr>
              <w:rFonts w:ascii="Times New Roman" w:hAnsi="Times New Roman" w:eastAsia="宋体" w:cs="Times New Roman"/>
              <w:kern w:val="2"/>
              <w:sz w:val="24"/>
              <w:szCs w:val="22"/>
              <w:lang w:val="en-US" w:eastAsia="zh-CN" w:bidi="ar-SA"/>
            </w:rPr>
            <w:tab/>
          </w:r>
          <w:r>
            <w:rPr>
              <w:rFonts w:ascii="Times New Roman" w:hAnsi="Times New Roman" w:eastAsia="宋体" w:cs="Times New Roman"/>
              <w:kern w:val="2"/>
              <w:sz w:val="24"/>
              <w:szCs w:val="22"/>
              <w:lang w:val="en-US" w:eastAsia="zh-CN" w:bidi="ar-SA"/>
            </w:rPr>
            <w:fldChar w:fldCharType="begin"/>
          </w:r>
          <w:r>
            <w:rPr>
              <w:rFonts w:ascii="Times New Roman" w:hAnsi="Times New Roman" w:eastAsia="宋体" w:cs="Times New Roman"/>
              <w:kern w:val="2"/>
              <w:sz w:val="24"/>
              <w:szCs w:val="22"/>
              <w:lang w:val="en-US" w:eastAsia="zh-CN" w:bidi="ar-SA"/>
            </w:rPr>
            <w:instrText xml:space="preserve"> PAGEREF _Toc2473 \h </w:instrText>
          </w:r>
          <w:r>
            <w:rPr>
              <w:rFonts w:ascii="Times New Roman" w:hAnsi="Times New Roman" w:eastAsia="宋体" w:cs="Times New Roman"/>
              <w:kern w:val="2"/>
              <w:sz w:val="24"/>
              <w:szCs w:val="22"/>
              <w:lang w:val="en-US" w:eastAsia="zh-CN" w:bidi="ar-SA"/>
            </w:rPr>
            <w:fldChar w:fldCharType="separate"/>
          </w:r>
          <w:r>
            <w:rPr>
              <w:rFonts w:ascii="Times New Roman" w:hAnsi="Times New Roman" w:eastAsia="宋体" w:cs="Times New Roman"/>
              <w:kern w:val="2"/>
              <w:sz w:val="24"/>
              <w:szCs w:val="22"/>
              <w:lang w:val="en-US" w:eastAsia="zh-CN" w:bidi="ar-SA"/>
            </w:rPr>
            <w:t>9</w:t>
          </w:r>
          <w:r>
            <w:rPr>
              <w:rFonts w:ascii="Times New Roman" w:hAnsi="Times New Roman" w:eastAsia="宋体" w:cs="Times New Roman"/>
              <w:kern w:val="2"/>
              <w:sz w:val="24"/>
              <w:szCs w:val="22"/>
              <w:lang w:val="en-US" w:eastAsia="zh-CN" w:bidi="ar-SA"/>
            </w:rPr>
            <w:fldChar w:fldCharType="end"/>
          </w:r>
          <w:r>
            <w:rPr>
              <w:rFonts w:ascii="Times New Roman" w:hAnsi="Times New Roman" w:eastAsia="宋体" w:cs="Times New Roman"/>
              <w:bCs/>
              <w:color w:val="000000"/>
              <w:kern w:val="2"/>
              <w:sz w:val="24"/>
              <w:szCs w:val="22"/>
              <w:lang w:val="zh-CN" w:eastAsia="zh-CN" w:bidi="ar-SA"/>
            </w:rPr>
            <w:fldChar w:fldCharType="end"/>
          </w:r>
        </w:p>
        <w:p w14:paraId="7E86B318">
          <w:pPr>
            <w:widowControl w:val="0"/>
            <w:tabs>
              <w:tab w:val="right" w:leader="dot" w:pos="8306"/>
            </w:tabs>
            <w:spacing w:line="300" w:lineRule="auto"/>
            <w:ind w:left="420" w:leftChars="200" w:firstLine="0" w:firstLineChars="0"/>
            <w:jc w:val="both"/>
            <w:rPr>
              <w:rFonts w:ascii="Times New Roman" w:hAnsi="Times New Roman" w:eastAsia="宋体" w:cs="Times New Roman"/>
              <w:kern w:val="2"/>
              <w:sz w:val="24"/>
              <w:szCs w:val="22"/>
              <w:lang w:val="en-US" w:eastAsia="zh-CN" w:bidi="ar-SA"/>
            </w:rPr>
          </w:pPr>
          <w:r>
            <w:rPr>
              <w:rFonts w:ascii="Times New Roman" w:hAnsi="Times New Roman" w:eastAsia="宋体" w:cs="Times New Roman"/>
              <w:bCs/>
              <w:color w:val="000000"/>
              <w:kern w:val="2"/>
              <w:sz w:val="24"/>
              <w:szCs w:val="22"/>
              <w:lang w:val="zh-CN" w:eastAsia="zh-CN" w:bidi="ar-SA"/>
            </w:rPr>
            <w:fldChar w:fldCharType="begin"/>
          </w:r>
          <w:r>
            <w:rPr>
              <w:rFonts w:ascii="Times New Roman" w:hAnsi="Times New Roman" w:eastAsia="宋体" w:cs="Times New Roman"/>
              <w:bCs/>
              <w:kern w:val="2"/>
              <w:sz w:val="24"/>
              <w:szCs w:val="22"/>
              <w:lang w:val="zh-CN" w:eastAsia="zh-CN" w:bidi="ar-SA"/>
            </w:rPr>
            <w:instrText xml:space="preserve"> HYPERLINK \l _Toc9813 </w:instrText>
          </w:r>
          <w:r>
            <w:rPr>
              <w:rFonts w:ascii="Times New Roman" w:hAnsi="Times New Roman" w:eastAsia="宋体" w:cs="Times New Roman"/>
              <w:bCs/>
              <w:kern w:val="2"/>
              <w:sz w:val="24"/>
              <w:szCs w:val="22"/>
              <w:lang w:val="zh-CN" w:eastAsia="zh-CN" w:bidi="ar-SA"/>
            </w:rPr>
            <w:fldChar w:fldCharType="separate"/>
          </w:r>
          <w:r>
            <w:rPr>
              <w:rFonts w:hint="eastAsia" w:ascii="Times New Roman" w:hAnsi="Times New Roman" w:eastAsia="宋体" w:cs="Times New Roman"/>
              <w:kern w:val="2"/>
              <w:sz w:val="24"/>
              <w:szCs w:val="22"/>
              <w:lang w:val="en-US" w:eastAsia="zh-CN" w:bidi="ar-SA"/>
            </w:rPr>
            <w:t xml:space="preserve">2.1 </w:t>
          </w:r>
          <w:r>
            <w:rPr>
              <w:rFonts w:ascii="Times New Roman" w:hAnsi="Times New Roman" w:eastAsia="宋体" w:cs="Times New Roman"/>
              <w:kern w:val="2"/>
              <w:sz w:val="24"/>
              <w:szCs w:val="22"/>
              <w:lang w:val="en-US" w:eastAsia="zh-CN" w:bidi="ar-SA"/>
            </w:rPr>
            <w:t>生态现状调查方法</w:t>
          </w:r>
          <w:r>
            <w:rPr>
              <w:rFonts w:ascii="Times New Roman" w:hAnsi="Times New Roman" w:eastAsia="宋体" w:cs="Times New Roman"/>
              <w:kern w:val="2"/>
              <w:sz w:val="24"/>
              <w:szCs w:val="22"/>
              <w:lang w:val="en-US" w:eastAsia="zh-CN" w:bidi="ar-SA"/>
            </w:rPr>
            <w:tab/>
          </w:r>
          <w:r>
            <w:rPr>
              <w:rFonts w:ascii="Times New Roman" w:hAnsi="Times New Roman" w:eastAsia="宋体" w:cs="Times New Roman"/>
              <w:kern w:val="2"/>
              <w:sz w:val="24"/>
              <w:szCs w:val="22"/>
              <w:lang w:val="en-US" w:eastAsia="zh-CN" w:bidi="ar-SA"/>
            </w:rPr>
            <w:fldChar w:fldCharType="begin"/>
          </w:r>
          <w:r>
            <w:rPr>
              <w:rFonts w:ascii="Times New Roman" w:hAnsi="Times New Roman" w:eastAsia="宋体" w:cs="Times New Roman"/>
              <w:kern w:val="2"/>
              <w:sz w:val="24"/>
              <w:szCs w:val="22"/>
              <w:lang w:val="en-US" w:eastAsia="zh-CN" w:bidi="ar-SA"/>
            </w:rPr>
            <w:instrText xml:space="preserve"> PAGEREF _Toc9813 \h </w:instrText>
          </w:r>
          <w:r>
            <w:rPr>
              <w:rFonts w:ascii="Times New Roman" w:hAnsi="Times New Roman" w:eastAsia="宋体" w:cs="Times New Roman"/>
              <w:kern w:val="2"/>
              <w:sz w:val="24"/>
              <w:szCs w:val="22"/>
              <w:lang w:val="en-US" w:eastAsia="zh-CN" w:bidi="ar-SA"/>
            </w:rPr>
            <w:fldChar w:fldCharType="separate"/>
          </w:r>
          <w:r>
            <w:rPr>
              <w:rFonts w:ascii="Times New Roman" w:hAnsi="Times New Roman" w:eastAsia="宋体" w:cs="Times New Roman"/>
              <w:kern w:val="2"/>
              <w:sz w:val="24"/>
              <w:szCs w:val="22"/>
              <w:lang w:val="en-US" w:eastAsia="zh-CN" w:bidi="ar-SA"/>
            </w:rPr>
            <w:t>9</w:t>
          </w:r>
          <w:r>
            <w:rPr>
              <w:rFonts w:ascii="Times New Roman" w:hAnsi="Times New Roman" w:eastAsia="宋体" w:cs="Times New Roman"/>
              <w:kern w:val="2"/>
              <w:sz w:val="24"/>
              <w:szCs w:val="22"/>
              <w:lang w:val="en-US" w:eastAsia="zh-CN" w:bidi="ar-SA"/>
            </w:rPr>
            <w:fldChar w:fldCharType="end"/>
          </w:r>
          <w:r>
            <w:rPr>
              <w:rFonts w:ascii="Times New Roman" w:hAnsi="Times New Roman" w:eastAsia="宋体" w:cs="Times New Roman"/>
              <w:bCs/>
              <w:color w:val="000000"/>
              <w:kern w:val="2"/>
              <w:sz w:val="24"/>
              <w:szCs w:val="22"/>
              <w:lang w:val="zh-CN" w:eastAsia="zh-CN" w:bidi="ar-SA"/>
            </w:rPr>
            <w:fldChar w:fldCharType="end"/>
          </w:r>
        </w:p>
        <w:p w14:paraId="34439FFA">
          <w:pPr>
            <w:widowControl w:val="0"/>
            <w:tabs>
              <w:tab w:val="right" w:leader="dot" w:pos="8306"/>
            </w:tabs>
            <w:spacing w:line="300" w:lineRule="auto"/>
            <w:ind w:left="840" w:leftChars="400" w:firstLine="0" w:firstLineChars="0"/>
            <w:jc w:val="both"/>
            <w:rPr>
              <w:rFonts w:ascii="Times New Roman" w:hAnsi="Times New Roman" w:eastAsia="宋体" w:cs="Times New Roman"/>
              <w:bCs w:val="0"/>
              <w:kern w:val="0"/>
              <w:sz w:val="24"/>
              <w:szCs w:val="32"/>
              <w:lang w:val="zh-CN" w:eastAsia="zh-CN" w:bidi="ar-SA"/>
            </w:rPr>
          </w:pPr>
          <w:r>
            <w:rPr>
              <w:rFonts w:ascii="Times New Roman" w:hAnsi="Times New Roman" w:eastAsia="宋体" w:cs="Times New Roman"/>
              <w:bCs w:val="0"/>
              <w:kern w:val="0"/>
              <w:sz w:val="24"/>
              <w:szCs w:val="32"/>
              <w:lang w:val="zh-CN" w:eastAsia="zh-CN" w:bidi="ar-SA"/>
            </w:rPr>
            <w:fldChar w:fldCharType="begin"/>
          </w:r>
          <w:r>
            <w:rPr>
              <w:rFonts w:ascii="Times New Roman" w:hAnsi="Times New Roman" w:eastAsia="宋体" w:cs="Times New Roman"/>
              <w:bCs w:val="0"/>
              <w:kern w:val="0"/>
              <w:sz w:val="24"/>
              <w:szCs w:val="32"/>
              <w:lang w:val="zh-CN" w:eastAsia="zh-CN" w:bidi="ar-SA"/>
            </w:rPr>
            <w:instrText xml:space="preserve"> HYPERLINK \l _Toc5287 </w:instrText>
          </w:r>
          <w:r>
            <w:rPr>
              <w:rFonts w:ascii="Times New Roman" w:hAnsi="Times New Roman" w:eastAsia="宋体" w:cs="Times New Roman"/>
              <w:bCs w:val="0"/>
              <w:kern w:val="0"/>
              <w:sz w:val="24"/>
              <w:szCs w:val="32"/>
              <w:lang w:val="zh-CN" w:eastAsia="zh-CN" w:bidi="ar-SA"/>
            </w:rPr>
            <w:fldChar w:fldCharType="separate"/>
          </w:r>
          <w:r>
            <w:rPr>
              <w:rFonts w:hint="eastAsia" w:ascii="Times New Roman" w:hAnsi="Times New Roman" w:eastAsia="宋体" w:cs="Times New Roman"/>
              <w:bCs w:val="0"/>
              <w:kern w:val="0"/>
              <w:sz w:val="24"/>
              <w:szCs w:val="32"/>
              <w:lang w:val="zh-CN" w:eastAsia="zh-CN" w:bidi="ar-SA"/>
            </w:rPr>
            <w:t xml:space="preserve">2.1.1 </w:t>
          </w:r>
          <w:r>
            <w:rPr>
              <w:rFonts w:ascii="Times New Roman" w:hAnsi="Times New Roman" w:eastAsia="宋体" w:cs="Times New Roman"/>
              <w:bCs w:val="0"/>
              <w:kern w:val="0"/>
              <w:sz w:val="24"/>
              <w:szCs w:val="32"/>
              <w:lang w:val="zh-CN" w:eastAsia="zh-CN" w:bidi="ar-SA"/>
            </w:rPr>
            <w:t>基础资料收集</w:t>
          </w:r>
          <w:r>
            <w:rPr>
              <w:rFonts w:ascii="Times New Roman" w:hAnsi="Times New Roman" w:eastAsia="宋体" w:cs="Times New Roman"/>
              <w:bCs w:val="0"/>
              <w:kern w:val="0"/>
              <w:sz w:val="24"/>
              <w:szCs w:val="32"/>
              <w:lang w:val="zh-CN" w:eastAsia="zh-CN" w:bidi="ar-SA"/>
            </w:rPr>
            <w:tab/>
          </w:r>
          <w:r>
            <w:rPr>
              <w:rFonts w:ascii="Times New Roman" w:hAnsi="Times New Roman" w:eastAsia="宋体" w:cs="Times New Roman"/>
              <w:bCs w:val="0"/>
              <w:kern w:val="0"/>
              <w:sz w:val="24"/>
              <w:szCs w:val="32"/>
              <w:lang w:val="zh-CN" w:eastAsia="zh-CN" w:bidi="ar-SA"/>
            </w:rPr>
            <w:fldChar w:fldCharType="begin"/>
          </w:r>
          <w:r>
            <w:rPr>
              <w:rFonts w:ascii="Times New Roman" w:hAnsi="Times New Roman" w:eastAsia="宋体" w:cs="Times New Roman"/>
              <w:bCs w:val="0"/>
              <w:kern w:val="0"/>
              <w:sz w:val="24"/>
              <w:szCs w:val="32"/>
              <w:lang w:val="zh-CN" w:eastAsia="zh-CN" w:bidi="ar-SA"/>
            </w:rPr>
            <w:instrText xml:space="preserve"> PAGEREF _Toc5287 \h </w:instrText>
          </w:r>
          <w:r>
            <w:rPr>
              <w:rFonts w:ascii="Times New Roman" w:hAnsi="Times New Roman" w:eastAsia="宋体" w:cs="Times New Roman"/>
              <w:bCs w:val="0"/>
              <w:kern w:val="0"/>
              <w:sz w:val="24"/>
              <w:szCs w:val="32"/>
              <w:lang w:val="zh-CN" w:eastAsia="zh-CN" w:bidi="ar-SA"/>
            </w:rPr>
            <w:fldChar w:fldCharType="separate"/>
          </w:r>
          <w:r>
            <w:rPr>
              <w:rFonts w:ascii="Times New Roman" w:hAnsi="Times New Roman" w:eastAsia="宋体" w:cs="Times New Roman"/>
              <w:bCs w:val="0"/>
              <w:kern w:val="0"/>
              <w:sz w:val="24"/>
              <w:szCs w:val="32"/>
              <w:lang w:val="zh-CN" w:eastAsia="zh-CN" w:bidi="ar-SA"/>
            </w:rPr>
            <w:t>9</w:t>
          </w:r>
          <w:r>
            <w:rPr>
              <w:rFonts w:ascii="Times New Roman" w:hAnsi="Times New Roman" w:eastAsia="宋体" w:cs="Times New Roman"/>
              <w:bCs w:val="0"/>
              <w:kern w:val="0"/>
              <w:sz w:val="24"/>
              <w:szCs w:val="32"/>
              <w:lang w:val="zh-CN" w:eastAsia="zh-CN" w:bidi="ar-SA"/>
            </w:rPr>
            <w:fldChar w:fldCharType="end"/>
          </w:r>
          <w:r>
            <w:rPr>
              <w:rFonts w:ascii="Times New Roman" w:hAnsi="Times New Roman" w:eastAsia="宋体" w:cs="Times New Roman"/>
              <w:bCs w:val="0"/>
              <w:kern w:val="0"/>
              <w:sz w:val="24"/>
              <w:szCs w:val="32"/>
              <w:lang w:val="zh-CN" w:eastAsia="zh-CN" w:bidi="ar-SA"/>
            </w:rPr>
            <w:fldChar w:fldCharType="end"/>
          </w:r>
        </w:p>
        <w:p w14:paraId="5F7BC464">
          <w:pPr>
            <w:widowControl w:val="0"/>
            <w:tabs>
              <w:tab w:val="right" w:leader="dot" w:pos="8306"/>
            </w:tabs>
            <w:spacing w:line="300" w:lineRule="auto"/>
            <w:ind w:left="840" w:leftChars="400" w:firstLine="0" w:firstLineChars="0"/>
            <w:jc w:val="both"/>
            <w:rPr>
              <w:rFonts w:ascii="Times New Roman" w:hAnsi="Times New Roman" w:eastAsia="宋体" w:cs="Times New Roman"/>
              <w:bCs w:val="0"/>
              <w:kern w:val="0"/>
              <w:sz w:val="24"/>
              <w:szCs w:val="32"/>
              <w:lang w:val="zh-CN" w:eastAsia="zh-CN" w:bidi="ar-SA"/>
            </w:rPr>
          </w:pPr>
          <w:r>
            <w:rPr>
              <w:rFonts w:ascii="Times New Roman" w:hAnsi="Times New Roman" w:eastAsia="宋体" w:cs="Times New Roman"/>
              <w:bCs w:val="0"/>
              <w:kern w:val="0"/>
              <w:sz w:val="24"/>
              <w:szCs w:val="32"/>
              <w:lang w:val="zh-CN" w:eastAsia="zh-CN" w:bidi="ar-SA"/>
            </w:rPr>
            <w:fldChar w:fldCharType="begin"/>
          </w:r>
          <w:r>
            <w:rPr>
              <w:rFonts w:ascii="Times New Roman" w:hAnsi="Times New Roman" w:eastAsia="宋体" w:cs="Times New Roman"/>
              <w:bCs w:val="0"/>
              <w:kern w:val="0"/>
              <w:sz w:val="24"/>
              <w:szCs w:val="32"/>
              <w:lang w:val="zh-CN" w:eastAsia="zh-CN" w:bidi="ar-SA"/>
            </w:rPr>
            <w:instrText xml:space="preserve"> HYPERLINK \l _Toc23707 </w:instrText>
          </w:r>
          <w:r>
            <w:rPr>
              <w:rFonts w:ascii="Times New Roman" w:hAnsi="Times New Roman" w:eastAsia="宋体" w:cs="Times New Roman"/>
              <w:bCs w:val="0"/>
              <w:kern w:val="0"/>
              <w:sz w:val="24"/>
              <w:szCs w:val="32"/>
              <w:lang w:val="zh-CN" w:eastAsia="zh-CN" w:bidi="ar-SA"/>
            </w:rPr>
            <w:fldChar w:fldCharType="separate"/>
          </w:r>
          <w:r>
            <w:rPr>
              <w:rFonts w:hint="eastAsia" w:ascii="Times New Roman" w:hAnsi="Times New Roman" w:eastAsia="宋体" w:cs="Times New Roman"/>
              <w:bCs w:val="0"/>
              <w:kern w:val="0"/>
              <w:sz w:val="24"/>
              <w:szCs w:val="32"/>
              <w:lang w:val="zh-CN" w:eastAsia="zh-CN" w:bidi="ar-SA"/>
            </w:rPr>
            <w:t xml:space="preserve">2.1.2 </w:t>
          </w:r>
          <w:r>
            <w:rPr>
              <w:rFonts w:ascii="Times New Roman" w:hAnsi="Times New Roman" w:eastAsia="宋体" w:cs="Times New Roman"/>
              <w:bCs w:val="0"/>
              <w:kern w:val="0"/>
              <w:sz w:val="24"/>
              <w:szCs w:val="32"/>
              <w:lang w:val="zh-CN" w:eastAsia="zh-CN" w:bidi="ar-SA"/>
            </w:rPr>
            <w:t>陆生生物资源调查</w:t>
          </w:r>
          <w:r>
            <w:rPr>
              <w:rFonts w:ascii="Times New Roman" w:hAnsi="Times New Roman" w:eastAsia="宋体" w:cs="Times New Roman"/>
              <w:bCs w:val="0"/>
              <w:kern w:val="0"/>
              <w:sz w:val="24"/>
              <w:szCs w:val="32"/>
              <w:lang w:val="zh-CN" w:eastAsia="zh-CN" w:bidi="ar-SA"/>
            </w:rPr>
            <w:tab/>
          </w:r>
          <w:r>
            <w:rPr>
              <w:rFonts w:ascii="Times New Roman" w:hAnsi="Times New Roman" w:eastAsia="宋体" w:cs="Times New Roman"/>
              <w:bCs w:val="0"/>
              <w:kern w:val="0"/>
              <w:sz w:val="24"/>
              <w:szCs w:val="32"/>
              <w:lang w:val="zh-CN" w:eastAsia="zh-CN" w:bidi="ar-SA"/>
            </w:rPr>
            <w:fldChar w:fldCharType="begin"/>
          </w:r>
          <w:r>
            <w:rPr>
              <w:rFonts w:ascii="Times New Roman" w:hAnsi="Times New Roman" w:eastAsia="宋体" w:cs="Times New Roman"/>
              <w:bCs w:val="0"/>
              <w:kern w:val="0"/>
              <w:sz w:val="24"/>
              <w:szCs w:val="32"/>
              <w:lang w:val="zh-CN" w:eastAsia="zh-CN" w:bidi="ar-SA"/>
            </w:rPr>
            <w:instrText xml:space="preserve"> PAGEREF _Toc23707 \h </w:instrText>
          </w:r>
          <w:r>
            <w:rPr>
              <w:rFonts w:ascii="Times New Roman" w:hAnsi="Times New Roman" w:eastAsia="宋体" w:cs="Times New Roman"/>
              <w:bCs w:val="0"/>
              <w:kern w:val="0"/>
              <w:sz w:val="24"/>
              <w:szCs w:val="32"/>
              <w:lang w:val="zh-CN" w:eastAsia="zh-CN" w:bidi="ar-SA"/>
            </w:rPr>
            <w:fldChar w:fldCharType="separate"/>
          </w:r>
          <w:r>
            <w:rPr>
              <w:rFonts w:ascii="Times New Roman" w:hAnsi="Times New Roman" w:eastAsia="宋体" w:cs="Times New Roman"/>
              <w:bCs w:val="0"/>
              <w:kern w:val="0"/>
              <w:sz w:val="24"/>
              <w:szCs w:val="32"/>
              <w:lang w:val="zh-CN" w:eastAsia="zh-CN" w:bidi="ar-SA"/>
            </w:rPr>
            <w:t>9</w:t>
          </w:r>
          <w:r>
            <w:rPr>
              <w:rFonts w:ascii="Times New Roman" w:hAnsi="Times New Roman" w:eastAsia="宋体" w:cs="Times New Roman"/>
              <w:bCs w:val="0"/>
              <w:kern w:val="0"/>
              <w:sz w:val="24"/>
              <w:szCs w:val="32"/>
              <w:lang w:val="zh-CN" w:eastAsia="zh-CN" w:bidi="ar-SA"/>
            </w:rPr>
            <w:fldChar w:fldCharType="end"/>
          </w:r>
          <w:r>
            <w:rPr>
              <w:rFonts w:ascii="Times New Roman" w:hAnsi="Times New Roman" w:eastAsia="宋体" w:cs="Times New Roman"/>
              <w:bCs w:val="0"/>
              <w:kern w:val="0"/>
              <w:sz w:val="24"/>
              <w:szCs w:val="32"/>
              <w:lang w:val="zh-CN" w:eastAsia="zh-CN" w:bidi="ar-SA"/>
            </w:rPr>
            <w:fldChar w:fldCharType="end"/>
          </w:r>
        </w:p>
        <w:p w14:paraId="7924B6BA">
          <w:pPr>
            <w:widowControl w:val="0"/>
            <w:tabs>
              <w:tab w:val="right" w:leader="dot" w:pos="8306"/>
            </w:tabs>
            <w:spacing w:line="300" w:lineRule="auto"/>
            <w:ind w:left="840" w:leftChars="400" w:firstLine="0" w:firstLineChars="0"/>
            <w:jc w:val="both"/>
            <w:rPr>
              <w:rFonts w:ascii="Times New Roman" w:hAnsi="Times New Roman" w:eastAsia="宋体" w:cs="Times New Roman"/>
              <w:bCs w:val="0"/>
              <w:kern w:val="0"/>
              <w:sz w:val="24"/>
              <w:szCs w:val="32"/>
              <w:lang w:val="zh-CN" w:eastAsia="zh-CN" w:bidi="ar-SA"/>
            </w:rPr>
          </w:pPr>
          <w:r>
            <w:rPr>
              <w:rFonts w:ascii="Times New Roman" w:hAnsi="Times New Roman" w:eastAsia="宋体" w:cs="Times New Roman"/>
              <w:bCs w:val="0"/>
              <w:kern w:val="0"/>
              <w:sz w:val="24"/>
              <w:szCs w:val="32"/>
              <w:lang w:val="zh-CN" w:eastAsia="zh-CN" w:bidi="ar-SA"/>
            </w:rPr>
            <w:fldChar w:fldCharType="begin"/>
          </w:r>
          <w:r>
            <w:rPr>
              <w:rFonts w:ascii="Times New Roman" w:hAnsi="Times New Roman" w:eastAsia="宋体" w:cs="Times New Roman"/>
              <w:bCs w:val="0"/>
              <w:kern w:val="0"/>
              <w:sz w:val="24"/>
              <w:szCs w:val="32"/>
              <w:lang w:val="zh-CN" w:eastAsia="zh-CN" w:bidi="ar-SA"/>
            </w:rPr>
            <w:instrText xml:space="preserve"> HYPERLINK \l _Toc27697 </w:instrText>
          </w:r>
          <w:r>
            <w:rPr>
              <w:rFonts w:ascii="Times New Roman" w:hAnsi="Times New Roman" w:eastAsia="宋体" w:cs="Times New Roman"/>
              <w:bCs w:val="0"/>
              <w:kern w:val="0"/>
              <w:sz w:val="24"/>
              <w:szCs w:val="32"/>
              <w:lang w:val="zh-CN" w:eastAsia="zh-CN" w:bidi="ar-SA"/>
            </w:rPr>
            <w:fldChar w:fldCharType="separate"/>
          </w:r>
          <w:r>
            <w:rPr>
              <w:rFonts w:hint="eastAsia" w:ascii="Times New Roman" w:hAnsi="Times New Roman" w:eastAsia="宋体" w:cs="Times New Roman"/>
              <w:bCs w:val="0"/>
              <w:kern w:val="0"/>
              <w:sz w:val="24"/>
              <w:szCs w:val="32"/>
              <w:lang w:val="zh-CN" w:eastAsia="zh-CN" w:bidi="ar-SA"/>
            </w:rPr>
            <w:t xml:space="preserve">2.1.3 </w:t>
          </w:r>
          <w:r>
            <w:rPr>
              <w:rFonts w:ascii="Times New Roman" w:hAnsi="Times New Roman" w:eastAsia="宋体" w:cs="Times New Roman"/>
              <w:bCs w:val="0"/>
              <w:kern w:val="0"/>
              <w:sz w:val="24"/>
              <w:szCs w:val="32"/>
              <w:lang w:val="zh-CN" w:eastAsia="zh-CN" w:bidi="ar-SA"/>
            </w:rPr>
            <w:t>水生生物调查</w:t>
          </w:r>
          <w:r>
            <w:rPr>
              <w:rFonts w:ascii="Times New Roman" w:hAnsi="Times New Roman" w:eastAsia="宋体" w:cs="Times New Roman"/>
              <w:bCs w:val="0"/>
              <w:kern w:val="0"/>
              <w:sz w:val="24"/>
              <w:szCs w:val="32"/>
              <w:lang w:val="zh-CN" w:eastAsia="zh-CN" w:bidi="ar-SA"/>
            </w:rPr>
            <w:tab/>
          </w:r>
          <w:r>
            <w:rPr>
              <w:rFonts w:ascii="Times New Roman" w:hAnsi="Times New Roman" w:eastAsia="宋体" w:cs="Times New Roman"/>
              <w:bCs w:val="0"/>
              <w:kern w:val="0"/>
              <w:sz w:val="24"/>
              <w:szCs w:val="32"/>
              <w:lang w:val="zh-CN" w:eastAsia="zh-CN" w:bidi="ar-SA"/>
            </w:rPr>
            <w:fldChar w:fldCharType="begin"/>
          </w:r>
          <w:r>
            <w:rPr>
              <w:rFonts w:ascii="Times New Roman" w:hAnsi="Times New Roman" w:eastAsia="宋体" w:cs="Times New Roman"/>
              <w:bCs w:val="0"/>
              <w:kern w:val="0"/>
              <w:sz w:val="24"/>
              <w:szCs w:val="32"/>
              <w:lang w:val="zh-CN" w:eastAsia="zh-CN" w:bidi="ar-SA"/>
            </w:rPr>
            <w:instrText xml:space="preserve"> PAGEREF _Toc27697 \h </w:instrText>
          </w:r>
          <w:r>
            <w:rPr>
              <w:rFonts w:ascii="Times New Roman" w:hAnsi="Times New Roman" w:eastAsia="宋体" w:cs="Times New Roman"/>
              <w:bCs w:val="0"/>
              <w:kern w:val="0"/>
              <w:sz w:val="24"/>
              <w:szCs w:val="32"/>
              <w:lang w:val="zh-CN" w:eastAsia="zh-CN" w:bidi="ar-SA"/>
            </w:rPr>
            <w:fldChar w:fldCharType="separate"/>
          </w:r>
          <w:r>
            <w:rPr>
              <w:rFonts w:ascii="Times New Roman" w:hAnsi="Times New Roman" w:eastAsia="宋体" w:cs="Times New Roman"/>
              <w:bCs w:val="0"/>
              <w:kern w:val="0"/>
              <w:sz w:val="24"/>
              <w:szCs w:val="32"/>
              <w:lang w:val="zh-CN" w:eastAsia="zh-CN" w:bidi="ar-SA"/>
            </w:rPr>
            <w:t>9</w:t>
          </w:r>
          <w:r>
            <w:rPr>
              <w:rFonts w:ascii="Times New Roman" w:hAnsi="Times New Roman" w:eastAsia="宋体" w:cs="Times New Roman"/>
              <w:bCs w:val="0"/>
              <w:kern w:val="0"/>
              <w:sz w:val="24"/>
              <w:szCs w:val="32"/>
              <w:lang w:val="zh-CN" w:eastAsia="zh-CN" w:bidi="ar-SA"/>
            </w:rPr>
            <w:fldChar w:fldCharType="end"/>
          </w:r>
          <w:r>
            <w:rPr>
              <w:rFonts w:ascii="Times New Roman" w:hAnsi="Times New Roman" w:eastAsia="宋体" w:cs="Times New Roman"/>
              <w:bCs w:val="0"/>
              <w:kern w:val="0"/>
              <w:sz w:val="24"/>
              <w:szCs w:val="32"/>
              <w:lang w:val="zh-CN" w:eastAsia="zh-CN" w:bidi="ar-SA"/>
            </w:rPr>
            <w:fldChar w:fldCharType="end"/>
          </w:r>
        </w:p>
        <w:p w14:paraId="45F8501F">
          <w:pPr>
            <w:widowControl w:val="0"/>
            <w:tabs>
              <w:tab w:val="right" w:leader="dot" w:pos="8306"/>
            </w:tabs>
            <w:spacing w:line="300" w:lineRule="auto"/>
            <w:ind w:left="840" w:leftChars="400" w:firstLine="0" w:firstLineChars="0"/>
            <w:jc w:val="both"/>
            <w:rPr>
              <w:rFonts w:ascii="Times New Roman" w:hAnsi="Times New Roman" w:eastAsia="宋体" w:cs="Times New Roman"/>
              <w:kern w:val="2"/>
              <w:sz w:val="24"/>
              <w:szCs w:val="22"/>
              <w:lang w:val="en-US" w:eastAsia="zh-CN" w:bidi="ar-SA"/>
            </w:rPr>
          </w:pPr>
          <w:r>
            <w:rPr>
              <w:rFonts w:ascii="Times New Roman" w:hAnsi="Times New Roman" w:eastAsia="宋体" w:cs="Times New Roman"/>
              <w:bCs w:val="0"/>
              <w:kern w:val="0"/>
              <w:sz w:val="24"/>
              <w:szCs w:val="32"/>
              <w:lang w:val="zh-CN" w:eastAsia="zh-CN" w:bidi="ar-SA"/>
            </w:rPr>
            <w:fldChar w:fldCharType="begin"/>
          </w:r>
          <w:r>
            <w:rPr>
              <w:rFonts w:ascii="Times New Roman" w:hAnsi="Times New Roman" w:eastAsia="宋体" w:cs="Times New Roman"/>
              <w:bCs w:val="0"/>
              <w:kern w:val="0"/>
              <w:sz w:val="24"/>
              <w:szCs w:val="32"/>
              <w:lang w:val="zh-CN" w:eastAsia="zh-CN" w:bidi="ar-SA"/>
            </w:rPr>
            <w:instrText xml:space="preserve"> HYPERLINK \l _Toc26251 </w:instrText>
          </w:r>
          <w:r>
            <w:rPr>
              <w:rFonts w:ascii="Times New Roman" w:hAnsi="Times New Roman" w:eastAsia="宋体" w:cs="Times New Roman"/>
              <w:bCs w:val="0"/>
              <w:kern w:val="0"/>
              <w:sz w:val="24"/>
              <w:szCs w:val="32"/>
              <w:lang w:val="zh-CN" w:eastAsia="zh-CN" w:bidi="ar-SA"/>
            </w:rPr>
            <w:fldChar w:fldCharType="separate"/>
          </w:r>
          <w:r>
            <w:rPr>
              <w:rFonts w:hint="eastAsia" w:ascii="Times New Roman" w:hAnsi="Times New Roman" w:eastAsia="宋体" w:cs="Times New Roman"/>
              <w:bCs w:val="0"/>
              <w:kern w:val="0"/>
              <w:sz w:val="24"/>
              <w:szCs w:val="32"/>
              <w:lang w:val="zh-CN" w:eastAsia="zh-CN" w:bidi="ar-SA"/>
            </w:rPr>
            <w:t xml:space="preserve">2.1.4 </w:t>
          </w:r>
          <w:r>
            <w:rPr>
              <w:rFonts w:ascii="Times New Roman" w:hAnsi="Times New Roman" w:eastAsia="宋体" w:cs="Times New Roman"/>
              <w:bCs w:val="0"/>
              <w:kern w:val="0"/>
              <w:sz w:val="24"/>
              <w:szCs w:val="32"/>
              <w:lang w:val="zh-CN" w:eastAsia="zh-CN" w:bidi="ar-SA"/>
            </w:rPr>
            <w:t>主要评价方法</w:t>
          </w:r>
          <w:r>
            <w:rPr>
              <w:rFonts w:ascii="Times New Roman" w:hAnsi="Times New Roman" w:eastAsia="宋体" w:cs="Times New Roman"/>
              <w:bCs w:val="0"/>
              <w:kern w:val="0"/>
              <w:sz w:val="24"/>
              <w:szCs w:val="32"/>
              <w:lang w:val="zh-CN" w:eastAsia="zh-CN" w:bidi="ar-SA"/>
            </w:rPr>
            <w:tab/>
          </w:r>
          <w:r>
            <w:rPr>
              <w:rFonts w:ascii="Times New Roman" w:hAnsi="Times New Roman" w:eastAsia="宋体" w:cs="Times New Roman"/>
              <w:bCs w:val="0"/>
              <w:kern w:val="0"/>
              <w:sz w:val="24"/>
              <w:szCs w:val="32"/>
              <w:lang w:val="zh-CN" w:eastAsia="zh-CN" w:bidi="ar-SA"/>
            </w:rPr>
            <w:fldChar w:fldCharType="begin"/>
          </w:r>
          <w:r>
            <w:rPr>
              <w:rFonts w:ascii="Times New Roman" w:hAnsi="Times New Roman" w:eastAsia="宋体" w:cs="Times New Roman"/>
              <w:bCs w:val="0"/>
              <w:kern w:val="0"/>
              <w:sz w:val="24"/>
              <w:szCs w:val="32"/>
              <w:lang w:val="zh-CN" w:eastAsia="zh-CN" w:bidi="ar-SA"/>
            </w:rPr>
            <w:instrText xml:space="preserve"> PAGEREF _Toc26251 \h </w:instrText>
          </w:r>
          <w:r>
            <w:rPr>
              <w:rFonts w:ascii="Times New Roman" w:hAnsi="Times New Roman" w:eastAsia="宋体" w:cs="Times New Roman"/>
              <w:bCs w:val="0"/>
              <w:kern w:val="0"/>
              <w:sz w:val="24"/>
              <w:szCs w:val="32"/>
              <w:lang w:val="zh-CN" w:eastAsia="zh-CN" w:bidi="ar-SA"/>
            </w:rPr>
            <w:fldChar w:fldCharType="separate"/>
          </w:r>
          <w:r>
            <w:rPr>
              <w:rFonts w:ascii="Times New Roman" w:hAnsi="Times New Roman" w:eastAsia="宋体" w:cs="Times New Roman"/>
              <w:bCs w:val="0"/>
              <w:kern w:val="0"/>
              <w:sz w:val="24"/>
              <w:szCs w:val="32"/>
              <w:lang w:val="zh-CN" w:eastAsia="zh-CN" w:bidi="ar-SA"/>
            </w:rPr>
            <w:t>10</w:t>
          </w:r>
          <w:r>
            <w:rPr>
              <w:rFonts w:ascii="Times New Roman" w:hAnsi="Times New Roman" w:eastAsia="宋体" w:cs="Times New Roman"/>
              <w:bCs w:val="0"/>
              <w:kern w:val="0"/>
              <w:sz w:val="24"/>
              <w:szCs w:val="32"/>
              <w:lang w:val="zh-CN" w:eastAsia="zh-CN" w:bidi="ar-SA"/>
            </w:rPr>
            <w:fldChar w:fldCharType="end"/>
          </w:r>
          <w:r>
            <w:rPr>
              <w:rFonts w:ascii="Times New Roman" w:hAnsi="Times New Roman" w:eastAsia="宋体" w:cs="Times New Roman"/>
              <w:bCs w:val="0"/>
              <w:kern w:val="0"/>
              <w:sz w:val="24"/>
              <w:szCs w:val="32"/>
              <w:lang w:val="zh-CN" w:eastAsia="zh-CN" w:bidi="ar-SA"/>
            </w:rPr>
            <w:fldChar w:fldCharType="end"/>
          </w:r>
        </w:p>
        <w:p w14:paraId="0F6EE145">
          <w:pPr>
            <w:widowControl w:val="0"/>
            <w:tabs>
              <w:tab w:val="right" w:leader="dot" w:pos="8306"/>
            </w:tabs>
            <w:spacing w:line="300" w:lineRule="auto"/>
            <w:ind w:left="420" w:leftChars="200" w:firstLine="0" w:firstLineChars="0"/>
            <w:jc w:val="both"/>
            <w:rPr>
              <w:rFonts w:ascii="Times New Roman" w:hAnsi="Times New Roman" w:eastAsia="宋体" w:cs="Times New Roman"/>
              <w:kern w:val="2"/>
              <w:sz w:val="24"/>
              <w:szCs w:val="22"/>
              <w:lang w:val="en-US" w:eastAsia="zh-CN" w:bidi="ar-SA"/>
            </w:rPr>
          </w:pPr>
          <w:r>
            <w:rPr>
              <w:rFonts w:ascii="Times New Roman" w:hAnsi="Times New Roman" w:eastAsia="宋体" w:cs="Times New Roman"/>
              <w:bCs/>
              <w:color w:val="000000"/>
              <w:kern w:val="2"/>
              <w:sz w:val="24"/>
              <w:szCs w:val="22"/>
              <w:lang w:val="zh-CN" w:eastAsia="zh-CN" w:bidi="ar-SA"/>
            </w:rPr>
            <w:fldChar w:fldCharType="begin"/>
          </w:r>
          <w:r>
            <w:rPr>
              <w:rFonts w:ascii="Times New Roman" w:hAnsi="Times New Roman" w:eastAsia="宋体" w:cs="Times New Roman"/>
              <w:bCs/>
              <w:kern w:val="2"/>
              <w:sz w:val="24"/>
              <w:szCs w:val="22"/>
              <w:lang w:val="zh-CN" w:eastAsia="zh-CN" w:bidi="ar-SA"/>
            </w:rPr>
            <w:instrText xml:space="preserve"> HYPERLINK \l _Toc7641 </w:instrText>
          </w:r>
          <w:r>
            <w:rPr>
              <w:rFonts w:ascii="Times New Roman" w:hAnsi="Times New Roman" w:eastAsia="宋体" w:cs="Times New Roman"/>
              <w:bCs/>
              <w:kern w:val="2"/>
              <w:sz w:val="24"/>
              <w:szCs w:val="22"/>
              <w:lang w:val="zh-CN" w:eastAsia="zh-CN" w:bidi="ar-SA"/>
            </w:rPr>
            <w:fldChar w:fldCharType="separate"/>
          </w:r>
          <w:r>
            <w:rPr>
              <w:rFonts w:hint="eastAsia" w:ascii="Times New Roman" w:hAnsi="Times New Roman" w:eastAsia="宋体" w:cs="Times New Roman"/>
              <w:kern w:val="2"/>
              <w:sz w:val="24"/>
              <w:szCs w:val="22"/>
              <w:lang w:val="en-US" w:eastAsia="zh-CN" w:bidi="ar-SA"/>
            </w:rPr>
            <w:t xml:space="preserve">2.2 </w:t>
          </w:r>
          <w:r>
            <w:rPr>
              <w:rFonts w:ascii="Times New Roman" w:hAnsi="Times New Roman" w:eastAsia="宋体" w:cs="Times New Roman"/>
              <w:kern w:val="2"/>
              <w:sz w:val="24"/>
              <w:szCs w:val="22"/>
              <w:lang w:val="en-US" w:eastAsia="zh-CN" w:bidi="ar-SA"/>
            </w:rPr>
            <w:t>自然环境概况</w:t>
          </w:r>
          <w:r>
            <w:rPr>
              <w:rFonts w:ascii="Times New Roman" w:hAnsi="Times New Roman" w:eastAsia="宋体" w:cs="Times New Roman"/>
              <w:kern w:val="2"/>
              <w:sz w:val="24"/>
              <w:szCs w:val="22"/>
              <w:lang w:val="en-US" w:eastAsia="zh-CN" w:bidi="ar-SA"/>
            </w:rPr>
            <w:tab/>
          </w:r>
          <w:r>
            <w:rPr>
              <w:rFonts w:ascii="Times New Roman" w:hAnsi="Times New Roman" w:eastAsia="宋体" w:cs="Times New Roman"/>
              <w:kern w:val="2"/>
              <w:sz w:val="24"/>
              <w:szCs w:val="22"/>
              <w:lang w:val="en-US" w:eastAsia="zh-CN" w:bidi="ar-SA"/>
            </w:rPr>
            <w:fldChar w:fldCharType="begin"/>
          </w:r>
          <w:r>
            <w:rPr>
              <w:rFonts w:ascii="Times New Roman" w:hAnsi="Times New Roman" w:eastAsia="宋体" w:cs="Times New Roman"/>
              <w:kern w:val="2"/>
              <w:sz w:val="24"/>
              <w:szCs w:val="22"/>
              <w:lang w:val="en-US" w:eastAsia="zh-CN" w:bidi="ar-SA"/>
            </w:rPr>
            <w:instrText xml:space="preserve"> PAGEREF _Toc7641 \h </w:instrText>
          </w:r>
          <w:r>
            <w:rPr>
              <w:rFonts w:ascii="Times New Roman" w:hAnsi="Times New Roman" w:eastAsia="宋体" w:cs="Times New Roman"/>
              <w:kern w:val="2"/>
              <w:sz w:val="24"/>
              <w:szCs w:val="22"/>
              <w:lang w:val="en-US" w:eastAsia="zh-CN" w:bidi="ar-SA"/>
            </w:rPr>
            <w:fldChar w:fldCharType="separate"/>
          </w:r>
          <w:r>
            <w:rPr>
              <w:rFonts w:ascii="Times New Roman" w:hAnsi="Times New Roman" w:eastAsia="宋体" w:cs="Times New Roman"/>
              <w:kern w:val="2"/>
              <w:sz w:val="24"/>
              <w:szCs w:val="22"/>
              <w:lang w:val="en-US" w:eastAsia="zh-CN" w:bidi="ar-SA"/>
            </w:rPr>
            <w:t>11</w:t>
          </w:r>
          <w:r>
            <w:rPr>
              <w:rFonts w:ascii="Times New Roman" w:hAnsi="Times New Roman" w:eastAsia="宋体" w:cs="Times New Roman"/>
              <w:kern w:val="2"/>
              <w:sz w:val="24"/>
              <w:szCs w:val="22"/>
              <w:lang w:val="en-US" w:eastAsia="zh-CN" w:bidi="ar-SA"/>
            </w:rPr>
            <w:fldChar w:fldCharType="end"/>
          </w:r>
          <w:r>
            <w:rPr>
              <w:rFonts w:ascii="Times New Roman" w:hAnsi="Times New Roman" w:eastAsia="宋体" w:cs="Times New Roman"/>
              <w:bCs/>
              <w:color w:val="000000"/>
              <w:kern w:val="2"/>
              <w:sz w:val="24"/>
              <w:szCs w:val="22"/>
              <w:lang w:val="zh-CN" w:eastAsia="zh-CN" w:bidi="ar-SA"/>
            </w:rPr>
            <w:fldChar w:fldCharType="end"/>
          </w:r>
        </w:p>
        <w:p w14:paraId="0ECD79DF">
          <w:pPr>
            <w:widowControl w:val="0"/>
            <w:tabs>
              <w:tab w:val="right" w:leader="dot" w:pos="8306"/>
            </w:tabs>
            <w:spacing w:line="300" w:lineRule="auto"/>
            <w:ind w:left="420" w:leftChars="200" w:firstLine="0" w:firstLineChars="0"/>
            <w:jc w:val="both"/>
            <w:rPr>
              <w:rFonts w:hint="eastAsia" w:ascii="Times New Roman" w:hAnsi="Times New Roman" w:eastAsia="宋体" w:cs="Times New Roman"/>
              <w:kern w:val="2"/>
              <w:sz w:val="24"/>
              <w:szCs w:val="22"/>
              <w:lang w:val="en-US" w:eastAsia="zh-CN" w:bidi="ar-SA"/>
            </w:rPr>
          </w:pPr>
          <w:r>
            <w:rPr>
              <w:rFonts w:hint="eastAsia" w:ascii="Times New Roman" w:hAnsi="Times New Roman" w:eastAsia="宋体" w:cs="Times New Roman"/>
              <w:kern w:val="2"/>
              <w:sz w:val="24"/>
              <w:szCs w:val="22"/>
              <w:lang w:val="zh-CN" w:eastAsia="zh-CN" w:bidi="ar-SA"/>
            </w:rPr>
            <w:fldChar w:fldCharType="begin"/>
          </w:r>
          <w:r>
            <w:rPr>
              <w:rFonts w:hint="eastAsia" w:ascii="Times New Roman" w:hAnsi="Times New Roman" w:eastAsia="宋体" w:cs="Times New Roman"/>
              <w:kern w:val="2"/>
              <w:sz w:val="24"/>
              <w:szCs w:val="22"/>
              <w:lang w:val="zh-CN" w:eastAsia="zh-CN" w:bidi="ar-SA"/>
            </w:rPr>
            <w:instrText xml:space="preserve"> HYPERLINK \l _Toc24530 </w:instrText>
          </w:r>
          <w:r>
            <w:rPr>
              <w:rFonts w:hint="eastAsia" w:ascii="Times New Roman" w:hAnsi="Times New Roman" w:eastAsia="宋体" w:cs="Times New Roman"/>
              <w:kern w:val="2"/>
              <w:sz w:val="24"/>
              <w:szCs w:val="22"/>
              <w:lang w:val="zh-CN" w:eastAsia="zh-CN" w:bidi="ar-SA"/>
            </w:rPr>
            <w:fldChar w:fldCharType="separate"/>
          </w:r>
          <w:r>
            <w:rPr>
              <w:rFonts w:hint="eastAsia" w:ascii="Times New Roman" w:hAnsi="Times New Roman" w:eastAsia="宋体" w:cs="Times New Roman"/>
              <w:kern w:val="2"/>
              <w:sz w:val="24"/>
              <w:szCs w:val="22"/>
              <w:lang w:val="en-US" w:eastAsia="zh-CN" w:bidi="ar-SA"/>
            </w:rPr>
            <w:t>2.3 土地利用现状</w:t>
          </w:r>
          <w:r>
            <w:rPr>
              <w:rFonts w:hint="eastAsia" w:ascii="Times New Roman" w:hAnsi="Times New Roman" w:eastAsia="宋体" w:cs="Times New Roman"/>
              <w:kern w:val="2"/>
              <w:sz w:val="24"/>
              <w:szCs w:val="22"/>
              <w:lang w:val="en-US" w:eastAsia="zh-CN" w:bidi="ar-SA"/>
            </w:rPr>
            <w:tab/>
          </w:r>
          <w:r>
            <w:rPr>
              <w:rFonts w:hint="eastAsia" w:ascii="Times New Roman" w:hAnsi="Times New Roman" w:eastAsia="宋体" w:cs="Times New Roman"/>
              <w:kern w:val="2"/>
              <w:sz w:val="24"/>
              <w:szCs w:val="22"/>
              <w:lang w:val="en-US" w:eastAsia="zh-CN" w:bidi="ar-SA"/>
            </w:rPr>
            <w:fldChar w:fldCharType="begin"/>
          </w:r>
          <w:r>
            <w:rPr>
              <w:rFonts w:hint="eastAsia" w:ascii="Times New Roman" w:hAnsi="Times New Roman" w:eastAsia="宋体" w:cs="Times New Roman"/>
              <w:kern w:val="2"/>
              <w:sz w:val="24"/>
              <w:szCs w:val="22"/>
              <w:lang w:val="en-US" w:eastAsia="zh-CN" w:bidi="ar-SA"/>
            </w:rPr>
            <w:instrText xml:space="preserve"> PAGEREF _Toc24530 \h </w:instrText>
          </w:r>
          <w:r>
            <w:rPr>
              <w:rFonts w:hint="eastAsia" w:ascii="Times New Roman" w:hAnsi="Times New Roman" w:eastAsia="宋体" w:cs="Times New Roman"/>
              <w:kern w:val="2"/>
              <w:sz w:val="24"/>
              <w:szCs w:val="22"/>
              <w:lang w:val="en-US" w:eastAsia="zh-CN" w:bidi="ar-SA"/>
            </w:rPr>
            <w:fldChar w:fldCharType="separate"/>
          </w:r>
          <w:r>
            <w:rPr>
              <w:rFonts w:hint="eastAsia" w:ascii="Times New Roman" w:hAnsi="Times New Roman" w:eastAsia="宋体" w:cs="Times New Roman"/>
              <w:kern w:val="2"/>
              <w:sz w:val="24"/>
              <w:szCs w:val="22"/>
              <w:lang w:val="en-US" w:eastAsia="zh-CN" w:bidi="ar-SA"/>
            </w:rPr>
            <w:t>12</w:t>
          </w:r>
          <w:r>
            <w:rPr>
              <w:rFonts w:hint="eastAsia" w:ascii="Times New Roman" w:hAnsi="Times New Roman" w:eastAsia="宋体" w:cs="Times New Roman"/>
              <w:kern w:val="2"/>
              <w:sz w:val="24"/>
              <w:szCs w:val="22"/>
              <w:lang w:val="en-US" w:eastAsia="zh-CN" w:bidi="ar-SA"/>
            </w:rPr>
            <w:fldChar w:fldCharType="end"/>
          </w:r>
          <w:r>
            <w:rPr>
              <w:rFonts w:hint="eastAsia" w:ascii="Times New Roman" w:hAnsi="Times New Roman" w:eastAsia="宋体" w:cs="Times New Roman"/>
              <w:kern w:val="2"/>
              <w:sz w:val="24"/>
              <w:szCs w:val="22"/>
              <w:lang w:val="zh-CN" w:eastAsia="zh-CN" w:bidi="ar-SA"/>
            </w:rPr>
            <w:fldChar w:fldCharType="end"/>
          </w:r>
        </w:p>
        <w:p w14:paraId="690E4277">
          <w:pPr>
            <w:widowControl w:val="0"/>
            <w:tabs>
              <w:tab w:val="right" w:leader="dot" w:pos="8306"/>
            </w:tabs>
            <w:spacing w:line="300" w:lineRule="auto"/>
            <w:ind w:left="420" w:leftChars="200" w:firstLine="0" w:firstLineChars="0"/>
            <w:jc w:val="both"/>
            <w:rPr>
              <w:rFonts w:hint="eastAsia" w:ascii="Times New Roman" w:hAnsi="Times New Roman" w:eastAsia="宋体" w:cs="Times New Roman"/>
              <w:kern w:val="2"/>
              <w:sz w:val="24"/>
              <w:szCs w:val="22"/>
              <w:lang w:val="en-US" w:eastAsia="zh-CN" w:bidi="ar-SA"/>
            </w:rPr>
          </w:pPr>
          <w:r>
            <w:rPr>
              <w:rFonts w:hint="eastAsia" w:ascii="Times New Roman" w:hAnsi="Times New Roman" w:eastAsia="宋体" w:cs="Times New Roman"/>
              <w:kern w:val="2"/>
              <w:sz w:val="24"/>
              <w:szCs w:val="22"/>
              <w:lang w:val="zh-CN" w:eastAsia="zh-CN" w:bidi="ar-SA"/>
            </w:rPr>
            <w:fldChar w:fldCharType="begin"/>
          </w:r>
          <w:r>
            <w:rPr>
              <w:rFonts w:hint="eastAsia" w:ascii="Times New Roman" w:hAnsi="Times New Roman" w:eastAsia="宋体" w:cs="Times New Roman"/>
              <w:kern w:val="2"/>
              <w:sz w:val="24"/>
              <w:szCs w:val="22"/>
              <w:lang w:val="zh-CN" w:eastAsia="zh-CN" w:bidi="ar-SA"/>
            </w:rPr>
            <w:instrText xml:space="preserve"> HYPERLINK \l _Toc4464 </w:instrText>
          </w:r>
          <w:r>
            <w:rPr>
              <w:rFonts w:hint="eastAsia" w:ascii="Times New Roman" w:hAnsi="Times New Roman" w:eastAsia="宋体" w:cs="Times New Roman"/>
              <w:kern w:val="2"/>
              <w:sz w:val="24"/>
              <w:szCs w:val="22"/>
              <w:lang w:val="zh-CN" w:eastAsia="zh-CN" w:bidi="ar-SA"/>
            </w:rPr>
            <w:fldChar w:fldCharType="separate"/>
          </w:r>
          <w:r>
            <w:rPr>
              <w:rFonts w:hint="eastAsia" w:ascii="Times New Roman" w:hAnsi="Times New Roman" w:eastAsia="宋体" w:cs="Times New Roman"/>
              <w:kern w:val="2"/>
              <w:sz w:val="24"/>
              <w:szCs w:val="22"/>
              <w:lang w:val="en-US" w:eastAsia="zh-CN" w:bidi="ar-SA"/>
            </w:rPr>
            <w:t>2.4 生态系统现状</w:t>
          </w:r>
          <w:r>
            <w:rPr>
              <w:rFonts w:hint="eastAsia" w:ascii="Times New Roman" w:hAnsi="Times New Roman" w:eastAsia="宋体" w:cs="Times New Roman"/>
              <w:kern w:val="2"/>
              <w:sz w:val="24"/>
              <w:szCs w:val="22"/>
              <w:lang w:val="en-US" w:eastAsia="zh-CN" w:bidi="ar-SA"/>
            </w:rPr>
            <w:tab/>
          </w:r>
          <w:r>
            <w:rPr>
              <w:rFonts w:hint="eastAsia" w:ascii="Times New Roman" w:hAnsi="Times New Roman" w:eastAsia="宋体" w:cs="Times New Roman"/>
              <w:kern w:val="2"/>
              <w:sz w:val="24"/>
              <w:szCs w:val="22"/>
              <w:lang w:val="en-US" w:eastAsia="zh-CN" w:bidi="ar-SA"/>
            </w:rPr>
            <w:fldChar w:fldCharType="begin"/>
          </w:r>
          <w:r>
            <w:rPr>
              <w:rFonts w:hint="eastAsia" w:ascii="Times New Roman" w:hAnsi="Times New Roman" w:eastAsia="宋体" w:cs="Times New Roman"/>
              <w:kern w:val="2"/>
              <w:sz w:val="24"/>
              <w:szCs w:val="22"/>
              <w:lang w:val="en-US" w:eastAsia="zh-CN" w:bidi="ar-SA"/>
            </w:rPr>
            <w:instrText xml:space="preserve"> PAGEREF _Toc4464 \h </w:instrText>
          </w:r>
          <w:r>
            <w:rPr>
              <w:rFonts w:hint="eastAsia" w:ascii="Times New Roman" w:hAnsi="Times New Roman" w:eastAsia="宋体" w:cs="Times New Roman"/>
              <w:kern w:val="2"/>
              <w:sz w:val="24"/>
              <w:szCs w:val="22"/>
              <w:lang w:val="en-US" w:eastAsia="zh-CN" w:bidi="ar-SA"/>
            </w:rPr>
            <w:fldChar w:fldCharType="separate"/>
          </w:r>
          <w:r>
            <w:rPr>
              <w:rFonts w:hint="eastAsia" w:ascii="Times New Roman" w:hAnsi="Times New Roman" w:eastAsia="宋体" w:cs="Times New Roman"/>
              <w:kern w:val="2"/>
              <w:sz w:val="24"/>
              <w:szCs w:val="22"/>
              <w:lang w:val="en-US" w:eastAsia="zh-CN" w:bidi="ar-SA"/>
            </w:rPr>
            <w:t>13</w:t>
          </w:r>
          <w:r>
            <w:rPr>
              <w:rFonts w:hint="eastAsia" w:ascii="Times New Roman" w:hAnsi="Times New Roman" w:eastAsia="宋体" w:cs="Times New Roman"/>
              <w:kern w:val="2"/>
              <w:sz w:val="24"/>
              <w:szCs w:val="22"/>
              <w:lang w:val="en-US" w:eastAsia="zh-CN" w:bidi="ar-SA"/>
            </w:rPr>
            <w:fldChar w:fldCharType="end"/>
          </w:r>
          <w:r>
            <w:rPr>
              <w:rFonts w:hint="eastAsia" w:ascii="Times New Roman" w:hAnsi="Times New Roman" w:eastAsia="宋体" w:cs="Times New Roman"/>
              <w:kern w:val="2"/>
              <w:sz w:val="24"/>
              <w:szCs w:val="22"/>
              <w:lang w:val="zh-CN" w:eastAsia="zh-CN" w:bidi="ar-SA"/>
            </w:rPr>
            <w:fldChar w:fldCharType="end"/>
          </w:r>
        </w:p>
        <w:p w14:paraId="0E58DA84">
          <w:pPr>
            <w:widowControl w:val="0"/>
            <w:tabs>
              <w:tab w:val="right" w:leader="dot" w:pos="8306"/>
            </w:tabs>
            <w:spacing w:line="300" w:lineRule="auto"/>
            <w:ind w:left="420" w:leftChars="200" w:firstLine="0" w:firstLineChars="0"/>
            <w:jc w:val="both"/>
            <w:rPr>
              <w:rFonts w:hint="eastAsia" w:ascii="Times New Roman" w:hAnsi="Times New Roman" w:eastAsia="宋体" w:cs="Times New Roman"/>
              <w:kern w:val="2"/>
              <w:sz w:val="24"/>
              <w:szCs w:val="22"/>
              <w:lang w:val="en-US" w:eastAsia="zh-CN" w:bidi="ar-SA"/>
            </w:rPr>
          </w:pPr>
          <w:r>
            <w:rPr>
              <w:rFonts w:hint="eastAsia" w:ascii="Times New Roman" w:hAnsi="Times New Roman" w:eastAsia="宋体" w:cs="Times New Roman"/>
              <w:kern w:val="2"/>
              <w:sz w:val="24"/>
              <w:szCs w:val="22"/>
              <w:lang w:val="zh-CN" w:eastAsia="zh-CN" w:bidi="ar-SA"/>
            </w:rPr>
            <w:fldChar w:fldCharType="begin"/>
          </w:r>
          <w:r>
            <w:rPr>
              <w:rFonts w:hint="eastAsia" w:ascii="Times New Roman" w:hAnsi="Times New Roman" w:eastAsia="宋体" w:cs="Times New Roman"/>
              <w:kern w:val="2"/>
              <w:sz w:val="24"/>
              <w:szCs w:val="22"/>
              <w:lang w:val="zh-CN" w:eastAsia="zh-CN" w:bidi="ar-SA"/>
            </w:rPr>
            <w:instrText xml:space="preserve"> HYPERLINK \l _Toc18536 </w:instrText>
          </w:r>
          <w:r>
            <w:rPr>
              <w:rFonts w:hint="eastAsia" w:ascii="Times New Roman" w:hAnsi="Times New Roman" w:eastAsia="宋体" w:cs="Times New Roman"/>
              <w:kern w:val="2"/>
              <w:sz w:val="24"/>
              <w:szCs w:val="22"/>
              <w:lang w:val="zh-CN" w:eastAsia="zh-CN" w:bidi="ar-SA"/>
            </w:rPr>
            <w:fldChar w:fldCharType="separate"/>
          </w:r>
          <w:r>
            <w:rPr>
              <w:rFonts w:hint="eastAsia" w:ascii="Times New Roman" w:hAnsi="Times New Roman" w:eastAsia="宋体" w:cs="Times New Roman"/>
              <w:kern w:val="2"/>
              <w:sz w:val="24"/>
              <w:szCs w:val="22"/>
              <w:lang w:val="en-US" w:eastAsia="zh-CN" w:bidi="ar-SA"/>
            </w:rPr>
            <w:t>2.5 陆生植物现状</w:t>
          </w:r>
          <w:r>
            <w:rPr>
              <w:rFonts w:hint="eastAsia" w:ascii="Times New Roman" w:hAnsi="Times New Roman" w:eastAsia="宋体" w:cs="Times New Roman"/>
              <w:kern w:val="2"/>
              <w:sz w:val="24"/>
              <w:szCs w:val="22"/>
              <w:lang w:val="en-US" w:eastAsia="zh-CN" w:bidi="ar-SA"/>
            </w:rPr>
            <w:tab/>
          </w:r>
          <w:r>
            <w:rPr>
              <w:rFonts w:hint="eastAsia" w:ascii="Times New Roman" w:hAnsi="Times New Roman" w:eastAsia="宋体" w:cs="Times New Roman"/>
              <w:kern w:val="2"/>
              <w:sz w:val="24"/>
              <w:szCs w:val="22"/>
              <w:lang w:val="en-US" w:eastAsia="zh-CN" w:bidi="ar-SA"/>
            </w:rPr>
            <w:fldChar w:fldCharType="begin"/>
          </w:r>
          <w:r>
            <w:rPr>
              <w:rFonts w:hint="eastAsia" w:ascii="Times New Roman" w:hAnsi="Times New Roman" w:eastAsia="宋体" w:cs="Times New Roman"/>
              <w:kern w:val="2"/>
              <w:sz w:val="24"/>
              <w:szCs w:val="22"/>
              <w:lang w:val="en-US" w:eastAsia="zh-CN" w:bidi="ar-SA"/>
            </w:rPr>
            <w:instrText xml:space="preserve"> PAGEREF _Toc18536 \h </w:instrText>
          </w:r>
          <w:r>
            <w:rPr>
              <w:rFonts w:hint="eastAsia" w:ascii="Times New Roman" w:hAnsi="Times New Roman" w:eastAsia="宋体" w:cs="Times New Roman"/>
              <w:kern w:val="2"/>
              <w:sz w:val="24"/>
              <w:szCs w:val="22"/>
              <w:lang w:val="en-US" w:eastAsia="zh-CN" w:bidi="ar-SA"/>
            </w:rPr>
            <w:fldChar w:fldCharType="separate"/>
          </w:r>
          <w:r>
            <w:rPr>
              <w:rFonts w:hint="eastAsia" w:ascii="Times New Roman" w:hAnsi="Times New Roman" w:eastAsia="宋体" w:cs="Times New Roman"/>
              <w:kern w:val="2"/>
              <w:sz w:val="24"/>
              <w:szCs w:val="22"/>
              <w:lang w:val="en-US" w:eastAsia="zh-CN" w:bidi="ar-SA"/>
            </w:rPr>
            <w:t>15</w:t>
          </w:r>
          <w:r>
            <w:rPr>
              <w:rFonts w:hint="eastAsia" w:ascii="Times New Roman" w:hAnsi="Times New Roman" w:eastAsia="宋体" w:cs="Times New Roman"/>
              <w:kern w:val="2"/>
              <w:sz w:val="24"/>
              <w:szCs w:val="22"/>
              <w:lang w:val="en-US" w:eastAsia="zh-CN" w:bidi="ar-SA"/>
            </w:rPr>
            <w:fldChar w:fldCharType="end"/>
          </w:r>
          <w:r>
            <w:rPr>
              <w:rFonts w:hint="eastAsia" w:ascii="Times New Roman" w:hAnsi="Times New Roman" w:eastAsia="宋体" w:cs="Times New Roman"/>
              <w:kern w:val="2"/>
              <w:sz w:val="24"/>
              <w:szCs w:val="22"/>
              <w:lang w:val="zh-CN" w:eastAsia="zh-CN" w:bidi="ar-SA"/>
            </w:rPr>
            <w:fldChar w:fldCharType="end"/>
          </w:r>
        </w:p>
        <w:p w14:paraId="4B66C62B">
          <w:pPr>
            <w:widowControl w:val="0"/>
            <w:tabs>
              <w:tab w:val="right" w:leader="dot" w:pos="8306"/>
            </w:tabs>
            <w:spacing w:line="300" w:lineRule="auto"/>
            <w:ind w:left="420" w:leftChars="200" w:firstLine="0" w:firstLineChars="0"/>
            <w:jc w:val="both"/>
            <w:rPr>
              <w:rFonts w:hint="eastAsia" w:ascii="Times New Roman" w:hAnsi="Times New Roman" w:eastAsia="宋体" w:cs="Times New Roman"/>
              <w:kern w:val="2"/>
              <w:sz w:val="24"/>
              <w:szCs w:val="22"/>
              <w:lang w:val="en-US" w:eastAsia="zh-CN" w:bidi="ar-SA"/>
            </w:rPr>
          </w:pPr>
          <w:r>
            <w:rPr>
              <w:rFonts w:hint="eastAsia" w:ascii="Times New Roman" w:hAnsi="Times New Roman" w:eastAsia="宋体" w:cs="Times New Roman"/>
              <w:kern w:val="2"/>
              <w:sz w:val="24"/>
              <w:szCs w:val="22"/>
              <w:lang w:val="zh-CN" w:eastAsia="zh-CN" w:bidi="ar-SA"/>
            </w:rPr>
            <w:fldChar w:fldCharType="begin"/>
          </w:r>
          <w:r>
            <w:rPr>
              <w:rFonts w:hint="eastAsia" w:ascii="Times New Roman" w:hAnsi="Times New Roman" w:eastAsia="宋体" w:cs="Times New Roman"/>
              <w:kern w:val="2"/>
              <w:sz w:val="24"/>
              <w:szCs w:val="22"/>
              <w:lang w:val="zh-CN" w:eastAsia="zh-CN" w:bidi="ar-SA"/>
            </w:rPr>
            <w:instrText xml:space="preserve"> HYPERLINK \l _Toc26808 </w:instrText>
          </w:r>
          <w:r>
            <w:rPr>
              <w:rFonts w:hint="eastAsia" w:ascii="Times New Roman" w:hAnsi="Times New Roman" w:eastAsia="宋体" w:cs="Times New Roman"/>
              <w:kern w:val="2"/>
              <w:sz w:val="24"/>
              <w:szCs w:val="22"/>
              <w:lang w:val="zh-CN" w:eastAsia="zh-CN" w:bidi="ar-SA"/>
            </w:rPr>
            <w:fldChar w:fldCharType="separate"/>
          </w:r>
          <w:r>
            <w:rPr>
              <w:rFonts w:hint="eastAsia" w:ascii="Times New Roman" w:hAnsi="Times New Roman" w:eastAsia="宋体" w:cs="Times New Roman"/>
              <w:kern w:val="2"/>
              <w:sz w:val="24"/>
              <w:szCs w:val="22"/>
              <w:lang w:val="en-US" w:eastAsia="zh-CN" w:bidi="ar-SA"/>
            </w:rPr>
            <w:t>2.6 陆生动物现状</w:t>
          </w:r>
          <w:r>
            <w:rPr>
              <w:rFonts w:hint="eastAsia" w:ascii="Times New Roman" w:hAnsi="Times New Roman" w:eastAsia="宋体" w:cs="Times New Roman"/>
              <w:kern w:val="2"/>
              <w:sz w:val="24"/>
              <w:szCs w:val="22"/>
              <w:lang w:val="en-US" w:eastAsia="zh-CN" w:bidi="ar-SA"/>
            </w:rPr>
            <w:tab/>
          </w:r>
          <w:r>
            <w:rPr>
              <w:rFonts w:hint="eastAsia" w:ascii="Times New Roman" w:hAnsi="Times New Roman" w:eastAsia="宋体" w:cs="Times New Roman"/>
              <w:kern w:val="2"/>
              <w:sz w:val="24"/>
              <w:szCs w:val="22"/>
              <w:lang w:val="en-US" w:eastAsia="zh-CN" w:bidi="ar-SA"/>
            </w:rPr>
            <w:fldChar w:fldCharType="begin"/>
          </w:r>
          <w:r>
            <w:rPr>
              <w:rFonts w:hint="eastAsia" w:ascii="Times New Roman" w:hAnsi="Times New Roman" w:eastAsia="宋体" w:cs="Times New Roman"/>
              <w:kern w:val="2"/>
              <w:sz w:val="24"/>
              <w:szCs w:val="22"/>
              <w:lang w:val="en-US" w:eastAsia="zh-CN" w:bidi="ar-SA"/>
            </w:rPr>
            <w:instrText xml:space="preserve"> PAGEREF _Toc26808 \h </w:instrText>
          </w:r>
          <w:r>
            <w:rPr>
              <w:rFonts w:hint="eastAsia" w:ascii="Times New Roman" w:hAnsi="Times New Roman" w:eastAsia="宋体" w:cs="Times New Roman"/>
              <w:kern w:val="2"/>
              <w:sz w:val="24"/>
              <w:szCs w:val="22"/>
              <w:lang w:val="en-US" w:eastAsia="zh-CN" w:bidi="ar-SA"/>
            </w:rPr>
            <w:fldChar w:fldCharType="separate"/>
          </w:r>
          <w:r>
            <w:rPr>
              <w:rFonts w:hint="eastAsia" w:ascii="Times New Roman" w:hAnsi="Times New Roman" w:eastAsia="宋体" w:cs="Times New Roman"/>
              <w:kern w:val="2"/>
              <w:sz w:val="24"/>
              <w:szCs w:val="22"/>
              <w:lang w:val="en-US" w:eastAsia="zh-CN" w:bidi="ar-SA"/>
            </w:rPr>
            <w:t>17</w:t>
          </w:r>
          <w:r>
            <w:rPr>
              <w:rFonts w:hint="eastAsia" w:ascii="Times New Roman" w:hAnsi="Times New Roman" w:eastAsia="宋体" w:cs="Times New Roman"/>
              <w:kern w:val="2"/>
              <w:sz w:val="24"/>
              <w:szCs w:val="22"/>
              <w:lang w:val="en-US" w:eastAsia="zh-CN" w:bidi="ar-SA"/>
            </w:rPr>
            <w:fldChar w:fldCharType="end"/>
          </w:r>
          <w:r>
            <w:rPr>
              <w:rFonts w:hint="eastAsia" w:ascii="Times New Roman" w:hAnsi="Times New Roman" w:eastAsia="宋体" w:cs="Times New Roman"/>
              <w:kern w:val="2"/>
              <w:sz w:val="24"/>
              <w:szCs w:val="22"/>
              <w:lang w:val="zh-CN" w:eastAsia="zh-CN" w:bidi="ar-SA"/>
            </w:rPr>
            <w:fldChar w:fldCharType="end"/>
          </w:r>
        </w:p>
        <w:p w14:paraId="1AC79B23">
          <w:pPr>
            <w:widowControl w:val="0"/>
            <w:tabs>
              <w:tab w:val="right" w:leader="dot" w:pos="8306"/>
            </w:tabs>
            <w:spacing w:line="300" w:lineRule="auto"/>
            <w:ind w:left="420" w:leftChars="200" w:firstLine="0" w:firstLineChars="0"/>
            <w:jc w:val="both"/>
            <w:rPr>
              <w:rFonts w:hint="eastAsia" w:ascii="Times New Roman" w:hAnsi="Times New Roman" w:eastAsia="宋体" w:cs="Times New Roman"/>
              <w:kern w:val="2"/>
              <w:sz w:val="24"/>
              <w:szCs w:val="22"/>
              <w:lang w:val="en-US" w:eastAsia="zh-CN" w:bidi="ar-SA"/>
            </w:rPr>
          </w:pPr>
          <w:r>
            <w:rPr>
              <w:rFonts w:hint="eastAsia" w:ascii="Times New Roman" w:hAnsi="Times New Roman" w:eastAsia="宋体" w:cs="Times New Roman"/>
              <w:kern w:val="2"/>
              <w:sz w:val="24"/>
              <w:szCs w:val="22"/>
              <w:lang w:val="zh-CN" w:eastAsia="zh-CN" w:bidi="ar-SA"/>
            </w:rPr>
            <w:fldChar w:fldCharType="begin"/>
          </w:r>
          <w:r>
            <w:rPr>
              <w:rFonts w:hint="eastAsia" w:ascii="Times New Roman" w:hAnsi="Times New Roman" w:eastAsia="宋体" w:cs="Times New Roman"/>
              <w:kern w:val="2"/>
              <w:sz w:val="24"/>
              <w:szCs w:val="22"/>
              <w:lang w:val="zh-CN" w:eastAsia="zh-CN" w:bidi="ar-SA"/>
            </w:rPr>
            <w:instrText xml:space="preserve"> HYPERLINK \l _Toc32269 </w:instrText>
          </w:r>
          <w:r>
            <w:rPr>
              <w:rFonts w:hint="eastAsia" w:ascii="Times New Roman" w:hAnsi="Times New Roman" w:eastAsia="宋体" w:cs="Times New Roman"/>
              <w:kern w:val="2"/>
              <w:sz w:val="24"/>
              <w:szCs w:val="22"/>
              <w:lang w:val="zh-CN" w:eastAsia="zh-CN" w:bidi="ar-SA"/>
            </w:rPr>
            <w:fldChar w:fldCharType="separate"/>
          </w:r>
          <w:r>
            <w:rPr>
              <w:rFonts w:hint="eastAsia" w:ascii="Times New Roman" w:hAnsi="Times New Roman" w:eastAsia="宋体" w:cs="Times New Roman"/>
              <w:kern w:val="2"/>
              <w:sz w:val="24"/>
              <w:szCs w:val="22"/>
              <w:lang w:val="en-US" w:eastAsia="zh-CN" w:bidi="ar-SA"/>
            </w:rPr>
            <w:t>2.7 水生生物现状</w:t>
          </w:r>
          <w:r>
            <w:rPr>
              <w:rFonts w:hint="eastAsia" w:ascii="Times New Roman" w:hAnsi="Times New Roman" w:eastAsia="宋体" w:cs="Times New Roman"/>
              <w:kern w:val="2"/>
              <w:sz w:val="24"/>
              <w:szCs w:val="22"/>
              <w:lang w:val="en-US" w:eastAsia="zh-CN" w:bidi="ar-SA"/>
            </w:rPr>
            <w:tab/>
          </w:r>
          <w:r>
            <w:rPr>
              <w:rFonts w:hint="eastAsia" w:ascii="Times New Roman" w:hAnsi="Times New Roman" w:eastAsia="宋体" w:cs="Times New Roman"/>
              <w:kern w:val="2"/>
              <w:sz w:val="24"/>
              <w:szCs w:val="22"/>
              <w:lang w:val="en-US" w:eastAsia="zh-CN" w:bidi="ar-SA"/>
            </w:rPr>
            <w:fldChar w:fldCharType="begin"/>
          </w:r>
          <w:r>
            <w:rPr>
              <w:rFonts w:hint="eastAsia" w:ascii="Times New Roman" w:hAnsi="Times New Roman" w:eastAsia="宋体" w:cs="Times New Roman"/>
              <w:kern w:val="2"/>
              <w:sz w:val="24"/>
              <w:szCs w:val="22"/>
              <w:lang w:val="en-US" w:eastAsia="zh-CN" w:bidi="ar-SA"/>
            </w:rPr>
            <w:instrText xml:space="preserve"> PAGEREF _Toc32269 \h </w:instrText>
          </w:r>
          <w:r>
            <w:rPr>
              <w:rFonts w:hint="eastAsia" w:ascii="Times New Roman" w:hAnsi="Times New Roman" w:eastAsia="宋体" w:cs="Times New Roman"/>
              <w:kern w:val="2"/>
              <w:sz w:val="24"/>
              <w:szCs w:val="22"/>
              <w:lang w:val="en-US" w:eastAsia="zh-CN" w:bidi="ar-SA"/>
            </w:rPr>
            <w:fldChar w:fldCharType="separate"/>
          </w:r>
          <w:r>
            <w:rPr>
              <w:rFonts w:hint="eastAsia" w:ascii="Times New Roman" w:hAnsi="Times New Roman" w:eastAsia="宋体" w:cs="Times New Roman"/>
              <w:kern w:val="2"/>
              <w:sz w:val="24"/>
              <w:szCs w:val="22"/>
              <w:lang w:val="en-US" w:eastAsia="zh-CN" w:bidi="ar-SA"/>
            </w:rPr>
            <w:t>18</w:t>
          </w:r>
          <w:r>
            <w:rPr>
              <w:rFonts w:hint="eastAsia" w:ascii="Times New Roman" w:hAnsi="Times New Roman" w:eastAsia="宋体" w:cs="Times New Roman"/>
              <w:kern w:val="2"/>
              <w:sz w:val="24"/>
              <w:szCs w:val="22"/>
              <w:lang w:val="en-US" w:eastAsia="zh-CN" w:bidi="ar-SA"/>
            </w:rPr>
            <w:fldChar w:fldCharType="end"/>
          </w:r>
          <w:r>
            <w:rPr>
              <w:rFonts w:hint="eastAsia" w:ascii="Times New Roman" w:hAnsi="Times New Roman" w:eastAsia="宋体" w:cs="Times New Roman"/>
              <w:kern w:val="2"/>
              <w:sz w:val="24"/>
              <w:szCs w:val="22"/>
              <w:lang w:val="zh-CN" w:eastAsia="zh-CN" w:bidi="ar-SA"/>
            </w:rPr>
            <w:fldChar w:fldCharType="end"/>
          </w:r>
        </w:p>
        <w:p w14:paraId="0A8A2C3F">
          <w:pPr>
            <w:widowControl w:val="0"/>
            <w:tabs>
              <w:tab w:val="right" w:leader="dot" w:pos="8306"/>
            </w:tabs>
            <w:spacing w:line="300" w:lineRule="auto"/>
            <w:ind w:left="420" w:leftChars="200" w:firstLine="0" w:firstLineChars="0"/>
            <w:jc w:val="both"/>
            <w:rPr>
              <w:rFonts w:ascii="Times New Roman" w:hAnsi="Times New Roman" w:eastAsia="宋体" w:cs="Times New Roman"/>
              <w:kern w:val="2"/>
              <w:sz w:val="24"/>
              <w:szCs w:val="22"/>
              <w:lang w:val="en-US" w:eastAsia="zh-CN" w:bidi="ar-SA"/>
            </w:rPr>
          </w:pPr>
          <w:r>
            <w:rPr>
              <w:rFonts w:hint="eastAsia" w:ascii="Times New Roman" w:hAnsi="Times New Roman" w:eastAsia="宋体" w:cs="Times New Roman"/>
              <w:kern w:val="2"/>
              <w:sz w:val="24"/>
              <w:szCs w:val="22"/>
              <w:lang w:val="zh-CN" w:eastAsia="zh-CN" w:bidi="ar-SA"/>
            </w:rPr>
            <w:fldChar w:fldCharType="begin"/>
          </w:r>
          <w:r>
            <w:rPr>
              <w:rFonts w:hint="eastAsia" w:ascii="Times New Roman" w:hAnsi="Times New Roman" w:eastAsia="宋体" w:cs="Times New Roman"/>
              <w:kern w:val="2"/>
              <w:sz w:val="24"/>
              <w:szCs w:val="22"/>
              <w:lang w:val="zh-CN" w:eastAsia="zh-CN" w:bidi="ar-SA"/>
            </w:rPr>
            <w:instrText xml:space="preserve"> HYPERLINK \l _Toc18798 </w:instrText>
          </w:r>
          <w:r>
            <w:rPr>
              <w:rFonts w:hint="eastAsia" w:ascii="Times New Roman" w:hAnsi="Times New Roman" w:eastAsia="宋体" w:cs="Times New Roman"/>
              <w:kern w:val="2"/>
              <w:sz w:val="24"/>
              <w:szCs w:val="22"/>
              <w:lang w:val="zh-CN" w:eastAsia="zh-CN" w:bidi="ar-SA"/>
            </w:rPr>
            <w:fldChar w:fldCharType="separate"/>
          </w:r>
          <w:r>
            <w:rPr>
              <w:rFonts w:hint="eastAsia" w:ascii="Times New Roman" w:hAnsi="Times New Roman" w:eastAsia="宋体" w:cs="Times New Roman"/>
              <w:kern w:val="2"/>
              <w:sz w:val="24"/>
              <w:szCs w:val="22"/>
              <w:lang w:val="en-US" w:eastAsia="zh-CN" w:bidi="ar-SA"/>
            </w:rPr>
            <w:t>2.8 新疆生态功能区划</w:t>
          </w:r>
          <w:r>
            <w:rPr>
              <w:rFonts w:hint="eastAsia" w:ascii="Times New Roman" w:hAnsi="Times New Roman" w:eastAsia="宋体" w:cs="Times New Roman"/>
              <w:kern w:val="2"/>
              <w:sz w:val="24"/>
              <w:szCs w:val="22"/>
              <w:lang w:val="en-US" w:eastAsia="zh-CN" w:bidi="ar-SA"/>
            </w:rPr>
            <w:tab/>
          </w:r>
          <w:r>
            <w:rPr>
              <w:rFonts w:hint="eastAsia" w:ascii="Times New Roman" w:hAnsi="Times New Roman" w:eastAsia="宋体" w:cs="Times New Roman"/>
              <w:kern w:val="2"/>
              <w:sz w:val="24"/>
              <w:szCs w:val="22"/>
              <w:lang w:val="en-US" w:eastAsia="zh-CN" w:bidi="ar-SA"/>
            </w:rPr>
            <w:fldChar w:fldCharType="begin"/>
          </w:r>
          <w:r>
            <w:rPr>
              <w:rFonts w:hint="eastAsia" w:ascii="Times New Roman" w:hAnsi="Times New Roman" w:eastAsia="宋体" w:cs="Times New Roman"/>
              <w:kern w:val="2"/>
              <w:sz w:val="24"/>
              <w:szCs w:val="22"/>
              <w:lang w:val="en-US" w:eastAsia="zh-CN" w:bidi="ar-SA"/>
            </w:rPr>
            <w:instrText xml:space="preserve"> PAGEREF _Toc18798 \h </w:instrText>
          </w:r>
          <w:r>
            <w:rPr>
              <w:rFonts w:hint="eastAsia" w:ascii="Times New Roman" w:hAnsi="Times New Roman" w:eastAsia="宋体" w:cs="Times New Roman"/>
              <w:kern w:val="2"/>
              <w:sz w:val="24"/>
              <w:szCs w:val="22"/>
              <w:lang w:val="en-US" w:eastAsia="zh-CN" w:bidi="ar-SA"/>
            </w:rPr>
            <w:fldChar w:fldCharType="separate"/>
          </w:r>
          <w:r>
            <w:rPr>
              <w:rFonts w:hint="eastAsia" w:ascii="Times New Roman" w:hAnsi="Times New Roman" w:eastAsia="宋体" w:cs="Times New Roman"/>
              <w:kern w:val="2"/>
              <w:sz w:val="24"/>
              <w:szCs w:val="22"/>
              <w:lang w:val="en-US" w:eastAsia="zh-CN" w:bidi="ar-SA"/>
            </w:rPr>
            <w:t>19</w:t>
          </w:r>
          <w:r>
            <w:rPr>
              <w:rFonts w:hint="eastAsia" w:ascii="Times New Roman" w:hAnsi="Times New Roman" w:eastAsia="宋体" w:cs="Times New Roman"/>
              <w:kern w:val="2"/>
              <w:sz w:val="24"/>
              <w:szCs w:val="22"/>
              <w:lang w:val="en-US" w:eastAsia="zh-CN" w:bidi="ar-SA"/>
            </w:rPr>
            <w:fldChar w:fldCharType="end"/>
          </w:r>
          <w:r>
            <w:rPr>
              <w:rFonts w:hint="eastAsia" w:ascii="Times New Roman" w:hAnsi="Times New Roman" w:eastAsia="宋体" w:cs="Times New Roman"/>
              <w:kern w:val="2"/>
              <w:sz w:val="24"/>
              <w:szCs w:val="22"/>
              <w:lang w:val="zh-CN" w:eastAsia="zh-CN" w:bidi="ar-SA"/>
            </w:rPr>
            <w:fldChar w:fldCharType="end"/>
          </w:r>
        </w:p>
        <w:p w14:paraId="6FE14457">
          <w:pPr>
            <w:widowControl w:val="0"/>
            <w:tabs>
              <w:tab w:val="right" w:leader="dot" w:pos="8306"/>
            </w:tabs>
            <w:spacing w:line="300" w:lineRule="auto"/>
            <w:ind w:left="420" w:leftChars="200" w:firstLine="0" w:firstLineChars="0"/>
            <w:jc w:val="both"/>
            <w:rPr>
              <w:rFonts w:hint="eastAsia" w:ascii="Times New Roman" w:hAnsi="Times New Roman" w:eastAsia="宋体" w:cs="Times New Roman"/>
              <w:kern w:val="2"/>
              <w:sz w:val="24"/>
              <w:szCs w:val="22"/>
              <w:lang w:val="zh-CN" w:eastAsia="zh-CN" w:bidi="ar-SA"/>
            </w:rPr>
          </w:pPr>
          <w:r>
            <w:rPr>
              <w:rFonts w:hint="eastAsia" w:ascii="Times New Roman" w:hAnsi="Times New Roman" w:eastAsia="宋体" w:cs="Times New Roman"/>
              <w:kern w:val="2"/>
              <w:sz w:val="24"/>
              <w:szCs w:val="22"/>
              <w:lang w:val="zh-CN" w:eastAsia="zh-CN" w:bidi="ar-SA"/>
            </w:rPr>
            <w:fldChar w:fldCharType="begin"/>
          </w:r>
          <w:r>
            <w:rPr>
              <w:rFonts w:hint="eastAsia" w:ascii="Times New Roman" w:hAnsi="Times New Roman" w:eastAsia="宋体" w:cs="Times New Roman"/>
              <w:kern w:val="2"/>
              <w:sz w:val="24"/>
              <w:szCs w:val="22"/>
              <w:lang w:val="zh-CN" w:eastAsia="zh-CN" w:bidi="ar-SA"/>
            </w:rPr>
            <w:instrText xml:space="preserve"> HYPERLINK \l _Toc15008 </w:instrText>
          </w:r>
          <w:r>
            <w:rPr>
              <w:rFonts w:hint="eastAsia" w:ascii="Times New Roman" w:hAnsi="Times New Roman" w:eastAsia="宋体" w:cs="Times New Roman"/>
              <w:kern w:val="2"/>
              <w:sz w:val="24"/>
              <w:szCs w:val="22"/>
              <w:lang w:val="zh-CN" w:eastAsia="zh-CN" w:bidi="ar-SA"/>
            </w:rPr>
            <w:fldChar w:fldCharType="separate"/>
          </w:r>
          <w:r>
            <w:rPr>
              <w:rFonts w:hint="eastAsia" w:ascii="Times New Roman" w:hAnsi="Times New Roman" w:eastAsia="宋体" w:cs="Times New Roman"/>
              <w:kern w:val="2"/>
              <w:sz w:val="24"/>
              <w:szCs w:val="22"/>
              <w:lang w:val="zh-CN" w:eastAsia="zh-CN" w:bidi="ar-SA"/>
            </w:rPr>
            <w:t>2.9 农业生态现状与评价</w:t>
          </w:r>
          <w:r>
            <w:rPr>
              <w:rFonts w:hint="eastAsia" w:ascii="Times New Roman" w:hAnsi="Times New Roman" w:eastAsia="宋体" w:cs="Times New Roman"/>
              <w:kern w:val="2"/>
              <w:sz w:val="24"/>
              <w:szCs w:val="22"/>
              <w:lang w:val="zh-CN" w:eastAsia="zh-CN" w:bidi="ar-SA"/>
            </w:rPr>
            <w:tab/>
          </w:r>
          <w:r>
            <w:rPr>
              <w:rFonts w:hint="eastAsia" w:ascii="Times New Roman" w:hAnsi="Times New Roman" w:eastAsia="宋体" w:cs="Times New Roman"/>
              <w:kern w:val="2"/>
              <w:sz w:val="24"/>
              <w:szCs w:val="22"/>
              <w:lang w:val="zh-CN" w:eastAsia="zh-CN" w:bidi="ar-SA"/>
            </w:rPr>
            <w:fldChar w:fldCharType="begin"/>
          </w:r>
          <w:r>
            <w:rPr>
              <w:rFonts w:hint="eastAsia" w:ascii="Times New Roman" w:hAnsi="Times New Roman" w:eastAsia="宋体" w:cs="Times New Roman"/>
              <w:kern w:val="2"/>
              <w:sz w:val="24"/>
              <w:szCs w:val="22"/>
              <w:lang w:val="zh-CN" w:eastAsia="zh-CN" w:bidi="ar-SA"/>
            </w:rPr>
            <w:instrText xml:space="preserve"> PAGEREF _Toc15008 \h </w:instrText>
          </w:r>
          <w:r>
            <w:rPr>
              <w:rFonts w:hint="eastAsia" w:ascii="Times New Roman" w:hAnsi="Times New Roman" w:eastAsia="宋体" w:cs="Times New Roman"/>
              <w:kern w:val="2"/>
              <w:sz w:val="24"/>
              <w:szCs w:val="22"/>
              <w:lang w:val="zh-CN" w:eastAsia="zh-CN" w:bidi="ar-SA"/>
            </w:rPr>
            <w:fldChar w:fldCharType="separate"/>
          </w:r>
          <w:r>
            <w:rPr>
              <w:rFonts w:hint="eastAsia" w:ascii="Times New Roman" w:hAnsi="Times New Roman" w:eastAsia="宋体" w:cs="Times New Roman"/>
              <w:kern w:val="2"/>
              <w:sz w:val="24"/>
              <w:szCs w:val="22"/>
              <w:lang w:val="zh-CN" w:eastAsia="zh-CN" w:bidi="ar-SA"/>
            </w:rPr>
            <w:t>20</w:t>
          </w:r>
          <w:r>
            <w:rPr>
              <w:rFonts w:hint="eastAsia" w:ascii="Times New Roman" w:hAnsi="Times New Roman" w:eastAsia="宋体" w:cs="Times New Roman"/>
              <w:kern w:val="2"/>
              <w:sz w:val="24"/>
              <w:szCs w:val="22"/>
              <w:lang w:val="zh-CN" w:eastAsia="zh-CN" w:bidi="ar-SA"/>
            </w:rPr>
            <w:fldChar w:fldCharType="end"/>
          </w:r>
          <w:r>
            <w:rPr>
              <w:rFonts w:hint="eastAsia" w:ascii="Times New Roman" w:hAnsi="Times New Roman" w:eastAsia="宋体" w:cs="Times New Roman"/>
              <w:kern w:val="2"/>
              <w:sz w:val="24"/>
              <w:szCs w:val="22"/>
              <w:lang w:val="zh-CN" w:eastAsia="zh-CN" w:bidi="ar-SA"/>
            </w:rPr>
            <w:fldChar w:fldCharType="end"/>
          </w:r>
        </w:p>
        <w:p w14:paraId="11F829C1">
          <w:pPr>
            <w:widowControl w:val="0"/>
            <w:tabs>
              <w:tab w:val="right" w:leader="dot" w:pos="8306"/>
            </w:tabs>
            <w:spacing w:line="300" w:lineRule="auto"/>
            <w:ind w:left="420" w:leftChars="200" w:firstLine="0" w:firstLineChars="0"/>
            <w:jc w:val="both"/>
            <w:rPr>
              <w:rFonts w:hint="eastAsia" w:ascii="Times New Roman" w:hAnsi="Times New Roman" w:eastAsia="宋体" w:cs="Times New Roman"/>
              <w:kern w:val="2"/>
              <w:sz w:val="24"/>
              <w:szCs w:val="22"/>
              <w:lang w:val="zh-CN" w:eastAsia="zh-CN" w:bidi="ar-SA"/>
            </w:rPr>
          </w:pPr>
          <w:r>
            <w:rPr>
              <w:rFonts w:hint="eastAsia" w:ascii="Times New Roman" w:hAnsi="Times New Roman" w:eastAsia="宋体" w:cs="Times New Roman"/>
              <w:kern w:val="2"/>
              <w:sz w:val="24"/>
              <w:szCs w:val="22"/>
              <w:lang w:val="zh-CN" w:eastAsia="zh-CN" w:bidi="ar-SA"/>
            </w:rPr>
            <w:fldChar w:fldCharType="begin"/>
          </w:r>
          <w:r>
            <w:rPr>
              <w:rFonts w:hint="eastAsia" w:ascii="Times New Roman" w:hAnsi="Times New Roman" w:eastAsia="宋体" w:cs="Times New Roman"/>
              <w:kern w:val="2"/>
              <w:sz w:val="24"/>
              <w:szCs w:val="22"/>
              <w:lang w:val="zh-CN" w:eastAsia="zh-CN" w:bidi="ar-SA"/>
            </w:rPr>
            <w:instrText xml:space="preserve"> HYPERLINK \l _Toc19644 </w:instrText>
          </w:r>
          <w:r>
            <w:rPr>
              <w:rFonts w:hint="eastAsia" w:ascii="Times New Roman" w:hAnsi="Times New Roman" w:eastAsia="宋体" w:cs="Times New Roman"/>
              <w:kern w:val="2"/>
              <w:sz w:val="24"/>
              <w:szCs w:val="22"/>
              <w:lang w:val="zh-CN" w:eastAsia="zh-CN" w:bidi="ar-SA"/>
            </w:rPr>
            <w:fldChar w:fldCharType="separate"/>
          </w:r>
          <w:r>
            <w:rPr>
              <w:rFonts w:hint="eastAsia" w:ascii="Times New Roman" w:hAnsi="Times New Roman" w:eastAsia="宋体" w:cs="Times New Roman"/>
              <w:kern w:val="2"/>
              <w:sz w:val="24"/>
              <w:szCs w:val="22"/>
              <w:lang w:val="zh-CN" w:eastAsia="zh-CN" w:bidi="ar-SA"/>
            </w:rPr>
            <w:t>2.10 土地沙化现状</w:t>
          </w:r>
          <w:r>
            <w:rPr>
              <w:rFonts w:hint="eastAsia" w:ascii="Times New Roman" w:hAnsi="Times New Roman" w:eastAsia="宋体" w:cs="Times New Roman"/>
              <w:kern w:val="2"/>
              <w:sz w:val="24"/>
              <w:szCs w:val="22"/>
              <w:lang w:val="zh-CN" w:eastAsia="zh-CN" w:bidi="ar-SA"/>
            </w:rPr>
            <w:tab/>
          </w:r>
          <w:r>
            <w:rPr>
              <w:rFonts w:hint="eastAsia" w:ascii="Times New Roman" w:hAnsi="Times New Roman" w:eastAsia="宋体" w:cs="Times New Roman"/>
              <w:kern w:val="2"/>
              <w:sz w:val="24"/>
              <w:szCs w:val="22"/>
              <w:lang w:val="zh-CN" w:eastAsia="zh-CN" w:bidi="ar-SA"/>
            </w:rPr>
            <w:fldChar w:fldCharType="begin"/>
          </w:r>
          <w:r>
            <w:rPr>
              <w:rFonts w:hint="eastAsia" w:ascii="Times New Roman" w:hAnsi="Times New Roman" w:eastAsia="宋体" w:cs="Times New Roman"/>
              <w:kern w:val="2"/>
              <w:sz w:val="24"/>
              <w:szCs w:val="22"/>
              <w:lang w:val="zh-CN" w:eastAsia="zh-CN" w:bidi="ar-SA"/>
            </w:rPr>
            <w:instrText xml:space="preserve"> PAGEREF _Toc19644 \h </w:instrText>
          </w:r>
          <w:r>
            <w:rPr>
              <w:rFonts w:hint="eastAsia" w:ascii="Times New Roman" w:hAnsi="Times New Roman" w:eastAsia="宋体" w:cs="Times New Roman"/>
              <w:kern w:val="2"/>
              <w:sz w:val="24"/>
              <w:szCs w:val="22"/>
              <w:lang w:val="zh-CN" w:eastAsia="zh-CN" w:bidi="ar-SA"/>
            </w:rPr>
            <w:fldChar w:fldCharType="separate"/>
          </w:r>
          <w:r>
            <w:rPr>
              <w:rFonts w:hint="eastAsia" w:ascii="Times New Roman" w:hAnsi="Times New Roman" w:eastAsia="宋体" w:cs="Times New Roman"/>
              <w:kern w:val="2"/>
              <w:sz w:val="24"/>
              <w:szCs w:val="22"/>
              <w:lang w:val="zh-CN" w:eastAsia="zh-CN" w:bidi="ar-SA"/>
            </w:rPr>
            <w:t>22</w:t>
          </w:r>
          <w:r>
            <w:rPr>
              <w:rFonts w:hint="eastAsia" w:ascii="Times New Roman" w:hAnsi="Times New Roman" w:eastAsia="宋体" w:cs="Times New Roman"/>
              <w:kern w:val="2"/>
              <w:sz w:val="24"/>
              <w:szCs w:val="22"/>
              <w:lang w:val="zh-CN" w:eastAsia="zh-CN" w:bidi="ar-SA"/>
            </w:rPr>
            <w:fldChar w:fldCharType="end"/>
          </w:r>
          <w:r>
            <w:rPr>
              <w:rFonts w:hint="eastAsia" w:ascii="Times New Roman" w:hAnsi="Times New Roman" w:eastAsia="宋体" w:cs="Times New Roman"/>
              <w:kern w:val="2"/>
              <w:sz w:val="24"/>
              <w:szCs w:val="22"/>
              <w:lang w:val="zh-CN" w:eastAsia="zh-CN" w:bidi="ar-SA"/>
            </w:rPr>
            <w:fldChar w:fldCharType="end"/>
          </w:r>
        </w:p>
        <w:p w14:paraId="058802E8">
          <w:pPr>
            <w:widowControl w:val="0"/>
            <w:tabs>
              <w:tab w:val="right" w:leader="dot" w:pos="8306"/>
            </w:tabs>
            <w:spacing w:line="300" w:lineRule="auto"/>
            <w:ind w:left="420" w:leftChars="200" w:firstLine="0" w:firstLineChars="0"/>
            <w:jc w:val="both"/>
            <w:rPr>
              <w:rFonts w:ascii="Times New Roman" w:hAnsi="Times New Roman" w:eastAsia="宋体" w:cs="Times New Roman"/>
              <w:kern w:val="2"/>
              <w:sz w:val="24"/>
              <w:szCs w:val="22"/>
              <w:lang w:val="en-US" w:eastAsia="zh-CN" w:bidi="ar-SA"/>
            </w:rPr>
          </w:pPr>
          <w:r>
            <w:rPr>
              <w:rFonts w:hint="eastAsia" w:ascii="Times New Roman" w:hAnsi="Times New Roman" w:eastAsia="宋体" w:cs="Times New Roman"/>
              <w:kern w:val="2"/>
              <w:sz w:val="24"/>
              <w:szCs w:val="22"/>
              <w:lang w:val="zh-CN" w:eastAsia="zh-CN" w:bidi="ar-SA"/>
            </w:rPr>
            <w:fldChar w:fldCharType="begin"/>
          </w:r>
          <w:r>
            <w:rPr>
              <w:rFonts w:hint="eastAsia" w:ascii="Times New Roman" w:hAnsi="Times New Roman" w:eastAsia="宋体" w:cs="Times New Roman"/>
              <w:kern w:val="2"/>
              <w:sz w:val="24"/>
              <w:szCs w:val="22"/>
              <w:lang w:val="zh-CN" w:eastAsia="zh-CN" w:bidi="ar-SA"/>
            </w:rPr>
            <w:instrText xml:space="preserve"> HYPERLINK \l _Toc1598 </w:instrText>
          </w:r>
          <w:r>
            <w:rPr>
              <w:rFonts w:hint="eastAsia" w:ascii="Times New Roman" w:hAnsi="Times New Roman" w:eastAsia="宋体" w:cs="Times New Roman"/>
              <w:kern w:val="2"/>
              <w:sz w:val="24"/>
              <w:szCs w:val="22"/>
              <w:lang w:val="zh-CN" w:eastAsia="zh-CN" w:bidi="ar-SA"/>
            </w:rPr>
            <w:fldChar w:fldCharType="separate"/>
          </w:r>
          <w:r>
            <w:rPr>
              <w:rFonts w:hint="eastAsia" w:ascii="Times New Roman" w:hAnsi="Times New Roman" w:eastAsia="宋体" w:cs="Times New Roman"/>
              <w:kern w:val="2"/>
              <w:sz w:val="24"/>
              <w:szCs w:val="22"/>
              <w:lang w:val="zh-CN" w:eastAsia="zh-CN" w:bidi="ar-SA"/>
            </w:rPr>
            <w:t>2.11 生态敏感区分布情况</w:t>
          </w:r>
          <w:r>
            <w:rPr>
              <w:rFonts w:hint="eastAsia" w:ascii="Times New Roman" w:hAnsi="Times New Roman" w:eastAsia="宋体" w:cs="Times New Roman"/>
              <w:kern w:val="2"/>
              <w:sz w:val="24"/>
              <w:szCs w:val="22"/>
              <w:lang w:val="zh-CN" w:eastAsia="zh-CN" w:bidi="ar-SA"/>
            </w:rPr>
            <w:tab/>
          </w:r>
          <w:r>
            <w:rPr>
              <w:rFonts w:hint="eastAsia" w:ascii="Times New Roman" w:hAnsi="Times New Roman" w:eastAsia="宋体" w:cs="Times New Roman"/>
              <w:kern w:val="2"/>
              <w:sz w:val="24"/>
              <w:szCs w:val="22"/>
              <w:lang w:val="zh-CN" w:eastAsia="zh-CN" w:bidi="ar-SA"/>
            </w:rPr>
            <w:fldChar w:fldCharType="begin"/>
          </w:r>
          <w:r>
            <w:rPr>
              <w:rFonts w:hint="eastAsia" w:ascii="Times New Roman" w:hAnsi="Times New Roman" w:eastAsia="宋体" w:cs="Times New Roman"/>
              <w:kern w:val="2"/>
              <w:sz w:val="24"/>
              <w:szCs w:val="22"/>
              <w:lang w:val="zh-CN" w:eastAsia="zh-CN" w:bidi="ar-SA"/>
            </w:rPr>
            <w:instrText xml:space="preserve"> PAGEREF _Toc1598 \h </w:instrText>
          </w:r>
          <w:r>
            <w:rPr>
              <w:rFonts w:hint="eastAsia" w:ascii="Times New Roman" w:hAnsi="Times New Roman" w:eastAsia="宋体" w:cs="Times New Roman"/>
              <w:kern w:val="2"/>
              <w:sz w:val="24"/>
              <w:szCs w:val="22"/>
              <w:lang w:val="zh-CN" w:eastAsia="zh-CN" w:bidi="ar-SA"/>
            </w:rPr>
            <w:fldChar w:fldCharType="separate"/>
          </w:r>
          <w:r>
            <w:rPr>
              <w:rFonts w:hint="eastAsia" w:ascii="Times New Roman" w:hAnsi="Times New Roman" w:eastAsia="宋体" w:cs="Times New Roman"/>
              <w:kern w:val="2"/>
              <w:sz w:val="24"/>
              <w:szCs w:val="22"/>
              <w:lang w:val="zh-CN" w:eastAsia="zh-CN" w:bidi="ar-SA"/>
            </w:rPr>
            <w:t>24</w:t>
          </w:r>
          <w:r>
            <w:rPr>
              <w:rFonts w:hint="eastAsia" w:ascii="Times New Roman" w:hAnsi="Times New Roman" w:eastAsia="宋体" w:cs="Times New Roman"/>
              <w:kern w:val="2"/>
              <w:sz w:val="24"/>
              <w:szCs w:val="22"/>
              <w:lang w:val="zh-CN" w:eastAsia="zh-CN" w:bidi="ar-SA"/>
            </w:rPr>
            <w:fldChar w:fldCharType="end"/>
          </w:r>
          <w:r>
            <w:rPr>
              <w:rFonts w:hint="eastAsia" w:ascii="Times New Roman" w:hAnsi="Times New Roman" w:eastAsia="宋体" w:cs="Times New Roman"/>
              <w:kern w:val="2"/>
              <w:sz w:val="24"/>
              <w:szCs w:val="22"/>
              <w:lang w:val="zh-CN" w:eastAsia="zh-CN" w:bidi="ar-SA"/>
            </w:rPr>
            <w:fldChar w:fldCharType="end"/>
          </w:r>
        </w:p>
        <w:p w14:paraId="3286691A">
          <w:pPr>
            <w:widowControl w:val="0"/>
            <w:tabs>
              <w:tab w:val="right" w:leader="dot" w:pos="8306"/>
            </w:tabs>
            <w:spacing w:line="300" w:lineRule="auto"/>
            <w:ind w:left="0" w:leftChars="0" w:firstLine="0" w:firstLineChars="0"/>
            <w:jc w:val="both"/>
            <w:rPr>
              <w:rFonts w:ascii="Times New Roman" w:hAnsi="Times New Roman" w:eastAsia="宋体" w:cs="Times New Roman"/>
              <w:kern w:val="2"/>
              <w:sz w:val="24"/>
              <w:szCs w:val="22"/>
              <w:lang w:val="en-US" w:eastAsia="zh-CN" w:bidi="ar-SA"/>
            </w:rPr>
          </w:pPr>
          <w:r>
            <w:rPr>
              <w:rFonts w:ascii="Times New Roman" w:hAnsi="Times New Roman" w:eastAsia="宋体" w:cs="Times New Roman"/>
              <w:bCs/>
              <w:color w:val="000000"/>
              <w:kern w:val="2"/>
              <w:sz w:val="24"/>
              <w:szCs w:val="22"/>
              <w:lang w:val="zh-CN" w:eastAsia="zh-CN" w:bidi="ar-SA"/>
            </w:rPr>
            <w:fldChar w:fldCharType="begin"/>
          </w:r>
          <w:r>
            <w:rPr>
              <w:rFonts w:ascii="Times New Roman" w:hAnsi="Times New Roman" w:eastAsia="宋体" w:cs="Times New Roman"/>
              <w:bCs/>
              <w:kern w:val="2"/>
              <w:sz w:val="24"/>
              <w:szCs w:val="22"/>
              <w:lang w:val="zh-CN" w:eastAsia="zh-CN" w:bidi="ar-SA"/>
            </w:rPr>
            <w:instrText xml:space="preserve"> HYPERLINK \l _Toc26472 </w:instrText>
          </w:r>
          <w:r>
            <w:rPr>
              <w:rFonts w:ascii="Times New Roman" w:hAnsi="Times New Roman" w:eastAsia="宋体" w:cs="Times New Roman"/>
              <w:bCs/>
              <w:kern w:val="2"/>
              <w:sz w:val="24"/>
              <w:szCs w:val="22"/>
              <w:lang w:val="zh-CN" w:eastAsia="zh-CN" w:bidi="ar-SA"/>
            </w:rPr>
            <w:fldChar w:fldCharType="separate"/>
          </w:r>
          <w:r>
            <w:rPr>
              <w:rFonts w:hint="eastAsia" w:ascii="Times New Roman" w:hAnsi="Times New Roman" w:eastAsia="宋体" w:cs="Times New Roman"/>
              <w:kern w:val="2"/>
              <w:sz w:val="24"/>
              <w:szCs w:val="22"/>
              <w:lang w:val="en-US" w:eastAsia="zh-CN" w:bidi="ar-SA"/>
            </w:rPr>
            <w:t xml:space="preserve">3 </w:t>
          </w:r>
          <w:r>
            <w:rPr>
              <w:rFonts w:ascii="Times New Roman" w:hAnsi="Times New Roman" w:eastAsia="宋体" w:cs="Times New Roman"/>
              <w:kern w:val="2"/>
              <w:sz w:val="24"/>
              <w:szCs w:val="22"/>
              <w:lang w:val="en-US" w:eastAsia="zh-CN" w:bidi="ar-SA"/>
            </w:rPr>
            <w:t>生态影响预测与评价</w:t>
          </w:r>
          <w:r>
            <w:rPr>
              <w:rFonts w:ascii="Times New Roman" w:hAnsi="Times New Roman" w:eastAsia="宋体" w:cs="Times New Roman"/>
              <w:kern w:val="2"/>
              <w:sz w:val="24"/>
              <w:szCs w:val="22"/>
              <w:lang w:val="en-US" w:eastAsia="zh-CN" w:bidi="ar-SA"/>
            </w:rPr>
            <w:tab/>
          </w:r>
          <w:r>
            <w:rPr>
              <w:rFonts w:ascii="Times New Roman" w:hAnsi="Times New Roman" w:eastAsia="宋体" w:cs="Times New Roman"/>
              <w:kern w:val="2"/>
              <w:sz w:val="24"/>
              <w:szCs w:val="22"/>
              <w:lang w:val="en-US" w:eastAsia="zh-CN" w:bidi="ar-SA"/>
            </w:rPr>
            <w:fldChar w:fldCharType="begin"/>
          </w:r>
          <w:r>
            <w:rPr>
              <w:rFonts w:ascii="Times New Roman" w:hAnsi="Times New Roman" w:eastAsia="宋体" w:cs="Times New Roman"/>
              <w:kern w:val="2"/>
              <w:sz w:val="24"/>
              <w:szCs w:val="22"/>
              <w:lang w:val="en-US" w:eastAsia="zh-CN" w:bidi="ar-SA"/>
            </w:rPr>
            <w:instrText xml:space="preserve"> PAGEREF _Toc26472 \h </w:instrText>
          </w:r>
          <w:r>
            <w:rPr>
              <w:rFonts w:ascii="Times New Roman" w:hAnsi="Times New Roman" w:eastAsia="宋体" w:cs="Times New Roman"/>
              <w:kern w:val="2"/>
              <w:sz w:val="24"/>
              <w:szCs w:val="22"/>
              <w:lang w:val="en-US" w:eastAsia="zh-CN" w:bidi="ar-SA"/>
            </w:rPr>
            <w:fldChar w:fldCharType="separate"/>
          </w:r>
          <w:r>
            <w:rPr>
              <w:rFonts w:ascii="Times New Roman" w:hAnsi="Times New Roman" w:eastAsia="宋体" w:cs="Times New Roman"/>
              <w:kern w:val="2"/>
              <w:sz w:val="24"/>
              <w:szCs w:val="22"/>
              <w:lang w:val="en-US" w:eastAsia="zh-CN" w:bidi="ar-SA"/>
            </w:rPr>
            <w:t>25</w:t>
          </w:r>
          <w:r>
            <w:rPr>
              <w:rFonts w:ascii="Times New Roman" w:hAnsi="Times New Roman" w:eastAsia="宋体" w:cs="Times New Roman"/>
              <w:kern w:val="2"/>
              <w:sz w:val="24"/>
              <w:szCs w:val="22"/>
              <w:lang w:val="en-US" w:eastAsia="zh-CN" w:bidi="ar-SA"/>
            </w:rPr>
            <w:fldChar w:fldCharType="end"/>
          </w:r>
          <w:r>
            <w:rPr>
              <w:rFonts w:ascii="Times New Roman" w:hAnsi="Times New Roman" w:eastAsia="宋体" w:cs="Times New Roman"/>
              <w:bCs/>
              <w:color w:val="000000"/>
              <w:kern w:val="2"/>
              <w:sz w:val="24"/>
              <w:szCs w:val="22"/>
              <w:lang w:val="zh-CN" w:eastAsia="zh-CN" w:bidi="ar-SA"/>
            </w:rPr>
            <w:fldChar w:fldCharType="end"/>
          </w:r>
        </w:p>
        <w:p w14:paraId="650EB194">
          <w:pPr>
            <w:widowControl w:val="0"/>
            <w:tabs>
              <w:tab w:val="right" w:leader="dot" w:pos="8306"/>
            </w:tabs>
            <w:spacing w:line="300" w:lineRule="auto"/>
            <w:ind w:left="420" w:leftChars="200" w:firstLine="0" w:firstLineChars="0"/>
            <w:jc w:val="both"/>
            <w:rPr>
              <w:rFonts w:ascii="Times New Roman" w:hAnsi="Times New Roman" w:eastAsia="宋体" w:cs="Times New Roman"/>
              <w:kern w:val="2"/>
              <w:sz w:val="24"/>
              <w:szCs w:val="22"/>
              <w:lang w:val="en-US" w:eastAsia="zh-CN" w:bidi="ar-SA"/>
            </w:rPr>
          </w:pPr>
          <w:r>
            <w:rPr>
              <w:rFonts w:ascii="Times New Roman" w:hAnsi="Times New Roman" w:eastAsia="宋体" w:cs="Times New Roman"/>
              <w:bCs/>
              <w:color w:val="000000"/>
              <w:kern w:val="2"/>
              <w:sz w:val="24"/>
              <w:szCs w:val="22"/>
              <w:lang w:val="zh-CN" w:eastAsia="zh-CN" w:bidi="ar-SA"/>
            </w:rPr>
            <w:fldChar w:fldCharType="begin"/>
          </w:r>
          <w:r>
            <w:rPr>
              <w:rFonts w:ascii="Times New Roman" w:hAnsi="Times New Roman" w:eastAsia="宋体" w:cs="Times New Roman"/>
              <w:bCs/>
              <w:kern w:val="2"/>
              <w:sz w:val="24"/>
              <w:szCs w:val="22"/>
              <w:lang w:val="zh-CN" w:eastAsia="zh-CN" w:bidi="ar-SA"/>
            </w:rPr>
            <w:instrText xml:space="preserve"> HYPERLINK \l _Toc17226 </w:instrText>
          </w:r>
          <w:r>
            <w:rPr>
              <w:rFonts w:ascii="Times New Roman" w:hAnsi="Times New Roman" w:eastAsia="宋体" w:cs="Times New Roman"/>
              <w:bCs/>
              <w:kern w:val="2"/>
              <w:sz w:val="24"/>
              <w:szCs w:val="22"/>
              <w:lang w:val="zh-CN" w:eastAsia="zh-CN" w:bidi="ar-SA"/>
            </w:rPr>
            <w:fldChar w:fldCharType="separate"/>
          </w:r>
          <w:r>
            <w:rPr>
              <w:rFonts w:hint="eastAsia" w:ascii="Times New Roman" w:hAnsi="Times New Roman" w:eastAsia="宋体" w:cs="Times New Roman"/>
              <w:kern w:val="2"/>
              <w:sz w:val="24"/>
              <w:szCs w:val="22"/>
              <w:lang w:val="en-US" w:eastAsia="zh-CN" w:bidi="ar-SA"/>
            </w:rPr>
            <w:t xml:space="preserve">3.1 </w:t>
          </w:r>
          <w:r>
            <w:rPr>
              <w:rFonts w:ascii="Times New Roman" w:hAnsi="Times New Roman" w:eastAsia="宋体" w:cs="Times New Roman"/>
              <w:kern w:val="2"/>
              <w:sz w:val="24"/>
              <w:szCs w:val="22"/>
              <w:lang w:val="en-US" w:eastAsia="zh-CN" w:bidi="ar-SA"/>
            </w:rPr>
            <w:t>工程占地影响分析</w:t>
          </w:r>
          <w:r>
            <w:rPr>
              <w:rFonts w:ascii="Times New Roman" w:hAnsi="Times New Roman" w:eastAsia="宋体" w:cs="Times New Roman"/>
              <w:kern w:val="2"/>
              <w:sz w:val="24"/>
              <w:szCs w:val="22"/>
              <w:lang w:val="en-US" w:eastAsia="zh-CN" w:bidi="ar-SA"/>
            </w:rPr>
            <w:tab/>
          </w:r>
          <w:r>
            <w:rPr>
              <w:rFonts w:ascii="Times New Roman" w:hAnsi="Times New Roman" w:eastAsia="宋体" w:cs="Times New Roman"/>
              <w:kern w:val="2"/>
              <w:sz w:val="24"/>
              <w:szCs w:val="22"/>
              <w:lang w:val="en-US" w:eastAsia="zh-CN" w:bidi="ar-SA"/>
            </w:rPr>
            <w:fldChar w:fldCharType="begin"/>
          </w:r>
          <w:r>
            <w:rPr>
              <w:rFonts w:ascii="Times New Roman" w:hAnsi="Times New Roman" w:eastAsia="宋体" w:cs="Times New Roman"/>
              <w:kern w:val="2"/>
              <w:sz w:val="24"/>
              <w:szCs w:val="22"/>
              <w:lang w:val="en-US" w:eastAsia="zh-CN" w:bidi="ar-SA"/>
            </w:rPr>
            <w:instrText xml:space="preserve"> PAGEREF _Toc17226 \h </w:instrText>
          </w:r>
          <w:r>
            <w:rPr>
              <w:rFonts w:ascii="Times New Roman" w:hAnsi="Times New Roman" w:eastAsia="宋体" w:cs="Times New Roman"/>
              <w:kern w:val="2"/>
              <w:sz w:val="24"/>
              <w:szCs w:val="22"/>
              <w:lang w:val="en-US" w:eastAsia="zh-CN" w:bidi="ar-SA"/>
            </w:rPr>
            <w:fldChar w:fldCharType="separate"/>
          </w:r>
          <w:r>
            <w:rPr>
              <w:rFonts w:ascii="Times New Roman" w:hAnsi="Times New Roman" w:eastAsia="宋体" w:cs="Times New Roman"/>
              <w:kern w:val="2"/>
              <w:sz w:val="24"/>
              <w:szCs w:val="22"/>
              <w:lang w:val="en-US" w:eastAsia="zh-CN" w:bidi="ar-SA"/>
            </w:rPr>
            <w:t>25</w:t>
          </w:r>
          <w:r>
            <w:rPr>
              <w:rFonts w:ascii="Times New Roman" w:hAnsi="Times New Roman" w:eastAsia="宋体" w:cs="Times New Roman"/>
              <w:kern w:val="2"/>
              <w:sz w:val="24"/>
              <w:szCs w:val="22"/>
              <w:lang w:val="en-US" w:eastAsia="zh-CN" w:bidi="ar-SA"/>
            </w:rPr>
            <w:fldChar w:fldCharType="end"/>
          </w:r>
          <w:r>
            <w:rPr>
              <w:rFonts w:ascii="Times New Roman" w:hAnsi="Times New Roman" w:eastAsia="宋体" w:cs="Times New Roman"/>
              <w:bCs/>
              <w:color w:val="000000"/>
              <w:kern w:val="2"/>
              <w:sz w:val="24"/>
              <w:szCs w:val="22"/>
              <w:lang w:val="zh-CN" w:eastAsia="zh-CN" w:bidi="ar-SA"/>
            </w:rPr>
            <w:fldChar w:fldCharType="end"/>
          </w:r>
        </w:p>
        <w:p w14:paraId="381F3F55">
          <w:pPr>
            <w:widowControl w:val="0"/>
            <w:tabs>
              <w:tab w:val="right" w:leader="dot" w:pos="8306"/>
            </w:tabs>
            <w:spacing w:line="300" w:lineRule="auto"/>
            <w:ind w:left="840" w:leftChars="400" w:firstLine="0" w:firstLineChars="0"/>
            <w:jc w:val="both"/>
            <w:rPr>
              <w:rFonts w:ascii="Times New Roman" w:hAnsi="Times New Roman" w:eastAsia="宋体" w:cs="Times New Roman"/>
              <w:bCs w:val="0"/>
              <w:kern w:val="0"/>
              <w:sz w:val="24"/>
              <w:szCs w:val="32"/>
              <w:lang w:val="zh-CN" w:eastAsia="zh-CN" w:bidi="ar-SA"/>
            </w:rPr>
          </w:pPr>
          <w:r>
            <w:rPr>
              <w:rFonts w:ascii="Times New Roman" w:hAnsi="Times New Roman" w:eastAsia="宋体" w:cs="Times New Roman"/>
              <w:bCs w:val="0"/>
              <w:kern w:val="0"/>
              <w:sz w:val="24"/>
              <w:szCs w:val="32"/>
              <w:lang w:val="zh-CN" w:eastAsia="zh-CN" w:bidi="ar-SA"/>
            </w:rPr>
            <w:fldChar w:fldCharType="begin"/>
          </w:r>
          <w:r>
            <w:rPr>
              <w:rFonts w:ascii="Times New Roman" w:hAnsi="Times New Roman" w:eastAsia="宋体" w:cs="Times New Roman"/>
              <w:bCs w:val="0"/>
              <w:kern w:val="0"/>
              <w:sz w:val="24"/>
              <w:szCs w:val="32"/>
              <w:lang w:val="zh-CN" w:eastAsia="zh-CN" w:bidi="ar-SA"/>
            </w:rPr>
            <w:instrText xml:space="preserve"> HYPERLINK \l _Toc30767 </w:instrText>
          </w:r>
          <w:r>
            <w:rPr>
              <w:rFonts w:ascii="Times New Roman" w:hAnsi="Times New Roman" w:eastAsia="宋体" w:cs="Times New Roman"/>
              <w:bCs w:val="0"/>
              <w:kern w:val="0"/>
              <w:sz w:val="24"/>
              <w:szCs w:val="32"/>
              <w:lang w:val="zh-CN" w:eastAsia="zh-CN" w:bidi="ar-SA"/>
            </w:rPr>
            <w:fldChar w:fldCharType="separate"/>
          </w:r>
          <w:r>
            <w:rPr>
              <w:rFonts w:hint="eastAsia" w:ascii="Times New Roman" w:hAnsi="Times New Roman" w:eastAsia="宋体" w:cs="Times New Roman"/>
              <w:bCs w:val="0"/>
              <w:kern w:val="0"/>
              <w:sz w:val="24"/>
              <w:szCs w:val="32"/>
              <w:lang w:val="en-US" w:eastAsia="zh-CN" w:bidi="ar-SA"/>
            </w:rPr>
            <w:t>3.1.1 工程永久占地合理性分析</w:t>
          </w:r>
          <w:r>
            <w:rPr>
              <w:rFonts w:ascii="Times New Roman" w:hAnsi="Times New Roman" w:eastAsia="宋体" w:cs="Times New Roman"/>
              <w:bCs w:val="0"/>
              <w:kern w:val="0"/>
              <w:sz w:val="24"/>
              <w:szCs w:val="32"/>
              <w:lang w:val="zh-CN" w:eastAsia="zh-CN" w:bidi="ar-SA"/>
            </w:rPr>
            <w:tab/>
          </w:r>
          <w:r>
            <w:rPr>
              <w:rFonts w:ascii="Times New Roman" w:hAnsi="Times New Roman" w:eastAsia="宋体" w:cs="Times New Roman"/>
              <w:bCs w:val="0"/>
              <w:kern w:val="0"/>
              <w:sz w:val="24"/>
              <w:szCs w:val="32"/>
              <w:lang w:val="zh-CN" w:eastAsia="zh-CN" w:bidi="ar-SA"/>
            </w:rPr>
            <w:fldChar w:fldCharType="begin"/>
          </w:r>
          <w:r>
            <w:rPr>
              <w:rFonts w:ascii="Times New Roman" w:hAnsi="Times New Roman" w:eastAsia="宋体" w:cs="Times New Roman"/>
              <w:bCs w:val="0"/>
              <w:kern w:val="0"/>
              <w:sz w:val="24"/>
              <w:szCs w:val="32"/>
              <w:lang w:val="zh-CN" w:eastAsia="zh-CN" w:bidi="ar-SA"/>
            </w:rPr>
            <w:instrText xml:space="preserve"> PAGEREF _Toc30767 \h </w:instrText>
          </w:r>
          <w:r>
            <w:rPr>
              <w:rFonts w:ascii="Times New Roman" w:hAnsi="Times New Roman" w:eastAsia="宋体" w:cs="Times New Roman"/>
              <w:bCs w:val="0"/>
              <w:kern w:val="0"/>
              <w:sz w:val="24"/>
              <w:szCs w:val="32"/>
              <w:lang w:val="zh-CN" w:eastAsia="zh-CN" w:bidi="ar-SA"/>
            </w:rPr>
            <w:fldChar w:fldCharType="separate"/>
          </w:r>
          <w:r>
            <w:rPr>
              <w:rFonts w:ascii="Times New Roman" w:hAnsi="Times New Roman" w:eastAsia="宋体" w:cs="Times New Roman"/>
              <w:bCs w:val="0"/>
              <w:kern w:val="0"/>
              <w:sz w:val="24"/>
              <w:szCs w:val="32"/>
              <w:lang w:val="zh-CN" w:eastAsia="zh-CN" w:bidi="ar-SA"/>
            </w:rPr>
            <w:t>25</w:t>
          </w:r>
          <w:r>
            <w:rPr>
              <w:rFonts w:ascii="Times New Roman" w:hAnsi="Times New Roman" w:eastAsia="宋体" w:cs="Times New Roman"/>
              <w:bCs w:val="0"/>
              <w:kern w:val="0"/>
              <w:sz w:val="24"/>
              <w:szCs w:val="32"/>
              <w:lang w:val="zh-CN" w:eastAsia="zh-CN" w:bidi="ar-SA"/>
            </w:rPr>
            <w:fldChar w:fldCharType="end"/>
          </w:r>
          <w:r>
            <w:rPr>
              <w:rFonts w:ascii="Times New Roman" w:hAnsi="Times New Roman" w:eastAsia="宋体" w:cs="Times New Roman"/>
              <w:bCs w:val="0"/>
              <w:kern w:val="0"/>
              <w:sz w:val="24"/>
              <w:szCs w:val="32"/>
              <w:lang w:val="zh-CN" w:eastAsia="zh-CN" w:bidi="ar-SA"/>
            </w:rPr>
            <w:fldChar w:fldCharType="end"/>
          </w:r>
        </w:p>
        <w:p w14:paraId="046A99E5">
          <w:pPr>
            <w:widowControl w:val="0"/>
            <w:tabs>
              <w:tab w:val="right" w:leader="dot" w:pos="8306"/>
            </w:tabs>
            <w:spacing w:line="300" w:lineRule="auto"/>
            <w:ind w:left="840" w:leftChars="400" w:firstLine="0" w:firstLineChars="0"/>
            <w:jc w:val="both"/>
            <w:rPr>
              <w:rFonts w:ascii="Times New Roman" w:hAnsi="Times New Roman" w:eastAsia="宋体" w:cs="Times New Roman"/>
              <w:bCs w:val="0"/>
              <w:kern w:val="0"/>
              <w:sz w:val="24"/>
              <w:szCs w:val="32"/>
              <w:lang w:val="zh-CN" w:eastAsia="zh-CN" w:bidi="ar-SA"/>
            </w:rPr>
          </w:pPr>
          <w:r>
            <w:rPr>
              <w:rFonts w:ascii="Times New Roman" w:hAnsi="Times New Roman" w:eastAsia="宋体" w:cs="Times New Roman"/>
              <w:bCs w:val="0"/>
              <w:kern w:val="0"/>
              <w:sz w:val="24"/>
              <w:szCs w:val="32"/>
              <w:lang w:val="zh-CN" w:eastAsia="zh-CN" w:bidi="ar-SA"/>
            </w:rPr>
            <w:fldChar w:fldCharType="begin"/>
          </w:r>
          <w:r>
            <w:rPr>
              <w:rFonts w:ascii="Times New Roman" w:hAnsi="Times New Roman" w:eastAsia="宋体" w:cs="Times New Roman"/>
              <w:bCs w:val="0"/>
              <w:kern w:val="0"/>
              <w:sz w:val="24"/>
              <w:szCs w:val="32"/>
              <w:lang w:val="zh-CN" w:eastAsia="zh-CN" w:bidi="ar-SA"/>
            </w:rPr>
            <w:instrText xml:space="preserve"> HYPERLINK \l _Toc27602 </w:instrText>
          </w:r>
          <w:r>
            <w:rPr>
              <w:rFonts w:ascii="Times New Roman" w:hAnsi="Times New Roman" w:eastAsia="宋体" w:cs="Times New Roman"/>
              <w:bCs w:val="0"/>
              <w:kern w:val="0"/>
              <w:sz w:val="24"/>
              <w:szCs w:val="32"/>
              <w:lang w:val="zh-CN" w:eastAsia="zh-CN" w:bidi="ar-SA"/>
            </w:rPr>
            <w:fldChar w:fldCharType="separate"/>
          </w:r>
          <w:r>
            <w:rPr>
              <w:rFonts w:hint="eastAsia" w:ascii="Times New Roman" w:hAnsi="Times New Roman" w:eastAsia="宋体" w:cs="Times New Roman"/>
              <w:bCs w:val="0"/>
              <w:kern w:val="0"/>
              <w:sz w:val="24"/>
              <w:szCs w:val="32"/>
              <w:lang w:val="zh-CN" w:eastAsia="zh-CN" w:bidi="ar-SA"/>
            </w:rPr>
            <w:t xml:space="preserve">3.1.2 </w:t>
          </w:r>
          <w:r>
            <w:rPr>
              <w:rFonts w:ascii="Times New Roman" w:hAnsi="Times New Roman" w:eastAsia="宋体" w:cs="Times New Roman"/>
              <w:bCs w:val="0"/>
              <w:kern w:val="0"/>
              <w:sz w:val="24"/>
              <w:szCs w:val="32"/>
              <w:lang w:val="zh-CN" w:eastAsia="zh-CN" w:bidi="ar-SA"/>
            </w:rPr>
            <w:t>对土地利用格局的影响</w:t>
          </w:r>
          <w:r>
            <w:rPr>
              <w:rFonts w:ascii="Times New Roman" w:hAnsi="Times New Roman" w:eastAsia="宋体" w:cs="Times New Roman"/>
              <w:bCs w:val="0"/>
              <w:kern w:val="0"/>
              <w:sz w:val="24"/>
              <w:szCs w:val="32"/>
              <w:lang w:val="zh-CN" w:eastAsia="zh-CN" w:bidi="ar-SA"/>
            </w:rPr>
            <w:tab/>
          </w:r>
          <w:r>
            <w:rPr>
              <w:rFonts w:ascii="Times New Roman" w:hAnsi="Times New Roman" w:eastAsia="宋体" w:cs="Times New Roman"/>
              <w:bCs w:val="0"/>
              <w:kern w:val="0"/>
              <w:sz w:val="24"/>
              <w:szCs w:val="32"/>
              <w:lang w:val="zh-CN" w:eastAsia="zh-CN" w:bidi="ar-SA"/>
            </w:rPr>
            <w:fldChar w:fldCharType="begin"/>
          </w:r>
          <w:r>
            <w:rPr>
              <w:rFonts w:ascii="Times New Roman" w:hAnsi="Times New Roman" w:eastAsia="宋体" w:cs="Times New Roman"/>
              <w:bCs w:val="0"/>
              <w:kern w:val="0"/>
              <w:sz w:val="24"/>
              <w:szCs w:val="32"/>
              <w:lang w:val="zh-CN" w:eastAsia="zh-CN" w:bidi="ar-SA"/>
            </w:rPr>
            <w:instrText xml:space="preserve"> PAGEREF _Toc27602 \h </w:instrText>
          </w:r>
          <w:r>
            <w:rPr>
              <w:rFonts w:ascii="Times New Roman" w:hAnsi="Times New Roman" w:eastAsia="宋体" w:cs="Times New Roman"/>
              <w:bCs w:val="0"/>
              <w:kern w:val="0"/>
              <w:sz w:val="24"/>
              <w:szCs w:val="32"/>
              <w:lang w:val="zh-CN" w:eastAsia="zh-CN" w:bidi="ar-SA"/>
            </w:rPr>
            <w:fldChar w:fldCharType="separate"/>
          </w:r>
          <w:r>
            <w:rPr>
              <w:rFonts w:ascii="Times New Roman" w:hAnsi="Times New Roman" w:eastAsia="宋体" w:cs="Times New Roman"/>
              <w:bCs w:val="0"/>
              <w:kern w:val="0"/>
              <w:sz w:val="24"/>
              <w:szCs w:val="32"/>
              <w:lang w:val="zh-CN" w:eastAsia="zh-CN" w:bidi="ar-SA"/>
            </w:rPr>
            <w:t>26</w:t>
          </w:r>
          <w:r>
            <w:rPr>
              <w:rFonts w:ascii="Times New Roman" w:hAnsi="Times New Roman" w:eastAsia="宋体" w:cs="Times New Roman"/>
              <w:bCs w:val="0"/>
              <w:kern w:val="0"/>
              <w:sz w:val="24"/>
              <w:szCs w:val="32"/>
              <w:lang w:val="zh-CN" w:eastAsia="zh-CN" w:bidi="ar-SA"/>
            </w:rPr>
            <w:fldChar w:fldCharType="end"/>
          </w:r>
          <w:r>
            <w:rPr>
              <w:rFonts w:ascii="Times New Roman" w:hAnsi="Times New Roman" w:eastAsia="宋体" w:cs="Times New Roman"/>
              <w:bCs w:val="0"/>
              <w:kern w:val="0"/>
              <w:sz w:val="24"/>
              <w:szCs w:val="32"/>
              <w:lang w:val="zh-CN" w:eastAsia="zh-CN" w:bidi="ar-SA"/>
            </w:rPr>
            <w:fldChar w:fldCharType="end"/>
          </w:r>
        </w:p>
        <w:p w14:paraId="26AA1ED3">
          <w:pPr>
            <w:widowControl w:val="0"/>
            <w:tabs>
              <w:tab w:val="right" w:leader="dot" w:pos="8306"/>
            </w:tabs>
            <w:spacing w:line="300" w:lineRule="auto"/>
            <w:ind w:left="840" w:leftChars="400" w:firstLine="0" w:firstLineChars="0"/>
            <w:jc w:val="both"/>
            <w:rPr>
              <w:rFonts w:ascii="Times New Roman" w:hAnsi="Times New Roman" w:eastAsia="宋体" w:cs="Times New Roman"/>
              <w:kern w:val="2"/>
              <w:sz w:val="24"/>
              <w:szCs w:val="22"/>
              <w:lang w:val="en-US" w:eastAsia="zh-CN" w:bidi="ar-SA"/>
            </w:rPr>
          </w:pPr>
          <w:r>
            <w:rPr>
              <w:rFonts w:ascii="Times New Roman" w:hAnsi="Times New Roman" w:eastAsia="宋体" w:cs="Times New Roman"/>
              <w:bCs w:val="0"/>
              <w:kern w:val="0"/>
              <w:sz w:val="24"/>
              <w:szCs w:val="32"/>
              <w:lang w:val="zh-CN" w:eastAsia="zh-CN" w:bidi="ar-SA"/>
            </w:rPr>
            <w:fldChar w:fldCharType="begin"/>
          </w:r>
          <w:r>
            <w:rPr>
              <w:rFonts w:ascii="Times New Roman" w:hAnsi="Times New Roman" w:eastAsia="宋体" w:cs="Times New Roman"/>
              <w:bCs w:val="0"/>
              <w:kern w:val="0"/>
              <w:sz w:val="24"/>
              <w:szCs w:val="32"/>
              <w:lang w:val="zh-CN" w:eastAsia="zh-CN" w:bidi="ar-SA"/>
            </w:rPr>
            <w:instrText xml:space="preserve"> HYPERLINK \l _Toc22054 </w:instrText>
          </w:r>
          <w:r>
            <w:rPr>
              <w:rFonts w:ascii="Times New Roman" w:hAnsi="Times New Roman" w:eastAsia="宋体" w:cs="Times New Roman"/>
              <w:bCs w:val="0"/>
              <w:kern w:val="0"/>
              <w:sz w:val="24"/>
              <w:szCs w:val="32"/>
              <w:lang w:val="zh-CN" w:eastAsia="zh-CN" w:bidi="ar-SA"/>
            </w:rPr>
            <w:fldChar w:fldCharType="separate"/>
          </w:r>
          <w:r>
            <w:rPr>
              <w:rFonts w:hint="eastAsia" w:ascii="Times New Roman" w:hAnsi="Times New Roman" w:eastAsia="宋体" w:cs="Times New Roman"/>
              <w:bCs w:val="0"/>
              <w:kern w:val="0"/>
              <w:sz w:val="24"/>
              <w:szCs w:val="32"/>
              <w:lang w:val="zh-CN" w:eastAsia="zh-CN" w:bidi="ar-SA"/>
            </w:rPr>
            <w:t xml:space="preserve">3.1.3 </w:t>
          </w:r>
          <w:r>
            <w:rPr>
              <w:rFonts w:ascii="Times New Roman" w:hAnsi="Times New Roman" w:eastAsia="宋体" w:cs="Times New Roman"/>
              <w:bCs w:val="0"/>
              <w:kern w:val="0"/>
              <w:sz w:val="24"/>
              <w:szCs w:val="32"/>
              <w:lang w:val="zh-CN" w:eastAsia="zh-CN" w:bidi="ar-SA"/>
            </w:rPr>
            <w:t>永久占地合理性分析</w:t>
          </w:r>
          <w:r>
            <w:rPr>
              <w:rFonts w:ascii="Times New Roman" w:hAnsi="Times New Roman" w:eastAsia="宋体" w:cs="Times New Roman"/>
              <w:bCs w:val="0"/>
              <w:kern w:val="0"/>
              <w:sz w:val="24"/>
              <w:szCs w:val="32"/>
              <w:lang w:val="zh-CN" w:eastAsia="zh-CN" w:bidi="ar-SA"/>
            </w:rPr>
            <w:tab/>
          </w:r>
          <w:r>
            <w:rPr>
              <w:rFonts w:ascii="Times New Roman" w:hAnsi="Times New Roman" w:eastAsia="宋体" w:cs="Times New Roman"/>
              <w:bCs w:val="0"/>
              <w:kern w:val="0"/>
              <w:sz w:val="24"/>
              <w:szCs w:val="32"/>
              <w:lang w:val="zh-CN" w:eastAsia="zh-CN" w:bidi="ar-SA"/>
            </w:rPr>
            <w:fldChar w:fldCharType="begin"/>
          </w:r>
          <w:r>
            <w:rPr>
              <w:rFonts w:ascii="Times New Roman" w:hAnsi="Times New Roman" w:eastAsia="宋体" w:cs="Times New Roman"/>
              <w:bCs w:val="0"/>
              <w:kern w:val="0"/>
              <w:sz w:val="24"/>
              <w:szCs w:val="32"/>
              <w:lang w:val="zh-CN" w:eastAsia="zh-CN" w:bidi="ar-SA"/>
            </w:rPr>
            <w:instrText xml:space="preserve"> PAGEREF _Toc22054 \h </w:instrText>
          </w:r>
          <w:r>
            <w:rPr>
              <w:rFonts w:ascii="Times New Roman" w:hAnsi="Times New Roman" w:eastAsia="宋体" w:cs="Times New Roman"/>
              <w:bCs w:val="0"/>
              <w:kern w:val="0"/>
              <w:sz w:val="24"/>
              <w:szCs w:val="32"/>
              <w:lang w:val="zh-CN" w:eastAsia="zh-CN" w:bidi="ar-SA"/>
            </w:rPr>
            <w:fldChar w:fldCharType="separate"/>
          </w:r>
          <w:r>
            <w:rPr>
              <w:rFonts w:ascii="Times New Roman" w:hAnsi="Times New Roman" w:eastAsia="宋体" w:cs="Times New Roman"/>
              <w:bCs w:val="0"/>
              <w:kern w:val="0"/>
              <w:sz w:val="24"/>
              <w:szCs w:val="32"/>
              <w:lang w:val="zh-CN" w:eastAsia="zh-CN" w:bidi="ar-SA"/>
            </w:rPr>
            <w:t>27</w:t>
          </w:r>
          <w:r>
            <w:rPr>
              <w:rFonts w:ascii="Times New Roman" w:hAnsi="Times New Roman" w:eastAsia="宋体" w:cs="Times New Roman"/>
              <w:bCs w:val="0"/>
              <w:kern w:val="0"/>
              <w:sz w:val="24"/>
              <w:szCs w:val="32"/>
              <w:lang w:val="zh-CN" w:eastAsia="zh-CN" w:bidi="ar-SA"/>
            </w:rPr>
            <w:fldChar w:fldCharType="end"/>
          </w:r>
          <w:r>
            <w:rPr>
              <w:rFonts w:ascii="Times New Roman" w:hAnsi="Times New Roman" w:eastAsia="宋体" w:cs="Times New Roman"/>
              <w:bCs w:val="0"/>
              <w:kern w:val="0"/>
              <w:sz w:val="24"/>
              <w:szCs w:val="32"/>
              <w:lang w:val="zh-CN" w:eastAsia="zh-CN" w:bidi="ar-SA"/>
            </w:rPr>
            <w:fldChar w:fldCharType="end"/>
          </w:r>
        </w:p>
        <w:p w14:paraId="67AB16A0">
          <w:pPr>
            <w:widowControl w:val="0"/>
            <w:tabs>
              <w:tab w:val="right" w:leader="dot" w:pos="8306"/>
            </w:tabs>
            <w:spacing w:line="300" w:lineRule="auto"/>
            <w:ind w:left="420" w:leftChars="200" w:firstLine="0" w:firstLineChars="0"/>
            <w:jc w:val="both"/>
            <w:rPr>
              <w:rFonts w:ascii="Times New Roman" w:hAnsi="Times New Roman" w:eastAsia="宋体" w:cs="Times New Roman"/>
              <w:kern w:val="2"/>
              <w:sz w:val="24"/>
              <w:szCs w:val="22"/>
              <w:lang w:val="en-US" w:eastAsia="zh-CN" w:bidi="ar-SA"/>
            </w:rPr>
          </w:pPr>
          <w:r>
            <w:rPr>
              <w:rFonts w:ascii="Times New Roman" w:hAnsi="Times New Roman" w:eastAsia="宋体" w:cs="Times New Roman"/>
              <w:bCs/>
              <w:color w:val="000000"/>
              <w:kern w:val="2"/>
              <w:sz w:val="24"/>
              <w:szCs w:val="22"/>
              <w:lang w:val="zh-CN" w:eastAsia="zh-CN" w:bidi="ar-SA"/>
            </w:rPr>
            <w:fldChar w:fldCharType="begin"/>
          </w:r>
          <w:r>
            <w:rPr>
              <w:rFonts w:ascii="Times New Roman" w:hAnsi="Times New Roman" w:eastAsia="宋体" w:cs="Times New Roman"/>
              <w:bCs/>
              <w:kern w:val="2"/>
              <w:sz w:val="24"/>
              <w:szCs w:val="22"/>
              <w:lang w:val="zh-CN" w:eastAsia="zh-CN" w:bidi="ar-SA"/>
            </w:rPr>
            <w:instrText xml:space="preserve"> HYPERLINK \l _Toc4836 </w:instrText>
          </w:r>
          <w:r>
            <w:rPr>
              <w:rFonts w:ascii="Times New Roman" w:hAnsi="Times New Roman" w:eastAsia="宋体" w:cs="Times New Roman"/>
              <w:bCs/>
              <w:kern w:val="2"/>
              <w:sz w:val="24"/>
              <w:szCs w:val="22"/>
              <w:lang w:val="zh-CN" w:eastAsia="zh-CN" w:bidi="ar-SA"/>
            </w:rPr>
            <w:fldChar w:fldCharType="separate"/>
          </w:r>
          <w:r>
            <w:rPr>
              <w:rFonts w:hint="eastAsia" w:ascii="Times New Roman" w:hAnsi="Times New Roman" w:eastAsia="宋体" w:cs="Times New Roman"/>
              <w:kern w:val="2"/>
              <w:sz w:val="24"/>
              <w:szCs w:val="22"/>
              <w:lang w:val="en-US" w:eastAsia="zh-CN" w:bidi="ar-SA"/>
            </w:rPr>
            <w:t xml:space="preserve">3.2 </w:t>
          </w:r>
          <w:r>
            <w:rPr>
              <w:rFonts w:ascii="Times New Roman" w:hAnsi="Times New Roman" w:eastAsia="宋体" w:cs="Times New Roman"/>
              <w:kern w:val="2"/>
              <w:sz w:val="24"/>
              <w:szCs w:val="22"/>
              <w:lang w:val="en-US" w:eastAsia="zh-CN" w:bidi="ar-SA"/>
            </w:rPr>
            <w:t>对生态系统的影响</w:t>
          </w:r>
          <w:r>
            <w:rPr>
              <w:rFonts w:ascii="Times New Roman" w:hAnsi="Times New Roman" w:eastAsia="宋体" w:cs="Times New Roman"/>
              <w:kern w:val="2"/>
              <w:sz w:val="24"/>
              <w:szCs w:val="22"/>
              <w:lang w:val="en-US" w:eastAsia="zh-CN" w:bidi="ar-SA"/>
            </w:rPr>
            <w:tab/>
          </w:r>
          <w:r>
            <w:rPr>
              <w:rFonts w:ascii="Times New Roman" w:hAnsi="Times New Roman" w:eastAsia="宋体" w:cs="Times New Roman"/>
              <w:kern w:val="2"/>
              <w:sz w:val="24"/>
              <w:szCs w:val="22"/>
              <w:lang w:val="en-US" w:eastAsia="zh-CN" w:bidi="ar-SA"/>
            </w:rPr>
            <w:fldChar w:fldCharType="begin"/>
          </w:r>
          <w:r>
            <w:rPr>
              <w:rFonts w:ascii="Times New Roman" w:hAnsi="Times New Roman" w:eastAsia="宋体" w:cs="Times New Roman"/>
              <w:kern w:val="2"/>
              <w:sz w:val="24"/>
              <w:szCs w:val="22"/>
              <w:lang w:val="en-US" w:eastAsia="zh-CN" w:bidi="ar-SA"/>
            </w:rPr>
            <w:instrText xml:space="preserve"> PAGEREF _Toc4836 \h </w:instrText>
          </w:r>
          <w:r>
            <w:rPr>
              <w:rFonts w:ascii="Times New Roman" w:hAnsi="Times New Roman" w:eastAsia="宋体" w:cs="Times New Roman"/>
              <w:kern w:val="2"/>
              <w:sz w:val="24"/>
              <w:szCs w:val="22"/>
              <w:lang w:val="en-US" w:eastAsia="zh-CN" w:bidi="ar-SA"/>
            </w:rPr>
            <w:fldChar w:fldCharType="separate"/>
          </w:r>
          <w:r>
            <w:rPr>
              <w:rFonts w:ascii="Times New Roman" w:hAnsi="Times New Roman" w:eastAsia="宋体" w:cs="Times New Roman"/>
              <w:kern w:val="2"/>
              <w:sz w:val="24"/>
              <w:szCs w:val="22"/>
              <w:lang w:val="en-US" w:eastAsia="zh-CN" w:bidi="ar-SA"/>
            </w:rPr>
            <w:t>28</w:t>
          </w:r>
          <w:r>
            <w:rPr>
              <w:rFonts w:ascii="Times New Roman" w:hAnsi="Times New Roman" w:eastAsia="宋体" w:cs="Times New Roman"/>
              <w:kern w:val="2"/>
              <w:sz w:val="24"/>
              <w:szCs w:val="22"/>
              <w:lang w:val="en-US" w:eastAsia="zh-CN" w:bidi="ar-SA"/>
            </w:rPr>
            <w:fldChar w:fldCharType="end"/>
          </w:r>
          <w:r>
            <w:rPr>
              <w:rFonts w:ascii="Times New Roman" w:hAnsi="Times New Roman" w:eastAsia="宋体" w:cs="Times New Roman"/>
              <w:bCs/>
              <w:color w:val="000000"/>
              <w:kern w:val="2"/>
              <w:sz w:val="24"/>
              <w:szCs w:val="22"/>
              <w:lang w:val="zh-CN" w:eastAsia="zh-CN" w:bidi="ar-SA"/>
            </w:rPr>
            <w:fldChar w:fldCharType="end"/>
          </w:r>
        </w:p>
        <w:p w14:paraId="7811104D">
          <w:pPr>
            <w:widowControl w:val="0"/>
            <w:tabs>
              <w:tab w:val="right" w:leader="dot" w:pos="8306"/>
            </w:tabs>
            <w:spacing w:line="300" w:lineRule="auto"/>
            <w:ind w:left="840" w:leftChars="400" w:firstLine="0" w:firstLineChars="0"/>
            <w:jc w:val="both"/>
            <w:rPr>
              <w:rFonts w:ascii="Times New Roman" w:hAnsi="Times New Roman" w:eastAsia="宋体" w:cs="Times New Roman"/>
              <w:bCs w:val="0"/>
              <w:kern w:val="0"/>
              <w:sz w:val="24"/>
              <w:szCs w:val="32"/>
              <w:lang w:val="zh-CN" w:eastAsia="zh-CN" w:bidi="ar-SA"/>
            </w:rPr>
          </w:pPr>
          <w:r>
            <w:rPr>
              <w:rFonts w:ascii="Times New Roman" w:hAnsi="Times New Roman" w:eastAsia="宋体" w:cs="Times New Roman"/>
              <w:bCs w:val="0"/>
              <w:kern w:val="0"/>
              <w:sz w:val="24"/>
              <w:szCs w:val="32"/>
              <w:lang w:val="zh-CN" w:eastAsia="zh-CN" w:bidi="ar-SA"/>
            </w:rPr>
            <w:fldChar w:fldCharType="begin"/>
          </w:r>
          <w:r>
            <w:rPr>
              <w:rFonts w:ascii="Times New Roman" w:hAnsi="Times New Roman" w:eastAsia="宋体" w:cs="Times New Roman"/>
              <w:bCs w:val="0"/>
              <w:kern w:val="0"/>
              <w:sz w:val="24"/>
              <w:szCs w:val="32"/>
              <w:lang w:val="zh-CN" w:eastAsia="zh-CN" w:bidi="ar-SA"/>
            </w:rPr>
            <w:instrText xml:space="preserve"> HYPERLINK \l _Toc18215 </w:instrText>
          </w:r>
          <w:r>
            <w:rPr>
              <w:rFonts w:ascii="Times New Roman" w:hAnsi="Times New Roman" w:eastAsia="宋体" w:cs="Times New Roman"/>
              <w:bCs w:val="0"/>
              <w:kern w:val="0"/>
              <w:sz w:val="24"/>
              <w:szCs w:val="32"/>
              <w:lang w:val="zh-CN" w:eastAsia="zh-CN" w:bidi="ar-SA"/>
            </w:rPr>
            <w:fldChar w:fldCharType="separate"/>
          </w:r>
          <w:r>
            <w:rPr>
              <w:rFonts w:hint="eastAsia" w:ascii="Times New Roman" w:hAnsi="Times New Roman" w:eastAsia="宋体" w:cs="Times New Roman"/>
              <w:bCs w:val="0"/>
              <w:kern w:val="0"/>
              <w:sz w:val="24"/>
              <w:szCs w:val="32"/>
              <w:lang w:val="zh-CN" w:eastAsia="zh-CN" w:bidi="ar-SA"/>
            </w:rPr>
            <w:t xml:space="preserve">3.2.1 </w:t>
          </w:r>
          <w:r>
            <w:rPr>
              <w:rFonts w:ascii="Times New Roman" w:hAnsi="Times New Roman" w:eastAsia="宋体" w:cs="Times New Roman"/>
              <w:bCs w:val="0"/>
              <w:kern w:val="0"/>
              <w:sz w:val="24"/>
              <w:szCs w:val="32"/>
              <w:lang w:val="zh-CN" w:eastAsia="zh-CN" w:bidi="ar-SA"/>
            </w:rPr>
            <w:t>对生态系统功能的影响</w:t>
          </w:r>
          <w:r>
            <w:rPr>
              <w:rFonts w:ascii="Times New Roman" w:hAnsi="Times New Roman" w:eastAsia="宋体" w:cs="Times New Roman"/>
              <w:bCs w:val="0"/>
              <w:kern w:val="0"/>
              <w:sz w:val="24"/>
              <w:szCs w:val="32"/>
              <w:lang w:val="zh-CN" w:eastAsia="zh-CN" w:bidi="ar-SA"/>
            </w:rPr>
            <w:tab/>
          </w:r>
          <w:r>
            <w:rPr>
              <w:rFonts w:ascii="Times New Roman" w:hAnsi="Times New Roman" w:eastAsia="宋体" w:cs="Times New Roman"/>
              <w:bCs w:val="0"/>
              <w:kern w:val="0"/>
              <w:sz w:val="24"/>
              <w:szCs w:val="32"/>
              <w:lang w:val="zh-CN" w:eastAsia="zh-CN" w:bidi="ar-SA"/>
            </w:rPr>
            <w:fldChar w:fldCharType="begin"/>
          </w:r>
          <w:r>
            <w:rPr>
              <w:rFonts w:ascii="Times New Roman" w:hAnsi="Times New Roman" w:eastAsia="宋体" w:cs="Times New Roman"/>
              <w:bCs w:val="0"/>
              <w:kern w:val="0"/>
              <w:sz w:val="24"/>
              <w:szCs w:val="32"/>
              <w:lang w:val="zh-CN" w:eastAsia="zh-CN" w:bidi="ar-SA"/>
            </w:rPr>
            <w:instrText xml:space="preserve"> PAGEREF _Toc18215 \h </w:instrText>
          </w:r>
          <w:r>
            <w:rPr>
              <w:rFonts w:ascii="Times New Roman" w:hAnsi="Times New Roman" w:eastAsia="宋体" w:cs="Times New Roman"/>
              <w:bCs w:val="0"/>
              <w:kern w:val="0"/>
              <w:sz w:val="24"/>
              <w:szCs w:val="32"/>
              <w:lang w:val="zh-CN" w:eastAsia="zh-CN" w:bidi="ar-SA"/>
            </w:rPr>
            <w:fldChar w:fldCharType="separate"/>
          </w:r>
          <w:r>
            <w:rPr>
              <w:rFonts w:ascii="Times New Roman" w:hAnsi="Times New Roman" w:eastAsia="宋体" w:cs="Times New Roman"/>
              <w:bCs w:val="0"/>
              <w:kern w:val="0"/>
              <w:sz w:val="24"/>
              <w:szCs w:val="32"/>
              <w:lang w:val="zh-CN" w:eastAsia="zh-CN" w:bidi="ar-SA"/>
            </w:rPr>
            <w:t>28</w:t>
          </w:r>
          <w:r>
            <w:rPr>
              <w:rFonts w:ascii="Times New Roman" w:hAnsi="Times New Roman" w:eastAsia="宋体" w:cs="Times New Roman"/>
              <w:bCs w:val="0"/>
              <w:kern w:val="0"/>
              <w:sz w:val="24"/>
              <w:szCs w:val="32"/>
              <w:lang w:val="zh-CN" w:eastAsia="zh-CN" w:bidi="ar-SA"/>
            </w:rPr>
            <w:fldChar w:fldCharType="end"/>
          </w:r>
          <w:r>
            <w:rPr>
              <w:rFonts w:ascii="Times New Roman" w:hAnsi="Times New Roman" w:eastAsia="宋体" w:cs="Times New Roman"/>
              <w:bCs w:val="0"/>
              <w:kern w:val="0"/>
              <w:sz w:val="24"/>
              <w:szCs w:val="32"/>
              <w:lang w:val="zh-CN" w:eastAsia="zh-CN" w:bidi="ar-SA"/>
            </w:rPr>
            <w:fldChar w:fldCharType="end"/>
          </w:r>
        </w:p>
        <w:p w14:paraId="3E4008A1">
          <w:pPr>
            <w:widowControl w:val="0"/>
            <w:tabs>
              <w:tab w:val="right" w:leader="dot" w:pos="8306"/>
            </w:tabs>
            <w:spacing w:line="300" w:lineRule="auto"/>
            <w:ind w:left="840" w:leftChars="400" w:firstLine="0" w:firstLineChars="0"/>
            <w:jc w:val="both"/>
            <w:rPr>
              <w:rFonts w:ascii="Times New Roman" w:hAnsi="Times New Roman" w:eastAsia="宋体" w:cs="Times New Roman"/>
              <w:kern w:val="2"/>
              <w:sz w:val="24"/>
              <w:szCs w:val="22"/>
              <w:lang w:val="en-US" w:eastAsia="zh-CN" w:bidi="ar-SA"/>
            </w:rPr>
          </w:pPr>
          <w:r>
            <w:rPr>
              <w:rFonts w:ascii="Times New Roman" w:hAnsi="Times New Roman" w:eastAsia="宋体" w:cs="Times New Roman"/>
              <w:bCs w:val="0"/>
              <w:kern w:val="0"/>
              <w:sz w:val="24"/>
              <w:szCs w:val="32"/>
              <w:lang w:val="zh-CN" w:eastAsia="zh-CN" w:bidi="ar-SA"/>
            </w:rPr>
            <w:fldChar w:fldCharType="begin"/>
          </w:r>
          <w:r>
            <w:rPr>
              <w:rFonts w:ascii="Times New Roman" w:hAnsi="Times New Roman" w:eastAsia="宋体" w:cs="Times New Roman"/>
              <w:bCs w:val="0"/>
              <w:kern w:val="0"/>
              <w:sz w:val="24"/>
              <w:szCs w:val="32"/>
              <w:lang w:val="zh-CN" w:eastAsia="zh-CN" w:bidi="ar-SA"/>
            </w:rPr>
            <w:instrText xml:space="preserve"> HYPERLINK \l _Toc4568 </w:instrText>
          </w:r>
          <w:r>
            <w:rPr>
              <w:rFonts w:ascii="Times New Roman" w:hAnsi="Times New Roman" w:eastAsia="宋体" w:cs="Times New Roman"/>
              <w:bCs w:val="0"/>
              <w:kern w:val="0"/>
              <w:sz w:val="24"/>
              <w:szCs w:val="32"/>
              <w:lang w:val="zh-CN" w:eastAsia="zh-CN" w:bidi="ar-SA"/>
            </w:rPr>
            <w:fldChar w:fldCharType="separate"/>
          </w:r>
          <w:r>
            <w:rPr>
              <w:rFonts w:hint="eastAsia" w:ascii="Times New Roman" w:hAnsi="Times New Roman" w:eastAsia="宋体" w:cs="Times New Roman"/>
              <w:bCs w:val="0"/>
              <w:kern w:val="0"/>
              <w:sz w:val="24"/>
              <w:szCs w:val="32"/>
              <w:lang w:val="zh-CN" w:eastAsia="zh-CN" w:bidi="ar-SA"/>
            </w:rPr>
            <w:t xml:space="preserve">3.2.2 </w:t>
          </w:r>
          <w:r>
            <w:rPr>
              <w:rFonts w:ascii="Times New Roman" w:hAnsi="Times New Roman" w:eastAsia="宋体" w:cs="Times New Roman"/>
              <w:bCs w:val="0"/>
              <w:kern w:val="0"/>
              <w:sz w:val="24"/>
              <w:szCs w:val="32"/>
              <w:lang w:val="zh-CN" w:eastAsia="zh-CN" w:bidi="ar-SA"/>
            </w:rPr>
            <w:t>景观生态体系影响评价</w:t>
          </w:r>
          <w:r>
            <w:rPr>
              <w:rFonts w:ascii="Times New Roman" w:hAnsi="Times New Roman" w:eastAsia="宋体" w:cs="Times New Roman"/>
              <w:bCs w:val="0"/>
              <w:kern w:val="0"/>
              <w:sz w:val="24"/>
              <w:szCs w:val="32"/>
              <w:lang w:val="zh-CN" w:eastAsia="zh-CN" w:bidi="ar-SA"/>
            </w:rPr>
            <w:tab/>
          </w:r>
          <w:r>
            <w:rPr>
              <w:rFonts w:ascii="Times New Roman" w:hAnsi="Times New Roman" w:eastAsia="宋体" w:cs="Times New Roman"/>
              <w:bCs w:val="0"/>
              <w:kern w:val="0"/>
              <w:sz w:val="24"/>
              <w:szCs w:val="32"/>
              <w:lang w:val="zh-CN" w:eastAsia="zh-CN" w:bidi="ar-SA"/>
            </w:rPr>
            <w:fldChar w:fldCharType="begin"/>
          </w:r>
          <w:r>
            <w:rPr>
              <w:rFonts w:ascii="Times New Roman" w:hAnsi="Times New Roman" w:eastAsia="宋体" w:cs="Times New Roman"/>
              <w:bCs w:val="0"/>
              <w:kern w:val="0"/>
              <w:sz w:val="24"/>
              <w:szCs w:val="32"/>
              <w:lang w:val="zh-CN" w:eastAsia="zh-CN" w:bidi="ar-SA"/>
            </w:rPr>
            <w:instrText xml:space="preserve"> PAGEREF _Toc4568 \h </w:instrText>
          </w:r>
          <w:r>
            <w:rPr>
              <w:rFonts w:ascii="Times New Roman" w:hAnsi="Times New Roman" w:eastAsia="宋体" w:cs="Times New Roman"/>
              <w:bCs w:val="0"/>
              <w:kern w:val="0"/>
              <w:sz w:val="24"/>
              <w:szCs w:val="32"/>
              <w:lang w:val="zh-CN" w:eastAsia="zh-CN" w:bidi="ar-SA"/>
            </w:rPr>
            <w:fldChar w:fldCharType="separate"/>
          </w:r>
          <w:r>
            <w:rPr>
              <w:rFonts w:ascii="Times New Roman" w:hAnsi="Times New Roman" w:eastAsia="宋体" w:cs="Times New Roman"/>
              <w:bCs w:val="0"/>
              <w:kern w:val="0"/>
              <w:sz w:val="24"/>
              <w:szCs w:val="32"/>
              <w:lang w:val="zh-CN" w:eastAsia="zh-CN" w:bidi="ar-SA"/>
            </w:rPr>
            <w:t>32</w:t>
          </w:r>
          <w:r>
            <w:rPr>
              <w:rFonts w:ascii="Times New Roman" w:hAnsi="Times New Roman" w:eastAsia="宋体" w:cs="Times New Roman"/>
              <w:bCs w:val="0"/>
              <w:kern w:val="0"/>
              <w:sz w:val="24"/>
              <w:szCs w:val="32"/>
              <w:lang w:val="zh-CN" w:eastAsia="zh-CN" w:bidi="ar-SA"/>
            </w:rPr>
            <w:fldChar w:fldCharType="end"/>
          </w:r>
          <w:r>
            <w:rPr>
              <w:rFonts w:ascii="Times New Roman" w:hAnsi="Times New Roman" w:eastAsia="宋体" w:cs="Times New Roman"/>
              <w:bCs w:val="0"/>
              <w:kern w:val="0"/>
              <w:sz w:val="24"/>
              <w:szCs w:val="32"/>
              <w:lang w:val="zh-CN" w:eastAsia="zh-CN" w:bidi="ar-SA"/>
            </w:rPr>
            <w:fldChar w:fldCharType="end"/>
          </w:r>
        </w:p>
        <w:p w14:paraId="337F9572">
          <w:pPr>
            <w:widowControl w:val="0"/>
            <w:tabs>
              <w:tab w:val="right" w:leader="dot" w:pos="8306"/>
            </w:tabs>
            <w:spacing w:line="300" w:lineRule="auto"/>
            <w:ind w:left="420" w:leftChars="200" w:firstLine="0" w:firstLineChars="0"/>
            <w:jc w:val="both"/>
            <w:rPr>
              <w:rFonts w:ascii="Times New Roman" w:hAnsi="Times New Roman" w:eastAsia="宋体" w:cs="Times New Roman"/>
              <w:kern w:val="2"/>
              <w:sz w:val="24"/>
              <w:szCs w:val="22"/>
              <w:lang w:val="en-US" w:eastAsia="zh-CN" w:bidi="ar-SA"/>
            </w:rPr>
          </w:pPr>
          <w:r>
            <w:rPr>
              <w:rFonts w:ascii="Times New Roman" w:hAnsi="Times New Roman" w:eastAsia="宋体" w:cs="Times New Roman"/>
              <w:bCs/>
              <w:color w:val="000000"/>
              <w:kern w:val="2"/>
              <w:sz w:val="24"/>
              <w:szCs w:val="22"/>
              <w:lang w:val="zh-CN" w:eastAsia="zh-CN" w:bidi="ar-SA"/>
            </w:rPr>
            <w:fldChar w:fldCharType="begin"/>
          </w:r>
          <w:r>
            <w:rPr>
              <w:rFonts w:ascii="Times New Roman" w:hAnsi="Times New Roman" w:eastAsia="宋体" w:cs="Times New Roman"/>
              <w:bCs/>
              <w:kern w:val="2"/>
              <w:sz w:val="24"/>
              <w:szCs w:val="22"/>
              <w:lang w:val="zh-CN" w:eastAsia="zh-CN" w:bidi="ar-SA"/>
            </w:rPr>
            <w:instrText xml:space="preserve"> HYPERLINK \l _Toc18057 </w:instrText>
          </w:r>
          <w:r>
            <w:rPr>
              <w:rFonts w:ascii="Times New Roman" w:hAnsi="Times New Roman" w:eastAsia="宋体" w:cs="Times New Roman"/>
              <w:bCs/>
              <w:kern w:val="2"/>
              <w:sz w:val="24"/>
              <w:szCs w:val="22"/>
              <w:lang w:val="zh-CN" w:eastAsia="zh-CN" w:bidi="ar-SA"/>
            </w:rPr>
            <w:fldChar w:fldCharType="separate"/>
          </w:r>
          <w:r>
            <w:rPr>
              <w:rFonts w:hint="eastAsia" w:ascii="Times New Roman" w:hAnsi="Times New Roman" w:eastAsia="宋体" w:cs="Times New Roman"/>
              <w:kern w:val="2"/>
              <w:sz w:val="24"/>
              <w:szCs w:val="22"/>
              <w:lang w:val="en-US" w:eastAsia="zh-CN" w:bidi="ar-SA"/>
            </w:rPr>
            <w:t xml:space="preserve">3.3 </w:t>
          </w:r>
          <w:r>
            <w:rPr>
              <w:rFonts w:ascii="Times New Roman" w:hAnsi="Times New Roman" w:eastAsia="宋体" w:cs="Times New Roman"/>
              <w:kern w:val="2"/>
              <w:sz w:val="24"/>
              <w:szCs w:val="22"/>
              <w:lang w:val="en-US" w:eastAsia="zh-CN" w:bidi="ar-SA"/>
            </w:rPr>
            <w:t>对植被及植物资源的影响分析</w:t>
          </w:r>
          <w:r>
            <w:rPr>
              <w:rFonts w:ascii="Times New Roman" w:hAnsi="Times New Roman" w:eastAsia="宋体" w:cs="Times New Roman"/>
              <w:kern w:val="2"/>
              <w:sz w:val="24"/>
              <w:szCs w:val="22"/>
              <w:lang w:val="en-US" w:eastAsia="zh-CN" w:bidi="ar-SA"/>
            </w:rPr>
            <w:tab/>
          </w:r>
          <w:r>
            <w:rPr>
              <w:rFonts w:ascii="Times New Roman" w:hAnsi="Times New Roman" w:eastAsia="宋体" w:cs="Times New Roman"/>
              <w:kern w:val="2"/>
              <w:sz w:val="24"/>
              <w:szCs w:val="22"/>
              <w:lang w:val="en-US" w:eastAsia="zh-CN" w:bidi="ar-SA"/>
            </w:rPr>
            <w:fldChar w:fldCharType="begin"/>
          </w:r>
          <w:r>
            <w:rPr>
              <w:rFonts w:ascii="Times New Roman" w:hAnsi="Times New Roman" w:eastAsia="宋体" w:cs="Times New Roman"/>
              <w:kern w:val="2"/>
              <w:sz w:val="24"/>
              <w:szCs w:val="22"/>
              <w:lang w:val="en-US" w:eastAsia="zh-CN" w:bidi="ar-SA"/>
            </w:rPr>
            <w:instrText xml:space="preserve"> PAGEREF _Toc18057 \h </w:instrText>
          </w:r>
          <w:r>
            <w:rPr>
              <w:rFonts w:ascii="Times New Roman" w:hAnsi="Times New Roman" w:eastAsia="宋体" w:cs="Times New Roman"/>
              <w:kern w:val="2"/>
              <w:sz w:val="24"/>
              <w:szCs w:val="22"/>
              <w:lang w:val="en-US" w:eastAsia="zh-CN" w:bidi="ar-SA"/>
            </w:rPr>
            <w:fldChar w:fldCharType="separate"/>
          </w:r>
          <w:r>
            <w:rPr>
              <w:rFonts w:ascii="Times New Roman" w:hAnsi="Times New Roman" w:eastAsia="宋体" w:cs="Times New Roman"/>
              <w:kern w:val="2"/>
              <w:sz w:val="24"/>
              <w:szCs w:val="22"/>
              <w:lang w:val="en-US" w:eastAsia="zh-CN" w:bidi="ar-SA"/>
            </w:rPr>
            <w:t>34</w:t>
          </w:r>
          <w:r>
            <w:rPr>
              <w:rFonts w:ascii="Times New Roman" w:hAnsi="Times New Roman" w:eastAsia="宋体" w:cs="Times New Roman"/>
              <w:kern w:val="2"/>
              <w:sz w:val="24"/>
              <w:szCs w:val="22"/>
              <w:lang w:val="en-US" w:eastAsia="zh-CN" w:bidi="ar-SA"/>
            </w:rPr>
            <w:fldChar w:fldCharType="end"/>
          </w:r>
          <w:r>
            <w:rPr>
              <w:rFonts w:ascii="Times New Roman" w:hAnsi="Times New Roman" w:eastAsia="宋体" w:cs="Times New Roman"/>
              <w:bCs/>
              <w:color w:val="000000"/>
              <w:kern w:val="2"/>
              <w:sz w:val="24"/>
              <w:szCs w:val="22"/>
              <w:lang w:val="zh-CN" w:eastAsia="zh-CN" w:bidi="ar-SA"/>
            </w:rPr>
            <w:fldChar w:fldCharType="end"/>
          </w:r>
        </w:p>
        <w:p w14:paraId="63BFAC73">
          <w:pPr>
            <w:widowControl w:val="0"/>
            <w:tabs>
              <w:tab w:val="right" w:leader="dot" w:pos="8306"/>
            </w:tabs>
            <w:spacing w:line="300" w:lineRule="auto"/>
            <w:ind w:left="840" w:leftChars="400" w:firstLine="0" w:firstLineChars="0"/>
            <w:jc w:val="both"/>
            <w:rPr>
              <w:rFonts w:ascii="Times New Roman" w:hAnsi="Times New Roman" w:eastAsia="宋体" w:cs="Times New Roman"/>
              <w:bCs w:val="0"/>
              <w:kern w:val="0"/>
              <w:sz w:val="24"/>
              <w:szCs w:val="32"/>
              <w:lang w:val="zh-CN" w:eastAsia="zh-CN" w:bidi="ar-SA"/>
            </w:rPr>
          </w:pPr>
          <w:r>
            <w:rPr>
              <w:rFonts w:ascii="Times New Roman" w:hAnsi="Times New Roman" w:eastAsia="宋体" w:cs="Times New Roman"/>
              <w:bCs w:val="0"/>
              <w:kern w:val="0"/>
              <w:sz w:val="24"/>
              <w:szCs w:val="32"/>
              <w:lang w:val="zh-CN" w:eastAsia="zh-CN" w:bidi="ar-SA"/>
            </w:rPr>
            <w:fldChar w:fldCharType="begin"/>
          </w:r>
          <w:r>
            <w:rPr>
              <w:rFonts w:ascii="Times New Roman" w:hAnsi="Times New Roman" w:eastAsia="宋体" w:cs="Times New Roman"/>
              <w:bCs w:val="0"/>
              <w:kern w:val="0"/>
              <w:sz w:val="24"/>
              <w:szCs w:val="32"/>
              <w:lang w:val="zh-CN" w:eastAsia="zh-CN" w:bidi="ar-SA"/>
            </w:rPr>
            <w:instrText xml:space="preserve"> HYPERLINK \l _Toc18584 </w:instrText>
          </w:r>
          <w:r>
            <w:rPr>
              <w:rFonts w:ascii="Times New Roman" w:hAnsi="Times New Roman" w:eastAsia="宋体" w:cs="Times New Roman"/>
              <w:bCs w:val="0"/>
              <w:kern w:val="0"/>
              <w:sz w:val="24"/>
              <w:szCs w:val="32"/>
              <w:lang w:val="zh-CN" w:eastAsia="zh-CN" w:bidi="ar-SA"/>
            </w:rPr>
            <w:fldChar w:fldCharType="separate"/>
          </w:r>
          <w:r>
            <w:rPr>
              <w:rFonts w:hint="eastAsia" w:ascii="Times New Roman" w:hAnsi="Times New Roman" w:eastAsia="宋体" w:cs="Times New Roman"/>
              <w:bCs w:val="0"/>
              <w:kern w:val="0"/>
              <w:sz w:val="24"/>
              <w:szCs w:val="32"/>
              <w:lang w:val="zh-CN" w:eastAsia="zh-CN" w:bidi="ar-SA"/>
            </w:rPr>
            <w:t xml:space="preserve">3.3.1 </w:t>
          </w:r>
          <w:r>
            <w:rPr>
              <w:rFonts w:ascii="Times New Roman" w:hAnsi="Times New Roman" w:eastAsia="宋体" w:cs="Times New Roman"/>
              <w:bCs w:val="0"/>
              <w:kern w:val="0"/>
              <w:sz w:val="24"/>
              <w:szCs w:val="32"/>
              <w:lang w:val="zh-CN" w:eastAsia="zh-CN" w:bidi="ar-SA"/>
            </w:rPr>
            <w:t>对植被生物量损失的影响分析</w:t>
          </w:r>
          <w:r>
            <w:rPr>
              <w:rFonts w:ascii="Times New Roman" w:hAnsi="Times New Roman" w:eastAsia="宋体" w:cs="Times New Roman"/>
              <w:bCs w:val="0"/>
              <w:kern w:val="0"/>
              <w:sz w:val="24"/>
              <w:szCs w:val="32"/>
              <w:lang w:val="zh-CN" w:eastAsia="zh-CN" w:bidi="ar-SA"/>
            </w:rPr>
            <w:tab/>
          </w:r>
          <w:r>
            <w:rPr>
              <w:rFonts w:ascii="Times New Roman" w:hAnsi="Times New Roman" w:eastAsia="宋体" w:cs="Times New Roman"/>
              <w:bCs w:val="0"/>
              <w:kern w:val="0"/>
              <w:sz w:val="24"/>
              <w:szCs w:val="32"/>
              <w:lang w:val="zh-CN" w:eastAsia="zh-CN" w:bidi="ar-SA"/>
            </w:rPr>
            <w:fldChar w:fldCharType="begin"/>
          </w:r>
          <w:r>
            <w:rPr>
              <w:rFonts w:ascii="Times New Roman" w:hAnsi="Times New Roman" w:eastAsia="宋体" w:cs="Times New Roman"/>
              <w:bCs w:val="0"/>
              <w:kern w:val="0"/>
              <w:sz w:val="24"/>
              <w:szCs w:val="32"/>
              <w:lang w:val="zh-CN" w:eastAsia="zh-CN" w:bidi="ar-SA"/>
            </w:rPr>
            <w:instrText xml:space="preserve"> PAGEREF _Toc18584 \h </w:instrText>
          </w:r>
          <w:r>
            <w:rPr>
              <w:rFonts w:ascii="Times New Roman" w:hAnsi="Times New Roman" w:eastAsia="宋体" w:cs="Times New Roman"/>
              <w:bCs w:val="0"/>
              <w:kern w:val="0"/>
              <w:sz w:val="24"/>
              <w:szCs w:val="32"/>
              <w:lang w:val="zh-CN" w:eastAsia="zh-CN" w:bidi="ar-SA"/>
            </w:rPr>
            <w:fldChar w:fldCharType="separate"/>
          </w:r>
          <w:r>
            <w:rPr>
              <w:rFonts w:ascii="Times New Roman" w:hAnsi="Times New Roman" w:eastAsia="宋体" w:cs="Times New Roman"/>
              <w:bCs w:val="0"/>
              <w:kern w:val="0"/>
              <w:sz w:val="24"/>
              <w:szCs w:val="32"/>
              <w:lang w:val="zh-CN" w:eastAsia="zh-CN" w:bidi="ar-SA"/>
            </w:rPr>
            <w:t>34</w:t>
          </w:r>
          <w:r>
            <w:rPr>
              <w:rFonts w:ascii="Times New Roman" w:hAnsi="Times New Roman" w:eastAsia="宋体" w:cs="Times New Roman"/>
              <w:bCs w:val="0"/>
              <w:kern w:val="0"/>
              <w:sz w:val="24"/>
              <w:szCs w:val="32"/>
              <w:lang w:val="zh-CN" w:eastAsia="zh-CN" w:bidi="ar-SA"/>
            </w:rPr>
            <w:fldChar w:fldCharType="end"/>
          </w:r>
          <w:r>
            <w:rPr>
              <w:rFonts w:ascii="Times New Roman" w:hAnsi="Times New Roman" w:eastAsia="宋体" w:cs="Times New Roman"/>
              <w:bCs w:val="0"/>
              <w:kern w:val="0"/>
              <w:sz w:val="24"/>
              <w:szCs w:val="32"/>
              <w:lang w:val="zh-CN" w:eastAsia="zh-CN" w:bidi="ar-SA"/>
            </w:rPr>
            <w:fldChar w:fldCharType="end"/>
          </w:r>
        </w:p>
        <w:p w14:paraId="24AC572A">
          <w:pPr>
            <w:widowControl w:val="0"/>
            <w:tabs>
              <w:tab w:val="right" w:leader="dot" w:pos="8306"/>
            </w:tabs>
            <w:spacing w:line="300" w:lineRule="auto"/>
            <w:ind w:left="840" w:leftChars="400" w:firstLine="0" w:firstLineChars="0"/>
            <w:jc w:val="both"/>
            <w:rPr>
              <w:rFonts w:ascii="Times New Roman" w:hAnsi="Times New Roman" w:eastAsia="宋体" w:cs="Times New Roman"/>
              <w:bCs w:val="0"/>
              <w:kern w:val="0"/>
              <w:sz w:val="24"/>
              <w:szCs w:val="32"/>
              <w:lang w:val="zh-CN" w:eastAsia="zh-CN" w:bidi="ar-SA"/>
            </w:rPr>
          </w:pPr>
          <w:r>
            <w:rPr>
              <w:rFonts w:ascii="Times New Roman" w:hAnsi="Times New Roman" w:eastAsia="宋体" w:cs="Times New Roman"/>
              <w:bCs w:val="0"/>
              <w:kern w:val="0"/>
              <w:sz w:val="24"/>
              <w:szCs w:val="32"/>
              <w:lang w:val="zh-CN" w:eastAsia="zh-CN" w:bidi="ar-SA"/>
            </w:rPr>
            <w:fldChar w:fldCharType="begin"/>
          </w:r>
          <w:r>
            <w:rPr>
              <w:rFonts w:ascii="Times New Roman" w:hAnsi="Times New Roman" w:eastAsia="宋体" w:cs="Times New Roman"/>
              <w:bCs w:val="0"/>
              <w:kern w:val="0"/>
              <w:sz w:val="24"/>
              <w:szCs w:val="32"/>
              <w:lang w:val="zh-CN" w:eastAsia="zh-CN" w:bidi="ar-SA"/>
            </w:rPr>
            <w:instrText xml:space="preserve"> HYPERLINK \l _Toc1719 </w:instrText>
          </w:r>
          <w:r>
            <w:rPr>
              <w:rFonts w:ascii="Times New Roman" w:hAnsi="Times New Roman" w:eastAsia="宋体" w:cs="Times New Roman"/>
              <w:bCs w:val="0"/>
              <w:kern w:val="0"/>
              <w:sz w:val="24"/>
              <w:szCs w:val="32"/>
              <w:lang w:val="zh-CN" w:eastAsia="zh-CN" w:bidi="ar-SA"/>
            </w:rPr>
            <w:fldChar w:fldCharType="separate"/>
          </w:r>
          <w:r>
            <w:rPr>
              <w:rFonts w:hint="eastAsia" w:ascii="Times New Roman" w:hAnsi="Times New Roman" w:eastAsia="宋体" w:cs="Times New Roman"/>
              <w:bCs w:val="0"/>
              <w:kern w:val="0"/>
              <w:sz w:val="24"/>
              <w:szCs w:val="32"/>
              <w:lang w:val="zh-CN" w:eastAsia="zh-CN" w:bidi="ar-SA"/>
            </w:rPr>
            <w:t xml:space="preserve">3.3.2 </w:t>
          </w:r>
          <w:r>
            <w:rPr>
              <w:rFonts w:ascii="Times New Roman" w:hAnsi="Times New Roman" w:eastAsia="宋体" w:cs="Times New Roman"/>
              <w:bCs w:val="0"/>
              <w:kern w:val="0"/>
              <w:sz w:val="24"/>
              <w:szCs w:val="32"/>
              <w:lang w:val="zh-CN" w:eastAsia="zh-CN" w:bidi="ar-SA"/>
            </w:rPr>
            <w:t>对植物群落及植物多样性的影响分析</w:t>
          </w:r>
          <w:r>
            <w:rPr>
              <w:rFonts w:ascii="Times New Roman" w:hAnsi="Times New Roman" w:eastAsia="宋体" w:cs="Times New Roman"/>
              <w:bCs w:val="0"/>
              <w:kern w:val="0"/>
              <w:sz w:val="24"/>
              <w:szCs w:val="32"/>
              <w:lang w:val="zh-CN" w:eastAsia="zh-CN" w:bidi="ar-SA"/>
            </w:rPr>
            <w:tab/>
          </w:r>
          <w:r>
            <w:rPr>
              <w:rFonts w:ascii="Times New Roman" w:hAnsi="Times New Roman" w:eastAsia="宋体" w:cs="Times New Roman"/>
              <w:bCs w:val="0"/>
              <w:kern w:val="0"/>
              <w:sz w:val="24"/>
              <w:szCs w:val="32"/>
              <w:lang w:val="zh-CN" w:eastAsia="zh-CN" w:bidi="ar-SA"/>
            </w:rPr>
            <w:fldChar w:fldCharType="begin"/>
          </w:r>
          <w:r>
            <w:rPr>
              <w:rFonts w:ascii="Times New Roman" w:hAnsi="Times New Roman" w:eastAsia="宋体" w:cs="Times New Roman"/>
              <w:bCs w:val="0"/>
              <w:kern w:val="0"/>
              <w:sz w:val="24"/>
              <w:szCs w:val="32"/>
              <w:lang w:val="zh-CN" w:eastAsia="zh-CN" w:bidi="ar-SA"/>
            </w:rPr>
            <w:instrText xml:space="preserve"> PAGEREF _Toc1719 \h </w:instrText>
          </w:r>
          <w:r>
            <w:rPr>
              <w:rFonts w:ascii="Times New Roman" w:hAnsi="Times New Roman" w:eastAsia="宋体" w:cs="Times New Roman"/>
              <w:bCs w:val="0"/>
              <w:kern w:val="0"/>
              <w:sz w:val="24"/>
              <w:szCs w:val="32"/>
              <w:lang w:val="zh-CN" w:eastAsia="zh-CN" w:bidi="ar-SA"/>
            </w:rPr>
            <w:fldChar w:fldCharType="separate"/>
          </w:r>
          <w:r>
            <w:rPr>
              <w:rFonts w:ascii="Times New Roman" w:hAnsi="Times New Roman" w:eastAsia="宋体" w:cs="Times New Roman"/>
              <w:bCs w:val="0"/>
              <w:kern w:val="0"/>
              <w:sz w:val="24"/>
              <w:szCs w:val="32"/>
              <w:lang w:val="zh-CN" w:eastAsia="zh-CN" w:bidi="ar-SA"/>
            </w:rPr>
            <w:t>34</w:t>
          </w:r>
          <w:r>
            <w:rPr>
              <w:rFonts w:ascii="Times New Roman" w:hAnsi="Times New Roman" w:eastAsia="宋体" w:cs="Times New Roman"/>
              <w:bCs w:val="0"/>
              <w:kern w:val="0"/>
              <w:sz w:val="24"/>
              <w:szCs w:val="32"/>
              <w:lang w:val="zh-CN" w:eastAsia="zh-CN" w:bidi="ar-SA"/>
            </w:rPr>
            <w:fldChar w:fldCharType="end"/>
          </w:r>
          <w:r>
            <w:rPr>
              <w:rFonts w:ascii="Times New Roman" w:hAnsi="Times New Roman" w:eastAsia="宋体" w:cs="Times New Roman"/>
              <w:bCs w:val="0"/>
              <w:kern w:val="0"/>
              <w:sz w:val="24"/>
              <w:szCs w:val="32"/>
              <w:lang w:val="zh-CN" w:eastAsia="zh-CN" w:bidi="ar-SA"/>
            </w:rPr>
            <w:fldChar w:fldCharType="end"/>
          </w:r>
        </w:p>
        <w:p w14:paraId="01143179">
          <w:pPr>
            <w:widowControl w:val="0"/>
            <w:tabs>
              <w:tab w:val="right" w:leader="dot" w:pos="8306"/>
            </w:tabs>
            <w:spacing w:line="300" w:lineRule="auto"/>
            <w:ind w:left="840" w:leftChars="400" w:firstLine="0" w:firstLineChars="0"/>
            <w:jc w:val="both"/>
            <w:rPr>
              <w:rFonts w:ascii="Times New Roman" w:hAnsi="Times New Roman" w:eastAsia="宋体" w:cs="Times New Roman"/>
              <w:bCs w:val="0"/>
              <w:kern w:val="0"/>
              <w:sz w:val="24"/>
              <w:szCs w:val="32"/>
              <w:lang w:val="zh-CN" w:eastAsia="zh-CN" w:bidi="ar-SA"/>
            </w:rPr>
          </w:pPr>
          <w:r>
            <w:rPr>
              <w:rFonts w:ascii="Times New Roman" w:hAnsi="Times New Roman" w:eastAsia="宋体" w:cs="Times New Roman"/>
              <w:bCs w:val="0"/>
              <w:kern w:val="0"/>
              <w:sz w:val="24"/>
              <w:szCs w:val="32"/>
              <w:lang w:val="zh-CN" w:eastAsia="zh-CN" w:bidi="ar-SA"/>
            </w:rPr>
            <w:fldChar w:fldCharType="begin"/>
          </w:r>
          <w:r>
            <w:rPr>
              <w:rFonts w:ascii="Times New Roman" w:hAnsi="Times New Roman" w:eastAsia="宋体" w:cs="Times New Roman"/>
              <w:bCs w:val="0"/>
              <w:kern w:val="0"/>
              <w:sz w:val="24"/>
              <w:szCs w:val="32"/>
              <w:lang w:val="zh-CN" w:eastAsia="zh-CN" w:bidi="ar-SA"/>
            </w:rPr>
            <w:instrText xml:space="preserve"> HYPERLINK \l _Toc20838 </w:instrText>
          </w:r>
          <w:r>
            <w:rPr>
              <w:rFonts w:ascii="Times New Roman" w:hAnsi="Times New Roman" w:eastAsia="宋体" w:cs="Times New Roman"/>
              <w:bCs w:val="0"/>
              <w:kern w:val="0"/>
              <w:sz w:val="24"/>
              <w:szCs w:val="32"/>
              <w:lang w:val="zh-CN" w:eastAsia="zh-CN" w:bidi="ar-SA"/>
            </w:rPr>
            <w:fldChar w:fldCharType="separate"/>
          </w:r>
          <w:r>
            <w:rPr>
              <w:rFonts w:hint="eastAsia" w:ascii="Times New Roman" w:hAnsi="Times New Roman" w:eastAsia="宋体" w:cs="Times New Roman"/>
              <w:bCs w:val="0"/>
              <w:kern w:val="0"/>
              <w:sz w:val="24"/>
              <w:szCs w:val="32"/>
              <w:lang w:val="zh-CN" w:eastAsia="zh-CN" w:bidi="ar-SA"/>
            </w:rPr>
            <w:t xml:space="preserve">3.3.3 </w:t>
          </w:r>
          <w:r>
            <w:rPr>
              <w:rFonts w:ascii="Times New Roman" w:hAnsi="Times New Roman" w:eastAsia="宋体" w:cs="Times New Roman"/>
              <w:bCs w:val="0"/>
              <w:kern w:val="0"/>
              <w:sz w:val="24"/>
              <w:szCs w:val="32"/>
              <w:lang w:val="zh-CN" w:eastAsia="zh-CN" w:bidi="ar-SA"/>
            </w:rPr>
            <w:t>对重点保护植物和古树名木的影响分析</w:t>
          </w:r>
          <w:r>
            <w:rPr>
              <w:rFonts w:ascii="Times New Roman" w:hAnsi="Times New Roman" w:eastAsia="宋体" w:cs="Times New Roman"/>
              <w:bCs w:val="0"/>
              <w:kern w:val="0"/>
              <w:sz w:val="24"/>
              <w:szCs w:val="32"/>
              <w:lang w:val="zh-CN" w:eastAsia="zh-CN" w:bidi="ar-SA"/>
            </w:rPr>
            <w:tab/>
          </w:r>
          <w:r>
            <w:rPr>
              <w:rFonts w:ascii="Times New Roman" w:hAnsi="Times New Roman" w:eastAsia="宋体" w:cs="Times New Roman"/>
              <w:bCs w:val="0"/>
              <w:kern w:val="0"/>
              <w:sz w:val="24"/>
              <w:szCs w:val="32"/>
              <w:lang w:val="zh-CN" w:eastAsia="zh-CN" w:bidi="ar-SA"/>
            </w:rPr>
            <w:fldChar w:fldCharType="begin"/>
          </w:r>
          <w:r>
            <w:rPr>
              <w:rFonts w:ascii="Times New Roman" w:hAnsi="Times New Roman" w:eastAsia="宋体" w:cs="Times New Roman"/>
              <w:bCs w:val="0"/>
              <w:kern w:val="0"/>
              <w:sz w:val="24"/>
              <w:szCs w:val="32"/>
              <w:lang w:val="zh-CN" w:eastAsia="zh-CN" w:bidi="ar-SA"/>
            </w:rPr>
            <w:instrText xml:space="preserve"> PAGEREF _Toc20838 \h </w:instrText>
          </w:r>
          <w:r>
            <w:rPr>
              <w:rFonts w:ascii="Times New Roman" w:hAnsi="Times New Roman" w:eastAsia="宋体" w:cs="Times New Roman"/>
              <w:bCs w:val="0"/>
              <w:kern w:val="0"/>
              <w:sz w:val="24"/>
              <w:szCs w:val="32"/>
              <w:lang w:val="zh-CN" w:eastAsia="zh-CN" w:bidi="ar-SA"/>
            </w:rPr>
            <w:fldChar w:fldCharType="separate"/>
          </w:r>
          <w:r>
            <w:rPr>
              <w:rFonts w:ascii="Times New Roman" w:hAnsi="Times New Roman" w:eastAsia="宋体" w:cs="Times New Roman"/>
              <w:bCs w:val="0"/>
              <w:kern w:val="0"/>
              <w:sz w:val="24"/>
              <w:szCs w:val="32"/>
              <w:lang w:val="zh-CN" w:eastAsia="zh-CN" w:bidi="ar-SA"/>
            </w:rPr>
            <w:t>35</w:t>
          </w:r>
          <w:r>
            <w:rPr>
              <w:rFonts w:ascii="Times New Roman" w:hAnsi="Times New Roman" w:eastAsia="宋体" w:cs="Times New Roman"/>
              <w:bCs w:val="0"/>
              <w:kern w:val="0"/>
              <w:sz w:val="24"/>
              <w:szCs w:val="32"/>
              <w:lang w:val="zh-CN" w:eastAsia="zh-CN" w:bidi="ar-SA"/>
            </w:rPr>
            <w:fldChar w:fldCharType="end"/>
          </w:r>
          <w:r>
            <w:rPr>
              <w:rFonts w:ascii="Times New Roman" w:hAnsi="Times New Roman" w:eastAsia="宋体" w:cs="Times New Roman"/>
              <w:bCs w:val="0"/>
              <w:kern w:val="0"/>
              <w:sz w:val="24"/>
              <w:szCs w:val="32"/>
              <w:lang w:val="zh-CN" w:eastAsia="zh-CN" w:bidi="ar-SA"/>
            </w:rPr>
            <w:fldChar w:fldCharType="end"/>
          </w:r>
        </w:p>
        <w:p w14:paraId="43BD9071">
          <w:pPr>
            <w:widowControl w:val="0"/>
            <w:tabs>
              <w:tab w:val="right" w:leader="dot" w:pos="8306"/>
            </w:tabs>
            <w:spacing w:line="300" w:lineRule="auto"/>
            <w:ind w:left="840" w:leftChars="400" w:firstLine="0" w:firstLineChars="0"/>
            <w:jc w:val="both"/>
            <w:rPr>
              <w:rFonts w:ascii="Times New Roman" w:hAnsi="Times New Roman" w:eastAsia="宋体" w:cs="Times New Roman"/>
              <w:bCs w:val="0"/>
              <w:kern w:val="0"/>
              <w:sz w:val="24"/>
              <w:szCs w:val="32"/>
              <w:lang w:val="zh-CN" w:eastAsia="zh-CN" w:bidi="ar-SA"/>
            </w:rPr>
          </w:pPr>
          <w:r>
            <w:rPr>
              <w:rFonts w:ascii="Times New Roman" w:hAnsi="Times New Roman" w:eastAsia="宋体" w:cs="Times New Roman"/>
              <w:bCs w:val="0"/>
              <w:kern w:val="0"/>
              <w:sz w:val="24"/>
              <w:szCs w:val="32"/>
              <w:lang w:val="zh-CN" w:eastAsia="zh-CN" w:bidi="ar-SA"/>
            </w:rPr>
            <w:fldChar w:fldCharType="begin"/>
          </w:r>
          <w:r>
            <w:rPr>
              <w:rFonts w:ascii="Times New Roman" w:hAnsi="Times New Roman" w:eastAsia="宋体" w:cs="Times New Roman"/>
              <w:bCs w:val="0"/>
              <w:kern w:val="0"/>
              <w:sz w:val="24"/>
              <w:szCs w:val="32"/>
              <w:lang w:val="zh-CN" w:eastAsia="zh-CN" w:bidi="ar-SA"/>
            </w:rPr>
            <w:instrText xml:space="preserve"> HYPERLINK \l _Toc11364 </w:instrText>
          </w:r>
          <w:r>
            <w:rPr>
              <w:rFonts w:ascii="Times New Roman" w:hAnsi="Times New Roman" w:eastAsia="宋体" w:cs="Times New Roman"/>
              <w:bCs w:val="0"/>
              <w:kern w:val="0"/>
              <w:sz w:val="24"/>
              <w:szCs w:val="32"/>
              <w:lang w:val="zh-CN" w:eastAsia="zh-CN" w:bidi="ar-SA"/>
            </w:rPr>
            <w:fldChar w:fldCharType="separate"/>
          </w:r>
          <w:r>
            <w:rPr>
              <w:rFonts w:hint="eastAsia" w:ascii="Times New Roman" w:hAnsi="Times New Roman" w:eastAsia="宋体" w:cs="Times New Roman"/>
              <w:bCs w:val="0"/>
              <w:kern w:val="0"/>
              <w:sz w:val="24"/>
              <w:szCs w:val="32"/>
              <w:lang w:val="zh-CN" w:eastAsia="zh-CN" w:bidi="ar-SA"/>
            </w:rPr>
            <w:t xml:space="preserve">3.3.4 </w:t>
          </w:r>
          <w:r>
            <w:rPr>
              <w:rFonts w:ascii="Times New Roman" w:hAnsi="Times New Roman" w:eastAsia="宋体" w:cs="Times New Roman"/>
              <w:bCs w:val="0"/>
              <w:kern w:val="0"/>
              <w:sz w:val="24"/>
              <w:szCs w:val="32"/>
              <w:lang w:val="zh-CN" w:eastAsia="zh-CN" w:bidi="ar-SA"/>
            </w:rPr>
            <w:t>对生态公益林的影响分析</w:t>
          </w:r>
          <w:r>
            <w:rPr>
              <w:rFonts w:ascii="Times New Roman" w:hAnsi="Times New Roman" w:eastAsia="宋体" w:cs="Times New Roman"/>
              <w:bCs w:val="0"/>
              <w:kern w:val="0"/>
              <w:sz w:val="24"/>
              <w:szCs w:val="32"/>
              <w:lang w:val="zh-CN" w:eastAsia="zh-CN" w:bidi="ar-SA"/>
            </w:rPr>
            <w:tab/>
          </w:r>
          <w:r>
            <w:rPr>
              <w:rFonts w:ascii="Times New Roman" w:hAnsi="Times New Roman" w:eastAsia="宋体" w:cs="Times New Roman"/>
              <w:bCs w:val="0"/>
              <w:kern w:val="0"/>
              <w:sz w:val="24"/>
              <w:szCs w:val="32"/>
              <w:lang w:val="zh-CN" w:eastAsia="zh-CN" w:bidi="ar-SA"/>
            </w:rPr>
            <w:fldChar w:fldCharType="begin"/>
          </w:r>
          <w:r>
            <w:rPr>
              <w:rFonts w:ascii="Times New Roman" w:hAnsi="Times New Roman" w:eastAsia="宋体" w:cs="Times New Roman"/>
              <w:bCs w:val="0"/>
              <w:kern w:val="0"/>
              <w:sz w:val="24"/>
              <w:szCs w:val="32"/>
              <w:lang w:val="zh-CN" w:eastAsia="zh-CN" w:bidi="ar-SA"/>
            </w:rPr>
            <w:instrText xml:space="preserve"> PAGEREF _Toc11364 \h </w:instrText>
          </w:r>
          <w:r>
            <w:rPr>
              <w:rFonts w:ascii="Times New Roman" w:hAnsi="Times New Roman" w:eastAsia="宋体" w:cs="Times New Roman"/>
              <w:bCs w:val="0"/>
              <w:kern w:val="0"/>
              <w:sz w:val="24"/>
              <w:szCs w:val="32"/>
              <w:lang w:val="zh-CN" w:eastAsia="zh-CN" w:bidi="ar-SA"/>
            </w:rPr>
            <w:fldChar w:fldCharType="separate"/>
          </w:r>
          <w:r>
            <w:rPr>
              <w:rFonts w:ascii="Times New Roman" w:hAnsi="Times New Roman" w:eastAsia="宋体" w:cs="Times New Roman"/>
              <w:bCs w:val="0"/>
              <w:kern w:val="0"/>
              <w:sz w:val="24"/>
              <w:szCs w:val="32"/>
              <w:lang w:val="zh-CN" w:eastAsia="zh-CN" w:bidi="ar-SA"/>
            </w:rPr>
            <w:t>35</w:t>
          </w:r>
          <w:r>
            <w:rPr>
              <w:rFonts w:ascii="Times New Roman" w:hAnsi="Times New Roman" w:eastAsia="宋体" w:cs="Times New Roman"/>
              <w:bCs w:val="0"/>
              <w:kern w:val="0"/>
              <w:sz w:val="24"/>
              <w:szCs w:val="32"/>
              <w:lang w:val="zh-CN" w:eastAsia="zh-CN" w:bidi="ar-SA"/>
            </w:rPr>
            <w:fldChar w:fldCharType="end"/>
          </w:r>
          <w:r>
            <w:rPr>
              <w:rFonts w:ascii="Times New Roman" w:hAnsi="Times New Roman" w:eastAsia="宋体" w:cs="Times New Roman"/>
              <w:bCs w:val="0"/>
              <w:kern w:val="0"/>
              <w:sz w:val="24"/>
              <w:szCs w:val="32"/>
              <w:lang w:val="zh-CN" w:eastAsia="zh-CN" w:bidi="ar-SA"/>
            </w:rPr>
            <w:fldChar w:fldCharType="end"/>
          </w:r>
        </w:p>
        <w:p w14:paraId="3982E40F">
          <w:pPr>
            <w:widowControl w:val="0"/>
            <w:tabs>
              <w:tab w:val="right" w:leader="dot" w:pos="8306"/>
            </w:tabs>
            <w:spacing w:line="300" w:lineRule="auto"/>
            <w:ind w:left="840" w:leftChars="400" w:firstLine="0" w:firstLineChars="0"/>
            <w:jc w:val="both"/>
            <w:rPr>
              <w:rFonts w:ascii="Times New Roman" w:hAnsi="Times New Roman" w:eastAsia="宋体" w:cs="Times New Roman"/>
              <w:kern w:val="2"/>
              <w:sz w:val="24"/>
              <w:szCs w:val="22"/>
              <w:lang w:val="en-US" w:eastAsia="zh-CN" w:bidi="ar-SA"/>
            </w:rPr>
          </w:pPr>
          <w:r>
            <w:rPr>
              <w:rFonts w:ascii="Times New Roman" w:hAnsi="Times New Roman" w:eastAsia="宋体" w:cs="Times New Roman"/>
              <w:bCs w:val="0"/>
              <w:kern w:val="0"/>
              <w:sz w:val="24"/>
              <w:szCs w:val="32"/>
              <w:lang w:val="zh-CN" w:eastAsia="zh-CN" w:bidi="ar-SA"/>
            </w:rPr>
            <w:fldChar w:fldCharType="begin"/>
          </w:r>
          <w:r>
            <w:rPr>
              <w:rFonts w:ascii="Times New Roman" w:hAnsi="Times New Roman" w:eastAsia="宋体" w:cs="Times New Roman"/>
              <w:bCs w:val="0"/>
              <w:kern w:val="0"/>
              <w:sz w:val="24"/>
              <w:szCs w:val="32"/>
              <w:lang w:val="zh-CN" w:eastAsia="zh-CN" w:bidi="ar-SA"/>
            </w:rPr>
            <w:instrText xml:space="preserve"> HYPERLINK \l _Toc19389 </w:instrText>
          </w:r>
          <w:r>
            <w:rPr>
              <w:rFonts w:ascii="Times New Roman" w:hAnsi="Times New Roman" w:eastAsia="宋体" w:cs="Times New Roman"/>
              <w:bCs w:val="0"/>
              <w:kern w:val="0"/>
              <w:sz w:val="24"/>
              <w:szCs w:val="32"/>
              <w:lang w:val="zh-CN" w:eastAsia="zh-CN" w:bidi="ar-SA"/>
            </w:rPr>
            <w:fldChar w:fldCharType="separate"/>
          </w:r>
          <w:r>
            <w:rPr>
              <w:rFonts w:hint="eastAsia" w:ascii="Times New Roman" w:hAnsi="Times New Roman" w:eastAsia="宋体" w:cs="Times New Roman"/>
              <w:bCs w:val="0"/>
              <w:kern w:val="0"/>
              <w:sz w:val="24"/>
              <w:szCs w:val="32"/>
              <w:lang w:val="zh-CN" w:eastAsia="zh-CN" w:bidi="ar-SA"/>
            </w:rPr>
            <w:t xml:space="preserve">3.3.5 </w:t>
          </w:r>
          <w:r>
            <w:rPr>
              <w:rFonts w:ascii="Times New Roman" w:hAnsi="Times New Roman" w:eastAsia="宋体" w:cs="Times New Roman"/>
              <w:bCs w:val="0"/>
              <w:kern w:val="0"/>
              <w:sz w:val="24"/>
              <w:szCs w:val="32"/>
              <w:lang w:val="zh-CN" w:eastAsia="zh-CN" w:bidi="ar-SA"/>
            </w:rPr>
            <w:t>营运期对植物资源的影响</w:t>
          </w:r>
          <w:r>
            <w:rPr>
              <w:rFonts w:ascii="Times New Roman" w:hAnsi="Times New Roman" w:eastAsia="宋体" w:cs="Times New Roman"/>
              <w:bCs w:val="0"/>
              <w:kern w:val="0"/>
              <w:sz w:val="24"/>
              <w:szCs w:val="32"/>
              <w:lang w:val="zh-CN" w:eastAsia="zh-CN" w:bidi="ar-SA"/>
            </w:rPr>
            <w:tab/>
          </w:r>
          <w:r>
            <w:rPr>
              <w:rFonts w:ascii="Times New Roman" w:hAnsi="Times New Roman" w:eastAsia="宋体" w:cs="Times New Roman"/>
              <w:bCs w:val="0"/>
              <w:kern w:val="0"/>
              <w:sz w:val="24"/>
              <w:szCs w:val="32"/>
              <w:lang w:val="zh-CN" w:eastAsia="zh-CN" w:bidi="ar-SA"/>
            </w:rPr>
            <w:fldChar w:fldCharType="begin"/>
          </w:r>
          <w:r>
            <w:rPr>
              <w:rFonts w:ascii="Times New Roman" w:hAnsi="Times New Roman" w:eastAsia="宋体" w:cs="Times New Roman"/>
              <w:bCs w:val="0"/>
              <w:kern w:val="0"/>
              <w:sz w:val="24"/>
              <w:szCs w:val="32"/>
              <w:lang w:val="zh-CN" w:eastAsia="zh-CN" w:bidi="ar-SA"/>
            </w:rPr>
            <w:instrText xml:space="preserve"> PAGEREF _Toc19389 \h </w:instrText>
          </w:r>
          <w:r>
            <w:rPr>
              <w:rFonts w:ascii="Times New Roman" w:hAnsi="Times New Roman" w:eastAsia="宋体" w:cs="Times New Roman"/>
              <w:bCs w:val="0"/>
              <w:kern w:val="0"/>
              <w:sz w:val="24"/>
              <w:szCs w:val="32"/>
              <w:lang w:val="zh-CN" w:eastAsia="zh-CN" w:bidi="ar-SA"/>
            </w:rPr>
            <w:fldChar w:fldCharType="separate"/>
          </w:r>
          <w:r>
            <w:rPr>
              <w:rFonts w:ascii="Times New Roman" w:hAnsi="Times New Roman" w:eastAsia="宋体" w:cs="Times New Roman"/>
              <w:bCs w:val="0"/>
              <w:kern w:val="0"/>
              <w:sz w:val="24"/>
              <w:szCs w:val="32"/>
              <w:lang w:val="zh-CN" w:eastAsia="zh-CN" w:bidi="ar-SA"/>
            </w:rPr>
            <w:t>35</w:t>
          </w:r>
          <w:r>
            <w:rPr>
              <w:rFonts w:ascii="Times New Roman" w:hAnsi="Times New Roman" w:eastAsia="宋体" w:cs="Times New Roman"/>
              <w:bCs w:val="0"/>
              <w:kern w:val="0"/>
              <w:sz w:val="24"/>
              <w:szCs w:val="32"/>
              <w:lang w:val="zh-CN" w:eastAsia="zh-CN" w:bidi="ar-SA"/>
            </w:rPr>
            <w:fldChar w:fldCharType="end"/>
          </w:r>
          <w:r>
            <w:rPr>
              <w:rFonts w:ascii="Times New Roman" w:hAnsi="Times New Roman" w:eastAsia="宋体" w:cs="Times New Roman"/>
              <w:bCs w:val="0"/>
              <w:kern w:val="0"/>
              <w:sz w:val="24"/>
              <w:szCs w:val="32"/>
              <w:lang w:val="zh-CN" w:eastAsia="zh-CN" w:bidi="ar-SA"/>
            </w:rPr>
            <w:fldChar w:fldCharType="end"/>
          </w:r>
        </w:p>
        <w:p w14:paraId="31305AA6">
          <w:pPr>
            <w:widowControl w:val="0"/>
            <w:tabs>
              <w:tab w:val="right" w:leader="dot" w:pos="8306"/>
            </w:tabs>
            <w:spacing w:line="300" w:lineRule="auto"/>
            <w:ind w:left="420" w:leftChars="200" w:firstLine="0" w:firstLineChars="0"/>
            <w:jc w:val="both"/>
            <w:rPr>
              <w:rFonts w:ascii="Times New Roman" w:hAnsi="Times New Roman" w:eastAsia="宋体" w:cs="Times New Roman"/>
              <w:kern w:val="2"/>
              <w:sz w:val="24"/>
              <w:szCs w:val="22"/>
              <w:lang w:val="en-US" w:eastAsia="zh-CN" w:bidi="ar-SA"/>
            </w:rPr>
          </w:pPr>
          <w:r>
            <w:rPr>
              <w:rFonts w:ascii="Times New Roman" w:hAnsi="Times New Roman" w:eastAsia="宋体" w:cs="Times New Roman"/>
              <w:bCs/>
              <w:color w:val="000000"/>
              <w:kern w:val="2"/>
              <w:sz w:val="24"/>
              <w:szCs w:val="22"/>
              <w:lang w:val="zh-CN" w:eastAsia="zh-CN" w:bidi="ar-SA"/>
            </w:rPr>
            <w:fldChar w:fldCharType="begin"/>
          </w:r>
          <w:r>
            <w:rPr>
              <w:rFonts w:ascii="Times New Roman" w:hAnsi="Times New Roman" w:eastAsia="宋体" w:cs="Times New Roman"/>
              <w:bCs/>
              <w:kern w:val="2"/>
              <w:sz w:val="24"/>
              <w:szCs w:val="22"/>
              <w:lang w:val="zh-CN" w:eastAsia="zh-CN" w:bidi="ar-SA"/>
            </w:rPr>
            <w:instrText xml:space="preserve"> HYPERLINK \l _Toc30822 </w:instrText>
          </w:r>
          <w:r>
            <w:rPr>
              <w:rFonts w:ascii="Times New Roman" w:hAnsi="Times New Roman" w:eastAsia="宋体" w:cs="Times New Roman"/>
              <w:bCs/>
              <w:kern w:val="2"/>
              <w:sz w:val="24"/>
              <w:szCs w:val="22"/>
              <w:lang w:val="zh-CN" w:eastAsia="zh-CN" w:bidi="ar-SA"/>
            </w:rPr>
            <w:fldChar w:fldCharType="separate"/>
          </w:r>
          <w:r>
            <w:rPr>
              <w:rFonts w:hint="eastAsia" w:ascii="Times New Roman" w:hAnsi="Times New Roman" w:eastAsia="宋体" w:cs="Times New Roman"/>
              <w:kern w:val="2"/>
              <w:sz w:val="24"/>
              <w:szCs w:val="22"/>
              <w:lang w:val="en-US" w:eastAsia="zh-CN" w:bidi="ar-SA"/>
            </w:rPr>
            <w:t xml:space="preserve">3.4 </w:t>
          </w:r>
          <w:r>
            <w:rPr>
              <w:rFonts w:ascii="Times New Roman" w:hAnsi="Times New Roman" w:eastAsia="宋体" w:cs="Times New Roman"/>
              <w:kern w:val="2"/>
              <w:sz w:val="24"/>
              <w:szCs w:val="22"/>
              <w:lang w:val="en-US" w:eastAsia="zh-CN" w:bidi="ar-SA"/>
            </w:rPr>
            <w:t>对陆生动物的影响预测和分析</w:t>
          </w:r>
          <w:r>
            <w:rPr>
              <w:rFonts w:ascii="Times New Roman" w:hAnsi="Times New Roman" w:eastAsia="宋体" w:cs="Times New Roman"/>
              <w:kern w:val="2"/>
              <w:sz w:val="24"/>
              <w:szCs w:val="22"/>
              <w:lang w:val="en-US" w:eastAsia="zh-CN" w:bidi="ar-SA"/>
            </w:rPr>
            <w:tab/>
          </w:r>
          <w:r>
            <w:rPr>
              <w:rFonts w:ascii="Times New Roman" w:hAnsi="Times New Roman" w:eastAsia="宋体" w:cs="Times New Roman"/>
              <w:kern w:val="2"/>
              <w:sz w:val="24"/>
              <w:szCs w:val="22"/>
              <w:lang w:val="en-US" w:eastAsia="zh-CN" w:bidi="ar-SA"/>
            </w:rPr>
            <w:fldChar w:fldCharType="begin"/>
          </w:r>
          <w:r>
            <w:rPr>
              <w:rFonts w:ascii="Times New Roman" w:hAnsi="Times New Roman" w:eastAsia="宋体" w:cs="Times New Roman"/>
              <w:kern w:val="2"/>
              <w:sz w:val="24"/>
              <w:szCs w:val="22"/>
              <w:lang w:val="en-US" w:eastAsia="zh-CN" w:bidi="ar-SA"/>
            </w:rPr>
            <w:instrText xml:space="preserve"> PAGEREF _Toc30822 \h </w:instrText>
          </w:r>
          <w:r>
            <w:rPr>
              <w:rFonts w:ascii="Times New Roman" w:hAnsi="Times New Roman" w:eastAsia="宋体" w:cs="Times New Roman"/>
              <w:kern w:val="2"/>
              <w:sz w:val="24"/>
              <w:szCs w:val="22"/>
              <w:lang w:val="en-US" w:eastAsia="zh-CN" w:bidi="ar-SA"/>
            </w:rPr>
            <w:fldChar w:fldCharType="separate"/>
          </w:r>
          <w:r>
            <w:rPr>
              <w:rFonts w:ascii="Times New Roman" w:hAnsi="Times New Roman" w:eastAsia="宋体" w:cs="Times New Roman"/>
              <w:kern w:val="2"/>
              <w:sz w:val="24"/>
              <w:szCs w:val="22"/>
              <w:lang w:val="en-US" w:eastAsia="zh-CN" w:bidi="ar-SA"/>
            </w:rPr>
            <w:t>36</w:t>
          </w:r>
          <w:r>
            <w:rPr>
              <w:rFonts w:ascii="Times New Roman" w:hAnsi="Times New Roman" w:eastAsia="宋体" w:cs="Times New Roman"/>
              <w:kern w:val="2"/>
              <w:sz w:val="24"/>
              <w:szCs w:val="22"/>
              <w:lang w:val="en-US" w:eastAsia="zh-CN" w:bidi="ar-SA"/>
            </w:rPr>
            <w:fldChar w:fldCharType="end"/>
          </w:r>
          <w:r>
            <w:rPr>
              <w:rFonts w:ascii="Times New Roman" w:hAnsi="Times New Roman" w:eastAsia="宋体" w:cs="Times New Roman"/>
              <w:bCs/>
              <w:color w:val="000000"/>
              <w:kern w:val="2"/>
              <w:sz w:val="24"/>
              <w:szCs w:val="22"/>
              <w:lang w:val="zh-CN" w:eastAsia="zh-CN" w:bidi="ar-SA"/>
            </w:rPr>
            <w:fldChar w:fldCharType="end"/>
          </w:r>
        </w:p>
        <w:p w14:paraId="2E70FD8E">
          <w:pPr>
            <w:widowControl w:val="0"/>
            <w:tabs>
              <w:tab w:val="right" w:leader="dot" w:pos="8306"/>
            </w:tabs>
            <w:spacing w:line="300" w:lineRule="auto"/>
            <w:ind w:left="840" w:leftChars="400" w:firstLine="0" w:firstLineChars="0"/>
            <w:jc w:val="both"/>
            <w:rPr>
              <w:rFonts w:ascii="Times New Roman" w:hAnsi="Times New Roman" w:eastAsia="宋体" w:cs="Times New Roman"/>
              <w:bCs w:val="0"/>
              <w:kern w:val="0"/>
              <w:sz w:val="24"/>
              <w:szCs w:val="32"/>
              <w:lang w:val="zh-CN" w:eastAsia="zh-CN" w:bidi="ar-SA"/>
            </w:rPr>
          </w:pPr>
          <w:r>
            <w:rPr>
              <w:rFonts w:ascii="Times New Roman" w:hAnsi="Times New Roman" w:eastAsia="宋体" w:cs="Times New Roman"/>
              <w:bCs w:val="0"/>
              <w:kern w:val="0"/>
              <w:sz w:val="24"/>
              <w:szCs w:val="32"/>
              <w:lang w:val="zh-CN" w:eastAsia="zh-CN" w:bidi="ar-SA"/>
            </w:rPr>
            <w:fldChar w:fldCharType="begin"/>
          </w:r>
          <w:r>
            <w:rPr>
              <w:rFonts w:ascii="Times New Roman" w:hAnsi="Times New Roman" w:eastAsia="宋体" w:cs="Times New Roman"/>
              <w:bCs w:val="0"/>
              <w:kern w:val="0"/>
              <w:sz w:val="24"/>
              <w:szCs w:val="32"/>
              <w:lang w:val="zh-CN" w:eastAsia="zh-CN" w:bidi="ar-SA"/>
            </w:rPr>
            <w:instrText xml:space="preserve"> HYPERLINK \l _Toc16184 </w:instrText>
          </w:r>
          <w:r>
            <w:rPr>
              <w:rFonts w:ascii="Times New Roman" w:hAnsi="Times New Roman" w:eastAsia="宋体" w:cs="Times New Roman"/>
              <w:bCs w:val="0"/>
              <w:kern w:val="0"/>
              <w:sz w:val="24"/>
              <w:szCs w:val="32"/>
              <w:lang w:val="zh-CN" w:eastAsia="zh-CN" w:bidi="ar-SA"/>
            </w:rPr>
            <w:fldChar w:fldCharType="separate"/>
          </w:r>
          <w:r>
            <w:rPr>
              <w:rFonts w:hint="eastAsia" w:ascii="Times New Roman" w:hAnsi="Times New Roman" w:eastAsia="宋体" w:cs="Times New Roman"/>
              <w:bCs w:val="0"/>
              <w:kern w:val="0"/>
              <w:sz w:val="24"/>
              <w:szCs w:val="32"/>
              <w:lang w:val="zh-CN" w:eastAsia="zh-CN" w:bidi="ar-SA"/>
            </w:rPr>
            <w:t xml:space="preserve">3.4.1 </w:t>
          </w:r>
          <w:r>
            <w:rPr>
              <w:rFonts w:ascii="Times New Roman" w:hAnsi="Times New Roman" w:eastAsia="宋体" w:cs="Times New Roman"/>
              <w:bCs w:val="0"/>
              <w:kern w:val="0"/>
              <w:sz w:val="24"/>
              <w:szCs w:val="32"/>
              <w:lang w:val="zh-CN" w:eastAsia="zh-CN" w:bidi="ar-SA"/>
            </w:rPr>
            <w:t>施工对野生动物的影响</w:t>
          </w:r>
          <w:r>
            <w:rPr>
              <w:rFonts w:ascii="Times New Roman" w:hAnsi="Times New Roman" w:eastAsia="宋体" w:cs="Times New Roman"/>
              <w:bCs w:val="0"/>
              <w:kern w:val="0"/>
              <w:sz w:val="24"/>
              <w:szCs w:val="32"/>
              <w:lang w:val="zh-CN" w:eastAsia="zh-CN" w:bidi="ar-SA"/>
            </w:rPr>
            <w:tab/>
          </w:r>
          <w:r>
            <w:rPr>
              <w:rFonts w:ascii="Times New Roman" w:hAnsi="Times New Roman" w:eastAsia="宋体" w:cs="Times New Roman"/>
              <w:bCs w:val="0"/>
              <w:kern w:val="0"/>
              <w:sz w:val="24"/>
              <w:szCs w:val="32"/>
              <w:lang w:val="zh-CN" w:eastAsia="zh-CN" w:bidi="ar-SA"/>
            </w:rPr>
            <w:fldChar w:fldCharType="begin"/>
          </w:r>
          <w:r>
            <w:rPr>
              <w:rFonts w:ascii="Times New Roman" w:hAnsi="Times New Roman" w:eastAsia="宋体" w:cs="Times New Roman"/>
              <w:bCs w:val="0"/>
              <w:kern w:val="0"/>
              <w:sz w:val="24"/>
              <w:szCs w:val="32"/>
              <w:lang w:val="zh-CN" w:eastAsia="zh-CN" w:bidi="ar-SA"/>
            </w:rPr>
            <w:instrText xml:space="preserve"> PAGEREF _Toc16184 \h </w:instrText>
          </w:r>
          <w:r>
            <w:rPr>
              <w:rFonts w:ascii="Times New Roman" w:hAnsi="Times New Roman" w:eastAsia="宋体" w:cs="Times New Roman"/>
              <w:bCs w:val="0"/>
              <w:kern w:val="0"/>
              <w:sz w:val="24"/>
              <w:szCs w:val="32"/>
              <w:lang w:val="zh-CN" w:eastAsia="zh-CN" w:bidi="ar-SA"/>
            </w:rPr>
            <w:fldChar w:fldCharType="separate"/>
          </w:r>
          <w:r>
            <w:rPr>
              <w:rFonts w:ascii="Times New Roman" w:hAnsi="Times New Roman" w:eastAsia="宋体" w:cs="Times New Roman"/>
              <w:bCs w:val="0"/>
              <w:kern w:val="0"/>
              <w:sz w:val="24"/>
              <w:szCs w:val="32"/>
              <w:lang w:val="zh-CN" w:eastAsia="zh-CN" w:bidi="ar-SA"/>
            </w:rPr>
            <w:t>36</w:t>
          </w:r>
          <w:r>
            <w:rPr>
              <w:rFonts w:ascii="Times New Roman" w:hAnsi="Times New Roman" w:eastAsia="宋体" w:cs="Times New Roman"/>
              <w:bCs w:val="0"/>
              <w:kern w:val="0"/>
              <w:sz w:val="24"/>
              <w:szCs w:val="32"/>
              <w:lang w:val="zh-CN" w:eastAsia="zh-CN" w:bidi="ar-SA"/>
            </w:rPr>
            <w:fldChar w:fldCharType="end"/>
          </w:r>
          <w:r>
            <w:rPr>
              <w:rFonts w:ascii="Times New Roman" w:hAnsi="Times New Roman" w:eastAsia="宋体" w:cs="Times New Roman"/>
              <w:bCs w:val="0"/>
              <w:kern w:val="0"/>
              <w:sz w:val="24"/>
              <w:szCs w:val="32"/>
              <w:lang w:val="zh-CN" w:eastAsia="zh-CN" w:bidi="ar-SA"/>
            </w:rPr>
            <w:fldChar w:fldCharType="end"/>
          </w:r>
        </w:p>
        <w:p w14:paraId="33CBF0B4">
          <w:pPr>
            <w:widowControl w:val="0"/>
            <w:tabs>
              <w:tab w:val="right" w:leader="dot" w:pos="8306"/>
            </w:tabs>
            <w:spacing w:line="300" w:lineRule="auto"/>
            <w:ind w:left="840" w:leftChars="400" w:firstLine="0" w:firstLineChars="0"/>
            <w:jc w:val="both"/>
            <w:rPr>
              <w:rFonts w:ascii="Times New Roman" w:hAnsi="Times New Roman" w:eastAsia="宋体" w:cs="Times New Roman"/>
              <w:kern w:val="2"/>
              <w:sz w:val="24"/>
              <w:szCs w:val="22"/>
              <w:lang w:val="en-US" w:eastAsia="zh-CN" w:bidi="ar-SA"/>
            </w:rPr>
          </w:pPr>
          <w:r>
            <w:rPr>
              <w:rFonts w:ascii="Times New Roman" w:hAnsi="Times New Roman" w:eastAsia="宋体" w:cs="Times New Roman"/>
              <w:bCs w:val="0"/>
              <w:kern w:val="0"/>
              <w:sz w:val="24"/>
              <w:szCs w:val="32"/>
              <w:lang w:val="zh-CN" w:eastAsia="zh-CN" w:bidi="ar-SA"/>
            </w:rPr>
            <w:fldChar w:fldCharType="begin"/>
          </w:r>
          <w:r>
            <w:rPr>
              <w:rFonts w:ascii="Times New Roman" w:hAnsi="Times New Roman" w:eastAsia="宋体" w:cs="Times New Roman"/>
              <w:bCs w:val="0"/>
              <w:kern w:val="0"/>
              <w:sz w:val="24"/>
              <w:szCs w:val="32"/>
              <w:lang w:val="zh-CN" w:eastAsia="zh-CN" w:bidi="ar-SA"/>
            </w:rPr>
            <w:instrText xml:space="preserve"> HYPERLINK \l _Toc32140 </w:instrText>
          </w:r>
          <w:r>
            <w:rPr>
              <w:rFonts w:ascii="Times New Roman" w:hAnsi="Times New Roman" w:eastAsia="宋体" w:cs="Times New Roman"/>
              <w:bCs w:val="0"/>
              <w:kern w:val="0"/>
              <w:sz w:val="24"/>
              <w:szCs w:val="32"/>
              <w:lang w:val="zh-CN" w:eastAsia="zh-CN" w:bidi="ar-SA"/>
            </w:rPr>
            <w:fldChar w:fldCharType="separate"/>
          </w:r>
          <w:r>
            <w:rPr>
              <w:rFonts w:hint="eastAsia" w:ascii="Times New Roman" w:hAnsi="Times New Roman" w:eastAsia="宋体" w:cs="Times New Roman"/>
              <w:bCs w:val="0"/>
              <w:kern w:val="0"/>
              <w:sz w:val="24"/>
              <w:szCs w:val="32"/>
              <w:lang w:val="zh-CN" w:eastAsia="zh-CN" w:bidi="ar-SA"/>
            </w:rPr>
            <w:t xml:space="preserve">3.4.2 </w:t>
          </w:r>
          <w:r>
            <w:rPr>
              <w:rFonts w:ascii="Times New Roman" w:hAnsi="Times New Roman" w:eastAsia="宋体" w:cs="Times New Roman"/>
              <w:bCs w:val="0"/>
              <w:kern w:val="0"/>
              <w:sz w:val="24"/>
              <w:szCs w:val="32"/>
              <w:lang w:val="zh-CN" w:eastAsia="zh-CN" w:bidi="ar-SA"/>
            </w:rPr>
            <w:t>营运期对野生动物资源的影响</w:t>
          </w:r>
          <w:r>
            <w:rPr>
              <w:rFonts w:ascii="Times New Roman" w:hAnsi="Times New Roman" w:eastAsia="宋体" w:cs="Times New Roman"/>
              <w:bCs w:val="0"/>
              <w:kern w:val="0"/>
              <w:sz w:val="24"/>
              <w:szCs w:val="32"/>
              <w:lang w:val="zh-CN" w:eastAsia="zh-CN" w:bidi="ar-SA"/>
            </w:rPr>
            <w:tab/>
          </w:r>
          <w:r>
            <w:rPr>
              <w:rFonts w:ascii="Times New Roman" w:hAnsi="Times New Roman" w:eastAsia="宋体" w:cs="Times New Roman"/>
              <w:bCs w:val="0"/>
              <w:kern w:val="0"/>
              <w:sz w:val="24"/>
              <w:szCs w:val="32"/>
              <w:lang w:val="zh-CN" w:eastAsia="zh-CN" w:bidi="ar-SA"/>
            </w:rPr>
            <w:fldChar w:fldCharType="begin"/>
          </w:r>
          <w:r>
            <w:rPr>
              <w:rFonts w:ascii="Times New Roman" w:hAnsi="Times New Roman" w:eastAsia="宋体" w:cs="Times New Roman"/>
              <w:bCs w:val="0"/>
              <w:kern w:val="0"/>
              <w:sz w:val="24"/>
              <w:szCs w:val="32"/>
              <w:lang w:val="zh-CN" w:eastAsia="zh-CN" w:bidi="ar-SA"/>
            </w:rPr>
            <w:instrText xml:space="preserve"> PAGEREF _Toc32140 \h </w:instrText>
          </w:r>
          <w:r>
            <w:rPr>
              <w:rFonts w:ascii="Times New Roman" w:hAnsi="Times New Roman" w:eastAsia="宋体" w:cs="Times New Roman"/>
              <w:bCs w:val="0"/>
              <w:kern w:val="0"/>
              <w:sz w:val="24"/>
              <w:szCs w:val="32"/>
              <w:lang w:val="zh-CN" w:eastAsia="zh-CN" w:bidi="ar-SA"/>
            </w:rPr>
            <w:fldChar w:fldCharType="separate"/>
          </w:r>
          <w:r>
            <w:rPr>
              <w:rFonts w:ascii="Times New Roman" w:hAnsi="Times New Roman" w:eastAsia="宋体" w:cs="Times New Roman"/>
              <w:bCs w:val="0"/>
              <w:kern w:val="0"/>
              <w:sz w:val="24"/>
              <w:szCs w:val="32"/>
              <w:lang w:val="zh-CN" w:eastAsia="zh-CN" w:bidi="ar-SA"/>
            </w:rPr>
            <w:t>38</w:t>
          </w:r>
          <w:r>
            <w:rPr>
              <w:rFonts w:ascii="Times New Roman" w:hAnsi="Times New Roman" w:eastAsia="宋体" w:cs="Times New Roman"/>
              <w:bCs w:val="0"/>
              <w:kern w:val="0"/>
              <w:sz w:val="24"/>
              <w:szCs w:val="32"/>
              <w:lang w:val="zh-CN" w:eastAsia="zh-CN" w:bidi="ar-SA"/>
            </w:rPr>
            <w:fldChar w:fldCharType="end"/>
          </w:r>
          <w:r>
            <w:rPr>
              <w:rFonts w:ascii="Times New Roman" w:hAnsi="Times New Roman" w:eastAsia="宋体" w:cs="Times New Roman"/>
              <w:bCs w:val="0"/>
              <w:kern w:val="0"/>
              <w:sz w:val="24"/>
              <w:szCs w:val="32"/>
              <w:lang w:val="zh-CN" w:eastAsia="zh-CN" w:bidi="ar-SA"/>
            </w:rPr>
            <w:fldChar w:fldCharType="end"/>
          </w:r>
        </w:p>
        <w:p w14:paraId="1427315B">
          <w:pPr>
            <w:widowControl w:val="0"/>
            <w:tabs>
              <w:tab w:val="right" w:leader="dot" w:pos="8306"/>
            </w:tabs>
            <w:spacing w:line="300" w:lineRule="auto"/>
            <w:ind w:left="420" w:leftChars="200" w:firstLine="0" w:firstLineChars="0"/>
            <w:jc w:val="both"/>
            <w:rPr>
              <w:rFonts w:ascii="Times New Roman" w:hAnsi="Times New Roman" w:eastAsia="宋体" w:cs="Times New Roman"/>
              <w:kern w:val="2"/>
              <w:sz w:val="24"/>
              <w:szCs w:val="22"/>
              <w:lang w:val="en-US" w:eastAsia="zh-CN" w:bidi="ar-SA"/>
            </w:rPr>
          </w:pPr>
          <w:r>
            <w:rPr>
              <w:rFonts w:ascii="Times New Roman" w:hAnsi="Times New Roman" w:eastAsia="宋体" w:cs="Times New Roman"/>
              <w:bCs/>
              <w:color w:val="000000"/>
              <w:kern w:val="2"/>
              <w:sz w:val="24"/>
              <w:szCs w:val="22"/>
              <w:lang w:val="zh-CN" w:eastAsia="zh-CN" w:bidi="ar-SA"/>
            </w:rPr>
            <w:fldChar w:fldCharType="begin"/>
          </w:r>
          <w:r>
            <w:rPr>
              <w:rFonts w:ascii="Times New Roman" w:hAnsi="Times New Roman" w:eastAsia="宋体" w:cs="Times New Roman"/>
              <w:bCs/>
              <w:kern w:val="2"/>
              <w:sz w:val="24"/>
              <w:szCs w:val="22"/>
              <w:lang w:val="zh-CN" w:eastAsia="zh-CN" w:bidi="ar-SA"/>
            </w:rPr>
            <w:instrText xml:space="preserve"> HYPERLINK \l _Toc24225 </w:instrText>
          </w:r>
          <w:r>
            <w:rPr>
              <w:rFonts w:ascii="Times New Roman" w:hAnsi="Times New Roman" w:eastAsia="宋体" w:cs="Times New Roman"/>
              <w:bCs/>
              <w:kern w:val="2"/>
              <w:sz w:val="24"/>
              <w:szCs w:val="22"/>
              <w:lang w:val="zh-CN" w:eastAsia="zh-CN" w:bidi="ar-SA"/>
            </w:rPr>
            <w:fldChar w:fldCharType="separate"/>
          </w:r>
          <w:r>
            <w:rPr>
              <w:rFonts w:hint="eastAsia" w:ascii="Times New Roman" w:hAnsi="Times New Roman" w:eastAsia="宋体" w:cs="Times New Roman"/>
              <w:kern w:val="2"/>
              <w:sz w:val="24"/>
              <w:szCs w:val="22"/>
              <w:lang w:val="en-US" w:eastAsia="zh-CN" w:bidi="ar-SA"/>
            </w:rPr>
            <w:t xml:space="preserve">3.5 </w:t>
          </w:r>
          <w:r>
            <w:rPr>
              <w:rFonts w:ascii="Times New Roman" w:hAnsi="Times New Roman" w:eastAsia="宋体" w:cs="Times New Roman"/>
              <w:kern w:val="2"/>
              <w:sz w:val="24"/>
              <w:szCs w:val="22"/>
              <w:lang w:val="en-US" w:eastAsia="zh-CN" w:bidi="ar-SA"/>
            </w:rPr>
            <w:t>对水生生物的影响预测和分析</w:t>
          </w:r>
          <w:r>
            <w:rPr>
              <w:rFonts w:ascii="Times New Roman" w:hAnsi="Times New Roman" w:eastAsia="宋体" w:cs="Times New Roman"/>
              <w:kern w:val="2"/>
              <w:sz w:val="24"/>
              <w:szCs w:val="22"/>
              <w:lang w:val="en-US" w:eastAsia="zh-CN" w:bidi="ar-SA"/>
            </w:rPr>
            <w:tab/>
          </w:r>
          <w:r>
            <w:rPr>
              <w:rFonts w:ascii="Times New Roman" w:hAnsi="Times New Roman" w:eastAsia="宋体" w:cs="Times New Roman"/>
              <w:kern w:val="2"/>
              <w:sz w:val="24"/>
              <w:szCs w:val="22"/>
              <w:lang w:val="en-US" w:eastAsia="zh-CN" w:bidi="ar-SA"/>
            </w:rPr>
            <w:fldChar w:fldCharType="begin"/>
          </w:r>
          <w:r>
            <w:rPr>
              <w:rFonts w:ascii="Times New Roman" w:hAnsi="Times New Roman" w:eastAsia="宋体" w:cs="Times New Roman"/>
              <w:kern w:val="2"/>
              <w:sz w:val="24"/>
              <w:szCs w:val="22"/>
              <w:lang w:val="en-US" w:eastAsia="zh-CN" w:bidi="ar-SA"/>
            </w:rPr>
            <w:instrText xml:space="preserve"> PAGEREF _Toc24225 \h </w:instrText>
          </w:r>
          <w:r>
            <w:rPr>
              <w:rFonts w:ascii="Times New Roman" w:hAnsi="Times New Roman" w:eastAsia="宋体" w:cs="Times New Roman"/>
              <w:kern w:val="2"/>
              <w:sz w:val="24"/>
              <w:szCs w:val="22"/>
              <w:lang w:val="en-US" w:eastAsia="zh-CN" w:bidi="ar-SA"/>
            </w:rPr>
            <w:fldChar w:fldCharType="separate"/>
          </w:r>
          <w:r>
            <w:rPr>
              <w:rFonts w:ascii="Times New Roman" w:hAnsi="Times New Roman" w:eastAsia="宋体" w:cs="Times New Roman"/>
              <w:kern w:val="2"/>
              <w:sz w:val="24"/>
              <w:szCs w:val="22"/>
              <w:lang w:val="en-US" w:eastAsia="zh-CN" w:bidi="ar-SA"/>
            </w:rPr>
            <w:t>38</w:t>
          </w:r>
          <w:r>
            <w:rPr>
              <w:rFonts w:ascii="Times New Roman" w:hAnsi="Times New Roman" w:eastAsia="宋体" w:cs="Times New Roman"/>
              <w:kern w:val="2"/>
              <w:sz w:val="24"/>
              <w:szCs w:val="22"/>
              <w:lang w:val="en-US" w:eastAsia="zh-CN" w:bidi="ar-SA"/>
            </w:rPr>
            <w:fldChar w:fldCharType="end"/>
          </w:r>
          <w:r>
            <w:rPr>
              <w:rFonts w:ascii="Times New Roman" w:hAnsi="Times New Roman" w:eastAsia="宋体" w:cs="Times New Roman"/>
              <w:bCs/>
              <w:color w:val="000000"/>
              <w:kern w:val="2"/>
              <w:sz w:val="24"/>
              <w:szCs w:val="22"/>
              <w:lang w:val="zh-CN" w:eastAsia="zh-CN" w:bidi="ar-SA"/>
            </w:rPr>
            <w:fldChar w:fldCharType="end"/>
          </w:r>
        </w:p>
        <w:p w14:paraId="3E6C323A">
          <w:pPr>
            <w:widowControl w:val="0"/>
            <w:tabs>
              <w:tab w:val="right" w:leader="dot" w:pos="8306"/>
            </w:tabs>
            <w:spacing w:line="300" w:lineRule="auto"/>
            <w:ind w:left="420" w:leftChars="200" w:firstLine="0" w:firstLineChars="0"/>
            <w:jc w:val="both"/>
            <w:rPr>
              <w:rFonts w:ascii="Times New Roman" w:hAnsi="Times New Roman" w:eastAsia="宋体" w:cs="Times New Roman"/>
              <w:kern w:val="2"/>
              <w:sz w:val="24"/>
              <w:szCs w:val="22"/>
              <w:lang w:val="en-US" w:eastAsia="zh-CN" w:bidi="ar-SA"/>
            </w:rPr>
          </w:pPr>
          <w:r>
            <w:rPr>
              <w:rFonts w:ascii="Times New Roman" w:hAnsi="Times New Roman" w:eastAsia="宋体" w:cs="Times New Roman"/>
              <w:bCs/>
              <w:color w:val="000000"/>
              <w:kern w:val="2"/>
              <w:sz w:val="24"/>
              <w:szCs w:val="22"/>
              <w:lang w:val="zh-CN" w:eastAsia="zh-CN" w:bidi="ar-SA"/>
            </w:rPr>
            <w:fldChar w:fldCharType="begin"/>
          </w:r>
          <w:r>
            <w:rPr>
              <w:rFonts w:ascii="Times New Roman" w:hAnsi="Times New Roman" w:eastAsia="宋体" w:cs="Times New Roman"/>
              <w:bCs/>
              <w:kern w:val="2"/>
              <w:sz w:val="24"/>
              <w:szCs w:val="22"/>
              <w:lang w:val="zh-CN" w:eastAsia="zh-CN" w:bidi="ar-SA"/>
            </w:rPr>
            <w:instrText xml:space="preserve"> HYPERLINK \l _Toc10720 </w:instrText>
          </w:r>
          <w:r>
            <w:rPr>
              <w:rFonts w:ascii="Times New Roman" w:hAnsi="Times New Roman" w:eastAsia="宋体" w:cs="Times New Roman"/>
              <w:bCs/>
              <w:kern w:val="2"/>
              <w:sz w:val="24"/>
              <w:szCs w:val="22"/>
              <w:lang w:val="zh-CN" w:eastAsia="zh-CN" w:bidi="ar-SA"/>
            </w:rPr>
            <w:fldChar w:fldCharType="separate"/>
          </w:r>
          <w:r>
            <w:rPr>
              <w:rFonts w:hint="eastAsia" w:ascii="Times New Roman" w:hAnsi="Times New Roman" w:eastAsia="宋体" w:cs="Times New Roman"/>
              <w:kern w:val="2"/>
              <w:sz w:val="24"/>
              <w:szCs w:val="22"/>
              <w:lang w:val="en-US" w:eastAsia="zh-CN" w:bidi="ar-SA"/>
            </w:rPr>
            <w:t xml:space="preserve">3.6 </w:t>
          </w:r>
          <w:r>
            <w:rPr>
              <w:rFonts w:ascii="Times New Roman" w:hAnsi="Times New Roman" w:eastAsia="宋体" w:cs="Times New Roman"/>
              <w:kern w:val="2"/>
              <w:sz w:val="24"/>
              <w:szCs w:val="22"/>
              <w:lang w:val="en-US" w:eastAsia="zh-CN" w:bidi="ar-SA"/>
            </w:rPr>
            <w:t>工程占地对农业生产的影响</w:t>
          </w:r>
          <w:r>
            <w:rPr>
              <w:rFonts w:ascii="Times New Roman" w:hAnsi="Times New Roman" w:eastAsia="宋体" w:cs="Times New Roman"/>
              <w:kern w:val="2"/>
              <w:sz w:val="24"/>
              <w:szCs w:val="22"/>
              <w:lang w:val="en-US" w:eastAsia="zh-CN" w:bidi="ar-SA"/>
            </w:rPr>
            <w:tab/>
          </w:r>
          <w:r>
            <w:rPr>
              <w:rFonts w:ascii="Times New Roman" w:hAnsi="Times New Roman" w:eastAsia="宋体" w:cs="Times New Roman"/>
              <w:kern w:val="2"/>
              <w:sz w:val="24"/>
              <w:szCs w:val="22"/>
              <w:lang w:val="en-US" w:eastAsia="zh-CN" w:bidi="ar-SA"/>
            </w:rPr>
            <w:fldChar w:fldCharType="begin"/>
          </w:r>
          <w:r>
            <w:rPr>
              <w:rFonts w:ascii="Times New Roman" w:hAnsi="Times New Roman" w:eastAsia="宋体" w:cs="Times New Roman"/>
              <w:kern w:val="2"/>
              <w:sz w:val="24"/>
              <w:szCs w:val="22"/>
              <w:lang w:val="en-US" w:eastAsia="zh-CN" w:bidi="ar-SA"/>
            </w:rPr>
            <w:instrText xml:space="preserve"> PAGEREF _Toc10720 \h </w:instrText>
          </w:r>
          <w:r>
            <w:rPr>
              <w:rFonts w:ascii="Times New Roman" w:hAnsi="Times New Roman" w:eastAsia="宋体" w:cs="Times New Roman"/>
              <w:kern w:val="2"/>
              <w:sz w:val="24"/>
              <w:szCs w:val="22"/>
              <w:lang w:val="en-US" w:eastAsia="zh-CN" w:bidi="ar-SA"/>
            </w:rPr>
            <w:fldChar w:fldCharType="separate"/>
          </w:r>
          <w:r>
            <w:rPr>
              <w:rFonts w:ascii="Times New Roman" w:hAnsi="Times New Roman" w:eastAsia="宋体" w:cs="Times New Roman"/>
              <w:kern w:val="2"/>
              <w:sz w:val="24"/>
              <w:szCs w:val="22"/>
              <w:lang w:val="en-US" w:eastAsia="zh-CN" w:bidi="ar-SA"/>
            </w:rPr>
            <w:t>39</w:t>
          </w:r>
          <w:r>
            <w:rPr>
              <w:rFonts w:ascii="Times New Roman" w:hAnsi="Times New Roman" w:eastAsia="宋体" w:cs="Times New Roman"/>
              <w:kern w:val="2"/>
              <w:sz w:val="24"/>
              <w:szCs w:val="22"/>
              <w:lang w:val="en-US" w:eastAsia="zh-CN" w:bidi="ar-SA"/>
            </w:rPr>
            <w:fldChar w:fldCharType="end"/>
          </w:r>
          <w:r>
            <w:rPr>
              <w:rFonts w:ascii="Times New Roman" w:hAnsi="Times New Roman" w:eastAsia="宋体" w:cs="Times New Roman"/>
              <w:bCs/>
              <w:color w:val="000000"/>
              <w:kern w:val="2"/>
              <w:sz w:val="24"/>
              <w:szCs w:val="22"/>
              <w:lang w:val="zh-CN" w:eastAsia="zh-CN" w:bidi="ar-SA"/>
            </w:rPr>
            <w:fldChar w:fldCharType="end"/>
          </w:r>
        </w:p>
        <w:p w14:paraId="09A0FFD8">
          <w:pPr>
            <w:widowControl w:val="0"/>
            <w:tabs>
              <w:tab w:val="right" w:leader="dot" w:pos="8306"/>
            </w:tabs>
            <w:spacing w:line="300" w:lineRule="auto"/>
            <w:ind w:left="420" w:leftChars="200" w:firstLine="0" w:firstLineChars="0"/>
            <w:jc w:val="both"/>
            <w:rPr>
              <w:rFonts w:ascii="Times New Roman" w:hAnsi="Times New Roman" w:eastAsia="宋体" w:cs="Times New Roman"/>
              <w:kern w:val="2"/>
              <w:sz w:val="24"/>
              <w:szCs w:val="22"/>
              <w:lang w:val="en-US" w:eastAsia="zh-CN" w:bidi="ar-SA"/>
            </w:rPr>
          </w:pPr>
          <w:r>
            <w:rPr>
              <w:rFonts w:ascii="Times New Roman" w:hAnsi="Times New Roman" w:eastAsia="宋体" w:cs="Times New Roman"/>
              <w:bCs/>
              <w:color w:val="000000"/>
              <w:kern w:val="2"/>
              <w:sz w:val="24"/>
              <w:szCs w:val="22"/>
              <w:lang w:val="zh-CN" w:eastAsia="zh-CN" w:bidi="ar-SA"/>
            </w:rPr>
            <w:fldChar w:fldCharType="begin"/>
          </w:r>
          <w:r>
            <w:rPr>
              <w:rFonts w:ascii="Times New Roman" w:hAnsi="Times New Roman" w:eastAsia="宋体" w:cs="Times New Roman"/>
              <w:bCs/>
              <w:kern w:val="2"/>
              <w:sz w:val="24"/>
              <w:szCs w:val="22"/>
              <w:lang w:val="zh-CN" w:eastAsia="zh-CN" w:bidi="ar-SA"/>
            </w:rPr>
            <w:instrText xml:space="preserve"> HYPERLINK \l _Toc29851 </w:instrText>
          </w:r>
          <w:r>
            <w:rPr>
              <w:rFonts w:ascii="Times New Roman" w:hAnsi="Times New Roman" w:eastAsia="宋体" w:cs="Times New Roman"/>
              <w:bCs/>
              <w:kern w:val="2"/>
              <w:sz w:val="24"/>
              <w:szCs w:val="22"/>
              <w:lang w:val="zh-CN" w:eastAsia="zh-CN" w:bidi="ar-SA"/>
            </w:rPr>
            <w:fldChar w:fldCharType="separate"/>
          </w:r>
          <w:r>
            <w:rPr>
              <w:rFonts w:hint="eastAsia" w:ascii="Times New Roman" w:hAnsi="Times New Roman" w:eastAsia="宋体" w:cs="Times New Roman"/>
              <w:kern w:val="2"/>
              <w:sz w:val="24"/>
              <w:szCs w:val="22"/>
              <w:lang w:val="en-US" w:eastAsia="zh-CN" w:bidi="ar-SA"/>
            </w:rPr>
            <w:t xml:space="preserve">3.7 </w:t>
          </w:r>
          <w:r>
            <w:rPr>
              <w:rFonts w:ascii="Times New Roman" w:hAnsi="Times New Roman" w:eastAsia="宋体" w:cs="Times New Roman"/>
              <w:kern w:val="2"/>
              <w:sz w:val="24"/>
              <w:szCs w:val="22"/>
              <w:lang w:val="en-US" w:eastAsia="zh-CN" w:bidi="ar-SA"/>
            </w:rPr>
            <w:t>临时用地对生态的影响</w:t>
          </w:r>
          <w:r>
            <w:rPr>
              <w:rFonts w:ascii="Times New Roman" w:hAnsi="Times New Roman" w:eastAsia="宋体" w:cs="Times New Roman"/>
              <w:kern w:val="2"/>
              <w:sz w:val="24"/>
              <w:szCs w:val="22"/>
              <w:lang w:val="en-US" w:eastAsia="zh-CN" w:bidi="ar-SA"/>
            </w:rPr>
            <w:tab/>
          </w:r>
          <w:r>
            <w:rPr>
              <w:rFonts w:ascii="Times New Roman" w:hAnsi="Times New Roman" w:eastAsia="宋体" w:cs="Times New Roman"/>
              <w:kern w:val="2"/>
              <w:sz w:val="24"/>
              <w:szCs w:val="22"/>
              <w:lang w:val="en-US" w:eastAsia="zh-CN" w:bidi="ar-SA"/>
            </w:rPr>
            <w:fldChar w:fldCharType="begin"/>
          </w:r>
          <w:r>
            <w:rPr>
              <w:rFonts w:ascii="Times New Roman" w:hAnsi="Times New Roman" w:eastAsia="宋体" w:cs="Times New Roman"/>
              <w:kern w:val="2"/>
              <w:sz w:val="24"/>
              <w:szCs w:val="22"/>
              <w:lang w:val="en-US" w:eastAsia="zh-CN" w:bidi="ar-SA"/>
            </w:rPr>
            <w:instrText xml:space="preserve"> PAGEREF _Toc29851 \h </w:instrText>
          </w:r>
          <w:r>
            <w:rPr>
              <w:rFonts w:ascii="Times New Roman" w:hAnsi="Times New Roman" w:eastAsia="宋体" w:cs="Times New Roman"/>
              <w:kern w:val="2"/>
              <w:sz w:val="24"/>
              <w:szCs w:val="22"/>
              <w:lang w:val="en-US" w:eastAsia="zh-CN" w:bidi="ar-SA"/>
            </w:rPr>
            <w:fldChar w:fldCharType="separate"/>
          </w:r>
          <w:r>
            <w:rPr>
              <w:rFonts w:ascii="Times New Roman" w:hAnsi="Times New Roman" w:eastAsia="宋体" w:cs="Times New Roman"/>
              <w:kern w:val="2"/>
              <w:sz w:val="24"/>
              <w:szCs w:val="22"/>
              <w:lang w:val="en-US" w:eastAsia="zh-CN" w:bidi="ar-SA"/>
            </w:rPr>
            <w:t>40</w:t>
          </w:r>
          <w:r>
            <w:rPr>
              <w:rFonts w:ascii="Times New Roman" w:hAnsi="Times New Roman" w:eastAsia="宋体" w:cs="Times New Roman"/>
              <w:kern w:val="2"/>
              <w:sz w:val="24"/>
              <w:szCs w:val="22"/>
              <w:lang w:val="en-US" w:eastAsia="zh-CN" w:bidi="ar-SA"/>
            </w:rPr>
            <w:fldChar w:fldCharType="end"/>
          </w:r>
          <w:r>
            <w:rPr>
              <w:rFonts w:ascii="Times New Roman" w:hAnsi="Times New Roman" w:eastAsia="宋体" w:cs="Times New Roman"/>
              <w:bCs/>
              <w:color w:val="000000"/>
              <w:kern w:val="2"/>
              <w:sz w:val="24"/>
              <w:szCs w:val="22"/>
              <w:lang w:val="zh-CN" w:eastAsia="zh-CN" w:bidi="ar-SA"/>
            </w:rPr>
            <w:fldChar w:fldCharType="end"/>
          </w:r>
        </w:p>
        <w:p w14:paraId="0495DF8E">
          <w:pPr>
            <w:widowControl w:val="0"/>
            <w:tabs>
              <w:tab w:val="right" w:leader="dot" w:pos="8306"/>
            </w:tabs>
            <w:spacing w:line="300" w:lineRule="auto"/>
            <w:ind w:left="840" w:leftChars="400" w:firstLine="0" w:firstLineChars="0"/>
            <w:jc w:val="both"/>
            <w:rPr>
              <w:rFonts w:ascii="Times New Roman" w:hAnsi="Times New Roman" w:eastAsia="宋体" w:cs="Times New Roman"/>
              <w:bCs w:val="0"/>
              <w:kern w:val="0"/>
              <w:sz w:val="24"/>
              <w:szCs w:val="32"/>
              <w:lang w:val="zh-CN" w:eastAsia="zh-CN" w:bidi="ar-SA"/>
            </w:rPr>
          </w:pPr>
          <w:r>
            <w:rPr>
              <w:rFonts w:ascii="Times New Roman" w:hAnsi="Times New Roman" w:eastAsia="宋体" w:cs="Times New Roman"/>
              <w:bCs w:val="0"/>
              <w:kern w:val="0"/>
              <w:sz w:val="24"/>
              <w:szCs w:val="32"/>
              <w:lang w:val="zh-CN" w:eastAsia="zh-CN" w:bidi="ar-SA"/>
            </w:rPr>
            <w:fldChar w:fldCharType="begin"/>
          </w:r>
          <w:r>
            <w:rPr>
              <w:rFonts w:ascii="Times New Roman" w:hAnsi="Times New Roman" w:eastAsia="宋体" w:cs="Times New Roman"/>
              <w:bCs w:val="0"/>
              <w:kern w:val="0"/>
              <w:sz w:val="24"/>
              <w:szCs w:val="32"/>
              <w:lang w:val="zh-CN" w:eastAsia="zh-CN" w:bidi="ar-SA"/>
            </w:rPr>
            <w:instrText xml:space="preserve"> HYPERLINK \l _Toc26419 </w:instrText>
          </w:r>
          <w:r>
            <w:rPr>
              <w:rFonts w:ascii="Times New Roman" w:hAnsi="Times New Roman" w:eastAsia="宋体" w:cs="Times New Roman"/>
              <w:bCs w:val="0"/>
              <w:kern w:val="0"/>
              <w:sz w:val="24"/>
              <w:szCs w:val="32"/>
              <w:lang w:val="zh-CN" w:eastAsia="zh-CN" w:bidi="ar-SA"/>
            </w:rPr>
            <w:fldChar w:fldCharType="separate"/>
          </w:r>
          <w:r>
            <w:rPr>
              <w:rFonts w:hint="eastAsia" w:ascii="Times New Roman" w:hAnsi="Times New Roman" w:eastAsia="宋体" w:cs="Times New Roman"/>
              <w:bCs w:val="0"/>
              <w:kern w:val="0"/>
              <w:sz w:val="24"/>
              <w:szCs w:val="32"/>
              <w:lang w:val="zh-CN" w:eastAsia="zh-CN" w:bidi="ar-SA"/>
            </w:rPr>
            <w:t xml:space="preserve">3.7.1 </w:t>
          </w:r>
          <w:r>
            <w:rPr>
              <w:rFonts w:ascii="Times New Roman" w:hAnsi="Times New Roman" w:eastAsia="宋体" w:cs="Times New Roman"/>
              <w:bCs w:val="0"/>
              <w:kern w:val="0"/>
              <w:sz w:val="24"/>
              <w:szCs w:val="32"/>
              <w:lang w:val="zh-CN" w:eastAsia="zh-CN" w:bidi="ar-SA"/>
            </w:rPr>
            <w:t>取弃土场</w:t>
          </w:r>
          <w:r>
            <w:rPr>
              <w:rFonts w:ascii="Times New Roman" w:hAnsi="Times New Roman" w:eastAsia="宋体" w:cs="Times New Roman"/>
              <w:bCs w:val="0"/>
              <w:kern w:val="0"/>
              <w:sz w:val="24"/>
              <w:szCs w:val="32"/>
              <w:lang w:val="zh-CN" w:eastAsia="zh-CN" w:bidi="ar-SA"/>
            </w:rPr>
            <w:tab/>
          </w:r>
          <w:r>
            <w:rPr>
              <w:rFonts w:ascii="Times New Roman" w:hAnsi="Times New Roman" w:eastAsia="宋体" w:cs="Times New Roman"/>
              <w:bCs w:val="0"/>
              <w:kern w:val="0"/>
              <w:sz w:val="24"/>
              <w:szCs w:val="32"/>
              <w:lang w:val="zh-CN" w:eastAsia="zh-CN" w:bidi="ar-SA"/>
            </w:rPr>
            <w:fldChar w:fldCharType="begin"/>
          </w:r>
          <w:r>
            <w:rPr>
              <w:rFonts w:ascii="Times New Roman" w:hAnsi="Times New Roman" w:eastAsia="宋体" w:cs="Times New Roman"/>
              <w:bCs w:val="0"/>
              <w:kern w:val="0"/>
              <w:sz w:val="24"/>
              <w:szCs w:val="32"/>
              <w:lang w:val="zh-CN" w:eastAsia="zh-CN" w:bidi="ar-SA"/>
            </w:rPr>
            <w:instrText xml:space="preserve"> PAGEREF _Toc26419 \h </w:instrText>
          </w:r>
          <w:r>
            <w:rPr>
              <w:rFonts w:ascii="Times New Roman" w:hAnsi="Times New Roman" w:eastAsia="宋体" w:cs="Times New Roman"/>
              <w:bCs w:val="0"/>
              <w:kern w:val="0"/>
              <w:sz w:val="24"/>
              <w:szCs w:val="32"/>
              <w:lang w:val="zh-CN" w:eastAsia="zh-CN" w:bidi="ar-SA"/>
            </w:rPr>
            <w:fldChar w:fldCharType="separate"/>
          </w:r>
          <w:r>
            <w:rPr>
              <w:rFonts w:ascii="Times New Roman" w:hAnsi="Times New Roman" w:eastAsia="宋体" w:cs="Times New Roman"/>
              <w:bCs w:val="0"/>
              <w:kern w:val="0"/>
              <w:sz w:val="24"/>
              <w:szCs w:val="32"/>
              <w:lang w:val="zh-CN" w:eastAsia="zh-CN" w:bidi="ar-SA"/>
            </w:rPr>
            <w:t>40</w:t>
          </w:r>
          <w:r>
            <w:rPr>
              <w:rFonts w:ascii="Times New Roman" w:hAnsi="Times New Roman" w:eastAsia="宋体" w:cs="Times New Roman"/>
              <w:bCs w:val="0"/>
              <w:kern w:val="0"/>
              <w:sz w:val="24"/>
              <w:szCs w:val="32"/>
              <w:lang w:val="zh-CN" w:eastAsia="zh-CN" w:bidi="ar-SA"/>
            </w:rPr>
            <w:fldChar w:fldCharType="end"/>
          </w:r>
          <w:r>
            <w:rPr>
              <w:rFonts w:ascii="Times New Roman" w:hAnsi="Times New Roman" w:eastAsia="宋体" w:cs="Times New Roman"/>
              <w:bCs w:val="0"/>
              <w:kern w:val="0"/>
              <w:sz w:val="24"/>
              <w:szCs w:val="32"/>
              <w:lang w:val="zh-CN" w:eastAsia="zh-CN" w:bidi="ar-SA"/>
            </w:rPr>
            <w:fldChar w:fldCharType="end"/>
          </w:r>
        </w:p>
        <w:p w14:paraId="75F41CF6">
          <w:pPr>
            <w:widowControl w:val="0"/>
            <w:tabs>
              <w:tab w:val="right" w:leader="dot" w:pos="8306"/>
            </w:tabs>
            <w:spacing w:line="300" w:lineRule="auto"/>
            <w:ind w:left="840" w:leftChars="400" w:firstLine="0" w:firstLineChars="0"/>
            <w:jc w:val="both"/>
            <w:rPr>
              <w:rFonts w:ascii="Times New Roman" w:hAnsi="Times New Roman" w:eastAsia="宋体" w:cs="Times New Roman"/>
              <w:bCs w:val="0"/>
              <w:kern w:val="0"/>
              <w:sz w:val="24"/>
              <w:szCs w:val="32"/>
              <w:lang w:val="zh-CN" w:eastAsia="zh-CN" w:bidi="ar-SA"/>
            </w:rPr>
          </w:pPr>
          <w:r>
            <w:rPr>
              <w:rFonts w:ascii="Times New Roman" w:hAnsi="Times New Roman" w:eastAsia="宋体" w:cs="Times New Roman"/>
              <w:bCs w:val="0"/>
              <w:kern w:val="0"/>
              <w:sz w:val="24"/>
              <w:szCs w:val="32"/>
              <w:lang w:val="zh-CN" w:eastAsia="zh-CN" w:bidi="ar-SA"/>
            </w:rPr>
            <w:fldChar w:fldCharType="begin"/>
          </w:r>
          <w:r>
            <w:rPr>
              <w:rFonts w:ascii="Times New Roman" w:hAnsi="Times New Roman" w:eastAsia="宋体" w:cs="Times New Roman"/>
              <w:bCs w:val="0"/>
              <w:kern w:val="0"/>
              <w:sz w:val="24"/>
              <w:szCs w:val="32"/>
              <w:lang w:val="zh-CN" w:eastAsia="zh-CN" w:bidi="ar-SA"/>
            </w:rPr>
            <w:instrText xml:space="preserve"> HYPERLINK \l _Toc20102 </w:instrText>
          </w:r>
          <w:r>
            <w:rPr>
              <w:rFonts w:ascii="Times New Roman" w:hAnsi="Times New Roman" w:eastAsia="宋体" w:cs="Times New Roman"/>
              <w:bCs w:val="0"/>
              <w:kern w:val="0"/>
              <w:sz w:val="24"/>
              <w:szCs w:val="32"/>
              <w:lang w:val="zh-CN" w:eastAsia="zh-CN" w:bidi="ar-SA"/>
            </w:rPr>
            <w:fldChar w:fldCharType="separate"/>
          </w:r>
          <w:r>
            <w:rPr>
              <w:rFonts w:hint="eastAsia" w:ascii="Times New Roman" w:hAnsi="Times New Roman" w:eastAsia="宋体" w:cs="Times New Roman"/>
              <w:bCs w:val="0"/>
              <w:kern w:val="0"/>
              <w:sz w:val="24"/>
              <w:szCs w:val="32"/>
              <w:lang w:val="zh-CN" w:eastAsia="zh-CN" w:bidi="ar-SA"/>
            </w:rPr>
            <w:t xml:space="preserve">3.7.2 </w:t>
          </w:r>
          <w:r>
            <w:rPr>
              <w:rFonts w:ascii="Times New Roman" w:hAnsi="Times New Roman" w:eastAsia="宋体" w:cs="Times New Roman"/>
              <w:bCs w:val="0"/>
              <w:kern w:val="0"/>
              <w:sz w:val="24"/>
              <w:szCs w:val="32"/>
              <w:lang w:val="zh-CN" w:eastAsia="zh-CN" w:bidi="ar-SA"/>
            </w:rPr>
            <w:t>施工生产生活区</w:t>
          </w:r>
          <w:r>
            <w:rPr>
              <w:rFonts w:ascii="Times New Roman" w:hAnsi="Times New Roman" w:eastAsia="宋体" w:cs="Times New Roman"/>
              <w:bCs w:val="0"/>
              <w:kern w:val="0"/>
              <w:sz w:val="24"/>
              <w:szCs w:val="32"/>
              <w:lang w:val="zh-CN" w:eastAsia="zh-CN" w:bidi="ar-SA"/>
            </w:rPr>
            <w:tab/>
          </w:r>
          <w:r>
            <w:rPr>
              <w:rFonts w:ascii="Times New Roman" w:hAnsi="Times New Roman" w:eastAsia="宋体" w:cs="Times New Roman"/>
              <w:bCs w:val="0"/>
              <w:kern w:val="0"/>
              <w:sz w:val="24"/>
              <w:szCs w:val="32"/>
              <w:lang w:val="zh-CN" w:eastAsia="zh-CN" w:bidi="ar-SA"/>
            </w:rPr>
            <w:fldChar w:fldCharType="begin"/>
          </w:r>
          <w:r>
            <w:rPr>
              <w:rFonts w:ascii="Times New Roman" w:hAnsi="Times New Roman" w:eastAsia="宋体" w:cs="Times New Roman"/>
              <w:bCs w:val="0"/>
              <w:kern w:val="0"/>
              <w:sz w:val="24"/>
              <w:szCs w:val="32"/>
              <w:lang w:val="zh-CN" w:eastAsia="zh-CN" w:bidi="ar-SA"/>
            </w:rPr>
            <w:instrText xml:space="preserve"> PAGEREF _Toc20102 \h </w:instrText>
          </w:r>
          <w:r>
            <w:rPr>
              <w:rFonts w:ascii="Times New Roman" w:hAnsi="Times New Roman" w:eastAsia="宋体" w:cs="Times New Roman"/>
              <w:bCs w:val="0"/>
              <w:kern w:val="0"/>
              <w:sz w:val="24"/>
              <w:szCs w:val="32"/>
              <w:lang w:val="zh-CN" w:eastAsia="zh-CN" w:bidi="ar-SA"/>
            </w:rPr>
            <w:fldChar w:fldCharType="separate"/>
          </w:r>
          <w:r>
            <w:rPr>
              <w:rFonts w:ascii="Times New Roman" w:hAnsi="Times New Roman" w:eastAsia="宋体" w:cs="Times New Roman"/>
              <w:bCs w:val="0"/>
              <w:kern w:val="0"/>
              <w:sz w:val="24"/>
              <w:szCs w:val="32"/>
              <w:lang w:val="zh-CN" w:eastAsia="zh-CN" w:bidi="ar-SA"/>
            </w:rPr>
            <w:t>41</w:t>
          </w:r>
          <w:r>
            <w:rPr>
              <w:rFonts w:ascii="Times New Roman" w:hAnsi="Times New Roman" w:eastAsia="宋体" w:cs="Times New Roman"/>
              <w:bCs w:val="0"/>
              <w:kern w:val="0"/>
              <w:sz w:val="24"/>
              <w:szCs w:val="32"/>
              <w:lang w:val="zh-CN" w:eastAsia="zh-CN" w:bidi="ar-SA"/>
            </w:rPr>
            <w:fldChar w:fldCharType="end"/>
          </w:r>
          <w:r>
            <w:rPr>
              <w:rFonts w:ascii="Times New Roman" w:hAnsi="Times New Roman" w:eastAsia="宋体" w:cs="Times New Roman"/>
              <w:bCs w:val="0"/>
              <w:kern w:val="0"/>
              <w:sz w:val="24"/>
              <w:szCs w:val="32"/>
              <w:lang w:val="zh-CN" w:eastAsia="zh-CN" w:bidi="ar-SA"/>
            </w:rPr>
            <w:fldChar w:fldCharType="end"/>
          </w:r>
        </w:p>
        <w:p w14:paraId="193F1E24">
          <w:pPr>
            <w:widowControl w:val="0"/>
            <w:tabs>
              <w:tab w:val="right" w:leader="dot" w:pos="8306"/>
            </w:tabs>
            <w:spacing w:line="300" w:lineRule="auto"/>
            <w:ind w:left="840" w:leftChars="400" w:firstLine="0" w:firstLineChars="0"/>
            <w:jc w:val="both"/>
            <w:rPr>
              <w:rFonts w:ascii="Times New Roman" w:hAnsi="Times New Roman" w:eastAsia="宋体" w:cs="Times New Roman"/>
              <w:kern w:val="2"/>
              <w:sz w:val="24"/>
              <w:szCs w:val="22"/>
              <w:lang w:val="en-US" w:eastAsia="zh-CN" w:bidi="ar-SA"/>
            </w:rPr>
          </w:pPr>
          <w:r>
            <w:rPr>
              <w:rFonts w:ascii="Times New Roman" w:hAnsi="Times New Roman" w:eastAsia="宋体" w:cs="Times New Roman"/>
              <w:bCs w:val="0"/>
              <w:kern w:val="0"/>
              <w:sz w:val="24"/>
              <w:szCs w:val="32"/>
              <w:lang w:val="zh-CN" w:eastAsia="zh-CN" w:bidi="ar-SA"/>
            </w:rPr>
            <w:fldChar w:fldCharType="begin"/>
          </w:r>
          <w:r>
            <w:rPr>
              <w:rFonts w:ascii="Times New Roman" w:hAnsi="Times New Roman" w:eastAsia="宋体" w:cs="Times New Roman"/>
              <w:bCs w:val="0"/>
              <w:kern w:val="0"/>
              <w:sz w:val="24"/>
              <w:szCs w:val="32"/>
              <w:lang w:val="zh-CN" w:eastAsia="zh-CN" w:bidi="ar-SA"/>
            </w:rPr>
            <w:instrText xml:space="preserve"> HYPERLINK \l _Toc29932 </w:instrText>
          </w:r>
          <w:r>
            <w:rPr>
              <w:rFonts w:ascii="Times New Roman" w:hAnsi="Times New Roman" w:eastAsia="宋体" w:cs="Times New Roman"/>
              <w:bCs w:val="0"/>
              <w:kern w:val="0"/>
              <w:sz w:val="24"/>
              <w:szCs w:val="32"/>
              <w:lang w:val="zh-CN" w:eastAsia="zh-CN" w:bidi="ar-SA"/>
            </w:rPr>
            <w:fldChar w:fldCharType="separate"/>
          </w:r>
          <w:r>
            <w:rPr>
              <w:rFonts w:hint="eastAsia" w:ascii="Times New Roman" w:hAnsi="Times New Roman" w:eastAsia="宋体" w:cs="Times New Roman"/>
              <w:bCs w:val="0"/>
              <w:kern w:val="0"/>
              <w:sz w:val="24"/>
              <w:szCs w:val="32"/>
              <w:lang w:val="zh-CN" w:eastAsia="zh-CN" w:bidi="ar-SA"/>
            </w:rPr>
            <w:t xml:space="preserve">3.7.3 </w:t>
          </w:r>
          <w:r>
            <w:rPr>
              <w:rFonts w:ascii="Times New Roman" w:hAnsi="Times New Roman" w:eastAsia="宋体" w:cs="Times New Roman"/>
              <w:bCs w:val="0"/>
              <w:kern w:val="0"/>
              <w:sz w:val="24"/>
              <w:szCs w:val="32"/>
              <w:lang w:val="zh-CN" w:eastAsia="zh-CN" w:bidi="ar-SA"/>
            </w:rPr>
            <w:t>施工便道</w:t>
          </w:r>
          <w:r>
            <w:rPr>
              <w:rFonts w:ascii="Times New Roman" w:hAnsi="Times New Roman" w:eastAsia="宋体" w:cs="Times New Roman"/>
              <w:bCs w:val="0"/>
              <w:kern w:val="0"/>
              <w:sz w:val="24"/>
              <w:szCs w:val="32"/>
              <w:lang w:val="zh-CN" w:eastAsia="zh-CN" w:bidi="ar-SA"/>
            </w:rPr>
            <w:tab/>
          </w:r>
          <w:r>
            <w:rPr>
              <w:rFonts w:ascii="Times New Roman" w:hAnsi="Times New Roman" w:eastAsia="宋体" w:cs="Times New Roman"/>
              <w:bCs w:val="0"/>
              <w:kern w:val="0"/>
              <w:sz w:val="24"/>
              <w:szCs w:val="32"/>
              <w:lang w:val="zh-CN" w:eastAsia="zh-CN" w:bidi="ar-SA"/>
            </w:rPr>
            <w:fldChar w:fldCharType="begin"/>
          </w:r>
          <w:r>
            <w:rPr>
              <w:rFonts w:ascii="Times New Roman" w:hAnsi="Times New Roman" w:eastAsia="宋体" w:cs="Times New Roman"/>
              <w:bCs w:val="0"/>
              <w:kern w:val="0"/>
              <w:sz w:val="24"/>
              <w:szCs w:val="32"/>
              <w:lang w:val="zh-CN" w:eastAsia="zh-CN" w:bidi="ar-SA"/>
            </w:rPr>
            <w:instrText xml:space="preserve"> PAGEREF _Toc29932 \h </w:instrText>
          </w:r>
          <w:r>
            <w:rPr>
              <w:rFonts w:ascii="Times New Roman" w:hAnsi="Times New Roman" w:eastAsia="宋体" w:cs="Times New Roman"/>
              <w:bCs w:val="0"/>
              <w:kern w:val="0"/>
              <w:sz w:val="24"/>
              <w:szCs w:val="32"/>
              <w:lang w:val="zh-CN" w:eastAsia="zh-CN" w:bidi="ar-SA"/>
            </w:rPr>
            <w:fldChar w:fldCharType="separate"/>
          </w:r>
          <w:r>
            <w:rPr>
              <w:rFonts w:ascii="Times New Roman" w:hAnsi="Times New Roman" w:eastAsia="宋体" w:cs="Times New Roman"/>
              <w:bCs w:val="0"/>
              <w:kern w:val="0"/>
              <w:sz w:val="24"/>
              <w:szCs w:val="32"/>
              <w:lang w:val="zh-CN" w:eastAsia="zh-CN" w:bidi="ar-SA"/>
            </w:rPr>
            <w:t>43</w:t>
          </w:r>
          <w:r>
            <w:rPr>
              <w:rFonts w:ascii="Times New Roman" w:hAnsi="Times New Roman" w:eastAsia="宋体" w:cs="Times New Roman"/>
              <w:bCs w:val="0"/>
              <w:kern w:val="0"/>
              <w:sz w:val="24"/>
              <w:szCs w:val="32"/>
              <w:lang w:val="zh-CN" w:eastAsia="zh-CN" w:bidi="ar-SA"/>
            </w:rPr>
            <w:fldChar w:fldCharType="end"/>
          </w:r>
          <w:r>
            <w:rPr>
              <w:rFonts w:ascii="Times New Roman" w:hAnsi="Times New Roman" w:eastAsia="宋体" w:cs="Times New Roman"/>
              <w:bCs w:val="0"/>
              <w:kern w:val="0"/>
              <w:sz w:val="24"/>
              <w:szCs w:val="32"/>
              <w:lang w:val="zh-CN" w:eastAsia="zh-CN" w:bidi="ar-SA"/>
            </w:rPr>
            <w:fldChar w:fldCharType="end"/>
          </w:r>
        </w:p>
        <w:p w14:paraId="3D3D60C9">
          <w:pPr>
            <w:widowControl w:val="0"/>
            <w:tabs>
              <w:tab w:val="right" w:leader="dot" w:pos="8306"/>
            </w:tabs>
            <w:spacing w:line="300" w:lineRule="auto"/>
            <w:ind w:left="420" w:leftChars="200" w:firstLine="0" w:firstLineChars="0"/>
            <w:jc w:val="both"/>
            <w:rPr>
              <w:rFonts w:ascii="Times New Roman" w:hAnsi="Times New Roman" w:eastAsia="宋体" w:cs="Times New Roman"/>
              <w:bCs/>
              <w:color w:val="000000"/>
              <w:kern w:val="2"/>
              <w:sz w:val="24"/>
              <w:szCs w:val="22"/>
              <w:lang w:val="zh-CN" w:eastAsia="zh-CN" w:bidi="ar-SA"/>
            </w:rPr>
          </w:pPr>
          <w:r>
            <w:rPr>
              <w:rFonts w:ascii="Times New Roman" w:hAnsi="Times New Roman" w:eastAsia="宋体" w:cs="Times New Roman"/>
              <w:bCs/>
              <w:color w:val="000000"/>
              <w:kern w:val="2"/>
              <w:sz w:val="24"/>
              <w:szCs w:val="22"/>
              <w:lang w:val="zh-CN" w:eastAsia="zh-CN" w:bidi="ar-SA"/>
            </w:rPr>
            <w:fldChar w:fldCharType="begin"/>
          </w:r>
          <w:r>
            <w:rPr>
              <w:rFonts w:ascii="Times New Roman" w:hAnsi="Times New Roman" w:eastAsia="宋体" w:cs="Times New Roman"/>
              <w:bCs/>
              <w:color w:val="000000"/>
              <w:kern w:val="2"/>
              <w:sz w:val="24"/>
              <w:szCs w:val="22"/>
              <w:lang w:val="zh-CN" w:eastAsia="zh-CN" w:bidi="ar-SA"/>
            </w:rPr>
            <w:instrText xml:space="preserve"> HYPERLINK \l _Toc24457 </w:instrText>
          </w:r>
          <w:r>
            <w:rPr>
              <w:rFonts w:ascii="Times New Roman" w:hAnsi="Times New Roman" w:eastAsia="宋体" w:cs="Times New Roman"/>
              <w:bCs/>
              <w:color w:val="000000"/>
              <w:kern w:val="2"/>
              <w:sz w:val="24"/>
              <w:szCs w:val="22"/>
              <w:lang w:val="zh-CN" w:eastAsia="zh-CN" w:bidi="ar-SA"/>
            </w:rPr>
            <w:fldChar w:fldCharType="separate"/>
          </w:r>
          <w:r>
            <w:rPr>
              <w:rFonts w:hint="eastAsia" w:ascii="Times New Roman" w:hAnsi="Times New Roman" w:eastAsia="宋体" w:cs="Times New Roman"/>
              <w:bCs/>
              <w:color w:val="000000"/>
              <w:kern w:val="2"/>
              <w:sz w:val="24"/>
              <w:szCs w:val="22"/>
              <w:lang w:val="zh-CN" w:eastAsia="zh-CN" w:bidi="ar-SA"/>
            </w:rPr>
            <w:t xml:space="preserve">3.8 </w:t>
          </w:r>
          <w:r>
            <w:rPr>
              <w:rFonts w:ascii="Times New Roman" w:hAnsi="Times New Roman" w:eastAsia="宋体" w:cs="Times New Roman"/>
              <w:bCs/>
              <w:color w:val="000000"/>
              <w:kern w:val="2"/>
              <w:sz w:val="24"/>
              <w:szCs w:val="22"/>
              <w:lang w:val="zh-CN" w:eastAsia="zh-CN" w:bidi="ar-SA"/>
            </w:rPr>
            <w:t>工程实施前后的生态影响变化分析</w:t>
          </w:r>
          <w:r>
            <w:rPr>
              <w:rFonts w:ascii="Times New Roman" w:hAnsi="Times New Roman" w:eastAsia="宋体" w:cs="Times New Roman"/>
              <w:bCs/>
              <w:color w:val="000000"/>
              <w:kern w:val="2"/>
              <w:sz w:val="24"/>
              <w:szCs w:val="22"/>
              <w:lang w:val="zh-CN" w:eastAsia="zh-CN" w:bidi="ar-SA"/>
            </w:rPr>
            <w:tab/>
          </w:r>
          <w:r>
            <w:rPr>
              <w:rFonts w:ascii="Times New Roman" w:hAnsi="Times New Roman" w:eastAsia="宋体" w:cs="Times New Roman"/>
              <w:bCs/>
              <w:color w:val="000000"/>
              <w:kern w:val="2"/>
              <w:sz w:val="24"/>
              <w:szCs w:val="22"/>
              <w:lang w:val="zh-CN" w:eastAsia="zh-CN" w:bidi="ar-SA"/>
            </w:rPr>
            <w:fldChar w:fldCharType="begin"/>
          </w:r>
          <w:r>
            <w:rPr>
              <w:rFonts w:ascii="Times New Roman" w:hAnsi="Times New Roman" w:eastAsia="宋体" w:cs="Times New Roman"/>
              <w:bCs/>
              <w:color w:val="000000"/>
              <w:kern w:val="2"/>
              <w:sz w:val="24"/>
              <w:szCs w:val="22"/>
              <w:lang w:val="zh-CN" w:eastAsia="zh-CN" w:bidi="ar-SA"/>
            </w:rPr>
            <w:instrText xml:space="preserve"> PAGEREF _Toc24457 \h </w:instrText>
          </w:r>
          <w:r>
            <w:rPr>
              <w:rFonts w:ascii="Times New Roman" w:hAnsi="Times New Roman" w:eastAsia="宋体" w:cs="Times New Roman"/>
              <w:bCs/>
              <w:color w:val="000000"/>
              <w:kern w:val="2"/>
              <w:sz w:val="24"/>
              <w:szCs w:val="22"/>
              <w:lang w:val="zh-CN" w:eastAsia="zh-CN" w:bidi="ar-SA"/>
            </w:rPr>
            <w:fldChar w:fldCharType="separate"/>
          </w:r>
          <w:r>
            <w:rPr>
              <w:rFonts w:ascii="Times New Roman" w:hAnsi="Times New Roman" w:eastAsia="宋体" w:cs="Times New Roman"/>
              <w:bCs/>
              <w:color w:val="000000"/>
              <w:kern w:val="2"/>
              <w:sz w:val="24"/>
              <w:szCs w:val="22"/>
              <w:lang w:val="zh-CN" w:eastAsia="zh-CN" w:bidi="ar-SA"/>
            </w:rPr>
            <w:t>43</w:t>
          </w:r>
          <w:r>
            <w:rPr>
              <w:rFonts w:ascii="Times New Roman" w:hAnsi="Times New Roman" w:eastAsia="宋体" w:cs="Times New Roman"/>
              <w:bCs/>
              <w:color w:val="000000"/>
              <w:kern w:val="2"/>
              <w:sz w:val="24"/>
              <w:szCs w:val="22"/>
              <w:lang w:val="zh-CN" w:eastAsia="zh-CN" w:bidi="ar-SA"/>
            </w:rPr>
            <w:fldChar w:fldCharType="end"/>
          </w:r>
          <w:r>
            <w:rPr>
              <w:rFonts w:ascii="Times New Roman" w:hAnsi="Times New Roman" w:eastAsia="宋体" w:cs="Times New Roman"/>
              <w:bCs/>
              <w:color w:val="000000"/>
              <w:kern w:val="2"/>
              <w:sz w:val="24"/>
              <w:szCs w:val="22"/>
              <w:lang w:val="zh-CN" w:eastAsia="zh-CN" w:bidi="ar-SA"/>
            </w:rPr>
            <w:fldChar w:fldCharType="end"/>
          </w:r>
        </w:p>
        <w:p w14:paraId="7231AA2F">
          <w:pPr>
            <w:widowControl w:val="0"/>
            <w:tabs>
              <w:tab w:val="right" w:leader="dot" w:pos="8306"/>
            </w:tabs>
            <w:spacing w:line="300" w:lineRule="auto"/>
            <w:ind w:left="420" w:leftChars="200" w:firstLine="0" w:firstLineChars="0"/>
            <w:jc w:val="both"/>
            <w:rPr>
              <w:rFonts w:ascii="Times New Roman" w:hAnsi="Times New Roman" w:eastAsia="宋体" w:cs="Times New Roman"/>
              <w:kern w:val="2"/>
              <w:sz w:val="24"/>
              <w:szCs w:val="22"/>
              <w:lang w:val="en-US" w:eastAsia="zh-CN" w:bidi="ar-SA"/>
            </w:rPr>
          </w:pPr>
          <w:r>
            <w:rPr>
              <w:rFonts w:ascii="Times New Roman" w:hAnsi="Times New Roman" w:eastAsia="宋体" w:cs="Times New Roman"/>
              <w:bCs/>
              <w:color w:val="000000"/>
              <w:kern w:val="2"/>
              <w:sz w:val="24"/>
              <w:szCs w:val="22"/>
              <w:lang w:val="zh-CN" w:eastAsia="zh-CN" w:bidi="ar-SA"/>
            </w:rPr>
            <w:fldChar w:fldCharType="begin"/>
          </w:r>
          <w:r>
            <w:rPr>
              <w:rFonts w:ascii="Times New Roman" w:hAnsi="Times New Roman" w:eastAsia="宋体" w:cs="Times New Roman"/>
              <w:bCs/>
              <w:color w:val="000000"/>
              <w:kern w:val="2"/>
              <w:sz w:val="24"/>
              <w:szCs w:val="22"/>
              <w:lang w:val="zh-CN" w:eastAsia="zh-CN" w:bidi="ar-SA"/>
            </w:rPr>
            <w:instrText xml:space="preserve"> HYPERLINK \l _Toc28017 </w:instrText>
          </w:r>
          <w:r>
            <w:rPr>
              <w:rFonts w:ascii="Times New Roman" w:hAnsi="Times New Roman" w:eastAsia="宋体" w:cs="Times New Roman"/>
              <w:bCs/>
              <w:color w:val="000000"/>
              <w:kern w:val="2"/>
              <w:sz w:val="24"/>
              <w:szCs w:val="22"/>
              <w:lang w:val="zh-CN" w:eastAsia="zh-CN" w:bidi="ar-SA"/>
            </w:rPr>
            <w:fldChar w:fldCharType="separate"/>
          </w:r>
          <w:r>
            <w:rPr>
              <w:rFonts w:ascii="Times New Roman" w:hAnsi="Times New Roman" w:eastAsia="宋体" w:cs="Times New Roman"/>
              <w:bCs/>
              <w:color w:val="000000"/>
              <w:kern w:val="2"/>
              <w:sz w:val="24"/>
              <w:szCs w:val="22"/>
              <w:lang w:val="zh-CN" w:eastAsia="zh-CN" w:bidi="ar-SA"/>
            </w:rPr>
            <w:t>3.9 对沙化土地的影响</w:t>
          </w:r>
          <w:r>
            <w:rPr>
              <w:rFonts w:ascii="Times New Roman" w:hAnsi="Times New Roman" w:eastAsia="宋体" w:cs="Times New Roman"/>
              <w:bCs/>
              <w:color w:val="000000"/>
              <w:kern w:val="2"/>
              <w:sz w:val="24"/>
              <w:szCs w:val="22"/>
              <w:lang w:val="zh-CN" w:eastAsia="zh-CN" w:bidi="ar-SA"/>
            </w:rPr>
            <w:tab/>
          </w:r>
          <w:r>
            <w:rPr>
              <w:rFonts w:ascii="Times New Roman" w:hAnsi="Times New Roman" w:eastAsia="宋体" w:cs="Times New Roman"/>
              <w:bCs/>
              <w:color w:val="000000"/>
              <w:kern w:val="2"/>
              <w:sz w:val="24"/>
              <w:szCs w:val="22"/>
              <w:lang w:val="zh-CN" w:eastAsia="zh-CN" w:bidi="ar-SA"/>
            </w:rPr>
            <w:fldChar w:fldCharType="begin"/>
          </w:r>
          <w:r>
            <w:rPr>
              <w:rFonts w:ascii="Times New Roman" w:hAnsi="Times New Roman" w:eastAsia="宋体" w:cs="Times New Roman"/>
              <w:bCs/>
              <w:color w:val="000000"/>
              <w:kern w:val="2"/>
              <w:sz w:val="24"/>
              <w:szCs w:val="22"/>
              <w:lang w:val="zh-CN" w:eastAsia="zh-CN" w:bidi="ar-SA"/>
            </w:rPr>
            <w:instrText xml:space="preserve"> PAGEREF _Toc28017 \h </w:instrText>
          </w:r>
          <w:r>
            <w:rPr>
              <w:rFonts w:ascii="Times New Roman" w:hAnsi="Times New Roman" w:eastAsia="宋体" w:cs="Times New Roman"/>
              <w:bCs/>
              <w:color w:val="000000"/>
              <w:kern w:val="2"/>
              <w:sz w:val="24"/>
              <w:szCs w:val="22"/>
              <w:lang w:val="zh-CN" w:eastAsia="zh-CN" w:bidi="ar-SA"/>
            </w:rPr>
            <w:fldChar w:fldCharType="separate"/>
          </w:r>
          <w:r>
            <w:rPr>
              <w:rFonts w:ascii="Times New Roman" w:hAnsi="Times New Roman" w:eastAsia="宋体" w:cs="Times New Roman"/>
              <w:bCs/>
              <w:color w:val="000000"/>
              <w:kern w:val="2"/>
              <w:sz w:val="24"/>
              <w:szCs w:val="22"/>
              <w:lang w:val="zh-CN" w:eastAsia="zh-CN" w:bidi="ar-SA"/>
            </w:rPr>
            <w:t>44</w:t>
          </w:r>
          <w:r>
            <w:rPr>
              <w:rFonts w:ascii="Times New Roman" w:hAnsi="Times New Roman" w:eastAsia="宋体" w:cs="Times New Roman"/>
              <w:bCs/>
              <w:color w:val="000000"/>
              <w:kern w:val="2"/>
              <w:sz w:val="24"/>
              <w:szCs w:val="22"/>
              <w:lang w:val="zh-CN" w:eastAsia="zh-CN" w:bidi="ar-SA"/>
            </w:rPr>
            <w:fldChar w:fldCharType="end"/>
          </w:r>
          <w:r>
            <w:rPr>
              <w:rFonts w:ascii="Times New Roman" w:hAnsi="Times New Roman" w:eastAsia="宋体" w:cs="Times New Roman"/>
              <w:bCs/>
              <w:color w:val="000000"/>
              <w:kern w:val="2"/>
              <w:sz w:val="24"/>
              <w:szCs w:val="22"/>
              <w:lang w:val="zh-CN" w:eastAsia="zh-CN" w:bidi="ar-SA"/>
            </w:rPr>
            <w:fldChar w:fldCharType="end"/>
          </w:r>
        </w:p>
        <w:p w14:paraId="59B9DFE4">
          <w:pPr>
            <w:widowControl w:val="0"/>
            <w:tabs>
              <w:tab w:val="right" w:leader="dot" w:pos="8306"/>
            </w:tabs>
            <w:spacing w:line="300" w:lineRule="auto"/>
            <w:ind w:left="0" w:leftChars="0" w:firstLine="0" w:firstLineChars="0"/>
            <w:jc w:val="both"/>
            <w:rPr>
              <w:rFonts w:ascii="Times New Roman" w:hAnsi="Times New Roman" w:eastAsia="宋体" w:cs="Times New Roman"/>
              <w:kern w:val="2"/>
              <w:sz w:val="24"/>
              <w:szCs w:val="22"/>
              <w:lang w:val="en-US" w:eastAsia="zh-CN" w:bidi="ar-SA"/>
            </w:rPr>
          </w:pPr>
          <w:r>
            <w:rPr>
              <w:rFonts w:ascii="Times New Roman" w:hAnsi="Times New Roman" w:eastAsia="宋体" w:cs="Times New Roman"/>
              <w:bCs/>
              <w:color w:val="000000"/>
              <w:kern w:val="2"/>
              <w:sz w:val="24"/>
              <w:szCs w:val="22"/>
              <w:lang w:val="zh-CN" w:eastAsia="zh-CN" w:bidi="ar-SA"/>
            </w:rPr>
            <w:fldChar w:fldCharType="begin"/>
          </w:r>
          <w:r>
            <w:rPr>
              <w:rFonts w:ascii="Times New Roman" w:hAnsi="Times New Roman" w:eastAsia="宋体" w:cs="Times New Roman"/>
              <w:bCs/>
              <w:kern w:val="2"/>
              <w:sz w:val="24"/>
              <w:szCs w:val="22"/>
              <w:lang w:val="zh-CN" w:eastAsia="zh-CN" w:bidi="ar-SA"/>
            </w:rPr>
            <w:instrText xml:space="preserve"> HYPERLINK \l _Toc25834 </w:instrText>
          </w:r>
          <w:r>
            <w:rPr>
              <w:rFonts w:ascii="Times New Roman" w:hAnsi="Times New Roman" w:eastAsia="宋体" w:cs="Times New Roman"/>
              <w:bCs/>
              <w:kern w:val="2"/>
              <w:sz w:val="24"/>
              <w:szCs w:val="22"/>
              <w:lang w:val="zh-CN" w:eastAsia="zh-CN" w:bidi="ar-SA"/>
            </w:rPr>
            <w:fldChar w:fldCharType="separate"/>
          </w:r>
          <w:r>
            <w:rPr>
              <w:rFonts w:hint="eastAsia" w:ascii="Times New Roman" w:hAnsi="Times New Roman" w:eastAsia="宋体" w:cs="Times New Roman"/>
              <w:kern w:val="2"/>
              <w:sz w:val="24"/>
              <w:szCs w:val="22"/>
              <w:lang w:val="en-US" w:eastAsia="zh-CN" w:bidi="ar-SA"/>
            </w:rPr>
            <w:t xml:space="preserve">4 </w:t>
          </w:r>
          <w:r>
            <w:rPr>
              <w:rFonts w:ascii="Times New Roman" w:hAnsi="Times New Roman" w:eastAsia="宋体" w:cs="Times New Roman"/>
              <w:kern w:val="2"/>
              <w:sz w:val="24"/>
              <w:szCs w:val="22"/>
              <w:lang w:val="en-US" w:eastAsia="zh-CN" w:bidi="ar-SA"/>
            </w:rPr>
            <w:t>生态保护措施</w:t>
          </w:r>
          <w:r>
            <w:rPr>
              <w:rFonts w:ascii="Times New Roman" w:hAnsi="Times New Roman" w:eastAsia="宋体" w:cs="Times New Roman"/>
              <w:kern w:val="2"/>
              <w:sz w:val="24"/>
              <w:szCs w:val="22"/>
              <w:lang w:val="en-US" w:eastAsia="zh-CN" w:bidi="ar-SA"/>
            </w:rPr>
            <w:tab/>
          </w:r>
          <w:r>
            <w:rPr>
              <w:rFonts w:ascii="Times New Roman" w:hAnsi="Times New Roman" w:eastAsia="宋体" w:cs="Times New Roman"/>
              <w:kern w:val="2"/>
              <w:sz w:val="24"/>
              <w:szCs w:val="22"/>
              <w:lang w:val="en-US" w:eastAsia="zh-CN" w:bidi="ar-SA"/>
            </w:rPr>
            <w:fldChar w:fldCharType="begin"/>
          </w:r>
          <w:r>
            <w:rPr>
              <w:rFonts w:ascii="Times New Roman" w:hAnsi="Times New Roman" w:eastAsia="宋体" w:cs="Times New Roman"/>
              <w:kern w:val="2"/>
              <w:sz w:val="24"/>
              <w:szCs w:val="22"/>
              <w:lang w:val="en-US" w:eastAsia="zh-CN" w:bidi="ar-SA"/>
            </w:rPr>
            <w:instrText xml:space="preserve"> PAGEREF _Toc25834 \h </w:instrText>
          </w:r>
          <w:r>
            <w:rPr>
              <w:rFonts w:ascii="Times New Roman" w:hAnsi="Times New Roman" w:eastAsia="宋体" w:cs="Times New Roman"/>
              <w:kern w:val="2"/>
              <w:sz w:val="24"/>
              <w:szCs w:val="22"/>
              <w:lang w:val="en-US" w:eastAsia="zh-CN" w:bidi="ar-SA"/>
            </w:rPr>
            <w:fldChar w:fldCharType="separate"/>
          </w:r>
          <w:r>
            <w:rPr>
              <w:rFonts w:ascii="Times New Roman" w:hAnsi="Times New Roman" w:eastAsia="宋体" w:cs="Times New Roman"/>
              <w:kern w:val="2"/>
              <w:sz w:val="24"/>
              <w:szCs w:val="22"/>
              <w:lang w:val="en-US" w:eastAsia="zh-CN" w:bidi="ar-SA"/>
            </w:rPr>
            <w:t>46</w:t>
          </w:r>
          <w:r>
            <w:rPr>
              <w:rFonts w:ascii="Times New Roman" w:hAnsi="Times New Roman" w:eastAsia="宋体" w:cs="Times New Roman"/>
              <w:kern w:val="2"/>
              <w:sz w:val="24"/>
              <w:szCs w:val="22"/>
              <w:lang w:val="en-US" w:eastAsia="zh-CN" w:bidi="ar-SA"/>
            </w:rPr>
            <w:fldChar w:fldCharType="end"/>
          </w:r>
          <w:r>
            <w:rPr>
              <w:rFonts w:ascii="Times New Roman" w:hAnsi="Times New Roman" w:eastAsia="宋体" w:cs="Times New Roman"/>
              <w:bCs/>
              <w:color w:val="000000"/>
              <w:kern w:val="2"/>
              <w:sz w:val="24"/>
              <w:szCs w:val="22"/>
              <w:lang w:val="zh-CN" w:eastAsia="zh-CN" w:bidi="ar-SA"/>
            </w:rPr>
            <w:fldChar w:fldCharType="end"/>
          </w:r>
        </w:p>
        <w:p w14:paraId="74BB7B5C">
          <w:pPr>
            <w:widowControl w:val="0"/>
            <w:tabs>
              <w:tab w:val="right" w:leader="dot" w:pos="8306"/>
            </w:tabs>
            <w:spacing w:line="300" w:lineRule="auto"/>
            <w:ind w:left="420" w:leftChars="200" w:firstLine="0" w:firstLineChars="0"/>
            <w:jc w:val="both"/>
            <w:rPr>
              <w:rFonts w:ascii="Times New Roman" w:hAnsi="Times New Roman" w:eastAsia="宋体" w:cs="Times New Roman"/>
              <w:bCs/>
              <w:color w:val="000000"/>
              <w:kern w:val="2"/>
              <w:sz w:val="24"/>
              <w:szCs w:val="22"/>
              <w:lang w:val="zh-CN" w:eastAsia="zh-CN" w:bidi="ar-SA"/>
            </w:rPr>
          </w:pPr>
          <w:r>
            <w:rPr>
              <w:rFonts w:ascii="Times New Roman" w:hAnsi="Times New Roman" w:eastAsia="宋体" w:cs="Times New Roman"/>
              <w:bCs/>
              <w:color w:val="000000"/>
              <w:kern w:val="2"/>
              <w:sz w:val="24"/>
              <w:szCs w:val="22"/>
              <w:lang w:val="zh-CN" w:eastAsia="zh-CN" w:bidi="ar-SA"/>
            </w:rPr>
            <w:fldChar w:fldCharType="begin"/>
          </w:r>
          <w:r>
            <w:rPr>
              <w:rFonts w:ascii="Times New Roman" w:hAnsi="Times New Roman" w:eastAsia="宋体" w:cs="Times New Roman"/>
              <w:bCs/>
              <w:color w:val="000000"/>
              <w:kern w:val="2"/>
              <w:sz w:val="24"/>
              <w:szCs w:val="22"/>
              <w:lang w:val="zh-CN" w:eastAsia="zh-CN" w:bidi="ar-SA"/>
            </w:rPr>
            <w:instrText xml:space="preserve"> HYPERLINK \l _Toc15262 </w:instrText>
          </w:r>
          <w:r>
            <w:rPr>
              <w:rFonts w:ascii="Times New Roman" w:hAnsi="Times New Roman" w:eastAsia="宋体" w:cs="Times New Roman"/>
              <w:bCs/>
              <w:color w:val="000000"/>
              <w:kern w:val="2"/>
              <w:sz w:val="24"/>
              <w:szCs w:val="22"/>
              <w:lang w:val="zh-CN" w:eastAsia="zh-CN" w:bidi="ar-SA"/>
            </w:rPr>
            <w:fldChar w:fldCharType="separate"/>
          </w:r>
          <w:r>
            <w:rPr>
              <w:rFonts w:hint="eastAsia" w:ascii="Times New Roman" w:hAnsi="Times New Roman" w:eastAsia="宋体" w:cs="Times New Roman"/>
              <w:bCs/>
              <w:color w:val="000000"/>
              <w:kern w:val="2"/>
              <w:sz w:val="24"/>
              <w:szCs w:val="22"/>
              <w:lang w:val="zh-CN" w:eastAsia="zh-CN" w:bidi="ar-SA"/>
            </w:rPr>
            <w:t xml:space="preserve">4.1 </w:t>
          </w:r>
          <w:r>
            <w:rPr>
              <w:rFonts w:ascii="Times New Roman" w:hAnsi="Times New Roman" w:eastAsia="宋体" w:cs="Times New Roman"/>
              <w:bCs/>
              <w:color w:val="000000"/>
              <w:kern w:val="2"/>
              <w:sz w:val="24"/>
              <w:szCs w:val="22"/>
              <w:lang w:val="zh-CN" w:eastAsia="zh-CN" w:bidi="ar-SA"/>
            </w:rPr>
            <w:t>设计期生态保护措施</w:t>
          </w:r>
          <w:r>
            <w:rPr>
              <w:rFonts w:ascii="Times New Roman" w:hAnsi="Times New Roman" w:eastAsia="宋体" w:cs="Times New Roman"/>
              <w:bCs/>
              <w:color w:val="000000"/>
              <w:kern w:val="2"/>
              <w:sz w:val="24"/>
              <w:szCs w:val="22"/>
              <w:lang w:val="zh-CN" w:eastAsia="zh-CN" w:bidi="ar-SA"/>
            </w:rPr>
            <w:tab/>
          </w:r>
          <w:r>
            <w:rPr>
              <w:rFonts w:ascii="Times New Roman" w:hAnsi="Times New Roman" w:eastAsia="宋体" w:cs="Times New Roman"/>
              <w:bCs/>
              <w:color w:val="000000"/>
              <w:kern w:val="2"/>
              <w:sz w:val="24"/>
              <w:szCs w:val="22"/>
              <w:lang w:val="zh-CN" w:eastAsia="zh-CN" w:bidi="ar-SA"/>
            </w:rPr>
            <w:fldChar w:fldCharType="begin"/>
          </w:r>
          <w:r>
            <w:rPr>
              <w:rFonts w:ascii="Times New Roman" w:hAnsi="Times New Roman" w:eastAsia="宋体" w:cs="Times New Roman"/>
              <w:bCs/>
              <w:color w:val="000000"/>
              <w:kern w:val="2"/>
              <w:sz w:val="24"/>
              <w:szCs w:val="22"/>
              <w:lang w:val="zh-CN" w:eastAsia="zh-CN" w:bidi="ar-SA"/>
            </w:rPr>
            <w:instrText xml:space="preserve"> PAGEREF _Toc15262 \h </w:instrText>
          </w:r>
          <w:r>
            <w:rPr>
              <w:rFonts w:ascii="Times New Roman" w:hAnsi="Times New Roman" w:eastAsia="宋体" w:cs="Times New Roman"/>
              <w:bCs/>
              <w:color w:val="000000"/>
              <w:kern w:val="2"/>
              <w:sz w:val="24"/>
              <w:szCs w:val="22"/>
              <w:lang w:val="zh-CN" w:eastAsia="zh-CN" w:bidi="ar-SA"/>
            </w:rPr>
            <w:fldChar w:fldCharType="separate"/>
          </w:r>
          <w:r>
            <w:rPr>
              <w:rFonts w:ascii="Times New Roman" w:hAnsi="Times New Roman" w:eastAsia="宋体" w:cs="Times New Roman"/>
              <w:bCs/>
              <w:color w:val="000000"/>
              <w:kern w:val="2"/>
              <w:sz w:val="24"/>
              <w:szCs w:val="22"/>
              <w:lang w:val="zh-CN" w:eastAsia="zh-CN" w:bidi="ar-SA"/>
            </w:rPr>
            <w:t>46</w:t>
          </w:r>
          <w:r>
            <w:rPr>
              <w:rFonts w:ascii="Times New Roman" w:hAnsi="Times New Roman" w:eastAsia="宋体" w:cs="Times New Roman"/>
              <w:bCs/>
              <w:color w:val="000000"/>
              <w:kern w:val="2"/>
              <w:sz w:val="24"/>
              <w:szCs w:val="22"/>
              <w:lang w:val="zh-CN" w:eastAsia="zh-CN" w:bidi="ar-SA"/>
            </w:rPr>
            <w:fldChar w:fldCharType="end"/>
          </w:r>
          <w:r>
            <w:rPr>
              <w:rFonts w:ascii="Times New Roman" w:hAnsi="Times New Roman" w:eastAsia="宋体" w:cs="Times New Roman"/>
              <w:bCs/>
              <w:color w:val="000000"/>
              <w:kern w:val="2"/>
              <w:sz w:val="24"/>
              <w:szCs w:val="22"/>
              <w:lang w:val="zh-CN" w:eastAsia="zh-CN" w:bidi="ar-SA"/>
            </w:rPr>
            <w:fldChar w:fldCharType="end"/>
          </w:r>
        </w:p>
        <w:p w14:paraId="4B65D1FF">
          <w:pPr>
            <w:widowControl w:val="0"/>
            <w:tabs>
              <w:tab w:val="right" w:leader="dot" w:pos="8306"/>
            </w:tabs>
            <w:spacing w:line="300" w:lineRule="auto"/>
            <w:ind w:left="420" w:leftChars="200" w:firstLine="0" w:firstLineChars="0"/>
            <w:jc w:val="both"/>
            <w:rPr>
              <w:rFonts w:ascii="Times New Roman" w:hAnsi="Times New Roman" w:eastAsia="宋体" w:cs="Times New Roman"/>
              <w:bCs/>
              <w:color w:val="000000"/>
              <w:kern w:val="2"/>
              <w:sz w:val="24"/>
              <w:szCs w:val="22"/>
              <w:lang w:val="zh-CN" w:eastAsia="zh-CN" w:bidi="ar-SA"/>
            </w:rPr>
          </w:pPr>
          <w:r>
            <w:rPr>
              <w:rFonts w:ascii="Times New Roman" w:hAnsi="Times New Roman" w:eastAsia="宋体" w:cs="Times New Roman"/>
              <w:bCs/>
              <w:color w:val="000000"/>
              <w:kern w:val="2"/>
              <w:sz w:val="24"/>
              <w:szCs w:val="22"/>
              <w:lang w:val="zh-CN" w:eastAsia="zh-CN" w:bidi="ar-SA"/>
            </w:rPr>
            <w:fldChar w:fldCharType="begin"/>
          </w:r>
          <w:r>
            <w:rPr>
              <w:rFonts w:ascii="Times New Roman" w:hAnsi="Times New Roman" w:eastAsia="宋体" w:cs="Times New Roman"/>
              <w:bCs/>
              <w:color w:val="000000"/>
              <w:kern w:val="2"/>
              <w:sz w:val="24"/>
              <w:szCs w:val="22"/>
              <w:lang w:val="zh-CN" w:eastAsia="zh-CN" w:bidi="ar-SA"/>
            </w:rPr>
            <w:instrText xml:space="preserve"> HYPERLINK \l _Toc24086 </w:instrText>
          </w:r>
          <w:r>
            <w:rPr>
              <w:rFonts w:ascii="Times New Roman" w:hAnsi="Times New Roman" w:eastAsia="宋体" w:cs="Times New Roman"/>
              <w:bCs/>
              <w:color w:val="000000"/>
              <w:kern w:val="2"/>
              <w:sz w:val="24"/>
              <w:szCs w:val="22"/>
              <w:lang w:val="zh-CN" w:eastAsia="zh-CN" w:bidi="ar-SA"/>
            </w:rPr>
            <w:fldChar w:fldCharType="separate"/>
          </w:r>
          <w:r>
            <w:rPr>
              <w:rFonts w:hint="eastAsia" w:ascii="Times New Roman" w:hAnsi="Times New Roman" w:eastAsia="宋体" w:cs="Times New Roman"/>
              <w:bCs/>
              <w:color w:val="000000"/>
              <w:kern w:val="2"/>
              <w:sz w:val="24"/>
              <w:szCs w:val="22"/>
              <w:lang w:val="zh-CN" w:eastAsia="zh-CN" w:bidi="ar-SA"/>
            </w:rPr>
            <w:t xml:space="preserve">4.2 </w:t>
          </w:r>
          <w:r>
            <w:rPr>
              <w:rFonts w:ascii="Times New Roman" w:hAnsi="Times New Roman" w:eastAsia="宋体" w:cs="Times New Roman"/>
              <w:bCs/>
              <w:color w:val="000000"/>
              <w:kern w:val="2"/>
              <w:sz w:val="24"/>
              <w:szCs w:val="22"/>
              <w:lang w:val="zh-CN" w:eastAsia="zh-CN" w:bidi="ar-SA"/>
            </w:rPr>
            <w:t>施工期生态保护措施</w:t>
          </w:r>
          <w:r>
            <w:rPr>
              <w:rFonts w:ascii="Times New Roman" w:hAnsi="Times New Roman" w:eastAsia="宋体" w:cs="Times New Roman"/>
              <w:bCs/>
              <w:color w:val="000000"/>
              <w:kern w:val="2"/>
              <w:sz w:val="24"/>
              <w:szCs w:val="22"/>
              <w:lang w:val="zh-CN" w:eastAsia="zh-CN" w:bidi="ar-SA"/>
            </w:rPr>
            <w:tab/>
          </w:r>
          <w:r>
            <w:rPr>
              <w:rFonts w:ascii="Times New Roman" w:hAnsi="Times New Roman" w:eastAsia="宋体" w:cs="Times New Roman"/>
              <w:bCs/>
              <w:color w:val="000000"/>
              <w:kern w:val="2"/>
              <w:sz w:val="24"/>
              <w:szCs w:val="22"/>
              <w:lang w:val="zh-CN" w:eastAsia="zh-CN" w:bidi="ar-SA"/>
            </w:rPr>
            <w:fldChar w:fldCharType="begin"/>
          </w:r>
          <w:r>
            <w:rPr>
              <w:rFonts w:ascii="Times New Roman" w:hAnsi="Times New Roman" w:eastAsia="宋体" w:cs="Times New Roman"/>
              <w:bCs/>
              <w:color w:val="000000"/>
              <w:kern w:val="2"/>
              <w:sz w:val="24"/>
              <w:szCs w:val="22"/>
              <w:lang w:val="zh-CN" w:eastAsia="zh-CN" w:bidi="ar-SA"/>
            </w:rPr>
            <w:instrText xml:space="preserve"> PAGEREF _Toc24086 \h </w:instrText>
          </w:r>
          <w:r>
            <w:rPr>
              <w:rFonts w:ascii="Times New Roman" w:hAnsi="Times New Roman" w:eastAsia="宋体" w:cs="Times New Roman"/>
              <w:bCs/>
              <w:color w:val="000000"/>
              <w:kern w:val="2"/>
              <w:sz w:val="24"/>
              <w:szCs w:val="22"/>
              <w:lang w:val="zh-CN" w:eastAsia="zh-CN" w:bidi="ar-SA"/>
            </w:rPr>
            <w:fldChar w:fldCharType="separate"/>
          </w:r>
          <w:r>
            <w:rPr>
              <w:rFonts w:ascii="Times New Roman" w:hAnsi="Times New Roman" w:eastAsia="宋体" w:cs="Times New Roman"/>
              <w:bCs/>
              <w:color w:val="000000"/>
              <w:kern w:val="2"/>
              <w:sz w:val="24"/>
              <w:szCs w:val="22"/>
              <w:lang w:val="zh-CN" w:eastAsia="zh-CN" w:bidi="ar-SA"/>
            </w:rPr>
            <w:t>46</w:t>
          </w:r>
          <w:r>
            <w:rPr>
              <w:rFonts w:ascii="Times New Roman" w:hAnsi="Times New Roman" w:eastAsia="宋体" w:cs="Times New Roman"/>
              <w:bCs/>
              <w:color w:val="000000"/>
              <w:kern w:val="2"/>
              <w:sz w:val="24"/>
              <w:szCs w:val="22"/>
              <w:lang w:val="zh-CN" w:eastAsia="zh-CN" w:bidi="ar-SA"/>
            </w:rPr>
            <w:fldChar w:fldCharType="end"/>
          </w:r>
          <w:r>
            <w:rPr>
              <w:rFonts w:ascii="Times New Roman" w:hAnsi="Times New Roman" w:eastAsia="宋体" w:cs="Times New Roman"/>
              <w:bCs/>
              <w:color w:val="000000"/>
              <w:kern w:val="2"/>
              <w:sz w:val="24"/>
              <w:szCs w:val="22"/>
              <w:lang w:val="zh-CN" w:eastAsia="zh-CN" w:bidi="ar-SA"/>
            </w:rPr>
            <w:fldChar w:fldCharType="end"/>
          </w:r>
        </w:p>
        <w:p w14:paraId="04572821">
          <w:pPr>
            <w:widowControl w:val="0"/>
            <w:tabs>
              <w:tab w:val="right" w:leader="dot" w:pos="8306"/>
            </w:tabs>
            <w:spacing w:line="300" w:lineRule="auto"/>
            <w:ind w:left="420" w:leftChars="200" w:firstLine="0" w:firstLineChars="0"/>
            <w:jc w:val="both"/>
            <w:rPr>
              <w:rFonts w:ascii="Times New Roman" w:hAnsi="Times New Roman" w:eastAsia="宋体" w:cs="Times New Roman"/>
              <w:kern w:val="2"/>
              <w:sz w:val="24"/>
              <w:szCs w:val="22"/>
              <w:lang w:val="en-US" w:eastAsia="zh-CN" w:bidi="ar-SA"/>
            </w:rPr>
          </w:pPr>
          <w:r>
            <w:rPr>
              <w:rFonts w:ascii="Times New Roman" w:hAnsi="Times New Roman" w:eastAsia="宋体" w:cs="Times New Roman"/>
              <w:bCs/>
              <w:color w:val="000000"/>
              <w:kern w:val="2"/>
              <w:sz w:val="24"/>
              <w:szCs w:val="22"/>
              <w:lang w:val="zh-CN" w:eastAsia="zh-CN" w:bidi="ar-SA"/>
            </w:rPr>
            <w:fldChar w:fldCharType="begin"/>
          </w:r>
          <w:r>
            <w:rPr>
              <w:rFonts w:ascii="Times New Roman" w:hAnsi="Times New Roman" w:eastAsia="宋体" w:cs="Times New Roman"/>
              <w:bCs/>
              <w:color w:val="000000"/>
              <w:kern w:val="2"/>
              <w:sz w:val="24"/>
              <w:szCs w:val="22"/>
              <w:lang w:val="zh-CN" w:eastAsia="zh-CN" w:bidi="ar-SA"/>
            </w:rPr>
            <w:instrText xml:space="preserve"> HYPERLINK \l _Toc10532 </w:instrText>
          </w:r>
          <w:r>
            <w:rPr>
              <w:rFonts w:ascii="Times New Roman" w:hAnsi="Times New Roman" w:eastAsia="宋体" w:cs="Times New Roman"/>
              <w:bCs/>
              <w:color w:val="000000"/>
              <w:kern w:val="2"/>
              <w:sz w:val="24"/>
              <w:szCs w:val="22"/>
              <w:lang w:val="zh-CN" w:eastAsia="zh-CN" w:bidi="ar-SA"/>
            </w:rPr>
            <w:fldChar w:fldCharType="separate"/>
          </w:r>
          <w:r>
            <w:rPr>
              <w:rFonts w:hint="eastAsia" w:ascii="Times New Roman" w:hAnsi="Times New Roman" w:eastAsia="宋体" w:cs="Times New Roman"/>
              <w:bCs/>
              <w:color w:val="000000"/>
              <w:kern w:val="2"/>
              <w:sz w:val="24"/>
              <w:szCs w:val="22"/>
              <w:lang w:val="zh-CN" w:eastAsia="zh-CN" w:bidi="ar-SA"/>
            </w:rPr>
            <w:t xml:space="preserve">4.3 </w:t>
          </w:r>
          <w:r>
            <w:rPr>
              <w:rFonts w:ascii="Times New Roman" w:hAnsi="Times New Roman" w:eastAsia="宋体" w:cs="Times New Roman"/>
              <w:bCs/>
              <w:color w:val="000000"/>
              <w:kern w:val="2"/>
              <w:sz w:val="24"/>
              <w:szCs w:val="22"/>
              <w:lang w:val="zh-CN" w:eastAsia="zh-CN" w:bidi="ar-SA"/>
            </w:rPr>
            <w:t>运营期生态保护措施</w:t>
          </w:r>
          <w:r>
            <w:rPr>
              <w:rFonts w:ascii="Times New Roman" w:hAnsi="Times New Roman" w:eastAsia="宋体" w:cs="Times New Roman"/>
              <w:bCs/>
              <w:color w:val="000000"/>
              <w:kern w:val="2"/>
              <w:sz w:val="24"/>
              <w:szCs w:val="22"/>
              <w:lang w:val="zh-CN" w:eastAsia="zh-CN" w:bidi="ar-SA"/>
            </w:rPr>
            <w:tab/>
          </w:r>
          <w:r>
            <w:rPr>
              <w:rFonts w:ascii="Times New Roman" w:hAnsi="Times New Roman" w:eastAsia="宋体" w:cs="Times New Roman"/>
              <w:bCs/>
              <w:color w:val="000000"/>
              <w:kern w:val="2"/>
              <w:sz w:val="24"/>
              <w:szCs w:val="22"/>
              <w:lang w:val="zh-CN" w:eastAsia="zh-CN" w:bidi="ar-SA"/>
            </w:rPr>
            <w:fldChar w:fldCharType="begin"/>
          </w:r>
          <w:r>
            <w:rPr>
              <w:rFonts w:ascii="Times New Roman" w:hAnsi="Times New Roman" w:eastAsia="宋体" w:cs="Times New Roman"/>
              <w:bCs/>
              <w:color w:val="000000"/>
              <w:kern w:val="2"/>
              <w:sz w:val="24"/>
              <w:szCs w:val="22"/>
              <w:lang w:val="zh-CN" w:eastAsia="zh-CN" w:bidi="ar-SA"/>
            </w:rPr>
            <w:instrText xml:space="preserve"> PAGEREF _Toc10532 \h </w:instrText>
          </w:r>
          <w:r>
            <w:rPr>
              <w:rFonts w:ascii="Times New Roman" w:hAnsi="Times New Roman" w:eastAsia="宋体" w:cs="Times New Roman"/>
              <w:bCs/>
              <w:color w:val="000000"/>
              <w:kern w:val="2"/>
              <w:sz w:val="24"/>
              <w:szCs w:val="22"/>
              <w:lang w:val="zh-CN" w:eastAsia="zh-CN" w:bidi="ar-SA"/>
            </w:rPr>
            <w:fldChar w:fldCharType="separate"/>
          </w:r>
          <w:r>
            <w:rPr>
              <w:rFonts w:ascii="Times New Roman" w:hAnsi="Times New Roman" w:eastAsia="宋体" w:cs="Times New Roman"/>
              <w:bCs/>
              <w:color w:val="000000"/>
              <w:kern w:val="2"/>
              <w:sz w:val="24"/>
              <w:szCs w:val="22"/>
              <w:lang w:val="zh-CN" w:eastAsia="zh-CN" w:bidi="ar-SA"/>
            </w:rPr>
            <w:t>52</w:t>
          </w:r>
          <w:r>
            <w:rPr>
              <w:rFonts w:ascii="Times New Roman" w:hAnsi="Times New Roman" w:eastAsia="宋体" w:cs="Times New Roman"/>
              <w:bCs/>
              <w:color w:val="000000"/>
              <w:kern w:val="2"/>
              <w:sz w:val="24"/>
              <w:szCs w:val="22"/>
              <w:lang w:val="zh-CN" w:eastAsia="zh-CN" w:bidi="ar-SA"/>
            </w:rPr>
            <w:fldChar w:fldCharType="end"/>
          </w:r>
          <w:r>
            <w:rPr>
              <w:rFonts w:ascii="Times New Roman" w:hAnsi="Times New Roman" w:eastAsia="宋体" w:cs="Times New Roman"/>
              <w:bCs/>
              <w:color w:val="000000"/>
              <w:kern w:val="2"/>
              <w:sz w:val="24"/>
              <w:szCs w:val="22"/>
              <w:lang w:val="zh-CN" w:eastAsia="zh-CN" w:bidi="ar-SA"/>
            </w:rPr>
            <w:fldChar w:fldCharType="end"/>
          </w:r>
        </w:p>
        <w:p w14:paraId="42372A28">
          <w:pPr>
            <w:widowControl w:val="0"/>
            <w:tabs>
              <w:tab w:val="right" w:leader="dot" w:pos="8306"/>
            </w:tabs>
            <w:spacing w:line="300" w:lineRule="auto"/>
            <w:ind w:left="0" w:leftChars="0" w:firstLine="0" w:firstLineChars="0"/>
            <w:jc w:val="both"/>
            <w:rPr>
              <w:rFonts w:ascii="Times New Roman" w:hAnsi="Times New Roman" w:eastAsia="宋体" w:cs="Times New Roman"/>
              <w:kern w:val="2"/>
              <w:sz w:val="24"/>
              <w:szCs w:val="22"/>
              <w:lang w:val="en-US" w:eastAsia="zh-CN" w:bidi="ar-SA"/>
            </w:rPr>
          </w:pPr>
          <w:r>
            <w:rPr>
              <w:rFonts w:ascii="Times New Roman" w:hAnsi="Times New Roman" w:eastAsia="宋体" w:cs="Times New Roman"/>
              <w:bCs/>
              <w:color w:val="000000"/>
              <w:kern w:val="2"/>
              <w:sz w:val="24"/>
              <w:szCs w:val="22"/>
              <w:lang w:val="zh-CN" w:eastAsia="zh-CN" w:bidi="ar-SA"/>
            </w:rPr>
            <w:fldChar w:fldCharType="begin"/>
          </w:r>
          <w:r>
            <w:rPr>
              <w:rFonts w:ascii="Times New Roman" w:hAnsi="Times New Roman" w:eastAsia="宋体" w:cs="Times New Roman"/>
              <w:bCs/>
              <w:kern w:val="2"/>
              <w:sz w:val="24"/>
              <w:szCs w:val="22"/>
              <w:lang w:val="zh-CN" w:eastAsia="zh-CN" w:bidi="ar-SA"/>
            </w:rPr>
            <w:instrText xml:space="preserve"> HYPERLINK \l _Toc32268 </w:instrText>
          </w:r>
          <w:r>
            <w:rPr>
              <w:rFonts w:ascii="Times New Roman" w:hAnsi="Times New Roman" w:eastAsia="宋体" w:cs="Times New Roman"/>
              <w:bCs/>
              <w:kern w:val="2"/>
              <w:sz w:val="24"/>
              <w:szCs w:val="22"/>
              <w:lang w:val="zh-CN" w:eastAsia="zh-CN" w:bidi="ar-SA"/>
            </w:rPr>
            <w:fldChar w:fldCharType="separate"/>
          </w:r>
          <w:r>
            <w:rPr>
              <w:rFonts w:hint="eastAsia" w:ascii="Times New Roman" w:hAnsi="Times New Roman" w:eastAsia="宋体" w:cs="Times New Roman"/>
              <w:kern w:val="2"/>
              <w:sz w:val="24"/>
              <w:szCs w:val="22"/>
              <w:lang w:val="en-US" w:eastAsia="zh-CN" w:bidi="ar-SA"/>
            </w:rPr>
            <w:t xml:space="preserve">5 </w:t>
          </w:r>
          <w:r>
            <w:rPr>
              <w:rFonts w:ascii="Times New Roman" w:hAnsi="Times New Roman" w:eastAsia="宋体" w:cs="Times New Roman"/>
              <w:kern w:val="2"/>
              <w:sz w:val="24"/>
              <w:szCs w:val="22"/>
              <w:lang w:val="en-US" w:eastAsia="zh-CN" w:bidi="ar-SA"/>
            </w:rPr>
            <w:t>生态影响评价结论</w:t>
          </w:r>
          <w:r>
            <w:rPr>
              <w:rFonts w:ascii="Times New Roman" w:hAnsi="Times New Roman" w:eastAsia="宋体" w:cs="Times New Roman"/>
              <w:kern w:val="2"/>
              <w:sz w:val="24"/>
              <w:szCs w:val="22"/>
              <w:lang w:val="en-US" w:eastAsia="zh-CN" w:bidi="ar-SA"/>
            </w:rPr>
            <w:tab/>
          </w:r>
          <w:r>
            <w:rPr>
              <w:rFonts w:ascii="Times New Roman" w:hAnsi="Times New Roman" w:eastAsia="宋体" w:cs="Times New Roman"/>
              <w:kern w:val="2"/>
              <w:sz w:val="24"/>
              <w:szCs w:val="22"/>
              <w:lang w:val="en-US" w:eastAsia="zh-CN" w:bidi="ar-SA"/>
            </w:rPr>
            <w:fldChar w:fldCharType="begin"/>
          </w:r>
          <w:r>
            <w:rPr>
              <w:rFonts w:ascii="Times New Roman" w:hAnsi="Times New Roman" w:eastAsia="宋体" w:cs="Times New Roman"/>
              <w:kern w:val="2"/>
              <w:sz w:val="24"/>
              <w:szCs w:val="22"/>
              <w:lang w:val="en-US" w:eastAsia="zh-CN" w:bidi="ar-SA"/>
            </w:rPr>
            <w:instrText xml:space="preserve"> PAGEREF _Toc32268 \h </w:instrText>
          </w:r>
          <w:r>
            <w:rPr>
              <w:rFonts w:ascii="Times New Roman" w:hAnsi="Times New Roman" w:eastAsia="宋体" w:cs="Times New Roman"/>
              <w:kern w:val="2"/>
              <w:sz w:val="24"/>
              <w:szCs w:val="22"/>
              <w:lang w:val="en-US" w:eastAsia="zh-CN" w:bidi="ar-SA"/>
            </w:rPr>
            <w:fldChar w:fldCharType="separate"/>
          </w:r>
          <w:r>
            <w:rPr>
              <w:rFonts w:ascii="Times New Roman" w:hAnsi="Times New Roman" w:eastAsia="宋体" w:cs="Times New Roman"/>
              <w:kern w:val="2"/>
              <w:sz w:val="24"/>
              <w:szCs w:val="22"/>
              <w:lang w:val="en-US" w:eastAsia="zh-CN" w:bidi="ar-SA"/>
            </w:rPr>
            <w:t>53</w:t>
          </w:r>
          <w:r>
            <w:rPr>
              <w:rFonts w:ascii="Times New Roman" w:hAnsi="Times New Roman" w:eastAsia="宋体" w:cs="Times New Roman"/>
              <w:kern w:val="2"/>
              <w:sz w:val="24"/>
              <w:szCs w:val="22"/>
              <w:lang w:val="en-US" w:eastAsia="zh-CN" w:bidi="ar-SA"/>
            </w:rPr>
            <w:fldChar w:fldCharType="end"/>
          </w:r>
          <w:r>
            <w:rPr>
              <w:rFonts w:ascii="Times New Roman" w:hAnsi="Times New Roman" w:eastAsia="宋体" w:cs="Times New Roman"/>
              <w:bCs/>
              <w:color w:val="000000"/>
              <w:kern w:val="2"/>
              <w:sz w:val="24"/>
              <w:szCs w:val="22"/>
              <w:lang w:val="zh-CN" w:eastAsia="zh-CN" w:bidi="ar-SA"/>
            </w:rPr>
            <w:fldChar w:fldCharType="end"/>
          </w:r>
        </w:p>
        <w:p w14:paraId="242A906E">
          <w:pPr>
            <w:spacing w:line="300" w:lineRule="auto"/>
            <w:ind w:firstLine="0" w:firstLineChars="0"/>
            <w:rPr>
              <w:rFonts w:ascii="Times New Roman" w:hAnsi="Times New Roman" w:eastAsia="宋体" w:cs="Times New Roman"/>
              <w:color w:val="000000"/>
              <w:sz w:val="24"/>
              <w:szCs w:val="22"/>
            </w:rPr>
          </w:pPr>
          <w:r>
            <w:rPr>
              <w:rFonts w:ascii="Times New Roman" w:hAnsi="Times New Roman" w:eastAsia="宋体" w:cs="Times New Roman"/>
              <w:bCs/>
              <w:color w:val="000000"/>
              <w:sz w:val="24"/>
              <w:szCs w:val="22"/>
              <w:lang w:val="zh-CN"/>
            </w:rPr>
            <w:fldChar w:fldCharType="end"/>
          </w:r>
        </w:p>
      </w:sdtContent>
    </w:sdt>
    <w:p w14:paraId="6F1A23CF">
      <w:pPr>
        <w:ind w:firstLine="723"/>
        <w:jc w:val="center"/>
        <w:rPr>
          <w:rFonts w:cs="Times New Roman"/>
          <w:b/>
          <w:bCs/>
          <w:color w:val="000000"/>
          <w:sz w:val="36"/>
          <w:szCs w:val="36"/>
        </w:rPr>
        <w:sectPr>
          <w:footerReference r:id="rId126" w:type="default"/>
          <w:footerReference r:id="rId127" w:type="even"/>
          <w:pgSz w:w="11906" w:h="16838"/>
          <w:pgMar w:top="1440" w:right="1800" w:bottom="1440" w:left="1800" w:header="851" w:footer="992" w:gutter="0"/>
          <w:pgBorders>
            <w:top w:val="none" w:sz="0" w:space="0"/>
            <w:left w:val="none" w:sz="0" w:space="0"/>
            <w:bottom w:val="none" w:sz="0" w:space="0"/>
            <w:right w:val="none" w:sz="0" w:space="0"/>
          </w:pgBorders>
          <w:pgNumType w:fmt="upperRoman" w:start="1"/>
          <w:cols w:space="425" w:num="1"/>
          <w:docGrid w:type="lines" w:linePitch="326" w:charSpace="0"/>
        </w:sectPr>
      </w:pPr>
    </w:p>
    <w:p w14:paraId="145162EE">
      <w:pPr>
        <w:keepNext/>
        <w:keepLines/>
        <w:widowControl w:val="0"/>
        <w:numPr>
          <w:ilvl w:val="0"/>
          <w:numId w:val="13"/>
        </w:numPr>
        <w:spacing w:before="480" w:after="480" w:line="240" w:lineRule="auto"/>
        <w:ind w:firstLine="0" w:firstLineChars="0"/>
        <w:jc w:val="center"/>
        <w:outlineLvl w:val="0"/>
        <w:rPr>
          <w:rFonts w:ascii="Times New Roman" w:hAnsi="Times New Roman" w:eastAsia="宋体" w:cs="Times New Roman"/>
          <w:b/>
          <w:bCs/>
          <w:color w:val="000000"/>
          <w:kern w:val="44"/>
          <w:sz w:val="32"/>
          <w:szCs w:val="44"/>
          <w:lang w:val="en-US" w:eastAsia="zh-CN" w:bidi="ar-SA"/>
        </w:rPr>
      </w:pPr>
      <w:bookmarkStart w:id="241" w:name="_Toc219363391"/>
      <w:bookmarkStart w:id="242" w:name="_Toc820"/>
      <w:r>
        <w:rPr>
          <w:rFonts w:ascii="Times New Roman" w:hAnsi="Times New Roman" w:eastAsia="宋体" w:cs="Times New Roman"/>
          <w:b/>
          <w:bCs/>
          <w:color w:val="000000"/>
          <w:kern w:val="44"/>
          <w:sz w:val="32"/>
          <w:szCs w:val="44"/>
          <w:lang w:val="en-US" w:eastAsia="zh-CN" w:bidi="ar-SA"/>
        </w:rPr>
        <w:t>总则</w:t>
      </w:r>
      <w:bookmarkEnd w:id="241"/>
      <w:bookmarkEnd w:id="242"/>
    </w:p>
    <w:p w14:paraId="5B0BE9F5">
      <w:pPr>
        <w:keepNext/>
        <w:keepLines/>
        <w:widowControl w:val="0"/>
        <w:adjustRightInd w:val="0"/>
        <w:spacing w:before="240" w:after="240" w:line="240" w:lineRule="auto"/>
        <w:ind w:left="0" w:leftChars="0" w:firstLine="0" w:firstLineChars="0"/>
        <w:jc w:val="both"/>
        <w:textAlignment w:val="baseline"/>
        <w:outlineLvl w:val="1"/>
        <w:rPr>
          <w:rFonts w:ascii="Times New Roman" w:hAnsi="Times New Roman" w:eastAsia="宋体" w:cs="Times New Roman"/>
          <w:b/>
          <w:bCs/>
          <w:kern w:val="0"/>
          <w:sz w:val="28"/>
          <w:szCs w:val="32"/>
          <w:lang w:val="en-US" w:eastAsia="zh-CN" w:bidi="ar-SA"/>
        </w:rPr>
      </w:pPr>
      <w:bookmarkStart w:id="243" w:name="_Toc492"/>
      <w:r>
        <w:rPr>
          <w:rFonts w:hint="eastAsia" w:ascii="Times New Roman" w:hAnsi="Times New Roman" w:eastAsia="宋体" w:cs="Times New Roman"/>
          <w:b/>
          <w:bCs/>
          <w:kern w:val="0"/>
          <w:sz w:val="28"/>
          <w:szCs w:val="32"/>
          <w:lang w:val="en-US" w:eastAsia="zh-CN" w:bidi="ar-SA"/>
        </w:rPr>
        <w:t>1.1</w:t>
      </w:r>
      <w:r>
        <w:rPr>
          <w:rFonts w:ascii="Times New Roman" w:hAnsi="Times New Roman" w:eastAsia="宋体" w:cs="Times New Roman"/>
          <w:b/>
          <w:bCs/>
          <w:kern w:val="0"/>
          <w:sz w:val="28"/>
          <w:szCs w:val="32"/>
          <w:lang w:val="en-US" w:eastAsia="zh-CN" w:bidi="ar-SA"/>
        </w:rPr>
        <w:t xml:space="preserve"> </w:t>
      </w:r>
      <w:r>
        <w:rPr>
          <w:rFonts w:hint="eastAsia" w:ascii="Times New Roman" w:hAnsi="Times New Roman" w:eastAsia="宋体" w:cs="Times New Roman"/>
          <w:b/>
          <w:bCs/>
          <w:kern w:val="0"/>
          <w:sz w:val="28"/>
          <w:szCs w:val="32"/>
          <w:lang w:val="en-US" w:eastAsia="zh-CN" w:bidi="ar-SA"/>
        </w:rPr>
        <w:t>建设项目特点</w:t>
      </w:r>
      <w:bookmarkEnd w:id="243"/>
    </w:p>
    <w:p w14:paraId="43F0DC70">
      <w:pPr>
        <w:keepNext/>
        <w:keepLines/>
        <w:widowControl w:val="0"/>
        <w:adjustRightInd w:val="0"/>
        <w:spacing w:before="120" w:after="120" w:line="300" w:lineRule="auto"/>
        <w:ind w:left="0" w:leftChars="0" w:firstLine="0" w:firstLineChars="0"/>
        <w:jc w:val="both"/>
        <w:textAlignment w:val="baseline"/>
        <w:outlineLvl w:val="2"/>
        <w:rPr>
          <w:rFonts w:ascii="Times New Roman" w:hAnsi="Times New Roman" w:eastAsia="宋体" w:cs="Times New Roman"/>
          <w:b/>
          <w:bCs/>
          <w:kern w:val="0"/>
          <w:sz w:val="24"/>
          <w:szCs w:val="32"/>
          <w:lang w:val="en-US" w:eastAsia="zh-CN" w:bidi="ar-SA"/>
        </w:rPr>
      </w:pPr>
      <w:bookmarkStart w:id="244" w:name="_Toc18411"/>
      <w:r>
        <w:rPr>
          <w:rFonts w:ascii="Times New Roman" w:hAnsi="Times New Roman" w:eastAsia="宋体" w:cs="Times New Roman"/>
          <w:b/>
          <w:bCs w:val="0"/>
          <w:kern w:val="0"/>
          <w:sz w:val="24"/>
          <w:szCs w:val="32"/>
          <w:lang w:val="en-US" w:eastAsia="zh-CN" w:bidi="ar-SA"/>
        </w:rPr>
        <w:t xml:space="preserve">1.1.1 </w:t>
      </w:r>
      <w:r>
        <w:rPr>
          <w:rFonts w:hint="eastAsia" w:ascii="Times New Roman" w:hAnsi="Times New Roman" w:eastAsia="宋体" w:cs="Times New Roman"/>
          <w:b/>
          <w:bCs w:val="0"/>
          <w:kern w:val="0"/>
          <w:sz w:val="24"/>
          <w:szCs w:val="32"/>
          <w:lang w:val="en-US" w:eastAsia="zh-CN" w:bidi="ar-SA"/>
        </w:rPr>
        <w:t>地理位置</w:t>
      </w:r>
      <w:bookmarkEnd w:id="244"/>
    </w:p>
    <w:p w14:paraId="136694E7">
      <w:pPr>
        <w:autoSpaceDE w:val="0"/>
        <w:autoSpaceDN w:val="0"/>
        <w:adjustRightInd w:val="0"/>
        <w:spacing w:line="300" w:lineRule="auto"/>
        <w:ind w:firstLine="480" w:firstLineChars="20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拟建公路起点位于阿图什市八盘水磨西侧G219线与G314平面交叉处，沿既有道路进行拼宽扩建，路线总体呈由北向南走向，经过格达良乡、克孜勒苏乡、和夏阿瓦提镇达到伽师县北侧物流园附近，随后路线向西南绕行伽师县城，经过铁日木乡、居仁镇、克孜勒博依镇等，终点位于岳普湖县北侧，顺接G219岳普湖过境段起点</w:t>
      </w:r>
      <w:r>
        <w:rPr>
          <w:rFonts w:ascii="Times New Roman" w:hAnsi="Times New Roman" w:eastAsia="宋体" w:cs="Times New Roman"/>
          <w:kern w:val="0"/>
          <w:sz w:val="24"/>
          <w:szCs w:val="24"/>
        </w:rPr>
        <w:t>。</w:t>
      </w:r>
    </w:p>
    <w:p w14:paraId="4A8021B3">
      <w:pPr>
        <w:keepNext/>
        <w:keepLines/>
        <w:widowControl w:val="0"/>
        <w:adjustRightInd w:val="0"/>
        <w:spacing w:before="120" w:after="120" w:line="300" w:lineRule="auto"/>
        <w:ind w:left="0" w:leftChars="0" w:firstLine="0" w:firstLineChars="0"/>
        <w:jc w:val="both"/>
        <w:textAlignment w:val="baseline"/>
        <w:outlineLvl w:val="2"/>
        <w:rPr>
          <w:rFonts w:ascii="Times New Roman" w:hAnsi="Times New Roman" w:eastAsia="宋体" w:cs="Times New Roman"/>
          <w:b/>
          <w:bCs/>
          <w:kern w:val="0"/>
          <w:sz w:val="24"/>
          <w:szCs w:val="32"/>
          <w:lang w:val="en-US" w:eastAsia="zh-CN" w:bidi="ar-SA"/>
        </w:rPr>
      </w:pPr>
      <w:bookmarkStart w:id="245" w:name="_Toc21673"/>
      <w:r>
        <w:rPr>
          <w:rFonts w:ascii="Times New Roman" w:hAnsi="Times New Roman" w:eastAsia="宋体" w:cs="Times New Roman"/>
          <w:b/>
          <w:bCs w:val="0"/>
          <w:kern w:val="0"/>
          <w:sz w:val="24"/>
          <w:szCs w:val="32"/>
          <w:lang w:val="en-US" w:eastAsia="zh-CN" w:bidi="ar-SA"/>
        </w:rPr>
        <w:t xml:space="preserve">1.1.2 </w:t>
      </w:r>
      <w:r>
        <w:rPr>
          <w:rFonts w:hint="eastAsia" w:ascii="Times New Roman" w:hAnsi="Times New Roman" w:eastAsia="宋体" w:cs="Times New Roman"/>
          <w:b/>
          <w:bCs w:val="0"/>
          <w:kern w:val="0"/>
          <w:sz w:val="24"/>
          <w:szCs w:val="32"/>
          <w:lang w:val="en-US" w:eastAsia="zh-CN" w:bidi="ar-SA"/>
        </w:rPr>
        <w:t>主要工程特性</w:t>
      </w:r>
      <w:bookmarkEnd w:id="245"/>
    </w:p>
    <w:p w14:paraId="77A8269C">
      <w:pPr>
        <w:spacing w:afterLines="50" w:line="300" w:lineRule="auto"/>
        <w:ind w:firstLine="480" w:firstLineChars="200"/>
        <w:jc w:val="left"/>
        <w:rPr>
          <w:rFonts w:ascii="Times New Roman" w:hAnsi="Times New Roman" w:eastAsia="宋体" w:cs="Times New Roman"/>
          <w:sz w:val="24"/>
          <w:szCs w:val="24"/>
        </w:rPr>
      </w:pPr>
      <w:r>
        <w:rPr>
          <w:rFonts w:ascii="Times New Roman" w:hAnsi="Times New Roman" w:eastAsia="宋体" w:cs="Times New Roman"/>
          <w:sz w:val="24"/>
          <w:szCs w:val="24"/>
        </w:rPr>
        <w:t>拟建</w:t>
      </w:r>
      <w:r>
        <w:rPr>
          <w:rFonts w:hint="eastAsia" w:ascii="Times New Roman" w:hAnsi="Times New Roman" w:eastAsia="宋体" w:cs="Times New Roman"/>
          <w:sz w:val="24"/>
          <w:szCs w:val="24"/>
        </w:rPr>
        <w:t>公路</w:t>
      </w:r>
      <w:r>
        <w:rPr>
          <w:rFonts w:ascii="Times New Roman" w:hAnsi="Times New Roman" w:eastAsia="宋体" w:cs="Times New Roman"/>
          <w:sz w:val="24"/>
          <w:szCs w:val="24"/>
        </w:rPr>
        <w:t>主要工程特性见表1.1-1。</w:t>
      </w:r>
    </w:p>
    <w:p w14:paraId="49984910">
      <w:pPr>
        <w:adjustRightInd w:val="0"/>
        <w:spacing w:line="240" w:lineRule="auto"/>
        <w:ind w:firstLine="0" w:firstLineChars="0"/>
        <w:jc w:val="center"/>
        <w:textAlignment w:val="baseline"/>
        <w:rPr>
          <w:rFonts w:ascii="Times New Roman" w:hAnsi="Times New Roman" w:eastAsia="宋体" w:cs="Times New Roman"/>
          <w:b/>
          <w:sz w:val="21"/>
          <w:szCs w:val="24"/>
        </w:rPr>
      </w:pPr>
      <w:r>
        <w:rPr>
          <w:rFonts w:ascii="Times New Roman" w:hAnsi="Times New Roman" w:eastAsia="宋体" w:cs="Times New Roman"/>
          <w:b/>
          <w:sz w:val="21"/>
          <w:szCs w:val="24"/>
        </w:rPr>
        <w:t>表1.1-1  拟建</w:t>
      </w:r>
      <w:r>
        <w:rPr>
          <w:rFonts w:hint="eastAsia" w:ascii="Times New Roman" w:hAnsi="Times New Roman" w:eastAsia="宋体" w:cs="Times New Roman"/>
          <w:b/>
          <w:sz w:val="21"/>
          <w:szCs w:val="24"/>
        </w:rPr>
        <w:t>公路</w:t>
      </w:r>
      <w:r>
        <w:rPr>
          <w:rFonts w:ascii="Times New Roman" w:hAnsi="Times New Roman" w:eastAsia="宋体" w:cs="Times New Roman"/>
          <w:b/>
          <w:sz w:val="21"/>
          <w:szCs w:val="24"/>
        </w:rPr>
        <w:t>主要工程特性表</w:t>
      </w:r>
    </w:p>
    <w:tbl>
      <w:tblPr>
        <w:tblStyle w:val="22"/>
        <w:tblW w:w="5000" w:type="pct"/>
        <w:jc w:val="center"/>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1627"/>
        <w:gridCol w:w="6937"/>
      </w:tblGrid>
      <w:tr w14:paraId="310227F5">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950" w:type="pct"/>
            <w:vAlign w:val="center"/>
          </w:tcPr>
          <w:p w14:paraId="0BD5AB87">
            <w:pPr>
              <w:spacing w:line="240" w:lineRule="auto"/>
              <w:ind w:firstLine="0" w:firstLineChars="0"/>
              <w:jc w:val="center"/>
              <w:rPr>
                <w:rFonts w:ascii="Times New Roman" w:hAnsi="Times New Roman" w:eastAsia="宋体" w:cs="Times New Roman"/>
                <w:b/>
                <w:sz w:val="21"/>
                <w:szCs w:val="21"/>
              </w:rPr>
            </w:pPr>
            <w:r>
              <w:rPr>
                <w:rFonts w:ascii="Times New Roman" w:hAnsi="Times New Roman" w:eastAsia="宋体" w:cs="Times New Roman"/>
                <w:b/>
                <w:sz w:val="21"/>
                <w:szCs w:val="21"/>
              </w:rPr>
              <w:t>项目名称</w:t>
            </w:r>
          </w:p>
        </w:tc>
        <w:tc>
          <w:tcPr>
            <w:tcW w:w="4050" w:type="pct"/>
            <w:vAlign w:val="center"/>
          </w:tcPr>
          <w:p w14:paraId="0319A875">
            <w:pPr>
              <w:spacing w:line="240" w:lineRule="auto"/>
              <w:ind w:firstLine="0" w:firstLineChars="0"/>
              <w:jc w:val="center"/>
              <w:rPr>
                <w:rFonts w:hint="eastAsia" w:ascii="Times New Roman" w:hAnsi="Times New Roman" w:eastAsia="宋体" w:cs="Times New Roman"/>
                <w:sz w:val="21"/>
                <w:szCs w:val="21"/>
                <w:lang w:eastAsia="zh-CN"/>
              </w:rPr>
            </w:pPr>
            <w:r>
              <w:rPr>
                <w:rFonts w:hint="eastAsia" w:ascii="Times New Roman" w:hAnsi="宋体" w:eastAsia="宋体" w:cs="Times New Roman"/>
                <w:sz w:val="21"/>
                <w:szCs w:val="21"/>
              </w:rPr>
              <w:t>G219</w:t>
            </w:r>
            <w:r>
              <w:rPr>
                <w:rFonts w:hint="eastAsia" w:ascii="Times New Roman" w:hAnsi="宋体" w:eastAsia="宋体" w:cs="Times New Roman"/>
                <w:sz w:val="21"/>
                <w:szCs w:val="21"/>
                <w:lang w:eastAsia="zh-CN"/>
              </w:rPr>
              <w:t>八盘水磨至伽师沿边通道工程</w:t>
            </w:r>
          </w:p>
        </w:tc>
      </w:tr>
      <w:tr w14:paraId="6C4037FD">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950" w:type="pct"/>
            <w:vAlign w:val="center"/>
          </w:tcPr>
          <w:p w14:paraId="1B091334">
            <w:pPr>
              <w:spacing w:line="240" w:lineRule="auto"/>
              <w:ind w:firstLine="0" w:firstLineChars="0"/>
              <w:jc w:val="center"/>
              <w:rPr>
                <w:rFonts w:ascii="Times New Roman" w:hAnsi="Times New Roman" w:eastAsia="宋体" w:cs="Times New Roman"/>
                <w:b/>
                <w:sz w:val="21"/>
                <w:szCs w:val="21"/>
              </w:rPr>
            </w:pPr>
            <w:r>
              <w:rPr>
                <w:rFonts w:ascii="Times New Roman" w:hAnsi="Times New Roman" w:eastAsia="宋体" w:cs="Times New Roman"/>
                <w:b/>
                <w:sz w:val="21"/>
                <w:szCs w:val="21"/>
              </w:rPr>
              <w:t>建设地点</w:t>
            </w:r>
          </w:p>
        </w:tc>
        <w:tc>
          <w:tcPr>
            <w:tcW w:w="4050" w:type="pct"/>
            <w:vAlign w:val="center"/>
          </w:tcPr>
          <w:p w14:paraId="6390744D">
            <w:pPr>
              <w:spacing w:line="240" w:lineRule="auto"/>
              <w:ind w:firstLine="0" w:firstLineChars="0"/>
              <w:jc w:val="center"/>
              <w:rPr>
                <w:rFonts w:ascii="Times New Roman" w:hAnsi="Times New Roman" w:eastAsia="宋体" w:cs="Times New Roman"/>
                <w:sz w:val="21"/>
                <w:szCs w:val="21"/>
              </w:rPr>
            </w:pPr>
            <w:r>
              <w:rPr>
                <w:rFonts w:hint="eastAsia" w:ascii="Times New Roman" w:hAnsi="宋体" w:eastAsia="宋体" w:cs="Times New Roman"/>
                <w:sz w:val="21"/>
                <w:szCs w:val="21"/>
              </w:rPr>
              <w:t>新疆生产建设兵团草湖项目区红旗农场，新疆维吾尔自治区克孜勒苏柯尔克孜自治州阿图什市，喀什地区伽师县和岳普湖县</w:t>
            </w:r>
          </w:p>
        </w:tc>
      </w:tr>
      <w:tr w14:paraId="326D82B3">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950" w:type="pct"/>
            <w:vAlign w:val="center"/>
          </w:tcPr>
          <w:p w14:paraId="66457C58">
            <w:pPr>
              <w:spacing w:line="240" w:lineRule="auto"/>
              <w:ind w:firstLine="0" w:firstLineChars="0"/>
              <w:jc w:val="center"/>
              <w:rPr>
                <w:rFonts w:ascii="Times New Roman" w:hAnsi="Times New Roman" w:eastAsia="宋体" w:cs="Times New Roman"/>
                <w:b/>
                <w:sz w:val="21"/>
                <w:szCs w:val="21"/>
              </w:rPr>
            </w:pPr>
            <w:r>
              <w:rPr>
                <w:rFonts w:ascii="Times New Roman" w:hAnsi="Times New Roman" w:eastAsia="宋体" w:cs="Times New Roman"/>
                <w:b/>
                <w:sz w:val="21"/>
                <w:szCs w:val="21"/>
              </w:rPr>
              <w:t>建设内容及规模</w:t>
            </w:r>
          </w:p>
        </w:tc>
        <w:tc>
          <w:tcPr>
            <w:tcW w:w="4050" w:type="pct"/>
            <w:vAlign w:val="center"/>
          </w:tcPr>
          <w:p w14:paraId="03BCDE22">
            <w:pPr>
              <w:spacing w:line="240" w:lineRule="auto"/>
              <w:ind w:firstLine="0" w:firstLineChars="0"/>
              <w:jc w:val="center"/>
              <w:rPr>
                <w:rFonts w:ascii="Times New Roman" w:hAnsi="Times New Roman" w:eastAsia="宋体" w:cs="Times New Roman"/>
                <w:sz w:val="21"/>
                <w:szCs w:val="21"/>
              </w:rPr>
            </w:pPr>
            <w:r>
              <w:rPr>
                <w:rFonts w:hint="eastAsia" w:ascii="Times New Roman" w:hAnsi="Times New Roman" w:eastAsia="宋体" w:cs="Times New Roman"/>
                <w:sz w:val="21"/>
                <w:szCs w:val="21"/>
              </w:rPr>
              <w:t>拟建公路为现有</w:t>
            </w:r>
            <w:r>
              <w:rPr>
                <w:rFonts w:hint="eastAsia" w:ascii="Times New Roman" w:hAnsi="宋体" w:eastAsia="宋体" w:cs="Times New Roman"/>
                <w:sz w:val="21"/>
                <w:szCs w:val="21"/>
              </w:rPr>
              <w:t>G219线八盘水磨至伽师公路改扩建项目，总</w:t>
            </w:r>
            <w:r>
              <w:rPr>
                <w:rFonts w:hint="eastAsia" w:ascii="Times New Roman" w:hAnsi="Times New Roman" w:eastAsia="宋体" w:cs="Times New Roman"/>
                <w:sz w:val="21"/>
                <w:szCs w:val="21"/>
              </w:rPr>
              <w:t>长70.078km，采用双向四车道一级公路标准建设，设计速度60</w:t>
            </w:r>
            <w:r>
              <w:rPr>
                <w:rFonts w:ascii="Times New Roman" w:hAnsi="Times New Roman" w:eastAsia="宋体" w:cs="Times New Roman"/>
                <w:sz w:val="21"/>
                <w:szCs w:val="21"/>
              </w:rPr>
              <w:t>km/h</w:t>
            </w:r>
            <w:r>
              <w:rPr>
                <w:rFonts w:hint="eastAsia" w:ascii="Times New Roman" w:hAnsi="Times New Roman" w:eastAsia="宋体" w:cs="Times New Roman"/>
                <w:sz w:val="21"/>
                <w:szCs w:val="21"/>
              </w:rPr>
              <w:t>和80km/h，一般路段</w:t>
            </w:r>
            <w:r>
              <w:rPr>
                <w:rFonts w:ascii="Times New Roman" w:hAnsi="宋体" w:eastAsia="宋体" w:cs="Times New Roman"/>
                <w:kern w:val="0"/>
                <w:sz w:val="21"/>
                <w:szCs w:val="21"/>
              </w:rPr>
              <w:t>路基</w:t>
            </w:r>
            <w:r>
              <w:rPr>
                <w:rFonts w:hint="eastAsia" w:ascii="Times New Roman" w:hAnsi="宋体" w:eastAsia="宋体" w:cs="Times New Roman"/>
                <w:kern w:val="0"/>
                <w:sz w:val="21"/>
                <w:szCs w:val="21"/>
              </w:rPr>
              <w:t>整体</w:t>
            </w:r>
            <w:r>
              <w:rPr>
                <w:rFonts w:ascii="Times New Roman" w:hAnsi="宋体" w:eastAsia="宋体" w:cs="Times New Roman"/>
                <w:kern w:val="0"/>
                <w:sz w:val="21"/>
                <w:szCs w:val="21"/>
              </w:rPr>
              <w:t>宽度</w:t>
            </w:r>
            <w:r>
              <w:rPr>
                <w:rFonts w:hint="eastAsia" w:ascii="Times New Roman" w:hAnsi="宋体" w:eastAsia="宋体" w:cs="Times New Roman"/>
                <w:kern w:val="0"/>
                <w:sz w:val="21"/>
                <w:szCs w:val="21"/>
              </w:rPr>
              <w:t>为</w:t>
            </w:r>
            <w:r>
              <w:rPr>
                <w:rFonts w:hint="eastAsia" w:ascii="Times New Roman" w:hAnsi="Times New Roman" w:eastAsia="宋体" w:cs="Times New Roman"/>
                <w:kern w:val="0"/>
                <w:sz w:val="21"/>
                <w:szCs w:val="21"/>
              </w:rPr>
              <w:t>25.5</w:t>
            </w:r>
            <w:r>
              <w:rPr>
                <w:rFonts w:hint="eastAsia" w:ascii="Times New Roman" w:hAnsi="宋体" w:eastAsia="宋体" w:cs="Times New Roman"/>
                <w:kern w:val="0"/>
                <w:sz w:val="21"/>
                <w:szCs w:val="21"/>
              </w:rPr>
              <w:t>m，</w:t>
            </w:r>
            <w:r>
              <w:rPr>
                <w:rFonts w:ascii="Times New Roman" w:hAnsi="宋体" w:eastAsia="宋体" w:cs="Times New Roman"/>
                <w:kern w:val="0"/>
                <w:sz w:val="21"/>
                <w:szCs w:val="21"/>
              </w:rPr>
              <w:t>分离式路基</w:t>
            </w:r>
            <w:r>
              <w:rPr>
                <w:rFonts w:hint="eastAsia" w:ascii="Times New Roman" w:hAnsi="Times New Roman" w:eastAsia="宋体" w:cs="Times New Roman"/>
                <w:kern w:val="0"/>
                <w:sz w:val="21"/>
                <w:szCs w:val="21"/>
              </w:rPr>
              <w:t>12.75</w:t>
            </w:r>
            <w:r>
              <w:rPr>
                <w:rFonts w:hint="eastAsia" w:ascii="Times New Roman" w:hAnsi="宋体" w:eastAsia="宋体" w:cs="Times New Roman"/>
                <w:kern w:val="0"/>
                <w:sz w:val="21"/>
                <w:szCs w:val="21"/>
              </w:rPr>
              <w:t>m</w:t>
            </w:r>
            <w:r>
              <w:rPr>
                <w:rFonts w:ascii="Times New Roman" w:hAnsi="宋体" w:eastAsia="宋体" w:cs="Times New Roman"/>
                <w:kern w:val="0"/>
                <w:sz w:val="21"/>
                <w:szCs w:val="21"/>
              </w:rPr>
              <w:t>，</w:t>
            </w:r>
            <w:r>
              <w:rPr>
                <w:rFonts w:ascii="Times New Roman" w:hAnsi="Times New Roman" w:eastAsia="宋体" w:cs="Times New Roman"/>
                <w:sz w:val="21"/>
                <w:szCs w:val="21"/>
              </w:rPr>
              <w:t>格达良乡</w:t>
            </w:r>
            <w:r>
              <w:rPr>
                <w:rFonts w:ascii="Times New Roman" w:hAnsi="宋体" w:eastAsia="宋体" w:cs="Times New Roman"/>
                <w:kern w:val="0"/>
                <w:sz w:val="21"/>
                <w:szCs w:val="21"/>
              </w:rPr>
              <w:t>过境段路基宽度</w:t>
            </w:r>
            <w:r>
              <w:rPr>
                <w:rFonts w:hint="eastAsia" w:ascii="Times New Roman" w:hAnsi="宋体" w:eastAsia="宋体" w:cs="Times New Roman"/>
                <w:kern w:val="0"/>
                <w:sz w:val="21"/>
                <w:szCs w:val="21"/>
              </w:rPr>
              <w:t>为28.5m</w:t>
            </w:r>
            <w:r>
              <w:rPr>
                <w:rFonts w:ascii="Times New Roman" w:hAnsi="宋体" w:eastAsia="宋体" w:cs="Times New Roman"/>
                <w:kern w:val="0"/>
                <w:sz w:val="21"/>
                <w:szCs w:val="21"/>
              </w:rPr>
              <w:t>，</w:t>
            </w:r>
            <w:r>
              <w:rPr>
                <w:rFonts w:hint="eastAsia" w:ascii="Times New Roman" w:hAnsi="宋体" w:eastAsia="宋体" w:cs="Times New Roman"/>
                <w:kern w:val="0"/>
                <w:sz w:val="21"/>
                <w:szCs w:val="21"/>
                <w:lang w:val="en-US" w:eastAsia="zh-CN"/>
              </w:rPr>
              <w:t>受</w:t>
            </w:r>
            <w:r>
              <w:rPr>
                <w:rFonts w:ascii="Times New Roman" w:hAnsi="宋体" w:eastAsia="宋体" w:cs="Times New Roman"/>
                <w:kern w:val="0"/>
                <w:sz w:val="21"/>
                <w:szCs w:val="21"/>
              </w:rPr>
              <w:t>基本农田</w:t>
            </w:r>
            <w:r>
              <w:rPr>
                <w:rFonts w:hint="eastAsia" w:ascii="Times New Roman" w:hAnsi="宋体" w:eastAsia="宋体" w:cs="Times New Roman"/>
                <w:kern w:val="0"/>
                <w:sz w:val="21"/>
                <w:szCs w:val="21"/>
                <w:lang w:val="en-US" w:eastAsia="zh-CN"/>
              </w:rPr>
              <w:t>制约</w:t>
            </w:r>
            <w:r>
              <w:rPr>
                <w:rFonts w:ascii="Times New Roman" w:hAnsi="宋体" w:eastAsia="宋体" w:cs="Times New Roman"/>
                <w:kern w:val="0"/>
                <w:sz w:val="21"/>
                <w:szCs w:val="21"/>
              </w:rPr>
              <w:t>段路基宽度</w:t>
            </w:r>
            <w:r>
              <w:rPr>
                <w:rFonts w:hint="eastAsia" w:ascii="Times New Roman" w:hAnsi="宋体" w:eastAsia="宋体" w:cs="Times New Roman"/>
                <w:kern w:val="0"/>
                <w:sz w:val="21"/>
                <w:szCs w:val="21"/>
              </w:rPr>
              <w:t>为</w:t>
            </w:r>
            <w:r>
              <w:rPr>
                <w:rFonts w:ascii="Times New Roman" w:hAnsi="宋体" w:eastAsia="宋体" w:cs="Times New Roman"/>
                <w:kern w:val="0"/>
                <w:sz w:val="21"/>
                <w:szCs w:val="21"/>
              </w:rPr>
              <w:t>19.0</w:t>
            </w:r>
            <w:r>
              <w:rPr>
                <w:rFonts w:hint="eastAsia" w:ascii="Times New Roman" w:hAnsi="宋体" w:eastAsia="宋体" w:cs="Times New Roman"/>
                <w:kern w:val="0"/>
                <w:sz w:val="21"/>
                <w:szCs w:val="21"/>
              </w:rPr>
              <w:t>m</w:t>
            </w:r>
            <w:r>
              <w:rPr>
                <w:rFonts w:ascii="Times New Roman" w:hAnsi="宋体" w:eastAsia="宋体" w:cs="Times New Roman"/>
                <w:kern w:val="0"/>
                <w:sz w:val="21"/>
                <w:szCs w:val="21"/>
              </w:rPr>
              <w:t>～23.5m</w:t>
            </w:r>
            <w:r>
              <w:rPr>
                <w:rFonts w:hint="eastAsia" w:ascii="Times New Roman" w:hAnsi="宋体" w:eastAsia="宋体" w:cs="Times New Roman"/>
                <w:kern w:val="0"/>
                <w:sz w:val="21"/>
                <w:szCs w:val="21"/>
              </w:rPr>
              <w:t>。</w:t>
            </w:r>
          </w:p>
        </w:tc>
      </w:tr>
      <w:tr w14:paraId="15A4E993">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cantSplit/>
          <w:trHeight w:val="104" w:hRule="atLeast"/>
          <w:jc w:val="center"/>
        </w:trPr>
        <w:tc>
          <w:tcPr>
            <w:tcW w:w="950" w:type="pct"/>
            <w:vAlign w:val="center"/>
          </w:tcPr>
          <w:p w14:paraId="45B79ED0">
            <w:pPr>
              <w:spacing w:line="240" w:lineRule="auto"/>
              <w:ind w:firstLine="0" w:firstLineChars="0"/>
              <w:jc w:val="center"/>
              <w:rPr>
                <w:rFonts w:ascii="Times New Roman" w:hAnsi="Times New Roman" w:eastAsia="宋体" w:cs="Times New Roman"/>
                <w:b/>
                <w:sz w:val="21"/>
                <w:szCs w:val="21"/>
              </w:rPr>
            </w:pPr>
            <w:r>
              <w:rPr>
                <w:rFonts w:ascii="Times New Roman" w:hAnsi="Times New Roman" w:eastAsia="宋体" w:cs="Times New Roman"/>
                <w:b/>
                <w:bCs/>
                <w:sz w:val="21"/>
                <w:szCs w:val="21"/>
              </w:rPr>
              <w:t>建设性质</w:t>
            </w:r>
          </w:p>
        </w:tc>
        <w:tc>
          <w:tcPr>
            <w:tcW w:w="4050" w:type="pct"/>
            <w:vAlign w:val="center"/>
          </w:tcPr>
          <w:p w14:paraId="4F2B43E9">
            <w:pPr>
              <w:spacing w:line="240" w:lineRule="auto"/>
              <w:ind w:firstLine="0" w:firstLineChars="0"/>
              <w:jc w:val="center"/>
              <w:rPr>
                <w:rFonts w:ascii="Times New Roman" w:hAnsi="Times New Roman" w:eastAsia="宋体" w:cs="Times New Roman"/>
                <w:bCs/>
                <w:sz w:val="21"/>
                <w:szCs w:val="21"/>
              </w:rPr>
            </w:pPr>
            <w:r>
              <w:rPr>
                <w:rFonts w:ascii="Times New Roman" w:hAnsi="Times New Roman" w:eastAsia="宋体" w:cs="Times New Roman"/>
                <w:bCs/>
                <w:sz w:val="21"/>
                <w:szCs w:val="21"/>
              </w:rPr>
              <w:t>改扩建</w:t>
            </w:r>
          </w:p>
        </w:tc>
      </w:tr>
      <w:tr w14:paraId="34D0E20E">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950" w:type="pct"/>
            <w:vAlign w:val="center"/>
          </w:tcPr>
          <w:p w14:paraId="505D6823">
            <w:pPr>
              <w:spacing w:line="240" w:lineRule="auto"/>
              <w:ind w:firstLine="0" w:firstLineChars="0"/>
              <w:jc w:val="center"/>
              <w:rPr>
                <w:rFonts w:ascii="Times New Roman" w:hAnsi="Times New Roman" w:eastAsia="宋体" w:cs="Times New Roman"/>
                <w:b/>
                <w:sz w:val="21"/>
                <w:szCs w:val="21"/>
              </w:rPr>
            </w:pPr>
            <w:r>
              <w:rPr>
                <w:rFonts w:ascii="Times New Roman" w:hAnsi="Times New Roman" w:eastAsia="宋体" w:cs="Times New Roman"/>
                <w:b/>
                <w:sz w:val="21"/>
                <w:szCs w:val="21"/>
              </w:rPr>
              <w:t>永久占地</w:t>
            </w:r>
          </w:p>
        </w:tc>
        <w:tc>
          <w:tcPr>
            <w:tcW w:w="4050" w:type="pct"/>
            <w:vAlign w:val="center"/>
          </w:tcPr>
          <w:p w14:paraId="26A2D28A">
            <w:pPr>
              <w:spacing w:line="240" w:lineRule="auto"/>
              <w:ind w:firstLine="0" w:firstLineChars="0"/>
              <w:jc w:val="center"/>
              <w:rPr>
                <w:rFonts w:ascii="Times New Roman" w:hAnsi="Times New Roman" w:eastAsia="宋体" w:cs="Times New Roman"/>
                <w:bCs/>
                <w:sz w:val="21"/>
                <w:szCs w:val="21"/>
              </w:rPr>
            </w:pPr>
            <w:r>
              <w:rPr>
                <w:rFonts w:hint="eastAsia" w:ascii="Times New Roman" w:hAnsi="Times New Roman" w:eastAsia="宋体" w:cs="Times New Roman"/>
                <w:sz w:val="21"/>
                <w:szCs w:val="21"/>
              </w:rPr>
              <w:t>306.32</w:t>
            </w:r>
            <w:r>
              <w:rPr>
                <w:rFonts w:ascii="Times New Roman" w:hAnsi="Times New Roman" w:eastAsia="宋体" w:cs="Times New Roman"/>
                <w:sz w:val="21"/>
                <w:szCs w:val="21"/>
              </w:rPr>
              <w:t>hm</w:t>
            </w:r>
            <w:r>
              <w:rPr>
                <w:rFonts w:ascii="Times New Roman" w:hAnsi="Times New Roman" w:eastAsia="宋体" w:cs="Times New Roman"/>
                <w:sz w:val="21"/>
                <w:szCs w:val="21"/>
                <w:vertAlign w:val="superscript"/>
              </w:rPr>
              <w:t>2</w:t>
            </w:r>
          </w:p>
        </w:tc>
      </w:tr>
      <w:tr w14:paraId="7A4D1361">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950" w:type="pct"/>
            <w:vAlign w:val="center"/>
          </w:tcPr>
          <w:p w14:paraId="3B6203E2">
            <w:pPr>
              <w:spacing w:line="240" w:lineRule="auto"/>
              <w:ind w:firstLine="0" w:firstLineChars="0"/>
              <w:jc w:val="center"/>
              <w:rPr>
                <w:rFonts w:ascii="Times New Roman" w:hAnsi="Times New Roman" w:eastAsia="宋体" w:cs="Times New Roman"/>
                <w:b/>
                <w:sz w:val="21"/>
                <w:szCs w:val="21"/>
              </w:rPr>
            </w:pPr>
            <w:r>
              <w:rPr>
                <w:rFonts w:ascii="Times New Roman" w:hAnsi="Times New Roman" w:eastAsia="宋体" w:cs="Times New Roman"/>
                <w:b/>
                <w:sz w:val="21"/>
                <w:szCs w:val="21"/>
              </w:rPr>
              <w:t>工程估算总投资</w:t>
            </w:r>
          </w:p>
        </w:tc>
        <w:tc>
          <w:tcPr>
            <w:tcW w:w="4050" w:type="pct"/>
            <w:vAlign w:val="center"/>
          </w:tcPr>
          <w:p w14:paraId="63AD7857">
            <w:pPr>
              <w:spacing w:line="240" w:lineRule="auto"/>
              <w:ind w:firstLine="0" w:firstLineChars="0"/>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18.98</w:t>
            </w:r>
            <w:r>
              <w:rPr>
                <w:rFonts w:hint="eastAsia" w:ascii="Times New Roman" w:hAnsi="Times New Roman" w:eastAsia="宋体" w:cs="Times New Roman"/>
                <w:sz w:val="21"/>
                <w:szCs w:val="21"/>
              </w:rPr>
              <w:t>亿元</w:t>
            </w:r>
          </w:p>
        </w:tc>
      </w:tr>
      <w:tr w14:paraId="58C5AE2D">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950" w:type="pct"/>
            <w:vAlign w:val="center"/>
          </w:tcPr>
          <w:p w14:paraId="7AA30D47">
            <w:pPr>
              <w:spacing w:line="240" w:lineRule="auto"/>
              <w:ind w:firstLine="0" w:firstLineChars="0"/>
              <w:jc w:val="center"/>
              <w:rPr>
                <w:rFonts w:ascii="Times New Roman" w:hAnsi="Times New Roman" w:eastAsia="宋体" w:cs="Times New Roman"/>
                <w:b/>
                <w:sz w:val="21"/>
                <w:szCs w:val="21"/>
              </w:rPr>
            </w:pPr>
            <w:r>
              <w:rPr>
                <w:rFonts w:ascii="Times New Roman" w:hAnsi="Times New Roman" w:eastAsia="宋体" w:cs="Times New Roman"/>
                <w:b/>
                <w:sz w:val="21"/>
                <w:szCs w:val="21"/>
              </w:rPr>
              <w:t>建设工期</w:t>
            </w:r>
          </w:p>
        </w:tc>
        <w:tc>
          <w:tcPr>
            <w:tcW w:w="4050" w:type="pct"/>
            <w:vAlign w:val="center"/>
          </w:tcPr>
          <w:p w14:paraId="4B6A6352">
            <w:pPr>
              <w:spacing w:line="240" w:lineRule="auto"/>
              <w:ind w:firstLine="0" w:firstLineChars="0"/>
              <w:jc w:val="center"/>
              <w:rPr>
                <w:rFonts w:ascii="Times New Roman" w:hAnsi="Times New Roman" w:eastAsia="宋体" w:cs="Times New Roman"/>
                <w:sz w:val="21"/>
                <w:szCs w:val="21"/>
              </w:rPr>
            </w:pPr>
            <w:r>
              <w:rPr>
                <w:rFonts w:ascii="Times New Roman" w:hAnsi="Times New Roman" w:eastAsia="宋体" w:cs="Times New Roman"/>
                <w:kern w:val="0"/>
                <w:sz w:val="21"/>
                <w:szCs w:val="21"/>
              </w:rPr>
              <w:t>2026年～2028年，建设工期2年</w:t>
            </w:r>
          </w:p>
        </w:tc>
      </w:tr>
      <w:tr w14:paraId="36BF7B7C">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950" w:type="pct"/>
            <w:vAlign w:val="center"/>
          </w:tcPr>
          <w:p w14:paraId="583847CD">
            <w:pPr>
              <w:spacing w:line="240" w:lineRule="auto"/>
              <w:ind w:firstLine="0" w:firstLineChars="0"/>
              <w:jc w:val="center"/>
              <w:rPr>
                <w:rFonts w:ascii="Times New Roman" w:hAnsi="Times New Roman" w:eastAsia="宋体" w:cs="Times New Roman"/>
                <w:b/>
                <w:sz w:val="21"/>
                <w:szCs w:val="21"/>
              </w:rPr>
            </w:pPr>
            <w:r>
              <w:rPr>
                <w:rFonts w:ascii="Times New Roman" w:hAnsi="Times New Roman" w:eastAsia="宋体" w:cs="Times New Roman"/>
                <w:b/>
                <w:sz w:val="21"/>
                <w:szCs w:val="21"/>
              </w:rPr>
              <w:t>建设单位</w:t>
            </w:r>
          </w:p>
        </w:tc>
        <w:tc>
          <w:tcPr>
            <w:tcW w:w="4050" w:type="pct"/>
            <w:vAlign w:val="center"/>
          </w:tcPr>
          <w:p w14:paraId="678FF969">
            <w:pPr>
              <w:spacing w:line="240" w:lineRule="auto"/>
              <w:ind w:firstLine="0" w:firstLineChars="0"/>
              <w:jc w:val="center"/>
              <w:rPr>
                <w:rFonts w:ascii="Times New Roman" w:hAnsi="Times New Roman" w:eastAsia="宋体" w:cs="Times New Roman"/>
                <w:kern w:val="0"/>
                <w:sz w:val="21"/>
                <w:szCs w:val="21"/>
              </w:rPr>
            </w:pPr>
            <w:r>
              <w:rPr>
                <w:rFonts w:hint="eastAsia" w:ascii="Times New Roman" w:hAnsi="Times New Roman" w:eastAsia="宋体" w:cs="Times New Roman"/>
                <w:sz w:val="21"/>
                <w:szCs w:val="21"/>
              </w:rPr>
              <w:t>新疆维吾尔自治区交通建设事务中心</w:t>
            </w:r>
          </w:p>
        </w:tc>
      </w:tr>
    </w:tbl>
    <w:p w14:paraId="69C534CA">
      <w:pPr>
        <w:keepNext/>
        <w:keepLines/>
        <w:pageBreakBefore w:val="0"/>
        <w:widowControl w:val="0"/>
        <w:kinsoku/>
        <w:wordWrap/>
        <w:overflowPunct/>
        <w:topLinePunct w:val="0"/>
        <w:autoSpaceDE/>
        <w:autoSpaceDN/>
        <w:bidi w:val="0"/>
        <w:adjustRightInd w:val="0"/>
        <w:snapToGrid/>
        <w:spacing w:before="360" w:after="240" w:line="240" w:lineRule="auto"/>
        <w:ind w:left="0" w:leftChars="0" w:firstLine="0" w:firstLineChars="0"/>
        <w:jc w:val="both"/>
        <w:textAlignment w:val="baseline"/>
        <w:outlineLvl w:val="1"/>
        <w:rPr>
          <w:rFonts w:ascii="Arial" w:hAnsi="Arial" w:eastAsia="黑体" w:cs="Times New Roman"/>
          <w:b/>
          <w:bCs/>
          <w:kern w:val="0"/>
          <w:sz w:val="28"/>
          <w:szCs w:val="32"/>
          <w:lang w:val="en-US" w:eastAsia="zh-CN" w:bidi="ar-SA"/>
        </w:rPr>
      </w:pPr>
      <w:bookmarkStart w:id="246" w:name="_Toc25265"/>
      <w:r>
        <w:rPr>
          <w:rFonts w:ascii="Times New Roman" w:hAnsi="Times New Roman" w:eastAsia="宋体" w:cs="Times New Roman"/>
          <w:b/>
          <w:bCs/>
          <w:kern w:val="0"/>
          <w:sz w:val="28"/>
          <w:szCs w:val="32"/>
          <w:lang w:val="en-US" w:eastAsia="zh-CN" w:bidi="ar-SA"/>
        </w:rPr>
        <w:t xml:space="preserve">1.2 </w:t>
      </w:r>
      <w:r>
        <w:rPr>
          <w:rFonts w:hint="eastAsia" w:ascii="Times New Roman" w:hAnsi="Times New Roman" w:eastAsia="宋体" w:cs="Times New Roman"/>
          <w:b/>
          <w:bCs/>
          <w:kern w:val="0"/>
          <w:sz w:val="28"/>
          <w:szCs w:val="32"/>
          <w:lang w:val="en-US" w:eastAsia="zh-CN" w:bidi="ar-SA"/>
        </w:rPr>
        <w:t>编制依据</w:t>
      </w:r>
      <w:bookmarkEnd w:id="246"/>
    </w:p>
    <w:p w14:paraId="5DD6B695">
      <w:pPr>
        <w:keepNext/>
        <w:keepLines/>
        <w:widowControl w:val="0"/>
        <w:adjustRightInd w:val="0"/>
        <w:spacing w:before="120" w:after="120" w:line="300" w:lineRule="auto"/>
        <w:ind w:left="0" w:leftChars="0" w:firstLine="0" w:firstLineChars="0"/>
        <w:jc w:val="both"/>
        <w:textAlignment w:val="baseline"/>
        <w:outlineLvl w:val="2"/>
        <w:rPr>
          <w:rFonts w:ascii="Times New Roman" w:hAnsi="Times New Roman" w:eastAsia="宋体" w:cs="Times New Roman"/>
          <w:b/>
          <w:bCs/>
          <w:kern w:val="0"/>
          <w:sz w:val="24"/>
          <w:szCs w:val="32"/>
          <w:lang w:val="en-US" w:eastAsia="zh-CN" w:bidi="ar-SA"/>
        </w:rPr>
      </w:pPr>
      <w:bookmarkStart w:id="247" w:name="_Toc27261"/>
      <w:r>
        <w:rPr>
          <w:rFonts w:ascii="Times New Roman" w:hAnsi="Times New Roman" w:eastAsia="宋体" w:cs="Times New Roman"/>
          <w:b/>
          <w:bCs w:val="0"/>
          <w:kern w:val="0"/>
          <w:sz w:val="24"/>
          <w:szCs w:val="32"/>
          <w:lang w:val="en-US" w:eastAsia="zh-CN" w:bidi="ar-SA"/>
        </w:rPr>
        <w:t xml:space="preserve">1.2.1 </w:t>
      </w:r>
      <w:r>
        <w:rPr>
          <w:rFonts w:hint="eastAsia" w:ascii="Times New Roman" w:hAnsi="Times New Roman" w:eastAsia="宋体" w:cs="Times New Roman"/>
          <w:b/>
          <w:bCs w:val="0"/>
          <w:kern w:val="0"/>
          <w:sz w:val="24"/>
          <w:szCs w:val="32"/>
          <w:lang w:val="en-US" w:eastAsia="zh-CN" w:bidi="ar-SA"/>
        </w:rPr>
        <w:t>法律法规及规章</w:t>
      </w:r>
      <w:bookmarkEnd w:id="247"/>
    </w:p>
    <w:p w14:paraId="7A27C7D1">
      <w:pPr>
        <w:spacing w:line="30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1</w:t>
      </w:r>
      <w:r>
        <w:rPr>
          <w:rFonts w:ascii="Times New Roman" w:hAnsi="Times New Roman" w:eastAsia="宋体" w:cs="Times New Roman"/>
          <w:sz w:val="24"/>
          <w:szCs w:val="24"/>
        </w:rPr>
        <w:t>.</w:t>
      </w:r>
      <w:r>
        <w:rPr>
          <w:rFonts w:hint="eastAsia" w:ascii="Times New Roman" w:hAnsi="Times New Roman" w:eastAsia="宋体" w:cs="Times New Roman"/>
          <w:sz w:val="24"/>
          <w:szCs w:val="24"/>
        </w:rPr>
        <w:t>《中华人民共和国生态环境法典》</w:t>
      </w:r>
      <w:r>
        <w:rPr>
          <w:rFonts w:ascii="Times New Roman" w:hAnsi="Times New Roman" w:eastAsia="宋体" w:cs="Times New Roman"/>
          <w:sz w:val="24"/>
          <w:szCs w:val="24"/>
        </w:rPr>
        <w:t>（实施时间20</w:t>
      </w:r>
      <w:r>
        <w:rPr>
          <w:rFonts w:hint="eastAsia" w:ascii="Times New Roman" w:hAnsi="Times New Roman" w:eastAsia="宋体" w:cs="Times New Roman"/>
          <w:sz w:val="24"/>
          <w:szCs w:val="24"/>
          <w:lang w:val="en-US" w:eastAsia="zh-CN"/>
        </w:rPr>
        <w:t>26.</w:t>
      </w:r>
      <w:r>
        <w:rPr>
          <w:rFonts w:ascii="Times New Roman" w:hAnsi="Times New Roman" w:eastAsia="宋体" w:cs="Times New Roman"/>
          <w:sz w:val="24"/>
          <w:szCs w:val="24"/>
        </w:rPr>
        <w:t>0</w:t>
      </w:r>
      <w:r>
        <w:rPr>
          <w:rFonts w:hint="eastAsia" w:ascii="Times New Roman" w:hAnsi="Times New Roman" w:eastAsia="宋体" w:cs="Times New Roman"/>
          <w:sz w:val="24"/>
          <w:szCs w:val="24"/>
          <w:lang w:val="en-US" w:eastAsia="zh-CN"/>
        </w:rPr>
        <w:t>8</w:t>
      </w:r>
      <w:r>
        <w:rPr>
          <w:rFonts w:ascii="Times New Roman" w:hAnsi="Times New Roman" w:eastAsia="宋体" w:cs="Times New Roman"/>
          <w:sz w:val="24"/>
          <w:szCs w:val="24"/>
        </w:rPr>
        <w:t>.</w:t>
      </w:r>
      <w:r>
        <w:rPr>
          <w:rFonts w:hint="eastAsia" w:ascii="Times New Roman" w:hAnsi="Times New Roman" w:eastAsia="宋体" w:cs="Times New Roman"/>
          <w:sz w:val="24"/>
          <w:szCs w:val="24"/>
          <w:lang w:val="en-US" w:eastAsia="zh-CN"/>
        </w:rPr>
        <w:t>15</w:t>
      </w:r>
      <w:r>
        <w:rPr>
          <w:rFonts w:ascii="Times New Roman" w:hAnsi="Times New Roman" w:eastAsia="宋体" w:cs="Times New Roman"/>
          <w:sz w:val="24"/>
          <w:szCs w:val="24"/>
        </w:rPr>
        <w:t>）；</w:t>
      </w:r>
    </w:p>
    <w:p w14:paraId="340DA61F">
      <w:pPr>
        <w:spacing w:line="300" w:lineRule="auto"/>
        <w:ind w:firstLine="480" w:firstLineChars="200"/>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lang w:val="en-US" w:eastAsia="zh-CN"/>
        </w:rPr>
        <w:t>2.</w:t>
      </w:r>
      <w:r>
        <w:rPr>
          <w:rFonts w:hint="eastAsia" w:ascii="Times New Roman" w:hAnsi="Times New Roman" w:eastAsia="宋体" w:cs="Times New Roman"/>
          <w:sz w:val="24"/>
          <w:szCs w:val="24"/>
        </w:rPr>
        <w:t>《中华人民共和国水土保持法》（修订实施时间2011.3.</w:t>
      </w:r>
      <w:r>
        <w:rPr>
          <w:rFonts w:hint="eastAsia" w:ascii="Times New Roman" w:hAnsi="Times New Roman" w:eastAsia="宋体" w:cs="Times New Roman"/>
          <w:sz w:val="24"/>
          <w:szCs w:val="24"/>
          <w:lang w:val="en-US" w:eastAsia="zh-CN"/>
        </w:rPr>
        <w:t>0</w:t>
      </w:r>
      <w:r>
        <w:rPr>
          <w:rFonts w:hint="eastAsia" w:ascii="Times New Roman" w:hAnsi="Times New Roman" w:eastAsia="宋体" w:cs="Times New Roman"/>
          <w:sz w:val="24"/>
          <w:szCs w:val="24"/>
        </w:rPr>
        <w:t>1）</w:t>
      </w:r>
      <w:r>
        <w:rPr>
          <w:rFonts w:hint="eastAsia" w:ascii="Times New Roman" w:hAnsi="Times New Roman" w:eastAsia="宋体" w:cs="Times New Roman"/>
          <w:sz w:val="24"/>
          <w:szCs w:val="24"/>
          <w:lang w:eastAsia="zh-CN"/>
        </w:rPr>
        <w:t>；</w:t>
      </w:r>
    </w:p>
    <w:p w14:paraId="4A62E727">
      <w:pPr>
        <w:spacing w:line="300" w:lineRule="auto"/>
        <w:ind w:firstLine="480" w:firstLineChars="200"/>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lang w:val="en-US" w:eastAsia="zh-CN"/>
        </w:rPr>
        <w:t>3.</w:t>
      </w:r>
      <w:r>
        <w:rPr>
          <w:rFonts w:hint="eastAsia" w:ascii="Times New Roman" w:hAnsi="Times New Roman" w:eastAsia="宋体" w:cs="Times New Roman"/>
          <w:sz w:val="24"/>
          <w:szCs w:val="24"/>
          <w:lang w:eastAsia="zh-CN"/>
        </w:rPr>
        <w:t>《中华人民共和国湿地保护法》（</w:t>
      </w:r>
      <w:r>
        <w:rPr>
          <w:rFonts w:hint="eastAsia" w:ascii="Times New Roman" w:hAnsi="Times New Roman" w:eastAsia="宋体" w:cs="Times New Roman"/>
          <w:sz w:val="24"/>
          <w:szCs w:val="24"/>
          <w:lang w:val="en-US" w:eastAsia="zh-CN"/>
        </w:rPr>
        <w:t>实施时间</w:t>
      </w:r>
      <w:r>
        <w:rPr>
          <w:rFonts w:hint="eastAsia" w:ascii="Times New Roman" w:hAnsi="Times New Roman" w:eastAsia="宋体" w:cs="Times New Roman"/>
          <w:sz w:val="24"/>
          <w:szCs w:val="24"/>
          <w:lang w:eastAsia="zh-CN"/>
        </w:rPr>
        <w:t>2022</w:t>
      </w:r>
      <w:r>
        <w:rPr>
          <w:rFonts w:hint="eastAsia" w:ascii="Times New Roman" w:hAnsi="Times New Roman" w:eastAsia="宋体" w:cs="Times New Roman"/>
          <w:sz w:val="24"/>
          <w:szCs w:val="24"/>
          <w:lang w:val="en-US" w:eastAsia="zh-CN"/>
        </w:rPr>
        <w:t>.0</w:t>
      </w:r>
      <w:r>
        <w:rPr>
          <w:rFonts w:hint="eastAsia" w:ascii="Times New Roman" w:hAnsi="Times New Roman" w:eastAsia="宋体" w:cs="Times New Roman"/>
          <w:sz w:val="24"/>
          <w:szCs w:val="24"/>
          <w:lang w:eastAsia="zh-CN"/>
        </w:rPr>
        <w:t>6</w:t>
      </w:r>
      <w:r>
        <w:rPr>
          <w:rFonts w:hint="eastAsia" w:ascii="Times New Roman" w:hAnsi="Times New Roman" w:eastAsia="宋体" w:cs="Times New Roman"/>
          <w:sz w:val="24"/>
          <w:szCs w:val="24"/>
          <w:lang w:val="en-US" w:eastAsia="zh-CN"/>
        </w:rPr>
        <w:t>.0</w:t>
      </w:r>
      <w:r>
        <w:rPr>
          <w:rFonts w:hint="eastAsia" w:ascii="Times New Roman" w:hAnsi="Times New Roman" w:eastAsia="宋体" w:cs="Times New Roman"/>
          <w:sz w:val="24"/>
          <w:szCs w:val="24"/>
          <w:lang w:eastAsia="zh-CN"/>
        </w:rPr>
        <w:t>1）；</w:t>
      </w:r>
    </w:p>
    <w:p w14:paraId="68141E09">
      <w:pPr>
        <w:spacing w:line="300" w:lineRule="auto"/>
        <w:ind w:firstLine="480" w:firstLineChars="200"/>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lang w:val="en-US" w:eastAsia="zh-CN"/>
        </w:rPr>
        <w:t>4.</w:t>
      </w:r>
      <w:r>
        <w:rPr>
          <w:rFonts w:hint="eastAsia" w:ascii="Times New Roman" w:hAnsi="Times New Roman" w:eastAsia="宋体" w:cs="Times New Roman"/>
          <w:sz w:val="24"/>
          <w:szCs w:val="24"/>
          <w:lang w:eastAsia="zh-CN"/>
        </w:rPr>
        <w:t>《中华人民共和国防沙治沙法》（修订</w:t>
      </w:r>
      <w:r>
        <w:rPr>
          <w:rFonts w:hint="eastAsia" w:ascii="Times New Roman" w:hAnsi="Times New Roman" w:eastAsia="宋体" w:cs="Times New Roman"/>
          <w:sz w:val="24"/>
          <w:szCs w:val="24"/>
          <w:lang w:val="en-US" w:eastAsia="zh-CN"/>
        </w:rPr>
        <w:t>实施</w:t>
      </w:r>
      <w:r>
        <w:rPr>
          <w:rFonts w:hint="eastAsia" w:ascii="Times New Roman" w:hAnsi="Times New Roman" w:eastAsia="宋体" w:cs="Times New Roman"/>
          <w:sz w:val="24"/>
          <w:szCs w:val="24"/>
          <w:lang w:eastAsia="zh-CN"/>
        </w:rPr>
        <w:t>时间2018.10.26）；</w:t>
      </w:r>
    </w:p>
    <w:p w14:paraId="19520454">
      <w:pPr>
        <w:spacing w:line="300" w:lineRule="auto"/>
        <w:ind w:firstLine="480" w:firstLineChars="200"/>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lang w:val="en-US" w:eastAsia="zh-CN"/>
        </w:rPr>
        <w:t>5.</w:t>
      </w:r>
      <w:r>
        <w:rPr>
          <w:rFonts w:hint="eastAsia" w:ascii="Times New Roman" w:hAnsi="Times New Roman" w:eastAsia="宋体" w:cs="Times New Roman"/>
          <w:sz w:val="24"/>
          <w:szCs w:val="24"/>
          <w:lang w:eastAsia="zh-CN"/>
        </w:rPr>
        <w:t>《中华人民共和国陆生野生动物保护实施条例》（修订实施时间2016.</w:t>
      </w:r>
      <w:r>
        <w:rPr>
          <w:rFonts w:hint="eastAsia" w:ascii="Times New Roman" w:hAnsi="Times New Roman" w:eastAsia="宋体" w:cs="Times New Roman"/>
          <w:sz w:val="24"/>
          <w:szCs w:val="24"/>
          <w:lang w:val="en-US" w:eastAsia="zh-CN"/>
        </w:rPr>
        <w:t>0</w:t>
      </w:r>
      <w:r>
        <w:rPr>
          <w:rFonts w:hint="eastAsia" w:ascii="Times New Roman" w:hAnsi="Times New Roman" w:eastAsia="宋体" w:cs="Times New Roman"/>
          <w:sz w:val="24"/>
          <w:szCs w:val="24"/>
          <w:lang w:eastAsia="zh-CN"/>
        </w:rPr>
        <w:t>2.</w:t>
      </w:r>
      <w:r>
        <w:rPr>
          <w:rFonts w:hint="eastAsia" w:ascii="Times New Roman" w:hAnsi="Times New Roman" w:eastAsia="宋体" w:cs="Times New Roman"/>
          <w:sz w:val="24"/>
          <w:szCs w:val="24"/>
          <w:lang w:val="en-US" w:eastAsia="zh-CN"/>
        </w:rPr>
        <w:t>0</w:t>
      </w:r>
      <w:r>
        <w:rPr>
          <w:rFonts w:hint="eastAsia" w:ascii="Times New Roman" w:hAnsi="Times New Roman" w:eastAsia="宋体" w:cs="Times New Roman"/>
          <w:sz w:val="24"/>
          <w:szCs w:val="24"/>
          <w:lang w:eastAsia="zh-CN"/>
        </w:rPr>
        <w:t>6）；</w:t>
      </w:r>
    </w:p>
    <w:p w14:paraId="506739D7">
      <w:pPr>
        <w:spacing w:line="30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lang w:val="en-US" w:eastAsia="zh-CN"/>
        </w:rPr>
        <w:t>6</w:t>
      </w:r>
      <w:r>
        <w:rPr>
          <w:rFonts w:hint="eastAsia" w:ascii="Times New Roman" w:hAnsi="Times New Roman" w:eastAsia="宋体" w:cs="Times New Roman"/>
          <w:sz w:val="24"/>
          <w:szCs w:val="24"/>
        </w:rPr>
        <w:t>.《建设项目环境保护管理条例》（修订实施时间</w:t>
      </w:r>
      <w:r>
        <w:rPr>
          <w:rFonts w:ascii="Times New Roman" w:hAnsi="Times New Roman" w:eastAsia="宋体" w:cs="Times New Roman"/>
          <w:sz w:val="24"/>
          <w:szCs w:val="24"/>
        </w:rPr>
        <w:t>2017.07.16</w:t>
      </w:r>
      <w:r>
        <w:rPr>
          <w:rFonts w:hint="eastAsia" w:ascii="Times New Roman" w:hAnsi="Times New Roman" w:eastAsia="宋体" w:cs="Times New Roman"/>
          <w:sz w:val="24"/>
          <w:szCs w:val="24"/>
        </w:rPr>
        <w:t>）；</w:t>
      </w:r>
    </w:p>
    <w:p w14:paraId="261EFE9E">
      <w:pPr>
        <w:spacing w:line="300" w:lineRule="auto"/>
        <w:ind w:firstLine="480" w:firstLineChars="200"/>
        <w:rPr>
          <w:rFonts w:hint="eastAsia" w:ascii="Times New Roman" w:hAnsi="Times New Roman" w:eastAsia="宋体" w:cs="Times New Roman"/>
          <w:sz w:val="24"/>
          <w:szCs w:val="24"/>
        </w:rPr>
      </w:pPr>
      <w:r>
        <w:rPr>
          <w:rFonts w:hint="eastAsia" w:ascii="Times New Roman" w:hAnsi="Times New Roman" w:eastAsia="宋体" w:cs="Times New Roman"/>
          <w:sz w:val="24"/>
          <w:szCs w:val="24"/>
          <w:lang w:val="en-US" w:eastAsia="zh-CN"/>
        </w:rPr>
        <w:t>7</w:t>
      </w:r>
      <w:r>
        <w:rPr>
          <w:rFonts w:hint="eastAsia" w:ascii="Times New Roman" w:hAnsi="Times New Roman" w:eastAsia="宋体" w:cs="Times New Roman"/>
          <w:sz w:val="24"/>
          <w:szCs w:val="24"/>
        </w:rPr>
        <w:t>.</w:t>
      </w:r>
      <w:r>
        <w:rPr>
          <w:rFonts w:ascii="Times New Roman" w:hAnsi="Times New Roman" w:eastAsia="宋体" w:cs="Times New Roman"/>
          <w:sz w:val="24"/>
          <w:szCs w:val="24"/>
        </w:rPr>
        <w:t>《新疆维吾尔自治区环境保护条例》（</w:t>
      </w:r>
      <w:r>
        <w:rPr>
          <w:rFonts w:hint="eastAsia" w:ascii="Times New Roman" w:hAnsi="Times New Roman" w:eastAsia="宋体" w:cs="Times New Roman"/>
          <w:sz w:val="24"/>
          <w:szCs w:val="24"/>
        </w:rPr>
        <w:t>修订实施时间</w:t>
      </w:r>
      <w:r>
        <w:rPr>
          <w:rFonts w:ascii="Times New Roman" w:hAnsi="Times New Roman" w:eastAsia="宋体" w:cs="Times New Roman"/>
          <w:sz w:val="24"/>
          <w:szCs w:val="24"/>
        </w:rPr>
        <w:t>201</w:t>
      </w:r>
      <w:r>
        <w:rPr>
          <w:rFonts w:hint="eastAsia" w:ascii="Times New Roman" w:hAnsi="Times New Roman" w:eastAsia="宋体" w:cs="Times New Roman"/>
          <w:sz w:val="24"/>
          <w:szCs w:val="24"/>
        </w:rPr>
        <w:t>8</w:t>
      </w:r>
      <w:r>
        <w:rPr>
          <w:rFonts w:ascii="Times New Roman" w:hAnsi="Times New Roman" w:eastAsia="宋体" w:cs="Times New Roman"/>
          <w:sz w:val="24"/>
          <w:szCs w:val="24"/>
        </w:rPr>
        <w:t>.0</w:t>
      </w:r>
      <w:r>
        <w:rPr>
          <w:rFonts w:hint="eastAsia" w:ascii="Times New Roman" w:hAnsi="Times New Roman" w:eastAsia="宋体" w:cs="Times New Roman"/>
          <w:sz w:val="24"/>
          <w:szCs w:val="24"/>
        </w:rPr>
        <w:t>9</w:t>
      </w:r>
      <w:r>
        <w:rPr>
          <w:rFonts w:ascii="Times New Roman" w:hAnsi="Times New Roman" w:eastAsia="宋体" w:cs="Times New Roman"/>
          <w:sz w:val="24"/>
          <w:szCs w:val="24"/>
        </w:rPr>
        <w:t>.</w:t>
      </w:r>
      <w:r>
        <w:rPr>
          <w:rFonts w:hint="eastAsia" w:ascii="Times New Roman" w:hAnsi="Times New Roman" w:eastAsia="宋体" w:cs="Times New Roman"/>
          <w:sz w:val="24"/>
          <w:szCs w:val="24"/>
        </w:rPr>
        <w:t>21</w:t>
      </w:r>
      <w:r>
        <w:rPr>
          <w:rFonts w:ascii="Times New Roman" w:hAnsi="Times New Roman" w:eastAsia="宋体" w:cs="Times New Roman"/>
          <w:sz w:val="24"/>
          <w:szCs w:val="24"/>
        </w:rPr>
        <w:t>）</w:t>
      </w:r>
      <w:r>
        <w:rPr>
          <w:rFonts w:hint="eastAsia" w:ascii="Times New Roman" w:hAnsi="Times New Roman" w:eastAsia="宋体" w:cs="Times New Roman"/>
          <w:sz w:val="24"/>
          <w:szCs w:val="24"/>
        </w:rPr>
        <w:t>；</w:t>
      </w:r>
    </w:p>
    <w:p w14:paraId="5E0DC137">
      <w:pPr>
        <w:spacing w:line="300" w:lineRule="auto"/>
        <w:ind w:firstLine="480" w:firstLineChars="200"/>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8.《</w:t>
      </w:r>
      <w:r>
        <w:rPr>
          <w:rFonts w:hint="eastAsia" w:ascii="Times New Roman" w:hAnsi="Times New Roman" w:eastAsia="宋体" w:cs="Times New Roman"/>
          <w:sz w:val="24"/>
          <w:szCs w:val="24"/>
        </w:rPr>
        <w:t>新疆维吾尔自治区湿地保护条例</w:t>
      </w:r>
      <w:r>
        <w:rPr>
          <w:rFonts w:hint="eastAsia" w:ascii="Times New Roman" w:hAnsi="Times New Roman" w:eastAsia="宋体" w:cs="Times New Roman"/>
          <w:sz w:val="24"/>
          <w:szCs w:val="24"/>
          <w:lang w:val="en-US" w:eastAsia="zh-CN"/>
        </w:rPr>
        <w:t>》（修订实施时间2026.08.15）；</w:t>
      </w:r>
    </w:p>
    <w:p w14:paraId="7E804EBA">
      <w:pPr>
        <w:spacing w:line="300" w:lineRule="auto"/>
        <w:ind w:firstLine="480" w:firstLineChars="200"/>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9.《新疆维吾尔自治区野生植物保护条例》（修订实施时间2018.09.21）；</w:t>
      </w:r>
    </w:p>
    <w:p w14:paraId="06A8E9ED">
      <w:pPr>
        <w:spacing w:line="300" w:lineRule="auto"/>
        <w:ind w:firstLine="480" w:firstLineChars="200"/>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10.《新疆维吾尔自治区实施〈中华人民共和国野生动物保护法〉办法》（修订实施时间2024.11.28）；</w:t>
      </w:r>
    </w:p>
    <w:p w14:paraId="6E09EAEB">
      <w:pPr>
        <w:spacing w:line="300" w:lineRule="auto"/>
        <w:ind w:firstLine="480" w:firstLineChars="200"/>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11.《新疆维吾尔自治区实施〈中华人民共和国防沙治沙法〉办法》（实施时间2025.01.01）；</w:t>
      </w:r>
    </w:p>
    <w:p w14:paraId="58489764">
      <w:pPr>
        <w:spacing w:line="300" w:lineRule="auto"/>
        <w:ind w:firstLine="480" w:firstLineChars="200"/>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12.《自然资源部、生态环境部、国家林业和草原局关于加强生态保护红线管理的通知》（自然资发[2022]142号，2022.08.16）；</w:t>
      </w:r>
    </w:p>
    <w:p w14:paraId="54D40311">
      <w:pPr>
        <w:spacing w:line="300" w:lineRule="auto"/>
        <w:ind w:firstLine="480" w:firstLineChars="200"/>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13.《国家重点保护野生动物名录》（国家林业和草原局农业农村部公告[2021年]第3号，2021.02.01）；</w:t>
      </w:r>
    </w:p>
    <w:p w14:paraId="3DE03065">
      <w:pPr>
        <w:spacing w:line="300" w:lineRule="auto"/>
        <w:ind w:firstLine="480" w:firstLineChars="200"/>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14.《国家重点保护野生植物名录》（国家林业和草原局农业农村部公告[2021年]第15号，2021.09.07）；</w:t>
      </w:r>
    </w:p>
    <w:p w14:paraId="571BB9F1">
      <w:pPr>
        <w:spacing w:line="300" w:lineRule="auto"/>
        <w:ind w:firstLine="480" w:firstLineChars="200"/>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lang w:val="en-US" w:eastAsia="zh-CN"/>
        </w:rPr>
        <w:t>15</w:t>
      </w:r>
      <w:r>
        <w:rPr>
          <w:rFonts w:ascii="Times New Roman" w:hAnsi="Times New Roman" w:eastAsia="宋体" w:cs="Times New Roman"/>
          <w:sz w:val="24"/>
          <w:szCs w:val="24"/>
        </w:rPr>
        <w:t>.《关于</w:t>
      </w:r>
      <w:r>
        <w:rPr>
          <w:rFonts w:hint="eastAsia" w:ascii="Times New Roman" w:hAnsi="Times New Roman" w:eastAsia="宋体" w:cs="Times New Roman"/>
          <w:sz w:val="24"/>
          <w:szCs w:val="24"/>
        </w:rPr>
        <w:t>进一步加强公路规划建设和环评工作推动绿色低碳转型发展的通知</w:t>
      </w:r>
      <w:r>
        <w:rPr>
          <w:rFonts w:ascii="Times New Roman" w:hAnsi="Times New Roman" w:eastAsia="宋体" w:cs="Times New Roman"/>
          <w:sz w:val="24"/>
          <w:szCs w:val="24"/>
        </w:rPr>
        <w:t>》</w:t>
      </w:r>
      <w:r>
        <w:rPr>
          <w:rFonts w:hint="eastAsia" w:ascii="Times New Roman" w:hAnsi="Times New Roman" w:eastAsia="宋体" w:cs="Times New Roman"/>
          <w:sz w:val="24"/>
          <w:szCs w:val="24"/>
        </w:rPr>
        <w:t>（交办规划函</w:t>
      </w:r>
      <w:r>
        <w:rPr>
          <w:rFonts w:ascii="Times New Roman" w:hAnsi="Times New Roman" w:eastAsia="宋体" w:cs="Times New Roman"/>
          <w:sz w:val="24"/>
          <w:szCs w:val="24"/>
        </w:rPr>
        <w:t>[2025]227号</w:t>
      </w:r>
      <w:r>
        <w:rPr>
          <w:rFonts w:hint="eastAsia" w:ascii="Times New Roman" w:hAnsi="Times New Roman" w:eastAsia="宋体" w:cs="Times New Roman"/>
          <w:sz w:val="24"/>
          <w:szCs w:val="24"/>
        </w:rPr>
        <w:t>，</w:t>
      </w:r>
      <w:r>
        <w:rPr>
          <w:rFonts w:ascii="Times New Roman" w:hAnsi="Times New Roman" w:eastAsia="宋体" w:cs="Times New Roman"/>
          <w:sz w:val="24"/>
          <w:szCs w:val="24"/>
        </w:rPr>
        <w:t>2025.01.26</w:t>
      </w:r>
      <w:r>
        <w:rPr>
          <w:rFonts w:hint="eastAsia" w:ascii="Times New Roman" w:hAnsi="Times New Roman" w:eastAsia="宋体" w:cs="Times New Roman"/>
          <w:sz w:val="24"/>
          <w:szCs w:val="24"/>
        </w:rPr>
        <w:t>）</w:t>
      </w:r>
      <w:r>
        <w:rPr>
          <w:rFonts w:hint="eastAsia" w:ascii="Times New Roman" w:hAnsi="Times New Roman" w:eastAsia="宋体" w:cs="Times New Roman"/>
          <w:sz w:val="24"/>
          <w:szCs w:val="24"/>
          <w:lang w:eastAsia="zh-CN"/>
        </w:rPr>
        <w:t>。</w:t>
      </w:r>
    </w:p>
    <w:p w14:paraId="57619494">
      <w:pPr>
        <w:keepNext/>
        <w:keepLines/>
        <w:widowControl w:val="0"/>
        <w:adjustRightInd w:val="0"/>
        <w:spacing w:before="120" w:after="120" w:line="300" w:lineRule="auto"/>
        <w:ind w:firstLine="482" w:firstLineChars="200"/>
        <w:jc w:val="both"/>
        <w:textAlignment w:val="baseline"/>
        <w:outlineLvl w:val="2"/>
        <w:rPr>
          <w:rFonts w:ascii="Times New Roman" w:hAnsi="Times New Roman" w:eastAsia="宋体" w:cs="Times New Roman"/>
          <w:b/>
          <w:bCs w:val="0"/>
          <w:kern w:val="0"/>
          <w:sz w:val="24"/>
          <w:szCs w:val="32"/>
          <w:lang w:val="en-US" w:eastAsia="zh-CN" w:bidi="ar-SA"/>
        </w:rPr>
      </w:pPr>
      <w:bookmarkStart w:id="248" w:name="_Toc4446"/>
      <w:r>
        <w:rPr>
          <w:rFonts w:ascii="Times New Roman" w:hAnsi="Times New Roman" w:eastAsia="宋体" w:cs="Times New Roman"/>
          <w:b/>
          <w:bCs w:val="0"/>
          <w:kern w:val="0"/>
          <w:sz w:val="24"/>
          <w:szCs w:val="32"/>
          <w:lang w:val="en-US" w:eastAsia="zh-CN" w:bidi="ar-SA"/>
        </w:rPr>
        <w:t xml:space="preserve">1.2.2 </w:t>
      </w:r>
      <w:r>
        <w:rPr>
          <w:rFonts w:hint="eastAsia" w:ascii="Times New Roman" w:hAnsi="Times New Roman" w:eastAsia="宋体" w:cs="Times New Roman"/>
          <w:b/>
          <w:bCs w:val="0"/>
          <w:kern w:val="0"/>
          <w:sz w:val="24"/>
          <w:szCs w:val="32"/>
          <w:lang w:val="en-US" w:eastAsia="zh-CN" w:bidi="ar-SA"/>
        </w:rPr>
        <w:t>技术标准</w:t>
      </w:r>
      <w:bookmarkEnd w:id="248"/>
    </w:p>
    <w:p w14:paraId="39E7C6C5">
      <w:pPr>
        <w:spacing w:line="30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1</w:t>
      </w:r>
      <w:r>
        <w:rPr>
          <w:rFonts w:ascii="Times New Roman" w:hAnsi="Times New Roman" w:eastAsia="宋体" w:cs="Times New Roman"/>
          <w:sz w:val="24"/>
          <w:szCs w:val="24"/>
        </w:rPr>
        <w:t>.</w:t>
      </w:r>
      <w:r>
        <w:rPr>
          <w:rFonts w:hint="eastAsia" w:ascii="Times New Roman" w:hAnsi="Times New Roman" w:eastAsia="宋体" w:cs="Times New Roman"/>
          <w:sz w:val="24"/>
          <w:szCs w:val="24"/>
        </w:rPr>
        <w:t>《环境影响评价技术导则 总纲》（HJ 2.1-2016）；</w:t>
      </w:r>
    </w:p>
    <w:p w14:paraId="4BA4E946">
      <w:pPr>
        <w:spacing w:line="30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2</w:t>
      </w:r>
      <w:r>
        <w:rPr>
          <w:rFonts w:ascii="Times New Roman" w:hAnsi="Times New Roman" w:eastAsia="宋体" w:cs="Times New Roman"/>
          <w:sz w:val="24"/>
          <w:szCs w:val="24"/>
        </w:rPr>
        <w:t>.</w:t>
      </w:r>
      <w:r>
        <w:rPr>
          <w:rFonts w:hint="eastAsia" w:ascii="Times New Roman" w:hAnsi="Times New Roman" w:eastAsia="宋体" w:cs="Times New Roman"/>
          <w:sz w:val="24"/>
          <w:szCs w:val="24"/>
        </w:rPr>
        <w:t>《环境影响评价技术导则 生态影响》（HJ 19-2022）；</w:t>
      </w:r>
    </w:p>
    <w:p w14:paraId="70091D5A">
      <w:pPr>
        <w:spacing w:line="30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3</w:t>
      </w:r>
      <w:r>
        <w:rPr>
          <w:rFonts w:ascii="Times New Roman" w:hAnsi="Times New Roman" w:eastAsia="宋体" w:cs="Times New Roman"/>
          <w:sz w:val="24"/>
          <w:szCs w:val="24"/>
        </w:rPr>
        <w:t>.</w:t>
      </w:r>
      <w:r>
        <w:rPr>
          <w:rFonts w:hint="eastAsia" w:ascii="Times New Roman" w:hAnsi="Times New Roman" w:eastAsia="宋体" w:cs="Times New Roman"/>
          <w:sz w:val="24"/>
          <w:szCs w:val="24"/>
        </w:rPr>
        <w:t>《环境影响评价技术导则 公路建设项目》（H</w:t>
      </w:r>
      <w:r>
        <w:rPr>
          <w:rFonts w:ascii="Times New Roman" w:hAnsi="Times New Roman" w:eastAsia="宋体" w:cs="Times New Roman"/>
          <w:sz w:val="24"/>
          <w:szCs w:val="24"/>
        </w:rPr>
        <w:t>J1358-2024</w:t>
      </w:r>
      <w:r>
        <w:rPr>
          <w:rFonts w:hint="eastAsia" w:ascii="Times New Roman" w:hAnsi="Times New Roman" w:eastAsia="宋体" w:cs="Times New Roman"/>
          <w:sz w:val="24"/>
          <w:szCs w:val="24"/>
        </w:rPr>
        <w:t>）；</w:t>
      </w:r>
    </w:p>
    <w:p w14:paraId="0D728058">
      <w:pPr>
        <w:spacing w:line="30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lang w:val="en-US" w:eastAsia="zh-CN"/>
        </w:rPr>
        <w:t>4</w:t>
      </w:r>
      <w:r>
        <w:rPr>
          <w:rFonts w:hint="eastAsia" w:ascii="Times New Roman" w:hAnsi="Times New Roman" w:eastAsia="宋体" w:cs="Times New Roman"/>
          <w:sz w:val="24"/>
          <w:szCs w:val="24"/>
        </w:rPr>
        <w:t>.《公路环境保护设计规范》（JTG B04-2010）。</w:t>
      </w:r>
    </w:p>
    <w:p w14:paraId="1281E277">
      <w:pPr>
        <w:keepNext/>
        <w:keepLines/>
        <w:widowControl w:val="0"/>
        <w:adjustRightInd w:val="0"/>
        <w:spacing w:before="240" w:after="240" w:line="240" w:lineRule="auto"/>
        <w:ind w:left="0" w:leftChars="0" w:firstLine="0" w:firstLineChars="0"/>
        <w:jc w:val="both"/>
        <w:textAlignment w:val="baseline"/>
        <w:outlineLvl w:val="1"/>
        <w:rPr>
          <w:rFonts w:ascii="Arial" w:hAnsi="Arial" w:eastAsia="黑体" w:cs="Times New Roman"/>
          <w:b/>
          <w:bCs/>
          <w:kern w:val="0"/>
          <w:sz w:val="28"/>
          <w:szCs w:val="32"/>
          <w:lang w:val="en-US" w:eastAsia="zh-CN" w:bidi="ar-SA"/>
        </w:rPr>
      </w:pPr>
      <w:bookmarkStart w:id="249" w:name="_Toc9760"/>
      <w:r>
        <w:rPr>
          <w:rFonts w:ascii="Times New Roman" w:hAnsi="Times New Roman" w:eastAsia="宋体" w:cs="Times New Roman"/>
          <w:b/>
          <w:bCs/>
          <w:kern w:val="0"/>
          <w:sz w:val="28"/>
          <w:szCs w:val="32"/>
          <w:lang w:val="en-US" w:eastAsia="zh-CN" w:bidi="ar-SA"/>
        </w:rPr>
        <w:t xml:space="preserve">1.3 </w:t>
      </w:r>
      <w:r>
        <w:rPr>
          <w:rFonts w:hint="eastAsia" w:ascii="Times New Roman" w:hAnsi="Times New Roman" w:eastAsia="宋体" w:cs="Times New Roman"/>
          <w:b/>
          <w:bCs/>
          <w:kern w:val="0"/>
          <w:sz w:val="28"/>
          <w:szCs w:val="32"/>
          <w:lang w:val="en-US" w:eastAsia="zh-CN" w:bidi="ar-SA"/>
        </w:rPr>
        <w:t>评价内容及评价工作重点</w:t>
      </w:r>
      <w:bookmarkEnd w:id="249"/>
    </w:p>
    <w:p w14:paraId="4D534390">
      <w:pPr>
        <w:keepNext/>
        <w:keepLines/>
        <w:widowControl w:val="0"/>
        <w:adjustRightInd w:val="0"/>
        <w:spacing w:before="120" w:after="120" w:line="300" w:lineRule="auto"/>
        <w:ind w:left="0" w:leftChars="0" w:firstLine="0" w:firstLineChars="0"/>
        <w:jc w:val="both"/>
        <w:textAlignment w:val="baseline"/>
        <w:outlineLvl w:val="2"/>
        <w:rPr>
          <w:rFonts w:ascii="Times New Roman" w:hAnsi="Times New Roman" w:eastAsia="宋体" w:cs="Times New Roman"/>
          <w:b/>
          <w:bCs/>
          <w:kern w:val="0"/>
          <w:sz w:val="24"/>
          <w:szCs w:val="32"/>
          <w:lang w:val="en-US" w:eastAsia="zh-CN" w:bidi="ar-SA"/>
        </w:rPr>
      </w:pPr>
      <w:bookmarkStart w:id="250" w:name="_Toc16153"/>
      <w:r>
        <w:rPr>
          <w:rFonts w:ascii="Times New Roman" w:hAnsi="Times New Roman" w:eastAsia="宋体" w:cs="Times New Roman"/>
          <w:b/>
          <w:bCs w:val="0"/>
          <w:kern w:val="0"/>
          <w:sz w:val="24"/>
          <w:szCs w:val="32"/>
          <w:lang w:val="en-US" w:eastAsia="zh-CN" w:bidi="ar-SA"/>
        </w:rPr>
        <w:t xml:space="preserve">1.3.1 </w:t>
      </w:r>
      <w:r>
        <w:rPr>
          <w:rFonts w:hint="eastAsia" w:ascii="Times New Roman" w:hAnsi="Times New Roman" w:eastAsia="宋体" w:cs="Times New Roman"/>
          <w:b/>
          <w:bCs w:val="0"/>
          <w:kern w:val="0"/>
          <w:sz w:val="24"/>
          <w:szCs w:val="32"/>
          <w:lang w:val="en-US" w:eastAsia="zh-CN" w:bidi="ar-SA"/>
        </w:rPr>
        <w:t>评价工作内容</w:t>
      </w:r>
      <w:bookmarkEnd w:id="250"/>
    </w:p>
    <w:p w14:paraId="73460549">
      <w:pPr>
        <w:spacing w:line="30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根据拟建项目路线布设情况及外业踏勘、调研成果，确定本次声环境影响评价工作的主要内容如下：</w:t>
      </w:r>
    </w:p>
    <w:p w14:paraId="5A2D6961">
      <w:pPr>
        <w:spacing w:line="300" w:lineRule="auto"/>
        <w:ind w:firstLine="480" w:firstLineChars="200"/>
        <w:rPr>
          <w:rFonts w:hint="eastAsia" w:ascii="Times New Roman" w:hAnsi="Times New Roman" w:eastAsia="宋体" w:cs="Times New Roman"/>
          <w:sz w:val="24"/>
          <w:szCs w:val="24"/>
        </w:rPr>
      </w:pPr>
      <w:r>
        <w:rPr>
          <w:rFonts w:hint="eastAsia" w:ascii="Times New Roman" w:hAnsi="Times New Roman" w:eastAsia="宋体" w:cs="Times New Roman"/>
          <w:sz w:val="24"/>
          <w:szCs w:val="24"/>
          <w:lang w:val="en-US" w:eastAsia="zh-CN"/>
        </w:rPr>
        <w:t xml:space="preserve">1. </w:t>
      </w:r>
      <w:r>
        <w:rPr>
          <w:rFonts w:hint="eastAsia" w:ascii="Times New Roman" w:hAnsi="Times New Roman" w:eastAsia="宋体" w:cs="Times New Roman"/>
          <w:sz w:val="24"/>
          <w:szCs w:val="24"/>
        </w:rPr>
        <w:t>工程分析</w:t>
      </w:r>
    </w:p>
    <w:p w14:paraId="29DAE1BE">
      <w:pPr>
        <w:spacing w:line="300" w:lineRule="auto"/>
        <w:ind w:firstLine="480" w:firstLineChars="200"/>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概述工程建设</w:t>
      </w:r>
      <w:r>
        <w:rPr>
          <w:rFonts w:hint="eastAsia" w:ascii="Times New Roman" w:hAnsi="Times New Roman" w:eastAsia="宋体" w:cs="Times New Roman"/>
          <w:sz w:val="24"/>
          <w:szCs w:val="24"/>
          <w:lang w:val="en-US" w:eastAsia="zh-CN"/>
        </w:rPr>
        <w:t>情况</w:t>
      </w:r>
      <w:r>
        <w:rPr>
          <w:rFonts w:hint="eastAsia" w:ascii="Times New Roman" w:hAnsi="Times New Roman" w:eastAsia="宋体" w:cs="Times New Roman"/>
          <w:sz w:val="24"/>
          <w:szCs w:val="24"/>
        </w:rPr>
        <w:t>，识别施工期、营运期生态影响源，分析永久及临时占地、土石方作业、临时工程等对土地利用、植被、沙化土地的扰动，明确生态影响的范围与</w:t>
      </w:r>
      <w:r>
        <w:rPr>
          <w:rFonts w:hint="eastAsia" w:ascii="Times New Roman" w:hAnsi="Times New Roman" w:eastAsia="宋体" w:cs="Times New Roman"/>
          <w:sz w:val="24"/>
          <w:szCs w:val="24"/>
          <w:lang w:val="en-US" w:eastAsia="zh-CN"/>
        </w:rPr>
        <w:t>程度</w:t>
      </w:r>
      <w:r>
        <w:rPr>
          <w:rFonts w:hint="eastAsia" w:ascii="Times New Roman" w:hAnsi="Times New Roman" w:eastAsia="宋体" w:cs="Times New Roman"/>
          <w:sz w:val="24"/>
          <w:szCs w:val="24"/>
        </w:rPr>
        <w:t>。</w:t>
      </w:r>
    </w:p>
    <w:p w14:paraId="4F3DF892">
      <w:pPr>
        <w:spacing w:line="300" w:lineRule="auto"/>
        <w:ind w:firstLine="480" w:firstLineChars="200"/>
        <w:rPr>
          <w:rFonts w:hint="eastAsia" w:ascii="Times New Roman" w:hAnsi="Times New Roman" w:eastAsia="宋体" w:cs="Times New Roman"/>
          <w:sz w:val="24"/>
          <w:szCs w:val="24"/>
        </w:rPr>
      </w:pPr>
      <w:r>
        <w:rPr>
          <w:rFonts w:hint="eastAsia" w:ascii="Times New Roman" w:hAnsi="Times New Roman" w:eastAsia="宋体" w:cs="Times New Roman"/>
          <w:sz w:val="24"/>
          <w:szCs w:val="24"/>
          <w:lang w:val="en-US" w:eastAsia="zh-CN"/>
        </w:rPr>
        <w:t xml:space="preserve">2. </w:t>
      </w:r>
      <w:r>
        <w:rPr>
          <w:rFonts w:hint="eastAsia" w:ascii="Times New Roman" w:hAnsi="Times New Roman" w:eastAsia="宋体" w:cs="Times New Roman"/>
          <w:sz w:val="24"/>
          <w:szCs w:val="24"/>
        </w:rPr>
        <w:t>生态环境影响评价</w:t>
      </w:r>
    </w:p>
    <w:p w14:paraId="0CEC92CD">
      <w:pPr>
        <w:spacing w:line="30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在生态现状调查评价基础上，评价区域生态本底状况；</w:t>
      </w:r>
      <w:r>
        <w:rPr>
          <w:rFonts w:hint="eastAsia" w:ascii="Times New Roman" w:hAnsi="Times New Roman" w:eastAsia="宋体" w:cs="Times New Roman"/>
          <w:sz w:val="24"/>
          <w:szCs w:val="24"/>
          <w:lang w:val="en-US" w:eastAsia="zh-CN"/>
        </w:rPr>
        <w:t>分析</w:t>
      </w:r>
      <w:r>
        <w:rPr>
          <w:rFonts w:hint="eastAsia" w:ascii="Times New Roman" w:hAnsi="Times New Roman" w:eastAsia="宋体" w:cs="Times New Roman"/>
          <w:sz w:val="24"/>
          <w:szCs w:val="24"/>
        </w:rPr>
        <w:t>工程建设及运营对生态系统、动植物、景观、沙化土地、农业及水生生态的影响；针对各类生态扰动提出保护、恢复及减缓对策，为本项目生态</w:t>
      </w:r>
      <w:r>
        <w:rPr>
          <w:rFonts w:hint="eastAsia" w:ascii="Times New Roman" w:hAnsi="Times New Roman" w:eastAsia="宋体" w:cs="Times New Roman"/>
          <w:sz w:val="24"/>
          <w:szCs w:val="24"/>
          <w:lang w:val="en-US" w:eastAsia="zh-CN"/>
        </w:rPr>
        <w:t>保护</w:t>
      </w:r>
      <w:r>
        <w:rPr>
          <w:rFonts w:hint="eastAsia" w:ascii="Times New Roman" w:hAnsi="Times New Roman" w:eastAsia="宋体" w:cs="Times New Roman"/>
          <w:sz w:val="24"/>
          <w:szCs w:val="24"/>
        </w:rPr>
        <w:t>和环境管理提供依据。</w:t>
      </w:r>
    </w:p>
    <w:p w14:paraId="3F9E41CF">
      <w:pPr>
        <w:keepNext/>
        <w:keepLines/>
        <w:widowControl w:val="0"/>
        <w:adjustRightInd w:val="0"/>
        <w:spacing w:before="120" w:after="120" w:line="300" w:lineRule="auto"/>
        <w:ind w:left="0" w:leftChars="0" w:firstLine="0" w:firstLineChars="0"/>
        <w:jc w:val="both"/>
        <w:textAlignment w:val="baseline"/>
        <w:outlineLvl w:val="2"/>
        <w:rPr>
          <w:rFonts w:ascii="Times New Roman" w:hAnsi="Times New Roman" w:eastAsia="宋体" w:cs="Times New Roman"/>
          <w:b/>
          <w:bCs/>
          <w:kern w:val="0"/>
          <w:sz w:val="24"/>
          <w:szCs w:val="32"/>
          <w:lang w:val="en-US" w:eastAsia="zh-CN" w:bidi="ar-SA"/>
        </w:rPr>
      </w:pPr>
      <w:bookmarkStart w:id="251" w:name="_Toc21540"/>
      <w:r>
        <w:rPr>
          <w:rFonts w:ascii="Times New Roman" w:hAnsi="Times New Roman" w:eastAsia="宋体" w:cs="Times New Roman"/>
          <w:b/>
          <w:bCs w:val="0"/>
          <w:kern w:val="0"/>
          <w:sz w:val="24"/>
          <w:szCs w:val="32"/>
          <w:lang w:val="en-US" w:eastAsia="zh-CN" w:bidi="ar-SA"/>
        </w:rPr>
        <w:t>1.3.</w:t>
      </w:r>
      <w:r>
        <w:rPr>
          <w:rFonts w:hint="eastAsia" w:ascii="Times New Roman" w:hAnsi="Times New Roman" w:eastAsia="宋体" w:cs="Times New Roman"/>
          <w:b/>
          <w:bCs w:val="0"/>
          <w:kern w:val="0"/>
          <w:sz w:val="24"/>
          <w:szCs w:val="32"/>
          <w:lang w:val="en-US" w:eastAsia="zh-CN" w:bidi="ar-SA"/>
        </w:rPr>
        <w:t>2</w:t>
      </w:r>
      <w:r>
        <w:rPr>
          <w:rFonts w:ascii="Times New Roman" w:hAnsi="Times New Roman" w:eastAsia="宋体" w:cs="Times New Roman"/>
          <w:b/>
          <w:bCs w:val="0"/>
          <w:kern w:val="0"/>
          <w:sz w:val="24"/>
          <w:szCs w:val="32"/>
          <w:lang w:val="en-US" w:eastAsia="zh-CN" w:bidi="ar-SA"/>
        </w:rPr>
        <w:t xml:space="preserve"> </w:t>
      </w:r>
      <w:r>
        <w:rPr>
          <w:rFonts w:hint="eastAsia" w:ascii="Times New Roman" w:hAnsi="Times New Roman" w:eastAsia="宋体" w:cs="Times New Roman"/>
          <w:b/>
          <w:bCs w:val="0"/>
          <w:kern w:val="0"/>
          <w:sz w:val="24"/>
          <w:szCs w:val="32"/>
          <w:lang w:val="en-US" w:eastAsia="zh-CN" w:bidi="ar-SA"/>
        </w:rPr>
        <w:t>评价工作重点</w:t>
      </w:r>
      <w:bookmarkEnd w:id="251"/>
    </w:p>
    <w:p w14:paraId="4D7AFCC8">
      <w:pPr>
        <w:spacing w:line="300" w:lineRule="auto"/>
        <w:ind w:firstLine="480" w:firstLineChars="200"/>
        <w:rPr>
          <w:rFonts w:hint="eastAsia" w:ascii="Times New Roman" w:hAnsi="Times New Roman" w:eastAsia="宋体" w:cs="Times New Roman"/>
          <w:sz w:val="24"/>
          <w:szCs w:val="22"/>
          <w:lang w:eastAsia="zh-CN"/>
        </w:rPr>
      </w:pPr>
      <w:r>
        <w:rPr>
          <w:rFonts w:hint="eastAsia" w:ascii="Times New Roman" w:hAnsi="Times New Roman" w:eastAsia="宋体" w:cs="Times New Roman"/>
          <w:sz w:val="24"/>
          <w:szCs w:val="24"/>
        </w:rPr>
        <w:t>以</w:t>
      </w:r>
      <w:r>
        <w:rPr>
          <w:rFonts w:hint="eastAsia" w:ascii="Times New Roman" w:hAnsi="Times New Roman" w:eastAsia="宋体" w:cs="Times New Roman"/>
          <w:sz w:val="24"/>
          <w:szCs w:val="24"/>
          <w:lang w:val="en-US" w:eastAsia="zh-CN"/>
        </w:rPr>
        <w:t>施工</w:t>
      </w:r>
      <w:r>
        <w:rPr>
          <w:rFonts w:hint="eastAsia" w:ascii="Times New Roman" w:hAnsi="Times New Roman" w:eastAsia="宋体" w:cs="Times New Roman"/>
          <w:sz w:val="24"/>
          <w:szCs w:val="24"/>
        </w:rPr>
        <w:t>期</w:t>
      </w:r>
      <w:r>
        <w:rPr>
          <w:rFonts w:hint="eastAsia" w:ascii="Times New Roman" w:hAnsi="Times New Roman" w:eastAsia="宋体" w:cs="Times New Roman"/>
          <w:sz w:val="24"/>
          <w:szCs w:val="24"/>
          <w:lang w:val="en-US" w:eastAsia="zh-CN"/>
        </w:rPr>
        <w:t>生态</w:t>
      </w:r>
      <w:r>
        <w:rPr>
          <w:rFonts w:hint="eastAsia" w:ascii="Times New Roman" w:hAnsi="Times New Roman" w:eastAsia="宋体" w:cs="Times New Roman"/>
          <w:sz w:val="24"/>
          <w:szCs w:val="24"/>
        </w:rPr>
        <w:t>影响评价为重点的</w:t>
      </w:r>
      <w:r>
        <w:rPr>
          <w:rFonts w:hint="eastAsia" w:ascii="Times New Roman" w:hAnsi="Times New Roman" w:eastAsia="宋体" w:cs="Times New Roman"/>
          <w:sz w:val="24"/>
          <w:szCs w:val="24"/>
          <w:lang w:val="en-US" w:eastAsia="zh-CN"/>
        </w:rPr>
        <w:t>生态</w:t>
      </w:r>
      <w:r>
        <w:rPr>
          <w:rFonts w:hint="eastAsia" w:ascii="Times New Roman" w:hAnsi="Times New Roman" w:eastAsia="宋体" w:cs="Times New Roman"/>
          <w:sz w:val="24"/>
          <w:szCs w:val="24"/>
        </w:rPr>
        <w:t>影响评价</w:t>
      </w:r>
      <w:r>
        <w:rPr>
          <w:rFonts w:hint="eastAsia" w:ascii="Times New Roman" w:hAnsi="Times New Roman" w:eastAsia="宋体" w:cs="Times New Roman"/>
          <w:sz w:val="24"/>
          <w:szCs w:val="24"/>
          <w:lang w:eastAsia="zh-CN"/>
        </w:rPr>
        <w:t>。</w:t>
      </w:r>
    </w:p>
    <w:p w14:paraId="114CF877">
      <w:pPr>
        <w:keepNext/>
        <w:keepLines/>
        <w:widowControl w:val="0"/>
        <w:adjustRightInd w:val="0"/>
        <w:spacing w:before="240" w:after="240" w:line="240" w:lineRule="auto"/>
        <w:ind w:left="0" w:leftChars="0" w:firstLine="0" w:firstLineChars="0"/>
        <w:jc w:val="both"/>
        <w:textAlignment w:val="baseline"/>
        <w:outlineLvl w:val="1"/>
        <w:rPr>
          <w:rFonts w:ascii="Times New Roman" w:hAnsi="Times New Roman" w:eastAsia="宋体" w:cs="Times New Roman"/>
          <w:b/>
          <w:bCs/>
          <w:kern w:val="0"/>
          <w:sz w:val="28"/>
          <w:szCs w:val="32"/>
          <w:lang w:val="en-US" w:eastAsia="zh-CN" w:bidi="ar-SA"/>
        </w:rPr>
      </w:pPr>
      <w:bookmarkStart w:id="252" w:name="_Toc1037"/>
      <w:bookmarkStart w:id="253" w:name="_Toc219363392"/>
      <w:r>
        <w:rPr>
          <w:rFonts w:hint="eastAsia" w:ascii="Times New Roman" w:hAnsi="Times New Roman" w:eastAsia="宋体" w:cs="Times New Roman"/>
          <w:b/>
          <w:bCs/>
          <w:kern w:val="0"/>
          <w:sz w:val="28"/>
          <w:szCs w:val="32"/>
          <w:lang w:val="en-US" w:eastAsia="zh-CN" w:bidi="ar-SA"/>
        </w:rPr>
        <w:t xml:space="preserve">1.4 </w:t>
      </w:r>
      <w:r>
        <w:rPr>
          <w:rFonts w:ascii="Times New Roman" w:hAnsi="Times New Roman" w:eastAsia="宋体" w:cs="Times New Roman"/>
          <w:b/>
          <w:bCs/>
          <w:kern w:val="0"/>
          <w:sz w:val="28"/>
          <w:szCs w:val="32"/>
          <w:lang w:val="en-US" w:eastAsia="zh-CN" w:bidi="ar-SA"/>
        </w:rPr>
        <w:t>评价工作等级及评价范围</w:t>
      </w:r>
      <w:bookmarkEnd w:id="252"/>
      <w:bookmarkEnd w:id="253"/>
    </w:p>
    <w:p w14:paraId="50E4A2F4">
      <w:pPr>
        <w:keepNext/>
        <w:keepLines/>
        <w:widowControl w:val="0"/>
        <w:adjustRightInd w:val="0"/>
        <w:spacing w:before="120" w:after="120" w:line="300" w:lineRule="auto"/>
        <w:ind w:left="0" w:leftChars="0" w:firstLine="0" w:firstLineChars="0"/>
        <w:jc w:val="both"/>
        <w:textAlignment w:val="baseline"/>
        <w:outlineLvl w:val="2"/>
        <w:rPr>
          <w:rFonts w:ascii="Times New Roman" w:hAnsi="Times New Roman" w:eastAsia="宋体" w:cs="Times New Roman"/>
          <w:b/>
          <w:bCs w:val="0"/>
          <w:kern w:val="0"/>
          <w:sz w:val="24"/>
          <w:szCs w:val="32"/>
          <w:lang w:val="en-US" w:eastAsia="zh-CN" w:bidi="ar-SA"/>
        </w:rPr>
      </w:pPr>
      <w:bookmarkStart w:id="254" w:name="_Toc14945"/>
      <w:bookmarkStart w:id="255" w:name="_Toc173231979"/>
      <w:bookmarkStart w:id="256" w:name="_Toc191028015"/>
      <w:bookmarkStart w:id="257" w:name="_Toc219363393"/>
      <w:bookmarkStart w:id="258" w:name="_Toc192017489"/>
      <w:r>
        <w:rPr>
          <w:rFonts w:hint="eastAsia" w:ascii="Times New Roman" w:hAnsi="Times New Roman" w:eastAsia="宋体" w:cs="Times New Roman"/>
          <w:b/>
          <w:bCs w:val="0"/>
          <w:kern w:val="0"/>
          <w:sz w:val="24"/>
          <w:szCs w:val="32"/>
          <w:lang w:val="en-US" w:eastAsia="zh-CN" w:bidi="ar-SA"/>
        </w:rPr>
        <w:t xml:space="preserve">1.4.1 </w:t>
      </w:r>
      <w:r>
        <w:rPr>
          <w:rFonts w:ascii="Times New Roman" w:hAnsi="Times New Roman" w:eastAsia="宋体" w:cs="Times New Roman"/>
          <w:b/>
          <w:bCs w:val="0"/>
          <w:kern w:val="0"/>
          <w:sz w:val="24"/>
          <w:szCs w:val="32"/>
          <w:lang w:val="en-US" w:eastAsia="zh-CN" w:bidi="ar-SA"/>
        </w:rPr>
        <w:t>评价工作等级</w:t>
      </w:r>
      <w:bookmarkEnd w:id="254"/>
      <w:bookmarkEnd w:id="255"/>
      <w:bookmarkEnd w:id="256"/>
      <w:bookmarkEnd w:id="257"/>
      <w:bookmarkEnd w:id="258"/>
    </w:p>
    <w:p w14:paraId="6E4C4D8B">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依据项目特征和沿线环境特点，结合《环境影响评价技术导则 生态影响》(HJ 19-2022)和《环境影响评价技术导则 公路建设项目》（HJ1358-2024），拟建公路生态影响评价等级确定见</w:t>
      </w:r>
      <w:r>
        <w:rPr>
          <w:rFonts w:ascii="Times New Roman" w:hAnsi="Times New Roman" w:eastAsia="宋体" w:cs="Times New Roman"/>
          <w:color w:val="000000"/>
          <w:sz w:val="24"/>
          <w:szCs w:val="22"/>
        </w:rPr>
        <w:fldChar w:fldCharType="begin"/>
      </w:r>
      <w:r>
        <w:rPr>
          <w:rFonts w:ascii="Times New Roman" w:hAnsi="Times New Roman" w:eastAsia="宋体" w:cs="Times New Roman"/>
          <w:color w:val="000000"/>
          <w:sz w:val="24"/>
          <w:szCs w:val="22"/>
        </w:rPr>
        <w:instrText xml:space="preserve"> REF _Ref220308542 \h  \* MERGEFORMAT </w:instrText>
      </w:r>
      <w:r>
        <w:rPr>
          <w:rFonts w:ascii="Times New Roman" w:hAnsi="Times New Roman" w:eastAsia="宋体" w:cs="Times New Roman"/>
          <w:color w:val="000000"/>
          <w:sz w:val="24"/>
          <w:szCs w:val="22"/>
        </w:rPr>
        <w:fldChar w:fldCharType="separate"/>
      </w:r>
      <w:r>
        <w:rPr>
          <w:rFonts w:ascii="Times New Roman" w:hAnsi="Times New Roman" w:eastAsia="宋体" w:cs="Times New Roman"/>
          <w:color w:val="000000"/>
          <w:sz w:val="24"/>
          <w:szCs w:val="22"/>
        </w:rPr>
        <w:t>表 1.</w:t>
      </w:r>
      <w:r>
        <w:rPr>
          <w:rFonts w:hint="eastAsia" w:ascii="Times New Roman" w:hAnsi="Times New Roman" w:eastAsia="宋体" w:cs="Times New Roman"/>
          <w:color w:val="000000"/>
          <w:sz w:val="24"/>
          <w:szCs w:val="22"/>
          <w:lang w:val="en-US" w:eastAsia="zh-CN"/>
        </w:rPr>
        <w:t>4</w:t>
      </w:r>
      <w:r>
        <w:rPr>
          <w:rFonts w:ascii="Times New Roman" w:hAnsi="Times New Roman" w:eastAsia="宋体" w:cs="Times New Roman"/>
          <w:color w:val="000000"/>
          <w:sz w:val="24"/>
          <w:szCs w:val="22"/>
        </w:rPr>
        <w:noBreakHyphen/>
      </w:r>
      <w:r>
        <w:rPr>
          <w:rFonts w:ascii="Times New Roman" w:hAnsi="Times New Roman" w:eastAsia="宋体" w:cs="Times New Roman"/>
          <w:color w:val="000000"/>
          <w:sz w:val="24"/>
          <w:szCs w:val="22"/>
        </w:rPr>
        <w:t>1</w:t>
      </w:r>
      <w:r>
        <w:rPr>
          <w:rFonts w:ascii="Times New Roman" w:hAnsi="Times New Roman" w:eastAsia="宋体" w:cs="Times New Roman"/>
          <w:color w:val="000000"/>
          <w:sz w:val="24"/>
          <w:szCs w:val="22"/>
        </w:rPr>
        <w:fldChar w:fldCharType="end"/>
      </w:r>
      <w:r>
        <w:rPr>
          <w:rFonts w:ascii="Times New Roman" w:hAnsi="Times New Roman" w:eastAsia="宋体" w:cs="Times New Roman"/>
          <w:color w:val="000000"/>
          <w:sz w:val="24"/>
          <w:szCs w:val="22"/>
        </w:rPr>
        <w:t>。</w:t>
      </w:r>
    </w:p>
    <w:p w14:paraId="0EB33F5E">
      <w:pPr>
        <w:keepNext/>
        <w:widowControl w:val="0"/>
        <w:spacing w:before="120" w:line="240" w:lineRule="auto"/>
        <w:ind w:firstLine="0" w:firstLineChars="0"/>
        <w:jc w:val="center"/>
        <w:rPr>
          <w:rFonts w:ascii="Times New Roman" w:hAnsi="Times New Roman" w:eastAsia="宋体" w:cs="Times New Roman"/>
          <w:b/>
          <w:color w:val="000000"/>
          <w:kern w:val="2"/>
          <w:sz w:val="21"/>
          <w:szCs w:val="20"/>
          <w:lang w:val="en-US" w:eastAsia="zh-CN" w:bidi="ar-SA"/>
        </w:rPr>
      </w:pPr>
      <w:bookmarkStart w:id="259" w:name="_Ref220308542"/>
      <w:r>
        <w:rPr>
          <w:rFonts w:ascii="Times New Roman" w:hAnsi="Times New Roman" w:eastAsia="宋体" w:cs="Times New Roman"/>
          <w:b/>
          <w:color w:val="000000"/>
          <w:kern w:val="2"/>
          <w:sz w:val="21"/>
          <w:szCs w:val="20"/>
          <w:lang w:val="en-US" w:eastAsia="zh-CN" w:bidi="ar-SA"/>
        </w:rPr>
        <w:t xml:space="preserve">表 </w:t>
      </w:r>
      <w:r>
        <w:rPr>
          <w:rFonts w:ascii="Times New Roman" w:hAnsi="Times New Roman" w:eastAsia="宋体" w:cs="Times New Roman"/>
          <w:b/>
          <w:color w:val="000000"/>
          <w:kern w:val="2"/>
          <w:sz w:val="21"/>
          <w:szCs w:val="20"/>
          <w:lang w:val="en-US" w:eastAsia="zh-CN" w:bidi="ar-SA"/>
        </w:rPr>
        <w:fldChar w:fldCharType="begin"/>
      </w:r>
      <w:r>
        <w:rPr>
          <w:rFonts w:ascii="Times New Roman" w:hAnsi="Times New Roman" w:eastAsia="宋体" w:cs="Times New Roman"/>
          <w:b/>
          <w:color w:val="000000"/>
          <w:kern w:val="2"/>
          <w:sz w:val="21"/>
          <w:szCs w:val="20"/>
          <w:lang w:val="en-US" w:eastAsia="zh-CN" w:bidi="ar-SA"/>
        </w:rPr>
        <w:instrText xml:space="preserve"> STYLEREF 2 \s </w:instrText>
      </w:r>
      <w:r>
        <w:rPr>
          <w:rFonts w:ascii="Times New Roman" w:hAnsi="Times New Roman" w:eastAsia="宋体" w:cs="Times New Roman"/>
          <w:b/>
          <w:color w:val="000000"/>
          <w:kern w:val="2"/>
          <w:sz w:val="21"/>
          <w:szCs w:val="20"/>
          <w:lang w:val="en-US" w:eastAsia="zh-CN" w:bidi="ar-SA"/>
        </w:rPr>
        <w:fldChar w:fldCharType="separate"/>
      </w:r>
      <w:r>
        <w:rPr>
          <w:rFonts w:ascii="Times New Roman" w:hAnsi="Times New Roman" w:eastAsia="宋体" w:cs="Times New Roman"/>
          <w:b/>
          <w:color w:val="000000"/>
          <w:kern w:val="2"/>
          <w:sz w:val="21"/>
          <w:szCs w:val="20"/>
          <w:lang w:val="en-US" w:eastAsia="zh-CN" w:bidi="ar-SA"/>
        </w:rPr>
        <w:t>1.</w:t>
      </w:r>
      <w:r>
        <w:rPr>
          <w:rFonts w:hint="eastAsia" w:ascii="Times New Roman" w:hAnsi="Times New Roman" w:eastAsia="宋体" w:cs="Times New Roman"/>
          <w:b/>
          <w:color w:val="000000"/>
          <w:kern w:val="2"/>
          <w:sz w:val="21"/>
          <w:szCs w:val="20"/>
          <w:lang w:val="en-US" w:eastAsia="zh-CN" w:bidi="ar-SA"/>
        </w:rPr>
        <w:t>4</w:t>
      </w:r>
      <w:r>
        <w:rPr>
          <w:rFonts w:ascii="Times New Roman" w:hAnsi="Times New Roman" w:eastAsia="宋体" w:cs="Times New Roman"/>
          <w:b/>
          <w:color w:val="000000"/>
          <w:kern w:val="2"/>
          <w:sz w:val="21"/>
          <w:szCs w:val="20"/>
          <w:lang w:val="en-US" w:eastAsia="zh-CN" w:bidi="ar-SA"/>
        </w:rPr>
        <w:fldChar w:fldCharType="end"/>
      </w:r>
      <w:r>
        <w:rPr>
          <w:rFonts w:ascii="Times New Roman" w:hAnsi="Times New Roman" w:eastAsia="宋体" w:cs="Times New Roman"/>
          <w:b/>
          <w:color w:val="000000"/>
          <w:kern w:val="2"/>
          <w:sz w:val="21"/>
          <w:szCs w:val="20"/>
          <w:lang w:val="en-US" w:eastAsia="zh-CN" w:bidi="ar-SA"/>
        </w:rPr>
        <w:noBreakHyphen/>
      </w:r>
      <w:r>
        <w:rPr>
          <w:rFonts w:ascii="Times New Roman" w:hAnsi="Times New Roman" w:eastAsia="宋体" w:cs="Times New Roman"/>
          <w:b/>
          <w:color w:val="000000"/>
          <w:kern w:val="2"/>
          <w:sz w:val="21"/>
          <w:szCs w:val="20"/>
          <w:lang w:val="en-US" w:eastAsia="zh-CN" w:bidi="ar-SA"/>
        </w:rPr>
        <w:fldChar w:fldCharType="begin"/>
      </w:r>
      <w:r>
        <w:rPr>
          <w:rFonts w:ascii="Times New Roman" w:hAnsi="Times New Roman" w:eastAsia="宋体" w:cs="Times New Roman"/>
          <w:b/>
          <w:color w:val="000000"/>
          <w:kern w:val="2"/>
          <w:sz w:val="21"/>
          <w:szCs w:val="20"/>
          <w:lang w:val="en-US" w:eastAsia="zh-CN" w:bidi="ar-SA"/>
        </w:rPr>
        <w:instrText xml:space="preserve"> SEQ 表 \* ARABIC \s 2 </w:instrText>
      </w:r>
      <w:r>
        <w:rPr>
          <w:rFonts w:ascii="Times New Roman" w:hAnsi="Times New Roman" w:eastAsia="宋体" w:cs="Times New Roman"/>
          <w:b/>
          <w:color w:val="000000"/>
          <w:kern w:val="2"/>
          <w:sz w:val="21"/>
          <w:szCs w:val="20"/>
          <w:lang w:val="en-US" w:eastAsia="zh-CN" w:bidi="ar-SA"/>
        </w:rPr>
        <w:fldChar w:fldCharType="separate"/>
      </w:r>
      <w:r>
        <w:rPr>
          <w:rFonts w:ascii="Times New Roman" w:hAnsi="Times New Roman" w:eastAsia="宋体" w:cs="Times New Roman"/>
          <w:b/>
          <w:color w:val="000000"/>
          <w:kern w:val="2"/>
          <w:sz w:val="21"/>
          <w:szCs w:val="20"/>
          <w:lang w:val="en-US" w:eastAsia="zh-CN" w:bidi="ar-SA"/>
        </w:rPr>
        <w:t>1</w:t>
      </w:r>
      <w:r>
        <w:rPr>
          <w:rFonts w:ascii="Times New Roman" w:hAnsi="Times New Roman" w:eastAsia="宋体" w:cs="Times New Roman"/>
          <w:b/>
          <w:color w:val="000000"/>
          <w:kern w:val="2"/>
          <w:sz w:val="21"/>
          <w:szCs w:val="20"/>
          <w:lang w:val="en-US" w:eastAsia="zh-CN" w:bidi="ar-SA"/>
        </w:rPr>
        <w:fldChar w:fldCharType="end"/>
      </w:r>
      <w:bookmarkEnd w:id="259"/>
      <w:r>
        <w:rPr>
          <w:rFonts w:ascii="Times New Roman" w:hAnsi="Times New Roman" w:eastAsia="宋体" w:cs="Times New Roman"/>
          <w:b/>
          <w:color w:val="000000"/>
          <w:kern w:val="2"/>
          <w:sz w:val="21"/>
          <w:szCs w:val="20"/>
          <w:lang w:val="en-US" w:eastAsia="zh-CN" w:bidi="ar-SA"/>
        </w:rPr>
        <w:t xml:space="preserve">  生态影响评价等级及依据</w:t>
      </w:r>
    </w:p>
    <w:tbl>
      <w:tblPr>
        <w:tblStyle w:val="22"/>
        <w:tblW w:w="4964" w:type="pct"/>
        <w:jc w:val="center"/>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1009"/>
        <w:gridCol w:w="1412"/>
        <w:gridCol w:w="6081"/>
      </w:tblGrid>
      <w:tr w14:paraId="00A585EE">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593" w:type="pct"/>
            <w:vAlign w:val="center"/>
          </w:tcPr>
          <w:p w14:paraId="5C522D4B">
            <w:pPr>
              <w:widowControl w:val="0"/>
              <w:spacing w:line="240" w:lineRule="auto"/>
              <w:ind w:firstLine="0" w:firstLineChars="0"/>
              <w:jc w:val="center"/>
              <w:rPr>
                <w:rFonts w:ascii="Times New Roman" w:hAnsi="Times New Roman" w:eastAsia="宋体" w:cs="Times New Roman"/>
                <w:b/>
                <w:bCs/>
                <w:color w:val="000000"/>
                <w:kern w:val="2"/>
                <w:sz w:val="21"/>
                <w:szCs w:val="22"/>
                <w:lang w:val="en-US" w:eastAsia="zh-CN" w:bidi="ar-SA"/>
              </w:rPr>
            </w:pPr>
            <w:r>
              <w:rPr>
                <w:rFonts w:ascii="Times New Roman" w:hAnsi="Times New Roman" w:eastAsia="宋体" w:cs="Times New Roman"/>
                <w:b/>
                <w:bCs/>
                <w:color w:val="000000"/>
                <w:kern w:val="2"/>
                <w:sz w:val="21"/>
                <w:szCs w:val="22"/>
                <w:lang w:val="en-US" w:eastAsia="zh-CN" w:bidi="ar-SA"/>
              </w:rPr>
              <w:t>环境要素</w:t>
            </w:r>
          </w:p>
        </w:tc>
        <w:tc>
          <w:tcPr>
            <w:tcW w:w="830" w:type="pct"/>
            <w:vAlign w:val="center"/>
          </w:tcPr>
          <w:p w14:paraId="57A07269">
            <w:pPr>
              <w:widowControl w:val="0"/>
              <w:spacing w:line="240" w:lineRule="auto"/>
              <w:ind w:firstLine="0" w:firstLineChars="0"/>
              <w:jc w:val="center"/>
              <w:rPr>
                <w:rFonts w:ascii="Times New Roman" w:hAnsi="Times New Roman" w:eastAsia="宋体" w:cs="Times New Roman"/>
                <w:b/>
                <w:bCs/>
                <w:color w:val="000000"/>
                <w:kern w:val="2"/>
                <w:sz w:val="21"/>
                <w:szCs w:val="22"/>
                <w:lang w:val="en-US" w:eastAsia="zh-CN" w:bidi="ar-SA"/>
              </w:rPr>
            </w:pPr>
            <w:r>
              <w:rPr>
                <w:rFonts w:ascii="Times New Roman" w:hAnsi="Times New Roman" w:eastAsia="宋体" w:cs="Times New Roman"/>
                <w:b/>
                <w:bCs/>
                <w:color w:val="000000"/>
                <w:kern w:val="2"/>
                <w:sz w:val="21"/>
                <w:szCs w:val="22"/>
                <w:lang w:val="en-US" w:eastAsia="zh-CN" w:bidi="ar-SA"/>
              </w:rPr>
              <w:t>评价等级</w:t>
            </w:r>
          </w:p>
        </w:tc>
        <w:tc>
          <w:tcPr>
            <w:tcW w:w="3575" w:type="pct"/>
            <w:vAlign w:val="center"/>
          </w:tcPr>
          <w:p w14:paraId="4151F80B">
            <w:pPr>
              <w:widowControl w:val="0"/>
              <w:spacing w:line="240" w:lineRule="auto"/>
              <w:ind w:firstLine="0" w:firstLineChars="0"/>
              <w:jc w:val="center"/>
              <w:rPr>
                <w:rFonts w:ascii="Times New Roman" w:hAnsi="Times New Roman" w:eastAsia="宋体" w:cs="Times New Roman"/>
                <w:b/>
                <w:bCs/>
                <w:color w:val="000000"/>
                <w:kern w:val="2"/>
                <w:sz w:val="21"/>
                <w:szCs w:val="22"/>
                <w:lang w:val="en-US" w:eastAsia="zh-CN" w:bidi="ar-SA"/>
              </w:rPr>
            </w:pPr>
            <w:r>
              <w:rPr>
                <w:rFonts w:ascii="Times New Roman" w:hAnsi="Times New Roman" w:eastAsia="宋体" w:cs="Times New Roman"/>
                <w:b/>
                <w:bCs/>
                <w:color w:val="000000"/>
                <w:kern w:val="2"/>
                <w:sz w:val="21"/>
                <w:szCs w:val="22"/>
                <w:lang w:val="en-US" w:eastAsia="zh-CN" w:bidi="ar-SA"/>
              </w:rPr>
              <w:t>划分依据</w:t>
            </w:r>
          </w:p>
        </w:tc>
      </w:tr>
      <w:tr w14:paraId="6C3B80C0">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trHeight w:val="954" w:hRule="atLeast"/>
          <w:jc w:val="center"/>
        </w:trPr>
        <w:tc>
          <w:tcPr>
            <w:tcW w:w="593" w:type="pct"/>
            <w:vAlign w:val="center"/>
          </w:tcPr>
          <w:p w14:paraId="690FBD52">
            <w:pPr>
              <w:widowControl w:val="0"/>
              <w:spacing w:line="240" w:lineRule="auto"/>
              <w:ind w:firstLine="0" w:firstLineChars="0"/>
              <w:jc w:val="center"/>
              <w:rPr>
                <w:rFonts w:hint="eastAsia" w:ascii="Times New Roman" w:hAnsi="Times New Roman" w:eastAsia="宋体" w:cs="Times New Roman"/>
                <w:color w:val="000000"/>
                <w:kern w:val="2"/>
                <w:sz w:val="21"/>
                <w:szCs w:val="22"/>
                <w:lang w:val="en-US" w:eastAsia="zh-CN" w:bidi="ar-SA"/>
              </w:rPr>
            </w:pPr>
            <w:r>
              <w:rPr>
                <w:rFonts w:hint="eastAsia" w:ascii="Times New Roman" w:hAnsi="Times New Roman" w:eastAsia="宋体" w:cs="Times New Roman"/>
                <w:color w:val="000000"/>
                <w:kern w:val="2"/>
                <w:sz w:val="21"/>
                <w:szCs w:val="22"/>
                <w:lang w:val="en-US" w:eastAsia="zh-CN" w:bidi="ar-SA"/>
              </w:rPr>
              <w:t>生态</w:t>
            </w:r>
          </w:p>
        </w:tc>
        <w:tc>
          <w:tcPr>
            <w:tcW w:w="830" w:type="pct"/>
            <w:vAlign w:val="center"/>
          </w:tcPr>
          <w:p w14:paraId="1BDEE608">
            <w:pPr>
              <w:widowControl w:val="0"/>
              <w:spacing w:line="240" w:lineRule="auto"/>
              <w:ind w:firstLine="0" w:firstLineChars="0"/>
              <w:jc w:val="center"/>
              <w:rPr>
                <w:rFonts w:hint="eastAsia" w:ascii="Times New Roman" w:hAnsi="Times New Roman" w:eastAsia="宋体" w:cs="Times New Roman"/>
                <w:color w:val="000000"/>
                <w:kern w:val="2"/>
                <w:sz w:val="21"/>
                <w:szCs w:val="22"/>
                <w:lang w:val="en-US" w:eastAsia="zh-CN" w:bidi="ar-SA"/>
              </w:rPr>
            </w:pPr>
            <w:r>
              <w:rPr>
                <w:rFonts w:hint="eastAsia" w:ascii="Times New Roman" w:hAnsi="Times New Roman" w:eastAsia="宋体" w:cs="Times New Roman"/>
                <w:color w:val="000000"/>
                <w:kern w:val="2"/>
                <w:sz w:val="21"/>
                <w:szCs w:val="22"/>
                <w:lang w:val="en-US" w:eastAsia="zh-CN" w:bidi="ar-SA"/>
              </w:rPr>
              <w:t>三级</w:t>
            </w:r>
          </w:p>
        </w:tc>
        <w:tc>
          <w:tcPr>
            <w:tcW w:w="3575" w:type="pct"/>
            <w:vAlign w:val="center"/>
          </w:tcPr>
          <w:p w14:paraId="0EEB196F">
            <w:pPr>
              <w:widowControl w:val="0"/>
              <w:spacing w:line="240" w:lineRule="auto"/>
              <w:ind w:firstLine="0" w:firstLineChars="0"/>
              <w:jc w:val="both"/>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根据《环境影响评价技术导则 生态影响》（HJ 19-2022）</w:t>
            </w:r>
            <w:r>
              <w:rPr>
                <w:rFonts w:hint="eastAsia" w:ascii="Times New Roman" w:hAnsi="Times New Roman" w:eastAsia="宋体" w:cs="Times New Roman"/>
                <w:color w:val="000000"/>
                <w:kern w:val="2"/>
                <w:sz w:val="21"/>
                <w:szCs w:val="22"/>
                <w:lang w:val="en-US" w:eastAsia="zh-CN" w:bidi="ar-SA"/>
              </w:rPr>
              <w:t>、</w:t>
            </w:r>
            <w:bookmarkStart w:id="260" w:name="OLE_LINK207"/>
            <w:r>
              <w:rPr>
                <w:rFonts w:ascii="Times New Roman" w:hAnsi="Times New Roman" w:eastAsia="宋体" w:cs="Times New Roman"/>
                <w:color w:val="000000"/>
                <w:kern w:val="2"/>
                <w:sz w:val="21"/>
                <w:szCs w:val="22"/>
                <w:lang w:val="en-US" w:eastAsia="zh-CN" w:bidi="ar-SA"/>
              </w:rPr>
              <w:t>《环境影响评价技术导则 公路建设项目》（HJ1358-2024）</w:t>
            </w:r>
            <w:bookmarkEnd w:id="260"/>
            <w:r>
              <w:rPr>
                <w:rFonts w:hint="eastAsia" w:ascii="Times New Roman" w:hAnsi="Times New Roman" w:eastAsia="宋体" w:cs="Times New Roman"/>
                <w:color w:val="000000"/>
                <w:kern w:val="2"/>
                <w:sz w:val="21"/>
                <w:szCs w:val="22"/>
                <w:lang w:val="en-US" w:eastAsia="zh-CN" w:bidi="ar-SA"/>
              </w:rPr>
              <w:t>，拟建公路沿线不涉及国家公园、自然保护区、世界自然遗产、重要生境、自然公园以及生态保护红线等，占地面积小于20km</w:t>
            </w:r>
            <w:r>
              <w:rPr>
                <w:rFonts w:hint="eastAsia" w:ascii="Times New Roman" w:hAnsi="Times New Roman" w:eastAsia="宋体" w:cs="Times New Roman"/>
                <w:color w:val="000000"/>
                <w:kern w:val="2"/>
                <w:sz w:val="21"/>
                <w:szCs w:val="22"/>
                <w:vertAlign w:val="superscript"/>
                <w:lang w:val="en-US" w:eastAsia="zh-CN" w:bidi="ar-SA"/>
              </w:rPr>
              <w:t>2</w:t>
            </w:r>
            <w:r>
              <w:rPr>
                <w:rFonts w:hint="eastAsia" w:ascii="Times New Roman" w:hAnsi="Times New Roman" w:eastAsia="宋体" w:cs="Times New Roman"/>
                <w:color w:val="000000"/>
                <w:kern w:val="2"/>
                <w:sz w:val="21"/>
                <w:szCs w:val="22"/>
                <w:lang w:val="en-US" w:eastAsia="zh-CN" w:bidi="ar-SA"/>
              </w:rPr>
              <w:t>，确定全线生态评价等级均为三级。</w:t>
            </w:r>
          </w:p>
        </w:tc>
      </w:tr>
    </w:tbl>
    <w:p w14:paraId="3F0103DB">
      <w:pPr>
        <w:keepNext/>
        <w:keepLines/>
        <w:pageBreakBefore w:val="0"/>
        <w:widowControl w:val="0"/>
        <w:kinsoku/>
        <w:wordWrap/>
        <w:overflowPunct/>
        <w:topLinePunct w:val="0"/>
        <w:autoSpaceDE/>
        <w:autoSpaceDN/>
        <w:bidi w:val="0"/>
        <w:adjustRightInd w:val="0"/>
        <w:snapToGrid/>
        <w:spacing w:before="360" w:after="120" w:line="300" w:lineRule="auto"/>
        <w:ind w:left="0" w:leftChars="0" w:firstLine="0" w:firstLineChars="0"/>
        <w:jc w:val="both"/>
        <w:textAlignment w:val="baseline"/>
        <w:outlineLvl w:val="2"/>
        <w:rPr>
          <w:rFonts w:hint="eastAsia" w:ascii="Times New Roman" w:hAnsi="Times New Roman" w:eastAsia="宋体" w:cs="Times New Roman"/>
          <w:b/>
          <w:bCs w:val="0"/>
          <w:kern w:val="0"/>
          <w:sz w:val="24"/>
          <w:szCs w:val="32"/>
          <w:lang w:val="en-US" w:eastAsia="zh-CN" w:bidi="ar-SA"/>
        </w:rPr>
      </w:pPr>
      <w:bookmarkStart w:id="261" w:name="_Toc191028016"/>
      <w:bookmarkStart w:id="262" w:name="_Toc219363394"/>
      <w:bookmarkStart w:id="263" w:name="_Toc19370"/>
      <w:bookmarkStart w:id="264" w:name="_Toc173231980"/>
      <w:bookmarkStart w:id="265" w:name="_Toc192017490"/>
      <w:r>
        <w:rPr>
          <w:rFonts w:hint="eastAsia" w:ascii="Times New Roman" w:hAnsi="Times New Roman" w:eastAsia="宋体" w:cs="Times New Roman"/>
          <w:b/>
          <w:bCs w:val="0"/>
          <w:kern w:val="0"/>
          <w:sz w:val="24"/>
          <w:szCs w:val="32"/>
          <w:lang w:val="en-US" w:eastAsia="zh-CN" w:bidi="ar-SA"/>
        </w:rPr>
        <w:t>1.4.2 评价范围</w:t>
      </w:r>
      <w:bookmarkEnd w:id="261"/>
      <w:bookmarkEnd w:id="262"/>
      <w:bookmarkEnd w:id="263"/>
      <w:bookmarkEnd w:id="264"/>
      <w:bookmarkEnd w:id="265"/>
    </w:p>
    <w:p w14:paraId="24FDC3E6">
      <w:pPr>
        <w:keepNext w:val="0"/>
        <w:keepLines w:val="0"/>
        <w:pageBreakBefore w:val="0"/>
        <w:widowControl w:val="0"/>
        <w:kinsoku/>
        <w:wordWrap/>
        <w:overflowPunct/>
        <w:topLinePunct w:val="0"/>
        <w:autoSpaceDE/>
        <w:autoSpaceDN/>
        <w:bidi w:val="0"/>
        <w:adjustRightInd/>
        <w:snapToGrid/>
        <w:spacing w:after="157" w:afterLines="50" w:line="300" w:lineRule="auto"/>
        <w:ind w:firstLine="480" w:firstLineChars="200"/>
        <w:textAlignment w:val="auto"/>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根据拟建公路设计期、施工期和营运期对环境的影响特点和各路段的自然环境特征，结合《环境影响评价技术导则 生态影响》(HJ 19-2022)和《环境影响评价技术导则 公路建设项目》（HJ1358-2024），拟建公路的生态影响评价范围见</w:t>
      </w:r>
      <w:r>
        <w:rPr>
          <w:rFonts w:ascii="Times New Roman" w:hAnsi="Times New Roman" w:eastAsia="宋体" w:cs="Times New Roman"/>
          <w:color w:val="000000"/>
          <w:sz w:val="24"/>
          <w:szCs w:val="22"/>
        </w:rPr>
        <w:fldChar w:fldCharType="begin"/>
      </w:r>
      <w:r>
        <w:rPr>
          <w:rFonts w:ascii="Times New Roman" w:hAnsi="Times New Roman" w:eastAsia="宋体" w:cs="Times New Roman"/>
          <w:color w:val="000000"/>
          <w:sz w:val="24"/>
          <w:szCs w:val="22"/>
        </w:rPr>
        <w:instrText xml:space="preserve"> REF _Ref220308637 \h  \* MERGEFORMAT </w:instrText>
      </w:r>
      <w:r>
        <w:rPr>
          <w:rFonts w:ascii="Times New Roman" w:hAnsi="Times New Roman" w:eastAsia="宋体" w:cs="Times New Roman"/>
          <w:color w:val="000000"/>
          <w:sz w:val="24"/>
          <w:szCs w:val="22"/>
        </w:rPr>
        <w:fldChar w:fldCharType="separate"/>
      </w:r>
      <w:r>
        <w:rPr>
          <w:rFonts w:ascii="Times New Roman" w:hAnsi="Times New Roman" w:eastAsia="宋体" w:cs="Times New Roman"/>
          <w:color w:val="000000"/>
          <w:sz w:val="24"/>
          <w:szCs w:val="22"/>
        </w:rPr>
        <w:t>表 1.</w:t>
      </w:r>
      <w:r>
        <w:rPr>
          <w:rFonts w:hint="eastAsia" w:ascii="Times New Roman" w:hAnsi="Times New Roman" w:eastAsia="宋体" w:cs="Times New Roman"/>
          <w:color w:val="000000"/>
          <w:sz w:val="24"/>
          <w:szCs w:val="22"/>
          <w:lang w:val="en-US" w:eastAsia="zh-CN"/>
        </w:rPr>
        <w:t>4</w:t>
      </w:r>
      <w:r>
        <w:rPr>
          <w:rFonts w:ascii="Times New Roman" w:hAnsi="Times New Roman" w:eastAsia="宋体" w:cs="Times New Roman"/>
          <w:color w:val="000000"/>
          <w:sz w:val="24"/>
          <w:szCs w:val="22"/>
        </w:rPr>
        <w:noBreakHyphen/>
      </w:r>
      <w:r>
        <w:rPr>
          <w:rFonts w:ascii="Times New Roman" w:hAnsi="Times New Roman" w:eastAsia="宋体" w:cs="Times New Roman"/>
          <w:color w:val="000000"/>
          <w:sz w:val="24"/>
          <w:szCs w:val="22"/>
        </w:rPr>
        <w:t>2</w:t>
      </w:r>
      <w:r>
        <w:rPr>
          <w:rFonts w:ascii="Times New Roman" w:hAnsi="Times New Roman" w:eastAsia="宋体" w:cs="Times New Roman"/>
          <w:color w:val="000000"/>
          <w:sz w:val="24"/>
          <w:szCs w:val="22"/>
        </w:rPr>
        <w:fldChar w:fldCharType="end"/>
      </w:r>
      <w:r>
        <w:rPr>
          <w:rFonts w:ascii="Times New Roman" w:hAnsi="Times New Roman" w:eastAsia="宋体" w:cs="Times New Roman"/>
          <w:color w:val="000000"/>
          <w:sz w:val="24"/>
          <w:szCs w:val="22"/>
        </w:rPr>
        <w:t>，生态敏感区生态影响评价范围情况见</w:t>
      </w:r>
      <w:r>
        <w:rPr>
          <w:rFonts w:ascii="Times New Roman" w:hAnsi="Times New Roman" w:eastAsia="宋体" w:cs="Times New Roman"/>
          <w:color w:val="000000"/>
          <w:sz w:val="24"/>
          <w:szCs w:val="22"/>
        </w:rPr>
        <w:fldChar w:fldCharType="begin"/>
      </w:r>
      <w:r>
        <w:rPr>
          <w:rFonts w:ascii="Times New Roman" w:hAnsi="Times New Roman" w:eastAsia="宋体" w:cs="Times New Roman"/>
          <w:color w:val="000000"/>
          <w:sz w:val="24"/>
          <w:szCs w:val="22"/>
        </w:rPr>
        <w:instrText xml:space="preserve"> REF _Ref220308637 \h  \* MERGEFORMAT </w:instrText>
      </w:r>
      <w:r>
        <w:rPr>
          <w:rFonts w:ascii="Times New Roman" w:hAnsi="Times New Roman" w:eastAsia="宋体" w:cs="Times New Roman"/>
          <w:color w:val="000000"/>
          <w:sz w:val="24"/>
          <w:szCs w:val="22"/>
        </w:rPr>
        <w:fldChar w:fldCharType="separate"/>
      </w:r>
      <w:r>
        <w:rPr>
          <w:rFonts w:ascii="Times New Roman" w:hAnsi="Times New Roman" w:eastAsia="宋体" w:cs="Times New Roman"/>
          <w:color w:val="000000"/>
          <w:sz w:val="24"/>
          <w:szCs w:val="22"/>
        </w:rPr>
        <w:t>表 1.</w:t>
      </w:r>
      <w:r>
        <w:rPr>
          <w:rFonts w:hint="eastAsia" w:ascii="Times New Roman" w:hAnsi="Times New Roman" w:eastAsia="宋体" w:cs="Times New Roman"/>
          <w:color w:val="000000"/>
          <w:sz w:val="24"/>
          <w:szCs w:val="22"/>
          <w:lang w:val="en-US" w:eastAsia="zh-CN"/>
        </w:rPr>
        <w:t>4</w:t>
      </w:r>
      <w:r>
        <w:rPr>
          <w:rFonts w:ascii="Times New Roman" w:hAnsi="Times New Roman" w:eastAsia="宋体" w:cs="Times New Roman"/>
          <w:color w:val="000000"/>
          <w:sz w:val="24"/>
          <w:szCs w:val="22"/>
        </w:rPr>
        <w:noBreakHyphen/>
      </w:r>
      <w:r>
        <w:rPr>
          <w:rFonts w:ascii="Times New Roman" w:hAnsi="Times New Roman" w:eastAsia="宋体" w:cs="Times New Roman"/>
          <w:color w:val="000000"/>
          <w:sz w:val="24"/>
          <w:szCs w:val="22"/>
        </w:rPr>
        <w:t>2</w:t>
      </w:r>
      <w:r>
        <w:rPr>
          <w:rFonts w:ascii="Times New Roman" w:hAnsi="Times New Roman" w:eastAsia="宋体" w:cs="Times New Roman"/>
          <w:color w:val="000000"/>
          <w:sz w:val="24"/>
          <w:szCs w:val="22"/>
        </w:rPr>
        <w:fldChar w:fldCharType="end"/>
      </w:r>
      <w:r>
        <w:rPr>
          <w:rFonts w:ascii="Times New Roman" w:hAnsi="Times New Roman" w:eastAsia="宋体" w:cs="Times New Roman"/>
          <w:color w:val="000000"/>
          <w:sz w:val="24"/>
          <w:szCs w:val="22"/>
        </w:rPr>
        <w:t>。</w:t>
      </w:r>
    </w:p>
    <w:p w14:paraId="5F41E0E7">
      <w:pPr>
        <w:keepNext/>
        <w:widowControl w:val="0"/>
        <w:spacing w:line="240" w:lineRule="auto"/>
        <w:ind w:firstLine="0" w:firstLineChars="0"/>
        <w:jc w:val="center"/>
        <w:rPr>
          <w:rFonts w:ascii="Times New Roman" w:hAnsi="Times New Roman" w:eastAsia="宋体" w:cs="Times New Roman"/>
          <w:b/>
          <w:color w:val="000000"/>
          <w:kern w:val="2"/>
          <w:sz w:val="21"/>
          <w:szCs w:val="20"/>
          <w:lang w:val="en-US" w:eastAsia="zh-CN" w:bidi="ar-SA"/>
        </w:rPr>
      </w:pPr>
      <w:bookmarkStart w:id="266" w:name="_Ref220308637"/>
      <w:r>
        <w:rPr>
          <w:rFonts w:ascii="Times New Roman" w:hAnsi="Times New Roman" w:eastAsia="宋体" w:cs="Times New Roman"/>
          <w:b/>
          <w:color w:val="000000"/>
          <w:kern w:val="2"/>
          <w:sz w:val="21"/>
          <w:szCs w:val="20"/>
          <w:lang w:val="en-US" w:eastAsia="zh-CN" w:bidi="ar-SA"/>
        </w:rPr>
        <w:t xml:space="preserve">表 </w:t>
      </w:r>
      <w:r>
        <w:rPr>
          <w:rFonts w:ascii="Times New Roman" w:hAnsi="Times New Roman" w:eastAsia="宋体" w:cs="Times New Roman"/>
          <w:b/>
          <w:color w:val="000000"/>
          <w:kern w:val="2"/>
          <w:sz w:val="21"/>
          <w:szCs w:val="20"/>
          <w:lang w:val="en-US" w:eastAsia="zh-CN" w:bidi="ar-SA"/>
        </w:rPr>
        <w:fldChar w:fldCharType="begin"/>
      </w:r>
      <w:r>
        <w:rPr>
          <w:rFonts w:ascii="Times New Roman" w:hAnsi="Times New Roman" w:eastAsia="宋体" w:cs="Times New Roman"/>
          <w:b/>
          <w:color w:val="000000"/>
          <w:kern w:val="2"/>
          <w:sz w:val="21"/>
          <w:szCs w:val="20"/>
          <w:lang w:val="en-US" w:eastAsia="zh-CN" w:bidi="ar-SA"/>
        </w:rPr>
        <w:instrText xml:space="preserve"> STYLEREF 2 \s </w:instrText>
      </w:r>
      <w:r>
        <w:rPr>
          <w:rFonts w:ascii="Times New Roman" w:hAnsi="Times New Roman" w:eastAsia="宋体" w:cs="Times New Roman"/>
          <w:b/>
          <w:color w:val="000000"/>
          <w:kern w:val="2"/>
          <w:sz w:val="21"/>
          <w:szCs w:val="20"/>
          <w:lang w:val="en-US" w:eastAsia="zh-CN" w:bidi="ar-SA"/>
        </w:rPr>
        <w:fldChar w:fldCharType="separate"/>
      </w:r>
      <w:r>
        <w:rPr>
          <w:rFonts w:ascii="Times New Roman" w:hAnsi="Times New Roman" w:eastAsia="宋体" w:cs="Times New Roman"/>
          <w:b/>
          <w:color w:val="000000"/>
          <w:kern w:val="2"/>
          <w:sz w:val="21"/>
          <w:szCs w:val="20"/>
          <w:lang w:val="en-US" w:eastAsia="zh-CN" w:bidi="ar-SA"/>
        </w:rPr>
        <w:t>1.</w:t>
      </w:r>
      <w:r>
        <w:rPr>
          <w:rFonts w:hint="eastAsia" w:ascii="Times New Roman" w:hAnsi="Times New Roman" w:eastAsia="宋体" w:cs="Times New Roman"/>
          <w:b/>
          <w:color w:val="000000"/>
          <w:kern w:val="2"/>
          <w:sz w:val="21"/>
          <w:szCs w:val="20"/>
          <w:lang w:val="en-US" w:eastAsia="zh-CN" w:bidi="ar-SA"/>
        </w:rPr>
        <w:t>4</w:t>
      </w:r>
      <w:r>
        <w:rPr>
          <w:rFonts w:ascii="Times New Roman" w:hAnsi="Times New Roman" w:eastAsia="宋体" w:cs="Times New Roman"/>
          <w:b/>
          <w:color w:val="000000"/>
          <w:kern w:val="2"/>
          <w:sz w:val="21"/>
          <w:szCs w:val="20"/>
          <w:lang w:val="en-US" w:eastAsia="zh-CN" w:bidi="ar-SA"/>
        </w:rPr>
        <w:fldChar w:fldCharType="end"/>
      </w:r>
      <w:r>
        <w:rPr>
          <w:rFonts w:ascii="Times New Roman" w:hAnsi="Times New Roman" w:eastAsia="宋体" w:cs="Times New Roman"/>
          <w:b/>
          <w:color w:val="000000"/>
          <w:kern w:val="2"/>
          <w:sz w:val="21"/>
          <w:szCs w:val="20"/>
          <w:lang w:val="en-US" w:eastAsia="zh-CN" w:bidi="ar-SA"/>
        </w:rPr>
        <w:noBreakHyphen/>
      </w:r>
      <w:r>
        <w:rPr>
          <w:rFonts w:ascii="Times New Roman" w:hAnsi="Times New Roman" w:eastAsia="宋体" w:cs="Times New Roman"/>
          <w:b/>
          <w:color w:val="000000"/>
          <w:kern w:val="2"/>
          <w:sz w:val="21"/>
          <w:szCs w:val="20"/>
          <w:lang w:val="en-US" w:eastAsia="zh-CN" w:bidi="ar-SA"/>
        </w:rPr>
        <w:fldChar w:fldCharType="begin"/>
      </w:r>
      <w:r>
        <w:rPr>
          <w:rFonts w:ascii="Times New Roman" w:hAnsi="Times New Roman" w:eastAsia="宋体" w:cs="Times New Roman"/>
          <w:b/>
          <w:color w:val="000000"/>
          <w:kern w:val="2"/>
          <w:sz w:val="21"/>
          <w:szCs w:val="20"/>
          <w:lang w:val="en-US" w:eastAsia="zh-CN" w:bidi="ar-SA"/>
        </w:rPr>
        <w:instrText xml:space="preserve"> SEQ 表 \* ARABIC \s 2 </w:instrText>
      </w:r>
      <w:r>
        <w:rPr>
          <w:rFonts w:ascii="Times New Roman" w:hAnsi="Times New Roman" w:eastAsia="宋体" w:cs="Times New Roman"/>
          <w:b/>
          <w:color w:val="000000"/>
          <w:kern w:val="2"/>
          <w:sz w:val="21"/>
          <w:szCs w:val="20"/>
          <w:lang w:val="en-US" w:eastAsia="zh-CN" w:bidi="ar-SA"/>
        </w:rPr>
        <w:fldChar w:fldCharType="separate"/>
      </w:r>
      <w:r>
        <w:rPr>
          <w:rFonts w:ascii="Times New Roman" w:hAnsi="Times New Roman" w:eastAsia="宋体" w:cs="Times New Roman"/>
          <w:b/>
          <w:color w:val="000000"/>
          <w:kern w:val="2"/>
          <w:sz w:val="21"/>
          <w:szCs w:val="20"/>
          <w:lang w:val="en-US" w:eastAsia="zh-CN" w:bidi="ar-SA"/>
        </w:rPr>
        <w:t>2</w:t>
      </w:r>
      <w:r>
        <w:rPr>
          <w:rFonts w:ascii="Times New Roman" w:hAnsi="Times New Roman" w:eastAsia="宋体" w:cs="Times New Roman"/>
          <w:b/>
          <w:color w:val="000000"/>
          <w:kern w:val="2"/>
          <w:sz w:val="21"/>
          <w:szCs w:val="20"/>
          <w:lang w:val="en-US" w:eastAsia="zh-CN" w:bidi="ar-SA"/>
        </w:rPr>
        <w:fldChar w:fldCharType="end"/>
      </w:r>
      <w:bookmarkEnd w:id="266"/>
      <w:r>
        <w:rPr>
          <w:rFonts w:ascii="Times New Roman" w:hAnsi="Times New Roman" w:eastAsia="宋体" w:cs="Times New Roman"/>
          <w:b/>
          <w:color w:val="000000"/>
          <w:kern w:val="2"/>
          <w:sz w:val="21"/>
          <w:szCs w:val="20"/>
          <w:lang w:val="en-US" w:eastAsia="zh-CN" w:bidi="ar-SA"/>
        </w:rPr>
        <w:t xml:space="preserve">  生态影响评价范围一览表</w:t>
      </w:r>
    </w:p>
    <w:tbl>
      <w:tblPr>
        <w:tblStyle w:val="22"/>
        <w:tblW w:w="5000" w:type="pct"/>
        <w:tblInd w:w="0" w:type="dxa"/>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454"/>
        <w:gridCol w:w="7266"/>
      </w:tblGrid>
      <w:tr w14:paraId="0107E15B">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c>
          <w:tcPr>
            <w:tcW w:w="834" w:type="pct"/>
            <w:vAlign w:val="center"/>
          </w:tcPr>
          <w:p w14:paraId="5F31C2C5">
            <w:pPr>
              <w:widowControl w:val="0"/>
              <w:spacing w:line="240" w:lineRule="auto"/>
              <w:ind w:firstLine="0" w:firstLineChars="0"/>
              <w:jc w:val="center"/>
              <w:rPr>
                <w:rFonts w:ascii="Times New Roman" w:hAnsi="Times New Roman" w:eastAsia="宋体" w:cs="Times New Roman"/>
                <w:b/>
                <w:bCs/>
                <w:color w:val="000000"/>
                <w:kern w:val="2"/>
                <w:sz w:val="21"/>
                <w:szCs w:val="22"/>
                <w:lang w:val="en-US" w:eastAsia="zh-CN" w:bidi="ar-SA"/>
              </w:rPr>
            </w:pPr>
            <w:r>
              <w:rPr>
                <w:rFonts w:ascii="Times New Roman" w:hAnsi="Times New Roman" w:eastAsia="宋体" w:cs="Times New Roman"/>
                <w:b/>
                <w:bCs/>
                <w:color w:val="000000"/>
                <w:kern w:val="2"/>
                <w:sz w:val="21"/>
                <w:szCs w:val="22"/>
                <w:lang w:val="en-US" w:eastAsia="zh-CN" w:bidi="ar-SA"/>
              </w:rPr>
              <w:t>环境要素</w:t>
            </w:r>
          </w:p>
        </w:tc>
        <w:tc>
          <w:tcPr>
            <w:tcW w:w="4166" w:type="pct"/>
            <w:vAlign w:val="center"/>
          </w:tcPr>
          <w:p w14:paraId="1309FBA7">
            <w:pPr>
              <w:widowControl w:val="0"/>
              <w:spacing w:line="240" w:lineRule="auto"/>
              <w:ind w:firstLine="0" w:firstLineChars="0"/>
              <w:jc w:val="center"/>
              <w:rPr>
                <w:rFonts w:ascii="Times New Roman" w:hAnsi="Times New Roman" w:eastAsia="宋体" w:cs="Times New Roman"/>
                <w:b/>
                <w:bCs/>
                <w:color w:val="000000"/>
                <w:kern w:val="2"/>
                <w:sz w:val="21"/>
                <w:szCs w:val="22"/>
                <w:lang w:val="en-US" w:eastAsia="zh-CN" w:bidi="ar-SA"/>
              </w:rPr>
            </w:pPr>
            <w:r>
              <w:rPr>
                <w:rFonts w:ascii="Times New Roman" w:hAnsi="Times New Roman" w:eastAsia="宋体" w:cs="Times New Roman"/>
                <w:b/>
                <w:bCs/>
                <w:color w:val="000000"/>
                <w:kern w:val="2"/>
                <w:sz w:val="21"/>
                <w:szCs w:val="22"/>
                <w:lang w:val="en-US" w:eastAsia="zh-CN" w:bidi="ar-SA"/>
              </w:rPr>
              <w:t>评  价  范  围</w:t>
            </w:r>
          </w:p>
        </w:tc>
      </w:tr>
      <w:tr w14:paraId="17F827BD">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631" w:hRule="atLeast"/>
        </w:trPr>
        <w:tc>
          <w:tcPr>
            <w:tcW w:w="834" w:type="pct"/>
            <w:vAlign w:val="center"/>
          </w:tcPr>
          <w:p w14:paraId="265D0F91">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生态</w:t>
            </w:r>
          </w:p>
        </w:tc>
        <w:tc>
          <w:tcPr>
            <w:tcW w:w="4166" w:type="pct"/>
            <w:vAlign w:val="center"/>
          </w:tcPr>
          <w:p w14:paraId="5B2AE74C">
            <w:pPr>
              <w:widowControl w:val="0"/>
              <w:spacing w:line="240" w:lineRule="auto"/>
              <w:ind w:firstLine="0" w:firstLineChars="0"/>
              <w:jc w:val="both"/>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由于拟建公路不涉及生态敏感区及重要生境，评价等级为三级，因此拟建公路该路段评价范围为公路两端外延300m、中心线两侧各300m以内的区域。</w:t>
            </w:r>
          </w:p>
        </w:tc>
      </w:tr>
    </w:tbl>
    <w:p w14:paraId="0B69821C">
      <w:pPr>
        <w:keepNext/>
        <w:keepLines/>
        <w:pageBreakBefore w:val="0"/>
        <w:widowControl w:val="0"/>
        <w:numPr>
          <w:ilvl w:val="1"/>
          <w:numId w:val="0"/>
        </w:numPr>
        <w:kinsoku/>
        <w:wordWrap/>
        <w:overflowPunct/>
        <w:topLinePunct w:val="0"/>
        <w:autoSpaceDE/>
        <w:autoSpaceDN/>
        <w:bidi w:val="0"/>
        <w:adjustRightInd/>
        <w:snapToGrid/>
        <w:spacing w:before="360" w:after="240" w:line="240" w:lineRule="auto"/>
        <w:ind w:leftChars="0" w:firstLine="200" w:firstLineChars="0"/>
        <w:jc w:val="both"/>
        <w:textAlignment w:val="auto"/>
        <w:outlineLvl w:val="1"/>
        <w:rPr>
          <w:rFonts w:ascii="Times New Roman" w:hAnsi="Times New Roman" w:eastAsia="宋体" w:cs="Times New Roman"/>
          <w:b/>
          <w:bCs/>
          <w:color w:val="000000"/>
          <w:kern w:val="2"/>
          <w:sz w:val="28"/>
          <w:szCs w:val="32"/>
          <w:lang w:val="en-US" w:eastAsia="zh-CN" w:bidi="ar-SA"/>
        </w:rPr>
      </w:pPr>
      <w:bookmarkStart w:id="267" w:name="_Toc10165"/>
      <w:bookmarkStart w:id="268" w:name="_Toc219363395"/>
      <w:r>
        <w:rPr>
          <w:rFonts w:hint="eastAsia" w:ascii="Times New Roman" w:hAnsi="Times New Roman" w:eastAsia="宋体" w:cs="Times New Roman"/>
          <w:b/>
          <w:bCs/>
          <w:color w:val="000000"/>
          <w:kern w:val="2"/>
          <w:sz w:val="28"/>
          <w:szCs w:val="32"/>
          <w:lang w:val="en-US" w:eastAsia="zh-CN" w:bidi="ar-SA"/>
        </w:rPr>
        <w:t xml:space="preserve">1.5 </w:t>
      </w:r>
      <w:r>
        <w:rPr>
          <w:rFonts w:ascii="Times New Roman" w:hAnsi="Times New Roman" w:eastAsia="宋体" w:cs="Times New Roman"/>
          <w:b/>
          <w:bCs/>
          <w:color w:val="000000"/>
          <w:kern w:val="2"/>
          <w:sz w:val="28"/>
          <w:szCs w:val="32"/>
          <w:lang w:val="en-US" w:eastAsia="zh-CN" w:bidi="ar-SA"/>
        </w:rPr>
        <w:t>环境影响因素识别及评价因子筛选</w:t>
      </w:r>
      <w:bookmarkEnd w:id="267"/>
      <w:bookmarkEnd w:id="268"/>
    </w:p>
    <w:p w14:paraId="69B131C7">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根据拟建公路的特点、沿线环境特征，对拟建公路的环境影响因素进行识别，各阶段环境影响因素识别情况见</w:t>
      </w:r>
      <w:r>
        <w:rPr>
          <w:rFonts w:ascii="Times New Roman" w:hAnsi="Times New Roman" w:eastAsia="宋体" w:cs="Times New Roman"/>
          <w:color w:val="000000"/>
          <w:sz w:val="24"/>
          <w:szCs w:val="22"/>
        </w:rPr>
        <w:fldChar w:fldCharType="begin"/>
      </w:r>
      <w:r>
        <w:rPr>
          <w:rFonts w:ascii="Times New Roman" w:hAnsi="Times New Roman" w:eastAsia="宋体" w:cs="Times New Roman"/>
          <w:color w:val="000000"/>
          <w:sz w:val="24"/>
          <w:szCs w:val="22"/>
        </w:rPr>
        <w:instrText xml:space="preserve"> REF _Ref220308877 \h  \* MERGEFORMAT </w:instrText>
      </w:r>
      <w:r>
        <w:rPr>
          <w:rFonts w:ascii="Times New Roman" w:hAnsi="Times New Roman" w:eastAsia="宋体" w:cs="Times New Roman"/>
          <w:color w:val="000000"/>
          <w:sz w:val="24"/>
          <w:szCs w:val="22"/>
        </w:rPr>
        <w:fldChar w:fldCharType="separate"/>
      </w:r>
      <w:r>
        <w:rPr>
          <w:rFonts w:ascii="Times New Roman" w:hAnsi="Times New Roman" w:eastAsia="宋体" w:cs="Times New Roman"/>
          <w:color w:val="000000"/>
          <w:sz w:val="24"/>
          <w:szCs w:val="22"/>
        </w:rPr>
        <w:t>表 1.</w:t>
      </w:r>
      <w:r>
        <w:rPr>
          <w:rFonts w:hint="eastAsia" w:ascii="Times New Roman" w:hAnsi="Times New Roman" w:eastAsia="宋体" w:cs="Times New Roman"/>
          <w:color w:val="000000"/>
          <w:sz w:val="24"/>
          <w:szCs w:val="22"/>
          <w:lang w:val="en-US" w:eastAsia="zh-CN"/>
        </w:rPr>
        <w:t>5</w:t>
      </w:r>
      <w:r>
        <w:rPr>
          <w:rFonts w:ascii="Times New Roman" w:hAnsi="Times New Roman" w:eastAsia="宋体" w:cs="Times New Roman"/>
          <w:color w:val="000000"/>
          <w:sz w:val="24"/>
          <w:szCs w:val="22"/>
        </w:rPr>
        <w:noBreakHyphen/>
      </w:r>
      <w:r>
        <w:rPr>
          <w:rFonts w:ascii="Times New Roman" w:hAnsi="Times New Roman" w:eastAsia="宋体" w:cs="Times New Roman"/>
          <w:color w:val="000000"/>
          <w:sz w:val="24"/>
          <w:szCs w:val="22"/>
        </w:rPr>
        <w:t>1</w:t>
      </w:r>
      <w:r>
        <w:rPr>
          <w:rFonts w:ascii="Times New Roman" w:hAnsi="Times New Roman" w:eastAsia="宋体" w:cs="Times New Roman"/>
          <w:color w:val="000000"/>
          <w:sz w:val="24"/>
          <w:szCs w:val="22"/>
        </w:rPr>
        <w:fldChar w:fldCharType="end"/>
      </w:r>
      <w:r>
        <w:rPr>
          <w:rFonts w:ascii="Times New Roman" w:hAnsi="Times New Roman" w:eastAsia="宋体" w:cs="Times New Roman"/>
          <w:color w:val="000000"/>
          <w:sz w:val="24"/>
          <w:szCs w:val="22"/>
        </w:rPr>
        <w:t>。</w:t>
      </w:r>
    </w:p>
    <w:p w14:paraId="5144C386">
      <w:pPr>
        <w:spacing w:line="300" w:lineRule="auto"/>
        <w:ind w:firstLine="480" w:firstLineChars="200"/>
        <w:rPr>
          <w:rFonts w:ascii="Times New Roman" w:hAnsi="Times New Roman" w:eastAsia="宋体" w:cs="Times New Roman"/>
          <w:color w:val="000000"/>
          <w:sz w:val="24"/>
          <w:szCs w:val="22"/>
        </w:rPr>
      </w:pPr>
    </w:p>
    <w:p w14:paraId="3F3A0172">
      <w:pPr>
        <w:spacing w:line="300" w:lineRule="auto"/>
        <w:ind w:firstLine="480" w:firstLineChars="200"/>
        <w:rPr>
          <w:rFonts w:ascii="Times New Roman" w:hAnsi="Times New Roman" w:eastAsia="宋体" w:cs="Times New Roman"/>
          <w:color w:val="000000"/>
          <w:sz w:val="24"/>
          <w:szCs w:val="22"/>
        </w:rPr>
      </w:pPr>
    </w:p>
    <w:p w14:paraId="49492982">
      <w:pPr>
        <w:spacing w:line="300" w:lineRule="auto"/>
        <w:ind w:firstLine="480" w:firstLineChars="200"/>
        <w:rPr>
          <w:rFonts w:ascii="Times New Roman" w:hAnsi="Times New Roman" w:eastAsia="宋体" w:cs="Times New Roman"/>
          <w:color w:val="000000"/>
          <w:sz w:val="24"/>
          <w:szCs w:val="22"/>
        </w:rPr>
      </w:pPr>
    </w:p>
    <w:p w14:paraId="621C9B27">
      <w:pPr>
        <w:spacing w:line="300" w:lineRule="auto"/>
        <w:ind w:firstLine="480" w:firstLineChars="200"/>
        <w:rPr>
          <w:rFonts w:ascii="Times New Roman" w:hAnsi="Times New Roman" w:eastAsia="宋体" w:cs="Times New Roman"/>
          <w:color w:val="000000"/>
          <w:sz w:val="24"/>
          <w:szCs w:val="22"/>
        </w:rPr>
      </w:pPr>
    </w:p>
    <w:p w14:paraId="4F15667E">
      <w:pPr>
        <w:spacing w:line="300" w:lineRule="auto"/>
        <w:ind w:firstLine="480" w:firstLineChars="200"/>
        <w:rPr>
          <w:rFonts w:ascii="Times New Roman" w:hAnsi="Times New Roman" w:eastAsia="宋体" w:cs="Times New Roman"/>
          <w:color w:val="000000"/>
          <w:sz w:val="24"/>
          <w:szCs w:val="22"/>
        </w:rPr>
      </w:pPr>
    </w:p>
    <w:p w14:paraId="098CCDFA">
      <w:pPr>
        <w:spacing w:line="300" w:lineRule="auto"/>
        <w:ind w:firstLine="480" w:firstLineChars="200"/>
        <w:rPr>
          <w:rFonts w:ascii="Times New Roman" w:hAnsi="Times New Roman" w:eastAsia="宋体" w:cs="Times New Roman"/>
          <w:color w:val="000000"/>
          <w:sz w:val="24"/>
          <w:szCs w:val="22"/>
        </w:rPr>
      </w:pPr>
    </w:p>
    <w:p w14:paraId="397E8F6E">
      <w:pPr>
        <w:keepNext/>
        <w:widowControl w:val="0"/>
        <w:spacing w:line="240" w:lineRule="auto"/>
        <w:ind w:firstLine="0" w:firstLineChars="0"/>
        <w:jc w:val="center"/>
        <w:rPr>
          <w:rFonts w:ascii="Times New Roman" w:hAnsi="Times New Roman" w:eastAsia="宋体" w:cs="Times New Roman"/>
          <w:b/>
          <w:color w:val="000000"/>
          <w:kern w:val="2"/>
          <w:sz w:val="21"/>
          <w:szCs w:val="20"/>
          <w:lang w:val="en-US" w:eastAsia="zh-CN" w:bidi="ar-SA"/>
        </w:rPr>
      </w:pPr>
      <w:bookmarkStart w:id="269" w:name="_Ref220308877"/>
      <w:r>
        <w:rPr>
          <w:rFonts w:ascii="Times New Roman" w:hAnsi="Times New Roman" w:eastAsia="宋体" w:cs="Times New Roman"/>
          <w:b/>
          <w:color w:val="000000"/>
          <w:kern w:val="2"/>
          <w:sz w:val="21"/>
          <w:szCs w:val="20"/>
          <w:lang w:val="en-US" w:eastAsia="zh-CN" w:bidi="ar-SA"/>
        </w:rPr>
        <w:t xml:space="preserve">表 </w:t>
      </w:r>
      <w:r>
        <w:rPr>
          <w:rFonts w:ascii="Times New Roman" w:hAnsi="Times New Roman" w:eastAsia="宋体" w:cs="Times New Roman"/>
          <w:b/>
          <w:color w:val="000000"/>
          <w:kern w:val="2"/>
          <w:sz w:val="21"/>
          <w:szCs w:val="20"/>
          <w:lang w:val="en-US" w:eastAsia="zh-CN" w:bidi="ar-SA"/>
        </w:rPr>
        <w:fldChar w:fldCharType="begin"/>
      </w:r>
      <w:r>
        <w:rPr>
          <w:rFonts w:ascii="Times New Roman" w:hAnsi="Times New Roman" w:eastAsia="宋体" w:cs="Times New Roman"/>
          <w:b/>
          <w:color w:val="000000"/>
          <w:kern w:val="2"/>
          <w:sz w:val="21"/>
          <w:szCs w:val="20"/>
          <w:lang w:val="en-US" w:eastAsia="zh-CN" w:bidi="ar-SA"/>
        </w:rPr>
        <w:instrText xml:space="preserve"> STYLEREF 2 \s </w:instrText>
      </w:r>
      <w:r>
        <w:rPr>
          <w:rFonts w:ascii="Times New Roman" w:hAnsi="Times New Roman" w:eastAsia="宋体" w:cs="Times New Roman"/>
          <w:b/>
          <w:color w:val="000000"/>
          <w:kern w:val="2"/>
          <w:sz w:val="21"/>
          <w:szCs w:val="20"/>
          <w:lang w:val="en-US" w:eastAsia="zh-CN" w:bidi="ar-SA"/>
        </w:rPr>
        <w:fldChar w:fldCharType="separate"/>
      </w:r>
      <w:r>
        <w:rPr>
          <w:rFonts w:ascii="Times New Roman" w:hAnsi="Times New Roman" w:eastAsia="宋体" w:cs="Times New Roman"/>
          <w:b/>
          <w:color w:val="000000"/>
          <w:kern w:val="2"/>
          <w:sz w:val="21"/>
          <w:szCs w:val="20"/>
          <w:lang w:val="en-US" w:eastAsia="zh-CN" w:bidi="ar-SA"/>
        </w:rPr>
        <w:t>1.</w:t>
      </w:r>
      <w:r>
        <w:rPr>
          <w:rFonts w:hint="eastAsia" w:ascii="Times New Roman" w:hAnsi="Times New Roman" w:eastAsia="宋体" w:cs="Times New Roman"/>
          <w:b/>
          <w:color w:val="000000"/>
          <w:kern w:val="2"/>
          <w:sz w:val="21"/>
          <w:szCs w:val="20"/>
          <w:lang w:val="en-US" w:eastAsia="zh-CN" w:bidi="ar-SA"/>
        </w:rPr>
        <w:t>5</w:t>
      </w:r>
      <w:r>
        <w:rPr>
          <w:rFonts w:ascii="Times New Roman" w:hAnsi="Times New Roman" w:eastAsia="宋体" w:cs="Times New Roman"/>
          <w:b/>
          <w:color w:val="000000"/>
          <w:kern w:val="2"/>
          <w:sz w:val="21"/>
          <w:szCs w:val="20"/>
          <w:lang w:val="en-US" w:eastAsia="zh-CN" w:bidi="ar-SA"/>
        </w:rPr>
        <w:fldChar w:fldCharType="end"/>
      </w:r>
      <w:r>
        <w:rPr>
          <w:rFonts w:ascii="Times New Roman" w:hAnsi="Times New Roman" w:eastAsia="宋体" w:cs="Times New Roman"/>
          <w:b/>
          <w:color w:val="000000"/>
          <w:kern w:val="2"/>
          <w:sz w:val="21"/>
          <w:szCs w:val="20"/>
          <w:lang w:val="en-US" w:eastAsia="zh-CN" w:bidi="ar-SA"/>
        </w:rPr>
        <w:noBreakHyphen/>
      </w:r>
      <w:r>
        <w:rPr>
          <w:rFonts w:ascii="Times New Roman" w:hAnsi="Times New Roman" w:eastAsia="宋体" w:cs="Times New Roman"/>
          <w:b/>
          <w:color w:val="000000"/>
          <w:kern w:val="2"/>
          <w:sz w:val="21"/>
          <w:szCs w:val="20"/>
          <w:lang w:val="en-US" w:eastAsia="zh-CN" w:bidi="ar-SA"/>
        </w:rPr>
        <w:fldChar w:fldCharType="begin"/>
      </w:r>
      <w:r>
        <w:rPr>
          <w:rFonts w:ascii="Times New Roman" w:hAnsi="Times New Roman" w:eastAsia="宋体" w:cs="Times New Roman"/>
          <w:b/>
          <w:color w:val="000000"/>
          <w:kern w:val="2"/>
          <w:sz w:val="21"/>
          <w:szCs w:val="20"/>
          <w:lang w:val="en-US" w:eastAsia="zh-CN" w:bidi="ar-SA"/>
        </w:rPr>
        <w:instrText xml:space="preserve"> SEQ 表 \* ARABIC \s 2 </w:instrText>
      </w:r>
      <w:r>
        <w:rPr>
          <w:rFonts w:ascii="Times New Roman" w:hAnsi="Times New Roman" w:eastAsia="宋体" w:cs="Times New Roman"/>
          <w:b/>
          <w:color w:val="000000"/>
          <w:kern w:val="2"/>
          <w:sz w:val="21"/>
          <w:szCs w:val="20"/>
          <w:lang w:val="en-US" w:eastAsia="zh-CN" w:bidi="ar-SA"/>
        </w:rPr>
        <w:fldChar w:fldCharType="separate"/>
      </w:r>
      <w:r>
        <w:rPr>
          <w:rFonts w:ascii="Times New Roman" w:hAnsi="Times New Roman" w:eastAsia="宋体" w:cs="Times New Roman"/>
          <w:b/>
          <w:color w:val="000000"/>
          <w:kern w:val="2"/>
          <w:sz w:val="21"/>
          <w:szCs w:val="20"/>
          <w:lang w:val="en-US" w:eastAsia="zh-CN" w:bidi="ar-SA"/>
        </w:rPr>
        <w:t>1</w:t>
      </w:r>
      <w:r>
        <w:rPr>
          <w:rFonts w:ascii="Times New Roman" w:hAnsi="Times New Roman" w:eastAsia="宋体" w:cs="Times New Roman"/>
          <w:b/>
          <w:color w:val="000000"/>
          <w:kern w:val="2"/>
          <w:sz w:val="21"/>
          <w:szCs w:val="20"/>
          <w:lang w:val="en-US" w:eastAsia="zh-CN" w:bidi="ar-SA"/>
        </w:rPr>
        <w:fldChar w:fldCharType="end"/>
      </w:r>
      <w:bookmarkEnd w:id="269"/>
      <w:r>
        <w:rPr>
          <w:rFonts w:ascii="Times New Roman" w:hAnsi="Times New Roman" w:eastAsia="宋体" w:cs="Times New Roman"/>
          <w:b/>
          <w:color w:val="000000"/>
          <w:kern w:val="2"/>
          <w:sz w:val="21"/>
          <w:szCs w:val="20"/>
          <w:lang w:val="en-US" w:eastAsia="zh-CN" w:bidi="ar-SA"/>
        </w:rPr>
        <w:t xml:space="preserve">  拟建</w:t>
      </w:r>
      <w:r>
        <w:rPr>
          <w:rFonts w:hint="eastAsia" w:ascii="Times New Roman" w:hAnsi="Times New Roman" w:eastAsia="宋体" w:cs="Times New Roman"/>
          <w:b/>
          <w:color w:val="000000"/>
          <w:kern w:val="2"/>
          <w:sz w:val="21"/>
          <w:szCs w:val="20"/>
          <w:lang w:val="en-US" w:eastAsia="zh-CN" w:bidi="ar-SA"/>
        </w:rPr>
        <w:t>公路</w:t>
      </w:r>
      <w:r>
        <w:rPr>
          <w:rFonts w:ascii="Times New Roman" w:hAnsi="Times New Roman" w:eastAsia="宋体" w:cs="Times New Roman"/>
          <w:b/>
          <w:color w:val="000000"/>
          <w:kern w:val="2"/>
          <w:sz w:val="21"/>
          <w:szCs w:val="20"/>
          <w:lang w:val="en-US" w:eastAsia="zh-CN" w:bidi="ar-SA"/>
        </w:rPr>
        <w:t>环境影响要素识别矩阵</w:t>
      </w:r>
    </w:p>
    <w:tbl>
      <w:tblPr>
        <w:tblStyle w:val="22"/>
        <w:tblW w:w="0" w:type="auto"/>
        <w:jc w:val="center"/>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fixed"/>
        <w:tblCellMar>
          <w:top w:w="0" w:type="dxa"/>
          <w:left w:w="0" w:type="dxa"/>
          <w:bottom w:w="0" w:type="dxa"/>
          <w:right w:w="0" w:type="dxa"/>
        </w:tblCellMar>
      </w:tblPr>
      <w:tblGrid>
        <w:gridCol w:w="517"/>
        <w:gridCol w:w="1083"/>
        <w:gridCol w:w="480"/>
        <w:gridCol w:w="485"/>
        <w:gridCol w:w="471"/>
        <w:gridCol w:w="486"/>
        <w:gridCol w:w="473"/>
        <w:gridCol w:w="471"/>
        <w:gridCol w:w="471"/>
        <w:gridCol w:w="471"/>
        <w:gridCol w:w="527"/>
        <w:gridCol w:w="458"/>
        <w:gridCol w:w="567"/>
        <w:gridCol w:w="518"/>
        <w:gridCol w:w="458"/>
        <w:gridCol w:w="508"/>
      </w:tblGrid>
      <w:tr w14:paraId="7BAAF70B">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0" w:type="dxa"/>
            <w:bottom w:w="0" w:type="dxa"/>
            <w:right w:w="0" w:type="dxa"/>
          </w:tblCellMar>
        </w:tblPrEx>
        <w:trPr>
          <w:trHeight w:val="127" w:hRule="atLeast"/>
          <w:jc w:val="center"/>
        </w:trPr>
        <w:tc>
          <w:tcPr>
            <w:tcW w:w="1600" w:type="dxa"/>
            <w:gridSpan w:val="2"/>
            <w:vMerge w:val="restart"/>
            <w:tcBorders>
              <w:tl2br w:val="thinThickSmallGap" w:color="auto" w:sz="12" w:space="0"/>
            </w:tcBorders>
            <w:tcMar>
              <w:top w:w="15" w:type="dxa"/>
              <w:left w:w="27" w:type="dxa"/>
              <w:bottom w:w="0" w:type="dxa"/>
              <w:right w:w="27" w:type="dxa"/>
            </w:tcMar>
            <w:vAlign w:val="center"/>
          </w:tcPr>
          <w:p w14:paraId="2FAE0DC0">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 xml:space="preserve">    施工行为或    </w:t>
            </w:r>
          </w:p>
          <w:p w14:paraId="43525AE9">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 xml:space="preserve">      工程内容</w:t>
            </w:r>
          </w:p>
          <w:p w14:paraId="49768685">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p>
          <w:p w14:paraId="6313690B">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环境要素</w:t>
            </w:r>
          </w:p>
        </w:tc>
        <w:tc>
          <w:tcPr>
            <w:tcW w:w="4335" w:type="dxa"/>
            <w:gridSpan w:val="9"/>
            <w:tcMar>
              <w:top w:w="15" w:type="dxa"/>
              <w:left w:w="27" w:type="dxa"/>
              <w:bottom w:w="0" w:type="dxa"/>
              <w:right w:w="27" w:type="dxa"/>
            </w:tcMar>
            <w:vAlign w:val="center"/>
          </w:tcPr>
          <w:p w14:paraId="7AB1A4D5">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施工期</w:t>
            </w:r>
          </w:p>
        </w:tc>
        <w:tc>
          <w:tcPr>
            <w:tcW w:w="2509" w:type="dxa"/>
            <w:gridSpan w:val="5"/>
            <w:tcMar>
              <w:top w:w="15" w:type="dxa"/>
              <w:left w:w="27" w:type="dxa"/>
              <w:bottom w:w="0" w:type="dxa"/>
              <w:right w:w="27" w:type="dxa"/>
            </w:tcMar>
            <w:vAlign w:val="center"/>
          </w:tcPr>
          <w:p w14:paraId="0C0D776B">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运营期</w:t>
            </w:r>
          </w:p>
        </w:tc>
      </w:tr>
      <w:tr w14:paraId="27FD4B81">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0" w:type="dxa"/>
            <w:bottom w:w="0" w:type="dxa"/>
            <w:right w:w="0" w:type="dxa"/>
          </w:tblCellMar>
        </w:tblPrEx>
        <w:trPr>
          <w:trHeight w:val="806" w:hRule="atLeast"/>
          <w:jc w:val="center"/>
        </w:trPr>
        <w:tc>
          <w:tcPr>
            <w:tcW w:w="1600" w:type="dxa"/>
            <w:gridSpan w:val="2"/>
            <w:vMerge w:val="continue"/>
            <w:vAlign w:val="center"/>
          </w:tcPr>
          <w:p w14:paraId="68D46385">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p>
        </w:tc>
        <w:tc>
          <w:tcPr>
            <w:tcW w:w="480" w:type="dxa"/>
            <w:tcMar>
              <w:top w:w="15" w:type="dxa"/>
              <w:left w:w="27" w:type="dxa"/>
              <w:bottom w:w="0" w:type="dxa"/>
              <w:right w:w="27" w:type="dxa"/>
            </w:tcMar>
            <w:vAlign w:val="center"/>
          </w:tcPr>
          <w:p w14:paraId="36FACF57">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占地</w:t>
            </w:r>
          </w:p>
        </w:tc>
        <w:tc>
          <w:tcPr>
            <w:tcW w:w="485" w:type="dxa"/>
            <w:tcMar>
              <w:top w:w="15" w:type="dxa"/>
              <w:left w:w="27" w:type="dxa"/>
              <w:bottom w:w="0" w:type="dxa"/>
              <w:right w:w="27" w:type="dxa"/>
            </w:tcMar>
            <w:vAlign w:val="center"/>
          </w:tcPr>
          <w:p w14:paraId="4EF11745">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拆迁安置</w:t>
            </w:r>
          </w:p>
        </w:tc>
        <w:tc>
          <w:tcPr>
            <w:tcW w:w="471" w:type="dxa"/>
            <w:tcMar>
              <w:top w:w="15" w:type="dxa"/>
              <w:left w:w="27" w:type="dxa"/>
              <w:bottom w:w="0" w:type="dxa"/>
              <w:right w:w="27" w:type="dxa"/>
            </w:tcMar>
            <w:vAlign w:val="center"/>
          </w:tcPr>
          <w:p w14:paraId="121683AB">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土石</w:t>
            </w:r>
          </w:p>
          <w:p w14:paraId="04C5E32F">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方</w:t>
            </w:r>
          </w:p>
        </w:tc>
        <w:tc>
          <w:tcPr>
            <w:tcW w:w="486" w:type="dxa"/>
            <w:tcBorders>
              <w:right w:val="single" w:color="auto" w:sz="4" w:space="0"/>
            </w:tcBorders>
            <w:tcMar>
              <w:top w:w="15" w:type="dxa"/>
              <w:left w:w="27" w:type="dxa"/>
              <w:bottom w:w="0" w:type="dxa"/>
              <w:right w:w="27" w:type="dxa"/>
            </w:tcMar>
            <w:vAlign w:val="center"/>
          </w:tcPr>
          <w:p w14:paraId="36A92E0F">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路基</w:t>
            </w:r>
          </w:p>
          <w:p w14:paraId="1358C0D5">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路面</w:t>
            </w:r>
          </w:p>
        </w:tc>
        <w:tc>
          <w:tcPr>
            <w:tcW w:w="473" w:type="dxa"/>
            <w:tcBorders>
              <w:left w:val="single" w:color="auto" w:sz="4" w:space="0"/>
              <w:right w:val="single" w:color="auto" w:sz="4" w:space="0"/>
            </w:tcBorders>
            <w:tcMar>
              <w:top w:w="15" w:type="dxa"/>
              <w:left w:w="27" w:type="dxa"/>
              <w:bottom w:w="0" w:type="dxa"/>
              <w:right w:w="27" w:type="dxa"/>
            </w:tcMar>
            <w:vAlign w:val="center"/>
          </w:tcPr>
          <w:p w14:paraId="4EEA5484">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房建</w:t>
            </w:r>
          </w:p>
          <w:p w14:paraId="0EB91B15">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工程</w:t>
            </w:r>
          </w:p>
        </w:tc>
        <w:tc>
          <w:tcPr>
            <w:tcW w:w="471" w:type="dxa"/>
            <w:tcBorders>
              <w:left w:val="single" w:color="auto" w:sz="4" w:space="0"/>
            </w:tcBorders>
            <w:tcMar>
              <w:top w:w="15" w:type="dxa"/>
              <w:left w:w="27" w:type="dxa"/>
              <w:bottom w:w="0" w:type="dxa"/>
              <w:right w:w="27" w:type="dxa"/>
            </w:tcMar>
            <w:vAlign w:val="center"/>
          </w:tcPr>
          <w:p w14:paraId="6E50A0E9">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桥涵</w:t>
            </w:r>
          </w:p>
          <w:p w14:paraId="2639F1E6">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工程</w:t>
            </w:r>
          </w:p>
        </w:tc>
        <w:tc>
          <w:tcPr>
            <w:tcW w:w="471" w:type="dxa"/>
            <w:tcMar>
              <w:top w:w="15" w:type="dxa"/>
              <w:left w:w="27" w:type="dxa"/>
              <w:bottom w:w="0" w:type="dxa"/>
              <w:right w:w="27" w:type="dxa"/>
            </w:tcMar>
            <w:vAlign w:val="center"/>
          </w:tcPr>
          <w:p w14:paraId="1801C3B9">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材料</w:t>
            </w:r>
          </w:p>
          <w:p w14:paraId="16BE4868">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运输</w:t>
            </w:r>
          </w:p>
        </w:tc>
        <w:tc>
          <w:tcPr>
            <w:tcW w:w="471" w:type="dxa"/>
            <w:tcMar>
              <w:top w:w="15" w:type="dxa"/>
              <w:left w:w="27" w:type="dxa"/>
              <w:bottom w:w="0" w:type="dxa"/>
              <w:right w:w="27" w:type="dxa"/>
            </w:tcMar>
            <w:vAlign w:val="center"/>
          </w:tcPr>
          <w:p w14:paraId="1CEC7A1A">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机械</w:t>
            </w:r>
          </w:p>
          <w:p w14:paraId="3714F364">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作业</w:t>
            </w:r>
          </w:p>
        </w:tc>
        <w:tc>
          <w:tcPr>
            <w:tcW w:w="527" w:type="dxa"/>
            <w:tcMar>
              <w:top w:w="15" w:type="dxa"/>
              <w:left w:w="27" w:type="dxa"/>
              <w:bottom w:w="0" w:type="dxa"/>
              <w:right w:w="27" w:type="dxa"/>
            </w:tcMar>
            <w:vAlign w:val="center"/>
          </w:tcPr>
          <w:p w14:paraId="39CA02CB">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施工</w:t>
            </w:r>
          </w:p>
          <w:p w14:paraId="15D9F9D2">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场地</w:t>
            </w:r>
          </w:p>
        </w:tc>
        <w:tc>
          <w:tcPr>
            <w:tcW w:w="458" w:type="dxa"/>
            <w:tcMar>
              <w:top w:w="15" w:type="dxa"/>
              <w:left w:w="27" w:type="dxa"/>
              <w:bottom w:w="0" w:type="dxa"/>
              <w:right w:w="27" w:type="dxa"/>
            </w:tcMar>
            <w:vAlign w:val="center"/>
          </w:tcPr>
          <w:p w14:paraId="6651991F">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环保工程</w:t>
            </w:r>
          </w:p>
        </w:tc>
        <w:tc>
          <w:tcPr>
            <w:tcW w:w="567" w:type="dxa"/>
            <w:tcMar>
              <w:top w:w="15" w:type="dxa"/>
              <w:left w:w="27" w:type="dxa"/>
              <w:bottom w:w="0" w:type="dxa"/>
              <w:right w:w="27" w:type="dxa"/>
            </w:tcMar>
            <w:vAlign w:val="center"/>
          </w:tcPr>
          <w:p w14:paraId="636C1E10">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运输</w:t>
            </w:r>
          </w:p>
          <w:p w14:paraId="45CA49EB">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行驶</w:t>
            </w:r>
          </w:p>
        </w:tc>
        <w:tc>
          <w:tcPr>
            <w:tcW w:w="518" w:type="dxa"/>
            <w:tcMar>
              <w:top w:w="15" w:type="dxa"/>
              <w:left w:w="27" w:type="dxa"/>
              <w:bottom w:w="0" w:type="dxa"/>
              <w:right w:w="27" w:type="dxa"/>
            </w:tcMar>
            <w:vAlign w:val="center"/>
          </w:tcPr>
          <w:p w14:paraId="7C828ABE">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养护</w:t>
            </w:r>
          </w:p>
        </w:tc>
        <w:tc>
          <w:tcPr>
            <w:tcW w:w="458" w:type="dxa"/>
            <w:tcMar>
              <w:top w:w="15" w:type="dxa"/>
              <w:left w:w="27" w:type="dxa"/>
              <w:bottom w:w="0" w:type="dxa"/>
              <w:right w:w="27" w:type="dxa"/>
            </w:tcMar>
            <w:vAlign w:val="center"/>
          </w:tcPr>
          <w:p w14:paraId="37119B14">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服务设施</w:t>
            </w:r>
          </w:p>
        </w:tc>
        <w:tc>
          <w:tcPr>
            <w:tcW w:w="508" w:type="dxa"/>
            <w:vAlign w:val="center"/>
          </w:tcPr>
          <w:p w14:paraId="39771214">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桥涵边沟</w:t>
            </w:r>
          </w:p>
        </w:tc>
      </w:tr>
      <w:tr w14:paraId="43BD3FB9">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0" w:type="dxa"/>
            <w:bottom w:w="0" w:type="dxa"/>
            <w:right w:w="0" w:type="dxa"/>
          </w:tblCellMar>
        </w:tblPrEx>
        <w:trPr>
          <w:trHeight w:val="401" w:hRule="atLeast"/>
          <w:jc w:val="center"/>
        </w:trPr>
        <w:tc>
          <w:tcPr>
            <w:tcW w:w="517" w:type="dxa"/>
            <w:vMerge w:val="restart"/>
            <w:tcMar>
              <w:top w:w="15" w:type="dxa"/>
              <w:left w:w="27" w:type="dxa"/>
              <w:bottom w:w="0" w:type="dxa"/>
              <w:right w:w="27" w:type="dxa"/>
            </w:tcMar>
            <w:vAlign w:val="center"/>
          </w:tcPr>
          <w:p w14:paraId="3B465D38">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生态</w:t>
            </w:r>
          </w:p>
        </w:tc>
        <w:tc>
          <w:tcPr>
            <w:tcW w:w="1083" w:type="dxa"/>
            <w:tcMar>
              <w:top w:w="15" w:type="dxa"/>
              <w:left w:w="27" w:type="dxa"/>
              <w:bottom w:w="0" w:type="dxa"/>
              <w:right w:w="27" w:type="dxa"/>
            </w:tcMar>
            <w:vAlign w:val="center"/>
          </w:tcPr>
          <w:p w14:paraId="15730084">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陆地植被</w:t>
            </w:r>
          </w:p>
        </w:tc>
        <w:tc>
          <w:tcPr>
            <w:tcW w:w="480" w:type="dxa"/>
            <w:tcMar>
              <w:top w:w="15" w:type="dxa"/>
              <w:left w:w="27" w:type="dxa"/>
              <w:bottom w:w="0" w:type="dxa"/>
              <w:right w:w="27" w:type="dxa"/>
            </w:tcMar>
            <w:vAlign w:val="center"/>
          </w:tcPr>
          <w:p w14:paraId="77E79341">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sym w:font="Wingdings" w:char="F06E"/>
            </w:r>
          </w:p>
        </w:tc>
        <w:tc>
          <w:tcPr>
            <w:tcW w:w="485" w:type="dxa"/>
            <w:tcMar>
              <w:top w:w="15" w:type="dxa"/>
              <w:left w:w="27" w:type="dxa"/>
              <w:bottom w:w="0" w:type="dxa"/>
              <w:right w:w="27" w:type="dxa"/>
            </w:tcMar>
            <w:vAlign w:val="center"/>
          </w:tcPr>
          <w:p w14:paraId="0A091383">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p>
        </w:tc>
        <w:tc>
          <w:tcPr>
            <w:tcW w:w="471" w:type="dxa"/>
            <w:tcMar>
              <w:top w:w="15" w:type="dxa"/>
              <w:left w:w="27" w:type="dxa"/>
              <w:bottom w:w="0" w:type="dxa"/>
              <w:right w:w="27" w:type="dxa"/>
            </w:tcMar>
            <w:vAlign w:val="center"/>
          </w:tcPr>
          <w:p w14:paraId="193E3579">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sym w:font="Wingdings" w:char="F06C"/>
            </w:r>
          </w:p>
        </w:tc>
        <w:tc>
          <w:tcPr>
            <w:tcW w:w="486" w:type="dxa"/>
            <w:tcBorders>
              <w:right w:val="single" w:color="auto" w:sz="4" w:space="0"/>
            </w:tcBorders>
            <w:tcMar>
              <w:top w:w="15" w:type="dxa"/>
              <w:left w:w="27" w:type="dxa"/>
              <w:bottom w:w="0" w:type="dxa"/>
              <w:right w:w="27" w:type="dxa"/>
            </w:tcMar>
            <w:vAlign w:val="center"/>
          </w:tcPr>
          <w:p w14:paraId="0296353B">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sym w:font="Wingdings" w:char="F06C"/>
            </w:r>
          </w:p>
        </w:tc>
        <w:tc>
          <w:tcPr>
            <w:tcW w:w="473" w:type="dxa"/>
            <w:tcBorders>
              <w:left w:val="single" w:color="auto" w:sz="4" w:space="0"/>
              <w:right w:val="single" w:color="auto" w:sz="4" w:space="0"/>
            </w:tcBorders>
            <w:tcMar>
              <w:top w:w="15" w:type="dxa"/>
              <w:left w:w="27" w:type="dxa"/>
              <w:bottom w:w="0" w:type="dxa"/>
              <w:right w:w="27" w:type="dxa"/>
            </w:tcMar>
            <w:vAlign w:val="center"/>
          </w:tcPr>
          <w:p w14:paraId="5784DCD8">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sym w:font="Wingdings" w:char="F06C"/>
            </w:r>
          </w:p>
        </w:tc>
        <w:tc>
          <w:tcPr>
            <w:tcW w:w="471" w:type="dxa"/>
            <w:tcBorders>
              <w:left w:val="single" w:color="auto" w:sz="4" w:space="0"/>
            </w:tcBorders>
            <w:tcMar>
              <w:top w:w="15" w:type="dxa"/>
              <w:left w:w="27" w:type="dxa"/>
              <w:bottom w:w="0" w:type="dxa"/>
              <w:right w:w="27" w:type="dxa"/>
            </w:tcMar>
            <w:vAlign w:val="center"/>
          </w:tcPr>
          <w:p w14:paraId="1F191E18">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sym w:font="Wingdings" w:char="F06C"/>
            </w:r>
          </w:p>
        </w:tc>
        <w:tc>
          <w:tcPr>
            <w:tcW w:w="471" w:type="dxa"/>
            <w:tcMar>
              <w:top w:w="15" w:type="dxa"/>
              <w:left w:w="27" w:type="dxa"/>
              <w:bottom w:w="0" w:type="dxa"/>
              <w:right w:w="27" w:type="dxa"/>
            </w:tcMar>
            <w:vAlign w:val="center"/>
          </w:tcPr>
          <w:p w14:paraId="21A43E1C">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sym w:font="Wingdings" w:char="F06C"/>
            </w:r>
          </w:p>
        </w:tc>
        <w:tc>
          <w:tcPr>
            <w:tcW w:w="471" w:type="dxa"/>
            <w:tcMar>
              <w:top w:w="15" w:type="dxa"/>
              <w:left w:w="27" w:type="dxa"/>
              <w:bottom w:w="0" w:type="dxa"/>
              <w:right w:w="27" w:type="dxa"/>
            </w:tcMar>
            <w:vAlign w:val="center"/>
          </w:tcPr>
          <w:p w14:paraId="34EF8546">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p>
        </w:tc>
        <w:tc>
          <w:tcPr>
            <w:tcW w:w="527" w:type="dxa"/>
            <w:tcMar>
              <w:top w:w="15" w:type="dxa"/>
              <w:left w:w="27" w:type="dxa"/>
              <w:bottom w:w="0" w:type="dxa"/>
              <w:right w:w="27" w:type="dxa"/>
            </w:tcMar>
            <w:vAlign w:val="center"/>
          </w:tcPr>
          <w:p w14:paraId="63D8A4BF">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sym w:font="Wingdings" w:char="F06C"/>
            </w:r>
          </w:p>
        </w:tc>
        <w:tc>
          <w:tcPr>
            <w:tcW w:w="458" w:type="dxa"/>
            <w:tcMar>
              <w:top w:w="15" w:type="dxa"/>
              <w:left w:w="27" w:type="dxa"/>
              <w:bottom w:w="0" w:type="dxa"/>
              <w:right w:w="27" w:type="dxa"/>
            </w:tcMar>
            <w:vAlign w:val="center"/>
          </w:tcPr>
          <w:p w14:paraId="093516D2">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w:t>
            </w:r>
          </w:p>
        </w:tc>
        <w:tc>
          <w:tcPr>
            <w:tcW w:w="567" w:type="dxa"/>
            <w:tcMar>
              <w:top w:w="15" w:type="dxa"/>
              <w:left w:w="27" w:type="dxa"/>
              <w:bottom w:w="0" w:type="dxa"/>
              <w:right w:w="27" w:type="dxa"/>
            </w:tcMar>
            <w:vAlign w:val="center"/>
          </w:tcPr>
          <w:p w14:paraId="54B92B30">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p>
        </w:tc>
        <w:tc>
          <w:tcPr>
            <w:tcW w:w="518" w:type="dxa"/>
            <w:tcMar>
              <w:top w:w="15" w:type="dxa"/>
              <w:left w:w="27" w:type="dxa"/>
              <w:bottom w:w="0" w:type="dxa"/>
              <w:right w:w="27" w:type="dxa"/>
            </w:tcMar>
            <w:vAlign w:val="center"/>
          </w:tcPr>
          <w:p w14:paraId="5EBAB36B">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w:t>
            </w:r>
          </w:p>
        </w:tc>
        <w:tc>
          <w:tcPr>
            <w:tcW w:w="458" w:type="dxa"/>
            <w:tcMar>
              <w:top w:w="15" w:type="dxa"/>
              <w:left w:w="27" w:type="dxa"/>
              <w:bottom w:w="0" w:type="dxa"/>
              <w:right w:w="27" w:type="dxa"/>
            </w:tcMar>
            <w:vAlign w:val="center"/>
          </w:tcPr>
          <w:p w14:paraId="3B81E7B0">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p>
        </w:tc>
        <w:tc>
          <w:tcPr>
            <w:tcW w:w="508" w:type="dxa"/>
            <w:vAlign w:val="center"/>
          </w:tcPr>
          <w:p w14:paraId="01A22049">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p>
        </w:tc>
      </w:tr>
      <w:tr w14:paraId="68BF620D">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0" w:type="dxa"/>
            <w:bottom w:w="0" w:type="dxa"/>
            <w:right w:w="0" w:type="dxa"/>
          </w:tblCellMar>
        </w:tblPrEx>
        <w:trPr>
          <w:trHeight w:val="31" w:hRule="atLeast"/>
          <w:jc w:val="center"/>
        </w:trPr>
        <w:tc>
          <w:tcPr>
            <w:tcW w:w="517" w:type="dxa"/>
            <w:vMerge w:val="continue"/>
            <w:vAlign w:val="center"/>
          </w:tcPr>
          <w:p w14:paraId="4E4286AE">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p>
        </w:tc>
        <w:tc>
          <w:tcPr>
            <w:tcW w:w="1083" w:type="dxa"/>
            <w:tcMar>
              <w:top w:w="15" w:type="dxa"/>
              <w:left w:w="27" w:type="dxa"/>
              <w:bottom w:w="0" w:type="dxa"/>
              <w:right w:w="27" w:type="dxa"/>
            </w:tcMar>
            <w:vAlign w:val="center"/>
          </w:tcPr>
          <w:p w14:paraId="6935AAC8">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野生动物</w:t>
            </w:r>
          </w:p>
        </w:tc>
        <w:tc>
          <w:tcPr>
            <w:tcW w:w="480" w:type="dxa"/>
            <w:tcMar>
              <w:top w:w="15" w:type="dxa"/>
              <w:left w:w="27" w:type="dxa"/>
              <w:bottom w:w="0" w:type="dxa"/>
              <w:right w:w="27" w:type="dxa"/>
            </w:tcMar>
            <w:vAlign w:val="center"/>
          </w:tcPr>
          <w:p w14:paraId="4AE5B83C">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sym w:font="Wingdings" w:char="F06E"/>
            </w:r>
          </w:p>
        </w:tc>
        <w:tc>
          <w:tcPr>
            <w:tcW w:w="485" w:type="dxa"/>
            <w:tcMar>
              <w:top w:w="15" w:type="dxa"/>
              <w:left w:w="27" w:type="dxa"/>
              <w:bottom w:w="0" w:type="dxa"/>
              <w:right w:w="27" w:type="dxa"/>
            </w:tcMar>
            <w:vAlign w:val="center"/>
          </w:tcPr>
          <w:p w14:paraId="69D9C01E">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p>
        </w:tc>
        <w:tc>
          <w:tcPr>
            <w:tcW w:w="471" w:type="dxa"/>
            <w:tcMar>
              <w:top w:w="15" w:type="dxa"/>
              <w:left w:w="27" w:type="dxa"/>
              <w:bottom w:w="0" w:type="dxa"/>
              <w:right w:w="27" w:type="dxa"/>
            </w:tcMar>
            <w:vAlign w:val="center"/>
          </w:tcPr>
          <w:p w14:paraId="61AC356F">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sym w:font="Wingdings" w:char="F06C"/>
            </w:r>
          </w:p>
        </w:tc>
        <w:tc>
          <w:tcPr>
            <w:tcW w:w="486" w:type="dxa"/>
            <w:tcMar>
              <w:top w:w="15" w:type="dxa"/>
              <w:left w:w="27" w:type="dxa"/>
              <w:bottom w:w="0" w:type="dxa"/>
              <w:right w:w="27" w:type="dxa"/>
            </w:tcMar>
            <w:vAlign w:val="center"/>
          </w:tcPr>
          <w:p w14:paraId="268ACACD">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sym w:font="Wingdings" w:char="F06C"/>
            </w:r>
          </w:p>
        </w:tc>
        <w:tc>
          <w:tcPr>
            <w:tcW w:w="473" w:type="dxa"/>
            <w:tcMar>
              <w:top w:w="15" w:type="dxa"/>
              <w:left w:w="27" w:type="dxa"/>
              <w:bottom w:w="0" w:type="dxa"/>
              <w:right w:w="27" w:type="dxa"/>
            </w:tcMar>
            <w:vAlign w:val="center"/>
          </w:tcPr>
          <w:p w14:paraId="3592EE65">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sym w:font="Wingdings" w:char="F06C"/>
            </w:r>
          </w:p>
        </w:tc>
        <w:tc>
          <w:tcPr>
            <w:tcW w:w="471" w:type="dxa"/>
            <w:tcMar>
              <w:top w:w="15" w:type="dxa"/>
              <w:left w:w="27" w:type="dxa"/>
              <w:bottom w:w="0" w:type="dxa"/>
              <w:right w:w="27" w:type="dxa"/>
            </w:tcMar>
            <w:vAlign w:val="center"/>
          </w:tcPr>
          <w:p w14:paraId="60D05CF3">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sym w:font="Wingdings" w:char="F06C"/>
            </w:r>
          </w:p>
        </w:tc>
        <w:tc>
          <w:tcPr>
            <w:tcW w:w="471" w:type="dxa"/>
            <w:tcMar>
              <w:top w:w="15" w:type="dxa"/>
              <w:left w:w="27" w:type="dxa"/>
              <w:bottom w:w="0" w:type="dxa"/>
              <w:right w:w="27" w:type="dxa"/>
            </w:tcMar>
            <w:vAlign w:val="center"/>
          </w:tcPr>
          <w:p w14:paraId="348AC253">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sym w:font="Wingdings" w:char="F06C"/>
            </w:r>
          </w:p>
        </w:tc>
        <w:tc>
          <w:tcPr>
            <w:tcW w:w="471" w:type="dxa"/>
            <w:tcMar>
              <w:top w:w="15" w:type="dxa"/>
              <w:left w:w="27" w:type="dxa"/>
              <w:bottom w:w="0" w:type="dxa"/>
              <w:right w:w="27" w:type="dxa"/>
            </w:tcMar>
            <w:vAlign w:val="center"/>
          </w:tcPr>
          <w:p w14:paraId="4A4DC125">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sym w:font="Wingdings" w:char="F06C"/>
            </w:r>
          </w:p>
        </w:tc>
        <w:tc>
          <w:tcPr>
            <w:tcW w:w="527" w:type="dxa"/>
            <w:tcMar>
              <w:top w:w="15" w:type="dxa"/>
              <w:left w:w="27" w:type="dxa"/>
              <w:bottom w:w="0" w:type="dxa"/>
              <w:right w:w="27" w:type="dxa"/>
            </w:tcMar>
            <w:vAlign w:val="center"/>
          </w:tcPr>
          <w:p w14:paraId="23F77DDD">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sym w:font="Wingdings" w:char="F06C"/>
            </w:r>
          </w:p>
        </w:tc>
        <w:tc>
          <w:tcPr>
            <w:tcW w:w="458" w:type="dxa"/>
            <w:tcMar>
              <w:top w:w="15" w:type="dxa"/>
              <w:left w:w="27" w:type="dxa"/>
              <w:bottom w:w="0" w:type="dxa"/>
              <w:right w:w="27" w:type="dxa"/>
            </w:tcMar>
            <w:vAlign w:val="center"/>
          </w:tcPr>
          <w:p w14:paraId="68A43D75">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w:t>
            </w:r>
          </w:p>
        </w:tc>
        <w:tc>
          <w:tcPr>
            <w:tcW w:w="567" w:type="dxa"/>
            <w:tcMar>
              <w:top w:w="15" w:type="dxa"/>
              <w:left w:w="27" w:type="dxa"/>
              <w:bottom w:w="0" w:type="dxa"/>
              <w:right w:w="27" w:type="dxa"/>
            </w:tcMar>
            <w:vAlign w:val="center"/>
          </w:tcPr>
          <w:p w14:paraId="7FD697DA">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w:t>
            </w:r>
          </w:p>
        </w:tc>
        <w:tc>
          <w:tcPr>
            <w:tcW w:w="518" w:type="dxa"/>
            <w:tcMar>
              <w:top w:w="15" w:type="dxa"/>
              <w:left w:w="27" w:type="dxa"/>
              <w:bottom w:w="0" w:type="dxa"/>
              <w:right w:w="27" w:type="dxa"/>
            </w:tcMar>
            <w:vAlign w:val="center"/>
          </w:tcPr>
          <w:p w14:paraId="668C8B0B">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w:t>
            </w:r>
          </w:p>
        </w:tc>
        <w:tc>
          <w:tcPr>
            <w:tcW w:w="458" w:type="dxa"/>
            <w:tcMar>
              <w:top w:w="15" w:type="dxa"/>
              <w:left w:w="27" w:type="dxa"/>
              <w:bottom w:w="0" w:type="dxa"/>
              <w:right w:w="27" w:type="dxa"/>
            </w:tcMar>
            <w:vAlign w:val="center"/>
          </w:tcPr>
          <w:p w14:paraId="38BF00C9">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p>
        </w:tc>
        <w:tc>
          <w:tcPr>
            <w:tcW w:w="508" w:type="dxa"/>
            <w:vAlign w:val="center"/>
          </w:tcPr>
          <w:p w14:paraId="128DE60E">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p>
        </w:tc>
      </w:tr>
      <w:tr w14:paraId="5696DF2A">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0" w:type="dxa"/>
            <w:bottom w:w="0" w:type="dxa"/>
            <w:right w:w="0" w:type="dxa"/>
          </w:tblCellMar>
        </w:tblPrEx>
        <w:trPr>
          <w:trHeight w:val="31" w:hRule="atLeast"/>
          <w:jc w:val="center"/>
        </w:trPr>
        <w:tc>
          <w:tcPr>
            <w:tcW w:w="517" w:type="dxa"/>
            <w:vMerge w:val="continue"/>
            <w:vAlign w:val="center"/>
          </w:tcPr>
          <w:p w14:paraId="11218B0E">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p>
        </w:tc>
        <w:tc>
          <w:tcPr>
            <w:tcW w:w="1083" w:type="dxa"/>
            <w:tcMar>
              <w:top w:w="15" w:type="dxa"/>
              <w:left w:w="27" w:type="dxa"/>
              <w:bottom w:w="0" w:type="dxa"/>
              <w:right w:w="27" w:type="dxa"/>
            </w:tcMar>
            <w:vAlign w:val="center"/>
          </w:tcPr>
          <w:p w14:paraId="4EE05501">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水生生物</w:t>
            </w:r>
          </w:p>
        </w:tc>
        <w:tc>
          <w:tcPr>
            <w:tcW w:w="480" w:type="dxa"/>
            <w:tcMar>
              <w:top w:w="15" w:type="dxa"/>
              <w:left w:w="27" w:type="dxa"/>
              <w:bottom w:w="0" w:type="dxa"/>
              <w:right w:w="27" w:type="dxa"/>
            </w:tcMar>
            <w:vAlign w:val="center"/>
          </w:tcPr>
          <w:p w14:paraId="0F29D4B1">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p>
        </w:tc>
        <w:tc>
          <w:tcPr>
            <w:tcW w:w="485" w:type="dxa"/>
            <w:tcMar>
              <w:top w:w="15" w:type="dxa"/>
              <w:left w:w="27" w:type="dxa"/>
              <w:bottom w:w="0" w:type="dxa"/>
              <w:right w:w="27" w:type="dxa"/>
            </w:tcMar>
            <w:vAlign w:val="center"/>
          </w:tcPr>
          <w:p w14:paraId="52D14F29">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p>
        </w:tc>
        <w:tc>
          <w:tcPr>
            <w:tcW w:w="471" w:type="dxa"/>
            <w:tcMar>
              <w:top w:w="15" w:type="dxa"/>
              <w:left w:w="27" w:type="dxa"/>
              <w:bottom w:w="0" w:type="dxa"/>
              <w:right w:w="27" w:type="dxa"/>
            </w:tcMar>
            <w:vAlign w:val="center"/>
          </w:tcPr>
          <w:p w14:paraId="42D6AEF6">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p>
        </w:tc>
        <w:tc>
          <w:tcPr>
            <w:tcW w:w="486" w:type="dxa"/>
            <w:tcMar>
              <w:top w:w="15" w:type="dxa"/>
              <w:left w:w="27" w:type="dxa"/>
              <w:bottom w:w="0" w:type="dxa"/>
              <w:right w:w="27" w:type="dxa"/>
            </w:tcMar>
            <w:vAlign w:val="center"/>
          </w:tcPr>
          <w:p w14:paraId="4102EFC1">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p>
        </w:tc>
        <w:tc>
          <w:tcPr>
            <w:tcW w:w="473" w:type="dxa"/>
            <w:tcMar>
              <w:top w:w="15" w:type="dxa"/>
              <w:left w:w="27" w:type="dxa"/>
              <w:bottom w:w="0" w:type="dxa"/>
              <w:right w:w="27" w:type="dxa"/>
            </w:tcMar>
            <w:vAlign w:val="center"/>
          </w:tcPr>
          <w:p w14:paraId="28B49788">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p>
        </w:tc>
        <w:tc>
          <w:tcPr>
            <w:tcW w:w="471" w:type="dxa"/>
            <w:tcMar>
              <w:top w:w="15" w:type="dxa"/>
              <w:left w:w="27" w:type="dxa"/>
              <w:bottom w:w="0" w:type="dxa"/>
              <w:right w:w="27" w:type="dxa"/>
            </w:tcMar>
            <w:vAlign w:val="center"/>
          </w:tcPr>
          <w:p w14:paraId="3325FCC5">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sym w:font="Wingdings" w:char="F06C"/>
            </w:r>
          </w:p>
        </w:tc>
        <w:tc>
          <w:tcPr>
            <w:tcW w:w="471" w:type="dxa"/>
            <w:tcMar>
              <w:top w:w="15" w:type="dxa"/>
              <w:left w:w="27" w:type="dxa"/>
              <w:bottom w:w="0" w:type="dxa"/>
              <w:right w:w="27" w:type="dxa"/>
            </w:tcMar>
            <w:vAlign w:val="center"/>
          </w:tcPr>
          <w:p w14:paraId="535EEC87">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p>
        </w:tc>
        <w:tc>
          <w:tcPr>
            <w:tcW w:w="471" w:type="dxa"/>
            <w:tcMar>
              <w:top w:w="15" w:type="dxa"/>
              <w:left w:w="27" w:type="dxa"/>
              <w:bottom w:w="0" w:type="dxa"/>
              <w:right w:w="27" w:type="dxa"/>
            </w:tcMar>
            <w:vAlign w:val="center"/>
          </w:tcPr>
          <w:p w14:paraId="7BA4E483">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p>
        </w:tc>
        <w:tc>
          <w:tcPr>
            <w:tcW w:w="527" w:type="dxa"/>
            <w:tcMar>
              <w:top w:w="15" w:type="dxa"/>
              <w:left w:w="27" w:type="dxa"/>
              <w:bottom w:w="0" w:type="dxa"/>
              <w:right w:w="27" w:type="dxa"/>
            </w:tcMar>
            <w:vAlign w:val="center"/>
          </w:tcPr>
          <w:p w14:paraId="7FDF5DE3">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p>
        </w:tc>
        <w:tc>
          <w:tcPr>
            <w:tcW w:w="458" w:type="dxa"/>
            <w:tcMar>
              <w:top w:w="15" w:type="dxa"/>
              <w:left w:w="27" w:type="dxa"/>
              <w:bottom w:w="0" w:type="dxa"/>
              <w:right w:w="27" w:type="dxa"/>
            </w:tcMar>
            <w:vAlign w:val="center"/>
          </w:tcPr>
          <w:p w14:paraId="3721C7AC">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w:t>
            </w:r>
          </w:p>
        </w:tc>
        <w:tc>
          <w:tcPr>
            <w:tcW w:w="567" w:type="dxa"/>
            <w:tcMar>
              <w:top w:w="15" w:type="dxa"/>
              <w:left w:w="27" w:type="dxa"/>
              <w:bottom w:w="0" w:type="dxa"/>
              <w:right w:w="27" w:type="dxa"/>
            </w:tcMar>
            <w:vAlign w:val="center"/>
          </w:tcPr>
          <w:p w14:paraId="25F5F537">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w:t>
            </w:r>
          </w:p>
        </w:tc>
        <w:tc>
          <w:tcPr>
            <w:tcW w:w="518" w:type="dxa"/>
            <w:tcMar>
              <w:top w:w="15" w:type="dxa"/>
              <w:left w:w="27" w:type="dxa"/>
              <w:bottom w:w="0" w:type="dxa"/>
              <w:right w:w="27" w:type="dxa"/>
            </w:tcMar>
            <w:vAlign w:val="center"/>
          </w:tcPr>
          <w:p w14:paraId="67CD0FC0">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p>
        </w:tc>
        <w:tc>
          <w:tcPr>
            <w:tcW w:w="458" w:type="dxa"/>
            <w:tcMar>
              <w:top w:w="15" w:type="dxa"/>
              <w:left w:w="27" w:type="dxa"/>
              <w:bottom w:w="0" w:type="dxa"/>
              <w:right w:w="27" w:type="dxa"/>
            </w:tcMar>
            <w:vAlign w:val="center"/>
          </w:tcPr>
          <w:p w14:paraId="40E2319C">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p>
        </w:tc>
        <w:tc>
          <w:tcPr>
            <w:tcW w:w="508" w:type="dxa"/>
            <w:vAlign w:val="center"/>
          </w:tcPr>
          <w:p w14:paraId="409606FD">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p>
        </w:tc>
      </w:tr>
      <w:tr w14:paraId="704F61F9">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0" w:type="dxa"/>
            <w:bottom w:w="0" w:type="dxa"/>
            <w:right w:w="0" w:type="dxa"/>
          </w:tblCellMar>
        </w:tblPrEx>
        <w:trPr>
          <w:trHeight w:val="31" w:hRule="atLeast"/>
          <w:jc w:val="center"/>
        </w:trPr>
        <w:tc>
          <w:tcPr>
            <w:tcW w:w="517" w:type="dxa"/>
            <w:vMerge w:val="continue"/>
            <w:vAlign w:val="center"/>
          </w:tcPr>
          <w:p w14:paraId="74FC447E">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p>
        </w:tc>
        <w:tc>
          <w:tcPr>
            <w:tcW w:w="1083" w:type="dxa"/>
            <w:tcMar>
              <w:top w:w="15" w:type="dxa"/>
              <w:left w:w="27" w:type="dxa"/>
              <w:bottom w:w="0" w:type="dxa"/>
              <w:right w:w="27" w:type="dxa"/>
            </w:tcMar>
            <w:vAlign w:val="center"/>
          </w:tcPr>
          <w:p w14:paraId="0CDC87BE">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水土保持</w:t>
            </w:r>
          </w:p>
        </w:tc>
        <w:tc>
          <w:tcPr>
            <w:tcW w:w="480" w:type="dxa"/>
            <w:tcMar>
              <w:top w:w="15" w:type="dxa"/>
              <w:left w:w="27" w:type="dxa"/>
              <w:bottom w:w="0" w:type="dxa"/>
              <w:right w:w="27" w:type="dxa"/>
            </w:tcMar>
            <w:vAlign w:val="center"/>
          </w:tcPr>
          <w:p w14:paraId="03504225">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p>
        </w:tc>
        <w:tc>
          <w:tcPr>
            <w:tcW w:w="485" w:type="dxa"/>
            <w:tcMar>
              <w:top w:w="15" w:type="dxa"/>
              <w:left w:w="27" w:type="dxa"/>
              <w:bottom w:w="0" w:type="dxa"/>
              <w:right w:w="27" w:type="dxa"/>
            </w:tcMar>
            <w:vAlign w:val="center"/>
          </w:tcPr>
          <w:p w14:paraId="390628CF">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p>
        </w:tc>
        <w:tc>
          <w:tcPr>
            <w:tcW w:w="471" w:type="dxa"/>
            <w:tcMar>
              <w:top w:w="15" w:type="dxa"/>
              <w:left w:w="27" w:type="dxa"/>
              <w:bottom w:w="0" w:type="dxa"/>
              <w:right w:w="27" w:type="dxa"/>
            </w:tcMar>
            <w:vAlign w:val="center"/>
          </w:tcPr>
          <w:p w14:paraId="3C585CDA">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sym w:font="Wingdings" w:char="F06C"/>
            </w:r>
          </w:p>
        </w:tc>
        <w:tc>
          <w:tcPr>
            <w:tcW w:w="486" w:type="dxa"/>
            <w:tcMar>
              <w:top w:w="15" w:type="dxa"/>
              <w:left w:w="27" w:type="dxa"/>
              <w:bottom w:w="0" w:type="dxa"/>
              <w:right w:w="27" w:type="dxa"/>
            </w:tcMar>
            <w:vAlign w:val="center"/>
          </w:tcPr>
          <w:p w14:paraId="24EEE4E6">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sym w:font="Wingdings" w:char="F06C"/>
            </w:r>
          </w:p>
        </w:tc>
        <w:tc>
          <w:tcPr>
            <w:tcW w:w="473" w:type="dxa"/>
            <w:tcMar>
              <w:top w:w="15" w:type="dxa"/>
              <w:left w:w="27" w:type="dxa"/>
              <w:bottom w:w="0" w:type="dxa"/>
              <w:right w:w="27" w:type="dxa"/>
            </w:tcMar>
            <w:vAlign w:val="center"/>
          </w:tcPr>
          <w:p w14:paraId="7BD00CE4">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sym w:font="Wingdings" w:char="F06C"/>
            </w:r>
          </w:p>
        </w:tc>
        <w:tc>
          <w:tcPr>
            <w:tcW w:w="471" w:type="dxa"/>
            <w:tcMar>
              <w:top w:w="15" w:type="dxa"/>
              <w:left w:w="27" w:type="dxa"/>
              <w:bottom w:w="0" w:type="dxa"/>
              <w:right w:w="27" w:type="dxa"/>
            </w:tcMar>
            <w:vAlign w:val="center"/>
          </w:tcPr>
          <w:p w14:paraId="778B6FA6">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p>
        </w:tc>
        <w:tc>
          <w:tcPr>
            <w:tcW w:w="471" w:type="dxa"/>
            <w:tcMar>
              <w:top w:w="15" w:type="dxa"/>
              <w:left w:w="27" w:type="dxa"/>
              <w:bottom w:w="0" w:type="dxa"/>
              <w:right w:w="27" w:type="dxa"/>
            </w:tcMar>
            <w:vAlign w:val="center"/>
          </w:tcPr>
          <w:p w14:paraId="3B473801">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p>
        </w:tc>
        <w:tc>
          <w:tcPr>
            <w:tcW w:w="471" w:type="dxa"/>
            <w:tcMar>
              <w:top w:w="15" w:type="dxa"/>
              <w:left w:w="27" w:type="dxa"/>
              <w:bottom w:w="0" w:type="dxa"/>
              <w:right w:w="27" w:type="dxa"/>
            </w:tcMar>
            <w:vAlign w:val="center"/>
          </w:tcPr>
          <w:p w14:paraId="363C4C37">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p>
        </w:tc>
        <w:tc>
          <w:tcPr>
            <w:tcW w:w="527" w:type="dxa"/>
            <w:tcMar>
              <w:top w:w="15" w:type="dxa"/>
              <w:left w:w="27" w:type="dxa"/>
              <w:bottom w:w="0" w:type="dxa"/>
              <w:right w:w="27" w:type="dxa"/>
            </w:tcMar>
            <w:vAlign w:val="center"/>
          </w:tcPr>
          <w:p w14:paraId="4244A941">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sym w:font="Wingdings" w:char="F06C"/>
            </w:r>
          </w:p>
        </w:tc>
        <w:tc>
          <w:tcPr>
            <w:tcW w:w="458" w:type="dxa"/>
            <w:tcMar>
              <w:top w:w="15" w:type="dxa"/>
              <w:left w:w="27" w:type="dxa"/>
              <w:bottom w:w="0" w:type="dxa"/>
              <w:right w:w="27" w:type="dxa"/>
            </w:tcMar>
            <w:vAlign w:val="center"/>
          </w:tcPr>
          <w:p w14:paraId="5F1E0332">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w:t>
            </w:r>
          </w:p>
        </w:tc>
        <w:tc>
          <w:tcPr>
            <w:tcW w:w="567" w:type="dxa"/>
            <w:tcMar>
              <w:top w:w="15" w:type="dxa"/>
              <w:left w:w="27" w:type="dxa"/>
              <w:bottom w:w="0" w:type="dxa"/>
              <w:right w:w="27" w:type="dxa"/>
            </w:tcMar>
            <w:vAlign w:val="center"/>
          </w:tcPr>
          <w:p w14:paraId="1D6D742D">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p>
        </w:tc>
        <w:tc>
          <w:tcPr>
            <w:tcW w:w="518" w:type="dxa"/>
            <w:tcMar>
              <w:top w:w="15" w:type="dxa"/>
              <w:left w:w="27" w:type="dxa"/>
              <w:bottom w:w="0" w:type="dxa"/>
              <w:right w:w="27" w:type="dxa"/>
            </w:tcMar>
            <w:vAlign w:val="center"/>
          </w:tcPr>
          <w:p w14:paraId="0B0EA21D">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w:t>
            </w:r>
          </w:p>
        </w:tc>
        <w:tc>
          <w:tcPr>
            <w:tcW w:w="458" w:type="dxa"/>
            <w:tcMar>
              <w:top w:w="15" w:type="dxa"/>
              <w:left w:w="27" w:type="dxa"/>
              <w:bottom w:w="0" w:type="dxa"/>
              <w:right w:w="27" w:type="dxa"/>
            </w:tcMar>
            <w:vAlign w:val="center"/>
          </w:tcPr>
          <w:p w14:paraId="4B6DFC1D">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p>
        </w:tc>
        <w:tc>
          <w:tcPr>
            <w:tcW w:w="508" w:type="dxa"/>
            <w:vAlign w:val="center"/>
          </w:tcPr>
          <w:p w14:paraId="556DCC9C">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w:t>
            </w:r>
          </w:p>
        </w:tc>
      </w:tr>
      <w:tr w14:paraId="435DFD3C">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0" w:type="dxa"/>
            <w:bottom w:w="0" w:type="dxa"/>
            <w:right w:w="0" w:type="dxa"/>
          </w:tblCellMar>
        </w:tblPrEx>
        <w:trPr>
          <w:trHeight w:val="31" w:hRule="atLeast"/>
          <w:jc w:val="center"/>
        </w:trPr>
        <w:tc>
          <w:tcPr>
            <w:tcW w:w="517" w:type="dxa"/>
            <w:vMerge w:val="continue"/>
            <w:vAlign w:val="center"/>
          </w:tcPr>
          <w:p w14:paraId="306E7D7A">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p>
        </w:tc>
        <w:tc>
          <w:tcPr>
            <w:tcW w:w="1083" w:type="dxa"/>
            <w:tcMar>
              <w:top w:w="15" w:type="dxa"/>
              <w:left w:w="27" w:type="dxa"/>
              <w:bottom w:w="0" w:type="dxa"/>
              <w:right w:w="27" w:type="dxa"/>
            </w:tcMar>
            <w:vAlign w:val="center"/>
          </w:tcPr>
          <w:p w14:paraId="19D07A14">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农业生态</w:t>
            </w:r>
          </w:p>
        </w:tc>
        <w:tc>
          <w:tcPr>
            <w:tcW w:w="480" w:type="dxa"/>
            <w:tcMar>
              <w:top w:w="15" w:type="dxa"/>
              <w:left w:w="27" w:type="dxa"/>
              <w:bottom w:w="0" w:type="dxa"/>
              <w:right w:w="27" w:type="dxa"/>
            </w:tcMar>
            <w:vAlign w:val="center"/>
          </w:tcPr>
          <w:p w14:paraId="6DE8130D">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sym w:font="Wingdings" w:char="F06E"/>
            </w:r>
          </w:p>
        </w:tc>
        <w:tc>
          <w:tcPr>
            <w:tcW w:w="485" w:type="dxa"/>
            <w:tcMar>
              <w:top w:w="15" w:type="dxa"/>
              <w:left w:w="27" w:type="dxa"/>
              <w:bottom w:w="0" w:type="dxa"/>
              <w:right w:w="27" w:type="dxa"/>
            </w:tcMar>
            <w:vAlign w:val="center"/>
          </w:tcPr>
          <w:p w14:paraId="7B2FC5FE">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p>
        </w:tc>
        <w:tc>
          <w:tcPr>
            <w:tcW w:w="471" w:type="dxa"/>
            <w:tcMar>
              <w:top w:w="15" w:type="dxa"/>
              <w:left w:w="27" w:type="dxa"/>
              <w:bottom w:w="0" w:type="dxa"/>
              <w:right w:w="27" w:type="dxa"/>
            </w:tcMar>
            <w:vAlign w:val="center"/>
          </w:tcPr>
          <w:p w14:paraId="72CB8D3E">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p>
        </w:tc>
        <w:tc>
          <w:tcPr>
            <w:tcW w:w="486" w:type="dxa"/>
            <w:tcMar>
              <w:top w:w="15" w:type="dxa"/>
              <w:left w:w="27" w:type="dxa"/>
              <w:bottom w:w="0" w:type="dxa"/>
              <w:right w:w="27" w:type="dxa"/>
            </w:tcMar>
            <w:vAlign w:val="center"/>
          </w:tcPr>
          <w:p w14:paraId="05F679FD">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p>
        </w:tc>
        <w:tc>
          <w:tcPr>
            <w:tcW w:w="473" w:type="dxa"/>
            <w:tcMar>
              <w:top w:w="15" w:type="dxa"/>
              <w:left w:w="27" w:type="dxa"/>
              <w:bottom w:w="0" w:type="dxa"/>
              <w:right w:w="27" w:type="dxa"/>
            </w:tcMar>
            <w:vAlign w:val="center"/>
          </w:tcPr>
          <w:p w14:paraId="5BB29921">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p>
        </w:tc>
        <w:tc>
          <w:tcPr>
            <w:tcW w:w="471" w:type="dxa"/>
            <w:tcMar>
              <w:top w:w="15" w:type="dxa"/>
              <w:left w:w="27" w:type="dxa"/>
              <w:bottom w:w="0" w:type="dxa"/>
              <w:right w:w="27" w:type="dxa"/>
            </w:tcMar>
            <w:vAlign w:val="center"/>
          </w:tcPr>
          <w:p w14:paraId="6DA965FF">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p>
        </w:tc>
        <w:tc>
          <w:tcPr>
            <w:tcW w:w="471" w:type="dxa"/>
            <w:tcMar>
              <w:top w:w="15" w:type="dxa"/>
              <w:left w:w="27" w:type="dxa"/>
              <w:bottom w:w="0" w:type="dxa"/>
              <w:right w:w="27" w:type="dxa"/>
            </w:tcMar>
            <w:vAlign w:val="center"/>
          </w:tcPr>
          <w:p w14:paraId="16BACDC4">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p>
        </w:tc>
        <w:tc>
          <w:tcPr>
            <w:tcW w:w="471" w:type="dxa"/>
            <w:tcMar>
              <w:top w:w="15" w:type="dxa"/>
              <w:left w:w="27" w:type="dxa"/>
              <w:bottom w:w="0" w:type="dxa"/>
              <w:right w:w="27" w:type="dxa"/>
            </w:tcMar>
            <w:vAlign w:val="center"/>
          </w:tcPr>
          <w:p w14:paraId="1774A1DC">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p>
        </w:tc>
        <w:tc>
          <w:tcPr>
            <w:tcW w:w="527" w:type="dxa"/>
            <w:tcMar>
              <w:top w:w="15" w:type="dxa"/>
              <w:left w:w="27" w:type="dxa"/>
              <w:bottom w:w="0" w:type="dxa"/>
              <w:right w:w="27" w:type="dxa"/>
            </w:tcMar>
            <w:vAlign w:val="center"/>
          </w:tcPr>
          <w:p w14:paraId="70723D9A">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sym w:font="Wingdings" w:char="F06C"/>
            </w:r>
          </w:p>
        </w:tc>
        <w:tc>
          <w:tcPr>
            <w:tcW w:w="458" w:type="dxa"/>
            <w:tcMar>
              <w:top w:w="15" w:type="dxa"/>
              <w:left w:w="27" w:type="dxa"/>
              <w:bottom w:w="0" w:type="dxa"/>
              <w:right w:w="27" w:type="dxa"/>
            </w:tcMar>
            <w:vAlign w:val="center"/>
          </w:tcPr>
          <w:p w14:paraId="69B21E20">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w:t>
            </w:r>
          </w:p>
        </w:tc>
        <w:tc>
          <w:tcPr>
            <w:tcW w:w="567" w:type="dxa"/>
            <w:tcMar>
              <w:top w:w="15" w:type="dxa"/>
              <w:left w:w="27" w:type="dxa"/>
              <w:bottom w:w="0" w:type="dxa"/>
              <w:right w:w="27" w:type="dxa"/>
            </w:tcMar>
            <w:vAlign w:val="center"/>
          </w:tcPr>
          <w:p w14:paraId="713AA217">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p>
        </w:tc>
        <w:tc>
          <w:tcPr>
            <w:tcW w:w="518" w:type="dxa"/>
            <w:tcMar>
              <w:top w:w="15" w:type="dxa"/>
              <w:left w:w="27" w:type="dxa"/>
              <w:bottom w:w="0" w:type="dxa"/>
              <w:right w:w="27" w:type="dxa"/>
            </w:tcMar>
            <w:vAlign w:val="center"/>
          </w:tcPr>
          <w:p w14:paraId="71693ED8">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p>
        </w:tc>
        <w:tc>
          <w:tcPr>
            <w:tcW w:w="458" w:type="dxa"/>
            <w:tcMar>
              <w:top w:w="15" w:type="dxa"/>
              <w:left w:w="27" w:type="dxa"/>
              <w:bottom w:w="0" w:type="dxa"/>
              <w:right w:w="27" w:type="dxa"/>
            </w:tcMar>
            <w:vAlign w:val="center"/>
          </w:tcPr>
          <w:p w14:paraId="6D9CD349">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p>
        </w:tc>
        <w:tc>
          <w:tcPr>
            <w:tcW w:w="508" w:type="dxa"/>
            <w:vAlign w:val="center"/>
          </w:tcPr>
          <w:p w14:paraId="34628A3C">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p>
        </w:tc>
      </w:tr>
      <w:tr w14:paraId="512CCD83">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0" w:type="dxa"/>
            <w:bottom w:w="0" w:type="dxa"/>
            <w:right w:w="0" w:type="dxa"/>
          </w:tblCellMar>
        </w:tblPrEx>
        <w:trPr>
          <w:trHeight w:val="31" w:hRule="atLeast"/>
          <w:jc w:val="center"/>
        </w:trPr>
        <w:tc>
          <w:tcPr>
            <w:tcW w:w="517" w:type="dxa"/>
            <w:vMerge w:val="continue"/>
            <w:vAlign w:val="center"/>
          </w:tcPr>
          <w:p w14:paraId="07C8ADAF">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p>
        </w:tc>
        <w:tc>
          <w:tcPr>
            <w:tcW w:w="1083" w:type="dxa"/>
            <w:tcMar>
              <w:top w:w="15" w:type="dxa"/>
              <w:left w:w="27" w:type="dxa"/>
              <w:bottom w:w="0" w:type="dxa"/>
              <w:right w:w="27" w:type="dxa"/>
            </w:tcMar>
            <w:vAlign w:val="center"/>
          </w:tcPr>
          <w:p w14:paraId="38BBBF9B">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土壤</w:t>
            </w:r>
          </w:p>
        </w:tc>
        <w:tc>
          <w:tcPr>
            <w:tcW w:w="480" w:type="dxa"/>
            <w:tcMar>
              <w:top w:w="15" w:type="dxa"/>
              <w:left w:w="27" w:type="dxa"/>
              <w:bottom w:w="0" w:type="dxa"/>
              <w:right w:w="27" w:type="dxa"/>
            </w:tcMar>
            <w:vAlign w:val="center"/>
          </w:tcPr>
          <w:p w14:paraId="15B27D85">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p>
        </w:tc>
        <w:tc>
          <w:tcPr>
            <w:tcW w:w="485" w:type="dxa"/>
            <w:tcMar>
              <w:top w:w="15" w:type="dxa"/>
              <w:left w:w="27" w:type="dxa"/>
              <w:bottom w:w="0" w:type="dxa"/>
              <w:right w:w="27" w:type="dxa"/>
            </w:tcMar>
            <w:vAlign w:val="center"/>
          </w:tcPr>
          <w:p w14:paraId="7B86137B">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p>
        </w:tc>
        <w:tc>
          <w:tcPr>
            <w:tcW w:w="471" w:type="dxa"/>
            <w:tcMar>
              <w:top w:w="15" w:type="dxa"/>
              <w:left w:w="27" w:type="dxa"/>
              <w:bottom w:w="0" w:type="dxa"/>
              <w:right w:w="27" w:type="dxa"/>
            </w:tcMar>
            <w:vAlign w:val="center"/>
          </w:tcPr>
          <w:p w14:paraId="61A6506A">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p>
        </w:tc>
        <w:tc>
          <w:tcPr>
            <w:tcW w:w="486" w:type="dxa"/>
            <w:tcMar>
              <w:top w:w="15" w:type="dxa"/>
              <w:left w:w="27" w:type="dxa"/>
              <w:bottom w:w="0" w:type="dxa"/>
              <w:right w:w="27" w:type="dxa"/>
            </w:tcMar>
            <w:vAlign w:val="center"/>
          </w:tcPr>
          <w:p w14:paraId="4467E0BA">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p>
        </w:tc>
        <w:tc>
          <w:tcPr>
            <w:tcW w:w="473" w:type="dxa"/>
            <w:tcMar>
              <w:top w:w="15" w:type="dxa"/>
              <w:left w:w="27" w:type="dxa"/>
              <w:bottom w:w="0" w:type="dxa"/>
              <w:right w:w="27" w:type="dxa"/>
            </w:tcMar>
            <w:vAlign w:val="center"/>
          </w:tcPr>
          <w:p w14:paraId="602520D3">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p>
        </w:tc>
        <w:tc>
          <w:tcPr>
            <w:tcW w:w="471" w:type="dxa"/>
            <w:tcMar>
              <w:top w:w="15" w:type="dxa"/>
              <w:left w:w="27" w:type="dxa"/>
              <w:bottom w:w="0" w:type="dxa"/>
              <w:right w:w="27" w:type="dxa"/>
            </w:tcMar>
            <w:vAlign w:val="center"/>
          </w:tcPr>
          <w:p w14:paraId="0B693604">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p>
        </w:tc>
        <w:tc>
          <w:tcPr>
            <w:tcW w:w="471" w:type="dxa"/>
            <w:tcMar>
              <w:top w:w="15" w:type="dxa"/>
              <w:left w:w="27" w:type="dxa"/>
              <w:bottom w:w="0" w:type="dxa"/>
              <w:right w:w="27" w:type="dxa"/>
            </w:tcMar>
            <w:vAlign w:val="center"/>
          </w:tcPr>
          <w:p w14:paraId="5E49F87D">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sym w:font="Wingdings" w:char="F06C"/>
            </w:r>
          </w:p>
        </w:tc>
        <w:tc>
          <w:tcPr>
            <w:tcW w:w="471" w:type="dxa"/>
            <w:tcMar>
              <w:top w:w="15" w:type="dxa"/>
              <w:left w:w="27" w:type="dxa"/>
              <w:bottom w:w="0" w:type="dxa"/>
              <w:right w:w="27" w:type="dxa"/>
            </w:tcMar>
            <w:vAlign w:val="center"/>
          </w:tcPr>
          <w:p w14:paraId="56CEC6B9">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p>
        </w:tc>
        <w:tc>
          <w:tcPr>
            <w:tcW w:w="527" w:type="dxa"/>
            <w:tcMar>
              <w:top w:w="15" w:type="dxa"/>
              <w:left w:w="27" w:type="dxa"/>
              <w:bottom w:w="0" w:type="dxa"/>
              <w:right w:w="27" w:type="dxa"/>
            </w:tcMar>
            <w:vAlign w:val="center"/>
          </w:tcPr>
          <w:p w14:paraId="55AA95F3">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p>
        </w:tc>
        <w:tc>
          <w:tcPr>
            <w:tcW w:w="458" w:type="dxa"/>
            <w:tcMar>
              <w:top w:w="15" w:type="dxa"/>
              <w:left w:w="27" w:type="dxa"/>
              <w:bottom w:w="0" w:type="dxa"/>
              <w:right w:w="27" w:type="dxa"/>
            </w:tcMar>
            <w:vAlign w:val="center"/>
          </w:tcPr>
          <w:p w14:paraId="0C4776F4">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w:t>
            </w:r>
          </w:p>
        </w:tc>
        <w:tc>
          <w:tcPr>
            <w:tcW w:w="567" w:type="dxa"/>
            <w:tcMar>
              <w:top w:w="15" w:type="dxa"/>
              <w:left w:w="27" w:type="dxa"/>
              <w:bottom w:w="0" w:type="dxa"/>
              <w:right w:w="27" w:type="dxa"/>
            </w:tcMar>
            <w:vAlign w:val="center"/>
          </w:tcPr>
          <w:p w14:paraId="2CAB22CB">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w:t>
            </w:r>
          </w:p>
        </w:tc>
        <w:tc>
          <w:tcPr>
            <w:tcW w:w="518" w:type="dxa"/>
            <w:tcMar>
              <w:top w:w="15" w:type="dxa"/>
              <w:left w:w="27" w:type="dxa"/>
              <w:bottom w:w="0" w:type="dxa"/>
              <w:right w:w="27" w:type="dxa"/>
            </w:tcMar>
            <w:vAlign w:val="center"/>
          </w:tcPr>
          <w:p w14:paraId="3C628968">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p>
        </w:tc>
        <w:tc>
          <w:tcPr>
            <w:tcW w:w="458" w:type="dxa"/>
            <w:tcMar>
              <w:top w:w="15" w:type="dxa"/>
              <w:left w:w="27" w:type="dxa"/>
              <w:bottom w:w="0" w:type="dxa"/>
              <w:right w:w="27" w:type="dxa"/>
            </w:tcMar>
            <w:vAlign w:val="center"/>
          </w:tcPr>
          <w:p w14:paraId="2B3E3572">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p>
        </w:tc>
        <w:tc>
          <w:tcPr>
            <w:tcW w:w="508" w:type="dxa"/>
            <w:vAlign w:val="center"/>
          </w:tcPr>
          <w:p w14:paraId="0C952804">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p>
        </w:tc>
      </w:tr>
      <w:tr w14:paraId="59FDA91F">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0" w:type="dxa"/>
            <w:bottom w:w="0" w:type="dxa"/>
            <w:right w:w="0" w:type="dxa"/>
          </w:tblCellMar>
        </w:tblPrEx>
        <w:trPr>
          <w:trHeight w:val="225" w:hRule="atLeast"/>
          <w:jc w:val="center"/>
        </w:trPr>
        <w:tc>
          <w:tcPr>
            <w:tcW w:w="517" w:type="dxa"/>
            <w:vMerge w:val="continue"/>
            <w:vAlign w:val="center"/>
          </w:tcPr>
          <w:p w14:paraId="3ED4ECF0">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p>
        </w:tc>
        <w:tc>
          <w:tcPr>
            <w:tcW w:w="1083" w:type="dxa"/>
            <w:tcMar>
              <w:top w:w="15" w:type="dxa"/>
              <w:left w:w="27" w:type="dxa"/>
              <w:bottom w:w="0" w:type="dxa"/>
              <w:right w:w="27" w:type="dxa"/>
            </w:tcMar>
            <w:vAlign w:val="center"/>
          </w:tcPr>
          <w:p w14:paraId="09927E92">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景观</w:t>
            </w:r>
          </w:p>
        </w:tc>
        <w:tc>
          <w:tcPr>
            <w:tcW w:w="480" w:type="dxa"/>
            <w:tcMar>
              <w:top w:w="15" w:type="dxa"/>
              <w:left w:w="27" w:type="dxa"/>
              <w:bottom w:w="0" w:type="dxa"/>
              <w:right w:w="27" w:type="dxa"/>
            </w:tcMar>
            <w:vAlign w:val="center"/>
          </w:tcPr>
          <w:p w14:paraId="540E502C">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p>
        </w:tc>
        <w:tc>
          <w:tcPr>
            <w:tcW w:w="485" w:type="dxa"/>
            <w:tcMar>
              <w:top w:w="15" w:type="dxa"/>
              <w:left w:w="27" w:type="dxa"/>
              <w:bottom w:w="0" w:type="dxa"/>
              <w:right w:w="27" w:type="dxa"/>
            </w:tcMar>
            <w:vAlign w:val="center"/>
          </w:tcPr>
          <w:p w14:paraId="44269D79">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p>
        </w:tc>
        <w:tc>
          <w:tcPr>
            <w:tcW w:w="471" w:type="dxa"/>
            <w:tcMar>
              <w:top w:w="15" w:type="dxa"/>
              <w:left w:w="27" w:type="dxa"/>
              <w:bottom w:w="0" w:type="dxa"/>
              <w:right w:w="27" w:type="dxa"/>
            </w:tcMar>
            <w:vAlign w:val="center"/>
          </w:tcPr>
          <w:p w14:paraId="1873FD9B">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sym w:font="Wingdings" w:char="F06C"/>
            </w:r>
          </w:p>
        </w:tc>
        <w:tc>
          <w:tcPr>
            <w:tcW w:w="486" w:type="dxa"/>
            <w:tcMar>
              <w:top w:w="15" w:type="dxa"/>
              <w:left w:w="27" w:type="dxa"/>
              <w:bottom w:w="0" w:type="dxa"/>
              <w:right w:w="27" w:type="dxa"/>
            </w:tcMar>
            <w:vAlign w:val="center"/>
          </w:tcPr>
          <w:p w14:paraId="34D4E433">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sym w:font="Wingdings" w:char="F06C"/>
            </w:r>
          </w:p>
        </w:tc>
        <w:tc>
          <w:tcPr>
            <w:tcW w:w="473" w:type="dxa"/>
            <w:tcMar>
              <w:top w:w="15" w:type="dxa"/>
              <w:left w:w="27" w:type="dxa"/>
              <w:bottom w:w="0" w:type="dxa"/>
              <w:right w:w="27" w:type="dxa"/>
            </w:tcMar>
            <w:vAlign w:val="center"/>
          </w:tcPr>
          <w:p w14:paraId="6643378A">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sym w:font="Wingdings" w:char="F06C"/>
            </w:r>
          </w:p>
        </w:tc>
        <w:tc>
          <w:tcPr>
            <w:tcW w:w="471" w:type="dxa"/>
            <w:tcMar>
              <w:top w:w="15" w:type="dxa"/>
              <w:left w:w="27" w:type="dxa"/>
              <w:bottom w:w="0" w:type="dxa"/>
              <w:right w:w="27" w:type="dxa"/>
            </w:tcMar>
            <w:vAlign w:val="center"/>
          </w:tcPr>
          <w:p w14:paraId="3BB6A01F">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sym w:font="Wingdings" w:char="F06C"/>
            </w:r>
          </w:p>
        </w:tc>
        <w:tc>
          <w:tcPr>
            <w:tcW w:w="471" w:type="dxa"/>
            <w:tcMar>
              <w:top w:w="15" w:type="dxa"/>
              <w:left w:w="27" w:type="dxa"/>
              <w:bottom w:w="0" w:type="dxa"/>
              <w:right w:w="27" w:type="dxa"/>
            </w:tcMar>
            <w:vAlign w:val="center"/>
          </w:tcPr>
          <w:p w14:paraId="682989D2">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p>
        </w:tc>
        <w:tc>
          <w:tcPr>
            <w:tcW w:w="471" w:type="dxa"/>
            <w:tcMar>
              <w:top w:w="15" w:type="dxa"/>
              <w:left w:w="27" w:type="dxa"/>
              <w:bottom w:w="0" w:type="dxa"/>
              <w:right w:w="27" w:type="dxa"/>
            </w:tcMar>
            <w:vAlign w:val="center"/>
          </w:tcPr>
          <w:p w14:paraId="1C991ED9">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p>
        </w:tc>
        <w:tc>
          <w:tcPr>
            <w:tcW w:w="527" w:type="dxa"/>
            <w:tcMar>
              <w:top w:w="15" w:type="dxa"/>
              <w:left w:w="27" w:type="dxa"/>
              <w:bottom w:w="0" w:type="dxa"/>
              <w:right w:w="27" w:type="dxa"/>
            </w:tcMar>
            <w:vAlign w:val="center"/>
          </w:tcPr>
          <w:p w14:paraId="39413157">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sym w:font="Wingdings" w:char="F06C"/>
            </w:r>
          </w:p>
        </w:tc>
        <w:tc>
          <w:tcPr>
            <w:tcW w:w="458" w:type="dxa"/>
            <w:tcMar>
              <w:top w:w="15" w:type="dxa"/>
              <w:left w:w="27" w:type="dxa"/>
              <w:bottom w:w="0" w:type="dxa"/>
              <w:right w:w="27" w:type="dxa"/>
            </w:tcMar>
            <w:vAlign w:val="center"/>
          </w:tcPr>
          <w:p w14:paraId="150EAD86">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w:t>
            </w:r>
          </w:p>
        </w:tc>
        <w:tc>
          <w:tcPr>
            <w:tcW w:w="567" w:type="dxa"/>
            <w:tcMar>
              <w:top w:w="15" w:type="dxa"/>
              <w:left w:w="27" w:type="dxa"/>
              <w:bottom w:w="0" w:type="dxa"/>
              <w:right w:w="27" w:type="dxa"/>
            </w:tcMar>
            <w:vAlign w:val="center"/>
          </w:tcPr>
          <w:p w14:paraId="6F23BC21">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p>
        </w:tc>
        <w:tc>
          <w:tcPr>
            <w:tcW w:w="518" w:type="dxa"/>
            <w:tcMar>
              <w:top w:w="15" w:type="dxa"/>
              <w:left w:w="27" w:type="dxa"/>
              <w:bottom w:w="0" w:type="dxa"/>
              <w:right w:w="27" w:type="dxa"/>
            </w:tcMar>
            <w:vAlign w:val="center"/>
          </w:tcPr>
          <w:p w14:paraId="48F51EA5">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w:t>
            </w:r>
          </w:p>
        </w:tc>
        <w:tc>
          <w:tcPr>
            <w:tcW w:w="458" w:type="dxa"/>
            <w:tcMar>
              <w:top w:w="15" w:type="dxa"/>
              <w:left w:w="27" w:type="dxa"/>
              <w:bottom w:w="0" w:type="dxa"/>
              <w:right w:w="27" w:type="dxa"/>
            </w:tcMar>
            <w:vAlign w:val="center"/>
          </w:tcPr>
          <w:p w14:paraId="7EA58611">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p>
        </w:tc>
        <w:tc>
          <w:tcPr>
            <w:tcW w:w="508" w:type="dxa"/>
            <w:vAlign w:val="center"/>
          </w:tcPr>
          <w:p w14:paraId="2F152A1F">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p>
        </w:tc>
      </w:tr>
      <w:tr w14:paraId="4FF920B7">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0" w:type="dxa"/>
            <w:bottom w:w="0" w:type="dxa"/>
            <w:right w:w="0" w:type="dxa"/>
          </w:tblCellMar>
        </w:tblPrEx>
        <w:trPr>
          <w:trHeight w:val="31" w:hRule="atLeast"/>
          <w:jc w:val="center"/>
        </w:trPr>
        <w:tc>
          <w:tcPr>
            <w:tcW w:w="517" w:type="dxa"/>
            <w:vMerge w:val="continue"/>
            <w:vAlign w:val="center"/>
          </w:tcPr>
          <w:p w14:paraId="734DFD80">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p>
        </w:tc>
        <w:tc>
          <w:tcPr>
            <w:tcW w:w="1083" w:type="dxa"/>
            <w:tcMar>
              <w:top w:w="15" w:type="dxa"/>
              <w:left w:w="27" w:type="dxa"/>
              <w:bottom w:w="0" w:type="dxa"/>
              <w:right w:w="27" w:type="dxa"/>
            </w:tcMar>
            <w:vAlign w:val="center"/>
          </w:tcPr>
          <w:p w14:paraId="1202FF47">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土地利用与开发</w:t>
            </w:r>
          </w:p>
        </w:tc>
        <w:tc>
          <w:tcPr>
            <w:tcW w:w="480" w:type="dxa"/>
            <w:tcMar>
              <w:top w:w="15" w:type="dxa"/>
              <w:left w:w="27" w:type="dxa"/>
              <w:bottom w:w="0" w:type="dxa"/>
              <w:right w:w="27" w:type="dxa"/>
            </w:tcMar>
            <w:vAlign w:val="center"/>
          </w:tcPr>
          <w:p w14:paraId="1808104D">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sym w:font="Wingdings" w:char="F06E"/>
            </w:r>
          </w:p>
        </w:tc>
        <w:tc>
          <w:tcPr>
            <w:tcW w:w="485" w:type="dxa"/>
            <w:tcMar>
              <w:top w:w="15" w:type="dxa"/>
              <w:left w:w="27" w:type="dxa"/>
              <w:bottom w:w="0" w:type="dxa"/>
              <w:right w:w="27" w:type="dxa"/>
            </w:tcMar>
            <w:vAlign w:val="center"/>
          </w:tcPr>
          <w:p w14:paraId="086614B8">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sym w:font="Wingdings" w:char="F06E"/>
            </w:r>
          </w:p>
        </w:tc>
        <w:tc>
          <w:tcPr>
            <w:tcW w:w="471" w:type="dxa"/>
            <w:tcMar>
              <w:top w:w="15" w:type="dxa"/>
              <w:left w:w="27" w:type="dxa"/>
              <w:bottom w:w="0" w:type="dxa"/>
              <w:right w:w="27" w:type="dxa"/>
            </w:tcMar>
            <w:vAlign w:val="center"/>
          </w:tcPr>
          <w:p w14:paraId="4F3599E7">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sym w:font="Wingdings" w:char="F06C"/>
            </w:r>
          </w:p>
        </w:tc>
        <w:tc>
          <w:tcPr>
            <w:tcW w:w="486" w:type="dxa"/>
            <w:tcMar>
              <w:top w:w="15" w:type="dxa"/>
              <w:left w:w="27" w:type="dxa"/>
              <w:bottom w:w="0" w:type="dxa"/>
              <w:right w:w="27" w:type="dxa"/>
            </w:tcMar>
            <w:vAlign w:val="center"/>
          </w:tcPr>
          <w:p w14:paraId="565E228F">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p>
        </w:tc>
        <w:tc>
          <w:tcPr>
            <w:tcW w:w="473" w:type="dxa"/>
            <w:tcMar>
              <w:top w:w="15" w:type="dxa"/>
              <w:left w:w="27" w:type="dxa"/>
              <w:bottom w:w="0" w:type="dxa"/>
              <w:right w:w="27" w:type="dxa"/>
            </w:tcMar>
            <w:vAlign w:val="center"/>
          </w:tcPr>
          <w:p w14:paraId="7460BA83">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p>
        </w:tc>
        <w:tc>
          <w:tcPr>
            <w:tcW w:w="471" w:type="dxa"/>
            <w:tcMar>
              <w:top w:w="15" w:type="dxa"/>
              <w:left w:w="27" w:type="dxa"/>
              <w:bottom w:w="0" w:type="dxa"/>
              <w:right w:w="27" w:type="dxa"/>
            </w:tcMar>
            <w:vAlign w:val="center"/>
          </w:tcPr>
          <w:p w14:paraId="3DE02961">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p>
        </w:tc>
        <w:tc>
          <w:tcPr>
            <w:tcW w:w="471" w:type="dxa"/>
            <w:tcMar>
              <w:top w:w="15" w:type="dxa"/>
              <w:left w:w="27" w:type="dxa"/>
              <w:bottom w:w="0" w:type="dxa"/>
              <w:right w:w="27" w:type="dxa"/>
            </w:tcMar>
            <w:vAlign w:val="center"/>
          </w:tcPr>
          <w:p w14:paraId="5BA03665">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p>
        </w:tc>
        <w:tc>
          <w:tcPr>
            <w:tcW w:w="471" w:type="dxa"/>
            <w:tcMar>
              <w:top w:w="15" w:type="dxa"/>
              <w:left w:w="27" w:type="dxa"/>
              <w:bottom w:w="0" w:type="dxa"/>
              <w:right w:w="27" w:type="dxa"/>
            </w:tcMar>
            <w:vAlign w:val="center"/>
          </w:tcPr>
          <w:p w14:paraId="2C539776">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p>
        </w:tc>
        <w:tc>
          <w:tcPr>
            <w:tcW w:w="527" w:type="dxa"/>
            <w:tcMar>
              <w:top w:w="15" w:type="dxa"/>
              <w:left w:w="27" w:type="dxa"/>
              <w:bottom w:w="0" w:type="dxa"/>
              <w:right w:w="27" w:type="dxa"/>
            </w:tcMar>
            <w:vAlign w:val="center"/>
          </w:tcPr>
          <w:p w14:paraId="1DE64A62">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sym w:font="Wingdings" w:char="F06C"/>
            </w:r>
          </w:p>
        </w:tc>
        <w:tc>
          <w:tcPr>
            <w:tcW w:w="458" w:type="dxa"/>
            <w:tcMar>
              <w:top w:w="15" w:type="dxa"/>
              <w:left w:w="27" w:type="dxa"/>
              <w:bottom w:w="0" w:type="dxa"/>
              <w:right w:w="27" w:type="dxa"/>
            </w:tcMar>
            <w:vAlign w:val="center"/>
          </w:tcPr>
          <w:p w14:paraId="26C05424">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p>
        </w:tc>
        <w:tc>
          <w:tcPr>
            <w:tcW w:w="567" w:type="dxa"/>
            <w:tcMar>
              <w:top w:w="15" w:type="dxa"/>
              <w:left w:w="27" w:type="dxa"/>
              <w:bottom w:w="0" w:type="dxa"/>
              <w:right w:w="27" w:type="dxa"/>
            </w:tcMar>
            <w:vAlign w:val="center"/>
          </w:tcPr>
          <w:p w14:paraId="3B68A7F2">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w:t>
            </w:r>
          </w:p>
        </w:tc>
        <w:tc>
          <w:tcPr>
            <w:tcW w:w="518" w:type="dxa"/>
            <w:tcMar>
              <w:top w:w="15" w:type="dxa"/>
              <w:left w:w="27" w:type="dxa"/>
              <w:bottom w:w="0" w:type="dxa"/>
              <w:right w:w="27" w:type="dxa"/>
            </w:tcMar>
            <w:vAlign w:val="center"/>
          </w:tcPr>
          <w:p w14:paraId="38FFB19A">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p>
        </w:tc>
        <w:tc>
          <w:tcPr>
            <w:tcW w:w="458" w:type="dxa"/>
            <w:tcMar>
              <w:top w:w="15" w:type="dxa"/>
              <w:left w:w="27" w:type="dxa"/>
              <w:bottom w:w="0" w:type="dxa"/>
              <w:right w:w="27" w:type="dxa"/>
            </w:tcMar>
            <w:vAlign w:val="center"/>
          </w:tcPr>
          <w:p w14:paraId="444D2DBF">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w:t>
            </w:r>
          </w:p>
        </w:tc>
        <w:tc>
          <w:tcPr>
            <w:tcW w:w="508" w:type="dxa"/>
            <w:vAlign w:val="center"/>
          </w:tcPr>
          <w:p w14:paraId="5FE0D931">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p>
        </w:tc>
      </w:tr>
    </w:tbl>
    <w:p w14:paraId="2368E63F">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注：□/○：长期/短期有利影响；■/●：长期/短期不利影响；空白：相互作用不明显。</w:t>
      </w:r>
    </w:p>
    <w:p w14:paraId="0A55C998">
      <w:pPr>
        <w:spacing w:line="300" w:lineRule="auto"/>
        <w:ind w:firstLine="480" w:firstLineChars="200"/>
        <w:rPr>
          <w:rFonts w:ascii="Times New Roman" w:hAnsi="Times New Roman" w:eastAsia="宋体" w:cs="Times New Roman"/>
          <w:color w:val="000000"/>
          <w:sz w:val="24"/>
          <w:szCs w:val="22"/>
        </w:rPr>
      </w:pPr>
    </w:p>
    <w:p w14:paraId="1823835E">
      <w:pPr>
        <w:keepNext w:val="0"/>
        <w:keepLines w:val="0"/>
        <w:pageBreakBefore w:val="0"/>
        <w:widowControl w:val="0"/>
        <w:kinsoku/>
        <w:wordWrap/>
        <w:overflowPunct/>
        <w:topLinePunct w:val="0"/>
        <w:autoSpaceDE/>
        <w:autoSpaceDN/>
        <w:bidi w:val="0"/>
        <w:adjustRightInd/>
        <w:snapToGrid/>
        <w:spacing w:after="157" w:afterLines="50" w:line="300" w:lineRule="auto"/>
        <w:ind w:firstLine="480" w:firstLineChars="200"/>
        <w:textAlignment w:val="auto"/>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根据对拟建公路的特点、沿线环境特征、工程的环境影响要素分析和识别，筛选出主要的环境影响评价因子，见</w:t>
      </w:r>
      <w:r>
        <w:rPr>
          <w:rFonts w:ascii="Times New Roman" w:hAnsi="Times New Roman" w:eastAsia="宋体" w:cs="Times New Roman"/>
          <w:color w:val="000000"/>
          <w:sz w:val="24"/>
          <w:szCs w:val="22"/>
        </w:rPr>
        <w:fldChar w:fldCharType="begin"/>
      </w:r>
      <w:r>
        <w:rPr>
          <w:rFonts w:ascii="Times New Roman" w:hAnsi="Times New Roman" w:eastAsia="宋体" w:cs="Times New Roman"/>
          <w:color w:val="000000"/>
          <w:sz w:val="24"/>
          <w:szCs w:val="22"/>
        </w:rPr>
        <w:instrText xml:space="preserve"> REF _Ref220308938 \h  \* MERGEFORMAT </w:instrText>
      </w:r>
      <w:r>
        <w:rPr>
          <w:rFonts w:ascii="Times New Roman" w:hAnsi="Times New Roman" w:eastAsia="宋体" w:cs="Times New Roman"/>
          <w:color w:val="000000"/>
          <w:sz w:val="24"/>
          <w:szCs w:val="22"/>
        </w:rPr>
        <w:fldChar w:fldCharType="separate"/>
      </w:r>
      <w:r>
        <w:rPr>
          <w:rFonts w:ascii="Times New Roman" w:hAnsi="Times New Roman" w:eastAsia="宋体" w:cs="Times New Roman"/>
          <w:color w:val="000000"/>
          <w:sz w:val="24"/>
          <w:szCs w:val="22"/>
        </w:rPr>
        <w:t>表 1.</w:t>
      </w:r>
      <w:r>
        <w:rPr>
          <w:rFonts w:hint="eastAsia" w:ascii="Times New Roman" w:hAnsi="Times New Roman" w:eastAsia="宋体" w:cs="Times New Roman"/>
          <w:color w:val="000000"/>
          <w:sz w:val="24"/>
          <w:szCs w:val="22"/>
          <w:lang w:val="en-US" w:eastAsia="zh-CN"/>
        </w:rPr>
        <w:t>5</w:t>
      </w:r>
      <w:r>
        <w:rPr>
          <w:rFonts w:ascii="Times New Roman" w:hAnsi="Times New Roman" w:eastAsia="宋体" w:cs="Times New Roman"/>
          <w:color w:val="000000"/>
          <w:sz w:val="24"/>
          <w:szCs w:val="22"/>
        </w:rPr>
        <w:noBreakHyphen/>
      </w:r>
      <w:r>
        <w:rPr>
          <w:rFonts w:ascii="Times New Roman" w:hAnsi="Times New Roman" w:eastAsia="宋体" w:cs="Times New Roman"/>
          <w:color w:val="000000"/>
          <w:sz w:val="24"/>
          <w:szCs w:val="22"/>
        </w:rPr>
        <w:t>2</w:t>
      </w:r>
      <w:r>
        <w:rPr>
          <w:rFonts w:ascii="Times New Roman" w:hAnsi="Times New Roman" w:eastAsia="宋体" w:cs="Times New Roman"/>
          <w:color w:val="000000"/>
          <w:sz w:val="24"/>
          <w:szCs w:val="22"/>
        </w:rPr>
        <w:fldChar w:fldCharType="end"/>
      </w:r>
      <w:r>
        <w:rPr>
          <w:rFonts w:ascii="Times New Roman" w:hAnsi="Times New Roman" w:eastAsia="宋体" w:cs="Times New Roman"/>
          <w:color w:val="000000"/>
          <w:sz w:val="24"/>
          <w:szCs w:val="22"/>
        </w:rPr>
        <w:t>。</w:t>
      </w:r>
    </w:p>
    <w:p w14:paraId="7726F751">
      <w:pPr>
        <w:keepNext/>
        <w:widowControl w:val="0"/>
        <w:spacing w:line="240" w:lineRule="auto"/>
        <w:ind w:firstLine="0" w:firstLineChars="0"/>
        <w:jc w:val="center"/>
        <w:rPr>
          <w:rFonts w:ascii="Times New Roman" w:hAnsi="Times New Roman" w:eastAsia="宋体" w:cs="Times New Roman"/>
          <w:b/>
          <w:color w:val="000000"/>
          <w:kern w:val="2"/>
          <w:sz w:val="21"/>
          <w:szCs w:val="20"/>
          <w:lang w:val="en-US" w:eastAsia="zh-CN" w:bidi="ar-SA"/>
        </w:rPr>
      </w:pPr>
      <w:bookmarkStart w:id="270" w:name="_Ref220308938"/>
      <w:r>
        <w:rPr>
          <w:rFonts w:ascii="Times New Roman" w:hAnsi="Times New Roman" w:eastAsia="宋体" w:cs="Times New Roman"/>
          <w:b/>
          <w:color w:val="000000"/>
          <w:kern w:val="2"/>
          <w:sz w:val="21"/>
          <w:szCs w:val="20"/>
          <w:lang w:val="en-US" w:eastAsia="zh-CN" w:bidi="ar-SA"/>
        </w:rPr>
        <w:t xml:space="preserve">表 </w:t>
      </w:r>
      <w:r>
        <w:rPr>
          <w:rFonts w:ascii="Times New Roman" w:hAnsi="Times New Roman" w:eastAsia="宋体" w:cs="Times New Roman"/>
          <w:b/>
          <w:color w:val="000000"/>
          <w:kern w:val="2"/>
          <w:sz w:val="21"/>
          <w:szCs w:val="20"/>
          <w:lang w:val="en-US" w:eastAsia="zh-CN" w:bidi="ar-SA"/>
        </w:rPr>
        <w:fldChar w:fldCharType="begin"/>
      </w:r>
      <w:r>
        <w:rPr>
          <w:rFonts w:ascii="Times New Roman" w:hAnsi="Times New Roman" w:eastAsia="宋体" w:cs="Times New Roman"/>
          <w:b/>
          <w:color w:val="000000"/>
          <w:kern w:val="2"/>
          <w:sz w:val="21"/>
          <w:szCs w:val="20"/>
          <w:lang w:val="en-US" w:eastAsia="zh-CN" w:bidi="ar-SA"/>
        </w:rPr>
        <w:instrText xml:space="preserve"> STYLEREF 2 \s </w:instrText>
      </w:r>
      <w:r>
        <w:rPr>
          <w:rFonts w:ascii="Times New Roman" w:hAnsi="Times New Roman" w:eastAsia="宋体" w:cs="Times New Roman"/>
          <w:b/>
          <w:color w:val="000000"/>
          <w:kern w:val="2"/>
          <w:sz w:val="21"/>
          <w:szCs w:val="20"/>
          <w:lang w:val="en-US" w:eastAsia="zh-CN" w:bidi="ar-SA"/>
        </w:rPr>
        <w:fldChar w:fldCharType="separate"/>
      </w:r>
      <w:r>
        <w:rPr>
          <w:rFonts w:ascii="Times New Roman" w:hAnsi="Times New Roman" w:eastAsia="宋体" w:cs="Times New Roman"/>
          <w:b/>
          <w:color w:val="000000"/>
          <w:kern w:val="2"/>
          <w:sz w:val="21"/>
          <w:szCs w:val="20"/>
          <w:lang w:val="en-US" w:eastAsia="zh-CN" w:bidi="ar-SA"/>
        </w:rPr>
        <w:t>1.</w:t>
      </w:r>
      <w:r>
        <w:rPr>
          <w:rFonts w:hint="eastAsia" w:ascii="Times New Roman" w:hAnsi="Times New Roman" w:eastAsia="宋体" w:cs="Times New Roman"/>
          <w:b/>
          <w:color w:val="000000"/>
          <w:kern w:val="2"/>
          <w:sz w:val="21"/>
          <w:szCs w:val="20"/>
          <w:lang w:val="en-US" w:eastAsia="zh-CN" w:bidi="ar-SA"/>
        </w:rPr>
        <w:t>5</w:t>
      </w:r>
      <w:r>
        <w:rPr>
          <w:rFonts w:ascii="Times New Roman" w:hAnsi="Times New Roman" w:eastAsia="宋体" w:cs="Times New Roman"/>
          <w:b/>
          <w:color w:val="000000"/>
          <w:kern w:val="2"/>
          <w:sz w:val="21"/>
          <w:szCs w:val="20"/>
          <w:lang w:val="en-US" w:eastAsia="zh-CN" w:bidi="ar-SA"/>
        </w:rPr>
        <w:fldChar w:fldCharType="end"/>
      </w:r>
      <w:r>
        <w:rPr>
          <w:rFonts w:ascii="Times New Roman" w:hAnsi="Times New Roman" w:eastAsia="宋体" w:cs="Times New Roman"/>
          <w:b/>
          <w:color w:val="000000"/>
          <w:kern w:val="2"/>
          <w:sz w:val="21"/>
          <w:szCs w:val="20"/>
          <w:lang w:val="en-US" w:eastAsia="zh-CN" w:bidi="ar-SA"/>
        </w:rPr>
        <w:noBreakHyphen/>
      </w:r>
      <w:r>
        <w:rPr>
          <w:rFonts w:ascii="Times New Roman" w:hAnsi="Times New Roman" w:eastAsia="宋体" w:cs="Times New Roman"/>
          <w:b/>
          <w:color w:val="000000"/>
          <w:kern w:val="2"/>
          <w:sz w:val="21"/>
          <w:szCs w:val="20"/>
          <w:lang w:val="en-US" w:eastAsia="zh-CN" w:bidi="ar-SA"/>
        </w:rPr>
        <w:fldChar w:fldCharType="begin"/>
      </w:r>
      <w:r>
        <w:rPr>
          <w:rFonts w:ascii="Times New Roman" w:hAnsi="Times New Roman" w:eastAsia="宋体" w:cs="Times New Roman"/>
          <w:b/>
          <w:color w:val="000000"/>
          <w:kern w:val="2"/>
          <w:sz w:val="21"/>
          <w:szCs w:val="20"/>
          <w:lang w:val="en-US" w:eastAsia="zh-CN" w:bidi="ar-SA"/>
        </w:rPr>
        <w:instrText xml:space="preserve"> SEQ 表 \* ARABIC \s 2 </w:instrText>
      </w:r>
      <w:r>
        <w:rPr>
          <w:rFonts w:ascii="Times New Roman" w:hAnsi="Times New Roman" w:eastAsia="宋体" w:cs="Times New Roman"/>
          <w:b/>
          <w:color w:val="000000"/>
          <w:kern w:val="2"/>
          <w:sz w:val="21"/>
          <w:szCs w:val="20"/>
          <w:lang w:val="en-US" w:eastAsia="zh-CN" w:bidi="ar-SA"/>
        </w:rPr>
        <w:fldChar w:fldCharType="separate"/>
      </w:r>
      <w:r>
        <w:rPr>
          <w:rFonts w:ascii="Times New Roman" w:hAnsi="Times New Roman" w:eastAsia="宋体" w:cs="Times New Roman"/>
          <w:b/>
          <w:color w:val="000000"/>
          <w:kern w:val="2"/>
          <w:sz w:val="21"/>
          <w:szCs w:val="20"/>
          <w:lang w:val="en-US" w:eastAsia="zh-CN" w:bidi="ar-SA"/>
        </w:rPr>
        <w:t>2</w:t>
      </w:r>
      <w:r>
        <w:rPr>
          <w:rFonts w:ascii="Times New Roman" w:hAnsi="Times New Roman" w:eastAsia="宋体" w:cs="Times New Roman"/>
          <w:b/>
          <w:color w:val="000000"/>
          <w:kern w:val="2"/>
          <w:sz w:val="21"/>
          <w:szCs w:val="20"/>
          <w:lang w:val="en-US" w:eastAsia="zh-CN" w:bidi="ar-SA"/>
        </w:rPr>
        <w:fldChar w:fldCharType="end"/>
      </w:r>
      <w:bookmarkEnd w:id="270"/>
      <w:r>
        <w:rPr>
          <w:rFonts w:ascii="Times New Roman" w:hAnsi="Times New Roman" w:eastAsia="宋体" w:cs="Times New Roman"/>
          <w:b/>
          <w:color w:val="000000"/>
          <w:kern w:val="2"/>
          <w:sz w:val="21"/>
          <w:szCs w:val="20"/>
          <w:lang w:val="en-US" w:eastAsia="zh-CN" w:bidi="ar-SA"/>
        </w:rPr>
        <w:t xml:space="preserve">  拟建</w:t>
      </w:r>
      <w:r>
        <w:rPr>
          <w:rFonts w:hint="eastAsia" w:ascii="Times New Roman" w:hAnsi="Times New Roman" w:eastAsia="宋体" w:cs="Times New Roman"/>
          <w:b/>
          <w:color w:val="000000"/>
          <w:kern w:val="2"/>
          <w:sz w:val="21"/>
          <w:szCs w:val="20"/>
          <w:lang w:val="en-US" w:eastAsia="zh-CN" w:bidi="ar-SA"/>
        </w:rPr>
        <w:t>公路</w:t>
      </w:r>
      <w:r>
        <w:rPr>
          <w:rFonts w:ascii="Times New Roman" w:hAnsi="Times New Roman" w:eastAsia="宋体" w:cs="Times New Roman"/>
          <w:b/>
          <w:color w:val="000000"/>
          <w:kern w:val="2"/>
          <w:sz w:val="21"/>
          <w:szCs w:val="20"/>
          <w:lang w:val="en-US" w:eastAsia="zh-CN" w:bidi="ar-SA"/>
        </w:rPr>
        <w:t>生态影响评价因子筛选表</w:t>
      </w:r>
    </w:p>
    <w:tbl>
      <w:tblPr>
        <w:tblStyle w:val="22"/>
        <w:tblW w:w="4947" w:type="pct"/>
        <w:jc w:val="center"/>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680"/>
        <w:gridCol w:w="1007"/>
        <w:gridCol w:w="1421"/>
        <w:gridCol w:w="3142"/>
        <w:gridCol w:w="1226"/>
        <w:gridCol w:w="997"/>
      </w:tblGrid>
      <w:tr w14:paraId="2CC63F77">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tblHeader/>
          <w:jc w:val="center"/>
        </w:trPr>
        <w:tc>
          <w:tcPr>
            <w:tcW w:w="401" w:type="pct"/>
            <w:vAlign w:val="center"/>
          </w:tcPr>
          <w:p w14:paraId="5A427E46">
            <w:pPr>
              <w:widowControl w:val="0"/>
              <w:spacing w:line="240" w:lineRule="auto"/>
              <w:ind w:firstLine="0" w:firstLineChars="0"/>
              <w:jc w:val="center"/>
              <w:rPr>
                <w:rFonts w:ascii="Times New Roman" w:hAnsi="Times New Roman" w:eastAsia="宋体" w:cs="Times New Roman"/>
                <w:b/>
                <w:bCs/>
                <w:color w:val="000000"/>
                <w:kern w:val="2"/>
                <w:sz w:val="21"/>
                <w:szCs w:val="22"/>
                <w:lang w:val="en-US" w:eastAsia="zh-CN" w:bidi="ar-SA"/>
              </w:rPr>
            </w:pPr>
            <w:r>
              <w:rPr>
                <w:rFonts w:ascii="Times New Roman" w:hAnsi="Times New Roman" w:eastAsia="宋体" w:cs="Times New Roman"/>
                <w:b/>
                <w:bCs/>
                <w:color w:val="000000"/>
                <w:kern w:val="2"/>
                <w:sz w:val="21"/>
                <w:szCs w:val="22"/>
                <w:lang w:val="en-US" w:eastAsia="zh-CN" w:bidi="ar-SA"/>
              </w:rPr>
              <w:t>影响时期</w:t>
            </w:r>
          </w:p>
        </w:tc>
        <w:tc>
          <w:tcPr>
            <w:tcW w:w="594" w:type="pct"/>
            <w:vAlign w:val="center"/>
          </w:tcPr>
          <w:p w14:paraId="6BA6DC92">
            <w:pPr>
              <w:widowControl w:val="0"/>
              <w:spacing w:line="240" w:lineRule="auto"/>
              <w:ind w:firstLine="0" w:firstLineChars="0"/>
              <w:jc w:val="center"/>
              <w:rPr>
                <w:rFonts w:ascii="Times New Roman" w:hAnsi="Times New Roman" w:eastAsia="宋体" w:cs="Times New Roman"/>
                <w:b/>
                <w:bCs/>
                <w:color w:val="000000"/>
                <w:kern w:val="2"/>
                <w:sz w:val="21"/>
                <w:szCs w:val="22"/>
                <w:lang w:val="en-US" w:eastAsia="zh-CN" w:bidi="ar-SA"/>
              </w:rPr>
            </w:pPr>
            <w:r>
              <w:rPr>
                <w:rFonts w:ascii="Times New Roman" w:hAnsi="Times New Roman" w:eastAsia="宋体" w:cs="Times New Roman"/>
                <w:b/>
                <w:bCs/>
                <w:color w:val="000000"/>
                <w:kern w:val="2"/>
                <w:sz w:val="21"/>
                <w:szCs w:val="22"/>
                <w:lang w:val="en-US" w:eastAsia="zh-CN" w:bidi="ar-SA"/>
              </w:rPr>
              <w:t>受影响</w:t>
            </w:r>
          </w:p>
          <w:p w14:paraId="43F32403">
            <w:pPr>
              <w:widowControl w:val="0"/>
              <w:spacing w:line="240" w:lineRule="auto"/>
              <w:ind w:firstLine="0" w:firstLineChars="0"/>
              <w:jc w:val="center"/>
              <w:rPr>
                <w:rFonts w:ascii="Times New Roman" w:hAnsi="Times New Roman" w:eastAsia="宋体" w:cs="Times New Roman"/>
                <w:b/>
                <w:bCs/>
                <w:color w:val="000000"/>
                <w:kern w:val="2"/>
                <w:sz w:val="21"/>
                <w:szCs w:val="22"/>
                <w:lang w:val="en-US" w:eastAsia="zh-CN" w:bidi="ar-SA"/>
              </w:rPr>
            </w:pPr>
            <w:r>
              <w:rPr>
                <w:rFonts w:ascii="Times New Roman" w:hAnsi="Times New Roman" w:eastAsia="宋体" w:cs="Times New Roman"/>
                <w:b/>
                <w:bCs/>
                <w:color w:val="000000"/>
                <w:kern w:val="2"/>
                <w:sz w:val="21"/>
                <w:szCs w:val="22"/>
                <w:lang w:val="en-US" w:eastAsia="zh-CN" w:bidi="ar-SA"/>
              </w:rPr>
              <w:t>对象</w:t>
            </w:r>
          </w:p>
        </w:tc>
        <w:tc>
          <w:tcPr>
            <w:tcW w:w="838" w:type="pct"/>
            <w:vAlign w:val="center"/>
          </w:tcPr>
          <w:p w14:paraId="61B96619">
            <w:pPr>
              <w:widowControl w:val="0"/>
              <w:spacing w:line="240" w:lineRule="auto"/>
              <w:ind w:firstLine="0" w:firstLineChars="0"/>
              <w:jc w:val="center"/>
              <w:rPr>
                <w:rFonts w:ascii="Times New Roman" w:hAnsi="Times New Roman" w:eastAsia="宋体" w:cs="Times New Roman"/>
                <w:b/>
                <w:bCs/>
                <w:color w:val="000000"/>
                <w:kern w:val="2"/>
                <w:sz w:val="21"/>
                <w:szCs w:val="22"/>
                <w:lang w:val="en-US" w:eastAsia="zh-CN" w:bidi="ar-SA"/>
              </w:rPr>
            </w:pPr>
            <w:r>
              <w:rPr>
                <w:rFonts w:ascii="Times New Roman" w:hAnsi="Times New Roman" w:eastAsia="宋体" w:cs="Times New Roman"/>
                <w:b/>
                <w:bCs/>
                <w:color w:val="000000"/>
                <w:kern w:val="2"/>
                <w:sz w:val="21"/>
                <w:szCs w:val="22"/>
                <w:lang w:val="en-US" w:eastAsia="zh-CN" w:bidi="ar-SA"/>
              </w:rPr>
              <w:t>评价因子</w:t>
            </w:r>
          </w:p>
        </w:tc>
        <w:tc>
          <w:tcPr>
            <w:tcW w:w="1853" w:type="pct"/>
            <w:vAlign w:val="center"/>
          </w:tcPr>
          <w:p w14:paraId="208EB336">
            <w:pPr>
              <w:widowControl w:val="0"/>
              <w:spacing w:line="240" w:lineRule="auto"/>
              <w:ind w:firstLine="0" w:firstLineChars="0"/>
              <w:jc w:val="center"/>
              <w:rPr>
                <w:rFonts w:ascii="Times New Roman" w:hAnsi="Times New Roman" w:eastAsia="宋体" w:cs="Times New Roman"/>
                <w:b/>
                <w:bCs/>
                <w:color w:val="000000"/>
                <w:kern w:val="2"/>
                <w:sz w:val="21"/>
                <w:szCs w:val="22"/>
                <w:lang w:val="en-US" w:eastAsia="zh-CN" w:bidi="ar-SA"/>
              </w:rPr>
            </w:pPr>
            <w:r>
              <w:rPr>
                <w:rFonts w:ascii="Times New Roman" w:hAnsi="Times New Roman" w:eastAsia="宋体" w:cs="Times New Roman"/>
                <w:b/>
                <w:bCs/>
                <w:color w:val="000000"/>
                <w:kern w:val="2"/>
                <w:sz w:val="21"/>
                <w:szCs w:val="22"/>
                <w:lang w:val="en-US" w:eastAsia="zh-CN" w:bidi="ar-SA"/>
              </w:rPr>
              <w:t>工程内容及影响方式</w:t>
            </w:r>
          </w:p>
        </w:tc>
        <w:tc>
          <w:tcPr>
            <w:tcW w:w="723" w:type="pct"/>
            <w:vAlign w:val="center"/>
          </w:tcPr>
          <w:p w14:paraId="1D7DE833">
            <w:pPr>
              <w:widowControl w:val="0"/>
              <w:spacing w:line="240" w:lineRule="auto"/>
              <w:ind w:firstLine="0" w:firstLineChars="0"/>
              <w:jc w:val="center"/>
              <w:rPr>
                <w:rFonts w:ascii="Times New Roman" w:hAnsi="Times New Roman" w:eastAsia="宋体" w:cs="Times New Roman"/>
                <w:b/>
                <w:bCs/>
                <w:color w:val="000000"/>
                <w:kern w:val="2"/>
                <w:sz w:val="21"/>
                <w:szCs w:val="22"/>
                <w:lang w:val="en-US" w:eastAsia="zh-CN" w:bidi="ar-SA"/>
              </w:rPr>
            </w:pPr>
            <w:r>
              <w:rPr>
                <w:rFonts w:ascii="Times New Roman" w:hAnsi="Times New Roman" w:eastAsia="宋体" w:cs="Times New Roman"/>
                <w:b/>
                <w:bCs/>
                <w:color w:val="000000"/>
                <w:kern w:val="2"/>
                <w:sz w:val="21"/>
                <w:szCs w:val="22"/>
                <w:lang w:val="en-US" w:eastAsia="zh-CN" w:bidi="ar-SA"/>
              </w:rPr>
              <w:t>影响性质</w:t>
            </w:r>
          </w:p>
        </w:tc>
        <w:tc>
          <w:tcPr>
            <w:tcW w:w="588" w:type="pct"/>
            <w:vAlign w:val="center"/>
          </w:tcPr>
          <w:p w14:paraId="0241AE3E">
            <w:pPr>
              <w:widowControl w:val="0"/>
              <w:spacing w:line="240" w:lineRule="auto"/>
              <w:ind w:firstLine="0" w:firstLineChars="0"/>
              <w:jc w:val="center"/>
              <w:rPr>
                <w:rFonts w:ascii="Times New Roman" w:hAnsi="Times New Roman" w:eastAsia="宋体" w:cs="Times New Roman"/>
                <w:b/>
                <w:bCs/>
                <w:color w:val="000000"/>
                <w:kern w:val="2"/>
                <w:sz w:val="21"/>
                <w:szCs w:val="22"/>
                <w:lang w:val="en-US" w:eastAsia="zh-CN" w:bidi="ar-SA"/>
              </w:rPr>
            </w:pPr>
            <w:r>
              <w:rPr>
                <w:rFonts w:ascii="Times New Roman" w:hAnsi="Times New Roman" w:eastAsia="宋体" w:cs="Times New Roman"/>
                <w:b/>
                <w:bCs/>
                <w:color w:val="000000"/>
                <w:kern w:val="2"/>
                <w:sz w:val="21"/>
                <w:szCs w:val="22"/>
                <w:lang w:val="en-US" w:eastAsia="zh-CN" w:bidi="ar-SA"/>
              </w:rPr>
              <w:t>影响程度</w:t>
            </w:r>
          </w:p>
        </w:tc>
      </w:tr>
      <w:tr w14:paraId="5F3F06FE">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401" w:type="pct"/>
            <w:vMerge w:val="restart"/>
            <w:vAlign w:val="center"/>
          </w:tcPr>
          <w:p w14:paraId="4C7D81E3">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施工期</w:t>
            </w:r>
          </w:p>
        </w:tc>
        <w:tc>
          <w:tcPr>
            <w:tcW w:w="594" w:type="pct"/>
            <w:vAlign w:val="center"/>
          </w:tcPr>
          <w:p w14:paraId="05ECC127">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物种</w:t>
            </w:r>
          </w:p>
        </w:tc>
        <w:tc>
          <w:tcPr>
            <w:tcW w:w="838" w:type="pct"/>
            <w:vAlign w:val="center"/>
          </w:tcPr>
          <w:p w14:paraId="66BAA6EB">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分布范围、种群数量、种群结构、行为等</w:t>
            </w:r>
          </w:p>
        </w:tc>
        <w:tc>
          <w:tcPr>
            <w:tcW w:w="1853" w:type="pct"/>
            <w:vAlign w:val="center"/>
          </w:tcPr>
          <w:p w14:paraId="21A27697">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路基、路面和沿线设施施工对植物物种的分布范围的占用，工程施工、运行导致个体直接死亡，生境面积和质量下降导致个体死亡、造成种群数量的减少，影响种群结构，施工活动对野生动物行为产生干扰</w:t>
            </w:r>
          </w:p>
        </w:tc>
        <w:tc>
          <w:tcPr>
            <w:tcW w:w="723" w:type="pct"/>
            <w:vAlign w:val="center"/>
          </w:tcPr>
          <w:p w14:paraId="70AC43F0">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短期、可逆</w:t>
            </w:r>
          </w:p>
        </w:tc>
        <w:tc>
          <w:tcPr>
            <w:tcW w:w="588" w:type="pct"/>
            <w:vAlign w:val="center"/>
          </w:tcPr>
          <w:p w14:paraId="1BB73A29">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强</w:t>
            </w:r>
          </w:p>
        </w:tc>
      </w:tr>
      <w:tr w14:paraId="7C50C0D2">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401" w:type="pct"/>
            <w:vMerge w:val="continue"/>
            <w:vAlign w:val="center"/>
          </w:tcPr>
          <w:p w14:paraId="0FFC1EC9">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p>
        </w:tc>
        <w:tc>
          <w:tcPr>
            <w:tcW w:w="594" w:type="pct"/>
            <w:vAlign w:val="center"/>
          </w:tcPr>
          <w:p w14:paraId="5635B6B2">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生境</w:t>
            </w:r>
          </w:p>
        </w:tc>
        <w:tc>
          <w:tcPr>
            <w:tcW w:w="838" w:type="pct"/>
            <w:vAlign w:val="center"/>
          </w:tcPr>
          <w:p w14:paraId="65AEB4E9">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生境面积、质量、连通性等</w:t>
            </w:r>
          </w:p>
        </w:tc>
        <w:tc>
          <w:tcPr>
            <w:tcW w:w="1853" w:type="pct"/>
            <w:vAlign w:val="center"/>
          </w:tcPr>
          <w:p w14:paraId="7A5F3E36">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临时、永久占地导致生境直接破坏或丧失，种群数量下降或种群生存能力降低对质量的影响</w:t>
            </w:r>
          </w:p>
        </w:tc>
        <w:tc>
          <w:tcPr>
            <w:tcW w:w="723" w:type="pct"/>
            <w:vAlign w:val="center"/>
          </w:tcPr>
          <w:p w14:paraId="32E28937">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短期、不可逆</w:t>
            </w:r>
          </w:p>
        </w:tc>
        <w:tc>
          <w:tcPr>
            <w:tcW w:w="588" w:type="pct"/>
            <w:vAlign w:val="center"/>
          </w:tcPr>
          <w:p w14:paraId="37B6D687">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强</w:t>
            </w:r>
          </w:p>
        </w:tc>
      </w:tr>
      <w:tr w14:paraId="3F49B062">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401" w:type="pct"/>
            <w:vMerge w:val="continue"/>
            <w:vAlign w:val="center"/>
          </w:tcPr>
          <w:p w14:paraId="410238F1">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p>
        </w:tc>
        <w:tc>
          <w:tcPr>
            <w:tcW w:w="594" w:type="pct"/>
            <w:vAlign w:val="center"/>
          </w:tcPr>
          <w:p w14:paraId="0D4F4ABF">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生物群落</w:t>
            </w:r>
          </w:p>
        </w:tc>
        <w:tc>
          <w:tcPr>
            <w:tcW w:w="838" w:type="pct"/>
            <w:vAlign w:val="center"/>
          </w:tcPr>
          <w:p w14:paraId="35F34905">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物种组成、群落结构等</w:t>
            </w:r>
          </w:p>
        </w:tc>
        <w:tc>
          <w:tcPr>
            <w:tcW w:w="1853" w:type="pct"/>
            <w:vAlign w:val="center"/>
          </w:tcPr>
          <w:p w14:paraId="5145112B">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路基、路面和沿线设施施工对土地占用造成的直接生态影响：包括临时、永久占地导致生境直接破坏或丧失；工程施工、运行导致个体直接死亡；施工活动对野生动物行为产生干扰</w:t>
            </w:r>
          </w:p>
        </w:tc>
        <w:tc>
          <w:tcPr>
            <w:tcW w:w="723" w:type="pct"/>
            <w:vAlign w:val="center"/>
          </w:tcPr>
          <w:p w14:paraId="61B07BFB">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短期、可逆</w:t>
            </w:r>
          </w:p>
        </w:tc>
        <w:tc>
          <w:tcPr>
            <w:tcW w:w="588" w:type="pct"/>
            <w:vAlign w:val="center"/>
          </w:tcPr>
          <w:p w14:paraId="4A913276">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强</w:t>
            </w:r>
          </w:p>
        </w:tc>
      </w:tr>
      <w:tr w14:paraId="45AA7287">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401" w:type="pct"/>
            <w:vMerge w:val="continue"/>
            <w:vAlign w:val="center"/>
          </w:tcPr>
          <w:p w14:paraId="08B36623">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p>
        </w:tc>
        <w:tc>
          <w:tcPr>
            <w:tcW w:w="594" w:type="pct"/>
            <w:vAlign w:val="center"/>
          </w:tcPr>
          <w:p w14:paraId="0DE2DD93">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生态系统</w:t>
            </w:r>
          </w:p>
        </w:tc>
        <w:tc>
          <w:tcPr>
            <w:tcW w:w="838" w:type="pct"/>
            <w:vAlign w:val="center"/>
          </w:tcPr>
          <w:p w14:paraId="1C4994FC">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植被覆盖度、生产力、生物量、生态系统功能等</w:t>
            </w:r>
          </w:p>
        </w:tc>
        <w:tc>
          <w:tcPr>
            <w:tcW w:w="1853" w:type="pct"/>
            <w:vAlign w:val="center"/>
          </w:tcPr>
          <w:p w14:paraId="22CD511E">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土地占用对农林业生产、土壤及地貌的影响，对植被覆盖度、生产力及生物量的影响</w:t>
            </w:r>
          </w:p>
        </w:tc>
        <w:tc>
          <w:tcPr>
            <w:tcW w:w="723" w:type="pct"/>
            <w:vAlign w:val="center"/>
          </w:tcPr>
          <w:p w14:paraId="68F39F30">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短期、可逆</w:t>
            </w:r>
          </w:p>
        </w:tc>
        <w:tc>
          <w:tcPr>
            <w:tcW w:w="588" w:type="pct"/>
            <w:vAlign w:val="center"/>
          </w:tcPr>
          <w:p w14:paraId="7B79F91C">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强</w:t>
            </w:r>
          </w:p>
        </w:tc>
      </w:tr>
    </w:tbl>
    <w:p w14:paraId="120F09E0">
      <w:pPr>
        <w:spacing w:line="300" w:lineRule="auto"/>
        <w:ind w:firstLine="480" w:firstLineChars="200"/>
        <w:rPr>
          <w:rFonts w:ascii="Times New Roman" w:hAnsi="Times New Roman" w:eastAsia="宋体" w:cs="Times New Roman"/>
          <w:color w:val="000000"/>
          <w:sz w:val="24"/>
          <w:szCs w:val="22"/>
        </w:rPr>
      </w:pPr>
    </w:p>
    <w:p w14:paraId="5C13C7C2">
      <w:pPr>
        <w:spacing w:line="300" w:lineRule="auto"/>
        <w:ind w:firstLine="480" w:firstLineChars="200"/>
        <w:rPr>
          <w:rFonts w:ascii="Times New Roman" w:hAnsi="Times New Roman" w:eastAsia="宋体" w:cs="Times New Roman"/>
          <w:color w:val="000000"/>
          <w:sz w:val="24"/>
          <w:szCs w:val="22"/>
        </w:rPr>
      </w:pPr>
    </w:p>
    <w:p w14:paraId="010E5AF9">
      <w:pPr>
        <w:widowControl w:val="0"/>
        <w:jc w:val="center"/>
        <w:rPr>
          <w:rFonts w:ascii="Times New Roman" w:hAnsi="Times New Roman" w:eastAsia="宋体" w:cs="Times New Roman"/>
          <w:b/>
          <w:color w:val="000000"/>
          <w:kern w:val="2"/>
          <w:sz w:val="21"/>
          <w:szCs w:val="22"/>
          <w:lang w:val="en-US" w:eastAsia="zh-CN" w:bidi="ar-SA"/>
        </w:rPr>
      </w:pPr>
    </w:p>
    <w:p w14:paraId="7325AB60">
      <w:pPr>
        <w:widowControl w:val="0"/>
        <w:jc w:val="center"/>
        <w:rPr>
          <w:rFonts w:ascii="Times New Roman" w:hAnsi="Times New Roman" w:eastAsia="宋体" w:cs="Times New Roman"/>
          <w:b/>
          <w:color w:val="000000"/>
          <w:kern w:val="2"/>
          <w:sz w:val="21"/>
          <w:szCs w:val="22"/>
          <w:lang w:val="en-US" w:eastAsia="zh-CN" w:bidi="ar-SA"/>
        </w:rPr>
      </w:pPr>
      <w:r>
        <w:rPr>
          <w:rFonts w:ascii="Times New Roman" w:hAnsi="Times New Roman" w:eastAsia="宋体" w:cs="Times New Roman"/>
          <w:b/>
          <w:color w:val="000000"/>
          <w:kern w:val="2"/>
          <w:sz w:val="21"/>
          <w:szCs w:val="22"/>
          <w:lang w:val="en-US" w:eastAsia="zh-CN" w:bidi="ar-SA"/>
        </w:rPr>
        <w:t>续 表1.</w:t>
      </w:r>
      <w:r>
        <w:rPr>
          <w:rFonts w:hint="eastAsia" w:ascii="Times New Roman" w:hAnsi="Times New Roman" w:eastAsia="宋体" w:cs="Times New Roman"/>
          <w:b/>
          <w:color w:val="000000"/>
          <w:kern w:val="2"/>
          <w:sz w:val="21"/>
          <w:szCs w:val="22"/>
          <w:lang w:val="en-US" w:eastAsia="zh-CN" w:bidi="ar-SA"/>
        </w:rPr>
        <w:t>5</w:t>
      </w:r>
      <w:r>
        <w:rPr>
          <w:rFonts w:ascii="Times New Roman" w:hAnsi="Times New Roman" w:eastAsia="宋体" w:cs="Times New Roman"/>
          <w:b/>
          <w:color w:val="000000"/>
          <w:kern w:val="2"/>
          <w:sz w:val="21"/>
          <w:szCs w:val="22"/>
          <w:lang w:val="en-US" w:eastAsia="zh-CN" w:bidi="ar-SA"/>
        </w:rPr>
        <w:t>-2  拟建</w:t>
      </w:r>
      <w:r>
        <w:rPr>
          <w:rFonts w:hint="eastAsia" w:ascii="Times New Roman" w:hAnsi="Times New Roman" w:eastAsia="宋体" w:cs="Times New Roman"/>
          <w:b/>
          <w:color w:val="000000"/>
          <w:kern w:val="2"/>
          <w:sz w:val="21"/>
          <w:szCs w:val="22"/>
          <w:lang w:val="en-US" w:eastAsia="zh-CN" w:bidi="ar-SA"/>
        </w:rPr>
        <w:t>公路</w:t>
      </w:r>
      <w:r>
        <w:rPr>
          <w:rFonts w:ascii="Times New Roman" w:hAnsi="Times New Roman" w:eastAsia="宋体" w:cs="Times New Roman"/>
          <w:b/>
          <w:color w:val="000000"/>
          <w:kern w:val="2"/>
          <w:sz w:val="21"/>
          <w:szCs w:val="22"/>
          <w:lang w:val="en-US" w:eastAsia="zh-CN" w:bidi="ar-SA"/>
        </w:rPr>
        <w:t>生态影响评价因子筛选表</w:t>
      </w:r>
    </w:p>
    <w:tbl>
      <w:tblPr>
        <w:tblStyle w:val="22"/>
        <w:tblW w:w="4983" w:type="pct"/>
        <w:jc w:val="center"/>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685"/>
        <w:gridCol w:w="1016"/>
        <w:gridCol w:w="1432"/>
        <w:gridCol w:w="3163"/>
        <w:gridCol w:w="1234"/>
        <w:gridCol w:w="1005"/>
      </w:tblGrid>
      <w:tr w14:paraId="4A858F39">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401" w:type="pct"/>
            <w:vAlign w:val="center"/>
          </w:tcPr>
          <w:p w14:paraId="072C6ADA">
            <w:pPr>
              <w:widowControl w:val="0"/>
              <w:spacing w:line="240" w:lineRule="auto"/>
              <w:ind w:firstLine="0" w:firstLineChars="0"/>
              <w:jc w:val="center"/>
              <w:rPr>
                <w:rFonts w:ascii="Times New Roman" w:hAnsi="Times New Roman" w:eastAsia="宋体" w:cs="Times New Roman"/>
                <w:b/>
                <w:bCs/>
                <w:color w:val="000000"/>
                <w:kern w:val="2"/>
                <w:sz w:val="21"/>
                <w:szCs w:val="22"/>
                <w:lang w:val="en-US" w:eastAsia="zh-CN" w:bidi="ar-SA"/>
              </w:rPr>
            </w:pPr>
            <w:r>
              <w:rPr>
                <w:rFonts w:ascii="Times New Roman" w:hAnsi="Times New Roman" w:eastAsia="宋体" w:cs="Times New Roman"/>
                <w:b/>
                <w:bCs/>
                <w:color w:val="000000"/>
                <w:kern w:val="2"/>
                <w:sz w:val="21"/>
                <w:szCs w:val="22"/>
                <w:lang w:val="en-US" w:eastAsia="zh-CN" w:bidi="ar-SA"/>
              </w:rPr>
              <w:t>影响时期</w:t>
            </w:r>
          </w:p>
        </w:tc>
        <w:tc>
          <w:tcPr>
            <w:tcW w:w="595" w:type="pct"/>
            <w:vAlign w:val="center"/>
          </w:tcPr>
          <w:p w14:paraId="7C912C8C">
            <w:pPr>
              <w:widowControl w:val="0"/>
              <w:spacing w:line="240" w:lineRule="auto"/>
              <w:ind w:firstLine="0" w:firstLineChars="0"/>
              <w:jc w:val="center"/>
              <w:rPr>
                <w:rFonts w:ascii="Times New Roman" w:hAnsi="Times New Roman" w:eastAsia="宋体" w:cs="Times New Roman"/>
                <w:b/>
                <w:bCs/>
                <w:color w:val="000000"/>
                <w:kern w:val="2"/>
                <w:sz w:val="21"/>
                <w:szCs w:val="22"/>
                <w:lang w:val="en-US" w:eastAsia="zh-CN" w:bidi="ar-SA"/>
              </w:rPr>
            </w:pPr>
            <w:r>
              <w:rPr>
                <w:rFonts w:ascii="Times New Roman" w:hAnsi="Times New Roman" w:eastAsia="宋体" w:cs="Times New Roman"/>
                <w:b/>
                <w:bCs/>
                <w:color w:val="000000"/>
                <w:kern w:val="2"/>
                <w:sz w:val="21"/>
                <w:szCs w:val="22"/>
                <w:lang w:val="en-US" w:eastAsia="zh-CN" w:bidi="ar-SA"/>
              </w:rPr>
              <w:t>受影响</w:t>
            </w:r>
          </w:p>
          <w:p w14:paraId="4E0BF31A">
            <w:pPr>
              <w:widowControl w:val="0"/>
              <w:spacing w:line="240" w:lineRule="auto"/>
              <w:ind w:firstLine="0" w:firstLineChars="0"/>
              <w:jc w:val="center"/>
              <w:rPr>
                <w:rFonts w:ascii="Times New Roman" w:hAnsi="Times New Roman" w:eastAsia="宋体" w:cs="Times New Roman"/>
                <w:b/>
                <w:bCs/>
                <w:color w:val="000000"/>
                <w:kern w:val="2"/>
                <w:sz w:val="21"/>
                <w:szCs w:val="22"/>
                <w:lang w:val="en-US" w:eastAsia="zh-CN" w:bidi="ar-SA"/>
              </w:rPr>
            </w:pPr>
            <w:r>
              <w:rPr>
                <w:rFonts w:ascii="Times New Roman" w:hAnsi="Times New Roman" w:eastAsia="宋体" w:cs="Times New Roman"/>
                <w:b/>
                <w:bCs/>
                <w:color w:val="000000"/>
                <w:kern w:val="2"/>
                <w:sz w:val="21"/>
                <w:szCs w:val="22"/>
                <w:lang w:val="en-US" w:eastAsia="zh-CN" w:bidi="ar-SA"/>
              </w:rPr>
              <w:t>对象</w:t>
            </w:r>
          </w:p>
        </w:tc>
        <w:tc>
          <w:tcPr>
            <w:tcW w:w="839" w:type="pct"/>
            <w:vAlign w:val="center"/>
          </w:tcPr>
          <w:p w14:paraId="3B7A1858">
            <w:pPr>
              <w:widowControl w:val="0"/>
              <w:spacing w:line="240" w:lineRule="auto"/>
              <w:ind w:firstLine="0" w:firstLineChars="0"/>
              <w:jc w:val="center"/>
              <w:rPr>
                <w:rFonts w:ascii="Times New Roman" w:hAnsi="Times New Roman" w:eastAsia="宋体" w:cs="Times New Roman"/>
                <w:b/>
                <w:bCs/>
                <w:color w:val="000000"/>
                <w:kern w:val="2"/>
                <w:sz w:val="21"/>
                <w:szCs w:val="22"/>
                <w:lang w:val="en-US" w:eastAsia="zh-CN" w:bidi="ar-SA"/>
              </w:rPr>
            </w:pPr>
            <w:r>
              <w:rPr>
                <w:rFonts w:ascii="Times New Roman" w:hAnsi="Times New Roman" w:eastAsia="宋体" w:cs="Times New Roman"/>
                <w:b/>
                <w:bCs/>
                <w:color w:val="000000"/>
                <w:kern w:val="2"/>
                <w:sz w:val="21"/>
                <w:szCs w:val="22"/>
                <w:lang w:val="en-US" w:eastAsia="zh-CN" w:bidi="ar-SA"/>
              </w:rPr>
              <w:t>评价因子</w:t>
            </w:r>
          </w:p>
        </w:tc>
        <w:tc>
          <w:tcPr>
            <w:tcW w:w="1853" w:type="pct"/>
            <w:vAlign w:val="center"/>
          </w:tcPr>
          <w:p w14:paraId="5604B106">
            <w:pPr>
              <w:widowControl w:val="0"/>
              <w:spacing w:line="240" w:lineRule="auto"/>
              <w:ind w:firstLine="0" w:firstLineChars="0"/>
              <w:jc w:val="center"/>
              <w:rPr>
                <w:rFonts w:ascii="Times New Roman" w:hAnsi="Times New Roman" w:eastAsia="宋体" w:cs="Times New Roman"/>
                <w:b/>
                <w:bCs/>
                <w:color w:val="000000"/>
                <w:kern w:val="2"/>
                <w:sz w:val="21"/>
                <w:szCs w:val="22"/>
                <w:lang w:val="en-US" w:eastAsia="zh-CN" w:bidi="ar-SA"/>
              </w:rPr>
            </w:pPr>
            <w:r>
              <w:rPr>
                <w:rFonts w:ascii="Times New Roman" w:hAnsi="Times New Roman" w:eastAsia="宋体" w:cs="Times New Roman"/>
                <w:b/>
                <w:bCs/>
                <w:color w:val="000000"/>
                <w:kern w:val="2"/>
                <w:sz w:val="21"/>
                <w:szCs w:val="22"/>
                <w:lang w:val="en-US" w:eastAsia="zh-CN" w:bidi="ar-SA"/>
              </w:rPr>
              <w:t>工程内容及影响方式</w:t>
            </w:r>
          </w:p>
        </w:tc>
        <w:tc>
          <w:tcPr>
            <w:tcW w:w="723" w:type="pct"/>
            <w:vAlign w:val="center"/>
          </w:tcPr>
          <w:p w14:paraId="0D0810D8">
            <w:pPr>
              <w:widowControl w:val="0"/>
              <w:spacing w:line="240" w:lineRule="auto"/>
              <w:ind w:firstLine="0" w:firstLineChars="0"/>
              <w:jc w:val="center"/>
              <w:rPr>
                <w:rFonts w:ascii="Times New Roman" w:hAnsi="Times New Roman" w:eastAsia="宋体" w:cs="Times New Roman"/>
                <w:b/>
                <w:bCs/>
                <w:color w:val="000000"/>
                <w:kern w:val="2"/>
                <w:sz w:val="21"/>
                <w:szCs w:val="22"/>
                <w:lang w:val="en-US" w:eastAsia="zh-CN" w:bidi="ar-SA"/>
              </w:rPr>
            </w:pPr>
            <w:r>
              <w:rPr>
                <w:rFonts w:ascii="Times New Roman" w:hAnsi="Times New Roman" w:eastAsia="宋体" w:cs="Times New Roman"/>
                <w:b/>
                <w:bCs/>
                <w:color w:val="000000"/>
                <w:kern w:val="2"/>
                <w:sz w:val="21"/>
                <w:szCs w:val="22"/>
                <w:lang w:val="en-US" w:eastAsia="zh-CN" w:bidi="ar-SA"/>
              </w:rPr>
              <w:t>影响性质</w:t>
            </w:r>
          </w:p>
        </w:tc>
        <w:tc>
          <w:tcPr>
            <w:tcW w:w="589" w:type="pct"/>
            <w:vAlign w:val="center"/>
          </w:tcPr>
          <w:p w14:paraId="097AE3E5">
            <w:pPr>
              <w:widowControl w:val="0"/>
              <w:spacing w:line="240" w:lineRule="auto"/>
              <w:ind w:firstLine="0" w:firstLineChars="0"/>
              <w:jc w:val="center"/>
              <w:rPr>
                <w:rFonts w:ascii="Times New Roman" w:hAnsi="Times New Roman" w:eastAsia="宋体" w:cs="Times New Roman"/>
                <w:b/>
                <w:bCs/>
                <w:color w:val="000000"/>
                <w:kern w:val="2"/>
                <w:sz w:val="21"/>
                <w:szCs w:val="22"/>
                <w:lang w:val="en-US" w:eastAsia="zh-CN" w:bidi="ar-SA"/>
              </w:rPr>
            </w:pPr>
            <w:r>
              <w:rPr>
                <w:rFonts w:ascii="Times New Roman" w:hAnsi="Times New Roman" w:eastAsia="宋体" w:cs="Times New Roman"/>
                <w:b/>
                <w:bCs/>
                <w:color w:val="000000"/>
                <w:kern w:val="2"/>
                <w:sz w:val="21"/>
                <w:szCs w:val="22"/>
                <w:lang w:val="en-US" w:eastAsia="zh-CN" w:bidi="ar-SA"/>
              </w:rPr>
              <w:t>影响程度</w:t>
            </w:r>
          </w:p>
        </w:tc>
      </w:tr>
      <w:tr w14:paraId="66BCF3CA">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401" w:type="pct"/>
            <w:vMerge w:val="restart"/>
            <w:vAlign w:val="center"/>
          </w:tcPr>
          <w:p w14:paraId="00D45F0B">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施工期</w:t>
            </w:r>
          </w:p>
        </w:tc>
        <w:tc>
          <w:tcPr>
            <w:tcW w:w="595" w:type="pct"/>
            <w:vAlign w:val="center"/>
          </w:tcPr>
          <w:p w14:paraId="6E4EDA99">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生态系统</w:t>
            </w:r>
          </w:p>
        </w:tc>
        <w:tc>
          <w:tcPr>
            <w:tcW w:w="839" w:type="pct"/>
            <w:vAlign w:val="center"/>
          </w:tcPr>
          <w:p w14:paraId="622502DD">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植被覆盖度、生产力、生物量、生态系统功能等</w:t>
            </w:r>
          </w:p>
        </w:tc>
        <w:tc>
          <w:tcPr>
            <w:tcW w:w="1853" w:type="pct"/>
            <w:vAlign w:val="center"/>
          </w:tcPr>
          <w:p w14:paraId="40EBB13A">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土地占用对农林业生产、土壤及地貌的影响，对植被覆盖度、生产力及生物量的影响</w:t>
            </w:r>
          </w:p>
        </w:tc>
        <w:tc>
          <w:tcPr>
            <w:tcW w:w="723" w:type="pct"/>
            <w:vAlign w:val="center"/>
          </w:tcPr>
          <w:p w14:paraId="2CFAC8DA">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短期、可逆</w:t>
            </w:r>
          </w:p>
        </w:tc>
        <w:tc>
          <w:tcPr>
            <w:tcW w:w="589" w:type="pct"/>
            <w:vAlign w:val="center"/>
          </w:tcPr>
          <w:p w14:paraId="2BF81150">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强</w:t>
            </w:r>
          </w:p>
        </w:tc>
      </w:tr>
      <w:tr w14:paraId="113D3CA1">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401" w:type="pct"/>
            <w:vMerge w:val="continue"/>
            <w:vAlign w:val="center"/>
          </w:tcPr>
          <w:p w14:paraId="79E18264">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p>
        </w:tc>
        <w:tc>
          <w:tcPr>
            <w:tcW w:w="595" w:type="pct"/>
            <w:vAlign w:val="center"/>
          </w:tcPr>
          <w:p w14:paraId="5B5439C0">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生物多样性</w:t>
            </w:r>
          </w:p>
        </w:tc>
        <w:tc>
          <w:tcPr>
            <w:tcW w:w="839" w:type="pct"/>
            <w:vAlign w:val="center"/>
          </w:tcPr>
          <w:p w14:paraId="49386BAB">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物种丰富度、均匀度、优势度等</w:t>
            </w:r>
          </w:p>
        </w:tc>
        <w:tc>
          <w:tcPr>
            <w:tcW w:w="1853" w:type="pct"/>
            <w:vAlign w:val="center"/>
          </w:tcPr>
          <w:p w14:paraId="14874EB3">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工程占地区开挖、建设等会扰动地表，破坏地表植物及植被，弃渣场、料场、临时施工场地平整、临时施工便道修筑等工程行为，使土壤裸露、地表扰动对生物多样性的影响。跨河桥梁施工对水生生态的影响</w:t>
            </w:r>
          </w:p>
        </w:tc>
        <w:tc>
          <w:tcPr>
            <w:tcW w:w="723" w:type="pct"/>
            <w:vAlign w:val="center"/>
          </w:tcPr>
          <w:p w14:paraId="25E2D8C2">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短期、可逆</w:t>
            </w:r>
          </w:p>
        </w:tc>
        <w:tc>
          <w:tcPr>
            <w:tcW w:w="589" w:type="pct"/>
            <w:vAlign w:val="center"/>
          </w:tcPr>
          <w:p w14:paraId="0AA25901">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强</w:t>
            </w:r>
          </w:p>
        </w:tc>
      </w:tr>
      <w:tr w14:paraId="7D1AE677">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401" w:type="pct"/>
            <w:vMerge w:val="continue"/>
            <w:vAlign w:val="center"/>
          </w:tcPr>
          <w:p w14:paraId="754BA7FA">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p>
        </w:tc>
        <w:tc>
          <w:tcPr>
            <w:tcW w:w="595" w:type="pct"/>
            <w:vAlign w:val="center"/>
          </w:tcPr>
          <w:p w14:paraId="72782A90">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生态敏感区</w:t>
            </w:r>
          </w:p>
        </w:tc>
        <w:tc>
          <w:tcPr>
            <w:tcW w:w="839" w:type="pct"/>
            <w:vAlign w:val="center"/>
          </w:tcPr>
          <w:p w14:paraId="0705C330">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主要保护对象、生态功能等</w:t>
            </w:r>
          </w:p>
        </w:tc>
        <w:tc>
          <w:tcPr>
            <w:tcW w:w="1853" w:type="pct"/>
            <w:vAlign w:val="center"/>
          </w:tcPr>
          <w:p w14:paraId="031DB912">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工程占地、施工扰动等对敏感区内生物多样性、生态系统等生态功能的影响</w:t>
            </w:r>
          </w:p>
        </w:tc>
        <w:tc>
          <w:tcPr>
            <w:tcW w:w="723" w:type="pct"/>
            <w:vAlign w:val="center"/>
          </w:tcPr>
          <w:p w14:paraId="26519699">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短期、可逆</w:t>
            </w:r>
          </w:p>
        </w:tc>
        <w:tc>
          <w:tcPr>
            <w:tcW w:w="589" w:type="pct"/>
            <w:vAlign w:val="center"/>
          </w:tcPr>
          <w:p w14:paraId="230B21C2">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强</w:t>
            </w:r>
          </w:p>
        </w:tc>
      </w:tr>
      <w:tr w14:paraId="6851A4F8">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401" w:type="pct"/>
            <w:vMerge w:val="continue"/>
            <w:vAlign w:val="center"/>
          </w:tcPr>
          <w:p w14:paraId="0C085F04">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p>
        </w:tc>
        <w:tc>
          <w:tcPr>
            <w:tcW w:w="595" w:type="pct"/>
            <w:vAlign w:val="center"/>
          </w:tcPr>
          <w:p w14:paraId="3831D2A1">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自然景观</w:t>
            </w:r>
          </w:p>
        </w:tc>
        <w:tc>
          <w:tcPr>
            <w:tcW w:w="839" w:type="pct"/>
            <w:vAlign w:val="center"/>
          </w:tcPr>
          <w:p w14:paraId="6A6A2A7A">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景观多样性、完整性等</w:t>
            </w:r>
          </w:p>
        </w:tc>
        <w:tc>
          <w:tcPr>
            <w:tcW w:w="1853" w:type="pct"/>
            <w:vAlign w:val="center"/>
          </w:tcPr>
          <w:p w14:paraId="05EC68CF">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路基开挖施工等对自然景观的破坏</w:t>
            </w:r>
          </w:p>
        </w:tc>
        <w:tc>
          <w:tcPr>
            <w:tcW w:w="723" w:type="pct"/>
            <w:vAlign w:val="center"/>
          </w:tcPr>
          <w:p w14:paraId="597D828C">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短期、可逆</w:t>
            </w:r>
          </w:p>
        </w:tc>
        <w:tc>
          <w:tcPr>
            <w:tcW w:w="589" w:type="pct"/>
            <w:vAlign w:val="center"/>
          </w:tcPr>
          <w:p w14:paraId="3F061B49">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强</w:t>
            </w:r>
          </w:p>
        </w:tc>
      </w:tr>
      <w:tr w14:paraId="76BF293C">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401" w:type="pct"/>
            <w:vAlign w:val="center"/>
          </w:tcPr>
          <w:p w14:paraId="1F32BC0D">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运营期</w:t>
            </w:r>
          </w:p>
        </w:tc>
        <w:tc>
          <w:tcPr>
            <w:tcW w:w="595" w:type="pct"/>
            <w:vAlign w:val="center"/>
          </w:tcPr>
          <w:p w14:paraId="7864FF28">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生态系统</w:t>
            </w:r>
          </w:p>
        </w:tc>
        <w:tc>
          <w:tcPr>
            <w:tcW w:w="839" w:type="pct"/>
            <w:vAlign w:val="center"/>
          </w:tcPr>
          <w:p w14:paraId="559DA9D3">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植被覆盖度、生产力、生物量、生态系统功能等</w:t>
            </w:r>
          </w:p>
        </w:tc>
        <w:tc>
          <w:tcPr>
            <w:tcW w:w="1853" w:type="pct"/>
            <w:vAlign w:val="center"/>
          </w:tcPr>
          <w:p w14:paraId="1C88ED14">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营运期对陆生动物的影响主要为交通噪声和夜间车辆行驶时灯光对动物的栖息和繁殖有一定的不利影响。公路建成后，永久占地内的林地植被将完全被破坏，取而代之的是路面及沿线设施，对林地的群落结构的影响，对植被生产力、生物量的影响</w:t>
            </w:r>
          </w:p>
        </w:tc>
        <w:tc>
          <w:tcPr>
            <w:tcW w:w="723" w:type="pct"/>
            <w:vAlign w:val="center"/>
          </w:tcPr>
          <w:p w14:paraId="4BFBE18C">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长期、不可逆</w:t>
            </w:r>
          </w:p>
        </w:tc>
        <w:tc>
          <w:tcPr>
            <w:tcW w:w="589" w:type="pct"/>
            <w:vAlign w:val="center"/>
          </w:tcPr>
          <w:p w14:paraId="19088410">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弱</w:t>
            </w:r>
          </w:p>
        </w:tc>
      </w:tr>
      <w:tr w14:paraId="31F351C7">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401" w:type="pct"/>
            <w:vMerge w:val="restart"/>
            <w:vAlign w:val="center"/>
          </w:tcPr>
          <w:p w14:paraId="1E9DD152">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运营期</w:t>
            </w:r>
          </w:p>
        </w:tc>
        <w:tc>
          <w:tcPr>
            <w:tcW w:w="595" w:type="pct"/>
            <w:vAlign w:val="center"/>
          </w:tcPr>
          <w:p w14:paraId="2773E745">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生态敏感区</w:t>
            </w:r>
          </w:p>
        </w:tc>
        <w:tc>
          <w:tcPr>
            <w:tcW w:w="839" w:type="pct"/>
            <w:vAlign w:val="center"/>
          </w:tcPr>
          <w:p w14:paraId="247C098D">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主要保护对象、生态功能等</w:t>
            </w:r>
          </w:p>
        </w:tc>
        <w:tc>
          <w:tcPr>
            <w:tcW w:w="1853" w:type="pct"/>
            <w:vAlign w:val="center"/>
          </w:tcPr>
          <w:p w14:paraId="458724A3">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营运期公路噪声、阻隔效应及环境事故风险等，对敏感区内生物多样性、生态系统等生态功能的影响</w:t>
            </w:r>
          </w:p>
        </w:tc>
        <w:tc>
          <w:tcPr>
            <w:tcW w:w="723" w:type="pct"/>
            <w:vAlign w:val="center"/>
          </w:tcPr>
          <w:p w14:paraId="6C9566D1">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长期、不可逆</w:t>
            </w:r>
          </w:p>
        </w:tc>
        <w:tc>
          <w:tcPr>
            <w:tcW w:w="589" w:type="pct"/>
            <w:vAlign w:val="center"/>
          </w:tcPr>
          <w:p w14:paraId="3A964574">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弱</w:t>
            </w:r>
          </w:p>
        </w:tc>
      </w:tr>
      <w:tr w14:paraId="6A58981D">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401" w:type="pct"/>
            <w:vMerge w:val="continue"/>
            <w:vAlign w:val="center"/>
          </w:tcPr>
          <w:p w14:paraId="5E950294">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p>
        </w:tc>
        <w:tc>
          <w:tcPr>
            <w:tcW w:w="595" w:type="pct"/>
            <w:vAlign w:val="center"/>
          </w:tcPr>
          <w:p w14:paraId="1590C5F4">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自然景观</w:t>
            </w:r>
          </w:p>
        </w:tc>
        <w:tc>
          <w:tcPr>
            <w:tcW w:w="839" w:type="pct"/>
            <w:vAlign w:val="center"/>
          </w:tcPr>
          <w:p w14:paraId="6E06E17A">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路面等永久占地会使占地区原有景观改变</w:t>
            </w:r>
          </w:p>
        </w:tc>
        <w:tc>
          <w:tcPr>
            <w:tcW w:w="1853" w:type="pct"/>
            <w:vAlign w:val="center"/>
          </w:tcPr>
          <w:p w14:paraId="1904FC3C">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路面等永久占地会使占地区原有景观改变，代之以人为景观，对自然景观产生影响</w:t>
            </w:r>
          </w:p>
        </w:tc>
        <w:tc>
          <w:tcPr>
            <w:tcW w:w="723" w:type="pct"/>
            <w:vAlign w:val="center"/>
          </w:tcPr>
          <w:p w14:paraId="6F4D4776">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长期、不可逆</w:t>
            </w:r>
          </w:p>
        </w:tc>
        <w:tc>
          <w:tcPr>
            <w:tcW w:w="589" w:type="pct"/>
            <w:vAlign w:val="center"/>
          </w:tcPr>
          <w:p w14:paraId="02BB6684">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弱</w:t>
            </w:r>
          </w:p>
        </w:tc>
      </w:tr>
      <w:tr w14:paraId="6AAC37E7">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5000" w:type="pct"/>
            <w:gridSpan w:val="6"/>
            <w:vAlign w:val="center"/>
          </w:tcPr>
          <w:p w14:paraId="183DA443">
            <w:pPr>
              <w:widowControl w:val="0"/>
              <w:spacing w:line="240" w:lineRule="auto"/>
              <w:ind w:firstLine="0" w:firstLineChars="0"/>
              <w:jc w:val="both"/>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注1：应按施工期、运营期以及服务期满后（可根据项目情况选择）等不同阶段进行工程分析和评价因子筛选。</w:t>
            </w:r>
          </w:p>
          <w:p w14:paraId="0FD35FC1">
            <w:pPr>
              <w:widowControl w:val="0"/>
              <w:spacing w:line="240" w:lineRule="auto"/>
              <w:ind w:firstLine="0" w:firstLineChars="0"/>
              <w:jc w:val="both"/>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注2：影响性质主要包括长期与短期、可逆与不可逆生态影响。</w:t>
            </w:r>
          </w:p>
          <w:p w14:paraId="3B0D388B">
            <w:pPr>
              <w:widowControl w:val="0"/>
              <w:spacing w:line="240" w:lineRule="auto"/>
              <w:ind w:firstLine="0" w:firstLineChars="0"/>
              <w:jc w:val="both"/>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注3：影响方式可分为直接、间接、累积生态影响，可依据以下内容进行判断：</w:t>
            </w:r>
          </w:p>
          <w:p w14:paraId="053F06A4">
            <w:pPr>
              <w:widowControl w:val="0"/>
              <w:spacing w:line="240" w:lineRule="auto"/>
              <w:ind w:firstLine="0" w:firstLineChars="0"/>
              <w:jc w:val="both"/>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a） 直接生态影响：临时、永久占地导致生境直接破坏或丧失；工程施工、运行导致个体直接死亡；物种迁徙（或洄游）、扩散、种群交流受到阻隔；施工活动以及运营期噪声、振动、灯光等对野生动物行为产生干扰；工程建设改变河流、湖泊等水体天然状态等；</w:t>
            </w:r>
          </w:p>
          <w:p w14:paraId="5DEE6265">
            <w:pPr>
              <w:widowControl w:val="0"/>
              <w:spacing w:line="240" w:lineRule="auto"/>
              <w:ind w:firstLine="0" w:firstLineChars="0"/>
              <w:jc w:val="both"/>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b） 间接生态影响：水文情势变化导致生境条件、水生生态系统发生变化；地下水水位、土壤理化特性变化导致动植物群落发生变化；生境面积和质量下降导致个体死亡、种群数量下降或种群生存能力降低；资源减少及分布变化导致种群结构或种群动态发生变化；因阻隔影响造成种群间基因交流减少，导致小种群灭绝风险增加；滞后效应（例如，由于关键种的消失使捕食者和被捕食者的关系发生变化）等；</w:t>
            </w:r>
          </w:p>
          <w:p w14:paraId="1D41ABF6">
            <w:pPr>
              <w:widowControl w:val="0"/>
              <w:spacing w:line="240" w:lineRule="auto"/>
              <w:ind w:firstLine="0" w:firstLineChars="0"/>
              <w:jc w:val="both"/>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c） 累积生态影响：整个区域生境的逐渐丧失和破碎化；在景观尺度上生境的多样性减少；不可逆转的生物多样性下降；生态系统持续退化等。</w:t>
            </w:r>
          </w:p>
          <w:p w14:paraId="7B6ECC16">
            <w:pPr>
              <w:widowControl w:val="0"/>
              <w:spacing w:line="240" w:lineRule="auto"/>
              <w:ind w:firstLine="0" w:firstLineChars="0"/>
              <w:jc w:val="both"/>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注4：影响程度可分为强、中、弱、无四个等级，可依据以下原则进行初步判断：</w:t>
            </w:r>
          </w:p>
          <w:p w14:paraId="64987262">
            <w:pPr>
              <w:widowControl w:val="0"/>
              <w:spacing w:line="240" w:lineRule="auto"/>
              <w:ind w:firstLine="0" w:firstLineChars="0"/>
              <w:jc w:val="both"/>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a） 强：生境受到严重破坏，水系开放连通性受到显著影响；野生动植物难以栖息繁衍（或生长繁殖），物种种类明显减少，种群数量显著下降，种群结构明显改变；生物多样性显著下降，生态系统结构和功能受到严重损害，生态系统稳定性难以维持；自然景观、自然遗迹受到永久性破坏；生态修复难度较大；</w:t>
            </w:r>
          </w:p>
          <w:p w14:paraId="47690653">
            <w:pPr>
              <w:widowControl w:val="0"/>
              <w:spacing w:line="240" w:lineRule="auto"/>
              <w:ind w:firstLine="0" w:firstLineChars="0"/>
              <w:jc w:val="both"/>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b） 中：生境受到一定程度破坏，水系开放连通性受到一定程度影响；野生动植物栖息繁衍（或生长繁殖）受到一定程度干扰，物种种类减少，种群数量下降，种群结构改变；生物多样性有所下降，生态系统结构和功能受到一定程度破坏，生态系统稳定性受到一定程度干扰；自然景观、自然遗迹受到暂时性影响；通过采取一定措施上述不利影响可以得到减缓和控制，生态修复难度一般；</w:t>
            </w:r>
          </w:p>
          <w:p w14:paraId="23246722">
            <w:pPr>
              <w:widowControl w:val="0"/>
              <w:spacing w:line="240" w:lineRule="auto"/>
              <w:ind w:firstLine="0" w:firstLineChars="0"/>
              <w:jc w:val="both"/>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c） 弱：生境受到暂时性破坏，水系开放连通性变化不大；野生动植物栖息繁衍（或生长繁殖）受到暂时性干扰，物种种类、种群数量、种群结构变化不大；生物多样性、生态系统结构、功能以及生态系统稳定性基本维持现状；自然景观、自然遗迹基本未受到破坏；在干扰消失后可以修复或自然恢复；</w:t>
            </w:r>
          </w:p>
          <w:p w14:paraId="46955A0B">
            <w:pPr>
              <w:widowControl w:val="0"/>
              <w:spacing w:line="240" w:lineRule="auto"/>
              <w:ind w:firstLine="0" w:firstLineChars="0"/>
              <w:jc w:val="both"/>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d） 无：生境未受到破坏，水系开放连通性未受到影响；野生动植物栖息繁衍（或生长繁殖）未受到影响；生物多样性、生态系统结构、功能以及生态系统稳定性维持现状；自然景观、自然遗迹未受到破坏。</w:t>
            </w:r>
          </w:p>
        </w:tc>
      </w:tr>
    </w:tbl>
    <w:p w14:paraId="78C42D0A">
      <w:pPr>
        <w:keepNext/>
        <w:keepLines/>
        <w:pageBreakBefore w:val="0"/>
        <w:widowControl w:val="0"/>
        <w:numPr>
          <w:ilvl w:val="1"/>
          <w:numId w:val="0"/>
        </w:numPr>
        <w:kinsoku/>
        <w:wordWrap/>
        <w:overflowPunct/>
        <w:topLinePunct w:val="0"/>
        <w:autoSpaceDE/>
        <w:autoSpaceDN/>
        <w:bidi w:val="0"/>
        <w:adjustRightInd/>
        <w:snapToGrid/>
        <w:spacing w:before="360" w:after="240" w:line="240" w:lineRule="auto"/>
        <w:ind w:leftChars="0" w:firstLine="200" w:firstLineChars="0"/>
        <w:jc w:val="both"/>
        <w:textAlignment w:val="auto"/>
        <w:outlineLvl w:val="1"/>
        <w:rPr>
          <w:rFonts w:ascii="Times New Roman" w:hAnsi="Times New Roman" w:eastAsia="宋体" w:cs="Times New Roman"/>
          <w:b/>
          <w:bCs/>
          <w:color w:val="000000"/>
          <w:kern w:val="2"/>
          <w:sz w:val="28"/>
          <w:szCs w:val="32"/>
          <w:lang w:val="en-US" w:eastAsia="zh-CN" w:bidi="ar-SA"/>
        </w:rPr>
      </w:pPr>
      <w:bookmarkStart w:id="271" w:name="_Toc163738653"/>
      <w:bookmarkStart w:id="272" w:name="_Toc219363396"/>
      <w:bookmarkStart w:id="273" w:name="_Toc7634"/>
      <w:r>
        <w:rPr>
          <w:rFonts w:hint="eastAsia" w:ascii="Times New Roman" w:hAnsi="Times New Roman" w:eastAsia="宋体" w:cs="Times New Roman"/>
          <w:b/>
          <w:bCs/>
          <w:color w:val="000000"/>
          <w:kern w:val="2"/>
          <w:sz w:val="28"/>
          <w:szCs w:val="32"/>
          <w:lang w:val="en-US" w:eastAsia="zh-CN" w:bidi="ar-SA"/>
        </w:rPr>
        <w:t xml:space="preserve">1.6 </w:t>
      </w:r>
      <w:r>
        <w:rPr>
          <w:rFonts w:ascii="Times New Roman" w:hAnsi="Times New Roman" w:eastAsia="宋体" w:cs="Times New Roman"/>
          <w:b/>
          <w:bCs/>
          <w:color w:val="000000"/>
          <w:kern w:val="2"/>
          <w:sz w:val="28"/>
          <w:szCs w:val="32"/>
          <w:lang w:val="en-US" w:eastAsia="zh-CN" w:bidi="ar-SA"/>
        </w:rPr>
        <w:t>环境功能区划及环境保护目标</w:t>
      </w:r>
      <w:bookmarkEnd w:id="271"/>
      <w:bookmarkEnd w:id="272"/>
      <w:bookmarkEnd w:id="273"/>
    </w:p>
    <w:p w14:paraId="1900C55B">
      <w:pPr>
        <w:keepNext/>
        <w:keepLines/>
        <w:widowControl w:val="0"/>
        <w:numPr>
          <w:ilvl w:val="2"/>
          <w:numId w:val="0"/>
        </w:numPr>
        <w:spacing w:before="120" w:after="120" w:line="240" w:lineRule="auto"/>
        <w:ind w:leftChars="0" w:firstLine="200" w:firstLineChars="0"/>
        <w:jc w:val="both"/>
        <w:outlineLvl w:val="2"/>
        <w:rPr>
          <w:rFonts w:ascii="Times New Roman" w:hAnsi="Times New Roman" w:eastAsia="宋体" w:cs="Times New Roman"/>
          <w:b/>
          <w:bCs w:val="0"/>
          <w:color w:val="000000"/>
          <w:kern w:val="28"/>
          <w:sz w:val="24"/>
          <w:szCs w:val="32"/>
          <w:lang w:val="en-US" w:eastAsia="zh-CN" w:bidi="ar-SA"/>
        </w:rPr>
      </w:pPr>
      <w:bookmarkStart w:id="274" w:name="_Toc192017493"/>
      <w:bookmarkStart w:id="275" w:name="_Toc219363397"/>
      <w:bookmarkStart w:id="276" w:name="_Toc191028019"/>
      <w:bookmarkStart w:id="277" w:name="_Toc173231983"/>
      <w:bookmarkStart w:id="278" w:name="_Toc12013"/>
      <w:r>
        <w:rPr>
          <w:rFonts w:hint="eastAsia" w:ascii="Times New Roman" w:hAnsi="Times New Roman" w:eastAsia="宋体" w:cs="Times New Roman"/>
          <w:b/>
          <w:bCs w:val="0"/>
          <w:color w:val="000000"/>
          <w:kern w:val="28"/>
          <w:sz w:val="24"/>
          <w:szCs w:val="32"/>
          <w:lang w:val="en-US" w:eastAsia="zh-CN" w:bidi="ar-SA"/>
        </w:rPr>
        <w:t xml:space="preserve">1.6.1 </w:t>
      </w:r>
      <w:r>
        <w:rPr>
          <w:rFonts w:ascii="Times New Roman" w:hAnsi="Times New Roman" w:eastAsia="宋体" w:cs="Times New Roman"/>
          <w:b/>
          <w:bCs w:val="0"/>
          <w:color w:val="000000"/>
          <w:kern w:val="28"/>
          <w:sz w:val="24"/>
          <w:szCs w:val="32"/>
          <w:lang w:val="en-US" w:eastAsia="zh-CN" w:bidi="ar-SA"/>
        </w:rPr>
        <w:t>环境功能区划</w:t>
      </w:r>
      <w:bookmarkEnd w:id="274"/>
      <w:bookmarkEnd w:id="275"/>
      <w:bookmarkEnd w:id="276"/>
      <w:bookmarkEnd w:id="277"/>
      <w:bookmarkEnd w:id="278"/>
    </w:p>
    <w:p w14:paraId="77A7DE9E">
      <w:pPr>
        <w:spacing w:line="300" w:lineRule="auto"/>
        <w:ind w:firstLine="480" w:firstLineChars="200"/>
        <w:rPr>
          <w:rFonts w:ascii="Times New Roman" w:hAnsi="Times New Roman" w:eastAsia="宋体" w:cs="Times New Roman"/>
          <w:color w:val="000000"/>
          <w:sz w:val="24"/>
          <w:szCs w:val="22"/>
        </w:rPr>
      </w:pPr>
      <w:bookmarkStart w:id="279" w:name="_Toc192017494"/>
      <w:bookmarkStart w:id="280" w:name="_Toc219363398"/>
      <w:bookmarkStart w:id="281" w:name="_Toc173231984"/>
      <w:bookmarkStart w:id="282" w:name="_Toc191028020"/>
      <w:bookmarkStart w:id="283" w:name="_Toc163738655"/>
      <w:r>
        <w:rPr>
          <w:rFonts w:ascii="Times New Roman" w:hAnsi="Times New Roman" w:eastAsia="宋体" w:cs="Times New Roman"/>
          <w:color w:val="000000"/>
          <w:sz w:val="24"/>
          <w:szCs w:val="22"/>
        </w:rPr>
        <w:t>根据《新疆维吾尔自治区主体功能区规划》，拟建公路沿线所经市（县）均为重点生态功能区。其中伽师县、岳普湖县属于限制进行大规模高强度工业化城镇化开发的国家重点生态功能区——塔里木河荒漠化防治生态功能区，发展方向为合理利用地表水和地下水，调整农牧业结构，加强药材开发管理，禁止过度开垦，恢复天然植被，防止沙化面积扩大；阿图什市属于限制进行大规模高强度工业化城镇化开发的自治区级重点生态功能区——塔里木盆地西北部荒漠生态功能区，发展方向为保护荒漠植被、保护荒漠河岸林、保护农田土壤环境质量。</w:t>
      </w:r>
    </w:p>
    <w:p w14:paraId="3EF503AC">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拟建公路属于国家和自治区规划的交通运输类重要基础设施建设项目，不属于高污染、高能耗、高物耗产业，未在环境敏感区范围内进行采石和取、弃土等活动；项目沿线施工生产生活区、施工便道等临时用地尽量避开植被生长较好的林地和环境敏感区，通过调整布局、优化合并及充分利用永临结合等方案进一步减少临时占地，施工结束后对施工生产生活区以及施工便道等进行清理平整及植被恢复。因此，拟建公路与《新疆维吾尔自治区主体功能区规划》中主体功能区相符合。</w:t>
      </w:r>
    </w:p>
    <w:p w14:paraId="589ABED1">
      <w:pPr>
        <w:keepNext/>
        <w:keepLines/>
        <w:widowControl w:val="0"/>
        <w:numPr>
          <w:ilvl w:val="2"/>
          <w:numId w:val="0"/>
        </w:numPr>
        <w:spacing w:before="120" w:after="120" w:line="240" w:lineRule="auto"/>
        <w:ind w:leftChars="0" w:firstLine="200" w:firstLineChars="0"/>
        <w:jc w:val="both"/>
        <w:outlineLvl w:val="2"/>
        <w:rPr>
          <w:rFonts w:ascii="Times New Roman" w:hAnsi="Times New Roman" w:eastAsia="宋体" w:cs="Times New Roman"/>
          <w:b/>
          <w:bCs w:val="0"/>
          <w:color w:val="000000"/>
          <w:kern w:val="28"/>
          <w:sz w:val="24"/>
          <w:szCs w:val="32"/>
          <w:lang w:val="en-US" w:eastAsia="zh-CN" w:bidi="ar-SA"/>
        </w:rPr>
      </w:pPr>
      <w:bookmarkStart w:id="284" w:name="_Toc10931"/>
      <w:r>
        <w:rPr>
          <w:rFonts w:hint="eastAsia" w:ascii="Times New Roman" w:hAnsi="Times New Roman" w:eastAsia="宋体" w:cs="Times New Roman"/>
          <w:b/>
          <w:bCs w:val="0"/>
          <w:color w:val="000000"/>
          <w:kern w:val="28"/>
          <w:sz w:val="24"/>
          <w:szCs w:val="32"/>
          <w:lang w:val="en-US" w:eastAsia="zh-CN" w:bidi="ar-SA"/>
        </w:rPr>
        <w:t xml:space="preserve">1.6.2 </w:t>
      </w:r>
      <w:r>
        <w:rPr>
          <w:rFonts w:ascii="Times New Roman" w:hAnsi="Times New Roman" w:eastAsia="宋体" w:cs="Times New Roman"/>
          <w:b/>
          <w:bCs w:val="0"/>
          <w:color w:val="000000"/>
          <w:kern w:val="28"/>
          <w:sz w:val="24"/>
          <w:szCs w:val="32"/>
          <w:lang w:val="en-US" w:eastAsia="zh-CN" w:bidi="ar-SA"/>
        </w:rPr>
        <w:t>生态保护目标</w:t>
      </w:r>
      <w:bookmarkEnd w:id="279"/>
      <w:bookmarkEnd w:id="280"/>
      <w:bookmarkEnd w:id="281"/>
      <w:bookmarkEnd w:id="282"/>
      <w:bookmarkEnd w:id="284"/>
    </w:p>
    <w:p w14:paraId="43972FE4">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拟建公路沿线生态保护目标见</w:t>
      </w:r>
      <w:r>
        <w:rPr>
          <w:rFonts w:ascii="Times New Roman" w:hAnsi="Times New Roman" w:eastAsia="宋体" w:cs="Times New Roman"/>
          <w:color w:val="000000"/>
          <w:sz w:val="24"/>
          <w:szCs w:val="22"/>
        </w:rPr>
        <w:fldChar w:fldCharType="begin"/>
      </w:r>
      <w:r>
        <w:rPr>
          <w:rFonts w:ascii="Times New Roman" w:hAnsi="Times New Roman" w:eastAsia="宋体" w:cs="Times New Roman"/>
          <w:color w:val="000000"/>
          <w:sz w:val="24"/>
          <w:szCs w:val="22"/>
        </w:rPr>
        <w:instrText xml:space="preserve"> REF _Ref220309111 \h  \* MERGEFORMAT </w:instrText>
      </w:r>
      <w:r>
        <w:rPr>
          <w:rFonts w:ascii="Times New Roman" w:hAnsi="Times New Roman" w:eastAsia="宋体" w:cs="Times New Roman"/>
          <w:color w:val="000000"/>
          <w:sz w:val="24"/>
          <w:szCs w:val="22"/>
        </w:rPr>
        <w:fldChar w:fldCharType="separate"/>
      </w:r>
      <w:r>
        <w:rPr>
          <w:rFonts w:ascii="Times New Roman" w:hAnsi="Times New Roman" w:eastAsia="宋体" w:cs="Times New Roman"/>
          <w:color w:val="000000"/>
          <w:sz w:val="24"/>
          <w:szCs w:val="22"/>
        </w:rPr>
        <w:t>表 1.</w:t>
      </w:r>
      <w:r>
        <w:rPr>
          <w:rFonts w:hint="eastAsia" w:ascii="Times New Roman" w:hAnsi="Times New Roman" w:eastAsia="宋体" w:cs="Times New Roman"/>
          <w:color w:val="000000"/>
          <w:sz w:val="24"/>
          <w:szCs w:val="22"/>
          <w:lang w:val="en-US" w:eastAsia="zh-CN"/>
        </w:rPr>
        <w:t>6</w:t>
      </w:r>
      <w:r>
        <w:rPr>
          <w:rFonts w:ascii="Times New Roman" w:hAnsi="Times New Roman" w:eastAsia="宋体" w:cs="Times New Roman"/>
          <w:color w:val="000000"/>
          <w:sz w:val="24"/>
          <w:szCs w:val="22"/>
        </w:rPr>
        <w:noBreakHyphen/>
      </w:r>
      <w:r>
        <w:rPr>
          <w:rFonts w:ascii="Times New Roman" w:hAnsi="Times New Roman" w:eastAsia="宋体" w:cs="Times New Roman"/>
          <w:color w:val="000000"/>
          <w:sz w:val="24"/>
          <w:szCs w:val="22"/>
        </w:rPr>
        <w:t>1</w:t>
      </w:r>
      <w:r>
        <w:rPr>
          <w:rFonts w:ascii="Times New Roman" w:hAnsi="Times New Roman" w:eastAsia="宋体" w:cs="Times New Roman"/>
          <w:color w:val="000000"/>
          <w:sz w:val="24"/>
          <w:szCs w:val="22"/>
        </w:rPr>
        <w:fldChar w:fldCharType="end"/>
      </w:r>
      <w:r>
        <w:rPr>
          <w:rFonts w:ascii="Times New Roman" w:hAnsi="Times New Roman" w:eastAsia="宋体" w:cs="Times New Roman"/>
          <w:color w:val="000000"/>
          <w:sz w:val="24"/>
          <w:szCs w:val="22"/>
        </w:rPr>
        <w:t>。</w:t>
      </w:r>
    </w:p>
    <w:p w14:paraId="67003119">
      <w:pPr>
        <w:spacing w:line="300" w:lineRule="auto"/>
        <w:ind w:firstLine="480" w:firstLineChars="200"/>
        <w:rPr>
          <w:rFonts w:ascii="Times New Roman" w:hAnsi="Times New Roman" w:eastAsia="宋体" w:cs="Times New Roman"/>
          <w:color w:val="000000"/>
          <w:sz w:val="24"/>
          <w:szCs w:val="22"/>
        </w:rPr>
      </w:pPr>
    </w:p>
    <w:p w14:paraId="18943164">
      <w:pPr>
        <w:spacing w:line="300" w:lineRule="auto"/>
        <w:ind w:firstLine="480" w:firstLineChars="200"/>
        <w:rPr>
          <w:rFonts w:ascii="Times New Roman" w:hAnsi="Times New Roman" w:eastAsia="宋体" w:cs="Times New Roman"/>
          <w:color w:val="000000"/>
          <w:sz w:val="24"/>
          <w:szCs w:val="22"/>
        </w:rPr>
      </w:pPr>
    </w:p>
    <w:p w14:paraId="7E9B6108">
      <w:pPr>
        <w:spacing w:line="300" w:lineRule="auto"/>
        <w:ind w:firstLine="480" w:firstLineChars="200"/>
        <w:rPr>
          <w:rFonts w:ascii="Times New Roman" w:hAnsi="Times New Roman" w:eastAsia="宋体" w:cs="Times New Roman"/>
          <w:color w:val="000000"/>
          <w:sz w:val="24"/>
          <w:szCs w:val="22"/>
        </w:rPr>
      </w:pPr>
    </w:p>
    <w:p w14:paraId="3DD0E73A">
      <w:pPr>
        <w:keepNext/>
        <w:widowControl w:val="0"/>
        <w:spacing w:line="240" w:lineRule="auto"/>
        <w:ind w:firstLine="0" w:firstLineChars="0"/>
        <w:jc w:val="center"/>
        <w:rPr>
          <w:rFonts w:ascii="Times New Roman" w:hAnsi="Times New Roman" w:eastAsia="宋体" w:cs="Times New Roman"/>
          <w:b/>
          <w:color w:val="000000"/>
          <w:kern w:val="2"/>
          <w:sz w:val="21"/>
          <w:szCs w:val="20"/>
          <w:lang w:val="en-US" w:eastAsia="zh-CN" w:bidi="ar-SA"/>
        </w:rPr>
      </w:pPr>
      <w:bookmarkStart w:id="285" w:name="_Ref220309111"/>
      <w:r>
        <w:rPr>
          <w:rFonts w:ascii="Times New Roman" w:hAnsi="Times New Roman" w:eastAsia="宋体" w:cs="Times New Roman"/>
          <w:b/>
          <w:color w:val="000000"/>
          <w:kern w:val="2"/>
          <w:sz w:val="21"/>
          <w:szCs w:val="20"/>
          <w:lang w:val="en-US" w:eastAsia="zh-CN" w:bidi="ar-SA"/>
        </w:rPr>
        <w:t xml:space="preserve">表 </w:t>
      </w:r>
      <w:r>
        <w:rPr>
          <w:rFonts w:ascii="Times New Roman" w:hAnsi="Times New Roman" w:eastAsia="宋体" w:cs="Times New Roman"/>
          <w:b/>
          <w:color w:val="000000"/>
          <w:kern w:val="2"/>
          <w:sz w:val="21"/>
          <w:szCs w:val="20"/>
          <w:lang w:val="en-US" w:eastAsia="zh-CN" w:bidi="ar-SA"/>
        </w:rPr>
        <w:fldChar w:fldCharType="begin"/>
      </w:r>
      <w:r>
        <w:rPr>
          <w:rFonts w:ascii="Times New Roman" w:hAnsi="Times New Roman" w:eastAsia="宋体" w:cs="Times New Roman"/>
          <w:b/>
          <w:color w:val="000000"/>
          <w:kern w:val="2"/>
          <w:sz w:val="21"/>
          <w:szCs w:val="20"/>
          <w:lang w:val="en-US" w:eastAsia="zh-CN" w:bidi="ar-SA"/>
        </w:rPr>
        <w:instrText xml:space="preserve"> STYLEREF 2 \s </w:instrText>
      </w:r>
      <w:r>
        <w:rPr>
          <w:rFonts w:ascii="Times New Roman" w:hAnsi="Times New Roman" w:eastAsia="宋体" w:cs="Times New Roman"/>
          <w:b/>
          <w:color w:val="000000"/>
          <w:kern w:val="2"/>
          <w:sz w:val="21"/>
          <w:szCs w:val="20"/>
          <w:lang w:val="en-US" w:eastAsia="zh-CN" w:bidi="ar-SA"/>
        </w:rPr>
        <w:fldChar w:fldCharType="separate"/>
      </w:r>
      <w:r>
        <w:rPr>
          <w:rFonts w:ascii="Times New Roman" w:hAnsi="Times New Roman" w:eastAsia="宋体" w:cs="Times New Roman"/>
          <w:b/>
          <w:color w:val="000000"/>
          <w:kern w:val="2"/>
          <w:sz w:val="21"/>
          <w:szCs w:val="20"/>
          <w:lang w:val="en-US" w:eastAsia="zh-CN" w:bidi="ar-SA"/>
        </w:rPr>
        <w:t>1.</w:t>
      </w:r>
      <w:r>
        <w:rPr>
          <w:rFonts w:hint="eastAsia" w:ascii="Times New Roman" w:hAnsi="Times New Roman" w:eastAsia="宋体" w:cs="Times New Roman"/>
          <w:b/>
          <w:color w:val="000000"/>
          <w:kern w:val="2"/>
          <w:sz w:val="21"/>
          <w:szCs w:val="20"/>
          <w:lang w:val="en-US" w:eastAsia="zh-CN" w:bidi="ar-SA"/>
        </w:rPr>
        <w:t>6</w:t>
      </w:r>
      <w:r>
        <w:rPr>
          <w:rFonts w:ascii="Times New Roman" w:hAnsi="Times New Roman" w:eastAsia="宋体" w:cs="Times New Roman"/>
          <w:b/>
          <w:color w:val="000000"/>
          <w:kern w:val="2"/>
          <w:sz w:val="21"/>
          <w:szCs w:val="20"/>
          <w:lang w:val="en-US" w:eastAsia="zh-CN" w:bidi="ar-SA"/>
        </w:rPr>
        <w:fldChar w:fldCharType="end"/>
      </w:r>
      <w:r>
        <w:rPr>
          <w:rFonts w:ascii="Times New Roman" w:hAnsi="Times New Roman" w:eastAsia="宋体" w:cs="Times New Roman"/>
          <w:b/>
          <w:color w:val="000000"/>
          <w:kern w:val="2"/>
          <w:sz w:val="21"/>
          <w:szCs w:val="20"/>
          <w:lang w:val="en-US" w:eastAsia="zh-CN" w:bidi="ar-SA"/>
        </w:rPr>
        <w:noBreakHyphen/>
      </w:r>
      <w:r>
        <w:rPr>
          <w:rFonts w:ascii="Times New Roman" w:hAnsi="Times New Roman" w:eastAsia="宋体" w:cs="Times New Roman"/>
          <w:b/>
          <w:color w:val="000000"/>
          <w:kern w:val="2"/>
          <w:sz w:val="21"/>
          <w:szCs w:val="20"/>
          <w:lang w:val="en-US" w:eastAsia="zh-CN" w:bidi="ar-SA"/>
        </w:rPr>
        <w:fldChar w:fldCharType="begin"/>
      </w:r>
      <w:r>
        <w:rPr>
          <w:rFonts w:ascii="Times New Roman" w:hAnsi="Times New Roman" w:eastAsia="宋体" w:cs="Times New Roman"/>
          <w:b/>
          <w:color w:val="000000"/>
          <w:kern w:val="2"/>
          <w:sz w:val="21"/>
          <w:szCs w:val="20"/>
          <w:lang w:val="en-US" w:eastAsia="zh-CN" w:bidi="ar-SA"/>
        </w:rPr>
        <w:instrText xml:space="preserve"> SEQ 表 \* ARABIC \s 2 </w:instrText>
      </w:r>
      <w:r>
        <w:rPr>
          <w:rFonts w:ascii="Times New Roman" w:hAnsi="Times New Roman" w:eastAsia="宋体" w:cs="Times New Roman"/>
          <w:b/>
          <w:color w:val="000000"/>
          <w:kern w:val="2"/>
          <w:sz w:val="21"/>
          <w:szCs w:val="20"/>
          <w:lang w:val="en-US" w:eastAsia="zh-CN" w:bidi="ar-SA"/>
        </w:rPr>
        <w:fldChar w:fldCharType="separate"/>
      </w:r>
      <w:r>
        <w:rPr>
          <w:rFonts w:ascii="Times New Roman" w:hAnsi="Times New Roman" w:eastAsia="宋体" w:cs="Times New Roman"/>
          <w:b/>
          <w:color w:val="000000"/>
          <w:kern w:val="2"/>
          <w:sz w:val="21"/>
          <w:szCs w:val="20"/>
          <w:lang w:val="en-US" w:eastAsia="zh-CN" w:bidi="ar-SA"/>
        </w:rPr>
        <w:t>1</w:t>
      </w:r>
      <w:r>
        <w:rPr>
          <w:rFonts w:ascii="Times New Roman" w:hAnsi="Times New Roman" w:eastAsia="宋体" w:cs="Times New Roman"/>
          <w:b/>
          <w:color w:val="000000"/>
          <w:kern w:val="2"/>
          <w:sz w:val="21"/>
          <w:szCs w:val="20"/>
          <w:lang w:val="en-US" w:eastAsia="zh-CN" w:bidi="ar-SA"/>
        </w:rPr>
        <w:fldChar w:fldCharType="end"/>
      </w:r>
      <w:bookmarkEnd w:id="285"/>
      <w:r>
        <w:rPr>
          <w:rFonts w:ascii="Times New Roman" w:hAnsi="Times New Roman" w:eastAsia="宋体" w:cs="Times New Roman"/>
          <w:b/>
          <w:color w:val="000000"/>
          <w:kern w:val="2"/>
          <w:sz w:val="21"/>
          <w:szCs w:val="20"/>
          <w:lang w:val="en-US" w:eastAsia="zh-CN" w:bidi="ar-SA"/>
        </w:rPr>
        <w:t xml:space="preserve">  拟建</w:t>
      </w:r>
      <w:r>
        <w:rPr>
          <w:rFonts w:hint="eastAsia" w:ascii="Times New Roman" w:hAnsi="Times New Roman" w:eastAsia="宋体" w:cs="Times New Roman"/>
          <w:b/>
          <w:color w:val="000000"/>
          <w:kern w:val="2"/>
          <w:sz w:val="21"/>
          <w:szCs w:val="20"/>
          <w:lang w:val="en-US" w:eastAsia="zh-CN" w:bidi="ar-SA"/>
        </w:rPr>
        <w:t>公路</w:t>
      </w:r>
      <w:r>
        <w:rPr>
          <w:rFonts w:ascii="Times New Roman" w:hAnsi="Times New Roman" w:eastAsia="宋体" w:cs="Times New Roman"/>
          <w:b/>
          <w:color w:val="000000"/>
          <w:kern w:val="2"/>
          <w:sz w:val="21"/>
          <w:szCs w:val="20"/>
          <w:lang w:val="en-US" w:eastAsia="zh-CN" w:bidi="ar-SA"/>
        </w:rPr>
        <w:t>主要生态保护目标情况</w:t>
      </w:r>
    </w:p>
    <w:tbl>
      <w:tblPr>
        <w:tblStyle w:val="22"/>
        <w:tblW w:w="5014" w:type="pct"/>
        <w:jc w:val="center"/>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Layout w:type="autofit"/>
        <w:tblCellMar>
          <w:top w:w="0" w:type="dxa"/>
          <w:left w:w="28" w:type="dxa"/>
          <w:bottom w:w="0" w:type="dxa"/>
          <w:right w:w="28" w:type="dxa"/>
        </w:tblCellMar>
      </w:tblPr>
      <w:tblGrid>
        <w:gridCol w:w="962"/>
        <w:gridCol w:w="3266"/>
        <w:gridCol w:w="2443"/>
        <w:gridCol w:w="1917"/>
      </w:tblGrid>
      <w:tr w14:paraId="7F2DBB59">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28" w:type="dxa"/>
            <w:bottom w:w="0" w:type="dxa"/>
            <w:right w:w="28" w:type="dxa"/>
          </w:tblCellMar>
        </w:tblPrEx>
        <w:trPr>
          <w:jc w:val="center"/>
        </w:trPr>
        <w:tc>
          <w:tcPr>
            <w:tcW w:w="560" w:type="pct"/>
            <w:tcBorders>
              <w:tl2br w:val="nil"/>
              <w:tr2bl w:val="nil"/>
            </w:tcBorders>
            <w:vAlign w:val="center"/>
          </w:tcPr>
          <w:p w14:paraId="291A7F5C">
            <w:pPr>
              <w:widowControl w:val="0"/>
              <w:spacing w:line="240" w:lineRule="auto"/>
              <w:ind w:firstLine="0" w:firstLineChars="0"/>
              <w:jc w:val="center"/>
              <w:rPr>
                <w:rFonts w:ascii="Times New Roman" w:hAnsi="Times New Roman" w:eastAsia="宋体" w:cs="Times New Roman"/>
                <w:b/>
                <w:bCs/>
                <w:color w:val="auto"/>
                <w:kern w:val="2"/>
                <w:sz w:val="21"/>
                <w:szCs w:val="22"/>
                <w:lang w:val="en-US" w:eastAsia="zh-CN" w:bidi="ar-SA"/>
              </w:rPr>
            </w:pPr>
            <w:bookmarkStart w:id="286" w:name="_Hlk192179483"/>
            <w:bookmarkStart w:id="287" w:name="_Hlk219121819"/>
            <w:r>
              <w:rPr>
                <w:rFonts w:ascii="Times New Roman" w:hAnsi="Times New Roman" w:eastAsia="宋体" w:cs="Times New Roman"/>
                <w:b/>
                <w:bCs/>
                <w:color w:val="auto"/>
                <w:kern w:val="2"/>
                <w:sz w:val="21"/>
                <w:szCs w:val="22"/>
                <w:lang w:val="en-US" w:eastAsia="zh-CN" w:bidi="ar-SA"/>
              </w:rPr>
              <w:t>敏感目标</w:t>
            </w:r>
          </w:p>
        </w:tc>
        <w:tc>
          <w:tcPr>
            <w:tcW w:w="1901" w:type="pct"/>
            <w:tcBorders>
              <w:tl2br w:val="nil"/>
              <w:tr2bl w:val="nil"/>
            </w:tcBorders>
            <w:vAlign w:val="center"/>
          </w:tcPr>
          <w:p w14:paraId="7894C37C">
            <w:pPr>
              <w:widowControl w:val="0"/>
              <w:spacing w:line="240" w:lineRule="auto"/>
              <w:ind w:firstLine="0" w:firstLineChars="0"/>
              <w:jc w:val="center"/>
              <w:rPr>
                <w:rFonts w:ascii="Times New Roman" w:hAnsi="Times New Roman" w:eastAsia="宋体" w:cs="Times New Roman"/>
                <w:b/>
                <w:bCs/>
                <w:color w:val="auto"/>
                <w:kern w:val="2"/>
                <w:sz w:val="21"/>
                <w:szCs w:val="22"/>
                <w:lang w:val="en-US" w:eastAsia="zh-CN" w:bidi="ar-SA"/>
              </w:rPr>
            </w:pPr>
            <w:r>
              <w:rPr>
                <w:rFonts w:ascii="Times New Roman" w:hAnsi="Times New Roman" w:eastAsia="宋体" w:cs="Times New Roman"/>
                <w:b/>
                <w:bCs/>
                <w:color w:val="auto"/>
                <w:kern w:val="2"/>
                <w:sz w:val="21"/>
                <w:szCs w:val="22"/>
                <w:lang w:val="en-US" w:eastAsia="zh-CN" w:bidi="ar-SA"/>
              </w:rPr>
              <w:t>敏感目标特征</w:t>
            </w:r>
          </w:p>
        </w:tc>
        <w:tc>
          <w:tcPr>
            <w:tcW w:w="1422" w:type="pct"/>
            <w:tcBorders>
              <w:tl2br w:val="nil"/>
              <w:tr2bl w:val="nil"/>
            </w:tcBorders>
            <w:vAlign w:val="center"/>
          </w:tcPr>
          <w:p w14:paraId="7E1C6ECB">
            <w:pPr>
              <w:widowControl w:val="0"/>
              <w:spacing w:line="240" w:lineRule="auto"/>
              <w:ind w:firstLine="0" w:firstLineChars="0"/>
              <w:jc w:val="center"/>
              <w:rPr>
                <w:rFonts w:ascii="Times New Roman" w:hAnsi="Times New Roman" w:eastAsia="宋体" w:cs="Times New Roman"/>
                <w:b/>
                <w:bCs/>
                <w:color w:val="auto"/>
                <w:kern w:val="2"/>
                <w:sz w:val="21"/>
                <w:szCs w:val="22"/>
                <w:lang w:val="en-US" w:eastAsia="zh-CN" w:bidi="ar-SA"/>
              </w:rPr>
            </w:pPr>
            <w:r>
              <w:rPr>
                <w:rFonts w:ascii="Times New Roman" w:hAnsi="Times New Roman" w:eastAsia="宋体" w:cs="Times New Roman"/>
                <w:b/>
                <w:bCs/>
                <w:color w:val="auto"/>
                <w:kern w:val="2"/>
                <w:sz w:val="21"/>
                <w:szCs w:val="22"/>
                <w:lang w:val="en-US" w:eastAsia="zh-CN" w:bidi="ar-SA"/>
              </w:rPr>
              <w:t>相关关系</w:t>
            </w:r>
          </w:p>
        </w:tc>
        <w:tc>
          <w:tcPr>
            <w:tcW w:w="1115" w:type="pct"/>
            <w:tcBorders>
              <w:tl2br w:val="nil"/>
              <w:tr2bl w:val="nil"/>
            </w:tcBorders>
            <w:vAlign w:val="center"/>
          </w:tcPr>
          <w:p w14:paraId="23D3609A">
            <w:pPr>
              <w:widowControl w:val="0"/>
              <w:spacing w:line="240" w:lineRule="auto"/>
              <w:ind w:firstLine="0" w:firstLineChars="0"/>
              <w:jc w:val="center"/>
              <w:rPr>
                <w:rFonts w:ascii="Times New Roman" w:hAnsi="Times New Roman" w:eastAsia="宋体" w:cs="Times New Roman"/>
                <w:b/>
                <w:bCs/>
                <w:color w:val="auto"/>
                <w:kern w:val="2"/>
                <w:sz w:val="21"/>
                <w:szCs w:val="22"/>
                <w:lang w:val="en-US" w:eastAsia="zh-CN" w:bidi="ar-SA"/>
              </w:rPr>
            </w:pPr>
            <w:r>
              <w:rPr>
                <w:rFonts w:ascii="Times New Roman" w:hAnsi="Times New Roman" w:eastAsia="宋体" w:cs="Times New Roman"/>
                <w:b/>
                <w:bCs/>
                <w:color w:val="auto"/>
                <w:kern w:val="2"/>
                <w:sz w:val="21"/>
                <w:szCs w:val="22"/>
                <w:lang w:val="en-US" w:eastAsia="zh-CN" w:bidi="ar-SA"/>
              </w:rPr>
              <w:t>主要影响及时段</w:t>
            </w:r>
          </w:p>
        </w:tc>
      </w:tr>
      <w:bookmarkEnd w:id="286"/>
      <w:bookmarkEnd w:id="287"/>
      <w:tr w14:paraId="762402F8">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28" w:type="dxa"/>
            <w:bottom w:w="0" w:type="dxa"/>
            <w:right w:w="28" w:type="dxa"/>
          </w:tblCellMar>
        </w:tblPrEx>
        <w:trPr>
          <w:jc w:val="center"/>
        </w:trPr>
        <w:tc>
          <w:tcPr>
            <w:tcW w:w="560" w:type="pct"/>
            <w:tcBorders>
              <w:tl2br w:val="nil"/>
              <w:tr2bl w:val="nil"/>
            </w:tcBorders>
            <w:vAlign w:val="center"/>
          </w:tcPr>
          <w:p w14:paraId="47AAF624">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耕地、基本农田</w:t>
            </w:r>
          </w:p>
        </w:tc>
        <w:tc>
          <w:tcPr>
            <w:tcW w:w="1901" w:type="pct"/>
            <w:tcBorders>
              <w:tl2br w:val="nil"/>
              <w:tr2bl w:val="nil"/>
            </w:tcBorders>
            <w:vAlign w:val="center"/>
          </w:tcPr>
          <w:p w14:paraId="04B19C79">
            <w:pPr>
              <w:widowControl w:val="0"/>
              <w:spacing w:line="240" w:lineRule="auto"/>
              <w:ind w:firstLine="0" w:firstLineChars="0"/>
              <w:jc w:val="left"/>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沿线地区农耕历史悠久，主要种植的农作物以小麦、玉米、棉花为主，还有水稻、大麦、高粱、胡麻、葵花、花生、芝麻、小茴香等。果树有桃、杏、梨、苹果、葡萄、无花果、石榴、核桃等。</w:t>
            </w:r>
          </w:p>
        </w:tc>
        <w:tc>
          <w:tcPr>
            <w:tcW w:w="1422" w:type="pct"/>
            <w:tcBorders>
              <w:tl2br w:val="nil"/>
              <w:tr2bl w:val="nil"/>
            </w:tcBorders>
            <w:vAlign w:val="center"/>
          </w:tcPr>
          <w:p w14:paraId="2CCC75D2">
            <w:pPr>
              <w:widowControl w:val="0"/>
              <w:spacing w:line="240" w:lineRule="auto"/>
              <w:ind w:firstLine="0" w:firstLineChars="0"/>
              <w:jc w:val="both"/>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拟建公路占用耕地34.12hm</w:t>
            </w:r>
            <w:r>
              <w:rPr>
                <w:rFonts w:ascii="Times New Roman" w:hAnsi="Times New Roman" w:eastAsia="宋体" w:cs="Times New Roman"/>
                <w:color w:val="000000"/>
                <w:kern w:val="2"/>
                <w:sz w:val="21"/>
                <w:szCs w:val="22"/>
                <w:vertAlign w:val="superscript"/>
                <w:lang w:val="en-US" w:eastAsia="zh-CN" w:bidi="ar-SA"/>
              </w:rPr>
              <w:t>2</w:t>
            </w:r>
            <w:r>
              <w:rPr>
                <w:rFonts w:ascii="Times New Roman" w:hAnsi="Times New Roman" w:eastAsia="宋体" w:cs="Times New Roman"/>
                <w:color w:val="000000"/>
                <w:kern w:val="2"/>
                <w:sz w:val="21"/>
                <w:szCs w:val="22"/>
                <w:lang w:val="en-US" w:eastAsia="zh-CN" w:bidi="ar-SA"/>
              </w:rPr>
              <w:t>，不占用基本农田。</w:t>
            </w:r>
          </w:p>
        </w:tc>
        <w:tc>
          <w:tcPr>
            <w:tcW w:w="1115" w:type="pct"/>
            <w:tcBorders>
              <w:tl2br w:val="nil"/>
              <w:tr2bl w:val="nil"/>
            </w:tcBorders>
            <w:vAlign w:val="center"/>
          </w:tcPr>
          <w:p w14:paraId="3AD0C50B">
            <w:pPr>
              <w:widowControl w:val="0"/>
              <w:spacing w:line="240" w:lineRule="auto"/>
              <w:ind w:firstLine="0" w:firstLineChars="0"/>
              <w:jc w:val="both"/>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土地占用造成耕地的减少，影响时段为施工期。</w:t>
            </w:r>
          </w:p>
        </w:tc>
      </w:tr>
      <w:tr w14:paraId="31F6A9A2">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28" w:type="dxa"/>
            <w:bottom w:w="0" w:type="dxa"/>
            <w:right w:w="28" w:type="dxa"/>
          </w:tblCellMar>
        </w:tblPrEx>
        <w:trPr>
          <w:jc w:val="center"/>
        </w:trPr>
        <w:tc>
          <w:tcPr>
            <w:tcW w:w="560" w:type="pct"/>
            <w:tcBorders>
              <w:tl2br w:val="nil"/>
              <w:tr2bl w:val="nil"/>
            </w:tcBorders>
            <w:vAlign w:val="center"/>
          </w:tcPr>
          <w:p w14:paraId="5E92EB56">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自然植被</w:t>
            </w:r>
          </w:p>
        </w:tc>
        <w:tc>
          <w:tcPr>
            <w:tcW w:w="1901" w:type="pct"/>
            <w:tcBorders>
              <w:tl2br w:val="nil"/>
              <w:tr2bl w:val="nil"/>
            </w:tcBorders>
            <w:vAlign w:val="center"/>
          </w:tcPr>
          <w:p w14:paraId="455B3D33">
            <w:pPr>
              <w:widowControl w:val="0"/>
              <w:spacing w:line="240" w:lineRule="auto"/>
              <w:ind w:firstLine="0" w:firstLineChars="0"/>
              <w:jc w:val="left"/>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项目沿线植被以新疆杨、银白杨、榆树、沙枣构成的人工林为主，灌木为多枝柽柳、柽柳、琵琶柴、沙拐枣、骆驼刺、盐爪爪等，草原主要由芨芨草、碱蓬等构成。通过资料收集和现场调查，评价范围内无国家级和</w:t>
            </w:r>
            <w:r>
              <w:rPr>
                <w:rFonts w:hint="eastAsia" w:ascii="Times New Roman" w:hAnsi="Times New Roman" w:eastAsia="宋体" w:cs="Times New Roman"/>
                <w:color w:val="000000"/>
                <w:kern w:val="2"/>
                <w:sz w:val="21"/>
                <w:szCs w:val="22"/>
                <w:lang w:val="en-US" w:eastAsia="zh-CN" w:bidi="ar-SA"/>
              </w:rPr>
              <w:t>新疆维吾尔自治区级</w:t>
            </w:r>
            <w:r>
              <w:rPr>
                <w:rFonts w:ascii="Times New Roman" w:hAnsi="Times New Roman" w:eastAsia="宋体" w:cs="Times New Roman"/>
                <w:color w:val="000000"/>
                <w:kern w:val="2"/>
                <w:sz w:val="21"/>
                <w:szCs w:val="22"/>
                <w:lang w:val="en-US" w:eastAsia="zh-CN" w:bidi="ar-SA"/>
              </w:rPr>
              <w:t>重点保护野生植物、古树名木分布。</w:t>
            </w:r>
          </w:p>
        </w:tc>
        <w:tc>
          <w:tcPr>
            <w:tcW w:w="1422" w:type="pct"/>
            <w:tcBorders>
              <w:tl2br w:val="nil"/>
              <w:tr2bl w:val="nil"/>
            </w:tcBorders>
            <w:vAlign w:val="center"/>
          </w:tcPr>
          <w:p w14:paraId="5847AA23">
            <w:pPr>
              <w:widowControl w:val="0"/>
              <w:spacing w:line="240" w:lineRule="auto"/>
              <w:ind w:firstLine="0" w:firstLineChars="0"/>
              <w:jc w:val="both"/>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4"/>
                <w:lang w:val="en-US" w:eastAsia="zh-CN" w:bidi="ar-SA"/>
              </w:rPr>
              <w:t>拟建公路永久占地306.32hm</w:t>
            </w:r>
            <w:r>
              <w:rPr>
                <w:rFonts w:ascii="Times New Roman" w:hAnsi="Times New Roman" w:eastAsia="宋体" w:cs="Times New Roman"/>
                <w:color w:val="000000"/>
                <w:kern w:val="2"/>
                <w:sz w:val="21"/>
                <w:szCs w:val="24"/>
                <w:vertAlign w:val="superscript"/>
                <w:lang w:val="en-US" w:eastAsia="zh-CN" w:bidi="ar-SA"/>
              </w:rPr>
              <w:t>2</w:t>
            </w:r>
            <w:r>
              <w:rPr>
                <w:rFonts w:ascii="Times New Roman" w:hAnsi="Times New Roman" w:eastAsia="宋体" w:cs="Times New Roman"/>
                <w:color w:val="000000"/>
                <w:kern w:val="2"/>
                <w:sz w:val="21"/>
                <w:szCs w:val="24"/>
                <w:lang w:val="en-US" w:eastAsia="zh-CN" w:bidi="ar-SA"/>
              </w:rPr>
              <w:t>，</w:t>
            </w:r>
            <w:r>
              <w:rPr>
                <w:rFonts w:ascii="Times New Roman" w:hAnsi="Times New Roman" w:eastAsia="宋体" w:cs="Times New Roman"/>
                <w:color w:val="000000"/>
                <w:kern w:val="2"/>
                <w:sz w:val="21"/>
                <w:szCs w:val="16"/>
                <w:lang w:val="en-US" w:eastAsia="zh-CN" w:bidi="ar-SA"/>
              </w:rPr>
              <w:t>其中耕地34.12hm</w:t>
            </w:r>
            <w:r>
              <w:rPr>
                <w:rFonts w:ascii="Times New Roman" w:hAnsi="Times New Roman" w:eastAsia="宋体" w:cs="Times New Roman"/>
                <w:color w:val="000000"/>
                <w:kern w:val="2"/>
                <w:sz w:val="21"/>
                <w:szCs w:val="16"/>
                <w:vertAlign w:val="superscript"/>
                <w:lang w:val="en-US" w:eastAsia="zh-CN" w:bidi="ar-SA"/>
              </w:rPr>
              <w:t>2</w:t>
            </w:r>
            <w:r>
              <w:rPr>
                <w:rFonts w:ascii="Times New Roman" w:hAnsi="Times New Roman" w:eastAsia="宋体" w:cs="Times New Roman"/>
                <w:color w:val="000000"/>
                <w:kern w:val="2"/>
                <w:sz w:val="21"/>
                <w:szCs w:val="16"/>
                <w:lang w:val="en-US" w:eastAsia="zh-CN" w:bidi="ar-SA"/>
              </w:rPr>
              <w:t>、林地78.08hm</w:t>
            </w:r>
            <w:r>
              <w:rPr>
                <w:rFonts w:ascii="Times New Roman" w:hAnsi="Times New Roman" w:eastAsia="宋体" w:cs="Times New Roman"/>
                <w:color w:val="000000"/>
                <w:kern w:val="2"/>
                <w:sz w:val="21"/>
                <w:szCs w:val="16"/>
                <w:vertAlign w:val="superscript"/>
                <w:lang w:val="en-US" w:eastAsia="zh-CN" w:bidi="ar-SA"/>
              </w:rPr>
              <w:t>2</w:t>
            </w:r>
            <w:r>
              <w:rPr>
                <w:rFonts w:ascii="Times New Roman" w:hAnsi="Times New Roman" w:eastAsia="宋体" w:cs="Times New Roman"/>
                <w:color w:val="000000"/>
                <w:kern w:val="2"/>
                <w:sz w:val="21"/>
                <w:szCs w:val="16"/>
                <w:lang w:val="en-US" w:eastAsia="zh-CN" w:bidi="ar-SA"/>
              </w:rPr>
              <w:t>、草地4.79hm</w:t>
            </w:r>
            <w:r>
              <w:rPr>
                <w:rFonts w:ascii="Times New Roman" w:hAnsi="Times New Roman" w:eastAsia="宋体" w:cs="Times New Roman"/>
                <w:color w:val="000000"/>
                <w:kern w:val="2"/>
                <w:sz w:val="21"/>
                <w:szCs w:val="16"/>
                <w:vertAlign w:val="superscript"/>
                <w:lang w:val="en-US" w:eastAsia="zh-CN" w:bidi="ar-SA"/>
              </w:rPr>
              <w:t>2</w:t>
            </w:r>
            <w:r>
              <w:rPr>
                <w:rFonts w:ascii="Times New Roman" w:hAnsi="Times New Roman" w:eastAsia="宋体" w:cs="Times New Roman"/>
                <w:color w:val="000000"/>
                <w:kern w:val="2"/>
                <w:sz w:val="21"/>
                <w:szCs w:val="16"/>
                <w:lang w:val="en-US" w:eastAsia="zh-CN" w:bidi="ar-SA"/>
              </w:rPr>
              <w:t>、园地7.85 hm</w:t>
            </w:r>
            <w:r>
              <w:rPr>
                <w:rFonts w:ascii="Times New Roman" w:hAnsi="Times New Roman" w:eastAsia="宋体" w:cs="Times New Roman"/>
                <w:color w:val="000000"/>
                <w:kern w:val="2"/>
                <w:sz w:val="21"/>
                <w:szCs w:val="16"/>
                <w:vertAlign w:val="superscript"/>
                <w:lang w:val="en-US" w:eastAsia="zh-CN" w:bidi="ar-SA"/>
              </w:rPr>
              <w:t>2</w:t>
            </w:r>
            <w:r>
              <w:rPr>
                <w:rFonts w:ascii="Times New Roman" w:hAnsi="Times New Roman" w:eastAsia="宋体" w:cs="Times New Roman"/>
                <w:color w:val="000000"/>
                <w:kern w:val="2"/>
                <w:sz w:val="21"/>
                <w:szCs w:val="16"/>
                <w:lang w:val="en-US" w:eastAsia="zh-CN" w:bidi="ar-SA"/>
              </w:rPr>
              <w:t>、水域及水利设施用地1.07hm</w:t>
            </w:r>
            <w:r>
              <w:rPr>
                <w:rFonts w:ascii="Times New Roman" w:hAnsi="Times New Roman" w:eastAsia="宋体" w:cs="Times New Roman"/>
                <w:color w:val="000000"/>
                <w:kern w:val="2"/>
                <w:sz w:val="21"/>
                <w:szCs w:val="16"/>
                <w:vertAlign w:val="superscript"/>
                <w:lang w:val="en-US" w:eastAsia="zh-CN" w:bidi="ar-SA"/>
              </w:rPr>
              <w:t>2</w:t>
            </w:r>
            <w:r>
              <w:rPr>
                <w:rFonts w:ascii="Times New Roman" w:hAnsi="Times New Roman" w:eastAsia="宋体" w:cs="Times New Roman"/>
                <w:color w:val="000000"/>
                <w:kern w:val="2"/>
                <w:sz w:val="21"/>
                <w:szCs w:val="16"/>
                <w:lang w:val="en-US" w:eastAsia="zh-CN" w:bidi="ar-SA"/>
              </w:rPr>
              <w:t>。</w:t>
            </w:r>
          </w:p>
        </w:tc>
        <w:tc>
          <w:tcPr>
            <w:tcW w:w="1115" w:type="pct"/>
            <w:tcBorders>
              <w:tl2br w:val="nil"/>
              <w:tr2bl w:val="nil"/>
            </w:tcBorders>
            <w:vAlign w:val="center"/>
          </w:tcPr>
          <w:p w14:paraId="5056EE09">
            <w:pPr>
              <w:widowControl w:val="0"/>
              <w:spacing w:line="240" w:lineRule="auto"/>
              <w:ind w:firstLine="0" w:firstLineChars="0"/>
              <w:jc w:val="both"/>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土地占用将造成植被的损失，影响时段为施工期。</w:t>
            </w:r>
          </w:p>
        </w:tc>
      </w:tr>
      <w:tr w14:paraId="7F6D8D0F">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28" w:type="dxa"/>
            <w:bottom w:w="0" w:type="dxa"/>
            <w:right w:w="28" w:type="dxa"/>
          </w:tblCellMar>
        </w:tblPrEx>
        <w:trPr>
          <w:jc w:val="center"/>
        </w:trPr>
        <w:tc>
          <w:tcPr>
            <w:tcW w:w="560" w:type="pct"/>
            <w:tcBorders>
              <w:tl2br w:val="nil"/>
              <w:tr2bl w:val="nil"/>
            </w:tcBorders>
            <w:vAlign w:val="center"/>
          </w:tcPr>
          <w:p w14:paraId="5ED687F0">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河谷林、农田防护林</w:t>
            </w:r>
          </w:p>
        </w:tc>
        <w:tc>
          <w:tcPr>
            <w:tcW w:w="1901" w:type="pct"/>
            <w:tcBorders>
              <w:tl2br w:val="nil"/>
              <w:tr2bl w:val="nil"/>
            </w:tcBorders>
            <w:vAlign w:val="center"/>
          </w:tcPr>
          <w:p w14:paraId="6729E517">
            <w:pPr>
              <w:widowControl w:val="0"/>
              <w:spacing w:line="240" w:lineRule="auto"/>
              <w:ind w:firstLine="0" w:firstLineChars="0"/>
              <w:jc w:val="left"/>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河谷林：沿线河道附近带状分布，以多枝柽柳为主，属国家级 / 地方公益防护林地，干旱区河流稀缺天然植被，是绿洲水源涵养、防风固沙核心屏障。</w:t>
            </w:r>
          </w:p>
          <w:p w14:paraId="4D469A91">
            <w:pPr>
              <w:widowControl w:val="0"/>
              <w:spacing w:line="240" w:lineRule="auto"/>
              <w:ind w:firstLine="0" w:firstLineChars="0"/>
              <w:jc w:val="left"/>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农田防护林：沿线农田四周，呈网格状环绕棉花、小麦、玉米耕地，沿路侧、渠边连续布设；以新疆杨、白榆为主，少量沙枣，全为人工防风固沙经济防护林地，属于地方重点防护林。</w:t>
            </w:r>
          </w:p>
        </w:tc>
        <w:tc>
          <w:tcPr>
            <w:tcW w:w="1422" w:type="pct"/>
            <w:tcBorders>
              <w:tl2br w:val="nil"/>
              <w:tr2bl w:val="nil"/>
            </w:tcBorders>
            <w:vAlign w:val="center"/>
          </w:tcPr>
          <w:p w14:paraId="28A48624">
            <w:pPr>
              <w:widowControl w:val="0"/>
              <w:spacing w:line="240" w:lineRule="auto"/>
              <w:ind w:firstLine="0" w:firstLineChars="0"/>
              <w:jc w:val="both"/>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拟建公路占用林地78.08hm</w:t>
            </w:r>
            <w:r>
              <w:rPr>
                <w:rFonts w:ascii="Times New Roman" w:hAnsi="Times New Roman" w:eastAsia="宋体" w:cs="Times New Roman"/>
                <w:color w:val="000000"/>
                <w:kern w:val="2"/>
                <w:sz w:val="21"/>
                <w:szCs w:val="22"/>
                <w:vertAlign w:val="superscript"/>
                <w:lang w:val="en-US" w:eastAsia="zh-CN" w:bidi="ar-SA"/>
              </w:rPr>
              <w:t>2</w:t>
            </w:r>
            <w:r>
              <w:rPr>
                <w:rFonts w:ascii="Times New Roman" w:hAnsi="Times New Roman" w:eastAsia="宋体" w:cs="Times New Roman"/>
                <w:color w:val="000000"/>
                <w:kern w:val="2"/>
                <w:sz w:val="21"/>
                <w:szCs w:val="22"/>
                <w:lang w:val="en-US" w:eastAsia="zh-CN" w:bidi="ar-SA"/>
              </w:rPr>
              <w:t>，不涉及占用国家/地方生态公益林，不占用河谷林和农田防护林。</w:t>
            </w:r>
          </w:p>
        </w:tc>
        <w:tc>
          <w:tcPr>
            <w:tcW w:w="1115" w:type="pct"/>
            <w:tcBorders>
              <w:tl2br w:val="nil"/>
              <w:tr2bl w:val="nil"/>
            </w:tcBorders>
            <w:vAlign w:val="center"/>
          </w:tcPr>
          <w:p w14:paraId="4ABAE845">
            <w:pPr>
              <w:widowControl w:val="0"/>
              <w:spacing w:line="240" w:lineRule="auto"/>
              <w:ind w:firstLine="0" w:firstLineChars="0"/>
              <w:jc w:val="both"/>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土地占用造成林地的减少，影响时段为施工期。</w:t>
            </w:r>
          </w:p>
        </w:tc>
      </w:tr>
      <w:tr w14:paraId="66EFE1D2">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28" w:type="dxa"/>
            <w:bottom w:w="0" w:type="dxa"/>
            <w:right w:w="28" w:type="dxa"/>
          </w:tblCellMar>
        </w:tblPrEx>
        <w:trPr>
          <w:jc w:val="center"/>
        </w:trPr>
        <w:tc>
          <w:tcPr>
            <w:tcW w:w="560" w:type="pct"/>
            <w:tcBorders>
              <w:tl2br w:val="nil"/>
              <w:tr2bl w:val="nil"/>
            </w:tcBorders>
            <w:vAlign w:val="center"/>
          </w:tcPr>
          <w:p w14:paraId="28C96B2B">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野生动物</w:t>
            </w:r>
          </w:p>
        </w:tc>
        <w:tc>
          <w:tcPr>
            <w:tcW w:w="1901" w:type="pct"/>
            <w:tcBorders>
              <w:tl2br w:val="nil"/>
              <w:tr2bl w:val="nil"/>
            </w:tcBorders>
            <w:vAlign w:val="center"/>
          </w:tcPr>
          <w:p w14:paraId="522107B1">
            <w:pPr>
              <w:widowControl w:val="0"/>
              <w:spacing w:line="240" w:lineRule="auto"/>
              <w:ind w:firstLine="0" w:firstLineChars="0"/>
              <w:jc w:val="left"/>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拟建公路评价范围内陆生野生动物种类较少，兽类以子午沙鼠、短耳沙鼠等啮齿类动物为主，鸟类以家燕、戴胜、喜鹊、小嘴乌鸦、灰斑鸠等为主；爬行类以麻蜥、荒漠麻蜥为主；两栖类以塔里木蟾蜍等（仅分布于绿洲、沟渠周边）。通过资料收集和现场调查，评价范围内无国家级和</w:t>
            </w:r>
            <w:r>
              <w:rPr>
                <w:rFonts w:hint="eastAsia" w:ascii="Times New Roman" w:hAnsi="Times New Roman" w:eastAsia="宋体" w:cs="Times New Roman"/>
                <w:color w:val="000000"/>
                <w:kern w:val="2"/>
                <w:sz w:val="21"/>
                <w:szCs w:val="22"/>
                <w:lang w:val="en-US" w:eastAsia="zh-CN" w:bidi="ar-SA"/>
              </w:rPr>
              <w:t>新疆维吾尔自治区级</w:t>
            </w:r>
            <w:r>
              <w:rPr>
                <w:rFonts w:ascii="Times New Roman" w:hAnsi="Times New Roman" w:eastAsia="宋体" w:cs="Times New Roman"/>
                <w:color w:val="000000"/>
                <w:kern w:val="2"/>
                <w:sz w:val="21"/>
                <w:szCs w:val="22"/>
                <w:lang w:val="en-US" w:eastAsia="zh-CN" w:bidi="ar-SA"/>
              </w:rPr>
              <w:t>重点保护野生动物分布。</w:t>
            </w:r>
          </w:p>
        </w:tc>
        <w:tc>
          <w:tcPr>
            <w:tcW w:w="1422" w:type="pct"/>
            <w:tcBorders>
              <w:tl2br w:val="nil"/>
              <w:tr2bl w:val="nil"/>
            </w:tcBorders>
            <w:vAlign w:val="center"/>
          </w:tcPr>
          <w:p w14:paraId="5830FE8C">
            <w:pPr>
              <w:widowControl w:val="0"/>
              <w:spacing w:line="240" w:lineRule="auto"/>
              <w:ind w:firstLine="0" w:firstLineChars="0"/>
              <w:jc w:val="both"/>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工程永久占地，占用并分割动物自然生境等工程影响。</w:t>
            </w:r>
          </w:p>
        </w:tc>
        <w:tc>
          <w:tcPr>
            <w:tcW w:w="1115" w:type="pct"/>
            <w:tcBorders>
              <w:tl2br w:val="nil"/>
              <w:tr2bl w:val="nil"/>
            </w:tcBorders>
            <w:vAlign w:val="center"/>
          </w:tcPr>
          <w:p w14:paraId="6AA21441">
            <w:pPr>
              <w:widowControl w:val="0"/>
              <w:spacing w:line="240" w:lineRule="auto"/>
              <w:ind w:firstLine="0" w:firstLineChars="0"/>
              <w:jc w:val="both"/>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公路建设对保护动物栖息和觅食场所的破坏，影响时段为施工期。</w:t>
            </w:r>
          </w:p>
        </w:tc>
      </w:tr>
      <w:tr w14:paraId="2FD665F1">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28" w:type="dxa"/>
            <w:bottom w:w="0" w:type="dxa"/>
            <w:right w:w="28" w:type="dxa"/>
          </w:tblCellMar>
        </w:tblPrEx>
        <w:trPr>
          <w:jc w:val="center"/>
        </w:trPr>
        <w:tc>
          <w:tcPr>
            <w:tcW w:w="560" w:type="pct"/>
            <w:tcBorders>
              <w:tl2br w:val="nil"/>
              <w:tr2bl w:val="nil"/>
            </w:tcBorders>
            <w:vAlign w:val="center"/>
          </w:tcPr>
          <w:p w14:paraId="6156EA09">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沙化土地</w:t>
            </w:r>
          </w:p>
        </w:tc>
        <w:tc>
          <w:tcPr>
            <w:tcW w:w="1901" w:type="pct"/>
            <w:tcBorders>
              <w:tl2br w:val="nil"/>
              <w:tr2bl w:val="nil"/>
            </w:tcBorders>
            <w:vAlign w:val="center"/>
          </w:tcPr>
          <w:p w14:paraId="5E5D52A1">
            <w:pPr>
              <w:widowControl w:val="0"/>
              <w:spacing w:line="240" w:lineRule="auto"/>
              <w:ind w:firstLine="0" w:firstLineChars="0"/>
              <w:jc w:val="left"/>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根据《全国防沙治沙规划（2021—2030年）》，项目区域属于干旱沙漠及绿洲类型区的塔克拉玛干沙漠及绿洲生态保护修复区，其中莎车县为重点县，阿克陶县和塔什库尔干塔吉克自治县为一般县。</w:t>
            </w:r>
          </w:p>
        </w:tc>
        <w:tc>
          <w:tcPr>
            <w:tcW w:w="1422" w:type="pct"/>
            <w:tcBorders>
              <w:tl2br w:val="nil"/>
              <w:tr2bl w:val="nil"/>
            </w:tcBorders>
            <w:vAlign w:val="center"/>
          </w:tcPr>
          <w:p w14:paraId="3D37D1E4">
            <w:pPr>
              <w:widowControl w:val="0"/>
              <w:spacing w:line="240" w:lineRule="auto"/>
              <w:ind w:firstLine="0" w:firstLineChars="0"/>
              <w:jc w:val="both"/>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拟建公路K0+000~K1+100、K4+100~K6+500、K11+000~K14+000</w:t>
            </w:r>
          </w:p>
          <w:p w14:paraId="217BE4C8">
            <w:pPr>
              <w:widowControl w:val="0"/>
              <w:spacing w:line="240" w:lineRule="auto"/>
              <w:ind w:firstLine="0" w:firstLineChars="0"/>
              <w:jc w:val="both"/>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段6.5km穿越沙化土地，占地15.68hm</w:t>
            </w:r>
            <w:r>
              <w:rPr>
                <w:rFonts w:ascii="Times New Roman" w:hAnsi="Times New Roman" w:eastAsia="宋体" w:cs="Times New Roman"/>
                <w:color w:val="000000"/>
                <w:kern w:val="2"/>
                <w:sz w:val="21"/>
                <w:szCs w:val="22"/>
                <w:vertAlign w:val="superscript"/>
                <w:lang w:val="en-US" w:eastAsia="zh-CN" w:bidi="ar-SA"/>
              </w:rPr>
              <w:t>2</w:t>
            </w:r>
          </w:p>
        </w:tc>
        <w:tc>
          <w:tcPr>
            <w:tcW w:w="1115" w:type="pct"/>
            <w:tcBorders>
              <w:tl2br w:val="nil"/>
              <w:tr2bl w:val="nil"/>
            </w:tcBorders>
            <w:vAlign w:val="center"/>
          </w:tcPr>
          <w:p w14:paraId="2904950A">
            <w:pPr>
              <w:widowControl w:val="0"/>
              <w:spacing w:line="240" w:lineRule="auto"/>
              <w:ind w:firstLine="0" w:firstLineChars="0"/>
              <w:jc w:val="both"/>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公路建设扰动原地貌、破坏地表植被，改变土体结构，使土壤抗蚀性降低，加剧局部地段土地沙化现象。</w:t>
            </w:r>
          </w:p>
        </w:tc>
      </w:tr>
    </w:tbl>
    <w:p w14:paraId="1F02259A">
      <w:pPr>
        <w:spacing w:line="300" w:lineRule="auto"/>
        <w:ind w:firstLine="480" w:firstLineChars="200"/>
        <w:rPr>
          <w:rFonts w:ascii="Times New Roman" w:hAnsi="Times New Roman" w:eastAsia="宋体" w:cs="Times New Roman"/>
          <w:color w:val="000000"/>
          <w:sz w:val="24"/>
          <w:szCs w:val="22"/>
        </w:rPr>
      </w:pPr>
    </w:p>
    <w:p w14:paraId="51ABC1A0">
      <w:pPr>
        <w:keepNext/>
        <w:keepLines/>
        <w:widowControl w:val="0"/>
        <w:numPr>
          <w:ilvl w:val="1"/>
          <w:numId w:val="0"/>
        </w:numPr>
        <w:spacing w:before="240" w:after="240" w:line="240" w:lineRule="auto"/>
        <w:ind w:leftChars="0" w:firstLine="200" w:firstLineChars="0"/>
        <w:jc w:val="both"/>
        <w:outlineLvl w:val="1"/>
        <w:rPr>
          <w:rFonts w:ascii="Times New Roman" w:hAnsi="Times New Roman" w:eastAsia="宋体" w:cs="Times New Roman"/>
          <w:b/>
          <w:bCs/>
          <w:color w:val="000000"/>
          <w:kern w:val="2"/>
          <w:sz w:val="28"/>
          <w:szCs w:val="32"/>
          <w:lang w:val="en-US" w:eastAsia="zh-CN" w:bidi="ar-SA"/>
        </w:rPr>
      </w:pPr>
      <w:bookmarkStart w:id="288" w:name="_Toc219363399"/>
      <w:bookmarkStart w:id="289" w:name="_Toc19922"/>
      <w:r>
        <w:rPr>
          <w:rFonts w:hint="eastAsia" w:ascii="Times New Roman" w:hAnsi="Times New Roman" w:eastAsia="宋体" w:cs="Times New Roman"/>
          <w:b/>
          <w:bCs/>
          <w:color w:val="000000"/>
          <w:kern w:val="2"/>
          <w:sz w:val="28"/>
          <w:szCs w:val="32"/>
          <w:lang w:val="en-US" w:eastAsia="zh-CN" w:bidi="ar-SA"/>
        </w:rPr>
        <w:t xml:space="preserve">1.7 </w:t>
      </w:r>
      <w:r>
        <w:rPr>
          <w:rFonts w:ascii="Times New Roman" w:hAnsi="Times New Roman" w:eastAsia="宋体" w:cs="Times New Roman"/>
          <w:b/>
          <w:bCs/>
          <w:color w:val="000000"/>
          <w:kern w:val="2"/>
          <w:sz w:val="28"/>
          <w:szCs w:val="32"/>
          <w:lang w:val="en-US" w:eastAsia="zh-CN" w:bidi="ar-SA"/>
        </w:rPr>
        <w:t>评价</w:t>
      </w:r>
      <w:bookmarkEnd w:id="283"/>
      <w:r>
        <w:rPr>
          <w:rFonts w:ascii="Times New Roman" w:hAnsi="Times New Roman" w:eastAsia="宋体" w:cs="Times New Roman"/>
          <w:b/>
          <w:bCs/>
          <w:color w:val="000000"/>
          <w:kern w:val="2"/>
          <w:sz w:val="28"/>
          <w:szCs w:val="32"/>
          <w:lang w:val="en-US" w:eastAsia="zh-CN" w:bidi="ar-SA"/>
        </w:rPr>
        <w:t>时段</w:t>
      </w:r>
      <w:bookmarkEnd w:id="288"/>
      <w:bookmarkEnd w:id="289"/>
    </w:p>
    <w:p w14:paraId="453009FD">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拟建公路生态影响评价时段为施工期和营运期。</w:t>
      </w:r>
    </w:p>
    <w:p w14:paraId="5EFC1A35">
      <w:pPr>
        <w:keepNext/>
        <w:keepLines/>
        <w:widowControl w:val="0"/>
        <w:numPr>
          <w:ilvl w:val="1"/>
          <w:numId w:val="0"/>
        </w:numPr>
        <w:spacing w:before="240" w:after="240" w:line="240" w:lineRule="auto"/>
        <w:ind w:leftChars="0" w:firstLine="200" w:firstLineChars="0"/>
        <w:jc w:val="both"/>
        <w:outlineLvl w:val="1"/>
        <w:rPr>
          <w:rFonts w:ascii="Times New Roman" w:hAnsi="Times New Roman" w:eastAsia="宋体" w:cs="Times New Roman"/>
          <w:b/>
          <w:bCs/>
          <w:color w:val="000000"/>
          <w:kern w:val="2"/>
          <w:sz w:val="28"/>
          <w:szCs w:val="32"/>
          <w:lang w:val="en-US" w:eastAsia="zh-CN" w:bidi="ar-SA"/>
        </w:rPr>
      </w:pPr>
      <w:bookmarkStart w:id="290" w:name="_Toc219363400"/>
      <w:bookmarkStart w:id="291" w:name="_Toc30225"/>
      <w:r>
        <w:rPr>
          <w:rFonts w:hint="eastAsia" w:ascii="Times New Roman" w:hAnsi="Times New Roman" w:eastAsia="宋体" w:cs="Times New Roman"/>
          <w:b/>
          <w:bCs/>
          <w:color w:val="000000"/>
          <w:kern w:val="2"/>
          <w:sz w:val="28"/>
          <w:szCs w:val="32"/>
          <w:lang w:val="en-US" w:eastAsia="zh-CN" w:bidi="ar-SA"/>
        </w:rPr>
        <w:t xml:space="preserve">1.8 </w:t>
      </w:r>
      <w:r>
        <w:rPr>
          <w:rFonts w:ascii="Times New Roman" w:hAnsi="Times New Roman" w:eastAsia="宋体" w:cs="Times New Roman"/>
          <w:b/>
          <w:bCs/>
          <w:color w:val="000000"/>
          <w:kern w:val="2"/>
          <w:sz w:val="28"/>
          <w:szCs w:val="32"/>
          <w:lang w:val="en-US" w:eastAsia="zh-CN" w:bidi="ar-SA"/>
        </w:rPr>
        <w:t>评价工作程序</w:t>
      </w:r>
      <w:bookmarkEnd w:id="290"/>
      <w:bookmarkEnd w:id="291"/>
    </w:p>
    <w:p w14:paraId="0886414B">
      <w:pPr>
        <w:keepNext w:val="0"/>
        <w:keepLines w:val="0"/>
        <w:pageBreakBefore w:val="0"/>
        <w:widowControl w:val="0"/>
        <w:kinsoku/>
        <w:wordWrap/>
        <w:overflowPunct/>
        <w:topLinePunct w:val="0"/>
        <w:autoSpaceDE/>
        <w:autoSpaceDN/>
        <w:bidi w:val="0"/>
        <w:adjustRightInd/>
        <w:snapToGrid/>
        <w:spacing w:after="157" w:afterLines="50" w:line="300" w:lineRule="auto"/>
        <w:ind w:firstLine="480" w:firstLineChars="200"/>
        <w:textAlignment w:val="auto"/>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本评价工作程序见</w:t>
      </w:r>
      <w:r>
        <w:rPr>
          <w:rFonts w:ascii="Times New Roman" w:hAnsi="Times New Roman" w:eastAsia="宋体" w:cs="Times New Roman"/>
          <w:color w:val="000000"/>
          <w:sz w:val="24"/>
          <w:szCs w:val="22"/>
        </w:rPr>
        <w:fldChar w:fldCharType="begin"/>
      </w:r>
      <w:r>
        <w:rPr>
          <w:rFonts w:ascii="Times New Roman" w:hAnsi="Times New Roman" w:eastAsia="宋体" w:cs="Times New Roman"/>
          <w:color w:val="000000"/>
          <w:sz w:val="24"/>
          <w:szCs w:val="22"/>
        </w:rPr>
        <w:instrText xml:space="preserve"> REF _Ref220309298 \h  \* MERGEFORMAT </w:instrText>
      </w:r>
      <w:r>
        <w:rPr>
          <w:rFonts w:ascii="Times New Roman" w:hAnsi="Times New Roman" w:eastAsia="宋体" w:cs="Times New Roman"/>
          <w:color w:val="000000"/>
          <w:sz w:val="24"/>
          <w:szCs w:val="22"/>
        </w:rPr>
        <w:fldChar w:fldCharType="separate"/>
      </w:r>
      <w:r>
        <w:rPr>
          <w:rFonts w:ascii="Times New Roman" w:hAnsi="Times New Roman" w:eastAsia="宋体" w:cs="Times New Roman"/>
          <w:color w:val="000000"/>
          <w:sz w:val="24"/>
          <w:szCs w:val="22"/>
        </w:rPr>
        <w:t>图 1.</w:t>
      </w:r>
      <w:r>
        <w:rPr>
          <w:rFonts w:hint="eastAsia" w:ascii="Times New Roman" w:hAnsi="Times New Roman" w:eastAsia="宋体" w:cs="Times New Roman"/>
          <w:color w:val="000000"/>
          <w:sz w:val="24"/>
          <w:szCs w:val="22"/>
          <w:lang w:val="en-US" w:eastAsia="zh-CN"/>
        </w:rPr>
        <w:t>8</w:t>
      </w:r>
      <w:r>
        <w:rPr>
          <w:rFonts w:ascii="Times New Roman" w:hAnsi="Times New Roman" w:eastAsia="宋体" w:cs="Times New Roman"/>
          <w:color w:val="000000"/>
          <w:sz w:val="24"/>
          <w:szCs w:val="22"/>
        </w:rPr>
        <w:noBreakHyphen/>
      </w:r>
      <w:r>
        <w:rPr>
          <w:rFonts w:ascii="Times New Roman" w:hAnsi="Times New Roman" w:eastAsia="宋体" w:cs="Times New Roman"/>
          <w:color w:val="000000"/>
          <w:sz w:val="24"/>
          <w:szCs w:val="22"/>
        </w:rPr>
        <w:t>1</w:t>
      </w:r>
      <w:r>
        <w:rPr>
          <w:rFonts w:ascii="Times New Roman" w:hAnsi="Times New Roman" w:eastAsia="宋体" w:cs="Times New Roman"/>
          <w:color w:val="000000"/>
          <w:sz w:val="24"/>
          <w:szCs w:val="22"/>
        </w:rPr>
        <w:fldChar w:fldCharType="end"/>
      </w:r>
      <w:r>
        <w:rPr>
          <w:rFonts w:ascii="Times New Roman" w:hAnsi="Times New Roman" w:eastAsia="宋体" w:cs="Times New Roman"/>
          <w:color w:val="000000"/>
          <w:sz w:val="24"/>
          <w:szCs w:val="22"/>
        </w:rPr>
        <w:t>。</w:t>
      </w:r>
    </w:p>
    <w:p w14:paraId="41AAFB38">
      <w:pPr>
        <w:keepNext/>
        <w:spacing w:line="300" w:lineRule="auto"/>
        <w:ind w:left="0" w:leftChars="0" w:firstLine="0" w:firstLineChars="0"/>
        <w:jc w:val="center"/>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drawing>
          <wp:inline distT="0" distB="0" distL="0" distR="0">
            <wp:extent cx="5123180" cy="6456680"/>
            <wp:effectExtent l="12700" t="12700" r="26670" b="2667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273" cstate="print"/>
                    <a:stretch>
                      <a:fillRect/>
                    </a:stretch>
                  </pic:blipFill>
                  <pic:spPr>
                    <a:xfrm>
                      <a:off x="0" y="0"/>
                      <a:ext cx="5123809" cy="6457143"/>
                    </a:xfrm>
                    <a:prstGeom prst="rect">
                      <a:avLst/>
                    </a:prstGeom>
                    <a:ln w="12700">
                      <a:solidFill>
                        <a:srgbClr val="000000"/>
                      </a:solidFill>
                    </a:ln>
                  </pic:spPr>
                </pic:pic>
              </a:graphicData>
            </a:graphic>
          </wp:inline>
        </w:drawing>
      </w:r>
    </w:p>
    <w:p w14:paraId="21838C27">
      <w:pPr>
        <w:widowControl w:val="0"/>
        <w:spacing w:line="240" w:lineRule="auto"/>
        <w:ind w:firstLine="0" w:firstLineChars="0"/>
        <w:jc w:val="center"/>
        <w:rPr>
          <w:rFonts w:ascii="Times New Roman" w:hAnsi="Times New Roman" w:eastAsia="宋体" w:cs="Times New Roman"/>
          <w:b/>
          <w:color w:val="000000"/>
          <w:kern w:val="2"/>
          <w:sz w:val="21"/>
          <w:szCs w:val="20"/>
          <w:lang w:val="en-US" w:eastAsia="zh-CN" w:bidi="ar-SA"/>
        </w:rPr>
      </w:pPr>
      <w:bookmarkStart w:id="292" w:name="_Ref220309298"/>
      <w:r>
        <w:rPr>
          <w:rFonts w:ascii="Times New Roman" w:hAnsi="Times New Roman" w:eastAsia="宋体" w:cs="Times New Roman"/>
          <w:b/>
          <w:color w:val="000000"/>
          <w:kern w:val="2"/>
          <w:sz w:val="21"/>
          <w:szCs w:val="20"/>
          <w:lang w:val="en-US" w:eastAsia="zh-CN" w:bidi="ar-SA"/>
        </w:rPr>
        <w:t xml:space="preserve">图 </w:t>
      </w:r>
      <w:r>
        <w:rPr>
          <w:rFonts w:ascii="Times New Roman" w:hAnsi="Times New Roman" w:eastAsia="宋体" w:cs="Times New Roman"/>
          <w:b/>
          <w:color w:val="000000"/>
          <w:kern w:val="2"/>
          <w:sz w:val="21"/>
          <w:szCs w:val="20"/>
          <w:lang w:val="en-US" w:eastAsia="zh-CN" w:bidi="ar-SA"/>
        </w:rPr>
        <w:fldChar w:fldCharType="begin"/>
      </w:r>
      <w:r>
        <w:rPr>
          <w:rFonts w:ascii="Times New Roman" w:hAnsi="Times New Roman" w:eastAsia="宋体" w:cs="Times New Roman"/>
          <w:b/>
          <w:color w:val="000000"/>
          <w:kern w:val="2"/>
          <w:sz w:val="21"/>
          <w:szCs w:val="20"/>
          <w:lang w:val="en-US" w:eastAsia="zh-CN" w:bidi="ar-SA"/>
        </w:rPr>
        <w:instrText xml:space="preserve"> STYLEREF 2 \s </w:instrText>
      </w:r>
      <w:r>
        <w:rPr>
          <w:rFonts w:ascii="Times New Roman" w:hAnsi="Times New Roman" w:eastAsia="宋体" w:cs="Times New Roman"/>
          <w:b/>
          <w:color w:val="000000"/>
          <w:kern w:val="2"/>
          <w:sz w:val="21"/>
          <w:szCs w:val="20"/>
          <w:lang w:val="en-US" w:eastAsia="zh-CN" w:bidi="ar-SA"/>
        </w:rPr>
        <w:fldChar w:fldCharType="separate"/>
      </w:r>
      <w:r>
        <w:rPr>
          <w:rFonts w:ascii="Times New Roman" w:hAnsi="Times New Roman" w:eastAsia="宋体" w:cs="Times New Roman"/>
          <w:b/>
          <w:color w:val="000000"/>
          <w:kern w:val="2"/>
          <w:sz w:val="21"/>
          <w:szCs w:val="20"/>
          <w:lang w:val="en-US" w:eastAsia="zh-CN" w:bidi="ar-SA"/>
        </w:rPr>
        <w:t>1.</w:t>
      </w:r>
      <w:r>
        <w:rPr>
          <w:rFonts w:hint="eastAsia" w:ascii="Times New Roman" w:hAnsi="Times New Roman" w:eastAsia="宋体" w:cs="Times New Roman"/>
          <w:b/>
          <w:color w:val="000000"/>
          <w:kern w:val="2"/>
          <w:sz w:val="21"/>
          <w:szCs w:val="20"/>
          <w:lang w:val="en-US" w:eastAsia="zh-CN" w:bidi="ar-SA"/>
        </w:rPr>
        <w:t>8</w:t>
      </w:r>
      <w:r>
        <w:rPr>
          <w:rFonts w:ascii="Times New Roman" w:hAnsi="Times New Roman" w:eastAsia="宋体" w:cs="Times New Roman"/>
          <w:b/>
          <w:color w:val="000000"/>
          <w:kern w:val="2"/>
          <w:sz w:val="21"/>
          <w:szCs w:val="20"/>
          <w:lang w:val="en-US" w:eastAsia="zh-CN" w:bidi="ar-SA"/>
        </w:rPr>
        <w:fldChar w:fldCharType="end"/>
      </w:r>
      <w:r>
        <w:rPr>
          <w:rFonts w:ascii="Times New Roman" w:hAnsi="Times New Roman" w:eastAsia="宋体" w:cs="Times New Roman"/>
          <w:b/>
          <w:color w:val="000000"/>
          <w:kern w:val="2"/>
          <w:sz w:val="21"/>
          <w:szCs w:val="20"/>
          <w:lang w:val="en-US" w:eastAsia="zh-CN" w:bidi="ar-SA"/>
        </w:rPr>
        <w:noBreakHyphen/>
      </w:r>
      <w:r>
        <w:rPr>
          <w:rFonts w:ascii="Times New Roman" w:hAnsi="Times New Roman" w:eastAsia="宋体" w:cs="Times New Roman"/>
          <w:b/>
          <w:color w:val="000000"/>
          <w:kern w:val="2"/>
          <w:sz w:val="21"/>
          <w:szCs w:val="20"/>
          <w:lang w:val="en-US" w:eastAsia="zh-CN" w:bidi="ar-SA"/>
        </w:rPr>
        <w:fldChar w:fldCharType="begin"/>
      </w:r>
      <w:r>
        <w:rPr>
          <w:rFonts w:ascii="Times New Roman" w:hAnsi="Times New Roman" w:eastAsia="宋体" w:cs="Times New Roman"/>
          <w:b/>
          <w:color w:val="000000"/>
          <w:kern w:val="2"/>
          <w:sz w:val="21"/>
          <w:szCs w:val="20"/>
          <w:lang w:val="en-US" w:eastAsia="zh-CN" w:bidi="ar-SA"/>
        </w:rPr>
        <w:instrText xml:space="preserve"> SEQ 图 \* ARABIC \s 2 </w:instrText>
      </w:r>
      <w:r>
        <w:rPr>
          <w:rFonts w:ascii="Times New Roman" w:hAnsi="Times New Roman" w:eastAsia="宋体" w:cs="Times New Roman"/>
          <w:b/>
          <w:color w:val="000000"/>
          <w:kern w:val="2"/>
          <w:sz w:val="21"/>
          <w:szCs w:val="20"/>
          <w:lang w:val="en-US" w:eastAsia="zh-CN" w:bidi="ar-SA"/>
        </w:rPr>
        <w:fldChar w:fldCharType="separate"/>
      </w:r>
      <w:r>
        <w:rPr>
          <w:rFonts w:ascii="Times New Roman" w:hAnsi="Times New Roman" w:eastAsia="宋体" w:cs="Times New Roman"/>
          <w:b/>
          <w:color w:val="000000"/>
          <w:kern w:val="2"/>
          <w:sz w:val="21"/>
          <w:szCs w:val="20"/>
          <w:lang w:val="en-US" w:eastAsia="zh-CN" w:bidi="ar-SA"/>
        </w:rPr>
        <w:t>1</w:t>
      </w:r>
      <w:r>
        <w:rPr>
          <w:rFonts w:ascii="Times New Roman" w:hAnsi="Times New Roman" w:eastAsia="宋体" w:cs="Times New Roman"/>
          <w:b/>
          <w:color w:val="000000"/>
          <w:kern w:val="2"/>
          <w:sz w:val="21"/>
          <w:szCs w:val="20"/>
          <w:lang w:val="en-US" w:eastAsia="zh-CN" w:bidi="ar-SA"/>
        </w:rPr>
        <w:fldChar w:fldCharType="end"/>
      </w:r>
      <w:bookmarkEnd w:id="292"/>
      <w:r>
        <w:rPr>
          <w:rFonts w:ascii="Times New Roman" w:hAnsi="Times New Roman" w:eastAsia="宋体" w:cs="Times New Roman"/>
          <w:b/>
          <w:color w:val="000000"/>
          <w:kern w:val="2"/>
          <w:sz w:val="21"/>
          <w:szCs w:val="20"/>
          <w:lang w:val="en-US" w:eastAsia="zh-CN" w:bidi="ar-SA"/>
        </w:rPr>
        <w:t xml:space="preserve">  评价工作程序图</w:t>
      </w:r>
    </w:p>
    <w:p w14:paraId="4EA46698">
      <w:pPr>
        <w:spacing w:line="300" w:lineRule="auto"/>
        <w:ind w:firstLine="480" w:firstLineChars="200"/>
        <w:rPr>
          <w:rFonts w:ascii="Times New Roman" w:hAnsi="Times New Roman" w:eastAsia="宋体" w:cs="Times New Roman"/>
          <w:color w:val="000000"/>
          <w:sz w:val="24"/>
          <w:szCs w:val="22"/>
        </w:rPr>
      </w:pPr>
    </w:p>
    <w:p w14:paraId="1400B86D">
      <w:pPr>
        <w:ind w:firstLine="480"/>
        <w:rPr>
          <w:rFonts w:cs="Times New Roman"/>
          <w:color w:val="000000"/>
        </w:rPr>
        <w:sectPr>
          <w:headerReference r:id="rId128" w:type="default"/>
          <w:footerReference r:id="rId129" w:type="default"/>
          <w:footerReference r:id="rId130" w:type="even"/>
          <w:pgSz w:w="11906" w:h="16838"/>
          <w:pgMar w:top="1701" w:right="1701" w:bottom="1559" w:left="1701" w:header="1134" w:footer="1021" w:gutter="0"/>
          <w:pgBorders>
            <w:top w:val="none" w:sz="0" w:space="0"/>
            <w:left w:val="none" w:sz="0" w:space="0"/>
            <w:bottom w:val="none" w:sz="0" w:space="0"/>
            <w:right w:val="none" w:sz="0" w:space="0"/>
          </w:pgBorders>
          <w:pgNumType w:start="1"/>
          <w:cols w:space="720" w:num="1"/>
          <w:docGrid w:linePitch="312" w:charSpace="0"/>
        </w:sectPr>
      </w:pPr>
    </w:p>
    <w:p w14:paraId="7AAFF3F4">
      <w:pPr>
        <w:keepNext/>
        <w:keepLines/>
        <w:widowControl w:val="0"/>
        <w:numPr>
          <w:ilvl w:val="0"/>
          <w:numId w:val="13"/>
        </w:numPr>
        <w:spacing w:before="480" w:after="480" w:line="240" w:lineRule="auto"/>
        <w:ind w:firstLine="0" w:firstLineChars="0"/>
        <w:jc w:val="center"/>
        <w:outlineLvl w:val="0"/>
        <w:rPr>
          <w:rFonts w:ascii="Times New Roman" w:hAnsi="Times New Roman" w:eastAsia="宋体" w:cs="Times New Roman"/>
          <w:b/>
          <w:bCs/>
          <w:color w:val="000000"/>
          <w:kern w:val="44"/>
          <w:sz w:val="32"/>
          <w:szCs w:val="44"/>
          <w:lang w:val="en-US" w:eastAsia="zh-CN" w:bidi="ar-SA"/>
        </w:rPr>
      </w:pPr>
      <w:bookmarkStart w:id="293" w:name="_Toc219363401"/>
      <w:bookmarkStart w:id="294" w:name="_Toc2473"/>
      <w:r>
        <w:rPr>
          <w:rFonts w:ascii="Times New Roman" w:hAnsi="Times New Roman" w:eastAsia="宋体" w:cs="Times New Roman"/>
          <w:b/>
          <w:bCs/>
          <w:color w:val="000000"/>
          <w:kern w:val="44"/>
          <w:sz w:val="32"/>
          <w:szCs w:val="44"/>
          <w:lang w:val="en-US" w:eastAsia="zh-CN" w:bidi="ar-SA"/>
        </w:rPr>
        <w:t>生态现状调查与评价</w:t>
      </w:r>
      <w:bookmarkEnd w:id="293"/>
      <w:bookmarkEnd w:id="294"/>
    </w:p>
    <w:p w14:paraId="4B2EC6FC">
      <w:pPr>
        <w:keepNext/>
        <w:keepLines/>
        <w:widowControl w:val="0"/>
        <w:numPr>
          <w:ilvl w:val="1"/>
          <w:numId w:val="13"/>
        </w:numPr>
        <w:spacing w:before="240" w:after="240" w:line="240" w:lineRule="auto"/>
        <w:ind w:firstLine="200" w:firstLineChars="0"/>
        <w:jc w:val="both"/>
        <w:outlineLvl w:val="1"/>
        <w:rPr>
          <w:rFonts w:ascii="Times New Roman" w:hAnsi="Times New Roman" w:eastAsia="宋体" w:cs="Times New Roman"/>
          <w:b/>
          <w:bCs/>
          <w:color w:val="000000"/>
          <w:kern w:val="2"/>
          <w:sz w:val="28"/>
          <w:szCs w:val="32"/>
          <w:lang w:val="en-US" w:eastAsia="zh-CN" w:bidi="ar-SA"/>
        </w:rPr>
      </w:pPr>
      <w:bookmarkStart w:id="295" w:name="_Toc219363402"/>
      <w:bookmarkStart w:id="296" w:name="_Toc9813"/>
      <w:bookmarkStart w:id="297" w:name="_Toc298750363"/>
      <w:bookmarkStart w:id="298" w:name="_Toc19089"/>
      <w:r>
        <w:rPr>
          <w:rFonts w:ascii="Times New Roman" w:hAnsi="Times New Roman" w:eastAsia="宋体" w:cs="Times New Roman"/>
          <w:b/>
          <w:bCs/>
          <w:color w:val="000000"/>
          <w:kern w:val="2"/>
          <w:sz w:val="28"/>
          <w:szCs w:val="32"/>
          <w:lang w:val="en-US" w:eastAsia="zh-CN" w:bidi="ar-SA"/>
        </w:rPr>
        <w:t>生态现状调查方法</w:t>
      </w:r>
      <w:bookmarkEnd w:id="295"/>
      <w:bookmarkEnd w:id="296"/>
    </w:p>
    <w:p w14:paraId="5C948863">
      <w:pPr>
        <w:keepNext/>
        <w:keepLines/>
        <w:widowControl w:val="0"/>
        <w:numPr>
          <w:ilvl w:val="2"/>
          <w:numId w:val="13"/>
        </w:numPr>
        <w:spacing w:before="120" w:after="120" w:line="240" w:lineRule="auto"/>
        <w:ind w:firstLine="200" w:firstLineChars="0"/>
        <w:jc w:val="both"/>
        <w:outlineLvl w:val="2"/>
        <w:rPr>
          <w:rFonts w:ascii="Times New Roman" w:hAnsi="Times New Roman" w:eastAsia="宋体" w:cs="Times New Roman"/>
          <w:b/>
          <w:bCs w:val="0"/>
          <w:color w:val="000000"/>
          <w:kern w:val="28"/>
          <w:sz w:val="24"/>
          <w:szCs w:val="32"/>
          <w:lang w:val="en-US" w:eastAsia="zh-CN" w:bidi="ar-SA"/>
        </w:rPr>
      </w:pPr>
      <w:bookmarkStart w:id="299" w:name="_Toc5287"/>
      <w:bookmarkStart w:id="300" w:name="_Toc191028034"/>
      <w:bookmarkStart w:id="301" w:name="_Toc219363403"/>
      <w:bookmarkStart w:id="302" w:name="_Toc173231996"/>
      <w:bookmarkStart w:id="303" w:name="_Toc192017499"/>
      <w:r>
        <w:rPr>
          <w:rFonts w:ascii="Times New Roman" w:hAnsi="Times New Roman" w:eastAsia="宋体" w:cs="Times New Roman"/>
          <w:b/>
          <w:bCs w:val="0"/>
          <w:color w:val="000000"/>
          <w:kern w:val="28"/>
          <w:sz w:val="24"/>
          <w:szCs w:val="32"/>
          <w:lang w:val="en-US" w:eastAsia="zh-CN" w:bidi="ar-SA"/>
        </w:rPr>
        <w:t>基础资料收集</w:t>
      </w:r>
      <w:bookmarkEnd w:id="299"/>
      <w:bookmarkEnd w:id="300"/>
      <w:bookmarkEnd w:id="301"/>
      <w:bookmarkEnd w:id="302"/>
      <w:bookmarkEnd w:id="303"/>
    </w:p>
    <w:p w14:paraId="49412BCF">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本次评价收集整理项目区现有生物多样性资料，包括项目沿线林业、农业等部门提供的相关资料，报告编写的过程中，采用《中国植被类型图谱》的分类系统。根据《中国植被》《西北干旱荒漠区植物区系地理与资源利用》（潘晓玲等），获得该评价区植被分布的总体情况，再结合实地考察资料、调查报告、走访当地居民以及长期野外考察积累的知识和经验。</w:t>
      </w:r>
    </w:p>
    <w:p w14:paraId="643A88FA">
      <w:pPr>
        <w:keepNext/>
        <w:keepLines/>
        <w:widowControl w:val="0"/>
        <w:numPr>
          <w:ilvl w:val="2"/>
          <w:numId w:val="13"/>
        </w:numPr>
        <w:spacing w:before="120" w:after="120" w:line="240" w:lineRule="auto"/>
        <w:ind w:firstLine="200" w:firstLineChars="0"/>
        <w:jc w:val="both"/>
        <w:outlineLvl w:val="2"/>
        <w:rPr>
          <w:rFonts w:ascii="Times New Roman" w:hAnsi="Times New Roman" w:eastAsia="宋体" w:cs="Times New Roman"/>
          <w:b/>
          <w:bCs w:val="0"/>
          <w:color w:val="000000"/>
          <w:kern w:val="28"/>
          <w:sz w:val="24"/>
          <w:szCs w:val="32"/>
          <w:lang w:val="en-US" w:eastAsia="zh-CN" w:bidi="ar-SA"/>
        </w:rPr>
      </w:pPr>
      <w:bookmarkStart w:id="304" w:name="_Toc192017500"/>
      <w:bookmarkStart w:id="305" w:name="_Toc219363404"/>
      <w:bookmarkStart w:id="306" w:name="_Toc191028035"/>
      <w:bookmarkStart w:id="307" w:name="_Toc173231997"/>
      <w:bookmarkStart w:id="308" w:name="_Toc23707"/>
      <w:r>
        <w:rPr>
          <w:rFonts w:ascii="Times New Roman" w:hAnsi="Times New Roman" w:eastAsia="宋体" w:cs="Times New Roman"/>
          <w:b/>
          <w:bCs w:val="0"/>
          <w:color w:val="000000"/>
          <w:kern w:val="28"/>
          <w:sz w:val="24"/>
          <w:szCs w:val="32"/>
          <w:lang w:val="en-US" w:eastAsia="zh-CN" w:bidi="ar-SA"/>
        </w:rPr>
        <w:t>陆生生物资源调查</w:t>
      </w:r>
      <w:bookmarkEnd w:id="304"/>
      <w:bookmarkEnd w:id="305"/>
      <w:bookmarkEnd w:id="306"/>
      <w:bookmarkEnd w:id="307"/>
      <w:bookmarkEnd w:id="308"/>
    </w:p>
    <w:p w14:paraId="5D5F485B">
      <w:pPr>
        <w:keepNext/>
        <w:keepLines/>
        <w:widowControl w:val="0"/>
        <w:numPr>
          <w:ilvl w:val="3"/>
          <w:numId w:val="13"/>
        </w:numPr>
        <w:spacing w:before="60" w:after="20" w:line="300" w:lineRule="auto"/>
        <w:ind w:firstLine="200" w:firstLineChars="0"/>
        <w:jc w:val="both"/>
        <w:outlineLvl w:val="3"/>
        <w:rPr>
          <w:rFonts w:ascii="Times New Roman" w:hAnsi="Times New Roman" w:eastAsia="宋体" w:cs="Times New Roman"/>
          <w:b/>
          <w:bCs/>
          <w:color w:val="000000"/>
          <w:kern w:val="2"/>
          <w:sz w:val="24"/>
          <w:szCs w:val="28"/>
          <w:lang w:val="en-US" w:eastAsia="zh-CN" w:bidi="ar-SA"/>
        </w:rPr>
      </w:pPr>
      <w:r>
        <w:rPr>
          <w:rFonts w:ascii="Times New Roman" w:hAnsi="Times New Roman" w:eastAsia="宋体" w:cs="Times New Roman"/>
          <w:b/>
          <w:bCs/>
          <w:color w:val="000000"/>
          <w:kern w:val="2"/>
          <w:sz w:val="24"/>
          <w:szCs w:val="28"/>
          <w:lang w:val="en-US" w:eastAsia="zh-CN" w:bidi="ar-SA"/>
        </w:rPr>
        <w:t>陆生植物调查</w:t>
      </w:r>
    </w:p>
    <w:p w14:paraId="286F4DE7">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根据《新疆维吾尔自治区重点保护野生植物名录》《新疆植被及其利用》，包括地方志、统计年鉴以及林业、生态环境、水利、农业、国土资源等部门提供的相关资料，并且参考已经发表的区域相关的文献资料，综合访问调查和资料汇总，通过分析归纳和总结，从而得出评价范围内的植被类型和分布资料，为评价和保护当地植物提供科学的依据。</w:t>
      </w:r>
    </w:p>
    <w:p w14:paraId="481C2339">
      <w:pPr>
        <w:keepNext/>
        <w:keepLines/>
        <w:widowControl w:val="0"/>
        <w:numPr>
          <w:ilvl w:val="3"/>
          <w:numId w:val="13"/>
        </w:numPr>
        <w:spacing w:before="60" w:after="20" w:line="300" w:lineRule="auto"/>
        <w:ind w:firstLine="200" w:firstLineChars="0"/>
        <w:jc w:val="both"/>
        <w:outlineLvl w:val="3"/>
        <w:rPr>
          <w:rFonts w:ascii="Times New Roman" w:hAnsi="Times New Roman" w:eastAsia="宋体" w:cs="Times New Roman"/>
          <w:b/>
          <w:bCs/>
          <w:color w:val="000000"/>
          <w:kern w:val="2"/>
          <w:sz w:val="24"/>
          <w:szCs w:val="28"/>
          <w:lang w:val="en-US" w:eastAsia="zh-CN" w:bidi="ar-SA"/>
        </w:rPr>
      </w:pPr>
      <w:r>
        <w:rPr>
          <w:rFonts w:ascii="Times New Roman" w:hAnsi="Times New Roman" w:eastAsia="宋体" w:cs="Times New Roman"/>
          <w:b/>
          <w:bCs/>
          <w:color w:val="000000"/>
          <w:kern w:val="2"/>
          <w:sz w:val="24"/>
          <w:szCs w:val="28"/>
          <w:lang w:val="en-US" w:eastAsia="zh-CN" w:bidi="ar-SA"/>
        </w:rPr>
        <w:t>陆生动物调查</w:t>
      </w:r>
    </w:p>
    <w:p w14:paraId="2871587A">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根据《中国动物志》《新疆脊椎动物简志》《新疆动物研究》《新疆维吾尔自治区重点保护野生动物名录（修订）》，地方志、统计年鉴以及林业、生态环境、水利、农业、自然资源等部门提供的相关资料，并且参考已经发表的区域相关的文献资料，并在评价区及其周边地区进行访问调查，与当地有野外经验的农民进行访问和座谈，与当地林业部门的相关人员进行交谈，了解当地动物的分布及数量情况。</w:t>
      </w:r>
    </w:p>
    <w:p w14:paraId="66237AFB">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综合访问调查和资料汇总，通过分析归纳和总结，从而得出评价范围内的动物物种、种群数量和分布资料，为评价和保护当地动物提供科学的依据。</w:t>
      </w:r>
    </w:p>
    <w:p w14:paraId="13145D9F">
      <w:pPr>
        <w:keepNext/>
        <w:keepLines/>
        <w:widowControl w:val="0"/>
        <w:numPr>
          <w:ilvl w:val="2"/>
          <w:numId w:val="13"/>
        </w:numPr>
        <w:spacing w:before="120" w:after="120" w:line="240" w:lineRule="auto"/>
        <w:ind w:firstLine="200" w:firstLineChars="0"/>
        <w:jc w:val="both"/>
        <w:outlineLvl w:val="2"/>
        <w:rPr>
          <w:rFonts w:ascii="Times New Roman" w:hAnsi="Times New Roman" w:eastAsia="宋体" w:cs="Times New Roman"/>
          <w:b/>
          <w:bCs w:val="0"/>
          <w:color w:val="000000"/>
          <w:kern w:val="28"/>
          <w:sz w:val="24"/>
          <w:szCs w:val="32"/>
          <w:lang w:val="en-US" w:eastAsia="zh-CN" w:bidi="ar-SA"/>
        </w:rPr>
      </w:pPr>
      <w:bookmarkStart w:id="309" w:name="_Toc219363405"/>
      <w:bookmarkStart w:id="310" w:name="_Toc191028036"/>
      <w:bookmarkStart w:id="311" w:name="_Toc173231998"/>
      <w:bookmarkStart w:id="312" w:name="_Toc27697"/>
      <w:bookmarkStart w:id="313" w:name="_Toc192017501"/>
      <w:r>
        <w:rPr>
          <w:rFonts w:ascii="Times New Roman" w:hAnsi="Times New Roman" w:eastAsia="宋体" w:cs="Times New Roman"/>
          <w:b/>
          <w:bCs w:val="0"/>
          <w:color w:val="000000"/>
          <w:kern w:val="28"/>
          <w:sz w:val="24"/>
          <w:szCs w:val="32"/>
          <w:lang w:val="en-US" w:eastAsia="zh-CN" w:bidi="ar-SA"/>
        </w:rPr>
        <w:t>水生生物调查</w:t>
      </w:r>
      <w:bookmarkEnd w:id="309"/>
      <w:bookmarkEnd w:id="310"/>
      <w:bookmarkEnd w:id="311"/>
      <w:bookmarkEnd w:id="312"/>
      <w:bookmarkEnd w:id="313"/>
    </w:p>
    <w:p w14:paraId="0730C0D7">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拟建</w:t>
      </w:r>
      <w:r>
        <w:rPr>
          <w:rFonts w:hint="eastAsia" w:ascii="Times New Roman" w:hAnsi="Times New Roman" w:eastAsia="宋体" w:cs="Times New Roman"/>
          <w:color w:val="000000"/>
          <w:sz w:val="24"/>
          <w:szCs w:val="22"/>
          <w:lang w:val="en-US" w:eastAsia="zh-CN"/>
        </w:rPr>
        <w:t>公路</w:t>
      </w:r>
      <w:r>
        <w:rPr>
          <w:rFonts w:ascii="Times New Roman" w:hAnsi="Times New Roman" w:eastAsia="宋体" w:cs="Times New Roman"/>
          <w:color w:val="000000"/>
          <w:sz w:val="24"/>
          <w:szCs w:val="22"/>
        </w:rPr>
        <w:t>涉及水生生态的路段评价等级为三级，因此评价现状已收集有效资料为主，可开展必要的遥感调查或现场校核。</w:t>
      </w:r>
    </w:p>
    <w:p w14:paraId="3997B98E">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评价组根据收集到的《河道岸线保护与利用规划》（2020 年）、喀什地区 2020-2025 年渔业资源监测公报、《新疆维吾尔自治区重点保护水生野生动物名录》（2021 年）等资料，从而得出评价范围内的水生生物种类和分布资料，为评价和保护当地水生生物提供科学的依据。</w:t>
      </w:r>
    </w:p>
    <w:p w14:paraId="3F495A87">
      <w:pPr>
        <w:keepNext/>
        <w:keepLines/>
        <w:widowControl w:val="0"/>
        <w:numPr>
          <w:ilvl w:val="2"/>
          <w:numId w:val="13"/>
        </w:numPr>
        <w:spacing w:before="120" w:after="120" w:line="240" w:lineRule="auto"/>
        <w:ind w:firstLine="200" w:firstLineChars="0"/>
        <w:jc w:val="both"/>
        <w:outlineLvl w:val="2"/>
        <w:rPr>
          <w:rFonts w:ascii="Times New Roman" w:hAnsi="Times New Roman" w:eastAsia="宋体" w:cs="Times New Roman"/>
          <w:b/>
          <w:bCs w:val="0"/>
          <w:color w:val="000000"/>
          <w:kern w:val="28"/>
          <w:sz w:val="24"/>
          <w:szCs w:val="32"/>
          <w:lang w:val="en-US" w:eastAsia="zh-CN" w:bidi="ar-SA"/>
        </w:rPr>
      </w:pPr>
      <w:bookmarkStart w:id="314" w:name="_Toc102661582"/>
      <w:bookmarkEnd w:id="314"/>
      <w:bookmarkStart w:id="315" w:name="_Toc102919332"/>
      <w:bookmarkEnd w:id="315"/>
      <w:bookmarkStart w:id="316" w:name="_Toc192017502"/>
      <w:bookmarkStart w:id="317" w:name="_Toc219363406"/>
      <w:bookmarkStart w:id="318" w:name="_Toc26251"/>
      <w:bookmarkStart w:id="319" w:name="_Toc173231999"/>
      <w:bookmarkStart w:id="320" w:name="_Toc191028037"/>
      <w:r>
        <w:rPr>
          <w:rFonts w:ascii="Times New Roman" w:hAnsi="Times New Roman" w:eastAsia="宋体" w:cs="Times New Roman"/>
          <w:b/>
          <w:bCs w:val="0"/>
          <w:color w:val="000000"/>
          <w:kern w:val="28"/>
          <w:sz w:val="24"/>
          <w:szCs w:val="32"/>
          <w:lang w:val="en-US" w:eastAsia="zh-CN" w:bidi="ar-SA"/>
        </w:rPr>
        <w:t>主要评价方法</w:t>
      </w:r>
      <w:bookmarkEnd w:id="316"/>
      <w:bookmarkEnd w:id="317"/>
      <w:bookmarkEnd w:id="318"/>
    </w:p>
    <w:bookmarkEnd w:id="319"/>
    <w:bookmarkEnd w:id="320"/>
    <w:p w14:paraId="7C22BE56">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1. 生态制图</w:t>
      </w:r>
    </w:p>
    <w:p w14:paraId="5BECEC84">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采用GPS、RS和GIS相结合的空间信息技术，进行地面类型的数字化判读，完成数字化的植被类型图和土地利用类型图，进行景观质量和生态质量的定性和定量评价。</w:t>
      </w:r>
    </w:p>
    <w:p w14:paraId="2B3A66C9">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从遥感信息获取地面覆盖类型，必须在地面实地调查和历史植被基础上进行综合判读和精读评价，采用监督分类的方法才能最终赋予其生态学的含义。依据2025年7月Landsat8的OLI遥感数据以反映地面植被特征的6、5、4波段合成模拟真彩色卫星遥感影像，其中植被影像主要反映为绿色。植被类型不同，色彩和色调发生相应变化，因此，可区分出植被亚型以上的植被类型以及农田、裸地等地面类型。此外，植被类型的确定需结合不同植被类型分布的生态学规律，不单纯依靠色彩进行划分，对监督分类产生的植被初图，结合地面的GPS样点和等高线、坡度、坡向等信息，对植被图进行目视解译校正，得到符合精度要求的植被图。在植被图的基础上，进一步结合现有调查资料对相关地类进行合并，得到土地利用类型图。</w:t>
      </w:r>
    </w:p>
    <w:p w14:paraId="7A85F6E5">
      <w:pPr>
        <w:keepNext w:val="0"/>
        <w:keepLines w:val="0"/>
        <w:pageBreakBefore w:val="0"/>
        <w:widowControl w:val="0"/>
        <w:kinsoku/>
        <w:wordWrap/>
        <w:overflowPunct/>
        <w:topLinePunct w:val="0"/>
        <w:autoSpaceDE/>
        <w:autoSpaceDN/>
        <w:bidi w:val="0"/>
        <w:adjustRightInd/>
        <w:snapToGrid/>
        <w:spacing w:before="0" w:after="0" w:afterLines="50" w:line="300" w:lineRule="auto"/>
        <w:ind w:firstLine="480" w:firstLineChars="200"/>
        <w:textAlignment w:val="auto"/>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本报告采用美国NASA发射的Landsat8卫星OLI数据（该卫星于2013年2月11日成功发射，搭载了空间分辨率为15m的全色波段和30m的多光谱波段）。详见</w:t>
      </w:r>
      <w:r>
        <w:rPr>
          <w:rFonts w:ascii="Times New Roman" w:hAnsi="Times New Roman" w:eastAsia="宋体" w:cs="Times New Roman"/>
          <w:color w:val="000000"/>
          <w:sz w:val="24"/>
          <w:szCs w:val="22"/>
        </w:rPr>
        <w:fldChar w:fldCharType="begin"/>
      </w:r>
      <w:r>
        <w:rPr>
          <w:rFonts w:ascii="Times New Roman" w:hAnsi="Times New Roman" w:eastAsia="宋体" w:cs="Times New Roman"/>
          <w:color w:val="000000"/>
          <w:sz w:val="24"/>
          <w:szCs w:val="22"/>
        </w:rPr>
        <w:instrText xml:space="preserve"> REF _Ref220312661 \h  \* MERGEFORMAT </w:instrText>
      </w:r>
      <w:r>
        <w:rPr>
          <w:rFonts w:ascii="Times New Roman" w:hAnsi="Times New Roman" w:eastAsia="宋体" w:cs="Times New Roman"/>
          <w:color w:val="000000"/>
          <w:sz w:val="24"/>
          <w:szCs w:val="22"/>
        </w:rPr>
        <w:fldChar w:fldCharType="separate"/>
      </w:r>
      <w:r>
        <w:rPr>
          <w:rFonts w:ascii="Times New Roman" w:hAnsi="Times New Roman" w:eastAsia="宋体" w:cs="Times New Roman"/>
          <w:color w:val="000000"/>
          <w:sz w:val="24"/>
          <w:szCs w:val="22"/>
        </w:rPr>
        <w:t>表 2.1</w:t>
      </w:r>
      <w:r>
        <w:rPr>
          <w:rFonts w:ascii="Times New Roman" w:hAnsi="Times New Roman" w:eastAsia="宋体" w:cs="Times New Roman"/>
          <w:color w:val="000000"/>
          <w:sz w:val="24"/>
          <w:szCs w:val="22"/>
        </w:rPr>
        <w:noBreakHyphen/>
      </w:r>
      <w:r>
        <w:rPr>
          <w:rFonts w:ascii="Times New Roman" w:hAnsi="Times New Roman" w:eastAsia="宋体" w:cs="Times New Roman"/>
          <w:color w:val="000000"/>
          <w:sz w:val="24"/>
          <w:szCs w:val="22"/>
        </w:rPr>
        <w:fldChar w:fldCharType="end"/>
      </w:r>
      <w:r>
        <w:rPr>
          <w:rFonts w:ascii="Times New Roman" w:hAnsi="Times New Roman" w:eastAsia="宋体" w:cs="Times New Roman"/>
          <w:color w:val="000000"/>
          <w:sz w:val="24"/>
          <w:szCs w:val="22"/>
        </w:rPr>
        <w:t>1和</w:t>
      </w:r>
      <w:r>
        <w:rPr>
          <w:rFonts w:ascii="Times New Roman" w:hAnsi="Times New Roman" w:eastAsia="宋体" w:cs="Times New Roman"/>
          <w:color w:val="000000"/>
          <w:sz w:val="24"/>
          <w:szCs w:val="22"/>
        </w:rPr>
        <w:fldChar w:fldCharType="begin"/>
      </w:r>
      <w:r>
        <w:rPr>
          <w:rFonts w:ascii="Times New Roman" w:hAnsi="Times New Roman" w:eastAsia="宋体" w:cs="Times New Roman"/>
          <w:color w:val="000000"/>
          <w:sz w:val="24"/>
          <w:szCs w:val="22"/>
        </w:rPr>
        <w:instrText xml:space="preserve"> REF _Ref220312666 \h  \* MERGEFORMAT </w:instrText>
      </w:r>
      <w:r>
        <w:rPr>
          <w:rFonts w:ascii="Times New Roman" w:hAnsi="Times New Roman" w:eastAsia="宋体" w:cs="Times New Roman"/>
          <w:color w:val="000000"/>
          <w:sz w:val="24"/>
          <w:szCs w:val="22"/>
        </w:rPr>
        <w:fldChar w:fldCharType="separate"/>
      </w:r>
      <w:r>
        <w:rPr>
          <w:rFonts w:ascii="Times New Roman" w:hAnsi="Times New Roman" w:eastAsia="宋体" w:cs="Times New Roman"/>
          <w:color w:val="000000"/>
          <w:sz w:val="24"/>
          <w:szCs w:val="22"/>
        </w:rPr>
        <w:t>表 2.1</w:t>
      </w:r>
      <w:r>
        <w:rPr>
          <w:rFonts w:ascii="Times New Roman" w:hAnsi="Times New Roman" w:eastAsia="宋体" w:cs="Times New Roman"/>
          <w:color w:val="000000"/>
          <w:sz w:val="24"/>
          <w:szCs w:val="22"/>
        </w:rPr>
        <w:noBreakHyphen/>
      </w:r>
      <w:r>
        <w:rPr>
          <w:rFonts w:ascii="Times New Roman" w:hAnsi="Times New Roman" w:eastAsia="宋体" w:cs="Times New Roman"/>
          <w:color w:val="000000"/>
          <w:sz w:val="24"/>
          <w:szCs w:val="22"/>
        </w:rPr>
        <w:fldChar w:fldCharType="end"/>
      </w:r>
      <w:r>
        <w:rPr>
          <w:rFonts w:ascii="Times New Roman" w:hAnsi="Times New Roman" w:eastAsia="宋体" w:cs="Times New Roman"/>
          <w:color w:val="000000"/>
          <w:sz w:val="24"/>
          <w:szCs w:val="22"/>
        </w:rPr>
        <w:t>2。</w:t>
      </w:r>
    </w:p>
    <w:p w14:paraId="087CDBAC">
      <w:pPr>
        <w:keepNext/>
        <w:widowControl w:val="0"/>
        <w:spacing w:line="240" w:lineRule="auto"/>
        <w:ind w:firstLine="0" w:firstLineChars="0"/>
        <w:jc w:val="center"/>
        <w:rPr>
          <w:rFonts w:ascii="Times New Roman" w:hAnsi="Times New Roman" w:eastAsia="宋体" w:cs="Times New Roman"/>
          <w:b/>
          <w:color w:val="000000"/>
          <w:kern w:val="2"/>
          <w:sz w:val="21"/>
          <w:szCs w:val="20"/>
          <w:lang w:val="en-US" w:eastAsia="zh-CN" w:bidi="ar-SA"/>
        </w:rPr>
      </w:pPr>
      <w:bookmarkStart w:id="321" w:name="_Ref220312661"/>
      <w:r>
        <w:rPr>
          <w:rFonts w:ascii="Times New Roman" w:hAnsi="Times New Roman" w:eastAsia="宋体" w:cs="Times New Roman"/>
          <w:b/>
          <w:color w:val="000000"/>
          <w:kern w:val="2"/>
          <w:sz w:val="21"/>
          <w:szCs w:val="20"/>
          <w:lang w:val="en-US" w:eastAsia="zh-CN" w:bidi="ar-SA"/>
        </w:rPr>
        <w:t xml:space="preserve">表 </w:t>
      </w:r>
      <w:r>
        <w:rPr>
          <w:rFonts w:ascii="Times New Roman" w:hAnsi="Times New Roman" w:eastAsia="宋体" w:cs="Times New Roman"/>
          <w:b/>
          <w:color w:val="000000"/>
          <w:kern w:val="2"/>
          <w:sz w:val="21"/>
          <w:szCs w:val="20"/>
          <w:lang w:val="en-US" w:eastAsia="zh-CN" w:bidi="ar-SA"/>
        </w:rPr>
        <w:fldChar w:fldCharType="begin"/>
      </w:r>
      <w:r>
        <w:rPr>
          <w:rFonts w:ascii="Times New Roman" w:hAnsi="Times New Roman" w:eastAsia="宋体" w:cs="Times New Roman"/>
          <w:b/>
          <w:color w:val="000000"/>
          <w:kern w:val="2"/>
          <w:sz w:val="21"/>
          <w:szCs w:val="20"/>
          <w:lang w:val="en-US" w:eastAsia="zh-CN" w:bidi="ar-SA"/>
        </w:rPr>
        <w:instrText xml:space="preserve"> STYLEREF 2 \s </w:instrText>
      </w:r>
      <w:r>
        <w:rPr>
          <w:rFonts w:ascii="Times New Roman" w:hAnsi="Times New Roman" w:eastAsia="宋体" w:cs="Times New Roman"/>
          <w:b/>
          <w:color w:val="000000"/>
          <w:kern w:val="2"/>
          <w:sz w:val="21"/>
          <w:szCs w:val="20"/>
          <w:lang w:val="en-US" w:eastAsia="zh-CN" w:bidi="ar-SA"/>
        </w:rPr>
        <w:fldChar w:fldCharType="separate"/>
      </w:r>
      <w:r>
        <w:rPr>
          <w:rFonts w:ascii="Times New Roman" w:hAnsi="Times New Roman" w:eastAsia="宋体" w:cs="Times New Roman"/>
          <w:b/>
          <w:color w:val="000000"/>
          <w:kern w:val="2"/>
          <w:sz w:val="21"/>
          <w:szCs w:val="20"/>
          <w:lang w:val="en-US" w:eastAsia="zh-CN" w:bidi="ar-SA"/>
        </w:rPr>
        <w:t>2.1</w:t>
      </w:r>
      <w:r>
        <w:rPr>
          <w:rFonts w:ascii="Times New Roman" w:hAnsi="Times New Roman" w:eastAsia="宋体" w:cs="Times New Roman"/>
          <w:b/>
          <w:color w:val="000000"/>
          <w:kern w:val="2"/>
          <w:sz w:val="21"/>
          <w:szCs w:val="20"/>
          <w:lang w:val="en-US" w:eastAsia="zh-CN" w:bidi="ar-SA"/>
        </w:rPr>
        <w:fldChar w:fldCharType="end"/>
      </w:r>
      <w:r>
        <w:rPr>
          <w:rFonts w:ascii="Times New Roman" w:hAnsi="Times New Roman" w:eastAsia="宋体" w:cs="Times New Roman"/>
          <w:b/>
          <w:color w:val="000000"/>
          <w:kern w:val="2"/>
          <w:sz w:val="21"/>
          <w:szCs w:val="20"/>
          <w:lang w:val="en-US" w:eastAsia="zh-CN" w:bidi="ar-SA"/>
        </w:rPr>
        <w:noBreakHyphen/>
      </w:r>
      <w:r>
        <w:rPr>
          <w:rFonts w:ascii="Times New Roman" w:hAnsi="Times New Roman" w:eastAsia="宋体" w:cs="Times New Roman"/>
          <w:b/>
          <w:color w:val="000000"/>
          <w:kern w:val="2"/>
          <w:sz w:val="21"/>
          <w:szCs w:val="20"/>
          <w:lang w:val="en-US" w:eastAsia="zh-CN" w:bidi="ar-SA"/>
        </w:rPr>
        <w:t>1</w:t>
      </w:r>
      <w:bookmarkEnd w:id="321"/>
      <w:r>
        <w:rPr>
          <w:rFonts w:ascii="Times New Roman" w:hAnsi="Times New Roman" w:eastAsia="宋体" w:cs="Times New Roman"/>
          <w:b/>
          <w:color w:val="000000"/>
          <w:kern w:val="2"/>
          <w:sz w:val="21"/>
          <w:szCs w:val="20"/>
          <w:lang w:val="en-US" w:eastAsia="zh-CN" w:bidi="ar-SA"/>
        </w:rPr>
        <w:t xml:space="preserve">  Landsat8OLI数据参数列表</w:t>
      </w:r>
    </w:p>
    <w:tbl>
      <w:tblPr>
        <w:tblStyle w:val="22"/>
        <w:tblW w:w="5000" w:type="pct"/>
        <w:tblInd w:w="0" w:type="dxa"/>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2268"/>
        <w:gridCol w:w="3948"/>
        <w:gridCol w:w="2348"/>
      </w:tblGrid>
      <w:tr w14:paraId="06606AFB">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c>
          <w:tcPr>
            <w:tcW w:w="1324" w:type="pct"/>
            <w:vAlign w:val="center"/>
          </w:tcPr>
          <w:p w14:paraId="25AE40F9">
            <w:pPr>
              <w:widowControl w:val="0"/>
              <w:spacing w:line="240" w:lineRule="auto"/>
              <w:ind w:firstLine="0" w:firstLineChars="0"/>
              <w:jc w:val="center"/>
              <w:rPr>
                <w:rFonts w:ascii="Times New Roman" w:hAnsi="Times New Roman" w:eastAsia="宋体" w:cs="Times New Roman"/>
                <w:b/>
                <w:bCs/>
                <w:color w:val="000000"/>
                <w:kern w:val="2"/>
                <w:sz w:val="21"/>
                <w:szCs w:val="22"/>
                <w:lang w:val="en-US" w:eastAsia="zh-CN" w:bidi="ar-SA"/>
              </w:rPr>
            </w:pPr>
            <w:r>
              <w:rPr>
                <w:rFonts w:ascii="Times New Roman" w:hAnsi="Times New Roman" w:eastAsia="宋体" w:cs="Times New Roman"/>
                <w:b/>
                <w:bCs/>
                <w:color w:val="000000"/>
                <w:kern w:val="2"/>
                <w:sz w:val="21"/>
                <w:szCs w:val="22"/>
                <w:lang w:val="en-US" w:eastAsia="zh-CN" w:bidi="ar-SA"/>
              </w:rPr>
              <w:t>波段名称</w:t>
            </w:r>
          </w:p>
        </w:tc>
        <w:tc>
          <w:tcPr>
            <w:tcW w:w="2305" w:type="pct"/>
            <w:vAlign w:val="center"/>
          </w:tcPr>
          <w:p w14:paraId="28FF6295">
            <w:pPr>
              <w:widowControl w:val="0"/>
              <w:spacing w:line="240" w:lineRule="auto"/>
              <w:ind w:firstLine="0" w:firstLineChars="0"/>
              <w:jc w:val="center"/>
              <w:rPr>
                <w:rFonts w:ascii="Times New Roman" w:hAnsi="Times New Roman" w:eastAsia="宋体" w:cs="Times New Roman"/>
                <w:b/>
                <w:bCs/>
                <w:color w:val="000000"/>
                <w:kern w:val="2"/>
                <w:sz w:val="21"/>
                <w:szCs w:val="22"/>
                <w:lang w:val="en-US" w:eastAsia="zh-CN" w:bidi="ar-SA"/>
              </w:rPr>
            </w:pPr>
            <w:r>
              <w:rPr>
                <w:rFonts w:ascii="Times New Roman" w:hAnsi="Times New Roman" w:eastAsia="宋体" w:cs="Times New Roman"/>
                <w:b/>
                <w:bCs/>
                <w:color w:val="000000"/>
                <w:kern w:val="2"/>
                <w:sz w:val="21"/>
                <w:szCs w:val="22"/>
                <w:lang w:val="en-US" w:eastAsia="zh-CN" w:bidi="ar-SA"/>
              </w:rPr>
              <w:t>波长范围（μm）</w:t>
            </w:r>
          </w:p>
        </w:tc>
        <w:tc>
          <w:tcPr>
            <w:tcW w:w="1371" w:type="pct"/>
            <w:vAlign w:val="center"/>
          </w:tcPr>
          <w:p w14:paraId="6875B2FC">
            <w:pPr>
              <w:widowControl w:val="0"/>
              <w:spacing w:line="240" w:lineRule="auto"/>
              <w:ind w:firstLine="0" w:firstLineChars="0"/>
              <w:jc w:val="center"/>
              <w:rPr>
                <w:rFonts w:ascii="Times New Roman" w:hAnsi="Times New Roman" w:eastAsia="宋体" w:cs="Times New Roman"/>
                <w:b/>
                <w:bCs/>
                <w:color w:val="000000"/>
                <w:kern w:val="2"/>
                <w:sz w:val="21"/>
                <w:szCs w:val="22"/>
                <w:lang w:val="en-US" w:eastAsia="zh-CN" w:bidi="ar-SA"/>
              </w:rPr>
            </w:pPr>
            <w:r>
              <w:rPr>
                <w:rFonts w:ascii="Times New Roman" w:hAnsi="Times New Roman" w:eastAsia="宋体" w:cs="Times New Roman"/>
                <w:b/>
                <w:bCs/>
                <w:color w:val="000000"/>
                <w:kern w:val="2"/>
                <w:sz w:val="21"/>
                <w:szCs w:val="22"/>
                <w:lang w:val="en-US" w:eastAsia="zh-CN" w:bidi="ar-SA"/>
              </w:rPr>
              <w:t>空间分辨率（m）</w:t>
            </w:r>
          </w:p>
        </w:tc>
      </w:tr>
      <w:tr w14:paraId="43F707CC">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c>
          <w:tcPr>
            <w:tcW w:w="1324" w:type="pct"/>
            <w:vAlign w:val="center"/>
          </w:tcPr>
          <w:p w14:paraId="3BF4D535">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Band1Coastal</w:t>
            </w:r>
          </w:p>
        </w:tc>
        <w:tc>
          <w:tcPr>
            <w:tcW w:w="2305" w:type="pct"/>
            <w:vAlign w:val="center"/>
          </w:tcPr>
          <w:p w14:paraId="3AA42AAC">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0.433-0.453</w:t>
            </w:r>
          </w:p>
        </w:tc>
        <w:tc>
          <w:tcPr>
            <w:tcW w:w="1371" w:type="pct"/>
            <w:vAlign w:val="center"/>
          </w:tcPr>
          <w:p w14:paraId="4705C8D9">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30</w:t>
            </w:r>
          </w:p>
        </w:tc>
      </w:tr>
      <w:tr w14:paraId="2F9C93A8">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c>
          <w:tcPr>
            <w:tcW w:w="1324" w:type="pct"/>
            <w:vAlign w:val="center"/>
          </w:tcPr>
          <w:p w14:paraId="76F2E437">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Band2Blue</w:t>
            </w:r>
          </w:p>
        </w:tc>
        <w:tc>
          <w:tcPr>
            <w:tcW w:w="2305" w:type="pct"/>
            <w:vAlign w:val="center"/>
          </w:tcPr>
          <w:p w14:paraId="5F29FA47">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0.450-0.515</w:t>
            </w:r>
          </w:p>
        </w:tc>
        <w:tc>
          <w:tcPr>
            <w:tcW w:w="1371" w:type="pct"/>
            <w:vAlign w:val="center"/>
          </w:tcPr>
          <w:p w14:paraId="68737000">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30</w:t>
            </w:r>
          </w:p>
        </w:tc>
      </w:tr>
      <w:tr w14:paraId="2D448D91">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c>
          <w:tcPr>
            <w:tcW w:w="1324" w:type="pct"/>
            <w:vAlign w:val="center"/>
          </w:tcPr>
          <w:p w14:paraId="24D95DD6">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Band3Green</w:t>
            </w:r>
          </w:p>
        </w:tc>
        <w:tc>
          <w:tcPr>
            <w:tcW w:w="2305" w:type="pct"/>
            <w:vAlign w:val="center"/>
          </w:tcPr>
          <w:p w14:paraId="41F1B15C">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0.525-0.600</w:t>
            </w:r>
          </w:p>
        </w:tc>
        <w:tc>
          <w:tcPr>
            <w:tcW w:w="1371" w:type="pct"/>
            <w:vAlign w:val="center"/>
          </w:tcPr>
          <w:p w14:paraId="702DEF5C">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30</w:t>
            </w:r>
          </w:p>
        </w:tc>
      </w:tr>
      <w:tr w14:paraId="66AC14A2">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c>
          <w:tcPr>
            <w:tcW w:w="1324" w:type="pct"/>
            <w:vAlign w:val="center"/>
          </w:tcPr>
          <w:p w14:paraId="39F7B1F1">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Band4Red</w:t>
            </w:r>
          </w:p>
        </w:tc>
        <w:tc>
          <w:tcPr>
            <w:tcW w:w="2305" w:type="pct"/>
            <w:vAlign w:val="center"/>
          </w:tcPr>
          <w:p w14:paraId="6E724237">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0.630-0.680</w:t>
            </w:r>
          </w:p>
        </w:tc>
        <w:tc>
          <w:tcPr>
            <w:tcW w:w="1371" w:type="pct"/>
            <w:vAlign w:val="center"/>
          </w:tcPr>
          <w:p w14:paraId="306325C0">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30</w:t>
            </w:r>
          </w:p>
        </w:tc>
      </w:tr>
      <w:tr w14:paraId="19CAE8C6">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c>
          <w:tcPr>
            <w:tcW w:w="1324" w:type="pct"/>
            <w:vAlign w:val="center"/>
          </w:tcPr>
          <w:p w14:paraId="72A07B8A">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Band5NIR</w:t>
            </w:r>
          </w:p>
        </w:tc>
        <w:tc>
          <w:tcPr>
            <w:tcW w:w="2305" w:type="pct"/>
            <w:vAlign w:val="center"/>
          </w:tcPr>
          <w:p w14:paraId="11B06488">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0.845-0.885</w:t>
            </w:r>
          </w:p>
        </w:tc>
        <w:tc>
          <w:tcPr>
            <w:tcW w:w="1371" w:type="pct"/>
            <w:vAlign w:val="center"/>
          </w:tcPr>
          <w:p w14:paraId="370D7193">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30</w:t>
            </w:r>
          </w:p>
        </w:tc>
      </w:tr>
      <w:tr w14:paraId="27BE5774">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c>
          <w:tcPr>
            <w:tcW w:w="1324" w:type="pct"/>
            <w:vAlign w:val="center"/>
          </w:tcPr>
          <w:p w14:paraId="1850BBA4">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Band6SWIR1</w:t>
            </w:r>
          </w:p>
        </w:tc>
        <w:tc>
          <w:tcPr>
            <w:tcW w:w="2305" w:type="pct"/>
            <w:vAlign w:val="center"/>
          </w:tcPr>
          <w:p w14:paraId="6C3B2F88">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1.560-1.660</w:t>
            </w:r>
          </w:p>
        </w:tc>
        <w:tc>
          <w:tcPr>
            <w:tcW w:w="1371" w:type="pct"/>
            <w:vAlign w:val="center"/>
          </w:tcPr>
          <w:p w14:paraId="359B7403">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30</w:t>
            </w:r>
          </w:p>
        </w:tc>
      </w:tr>
      <w:tr w14:paraId="4960398B">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c>
          <w:tcPr>
            <w:tcW w:w="1324" w:type="pct"/>
            <w:vAlign w:val="center"/>
          </w:tcPr>
          <w:p w14:paraId="4C2DD81A">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Band7SWIR2</w:t>
            </w:r>
          </w:p>
        </w:tc>
        <w:tc>
          <w:tcPr>
            <w:tcW w:w="2305" w:type="pct"/>
            <w:vAlign w:val="center"/>
          </w:tcPr>
          <w:p w14:paraId="15C84AEB">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2.100-2.300</w:t>
            </w:r>
          </w:p>
        </w:tc>
        <w:tc>
          <w:tcPr>
            <w:tcW w:w="1371" w:type="pct"/>
            <w:vAlign w:val="center"/>
          </w:tcPr>
          <w:p w14:paraId="3FEEDB4F">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30</w:t>
            </w:r>
          </w:p>
        </w:tc>
      </w:tr>
      <w:tr w14:paraId="557566D7">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c>
          <w:tcPr>
            <w:tcW w:w="1324" w:type="pct"/>
            <w:vAlign w:val="center"/>
          </w:tcPr>
          <w:p w14:paraId="0B8C6D27">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Band8Pan</w:t>
            </w:r>
          </w:p>
        </w:tc>
        <w:tc>
          <w:tcPr>
            <w:tcW w:w="2305" w:type="pct"/>
            <w:vAlign w:val="center"/>
          </w:tcPr>
          <w:p w14:paraId="25443AF9">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0.500-0.680</w:t>
            </w:r>
          </w:p>
        </w:tc>
        <w:tc>
          <w:tcPr>
            <w:tcW w:w="1371" w:type="pct"/>
            <w:vAlign w:val="center"/>
          </w:tcPr>
          <w:p w14:paraId="45973913">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15</w:t>
            </w:r>
          </w:p>
        </w:tc>
      </w:tr>
      <w:tr w14:paraId="79215A62">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c>
          <w:tcPr>
            <w:tcW w:w="1324" w:type="pct"/>
            <w:vAlign w:val="center"/>
          </w:tcPr>
          <w:p w14:paraId="13F73740">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Band9Cirrus</w:t>
            </w:r>
          </w:p>
        </w:tc>
        <w:tc>
          <w:tcPr>
            <w:tcW w:w="2305" w:type="pct"/>
            <w:vAlign w:val="center"/>
          </w:tcPr>
          <w:p w14:paraId="0E0F505E">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1.360-1.390</w:t>
            </w:r>
          </w:p>
        </w:tc>
        <w:tc>
          <w:tcPr>
            <w:tcW w:w="1371" w:type="pct"/>
            <w:vAlign w:val="center"/>
          </w:tcPr>
          <w:p w14:paraId="7C8AEFE0">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30</w:t>
            </w:r>
          </w:p>
        </w:tc>
      </w:tr>
    </w:tbl>
    <w:p w14:paraId="51F9E67C">
      <w:pPr>
        <w:keepNext/>
        <w:keepLines w:val="0"/>
        <w:pageBreakBefore w:val="0"/>
        <w:widowControl w:val="0"/>
        <w:kinsoku/>
        <w:wordWrap/>
        <w:overflowPunct/>
        <w:topLinePunct w:val="0"/>
        <w:autoSpaceDE/>
        <w:autoSpaceDN/>
        <w:bidi w:val="0"/>
        <w:adjustRightInd/>
        <w:snapToGrid/>
        <w:spacing w:before="0" w:beforeLines="50" w:line="240" w:lineRule="auto"/>
        <w:ind w:firstLine="0" w:firstLineChars="0"/>
        <w:jc w:val="center"/>
        <w:textAlignment w:val="auto"/>
        <w:rPr>
          <w:rFonts w:ascii="Times New Roman" w:hAnsi="Times New Roman" w:eastAsia="宋体" w:cs="Times New Roman"/>
          <w:b/>
          <w:color w:val="000000"/>
          <w:kern w:val="2"/>
          <w:sz w:val="21"/>
          <w:szCs w:val="20"/>
          <w:lang w:val="en-US" w:eastAsia="zh-CN" w:bidi="ar-SA"/>
        </w:rPr>
      </w:pPr>
      <w:bookmarkStart w:id="322" w:name="_Ref220312666"/>
      <w:r>
        <w:rPr>
          <w:rFonts w:ascii="Times New Roman" w:hAnsi="Times New Roman" w:eastAsia="宋体" w:cs="Times New Roman"/>
          <w:b/>
          <w:color w:val="000000"/>
          <w:kern w:val="2"/>
          <w:sz w:val="21"/>
          <w:szCs w:val="20"/>
          <w:lang w:val="en-US" w:eastAsia="zh-CN" w:bidi="ar-SA"/>
        </w:rPr>
        <w:t xml:space="preserve">表 </w:t>
      </w:r>
      <w:r>
        <w:rPr>
          <w:rFonts w:ascii="Times New Roman" w:hAnsi="Times New Roman" w:eastAsia="宋体" w:cs="Times New Roman"/>
          <w:b/>
          <w:color w:val="000000"/>
          <w:kern w:val="2"/>
          <w:sz w:val="21"/>
          <w:szCs w:val="20"/>
          <w:lang w:val="en-US" w:eastAsia="zh-CN" w:bidi="ar-SA"/>
        </w:rPr>
        <w:fldChar w:fldCharType="begin"/>
      </w:r>
      <w:r>
        <w:rPr>
          <w:rFonts w:ascii="Times New Roman" w:hAnsi="Times New Roman" w:eastAsia="宋体" w:cs="Times New Roman"/>
          <w:b/>
          <w:color w:val="000000"/>
          <w:kern w:val="2"/>
          <w:sz w:val="21"/>
          <w:szCs w:val="20"/>
          <w:lang w:val="en-US" w:eastAsia="zh-CN" w:bidi="ar-SA"/>
        </w:rPr>
        <w:instrText xml:space="preserve"> STYLEREF 2 \s </w:instrText>
      </w:r>
      <w:r>
        <w:rPr>
          <w:rFonts w:ascii="Times New Roman" w:hAnsi="Times New Roman" w:eastAsia="宋体" w:cs="Times New Roman"/>
          <w:b/>
          <w:color w:val="000000"/>
          <w:kern w:val="2"/>
          <w:sz w:val="21"/>
          <w:szCs w:val="20"/>
          <w:lang w:val="en-US" w:eastAsia="zh-CN" w:bidi="ar-SA"/>
        </w:rPr>
        <w:fldChar w:fldCharType="separate"/>
      </w:r>
      <w:r>
        <w:rPr>
          <w:rFonts w:ascii="Times New Roman" w:hAnsi="Times New Roman" w:eastAsia="宋体" w:cs="Times New Roman"/>
          <w:b/>
          <w:color w:val="000000"/>
          <w:kern w:val="2"/>
          <w:sz w:val="21"/>
          <w:szCs w:val="20"/>
          <w:lang w:val="en-US" w:eastAsia="zh-CN" w:bidi="ar-SA"/>
        </w:rPr>
        <w:t>2.1</w:t>
      </w:r>
      <w:r>
        <w:rPr>
          <w:rFonts w:ascii="Times New Roman" w:hAnsi="Times New Roman" w:eastAsia="宋体" w:cs="Times New Roman"/>
          <w:b/>
          <w:color w:val="000000"/>
          <w:kern w:val="2"/>
          <w:sz w:val="21"/>
          <w:szCs w:val="20"/>
          <w:lang w:val="en-US" w:eastAsia="zh-CN" w:bidi="ar-SA"/>
        </w:rPr>
        <w:fldChar w:fldCharType="end"/>
      </w:r>
      <w:r>
        <w:rPr>
          <w:rFonts w:ascii="Times New Roman" w:hAnsi="Times New Roman" w:eastAsia="宋体" w:cs="Times New Roman"/>
          <w:b/>
          <w:color w:val="000000"/>
          <w:kern w:val="2"/>
          <w:sz w:val="21"/>
          <w:szCs w:val="20"/>
          <w:lang w:val="en-US" w:eastAsia="zh-CN" w:bidi="ar-SA"/>
        </w:rPr>
        <w:noBreakHyphen/>
      </w:r>
      <w:bookmarkEnd w:id="322"/>
      <w:r>
        <w:rPr>
          <w:rFonts w:ascii="Times New Roman" w:hAnsi="Times New Roman" w:eastAsia="宋体" w:cs="Times New Roman"/>
          <w:b/>
          <w:color w:val="000000"/>
          <w:kern w:val="2"/>
          <w:sz w:val="21"/>
          <w:szCs w:val="20"/>
          <w:lang w:val="en-US" w:eastAsia="zh-CN" w:bidi="ar-SA"/>
        </w:rPr>
        <w:t>2  拟建公路所用数据列表</w:t>
      </w:r>
    </w:p>
    <w:tbl>
      <w:tblPr>
        <w:tblStyle w:val="22"/>
        <w:tblW w:w="4995" w:type="pct"/>
        <w:tblInd w:w="0" w:type="dxa"/>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1309"/>
        <w:gridCol w:w="2691"/>
        <w:gridCol w:w="1653"/>
        <w:gridCol w:w="1364"/>
        <w:gridCol w:w="1538"/>
      </w:tblGrid>
      <w:tr w14:paraId="7F76DF78">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c>
          <w:tcPr>
            <w:tcW w:w="765" w:type="pct"/>
            <w:vAlign w:val="center"/>
          </w:tcPr>
          <w:p w14:paraId="715467E4">
            <w:pPr>
              <w:widowControl w:val="0"/>
              <w:spacing w:line="240" w:lineRule="auto"/>
              <w:ind w:firstLine="0" w:firstLineChars="0"/>
              <w:jc w:val="center"/>
              <w:rPr>
                <w:rFonts w:ascii="Times New Roman" w:hAnsi="Times New Roman" w:eastAsia="宋体" w:cs="Times New Roman"/>
                <w:b/>
                <w:bCs/>
                <w:color w:val="000000"/>
                <w:kern w:val="2"/>
                <w:sz w:val="21"/>
                <w:szCs w:val="22"/>
                <w:lang w:val="en-US" w:eastAsia="zh-CN" w:bidi="ar-SA"/>
              </w:rPr>
            </w:pPr>
            <w:r>
              <w:rPr>
                <w:rFonts w:ascii="Times New Roman" w:hAnsi="Times New Roman" w:eastAsia="宋体" w:cs="Times New Roman"/>
                <w:b/>
                <w:bCs/>
                <w:color w:val="000000"/>
                <w:kern w:val="2"/>
                <w:sz w:val="21"/>
                <w:szCs w:val="22"/>
                <w:lang w:val="en-US" w:eastAsia="zh-CN" w:bidi="ar-SA"/>
              </w:rPr>
              <w:t>数据类型</w:t>
            </w:r>
          </w:p>
        </w:tc>
        <w:tc>
          <w:tcPr>
            <w:tcW w:w="1573" w:type="pct"/>
            <w:vAlign w:val="center"/>
          </w:tcPr>
          <w:p w14:paraId="4E2280AD">
            <w:pPr>
              <w:widowControl w:val="0"/>
              <w:spacing w:line="240" w:lineRule="auto"/>
              <w:ind w:firstLine="0" w:firstLineChars="0"/>
              <w:jc w:val="center"/>
              <w:rPr>
                <w:rFonts w:ascii="Times New Roman" w:hAnsi="Times New Roman" w:eastAsia="宋体" w:cs="Times New Roman"/>
                <w:b/>
                <w:bCs/>
                <w:color w:val="000000"/>
                <w:kern w:val="2"/>
                <w:sz w:val="21"/>
                <w:szCs w:val="22"/>
                <w:lang w:val="en-US" w:eastAsia="zh-CN" w:bidi="ar-SA"/>
              </w:rPr>
            </w:pPr>
            <w:r>
              <w:rPr>
                <w:rFonts w:ascii="Times New Roman" w:hAnsi="Times New Roman" w:eastAsia="宋体" w:cs="Times New Roman"/>
                <w:b/>
                <w:bCs/>
                <w:color w:val="000000"/>
                <w:kern w:val="2"/>
                <w:sz w:val="21"/>
                <w:szCs w:val="22"/>
                <w:lang w:val="en-US" w:eastAsia="zh-CN" w:bidi="ar-SA"/>
              </w:rPr>
              <w:t>景幅号</w:t>
            </w:r>
          </w:p>
        </w:tc>
        <w:tc>
          <w:tcPr>
            <w:tcW w:w="966" w:type="pct"/>
            <w:vAlign w:val="center"/>
          </w:tcPr>
          <w:p w14:paraId="1CAF4797">
            <w:pPr>
              <w:widowControl w:val="0"/>
              <w:spacing w:line="240" w:lineRule="auto"/>
              <w:ind w:firstLine="0" w:firstLineChars="0"/>
              <w:jc w:val="center"/>
              <w:rPr>
                <w:rFonts w:ascii="Times New Roman" w:hAnsi="Times New Roman" w:eastAsia="宋体" w:cs="Times New Roman"/>
                <w:b/>
                <w:bCs/>
                <w:color w:val="000000"/>
                <w:kern w:val="2"/>
                <w:sz w:val="21"/>
                <w:szCs w:val="22"/>
                <w:lang w:val="en-US" w:eastAsia="zh-CN" w:bidi="ar-SA"/>
              </w:rPr>
            </w:pPr>
            <w:r>
              <w:rPr>
                <w:rFonts w:ascii="Times New Roman" w:hAnsi="Times New Roman" w:eastAsia="宋体" w:cs="Times New Roman"/>
                <w:b/>
                <w:bCs/>
                <w:color w:val="000000"/>
                <w:kern w:val="2"/>
                <w:sz w:val="21"/>
                <w:szCs w:val="22"/>
                <w:lang w:val="en-US" w:eastAsia="zh-CN" w:bidi="ar-SA"/>
              </w:rPr>
              <w:t>成像时间</w:t>
            </w:r>
          </w:p>
        </w:tc>
        <w:tc>
          <w:tcPr>
            <w:tcW w:w="797" w:type="pct"/>
            <w:vAlign w:val="center"/>
          </w:tcPr>
          <w:p w14:paraId="0B5A1E10">
            <w:pPr>
              <w:widowControl w:val="0"/>
              <w:spacing w:line="240" w:lineRule="auto"/>
              <w:ind w:firstLine="0" w:firstLineChars="0"/>
              <w:jc w:val="center"/>
              <w:rPr>
                <w:rFonts w:ascii="Times New Roman" w:hAnsi="Times New Roman" w:eastAsia="宋体" w:cs="Times New Roman"/>
                <w:b/>
                <w:bCs/>
                <w:color w:val="000000"/>
                <w:kern w:val="2"/>
                <w:sz w:val="21"/>
                <w:szCs w:val="22"/>
                <w:lang w:val="en-US" w:eastAsia="zh-CN" w:bidi="ar-SA"/>
              </w:rPr>
            </w:pPr>
            <w:r>
              <w:rPr>
                <w:rFonts w:ascii="Times New Roman" w:hAnsi="Times New Roman" w:eastAsia="宋体" w:cs="Times New Roman"/>
                <w:b/>
                <w:bCs/>
                <w:color w:val="000000"/>
                <w:kern w:val="2"/>
                <w:sz w:val="21"/>
                <w:szCs w:val="22"/>
                <w:lang w:val="en-US" w:eastAsia="zh-CN" w:bidi="ar-SA"/>
              </w:rPr>
              <w:t>分辨率（m）</w:t>
            </w:r>
          </w:p>
        </w:tc>
        <w:tc>
          <w:tcPr>
            <w:tcW w:w="899" w:type="pct"/>
            <w:vAlign w:val="center"/>
          </w:tcPr>
          <w:p w14:paraId="1B3FF3C0">
            <w:pPr>
              <w:widowControl w:val="0"/>
              <w:spacing w:line="240" w:lineRule="auto"/>
              <w:ind w:firstLine="0" w:firstLineChars="0"/>
              <w:jc w:val="center"/>
              <w:rPr>
                <w:rFonts w:ascii="Times New Roman" w:hAnsi="Times New Roman" w:eastAsia="宋体" w:cs="Times New Roman"/>
                <w:b/>
                <w:bCs/>
                <w:color w:val="000000"/>
                <w:kern w:val="2"/>
                <w:sz w:val="21"/>
                <w:szCs w:val="22"/>
                <w:lang w:val="en-US" w:eastAsia="zh-CN" w:bidi="ar-SA"/>
              </w:rPr>
            </w:pPr>
            <w:r>
              <w:rPr>
                <w:rFonts w:ascii="Times New Roman" w:hAnsi="Times New Roman" w:eastAsia="宋体" w:cs="Times New Roman"/>
                <w:b/>
                <w:bCs/>
                <w:color w:val="000000"/>
                <w:kern w:val="2"/>
                <w:sz w:val="21"/>
                <w:szCs w:val="22"/>
                <w:lang w:val="en-US" w:eastAsia="zh-CN" w:bidi="ar-SA"/>
              </w:rPr>
              <w:t>数据质量说明</w:t>
            </w:r>
          </w:p>
        </w:tc>
      </w:tr>
      <w:tr w14:paraId="67EEC801">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c>
          <w:tcPr>
            <w:tcW w:w="765" w:type="pct"/>
            <w:vAlign w:val="center"/>
          </w:tcPr>
          <w:p w14:paraId="0E67ECD1">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Landsat8</w:t>
            </w:r>
          </w:p>
          <w:p w14:paraId="43F4C8E5">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OLI</w:t>
            </w:r>
          </w:p>
        </w:tc>
        <w:tc>
          <w:tcPr>
            <w:tcW w:w="1573" w:type="pct"/>
            <w:vAlign w:val="center"/>
          </w:tcPr>
          <w:p w14:paraId="20CBD129">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LC81310352024208LGN00</w:t>
            </w:r>
          </w:p>
        </w:tc>
        <w:tc>
          <w:tcPr>
            <w:tcW w:w="966" w:type="pct"/>
            <w:vAlign w:val="center"/>
          </w:tcPr>
          <w:p w14:paraId="4623CED0">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2024.06.30</w:t>
            </w:r>
          </w:p>
        </w:tc>
        <w:tc>
          <w:tcPr>
            <w:tcW w:w="797" w:type="pct"/>
            <w:vAlign w:val="center"/>
          </w:tcPr>
          <w:p w14:paraId="66C1CEE3">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30</w:t>
            </w:r>
          </w:p>
        </w:tc>
        <w:tc>
          <w:tcPr>
            <w:tcW w:w="899" w:type="pct"/>
            <w:vAlign w:val="center"/>
          </w:tcPr>
          <w:p w14:paraId="342AC5B0">
            <w:pPr>
              <w:widowControl w:val="0"/>
              <w:spacing w:line="240" w:lineRule="auto"/>
              <w:ind w:firstLine="0" w:firstLineChars="0"/>
              <w:jc w:val="center"/>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云量2.49%</w:t>
            </w:r>
          </w:p>
        </w:tc>
      </w:tr>
    </w:tbl>
    <w:p w14:paraId="1F236F39">
      <w:pPr>
        <w:spacing w:line="300" w:lineRule="auto"/>
        <w:ind w:firstLine="480" w:firstLineChars="200"/>
        <w:rPr>
          <w:rFonts w:ascii="Times New Roman" w:hAnsi="Times New Roman" w:eastAsia="宋体" w:cs="Times New Roman"/>
          <w:color w:val="000000"/>
          <w:sz w:val="24"/>
          <w:szCs w:val="22"/>
        </w:rPr>
      </w:pPr>
    </w:p>
    <w:p w14:paraId="4E7BAAC0">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Landsat8数据是2024年夏季获取，图像上的云层覆盖很少，质量好，根据现场调查情况来看，这些遥感影像所反映的地物类型现势性强，土地利用分类效果较好。另外，项目组通过设计单位提供的地形图，用于原始遥感数据的几何精校正，并通过拟建公路矢量路线图与遥感影像叠加后进行缓冲区分析。</w:t>
      </w:r>
    </w:p>
    <w:p w14:paraId="7952602A">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GIS数据制作及处理的软件平台为ArcGIS10.0。</w:t>
      </w:r>
    </w:p>
    <w:p w14:paraId="684011FB">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2. 生物量测定与估算</w:t>
      </w:r>
    </w:p>
    <w:p w14:paraId="7CFECB95">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重点测定评价区内分布面积广的植被类型生物量，其余类型参考国内外有关生物量的相关资料，并根据当地的实际情况作适当调整，估算出评价区植被类型的生物量。</w:t>
      </w:r>
    </w:p>
    <w:p w14:paraId="55D50791">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草本与灌木采用收割法，针阔叶林生物量数据参考《我国森林植被的生物量和净生产量》（方精云，刘国华，徐蒿龄。1996年），并根据当地的实际情况作适当调整，估算出评价区各植被类型的生物量。</w:t>
      </w:r>
    </w:p>
    <w:p w14:paraId="68902A01">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3. 生态影响预测</w:t>
      </w:r>
    </w:p>
    <w:p w14:paraId="7DA84A84">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通过现状植被和土地利用类型分析，确定景观要素、基质和廊道，以及斑块类型，类斑数量、纹理规模等反映景观质量和特征的参数，分析景观格局、多样性、优势度等特征，以评价景观与生态质量，预测分析评价区的景观变化。</w:t>
      </w:r>
    </w:p>
    <w:p w14:paraId="3C3FA835">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植物影响的预测方法：在获得植物现状资料之后，根据项目分区和分时段进行分析。预测包括两个部分，即施工期对植物的影响和运营期对植物的影响。施工期对植物的影响包括道路施工区域的影响；工程运营期对植物影响的预测包括事故风险对植物的影响等。</w:t>
      </w:r>
    </w:p>
    <w:p w14:paraId="7124D5A3">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动物影响的预测：根据动物栖息地环境及植被变化趋势，采用生态机理分析方法预测。</w:t>
      </w:r>
    </w:p>
    <w:p w14:paraId="2D24CCFF">
      <w:pPr>
        <w:keepNext/>
        <w:keepLines/>
        <w:widowControl w:val="0"/>
        <w:numPr>
          <w:ilvl w:val="1"/>
          <w:numId w:val="13"/>
        </w:numPr>
        <w:spacing w:before="240" w:after="240" w:line="240" w:lineRule="auto"/>
        <w:ind w:firstLine="200" w:firstLineChars="0"/>
        <w:jc w:val="both"/>
        <w:outlineLvl w:val="1"/>
        <w:rPr>
          <w:rFonts w:ascii="Times New Roman" w:hAnsi="Times New Roman" w:eastAsia="宋体" w:cs="Times New Roman"/>
          <w:b/>
          <w:bCs/>
          <w:color w:val="000000"/>
          <w:kern w:val="2"/>
          <w:sz w:val="28"/>
          <w:szCs w:val="32"/>
          <w:lang w:val="en-US" w:eastAsia="zh-CN" w:bidi="ar-SA"/>
        </w:rPr>
      </w:pPr>
      <w:bookmarkStart w:id="323" w:name="_Toc219363407"/>
      <w:bookmarkStart w:id="324" w:name="_Toc7641"/>
      <w:bookmarkStart w:id="325" w:name="_Hlk187137526"/>
      <w:r>
        <w:rPr>
          <w:rFonts w:ascii="Times New Roman" w:hAnsi="Times New Roman" w:eastAsia="宋体" w:cs="Times New Roman"/>
          <w:b/>
          <w:bCs/>
          <w:color w:val="000000"/>
          <w:kern w:val="2"/>
          <w:sz w:val="28"/>
          <w:szCs w:val="32"/>
          <w:lang w:val="en-US" w:eastAsia="zh-CN" w:bidi="ar-SA"/>
        </w:rPr>
        <w:t>自然环境概况</w:t>
      </w:r>
      <w:bookmarkEnd w:id="323"/>
      <w:bookmarkEnd w:id="324"/>
    </w:p>
    <w:p w14:paraId="77D912FF">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1. 地形地貌</w:t>
      </w:r>
    </w:p>
    <w:p w14:paraId="5CCCD228">
      <w:pPr>
        <w:keepNext w:val="0"/>
        <w:keepLines w:val="0"/>
        <w:pageBreakBefore w:val="0"/>
        <w:widowControl w:val="0"/>
        <w:kinsoku/>
        <w:wordWrap/>
        <w:overflowPunct/>
        <w:topLinePunct w:val="0"/>
        <w:autoSpaceDE w:val="0"/>
        <w:autoSpaceDN w:val="0"/>
        <w:bidi w:val="0"/>
        <w:adjustRightInd w:val="0"/>
        <w:snapToGrid/>
        <w:spacing w:line="300" w:lineRule="auto"/>
        <w:ind w:firstLine="480" w:firstLineChars="200"/>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拟建公路所在区域位于天山南麓塔里木盆地西部边缘，地处喀什冲积扇平原的前端、喀什绿洲中部，属沙漠与冲积平原过渡的绿洲地带。地貌为沉积或冲积平原，其形态包括风成沙包、盐土荒漠和现代河流淤积绿洲等。项目沿线穿越的地貌单元有河流堆积冲洪积地貌区、河流堆积冲积平原地貌区、河流侵蚀堆积河漫滩地貌区。项目沿线海拔在1190m~1225m之间，地形起伏不大。</w:t>
      </w:r>
    </w:p>
    <w:p w14:paraId="60AFE7FC">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2. 气候条件</w:t>
      </w:r>
    </w:p>
    <w:p w14:paraId="015ACBC1">
      <w:pPr>
        <w:spacing w:line="300" w:lineRule="auto"/>
        <w:ind w:firstLine="480" w:firstLineChars="200"/>
        <w:rPr>
          <w:rFonts w:ascii="Times New Roman" w:hAnsi="Times New Roman" w:eastAsia="宋体" w:cs="Times New Roman"/>
          <w:color w:val="000000"/>
          <w:kern w:val="0"/>
          <w:sz w:val="24"/>
          <w:szCs w:val="22"/>
        </w:rPr>
      </w:pPr>
      <w:r>
        <w:rPr>
          <w:rFonts w:ascii="Times New Roman" w:hAnsi="Times New Roman" w:eastAsia="宋体" w:cs="Times New Roman"/>
          <w:color w:val="000000"/>
          <w:kern w:val="0"/>
          <w:sz w:val="24"/>
          <w:szCs w:val="22"/>
        </w:rPr>
        <w:t>项目区属暖温带荒漠、大陆性</w:t>
      </w:r>
      <w:r>
        <w:rPr>
          <w:rFonts w:hint="eastAsia" w:ascii="Times New Roman" w:hAnsi="Times New Roman" w:eastAsia="宋体" w:cs="Times New Roman"/>
          <w:color w:val="000000"/>
          <w:kern w:val="0"/>
          <w:sz w:val="24"/>
          <w:szCs w:val="22"/>
          <w:lang w:eastAsia="zh-CN"/>
        </w:rPr>
        <w:t>干旱气候</w:t>
      </w:r>
      <w:r>
        <w:rPr>
          <w:rFonts w:ascii="Times New Roman" w:hAnsi="Times New Roman" w:eastAsia="宋体" w:cs="Times New Roman"/>
          <w:color w:val="000000"/>
          <w:kern w:val="0"/>
          <w:sz w:val="24"/>
          <w:szCs w:val="22"/>
        </w:rPr>
        <w:t>区。气候主要特征为：夏季炎热，冬季寒冷，四季分明，昼夜温差较大，湿度小，光照充足，热量丰富，无霜期长，空气干燥，降水量少，蒸发极强。</w:t>
      </w:r>
    </w:p>
    <w:p w14:paraId="34F1E705">
      <w:pPr>
        <w:spacing w:line="300" w:lineRule="auto"/>
        <w:ind w:firstLine="480" w:firstLineChars="200"/>
        <w:rPr>
          <w:rFonts w:ascii="Times New Roman" w:hAnsi="Times New Roman" w:eastAsia="宋体" w:cs="Times New Roman"/>
          <w:color w:val="000000"/>
          <w:kern w:val="0"/>
          <w:sz w:val="24"/>
          <w:szCs w:val="22"/>
        </w:rPr>
      </w:pPr>
      <w:r>
        <w:rPr>
          <w:rFonts w:ascii="Times New Roman" w:hAnsi="Times New Roman" w:eastAsia="宋体" w:cs="Times New Roman"/>
          <w:color w:val="000000"/>
          <w:kern w:val="0"/>
          <w:sz w:val="24"/>
          <w:szCs w:val="22"/>
        </w:rPr>
        <w:t>区内年平均气温11.7℃，1月份最冷，平均温度为-6.8℃，7月份最热，平均温度为26.3℃，极端最低气温-22.1℃，极端最高气温达41.1℃。年平均无霜期 214~233d，年平均降雨量45.2mm，年最大降雨量125.8mm。全年日照时数达2761h~2924h，年</w:t>
      </w:r>
      <w:r>
        <w:rPr>
          <w:rFonts w:hint="eastAsia" w:ascii="Times New Roman" w:hAnsi="Times New Roman" w:eastAsia="宋体" w:cs="Times New Roman"/>
          <w:color w:val="000000"/>
          <w:kern w:val="0"/>
          <w:sz w:val="24"/>
          <w:szCs w:val="22"/>
          <w:lang w:eastAsia="zh-CN"/>
        </w:rPr>
        <w:t>平均</w:t>
      </w:r>
      <w:r>
        <w:rPr>
          <w:rFonts w:ascii="Times New Roman" w:hAnsi="Times New Roman" w:eastAsia="宋体" w:cs="Times New Roman"/>
          <w:color w:val="000000"/>
          <w:kern w:val="0"/>
          <w:sz w:val="24"/>
          <w:szCs w:val="22"/>
        </w:rPr>
        <w:t>风速1.9m/s，以东北风为主。</w:t>
      </w:r>
    </w:p>
    <w:p w14:paraId="24B57EA0">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3. 水文地质条件</w:t>
      </w:r>
    </w:p>
    <w:p w14:paraId="0EA9A816">
      <w:pPr>
        <w:autoSpaceDE w:val="0"/>
        <w:autoSpaceDN w:val="0"/>
        <w:adjustRightInd w:val="0"/>
        <w:spacing w:line="300" w:lineRule="auto"/>
        <w:ind w:firstLine="480" w:firstLineChars="200"/>
        <w:rPr>
          <w:rFonts w:ascii="Times New Roman" w:hAnsi="Times New Roman" w:eastAsia="宋体" w:cs="Times New Roman"/>
          <w:color w:val="000000"/>
          <w:kern w:val="0"/>
          <w:sz w:val="24"/>
          <w:szCs w:val="22"/>
        </w:rPr>
      </w:pPr>
      <w:r>
        <w:rPr>
          <w:rFonts w:hint="eastAsia" w:ascii="Times New Roman" w:hAnsi="Times New Roman" w:eastAsia="宋体" w:cs="Times New Roman"/>
          <w:color w:val="000000"/>
          <w:kern w:val="0"/>
          <w:sz w:val="24"/>
          <w:szCs w:val="22"/>
          <w:lang w:eastAsia="zh-CN"/>
        </w:rPr>
        <w:t>（</w:t>
      </w:r>
      <w:r>
        <w:rPr>
          <w:rFonts w:hint="eastAsia" w:ascii="Times New Roman" w:hAnsi="Times New Roman" w:eastAsia="宋体" w:cs="Times New Roman"/>
          <w:color w:val="000000"/>
          <w:kern w:val="0"/>
          <w:sz w:val="24"/>
          <w:szCs w:val="22"/>
          <w:lang w:val="en-US" w:eastAsia="zh-CN"/>
        </w:rPr>
        <w:t>1</w:t>
      </w:r>
      <w:r>
        <w:rPr>
          <w:rFonts w:hint="eastAsia" w:ascii="Times New Roman" w:hAnsi="Times New Roman" w:eastAsia="宋体" w:cs="Times New Roman"/>
          <w:color w:val="000000"/>
          <w:kern w:val="0"/>
          <w:sz w:val="24"/>
          <w:szCs w:val="22"/>
          <w:lang w:eastAsia="zh-CN"/>
        </w:rPr>
        <w:t>）</w:t>
      </w:r>
      <w:r>
        <w:rPr>
          <w:rFonts w:ascii="Times New Roman" w:hAnsi="Times New Roman" w:eastAsia="宋体" w:cs="Times New Roman"/>
          <w:color w:val="000000"/>
          <w:kern w:val="0"/>
          <w:sz w:val="24"/>
          <w:szCs w:val="22"/>
        </w:rPr>
        <w:t>地表水</w:t>
      </w:r>
    </w:p>
    <w:p w14:paraId="1DA1FF14">
      <w:pPr>
        <w:autoSpaceDE w:val="0"/>
        <w:autoSpaceDN w:val="0"/>
        <w:adjustRightInd w:val="0"/>
        <w:spacing w:line="300" w:lineRule="auto"/>
        <w:ind w:firstLine="480" w:firstLineChars="200"/>
        <w:rPr>
          <w:rFonts w:ascii="Times New Roman" w:hAnsi="Times New Roman" w:eastAsia="宋体" w:cs="Times New Roman"/>
          <w:color w:val="000000"/>
          <w:kern w:val="0"/>
          <w:sz w:val="24"/>
          <w:szCs w:val="22"/>
        </w:rPr>
      </w:pPr>
      <w:r>
        <w:rPr>
          <w:rFonts w:ascii="Times New Roman" w:hAnsi="Times New Roman" w:eastAsia="宋体" w:cs="Times New Roman"/>
          <w:color w:val="000000"/>
          <w:kern w:val="0"/>
          <w:sz w:val="24"/>
          <w:szCs w:val="22"/>
        </w:rPr>
        <w:t>伽师县地表水系隶属于</w:t>
      </w:r>
      <w:r>
        <w:rPr>
          <w:rFonts w:hint="eastAsia" w:ascii="Times New Roman" w:hAnsi="Times New Roman" w:eastAsia="宋体" w:cs="Times New Roman"/>
          <w:color w:val="000000"/>
          <w:kern w:val="0"/>
          <w:sz w:val="24"/>
          <w:szCs w:val="22"/>
          <w:lang w:val="en-US" w:eastAsia="zh-CN"/>
        </w:rPr>
        <w:t>水体1</w:t>
      </w:r>
      <w:r>
        <w:rPr>
          <w:rFonts w:ascii="Times New Roman" w:hAnsi="Times New Roman" w:eastAsia="宋体" w:cs="Times New Roman"/>
          <w:color w:val="000000"/>
          <w:kern w:val="0"/>
          <w:sz w:val="24"/>
          <w:szCs w:val="22"/>
        </w:rPr>
        <w:t>流域，以冰雪融水及山区降水为主要补给来源。区内河流均为内陆河，流经区域地势平坦，项目沿线主要河流为喀什噶尔河、恰克马克河等。拟建公路沿线水系见附图8。</w:t>
      </w:r>
    </w:p>
    <w:p w14:paraId="6AC366BF">
      <w:pPr>
        <w:autoSpaceDE w:val="0"/>
        <w:autoSpaceDN w:val="0"/>
        <w:adjustRightInd w:val="0"/>
        <w:spacing w:line="300" w:lineRule="auto"/>
        <w:ind w:firstLine="480" w:firstLineChars="200"/>
        <w:rPr>
          <w:rFonts w:ascii="Times New Roman" w:hAnsi="Times New Roman" w:eastAsia="宋体" w:cs="Times New Roman"/>
          <w:color w:val="000000"/>
          <w:kern w:val="0"/>
          <w:sz w:val="24"/>
          <w:szCs w:val="22"/>
        </w:rPr>
      </w:pPr>
      <w:r>
        <w:rPr>
          <w:rFonts w:hint="eastAsia" w:ascii="Times New Roman" w:hAnsi="Times New Roman" w:eastAsia="宋体" w:cs="Times New Roman"/>
          <w:color w:val="000000"/>
          <w:kern w:val="0"/>
          <w:sz w:val="24"/>
          <w:szCs w:val="22"/>
          <w:lang w:eastAsia="zh-CN"/>
        </w:rPr>
        <w:t>（</w:t>
      </w:r>
      <w:r>
        <w:rPr>
          <w:rFonts w:hint="eastAsia" w:ascii="Times New Roman" w:hAnsi="Times New Roman" w:eastAsia="宋体" w:cs="Times New Roman"/>
          <w:color w:val="000000"/>
          <w:kern w:val="0"/>
          <w:sz w:val="24"/>
          <w:szCs w:val="22"/>
          <w:lang w:val="en-US" w:eastAsia="zh-CN"/>
        </w:rPr>
        <w:t>2</w:t>
      </w:r>
      <w:r>
        <w:rPr>
          <w:rFonts w:hint="eastAsia" w:ascii="Times New Roman" w:hAnsi="Times New Roman" w:eastAsia="宋体" w:cs="Times New Roman"/>
          <w:color w:val="000000"/>
          <w:kern w:val="0"/>
          <w:sz w:val="24"/>
          <w:szCs w:val="22"/>
          <w:lang w:eastAsia="zh-CN"/>
        </w:rPr>
        <w:t>）</w:t>
      </w:r>
      <w:r>
        <w:rPr>
          <w:rFonts w:ascii="Times New Roman" w:hAnsi="Times New Roman" w:eastAsia="宋体" w:cs="Times New Roman"/>
          <w:color w:val="000000"/>
          <w:kern w:val="0"/>
          <w:sz w:val="24"/>
          <w:szCs w:val="22"/>
        </w:rPr>
        <w:t>地下水</w:t>
      </w:r>
    </w:p>
    <w:p w14:paraId="6549AE56">
      <w:pPr>
        <w:autoSpaceDE w:val="0"/>
        <w:autoSpaceDN w:val="0"/>
        <w:adjustRightInd w:val="0"/>
        <w:spacing w:line="300" w:lineRule="auto"/>
        <w:ind w:firstLine="480" w:firstLineChars="200"/>
        <w:rPr>
          <w:rFonts w:ascii="Times New Roman" w:hAnsi="Times New Roman" w:eastAsia="宋体" w:cs="Times New Roman"/>
          <w:color w:val="000000"/>
          <w:kern w:val="0"/>
          <w:sz w:val="24"/>
          <w:szCs w:val="22"/>
        </w:rPr>
      </w:pPr>
      <w:r>
        <w:rPr>
          <w:rFonts w:ascii="Times New Roman" w:hAnsi="Times New Roman" w:eastAsia="宋体" w:cs="Times New Roman"/>
          <w:color w:val="000000"/>
          <w:kern w:val="0"/>
          <w:sz w:val="24"/>
          <w:szCs w:val="22"/>
        </w:rPr>
        <w:t>项目区内水文地质条件相对简单，区域范围内地下水主要为第四系松散堆积层孔隙潜水。区内地下水主要接受上游地区地下水的侧向径流补给以及区内地表水体的垂向渗漏补给。地下水流向为自西而东，地下水的排泄主要为潜水的蒸发排泄、植被的蒸腾排泄、排水渠排泄、侧向排泄及少量的人工开采等。</w:t>
      </w:r>
    </w:p>
    <w:p w14:paraId="07179FB1">
      <w:pPr>
        <w:autoSpaceDE w:val="0"/>
        <w:autoSpaceDN w:val="0"/>
        <w:adjustRightInd w:val="0"/>
        <w:spacing w:line="300" w:lineRule="auto"/>
        <w:ind w:firstLine="480" w:firstLineChars="200"/>
        <w:rPr>
          <w:rFonts w:ascii="Times New Roman" w:hAnsi="Times New Roman" w:eastAsia="宋体" w:cs="Times New Roman"/>
          <w:color w:val="000000"/>
          <w:kern w:val="0"/>
          <w:sz w:val="24"/>
          <w:szCs w:val="22"/>
        </w:rPr>
      </w:pPr>
      <w:r>
        <w:rPr>
          <w:rFonts w:ascii="Times New Roman" w:hAnsi="Times New Roman" w:eastAsia="宋体" w:cs="Times New Roman"/>
          <w:color w:val="000000"/>
          <w:kern w:val="0"/>
          <w:sz w:val="24"/>
          <w:szCs w:val="22"/>
        </w:rPr>
        <w:t>区内地下水位埋藏多为5~10m，局部10~25m，且受季节影响较大，含水层分布较稳定，厚度变化不大，含水层厚度10~80m。</w:t>
      </w:r>
    </w:p>
    <w:bookmarkEnd w:id="297"/>
    <w:bookmarkEnd w:id="298"/>
    <w:bookmarkEnd w:id="325"/>
    <w:p w14:paraId="77B8F9C4">
      <w:pPr>
        <w:keepNext/>
        <w:keepLines/>
        <w:widowControl w:val="0"/>
        <w:numPr>
          <w:ilvl w:val="1"/>
          <w:numId w:val="13"/>
        </w:numPr>
        <w:spacing w:before="240" w:after="240" w:line="240" w:lineRule="auto"/>
        <w:ind w:firstLine="200" w:firstLineChars="0"/>
        <w:jc w:val="both"/>
        <w:outlineLvl w:val="1"/>
        <w:rPr>
          <w:rFonts w:ascii="Times New Roman" w:hAnsi="Times New Roman" w:eastAsia="宋体" w:cs="Times New Roman"/>
          <w:b/>
          <w:bCs/>
          <w:color w:val="000000"/>
          <w:kern w:val="2"/>
          <w:sz w:val="28"/>
          <w:szCs w:val="32"/>
          <w:lang w:val="en-US" w:eastAsia="zh-CN" w:bidi="ar-SA"/>
        </w:rPr>
      </w:pPr>
      <w:bookmarkStart w:id="326" w:name="_Toc219363408"/>
      <w:bookmarkStart w:id="327" w:name="_Toc24530"/>
      <w:r>
        <w:rPr>
          <w:rFonts w:ascii="Times New Roman" w:hAnsi="Times New Roman" w:eastAsia="宋体" w:cs="Times New Roman"/>
          <w:b/>
          <w:bCs/>
          <w:color w:val="000000"/>
          <w:kern w:val="2"/>
          <w:sz w:val="28"/>
          <w:szCs w:val="32"/>
          <w:lang w:val="en-US" w:eastAsia="zh-CN" w:bidi="ar-SA"/>
        </w:rPr>
        <w:t>土地利用现状</w:t>
      </w:r>
      <w:bookmarkEnd w:id="326"/>
      <w:bookmarkEnd w:id="327"/>
    </w:p>
    <w:p w14:paraId="0E52D5E8">
      <w:pPr>
        <w:keepNext w:val="0"/>
        <w:keepLines w:val="0"/>
        <w:pageBreakBefore w:val="0"/>
        <w:widowControl w:val="0"/>
        <w:kinsoku/>
        <w:wordWrap/>
        <w:overflowPunct/>
        <w:topLinePunct w:val="0"/>
        <w:autoSpaceDE/>
        <w:autoSpaceDN/>
        <w:bidi w:val="0"/>
        <w:adjustRightInd/>
        <w:snapToGrid/>
        <w:spacing w:after="0" w:afterLines="50" w:line="300" w:lineRule="auto"/>
        <w:ind w:firstLine="480" w:firstLineChars="200"/>
        <w:textAlignment w:val="auto"/>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通过对卫星遥感数据解译，并结合现场调查，运用景观法（即以植被作为主导因素），并结合土壤、地貌等因子进行综合分析后对土地进行分类，得出拟建公路评价范围内的土地利用现状类型，见</w:t>
      </w:r>
      <w:r>
        <w:rPr>
          <w:rFonts w:ascii="Times New Roman" w:hAnsi="Times New Roman" w:eastAsia="宋体" w:cs="Times New Roman"/>
          <w:color w:val="000000"/>
          <w:sz w:val="24"/>
          <w:szCs w:val="22"/>
        </w:rPr>
        <w:fldChar w:fldCharType="begin"/>
      </w:r>
      <w:r>
        <w:rPr>
          <w:rFonts w:ascii="Times New Roman" w:hAnsi="Times New Roman" w:eastAsia="宋体" w:cs="Times New Roman"/>
          <w:color w:val="000000"/>
          <w:sz w:val="24"/>
          <w:szCs w:val="22"/>
        </w:rPr>
        <w:instrText xml:space="preserve"> REF _Ref220312898 \h  \* MERGEFORMAT </w:instrText>
      </w:r>
      <w:r>
        <w:rPr>
          <w:rFonts w:ascii="Times New Roman" w:hAnsi="Times New Roman" w:eastAsia="宋体" w:cs="Times New Roman"/>
          <w:color w:val="000000"/>
          <w:sz w:val="24"/>
          <w:szCs w:val="22"/>
        </w:rPr>
        <w:fldChar w:fldCharType="separate"/>
      </w:r>
      <w:r>
        <w:rPr>
          <w:rFonts w:ascii="Times New Roman" w:hAnsi="Times New Roman" w:eastAsia="宋体" w:cs="Times New Roman"/>
          <w:color w:val="000000"/>
          <w:sz w:val="24"/>
          <w:szCs w:val="22"/>
        </w:rPr>
        <w:t>表 2.3</w:t>
      </w:r>
      <w:r>
        <w:rPr>
          <w:rFonts w:ascii="Times New Roman" w:hAnsi="Times New Roman" w:eastAsia="宋体" w:cs="Times New Roman"/>
          <w:color w:val="000000"/>
          <w:sz w:val="24"/>
          <w:szCs w:val="22"/>
        </w:rPr>
        <w:noBreakHyphen/>
      </w:r>
      <w:r>
        <w:rPr>
          <w:rFonts w:ascii="Times New Roman" w:hAnsi="Times New Roman" w:eastAsia="宋体" w:cs="Times New Roman"/>
          <w:color w:val="000000"/>
          <w:sz w:val="24"/>
          <w:szCs w:val="22"/>
        </w:rPr>
        <w:t>1</w:t>
      </w:r>
      <w:r>
        <w:rPr>
          <w:rFonts w:ascii="Times New Roman" w:hAnsi="Times New Roman" w:eastAsia="宋体" w:cs="Times New Roman"/>
          <w:color w:val="000000"/>
          <w:sz w:val="24"/>
          <w:szCs w:val="22"/>
        </w:rPr>
        <w:fldChar w:fldCharType="end"/>
      </w:r>
      <w:r>
        <w:rPr>
          <w:rFonts w:ascii="Times New Roman" w:hAnsi="Times New Roman" w:eastAsia="宋体" w:cs="Times New Roman"/>
          <w:color w:val="000000"/>
          <w:sz w:val="24"/>
          <w:szCs w:val="22"/>
        </w:rPr>
        <w:t>。土地利用类型图见附图12。</w:t>
      </w:r>
    </w:p>
    <w:p w14:paraId="4C06337D">
      <w:pPr>
        <w:keepNext/>
        <w:widowControl w:val="0"/>
        <w:spacing w:line="240" w:lineRule="auto"/>
        <w:ind w:firstLine="0" w:firstLineChars="0"/>
        <w:jc w:val="center"/>
        <w:rPr>
          <w:rFonts w:ascii="Times New Roman" w:hAnsi="Times New Roman" w:eastAsia="宋体" w:cs="Times New Roman"/>
          <w:b/>
          <w:color w:val="000000"/>
          <w:kern w:val="2"/>
          <w:sz w:val="21"/>
          <w:szCs w:val="20"/>
          <w:lang w:val="en-US" w:eastAsia="zh-CN" w:bidi="ar-SA"/>
        </w:rPr>
      </w:pPr>
      <w:bookmarkStart w:id="328" w:name="_Ref220312898"/>
      <w:r>
        <w:rPr>
          <w:rFonts w:ascii="Times New Roman" w:hAnsi="Times New Roman" w:eastAsia="宋体" w:cs="Times New Roman"/>
          <w:b/>
          <w:color w:val="000000"/>
          <w:kern w:val="2"/>
          <w:sz w:val="21"/>
          <w:szCs w:val="20"/>
          <w:lang w:val="en-US" w:eastAsia="zh-CN" w:bidi="ar-SA"/>
        </w:rPr>
        <w:t xml:space="preserve">表 </w:t>
      </w:r>
      <w:r>
        <w:rPr>
          <w:rFonts w:ascii="Times New Roman" w:hAnsi="Times New Roman" w:eastAsia="宋体" w:cs="Times New Roman"/>
          <w:b/>
          <w:color w:val="000000"/>
          <w:kern w:val="2"/>
          <w:sz w:val="21"/>
          <w:szCs w:val="20"/>
          <w:lang w:val="en-US" w:eastAsia="zh-CN" w:bidi="ar-SA"/>
        </w:rPr>
        <w:fldChar w:fldCharType="begin"/>
      </w:r>
      <w:r>
        <w:rPr>
          <w:rFonts w:ascii="Times New Roman" w:hAnsi="Times New Roman" w:eastAsia="宋体" w:cs="Times New Roman"/>
          <w:b/>
          <w:color w:val="000000"/>
          <w:kern w:val="2"/>
          <w:sz w:val="21"/>
          <w:szCs w:val="20"/>
          <w:lang w:val="en-US" w:eastAsia="zh-CN" w:bidi="ar-SA"/>
        </w:rPr>
        <w:instrText xml:space="preserve"> STYLEREF 2 \s </w:instrText>
      </w:r>
      <w:r>
        <w:rPr>
          <w:rFonts w:ascii="Times New Roman" w:hAnsi="Times New Roman" w:eastAsia="宋体" w:cs="Times New Roman"/>
          <w:b/>
          <w:color w:val="000000"/>
          <w:kern w:val="2"/>
          <w:sz w:val="21"/>
          <w:szCs w:val="20"/>
          <w:lang w:val="en-US" w:eastAsia="zh-CN" w:bidi="ar-SA"/>
        </w:rPr>
        <w:fldChar w:fldCharType="separate"/>
      </w:r>
      <w:r>
        <w:rPr>
          <w:rFonts w:ascii="Times New Roman" w:hAnsi="Times New Roman" w:eastAsia="宋体" w:cs="Times New Roman"/>
          <w:b/>
          <w:color w:val="000000"/>
          <w:kern w:val="2"/>
          <w:sz w:val="21"/>
          <w:szCs w:val="20"/>
          <w:lang w:val="en-US" w:eastAsia="zh-CN" w:bidi="ar-SA"/>
        </w:rPr>
        <w:t>2.3</w:t>
      </w:r>
      <w:r>
        <w:rPr>
          <w:rFonts w:ascii="Times New Roman" w:hAnsi="Times New Roman" w:eastAsia="宋体" w:cs="Times New Roman"/>
          <w:b/>
          <w:color w:val="000000"/>
          <w:kern w:val="2"/>
          <w:sz w:val="21"/>
          <w:szCs w:val="20"/>
          <w:lang w:val="en-US" w:eastAsia="zh-CN" w:bidi="ar-SA"/>
        </w:rPr>
        <w:fldChar w:fldCharType="end"/>
      </w:r>
      <w:r>
        <w:rPr>
          <w:rFonts w:ascii="Times New Roman" w:hAnsi="Times New Roman" w:eastAsia="宋体" w:cs="Times New Roman"/>
          <w:b/>
          <w:color w:val="000000"/>
          <w:kern w:val="2"/>
          <w:sz w:val="21"/>
          <w:szCs w:val="20"/>
          <w:lang w:val="en-US" w:eastAsia="zh-CN" w:bidi="ar-SA"/>
        </w:rPr>
        <w:noBreakHyphen/>
      </w:r>
      <w:r>
        <w:rPr>
          <w:rFonts w:ascii="Times New Roman" w:hAnsi="Times New Roman" w:eastAsia="宋体" w:cs="Times New Roman"/>
          <w:b/>
          <w:color w:val="000000"/>
          <w:kern w:val="2"/>
          <w:sz w:val="21"/>
          <w:szCs w:val="20"/>
          <w:lang w:val="en-US" w:eastAsia="zh-CN" w:bidi="ar-SA"/>
        </w:rPr>
        <w:fldChar w:fldCharType="begin"/>
      </w:r>
      <w:r>
        <w:rPr>
          <w:rFonts w:ascii="Times New Roman" w:hAnsi="Times New Roman" w:eastAsia="宋体" w:cs="Times New Roman"/>
          <w:b/>
          <w:color w:val="000000"/>
          <w:kern w:val="2"/>
          <w:sz w:val="21"/>
          <w:szCs w:val="20"/>
          <w:lang w:val="en-US" w:eastAsia="zh-CN" w:bidi="ar-SA"/>
        </w:rPr>
        <w:instrText xml:space="preserve"> SEQ 表 \* ARABIC \s 2 </w:instrText>
      </w:r>
      <w:r>
        <w:rPr>
          <w:rFonts w:ascii="Times New Roman" w:hAnsi="Times New Roman" w:eastAsia="宋体" w:cs="Times New Roman"/>
          <w:b/>
          <w:color w:val="000000"/>
          <w:kern w:val="2"/>
          <w:sz w:val="21"/>
          <w:szCs w:val="20"/>
          <w:lang w:val="en-US" w:eastAsia="zh-CN" w:bidi="ar-SA"/>
        </w:rPr>
        <w:fldChar w:fldCharType="separate"/>
      </w:r>
      <w:r>
        <w:rPr>
          <w:rFonts w:ascii="Times New Roman" w:hAnsi="Times New Roman" w:eastAsia="宋体" w:cs="Times New Roman"/>
          <w:b/>
          <w:color w:val="000000"/>
          <w:kern w:val="2"/>
          <w:sz w:val="21"/>
          <w:szCs w:val="20"/>
          <w:lang w:val="en-US" w:eastAsia="zh-CN" w:bidi="ar-SA"/>
        </w:rPr>
        <w:t>1</w:t>
      </w:r>
      <w:r>
        <w:rPr>
          <w:rFonts w:ascii="Times New Roman" w:hAnsi="Times New Roman" w:eastAsia="宋体" w:cs="Times New Roman"/>
          <w:b/>
          <w:color w:val="000000"/>
          <w:kern w:val="2"/>
          <w:sz w:val="21"/>
          <w:szCs w:val="20"/>
          <w:lang w:val="en-US" w:eastAsia="zh-CN" w:bidi="ar-SA"/>
        </w:rPr>
        <w:fldChar w:fldCharType="end"/>
      </w:r>
      <w:bookmarkEnd w:id="328"/>
      <w:r>
        <w:rPr>
          <w:rFonts w:ascii="Times New Roman" w:hAnsi="Times New Roman" w:eastAsia="宋体" w:cs="Times New Roman"/>
          <w:b/>
          <w:color w:val="000000"/>
          <w:kern w:val="2"/>
          <w:sz w:val="21"/>
          <w:szCs w:val="20"/>
          <w:lang w:val="en-US" w:eastAsia="zh-CN" w:bidi="ar-SA"/>
        </w:rPr>
        <w:t xml:space="preserve">  拟建公路沿线评价范围土地利用现状</w:t>
      </w:r>
    </w:p>
    <w:tbl>
      <w:tblPr>
        <w:tblStyle w:val="22"/>
        <w:tblW w:w="4999" w:type="pct"/>
        <w:jc w:val="center"/>
        <w:tblBorders>
          <w:top w:val="thinThickSmallGap" w:color="auto" w:sz="12" w:space="0"/>
          <w:left w:val="thinThickSmallGap" w:color="auto" w:sz="12" w:space="0"/>
          <w:bottom w:val="thinThickSmallGap" w:color="auto" w:sz="12" w:space="0"/>
          <w:right w:val="thickThinSmallGap"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3185"/>
        <w:gridCol w:w="1839"/>
        <w:gridCol w:w="3538"/>
      </w:tblGrid>
      <w:tr w14:paraId="27798C28">
        <w:tblPrEx>
          <w:tblBorders>
            <w:top w:val="thinThickSmallGap" w:color="auto" w:sz="12" w:space="0"/>
            <w:left w:val="thinThickSmallGap" w:color="auto" w:sz="12" w:space="0"/>
            <w:bottom w:val="thinThick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60" w:type="pct"/>
            <w:noWrap/>
            <w:vAlign w:val="center"/>
          </w:tcPr>
          <w:p w14:paraId="6C6F6877">
            <w:pPr>
              <w:spacing w:line="280" w:lineRule="exact"/>
              <w:ind w:firstLine="0" w:firstLineChars="0"/>
              <w:jc w:val="center"/>
              <w:rPr>
                <w:rFonts w:ascii="Times New Roman" w:hAnsi="Times New Roman" w:eastAsia="宋体" w:cs="Times New Roman"/>
                <w:b/>
                <w:bCs/>
                <w:color w:val="000000"/>
                <w:sz w:val="21"/>
                <w:szCs w:val="21"/>
              </w:rPr>
            </w:pPr>
            <w:r>
              <w:rPr>
                <w:rFonts w:ascii="Times New Roman" w:hAnsi="Times New Roman" w:eastAsia="宋体" w:cs="Times New Roman"/>
                <w:b/>
                <w:bCs/>
                <w:caps/>
                <w:color w:val="000000"/>
                <w:sz w:val="21"/>
                <w:szCs w:val="21"/>
              </w:rPr>
              <w:t>土地利用类型</w:t>
            </w:r>
          </w:p>
        </w:tc>
        <w:tc>
          <w:tcPr>
            <w:tcW w:w="1074" w:type="pct"/>
            <w:noWrap/>
            <w:vAlign w:val="center"/>
          </w:tcPr>
          <w:p w14:paraId="09077F2B">
            <w:pPr>
              <w:spacing w:line="280" w:lineRule="exact"/>
              <w:ind w:firstLine="0" w:firstLineChars="0"/>
              <w:jc w:val="center"/>
              <w:rPr>
                <w:rFonts w:ascii="Times New Roman" w:hAnsi="Times New Roman" w:eastAsia="宋体" w:cs="Times New Roman"/>
                <w:b/>
                <w:bCs/>
                <w:color w:val="000000"/>
                <w:sz w:val="21"/>
                <w:szCs w:val="21"/>
              </w:rPr>
            </w:pPr>
            <w:r>
              <w:rPr>
                <w:rFonts w:ascii="Times New Roman" w:hAnsi="Times New Roman" w:eastAsia="宋体" w:cs="Times New Roman"/>
                <w:b/>
                <w:bCs/>
                <w:caps/>
                <w:color w:val="000000"/>
                <w:sz w:val="21"/>
                <w:szCs w:val="21"/>
              </w:rPr>
              <w:t>面积（</w:t>
            </w:r>
            <w:r>
              <w:rPr>
                <w:rFonts w:ascii="Times New Roman" w:hAnsi="Times New Roman" w:eastAsia="宋体" w:cs="Times New Roman"/>
                <w:b/>
                <w:bCs/>
                <w:color w:val="000000"/>
                <w:sz w:val="21"/>
                <w:szCs w:val="21"/>
              </w:rPr>
              <w:t>hm</w:t>
            </w:r>
            <w:r>
              <w:rPr>
                <w:rFonts w:ascii="Times New Roman" w:hAnsi="Times New Roman" w:eastAsia="宋体" w:cs="Times New Roman"/>
                <w:b/>
                <w:bCs/>
                <w:color w:val="000000"/>
                <w:sz w:val="21"/>
                <w:szCs w:val="21"/>
                <w:vertAlign w:val="superscript"/>
              </w:rPr>
              <w:t>2</w:t>
            </w:r>
            <w:r>
              <w:rPr>
                <w:rFonts w:ascii="Times New Roman" w:hAnsi="Times New Roman" w:eastAsia="宋体" w:cs="Times New Roman"/>
                <w:b/>
                <w:bCs/>
                <w:caps/>
                <w:color w:val="000000"/>
                <w:sz w:val="21"/>
                <w:szCs w:val="21"/>
              </w:rPr>
              <w:t>）</w:t>
            </w:r>
          </w:p>
        </w:tc>
        <w:tc>
          <w:tcPr>
            <w:tcW w:w="2066" w:type="pct"/>
            <w:noWrap/>
            <w:vAlign w:val="center"/>
          </w:tcPr>
          <w:p w14:paraId="7FA63CDB">
            <w:pPr>
              <w:spacing w:line="280" w:lineRule="exact"/>
              <w:ind w:firstLine="0" w:firstLineChars="0"/>
              <w:jc w:val="center"/>
              <w:rPr>
                <w:rFonts w:ascii="Times New Roman" w:hAnsi="Times New Roman" w:eastAsia="宋体" w:cs="Times New Roman"/>
                <w:b/>
                <w:bCs/>
                <w:color w:val="000000"/>
                <w:sz w:val="21"/>
                <w:szCs w:val="21"/>
              </w:rPr>
            </w:pPr>
            <w:r>
              <w:rPr>
                <w:rFonts w:ascii="Times New Roman" w:hAnsi="Times New Roman" w:eastAsia="宋体" w:cs="Times New Roman"/>
                <w:b/>
                <w:bCs/>
                <w:caps/>
                <w:color w:val="000000"/>
                <w:sz w:val="21"/>
                <w:szCs w:val="21"/>
              </w:rPr>
              <w:t>占评价范围（%）</w:t>
            </w:r>
          </w:p>
        </w:tc>
      </w:tr>
      <w:tr w14:paraId="5EF8CF90">
        <w:tblPrEx>
          <w:tblBorders>
            <w:top w:val="thinThickSmallGap" w:color="auto" w:sz="12" w:space="0"/>
            <w:left w:val="thinThickSmallGap" w:color="auto" w:sz="12" w:space="0"/>
            <w:bottom w:val="thinThick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60" w:type="pct"/>
            <w:noWrap/>
            <w:vAlign w:val="center"/>
          </w:tcPr>
          <w:p w14:paraId="35BE1C55">
            <w:pPr>
              <w:spacing w:line="280" w:lineRule="exact"/>
              <w:ind w:firstLine="0" w:firstLineChars="0"/>
              <w:jc w:val="center"/>
              <w:rPr>
                <w:rFonts w:ascii="Times New Roman" w:hAnsi="Times New Roman" w:eastAsia="宋体" w:cs="Times New Roman"/>
                <w:caps/>
                <w:color w:val="000000"/>
                <w:sz w:val="21"/>
                <w:szCs w:val="21"/>
              </w:rPr>
            </w:pPr>
            <w:r>
              <w:rPr>
                <w:rFonts w:ascii="Times New Roman" w:hAnsi="Times New Roman" w:eastAsia="宋体" w:cs="Times New Roman"/>
                <w:caps/>
                <w:color w:val="000000"/>
                <w:sz w:val="21"/>
                <w:szCs w:val="21"/>
              </w:rPr>
              <w:t>水浇地</w:t>
            </w:r>
          </w:p>
        </w:tc>
        <w:tc>
          <w:tcPr>
            <w:tcW w:w="1074" w:type="pct"/>
            <w:noWrap/>
            <w:vAlign w:val="center"/>
          </w:tcPr>
          <w:p w14:paraId="5951AB44">
            <w:pPr>
              <w:spacing w:line="280" w:lineRule="exact"/>
              <w:ind w:firstLine="0" w:firstLineChars="0"/>
              <w:jc w:val="center"/>
              <w:rPr>
                <w:rFonts w:ascii="Times New Roman" w:hAnsi="Times New Roman" w:eastAsia="宋体" w:cs="Times New Roman"/>
                <w:caps/>
                <w:color w:val="000000"/>
                <w:sz w:val="21"/>
                <w:szCs w:val="21"/>
              </w:rPr>
            </w:pPr>
            <w:r>
              <w:rPr>
                <w:rFonts w:ascii="Times New Roman" w:hAnsi="Times New Roman" w:eastAsia="宋体" w:cs="Times New Roman"/>
                <w:caps/>
                <w:color w:val="000000"/>
                <w:sz w:val="21"/>
                <w:szCs w:val="21"/>
              </w:rPr>
              <w:t>896.07</w:t>
            </w:r>
          </w:p>
        </w:tc>
        <w:tc>
          <w:tcPr>
            <w:tcW w:w="2066" w:type="pct"/>
            <w:noWrap/>
            <w:vAlign w:val="center"/>
          </w:tcPr>
          <w:p w14:paraId="2D2426FF">
            <w:pPr>
              <w:spacing w:line="280" w:lineRule="exact"/>
              <w:ind w:firstLine="0" w:firstLineChars="0"/>
              <w:jc w:val="center"/>
              <w:rPr>
                <w:rFonts w:ascii="Times New Roman" w:hAnsi="Times New Roman" w:eastAsia="宋体" w:cs="Times New Roman"/>
                <w:caps/>
                <w:color w:val="000000"/>
                <w:sz w:val="21"/>
                <w:szCs w:val="21"/>
              </w:rPr>
            </w:pPr>
            <w:r>
              <w:rPr>
                <w:rFonts w:ascii="Times New Roman" w:hAnsi="Times New Roman" w:eastAsia="宋体" w:cs="Times New Roman"/>
                <w:caps/>
                <w:color w:val="000000"/>
                <w:sz w:val="21"/>
                <w:szCs w:val="21"/>
              </w:rPr>
              <w:t>32.48%</w:t>
            </w:r>
          </w:p>
        </w:tc>
      </w:tr>
      <w:tr w14:paraId="203D9BDF">
        <w:tblPrEx>
          <w:tblBorders>
            <w:top w:val="thinThickSmallGap" w:color="auto" w:sz="12" w:space="0"/>
            <w:left w:val="thinThickSmallGap" w:color="auto" w:sz="12" w:space="0"/>
            <w:bottom w:val="thinThick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60" w:type="pct"/>
            <w:noWrap/>
            <w:vAlign w:val="center"/>
          </w:tcPr>
          <w:p w14:paraId="0A3FB9BB">
            <w:pPr>
              <w:spacing w:line="280" w:lineRule="exact"/>
              <w:ind w:firstLine="0" w:firstLineChars="0"/>
              <w:jc w:val="center"/>
              <w:rPr>
                <w:rFonts w:ascii="Times New Roman" w:hAnsi="Times New Roman" w:eastAsia="宋体" w:cs="Times New Roman"/>
                <w:caps/>
                <w:color w:val="000000"/>
                <w:sz w:val="21"/>
                <w:szCs w:val="21"/>
              </w:rPr>
            </w:pPr>
            <w:r>
              <w:rPr>
                <w:rFonts w:ascii="Times New Roman" w:hAnsi="Times New Roman" w:eastAsia="宋体" w:cs="Times New Roman"/>
                <w:caps/>
                <w:color w:val="000000"/>
                <w:sz w:val="21"/>
                <w:szCs w:val="21"/>
              </w:rPr>
              <w:t>果园</w:t>
            </w:r>
          </w:p>
        </w:tc>
        <w:tc>
          <w:tcPr>
            <w:tcW w:w="1074" w:type="pct"/>
            <w:noWrap/>
            <w:vAlign w:val="center"/>
          </w:tcPr>
          <w:p w14:paraId="49C4FC6C">
            <w:pPr>
              <w:spacing w:line="280" w:lineRule="exact"/>
              <w:ind w:firstLine="0" w:firstLineChars="0"/>
              <w:jc w:val="center"/>
              <w:rPr>
                <w:rFonts w:ascii="Times New Roman" w:hAnsi="Times New Roman" w:eastAsia="宋体" w:cs="Times New Roman"/>
                <w:caps/>
                <w:color w:val="000000"/>
                <w:sz w:val="21"/>
                <w:szCs w:val="21"/>
              </w:rPr>
            </w:pPr>
            <w:r>
              <w:rPr>
                <w:rFonts w:ascii="Times New Roman" w:hAnsi="Times New Roman" w:eastAsia="宋体" w:cs="Times New Roman"/>
                <w:caps/>
                <w:color w:val="000000"/>
                <w:sz w:val="21"/>
                <w:szCs w:val="21"/>
              </w:rPr>
              <w:t>243.49</w:t>
            </w:r>
          </w:p>
        </w:tc>
        <w:tc>
          <w:tcPr>
            <w:tcW w:w="2066" w:type="pct"/>
            <w:noWrap/>
            <w:vAlign w:val="center"/>
          </w:tcPr>
          <w:p w14:paraId="25148BA2">
            <w:pPr>
              <w:spacing w:line="280" w:lineRule="exact"/>
              <w:ind w:firstLine="0" w:firstLineChars="0"/>
              <w:jc w:val="center"/>
              <w:rPr>
                <w:rFonts w:ascii="Times New Roman" w:hAnsi="Times New Roman" w:eastAsia="宋体" w:cs="Times New Roman"/>
                <w:caps/>
                <w:color w:val="000000"/>
                <w:sz w:val="21"/>
                <w:szCs w:val="21"/>
              </w:rPr>
            </w:pPr>
            <w:r>
              <w:rPr>
                <w:rFonts w:ascii="Times New Roman" w:hAnsi="Times New Roman" w:eastAsia="宋体" w:cs="Times New Roman"/>
                <w:caps/>
                <w:color w:val="000000"/>
                <w:sz w:val="21"/>
                <w:szCs w:val="21"/>
              </w:rPr>
              <w:t>8.82%</w:t>
            </w:r>
          </w:p>
        </w:tc>
      </w:tr>
      <w:tr w14:paraId="527EBD20">
        <w:tblPrEx>
          <w:tblBorders>
            <w:top w:val="thinThickSmallGap" w:color="auto" w:sz="12" w:space="0"/>
            <w:left w:val="thinThickSmallGap" w:color="auto" w:sz="12" w:space="0"/>
            <w:bottom w:val="thinThick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60" w:type="pct"/>
            <w:noWrap/>
            <w:vAlign w:val="center"/>
          </w:tcPr>
          <w:p w14:paraId="76918191">
            <w:pPr>
              <w:spacing w:line="280" w:lineRule="exact"/>
              <w:ind w:firstLine="0" w:firstLineChars="0"/>
              <w:jc w:val="center"/>
              <w:rPr>
                <w:rFonts w:ascii="Times New Roman" w:hAnsi="Times New Roman" w:eastAsia="宋体" w:cs="Times New Roman"/>
                <w:caps/>
                <w:color w:val="000000"/>
                <w:sz w:val="21"/>
                <w:szCs w:val="21"/>
              </w:rPr>
            </w:pPr>
            <w:r>
              <w:rPr>
                <w:rFonts w:ascii="Times New Roman" w:hAnsi="Times New Roman" w:eastAsia="宋体" w:cs="Times New Roman"/>
                <w:caps/>
                <w:color w:val="000000"/>
                <w:sz w:val="21"/>
                <w:szCs w:val="21"/>
              </w:rPr>
              <w:t>灌木林地</w:t>
            </w:r>
          </w:p>
        </w:tc>
        <w:tc>
          <w:tcPr>
            <w:tcW w:w="1074" w:type="pct"/>
            <w:noWrap/>
            <w:vAlign w:val="center"/>
          </w:tcPr>
          <w:p w14:paraId="4724836C">
            <w:pPr>
              <w:spacing w:line="280" w:lineRule="exact"/>
              <w:ind w:firstLine="0" w:firstLineChars="0"/>
              <w:jc w:val="center"/>
              <w:rPr>
                <w:rFonts w:ascii="Times New Roman" w:hAnsi="Times New Roman" w:eastAsia="宋体" w:cs="Times New Roman"/>
                <w:caps/>
                <w:color w:val="000000"/>
                <w:sz w:val="21"/>
                <w:szCs w:val="21"/>
              </w:rPr>
            </w:pPr>
            <w:r>
              <w:rPr>
                <w:rFonts w:ascii="Times New Roman" w:hAnsi="Times New Roman" w:eastAsia="宋体" w:cs="Times New Roman"/>
                <w:caps/>
                <w:color w:val="000000"/>
                <w:sz w:val="21"/>
                <w:szCs w:val="21"/>
              </w:rPr>
              <w:t>60.25</w:t>
            </w:r>
          </w:p>
        </w:tc>
        <w:tc>
          <w:tcPr>
            <w:tcW w:w="2066" w:type="pct"/>
            <w:noWrap/>
            <w:vAlign w:val="center"/>
          </w:tcPr>
          <w:p w14:paraId="5ED2A7DD">
            <w:pPr>
              <w:spacing w:line="280" w:lineRule="exact"/>
              <w:ind w:firstLine="0" w:firstLineChars="0"/>
              <w:jc w:val="center"/>
              <w:rPr>
                <w:rFonts w:ascii="Times New Roman" w:hAnsi="Times New Roman" w:eastAsia="宋体" w:cs="Times New Roman"/>
                <w:caps/>
                <w:color w:val="000000"/>
                <w:sz w:val="21"/>
                <w:szCs w:val="21"/>
              </w:rPr>
            </w:pPr>
            <w:r>
              <w:rPr>
                <w:rFonts w:ascii="Times New Roman" w:hAnsi="Times New Roman" w:eastAsia="宋体" w:cs="Times New Roman"/>
                <w:caps/>
                <w:color w:val="000000"/>
                <w:sz w:val="21"/>
                <w:szCs w:val="21"/>
              </w:rPr>
              <w:t>2.18%</w:t>
            </w:r>
          </w:p>
        </w:tc>
      </w:tr>
      <w:tr w14:paraId="5D5D48DD">
        <w:tblPrEx>
          <w:tblBorders>
            <w:top w:val="thinThickSmallGap" w:color="auto" w:sz="12" w:space="0"/>
            <w:left w:val="thinThickSmallGap" w:color="auto" w:sz="12" w:space="0"/>
            <w:bottom w:val="thinThick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60" w:type="pct"/>
            <w:noWrap/>
            <w:vAlign w:val="center"/>
          </w:tcPr>
          <w:p w14:paraId="632A476B">
            <w:pPr>
              <w:spacing w:line="280" w:lineRule="exact"/>
              <w:ind w:firstLine="0" w:firstLineChars="0"/>
              <w:jc w:val="center"/>
              <w:rPr>
                <w:rFonts w:ascii="Times New Roman" w:hAnsi="Times New Roman" w:eastAsia="宋体" w:cs="Times New Roman"/>
                <w:caps/>
                <w:color w:val="000000"/>
                <w:sz w:val="21"/>
                <w:szCs w:val="21"/>
              </w:rPr>
            </w:pPr>
            <w:r>
              <w:rPr>
                <w:rFonts w:ascii="Times New Roman" w:hAnsi="Times New Roman" w:eastAsia="宋体" w:cs="Times New Roman"/>
                <w:caps/>
                <w:color w:val="000000"/>
                <w:sz w:val="21"/>
                <w:szCs w:val="21"/>
              </w:rPr>
              <w:t>有林地</w:t>
            </w:r>
          </w:p>
        </w:tc>
        <w:tc>
          <w:tcPr>
            <w:tcW w:w="1074" w:type="pct"/>
            <w:noWrap/>
            <w:vAlign w:val="center"/>
          </w:tcPr>
          <w:p w14:paraId="6802C90F">
            <w:pPr>
              <w:spacing w:line="280" w:lineRule="exact"/>
              <w:ind w:firstLine="0" w:firstLineChars="0"/>
              <w:jc w:val="center"/>
              <w:rPr>
                <w:rFonts w:ascii="Times New Roman" w:hAnsi="Times New Roman" w:eastAsia="宋体" w:cs="Times New Roman"/>
                <w:caps/>
                <w:color w:val="000000"/>
                <w:sz w:val="21"/>
                <w:szCs w:val="21"/>
              </w:rPr>
            </w:pPr>
            <w:r>
              <w:rPr>
                <w:rFonts w:ascii="Times New Roman" w:hAnsi="Times New Roman" w:eastAsia="宋体" w:cs="Times New Roman"/>
                <w:caps/>
                <w:color w:val="000000"/>
                <w:sz w:val="21"/>
                <w:szCs w:val="21"/>
              </w:rPr>
              <w:t>150.98</w:t>
            </w:r>
          </w:p>
        </w:tc>
        <w:tc>
          <w:tcPr>
            <w:tcW w:w="2066" w:type="pct"/>
            <w:noWrap/>
            <w:vAlign w:val="center"/>
          </w:tcPr>
          <w:p w14:paraId="4DE82196">
            <w:pPr>
              <w:spacing w:line="280" w:lineRule="exact"/>
              <w:ind w:firstLine="0" w:firstLineChars="0"/>
              <w:jc w:val="center"/>
              <w:rPr>
                <w:rFonts w:ascii="Times New Roman" w:hAnsi="Times New Roman" w:eastAsia="宋体" w:cs="Times New Roman"/>
                <w:caps/>
                <w:color w:val="000000"/>
                <w:sz w:val="21"/>
                <w:szCs w:val="21"/>
              </w:rPr>
            </w:pPr>
            <w:r>
              <w:rPr>
                <w:rFonts w:ascii="Times New Roman" w:hAnsi="Times New Roman" w:eastAsia="宋体" w:cs="Times New Roman"/>
                <w:caps/>
                <w:color w:val="000000"/>
                <w:sz w:val="21"/>
                <w:szCs w:val="21"/>
              </w:rPr>
              <w:t>5.47%</w:t>
            </w:r>
          </w:p>
        </w:tc>
      </w:tr>
      <w:tr w14:paraId="455DD765">
        <w:tblPrEx>
          <w:tblBorders>
            <w:top w:val="thinThickSmallGap" w:color="auto" w:sz="12" w:space="0"/>
            <w:left w:val="thinThickSmallGap" w:color="auto" w:sz="12" w:space="0"/>
            <w:bottom w:val="thinThick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60" w:type="pct"/>
            <w:noWrap/>
            <w:vAlign w:val="center"/>
          </w:tcPr>
          <w:p w14:paraId="5EC12A2A">
            <w:pPr>
              <w:spacing w:line="280" w:lineRule="exact"/>
              <w:ind w:firstLine="0" w:firstLineChars="0"/>
              <w:jc w:val="center"/>
              <w:rPr>
                <w:rFonts w:ascii="Times New Roman" w:hAnsi="Times New Roman" w:eastAsia="宋体" w:cs="Times New Roman"/>
                <w:caps/>
                <w:color w:val="000000"/>
                <w:sz w:val="21"/>
                <w:szCs w:val="21"/>
              </w:rPr>
            </w:pPr>
            <w:r>
              <w:rPr>
                <w:rFonts w:ascii="Times New Roman" w:hAnsi="Times New Roman" w:eastAsia="宋体" w:cs="Times New Roman"/>
                <w:caps/>
                <w:color w:val="000000"/>
                <w:sz w:val="21"/>
                <w:szCs w:val="21"/>
              </w:rPr>
              <w:t>其他草地</w:t>
            </w:r>
          </w:p>
        </w:tc>
        <w:tc>
          <w:tcPr>
            <w:tcW w:w="1074" w:type="pct"/>
            <w:noWrap/>
            <w:vAlign w:val="center"/>
          </w:tcPr>
          <w:p w14:paraId="337B6BF8">
            <w:pPr>
              <w:spacing w:line="280" w:lineRule="exact"/>
              <w:ind w:firstLine="0" w:firstLineChars="0"/>
              <w:jc w:val="center"/>
              <w:rPr>
                <w:rFonts w:ascii="Times New Roman" w:hAnsi="Times New Roman" w:eastAsia="宋体" w:cs="Times New Roman"/>
                <w:caps/>
                <w:color w:val="000000"/>
                <w:sz w:val="21"/>
                <w:szCs w:val="21"/>
              </w:rPr>
            </w:pPr>
            <w:r>
              <w:rPr>
                <w:rFonts w:ascii="Times New Roman" w:hAnsi="Times New Roman" w:eastAsia="宋体" w:cs="Times New Roman"/>
                <w:caps/>
                <w:color w:val="000000"/>
                <w:sz w:val="21"/>
                <w:szCs w:val="21"/>
              </w:rPr>
              <w:t>226.43</w:t>
            </w:r>
          </w:p>
        </w:tc>
        <w:tc>
          <w:tcPr>
            <w:tcW w:w="2066" w:type="pct"/>
            <w:noWrap/>
            <w:vAlign w:val="center"/>
          </w:tcPr>
          <w:p w14:paraId="20E9D35A">
            <w:pPr>
              <w:spacing w:line="280" w:lineRule="exact"/>
              <w:ind w:firstLine="0" w:firstLineChars="0"/>
              <w:jc w:val="center"/>
              <w:rPr>
                <w:rFonts w:ascii="Times New Roman" w:hAnsi="Times New Roman" w:eastAsia="宋体" w:cs="Times New Roman"/>
                <w:caps/>
                <w:color w:val="000000"/>
                <w:sz w:val="21"/>
                <w:szCs w:val="21"/>
              </w:rPr>
            </w:pPr>
            <w:r>
              <w:rPr>
                <w:rFonts w:ascii="Times New Roman" w:hAnsi="Times New Roman" w:eastAsia="宋体" w:cs="Times New Roman"/>
                <w:caps/>
                <w:color w:val="000000"/>
                <w:sz w:val="21"/>
                <w:szCs w:val="21"/>
              </w:rPr>
              <w:t>8.21%</w:t>
            </w:r>
          </w:p>
        </w:tc>
      </w:tr>
      <w:tr w14:paraId="32E633BA">
        <w:tblPrEx>
          <w:tblBorders>
            <w:top w:val="thinThickSmallGap" w:color="auto" w:sz="12" w:space="0"/>
            <w:left w:val="thinThickSmallGap" w:color="auto" w:sz="12" w:space="0"/>
            <w:bottom w:val="thinThick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60" w:type="pct"/>
            <w:noWrap/>
            <w:vAlign w:val="center"/>
          </w:tcPr>
          <w:p w14:paraId="3C1D2445">
            <w:pPr>
              <w:spacing w:line="280" w:lineRule="exact"/>
              <w:ind w:firstLine="0" w:firstLineChars="0"/>
              <w:jc w:val="center"/>
              <w:rPr>
                <w:rFonts w:ascii="Times New Roman" w:hAnsi="Times New Roman" w:eastAsia="宋体" w:cs="Times New Roman"/>
                <w:caps/>
                <w:color w:val="000000"/>
                <w:sz w:val="21"/>
                <w:szCs w:val="21"/>
              </w:rPr>
            </w:pPr>
            <w:r>
              <w:rPr>
                <w:rFonts w:ascii="Times New Roman" w:hAnsi="Times New Roman" w:eastAsia="宋体" w:cs="Times New Roman"/>
                <w:caps/>
                <w:color w:val="000000"/>
                <w:sz w:val="21"/>
                <w:szCs w:val="21"/>
              </w:rPr>
              <w:t>农村宅基地</w:t>
            </w:r>
          </w:p>
        </w:tc>
        <w:tc>
          <w:tcPr>
            <w:tcW w:w="1074" w:type="pct"/>
            <w:noWrap/>
            <w:vAlign w:val="center"/>
          </w:tcPr>
          <w:p w14:paraId="45053818">
            <w:pPr>
              <w:spacing w:line="280" w:lineRule="exact"/>
              <w:ind w:firstLine="0" w:firstLineChars="0"/>
              <w:jc w:val="center"/>
              <w:rPr>
                <w:rFonts w:ascii="Times New Roman" w:hAnsi="Times New Roman" w:eastAsia="宋体" w:cs="Times New Roman"/>
                <w:caps/>
                <w:color w:val="000000"/>
                <w:sz w:val="21"/>
                <w:szCs w:val="21"/>
              </w:rPr>
            </w:pPr>
            <w:r>
              <w:rPr>
                <w:rFonts w:ascii="Times New Roman" w:hAnsi="Times New Roman" w:eastAsia="宋体" w:cs="Times New Roman"/>
                <w:caps/>
                <w:color w:val="000000"/>
                <w:sz w:val="21"/>
                <w:szCs w:val="21"/>
              </w:rPr>
              <w:t>426.25</w:t>
            </w:r>
          </w:p>
        </w:tc>
        <w:tc>
          <w:tcPr>
            <w:tcW w:w="2066" w:type="pct"/>
            <w:noWrap/>
            <w:vAlign w:val="center"/>
          </w:tcPr>
          <w:p w14:paraId="7445C011">
            <w:pPr>
              <w:spacing w:line="280" w:lineRule="exact"/>
              <w:ind w:firstLine="0" w:firstLineChars="0"/>
              <w:jc w:val="center"/>
              <w:rPr>
                <w:rFonts w:ascii="Times New Roman" w:hAnsi="Times New Roman" w:eastAsia="宋体" w:cs="Times New Roman"/>
                <w:caps/>
                <w:color w:val="000000"/>
                <w:sz w:val="21"/>
                <w:szCs w:val="21"/>
              </w:rPr>
            </w:pPr>
            <w:r>
              <w:rPr>
                <w:rFonts w:ascii="Times New Roman" w:hAnsi="Times New Roman" w:eastAsia="宋体" w:cs="Times New Roman"/>
                <w:caps/>
                <w:color w:val="000000"/>
                <w:sz w:val="21"/>
                <w:szCs w:val="21"/>
              </w:rPr>
              <w:t>15.45%</w:t>
            </w:r>
          </w:p>
        </w:tc>
      </w:tr>
      <w:tr w14:paraId="2D9788F9">
        <w:tblPrEx>
          <w:tblBorders>
            <w:top w:val="thinThickSmallGap" w:color="auto" w:sz="12" w:space="0"/>
            <w:left w:val="thinThickSmallGap" w:color="auto" w:sz="12" w:space="0"/>
            <w:bottom w:val="thinThick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60" w:type="pct"/>
            <w:noWrap/>
            <w:vAlign w:val="center"/>
          </w:tcPr>
          <w:p w14:paraId="445B419C">
            <w:pPr>
              <w:spacing w:line="280" w:lineRule="exact"/>
              <w:ind w:firstLine="0" w:firstLineChars="0"/>
              <w:jc w:val="center"/>
              <w:rPr>
                <w:rFonts w:ascii="Times New Roman" w:hAnsi="Times New Roman" w:eastAsia="宋体" w:cs="Times New Roman"/>
                <w:caps/>
                <w:color w:val="000000"/>
                <w:sz w:val="21"/>
                <w:szCs w:val="21"/>
              </w:rPr>
            </w:pPr>
            <w:r>
              <w:rPr>
                <w:rFonts w:ascii="Times New Roman" w:hAnsi="Times New Roman" w:eastAsia="宋体" w:cs="Times New Roman"/>
                <w:caps/>
                <w:color w:val="000000"/>
                <w:sz w:val="21"/>
                <w:szCs w:val="21"/>
              </w:rPr>
              <w:t>河流水面</w:t>
            </w:r>
          </w:p>
        </w:tc>
        <w:tc>
          <w:tcPr>
            <w:tcW w:w="1074" w:type="pct"/>
            <w:noWrap/>
            <w:vAlign w:val="center"/>
          </w:tcPr>
          <w:p w14:paraId="7BF0CBBE">
            <w:pPr>
              <w:spacing w:line="280" w:lineRule="exact"/>
              <w:ind w:firstLine="0" w:firstLineChars="0"/>
              <w:jc w:val="center"/>
              <w:rPr>
                <w:rFonts w:ascii="Times New Roman" w:hAnsi="Times New Roman" w:eastAsia="宋体" w:cs="Times New Roman"/>
                <w:caps/>
                <w:color w:val="000000"/>
                <w:sz w:val="21"/>
                <w:szCs w:val="21"/>
              </w:rPr>
            </w:pPr>
            <w:r>
              <w:rPr>
                <w:rFonts w:ascii="Times New Roman" w:hAnsi="Times New Roman" w:eastAsia="宋体" w:cs="Times New Roman"/>
                <w:caps/>
                <w:color w:val="000000"/>
                <w:sz w:val="21"/>
                <w:szCs w:val="21"/>
              </w:rPr>
              <w:t>3.54</w:t>
            </w:r>
          </w:p>
        </w:tc>
        <w:tc>
          <w:tcPr>
            <w:tcW w:w="2066" w:type="pct"/>
            <w:noWrap/>
            <w:vAlign w:val="center"/>
          </w:tcPr>
          <w:p w14:paraId="5FC54290">
            <w:pPr>
              <w:spacing w:line="280" w:lineRule="exact"/>
              <w:ind w:firstLine="0" w:firstLineChars="0"/>
              <w:jc w:val="center"/>
              <w:rPr>
                <w:rFonts w:ascii="Times New Roman" w:hAnsi="Times New Roman" w:eastAsia="宋体" w:cs="Times New Roman"/>
                <w:caps/>
                <w:color w:val="000000"/>
                <w:sz w:val="21"/>
                <w:szCs w:val="21"/>
              </w:rPr>
            </w:pPr>
            <w:r>
              <w:rPr>
                <w:rFonts w:ascii="Times New Roman" w:hAnsi="Times New Roman" w:eastAsia="宋体" w:cs="Times New Roman"/>
                <w:caps/>
                <w:color w:val="000000"/>
                <w:sz w:val="21"/>
                <w:szCs w:val="21"/>
              </w:rPr>
              <w:t>0.13%</w:t>
            </w:r>
          </w:p>
        </w:tc>
      </w:tr>
      <w:tr w14:paraId="5B688328">
        <w:tblPrEx>
          <w:tblBorders>
            <w:top w:val="thinThickSmallGap" w:color="auto" w:sz="12" w:space="0"/>
            <w:left w:val="thinThickSmallGap" w:color="auto" w:sz="12" w:space="0"/>
            <w:bottom w:val="thinThick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60" w:type="pct"/>
            <w:noWrap/>
            <w:vAlign w:val="center"/>
          </w:tcPr>
          <w:p w14:paraId="296E7932">
            <w:pPr>
              <w:spacing w:line="280" w:lineRule="exact"/>
              <w:ind w:firstLine="0" w:firstLineChars="0"/>
              <w:jc w:val="center"/>
              <w:rPr>
                <w:rFonts w:ascii="Times New Roman" w:hAnsi="Times New Roman" w:eastAsia="宋体" w:cs="Times New Roman"/>
                <w:caps/>
                <w:color w:val="000000"/>
                <w:sz w:val="21"/>
                <w:szCs w:val="21"/>
              </w:rPr>
            </w:pPr>
            <w:r>
              <w:rPr>
                <w:rFonts w:ascii="Times New Roman" w:hAnsi="Times New Roman" w:eastAsia="宋体" w:cs="Times New Roman"/>
                <w:caps/>
                <w:color w:val="000000"/>
                <w:sz w:val="21"/>
                <w:szCs w:val="21"/>
              </w:rPr>
              <w:t>公路用地</w:t>
            </w:r>
          </w:p>
        </w:tc>
        <w:tc>
          <w:tcPr>
            <w:tcW w:w="1074" w:type="pct"/>
            <w:noWrap/>
            <w:vAlign w:val="center"/>
          </w:tcPr>
          <w:p w14:paraId="0E2C4A9C">
            <w:pPr>
              <w:spacing w:line="280" w:lineRule="exact"/>
              <w:ind w:firstLine="0" w:firstLineChars="0"/>
              <w:jc w:val="center"/>
              <w:rPr>
                <w:rFonts w:ascii="Times New Roman" w:hAnsi="Times New Roman" w:eastAsia="宋体" w:cs="Times New Roman"/>
                <w:caps/>
                <w:color w:val="000000"/>
                <w:sz w:val="21"/>
                <w:szCs w:val="21"/>
              </w:rPr>
            </w:pPr>
            <w:r>
              <w:rPr>
                <w:rFonts w:ascii="Times New Roman" w:hAnsi="Times New Roman" w:eastAsia="宋体" w:cs="Times New Roman"/>
                <w:caps/>
                <w:color w:val="000000"/>
                <w:sz w:val="21"/>
                <w:szCs w:val="21"/>
              </w:rPr>
              <w:t>310.36</w:t>
            </w:r>
          </w:p>
        </w:tc>
        <w:tc>
          <w:tcPr>
            <w:tcW w:w="2066" w:type="pct"/>
            <w:noWrap/>
            <w:vAlign w:val="center"/>
          </w:tcPr>
          <w:p w14:paraId="5436F52C">
            <w:pPr>
              <w:spacing w:line="280" w:lineRule="exact"/>
              <w:ind w:firstLine="0" w:firstLineChars="0"/>
              <w:jc w:val="center"/>
              <w:rPr>
                <w:rFonts w:ascii="Times New Roman" w:hAnsi="Times New Roman" w:eastAsia="宋体" w:cs="Times New Roman"/>
                <w:caps/>
                <w:color w:val="000000"/>
                <w:sz w:val="21"/>
                <w:szCs w:val="21"/>
              </w:rPr>
            </w:pPr>
            <w:r>
              <w:rPr>
                <w:rFonts w:ascii="Times New Roman" w:hAnsi="Times New Roman" w:eastAsia="宋体" w:cs="Times New Roman"/>
                <w:caps/>
                <w:color w:val="000000"/>
                <w:sz w:val="21"/>
                <w:szCs w:val="21"/>
              </w:rPr>
              <w:t>11.25%</w:t>
            </w:r>
          </w:p>
        </w:tc>
      </w:tr>
      <w:tr w14:paraId="77A45866">
        <w:tblPrEx>
          <w:tblBorders>
            <w:top w:val="thinThickSmallGap" w:color="auto" w:sz="12" w:space="0"/>
            <w:left w:val="thinThickSmallGap" w:color="auto" w:sz="12" w:space="0"/>
            <w:bottom w:val="thinThickSmallGap" w:color="auto" w:sz="12" w:space="0"/>
            <w:right w:val="thickThinSmallGap" w:color="auto" w:sz="12" w:space="0"/>
            <w:insideH w:val="single" w:color="auto" w:sz="6" w:space="0"/>
            <w:insideV w:val="single" w:color="auto" w:sz="6" w:space="0"/>
          </w:tblBorders>
        </w:tblPrEx>
        <w:trPr>
          <w:jc w:val="center"/>
        </w:trPr>
        <w:tc>
          <w:tcPr>
            <w:tcW w:w="1860" w:type="pct"/>
            <w:noWrap/>
            <w:vAlign w:val="center"/>
          </w:tcPr>
          <w:p w14:paraId="537C7E21">
            <w:pPr>
              <w:spacing w:line="280" w:lineRule="exact"/>
              <w:ind w:firstLine="0" w:firstLineChars="0"/>
              <w:jc w:val="center"/>
              <w:rPr>
                <w:rFonts w:ascii="Times New Roman" w:hAnsi="Times New Roman" w:eastAsia="宋体" w:cs="Times New Roman"/>
                <w:caps/>
                <w:color w:val="000000"/>
                <w:sz w:val="21"/>
                <w:szCs w:val="21"/>
              </w:rPr>
            </w:pPr>
            <w:r>
              <w:rPr>
                <w:rFonts w:ascii="Times New Roman" w:hAnsi="Times New Roman" w:eastAsia="宋体" w:cs="Times New Roman"/>
                <w:caps/>
                <w:color w:val="000000"/>
                <w:sz w:val="21"/>
                <w:szCs w:val="21"/>
              </w:rPr>
              <w:t>农村道路</w:t>
            </w:r>
          </w:p>
        </w:tc>
        <w:tc>
          <w:tcPr>
            <w:tcW w:w="1074" w:type="pct"/>
            <w:noWrap/>
            <w:vAlign w:val="center"/>
          </w:tcPr>
          <w:p w14:paraId="69FFA7B4">
            <w:pPr>
              <w:spacing w:line="280" w:lineRule="exact"/>
              <w:ind w:firstLine="0" w:firstLineChars="0"/>
              <w:jc w:val="center"/>
              <w:rPr>
                <w:rFonts w:ascii="Times New Roman" w:hAnsi="Times New Roman" w:eastAsia="宋体" w:cs="Times New Roman"/>
                <w:caps/>
                <w:color w:val="000000"/>
                <w:sz w:val="21"/>
                <w:szCs w:val="21"/>
              </w:rPr>
            </w:pPr>
            <w:r>
              <w:rPr>
                <w:rFonts w:ascii="Times New Roman" w:hAnsi="Times New Roman" w:eastAsia="宋体" w:cs="Times New Roman"/>
                <w:caps/>
                <w:color w:val="000000"/>
                <w:sz w:val="21"/>
                <w:szCs w:val="21"/>
              </w:rPr>
              <w:t>83.64</w:t>
            </w:r>
          </w:p>
        </w:tc>
        <w:tc>
          <w:tcPr>
            <w:tcW w:w="2066" w:type="pct"/>
            <w:noWrap/>
            <w:vAlign w:val="center"/>
          </w:tcPr>
          <w:p w14:paraId="0FD19DED">
            <w:pPr>
              <w:spacing w:line="280" w:lineRule="exact"/>
              <w:ind w:firstLine="0" w:firstLineChars="0"/>
              <w:jc w:val="center"/>
              <w:rPr>
                <w:rFonts w:ascii="Times New Roman" w:hAnsi="Times New Roman" w:eastAsia="宋体" w:cs="Times New Roman"/>
                <w:caps/>
                <w:color w:val="000000"/>
                <w:sz w:val="21"/>
                <w:szCs w:val="21"/>
              </w:rPr>
            </w:pPr>
            <w:r>
              <w:rPr>
                <w:rFonts w:ascii="Times New Roman" w:hAnsi="Times New Roman" w:eastAsia="宋体" w:cs="Times New Roman"/>
                <w:caps/>
                <w:color w:val="000000"/>
                <w:sz w:val="21"/>
                <w:szCs w:val="21"/>
              </w:rPr>
              <w:t>3.03%</w:t>
            </w:r>
          </w:p>
        </w:tc>
      </w:tr>
      <w:tr w14:paraId="431692EC">
        <w:tblPrEx>
          <w:tblBorders>
            <w:top w:val="thinThickSmallGap" w:color="auto" w:sz="12" w:space="0"/>
            <w:left w:val="thinThickSmallGap" w:color="auto" w:sz="12" w:space="0"/>
            <w:bottom w:val="thinThick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60" w:type="pct"/>
            <w:noWrap/>
            <w:vAlign w:val="center"/>
          </w:tcPr>
          <w:p w14:paraId="76E02FF2">
            <w:pPr>
              <w:spacing w:line="280" w:lineRule="exact"/>
              <w:ind w:firstLine="0" w:firstLineChars="0"/>
              <w:jc w:val="center"/>
              <w:rPr>
                <w:rFonts w:ascii="Times New Roman" w:hAnsi="Times New Roman" w:eastAsia="宋体" w:cs="Times New Roman"/>
                <w:caps/>
                <w:color w:val="000000"/>
                <w:sz w:val="21"/>
                <w:szCs w:val="21"/>
              </w:rPr>
            </w:pPr>
            <w:r>
              <w:rPr>
                <w:rFonts w:ascii="Times New Roman" w:hAnsi="Times New Roman" w:eastAsia="宋体" w:cs="Times New Roman"/>
                <w:caps/>
                <w:color w:val="000000"/>
                <w:sz w:val="21"/>
                <w:szCs w:val="21"/>
              </w:rPr>
              <w:t>盐碱地</w:t>
            </w:r>
          </w:p>
        </w:tc>
        <w:tc>
          <w:tcPr>
            <w:tcW w:w="1074" w:type="pct"/>
            <w:noWrap/>
            <w:vAlign w:val="center"/>
          </w:tcPr>
          <w:p w14:paraId="119C5087">
            <w:pPr>
              <w:spacing w:line="280" w:lineRule="exact"/>
              <w:ind w:firstLine="0" w:firstLineChars="0"/>
              <w:jc w:val="center"/>
              <w:rPr>
                <w:rFonts w:ascii="Times New Roman" w:hAnsi="Times New Roman" w:eastAsia="宋体" w:cs="Times New Roman"/>
                <w:caps/>
                <w:color w:val="000000"/>
                <w:sz w:val="21"/>
                <w:szCs w:val="21"/>
              </w:rPr>
            </w:pPr>
            <w:r>
              <w:rPr>
                <w:rFonts w:ascii="Times New Roman" w:hAnsi="Times New Roman" w:eastAsia="宋体" w:cs="Times New Roman"/>
                <w:caps/>
                <w:color w:val="000000"/>
                <w:sz w:val="21"/>
                <w:szCs w:val="21"/>
              </w:rPr>
              <w:t xml:space="preserve">358.23 </w:t>
            </w:r>
          </w:p>
        </w:tc>
        <w:tc>
          <w:tcPr>
            <w:tcW w:w="2066" w:type="pct"/>
            <w:noWrap/>
            <w:vAlign w:val="center"/>
          </w:tcPr>
          <w:p w14:paraId="34C9F707">
            <w:pPr>
              <w:spacing w:line="280" w:lineRule="exact"/>
              <w:ind w:firstLine="0" w:firstLineChars="0"/>
              <w:jc w:val="center"/>
              <w:rPr>
                <w:rFonts w:ascii="Times New Roman" w:hAnsi="Times New Roman" w:eastAsia="宋体" w:cs="Times New Roman"/>
                <w:caps/>
                <w:color w:val="000000"/>
                <w:sz w:val="21"/>
                <w:szCs w:val="21"/>
              </w:rPr>
            </w:pPr>
            <w:r>
              <w:rPr>
                <w:rFonts w:ascii="Times New Roman" w:hAnsi="Times New Roman" w:eastAsia="宋体" w:cs="Times New Roman"/>
                <w:caps/>
                <w:color w:val="000000"/>
                <w:sz w:val="21"/>
                <w:szCs w:val="21"/>
              </w:rPr>
              <w:t>12.98%</w:t>
            </w:r>
          </w:p>
        </w:tc>
      </w:tr>
      <w:tr w14:paraId="0EBA1F7E">
        <w:tblPrEx>
          <w:tblBorders>
            <w:top w:val="thinThickSmallGap" w:color="auto" w:sz="12" w:space="0"/>
            <w:left w:val="thinThickSmallGap" w:color="auto" w:sz="12" w:space="0"/>
            <w:bottom w:val="thinThick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60" w:type="pct"/>
            <w:noWrap/>
            <w:vAlign w:val="center"/>
          </w:tcPr>
          <w:p w14:paraId="540F373B">
            <w:pPr>
              <w:spacing w:line="280" w:lineRule="exact"/>
              <w:ind w:firstLine="0" w:firstLineChars="0"/>
              <w:jc w:val="center"/>
              <w:rPr>
                <w:rFonts w:ascii="Times New Roman" w:hAnsi="Times New Roman" w:eastAsia="宋体" w:cs="Times New Roman"/>
                <w:caps/>
                <w:color w:val="000000"/>
                <w:sz w:val="21"/>
                <w:szCs w:val="21"/>
              </w:rPr>
            </w:pPr>
            <w:r>
              <w:rPr>
                <w:rFonts w:ascii="Times New Roman" w:hAnsi="Times New Roman" w:eastAsia="宋体" w:cs="Times New Roman"/>
                <w:caps/>
                <w:color w:val="000000"/>
                <w:sz w:val="21"/>
                <w:szCs w:val="21"/>
              </w:rPr>
              <w:t>合计</w:t>
            </w:r>
          </w:p>
        </w:tc>
        <w:tc>
          <w:tcPr>
            <w:tcW w:w="1074" w:type="pct"/>
            <w:noWrap/>
            <w:vAlign w:val="center"/>
          </w:tcPr>
          <w:p w14:paraId="66C6C7EB">
            <w:pPr>
              <w:spacing w:line="280" w:lineRule="exact"/>
              <w:ind w:firstLine="0" w:firstLineChars="0"/>
              <w:jc w:val="center"/>
              <w:rPr>
                <w:rFonts w:ascii="Times New Roman" w:hAnsi="Times New Roman" w:eastAsia="宋体" w:cs="Times New Roman"/>
                <w:caps/>
                <w:color w:val="000000"/>
                <w:sz w:val="21"/>
                <w:szCs w:val="21"/>
              </w:rPr>
            </w:pPr>
            <w:r>
              <w:rPr>
                <w:rFonts w:ascii="Times New Roman" w:hAnsi="Times New Roman" w:eastAsia="宋体" w:cs="Times New Roman"/>
                <w:caps/>
                <w:color w:val="000000"/>
                <w:sz w:val="21"/>
                <w:szCs w:val="21"/>
              </w:rPr>
              <w:t>2759.24</w:t>
            </w:r>
          </w:p>
        </w:tc>
        <w:tc>
          <w:tcPr>
            <w:tcW w:w="2066" w:type="pct"/>
            <w:noWrap/>
            <w:vAlign w:val="center"/>
          </w:tcPr>
          <w:p w14:paraId="72F07B61">
            <w:pPr>
              <w:spacing w:line="280" w:lineRule="exact"/>
              <w:ind w:firstLine="0" w:firstLineChars="0"/>
              <w:jc w:val="center"/>
              <w:rPr>
                <w:rFonts w:ascii="Times New Roman" w:hAnsi="Times New Roman" w:eastAsia="宋体" w:cs="Times New Roman"/>
                <w:caps/>
                <w:color w:val="000000"/>
                <w:sz w:val="21"/>
                <w:szCs w:val="21"/>
              </w:rPr>
            </w:pPr>
            <w:r>
              <w:rPr>
                <w:rFonts w:ascii="Times New Roman" w:hAnsi="Times New Roman" w:eastAsia="宋体" w:cs="Times New Roman"/>
                <w:caps/>
                <w:color w:val="000000"/>
                <w:sz w:val="21"/>
                <w:szCs w:val="21"/>
              </w:rPr>
              <w:t>100.00%</w:t>
            </w:r>
          </w:p>
        </w:tc>
      </w:tr>
    </w:tbl>
    <w:p w14:paraId="676A4D2F">
      <w:pPr>
        <w:spacing w:line="300" w:lineRule="auto"/>
        <w:ind w:firstLine="480" w:firstLineChars="200"/>
        <w:rPr>
          <w:rFonts w:ascii="Times New Roman" w:hAnsi="Times New Roman" w:eastAsia="宋体" w:cs="Times New Roman"/>
          <w:color w:val="000000"/>
          <w:sz w:val="24"/>
          <w:szCs w:val="22"/>
        </w:rPr>
      </w:pPr>
    </w:p>
    <w:p w14:paraId="5EA93FE1">
      <w:pPr>
        <w:spacing w:line="300" w:lineRule="auto"/>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根据</w:t>
      </w:r>
      <w:r>
        <w:rPr>
          <w:rFonts w:ascii="Times New Roman" w:hAnsi="Times New Roman" w:eastAsia="宋体" w:cs="Times New Roman"/>
          <w:color w:val="000000"/>
          <w:sz w:val="24"/>
          <w:szCs w:val="24"/>
        </w:rPr>
        <w:fldChar w:fldCharType="begin"/>
      </w:r>
      <w:r>
        <w:rPr>
          <w:rFonts w:ascii="Times New Roman" w:hAnsi="Times New Roman" w:eastAsia="宋体" w:cs="Times New Roman"/>
          <w:color w:val="000000"/>
          <w:sz w:val="24"/>
          <w:szCs w:val="24"/>
        </w:rPr>
        <w:instrText xml:space="preserve"> REF _Ref220312898 \h  \* MERGEFORMAT </w:instrText>
      </w:r>
      <w:r>
        <w:rPr>
          <w:rFonts w:ascii="Times New Roman" w:hAnsi="Times New Roman" w:eastAsia="宋体" w:cs="Times New Roman"/>
          <w:color w:val="000000"/>
          <w:sz w:val="24"/>
          <w:szCs w:val="24"/>
        </w:rPr>
        <w:fldChar w:fldCharType="separate"/>
      </w:r>
      <w:r>
        <w:rPr>
          <w:rFonts w:ascii="Times New Roman" w:hAnsi="Times New Roman" w:eastAsia="宋体" w:cs="Times New Roman"/>
          <w:color w:val="000000"/>
          <w:sz w:val="24"/>
          <w:szCs w:val="24"/>
        </w:rPr>
        <w:t>表 2.3</w:t>
      </w:r>
      <w:r>
        <w:rPr>
          <w:rFonts w:ascii="Times New Roman" w:hAnsi="Times New Roman" w:eastAsia="宋体" w:cs="Times New Roman"/>
          <w:color w:val="000000"/>
          <w:sz w:val="24"/>
          <w:szCs w:val="24"/>
        </w:rPr>
        <w:noBreakHyphen/>
      </w:r>
      <w:r>
        <w:rPr>
          <w:rFonts w:ascii="Times New Roman" w:hAnsi="Times New Roman" w:eastAsia="宋体" w:cs="Times New Roman"/>
          <w:color w:val="000000"/>
          <w:sz w:val="24"/>
          <w:szCs w:val="24"/>
        </w:rPr>
        <w:t>1</w:t>
      </w:r>
      <w:r>
        <w:rPr>
          <w:rFonts w:ascii="Times New Roman" w:hAnsi="Times New Roman" w:eastAsia="宋体" w:cs="Times New Roman"/>
          <w:color w:val="000000"/>
          <w:sz w:val="24"/>
          <w:szCs w:val="24"/>
        </w:rPr>
        <w:fldChar w:fldCharType="end"/>
      </w:r>
      <w:r>
        <w:rPr>
          <w:rFonts w:ascii="Times New Roman" w:hAnsi="Times New Roman" w:eastAsia="宋体" w:cs="Times New Roman"/>
          <w:color w:val="000000"/>
          <w:sz w:val="24"/>
          <w:szCs w:val="24"/>
        </w:rPr>
        <w:t>可知，评价范围内的土地利用现状</w:t>
      </w:r>
      <w:bookmarkStart w:id="329" w:name="_Hlk192178504"/>
      <w:r>
        <w:rPr>
          <w:rFonts w:ascii="Times New Roman" w:hAnsi="Times New Roman" w:eastAsia="宋体" w:cs="Times New Roman"/>
          <w:color w:val="000000"/>
          <w:sz w:val="24"/>
          <w:szCs w:val="24"/>
        </w:rPr>
        <w:t>共分为10类，分别为水浇地、果园、灌木林地、有林地、其他草地、河流水面、农村宅基地、公路用地、农村道路、盐碱地。其中水浇地是评价范围内分布面积最大、最主要的土地利用类型，面积为896.07hm</w:t>
      </w:r>
      <w:r>
        <w:rPr>
          <w:rFonts w:ascii="Times New Roman" w:hAnsi="Times New Roman" w:eastAsia="宋体" w:cs="Times New Roman"/>
          <w:color w:val="000000"/>
          <w:sz w:val="24"/>
          <w:szCs w:val="24"/>
          <w:vertAlign w:val="superscript"/>
        </w:rPr>
        <w:t>2</w:t>
      </w:r>
      <w:r>
        <w:rPr>
          <w:rFonts w:ascii="Times New Roman" w:hAnsi="Times New Roman" w:eastAsia="宋体" w:cs="Times New Roman"/>
          <w:color w:val="000000"/>
          <w:sz w:val="24"/>
          <w:szCs w:val="24"/>
        </w:rPr>
        <w:t>，占土地总面积的32.48%；其次是农村宅基地、其他草地、果园的分布较为广泛，面积分别为426.25hm</w:t>
      </w:r>
      <w:r>
        <w:rPr>
          <w:rFonts w:ascii="Times New Roman" w:hAnsi="Times New Roman" w:eastAsia="宋体" w:cs="Times New Roman"/>
          <w:color w:val="000000"/>
          <w:sz w:val="24"/>
          <w:szCs w:val="24"/>
          <w:vertAlign w:val="superscript"/>
        </w:rPr>
        <w:t>2</w:t>
      </w:r>
      <w:r>
        <w:rPr>
          <w:rFonts w:ascii="Times New Roman" w:hAnsi="Times New Roman" w:eastAsia="宋体" w:cs="Times New Roman"/>
          <w:color w:val="000000"/>
          <w:sz w:val="24"/>
          <w:szCs w:val="24"/>
        </w:rPr>
        <w:t>、226.43hm</w:t>
      </w:r>
      <w:r>
        <w:rPr>
          <w:rFonts w:ascii="Times New Roman" w:hAnsi="Times New Roman" w:eastAsia="宋体" w:cs="Times New Roman"/>
          <w:color w:val="000000"/>
          <w:sz w:val="24"/>
          <w:szCs w:val="24"/>
          <w:vertAlign w:val="superscript"/>
        </w:rPr>
        <w:t>2</w:t>
      </w:r>
      <w:r>
        <w:rPr>
          <w:rFonts w:ascii="Times New Roman" w:hAnsi="Times New Roman" w:eastAsia="宋体" w:cs="Times New Roman"/>
          <w:color w:val="000000"/>
          <w:sz w:val="24"/>
          <w:szCs w:val="24"/>
        </w:rPr>
        <w:t>和243.49 hm</w:t>
      </w:r>
      <w:r>
        <w:rPr>
          <w:rFonts w:ascii="Times New Roman" w:hAnsi="Times New Roman" w:eastAsia="宋体" w:cs="Times New Roman"/>
          <w:color w:val="000000"/>
          <w:sz w:val="24"/>
          <w:szCs w:val="24"/>
          <w:vertAlign w:val="superscript"/>
        </w:rPr>
        <w:t>2</w:t>
      </w:r>
      <w:r>
        <w:rPr>
          <w:rFonts w:ascii="Times New Roman" w:hAnsi="Times New Roman" w:eastAsia="宋体" w:cs="Times New Roman"/>
          <w:color w:val="000000"/>
          <w:sz w:val="24"/>
          <w:szCs w:val="24"/>
        </w:rPr>
        <w:t>，占土地总面积的15.45%、8.21%和8.82%，其余地类占比较小。</w:t>
      </w:r>
      <w:bookmarkEnd w:id="329"/>
    </w:p>
    <w:p w14:paraId="1E048271">
      <w:pPr>
        <w:keepNext/>
        <w:keepLines/>
        <w:widowControl w:val="0"/>
        <w:numPr>
          <w:ilvl w:val="1"/>
          <w:numId w:val="13"/>
        </w:numPr>
        <w:spacing w:before="240" w:after="240" w:line="240" w:lineRule="auto"/>
        <w:ind w:firstLine="200" w:firstLineChars="0"/>
        <w:jc w:val="both"/>
        <w:outlineLvl w:val="1"/>
        <w:rPr>
          <w:rFonts w:ascii="Times New Roman" w:hAnsi="Times New Roman" w:eastAsia="宋体" w:cs="Times New Roman"/>
          <w:b/>
          <w:bCs/>
          <w:color w:val="000000"/>
          <w:kern w:val="2"/>
          <w:sz w:val="28"/>
          <w:szCs w:val="32"/>
          <w:lang w:val="en-US" w:eastAsia="zh-CN" w:bidi="ar-SA"/>
        </w:rPr>
      </w:pPr>
      <w:bookmarkStart w:id="330" w:name="_Toc4464"/>
      <w:bookmarkStart w:id="331" w:name="_Toc219363409"/>
      <w:r>
        <w:rPr>
          <w:rFonts w:ascii="Times New Roman" w:hAnsi="Times New Roman" w:eastAsia="宋体" w:cs="Times New Roman"/>
          <w:b/>
          <w:bCs/>
          <w:color w:val="000000"/>
          <w:kern w:val="2"/>
          <w:sz w:val="28"/>
          <w:szCs w:val="32"/>
          <w:lang w:val="en-US" w:eastAsia="zh-CN" w:bidi="ar-SA"/>
        </w:rPr>
        <w:t>生态系统现状</w:t>
      </w:r>
      <w:bookmarkEnd w:id="330"/>
      <w:bookmarkEnd w:id="331"/>
    </w:p>
    <w:p w14:paraId="3D7CD70F">
      <w:pPr>
        <w:spacing w:line="300" w:lineRule="auto"/>
        <w:ind w:firstLine="480" w:firstLineChars="200"/>
        <w:rPr>
          <w:rFonts w:ascii="Times New Roman" w:hAnsi="Times New Roman" w:eastAsia="宋体" w:cs="Times New Roman"/>
          <w:color w:val="000000"/>
          <w:sz w:val="21"/>
          <w:szCs w:val="24"/>
        </w:rPr>
      </w:pPr>
      <w:r>
        <w:rPr>
          <w:rFonts w:ascii="Times New Roman" w:hAnsi="Times New Roman" w:eastAsia="宋体" w:cs="Times New Roman"/>
          <w:color w:val="000000"/>
          <w:sz w:val="24"/>
          <w:szCs w:val="22"/>
        </w:rPr>
        <w:t>拟建公路评价区生态系统以《中国植被》提出的植物群落分类系统为基础，参考《全国生态状况调查评估技术规范—生态系统质量评估》中的分类原则及方法，根据对建群种生活型、群落外貌、土地利用现状的分析，结合动植物分布和生物量的调查，对评</w:t>
      </w:r>
      <w:bookmarkStart w:id="332" w:name="_Hlk192178448"/>
      <w:r>
        <w:rPr>
          <w:rFonts w:ascii="Times New Roman" w:hAnsi="Times New Roman" w:eastAsia="宋体" w:cs="Times New Roman"/>
          <w:color w:val="000000"/>
          <w:sz w:val="24"/>
          <w:szCs w:val="22"/>
        </w:rPr>
        <w:t>价范围内的生态系统进行划分，</w:t>
      </w:r>
      <w:bookmarkEnd w:id="332"/>
      <w:r>
        <w:rPr>
          <w:rFonts w:ascii="Times New Roman" w:hAnsi="Times New Roman" w:eastAsia="宋体" w:cs="Times New Roman"/>
          <w:color w:val="000000"/>
          <w:sz w:val="24"/>
          <w:szCs w:val="24"/>
        </w:rPr>
        <w:t>评价区的生态系统主要有森林生态系统、灌丛生态系统、草地生态系统、湿地生态系统、农田生态系统、荒漠生态系统和城镇生态系统。根据遥感解译数据，评价区生态系统类型及面积见表2.4-1。生态系统类型图见附图9。</w:t>
      </w:r>
    </w:p>
    <w:p w14:paraId="795337F5">
      <w:pPr>
        <w:spacing w:before="120" w:beforeLines="50" w:line="240" w:lineRule="auto"/>
        <w:ind w:firstLine="0" w:firstLineChars="0"/>
        <w:jc w:val="center"/>
        <w:rPr>
          <w:rFonts w:ascii="Times New Roman" w:hAnsi="Times New Roman" w:eastAsia="宋体" w:cs="Times New Roman"/>
          <w:b/>
          <w:bCs/>
          <w:color w:val="000000"/>
          <w:sz w:val="21"/>
          <w:szCs w:val="24"/>
        </w:rPr>
      </w:pPr>
      <w:r>
        <w:rPr>
          <w:rFonts w:ascii="Times New Roman" w:hAnsi="Times New Roman" w:eastAsia="宋体" w:cs="Times New Roman"/>
          <w:b/>
          <w:bCs/>
          <w:color w:val="000000"/>
          <w:sz w:val="21"/>
          <w:szCs w:val="24"/>
        </w:rPr>
        <w:t>表2.4-1  评价区各生态系统面积及比例</w:t>
      </w:r>
    </w:p>
    <w:tbl>
      <w:tblPr>
        <w:tblStyle w:val="22"/>
        <w:tblW w:w="5000" w:type="pct"/>
        <w:jc w:val="center"/>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2408"/>
        <w:gridCol w:w="2033"/>
        <w:gridCol w:w="2033"/>
        <w:gridCol w:w="2090"/>
      </w:tblGrid>
      <w:tr w14:paraId="577AE269">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406" w:type="pct"/>
            <w:vAlign w:val="center"/>
          </w:tcPr>
          <w:p w14:paraId="13FBA0AB">
            <w:pPr>
              <w:spacing w:line="240" w:lineRule="auto"/>
              <w:ind w:firstLine="0" w:firstLineChars="0"/>
              <w:jc w:val="center"/>
              <w:rPr>
                <w:rFonts w:ascii="Times New Roman" w:hAnsi="Times New Roman" w:eastAsia="宋体" w:cs="Times New Roman"/>
                <w:b/>
                <w:bCs/>
                <w:caps/>
                <w:color w:val="000000"/>
                <w:sz w:val="21"/>
                <w:szCs w:val="21"/>
              </w:rPr>
            </w:pPr>
            <w:r>
              <w:rPr>
                <w:rFonts w:ascii="Times New Roman" w:hAnsi="Times New Roman" w:eastAsia="宋体" w:cs="Times New Roman"/>
                <w:b/>
                <w:bCs/>
                <w:caps/>
                <w:color w:val="000000"/>
                <w:sz w:val="21"/>
                <w:szCs w:val="21"/>
              </w:rPr>
              <w:t>生态系统类型</w:t>
            </w:r>
          </w:p>
          <w:p w14:paraId="0896A639">
            <w:pPr>
              <w:spacing w:line="240" w:lineRule="auto"/>
              <w:ind w:firstLine="0" w:firstLineChars="0"/>
              <w:jc w:val="center"/>
              <w:rPr>
                <w:rFonts w:ascii="Times New Roman" w:hAnsi="Times New Roman" w:eastAsia="宋体" w:cs="Times New Roman"/>
                <w:b/>
                <w:bCs/>
                <w:caps/>
                <w:color w:val="000000"/>
                <w:sz w:val="21"/>
                <w:szCs w:val="21"/>
              </w:rPr>
            </w:pPr>
            <w:r>
              <w:rPr>
                <w:rFonts w:ascii="Times New Roman" w:hAnsi="Times New Roman" w:eastAsia="宋体" w:cs="Times New Roman"/>
                <w:b/>
                <w:bCs/>
                <w:caps/>
                <w:color w:val="000000"/>
                <w:sz w:val="21"/>
                <w:szCs w:val="21"/>
              </w:rPr>
              <w:t>（</w:t>
            </w:r>
            <w:r>
              <w:rPr>
                <w:rFonts w:ascii="Times New Roman" w:hAnsi="Times New Roman" w:eastAsia="宋体" w:cs="Times New Roman"/>
                <w:b/>
                <w:bCs/>
                <w:caps/>
                <w:color w:val="000000"/>
                <w:sz w:val="21"/>
                <w:szCs w:val="21"/>
              </w:rPr>
              <w:fldChar w:fldCharType="begin"/>
            </w:r>
            <w:r>
              <w:rPr>
                <w:rFonts w:ascii="Times New Roman" w:hAnsi="Times New Roman" w:eastAsia="宋体" w:cs="Times New Roman"/>
                <w:b/>
                <w:bCs/>
                <w:caps/>
                <w:color w:val="000000"/>
                <w:sz w:val="21"/>
                <w:szCs w:val="21"/>
              </w:rPr>
              <w:instrText xml:space="preserve"> = 1 \* ROMAN </w:instrText>
            </w:r>
            <w:r>
              <w:rPr>
                <w:rFonts w:ascii="Times New Roman" w:hAnsi="Times New Roman" w:eastAsia="宋体" w:cs="Times New Roman"/>
                <w:b/>
                <w:bCs/>
                <w:caps/>
                <w:color w:val="000000"/>
                <w:sz w:val="21"/>
                <w:szCs w:val="21"/>
              </w:rPr>
              <w:fldChar w:fldCharType="separate"/>
            </w:r>
            <w:r>
              <w:rPr>
                <w:rFonts w:ascii="Times New Roman" w:hAnsi="Times New Roman" w:eastAsia="宋体" w:cs="Times New Roman"/>
                <w:b/>
                <w:bCs/>
                <w:caps/>
                <w:color w:val="000000"/>
                <w:sz w:val="21"/>
                <w:szCs w:val="21"/>
              </w:rPr>
              <w:t>I</w:t>
            </w:r>
            <w:r>
              <w:rPr>
                <w:rFonts w:ascii="Times New Roman" w:hAnsi="Times New Roman" w:eastAsia="宋体" w:cs="Times New Roman"/>
                <w:b/>
                <w:bCs/>
                <w:caps/>
                <w:color w:val="000000"/>
                <w:sz w:val="21"/>
                <w:szCs w:val="21"/>
              </w:rPr>
              <w:fldChar w:fldCharType="end"/>
            </w:r>
            <w:r>
              <w:rPr>
                <w:rFonts w:ascii="Times New Roman" w:hAnsi="Times New Roman" w:eastAsia="宋体" w:cs="Times New Roman"/>
                <w:b/>
                <w:bCs/>
                <w:caps/>
                <w:color w:val="000000"/>
                <w:sz w:val="21"/>
                <w:szCs w:val="21"/>
              </w:rPr>
              <w:t>级分类）</w:t>
            </w:r>
          </w:p>
        </w:tc>
        <w:tc>
          <w:tcPr>
            <w:tcW w:w="1187" w:type="pct"/>
            <w:vAlign w:val="center"/>
          </w:tcPr>
          <w:p w14:paraId="167381B2">
            <w:pPr>
              <w:spacing w:line="240" w:lineRule="auto"/>
              <w:ind w:firstLine="0" w:firstLineChars="0"/>
              <w:jc w:val="center"/>
              <w:rPr>
                <w:rFonts w:ascii="Times New Roman" w:hAnsi="Times New Roman" w:eastAsia="宋体" w:cs="Times New Roman"/>
                <w:b/>
                <w:bCs/>
                <w:caps/>
                <w:color w:val="000000"/>
                <w:sz w:val="21"/>
                <w:szCs w:val="21"/>
              </w:rPr>
            </w:pPr>
            <w:r>
              <w:rPr>
                <w:rFonts w:ascii="Times New Roman" w:hAnsi="Times New Roman" w:eastAsia="宋体" w:cs="Times New Roman"/>
                <w:b/>
                <w:bCs/>
                <w:caps/>
                <w:color w:val="000000"/>
                <w:sz w:val="21"/>
                <w:szCs w:val="21"/>
              </w:rPr>
              <w:t>生态系统类型</w:t>
            </w:r>
          </w:p>
          <w:p w14:paraId="68434AD9">
            <w:pPr>
              <w:spacing w:line="240" w:lineRule="auto"/>
              <w:ind w:firstLine="0" w:firstLineChars="0"/>
              <w:jc w:val="center"/>
              <w:rPr>
                <w:rFonts w:ascii="Times New Roman" w:hAnsi="Times New Roman" w:eastAsia="宋体" w:cs="Times New Roman"/>
                <w:b/>
                <w:bCs/>
                <w:caps/>
                <w:color w:val="000000"/>
                <w:sz w:val="21"/>
                <w:szCs w:val="21"/>
              </w:rPr>
            </w:pPr>
            <w:r>
              <w:rPr>
                <w:rFonts w:ascii="Times New Roman" w:hAnsi="Times New Roman" w:eastAsia="宋体" w:cs="Times New Roman"/>
                <w:b/>
                <w:bCs/>
                <w:caps/>
                <w:color w:val="000000"/>
                <w:sz w:val="21"/>
                <w:szCs w:val="21"/>
              </w:rPr>
              <w:t>（</w:t>
            </w:r>
            <w:r>
              <w:rPr>
                <w:rFonts w:ascii="Times New Roman" w:hAnsi="Times New Roman" w:eastAsia="宋体" w:cs="Times New Roman"/>
                <w:b/>
                <w:bCs/>
                <w:caps/>
                <w:color w:val="000000"/>
                <w:sz w:val="21"/>
                <w:szCs w:val="21"/>
              </w:rPr>
              <w:fldChar w:fldCharType="begin"/>
            </w:r>
            <w:r>
              <w:rPr>
                <w:rFonts w:ascii="Times New Roman" w:hAnsi="Times New Roman" w:eastAsia="宋体" w:cs="Times New Roman"/>
                <w:b/>
                <w:bCs/>
                <w:caps/>
                <w:color w:val="000000"/>
                <w:sz w:val="21"/>
                <w:szCs w:val="21"/>
              </w:rPr>
              <w:instrText xml:space="preserve"> = 2 \* ROMAN </w:instrText>
            </w:r>
            <w:r>
              <w:rPr>
                <w:rFonts w:ascii="Times New Roman" w:hAnsi="Times New Roman" w:eastAsia="宋体" w:cs="Times New Roman"/>
                <w:b/>
                <w:bCs/>
                <w:caps/>
                <w:color w:val="000000"/>
                <w:sz w:val="21"/>
                <w:szCs w:val="21"/>
              </w:rPr>
              <w:fldChar w:fldCharType="separate"/>
            </w:r>
            <w:r>
              <w:rPr>
                <w:rFonts w:ascii="Times New Roman" w:hAnsi="Times New Roman" w:eastAsia="宋体" w:cs="Times New Roman"/>
                <w:b/>
                <w:bCs/>
                <w:caps/>
                <w:color w:val="000000"/>
                <w:sz w:val="21"/>
                <w:szCs w:val="21"/>
              </w:rPr>
              <w:t>II</w:t>
            </w:r>
            <w:r>
              <w:rPr>
                <w:rFonts w:ascii="Times New Roman" w:hAnsi="Times New Roman" w:eastAsia="宋体" w:cs="Times New Roman"/>
                <w:b/>
                <w:bCs/>
                <w:caps/>
                <w:color w:val="000000"/>
                <w:sz w:val="21"/>
                <w:szCs w:val="21"/>
              </w:rPr>
              <w:fldChar w:fldCharType="end"/>
            </w:r>
            <w:r>
              <w:rPr>
                <w:rFonts w:ascii="Times New Roman" w:hAnsi="Times New Roman" w:eastAsia="宋体" w:cs="Times New Roman"/>
                <w:b/>
                <w:bCs/>
                <w:caps/>
                <w:color w:val="000000"/>
                <w:sz w:val="21"/>
                <w:szCs w:val="21"/>
              </w:rPr>
              <w:t>级分类）</w:t>
            </w:r>
          </w:p>
        </w:tc>
        <w:tc>
          <w:tcPr>
            <w:tcW w:w="1187" w:type="pct"/>
            <w:vAlign w:val="center"/>
          </w:tcPr>
          <w:p w14:paraId="789B6815">
            <w:pPr>
              <w:spacing w:line="240" w:lineRule="auto"/>
              <w:ind w:firstLine="0" w:firstLineChars="0"/>
              <w:jc w:val="center"/>
              <w:rPr>
                <w:rFonts w:ascii="Times New Roman" w:hAnsi="Times New Roman" w:eastAsia="宋体" w:cs="Times New Roman"/>
                <w:b/>
                <w:bCs/>
                <w:caps/>
                <w:color w:val="000000"/>
                <w:sz w:val="21"/>
                <w:szCs w:val="21"/>
              </w:rPr>
            </w:pPr>
            <w:r>
              <w:rPr>
                <w:rFonts w:ascii="Times New Roman" w:hAnsi="Times New Roman" w:eastAsia="宋体" w:cs="Times New Roman"/>
                <w:b/>
                <w:bCs/>
                <w:caps/>
                <w:color w:val="000000"/>
                <w:sz w:val="21"/>
                <w:szCs w:val="21"/>
              </w:rPr>
              <w:t>面积（</w:t>
            </w:r>
            <w:r>
              <w:rPr>
                <w:rFonts w:ascii="Times New Roman" w:hAnsi="Times New Roman" w:eastAsia="宋体" w:cs="Times New Roman"/>
                <w:b/>
                <w:bCs/>
                <w:color w:val="000000"/>
                <w:sz w:val="21"/>
                <w:szCs w:val="21"/>
              </w:rPr>
              <w:t>hm</w:t>
            </w:r>
            <w:r>
              <w:rPr>
                <w:rFonts w:ascii="Times New Roman" w:hAnsi="Times New Roman" w:eastAsia="宋体" w:cs="Times New Roman"/>
                <w:b/>
                <w:bCs/>
                <w:color w:val="000000"/>
                <w:sz w:val="21"/>
                <w:szCs w:val="21"/>
                <w:vertAlign w:val="superscript"/>
              </w:rPr>
              <w:t>2</w:t>
            </w:r>
            <w:r>
              <w:rPr>
                <w:rFonts w:ascii="Times New Roman" w:hAnsi="Times New Roman" w:eastAsia="宋体" w:cs="Times New Roman"/>
                <w:b/>
                <w:bCs/>
                <w:caps/>
                <w:color w:val="000000"/>
                <w:sz w:val="21"/>
                <w:szCs w:val="21"/>
              </w:rPr>
              <w:t>）</w:t>
            </w:r>
          </w:p>
        </w:tc>
        <w:tc>
          <w:tcPr>
            <w:tcW w:w="1220" w:type="pct"/>
            <w:vAlign w:val="center"/>
          </w:tcPr>
          <w:p w14:paraId="7CF4D421">
            <w:pPr>
              <w:spacing w:line="240" w:lineRule="auto"/>
              <w:ind w:firstLine="0" w:firstLineChars="0"/>
              <w:jc w:val="center"/>
              <w:rPr>
                <w:rFonts w:ascii="Times New Roman" w:hAnsi="Times New Roman" w:eastAsia="宋体" w:cs="Times New Roman"/>
                <w:b/>
                <w:bCs/>
                <w:caps/>
                <w:color w:val="000000"/>
                <w:sz w:val="21"/>
                <w:szCs w:val="21"/>
              </w:rPr>
            </w:pPr>
            <w:r>
              <w:rPr>
                <w:rFonts w:ascii="Times New Roman" w:hAnsi="Times New Roman" w:eastAsia="宋体" w:cs="Times New Roman"/>
                <w:b/>
                <w:bCs/>
                <w:caps/>
                <w:color w:val="000000"/>
                <w:sz w:val="21"/>
                <w:szCs w:val="21"/>
              </w:rPr>
              <w:t>所占百分比（%）</w:t>
            </w:r>
          </w:p>
        </w:tc>
      </w:tr>
      <w:tr w14:paraId="4A77B470">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406" w:type="pct"/>
            <w:vMerge w:val="restart"/>
            <w:vAlign w:val="center"/>
          </w:tcPr>
          <w:p w14:paraId="204CA9B1">
            <w:pPr>
              <w:spacing w:line="240" w:lineRule="auto"/>
              <w:ind w:firstLine="0" w:firstLineChars="0"/>
              <w:jc w:val="center"/>
              <w:rPr>
                <w:rFonts w:ascii="Times New Roman" w:hAnsi="Times New Roman" w:eastAsia="宋体" w:cs="Times New Roman"/>
                <w:caps/>
                <w:color w:val="000000"/>
                <w:sz w:val="21"/>
                <w:szCs w:val="21"/>
              </w:rPr>
            </w:pPr>
            <w:bookmarkStart w:id="333" w:name="_Hlk229416559"/>
            <w:r>
              <w:rPr>
                <w:rFonts w:ascii="Times New Roman" w:hAnsi="Times New Roman" w:eastAsia="宋体" w:cs="Times New Roman"/>
                <w:caps/>
                <w:color w:val="000000"/>
                <w:sz w:val="21"/>
                <w:szCs w:val="21"/>
              </w:rPr>
              <w:t>农田生态系统</w:t>
            </w:r>
          </w:p>
        </w:tc>
        <w:tc>
          <w:tcPr>
            <w:tcW w:w="1187" w:type="pct"/>
            <w:vAlign w:val="center"/>
          </w:tcPr>
          <w:p w14:paraId="3816B315">
            <w:pPr>
              <w:widowControl/>
              <w:spacing w:line="240" w:lineRule="auto"/>
              <w:ind w:firstLine="0" w:firstLineChars="0"/>
              <w:jc w:val="center"/>
              <w:textAlignment w:val="bottom"/>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耕地</w:t>
            </w:r>
          </w:p>
        </w:tc>
        <w:tc>
          <w:tcPr>
            <w:tcW w:w="1187" w:type="pct"/>
            <w:vAlign w:val="center"/>
          </w:tcPr>
          <w:p w14:paraId="59E106EB">
            <w:pPr>
              <w:widowControl/>
              <w:spacing w:line="240" w:lineRule="auto"/>
              <w:ind w:firstLine="0" w:firstLineChars="0"/>
              <w:jc w:val="center"/>
              <w:textAlignment w:val="bottom"/>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896.07</w:t>
            </w:r>
          </w:p>
        </w:tc>
        <w:tc>
          <w:tcPr>
            <w:tcW w:w="1220" w:type="pct"/>
            <w:vAlign w:val="center"/>
          </w:tcPr>
          <w:p w14:paraId="28D33A7E">
            <w:pPr>
              <w:spacing w:line="240" w:lineRule="auto"/>
              <w:ind w:firstLine="0" w:firstLineChars="0"/>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32.48%</w:t>
            </w:r>
          </w:p>
        </w:tc>
      </w:tr>
      <w:tr w14:paraId="4F0C148D">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406" w:type="pct"/>
            <w:vMerge w:val="continue"/>
            <w:vAlign w:val="center"/>
          </w:tcPr>
          <w:p w14:paraId="6D51FD28">
            <w:pPr>
              <w:spacing w:line="240" w:lineRule="auto"/>
              <w:ind w:firstLine="0" w:firstLineChars="0"/>
              <w:jc w:val="center"/>
              <w:rPr>
                <w:rFonts w:ascii="Times New Roman" w:hAnsi="Times New Roman" w:eastAsia="宋体" w:cs="Times New Roman"/>
                <w:caps/>
                <w:color w:val="000000"/>
                <w:sz w:val="21"/>
                <w:szCs w:val="21"/>
              </w:rPr>
            </w:pPr>
          </w:p>
        </w:tc>
        <w:tc>
          <w:tcPr>
            <w:tcW w:w="1187" w:type="pct"/>
            <w:vAlign w:val="center"/>
          </w:tcPr>
          <w:p w14:paraId="7D69EAE1">
            <w:pPr>
              <w:widowControl/>
              <w:spacing w:line="240" w:lineRule="auto"/>
              <w:ind w:firstLine="0" w:firstLineChars="0"/>
              <w:jc w:val="center"/>
              <w:textAlignment w:val="bottom"/>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园地</w:t>
            </w:r>
          </w:p>
        </w:tc>
        <w:tc>
          <w:tcPr>
            <w:tcW w:w="1187" w:type="pct"/>
            <w:vAlign w:val="center"/>
          </w:tcPr>
          <w:p w14:paraId="6364A39C">
            <w:pPr>
              <w:widowControl/>
              <w:spacing w:line="240" w:lineRule="auto"/>
              <w:ind w:firstLine="0" w:firstLineChars="0"/>
              <w:jc w:val="center"/>
              <w:textAlignment w:val="bottom"/>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243.49</w:t>
            </w:r>
          </w:p>
        </w:tc>
        <w:tc>
          <w:tcPr>
            <w:tcW w:w="1220" w:type="pct"/>
            <w:vAlign w:val="center"/>
          </w:tcPr>
          <w:p w14:paraId="26E58AD7">
            <w:pPr>
              <w:spacing w:line="240" w:lineRule="auto"/>
              <w:ind w:firstLine="0" w:firstLineChars="0"/>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8.82%</w:t>
            </w:r>
          </w:p>
        </w:tc>
      </w:tr>
      <w:tr w14:paraId="42EA423F">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406" w:type="pct"/>
            <w:vAlign w:val="center"/>
          </w:tcPr>
          <w:p w14:paraId="1D7D32C7">
            <w:pPr>
              <w:spacing w:line="240" w:lineRule="auto"/>
              <w:ind w:firstLine="0" w:firstLineChars="0"/>
              <w:jc w:val="center"/>
              <w:rPr>
                <w:rFonts w:ascii="Times New Roman" w:hAnsi="Times New Roman" w:eastAsia="宋体" w:cs="Times New Roman"/>
                <w:caps/>
                <w:color w:val="000000"/>
                <w:sz w:val="21"/>
                <w:szCs w:val="21"/>
              </w:rPr>
            </w:pPr>
            <w:r>
              <w:rPr>
                <w:rFonts w:ascii="Times New Roman" w:hAnsi="Times New Roman" w:eastAsia="宋体" w:cs="Times New Roman"/>
                <w:caps/>
                <w:color w:val="000000"/>
                <w:sz w:val="21"/>
                <w:szCs w:val="21"/>
              </w:rPr>
              <w:t>灌丛生态系统</w:t>
            </w:r>
          </w:p>
        </w:tc>
        <w:tc>
          <w:tcPr>
            <w:tcW w:w="1187" w:type="pct"/>
            <w:vAlign w:val="center"/>
          </w:tcPr>
          <w:p w14:paraId="6711AFB1">
            <w:pPr>
              <w:widowControl/>
              <w:spacing w:line="240" w:lineRule="auto"/>
              <w:ind w:firstLine="0" w:firstLineChars="0"/>
              <w:jc w:val="center"/>
              <w:textAlignment w:val="bottom"/>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稀疏灌丛</w:t>
            </w:r>
          </w:p>
        </w:tc>
        <w:tc>
          <w:tcPr>
            <w:tcW w:w="1187" w:type="pct"/>
            <w:vAlign w:val="center"/>
          </w:tcPr>
          <w:p w14:paraId="2C8E0A5E">
            <w:pPr>
              <w:widowControl/>
              <w:spacing w:line="240" w:lineRule="auto"/>
              <w:ind w:firstLine="0" w:firstLineChars="0"/>
              <w:jc w:val="center"/>
              <w:textAlignment w:val="bottom"/>
              <w:rPr>
                <w:rFonts w:ascii="Times New Roman" w:hAnsi="Times New Roman" w:eastAsia="宋体" w:cs="Times New Roman"/>
                <w:color w:val="000000"/>
                <w:sz w:val="21"/>
                <w:szCs w:val="21"/>
              </w:rPr>
            </w:pPr>
            <w:bookmarkStart w:id="334" w:name="OLE_LINK34"/>
            <w:r>
              <w:rPr>
                <w:rFonts w:ascii="Times New Roman" w:hAnsi="Times New Roman" w:eastAsia="宋体" w:cs="Times New Roman"/>
                <w:color w:val="000000"/>
                <w:sz w:val="21"/>
                <w:szCs w:val="21"/>
              </w:rPr>
              <w:t>60.25</w:t>
            </w:r>
            <w:bookmarkEnd w:id="334"/>
          </w:p>
        </w:tc>
        <w:tc>
          <w:tcPr>
            <w:tcW w:w="1220" w:type="pct"/>
            <w:vAlign w:val="center"/>
          </w:tcPr>
          <w:p w14:paraId="603095A8">
            <w:pPr>
              <w:widowControl/>
              <w:spacing w:line="240" w:lineRule="auto"/>
              <w:ind w:firstLine="0" w:firstLineChars="0"/>
              <w:jc w:val="center"/>
              <w:textAlignment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2.18%</w:t>
            </w:r>
          </w:p>
        </w:tc>
      </w:tr>
      <w:bookmarkEnd w:id="333"/>
      <w:tr w14:paraId="0A98A199">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trHeight w:val="287" w:hRule="atLeast"/>
          <w:jc w:val="center"/>
        </w:trPr>
        <w:tc>
          <w:tcPr>
            <w:tcW w:w="1406" w:type="pct"/>
            <w:vAlign w:val="center"/>
          </w:tcPr>
          <w:p w14:paraId="2FFC3A2A">
            <w:pPr>
              <w:spacing w:line="240" w:lineRule="auto"/>
              <w:ind w:firstLine="0" w:firstLineChars="0"/>
              <w:jc w:val="center"/>
              <w:rPr>
                <w:rFonts w:ascii="Times New Roman" w:hAnsi="Times New Roman" w:eastAsia="宋体" w:cs="Times New Roman"/>
                <w:caps/>
                <w:color w:val="000000"/>
                <w:sz w:val="21"/>
                <w:szCs w:val="21"/>
              </w:rPr>
            </w:pPr>
            <w:r>
              <w:rPr>
                <w:rFonts w:ascii="Times New Roman" w:hAnsi="Times New Roman" w:eastAsia="宋体" w:cs="Times New Roman"/>
                <w:caps/>
                <w:color w:val="000000"/>
                <w:sz w:val="21"/>
                <w:szCs w:val="21"/>
              </w:rPr>
              <w:t>森林生态系统</w:t>
            </w:r>
          </w:p>
        </w:tc>
        <w:tc>
          <w:tcPr>
            <w:tcW w:w="1187" w:type="pct"/>
            <w:vAlign w:val="center"/>
          </w:tcPr>
          <w:p w14:paraId="7A501779">
            <w:pPr>
              <w:widowControl/>
              <w:spacing w:line="240" w:lineRule="auto"/>
              <w:ind w:firstLine="0" w:firstLineChars="0"/>
              <w:jc w:val="center"/>
              <w:textAlignment w:val="bottom"/>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阔叶林</w:t>
            </w:r>
          </w:p>
        </w:tc>
        <w:tc>
          <w:tcPr>
            <w:tcW w:w="1187" w:type="pct"/>
            <w:vAlign w:val="center"/>
          </w:tcPr>
          <w:p w14:paraId="6DA18254">
            <w:pPr>
              <w:widowControl/>
              <w:spacing w:line="240" w:lineRule="auto"/>
              <w:ind w:firstLine="0" w:firstLineChars="0"/>
              <w:jc w:val="center"/>
              <w:textAlignment w:val="bottom"/>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150.98</w:t>
            </w:r>
          </w:p>
        </w:tc>
        <w:tc>
          <w:tcPr>
            <w:tcW w:w="1220" w:type="pct"/>
            <w:vAlign w:val="center"/>
          </w:tcPr>
          <w:p w14:paraId="6811B6A4">
            <w:pPr>
              <w:spacing w:line="240" w:lineRule="auto"/>
              <w:ind w:firstLine="0" w:firstLineChars="0"/>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5.47%</w:t>
            </w:r>
          </w:p>
        </w:tc>
      </w:tr>
      <w:tr w14:paraId="56EEF772">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406" w:type="pct"/>
            <w:vAlign w:val="center"/>
          </w:tcPr>
          <w:p w14:paraId="1C7C3344">
            <w:pPr>
              <w:spacing w:line="240" w:lineRule="auto"/>
              <w:ind w:firstLine="0" w:firstLineChars="0"/>
              <w:jc w:val="center"/>
              <w:rPr>
                <w:rFonts w:ascii="Times New Roman" w:hAnsi="Times New Roman" w:eastAsia="宋体" w:cs="Times New Roman"/>
                <w:caps/>
                <w:color w:val="000000"/>
                <w:sz w:val="21"/>
                <w:szCs w:val="21"/>
              </w:rPr>
            </w:pPr>
            <w:r>
              <w:rPr>
                <w:rFonts w:ascii="Times New Roman" w:hAnsi="Times New Roman" w:eastAsia="宋体" w:cs="Times New Roman"/>
                <w:caps/>
                <w:color w:val="000000"/>
                <w:sz w:val="21"/>
                <w:szCs w:val="21"/>
              </w:rPr>
              <w:t>草地生态系统</w:t>
            </w:r>
          </w:p>
        </w:tc>
        <w:tc>
          <w:tcPr>
            <w:tcW w:w="1187" w:type="pct"/>
            <w:vAlign w:val="center"/>
          </w:tcPr>
          <w:p w14:paraId="63C77285">
            <w:pPr>
              <w:widowControl/>
              <w:spacing w:line="240" w:lineRule="auto"/>
              <w:ind w:firstLine="0" w:firstLineChars="0"/>
              <w:jc w:val="center"/>
              <w:textAlignment w:val="bottom"/>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稀疏草地</w:t>
            </w:r>
          </w:p>
        </w:tc>
        <w:tc>
          <w:tcPr>
            <w:tcW w:w="1187" w:type="pct"/>
            <w:vAlign w:val="center"/>
          </w:tcPr>
          <w:p w14:paraId="758148B5">
            <w:pPr>
              <w:widowControl/>
              <w:spacing w:line="240" w:lineRule="auto"/>
              <w:ind w:firstLine="0" w:firstLineChars="0"/>
              <w:jc w:val="center"/>
              <w:textAlignment w:val="bottom"/>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226.43</w:t>
            </w:r>
          </w:p>
        </w:tc>
        <w:tc>
          <w:tcPr>
            <w:tcW w:w="1220" w:type="pct"/>
            <w:vAlign w:val="center"/>
          </w:tcPr>
          <w:p w14:paraId="7BCF3346">
            <w:pPr>
              <w:spacing w:line="240" w:lineRule="auto"/>
              <w:ind w:firstLine="0" w:firstLineChars="0"/>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8.21%</w:t>
            </w:r>
          </w:p>
        </w:tc>
      </w:tr>
      <w:tr w14:paraId="68790ED1">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406" w:type="pct"/>
            <w:vAlign w:val="center"/>
          </w:tcPr>
          <w:p w14:paraId="2897A35D">
            <w:pPr>
              <w:spacing w:line="240" w:lineRule="auto"/>
              <w:ind w:firstLine="0" w:firstLineChars="0"/>
              <w:jc w:val="center"/>
              <w:rPr>
                <w:rFonts w:ascii="Times New Roman" w:hAnsi="Times New Roman" w:eastAsia="宋体" w:cs="Times New Roman"/>
                <w:caps/>
                <w:color w:val="000000"/>
                <w:sz w:val="21"/>
                <w:szCs w:val="21"/>
              </w:rPr>
            </w:pPr>
            <w:r>
              <w:rPr>
                <w:rFonts w:ascii="Times New Roman" w:hAnsi="Times New Roman" w:eastAsia="宋体" w:cs="Times New Roman"/>
                <w:caps/>
                <w:color w:val="000000"/>
                <w:sz w:val="21"/>
                <w:szCs w:val="21"/>
              </w:rPr>
              <w:t>湿地生态系统</w:t>
            </w:r>
          </w:p>
        </w:tc>
        <w:tc>
          <w:tcPr>
            <w:tcW w:w="1187" w:type="pct"/>
            <w:vAlign w:val="center"/>
          </w:tcPr>
          <w:p w14:paraId="5C62DD2F">
            <w:pPr>
              <w:widowControl/>
              <w:spacing w:line="240" w:lineRule="auto"/>
              <w:ind w:firstLine="0" w:firstLineChars="0"/>
              <w:jc w:val="center"/>
              <w:textAlignment w:val="bottom"/>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河流</w:t>
            </w:r>
          </w:p>
        </w:tc>
        <w:tc>
          <w:tcPr>
            <w:tcW w:w="1187" w:type="pct"/>
            <w:vAlign w:val="center"/>
          </w:tcPr>
          <w:p w14:paraId="57CC28F8">
            <w:pPr>
              <w:widowControl/>
              <w:spacing w:line="240" w:lineRule="auto"/>
              <w:ind w:firstLine="0" w:firstLineChars="0"/>
              <w:jc w:val="center"/>
              <w:textAlignment w:val="bottom"/>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3.54</w:t>
            </w:r>
          </w:p>
        </w:tc>
        <w:tc>
          <w:tcPr>
            <w:tcW w:w="1220" w:type="pct"/>
            <w:vAlign w:val="center"/>
          </w:tcPr>
          <w:p w14:paraId="4E4C8437">
            <w:pPr>
              <w:spacing w:line="240" w:lineRule="auto"/>
              <w:ind w:firstLine="0" w:firstLineChars="0"/>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0.13%</w:t>
            </w:r>
          </w:p>
        </w:tc>
      </w:tr>
      <w:tr w14:paraId="24D092AE">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406" w:type="pct"/>
            <w:vMerge w:val="restart"/>
            <w:vAlign w:val="center"/>
          </w:tcPr>
          <w:p w14:paraId="073A43CB">
            <w:pPr>
              <w:spacing w:line="240" w:lineRule="auto"/>
              <w:ind w:firstLine="0" w:firstLineChars="0"/>
              <w:jc w:val="center"/>
              <w:rPr>
                <w:rFonts w:ascii="Times New Roman" w:hAnsi="Times New Roman" w:eastAsia="宋体" w:cs="Times New Roman"/>
                <w:caps/>
                <w:color w:val="000000"/>
                <w:sz w:val="21"/>
                <w:szCs w:val="21"/>
              </w:rPr>
            </w:pPr>
            <w:r>
              <w:rPr>
                <w:rFonts w:ascii="Times New Roman" w:hAnsi="Times New Roman" w:eastAsia="宋体" w:cs="Times New Roman"/>
                <w:caps/>
                <w:color w:val="000000"/>
                <w:sz w:val="21"/>
                <w:szCs w:val="21"/>
              </w:rPr>
              <w:t>城镇生态系统</w:t>
            </w:r>
          </w:p>
        </w:tc>
        <w:tc>
          <w:tcPr>
            <w:tcW w:w="1187" w:type="pct"/>
            <w:vAlign w:val="center"/>
          </w:tcPr>
          <w:p w14:paraId="61476A62">
            <w:pPr>
              <w:widowControl/>
              <w:spacing w:line="240" w:lineRule="auto"/>
              <w:ind w:firstLine="0" w:firstLineChars="0"/>
              <w:jc w:val="center"/>
              <w:textAlignment w:val="bottom"/>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居住地</w:t>
            </w:r>
          </w:p>
        </w:tc>
        <w:tc>
          <w:tcPr>
            <w:tcW w:w="1187" w:type="pct"/>
            <w:vAlign w:val="center"/>
          </w:tcPr>
          <w:p w14:paraId="0BC90ED1">
            <w:pPr>
              <w:widowControl/>
              <w:spacing w:line="240" w:lineRule="auto"/>
              <w:ind w:firstLine="0" w:firstLineChars="0"/>
              <w:jc w:val="center"/>
              <w:textAlignment w:val="bottom"/>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426.25</w:t>
            </w:r>
          </w:p>
        </w:tc>
        <w:tc>
          <w:tcPr>
            <w:tcW w:w="1220" w:type="pct"/>
            <w:vAlign w:val="center"/>
          </w:tcPr>
          <w:p w14:paraId="3B4A19E7">
            <w:pPr>
              <w:spacing w:line="240" w:lineRule="auto"/>
              <w:ind w:firstLine="0" w:firstLineChars="0"/>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15.45%</w:t>
            </w:r>
          </w:p>
        </w:tc>
      </w:tr>
      <w:tr w14:paraId="5F376237">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406" w:type="pct"/>
            <w:vMerge w:val="continue"/>
            <w:vAlign w:val="center"/>
          </w:tcPr>
          <w:p w14:paraId="7097D5EE">
            <w:pPr>
              <w:spacing w:line="240" w:lineRule="auto"/>
              <w:ind w:firstLine="0" w:firstLineChars="0"/>
              <w:jc w:val="center"/>
              <w:rPr>
                <w:rFonts w:ascii="Times New Roman" w:hAnsi="Times New Roman" w:eastAsia="宋体" w:cs="Times New Roman"/>
                <w:caps/>
                <w:color w:val="000000"/>
                <w:sz w:val="21"/>
                <w:szCs w:val="21"/>
              </w:rPr>
            </w:pPr>
          </w:p>
        </w:tc>
        <w:tc>
          <w:tcPr>
            <w:tcW w:w="1187" w:type="pct"/>
            <w:vAlign w:val="center"/>
          </w:tcPr>
          <w:p w14:paraId="0BF6F88F">
            <w:pPr>
              <w:widowControl/>
              <w:spacing w:line="240" w:lineRule="auto"/>
              <w:ind w:firstLine="0" w:firstLineChars="0"/>
              <w:jc w:val="center"/>
              <w:textAlignment w:val="bottom"/>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工矿交通</w:t>
            </w:r>
          </w:p>
        </w:tc>
        <w:tc>
          <w:tcPr>
            <w:tcW w:w="1187" w:type="pct"/>
            <w:vAlign w:val="center"/>
          </w:tcPr>
          <w:p w14:paraId="1CAA4B69">
            <w:pPr>
              <w:widowControl/>
              <w:spacing w:line="240" w:lineRule="auto"/>
              <w:ind w:firstLine="0" w:firstLineChars="0"/>
              <w:jc w:val="center"/>
              <w:textAlignment w:val="bottom"/>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394.00</w:t>
            </w:r>
          </w:p>
        </w:tc>
        <w:tc>
          <w:tcPr>
            <w:tcW w:w="1220" w:type="pct"/>
            <w:vAlign w:val="center"/>
          </w:tcPr>
          <w:p w14:paraId="4C1BBD3B">
            <w:pPr>
              <w:spacing w:line="240" w:lineRule="auto"/>
              <w:ind w:firstLine="0" w:firstLineChars="0"/>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14.28%</w:t>
            </w:r>
          </w:p>
        </w:tc>
      </w:tr>
      <w:tr w14:paraId="45D1A3F8">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406" w:type="pct"/>
            <w:vAlign w:val="center"/>
          </w:tcPr>
          <w:p w14:paraId="6ABFB364">
            <w:pPr>
              <w:widowControl/>
              <w:spacing w:line="240" w:lineRule="auto"/>
              <w:ind w:firstLine="0" w:firstLineChars="0"/>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sz w:val="21"/>
                <w:szCs w:val="21"/>
              </w:rPr>
              <w:t>荒漠生态系统</w:t>
            </w:r>
          </w:p>
        </w:tc>
        <w:tc>
          <w:tcPr>
            <w:tcW w:w="1187" w:type="pct"/>
            <w:vAlign w:val="center"/>
          </w:tcPr>
          <w:p w14:paraId="5751F43E">
            <w:pPr>
              <w:widowControl/>
              <w:spacing w:line="240" w:lineRule="auto"/>
              <w:ind w:firstLine="0" w:firstLineChars="0"/>
              <w:jc w:val="center"/>
              <w:textAlignment w:val="bottom"/>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盐碱地</w:t>
            </w:r>
          </w:p>
        </w:tc>
        <w:tc>
          <w:tcPr>
            <w:tcW w:w="1187" w:type="pct"/>
            <w:vAlign w:val="center"/>
          </w:tcPr>
          <w:p w14:paraId="7E13E475">
            <w:pPr>
              <w:widowControl/>
              <w:spacing w:line="240" w:lineRule="auto"/>
              <w:ind w:firstLine="0" w:firstLineChars="0"/>
              <w:jc w:val="center"/>
              <w:textAlignment w:val="bottom"/>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358.23</w:t>
            </w:r>
          </w:p>
        </w:tc>
        <w:tc>
          <w:tcPr>
            <w:tcW w:w="1220" w:type="pct"/>
            <w:vAlign w:val="center"/>
          </w:tcPr>
          <w:p w14:paraId="5C3058F5">
            <w:pPr>
              <w:spacing w:line="240" w:lineRule="auto"/>
              <w:ind w:firstLine="0" w:firstLineChars="0"/>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12.98%</w:t>
            </w:r>
          </w:p>
        </w:tc>
      </w:tr>
      <w:tr w14:paraId="14E47A9F">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2593" w:type="pct"/>
            <w:gridSpan w:val="2"/>
            <w:vAlign w:val="center"/>
          </w:tcPr>
          <w:p w14:paraId="168C2954">
            <w:pPr>
              <w:widowControl/>
              <w:spacing w:line="240" w:lineRule="auto"/>
              <w:ind w:firstLine="0" w:firstLineChars="0"/>
              <w:jc w:val="center"/>
              <w:textAlignment w:val="bottom"/>
              <w:rPr>
                <w:rFonts w:ascii="Times New Roman" w:hAnsi="Times New Roman" w:eastAsia="宋体" w:cs="Times New Roman"/>
                <w:color w:val="000000"/>
                <w:sz w:val="21"/>
                <w:szCs w:val="21"/>
              </w:rPr>
            </w:pPr>
            <w:r>
              <w:rPr>
                <w:rFonts w:ascii="Times New Roman" w:hAnsi="Times New Roman" w:eastAsia="宋体" w:cs="Times New Roman"/>
                <w:caps/>
                <w:color w:val="000000"/>
                <w:sz w:val="21"/>
                <w:szCs w:val="21"/>
              </w:rPr>
              <w:t>合计</w:t>
            </w:r>
          </w:p>
        </w:tc>
        <w:tc>
          <w:tcPr>
            <w:tcW w:w="1187" w:type="pct"/>
            <w:vAlign w:val="center"/>
          </w:tcPr>
          <w:p w14:paraId="1A1A32E4">
            <w:pPr>
              <w:widowControl/>
              <w:spacing w:line="240" w:lineRule="auto"/>
              <w:ind w:firstLine="0" w:firstLineChars="0"/>
              <w:jc w:val="center"/>
              <w:textAlignment w:val="bottom"/>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2759.24</w:t>
            </w:r>
          </w:p>
        </w:tc>
        <w:tc>
          <w:tcPr>
            <w:tcW w:w="1220" w:type="pct"/>
            <w:vAlign w:val="center"/>
          </w:tcPr>
          <w:p w14:paraId="7A1F1138">
            <w:pPr>
              <w:spacing w:line="240" w:lineRule="auto"/>
              <w:ind w:firstLine="0" w:firstLineChars="0"/>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100.00%</w:t>
            </w:r>
          </w:p>
        </w:tc>
      </w:tr>
    </w:tbl>
    <w:p w14:paraId="1C40E12F">
      <w:pPr>
        <w:spacing w:line="240" w:lineRule="auto"/>
        <w:ind w:firstLine="0" w:firstLineChars="0"/>
        <w:rPr>
          <w:rFonts w:ascii="Times New Roman" w:hAnsi="Times New Roman" w:eastAsia="宋体" w:cs="Times New Roman"/>
          <w:color w:val="000000"/>
          <w:sz w:val="21"/>
          <w:szCs w:val="24"/>
        </w:rPr>
      </w:pPr>
    </w:p>
    <w:p w14:paraId="000B7D21">
      <w:pPr>
        <w:adjustRightInd w:val="0"/>
        <w:spacing w:line="300" w:lineRule="auto"/>
        <w:ind w:firstLine="472" w:firstLineChars="200"/>
        <w:rPr>
          <w:rFonts w:ascii="Times New Roman" w:hAnsi="Times New Roman" w:eastAsia="宋体" w:cs="Times New Roman"/>
          <w:color w:val="000000"/>
          <w:spacing w:val="-2"/>
          <w:sz w:val="24"/>
          <w:szCs w:val="24"/>
        </w:rPr>
      </w:pPr>
      <w:r>
        <w:rPr>
          <w:rFonts w:ascii="Times New Roman" w:hAnsi="Times New Roman" w:eastAsia="宋体" w:cs="Times New Roman"/>
          <w:color w:val="000000"/>
          <w:spacing w:val="-2"/>
          <w:sz w:val="24"/>
          <w:szCs w:val="24"/>
        </w:rPr>
        <w:t>由表2.4-1可以看出，</w:t>
      </w:r>
      <w:r>
        <w:rPr>
          <w:rFonts w:ascii="Times New Roman" w:hAnsi="Times New Roman" w:eastAsia="宋体" w:cs="Times New Roman"/>
          <w:color w:val="000000"/>
          <w:spacing w:val="-2"/>
          <w:sz w:val="24"/>
          <w:szCs w:val="22"/>
        </w:rPr>
        <w:t>拟建公路评价区域生态系统类型以农田生态系统为主，面积为</w:t>
      </w:r>
      <w:r>
        <w:rPr>
          <w:rFonts w:ascii="Times New Roman" w:hAnsi="Times New Roman" w:eastAsia="宋体" w:cs="Times New Roman"/>
          <w:color w:val="000000"/>
          <w:kern w:val="0"/>
          <w:sz w:val="24"/>
          <w:szCs w:val="22"/>
          <w:lang w:bidi="ar"/>
        </w:rPr>
        <w:t>1139.56</w:t>
      </w:r>
      <w:r>
        <w:rPr>
          <w:rFonts w:ascii="Times New Roman" w:hAnsi="Times New Roman" w:eastAsia="宋体" w:cs="Times New Roman"/>
          <w:color w:val="000000"/>
          <w:spacing w:val="-2"/>
          <w:sz w:val="24"/>
          <w:szCs w:val="22"/>
        </w:rPr>
        <w:t>hm</w:t>
      </w:r>
      <w:r>
        <w:rPr>
          <w:rFonts w:ascii="Times New Roman" w:hAnsi="Times New Roman" w:eastAsia="宋体" w:cs="Times New Roman"/>
          <w:color w:val="000000"/>
          <w:spacing w:val="-2"/>
          <w:sz w:val="24"/>
          <w:szCs w:val="22"/>
          <w:vertAlign w:val="superscript"/>
        </w:rPr>
        <w:t>2</w:t>
      </w:r>
      <w:r>
        <w:rPr>
          <w:rFonts w:ascii="Times New Roman" w:hAnsi="Times New Roman" w:eastAsia="宋体" w:cs="Times New Roman"/>
          <w:color w:val="000000"/>
          <w:spacing w:val="-2"/>
          <w:sz w:val="24"/>
          <w:szCs w:val="22"/>
        </w:rPr>
        <w:t>，占总面积的比例最大，为41.3%；城镇生态系统比重居第二位，面积为</w:t>
      </w:r>
      <w:r>
        <w:rPr>
          <w:rFonts w:ascii="Times New Roman" w:hAnsi="Times New Roman" w:eastAsia="宋体" w:cs="Times New Roman"/>
          <w:color w:val="000000"/>
          <w:kern w:val="0"/>
          <w:sz w:val="24"/>
          <w:szCs w:val="22"/>
          <w:lang w:bidi="ar"/>
        </w:rPr>
        <w:t>820.25</w:t>
      </w:r>
      <w:r>
        <w:rPr>
          <w:rFonts w:ascii="Times New Roman" w:hAnsi="Times New Roman" w:eastAsia="宋体" w:cs="Times New Roman"/>
          <w:color w:val="000000"/>
          <w:spacing w:val="-2"/>
          <w:sz w:val="24"/>
          <w:szCs w:val="22"/>
        </w:rPr>
        <w:t>hm</w:t>
      </w:r>
      <w:r>
        <w:rPr>
          <w:rFonts w:ascii="Times New Roman" w:hAnsi="Times New Roman" w:eastAsia="宋体" w:cs="Times New Roman"/>
          <w:color w:val="000000"/>
          <w:spacing w:val="-2"/>
          <w:sz w:val="24"/>
          <w:szCs w:val="22"/>
          <w:vertAlign w:val="superscript"/>
        </w:rPr>
        <w:t>2</w:t>
      </w:r>
      <w:r>
        <w:rPr>
          <w:rFonts w:ascii="Times New Roman" w:hAnsi="Times New Roman" w:eastAsia="宋体" w:cs="Times New Roman"/>
          <w:color w:val="000000"/>
          <w:spacing w:val="-2"/>
          <w:sz w:val="24"/>
          <w:szCs w:val="22"/>
        </w:rPr>
        <w:t>，占总面积比例为29.73%；森林、灌丛、草地、荒漠、湿地生态系统所占项目评价区域面积较小，分别为</w:t>
      </w:r>
      <w:r>
        <w:rPr>
          <w:rFonts w:ascii="Times New Roman" w:hAnsi="Times New Roman" w:eastAsia="宋体" w:cs="Times New Roman"/>
          <w:color w:val="000000"/>
          <w:sz w:val="24"/>
          <w:szCs w:val="22"/>
        </w:rPr>
        <w:t>150.98</w:t>
      </w:r>
      <w:r>
        <w:rPr>
          <w:rFonts w:ascii="Times New Roman" w:hAnsi="Times New Roman" w:eastAsia="宋体" w:cs="Times New Roman"/>
          <w:color w:val="000000"/>
          <w:spacing w:val="-2"/>
          <w:sz w:val="24"/>
          <w:szCs w:val="22"/>
        </w:rPr>
        <w:t>hm</w:t>
      </w:r>
      <w:r>
        <w:rPr>
          <w:rFonts w:ascii="Times New Roman" w:hAnsi="Times New Roman" w:eastAsia="宋体" w:cs="Times New Roman"/>
          <w:color w:val="000000"/>
          <w:spacing w:val="-2"/>
          <w:sz w:val="24"/>
          <w:szCs w:val="22"/>
          <w:vertAlign w:val="superscript"/>
        </w:rPr>
        <w:t>2</w:t>
      </w:r>
      <w:r>
        <w:rPr>
          <w:rFonts w:ascii="Times New Roman" w:hAnsi="Times New Roman" w:eastAsia="宋体" w:cs="Times New Roman"/>
          <w:color w:val="000000"/>
          <w:spacing w:val="-2"/>
          <w:sz w:val="24"/>
          <w:szCs w:val="22"/>
        </w:rPr>
        <w:t>、</w:t>
      </w:r>
      <w:r>
        <w:rPr>
          <w:rFonts w:ascii="Times New Roman" w:hAnsi="Times New Roman" w:eastAsia="宋体" w:cs="Times New Roman"/>
          <w:color w:val="000000"/>
          <w:sz w:val="24"/>
          <w:szCs w:val="22"/>
        </w:rPr>
        <w:t>60.25</w:t>
      </w:r>
      <w:r>
        <w:rPr>
          <w:rFonts w:ascii="Times New Roman" w:hAnsi="Times New Roman" w:eastAsia="宋体" w:cs="Times New Roman"/>
          <w:color w:val="000000"/>
          <w:spacing w:val="-2"/>
          <w:sz w:val="24"/>
          <w:szCs w:val="22"/>
        </w:rPr>
        <w:t>hm</w:t>
      </w:r>
      <w:r>
        <w:rPr>
          <w:rFonts w:ascii="Times New Roman" w:hAnsi="Times New Roman" w:eastAsia="宋体" w:cs="Times New Roman"/>
          <w:color w:val="000000"/>
          <w:spacing w:val="-2"/>
          <w:sz w:val="24"/>
          <w:szCs w:val="22"/>
          <w:vertAlign w:val="superscript"/>
        </w:rPr>
        <w:t>2</w:t>
      </w:r>
      <w:r>
        <w:rPr>
          <w:rFonts w:ascii="Times New Roman" w:hAnsi="Times New Roman" w:eastAsia="宋体" w:cs="Times New Roman"/>
          <w:color w:val="000000"/>
          <w:spacing w:val="-2"/>
          <w:sz w:val="24"/>
          <w:szCs w:val="22"/>
        </w:rPr>
        <w:t>、226.43hm</w:t>
      </w:r>
      <w:r>
        <w:rPr>
          <w:rFonts w:ascii="Times New Roman" w:hAnsi="Times New Roman" w:eastAsia="宋体" w:cs="Times New Roman"/>
          <w:color w:val="000000"/>
          <w:spacing w:val="-2"/>
          <w:sz w:val="24"/>
          <w:szCs w:val="22"/>
          <w:vertAlign w:val="superscript"/>
        </w:rPr>
        <w:t>2</w:t>
      </w:r>
      <w:r>
        <w:rPr>
          <w:rFonts w:ascii="Times New Roman" w:hAnsi="Times New Roman" w:eastAsia="宋体" w:cs="Times New Roman"/>
          <w:color w:val="000000"/>
          <w:spacing w:val="-2"/>
          <w:sz w:val="24"/>
          <w:szCs w:val="22"/>
        </w:rPr>
        <w:t>、358.23hm</w:t>
      </w:r>
      <w:r>
        <w:rPr>
          <w:rFonts w:ascii="Times New Roman" w:hAnsi="Times New Roman" w:eastAsia="宋体" w:cs="Times New Roman"/>
          <w:color w:val="000000"/>
          <w:spacing w:val="-2"/>
          <w:sz w:val="24"/>
          <w:szCs w:val="22"/>
          <w:vertAlign w:val="superscript"/>
        </w:rPr>
        <w:t>2</w:t>
      </w:r>
      <w:r>
        <w:rPr>
          <w:rFonts w:ascii="Times New Roman" w:hAnsi="Times New Roman" w:eastAsia="宋体" w:cs="Times New Roman"/>
          <w:color w:val="000000"/>
          <w:spacing w:val="-2"/>
          <w:sz w:val="24"/>
          <w:szCs w:val="22"/>
        </w:rPr>
        <w:t>、</w:t>
      </w:r>
      <w:r>
        <w:rPr>
          <w:rFonts w:ascii="Times New Roman" w:hAnsi="Times New Roman" w:eastAsia="宋体" w:cs="Times New Roman"/>
          <w:color w:val="000000"/>
          <w:sz w:val="24"/>
          <w:szCs w:val="22"/>
        </w:rPr>
        <w:t>3.54</w:t>
      </w:r>
      <w:r>
        <w:rPr>
          <w:rFonts w:ascii="Times New Roman" w:hAnsi="Times New Roman" w:eastAsia="宋体" w:cs="Times New Roman"/>
          <w:color w:val="000000"/>
          <w:spacing w:val="-2"/>
          <w:sz w:val="24"/>
          <w:szCs w:val="22"/>
        </w:rPr>
        <w:t>hm</w:t>
      </w:r>
      <w:r>
        <w:rPr>
          <w:rFonts w:ascii="Times New Roman" w:hAnsi="Times New Roman" w:eastAsia="宋体" w:cs="Times New Roman"/>
          <w:color w:val="000000"/>
          <w:spacing w:val="-2"/>
          <w:sz w:val="24"/>
          <w:szCs w:val="22"/>
          <w:vertAlign w:val="superscript"/>
        </w:rPr>
        <w:t>2</w:t>
      </w:r>
      <w:r>
        <w:rPr>
          <w:rFonts w:ascii="Times New Roman" w:hAnsi="Times New Roman" w:eastAsia="宋体" w:cs="Times New Roman"/>
          <w:color w:val="000000"/>
          <w:spacing w:val="-2"/>
          <w:sz w:val="24"/>
          <w:szCs w:val="22"/>
        </w:rPr>
        <w:t>，占总面积的比例分别为7.66%、7.66%、8.21%、12.98%和0.13%。</w:t>
      </w:r>
      <w:r>
        <w:rPr>
          <w:rFonts w:ascii="Times New Roman" w:hAnsi="Times New Roman" w:eastAsia="宋体" w:cs="Times New Roman"/>
          <w:color w:val="000000"/>
          <w:spacing w:val="-2"/>
          <w:sz w:val="24"/>
          <w:szCs w:val="24"/>
        </w:rPr>
        <w:t xml:space="preserve"> </w:t>
      </w:r>
    </w:p>
    <w:p w14:paraId="3C72D752">
      <w:pPr>
        <w:spacing w:line="300" w:lineRule="auto"/>
        <w:ind w:firstLine="480" w:firstLineChars="200"/>
        <w:rPr>
          <w:rFonts w:hint="default" w:ascii="Times New Roman" w:hAnsi="Times New Roman" w:eastAsia="宋体" w:cs="Times New Roman"/>
          <w:bCs/>
          <w:color w:val="000000"/>
          <w:sz w:val="24"/>
          <w:szCs w:val="20"/>
        </w:rPr>
      </w:pPr>
      <w:r>
        <w:rPr>
          <w:rFonts w:hint="eastAsia" w:ascii="Times New Roman" w:hAnsi="Times New Roman" w:eastAsia="宋体" w:cs="Times New Roman"/>
          <w:color w:val="000000"/>
          <w:sz w:val="24"/>
          <w:szCs w:val="20"/>
          <w:lang w:val="en-US" w:eastAsia="zh-CN"/>
        </w:rPr>
        <w:t xml:space="preserve">1. </w:t>
      </w:r>
      <w:r>
        <w:rPr>
          <w:rFonts w:hint="default" w:ascii="Times New Roman" w:hAnsi="Times New Roman" w:eastAsia="宋体" w:cs="Times New Roman"/>
          <w:bCs/>
          <w:color w:val="000000"/>
          <w:sz w:val="24"/>
          <w:szCs w:val="20"/>
        </w:rPr>
        <w:t>森林生态系统</w:t>
      </w:r>
    </w:p>
    <w:p w14:paraId="1CBB2814">
      <w:pPr>
        <w:spacing w:line="300" w:lineRule="auto"/>
        <w:ind w:firstLine="480" w:firstLineChars="200"/>
        <w:rPr>
          <w:rFonts w:hint="default" w:ascii="Times New Roman" w:hAnsi="Times New Roman" w:eastAsia="宋体" w:cs="Times New Roman"/>
          <w:bCs/>
          <w:color w:val="000000"/>
          <w:sz w:val="24"/>
          <w:szCs w:val="20"/>
        </w:rPr>
      </w:pPr>
      <w:r>
        <w:rPr>
          <w:rFonts w:hint="default" w:ascii="Times New Roman" w:hAnsi="Times New Roman" w:eastAsia="宋体" w:cs="Times New Roman"/>
          <w:bCs/>
          <w:color w:val="000000"/>
          <w:sz w:val="24"/>
          <w:szCs w:val="20"/>
        </w:rPr>
        <w:t>评价区内森林生态系统主要为人工林，森林植被多为单层结构，垂直分层不明显，植物种类相对较少，根据现场调查及遥感解译结果可知，沿线森林生态系统主要分布于K19+000~终点路段老路两侧，以新疆杨、银白杨、榆树、杏树等适应干旱、盐碱环境的树种为主。生态服务功能为涵养水源、水土保持、维持生物多样性等。</w:t>
      </w:r>
    </w:p>
    <w:p w14:paraId="52FD3F16">
      <w:pPr>
        <w:spacing w:line="300" w:lineRule="auto"/>
        <w:ind w:firstLine="480" w:firstLineChars="200"/>
        <w:rPr>
          <w:rFonts w:hint="default" w:ascii="Times New Roman" w:hAnsi="Times New Roman" w:eastAsia="宋体" w:cs="Times New Roman"/>
          <w:bCs/>
          <w:color w:val="000000"/>
          <w:sz w:val="24"/>
          <w:szCs w:val="20"/>
        </w:rPr>
      </w:pPr>
      <w:r>
        <w:rPr>
          <w:rFonts w:hint="eastAsia" w:ascii="Times New Roman" w:hAnsi="Times New Roman" w:eastAsia="宋体" w:cs="Times New Roman"/>
          <w:bCs/>
          <w:color w:val="000000"/>
          <w:sz w:val="24"/>
          <w:szCs w:val="20"/>
          <w:lang w:val="en-US" w:eastAsia="zh-CN"/>
        </w:rPr>
        <w:t xml:space="preserve">2. </w:t>
      </w:r>
      <w:r>
        <w:rPr>
          <w:rFonts w:hint="default" w:ascii="Times New Roman" w:hAnsi="Times New Roman" w:eastAsia="宋体" w:cs="Times New Roman"/>
          <w:bCs/>
          <w:color w:val="000000"/>
          <w:sz w:val="24"/>
          <w:szCs w:val="20"/>
        </w:rPr>
        <w:t>灌丛生态系统</w:t>
      </w:r>
    </w:p>
    <w:p w14:paraId="586A1531">
      <w:pPr>
        <w:spacing w:line="300" w:lineRule="auto"/>
        <w:ind w:firstLine="480" w:firstLineChars="200"/>
        <w:rPr>
          <w:rFonts w:ascii="Times New Roman" w:hAnsi="Times New Roman" w:eastAsia="宋体" w:cs="Times New Roman"/>
          <w:bCs/>
          <w:color w:val="000000"/>
          <w:sz w:val="24"/>
          <w:szCs w:val="20"/>
        </w:rPr>
      </w:pPr>
      <w:r>
        <w:rPr>
          <w:rFonts w:hint="default" w:ascii="Times New Roman" w:hAnsi="Times New Roman" w:eastAsia="宋体" w:cs="Times New Roman"/>
          <w:bCs/>
          <w:color w:val="000000"/>
          <w:sz w:val="24"/>
          <w:szCs w:val="20"/>
        </w:rPr>
        <w:t>评价区内灌丛生态系统</w:t>
      </w:r>
      <w:r>
        <w:rPr>
          <w:rFonts w:hint="eastAsia" w:ascii="Times New Roman" w:hAnsi="Times New Roman" w:eastAsia="宋体" w:cs="Times New Roman"/>
          <w:bCs/>
          <w:color w:val="000000"/>
          <w:sz w:val="24"/>
          <w:szCs w:val="20"/>
          <w:lang w:eastAsia="zh-CN"/>
        </w:rPr>
        <w:t>以稀疏灌丛为主</w:t>
      </w:r>
      <w:r>
        <w:rPr>
          <w:rFonts w:hint="default" w:ascii="Times New Roman" w:hAnsi="Times New Roman" w:eastAsia="宋体" w:cs="Times New Roman"/>
          <w:bCs/>
          <w:color w:val="000000"/>
          <w:sz w:val="24"/>
          <w:szCs w:val="20"/>
        </w:rPr>
        <w:t>，根据现场调查及遥感解译结果可知，沿线灌丛生态系统主要分布于K11+000~K14+000路段，植物种类包括多枝柽柳、柽柳、琵</w:t>
      </w:r>
      <w:r>
        <w:rPr>
          <w:rFonts w:ascii="Times New Roman" w:hAnsi="Times New Roman" w:eastAsia="宋体" w:cs="Times New Roman"/>
          <w:bCs/>
          <w:color w:val="000000"/>
          <w:sz w:val="24"/>
          <w:szCs w:val="20"/>
        </w:rPr>
        <w:t>琶柴、沙拐枣、骆驼刺、盐爪爪等荒漠植被，可在盐碱化程度较高的土壤中生长，垂直结构上一般只有一个灌木层，水平结构上分布较为均匀，由于环境条件限制，植物种类和数量相对较少。生态服务功能为涵养水源、水土保持等。</w:t>
      </w:r>
    </w:p>
    <w:p w14:paraId="78BBEFB5">
      <w:pPr>
        <w:spacing w:line="300" w:lineRule="auto"/>
        <w:ind w:firstLine="480" w:firstLineChars="200"/>
        <w:rPr>
          <w:rFonts w:hint="default" w:ascii="Times New Roman" w:hAnsi="Times New Roman" w:eastAsia="宋体" w:cs="Times New Roman"/>
          <w:bCs/>
          <w:color w:val="000000"/>
          <w:sz w:val="24"/>
          <w:szCs w:val="20"/>
        </w:rPr>
      </w:pPr>
      <w:r>
        <w:rPr>
          <w:rFonts w:hint="eastAsia" w:ascii="Times New Roman" w:hAnsi="Times New Roman" w:eastAsia="宋体" w:cs="Times New Roman"/>
          <w:bCs/>
          <w:color w:val="000000"/>
          <w:sz w:val="24"/>
          <w:szCs w:val="20"/>
          <w:lang w:val="en-US" w:eastAsia="zh-CN"/>
        </w:rPr>
        <w:t xml:space="preserve">3. </w:t>
      </w:r>
      <w:r>
        <w:rPr>
          <w:rFonts w:hint="default" w:ascii="Times New Roman" w:hAnsi="Times New Roman" w:eastAsia="宋体" w:cs="Times New Roman"/>
          <w:bCs/>
          <w:color w:val="000000"/>
          <w:sz w:val="24"/>
          <w:szCs w:val="20"/>
        </w:rPr>
        <w:t>草地生态系统</w:t>
      </w:r>
    </w:p>
    <w:p w14:paraId="5CE7FD12">
      <w:pPr>
        <w:spacing w:line="300" w:lineRule="auto"/>
        <w:ind w:firstLine="480" w:firstLineChars="200"/>
        <w:rPr>
          <w:rFonts w:hint="default" w:ascii="Times New Roman" w:hAnsi="Times New Roman" w:eastAsia="宋体" w:cs="Times New Roman"/>
          <w:bCs/>
          <w:color w:val="000000"/>
          <w:sz w:val="24"/>
          <w:szCs w:val="20"/>
        </w:rPr>
      </w:pPr>
      <w:r>
        <w:rPr>
          <w:rFonts w:hint="default" w:ascii="Times New Roman" w:hAnsi="Times New Roman" w:eastAsia="宋体" w:cs="Times New Roman"/>
          <w:bCs/>
          <w:color w:val="000000"/>
          <w:sz w:val="24"/>
          <w:szCs w:val="20"/>
        </w:rPr>
        <w:t>评价区内草地生态系统内草本植物以芨芨草、碱蓬等多年生草本植物为主，主要分布在K4+100~K6+500路段，草地生态系统的主要生态服务功能为涵养水源、水土保持等。</w:t>
      </w:r>
    </w:p>
    <w:p w14:paraId="4AE4815E">
      <w:pPr>
        <w:spacing w:line="300" w:lineRule="auto"/>
        <w:ind w:firstLine="480" w:firstLineChars="200"/>
        <w:rPr>
          <w:rFonts w:hint="default" w:ascii="Times New Roman" w:hAnsi="Times New Roman" w:eastAsia="宋体" w:cs="Times New Roman"/>
          <w:bCs/>
          <w:color w:val="000000"/>
          <w:sz w:val="24"/>
          <w:szCs w:val="20"/>
        </w:rPr>
      </w:pPr>
      <w:r>
        <w:rPr>
          <w:rFonts w:hint="eastAsia" w:ascii="Times New Roman" w:hAnsi="Times New Roman" w:eastAsia="宋体" w:cs="Times New Roman"/>
          <w:bCs/>
          <w:color w:val="000000"/>
          <w:sz w:val="24"/>
          <w:szCs w:val="20"/>
          <w:lang w:val="en-US" w:eastAsia="zh-CN"/>
        </w:rPr>
        <w:t xml:space="preserve">4. </w:t>
      </w:r>
      <w:r>
        <w:rPr>
          <w:rFonts w:hint="default" w:ascii="Times New Roman" w:hAnsi="Times New Roman" w:eastAsia="宋体" w:cs="Times New Roman"/>
          <w:bCs/>
          <w:color w:val="000000"/>
          <w:sz w:val="24"/>
          <w:szCs w:val="20"/>
        </w:rPr>
        <w:t>荒漠生态系统</w:t>
      </w:r>
    </w:p>
    <w:p w14:paraId="3B43C738">
      <w:pPr>
        <w:spacing w:line="300" w:lineRule="auto"/>
        <w:ind w:firstLine="480" w:firstLineChars="200"/>
        <w:rPr>
          <w:rFonts w:hint="default" w:ascii="Times New Roman" w:hAnsi="Times New Roman" w:eastAsia="宋体" w:cs="Times New Roman"/>
          <w:bCs/>
          <w:color w:val="000000"/>
          <w:sz w:val="24"/>
          <w:szCs w:val="20"/>
        </w:rPr>
      </w:pPr>
      <w:r>
        <w:rPr>
          <w:rFonts w:hint="default" w:ascii="Times New Roman" w:hAnsi="Times New Roman" w:eastAsia="宋体" w:cs="Times New Roman"/>
          <w:bCs/>
          <w:color w:val="000000"/>
          <w:sz w:val="24"/>
          <w:szCs w:val="20"/>
        </w:rPr>
        <w:t>评价区内荒漠生态系统主要分布在拟建路线起点附近，具体为K0+000~K1+000路段，植物种类较少，群落结构简单，植被有天然及人工两种类型。天然植被：以荒漠植被为主，主要包括多枝柽柳、柽柳、琵琶柴、沙拐枣、骆驼刺、盐爪爪等；人工植被：沙地边缘有人工栽植的树木，种类有新疆杨、旱柳、沙棘等。因气温较低而不稳，降水时多时少，植被很不稳定。生态系统的主要生态服务功能为防风固沙、土壤保育、维护生物多样性等。</w:t>
      </w:r>
    </w:p>
    <w:p w14:paraId="323E818B">
      <w:pPr>
        <w:spacing w:line="300" w:lineRule="auto"/>
        <w:ind w:firstLine="480" w:firstLineChars="200"/>
        <w:rPr>
          <w:rFonts w:hint="default" w:ascii="Times New Roman" w:hAnsi="Times New Roman" w:eastAsia="宋体" w:cs="Times New Roman"/>
          <w:bCs/>
          <w:color w:val="000000"/>
          <w:sz w:val="24"/>
          <w:szCs w:val="20"/>
        </w:rPr>
      </w:pPr>
      <w:r>
        <w:rPr>
          <w:rFonts w:hint="eastAsia" w:ascii="Times New Roman" w:hAnsi="Times New Roman" w:eastAsia="宋体" w:cs="Times New Roman"/>
          <w:bCs/>
          <w:color w:val="000000"/>
          <w:sz w:val="24"/>
          <w:szCs w:val="20"/>
          <w:lang w:val="en-US" w:eastAsia="zh-CN"/>
        </w:rPr>
        <w:t xml:space="preserve">5. </w:t>
      </w:r>
      <w:r>
        <w:rPr>
          <w:rFonts w:hint="default" w:ascii="Times New Roman" w:hAnsi="Times New Roman" w:eastAsia="宋体" w:cs="Times New Roman"/>
          <w:bCs/>
          <w:color w:val="000000"/>
          <w:sz w:val="24"/>
          <w:szCs w:val="20"/>
        </w:rPr>
        <w:t>农田生态系统</w:t>
      </w:r>
    </w:p>
    <w:p w14:paraId="22FC6EF0">
      <w:pPr>
        <w:spacing w:line="300" w:lineRule="auto"/>
        <w:ind w:firstLine="480" w:firstLineChars="200"/>
        <w:rPr>
          <w:rFonts w:hint="default" w:ascii="Times New Roman" w:hAnsi="Times New Roman" w:eastAsia="宋体" w:cs="Times New Roman"/>
          <w:bCs/>
          <w:color w:val="000000"/>
          <w:sz w:val="24"/>
          <w:szCs w:val="20"/>
        </w:rPr>
      </w:pPr>
      <w:r>
        <w:rPr>
          <w:rFonts w:hint="default" w:ascii="Times New Roman" w:hAnsi="Times New Roman" w:eastAsia="宋体" w:cs="Times New Roman"/>
          <w:bCs/>
          <w:color w:val="000000"/>
          <w:sz w:val="24"/>
          <w:szCs w:val="20"/>
        </w:rPr>
        <w:t>评价区内农田生态系统多分布在平原地区，全线分布较广，主要为K1+100~K4+100、K6+500~K11+000、K19+000~K24+900、K25+200~终点路段。区域农田生态系统生物组分中的植物群落以栽培的小麦、玉米、油菜籽、棉花、杏、石榴和蔬菜等作物为主。区域农田生态系统的主要生态服务功能为农产品提供、水土保持、维护生物多样性，农田光热资源丰富，昼夜温差大，农田生态系统的质量较高。</w:t>
      </w:r>
    </w:p>
    <w:p w14:paraId="4938C4EE">
      <w:pPr>
        <w:spacing w:line="300" w:lineRule="auto"/>
        <w:ind w:firstLine="480" w:firstLineChars="200"/>
        <w:rPr>
          <w:rFonts w:hint="default" w:ascii="Times New Roman" w:hAnsi="Times New Roman" w:eastAsia="宋体" w:cs="Times New Roman"/>
          <w:bCs/>
          <w:color w:val="000000"/>
          <w:sz w:val="24"/>
          <w:szCs w:val="20"/>
        </w:rPr>
      </w:pPr>
      <w:r>
        <w:rPr>
          <w:rFonts w:hint="eastAsia" w:ascii="Times New Roman" w:hAnsi="Times New Roman" w:eastAsia="宋体" w:cs="Times New Roman"/>
          <w:bCs/>
          <w:color w:val="000000"/>
          <w:sz w:val="24"/>
          <w:szCs w:val="20"/>
          <w:lang w:val="en-US" w:eastAsia="zh-CN"/>
        </w:rPr>
        <w:t xml:space="preserve">6. </w:t>
      </w:r>
      <w:r>
        <w:rPr>
          <w:rFonts w:hint="default" w:ascii="Times New Roman" w:hAnsi="Times New Roman" w:eastAsia="宋体" w:cs="Times New Roman"/>
          <w:bCs/>
          <w:color w:val="000000"/>
          <w:sz w:val="24"/>
          <w:szCs w:val="20"/>
        </w:rPr>
        <w:t>湿地生态系统</w:t>
      </w:r>
    </w:p>
    <w:p w14:paraId="21E7ACD7">
      <w:pPr>
        <w:spacing w:line="300" w:lineRule="auto"/>
        <w:ind w:firstLine="480" w:firstLineChars="200"/>
        <w:rPr>
          <w:rFonts w:ascii="Times New Roman" w:hAnsi="Times New Roman" w:eastAsia="宋体" w:cs="Times New Roman"/>
          <w:bCs/>
          <w:color w:val="000000"/>
          <w:sz w:val="24"/>
          <w:szCs w:val="20"/>
        </w:rPr>
      </w:pPr>
      <w:r>
        <w:rPr>
          <w:rFonts w:ascii="Times New Roman" w:hAnsi="Times New Roman" w:eastAsia="宋体" w:cs="Times New Roman"/>
          <w:bCs/>
          <w:color w:val="000000"/>
          <w:sz w:val="24"/>
          <w:szCs w:val="20"/>
        </w:rPr>
        <w:t>评价区属于</w:t>
      </w:r>
      <w:r>
        <w:rPr>
          <w:rFonts w:hint="eastAsia" w:ascii="Times New Roman" w:hAnsi="Times New Roman" w:eastAsia="宋体" w:cs="Times New Roman"/>
          <w:bCs/>
          <w:color w:val="000000"/>
          <w:sz w:val="24"/>
          <w:szCs w:val="20"/>
          <w:lang w:val="en-US" w:eastAsia="zh-CN"/>
        </w:rPr>
        <w:t>水体1</w:t>
      </w:r>
      <w:r>
        <w:rPr>
          <w:rFonts w:ascii="Times New Roman" w:hAnsi="Times New Roman" w:eastAsia="宋体" w:cs="Times New Roman"/>
          <w:bCs/>
          <w:color w:val="000000"/>
          <w:sz w:val="24"/>
          <w:szCs w:val="20"/>
        </w:rPr>
        <w:t>流域，以冰雪融水及山区降水为主要补给来源。区内河流均为内陆河，流经区域地势平坦，主要河流为</w:t>
      </w:r>
      <w:r>
        <w:rPr>
          <w:rFonts w:hint="eastAsia" w:ascii="Times New Roman" w:hAnsi="Times New Roman" w:eastAsia="宋体" w:cs="Times New Roman"/>
          <w:bCs/>
          <w:color w:val="000000"/>
          <w:sz w:val="24"/>
          <w:szCs w:val="20"/>
          <w:lang w:val="en-US" w:eastAsia="zh-CN"/>
        </w:rPr>
        <w:t>水体1</w:t>
      </w:r>
      <w:r>
        <w:rPr>
          <w:rFonts w:ascii="Times New Roman" w:hAnsi="Times New Roman" w:eastAsia="宋体" w:cs="Times New Roman"/>
          <w:bCs/>
          <w:color w:val="000000"/>
          <w:sz w:val="24"/>
          <w:szCs w:val="20"/>
        </w:rPr>
        <w:t>、</w:t>
      </w:r>
      <w:r>
        <w:rPr>
          <w:rFonts w:hint="eastAsia" w:ascii="Times New Roman" w:hAnsi="Times New Roman" w:eastAsia="宋体" w:cs="Times New Roman"/>
          <w:bCs/>
          <w:color w:val="000000"/>
          <w:sz w:val="24"/>
          <w:szCs w:val="20"/>
          <w:lang w:val="en-US" w:eastAsia="zh-CN"/>
        </w:rPr>
        <w:t>水体2</w:t>
      </w:r>
      <w:r>
        <w:rPr>
          <w:rFonts w:ascii="Times New Roman" w:hAnsi="Times New Roman" w:eastAsia="宋体" w:cs="Times New Roman"/>
          <w:bCs/>
          <w:color w:val="000000"/>
          <w:sz w:val="24"/>
          <w:szCs w:val="20"/>
        </w:rPr>
        <w:t>等。评价区内湿地生态系统主要分布于</w:t>
      </w:r>
      <w:r>
        <w:rPr>
          <w:rFonts w:hint="eastAsia" w:ascii="Times New Roman" w:hAnsi="Times New Roman" w:eastAsia="宋体" w:cs="Times New Roman"/>
          <w:bCs/>
          <w:color w:val="000000"/>
          <w:sz w:val="24"/>
          <w:szCs w:val="20"/>
          <w:lang w:val="en-US" w:eastAsia="zh-CN"/>
        </w:rPr>
        <w:t>水体1</w:t>
      </w:r>
      <w:r>
        <w:rPr>
          <w:rFonts w:ascii="Times New Roman" w:hAnsi="Times New Roman" w:eastAsia="宋体" w:cs="Times New Roman"/>
          <w:bCs/>
          <w:color w:val="000000"/>
          <w:sz w:val="24"/>
          <w:szCs w:val="20"/>
        </w:rPr>
        <w:t>、</w:t>
      </w:r>
      <w:r>
        <w:rPr>
          <w:rFonts w:hint="eastAsia" w:ascii="Times New Roman" w:hAnsi="Times New Roman" w:eastAsia="宋体" w:cs="Times New Roman"/>
          <w:bCs/>
          <w:color w:val="000000"/>
          <w:sz w:val="24"/>
          <w:szCs w:val="20"/>
          <w:lang w:val="en-US" w:eastAsia="zh-CN"/>
        </w:rPr>
        <w:t>水体2</w:t>
      </w:r>
      <w:r>
        <w:rPr>
          <w:rFonts w:ascii="Times New Roman" w:hAnsi="Times New Roman" w:eastAsia="宋体" w:cs="Times New Roman"/>
          <w:bCs/>
          <w:color w:val="000000"/>
          <w:sz w:val="24"/>
          <w:szCs w:val="20"/>
        </w:rPr>
        <w:t>流域及其周边河滩湿地，具体为K14+000~K19+000、K24+900~K25+200路段，有多种适应水生和湿生环境的植物。主要生态功能为调节气候、净化水质、洪水调蓄。</w:t>
      </w:r>
    </w:p>
    <w:p w14:paraId="4FDE676E">
      <w:pPr>
        <w:spacing w:line="300" w:lineRule="auto"/>
        <w:ind w:firstLine="480" w:firstLineChars="200"/>
        <w:rPr>
          <w:rFonts w:hint="default" w:ascii="Times New Roman" w:hAnsi="Times New Roman" w:eastAsia="宋体" w:cs="Times New Roman"/>
          <w:bCs/>
          <w:color w:val="000000"/>
          <w:sz w:val="24"/>
          <w:szCs w:val="20"/>
        </w:rPr>
      </w:pPr>
      <w:r>
        <w:rPr>
          <w:rFonts w:hint="default" w:ascii="Times New Roman" w:hAnsi="Times New Roman" w:eastAsia="宋体" w:cs="Times New Roman"/>
          <w:bCs/>
          <w:color w:val="000000"/>
          <w:sz w:val="24"/>
          <w:szCs w:val="20"/>
          <w:lang w:val="en-US" w:eastAsia="zh-CN"/>
        </w:rPr>
        <w:t xml:space="preserve">7. </w:t>
      </w:r>
      <w:r>
        <w:rPr>
          <w:rFonts w:hint="default" w:ascii="Times New Roman" w:hAnsi="Times New Roman" w:eastAsia="宋体" w:cs="Times New Roman"/>
          <w:bCs/>
          <w:color w:val="000000"/>
          <w:sz w:val="24"/>
          <w:szCs w:val="20"/>
        </w:rPr>
        <w:t>城镇生态系统</w:t>
      </w:r>
    </w:p>
    <w:p w14:paraId="3F67196F">
      <w:pPr>
        <w:spacing w:line="300" w:lineRule="auto"/>
        <w:ind w:firstLine="480" w:firstLineChars="200"/>
        <w:rPr>
          <w:rFonts w:ascii="Times New Roman" w:hAnsi="Times New Roman" w:eastAsia="宋体" w:cs="Times New Roman"/>
          <w:color w:val="000000"/>
          <w:kern w:val="0"/>
          <w:sz w:val="24"/>
          <w:szCs w:val="24"/>
        </w:rPr>
      </w:pPr>
      <w:r>
        <w:rPr>
          <w:rFonts w:hint="default" w:ascii="Times New Roman" w:hAnsi="Times New Roman" w:eastAsia="宋体" w:cs="Times New Roman"/>
          <w:bCs/>
          <w:color w:val="000000"/>
          <w:sz w:val="24"/>
          <w:szCs w:val="20"/>
        </w:rPr>
        <w:t>评价区内城镇生态系统集中分布在沿线村落区域，住户分布较少，主要为道路用地，具体分布于K25+200~K26+500、K29+600~K36+500路段。城镇生态系统是一个高度复合的人工化</w:t>
      </w:r>
      <w:r>
        <w:rPr>
          <w:rFonts w:ascii="Times New Roman" w:hAnsi="Times New Roman" w:eastAsia="宋体" w:cs="Times New Roman"/>
          <w:bCs/>
          <w:color w:val="000000"/>
          <w:sz w:val="24"/>
          <w:szCs w:val="20"/>
        </w:rPr>
        <w:t>生态系统，与自然生态系统在结构和功能上都存在明显差别，属人为干扰严重的生态系统，评价区内城镇生态系统分布集中，面积较大，包括居住用地、公共设施用地、工矿用地、交通运输用地等。</w:t>
      </w:r>
    </w:p>
    <w:p w14:paraId="11C44E4E">
      <w:pPr>
        <w:keepNext/>
        <w:keepLines/>
        <w:widowControl w:val="0"/>
        <w:numPr>
          <w:ilvl w:val="1"/>
          <w:numId w:val="13"/>
        </w:numPr>
        <w:spacing w:before="240" w:after="240" w:line="240" w:lineRule="auto"/>
        <w:ind w:firstLine="200" w:firstLineChars="0"/>
        <w:jc w:val="both"/>
        <w:outlineLvl w:val="1"/>
        <w:rPr>
          <w:rFonts w:ascii="Times New Roman" w:hAnsi="Times New Roman" w:eastAsia="宋体" w:cs="Times New Roman"/>
          <w:b/>
          <w:bCs/>
          <w:color w:val="000000"/>
          <w:kern w:val="2"/>
          <w:sz w:val="28"/>
          <w:szCs w:val="32"/>
          <w:lang w:val="en-US" w:eastAsia="zh-CN" w:bidi="ar-SA"/>
        </w:rPr>
      </w:pPr>
      <w:bookmarkStart w:id="335" w:name="_Toc219363410"/>
      <w:bookmarkStart w:id="336" w:name="_Toc18536"/>
      <w:bookmarkStart w:id="337" w:name="_Toc207338886"/>
      <w:r>
        <w:rPr>
          <w:rFonts w:ascii="Times New Roman" w:hAnsi="Times New Roman" w:eastAsia="宋体" w:cs="Times New Roman"/>
          <w:b/>
          <w:bCs/>
          <w:color w:val="000000"/>
          <w:kern w:val="2"/>
          <w:sz w:val="28"/>
          <w:szCs w:val="32"/>
          <w:lang w:val="en-US" w:eastAsia="zh-CN" w:bidi="ar-SA"/>
        </w:rPr>
        <w:t>陆生植物现状</w:t>
      </w:r>
      <w:bookmarkEnd w:id="335"/>
      <w:bookmarkEnd w:id="336"/>
    </w:p>
    <w:p w14:paraId="5F20CA73">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1.</w:t>
      </w:r>
      <w:r>
        <w:rPr>
          <w:rFonts w:hint="eastAsia" w:ascii="Times New Roman" w:hAnsi="Times New Roman" w:eastAsia="宋体" w:cs="Times New Roman"/>
          <w:color w:val="000000"/>
          <w:sz w:val="24"/>
          <w:szCs w:val="22"/>
          <w:lang w:val="en-US" w:eastAsia="zh-CN"/>
        </w:rPr>
        <w:t xml:space="preserve"> </w:t>
      </w:r>
      <w:r>
        <w:rPr>
          <w:rFonts w:ascii="Times New Roman" w:hAnsi="Times New Roman" w:eastAsia="宋体" w:cs="Times New Roman"/>
          <w:color w:val="000000"/>
          <w:sz w:val="24"/>
          <w:szCs w:val="22"/>
        </w:rPr>
        <w:t>植被及植物资源现状调查与评价</w:t>
      </w:r>
    </w:p>
    <w:p w14:paraId="627B6829">
      <w:pPr>
        <w:snapToGrid w:val="0"/>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根据《新疆维吾尔自治区重点保护野生植物名录》《新疆植被及其利用》，包括地方志、统计年鉴以及林业、生态环境、水利、农业、国土资源等部门提供的相关资料，并且参考已经发表的区域相关的文献资料，结合现场调查情况，拟建公路评价范围内植物资源情况如下：</w:t>
      </w:r>
    </w:p>
    <w:p w14:paraId="0A583FD2">
      <w:pPr>
        <w:snapToGrid w:val="0"/>
        <w:spacing w:line="300" w:lineRule="auto"/>
        <w:ind w:firstLine="480" w:firstLineChars="200"/>
        <w:rPr>
          <w:rFonts w:hint="default" w:ascii="Times New Roman" w:hAnsi="Times New Roman" w:eastAsia="宋体" w:cs="Times New Roman"/>
          <w:color w:val="000000"/>
          <w:sz w:val="24"/>
          <w:szCs w:val="22"/>
        </w:rPr>
      </w:pPr>
      <w:r>
        <w:rPr>
          <w:rFonts w:hint="eastAsia" w:ascii="Times New Roman" w:hAnsi="Times New Roman" w:eastAsia="宋体" w:cs="Times New Roman"/>
          <w:color w:val="000000"/>
          <w:sz w:val="24"/>
          <w:szCs w:val="22"/>
          <w:lang w:eastAsia="zh-CN"/>
        </w:rPr>
        <w:t>（</w:t>
      </w:r>
      <w:r>
        <w:rPr>
          <w:rFonts w:hint="eastAsia" w:ascii="Times New Roman" w:hAnsi="Times New Roman" w:eastAsia="宋体" w:cs="Times New Roman"/>
          <w:color w:val="000000"/>
          <w:sz w:val="24"/>
          <w:szCs w:val="22"/>
          <w:lang w:val="en-US" w:eastAsia="zh-CN"/>
        </w:rPr>
        <w:t>1</w:t>
      </w:r>
      <w:r>
        <w:rPr>
          <w:rFonts w:hint="eastAsia" w:ascii="Times New Roman" w:hAnsi="Times New Roman" w:eastAsia="宋体" w:cs="Times New Roman"/>
          <w:color w:val="000000"/>
          <w:sz w:val="24"/>
          <w:szCs w:val="22"/>
          <w:lang w:eastAsia="zh-CN"/>
        </w:rPr>
        <w:t>）</w:t>
      </w:r>
      <w:r>
        <w:rPr>
          <w:rFonts w:hint="default" w:ascii="Times New Roman" w:hAnsi="Times New Roman" w:eastAsia="宋体" w:cs="Times New Roman"/>
          <w:color w:val="000000"/>
          <w:sz w:val="24"/>
          <w:szCs w:val="22"/>
        </w:rPr>
        <w:t>植被区划</w:t>
      </w:r>
    </w:p>
    <w:p w14:paraId="769515BB">
      <w:pPr>
        <w:spacing w:line="300" w:lineRule="auto"/>
        <w:ind w:firstLine="480" w:firstLineChars="200"/>
        <w:rPr>
          <w:rFonts w:hint="default" w:ascii="Times New Roman" w:hAnsi="Times New Roman" w:eastAsia="宋体" w:cs="Times New Roman"/>
          <w:color w:val="000000"/>
          <w:kern w:val="0"/>
          <w:sz w:val="24"/>
          <w:szCs w:val="22"/>
        </w:rPr>
      </w:pPr>
      <w:r>
        <w:rPr>
          <w:rFonts w:hint="default" w:ascii="Times New Roman" w:hAnsi="Times New Roman" w:eastAsia="宋体" w:cs="Times New Roman"/>
          <w:color w:val="000000"/>
          <w:kern w:val="0"/>
          <w:sz w:val="24"/>
          <w:szCs w:val="22"/>
        </w:rPr>
        <w:t>根据《中国植被》中的中国植被区划系统，拟建公路所在区域植被区划属于：</w:t>
      </w:r>
    </w:p>
    <w:p w14:paraId="506F9AD9">
      <w:pPr>
        <w:spacing w:line="300" w:lineRule="auto"/>
        <w:ind w:firstLine="480" w:firstLineChars="200"/>
        <w:rPr>
          <w:rFonts w:hint="default" w:ascii="Times New Roman" w:hAnsi="Times New Roman" w:eastAsia="宋体" w:cs="Times New Roman"/>
          <w:color w:val="000000"/>
          <w:sz w:val="24"/>
          <w:szCs w:val="22"/>
        </w:rPr>
      </w:pPr>
      <w:r>
        <w:rPr>
          <w:rFonts w:hint="default" w:ascii="Times New Roman" w:hAnsi="Times New Roman" w:eastAsia="宋体" w:cs="Times New Roman"/>
          <w:color w:val="000000"/>
          <w:sz w:val="24"/>
          <w:szCs w:val="22"/>
        </w:rPr>
        <w:fldChar w:fldCharType="begin"/>
      </w:r>
      <w:r>
        <w:rPr>
          <w:rFonts w:hint="default" w:ascii="Times New Roman" w:hAnsi="Times New Roman" w:eastAsia="宋体" w:cs="Times New Roman"/>
          <w:color w:val="000000"/>
          <w:sz w:val="24"/>
          <w:szCs w:val="22"/>
        </w:rPr>
        <w:instrText xml:space="preserve"> = 7 \* ROMAN \* MERGEFORMAT </w:instrText>
      </w:r>
      <w:r>
        <w:rPr>
          <w:rFonts w:hint="default" w:ascii="Times New Roman" w:hAnsi="Times New Roman" w:eastAsia="宋体" w:cs="Times New Roman"/>
          <w:color w:val="000000"/>
          <w:sz w:val="24"/>
          <w:szCs w:val="22"/>
        </w:rPr>
        <w:fldChar w:fldCharType="separate"/>
      </w:r>
      <w:r>
        <w:rPr>
          <w:rFonts w:hint="default" w:ascii="Times New Roman" w:hAnsi="Times New Roman" w:eastAsia="宋体" w:cs="Times New Roman"/>
          <w:color w:val="000000"/>
          <w:sz w:val="24"/>
          <w:szCs w:val="22"/>
        </w:rPr>
        <w:t>VII</w:t>
      </w:r>
      <w:r>
        <w:rPr>
          <w:rFonts w:hint="default" w:ascii="Times New Roman" w:hAnsi="Times New Roman" w:eastAsia="宋体" w:cs="Times New Roman"/>
          <w:color w:val="000000"/>
          <w:sz w:val="24"/>
          <w:szCs w:val="22"/>
        </w:rPr>
        <w:fldChar w:fldCharType="end"/>
      </w:r>
      <w:r>
        <w:rPr>
          <w:rFonts w:hint="default" w:ascii="Times New Roman" w:hAnsi="Times New Roman" w:eastAsia="宋体" w:cs="Times New Roman"/>
          <w:color w:val="000000"/>
          <w:sz w:val="24"/>
          <w:szCs w:val="22"/>
        </w:rPr>
        <w:t>温带荒漠区域</w:t>
      </w:r>
    </w:p>
    <w:p w14:paraId="7D34C9F5">
      <w:pPr>
        <w:spacing w:line="240" w:lineRule="auto"/>
        <w:ind w:firstLine="960" w:firstLineChars="400"/>
        <w:rPr>
          <w:rFonts w:hint="default" w:ascii="Times New Roman" w:hAnsi="Times New Roman" w:eastAsia="宋体" w:cs="Times New Roman"/>
          <w:color w:val="000000"/>
          <w:sz w:val="21"/>
          <w:szCs w:val="24"/>
        </w:rPr>
      </w:pPr>
      <w:r>
        <w:rPr>
          <w:rFonts w:hint="default" w:ascii="Times New Roman" w:hAnsi="Times New Roman" w:eastAsia="宋体" w:cs="Times New Roman"/>
          <w:color w:val="000000"/>
          <w:sz w:val="24"/>
          <w:szCs w:val="24"/>
        </w:rPr>
        <w:fldChar w:fldCharType="begin"/>
      </w:r>
      <w:r>
        <w:rPr>
          <w:rFonts w:hint="default" w:ascii="Times New Roman" w:hAnsi="Times New Roman" w:eastAsia="宋体" w:cs="Times New Roman"/>
          <w:color w:val="000000"/>
          <w:sz w:val="24"/>
          <w:szCs w:val="24"/>
        </w:rPr>
        <w:instrText xml:space="preserve"> = 7 \* ROMAN \* MERGEFORMAT </w:instrText>
      </w:r>
      <w:r>
        <w:rPr>
          <w:rFonts w:hint="default" w:ascii="Times New Roman" w:hAnsi="Times New Roman" w:eastAsia="宋体" w:cs="Times New Roman"/>
          <w:color w:val="000000"/>
          <w:sz w:val="24"/>
          <w:szCs w:val="24"/>
        </w:rPr>
        <w:fldChar w:fldCharType="separate"/>
      </w:r>
      <w:r>
        <w:rPr>
          <w:rFonts w:hint="default" w:ascii="Times New Roman" w:hAnsi="Times New Roman" w:eastAsia="宋体" w:cs="Times New Roman"/>
          <w:color w:val="000000"/>
          <w:sz w:val="24"/>
          <w:szCs w:val="24"/>
        </w:rPr>
        <w:t>VII</w:t>
      </w:r>
      <w:r>
        <w:rPr>
          <w:rFonts w:hint="default" w:ascii="Times New Roman" w:hAnsi="Times New Roman" w:eastAsia="宋体" w:cs="Times New Roman"/>
          <w:color w:val="000000"/>
          <w:sz w:val="24"/>
          <w:szCs w:val="24"/>
        </w:rPr>
        <w:fldChar w:fldCharType="end"/>
      </w:r>
      <w:r>
        <w:rPr>
          <w:rFonts w:hint="default" w:ascii="Times New Roman" w:hAnsi="Times New Roman" w:eastAsia="宋体" w:cs="Times New Roman"/>
          <w:color w:val="000000"/>
          <w:sz w:val="24"/>
          <w:szCs w:val="24"/>
        </w:rPr>
        <w:t>B东部荒漠亚区域</w:t>
      </w:r>
    </w:p>
    <w:p w14:paraId="6D34C8CB">
      <w:pPr>
        <w:spacing w:line="300" w:lineRule="auto"/>
        <w:ind w:firstLine="1440" w:firstLineChars="6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fldChar w:fldCharType="begin"/>
      </w:r>
      <w:r>
        <w:rPr>
          <w:rFonts w:hint="default" w:ascii="Times New Roman" w:hAnsi="Times New Roman" w:eastAsia="宋体" w:cs="Times New Roman"/>
          <w:color w:val="000000"/>
          <w:sz w:val="24"/>
          <w:szCs w:val="24"/>
        </w:rPr>
        <w:instrText xml:space="preserve"> = 7 \* ROMAN \* MERGEFORMAT </w:instrText>
      </w:r>
      <w:r>
        <w:rPr>
          <w:rFonts w:hint="default" w:ascii="Times New Roman" w:hAnsi="Times New Roman" w:eastAsia="宋体" w:cs="Times New Roman"/>
          <w:color w:val="000000"/>
          <w:sz w:val="24"/>
          <w:szCs w:val="24"/>
        </w:rPr>
        <w:fldChar w:fldCharType="separate"/>
      </w:r>
      <w:r>
        <w:rPr>
          <w:rFonts w:hint="default" w:ascii="Times New Roman" w:hAnsi="Times New Roman" w:eastAsia="宋体" w:cs="Times New Roman"/>
          <w:color w:val="000000"/>
          <w:sz w:val="24"/>
          <w:szCs w:val="24"/>
        </w:rPr>
        <w:t>VII</w:t>
      </w:r>
      <w:r>
        <w:rPr>
          <w:rFonts w:hint="default" w:ascii="Times New Roman" w:hAnsi="Times New Roman" w:eastAsia="宋体" w:cs="Times New Roman"/>
          <w:color w:val="000000"/>
          <w:sz w:val="24"/>
          <w:szCs w:val="24"/>
        </w:rPr>
        <w:fldChar w:fldCharType="end"/>
      </w:r>
      <w:r>
        <w:rPr>
          <w:rFonts w:hint="default" w:ascii="Times New Roman" w:hAnsi="Times New Roman" w:eastAsia="宋体" w:cs="Times New Roman"/>
          <w:color w:val="000000"/>
          <w:sz w:val="24"/>
          <w:szCs w:val="24"/>
        </w:rPr>
        <w:t>Bii 暖温带灌木、半灌木荒漠地带</w:t>
      </w:r>
    </w:p>
    <w:p w14:paraId="1D07F947">
      <w:pPr>
        <w:spacing w:line="300" w:lineRule="auto"/>
        <w:ind w:firstLine="1920" w:firstLineChars="8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fldChar w:fldCharType="begin"/>
      </w:r>
      <w:r>
        <w:rPr>
          <w:rFonts w:hint="default" w:ascii="Times New Roman" w:hAnsi="Times New Roman" w:eastAsia="宋体" w:cs="Times New Roman"/>
          <w:color w:val="000000"/>
          <w:sz w:val="24"/>
          <w:szCs w:val="24"/>
        </w:rPr>
        <w:instrText xml:space="preserve"> = 7 \* ROMAN \* MERGEFORMAT </w:instrText>
      </w:r>
      <w:r>
        <w:rPr>
          <w:rFonts w:hint="default" w:ascii="Times New Roman" w:hAnsi="Times New Roman" w:eastAsia="宋体" w:cs="Times New Roman"/>
          <w:color w:val="000000"/>
          <w:sz w:val="24"/>
          <w:szCs w:val="24"/>
        </w:rPr>
        <w:fldChar w:fldCharType="separate"/>
      </w:r>
      <w:r>
        <w:rPr>
          <w:rFonts w:hint="default" w:ascii="Times New Roman" w:hAnsi="Times New Roman" w:eastAsia="宋体" w:cs="Times New Roman"/>
          <w:color w:val="000000"/>
          <w:sz w:val="24"/>
          <w:szCs w:val="24"/>
        </w:rPr>
        <w:t>VII</w:t>
      </w:r>
      <w:r>
        <w:rPr>
          <w:rFonts w:hint="default" w:ascii="Times New Roman" w:hAnsi="Times New Roman" w:eastAsia="宋体" w:cs="Times New Roman"/>
          <w:color w:val="000000"/>
          <w:sz w:val="24"/>
          <w:szCs w:val="24"/>
        </w:rPr>
        <w:fldChar w:fldCharType="end"/>
      </w:r>
      <w:r>
        <w:rPr>
          <w:rFonts w:hint="default" w:ascii="Times New Roman" w:hAnsi="Times New Roman" w:eastAsia="宋体" w:cs="Times New Roman"/>
          <w:color w:val="000000"/>
          <w:sz w:val="24"/>
          <w:szCs w:val="24"/>
        </w:rPr>
        <w:t>Bii-2 塔里木盆地沙漠与稀疏灌木、半灌木荒漠区</w:t>
      </w:r>
    </w:p>
    <w:p w14:paraId="55F2D110">
      <w:pPr>
        <w:spacing w:line="300" w:lineRule="auto"/>
        <w:ind w:firstLine="1920" w:firstLineChars="8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fldChar w:fldCharType="begin"/>
      </w:r>
      <w:r>
        <w:rPr>
          <w:rFonts w:hint="default" w:ascii="Times New Roman" w:hAnsi="Times New Roman" w:eastAsia="宋体" w:cs="Times New Roman"/>
          <w:color w:val="000000"/>
          <w:sz w:val="24"/>
          <w:szCs w:val="24"/>
        </w:rPr>
        <w:instrText xml:space="preserve"> = 7 \* ROMAN \* MERGEFORMAT </w:instrText>
      </w:r>
      <w:r>
        <w:rPr>
          <w:rFonts w:hint="default" w:ascii="Times New Roman" w:hAnsi="Times New Roman" w:eastAsia="宋体" w:cs="Times New Roman"/>
          <w:color w:val="000000"/>
          <w:sz w:val="24"/>
          <w:szCs w:val="24"/>
        </w:rPr>
        <w:fldChar w:fldCharType="separate"/>
      </w:r>
      <w:r>
        <w:rPr>
          <w:rFonts w:hint="default" w:ascii="Times New Roman" w:hAnsi="Times New Roman" w:eastAsia="宋体" w:cs="Times New Roman"/>
          <w:color w:val="000000"/>
          <w:sz w:val="24"/>
          <w:szCs w:val="24"/>
        </w:rPr>
        <w:t>VII</w:t>
      </w:r>
      <w:r>
        <w:rPr>
          <w:rFonts w:hint="default" w:ascii="Times New Roman" w:hAnsi="Times New Roman" w:eastAsia="宋体" w:cs="Times New Roman"/>
          <w:color w:val="000000"/>
          <w:sz w:val="24"/>
          <w:szCs w:val="24"/>
        </w:rPr>
        <w:fldChar w:fldCharType="end"/>
      </w:r>
      <w:r>
        <w:rPr>
          <w:rFonts w:hint="default" w:ascii="Times New Roman" w:hAnsi="Times New Roman" w:eastAsia="宋体" w:cs="Times New Roman"/>
          <w:color w:val="000000"/>
          <w:sz w:val="24"/>
          <w:szCs w:val="24"/>
        </w:rPr>
        <w:t>Bii-3 天山南坡-西昆仑山山地半灌木荒漠、草原区</w:t>
      </w:r>
    </w:p>
    <w:p w14:paraId="755F5F1E">
      <w:pPr>
        <w:spacing w:line="300" w:lineRule="auto"/>
        <w:ind w:firstLine="480" w:firstLineChars="200"/>
        <w:rPr>
          <w:rFonts w:ascii="Times New Roman" w:hAnsi="Times New Roman" w:eastAsia="宋体" w:cs="Times New Roman"/>
          <w:color w:val="000000"/>
          <w:sz w:val="24"/>
          <w:szCs w:val="22"/>
        </w:rPr>
      </w:pPr>
      <w:r>
        <w:rPr>
          <w:rFonts w:hint="eastAsia" w:ascii="Times New Roman" w:hAnsi="Times New Roman" w:eastAsia="宋体" w:cs="Times New Roman"/>
          <w:color w:val="000000"/>
          <w:sz w:val="24"/>
          <w:szCs w:val="22"/>
          <w:lang w:eastAsia="zh-CN"/>
        </w:rPr>
        <w:t>（</w:t>
      </w:r>
      <w:r>
        <w:rPr>
          <w:rFonts w:hint="eastAsia" w:ascii="Times New Roman" w:hAnsi="Times New Roman" w:eastAsia="宋体" w:cs="Times New Roman"/>
          <w:color w:val="000000"/>
          <w:sz w:val="24"/>
          <w:szCs w:val="22"/>
          <w:lang w:val="en-US" w:eastAsia="zh-CN"/>
        </w:rPr>
        <w:t>2</w:t>
      </w:r>
      <w:r>
        <w:rPr>
          <w:rFonts w:hint="eastAsia" w:ascii="Times New Roman" w:hAnsi="Times New Roman" w:eastAsia="宋体" w:cs="Times New Roman"/>
          <w:color w:val="000000"/>
          <w:sz w:val="24"/>
          <w:szCs w:val="22"/>
          <w:lang w:eastAsia="zh-CN"/>
        </w:rPr>
        <w:t>）</w:t>
      </w:r>
      <w:r>
        <w:rPr>
          <w:rFonts w:hint="default" w:ascii="Times New Roman" w:hAnsi="Times New Roman" w:eastAsia="宋体" w:cs="Times New Roman"/>
          <w:color w:val="000000"/>
          <w:sz w:val="24"/>
          <w:szCs w:val="22"/>
        </w:rPr>
        <w:t>植被</w:t>
      </w:r>
      <w:r>
        <w:rPr>
          <w:rFonts w:ascii="Times New Roman" w:hAnsi="Times New Roman" w:eastAsia="宋体" w:cs="Times New Roman"/>
          <w:color w:val="000000"/>
          <w:sz w:val="24"/>
          <w:szCs w:val="22"/>
        </w:rPr>
        <w:t>类型及群系特征</w:t>
      </w:r>
    </w:p>
    <w:p w14:paraId="66D0F43D">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4"/>
        </w:rPr>
        <w:t>拟建公路途经区域气候属塔里木盆地暖温带大陆性干旱气候区。沿线天然植被以荒漠植被为主，无天然针叶林、阔叶林及高山植被分布；人工植被以绿洲农田和农田防护林为主。主要植被型包括灌木、草地、栽培植被三类，区域植被结构简单、覆盖度低。项目沿线植被以新疆杨、银白杨、榆树、沙枣构成的人工林为主，灌木为多枝柽柳、柽柳、琵琶柴、沙拐枣、骆驼刺、盐爪爪等，草地主要为芨芨草、碱蓬。</w:t>
      </w:r>
      <w:r>
        <w:rPr>
          <w:rFonts w:ascii="Times New Roman" w:hAnsi="Times New Roman" w:eastAsia="宋体" w:cs="Times New Roman"/>
          <w:color w:val="000000"/>
          <w:sz w:val="24"/>
          <w:szCs w:val="22"/>
        </w:rPr>
        <w:t>项目沿线植物种类见表2.5-1，</w:t>
      </w:r>
      <w:bookmarkStart w:id="338" w:name="OLE_LINK33"/>
      <w:r>
        <w:rPr>
          <w:rFonts w:ascii="Times New Roman" w:hAnsi="Times New Roman" w:eastAsia="宋体" w:cs="Times New Roman"/>
          <w:color w:val="000000"/>
          <w:sz w:val="24"/>
          <w:szCs w:val="22"/>
        </w:rPr>
        <w:t>项目沿线样方分布图见附图10，植被类型图见附图11。</w:t>
      </w:r>
      <w:bookmarkEnd w:id="338"/>
    </w:p>
    <w:p w14:paraId="7936A930">
      <w:pPr>
        <w:keepNext w:val="0"/>
        <w:keepLines w:val="0"/>
        <w:pageBreakBefore w:val="0"/>
        <w:widowControl w:val="0"/>
        <w:kinsoku/>
        <w:wordWrap/>
        <w:overflowPunct/>
        <w:topLinePunct w:val="0"/>
        <w:autoSpaceDE/>
        <w:autoSpaceDN/>
        <w:bidi w:val="0"/>
        <w:adjustRightInd/>
        <w:snapToGrid/>
        <w:spacing w:before="120" w:beforeLines="50" w:line="240" w:lineRule="auto"/>
        <w:ind w:firstLine="422" w:firstLineChars="200"/>
        <w:jc w:val="center"/>
        <w:textAlignment w:val="auto"/>
        <w:rPr>
          <w:rFonts w:ascii="Times New Roman" w:hAnsi="Times New Roman" w:eastAsia="宋体" w:cs="Times New Roman"/>
          <w:b/>
          <w:color w:val="000000"/>
          <w:sz w:val="21"/>
          <w:szCs w:val="21"/>
        </w:rPr>
      </w:pPr>
      <w:r>
        <w:rPr>
          <w:rFonts w:ascii="Times New Roman" w:hAnsi="Times New Roman" w:eastAsia="宋体" w:cs="Times New Roman"/>
          <w:b/>
          <w:color w:val="000000"/>
          <w:sz w:val="21"/>
          <w:szCs w:val="21"/>
        </w:rPr>
        <w:t>表2.5-1  项目沿线主要植物种名录</w:t>
      </w:r>
    </w:p>
    <w:tbl>
      <w:tblPr>
        <w:tblStyle w:val="22"/>
        <w:tblW w:w="5009" w:type="pct"/>
        <w:jc w:val="center"/>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585"/>
        <w:gridCol w:w="2513"/>
        <w:gridCol w:w="3638"/>
      </w:tblGrid>
      <w:tr w14:paraId="29FA27E8">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1479" w:type="pct"/>
            <w:vAlign w:val="center"/>
          </w:tcPr>
          <w:p w14:paraId="41059F42">
            <w:pPr>
              <w:keepNext w:val="0"/>
              <w:keepLines w:val="0"/>
              <w:pageBreakBefore w:val="0"/>
              <w:widowControl w:val="0"/>
              <w:kinsoku/>
              <w:wordWrap/>
              <w:overflowPunct/>
              <w:topLinePunct w:val="0"/>
              <w:autoSpaceDE/>
              <w:autoSpaceDN/>
              <w:bidi w:val="0"/>
              <w:adjustRightInd/>
              <w:snapToGrid/>
              <w:spacing w:line="240" w:lineRule="exact"/>
              <w:ind w:firstLine="422" w:firstLineChars="200"/>
              <w:jc w:val="center"/>
              <w:textAlignment w:val="auto"/>
              <w:rPr>
                <w:rFonts w:ascii="Times New Roman" w:hAnsi="Times New Roman" w:eastAsia="宋体" w:cs="Times New Roman"/>
                <w:b/>
                <w:bCs/>
                <w:color w:val="000000"/>
                <w:sz w:val="21"/>
                <w:szCs w:val="21"/>
              </w:rPr>
            </w:pPr>
            <w:r>
              <w:rPr>
                <w:rFonts w:ascii="Times New Roman" w:hAnsi="Times New Roman" w:eastAsia="宋体" w:cs="Times New Roman"/>
                <w:b/>
                <w:bCs/>
                <w:color w:val="000000"/>
                <w:sz w:val="21"/>
                <w:szCs w:val="21"/>
              </w:rPr>
              <w:t>科</w:t>
            </w:r>
          </w:p>
        </w:tc>
        <w:tc>
          <w:tcPr>
            <w:tcW w:w="1438" w:type="pct"/>
            <w:vAlign w:val="center"/>
          </w:tcPr>
          <w:p w14:paraId="0FBB7488">
            <w:pPr>
              <w:keepNext w:val="0"/>
              <w:keepLines w:val="0"/>
              <w:pageBreakBefore w:val="0"/>
              <w:widowControl w:val="0"/>
              <w:kinsoku/>
              <w:wordWrap/>
              <w:overflowPunct/>
              <w:topLinePunct w:val="0"/>
              <w:autoSpaceDE/>
              <w:autoSpaceDN/>
              <w:bidi w:val="0"/>
              <w:adjustRightInd/>
              <w:snapToGrid/>
              <w:spacing w:line="240" w:lineRule="exact"/>
              <w:ind w:firstLine="422" w:firstLineChars="200"/>
              <w:jc w:val="center"/>
              <w:textAlignment w:val="auto"/>
              <w:rPr>
                <w:rFonts w:ascii="Times New Roman" w:hAnsi="Times New Roman" w:eastAsia="宋体" w:cs="Times New Roman"/>
                <w:b/>
                <w:bCs/>
                <w:color w:val="000000"/>
                <w:sz w:val="21"/>
                <w:szCs w:val="21"/>
              </w:rPr>
            </w:pPr>
            <w:r>
              <w:rPr>
                <w:rFonts w:ascii="Times New Roman" w:hAnsi="Times New Roman" w:eastAsia="宋体" w:cs="Times New Roman"/>
                <w:b/>
                <w:bCs/>
                <w:color w:val="000000"/>
                <w:sz w:val="21"/>
                <w:szCs w:val="21"/>
              </w:rPr>
              <w:t>种名</w:t>
            </w:r>
          </w:p>
        </w:tc>
        <w:tc>
          <w:tcPr>
            <w:tcW w:w="2082" w:type="pct"/>
            <w:vAlign w:val="center"/>
          </w:tcPr>
          <w:p w14:paraId="257238CF">
            <w:pPr>
              <w:keepNext w:val="0"/>
              <w:keepLines w:val="0"/>
              <w:pageBreakBefore w:val="0"/>
              <w:widowControl w:val="0"/>
              <w:kinsoku/>
              <w:wordWrap/>
              <w:overflowPunct/>
              <w:topLinePunct w:val="0"/>
              <w:autoSpaceDE/>
              <w:autoSpaceDN/>
              <w:bidi w:val="0"/>
              <w:adjustRightInd/>
              <w:snapToGrid/>
              <w:spacing w:line="240" w:lineRule="exact"/>
              <w:ind w:firstLine="422" w:firstLineChars="200"/>
              <w:jc w:val="center"/>
              <w:textAlignment w:val="auto"/>
              <w:rPr>
                <w:rFonts w:ascii="Times New Roman" w:hAnsi="Times New Roman" w:eastAsia="宋体" w:cs="Times New Roman"/>
                <w:b/>
                <w:bCs/>
                <w:color w:val="000000"/>
                <w:sz w:val="21"/>
                <w:szCs w:val="21"/>
              </w:rPr>
            </w:pPr>
            <w:r>
              <w:rPr>
                <w:rFonts w:ascii="Times New Roman" w:hAnsi="Times New Roman" w:eastAsia="宋体" w:cs="Times New Roman"/>
                <w:b/>
                <w:bCs/>
                <w:color w:val="000000"/>
                <w:sz w:val="21"/>
                <w:szCs w:val="21"/>
              </w:rPr>
              <w:t>拉丁名</w:t>
            </w:r>
          </w:p>
        </w:tc>
      </w:tr>
      <w:tr w14:paraId="2D193332">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479" w:type="pct"/>
            <w:vMerge w:val="restart"/>
            <w:vAlign w:val="center"/>
          </w:tcPr>
          <w:p w14:paraId="7CD9A66D">
            <w:pPr>
              <w:keepNext w:val="0"/>
              <w:keepLines w:val="0"/>
              <w:pageBreakBefore w:val="0"/>
              <w:widowControl w:val="0"/>
              <w:kinsoku/>
              <w:wordWrap/>
              <w:overflowPunct/>
              <w:topLinePunct w:val="0"/>
              <w:autoSpaceDE/>
              <w:autoSpaceDN/>
              <w:bidi w:val="0"/>
              <w:adjustRightInd/>
              <w:snapToGrid/>
              <w:spacing w:line="240" w:lineRule="exact"/>
              <w:ind w:left="0" w:leftChars="0" w:firstLine="210" w:firstLineChars="100"/>
              <w:jc w:val="both"/>
              <w:textAlignment w:val="auto"/>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藜科 Chenopodiaccae</w:t>
            </w:r>
          </w:p>
        </w:tc>
        <w:tc>
          <w:tcPr>
            <w:tcW w:w="1438" w:type="pct"/>
            <w:vAlign w:val="center"/>
          </w:tcPr>
          <w:p w14:paraId="44D297D0">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圆叶盐爪爪</w:t>
            </w:r>
          </w:p>
        </w:tc>
        <w:tc>
          <w:tcPr>
            <w:tcW w:w="2082" w:type="pct"/>
            <w:vAlign w:val="center"/>
          </w:tcPr>
          <w:p w14:paraId="5E16D5E9">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ascii="Times New Roman" w:hAnsi="Times New Roman" w:eastAsia="宋体" w:cs="Times New Roman"/>
                <w:i/>
                <w:color w:val="000000"/>
                <w:sz w:val="21"/>
                <w:szCs w:val="21"/>
              </w:rPr>
            </w:pPr>
            <w:r>
              <w:rPr>
                <w:rFonts w:ascii="Times New Roman" w:hAnsi="Times New Roman" w:eastAsia="宋体" w:cs="Times New Roman"/>
                <w:i/>
                <w:color w:val="000000"/>
                <w:sz w:val="21"/>
                <w:szCs w:val="21"/>
              </w:rPr>
              <w:t>KalidiumschrenkianumBungeex ng.-Sternb</w:t>
            </w:r>
          </w:p>
        </w:tc>
      </w:tr>
      <w:tr w14:paraId="5A6AC175">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1479" w:type="pct"/>
            <w:vMerge w:val="continue"/>
            <w:vAlign w:val="center"/>
          </w:tcPr>
          <w:p w14:paraId="3ACDE00D">
            <w:pPr>
              <w:keepNext w:val="0"/>
              <w:keepLines w:val="0"/>
              <w:pageBreakBefore w:val="0"/>
              <w:widowControl w:val="0"/>
              <w:kinsoku/>
              <w:wordWrap/>
              <w:overflowPunct/>
              <w:topLinePunct w:val="0"/>
              <w:autoSpaceDE/>
              <w:autoSpaceDN/>
              <w:bidi w:val="0"/>
              <w:adjustRightInd/>
              <w:snapToGrid/>
              <w:spacing w:line="240" w:lineRule="exact"/>
              <w:ind w:firstLine="420" w:firstLineChars="200"/>
              <w:jc w:val="center"/>
              <w:textAlignment w:val="auto"/>
              <w:rPr>
                <w:rFonts w:ascii="Times New Roman" w:hAnsi="Times New Roman" w:eastAsia="宋体" w:cs="Times New Roman"/>
                <w:color w:val="000000"/>
                <w:sz w:val="21"/>
                <w:szCs w:val="21"/>
              </w:rPr>
            </w:pPr>
          </w:p>
        </w:tc>
        <w:tc>
          <w:tcPr>
            <w:tcW w:w="1438" w:type="pct"/>
            <w:vAlign w:val="center"/>
          </w:tcPr>
          <w:p w14:paraId="0719393A">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梭梭</w:t>
            </w:r>
          </w:p>
        </w:tc>
        <w:tc>
          <w:tcPr>
            <w:tcW w:w="2082" w:type="pct"/>
            <w:vAlign w:val="center"/>
          </w:tcPr>
          <w:p w14:paraId="6DB52C20">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ascii="Times New Roman" w:hAnsi="Times New Roman" w:eastAsia="宋体" w:cs="Times New Roman"/>
                <w:i/>
                <w:color w:val="000000"/>
                <w:sz w:val="21"/>
                <w:szCs w:val="21"/>
              </w:rPr>
            </w:pPr>
            <w:r>
              <w:rPr>
                <w:rFonts w:ascii="Times New Roman" w:hAnsi="Times New Roman" w:eastAsia="宋体" w:cs="Times New Roman"/>
                <w:bCs/>
                <w:i/>
                <w:color w:val="000000"/>
                <w:sz w:val="21"/>
                <w:szCs w:val="21"/>
              </w:rPr>
              <w:t>Haloxylon  apnglum</w:t>
            </w:r>
          </w:p>
        </w:tc>
      </w:tr>
      <w:tr w14:paraId="7F98DCD0">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1479" w:type="pct"/>
            <w:vMerge w:val="continue"/>
            <w:vAlign w:val="center"/>
          </w:tcPr>
          <w:p w14:paraId="4C8C8CD4">
            <w:pPr>
              <w:keepNext w:val="0"/>
              <w:keepLines w:val="0"/>
              <w:pageBreakBefore w:val="0"/>
              <w:widowControl w:val="0"/>
              <w:kinsoku/>
              <w:wordWrap/>
              <w:overflowPunct/>
              <w:topLinePunct w:val="0"/>
              <w:autoSpaceDE/>
              <w:autoSpaceDN/>
              <w:bidi w:val="0"/>
              <w:adjustRightInd/>
              <w:snapToGrid/>
              <w:spacing w:line="240" w:lineRule="exact"/>
              <w:ind w:firstLine="420" w:firstLineChars="200"/>
              <w:jc w:val="center"/>
              <w:textAlignment w:val="auto"/>
              <w:rPr>
                <w:rFonts w:ascii="Times New Roman" w:hAnsi="Times New Roman" w:eastAsia="宋体" w:cs="Times New Roman"/>
                <w:color w:val="000000"/>
                <w:sz w:val="21"/>
                <w:szCs w:val="21"/>
              </w:rPr>
            </w:pPr>
          </w:p>
        </w:tc>
        <w:tc>
          <w:tcPr>
            <w:tcW w:w="1438" w:type="pct"/>
            <w:vAlign w:val="center"/>
          </w:tcPr>
          <w:p w14:paraId="47038D5D">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刺蓬</w:t>
            </w:r>
          </w:p>
        </w:tc>
        <w:tc>
          <w:tcPr>
            <w:tcW w:w="2082" w:type="pct"/>
            <w:vAlign w:val="center"/>
          </w:tcPr>
          <w:p w14:paraId="6E52F549">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ascii="Times New Roman" w:hAnsi="Times New Roman" w:eastAsia="宋体" w:cs="Times New Roman"/>
                <w:i/>
                <w:color w:val="000000"/>
                <w:sz w:val="21"/>
                <w:szCs w:val="21"/>
              </w:rPr>
            </w:pPr>
            <w:r>
              <w:rPr>
                <w:rFonts w:ascii="Times New Roman" w:hAnsi="Times New Roman" w:eastAsia="宋体" w:cs="Times New Roman"/>
                <w:i/>
                <w:color w:val="000000"/>
                <w:sz w:val="21"/>
                <w:szCs w:val="21"/>
              </w:rPr>
              <w:t>Sallsola pestifer</w:t>
            </w:r>
          </w:p>
        </w:tc>
      </w:tr>
      <w:tr w14:paraId="760EC7AC">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1479" w:type="pct"/>
            <w:vMerge w:val="continue"/>
            <w:vAlign w:val="center"/>
          </w:tcPr>
          <w:p w14:paraId="265C1BF6">
            <w:pPr>
              <w:keepNext w:val="0"/>
              <w:keepLines w:val="0"/>
              <w:pageBreakBefore w:val="0"/>
              <w:widowControl w:val="0"/>
              <w:kinsoku/>
              <w:wordWrap/>
              <w:overflowPunct/>
              <w:topLinePunct w:val="0"/>
              <w:autoSpaceDE/>
              <w:autoSpaceDN/>
              <w:bidi w:val="0"/>
              <w:adjustRightInd/>
              <w:snapToGrid/>
              <w:spacing w:line="240" w:lineRule="exact"/>
              <w:ind w:firstLine="420" w:firstLineChars="200"/>
              <w:jc w:val="center"/>
              <w:textAlignment w:val="auto"/>
              <w:rPr>
                <w:rFonts w:ascii="Times New Roman" w:hAnsi="Times New Roman" w:eastAsia="宋体" w:cs="Times New Roman"/>
                <w:color w:val="000000"/>
                <w:sz w:val="21"/>
                <w:szCs w:val="21"/>
              </w:rPr>
            </w:pPr>
          </w:p>
        </w:tc>
        <w:tc>
          <w:tcPr>
            <w:tcW w:w="1438" w:type="pct"/>
            <w:vAlign w:val="center"/>
          </w:tcPr>
          <w:p w14:paraId="36A984B5">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细叶虫实</w:t>
            </w:r>
          </w:p>
        </w:tc>
        <w:tc>
          <w:tcPr>
            <w:tcW w:w="2082" w:type="pct"/>
            <w:vAlign w:val="center"/>
          </w:tcPr>
          <w:p w14:paraId="2054F384">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ascii="Times New Roman" w:hAnsi="Times New Roman" w:eastAsia="宋体" w:cs="Times New Roman"/>
                <w:i/>
                <w:color w:val="000000"/>
                <w:sz w:val="21"/>
                <w:szCs w:val="21"/>
              </w:rPr>
            </w:pPr>
            <w:r>
              <w:rPr>
                <w:rFonts w:ascii="Times New Roman" w:hAnsi="Times New Roman" w:eastAsia="宋体" w:cs="Times New Roman"/>
                <w:i/>
                <w:color w:val="000000"/>
                <w:sz w:val="21"/>
                <w:szCs w:val="21"/>
              </w:rPr>
              <w:t>Corispormum heptapotamicum</w:t>
            </w:r>
          </w:p>
        </w:tc>
      </w:tr>
      <w:tr w14:paraId="17563056">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1479" w:type="pct"/>
            <w:vMerge w:val="continue"/>
            <w:vAlign w:val="center"/>
          </w:tcPr>
          <w:p w14:paraId="300EFE95">
            <w:pPr>
              <w:keepNext w:val="0"/>
              <w:keepLines w:val="0"/>
              <w:pageBreakBefore w:val="0"/>
              <w:widowControl w:val="0"/>
              <w:kinsoku/>
              <w:wordWrap/>
              <w:overflowPunct/>
              <w:topLinePunct w:val="0"/>
              <w:autoSpaceDE/>
              <w:autoSpaceDN/>
              <w:bidi w:val="0"/>
              <w:adjustRightInd/>
              <w:snapToGrid/>
              <w:spacing w:line="240" w:lineRule="exact"/>
              <w:ind w:firstLine="420" w:firstLineChars="200"/>
              <w:jc w:val="center"/>
              <w:textAlignment w:val="auto"/>
              <w:rPr>
                <w:rFonts w:ascii="Times New Roman" w:hAnsi="Times New Roman" w:eastAsia="宋体" w:cs="Times New Roman"/>
                <w:color w:val="000000"/>
                <w:sz w:val="21"/>
                <w:szCs w:val="21"/>
              </w:rPr>
            </w:pPr>
          </w:p>
        </w:tc>
        <w:tc>
          <w:tcPr>
            <w:tcW w:w="1438" w:type="pct"/>
            <w:vAlign w:val="center"/>
          </w:tcPr>
          <w:p w14:paraId="4A495F96">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星状刺果藜</w:t>
            </w:r>
          </w:p>
        </w:tc>
        <w:tc>
          <w:tcPr>
            <w:tcW w:w="2082" w:type="pct"/>
            <w:vAlign w:val="center"/>
          </w:tcPr>
          <w:p w14:paraId="7BE4E5F0">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ascii="Times New Roman" w:hAnsi="Times New Roman" w:eastAsia="宋体" w:cs="Times New Roman"/>
                <w:i/>
                <w:color w:val="000000"/>
                <w:sz w:val="21"/>
                <w:szCs w:val="21"/>
              </w:rPr>
            </w:pPr>
            <w:r>
              <w:rPr>
                <w:rFonts w:ascii="Times New Roman" w:hAnsi="Times New Roman" w:eastAsia="宋体" w:cs="Times New Roman"/>
                <w:i/>
                <w:color w:val="000000"/>
                <w:sz w:val="21"/>
                <w:szCs w:val="21"/>
              </w:rPr>
              <w:t>Echinopsilon divaricatum</w:t>
            </w:r>
          </w:p>
        </w:tc>
      </w:tr>
      <w:tr w14:paraId="385101A8">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479" w:type="pct"/>
            <w:vMerge w:val="continue"/>
            <w:vAlign w:val="center"/>
          </w:tcPr>
          <w:p w14:paraId="6089085D">
            <w:pPr>
              <w:keepNext w:val="0"/>
              <w:keepLines w:val="0"/>
              <w:pageBreakBefore w:val="0"/>
              <w:widowControl w:val="0"/>
              <w:kinsoku/>
              <w:wordWrap/>
              <w:overflowPunct/>
              <w:topLinePunct w:val="0"/>
              <w:autoSpaceDE/>
              <w:autoSpaceDN/>
              <w:bidi w:val="0"/>
              <w:adjustRightInd/>
              <w:snapToGrid/>
              <w:spacing w:line="240" w:lineRule="exact"/>
              <w:ind w:firstLine="420" w:firstLineChars="200"/>
              <w:jc w:val="center"/>
              <w:textAlignment w:val="auto"/>
              <w:rPr>
                <w:rFonts w:ascii="Times New Roman" w:hAnsi="Times New Roman" w:eastAsia="宋体" w:cs="Times New Roman"/>
                <w:color w:val="000000"/>
                <w:sz w:val="21"/>
                <w:szCs w:val="21"/>
              </w:rPr>
            </w:pPr>
          </w:p>
        </w:tc>
        <w:tc>
          <w:tcPr>
            <w:tcW w:w="1438" w:type="pct"/>
            <w:vAlign w:val="center"/>
          </w:tcPr>
          <w:p w14:paraId="0412CFAD">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假木贼</w:t>
            </w:r>
          </w:p>
        </w:tc>
        <w:tc>
          <w:tcPr>
            <w:tcW w:w="2082" w:type="pct"/>
            <w:vAlign w:val="center"/>
          </w:tcPr>
          <w:p w14:paraId="60B5C4EF">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ascii="Times New Roman" w:hAnsi="Times New Roman" w:eastAsia="宋体" w:cs="Times New Roman"/>
                <w:i/>
                <w:color w:val="000000"/>
                <w:sz w:val="21"/>
                <w:szCs w:val="21"/>
              </w:rPr>
            </w:pPr>
            <w:r>
              <w:rPr>
                <w:rFonts w:ascii="Times New Roman" w:hAnsi="Times New Roman" w:eastAsia="宋体" w:cs="Times New Roman"/>
                <w:i/>
                <w:color w:val="000000"/>
                <w:sz w:val="21"/>
                <w:szCs w:val="21"/>
              </w:rPr>
              <w:t>Anabassis spp.</w:t>
            </w:r>
          </w:p>
        </w:tc>
      </w:tr>
      <w:tr w14:paraId="55995ECF">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479" w:type="pct"/>
            <w:vMerge w:val="restart"/>
            <w:vAlign w:val="center"/>
          </w:tcPr>
          <w:p w14:paraId="16B9550A">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豆科 Leguminosae</w:t>
            </w:r>
          </w:p>
        </w:tc>
        <w:tc>
          <w:tcPr>
            <w:tcW w:w="1438" w:type="pct"/>
            <w:vAlign w:val="center"/>
          </w:tcPr>
          <w:p w14:paraId="5F000D4A">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铃铛刺</w:t>
            </w:r>
          </w:p>
        </w:tc>
        <w:tc>
          <w:tcPr>
            <w:tcW w:w="2082" w:type="pct"/>
            <w:vAlign w:val="center"/>
          </w:tcPr>
          <w:p w14:paraId="200AB39D">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ascii="Times New Roman" w:hAnsi="Times New Roman" w:eastAsia="宋体" w:cs="Times New Roman"/>
                <w:i/>
                <w:color w:val="000000"/>
                <w:sz w:val="21"/>
                <w:szCs w:val="21"/>
              </w:rPr>
            </w:pPr>
            <w:r>
              <w:rPr>
                <w:rFonts w:ascii="Times New Roman" w:hAnsi="Times New Roman" w:eastAsia="宋体" w:cs="Times New Roman"/>
                <w:i/>
                <w:color w:val="000000"/>
                <w:sz w:val="21"/>
                <w:szCs w:val="21"/>
              </w:rPr>
              <w:t>Halimodendron halodendron</w:t>
            </w:r>
          </w:p>
        </w:tc>
      </w:tr>
      <w:tr w14:paraId="055770EE">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479" w:type="pct"/>
            <w:vMerge w:val="continue"/>
            <w:vAlign w:val="center"/>
          </w:tcPr>
          <w:p w14:paraId="77D6FDB1">
            <w:pPr>
              <w:keepNext w:val="0"/>
              <w:keepLines w:val="0"/>
              <w:pageBreakBefore w:val="0"/>
              <w:widowControl w:val="0"/>
              <w:kinsoku/>
              <w:wordWrap/>
              <w:overflowPunct/>
              <w:topLinePunct w:val="0"/>
              <w:autoSpaceDE/>
              <w:autoSpaceDN/>
              <w:bidi w:val="0"/>
              <w:adjustRightInd/>
              <w:snapToGrid/>
              <w:spacing w:line="240" w:lineRule="exact"/>
              <w:ind w:firstLine="420" w:firstLineChars="200"/>
              <w:jc w:val="center"/>
              <w:textAlignment w:val="auto"/>
              <w:rPr>
                <w:rFonts w:ascii="Times New Roman" w:hAnsi="Times New Roman" w:eastAsia="宋体" w:cs="Times New Roman"/>
                <w:color w:val="000000"/>
                <w:sz w:val="21"/>
                <w:szCs w:val="21"/>
              </w:rPr>
            </w:pPr>
          </w:p>
        </w:tc>
        <w:tc>
          <w:tcPr>
            <w:tcW w:w="1438" w:type="pct"/>
            <w:vAlign w:val="center"/>
          </w:tcPr>
          <w:p w14:paraId="0DCF6EFB">
            <w:pPr>
              <w:keepNext w:val="0"/>
              <w:keepLines w:val="0"/>
              <w:pageBreakBefore w:val="0"/>
              <w:widowControl w:val="0"/>
              <w:kinsoku/>
              <w:wordWrap/>
              <w:overflowPunct/>
              <w:topLinePunct w:val="0"/>
              <w:autoSpaceDE/>
              <w:autoSpaceDN/>
              <w:bidi w:val="0"/>
              <w:adjustRightInd/>
              <w:snapToGrid/>
              <w:spacing w:line="240" w:lineRule="exact"/>
              <w:ind w:firstLine="420" w:firstLineChars="200"/>
              <w:jc w:val="center"/>
              <w:textAlignment w:val="auto"/>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白花苦豆子</w:t>
            </w:r>
          </w:p>
        </w:tc>
        <w:tc>
          <w:tcPr>
            <w:tcW w:w="2082" w:type="pct"/>
            <w:vAlign w:val="center"/>
          </w:tcPr>
          <w:p w14:paraId="69E15A70">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ascii="Times New Roman" w:hAnsi="Times New Roman" w:eastAsia="宋体" w:cs="Times New Roman"/>
                <w:i/>
                <w:color w:val="000000"/>
                <w:sz w:val="21"/>
                <w:szCs w:val="21"/>
              </w:rPr>
            </w:pPr>
            <w:r>
              <w:rPr>
                <w:rFonts w:ascii="Times New Roman" w:hAnsi="Times New Roman" w:eastAsia="宋体" w:cs="Times New Roman"/>
                <w:i/>
                <w:color w:val="000000"/>
                <w:sz w:val="21"/>
                <w:szCs w:val="21"/>
              </w:rPr>
              <w:t>Sqpbora alopecuroides</w:t>
            </w:r>
          </w:p>
        </w:tc>
      </w:tr>
      <w:tr w14:paraId="6C217AD6">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1479" w:type="pct"/>
            <w:vMerge w:val="continue"/>
            <w:vAlign w:val="center"/>
          </w:tcPr>
          <w:p w14:paraId="0693FFB4">
            <w:pPr>
              <w:keepNext w:val="0"/>
              <w:keepLines w:val="0"/>
              <w:pageBreakBefore w:val="0"/>
              <w:widowControl w:val="0"/>
              <w:kinsoku/>
              <w:wordWrap/>
              <w:overflowPunct/>
              <w:topLinePunct w:val="0"/>
              <w:autoSpaceDE/>
              <w:autoSpaceDN/>
              <w:bidi w:val="0"/>
              <w:adjustRightInd/>
              <w:snapToGrid/>
              <w:spacing w:line="240" w:lineRule="exact"/>
              <w:ind w:firstLine="420" w:firstLineChars="200"/>
              <w:jc w:val="center"/>
              <w:textAlignment w:val="auto"/>
              <w:rPr>
                <w:rFonts w:ascii="Times New Roman" w:hAnsi="Times New Roman" w:eastAsia="宋体" w:cs="Times New Roman"/>
                <w:color w:val="000000"/>
                <w:sz w:val="21"/>
                <w:szCs w:val="21"/>
              </w:rPr>
            </w:pPr>
          </w:p>
        </w:tc>
        <w:tc>
          <w:tcPr>
            <w:tcW w:w="1438" w:type="pct"/>
            <w:vAlign w:val="center"/>
          </w:tcPr>
          <w:p w14:paraId="76C55A6E">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苦马豆</w:t>
            </w:r>
          </w:p>
        </w:tc>
        <w:tc>
          <w:tcPr>
            <w:tcW w:w="2082" w:type="pct"/>
            <w:vAlign w:val="center"/>
          </w:tcPr>
          <w:p w14:paraId="0C2B1717">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ascii="Times New Roman" w:hAnsi="Times New Roman" w:eastAsia="宋体" w:cs="Times New Roman"/>
                <w:i/>
                <w:color w:val="000000"/>
                <w:sz w:val="21"/>
                <w:szCs w:val="21"/>
              </w:rPr>
            </w:pPr>
            <w:r>
              <w:rPr>
                <w:rFonts w:ascii="Times New Roman" w:hAnsi="Times New Roman" w:eastAsia="宋体" w:cs="Times New Roman"/>
                <w:i/>
                <w:color w:val="000000"/>
                <w:sz w:val="21"/>
                <w:szCs w:val="21"/>
              </w:rPr>
              <w:t>Sphaorophysa salsula</w:t>
            </w:r>
          </w:p>
        </w:tc>
      </w:tr>
      <w:tr w14:paraId="29EDB5DB">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1479" w:type="pct"/>
            <w:vMerge w:val="continue"/>
            <w:vAlign w:val="center"/>
          </w:tcPr>
          <w:p w14:paraId="5B724765">
            <w:pPr>
              <w:keepNext w:val="0"/>
              <w:keepLines w:val="0"/>
              <w:pageBreakBefore w:val="0"/>
              <w:widowControl w:val="0"/>
              <w:kinsoku/>
              <w:wordWrap/>
              <w:overflowPunct/>
              <w:topLinePunct w:val="0"/>
              <w:autoSpaceDE/>
              <w:autoSpaceDN/>
              <w:bidi w:val="0"/>
              <w:adjustRightInd/>
              <w:snapToGrid/>
              <w:spacing w:line="240" w:lineRule="exact"/>
              <w:ind w:firstLine="420" w:firstLineChars="200"/>
              <w:jc w:val="center"/>
              <w:textAlignment w:val="auto"/>
              <w:rPr>
                <w:rFonts w:ascii="Times New Roman" w:hAnsi="Times New Roman" w:eastAsia="宋体" w:cs="Times New Roman"/>
                <w:color w:val="000000"/>
                <w:sz w:val="21"/>
                <w:szCs w:val="21"/>
              </w:rPr>
            </w:pPr>
          </w:p>
        </w:tc>
        <w:tc>
          <w:tcPr>
            <w:tcW w:w="1438" w:type="pct"/>
            <w:vAlign w:val="center"/>
          </w:tcPr>
          <w:p w14:paraId="4A29DE02">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光甘草</w:t>
            </w:r>
          </w:p>
        </w:tc>
        <w:tc>
          <w:tcPr>
            <w:tcW w:w="2082" w:type="pct"/>
            <w:vAlign w:val="center"/>
          </w:tcPr>
          <w:p w14:paraId="4336D748">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ascii="Times New Roman" w:hAnsi="Times New Roman" w:eastAsia="宋体" w:cs="Times New Roman"/>
                <w:i/>
                <w:color w:val="000000"/>
                <w:sz w:val="21"/>
                <w:szCs w:val="21"/>
              </w:rPr>
            </w:pPr>
            <w:r>
              <w:rPr>
                <w:rFonts w:ascii="Times New Roman" w:hAnsi="Times New Roman" w:eastAsia="宋体" w:cs="Times New Roman"/>
                <w:i/>
                <w:color w:val="000000"/>
                <w:sz w:val="21"/>
                <w:szCs w:val="21"/>
              </w:rPr>
              <w:t>Glycyrrhiza korshinskyi</w:t>
            </w:r>
          </w:p>
        </w:tc>
      </w:tr>
      <w:tr w14:paraId="21FF32DE">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1479" w:type="pct"/>
            <w:vMerge w:val="continue"/>
            <w:vAlign w:val="center"/>
          </w:tcPr>
          <w:p w14:paraId="1F665E17">
            <w:pPr>
              <w:keepNext w:val="0"/>
              <w:keepLines w:val="0"/>
              <w:pageBreakBefore w:val="0"/>
              <w:widowControl w:val="0"/>
              <w:kinsoku/>
              <w:wordWrap/>
              <w:overflowPunct/>
              <w:topLinePunct w:val="0"/>
              <w:autoSpaceDE/>
              <w:autoSpaceDN/>
              <w:bidi w:val="0"/>
              <w:adjustRightInd/>
              <w:snapToGrid/>
              <w:spacing w:line="240" w:lineRule="exact"/>
              <w:ind w:firstLine="420" w:firstLineChars="200"/>
              <w:jc w:val="center"/>
              <w:textAlignment w:val="auto"/>
              <w:rPr>
                <w:rFonts w:ascii="Times New Roman" w:hAnsi="Times New Roman" w:eastAsia="宋体" w:cs="Times New Roman"/>
                <w:color w:val="000000"/>
                <w:sz w:val="21"/>
                <w:szCs w:val="21"/>
              </w:rPr>
            </w:pPr>
          </w:p>
        </w:tc>
        <w:tc>
          <w:tcPr>
            <w:tcW w:w="1438" w:type="pct"/>
            <w:vAlign w:val="center"/>
          </w:tcPr>
          <w:p w14:paraId="35344F6E">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胀果甘草</w:t>
            </w:r>
          </w:p>
        </w:tc>
        <w:tc>
          <w:tcPr>
            <w:tcW w:w="2082" w:type="pct"/>
            <w:vAlign w:val="center"/>
          </w:tcPr>
          <w:p w14:paraId="32D7F5D8">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ascii="Times New Roman" w:hAnsi="Times New Roman" w:eastAsia="宋体" w:cs="Times New Roman"/>
                <w:i/>
                <w:color w:val="000000"/>
                <w:sz w:val="21"/>
                <w:szCs w:val="21"/>
              </w:rPr>
            </w:pPr>
            <w:r>
              <w:rPr>
                <w:rFonts w:ascii="Times New Roman" w:hAnsi="Times New Roman" w:eastAsia="宋体" w:cs="Times New Roman"/>
                <w:i/>
                <w:color w:val="000000"/>
                <w:sz w:val="21"/>
                <w:szCs w:val="21"/>
              </w:rPr>
              <w:t>G.indlata Batal</w:t>
            </w:r>
          </w:p>
        </w:tc>
      </w:tr>
      <w:tr w14:paraId="11188777">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148" w:hRule="atLeast"/>
          <w:jc w:val="center"/>
        </w:trPr>
        <w:tc>
          <w:tcPr>
            <w:tcW w:w="1479" w:type="pct"/>
            <w:vMerge w:val="continue"/>
            <w:vAlign w:val="center"/>
          </w:tcPr>
          <w:p w14:paraId="564F287E">
            <w:pPr>
              <w:keepNext w:val="0"/>
              <w:keepLines w:val="0"/>
              <w:pageBreakBefore w:val="0"/>
              <w:widowControl w:val="0"/>
              <w:kinsoku/>
              <w:wordWrap/>
              <w:overflowPunct/>
              <w:topLinePunct w:val="0"/>
              <w:autoSpaceDE/>
              <w:autoSpaceDN/>
              <w:bidi w:val="0"/>
              <w:adjustRightInd/>
              <w:snapToGrid/>
              <w:spacing w:line="240" w:lineRule="exact"/>
              <w:ind w:firstLine="420" w:firstLineChars="200"/>
              <w:jc w:val="center"/>
              <w:textAlignment w:val="auto"/>
              <w:rPr>
                <w:rFonts w:ascii="Times New Roman" w:hAnsi="Times New Roman" w:eastAsia="宋体" w:cs="Times New Roman"/>
                <w:color w:val="000000"/>
                <w:sz w:val="21"/>
                <w:szCs w:val="21"/>
              </w:rPr>
            </w:pPr>
          </w:p>
        </w:tc>
        <w:tc>
          <w:tcPr>
            <w:tcW w:w="1438" w:type="pct"/>
            <w:vAlign w:val="center"/>
          </w:tcPr>
          <w:p w14:paraId="35D14C4E">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骆驼刺</w:t>
            </w:r>
          </w:p>
        </w:tc>
        <w:tc>
          <w:tcPr>
            <w:tcW w:w="2082" w:type="pct"/>
            <w:vAlign w:val="center"/>
          </w:tcPr>
          <w:p w14:paraId="396920B5">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ascii="Times New Roman" w:hAnsi="Times New Roman" w:eastAsia="宋体" w:cs="Times New Roman"/>
                <w:i/>
                <w:color w:val="000000"/>
                <w:sz w:val="21"/>
                <w:szCs w:val="21"/>
              </w:rPr>
            </w:pPr>
            <w:r>
              <w:rPr>
                <w:rFonts w:ascii="Times New Roman" w:hAnsi="Times New Roman" w:eastAsia="宋体" w:cs="Times New Roman"/>
                <w:i/>
                <w:color w:val="000000"/>
                <w:sz w:val="21"/>
                <w:szCs w:val="21"/>
              </w:rPr>
              <w:t>Althagi sparsifolia</w:t>
            </w:r>
          </w:p>
        </w:tc>
      </w:tr>
      <w:tr w14:paraId="6BB707F0">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1479" w:type="pct"/>
            <w:vMerge w:val="restart"/>
            <w:vAlign w:val="center"/>
          </w:tcPr>
          <w:p w14:paraId="69B1F2BA">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柽柳科 Tamaricaccae</w:t>
            </w:r>
          </w:p>
        </w:tc>
        <w:tc>
          <w:tcPr>
            <w:tcW w:w="1438" w:type="pct"/>
            <w:vAlign w:val="center"/>
          </w:tcPr>
          <w:p w14:paraId="6AB9C281">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短穗柽柳</w:t>
            </w:r>
          </w:p>
        </w:tc>
        <w:tc>
          <w:tcPr>
            <w:tcW w:w="2082" w:type="pct"/>
            <w:vAlign w:val="center"/>
          </w:tcPr>
          <w:p w14:paraId="7367AF25">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ascii="Times New Roman" w:hAnsi="Times New Roman" w:eastAsia="宋体" w:cs="Times New Roman"/>
                <w:i/>
                <w:color w:val="000000"/>
                <w:sz w:val="21"/>
                <w:szCs w:val="21"/>
              </w:rPr>
            </w:pPr>
            <w:r>
              <w:rPr>
                <w:rFonts w:ascii="Times New Roman" w:hAnsi="Times New Roman" w:eastAsia="宋体" w:cs="Times New Roman"/>
                <w:i/>
                <w:color w:val="000000"/>
                <w:sz w:val="21"/>
                <w:szCs w:val="21"/>
              </w:rPr>
              <w:t>Tamarix laxa Willd</w:t>
            </w:r>
          </w:p>
        </w:tc>
      </w:tr>
      <w:tr w14:paraId="7330377D">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133" w:hRule="atLeast"/>
          <w:jc w:val="center"/>
        </w:trPr>
        <w:tc>
          <w:tcPr>
            <w:tcW w:w="1479" w:type="pct"/>
            <w:vMerge w:val="continue"/>
            <w:vAlign w:val="center"/>
          </w:tcPr>
          <w:p w14:paraId="67B878CC">
            <w:pPr>
              <w:keepNext w:val="0"/>
              <w:keepLines w:val="0"/>
              <w:pageBreakBefore w:val="0"/>
              <w:widowControl w:val="0"/>
              <w:kinsoku/>
              <w:wordWrap/>
              <w:overflowPunct/>
              <w:topLinePunct w:val="0"/>
              <w:autoSpaceDE/>
              <w:autoSpaceDN/>
              <w:bidi w:val="0"/>
              <w:adjustRightInd/>
              <w:snapToGrid/>
              <w:spacing w:line="240" w:lineRule="exact"/>
              <w:ind w:firstLine="420" w:firstLineChars="200"/>
              <w:jc w:val="center"/>
              <w:textAlignment w:val="auto"/>
              <w:rPr>
                <w:rFonts w:ascii="Times New Roman" w:hAnsi="Times New Roman" w:eastAsia="宋体" w:cs="Times New Roman"/>
                <w:color w:val="000000"/>
                <w:sz w:val="21"/>
                <w:szCs w:val="21"/>
              </w:rPr>
            </w:pPr>
          </w:p>
        </w:tc>
        <w:tc>
          <w:tcPr>
            <w:tcW w:w="1438" w:type="pct"/>
            <w:vAlign w:val="center"/>
          </w:tcPr>
          <w:p w14:paraId="2AFF18A1">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多花柽柳</w:t>
            </w:r>
          </w:p>
        </w:tc>
        <w:tc>
          <w:tcPr>
            <w:tcW w:w="2082" w:type="pct"/>
            <w:vAlign w:val="center"/>
          </w:tcPr>
          <w:p w14:paraId="1760AF42">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ascii="Times New Roman" w:hAnsi="Times New Roman" w:eastAsia="宋体" w:cs="Times New Roman"/>
                <w:i/>
                <w:color w:val="000000"/>
                <w:sz w:val="21"/>
                <w:szCs w:val="21"/>
              </w:rPr>
            </w:pPr>
            <w:r>
              <w:rPr>
                <w:rFonts w:ascii="Times New Roman" w:hAnsi="Times New Roman" w:eastAsia="宋体" w:cs="Times New Roman"/>
                <w:i/>
                <w:color w:val="000000"/>
                <w:sz w:val="21"/>
                <w:szCs w:val="21"/>
              </w:rPr>
              <w:t>Tamarix hohenackeri Bunge i</w:t>
            </w:r>
          </w:p>
        </w:tc>
      </w:tr>
      <w:tr w14:paraId="758E059A">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1479" w:type="pct"/>
            <w:vMerge w:val="continue"/>
            <w:vAlign w:val="center"/>
          </w:tcPr>
          <w:p w14:paraId="1BCD9F50">
            <w:pPr>
              <w:keepNext w:val="0"/>
              <w:keepLines w:val="0"/>
              <w:pageBreakBefore w:val="0"/>
              <w:widowControl w:val="0"/>
              <w:kinsoku/>
              <w:wordWrap/>
              <w:overflowPunct/>
              <w:topLinePunct w:val="0"/>
              <w:autoSpaceDE/>
              <w:autoSpaceDN/>
              <w:bidi w:val="0"/>
              <w:adjustRightInd/>
              <w:snapToGrid/>
              <w:spacing w:line="240" w:lineRule="exact"/>
              <w:ind w:firstLine="420" w:firstLineChars="200"/>
              <w:jc w:val="center"/>
              <w:textAlignment w:val="auto"/>
              <w:rPr>
                <w:rFonts w:ascii="Times New Roman" w:hAnsi="Times New Roman" w:eastAsia="宋体" w:cs="Times New Roman"/>
                <w:color w:val="000000"/>
                <w:sz w:val="21"/>
                <w:szCs w:val="21"/>
              </w:rPr>
            </w:pPr>
          </w:p>
        </w:tc>
        <w:tc>
          <w:tcPr>
            <w:tcW w:w="1438" w:type="pct"/>
            <w:vAlign w:val="center"/>
          </w:tcPr>
          <w:p w14:paraId="3A657EEE">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长穗柽柳</w:t>
            </w:r>
          </w:p>
        </w:tc>
        <w:tc>
          <w:tcPr>
            <w:tcW w:w="2082" w:type="pct"/>
            <w:vAlign w:val="center"/>
          </w:tcPr>
          <w:p w14:paraId="62C33325">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ascii="Times New Roman" w:hAnsi="Times New Roman" w:eastAsia="宋体" w:cs="Times New Roman"/>
                <w:i/>
                <w:color w:val="000000"/>
                <w:sz w:val="21"/>
                <w:szCs w:val="21"/>
              </w:rPr>
            </w:pPr>
            <w:r>
              <w:rPr>
                <w:rFonts w:ascii="Times New Roman" w:hAnsi="Times New Roman" w:eastAsia="宋体" w:cs="Times New Roman"/>
                <w:i/>
                <w:color w:val="000000"/>
                <w:sz w:val="21"/>
                <w:szCs w:val="21"/>
              </w:rPr>
              <w:t>Tamarix elongata Ledeb</w:t>
            </w:r>
          </w:p>
        </w:tc>
      </w:tr>
    </w:tbl>
    <w:p w14:paraId="6D0CA88C">
      <w:pPr>
        <w:keepNext w:val="0"/>
        <w:keepLines w:val="0"/>
        <w:pageBreakBefore w:val="0"/>
        <w:widowControl w:val="0"/>
        <w:kinsoku/>
        <w:wordWrap/>
        <w:overflowPunct/>
        <w:topLinePunct w:val="0"/>
        <w:autoSpaceDE/>
        <w:autoSpaceDN/>
        <w:bidi w:val="0"/>
        <w:adjustRightInd/>
        <w:snapToGrid/>
        <w:spacing w:before="120" w:beforeLines="50" w:line="240" w:lineRule="auto"/>
        <w:ind w:firstLine="422" w:firstLineChars="200"/>
        <w:jc w:val="center"/>
        <w:textAlignment w:val="auto"/>
        <w:rPr>
          <w:rFonts w:ascii="Times New Roman" w:hAnsi="Times New Roman" w:eastAsia="宋体" w:cs="Times New Roman"/>
          <w:b/>
          <w:color w:val="000000"/>
          <w:sz w:val="21"/>
          <w:szCs w:val="21"/>
        </w:rPr>
      </w:pPr>
      <w:r>
        <w:rPr>
          <w:rFonts w:hint="eastAsia" w:ascii="Times New Roman" w:hAnsi="Times New Roman" w:eastAsia="宋体" w:cs="Times New Roman"/>
          <w:b/>
          <w:color w:val="000000"/>
          <w:sz w:val="21"/>
          <w:szCs w:val="21"/>
          <w:lang w:val="en-US" w:eastAsia="zh-CN"/>
        </w:rPr>
        <w:t xml:space="preserve">续 </w:t>
      </w:r>
      <w:r>
        <w:rPr>
          <w:rFonts w:ascii="Times New Roman" w:hAnsi="Times New Roman" w:eastAsia="宋体" w:cs="Times New Roman"/>
          <w:b/>
          <w:color w:val="000000"/>
          <w:sz w:val="21"/>
          <w:szCs w:val="21"/>
        </w:rPr>
        <w:t>表2.5-1  项目沿线主要植物种名录</w:t>
      </w:r>
    </w:p>
    <w:tbl>
      <w:tblPr>
        <w:tblStyle w:val="22"/>
        <w:tblW w:w="5005" w:type="pct"/>
        <w:jc w:val="center"/>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501"/>
        <w:gridCol w:w="2434"/>
        <w:gridCol w:w="3793"/>
      </w:tblGrid>
      <w:tr w14:paraId="4E860CDE">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1432" w:type="pct"/>
            <w:vAlign w:val="center"/>
          </w:tcPr>
          <w:p w14:paraId="4A5C5BAB">
            <w:pPr>
              <w:keepNext w:val="0"/>
              <w:keepLines w:val="0"/>
              <w:pageBreakBefore w:val="0"/>
              <w:widowControl w:val="0"/>
              <w:kinsoku/>
              <w:wordWrap/>
              <w:overflowPunct/>
              <w:topLinePunct w:val="0"/>
              <w:autoSpaceDE/>
              <w:autoSpaceDN/>
              <w:bidi w:val="0"/>
              <w:adjustRightInd/>
              <w:snapToGrid/>
              <w:spacing w:line="240" w:lineRule="exact"/>
              <w:ind w:firstLine="422" w:firstLineChars="200"/>
              <w:jc w:val="center"/>
              <w:textAlignment w:val="auto"/>
              <w:rPr>
                <w:rFonts w:ascii="Times New Roman" w:hAnsi="Times New Roman" w:eastAsia="宋体" w:cs="Times New Roman"/>
                <w:b/>
                <w:bCs/>
                <w:color w:val="000000"/>
                <w:sz w:val="21"/>
                <w:szCs w:val="21"/>
              </w:rPr>
            </w:pPr>
            <w:r>
              <w:rPr>
                <w:rFonts w:ascii="Times New Roman" w:hAnsi="Times New Roman" w:eastAsia="宋体" w:cs="Times New Roman"/>
                <w:b/>
                <w:bCs/>
                <w:color w:val="000000"/>
                <w:sz w:val="21"/>
                <w:szCs w:val="21"/>
              </w:rPr>
              <w:t>科</w:t>
            </w:r>
          </w:p>
        </w:tc>
        <w:tc>
          <w:tcPr>
            <w:tcW w:w="1394" w:type="pct"/>
            <w:vAlign w:val="center"/>
          </w:tcPr>
          <w:p w14:paraId="5C772594">
            <w:pPr>
              <w:keepNext w:val="0"/>
              <w:keepLines w:val="0"/>
              <w:pageBreakBefore w:val="0"/>
              <w:widowControl w:val="0"/>
              <w:kinsoku/>
              <w:wordWrap/>
              <w:overflowPunct/>
              <w:topLinePunct w:val="0"/>
              <w:autoSpaceDE/>
              <w:autoSpaceDN/>
              <w:bidi w:val="0"/>
              <w:adjustRightInd/>
              <w:snapToGrid/>
              <w:spacing w:line="240" w:lineRule="exact"/>
              <w:ind w:firstLine="422" w:firstLineChars="200"/>
              <w:jc w:val="center"/>
              <w:textAlignment w:val="auto"/>
              <w:rPr>
                <w:rFonts w:ascii="Times New Roman" w:hAnsi="Times New Roman" w:eastAsia="宋体" w:cs="Times New Roman"/>
                <w:b/>
                <w:bCs/>
                <w:color w:val="000000"/>
                <w:sz w:val="21"/>
                <w:szCs w:val="21"/>
              </w:rPr>
            </w:pPr>
            <w:r>
              <w:rPr>
                <w:rFonts w:ascii="Times New Roman" w:hAnsi="Times New Roman" w:eastAsia="宋体" w:cs="Times New Roman"/>
                <w:b/>
                <w:bCs/>
                <w:color w:val="000000"/>
                <w:sz w:val="21"/>
                <w:szCs w:val="21"/>
              </w:rPr>
              <w:t>种名</w:t>
            </w:r>
          </w:p>
        </w:tc>
        <w:tc>
          <w:tcPr>
            <w:tcW w:w="2172" w:type="pct"/>
            <w:vAlign w:val="center"/>
          </w:tcPr>
          <w:p w14:paraId="4EF12029">
            <w:pPr>
              <w:keepNext w:val="0"/>
              <w:keepLines w:val="0"/>
              <w:pageBreakBefore w:val="0"/>
              <w:widowControl w:val="0"/>
              <w:kinsoku/>
              <w:wordWrap/>
              <w:overflowPunct/>
              <w:topLinePunct w:val="0"/>
              <w:autoSpaceDE/>
              <w:autoSpaceDN/>
              <w:bidi w:val="0"/>
              <w:adjustRightInd/>
              <w:snapToGrid/>
              <w:spacing w:line="240" w:lineRule="exact"/>
              <w:ind w:firstLine="422" w:firstLineChars="200"/>
              <w:jc w:val="center"/>
              <w:textAlignment w:val="auto"/>
              <w:rPr>
                <w:rFonts w:ascii="Times New Roman" w:hAnsi="Times New Roman" w:eastAsia="宋体" w:cs="Times New Roman"/>
                <w:b/>
                <w:bCs/>
                <w:color w:val="000000"/>
                <w:sz w:val="21"/>
                <w:szCs w:val="21"/>
              </w:rPr>
            </w:pPr>
            <w:r>
              <w:rPr>
                <w:rFonts w:ascii="Times New Roman" w:hAnsi="Times New Roman" w:eastAsia="宋体" w:cs="Times New Roman"/>
                <w:b/>
                <w:bCs/>
                <w:color w:val="000000"/>
                <w:sz w:val="21"/>
                <w:szCs w:val="21"/>
              </w:rPr>
              <w:t>拉丁名</w:t>
            </w:r>
          </w:p>
        </w:tc>
      </w:tr>
      <w:tr w14:paraId="609F8833">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1432" w:type="pct"/>
            <w:vMerge w:val="restart"/>
            <w:vAlign w:val="center"/>
          </w:tcPr>
          <w:p w14:paraId="6479EC1D">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胡颓子科 Elacagnaccae</w:t>
            </w:r>
          </w:p>
        </w:tc>
        <w:tc>
          <w:tcPr>
            <w:tcW w:w="1394" w:type="pct"/>
            <w:vAlign w:val="center"/>
          </w:tcPr>
          <w:p w14:paraId="34640873">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尖果沙枣</w:t>
            </w:r>
          </w:p>
        </w:tc>
        <w:tc>
          <w:tcPr>
            <w:tcW w:w="2172" w:type="pct"/>
            <w:vAlign w:val="center"/>
          </w:tcPr>
          <w:p w14:paraId="7CA4FD8A">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ascii="Times New Roman" w:hAnsi="Times New Roman" w:eastAsia="宋体" w:cs="Times New Roman"/>
                <w:i/>
                <w:color w:val="000000"/>
                <w:sz w:val="21"/>
                <w:szCs w:val="21"/>
              </w:rPr>
            </w:pPr>
            <w:r>
              <w:rPr>
                <w:rFonts w:ascii="Times New Roman" w:hAnsi="Times New Roman" w:eastAsia="宋体" w:cs="Times New Roman"/>
                <w:i/>
                <w:color w:val="000000"/>
                <w:sz w:val="21"/>
                <w:szCs w:val="21"/>
              </w:rPr>
              <w:t>Elacagnus oxycarpa</w:t>
            </w:r>
          </w:p>
        </w:tc>
      </w:tr>
      <w:tr w14:paraId="26A4D594">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432" w:type="pct"/>
            <w:vMerge w:val="continue"/>
            <w:vAlign w:val="center"/>
          </w:tcPr>
          <w:p w14:paraId="6338EA1C">
            <w:pPr>
              <w:keepNext w:val="0"/>
              <w:keepLines w:val="0"/>
              <w:pageBreakBefore w:val="0"/>
              <w:widowControl w:val="0"/>
              <w:kinsoku/>
              <w:wordWrap/>
              <w:overflowPunct/>
              <w:topLinePunct w:val="0"/>
              <w:autoSpaceDE/>
              <w:autoSpaceDN/>
              <w:bidi w:val="0"/>
              <w:adjustRightInd/>
              <w:snapToGrid/>
              <w:spacing w:line="240" w:lineRule="exact"/>
              <w:ind w:firstLine="420" w:firstLineChars="200"/>
              <w:jc w:val="center"/>
              <w:textAlignment w:val="auto"/>
              <w:rPr>
                <w:rFonts w:ascii="Times New Roman" w:hAnsi="Times New Roman" w:eastAsia="宋体" w:cs="Times New Roman"/>
                <w:color w:val="000000"/>
                <w:sz w:val="21"/>
                <w:szCs w:val="21"/>
              </w:rPr>
            </w:pPr>
          </w:p>
        </w:tc>
        <w:tc>
          <w:tcPr>
            <w:tcW w:w="1394" w:type="pct"/>
            <w:vAlign w:val="center"/>
          </w:tcPr>
          <w:p w14:paraId="197A2F5B">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大沙枣</w:t>
            </w:r>
          </w:p>
        </w:tc>
        <w:tc>
          <w:tcPr>
            <w:tcW w:w="2172" w:type="pct"/>
            <w:vAlign w:val="center"/>
          </w:tcPr>
          <w:p w14:paraId="7F778135">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ascii="Times New Roman" w:hAnsi="Times New Roman" w:eastAsia="宋体" w:cs="Times New Roman"/>
                <w:i/>
                <w:color w:val="000000"/>
                <w:sz w:val="21"/>
                <w:szCs w:val="21"/>
              </w:rPr>
            </w:pPr>
            <w:r>
              <w:rPr>
                <w:rFonts w:ascii="Times New Roman" w:hAnsi="Times New Roman" w:eastAsia="宋体" w:cs="Times New Roman"/>
                <w:i/>
                <w:color w:val="000000"/>
                <w:sz w:val="21"/>
                <w:szCs w:val="21"/>
              </w:rPr>
              <w:t>Elaeagnusangustifolia L</w:t>
            </w:r>
          </w:p>
        </w:tc>
      </w:tr>
      <w:tr w14:paraId="795A7BAD">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1432" w:type="pct"/>
            <w:vMerge w:val="restart"/>
            <w:vAlign w:val="center"/>
          </w:tcPr>
          <w:p w14:paraId="1CA2440B">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夹竹桃科 Apocynaceae</w:t>
            </w:r>
          </w:p>
        </w:tc>
        <w:tc>
          <w:tcPr>
            <w:tcW w:w="1394" w:type="pct"/>
            <w:vAlign w:val="center"/>
          </w:tcPr>
          <w:p w14:paraId="18191318">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大花罗布麻</w:t>
            </w:r>
          </w:p>
        </w:tc>
        <w:tc>
          <w:tcPr>
            <w:tcW w:w="2172" w:type="pct"/>
            <w:vAlign w:val="center"/>
          </w:tcPr>
          <w:p w14:paraId="14FE42EF">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ascii="Times New Roman" w:hAnsi="Times New Roman" w:eastAsia="宋体" w:cs="Times New Roman"/>
                <w:i/>
                <w:color w:val="000000"/>
                <w:sz w:val="21"/>
                <w:szCs w:val="21"/>
              </w:rPr>
            </w:pPr>
            <w:r>
              <w:rPr>
                <w:rFonts w:ascii="Times New Roman" w:hAnsi="Times New Roman" w:eastAsia="宋体" w:cs="Times New Roman"/>
                <w:i/>
                <w:color w:val="000000"/>
                <w:sz w:val="21"/>
                <w:szCs w:val="21"/>
              </w:rPr>
              <w:t>Poacynum hendersonii</w:t>
            </w:r>
          </w:p>
        </w:tc>
      </w:tr>
      <w:tr w14:paraId="4A6F5E89">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1432" w:type="pct"/>
            <w:vMerge w:val="continue"/>
            <w:vAlign w:val="center"/>
          </w:tcPr>
          <w:p w14:paraId="1F47862C">
            <w:pPr>
              <w:keepNext w:val="0"/>
              <w:keepLines w:val="0"/>
              <w:pageBreakBefore w:val="0"/>
              <w:widowControl w:val="0"/>
              <w:kinsoku/>
              <w:wordWrap/>
              <w:overflowPunct/>
              <w:topLinePunct w:val="0"/>
              <w:autoSpaceDE/>
              <w:autoSpaceDN/>
              <w:bidi w:val="0"/>
              <w:adjustRightInd/>
              <w:snapToGrid/>
              <w:spacing w:line="240" w:lineRule="exact"/>
              <w:ind w:firstLine="420" w:firstLineChars="200"/>
              <w:jc w:val="center"/>
              <w:textAlignment w:val="auto"/>
              <w:rPr>
                <w:rFonts w:ascii="Times New Roman" w:hAnsi="Times New Roman" w:eastAsia="宋体" w:cs="Times New Roman"/>
                <w:color w:val="000000"/>
                <w:sz w:val="21"/>
                <w:szCs w:val="21"/>
              </w:rPr>
            </w:pPr>
          </w:p>
        </w:tc>
        <w:tc>
          <w:tcPr>
            <w:tcW w:w="1394" w:type="pct"/>
            <w:vAlign w:val="center"/>
          </w:tcPr>
          <w:p w14:paraId="15F3163C">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茶叶花</w:t>
            </w:r>
          </w:p>
        </w:tc>
        <w:tc>
          <w:tcPr>
            <w:tcW w:w="2172" w:type="pct"/>
            <w:vAlign w:val="center"/>
          </w:tcPr>
          <w:p w14:paraId="29A8C3E1">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ascii="Times New Roman" w:hAnsi="Times New Roman" w:eastAsia="宋体" w:cs="Times New Roman"/>
                <w:i/>
                <w:color w:val="000000"/>
                <w:sz w:val="21"/>
                <w:szCs w:val="21"/>
              </w:rPr>
            </w:pPr>
            <w:r>
              <w:rPr>
                <w:rFonts w:ascii="Times New Roman" w:hAnsi="Times New Roman" w:eastAsia="宋体" w:cs="Times New Roman"/>
                <w:i/>
                <w:color w:val="000000"/>
                <w:sz w:val="21"/>
                <w:szCs w:val="21"/>
              </w:rPr>
              <w:t>Trachomitum lancifolium</w:t>
            </w:r>
          </w:p>
        </w:tc>
      </w:tr>
      <w:tr w14:paraId="7CAB8014">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103" w:hRule="atLeast"/>
          <w:jc w:val="center"/>
        </w:trPr>
        <w:tc>
          <w:tcPr>
            <w:tcW w:w="1432" w:type="pct"/>
            <w:vAlign w:val="center"/>
          </w:tcPr>
          <w:p w14:paraId="2D8A98C5">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茄科 Selanaceae</w:t>
            </w:r>
          </w:p>
        </w:tc>
        <w:tc>
          <w:tcPr>
            <w:tcW w:w="1394" w:type="pct"/>
            <w:vAlign w:val="center"/>
          </w:tcPr>
          <w:p w14:paraId="39137FBB">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黑刺</w:t>
            </w:r>
          </w:p>
        </w:tc>
        <w:tc>
          <w:tcPr>
            <w:tcW w:w="2172" w:type="pct"/>
            <w:vAlign w:val="center"/>
          </w:tcPr>
          <w:p w14:paraId="3C17EB52">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ascii="Times New Roman" w:hAnsi="Times New Roman" w:eastAsia="宋体" w:cs="Times New Roman"/>
                <w:i/>
                <w:color w:val="000000"/>
                <w:sz w:val="21"/>
                <w:szCs w:val="21"/>
              </w:rPr>
            </w:pPr>
            <w:r>
              <w:rPr>
                <w:rFonts w:ascii="Times New Roman" w:hAnsi="Times New Roman" w:eastAsia="宋体" w:cs="Times New Roman"/>
                <w:i/>
                <w:color w:val="000000"/>
                <w:sz w:val="21"/>
                <w:szCs w:val="21"/>
              </w:rPr>
              <w:t>Lycium rutheulcum</w:t>
            </w:r>
          </w:p>
        </w:tc>
      </w:tr>
      <w:tr w14:paraId="452C2098">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1432" w:type="pct"/>
            <w:vAlign w:val="center"/>
          </w:tcPr>
          <w:p w14:paraId="5A5D708E">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菊科 Compositae</w:t>
            </w:r>
          </w:p>
        </w:tc>
        <w:tc>
          <w:tcPr>
            <w:tcW w:w="1394" w:type="pct"/>
            <w:vAlign w:val="center"/>
          </w:tcPr>
          <w:p w14:paraId="4DB3EA00">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花花柴</w:t>
            </w:r>
          </w:p>
        </w:tc>
        <w:tc>
          <w:tcPr>
            <w:tcW w:w="2172" w:type="pct"/>
            <w:vAlign w:val="center"/>
          </w:tcPr>
          <w:p w14:paraId="0A24E9DB">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ascii="Times New Roman" w:hAnsi="Times New Roman" w:eastAsia="宋体" w:cs="Times New Roman"/>
                <w:i/>
                <w:color w:val="000000"/>
                <w:sz w:val="21"/>
                <w:szCs w:val="21"/>
              </w:rPr>
            </w:pPr>
            <w:r>
              <w:rPr>
                <w:rFonts w:ascii="Times New Roman" w:hAnsi="Times New Roman" w:eastAsia="宋体" w:cs="Times New Roman"/>
                <w:i/>
                <w:color w:val="000000"/>
                <w:sz w:val="21"/>
                <w:szCs w:val="21"/>
              </w:rPr>
              <w:t>Karelinia caspica</w:t>
            </w:r>
          </w:p>
        </w:tc>
      </w:tr>
      <w:tr w14:paraId="38C23E8E">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432" w:type="pct"/>
            <w:vMerge w:val="restart"/>
            <w:vAlign w:val="center"/>
          </w:tcPr>
          <w:p w14:paraId="48EB3D3C">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禾本科Gramineae</w:t>
            </w:r>
          </w:p>
        </w:tc>
        <w:tc>
          <w:tcPr>
            <w:tcW w:w="1394" w:type="pct"/>
            <w:vAlign w:val="center"/>
          </w:tcPr>
          <w:p w14:paraId="039914B8">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芦苇</w:t>
            </w:r>
          </w:p>
        </w:tc>
        <w:tc>
          <w:tcPr>
            <w:tcW w:w="2172" w:type="pct"/>
            <w:vAlign w:val="center"/>
          </w:tcPr>
          <w:p w14:paraId="22BC9C3B">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ascii="Times New Roman" w:hAnsi="Times New Roman" w:eastAsia="宋体" w:cs="Times New Roman"/>
                <w:i/>
                <w:color w:val="000000"/>
                <w:sz w:val="21"/>
                <w:szCs w:val="21"/>
              </w:rPr>
            </w:pPr>
            <w:r>
              <w:rPr>
                <w:rFonts w:ascii="Times New Roman" w:hAnsi="Times New Roman" w:eastAsia="宋体" w:cs="Times New Roman"/>
                <w:i/>
                <w:color w:val="000000"/>
                <w:sz w:val="21"/>
                <w:szCs w:val="21"/>
              </w:rPr>
              <w:t>Phragmites communis</w:t>
            </w:r>
          </w:p>
        </w:tc>
      </w:tr>
      <w:tr w14:paraId="68B0B18E">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1432" w:type="pct"/>
            <w:vMerge w:val="continue"/>
            <w:vAlign w:val="center"/>
          </w:tcPr>
          <w:p w14:paraId="0EE68D21">
            <w:pPr>
              <w:keepNext w:val="0"/>
              <w:keepLines w:val="0"/>
              <w:pageBreakBefore w:val="0"/>
              <w:widowControl w:val="0"/>
              <w:kinsoku/>
              <w:wordWrap/>
              <w:overflowPunct/>
              <w:topLinePunct w:val="0"/>
              <w:autoSpaceDE/>
              <w:autoSpaceDN/>
              <w:bidi w:val="0"/>
              <w:adjustRightInd/>
              <w:snapToGrid/>
              <w:spacing w:line="240" w:lineRule="exact"/>
              <w:ind w:firstLine="420" w:firstLineChars="200"/>
              <w:jc w:val="center"/>
              <w:textAlignment w:val="auto"/>
              <w:rPr>
                <w:rFonts w:ascii="Times New Roman" w:hAnsi="Times New Roman" w:eastAsia="宋体" w:cs="Times New Roman"/>
                <w:color w:val="000000"/>
                <w:sz w:val="21"/>
                <w:szCs w:val="21"/>
              </w:rPr>
            </w:pPr>
          </w:p>
        </w:tc>
        <w:tc>
          <w:tcPr>
            <w:tcW w:w="1394" w:type="pct"/>
            <w:vAlign w:val="center"/>
          </w:tcPr>
          <w:p w14:paraId="3DC0DFAA">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假苇拂子茅</w:t>
            </w:r>
          </w:p>
        </w:tc>
        <w:tc>
          <w:tcPr>
            <w:tcW w:w="2172" w:type="pct"/>
            <w:vAlign w:val="center"/>
          </w:tcPr>
          <w:p w14:paraId="2B514AD6">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ascii="Times New Roman" w:hAnsi="Times New Roman" w:eastAsia="宋体" w:cs="Times New Roman"/>
                <w:i/>
                <w:color w:val="000000"/>
                <w:sz w:val="21"/>
                <w:szCs w:val="21"/>
              </w:rPr>
            </w:pPr>
            <w:r>
              <w:rPr>
                <w:rFonts w:ascii="Times New Roman" w:hAnsi="Times New Roman" w:eastAsia="宋体" w:cs="Times New Roman"/>
                <w:i/>
                <w:color w:val="000000"/>
                <w:sz w:val="21"/>
                <w:szCs w:val="21"/>
              </w:rPr>
              <w:t>Calamagrostis pseudophramites</w:t>
            </w:r>
          </w:p>
        </w:tc>
      </w:tr>
    </w:tbl>
    <w:p w14:paraId="6BA7A67C">
      <w:pPr>
        <w:spacing w:before="240" w:beforeLines="100" w:line="300" w:lineRule="auto"/>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沿线地区农耕历史悠久，主要种植的农作物以小麦、玉米、棉花为主，还有水稻、大麦、高粱、胡麻、葵花、花生、芝麻、小茴香等；果树有桃、杏、梨、苹果、葡萄、无花果、石榴、核桃等。</w:t>
      </w:r>
    </w:p>
    <w:p w14:paraId="30852E1B">
      <w:pPr>
        <w:spacing w:line="300" w:lineRule="auto"/>
        <w:ind w:firstLine="480" w:firstLineChars="200"/>
        <w:rPr>
          <w:rFonts w:ascii="Times New Roman" w:hAnsi="Times New Roman" w:eastAsia="宋体" w:cs="Times New Roman"/>
          <w:color w:val="000000"/>
          <w:sz w:val="24"/>
          <w:szCs w:val="22"/>
        </w:rPr>
      </w:pPr>
      <w:r>
        <w:rPr>
          <w:rFonts w:hint="eastAsia" w:ascii="Times New Roman" w:hAnsi="Times New Roman" w:eastAsia="宋体" w:cs="Times New Roman"/>
          <w:color w:val="000000"/>
          <w:sz w:val="24"/>
          <w:szCs w:val="22"/>
          <w:lang w:val="en-US" w:eastAsia="zh-CN"/>
        </w:rPr>
        <w:t xml:space="preserve">2. </w:t>
      </w:r>
      <w:r>
        <w:rPr>
          <w:rFonts w:ascii="Times New Roman" w:hAnsi="Times New Roman" w:eastAsia="宋体" w:cs="Times New Roman"/>
          <w:color w:val="000000"/>
          <w:sz w:val="24"/>
          <w:szCs w:val="22"/>
        </w:rPr>
        <w:t>评价区内植被分布特征</w:t>
      </w:r>
    </w:p>
    <w:p w14:paraId="00469283">
      <w:pPr>
        <w:keepNext w:val="0"/>
        <w:keepLines w:val="0"/>
        <w:pageBreakBefore w:val="0"/>
        <w:widowControl w:val="0"/>
        <w:kinsoku/>
        <w:wordWrap/>
        <w:overflowPunct/>
        <w:topLinePunct w:val="0"/>
        <w:autoSpaceDE/>
        <w:autoSpaceDN/>
        <w:bidi w:val="0"/>
        <w:adjustRightInd/>
        <w:snapToGrid/>
        <w:spacing w:after="0" w:afterLines="50" w:line="300" w:lineRule="auto"/>
        <w:ind w:firstLine="480" w:firstLineChars="200"/>
        <w:textAlignment w:val="auto"/>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根据Landsat-TM8遥感数据解译结合现场调查，拟建公路两侧评价范围内（中心线两侧各300m）植被总面积为1577.22hm</w:t>
      </w:r>
      <w:r>
        <w:rPr>
          <w:rFonts w:ascii="Times New Roman" w:hAnsi="Times New Roman" w:eastAsia="宋体" w:cs="Times New Roman"/>
          <w:color w:val="000000"/>
          <w:sz w:val="24"/>
          <w:szCs w:val="22"/>
          <w:vertAlign w:val="superscript"/>
        </w:rPr>
        <w:t>2</w:t>
      </w:r>
      <w:r>
        <w:rPr>
          <w:rFonts w:ascii="Times New Roman" w:hAnsi="Times New Roman" w:eastAsia="宋体" w:cs="Times New Roman"/>
          <w:color w:val="000000"/>
          <w:sz w:val="24"/>
          <w:szCs w:val="22"/>
        </w:rPr>
        <w:t>。其中农田栽培植被面积最大，占评价范围内植被总面积的72.25%；其次是草地和林地，占评价范</w:t>
      </w:r>
      <w:r>
        <w:rPr>
          <w:rFonts w:hint="eastAsia" w:ascii="Times New Roman" w:hAnsi="Times New Roman" w:eastAsia="宋体" w:cs="Times New Roman"/>
          <w:color w:val="000000"/>
          <w:sz w:val="24"/>
          <w:szCs w:val="22"/>
          <w:lang w:eastAsia="zh-CN"/>
        </w:rPr>
        <w:t>围内</w:t>
      </w:r>
      <w:r>
        <w:rPr>
          <w:rFonts w:ascii="Times New Roman" w:hAnsi="Times New Roman" w:eastAsia="宋体" w:cs="Times New Roman"/>
          <w:color w:val="000000"/>
          <w:sz w:val="24"/>
          <w:szCs w:val="22"/>
        </w:rPr>
        <w:t>植被总面积的14.36%和13.39%。各类植被类型及面积见</w:t>
      </w:r>
      <w:r>
        <w:rPr>
          <w:rFonts w:ascii="Times New Roman" w:hAnsi="Times New Roman" w:eastAsia="宋体" w:cs="Times New Roman"/>
          <w:color w:val="000000"/>
          <w:sz w:val="24"/>
          <w:szCs w:val="22"/>
        </w:rPr>
        <w:fldChar w:fldCharType="begin"/>
      </w:r>
      <w:r>
        <w:rPr>
          <w:rFonts w:ascii="Times New Roman" w:hAnsi="Times New Roman" w:eastAsia="宋体" w:cs="Times New Roman"/>
          <w:color w:val="000000"/>
          <w:sz w:val="24"/>
          <w:szCs w:val="22"/>
        </w:rPr>
        <w:instrText xml:space="preserve"> REF _Ref220313961 \h  \* MERGEFORMAT </w:instrText>
      </w:r>
      <w:r>
        <w:rPr>
          <w:rFonts w:ascii="Times New Roman" w:hAnsi="Times New Roman" w:eastAsia="宋体" w:cs="Times New Roman"/>
          <w:color w:val="000000"/>
          <w:sz w:val="24"/>
          <w:szCs w:val="22"/>
        </w:rPr>
        <w:fldChar w:fldCharType="separate"/>
      </w:r>
      <w:r>
        <w:rPr>
          <w:rFonts w:ascii="Times New Roman" w:hAnsi="Times New Roman" w:eastAsia="宋体" w:cs="Times New Roman"/>
          <w:color w:val="000000"/>
          <w:sz w:val="24"/>
          <w:szCs w:val="22"/>
        </w:rPr>
        <w:t>表 2.5-2</w:t>
      </w:r>
      <w:r>
        <w:rPr>
          <w:rFonts w:ascii="Times New Roman" w:hAnsi="Times New Roman" w:eastAsia="宋体" w:cs="Times New Roman"/>
          <w:color w:val="000000"/>
          <w:sz w:val="24"/>
          <w:szCs w:val="22"/>
        </w:rPr>
        <w:fldChar w:fldCharType="end"/>
      </w:r>
      <w:r>
        <w:rPr>
          <w:rFonts w:ascii="Times New Roman" w:hAnsi="Times New Roman" w:eastAsia="宋体" w:cs="Times New Roman"/>
          <w:color w:val="000000"/>
          <w:sz w:val="24"/>
          <w:szCs w:val="22"/>
        </w:rPr>
        <w:t>。</w:t>
      </w:r>
    </w:p>
    <w:p w14:paraId="5BE99EA7">
      <w:pPr>
        <w:keepNext/>
        <w:widowControl w:val="0"/>
        <w:spacing w:line="240" w:lineRule="auto"/>
        <w:ind w:firstLine="0" w:firstLineChars="0"/>
        <w:jc w:val="center"/>
        <w:rPr>
          <w:rFonts w:ascii="Times New Roman" w:hAnsi="Times New Roman" w:eastAsia="宋体" w:cs="Times New Roman"/>
          <w:b/>
          <w:color w:val="000000"/>
          <w:kern w:val="2"/>
          <w:sz w:val="21"/>
          <w:szCs w:val="20"/>
          <w:lang w:val="en-US" w:eastAsia="zh-CN" w:bidi="ar-SA"/>
        </w:rPr>
      </w:pPr>
      <w:bookmarkStart w:id="339" w:name="_Ref220313961"/>
      <w:r>
        <w:rPr>
          <w:rFonts w:ascii="Times New Roman" w:hAnsi="Times New Roman" w:eastAsia="宋体" w:cs="Times New Roman"/>
          <w:b/>
          <w:color w:val="000000"/>
          <w:kern w:val="2"/>
          <w:sz w:val="21"/>
          <w:szCs w:val="20"/>
          <w:lang w:val="en-US" w:eastAsia="zh-CN" w:bidi="ar-SA"/>
        </w:rPr>
        <w:t xml:space="preserve">表 </w:t>
      </w:r>
      <w:bookmarkEnd w:id="339"/>
      <w:r>
        <w:rPr>
          <w:rFonts w:ascii="Times New Roman" w:hAnsi="Times New Roman" w:eastAsia="宋体" w:cs="Times New Roman"/>
          <w:b/>
          <w:color w:val="000000"/>
          <w:kern w:val="2"/>
          <w:sz w:val="21"/>
          <w:szCs w:val="20"/>
          <w:lang w:val="en-US" w:eastAsia="zh-CN" w:bidi="ar-SA"/>
        </w:rPr>
        <w:t xml:space="preserve">2.5-2 </w:t>
      </w:r>
      <w:r>
        <w:rPr>
          <w:rFonts w:hint="eastAsia" w:ascii="Times New Roman" w:hAnsi="Times New Roman" w:eastAsia="宋体" w:cs="Times New Roman"/>
          <w:b/>
          <w:color w:val="000000"/>
          <w:kern w:val="2"/>
          <w:sz w:val="21"/>
          <w:szCs w:val="20"/>
          <w:lang w:val="en-US" w:eastAsia="zh-CN" w:bidi="ar-SA"/>
        </w:rPr>
        <w:t xml:space="preserve"> </w:t>
      </w:r>
      <w:r>
        <w:rPr>
          <w:rFonts w:ascii="Times New Roman" w:hAnsi="Times New Roman" w:eastAsia="宋体" w:cs="Times New Roman"/>
          <w:b/>
          <w:color w:val="000000"/>
          <w:kern w:val="2"/>
          <w:sz w:val="21"/>
          <w:szCs w:val="20"/>
          <w:lang w:val="en-US" w:eastAsia="zh-CN" w:bidi="ar-SA"/>
        </w:rPr>
        <w:t>拟建公路评价范围内植被面积一览表</w:t>
      </w:r>
    </w:p>
    <w:tbl>
      <w:tblPr>
        <w:tblStyle w:val="22"/>
        <w:tblW w:w="5000" w:type="pct"/>
        <w:jc w:val="center"/>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868"/>
        <w:gridCol w:w="1868"/>
        <w:gridCol w:w="1868"/>
        <w:gridCol w:w="1681"/>
        <w:gridCol w:w="1435"/>
      </w:tblGrid>
      <w:tr w14:paraId="626CD50C">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1071" w:type="pct"/>
            <w:vAlign w:val="center"/>
          </w:tcPr>
          <w:p w14:paraId="37F92F58">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ascii="Times New Roman" w:hAnsi="Times New Roman" w:eastAsia="宋体" w:cs="Times New Roman"/>
                <w:b/>
                <w:bCs/>
                <w:color w:val="000000"/>
                <w:kern w:val="0"/>
                <w:sz w:val="21"/>
                <w:szCs w:val="21"/>
              </w:rPr>
            </w:pPr>
            <w:r>
              <w:rPr>
                <w:rFonts w:ascii="Times New Roman" w:hAnsi="Times New Roman" w:eastAsia="宋体" w:cs="Times New Roman"/>
                <w:b/>
                <w:bCs/>
                <w:color w:val="000000"/>
                <w:kern w:val="0"/>
                <w:sz w:val="21"/>
                <w:szCs w:val="21"/>
              </w:rPr>
              <w:t>植被类型</w:t>
            </w:r>
          </w:p>
        </w:tc>
        <w:tc>
          <w:tcPr>
            <w:tcW w:w="1071" w:type="pct"/>
            <w:vAlign w:val="center"/>
          </w:tcPr>
          <w:p w14:paraId="6D9A1709">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ascii="Times New Roman" w:hAnsi="Times New Roman" w:eastAsia="宋体" w:cs="Times New Roman"/>
                <w:b/>
                <w:bCs/>
                <w:color w:val="000000"/>
                <w:kern w:val="0"/>
                <w:sz w:val="21"/>
                <w:szCs w:val="21"/>
              </w:rPr>
            </w:pPr>
            <w:r>
              <w:rPr>
                <w:rFonts w:ascii="Times New Roman" w:hAnsi="Times New Roman" w:eastAsia="宋体" w:cs="Times New Roman"/>
                <w:b/>
                <w:bCs/>
                <w:color w:val="000000"/>
                <w:kern w:val="0"/>
                <w:sz w:val="21"/>
                <w:szCs w:val="21"/>
              </w:rPr>
              <w:t>林地</w:t>
            </w:r>
          </w:p>
        </w:tc>
        <w:tc>
          <w:tcPr>
            <w:tcW w:w="1071" w:type="pct"/>
            <w:vAlign w:val="center"/>
          </w:tcPr>
          <w:p w14:paraId="4B72ACD4">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ascii="Times New Roman" w:hAnsi="Times New Roman" w:eastAsia="宋体" w:cs="Times New Roman"/>
                <w:b/>
                <w:bCs/>
                <w:color w:val="000000"/>
                <w:kern w:val="0"/>
                <w:sz w:val="21"/>
                <w:szCs w:val="21"/>
              </w:rPr>
            </w:pPr>
            <w:r>
              <w:rPr>
                <w:rFonts w:ascii="Times New Roman" w:hAnsi="Times New Roman" w:eastAsia="宋体" w:cs="Times New Roman"/>
                <w:b/>
                <w:bCs/>
                <w:color w:val="000000"/>
                <w:kern w:val="0"/>
                <w:sz w:val="21"/>
                <w:szCs w:val="21"/>
              </w:rPr>
              <w:t>草地</w:t>
            </w:r>
          </w:p>
        </w:tc>
        <w:tc>
          <w:tcPr>
            <w:tcW w:w="964" w:type="pct"/>
            <w:vAlign w:val="center"/>
          </w:tcPr>
          <w:p w14:paraId="095D24E6">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ascii="Times New Roman" w:hAnsi="Times New Roman" w:eastAsia="宋体" w:cs="Times New Roman"/>
                <w:b/>
                <w:bCs/>
                <w:color w:val="000000"/>
                <w:kern w:val="0"/>
                <w:sz w:val="21"/>
                <w:szCs w:val="21"/>
              </w:rPr>
            </w:pPr>
            <w:r>
              <w:rPr>
                <w:rFonts w:ascii="Times New Roman" w:hAnsi="Times New Roman" w:eastAsia="宋体" w:cs="Times New Roman"/>
                <w:b/>
                <w:bCs/>
                <w:color w:val="000000"/>
                <w:kern w:val="0"/>
                <w:sz w:val="21"/>
                <w:szCs w:val="21"/>
              </w:rPr>
              <w:t>农田栽培植被</w:t>
            </w:r>
          </w:p>
        </w:tc>
        <w:tc>
          <w:tcPr>
            <w:tcW w:w="823" w:type="pct"/>
            <w:vAlign w:val="center"/>
          </w:tcPr>
          <w:p w14:paraId="7602BF2B">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ascii="Times New Roman" w:hAnsi="Times New Roman" w:eastAsia="宋体" w:cs="Times New Roman"/>
                <w:b/>
                <w:bCs/>
                <w:color w:val="000000"/>
                <w:kern w:val="0"/>
                <w:sz w:val="21"/>
                <w:szCs w:val="21"/>
              </w:rPr>
            </w:pPr>
            <w:r>
              <w:rPr>
                <w:rFonts w:ascii="Times New Roman" w:hAnsi="Times New Roman" w:eastAsia="宋体" w:cs="Times New Roman"/>
                <w:b/>
                <w:bCs/>
                <w:color w:val="000000"/>
                <w:kern w:val="0"/>
                <w:sz w:val="21"/>
                <w:szCs w:val="21"/>
              </w:rPr>
              <w:t>合计</w:t>
            </w:r>
          </w:p>
        </w:tc>
      </w:tr>
      <w:tr w14:paraId="0E6346CC">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165" w:hRule="atLeast"/>
          <w:jc w:val="center"/>
        </w:trPr>
        <w:tc>
          <w:tcPr>
            <w:tcW w:w="1071" w:type="pct"/>
            <w:vAlign w:val="center"/>
          </w:tcPr>
          <w:p w14:paraId="04361417">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ascii="Times New Roman" w:hAnsi="Times New Roman" w:eastAsia="宋体" w:cs="Times New Roman"/>
                <w:color w:val="000000"/>
                <w:kern w:val="0"/>
                <w:sz w:val="21"/>
                <w:szCs w:val="21"/>
              </w:rPr>
            </w:pPr>
            <w:bookmarkStart w:id="340" w:name="_Hlk235176416"/>
            <w:r>
              <w:rPr>
                <w:rFonts w:ascii="Times New Roman" w:hAnsi="Times New Roman" w:eastAsia="宋体" w:cs="Times New Roman"/>
                <w:color w:val="000000"/>
                <w:kern w:val="0"/>
                <w:sz w:val="21"/>
                <w:szCs w:val="21"/>
              </w:rPr>
              <w:t>面积（hm</w:t>
            </w:r>
            <w:r>
              <w:rPr>
                <w:rFonts w:ascii="Times New Roman" w:hAnsi="Times New Roman" w:eastAsia="宋体" w:cs="Times New Roman"/>
                <w:color w:val="000000"/>
                <w:kern w:val="0"/>
                <w:sz w:val="21"/>
                <w:szCs w:val="21"/>
                <w:vertAlign w:val="superscript"/>
              </w:rPr>
              <w:t>2</w:t>
            </w:r>
            <w:r>
              <w:rPr>
                <w:rFonts w:ascii="Times New Roman" w:hAnsi="Times New Roman" w:eastAsia="宋体" w:cs="Times New Roman"/>
                <w:color w:val="000000"/>
                <w:kern w:val="0"/>
                <w:sz w:val="21"/>
                <w:szCs w:val="21"/>
              </w:rPr>
              <w:t>）</w:t>
            </w:r>
          </w:p>
        </w:tc>
        <w:tc>
          <w:tcPr>
            <w:tcW w:w="1071" w:type="pct"/>
            <w:vAlign w:val="center"/>
          </w:tcPr>
          <w:p w14:paraId="29AD6AF5">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ascii="Times New Roman" w:hAnsi="Times New Roman" w:eastAsia="宋体" w:cs="Times New Roman"/>
                <w:color w:val="000000"/>
                <w:kern w:val="0"/>
                <w:sz w:val="22"/>
                <w:szCs w:val="22"/>
              </w:rPr>
            </w:pPr>
            <w:r>
              <w:rPr>
                <w:rFonts w:ascii="Times New Roman" w:hAnsi="Times New Roman" w:eastAsia="宋体" w:cs="Times New Roman"/>
                <w:color w:val="000000"/>
                <w:sz w:val="22"/>
                <w:szCs w:val="22"/>
              </w:rPr>
              <w:t>211.23</w:t>
            </w:r>
          </w:p>
        </w:tc>
        <w:tc>
          <w:tcPr>
            <w:tcW w:w="1071" w:type="pct"/>
            <w:vAlign w:val="center"/>
          </w:tcPr>
          <w:p w14:paraId="7CED001C">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ascii="Times New Roman" w:hAnsi="Times New Roman" w:eastAsia="宋体" w:cs="Times New Roman"/>
                <w:color w:val="000000"/>
                <w:kern w:val="0"/>
                <w:sz w:val="22"/>
                <w:szCs w:val="22"/>
              </w:rPr>
            </w:pPr>
            <w:r>
              <w:rPr>
                <w:rFonts w:ascii="Times New Roman" w:hAnsi="Times New Roman" w:eastAsia="宋体" w:cs="Times New Roman"/>
                <w:color w:val="000000"/>
                <w:sz w:val="22"/>
                <w:szCs w:val="22"/>
              </w:rPr>
              <w:t>226.43</w:t>
            </w:r>
          </w:p>
        </w:tc>
        <w:tc>
          <w:tcPr>
            <w:tcW w:w="964" w:type="pct"/>
            <w:vAlign w:val="center"/>
          </w:tcPr>
          <w:p w14:paraId="2B2A1A79">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ascii="Times New Roman" w:hAnsi="Times New Roman" w:eastAsia="宋体" w:cs="Times New Roman"/>
                <w:color w:val="000000"/>
                <w:kern w:val="0"/>
                <w:sz w:val="22"/>
                <w:szCs w:val="22"/>
              </w:rPr>
            </w:pPr>
            <w:r>
              <w:rPr>
                <w:rFonts w:ascii="Times New Roman" w:hAnsi="Times New Roman" w:eastAsia="宋体" w:cs="Times New Roman"/>
                <w:color w:val="000000"/>
                <w:sz w:val="22"/>
                <w:szCs w:val="22"/>
              </w:rPr>
              <w:t>1139.56</w:t>
            </w:r>
          </w:p>
        </w:tc>
        <w:tc>
          <w:tcPr>
            <w:tcW w:w="823" w:type="pct"/>
            <w:vAlign w:val="center"/>
          </w:tcPr>
          <w:p w14:paraId="6D090720">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ascii="Times New Roman" w:hAnsi="Times New Roman" w:eastAsia="宋体" w:cs="Times New Roman"/>
                <w:color w:val="000000"/>
                <w:kern w:val="0"/>
                <w:sz w:val="22"/>
                <w:szCs w:val="22"/>
              </w:rPr>
            </w:pPr>
            <w:r>
              <w:rPr>
                <w:rFonts w:ascii="Times New Roman" w:hAnsi="Times New Roman" w:eastAsia="宋体" w:cs="Times New Roman"/>
                <w:color w:val="000000"/>
                <w:sz w:val="22"/>
                <w:szCs w:val="22"/>
              </w:rPr>
              <w:t>1577.22</w:t>
            </w:r>
          </w:p>
        </w:tc>
      </w:tr>
      <w:bookmarkEnd w:id="340"/>
      <w:tr w14:paraId="49DECB5A">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225" w:hRule="atLeast"/>
          <w:jc w:val="center"/>
        </w:trPr>
        <w:tc>
          <w:tcPr>
            <w:tcW w:w="1071" w:type="pct"/>
            <w:vAlign w:val="center"/>
          </w:tcPr>
          <w:p w14:paraId="119FB071">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比例（%）</w:t>
            </w:r>
          </w:p>
        </w:tc>
        <w:tc>
          <w:tcPr>
            <w:tcW w:w="1071" w:type="pct"/>
            <w:noWrap/>
            <w:vAlign w:val="center"/>
          </w:tcPr>
          <w:p w14:paraId="36409899">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ascii="Times New Roman" w:hAnsi="Times New Roman" w:eastAsia="宋体" w:cs="Times New Roman"/>
                <w:color w:val="000000"/>
                <w:kern w:val="0"/>
                <w:sz w:val="22"/>
                <w:szCs w:val="22"/>
              </w:rPr>
            </w:pPr>
            <w:r>
              <w:rPr>
                <w:rFonts w:ascii="Times New Roman" w:hAnsi="Times New Roman" w:eastAsia="宋体" w:cs="Times New Roman"/>
                <w:color w:val="000000"/>
                <w:sz w:val="22"/>
                <w:szCs w:val="22"/>
              </w:rPr>
              <w:t>13.39%</w:t>
            </w:r>
          </w:p>
        </w:tc>
        <w:tc>
          <w:tcPr>
            <w:tcW w:w="1071" w:type="pct"/>
            <w:noWrap/>
            <w:vAlign w:val="center"/>
          </w:tcPr>
          <w:p w14:paraId="672AEC3D">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ascii="Times New Roman" w:hAnsi="Times New Roman" w:eastAsia="宋体" w:cs="Times New Roman"/>
                <w:color w:val="000000"/>
                <w:kern w:val="0"/>
                <w:sz w:val="22"/>
                <w:szCs w:val="22"/>
              </w:rPr>
            </w:pPr>
            <w:r>
              <w:rPr>
                <w:rFonts w:ascii="Times New Roman" w:hAnsi="Times New Roman" w:eastAsia="宋体" w:cs="Times New Roman"/>
                <w:color w:val="000000"/>
                <w:sz w:val="22"/>
                <w:szCs w:val="22"/>
              </w:rPr>
              <w:t>14.36%</w:t>
            </w:r>
          </w:p>
        </w:tc>
        <w:tc>
          <w:tcPr>
            <w:tcW w:w="964" w:type="pct"/>
            <w:noWrap/>
            <w:vAlign w:val="center"/>
          </w:tcPr>
          <w:p w14:paraId="74B5C503">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ascii="Times New Roman" w:hAnsi="Times New Roman" w:eastAsia="宋体" w:cs="Times New Roman"/>
                <w:color w:val="000000"/>
                <w:kern w:val="0"/>
                <w:sz w:val="22"/>
                <w:szCs w:val="22"/>
              </w:rPr>
            </w:pPr>
            <w:r>
              <w:rPr>
                <w:rFonts w:ascii="Times New Roman" w:hAnsi="Times New Roman" w:eastAsia="宋体" w:cs="Times New Roman"/>
                <w:color w:val="000000"/>
                <w:sz w:val="22"/>
                <w:szCs w:val="22"/>
              </w:rPr>
              <w:t>72.25%</w:t>
            </w:r>
          </w:p>
        </w:tc>
        <w:tc>
          <w:tcPr>
            <w:tcW w:w="823" w:type="pct"/>
            <w:noWrap/>
            <w:vAlign w:val="center"/>
          </w:tcPr>
          <w:p w14:paraId="3B4464E0">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ascii="Times New Roman" w:hAnsi="Times New Roman" w:eastAsia="宋体" w:cs="Times New Roman"/>
                <w:color w:val="000000"/>
                <w:kern w:val="0"/>
                <w:sz w:val="22"/>
                <w:szCs w:val="22"/>
              </w:rPr>
            </w:pPr>
            <w:r>
              <w:rPr>
                <w:rFonts w:ascii="Times New Roman" w:hAnsi="Times New Roman" w:eastAsia="宋体" w:cs="Times New Roman"/>
                <w:color w:val="000000"/>
                <w:sz w:val="22"/>
                <w:szCs w:val="22"/>
              </w:rPr>
              <w:t>100.00%</w:t>
            </w:r>
          </w:p>
        </w:tc>
      </w:tr>
    </w:tbl>
    <w:p w14:paraId="433E2CEB">
      <w:pPr>
        <w:spacing w:line="300" w:lineRule="auto"/>
        <w:ind w:firstLine="480" w:firstLineChars="200"/>
        <w:rPr>
          <w:rFonts w:ascii="Times New Roman" w:hAnsi="Times New Roman" w:eastAsia="宋体" w:cs="Times New Roman"/>
          <w:color w:val="000000"/>
          <w:sz w:val="24"/>
          <w:szCs w:val="22"/>
        </w:rPr>
      </w:pPr>
    </w:p>
    <w:p w14:paraId="0F18AC6A">
      <w:pPr>
        <w:spacing w:line="300" w:lineRule="auto"/>
        <w:ind w:firstLine="480" w:firstLineChars="200"/>
        <w:rPr>
          <w:rFonts w:ascii="Times New Roman" w:hAnsi="Times New Roman" w:eastAsia="宋体" w:cs="Times New Roman"/>
          <w:color w:val="000000"/>
          <w:sz w:val="24"/>
          <w:szCs w:val="22"/>
        </w:rPr>
      </w:pPr>
      <w:r>
        <w:rPr>
          <w:rFonts w:hint="eastAsia" w:ascii="Times New Roman" w:hAnsi="Times New Roman" w:eastAsia="宋体" w:cs="Times New Roman"/>
          <w:color w:val="000000"/>
          <w:sz w:val="24"/>
          <w:szCs w:val="22"/>
          <w:lang w:val="en-US" w:eastAsia="zh-CN"/>
        </w:rPr>
        <w:t>3.</w:t>
      </w:r>
      <w:r>
        <w:rPr>
          <w:rFonts w:ascii="Times New Roman" w:hAnsi="Times New Roman" w:eastAsia="宋体" w:cs="Times New Roman"/>
          <w:color w:val="000000"/>
          <w:sz w:val="24"/>
          <w:szCs w:val="22"/>
        </w:rPr>
        <w:t xml:space="preserve"> 拟建公路沿线植被生物量和群落生产力</w:t>
      </w:r>
    </w:p>
    <w:p w14:paraId="409B21DE">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根据遥感数据解译，结合现场调查评价区地表植被覆盖现状和植被立地情况等，得出拟建公路两侧评价范围内各类植被类型，可划分为林地、草地、农田栽培植被等，以各植被类型平均生物量、平均净生产力等参数来推算，各植被类型的生物量情况见</w:t>
      </w:r>
      <w:r>
        <w:rPr>
          <w:rFonts w:ascii="Times New Roman" w:hAnsi="Times New Roman" w:eastAsia="宋体" w:cs="Times New Roman"/>
          <w:color w:val="000000"/>
          <w:sz w:val="24"/>
          <w:szCs w:val="22"/>
        </w:rPr>
        <w:fldChar w:fldCharType="begin"/>
      </w:r>
      <w:r>
        <w:rPr>
          <w:rFonts w:ascii="Times New Roman" w:hAnsi="Times New Roman" w:eastAsia="宋体" w:cs="Times New Roman"/>
          <w:color w:val="000000"/>
          <w:sz w:val="24"/>
          <w:szCs w:val="22"/>
        </w:rPr>
        <w:instrText xml:space="preserve"> REF _Ref220314010 \h  \* MERGEFORMAT </w:instrText>
      </w:r>
      <w:r>
        <w:rPr>
          <w:rFonts w:ascii="Times New Roman" w:hAnsi="Times New Roman" w:eastAsia="宋体" w:cs="Times New Roman"/>
          <w:color w:val="000000"/>
          <w:sz w:val="24"/>
          <w:szCs w:val="22"/>
        </w:rPr>
        <w:fldChar w:fldCharType="separate"/>
      </w:r>
      <w:r>
        <w:rPr>
          <w:rFonts w:ascii="Times New Roman" w:hAnsi="Times New Roman" w:eastAsia="宋体" w:cs="Times New Roman"/>
          <w:color w:val="000000"/>
          <w:sz w:val="24"/>
          <w:szCs w:val="22"/>
        </w:rPr>
        <w:t>表 2.5</w:t>
      </w:r>
      <w:r>
        <w:rPr>
          <w:rFonts w:ascii="Times New Roman" w:hAnsi="Times New Roman" w:eastAsia="宋体" w:cs="Times New Roman"/>
          <w:color w:val="000000"/>
          <w:sz w:val="24"/>
          <w:szCs w:val="22"/>
        </w:rPr>
        <w:noBreakHyphen/>
      </w:r>
      <w:r>
        <w:rPr>
          <w:rFonts w:ascii="Times New Roman" w:hAnsi="Times New Roman" w:eastAsia="宋体" w:cs="Times New Roman"/>
          <w:color w:val="000000"/>
          <w:sz w:val="24"/>
          <w:szCs w:val="22"/>
        </w:rPr>
        <w:fldChar w:fldCharType="end"/>
      </w:r>
      <w:r>
        <w:rPr>
          <w:rFonts w:ascii="Times New Roman" w:hAnsi="Times New Roman" w:eastAsia="宋体" w:cs="Times New Roman"/>
          <w:color w:val="000000"/>
          <w:sz w:val="24"/>
          <w:szCs w:val="22"/>
        </w:rPr>
        <w:t>3。</w:t>
      </w:r>
    </w:p>
    <w:p w14:paraId="2422024B">
      <w:pPr>
        <w:keepNext/>
        <w:widowControl w:val="0"/>
        <w:spacing w:line="240" w:lineRule="auto"/>
        <w:ind w:firstLine="0" w:firstLineChars="0"/>
        <w:jc w:val="center"/>
        <w:rPr>
          <w:rFonts w:ascii="Times New Roman" w:hAnsi="Times New Roman" w:eastAsia="宋体" w:cs="Times New Roman"/>
          <w:b/>
          <w:color w:val="000000"/>
          <w:kern w:val="2"/>
          <w:sz w:val="21"/>
          <w:szCs w:val="20"/>
          <w:lang w:val="en-US" w:eastAsia="zh-CN" w:bidi="ar-SA"/>
        </w:rPr>
      </w:pPr>
      <w:bookmarkStart w:id="341" w:name="_Ref220314010"/>
      <w:r>
        <w:rPr>
          <w:rFonts w:ascii="Times New Roman" w:hAnsi="Times New Roman" w:eastAsia="宋体" w:cs="Times New Roman"/>
          <w:b/>
          <w:color w:val="000000"/>
          <w:kern w:val="2"/>
          <w:sz w:val="21"/>
          <w:szCs w:val="20"/>
          <w:lang w:val="en-US" w:eastAsia="zh-CN" w:bidi="ar-SA"/>
        </w:rPr>
        <w:t xml:space="preserve">表 </w:t>
      </w:r>
      <w:r>
        <w:rPr>
          <w:rFonts w:ascii="Times New Roman" w:hAnsi="Times New Roman" w:eastAsia="宋体" w:cs="Times New Roman"/>
          <w:b/>
          <w:color w:val="000000"/>
          <w:kern w:val="2"/>
          <w:sz w:val="21"/>
          <w:szCs w:val="20"/>
          <w:lang w:val="en-US" w:eastAsia="zh-CN" w:bidi="ar-SA"/>
        </w:rPr>
        <w:fldChar w:fldCharType="begin"/>
      </w:r>
      <w:r>
        <w:rPr>
          <w:rFonts w:ascii="Times New Roman" w:hAnsi="Times New Roman" w:eastAsia="宋体" w:cs="Times New Roman"/>
          <w:b/>
          <w:color w:val="000000"/>
          <w:kern w:val="2"/>
          <w:sz w:val="21"/>
          <w:szCs w:val="20"/>
          <w:lang w:val="en-US" w:eastAsia="zh-CN" w:bidi="ar-SA"/>
        </w:rPr>
        <w:instrText xml:space="preserve"> STYLEREF 2 \s </w:instrText>
      </w:r>
      <w:r>
        <w:rPr>
          <w:rFonts w:ascii="Times New Roman" w:hAnsi="Times New Roman" w:eastAsia="宋体" w:cs="Times New Roman"/>
          <w:b/>
          <w:color w:val="000000"/>
          <w:kern w:val="2"/>
          <w:sz w:val="21"/>
          <w:szCs w:val="20"/>
          <w:lang w:val="en-US" w:eastAsia="zh-CN" w:bidi="ar-SA"/>
        </w:rPr>
        <w:fldChar w:fldCharType="separate"/>
      </w:r>
      <w:r>
        <w:rPr>
          <w:rFonts w:ascii="Times New Roman" w:hAnsi="Times New Roman" w:eastAsia="宋体" w:cs="Times New Roman"/>
          <w:b/>
          <w:color w:val="000000"/>
          <w:kern w:val="2"/>
          <w:sz w:val="21"/>
          <w:szCs w:val="20"/>
          <w:lang w:val="en-US" w:eastAsia="zh-CN" w:bidi="ar-SA"/>
        </w:rPr>
        <w:t>2.</w:t>
      </w:r>
      <w:r>
        <w:rPr>
          <w:rFonts w:ascii="Times New Roman" w:hAnsi="Times New Roman" w:eastAsia="宋体" w:cs="Times New Roman"/>
          <w:b/>
          <w:color w:val="000000"/>
          <w:kern w:val="2"/>
          <w:sz w:val="21"/>
          <w:szCs w:val="20"/>
          <w:lang w:val="en-US" w:eastAsia="zh-CN" w:bidi="ar-SA"/>
        </w:rPr>
        <w:fldChar w:fldCharType="end"/>
      </w:r>
      <w:bookmarkEnd w:id="341"/>
      <w:r>
        <w:rPr>
          <w:rFonts w:ascii="Times New Roman" w:hAnsi="Times New Roman" w:eastAsia="宋体" w:cs="Times New Roman"/>
          <w:b/>
          <w:color w:val="000000"/>
          <w:kern w:val="2"/>
          <w:sz w:val="21"/>
          <w:szCs w:val="20"/>
          <w:lang w:val="en-US" w:eastAsia="zh-CN" w:bidi="ar-SA"/>
        </w:rPr>
        <w:t>5-3  评价范围内生物量情况表</w:t>
      </w:r>
    </w:p>
    <w:tbl>
      <w:tblPr>
        <w:tblStyle w:val="22"/>
        <w:tblW w:w="5078" w:type="pct"/>
        <w:jc w:val="center"/>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239"/>
        <w:gridCol w:w="1115"/>
        <w:gridCol w:w="1454"/>
        <w:gridCol w:w="1260"/>
        <w:gridCol w:w="1434"/>
        <w:gridCol w:w="1189"/>
        <w:gridCol w:w="1165"/>
      </w:tblGrid>
      <w:tr w14:paraId="5675947F">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309" w:hRule="atLeast"/>
          <w:jc w:val="center"/>
        </w:trPr>
        <w:tc>
          <w:tcPr>
            <w:tcW w:w="699" w:type="pct"/>
            <w:noWrap/>
            <w:vAlign w:val="center"/>
          </w:tcPr>
          <w:p w14:paraId="3530688E">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ascii="Times New Roman" w:hAnsi="Times New Roman" w:eastAsia="宋体" w:cs="Times New Roman"/>
                <w:b/>
                <w:bCs/>
                <w:color w:val="000000"/>
                <w:kern w:val="2"/>
                <w:sz w:val="21"/>
                <w:szCs w:val="22"/>
                <w:lang w:val="en-US" w:eastAsia="zh-CN" w:bidi="ar-SA"/>
              </w:rPr>
            </w:pPr>
            <w:r>
              <w:rPr>
                <w:rFonts w:ascii="Times New Roman" w:hAnsi="Times New Roman" w:eastAsia="宋体" w:cs="Times New Roman"/>
                <w:b/>
                <w:bCs/>
                <w:color w:val="000000"/>
                <w:kern w:val="2"/>
                <w:sz w:val="21"/>
                <w:szCs w:val="22"/>
                <w:lang w:val="en-US" w:eastAsia="zh-CN" w:bidi="ar-SA"/>
              </w:rPr>
              <w:t>植被类型</w:t>
            </w:r>
          </w:p>
        </w:tc>
        <w:tc>
          <w:tcPr>
            <w:tcW w:w="629" w:type="pct"/>
            <w:vAlign w:val="center"/>
          </w:tcPr>
          <w:p w14:paraId="1DDCBBA9">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ascii="Times New Roman" w:hAnsi="Times New Roman" w:eastAsia="宋体" w:cs="Times New Roman"/>
                <w:b/>
                <w:bCs/>
                <w:color w:val="000000"/>
                <w:kern w:val="2"/>
                <w:sz w:val="21"/>
                <w:szCs w:val="22"/>
                <w:lang w:val="en-US" w:eastAsia="zh-CN" w:bidi="ar-SA"/>
              </w:rPr>
            </w:pPr>
            <w:r>
              <w:rPr>
                <w:rFonts w:ascii="Times New Roman" w:hAnsi="Times New Roman" w:eastAsia="宋体" w:cs="Times New Roman"/>
                <w:b/>
                <w:bCs/>
                <w:color w:val="000000"/>
                <w:kern w:val="2"/>
                <w:sz w:val="21"/>
                <w:szCs w:val="22"/>
                <w:lang w:val="en-US" w:eastAsia="zh-CN" w:bidi="ar-SA"/>
              </w:rPr>
              <w:t>平均生物量(t/hm</w:t>
            </w:r>
            <w:r>
              <w:rPr>
                <w:rFonts w:ascii="Times New Roman" w:hAnsi="Times New Roman" w:eastAsia="宋体" w:cs="Times New Roman"/>
                <w:b/>
                <w:bCs/>
                <w:color w:val="000000"/>
                <w:kern w:val="2"/>
                <w:sz w:val="21"/>
                <w:szCs w:val="22"/>
                <w:vertAlign w:val="superscript"/>
                <w:lang w:val="en-US" w:eastAsia="zh-CN" w:bidi="ar-SA"/>
              </w:rPr>
              <w:t>2</w:t>
            </w:r>
            <w:r>
              <w:rPr>
                <w:rFonts w:ascii="Times New Roman" w:hAnsi="Times New Roman" w:eastAsia="宋体" w:cs="Times New Roman"/>
                <w:b/>
                <w:bCs/>
                <w:color w:val="000000"/>
                <w:kern w:val="2"/>
                <w:sz w:val="21"/>
                <w:szCs w:val="22"/>
                <w:lang w:val="en-US" w:eastAsia="zh-CN" w:bidi="ar-SA"/>
              </w:rPr>
              <w:t>)</w:t>
            </w:r>
          </w:p>
        </w:tc>
        <w:tc>
          <w:tcPr>
            <w:tcW w:w="820" w:type="pct"/>
            <w:vAlign w:val="center"/>
          </w:tcPr>
          <w:p w14:paraId="38181378">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ascii="Times New Roman" w:hAnsi="Times New Roman" w:eastAsia="宋体" w:cs="Times New Roman"/>
                <w:b/>
                <w:bCs/>
                <w:color w:val="000000"/>
                <w:kern w:val="2"/>
                <w:sz w:val="21"/>
                <w:szCs w:val="22"/>
                <w:lang w:val="en-US" w:eastAsia="zh-CN" w:bidi="ar-SA"/>
              </w:rPr>
            </w:pPr>
            <w:r>
              <w:rPr>
                <w:rFonts w:ascii="Times New Roman" w:hAnsi="Times New Roman" w:eastAsia="宋体" w:cs="Times New Roman"/>
                <w:b/>
                <w:bCs/>
                <w:color w:val="000000"/>
                <w:kern w:val="2"/>
                <w:sz w:val="21"/>
                <w:szCs w:val="22"/>
                <w:lang w:val="en-US" w:eastAsia="zh-CN" w:bidi="ar-SA"/>
              </w:rPr>
              <w:t>评价范围总生物量(t)</w:t>
            </w:r>
          </w:p>
        </w:tc>
        <w:tc>
          <w:tcPr>
            <w:tcW w:w="711" w:type="pct"/>
            <w:vAlign w:val="center"/>
          </w:tcPr>
          <w:p w14:paraId="0EAFAA9A">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ascii="Times New Roman" w:hAnsi="Times New Roman" w:eastAsia="宋体" w:cs="Times New Roman"/>
                <w:b/>
                <w:bCs/>
                <w:color w:val="000000"/>
                <w:kern w:val="2"/>
                <w:sz w:val="21"/>
                <w:szCs w:val="22"/>
                <w:lang w:val="en-US" w:eastAsia="zh-CN" w:bidi="ar-SA"/>
              </w:rPr>
            </w:pPr>
            <w:r>
              <w:rPr>
                <w:rFonts w:ascii="Times New Roman" w:hAnsi="Times New Roman" w:eastAsia="宋体" w:cs="Times New Roman"/>
                <w:b/>
                <w:bCs/>
                <w:color w:val="000000"/>
                <w:kern w:val="2"/>
                <w:sz w:val="21"/>
                <w:szCs w:val="22"/>
                <w:lang w:val="en-US" w:eastAsia="zh-CN" w:bidi="ar-SA"/>
              </w:rPr>
              <w:t>占总生物量比例(%)</w:t>
            </w:r>
          </w:p>
        </w:tc>
        <w:tc>
          <w:tcPr>
            <w:tcW w:w="809" w:type="pct"/>
            <w:vAlign w:val="center"/>
          </w:tcPr>
          <w:p w14:paraId="04309EC8">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ascii="Times New Roman" w:hAnsi="Times New Roman" w:eastAsia="宋体" w:cs="Times New Roman"/>
                <w:b/>
                <w:bCs/>
                <w:color w:val="000000"/>
                <w:kern w:val="2"/>
                <w:sz w:val="21"/>
                <w:szCs w:val="22"/>
                <w:lang w:val="en-US" w:eastAsia="zh-CN" w:bidi="ar-SA"/>
              </w:rPr>
            </w:pPr>
            <w:r>
              <w:rPr>
                <w:rFonts w:ascii="Times New Roman" w:hAnsi="Times New Roman" w:eastAsia="宋体" w:cs="Times New Roman"/>
                <w:b/>
                <w:bCs/>
                <w:color w:val="000000"/>
                <w:kern w:val="2"/>
                <w:sz w:val="21"/>
                <w:szCs w:val="22"/>
                <w:lang w:val="en-US" w:eastAsia="zh-CN" w:bidi="ar-SA"/>
              </w:rPr>
              <w:t>平均净生产力(t/hm</w:t>
            </w:r>
            <w:r>
              <w:rPr>
                <w:rFonts w:ascii="Times New Roman" w:hAnsi="Times New Roman" w:eastAsia="宋体" w:cs="Times New Roman"/>
                <w:b/>
                <w:bCs/>
                <w:color w:val="000000"/>
                <w:kern w:val="2"/>
                <w:sz w:val="21"/>
                <w:szCs w:val="22"/>
                <w:vertAlign w:val="superscript"/>
                <w:lang w:val="en-US" w:eastAsia="zh-CN" w:bidi="ar-SA"/>
              </w:rPr>
              <w:t>2</w:t>
            </w:r>
            <w:r>
              <w:rPr>
                <w:rFonts w:ascii="Times New Roman" w:hAnsi="Times New Roman" w:eastAsia="宋体" w:cs="Times New Roman"/>
                <w:b/>
                <w:bCs/>
                <w:color w:val="000000"/>
                <w:kern w:val="2"/>
                <w:sz w:val="21"/>
                <w:szCs w:val="22"/>
                <w:lang w:val="en-US" w:eastAsia="zh-CN" w:bidi="ar-SA"/>
              </w:rPr>
              <w:t>·a)</w:t>
            </w:r>
          </w:p>
        </w:tc>
        <w:tc>
          <w:tcPr>
            <w:tcW w:w="671" w:type="pct"/>
            <w:vAlign w:val="center"/>
          </w:tcPr>
          <w:p w14:paraId="5848010C">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ascii="Times New Roman" w:hAnsi="Times New Roman" w:eastAsia="宋体" w:cs="Times New Roman"/>
                <w:b/>
                <w:bCs/>
                <w:color w:val="000000"/>
                <w:kern w:val="2"/>
                <w:sz w:val="21"/>
                <w:szCs w:val="22"/>
                <w:lang w:val="en-US" w:eastAsia="zh-CN" w:bidi="ar-SA"/>
              </w:rPr>
            </w:pPr>
            <w:r>
              <w:rPr>
                <w:rFonts w:ascii="Times New Roman" w:hAnsi="Times New Roman" w:eastAsia="宋体" w:cs="Times New Roman"/>
                <w:b/>
                <w:bCs/>
                <w:color w:val="000000"/>
                <w:kern w:val="2"/>
                <w:sz w:val="21"/>
                <w:szCs w:val="22"/>
                <w:lang w:val="en-US" w:eastAsia="zh-CN" w:bidi="ar-SA"/>
              </w:rPr>
              <w:t>总生产力(t/a)</w:t>
            </w:r>
          </w:p>
        </w:tc>
        <w:tc>
          <w:tcPr>
            <w:tcW w:w="657" w:type="pct"/>
            <w:vAlign w:val="center"/>
          </w:tcPr>
          <w:p w14:paraId="5D5D1182">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ascii="Times New Roman" w:hAnsi="Times New Roman" w:eastAsia="宋体" w:cs="Times New Roman"/>
                <w:b/>
                <w:bCs/>
                <w:color w:val="000000"/>
                <w:kern w:val="2"/>
                <w:sz w:val="21"/>
                <w:szCs w:val="22"/>
                <w:lang w:val="en-US" w:eastAsia="zh-CN" w:bidi="ar-SA"/>
              </w:rPr>
            </w:pPr>
            <w:r>
              <w:rPr>
                <w:rFonts w:ascii="Times New Roman" w:hAnsi="Times New Roman" w:eastAsia="宋体" w:cs="Times New Roman"/>
                <w:b/>
                <w:bCs/>
                <w:color w:val="000000"/>
                <w:kern w:val="2"/>
                <w:sz w:val="21"/>
                <w:szCs w:val="22"/>
                <w:lang w:val="en-US" w:eastAsia="zh-CN" w:bidi="ar-SA"/>
              </w:rPr>
              <w:t>生产力占比(%)</w:t>
            </w:r>
          </w:p>
        </w:tc>
      </w:tr>
      <w:tr w14:paraId="71508E8B">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699" w:type="pct"/>
            <w:noWrap/>
            <w:vAlign w:val="center"/>
          </w:tcPr>
          <w:p w14:paraId="77CEB808">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1"/>
                <w:lang w:val="en-US" w:eastAsia="zh-CN" w:bidi="ar-SA"/>
              </w:rPr>
              <w:t>林地</w:t>
            </w:r>
          </w:p>
        </w:tc>
        <w:tc>
          <w:tcPr>
            <w:tcW w:w="629" w:type="pct"/>
            <w:vAlign w:val="center"/>
          </w:tcPr>
          <w:p w14:paraId="7F6E1FE2">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1"/>
                <w:lang w:val="en-US" w:eastAsia="zh-CN" w:bidi="ar-SA"/>
              </w:rPr>
              <w:t>20.8</w:t>
            </w:r>
          </w:p>
        </w:tc>
        <w:tc>
          <w:tcPr>
            <w:tcW w:w="820" w:type="pct"/>
            <w:vAlign w:val="bottom"/>
          </w:tcPr>
          <w:p w14:paraId="3ECA2A39">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2"/>
                <w:szCs w:val="22"/>
                <w:lang w:val="en-US" w:eastAsia="zh-CN" w:bidi="ar-SA"/>
              </w:rPr>
              <w:t>4393.58</w:t>
            </w:r>
          </w:p>
        </w:tc>
        <w:tc>
          <w:tcPr>
            <w:tcW w:w="711" w:type="pct"/>
            <w:vAlign w:val="center"/>
          </w:tcPr>
          <w:p w14:paraId="6CC28FC4">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1"/>
                <w:lang w:val="en-US" w:eastAsia="zh-CN" w:bidi="ar-SA"/>
              </w:rPr>
              <w:t>42.34%</w:t>
            </w:r>
          </w:p>
        </w:tc>
        <w:tc>
          <w:tcPr>
            <w:tcW w:w="809" w:type="pct"/>
            <w:noWrap/>
            <w:vAlign w:val="center"/>
          </w:tcPr>
          <w:p w14:paraId="7F1241D8">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1"/>
                <w:lang w:val="en-US" w:eastAsia="zh-CN" w:bidi="ar-SA"/>
              </w:rPr>
              <w:t>9.75</w:t>
            </w:r>
          </w:p>
        </w:tc>
        <w:tc>
          <w:tcPr>
            <w:tcW w:w="671" w:type="pct"/>
            <w:vAlign w:val="center"/>
          </w:tcPr>
          <w:p w14:paraId="7A74EE2E">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1"/>
                <w:lang w:val="en-US" w:eastAsia="zh-CN" w:bidi="ar-SA"/>
              </w:rPr>
              <w:t xml:space="preserve">2059.49 </w:t>
            </w:r>
          </w:p>
        </w:tc>
        <w:tc>
          <w:tcPr>
            <w:tcW w:w="657" w:type="pct"/>
            <w:vAlign w:val="center"/>
          </w:tcPr>
          <w:p w14:paraId="72E25E82">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1"/>
                <w:lang w:val="en-US" w:eastAsia="zh-CN" w:bidi="ar-SA"/>
              </w:rPr>
              <w:t>20.31%</w:t>
            </w:r>
          </w:p>
        </w:tc>
      </w:tr>
      <w:tr w14:paraId="0043798C">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699" w:type="pct"/>
            <w:noWrap/>
            <w:vAlign w:val="center"/>
          </w:tcPr>
          <w:p w14:paraId="3A796B4C">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1"/>
                <w:lang w:val="en-US" w:eastAsia="zh-CN" w:bidi="ar-SA"/>
              </w:rPr>
              <w:t>草地</w:t>
            </w:r>
          </w:p>
        </w:tc>
        <w:tc>
          <w:tcPr>
            <w:tcW w:w="629" w:type="pct"/>
            <w:vAlign w:val="center"/>
          </w:tcPr>
          <w:p w14:paraId="6FB2A969">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1"/>
                <w:lang w:val="en-US" w:eastAsia="zh-CN" w:bidi="ar-SA"/>
              </w:rPr>
              <w:t>2.6</w:t>
            </w:r>
          </w:p>
        </w:tc>
        <w:tc>
          <w:tcPr>
            <w:tcW w:w="820" w:type="pct"/>
            <w:vAlign w:val="bottom"/>
          </w:tcPr>
          <w:p w14:paraId="341A149C">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2"/>
                <w:szCs w:val="22"/>
                <w:lang w:val="en-US" w:eastAsia="zh-CN" w:bidi="ar-SA"/>
              </w:rPr>
              <w:t>588.72</w:t>
            </w:r>
          </w:p>
        </w:tc>
        <w:tc>
          <w:tcPr>
            <w:tcW w:w="711" w:type="pct"/>
            <w:vAlign w:val="center"/>
          </w:tcPr>
          <w:p w14:paraId="67957B10">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1"/>
                <w:lang w:val="en-US" w:eastAsia="zh-CN" w:bidi="ar-SA"/>
              </w:rPr>
              <w:t>5.67%</w:t>
            </w:r>
          </w:p>
        </w:tc>
        <w:tc>
          <w:tcPr>
            <w:tcW w:w="809" w:type="pct"/>
            <w:noWrap/>
            <w:vAlign w:val="center"/>
          </w:tcPr>
          <w:p w14:paraId="6C9EFF35">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1"/>
                <w:lang w:val="en-US" w:eastAsia="zh-CN" w:bidi="ar-SA"/>
              </w:rPr>
              <w:t>2.16</w:t>
            </w:r>
          </w:p>
        </w:tc>
        <w:tc>
          <w:tcPr>
            <w:tcW w:w="671" w:type="pct"/>
            <w:vAlign w:val="center"/>
          </w:tcPr>
          <w:p w14:paraId="2AB191C3">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1"/>
                <w:lang w:val="en-US" w:eastAsia="zh-CN" w:bidi="ar-SA"/>
              </w:rPr>
              <w:t xml:space="preserve">489.09 </w:t>
            </w:r>
          </w:p>
        </w:tc>
        <w:tc>
          <w:tcPr>
            <w:tcW w:w="657" w:type="pct"/>
            <w:vAlign w:val="center"/>
          </w:tcPr>
          <w:p w14:paraId="7931A2E7">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1"/>
                <w:lang w:val="en-US" w:eastAsia="zh-CN" w:bidi="ar-SA"/>
              </w:rPr>
              <w:t>4.82%</w:t>
            </w:r>
          </w:p>
        </w:tc>
      </w:tr>
      <w:tr w14:paraId="32DDCA4D">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240" w:hRule="atLeast"/>
          <w:jc w:val="center"/>
        </w:trPr>
        <w:tc>
          <w:tcPr>
            <w:tcW w:w="699" w:type="pct"/>
            <w:noWrap/>
            <w:vAlign w:val="center"/>
          </w:tcPr>
          <w:p w14:paraId="379AACA1">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1"/>
                <w:lang w:val="en-US" w:eastAsia="zh-CN" w:bidi="ar-SA"/>
              </w:rPr>
              <w:t>农田植被</w:t>
            </w:r>
          </w:p>
        </w:tc>
        <w:tc>
          <w:tcPr>
            <w:tcW w:w="629" w:type="pct"/>
            <w:vAlign w:val="center"/>
          </w:tcPr>
          <w:p w14:paraId="1E1AA23A">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1"/>
                <w:lang w:val="en-US" w:eastAsia="zh-CN" w:bidi="ar-SA"/>
              </w:rPr>
              <w:t>4.6</w:t>
            </w:r>
          </w:p>
        </w:tc>
        <w:tc>
          <w:tcPr>
            <w:tcW w:w="820" w:type="pct"/>
            <w:vAlign w:val="bottom"/>
          </w:tcPr>
          <w:p w14:paraId="7ECE5C97">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2"/>
                <w:szCs w:val="22"/>
                <w:lang w:val="en-US" w:eastAsia="zh-CN" w:bidi="ar-SA"/>
              </w:rPr>
              <w:t>5241.98</w:t>
            </w:r>
          </w:p>
        </w:tc>
        <w:tc>
          <w:tcPr>
            <w:tcW w:w="711" w:type="pct"/>
            <w:vAlign w:val="center"/>
          </w:tcPr>
          <w:p w14:paraId="4DC2FEAC">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1"/>
                <w:lang w:val="en-US" w:eastAsia="zh-CN" w:bidi="ar-SA"/>
              </w:rPr>
              <w:t>50.51%</w:t>
            </w:r>
          </w:p>
        </w:tc>
        <w:tc>
          <w:tcPr>
            <w:tcW w:w="809" w:type="pct"/>
            <w:noWrap/>
            <w:vAlign w:val="center"/>
          </w:tcPr>
          <w:p w14:paraId="4CB0E307">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1"/>
                <w:lang w:val="en-US" w:eastAsia="zh-CN" w:bidi="ar-SA"/>
              </w:rPr>
              <w:t>6.44</w:t>
            </w:r>
          </w:p>
        </w:tc>
        <w:tc>
          <w:tcPr>
            <w:tcW w:w="671" w:type="pct"/>
            <w:vAlign w:val="center"/>
          </w:tcPr>
          <w:p w14:paraId="39025584">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1"/>
                <w:lang w:val="en-US" w:eastAsia="zh-CN" w:bidi="ar-SA"/>
              </w:rPr>
              <w:t xml:space="preserve">7338.77 </w:t>
            </w:r>
          </w:p>
        </w:tc>
        <w:tc>
          <w:tcPr>
            <w:tcW w:w="657" w:type="pct"/>
            <w:vAlign w:val="center"/>
          </w:tcPr>
          <w:p w14:paraId="299777DB">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1"/>
                <w:lang w:val="en-US" w:eastAsia="zh-CN" w:bidi="ar-SA"/>
              </w:rPr>
              <w:t>72.36%</w:t>
            </w:r>
          </w:p>
        </w:tc>
      </w:tr>
      <w:tr w14:paraId="3248006E">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255" w:hRule="atLeast"/>
          <w:jc w:val="center"/>
        </w:trPr>
        <w:tc>
          <w:tcPr>
            <w:tcW w:w="699" w:type="pct"/>
            <w:vAlign w:val="center"/>
          </w:tcPr>
          <w:p w14:paraId="27E245DB">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1"/>
                <w:lang w:val="en-US" w:eastAsia="zh-CN" w:bidi="ar-SA"/>
              </w:rPr>
              <w:t>荒漠植被</w:t>
            </w:r>
          </w:p>
        </w:tc>
        <w:tc>
          <w:tcPr>
            <w:tcW w:w="629" w:type="pct"/>
            <w:vAlign w:val="center"/>
          </w:tcPr>
          <w:p w14:paraId="170B10A2">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1"/>
                <w:lang w:val="en-US" w:eastAsia="zh-CN" w:bidi="ar-SA"/>
              </w:rPr>
              <w:t>0.42</w:t>
            </w:r>
          </w:p>
        </w:tc>
        <w:tc>
          <w:tcPr>
            <w:tcW w:w="820" w:type="pct"/>
            <w:vAlign w:val="bottom"/>
          </w:tcPr>
          <w:p w14:paraId="1E89C263">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2"/>
                <w:szCs w:val="22"/>
                <w:lang w:val="en-US" w:eastAsia="zh-CN" w:bidi="ar-SA"/>
              </w:rPr>
              <w:t>150.46</w:t>
            </w:r>
          </w:p>
        </w:tc>
        <w:tc>
          <w:tcPr>
            <w:tcW w:w="711" w:type="pct"/>
            <w:vAlign w:val="center"/>
          </w:tcPr>
          <w:p w14:paraId="25F317E6">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1"/>
                <w:lang w:val="en-US" w:eastAsia="zh-CN" w:bidi="ar-SA"/>
              </w:rPr>
              <w:t>1.45%</w:t>
            </w:r>
          </w:p>
        </w:tc>
        <w:tc>
          <w:tcPr>
            <w:tcW w:w="809" w:type="pct"/>
          </w:tcPr>
          <w:p w14:paraId="79E8946A">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1"/>
                <w:lang w:val="en-US" w:eastAsia="zh-CN" w:bidi="ar-SA"/>
              </w:rPr>
              <w:t>0.71</w:t>
            </w:r>
          </w:p>
        </w:tc>
        <w:tc>
          <w:tcPr>
            <w:tcW w:w="671" w:type="pct"/>
            <w:vAlign w:val="center"/>
          </w:tcPr>
          <w:p w14:paraId="6A9299BF">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1"/>
                <w:lang w:val="en-US" w:eastAsia="zh-CN" w:bidi="ar-SA"/>
              </w:rPr>
              <w:t xml:space="preserve">254.34 </w:t>
            </w:r>
          </w:p>
        </w:tc>
        <w:tc>
          <w:tcPr>
            <w:tcW w:w="657" w:type="pct"/>
            <w:vAlign w:val="center"/>
          </w:tcPr>
          <w:p w14:paraId="15211C51">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1"/>
                <w:lang w:val="en-US" w:eastAsia="zh-CN" w:bidi="ar-SA"/>
              </w:rPr>
              <w:t>2.51%</w:t>
            </w:r>
          </w:p>
        </w:tc>
      </w:tr>
      <w:tr w14:paraId="4FED572C">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699" w:type="pct"/>
            <w:vAlign w:val="center"/>
          </w:tcPr>
          <w:p w14:paraId="2B429376">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1"/>
                <w:lang w:val="en-US" w:eastAsia="zh-CN" w:bidi="ar-SA"/>
              </w:rPr>
              <w:t>水生植被</w:t>
            </w:r>
          </w:p>
        </w:tc>
        <w:tc>
          <w:tcPr>
            <w:tcW w:w="629" w:type="pct"/>
            <w:vAlign w:val="center"/>
          </w:tcPr>
          <w:p w14:paraId="46EE536D">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1"/>
                <w:lang w:val="en-US" w:eastAsia="zh-CN" w:bidi="ar-SA"/>
              </w:rPr>
              <w:t>0.67</w:t>
            </w:r>
          </w:p>
        </w:tc>
        <w:tc>
          <w:tcPr>
            <w:tcW w:w="820" w:type="pct"/>
            <w:vAlign w:val="bottom"/>
          </w:tcPr>
          <w:p w14:paraId="400367AC">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2"/>
                <w:szCs w:val="22"/>
                <w:lang w:val="en-US" w:eastAsia="zh-CN" w:bidi="ar-SA"/>
              </w:rPr>
              <w:t>2.37</w:t>
            </w:r>
          </w:p>
        </w:tc>
        <w:tc>
          <w:tcPr>
            <w:tcW w:w="711" w:type="pct"/>
            <w:vAlign w:val="center"/>
          </w:tcPr>
          <w:p w14:paraId="5DACFA9D">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1"/>
                <w:lang w:val="en-US" w:eastAsia="zh-CN" w:bidi="ar-SA"/>
              </w:rPr>
              <w:t>0.02%</w:t>
            </w:r>
          </w:p>
        </w:tc>
        <w:tc>
          <w:tcPr>
            <w:tcW w:w="809" w:type="pct"/>
            <w:noWrap/>
            <w:vAlign w:val="center"/>
          </w:tcPr>
          <w:p w14:paraId="50173DAA">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w:t>
            </w:r>
          </w:p>
        </w:tc>
        <w:tc>
          <w:tcPr>
            <w:tcW w:w="671" w:type="pct"/>
          </w:tcPr>
          <w:p w14:paraId="26A57A6D">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w:t>
            </w:r>
          </w:p>
        </w:tc>
        <w:tc>
          <w:tcPr>
            <w:tcW w:w="657" w:type="pct"/>
          </w:tcPr>
          <w:p w14:paraId="35566F01">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w:t>
            </w:r>
          </w:p>
        </w:tc>
      </w:tr>
      <w:tr w14:paraId="0714D58B">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165" w:hRule="atLeast"/>
          <w:jc w:val="center"/>
        </w:trPr>
        <w:tc>
          <w:tcPr>
            <w:tcW w:w="699" w:type="pct"/>
            <w:vAlign w:val="center"/>
          </w:tcPr>
          <w:p w14:paraId="1E8EE768">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1"/>
                <w:lang w:val="en-US" w:eastAsia="zh-CN" w:bidi="ar-SA"/>
              </w:rPr>
              <w:t>总计</w:t>
            </w:r>
          </w:p>
        </w:tc>
        <w:tc>
          <w:tcPr>
            <w:tcW w:w="629" w:type="pct"/>
            <w:vAlign w:val="center"/>
          </w:tcPr>
          <w:p w14:paraId="02F6AB5B">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1"/>
                <w:lang w:val="en-US" w:eastAsia="zh-CN" w:bidi="ar-SA"/>
              </w:rPr>
              <w:t>－</w:t>
            </w:r>
          </w:p>
        </w:tc>
        <w:tc>
          <w:tcPr>
            <w:tcW w:w="820" w:type="pct"/>
            <w:vAlign w:val="bottom"/>
          </w:tcPr>
          <w:p w14:paraId="4C18638D">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2"/>
                <w:szCs w:val="22"/>
                <w:lang w:val="en-US" w:eastAsia="zh-CN" w:bidi="ar-SA"/>
              </w:rPr>
              <w:t>10377.11</w:t>
            </w:r>
          </w:p>
        </w:tc>
        <w:tc>
          <w:tcPr>
            <w:tcW w:w="711" w:type="pct"/>
            <w:vAlign w:val="center"/>
          </w:tcPr>
          <w:p w14:paraId="5EAFF97B">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1"/>
                <w:lang w:val="en-US" w:eastAsia="zh-CN" w:bidi="ar-SA"/>
              </w:rPr>
              <w:t>100.00%</w:t>
            </w:r>
          </w:p>
        </w:tc>
        <w:tc>
          <w:tcPr>
            <w:tcW w:w="809" w:type="pct"/>
            <w:noWrap/>
            <w:vAlign w:val="center"/>
          </w:tcPr>
          <w:p w14:paraId="2002CBB0">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1"/>
                <w:lang w:val="en-US" w:eastAsia="zh-CN" w:bidi="ar-SA"/>
              </w:rPr>
              <w:t>－</w:t>
            </w:r>
          </w:p>
        </w:tc>
        <w:tc>
          <w:tcPr>
            <w:tcW w:w="671" w:type="pct"/>
            <w:vAlign w:val="bottom"/>
          </w:tcPr>
          <w:p w14:paraId="264CD6E9">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2"/>
                <w:szCs w:val="22"/>
                <w:lang w:val="en-US" w:eastAsia="zh-CN" w:bidi="ar-SA"/>
              </w:rPr>
              <w:t xml:space="preserve">10141.69 </w:t>
            </w:r>
          </w:p>
        </w:tc>
        <w:tc>
          <w:tcPr>
            <w:tcW w:w="657" w:type="pct"/>
            <w:vAlign w:val="center"/>
          </w:tcPr>
          <w:p w14:paraId="6CDD766B">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1"/>
                <w:lang w:val="en-US" w:eastAsia="zh-CN" w:bidi="ar-SA"/>
              </w:rPr>
              <w:t>100.00%</w:t>
            </w:r>
          </w:p>
        </w:tc>
      </w:tr>
    </w:tbl>
    <w:p w14:paraId="53412F87">
      <w:pPr>
        <w:keepNext w:val="0"/>
        <w:keepLines w:val="0"/>
        <w:pageBreakBefore w:val="0"/>
        <w:widowControl w:val="0"/>
        <w:kinsoku/>
        <w:wordWrap/>
        <w:overflowPunct/>
        <w:topLinePunct w:val="0"/>
        <w:autoSpaceDE/>
        <w:autoSpaceDN/>
        <w:bidi w:val="0"/>
        <w:adjustRightInd/>
        <w:snapToGrid/>
        <w:spacing w:after="0" w:afterLines="100" w:line="240" w:lineRule="auto"/>
        <w:ind w:firstLine="0" w:firstLineChars="0"/>
        <w:jc w:val="both"/>
        <w:textAlignment w:val="auto"/>
        <w:rPr>
          <w:rFonts w:ascii="Times New Roman" w:hAnsi="Times New Roman" w:eastAsia="宋体" w:cs="Times New Roman"/>
          <w:color w:val="000000"/>
          <w:kern w:val="2"/>
          <w:sz w:val="21"/>
          <w:szCs w:val="22"/>
          <w:lang w:val="en-US" w:eastAsia="zh-CN" w:bidi="ar-SA"/>
        </w:rPr>
      </w:pPr>
      <w:r>
        <w:rPr>
          <w:rFonts w:ascii="Times New Roman" w:hAnsi="Times New Roman" w:eastAsia="宋体" w:cs="Times New Roman"/>
          <w:color w:val="000000"/>
          <w:kern w:val="2"/>
          <w:sz w:val="21"/>
          <w:szCs w:val="22"/>
          <w:lang w:val="en-US" w:eastAsia="zh-CN" w:bidi="ar-SA"/>
        </w:rPr>
        <w:t>注：表中参数引用文献:方精云,刘国华,徐嵩龄.我国森林植被的生物量和净生产量[J].生态学报,1996,16:497-508；朴世龙,方精云,贺金生,肖玉.中国草地植被生物量及其空间分布格局[J].植物生态学报,2004,28:491-498；黄玫,季劲钧,曹明奎,李克让.中国区域植被地上与地下生物量模拟[J].生态学报,2006,26:4156-4163；农田栽培植被中包括水田、旱地。</w:t>
      </w:r>
    </w:p>
    <w:p w14:paraId="217105CE">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根据对评价区内各植被类型生物量的估算，</w:t>
      </w:r>
      <w:bookmarkStart w:id="342" w:name="OLE_LINK16"/>
      <w:r>
        <w:rPr>
          <w:rFonts w:ascii="Times New Roman" w:hAnsi="Times New Roman" w:eastAsia="宋体" w:cs="Times New Roman"/>
          <w:color w:val="000000"/>
          <w:sz w:val="24"/>
          <w:szCs w:val="22"/>
        </w:rPr>
        <w:t>评价区内</w:t>
      </w:r>
      <w:bookmarkEnd w:id="342"/>
      <w:r>
        <w:rPr>
          <w:rFonts w:ascii="Times New Roman" w:hAnsi="Times New Roman" w:eastAsia="宋体" w:cs="Times New Roman"/>
          <w:color w:val="000000"/>
          <w:sz w:val="24"/>
          <w:szCs w:val="22"/>
        </w:rPr>
        <w:t>总生物量为10377.11t。其中农田植被生物量和林地在评价区内占比较高，分别为5241.98t和4393.58t，占总生物量的比例分别为50.51%和42.34%。草地生物量为588.72t，占比为5.67%。荒漠植被和水生植被生物量较少，为150.46t和2.37t，占比为1.45%和0.02%。</w:t>
      </w:r>
    </w:p>
    <w:p w14:paraId="06C93E24">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评价区内总生产力为10141.69t/a，其中农田栽培植被的生产力最大为7338.77 t/a，占评价区总生产力的比例为72.36%。其次为林地，生产力为2059.49t/a，占评价区总生产力的20.31%。</w:t>
      </w:r>
    </w:p>
    <w:p w14:paraId="7161945C">
      <w:pPr>
        <w:spacing w:line="300" w:lineRule="auto"/>
        <w:ind w:firstLine="480" w:firstLineChars="200"/>
        <w:rPr>
          <w:rFonts w:ascii="Times New Roman" w:hAnsi="Times New Roman" w:eastAsia="宋体" w:cs="Times New Roman"/>
          <w:color w:val="000000"/>
          <w:sz w:val="24"/>
          <w:szCs w:val="22"/>
        </w:rPr>
      </w:pPr>
      <w:r>
        <w:rPr>
          <w:rFonts w:hint="eastAsia" w:ascii="Times New Roman" w:hAnsi="Times New Roman" w:eastAsia="宋体" w:cs="Times New Roman"/>
          <w:color w:val="000000"/>
          <w:sz w:val="24"/>
          <w:szCs w:val="22"/>
          <w:lang w:val="en-US" w:eastAsia="zh-CN"/>
        </w:rPr>
        <w:t xml:space="preserve">4. </w:t>
      </w:r>
      <w:r>
        <w:rPr>
          <w:rFonts w:ascii="Times New Roman" w:hAnsi="Times New Roman" w:eastAsia="宋体" w:cs="Times New Roman"/>
          <w:color w:val="000000"/>
          <w:sz w:val="24"/>
          <w:szCs w:val="22"/>
        </w:rPr>
        <w:t>重点保护野生植物和古树名木</w:t>
      </w:r>
    </w:p>
    <w:p w14:paraId="319E13C4">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重点保护野生植物：拟建公路区内农耕历史较长，人为活动频繁，沿线植被主要为人工林，根据查阅相关资料和向林业主管部门咨询，并结合现场调查，本次评价范</w:t>
      </w:r>
      <w:r>
        <w:rPr>
          <w:rFonts w:hint="eastAsia" w:ascii="Times New Roman" w:hAnsi="Times New Roman" w:eastAsia="宋体" w:cs="Times New Roman"/>
          <w:color w:val="000000"/>
          <w:sz w:val="24"/>
          <w:szCs w:val="22"/>
          <w:lang w:eastAsia="zh-CN"/>
        </w:rPr>
        <w:t>围内</w:t>
      </w:r>
      <w:r>
        <w:rPr>
          <w:rFonts w:ascii="Times New Roman" w:hAnsi="Times New Roman" w:eastAsia="宋体" w:cs="Times New Roman"/>
          <w:color w:val="000000"/>
          <w:sz w:val="24"/>
          <w:szCs w:val="22"/>
        </w:rPr>
        <w:t>未发现国家级和</w:t>
      </w:r>
      <w:r>
        <w:rPr>
          <w:rFonts w:hint="eastAsia" w:ascii="Times New Roman" w:hAnsi="Times New Roman" w:eastAsia="宋体" w:cs="Times New Roman"/>
          <w:color w:val="000000"/>
          <w:sz w:val="24"/>
          <w:szCs w:val="22"/>
          <w:lang w:eastAsia="zh-CN"/>
        </w:rPr>
        <w:t>新疆维吾尔自治区级</w:t>
      </w:r>
      <w:r>
        <w:rPr>
          <w:rFonts w:ascii="Times New Roman" w:hAnsi="Times New Roman" w:eastAsia="宋体" w:cs="Times New Roman"/>
          <w:color w:val="000000"/>
          <w:sz w:val="24"/>
          <w:szCs w:val="22"/>
        </w:rPr>
        <w:t>保护植物，拟建公路用地范围内不涉及其主要生境。</w:t>
      </w:r>
    </w:p>
    <w:p w14:paraId="67F51B98">
      <w:pPr>
        <w:keepNext/>
        <w:keepLines/>
        <w:widowControl w:val="0"/>
        <w:numPr>
          <w:ilvl w:val="1"/>
          <w:numId w:val="13"/>
        </w:numPr>
        <w:spacing w:before="240" w:after="240" w:line="240" w:lineRule="auto"/>
        <w:ind w:firstLine="200" w:firstLineChars="0"/>
        <w:jc w:val="both"/>
        <w:outlineLvl w:val="1"/>
        <w:rPr>
          <w:rFonts w:ascii="Times New Roman" w:hAnsi="Times New Roman" w:eastAsia="宋体" w:cs="Times New Roman"/>
          <w:b/>
          <w:bCs/>
          <w:color w:val="000000"/>
          <w:kern w:val="2"/>
          <w:sz w:val="28"/>
          <w:szCs w:val="32"/>
          <w:lang w:val="en-US" w:eastAsia="zh-CN" w:bidi="ar-SA"/>
        </w:rPr>
      </w:pPr>
      <w:bookmarkStart w:id="343" w:name="_Toc26808"/>
      <w:bookmarkStart w:id="344" w:name="_Toc219363411"/>
      <w:r>
        <w:rPr>
          <w:rFonts w:ascii="Times New Roman" w:hAnsi="Times New Roman" w:eastAsia="宋体" w:cs="Times New Roman"/>
          <w:b/>
          <w:bCs/>
          <w:color w:val="000000"/>
          <w:kern w:val="2"/>
          <w:sz w:val="28"/>
          <w:szCs w:val="32"/>
          <w:lang w:val="en-US" w:eastAsia="zh-CN" w:bidi="ar-SA"/>
        </w:rPr>
        <w:t>陆生动物现状</w:t>
      </w:r>
      <w:bookmarkEnd w:id="343"/>
      <w:bookmarkEnd w:id="344"/>
    </w:p>
    <w:p w14:paraId="77F0ED5F">
      <w:pPr>
        <w:spacing w:line="300" w:lineRule="auto"/>
        <w:ind w:firstLine="480" w:firstLineChars="200"/>
        <w:rPr>
          <w:rFonts w:ascii="Times New Roman" w:hAnsi="Times New Roman" w:eastAsia="宋体" w:cs="Times New Roman"/>
          <w:color w:val="000000"/>
          <w:sz w:val="24"/>
          <w:szCs w:val="22"/>
        </w:rPr>
      </w:pPr>
      <w:bookmarkStart w:id="345" w:name="_Hlk192179024"/>
      <w:r>
        <w:rPr>
          <w:rFonts w:ascii="Times New Roman" w:hAnsi="Times New Roman" w:eastAsia="宋体" w:cs="Times New Roman"/>
          <w:color w:val="000000"/>
          <w:sz w:val="24"/>
          <w:szCs w:val="22"/>
        </w:rPr>
        <w:t>根据《中国动物志》《新疆脊椎动物简志》《新疆动物研究》《新疆维吾尔自治区重点保护野生动物名录（修订）》，地方志、统计年鉴以及林业、生态环境、水利、农业、自然资源等部门提供的相关资料，并且参考已经发表的区域相关的文献资料，结合现场调查情况，拟建公路评价范围内动物资源情况如下：</w:t>
      </w:r>
    </w:p>
    <w:p w14:paraId="70CF4A9F">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根据中国动物地理区划，项目区域属于古北界-中亚亚界-蒙新区-西部荒漠亚区，动物区系组成简单，野生动物种类及分布均较少。</w:t>
      </w:r>
    </w:p>
    <w:p w14:paraId="2BFD9D49">
      <w:pPr>
        <w:keepNext w:val="0"/>
        <w:keepLines w:val="0"/>
        <w:pageBreakBefore w:val="0"/>
        <w:widowControl w:val="0"/>
        <w:kinsoku/>
        <w:wordWrap/>
        <w:overflowPunct/>
        <w:topLinePunct w:val="0"/>
        <w:autoSpaceDE/>
        <w:autoSpaceDN/>
        <w:bidi w:val="0"/>
        <w:adjustRightInd/>
        <w:snapToGrid/>
        <w:spacing w:after="0" w:afterLines="50" w:line="300" w:lineRule="auto"/>
        <w:ind w:firstLine="480" w:firstLineChars="200"/>
        <w:textAlignment w:val="auto"/>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评价区分布的野生动物以鸟类和哺乳动物为主。通过资料收集和现场调查，荒漠区兽类以子午沙鼠、短耳沙鼠等啮齿类动物为主，爬行类以麻蜥、荒漠麻蜥为主；人工绿洲区以家燕、戴胜、喜鹊、小嘴乌鸦、灰斑鸠等鸟类为主；两栖类以塔里木蟾蜍等（仅分布于绿洲、沟渠周边）。经过林业、农业部门咨询和沿途踏勘、访谈，项目区公路运行多年，人类活动频繁，评价范围内无国家级和</w:t>
      </w:r>
      <w:r>
        <w:rPr>
          <w:rFonts w:hint="eastAsia" w:ascii="Times New Roman" w:hAnsi="Times New Roman" w:eastAsia="宋体" w:cs="Times New Roman"/>
          <w:color w:val="000000"/>
          <w:sz w:val="24"/>
          <w:szCs w:val="22"/>
          <w:lang w:eastAsia="zh-CN"/>
        </w:rPr>
        <w:t>新疆维吾尔自治区级</w:t>
      </w:r>
      <w:r>
        <w:rPr>
          <w:rFonts w:ascii="Times New Roman" w:hAnsi="Times New Roman" w:eastAsia="宋体" w:cs="Times New Roman"/>
          <w:color w:val="000000"/>
          <w:sz w:val="24"/>
          <w:szCs w:val="22"/>
        </w:rPr>
        <w:t>重点保护野生动物分布。项目沿线常见动物组成见表2.6-1。</w:t>
      </w:r>
    </w:p>
    <w:p w14:paraId="50B76FD4">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22" w:firstLineChars="200"/>
        <w:jc w:val="center"/>
        <w:textAlignment w:val="auto"/>
        <w:rPr>
          <w:rFonts w:ascii="Times New Roman" w:hAnsi="Times New Roman" w:eastAsia="宋体" w:cs="Times New Roman"/>
          <w:b/>
          <w:bCs/>
          <w:color w:val="000000"/>
          <w:kern w:val="2"/>
          <w:sz w:val="21"/>
          <w:szCs w:val="21"/>
          <w:lang w:val="en-US" w:eastAsia="zh-CN" w:bidi="ar"/>
        </w:rPr>
      </w:pPr>
      <w:r>
        <w:rPr>
          <w:rFonts w:ascii="Times New Roman" w:hAnsi="Times New Roman" w:eastAsia="宋体" w:cs="Times New Roman"/>
          <w:b/>
          <w:bCs/>
          <w:color w:val="000000"/>
          <w:kern w:val="2"/>
          <w:sz w:val="21"/>
          <w:szCs w:val="21"/>
          <w:lang w:val="en-US" w:eastAsia="zh-CN" w:bidi="ar"/>
        </w:rPr>
        <w:t>表2.6-1  项目沿线常见动物组成</w:t>
      </w:r>
    </w:p>
    <w:tbl>
      <w:tblPr>
        <w:tblStyle w:val="22"/>
        <w:tblW w:w="5018" w:type="pct"/>
        <w:jc w:val="center"/>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736"/>
        <w:gridCol w:w="4209"/>
        <w:gridCol w:w="906"/>
        <w:gridCol w:w="901"/>
      </w:tblGrid>
      <w:tr w14:paraId="00C73676">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blHeader/>
          <w:jc w:val="center"/>
        </w:trPr>
        <w:tc>
          <w:tcPr>
            <w:tcW w:w="1563" w:type="pct"/>
            <w:vMerge w:val="restart"/>
            <w:vAlign w:val="center"/>
          </w:tcPr>
          <w:p w14:paraId="56BD9D9D">
            <w:pPr>
              <w:spacing w:line="240" w:lineRule="exact"/>
              <w:ind w:left="-101" w:leftChars="-50" w:right="-128" w:rightChars="-61" w:hanging="4" w:hangingChars="2"/>
              <w:jc w:val="center"/>
              <w:rPr>
                <w:rFonts w:ascii="Times New Roman" w:hAnsi="Times New Roman" w:eastAsia="宋体" w:cs="Times New Roman"/>
                <w:b/>
                <w:bCs/>
                <w:color w:val="000000"/>
                <w:sz w:val="21"/>
                <w:szCs w:val="21"/>
              </w:rPr>
            </w:pPr>
            <w:r>
              <w:rPr>
                <w:rFonts w:ascii="Times New Roman" w:hAnsi="Times New Roman" w:eastAsia="宋体" w:cs="Times New Roman"/>
                <w:b/>
                <w:bCs/>
                <w:color w:val="000000"/>
                <w:sz w:val="21"/>
                <w:szCs w:val="21"/>
              </w:rPr>
              <w:t>种   类</w:t>
            </w:r>
          </w:p>
        </w:tc>
        <w:tc>
          <w:tcPr>
            <w:tcW w:w="2404" w:type="pct"/>
            <w:vMerge w:val="restart"/>
            <w:vAlign w:val="center"/>
          </w:tcPr>
          <w:p w14:paraId="4354703E">
            <w:pPr>
              <w:spacing w:line="240" w:lineRule="exact"/>
              <w:ind w:left="-95" w:leftChars="-67" w:right="-128" w:rightChars="-61" w:hanging="46" w:hangingChars="22"/>
              <w:jc w:val="center"/>
              <w:rPr>
                <w:rFonts w:ascii="Times New Roman" w:hAnsi="Times New Roman" w:eastAsia="宋体" w:cs="Times New Roman"/>
                <w:b/>
                <w:bCs/>
                <w:color w:val="000000"/>
                <w:sz w:val="21"/>
                <w:szCs w:val="21"/>
              </w:rPr>
            </w:pPr>
            <w:r>
              <w:rPr>
                <w:rFonts w:ascii="Times New Roman" w:hAnsi="Times New Roman" w:eastAsia="宋体" w:cs="Times New Roman"/>
                <w:b/>
                <w:bCs/>
                <w:color w:val="000000"/>
                <w:sz w:val="21"/>
                <w:szCs w:val="21"/>
              </w:rPr>
              <w:t>学    名</w:t>
            </w:r>
          </w:p>
        </w:tc>
        <w:tc>
          <w:tcPr>
            <w:tcW w:w="1032" w:type="pct"/>
            <w:gridSpan w:val="2"/>
          </w:tcPr>
          <w:p w14:paraId="1962DD0F">
            <w:pPr>
              <w:spacing w:line="240" w:lineRule="exact"/>
              <w:ind w:left="-103" w:leftChars="-49" w:right="-128" w:rightChars="-61" w:firstLine="40" w:firstLineChars="19"/>
              <w:jc w:val="center"/>
              <w:rPr>
                <w:rFonts w:ascii="Times New Roman" w:hAnsi="Times New Roman" w:eastAsia="宋体" w:cs="Times New Roman"/>
                <w:b/>
                <w:bCs/>
                <w:color w:val="000000"/>
                <w:sz w:val="21"/>
                <w:szCs w:val="21"/>
              </w:rPr>
            </w:pPr>
            <w:r>
              <w:rPr>
                <w:rFonts w:ascii="Times New Roman" w:hAnsi="Times New Roman" w:eastAsia="宋体" w:cs="Times New Roman"/>
                <w:b/>
                <w:bCs/>
                <w:color w:val="000000"/>
                <w:sz w:val="21"/>
                <w:szCs w:val="21"/>
              </w:rPr>
              <w:t>分   布</w:t>
            </w:r>
          </w:p>
        </w:tc>
      </w:tr>
      <w:tr w14:paraId="7F1BFA46">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blHeader/>
          <w:jc w:val="center"/>
        </w:trPr>
        <w:tc>
          <w:tcPr>
            <w:tcW w:w="1563" w:type="pct"/>
            <w:vMerge w:val="continue"/>
            <w:vAlign w:val="center"/>
          </w:tcPr>
          <w:p w14:paraId="7580EE35">
            <w:pPr>
              <w:widowControl/>
              <w:spacing w:line="300" w:lineRule="auto"/>
              <w:ind w:firstLine="422" w:firstLineChars="200"/>
              <w:jc w:val="left"/>
              <w:rPr>
                <w:rFonts w:ascii="Times New Roman" w:hAnsi="Times New Roman" w:eastAsia="宋体" w:cs="Times New Roman"/>
                <w:b/>
                <w:bCs/>
                <w:color w:val="000000"/>
                <w:sz w:val="21"/>
                <w:szCs w:val="21"/>
              </w:rPr>
            </w:pPr>
          </w:p>
        </w:tc>
        <w:tc>
          <w:tcPr>
            <w:tcW w:w="2404" w:type="pct"/>
            <w:vMerge w:val="continue"/>
            <w:vAlign w:val="center"/>
          </w:tcPr>
          <w:p w14:paraId="6E3F60F0">
            <w:pPr>
              <w:widowControl/>
              <w:spacing w:line="300" w:lineRule="auto"/>
              <w:ind w:firstLine="422" w:firstLineChars="200"/>
              <w:jc w:val="left"/>
              <w:rPr>
                <w:rFonts w:ascii="Times New Roman" w:hAnsi="Times New Roman" w:eastAsia="宋体" w:cs="Times New Roman"/>
                <w:b/>
                <w:bCs/>
                <w:color w:val="000000"/>
                <w:sz w:val="21"/>
                <w:szCs w:val="21"/>
              </w:rPr>
            </w:pPr>
          </w:p>
        </w:tc>
        <w:tc>
          <w:tcPr>
            <w:tcW w:w="517" w:type="pct"/>
          </w:tcPr>
          <w:p w14:paraId="1076BBF8">
            <w:pPr>
              <w:spacing w:line="240" w:lineRule="exact"/>
              <w:ind w:left="-103" w:leftChars="-49" w:right="-128" w:rightChars="-61" w:firstLine="40" w:firstLineChars="19"/>
              <w:jc w:val="center"/>
              <w:rPr>
                <w:rFonts w:ascii="Times New Roman" w:hAnsi="Times New Roman" w:eastAsia="宋体" w:cs="Times New Roman"/>
                <w:b/>
                <w:bCs/>
                <w:color w:val="000000"/>
                <w:sz w:val="21"/>
                <w:szCs w:val="21"/>
              </w:rPr>
            </w:pPr>
            <w:r>
              <w:rPr>
                <w:rFonts w:ascii="Times New Roman" w:hAnsi="Times New Roman" w:eastAsia="宋体" w:cs="Times New Roman"/>
                <w:b/>
                <w:bCs/>
                <w:color w:val="000000"/>
                <w:sz w:val="21"/>
                <w:szCs w:val="21"/>
              </w:rPr>
              <w:t>荒漠区</w:t>
            </w:r>
          </w:p>
        </w:tc>
        <w:tc>
          <w:tcPr>
            <w:tcW w:w="514" w:type="pct"/>
          </w:tcPr>
          <w:p w14:paraId="3615D869">
            <w:pPr>
              <w:spacing w:line="240" w:lineRule="exact"/>
              <w:ind w:left="-103" w:leftChars="-49" w:right="-128" w:rightChars="-61" w:firstLine="40" w:firstLineChars="19"/>
              <w:jc w:val="center"/>
              <w:rPr>
                <w:rFonts w:ascii="Times New Roman" w:hAnsi="Times New Roman" w:eastAsia="宋体" w:cs="Times New Roman"/>
                <w:b/>
                <w:bCs/>
                <w:color w:val="000000"/>
                <w:sz w:val="21"/>
                <w:szCs w:val="21"/>
              </w:rPr>
            </w:pPr>
            <w:r>
              <w:rPr>
                <w:rFonts w:ascii="Times New Roman" w:hAnsi="Times New Roman" w:eastAsia="宋体" w:cs="Times New Roman"/>
                <w:b/>
                <w:bCs/>
                <w:color w:val="000000"/>
                <w:sz w:val="21"/>
                <w:szCs w:val="21"/>
              </w:rPr>
              <w:t>绿洲区</w:t>
            </w:r>
          </w:p>
        </w:tc>
      </w:tr>
      <w:tr w14:paraId="3265F501">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1563" w:type="pct"/>
            <w:vAlign w:val="center"/>
          </w:tcPr>
          <w:p w14:paraId="6F5D503B">
            <w:pPr>
              <w:spacing w:line="240" w:lineRule="exact"/>
              <w:ind w:left="-101" w:leftChars="-50" w:right="-128" w:rightChars="-61" w:hanging="4" w:hangingChars="2"/>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两栖类</w:t>
            </w:r>
          </w:p>
        </w:tc>
        <w:tc>
          <w:tcPr>
            <w:tcW w:w="2404" w:type="pct"/>
            <w:vAlign w:val="center"/>
          </w:tcPr>
          <w:p w14:paraId="69DBCA90">
            <w:pPr>
              <w:spacing w:line="240" w:lineRule="exact"/>
              <w:ind w:left="-95" w:leftChars="-67" w:right="-128" w:rightChars="-61" w:hanging="46" w:hangingChars="22"/>
              <w:jc w:val="center"/>
              <w:rPr>
                <w:rFonts w:ascii="Times New Roman" w:hAnsi="Times New Roman" w:eastAsia="宋体" w:cs="Times New Roman"/>
                <w:color w:val="000000"/>
                <w:sz w:val="21"/>
                <w:szCs w:val="21"/>
              </w:rPr>
            </w:pPr>
          </w:p>
        </w:tc>
        <w:tc>
          <w:tcPr>
            <w:tcW w:w="517" w:type="pct"/>
          </w:tcPr>
          <w:p w14:paraId="2FF6DC24">
            <w:pPr>
              <w:spacing w:line="240" w:lineRule="exact"/>
              <w:ind w:left="-103" w:leftChars="-49" w:right="-128" w:rightChars="-61" w:firstLine="39" w:firstLineChars="19"/>
              <w:jc w:val="center"/>
              <w:rPr>
                <w:rFonts w:ascii="Times New Roman" w:hAnsi="Times New Roman" w:eastAsia="宋体" w:cs="Times New Roman"/>
                <w:color w:val="000000"/>
                <w:sz w:val="21"/>
                <w:szCs w:val="21"/>
              </w:rPr>
            </w:pPr>
          </w:p>
        </w:tc>
        <w:tc>
          <w:tcPr>
            <w:tcW w:w="514" w:type="pct"/>
          </w:tcPr>
          <w:p w14:paraId="2C682526">
            <w:pPr>
              <w:spacing w:line="240" w:lineRule="exact"/>
              <w:ind w:left="-103" w:leftChars="-49" w:right="-128" w:rightChars="-61" w:firstLine="39" w:firstLineChars="19"/>
              <w:jc w:val="center"/>
              <w:rPr>
                <w:rFonts w:ascii="Times New Roman" w:hAnsi="Times New Roman" w:eastAsia="宋体" w:cs="Times New Roman"/>
                <w:color w:val="000000"/>
                <w:sz w:val="21"/>
                <w:szCs w:val="21"/>
              </w:rPr>
            </w:pPr>
          </w:p>
        </w:tc>
      </w:tr>
      <w:tr w14:paraId="2FBD1D0B">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1563" w:type="pct"/>
            <w:vAlign w:val="center"/>
          </w:tcPr>
          <w:p w14:paraId="0C74E4CF">
            <w:pPr>
              <w:spacing w:line="240" w:lineRule="exact"/>
              <w:ind w:left="-101" w:leftChars="-50" w:right="-128" w:rightChars="-61" w:hanging="4" w:hangingChars="2"/>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绿蟾蜍</w:t>
            </w:r>
          </w:p>
        </w:tc>
        <w:tc>
          <w:tcPr>
            <w:tcW w:w="2404" w:type="pct"/>
            <w:vAlign w:val="center"/>
          </w:tcPr>
          <w:p w14:paraId="7B7A8A93">
            <w:pPr>
              <w:spacing w:line="240" w:lineRule="exact"/>
              <w:ind w:left="-95" w:leftChars="-67" w:right="-128" w:rightChars="-61" w:hanging="46" w:hangingChars="22"/>
              <w:jc w:val="center"/>
              <w:rPr>
                <w:rFonts w:ascii="Times New Roman" w:hAnsi="Times New Roman" w:eastAsia="宋体" w:cs="Times New Roman"/>
                <w:color w:val="000000"/>
                <w:sz w:val="21"/>
                <w:szCs w:val="21"/>
              </w:rPr>
            </w:pPr>
            <w:r>
              <w:rPr>
                <w:rFonts w:ascii="Times New Roman" w:hAnsi="Times New Roman" w:eastAsia="宋体" w:cs="Times New Roman"/>
                <w:i/>
                <w:iCs/>
                <w:color w:val="000000"/>
                <w:sz w:val="21"/>
                <w:szCs w:val="21"/>
              </w:rPr>
              <w:t>Bufo viridis</w:t>
            </w:r>
          </w:p>
        </w:tc>
        <w:tc>
          <w:tcPr>
            <w:tcW w:w="517" w:type="pct"/>
          </w:tcPr>
          <w:p w14:paraId="27231E24">
            <w:pPr>
              <w:spacing w:line="240" w:lineRule="exact"/>
              <w:ind w:left="-103" w:leftChars="-49" w:right="-128" w:rightChars="-61" w:firstLine="39" w:firstLineChars="19"/>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c>
          <w:tcPr>
            <w:tcW w:w="514" w:type="pct"/>
          </w:tcPr>
          <w:p w14:paraId="094824EC">
            <w:pPr>
              <w:spacing w:line="240" w:lineRule="exact"/>
              <w:ind w:left="-103" w:leftChars="-49" w:right="-128" w:rightChars="-61" w:firstLine="39" w:firstLineChars="19"/>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r>
      <w:tr w14:paraId="23F49332">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1563" w:type="pct"/>
            <w:vAlign w:val="center"/>
          </w:tcPr>
          <w:p w14:paraId="05100864">
            <w:pPr>
              <w:spacing w:line="240" w:lineRule="exact"/>
              <w:ind w:left="-101" w:leftChars="-50" w:right="-128" w:rightChars="-61" w:hanging="4" w:hangingChars="2"/>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lang w:bidi="ar"/>
              </w:rPr>
              <w:t>塔里木蟾蜍</w:t>
            </w:r>
          </w:p>
        </w:tc>
        <w:tc>
          <w:tcPr>
            <w:tcW w:w="2404" w:type="pct"/>
            <w:vAlign w:val="center"/>
          </w:tcPr>
          <w:p w14:paraId="531E8C30">
            <w:pPr>
              <w:spacing w:line="240" w:lineRule="exact"/>
              <w:ind w:left="-95" w:leftChars="-67" w:right="-128" w:rightChars="-61" w:hanging="46" w:hangingChars="22"/>
              <w:jc w:val="center"/>
              <w:rPr>
                <w:rFonts w:ascii="Times New Roman" w:hAnsi="Times New Roman" w:eastAsia="宋体" w:cs="Times New Roman"/>
                <w:i/>
                <w:iCs/>
                <w:color w:val="000000"/>
                <w:sz w:val="21"/>
                <w:szCs w:val="21"/>
              </w:rPr>
            </w:pPr>
            <w:r>
              <w:rPr>
                <w:rFonts w:ascii="Times New Roman" w:hAnsi="Times New Roman" w:eastAsia="宋体" w:cs="Times New Roman"/>
                <w:i/>
                <w:iCs/>
                <w:color w:val="000000"/>
                <w:sz w:val="21"/>
                <w:szCs w:val="21"/>
              </w:rPr>
              <w:t>Bufotes pewzowi</w:t>
            </w:r>
          </w:p>
        </w:tc>
        <w:tc>
          <w:tcPr>
            <w:tcW w:w="517" w:type="pct"/>
          </w:tcPr>
          <w:p w14:paraId="55F4FF8D">
            <w:pPr>
              <w:spacing w:line="240" w:lineRule="exact"/>
              <w:ind w:left="-103" w:leftChars="-49" w:right="-128" w:rightChars="-61" w:firstLine="39" w:firstLineChars="19"/>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c>
          <w:tcPr>
            <w:tcW w:w="514" w:type="pct"/>
          </w:tcPr>
          <w:p w14:paraId="32FCB690">
            <w:pPr>
              <w:spacing w:line="240" w:lineRule="exact"/>
              <w:ind w:left="-103" w:leftChars="-49" w:right="-128" w:rightChars="-61" w:firstLine="39" w:firstLineChars="19"/>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r>
      <w:tr w14:paraId="6B063413">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1563" w:type="pct"/>
            <w:vAlign w:val="center"/>
          </w:tcPr>
          <w:p w14:paraId="78BFB9AE">
            <w:pPr>
              <w:spacing w:line="240" w:lineRule="exact"/>
              <w:ind w:left="-101" w:leftChars="-50" w:right="-128" w:rightChars="-61" w:hanging="4" w:hangingChars="2"/>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爬行类</w:t>
            </w:r>
          </w:p>
        </w:tc>
        <w:tc>
          <w:tcPr>
            <w:tcW w:w="2404" w:type="pct"/>
            <w:vAlign w:val="center"/>
          </w:tcPr>
          <w:p w14:paraId="6E434437">
            <w:pPr>
              <w:spacing w:line="240" w:lineRule="exact"/>
              <w:ind w:left="-95" w:leftChars="-67" w:right="-128" w:rightChars="-61" w:hanging="46" w:hangingChars="22"/>
              <w:jc w:val="center"/>
              <w:rPr>
                <w:rFonts w:ascii="Times New Roman" w:hAnsi="Times New Roman" w:eastAsia="宋体" w:cs="Times New Roman"/>
                <w:i/>
                <w:iCs/>
                <w:color w:val="000000"/>
                <w:sz w:val="21"/>
                <w:szCs w:val="21"/>
              </w:rPr>
            </w:pPr>
          </w:p>
        </w:tc>
        <w:tc>
          <w:tcPr>
            <w:tcW w:w="517" w:type="pct"/>
          </w:tcPr>
          <w:p w14:paraId="259CE380">
            <w:pPr>
              <w:spacing w:line="240" w:lineRule="exact"/>
              <w:ind w:left="-103" w:leftChars="-49" w:right="-128" w:rightChars="-61" w:firstLine="39" w:firstLineChars="19"/>
              <w:jc w:val="center"/>
              <w:rPr>
                <w:rFonts w:ascii="Times New Roman" w:hAnsi="Times New Roman" w:eastAsia="宋体" w:cs="Times New Roman"/>
                <w:color w:val="000000"/>
                <w:sz w:val="21"/>
                <w:szCs w:val="21"/>
              </w:rPr>
            </w:pPr>
          </w:p>
        </w:tc>
        <w:tc>
          <w:tcPr>
            <w:tcW w:w="514" w:type="pct"/>
          </w:tcPr>
          <w:p w14:paraId="0ED0602C">
            <w:pPr>
              <w:spacing w:line="240" w:lineRule="exact"/>
              <w:ind w:left="-103" w:leftChars="-49" w:right="-128" w:rightChars="-61" w:firstLine="39" w:firstLineChars="19"/>
              <w:jc w:val="center"/>
              <w:rPr>
                <w:rFonts w:ascii="Times New Roman" w:hAnsi="Times New Roman" w:eastAsia="宋体" w:cs="Times New Roman"/>
                <w:color w:val="000000"/>
                <w:sz w:val="21"/>
                <w:szCs w:val="21"/>
              </w:rPr>
            </w:pPr>
          </w:p>
        </w:tc>
      </w:tr>
      <w:tr w14:paraId="06C446C3">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2650" w:type="dxa"/>
            <w:vAlign w:val="center"/>
          </w:tcPr>
          <w:p w14:paraId="0A891A8F">
            <w:pPr>
              <w:spacing w:line="240" w:lineRule="exact"/>
              <w:ind w:left="-101" w:leftChars="-50" w:hanging="4" w:hangingChars="2"/>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南疆沙蜥</w:t>
            </w:r>
          </w:p>
        </w:tc>
        <w:tc>
          <w:tcPr>
            <w:tcW w:w="4075" w:type="dxa"/>
            <w:vAlign w:val="center"/>
          </w:tcPr>
          <w:p w14:paraId="4620DC70">
            <w:pPr>
              <w:spacing w:line="240" w:lineRule="exact"/>
              <w:ind w:left="-95" w:leftChars="-67" w:right="-128" w:rightChars="-61" w:hanging="46" w:hangingChars="22"/>
              <w:jc w:val="center"/>
              <w:rPr>
                <w:rFonts w:ascii="Times New Roman" w:hAnsi="Times New Roman" w:eastAsia="宋体" w:cs="Times New Roman"/>
                <w:i/>
                <w:iCs/>
                <w:color w:val="000000"/>
                <w:sz w:val="21"/>
                <w:szCs w:val="21"/>
              </w:rPr>
            </w:pPr>
            <w:r>
              <w:rPr>
                <w:rFonts w:ascii="Times New Roman" w:hAnsi="Times New Roman" w:eastAsia="宋体" w:cs="Times New Roman"/>
                <w:i/>
                <w:iCs/>
                <w:color w:val="000000"/>
                <w:sz w:val="21"/>
                <w:szCs w:val="21"/>
              </w:rPr>
              <w:t>Phrynocephalus forsythi</w:t>
            </w:r>
          </w:p>
        </w:tc>
        <w:tc>
          <w:tcPr>
            <w:tcW w:w="877" w:type="dxa"/>
            <w:vAlign w:val="top"/>
          </w:tcPr>
          <w:p w14:paraId="24F8503E">
            <w:pPr>
              <w:spacing w:line="240" w:lineRule="exact"/>
              <w:ind w:left="-103" w:leftChars="-49" w:right="-128" w:rightChars="-61" w:firstLine="39" w:firstLineChars="19"/>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c>
          <w:tcPr>
            <w:tcW w:w="873" w:type="dxa"/>
            <w:vAlign w:val="top"/>
          </w:tcPr>
          <w:p w14:paraId="4813899B">
            <w:pPr>
              <w:spacing w:line="240" w:lineRule="exact"/>
              <w:ind w:left="-103" w:leftChars="-49" w:right="-128" w:rightChars="-61" w:firstLine="39" w:firstLineChars="19"/>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r>
      <w:tr w14:paraId="78B1BF7A">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2650" w:type="dxa"/>
            <w:vAlign w:val="center"/>
          </w:tcPr>
          <w:p w14:paraId="3E8371AA">
            <w:pPr>
              <w:spacing w:line="240" w:lineRule="exact"/>
              <w:ind w:left="-101" w:leftChars="-50" w:hanging="4" w:hangingChars="2"/>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叶城沙蜥</w:t>
            </w:r>
          </w:p>
        </w:tc>
        <w:tc>
          <w:tcPr>
            <w:tcW w:w="4075" w:type="dxa"/>
            <w:vAlign w:val="center"/>
          </w:tcPr>
          <w:p w14:paraId="45A174E9">
            <w:pPr>
              <w:spacing w:line="240" w:lineRule="exact"/>
              <w:ind w:left="-95" w:leftChars="-67" w:right="-128" w:rightChars="-61" w:hanging="46" w:hangingChars="22"/>
              <w:jc w:val="center"/>
              <w:rPr>
                <w:rFonts w:ascii="Times New Roman" w:hAnsi="Times New Roman" w:eastAsia="宋体" w:cs="Times New Roman"/>
                <w:i/>
                <w:iCs/>
                <w:color w:val="000000"/>
                <w:sz w:val="21"/>
                <w:szCs w:val="21"/>
              </w:rPr>
            </w:pPr>
            <w:r>
              <w:rPr>
                <w:rFonts w:ascii="Times New Roman" w:hAnsi="Times New Roman" w:eastAsia="宋体" w:cs="Times New Roman"/>
                <w:i/>
                <w:iCs/>
                <w:color w:val="000000"/>
                <w:sz w:val="21"/>
                <w:szCs w:val="21"/>
              </w:rPr>
              <w:t>Phrynocephalus aaillaris</w:t>
            </w:r>
          </w:p>
        </w:tc>
        <w:tc>
          <w:tcPr>
            <w:tcW w:w="877" w:type="dxa"/>
            <w:vAlign w:val="top"/>
          </w:tcPr>
          <w:p w14:paraId="1FE79874">
            <w:pPr>
              <w:spacing w:line="240" w:lineRule="exact"/>
              <w:ind w:left="-103" w:leftChars="-49" w:right="-128" w:rightChars="-61" w:firstLine="39" w:firstLineChars="19"/>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c>
          <w:tcPr>
            <w:tcW w:w="873" w:type="dxa"/>
            <w:vAlign w:val="top"/>
          </w:tcPr>
          <w:p w14:paraId="3D65957D">
            <w:pPr>
              <w:spacing w:line="240" w:lineRule="exact"/>
              <w:ind w:left="-103" w:leftChars="-49" w:right="-128" w:rightChars="-61" w:firstLine="39" w:firstLineChars="19"/>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r>
      <w:tr w14:paraId="27BEE6ED">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2650" w:type="dxa"/>
            <w:vAlign w:val="center"/>
          </w:tcPr>
          <w:p w14:paraId="3E61D28E">
            <w:pPr>
              <w:spacing w:line="240" w:lineRule="exact"/>
              <w:ind w:left="-101" w:leftChars="-50" w:hanging="4" w:hangingChars="2"/>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密点麻蜥</w:t>
            </w:r>
          </w:p>
        </w:tc>
        <w:tc>
          <w:tcPr>
            <w:tcW w:w="4075" w:type="dxa"/>
            <w:vAlign w:val="center"/>
          </w:tcPr>
          <w:p w14:paraId="1261642F">
            <w:pPr>
              <w:spacing w:line="240" w:lineRule="exact"/>
              <w:ind w:left="-95" w:leftChars="-67" w:right="-128" w:rightChars="-61" w:hanging="46" w:hangingChars="22"/>
              <w:jc w:val="center"/>
              <w:rPr>
                <w:rFonts w:ascii="Times New Roman" w:hAnsi="Times New Roman" w:eastAsia="宋体" w:cs="Times New Roman"/>
                <w:i/>
                <w:iCs/>
                <w:color w:val="000000"/>
                <w:sz w:val="21"/>
                <w:szCs w:val="21"/>
              </w:rPr>
            </w:pPr>
            <w:r>
              <w:rPr>
                <w:rFonts w:ascii="Times New Roman" w:hAnsi="Times New Roman" w:eastAsia="宋体" w:cs="Times New Roman"/>
                <w:i/>
                <w:iCs/>
                <w:color w:val="000000"/>
                <w:sz w:val="21"/>
                <w:szCs w:val="21"/>
              </w:rPr>
              <w:t>Eremias multionllata</w:t>
            </w:r>
          </w:p>
        </w:tc>
        <w:tc>
          <w:tcPr>
            <w:tcW w:w="877" w:type="dxa"/>
            <w:vAlign w:val="top"/>
          </w:tcPr>
          <w:p w14:paraId="6BA21298">
            <w:pPr>
              <w:spacing w:line="240" w:lineRule="exact"/>
              <w:ind w:left="-103" w:leftChars="-49" w:right="-128" w:rightChars="-61" w:firstLine="39" w:firstLineChars="19"/>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c>
          <w:tcPr>
            <w:tcW w:w="873" w:type="dxa"/>
            <w:vAlign w:val="top"/>
          </w:tcPr>
          <w:p w14:paraId="51733593">
            <w:pPr>
              <w:spacing w:line="240" w:lineRule="exact"/>
              <w:ind w:left="-103" w:leftChars="-49" w:right="-128" w:rightChars="-61" w:firstLine="39" w:firstLineChars="19"/>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r>
    </w:tbl>
    <w:p w14:paraId="2D5BCF83">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22" w:firstLineChars="200"/>
        <w:jc w:val="center"/>
        <w:textAlignment w:val="auto"/>
        <w:rPr>
          <w:rFonts w:ascii="Times New Roman" w:hAnsi="Times New Roman" w:eastAsia="宋体" w:cs="Times New Roman"/>
          <w:b/>
          <w:bCs/>
          <w:color w:val="000000"/>
          <w:kern w:val="2"/>
          <w:sz w:val="21"/>
          <w:szCs w:val="21"/>
          <w:lang w:val="en-US" w:eastAsia="zh-CN" w:bidi="ar"/>
        </w:rPr>
      </w:pPr>
      <w:r>
        <w:rPr>
          <w:rFonts w:hint="eastAsia" w:ascii="Times New Roman" w:hAnsi="Times New Roman" w:eastAsia="宋体" w:cs="Times New Roman"/>
          <w:b/>
          <w:bCs/>
          <w:color w:val="000000"/>
          <w:kern w:val="2"/>
          <w:sz w:val="21"/>
          <w:szCs w:val="21"/>
          <w:lang w:val="en-US" w:eastAsia="zh-CN" w:bidi="ar"/>
        </w:rPr>
        <w:t xml:space="preserve">续 </w:t>
      </w:r>
      <w:r>
        <w:rPr>
          <w:rFonts w:ascii="Times New Roman" w:hAnsi="Times New Roman" w:eastAsia="宋体" w:cs="Times New Roman"/>
          <w:b/>
          <w:bCs/>
          <w:color w:val="000000"/>
          <w:kern w:val="2"/>
          <w:sz w:val="21"/>
          <w:szCs w:val="21"/>
          <w:lang w:val="en-US" w:eastAsia="zh-CN" w:bidi="ar"/>
        </w:rPr>
        <w:t>表2.6-1  项目沿线常见动物组成</w:t>
      </w:r>
    </w:p>
    <w:tbl>
      <w:tblPr>
        <w:tblStyle w:val="22"/>
        <w:tblW w:w="5000" w:type="pct"/>
        <w:jc w:val="center"/>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456"/>
        <w:gridCol w:w="4485"/>
        <w:gridCol w:w="889"/>
        <w:gridCol w:w="890"/>
      </w:tblGrid>
      <w:tr w14:paraId="0D0152B0">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blHeader/>
          <w:jc w:val="center"/>
        </w:trPr>
        <w:tc>
          <w:tcPr>
            <w:tcW w:w="1407" w:type="pct"/>
            <w:vMerge w:val="restart"/>
            <w:vAlign w:val="center"/>
          </w:tcPr>
          <w:p w14:paraId="3EDC99D5">
            <w:pPr>
              <w:spacing w:line="240" w:lineRule="exact"/>
              <w:ind w:left="-101" w:leftChars="-50" w:right="-128" w:rightChars="-61" w:hanging="4" w:hangingChars="2"/>
              <w:jc w:val="center"/>
              <w:rPr>
                <w:rFonts w:ascii="Times New Roman" w:hAnsi="Times New Roman" w:eastAsia="宋体" w:cs="Times New Roman"/>
                <w:b/>
                <w:bCs/>
                <w:color w:val="000000"/>
                <w:sz w:val="21"/>
                <w:szCs w:val="21"/>
              </w:rPr>
            </w:pPr>
            <w:r>
              <w:rPr>
                <w:rFonts w:ascii="Times New Roman" w:hAnsi="Times New Roman" w:eastAsia="宋体" w:cs="Times New Roman"/>
                <w:b/>
                <w:bCs/>
                <w:color w:val="000000"/>
                <w:sz w:val="21"/>
                <w:szCs w:val="21"/>
              </w:rPr>
              <w:t>种   类</w:t>
            </w:r>
          </w:p>
        </w:tc>
        <w:tc>
          <w:tcPr>
            <w:tcW w:w="2572" w:type="pct"/>
            <w:vMerge w:val="restart"/>
            <w:vAlign w:val="center"/>
          </w:tcPr>
          <w:p w14:paraId="1622372E">
            <w:pPr>
              <w:spacing w:line="240" w:lineRule="exact"/>
              <w:ind w:left="-95" w:leftChars="-67" w:right="-128" w:rightChars="-61" w:hanging="46" w:hangingChars="22"/>
              <w:jc w:val="center"/>
              <w:rPr>
                <w:rFonts w:ascii="Times New Roman" w:hAnsi="Times New Roman" w:eastAsia="宋体" w:cs="Times New Roman"/>
                <w:b/>
                <w:bCs/>
                <w:color w:val="000000"/>
                <w:sz w:val="21"/>
                <w:szCs w:val="21"/>
              </w:rPr>
            </w:pPr>
            <w:r>
              <w:rPr>
                <w:rFonts w:ascii="Times New Roman" w:hAnsi="Times New Roman" w:eastAsia="宋体" w:cs="Times New Roman"/>
                <w:b/>
                <w:bCs/>
                <w:color w:val="000000"/>
                <w:sz w:val="21"/>
                <w:szCs w:val="21"/>
              </w:rPr>
              <w:t>学    名</w:t>
            </w:r>
          </w:p>
        </w:tc>
        <w:tc>
          <w:tcPr>
            <w:tcW w:w="1019" w:type="pct"/>
            <w:gridSpan w:val="2"/>
          </w:tcPr>
          <w:p w14:paraId="473D2798">
            <w:pPr>
              <w:spacing w:line="240" w:lineRule="exact"/>
              <w:ind w:left="-103" w:leftChars="-49" w:right="-128" w:rightChars="-61" w:firstLine="40" w:firstLineChars="19"/>
              <w:jc w:val="center"/>
              <w:rPr>
                <w:rFonts w:ascii="Times New Roman" w:hAnsi="Times New Roman" w:eastAsia="宋体" w:cs="Times New Roman"/>
                <w:b/>
                <w:bCs/>
                <w:color w:val="000000"/>
                <w:sz w:val="21"/>
                <w:szCs w:val="21"/>
              </w:rPr>
            </w:pPr>
            <w:r>
              <w:rPr>
                <w:rFonts w:ascii="Times New Roman" w:hAnsi="Times New Roman" w:eastAsia="宋体" w:cs="Times New Roman"/>
                <w:b/>
                <w:bCs/>
                <w:color w:val="000000"/>
                <w:sz w:val="21"/>
                <w:szCs w:val="21"/>
              </w:rPr>
              <w:t>分   布</w:t>
            </w:r>
          </w:p>
        </w:tc>
      </w:tr>
      <w:tr w14:paraId="3885D75B">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blHeader/>
          <w:jc w:val="center"/>
        </w:trPr>
        <w:tc>
          <w:tcPr>
            <w:tcW w:w="1407" w:type="pct"/>
            <w:vMerge w:val="continue"/>
            <w:vAlign w:val="center"/>
          </w:tcPr>
          <w:p w14:paraId="1E7A01DD">
            <w:pPr>
              <w:widowControl/>
              <w:spacing w:line="300" w:lineRule="auto"/>
              <w:ind w:firstLine="422" w:firstLineChars="200"/>
              <w:jc w:val="left"/>
              <w:rPr>
                <w:rFonts w:ascii="Times New Roman" w:hAnsi="Times New Roman" w:eastAsia="宋体" w:cs="Times New Roman"/>
                <w:b/>
                <w:bCs/>
                <w:color w:val="000000"/>
                <w:sz w:val="21"/>
                <w:szCs w:val="21"/>
              </w:rPr>
            </w:pPr>
          </w:p>
        </w:tc>
        <w:tc>
          <w:tcPr>
            <w:tcW w:w="2572" w:type="pct"/>
            <w:vMerge w:val="continue"/>
            <w:vAlign w:val="center"/>
          </w:tcPr>
          <w:p w14:paraId="2DE8E7DE">
            <w:pPr>
              <w:widowControl/>
              <w:spacing w:line="300" w:lineRule="auto"/>
              <w:ind w:firstLine="422" w:firstLineChars="200"/>
              <w:jc w:val="left"/>
              <w:rPr>
                <w:rFonts w:ascii="Times New Roman" w:hAnsi="Times New Roman" w:eastAsia="宋体" w:cs="Times New Roman"/>
                <w:b/>
                <w:bCs/>
                <w:color w:val="000000"/>
                <w:sz w:val="21"/>
                <w:szCs w:val="21"/>
              </w:rPr>
            </w:pPr>
          </w:p>
        </w:tc>
        <w:tc>
          <w:tcPr>
            <w:tcW w:w="509" w:type="pct"/>
          </w:tcPr>
          <w:p w14:paraId="5D01A9D4">
            <w:pPr>
              <w:spacing w:line="240" w:lineRule="exact"/>
              <w:ind w:left="-103" w:leftChars="-49" w:right="-128" w:rightChars="-61" w:firstLine="40" w:firstLineChars="19"/>
              <w:jc w:val="center"/>
              <w:rPr>
                <w:rFonts w:ascii="Times New Roman" w:hAnsi="Times New Roman" w:eastAsia="宋体" w:cs="Times New Roman"/>
                <w:b/>
                <w:bCs/>
                <w:color w:val="000000"/>
                <w:sz w:val="21"/>
                <w:szCs w:val="21"/>
              </w:rPr>
            </w:pPr>
            <w:r>
              <w:rPr>
                <w:rFonts w:ascii="Times New Roman" w:hAnsi="Times New Roman" w:eastAsia="宋体" w:cs="Times New Roman"/>
                <w:b/>
                <w:bCs/>
                <w:color w:val="000000"/>
                <w:sz w:val="21"/>
                <w:szCs w:val="21"/>
              </w:rPr>
              <w:t>荒漠区</w:t>
            </w:r>
          </w:p>
        </w:tc>
        <w:tc>
          <w:tcPr>
            <w:tcW w:w="510" w:type="pct"/>
          </w:tcPr>
          <w:p w14:paraId="4DEAFA8D">
            <w:pPr>
              <w:spacing w:line="240" w:lineRule="exact"/>
              <w:ind w:left="-103" w:leftChars="-49" w:right="-128" w:rightChars="-61" w:firstLine="40" w:firstLineChars="19"/>
              <w:jc w:val="center"/>
              <w:rPr>
                <w:rFonts w:ascii="Times New Roman" w:hAnsi="Times New Roman" w:eastAsia="宋体" w:cs="Times New Roman"/>
                <w:b/>
                <w:bCs/>
                <w:color w:val="000000"/>
                <w:sz w:val="21"/>
                <w:szCs w:val="21"/>
              </w:rPr>
            </w:pPr>
            <w:r>
              <w:rPr>
                <w:rFonts w:ascii="Times New Roman" w:hAnsi="Times New Roman" w:eastAsia="宋体" w:cs="Times New Roman"/>
                <w:b/>
                <w:bCs/>
                <w:color w:val="000000"/>
                <w:sz w:val="21"/>
                <w:szCs w:val="21"/>
              </w:rPr>
              <w:t>绿洲区</w:t>
            </w:r>
          </w:p>
        </w:tc>
      </w:tr>
      <w:tr w14:paraId="0D1B9C61">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1407" w:type="pct"/>
            <w:vAlign w:val="center"/>
          </w:tcPr>
          <w:p w14:paraId="3DC3C8AF">
            <w:pPr>
              <w:spacing w:line="240" w:lineRule="exact"/>
              <w:ind w:left="-101" w:leftChars="-50" w:hanging="4" w:hangingChars="2"/>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快步麻蜥</w:t>
            </w:r>
          </w:p>
        </w:tc>
        <w:tc>
          <w:tcPr>
            <w:tcW w:w="2572" w:type="pct"/>
            <w:vAlign w:val="center"/>
          </w:tcPr>
          <w:p w14:paraId="1AF6BE43">
            <w:pPr>
              <w:spacing w:line="240" w:lineRule="exact"/>
              <w:ind w:left="-95" w:leftChars="-67" w:right="-128" w:rightChars="-61" w:hanging="46" w:hangingChars="22"/>
              <w:jc w:val="center"/>
              <w:rPr>
                <w:rFonts w:ascii="Times New Roman" w:hAnsi="Times New Roman" w:eastAsia="宋体" w:cs="Times New Roman"/>
                <w:i/>
                <w:iCs/>
                <w:color w:val="000000"/>
                <w:sz w:val="21"/>
                <w:szCs w:val="21"/>
              </w:rPr>
            </w:pPr>
            <w:r>
              <w:rPr>
                <w:rFonts w:ascii="Times New Roman" w:hAnsi="Times New Roman" w:eastAsia="宋体" w:cs="Times New Roman"/>
                <w:i/>
                <w:iCs/>
                <w:color w:val="000000"/>
                <w:sz w:val="21"/>
                <w:szCs w:val="21"/>
              </w:rPr>
              <w:t>Eremias velox</w:t>
            </w:r>
          </w:p>
        </w:tc>
        <w:tc>
          <w:tcPr>
            <w:tcW w:w="509" w:type="pct"/>
          </w:tcPr>
          <w:p w14:paraId="06EDDE45">
            <w:pPr>
              <w:spacing w:line="240" w:lineRule="exact"/>
              <w:ind w:left="-103" w:leftChars="-49" w:right="-128" w:rightChars="-61" w:firstLine="39" w:firstLineChars="19"/>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c>
          <w:tcPr>
            <w:tcW w:w="510" w:type="pct"/>
          </w:tcPr>
          <w:p w14:paraId="6E74ACF1">
            <w:pPr>
              <w:spacing w:line="240" w:lineRule="exact"/>
              <w:ind w:left="-103" w:leftChars="-49" w:right="-128" w:rightChars="-61" w:firstLine="39" w:firstLineChars="19"/>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r>
      <w:tr w14:paraId="16CAB0EE">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1407" w:type="pct"/>
            <w:vAlign w:val="center"/>
          </w:tcPr>
          <w:p w14:paraId="774AEE68">
            <w:pPr>
              <w:spacing w:line="240" w:lineRule="exact"/>
              <w:ind w:left="-101" w:leftChars="-50" w:hanging="4" w:hangingChars="2"/>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荒漠麻蜥</w:t>
            </w:r>
          </w:p>
        </w:tc>
        <w:tc>
          <w:tcPr>
            <w:tcW w:w="2572" w:type="pct"/>
            <w:vAlign w:val="center"/>
          </w:tcPr>
          <w:p w14:paraId="10A8FC54">
            <w:pPr>
              <w:spacing w:line="240" w:lineRule="exact"/>
              <w:ind w:left="-95" w:leftChars="-67" w:right="-128" w:rightChars="-61" w:hanging="46" w:hangingChars="22"/>
              <w:jc w:val="center"/>
              <w:rPr>
                <w:rFonts w:ascii="Times New Roman" w:hAnsi="Times New Roman" w:eastAsia="宋体" w:cs="Times New Roman"/>
                <w:i/>
                <w:iCs/>
                <w:color w:val="000000"/>
                <w:sz w:val="21"/>
                <w:szCs w:val="21"/>
              </w:rPr>
            </w:pPr>
            <w:r>
              <w:rPr>
                <w:rFonts w:ascii="Times New Roman" w:hAnsi="Times New Roman" w:eastAsia="宋体" w:cs="Times New Roman"/>
                <w:i/>
                <w:iCs/>
                <w:color w:val="000000"/>
                <w:sz w:val="21"/>
                <w:szCs w:val="21"/>
              </w:rPr>
              <w:t>PHrynocepHalus grumgrizimaloi</w:t>
            </w:r>
          </w:p>
        </w:tc>
        <w:tc>
          <w:tcPr>
            <w:tcW w:w="509" w:type="pct"/>
          </w:tcPr>
          <w:p w14:paraId="3DE4CF66">
            <w:pPr>
              <w:spacing w:line="240" w:lineRule="exact"/>
              <w:ind w:left="-103" w:leftChars="-49" w:right="-128" w:rightChars="-61" w:firstLine="39" w:firstLineChars="19"/>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c>
          <w:tcPr>
            <w:tcW w:w="510" w:type="pct"/>
          </w:tcPr>
          <w:p w14:paraId="0DF54E54">
            <w:pPr>
              <w:spacing w:line="240" w:lineRule="exact"/>
              <w:ind w:left="-103" w:leftChars="-49" w:right="-128" w:rightChars="-61" w:firstLine="39" w:firstLineChars="19"/>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r>
      <w:tr w14:paraId="59A22CE7">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1407" w:type="pct"/>
            <w:vAlign w:val="center"/>
          </w:tcPr>
          <w:p w14:paraId="78F247B7">
            <w:pPr>
              <w:spacing w:line="240" w:lineRule="exact"/>
              <w:ind w:left="-101" w:leftChars="-50" w:right="-128" w:rightChars="-61" w:hanging="4" w:hangingChars="2"/>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兽  类</w:t>
            </w:r>
          </w:p>
        </w:tc>
        <w:tc>
          <w:tcPr>
            <w:tcW w:w="2572" w:type="pct"/>
            <w:vAlign w:val="center"/>
          </w:tcPr>
          <w:p w14:paraId="01B62C99">
            <w:pPr>
              <w:spacing w:line="240" w:lineRule="exact"/>
              <w:ind w:left="-95" w:leftChars="-67" w:right="-128" w:rightChars="-61" w:hanging="46" w:hangingChars="22"/>
              <w:jc w:val="center"/>
              <w:rPr>
                <w:rFonts w:ascii="Times New Roman" w:hAnsi="Times New Roman" w:eastAsia="宋体" w:cs="Times New Roman"/>
                <w:i/>
                <w:iCs/>
                <w:color w:val="000000"/>
                <w:sz w:val="21"/>
                <w:szCs w:val="21"/>
              </w:rPr>
            </w:pPr>
          </w:p>
        </w:tc>
        <w:tc>
          <w:tcPr>
            <w:tcW w:w="509" w:type="pct"/>
          </w:tcPr>
          <w:p w14:paraId="44D99976">
            <w:pPr>
              <w:spacing w:line="240" w:lineRule="exact"/>
              <w:ind w:left="-103" w:leftChars="-49" w:right="-128" w:rightChars="-61" w:firstLine="39" w:firstLineChars="19"/>
              <w:jc w:val="center"/>
              <w:rPr>
                <w:rFonts w:ascii="Times New Roman" w:hAnsi="Times New Roman" w:eastAsia="宋体" w:cs="Times New Roman"/>
                <w:color w:val="000000"/>
                <w:sz w:val="21"/>
                <w:szCs w:val="21"/>
              </w:rPr>
            </w:pPr>
          </w:p>
        </w:tc>
        <w:tc>
          <w:tcPr>
            <w:tcW w:w="510" w:type="pct"/>
          </w:tcPr>
          <w:p w14:paraId="6AE12054">
            <w:pPr>
              <w:spacing w:line="240" w:lineRule="exact"/>
              <w:ind w:left="-103" w:leftChars="-49" w:right="-128" w:rightChars="-61" w:firstLine="39" w:firstLineChars="19"/>
              <w:jc w:val="center"/>
              <w:rPr>
                <w:rFonts w:ascii="Times New Roman" w:hAnsi="Times New Roman" w:eastAsia="宋体" w:cs="Times New Roman"/>
                <w:color w:val="000000"/>
                <w:sz w:val="21"/>
                <w:szCs w:val="21"/>
              </w:rPr>
            </w:pPr>
          </w:p>
        </w:tc>
      </w:tr>
      <w:tr w14:paraId="55766079">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1407" w:type="pct"/>
            <w:vAlign w:val="center"/>
          </w:tcPr>
          <w:p w14:paraId="3DA17375">
            <w:pPr>
              <w:spacing w:line="240" w:lineRule="exact"/>
              <w:ind w:left="-101" w:leftChars="-50" w:hanging="4" w:hangingChars="2"/>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子午沙鼠</w:t>
            </w:r>
          </w:p>
        </w:tc>
        <w:tc>
          <w:tcPr>
            <w:tcW w:w="2572" w:type="pct"/>
            <w:vAlign w:val="center"/>
          </w:tcPr>
          <w:p w14:paraId="75D72BAA">
            <w:pPr>
              <w:spacing w:line="240" w:lineRule="exact"/>
              <w:ind w:left="-95" w:leftChars="-67" w:right="-128" w:rightChars="-61" w:hanging="46" w:hangingChars="22"/>
              <w:jc w:val="center"/>
              <w:rPr>
                <w:rFonts w:ascii="Times New Roman" w:hAnsi="Times New Roman" w:eastAsia="宋体" w:cs="Times New Roman"/>
                <w:i/>
                <w:iCs/>
                <w:color w:val="000000"/>
                <w:sz w:val="21"/>
                <w:szCs w:val="21"/>
              </w:rPr>
            </w:pPr>
            <w:r>
              <w:rPr>
                <w:rFonts w:ascii="Times New Roman" w:hAnsi="Times New Roman" w:eastAsia="宋体" w:cs="Times New Roman"/>
                <w:i/>
                <w:iCs/>
                <w:color w:val="000000"/>
                <w:sz w:val="21"/>
                <w:szCs w:val="21"/>
              </w:rPr>
              <w:t>Meriones meridianus</w:t>
            </w:r>
          </w:p>
        </w:tc>
        <w:tc>
          <w:tcPr>
            <w:tcW w:w="509" w:type="pct"/>
          </w:tcPr>
          <w:p w14:paraId="5AB302A1">
            <w:pPr>
              <w:spacing w:line="240" w:lineRule="exact"/>
              <w:ind w:left="-103" w:leftChars="-49" w:right="-128" w:rightChars="-61" w:firstLine="39" w:firstLineChars="19"/>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c>
          <w:tcPr>
            <w:tcW w:w="510" w:type="pct"/>
          </w:tcPr>
          <w:p w14:paraId="2078CDA8">
            <w:pPr>
              <w:spacing w:line="240" w:lineRule="exact"/>
              <w:ind w:left="-103" w:leftChars="-49" w:right="-128" w:rightChars="-61" w:firstLine="39" w:firstLineChars="19"/>
              <w:jc w:val="center"/>
              <w:rPr>
                <w:rFonts w:ascii="Times New Roman" w:hAnsi="Times New Roman" w:eastAsia="宋体" w:cs="Times New Roman"/>
                <w:color w:val="000000"/>
                <w:sz w:val="21"/>
                <w:szCs w:val="21"/>
              </w:rPr>
            </w:pPr>
          </w:p>
        </w:tc>
      </w:tr>
      <w:tr w14:paraId="0B2A98A9">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1407" w:type="pct"/>
            <w:vAlign w:val="center"/>
          </w:tcPr>
          <w:p w14:paraId="395FF5DF">
            <w:pPr>
              <w:spacing w:line="240" w:lineRule="exact"/>
              <w:ind w:left="-101" w:leftChars="-50" w:hanging="4" w:hangingChars="2"/>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三趾跳鼠</w:t>
            </w:r>
          </w:p>
        </w:tc>
        <w:tc>
          <w:tcPr>
            <w:tcW w:w="2572" w:type="pct"/>
            <w:vAlign w:val="center"/>
          </w:tcPr>
          <w:p w14:paraId="316845C7">
            <w:pPr>
              <w:spacing w:line="240" w:lineRule="exact"/>
              <w:ind w:left="-95" w:leftChars="-67" w:right="-128" w:rightChars="-61" w:hanging="46" w:hangingChars="22"/>
              <w:jc w:val="center"/>
              <w:rPr>
                <w:rFonts w:ascii="Times New Roman" w:hAnsi="Times New Roman" w:eastAsia="宋体" w:cs="Times New Roman"/>
                <w:i/>
                <w:iCs/>
                <w:color w:val="000000"/>
                <w:sz w:val="21"/>
                <w:szCs w:val="21"/>
              </w:rPr>
            </w:pPr>
            <w:r>
              <w:rPr>
                <w:rFonts w:ascii="Times New Roman" w:hAnsi="Times New Roman" w:eastAsia="宋体" w:cs="Times New Roman"/>
                <w:i/>
                <w:iCs/>
                <w:color w:val="000000"/>
                <w:sz w:val="21"/>
                <w:szCs w:val="21"/>
              </w:rPr>
              <w:t>Dipus sagitta</w:t>
            </w:r>
          </w:p>
        </w:tc>
        <w:tc>
          <w:tcPr>
            <w:tcW w:w="509" w:type="pct"/>
          </w:tcPr>
          <w:p w14:paraId="0849AE00">
            <w:pPr>
              <w:spacing w:line="240" w:lineRule="exact"/>
              <w:ind w:left="-103" w:leftChars="-49" w:right="-128" w:rightChars="-61" w:firstLine="39" w:firstLineChars="19"/>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c>
          <w:tcPr>
            <w:tcW w:w="510" w:type="pct"/>
          </w:tcPr>
          <w:p w14:paraId="0DA4ED27">
            <w:pPr>
              <w:spacing w:line="240" w:lineRule="exact"/>
              <w:ind w:left="-103" w:leftChars="-49" w:right="-128" w:rightChars="-61" w:firstLine="39" w:firstLineChars="19"/>
              <w:jc w:val="center"/>
              <w:rPr>
                <w:rFonts w:ascii="Times New Roman" w:hAnsi="Times New Roman" w:eastAsia="宋体" w:cs="Times New Roman"/>
                <w:color w:val="000000"/>
                <w:sz w:val="21"/>
                <w:szCs w:val="21"/>
              </w:rPr>
            </w:pPr>
          </w:p>
        </w:tc>
      </w:tr>
      <w:tr w14:paraId="0042269F">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1407" w:type="pct"/>
            <w:vAlign w:val="center"/>
          </w:tcPr>
          <w:p w14:paraId="7C2F344D">
            <w:pPr>
              <w:spacing w:line="240" w:lineRule="exact"/>
              <w:ind w:left="-101" w:leftChars="-50" w:hanging="4" w:hangingChars="2"/>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长耳跳鼠</w:t>
            </w:r>
          </w:p>
        </w:tc>
        <w:tc>
          <w:tcPr>
            <w:tcW w:w="2572" w:type="pct"/>
            <w:vAlign w:val="center"/>
          </w:tcPr>
          <w:p w14:paraId="39F674EB">
            <w:pPr>
              <w:spacing w:line="240" w:lineRule="exact"/>
              <w:ind w:left="-95" w:leftChars="-67" w:right="-128" w:rightChars="-61" w:hanging="46" w:hangingChars="22"/>
              <w:jc w:val="center"/>
              <w:rPr>
                <w:rFonts w:ascii="Times New Roman" w:hAnsi="Times New Roman" w:eastAsia="宋体" w:cs="Times New Roman"/>
                <w:i/>
                <w:iCs/>
                <w:color w:val="000000"/>
                <w:sz w:val="21"/>
                <w:szCs w:val="21"/>
              </w:rPr>
            </w:pPr>
            <w:r>
              <w:rPr>
                <w:rFonts w:ascii="Times New Roman" w:hAnsi="Times New Roman" w:eastAsia="宋体" w:cs="Times New Roman"/>
                <w:i/>
                <w:iCs/>
                <w:color w:val="000000"/>
                <w:sz w:val="21"/>
                <w:szCs w:val="21"/>
              </w:rPr>
              <w:t>Euchoueutes naso</w:t>
            </w:r>
          </w:p>
        </w:tc>
        <w:tc>
          <w:tcPr>
            <w:tcW w:w="509" w:type="pct"/>
          </w:tcPr>
          <w:p w14:paraId="3EF03A75">
            <w:pPr>
              <w:spacing w:line="240" w:lineRule="exact"/>
              <w:ind w:left="-103" w:leftChars="-49" w:right="-128" w:rightChars="-61" w:firstLine="39" w:firstLineChars="19"/>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c>
          <w:tcPr>
            <w:tcW w:w="510" w:type="pct"/>
          </w:tcPr>
          <w:p w14:paraId="20FF613D">
            <w:pPr>
              <w:spacing w:line="240" w:lineRule="exact"/>
              <w:ind w:left="-103" w:leftChars="-49" w:right="-128" w:rightChars="-61" w:firstLine="39" w:firstLineChars="19"/>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r>
      <w:tr w14:paraId="0B7CF68D">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1407" w:type="pct"/>
            <w:vAlign w:val="center"/>
          </w:tcPr>
          <w:p w14:paraId="04D063DA">
            <w:pPr>
              <w:spacing w:line="240" w:lineRule="exact"/>
              <w:ind w:left="-101" w:leftChars="-50" w:hanging="4" w:hangingChars="2"/>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小家鼠(奥德萨亚种)</w:t>
            </w:r>
          </w:p>
        </w:tc>
        <w:tc>
          <w:tcPr>
            <w:tcW w:w="2572" w:type="pct"/>
            <w:vAlign w:val="center"/>
          </w:tcPr>
          <w:p w14:paraId="49935D9D">
            <w:pPr>
              <w:spacing w:line="240" w:lineRule="exact"/>
              <w:ind w:left="-95" w:leftChars="-67" w:right="-128" w:rightChars="-61" w:hanging="46" w:hangingChars="22"/>
              <w:jc w:val="center"/>
              <w:rPr>
                <w:rFonts w:ascii="Times New Roman" w:hAnsi="Times New Roman" w:eastAsia="宋体" w:cs="Times New Roman"/>
                <w:i/>
                <w:iCs/>
                <w:color w:val="000000"/>
                <w:sz w:val="21"/>
                <w:szCs w:val="21"/>
              </w:rPr>
            </w:pPr>
            <w:r>
              <w:rPr>
                <w:rFonts w:ascii="Times New Roman" w:hAnsi="Times New Roman" w:eastAsia="宋体" w:cs="Times New Roman"/>
                <w:i/>
                <w:iCs/>
                <w:color w:val="000000"/>
                <w:sz w:val="21"/>
                <w:szCs w:val="21"/>
              </w:rPr>
              <w:t>Mus musculus hortulanus</w:t>
            </w:r>
          </w:p>
        </w:tc>
        <w:tc>
          <w:tcPr>
            <w:tcW w:w="509" w:type="pct"/>
          </w:tcPr>
          <w:p w14:paraId="357B39D2">
            <w:pPr>
              <w:spacing w:line="240" w:lineRule="exact"/>
              <w:ind w:left="-103" w:leftChars="-49" w:right="-128" w:rightChars="-61" w:firstLine="39" w:firstLineChars="19"/>
              <w:jc w:val="center"/>
              <w:rPr>
                <w:rFonts w:ascii="Times New Roman" w:hAnsi="Times New Roman" w:eastAsia="宋体" w:cs="Times New Roman"/>
                <w:color w:val="000000"/>
                <w:sz w:val="21"/>
                <w:szCs w:val="21"/>
              </w:rPr>
            </w:pPr>
          </w:p>
        </w:tc>
        <w:tc>
          <w:tcPr>
            <w:tcW w:w="510" w:type="pct"/>
          </w:tcPr>
          <w:p w14:paraId="5366028E">
            <w:pPr>
              <w:spacing w:line="240" w:lineRule="exact"/>
              <w:ind w:left="-103" w:leftChars="-49" w:right="-128" w:rightChars="-61" w:firstLine="39" w:firstLineChars="19"/>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r>
      <w:tr w14:paraId="62C7C10B">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1407" w:type="pct"/>
            <w:vAlign w:val="center"/>
          </w:tcPr>
          <w:p w14:paraId="540B4774">
            <w:pPr>
              <w:spacing w:line="240" w:lineRule="exact"/>
              <w:ind w:left="-101" w:leftChars="-50" w:hanging="4" w:hangingChars="2"/>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灰仓鼠(优龙芒亚种)</w:t>
            </w:r>
          </w:p>
        </w:tc>
        <w:tc>
          <w:tcPr>
            <w:tcW w:w="2572" w:type="pct"/>
            <w:vAlign w:val="center"/>
          </w:tcPr>
          <w:p w14:paraId="4FC10AE0">
            <w:pPr>
              <w:spacing w:line="240" w:lineRule="exact"/>
              <w:ind w:left="-95" w:leftChars="-67" w:right="-128" w:rightChars="-61" w:hanging="46" w:hangingChars="22"/>
              <w:jc w:val="center"/>
              <w:rPr>
                <w:rFonts w:ascii="Times New Roman" w:hAnsi="Times New Roman" w:eastAsia="宋体" w:cs="Times New Roman"/>
                <w:i/>
                <w:iCs/>
                <w:color w:val="000000"/>
                <w:sz w:val="21"/>
                <w:szCs w:val="21"/>
              </w:rPr>
            </w:pPr>
            <w:r>
              <w:rPr>
                <w:rFonts w:ascii="Times New Roman" w:hAnsi="Times New Roman" w:eastAsia="宋体" w:cs="Times New Roman"/>
                <w:i/>
                <w:iCs/>
                <w:color w:val="000000"/>
                <w:sz w:val="21"/>
                <w:szCs w:val="21"/>
              </w:rPr>
              <w:t>Cricatulus miaratorius caesius</w:t>
            </w:r>
          </w:p>
        </w:tc>
        <w:tc>
          <w:tcPr>
            <w:tcW w:w="509" w:type="pct"/>
          </w:tcPr>
          <w:p w14:paraId="3BCB1622">
            <w:pPr>
              <w:spacing w:line="240" w:lineRule="exact"/>
              <w:ind w:left="-103" w:leftChars="-49" w:right="-128" w:rightChars="-61" w:firstLine="39" w:firstLineChars="19"/>
              <w:jc w:val="center"/>
              <w:rPr>
                <w:rFonts w:ascii="Times New Roman" w:hAnsi="Times New Roman" w:eastAsia="宋体" w:cs="Times New Roman"/>
                <w:color w:val="000000"/>
                <w:sz w:val="21"/>
                <w:szCs w:val="21"/>
              </w:rPr>
            </w:pPr>
          </w:p>
        </w:tc>
        <w:tc>
          <w:tcPr>
            <w:tcW w:w="510" w:type="pct"/>
          </w:tcPr>
          <w:p w14:paraId="791CD942">
            <w:pPr>
              <w:spacing w:line="240" w:lineRule="exact"/>
              <w:ind w:left="-103" w:leftChars="-49" w:right="-128" w:rightChars="-61" w:firstLine="39" w:firstLineChars="19"/>
              <w:jc w:val="center"/>
              <w:rPr>
                <w:rFonts w:ascii="Times New Roman" w:hAnsi="Times New Roman" w:eastAsia="宋体" w:cs="Times New Roman"/>
                <w:color w:val="000000"/>
                <w:sz w:val="21"/>
                <w:szCs w:val="21"/>
              </w:rPr>
            </w:pPr>
          </w:p>
        </w:tc>
      </w:tr>
      <w:tr w14:paraId="39759DC4">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1407" w:type="pct"/>
            <w:vAlign w:val="center"/>
          </w:tcPr>
          <w:p w14:paraId="2445BDCE">
            <w:pPr>
              <w:spacing w:line="240" w:lineRule="exact"/>
              <w:ind w:left="-101" w:leftChars="-50" w:hanging="4" w:hangingChars="2"/>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黄兔尾鼠</w:t>
            </w:r>
          </w:p>
        </w:tc>
        <w:tc>
          <w:tcPr>
            <w:tcW w:w="2572" w:type="pct"/>
            <w:vAlign w:val="center"/>
          </w:tcPr>
          <w:p w14:paraId="228F5683">
            <w:pPr>
              <w:spacing w:line="240" w:lineRule="exact"/>
              <w:ind w:left="-95" w:leftChars="-67" w:right="-128" w:rightChars="-61" w:hanging="46" w:hangingChars="22"/>
              <w:jc w:val="center"/>
              <w:rPr>
                <w:rFonts w:ascii="Times New Roman" w:hAnsi="Times New Roman" w:eastAsia="宋体" w:cs="Times New Roman"/>
                <w:i/>
                <w:iCs/>
                <w:color w:val="000000"/>
                <w:sz w:val="21"/>
                <w:szCs w:val="21"/>
              </w:rPr>
            </w:pPr>
            <w:r>
              <w:rPr>
                <w:rFonts w:ascii="Times New Roman" w:hAnsi="Times New Roman" w:eastAsia="宋体" w:cs="Times New Roman"/>
                <w:i/>
                <w:iCs/>
                <w:color w:val="000000"/>
                <w:sz w:val="21"/>
                <w:szCs w:val="21"/>
              </w:rPr>
              <w:t>Lagarus Luteus</w:t>
            </w:r>
          </w:p>
        </w:tc>
        <w:tc>
          <w:tcPr>
            <w:tcW w:w="509" w:type="pct"/>
          </w:tcPr>
          <w:p w14:paraId="6FF6AEC9">
            <w:pPr>
              <w:spacing w:line="240" w:lineRule="exact"/>
              <w:ind w:left="-103" w:leftChars="-49" w:right="-128" w:rightChars="-61" w:firstLine="39" w:firstLineChars="19"/>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c>
          <w:tcPr>
            <w:tcW w:w="510" w:type="pct"/>
          </w:tcPr>
          <w:p w14:paraId="659C54FF">
            <w:pPr>
              <w:spacing w:line="240" w:lineRule="exact"/>
              <w:ind w:left="-103" w:leftChars="-49" w:right="-128" w:rightChars="-61" w:firstLine="39" w:firstLineChars="19"/>
              <w:jc w:val="center"/>
              <w:rPr>
                <w:rFonts w:ascii="Times New Roman" w:hAnsi="Times New Roman" w:eastAsia="宋体" w:cs="Times New Roman"/>
                <w:color w:val="000000"/>
                <w:sz w:val="21"/>
                <w:szCs w:val="21"/>
              </w:rPr>
            </w:pPr>
          </w:p>
        </w:tc>
      </w:tr>
      <w:tr w14:paraId="4CFAD43E">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1407" w:type="pct"/>
            <w:vAlign w:val="center"/>
          </w:tcPr>
          <w:p w14:paraId="70324DF4">
            <w:pPr>
              <w:spacing w:line="240" w:lineRule="exact"/>
              <w:ind w:left="-101" w:leftChars="-50" w:hanging="4" w:hangingChars="2"/>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大沙鼠</w:t>
            </w:r>
          </w:p>
        </w:tc>
        <w:tc>
          <w:tcPr>
            <w:tcW w:w="2572" w:type="pct"/>
            <w:vAlign w:val="center"/>
          </w:tcPr>
          <w:p w14:paraId="54E57D1B">
            <w:pPr>
              <w:spacing w:line="240" w:lineRule="exact"/>
              <w:ind w:left="-95" w:leftChars="-67" w:right="-128" w:rightChars="-61" w:hanging="46" w:hangingChars="22"/>
              <w:jc w:val="center"/>
              <w:rPr>
                <w:rFonts w:ascii="Times New Roman" w:hAnsi="Times New Roman" w:eastAsia="宋体" w:cs="Times New Roman"/>
                <w:i/>
                <w:iCs/>
                <w:color w:val="000000"/>
                <w:sz w:val="21"/>
                <w:szCs w:val="21"/>
              </w:rPr>
            </w:pPr>
            <w:r>
              <w:rPr>
                <w:rFonts w:ascii="Times New Roman" w:hAnsi="Times New Roman" w:eastAsia="宋体" w:cs="Times New Roman"/>
                <w:i/>
                <w:iCs/>
                <w:color w:val="000000"/>
                <w:sz w:val="21"/>
                <w:szCs w:val="21"/>
              </w:rPr>
              <w:t>PHyombomys opimus</w:t>
            </w:r>
          </w:p>
        </w:tc>
        <w:tc>
          <w:tcPr>
            <w:tcW w:w="509" w:type="pct"/>
          </w:tcPr>
          <w:p w14:paraId="02FD4B34">
            <w:pPr>
              <w:spacing w:line="240" w:lineRule="exact"/>
              <w:ind w:left="-103" w:leftChars="-49" w:right="-128" w:rightChars="-61" w:firstLine="39" w:firstLineChars="19"/>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c>
          <w:tcPr>
            <w:tcW w:w="510" w:type="pct"/>
          </w:tcPr>
          <w:p w14:paraId="4A3ACDED">
            <w:pPr>
              <w:spacing w:line="240" w:lineRule="exact"/>
              <w:ind w:left="-103" w:leftChars="-49" w:right="-128" w:rightChars="-61" w:firstLine="39" w:firstLineChars="19"/>
              <w:jc w:val="center"/>
              <w:rPr>
                <w:rFonts w:ascii="Times New Roman" w:hAnsi="Times New Roman" w:eastAsia="宋体" w:cs="Times New Roman"/>
                <w:color w:val="000000"/>
                <w:sz w:val="21"/>
                <w:szCs w:val="21"/>
              </w:rPr>
            </w:pPr>
          </w:p>
        </w:tc>
      </w:tr>
      <w:tr w14:paraId="230E0EFE">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1407" w:type="pct"/>
            <w:vAlign w:val="center"/>
          </w:tcPr>
          <w:p w14:paraId="4DAD2284">
            <w:pPr>
              <w:spacing w:line="240" w:lineRule="exact"/>
              <w:ind w:left="-101" w:leftChars="-50" w:hanging="4" w:hangingChars="2"/>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小五趾跳鼠</w:t>
            </w:r>
          </w:p>
        </w:tc>
        <w:tc>
          <w:tcPr>
            <w:tcW w:w="2572" w:type="pct"/>
            <w:vAlign w:val="center"/>
          </w:tcPr>
          <w:p w14:paraId="0612138C">
            <w:pPr>
              <w:spacing w:line="240" w:lineRule="exact"/>
              <w:ind w:left="-95" w:leftChars="-67" w:hanging="46" w:hangingChars="22"/>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Allactage sibirca</w:t>
            </w:r>
          </w:p>
        </w:tc>
        <w:tc>
          <w:tcPr>
            <w:tcW w:w="509" w:type="pct"/>
          </w:tcPr>
          <w:p w14:paraId="7E84A36B">
            <w:pPr>
              <w:spacing w:line="240" w:lineRule="exact"/>
              <w:ind w:left="-103" w:leftChars="-49" w:right="-128" w:rightChars="-61" w:firstLine="39" w:firstLineChars="19"/>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c>
          <w:tcPr>
            <w:tcW w:w="510" w:type="pct"/>
          </w:tcPr>
          <w:p w14:paraId="417E3D9A">
            <w:pPr>
              <w:spacing w:line="240" w:lineRule="exact"/>
              <w:ind w:left="-103" w:leftChars="-49" w:right="-128" w:rightChars="-61" w:firstLine="39" w:firstLineChars="19"/>
              <w:jc w:val="center"/>
              <w:rPr>
                <w:rFonts w:ascii="Times New Roman" w:hAnsi="Times New Roman" w:eastAsia="宋体" w:cs="Times New Roman"/>
                <w:color w:val="000000"/>
                <w:sz w:val="21"/>
                <w:szCs w:val="21"/>
              </w:rPr>
            </w:pPr>
          </w:p>
        </w:tc>
      </w:tr>
      <w:tr w14:paraId="347BE4B5">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1407" w:type="pct"/>
            <w:vAlign w:val="center"/>
          </w:tcPr>
          <w:p w14:paraId="6D61FC24">
            <w:pPr>
              <w:spacing w:line="240" w:lineRule="exact"/>
              <w:ind w:left="-101" w:leftChars="-50" w:hanging="4" w:hangingChars="2"/>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红尾沙鼠</w:t>
            </w:r>
          </w:p>
        </w:tc>
        <w:tc>
          <w:tcPr>
            <w:tcW w:w="2572" w:type="pct"/>
            <w:vAlign w:val="center"/>
          </w:tcPr>
          <w:p w14:paraId="6312D10F">
            <w:pPr>
              <w:spacing w:line="240" w:lineRule="exact"/>
              <w:ind w:left="-95" w:leftChars="-67" w:right="-128" w:rightChars="-61" w:hanging="46" w:hangingChars="22"/>
              <w:jc w:val="center"/>
              <w:rPr>
                <w:rFonts w:ascii="Times New Roman" w:hAnsi="Times New Roman" w:eastAsia="宋体" w:cs="Times New Roman"/>
                <w:i/>
                <w:iCs/>
                <w:color w:val="000000"/>
                <w:sz w:val="21"/>
                <w:szCs w:val="21"/>
              </w:rPr>
            </w:pPr>
            <w:r>
              <w:rPr>
                <w:rFonts w:ascii="Times New Roman" w:hAnsi="Times New Roman" w:eastAsia="宋体" w:cs="Times New Roman"/>
                <w:i/>
                <w:iCs/>
                <w:color w:val="000000"/>
                <w:sz w:val="21"/>
                <w:szCs w:val="21"/>
              </w:rPr>
              <w:t>Meriones erythrourus</w:t>
            </w:r>
          </w:p>
        </w:tc>
        <w:tc>
          <w:tcPr>
            <w:tcW w:w="509" w:type="pct"/>
          </w:tcPr>
          <w:p w14:paraId="63EB2083">
            <w:pPr>
              <w:spacing w:line="240" w:lineRule="exact"/>
              <w:ind w:left="-103" w:leftChars="-49" w:right="-128" w:rightChars="-61" w:firstLine="39" w:firstLineChars="19"/>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c>
          <w:tcPr>
            <w:tcW w:w="510" w:type="pct"/>
          </w:tcPr>
          <w:p w14:paraId="4E4B294A">
            <w:pPr>
              <w:spacing w:line="240" w:lineRule="exact"/>
              <w:ind w:left="-103" w:leftChars="-49" w:right="-128" w:rightChars="-61" w:firstLine="39" w:firstLineChars="19"/>
              <w:jc w:val="center"/>
              <w:rPr>
                <w:rFonts w:ascii="Times New Roman" w:hAnsi="Times New Roman" w:eastAsia="宋体" w:cs="Times New Roman"/>
                <w:color w:val="000000"/>
                <w:sz w:val="21"/>
                <w:szCs w:val="21"/>
              </w:rPr>
            </w:pPr>
          </w:p>
        </w:tc>
      </w:tr>
      <w:tr w14:paraId="3196F291">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1407" w:type="pct"/>
            <w:vAlign w:val="center"/>
          </w:tcPr>
          <w:p w14:paraId="1001D204">
            <w:pPr>
              <w:spacing w:line="240" w:lineRule="exact"/>
              <w:ind w:left="-101" w:leftChars="-50" w:right="-128" w:rightChars="-61" w:hanging="4" w:hangingChars="2"/>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鸟  类</w:t>
            </w:r>
          </w:p>
        </w:tc>
        <w:tc>
          <w:tcPr>
            <w:tcW w:w="2572" w:type="pct"/>
            <w:vAlign w:val="center"/>
          </w:tcPr>
          <w:p w14:paraId="30E2AA43">
            <w:pPr>
              <w:spacing w:line="240" w:lineRule="exact"/>
              <w:ind w:left="-95" w:leftChars="-67" w:right="-128" w:rightChars="-61" w:hanging="46" w:hangingChars="22"/>
              <w:jc w:val="center"/>
              <w:rPr>
                <w:rFonts w:ascii="Times New Roman" w:hAnsi="Times New Roman" w:eastAsia="宋体" w:cs="Times New Roman"/>
                <w:i/>
                <w:iCs/>
                <w:color w:val="000000"/>
                <w:sz w:val="21"/>
                <w:szCs w:val="21"/>
              </w:rPr>
            </w:pPr>
          </w:p>
        </w:tc>
        <w:tc>
          <w:tcPr>
            <w:tcW w:w="509" w:type="pct"/>
          </w:tcPr>
          <w:p w14:paraId="02AA98C5">
            <w:pPr>
              <w:spacing w:line="240" w:lineRule="exact"/>
              <w:ind w:left="-103" w:leftChars="-49" w:right="-128" w:rightChars="-61" w:firstLine="39" w:firstLineChars="19"/>
              <w:jc w:val="center"/>
              <w:rPr>
                <w:rFonts w:ascii="Times New Roman" w:hAnsi="Times New Roman" w:eastAsia="宋体" w:cs="Times New Roman"/>
                <w:color w:val="000000"/>
                <w:sz w:val="21"/>
                <w:szCs w:val="21"/>
              </w:rPr>
            </w:pPr>
          </w:p>
        </w:tc>
        <w:tc>
          <w:tcPr>
            <w:tcW w:w="510" w:type="pct"/>
          </w:tcPr>
          <w:p w14:paraId="65B37B88">
            <w:pPr>
              <w:spacing w:line="240" w:lineRule="exact"/>
              <w:ind w:left="-103" w:leftChars="-49" w:right="-128" w:rightChars="-61" w:firstLine="39" w:firstLineChars="19"/>
              <w:jc w:val="center"/>
              <w:rPr>
                <w:rFonts w:ascii="Times New Roman" w:hAnsi="Times New Roman" w:eastAsia="宋体" w:cs="Times New Roman"/>
                <w:color w:val="000000"/>
                <w:sz w:val="21"/>
                <w:szCs w:val="21"/>
              </w:rPr>
            </w:pPr>
          </w:p>
        </w:tc>
      </w:tr>
      <w:tr w14:paraId="27245E3A">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1407" w:type="pct"/>
            <w:vAlign w:val="center"/>
          </w:tcPr>
          <w:p w14:paraId="06E46D36">
            <w:pPr>
              <w:spacing w:line="240" w:lineRule="exact"/>
              <w:ind w:left="-101" w:leftChars="-50" w:hanging="4" w:hangingChars="2"/>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紫翅椋鸟</w:t>
            </w:r>
          </w:p>
        </w:tc>
        <w:tc>
          <w:tcPr>
            <w:tcW w:w="2572" w:type="pct"/>
            <w:vAlign w:val="center"/>
          </w:tcPr>
          <w:p w14:paraId="043E5D81">
            <w:pPr>
              <w:spacing w:line="240" w:lineRule="exact"/>
              <w:ind w:left="-95" w:leftChars="-67" w:right="-128" w:rightChars="-61" w:hanging="46" w:hangingChars="22"/>
              <w:jc w:val="center"/>
              <w:rPr>
                <w:rFonts w:ascii="Times New Roman" w:hAnsi="Times New Roman" w:eastAsia="宋体" w:cs="Times New Roman"/>
                <w:i/>
                <w:iCs/>
                <w:color w:val="000000"/>
                <w:sz w:val="21"/>
                <w:szCs w:val="21"/>
              </w:rPr>
            </w:pPr>
            <w:r>
              <w:rPr>
                <w:rFonts w:ascii="Times New Roman" w:hAnsi="Times New Roman" w:eastAsia="宋体" w:cs="Times New Roman"/>
                <w:i/>
                <w:iCs/>
                <w:color w:val="000000"/>
                <w:sz w:val="21"/>
                <w:szCs w:val="21"/>
              </w:rPr>
              <w:t>Sturnus vulgaris</w:t>
            </w:r>
          </w:p>
        </w:tc>
        <w:tc>
          <w:tcPr>
            <w:tcW w:w="509" w:type="pct"/>
          </w:tcPr>
          <w:p w14:paraId="6795C9C5">
            <w:pPr>
              <w:spacing w:line="240" w:lineRule="exact"/>
              <w:ind w:left="-103" w:leftChars="-49" w:right="-128" w:rightChars="-61" w:firstLine="39" w:firstLineChars="19"/>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c>
          <w:tcPr>
            <w:tcW w:w="510" w:type="pct"/>
          </w:tcPr>
          <w:p w14:paraId="786A7556">
            <w:pPr>
              <w:spacing w:line="240" w:lineRule="exact"/>
              <w:ind w:left="-103" w:leftChars="-49" w:right="-128" w:rightChars="-61" w:firstLine="39" w:firstLineChars="19"/>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r>
      <w:tr w14:paraId="1224F950">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1407" w:type="pct"/>
            <w:vAlign w:val="center"/>
          </w:tcPr>
          <w:p w14:paraId="393FA5D2">
            <w:pPr>
              <w:spacing w:line="240" w:lineRule="exact"/>
              <w:ind w:left="-101" w:leftChars="-50" w:hanging="4" w:hangingChars="2"/>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喜鹊</w:t>
            </w:r>
          </w:p>
        </w:tc>
        <w:tc>
          <w:tcPr>
            <w:tcW w:w="2572" w:type="pct"/>
            <w:vAlign w:val="center"/>
          </w:tcPr>
          <w:p w14:paraId="59C93F75">
            <w:pPr>
              <w:spacing w:line="240" w:lineRule="exact"/>
              <w:ind w:left="-95" w:leftChars="-67" w:right="-128" w:rightChars="-61" w:hanging="46" w:hangingChars="22"/>
              <w:jc w:val="center"/>
              <w:rPr>
                <w:rFonts w:ascii="Times New Roman" w:hAnsi="Times New Roman" w:eastAsia="宋体" w:cs="Times New Roman"/>
                <w:i/>
                <w:iCs/>
                <w:color w:val="000000"/>
                <w:sz w:val="21"/>
                <w:szCs w:val="21"/>
              </w:rPr>
            </w:pPr>
            <w:r>
              <w:rPr>
                <w:rFonts w:ascii="Times New Roman" w:hAnsi="Times New Roman" w:eastAsia="宋体" w:cs="Times New Roman"/>
                <w:i/>
                <w:iCs/>
                <w:color w:val="000000"/>
                <w:sz w:val="21"/>
                <w:szCs w:val="21"/>
              </w:rPr>
              <w:t>Pica Pica</w:t>
            </w:r>
          </w:p>
        </w:tc>
        <w:tc>
          <w:tcPr>
            <w:tcW w:w="509" w:type="pct"/>
          </w:tcPr>
          <w:p w14:paraId="18944100">
            <w:pPr>
              <w:spacing w:line="240" w:lineRule="exact"/>
              <w:ind w:left="-103" w:leftChars="-49" w:right="-128" w:rightChars="-61" w:firstLine="39" w:firstLineChars="19"/>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c>
          <w:tcPr>
            <w:tcW w:w="510" w:type="pct"/>
          </w:tcPr>
          <w:p w14:paraId="0A8E5A25">
            <w:pPr>
              <w:spacing w:line="240" w:lineRule="exact"/>
              <w:ind w:left="-103" w:leftChars="-49" w:right="-128" w:rightChars="-61" w:firstLine="39" w:firstLineChars="19"/>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r>
      <w:tr w14:paraId="0D781CEA">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1407" w:type="pct"/>
            <w:vAlign w:val="center"/>
          </w:tcPr>
          <w:p w14:paraId="3C58907F">
            <w:pPr>
              <w:spacing w:line="240" w:lineRule="exact"/>
              <w:ind w:left="-101" w:leftChars="-50" w:hanging="4" w:hangingChars="2"/>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小嘴乌鸦</w:t>
            </w:r>
          </w:p>
        </w:tc>
        <w:tc>
          <w:tcPr>
            <w:tcW w:w="2572" w:type="pct"/>
            <w:vAlign w:val="center"/>
          </w:tcPr>
          <w:p w14:paraId="2CAC1D12">
            <w:pPr>
              <w:spacing w:line="240" w:lineRule="exact"/>
              <w:ind w:left="-95" w:leftChars="-67" w:right="-128" w:rightChars="-61" w:hanging="46" w:hangingChars="22"/>
              <w:jc w:val="center"/>
              <w:rPr>
                <w:rFonts w:ascii="Times New Roman" w:hAnsi="Times New Roman" w:eastAsia="宋体" w:cs="Times New Roman"/>
                <w:i/>
                <w:iCs/>
                <w:color w:val="000000"/>
                <w:sz w:val="21"/>
                <w:szCs w:val="21"/>
              </w:rPr>
            </w:pPr>
            <w:r>
              <w:rPr>
                <w:rFonts w:ascii="Times New Roman" w:hAnsi="Times New Roman" w:eastAsia="宋体" w:cs="Times New Roman"/>
                <w:i/>
                <w:iCs/>
                <w:color w:val="000000"/>
                <w:sz w:val="21"/>
                <w:szCs w:val="21"/>
              </w:rPr>
              <w:t>Corvua corone</w:t>
            </w:r>
          </w:p>
        </w:tc>
        <w:tc>
          <w:tcPr>
            <w:tcW w:w="509" w:type="pct"/>
          </w:tcPr>
          <w:p w14:paraId="61E41993">
            <w:pPr>
              <w:spacing w:line="240" w:lineRule="exact"/>
              <w:ind w:left="-103" w:leftChars="-49" w:right="-128" w:rightChars="-61" w:firstLine="39" w:firstLineChars="19"/>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c>
          <w:tcPr>
            <w:tcW w:w="510" w:type="pct"/>
          </w:tcPr>
          <w:p w14:paraId="06B5F4AC">
            <w:pPr>
              <w:spacing w:line="240" w:lineRule="exact"/>
              <w:ind w:left="-103" w:leftChars="-49" w:right="-128" w:rightChars="-61" w:firstLine="39" w:firstLineChars="19"/>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r>
      <w:tr w14:paraId="692CB121">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1407" w:type="pct"/>
            <w:vAlign w:val="center"/>
          </w:tcPr>
          <w:p w14:paraId="53F9F9D9">
            <w:pPr>
              <w:spacing w:line="240" w:lineRule="exact"/>
              <w:ind w:left="-101" w:leftChars="-50" w:hanging="4" w:hangingChars="2"/>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灰斑鸠</w:t>
            </w:r>
          </w:p>
        </w:tc>
        <w:tc>
          <w:tcPr>
            <w:tcW w:w="2572" w:type="pct"/>
            <w:vAlign w:val="center"/>
          </w:tcPr>
          <w:p w14:paraId="37F2E68E">
            <w:pPr>
              <w:spacing w:line="240" w:lineRule="exact"/>
              <w:ind w:left="-95" w:leftChars="-67" w:right="-128" w:rightChars="-61" w:hanging="46" w:hangingChars="22"/>
              <w:jc w:val="center"/>
              <w:rPr>
                <w:rFonts w:ascii="Times New Roman" w:hAnsi="Times New Roman" w:eastAsia="宋体" w:cs="Times New Roman"/>
                <w:i/>
                <w:iCs/>
                <w:color w:val="000000"/>
                <w:sz w:val="21"/>
                <w:szCs w:val="21"/>
              </w:rPr>
            </w:pPr>
            <w:r>
              <w:rPr>
                <w:rFonts w:ascii="Times New Roman" w:hAnsi="Times New Roman" w:eastAsia="宋体" w:cs="Times New Roman"/>
                <w:i/>
                <w:iCs/>
                <w:color w:val="000000"/>
                <w:sz w:val="21"/>
                <w:szCs w:val="21"/>
              </w:rPr>
              <w:t>Streptopelia decaocto</w:t>
            </w:r>
          </w:p>
        </w:tc>
        <w:tc>
          <w:tcPr>
            <w:tcW w:w="509" w:type="pct"/>
          </w:tcPr>
          <w:p w14:paraId="7C839E90">
            <w:pPr>
              <w:spacing w:line="240" w:lineRule="exact"/>
              <w:ind w:left="-103" w:leftChars="-49" w:right="-128" w:rightChars="-61" w:firstLine="39" w:firstLineChars="19"/>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c>
          <w:tcPr>
            <w:tcW w:w="510" w:type="pct"/>
          </w:tcPr>
          <w:p w14:paraId="6066F75E">
            <w:pPr>
              <w:spacing w:line="240" w:lineRule="exact"/>
              <w:ind w:left="-103" w:leftChars="-49" w:right="-128" w:rightChars="-61" w:firstLine="39" w:firstLineChars="19"/>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r>
      <w:tr w14:paraId="1D45E573">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1407" w:type="pct"/>
            <w:vAlign w:val="center"/>
          </w:tcPr>
          <w:p w14:paraId="729432F9">
            <w:pPr>
              <w:spacing w:line="240" w:lineRule="exact"/>
              <w:ind w:left="-101" w:leftChars="-50" w:hanging="4" w:hangingChars="2"/>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家麻雀(新疆亚种)</w:t>
            </w:r>
          </w:p>
        </w:tc>
        <w:tc>
          <w:tcPr>
            <w:tcW w:w="2572" w:type="pct"/>
            <w:vAlign w:val="center"/>
          </w:tcPr>
          <w:p w14:paraId="3A74818E">
            <w:pPr>
              <w:spacing w:line="240" w:lineRule="exact"/>
              <w:ind w:left="-95" w:leftChars="-67" w:right="-128" w:rightChars="-61" w:hanging="46" w:hangingChars="22"/>
              <w:jc w:val="center"/>
              <w:rPr>
                <w:rFonts w:ascii="Times New Roman" w:hAnsi="Times New Roman" w:eastAsia="宋体" w:cs="Times New Roman"/>
                <w:i/>
                <w:iCs/>
                <w:color w:val="000000"/>
                <w:sz w:val="21"/>
                <w:szCs w:val="21"/>
              </w:rPr>
            </w:pPr>
            <w:r>
              <w:rPr>
                <w:rFonts w:ascii="Times New Roman" w:hAnsi="Times New Roman" w:eastAsia="宋体" w:cs="Times New Roman"/>
                <w:i/>
                <w:iCs/>
                <w:color w:val="000000"/>
                <w:sz w:val="21"/>
                <w:szCs w:val="21"/>
              </w:rPr>
              <w:t>Passder domesticus bactrianus</w:t>
            </w:r>
          </w:p>
        </w:tc>
        <w:tc>
          <w:tcPr>
            <w:tcW w:w="509" w:type="pct"/>
          </w:tcPr>
          <w:p w14:paraId="229AEB3F">
            <w:pPr>
              <w:spacing w:line="240" w:lineRule="exact"/>
              <w:ind w:left="-103" w:leftChars="-49" w:right="-128" w:rightChars="-61" w:firstLine="39" w:firstLineChars="19"/>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c>
          <w:tcPr>
            <w:tcW w:w="510" w:type="pct"/>
          </w:tcPr>
          <w:p w14:paraId="2C3F8E61">
            <w:pPr>
              <w:spacing w:line="240" w:lineRule="exact"/>
              <w:ind w:left="-103" w:leftChars="-49" w:right="-128" w:rightChars="-61" w:firstLine="39" w:firstLineChars="19"/>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r>
      <w:tr w14:paraId="20FDC31C">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1407" w:type="pct"/>
            <w:vAlign w:val="center"/>
          </w:tcPr>
          <w:p w14:paraId="1D8027D3">
            <w:pPr>
              <w:spacing w:line="240" w:lineRule="exact"/>
              <w:ind w:left="-101" w:leftChars="-50" w:hanging="4" w:hangingChars="2"/>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树麻雀</w:t>
            </w:r>
          </w:p>
        </w:tc>
        <w:tc>
          <w:tcPr>
            <w:tcW w:w="2572" w:type="pct"/>
            <w:vAlign w:val="center"/>
          </w:tcPr>
          <w:p w14:paraId="58848239">
            <w:pPr>
              <w:spacing w:line="240" w:lineRule="exact"/>
              <w:ind w:left="-95" w:leftChars="-67" w:right="-128" w:rightChars="-61" w:hanging="46" w:hangingChars="22"/>
              <w:jc w:val="center"/>
              <w:rPr>
                <w:rFonts w:ascii="Times New Roman" w:hAnsi="Times New Roman" w:eastAsia="宋体" w:cs="Times New Roman"/>
                <w:i/>
                <w:iCs/>
                <w:color w:val="000000"/>
                <w:sz w:val="21"/>
                <w:szCs w:val="21"/>
              </w:rPr>
            </w:pPr>
            <w:r>
              <w:rPr>
                <w:rFonts w:ascii="Times New Roman" w:hAnsi="Times New Roman" w:eastAsia="宋体" w:cs="Times New Roman"/>
                <w:i/>
                <w:iCs/>
                <w:color w:val="000000"/>
                <w:sz w:val="21"/>
                <w:szCs w:val="21"/>
              </w:rPr>
              <w:t>Passer montanus</w:t>
            </w:r>
          </w:p>
        </w:tc>
        <w:tc>
          <w:tcPr>
            <w:tcW w:w="509" w:type="pct"/>
          </w:tcPr>
          <w:p w14:paraId="6E84A3DD">
            <w:pPr>
              <w:spacing w:line="240" w:lineRule="exact"/>
              <w:ind w:left="-103" w:leftChars="-49" w:right="-128" w:rightChars="-61" w:firstLine="39" w:firstLineChars="19"/>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c>
          <w:tcPr>
            <w:tcW w:w="510" w:type="pct"/>
          </w:tcPr>
          <w:p w14:paraId="718F4959">
            <w:pPr>
              <w:spacing w:line="240" w:lineRule="exact"/>
              <w:ind w:left="-103" w:leftChars="-49" w:right="-128" w:rightChars="-61" w:firstLine="39" w:firstLineChars="19"/>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r>
      <w:tr w14:paraId="2A1E72B5">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1407" w:type="pct"/>
            <w:vAlign w:val="center"/>
          </w:tcPr>
          <w:p w14:paraId="4232D2AD">
            <w:pPr>
              <w:spacing w:line="240" w:lineRule="exact"/>
              <w:ind w:left="-101" w:leftChars="-50" w:hanging="4" w:hangingChars="2"/>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戴胜(普通亚种)</w:t>
            </w:r>
          </w:p>
        </w:tc>
        <w:tc>
          <w:tcPr>
            <w:tcW w:w="2572" w:type="pct"/>
            <w:vAlign w:val="center"/>
          </w:tcPr>
          <w:p w14:paraId="32C917F5">
            <w:pPr>
              <w:spacing w:line="240" w:lineRule="exact"/>
              <w:ind w:left="-95" w:leftChars="-67" w:right="-128" w:rightChars="-61" w:hanging="46" w:hangingChars="22"/>
              <w:jc w:val="center"/>
              <w:rPr>
                <w:rFonts w:ascii="Times New Roman" w:hAnsi="Times New Roman" w:eastAsia="宋体" w:cs="Times New Roman"/>
                <w:i/>
                <w:iCs/>
                <w:color w:val="000000"/>
                <w:sz w:val="21"/>
                <w:szCs w:val="21"/>
              </w:rPr>
            </w:pPr>
            <w:r>
              <w:rPr>
                <w:rFonts w:ascii="Times New Roman" w:hAnsi="Times New Roman" w:eastAsia="宋体" w:cs="Times New Roman"/>
                <w:i/>
                <w:iCs/>
                <w:color w:val="000000"/>
                <w:sz w:val="21"/>
                <w:szCs w:val="21"/>
              </w:rPr>
              <w:t>Upup epops saturala</w:t>
            </w:r>
          </w:p>
        </w:tc>
        <w:tc>
          <w:tcPr>
            <w:tcW w:w="509" w:type="pct"/>
          </w:tcPr>
          <w:p w14:paraId="67A8D510">
            <w:pPr>
              <w:spacing w:line="240" w:lineRule="exact"/>
              <w:ind w:left="-103" w:leftChars="-49" w:right="-128" w:rightChars="-61" w:firstLine="39" w:firstLineChars="19"/>
              <w:jc w:val="center"/>
              <w:rPr>
                <w:rFonts w:ascii="Times New Roman" w:hAnsi="Times New Roman" w:eastAsia="宋体" w:cs="Times New Roman"/>
                <w:color w:val="000000"/>
                <w:sz w:val="21"/>
                <w:szCs w:val="21"/>
              </w:rPr>
            </w:pPr>
          </w:p>
        </w:tc>
        <w:tc>
          <w:tcPr>
            <w:tcW w:w="510" w:type="pct"/>
          </w:tcPr>
          <w:p w14:paraId="5302B674">
            <w:pPr>
              <w:spacing w:line="240" w:lineRule="exact"/>
              <w:ind w:left="-103" w:leftChars="-49" w:right="-128" w:rightChars="-61" w:firstLine="39" w:firstLineChars="19"/>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r>
      <w:tr w14:paraId="4B3C4DC5">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1407" w:type="pct"/>
            <w:vAlign w:val="center"/>
          </w:tcPr>
          <w:p w14:paraId="6D23592D">
            <w:pPr>
              <w:spacing w:line="240" w:lineRule="exact"/>
              <w:ind w:left="-101" w:leftChars="-50" w:hanging="4" w:hangingChars="2"/>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家燕(指名亚种)</w:t>
            </w:r>
          </w:p>
        </w:tc>
        <w:tc>
          <w:tcPr>
            <w:tcW w:w="2572" w:type="pct"/>
            <w:vAlign w:val="center"/>
          </w:tcPr>
          <w:p w14:paraId="002101DF">
            <w:pPr>
              <w:spacing w:line="240" w:lineRule="exact"/>
              <w:ind w:left="-95" w:leftChars="-67" w:right="-128" w:rightChars="-61" w:hanging="46" w:hangingChars="22"/>
              <w:jc w:val="center"/>
              <w:rPr>
                <w:rFonts w:ascii="Times New Roman" w:hAnsi="Times New Roman" w:eastAsia="宋体" w:cs="Times New Roman"/>
                <w:i/>
                <w:iCs/>
                <w:color w:val="000000"/>
                <w:sz w:val="21"/>
                <w:szCs w:val="21"/>
              </w:rPr>
            </w:pPr>
            <w:r>
              <w:rPr>
                <w:rFonts w:ascii="Times New Roman" w:hAnsi="Times New Roman" w:eastAsia="宋体" w:cs="Times New Roman"/>
                <w:i/>
                <w:iCs/>
                <w:color w:val="000000"/>
                <w:sz w:val="21"/>
                <w:szCs w:val="21"/>
              </w:rPr>
              <w:t>Hirunda rustica rustica</w:t>
            </w:r>
          </w:p>
        </w:tc>
        <w:tc>
          <w:tcPr>
            <w:tcW w:w="509" w:type="pct"/>
          </w:tcPr>
          <w:p w14:paraId="0D51787E">
            <w:pPr>
              <w:spacing w:line="240" w:lineRule="exact"/>
              <w:ind w:left="-103" w:leftChars="-49" w:right="-128" w:rightChars="-61" w:firstLine="39" w:firstLineChars="19"/>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c>
          <w:tcPr>
            <w:tcW w:w="510" w:type="pct"/>
          </w:tcPr>
          <w:p w14:paraId="09884143">
            <w:pPr>
              <w:spacing w:line="240" w:lineRule="exact"/>
              <w:ind w:left="-103" w:leftChars="-49" w:right="-128" w:rightChars="-61" w:firstLine="39" w:firstLineChars="19"/>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r>
      <w:tr w14:paraId="13D6CC70">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1407" w:type="pct"/>
            <w:vAlign w:val="center"/>
          </w:tcPr>
          <w:p w14:paraId="6380501D">
            <w:pPr>
              <w:spacing w:line="240" w:lineRule="exact"/>
              <w:ind w:left="-101" w:leftChars="-50" w:hanging="4" w:hangingChars="2"/>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毛腿沙鸡</w:t>
            </w:r>
          </w:p>
        </w:tc>
        <w:tc>
          <w:tcPr>
            <w:tcW w:w="2572" w:type="pct"/>
            <w:vAlign w:val="center"/>
          </w:tcPr>
          <w:p w14:paraId="4C8E61C5">
            <w:pPr>
              <w:spacing w:line="240" w:lineRule="exact"/>
              <w:ind w:left="-95" w:leftChars="-67" w:right="-128" w:rightChars="-61" w:hanging="46" w:hangingChars="22"/>
              <w:jc w:val="center"/>
              <w:rPr>
                <w:rFonts w:ascii="Times New Roman" w:hAnsi="Times New Roman" w:eastAsia="宋体" w:cs="Times New Roman"/>
                <w:i/>
                <w:iCs/>
                <w:color w:val="000000"/>
                <w:sz w:val="21"/>
                <w:szCs w:val="21"/>
              </w:rPr>
            </w:pPr>
            <w:r>
              <w:rPr>
                <w:rFonts w:ascii="Times New Roman" w:hAnsi="Times New Roman" w:eastAsia="宋体" w:cs="Times New Roman"/>
                <w:i/>
                <w:iCs/>
                <w:color w:val="000000"/>
                <w:sz w:val="21"/>
                <w:szCs w:val="21"/>
              </w:rPr>
              <w:t>Syrrhaptes paradoxus</w:t>
            </w:r>
          </w:p>
        </w:tc>
        <w:tc>
          <w:tcPr>
            <w:tcW w:w="509" w:type="pct"/>
          </w:tcPr>
          <w:p w14:paraId="0D49985D">
            <w:pPr>
              <w:spacing w:line="240" w:lineRule="exact"/>
              <w:ind w:left="-103" w:leftChars="-49" w:right="-128" w:rightChars="-61" w:firstLine="39" w:firstLineChars="19"/>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c>
          <w:tcPr>
            <w:tcW w:w="510" w:type="pct"/>
          </w:tcPr>
          <w:p w14:paraId="5B66DA6F">
            <w:pPr>
              <w:spacing w:line="240" w:lineRule="exact"/>
              <w:ind w:left="-103" w:leftChars="-49" w:right="-128" w:rightChars="-61" w:firstLine="39" w:firstLineChars="19"/>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r>
      <w:tr w14:paraId="2EEFA017">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1407" w:type="pct"/>
            <w:vAlign w:val="center"/>
          </w:tcPr>
          <w:p w14:paraId="326D9EAF">
            <w:pPr>
              <w:spacing w:line="240" w:lineRule="exact"/>
              <w:ind w:left="-101" w:leftChars="-50" w:hanging="4" w:hangingChars="2"/>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巨嘴沙雀</w:t>
            </w:r>
          </w:p>
        </w:tc>
        <w:tc>
          <w:tcPr>
            <w:tcW w:w="2572" w:type="pct"/>
            <w:vAlign w:val="center"/>
          </w:tcPr>
          <w:p w14:paraId="326D69AE">
            <w:pPr>
              <w:spacing w:line="240" w:lineRule="exact"/>
              <w:ind w:left="-95" w:leftChars="-67" w:right="-128" w:rightChars="-61" w:hanging="46" w:hangingChars="22"/>
              <w:jc w:val="center"/>
              <w:rPr>
                <w:rFonts w:ascii="Times New Roman" w:hAnsi="Times New Roman" w:eastAsia="宋体" w:cs="Times New Roman"/>
                <w:i/>
                <w:iCs/>
                <w:color w:val="000000"/>
                <w:sz w:val="21"/>
                <w:szCs w:val="21"/>
              </w:rPr>
            </w:pPr>
            <w:r>
              <w:rPr>
                <w:rFonts w:ascii="Times New Roman" w:hAnsi="Times New Roman" w:eastAsia="宋体" w:cs="Times New Roman"/>
                <w:i/>
                <w:iCs/>
                <w:color w:val="000000"/>
                <w:sz w:val="21"/>
                <w:szCs w:val="21"/>
              </w:rPr>
              <w:t>Rhodopechys obsoleta</w:t>
            </w:r>
          </w:p>
        </w:tc>
        <w:tc>
          <w:tcPr>
            <w:tcW w:w="509" w:type="pct"/>
          </w:tcPr>
          <w:p w14:paraId="2A7C0457">
            <w:pPr>
              <w:spacing w:line="240" w:lineRule="exact"/>
              <w:ind w:left="-103" w:leftChars="-49" w:right="-128" w:rightChars="-61" w:firstLine="39" w:firstLineChars="19"/>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c>
          <w:tcPr>
            <w:tcW w:w="510" w:type="pct"/>
          </w:tcPr>
          <w:p w14:paraId="72BF460F">
            <w:pPr>
              <w:spacing w:line="240" w:lineRule="exact"/>
              <w:ind w:left="-103" w:leftChars="-49" w:right="-128" w:rightChars="-61" w:firstLine="39" w:firstLineChars="19"/>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r>
      <w:tr w14:paraId="203F9D3B">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1407" w:type="pct"/>
            <w:vAlign w:val="center"/>
          </w:tcPr>
          <w:p w14:paraId="39DD68E6">
            <w:pPr>
              <w:spacing w:line="240" w:lineRule="exact"/>
              <w:ind w:left="-101" w:leftChars="-50" w:hanging="4" w:hangingChars="2"/>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红尾伯劳</w:t>
            </w:r>
          </w:p>
        </w:tc>
        <w:tc>
          <w:tcPr>
            <w:tcW w:w="2572" w:type="pct"/>
            <w:vAlign w:val="center"/>
          </w:tcPr>
          <w:p w14:paraId="7E0E1186">
            <w:pPr>
              <w:spacing w:line="240" w:lineRule="exact"/>
              <w:ind w:left="-95" w:leftChars="-67" w:right="-128" w:rightChars="-61" w:hanging="46" w:hangingChars="22"/>
              <w:jc w:val="center"/>
              <w:rPr>
                <w:rFonts w:ascii="Times New Roman" w:hAnsi="Times New Roman" w:eastAsia="宋体" w:cs="Times New Roman"/>
                <w:i/>
                <w:iCs/>
                <w:color w:val="000000"/>
                <w:sz w:val="21"/>
                <w:szCs w:val="21"/>
              </w:rPr>
            </w:pPr>
            <w:r>
              <w:rPr>
                <w:rFonts w:ascii="Times New Roman" w:hAnsi="Times New Roman" w:eastAsia="宋体" w:cs="Times New Roman"/>
                <w:i/>
                <w:iCs/>
                <w:color w:val="000000"/>
                <w:sz w:val="21"/>
                <w:szCs w:val="21"/>
              </w:rPr>
              <w:t>Laniun cristatus pHoenicuroides</w:t>
            </w:r>
          </w:p>
        </w:tc>
        <w:tc>
          <w:tcPr>
            <w:tcW w:w="509" w:type="pct"/>
          </w:tcPr>
          <w:p w14:paraId="7CC336F0">
            <w:pPr>
              <w:spacing w:line="240" w:lineRule="exact"/>
              <w:ind w:left="-103" w:leftChars="-49" w:right="-128" w:rightChars="-61" w:firstLine="39" w:firstLineChars="19"/>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c>
          <w:tcPr>
            <w:tcW w:w="510" w:type="pct"/>
          </w:tcPr>
          <w:p w14:paraId="681F9FBA">
            <w:pPr>
              <w:spacing w:line="240" w:lineRule="exact"/>
              <w:ind w:left="-103" w:leftChars="-49" w:right="-128" w:rightChars="-61" w:firstLine="39" w:firstLineChars="19"/>
              <w:jc w:val="center"/>
              <w:rPr>
                <w:rFonts w:ascii="Times New Roman" w:hAnsi="Times New Roman" w:eastAsia="宋体" w:cs="Times New Roman"/>
                <w:color w:val="000000"/>
                <w:sz w:val="21"/>
                <w:szCs w:val="21"/>
              </w:rPr>
            </w:pPr>
          </w:p>
        </w:tc>
      </w:tr>
      <w:bookmarkEnd w:id="345"/>
    </w:tbl>
    <w:p w14:paraId="735F5A0A">
      <w:pPr>
        <w:keepNext w:val="0"/>
        <w:keepLines w:val="0"/>
        <w:pageBreakBefore w:val="0"/>
        <w:widowControl w:val="0"/>
        <w:kinsoku/>
        <w:wordWrap/>
        <w:overflowPunct/>
        <w:topLinePunct w:val="0"/>
        <w:autoSpaceDE/>
        <w:autoSpaceDN/>
        <w:bidi w:val="0"/>
        <w:adjustRightInd/>
        <w:snapToGrid/>
        <w:spacing w:after="0" w:afterLines="50" w:line="300" w:lineRule="auto"/>
        <w:ind w:left="0" w:leftChars="0" w:firstLine="0" w:firstLineChars="0"/>
        <w:textAlignment w:val="auto"/>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注：“＋”常见种；“－”偶见种。</w:t>
      </w:r>
    </w:p>
    <w:p w14:paraId="53BCC22E">
      <w:pPr>
        <w:spacing w:line="300" w:lineRule="auto"/>
        <w:ind w:firstLine="439" w:firstLineChars="183"/>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3. 重点保护野生动物</w:t>
      </w:r>
    </w:p>
    <w:p w14:paraId="6B550DC9">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评价区内无国家级和自治区重点保护野生动物分布。</w:t>
      </w:r>
      <w:bookmarkStart w:id="346" w:name="_Toc219363412"/>
      <w:bookmarkStart w:id="347" w:name="_Hlk192002398"/>
    </w:p>
    <w:p w14:paraId="0AF37FCA">
      <w:pPr>
        <w:keepNext/>
        <w:keepLines/>
        <w:widowControl w:val="0"/>
        <w:numPr>
          <w:ilvl w:val="1"/>
          <w:numId w:val="13"/>
        </w:numPr>
        <w:spacing w:before="240" w:after="240" w:line="240" w:lineRule="auto"/>
        <w:ind w:firstLine="200" w:firstLineChars="0"/>
        <w:jc w:val="both"/>
        <w:outlineLvl w:val="1"/>
        <w:rPr>
          <w:rFonts w:ascii="Times New Roman" w:hAnsi="Times New Roman" w:eastAsia="宋体" w:cs="Times New Roman"/>
          <w:b/>
          <w:bCs/>
          <w:color w:val="000000"/>
          <w:kern w:val="2"/>
          <w:sz w:val="28"/>
          <w:szCs w:val="32"/>
          <w:lang w:val="en-US" w:eastAsia="zh-CN" w:bidi="ar-SA"/>
        </w:rPr>
      </w:pPr>
      <w:bookmarkStart w:id="348" w:name="_Toc32269"/>
      <w:r>
        <w:rPr>
          <w:rFonts w:ascii="Times New Roman" w:hAnsi="Times New Roman" w:eastAsia="宋体" w:cs="Times New Roman"/>
          <w:b/>
          <w:bCs/>
          <w:color w:val="000000"/>
          <w:kern w:val="2"/>
          <w:sz w:val="28"/>
          <w:szCs w:val="32"/>
          <w:lang w:val="en-US" w:eastAsia="zh-CN" w:bidi="ar-SA"/>
        </w:rPr>
        <w:t>水生生物现状</w:t>
      </w:r>
      <w:bookmarkEnd w:id="346"/>
      <w:bookmarkEnd w:id="348"/>
    </w:p>
    <w:p w14:paraId="7056E391">
      <w:pPr>
        <w:widowControl w:val="0"/>
        <w:spacing w:before="0" w:beforeAutospacing="0" w:after="0" w:afterAutospacing="0" w:line="300" w:lineRule="auto"/>
        <w:ind w:firstLine="480" w:firstLineChars="200"/>
        <w:jc w:val="both"/>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szCs w:val="24"/>
          <w:lang w:val="en-US" w:eastAsia="zh-CN" w:bidi="ar-SA"/>
        </w:rPr>
        <w:t>拟建</w:t>
      </w:r>
      <w:r>
        <w:rPr>
          <w:rFonts w:hint="eastAsia" w:ascii="Times New Roman" w:hAnsi="Times New Roman" w:eastAsia="宋体" w:cs="Times New Roman"/>
          <w:color w:val="000000"/>
          <w:kern w:val="0"/>
          <w:sz w:val="24"/>
          <w:szCs w:val="24"/>
          <w:lang w:val="en-US" w:eastAsia="zh-CN" w:bidi="ar-SA"/>
        </w:rPr>
        <w:t>公路</w:t>
      </w:r>
      <w:r>
        <w:rPr>
          <w:rFonts w:ascii="Times New Roman" w:hAnsi="Times New Roman" w:eastAsia="宋体" w:cs="Times New Roman"/>
          <w:color w:val="000000"/>
          <w:kern w:val="0"/>
          <w:sz w:val="24"/>
          <w:szCs w:val="24"/>
          <w:lang w:val="en-US" w:eastAsia="zh-CN" w:bidi="ar-SA"/>
        </w:rPr>
        <w:t>涉及水生生态的路段评价等级为三级，因此评价现状已收集有效资料为主，可开展必要的遥感调查或现场校核。</w:t>
      </w:r>
    </w:p>
    <w:p w14:paraId="5065291C">
      <w:pPr>
        <w:spacing w:line="300" w:lineRule="auto"/>
        <w:ind w:firstLine="480" w:firstLineChars="200"/>
        <w:rPr>
          <w:rFonts w:ascii="Times New Roman" w:hAnsi="Times New Roman" w:eastAsia="宋体" w:cs="Times New Roman"/>
          <w:color w:val="000000"/>
          <w:sz w:val="24"/>
          <w:szCs w:val="22"/>
        </w:rPr>
      </w:pPr>
      <w:bookmarkStart w:id="349" w:name="_Hlk235007840"/>
      <w:r>
        <w:rPr>
          <w:rFonts w:ascii="Times New Roman" w:hAnsi="Times New Roman" w:eastAsia="宋体" w:cs="Times New Roman"/>
          <w:color w:val="000000"/>
          <w:sz w:val="24"/>
          <w:szCs w:val="24"/>
        </w:rPr>
        <w:t>评价组根据收集到的《河道岸线保护与利用规划》（2020 年）、喀什地区 2020-2025 年渔业资源监测公报、《新疆维吾尔自治区重点保护水生野生动物名录》（2021 年）等资料，</w:t>
      </w:r>
      <w:bookmarkEnd w:id="349"/>
      <w:r>
        <w:rPr>
          <w:rFonts w:ascii="Times New Roman" w:hAnsi="Times New Roman" w:eastAsia="宋体" w:cs="Times New Roman"/>
          <w:color w:val="000000"/>
          <w:sz w:val="24"/>
          <w:szCs w:val="24"/>
        </w:rPr>
        <w:t>汇总水生生物现状如下：</w:t>
      </w:r>
    </w:p>
    <w:p w14:paraId="53E705B1">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4"/>
        </w:rPr>
        <w:t>项目区河流均为内陆干旱区季节性河流，受冰川融水和降水补给，水量季节变化显著。由于区域地下水埋深较浅（0.5~3m），蒸发强烈，浅层地下水硫酸盐含量较高（800~1500mg/L），导致河流水体矿化度较高，属于微咸水-咸水类型。</w:t>
      </w:r>
    </w:p>
    <w:p w14:paraId="60D22E11">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4"/>
        </w:rPr>
        <w:t>浮游植物：4门18属27种，其中蓝藻门8种、绿藻门12种、硅藻门6种、裸藻门1种。优势种为耐盐性广布种，主要包括颤藻（</w:t>
      </w:r>
      <w:r>
        <w:rPr>
          <w:rFonts w:ascii="Times New Roman" w:hAnsi="Times New Roman" w:eastAsia="宋体" w:cs="Times New Roman"/>
          <w:i/>
          <w:iCs/>
          <w:color w:val="000000"/>
          <w:sz w:val="24"/>
          <w:szCs w:val="24"/>
        </w:rPr>
        <w:t>Oscillatoria</w:t>
      </w:r>
      <w:r>
        <w:rPr>
          <w:rFonts w:ascii="Times New Roman" w:hAnsi="Times New Roman" w:eastAsia="宋体" w:cs="Times New Roman"/>
          <w:color w:val="000000"/>
          <w:sz w:val="24"/>
          <w:szCs w:val="24"/>
        </w:rPr>
        <w:t>）、衣藻（</w:t>
      </w:r>
      <w:r>
        <w:rPr>
          <w:rFonts w:ascii="Times New Roman" w:hAnsi="Times New Roman" w:eastAsia="宋体" w:cs="Times New Roman"/>
          <w:i/>
          <w:iCs/>
          <w:color w:val="000000"/>
          <w:sz w:val="24"/>
          <w:szCs w:val="24"/>
        </w:rPr>
        <w:t>Chlamydomonas</w:t>
      </w:r>
      <w:r>
        <w:rPr>
          <w:rFonts w:ascii="Times New Roman" w:hAnsi="Times New Roman" w:eastAsia="宋体" w:cs="Times New Roman"/>
          <w:color w:val="000000"/>
          <w:sz w:val="24"/>
          <w:szCs w:val="24"/>
        </w:rPr>
        <w:t>）、小环藻（</w:t>
      </w:r>
      <w:r>
        <w:rPr>
          <w:rFonts w:ascii="Times New Roman" w:hAnsi="Times New Roman" w:eastAsia="宋体" w:cs="Times New Roman"/>
          <w:i/>
          <w:iCs/>
          <w:color w:val="000000"/>
          <w:sz w:val="24"/>
          <w:szCs w:val="24"/>
        </w:rPr>
        <w:t>Cyclotella</w:t>
      </w:r>
      <w:r>
        <w:rPr>
          <w:rFonts w:ascii="Times New Roman" w:hAnsi="Times New Roman" w:eastAsia="宋体" w:cs="Times New Roman"/>
          <w:color w:val="000000"/>
          <w:sz w:val="24"/>
          <w:szCs w:val="24"/>
        </w:rPr>
        <w:t>）和针杆藻（</w:t>
      </w:r>
      <w:r>
        <w:rPr>
          <w:rFonts w:ascii="Times New Roman" w:hAnsi="Times New Roman" w:eastAsia="宋体" w:cs="Times New Roman"/>
          <w:i/>
          <w:iCs/>
          <w:color w:val="000000"/>
          <w:sz w:val="24"/>
          <w:szCs w:val="24"/>
        </w:rPr>
        <w:t>Synedra</w:t>
      </w:r>
      <w:r>
        <w:rPr>
          <w:rFonts w:ascii="Times New Roman" w:hAnsi="Times New Roman" w:eastAsia="宋体" w:cs="Times New Roman"/>
          <w:color w:val="000000"/>
          <w:sz w:val="24"/>
          <w:szCs w:val="24"/>
        </w:rPr>
        <w:t>）</w:t>
      </w:r>
    </w:p>
    <w:p w14:paraId="7A3E290D">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4"/>
        </w:rPr>
        <w:t>浮游动物：3类12属16种，其中轮虫类9种、枝角类4种、桡足类3种。优势种为萼花臂尾轮虫（</w:t>
      </w:r>
      <w:r>
        <w:rPr>
          <w:rFonts w:ascii="Times New Roman" w:hAnsi="Times New Roman" w:eastAsia="宋体" w:cs="Times New Roman"/>
          <w:i/>
          <w:iCs/>
          <w:color w:val="000000"/>
          <w:sz w:val="24"/>
          <w:szCs w:val="24"/>
        </w:rPr>
        <w:t>Brachionus calyciflorus</w:t>
      </w:r>
      <w:r>
        <w:rPr>
          <w:rFonts w:ascii="Times New Roman" w:hAnsi="Times New Roman" w:eastAsia="宋体" w:cs="Times New Roman"/>
          <w:color w:val="000000"/>
          <w:sz w:val="24"/>
          <w:szCs w:val="24"/>
        </w:rPr>
        <w:t>）、壶状臂尾轮虫（</w:t>
      </w:r>
      <w:r>
        <w:rPr>
          <w:rFonts w:ascii="Times New Roman" w:hAnsi="Times New Roman" w:eastAsia="宋体" w:cs="Times New Roman"/>
          <w:i/>
          <w:iCs/>
          <w:color w:val="000000"/>
          <w:sz w:val="24"/>
          <w:szCs w:val="24"/>
        </w:rPr>
        <w:t>Brachionus urceus</w:t>
      </w:r>
      <w:r>
        <w:rPr>
          <w:rFonts w:ascii="Times New Roman" w:hAnsi="Times New Roman" w:eastAsia="宋体" w:cs="Times New Roman"/>
          <w:color w:val="000000"/>
          <w:sz w:val="24"/>
          <w:szCs w:val="24"/>
        </w:rPr>
        <w:t>）和长额象鼻溞（</w:t>
      </w:r>
      <w:r>
        <w:rPr>
          <w:rFonts w:ascii="Times New Roman" w:hAnsi="Times New Roman" w:eastAsia="宋体" w:cs="Times New Roman"/>
          <w:i/>
          <w:iCs/>
          <w:color w:val="000000"/>
          <w:sz w:val="24"/>
          <w:szCs w:val="24"/>
        </w:rPr>
        <w:t>Bosmina longirostris</w:t>
      </w:r>
      <w:r>
        <w:rPr>
          <w:rFonts w:ascii="Times New Roman" w:hAnsi="Times New Roman" w:eastAsia="宋体" w:cs="Times New Roman"/>
          <w:color w:val="000000"/>
          <w:sz w:val="24"/>
          <w:szCs w:val="24"/>
        </w:rPr>
        <w:t>）</w:t>
      </w:r>
    </w:p>
    <w:p w14:paraId="3DB9C09F">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4"/>
        </w:rPr>
        <w:t>底栖生物：底栖无脊椎动物2门4纲7属9种，其中水生昆虫5种、软体动物3种、环节动物1种。优势种为摇蚊幼虫（</w:t>
      </w:r>
      <w:r>
        <w:rPr>
          <w:rFonts w:ascii="Times New Roman" w:hAnsi="Times New Roman" w:eastAsia="宋体" w:cs="Times New Roman"/>
          <w:i/>
          <w:iCs/>
          <w:color w:val="000000"/>
          <w:sz w:val="24"/>
          <w:szCs w:val="24"/>
        </w:rPr>
        <w:t>Chironomus</w:t>
      </w:r>
      <w:r>
        <w:rPr>
          <w:rFonts w:ascii="Times New Roman" w:hAnsi="Times New Roman" w:eastAsia="宋体" w:cs="Times New Roman"/>
          <w:color w:val="000000"/>
          <w:sz w:val="24"/>
          <w:szCs w:val="24"/>
        </w:rPr>
        <w:t>）、耳萝卜螺（</w:t>
      </w:r>
      <w:r>
        <w:rPr>
          <w:rFonts w:ascii="Times New Roman" w:hAnsi="Times New Roman" w:eastAsia="宋体" w:cs="Times New Roman"/>
          <w:i/>
          <w:iCs/>
          <w:color w:val="000000"/>
          <w:sz w:val="24"/>
          <w:szCs w:val="24"/>
        </w:rPr>
        <w:t>Radix auricularia</w:t>
      </w:r>
      <w:r>
        <w:rPr>
          <w:rFonts w:ascii="Times New Roman" w:hAnsi="Times New Roman" w:eastAsia="宋体" w:cs="Times New Roman"/>
          <w:color w:val="000000"/>
          <w:sz w:val="24"/>
          <w:szCs w:val="24"/>
        </w:rPr>
        <w:t>）和水丝蚓（</w:t>
      </w:r>
      <w:r>
        <w:rPr>
          <w:rFonts w:ascii="Times New Roman" w:hAnsi="Times New Roman" w:eastAsia="宋体" w:cs="Times New Roman"/>
          <w:i/>
          <w:iCs/>
          <w:color w:val="000000"/>
          <w:sz w:val="24"/>
          <w:szCs w:val="24"/>
        </w:rPr>
        <w:t>Limnodrilus</w:t>
      </w:r>
      <w:r>
        <w:rPr>
          <w:rFonts w:ascii="Times New Roman" w:hAnsi="Times New Roman" w:eastAsia="宋体" w:cs="Times New Roman"/>
          <w:color w:val="000000"/>
          <w:sz w:val="24"/>
          <w:szCs w:val="24"/>
        </w:rPr>
        <w:t>）</w:t>
      </w:r>
    </w:p>
    <w:p w14:paraId="1A1F78FE">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4"/>
        </w:rPr>
        <w:t>鱼类资源</w:t>
      </w:r>
    </w:p>
    <w:p w14:paraId="44716AF6">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4"/>
        </w:rPr>
        <w:t>种类组成：鱼类2目3科6种，全部为广布性淡水鱼类，分别为鲫鱼（</w:t>
      </w:r>
      <w:r>
        <w:rPr>
          <w:rFonts w:ascii="Times New Roman" w:hAnsi="Times New Roman" w:eastAsia="宋体" w:cs="Times New Roman"/>
          <w:i/>
          <w:iCs/>
          <w:color w:val="000000"/>
          <w:sz w:val="24"/>
          <w:szCs w:val="24"/>
        </w:rPr>
        <w:t>Carassius auratus</w:t>
      </w:r>
      <w:r>
        <w:rPr>
          <w:rFonts w:ascii="Times New Roman" w:hAnsi="Times New Roman" w:eastAsia="宋体" w:cs="Times New Roman"/>
          <w:color w:val="000000"/>
          <w:sz w:val="24"/>
          <w:szCs w:val="24"/>
        </w:rPr>
        <w:t>）、鲤鱼（</w:t>
      </w:r>
      <w:r>
        <w:rPr>
          <w:rFonts w:ascii="Times New Roman" w:hAnsi="Times New Roman" w:eastAsia="宋体" w:cs="Times New Roman"/>
          <w:i/>
          <w:iCs/>
          <w:color w:val="000000"/>
          <w:sz w:val="24"/>
          <w:szCs w:val="24"/>
        </w:rPr>
        <w:t>Cyprinus carpio</w:t>
      </w:r>
      <w:r>
        <w:rPr>
          <w:rFonts w:ascii="Times New Roman" w:hAnsi="Times New Roman" w:eastAsia="宋体" w:cs="Times New Roman"/>
          <w:color w:val="000000"/>
          <w:sz w:val="24"/>
          <w:szCs w:val="24"/>
        </w:rPr>
        <w:t>）、麦穗鱼（</w:t>
      </w:r>
      <w:r>
        <w:rPr>
          <w:rFonts w:ascii="Times New Roman" w:hAnsi="Times New Roman" w:eastAsia="宋体" w:cs="Times New Roman"/>
          <w:i/>
          <w:iCs/>
          <w:color w:val="000000"/>
          <w:sz w:val="24"/>
          <w:szCs w:val="24"/>
        </w:rPr>
        <w:t>Pseudorasbora parva</w:t>
      </w:r>
      <w:r>
        <w:rPr>
          <w:rFonts w:ascii="Times New Roman" w:hAnsi="Times New Roman" w:eastAsia="宋体" w:cs="Times New Roman"/>
          <w:color w:val="000000"/>
          <w:sz w:val="24"/>
          <w:szCs w:val="24"/>
        </w:rPr>
        <w:t>）、棒花鱼（</w:t>
      </w:r>
      <w:r>
        <w:rPr>
          <w:rFonts w:ascii="Times New Roman" w:hAnsi="Times New Roman" w:eastAsia="宋体" w:cs="Times New Roman"/>
          <w:i/>
          <w:iCs/>
          <w:color w:val="000000"/>
          <w:sz w:val="24"/>
          <w:szCs w:val="24"/>
        </w:rPr>
        <w:t>Abbottina rivularis</w:t>
      </w:r>
      <w:r>
        <w:rPr>
          <w:rFonts w:ascii="Times New Roman" w:hAnsi="Times New Roman" w:eastAsia="宋体" w:cs="Times New Roman"/>
          <w:color w:val="000000"/>
          <w:sz w:val="24"/>
          <w:szCs w:val="24"/>
        </w:rPr>
        <w:t>）、泥鳅（</w:t>
      </w:r>
      <w:r>
        <w:rPr>
          <w:rFonts w:ascii="Times New Roman" w:hAnsi="Times New Roman" w:eastAsia="宋体" w:cs="Times New Roman"/>
          <w:i/>
          <w:iCs/>
          <w:color w:val="000000"/>
          <w:sz w:val="24"/>
          <w:szCs w:val="24"/>
        </w:rPr>
        <w:t>Misgurnus anguillicaudatus</w:t>
      </w:r>
      <w:r>
        <w:rPr>
          <w:rFonts w:ascii="Times New Roman" w:hAnsi="Times New Roman" w:eastAsia="宋体" w:cs="Times New Roman"/>
          <w:color w:val="000000"/>
          <w:sz w:val="24"/>
          <w:szCs w:val="24"/>
        </w:rPr>
        <w:t>）和黄颡鱼（</w:t>
      </w:r>
      <w:r>
        <w:rPr>
          <w:rFonts w:ascii="Times New Roman" w:hAnsi="Times New Roman" w:eastAsia="宋体" w:cs="Times New Roman"/>
          <w:i/>
          <w:iCs/>
          <w:color w:val="000000"/>
          <w:sz w:val="24"/>
          <w:szCs w:val="24"/>
        </w:rPr>
        <w:t>Pelteobagrus fulvidraco</w:t>
      </w:r>
      <w:r>
        <w:rPr>
          <w:rFonts w:ascii="Times New Roman" w:hAnsi="Times New Roman" w:eastAsia="宋体" w:cs="Times New Roman"/>
          <w:color w:val="000000"/>
          <w:sz w:val="24"/>
          <w:szCs w:val="24"/>
        </w:rPr>
        <w:t>）。无土著鱼类和珍稀濒危保护物种。</w:t>
      </w:r>
    </w:p>
    <w:p w14:paraId="4E212C2B">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4"/>
        </w:rPr>
        <w:t>资源状况：鱼类资源量较低，以小型鱼类为主，个体重量多在50~200g之间。由于河流水体盐度较高，鱼类分布主要集中在河道主槽水流较缓的区域。</w:t>
      </w:r>
    </w:p>
    <w:p w14:paraId="69A84E6D">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4"/>
        </w:rPr>
        <w:t>重要生境：经调查，评价范围内无国家级、自治区级保护鱼类，无鱼类产卵场、索饵场、越冬场，也无洄游性鱼类分布。</w:t>
      </w:r>
    </w:p>
    <w:p w14:paraId="78D59F82">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4"/>
        </w:rPr>
        <w:t>水生植物：3科5属7种，全部为耐盐性种类，主要包括挺水植物芦苇（</w:t>
      </w:r>
      <w:r>
        <w:rPr>
          <w:rFonts w:ascii="Times New Roman" w:hAnsi="Times New Roman" w:eastAsia="宋体" w:cs="Times New Roman"/>
          <w:i/>
          <w:iCs/>
          <w:color w:val="000000"/>
          <w:sz w:val="24"/>
          <w:szCs w:val="24"/>
        </w:rPr>
        <w:t>Phragmitesaustralis</w:t>
      </w:r>
      <w:r>
        <w:rPr>
          <w:rFonts w:ascii="Times New Roman" w:hAnsi="Times New Roman" w:eastAsia="宋体" w:cs="Times New Roman"/>
          <w:color w:val="000000"/>
          <w:sz w:val="24"/>
          <w:szCs w:val="24"/>
        </w:rPr>
        <w:t>）、香蒲（</w:t>
      </w:r>
      <w:r>
        <w:rPr>
          <w:rFonts w:ascii="Times New Roman" w:hAnsi="Times New Roman" w:eastAsia="宋体" w:cs="Times New Roman"/>
          <w:i/>
          <w:iCs/>
          <w:color w:val="000000"/>
          <w:sz w:val="24"/>
          <w:szCs w:val="24"/>
        </w:rPr>
        <w:t>Typhaorientalis</w:t>
      </w:r>
      <w:r>
        <w:rPr>
          <w:rFonts w:ascii="Times New Roman" w:hAnsi="Times New Roman" w:eastAsia="宋体" w:cs="Times New Roman"/>
          <w:color w:val="000000"/>
          <w:sz w:val="24"/>
          <w:szCs w:val="24"/>
        </w:rPr>
        <w:t>）、水烛（</w:t>
      </w:r>
      <w:r>
        <w:rPr>
          <w:rFonts w:ascii="Times New Roman" w:hAnsi="Times New Roman" w:eastAsia="宋体" w:cs="Times New Roman"/>
          <w:i/>
          <w:iCs/>
          <w:color w:val="000000"/>
          <w:sz w:val="24"/>
          <w:szCs w:val="24"/>
        </w:rPr>
        <w:t>Typhaangustifolia</w:t>
      </w:r>
      <w:r>
        <w:rPr>
          <w:rFonts w:ascii="Times New Roman" w:hAnsi="Times New Roman" w:eastAsia="宋体" w:cs="Times New Roman"/>
          <w:color w:val="000000"/>
          <w:sz w:val="24"/>
          <w:szCs w:val="24"/>
        </w:rPr>
        <w:t>），沉水植物眼子菜（</w:t>
      </w:r>
      <w:r>
        <w:rPr>
          <w:rFonts w:ascii="Times New Roman" w:hAnsi="Times New Roman" w:eastAsia="宋体" w:cs="Times New Roman"/>
          <w:i/>
          <w:iCs/>
          <w:color w:val="000000"/>
          <w:sz w:val="24"/>
          <w:szCs w:val="24"/>
        </w:rPr>
        <w:t>Potamogetondistinctus</w:t>
      </w:r>
      <w:r>
        <w:rPr>
          <w:rFonts w:ascii="Times New Roman" w:hAnsi="Times New Roman" w:eastAsia="宋体" w:cs="Times New Roman"/>
          <w:color w:val="000000"/>
          <w:sz w:val="24"/>
          <w:szCs w:val="24"/>
        </w:rPr>
        <w:t>）、狐尾藻（</w:t>
      </w:r>
      <w:r>
        <w:rPr>
          <w:rFonts w:ascii="Times New Roman" w:hAnsi="Times New Roman" w:eastAsia="宋体" w:cs="Times New Roman"/>
          <w:i/>
          <w:iCs/>
          <w:color w:val="000000"/>
          <w:sz w:val="24"/>
          <w:szCs w:val="24"/>
        </w:rPr>
        <w:t>Myriophyllumspicatum</w:t>
      </w:r>
      <w:r>
        <w:rPr>
          <w:rFonts w:ascii="Times New Roman" w:hAnsi="Times New Roman" w:eastAsia="宋体" w:cs="Times New Roman"/>
          <w:color w:val="000000"/>
          <w:sz w:val="24"/>
          <w:szCs w:val="24"/>
        </w:rPr>
        <w:t>）</w:t>
      </w:r>
    </w:p>
    <w:p w14:paraId="36553E5B">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4"/>
        </w:rPr>
        <w:t>水生生态系统特点：群落结构简单，受高盐度水环境限制，项目区水生生物种类较少，优势种单一，生物多样性较低，生态系统结构简单；干旱区内陆河流生态系统稳定性差，对水文情势和水质变化极为敏感，一旦受到破坏，自然恢复难度大、周期长；以广布耐盐种为主，所有水生生物种类均为适应高盐环境的广布种，无特有种和珍稀濒危物种。</w:t>
      </w:r>
    </w:p>
    <w:p w14:paraId="2203B831">
      <w:pPr>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auto"/>
        <w:ind w:firstLine="480" w:firstLineChars="200"/>
        <w:jc w:val="both"/>
        <w:textAlignment w:val="auto"/>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szCs w:val="24"/>
          <w:lang w:val="en-US" w:eastAsia="zh-CN" w:bidi="ar-SA"/>
        </w:rPr>
        <w:t>综上，拟建公路沿线水生生态以</w:t>
      </w:r>
      <w:r>
        <w:rPr>
          <w:rFonts w:hint="eastAsia" w:ascii="Times New Roman" w:hAnsi="Times New Roman" w:eastAsia="宋体" w:cs="Times New Roman"/>
          <w:color w:val="000000"/>
          <w:kern w:val="0"/>
          <w:sz w:val="24"/>
          <w:szCs w:val="24"/>
          <w:lang w:val="en-US" w:eastAsia="zh-CN" w:bidi="ar-SA"/>
        </w:rPr>
        <w:t>水体1</w:t>
      </w:r>
      <w:r>
        <w:rPr>
          <w:rFonts w:ascii="Times New Roman" w:hAnsi="Times New Roman" w:eastAsia="宋体" w:cs="Times New Roman"/>
          <w:color w:val="000000"/>
          <w:kern w:val="0"/>
          <w:sz w:val="24"/>
          <w:szCs w:val="24"/>
          <w:lang w:val="en-US" w:eastAsia="zh-CN" w:bidi="ar-SA"/>
        </w:rPr>
        <w:t>流域季节性河滩湿地和盐沼湿地为主，水生生物资源较为贫乏，群落结构简单，无珍稀濒危保护物种，无鱼类产卵场、索饵场、越冬场等重要水生生物生境。</w:t>
      </w:r>
    </w:p>
    <w:p w14:paraId="60AD2E16">
      <w:pPr>
        <w:keepNext/>
        <w:keepLines/>
        <w:widowControl w:val="0"/>
        <w:numPr>
          <w:ilvl w:val="1"/>
          <w:numId w:val="13"/>
        </w:numPr>
        <w:spacing w:before="240" w:after="240" w:line="240" w:lineRule="auto"/>
        <w:ind w:firstLine="200" w:firstLineChars="0"/>
        <w:jc w:val="both"/>
        <w:outlineLvl w:val="1"/>
        <w:rPr>
          <w:rFonts w:ascii="Times New Roman" w:hAnsi="Times New Roman" w:eastAsia="宋体" w:cs="Times New Roman"/>
          <w:b/>
          <w:bCs/>
          <w:color w:val="000000"/>
          <w:kern w:val="0"/>
          <w:sz w:val="28"/>
          <w:szCs w:val="24"/>
          <w:lang w:val="en-US" w:eastAsia="zh-CN" w:bidi="ar-SA"/>
        </w:rPr>
      </w:pPr>
      <w:bookmarkStart w:id="350" w:name="_Toc18798"/>
      <w:r>
        <w:rPr>
          <w:rFonts w:ascii="Times New Roman" w:hAnsi="Times New Roman" w:eastAsia="宋体" w:cs="Times New Roman"/>
          <w:b/>
          <w:bCs/>
          <w:color w:val="000000"/>
          <w:kern w:val="0"/>
          <w:sz w:val="28"/>
          <w:szCs w:val="24"/>
          <w:lang w:val="en-US" w:eastAsia="zh-CN" w:bidi="ar-SA"/>
        </w:rPr>
        <w:t>新疆生态功能区划</w:t>
      </w:r>
      <w:bookmarkEnd w:id="350"/>
    </w:p>
    <w:p w14:paraId="56436BAF">
      <w:pPr>
        <w:spacing w:line="300" w:lineRule="auto"/>
        <w:ind w:firstLine="480" w:firstLineChars="200"/>
        <w:rPr>
          <w:rFonts w:hint="default" w:ascii="Times New Roman" w:hAnsi="Times New Roman" w:eastAsia="宋体" w:cs="Times New Roman"/>
          <w:sz w:val="24"/>
          <w:szCs w:val="22"/>
          <w:lang w:val="en-US" w:eastAsia="zh-CN"/>
        </w:rPr>
      </w:pPr>
      <w:r>
        <w:rPr>
          <w:rFonts w:hint="eastAsia" w:ascii="Times New Roman" w:hAnsi="Times New Roman" w:eastAsia="宋体" w:cs="Times New Roman"/>
          <w:color w:val="000000"/>
          <w:kern w:val="0"/>
          <w:sz w:val="24"/>
          <w:szCs w:val="24"/>
          <w:lang w:val="en-US" w:eastAsia="zh-CN"/>
        </w:rPr>
        <w:t>1. 生态功能区划</w:t>
      </w:r>
    </w:p>
    <w:p w14:paraId="6ECDE45F">
      <w:pPr>
        <w:spacing w:after="120" w:afterLines="50" w:line="300" w:lineRule="auto"/>
        <w:ind w:firstLine="480" w:firstLineChars="200"/>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根据《新疆生态功能区划》，项目区在全疆生态功能区划中属于塔里木盆地暖温荒漠及绿洲农业生态区-塔里木盆地西部、北部荒漠及绿洲农业生态亚区-喀什三角洲绿洲农业盐渍化敏感生态功能区。拟建公路沿线生态功能区划见表2.8-1。</w:t>
      </w:r>
    </w:p>
    <w:p w14:paraId="6BBEFD4E">
      <w:pPr>
        <w:adjustRightInd w:val="0"/>
        <w:spacing w:line="240" w:lineRule="auto"/>
        <w:ind w:firstLine="0" w:firstLineChars="0"/>
        <w:jc w:val="center"/>
        <w:textAlignment w:val="baseline"/>
        <w:rPr>
          <w:rFonts w:ascii="Times New Roman" w:hAnsi="Times New Roman" w:eastAsia="宋体" w:cs="Times New Roman"/>
          <w:b/>
          <w:bCs/>
          <w:color w:val="000000"/>
          <w:spacing w:val="5"/>
          <w:kern w:val="0"/>
          <w:sz w:val="21"/>
          <w:szCs w:val="20"/>
        </w:rPr>
      </w:pPr>
      <w:r>
        <w:rPr>
          <w:rFonts w:ascii="Times New Roman" w:hAnsi="Times New Roman" w:eastAsia="宋体" w:cs="Times New Roman"/>
          <w:b/>
          <w:bCs/>
          <w:color w:val="000000"/>
          <w:spacing w:val="5"/>
          <w:kern w:val="0"/>
          <w:sz w:val="21"/>
          <w:szCs w:val="20"/>
        </w:rPr>
        <w:t>表2.8-1 项目沿线生态功能区划</w:t>
      </w:r>
    </w:p>
    <w:tbl>
      <w:tblPr>
        <w:tblStyle w:val="22"/>
        <w:tblW w:w="8424" w:type="dxa"/>
        <w:jc w:val="center"/>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fixed"/>
        <w:tblCellMar>
          <w:top w:w="0" w:type="dxa"/>
          <w:left w:w="0" w:type="dxa"/>
          <w:bottom w:w="0" w:type="dxa"/>
          <w:right w:w="0" w:type="dxa"/>
        </w:tblCellMar>
      </w:tblPr>
      <w:tblGrid>
        <w:gridCol w:w="869"/>
        <w:gridCol w:w="907"/>
        <w:gridCol w:w="1200"/>
        <w:gridCol w:w="966"/>
        <w:gridCol w:w="865"/>
        <w:gridCol w:w="1141"/>
        <w:gridCol w:w="1441"/>
        <w:gridCol w:w="1035"/>
      </w:tblGrid>
      <w:tr w14:paraId="0E1A346A">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0" w:type="dxa"/>
            <w:bottom w:w="0" w:type="dxa"/>
            <w:right w:w="0" w:type="dxa"/>
          </w:tblCellMar>
        </w:tblPrEx>
        <w:trPr>
          <w:cantSplit/>
          <w:trHeight w:val="283" w:hRule="atLeast"/>
          <w:jc w:val="center"/>
        </w:trPr>
        <w:tc>
          <w:tcPr>
            <w:tcW w:w="2976" w:type="dxa"/>
            <w:gridSpan w:val="3"/>
            <w:vAlign w:val="center"/>
          </w:tcPr>
          <w:p w14:paraId="19088FA7">
            <w:pPr>
              <w:spacing w:line="240" w:lineRule="auto"/>
              <w:ind w:firstLine="0" w:firstLineChars="0"/>
              <w:jc w:val="center"/>
              <w:rPr>
                <w:rFonts w:ascii="Times New Roman" w:hAnsi="Times New Roman" w:eastAsia="宋体" w:cs="Times New Roman"/>
                <w:b/>
                <w:bCs/>
                <w:color w:val="000000"/>
                <w:kern w:val="0"/>
                <w:sz w:val="21"/>
                <w:szCs w:val="32"/>
              </w:rPr>
            </w:pPr>
            <w:r>
              <w:rPr>
                <w:rFonts w:ascii="Times New Roman" w:hAnsi="Times New Roman" w:eastAsia="宋体" w:cs="Times New Roman"/>
                <w:b/>
                <w:bCs/>
                <w:color w:val="000000"/>
                <w:kern w:val="0"/>
                <w:sz w:val="21"/>
                <w:szCs w:val="32"/>
              </w:rPr>
              <w:t>生 态 功 能 分 区 单 元</w:t>
            </w:r>
          </w:p>
        </w:tc>
        <w:tc>
          <w:tcPr>
            <w:tcW w:w="966" w:type="dxa"/>
            <w:vMerge w:val="restart"/>
            <w:vAlign w:val="center"/>
          </w:tcPr>
          <w:p w14:paraId="787BA5F3">
            <w:pPr>
              <w:spacing w:line="240" w:lineRule="auto"/>
              <w:ind w:firstLine="0" w:firstLineChars="0"/>
              <w:jc w:val="center"/>
              <w:rPr>
                <w:rFonts w:ascii="Times New Roman" w:hAnsi="Times New Roman" w:eastAsia="宋体" w:cs="Times New Roman"/>
                <w:b/>
                <w:bCs/>
                <w:color w:val="000000"/>
                <w:kern w:val="0"/>
                <w:sz w:val="21"/>
                <w:szCs w:val="32"/>
              </w:rPr>
            </w:pPr>
            <w:r>
              <w:rPr>
                <w:rFonts w:ascii="Times New Roman" w:hAnsi="Times New Roman" w:eastAsia="宋体" w:cs="Times New Roman"/>
                <w:b/>
                <w:bCs/>
                <w:color w:val="000000"/>
                <w:kern w:val="0"/>
                <w:sz w:val="21"/>
                <w:szCs w:val="32"/>
              </w:rPr>
              <w:t>隶属</w:t>
            </w:r>
          </w:p>
          <w:p w14:paraId="3A9A4287">
            <w:pPr>
              <w:spacing w:line="240" w:lineRule="auto"/>
              <w:ind w:firstLine="0" w:firstLineChars="0"/>
              <w:jc w:val="center"/>
              <w:rPr>
                <w:rFonts w:ascii="Times New Roman" w:hAnsi="Times New Roman" w:eastAsia="宋体" w:cs="Times New Roman"/>
                <w:b/>
                <w:bCs/>
                <w:color w:val="000000"/>
                <w:kern w:val="0"/>
                <w:sz w:val="21"/>
                <w:szCs w:val="32"/>
              </w:rPr>
            </w:pPr>
            <w:r>
              <w:rPr>
                <w:rFonts w:ascii="Times New Roman" w:hAnsi="Times New Roman" w:eastAsia="宋体" w:cs="Times New Roman"/>
                <w:b/>
                <w:bCs/>
                <w:color w:val="000000"/>
                <w:kern w:val="0"/>
                <w:sz w:val="21"/>
                <w:szCs w:val="32"/>
              </w:rPr>
              <w:t>行政区</w:t>
            </w:r>
          </w:p>
        </w:tc>
        <w:tc>
          <w:tcPr>
            <w:tcW w:w="865" w:type="dxa"/>
            <w:vMerge w:val="restart"/>
            <w:vAlign w:val="center"/>
          </w:tcPr>
          <w:p w14:paraId="4AF71A92">
            <w:pPr>
              <w:spacing w:line="240" w:lineRule="auto"/>
              <w:ind w:firstLine="0" w:firstLineChars="0"/>
              <w:jc w:val="center"/>
              <w:rPr>
                <w:rFonts w:ascii="Times New Roman" w:hAnsi="Times New Roman" w:eastAsia="宋体" w:cs="Times New Roman"/>
                <w:b/>
                <w:bCs/>
                <w:color w:val="000000"/>
                <w:kern w:val="0"/>
                <w:sz w:val="21"/>
                <w:szCs w:val="32"/>
              </w:rPr>
            </w:pPr>
            <w:r>
              <w:rPr>
                <w:rFonts w:ascii="Times New Roman" w:hAnsi="Times New Roman" w:eastAsia="宋体" w:cs="Times New Roman"/>
                <w:b/>
                <w:bCs/>
                <w:color w:val="000000"/>
                <w:kern w:val="0"/>
                <w:sz w:val="21"/>
                <w:szCs w:val="32"/>
              </w:rPr>
              <w:t>主要生态</w:t>
            </w:r>
          </w:p>
          <w:p w14:paraId="04C3319A">
            <w:pPr>
              <w:spacing w:line="240" w:lineRule="auto"/>
              <w:ind w:firstLine="0" w:firstLineChars="0"/>
              <w:jc w:val="center"/>
              <w:rPr>
                <w:rFonts w:ascii="Times New Roman" w:hAnsi="Times New Roman" w:eastAsia="宋体" w:cs="Times New Roman"/>
                <w:b/>
                <w:bCs/>
                <w:color w:val="000000"/>
                <w:kern w:val="0"/>
                <w:sz w:val="21"/>
                <w:szCs w:val="32"/>
              </w:rPr>
            </w:pPr>
            <w:r>
              <w:rPr>
                <w:rFonts w:ascii="Times New Roman" w:hAnsi="Times New Roman" w:eastAsia="宋体" w:cs="Times New Roman"/>
                <w:b/>
                <w:bCs/>
                <w:color w:val="000000"/>
                <w:kern w:val="0"/>
                <w:sz w:val="21"/>
                <w:szCs w:val="32"/>
              </w:rPr>
              <w:t>服务功能</w:t>
            </w:r>
          </w:p>
        </w:tc>
        <w:tc>
          <w:tcPr>
            <w:tcW w:w="1141" w:type="dxa"/>
            <w:vMerge w:val="restart"/>
            <w:vAlign w:val="center"/>
          </w:tcPr>
          <w:p w14:paraId="4F529D43">
            <w:pPr>
              <w:spacing w:line="240" w:lineRule="auto"/>
              <w:ind w:firstLine="0" w:firstLineChars="0"/>
              <w:jc w:val="center"/>
              <w:rPr>
                <w:rFonts w:ascii="Times New Roman" w:hAnsi="Times New Roman" w:eastAsia="宋体" w:cs="Times New Roman"/>
                <w:b/>
                <w:bCs/>
                <w:color w:val="000000"/>
                <w:kern w:val="0"/>
                <w:sz w:val="21"/>
                <w:szCs w:val="32"/>
              </w:rPr>
            </w:pPr>
            <w:r>
              <w:rPr>
                <w:rFonts w:ascii="Times New Roman" w:hAnsi="Times New Roman" w:eastAsia="宋体" w:cs="Times New Roman"/>
                <w:b/>
                <w:bCs/>
                <w:color w:val="000000"/>
                <w:kern w:val="0"/>
                <w:sz w:val="21"/>
                <w:szCs w:val="32"/>
              </w:rPr>
              <w:t>主要生态</w:t>
            </w:r>
          </w:p>
          <w:p w14:paraId="2F67F5A6">
            <w:pPr>
              <w:spacing w:line="240" w:lineRule="auto"/>
              <w:ind w:firstLine="0" w:firstLineChars="0"/>
              <w:jc w:val="center"/>
              <w:rPr>
                <w:rFonts w:ascii="Times New Roman" w:hAnsi="Times New Roman" w:eastAsia="宋体" w:cs="Times New Roman"/>
                <w:b/>
                <w:bCs/>
                <w:color w:val="000000"/>
                <w:kern w:val="0"/>
                <w:sz w:val="21"/>
                <w:szCs w:val="32"/>
              </w:rPr>
            </w:pPr>
            <w:r>
              <w:rPr>
                <w:rFonts w:ascii="Times New Roman" w:hAnsi="Times New Roman" w:eastAsia="宋体" w:cs="Times New Roman"/>
                <w:b/>
                <w:bCs/>
                <w:color w:val="000000"/>
                <w:kern w:val="0"/>
                <w:sz w:val="21"/>
                <w:szCs w:val="32"/>
              </w:rPr>
              <w:t>环境问题</w:t>
            </w:r>
          </w:p>
        </w:tc>
        <w:tc>
          <w:tcPr>
            <w:tcW w:w="1441" w:type="dxa"/>
            <w:vMerge w:val="restart"/>
            <w:vAlign w:val="center"/>
          </w:tcPr>
          <w:p w14:paraId="4247A0C5">
            <w:pPr>
              <w:spacing w:line="240" w:lineRule="auto"/>
              <w:ind w:firstLine="0" w:firstLineChars="0"/>
              <w:jc w:val="center"/>
              <w:rPr>
                <w:rFonts w:ascii="Times New Roman" w:hAnsi="Times New Roman" w:eastAsia="宋体" w:cs="Times New Roman"/>
                <w:b/>
                <w:bCs/>
                <w:color w:val="000000"/>
                <w:kern w:val="0"/>
                <w:sz w:val="21"/>
                <w:szCs w:val="32"/>
              </w:rPr>
            </w:pPr>
            <w:r>
              <w:rPr>
                <w:rFonts w:ascii="Times New Roman" w:hAnsi="Times New Roman" w:eastAsia="宋体" w:cs="Times New Roman"/>
                <w:b/>
                <w:bCs/>
                <w:color w:val="000000"/>
                <w:kern w:val="0"/>
                <w:sz w:val="21"/>
                <w:szCs w:val="32"/>
              </w:rPr>
              <w:t>主要生态敏感因子、敏感程度</w:t>
            </w:r>
          </w:p>
        </w:tc>
        <w:tc>
          <w:tcPr>
            <w:tcW w:w="1035" w:type="dxa"/>
            <w:vMerge w:val="restart"/>
            <w:vAlign w:val="center"/>
          </w:tcPr>
          <w:p w14:paraId="50EF79A3">
            <w:pPr>
              <w:spacing w:line="240" w:lineRule="auto"/>
              <w:ind w:firstLine="0" w:firstLineChars="0"/>
              <w:jc w:val="center"/>
              <w:rPr>
                <w:rFonts w:ascii="Times New Roman" w:hAnsi="Times New Roman" w:eastAsia="宋体" w:cs="Times New Roman"/>
                <w:b/>
                <w:bCs/>
                <w:color w:val="000000"/>
                <w:kern w:val="0"/>
                <w:sz w:val="21"/>
                <w:szCs w:val="32"/>
              </w:rPr>
            </w:pPr>
            <w:r>
              <w:rPr>
                <w:rFonts w:ascii="Times New Roman" w:hAnsi="Times New Roman" w:eastAsia="宋体" w:cs="Times New Roman"/>
                <w:b/>
                <w:bCs/>
                <w:color w:val="000000"/>
                <w:kern w:val="0"/>
                <w:sz w:val="21"/>
                <w:szCs w:val="32"/>
              </w:rPr>
              <w:t>主要保护目标</w:t>
            </w:r>
          </w:p>
        </w:tc>
      </w:tr>
      <w:tr w14:paraId="2F89DC34">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0" w:type="dxa"/>
            <w:bottom w:w="0" w:type="dxa"/>
            <w:right w:w="0" w:type="dxa"/>
          </w:tblCellMar>
        </w:tblPrEx>
        <w:trPr>
          <w:cantSplit/>
          <w:trHeight w:val="283" w:hRule="atLeast"/>
          <w:jc w:val="center"/>
        </w:trPr>
        <w:tc>
          <w:tcPr>
            <w:tcW w:w="869" w:type="dxa"/>
            <w:vAlign w:val="center"/>
          </w:tcPr>
          <w:p w14:paraId="1E5983F4">
            <w:pPr>
              <w:spacing w:line="240" w:lineRule="auto"/>
              <w:ind w:firstLine="0" w:firstLineChars="0"/>
              <w:jc w:val="center"/>
              <w:rPr>
                <w:rFonts w:ascii="Times New Roman" w:hAnsi="Times New Roman" w:eastAsia="宋体" w:cs="Times New Roman"/>
                <w:b/>
                <w:bCs/>
                <w:color w:val="000000"/>
                <w:kern w:val="0"/>
                <w:sz w:val="21"/>
                <w:szCs w:val="32"/>
              </w:rPr>
            </w:pPr>
            <w:r>
              <w:rPr>
                <w:rFonts w:ascii="Times New Roman" w:hAnsi="Times New Roman" w:eastAsia="宋体" w:cs="Times New Roman"/>
                <w:b/>
                <w:bCs/>
                <w:color w:val="000000"/>
                <w:kern w:val="0"/>
                <w:sz w:val="21"/>
                <w:szCs w:val="32"/>
              </w:rPr>
              <w:t>生态区</w:t>
            </w:r>
          </w:p>
        </w:tc>
        <w:tc>
          <w:tcPr>
            <w:tcW w:w="907" w:type="dxa"/>
            <w:vAlign w:val="center"/>
          </w:tcPr>
          <w:p w14:paraId="6B27D904">
            <w:pPr>
              <w:spacing w:line="240" w:lineRule="auto"/>
              <w:ind w:firstLine="0" w:firstLineChars="0"/>
              <w:jc w:val="center"/>
              <w:rPr>
                <w:rFonts w:ascii="Times New Roman" w:hAnsi="Times New Roman" w:eastAsia="宋体" w:cs="Times New Roman"/>
                <w:b/>
                <w:bCs/>
                <w:color w:val="000000"/>
                <w:kern w:val="0"/>
                <w:sz w:val="21"/>
                <w:szCs w:val="32"/>
              </w:rPr>
            </w:pPr>
            <w:r>
              <w:rPr>
                <w:rFonts w:ascii="Times New Roman" w:hAnsi="Times New Roman" w:eastAsia="宋体" w:cs="Times New Roman"/>
                <w:b/>
                <w:bCs/>
                <w:color w:val="000000"/>
                <w:kern w:val="0"/>
                <w:sz w:val="21"/>
                <w:szCs w:val="32"/>
              </w:rPr>
              <w:t>生态亚区</w:t>
            </w:r>
          </w:p>
        </w:tc>
        <w:tc>
          <w:tcPr>
            <w:tcW w:w="1200" w:type="dxa"/>
            <w:vAlign w:val="center"/>
          </w:tcPr>
          <w:p w14:paraId="72BD6330">
            <w:pPr>
              <w:spacing w:line="240" w:lineRule="auto"/>
              <w:ind w:firstLine="0" w:firstLineChars="0"/>
              <w:jc w:val="center"/>
              <w:rPr>
                <w:rFonts w:ascii="Times New Roman" w:hAnsi="Times New Roman" w:eastAsia="宋体" w:cs="Times New Roman"/>
                <w:b/>
                <w:bCs/>
                <w:color w:val="000000"/>
                <w:kern w:val="0"/>
                <w:sz w:val="21"/>
                <w:szCs w:val="32"/>
              </w:rPr>
            </w:pPr>
            <w:r>
              <w:rPr>
                <w:rFonts w:ascii="Times New Roman" w:hAnsi="Times New Roman" w:eastAsia="宋体" w:cs="Times New Roman"/>
                <w:b/>
                <w:bCs/>
                <w:color w:val="000000"/>
                <w:kern w:val="0"/>
                <w:sz w:val="21"/>
                <w:szCs w:val="32"/>
              </w:rPr>
              <w:t>生态功能区</w:t>
            </w:r>
          </w:p>
        </w:tc>
        <w:tc>
          <w:tcPr>
            <w:tcW w:w="966" w:type="dxa"/>
            <w:vMerge w:val="continue"/>
            <w:vAlign w:val="center"/>
          </w:tcPr>
          <w:p w14:paraId="669328A3">
            <w:pPr>
              <w:spacing w:line="240" w:lineRule="auto"/>
              <w:ind w:firstLine="0" w:firstLineChars="0"/>
              <w:jc w:val="center"/>
              <w:rPr>
                <w:rFonts w:ascii="Times New Roman" w:hAnsi="Times New Roman" w:eastAsia="宋体" w:cs="Times New Roman"/>
                <w:color w:val="000000"/>
                <w:kern w:val="0"/>
                <w:sz w:val="21"/>
                <w:szCs w:val="32"/>
              </w:rPr>
            </w:pPr>
          </w:p>
        </w:tc>
        <w:tc>
          <w:tcPr>
            <w:tcW w:w="865" w:type="dxa"/>
            <w:vMerge w:val="continue"/>
            <w:vAlign w:val="center"/>
          </w:tcPr>
          <w:p w14:paraId="368AED53">
            <w:pPr>
              <w:spacing w:line="240" w:lineRule="auto"/>
              <w:ind w:firstLine="0" w:firstLineChars="0"/>
              <w:jc w:val="center"/>
              <w:rPr>
                <w:rFonts w:ascii="Times New Roman" w:hAnsi="Times New Roman" w:eastAsia="宋体" w:cs="Times New Roman"/>
                <w:color w:val="000000"/>
                <w:kern w:val="0"/>
                <w:sz w:val="21"/>
                <w:szCs w:val="32"/>
              </w:rPr>
            </w:pPr>
          </w:p>
        </w:tc>
        <w:tc>
          <w:tcPr>
            <w:tcW w:w="1141" w:type="dxa"/>
            <w:vMerge w:val="continue"/>
            <w:vAlign w:val="center"/>
          </w:tcPr>
          <w:p w14:paraId="0ABF6984">
            <w:pPr>
              <w:spacing w:line="240" w:lineRule="auto"/>
              <w:ind w:firstLine="0" w:firstLineChars="0"/>
              <w:jc w:val="center"/>
              <w:rPr>
                <w:rFonts w:ascii="Times New Roman" w:hAnsi="Times New Roman" w:eastAsia="宋体" w:cs="Times New Roman"/>
                <w:color w:val="000000"/>
                <w:kern w:val="0"/>
                <w:sz w:val="21"/>
                <w:szCs w:val="32"/>
              </w:rPr>
            </w:pPr>
          </w:p>
        </w:tc>
        <w:tc>
          <w:tcPr>
            <w:tcW w:w="1441" w:type="dxa"/>
            <w:vMerge w:val="continue"/>
            <w:vAlign w:val="center"/>
          </w:tcPr>
          <w:p w14:paraId="6C3F90B1">
            <w:pPr>
              <w:spacing w:line="240" w:lineRule="auto"/>
              <w:ind w:firstLine="0" w:firstLineChars="0"/>
              <w:jc w:val="center"/>
              <w:rPr>
                <w:rFonts w:ascii="Times New Roman" w:hAnsi="Times New Roman" w:eastAsia="宋体" w:cs="Times New Roman"/>
                <w:color w:val="000000"/>
                <w:kern w:val="0"/>
                <w:sz w:val="21"/>
                <w:szCs w:val="32"/>
              </w:rPr>
            </w:pPr>
          </w:p>
        </w:tc>
        <w:tc>
          <w:tcPr>
            <w:tcW w:w="1035" w:type="dxa"/>
            <w:vMerge w:val="continue"/>
            <w:vAlign w:val="center"/>
          </w:tcPr>
          <w:p w14:paraId="5D9EC8CA">
            <w:pPr>
              <w:spacing w:line="240" w:lineRule="auto"/>
              <w:ind w:firstLine="0" w:firstLineChars="0"/>
              <w:jc w:val="center"/>
              <w:rPr>
                <w:rFonts w:ascii="Times New Roman" w:hAnsi="Times New Roman" w:eastAsia="宋体" w:cs="Times New Roman"/>
                <w:color w:val="000000"/>
                <w:kern w:val="0"/>
                <w:sz w:val="21"/>
                <w:szCs w:val="32"/>
              </w:rPr>
            </w:pPr>
          </w:p>
        </w:tc>
      </w:tr>
      <w:tr w14:paraId="1CE1B908">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0" w:type="dxa"/>
            <w:bottom w:w="0" w:type="dxa"/>
            <w:right w:w="0" w:type="dxa"/>
          </w:tblCellMar>
        </w:tblPrEx>
        <w:trPr>
          <w:cantSplit/>
          <w:trHeight w:val="283" w:hRule="atLeast"/>
          <w:jc w:val="center"/>
        </w:trPr>
        <w:tc>
          <w:tcPr>
            <w:tcW w:w="869" w:type="dxa"/>
            <w:vAlign w:val="center"/>
          </w:tcPr>
          <w:p w14:paraId="56D1832B">
            <w:pPr>
              <w:spacing w:line="240" w:lineRule="auto"/>
              <w:ind w:firstLine="0" w:firstLineChars="0"/>
              <w:jc w:val="center"/>
              <w:rPr>
                <w:rFonts w:ascii="Times New Roman" w:hAnsi="Times New Roman" w:eastAsia="宋体" w:cs="Times New Roman"/>
                <w:color w:val="000000"/>
                <w:sz w:val="21"/>
                <w:szCs w:val="32"/>
              </w:rPr>
            </w:pPr>
            <w:r>
              <w:rPr>
                <w:rFonts w:ascii="Times New Roman" w:hAnsi="Times New Roman" w:eastAsia="宋体" w:cs="Times New Roman"/>
                <w:color w:val="000000"/>
                <w:sz w:val="21"/>
                <w:szCs w:val="32"/>
              </w:rPr>
              <w:t>塔里木盆地暖温荒漠及绿洲农业生态区</w:t>
            </w:r>
          </w:p>
        </w:tc>
        <w:tc>
          <w:tcPr>
            <w:tcW w:w="907" w:type="dxa"/>
            <w:vAlign w:val="center"/>
          </w:tcPr>
          <w:p w14:paraId="3EA1DF04">
            <w:pPr>
              <w:spacing w:line="240" w:lineRule="auto"/>
              <w:ind w:firstLine="0" w:firstLineChars="0"/>
              <w:jc w:val="center"/>
              <w:rPr>
                <w:rFonts w:ascii="Times New Roman" w:hAnsi="Times New Roman" w:eastAsia="宋体" w:cs="Times New Roman"/>
                <w:color w:val="000000"/>
                <w:sz w:val="21"/>
                <w:szCs w:val="32"/>
              </w:rPr>
            </w:pPr>
            <w:r>
              <w:rPr>
                <w:rFonts w:ascii="Times New Roman" w:hAnsi="Times New Roman" w:eastAsia="宋体" w:cs="Times New Roman"/>
                <w:color w:val="000000"/>
                <w:sz w:val="21"/>
                <w:szCs w:val="32"/>
              </w:rPr>
              <w:t>塔里木盆地西部、北部荒漠及绿洲农业生态亚区</w:t>
            </w:r>
          </w:p>
        </w:tc>
        <w:tc>
          <w:tcPr>
            <w:tcW w:w="1200" w:type="dxa"/>
            <w:vAlign w:val="center"/>
          </w:tcPr>
          <w:p w14:paraId="62F5607C">
            <w:pPr>
              <w:spacing w:line="240" w:lineRule="auto"/>
              <w:ind w:firstLine="0" w:firstLineChars="0"/>
              <w:jc w:val="center"/>
              <w:rPr>
                <w:rFonts w:ascii="Times New Roman" w:hAnsi="Times New Roman" w:eastAsia="宋体" w:cs="Times New Roman"/>
                <w:color w:val="000000"/>
                <w:sz w:val="21"/>
                <w:szCs w:val="32"/>
              </w:rPr>
            </w:pPr>
            <w:r>
              <w:rPr>
                <w:rFonts w:ascii="Times New Roman" w:hAnsi="Times New Roman" w:eastAsia="宋体" w:cs="Times New Roman"/>
                <w:color w:val="000000"/>
                <w:sz w:val="21"/>
                <w:szCs w:val="32"/>
              </w:rPr>
              <w:t>喀什三角洲绿洲农业盐渍化敏感生态功能区</w:t>
            </w:r>
          </w:p>
        </w:tc>
        <w:tc>
          <w:tcPr>
            <w:tcW w:w="966" w:type="dxa"/>
            <w:vAlign w:val="center"/>
          </w:tcPr>
          <w:p w14:paraId="7A83728C">
            <w:pPr>
              <w:spacing w:line="240" w:lineRule="auto"/>
              <w:ind w:firstLine="0" w:firstLineChars="0"/>
              <w:jc w:val="center"/>
              <w:rPr>
                <w:rFonts w:ascii="Times New Roman" w:hAnsi="Times New Roman" w:eastAsia="宋体" w:cs="Times New Roman"/>
                <w:color w:val="000000"/>
                <w:sz w:val="21"/>
                <w:szCs w:val="32"/>
              </w:rPr>
            </w:pPr>
            <w:r>
              <w:rPr>
                <w:rFonts w:ascii="Times New Roman" w:hAnsi="Times New Roman" w:eastAsia="宋体" w:cs="Times New Roman"/>
                <w:color w:val="000000"/>
                <w:sz w:val="21"/>
                <w:szCs w:val="32"/>
              </w:rPr>
              <w:t>喀什市、阿图什市、疏勒县、疏附县、伽师县、乌恰县、阿克陶县、岳普湖县、英吉沙县、莎车县、麦盖提县、巴楚县</w:t>
            </w:r>
          </w:p>
        </w:tc>
        <w:tc>
          <w:tcPr>
            <w:tcW w:w="865" w:type="dxa"/>
            <w:vAlign w:val="center"/>
          </w:tcPr>
          <w:p w14:paraId="1FCE6E94">
            <w:pPr>
              <w:spacing w:line="240" w:lineRule="auto"/>
              <w:ind w:firstLine="0" w:firstLineChars="0"/>
              <w:jc w:val="center"/>
              <w:rPr>
                <w:rFonts w:ascii="Times New Roman" w:hAnsi="Times New Roman" w:eastAsia="宋体" w:cs="Times New Roman"/>
                <w:color w:val="000000"/>
                <w:sz w:val="21"/>
                <w:szCs w:val="32"/>
              </w:rPr>
            </w:pPr>
            <w:r>
              <w:rPr>
                <w:rFonts w:ascii="Times New Roman" w:hAnsi="Times New Roman" w:eastAsia="宋体" w:cs="Times New Roman"/>
                <w:color w:val="000000"/>
                <w:sz w:val="21"/>
                <w:szCs w:val="32"/>
              </w:rPr>
              <w:t>农畜产品生产、荒漠化控制、旅游</w:t>
            </w:r>
          </w:p>
        </w:tc>
        <w:tc>
          <w:tcPr>
            <w:tcW w:w="1141" w:type="dxa"/>
            <w:vAlign w:val="center"/>
          </w:tcPr>
          <w:p w14:paraId="4D74F836">
            <w:pPr>
              <w:spacing w:line="240" w:lineRule="auto"/>
              <w:ind w:firstLine="0" w:firstLineChars="0"/>
              <w:jc w:val="center"/>
              <w:rPr>
                <w:rFonts w:ascii="Times New Roman" w:hAnsi="Times New Roman" w:eastAsia="宋体" w:cs="Times New Roman"/>
                <w:color w:val="000000"/>
                <w:sz w:val="21"/>
                <w:szCs w:val="32"/>
              </w:rPr>
            </w:pPr>
            <w:r>
              <w:rPr>
                <w:rFonts w:ascii="Times New Roman" w:hAnsi="Times New Roman" w:eastAsia="宋体" w:cs="Times New Roman"/>
                <w:color w:val="000000"/>
                <w:sz w:val="21"/>
                <w:szCs w:val="32"/>
              </w:rPr>
              <w:t>土壤盐渍化、三角洲下部天然水质差、城市污水处理滞后、浮尘天气多、土壤质量下降</w:t>
            </w:r>
          </w:p>
        </w:tc>
        <w:tc>
          <w:tcPr>
            <w:tcW w:w="1441" w:type="dxa"/>
            <w:vAlign w:val="center"/>
          </w:tcPr>
          <w:p w14:paraId="1B62FE4B">
            <w:pPr>
              <w:spacing w:line="240" w:lineRule="auto"/>
              <w:ind w:firstLine="0" w:firstLineChars="0"/>
              <w:jc w:val="center"/>
              <w:rPr>
                <w:rFonts w:ascii="Times New Roman" w:hAnsi="Times New Roman" w:eastAsia="宋体" w:cs="Times New Roman"/>
                <w:color w:val="000000"/>
                <w:sz w:val="21"/>
                <w:szCs w:val="32"/>
              </w:rPr>
            </w:pPr>
            <w:r>
              <w:rPr>
                <w:rFonts w:ascii="Times New Roman" w:hAnsi="Times New Roman" w:eastAsia="宋体" w:cs="Times New Roman"/>
                <w:color w:val="000000"/>
                <w:sz w:val="21"/>
                <w:szCs w:val="32"/>
              </w:rPr>
              <w:t>生物多样性及其生境中度敏感，土地沙漠化、土壤盐渍化高度敏感</w:t>
            </w:r>
          </w:p>
        </w:tc>
        <w:tc>
          <w:tcPr>
            <w:tcW w:w="1035" w:type="dxa"/>
            <w:vAlign w:val="center"/>
          </w:tcPr>
          <w:p w14:paraId="3FC25272">
            <w:pPr>
              <w:spacing w:line="240" w:lineRule="auto"/>
              <w:ind w:firstLine="0" w:firstLineChars="0"/>
              <w:jc w:val="center"/>
              <w:rPr>
                <w:rFonts w:ascii="Times New Roman" w:hAnsi="Times New Roman" w:eastAsia="宋体" w:cs="Times New Roman"/>
                <w:color w:val="000000"/>
                <w:sz w:val="21"/>
                <w:szCs w:val="32"/>
              </w:rPr>
            </w:pPr>
            <w:r>
              <w:rPr>
                <w:rFonts w:ascii="Times New Roman" w:hAnsi="Times New Roman" w:eastAsia="宋体" w:cs="Times New Roman"/>
                <w:color w:val="000000"/>
                <w:sz w:val="21"/>
                <w:szCs w:val="32"/>
              </w:rPr>
              <w:t>保护人群身体健康、保护水资源、保护农田、保护荒漠植被、保护文物古迹与民俗风情</w:t>
            </w:r>
          </w:p>
        </w:tc>
      </w:tr>
    </w:tbl>
    <w:p w14:paraId="1A8424AD">
      <w:pPr>
        <w:spacing w:before="240" w:beforeLines="100" w:line="300" w:lineRule="auto"/>
        <w:ind w:firstLine="480" w:firstLineChars="200"/>
        <w:rPr>
          <w:rFonts w:ascii="Times New Roman" w:hAnsi="Times New Roman" w:eastAsia="宋体" w:cs="Times New Roman"/>
          <w:color w:val="000000"/>
          <w:kern w:val="0"/>
          <w:sz w:val="24"/>
          <w:szCs w:val="24"/>
        </w:rPr>
      </w:pPr>
      <w:r>
        <w:rPr>
          <w:rFonts w:hint="eastAsia" w:ascii="Times New Roman" w:hAnsi="Times New Roman" w:eastAsia="宋体" w:cs="Times New Roman"/>
          <w:color w:val="000000"/>
          <w:kern w:val="0"/>
          <w:sz w:val="24"/>
          <w:szCs w:val="24"/>
          <w:lang w:val="en-US" w:eastAsia="zh-CN"/>
        </w:rPr>
        <w:t xml:space="preserve">2. </w:t>
      </w:r>
      <w:r>
        <w:rPr>
          <w:rFonts w:ascii="Times New Roman" w:hAnsi="Times New Roman" w:eastAsia="宋体" w:cs="Times New Roman"/>
          <w:color w:val="000000"/>
          <w:kern w:val="0"/>
          <w:sz w:val="24"/>
          <w:szCs w:val="24"/>
        </w:rPr>
        <w:t>区域生态类型及特征</w:t>
      </w:r>
    </w:p>
    <w:p w14:paraId="5A7FC03C">
      <w:pPr>
        <w:spacing w:after="120" w:afterLines="50" w:line="300" w:lineRule="auto"/>
        <w:ind w:firstLine="480" w:firstLineChars="200"/>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拟建公路沿线大部分属平原绿洲区，部分路段由于地下水埋深较浅，浅层地下水硫酸盐含量较高，土壤呈盐渍化。根据地貌特征，拟建公路沿线生态区段划分见表2.8-2。</w:t>
      </w:r>
    </w:p>
    <w:p w14:paraId="71FEB142">
      <w:pPr>
        <w:adjustRightInd w:val="0"/>
        <w:spacing w:line="240" w:lineRule="auto"/>
        <w:ind w:firstLine="0" w:firstLineChars="0"/>
        <w:jc w:val="center"/>
        <w:textAlignment w:val="baseline"/>
        <w:rPr>
          <w:rFonts w:ascii="Times New Roman" w:hAnsi="Times New Roman" w:eastAsia="宋体" w:cs="Times New Roman"/>
          <w:b/>
          <w:color w:val="000000"/>
          <w:spacing w:val="5"/>
          <w:kern w:val="0"/>
          <w:sz w:val="21"/>
          <w:szCs w:val="20"/>
        </w:rPr>
      </w:pPr>
      <w:r>
        <w:rPr>
          <w:rFonts w:ascii="Times New Roman" w:hAnsi="Times New Roman" w:eastAsia="宋体" w:cs="Times New Roman"/>
          <w:b/>
          <w:color w:val="000000"/>
          <w:spacing w:val="5"/>
          <w:kern w:val="0"/>
          <w:sz w:val="21"/>
          <w:szCs w:val="20"/>
        </w:rPr>
        <w:t>表2.8-2  项目沿线生态区段划分</w:t>
      </w:r>
    </w:p>
    <w:tbl>
      <w:tblPr>
        <w:tblStyle w:val="22"/>
        <w:tblW w:w="5049" w:type="pct"/>
        <w:jc w:val="center"/>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662"/>
        <w:gridCol w:w="2127"/>
        <w:gridCol w:w="5016"/>
      </w:tblGrid>
      <w:tr w14:paraId="08F0681F">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944" w:type="pct"/>
            <w:vAlign w:val="center"/>
          </w:tcPr>
          <w:p w14:paraId="52E32DA8">
            <w:pPr>
              <w:adjustRightInd w:val="0"/>
              <w:snapToGrid w:val="0"/>
              <w:spacing w:line="240" w:lineRule="auto"/>
              <w:ind w:left="-106" w:leftChars="-51" w:right="-107" w:rightChars="-51" w:hanging="1" w:firstLineChars="0"/>
              <w:jc w:val="center"/>
              <w:rPr>
                <w:rFonts w:ascii="Times New Roman" w:hAnsi="Times New Roman" w:eastAsia="宋体" w:cs="Times New Roman"/>
                <w:b/>
                <w:bCs/>
                <w:color w:val="000000"/>
                <w:sz w:val="21"/>
                <w:szCs w:val="21"/>
              </w:rPr>
            </w:pPr>
            <w:bookmarkStart w:id="351" w:name="OLE_LINK20"/>
            <w:r>
              <w:rPr>
                <w:rFonts w:ascii="Times New Roman" w:hAnsi="Times New Roman" w:eastAsia="宋体" w:cs="Times New Roman"/>
                <w:b/>
                <w:bCs/>
                <w:color w:val="000000"/>
                <w:sz w:val="21"/>
                <w:szCs w:val="21"/>
              </w:rPr>
              <w:t>生态区段名称</w:t>
            </w:r>
          </w:p>
        </w:tc>
        <w:tc>
          <w:tcPr>
            <w:tcW w:w="1207" w:type="pct"/>
            <w:vAlign w:val="center"/>
          </w:tcPr>
          <w:p w14:paraId="705B6975">
            <w:pPr>
              <w:adjustRightInd w:val="0"/>
              <w:snapToGrid w:val="0"/>
              <w:spacing w:line="240" w:lineRule="auto"/>
              <w:ind w:firstLine="0" w:firstLineChars="0"/>
              <w:jc w:val="center"/>
              <w:rPr>
                <w:rFonts w:ascii="Times New Roman" w:hAnsi="Times New Roman" w:eastAsia="宋体" w:cs="Times New Roman"/>
                <w:b/>
                <w:bCs/>
                <w:color w:val="000000"/>
                <w:sz w:val="21"/>
                <w:szCs w:val="21"/>
              </w:rPr>
            </w:pPr>
            <w:r>
              <w:rPr>
                <w:rFonts w:ascii="Times New Roman" w:hAnsi="Times New Roman" w:eastAsia="宋体" w:cs="Times New Roman"/>
                <w:b/>
                <w:bCs/>
                <w:color w:val="000000"/>
                <w:kern w:val="0"/>
                <w:sz w:val="21"/>
                <w:szCs w:val="21"/>
              </w:rPr>
              <w:t>起讫桩号</w:t>
            </w:r>
          </w:p>
        </w:tc>
        <w:tc>
          <w:tcPr>
            <w:tcW w:w="2847" w:type="pct"/>
            <w:vAlign w:val="center"/>
          </w:tcPr>
          <w:p w14:paraId="7DE9AF20">
            <w:pPr>
              <w:adjustRightInd w:val="0"/>
              <w:snapToGrid w:val="0"/>
              <w:spacing w:line="240" w:lineRule="auto"/>
              <w:ind w:firstLine="0" w:firstLineChars="0"/>
              <w:jc w:val="center"/>
              <w:rPr>
                <w:rFonts w:ascii="Times New Roman" w:hAnsi="Times New Roman" w:eastAsia="宋体" w:cs="Times New Roman"/>
                <w:b/>
                <w:bCs/>
                <w:color w:val="000000"/>
                <w:sz w:val="21"/>
                <w:szCs w:val="21"/>
              </w:rPr>
            </w:pPr>
            <w:r>
              <w:rPr>
                <w:rFonts w:ascii="Times New Roman" w:hAnsi="Times New Roman" w:eastAsia="宋体" w:cs="Times New Roman"/>
                <w:b/>
                <w:bCs/>
                <w:color w:val="000000"/>
                <w:sz w:val="21"/>
                <w:szCs w:val="21"/>
              </w:rPr>
              <w:t>生态特征</w:t>
            </w:r>
          </w:p>
        </w:tc>
      </w:tr>
      <w:tr w14:paraId="006DA7BD">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944" w:type="pct"/>
            <w:vAlign w:val="center"/>
          </w:tcPr>
          <w:p w14:paraId="09D72CBB">
            <w:pPr>
              <w:adjustRightInd w:val="0"/>
              <w:snapToGrid w:val="0"/>
              <w:spacing w:line="240" w:lineRule="auto"/>
              <w:ind w:firstLine="0" w:firstLineChars="0"/>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平原绿洲农田生态段</w:t>
            </w:r>
          </w:p>
        </w:tc>
        <w:tc>
          <w:tcPr>
            <w:tcW w:w="1207" w:type="pct"/>
            <w:vAlign w:val="center"/>
          </w:tcPr>
          <w:p w14:paraId="1EDBAFA4">
            <w:pPr>
              <w:adjustRightInd w:val="0"/>
              <w:snapToGrid w:val="0"/>
              <w:spacing w:line="240" w:lineRule="auto"/>
              <w:ind w:firstLine="0" w:firstLineChars="0"/>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K1+100~K4+100、K6+500~K11+000、K19+000~K24+900、K25+200~终点</w:t>
            </w:r>
          </w:p>
        </w:tc>
        <w:tc>
          <w:tcPr>
            <w:tcW w:w="2847" w:type="pct"/>
            <w:vAlign w:val="center"/>
          </w:tcPr>
          <w:p w14:paraId="6CEDF8C6">
            <w:pPr>
              <w:adjustRightInd w:val="0"/>
              <w:snapToGrid w:val="0"/>
              <w:spacing w:line="240" w:lineRule="auto"/>
              <w:ind w:firstLine="0" w:firstLineChars="0"/>
              <w:jc w:val="both"/>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农村居民点、农田和农田防护林带，土地利用以棉花、小麦、玉米耕地为主，配套完善的灌溉渠系，以农作物和人工种植的新疆杨、白榆为主</w:t>
            </w:r>
          </w:p>
        </w:tc>
      </w:tr>
      <w:tr w14:paraId="1AB57FDF">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944" w:type="pct"/>
            <w:vAlign w:val="center"/>
          </w:tcPr>
          <w:p w14:paraId="09C8AF0B">
            <w:pPr>
              <w:adjustRightInd w:val="0"/>
              <w:snapToGrid w:val="0"/>
              <w:spacing w:line="240" w:lineRule="auto"/>
              <w:ind w:firstLine="0" w:firstLineChars="0"/>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绿洲防护林生态段</w:t>
            </w:r>
          </w:p>
        </w:tc>
        <w:tc>
          <w:tcPr>
            <w:tcW w:w="1207" w:type="pct"/>
            <w:vAlign w:val="center"/>
          </w:tcPr>
          <w:p w14:paraId="72EFE102">
            <w:pPr>
              <w:adjustRightInd w:val="0"/>
              <w:snapToGrid w:val="0"/>
              <w:spacing w:line="240" w:lineRule="auto"/>
              <w:ind w:firstLine="0" w:firstLineChars="0"/>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K19+000~K24+900、K25+200~终点</w:t>
            </w:r>
          </w:p>
        </w:tc>
        <w:tc>
          <w:tcPr>
            <w:tcW w:w="2847" w:type="pct"/>
            <w:vAlign w:val="center"/>
          </w:tcPr>
          <w:p w14:paraId="7797EEEA">
            <w:pPr>
              <w:adjustRightInd w:val="0"/>
              <w:snapToGrid w:val="0"/>
              <w:spacing w:line="240" w:lineRule="auto"/>
              <w:ind w:firstLine="0" w:firstLineChars="0"/>
              <w:jc w:val="both"/>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穿插分布于农田边缘、道路两侧、灌溉渠系沿岸，以人工种植的新疆杨、白榆为主</w:t>
            </w:r>
          </w:p>
        </w:tc>
      </w:tr>
      <w:tr w14:paraId="52E50489">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944" w:type="pct"/>
            <w:vAlign w:val="center"/>
          </w:tcPr>
          <w:p w14:paraId="3FF7410A">
            <w:pPr>
              <w:adjustRightInd w:val="0"/>
              <w:snapToGrid w:val="0"/>
              <w:spacing w:line="240" w:lineRule="auto"/>
              <w:ind w:firstLine="0" w:firstLineChars="0"/>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绿洲-盐碱地过渡生态段</w:t>
            </w:r>
          </w:p>
        </w:tc>
        <w:tc>
          <w:tcPr>
            <w:tcW w:w="1207" w:type="pct"/>
            <w:vAlign w:val="center"/>
          </w:tcPr>
          <w:p w14:paraId="0B86EADD">
            <w:pPr>
              <w:adjustRightInd w:val="0"/>
              <w:snapToGrid w:val="0"/>
              <w:spacing w:line="240" w:lineRule="auto"/>
              <w:ind w:firstLine="0" w:firstLineChars="0"/>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K4+100~K6+500、</w:t>
            </w:r>
          </w:p>
          <w:p w14:paraId="51ECC5AC">
            <w:pPr>
              <w:adjustRightInd w:val="0"/>
              <w:snapToGrid w:val="0"/>
              <w:spacing w:line="240" w:lineRule="auto"/>
              <w:ind w:firstLine="0" w:firstLineChars="0"/>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K11+000~K14+000</w:t>
            </w:r>
          </w:p>
        </w:tc>
        <w:tc>
          <w:tcPr>
            <w:tcW w:w="2847" w:type="pct"/>
            <w:vAlign w:val="center"/>
          </w:tcPr>
          <w:p w14:paraId="036849D4">
            <w:pPr>
              <w:adjustRightInd w:val="0"/>
              <w:snapToGrid w:val="0"/>
              <w:spacing w:line="240" w:lineRule="auto"/>
              <w:ind w:firstLine="0" w:firstLineChars="0"/>
              <w:jc w:val="both"/>
              <w:rPr>
                <w:rFonts w:ascii="Times New Roman" w:hAnsi="Times New Roman" w:eastAsia="宋体" w:cs="Times New Roman"/>
                <w:color w:val="000000"/>
                <w:sz w:val="21"/>
                <w:szCs w:val="21"/>
              </w:rPr>
            </w:pPr>
            <w:r>
              <w:rPr>
                <w:rFonts w:ascii="Times New Roman" w:hAnsi="Times New Roman" w:eastAsia="宋体" w:cs="Times New Roman"/>
                <w:color w:val="000000"/>
                <w:spacing w:val="-6"/>
                <w:sz w:val="21"/>
                <w:szCs w:val="21"/>
              </w:rPr>
              <w:t>分布于连片绿洲外围，是绿洲与重盐碱地的过渡带，以柽柳、盐爪爪、骆驼刺等盐生灌木和草本为主</w:t>
            </w:r>
          </w:p>
        </w:tc>
      </w:tr>
      <w:bookmarkEnd w:id="351"/>
      <w:tr w14:paraId="32D88C18">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944" w:type="pct"/>
            <w:vAlign w:val="center"/>
          </w:tcPr>
          <w:p w14:paraId="4DB45983">
            <w:pPr>
              <w:adjustRightInd w:val="0"/>
              <w:snapToGrid w:val="0"/>
              <w:spacing w:line="240" w:lineRule="auto"/>
              <w:ind w:firstLine="0" w:firstLineChars="0"/>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硫酸盐型重盐碱地生态段</w:t>
            </w:r>
          </w:p>
        </w:tc>
        <w:tc>
          <w:tcPr>
            <w:tcW w:w="1207" w:type="pct"/>
            <w:vAlign w:val="center"/>
          </w:tcPr>
          <w:p w14:paraId="1ADAE1AA">
            <w:pPr>
              <w:adjustRightInd w:val="0"/>
              <w:snapToGrid w:val="0"/>
              <w:spacing w:line="240" w:lineRule="auto"/>
              <w:ind w:firstLine="0" w:firstLineChars="0"/>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K0+000~K1+100</w:t>
            </w:r>
          </w:p>
        </w:tc>
        <w:tc>
          <w:tcPr>
            <w:tcW w:w="2847" w:type="pct"/>
            <w:vAlign w:val="center"/>
          </w:tcPr>
          <w:p w14:paraId="5A0FFFE3">
            <w:pPr>
              <w:adjustRightInd w:val="0"/>
              <w:snapToGrid w:val="0"/>
              <w:spacing w:line="240" w:lineRule="auto"/>
              <w:ind w:firstLine="0" w:firstLineChars="0"/>
              <w:jc w:val="both"/>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分布于远离绿洲的未利用地区域，植被覆盖度 &lt; 10%，仅零星分布碱蓬等极耐盐草本</w:t>
            </w:r>
          </w:p>
        </w:tc>
      </w:tr>
      <w:tr w14:paraId="1A556684">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944" w:type="pct"/>
            <w:vAlign w:val="center"/>
          </w:tcPr>
          <w:p w14:paraId="38834C63">
            <w:pPr>
              <w:adjustRightInd w:val="0"/>
              <w:snapToGrid w:val="0"/>
              <w:spacing w:line="240" w:lineRule="auto"/>
              <w:ind w:firstLine="0" w:firstLineChars="0"/>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低洼盐沼生态段</w:t>
            </w:r>
          </w:p>
        </w:tc>
        <w:tc>
          <w:tcPr>
            <w:tcW w:w="1207" w:type="pct"/>
            <w:vAlign w:val="center"/>
          </w:tcPr>
          <w:p w14:paraId="20163960">
            <w:pPr>
              <w:adjustRightInd w:val="0"/>
              <w:snapToGrid w:val="0"/>
              <w:spacing w:line="240" w:lineRule="auto"/>
              <w:ind w:firstLine="0" w:firstLineChars="0"/>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K14+000~K19+000、K24+900~K25+200</w:t>
            </w:r>
          </w:p>
        </w:tc>
        <w:tc>
          <w:tcPr>
            <w:tcW w:w="2847" w:type="pct"/>
            <w:vAlign w:val="center"/>
          </w:tcPr>
          <w:p w14:paraId="0FA3CF53">
            <w:pPr>
              <w:adjustRightInd w:val="0"/>
              <w:snapToGrid w:val="0"/>
              <w:spacing w:line="240" w:lineRule="auto"/>
              <w:ind w:firstLine="0" w:firstLineChars="0"/>
              <w:jc w:val="both"/>
              <w:rPr>
                <w:rFonts w:ascii="Times New Roman" w:hAnsi="Times New Roman" w:eastAsia="宋体" w:cs="Times New Roman"/>
                <w:color w:val="000000"/>
                <w:sz w:val="21"/>
                <w:szCs w:val="21"/>
              </w:rPr>
            </w:pPr>
            <w:r>
              <w:rPr>
                <w:rFonts w:ascii="Times New Roman" w:hAnsi="Times New Roman" w:eastAsia="宋体" w:cs="Times New Roman"/>
                <w:color w:val="000000"/>
                <w:spacing w:val="-4"/>
                <w:sz w:val="21"/>
                <w:szCs w:val="21"/>
              </w:rPr>
              <w:t>零星分布于局部汇水低洼地带，植被覆盖度30%</w:t>
            </w:r>
            <w:r>
              <w:rPr>
                <w:rFonts w:hint="default" w:ascii="Times New Roman" w:hAnsi="Times New Roman" w:eastAsia="宋体" w:cs="Times New Roman"/>
                <w:color w:val="000000"/>
                <w:spacing w:val="-4"/>
                <w:sz w:val="21"/>
                <w:szCs w:val="21"/>
              </w:rPr>
              <w:t>~</w:t>
            </w:r>
            <w:r>
              <w:rPr>
                <w:rFonts w:ascii="Times New Roman" w:hAnsi="Times New Roman" w:eastAsia="宋体" w:cs="Times New Roman"/>
                <w:color w:val="000000"/>
                <w:spacing w:val="-4"/>
                <w:sz w:val="21"/>
                <w:szCs w:val="21"/>
              </w:rPr>
              <w:t>50%，以芦苇、香蒲等沼生盐生植物为主；是沿线主要的小型湿地，为鸟类、两栖类提供栖息环境</w:t>
            </w:r>
          </w:p>
        </w:tc>
      </w:tr>
      <w:bookmarkEnd w:id="347"/>
    </w:tbl>
    <w:p w14:paraId="2B9F2311">
      <w:pPr>
        <w:keepNext/>
        <w:keepLines/>
        <w:widowControl w:val="0"/>
        <w:numPr>
          <w:ilvl w:val="1"/>
          <w:numId w:val="13"/>
        </w:numPr>
        <w:spacing w:before="240" w:after="240" w:line="240" w:lineRule="auto"/>
        <w:ind w:firstLine="200" w:firstLineChars="0"/>
        <w:jc w:val="both"/>
        <w:outlineLvl w:val="1"/>
        <w:rPr>
          <w:rFonts w:ascii="Times New Roman" w:hAnsi="Times New Roman" w:eastAsia="宋体" w:cs="Times New Roman"/>
          <w:b/>
          <w:bCs/>
          <w:color w:val="000000"/>
          <w:kern w:val="2"/>
          <w:sz w:val="28"/>
          <w:szCs w:val="32"/>
          <w:lang w:val="en-US" w:eastAsia="zh-CN" w:bidi="ar-SA"/>
        </w:rPr>
      </w:pPr>
      <w:bookmarkStart w:id="352" w:name="_Toc219363413"/>
      <w:bookmarkStart w:id="353" w:name="_Toc15008"/>
      <w:r>
        <w:rPr>
          <w:rFonts w:ascii="Times New Roman" w:hAnsi="Times New Roman" w:eastAsia="宋体" w:cs="Times New Roman"/>
          <w:b/>
          <w:bCs/>
          <w:color w:val="000000"/>
          <w:kern w:val="2"/>
          <w:sz w:val="28"/>
          <w:szCs w:val="32"/>
          <w:lang w:val="en-US" w:eastAsia="zh-CN" w:bidi="ar-SA"/>
        </w:rPr>
        <w:t>农业生态现状与评价</w:t>
      </w:r>
      <w:bookmarkEnd w:id="352"/>
      <w:bookmarkEnd w:id="353"/>
    </w:p>
    <w:p w14:paraId="13111C58">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1. 农业产业结构</w:t>
      </w:r>
    </w:p>
    <w:p w14:paraId="4B342A61">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拟建公路沿线位于</w:t>
      </w:r>
      <w:r>
        <w:rPr>
          <w:rFonts w:ascii="Times New Roman" w:hAnsi="Times New Roman" w:eastAsia="宋体" w:cs="Times New Roman"/>
          <w:color w:val="000000"/>
          <w:kern w:val="0"/>
          <w:sz w:val="24"/>
          <w:szCs w:val="24"/>
        </w:rPr>
        <w:t>新疆生产建设兵团草湖项目区红旗农场以及新疆维吾尔自治区克孜勒苏柯尔克孜自治州阿图什市，喀什地区伽师县、岳普湖县境内</w:t>
      </w:r>
      <w:r>
        <w:rPr>
          <w:rFonts w:ascii="Times New Roman" w:hAnsi="Times New Roman" w:eastAsia="宋体" w:cs="Times New Roman"/>
          <w:color w:val="000000"/>
          <w:sz w:val="24"/>
          <w:szCs w:val="22"/>
        </w:rPr>
        <w:t>。</w:t>
      </w:r>
    </w:p>
    <w:p w14:paraId="2A70905E">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喀什地区伽师县是“中国伽师瓜之乡”，伽师瓜为国家地理标志保护产品，是县域特色农业核心品牌；粮食作物以小麦、玉米为主，保障基本口粮供给；棉花为支柱经济作物，是农户核心收入来源；林果业以新梅、酸梅、红枣为重点，形成规模化特色果品产业；畜牧业以牛、羊等草食家畜养殖为主，散养与规模化模式并存。喀什地区岳普湖县属下游绿洲农业区，棉花是第一大经济作物，种植规模化程度较高；粮食推行冬小麦+复播玉米“一年两熟”模式；特色林果以红枣、核桃为核心，是南疆红枣主产区之一；小茴香为地方特色经济作物，畜牧业以</w:t>
      </w:r>
      <w:r>
        <w:rPr>
          <w:rFonts w:hint="eastAsia" w:ascii="Times New Roman" w:hAnsi="Times New Roman" w:eastAsia="宋体" w:cs="Times New Roman"/>
          <w:color w:val="000000"/>
          <w:sz w:val="24"/>
          <w:szCs w:val="22"/>
          <w:lang w:eastAsia="zh-CN"/>
        </w:rPr>
        <w:t>南疆</w:t>
      </w:r>
      <w:r>
        <w:rPr>
          <w:rFonts w:ascii="Times New Roman" w:hAnsi="Times New Roman" w:eastAsia="宋体" w:cs="Times New Roman"/>
          <w:color w:val="000000"/>
          <w:sz w:val="24"/>
          <w:szCs w:val="22"/>
        </w:rPr>
        <w:t>驴、牛、羊养殖为特色，“岳普湖驴”为地方知名品种。克孜勒苏柯尔克孜自治州阿图什市呈现平原绿洲农业+山区牧业的二元结构，平原区粮食以小麦、玉米为主，配套种植棉花、油料；特色林果优势突出，阿图什木纳格葡萄、阿图什无花果均为国家地理标志产品，种植历史久、市场知名度高；山区以柯尔克孜族传统游牧业为主，养殖绵羊、牦牛等；城郊布局设施农业，种植蔬菜保障本地民生供应。新疆生产建设兵团草湖项目区红旗农场作为兵团垦区，农业集约化、机械化、标准化水平显著高于地方县域，以大田种植为核心：主导产业为标准化机采棉，全面推广节水滴灌技术，单产与品质优势突出；粮食实行小麦、玉米轮作，落实稳产保供任务；林果以红枣、核桃、苹果标准化种植为主，配套产后初加工；同步发展规模化牛羊养殖，结合饲草基地形成种养结合的生产体系。</w:t>
      </w:r>
    </w:p>
    <w:p w14:paraId="5C4FC4D0">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整体来看，沿线农业以灌溉农业为基础，棉花、特色林果是区域农业经济的核心支撑，产业布局与绿洲分布高度契合。</w:t>
      </w:r>
    </w:p>
    <w:p w14:paraId="4A329000">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2. 主要农作物生产情况</w:t>
      </w:r>
    </w:p>
    <w:p w14:paraId="10CB1ADB">
      <w:pPr>
        <w:spacing w:line="300" w:lineRule="auto"/>
        <w:ind w:firstLine="480" w:firstLineChars="200"/>
        <w:rPr>
          <w:rFonts w:ascii="Times New Roman" w:hAnsi="Times New Roman" w:eastAsia="宋体" w:cs="Times New Roman"/>
          <w:color w:val="000000"/>
          <w:sz w:val="24"/>
          <w:szCs w:val="22"/>
        </w:rPr>
      </w:pPr>
      <w:bookmarkStart w:id="354" w:name="_Hlk42244715"/>
      <w:r>
        <w:rPr>
          <w:rFonts w:ascii="Times New Roman" w:hAnsi="Times New Roman" w:eastAsia="宋体" w:cs="Times New Roman"/>
          <w:color w:val="000000"/>
          <w:sz w:val="24"/>
          <w:szCs w:val="22"/>
        </w:rPr>
        <w:t>拟建公路沿线地区农作物</w:t>
      </w:r>
      <w:bookmarkEnd w:id="354"/>
      <w:r>
        <w:rPr>
          <w:rFonts w:ascii="Times New Roman" w:hAnsi="Times New Roman" w:eastAsia="宋体" w:cs="Times New Roman"/>
          <w:color w:val="000000"/>
          <w:sz w:val="24"/>
          <w:szCs w:val="22"/>
        </w:rPr>
        <w:t>主要种植的农作物以小麦、玉米、棉花为主，还有水稻、大麦、高粱、胡麻、葵花、花生、芝麻、小茴香等；果树有桃、杏、梨、苹果、葡萄、无花果、石榴、核桃等。</w:t>
      </w:r>
    </w:p>
    <w:p w14:paraId="5AD208A4">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3. 基本农田保护情况</w:t>
      </w:r>
    </w:p>
    <w:bookmarkEnd w:id="337"/>
    <w:p w14:paraId="39D90936">
      <w:pPr>
        <w:spacing w:line="300" w:lineRule="auto"/>
        <w:ind w:firstLine="480" w:firstLineChars="200"/>
        <w:rPr>
          <w:rFonts w:ascii="Times New Roman" w:hAnsi="Times New Roman" w:eastAsia="宋体" w:cs="Times New Roman"/>
          <w:color w:val="000000"/>
          <w:sz w:val="24"/>
          <w:szCs w:val="22"/>
        </w:rPr>
      </w:pPr>
      <w:bookmarkStart w:id="355" w:name="_Hlk235018915"/>
      <w:bookmarkStart w:id="356" w:name="_Toc219363414"/>
      <w:bookmarkStart w:id="357" w:name="_Toc375136916"/>
      <w:r>
        <w:rPr>
          <w:rFonts w:ascii="Times New Roman" w:hAnsi="Times New Roman" w:eastAsia="宋体" w:cs="Times New Roman"/>
          <w:color w:val="000000"/>
          <w:sz w:val="24"/>
          <w:szCs w:val="22"/>
        </w:rPr>
        <w:t>项目区涉及的克孜勒苏柯尔克孜自治州阿图什市、喀什地区伽师县、岳普湖县</w:t>
      </w:r>
      <w:bookmarkEnd w:id="355"/>
      <w:r>
        <w:rPr>
          <w:rFonts w:ascii="Times New Roman" w:hAnsi="Times New Roman" w:eastAsia="宋体" w:cs="Times New Roman"/>
          <w:color w:val="000000"/>
          <w:sz w:val="24"/>
          <w:szCs w:val="22"/>
        </w:rPr>
        <w:t>均为新疆重要的粮棉主产区，严格落实国家最严格的耕地保护制度，永久基本农田主要分布在平原绿洲区，集中连片，以灌溉耕地为主。</w:t>
      </w:r>
    </w:p>
    <w:p w14:paraId="564339FA">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空间分布：项目沿线永久基本农田均集中分布在地势平坦、水源充足的平原绿洲区，主要沿河流、灌溉渠系分布，呈条带状或片状集中连片。</w:t>
      </w:r>
    </w:p>
    <w:p w14:paraId="6C141218">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种植结构：主要种植小麦、玉米等粮食作物和棉花、无花果等经济作物，其中伽师县拥有294.6万亩富硒土地，其中富硒耕地128.1万亩，是喀什地区富硒耕地面积最大的县。</w:t>
      </w:r>
    </w:p>
    <w:p w14:paraId="59072099">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根据相关资料及沿线土地利用现状调查，拟建公路基本沿现有G219进行改扩建，优先利用原有公路用地，尽量避让永久基本农田集中区。</w:t>
      </w:r>
    </w:p>
    <w:p w14:paraId="017A6D6B">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项目占用的耕地主要为一般耕地，不涉及永久基本农田占用。项目施工期临时用地优先选择未利用盐碱地和荒地，不占用永久基本农田。拟建公路沿线基本农田分布情况见附图13。</w:t>
      </w:r>
    </w:p>
    <w:p w14:paraId="3310238A">
      <w:pPr>
        <w:keepNext/>
        <w:keepLines/>
        <w:widowControl w:val="0"/>
        <w:numPr>
          <w:ilvl w:val="1"/>
          <w:numId w:val="13"/>
        </w:numPr>
        <w:spacing w:before="240" w:after="240" w:line="240" w:lineRule="auto"/>
        <w:ind w:firstLine="200" w:firstLineChars="0"/>
        <w:jc w:val="both"/>
        <w:outlineLvl w:val="1"/>
        <w:rPr>
          <w:rFonts w:ascii="Times New Roman" w:hAnsi="Times New Roman" w:eastAsia="宋体" w:cs="Times New Roman"/>
          <w:b/>
          <w:bCs/>
          <w:color w:val="000000"/>
          <w:kern w:val="2"/>
          <w:sz w:val="28"/>
          <w:szCs w:val="32"/>
          <w:lang w:val="en-US" w:eastAsia="zh-CN" w:bidi="ar-SA"/>
        </w:rPr>
      </w:pPr>
      <w:bookmarkStart w:id="358" w:name="_Toc19644"/>
      <w:r>
        <w:rPr>
          <w:rFonts w:ascii="Times New Roman" w:hAnsi="Times New Roman" w:eastAsia="宋体" w:cs="Times New Roman"/>
          <w:b/>
          <w:bCs/>
          <w:color w:val="000000"/>
          <w:kern w:val="2"/>
          <w:sz w:val="28"/>
          <w:szCs w:val="32"/>
          <w:lang w:val="en-US" w:eastAsia="zh-CN" w:bidi="ar-SA"/>
        </w:rPr>
        <w:t>土地沙化现状</w:t>
      </w:r>
      <w:bookmarkEnd w:id="356"/>
      <w:bookmarkEnd w:id="358"/>
    </w:p>
    <w:p w14:paraId="2311437E">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项目区行政区划隶属</w:t>
      </w:r>
      <w:r>
        <w:rPr>
          <w:rFonts w:ascii="Times New Roman" w:hAnsi="Times New Roman" w:eastAsia="宋体" w:cs="Times New Roman"/>
          <w:color w:val="000000"/>
          <w:kern w:val="0"/>
          <w:sz w:val="24"/>
          <w:szCs w:val="24"/>
        </w:rPr>
        <w:t>新疆生产建设兵团草湖项目区红旗农场以及新疆维吾尔自治区克孜勒苏柯尔克孜自治州阿图什市，喀什地区伽师县、岳普湖县</w:t>
      </w:r>
      <w:r>
        <w:rPr>
          <w:rFonts w:ascii="Times New Roman" w:hAnsi="Times New Roman" w:eastAsia="宋体" w:cs="Times New Roman"/>
          <w:color w:val="000000"/>
          <w:sz w:val="24"/>
          <w:szCs w:val="22"/>
        </w:rPr>
        <w:t>。拟建公路跨越</w:t>
      </w:r>
      <w:r>
        <w:rPr>
          <w:rFonts w:hint="eastAsia" w:ascii="Times New Roman" w:hAnsi="Times New Roman" w:eastAsia="宋体" w:cs="Times New Roman"/>
          <w:color w:val="000000"/>
          <w:sz w:val="24"/>
          <w:szCs w:val="22"/>
          <w:lang w:val="en-US" w:eastAsia="zh-CN"/>
        </w:rPr>
        <w:t>水体1</w:t>
      </w:r>
      <w:r>
        <w:rPr>
          <w:rFonts w:ascii="Times New Roman" w:hAnsi="Times New Roman" w:eastAsia="宋体" w:cs="Times New Roman"/>
          <w:color w:val="000000"/>
          <w:sz w:val="24"/>
          <w:szCs w:val="22"/>
        </w:rPr>
        <w:t>，路线经过区域水分条件相对较好，植被覆盖率较高，主要为人工栽培植被，包括农田和人工林，天然植物主要为以多枝柽柳、柽柳、琵琶柴、沙拐枣、骆驼刺、盐爪爪等构成的天然灌丛和以芨芨草、碱蓬等构成的草原植被。拟建公路K0+000~K1+100、K4+100~K6+500、K11+000~K14+000段穿越沙化土地，共6.5km，约占戈壁类型沙化土地15.68hm</w:t>
      </w:r>
      <w:r>
        <w:rPr>
          <w:rFonts w:ascii="Times New Roman" w:hAnsi="Times New Roman" w:eastAsia="宋体" w:cs="Times New Roman"/>
          <w:color w:val="000000"/>
          <w:sz w:val="24"/>
          <w:szCs w:val="22"/>
          <w:vertAlign w:val="superscript"/>
        </w:rPr>
        <w:t>2</w:t>
      </w:r>
      <w:r>
        <w:rPr>
          <w:rFonts w:ascii="Times New Roman" w:hAnsi="Times New Roman" w:eastAsia="宋体" w:cs="Times New Roman"/>
          <w:color w:val="000000"/>
          <w:sz w:val="24"/>
          <w:szCs w:val="22"/>
        </w:rPr>
        <w:t>。根据《新疆第六次沙化监测报告》（2021年12月），该区域沙化土地程度未发生明显变化，沙化土地植被盖度小于10%。在径流冲刷或风力作用导致土壤颗粒重新排列，细颗粒填充孔隙，形成紧实的物理性结皮，颜色多为浅黄或灰白色，表面无植被覆盖。</w:t>
      </w:r>
      <w:bookmarkStart w:id="359" w:name="OLE_LINK60"/>
      <w:r>
        <w:rPr>
          <w:rFonts w:hint="eastAsia" w:ascii="Times New Roman" w:hAnsi="Times New Roman" w:eastAsia="宋体" w:cs="Times New Roman"/>
          <w:color w:val="000000"/>
          <w:sz w:val="24"/>
          <w:szCs w:val="22"/>
        </w:rPr>
        <w:t>项目</w:t>
      </w:r>
      <w:r>
        <w:rPr>
          <w:rFonts w:ascii="Times New Roman" w:hAnsi="Times New Roman" w:eastAsia="宋体" w:cs="Times New Roman"/>
          <w:color w:val="000000"/>
          <w:sz w:val="24"/>
          <w:szCs w:val="22"/>
        </w:rPr>
        <w:t>沿线属地已持续实施三北防护林、塔里木盆地周边防沙治沙、退耕还林还草等重点生态工程，初步建成</w:t>
      </w:r>
      <w:r>
        <w:rPr>
          <w:rFonts w:hint="eastAsia" w:ascii="Times New Roman" w:hAnsi="Times New Roman" w:eastAsia="宋体" w:cs="Times New Roman"/>
          <w:color w:val="000000"/>
          <w:sz w:val="24"/>
          <w:szCs w:val="22"/>
        </w:rPr>
        <w:t>“</w:t>
      </w:r>
      <w:r>
        <w:rPr>
          <w:rFonts w:ascii="Times New Roman" w:hAnsi="Times New Roman" w:eastAsia="宋体" w:cs="Times New Roman"/>
          <w:color w:val="000000"/>
          <w:sz w:val="24"/>
          <w:szCs w:val="22"/>
        </w:rPr>
        <w:t>绿洲内部农田林网 — 绿洲外缘防风固沙林带 — 荒漠天然植被</w:t>
      </w:r>
      <w:r>
        <w:rPr>
          <w:rFonts w:hint="eastAsia" w:ascii="Times New Roman" w:hAnsi="Times New Roman" w:eastAsia="宋体" w:cs="Times New Roman"/>
          <w:color w:val="000000"/>
          <w:sz w:val="24"/>
          <w:szCs w:val="22"/>
        </w:rPr>
        <w:t>”</w:t>
      </w:r>
      <w:r>
        <w:rPr>
          <w:rFonts w:ascii="Times New Roman" w:hAnsi="Times New Roman" w:eastAsia="宋体" w:cs="Times New Roman"/>
          <w:color w:val="000000"/>
          <w:sz w:val="24"/>
          <w:szCs w:val="22"/>
        </w:rPr>
        <w:t xml:space="preserve"> 的梯级防护体系。根据监测成果，项目所在区域人工固定、半固定沙地面积持续增长，植被覆盖度稳步提升，区域防沙治沙体系为</w:t>
      </w:r>
      <w:r>
        <w:rPr>
          <w:rFonts w:hint="eastAsia" w:ascii="Times New Roman" w:hAnsi="Times New Roman" w:eastAsia="宋体" w:cs="Times New Roman"/>
          <w:color w:val="000000"/>
          <w:sz w:val="24"/>
          <w:szCs w:val="22"/>
          <w:lang w:eastAsia="zh-CN"/>
        </w:rPr>
        <w:t>拟建公路</w:t>
      </w:r>
      <w:r>
        <w:rPr>
          <w:rFonts w:ascii="Times New Roman" w:hAnsi="Times New Roman" w:eastAsia="宋体" w:cs="Times New Roman"/>
          <w:color w:val="000000"/>
          <w:sz w:val="24"/>
          <w:szCs w:val="22"/>
        </w:rPr>
        <w:t>沙化防控提供了成熟的技术模式与生态基底。</w:t>
      </w:r>
    </w:p>
    <w:bookmarkEnd w:id="359"/>
    <w:p w14:paraId="6856FCA8">
      <w:pPr>
        <w:spacing w:line="300" w:lineRule="auto"/>
        <w:ind w:firstLine="480" w:firstLineChars="200"/>
        <w:rPr>
          <w:rFonts w:hint="default" w:ascii="Times New Roman" w:hAnsi="Times New Roman" w:eastAsia="宋体" w:cs="Times New Roman"/>
          <w:color w:val="000000"/>
          <w:sz w:val="24"/>
          <w:szCs w:val="22"/>
        </w:rPr>
      </w:pPr>
      <w:r>
        <w:rPr>
          <w:rFonts w:hint="eastAsia" w:ascii="Times New Roman" w:hAnsi="Times New Roman" w:eastAsia="宋体" w:cs="Times New Roman"/>
          <w:color w:val="000000"/>
          <w:sz w:val="24"/>
          <w:szCs w:val="22"/>
          <w:lang w:val="en-US" w:eastAsia="zh-CN"/>
        </w:rPr>
        <w:t xml:space="preserve">1. </w:t>
      </w:r>
      <w:r>
        <w:rPr>
          <w:rFonts w:hint="default" w:ascii="Times New Roman" w:hAnsi="Times New Roman" w:eastAsia="宋体" w:cs="Times New Roman"/>
          <w:color w:val="000000"/>
          <w:sz w:val="24"/>
          <w:szCs w:val="22"/>
        </w:rPr>
        <w:t>《全国防沙治沙规划（2021-2030年）》</w:t>
      </w:r>
    </w:p>
    <w:p w14:paraId="6C27A899">
      <w:pPr>
        <w:spacing w:line="300" w:lineRule="auto"/>
        <w:ind w:firstLine="480" w:firstLineChars="200"/>
        <w:rPr>
          <w:rFonts w:hint="default" w:ascii="Times New Roman" w:hAnsi="Times New Roman" w:eastAsia="宋体" w:cs="Times New Roman"/>
          <w:color w:val="000000"/>
          <w:sz w:val="24"/>
          <w:szCs w:val="22"/>
        </w:rPr>
      </w:pPr>
      <w:r>
        <w:rPr>
          <w:rFonts w:hint="default" w:ascii="Times New Roman" w:hAnsi="Times New Roman" w:eastAsia="宋体" w:cs="Times New Roman"/>
          <w:color w:val="000000"/>
          <w:sz w:val="24"/>
          <w:szCs w:val="22"/>
        </w:rPr>
        <w:t>根据《全国防沙治沙规划（2021-2030年）》，项目区域属于干旱沙漠及绿洲类型区的塔克拉玛干沙漠及绿洲生态保护修复区，项目涉及的克孜勒苏柯尔克孜自治州阿图什市，喀什地区伽师县、岳普湖县均为重点县。</w:t>
      </w:r>
    </w:p>
    <w:p w14:paraId="487BE12E">
      <w:pPr>
        <w:spacing w:line="300" w:lineRule="auto"/>
        <w:ind w:firstLine="480" w:firstLineChars="200"/>
        <w:rPr>
          <w:rFonts w:hint="default" w:ascii="Times New Roman" w:hAnsi="Times New Roman" w:eastAsia="宋体" w:cs="Times New Roman"/>
          <w:color w:val="000000"/>
          <w:sz w:val="24"/>
          <w:szCs w:val="22"/>
        </w:rPr>
      </w:pPr>
      <w:r>
        <w:rPr>
          <w:rFonts w:hint="default" w:ascii="Times New Roman" w:hAnsi="Times New Roman" w:eastAsia="宋体" w:cs="Times New Roman"/>
          <w:color w:val="000000"/>
          <w:sz w:val="24"/>
          <w:szCs w:val="22"/>
        </w:rPr>
        <w:t>区域概况：项目区域位于新疆塔里木盆地，沙化土地面积5999.58万hm</w:t>
      </w:r>
      <w:r>
        <w:rPr>
          <w:rFonts w:hint="default" w:ascii="Times New Roman" w:hAnsi="Times New Roman" w:eastAsia="宋体" w:cs="Times New Roman"/>
          <w:color w:val="000000"/>
          <w:sz w:val="24"/>
          <w:szCs w:val="22"/>
          <w:vertAlign w:val="superscript"/>
        </w:rPr>
        <w:t>2</w:t>
      </w:r>
      <w:r>
        <w:rPr>
          <w:rFonts w:hint="default" w:ascii="Times New Roman" w:hAnsi="Times New Roman" w:eastAsia="宋体" w:cs="Times New Roman"/>
          <w:color w:val="000000"/>
          <w:sz w:val="24"/>
          <w:szCs w:val="22"/>
        </w:rPr>
        <w:t>，大部分区域多年平均降水量不足50mm，植被稀疏。</w:t>
      </w:r>
    </w:p>
    <w:p w14:paraId="537A7541">
      <w:pPr>
        <w:spacing w:line="300" w:lineRule="auto"/>
        <w:ind w:firstLine="480" w:firstLineChars="200"/>
        <w:rPr>
          <w:rFonts w:hint="default" w:ascii="Times New Roman" w:hAnsi="Times New Roman" w:eastAsia="宋体" w:cs="Times New Roman"/>
          <w:color w:val="000000"/>
          <w:sz w:val="24"/>
          <w:szCs w:val="22"/>
        </w:rPr>
      </w:pPr>
      <w:r>
        <w:rPr>
          <w:rFonts w:hint="default" w:ascii="Times New Roman" w:hAnsi="Times New Roman" w:eastAsia="宋体" w:cs="Times New Roman"/>
          <w:color w:val="000000"/>
          <w:sz w:val="24"/>
          <w:szCs w:val="22"/>
        </w:rPr>
        <w:t>防治现状：划定一批封禁保护区；保护南疆绿洲水源区昆仑山、天山冰川和林草植被，以及胡杨、柽柳等沙漠植被；在绿洲外围，开展流动沙丘治理，建设防风固沙锁边林草带；在绿洲内部，开展农田林网更新改造，实施退地减水；继续实施流域生态输水工程，开展胡杨林等荒漠植被退化区生态补水。</w:t>
      </w:r>
    </w:p>
    <w:p w14:paraId="1BF12CC3">
      <w:pPr>
        <w:spacing w:line="300" w:lineRule="auto"/>
        <w:ind w:firstLine="480" w:firstLineChars="200"/>
        <w:rPr>
          <w:rFonts w:ascii="Times New Roman" w:hAnsi="Times New Roman" w:eastAsia="宋体" w:cs="Times New Roman"/>
          <w:color w:val="000000"/>
          <w:sz w:val="24"/>
          <w:szCs w:val="22"/>
        </w:rPr>
      </w:pPr>
      <w:r>
        <w:rPr>
          <w:rFonts w:hint="eastAsia" w:ascii="Times New Roman" w:hAnsi="Times New Roman" w:eastAsia="宋体" w:cs="Times New Roman"/>
          <w:color w:val="000000"/>
          <w:sz w:val="24"/>
          <w:szCs w:val="22"/>
          <w:lang w:val="en-US" w:eastAsia="zh-CN"/>
        </w:rPr>
        <w:t xml:space="preserve">2. </w:t>
      </w:r>
      <w:r>
        <w:rPr>
          <w:rFonts w:hint="default" w:ascii="Times New Roman" w:hAnsi="Times New Roman" w:eastAsia="宋体" w:cs="Times New Roman"/>
          <w:color w:val="000000"/>
          <w:sz w:val="24"/>
          <w:szCs w:val="22"/>
        </w:rPr>
        <w:t>《新疆维吾尔自治区防沙治沙规划（2021-2</w:t>
      </w:r>
      <w:r>
        <w:rPr>
          <w:rFonts w:ascii="Times New Roman" w:hAnsi="Times New Roman" w:eastAsia="宋体" w:cs="Times New Roman"/>
          <w:color w:val="000000"/>
          <w:sz w:val="24"/>
          <w:szCs w:val="22"/>
        </w:rPr>
        <w:t>030年）》</w:t>
      </w:r>
    </w:p>
    <w:p w14:paraId="0E4EE8C5">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根据新疆维吾尔自治区林业和草原局发布的《新疆维吾尔自治区防沙治沙规划（2021-2030年）》，项目区所在区域被划分为塔克拉玛干沙漠生态保护修复区的塔克拉玛干沙漠西缘绿洲生态保护修复小区。</w:t>
      </w:r>
    </w:p>
    <w:p w14:paraId="04447C53">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区域概况：项目区域位于新疆塔里木盆地，沙化土地面积5999.58万hm</w:t>
      </w:r>
      <w:r>
        <w:rPr>
          <w:rFonts w:ascii="Times New Roman" w:hAnsi="Times New Roman" w:eastAsia="宋体" w:cs="Times New Roman"/>
          <w:color w:val="000000"/>
          <w:sz w:val="24"/>
          <w:szCs w:val="22"/>
          <w:vertAlign w:val="superscript"/>
        </w:rPr>
        <w:t>2</w:t>
      </w:r>
      <w:r>
        <w:rPr>
          <w:rFonts w:ascii="Times New Roman" w:hAnsi="Times New Roman" w:eastAsia="宋体" w:cs="Times New Roman"/>
          <w:color w:val="000000"/>
          <w:sz w:val="24"/>
          <w:szCs w:val="22"/>
        </w:rPr>
        <w:t>，大部分区域多年平均降水量不足50mm，植被稀疏。</w:t>
      </w:r>
    </w:p>
    <w:p w14:paraId="52623CD1">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防治现状：划定一批封禁保护区，保护南疆绿洲水源区昆仑山、天山冰川和林草植被，以及胡杨、柽柳等沙漠植被。在绿洲外围，开展流动沙丘治理，建设防风固沙锁边林草带；在绿洲内部，开展农田林网更新改造，实施退地减水。继续实施流域生态输水工程，开展胡杨林等荒漠植被退化区生态补水。</w:t>
      </w:r>
    </w:p>
    <w:p w14:paraId="1DC3EE67">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主要生态问题：沙漠边缘以灌丛沙丘为主，流域分布大量胡杨和柽柳，但受自然和人为因素影响，天然植被遭到一定程度破坏，绿洲受到沙漠侵蚀。</w:t>
      </w:r>
    </w:p>
    <w:p w14:paraId="009D9C0B">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治沙方向：统筹推进森林、草原和荒漠生态系统的综合整治和自然恢复，全面保护森林、草原、荒漠、河湖、湿地、冰川等生态系统，强化天然植被保护与恢复及人工防护林体系建设。重点开展喀什地区流域荒漠生态保护及修复工程。</w:t>
      </w:r>
    </w:p>
    <w:p w14:paraId="3978156F">
      <w:pPr>
        <w:spacing w:line="300" w:lineRule="auto"/>
        <w:ind w:firstLine="480" w:firstLineChars="200"/>
        <w:rPr>
          <w:rFonts w:hint="default" w:ascii="Times New Roman" w:hAnsi="Times New Roman" w:eastAsia="宋体" w:cs="Times New Roman"/>
          <w:color w:val="000000"/>
          <w:sz w:val="24"/>
          <w:szCs w:val="22"/>
        </w:rPr>
      </w:pPr>
      <w:r>
        <w:rPr>
          <w:rFonts w:hint="eastAsia" w:ascii="Times New Roman" w:hAnsi="Times New Roman" w:eastAsia="宋体" w:cs="Times New Roman"/>
          <w:color w:val="000000"/>
          <w:sz w:val="24"/>
          <w:szCs w:val="22"/>
          <w:lang w:val="en-US" w:eastAsia="zh-CN"/>
        </w:rPr>
        <w:t xml:space="preserve">3. </w:t>
      </w:r>
      <w:r>
        <w:rPr>
          <w:rFonts w:hint="default" w:ascii="Times New Roman" w:hAnsi="Times New Roman" w:eastAsia="宋体" w:cs="Times New Roman"/>
          <w:color w:val="000000"/>
          <w:sz w:val="24"/>
          <w:szCs w:val="22"/>
        </w:rPr>
        <w:t>水土流失现状</w:t>
      </w:r>
    </w:p>
    <w:p w14:paraId="4EDB0915">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eastAsia="宋体" w:cs="Times New Roman"/>
          <w:color w:val="000000"/>
          <w:sz w:val="24"/>
          <w:szCs w:val="22"/>
        </w:rPr>
      </w:pPr>
      <w:r>
        <w:rPr>
          <w:rFonts w:hint="default" w:ascii="Times New Roman" w:hAnsi="Times New Roman" w:eastAsia="宋体" w:cs="Times New Roman"/>
          <w:color w:val="000000"/>
          <w:sz w:val="24"/>
          <w:szCs w:val="22"/>
        </w:rPr>
        <w:t>根据《全国水土保持规划（2015-2030年）》《水利部办公厅关于印发</w:t>
      </w:r>
      <w:r>
        <w:rPr>
          <w:rFonts w:hint="eastAsia" w:ascii="Times New Roman" w:hAnsi="Times New Roman" w:eastAsia="宋体" w:cs="Times New Roman"/>
          <w:color w:val="000000"/>
          <w:sz w:val="24"/>
          <w:szCs w:val="22"/>
          <w:lang w:eastAsia="zh-CN"/>
        </w:rPr>
        <w:t>〈</w:t>
      </w:r>
      <w:r>
        <w:rPr>
          <w:rFonts w:hint="default" w:ascii="Times New Roman" w:hAnsi="Times New Roman" w:eastAsia="宋体" w:cs="Times New Roman"/>
          <w:color w:val="000000"/>
          <w:sz w:val="24"/>
          <w:szCs w:val="22"/>
        </w:rPr>
        <w:t>全国水土保持规划国家级水土流失重点预防区和重点治理区复核划分成果</w:t>
      </w:r>
      <w:r>
        <w:rPr>
          <w:rFonts w:hint="eastAsia" w:ascii="Times New Roman" w:hAnsi="Times New Roman" w:eastAsia="宋体" w:cs="Times New Roman"/>
          <w:color w:val="000000"/>
          <w:sz w:val="24"/>
          <w:szCs w:val="22"/>
          <w:lang w:eastAsia="zh-CN"/>
        </w:rPr>
        <w:t>〉的通知》</w:t>
      </w:r>
      <w:r>
        <w:rPr>
          <w:rFonts w:hint="default" w:ascii="Times New Roman" w:hAnsi="Times New Roman" w:eastAsia="宋体" w:cs="Times New Roman"/>
          <w:color w:val="000000"/>
          <w:sz w:val="24"/>
          <w:szCs w:val="22"/>
        </w:rPr>
        <w:t>（办水保〔2013〕188号），拟建公路经过的克孜勒苏柯尔克孜自治州阿图什市以及喀什地区伽师县、岳普湖县不属于国家级水土流失重点预防区及治理区。</w:t>
      </w:r>
    </w:p>
    <w:p w14:paraId="43F8540E">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eastAsia="宋体" w:cs="Times New Roman"/>
          <w:color w:val="000000"/>
          <w:sz w:val="24"/>
          <w:szCs w:val="22"/>
        </w:rPr>
      </w:pPr>
      <w:r>
        <w:rPr>
          <w:rFonts w:hint="default" w:ascii="Times New Roman" w:hAnsi="Times New Roman" w:eastAsia="宋体" w:cs="Times New Roman"/>
          <w:color w:val="000000"/>
          <w:sz w:val="24"/>
          <w:szCs w:val="22"/>
        </w:rPr>
        <w:t>根据《新疆</w:t>
      </w:r>
      <w:r>
        <w:rPr>
          <w:rFonts w:hint="eastAsia" w:ascii="Times New Roman" w:hAnsi="Times New Roman" w:eastAsia="宋体" w:cs="Times New Roman"/>
          <w:color w:val="000000"/>
          <w:sz w:val="24"/>
          <w:szCs w:val="22"/>
          <w:lang w:val="en-US" w:eastAsia="zh-CN"/>
        </w:rPr>
        <w:t>维吾尔</w:t>
      </w:r>
      <w:r>
        <w:rPr>
          <w:rFonts w:hint="default" w:ascii="Times New Roman" w:hAnsi="Times New Roman" w:eastAsia="宋体" w:cs="Times New Roman"/>
          <w:color w:val="000000"/>
          <w:sz w:val="24"/>
          <w:szCs w:val="22"/>
        </w:rPr>
        <w:t>自治区水土保持规划》（2018-2030年），项目区所在克孜勒苏柯尔克孜自治州阿图什市、喀什地区伽师县、岳普湖县属于北方风沙区，是新疆水土保持综合治理的核心区域之一。该区以水力侵蚀和风力侵蚀危害为主，水力侵蚀仅在暴雨期的河流沿岸、冲沟及坡面发生，强度为微度，侵蚀模数小于 500t/ km</w:t>
      </w:r>
      <w:r>
        <w:rPr>
          <w:rFonts w:hint="default" w:ascii="Times New Roman" w:hAnsi="Times New Roman" w:eastAsia="宋体" w:cs="Times New Roman"/>
          <w:color w:val="000000"/>
          <w:sz w:val="24"/>
          <w:szCs w:val="22"/>
          <w:vertAlign w:val="superscript"/>
        </w:rPr>
        <w:t>2</w:t>
      </w:r>
      <w:r>
        <w:rPr>
          <w:rFonts w:hint="default" w:ascii="Times New Roman" w:hAnsi="Times New Roman" w:eastAsia="微软雅黑" w:cs="Times New Roman"/>
          <w:color w:val="000000"/>
          <w:sz w:val="24"/>
          <w:szCs w:val="22"/>
        </w:rPr>
        <w:t>・</w:t>
      </w:r>
      <w:r>
        <w:rPr>
          <w:rFonts w:hint="default" w:ascii="Times New Roman" w:hAnsi="Times New Roman" w:eastAsia="宋体" w:cs="Times New Roman"/>
          <w:color w:val="000000"/>
          <w:sz w:val="24"/>
          <w:szCs w:val="22"/>
        </w:rPr>
        <w:t>a，主要表现为地表径流对松散堆积物的冲刷搬运。风力侵蚀：为主要侵蚀类型，原地貌土壤侵蚀模数背景值约为1000-1200t/ km</w:t>
      </w:r>
      <w:r>
        <w:rPr>
          <w:rFonts w:hint="default" w:ascii="Times New Roman" w:hAnsi="Times New Roman" w:eastAsia="宋体" w:cs="Times New Roman"/>
          <w:color w:val="000000"/>
          <w:sz w:val="24"/>
          <w:szCs w:val="22"/>
          <w:vertAlign w:val="superscript"/>
        </w:rPr>
        <w:t>2</w:t>
      </w:r>
      <w:r>
        <w:rPr>
          <w:rFonts w:hint="default" w:ascii="Times New Roman" w:hAnsi="Times New Roman" w:eastAsia="微软雅黑" w:cs="Times New Roman"/>
          <w:color w:val="000000"/>
          <w:sz w:val="24"/>
          <w:szCs w:val="22"/>
        </w:rPr>
        <w:t>・</w:t>
      </w:r>
      <w:r>
        <w:rPr>
          <w:rFonts w:hint="default" w:ascii="Times New Roman" w:hAnsi="Times New Roman" w:eastAsia="宋体" w:cs="Times New Roman"/>
          <w:color w:val="000000"/>
          <w:sz w:val="24"/>
          <w:szCs w:val="22"/>
        </w:rPr>
        <w:t>a，容许土壤流失量为1200t/km</w:t>
      </w:r>
      <w:r>
        <w:rPr>
          <w:rFonts w:hint="default" w:ascii="Times New Roman" w:hAnsi="Times New Roman" w:eastAsia="宋体" w:cs="Times New Roman"/>
          <w:color w:val="000000"/>
          <w:sz w:val="24"/>
          <w:szCs w:val="22"/>
          <w:vertAlign w:val="superscript"/>
        </w:rPr>
        <w:t>2</w:t>
      </w:r>
      <w:r>
        <w:rPr>
          <w:rFonts w:hint="default" w:ascii="Times New Roman" w:hAnsi="Times New Roman" w:eastAsia="微软雅黑" w:cs="Times New Roman"/>
          <w:color w:val="000000"/>
          <w:sz w:val="24"/>
          <w:szCs w:val="22"/>
        </w:rPr>
        <w:t>・</w:t>
      </w:r>
      <w:r>
        <w:rPr>
          <w:rFonts w:hint="default" w:ascii="Times New Roman" w:hAnsi="Times New Roman" w:eastAsia="宋体" w:cs="Times New Roman"/>
          <w:color w:val="000000"/>
          <w:sz w:val="24"/>
          <w:szCs w:val="22"/>
        </w:rPr>
        <w:t>a。每年4-6月多大风天气，易形成风沙扬尘甚至沙尘暴，吹蚀地表肥沃土层，导致土地沙化、耕地退化。</w:t>
      </w:r>
    </w:p>
    <w:p w14:paraId="28BD665E">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eastAsia="宋体" w:cs="Times New Roman"/>
          <w:color w:val="000000"/>
          <w:sz w:val="24"/>
          <w:szCs w:val="22"/>
        </w:rPr>
      </w:pPr>
      <w:r>
        <w:rPr>
          <w:rFonts w:hint="default" w:ascii="Times New Roman" w:hAnsi="Times New Roman" w:eastAsia="宋体" w:cs="Times New Roman"/>
          <w:color w:val="000000"/>
          <w:sz w:val="24"/>
          <w:szCs w:val="22"/>
        </w:rPr>
        <w:t>本区水土流失总面积为7164.42km</w:t>
      </w:r>
      <w:r>
        <w:rPr>
          <w:rFonts w:hint="default" w:ascii="Times New Roman" w:hAnsi="Times New Roman" w:eastAsia="宋体" w:cs="Times New Roman"/>
          <w:color w:val="000000"/>
          <w:sz w:val="24"/>
          <w:szCs w:val="22"/>
          <w:vertAlign w:val="superscript"/>
        </w:rPr>
        <w:t>2</w:t>
      </w:r>
      <w:r>
        <w:rPr>
          <w:rFonts w:hint="default" w:ascii="Times New Roman" w:hAnsi="Times New Roman" w:eastAsia="宋体" w:cs="Times New Roman"/>
          <w:color w:val="000000"/>
          <w:sz w:val="24"/>
          <w:szCs w:val="22"/>
        </w:rPr>
        <w:t>，占本区土地总面积的28.18%，其中水力侵蚀面积为2477.69km</w:t>
      </w:r>
      <w:r>
        <w:rPr>
          <w:rFonts w:hint="default" w:ascii="Times New Roman" w:hAnsi="Times New Roman" w:eastAsia="宋体" w:cs="Times New Roman"/>
          <w:color w:val="000000"/>
          <w:sz w:val="24"/>
          <w:szCs w:val="22"/>
          <w:vertAlign w:val="superscript"/>
        </w:rPr>
        <w:t>2</w:t>
      </w:r>
      <w:r>
        <w:rPr>
          <w:rFonts w:hint="default" w:ascii="Times New Roman" w:hAnsi="Times New Roman" w:eastAsia="宋体" w:cs="Times New Roman"/>
          <w:color w:val="000000"/>
          <w:sz w:val="24"/>
          <w:szCs w:val="22"/>
        </w:rPr>
        <w:t>，占本区土地总面积的9.74%，水力侵蚀为</w:t>
      </w:r>
      <w:r>
        <w:rPr>
          <w:rFonts w:hint="eastAsia" w:ascii="Times New Roman" w:hAnsi="Times New Roman" w:eastAsia="宋体" w:cs="Times New Roman"/>
          <w:color w:val="000000"/>
          <w:sz w:val="24"/>
          <w:szCs w:val="22"/>
          <w:lang w:eastAsia="zh-CN"/>
        </w:rPr>
        <w:t>微</w:t>
      </w:r>
      <w:r>
        <w:rPr>
          <w:rFonts w:hint="default" w:ascii="Times New Roman" w:hAnsi="Times New Roman" w:eastAsia="宋体" w:cs="Times New Roman"/>
          <w:color w:val="000000"/>
          <w:sz w:val="24"/>
          <w:szCs w:val="22"/>
        </w:rPr>
        <w:t>度和轻度；风力侵蚀面积为4686.73km</w:t>
      </w:r>
      <w:r>
        <w:rPr>
          <w:rFonts w:hint="default" w:ascii="Times New Roman" w:hAnsi="Times New Roman" w:eastAsia="宋体" w:cs="Times New Roman"/>
          <w:color w:val="000000"/>
          <w:sz w:val="24"/>
          <w:szCs w:val="22"/>
          <w:vertAlign w:val="superscript"/>
        </w:rPr>
        <w:t>2</w:t>
      </w:r>
      <w:r>
        <w:rPr>
          <w:rFonts w:hint="default" w:ascii="Times New Roman" w:hAnsi="Times New Roman" w:eastAsia="宋体" w:cs="Times New Roman"/>
          <w:color w:val="000000"/>
          <w:sz w:val="24"/>
          <w:szCs w:val="22"/>
        </w:rPr>
        <w:t>，占本区土地总面积的18.44%，风力侵蚀以轻度为主。</w:t>
      </w:r>
    </w:p>
    <w:p w14:paraId="050CF05B">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eastAsia="宋体" w:cs="Times New Roman"/>
          <w:color w:val="000000"/>
          <w:sz w:val="24"/>
          <w:szCs w:val="22"/>
        </w:rPr>
      </w:pPr>
      <w:r>
        <w:rPr>
          <w:rFonts w:hint="eastAsia" w:ascii="Times New Roman" w:hAnsi="Times New Roman" w:eastAsia="宋体" w:cs="Times New Roman"/>
          <w:color w:val="000000"/>
          <w:sz w:val="24"/>
          <w:szCs w:val="22"/>
          <w:lang w:val="en-US" w:eastAsia="zh-CN"/>
        </w:rPr>
        <w:t xml:space="preserve">4. </w:t>
      </w:r>
      <w:r>
        <w:rPr>
          <w:rFonts w:hint="default" w:ascii="Times New Roman" w:hAnsi="Times New Roman" w:eastAsia="宋体" w:cs="Times New Roman"/>
          <w:color w:val="000000"/>
          <w:sz w:val="24"/>
          <w:szCs w:val="22"/>
        </w:rPr>
        <w:t>项目区土壤侵蚀模数及容许土壤流失量</w:t>
      </w:r>
    </w:p>
    <w:p w14:paraId="5C6D7C1E">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ascii="Times New Roman" w:hAnsi="Times New Roman" w:eastAsia="宋体" w:cs="Times New Roman"/>
          <w:color w:val="000000"/>
          <w:sz w:val="24"/>
          <w:szCs w:val="22"/>
        </w:rPr>
      </w:pPr>
      <w:r>
        <w:rPr>
          <w:rFonts w:hint="default" w:ascii="Times New Roman" w:hAnsi="Times New Roman" w:eastAsia="宋体" w:cs="Times New Roman"/>
          <w:color w:val="000000"/>
          <w:sz w:val="24"/>
          <w:szCs w:val="22"/>
        </w:rPr>
        <w:t>结合《土壤侵蚀分</w:t>
      </w:r>
      <w:r>
        <w:rPr>
          <w:rFonts w:ascii="Times New Roman" w:hAnsi="Times New Roman" w:eastAsia="宋体" w:cs="Times New Roman"/>
          <w:color w:val="000000"/>
          <w:sz w:val="24"/>
          <w:szCs w:val="22"/>
        </w:rPr>
        <w:t>类分级标准》（SL190-2007）、《生产建设项目水土流失防治标准》（GB/T 50434-2018），山前冲积平原区容许土壤流失量为1300t/(km</w:t>
      </w:r>
      <w:r>
        <w:rPr>
          <w:rFonts w:ascii="Times New Roman" w:hAnsi="Times New Roman" w:eastAsia="宋体" w:cs="Times New Roman"/>
          <w:color w:val="000000"/>
          <w:sz w:val="24"/>
          <w:szCs w:val="22"/>
          <w:vertAlign w:val="superscript"/>
        </w:rPr>
        <w:t>2</w:t>
      </w:r>
      <w:r>
        <w:rPr>
          <w:rFonts w:ascii="Times New Roman" w:hAnsi="Times New Roman" w:eastAsia="宋体" w:cs="Times New Roman"/>
          <w:color w:val="000000"/>
          <w:sz w:val="24"/>
          <w:szCs w:val="22"/>
        </w:rPr>
        <w:t>·a)；中高山区容许土壤流失量为1600t/(km</w:t>
      </w:r>
      <w:r>
        <w:rPr>
          <w:rFonts w:ascii="Times New Roman" w:hAnsi="Times New Roman" w:eastAsia="宋体" w:cs="Times New Roman"/>
          <w:color w:val="000000"/>
          <w:sz w:val="24"/>
          <w:szCs w:val="22"/>
          <w:vertAlign w:val="superscript"/>
        </w:rPr>
        <w:t>2</w:t>
      </w:r>
      <w:r>
        <w:rPr>
          <w:rFonts w:ascii="Times New Roman" w:hAnsi="Times New Roman" w:eastAsia="宋体" w:cs="Times New Roman"/>
          <w:color w:val="000000"/>
          <w:sz w:val="24"/>
          <w:szCs w:val="22"/>
        </w:rPr>
        <w:t>·a)。</w:t>
      </w:r>
    </w:p>
    <w:p w14:paraId="6F3F796A">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结合现场地块调查，通过对植被覆盖度、地形坡度、地表物质组成、地貌类型以及气候特征、水文水资源特征等指标综合判定，山前冲积平原区原地貌土壤侵蚀模数约为1300t/km</w:t>
      </w:r>
      <w:r>
        <w:rPr>
          <w:rFonts w:ascii="Times New Roman" w:hAnsi="Times New Roman" w:eastAsia="宋体" w:cs="Times New Roman"/>
          <w:color w:val="000000"/>
          <w:sz w:val="24"/>
          <w:szCs w:val="22"/>
          <w:vertAlign w:val="superscript"/>
        </w:rPr>
        <w:t>2</w:t>
      </w:r>
      <w:r>
        <w:rPr>
          <w:rFonts w:ascii="Times New Roman" w:hAnsi="Times New Roman" w:eastAsia="宋体" w:cs="Times New Roman"/>
          <w:color w:val="000000"/>
          <w:sz w:val="24"/>
          <w:szCs w:val="22"/>
        </w:rPr>
        <w:t>·a，中高山区原地貌土壤侵蚀模数约为1600t/km</w:t>
      </w:r>
      <w:r>
        <w:rPr>
          <w:rFonts w:ascii="Times New Roman" w:hAnsi="Times New Roman" w:eastAsia="宋体" w:cs="Times New Roman"/>
          <w:color w:val="000000"/>
          <w:sz w:val="24"/>
          <w:szCs w:val="22"/>
          <w:vertAlign w:val="superscript"/>
        </w:rPr>
        <w:t>2</w:t>
      </w:r>
      <w:r>
        <w:rPr>
          <w:rFonts w:ascii="Times New Roman" w:hAnsi="Times New Roman" w:eastAsia="宋体" w:cs="Times New Roman"/>
          <w:color w:val="000000"/>
          <w:sz w:val="24"/>
          <w:szCs w:val="22"/>
        </w:rPr>
        <w:t>·a，工程沿线水土流失类型及强度为微度水力侵蚀、轻度风力侵蚀。</w:t>
      </w:r>
    </w:p>
    <w:p w14:paraId="37B037A8">
      <w:pPr>
        <w:keepNext/>
        <w:keepLines/>
        <w:widowControl w:val="0"/>
        <w:numPr>
          <w:ilvl w:val="1"/>
          <w:numId w:val="13"/>
        </w:numPr>
        <w:spacing w:before="240" w:after="240" w:line="240" w:lineRule="auto"/>
        <w:ind w:firstLine="200" w:firstLineChars="0"/>
        <w:jc w:val="both"/>
        <w:outlineLvl w:val="1"/>
        <w:rPr>
          <w:rFonts w:ascii="Times New Roman" w:hAnsi="Times New Roman" w:eastAsia="宋体" w:cs="Times New Roman"/>
          <w:b/>
          <w:bCs/>
          <w:color w:val="000000"/>
          <w:kern w:val="2"/>
          <w:sz w:val="28"/>
          <w:szCs w:val="32"/>
          <w:lang w:val="en-US" w:eastAsia="zh-CN" w:bidi="ar-SA"/>
        </w:rPr>
      </w:pPr>
      <w:bookmarkStart w:id="360" w:name="_Toc1598"/>
      <w:bookmarkStart w:id="361" w:name="_Toc219363415"/>
      <w:r>
        <w:rPr>
          <w:rFonts w:ascii="Times New Roman" w:hAnsi="Times New Roman" w:eastAsia="宋体" w:cs="Times New Roman"/>
          <w:b/>
          <w:bCs/>
          <w:color w:val="000000"/>
          <w:kern w:val="2"/>
          <w:sz w:val="28"/>
          <w:szCs w:val="32"/>
          <w:lang w:val="en-US" w:eastAsia="zh-CN" w:bidi="ar-SA"/>
        </w:rPr>
        <w:t>生态敏感区分布情况</w:t>
      </w:r>
      <w:bookmarkEnd w:id="360"/>
      <w:bookmarkEnd w:id="361"/>
    </w:p>
    <w:p w14:paraId="518A8975">
      <w:pPr>
        <w:snapToGrid w:val="0"/>
        <w:spacing w:line="300" w:lineRule="auto"/>
        <w:ind w:firstLine="480" w:firstLineChars="200"/>
        <w:rPr>
          <w:rFonts w:hint="default" w:ascii="Times New Roman" w:hAnsi="Times New Roman" w:eastAsia="宋体" w:cs="Times New Roman"/>
          <w:color w:val="000000"/>
          <w:sz w:val="24"/>
          <w:szCs w:val="24"/>
        </w:rPr>
      </w:pPr>
      <w:r>
        <w:rPr>
          <w:rFonts w:ascii="Times New Roman" w:hAnsi="Times New Roman" w:eastAsia="宋体" w:cs="Times New Roman"/>
          <w:color w:val="000000"/>
          <w:sz w:val="24"/>
          <w:szCs w:val="24"/>
          <w:lang w:bidi="ar"/>
        </w:rPr>
        <w:t>根据《环境影响评价技术导则 生态影响》（HJ19-2022），生态敏感区包括法定生态保护区域、重要生境以及其他具有重要生态功能、对保护生物多样性具有重要意义的区域。其中，法定生态保护区域包括：依据法律法规、政策等规范性文件划定或确认的国家公园、自然保护区、自然公园等自然保护地、世界自然遗产、生态保护红线等区域；重要生境包括：重要物种的天然集中分布区、栖息地，重要水生生物的产卵场、索饵场、越冬场和洄游通道，迁徙鸟类的重要繁殖地、停歇地、越冬地</w:t>
      </w:r>
      <w:r>
        <w:rPr>
          <w:rFonts w:hint="default" w:ascii="Times New Roman" w:hAnsi="Times New Roman" w:eastAsia="宋体" w:cs="Times New Roman"/>
          <w:color w:val="000000"/>
          <w:sz w:val="24"/>
          <w:szCs w:val="24"/>
          <w:lang w:bidi="ar"/>
        </w:rPr>
        <w:t>以及野生动物迁徙通道等。</w:t>
      </w:r>
      <w:r>
        <w:rPr>
          <w:rFonts w:hint="default" w:ascii="Times New Roman" w:hAnsi="Times New Roman" w:eastAsia="宋体" w:cs="Times New Roman"/>
          <w:color w:val="000000"/>
          <w:sz w:val="24"/>
          <w:szCs w:val="24"/>
        </w:rPr>
        <w:t xml:space="preserve"> </w:t>
      </w:r>
    </w:p>
    <w:p w14:paraId="4AC82279">
      <w:pPr>
        <w:snapToGrid w:val="0"/>
        <w:spacing w:line="300" w:lineRule="auto"/>
        <w:ind w:firstLine="480" w:firstLineChars="200"/>
        <w:rPr>
          <w:rFonts w:hint="default"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lang w:val="en-US" w:eastAsia="zh-CN" w:bidi="ar"/>
        </w:rPr>
        <w:t xml:space="preserve">1. </w:t>
      </w:r>
      <w:r>
        <w:rPr>
          <w:rFonts w:hint="default" w:ascii="Times New Roman" w:hAnsi="Times New Roman" w:eastAsia="宋体" w:cs="Times New Roman"/>
          <w:color w:val="000000"/>
          <w:sz w:val="24"/>
          <w:szCs w:val="24"/>
          <w:lang w:bidi="ar"/>
        </w:rPr>
        <w:t>自然保护地调查</w:t>
      </w:r>
    </w:p>
    <w:p w14:paraId="7ADF550B">
      <w:pPr>
        <w:snapToGrid w:val="0"/>
        <w:spacing w:line="300" w:lineRule="auto"/>
        <w:ind w:firstLine="480" w:firstLineChars="200"/>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color w:val="000000"/>
          <w:sz w:val="24"/>
          <w:szCs w:val="24"/>
          <w:lang w:bidi="ar"/>
        </w:rPr>
        <w:t>根据拟建公路区林草部门相关数据，进行叠图对比分析，拟建公路300m范围内不涉及生态敏感区，不涉及生态保护红线区域。</w:t>
      </w:r>
    </w:p>
    <w:p w14:paraId="64CE8613">
      <w:pPr>
        <w:snapToGrid w:val="0"/>
        <w:spacing w:line="300" w:lineRule="auto"/>
        <w:ind w:firstLine="480" w:firstLineChars="200"/>
        <w:rPr>
          <w:rFonts w:hint="default"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lang w:val="en-US" w:eastAsia="zh-CN" w:bidi="ar"/>
        </w:rPr>
        <w:t xml:space="preserve">2. </w:t>
      </w:r>
      <w:r>
        <w:rPr>
          <w:rFonts w:hint="default" w:ascii="Times New Roman" w:hAnsi="Times New Roman" w:eastAsia="宋体" w:cs="Times New Roman"/>
          <w:color w:val="000000"/>
          <w:sz w:val="24"/>
          <w:szCs w:val="24"/>
          <w:lang w:bidi="ar"/>
        </w:rPr>
        <w:t>重要生境调查</w:t>
      </w:r>
    </w:p>
    <w:p w14:paraId="7E5402B1">
      <w:pPr>
        <w:spacing w:line="300" w:lineRule="auto"/>
        <w:ind w:firstLine="480" w:firstLineChars="200"/>
        <w:rPr>
          <w:rFonts w:hint="default" w:ascii="Times New Roman" w:hAnsi="Times New Roman" w:eastAsia="宋体" w:cs="Times New Roman"/>
          <w:color w:val="000000"/>
          <w:sz w:val="24"/>
          <w:szCs w:val="22"/>
        </w:rPr>
      </w:pPr>
      <w:r>
        <w:rPr>
          <w:rFonts w:hint="default" w:ascii="Times New Roman" w:hAnsi="Times New Roman" w:eastAsia="宋体" w:cs="Times New Roman"/>
          <w:color w:val="000000"/>
          <w:sz w:val="24"/>
          <w:szCs w:val="24"/>
          <w:lang w:bidi="ar"/>
        </w:rPr>
        <w:t>按照国家林业和草原局公告（2023年第23号）（陆生野生动物重要栖息地名录（第一批）），经调查，拟建公路沿线不涉及陆生野生动物重要栖息地，也无固定的动物通道，评价区涉及的桥梁桩基无固定的产卵场、索饵场和越冬场</w:t>
      </w:r>
      <w:r>
        <w:rPr>
          <w:rFonts w:hint="default" w:ascii="Times New Roman" w:hAnsi="Times New Roman" w:eastAsia="宋体" w:cs="Times New Roman"/>
          <w:color w:val="000000"/>
          <w:sz w:val="24"/>
          <w:szCs w:val="22"/>
        </w:rPr>
        <w:t>。经现场调查及识别相关资料，拟建公路沿线不涉及生态保护红线。</w:t>
      </w:r>
    </w:p>
    <w:p w14:paraId="77F83842">
      <w:pPr>
        <w:ind w:firstLine="480"/>
        <w:rPr>
          <w:rFonts w:cs="Times New Roman"/>
          <w:color w:val="000000"/>
        </w:rPr>
        <w:sectPr>
          <w:headerReference r:id="rId131" w:type="default"/>
          <w:footerReference r:id="rId132" w:type="default"/>
          <w:footerReference r:id="rId133" w:type="even"/>
          <w:pgSz w:w="11906" w:h="16838"/>
          <w:pgMar w:top="1701" w:right="1701" w:bottom="1559" w:left="1701" w:header="1134" w:footer="1020" w:gutter="0"/>
          <w:pgBorders>
            <w:top w:val="none" w:sz="0" w:space="0"/>
            <w:left w:val="none" w:sz="0" w:space="0"/>
            <w:bottom w:val="none" w:sz="0" w:space="0"/>
            <w:right w:val="none" w:sz="0" w:space="0"/>
          </w:pgBorders>
          <w:cols w:space="720" w:num="1"/>
        </w:sectPr>
      </w:pPr>
      <w:r>
        <w:rPr>
          <w:rFonts w:ascii="Times New Roman" w:hAnsi="Times New Roman" w:eastAsia="宋体" w:cs="Times New Roman"/>
          <w:color w:val="000000"/>
          <w:sz w:val="24"/>
          <w:szCs w:val="22"/>
        </w:rPr>
        <w:t xml:space="preserve"> </w:t>
      </w:r>
    </w:p>
    <w:p w14:paraId="624BEDBB">
      <w:pPr>
        <w:keepNext/>
        <w:keepLines/>
        <w:widowControl w:val="0"/>
        <w:numPr>
          <w:ilvl w:val="0"/>
          <w:numId w:val="13"/>
        </w:numPr>
        <w:spacing w:before="480" w:after="480" w:line="240" w:lineRule="auto"/>
        <w:ind w:firstLine="0" w:firstLineChars="0"/>
        <w:jc w:val="center"/>
        <w:outlineLvl w:val="0"/>
        <w:rPr>
          <w:rFonts w:ascii="Times New Roman" w:hAnsi="Times New Roman" w:eastAsia="宋体" w:cs="Times New Roman"/>
          <w:b/>
          <w:bCs/>
          <w:color w:val="000000"/>
          <w:kern w:val="44"/>
          <w:sz w:val="32"/>
          <w:szCs w:val="44"/>
          <w:lang w:val="en-US" w:eastAsia="zh-CN" w:bidi="ar-SA"/>
        </w:rPr>
      </w:pPr>
      <w:bookmarkStart w:id="362" w:name="_Toc26472"/>
      <w:bookmarkStart w:id="363" w:name="_Toc219363416"/>
      <w:r>
        <w:rPr>
          <w:rFonts w:ascii="Times New Roman" w:hAnsi="Times New Roman" w:eastAsia="宋体" w:cs="Times New Roman"/>
          <w:b/>
          <w:bCs/>
          <w:color w:val="000000"/>
          <w:kern w:val="44"/>
          <w:sz w:val="32"/>
          <w:szCs w:val="44"/>
          <w:lang w:val="en-US" w:eastAsia="zh-CN" w:bidi="ar-SA"/>
        </w:rPr>
        <w:t>生态影响预测与评价</w:t>
      </w:r>
      <w:bookmarkEnd w:id="357"/>
      <w:bookmarkEnd w:id="362"/>
      <w:bookmarkEnd w:id="363"/>
    </w:p>
    <w:p w14:paraId="15EBFD59">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拟建公路对生态的影响主要发生在施工期，表现在主体工程对土地的占用和分割，改变了土地利用性质，使评价范围植被覆盖率下降，林地、草地、耕地面积减少；路基的填筑与开挖、弃土场等的施工，破坏了地表植被和地形、地貌，破坏土体的原有自然结构，土壤水循环被破坏，相应的生物链随之改变，动、植物的生存环境发生变化，影响其生长活动规律，对生态系统的延续造成障碍，而这些变化若是路基占用部分，则是永久无法恢复的；项目的施工、建设，在一定时段和一定区域可能造成水土流失；工程活动打破了原有的自然生态和环境，还可能会对评价区的动植物的生长、分布、栖息和活动产生一定不利的影响。</w:t>
      </w:r>
    </w:p>
    <w:p w14:paraId="1962EDB7">
      <w:pPr>
        <w:keepNext/>
        <w:keepLines/>
        <w:widowControl w:val="0"/>
        <w:numPr>
          <w:ilvl w:val="1"/>
          <w:numId w:val="13"/>
        </w:numPr>
        <w:spacing w:before="240" w:after="240" w:line="240" w:lineRule="auto"/>
        <w:ind w:firstLine="200" w:firstLineChars="0"/>
        <w:jc w:val="both"/>
        <w:outlineLvl w:val="1"/>
        <w:rPr>
          <w:rFonts w:ascii="Times New Roman" w:hAnsi="Times New Roman" w:eastAsia="宋体" w:cs="Times New Roman"/>
          <w:b/>
          <w:bCs/>
          <w:color w:val="000000"/>
          <w:kern w:val="2"/>
          <w:sz w:val="28"/>
          <w:szCs w:val="32"/>
          <w:lang w:val="en-US" w:eastAsia="zh-CN" w:bidi="ar-SA"/>
        </w:rPr>
      </w:pPr>
      <w:bookmarkStart w:id="364" w:name="_Toc219363417"/>
      <w:bookmarkStart w:id="365" w:name="_Toc17226"/>
      <w:r>
        <w:rPr>
          <w:rFonts w:ascii="Times New Roman" w:hAnsi="Times New Roman" w:eastAsia="宋体" w:cs="Times New Roman"/>
          <w:b/>
          <w:bCs/>
          <w:color w:val="000000"/>
          <w:kern w:val="2"/>
          <w:sz w:val="28"/>
          <w:szCs w:val="32"/>
          <w:lang w:val="en-US" w:eastAsia="zh-CN" w:bidi="ar-SA"/>
        </w:rPr>
        <w:t>工程占地影响分析</w:t>
      </w:r>
      <w:bookmarkEnd w:id="364"/>
      <w:bookmarkEnd w:id="365"/>
    </w:p>
    <w:p w14:paraId="34265FE8">
      <w:pPr>
        <w:keepNext/>
        <w:keepLines/>
        <w:widowControl w:val="0"/>
        <w:numPr>
          <w:ilvl w:val="2"/>
          <w:numId w:val="13"/>
        </w:numPr>
        <w:spacing w:before="120" w:after="120" w:line="240" w:lineRule="auto"/>
        <w:ind w:firstLine="200" w:firstLineChars="0"/>
        <w:jc w:val="both"/>
        <w:outlineLvl w:val="2"/>
        <w:rPr>
          <w:rFonts w:hint="eastAsia" w:ascii="Times New Roman" w:hAnsi="Times New Roman" w:eastAsia="宋体" w:cs="Times New Roman"/>
          <w:b/>
          <w:bCs w:val="0"/>
          <w:color w:val="000000"/>
          <w:kern w:val="28"/>
          <w:sz w:val="24"/>
          <w:szCs w:val="32"/>
          <w:lang w:val="en-US" w:eastAsia="zh-CN" w:bidi="ar-SA"/>
        </w:rPr>
      </w:pPr>
      <w:bookmarkStart w:id="366" w:name="_Toc30767"/>
      <w:r>
        <w:rPr>
          <w:rFonts w:hint="eastAsia" w:ascii="Times New Roman" w:hAnsi="Times New Roman" w:eastAsia="宋体" w:cs="Times New Roman"/>
          <w:b/>
          <w:bCs w:val="0"/>
          <w:color w:val="000000"/>
          <w:kern w:val="28"/>
          <w:sz w:val="24"/>
          <w:szCs w:val="32"/>
          <w:lang w:val="en-US" w:eastAsia="zh-CN" w:bidi="ar-SA"/>
        </w:rPr>
        <w:t>工程永久占地合理性分析</w:t>
      </w:r>
      <w:bookmarkEnd w:id="366"/>
    </w:p>
    <w:p w14:paraId="43E5A954">
      <w:pPr>
        <w:spacing w:line="300" w:lineRule="auto"/>
        <w:ind w:firstLine="480" w:firstLineChars="200"/>
        <w:rPr>
          <w:rFonts w:hint="eastAsia" w:ascii="Times New Roman" w:hAnsi="Times New Roman" w:eastAsia="宋体" w:cs="Times New Roman"/>
          <w:color w:val="000000"/>
          <w:sz w:val="24"/>
          <w:szCs w:val="22"/>
          <w:lang w:val="en-US" w:eastAsia="zh-CN"/>
        </w:rPr>
      </w:pPr>
      <w:r>
        <w:rPr>
          <w:rFonts w:hint="eastAsia" w:ascii="Times New Roman" w:hAnsi="Times New Roman" w:eastAsia="宋体" w:cs="Times New Roman"/>
          <w:color w:val="000000"/>
          <w:sz w:val="24"/>
          <w:szCs w:val="22"/>
          <w:lang w:val="en-US" w:eastAsia="zh-CN"/>
        </w:rPr>
        <w:t>1. 总体用地规模合理性分析</w:t>
      </w:r>
    </w:p>
    <w:p w14:paraId="3E311AC7">
      <w:pPr>
        <w:spacing w:line="300" w:lineRule="auto"/>
        <w:ind w:firstLine="480" w:firstLineChars="200"/>
        <w:rPr>
          <w:rFonts w:hint="default" w:ascii="Times New Roman" w:hAnsi="Times New Roman" w:eastAsia="宋体" w:cs="Times New Roman"/>
          <w:color w:val="000000"/>
          <w:sz w:val="24"/>
          <w:szCs w:val="22"/>
          <w:lang w:val="en-US" w:eastAsia="zh-CN"/>
        </w:rPr>
      </w:pPr>
      <w:r>
        <w:rPr>
          <w:rFonts w:hint="eastAsia" w:ascii="Times New Roman" w:hAnsi="Times New Roman" w:eastAsia="宋体" w:cs="Times New Roman"/>
          <w:color w:val="000000"/>
          <w:sz w:val="24"/>
          <w:szCs w:val="22"/>
          <w:lang w:val="en-US" w:eastAsia="zh-CN"/>
        </w:rPr>
        <w:t>拟建公路</w:t>
      </w:r>
      <w:r>
        <w:rPr>
          <w:rFonts w:hint="default" w:ascii="Times New Roman" w:hAnsi="Times New Roman" w:eastAsia="宋体" w:cs="Times New Roman"/>
          <w:color w:val="000000"/>
          <w:sz w:val="24"/>
          <w:szCs w:val="22"/>
          <w:lang w:val="en-US" w:eastAsia="zh-CN"/>
        </w:rPr>
        <w:t xml:space="preserve">为双向四车道一级公路，平均每公里占地 </w:t>
      </w:r>
      <w:r>
        <w:rPr>
          <w:rFonts w:hint="eastAsia" w:ascii="Times New Roman" w:hAnsi="Times New Roman" w:eastAsia="宋体" w:cs="Times New Roman"/>
          <w:color w:val="000000"/>
          <w:sz w:val="24"/>
          <w:szCs w:val="22"/>
          <w:lang w:val="en-US" w:eastAsia="zh-CN"/>
        </w:rPr>
        <w:t>4.37</w:t>
      </w:r>
      <w:r>
        <w:rPr>
          <w:rFonts w:hint="default" w:ascii="Times New Roman" w:hAnsi="Times New Roman" w:eastAsia="宋体" w:cs="Times New Roman"/>
          <w:color w:val="000000"/>
          <w:sz w:val="24"/>
          <w:szCs w:val="22"/>
          <w:lang w:val="en-US" w:eastAsia="zh-CN"/>
        </w:rPr>
        <w:t>hm</w:t>
      </w:r>
      <w:r>
        <w:rPr>
          <w:rFonts w:hint="default" w:ascii="Times New Roman" w:hAnsi="Times New Roman" w:eastAsia="宋体" w:cs="Times New Roman"/>
          <w:color w:val="000000"/>
          <w:sz w:val="24"/>
          <w:szCs w:val="22"/>
          <w:vertAlign w:val="superscript"/>
          <w:lang w:val="en-US" w:eastAsia="zh-CN"/>
        </w:rPr>
        <w:t>2</w:t>
      </w:r>
      <w:r>
        <w:rPr>
          <w:rFonts w:hint="default" w:ascii="Times New Roman" w:hAnsi="Times New Roman" w:eastAsia="宋体" w:cs="Times New Roman"/>
          <w:color w:val="000000"/>
          <w:sz w:val="24"/>
          <w:szCs w:val="22"/>
          <w:lang w:val="en-US" w:eastAsia="zh-CN"/>
        </w:rPr>
        <w:t>，根据</w:t>
      </w:r>
      <w:r>
        <w:rPr>
          <w:rFonts w:hint="eastAsia" w:ascii="Times New Roman" w:hAnsi="Times New Roman" w:eastAsia="宋体" w:cs="Times New Roman"/>
          <w:color w:val="000000"/>
          <w:sz w:val="24"/>
          <w:szCs w:val="22"/>
          <w:lang w:val="en-US" w:eastAsia="zh-CN"/>
        </w:rPr>
        <w:t>原</w:t>
      </w:r>
      <w:r>
        <w:rPr>
          <w:rFonts w:hint="default" w:ascii="Times New Roman" w:hAnsi="Times New Roman" w:eastAsia="宋体" w:cs="Times New Roman"/>
          <w:color w:val="000000"/>
          <w:sz w:val="24"/>
          <w:szCs w:val="22"/>
          <w:lang w:val="en-US" w:eastAsia="zh-CN"/>
        </w:rPr>
        <w:t>住房和城乡建设部、国土资源部、交通运输部联合颁布的《公路工程项目建设用地指标》（建标</w:t>
      </w:r>
      <w:r>
        <w:rPr>
          <w:rFonts w:hint="eastAsia" w:ascii="Times New Roman" w:hAnsi="Times New Roman" w:eastAsia="宋体" w:cs="Times New Roman"/>
          <w:color w:val="000000"/>
          <w:sz w:val="24"/>
          <w:szCs w:val="22"/>
          <w:lang w:val="en-US" w:eastAsia="zh-CN"/>
        </w:rPr>
        <w:t>[</w:t>
      </w:r>
      <w:r>
        <w:rPr>
          <w:rFonts w:hint="default" w:ascii="Times New Roman" w:hAnsi="Times New Roman" w:eastAsia="宋体" w:cs="Times New Roman"/>
          <w:color w:val="000000"/>
          <w:sz w:val="24"/>
          <w:szCs w:val="22"/>
          <w:lang w:val="en-US" w:eastAsia="zh-CN"/>
        </w:rPr>
        <w:t>2011</w:t>
      </w:r>
      <w:r>
        <w:rPr>
          <w:rFonts w:hint="eastAsia" w:ascii="Times New Roman" w:hAnsi="Times New Roman" w:eastAsia="宋体" w:cs="Times New Roman"/>
          <w:color w:val="000000"/>
          <w:sz w:val="24"/>
          <w:szCs w:val="22"/>
          <w:lang w:val="en-US" w:eastAsia="zh-CN"/>
        </w:rPr>
        <w:t>]</w:t>
      </w:r>
      <w:r>
        <w:rPr>
          <w:rFonts w:hint="default" w:ascii="Times New Roman" w:hAnsi="Times New Roman" w:eastAsia="宋体" w:cs="Times New Roman"/>
          <w:color w:val="000000"/>
          <w:sz w:val="24"/>
          <w:szCs w:val="22"/>
          <w:lang w:val="en-US" w:eastAsia="zh-CN"/>
        </w:rPr>
        <w:t>124号）的规定，按照类地形类别（</w:t>
      </w:r>
      <w:r>
        <w:rPr>
          <w:rFonts w:hint="eastAsia" w:ascii="Times New Roman" w:hAnsi="Times New Roman" w:eastAsia="宋体" w:cs="Times New Roman"/>
          <w:color w:val="000000"/>
          <w:sz w:val="24"/>
          <w:szCs w:val="22"/>
          <w:lang w:val="en-US" w:eastAsia="zh-CN"/>
        </w:rPr>
        <w:t>平原区</w:t>
      </w:r>
      <w:r>
        <w:rPr>
          <w:rFonts w:hint="default" w:ascii="Times New Roman" w:hAnsi="Times New Roman" w:eastAsia="宋体" w:cs="Times New Roman"/>
          <w:color w:val="000000"/>
          <w:sz w:val="24"/>
          <w:szCs w:val="22"/>
          <w:lang w:val="en-US" w:eastAsia="zh-CN"/>
        </w:rPr>
        <w:t>）一级公路（四车道）的用地总体指标低值为5.</w:t>
      </w:r>
      <w:r>
        <w:rPr>
          <w:rFonts w:hint="eastAsia" w:ascii="Times New Roman" w:hAnsi="Times New Roman" w:eastAsia="宋体" w:cs="Times New Roman"/>
          <w:color w:val="000000"/>
          <w:sz w:val="24"/>
          <w:szCs w:val="22"/>
          <w:lang w:val="en-US" w:eastAsia="zh-CN"/>
        </w:rPr>
        <w:t>3200</w:t>
      </w:r>
      <w:r>
        <w:rPr>
          <w:rFonts w:hint="default" w:ascii="Times New Roman" w:hAnsi="Times New Roman" w:eastAsia="宋体" w:cs="Times New Roman"/>
          <w:color w:val="000000"/>
          <w:sz w:val="24"/>
          <w:szCs w:val="22"/>
          <w:lang w:val="en-US" w:eastAsia="zh-CN"/>
        </w:rPr>
        <w:t>hm</w:t>
      </w:r>
      <w:r>
        <w:rPr>
          <w:rFonts w:hint="default" w:ascii="Times New Roman" w:hAnsi="Times New Roman" w:eastAsia="宋体" w:cs="Times New Roman"/>
          <w:color w:val="000000"/>
          <w:sz w:val="24"/>
          <w:szCs w:val="22"/>
          <w:vertAlign w:val="superscript"/>
          <w:lang w:val="en-US" w:eastAsia="zh-CN"/>
        </w:rPr>
        <w:t>2</w:t>
      </w:r>
      <w:r>
        <w:rPr>
          <w:rFonts w:hint="default" w:ascii="Times New Roman" w:hAnsi="Times New Roman" w:eastAsia="宋体" w:cs="Times New Roman"/>
          <w:color w:val="000000"/>
          <w:sz w:val="24"/>
          <w:szCs w:val="22"/>
          <w:lang w:val="en-US" w:eastAsia="zh-CN"/>
        </w:rPr>
        <w:t>/km、中值为5.</w:t>
      </w:r>
      <w:r>
        <w:rPr>
          <w:rFonts w:hint="eastAsia" w:ascii="Times New Roman" w:hAnsi="Times New Roman" w:eastAsia="宋体" w:cs="Times New Roman"/>
          <w:color w:val="000000"/>
          <w:sz w:val="24"/>
          <w:szCs w:val="22"/>
          <w:lang w:val="en-US" w:eastAsia="zh-CN"/>
        </w:rPr>
        <w:t>4623</w:t>
      </w:r>
      <w:r>
        <w:rPr>
          <w:rFonts w:hint="default" w:ascii="Times New Roman" w:hAnsi="Times New Roman" w:eastAsia="宋体" w:cs="Times New Roman"/>
          <w:color w:val="000000"/>
          <w:sz w:val="24"/>
          <w:szCs w:val="22"/>
          <w:lang w:val="en-US" w:eastAsia="zh-CN"/>
        </w:rPr>
        <w:t>hm</w:t>
      </w:r>
      <w:r>
        <w:rPr>
          <w:rFonts w:hint="default" w:ascii="Times New Roman" w:hAnsi="Times New Roman" w:eastAsia="宋体" w:cs="Times New Roman"/>
          <w:color w:val="000000"/>
          <w:sz w:val="24"/>
          <w:szCs w:val="22"/>
          <w:vertAlign w:val="superscript"/>
          <w:lang w:val="en-US" w:eastAsia="zh-CN"/>
        </w:rPr>
        <w:t>2</w:t>
      </w:r>
      <w:r>
        <w:rPr>
          <w:rFonts w:hint="default" w:ascii="Times New Roman" w:hAnsi="Times New Roman" w:eastAsia="宋体" w:cs="Times New Roman"/>
          <w:color w:val="000000"/>
          <w:sz w:val="24"/>
          <w:szCs w:val="22"/>
          <w:lang w:val="en-US" w:eastAsia="zh-CN"/>
        </w:rPr>
        <w:t>/km、高值为</w:t>
      </w:r>
      <w:r>
        <w:rPr>
          <w:rFonts w:hint="eastAsia" w:ascii="Times New Roman" w:hAnsi="Times New Roman" w:eastAsia="宋体" w:cs="Times New Roman"/>
          <w:color w:val="000000"/>
          <w:sz w:val="24"/>
          <w:szCs w:val="22"/>
          <w:lang w:val="en-US" w:eastAsia="zh-CN"/>
        </w:rPr>
        <w:t>5.6044</w:t>
      </w:r>
      <w:r>
        <w:rPr>
          <w:rFonts w:hint="default" w:ascii="Times New Roman" w:hAnsi="Times New Roman" w:eastAsia="宋体" w:cs="Times New Roman"/>
          <w:color w:val="000000"/>
          <w:sz w:val="24"/>
          <w:szCs w:val="22"/>
          <w:lang w:val="en-US" w:eastAsia="zh-CN"/>
        </w:rPr>
        <w:t>hm</w:t>
      </w:r>
      <w:r>
        <w:rPr>
          <w:rFonts w:hint="default" w:ascii="Times New Roman" w:hAnsi="Times New Roman" w:eastAsia="宋体" w:cs="Times New Roman"/>
          <w:color w:val="000000"/>
          <w:sz w:val="24"/>
          <w:szCs w:val="22"/>
          <w:vertAlign w:val="superscript"/>
          <w:lang w:val="en-US" w:eastAsia="zh-CN"/>
        </w:rPr>
        <w:t>2</w:t>
      </w:r>
      <w:r>
        <w:rPr>
          <w:rFonts w:hint="default" w:ascii="Times New Roman" w:hAnsi="Times New Roman" w:eastAsia="宋体" w:cs="Times New Roman"/>
          <w:color w:val="000000"/>
          <w:sz w:val="24"/>
          <w:szCs w:val="22"/>
          <w:lang w:val="en-US" w:eastAsia="zh-CN"/>
        </w:rPr>
        <w:t>/km，</w:t>
      </w:r>
      <w:r>
        <w:rPr>
          <w:rFonts w:hint="eastAsia" w:ascii="Times New Roman" w:hAnsi="Times New Roman" w:eastAsia="宋体" w:cs="Times New Roman"/>
          <w:color w:val="000000"/>
          <w:sz w:val="24"/>
          <w:szCs w:val="22"/>
          <w:lang w:val="en-US" w:eastAsia="zh-CN"/>
        </w:rPr>
        <w:t>拟建公路</w:t>
      </w:r>
      <w:r>
        <w:rPr>
          <w:rFonts w:hint="default" w:ascii="Times New Roman" w:hAnsi="Times New Roman" w:eastAsia="宋体" w:cs="Times New Roman"/>
          <w:color w:val="000000"/>
          <w:sz w:val="24"/>
          <w:szCs w:val="22"/>
          <w:lang w:val="en-US" w:eastAsia="zh-CN"/>
        </w:rPr>
        <w:t>单位里程占地低于规范用地指标低值，符合《公路建设项目用地总体指标》</w:t>
      </w:r>
      <w:r>
        <w:rPr>
          <w:rFonts w:hint="eastAsia" w:ascii="Times New Roman" w:hAnsi="Times New Roman" w:eastAsia="宋体" w:cs="Times New Roman"/>
          <w:color w:val="000000"/>
          <w:sz w:val="24"/>
          <w:szCs w:val="22"/>
          <w:lang w:val="en-US" w:eastAsia="zh-CN"/>
        </w:rPr>
        <w:t>相关控制要求</w:t>
      </w:r>
      <w:r>
        <w:rPr>
          <w:rFonts w:hint="default" w:ascii="Times New Roman" w:hAnsi="Times New Roman" w:eastAsia="宋体" w:cs="Times New Roman"/>
          <w:color w:val="000000"/>
          <w:sz w:val="24"/>
          <w:szCs w:val="22"/>
          <w:lang w:val="en-US" w:eastAsia="zh-CN"/>
        </w:rPr>
        <w:t>。</w:t>
      </w:r>
    </w:p>
    <w:p w14:paraId="5694947E">
      <w:pPr>
        <w:spacing w:line="300" w:lineRule="auto"/>
        <w:ind w:firstLine="480" w:firstLineChars="200"/>
        <w:rPr>
          <w:rFonts w:hint="default" w:ascii="Times New Roman" w:hAnsi="Times New Roman" w:eastAsia="宋体" w:cs="Times New Roman"/>
          <w:color w:val="000000"/>
          <w:sz w:val="24"/>
          <w:szCs w:val="22"/>
          <w:lang w:val="en-US" w:eastAsia="zh-CN"/>
        </w:rPr>
      </w:pPr>
      <w:r>
        <w:rPr>
          <w:rFonts w:hint="default" w:ascii="Times New Roman" w:hAnsi="Times New Roman" w:eastAsia="宋体" w:cs="Times New Roman"/>
          <w:color w:val="000000"/>
          <w:sz w:val="24"/>
          <w:szCs w:val="22"/>
          <w:lang w:val="en-US" w:eastAsia="zh-CN"/>
        </w:rPr>
        <w:t>项目全过程严格管控用地规模，切实贯彻 “十分珍惜、合理利用土地和切实保护耕地” 的土地管理基本国策。设计阶段通过采用低路基、收缩边坡等优化措施，最大限度缩减新增建设用地规模，提升土地集约利用水平。项目占地占区域土地总面积比例较低，对区域原有土地利用格局扰动轻微，综合判定</w:t>
      </w:r>
      <w:r>
        <w:rPr>
          <w:rFonts w:hint="eastAsia" w:ascii="Times New Roman" w:hAnsi="Times New Roman" w:eastAsia="宋体" w:cs="Times New Roman"/>
          <w:color w:val="000000"/>
          <w:sz w:val="24"/>
          <w:szCs w:val="22"/>
          <w:lang w:val="en-US" w:eastAsia="zh-CN"/>
        </w:rPr>
        <w:t>拟建公路</w:t>
      </w:r>
      <w:r>
        <w:rPr>
          <w:rFonts w:hint="default" w:ascii="Times New Roman" w:hAnsi="Times New Roman" w:eastAsia="宋体" w:cs="Times New Roman"/>
          <w:color w:val="000000"/>
          <w:sz w:val="24"/>
          <w:szCs w:val="22"/>
          <w:lang w:val="en-US" w:eastAsia="zh-CN"/>
        </w:rPr>
        <w:t>用地规模合理可行</w:t>
      </w:r>
      <w:r>
        <w:rPr>
          <w:rFonts w:hint="eastAsia" w:ascii="Times New Roman" w:hAnsi="Times New Roman" w:eastAsia="宋体" w:cs="Times New Roman"/>
          <w:color w:val="000000"/>
          <w:sz w:val="24"/>
          <w:szCs w:val="22"/>
          <w:lang w:val="en-US" w:eastAsia="zh-CN"/>
        </w:rPr>
        <w:t>。</w:t>
      </w:r>
    </w:p>
    <w:p w14:paraId="62FFEC52">
      <w:pPr>
        <w:spacing w:line="300" w:lineRule="auto"/>
        <w:ind w:firstLine="480" w:firstLineChars="200"/>
        <w:rPr>
          <w:rFonts w:hint="eastAsia" w:ascii="Times New Roman" w:hAnsi="Times New Roman" w:eastAsia="宋体" w:cs="Times New Roman"/>
          <w:sz w:val="24"/>
          <w:szCs w:val="22"/>
          <w:lang w:val="en-US" w:eastAsia="zh-CN"/>
        </w:rPr>
      </w:pPr>
      <w:r>
        <w:rPr>
          <w:rFonts w:hint="eastAsia" w:ascii="Times New Roman" w:hAnsi="Times New Roman" w:eastAsia="宋体" w:cs="Times New Roman"/>
          <w:color w:val="000000"/>
          <w:sz w:val="24"/>
          <w:szCs w:val="22"/>
          <w:lang w:val="en-US" w:eastAsia="zh-CN"/>
        </w:rPr>
        <w:t>2. 沿线设施用地</w:t>
      </w:r>
      <w:r>
        <w:rPr>
          <w:rFonts w:hint="eastAsia" w:ascii="Times New Roman" w:hAnsi="Times New Roman" w:eastAsia="宋体" w:cs="Times New Roman"/>
          <w:sz w:val="24"/>
          <w:szCs w:val="22"/>
          <w:lang w:val="en-US" w:eastAsia="zh-CN"/>
        </w:rPr>
        <w:t>合理性分析</w:t>
      </w:r>
    </w:p>
    <w:p w14:paraId="0E9C012B">
      <w:pPr>
        <w:spacing w:line="300" w:lineRule="auto"/>
        <w:ind w:firstLine="480" w:firstLineChars="200"/>
        <w:rPr>
          <w:rFonts w:hint="default" w:ascii="Times New Roman" w:hAnsi="Times New Roman" w:eastAsia="宋体" w:cs="Times New Roman"/>
          <w:sz w:val="24"/>
          <w:szCs w:val="22"/>
          <w:lang w:val="en-US" w:eastAsia="zh-CN"/>
        </w:rPr>
      </w:pPr>
      <w:r>
        <w:rPr>
          <w:rFonts w:hint="eastAsia" w:ascii="Times New Roman" w:hAnsi="Times New Roman" w:eastAsia="宋体" w:cs="Times New Roman"/>
          <w:sz w:val="24"/>
          <w:szCs w:val="22"/>
          <w:lang w:val="en-US" w:eastAsia="zh-CN"/>
        </w:rPr>
        <w:t>拟建公路收费站（含养护工区、</w:t>
      </w:r>
      <w:r>
        <w:rPr>
          <w:rFonts w:hint="eastAsia" w:ascii="Times New Roman" w:hAnsi="宋体" w:eastAsia="宋体" w:cs="Times New Roman"/>
          <w:sz w:val="24"/>
          <w:szCs w:val="22"/>
          <w:lang w:val="en-US" w:eastAsia="zh-CN"/>
        </w:rPr>
        <w:t>监控</w:t>
      </w:r>
      <w:r>
        <w:rPr>
          <w:rFonts w:hint="eastAsia" w:ascii="Times New Roman" w:hAnsi="宋体" w:eastAsia="宋体" w:cs="Times New Roman"/>
          <w:sz w:val="24"/>
          <w:szCs w:val="22"/>
        </w:rPr>
        <w:t>管理分中心</w:t>
      </w:r>
      <w:r>
        <w:rPr>
          <w:rFonts w:hint="eastAsia" w:ascii="Times New Roman" w:hAnsi="宋体" w:eastAsia="宋体" w:cs="Times New Roman"/>
          <w:sz w:val="24"/>
          <w:szCs w:val="22"/>
          <w:lang w:eastAsia="zh-CN"/>
        </w:rPr>
        <w:t>、</w:t>
      </w:r>
      <w:r>
        <w:rPr>
          <w:rFonts w:hint="eastAsia" w:ascii="Times New Roman" w:hAnsi="宋体" w:eastAsia="宋体" w:cs="Times New Roman"/>
          <w:sz w:val="24"/>
          <w:szCs w:val="22"/>
          <w:lang w:val="en-US" w:eastAsia="zh-CN"/>
        </w:rPr>
        <w:t>路政执法用房</w:t>
      </w:r>
      <w:r>
        <w:rPr>
          <w:rFonts w:hint="eastAsia" w:ascii="Times New Roman" w:hAnsi="Times New Roman" w:eastAsia="宋体" w:cs="Times New Roman"/>
          <w:sz w:val="24"/>
          <w:szCs w:val="22"/>
          <w:lang w:val="en-US" w:eastAsia="zh-CN"/>
        </w:rPr>
        <w:t>）占地面积4.67hm</w:t>
      </w:r>
      <w:r>
        <w:rPr>
          <w:rFonts w:hint="eastAsia" w:ascii="Times New Roman" w:hAnsi="Times New Roman" w:eastAsia="宋体" w:cs="Times New Roman"/>
          <w:sz w:val="24"/>
          <w:szCs w:val="22"/>
          <w:vertAlign w:val="superscript"/>
          <w:lang w:val="en-US" w:eastAsia="zh-CN"/>
        </w:rPr>
        <w:t>2</w:t>
      </w:r>
      <w:r>
        <w:rPr>
          <w:rFonts w:hint="eastAsia" w:ascii="Times New Roman" w:hAnsi="Times New Roman" w:eastAsia="宋体" w:cs="Times New Roman"/>
          <w:sz w:val="24"/>
          <w:szCs w:val="22"/>
          <w:lang w:val="en-US" w:eastAsia="zh-CN"/>
        </w:rPr>
        <w:t>。根据</w:t>
      </w:r>
      <w:r>
        <w:rPr>
          <w:rFonts w:hint="default" w:ascii="Times New Roman" w:hAnsi="Times New Roman" w:eastAsia="宋体" w:cs="Times New Roman"/>
          <w:color w:val="000000"/>
          <w:sz w:val="24"/>
          <w:szCs w:val="22"/>
          <w:lang w:val="en-US" w:eastAsia="zh-CN"/>
        </w:rPr>
        <w:t>《公路工程项目建设用地指标》（建标</w:t>
      </w:r>
      <w:r>
        <w:rPr>
          <w:rFonts w:hint="eastAsia" w:ascii="Times New Roman" w:hAnsi="Times New Roman" w:eastAsia="宋体" w:cs="Times New Roman"/>
          <w:color w:val="000000"/>
          <w:sz w:val="24"/>
          <w:szCs w:val="22"/>
          <w:lang w:val="en-US" w:eastAsia="zh-CN"/>
        </w:rPr>
        <w:t>[</w:t>
      </w:r>
      <w:r>
        <w:rPr>
          <w:rFonts w:hint="default" w:ascii="Times New Roman" w:hAnsi="Times New Roman" w:eastAsia="宋体" w:cs="Times New Roman"/>
          <w:color w:val="000000"/>
          <w:sz w:val="24"/>
          <w:szCs w:val="22"/>
          <w:lang w:val="en-US" w:eastAsia="zh-CN"/>
        </w:rPr>
        <w:t>2011</w:t>
      </w:r>
      <w:r>
        <w:rPr>
          <w:rFonts w:hint="eastAsia" w:ascii="Times New Roman" w:hAnsi="Times New Roman" w:eastAsia="宋体" w:cs="Times New Roman"/>
          <w:color w:val="000000"/>
          <w:sz w:val="24"/>
          <w:szCs w:val="22"/>
          <w:lang w:val="en-US" w:eastAsia="zh-CN"/>
        </w:rPr>
        <w:t>]</w:t>
      </w:r>
      <w:r>
        <w:rPr>
          <w:rFonts w:hint="default" w:ascii="Times New Roman" w:hAnsi="Times New Roman" w:eastAsia="宋体" w:cs="Times New Roman"/>
          <w:color w:val="000000"/>
          <w:sz w:val="24"/>
          <w:szCs w:val="22"/>
          <w:lang w:val="en-US" w:eastAsia="zh-CN"/>
        </w:rPr>
        <w:t>124号）的规定</w:t>
      </w:r>
      <w:r>
        <w:rPr>
          <w:rFonts w:hint="eastAsia" w:ascii="Times New Roman" w:hAnsi="Times New Roman" w:eastAsia="宋体" w:cs="Times New Roman"/>
          <w:color w:val="000000"/>
          <w:sz w:val="24"/>
          <w:szCs w:val="22"/>
          <w:lang w:val="en-US" w:eastAsia="zh-CN"/>
        </w:rPr>
        <w:t>，匝道收费站用地指标上限为0.60hm</w:t>
      </w:r>
      <w:r>
        <w:rPr>
          <w:rFonts w:hint="eastAsia" w:ascii="Times New Roman" w:hAnsi="Times New Roman" w:eastAsia="宋体" w:cs="Times New Roman"/>
          <w:color w:val="000000"/>
          <w:sz w:val="24"/>
          <w:szCs w:val="22"/>
          <w:vertAlign w:val="superscript"/>
          <w:lang w:val="en-US" w:eastAsia="zh-CN"/>
        </w:rPr>
        <w:t>2</w:t>
      </w:r>
      <w:r>
        <w:rPr>
          <w:rFonts w:hint="eastAsia" w:ascii="Times New Roman" w:hAnsi="Times New Roman" w:eastAsia="宋体" w:cs="Times New Roman"/>
          <w:color w:val="000000"/>
          <w:sz w:val="24"/>
          <w:szCs w:val="22"/>
          <w:lang w:val="en-US" w:eastAsia="zh-CN"/>
        </w:rPr>
        <w:t>，监控通信分中心用地指标上限为1.73hm</w:t>
      </w:r>
      <w:r>
        <w:rPr>
          <w:rFonts w:hint="eastAsia" w:ascii="Times New Roman" w:hAnsi="Times New Roman" w:eastAsia="宋体" w:cs="Times New Roman"/>
          <w:color w:val="000000"/>
          <w:sz w:val="24"/>
          <w:szCs w:val="22"/>
          <w:vertAlign w:val="superscript"/>
          <w:lang w:val="en-US" w:eastAsia="zh-CN"/>
        </w:rPr>
        <w:t>2</w:t>
      </w:r>
      <w:r>
        <w:rPr>
          <w:rFonts w:hint="eastAsia" w:ascii="Times New Roman" w:hAnsi="Times New Roman" w:eastAsia="宋体" w:cs="Times New Roman"/>
          <w:color w:val="000000"/>
          <w:sz w:val="24"/>
          <w:szCs w:val="22"/>
          <w:lang w:val="en-US" w:eastAsia="zh-CN"/>
        </w:rPr>
        <w:t>，一级公路养护工区用地指标上限为1.80hm</w:t>
      </w:r>
      <w:r>
        <w:rPr>
          <w:rFonts w:hint="eastAsia" w:ascii="Times New Roman" w:hAnsi="Times New Roman" w:eastAsia="宋体" w:cs="Times New Roman"/>
          <w:color w:val="000000"/>
          <w:sz w:val="24"/>
          <w:szCs w:val="22"/>
          <w:vertAlign w:val="superscript"/>
          <w:lang w:val="en-US" w:eastAsia="zh-CN"/>
        </w:rPr>
        <w:t>2</w:t>
      </w:r>
      <w:r>
        <w:rPr>
          <w:rFonts w:hint="eastAsia" w:ascii="Times New Roman" w:hAnsi="Times New Roman" w:eastAsia="宋体" w:cs="Times New Roman"/>
          <w:color w:val="000000"/>
          <w:sz w:val="24"/>
          <w:szCs w:val="22"/>
          <w:lang w:val="en-US" w:eastAsia="zh-CN"/>
        </w:rPr>
        <w:t>，路政用房用地指标上限为0.6hm</w:t>
      </w:r>
      <w:r>
        <w:rPr>
          <w:rFonts w:hint="eastAsia" w:ascii="Times New Roman" w:hAnsi="Times New Roman" w:eastAsia="宋体" w:cs="Times New Roman"/>
          <w:color w:val="000000"/>
          <w:sz w:val="24"/>
          <w:szCs w:val="22"/>
          <w:vertAlign w:val="superscript"/>
          <w:lang w:val="en-US" w:eastAsia="zh-CN"/>
        </w:rPr>
        <w:t>2</w:t>
      </w:r>
      <w:r>
        <w:rPr>
          <w:rFonts w:hint="eastAsia" w:ascii="Times New Roman" w:hAnsi="Times New Roman" w:eastAsia="宋体" w:cs="Times New Roman"/>
          <w:color w:val="000000"/>
          <w:sz w:val="24"/>
          <w:szCs w:val="22"/>
          <w:lang w:val="en-US" w:eastAsia="zh-CN"/>
        </w:rPr>
        <w:t>，四类设施用地指标上限合计为4.73hm</w:t>
      </w:r>
      <w:r>
        <w:rPr>
          <w:rFonts w:hint="eastAsia" w:ascii="Times New Roman" w:hAnsi="Times New Roman" w:eastAsia="宋体" w:cs="Times New Roman"/>
          <w:color w:val="000000"/>
          <w:sz w:val="24"/>
          <w:szCs w:val="22"/>
          <w:vertAlign w:val="superscript"/>
          <w:lang w:val="en-US" w:eastAsia="zh-CN"/>
        </w:rPr>
        <w:t>2</w:t>
      </w:r>
      <w:r>
        <w:rPr>
          <w:rFonts w:hint="eastAsia" w:ascii="Times New Roman" w:hAnsi="Times New Roman" w:eastAsia="宋体" w:cs="Times New Roman"/>
          <w:color w:val="000000"/>
          <w:sz w:val="24"/>
          <w:szCs w:val="22"/>
          <w:lang w:val="en-US" w:eastAsia="zh-CN"/>
        </w:rPr>
        <w:t>，拟建公路四类设施合建总占地为4.67hm</w:t>
      </w:r>
      <w:r>
        <w:rPr>
          <w:rFonts w:hint="eastAsia" w:ascii="Times New Roman" w:hAnsi="Times New Roman" w:eastAsia="宋体" w:cs="Times New Roman"/>
          <w:color w:val="000000"/>
          <w:sz w:val="24"/>
          <w:szCs w:val="22"/>
          <w:vertAlign w:val="superscript"/>
          <w:lang w:val="en-US" w:eastAsia="zh-CN"/>
        </w:rPr>
        <w:t>2</w:t>
      </w:r>
      <w:r>
        <w:rPr>
          <w:rFonts w:hint="eastAsia" w:ascii="Times New Roman" w:hAnsi="Times New Roman" w:eastAsia="宋体" w:cs="Times New Roman"/>
          <w:color w:val="000000"/>
          <w:sz w:val="24"/>
          <w:szCs w:val="22"/>
          <w:lang w:val="en-US" w:eastAsia="zh-CN"/>
        </w:rPr>
        <w:t>，低于用地控制上限，用地合理。</w:t>
      </w:r>
    </w:p>
    <w:p w14:paraId="4244A89F">
      <w:pPr>
        <w:keepNext/>
        <w:keepLines/>
        <w:widowControl w:val="0"/>
        <w:numPr>
          <w:ilvl w:val="2"/>
          <w:numId w:val="13"/>
        </w:numPr>
        <w:spacing w:before="120" w:after="120" w:line="240" w:lineRule="auto"/>
        <w:ind w:firstLine="200" w:firstLineChars="0"/>
        <w:jc w:val="both"/>
        <w:outlineLvl w:val="2"/>
        <w:rPr>
          <w:rFonts w:ascii="Times New Roman" w:hAnsi="Times New Roman" w:eastAsia="宋体" w:cs="Times New Roman"/>
          <w:b/>
          <w:bCs w:val="0"/>
          <w:color w:val="000000"/>
          <w:kern w:val="28"/>
          <w:sz w:val="24"/>
          <w:szCs w:val="32"/>
          <w:lang w:val="en-US" w:eastAsia="zh-CN" w:bidi="ar-SA"/>
        </w:rPr>
      </w:pPr>
      <w:bookmarkStart w:id="367" w:name="_Toc27602"/>
      <w:bookmarkStart w:id="368" w:name="OLE_LINK50"/>
      <w:r>
        <w:rPr>
          <w:rFonts w:ascii="Times New Roman" w:hAnsi="Times New Roman" w:eastAsia="宋体" w:cs="Times New Roman"/>
          <w:b/>
          <w:bCs w:val="0"/>
          <w:color w:val="000000"/>
          <w:kern w:val="28"/>
          <w:sz w:val="24"/>
          <w:szCs w:val="32"/>
          <w:lang w:val="en-US" w:eastAsia="zh-CN" w:bidi="ar-SA"/>
        </w:rPr>
        <w:t>对土地利用格局的影响</w:t>
      </w:r>
      <w:bookmarkEnd w:id="367"/>
    </w:p>
    <w:p w14:paraId="3FC8BBA6">
      <w:pPr>
        <w:widowControl w:val="0"/>
        <w:spacing w:before="0" w:beforeAutospacing="0" w:after="156" w:afterLines="50" w:afterAutospacing="0" w:line="300" w:lineRule="auto"/>
        <w:ind w:firstLine="480" w:firstLineChars="200"/>
        <w:jc w:val="both"/>
        <w:rPr>
          <w:rFonts w:ascii="Times New Roman" w:hAnsi="Times New Roman" w:eastAsia="宋体" w:cs="Times New Roman"/>
          <w:color w:val="000000"/>
          <w:kern w:val="2"/>
          <w:sz w:val="24"/>
          <w:szCs w:val="20"/>
          <w:lang w:val="en-US" w:eastAsia="zh-CN" w:bidi="ar"/>
        </w:rPr>
      </w:pPr>
      <w:r>
        <w:rPr>
          <w:rFonts w:ascii="Times New Roman" w:hAnsi="Times New Roman" w:eastAsia="宋体" w:cs="Times New Roman"/>
          <w:color w:val="000000"/>
          <w:kern w:val="2"/>
          <w:sz w:val="24"/>
          <w:szCs w:val="24"/>
          <w:lang w:val="en-US" w:eastAsia="zh-CN" w:bidi="ar"/>
        </w:rPr>
        <w:t>根据对遥感影像的解译结果，</w:t>
      </w:r>
      <w:r>
        <w:rPr>
          <w:rFonts w:ascii="Times New Roman" w:hAnsi="Times New Roman" w:eastAsia="宋体" w:cs="Times New Roman"/>
          <w:color w:val="000000"/>
          <w:kern w:val="0"/>
          <w:sz w:val="24"/>
          <w:szCs w:val="24"/>
          <w:lang w:val="en-US" w:eastAsia="zh-CN" w:bidi="ar"/>
        </w:rPr>
        <w:t>拟建公路</w:t>
      </w:r>
      <w:r>
        <w:rPr>
          <w:rFonts w:ascii="Times New Roman" w:hAnsi="Times New Roman" w:eastAsia="宋体" w:cs="Times New Roman"/>
          <w:color w:val="000000"/>
          <w:kern w:val="2"/>
          <w:sz w:val="24"/>
          <w:szCs w:val="24"/>
          <w:lang w:val="en-US" w:eastAsia="zh-CN" w:bidi="ar"/>
        </w:rPr>
        <w:t>评价范围土地总面积</w:t>
      </w:r>
      <w:bookmarkStart w:id="369" w:name="_Hlk235171490"/>
      <w:r>
        <w:rPr>
          <w:rFonts w:ascii="Times New Roman" w:hAnsi="Times New Roman" w:eastAsia="宋体" w:cs="Times New Roman"/>
          <w:color w:val="000000"/>
          <w:kern w:val="2"/>
          <w:sz w:val="24"/>
          <w:szCs w:val="24"/>
          <w:lang w:val="en-US" w:eastAsia="zh-CN" w:bidi="ar"/>
        </w:rPr>
        <w:t>2759.24</w:t>
      </w:r>
      <w:bookmarkEnd w:id="369"/>
      <w:r>
        <w:rPr>
          <w:rFonts w:ascii="Times New Roman" w:hAnsi="Times New Roman" w:eastAsia="宋体" w:cs="Times New Roman"/>
          <w:color w:val="000000"/>
          <w:kern w:val="2"/>
          <w:sz w:val="24"/>
          <w:szCs w:val="24"/>
          <w:lang w:val="en-US" w:eastAsia="zh-CN" w:bidi="ar"/>
        </w:rPr>
        <w:t>hm</w:t>
      </w:r>
      <w:r>
        <w:rPr>
          <w:rFonts w:ascii="Times New Roman" w:hAnsi="Times New Roman" w:eastAsia="宋体" w:cs="Times New Roman"/>
          <w:color w:val="000000"/>
          <w:kern w:val="2"/>
          <w:sz w:val="24"/>
          <w:szCs w:val="24"/>
          <w:vertAlign w:val="superscript"/>
          <w:lang w:val="en-US" w:eastAsia="zh-CN" w:bidi="ar"/>
        </w:rPr>
        <w:t>2</w:t>
      </w:r>
      <w:r>
        <w:rPr>
          <w:rFonts w:ascii="Times New Roman" w:hAnsi="Times New Roman" w:eastAsia="宋体" w:cs="Times New Roman"/>
          <w:color w:val="000000"/>
          <w:kern w:val="2"/>
          <w:sz w:val="24"/>
          <w:szCs w:val="24"/>
          <w:lang w:val="en-US" w:eastAsia="zh-CN" w:bidi="ar"/>
        </w:rPr>
        <w:t>，公路征地后，</w:t>
      </w:r>
      <w:r>
        <w:rPr>
          <w:rFonts w:ascii="Times New Roman" w:hAnsi="Times New Roman" w:eastAsia="宋体" w:cs="Times New Roman"/>
          <w:color w:val="000000"/>
          <w:kern w:val="2"/>
          <w:sz w:val="24"/>
          <w:szCs w:val="20"/>
          <w:lang w:val="en-US" w:eastAsia="zh-CN" w:bidi="ar"/>
        </w:rPr>
        <w:t>评价范围内各地类数量、比例变化情况及工程占地占评价范围相应地类面积的比例发生变化，主要表现为由于公路建设使得林地、草地、耕地及园地、水域等的斑块数量和面积有所减少，而由于修建工程实施使得公路用地斑块有所增加</w:t>
      </w:r>
      <w:r>
        <w:rPr>
          <w:rFonts w:ascii="Times New Roman" w:hAnsi="Times New Roman" w:eastAsia="宋体" w:cs="Times New Roman"/>
          <w:color w:val="000000"/>
          <w:kern w:val="2"/>
          <w:sz w:val="24"/>
          <w:szCs w:val="24"/>
          <w:lang w:val="en-US" w:eastAsia="zh-CN" w:bidi="ar"/>
        </w:rPr>
        <w:t>，拟建公路征地前后评价范围内土地利用格局变化情况统计见表3.1-1。</w:t>
      </w:r>
    </w:p>
    <w:p w14:paraId="12D3B43C">
      <w:pPr>
        <w:widowControl w:val="0"/>
        <w:spacing w:before="0" w:beforeAutospacing="0" w:after="0" w:afterAutospacing="0" w:line="240" w:lineRule="auto"/>
        <w:ind w:firstLine="0" w:firstLineChars="0"/>
        <w:jc w:val="center"/>
        <w:rPr>
          <w:rFonts w:ascii="Times New Roman" w:hAnsi="Times New Roman" w:eastAsia="宋体" w:cs="Times New Roman"/>
          <w:b/>
          <w:bCs/>
          <w:color w:val="000000"/>
          <w:kern w:val="0"/>
          <w:sz w:val="21"/>
          <w:szCs w:val="20"/>
          <w:lang w:val="en-US" w:eastAsia="zh-CN" w:bidi="ar-SA"/>
        </w:rPr>
      </w:pPr>
      <w:r>
        <w:rPr>
          <w:rFonts w:ascii="Times New Roman" w:hAnsi="Times New Roman" w:eastAsia="宋体" w:cs="Times New Roman"/>
          <w:b/>
          <w:bCs/>
          <w:color w:val="000000"/>
          <w:kern w:val="2"/>
          <w:sz w:val="21"/>
          <w:szCs w:val="20"/>
          <w:lang w:val="en-US" w:eastAsia="zh-CN" w:bidi="ar"/>
        </w:rPr>
        <w:t>表3.1-1  拟建公路征地前后评价范围内土地利用格局变化情况统计</w:t>
      </w:r>
    </w:p>
    <w:tbl>
      <w:tblPr>
        <w:tblStyle w:val="22"/>
        <w:tblW w:w="5000" w:type="pct"/>
        <w:jc w:val="center"/>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2975"/>
        <w:gridCol w:w="776"/>
        <w:gridCol w:w="734"/>
        <w:gridCol w:w="804"/>
        <w:gridCol w:w="704"/>
        <w:gridCol w:w="763"/>
        <w:gridCol w:w="875"/>
        <w:gridCol w:w="741"/>
      </w:tblGrid>
      <w:tr w14:paraId="2C4BCB85">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trHeight w:val="312" w:hRule="atLeast"/>
          <w:jc w:val="center"/>
        </w:trPr>
        <w:tc>
          <w:tcPr>
            <w:tcW w:w="1781" w:type="pct"/>
            <w:vMerge w:val="restart"/>
            <w:vAlign w:val="center"/>
          </w:tcPr>
          <w:p w14:paraId="5EB62EF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b/>
                <w:bCs/>
                <w:caps/>
                <w:color w:val="000000"/>
                <w:sz w:val="21"/>
                <w:szCs w:val="21"/>
              </w:rPr>
            </w:pPr>
            <w:r>
              <w:rPr>
                <w:rFonts w:ascii="Times New Roman" w:hAnsi="Times New Roman" w:eastAsia="宋体" w:cs="Times New Roman"/>
                <w:b/>
                <w:bCs/>
                <w:caps/>
                <w:color w:val="000000"/>
                <w:sz w:val="21"/>
                <w:szCs w:val="21"/>
              </w:rPr>
              <w:t>土地类型</w:t>
            </w:r>
          </w:p>
          <w:p w14:paraId="0E34E3B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b/>
                <w:bCs/>
                <w:caps/>
                <w:color w:val="000000"/>
                <w:sz w:val="21"/>
                <w:szCs w:val="21"/>
              </w:rPr>
            </w:pPr>
            <w:r>
              <w:rPr>
                <w:rFonts w:ascii="Times New Roman" w:hAnsi="Times New Roman" w:eastAsia="宋体" w:cs="Times New Roman"/>
                <w:b/>
                <w:bCs/>
                <w:caps/>
                <w:color w:val="000000"/>
                <w:sz w:val="21"/>
                <w:szCs w:val="21"/>
              </w:rPr>
              <w:t>项目</w:t>
            </w:r>
          </w:p>
        </w:tc>
        <w:tc>
          <w:tcPr>
            <w:tcW w:w="3219" w:type="pct"/>
            <w:gridSpan w:val="7"/>
            <w:vAlign w:val="center"/>
          </w:tcPr>
          <w:p w14:paraId="1E11CF5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b/>
                <w:bCs/>
                <w:caps/>
                <w:color w:val="000000"/>
                <w:sz w:val="21"/>
                <w:szCs w:val="21"/>
              </w:rPr>
            </w:pPr>
            <w:r>
              <w:rPr>
                <w:rFonts w:ascii="Times New Roman" w:hAnsi="Times New Roman" w:eastAsia="宋体" w:cs="Times New Roman"/>
                <w:b/>
                <w:bCs/>
                <w:caps/>
                <w:color w:val="000000"/>
                <w:sz w:val="21"/>
                <w:szCs w:val="21"/>
              </w:rPr>
              <w:t>土地面积及比例（面积单位：</w:t>
            </w:r>
            <w:r>
              <w:rPr>
                <w:rFonts w:ascii="Times New Roman" w:hAnsi="Times New Roman" w:eastAsia="宋体" w:cs="Times New Roman"/>
                <w:b/>
                <w:bCs/>
                <w:color w:val="000000"/>
                <w:sz w:val="21"/>
                <w:szCs w:val="21"/>
                <w:lang w:bidi="ar"/>
              </w:rPr>
              <w:t>hm</w:t>
            </w:r>
            <w:r>
              <w:rPr>
                <w:rFonts w:ascii="Times New Roman" w:hAnsi="Times New Roman" w:eastAsia="宋体" w:cs="Times New Roman"/>
                <w:b/>
                <w:bCs/>
                <w:color w:val="000000"/>
                <w:sz w:val="21"/>
                <w:szCs w:val="21"/>
                <w:vertAlign w:val="superscript"/>
                <w:lang w:bidi="ar"/>
              </w:rPr>
              <w:t>2</w:t>
            </w:r>
            <w:r>
              <w:rPr>
                <w:rFonts w:ascii="Times New Roman" w:hAnsi="Times New Roman" w:eastAsia="宋体" w:cs="Times New Roman"/>
                <w:b/>
                <w:bCs/>
                <w:caps/>
                <w:color w:val="000000"/>
                <w:sz w:val="21"/>
                <w:szCs w:val="21"/>
              </w:rPr>
              <w:t>；比例单位：%）</w:t>
            </w:r>
          </w:p>
        </w:tc>
      </w:tr>
      <w:tr w14:paraId="0C1E85EF">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trHeight w:val="312" w:hRule="atLeast"/>
          <w:jc w:val="center"/>
        </w:trPr>
        <w:tc>
          <w:tcPr>
            <w:tcW w:w="1781" w:type="pct"/>
            <w:vMerge w:val="continue"/>
            <w:vAlign w:val="center"/>
          </w:tcPr>
          <w:p w14:paraId="72CB666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b/>
                <w:bCs/>
                <w:caps/>
                <w:color w:val="000000"/>
                <w:sz w:val="21"/>
                <w:szCs w:val="21"/>
              </w:rPr>
            </w:pPr>
          </w:p>
        </w:tc>
        <w:tc>
          <w:tcPr>
            <w:tcW w:w="467" w:type="pct"/>
            <w:vAlign w:val="center"/>
          </w:tcPr>
          <w:p w14:paraId="0024B3B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b/>
                <w:bCs/>
                <w:caps/>
                <w:color w:val="000000"/>
                <w:sz w:val="21"/>
                <w:szCs w:val="21"/>
              </w:rPr>
            </w:pPr>
            <w:r>
              <w:rPr>
                <w:rFonts w:ascii="Times New Roman" w:hAnsi="Times New Roman" w:eastAsia="宋体" w:cs="Times New Roman"/>
                <w:b/>
                <w:bCs/>
                <w:caps/>
                <w:color w:val="000000"/>
                <w:sz w:val="21"/>
                <w:szCs w:val="21"/>
              </w:rPr>
              <w:t>林地</w:t>
            </w:r>
          </w:p>
        </w:tc>
        <w:tc>
          <w:tcPr>
            <w:tcW w:w="442" w:type="pct"/>
            <w:vAlign w:val="center"/>
          </w:tcPr>
          <w:p w14:paraId="1B0F712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b/>
                <w:bCs/>
                <w:caps/>
                <w:color w:val="000000"/>
                <w:sz w:val="21"/>
                <w:szCs w:val="21"/>
              </w:rPr>
            </w:pPr>
            <w:r>
              <w:rPr>
                <w:rFonts w:ascii="Times New Roman" w:hAnsi="Times New Roman" w:eastAsia="宋体" w:cs="Times New Roman"/>
                <w:b/>
                <w:bCs/>
                <w:caps/>
                <w:color w:val="000000"/>
                <w:sz w:val="21"/>
                <w:szCs w:val="21"/>
              </w:rPr>
              <w:t>草地</w:t>
            </w:r>
          </w:p>
        </w:tc>
        <w:tc>
          <w:tcPr>
            <w:tcW w:w="484" w:type="pct"/>
            <w:vAlign w:val="center"/>
          </w:tcPr>
          <w:p w14:paraId="3A7416A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b/>
                <w:bCs/>
                <w:caps/>
                <w:color w:val="000000"/>
                <w:sz w:val="21"/>
                <w:szCs w:val="21"/>
              </w:rPr>
            </w:pPr>
            <w:r>
              <w:rPr>
                <w:rFonts w:ascii="Times New Roman" w:hAnsi="Times New Roman" w:eastAsia="宋体" w:cs="Times New Roman"/>
                <w:b/>
                <w:bCs/>
                <w:caps/>
                <w:color w:val="000000"/>
                <w:sz w:val="21"/>
                <w:szCs w:val="21"/>
              </w:rPr>
              <w:t>耕地及园地</w:t>
            </w:r>
          </w:p>
        </w:tc>
        <w:tc>
          <w:tcPr>
            <w:tcW w:w="401" w:type="pct"/>
            <w:vAlign w:val="center"/>
          </w:tcPr>
          <w:p w14:paraId="1295926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b/>
                <w:bCs/>
                <w:caps/>
                <w:color w:val="000000"/>
                <w:sz w:val="21"/>
                <w:szCs w:val="21"/>
              </w:rPr>
            </w:pPr>
            <w:r>
              <w:rPr>
                <w:rFonts w:ascii="Times New Roman" w:hAnsi="Times New Roman" w:eastAsia="宋体" w:cs="Times New Roman"/>
                <w:b/>
                <w:bCs/>
                <w:caps/>
                <w:color w:val="000000"/>
                <w:sz w:val="21"/>
                <w:szCs w:val="21"/>
              </w:rPr>
              <w:t>建设用地</w:t>
            </w:r>
          </w:p>
        </w:tc>
        <w:tc>
          <w:tcPr>
            <w:tcW w:w="459" w:type="pct"/>
            <w:vAlign w:val="center"/>
          </w:tcPr>
          <w:p w14:paraId="0F1D764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b/>
                <w:bCs/>
                <w:caps/>
                <w:color w:val="000000"/>
                <w:sz w:val="21"/>
                <w:szCs w:val="21"/>
              </w:rPr>
            </w:pPr>
            <w:r>
              <w:rPr>
                <w:rFonts w:ascii="Times New Roman" w:hAnsi="Times New Roman" w:eastAsia="宋体" w:cs="Times New Roman"/>
                <w:b/>
                <w:bCs/>
                <w:caps/>
                <w:color w:val="000000"/>
                <w:sz w:val="21"/>
                <w:szCs w:val="21"/>
              </w:rPr>
              <w:t>未利用地</w:t>
            </w:r>
          </w:p>
        </w:tc>
        <w:tc>
          <w:tcPr>
            <w:tcW w:w="526" w:type="pct"/>
            <w:vAlign w:val="bottom"/>
          </w:tcPr>
          <w:p w14:paraId="784FFA0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b/>
                <w:bCs/>
                <w:caps/>
                <w:color w:val="000000"/>
                <w:sz w:val="21"/>
                <w:szCs w:val="21"/>
              </w:rPr>
            </w:pPr>
            <w:r>
              <w:rPr>
                <w:rFonts w:ascii="Times New Roman" w:hAnsi="Times New Roman" w:eastAsia="宋体" w:cs="Times New Roman"/>
                <w:b/>
                <w:bCs/>
                <w:caps/>
                <w:color w:val="000000"/>
                <w:sz w:val="21"/>
                <w:szCs w:val="21"/>
              </w:rPr>
              <w:t>水域及水利设施用地</w:t>
            </w:r>
          </w:p>
        </w:tc>
        <w:tc>
          <w:tcPr>
            <w:tcW w:w="441" w:type="pct"/>
            <w:vAlign w:val="center"/>
          </w:tcPr>
          <w:p w14:paraId="2F37D62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b/>
                <w:bCs/>
                <w:caps/>
                <w:color w:val="000000"/>
                <w:sz w:val="21"/>
                <w:szCs w:val="21"/>
              </w:rPr>
            </w:pPr>
            <w:r>
              <w:rPr>
                <w:rFonts w:ascii="Times New Roman" w:hAnsi="Times New Roman" w:eastAsia="宋体" w:cs="Times New Roman"/>
                <w:b/>
                <w:bCs/>
                <w:caps/>
                <w:color w:val="000000"/>
                <w:sz w:val="21"/>
                <w:szCs w:val="21"/>
              </w:rPr>
              <w:t>合计</w:t>
            </w:r>
          </w:p>
        </w:tc>
      </w:tr>
      <w:tr w14:paraId="77EC98DF">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trHeight w:val="312" w:hRule="atLeast"/>
          <w:jc w:val="center"/>
        </w:trPr>
        <w:tc>
          <w:tcPr>
            <w:tcW w:w="1781" w:type="pct"/>
            <w:vAlign w:val="center"/>
          </w:tcPr>
          <w:p w14:paraId="0A04E26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color w:val="000000"/>
                <w:sz w:val="21"/>
                <w:szCs w:val="21"/>
              </w:rPr>
            </w:pPr>
            <w:r>
              <w:rPr>
                <w:rFonts w:ascii="Times New Roman" w:hAnsi="Times New Roman" w:eastAsia="宋体" w:cs="Times New Roman"/>
                <w:caps/>
                <w:color w:val="000000"/>
                <w:sz w:val="21"/>
                <w:szCs w:val="21"/>
              </w:rPr>
              <w:t>评价范围内土地利用现状面积</w:t>
            </w:r>
          </w:p>
        </w:tc>
        <w:tc>
          <w:tcPr>
            <w:tcW w:w="467" w:type="pct"/>
            <w:vAlign w:val="center"/>
          </w:tcPr>
          <w:p w14:paraId="786EC60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color w:val="000000"/>
                <w:sz w:val="21"/>
                <w:szCs w:val="21"/>
              </w:rPr>
            </w:pPr>
            <w:r>
              <w:rPr>
                <w:rFonts w:ascii="Times New Roman" w:hAnsi="Times New Roman" w:eastAsia="宋体" w:cs="Times New Roman"/>
                <w:caps/>
                <w:color w:val="000000"/>
                <w:sz w:val="21"/>
                <w:szCs w:val="21"/>
              </w:rPr>
              <w:t>211.23</w:t>
            </w:r>
          </w:p>
        </w:tc>
        <w:tc>
          <w:tcPr>
            <w:tcW w:w="442" w:type="pct"/>
            <w:vAlign w:val="center"/>
          </w:tcPr>
          <w:p w14:paraId="4CAF423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color w:val="000000"/>
                <w:sz w:val="21"/>
                <w:szCs w:val="21"/>
              </w:rPr>
            </w:pPr>
            <w:r>
              <w:rPr>
                <w:rFonts w:ascii="Times New Roman" w:hAnsi="Times New Roman" w:eastAsia="宋体" w:cs="Times New Roman"/>
                <w:caps/>
                <w:color w:val="000000"/>
                <w:sz w:val="21"/>
                <w:szCs w:val="21"/>
              </w:rPr>
              <w:t>226.43</w:t>
            </w:r>
          </w:p>
        </w:tc>
        <w:tc>
          <w:tcPr>
            <w:tcW w:w="484" w:type="pct"/>
            <w:vAlign w:val="center"/>
          </w:tcPr>
          <w:p w14:paraId="7A8B619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color w:val="000000"/>
                <w:sz w:val="21"/>
                <w:szCs w:val="21"/>
              </w:rPr>
            </w:pPr>
            <w:r>
              <w:rPr>
                <w:rFonts w:ascii="Times New Roman" w:hAnsi="Times New Roman" w:eastAsia="宋体" w:cs="Times New Roman"/>
                <w:caps/>
                <w:color w:val="000000"/>
                <w:sz w:val="21"/>
                <w:szCs w:val="21"/>
              </w:rPr>
              <w:t>1139.56</w:t>
            </w:r>
          </w:p>
        </w:tc>
        <w:tc>
          <w:tcPr>
            <w:tcW w:w="401" w:type="pct"/>
            <w:vAlign w:val="center"/>
          </w:tcPr>
          <w:p w14:paraId="502BA72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color w:val="000000"/>
                <w:sz w:val="21"/>
                <w:szCs w:val="21"/>
              </w:rPr>
            </w:pPr>
            <w:r>
              <w:rPr>
                <w:rFonts w:ascii="Times New Roman" w:hAnsi="Times New Roman" w:eastAsia="宋体" w:cs="Times New Roman"/>
                <w:caps/>
                <w:color w:val="000000"/>
                <w:sz w:val="21"/>
                <w:szCs w:val="21"/>
              </w:rPr>
              <w:t>820.25</w:t>
            </w:r>
          </w:p>
        </w:tc>
        <w:tc>
          <w:tcPr>
            <w:tcW w:w="459" w:type="pct"/>
            <w:vAlign w:val="center"/>
          </w:tcPr>
          <w:p w14:paraId="35B7B61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color w:val="000000"/>
                <w:sz w:val="21"/>
                <w:szCs w:val="21"/>
              </w:rPr>
            </w:pPr>
            <w:r>
              <w:rPr>
                <w:rFonts w:ascii="Times New Roman" w:hAnsi="Times New Roman" w:eastAsia="宋体" w:cs="Times New Roman"/>
                <w:caps/>
                <w:color w:val="000000"/>
                <w:sz w:val="21"/>
                <w:szCs w:val="21"/>
              </w:rPr>
              <w:t>358.23</w:t>
            </w:r>
          </w:p>
        </w:tc>
        <w:tc>
          <w:tcPr>
            <w:tcW w:w="526" w:type="pct"/>
            <w:vAlign w:val="center"/>
          </w:tcPr>
          <w:p w14:paraId="63D0878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color w:val="000000"/>
                <w:sz w:val="21"/>
                <w:szCs w:val="21"/>
              </w:rPr>
            </w:pPr>
            <w:r>
              <w:rPr>
                <w:rFonts w:ascii="Times New Roman" w:hAnsi="Times New Roman" w:eastAsia="宋体" w:cs="Times New Roman"/>
                <w:caps/>
                <w:color w:val="000000"/>
                <w:sz w:val="21"/>
                <w:szCs w:val="21"/>
              </w:rPr>
              <w:t>3.54</w:t>
            </w:r>
          </w:p>
        </w:tc>
        <w:tc>
          <w:tcPr>
            <w:tcW w:w="441" w:type="pct"/>
            <w:vAlign w:val="center"/>
          </w:tcPr>
          <w:p w14:paraId="51EC790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color w:val="000000"/>
                <w:sz w:val="21"/>
                <w:szCs w:val="21"/>
              </w:rPr>
            </w:pPr>
            <w:r>
              <w:rPr>
                <w:rFonts w:ascii="Times New Roman" w:hAnsi="Times New Roman" w:eastAsia="宋体" w:cs="Times New Roman"/>
                <w:caps/>
                <w:color w:val="000000"/>
                <w:sz w:val="21"/>
                <w:szCs w:val="21"/>
              </w:rPr>
              <w:t>2759.24</w:t>
            </w:r>
          </w:p>
        </w:tc>
      </w:tr>
      <w:tr w14:paraId="60D3BD44">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trHeight w:val="312" w:hRule="atLeast"/>
          <w:jc w:val="center"/>
        </w:trPr>
        <w:tc>
          <w:tcPr>
            <w:tcW w:w="1781" w:type="pct"/>
            <w:vAlign w:val="center"/>
          </w:tcPr>
          <w:p w14:paraId="4AB1A93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color w:val="000000"/>
                <w:sz w:val="21"/>
                <w:szCs w:val="21"/>
              </w:rPr>
            </w:pPr>
            <w:r>
              <w:rPr>
                <w:rFonts w:ascii="Times New Roman" w:hAnsi="Times New Roman" w:eastAsia="宋体" w:cs="Times New Roman"/>
                <w:caps/>
                <w:color w:val="000000"/>
                <w:sz w:val="21"/>
                <w:szCs w:val="21"/>
              </w:rPr>
              <w:t>工程征地前评价范围内各种</w:t>
            </w:r>
          </w:p>
          <w:p w14:paraId="1CB53C6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color w:val="000000"/>
                <w:sz w:val="21"/>
                <w:szCs w:val="21"/>
              </w:rPr>
            </w:pPr>
            <w:r>
              <w:rPr>
                <w:rFonts w:ascii="Times New Roman" w:hAnsi="Times New Roman" w:eastAsia="宋体" w:cs="Times New Roman"/>
                <w:caps/>
                <w:color w:val="000000"/>
                <w:sz w:val="21"/>
                <w:szCs w:val="21"/>
              </w:rPr>
              <w:t>土地类型占总面积的比例</w:t>
            </w:r>
          </w:p>
        </w:tc>
        <w:tc>
          <w:tcPr>
            <w:tcW w:w="467" w:type="pct"/>
            <w:vAlign w:val="center"/>
          </w:tcPr>
          <w:p w14:paraId="6FDA452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color w:val="000000"/>
                <w:sz w:val="21"/>
                <w:szCs w:val="21"/>
              </w:rPr>
            </w:pPr>
            <w:r>
              <w:rPr>
                <w:rFonts w:ascii="Times New Roman" w:hAnsi="Times New Roman" w:eastAsia="宋体" w:cs="Times New Roman"/>
                <w:caps/>
                <w:color w:val="000000"/>
                <w:sz w:val="21"/>
                <w:szCs w:val="21"/>
              </w:rPr>
              <w:t>7.66%</w:t>
            </w:r>
          </w:p>
        </w:tc>
        <w:tc>
          <w:tcPr>
            <w:tcW w:w="442" w:type="pct"/>
            <w:vAlign w:val="center"/>
          </w:tcPr>
          <w:p w14:paraId="239CDDC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color w:val="000000"/>
                <w:sz w:val="21"/>
                <w:szCs w:val="21"/>
              </w:rPr>
            </w:pPr>
            <w:r>
              <w:rPr>
                <w:rFonts w:ascii="Times New Roman" w:hAnsi="Times New Roman" w:eastAsia="宋体" w:cs="Times New Roman"/>
                <w:caps/>
                <w:color w:val="000000"/>
                <w:sz w:val="21"/>
                <w:szCs w:val="21"/>
              </w:rPr>
              <w:t>8.21%</w:t>
            </w:r>
          </w:p>
        </w:tc>
        <w:tc>
          <w:tcPr>
            <w:tcW w:w="484" w:type="pct"/>
            <w:vAlign w:val="center"/>
          </w:tcPr>
          <w:p w14:paraId="53F54D6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color w:val="000000"/>
                <w:sz w:val="21"/>
                <w:szCs w:val="21"/>
              </w:rPr>
            </w:pPr>
            <w:r>
              <w:rPr>
                <w:rFonts w:ascii="Times New Roman" w:hAnsi="Times New Roman" w:eastAsia="宋体" w:cs="Times New Roman"/>
                <w:caps/>
                <w:color w:val="000000"/>
                <w:sz w:val="21"/>
                <w:szCs w:val="21"/>
              </w:rPr>
              <w:t>41.3%</w:t>
            </w:r>
          </w:p>
        </w:tc>
        <w:tc>
          <w:tcPr>
            <w:tcW w:w="401" w:type="pct"/>
            <w:vAlign w:val="center"/>
          </w:tcPr>
          <w:p w14:paraId="04A712A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color w:val="000000"/>
                <w:sz w:val="21"/>
                <w:szCs w:val="21"/>
              </w:rPr>
            </w:pPr>
            <w:r>
              <w:rPr>
                <w:rFonts w:ascii="Times New Roman" w:hAnsi="Times New Roman" w:eastAsia="宋体" w:cs="Times New Roman"/>
                <w:caps/>
                <w:color w:val="000000"/>
                <w:sz w:val="21"/>
                <w:szCs w:val="21"/>
              </w:rPr>
              <w:t>29.73%</w:t>
            </w:r>
          </w:p>
        </w:tc>
        <w:tc>
          <w:tcPr>
            <w:tcW w:w="459" w:type="pct"/>
            <w:vAlign w:val="center"/>
          </w:tcPr>
          <w:p w14:paraId="188461C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color w:val="000000"/>
                <w:sz w:val="21"/>
                <w:szCs w:val="21"/>
              </w:rPr>
            </w:pPr>
            <w:r>
              <w:rPr>
                <w:rFonts w:ascii="Times New Roman" w:hAnsi="Times New Roman" w:eastAsia="宋体" w:cs="Times New Roman"/>
                <w:caps/>
                <w:color w:val="000000"/>
                <w:sz w:val="21"/>
                <w:szCs w:val="21"/>
              </w:rPr>
              <w:t>12.98%</w:t>
            </w:r>
          </w:p>
        </w:tc>
        <w:tc>
          <w:tcPr>
            <w:tcW w:w="526" w:type="pct"/>
            <w:vAlign w:val="center"/>
          </w:tcPr>
          <w:p w14:paraId="29A7A42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color w:val="000000"/>
                <w:sz w:val="21"/>
                <w:szCs w:val="21"/>
              </w:rPr>
            </w:pPr>
            <w:r>
              <w:rPr>
                <w:rFonts w:ascii="Times New Roman" w:hAnsi="Times New Roman" w:eastAsia="宋体" w:cs="Times New Roman"/>
                <w:caps/>
                <w:color w:val="000000"/>
                <w:sz w:val="21"/>
                <w:szCs w:val="21"/>
              </w:rPr>
              <w:t>0.13%</w:t>
            </w:r>
          </w:p>
        </w:tc>
        <w:tc>
          <w:tcPr>
            <w:tcW w:w="441" w:type="pct"/>
            <w:vAlign w:val="center"/>
          </w:tcPr>
          <w:p w14:paraId="1F50262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color w:val="000000"/>
                <w:sz w:val="21"/>
                <w:szCs w:val="21"/>
              </w:rPr>
            </w:pPr>
            <w:r>
              <w:rPr>
                <w:rFonts w:ascii="Times New Roman" w:hAnsi="Times New Roman" w:eastAsia="宋体" w:cs="Times New Roman"/>
                <w:caps/>
                <w:color w:val="000000"/>
                <w:sz w:val="21"/>
                <w:szCs w:val="21"/>
              </w:rPr>
              <w:t>100.0%</w:t>
            </w:r>
          </w:p>
        </w:tc>
      </w:tr>
      <w:tr w14:paraId="08FF1E10">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trHeight w:val="312" w:hRule="atLeast"/>
          <w:jc w:val="center"/>
        </w:trPr>
        <w:tc>
          <w:tcPr>
            <w:tcW w:w="1781" w:type="pct"/>
            <w:vAlign w:val="center"/>
          </w:tcPr>
          <w:p w14:paraId="3610CE8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color w:val="000000"/>
                <w:sz w:val="21"/>
                <w:szCs w:val="21"/>
              </w:rPr>
            </w:pPr>
            <w:bookmarkStart w:id="370" w:name="_Hlk235177359"/>
            <w:r>
              <w:rPr>
                <w:rFonts w:ascii="Times New Roman" w:hAnsi="Times New Roman" w:eastAsia="宋体" w:cs="Times New Roman"/>
                <w:caps/>
                <w:color w:val="000000"/>
                <w:sz w:val="21"/>
                <w:szCs w:val="21"/>
              </w:rPr>
              <w:t>工程占用各类土地面积</w:t>
            </w:r>
          </w:p>
        </w:tc>
        <w:tc>
          <w:tcPr>
            <w:tcW w:w="467" w:type="pct"/>
            <w:vAlign w:val="center"/>
          </w:tcPr>
          <w:p w14:paraId="3DCF7E9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color w:val="000000"/>
                <w:sz w:val="21"/>
                <w:szCs w:val="21"/>
              </w:rPr>
            </w:pPr>
            <w:r>
              <w:rPr>
                <w:rFonts w:ascii="Times New Roman" w:hAnsi="Times New Roman" w:eastAsia="宋体" w:cs="Times New Roman"/>
                <w:caps/>
                <w:color w:val="000000"/>
                <w:sz w:val="21"/>
                <w:szCs w:val="21"/>
              </w:rPr>
              <w:t>78.08</w:t>
            </w:r>
          </w:p>
        </w:tc>
        <w:tc>
          <w:tcPr>
            <w:tcW w:w="442" w:type="pct"/>
            <w:vAlign w:val="center"/>
          </w:tcPr>
          <w:p w14:paraId="5C390CA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color w:val="000000"/>
                <w:sz w:val="21"/>
                <w:szCs w:val="21"/>
              </w:rPr>
            </w:pPr>
            <w:r>
              <w:rPr>
                <w:rFonts w:ascii="Times New Roman" w:hAnsi="Times New Roman" w:eastAsia="宋体" w:cs="Times New Roman"/>
                <w:caps/>
                <w:color w:val="000000"/>
                <w:sz w:val="21"/>
                <w:szCs w:val="21"/>
              </w:rPr>
              <w:t>4.79</w:t>
            </w:r>
          </w:p>
        </w:tc>
        <w:tc>
          <w:tcPr>
            <w:tcW w:w="484" w:type="pct"/>
            <w:vAlign w:val="center"/>
          </w:tcPr>
          <w:p w14:paraId="13A71E5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color w:val="000000"/>
                <w:sz w:val="21"/>
                <w:szCs w:val="21"/>
              </w:rPr>
            </w:pPr>
            <w:r>
              <w:rPr>
                <w:rFonts w:ascii="Times New Roman" w:hAnsi="Times New Roman" w:eastAsia="宋体" w:cs="Times New Roman"/>
                <w:caps/>
                <w:color w:val="000000"/>
                <w:sz w:val="21"/>
                <w:szCs w:val="21"/>
              </w:rPr>
              <w:t>41.97</w:t>
            </w:r>
          </w:p>
        </w:tc>
        <w:tc>
          <w:tcPr>
            <w:tcW w:w="401" w:type="pct"/>
            <w:vAlign w:val="center"/>
          </w:tcPr>
          <w:p w14:paraId="0D42AD0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color w:val="000000"/>
                <w:sz w:val="21"/>
                <w:szCs w:val="21"/>
              </w:rPr>
            </w:pPr>
            <w:r>
              <w:rPr>
                <w:rFonts w:ascii="Times New Roman" w:hAnsi="Times New Roman" w:eastAsia="宋体" w:cs="Times New Roman"/>
                <w:caps/>
                <w:color w:val="000000"/>
                <w:sz w:val="21"/>
                <w:szCs w:val="21"/>
              </w:rPr>
              <w:t>164.73</w:t>
            </w:r>
          </w:p>
        </w:tc>
        <w:tc>
          <w:tcPr>
            <w:tcW w:w="459" w:type="pct"/>
            <w:vAlign w:val="center"/>
          </w:tcPr>
          <w:p w14:paraId="51F4570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color w:val="000000"/>
                <w:sz w:val="21"/>
                <w:szCs w:val="21"/>
              </w:rPr>
            </w:pPr>
            <w:r>
              <w:rPr>
                <w:rFonts w:ascii="Times New Roman" w:hAnsi="Times New Roman" w:eastAsia="宋体" w:cs="Times New Roman"/>
                <w:caps/>
                <w:color w:val="000000"/>
                <w:sz w:val="21"/>
                <w:szCs w:val="21"/>
              </w:rPr>
              <w:t>15.68</w:t>
            </w:r>
          </w:p>
        </w:tc>
        <w:tc>
          <w:tcPr>
            <w:tcW w:w="526" w:type="pct"/>
            <w:vAlign w:val="center"/>
          </w:tcPr>
          <w:p w14:paraId="25BAB86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color w:val="000000"/>
                <w:sz w:val="21"/>
                <w:szCs w:val="21"/>
              </w:rPr>
            </w:pPr>
            <w:r>
              <w:rPr>
                <w:rFonts w:ascii="Times New Roman" w:hAnsi="Times New Roman" w:eastAsia="宋体" w:cs="Times New Roman"/>
                <w:caps/>
                <w:color w:val="000000"/>
                <w:sz w:val="21"/>
                <w:szCs w:val="21"/>
              </w:rPr>
              <w:t>1.07</w:t>
            </w:r>
          </w:p>
        </w:tc>
        <w:tc>
          <w:tcPr>
            <w:tcW w:w="441" w:type="pct"/>
            <w:vAlign w:val="center"/>
          </w:tcPr>
          <w:p w14:paraId="0741F92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color w:val="000000"/>
                <w:sz w:val="21"/>
                <w:szCs w:val="21"/>
              </w:rPr>
            </w:pPr>
            <w:r>
              <w:rPr>
                <w:rFonts w:ascii="Times New Roman" w:hAnsi="Times New Roman" w:eastAsia="宋体" w:cs="Times New Roman"/>
                <w:caps/>
                <w:color w:val="000000"/>
                <w:sz w:val="21"/>
                <w:szCs w:val="21"/>
              </w:rPr>
              <w:t>306.32</w:t>
            </w:r>
          </w:p>
        </w:tc>
      </w:tr>
      <w:bookmarkEnd w:id="370"/>
      <w:tr w14:paraId="54ACCAF1">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trHeight w:val="312" w:hRule="atLeast"/>
          <w:jc w:val="center"/>
        </w:trPr>
        <w:tc>
          <w:tcPr>
            <w:tcW w:w="1781" w:type="pct"/>
            <w:vAlign w:val="center"/>
          </w:tcPr>
          <w:p w14:paraId="3E3112B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color w:val="000000"/>
                <w:sz w:val="21"/>
                <w:szCs w:val="21"/>
              </w:rPr>
            </w:pPr>
            <w:r>
              <w:rPr>
                <w:rFonts w:ascii="Times New Roman" w:hAnsi="Times New Roman" w:eastAsia="宋体" w:cs="Times New Roman"/>
                <w:caps/>
                <w:color w:val="000000"/>
                <w:sz w:val="21"/>
                <w:szCs w:val="21"/>
              </w:rPr>
              <w:t>工程征地后评价范围各</w:t>
            </w:r>
          </w:p>
          <w:p w14:paraId="7BA70A0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color w:val="000000"/>
                <w:sz w:val="21"/>
                <w:szCs w:val="21"/>
              </w:rPr>
            </w:pPr>
            <w:r>
              <w:rPr>
                <w:rFonts w:ascii="Times New Roman" w:hAnsi="Times New Roman" w:eastAsia="宋体" w:cs="Times New Roman"/>
                <w:caps/>
                <w:color w:val="000000"/>
                <w:sz w:val="21"/>
                <w:szCs w:val="21"/>
              </w:rPr>
              <w:t>土地利用类型剩余面积</w:t>
            </w:r>
          </w:p>
        </w:tc>
        <w:tc>
          <w:tcPr>
            <w:tcW w:w="467" w:type="pct"/>
            <w:vAlign w:val="center"/>
          </w:tcPr>
          <w:p w14:paraId="5239C1A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color w:val="000000"/>
                <w:sz w:val="21"/>
                <w:szCs w:val="21"/>
              </w:rPr>
            </w:pPr>
            <w:r>
              <w:rPr>
                <w:rFonts w:ascii="Times New Roman" w:hAnsi="Times New Roman" w:eastAsia="宋体" w:cs="Times New Roman"/>
                <w:caps/>
                <w:color w:val="000000"/>
                <w:sz w:val="21"/>
                <w:szCs w:val="21"/>
              </w:rPr>
              <w:t>74.04</w:t>
            </w:r>
          </w:p>
        </w:tc>
        <w:tc>
          <w:tcPr>
            <w:tcW w:w="442" w:type="pct"/>
            <w:vAlign w:val="center"/>
          </w:tcPr>
          <w:p w14:paraId="0CC72C9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color w:val="000000"/>
                <w:sz w:val="21"/>
                <w:szCs w:val="21"/>
              </w:rPr>
            </w:pPr>
            <w:r>
              <w:rPr>
                <w:rFonts w:ascii="Times New Roman" w:hAnsi="Times New Roman" w:eastAsia="宋体" w:cs="Times New Roman"/>
                <w:caps/>
                <w:color w:val="000000"/>
                <w:sz w:val="21"/>
                <w:szCs w:val="21"/>
              </w:rPr>
              <w:t>222.6</w:t>
            </w:r>
          </w:p>
        </w:tc>
        <w:tc>
          <w:tcPr>
            <w:tcW w:w="484" w:type="pct"/>
            <w:vAlign w:val="center"/>
          </w:tcPr>
          <w:p w14:paraId="500564A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color w:val="000000"/>
                <w:sz w:val="21"/>
                <w:szCs w:val="21"/>
              </w:rPr>
            </w:pPr>
            <w:r>
              <w:rPr>
                <w:rFonts w:ascii="Times New Roman" w:hAnsi="Times New Roman" w:eastAsia="宋体" w:cs="Times New Roman"/>
                <w:caps/>
                <w:color w:val="000000"/>
                <w:sz w:val="21"/>
                <w:szCs w:val="21"/>
              </w:rPr>
              <w:t>1132.46</w:t>
            </w:r>
          </w:p>
        </w:tc>
        <w:tc>
          <w:tcPr>
            <w:tcW w:w="401" w:type="pct"/>
            <w:vAlign w:val="center"/>
          </w:tcPr>
          <w:p w14:paraId="79F4554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color w:val="000000"/>
                <w:sz w:val="21"/>
                <w:szCs w:val="21"/>
              </w:rPr>
            </w:pPr>
            <w:r>
              <w:rPr>
                <w:rFonts w:ascii="Times New Roman" w:hAnsi="Times New Roman" w:eastAsia="宋体" w:cs="Times New Roman"/>
                <w:caps/>
                <w:color w:val="000000"/>
                <w:sz w:val="21"/>
                <w:szCs w:val="21"/>
              </w:rPr>
              <w:t>968.57</w:t>
            </w:r>
          </w:p>
        </w:tc>
        <w:tc>
          <w:tcPr>
            <w:tcW w:w="459" w:type="pct"/>
            <w:vAlign w:val="center"/>
          </w:tcPr>
          <w:p w14:paraId="2D787E7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color w:val="000000"/>
                <w:sz w:val="21"/>
                <w:szCs w:val="21"/>
              </w:rPr>
            </w:pPr>
            <w:r>
              <w:rPr>
                <w:rFonts w:ascii="Times New Roman" w:hAnsi="Times New Roman" w:eastAsia="宋体" w:cs="Times New Roman"/>
                <w:caps/>
                <w:color w:val="000000"/>
                <w:sz w:val="21"/>
                <w:szCs w:val="21"/>
              </w:rPr>
              <w:t>358.23</w:t>
            </w:r>
          </w:p>
        </w:tc>
        <w:tc>
          <w:tcPr>
            <w:tcW w:w="526" w:type="pct"/>
            <w:vAlign w:val="center"/>
          </w:tcPr>
          <w:p w14:paraId="0298E79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color w:val="000000"/>
                <w:sz w:val="21"/>
                <w:szCs w:val="21"/>
              </w:rPr>
            </w:pPr>
            <w:r>
              <w:rPr>
                <w:rFonts w:ascii="Times New Roman" w:hAnsi="Times New Roman" w:eastAsia="宋体" w:cs="Times New Roman"/>
                <w:caps/>
                <w:color w:val="000000"/>
                <w:sz w:val="21"/>
                <w:szCs w:val="21"/>
              </w:rPr>
              <w:t>3.34</w:t>
            </w:r>
          </w:p>
        </w:tc>
        <w:tc>
          <w:tcPr>
            <w:tcW w:w="441" w:type="pct"/>
            <w:vAlign w:val="center"/>
          </w:tcPr>
          <w:p w14:paraId="3EF83F9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color w:val="000000"/>
                <w:sz w:val="21"/>
                <w:szCs w:val="21"/>
              </w:rPr>
            </w:pPr>
            <w:r>
              <w:rPr>
                <w:rFonts w:ascii="Times New Roman" w:hAnsi="Times New Roman" w:eastAsia="宋体" w:cs="Times New Roman"/>
                <w:caps/>
                <w:color w:val="000000"/>
                <w:sz w:val="21"/>
                <w:szCs w:val="21"/>
              </w:rPr>
              <w:t>2759.24</w:t>
            </w:r>
          </w:p>
        </w:tc>
      </w:tr>
      <w:tr w14:paraId="07E23566">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trHeight w:val="312" w:hRule="atLeast"/>
          <w:jc w:val="center"/>
        </w:trPr>
        <w:tc>
          <w:tcPr>
            <w:tcW w:w="1781" w:type="pct"/>
            <w:vAlign w:val="center"/>
          </w:tcPr>
          <w:p w14:paraId="03F261C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color w:val="000000"/>
                <w:sz w:val="21"/>
                <w:szCs w:val="21"/>
              </w:rPr>
            </w:pPr>
            <w:r>
              <w:rPr>
                <w:rFonts w:ascii="Times New Roman" w:hAnsi="Times New Roman" w:eastAsia="宋体" w:cs="Times New Roman"/>
                <w:caps/>
                <w:color w:val="000000"/>
                <w:sz w:val="21"/>
                <w:szCs w:val="21"/>
              </w:rPr>
              <w:t>工程征地后评价范围内各种</w:t>
            </w:r>
          </w:p>
          <w:p w14:paraId="049E148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color w:val="000000"/>
                <w:sz w:val="21"/>
                <w:szCs w:val="21"/>
              </w:rPr>
            </w:pPr>
            <w:r>
              <w:rPr>
                <w:rFonts w:ascii="Times New Roman" w:hAnsi="Times New Roman" w:eastAsia="宋体" w:cs="Times New Roman"/>
                <w:caps/>
                <w:color w:val="000000"/>
                <w:sz w:val="21"/>
                <w:szCs w:val="21"/>
              </w:rPr>
              <w:t>土地类型占土地总面积的比例</w:t>
            </w:r>
          </w:p>
        </w:tc>
        <w:tc>
          <w:tcPr>
            <w:tcW w:w="467" w:type="pct"/>
            <w:vAlign w:val="center"/>
          </w:tcPr>
          <w:p w14:paraId="3F85E42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color w:val="000000"/>
                <w:sz w:val="21"/>
                <w:szCs w:val="21"/>
              </w:rPr>
            </w:pPr>
            <w:r>
              <w:rPr>
                <w:rFonts w:ascii="Times New Roman" w:hAnsi="Times New Roman" w:eastAsia="宋体" w:cs="Times New Roman"/>
                <w:caps/>
                <w:color w:val="000000"/>
                <w:sz w:val="21"/>
                <w:szCs w:val="21"/>
              </w:rPr>
              <w:t>2.68%</w:t>
            </w:r>
          </w:p>
        </w:tc>
        <w:tc>
          <w:tcPr>
            <w:tcW w:w="442" w:type="pct"/>
            <w:vAlign w:val="center"/>
          </w:tcPr>
          <w:p w14:paraId="0E8E314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color w:val="000000"/>
                <w:sz w:val="21"/>
                <w:szCs w:val="21"/>
              </w:rPr>
            </w:pPr>
            <w:r>
              <w:rPr>
                <w:rFonts w:ascii="Times New Roman" w:hAnsi="Times New Roman" w:eastAsia="宋体" w:cs="Times New Roman"/>
                <w:caps/>
                <w:color w:val="000000"/>
                <w:sz w:val="21"/>
                <w:szCs w:val="21"/>
              </w:rPr>
              <w:t>8.07%</w:t>
            </w:r>
          </w:p>
        </w:tc>
        <w:tc>
          <w:tcPr>
            <w:tcW w:w="484" w:type="pct"/>
            <w:vAlign w:val="center"/>
          </w:tcPr>
          <w:p w14:paraId="0004BEA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color w:val="000000"/>
                <w:sz w:val="21"/>
                <w:szCs w:val="21"/>
              </w:rPr>
            </w:pPr>
            <w:r>
              <w:rPr>
                <w:rFonts w:ascii="Times New Roman" w:hAnsi="Times New Roman" w:eastAsia="宋体" w:cs="Times New Roman"/>
                <w:caps/>
                <w:color w:val="000000"/>
                <w:sz w:val="21"/>
                <w:szCs w:val="21"/>
              </w:rPr>
              <w:t>41.04%</w:t>
            </w:r>
          </w:p>
        </w:tc>
        <w:tc>
          <w:tcPr>
            <w:tcW w:w="401" w:type="pct"/>
            <w:vAlign w:val="center"/>
          </w:tcPr>
          <w:p w14:paraId="51136C1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color w:val="000000"/>
                <w:sz w:val="21"/>
                <w:szCs w:val="21"/>
              </w:rPr>
            </w:pPr>
            <w:r>
              <w:rPr>
                <w:rFonts w:ascii="Times New Roman" w:hAnsi="Times New Roman" w:eastAsia="宋体" w:cs="Times New Roman"/>
                <w:caps/>
                <w:color w:val="000000"/>
                <w:sz w:val="21"/>
                <w:szCs w:val="21"/>
              </w:rPr>
              <w:t>35.10%</w:t>
            </w:r>
          </w:p>
        </w:tc>
        <w:tc>
          <w:tcPr>
            <w:tcW w:w="459" w:type="pct"/>
            <w:vAlign w:val="center"/>
          </w:tcPr>
          <w:p w14:paraId="7127144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color w:val="000000"/>
                <w:sz w:val="21"/>
                <w:szCs w:val="21"/>
              </w:rPr>
            </w:pPr>
            <w:r>
              <w:rPr>
                <w:rFonts w:ascii="Times New Roman" w:hAnsi="Times New Roman" w:eastAsia="宋体" w:cs="Times New Roman"/>
                <w:caps/>
                <w:color w:val="000000"/>
                <w:sz w:val="21"/>
                <w:szCs w:val="21"/>
              </w:rPr>
              <w:t>12.98%</w:t>
            </w:r>
          </w:p>
        </w:tc>
        <w:tc>
          <w:tcPr>
            <w:tcW w:w="526" w:type="pct"/>
            <w:vAlign w:val="center"/>
          </w:tcPr>
          <w:p w14:paraId="034313D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color w:val="000000"/>
                <w:sz w:val="21"/>
                <w:szCs w:val="21"/>
              </w:rPr>
            </w:pPr>
            <w:r>
              <w:rPr>
                <w:rFonts w:ascii="Times New Roman" w:hAnsi="Times New Roman" w:eastAsia="宋体" w:cs="Times New Roman"/>
                <w:caps/>
                <w:color w:val="000000"/>
                <w:sz w:val="21"/>
                <w:szCs w:val="21"/>
              </w:rPr>
              <w:t>0.12%</w:t>
            </w:r>
          </w:p>
        </w:tc>
        <w:tc>
          <w:tcPr>
            <w:tcW w:w="441" w:type="pct"/>
            <w:vAlign w:val="center"/>
          </w:tcPr>
          <w:p w14:paraId="3F5DADD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color w:val="000000"/>
                <w:sz w:val="21"/>
                <w:szCs w:val="21"/>
              </w:rPr>
            </w:pPr>
            <w:r>
              <w:rPr>
                <w:rFonts w:ascii="Times New Roman" w:hAnsi="Times New Roman" w:eastAsia="宋体" w:cs="Times New Roman"/>
                <w:caps/>
                <w:color w:val="000000"/>
                <w:sz w:val="21"/>
                <w:szCs w:val="21"/>
              </w:rPr>
              <w:t>100.0%</w:t>
            </w:r>
          </w:p>
        </w:tc>
      </w:tr>
      <w:tr w14:paraId="75002629">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trHeight w:val="312" w:hRule="atLeast"/>
          <w:jc w:val="center"/>
        </w:trPr>
        <w:tc>
          <w:tcPr>
            <w:tcW w:w="1781" w:type="pct"/>
            <w:vAlign w:val="center"/>
          </w:tcPr>
          <w:p w14:paraId="0C2747F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color w:val="000000"/>
                <w:sz w:val="21"/>
                <w:szCs w:val="21"/>
              </w:rPr>
            </w:pPr>
            <w:r>
              <w:rPr>
                <w:rFonts w:ascii="Times New Roman" w:hAnsi="Times New Roman" w:eastAsia="宋体" w:cs="Times New Roman"/>
                <w:caps/>
                <w:color w:val="000000"/>
                <w:sz w:val="21"/>
                <w:szCs w:val="21"/>
              </w:rPr>
              <w:t>工程占用各类土地面积占评价</w:t>
            </w:r>
          </w:p>
          <w:p w14:paraId="59FFEA1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color w:val="000000"/>
                <w:sz w:val="21"/>
                <w:szCs w:val="21"/>
              </w:rPr>
            </w:pPr>
            <w:r>
              <w:rPr>
                <w:rFonts w:ascii="Times New Roman" w:hAnsi="Times New Roman" w:eastAsia="宋体" w:cs="Times New Roman"/>
                <w:caps/>
                <w:color w:val="000000"/>
                <w:sz w:val="21"/>
                <w:szCs w:val="21"/>
              </w:rPr>
              <w:t>范围各类土地原有面积的比例</w:t>
            </w:r>
          </w:p>
        </w:tc>
        <w:tc>
          <w:tcPr>
            <w:tcW w:w="467" w:type="pct"/>
            <w:vAlign w:val="center"/>
          </w:tcPr>
          <w:p w14:paraId="49C4C37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color w:val="000000"/>
                <w:sz w:val="21"/>
                <w:szCs w:val="21"/>
              </w:rPr>
            </w:pPr>
            <w:r>
              <w:rPr>
                <w:rFonts w:ascii="Times New Roman" w:hAnsi="Times New Roman" w:eastAsia="宋体" w:cs="Times New Roman"/>
                <w:caps/>
                <w:color w:val="000000"/>
                <w:sz w:val="21"/>
                <w:szCs w:val="21"/>
              </w:rPr>
              <w:t>64.95%</w:t>
            </w:r>
          </w:p>
        </w:tc>
        <w:tc>
          <w:tcPr>
            <w:tcW w:w="442" w:type="pct"/>
            <w:vAlign w:val="center"/>
          </w:tcPr>
          <w:p w14:paraId="1C8B3B7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color w:val="000000"/>
                <w:sz w:val="21"/>
                <w:szCs w:val="21"/>
              </w:rPr>
            </w:pPr>
            <w:r>
              <w:rPr>
                <w:rFonts w:ascii="Times New Roman" w:hAnsi="Times New Roman" w:eastAsia="宋体" w:cs="Times New Roman"/>
                <w:caps/>
                <w:color w:val="000000"/>
                <w:sz w:val="21"/>
                <w:szCs w:val="21"/>
              </w:rPr>
              <w:t>1.69%</w:t>
            </w:r>
          </w:p>
        </w:tc>
        <w:tc>
          <w:tcPr>
            <w:tcW w:w="484" w:type="pct"/>
            <w:vAlign w:val="center"/>
          </w:tcPr>
          <w:p w14:paraId="2474330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color w:val="000000"/>
                <w:sz w:val="21"/>
                <w:szCs w:val="21"/>
              </w:rPr>
            </w:pPr>
            <w:r>
              <w:rPr>
                <w:rFonts w:ascii="Times New Roman" w:hAnsi="Times New Roman" w:eastAsia="宋体" w:cs="Times New Roman"/>
                <w:caps/>
                <w:color w:val="000000"/>
                <w:sz w:val="21"/>
                <w:szCs w:val="21"/>
              </w:rPr>
              <w:t>0.62%</w:t>
            </w:r>
          </w:p>
        </w:tc>
        <w:tc>
          <w:tcPr>
            <w:tcW w:w="401" w:type="pct"/>
            <w:vAlign w:val="center"/>
          </w:tcPr>
          <w:p w14:paraId="18D61FE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color w:val="000000"/>
                <w:sz w:val="21"/>
                <w:szCs w:val="21"/>
              </w:rPr>
            </w:pPr>
            <w:r>
              <w:rPr>
                <w:rFonts w:ascii="Times New Roman" w:hAnsi="Times New Roman" w:eastAsia="宋体" w:cs="Times New Roman"/>
                <w:caps/>
                <w:color w:val="000000"/>
                <w:sz w:val="21"/>
                <w:szCs w:val="21"/>
              </w:rPr>
              <w:t>16.60%</w:t>
            </w:r>
          </w:p>
        </w:tc>
        <w:tc>
          <w:tcPr>
            <w:tcW w:w="459" w:type="pct"/>
            <w:vAlign w:val="center"/>
          </w:tcPr>
          <w:p w14:paraId="6992DFF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color w:val="000000"/>
                <w:sz w:val="21"/>
                <w:szCs w:val="21"/>
              </w:rPr>
            </w:pPr>
            <w:r>
              <w:rPr>
                <w:rFonts w:ascii="Times New Roman" w:hAnsi="Times New Roman" w:eastAsia="宋体" w:cs="Times New Roman"/>
                <w:caps/>
                <w:color w:val="000000"/>
                <w:sz w:val="21"/>
                <w:szCs w:val="21"/>
              </w:rPr>
              <w:t>0.00%</w:t>
            </w:r>
          </w:p>
        </w:tc>
        <w:tc>
          <w:tcPr>
            <w:tcW w:w="526" w:type="pct"/>
            <w:vAlign w:val="center"/>
          </w:tcPr>
          <w:p w14:paraId="42A815E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color w:val="000000"/>
                <w:sz w:val="21"/>
                <w:szCs w:val="21"/>
              </w:rPr>
            </w:pPr>
            <w:r>
              <w:rPr>
                <w:rFonts w:ascii="Times New Roman" w:hAnsi="Times New Roman" w:eastAsia="宋体" w:cs="Times New Roman"/>
                <w:caps/>
                <w:color w:val="000000"/>
                <w:sz w:val="21"/>
                <w:szCs w:val="21"/>
              </w:rPr>
              <w:t>5.65%</w:t>
            </w:r>
          </w:p>
        </w:tc>
        <w:tc>
          <w:tcPr>
            <w:tcW w:w="441" w:type="pct"/>
            <w:vAlign w:val="center"/>
          </w:tcPr>
          <w:p w14:paraId="455BFCD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aps/>
                <w:color w:val="000000"/>
                <w:sz w:val="21"/>
                <w:szCs w:val="21"/>
              </w:rPr>
            </w:pPr>
            <w:r>
              <w:rPr>
                <w:rFonts w:ascii="Times New Roman" w:hAnsi="Times New Roman" w:eastAsia="宋体" w:cs="Times New Roman"/>
                <w:caps/>
                <w:color w:val="000000"/>
                <w:sz w:val="21"/>
                <w:szCs w:val="21"/>
              </w:rPr>
              <w:t>10.31%</w:t>
            </w:r>
          </w:p>
        </w:tc>
      </w:tr>
    </w:tbl>
    <w:p w14:paraId="21C4F379">
      <w:pPr>
        <w:keepNext w:val="0"/>
        <w:keepLines w:val="0"/>
        <w:pageBreakBefore w:val="0"/>
        <w:widowControl w:val="0"/>
        <w:kinsoku/>
        <w:wordWrap/>
        <w:overflowPunct/>
        <w:topLinePunct w:val="0"/>
        <w:autoSpaceDE/>
        <w:autoSpaceDN/>
        <w:bidi w:val="0"/>
        <w:adjustRightInd/>
        <w:snapToGrid/>
        <w:spacing w:before="313" w:beforeLines="100" w:line="300" w:lineRule="auto"/>
        <w:ind w:firstLine="480" w:firstLineChars="200"/>
        <w:jc w:val="left"/>
        <w:textAlignment w:val="auto"/>
        <w:rPr>
          <w:rFonts w:ascii="Times New Roman" w:hAnsi="Times New Roman" w:eastAsia="宋体" w:cs="Times New Roman"/>
          <w:b/>
          <w:bCs/>
          <w:caps/>
          <w:color w:val="000000"/>
          <w:sz w:val="21"/>
          <w:szCs w:val="21"/>
        </w:rPr>
      </w:pPr>
      <w:r>
        <w:rPr>
          <w:rFonts w:ascii="Times New Roman" w:hAnsi="Times New Roman" w:eastAsia="宋体" w:cs="Times New Roman"/>
          <w:color w:val="000000"/>
          <w:sz w:val="24"/>
          <w:szCs w:val="20"/>
          <w:lang w:bidi="ar"/>
        </w:rPr>
        <w:t>从表</w:t>
      </w:r>
      <w:r>
        <w:rPr>
          <w:rFonts w:ascii="Times New Roman" w:hAnsi="Times New Roman" w:eastAsia="宋体" w:cs="Times New Roman"/>
          <w:color w:val="000000"/>
          <w:sz w:val="24"/>
          <w:szCs w:val="24"/>
          <w:lang w:bidi="ar"/>
        </w:rPr>
        <w:t>3.1-1</w:t>
      </w:r>
      <w:r>
        <w:rPr>
          <w:rFonts w:ascii="Times New Roman" w:hAnsi="Times New Roman" w:eastAsia="宋体" w:cs="Times New Roman"/>
          <w:color w:val="000000"/>
          <w:sz w:val="24"/>
          <w:szCs w:val="20"/>
          <w:lang w:bidi="ar"/>
        </w:rPr>
        <w:t>可以看出：</w:t>
      </w:r>
    </w:p>
    <w:p w14:paraId="1BBD371C">
      <w:pPr>
        <w:widowControl w:val="0"/>
        <w:spacing w:before="0" w:beforeAutospacing="0" w:after="0" w:afterAutospacing="0" w:line="300" w:lineRule="auto"/>
        <w:ind w:firstLine="480" w:firstLineChars="200"/>
        <w:jc w:val="both"/>
        <w:rPr>
          <w:rFonts w:hint="default" w:ascii="Times New Roman" w:hAnsi="Times New Roman" w:eastAsia="宋体" w:cs="Times New Roman"/>
          <w:color w:val="000000"/>
          <w:kern w:val="0"/>
          <w:sz w:val="24"/>
          <w:szCs w:val="20"/>
          <w:lang w:val="en-US" w:eastAsia="zh-CN" w:bidi="ar-SA"/>
        </w:rPr>
      </w:pPr>
      <w:r>
        <w:rPr>
          <w:rFonts w:hint="eastAsia" w:ascii="Times New Roman" w:hAnsi="Times New Roman" w:eastAsia="宋体" w:cs="Times New Roman"/>
          <w:color w:val="000000"/>
          <w:kern w:val="2"/>
          <w:sz w:val="24"/>
          <w:szCs w:val="20"/>
          <w:lang w:val="en-US" w:eastAsia="zh-CN" w:bidi="ar"/>
        </w:rPr>
        <w:t xml:space="preserve">1. </w:t>
      </w:r>
      <w:r>
        <w:rPr>
          <w:rFonts w:hint="default" w:ascii="Times New Roman" w:hAnsi="Times New Roman" w:eastAsia="宋体" w:cs="Times New Roman"/>
          <w:color w:val="000000"/>
          <w:kern w:val="2"/>
          <w:sz w:val="24"/>
          <w:szCs w:val="20"/>
          <w:lang w:val="en-US" w:eastAsia="zh-CN" w:bidi="ar"/>
        </w:rPr>
        <w:t>拟建公路永久占用的耕地及园地占评价范围内总面积的41.30%。公路征地后，使得耕地及园地在评价范围内土地总面积中的比例下降了0.26个百分点。公路建设将直接造成公路两侧人均耕地面积的减少，加剧对区域耕地及园地资源的压力，暂时影响农用地总量平衡，对被征占农地农户的生产生活也将造成一定程度的不利影响。</w:t>
      </w:r>
    </w:p>
    <w:p w14:paraId="44F7F1F5">
      <w:pPr>
        <w:widowControl w:val="0"/>
        <w:spacing w:before="0" w:beforeAutospacing="0" w:after="0" w:afterAutospacing="0" w:line="300" w:lineRule="auto"/>
        <w:ind w:firstLine="480" w:firstLineChars="200"/>
        <w:jc w:val="both"/>
        <w:rPr>
          <w:rFonts w:hint="default" w:ascii="Times New Roman" w:hAnsi="Times New Roman" w:eastAsia="宋体" w:cs="Times New Roman"/>
          <w:color w:val="000000"/>
          <w:kern w:val="0"/>
          <w:sz w:val="24"/>
          <w:szCs w:val="20"/>
          <w:lang w:val="en-US" w:eastAsia="zh-CN" w:bidi="ar-SA"/>
        </w:rPr>
      </w:pPr>
      <w:r>
        <w:rPr>
          <w:rFonts w:hint="eastAsia" w:ascii="Times New Roman" w:hAnsi="Times New Roman" w:eastAsia="宋体" w:cs="Times New Roman"/>
          <w:color w:val="000000"/>
          <w:kern w:val="2"/>
          <w:sz w:val="24"/>
          <w:szCs w:val="20"/>
          <w:lang w:val="en-US" w:eastAsia="zh-CN" w:bidi="ar"/>
        </w:rPr>
        <w:t xml:space="preserve">2. </w:t>
      </w:r>
      <w:r>
        <w:rPr>
          <w:rFonts w:hint="default" w:ascii="Times New Roman" w:hAnsi="Times New Roman" w:eastAsia="宋体" w:cs="Times New Roman"/>
          <w:color w:val="000000"/>
          <w:kern w:val="2"/>
          <w:sz w:val="24"/>
          <w:szCs w:val="20"/>
          <w:lang w:val="en-US" w:eastAsia="zh-CN" w:bidi="ar"/>
        </w:rPr>
        <w:t>公路永久占地中，林地占有较大的份额，占评价范围内总面积的7.66%。公路征地后评价范围内林地，转变为交通建筑用地，占土地总面积的比例下降了4.97个百分点。</w:t>
      </w:r>
    </w:p>
    <w:p w14:paraId="770A1419">
      <w:pPr>
        <w:widowControl w:val="0"/>
        <w:spacing w:before="0" w:beforeAutospacing="0" w:after="0" w:afterAutospacing="0" w:line="300" w:lineRule="auto"/>
        <w:ind w:firstLine="480" w:firstLineChars="200"/>
        <w:jc w:val="both"/>
        <w:rPr>
          <w:rFonts w:hint="default" w:ascii="Times New Roman" w:hAnsi="Times New Roman" w:eastAsia="宋体" w:cs="Times New Roman"/>
          <w:color w:val="000000"/>
          <w:kern w:val="0"/>
          <w:sz w:val="24"/>
          <w:szCs w:val="20"/>
          <w:lang w:val="en-US" w:eastAsia="zh-CN" w:bidi="ar-SA"/>
        </w:rPr>
      </w:pPr>
      <w:r>
        <w:rPr>
          <w:rFonts w:hint="eastAsia" w:ascii="Times New Roman" w:hAnsi="Times New Roman" w:eastAsia="宋体" w:cs="Times New Roman"/>
          <w:color w:val="000000"/>
          <w:kern w:val="2"/>
          <w:sz w:val="24"/>
          <w:szCs w:val="20"/>
          <w:lang w:val="en-US" w:eastAsia="zh-CN" w:bidi="ar"/>
        </w:rPr>
        <w:t xml:space="preserve">3. </w:t>
      </w:r>
      <w:r>
        <w:rPr>
          <w:rFonts w:hint="default" w:ascii="Times New Roman" w:hAnsi="Times New Roman" w:eastAsia="宋体" w:cs="Times New Roman"/>
          <w:color w:val="000000"/>
          <w:kern w:val="2"/>
          <w:sz w:val="24"/>
          <w:szCs w:val="20"/>
          <w:lang w:val="en-US" w:eastAsia="zh-CN" w:bidi="ar"/>
        </w:rPr>
        <w:t>拟建公路占用的</w:t>
      </w:r>
      <w:bookmarkStart w:id="371" w:name="OLE_LINK28"/>
      <w:r>
        <w:rPr>
          <w:rFonts w:hint="default" w:ascii="Times New Roman" w:hAnsi="Times New Roman" w:eastAsia="宋体" w:cs="Times New Roman"/>
          <w:color w:val="000000"/>
          <w:kern w:val="2"/>
          <w:sz w:val="24"/>
          <w:szCs w:val="20"/>
          <w:lang w:val="en-US" w:eastAsia="zh-CN" w:bidi="ar"/>
        </w:rPr>
        <w:t>草地</w:t>
      </w:r>
      <w:bookmarkEnd w:id="371"/>
      <w:r>
        <w:rPr>
          <w:rFonts w:hint="default" w:ascii="Times New Roman" w:hAnsi="Times New Roman" w:eastAsia="宋体" w:cs="Times New Roman"/>
          <w:color w:val="000000"/>
          <w:kern w:val="2"/>
          <w:sz w:val="24"/>
          <w:szCs w:val="20"/>
          <w:lang w:val="en-US" w:eastAsia="zh-CN" w:bidi="ar"/>
        </w:rPr>
        <w:t>和水域数量相对较少，不占用未利用地，所以征地前后对评价范围内草地和</w:t>
      </w:r>
      <w:r>
        <w:rPr>
          <w:rFonts w:hint="default" w:ascii="Times New Roman" w:hAnsi="Times New Roman" w:eastAsia="宋体" w:cs="Times New Roman"/>
          <w:bCs/>
          <w:color w:val="000000"/>
          <w:kern w:val="2"/>
          <w:sz w:val="24"/>
          <w:szCs w:val="20"/>
          <w:lang w:val="en-US" w:eastAsia="zh-CN" w:bidi="ar"/>
        </w:rPr>
        <w:t>水域</w:t>
      </w:r>
      <w:r>
        <w:rPr>
          <w:rFonts w:hint="default" w:ascii="Times New Roman" w:hAnsi="Times New Roman" w:eastAsia="宋体" w:cs="Times New Roman"/>
          <w:color w:val="000000"/>
          <w:kern w:val="2"/>
          <w:sz w:val="24"/>
          <w:szCs w:val="20"/>
          <w:lang w:val="en-US" w:eastAsia="zh-CN" w:bidi="ar"/>
        </w:rPr>
        <w:t>的比例结构的影响相对较小，分别只下降了0.14和0.01个百分点。</w:t>
      </w:r>
    </w:p>
    <w:p w14:paraId="58B209F4">
      <w:pPr>
        <w:widowControl w:val="0"/>
        <w:spacing w:before="0" w:beforeAutospacing="0" w:after="0" w:afterAutospacing="0" w:line="300" w:lineRule="auto"/>
        <w:ind w:firstLine="480" w:firstLineChars="200"/>
        <w:jc w:val="both"/>
        <w:rPr>
          <w:rFonts w:hint="default" w:ascii="Times New Roman" w:hAnsi="Times New Roman" w:eastAsia="宋体" w:cs="Times New Roman"/>
          <w:color w:val="000000"/>
          <w:kern w:val="0"/>
          <w:sz w:val="24"/>
          <w:szCs w:val="20"/>
          <w:lang w:val="en-US" w:eastAsia="zh-CN" w:bidi="ar-SA"/>
        </w:rPr>
      </w:pPr>
      <w:r>
        <w:rPr>
          <w:rFonts w:hint="eastAsia" w:ascii="Times New Roman" w:hAnsi="Times New Roman" w:eastAsia="宋体" w:cs="Times New Roman"/>
          <w:color w:val="000000"/>
          <w:kern w:val="2"/>
          <w:sz w:val="24"/>
          <w:szCs w:val="20"/>
          <w:lang w:val="en-US" w:eastAsia="zh-CN" w:bidi="ar"/>
        </w:rPr>
        <w:t xml:space="preserve">4. </w:t>
      </w:r>
      <w:r>
        <w:rPr>
          <w:rFonts w:hint="default" w:ascii="Times New Roman" w:hAnsi="Times New Roman" w:eastAsia="宋体" w:cs="Times New Roman"/>
          <w:color w:val="000000"/>
          <w:kern w:val="2"/>
          <w:sz w:val="24"/>
          <w:szCs w:val="20"/>
          <w:lang w:val="en-US" w:eastAsia="zh-CN" w:bidi="ar"/>
        </w:rPr>
        <w:t>公路的建设将直接导致大面积的土地由非建设用地转化为建设用地，从而使得项目评价范围内的建设用地所占比例显著增加，由征地前的29.73%增加到征地后的35.10%，增幅达5.38个百分点。</w:t>
      </w:r>
    </w:p>
    <w:p w14:paraId="0A452BBB">
      <w:pPr>
        <w:spacing w:line="30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2"/>
          <w:lang w:bidi="ar"/>
        </w:rPr>
        <w:t>综上所述，拟建公路永久占用的林地和建设用地面积较大，占评价范围内林地总量的比例较高，公路建设将对评价范围内林地的利用将产生一定影响。同时，工程建设对项目走廊带内的土地利用结构也将产生一定的影响，主要表现为耕地、林地、草地、水域及水利设施用地的建设用地化</w:t>
      </w:r>
      <w:r>
        <w:rPr>
          <w:rFonts w:hint="default" w:ascii="Times New Roman" w:hAnsi="Times New Roman" w:eastAsia="宋体" w:cs="Times New Roman"/>
          <w:color w:val="000000"/>
          <w:sz w:val="24"/>
          <w:szCs w:val="24"/>
        </w:rPr>
        <w:t>。</w:t>
      </w:r>
      <w:bookmarkEnd w:id="368"/>
    </w:p>
    <w:p w14:paraId="08934F97">
      <w:pPr>
        <w:keepNext/>
        <w:keepLines/>
        <w:widowControl w:val="0"/>
        <w:numPr>
          <w:ilvl w:val="2"/>
          <w:numId w:val="13"/>
        </w:numPr>
        <w:spacing w:before="120" w:after="120" w:line="240" w:lineRule="auto"/>
        <w:ind w:firstLine="200" w:firstLineChars="0"/>
        <w:jc w:val="both"/>
        <w:outlineLvl w:val="2"/>
        <w:rPr>
          <w:rFonts w:ascii="Times New Roman" w:hAnsi="Times New Roman" w:eastAsia="宋体" w:cs="Times New Roman"/>
          <w:b/>
          <w:bCs w:val="0"/>
          <w:color w:val="000000"/>
          <w:kern w:val="28"/>
          <w:sz w:val="24"/>
          <w:szCs w:val="24"/>
          <w:lang w:val="en-US" w:eastAsia="zh-CN" w:bidi="ar-SA"/>
        </w:rPr>
      </w:pPr>
      <w:bookmarkStart w:id="372" w:name="_Toc22054"/>
      <w:r>
        <w:rPr>
          <w:rFonts w:ascii="Times New Roman" w:hAnsi="Times New Roman" w:eastAsia="宋体" w:cs="Times New Roman"/>
          <w:b/>
          <w:bCs w:val="0"/>
          <w:color w:val="000000"/>
          <w:kern w:val="28"/>
          <w:sz w:val="24"/>
          <w:szCs w:val="24"/>
          <w:lang w:val="en-US" w:eastAsia="zh-CN" w:bidi="ar-SA"/>
        </w:rPr>
        <w:t>永久占地合理性分析</w:t>
      </w:r>
      <w:bookmarkEnd w:id="372"/>
    </w:p>
    <w:p w14:paraId="011F3AD1">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结合《公路建设项目占地指标》中“节约集约用地、严格保护耕地、生态优先避让、改扩建充分利用既有廊道”的核心管控要求，</w:t>
      </w:r>
      <w:r>
        <w:rPr>
          <w:rFonts w:hint="eastAsia" w:ascii="Times New Roman" w:hAnsi="Times New Roman" w:eastAsia="宋体" w:cs="Times New Roman"/>
          <w:color w:val="000000"/>
          <w:sz w:val="24"/>
          <w:szCs w:val="22"/>
          <w:lang w:eastAsia="zh-CN"/>
        </w:rPr>
        <w:t>拟建公路</w:t>
      </w:r>
      <w:r>
        <w:rPr>
          <w:rFonts w:ascii="Times New Roman" w:hAnsi="Times New Roman" w:eastAsia="宋体" w:cs="Times New Roman"/>
          <w:color w:val="000000"/>
          <w:sz w:val="24"/>
          <w:szCs w:val="22"/>
        </w:rPr>
        <w:t>永久占地方案整体合规合理，具体分析如下：</w:t>
      </w:r>
    </w:p>
    <w:p w14:paraId="3600F52E">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1. 充分利用既有公路廊道，严格控制新增永久占地</w:t>
      </w:r>
    </w:p>
    <w:p w14:paraId="5DCAC475">
      <w:pPr>
        <w:spacing w:line="300" w:lineRule="auto"/>
        <w:ind w:firstLine="480" w:firstLineChars="200"/>
        <w:rPr>
          <w:rFonts w:ascii="Times New Roman" w:hAnsi="Times New Roman" w:eastAsia="宋体" w:cs="Times New Roman"/>
          <w:color w:val="000000"/>
          <w:sz w:val="24"/>
          <w:szCs w:val="22"/>
        </w:rPr>
      </w:pPr>
      <w:r>
        <w:rPr>
          <w:rFonts w:hint="eastAsia" w:ascii="Times New Roman" w:hAnsi="Times New Roman" w:eastAsia="宋体" w:cs="Times New Roman"/>
          <w:color w:val="000000"/>
          <w:sz w:val="24"/>
          <w:szCs w:val="22"/>
          <w:lang w:val="en-US" w:eastAsia="zh-CN"/>
        </w:rPr>
        <w:t>拟建公路</w:t>
      </w:r>
      <w:r>
        <w:rPr>
          <w:rFonts w:ascii="Times New Roman" w:hAnsi="Times New Roman" w:eastAsia="宋体" w:cs="Times New Roman"/>
          <w:color w:val="000000"/>
          <w:sz w:val="24"/>
          <w:szCs w:val="22"/>
        </w:rPr>
        <w:t>为既有老路改扩建工程，路线沿原有公路走廊带布设，永久占地中包含原有公路用地142.46hm²、地方老路用地12.8hm²，既有道路用地合计155.26hm</w:t>
      </w:r>
      <w:r>
        <w:rPr>
          <w:rFonts w:ascii="Times New Roman" w:hAnsi="Times New Roman" w:eastAsia="宋体" w:cs="Times New Roman"/>
          <w:color w:val="000000"/>
          <w:sz w:val="24"/>
          <w:szCs w:val="22"/>
          <w:vertAlign w:val="superscript"/>
        </w:rPr>
        <w:t>2</w:t>
      </w:r>
      <w:r>
        <w:rPr>
          <w:rFonts w:ascii="Times New Roman" w:hAnsi="Times New Roman" w:eastAsia="宋体" w:cs="Times New Roman"/>
          <w:color w:val="000000"/>
          <w:sz w:val="24"/>
          <w:szCs w:val="22"/>
        </w:rPr>
        <w:t>，占永久占地总量的50.7%，超过半数占地为既有存量交通用地。新增永久占地主要用于路基拼宽、少量沿线配套设施布设，未新增独立大规模占地的大型服务设施，完全符合《公路建设项目占地指标》中“改扩建公路应充分利用既有公路用地与走廊空间，从严控制新增占地规模”的要求，最大限度提升了既有土地资源的利用效率。</w:t>
      </w:r>
    </w:p>
    <w:p w14:paraId="0BA8935C">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2. 占地规模与工程功能、地形条件相匹配</w:t>
      </w:r>
    </w:p>
    <w:p w14:paraId="5D29DB94">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项目位于塔里木盆地西缘山前冲积平原区，地形起伏平缓，属平原区国道改扩建工程。全线永久占地306.32hm</w:t>
      </w:r>
      <w:r>
        <w:rPr>
          <w:rFonts w:ascii="Times New Roman" w:hAnsi="Times New Roman" w:eastAsia="宋体" w:cs="Times New Roman"/>
          <w:color w:val="000000"/>
          <w:sz w:val="24"/>
          <w:szCs w:val="22"/>
          <w:vertAlign w:val="superscript"/>
        </w:rPr>
        <w:t>2</w:t>
      </w:r>
      <w:r>
        <w:rPr>
          <w:rFonts w:ascii="Times New Roman" w:hAnsi="Times New Roman" w:eastAsia="宋体" w:cs="Times New Roman"/>
          <w:color w:val="000000"/>
          <w:sz w:val="24"/>
          <w:szCs w:val="22"/>
        </w:rPr>
        <w:t>，对应路线全长70.078km，单位里程永久占地约4.37hm</w:t>
      </w:r>
      <w:r>
        <w:rPr>
          <w:rFonts w:ascii="Times New Roman" w:hAnsi="Times New Roman" w:eastAsia="宋体" w:cs="Times New Roman"/>
          <w:color w:val="000000"/>
          <w:sz w:val="24"/>
          <w:szCs w:val="22"/>
          <w:vertAlign w:val="superscript"/>
        </w:rPr>
        <w:t>2</w:t>
      </w:r>
      <w:r>
        <w:rPr>
          <w:rFonts w:ascii="Times New Roman" w:hAnsi="Times New Roman" w:eastAsia="宋体" w:cs="Times New Roman"/>
          <w:color w:val="000000"/>
          <w:sz w:val="24"/>
          <w:szCs w:val="22"/>
        </w:rPr>
        <w:t>/km，其中新增单位里程占地约2.16hm</w:t>
      </w:r>
      <w:r>
        <w:rPr>
          <w:rFonts w:ascii="Times New Roman" w:hAnsi="Times New Roman" w:eastAsia="宋体" w:cs="Times New Roman"/>
          <w:color w:val="000000"/>
          <w:sz w:val="24"/>
          <w:szCs w:val="22"/>
          <w:vertAlign w:val="superscript"/>
        </w:rPr>
        <w:t>2</w:t>
      </w:r>
      <w:r>
        <w:rPr>
          <w:rFonts w:ascii="Times New Roman" w:hAnsi="Times New Roman" w:eastAsia="宋体" w:cs="Times New Roman"/>
          <w:color w:val="000000"/>
          <w:sz w:val="24"/>
          <w:szCs w:val="22"/>
        </w:rPr>
        <w:t>/km，整体用地规模与公路等级、通行能力及平原区地形条件相适配，符合占地指标中不同地形、不同等级公路的用地基准管控要求。同时项目取消了独立取弃土场设置，采用外购土石方的方式消化路基填料，避免了取弃土场新增大量永久及临时占地，进一步压缩了总占地规模。</w:t>
      </w:r>
    </w:p>
    <w:p w14:paraId="1F0B6099">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3. 严格落实耕地保护要求，避让核心管控用地</w:t>
      </w:r>
    </w:p>
    <w:p w14:paraId="12859897">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项目严格遵循“最严格的耕地保护制度”，路线布设优先避让永久基本农田集中区，永久占地中不涉及永久基本农田，仅占用一般耕地34.12hm</w:t>
      </w:r>
      <w:r>
        <w:rPr>
          <w:rFonts w:ascii="Times New Roman" w:hAnsi="Times New Roman" w:eastAsia="宋体" w:cs="Times New Roman"/>
          <w:color w:val="000000"/>
          <w:sz w:val="24"/>
          <w:szCs w:val="22"/>
          <w:vertAlign w:val="superscript"/>
        </w:rPr>
        <w:t>2</w:t>
      </w:r>
      <w:r>
        <w:rPr>
          <w:rFonts w:ascii="Times New Roman" w:hAnsi="Times New Roman" w:eastAsia="宋体" w:cs="Times New Roman"/>
          <w:color w:val="000000"/>
          <w:sz w:val="24"/>
          <w:szCs w:val="22"/>
        </w:rPr>
        <w:t>，占永久占地总量的11.14%，且仅占评价区耕地总面积的0.62%，对区域耕地保有量影响极小，符合《公路建设项目占地指标》中“严格控制耕地占用，优先避让永久基本农田，尽量减少占用优质农用地”的管控要求。同时项目布线全程避让生态保护红线、自然保护地、集中连片生态公益林等生态敏感用地，不占用河谷林、核心农田防护林等具有重要生态功能的林地，兼顾了交通建设与生态保护的平衡。</w:t>
      </w:r>
    </w:p>
    <w:p w14:paraId="487DD652">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4. 用地结构优化，优先利用劣质未利用地</w:t>
      </w:r>
    </w:p>
    <w:p w14:paraId="1E93D890">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从占地结构来看，项目永久占地中建设用地占比最高，含既有道路，其次为林地、盐碱地等；新增占地优先选用沿线盐碱地、荒草地等未利用或低效利用土地，其中占用盐碱地15.68hm</w:t>
      </w:r>
      <w:r>
        <w:rPr>
          <w:rFonts w:ascii="Times New Roman" w:hAnsi="Times New Roman" w:eastAsia="宋体" w:cs="Times New Roman"/>
          <w:color w:val="000000"/>
          <w:sz w:val="24"/>
          <w:szCs w:val="22"/>
          <w:vertAlign w:val="superscript"/>
        </w:rPr>
        <w:t>2</w:t>
      </w:r>
      <w:r>
        <w:rPr>
          <w:rFonts w:ascii="Times New Roman" w:hAnsi="Times New Roman" w:eastAsia="宋体" w:cs="Times New Roman"/>
          <w:color w:val="000000"/>
          <w:sz w:val="24"/>
          <w:szCs w:val="22"/>
        </w:rPr>
        <w:t>、草地4.79hm</w:t>
      </w:r>
      <w:r>
        <w:rPr>
          <w:rFonts w:ascii="Times New Roman" w:hAnsi="Times New Roman" w:eastAsia="宋体" w:cs="Times New Roman"/>
          <w:color w:val="000000"/>
          <w:sz w:val="24"/>
          <w:szCs w:val="22"/>
          <w:vertAlign w:val="superscript"/>
        </w:rPr>
        <w:t>2</w:t>
      </w:r>
      <w:r>
        <w:rPr>
          <w:rFonts w:ascii="Times New Roman" w:hAnsi="Times New Roman" w:eastAsia="宋体" w:cs="Times New Roman"/>
          <w:color w:val="000000"/>
          <w:sz w:val="24"/>
          <w:szCs w:val="22"/>
        </w:rPr>
        <w:t>，两类土地合计占新增非建设用地的近40%，尽可能减少了对优质农用地、林地的占用，符合占地指标中“公路选址应优先利用未利用地、劣质农用地，提高土地利用综合效益”的原则。</w:t>
      </w:r>
    </w:p>
    <w:p w14:paraId="6B588D39">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综上，</w:t>
      </w:r>
      <w:r>
        <w:rPr>
          <w:rFonts w:hint="eastAsia" w:ascii="Times New Roman" w:hAnsi="Times New Roman" w:eastAsia="宋体" w:cs="Times New Roman"/>
          <w:color w:val="000000"/>
          <w:sz w:val="24"/>
          <w:szCs w:val="22"/>
          <w:lang w:eastAsia="zh-CN"/>
        </w:rPr>
        <w:t>拟建公路</w:t>
      </w:r>
      <w:r>
        <w:rPr>
          <w:rFonts w:ascii="Times New Roman" w:hAnsi="Times New Roman" w:eastAsia="宋体" w:cs="Times New Roman"/>
          <w:color w:val="000000"/>
          <w:sz w:val="24"/>
          <w:szCs w:val="22"/>
        </w:rPr>
        <w:t>永久占地方案充分契合《公路建设项目占地指标》的各项管控要求，以既有廊道利用为核心，严格控制新增占地与耕地占用，用地规模与工程功能匹配，整体占地方案合理。</w:t>
      </w:r>
    </w:p>
    <w:p w14:paraId="7D36F00E">
      <w:pPr>
        <w:keepNext/>
        <w:keepLines/>
        <w:widowControl w:val="0"/>
        <w:numPr>
          <w:ilvl w:val="1"/>
          <w:numId w:val="13"/>
        </w:numPr>
        <w:spacing w:before="240" w:after="240" w:line="240" w:lineRule="auto"/>
        <w:ind w:firstLine="200" w:firstLineChars="0"/>
        <w:jc w:val="both"/>
        <w:outlineLvl w:val="1"/>
        <w:rPr>
          <w:rFonts w:ascii="Times New Roman" w:hAnsi="Times New Roman" w:eastAsia="宋体" w:cs="Times New Roman"/>
          <w:b/>
          <w:bCs/>
          <w:color w:val="000000"/>
          <w:kern w:val="2"/>
          <w:sz w:val="28"/>
          <w:szCs w:val="32"/>
          <w:lang w:val="en-US" w:eastAsia="zh-CN" w:bidi="ar-SA"/>
        </w:rPr>
      </w:pPr>
      <w:bookmarkStart w:id="373" w:name="_Toc219363418"/>
      <w:bookmarkStart w:id="374" w:name="_Toc4836"/>
      <w:r>
        <w:rPr>
          <w:rFonts w:ascii="Times New Roman" w:hAnsi="Times New Roman" w:eastAsia="宋体" w:cs="Times New Roman"/>
          <w:b/>
          <w:bCs/>
          <w:color w:val="000000"/>
          <w:kern w:val="2"/>
          <w:sz w:val="28"/>
          <w:szCs w:val="32"/>
          <w:lang w:val="en-US" w:eastAsia="zh-CN" w:bidi="ar-SA"/>
        </w:rPr>
        <w:t>对生态系统的影响</w:t>
      </w:r>
      <w:bookmarkEnd w:id="373"/>
      <w:bookmarkEnd w:id="374"/>
    </w:p>
    <w:p w14:paraId="6452CB58">
      <w:pPr>
        <w:keepNext/>
        <w:keepLines/>
        <w:widowControl w:val="0"/>
        <w:numPr>
          <w:ilvl w:val="2"/>
          <w:numId w:val="13"/>
        </w:numPr>
        <w:spacing w:before="120" w:after="120" w:line="240" w:lineRule="auto"/>
        <w:ind w:firstLine="200" w:firstLineChars="0"/>
        <w:jc w:val="both"/>
        <w:outlineLvl w:val="2"/>
        <w:rPr>
          <w:rFonts w:ascii="Times New Roman" w:hAnsi="Times New Roman" w:eastAsia="宋体" w:cs="Times New Roman"/>
          <w:b/>
          <w:bCs w:val="0"/>
          <w:color w:val="000000"/>
          <w:kern w:val="28"/>
          <w:sz w:val="24"/>
          <w:szCs w:val="32"/>
          <w:lang w:val="en-US" w:eastAsia="zh-CN" w:bidi="ar-SA"/>
        </w:rPr>
      </w:pPr>
      <w:bookmarkStart w:id="375" w:name="_Toc18215"/>
      <w:r>
        <w:rPr>
          <w:rFonts w:ascii="Times New Roman" w:hAnsi="Times New Roman" w:eastAsia="宋体" w:cs="Times New Roman"/>
          <w:b/>
          <w:bCs w:val="0"/>
          <w:color w:val="000000"/>
          <w:kern w:val="28"/>
          <w:sz w:val="24"/>
          <w:szCs w:val="32"/>
          <w:lang w:val="en-US" w:eastAsia="zh-CN" w:bidi="ar-SA"/>
        </w:rPr>
        <w:t>对生态系统功能的影响</w:t>
      </w:r>
      <w:bookmarkEnd w:id="375"/>
    </w:p>
    <w:p w14:paraId="333F824C">
      <w:pPr>
        <w:spacing w:after="156" w:afterLines="50" w:line="300" w:lineRule="auto"/>
        <w:ind w:firstLine="480" w:firstLineChars="200"/>
        <w:rPr>
          <w:rFonts w:ascii="Times New Roman" w:hAnsi="Times New Roman" w:eastAsia="宋体" w:cs="Times New Roman"/>
          <w:bCs/>
          <w:color w:val="000000"/>
          <w:sz w:val="24"/>
          <w:szCs w:val="22"/>
        </w:rPr>
      </w:pPr>
      <w:r>
        <w:rPr>
          <w:rFonts w:ascii="Times New Roman" w:hAnsi="Times New Roman" w:eastAsia="宋体" w:cs="Times New Roman"/>
          <w:bCs/>
          <w:color w:val="000000"/>
          <w:sz w:val="24"/>
          <w:szCs w:val="22"/>
          <w:lang w:bidi="ar"/>
        </w:rPr>
        <w:t>拟建公路沿线生态系统由自然生态系统和人工生态系统组成，具体包括森林生态系统、草地生态系统、荒漠生态系统、湿地生态系统、农田生态系统和城镇生态系统。典型生态系统有农田生态系统和森林生态系统。工程永久占地306.32hm</w:t>
      </w:r>
      <w:r>
        <w:rPr>
          <w:rFonts w:ascii="Times New Roman" w:hAnsi="Times New Roman" w:eastAsia="宋体" w:cs="Times New Roman"/>
          <w:bCs/>
          <w:color w:val="000000"/>
          <w:sz w:val="24"/>
          <w:szCs w:val="22"/>
          <w:vertAlign w:val="superscript"/>
          <w:lang w:bidi="ar"/>
        </w:rPr>
        <w:t>2</w:t>
      </w:r>
      <w:r>
        <w:rPr>
          <w:rFonts w:ascii="Times New Roman" w:hAnsi="Times New Roman" w:eastAsia="宋体" w:cs="Times New Roman"/>
          <w:bCs/>
          <w:color w:val="000000"/>
          <w:sz w:val="24"/>
          <w:szCs w:val="22"/>
          <w:lang w:bidi="ar"/>
        </w:rPr>
        <w:t>，临时占地10.98hm</w:t>
      </w:r>
      <w:r>
        <w:rPr>
          <w:rFonts w:ascii="Times New Roman" w:hAnsi="Times New Roman" w:eastAsia="宋体" w:cs="Times New Roman"/>
          <w:bCs/>
          <w:color w:val="000000"/>
          <w:sz w:val="24"/>
          <w:szCs w:val="22"/>
          <w:vertAlign w:val="superscript"/>
          <w:lang w:bidi="ar"/>
        </w:rPr>
        <w:t>2</w:t>
      </w:r>
      <w:r>
        <w:rPr>
          <w:rFonts w:ascii="Times New Roman" w:hAnsi="Times New Roman" w:eastAsia="宋体" w:cs="Times New Roman"/>
          <w:bCs/>
          <w:color w:val="000000"/>
          <w:sz w:val="24"/>
          <w:szCs w:val="22"/>
          <w:lang w:bidi="ar"/>
        </w:rPr>
        <w:t>。永久占地区域转变为城镇生态系统。</w:t>
      </w:r>
    </w:p>
    <w:p w14:paraId="26767C2C">
      <w:pPr>
        <w:keepNext w:val="0"/>
        <w:keepLines w:val="0"/>
        <w:pageBreakBefore w:val="0"/>
        <w:widowControl w:val="0"/>
        <w:kinsoku/>
        <w:wordWrap/>
        <w:overflowPunct/>
        <w:topLinePunct w:val="0"/>
        <w:autoSpaceDE/>
        <w:autoSpaceDN/>
        <w:bidi w:val="0"/>
        <w:adjustRightInd/>
        <w:snapToGrid/>
        <w:spacing w:line="240" w:lineRule="auto"/>
        <w:ind w:firstLine="422" w:firstLineChars="200"/>
        <w:jc w:val="center"/>
        <w:textAlignment w:val="auto"/>
        <w:rPr>
          <w:rFonts w:ascii="Times New Roman" w:hAnsi="Times New Roman" w:eastAsia="宋体" w:cs="Times New Roman"/>
          <w:b/>
          <w:color w:val="000000"/>
          <w:sz w:val="21"/>
          <w:szCs w:val="21"/>
          <w:lang w:bidi="ar"/>
        </w:rPr>
      </w:pPr>
      <w:r>
        <w:rPr>
          <w:rFonts w:ascii="Times New Roman" w:hAnsi="Times New Roman" w:eastAsia="宋体" w:cs="Times New Roman"/>
          <w:b/>
          <w:color w:val="000000"/>
          <w:sz w:val="21"/>
          <w:szCs w:val="21"/>
          <w:lang w:bidi="ar"/>
        </w:rPr>
        <w:t>表3.2-1  公路永久占地带来的生态系统面积变化表</w:t>
      </w:r>
    </w:p>
    <w:tbl>
      <w:tblPr>
        <w:tblStyle w:val="22"/>
        <w:tblW w:w="5000" w:type="pct"/>
        <w:jc w:val="center"/>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583"/>
        <w:gridCol w:w="1336"/>
        <w:gridCol w:w="1336"/>
        <w:gridCol w:w="1373"/>
        <w:gridCol w:w="1373"/>
        <w:gridCol w:w="1372"/>
      </w:tblGrid>
      <w:tr w14:paraId="2A989575">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45" w:type="pct"/>
            <w:vAlign w:val="center"/>
          </w:tcPr>
          <w:p w14:paraId="2A86774E">
            <w:pPr>
              <w:keepNext w:val="0"/>
              <w:keepLines w:val="0"/>
              <w:pageBreakBefore w:val="0"/>
              <w:kinsoku/>
              <w:wordWrap/>
              <w:overflowPunct/>
              <w:topLinePunct w:val="0"/>
              <w:autoSpaceDE/>
              <w:autoSpaceDN/>
              <w:bidi w:val="0"/>
              <w:adjustRightInd/>
              <w:snapToGrid/>
              <w:spacing w:line="240" w:lineRule="auto"/>
              <w:ind w:firstLine="0" w:firstLineChars="0"/>
              <w:jc w:val="center"/>
              <w:rPr>
                <w:rFonts w:ascii="Times New Roman" w:hAnsi="Times New Roman" w:eastAsia="宋体" w:cs="Times New Roman"/>
                <w:b/>
                <w:bCs/>
                <w:caps/>
                <w:color w:val="000000"/>
                <w:sz w:val="21"/>
                <w:szCs w:val="21"/>
              </w:rPr>
            </w:pPr>
            <w:r>
              <w:rPr>
                <w:rFonts w:ascii="Times New Roman" w:hAnsi="Times New Roman" w:eastAsia="宋体" w:cs="Times New Roman"/>
                <w:b/>
                <w:bCs/>
                <w:caps/>
                <w:color w:val="000000"/>
                <w:sz w:val="21"/>
                <w:szCs w:val="21"/>
              </w:rPr>
              <w:t>生态系统类型（</w:t>
            </w:r>
            <w:r>
              <w:rPr>
                <w:rFonts w:ascii="Times New Roman" w:hAnsi="Times New Roman" w:eastAsia="宋体" w:cs="Times New Roman"/>
                <w:b/>
                <w:bCs/>
                <w:caps/>
                <w:color w:val="000000"/>
                <w:sz w:val="21"/>
                <w:szCs w:val="21"/>
              </w:rPr>
              <w:fldChar w:fldCharType="begin"/>
            </w:r>
            <w:r>
              <w:rPr>
                <w:rFonts w:ascii="Times New Roman" w:hAnsi="Times New Roman" w:eastAsia="宋体" w:cs="Times New Roman"/>
                <w:b/>
                <w:bCs/>
                <w:caps/>
                <w:color w:val="000000"/>
                <w:sz w:val="21"/>
                <w:szCs w:val="21"/>
              </w:rPr>
              <w:instrText xml:space="preserve"> = 1 \* ROMAN </w:instrText>
            </w:r>
            <w:r>
              <w:rPr>
                <w:rFonts w:ascii="Times New Roman" w:hAnsi="Times New Roman" w:eastAsia="宋体" w:cs="Times New Roman"/>
                <w:b/>
                <w:bCs/>
                <w:caps/>
                <w:color w:val="000000"/>
                <w:sz w:val="21"/>
                <w:szCs w:val="21"/>
              </w:rPr>
              <w:fldChar w:fldCharType="separate"/>
            </w:r>
            <w:r>
              <w:rPr>
                <w:rFonts w:ascii="Times New Roman" w:hAnsi="Times New Roman" w:eastAsia="宋体" w:cs="Times New Roman"/>
                <w:b/>
                <w:bCs/>
                <w:caps/>
                <w:color w:val="000000"/>
                <w:sz w:val="21"/>
                <w:szCs w:val="21"/>
              </w:rPr>
              <w:t>I</w:t>
            </w:r>
            <w:r>
              <w:rPr>
                <w:rFonts w:ascii="Times New Roman" w:hAnsi="Times New Roman" w:eastAsia="宋体" w:cs="Times New Roman"/>
                <w:b/>
                <w:bCs/>
                <w:caps/>
                <w:color w:val="000000"/>
                <w:sz w:val="21"/>
                <w:szCs w:val="21"/>
              </w:rPr>
              <w:fldChar w:fldCharType="end"/>
            </w:r>
            <w:r>
              <w:rPr>
                <w:rFonts w:ascii="Times New Roman" w:hAnsi="Times New Roman" w:eastAsia="宋体" w:cs="Times New Roman"/>
                <w:b/>
                <w:bCs/>
                <w:caps/>
                <w:color w:val="000000"/>
                <w:sz w:val="21"/>
                <w:szCs w:val="21"/>
              </w:rPr>
              <w:t>级分类）</w:t>
            </w:r>
          </w:p>
        </w:tc>
        <w:tc>
          <w:tcPr>
            <w:tcW w:w="798" w:type="pct"/>
            <w:vAlign w:val="center"/>
          </w:tcPr>
          <w:p w14:paraId="09D1220F">
            <w:pPr>
              <w:keepNext w:val="0"/>
              <w:keepLines w:val="0"/>
              <w:pageBreakBefore w:val="0"/>
              <w:kinsoku/>
              <w:wordWrap/>
              <w:overflowPunct/>
              <w:topLinePunct w:val="0"/>
              <w:autoSpaceDE/>
              <w:autoSpaceDN/>
              <w:bidi w:val="0"/>
              <w:adjustRightInd/>
              <w:snapToGrid/>
              <w:spacing w:line="240" w:lineRule="auto"/>
              <w:ind w:firstLine="0" w:firstLineChars="0"/>
              <w:jc w:val="center"/>
              <w:rPr>
                <w:rFonts w:ascii="Times New Roman" w:hAnsi="Times New Roman" w:eastAsia="宋体" w:cs="Times New Roman"/>
                <w:b/>
                <w:bCs/>
                <w:caps/>
                <w:color w:val="000000"/>
                <w:sz w:val="21"/>
                <w:szCs w:val="21"/>
              </w:rPr>
            </w:pPr>
            <w:r>
              <w:rPr>
                <w:rFonts w:ascii="Times New Roman" w:hAnsi="Times New Roman" w:eastAsia="宋体" w:cs="Times New Roman"/>
                <w:b/>
                <w:bCs/>
                <w:caps/>
                <w:color w:val="000000"/>
                <w:sz w:val="21"/>
                <w:szCs w:val="21"/>
              </w:rPr>
              <w:t>生态系统类型（</w:t>
            </w:r>
            <w:r>
              <w:rPr>
                <w:rFonts w:ascii="Times New Roman" w:hAnsi="Times New Roman" w:eastAsia="宋体" w:cs="Times New Roman"/>
                <w:b/>
                <w:bCs/>
                <w:caps/>
                <w:color w:val="000000"/>
                <w:sz w:val="21"/>
                <w:szCs w:val="21"/>
              </w:rPr>
              <w:fldChar w:fldCharType="begin"/>
            </w:r>
            <w:r>
              <w:rPr>
                <w:rFonts w:ascii="Times New Roman" w:hAnsi="Times New Roman" w:eastAsia="宋体" w:cs="Times New Roman"/>
                <w:b/>
                <w:bCs/>
                <w:caps/>
                <w:color w:val="000000"/>
                <w:sz w:val="21"/>
                <w:szCs w:val="21"/>
              </w:rPr>
              <w:instrText xml:space="preserve"> = 2 \* ROMAN </w:instrText>
            </w:r>
            <w:r>
              <w:rPr>
                <w:rFonts w:ascii="Times New Roman" w:hAnsi="Times New Roman" w:eastAsia="宋体" w:cs="Times New Roman"/>
                <w:b/>
                <w:bCs/>
                <w:caps/>
                <w:color w:val="000000"/>
                <w:sz w:val="21"/>
                <w:szCs w:val="21"/>
              </w:rPr>
              <w:fldChar w:fldCharType="separate"/>
            </w:r>
            <w:r>
              <w:rPr>
                <w:rFonts w:ascii="Times New Roman" w:hAnsi="Times New Roman" w:eastAsia="宋体" w:cs="Times New Roman"/>
                <w:b/>
                <w:bCs/>
                <w:caps/>
                <w:color w:val="000000"/>
                <w:sz w:val="21"/>
                <w:szCs w:val="21"/>
              </w:rPr>
              <w:t>II</w:t>
            </w:r>
            <w:r>
              <w:rPr>
                <w:rFonts w:ascii="Times New Roman" w:hAnsi="Times New Roman" w:eastAsia="宋体" w:cs="Times New Roman"/>
                <w:b/>
                <w:bCs/>
                <w:caps/>
                <w:color w:val="000000"/>
                <w:sz w:val="21"/>
                <w:szCs w:val="21"/>
              </w:rPr>
              <w:fldChar w:fldCharType="end"/>
            </w:r>
            <w:r>
              <w:rPr>
                <w:rFonts w:ascii="Times New Roman" w:hAnsi="Times New Roman" w:eastAsia="宋体" w:cs="Times New Roman"/>
                <w:b/>
                <w:bCs/>
                <w:caps/>
                <w:color w:val="000000"/>
                <w:sz w:val="21"/>
                <w:szCs w:val="21"/>
              </w:rPr>
              <w:t>级分类）</w:t>
            </w:r>
          </w:p>
        </w:tc>
        <w:tc>
          <w:tcPr>
            <w:tcW w:w="798" w:type="pct"/>
            <w:vAlign w:val="center"/>
          </w:tcPr>
          <w:p w14:paraId="37144715">
            <w:pPr>
              <w:keepNext w:val="0"/>
              <w:keepLines w:val="0"/>
              <w:pageBreakBefore w:val="0"/>
              <w:kinsoku/>
              <w:wordWrap/>
              <w:overflowPunct/>
              <w:topLinePunct w:val="0"/>
              <w:autoSpaceDE/>
              <w:autoSpaceDN/>
              <w:bidi w:val="0"/>
              <w:adjustRightInd/>
              <w:snapToGrid/>
              <w:spacing w:line="240" w:lineRule="auto"/>
              <w:ind w:firstLine="0" w:firstLineChars="0"/>
              <w:jc w:val="center"/>
              <w:rPr>
                <w:rFonts w:ascii="Times New Roman" w:hAnsi="Times New Roman" w:eastAsia="宋体" w:cs="Times New Roman"/>
                <w:b/>
                <w:bCs/>
                <w:caps/>
                <w:color w:val="000000"/>
                <w:sz w:val="21"/>
                <w:szCs w:val="21"/>
              </w:rPr>
            </w:pPr>
            <w:r>
              <w:rPr>
                <w:rFonts w:ascii="Times New Roman" w:hAnsi="Times New Roman" w:eastAsia="宋体" w:cs="Times New Roman"/>
                <w:b/>
                <w:bCs/>
                <w:caps/>
                <w:color w:val="000000"/>
                <w:sz w:val="21"/>
                <w:szCs w:val="21"/>
              </w:rPr>
              <w:t>现状面积（</w:t>
            </w:r>
            <w:r>
              <w:rPr>
                <w:rFonts w:ascii="Times New Roman" w:hAnsi="Times New Roman" w:eastAsia="宋体" w:cs="Times New Roman"/>
                <w:b/>
                <w:bCs/>
                <w:color w:val="000000"/>
                <w:sz w:val="21"/>
                <w:szCs w:val="21"/>
              </w:rPr>
              <w:t>hm</w:t>
            </w:r>
            <w:r>
              <w:rPr>
                <w:rFonts w:ascii="Times New Roman" w:hAnsi="Times New Roman" w:eastAsia="宋体" w:cs="Times New Roman"/>
                <w:b/>
                <w:bCs/>
                <w:color w:val="000000"/>
                <w:sz w:val="21"/>
                <w:szCs w:val="21"/>
                <w:vertAlign w:val="superscript"/>
              </w:rPr>
              <w:t>2</w:t>
            </w:r>
            <w:r>
              <w:rPr>
                <w:rFonts w:ascii="Times New Roman" w:hAnsi="Times New Roman" w:eastAsia="宋体" w:cs="Times New Roman"/>
                <w:b/>
                <w:bCs/>
                <w:caps/>
                <w:color w:val="000000"/>
                <w:sz w:val="21"/>
                <w:szCs w:val="21"/>
              </w:rPr>
              <w:t>）</w:t>
            </w:r>
          </w:p>
        </w:tc>
        <w:tc>
          <w:tcPr>
            <w:tcW w:w="820" w:type="pct"/>
            <w:vAlign w:val="center"/>
          </w:tcPr>
          <w:p w14:paraId="1FF7BBDC">
            <w:pPr>
              <w:keepNext w:val="0"/>
              <w:keepLines w:val="0"/>
              <w:pageBreakBefore w:val="0"/>
              <w:kinsoku/>
              <w:wordWrap/>
              <w:overflowPunct/>
              <w:topLinePunct w:val="0"/>
              <w:autoSpaceDE/>
              <w:autoSpaceDN/>
              <w:bidi w:val="0"/>
              <w:adjustRightInd/>
              <w:snapToGrid/>
              <w:spacing w:line="240" w:lineRule="auto"/>
              <w:ind w:firstLine="0" w:firstLineChars="0"/>
              <w:jc w:val="center"/>
              <w:rPr>
                <w:rFonts w:ascii="Times New Roman" w:hAnsi="Times New Roman" w:eastAsia="宋体" w:cs="Times New Roman"/>
                <w:b/>
                <w:bCs/>
                <w:caps/>
                <w:color w:val="000000"/>
                <w:sz w:val="21"/>
                <w:szCs w:val="21"/>
              </w:rPr>
            </w:pPr>
            <w:r>
              <w:rPr>
                <w:rFonts w:ascii="Times New Roman" w:hAnsi="Times New Roman" w:eastAsia="宋体" w:cs="Times New Roman"/>
                <w:b/>
                <w:color w:val="000000"/>
                <w:kern w:val="0"/>
                <w:sz w:val="21"/>
                <w:szCs w:val="21"/>
                <w:lang w:bidi="ar"/>
              </w:rPr>
              <w:t>占评价区总面积比例</w:t>
            </w:r>
          </w:p>
        </w:tc>
        <w:tc>
          <w:tcPr>
            <w:tcW w:w="820" w:type="pct"/>
            <w:vAlign w:val="center"/>
          </w:tcPr>
          <w:p w14:paraId="7DEEA87B">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ascii="Times New Roman" w:hAnsi="Times New Roman" w:eastAsia="宋体" w:cs="Times New Roman"/>
                <w:b/>
                <w:color w:val="000000"/>
                <w:kern w:val="0"/>
                <w:sz w:val="21"/>
                <w:szCs w:val="21"/>
              </w:rPr>
            </w:pPr>
            <w:r>
              <w:rPr>
                <w:rFonts w:ascii="Times New Roman" w:hAnsi="Times New Roman" w:eastAsia="宋体" w:cs="Times New Roman"/>
                <w:b/>
                <w:color w:val="000000"/>
                <w:kern w:val="0"/>
                <w:sz w:val="21"/>
                <w:szCs w:val="21"/>
                <w:lang w:bidi="ar"/>
              </w:rPr>
              <w:t>生态类型</w:t>
            </w:r>
          </w:p>
          <w:p w14:paraId="47C2746A">
            <w:pPr>
              <w:keepNext w:val="0"/>
              <w:keepLines w:val="0"/>
              <w:pageBreakBefore w:val="0"/>
              <w:kinsoku/>
              <w:wordWrap/>
              <w:overflowPunct/>
              <w:topLinePunct w:val="0"/>
              <w:autoSpaceDE/>
              <w:autoSpaceDN/>
              <w:bidi w:val="0"/>
              <w:adjustRightInd/>
              <w:snapToGrid/>
              <w:spacing w:line="240" w:lineRule="auto"/>
              <w:ind w:firstLine="0" w:firstLineChars="0"/>
              <w:jc w:val="center"/>
              <w:rPr>
                <w:rFonts w:ascii="Times New Roman" w:hAnsi="Times New Roman" w:eastAsia="宋体" w:cs="Times New Roman"/>
                <w:b/>
                <w:color w:val="000000"/>
                <w:kern w:val="0"/>
                <w:sz w:val="21"/>
                <w:szCs w:val="21"/>
                <w:lang w:bidi="ar"/>
              </w:rPr>
            </w:pPr>
            <w:r>
              <w:rPr>
                <w:rFonts w:ascii="Times New Roman" w:hAnsi="Times New Roman" w:eastAsia="宋体" w:cs="Times New Roman"/>
                <w:b/>
                <w:color w:val="000000"/>
                <w:kern w:val="0"/>
                <w:sz w:val="21"/>
                <w:szCs w:val="21"/>
                <w:lang w:bidi="ar"/>
              </w:rPr>
              <w:t>面积变化（hm</w:t>
            </w:r>
            <w:r>
              <w:rPr>
                <w:rFonts w:ascii="Times New Roman" w:hAnsi="Times New Roman" w:eastAsia="宋体" w:cs="Times New Roman"/>
                <w:b/>
                <w:color w:val="000000"/>
                <w:kern w:val="0"/>
                <w:sz w:val="21"/>
                <w:szCs w:val="21"/>
                <w:vertAlign w:val="superscript"/>
                <w:lang w:bidi="ar"/>
              </w:rPr>
              <w:t>2</w:t>
            </w:r>
            <w:r>
              <w:rPr>
                <w:rFonts w:ascii="Times New Roman" w:hAnsi="Times New Roman" w:eastAsia="宋体" w:cs="Times New Roman"/>
                <w:b/>
                <w:color w:val="000000"/>
                <w:kern w:val="0"/>
                <w:sz w:val="21"/>
                <w:szCs w:val="21"/>
                <w:lang w:bidi="ar"/>
              </w:rPr>
              <w:t>）</w:t>
            </w:r>
          </w:p>
        </w:tc>
        <w:tc>
          <w:tcPr>
            <w:tcW w:w="819" w:type="pct"/>
            <w:vAlign w:val="center"/>
          </w:tcPr>
          <w:p w14:paraId="09F8D88F">
            <w:pPr>
              <w:keepNext w:val="0"/>
              <w:keepLines w:val="0"/>
              <w:pageBreakBefore w:val="0"/>
              <w:kinsoku/>
              <w:wordWrap/>
              <w:overflowPunct/>
              <w:topLinePunct w:val="0"/>
              <w:autoSpaceDE/>
              <w:autoSpaceDN/>
              <w:bidi w:val="0"/>
              <w:adjustRightInd/>
              <w:snapToGrid/>
              <w:spacing w:line="240" w:lineRule="auto"/>
              <w:ind w:firstLine="0" w:firstLineChars="0"/>
              <w:jc w:val="center"/>
              <w:rPr>
                <w:rFonts w:ascii="Times New Roman" w:hAnsi="Times New Roman" w:eastAsia="宋体" w:cs="Times New Roman"/>
                <w:b/>
                <w:color w:val="000000"/>
                <w:kern w:val="0"/>
                <w:sz w:val="21"/>
                <w:szCs w:val="21"/>
                <w:lang w:bidi="ar"/>
              </w:rPr>
            </w:pPr>
            <w:r>
              <w:rPr>
                <w:rFonts w:ascii="Times New Roman" w:hAnsi="Times New Roman" w:eastAsia="宋体" w:cs="Times New Roman"/>
                <w:b/>
                <w:color w:val="000000"/>
                <w:kern w:val="0"/>
                <w:sz w:val="21"/>
                <w:szCs w:val="21"/>
                <w:lang w:bidi="ar"/>
              </w:rPr>
              <w:t>占评价区各类型面积比例</w:t>
            </w:r>
          </w:p>
        </w:tc>
      </w:tr>
      <w:tr w14:paraId="110E996D">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45" w:type="pct"/>
            <w:vMerge w:val="restart"/>
            <w:vAlign w:val="center"/>
          </w:tcPr>
          <w:p w14:paraId="3AAA6320">
            <w:pPr>
              <w:keepNext w:val="0"/>
              <w:keepLines w:val="0"/>
              <w:pageBreakBefore w:val="0"/>
              <w:kinsoku/>
              <w:wordWrap/>
              <w:overflowPunct/>
              <w:topLinePunct w:val="0"/>
              <w:autoSpaceDE/>
              <w:autoSpaceDN/>
              <w:bidi w:val="0"/>
              <w:adjustRightInd/>
              <w:snapToGrid/>
              <w:spacing w:line="240" w:lineRule="auto"/>
              <w:ind w:firstLine="0" w:firstLineChars="0"/>
              <w:jc w:val="center"/>
              <w:rPr>
                <w:rFonts w:ascii="Times New Roman" w:hAnsi="Times New Roman" w:eastAsia="宋体" w:cs="Times New Roman"/>
                <w:caps/>
                <w:color w:val="000000"/>
                <w:sz w:val="21"/>
                <w:szCs w:val="21"/>
              </w:rPr>
            </w:pPr>
            <w:r>
              <w:rPr>
                <w:rFonts w:ascii="Times New Roman" w:hAnsi="Times New Roman" w:eastAsia="宋体" w:cs="Times New Roman"/>
                <w:caps/>
                <w:color w:val="000000"/>
                <w:sz w:val="21"/>
                <w:szCs w:val="21"/>
              </w:rPr>
              <w:t>农田生态系统</w:t>
            </w:r>
          </w:p>
        </w:tc>
        <w:tc>
          <w:tcPr>
            <w:tcW w:w="798" w:type="pct"/>
            <w:vAlign w:val="center"/>
          </w:tcPr>
          <w:p w14:paraId="35A9904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bottom"/>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耕地</w:t>
            </w:r>
          </w:p>
        </w:tc>
        <w:tc>
          <w:tcPr>
            <w:tcW w:w="798" w:type="pct"/>
            <w:vAlign w:val="center"/>
          </w:tcPr>
          <w:p w14:paraId="450FC7F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bottom"/>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896.07</w:t>
            </w:r>
          </w:p>
        </w:tc>
        <w:tc>
          <w:tcPr>
            <w:tcW w:w="820" w:type="pct"/>
            <w:vAlign w:val="center"/>
          </w:tcPr>
          <w:p w14:paraId="0977D522">
            <w:pPr>
              <w:keepNext w:val="0"/>
              <w:keepLines w:val="0"/>
              <w:pageBreakBefore w:val="0"/>
              <w:kinsoku/>
              <w:wordWrap/>
              <w:overflowPunct/>
              <w:topLinePunct w:val="0"/>
              <w:autoSpaceDE/>
              <w:autoSpaceDN/>
              <w:bidi w:val="0"/>
              <w:adjustRightInd/>
              <w:snapToGrid/>
              <w:spacing w:line="240" w:lineRule="auto"/>
              <w:ind w:firstLine="0" w:firstLineChars="0"/>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32.48%</w:t>
            </w:r>
          </w:p>
        </w:tc>
        <w:tc>
          <w:tcPr>
            <w:tcW w:w="820" w:type="pct"/>
            <w:vAlign w:val="center"/>
          </w:tcPr>
          <w:p w14:paraId="553830DF">
            <w:pPr>
              <w:keepNext w:val="0"/>
              <w:keepLines w:val="0"/>
              <w:pageBreakBefore w:val="0"/>
              <w:kinsoku/>
              <w:wordWrap/>
              <w:overflowPunct/>
              <w:topLinePunct w:val="0"/>
              <w:autoSpaceDE/>
              <w:autoSpaceDN/>
              <w:bidi w:val="0"/>
              <w:adjustRightInd/>
              <w:snapToGrid/>
              <w:spacing w:line="240" w:lineRule="auto"/>
              <w:ind w:firstLine="0" w:firstLineChars="0"/>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34.12</w:t>
            </w:r>
          </w:p>
        </w:tc>
        <w:tc>
          <w:tcPr>
            <w:tcW w:w="819" w:type="pct"/>
            <w:vAlign w:val="center"/>
          </w:tcPr>
          <w:p w14:paraId="67B7CBB4">
            <w:pPr>
              <w:keepNext w:val="0"/>
              <w:keepLines w:val="0"/>
              <w:pageBreakBefore w:val="0"/>
              <w:kinsoku/>
              <w:wordWrap/>
              <w:overflowPunct/>
              <w:topLinePunct w:val="0"/>
              <w:autoSpaceDE/>
              <w:autoSpaceDN/>
              <w:bidi w:val="0"/>
              <w:adjustRightInd/>
              <w:snapToGrid/>
              <w:spacing w:line="240" w:lineRule="auto"/>
              <w:ind w:firstLine="0" w:firstLineChars="0"/>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3.81%</w:t>
            </w:r>
          </w:p>
        </w:tc>
      </w:tr>
      <w:tr w14:paraId="7C44113B">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45" w:type="pct"/>
            <w:vMerge w:val="continue"/>
            <w:vAlign w:val="center"/>
          </w:tcPr>
          <w:p w14:paraId="7820A6B0">
            <w:pPr>
              <w:keepNext w:val="0"/>
              <w:keepLines w:val="0"/>
              <w:pageBreakBefore w:val="0"/>
              <w:kinsoku/>
              <w:wordWrap/>
              <w:overflowPunct/>
              <w:topLinePunct w:val="0"/>
              <w:autoSpaceDE/>
              <w:autoSpaceDN/>
              <w:bidi w:val="0"/>
              <w:adjustRightInd/>
              <w:snapToGrid/>
              <w:spacing w:line="240" w:lineRule="auto"/>
              <w:ind w:firstLine="0" w:firstLineChars="0"/>
              <w:jc w:val="center"/>
              <w:rPr>
                <w:rFonts w:ascii="Times New Roman" w:hAnsi="Times New Roman" w:eastAsia="宋体" w:cs="Times New Roman"/>
                <w:caps/>
                <w:color w:val="000000"/>
                <w:sz w:val="21"/>
                <w:szCs w:val="21"/>
              </w:rPr>
            </w:pPr>
          </w:p>
        </w:tc>
        <w:tc>
          <w:tcPr>
            <w:tcW w:w="798" w:type="pct"/>
            <w:vAlign w:val="center"/>
          </w:tcPr>
          <w:p w14:paraId="17A7A1B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bottom"/>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园地</w:t>
            </w:r>
          </w:p>
        </w:tc>
        <w:tc>
          <w:tcPr>
            <w:tcW w:w="798" w:type="pct"/>
            <w:vAlign w:val="center"/>
          </w:tcPr>
          <w:p w14:paraId="14F3424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bottom"/>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243.49</w:t>
            </w:r>
          </w:p>
        </w:tc>
        <w:tc>
          <w:tcPr>
            <w:tcW w:w="820" w:type="pct"/>
            <w:vAlign w:val="center"/>
          </w:tcPr>
          <w:p w14:paraId="53431129">
            <w:pPr>
              <w:keepNext w:val="0"/>
              <w:keepLines w:val="0"/>
              <w:pageBreakBefore w:val="0"/>
              <w:kinsoku/>
              <w:wordWrap/>
              <w:overflowPunct/>
              <w:topLinePunct w:val="0"/>
              <w:autoSpaceDE/>
              <w:autoSpaceDN/>
              <w:bidi w:val="0"/>
              <w:adjustRightInd/>
              <w:snapToGrid/>
              <w:spacing w:line="240" w:lineRule="auto"/>
              <w:ind w:firstLine="0" w:firstLineChars="0"/>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8.82%</w:t>
            </w:r>
          </w:p>
        </w:tc>
        <w:tc>
          <w:tcPr>
            <w:tcW w:w="820" w:type="pct"/>
            <w:vAlign w:val="center"/>
          </w:tcPr>
          <w:p w14:paraId="4EF62A89">
            <w:pPr>
              <w:keepNext w:val="0"/>
              <w:keepLines w:val="0"/>
              <w:pageBreakBefore w:val="0"/>
              <w:kinsoku/>
              <w:wordWrap/>
              <w:overflowPunct/>
              <w:topLinePunct w:val="0"/>
              <w:autoSpaceDE/>
              <w:autoSpaceDN/>
              <w:bidi w:val="0"/>
              <w:adjustRightInd/>
              <w:snapToGrid/>
              <w:spacing w:line="240" w:lineRule="auto"/>
              <w:ind w:firstLine="0" w:firstLineChars="0"/>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7.85</w:t>
            </w:r>
          </w:p>
        </w:tc>
        <w:tc>
          <w:tcPr>
            <w:tcW w:w="819" w:type="pct"/>
            <w:vAlign w:val="center"/>
          </w:tcPr>
          <w:p w14:paraId="54CA9F09">
            <w:pPr>
              <w:keepNext w:val="0"/>
              <w:keepLines w:val="0"/>
              <w:pageBreakBefore w:val="0"/>
              <w:kinsoku/>
              <w:wordWrap/>
              <w:overflowPunct/>
              <w:topLinePunct w:val="0"/>
              <w:autoSpaceDE/>
              <w:autoSpaceDN/>
              <w:bidi w:val="0"/>
              <w:adjustRightInd/>
              <w:snapToGrid/>
              <w:spacing w:line="240" w:lineRule="auto"/>
              <w:ind w:firstLine="0" w:firstLineChars="0"/>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3.22%</w:t>
            </w:r>
          </w:p>
        </w:tc>
      </w:tr>
      <w:tr w14:paraId="32A087DE">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45" w:type="pct"/>
            <w:vAlign w:val="center"/>
          </w:tcPr>
          <w:p w14:paraId="5A55F307">
            <w:pPr>
              <w:keepNext w:val="0"/>
              <w:keepLines w:val="0"/>
              <w:pageBreakBefore w:val="0"/>
              <w:kinsoku/>
              <w:wordWrap/>
              <w:overflowPunct/>
              <w:topLinePunct w:val="0"/>
              <w:autoSpaceDE/>
              <w:autoSpaceDN/>
              <w:bidi w:val="0"/>
              <w:adjustRightInd/>
              <w:snapToGrid/>
              <w:spacing w:line="240" w:lineRule="auto"/>
              <w:ind w:firstLine="0" w:firstLineChars="0"/>
              <w:jc w:val="center"/>
              <w:rPr>
                <w:rFonts w:ascii="Times New Roman" w:hAnsi="Times New Roman" w:eastAsia="宋体" w:cs="Times New Roman"/>
                <w:caps/>
                <w:color w:val="000000"/>
                <w:sz w:val="21"/>
                <w:szCs w:val="21"/>
              </w:rPr>
            </w:pPr>
            <w:r>
              <w:rPr>
                <w:rFonts w:ascii="Times New Roman" w:hAnsi="Times New Roman" w:eastAsia="宋体" w:cs="Times New Roman"/>
                <w:caps/>
                <w:color w:val="000000"/>
                <w:sz w:val="21"/>
                <w:szCs w:val="21"/>
              </w:rPr>
              <w:t>灌丛生态系统</w:t>
            </w:r>
          </w:p>
        </w:tc>
        <w:tc>
          <w:tcPr>
            <w:tcW w:w="798" w:type="pct"/>
            <w:vAlign w:val="center"/>
          </w:tcPr>
          <w:p w14:paraId="2E59314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bottom"/>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稀疏灌丛</w:t>
            </w:r>
          </w:p>
        </w:tc>
        <w:tc>
          <w:tcPr>
            <w:tcW w:w="798" w:type="pct"/>
            <w:vAlign w:val="center"/>
          </w:tcPr>
          <w:p w14:paraId="2EC4538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bottom"/>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60.25</w:t>
            </w:r>
          </w:p>
        </w:tc>
        <w:tc>
          <w:tcPr>
            <w:tcW w:w="820" w:type="pct"/>
            <w:vAlign w:val="center"/>
          </w:tcPr>
          <w:p w14:paraId="3CC60B2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2.18%</w:t>
            </w:r>
          </w:p>
        </w:tc>
        <w:tc>
          <w:tcPr>
            <w:tcW w:w="820" w:type="pct"/>
            <w:vAlign w:val="center"/>
          </w:tcPr>
          <w:p w14:paraId="14A5F91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28.36</w:t>
            </w:r>
          </w:p>
        </w:tc>
        <w:tc>
          <w:tcPr>
            <w:tcW w:w="819" w:type="pct"/>
            <w:vAlign w:val="center"/>
          </w:tcPr>
          <w:p w14:paraId="3E5088E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47.07%</w:t>
            </w:r>
          </w:p>
        </w:tc>
      </w:tr>
      <w:tr w14:paraId="2A5C0F85">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trHeight w:val="287" w:hRule="atLeast"/>
          <w:jc w:val="center"/>
        </w:trPr>
        <w:tc>
          <w:tcPr>
            <w:tcW w:w="945" w:type="pct"/>
            <w:vAlign w:val="center"/>
          </w:tcPr>
          <w:p w14:paraId="53891ED9">
            <w:pPr>
              <w:keepNext w:val="0"/>
              <w:keepLines w:val="0"/>
              <w:pageBreakBefore w:val="0"/>
              <w:kinsoku/>
              <w:wordWrap/>
              <w:overflowPunct/>
              <w:topLinePunct w:val="0"/>
              <w:autoSpaceDE/>
              <w:autoSpaceDN/>
              <w:bidi w:val="0"/>
              <w:adjustRightInd/>
              <w:snapToGrid/>
              <w:spacing w:line="240" w:lineRule="auto"/>
              <w:ind w:firstLine="0" w:firstLineChars="0"/>
              <w:jc w:val="center"/>
              <w:rPr>
                <w:rFonts w:ascii="Times New Roman" w:hAnsi="Times New Roman" w:eastAsia="宋体" w:cs="Times New Roman"/>
                <w:caps/>
                <w:color w:val="000000"/>
                <w:sz w:val="21"/>
                <w:szCs w:val="21"/>
              </w:rPr>
            </w:pPr>
            <w:r>
              <w:rPr>
                <w:rFonts w:ascii="Times New Roman" w:hAnsi="Times New Roman" w:eastAsia="宋体" w:cs="Times New Roman"/>
                <w:caps/>
                <w:color w:val="000000"/>
                <w:sz w:val="21"/>
                <w:szCs w:val="21"/>
              </w:rPr>
              <w:t>森林生态系统</w:t>
            </w:r>
          </w:p>
        </w:tc>
        <w:tc>
          <w:tcPr>
            <w:tcW w:w="798" w:type="pct"/>
            <w:vAlign w:val="center"/>
          </w:tcPr>
          <w:p w14:paraId="4E71447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bottom"/>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阔叶林</w:t>
            </w:r>
          </w:p>
        </w:tc>
        <w:tc>
          <w:tcPr>
            <w:tcW w:w="798" w:type="pct"/>
            <w:vAlign w:val="center"/>
          </w:tcPr>
          <w:p w14:paraId="6A5BAC8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bottom"/>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150.98</w:t>
            </w:r>
          </w:p>
        </w:tc>
        <w:tc>
          <w:tcPr>
            <w:tcW w:w="820" w:type="pct"/>
            <w:vAlign w:val="center"/>
          </w:tcPr>
          <w:p w14:paraId="59F7363F">
            <w:pPr>
              <w:keepNext w:val="0"/>
              <w:keepLines w:val="0"/>
              <w:pageBreakBefore w:val="0"/>
              <w:kinsoku/>
              <w:wordWrap/>
              <w:overflowPunct/>
              <w:topLinePunct w:val="0"/>
              <w:autoSpaceDE/>
              <w:autoSpaceDN/>
              <w:bidi w:val="0"/>
              <w:adjustRightInd/>
              <w:snapToGrid/>
              <w:spacing w:line="240" w:lineRule="auto"/>
              <w:ind w:firstLine="0" w:firstLineChars="0"/>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5.47%</w:t>
            </w:r>
          </w:p>
        </w:tc>
        <w:tc>
          <w:tcPr>
            <w:tcW w:w="820" w:type="pct"/>
            <w:vAlign w:val="center"/>
          </w:tcPr>
          <w:p w14:paraId="7BE90259">
            <w:pPr>
              <w:keepNext w:val="0"/>
              <w:keepLines w:val="0"/>
              <w:pageBreakBefore w:val="0"/>
              <w:kinsoku/>
              <w:wordWrap/>
              <w:overflowPunct/>
              <w:topLinePunct w:val="0"/>
              <w:autoSpaceDE/>
              <w:autoSpaceDN/>
              <w:bidi w:val="0"/>
              <w:adjustRightInd/>
              <w:snapToGrid/>
              <w:spacing w:line="240" w:lineRule="auto"/>
              <w:ind w:firstLine="0" w:firstLineChars="0"/>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49.72</w:t>
            </w:r>
          </w:p>
        </w:tc>
        <w:tc>
          <w:tcPr>
            <w:tcW w:w="819" w:type="pct"/>
            <w:vAlign w:val="center"/>
          </w:tcPr>
          <w:p w14:paraId="350C0D04">
            <w:pPr>
              <w:keepNext w:val="0"/>
              <w:keepLines w:val="0"/>
              <w:pageBreakBefore w:val="0"/>
              <w:kinsoku/>
              <w:wordWrap/>
              <w:overflowPunct/>
              <w:topLinePunct w:val="0"/>
              <w:autoSpaceDE/>
              <w:autoSpaceDN/>
              <w:bidi w:val="0"/>
              <w:adjustRightInd/>
              <w:snapToGrid/>
              <w:spacing w:line="240" w:lineRule="auto"/>
              <w:ind w:firstLine="0" w:firstLineChars="0"/>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32.93%</w:t>
            </w:r>
          </w:p>
        </w:tc>
      </w:tr>
      <w:tr w14:paraId="56279216">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45" w:type="pct"/>
            <w:vAlign w:val="center"/>
          </w:tcPr>
          <w:p w14:paraId="28CC3C95">
            <w:pPr>
              <w:keepNext w:val="0"/>
              <w:keepLines w:val="0"/>
              <w:pageBreakBefore w:val="0"/>
              <w:kinsoku/>
              <w:wordWrap/>
              <w:overflowPunct/>
              <w:topLinePunct w:val="0"/>
              <w:autoSpaceDE/>
              <w:autoSpaceDN/>
              <w:bidi w:val="0"/>
              <w:adjustRightInd/>
              <w:snapToGrid/>
              <w:spacing w:line="240" w:lineRule="auto"/>
              <w:ind w:firstLine="0" w:firstLineChars="0"/>
              <w:jc w:val="center"/>
              <w:rPr>
                <w:rFonts w:ascii="Times New Roman" w:hAnsi="Times New Roman" w:eastAsia="宋体" w:cs="Times New Roman"/>
                <w:caps/>
                <w:color w:val="000000"/>
                <w:sz w:val="21"/>
                <w:szCs w:val="21"/>
              </w:rPr>
            </w:pPr>
            <w:r>
              <w:rPr>
                <w:rFonts w:ascii="Times New Roman" w:hAnsi="Times New Roman" w:eastAsia="宋体" w:cs="Times New Roman"/>
                <w:caps/>
                <w:color w:val="000000"/>
                <w:sz w:val="21"/>
                <w:szCs w:val="21"/>
              </w:rPr>
              <w:t>草地生态系统</w:t>
            </w:r>
          </w:p>
        </w:tc>
        <w:tc>
          <w:tcPr>
            <w:tcW w:w="798" w:type="pct"/>
            <w:vAlign w:val="center"/>
          </w:tcPr>
          <w:p w14:paraId="3E3CDCBF">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bottom"/>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稀疏草地</w:t>
            </w:r>
          </w:p>
        </w:tc>
        <w:tc>
          <w:tcPr>
            <w:tcW w:w="798" w:type="pct"/>
            <w:vAlign w:val="center"/>
          </w:tcPr>
          <w:p w14:paraId="3FED633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bottom"/>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226.43</w:t>
            </w:r>
          </w:p>
        </w:tc>
        <w:tc>
          <w:tcPr>
            <w:tcW w:w="820" w:type="pct"/>
            <w:vAlign w:val="center"/>
          </w:tcPr>
          <w:p w14:paraId="1103973D">
            <w:pPr>
              <w:keepNext w:val="0"/>
              <w:keepLines w:val="0"/>
              <w:pageBreakBefore w:val="0"/>
              <w:kinsoku/>
              <w:wordWrap/>
              <w:overflowPunct/>
              <w:topLinePunct w:val="0"/>
              <w:autoSpaceDE/>
              <w:autoSpaceDN/>
              <w:bidi w:val="0"/>
              <w:adjustRightInd/>
              <w:snapToGrid/>
              <w:spacing w:line="240" w:lineRule="auto"/>
              <w:ind w:firstLine="0" w:firstLineChars="0"/>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8.21%</w:t>
            </w:r>
          </w:p>
        </w:tc>
        <w:tc>
          <w:tcPr>
            <w:tcW w:w="820" w:type="pct"/>
            <w:vAlign w:val="center"/>
          </w:tcPr>
          <w:p w14:paraId="51CDAE5D">
            <w:pPr>
              <w:keepNext w:val="0"/>
              <w:keepLines w:val="0"/>
              <w:pageBreakBefore w:val="0"/>
              <w:kinsoku/>
              <w:wordWrap/>
              <w:overflowPunct/>
              <w:topLinePunct w:val="0"/>
              <w:autoSpaceDE/>
              <w:autoSpaceDN/>
              <w:bidi w:val="0"/>
              <w:adjustRightInd/>
              <w:snapToGrid/>
              <w:spacing w:line="240" w:lineRule="auto"/>
              <w:ind w:firstLine="0" w:firstLineChars="0"/>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4.79</w:t>
            </w:r>
          </w:p>
        </w:tc>
        <w:tc>
          <w:tcPr>
            <w:tcW w:w="819" w:type="pct"/>
            <w:vAlign w:val="center"/>
          </w:tcPr>
          <w:p w14:paraId="5AA71042">
            <w:pPr>
              <w:keepNext w:val="0"/>
              <w:keepLines w:val="0"/>
              <w:pageBreakBefore w:val="0"/>
              <w:kinsoku/>
              <w:wordWrap/>
              <w:overflowPunct/>
              <w:topLinePunct w:val="0"/>
              <w:autoSpaceDE/>
              <w:autoSpaceDN/>
              <w:bidi w:val="0"/>
              <w:adjustRightInd/>
              <w:snapToGrid/>
              <w:spacing w:line="240" w:lineRule="auto"/>
              <w:ind w:firstLine="0" w:firstLineChars="0"/>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2.12%</w:t>
            </w:r>
          </w:p>
        </w:tc>
      </w:tr>
      <w:tr w14:paraId="37EFCF2B">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45" w:type="pct"/>
            <w:vAlign w:val="center"/>
          </w:tcPr>
          <w:p w14:paraId="471C353A">
            <w:pPr>
              <w:keepNext w:val="0"/>
              <w:keepLines w:val="0"/>
              <w:pageBreakBefore w:val="0"/>
              <w:kinsoku/>
              <w:wordWrap/>
              <w:overflowPunct/>
              <w:topLinePunct w:val="0"/>
              <w:autoSpaceDE/>
              <w:autoSpaceDN/>
              <w:bidi w:val="0"/>
              <w:adjustRightInd/>
              <w:snapToGrid/>
              <w:spacing w:line="240" w:lineRule="auto"/>
              <w:ind w:firstLine="0" w:firstLineChars="0"/>
              <w:jc w:val="center"/>
              <w:rPr>
                <w:rFonts w:ascii="Times New Roman" w:hAnsi="Times New Roman" w:eastAsia="宋体" w:cs="Times New Roman"/>
                <w:caps/>
                <w:color w:val="000000"/>
                <w:sz w:val="21"/>
                <w:szCs w:val="21"/>
              </w:rPr>
            </w:pPr>
            <w:r>
              <w:rPr>
                <w:rFonts w:ascii="Times New Roman" w:hAnsi="Times New Roman" w:eastAsia="宋体" w:cs="Times New Roman"/>
                <w:caps/>
                <w:color w:val="000000"/>
                <w:sz w:val="21"/>
                <w:szCs w:val="21"/>
              </w:rPr>
              <w:t>湿地生态系统</w:t>
            </w:r>
          </w:p>
        </w:tc>
        <w:tc>
          <w:tcPr>
            <w:tcW w:w="798" w:type="pct"/>
            <w:vAlign w:val="center"/>
          </w:tcPr>
          <w:p w14:paraId="2032C6BE">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bottom"/>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河流</w:t>
            </w:r>
          </w:p>
        </w:tc>
        <w:tc>
          <w:tcPr>
            <w:tcW w:w="798" w:type="pct"/>
            <w:vAlign w:val="center"/>
          </w:tcPr>
          <w:p w14:paraId="56FF243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bottom"/>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3.54</w:t>
            </w:r>
          </w:p>
        </w:tc>
        <w:tc>
          <w:tcPr>
            <w:tcW w:w="820" w:type="pct"/>
            <w:vAlign w:val="center"/>
          </w:tcPr>
          <w:p w14:paraId="151E215D">
            <w:pPr>
              <w:keepNext w:val="0"/>
              <w:keepLines w:val="0"/>
              <w:pageBreakBefore w:val="0"/>
              <w:kinsoku/>
              <w:wordWrap/>
              <w:overflowPunct/>
              <w:topLinePunct w:val="0"/>
              <w:autoSpaceDE/>
              <w:autoSpaceDN/>
              <w:bidi w:val="0"/>
              <w:adjustRightInd/>
              <w:snapToGrid/>
              <w:spacing w:line="240" w:lineRule="auto"/>
              <w:ind w:firstLine="0" w:firstLineChars="0"/>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0.13%</w:t>
            </w:r>
          </w:p>
        </w:tc>
        <w:tc>
          <w:tcPr>
            <w:tcW w:w="820" w:type="pct"/>
            <w:vAlign w:val="center"/>
          </w:tcPr>
          <w:p w14:paraId="3FF2A129">
            <w:pPr>
              <w:keepNext w:val="0"/>
              <w:keepLines w:val="0"/>
              <w:pageBreakBefore w:val="0"/>
              <w:kinsoku/>
              <w:wordWrap/>
              <w:overflowPunct/>
              <w:topLinePunct w:val="0"/>
              <w:autoSpaceDE/>
              <w:autoSpaceDN/>
              <w:bidi w:val="0"/>
              <w:adjustRightInd/>
              <w:snapToGrid/>
              <w:spacing w:line="240" w:lineRule="auto"/>
              <w:ind w:firstLine="0" w:firstLineChars="0"/>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1.07</w:t>
            </w:r>
          </w:p>
        </w:tc>
        <w:tc>
          <w:tcPr>
            <w:tcW w:w="819" w:type="pct"/>
            <w:vAlign w:val="center"/>
          </w:tcPr>
          <w:p w14:paraId="5A1D7A75">
            <w:pPr>
              <w:keepNext w:val="0"/>
              <w:keepLines w:val="0"/>
              <w:pageBreakBefore w:val="0"/>
              <w:kinsoku/>
              <w:wordWrap/>
              <w:overflowPunct/>
              <w:topLinePunct w:val="0"/>
              <w:autoSpaceDE/>
              <w:autoSpaceDN/>
              <w:bidi w:val="0"/>
              <w:adjustRightInd/>
              <w:snapToGrid/>
              <w:spacing w:line="240" w:lineRule="auto"/>
              <w:ind w:firstLine="0" w:firstLineChars="0"/>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30.23%</w:t>
            </w:r>
          </w:p>
        </w:tc>
      </w:tr>
      <w:tr w14:paraId="252CF319">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45" w:type="pct"/>
            <w:vMerge w:val="restart"/>
            <w:vAlign w:val="center"/>
          </w:tcPr>
          <w:p w14:paraId="05EB7759">
            <w:pPr>
              <w:keepNext w:val="0"/>
              <w:keepLines w:val="0"/>
              <w:pageBreakBefore w:val="0"/>
              <w:kinsoku/>
              <w:wordWrap/>
              <w:overflowPunct/>
              <w:topLinePunct w:val="0"/>
              <w:autoSpaceDE/>
              <w:autoSpaceDN/>
              <w:bidi w:val="0"/>
              <w:adjustRightInd/>
              <w:snapToGrid/>
              <w:spacing w:line="240" w:lineRule="auto"/>
              <w:ind w:firstLine="0" w:firstLineChars="0"/>
              <w:jc w:val="center"/>
              <w:rPr>
                <w:rFonts w:ascii="Times New Roman" w:hAnsi="Times New Roman" w:eastAsia="宋体" w:cs="Times New Roman"/>
                <w:caps/>
                <w:color w:val="000000"/>
                <w:sz w:val="21"/>
                <w:szCs w:val="21"/>
              </w:rPr>
            </w:pPr>
            <w:r>
              <w:rPr>
                <w:rFonts w:ascii="Times New Roman" w:hAnsi="Times New Roman" w:eastAsia="宋体" w:cs="Times New Roman"/>
                <w:caps/>
                <w:color w:val="000000"/>
                <w:sz w:val="21"/>
                <w:szCs w:val="21"/>
              </w:rPr>
              <w:t>城镇生态系统</w:t>
            </w:r>
          </w:p>
        </w:tc>
        <w:tc>
          <w:tcPr>
            <w:tcW w:w="798" w:type="pct"/>
            <w:vAlign w:val="center"/>
          </w:tcPr>
          <w:p w14:paraId="354E32D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bottom"/>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居住地</w:t>
            </w:r>
          </w:p>
        </w:tc>
        <w:tc>
          <w:tcPr>
            <w:tcW w:w="798" w:type="pct"/>
            <w:vAlign w:val="center"/>
          </w:tcPr>
          <w:p w14:paraId="1400A9EA">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bottom"/>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426.25</w:t>
            </w:r>
          </w:p>
        </w:tc>
        <w:tc>
          <w:tcPr>
            <w:tcW w:w="820" w:type="pct"/>
            <w:vAlign w:val="center"/>
          </w:tcPr>
          <w:p w14:paraId="788320A4">
            <w:pPr>
              <w:keepNext w:val="0"/>
              <w:keepLines w:val="0"/>
              <w:pageBreakBefore w:val="0"/>
              <w:kinsoku/>
              <w:wordWrap/>
              <w:overflowPunct/>
              <w:topLinePunct w:val="0"/>
              <w:autoSpaceDE/>
              <w:autoSpaceDN/>
              <w:bidi w:val="0"/>
              <w:adjustRightInd/>
              <w:snapToGrid/>
              <w:spacing w:line="240" w:lineRule="auto"/>
              <w:ind w:firstLine="0" w:firstLineChars="0"/>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15.45%</w:t>
            </w:r>
          </w:p>
        </w:tc>
        <w:tc>
          <w:tcPr>
            <w:tcW w:w="820" w:type="pct"/>
            <w:vAlign w:val="center"/>
          </w:tcPr>
          <w:p w14:paraId="59881AFA">
            <w:pPr>
              <w:keepNext w:val="0"/>
              <w:keepLines w:val="0"/>
              <w:pageBreakBefore w:val="0"/>
              <w:kinsoku/>
              <w:wordWrap/>
              <w:overflowPunct/>
              <w:topLinePunct w:val="0"/>
              <w:autoSpaceDE/>
              <w:autoSpaceDN/>
              <w:bidi w:val="0"/>
              <w:adjustRightInd/>
              <w:snapToGrid/>
              <w:spacing w:line="240" w:lineRule="auto"/>
              <w:ind w:firstLine="0" w:firstLineChars="0"/>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9.47</w:t>
            </w:r>
          </w:p>
        </w:tc>
        <w:tc>
          <w:tcPr>
            <w:tcW w:w="819" w:type="pct"/>
            <w:vAlign w:val="center"/>
          </w:tcPr>
          <w:p w14:paraId="557FDC22">
            <w:pPr>
              <w:keepNext w:val="0"/>
              <w:keepLines w:val="0"/>
              <w:pageBreakBefore w:val="0"/>
              <w:kinsoku/>
              <w:wordWrap/>
              <w:overflowPunct/>
              <w:topLinePunct w:val="0"/>
              <w:autoSpaceDE/>
              <w:autoSpaceDN/>
              <w:bidi w:val="0"/>
              <w:adjustRightInd/>
              <w:snapToGrid/>
              <w:spacing w:line="240" w:lineRule="auto"/>
              <w:ind w:firstLine="0" w:firstLineChars="0"/>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2.22%</w:t>
            </w:r>
          </w:p>
        </w:tc>
      </w:tr>
      <w:tr w14:paraId="7EC4FBF8">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45" w:type="pct"/>
            <w:vMerge w:val="continue"/>
            <w:vAlign w:val="center"/>
          </w:tcPr>
          <w:p w14:paraId="4876CB64">
            <w:pPr>
              <w:keepNext w:val="0"/>
              <w:keepLines w:val="0"/>
              <w:pageBreakBefore w:val="0"/>
              <w:kinsoku/>
              <w:wordWrap/>
              <w:overflowPunct/>
              <w:topLinePunct w:val="0"/>
              <w:autoSpaceDE/>
              <w:autoSpaceDN/>
              <w:bidi w:val="0"/>
              <w:adjustRightInd/>
              <w:snapToGrid/>
              <w:spacing w:line="240" w:lineRule="auto"/>
              <w:ind w:firstLine="0" w:firstLineChars="0"/>
              <w:jc w:val="center"/>
              <w:rPr>
                <w:rFonts w:ascii="Times New Roman" w:hAnsi="Times New Roman" w:eastAsia="宋体" w:cs="Times New Roman"/>
                <w:caps/>
                <w:color w:val="000000"/>
                <w:sz w:val="21"/>
                <w:szCs w:val="21"/>
              </w:rPr>
            </w:pPr>
          </w:p>
        </w:tc>
        <w:tc>
          <w:tcPr>
            <w:tcW w:w="798" w:type="pct"/>
            <w:vAlign w:val="center"/>
          </w:tcPr>
          <w:p w14:paraId="106595D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bottom"/>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工矿交通</w:t>
            </w:r>
          </w:p>
        </w:tc>
        <w:tc>
          <w:tcPr>
            <w:tcW w:w="798" w:type="pct"/>
            <w:vAlign w:val="center"/>
          </w:tcPr>
          <w:p w14:paraId="2432432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bottom"/>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394.00</w:t>
            </w:r>
          </w:p>
        </w:tc>
        <w:tc>
          <w:tcPr>
            <w:tcW w:w="820" w:type="pct"/>
            <w:vAlign w:val="center"/>
          </w:tcPr>
          <w:p w14:paraId="374623A7">
            <w:pPr>
              <w:keepNext w:val="0"/>
              <w:keepLines w:val="0"/>
              <w:pageBreakBefore w:val="0"/>
              <w:kinsoku/>
              <w:wordWrap/>
              <w:overflowPunct/>
              <w:topLinePunct w:val="0"/>
              <w:autoSpaceDE/>
              <w:autoSpaceDN/>
              <w:bidi w:val="0"/>
              <w:adjustRightInd/>
              <w:snapToGrid/>
              <w:spacing w:line="240" w:lineRule="auto"/>
              <w:ind w:firstLine="0" w:firstLineChars="0"/>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14.28%</w:t>
            </w:r>
          </w:p>
        </w:tc>
        <w:tc>
          <w:tcPr>
            <w:tcW w:w="820" w:type="pct"/>
            <w:vAlign w:val="center"/>
          </w:tcPr>
          <w:p w14:paraId="18D28F45">
            <w:pPr>
              <w:keepNext w:val="0"/>
              <w:keepLines w:val="0"/>
              <w:pageBreakBefore w:val="0"/>
              <w:kinsoku/>
              <w:wordWrap/>
              <w:overflowPunct/>
              <w:topLinePunct w:val="0"/>
              <w:autoSpaceDE/>
              <w:autoSpaceDN/>
              <w:bidi w:val="0"/>
              <w:adjustRightInd/>
              <w:snapToGrid/>
              <w:spacing w:line="240" w:lineRule="auto"/>
              <w:ind w:firstLine="0" w:firstLineChars="0"/>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155.26</w:t>
            </w:r>
          </w:p>
        </w:tc>
        <w:tc>
          <w:tcPr>
            <w:tcW w:w="819" w:type="pct"/>
            <w:vAlign w:val="center"/>
          </w:tcPr>
          <w:p w14:paraId="60CEF61F">
            <w:pPr>
              <w:keepNext w:val="0"/>
              <w:keepLines w:val="0"/>
              <w:pageBreakBefore w:val="0"/>
              <w:kinsoku/>
              <w:wordWrap/>
              <w:overflowPunct/>
              <w:topLinePunct w:val="0"/>
              <w:autoSpaceDE/>
              <w:autoSpaceDN/>
              <w:bidi w:val="0"/>
              <w:adjustRightInd/>
              <w:snapToGrid/>
              <w:spacing w:line="240" w:lineRule="auto"/>
              <w:ind w:firstLine="0" w:firstLineChars="0"/>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39.41%</w:t>
            </w:r>
          </w:p>
        </w:tc>
      </w:tr>
      <w:tr w14:paraId="155828AC">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45" w:type="pct"/>
            <w:vAlign w:val="center"/>
          </w:tcPr>
          <w:p w14:paraId="66034AD5">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sz w:val="21"/>
                <w:szCs w:val="21"/>
              </w:rPr>
              <w:t>荒漠生态系统</w:t>
            </w:r>
          </w:p>
        </w:tc>
        <w:tc>
          <w:tcPr>
            <w:tcW w:w="798" w:type="pct"/>
            <w:vAlign w:val="center"/>
          </w:tcPr>
          <w:p w14:paraId="275AC36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bottom"/>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盐碱地</w:t>
            </w:r>
          </w:p>
        </w:tc>
        <w:tc>
          <w:tcPr>
            <w:tcW w:w="798" w:type="pct"/>
            <w:vAlign w:val="center"/>
          </w:tcPr>
          <w:p w14:paraId="6006B06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bottom"/>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358.23</w:t>
            </w:r>
          </w:p>
        </w:tc>
        <w:tc>
          <w:tcPr>
            <w:tcW w:w="820" w:type="pct"/>
            <w:vAlign w:val="center"/>
          </w:tcPr>
          <w:p w14:paraId="7BA9B6BB">
            <w:pPr>
              <w:keepNext w:val="0"/>
              <w:keepLines w:val="0"/>
              <w:pageBreakBefore w:val="0"/>
              <w:kinsoku/>
              <w:wordWrap/>
              <w:overflowPunct/>
              <w:topLinePunct w:val="0"/>
              <w:autoSpaceDE/>
              <w:autoSpaceDN/>
              <w:bidi w:val="0"/>
              <w:adjustRightInd/>
              <w:snapToGrid/>
              <w:spacing w:line="240" w:lineRule="auto"/>
              <w:ind w:firstLine="0" w:firstLineChars="0"/>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12.98%</w:t>
            </w:r>
          </w:p>
        </w:tc>
        <w:tc>
          <w:tcPr>
            <w:tcW w:w="820" w:type="pct"/>
            <w:vAlign w:val="center"/>
          </w:tcPr>
          <w:p w14:paraId="38D40BEF">
            <w:pPr>
              <w:keepNext w:val="0"/>
              <w:keepLines w:val="0"/>
              <w:pageBreakBefore w:val="0"/>
              <w:kinsoku/>
              <w:wordWrap/>
              <w:overflowPunct/>
              <w:topLinePunct w:val="0"/>
              <w:autoSpaceDE/>
              <w:autoSpaceDN/>
              <w:bidi w:val="0"/>
              <w:adjustRightInd/>
              <w:snapToGrid/>
              <w:spacing w:line="240" w:lineRule="auto"/>
              <w:ind w:firstLine="0" w:firstLineChars="0"/>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15.68</w:t>
            </w:r>
          </w:p>
        </w:tc>
        <w:tc>
          <w:tcPr>
            <w:tcW w:w="819" w:type="pct"/>
            <w:vAlign w:val="center"/>
          </w:tcPr>
          <w:p w14:paraId="39DAAE29">
            <w:pPr>
              <w:keepNext w:val="0"/>
              <w:keepLines w:val="0"/>
              <w:pageBreakBefore w:val="0"/>
              <w:kinsoku/>
              <w:wordWrap/>
              <w:overflowPunct/>
              <w:topLinePunct w:val="0"/>
              <w:autoSpaceDE/>
              <w:autoSpaceDN/>
              <w:bidi w:val="0"/>
              <w:adjustRightInd/>
              <w:snapToGrid/>
              <w:spacing w:line="240" w:lineRule="auto"/>
              <w:ind w:firstLine="0" w:firstLineChars="0"/>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4.38%</w:t>
            </w:r>
          </w:p>
        </w:tc>
      </w:tr>
      <w:tr w14:paraId="39E815D0">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743" w:type="pct"/>
            <w:gridSpan w:val="2"/>
            <w:vAlign w:val="center"/>
          </w:tcPr>
          <w:p w14:paraId="721D16CA">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bottom"/>
              <w:rPr>
                <w:rFonts w:ascii="Times New Roman" w:hAnsi="Times New Roman" w:eastAsia="宋体" w:cs="Times New Roman"/>
                <w:color w:val="000000"/>
                <w:sz w:val="21"/>
                <w:szCs w:val="21"/>
              </w:rPr>
            </w:pPr>
            <w:r>
              <w:rPr>
                <w:rFonts w:ascii="Times New Roman" w:hAnsi="Times New Roman" w:eastAsia="宋体" w:cs="Times New Roman"/>
                <w:caps/>
                <w:color w:val="000000"/>
                <w:sz w:val="21"/>
                <w:szCs w:val="21"/>
              </w:rPr>
              <w:t>合计</w:t>
            </w:r>
          </w:p>
        </w:tc>
        <w:tc>
          <w:tcPr>
            <w:tcW w:w="798" w:type="pct"/>
            <w:vAlign w:val="center"/>
          </w:tcPr>
          <w:p w14:paraId="6100281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bottom"/>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2759.24</w:t>
            </w:r>
          </w:p>
        </w:tc>
        <w:tc>
          <w:tcPr>
            <w:tcW w:w="820" w:type="pct"/>
            <w:vAlign w:val="center"/>
          </w:tcPr>
          <w:p w14:paraId="5E0EB2A0">
            <w:pPr>
              <w:keepNext w:val="0"/>
              <w:keepLines w:val="0"/>
              <w:pageBreakBefore w:val="0"/>
              <w:kinsoku/>
              <w:wordWrap/>
              <w:overflowPunct/>
              <w:topLinePunct w:val="0"/>
              <w:autoSpaceDE/>
              <w:autoSpaceDN/>
              <w:bidi w:val="0"/>
              <w:adjustRightInd/>
              <w:snapToGrid/>
              <w:spacing w:line="240" w:lineRule="auto"/>
              <w:ind w:firstLine="0" w:firstLineChars="0"/>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100.00%</w:t>
            </w:r>
          </w:p>
        </w:tc>
        <w:tc>
          <w:tcPr>
            <w:tcW w:w="820" w:type="pct"/>
            <w:vAlign w:val="center"/>
          </w:tcPr>
          <w:p w14:paraId="74E78DC5">
            <w:pPr>
              <w:keepNext w:val="0"/>
              <w:keepLines w:val="0"/>
              <w:pageBreakBefore w:val="0"/>
              <w:kinsoku/>
              <w:wordWrap/>
              <w:overflowPunct/>
              <w:topLinePunct w:val="0"/>
              <w:autoSpaceDE/>
              <w:autoSpaceDN/>
              <w:bidi w:val="0"/>
              <w:adjustRightInd/>
              <w:snapToGrid/>
              <w:spacing w:line="240" w:lineRule="auto"/>
              <w:ind w:firstLine="0" w:firstLineChars="0"/>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306.32</w:t>
            </w:r>
          </w:p>
        </w:tc>
        <w:tc>
          <w:tcPr>
            <w:tcW w:w="819" w:type="pct"/>
            <w:vAlign w:val="center"/>
          </w:tcPr>
          <w:p w14:paraId="7236C31D">
            <w:pPr>
              <w:keepNext w:val="0"/>
              <w:keepLines w:val="0"/>
              <w:pageBreakBefore w:val="0"/>
              <w:kinsoku/>
              <w:wordWrap/>
              <w:overflowPunct/>
              <w:topLinePunct w:val="0"/>
              <w:autoSpaceDE/>
              <w:autoSpaceDN/>
              <w:bidi w:val="0"/>
              <w:adjustRightInd/>
              <w:snapToGrid/>
              <w:spacing w:line="240" w:lineRule="auto"/>
              <w:ind w:firstLine="0" w:firstLineChars="0"/>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11.10%</w:t>
            </w:r>
          </w:p>
        </w:tc>
      </w:tr>
    </w:tbl>
    <w:p w14:paraId="1799A428">
      <w:pPr>
        <w:widowControl w:val="0"/>
        <w:spacing w:before="312" w:beforeLines="100" w:beforeAutospacing="0" w:after="0" w:afterAutospacing="0" w:line="300" w:lineRule="auto"/>
        <w:ind w:firstLine="480" w:firstLineChars="200"/>
        <w:jc w:val="both"/>
        <w:rPr>
          <w:rFonts w:hint="default" w:ascii="Times New Roman" w:hAnsi="Times New Roman" w:eastAsia="宋体" w:cs="Times New Roman"/>
          <w:color w:val="000000"/>
          <w:kern w:val="0"/>
          <w:sz w:val="24"/>
          <w:szCs w:val="24"/>
          <w:lang w:val="en-US" w:eastAsia="zh-CN" w:bidi="ar-SA"/>
        </w:rPr>
      </w:pPr>
      <w:r>
        <w:rPr>
          <w:rFonts w:hint="eastAsia" w:ascii="Times New Roman" w:hAnsi="Times New Roman" w:eastAsia="宋体" w:cs="Times New Roman"/>
          <w:color w:val="000000"/>
          <w:kern w:val="0"/>
          <w:sz w:val="24"/>
          <w:szCs w:val="24"/>
          <w:lang w:val="en-US" w:eastAsia="zh-CN" w:bidi="ar"/>
        </w:rPr>
        <w:t xml:space="preserve">1. </w:t>
      </w:r>
      <w:r>
        <w:rPr>
          <w:rFonts w:hint="default" w:ascii="Times New Roman" w:hAnsi="Times New Roman" w:eastAsia="宋体" w:cs="Times New Roman"/>
          <w:color w:val="000000"/>
          <w:kern w:val="0"/>
          <w:sz w:val="24"/>
          <w:szCs w:val="24"/>
          <w:lang w:val="en-US" w:eastAsia="zh-CN" w:bidi="ar"/>
        </w:rPr>
        <w:t>森林及灌丛生态系统</w:t>
      </w:r>
    </w:p>
    <w:p w14:paraId="7C9AEA55">
      <w:pPr>
        <w:widowControl w:val="0"/>
        <w:spacing w:before="0" w:beforeAutospacing="0" w:after="0" w:afterAutospacing="0" w:line="300" w:lineRule="auto"/>
        <w:ind w:firstLine="480" w:firstLineChars="200"/>
        <w:jc w:val="both"/>
        <w:rPr>
          <w:rFonts w:hint="default" w:ascii="Times New Roman" w:hAnsi="Times New Roman" w:eastAsia="宋体" w:cs="Times New Roman"/>
          <w:color w:val="000000"/>
          <w:kern w:val="0"/>
          <w:sz w:val="24"/>
          <w:szCs w:val="24"/>
          <w:lang w:val="en-US" w:eastAsia="zh-CN" w:bidi="ar-SA"/>
        </w:rPr>
      </w:pPr>
      <w:r>
        <w:rPr>
          <w:rFonts w:hint="eastAsia" w:ascii="Times New Roman" w:hAnsi="Times New Roman" w:eastAsia="宋体" w:cs="Times New Roman"/>
          <w:color w:val="000000"/>
          <w:kern w:val="0"/>
          <w:sz w:val="24"/>
          <w:szCs w:val="24"/>
          <w:lang w:val="en-US" w:eastAsia="zh-CN" w:bidi="ar"/>
        </w:rPr>
        <w:t>（1）</w:t>
      </w:r>
      <w:r>
        <w:rPr>
          <w:rFonts w:hint="default" w:ascii="Times New Roman" w:hAnsi="Times New Roman" w:eastAsia="宋体" w:cs="Times New Roman"/>
          <w:color w:val="000000"/>
          <w:kern w:val="0"/>
          <w:sz w:val="24"/>
          <w:szCs w:val="24"/>
          <w:lang w:val="en-US" w:eastAsia="zh-CN" w:bidi="ar"/>
        </w:rPr>
        <w:t>对森林及灌丛生态系统结构影响</w:t>
      </w:r>
    </w:p>
    <w:p w14:paraId="5E1CB963">
      <w:pPr>
        <w:widowControl w:val="0"/>
        <w:spacing w:before="0" w:beforeAutospacing="0" w:after="0" w:afterAutospacing="0" w:line="300" w:lineRule="auto"/>
        <w:ind w:firstLine="480" w:firstLineChars="200"/>
        <w:jc w:val="both"/>
        <w:rPr>
          <w:rFonts w:hint="default" w:ascii="Times New Roman" w:hAnsi="Times New Roman" w:eastAsia="宋体" w:cs="Times New Roman"/>
          <w:color w:val="000000"/>
          <w:kern w:val="0"/>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工程建设占用森林及灌丛生态系统78.08</w:t>
      </w:r>
      <w:r>
        <w:rPr>
          <w:rFonts w:hint="default" w:ascii="Times New Roman" w:hAnsi="Times New Roman" w:eastAsia="宋体" w:cs="Times New Roman"/>
          <w:color w:val="000000"/>
          <w:spacing w:val="21"/>
          <w:kern w:val="0"/>
          <w:sz w:val="24"/>
          <w:szCs w:val="24"/>
          <w:lang w:val="en-US" w:eastAsia="zh-CN" w:bidi="ar"/>
        </w:rPr>
        <w:t>hm</w:t>
      </w:r>
      <w:r>
        <w:rPr>
          <w:rFonts w:hint="default" w:ascii="Times New Roman" w:hAnsi="Times New Roman" w:eastAsia="宋体" w:cs="Times New Roman"/>
          <w:color w:val="000000"/>
          <w:spacing w:val="21"/>
          <w:kern w:val="0"/>
          <w:sz w:val="24"/>
          <w:szCs w:val="24"/>
          <w:vertAlign w:val="superscript"/>
          <w:lang w:val="en-US" w:eastAsia="zh-CN" w:bidi="ar"/>
        </w:rPr>
        <w:t>2</w:t>
      </w:r>
      <w:r>
        <w:rPr>
          <w:rFonts w:hint="default" w:ascii="Times New Roman" w:hAnsi="Times New Roman" w:eastAsia="宋体" w:cs="Times New Roman"/>
          <w:color w:val="000000"/>
          <w:spacing w:val="21"/>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沿线森林生态系统主要由新疆杨、银白杨、杏树等构成，沿线灌丛植被以</w:t>
      </w:r>
      <w:r>
        <w:rPr>
          <w:rFonts w:hint="default" w:ascii="Times New Roman" w:hAnsi="Times New Roman" w:eastAsia="宋体" w:cs="Times New Roman"/>
          <w:color w:val="000000"/>
          <w:kern w:val="0"/>
          <w:sz w:val="24"/>
          <w:szCs w:val="20"/>
          <w:lang w:val="en-US" w:eastAsia="zh-CN" w:bidi="ar-SA"/>
        </w:rPr>
        <w:t>多枝柽柳、柽柳、琵琶柴、沙拐枣、骆驼刺、盐爪爪</w:t>
      </w:r>
      <w:r>
        <w:rPr>
          <w:rFonts w:hint="default" w:ascii="Times New Roman" w:hAnsi="Times New Roman" w:eastAsia="宋体" w:cs="Times New Roman"/>
          <w:color w:val="000000"/>
          <w:kern w:val="0"/>
          <w:sz w:val="24"/>
          <w:szCs w:val="24"/>
          <w:lang w:val="en-US" w:eastAsia="zh-CN" w:bidi="ar"/>
        </w:rPr>
        <w:t>等常见的群系为主，人工林通过人工造林可进行人工更新，在林下和林缘不断生长幼龄林木，形成下一代新林，并且能够世代延续演替下去，不断扩展。在合理采伐的森林迹地上，通过人工播种造林或植苗造林，可以使原有森林恢复，生长成新的森林。对于森林生态系统中的动物，由</w:t>
      </w:r>
      <w:r>
        <w:rPr>
          <w:rFonts w:ascii="Times New Roman" w:hAnsi="Times New Roman" w:eastAsia="宋体" w:cs="Times New Roman"/>
          <w:color w:val="000000"/>
          <w:kern w:val="0"/>
          <w:sz w:val="24"/>
          <w:szCs w:val="24"/>
          <w:lang w:val="en-US" w:eastAsia="zh-CN" w:bidi="ar"/>
        </w:rPr>
        <w:t>于拟建公路设置的</w:t>
      </w:r>
      <w:r>
        <w:rPr>
          <w:rFonts w:hint="default" w:ascii="Times New Roman" w:hAnsi="Times New Roman" w:eastAsia="宋体" w:cs="Times New Roman"/>
          <w:color w:val="000000"/>
          <w:kern w:val="0"/>
          <w:sz w:val="24"/>
          <w:szCs w:val="24"/>
          <w:lang w:val="en-US" w:eastAsia="zh-CN" w:bidi="ar"/>
        </w:rPr>
        <w:t>桥梁、涵洞、通道等，可作为野生动物过往的通道，公路建成后不会对野生动物的活动产生明显的阻隔影响。因此，拟建公路建设对沿线森林生态系统结构的完整性和连续性不会有明显影响。</w:t>
      </w:r>
    </w:p>
    <w:p w14:paraId="0F00E435">
      <w:pPr>
        <w:widowControl w:val="0"/>
        <w:spacing w:before="0" w:beforeAutospacing="0" w:after="0" w:afterAutospacing="0" w:line="300" w:lineRule="auto"/>
        <w:ind w:firstLine="480" w:firstLineChars="200"/>
        <w:jc w:val="both"/>
        <w:rPr>
          <w:rFonts w:hint="default" w:ascii="Times New Roman" w:hAnsi="Times New Roman" w:eastAsia="宋体" w:cs="Times New Roman"/>
          <w:color w:val="000000"/>
          <w:kern w:val="0"/>
          <w:sz w:val="24"/>
          <w:szCs w:val="24"/>
          <w:lang w:val="en-US" w:eastAsia="zh-CN" w:bidi="ar-SA"/>
        </w:rPr>
      </w:pPr>
      <w:r>
        <w:rPr>
          <w:rFonts w:hint="eastAsia" w:ascii="Times New Roman" w:hAnsi="Times New Roman" w:eastAsia="宋体" w:cs="Times New Roman"/>
          <w:color w:val="000000"/>
          <w:kern w:val="0"/>
          <w:sz w:val="24"/>
          <w:szCs w:val="24"/>
          <w:lang w:val="en-US" w:eastAsia="zh-CN" w:bidi="ar"/>
        </w:rPr>
        <w:t>（2）</w:t>
      </w:r>
      <w:r>
        <w:rPr>
          <w:rFonts w:hint="default" w:ascii="Times New Roman" w:hAnsi="Times New Roman" w:eastAsia="宋体" w:cs="Times New Roman"/>
          <w:color w:val="000000"/>
          <w:kern w:val="0"/>
          <w:sz w:val="24"/>
          <w:szCs w:val="24"/>
          <w:lang w:val="en-US" w:eastAsia="zh-CN" w:bidi="ar"/>
        </w:rPr>
        <w:t>对森林生态系统功能影响</w:t>
      </w:r>
    </w:p>
    <w:p w14:paraId="303F858B">
      <w:pPr>
        <w:widowControl w:val="0"/>
        <w:spacing w:before="0" w:beforeAutospacing="0" w:after="0" w:afterAutospacing="0" w:line="300" w:lineRule="auto"/>
        <w:ind w:firstLine="480" w:firstLineChars="200"/>
        <w:jc w:val="both"/>
        <w:rPr>
          <w:rFonts w:hint="default" w:ascii="Times New Roman" w:hAnsi="Times New Roman" w:eastAsia="宋体" w:cs="Times New Roman"/>
          <w:color w:val="000000"/>
          <w:kern w:val="0"/>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公路修建以后将产生“廊道效应”，道路的分割使景观破碎，将自然景观切割成孤立的块状。拟建公路建成后会分割了土地生物的活动领地和范围，影响生物的生存环境，使得该地域的生物与外界缺乏物质和遗传信息的交流。破碎的森林对干扰的抵抗性低下，受影响后植物种群数量减少，恢复能力差。森林区域因道路的开通而增加了光透度，减少了湿度，进而改变了植被的结构，特别是林下植被的组成。公路建设造成的永久性路堑和路堤使森林生态系统面积减少，改变了动物的生存环境，这将会影响到一些动物的分布和数量。</w:t>
      </w:r>
    </w:p>
    <w:p w14:paraId="0FF2F97E">
      <w:pPr>
        <w:widowControl w:val="0"/>
        <w:spacing w:before="0" w:beforeAutospacing="0" w:after="0" w:afterAutospacing="0" w:line="300" w:lineRule="auto"/>
        <w:ind w:firstLine="480" w:firstLineChars="200"/>
        <w:jc w:val="both"/>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本工程沿线区域有村村通、县道、省道等已有道路分布，临近已有道路及村落附近受人为干扰严重，森林生态系统零散分布，线路对其切割作用影响较小。</w:t>
      </w:r>
    </w:p>
    <w:p w14:paraId="5CB15B8A">
      <w:pPr>
        <w:widowControl w:val="0"/>
        <w:spacing w:before="0" w:beforeAutospacing="0" w:after="0" w:afterAutospacing="0" w:line="300" w:lineRule="auto"/>
        <w:ind w:firstLine="480" w:firstLineChars="200"/>
        <w:jc w:val="both"/>
        <w:rPr>
          <w:rFonts w:hint="default" w:ascii="Times New Roman" w:hAnsi="Times New Roman" w:eastAsia="宋体" w:cs="Times New Roman"/>
          <w:color w:val="000000"/>
          <w:kern w:val="0"/>
          <w:sz w:val="24"/>
          <w:szCs w:val="24"/>
          <w:lang w:val="en-US" w:eastAsia="zh-CN" w:bidi="ar-SA"/>
        </w:rPr>
      </w:pPr>
      <w:r>
        <w:rPr>
          <w:rFonts w:hint="eastAsia" w:ascii="Times New Roman" w:hAnsi="Times New Roman" w:eastAsia="宋体" w:cs="Times New Roman"/>
          <w:color w:val="000000"/>
          <w:kern w:val="0"/>
          <w:sz w:val="24"/>
          <w:szCs w:val="24"/>
          <w:lang w:val="en-US" w:eastAsia="zh-CN" w:bidi="ar"/>
        </w:rPr>
        <w:t xml:space="preserve">2. </w:t>
      </w:r>
      <w:r>
        <w:rPr>
          <w:rFonts w:hint="default" w:ascii="Times New Roman" w:hAnsi="Times New Roman" w:eastAsia="宋体" w:cs="Times New Roman"/>
          <w:color w:val="000000"/>
          <w:kern w:val="0"/>
          <w:sz w:val="24"/>
          <w:szCs w:val="24"/>
          <w:lang w:val="en-US" w:eastAsia="zh-CN" w:bidi="ar"/>
        </w:rPr>
        <w:t>草地生态系统</w:t>
      </w:r>
    </w:p>
    <w:p w14:paraId="1B11A49D">
      <w:pPr>
        <w:widowControl w:val="0"/>
        <w:spacing w:before="0" w:beforeAutospacing="0" w:after="0" w:afterAutospacing="0" w:line="300" w:lineRule="auto"/>
        <w:ind w:firstLine="480" w:firstLineChars="200"/>
        <w:jc w:val="both"/>
        <w:rPr>
          <w:rFonts w:hint="default" w:ascii="Times New Roman" w:hAnsi="Times New Roman" w:eastAsia="宋体" w:cs="Times New Roman"/>
          <w:color w:val="000000"/>
          <w:kern w:val="0"/>
          <w:sz w:val="24"/>
          <w:szCs w:val="24"/>
          <w:lang w:val="en-US" w:eastAsia="zh-CN" w:bidi="ar-SA"/>
        </w:rPr>
      </w:pPr>
      <w:r>
        <w:rPr>
          <w:rFonts w:hint="eastAsia" w:ascii="Times New Roman" w:hAnsi="Times New Roman" w:eastAsia="宋体" w:cs="Times New Roman"/>
          <w:color w:val="000000"/>
          <w:kern w:val="0"/>
          <w:sz w:val="24"/>
          <w:szCs w:val="24"/>
          <w:lang w:val="en-US" w:eastAsia="zh-CN" w:bidi="ar"/>
        </w:rPr>
        <w:t>（1）</w:t>
      </w:r>
      <w:r>
        <w:rPr>
          <w:rFonts w:hint="default" w:ascii="Times New Roman" w:hAnsi="Times New Roman" w:eastAsia="宋体" w:cs="Times New Roman"/>
          <w:color w:val="000000"/>
          <w:kern w:val="0"/>
          <w:sz w:val="24"/>
          <w:szCs w:val="24"/>
          <w:lang w:val="en-US" w:eastAsia="zh-CN" w:bidi="ar"/>
        </w:rPr>
        <w:t>对草地生态系统结构影响</w:t>
      </w:r>
    </w:p>
    <w:p w14:paraId="0EE4C898">
      <w:pPr>
        <w:widowControl w:val="0"/>
        <w:spacing w:before="0" w:beforeAutospacing="0" w:after="0" w:afterAutospacing="0" w:line="300" w:lineRule="auto"/>
        <w:ind w:firstLine="480" w:firstLineChars="200"/>
        <w:jc w:val="both"/>
        <w:rPr>
          <w:rFonts w:hint="default" w:ascii="Times New Roman" w:hAnsi="Times New Roman" w:eastAsia="宋体" w:cs="Times New Roman"/>
          <w:color w:val="000000"/>
          <w:kern w:val="0"/>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根据工程布置，拟建公路建设占用草地面积为3.83hm</w:t>
      </w:r>
      <w:r>
        <w:rPr>
          <w:rFonts w:hint="default" w:ascii="Times New Roman" w:hAnsi="Times New Roman" w:eastAsia="宋体" w:cs="Times New Roman"/>
          <w:color w:val="000000"/>
          <w:kern w:val="0"/>
          <w:sz w:val="24"/>
          <w:szCs w:val="24"/>
          <w:vertAlign w:val="superscript"/>
          <w:lang w:val="en-US" w:eastAsia="zh-CN" w:bidi="ar"/>
        </w:rPr>
        <w:t>2</w:t>
      </w:r>
      <w:r>
        <w:rPr>
          <w:rFonts w:hint="default" w:ascii="Times New Roman" w:hAnsi="Times New Roman" w:eastAsia="宋体" w:cs="Times New Roman"/>
          <w:color w:val="000000"/>
          <w:kern w:val="0"/>
          <w:sz w:val="24"/>
          <w:szCs w:val="24"/>
          <w:lang w:val="en-US" w:eastAsia="zh-CN" w:bidi="ar"/>
        </w:rPr>
        <w:t>。工程施工建设及施工人为活动将会对评价区内草地生态系统造成不利的影响。根据现场调查，拟建公路占地区草地植被以芨芨草、碱蓬等常见的群系为主，受工程影响的草地生态系统内植被类型较单一，群系结构及种类组成较简单，生态系统内植物多以耐旱耐盐碱植物为主，其生命力强、适应性范围广，因此施工建设、施工活动等对评价区草地生态系统影响较小，且随着施工结束，临时占地区草地生态系统将得到恢复，工程施工及运营对草地生态系统结构影响较小。</w:t>
      </w:r>
    </w:p>
    <w:p w14:paraId="79F0337A">
      <w:pPr>
        <w:widowControl w:val="0"/>
        <w:spacing w:before="0" w:beforeAutospacing="0" w:after="0" w:afterAutospacing="0" w:line="300" w:lineRule="auto"/>
        <w:ind w:firstLine="480" w:firstLineChars="200"/>
        <w:jc w:val="both"/>
        <w:rPr>
          <w:rFonts w:hint="default" w:ascii="Times New Roman" w:hAnsi="Times New Roman" w:eastAsia="宋体" w:cs="Times New Roman"/>
          <w:color w:val="000000"/>
          <w:kern w:val="0"/>
          <w:sz w:val="24"/>
          <w:szCs w:val="24"/>
          <w:lang w:val="en-US" w:eastAsia="zh-CN" w:bidi="ar-SA"/>
        </w:rPr>
      </w:pPr>
      <w:r>
        <w:rPr>
          <w:rFonts w:hint="eastAsia" w:ascii="Times New Roman" w:hAnsi="Times New Roman" w:eastAsia="宋体" w:cs="Times New Roman"/>
          <w:color w:val="000000"/>
          <w:kern w:val="0"/>
          <w:sz w:val="24"/>
          <w:szCs w:val="24"/>
          <w:lang w:val="en-US" w:eastAsia="zh-CN" w:bidi="ar"/>
        </w:rPr>
        <w:t>（2）</w:t>
      </w:r>
      <w:r>
        <w:rPr>
          <w:rFonts w:hint="default" w:ascii="Times New Roman" w:hAnsi="Times New Roman" w:eastAsia="宋体" w:cs="Times New Roman"/>
          <w:color w:val="000000"/>
          <w:kern w:val="0"/>
          <w:sz w:val="24"/>
          <w:szCs w:val="24"/>
          <w:lang w:val="en-US" w:eastAsia="zh-CN" w:bidi="ar"/>
        </w:rPr>
        <w:t>对草地生态系统功能影响</w:t>
      </w:r>
    </w:p>
    <w:p w14:paraId="0EF3BB5F">
      <w:pPr>
        <w:widowControl w:val="0"/>
        <w:spacing w:before="0" w:beforeAutospacing="0" w:after="0" w:afterAutospacing="0" w:line="300" w:lineRule="auto"/>
        <w:ind w:firstLine="480" w:firstLineChars="200"/>
        <w:jc w:val="both"/>
        <w:rPr>
          <w:rFonts w:hint="default" w:ascii="Times New Roman" w:hAnsi="Times New Roman" w:eastAsia="宋体" w:cs="Times New Roman"/>
          <w:color w:val="000000"/>
          <w:kern w:val="0"/>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草原生态系统的主要生态服务功能为涵养水源、水土保持等。项目修建过程中，施工机械的碾压、土方工程的开挖等活动会直接破坏植被，不仅使植被的覆盖度降低，还可能影响植物群落的结构和多样性。拟建公路建设占用草原生态系统面积比例较小，对区域灌草地生态系统功能影响较小。</w:t>
      </w:r>
    </w:p>
    <w:p w14:paraId="3767DC4A">
      <w:pPr>
        <w:widowControl w:val="0"/>
        <w:spacing w:before="0" w:beforeAutospacing="0" w:after="0" w:afterAutospacing="0" w:line="300" w:lineRule="auto"/>
        <w:ind w:firstLine="480" w:firstLineChars="200"/>
        <w:jc w:val="both"/>
        <w:rPr>
          <w:rFonts w:hint="default" w:ascii="Times New Roman" w:hAnsi="Times New Roman" w:eastAsia="宋体" w:cs="Times New Roman"/>
          <w:color w:val="000000"/>
          <w:kern w:val="0"/>
          <w:sz w:val="24"/>
          <w:szCs w:val="24"/>
          <w:lang w:val="en-US" w:eastAsia="zh-CN" w:bidi="ar-SA"/>
        </w:rPr>
      </w:pPr>
      <w:r>
        <w:rPr>
          <w:rFonts w:hint="eastAsia" w:ascii="Times New Roman" w:hAnsi="Times New Roman" w:eastAsia="宋体" w:cs="Times New Roman"/>
          <w:color w:val="000000"/>
          <w:kern w:val="0"/>
          <w:sz w:val="24"/>
          <w:szCs w:val="24"/>
          <w:lang w:val="en-US" w:eastAsia="zh-CN" w:bidi="ar"/>
        </w:rPr>
        <w:t xml:space="preserve">3. </w:t>
      </w:r>
      <w:r>
        <w:rPr>
          <w:rFonts w:hint="default" w:ascii="Times New Roman" w:hAnsi="Times New Roman" w:eastAsia="宋体" w:cs="Times New Roman"/>
          <w:color w:val="000000"/>
          <w:kern w:val="0"/>
          <w:sz w:val="24"/>
          <w:szCs w:val="24"/>
          <w:lang w:val="en-US" w:eastAsia="zh-CN" w:bidi="ar"/>
        </w:rPr>
        <w:t>荒漠生态系统</w:t>
      </w:r>
    </w:p>
    <w:p w14:paraId="267AE63D">
      <w:pPr>
        <w:widowControl w:val="0"/>
        <w:spacing w:before="0" w:beforeAutospacing="0" w:after="0" w:afterAutospacing="0" w:line="300" w:lineRule="auto"/>
        <w:ind w:firstLine="480" w:firstLineChars="200"/>
        <w:jc w:val="both"/>
        <w:rPr>
          <w:rFonts w:hint="default" w:ascii="Times New Roman" w:hAnsi="Times New Roman" w:eastAsia="宋体" w:cs="Times New Roman"/>
          <w:color w:val="000000"/>
          <w:kern w:val="0"/>
          <w:sz w:val="24"/>
          <w:szCs w:val="24"/>
          <w:lang w:val="en-US" w:eastAsia="zh-CN" w:bidi="ar-SA"/>
        </w:rPr>
      </w:pPr>
      <w:r>
        <w:rPr>
          <w:rFonts w:hint="eastAsia" w:ascii="Times New Roman" w:hAnsi="Times New Roman" w:eastAsia="宋体" w:cs="Times New Roman"/>
          <w:color w:val="000000"/>
          <w:kern w:val="0"/>
          <w:sz w:val="24"/>
          <w:szCs w:val="24"/>
          <w:lang w:val="en-US" w:eastAsia="zh-CN" w:bidi="ar"/>
        </w:rPr>
        <w:t>（1）</w:t>
      </w:r>
      <w:r>
        <w:rPr>
          <w:rFonts w:hint="default" w:ascii="Times New Roman" w:hAnsi="Times New Roman" w:eastAsia="宋体" w:cs="Times New Roman"/>
          <w:color w:val="000000"/>
          <w:kern w:val="0"/>
          <w:sz w:val="24"/>
          <w:szCs w:val="24"/>
          <w:lang w:val="en-US" w:eastAsia="zh-CN" w:bidi="ar"/>
        </w:rPr>
        <w:t>对荒漠生态系统结构的影响</w:t>
      </w:r>
    </w:p>
    <w:p w14:paraId="53DF8674">
      <w:pPr>
        <w:widowControl w:val="0"/>
        <w:spacing w:before="0" w:beforeAutospacing="0" w:after="0" w:afterAutospacing="0" w:line="300" w:lineRule="auto"/>
        <w:ind w:firstLine="480" w:firstLineChars="200"/>
        <w:jc w:val="both"/>
        <w:rPr>
          <w:rFonts w:hint="default" w:ascii="Times New Roman" w:hAnsi="Times New Roman" w:eastAsia="宋体" w:cs="Times New Roman"/>
          <w:color w:val="000000"/>
          <w:kern w:val="0"/>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根据工程布置，拟建公路建设占用盐碱地面积为15.68hm</w:t>
      </w:r>
      <w:r>
        <w:rPr>
          <w:rFonts w:hint="default" w:ascii="Times New Roman" w:hAnsi="Times New Roman" w:eastAsia="宋体" w:cs="Times New Roman"/>
          <w:color w:val="000000"/>
          <w:kern w:val="0"/>
          <w:sz w:val="24"/>
          <w:szCs w:val="24"/>
          <w:vertAlign w:val="superscript"/>
          <w:lang w:val="en-US" w:eastAsia="zh-CN" w:bidi="ar"/>
        </w:rPr>
        <w:t>2</w:t>
      </w:r>
      <w:r>
        <w:rPr>
          <w:rFonts w:hint="default" w:ascii="Times New Roman" w:hAnsi="Times New Roman" w:eastAsia="宋体" w:cs="Times New Roman"/>
          <w:color w:val="000000"/>
          <w:kern w:val="0"/>
          <w:sz w:val="24"/>
          <w:szCs w:val="24"/>
          <w:lang w:val="en-US" w:eastAsia="zh-CN" w:bidi="ar"/>
        </w:rPr>
        <w:t>。可能会造成沿线水土流失，土地荒漠化、石漠化等次生地质灾害影响。建议在施工过程中加强施工管理，严禁越界施工，做好施工期的表土剥离措施，提倡边扰动边恢复，避免对荒漠生态系统影响。</w:t>
      </w:r>
    </w:p>
    <w:p w14:paraId="4135F73E">
      <w:pPr>
        <w:widowControl w:val="0"/>
        <w:spacing w:before="0" w:beforeAutospacing="0" w:after="0" w:afterAutospacing="0" w:line="300" w:lineRule="auto"/>
        <w:ind w:firstLine="480" w:firstLineChars="200"/>
        <w:jc w:val="both"/>
        <w:rPr>
          <w:rFonts w:hint="default" w:ascii="Times New Roman" w:hAnsi="Times New Roman" w:eastAsia="宋体" w:cs="Times New Roman"/>
          <w:color w:val="000000"/>
          <w:kern w:val="0"/>
          <w:sz w:val="24"/>
          <w:szCs w:val="24"/>
          <w:lang w:val="en-US" w:eastAsia="zh-CN" w:bidi="ar-SA"/>
        </w:rPr>
      </w:pPr>
      <w:r>
        <w:rPr>
          <w:rFonts w:hint="eastAsia" w:ascii="Times New Roman" w:hAnsi="Times New Roman" w:eastAsia="宋体" w:cs="Times New Roman"/>
          <w:color w:val="000000"/>
          <w:kern w:val="0"/>
          <w:sz w:val="24"/>
          <w:szCs w:val="24"/>
          <w:lang w:val="en-US" w:eastAsia="zh-CN" w:bidi="ar"/>
        </w:rPr>
        <w:t>（2）</w:t>
      </w:r>
      <w:r>
        <w:rPr>
          <w:rFonts w:hint="default" w:ascii="Times New Roman" w:hAnsi="Times New Roman" w:eastAsia="宋体" w:cs="Times New Roman"/>
          <w:color w:val="000000"/>
          <w:kern w:val="0"/>
          <w:sz w:val="24"/>
          <w:szCs w:val="24"/>
          <w:lang w:val="en-US" w:eastAsia="zh-CN" w:bidi="ar"/>
        </w:rPr>
        <w:t>对荒漠生态系统功能影响</w:t>
      </w:r>
    </w:p>
    <w:p w14:paraId="4E5ADCF7">
      <w:pPr>
        <w:widowControl w:val="0"/>
        <w:spacing w:before="0" w:beforeAutospacing="0" w:after="0" w:afterAutospacing="0" w:line="300" w:lineRule="auto"/>
        <w:ind w:firstLine="480" w:firstLineChars="200"/>
        <w:jc w:val="both"/>
        <w:rPr>
          <w:rFonts w:hint="default"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szCs w:val="24"/>
          <w:lang w:val="en-US" w:eastAsia="zh-CN" w:bidi="ar"/>
        </w:rPr>
        <w:t>施工活动会破坏荒漠地表的砾幕层和土壤结构。荒漠地区的土壤通常较为疏</w:t>
      </w:r>
      <w:r>
        <w:rPr>
          <w:rFonts w:hint="default" w:ascii="Times New Roman" w:hAnsi="Times New Roman" w:eastAsia="宋体" w:cs="Times New Roman"/>
          <w:color w:val="000000"/>
          <w:kern w:val="0"/>
          <w:sz w:val="24"/>
          <w:szCs w:val="24"/>
          <w:lang w:val="en-US" w:eastAsia="zh-CN" w:bidi="ar"/>
        </w:rPr>
        <w:t>松，且地表结皮对保持土壤水分、防止风蚀起着重要作用。一旦砾幕层被破坏，容易导致土壤风蚀加剧，还会加剧沙尘暴等自然灾害的发生频率和强度，对周边生态造成更大的破坏。拟建公路占地涉及荒漠生态系统，因此施工中要严格控制施工活动范围，避免对荒漠生态系统造成影响。</w:t>
      </w:r>
    </w:p>
    <w:p w14:paraId="0EDBC899">
      <w:pPr>
        <w:widowControl w:val="0"/>
        <w:spacing w:before="0" w:beforeAutospacing="0" w:after="0" w:afterAutospacing="0" w:line="300" w:lineRule="auto"/>
        <w:ind w:firstLine="480" w:firstLineChars="200"/>
        <w:jc w:val="both"/>
        <w:rPr>
          <w:rFonts w:hint="default" w:ascii="Times New Roman" w:hAnsi="Times New Roman" w:eastAsia="宋体" w:cs="Times New Roman"/>
          <w:color w:val="000000"/>
          <w:kern w:val="0"/>
          <w:sz w:val="24"/>
          <w:szCs w:val="24"/>
          <w:lang w:val="en-US" w:eastAsia="zh-CN" w:bidi="ar-SA"/>
        </w:rPr>
      </w:pPr>
      <w:r>
        <w:rPr>
          <w:rFonts w:hint="eastAsia" w:ascii="Times New Roman" w:hAnsi="Times New Roman" w:eastAsia="宋体" w:cs="Times New Roman"/>
          <w:color w:val="000000"/>
          <w:kern w:val="0"/>
          <w:sz w:val="24"/>
          <w:szCs w:val="24"/>
          <w:lang w:val="en-US" w:eastAsia="zh-CN" w:bidi="ar"/>
        </w:rPr>
        <w:t xml:space="preserve">4. </w:t>
      </w:r>
      <w:r>
        <w:rPr>
          <w:rFonts w:hint="default" w:ascii="Times New Roman" w:hAnsi="Times New Roman" w:eastAsia="宋体" w:cs="Times New Roman"/>
          <w:color w:val="000000"/>
          <w:kern w:val="0"/>
          <w:sz w:val="24"/>
          <w:szCs w:val="24"/>
          <w:lang w:val="en-US" w:eastAsia="zh-CN" w:bidi="ar"/>
        </w:rPr>
        <w:t>农田生态系统</w:t>
      </w:r>
    </w:p>
    <w:p w14:paraId="20AB5965">
      <w:pPr>
        <w:widowControl w:val="0"/>
        <w:spacing w:before="0" w:beforeAutospacing="0" w:after="0" w:afterAutospacing="0" w:line="300" w:lineRule="auto"/>
        <w:ind w:firstLine="480" w:firstLineChars="200"/>
        <w:jc w:val="both"/>
        <w:rPr>
          <w:rFonts w:hint="default" w:ascii="Times New Roman" w:hAnsi="Times New Roman" w:eastAsia="宋体" w:cs="Times New Roman"/>
          <w:color w:val="000000"/>
          <w:kern w:val="0"/>
          <w:sz w:val="24"/>
          <w:szCs w:val="24"/>
          <w:lang w:val="en-US" w:eastAsia="zh-CN" w:bidi="ar-SA"/>
        </w:rPr>
      </w:pPr>
      <w:r>
        <w:rPr>
          <w:rFonts w:hint="eastAsia" w:ascii="Times New Roman" w:hAnsi="Times New Roman" w:eastAsia="宋体" w:cs="Times New Roman"/>
          <w:color w:val="000000"/>
          <w:kern w:val="0"/>
          <w:sz w:val="24"/>
          <w:szCs w:val="24"/>
          <w:lang w:val="en-US" w:eastAsia="zh-CN" w:bidi="ar"/>
        </w:rPr>
        <w:t>（1）</w:t>
      </w:r>
      <w:r>
        <w:rPr>
          <w:rFonts w:hint="default" w:ascii="Times New Roman" w:hAnsi="Times New Roman" w:eastAsia="宋体" w:cs="Times New Roman"/>
          <w:color w:val="000000"/>
          <w:kern w:val="0"/>
          <w:sz w:val="24"/>
          <w:szCs w:val="24"/>
          <w:lang w:val="en-US" w:eastAsia="zh-CN" w:bidi="ar"/>
        </w:rPr>
        <w:t>对农田生态系统结构的影响</w:t>
      </w:r>
    </w:p>
    <w:p w14:paraId="689139ED">
      <w:pPr>
        <w:widowControl w:val="0"/>
        <w:spacing w:before="0" w:beforeAutospacing="0" w:after="0" w:afterAutospacing="0" w:line="300" w:lineRule="auto"/>
        <w:ind w:firstLine="480" w:firstLineChars="200"/>
        <w:jc w:val="both"/>
        <w:rPr>
          <w:rFonts w:hint="default" w:ascii="Times New Roman" w:hAnsi="Times New Roman" w:eastAsia="宋体" w:cs="Times New Roman"/>
          <w:color w:val="000000"/>
          <w:kern w:val="0"/>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沿线农田多分布在沿线绿洲区，在</w:t>
      </w:r>
      <w:r>
        <w:rPr>
          <w:rFonts w:hint="default" w:ascii="Times New Roman" w:hAnsi="Times New Roman" w:eastAsia="宋体" w:cs="Times New Roman"/>
          <w:color w:val="000000"/>
          <w:kern w:val="0"/>
          <w:sz w:val="24"/>
          <w:szCs w:val="20"/>
          <w:lang w:val="en-US" w:eastAsia="zh-CN" w:bidi="ar-SA"/>
        </w:rPr>
        <w:t>K1+100~K4+100、K6+500~K11+000、K19+000~K24+900、K25+200~终点路段均有分布，其中K18+300~K22+410</w:t>
      </w:r>
      <w:r>
        <w:rPr>
          <w:rFonts w:hint="default" w:ascii="Times New Roman" w:hAnsi="Times New Roman" w:eastAsia="宋体" w:cs="Times New Roman"/>
          <w:color w:val="000000"/>
          <w:kern w:val="0"/>
          <w:sz w:val="24"/>
          <w:szCs w:val="24"/>
          <w:lang w:val="en-US" w:eastAsia="zh-CN" w:bidi="ar"/>
        </w:rPr>
        <w:t>路段为一般耕地集中分布区，公路建设占用耕地数量较少，不会引起小麦、玉米、油菜籽、棉花、杏、石榴和蔬菜等主要农作物种植品种和面积的明显改变，因此农田生态系统的结构不会破坏。同时，项目占用的耕地可通过土地整治等手段予以补偿，区域内的耕地数量将保持不变。因此，农田生态系统的持续生产能力不会下降，结构完整性不会被破坏。</w:t>
      </w:r>
    </w:p>
    <w:p w14:paraId="266828D1">
      <w:pPr>
        <w:widowControl w:val="0"/>
        <w:spacing w:before="0" w:beforeAutospacing="0" w:after="0" w:afterAutospacing="0" w:line="300" w:lineRule="auto"/>
        <w:ind w:firstLine="480" w:firstLineChars="200"/>
        <w:jc w:val="both"/>
        <w:rPr>
          <w:rFonts w:hint="default" w:ascii="Times New Roman" w:hAnsi="Times New Roman" w:eastAsia="宋体" w:cs="Times New Roman"/>
          <w:color w:val="000000"/>
          <w:kern w:val="0"/>
          <w:sz w:val="24"/>
          <w:szCs w:val="24"/>
          <w:lang w:val="en-US" w:eastAsia="zh-CN" w:bidi="ar-SA"/>
        </w:rPr>
      </w:pPr>
      <w:r>
        <w:rPr>
          <w:rFonts w:hint="eastAsia" w:ascii="Times New Roman" w:hAnsi="Times New Roman" w:eastAsia="宋体" w:cs="Times New Roman"/>
          <w:color w:val="000000"/>
          <w:kern w:val="0"/>
          <w:sz w:val="24"/>
          <w:szCs w:val="24"/>
          <w:lang w:val="en-US" w:eastAsia="zh-CN" w:bidi="ar"/>
        </w:rPr>
        <w:t>（2）</w:t>
      </w:r>
      <w:r>
        <w:rPr>
          <w:rFonts w:hint="default" w:ascii="Times New Roman" w:hAnsi="Times New Roman" w:eastAsia="宋体" w:cs="Times New Roman"/>
          <w:color w:val="000000"/>
          <w:kern w:val="0"/>
          <w:sz w:val="24"/>
          <w:szCs w:val="24"/>
          <w:lang w:val="en-US" w:eastAsia="zh-CN" w:bidi="ar"/>
        </w:rPr>
        <w:t>对农田生态系统功能影响</w:t>
      </w:r>
    </w:p>
    <w:p w14:paraId="04F2AD1A">
      <w:pPr>
        <w:widowControl w:val="0"/>
        <w:spacing w:before="0" w:beforeAutospacing="0" w:after="0" w:afterAutospacing="0" w:line="300" w:lineRule="auto"/>
        <w:ind w:firstLine="480" w:firstLineChars="200"/>
        <w:jc w:val="both"/>
        <w:rPr>
          <w:rFonts w:hint="default" w:ascii="Times New Roman" w:hAnsi="Times New Roman" w:eastAsia="宋体" w:cs="Times New Roman"/>
          <w:color w:val="000000"/>
          <w:kern w:val="0"/>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区域农田生态系统的主要生态服务功能为农产品提供、水土保持、维护生物多样性。施工过程中，重型机械的碾压和挖掘会破坏农田的土壤结构，使土壤变得紧实，通气性和透水性变差。这不利于农作物根系的生长和发育，影响土壤中微生物的活动，进而降低土壤的肥力和养分循环能力，施工期间产生的扬尘、废水以及建筑废料等会对周边农田生态造成污染。公路建设占用耕地数量较少，占用的耕地可通过土地整治等手段予以补偿，通过施工过程中加强管理，限制污染物外排，对农田生态系统功能影响较小。</w:t>
      </w:r>
    </w:p>
    <w:p w14:paraId="6CE76362">
      <w:pPr>
        <w:widowControl w:val="0"/>
        <w:spacing w:before="0" w:beforeAutospacing="0" w:after="0" w:afterAutospacing="0" w:line="300" w:lineRule="auto"/>
        <w:ind w:firstLine="480" w:firstLineChars="200"/>
        <w:jc w:val="both"/>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 xml:space="preserve">5. </w:t>
      </w:r>
      <w:r>
        <w:rPr>
          <w:rFonts w:hint="default" w:ascii="Times New Roman" w:hAnsi="Times New Roman" w:eastAsia="宋体" w:cs="Times New Roman"/>
          <w:color w:val="000000"/>
          <w:kern w:val="0"/>
          <w:sz w:val="24"/>
          <w:szCs w:val="24"/>
          <w:lang w:val="en-US" w:eastAsia="zh-CN" w:bidi="ar"/>
        </w:rPr>
        <w:t>湿地生态系统</w:t>
      </w:r>
    </w:p>
    <w:p w14:paraId="03DC9580">
      <w:pPr>
        <w:widowControl w:val="0"/>
        <w:spacing w:before="0" w:beforeAutospacing="0" w:after="0" w:afterAutospacing="0" w:line="300" w:lineRule="auto"/>
        <w:ind w:firstLine="480" w:firstLineChars="200"/>
        <w:jc w:val="both"/>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（1）对湿地生态系统结构影响</w:t>
      </w:r>
    </w:p>
    <w:p w14:paraId="405FFC62">
      <w:pPr>
        <w:spacing w:line="300" w:lineRule="auto"/>
        <w:ind w:firstLine="480" w:firstLineChars="200"/>
        <w:jc w:val="both"/>
        <w:rPr>
          <w:rFonts w:hint="default" w:ascii="Times New Roman" w:hAnsi="Times New Roman" w:eastAsia="宋体" w:cs="Times New Roman"/>
          <w:color w:val="000000"/>
          <w:kern w:val="0"/>
          <w:sz w:val="24"/>
          <w:szCs w:val="22"/>
          <w:lang w:bidi="ar"/>
        </w:rPr>
      </w:pPr>
      <w:bookmarkStart w:id="376" w:name="OLE_LINK46"/>
      <w:r>
        <w:rPr>
          <w:rFonts w:hint="default" w:ascii="Times New Roman" w:hAnsi="Times New Roman" w:eastAsia="宋体" w:cs="Times New Roman"/>
          <w:color w:val="000000"/>
          <w:kern w:val="0"/>
          <w:sz w:val="24"/>
          <w:szCs w:val="22"/>
          <w:lang w:bidi="ar"/>
        </w:rPr>
        <w:t>湿地生态系统结构由地形地貌基底、水文情势支撑系统和生物群落系统三部分组成，项目建设对各组分的影响具有明显的空间差异性和时间局限性。</w:t>
      </w:r>
    </w:p>
    <w:bookmarkEnd w:id="376"/>
    <w:p w14:paraId="3D620DE0">
      <w:pPr>
        <w:numPr>
          <w:ilvl w:val="0"/>
          <w:numId w:val="0"/>
        </w:numPr>
        <w:spacing w:line="300" w:lineRule="auto"/>
        <w:ind w:leftChars="200" w:firstLine="480" w:firstLineChars="200"/>
        <w:jc w:val="both"/>
        <w:rPr>
          <w:rFonts w:hint="default" w:ascii="Times New Roman" w:hAnsi="Times New Roman" w:eastAsia="宋体" w:cs="Times New Roman"/>
          <w:color w:val="000000"/>
          <w:kern w:val="0"/>
          <w:sz w:val="24"/>
          <w:szCs w:val="22"/>
          <w:lang w:bidi="ar"/>
        </w:rPr>
      </w:pPr>
      <w:r>
        <w:rPr>
          <w:rFonts w:hint="default" w:ascii="Times New Roman" w:hAnsi="Times New Roman" w:eastAsia="宋体" w:cs="Times New Roman"/>
          <w:color w:val="000000"/>
          <w:kern w:val="0"/>
          <w:sz w:val="24"/>
          <w:szCs w:val="22"/>
          <w:lang w:bidi="ar"/>
        </w:rPr>
        <w:t>①</w:t>
      </w:r>
      <w:r>
        <w:rPr>
          <w:rFonts w:hint="default" w:ascii="Times New Roman" w:hAnsi="Times New Roman" w:eastAsia="宋体" w:cs="Times New Roman"/>
          <w:color w:val="000000"/>
          <w:kern w:val="0"/>
          <w:sz w:val="24"/>
          <w:szCs w:val="22"/>
          <w:lang w:val="en-US" w:eastAsia="zh-CN" w:bidi="ar"/>
        </w:rPr>
        <w:t xml:space="preserve"> </w:t>
      </w:r>
      <w:r>
        <w:rPr>
          <w:rFonts w:hint="default" w:ascii="Times New Roman" w:hAnsi="Times New Roman" w:eastAsia="宋体" w:cs="Times New Roman"/>
          <w:color w:val="000000"/>
          <w:kern w:val="0"/>
          <w:sz w:val="24"/>
          <w:szCs w:val="22"/>
          <w:lang w:bidi="ar"/>
        </w:rPr>
        <w:t>地形地貌基底的局部改变</w:t>
      </w:r>
    </w:p>
    <w:p w14:paraId="75BB0EC8">
      <w:pPr>
        <w:spacing w:line="300" w:lineRule="auto"/>
        <w:ind w:firstLine="480" w:firstLineChars="200"/>
        <w:jc w:val="both"/>
        <w:rPr>
          <w:rFonts w:hint="default" w:ascii="Times New Roman" w:hAnsi="Times New Roman" w:eastAsia="宋体" w:cs="Times New Roman"/>
          <w:color w:val="000000"/>
          <w:kern w:val="0"/>
          <w:sz w:val="24"/>
          <w:szCs w:val="22"/>
          <w:lang w:bidi="ar"/>
        </w:rPr>
      </w:pPr>
      <w:r>
        <w:rPr>
          <w:rFonts w:hint="default" w:ascii="Times New Roman" w:hAnsi="Times New Roman" w:eastAsia="宋体" w:cs="Times New Roman"/>
          <w:color w:val="000000"/>
          <w:kern w:val="0"/>
          <w:sz w:val="24"/>
          <w:szCs w:val="22"/>
          <w:lang w:bidi="ar"/>
        </w:rPr>
        <w:t>永久工程影响：仅涉及桥梁墩台基础的点状占地，单个墩台占地面积不足20m²，分布于河道及河滩边缘，不会改变湿地整体的地形起伏和地貌格局。</w:t>
      </w:r>
    </w:p>
    <w:p w14:paraId="243308A4">
      <w:pPr>
        <w:spacing w:line="300" w:lineRule="auto"/>
        <w:ind w:firstLine="480" w:firstLineChars="200"/>
        <w:jc w:val="both"/>
        <w:rPr>
          <w:rFonts w:hint="default" w:ascii="Times New Roman" w:hAnsi="Times New Roman" w:eastAsia="宋体" w:cs="Times New Roman"/>
          <w:color w:val="000000"/>
          <w:kern w:val="0"/>
          <w:sz w:val="24"/>
          <w:szCs w:val="22"/>
          <w:lang w:bidi="ar"/>
        </w:rPr>
      </w:pPr>
      <w:r>
        <w:rPr>
          <w:rFonts w:hint="default" w:ascii="Times New Roman" w:hAnsi="Times New Roman" w:eastAsia="宋体" w:cs="Times New Roman"/>
          <w:color w:val="000000"/>
          <w:kern w:val="0"/>
          <w:sz w:val="24"/>
          <w:szCs w:val="22"/>
          <w:lang w:bidi="ar"/>
        </w:rPr>
        <w:t>临时工程影响：施工平台、临时便道和材料堆放场占用湿地边缘平缓区域，将进行局部填土平整，改变地表微地形。但上述临时用地全部位于湿地生态系统的边缘缓冲区，不涉及湿地核心汇水区和深水区，且施工结束后将全部拆除并恢复原有地形。</w:t>
      </w:r>
    </w:p>
    <w:p w14:paraId="54DF4A54">
      <w:pPr>
        <w:spacing w:line="300" w:lineRule="auto"/>
        <w:ind w:firstLine="480" w:firstLineChars="200"/>
        <w:jc w:val="both"/>
        <w:rPr>
          <w:rFonts w:hint="default" w:ascii="Times New Roman" w:hAnsi="Times New Roman" w:eastAsia="宋体" w:cs="Times New Roman"/>
          <w:color w:val="000000"/>
          <w:kern w:val="0"/>
          <w:sz w:val="24"/>
          <w:szCs w:val="22"/>
          <w:lang w:bidi="ar"/>
        </w:rPr>
      </w:pPr>
      <w:r>
        <w:rPr>
          <w:rFonts w:hint="default" w:ascii="Times New Roman" w:hAnsi="Times New Roman" w:eastAsia="宋体" w:cs="Times New Roman"/>
          <w:color w:val="000000"/>
          <w:kern w:val="0"/>
          <w:sz w:val="24"/>
          <w:szCs w:val="22"/>
          <w:lang w:bidi="ar"/>
        </w:rPr>
        <w:t>无整体性破坏：项目未进行大规模的湿地填埋或开挖，不会割裂湿地的空间连续性，湿地整体的地形地貌结构保持完整。</w:t>
      </w:r>
    </w:p>
    <w:p w14:paraId="15334EB0">
      <w:pPr>
        <w:numPr>
          <w:ilvl w:val="0"/>
          <w:numId w:val="0"/>
        </w:numPr>
        <w:spacing w:line="300" w:lineRule="auto"/>
        <w:ind w:leftChars="200" w:firstLine="480" w:firstLineChars="200"/>
        <w:jc w:val="both"/>
        <w:rPr>
          <w:rFonts w:hint="default" w:ascii="Times New Roman" w:hAnsi="Times New Roman" w:eastAsia="宋体" w:cs="Times New Roman"/>
          <w:color w:val="000000"/>
          <w:kern w:val="0"/>
          <w:sz w:val="24"/>
          <w:szCs w:val="22"/>
          <w:lang w:bidi="ar"/>
        </w:rPr>
      </w:pPr>
      <w:r>
        <w:rPr>
          <w:rFonts w:hint="default" w:ascii="Times New Roman" w:hAnsi="Times New Roman" w:eastAsia="宋体" w:cs="Times New Roman"/>
          <w:color w:val="000000"/>
          <w:kern w:val="0"/>
          <w:sz w:val="24"/>
          <w:szCs w:val="22"/>
          <w:lang w:bidi="ar"/>
        </w:rPr>
        <w:t>②</w:t>
      </w:r>
      <w:r>
        <w:rPr>
          <w:rFonts w:hint="default" w:ascii="Times New Roman" w:hAnsi="Times New Roman" w:eastAsia="宋体" w:cs="Times New Roman"/>
          <w:color w:val="000000"/>
          <w:kern w:val="0"/>
          <w:sz w:val="24"/>
          <w:szCs w:val="22"/>
          <w:lang w:val="en-US" w:eastAsia="zh-CN" w:bidi="ar"/>
        </w:rPr>
        <w:t xml:space="preserve"> </w:t>
      </w:r>
      <w:r>
        <w:rPr>
          <w:rFonts w:hint="default" w:ascii="Times New Roman" w:hAnsi="Times New Roman" w:eastAsia="宋体" w:cs="Times New Roman"/>
          <w:color w:val="000000"/>
          <w:kern w:val="0"/>
          <w:sz w:val="24"/>
          <w:szCs w:val="22"/>
          <w:lang w:bidi="ar"/>
        </w:rPr>
        <w:t>水文情势支撑系统的暂时性扰动</w:t>
      </w:r>
    </w:p>
    <w:p w14:paraId="6C5E6511">
      <w:pPr>
        <w:spacing w:line="300" w:lineRule="auto"/>
        <w:ind w:firstLine="480" w:firstLineChars="200"/>
        <w:jc w:val="both"/>
        <w:rPr>
          <w:rFonts w:hint="default" w:ascii="Times New Roman" w:hAnsi="Times New Roman" w:eastAsia="宋体" w:cs="Times New Roman"/>
          <w:color w:val="000000"/>
          <w:kern w:val="0"/>
          <w:sz w:val="24"/>
          <w:szCs w:val="22"/>
          <w:lang w:bidi="ar"/>
        </w:rPr>
      </w:pPr>
      <w:r>
        <w:rPr>
          <w:rFonts w:hint="default" w:ascii="Times New Roman" w:hAnsi="Times New Roman" w:eastAsia="宋体" w:cs="Times New Roman"/>
          <w:color w:val="000000"/>
          <w:kern w:val="0"/>
          <w:sz w:val="24"/>
          <w:szCs w:val="22"/>
          <w:lang w:bidi="ar"/>
        </w:rPr>
        <w:t>短期水文阻隔：桥梁基础施工期间将设置钢板桩围堰，围堰会临时阻隔局部水体流动，改变围堰周边小范围的流速和流态。由于桥梁施工时间短，因此对水文情势无明显阻隔。</w:t>
      </w:r>
    </w:p>
    <w:p w14:paraId="7C5820AD">
      <w:pPr>
        <w:spacing w:line="300" w:lineRule="auto"/>
        <w:ind w:firstLine="480" w:firstLineChars="200"/>
        <w:jc w:val="both"/>
        <w:rPr>
          <w:rFonts w:hint="default" w:ascii="Times New Roman" w:hAnsi="Times New Roman" w:eastAsia="宋体" w:cs="Times New Roman"/>
          <w:color w:val="000000"/>
          <w:kern w:val="0"/>
          <w:sz w:val="24"/>
          <w:szCs w:val="22"/>
          <w:lang w:bidi="ar"/>
        </w:rPr>
      </w:pPr>
      <w:r>
        <w:rPr>
          <w:rFonts w:hint="default" w:ascii="Times New Roman" w:hAnsi="Times New Roman" w:eastAsia="宋体" w:cs="Times New Roman"/>
          <w:color w:val="000000"/>
          <w:kern w:val="0"/>
          <w:sz w:val="24"/>
          <w:szCs w:val="22"/>
          <w:lang w:bidi="ar"/>
        </w:rPr>
        <w:t>无长期水文改变：桥梁采用大跨度箱梁设计，无涉水桥墩，不压缩河道行洪断面，不改变河流的自然流向和流速分布。项目建成后，湿地的汇水范围、补水条件和水位变化规律与现状基本一致。</w:t>
      </w:r>
    </w:p>
    <w:p w14:paraId="5BEA9571">
      <w:pPr>
        <w:spacing w:line="300" w:lineRule="auto"/>
        <w:ind w:firstLine="480" w:firstLineChars="200"/>
        <w:jc w:val="both"/>
        <w:rPr>
          <w:rFonts w:hint="default" w:ascii="Times New Roman" w:hAnsi="Times New Roman" w:eastAsia="宋体" w:cs="Times New Roman"/>
          <w:color w:val="000000"/>
          <w:kern w:val="0"/>
          <w:sz w:val="24"/>
          <w:szCs w:val="22"/>
          <w:lang w:bidi="ar"/>
        </w:rPr>
      </w:pPr>
      <w:r>
        <w:rPr>
          <w:rFonts w:hint="default" w:ascii="Times New Roman" w:hAnsi="Times New Roman" w:eastAsia="宋体" w:cs="Times New Roman"/>
          <w:color w:val="000000"/>
          <w:kern w:val="0"/>
          <w:sz w:val="24"/>
          <w:szCs w:val="22"/>
          <w:lang w:bidi="ar"/>
        </w:rPr>
        <w:t>排水系统影响：施工期设置的临时排水沟不会改变湿地自然排水格局，且严禁向湿地核心区排放施工废水。</w:t>
      </w:r>
    </w:p>
    <w:p w14:paraId="5173EEFC">
      <w:pPr>
        <w:numPr>
          <w:ilvl w:val="0"/>
          <w:numId w:val="0"/>
        </w:numPr>
        <w:spacing w:line="300" w:lineRule="auto"/>
        <w:ind w:leftChars="200" w:firstLine="480" w:firstLineChars="200"/>
        <w:jc w:val="both"/>
        <w:rPr>
          <w:rFonts w:hint="default" w:ascii="Times New Roman" w:hAnsi="Times New Roman" w:eastAsia="宋体" w:cs="Times New Roman"/>
          <w:color w:val="000000"/>
          <w:kern w:val="0"/>
          <w:sz w:val="24"/>
          <w:szCs w:val="22"/>
          <w:lang w:bidi="ar"/>
        </w:rPr>
      </w:pPr>
      <w:r>
        <w:rPr>
          <w:rFonts w:hint="default" w:ascii="Times New Roman" w:hAnsi="Times New Roman" w:eastAsia="宋体" w:cs="Times New Roman"/>
          <w:color w:val="000000"/>
          <w:kern w:val="0"/>
          <w:sz w:val="24"/>
          <w:szCs w:val="22"/>
          <w:lang w:bidi="ar"/>
        </w:rPr>
        <w:t>③</w:t>
      </w:r>
      <w:r>
        <w:rPr>
          <w:rFonts w:hint="default" w:ascii="Times New Roman" w:hAnsi="Times New Roman" w:eastAsia="宋体" w:cs="Times New Roman"/>
          <w:color w:val="000000"/>
          <w:kern w:val="0"/>
          <w:sz w:val="24"/>
          <w:szCs w:val="22"/>
          <w:lang w:val="en-US" w:eastAsia="zh-CN" w:bidi="ar"/>
        </w:rPr>
        <w:t xml:space="preserve"> </w:t>
      </w:r>
      <w:r>
        <w:rPr>
          <w:rFonts w:hint="default" w:ascii="Times New Roman" w:hAnsi="Times New Roman" w:eastAsia="宋体" w:cs="Times New Roman"/>
          <w:color w:val="000000"/>
          <w:kern w:val="0"/>
          <w:sz w:val="24"/>
          <w:szCs w:val="22"/>
          <w:lang w:bidi="ar"/>
        </w:rPr>
        <w:t>生物群落结构的局部扰动</w:t>
      </w:r>
    </w:p>
    <w:p w14:paraId="67A418B4">
      <w:pPr>
        <w:spacing w:line="300" w:lineRule="auto"/>
        <w:ind w:firstLine="480" w:firstLineChars="200"/>
        <w:jc w:val="both"/>
        <w:rPr>
          <w:rFonts w:hint="default" w:ascii="Times New Roman" w:hAnsi="Times New Roman" w:eastAsia="宋体" w:cs="Times New Roman"/>
          <w:color w:val="000000"/>
          <w:kern w:val="0"/>
          <w:sz w:val="24"/>
          <w:szCs w:val="22"/>
          <w:lang w:bidi="ar"/>
        </w:rPr>
      </w:pPr>
      <w:r>
        <w:rPr>
          <w:rFonts w:hint="default" w:ascii="Times New Roman" w:hAnsi="Times New Roman" w:eastAsia="宋体" w:cs="Times New Roman"/>
          <w:color w:val="000000"/>
          <w:kern w:val="0"/>
          <w:sz w:val="24"/>
          <w:szCs w:val="22"/>
          <w:lang w:bidi="ar"/>
        </w:rPr>
        <w:t>植被结构影响：永久占地仅破坏少量芦苇、香蒲等挺水植物，临时占地不涉及湿地。由于湿地植被以广布种为主，且周边存在大面积同类型植被，施工结束后通过人工辅助恢复，1-2个生长周期即可恢复原有植被覆盖度和群落结构。</w:t>
      </w:r>
    </w:p>
    <w:p w14:paraId="1D54A575">
      <w:pPr>
        <w:spacing w:line="300" w:lineRule="auto"/>
        <w:ind w:firstLine="480" w:firstLineChars="200"/>
        <w:jc w:val="both"/>
        <w:rPr>
          <w:rFonts w:hint="default" w:ascii="Times New Roman" w:hAnsi="Times New Roman" w:eastAsia="宋体" w:cs="Times New Roman"/>
          <w:color w:val="000000"/>
          <w:kern w:val="0"/>
          <w:sz w:val="24"/>
          <w:szCs w:val="22"/>
          <w:lang w:bidi="ar"/>
        </w:rPr>
      </w:pPr>
      <w:r>
        <w:rPr>
          <w:rFonts w:hint="default" w:ascii="Times New Roman" w:hAnsi="Times New Roman" w:eastAsia="宋体" w:cs="Times New Roman"/>
          <w:color w:val="000000"/>
          <w:kern w:val="0"/>
          <w:sz w:val="24"/>
          <w:szCs w:val="22"/>
          <w:lang w:bidi="ar"/>
        </w:rPr>
        <w:t>鸟类影响：施工期的噪声和人员活动会暂时惊扰湿地内的鸟类，使其向周边未受干扰的湿地迁移。但项目施工安排在枯水期（11月至次年3月），避开了鸟类繁殖和迁徙高峰期，且湿地整体栖息地未被破坏，施工结束后鸟类会迅速返回。</w:t>
      </w:r>
    </w:p>
    <w:p w14:paraId="535C3AD7">
      <w:pPr>
        <w:spacing w:line="300" w:lineRule="auto"/>
        <w:ind w:firstLine="480" w:firstLineChars="200"/>
        <w:jc w:val="both"/>
        <w:rPr>
          <w:rFonts w:hint="default" w:ascii="Times New Roman" w:hAnsi="Times New Roman" w:eastAsia="宋体" w:cs="Times New Roman"/>
          <w:color w:val="000000"/>
          <w:kern w:val="0"/>
          <w:sz w:val="24"/>
          <w:szCs w:val="22"/>
          <w:lang w:bidi="ar"/>
        </w:rPr>
      </w:pPr>
      <w:r>
        <w:rPr>
          <w:rFonts w:hint="default" w:ascii="Times New Roman" w:hAnsi="Times New Roman" w:eastAsia="宋体" w:cs="Times New Roman"/>
          <w:color w:val="000000"/>
          <w:kern w:val="0"/>
          <w:sz w:val="24"/>
          <w:szCs w:val="22"/>
          <w:lang w:bidi="ar"/>
        </w:rPr>
        <w:t>综上，项目建设对湿地生态系统结构的影响仅限于施工期局部范围，不会改变湿地生态系统的整体完整性和稳定性。</w:t>
      </w:r>
    </w:p>
    <w:p w14:paraId="144A32EF">
      <w:pPr>
        <w:spacing w:line="300" w:lineRule="auto"/>
        <w:ind w:firstLine="480" w:firstLineChars="200"/>
        <w:jc w:val="both"/>
        <w:rPr>
          <w:rFonts w:hint="default" w:ascii="Times New Roman" w:hAnsi="Times New Roman" w:eastAsia="宋体" w:cs="Times New Roman"/>
          <w:color w:val="000000"/>
          <w:kern w:val="0"/>
          <w:sz w:val="24"/>
          <w:szCs w:val="22"/>
          <w:lang w:bidi="ar"/>
        </w:rPr>
      </w:pPr>
      <w:r>
        <w:rPr>
          <w:rFonts w:hint="default" w:ascii="Times New Roman" w:hAnsi="Times New Roman" w:eastAsia="宋体" w:cs="Times New Roman"/>
          <w:color w:val="000000"/>
          <w:kern w:val="0"/>
          <w:sz w:val="24"/>
          <w:szCs w:val="22"/>
          <w:lang w:bidi="ar"/>
        </w:rPr>
        <w:t>④对湿地生态系统功能的影响</w:t>
      </w:r>
    </w:p>
    <w:p w14:paraId="7D90B2B8">
      <w:pPr>
        <w:spacing w:line="300" w:lineRule="auto"/>
        <w:ind w:firstLine="480" w:firstLineChars="200"/>
        <w:jc w:val="both"/>
        <w:rPr>
          <w:rFonts w:hint="default" w:ascii="Times New Roman" w:hAnsi="Times New Roman" w:eastAsia="宋体" w:cs="Times New Roman"/>
          <w:color w:val="000000"/>
          <w:kern w:val="0"/>
          <w:sz w:val="24"/>
          <w:szCs w:val="22"/>
          <w:lang w:bidi="ar"/>
        </w:rPr>
      </w:pPr>
      <w:r>
        <w:rPr>
          <w:rFonts w:hint="default" w:ascii="Times New Roman" w:hAnsi="Times New Roman" w:eastAsia="宋体" w:cs="Times New Roman"/>
          <w:color w:val="000000"/>
          <w:kern w:val="0"/>
          <w:sz w:val="24"/>
          <w:szCs w:val="22"/>
          <w:lang w:bidi="ar"/>
        </w:rPr>
        <w:t>沿线湿地主要承担水文调节、水质净化、生物栖息地和初级生产等生态功能，项目建设对各功能的影响程度与影响范围呈正相关，整体影响轻微可控：</w:t>
      </w:r>
    </w:p>
    <w:p w14:paraId="33252A04">
      <w:pPr>
        <w:numPr>
          <w:ilvl w:val="0"/>
          <w:numId w:val="0"/>
        </w:numPr>
        <w:spacing w:line="300" w:lineRule="auto"/>
        <w:ind w:leftChars="200" w:firstLine="480" w:firstLineChars="200"/>
        <w:jc w:val="both"/>
        <w:rPr>
          <w:rFonts w:hint="default" w:ascii="Times New Roman" w:hAnsi="Times New Roman" w:eastAsia="宋体" w:cs="Times New Roman"/>
          <w:color w:val="000000"/>
          <w:kern w:val="0"/>
          <w:sz w:val="24"/>
          <w:szCs w:val="22"/>
          <w:lang w:bidi="ar"/>
        </w:rPr>
      </w:pPr>
      <w:r>
        <w:rPr>
          <w:rFonts w:hint="default" w:ascii="Times New Roman" w:hAnsi="Times New Roman" w:eastAsia="宋体" w:cs="Times New Roman"/>
          <w:color w:val="000000"/>
          <w:kern w:val="0"/>
          <w:sz w:val="24"/>
          <w:szCs w:val="22"/>
          <w:lang w:eastAsia="zh-CN" w:bidi="ar"/>
        </w:rPr>
        <w:t>（</w:t>
      </w:r>
      <w:r>
        <w:rPr>
          <w:rFonts w:hint="default" w:ascii="Times New Roman" w:hAnsi="Times New Roman" w:eastAsia="宋体" w:cs="Times New Roman"/>
          <w:color w:val="000000"/>
          <w:kern w:val="0"/>
          <w:sz w:val="24"/>
          <w:szCs w:val="22"/>
          <w:lang w:val="en-US" w:eastAsia="zh-CN" w:bidi="ar"/>
        </w:rPr>
        <w:t>2</w:t>
      </w:r>
      <w:r>
        <w:rPr>
          <w:rFonts w:hint="default" w:ascii="Times New Roman" w:hAnsi="Times New Roman" w:eastAsia="宋体" w:cs="Times New Roman"/>
          <w:color w:val="000000"/>
          <w:kern w:val="0"/>
          <w:sz w:val="24"/>
          <w:szCs w:val="22"/>
          <w:lang w:eastAsia="zh-CN" w:bidi="ar"/>
        </w:rPr>
        <w:t>）</w:t>
      </w:r>
      <w:r>
        <w:rPr>
          <w:rFonts w:hint="default" w:ascii="Times New Roman" w:hAnsi="Times New Roman" w:eastAsia="宋体" w:cs="Times New Roman"/>
          <w:color w:val="000000"/>
          <w:kern w:val="0"/>
          <w:sz w:val="24"/>
          <w:szCs w:val="22"/>
          <w:lang w:bidi="ar"/>
        </w:rPr>
        <w:t>水文调节功能</w:t>
      </w:r>
    </w:p>
    <w:p w14:paraId="33C9A7F5">
      <w:pPr>
        <w:spacing w:line="300" w:lineRule="auto"/>
        <w:ind w:firstLine="480" w:firstLineChars="200"/>
        <w:jc w:val="both"/>
        <w:rPr>
          <w:rFonts w:hint="default" w:ascii="Times New Roman" w:hAnsi="Times New Roman" w:eastAsia="宋体" w:cs="Times New Roman"/>
          <w:color w:val="000000"/>
          <w:kern w:val="0"/>
          <w:sz w:val="24"/>
          <w:szCs w:val="22"/>
          <w:lang w:bidi="ar"/>
        </w:rPr>
      </w:pPr>
      <w:r>
        <w:rPr>
          <w:rFonts w:hint="default" w:ascii="Times New Roman" w:hAnsi="Times New Roman" w:eastAsia="宋体" w:cs="Times New Roman"/>
          <w:color w:val="000000"/>
          <w:kern w:val="0"/>
          <w:sz w:val="24"/>
          <w:szCs w:val="22"/>
          <w:lang w:bidi="ar"/>
        </w:rPr>
        <w:t>沿线河滩湿地的主要水文功能是调蓄洪水、涵养水源和调节区域小气候。由于项目不改变湿地的汇水面积、行洪能力和补水条件，永久占用湿地面积仅占沿线湿地总面积的0.35%，不会削弱湿地的洪水调蓄能力和水源涵养功能。</w:t>
      </w:r>
    </w:p>
    <w:p w14:paraId="5A3D26F0">
      <w:pPr>
        <w:numPr>
          <w:ilvl w:val="0"/>
          <w:numId w:val="0"/>
        </w:numPr>
        <w:spacing w:line="300" w:lineRule="auto"/>
        <w:ind w:leftChars="200" w:firstLine="480" w:firstLineChars="200"/>
        <w:jc w:val="both"/>
        <w:rPr>
          <w:rFonts w:hint="default" w:ascii="Times New Roman" w:hAnsi="Times New Roman" w:eastAsia="宋体" w:cs="Times New Roman"/>
          <w:color w:val="000000"/>
          <w:kern w:val="0"/>
          <w:sz w:val="24"/>
          <w:szCs w:val="22"/>
          <w:lang w:bidi="ar"/>
        </w:rPr>
      </w:pPr>
      <w:r>
        <w:rPr>
          <w:rFonts w:hint="default" w:ascii="Times New Roman" w:hAnsi="Times New Roman" w:eastAsia="宋体" w:cs="Times New Roman"/>
          <w:color w:val="000000"/>
          <w:kern w:val="0"/>
          <w:sz w:val="24"/>
          <w:szCs w:val="22"/>
          <w:lang w:bidi="ar"/>
        </w:rPr>
        <w:t>①</w:t>
      </w:r>
      <w:r>
        <w:rPr>
          <w:rFonts w:hint="default" w:ascii="Times New Roman" w:hAnsi="Times New Roman" w:eastAsia="宋体" w:cs="Times New Roman"/>
          <w:color w:val="000000"/>
          <w:kern w:val="0"/>
          <w:sz w:val="24"/>
          <w:szCs w:val="22"/>
          <w:lang w:val="en-US" w:eastAsia="zh-CN" w:bidi="ar"/>
        </w:rPr>
        <w:t xml:space="preserve"> </w:t>
      </w:r>
      <w:r>
        <w:rPr>
          <w:rFonts w:hint="default" w:ascii="Times New Roman" w:hAnsi="Times New Roman" w:eastAsia="宋体" w:cs="Times New Roman"/>
          <w:color w:val="000000"/>
          <w:kern w:val="0"/>
          <w:sz w:val="24"/>
          <w:szCs w:val="22"/>
          <w:lang w:bidi="ar"/>
        </w:rPr>
        <w:t>水质净化功能</w:t>
      </w:r>
    </w:p>
    <w:p w14:paraId="770BA338">
      <w:pPr>
        <w:spacing w:line="300" w:lineRule="auto"/>
        <w:ind w:firstLine="480" w:firstLineChars="200"/>
        <w:jc w:val="both"/>
        <w:rPr>
          <w:rFonts w:hint="default" w:ascii="Times New Roman" w:hAnsi="Times New Roman" w:eastAsia="宋体" w:cs="Times New Roman"/>
          <w:color w:val="000000"/>
          <w:kern w:val="0"/>
          <w:sz w:val="24"/>
          <w:szCs w:val="22"/>
          <w:lang w:bidi="ar"/>
        </w:rPr>
      </w:pPr>
      <w:r>
        <w:rPr>
          <w:rFonts w:hint="default" w:ascii="Times New Roman" w:hAnsi="Times New Roman" w:eastAsia="宋体" w:cs="Times New Roman"/>
          <w:color w:val="000000"/>
          <w:kern w:val="0"/>
          <w:sz w:val="24"/>
          <w:szCs w:val="22"/>
          <w:lang w:bidi="ar"/>
        </w:rPr>
        <w:t>施工期影响：施工废水若未经处理直接排放，会暂时增加水体中的悬浮物和石油类浓度，影响湿地的水质净化功能。但通过设置沉淀池等处理设施，施工废水经处理达标后回用或排放至湿地边缘，不会对湿地核心区的水质产生显著影响。</w:t>
      </w:r>
    </w:p>
    <w:p w14:paraId="148199FA">
      <w:pPr>
        <w:spacing w:line="300" w:lineRule="auto"/>
        <w:ind w:firstLine="480" w:firstLineChars="200"/>
        <w:jc w:val="both"/>
        <w:rPr>
          <w:rFonts w:hint="default" w:ascii="Times New Roman" w:hAnsi="Times New Roman" w:eastAsia="宋体" w:cs="Times New Roman"/>
          <w:color w:val="000000"/>
          <w:kern w:val="0"/>
          <w:sz w:val="24"/>
          <w:szCs w:val="22"/>
          <w:lang w:bidi="ar"/>
        </w:rPr>
      </w:pPr>
      <w:r>
        <w:rPr>
          <w:rFonts w:hint="default" w:ascii="Times New Roman" w:hAnsi="Times New Roman" w:eastAsia="宋体" w:cs="Times New Roman"/>
          <w:color w:val="000000"/>
          <w:kern w:val="0"/>
          <w:sz w:val="24"/>
          <w:szCs w:val="22"/>
          <w:lang w:bidi="ar"/>
        </w:rPr>
        <w:t>运营期影响：路面径流含有少量悬浮物、石油类，但通过桥面径流收集系统和沉淀池处理后排放，污染物浓度大幅降低，不会超过湿地的自净能力。</w:t>
      </w:r>
    </w:p>
    <w:p w14:paraId="4AFCBE66">
      <w:pPr>
        <w:spacing w:line="300" w:lineRule="auto"/>
        <w:ind w:firstLine="480" w:firstLineChars="200"/>
        <w:jc w:val="both"/>
        <w:rPr>
          <w:rFonts w:hint="default" w:ascii="Times New Roman" w:hAnsi="Times New Roman" w:eastAsia="宋体" w:cs="Times New Roman"/>
          <w:color w:val="000000"/>
          <w:kern w:val="0"/>
          <w:sz w:val="24"/>
          <w:szCs w:val="22"/>
          <w:lang w:bidi="ar"/>
        </w:rPr>
      </w:pPr>
      <w:r>
        <w:rPr>
          <w:rFonts w:hint="default" w:ascii="Times New Roman" w:hAnsi="Times New Roman" w:eastAsia="宋体" w:cs="Times New Roman"/>
          <w:color w:val="000000"/>
          <w:kern w:val="0"/>
          <w:sz w:val="24"/>
          <w:szCs w:val="22"/>
          <w:lang w:bidi="ar"/>
        </w:rPr>
        <w:t>长期影响：项目建设不会改变湿地的底质条件和微生物群落结构，湿地的水质净化功能可长期保持稳定。</w:t>
      </w:r>
    </w:p>
    <w:p w14:paraId="5D2119D5">
      <w:pPr>
        <w:numPr>
          <w:ilvl w:val="0"/>
          <w:numId w:val="0"/>
        </w:numPr>
        <w:spacing w:line="300" w:lineRule="auto"/>
        <w:ind w:leftChars="200" w:firstLine="480" w:firstLineChars="200"/>
        <w:jc w:val="both"/>
        <w:rPr>
          <w:rFonts w:hint="default" w:ascii="Times New Roman" w:hAnsi="Times New Roman" w:eastAsia="宋体" w:cs="Times New Roman"/>
          <w:color w:val="000000"/>
          <w:kern w:val="0"/>
          <w:sz w:val="24"/>
          <w:szCs w:val="22"/>
          <w:lang w:bidi="ar"/>
        </w:rPr>
      </w:pPr>
      <w:r>
        <w:rPr>
          <w:rFonts w:hint="default" w:ascii="Times New Roman" w:hAnsi="Times New Roman" w:eastAsia="宋体" w:cs="Times New Roman"/>
          <w:color w:val="000000"/>
          <w:kern w:val="0"/>
          <w:sz w:val="24"/>
          <w:szCs w:val="22"/>
          <w:lang w:bidi="ar"/>
        </w:rPr>
        <w:t>②</w:t>
      </w:r>
      <w:r>
        <w:rPr>
          <w:rFonts w:hint="default" w:ascii="Times New Roman" w:hAnsi="Times New Roman" w:eastAsia="宋体" w:cs="Times New Roman"/>
          <w:color w:val="000000"/>
          <w:kern w:val="0"/>
          <w:sz w:val="24"/>
          <w:szCs w:val="22"/>
          <w:lang w:val="en-US" w:eastAsia="zh-CN" w:bidi="ar"/>
        </w:rPr>
        <w:t xml:space="preserve"> </w:t>
      </w:r>
      <w:r>
        <w:rPr>
          <w:rFonts w:hint="default" w:ascii="Times New Roman" w:hAnsi="Times New Roman" w:eastAsia="宋体" w:cs="Times New Roman"/>
          <w:color w:val="000000"/>
          <w:kern w:val="0"/>
          <w:sz w:val="24"/>
          <w:szCs w:val="22"/>
          <w:lang w:bidi="ar"/>
        </w:rPr>
        <w:t>生物栖息地功能</w:t>
      </w:r>
    </w:p>
    <w:p w14:paraId="59E8E4DB">
      <w:pPr>
        <w:spacing w:line="300" w:lineRule="auto"/>
        <w:ind w:firstLine="480" w:firstLineChars="200"/>
        <w:jc w:val="both"/>
        <w:rPr>
          <w:rFonts w:hint="default" w:ascii="Times New Roman" w:hAnsi="Times New Roman" w:eastAsia="宋体" w:cs="Times New Roman"/>
          <w:color w:val="000000"/>
          <w:kern w:val="0"/>
          <w:sz w:val="24"/>
          <w:szCs w:val="22"/>
          <w:lang w:bidi="ar"/>
        </w:rPr>
      </w:pPr>
      <w:r>
        <w:rPr>
          <w:rFonts w:hint="default" w:ascii="Times New Roman" w:hAnsi="Times New Roman" w:eastAsia="宋体" w:cs="Times New Roman"/>
          <w:color w:val="000000"/>
          <w:kern w:val="0"/>
          <w:sz w:val="24"/>
          <w:szCs w:val="22"/>
          <w:lang w:bidi="ar"/>
        </w:rPr>
        <w:t>栖息地丧失：永久占用湿地导致约1.07hm</w:t>
      </w:r>
      <w:r>
        <w:rPr>
          <w:rFonts w:hint="default" w:ascii="Times New Roman" w:hAnsi="Times New Roman" w:eastAsia="宋体" w:cs="Times New Roman"/>
          <w:color w:val="000000"/>
          <w:kern w:val="0"/>
          <w:sz w:val="24"/>
          <w:szCs w:val="22"/>
          <w:vertAlign w:val="superscript"/>
          <w:lang w:bidi="ar"/>
        </w:rPr>
        <w:t>2</w:t>
      </w:r>
      <w:r>
        <w:rPr>
          <w:rFonts w:hint="default" w:ascii="Times New Roman" w:hAnsi="Times New Roman" w:eastAsia="宋体" w:cs="Times New Roman"/>
          <w:color w:val="000000"/>
          <w:kern w:val="0"/>
          <w:sz w:val="24"/>
          <w:szCs w:val="22"/>
          <w:lang w:bidi="ar"/>
        </w:rPr>
        <w:t>的动物栖息环境丧失，但仅占沿线湿地栖息地总面积的0.35%，且丧失的栖息地均为湿地边缘的次生生境，非核心栖息地。</w:t>
      </w:r>
    </w:p>
    <w:p w14:paraId="56A095A6">
      <w:pPr>
        <w:spacing w:line="300" w:lineRule="auto"/>
        <w:ind w:firstLine="480" w:firstLineChars="200"/>
        <w:rPr>
          <w:rFonts w:hint="default" w:ascii="Times New Roman" w:hAnsi="Times New Roman" w:eastAsia="宋体" w:cs="Times New Roman"/>
          <w:color w:val="000000"/>
          <w:kern w:val="0"/>
          <w:sz w:val="24"/>
          <w:szCs w:val="22"/>
          <w:lang w:bidi="ar"/>
        </w:rPr>
      </w:pPr>
      <w:r>
        <w:rPr>
          <w:rFonts w:hint="default" w:ascii="Times New Roman" w:hAnsi="Times New Roman" w:eastAsia="宋体" w:cs="Times New Roman"/>
          <w:color w:val="000000"/>
          <w:kern w:val="0"/>
          <w:sz w:val="24"/>
          <w:szCs w:val="22"/>
          <w:lang w:bidi="ar"/>
        </w:rPr>
        <w:t>栖息地破碎化：桥梁采用大跨度架空通过，不会对动物造成阻隔影响，湿地的整体连通性保持完好。周边大面积连续分布的湿地为动植物提供了充足的替代栖息地，不会导致物种的隔离或灭绝。</w:t>
      </w:r>
    </w:p>
    <w:p w14:paraId="6999F751">
      <w:pPr>
        <w:spacing w:line="300" w:lineRule="auto"/>
        <w:ind w:firstLine="480" w:firstLineChars="200"/>
        <w:rPr>
          <w:rFonts w:hint="default" w:ascii="Times New Roman" w:hAnsi="Times New Roman" w:eastAsia="宋体" w:cs="Times New Roman"/>
          <w:color w:val="000000"/>
          <w:kern w:val="0"/>
          <w:sz w:val="24"/>
          <w:szCs w:val="22"/>
          <w:lang w:bidi="ar"/>
        </w:rPr>
      </w:pPr>
      <w:r>
        <w:rPr>
          <w:rFonts w:hint="default" w:ascii="Times New Roman" w:hAnsi="Times New Roman" w:eastAsia="宋体" w:cs="Times New Roman"/>
          <w:color w:val="000000"/>
          <w:kern w:val="0"/>
          <w:sz w:val="24"/>
          <w:szCs w:val="22"/>
          <w:lang w:bidi="ar"/>
        </w:rPr>
        <w:t>栖息地质量：施工期的噪声和污染会暂时降低局部栖息地的质量，但随着施工结束，栖息地质量将逐步恢复。</w:t>
      </w:r>
    </w:p>
    <w:p w14:paraId="52B1BB7C">
      <w:pPr>
        <w:numPr>
          <w:ilvl w:val="0"/>
          <w:numId w:val="0"/>
        </w:numPr>
        <w:spacing w:line="300" w:lineRule="auto"/>
        <w:ind w:leftChars="200" w:firstLine="480" w:firstLineChars="200"/>
        <w:rPr>
          <w:rFonts w:hint="default" w:ascii="Times New Roman" w:hAnsi="Times New Roman" w:eastAsia="宋体" w:cs="Times New Roman"/>
          <w:color w:val="000000"/>
          <w:kern w:val="0"/>
          <w:sz w:val="24"/>
          <w:szCs w:val="22"/>
          <w:lang w:bidi="ar"/>
        </w:rPr>
      </w:pPr>
      <w:r>
        <w:rPr>
          <w:rFonts w:hint="default" w:ascii="Times New Roman" w:hAnsi="Times New Roman" w:eastAsia="宋体" w:cs="Times New Roman"/>
          <w:color w:val="000000"/>
          <w:kern w:val="0"/>
          <w:sz w:val="24"/>
          <w:szCs w:val="22"/>
          <w:lang w:bidi="ar"/>
        </w:rPr>
        <w:t>③</w:t>
      </w:r>
      <w:r>
        <w:rPr>
          <w:rFonts w:hint="default" w:ascii="Times New Roman" w:hAnsi="Times New Roman" w:eastAsia="宋体" w:cs="Times New Roman"/>
          <w:color w:val="000000"/>
          <w:kern w:val="0"/>
          <w:sz w:val="24"/>
          <w:szCs w:val="22"/>
          <w:lang w:val="en-US" w:eastAsia="zh-CN" w:bidi="ar"/>
        </w:rPr>
        <w:t xml:space="preserve"> </w:t>
      </w:r>
      <w:r>
        <w:rPr>
          <w:rFonts w:hint="default" w:ascii="Times New Roman" w:hAnsi="Times New Roman" w:eastAsia="宋体" w:cs="Times New Roman"/>
          <w:color w:val="000000"/>
          <w:kern w:val="0"/>
          <w:sz w:val="24"/>
          <w:szCs w:val="22"/>
          <w:lang w:bidi="ar"/>
        </w:rPr>
        <w:t>初级生产与物质循环功能</w:t>
      </w:r>
    </w:p>
    <w:p w14:paraId="077274D1">
      <w:pPr>
        <w:spacing w:line="300" w:lineRule="auto"/>
        <w:ind w:firstLine="480" w:firstLineChars="200"/>
        <w:rPr>
          <w:rFonts w:hint="default" w:ascii="Times New Roman" w:hAnsi="Times New Roman" w:eastAsia="宋体" w:cs="Times New Roman"/>
          <w:color w:val="000000"/>
          <w:kern w:val="0"/>
          <w:sz w:val="24"/>
          <w:szCs w:val="22"/>
          <w:lang w:bidi="ar"/>
        </w:rPr>
      </w:pPr>
      <w:r>
        <w:rPr>
          <w:rFonts w:hint="default" w:ascii="Times New Roman" w:hAnsi="Times New Roman" w:eastAsia="宋体" w:cs="Times New Roman"/>
          <w:color w:val="000000"/>
          <w:kern w:val="0"/>
          <w:sz w:val="24"/>
          <w:szCs w:val="22"/>
          <w:lang w:bidi="ar"/>
        </w:rPr>
        <w:t>湿地的初级生产功能主要由水生和湿生植物承担，项目建设仅破坏少量植被，不会影响湿地整体的初级生产力。局部底泥扰动会暂时影响碳、氮、磷等物质的循环过程，但影响范围小、持续时间短，不会改变湿地生态系统的物质循环平衡。</w:t>
      </w:r>
    </w:p>
    <w:p w14:paraId="4CF83790">
      <w:pPr>
        <w:spacing w:line="300" w:lineRule="auto"/>
        <w:ind w:firstLine="480" w:firstLineChars="200"/>
        <w:rPr>
          <w:rFonts w:ascii="Times New Roman" w:hAnsi="Times New Roman" w:eastAsia="宋体" w:cs="Times New Roman"/>
          <w:color w:val="000000"/>
          <w:kern w:val="0"/>
          <w:sz w:val="24"/>
          <w:szCs w:val="22"/>
          <w:lang w:bidi="ar"/>
        </w:rPr>
      </w:pPr>
      <w:r>
        <w:rPr>
          <w:rFonts w:hint="default" w:ascii="Times New Roman" w:hAnsi="Times New Roman" w:eastAsia="宋体" w:cs="Times New Roman"/>
          <w:color w:val="000000"/>
          <w:kern w:val="0"/>
          <w:sz w:val="24"/>
          <w:szCs w:val="22"/>
          <w:lang w:bidi="ar"/>
        </w:rPr>
        <w:t>综上，通过严格落实施工期环境</w:t>
      </w:r>
      <w:r>
        <w:rPr>
          <w:rFonts w:ascii="Times New Roman" w:hAnsi="Times New Roman" w:eastAsia="宋体" w:cs="Times New Roman"/>
          <w:color w:val="000000"/>
          <w:kern w:val="0"/>
          <w:sz w:val="24"/>
          <w:szCs w:val="22"/>
          <w:lang w:bidi="ar"/>
        </w:rPr>
        <w:t>保护措施和施工后的生态恢复与补偿措施，项目建设不会对沿线湿地生态系统的整体功能产生显著不利影响</w:t>
      </w:r>
      <w:r>
        <w:rPr>
          <w:rFonts w:ascii="Times New Roman" w:hAnsi="Times New Roman" w:eastAsia="宋体" w:cs="Times New Roman"/>
          <w:color w:val="000000"/>
          <w:kern w:val="0"/>
          <w:sz w:val="24"/>
          <w:szCs w:val="24"/>
          <w:lang w:bidi="ar"/>
        </w:rPr>
        <w:t>。</w:t>
      </w:r>
    </w:p>
    <w:p w14:paraId="2F994E45">
      <w:pPr>
        <w:keepNext/>
        <w:keepLines/>
        <w:widowControl w:val="0"/>
        <w:numPr>
          <w:ilvl w:val="2"/>
          <w:numId w:val="13"/>
        </w:numPr>
        <w:spacing w:before="120" w:after="120" w:line="240" w:lineRule="auto"/>
        <w:ind w:firstLine="200" w:firstLineChars="0"/>
        <w:jc w:val="both"/>
        <w:outlineLvl w:val="2"/>
        <w:rPr>
          <w:rFonts w:ascii="Times New Roman" w:hAnsi="Times New Roman" w:eastAsia="宋体" w:cs="Times New Roman"/>
          <w:b/>
          <w:bCs w:val="0"/>
          <w:color w:val="000000"/>
          <w:kern w:val="28"/>
          <w:sz w:val="24"/>
          <w:szCs w:val="32"/>
          <w:lang w:val="en-US" w:eastAsia="zh-CN" w:bidi="ar-SA"/>
        </w:rPr>
      </w:pPr>
      <w:bookmarkStart w:id="377" w:name="_Toc4568"/>
      <w:r>
        <w:rPr>
          <w:rFonts w:ascii="Times New Roman" w:hAnsi="Times New Roman" w:eastAsia="宋体" w:cs="Times New Roman"/>
          <w:b/>
          <w:bCs w:val="0"/>
          <w:color w:val="000000"/>
          <w:kern w:val="28"/>
          <w:sz w:val="24"/>
          <w:szCs w:val="32"/>
          <w:lang w:val="en-US" w:eastAsia="zh-CN" w:bidi="ar-SA"/>
        </w:rPr>
        <w:t>景观生态体系影响评价</w:t>
      </w:r>
      <w:bookmarkEnd w:id="377"/>
    </w:p>
    <w:p w14:paraId="275C89E8">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1. 恢复稳定性分析</w:t>
      </w:r>
    </w:p>
    <w:p w14:paraId="24233EC8">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自然系统的恢复稳定性，是根据植被净生产力度量的。如果植被净生产力高，则其恢复稳定性强，反之则弱。项目实施后，土地利用类型中除建筑用地外，其他都有不同程度的减少，然而由于</w:t>
      </w:r>
      <w:r>
        <w:rPr>
          <w:rFonts w:ascii="Times New Roman" w:hAnsi="Times New Roman" w:eastAsia="宋体" w:cs="Times New Roman"/>
          <w:iCs/>
          <w:color w:val="000000"/>
          <w:sz w:val="24"/>
          <w:szCs w:val="22"/>
        </w:rPr>
        <w:t>拟建公路</w:t>
      </w:r>
      <w:r>
        <w:rPr>
          <w:rFonts w:ascii="Times New Roman" w:hAnsi="Times New Roman" w:eastAsia="宋体" w:cs="Times New Roman"/>
          <w:color w:val="000000"/>
          <w:sz w:val="24"/>
          <w:szCs w:val="22"/>
        </w:rPr>
        <w:t>占用评价区面积较小，不会对自然生态系统的结构和功能造成太大的影响。</w:t>
      </w:r>
    </w:p>
    <w:p w14:paraId="772C4CA7">
      <w:pPr>
        <w:spacing w:line="300" w:lineRule="auto"/>
        <w:ind w:firstLine="480" w:firstLineChars="200"/>
        <w:rPr>
          <w:rFonts w:hint="default" w:ascii="Times New Roman" w:hAnsi="Times New Roman" w:eastAsia="宋体" w:cs="Times New Roman"/>
          <w:color w:val="000000"/>
          <w:sz w:val="24"/>
          <w:szCs w:val="22"/>
        </w:rPr>
      </w:pPr>
      <w:r>
        <w:rPr>
          <w:rFonts w:hint="default" w:ascii="Times New Roman" w:hAnsi="Times New Roman" w:eastAsia="宋体" w:cs="Times New Roman"/>
          <w:color w:val="000000"/>
          <w:sz w:val="24"/>
          <w:szCs w:val="22"/>
        </w:rPr>
        <w:t>2. 阻抗稳定性分析</w:t>
      </w:r>
    </w:p>
    <w:p w14:paraId="7985A63D">
      <w:pPr>
        <w:spacing w:line="300" w:lineRule="auto"/>
        <w:ind w:firstLine="480" w:firstLineChars="200"/>
        <w:rPr>
          <w:rFonts w:hint="default" w:ascii="Times New Roman" w:hAnsi="Times New Roman" w:eastAsia="宋体" w:cs="Times New Roman"/>
          <w:color w:val="000000"/>
          <w:sz w:val="24"/>
          <w:szCs w:val="22"/>
        </w:rPr>
      </w:pPr>
      <w:r>
        <w:rPr>
          <w:rFonts w:hint="default" w:ascii="Times New Roman" w:hAnsi="Times New Roman" w:eastAsia="宋体" w:cs="Times New Roman"/>
          <w:color w:val="000000"/>
          <w:sz w:val="24"/>
          <w:szCs w:val="22"/>
        </w:rPr>
        <w:t>（1）景观异质性变化分析</w:t>
      </w:r>
    </w:p>
    <w:p w14:paraId="174770DE">
      <w:pPr>
        <w:spacing w:line="300" w:lineRule="auto"/>
        <w:ind w:firstLine="480" w:firstLineChars="200"/>
        <w:rPr>
          <w:rFonts w:hint="default" w:ascii="Times New Roman" w:hAnsi="Times New Roman" w:eastAsia="宋体" w:cs="Times New Roman"/>
          <w:color w:val="000000"/>
          <w:sz w:val="24"/>
          <w:szCs w:val="22"/>
        </w:rPr>
      </w:pPr>
      <w:r>
        <w:rPr>
          <w:rFonts w:hint="default" w:ascii="Times New Roman" w:hAnsi="Times New Roman" w:eastAsia="宋体" w:cs="Times New Roman"/>
          <w:color w:val="000000"/>
          <w:sz w:val="24"/>
          <w:szCs w:val="22"/>
        </w:rPr>
        <w:t>拟建公路建成后，评价区内土地利用格局发生一定变化。对区域自然体系生态完整性的影响由路基占地引起，建筑用地面积增加，其他地类即草地、林地和水域则相应减少，整个评价区的绿地面积减少，导致区域自然生态体系生产能力和稳定状况的发生改变，对本区域生态完整性具有一定影响。</w:t>
      </w:r>
    </w:p>
    <w:p w14:paraId="2AC1AE1F">
      <w:pPr>
        <w:spacing w:line="300" w:lineRule="auto"/>
        <w:ind w:firstLine="480" w:firstLineChars="200"/>
        <w:rPr>
          <w:rFonts w:hint="default" w:ascii="Times New Roman" w:hAnsi="Times New Roman" w:eastAsia="宋体" w:cs="Times New Roman"/>
          <w:color w:val="000000"/>
          <w:sz w:val="24"/>
          <w:szCs w:val="22"/>
        </w:rPr>
      </w:pPr>
      <w:r>
        <w:rPr>
          <w:rFonts w:hint="default" w:ascii="Times New Roman" w:hAnsi="Times New Roman" w:eastAsia="宋体" w:cs="Times New Roman"/>
          <w:color w:val="000000"/>
          <w:sz w:val="24"/>
          <w:szCs w:val="22"/>
        </w:rPr>
        <w:t>（2）阻抗稳定性分析</w:t>
      </w:r>
    </w:p>
    <w:p w14:paraId="63419AF3">
      <w:pPr>
        <w:spacing w:line="300" w:lineRule="auto"/>
        <w:ind w:firstLine="480" w:firstLineChars="200"/>
        <w:rPr>
          <w:rFonts w:hint="default" w:ascii="Times New Roman" w:hAnsi="Times New Roman" w:eastAsia="宋体" w:cs="Times New Roman"/>
          <w:color w:val="000000"/>
          <w:sz w:val="24"/>
          <w:szCs w:val="22"/>
        </w:rPr>
      </w:pPr>
      <w:r>
        <w:rPr>
          <w:rFonts w:hint="default" w:ascii="Times New Roman" w:hAnsi="Times New Roman" w:eastAsia="宋体" w:cs="Times New Roman"/>
          <w:color w:val="000000"/>
          <w:sz w:val="24"/>
          <w:szCs w:val="22"/>
        </w:rPr>
        <w:t>自然系统的阻抗稳定性是由系统中生物组分异质性的高低决定的。异质性是指一个区域里（景观或生态系统）对一个种或更高级的生物组织的存在起决定作用的资源（或某种性质）在空间或时间上的变异程度（或强度）。由于异质性的组分具有不同的生态位，给动物物种和植物物种的栖息、移动以及抵御内外干扰提供了复杂和微妙的相互利用关系。另一方面，异质化程度高的自然系统，当某一斑块形成干扰源时，相邻的异质性组分就</w:t>
      </w:r>
      <w:r>
        <w:rPr>
          <w:rFonts w:hint="eastAsia" w:ascii="Times New Roman" w:hAnsi="Times New Roman" w:eastAsia="宋体" w:cs="Times New Roman"/>
          <w:color w:val="000000"/>
          <w:sz w:val="24"/>
          <w:szCs w:val="22"/>
          <w:lang w:eastAsia="zh-CN"/>
        </w:rPr>
        <w:t>成为</w:t>
      </w:r>
      <w:r>
        <w:rPr>
          <w:rFonts w:hint="default" w:ascii="Times New Roman" w:hAnsi="Times New Roman" w:eastAsia="宋体" w:cs="Times New Roman"/>
          <w:color w:val="000000"/>
          <w:sz w:val="24"/>
          <w:szCs w:val="22"/>
        </w:rPr>
        <w:t>干扰的阻断，从而达到增强生态体系抗御内外干扰的作用，有利于提高体系生态稳定性。</w:t>
      </w:r>
    </w:p>
    <w:p w14:paraId="66E24540">
      <w:pPr>
        <w:spacing w:line="300" w:lineRule="auto"/>
        <w:ind w:firstLine="480" w:firstLineChars="200"/>
        <w:rPr>
          <w:rFonts w:hint="default" w:ascii="Times New Roman" w:hAnsi="Times New Roman" w:eastAsia="宋体" w:cs="Times New Roman"/>
          <w:color w:val="000000"/>
          <w:sz w:val="24"/>
          <w:szCs w:val="22"/>
        </w:rPr>
      </w:pPr>
      <w:r>
        <w:rPr>
          <w:rFonts w:hint="default" w:ascii="Times New Roman" w:hAnsi="Times New Roman" w:eastAsia="宋体" w:cs="Times New Roman"/>
          <w:color w:val="000000"/>
          <w:sz w:val="24"/>
          <w:szCs w:val="22"/>
        </w:rPr>
        <w:t>项目建成后，受占地影响最大的是草地，其他占地类型影响相对较小。</w:t>
      </w:r>
    </w:p>
    <w:p w14:paraId="11879473">
      <w:pPr>
        <w:spacing w:line="300" w:lineRule="auto"/>
        <w:ind w:firstLine="480" w:firstLineChars="200"/>
        <w:rPr>
          <w:rFonts w:hint="default" w:ascii="Times New Roman" w:hAnsi="Times New Roman" w:eastAsia="宋体" w:cs="Times New Roman"/>
          <w:color w:val="000000"/>
          <w:sz w:val="24"/>
          <w:szCs w:val="22"/>
        </w:rPr>
      </w:pPr>
      <w:r>
        <w:rPr>
          <w:rFonts w:hint="default" w:ascii="Times New Roman" w:hAnsi="Times New Roman" w:eastAsia="宋体" w:cs="Times New Roman"/>
          <w:color w:val="000000"/>
          <w:sz w:val="24"/>
          <w:szCs w:val="22"/>
        </w:rPr>
        <w:t>3. 景观生态体系质量综合评价</w:t>
      </w:r>
    </w:p>
    <w:p w14:paraId="1956BE58">
      <w:pPr>
        <w:spacing w:line="300" w:lineRule="auto"/>
        <w:ind w:firstLine="480" w:firstLineChars="200"/>
        <w:rPr>
          <w:rFonts w:ascii="Times New Roman" w:hAnsi="Times New Roman" w:eastAsia="宋体" w:cs="Times New Roman"/>
          <w:color w:val="000000"/>
          <w:sz w:val="24"/>
          <w:szCs w:val="22"/>
        </w:rPr>
      </w:pPr>
      <w:r>
        <w:rPr>
          <w:rFonts w:hint="default" w:ascii="Times New Roman" w:hAnsi="Times New Roman" w:eastAsia="宋体" w:cs="Times New Roman"/>
          <w:color w:val="000000"/>
          <w:sz w:val="24"/>
          <w:szCs w:val="22"/>
        </w:rPr>
        <w:t>拟建公路评价区域由草地生态系</w:t>
      </w:r>
      <w:r>
        <w:rPr>
          <w:rFonts w:ascii="Times New Roman" w:hAnsi="Times New Roman" w:eastAsia="宋体" w:cs="Times New Roman"/>
          <w:color w:val="000000"/>
          <w:sz w:val="24"/>
          <w:szCs w:val="22"/>
        </w:rPr>
        <w:t>统、城镇生态系统、农田生态系统、湿地生态系统、灌丛生态系统、森林生态系统和荒漠生态系统组成。因此，该区域已成为生态系统的载体，即属于景观生态体系。从景观生态学结构与功能匹配的观点出发，结构是否合理决定了区域生态体系的生态完整性及维护现状。</w:t>
      </w:r>
    </w:p>
    <w:p w14:paraId="00727FBB">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拟建公路所在区域是一个以人工作业环境为主体的区域，带有人类干扰的痕迹。施工期会对生态系统的结构和功能造成一定程度的破坏，但是因受影响的面积小和恢复措施及时实施，破坏在可控范围内。工程结束后，将通过人工绿化方式进行绿化并恢复植被，草地将按照相关补偿政策，实施恢复措施，使得原来受人类活动影响地区的生物多样性和生物量</w:t>
      </w:r>
      <w:r>
        <w:rPr>
          <w:rFonts w:hint="eastAsia" w:ascii="Times New Roman" w:hAnsi="Times New Roman" w:eastAsia="宋体" w:cs="Times New Roman"/>
          <w:color w:val="000000"/>
          <w:sz w:val="24"/>
          <w:szCs w:val="22"/>
          <w:lang w:eastAsia="zh-CN"/>
        </w:rPr>
        <w:t>整体</w:t>
      </w:r>
      <w:r>
        <w:rPr>
          <w:rFonts w:ascii="Times New Roman" w:hAnsi="Times New Roman" w:eastAsia="宋体" w:cs="Times New Roman"/>
          <w:color w:val="000000"/>
          <w:sz w:val="24"/>
          <w:szCs w:val="22"/>
        </w:rPr>
        <w:t>呈现上升趋势，生态系统的结构和功能也会逐渐恢复，因此工程建设对评价区生态系统结构和功能的完整性影响较小，在可接受的范围内。</w:t>
      </w:r>
    </w:p>
    <w:p w14:paraId="439AE1E1">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根据生态现状调查结果，评价范围内城镇生态系统是项目背景化的生态系统类型。公路永久占地面积为306.32hm</w:t>
      </w:r>
      <w:r>
        <w:rPr>
          <w:rFonts w:ascii="Times New Roman" w:hAnsi="Times New Roman" w:eastAsia="宋体" w:cs="Times New Roman"/>
          <w:color w:val="000000"/>
          <w:sz w:val="24"/>
          <w:szCs w:val="22"/>
          <w:vertAlign w:val="superscript"/>
        </w:rPr>
        <w:t>2</w:t>
      </w:r>
      <w:r>
        <w:rPr>
          <w:rFonts w:ascii="Times New Roman" w:hAnsi="Times New Roman" w:eastAsia="宋体" w:cs="Times New Roman"/>
          <w:color w:val="000000"/>
          <w:sz w:val="24"/>
          <w:szCs w:val="22"/>
        </w:rPr>
        <w:t>，工程建成后，各种土地类型发生变化，工程占地范围内建设用地除外，其他土地类型均有所减少。永久占土地类型中的草地、林地、耕地及水域及水利设施用地在征地后，使得评价范围内这几类土地面积有所下降，将在短时期</w:t>
      </w:r>
      <w:r>
        <w:rPr>
          <w:rFonts w:hint="eastAsia" w:ascii="Times New Roman" w:hAnsi="Times New Roman" w:eastAsia="宋体" w:cs="Times New Roman"/>
          <w:color w:val="000000"/>
          <w:sz w:val="24"/>
          <w:szCs w:val="22"/>
          <w:lang w:eastAsia="zh-CN"/>
        </w:rPr>
        <w:t>内对</w:t>
      </w:r>
      <w:r>
        <w:rPr>
          <w:rFonts w:ascii="Times New Roman" w:hAnsi="Times New Roman" w:eastAsia="宋体" w:cs="Times New Roman"/>
          <w:color w:val="000000"/>
          <w:sz w:val="24"/>
          <w:szCs w:val="22"/>
        </w:rPr>
        <w:t>沿线农业产生一定的不利影响，但是各种土地利用类型的面积和比例与现状仍然相当。项目建设完成后，评价区内土地类型依然是草地、林地、耕地占主导，生态系统保持稳定。因此，工程实施后对区域自然体系的景观异质化程度和阻抗能力影响不大。</w:t>
      </w:r>
    </w:p>
    <w:p w14:paraId="27D85061">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公路建成后，评价范围的各类土地利用类型除了建设用地外的面积都相应有所降低，且各土地利用类型的拼块数量在公路修建以后有所升高，这也正与公路作为一条线性的切割作用对原有斑块的切割，使得生成许多新的小斑块这个事实相符合，但是新生成的斑块的数量比较少，对地形的破碎作用不明显。</w:t>
      </w:r>
    </w:p>
    <w:p w14:paraId="30905DCD">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拟建公路工程建成后土地利用格局发生了变化，其中建筑用地拼块因公路的修建使其重要性提高，作为区域背景化生态系统类型的建设用地其优势度值有所增加，其他拼块类型的优势度值下降幅度较小，建设用地优势值仍然是各种土地利用类型中最大的，表明工程实施和运行没有改变评价范围自然体系的景观格局。</w:t>
      </w:r>
    </w:p>
    <w:p w14:paraId="2D6B3CAB">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拟建公路为利用老路改扩建，现有道路对项目沿线的生态系统的分割早已形成，拟建公路在已开辟走廊带内对生态系统的影响主要体现在路基新征占地对土地利用格局的影响，对生态系统整体性和阻隔作用改变不明显。</w:t>
      </w:r>
    </w:p>
    <w:p w14:paraId="060332A2">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综上所述，工程施工造成的区域土地利用格局的变化，将对评价范围自然体系产生影响，通过工程涉及区自然生态系统体系的自我调节，以及施工完成后进行绿化工程，在工程运行一段时间后，工程影响区自然体系的性质和功能将得到恢复。另外，在工程建设过程中应注意生态系统的保护，使受到影响的生态系统的自然生产力尽快得到恢复。</w:t>
      </w:r>
    </w:p>
    <w:p w14:paraId="43BA2168">
      <w:pPr>
        <w:keepNext/>
        <w:keepLines/>
        <w:widowControl w:val="0"/>
        <w:numPr>
          <w:ilvl w:val="1"/>
          <w:numId w:val="13"/>
        </w:numPr>
        <w:spacing w:before="240" w:after="240" w:line="240" w:lineRule="auto"/>
        <w:ind w:firstLine="200" w:firstLineChars="0"/>
        <w:jc w:val="both"/>
        <w:outlineLvl w:val="1"/>
        <w:rPr>
          <w:rFonts w:ascii="Times New Roman" w:hAnsi="Times New Roman" w:eastAsia="宋体" w:cs="Times New Roman"/>
          <w:b/>
          <w:bCs/>
          <w:color w:val="000000"/>
          <w:kern w:val="2"/>
          <w:sz w:val="28"/>
          <w:szCs w:val="32"/>
          <w:lang w:val="en-US" w:eastAsia="zh-CN" w:bidi="ar-SA"/>
        </w:rPr>
      </w:pPr>
      <w:bookmarkStart w:id="378" w:name="_Toc219363419"/>
      <w:bookmarkStart w:id="379" w:name="_Toc18057"/>
      <w:r>
        <w:rPr>
          <w:rFonts w:ascii="Times New Roman" w:hAnsi="Times New Roman" w:eastAsia="宋体" w:cs="Times New Roman"/>
          <w:b/>
          <w:bCs/>
          <w:color w:val="000000"/>
          <w:kern w:val="2"/>
          <w:sz w:val="28"/>
          <w:szCs w:val="32"/>
          <w:lang w:val="en-US" w:eastAsia="zh-CN" w:bidi="ar-SA"/>
        </w:rPr>
        <w:t>对植被及植物资源的影响分析</w:t>
      </w:r>
      <w:bookmarkEnd w:id="378"/>
      <w:bookmarkEnd w:id="379"/>
    </w:p>
    <w:p w14:paraId="12C25B27">
      <w:pPr>
        <w:keepNext/>
        <w:keepLines/>
        <w:widowControl w:val="0"/>
        <w:numPr>
          <w:ilvl w:val="2"/>
          <w:numId w:val="13"/>
        </w:numPr>
        <w:spacing w:before="120" w:after="120" w:line="240" w:lineRule="auto"/>
        <w:ind w:left="0" w:leftChars="0" w:firstLine="0" w:firstLineChars="0"/>
        <w:jc w:val="both"/>
        <w:outlineLvl w:val="2"/>
        <w:rPr>
          <w:rFonts w:ascii="Times New Roman" w:hAnsi="Times New Roman" w:eastAsia="宋体" w:cs="Times New Roman"/>
          <w:b/>
          <w:bCs w:val="0"/>
          <w:color w:val="000000"/>
          <w:kern w:val="28"/>
          <w:sz w:val="24"/>
          <w:szCs w:val="32"/>
          <w:lang w:val="en-US" w:eastAsia="zh-CN" w:bidi="ar-SA"/>
        </w:rPr>
      </w:pPr>
      <w:bookmarkStart w:id="380" w:name="_Toc18584"/>
      <w:r>
        <w:rPr>
          <w:rFonts w:ascii="Times New Roman" w:hAnsi="Times New Roman" w:eastAsia="宋体" w:cs="Times New Roman"/>
          <w:b/>
          <w:bCs w:val="0"/>
          <w:color w:val="000000"/>
          <w:kern w:val="28"/>
          <w:sz w:val="24"/>
          <w:szCs w:val="32"/>
          <w:lang w:val="en-US" w:eastAsia="zh-CN" w:bidi="ar-SA"/>
        </w:rPr>
        <w:t>对植被生物量损失</w:t>
      </w:r>
      <w:r>
        <w:rPr>
          <w:rFonts w:ascii="Times New Roman" w:hAnsi="Times New Roman" w:eastAsia="宋体" w:cs="Times New Roman"/>
          <w:b/>
          <w:bCs w:val="0"/>
          <w:color w:val="000000"/>
          <w:kern w:val="28"/>
          <w:sz w:val="24"/>
          <w:szCs w:val="20"/>
          <w:lang w:val="en-US" w:eastAsia="zh-CN" w:bidi="ar-SA"/>
        </w:rPr>
        <w:t>的影响分析</w:t>
      </w:r>
      <w:bookmarkEnd w:id="380"/>
    </w:p>
    <w:p w14:paraId="452FA489">
      <w:pPr>
        <w:spacing w:after="156" w:afterLines="50" w:line="300" w:lineRule="auto"/>
        <w:ind w:firstLine="480" w:firstLineChars="200"/>
        <w:rPr>
          <w:rFonts w:ascii="Times New Roman" w:hAnsi="Times New Roman" w:eastAsia="宋体" w:cs="Times New Roman"/>
          <w:bCs/>
          <w:color w:val="000000"/>
          <w:sz w:val="24"/>
          <w:szCs w:val="22"/>
          <w:lang w:bidi="ar"/>
        </w:rPr>
      </w:pPr>
      <w:r>
        <w:rPr>
          <w:rFonts w:ascii="Times New Roman" w:hAnsi="Times New Roman" w:eastAsia="宋体" w:cs="Times New Roman"/>
          <w:bCs/>
          <w:color w:val="000000"/>
          <w:sz w:val="24"/>
          <w:szCs w:val="22"/>
          <w:lang w:bidi="ar"/>
        </w:rPr>
        <w:t>工程建设完成后，评价区的植被生物量发生变化，具体变化情况见表3</w:t>
      </w:r>
      <w:r>
        <w:rPr>
          <w:rFonts w:hint="eastAsia" w:ascii="Times New Roman" w:hAnsi="Times New Roman" w:eastAsia="宋体" w:cs="Times New Roman"/>
          <w:bCs/>
          <w:color w:val="000000"/>
          <w:sz w:val="24"/>
          <w:szCs w:val="22"/>
          <w:lang w:val="en-US" w:eastAsia="zh-CN" w:bidi="ar"/>
        </w:rPr>
        <w:t>.3</w:t>
      </w:r>
      <w:r>
        <w:rPr>
          <w:rFonts w:ascii="Times New Roman" w:hAnsi="Times New Roman" w:eastAsia="宋体" w:cs="Times New Roman"/>
          <w:bCs/>
          <w:color w:val="000000"/>
          <w:sz w:val="24"/>
          <w:szCs w:val="22"/>
          <w:lang w:bidi="ar"/>
        </w:rPr>
        <w:t>-1。</w:t>
      </w:r>
      <w:r>
        <w:rPr>
          <w:rFonts w:ascii="Times New Roman" w:hAnsi="Times New Roman" w:eastAsia="宋体" w:cs="Times New Roman"/>
          <w:bCs/>
          <w:color w:val="000000"/>
          <w:sz w:val="24"/>
          <w:szCs w:val="24"/>
          <w:lang w:bidi="ar"/>
        </w:rPr>
        <w:t>永久征地将完全损毁原有的植被类型，植被生物量将发生变化，生物量总损失为1836.88t，占评价区总生物量的17.70%。通过遥感数据和典型样方生物量估算，森林生物量损失量最大为1624.06t，占评价区总生物量比例为</w:t>
      </w:r>
      <w:r>
        <w:rPr>
          <w:rFonts w:ascii="Times New Roman" w:hAnsi="Times New Roman" w:eastAsia="宋体" w:cs="Times New Roman"/>
          <w:color w:val="000000"/>
          <w:sz w:val="24"/>
          <w:szCs w:val="24"/>
          <w:lang w:bidi="ar"/>
        </w:rPr>
        <w:t>15.65</w:t>
      </w:r>
      <w:r>
        <w:rPr>
          <w:rFonts w:ascii="Times New Roman" w:hAnsi="Times New Roman" w:eastAsia="宋体" w:cs="Times New Roman"/>
          <w:bCs/>
          <w:color w:val="000000"/>
          <w:sz w:val="24"/>
          <w:szCs w:val="24"/>
          <w:lang w:bidi="ar"/>
        </w:rPr>
        <w:t>%；其次为农田栽培植被，生物量损失为193.06t，占评价区总生物量比例为</w:t>
      </w:r>
      <w:r>
        <w:rPr>
          <w:rFonts w:ascii="Times New Roman" w:hAnsi="Times New Roman" w:eastAsia="宋体" w:cs="Times New Roman"/>
          <w:color w:val="000000"/>
          <w:sz w:val="24"/>
          <w:szCs w:val="24"/>
          <w:lang w:bidi="ar"/>
        </w:rPr>
        <w:t>1.86</w:t>
      </w:r>
      <w:r>
        <w:rPr>
          <w:rFonts w:ascii="Times New Roman" w:hAnsi="Times New Roman" w:eastAsia="宋体" w:cs="Times New Roman"/>
          <w:bCs/>
          <w:color w:val="000000"/>
          <w:sz w:val="24"/>
          <w:szCs w:val="24"/>
          <w:lang w:bidi="ar"/>
        </w:rPr>
        <w:t>%；草地、荒漠和水生植被的生物量损失量约为0.1%。</w:t>
      </w:r>
      <w:r>
        <w:rPr>
          <w:rFonts w:hint="eastAsia" w:ascii="Times New Roman" w:hAnsi="Times New Roman" w:eastAsia="宋体" w:cs="Times New Roman"/>
          <w:bCs/>
          <w:color w:val="000000"/>
          <w:sz w:val="24"/>
          <w:szCs w:val="24"/>
          <w:lang w:eastAsia="zh-CN" w:bidi="ar"/>
        </w:rPr>
        <w:t>随着</w:t>
      </w:r>
      <w:r>
        <w:rPr>
          <w:rFonts w:ascii="Times New Roman" w:hAnsi="Times New Roman" w:eastAsia="宋体" w:cs="Times New Roman"/>
          <w:bCs/>
          <w:color w:val="000000"/>
          <w:sz w:val="24"/>
          <w:szCs w:val="24"/>
          <w:lang w:bidi="ar"/>
        </w:rPr>
        <w:t>工程施工的结束，公路永久征地区的植被由人工基底性质的建设用地取代，造成植被生物量不可逆的降低；而临时征地的植被生物量在一定程度上可以恢复，同时也需要采取一定的人工抚育措施</w:t>
      </w:r>
      <w:r>
        <w:rPr>
          <w:rFonts w:ascii="Times New Roman" w:hAnsi="Times New Roman" w:eastAsia="宋体" w:cs="Times New Roman"/>
          <w:bCs/>
          <w:color w:val="000000"/>
          <w:sz w:val="24"/>
          <w:szCs w:val="22"/>
          <w:lang w:bidi="ar"/>
        </w:rPr>
        <w:t>。</w:t>
      </w:r>
    </w:p>
    <w:p w14:paraId="53E64FA3">
      <w:pPr>
        <w:keepNext w:val="0"/>
        <w:keepLines w:val="0"/>
        <w:pageBreakBefore w:val="0"/>
        <w:widowControl w:val="0"/>
        <w:kinsoku/>
        <w:wordWrap/>
        <w:overflowPunct/>
        <w:topLinePunct w:val="0"/>
        <w:autoSpaceDE/>
        <w:autoSpaceDN/>
        <w:bidi w:val="0"/>
        <w:adjustRightInd/>
        <w:snapToGrid/>
        <w:spacing w:line="240" w:lineRule="auto"/>
        <w:ind w:firstLine="422" w:firstLineChars="200"/>
        <w:jc w:val="center"/>
        <w:textAlignment w:val="auto"/>
        <w:rPr>
          <w:rFonts w:ascii="Times New Roman" w:hAnsi="Times New Roman" w:eastAsia="宋体" w:cs="Times New Roman"/>
          <w:b/>
          <w:color w:val="000000"/>
          <w:sz w:val="21"/>
          <w:szCs w:val="21"/>
          <w:lang w:bidi="ar"/>
        </w:rPr>
      </w:pPr>
      <w:r>
        <w:rPr>
          <w:rFonts w:ascii="Times New Roman" w:hAnsi="Times New Roman" w:eastAsia="宋体" w:cs="Times New Roman"/>
          <w:b/>
          <w:color w:val="000000"/>
          <w:sz w:val="21"/>
          <w:szCs w:val="21"/>
          <w:lang w:bidi="ar"/>
        </w:rPr>
        <w:t>表3.3-1  公路永久占地带来的生物量变化表</w:t>
      </w:r>
    </w:p>
    <w:tbl>
      <w:tblPr>
        <w:tblStyle w:val="22"/>
        <w:tblW w:w="5063" w:type="pct"/>
        <w:jc w:val="center"/>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348"/>
        <w:gridCol w:w="995"/>
        <w:gridCol w:w="1477"/>
        <w:gridCol w:w="1248"/>
        <w:gridCol w:w="1668"/>
        <w:gridCol w:w="1899"/>
      </w:tblGrid>
      <w:tr w14:paraId="578DEC00">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330" w:hRule="atLeast"/>
          <w:tblHeader/>
          <w:jc w:val="center"/>
        </w:trPr>
        <w:tc>
          <w:tcPr>
            <w:tcW w:w="780" w:type="pct"/>
            <w:noWrap/>
            <w:vAlign w:val="center"/>
          </w:tcPr>
          <w:p w14:paraId="39974CE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b/>
                <w:bCs/>
                <w:color w:val="000000"/>
                <w:kern w:val="0"/>
                <w:sz w:val="21"/>
                <w:szCs w:val="21"/>
              </w:rPr>
            </w:pPr>
            <w:bookmarkStart w:id="381" w:name="OLE_LINK54"/>
            <w:r>
              <w:rPr>
                <w:rFonts w:ascii="Times New Roman" w:hAnsi="Times New Roman" w:eastAsia="宋体" w:cs="Times New Roman"/>
                <w:b/>
                <w:bCs/>
                <w:color w:val="000000"/>
                <w:kern w:val="0"/>
                <w:sz w:val="21"/>
                <w:szCs w:val="21"/>
              </w:rPr>
              <w:t>植被类型</w:t>
            </w:r>
          </w:p>
        </w:tc>
        <w:tc>
          <w:tcPr>
            <w:tcW w:w="576" w:type="pct"/>
            <w:vAlign w:val="center"/>
          </w:tcPr>
          <w:p w14:paraId="6E148E6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b/>
                <w:bCs/>
                <w:color w:val="000000"/>
                <w:kern w:val="0"/>
                <w:sz w:val="21"/>
                <w:szCs w:val="21"/>
              </w:rPr>
            </w:pPr>
            <w:r>
              <w:rPr>
                <w:rFonts w:ascii="Times New Roman" w:hAnsi="Times New Roman" w:eastAsia="宋体" w:cs="Times New Roman"/>
                <w:b/>
                <w:bCs/>
                <w:color w:val="000000"/>
                <w:kern w:val="0"/>
                <w:sz w:val="21"/>
                <w:szCs w:val="21"/>
              </w:rPr>
              <w:t>面积(hm</w:t>
            </w:r>
            <w:r>
              <w:rPr>
                <w:rFonts w:ascii="Times New Roman" w:hAnsi="Times New Roman" w:eastAsia="宋体" w:cs="Times New Roman"/>
                <w:b/>
                <w:bCs/>
                <w:color w:val="000000"/>
                <w:kern w:val="0"/>
                <w:sz w:val="21"/>
                <w:szCs w:val="21"/>
                <w:vertAlign w:val="superscript"/>
              </w:rPr>
              <w:t>2</w:t>
            </w:r>
            <w:r>
              <w:rPr>
                <w:rFonts w:ascii="Times New Roman" w:hAnsi="Times New Roman" w:eastAsia="宋体" w:cs="Times New Roman"/>
                <w:b/>
                <w:bCs/>
                <w:color w:val="000000"/>
                <w:kern w:val="0"/>
                <w:sz w:val="21"/>
                <w:szCs w:val="21"/>
              </w:rPr>
              <w:t>)</w:t>
            </w:r>
          </w:p>
        </w:tc>
        <w:tc>
          <w:tcPr>
            <w:tcW w:w="855" w:type="pct"/>
            <w:vAlign w:val="center"/>
          </w:tcPr>
          <w:p w14:paraId="241051F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b/>
                <w:bCs/>
                <w:color w:val="000000"/>
                <w:kern w:val="0"/>
                <w:sz w:val="21"/>
                <w:szCs w:val="21"/>
              </w:rPr>
            </w:pPr>
            <w:r>
              <w:rPr>
                <w:rFonts w:ascii="Times New Roman" w:hAnsi="Times New Roman" w:eastAsia="宋体" w:cs="Times New Roman"/>
                <w:b/>
                <w:bCs/>
                <w:color w:val="000000"/>
                <w:kern w:val="0"/>
                <w:sz w:val="21"/>
                <w:szCs w:val="21"/>
              </w:rPr>
              <w:t>平均生物量(t/hm</w:t>
            </w:r>
            <w:r>
              <w:rPr>
                <w:rFonts w:ascii="Times New Roman" w:hAnsi="Times New Roman" w:eastAsia="宋体" w:cs="Times New Roman"/>
                <w:b/>
                <w:bCs/>
                <w:color w:val="000000"/>
                <w:kern w:val="0"/>
                <w:sz w:val="21"/>
                <w:szCs w:val="21"/>
                <w:vertAlign w:val="superscript"/>
              </w:rPr>
              <w:t>2</w:t>
            </w:r>
            <w:r>
              <w:rPr>
                <w:rFonts w:ascii="Times New Roman" w:hAnsi="Times New Roman" w:eastAsia="宋体" w:cs="Times New Roman"/>
                <w:b/>
                <w:bCs/>
                <w:color w:val="000000"/>
                <w:kern w:val="0"/>
                <w:sz w:val="21"/>
                <w:szCs w:val="21"/>
              </w:rPr>
              <w:t>)</w:t>
            </w:r>
          </w:p>
        </w:tc>
        <w:tc>
          <w:tcPr>
            <w:tcW w:w="722" w:type="pct"/>
            <w:vAlign w:val="center"/>
          </w:tcPr>
          <w:p w14:paraId="22EED0A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b/>
                <w:bCs/>
                <w:color w:val="000000"/>
                <w:kern w:val="0"/>
                <w:sz w:val="21"/>
                <w:szCs w:val="21"/>
              </w:rPr>
            </w:pPr>
            <w:r>
              <w:rPr>
                <w:rFonts w:ascii="Times New Roman" w:hAnsi="Times New Roman" w:eastAsia="宋体" w:cs="Times New Roman"/>
                <w:b/>
                <w:bCs/>
                <w:color w:val="000000"/>
                <w:kern w:val="0"/>
                <w:sz w:val="21"/>
                <w:szCs w:val="21"/>
              </w:rPr>
              <w:t>损失生物量(t)</w:t>
            </w:r>
          </w:p>
        </w:tc>
        <w:tc>
          <w:tcPr>
            <w:tcW w:w="965" w:type="pct"/>
            <w:vAlign w:val="center"/>
          </w:tcPr>
          <w:p w14:paraId="2E5647D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b/>
                <w:bCs/>
                <w:color w:val="000000"/>
                <w:kern w:val="0"/>
                <w:sz w:val="21"/>
                <w:szCs w:val="21"/>
              </w:rPr>
            </w:pPr>
            <w:r>
              <w:rPr>
                <w:rFonts w:ascii="Times New Roman" w:hAnsi="Times New Roman" w:eastAsia="宋体" w:cs="Times New Roman"/>
                <w:b/>
                <w:bCs/>
                <w:color w:val="000000"/>
                <w:kern w:val="0"/>
                <w:sz w:val="21"/>
                <w:szCs w:val="21"/>
              </w:rPr>
              <w:t>评价范围总生物量(t)</w:t>
            </w:r>
          </w:p>
        </w:tc>
        <w:tc>
          <w:tcPr>
            <w:tcW w:w="1099" w:type="pct"/>
            <w:vAlign w:val="center"/>
          </w:tcPr>
          <w:p w14:paraId="3BDD8A1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b/>
                <w:bCs/>
                <w:color w:val="000000"/>
                <w:kern w:val="0"/>
                <w:sz w:val="21"/>
                <w:szCs w:val="21"/>
              </w:rPr>
            </w:pPr>
            <w:r>
              <w:rPr>
                <w:rFonts w:ascii="Times New Roman" w:hAnsi="Times New Roman" w:eastAsia="宋体" w:cs="Times New Roman"/>
                <w:b/>
                <w:bCs/>
                <w:color w:val="000000"/>
                <w:kern w:val="0"/>
                <w:sz w:val="21"/>
                <w:szCs w:val="21"/>
              </w:rPr>
              <w:t>占总生物量比例(%)</w:t>
            </w:r>
          </w:p>
        </w:tc>
      </w:tr>
      <w:tr w14:paraId="623915CB">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300" w:hRule="atLeast"/>
          <w:tblHeader/>
          <w:jc w:val="center"/>
        </w:trPr>
        <w:tc>
          <w:tcPr>
            <w:tcW w:w="780" w:type="pct"/>
            <w:noWrap/>
            <w:vAlign w:val="center"/>
          </w:tcPr>
          <w:p w14:paraId="6FCB148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olor w:val="000000"/>
                <w:kern w:val="0"/>
                <w:sz w:val="21"/>
                <w:szCs w:val="21"/>
              </w:rPr>
            </w:pPr>
            <w:r>
              <w:rPr>
                <w:rFonts w:ascii="Times New Roman" w:hAnsi="Times New Roman" w:eastAsia="宋体" w:cs="Times New Roman"/>
                <w:color w:val="000000"/>
                <w:sz w:val="21"/>
                <w:szCs w:val="21"/>
              </w:rPr>
              <w:t>林地</w:t>
            </w:r>
          </w:p>
        </w:tc>
        <w:tc>
          <w:tcPr>
            <w:tcW w:w="576" w:type="pct"/>
            <w:noWrap/>
            <w:vAlign w:val="bottom"/>
          </w:tcPr>
          <w:p w14:paraId="28A3666F">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olor w:val="000000"/>
                <w:kern w:val="0"/>
                <w:sz w:val="21"/>
                <w:szCs w:val="21"/>
              </w:rPr>
            </w:pPr>
            <w:r>
              <w:rPr>
                <w:rFonts w:ascii="Times New Roman" w:hAnsi="Times New Roman" w:eastAsia="宋体" w:cs="Times New Roman"/>
                <w:color w:val="000000"/>
                <w:sz w:val="21"/>
                <w:szCs w:val="21"/>
              </w:rPr>
              <w:t>78.08</w:t>
            </w:r>
          </w:p>
        </w:tc>
        <w:tc>
          <w:tcPr>
            <w:tcW w:w="855" w:type="pct"/>
            <w:vAlign w:val="center"/>
          </w:tcPr>
          <w:p w14:paraId="24A06F8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olor w:val="000000"/>
                <w:kern w:val="0"/>
                <w:sz w:val="21"/>
                <w:szCs w:val="21"/>
              </w:rPr>
            </w:pPr>
            <w:r>
              <w:rPr>
                <w:rFonts w:ascii="Times New Roman" w:hAnsi="Times New Roman" w:eastAsia="宋体" w:cs="Times New Roman"/>
                <w:color w:val="000000"/>
                <w:sz w:val="21"/>
                <w:szCs w:val="21"/>
              </w:rPr>
              <w:t>20.8</w:t>
            </w:r>
          </w:p>
        </w:tc>
        <w:tc>
          <w:tcPr>
            <w:tcW w:w="722" w:type="pct"/>
            <w:vAlign w:val="center"/>
          </w:tcPr>
          <w:p w14:paraId="7798D4B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olor w:val="000000"/>
                <w:kern w:val="0"/>
                <w:sz w:val="21"/>
                <w:szCs w:val="21"/>
              </w:rPr>
            </w:pPr>
            <w:r>
              <w:rPr>
                <w:rFonts w:ascii="Times New Roman" w:hAnsi="Times New Roman" w:eastAsia="宋体" w:cs="Times New Roman"/>
                <w:color w:val="000000"/>
                <w:sz w:val="21"/>
                <w:szCs w:val="21"/>
              </w:rPr>
              <w:t>1624.06</w:t>
            </w:r>
          </w:p>
        </w:tc>
        <w:tc>
          <w:tcPr>
            <w:tcW w:w="965" w:type="pct"/>
            <w:noWrap/>
            <w:vAlign w:val="bottom"/>
          </w:tcPr>
          <w:p w14:paraId="287DB0F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olor w:val="000000"/>
                <w:kern w:val="0"/>
                <w:sz w:val="21"/>
                <w:szCs w:val="21"/>
              </w:rPr>
            </w:pPr>
            <w:bookmarkStart w:id="382" w:name="OLE_LINK49"/>
            <w:r>
              <w:rPr>
                <w:rFonts w:ascii="Times New Roman" w:hAnsi="Times New Roman" w:eastAsia="宋体" w:cs="Times New Roman"/>
                <w:color w:val="000000"/>
                <w:sz w:val="21"/>
                <w:szCs w:val="21"/>
              </w:rPr>
              <w:t>4393.58</w:t>
            </w:r>
            <w:bookmarkEnd w:id="382"/>
          </w:p>
        </w:tc>
        <w:tc>
          <w:tcPr>
            <w:tcW w:w="1099" w:type="pct"/>
            <w:vAlign w:val="center"/>
          </w:tcPr>
          <w:p w14:paraId="0FC8ACC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olor w:val="000000"/>
                <w:kern w:val="0"/>
                <w:sz w:val="21"/>
                <w:szCs w:val="21"/>
              </w:rPr>
            </w:pPr>
            <w:r>
              <w:rPr>
                <w:rFonts w:ascii="Times New Roman" w:hAnsi="Times New Roman" w:eastAsia="宋体" w:cs="Times New Roman"/>
                <w:color w:val="000000"/>
                <w:sz w:val="21"/>
                <w:szCs w:val="21"/>
              </w:rPr>
              <w:t>15.65%</w:t>
            </w:r>
          </w:p>
        </w:tc>
      </w:tr>
      <w:tr w14:paraId="453C4C38">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285" w:hRule="atLeast"/>
          <w:tblHeader/>
          <w:jc w:val="center"/>
        </w:trPr>
        <w:tc>
          <w:tcPr>
            <w:tcW w:w="780" w:type="pct"/>
            <w:noWrap/>
            <w:vAlign w:val="center"/>
          </w:tcPr>
          <w:p w14:paraId="434DEB9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olor w:val="000000"/>
                <w:kern w:val="0"/>
                <w:sz w:val="21"/>
                <w:szCs w:val="21"/>
              </w:rPr>
            </w:pPr>
            <w:r>
              <w:rPr>
                <w:rFonts w:ascii="Times New Roman" w:hAnsi="Times New Roman" w:eastAsia="宋体" w:cs="Times New Roman"/>
                <w:color w:val="000000"/>
                <w:sz w:val="21"/>
                <w:szCs w:val="21"/>
              </w:rPr>
              <w:t>草地</w:t>
            </w:r>
          </w:p>
        </w:tc>
        <w:tc>
          <w:tcPr>
            <w:tcW w:w="576" w:type="pct"/>
            <w:noWrap/>
            <w:vAlign w:val="bottom"/>
          </w:tcPr>
          <w:p w14:paraId="31AB8ACA">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olor w:val="000000"/>
                <w:kern w:val="0"/>
                <w:sz w:val="21"/>
                <w:szCs w:val="21"/>
              </w:rPr>
            </w:pPr>
            <w:r>
              <w:rPr>
                <w:rFonts w:ascii="Times New Roman" w:hAnsi="Times New Roman" w:eastAsia="宋体" w:cs="Times New Roman"/>
                <w:color w:val="000000"/>
                <w:sz w:val="21"/>
                <w:szCs w:val="21"/>
              </w:rPr>
              <w:t>4.79</w:t>
            </w:r>
          </w:p>
        </w:tc>
        <w:tc>
          <w:tcPr>
            <w:tcW w:w="855" w:type="pct"/>
            <w:vAlign w:val="center"/>
          </w:tcPr>
          <w:p w14:paraId="1428682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olor w:val="000000"/>
                <w:kern w:val="0"/>
                <w:sz w:val="21"/>
                <w:szCs w:val="21"/>
              </w:rPr>
            </w:pPr>
            <w:r>
              <w:rPr>
                <w:rFonts w:ascii="Times New Roman" w:hAnsi="Times New Roman" w:eastAsia="宋体" w:cs="Times New Roman"/>
                <w:color w:val="000000"/>
                <w:sz w:val="21"/>
                <w:szCs w:val="21"/>
              </w:rPr>
              <w:t>2.6</w:t>
            </w:r>
          </w:p>
        </w:tc>
        <w:tc>
          <w:tcPr>
            <w:tcW w:w="722" w:type="pct"/>
            <w:vAlign w:val="center"/>
          </w:tcPr>
          <w:p w14:paraId="558845BE">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olor w:val="000000"/>
                <w:kern w:val="0"/>
                <w:sz w:val="21"/>
                <w:szCs w:val="21"/>
              </w:rPr>
            </w:pPr>
            <w:r>
              <w:rPr>
                <w:rFonts w:ascii="Times New Roman" w:hAnsi="Times New Roman" w:eastAsia="宋体" w:cs="Times New Roman"/>
                <w:color w:val="000000"/>
                <w:sz w:val="21"/>
                <w:szCs w:val="21"/>
              </w:rPr>
              <w:t>12.45</w:t>
            </w:r>
          </w:p>
        </w:tc>
        <w:tc>
          <w:tcPr>
            <w:tcW w:w="965" w:type="pct"/>
            <w:noWrap/>
            <w:vAlign w:val="bottom"/>
          </w:tcPr>
          <w:p w14:paraId="166DA82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olor w:val="000000"/>
                <w:kern w:val="0"/>
                <w:sz w:val="21"/>
                <w:szCs w:val="21"/>
              </w:rPr>
            </w:pPr>
            <w:r>
              <w:rPr>
                <w:rFonts w:ascii="Times New Roman" w:hAnsi="Times New Roman" w:eastAsia="宋体" w:cs="Times New Roman"/>
                <w:color w:val="000000"/>
                <w:sz w:val="21"/>
                <w:szCs w:val="21"/>
              </w:rPr>
              <w:t>588.72</w:t>
            </w:r>
          </w:p>
        </w:tc>
        <w:tc>
          <w:tcPr>
            <w:tcW w:w="1099" w:type="pct"/>
            <w:vAlign w:val="center"/>
          </w:tcPr>
          <w:p w14:paraId="59A212AE">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olor w:val="000000"/>
                <w:kern w:val="0"/>
                <w:sz w:val="21"/>
                <w:szCs w:val="21"/>
              </w:rPr>
            </w:pPr>
            <w:r>
              <w:rPr>
                <w:rFonts w:ascii="Times New Roman" w:hAnsi="Times New Roman" w:eastAsia="宋体" w:cs="Times New Roman"/>
                <w:color w:val="000000"/>
                <w:sz w:val="21"/>
                <w:szCs w:val="21"/>
              </w:rPr>
              <w:t>0.12%</w:t>
            </w:r>
          </w:p>
        </w:tc>
      </w:tr>
      <w:tr w14:paraId="5312A1A8">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285" w:hRule="atLeast"/>
          <w:tblHeader/>
          <w:jc w:val="center"/>
        </w:trPr>
        <w:tc>
          <w:tcPr>
            <w:tcW w:w="780" w:type="pct"/>
            <w:noWrap/>
            <w:vAlign w:val="center"/>
          </w:tcPr>
          <w:p w14:paraId="0C21F19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olor w:val="000000"/>
                <w:kern w:val="0"/>
                <w:sz w:val="21"/>
                <w:szCs w:val="21"/>
              </w:rPr>
            </w:pPr>
            <w:bookmarkStart w:id="383" w:name="_Hlk235179418"/>
            <w:r>
              <w:rPr>
                <w:rFonts w:ascii="Times New Roman" w:hAnsi="Times New Roman" w:eastAsia="宋体" w:cs="Times New Roman"/>
                <w:color w:val="000000"/>
                <w:sz w:val="21"/>
                <w:szCs w:val="21"/>
              </w:rPr>
              <w:t>农田植被</w:t>
            </w:r>
          </w:p>
        </w:tc>
        <w:tc>
          <w:tcPr>
            <w:tcW w:w="576" w:type="pct"/>
            <w:noWrap/>
            <w:vAlign w:val="bottom"/>
          </w:tcPr>
          <w:p w14:paraId="6C19A42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olor w:val="000000"/>
                <w:kern w:val="0"/>
                <w:sz w:val="21"/>
                <w:szCs w:val="21"/>
              </w:rPr>
            </w:pPr>
            <w:r>
              <w:rPr>
                <w:rFonts w:ascii="Times New Roman" w:hAnsi="Times New Roman" w:eastAsia="宋体" w:cs="Times New Roman"/>
                <w:color w:val="000000"/>
                <w:sz w:val="21"/>
                <w:szCs w:val="21"/>
              </w:rPr>
              <w:t>41.97</w:t>
            </w:r>
          </w:p>
        </w:tc>
        <w:tc>
          <w:tcPr>
            <w:tcW w:w="855" w:type="pct"/>
            <w:vAlign w:val="center"/>
          </w:tcPr>
          <w:p w14:paraId="260A454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olor w:val="000000"/>
                <w:kern w:val="0"/>
                <w:sz w:val="21"/>
                <w:szCs w:val="21"/>
              </w:rPr>
            </w:pPr>
            <w:r>
              <w:rPr>
                <w:rFonts w:ascii="Times New Roman" w:hAnsi="Times New Roman" w:eastAsia="宋体" w:cs="Times New Roman"/>
                <w:color w:val="000000"/>
                <w:sz w:val="21"/>
                <w:szCs w:val="21"/>
              </w:rPr>
              <w:t>4.6</w:t>
            </w:r>
          </w:p>
        </w:tc>
        <w:tc>
          <w:tcPr>
            <w:tcW w:w="722" w:type="pct"/>
            <w:vAlign w:val="center"/>
          </w:tcPr>
          <w:p w14:paraId="33B7CE1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olor w:val="000000"/>
                <w:kern w:val="0"/>
                <w:sz w:val="21"/>
                <w:szCs w:val="21"/>
              </w:rPr>
            </w:pPr>
            <w:r>
              <w:rPr>
                <w:rFonts w:ascii="Times New Roman" w:hAnsi="Times New Roman" w:eastAsia="宋体" w:cs="Times New Roman"/>
                <w:color w:val="000000"/>
                <w:sz w:val="21"/>
                <w:szCs w:val="21"/>
              </w:rPr>
              <w:t>193.06</w:t>
            </w:r>
          </w:p>
        </w:tc>
        <w:tc>
          <w:tcPr>
            <w:tcW w:w="965" w:type="pct"/>
            <w:noWrap/>
            <w:vAlign w:val="bottom"/>
          </w:tcPr>
          <w:p w14:paraId="5B86A981">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olor w:val="000000"/>
                <w:kern w:val="0"/>
                <w:sz w:val="21"/>
                <w:szCs w:val="21"/>
              </w:rPr>
            </w:pPr>
            <w:bookmarkStart w:id="384" w:name="OLE_LINK51"/>
            <w:r>
              <w:rPr>
                <w:rFonts w:ascii="Times New Roman" w:hAnsi="Times New Roman" w:eastAsia="宋体" w:cs="Times New Roman"/>
                <w:color w:val="000000"/>
                <w:sz w:val="21"/>
                <w:szCs w:val="21"/>
              </w:rPr>
              <w:t>5241.98</w:t>
            </w:r>
            <w:bookmarkEnd w:id="384"/>
          </w:p>
        </w:tc>
        <w:tc>
          <w:tcPr>
            <w:tcW w:w="1099" w:type="pct"/>
            <w:vAlign w:val="center"/>
          </w:tcPr>
          <w:p w14:paraId="540465C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olor w:val="000000"/>
                <w:kern w:val="0"/>
                <w:sz w:val="21"/>
                <w:szCs w:val="21"/>
              </w:rPr>
            </w:pPr>
            <w:r>
              <w:rPr>
                <w:rFonts w:ascii="Times New Roman" w:hAnsi="Times New Roman" w:eastAsia="宋体" w:cs="Times New Roman"/>
                <w:color w:val="000000"/>
                <w:sz w:val="21"/>
                <w:szCs w:val="21"/>
              </w:rPr>
              <w:t>1.86%</w:t>
            </w:r>
          </w:p>
        </w:tc>
      </w:tr>
      <w:bookmarkEnd w:id="383"/>
      <w:tr w14:paraId="32A95B99">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285" w:hRule="atLeast"/>
          <w:tblHeader/>
          <w:jc w:val="center"/>
        </w:trPr>
        <w:tc>
          <w:tcPr>
            <w:tcW w:w="780" w:type="pct"/>
            <w:noWrap/>
            <w:vAlign w:val="center"/>
          </w:tcPr>
          <w:p w14:paraId="07BBA61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olor w:val="000000"/>
                <w:kern w:val="0"/>
                <w:sz w:val="21"/>
                <w:szCs w:val="21"/>
              </w:rPr>
            </w:pPr>
            <w:r>
              <w:rPr>
                <w:rFonts w:ascii="Times New Roman" w:hAnsi="Times New Roman" w:eastAsia="宋体" w:cs="Times New Roman"/>
                <w:color w:val="000000"/>
                <w:sz w:val="21"/>
                <w:szCs w:val="21"/>
              </w:rPr>
              <w:t>建设用地</w:t>
            </w:r>
          </w:p>
        </w:tc>
        <w:tc>
          <w:tcPr>
            <w:tcW w:w="576" w:type="pct"/>
            <w:noWrap/>
            <w:vAlign w:val="bottom"/>
          </w:tcPr>
          <w:p w14:paraId="7A940E7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olor w:val="000000"/>
                <w:kern w:val="0"/>
                <w:sz w:val="21"/>
                <w:szCs w:val="21"/>
              </w:rPr>
            </w:pPr>
            <w:r>
              <w:rPr>
                <w:rFonts w:ascii="Times New Roman" w:hAnsi="Times New Roman" w:eastAsia="宋体" w:cs="Times New Roman"/>
                <w:color w:val="000000"/>
                <w:sz w:val="21"/>
                <w:szCs w:val="21"/>
              </w:rPr>
              <w:t>164.73</w:t>
            </w:r>
          </w:p>
        </w:tc>
        <w:tc>
          <w:tcPr>
            <w:tcW w:w="855" w:type="pct"/>
            <w:vAlign w:val="center"/>
          </w:tcPr>
          <w:p w14:paraId="61A0BBA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olor w:val="000000"/>
                <w:kern w:val="0"/>
                <w:sz w:val="21"/>
                <w:szCs w:val="21"/>
              </w:rPr>
            </w:pPr>
            <w:r>
              <w:rPr>
                <w:rFonts w:ascii="Times New Roman" w:hAnsi="Times New Roman" w:eastAsia="宋体" w:cs="Times New Roman"/>
                <w:color w:val="000000"/>
                <w:sz w:val="21"/>
                <w:szCs w:val="21"/>
              </w:rPr>
              <w:t>/</w:t>
            </w:r>
          </w:p>
        </w:tc>
        <w:tc>
          <w:tcPr>
            <w:tcW w:w="722" w:type="pct"/>
            <w:vAlign w:val="center"/>
          </w:tcPr>
          <w:p w14:paraId="234D8A41">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olor w:val="000000"/>
                <w:kern w:val="0"/>
                <w:sz w:val="21"/>
                <w:szCs w:val="21"/>
              </w:rPr>
            </w:pPr>
            <w:r>
              <w:rPr>
                <w:rFonts w:ascii="Times New Roman" w:hAnsi="Times New Roman" w:eastAsia="宋体" w:cs="Times New Roman"/>
                <w:color w:val="000000"/>
                <w:sz w:val="21"/>
                <w:szCs w:val="21"/>
              </w:rPr>
              <w:t>/</w:t>
            </w:r>
          </w:p>
        </w:tc>
        <w:tc>
          <w:tcPr>
            <w:tcW w:w="965" w:type="pct"/>
            <w:noWrap/>
            <w:vAlign w:val="bottom"/>
          </w:tcPr>
          <w:p w14:paraId="13F0487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olor w:val="000000"/>
                <w:kern w:val="0"/>
                <w:sz w:val="21"/>
                <w:szCs w:val="21"/>
              </w:rPr>
            </w:pPr>
            <w:r>
              <w:rPr>
                <w:rFonts w:ascii="Times New Roman" w:hAnsi="Times New Roman" w:eastAsia="宋体" w:cs="Times New Roman"/>
                <w:color w:val="000000"/>
                <w:sz w:val="21"/>
                <w:szCs w:val="21"/>
              </w:rPr>
              <w:t>/</w:t>
            </w:r>
          </w:p>
        </w:tc>
        <w:tc>
          <w:tcPr>
            <w:tcW w:w="1099" w:type="pct"/>
            <w:vAlign w:val="center"/>
          </w:tcPr>
          <w:p w14:paraId="2D14BA3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olor w:val="000000"/>
                <w:kern w:val="0"/>
                <w:sz w:val="21"/>
                <w:szCs w:val="21"/>
              </w:rPr>
            </w:pPr>
            <w:r>
              <w:rPr>
                <w:rFonts w:ascii="Times New Roman" w:hAnsi="Times New Roman" w:eastAsia="宋体" w:cs="Times New Roman"/>
                <w:color w:val="000000"/>
                <w:sz w:val="21"/>
                <w:szCs w:val="21"/>
              </w:rPr>
              <w:t>/</w:t>
            </w:r>
          </w:p>
        </w:tc>
      </w:tr>
      <w:tr w14:paraId="29D47D4E">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270" w:hRule="atLeast"/>
          <w:tblHeader/>
          <w:jc w:val="center"/>
        </w:trPr>
        <w:tc>
          <w:tcPr>
            <w:tcW w:w="780" w:type="pct"/>
            <w:noWrap/>
            <w:vAlign w:val="center"/>
          </w:tcPr>
          <w:p w14:paraId="1822552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olor w:val="000000"/>
                <w:kern w:val="0"/>
                <w:sz w:val="21"/>
                <w:szCs w:val="21"/>
              </w:rPr>
            </w:pPr>
            <w:r>
              <w:rPr>
                <w:rFonts w:ascii="Times New Roman" w:hAnsi="Times New Roman" w:eastAsia="宋体" w:cs="Times New Roman"/>
                <w:color w:val="000000"/>
                <w:sz w:val="21"/>
                <w:szCs w:val="21"/>
              </w:rPr>
              <w:t>荒漠植被</w:t>
            </w:r>
          </w:p>
        </w:tc>
        <w:tc>
          <w:tcPr>
            <w:tcW w:w="576" w:type="pct"/>
            <w:noWrap/>
            <w:vAlign w:val="bottom"/>
          </w:tcPr>
          <w:p w14:paraId="22D8716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olor w:val="000000"/>
                <w:kern w:val="0"/>
                <w:sz w:val="21"/>
                <w:szCs w:val="21"/>
              </w:rPr>
            </w:pPr>
            <w:r>
              <w:rPr>
                <w:rFonts w:ascii="Times New Roman" w:hAnsi="Times New Roman" w:eastAsia="宋体" w:cs="Times New Roman"/>
                <w:color w:val="000000"/>
                <w:sz w:val="21"/>
                <w:szCs w:val="21"/>
              </w:rPr>
              <w:t>15.68</w:t>
            </w:r>
          </w:p>
        </w:tc>
        <w:tc>
          <w:tcPr>
            <w:tcW w:w="855" w:type="pct"/>
            <w:vAlign w:val="center"/>
          </w:tcPr>
          <w:p w14:paraId="7224416F">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olor w:val="000000"/>
                <w:kern w:val="0"/>
                <w:sz w:val="21"/>
                <w:szCs w:val="21"/>
              </w:rPr>
            </w:pPr>
            <w:r>
              <w:rPr>
                <w:rFonts w:ascii="Times New Roman" w:hAnsi="Times New Roman" w:eastAsia="宋体" w:cs="Times New Roman"/>
                <w:color w:val="000000"/>
                <w:sz w:val="21"/>
                <w:szCs w:val="21"/>
              </w:rPr>
              <w:t>0.42</w:t>
            </w:r>
          </w:p>
        </w:tc>
        <w:tc>
          <w:tcPr>
            <w:tcW w:w="722" w:type="pct"/>
            <w:vAlign w:val="center"/>
          </w:tcPr>
          <w:p w14:paraId="299DA4AA">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olor w:val="000000"/>
                <w:kern w:val="0"/>
                <w:sz w:val="21"/>
                <w:szCs w:val="21"/>
              </w:rPr>
            </w:pPr>
            <w:r>
              <w:rPr>
                <w:rFonts w:ascii="Times New Roman" w:hAnsi="Times New Roman" w:eastAsia="宋体" w:cs="Times New Roman"/>
                <w:color w:val="000000"/>
                <w:sz w:val="21"/>
                <w:szCs w:val="21"/>
              </w:rPr>
              <w:t>6.59</w:t>
            </w:r>
          </w:p>
        </w:tc>
        <w:tc>
          <w:tcPr>
            <w:tcW w:w="965" w:type="pct"/>
            <w:noWrap/>
            <w:vAlign w:val="bottom"/>
          </w:tcPr>
          <w:p w14:paraId="2F4DC81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olor w:val="000000"/>
                <w:kern w:val="0"/>
                <w:sz w:val="21"/>
                <w:szCs w:val="21"/>
              </w:rPr>
            </w:pPr>
            <w:r>
              <w:rPr>
                <w:rFonts w:ascii="Times New Roman" w:hAnsi="Times New Roman" w:eastAsia="宋体" w:cs="Times New Roman"/>
                <w:color w:val="000000"/>
                <w:sz w:val="21"/>
                <w:szCs w:val="21"/>
              </w:rPr>
              <w:t>150.46</w:t>
            </w:r>
          </w:p>
        </w:tc>
        <w:tc>
          <w:tcPr>
            <w:tcW w:w="1099" w:type="pct"/>
            <w:vAlign w:val="center"/>
          </w:tcPr>
          <w:p w14:paraId="5474CF3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olor w:val="000000"/>
                <w:kern w:val="0"/>
                <w:sz w:val="21"/>
                <w:szCs w:val="21"/>
              </w:rPr>
            </w:pPr>
            <w:r>
              <w:rPr>
                <w:rFonts w:ascii="Times New Roman" w:hAnsi="Times New Roman" w:eastAsia="宋体" w:cs="Times New Roman"/>
                <w:color w:val="000000"/>
                <w:sz w:val="21"/>
                <w:szCs w:val="21"/>
              </w:rPr>
              <w:t>0.06%</w:t>
            </w:r>
          </w:p>
        </w:tc>
      </w:tr>
      <w:tr w14:paraId="00814715">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285" w:hRule="atLeast"/>
          <w:tblHeader/>
          <w:jc w:val="center"/>
        </w:trPr>
        <w:tc>
          <w:tcPr>
            <w:tcW w:w="780" w:type="pct"/>
            <w:vAlign w:val="center"/>
          </w:tcPr>
          <w:p w14:paraId="66568D9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olor w:val="000000"/>
                <w:kern w:val="0"/>
                <w:sz w:val="21"/>
                <w:szCs w:val="21"/>
              </w:rPr>
            </w:pPr>
            <w:r>
              <w:rPr>
                <w:rFonts w:ascii="Times New Roman" w:hAnsi="Times New Roman" w:eastAsia="宋体" w:cs="Times New Roman"/>
                <w:color w:val="000000"/>
                <w:sz w:val="21"/>
                <w:szCs w:val="21"/>
              </w:rPr>
              <w:t>水生植被</w:t>
            </w:r>
          </w:p>
        </w:tc>
        <w:tc>
          <w:tcPr>
            <w:tcW w:w="576" w:type="pct"/>
            <w:noWrap/>
            <w:vAlign w:val="bottom"/>
          </w:tcPr>
          <w:p w14:paraId="603EFF6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olor w:val="000000"/>
                <w:kern w:val="0"/>
                <w:sz w:val="21"/>
                <w:szCs w:val="21"/>
              </w:rPr>
            </w:pPr>
            <w:r>
              <w:rPr>
                <w:rFonts w:ascii="Times New Roman" w:hAnsi="Times New Roman" w:eastAsia="宋体" w:cs="Times New Roman"/>
                <w:color w:val="000000"/>
                <w:sz w:val="21"/>
                <w:szCs w:val="21"/>
              </w:rPr>
              <w:t>1.07</w:t>
            </w:r>
          </w:p>
        </w:tc>
        <w:tc>
          <w:tcPr>
            <w:tcW w:w="855" w:type="pct"/>
            <w:vAlign w:val="center"/>
          </w:tcPr>
          <w:p w14:paraId="5CF17F0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olor w:val="000000"/>
                <w:kern w:val="0"/>
                <w:sz w:val="21"/>
                <w:szCs w:val="21"/>
              </w:rPr>
            </w:pPr>
            <w:r>
              <w:rPr>
                <w:rFonts w:ascii="Times New Roman" w:hAnsi="Times New Roman" w:eastAsia="宋体" w:cs="Times New Roman"/>
                <w:color w:val="000000"/>
                <w:sz w:val="21"/>
                <w:szCs w:val="21"/>
              </w:rPr>
              <w:t>0.67</w:t>
            </w:r>
          </w:p>
        </w:tc>
        <w:tc>
          <w:tcPr>
            <w:tcW w:w="722" w:type="pct"/>
            <w:vAlign w:val="center"/>
          </w:tcPr>
          <w:p w14:paraId="16E3E941">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olor w:val="000000"/>
                <w:kern w:val="0"/>
                <w:sz w:val="21"/>
                <w:szCs w:val="21"/>
              </w:rPr>
            </w:pPr>
            <w:r>
              <w:rPr>
                <w:rFonts w:ascii="Times New Roman" w:hAnsi="Times New Roman" w:eastAsia="宋体" w:cs="Times New Roman"/>
                <w:color w:val="000000"/>
                <w:sz w:val="21"/>
                <w:szCs w:val="21"/>
              </w:rPr>
              <w:t>0.72</w:t>
            </w:r>
          </w:p>
        </w:tc>
        <w:tc>
          <w:tcPr>
            <w:tcW w:w="965" w:type="pct"/>
            <w:noWrap/>
            <w:vAlign w:val="bottom"/>
          </w:tcPr>
          <w:p w14:paraId="55EAF2D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olor w:val="000000"/>
                <w:kern w:val="0"/>
                <w:sz w:val="21"/>
                <w:szCs w:val="21"/>
              </w:rPr>
            </w:pPr>
            <w:r>
              <w:rPr>
                <w:rFonts w:ascii="Times New Roman" w:hAnsi="Times New Roman" w:eastAsia="宋体" w:cs="Times New Roman"/>
                <w:color w:val="000000"/>
                <w:sz w:val="21"/>
                <w:szCs w:val="21"/>
              </w:rPr>
              <w:t>2.37</w:t>
            </w:r>
          </w:p>
        </w:tc>
        <w:tc>
          <w:tcPr>
            <w:tcW w:w="1099" w:type="pct"/>
            <w:vAlign w:val="center"/>
          </w:tcPr>
          <w:p w14:paraId="6919B471">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olor w:val="000000"/>
                <w:kern w:val="0"/>
                <w:sz w:val="21"/>
                <w:szCs w:val="21"/>
              </w:rPr>
            </w:pPr>
            <w:r>
              <w:rPr>
                <w:rFonts w:ascii="Times New Roman" w:hAnsi="Times New Roman" w:eastAsia="宋体" w:cs="Times New Roman"/>
                <w:color w:val="000000"/>
                <w:sz w:val="21"/>
                <w:szCs w:val="21"/>
              </w:rPr>
              <w:t>0.007%</w:t>
            </w:r>
          </w:p>
        </w:tc>
      </w:tr>
      <w:tr w14:paraId="67B933AD">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trHeight w:val="300" w:hRule="atLeast"/>
          <w:tblHeader/>
          <w:jc w:val="center"/>
        </w:trPr>
        <w:tc>
          <w:tcPr>
            <w:tcW w:w="780" w:type="pct"/>
            <w:noWrap/>
            <w:vAlign w:val="center"/>
          </w:tcPr>
          <w:p w14:paraId="2AAFB88E">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olor w:val="000000"/>
                <w:kern w:val="0"/>
                <w:sz w:val="21"/>
                <w:szCs w:val="21"/>
              </w:rPr>
            </w:pPr>
            <w:r>
              <w:rPr>
                <w:rFonts w:ascii="Times New Roman" w:hAnsi="Times New Roman" w:eastAsia="宋体" w:cs="Times New Roman"/>
                <w:color w:val="000000"/>
                <w:sz w:val="21"/>
                <w:szCs w:val="21"/>
              </w:rPr>
              <w:t>总计</w:t>
            </w:r>
          </w:p>
        </w:tc>
        <w:tc>
          <w:tcPr>
            <w:tcW w:w="576" w:type="pct"/>
            <w:noWrap/>
            <w:vAlign w:val="bottom"/>
          </w:tcPr>
          <w:p w14:paraId="0378140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olor w:val="000000"/>
                <w:kern w:val="0"/>
                <w:sz w:val="21"/>
                <w:szCs w:val="21"/>
              </w:rPr>
            </w:pPr>
            <w:r>
              <w:rPr>
                <w:rFonts w:ascii="Times New Roman" w:hAnsi="Times New Roman" w:eastAsia="宋体" w:cs="Times New Roman"/>
                <w:color w:val="000000"/>
                <w:sz w:val="21"/>
                <w:szCs w:val="21"/>
              </w:rPr>
              <w:t>306.32</w:t>
            </w:r>
          </w:p>
        </w:tc>
        <w:tc>
          <w:tcPr>
            <w:tcW w:w="855" w:type="pct"/>
            <w:vAlign w:val="center"/>
          </w:tcPr>
          <w:p w14:paraId="5ED5B86A">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olor w:val="000000"/>
                <w:kern w:val="0"/>
                <w:sz w:val="21"/>
                <w:szCs w:val="21"/>
              </w:rPr>
            </w:pPr>
            <w:r>
              <w:rPr>
                <w:rFonts w:ascii="Times New Roman" w:hAnsi="Times New Roman" w:eastAsia="宋体" w:cs="Times New Roman"/>
                <w:color w:val="000000"/>
                <w:sz w:val="21"/>
                <w:szCs w:val="21"/>
              </w:rPr>
              <w:t>－</w:t>
            </w:r>
          </w:p>
        </w:tc>
        <w:tc>
          <w:tcPr>
            <w:tcW w:w="722" w:type="pct"/>
            <w:vAlign w:val="center"/>
          </w:tcPr>
          <w:p w14:paraId="796A2BC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olor w:val="000000"/>
                <w:kern w:val="0"/>
                <w:sz w:val="21"/>
                <w:szCs w:val="21"/>
              </w:rPr>
            </w:pPr>
            <w:r>
              <w:rPr>
                <w:rFonts w:ascii="Times New Roman" w:hAnsi="Times New Roman" w:eastAsia="宋体" w:cs="Times New Roman"/>
                <w:color w:val="000000"/>
                <w:sz w:val="21"/>
                <w:szCs w:val="21"/>
              </w:rPr>
              <w:t>1836.88</w:t>
            </w:r>
          </w:p>
        </w:tc>
        <w:tc>
          <w:tcPr>
            <w:tcW w:w="965" w:type="pct"/>
            <w:noWrap/>
            <w:vAlign w:val="bottom"/>
          </w:tcPr>
          <w:p w14:paraId="5484115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olor w:val="000000"/>
                <w:kern w:val="0"/>
                <w:sz w:val="21"/>
                <w:szCs w:val="21"/>
              </w:rPr>
            </w:pPr>
            <w:r>
              <w:rPr>
                <w:rFonts w:ascii="Times New Roman" w:hAnsi="Times New Roman" w:eastAsia="宋体" w:cs="Times New Roman"/>
                <w:color w:val="000000"/>
                <w:sz w:val="21"/>
                <w:szCs w:val="21"/>
              </w:rPr>
              <w:t>10377.11</w:t>
            </w:r>
          </w:p>
        </w:tc>
        <w:tc>
          <w:tcPr>
            <w:tcW w:w="1099" w:type="pct"/>
            <w:vAlign w:val="center"/>
          </w:tcPr>
          <w:p w14:paraId="311D74E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olor w:val="000000"/>
                <w:kern w:val="0"/>
                <w:sz w:val="21"/>
                <w:szCs w:val="21"/>
              </w:rPr>
            </w:pPr>
            <w:r>
              <w:rPr>
                <w:rFonts w:ascii="Times New Roman" w:hAnsi="Times New Roman" w:eastAsia="宋体" w:cs="Times New Roman"/>
                <w:color w:val="000000"/>
                <w:sz w:val="21"/>
                <w:szCs w:val="21"/>
              </w:rPr>
              <w:t>17.70%</w:t>
            </w:r>
          </w:p>
        </w:tc>
      </w:tr>
      <w:bookmarkEnd w:id="381"/>
    </w:tbl>
    <w:p w14:paraId="5079D68B">
      <w:pPr>
        <w:keepNext w:val="0"/>
        <w:keepLines w:val="0"/>
        <w:pageBreakBefore w:val="0"/>
        <w:widowControl w:val="0"/>
        <w:kinsoku/>
        <w:wordWrap/>
        <w:overflowPunct/>
        <w:topLinePunct w:val="0"/>
        <w:autoSpaceDE/>
        <w:autoSpaceDN/>
        <w:bidi w:val="0"/>
        <w:adjustRightInd/>
        <w:snapToGrid/>
        <w:spacing w:after="157" w:afterLines="50" w:line="240" w:lineRule="auto"/>
        <w:ind w:left="0" w:leftChars="0" w:firstLine="0" w:firstLineChars="0"/>
        <w:textAlignment w:val="auto"/>
        <w:rPr>
          <w:rFonts w:ascii="Times New Roman" w:hAnsi="Times New Roman" w:eastAsia="宋体" w:cs="Times New Roman"/>
          <w:color w:val="000000"/>
          <w:sz w:val="21"/>
          <w:szCs w:val="21"/>
          <w:lang w:bidi="ar"/>
        </w:rPr>
      </w:pPr>
      <w:r>
        <w:rPr>
          <w:rFonts w:ascii="Times New Roman" w:hAnsi="Times New Roman" w:eastAsia="宋体" w:cs="Times New Roman"/>
          <w:color w:val="000000"/>
          <w:sz w:val="21"/>
          <w:szCs w:val="21"/>
          <w:lang w:bidi="ar"/>
        </w:rPr>
        <w:t>注：1、各植被类型平均生物量数据参考：1）《中国森林生物量与生产力的研究》（肖兴威，2005）；2）《中国森林植被净生产量及平均生产力动态变化分析》（林业科学研究，2014）；3）《新疆荒漠草地生物量估算及影响因素研究》（王公鑫等，2022）；4）《新疆乌鲁木齐河天然林生物量分布特征的研究》（吴晓成等，2009）等文献。</w:t>
      </w:r>
    </w:p>
    <w:p w14:paraId="6D287972">
      <w:pPr>
        <w:keepNext/>
        <w:keepLines/>
        <w:widowControl w:val="0"/>
        <w:numPr>
          <w:ilvl w:val="2"/>
          <w:numId w:val="13"/>
        </w:numPr>
        <w:spacing w:before="120" w:after="120" w:line="240" w:lineRule="auto"/>
        <w:ind w:left="0" w:leftChars="0" w:firstLine="0" w:firstLineChars="0"/>
        <w:jc w:val="both"/>
        <w:outlineLvl w:val="2"/>
        <w:rPr>
          <w:rFonts w:ascii="Times New Roman" w:hAnsi="Times New Roman" w:eastAsia="宋体" w:cs="Times New Roman"/>
          <w:b/>
          <w:bCs w:val="0"/>
          <w:color w:val="000000"/>
          <w:kern w:val="28"/>
          <w:sz w:val="24"/>
          <w:szCs w:val="32"/>
          <w:lang w:val="en-US" w:eastAsia="zh-CN" w:bidi="ar-SA"/>
        </w:rPr>
      </w:pPr>
      <w:bookmarkStart w:id="385" w:name="_Toc1719"/>
      <w:r>
        <w:rPr>
          <w:rFonts w:ascii="Times New Roman" w:hAnsi="Times New Roman" w:eastAsia="宋体" w:cs="Times New Roman"/>
          <w:b/>
          <w:bCs w:val="0"/>
          <w:color w:val="000000"/>
          <w:kern w:val="28"/>
          <w:sz w:val="24"/>
          <w:szCs w:val="32"/>
          <w:lang w:val="en-US" w:eastAsia="zh-CN" w:bidi="ar-SA"/>
        </w:rPr>
        <w:t>对植物群落及植物多样性的影响分析</w:t>
      </w:r>
      <w:bookmarkEnd w:id="385"/>
    </w:p>
    <w:p w14:paraId="355B1B93">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项目沿线区域分布的植物均为评价范围内广布种、常见种，以荒漠草本、盐生植物及绿洲伴生植物为主，无国家重点保护野生植物、</w:t>
      </w:r>
      <w:r>
        <w:rPr>
          <w:rFonts w:hint="eastAsia" w:ascii="Times New Roman" w:hAnsi="Times New Roman" w:eastAsia="宋体" w:cs="Times New Roman"/>
          <w:color w:val="000000"/>
          <w:sz w:val="24"/>
          <w:szCs w:val="22"/>
          <w:lang w:eastAsia="zh-CN"/>
        </w:rPr>
        <w:t>新疆维吾尔自治区</w:t>
      </w:r>
      <w:r>
        <w:rPr>
          <w:rFonts w:ascii="Times New Roman" w:hAnsi="Times New Roman" w:eastAsia="宋体" w:cs="Times New Roman"/>
          <w:color w:val="000000"/>
          <w:sz w:val="24"/>
          <w:szCs w:val="22"/>
        </w:rPr>
        <w:t>重点保护野生植物及珍稀濒危特有植物分布。工程施工，永久和临时占地不可避免的占压部分植物，但拟建公路永久占用林地、草地面积占评价范围内林地、草地面积比例较小，不会改变区域植物群落组成，对区域整体植物种类、种群数量及分布格局无明显影响，也不会导致任何植物物种明显减少。</w:t>
      </w:r>
    </w:p>
    <w:p w14:paraId="033D9545">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项目建成运营后，将优先选用乡土物种对路基边坡、临时占地等区域开展植被恢复与生态重建，可有效弥补公路占地对地表植被造成的暂时性影响，逐步恢复区域植被覆盖度与生态功能。</w:t>
      </w:r>
    </w:p>
    <w:p w14:paraId="4B25FE09">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综上，项目建设对沿线植被的影响范围有限、程度轻微、短期可逆，不会降低区域植物物种多样性，对沿线植被生态系统结构与功能整体影响较小。</w:t>
      </w:r>
    </w:p>
    <w:p w14:paraId="3DE4FE60">
      <w:pPr>
        <w:keepNext/>
        <w:keepLines/>
        <w:widowControl w:val="0"/>
        <w:numPr>
          <w:ilvl w:val="2"/>
          <w:numId w:val="13"/>
        </w:numPr>
        <w:spacing w:before="120" w:after="120" w:line="240" w:lineRule="auto"/>
        <w:ind w:firstLine="200" w:firstLineChars="0"/>
        <w:jc w:val="both"/>
        <w:outlineLvl w:val="2"/>
        <w:rPr>
          <w:rFonts w:ascii="Times New Roman" w:hAnsi="Times New Roman" w:eastAsia="宋体" w:cs="Times New Roman"/>
          <w:b/>
          <w:bCs w:val="0"/>
          <w:color w:val="000000"/>
          <w:kern w:val="28"/>
          <w:sz w:val="24"/>
          <w:szCs w:val="32"/>
          <w:lang w:val="en-US" w:eastAsia="zh-CN" w:bidi="ar-SA"/>
        </w:rPr>
      </w:pPr>
      <w:bookmarkStart w:id="386" w:name="_Toc20838"/>
      <w:r>
        <w:rPr>
          <w:rFonts w:ascii="Times New Roman" w:hAnsi="Times New Roman" w:eastAsia="宋体" w:cs="Times New Roman"/>
          <w:b/>
          <w:bCs w:val="0"/>
          <w:color w:val="000000"/>
          <w:kern w:val="28"/>
          <w:sz w:val="24"/>
          <w:szCs w:val="32"/>
          <w:lang w:val="en-US" w:eastAsia="zh-CN" w:bidi="ar"/>
        </w:rPr>
        <w:t>对重点保护植物和古树名木的影响分析</w:t>
      </w:r>
      <w:bookmarkEnd w:id="386"/>
    </w:p>
    <w:p w14:paraId="035FDCB6">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lang w:bidi="ar"/>
        </w:rPr>
        <w:t>根据资料收集和现场调查结果，拟建公路不涉及重点保护植物和古树名木，因此工程建设不会对珍稀保护植物及古树名木造成占用、破坏与生长扰动，施工开挖、占地扰动等活动仅影响区域内普通植被，通过后期及时开展生态修复与植被恢复，可有效恢复区域植被群落结构，项目实施对区域保护植物及古树名木基本无不利影响。</w:t>
      </w:r>
    </w:p>
    <w:p w14:paraId="2749AF0B">
      <w:pPr>
        <w:keepNext/>
        <w:keepLines/>
        <w:widowControl w:val="0"/>
        <w:numPr>
          <w:ilvl w:val="2"/>
          <w:numId w:val="13"/>
        </w:numPr>
        <w:spacing w:before="120" w:after="120" w:line="240" w:lineRule="auto"/>
        <w:ind w:firstLine="200" w:firstLineChars="0"/>
        <w:jc w:val="both"/>
        <w:outlineLvl w:val="2"/>
        <w:rPr>
          <w:rFonts w:ascii="Times New Roman" w:hAnsi="Times New Roman" w:eastAsia="宋体" w:cs="Times New Roman"/>
          <w:b/>
          <w:bCs w:val="0"/>
          <w:color w:val="000000"/>
          <w:kern w:val="28"/>
          <w:sz w:val="24"/>
          <w:szCs w:val="32"/>
          <w:lang w:val="en-US" w:eastAsia="zh-CN" w:bidi="ar-SA"/>
        </w:rPr>
      </w:pPr>
      <w:bookmarkStart w:id="387" w:name="_Toc11364"/>
      <w:r>
        <w:rPr>
          <w:rFonts w:ascii="Times New Roman" w:hAnsi="Times New Roman" w:eastAsia="宋体" w:cs="Times New Roman"/>
          <w:b/>
          <w:bCs w:val="0"/>
          <w:color w:val="000000"/>
          <w:kern w:val="28"/>
          <w:sz w:val="24"/>
          <w:szCs w:val="32"/>
          <w:lang w:val="en-US" w:eastAsia="zh-CN" w:bidi="ar"/>
        </w:rPr>
        <w:t>对生态公益林的影响分析</w:t>
      </w:r>
      <w:bookmarkEnd w:id="387"/>
    </w:p>
    <w:p w14:paraId="78094616">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lang w:bidi="ar"/>
        </w:rPr>
        <w:t>拟建公路不涉及生态公益林</w:t>
      </w:r>
      <w:bookmarkStart w:id="388" w:name="_Hlk42246517"/>
      <w:r>
        <w:rPr>
          <w:rFonts w:ascii="Times New Roman" w:hAnsi="Times New Roman" w:eastAsia="宋体" w:cs="Times New Roman"/>
          <w:color w:val="000000"/>
          <w:sz w:val="24"/>
          <w:szCs w:val="22"/>
          <w:lang w:bidi="ar"/>
        </w:rPr>
        <w:t>。</w:t>
      </w:r>
      <w:bookmarkEnd w:id="388"/>
    </w:p>
    <w:p w14:paraId="36966C50">
      <w:pPr>
        <w:spacing w:line="300" w:lineRule="auto"/>
        <w:ind w:firstLine="472" w:firstLineChars="200"/>
        <w:rPr>
          <w:rFonts w:ascii="Times New Roman" w:hAnsi="Times New Roman" w:eastAsia="宋体" w:cs="Times New Roman"/>
          <w:color w:val="000000"/>
          <w:sz w:val="24"/>
          <w:szCs w:val="22"/>
          <w:lang w:bidi="ar"/>
        </w:rPr>
      </w:pPr>
      <w:r>
        <w:rPr>
          <w:rFonts w:ascii="Times New Roman" w:hAnsi="Times New Roman" w:eastAsia="宋体" w:cs="Times New Roman"/>
          <w:color w:val="000000"/>
          <w:spacing w:val="-2"/>
          <w:sz w:val="24"/>
          <w:szCs w:val="22"/>
          <w:lang w:bidi="ar"/>
        </w:rPr>
        <w:t>生态公益林是以维护自然生态，有利于人类生存和社会可持续健康发展为目的而区划保护的森林。拟建公路布线已完全避让公益林集中连片分布区域，不涉及占用生态公益林，不会破坏整片生态公益林的水源涵养功能，也不会对生物多样性产生显著影响，亦不会破坏区域森林生态系统的整体性和稳定性。</w:t>
      </w:r>
      <w:r>
        <w:rPr>
          <w:rFonts w:hint="eastAsia" w:ascii="Times New Roman" w:hAnsi="Times New Roman" w:eastAsia="宋体" w:cs="Times New Roman"/>
          <w:color w:val="000000"/>
          <w:sz w:val="24"/>
          <w:szCs w:val="22"/>
          <w:lang w:eastAsia="zh-CN" w:bidi="ar"/>
        </w:rPr>
        <w:t>拟建公路</w:t>
      </w:r>
      <w:r>
        <w:rPr>
          <w:rFonts w:ascii="Times New Roman" w:hAnsi="Times New Roman" w:eastAsia="宋体" w:cs="Times New Roman"/>
          <w:color w:val="000000"/>
          <w:sz w:val="24"/>
          <w:szCs w:val="22"/>
          <w:lang w:bidi="ar"/>
        </w:rPr>
        <w:t>的建设</w:t>
      </w:r>
      <w:r>
        <w:rPr>
          <w:rFonts w:hint="eastAsia" w:ascii="Times New Roman" w:hAnsi="Times New Roman" w:eastAsia="宋体" w:cs="Times New Roman"/>
          <w:color w:val="000000"/>
          <w:sz w:val="24"/>
          <w:szCs w:val="22"/>
          <w:lang w:eastAsia="zh-CN" w:bidi="ar"/>
        </w:rPr>
        <w:t>对</w:t>
      </w:r>
      <w:r>
        <w:rPr>
          <w:rFonts w:ascii="Times New Roman" w:hAnsi="Times New Roman" w:eastAsia="宋体" w:cs="Times New Roman"/>
          <w:color w:val="000000"/>
          <w:sz w:val="24"/>
          <w:szCs w:val="22"/>
          <w:lang w:bidi="ar"/>
        </w:rPr>
        <w:t>沿线生态公益林无影响。</w:t>
      </w:r>
    </w:p>
    <w:p w14:paraId="2EB979F4">
      <w:pPr>
        <w:keepNext/>
        <w:keepLines/>
        <w:widowControl w:val="0"/>
        <w:numPr>
          <w:ilvl w:val="2"/>
          <w:numId w:val="13"/>
        </w:numPr>
        <w:spacing w:before="120" w:after="120" w:line="240" w:lineRule="auto"/>
        <w:ind w:firstLine="200" w:firstLineChars="0"/>
        <w:jc w:val="both"/>
        <w:outlineLvl w:val="2"/>
        <w:rPr>
          <w:rFonts w:ascii="Times New Roman" w:hAnsi="Times New Roman" w:eastAsia="宋体" w:cs="Times New Roman"/>
          <w:b/>
          <w:bCs w:val="0"/>
          <w:color w:val="000000"/>
          <w:kern w:val="28"/>
          <w:sz w:val="24"/>
          <w:szCs w:val="32"/>
          <w:lang w:val="en-US" w:eastAsia="zh-CN" w:bidi="ar-SA"/>
        </w:rPr>
      </w:pPr>
      <w:bookmarkStart w:id="389" w:name="_Toc19389"/>
      <w:r>
        <w:rPr>
          <w:rFonts w:ascii="Times New Roman" w:hAnsi="Times New Roman" w:eastAsia="宋体" w:cs="Times New Roman"/>
          <w:b/>
          <w:bCs w:val="0"/>
          <w:color w:val="000000"/>
          <w:kern w:val="28"/>
          <w:sz w:val="24"/>
          <w:szCs w:val="32"/>
          <w:lang w:val="en-US" w:eastAsia="zh-CN" w:bidi="ar-SA"/>
        </w:rPr>
        <w:t>营运期对植物资源的影响</w:t>
      </w:r>
      <w:bookmarkEnd w:id="389"/>
    </w:p>
    <w:p w14:paraId="3BE3D76B">
      <w:pPr>
        <w:spacing w:line="300" w:lineRule="auto"/>
        <w:ind w:firstLine="480" w:firstLineChars="200"/>
        <w:rPr>
          <w:rFonts w:ascii="Times New Roman" w:hAnsi="Times New Roman" w:eastAsia="宋体" w:cs="Times New Roman"/>
          <w:color w:val="000000"/>
          <w:sz w:val="24"/>
          <w:szCs w:val="22"/>
        </w:rPr>
      </w:pPr>
      <w:bookmarkStart w:id="390" w:name="OLE_LINK40"/>
      <w:r>
        <w:rPr>
          <w:rFonts w:ascii="Times New Roman" w:hAnsi="Times New Roman" w:eastAsia="宋体" w:cs="Times New Roman"/>
          <w:color w:val="000000"/>
          <w:sz w:val="24"/>
          <w:szCs w:val="22"/>
        </w:rPr>
        <w:t>1. 外来物种的影响</w:t>
      </w:r>
    </w:p>
    <w:p w14:paraId="32B6120B">
      <w:pPr>
        <w:spacing w:line="300" w:lineRule="auto"/>
        <w:ind w:firstLine="480" w:firstLineChars="200"/>
        <w:rPr>
          <w:rFonts w:hint="default" w:ascii="Times New Roman" w:hAnsi="Times New Roman" w:eastAsia="宋体" w:cs="Times New Roman"/>
          <w:color w:val="000000"/>
          <w:sz w:val="24"/>
          <w:szCs w:val="22"/>
        </w:rPr>
      </w:pPr>
      <w:r>
        <w:rPr>
          <w:rFonts w:hint="default" w:ascii="Times New Roman" w:hAnsi="Times New Roman" w:eastAsia="宋体" w:cs="Times New Roman"/>
          <w:color w:val="000000"/>
          <w:sz w:val="24"/>
          <w:szCs w:val="22"/>
        </w:rPr>
        <w:t>外来物种对当地生态系统的影响。外来物种是指借助于外力作用而越过不可自然逾越的空间障碍，在原产地之外的新栖息地生长繁殖并建立稳定种群的物种。外来物种一旦在新栖息地占优势，就会成为当地优势种。</w:t>
      </w:r>
    </w:p>
    <w:p w14:paraId="0DDF00EC">
      <w:pPr>
        <w:spacing w:line="300" w:lineRule="auto"/>
        <w:ind w:firstLine="480" w:firstLineChars="200"/>
        <w:rPr>
          <w:rFonts w:hint="default" w:ascii="Times New Roman" w:hAnsi="Times New Roman" w:eastAsia="宋体" w:cs="Times New Roman"/>
          <w:color w:val="000000"/>
          <w:sz w:val="24"/>
          <w:szCs w:val="22"/>
        </w:rPr>
      </w:pPr>
      <w:r>
        <w:rPr>
          <w:rFonts w:hint="default" w:ascii="Times New Roman" w:hAnsi="Times New Roman" w:eastAsia="宋体" w:cs="Times New Roman"/>
          <w:color w:val="000000"/>
          <w:sz w:val="24"/>
          <w:szCs w:val="22"/>
        </w:rPr>
        <w:t>公路修建产生的外来种主要是人为因素带来的，如工程人员进出，工程建筑材料及其车辆的进入等人群活动频繁的区域，人们将会有意无意的带进外来物种。在营运期间，拟建公路停车区等处外来物种易于传播。外来物种对区域内生态的影响主要表现为两点：</w:t>
      </w:r>
    </w:p>
    <w:p w14:paraId="3F3317CE">
      <w:pPr>
        <w:spacing w:line="300" w:lineRule="auto"/>
        <w:ind w:firstLine="480" w:firstLineChars="200"/>
        <w:rPr>
          <w:rFonts w:hint="default" w:ascii="Times New Roman" w:hAnsi="Times New Roman" w:eastAsia="宋体" w:cs="Times New Roman"/>
          <w:color w:val="000000"/>
          <w:sz w:val="24"/>
          <w:szCs w:val="22"/>
        </w:rPr>
      </w:pPr>
      <w:r>
        <w:rPr>
          <w:rFonts w:hint="eastAsia" w:ascii="Times New Roman" w:hAnsi="Times New Roman" w:eastAsia="宋体" w:cs="Times New Roman"/>
          <w:color w:val="000000"/>
          <w:sz w:val="24"/>
          <w:szCs w:val="22"/>
          <w:lang w:eastAsia="zh-CN"/>
        </w:rPr>
        <w:t>（</w:t>
      </w:r>
      <w:r>
        <w:rPr>
          <w:rFonts w:hint="eastAsia" w:ascii="Times New Roman" w:hAnsi="Times New Roman" w:eastAsia="宋体" w:cs="Times New Roman"/>
          <w:color w:val="000000"/>
          <w:sz w:val="24"/>
          <w:szCs w:val="22"/>
          <w:lang w:val="en-US" w:eastAsia="zh-CN"/>
        </w:rPr>
        <w:t>1</w:t>
      </w:r>
      <w:r>
        <w:rPr>
          <w:rFonts w:hint="eastAsia" w:ascii="Times New Roman" w:hAnsi="Times New Roman" w:eastAsia="宋体" w:cs="Times New Roman"/>
          <w:color w:val="000000"/>
          <w:sz w:val="24"/>
          <w:szCs w:val="22"/>
          <w:lang w:eastAsia="zh-CN"/>
        </w:rPr>
        <w:t>）</w:t>
      </w:r>
      <w:r>
        <w:rPr>
          <w:rFonts w:hint="default" w:ascii="Times New Roman" w:hAnsi="Times New Roman" w:eastAsia="宋体" w:cs="Times New Roman"/>
          <w:color w:val="000000"/>
          <w:sz w:val="24"/>
          <w:szCs w:val="22"/>
        </w:rPr>
        <w:t>多样性的影响——外来物种的入侵可导致生境</w:t>
      </w:r>
      <w:r>
        <w:rPr>
          <w:rFonts w:hint="eastAsia" w:ascii="Times New Roman" w:hAnsi="Times New Roman" w:eastAsia="宋体" w:cs="Times New Roman"/>
          <w:color w:val="000000"/>
          <w:sz w:val="24"/>
          <w:szCs w:val="22"/>
          <w:lang w:eastAsia="zh-CN"/>
        </w:rPr>
        <w:t>片段</w:t>
      </w:r>
      <w:r>
        <w:rPr>
          <w:rFonts w:hint="default" w:ascii="Times New Roman" w:hAnsi="Times New Roman" w:eastAsia="宋体" w:cs="Times New Roman"/>
          <w:color w:val="000000"/>
          <w:sz w:val="24"/>
          <w:szCs w:val="22"/>
        </w:rPr>
        <w:t>化（habitat fragmentation）（大而连续的生境变成空间上相对隔离的小生境），当种群被分割成不同数目的小种群后，种群的杂合度和等位基因多样性迅速降低，引起遗传多样性的丧失。随着生境片段化，残存的次生植被常被入侵种分割、包围和渗透，使本土生物种群进一步破碎化。</w:t>
      </w:r>
    </w:p>
    <w:p w14:paraId="26250AE9">
      <w:pPr>
        <w:spacing w:line="300" w:lineRule="auto"/>
        <w:ind w:firstLine="480" w:firstLineChars="200"/>
        <w:rPr>
          <w:rFonts w:hint="default" w:ascii="Times New Roman" w:hAnsi="Times New Roman" w:eastAsia="宋体" w:cs="Times New Roman"/>
          <w:color w:val="000000"/>
          <w:sz w:val="24"/>
          <w:szCs w:val="22"/>
        </w:rPr>
      </w:pPr>
      <w:r>
        <w:rPr>
          <w:rFonts w:hint="eastAsia" w:ascii="Times New Roman" w:hAnsi="Times New Roman" w:eastAsia="宋体" w:cs="Times New Roman"/>
          <w:color w:val="000000"/>
          <w:sz w:val="24"/>
          <w:szCs w:val="22"/>
          <w:lang w:eastAsia="zh-CN"/>
        </w:rPr>
        <w:t>（</w:t>
      </w:r>
      <w:r>
        <w:rPr>
          <w:rFonts w:hint="eastAsia" w:ascii="Times New Roman" w:hAnsi="Times New Roman" w:eastAsia="宋体" w:cs="Times New Roman"/>
          <w:color w:val="000000"/>
          <w:sz w:val="24"/>
          <w:szCs w:val="22"/>
          <w:lang w:val="en-US" w:eastAsia="zh-CN"/>
        </w:rPr>
        <w:t>2</w:t>
      </w:r>
      <w:r>
        <w:rPr>
          <w:rFonts w:hint="eastAsia" w:ascii="Times New Roman" w:hAnsi="Times New Roman" w:eastAsia="宋体" w:cs="Times New Roman"/>
          <w:color w:val="000000"/>
          <w:sz w:val="24"/>
          <w:szCs w:val="22"/>
          <w:lang w:eastAsia="zh-CN"/>
        </w:rPr>
        <w:t>）</w:t>
      </w:r>
      <w:r>
        <w:rPr>
          <w:rFonts w:hint="default" w:ascii="Times New Roman" w:hAnsi="Times New Roman" w:eastAsia="宋体" w:cs="Times New Roman"/>
          <w:color w:val="000000"/>
          <w:sz w:val="24"/>
          <w:szCs w:val="22"/>
        </w:rPr>
        <w:t>对景观多样性的影响——外来物种入侵是一种严重的干扰类型，较大程度上改变了原来的景观面貌和景观生态过程，破坏了原有景观的自然性和完整性。</w:t>
      </w:r>
    </w:p>
    <w:p w14:paraId="762054A6">
      <w:pPr>
        <w:spacing w:line="300" w:lineRule="auto"/>
        <w:ind w:firstLine="480" w:firstLineChars="200"/>
        <w:rPr>
          <w:rFonts w:hint="default" w:ascii="Times New Roman" w:hAnsi="Times New Roman" w:eastAsia="宋体" w:cs="Times New Roman"/>
          <w:color w:val="000000"/>
          <w:sz w:val="24"/>
          <w:szCs w:val="22"/>
        </w:rPr>
      </w:pPr>
      <w:r>
        <w:rPr>
          <w:rFonts w:hint="default" w:ascii="Times New Roman" w:hAnsi="Times New Roman" w:eastAsia="宋体" w:cs="Times New Roman"/>
          <w:color w:val="000000"/>
          <w:sz w:val="24"/>
          <w:szCs w:val="22"/>
        </w:rPr>
        <w:t>公路修建产生的外来物种是由人为因素造成的，若能严格控制人员活动频繁区域外来物种的进出，加强这些地方的监督管理，可减小外来物种对区域内生态的影响。</w:t>
      </w:r>
    </w:p>
    <w:p w14:paraId="515C537F">
      <w:pPr>
        <w:spacing w:line="300" w:lineRule="auto"/>
        <w:ind w:firstLine="480" w:firstLineChars="200"/>
        <w:rPr>
          <w:rFonts w:ascii="Times New Roman" w:hAnsi="Times New Roman" w:eastAsia="宋体" w:cs="Times New Roman"/>
          <w:color w:val="000000"/>
          <w:sz w:val="24"/>
          <w:szCs w:val="22"/>
        </w:rPr>
      </w:pPr>
      <w:bookmarkStart w:id="391" w:name="OLE_LINK39"/>
      <w:r>
        <w:rPr>
          <w:rFonts w:hint="default" w:ascii="Times New Roman" w:hAnsi="Times New Roman" w:eastAsia="宋体" w:cs="Times New Roman"/>
          <w:color w:val="000000"/>
          <w:sz w:val="24"/>
          <w:szCs w:val="22"/>
        </w:rPr>
        <w:t>由于拟建公路为改扩建项目，大部分路段沿既有老路建设，项目建成运营后</w:t>
      </w:r>
      <w:r>
        <w:rPr>
          <w:rFonts w:ascii="Times New Roman" w:hAnsi="Times New Roman" w:eastAsia="宋体" w:cs="Times New Roman"/>
          <w:color w:val="000000"/>
          <w:sz w:val="24"/>
          <w:szCs w:val="22"/>
        </w:rPr>
        <w:t>对植物和景观的影响与原有状况基本相当。</w:t>
      </w:r>
      <w:bookmarkEnd w:id="390"/>
    </w:p>
    <w:p w14:paraId="3533AC8C">
      <w:pPr>
        <w:widowControl/>
        <w:spacing w:line="300" w:lineRule="auto"/>
        <w:ind w:firstLine="500" w:firstLineChars="200"/>
        <w:rPr>
          <w:rFonts w:ascii="Times New Roman" w:hAnsi="Times New Roman" w:eastAsia="宋体" w:cs="Times New Roman"/>
          <w:color w:val="000000"/>
          <w:spacing w:val="5"/>
          <w:sz w:val="24"/>
          <w:szCs w:val="22"/>
        </w:rPr>
      </w:pPr>
      <w:r>
        <w:rPr>
          <w:rFonts w:ascii="Times New Roman" w:hAnsi="Times New Roman" w:eastAsia="宋体" w:cs="Times New Roman"/>
          <w:color w:val="000000"/>
          <w:spacing w:val="5"/>
          <w:sz w:val="24"/>
          <w:szCs w:val="22"/>
        </w:rPr>
        <w:t>2. 植被及植物多样性的影响</w:t>
      </w:r>
    </w:p>
    <w:p w14:paraId="163EC487">
      <w:pPr>
        <w:widowControl/>
        <w:spacing w:line="300" w:lineRule="auto"/>
        <w:ind w:firstLine="500" w:firstLineChars="200"/>
        <w:rPr>
          <w:rFonts w:ascii="Times New Roman" w:hAnsi="Times New Roman" w:eastAsia="宋体" w:cs="Times New Roman"/>
          <w:color w:val="000000"/>
          <w:spacing w:val="5"/>
          <w:sz w:val="24"/>
          <w:szCs w:val="22"/>
        </w:rPr>
      </w:pPr>
      <w:r>
        <w:rPr>
          <w:rFonts w:ascii="Times New Roman" w:hAnsi="Times New Roman" w:eastAsia="宋体" w:cs="Times New Roman"/>
          <w:color w:val="000000"/>
          <w:spacing w:val="5"/>
          <w:sz w:val="24"/>
          <w:szCs w:val="22"/>
        </w:rPr>
        <w:t>植被运营期工程占地已稳定，不再新增植被破坏，对植物群落的直接影响基本消失。道路边坡、中央分隔带及临时占地经乡土植物绿化恢复后，可逐步提高区域植被覆盖度，部分弥补施工期造成的植被损失。运营期影响主要为交通扬尘轻微沉降、路面径流扩散、车辆尾气沉降，仅对道路两侧近距离范围内植物产生微弱影响，不会抑制植物正常生长，更不会造成植物物种数量下降或物种消失。项目沿线无保护植物物种，运营期不会改变区域植物群落结构，对植物物种多样性无明显不利影响。</w:t>
      </w:r>
    </w:p>
    <w:bookmarkEnd w:id="391"/>
    <w:p w14:paraId="5DFC1E41">
      <w:pPr>
        <w:keepNext/>
        <w:keepLines/>
        <w:widowControl w:val="0"/>
        <w:numPr>
          <w:ilvl w:val="1"/>
          <w:numId w:val="13"/>
        </w:numPr>
        <w:spacing w:before="240" w:after="240" w:line="240" w:lineRule="auto"/>
        <w:ind w:firstLine="200" w:firstLineChars="0"/>
        <w:jc w:val="both"/>
        <w:outlineLvl w:val="1"/>
        <w:rPr>
          <w:rFonts w:ascii="Times New Roman" w:hAnsi="Times New Roman" w:eastAsia="宋体" w:cs="Times New Roman"/>
          <w:b/>
          <w:bCs/>
          <w:color w:val="000000"/>
          <w:kern w:val="2"/>
          <w:sz w:val="28"/>
          <w:szCs w:val="32"/>
          <w:lang w:val="en-US" w:eastAsia="zh-CN" w:bidi="ar-SA"/>
        </w:rPr>
      </w:pPr>
      <w:bookmarkStart w:id="392" w:name="_Toc219363420"/>
      <w:bookmarkStart w:id="393" w:name="_Toc30822"/>
      <w:r>
        <w:rPr>
          <w:rFonts w:ascii="Times New Roman" w:hAnsi="Times New Roman" w:eastAsia="宋体" w:cs="Times New Roman"/>
          <w:b/>
          <w:bCs/>
          <w:color w:val="000000"/>
          <w:kern w:val="2"/>
          <w:sz w:val="28"/>
          <w:szCs w:val="32"/>
          <w:lang w:val="en-US" w:eastAsia="zh-CN" w:bidi="ar-SA"/>
        </w:rPr>
        <w:t>对陆生动物的影响预测和分析</w:t>
      </w:r>
      <w:bookmarkEnd w:id="392"/>
      <w:bookmarkEnd w:id="393"/>
    </w:p>
    <w:p w14:paraId="2C218BC4">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野生动物栖息活动范围与习性密切相关，工程建设对其影响程度与栖息地距离直接相关。本次路线为改扩建项目，路线两侧无野生动物栖息地，显著降低了对野生动物核心活动区域的干扰强度。</w:t>
      </w:r>
    </w:p>
    <w:p w14:paraId="1DFBA41D">
      <w:pPr>
        <w:keepNext/>
        <w:keepLines/>
        <w:widowControl w:val="0"/>
        <w:numPr>
          <w:ilvl w:val="2"/>
          <w:numId w:val="13"/>
        </w:numPr>
        <w:spacing w:before="120" w:after="120" w:line="240" w:lineRule="auto"/>
        <w:ind w:firstLine="200" w:firstLineChars="0"/>
        <w:jc w:val="both"/>
        <w:outlineLvl w:val="2"/>
        <w:rPr>
          <w:rFonts w:ascii="Times New Roman" w:hAnsi="Times New Roman" w:eastAsia="宋体" w:cs="Times New Roman"/>
          <w:b/>
          <w:bCs w:val="0"/>
          <w:color w:val="000000"/>
          <w:kern w:val="28"/>
          <w:sz w:val="24"/>
          <w:szCs w:val="32"/>
          <w:lang w:val="en-US" w:eastAsia="zh-CN" w:bidi="ar-SA"/>
        </w:rPr>
      </w:pPr>
      <w:bookmarkStart w:id="394" w:name="_Toc16184"/>
      <w:r>
        <w:rPr>
          <w:rFonts w:ascii="Times New Roman" w:hAnsi="Times New Roman" w:eastAsia="宋体" w:cs="Times New Roman"/>
          <w:b/>
          <w:bCs w:val="0"/>
          <w:color w:val="000000"/>
          <w:kern w:val="28"/>
          <w:sz w:val="24"/>
          <w:szCs w:val="32"/>
          <w:lang w:val="en-US" w:eastAsia="zh-CN" w:bidi="ar-SA"/>
        </w:rPr>
        <w:t>施工对野生动物的影响</w:t>
      </w:r>
      <w:bookmarkEnd w:id="394"/>
    </w:p>
    <w:p w14:paraId="59D3B211">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拟建公路施工期对野生动物的影响主要表现为：施工人员的施工活动、生活活动对动物栖息地生境的干扰和破坏，施工机械噪声对动物的干扰，施工中的挖方和填方将对爬行类动物小生境的破坏等。由于上述原因，将可能使得原来居住在路域两侧的大部分兽类迁移它处；一部分鸟类会经过迁移和飞翔来避免项目施工所造成的影响，从而导致项目沿线周围环境的动物数量有所减少。但是，在距离公路施工区较远的区域中，这些被施工影响驱赶的动物会相对集中而重新分布，并且拟建公路为改扩建项目，</w:t>
      </w:r>
      <w:bookmarkStart w:id="395" w:name="OLE_LINK23"/>
      <w:r>
        <w:rPr>
          <w:rFonts w:ascii="Times New Roman" w:hAnsi="Times New Roman" w:eastAsia="宋体" w:cs="Times New Roman"/>
          <w:color w:val="000000"/>
          <w:sz w:val="24"/>
          <w:szCs w:val="22"/>
        </w:rPr>
        <w:t>永久占地规模小、临时占地范围有限，</w:t>
      </w:r>
      <w:bookmarkEnd w:id="395"/>
      <w:r>
        <w:rPr>
          <w:rFonts w:ascii="Times New Roman" w:hAnsi="Times New Roman" w:eastAsia="宋体" w:cs="Times New Roman"/>
          <w:color w:val="000000"/>
          <w:sz w:val="24"/>
          <w:szCs w:val="22"/>
        </w:rPr>
        <w:t>动物已适应人类的频繁活动，野生动物不会因项目施工而造成大量减少。而在工程结束后，随着沿线施工噪声等影响的减弱或消失，一些动物又会回到原来比较适宜生存和活动的地域。因此，就整个项目区而言，拟建公路施工对动物种类多样性和种群数量不会产生大的影响，也不会导致动物多样性降低，虽然项目的建设对沿线的爬行类和两栖动物有一定的干扰，但是对其生存及种群数量、种类影响很小。</w:t>
      </w:r>
    </w:p>
    <w:p w14:paraId="29632599">
      <w:pPr>
        <w:keepNext/>
        <w:keepLines/>
        <w:widowControl w:val="0"/>
        <w:numPr>
          <w:ilvl w:val="3"/>
          <w:numId w:val="13"/>
        </w:numPr>
        <w:spacing w:before="60" w:after="20" w:line="300" w:lineRule="auto"/>
        <w:ind w:firstLine="200" w:firstLineChars="0"/>
        <w:jc w:val="both"/>
        <w:outlineLvl w:val="3"/>
        <w:rPr>
          <w:rFonts w:ascii="Times New Roman" w:hAnsi="Times New Roman" w:eastAsia="宋体" w:cs="Times New Roman"/>
          <w:b/>
          <w:bCs/>
          <w:color w:val="000000"/>
          <w:kern w:val="2"/>
          <w:sz w:val="24"/>
          <w:szCs w:val="28"/>
          <w:lang w:val="en-US" w:eastAsia="zh-CN" w:bidi="ar-SA"/>
        </w:rPr>
      </w:pPr>
      <w:r>
        <w:rPr>
          <w:rFonts w:ascii="Times New Roman" w:hAnsi="Times New Roman" w:eastAsia="宋体" w:cs="Times New Roman"/>
          <w:b/>
          <w:bCs/>
          <w:color w:val="000000"/>
          <w:kern w:val="2"/>
          <w:sz w:val="24"/>
          <w:szCs w:val="28"/>
          <w:lang w:val="en-US" w:eastAsia="zh-CN" w:bidi="ar-SA"/>
        </w:rPr>
        <w:t>对鸟类的影响</w:t>
      </w:r>
    </w:p>
    <w:p w14:paraId="5BA615E1">
      <w:pPr>
        <w:spacing w:line="300" w:lineRule="auto"/>
        <w:ind w:firstLine="480" w:firstLineChars="200"/>
        <w:rPr>
          <w:rFonts w:ascii="Times New Roman" w:hAnsi="Times New Roman" w:eastAsia="宋体" w:cs="Times New Roman"/>
          <w:color w:val="000000"/>
          <w:sz w:val="24"/>
          <w:szCs w:val="22"/>
        </w:rPr>
      </w:pPr>
      <w:r>
        <w:rPr>
          <w:rFonts w:hint="eastAsia" w:ascii="Times New Roman" w:hAnsi="Times New Roman" w:eastAsia="宋体" w:cs="Times New Roman"/>
          <w:color w:val="000000"/>
          <w:sz w:val="24"/>
          <w:szCs w:val="22"/>
          <w:lang w:eastAsia="zh-CN"/>
        </w:rPr>
        <w:t>拟建公路</w:t>
      </w:r>
      <w:r>
        <w:rPr>
          <w:rFonts w:ascii="Times New Roman" w:hAnsi="Times New Roman" w:eastAsia="宋体" w:cs="Times New Roman"/>
          <w:color w:val="000000"/>
          <w:sz w:val="24"/>
          <w:szCs w:val="22"/>
        </w:rPr>
        <w:t>为老路改扩建项目，已建成运营多年，项目区周边人为活动频繁，因此评价范围内鸟类已适应该环境。施工期间的影响主要为作业区周边鸟类的惊扰、领地临时改变，机械噪声、人员活动可能影响鸟类分布或繁殖，此类影响具有局部性、暂时性。</w:t>
      </w:r>
    </w:p>
    <w:p w14:paraId="0DA23487">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施工期间也可能会发生施工人员猎杀、捕食鸟类，甚至会误杀保护鸟类，有些施工活动可能造成鸟卵破坏、幼鸟死亡，对鸟类种群数量变化产生一定影响，这些影响在鸟类的繁殖期会更加明显。施工结束后，人为和机械干扰因素消失，区域植被得以逐渐恢复和重建，栖息地功能得以恢复，鸟类活动也将逐步形成新的平衡格局。</w:t>
      </w:r>
    </w:p>
    <w:p w14:paraId="22C5E614">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因此，在拟建公路施工中应采取一定的降噪、减震措施，并加强施工管理，对施工人员开展野生保护动物教育。在采取了以上措施后会对沿线鸟类</w:t>
      </w:r>
      <w:r>
        <w:rPr>
          <w:rFonts w:hint="eastAsia" w:ascii="Times New Roman" w:hAnsi="Times New Roman" w:eastAsia="宋体" w:cs="Times New Roman"/>
          <w:color w:val="000000"/>
          <w:sz w:val="24"/>
          <w:szCs w:val="22"/>
          <w:lang w:eastAsia="zh-CN"/>
        </w:rPr>
        <w:t>的</w:t>
      </w:r>
      <w:r>
        <w:rPr>
          <w:rFonts w:ascii="Times New Roman" w:hAnsi="Times New Roman" w:eastAsia="宋体" w:cs="Times New Roman"/>
          <w:color w:val="000000"/>
          <w:sz w:val="24"/>
          <w:szCs w:val="22"/>
        </w:rPr>
        <w:t>影响得到一定的减缓。</w:t>
      </w:r>
    </w:p>
    <w:p w14:paraId="1D18483D">
      <w:pPr>
        <w:keepNext/>
        <w:keepLines/>
        <w:widowControl w:val="0"/>
        <w:numPr>
          <w:ilvl w:val="3"/>
          <w:numId w:val="13"/>
        </w:numPr>
        <w:spacing w:before="60" w:after="20" w:line="300" w:lineRule="auto"/>
        <w:ind w:firstLine="200" w:firstLineChars="0"/>
        <w:jc w:val="both"/>
        <w:outlineLvl w:val="3"/>
        <w:rPr>
          <w:rFonts w:ascii="Times New Roman" w:hAnsi="Times New Roman" w:eastAsia="宋体" w:cs="Times New Roman"/>
          <w:b/>
          <w:bCs/>
          <w:color w:val="000000"/>
          <w:kern w:val="2"/>
          <w:sz w:val="24"/>
          <w:szCs w:val="28"/>
          <w:lang w:val="en-US" w:eastAsia="zh-CN" w:bidi="ar-SA"/>
        </w:rPr>
      </w:pPr>
      <w:r>
        <w:rPr>
          <w:rFonts w:ascii="Times New Roman" w:hAnsi="Times New Roman" w:eastAsia="宋体" w:cs="Times New Roman"/>
          <w:b/>
          <w:bCs/>
          <w:color w:val="000000"/>
          <w:kern w:val="2"/>
          <w:sz w:val="24"/>
          <w:szCs w:val="28"/>
          <w:lang w:val="en-US" w:eastAsia="zh-CN" w:bidi="ar-SA"/>
        </w:rPr>
        <w:t>对兽类的影响</w:t>
      </w:r>
    </w:p>
    <w:p w14:paraId="4797FDC3">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项目沿线</w:t>
      </w:r>
      <w:r>
        <w:rPr>
          <w:rFonts w:hint="eastAsia" w:ascii="Times New Roman" w:hAnsi="Times New Roman" w:eastAsia="宋体" w:cs="Times New Roman"/>
          <w:color w:val="000000"/>
          <w:sz w:val="24"/>
          <w:szCs w:val="22"/>
          <w:lang w:eastAsia="zh-CN"/>
        </w:rPr>
        <w:t>以啮齿目等小型动物为主</w:t>
      </w:r>
      <w:r>
        <w:rPr>
          <w:rFonts w:ascii="Times New Roman" w:hAnsi="Times New Roman" w:eastAsia="宋体" w:cs="Times New Roman"/>
          <w:color w:val="000000"/>
          <w:sz w:val="24"/>
          <w:szCs w:val="22"/>
        </w:rPr>
        <w:t>，无国家及自治区重点保护种类。施工期主要为老路改扩建工程，仅破坏公路外侧植被，缩小小型哺乳动物的觅食空间，机械噪声、人为活动会惊扰动物向更外侧适宜生境迁移，暂时打破区域种群分布平衡，尤其对啮齿动物而言，洞穴破坏可能增加其迁移适应期的生存风险。根据工程线性施工的特点，其对野生动物的影响程度随着远离建设区域而逐渐下降，施工结束后，这种影响会逐渐缓解、消失，随着植被恢复、扰动减少，它们将回到原来的区域，物种结构和分布平衡会逐步恢复。</w:t>
      </w:r>
    </w:p>
    <w:p w14:paraId="2CEF051F">
      <w:pPr>
        <w:keepNext/>
        <w:keepLines/>
        <w:widowControl w:val="0"/>
        <w:numPr>
          <w:ilvl w:val="3"/>
          <w:numId w:val="13"/>
        </w:numPr>
        <w:spacing w:before="60" w:after="20" w:line="300" w:lineRule="auto"/>
        <w:ind w:firstLine="200" w:firstLineChars="0"/>
        <w:jc w:val="both"/>
        <w:outlineLvl w:val="3"/>
        <w:rPr>
          <w:rFonts w:ascii="Times New Roman" w:hAnsi="Times New Roman" w:eastAsia="宋体" w:cs="Times New Roman"/>
          <w:b/>
          <w:bCs/>
          <w:color w:val="000000"/>
          <w:kern w:val="2"/>
          <w:sz w:val="24"/>
          <w:szCs w:val="28"/>
          <w:lang w:val="en-US" w:eastAsia="zh-CN" w:bidi="ar-SA"/>
        </w:rPr>
      </w:pPr>
      <w:r>
        <w:rPr>
          <w:rFonts w:ascii="Times New Roman" w:hAnsi="Times New Roman" w:eastAsia="宋体" w:cs="Times New Roman"/>
          <w:b/>
          <w:bCs/>
          <w:color w:val="000000"/>
          <w:kern w:val="2"/>
          <w:sz w:val="24"/>
          <w:szCs w:val="28"/>
          <w:lang w:val="en-US" w:eastAsia="zh-CN" w:bidi="ar-SA"/>
        </w:rPr>
        <w:t>对两栖、爬行类的影响</w:t>
      </w:r>
    </w:p>
    <w:p w14:paraId="68A44396">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项目沿线两栖、爬行类动物主要分布在项目沿线的河流湿地等处，两栖类主要栖息在河流湿地等地，以昆虫为食。爬行类主要栖息在草丛、农田、河流湿地等处，以昆虫、蛙类、鸟和鼠为食。施工期由于人口聚集，人类活动范围及频繁度增大，加之各类占地使施工区植被覆盖率降低，进而使得施工影响区两栖类、爬行类栖息适宜度降低，从而对其产生驱赶作用；施工产生的废水、废渣等排入河中会污染河水，对两栖类、爬行类动物造成不利影响，迫使它们迁移到其他区域。一方面由于拟建公路沿线区域周围环境相似，一部分两栖类、爬行类动物将迁徙它处，施工影响对项目区域总的种群数量的影响不大。另一方面随着项目建设的完成，工程沿线植被恢复后，沿线一定区域内可重新作为其栖息、活动区域。</w:t>
      </w:r>
    </w:p>
    <w:p w14:paraId="3AFCCBD0">
      <w:pPr>
        <w:keepNext/>
        <w:keepLines/>
        <w:widowControl w:val="0"/>
        <w:numPr>
          <w:ilvl w:val="3"/>
          <w:numId w:val="13"/>
        </w:numPr>
        <w:spacing w:before="60" w:after="20" w:line="300" w:lineRule="auto"/>
        <w:ind w:firstLine="200" w:firstLineChars="0"/>
        <w:jc w:val="both"/>
        <w:outlineLvl w:val="3"/>
        <w:rPr>
          <w:rFonts w:ascii="Times New Roman" w:hAnsi="Times New Roman" w:eastAsia="宋体" w:cs="Times New Roman"/>
          <w:b/>
          <w:bCs/>
          <w:color w:val="000000"/>
          <w:kern w:val="2"/>
          <w:sz w:val="24"/>
          <w:szCs w:val="28"/>
          <w:lang w:val="en-US" w:eastAsia="zh-CN" w:bidi="ar-SA"/>
        </w:rPr>
      </w:pPr>
      <w:r>
        <w:rPr>
          <w:rFonts w:ascii="Times New Roman" w:hAnsi="Times New Roman" w:eastAsia="宋体" w:cs="Times New Roman"/>
          <w:b/>
          <w:bCs/>
          <w:color w:val="000000"/>
          <w:kern w:val="2"/>
          <w:sz w:val="24"/>
          <w:szCs w:val="28"/>
          <w:lang w:val="en-US" w:eastAsia="zh-CN" w:bidi="ar-SA"/>
        </w:rPr>
        <w:t>动物生境连通性及破碎化程度变化的影响</w:t>
      </w:r>
    </w:p>
    <w:p w14:paraId="0F23AF46">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由于拟建公路为改扩建项目，原有老路已建成运行多年，已对原有动物生境连通性造成破坏，大多数动物为寻找适宜生境，已迁徙他处。总体上看，拟建公路的建设对动物生境连通性的影响较低。</w:t>
      </w:r>
    </w:p>
    <w:p w14:paraId="6707D98F">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施工期间，由于路基的铺设，服务设施的修建，施工机械的运行，原材料的堆放和人为干扰活动的增加等方面的影响，将使有些动物的栖息地和活动范围被破坏和缩小。伴随着生境的丧失，动物被迫寻找新的生活环境，这样便会加剧种间竞争，栖息地将会被小部分破坏，但它们都具有一定迁移能力，食物来源也呈多样化趋势，所以工程不会对它们的栖</w:t>
      </w:r>
      <w:r>
        <w:rPr>
          <w:rFonts w:hint="eastAsia" w:ascii="Times New Roman" w:hAnsi="Times New Roman" w:eastAsia="宋体" w:cs="Times New Roman"/>
          <w:color w:val="000000"/>
          <w:sz w:val="24"/>
          <w:szCs w:val="22"/>
          <w:lang w:eastAsia="zh-CN"/>
        </w:rPr>
        <w:t>息地</w:t>
      </w:r>
      <w:r>
        <w:rPr>
          <w:rFonts w:ascii="Times New Roman" w:hAnsi="Times New Roman" w:eastAsia="宋体" w:cs="Times New Roman"/>
          <w:color w:val="000000"/>
          <w:sz w:val="24"/>
          <w:szCs w:val="22"/>
        </w:rPr>
        <w:t>造成巨大的威胁。</w:t>
      </w:r>
    </w:p>
    <w:p w14:paraId="33322794">
      <w:pPr>
        <w:keepNext/>
        <w:keepLines/>
        <w:widowControl w:val="0"/>
        <w:numPr>
          <w:ilvl w:val="2"/>
          <w:numId w:val="13"/>
        </w:numPr>
        <w:spacing w:before="120" w:after="120" w:line="240" w:lineRule="auto"/>
        <w:ind w:firstLine="200" w:firstLineChars="0"/>
        <w:jc w:val="both"/>
        <w:outlineLvl w:val="2"/>
        <w:rPr>
          <w:rFonts w:ascii="Times New Roman" w:hAnsi="Times New Roman" w:eastAsia="宋体" w:cs="Times New Roman"/>
          <w:b/>
          <w:bCs w:val="0"/>
          <w:color w:val="000000"/>
          <w:kern w:val="28"/>
          <w:sz w:val="24"/>
          <w:szCs w:val="32"/>
          <w:lang w:val="en-US" w:eastAsia="zh-CN" w:bidi="ar-SA"/>
        </w:rPr>
      </w:pPr>
      <w:bookmarkStart w:id="396" w:name="_Toc32140"/>
      <w:r>
        <w:rPr>
          <w:rFonts w:ascii="Times New Roman" w:hAnsi="Times New Roman" w:eastAsia="宋体" w:cs="Times New Roman"/>
          <w:b/>
          <w:bCs w:val="0"/>
          <w:color w:val="000000"/>
          <w:kern w:val="28"/>
          <w:sz w:val="24"/>
          <w:szCs w:val="32"/>
          <w:lang w:val="en-US" w:eastAsia="zh-CN" w:bidi="ar-SA"/>
        </w:rPr>
        <w:t>营运期对野生动物资源的影响</w:t>
      </w:r>
      <w:bookmarkEnd w:id="396"/>
    </w:p>
    <w:p w14:paraId="2625306F">
      <w:pPr>
        <w:keepNext/>
        <w:keepLines/>
        <w:widowControl w:val="0"/>
        <w:numPr>
          <w:ilvl w:val="3"/>
          <w:numId w:val="13"/>
        </w:numPr>
        <w:spacing w:before="60" w:after="20" w:line="300" w:lineRule="auto"/>
        <w:ind w:firstLine="200" w:firstLineChars="0"/>
        <w:jc w:val="both"/>
        <w:outlineLvl w:val="3"/>
        <w:rPr>
          <w:rFonts w:ascii="Times New Roman" w:hAnsi="Times New Roman" w:eastAsia="宋体" w:cs="Times New Roman"/>
          <w:b/>
          <w:bCs/>
          <w:color w:val="000000"/>
          <w:kern w:val="2"/>
          <w:sz w:val="24"/>
          <w:szCs w:val="28"/>
          <w:lang w:val="en-US" w:eastAsia="zh-CN" w:bidi="ar-SA"/>
        </w:rPr>
      </w:pPr>
      <w:r>
        <w:rPr>
          <w:rFonts w:ascii="Times New Roman" w:hAnsi="Times New Roman" w:eastAsia="宋体" w:cs="Times New Roman"/>
          <w:b/>
          <w:bCs/>
          <w:color w:val="000000"/>
          <w:kern w:val="2"/>
          <w:sz w:val="24"/>
          <w:szCs w:val="28"/>
          <w:lang w:val="en-US" w:eastAsia="zh-CN" w:bidi="ar-SA"/>
        </w:rPr>
        <w:t>对兽类的影响</w:t>
      </w:r>
    </w:p>
    <w:p w14:paraId="7BBFD9BA">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运营期间，车辆通行</w:t>
      </w:r>
      <w:r>
        <w:rPr>
          <w:rFonts w:hint="eastAsia" w:ascii="Times New Roman" w:hAnsi="Times New Roman" w:eastAsia="宋体" w:cs="Times New Roman"/>
          <w:color w:val="000000"/>
          <w:sz w:val="24"/>
          <w:szCs w:val="22"/>
          <w:lang w:eastAsia="zh-CN"/>
        </w:rPr>
        <w:t>噪声</w:t>
      </w:r>
      <w:r>
        <w:rPr>
          <w:rFonts w:ascii="Times New Roman" w:hAnsi="Times New Roman" w:eastAsia="宋体" w:cs="Times New Roman"/>
          <w:color w:val="000000"/>
          <w:sz w:val="24"/>
          <w:szCs w:val="22"/>
        </w:rPr>
        <w:t>沿公路线性分布，影响范围有限。因</w:t>
      </w:r>
      <w:r>
        <w:rPr>
          <w:rFonts w:hint="eastAsia" w:ascii="Times New Roman" w:hAnsi="Times New Roman" w:eastAsia="宋体" w:cs="Times New Roman"/>
          <w:color w:val="000000"/>
          <w:sz w:val="24"/>
          <w:szCs w:val="22"/>
          <w:lang w:val="en-US" w:eastAsia="zh-CN"/>
        </w:rPr>
        <w:t>拟建公路</w:t>
      </w:r>
      <w:r>
        <w:rPr>
          <w:rFonts w:ascii="Times New Roman" w:hAnsi="Times New Roman" w:eastAsia="宋体" w:cs="Times New Roman"/>
          <w:color w:val="000000"/>
          <w:sz w:val="24"/>
          <w:szCs w:val="22"/>
        </w:rPr>
        <w:t>为改扩建项目，原有老路早已建成运营多年，已形成稳定噪声环境，周边小型兽类已长期适应，其余野生动物已迁居他处，扩建后</w:t>
      </w:r>
      <w:r>
        <w:rPr>
          <w:rFonts w:hint="eastAsia" w:ascii="Times New Roman" w:hAnsi="Times New Roman" w:eastAsia="宋体" w:cs="Times New Roman"/>
          <w:color w:val="000000"/>
          <w:sz w:val="24"/>
          <w:szCs w:val="22"/>
          <w:lang w:eastAsia="zh-CN"/>
        </w:rPr>
        <w:t>噪声</w:t>
      </w:r>
      <w:r>
        <w:rPr>
          <w:rFonts w:ascii="Times New Roman" w:hAnsi="Times New Roman" w:eastAsia="宋体" w:cs="Times New Roman"/>
          <w:color w:val="000000"/>
          <w:sz w:val="24"/>
          <w:szCs w:val="22"/>
        </w:rPr>
        <w:t>增量对其影响微弱。</w:t>
      </w:r>
    </w:p>
    <w:p w14:paraId="0A10B8BF">
      <w:pPr>
        <w:keepNext/>
        <w:keepLines/>
        <w:widowControl w:val="0"/>
        <w:numPr>
          <w:ilvl w:val="3"/>
          <w:numId w:val="13"/>
        </w:numPr>
        <w:spacing w:before="60" w:after="20" w:line="300" w:lineRule="auto"/>
        <w:ind w:firstLine="200" w:firstLineChars="0"/>
        <w:jc w:val="both"/>
        <w:outlineLvl w:val="3"/>
        <w:rPr>
          <w:rFonts w:ascii="Times New Roman" w:hAnsi="Times New Roman" w:eastAsia="宋体" w:cs="Times New Roman"/>
          <w:b/>
          <w:bCs/>
          <w:color w:val="000000"/>
          <w:kern w:val="2"/>
          <w:sz w:val="24"/>
          <w:szCs w:val="28"/>
          <w:lang w:val="en-US" w:eastAsia="zh-CN" w:bidi="ar-SA"/>
        </w:rPr>
      </w:pPr>
      <w:r>
        <w:rPr>
          <w:rFonts w:ascii="Times New Roman" w:hAnsi="Times New Roman" w:eastAsia="宋体" w:cs="Times New Roman"/>
          <w:b/>
          <w:bCs/>
          <w:color w:val="000000"/>
          <w:kern w:val="2"/>
          <w:sz w:val="24"/>
          <w:szCs w:val="28"/>
          <w:lang w:val="en-US" w:eastAsia="zh-CN" w:bidi="ar-SA"/>
        </w:rPr>
        <w:t>对鸟类的影响</w:t>
      </w:r>
    </w:p>
    <w:p w14:paraId="11E249F1">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运营期车辆通行产生的噪声和灯光，会影响鸟类的求偶、育雏等行为，导致其繁殖成功率降低，同时也会使其因惊吓而逃离原栖息地，寻找新的适宜生境。</w:t>
      </w:r>
    </w:p>
    <w:p w14:paraId="313B6204">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由于</w:t>
      </w:r>
      <w:r>
        <w:rPr>
          <w:rFonts w:hint="eastAsia" w:ascii="Times New Roman" w:hAnsi="Times New Roman" w:eastAsia="宋体" w:cs="Times New Roman"/>
          <w:color w:val="000000"/>
          <w:sz w:val="24"/>
          <w:szCs w:val="22"/>
          <w:lang w:eastAsia="zh-CN"/>
        </w:rPr>
        <w:t>拟建公路</w:t>
      </w:r>
      <w:r>
        <w:rPr>
          <w:rFonts w:ascii="Times New Roman" w:hAnsi="Times New Roman" w:eastAsia="宋体" w:cs="Times New Roman"/>
          <w:color w:val="000000"/>
          <w:sz w:val="24"/>
          <w:szCs w:val="22"/>
        </w:rPr>
        <w:t>为老路改扩建项目，已建成运营多年，且鸟类迁移和飞翔能力强，能够及时躲避不利影响，早已适应项目沿线环境，因此运营期基本不会受到</w:t>
      </w:r>
      <w:r>
        <w:rPr>
          <w:rFonts w:hint="eastAsia" w:ascii="Times New Roman" w:hAnsi="Times New Roman" w:eastAsia="宋体" w:cs="Times New Roman"/>
          <w:color w:val="000000"/>
          <w:sz w:val="24"/>
          <w:szCs w:val="22"/>
          <w:lang w:eastAsia="zh-CN"/>
        </w:rPr>
        <w:t>拟建公路</w:t>
      </w:r>
      <w:r>
        <w:rPr>
          <w:rFonts w:ascii="Times New Roman" w:hAnsi="Times New Roman" w:eastAsia="宋体" w:cs="Times New Roman"/>
          <w:color w:val="000000"/>
          <w:sz w:val="24"/>
          <w:szCs w:val="22"/>
        </w:rPr>
        <w:t>的影响。</w:t>
      </w:r>
    </w:p>
    <w:p w14:paraId="1554925B">
      <w:pPr>
        <w:keepNext/>
        <w:keepLines/>
        <w:widowControl w:val="0"/>
        <w:numPr>
          <w:ilvl w:val="3"/>
          <w:numId w:val="13"/>
        </w:numPr>
        <w:spacing w:before="60" w:after="20" w:line="300" w:lineRule="auto"/>
        <w:ind w:firstLine="200" w:firstLineChars="0"/>
        <w:jc w:val="both"/>
        <w:outlineLvl w:val="3"/>
        <w:rPr>
          <w:rFonts w:ascii="Times New Roman" w:hAnsi="Times New Roman" w:eastAsia="宋体" w:cs="Times New Roman"/>
          <w:b/>
          <w:bCs/>
          <w:color w:val="000000"/>
          <w:kern w:val="2"/>
          <w:sz w:val="24"/>
          <w:szCs w:val="28"/>
          <w:lang w:val="en-US" w:eastAsia="zh-CN" w:bidi="ar-SA"/>
        </w:rPr>
      </w:pPr>
      <w:r>
        <w:rPr>
          <w:rFonts w:ascii="Times New Roman" w:hAnsi="Times New Roman" w:eastAsia="宋体" w:cs="Times New Roman"/>
          <w:b/>
          <w:bCs/>
          <w:color w:val="000000"/>
          <w:kern w:val="2"/>
          <w:sz w:val="24"/>
          <w:szCs w:val="28"/>
          <w:lang w:val="en-US" w:eastAsia="zh-CN" w:bidi="ar-SA"/>
        </w:rPr>
        <w:t>对动物的活动阻隔影响</w:t>
      </w:r>
    </w:p>
    <w:p w14:paraId="687F57D7">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拟建公路建成后将会对沿线野生动物原有的生境产生一定的分割影响，从而可能会对沿线野生动物产生阻隔影响。由于公路两侧大尺度空间范围内的生态状况基本一致，沿线鸟类具有一定的飞行能力，且飞行高度大大高于拟建公路路面，公路建成后对鸟类的基本无阻隔影响。同时拟建公路桥梁的设计充分考虑了沿线其他野生动物迁徙、觅食、繁殖的活动，沿线野生动物以小型动物为主，工程设置的桥梁及现有桥梁可作为野生动物通行使用。由以上分析可知，拟建公路运营期对动物的阻隔影响较小。</w:t>
      </w:r>
    </w:p>
    <w:p w14:paraId="7859C871">
      <w:pPr>
        <w:keepNext/>
        <w:keepLines/>
        <w:widowControl w:val="0"/>
        <w:numPr>
          <w:ilvl w:val="3"/>
          <w:numId w:val="13"/>
        </w:numPr>
        <w:spacing w:before="60" w:after="20" w:line="300" w:lineRule="auto"/>
        <w:ind w:firstLine="200" w:firstLineChars="0"/>
        <w:jc w:val="both"/>
        <w:outlineLvl w:val="3"/>
        <w:rPr>
          <w:rFonts w:ascii="Times New Roman" w:hAnsi="Times New Roman" w:eastAsia="宋体" w:cs="Times New Roman"/>
          <w:b/>
          <w:bCs/>
          <w:color w:val="000000"/>
          <w:kern w:val="2"/>
          <w:sz w:val="24"/>
          <w:szCs w:val="28"/>
          <w:lang w:val="en-US" w:eastAsia="zh-CN" w:bidi="ar-SA"/>
        </w:rPr>
      </w:pPr>
      <w:r>
        <w:rPr>
          <w:rFonts w:ascii="Times New Roman" w:hAnsi="Times New Roman" w:eastAsia="宋体" w:cs="Times New Roman"/>
          <w:b/>
          <w:bCs/>
          <w:color w:val="000000"/>
          <w:kern w:val="2"/>
          <w:sz w:val="24"/>
          <w:szCs w:val="28"/>
          <w:lang w:val="en-US" w:eastAsia="zh-CN" w:bidi="ar-SA"/>
        </w:rPr>
        <w:t>环境污染对动物的影响</w:t>
      </w:r>
    </w:p>
    <w:p w14:paraId="276B8220">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公路上高速行驶的车辆排放的废气、噪声、振动及路面径流污染物等对动物的生存环境造成污染，降低了动物的生存环境质量，迫使动物寻找其他的活动和栖息场所。营运期交通噪声和夜间车辆行驶时灯光对动物的栖息和繁殖有一定的不利影响，影响动物的交配。总之，公路建设将产生较多的干扰因子如噪声污染、视觉污染、污染物的排放等，其中噪声污染影响显著，可能会对部分野生动物产生一定的驱离效应。由于项目已运行多年，沿线野生动物对交通活动影响具有一定的适应性，同时建议在沿线附近多种植植被，以进一步降低营运期汽车噪声、尾气及灯光对野生动物的干扰。</w:t>
      </w:r>
    </w:p>
    <w:p w14:paraId="6FC503E8">
      <w:pPr>
        <w:keepNext/>
        <w:keepLines/>
        <w:widowControl w:val="0"/>
        <w:numPr>
          <w:ilvl w:val="1"/>
          <w:numId w:val="13"/>
        </w:numPr>
        <w:spacing w:before="240" w:after="240" w:line="240" w:lineRule="auto"/>
        <w:ind w:firstLine="200" w:firstLineChars="0"/>
        <w:jc w:val="both"/>
        <w:outlineLvl w:val="1"/>
        <w:rPr>
          <w:rFonts w:ascii="Times New Roman" w:hAnsi="Times New Roman" w:eastAsia="宋体" w:cs="Times New Roman"/>
          <w:b/>
          <w:bCs/>
          <w:color w:val="000000"/>
          <w:kern w:val="2"/>
          <w:sz w:val="28"/>
          <w:szCs w:val="32"/>
          <w:lang w:val="en-US" w:eastAsia="zh-CN" w:bidi="ar-SA"/>
        </w:rPr>
      </w:pPr>
      <w:bookmarkStart w:id="397" w:name="_Toc24225"/>
      <w:bookmarkStart w:id="398" w:name="_Toc219363421"/>
      <w:r>
        <w:rPr>
          <w:rFonts w:ascii="Times New Roman" w:hAnsi="Times New Roman" w:eastAsia="宋体" w:cs="Times New Roman"/>
          <w:b/>
          <w:bCs/>
          <w:color w:val="000000"/>
          <w:kern w:val="2"/>
          <w:sz w:val="28"/>
          <w:szCs w:val="32"/>
          <w:lang w:val="en-US" w:eastAsia="zh-CN" w:bidi="ar-SA"/>
        </w:rPr>
        <w:t>对水生生物的影响预测和分析</w:t>
      </w:r>
      <w:bookmarkEnd w:id="397"/>
      <w:bookmarkEnd w:id="398"/>
    </w:p>
    <w:p w14:paraId="3DF3C97A">
      <w:pPr>
        <w:spacing w:line="300" w:lineRule="auto"/>
        <w:ind w:firstLine="480" w:firstLineChars="200"/>
        <w:rPr>
          <w:rFonts w:ascii="Times New Roman" w:hAnsi="Times New Roman" w:eastAsia="宋体" w:cs="Times New Roman"/>
          <w:color w:val="000000"/>
          <w:kern w:val="0"/>
          <w:sz w:val="24"/>
          <w:szCs w:val="20"/>
        </w:rPr>
      </w:pPr>
      <w:r>
        <w:rPr>
          <w:rFonts w:ascii="Times New Roman" w:hAnsi="Times New Roman" w:eastAsia="宋体" w:cs="Times New Roman"/>
          <w:color w:val="000000"/>
          <w:kern w:val="0"/>
          <w:sz w:val="24"/>
          <w:szCs w:val="20"/>
        </w:rPr>
        <w:t>拟建公路全长</w:t>
      </w:r>
      <w:bookmarkStart w:id="399" w:name="OLE_LINK24"/>
      <w:r>
        <w:rPr>
          <w:rFonts w:ascii="Times New Roman" w:hAnsi="Times New Roman" w:eastAsia="宋体" w:cs="Times New Roman"/>
          <w:color w:val="000000"/>
          <w:kern w:val="0"/>
          <w:sz w:val="24"/>
          <w:szCs w:val="20"/>
        </w:rPr>
        <w:t>70.0</w:t>
      </w:r>
      <w:bookmarkEnd w:id="399"/>
      <w:r>
        <w:rPr>
          <w:rFonts w:ascii="Times New Roman" w:hAnsi="Times New Roman" w:eastAsia="宋体" w:cs="Times New Roman"/>
          <w:color w:val="000000"/>
          <w:kern w:val="0"/>
          <w:sz w:val="24"/>
          <w:szCs w:val="20"/>
        </w:rPr>
        <w:t>78km，共设置桥梁 823.585m/16 座。其中新栏杆一桥（K21+573.539）和克孜勒苏大桥（K25+300.582）设置涉水桥墩。项目涉水工程均采用“以桥代路”形式跨越河流，不压缩河道行洪断面，不改变河流整体流向和水系连通性。</w:t>
      </w:r>
    </w:p>
    <w:p w14:paraId="4C8522D0">
      <w:pPr>
        <w:spacing w:line="300" w:lineRule="auto"/>
        <w:ind w:firstLine="480" w:firstLineChars="200"/>
        <w:rPr>
          <w:rFonts w:ascii="Times New Roman" w:hAnsi="Times New Roman" w:eastAsia="宋体" w:cs="Times New Roman"/>
          <w:color w:val="000000"/>
          <w:kern w:val="0"/>
          <w:sz w:val="24"/>
          <w:szCs w:val="20"/>
        </w:rPr>
      </w:pPr>
      <w:r>
        <w:rPr>
          <w:rFonts w:ascii="Times New Roman" w:hAnsi="Times New Roman" w:eastAsia="宋体" w:cs="Times New Roman"/>
          <w:color w:val="000000"/>
          <w:kern w:val="0"/>
          <w:sz w:val="24"/>
          <w:szCs w:val="20"/>
        </w:rPr>
        <w:t>施工期影响为局部、暂时性影响，主要集中在桥梁基础施工阶段，对水质的影响程度与施工工艺和管理水平密切相关。</w:t>
      </w:r>
    </w:p>
    <w:p w14:paraId="2A956912">
      <w:pPr>
        <w:spacing w:line="300" w:lineRule="auto"/>
        <w:ind w:firstLine="480" w:firstLineChars="200"/>
        <w:rPr>
          <w:rFonts w:ascii="Times New Roman" w:hAnsi="Times New Roman" w:eastAsia="宋体" w:cs="Times New Roman"/>
          <w:color w:val="000000"/>
          <w:kern w:val="0"/>
          <w:sz w:val="24"/>
          <w:szCs w:val="20"/>
        </w:rPr>
      </w:pPr>
      <w:r>
        <w:rPr>
          <w:rFonts w:ascii="Times New Roman" w:hAnsi="Times New Roman" w:eastAsia="宋体" w:cs="Times New Roman"/>
          <w:color w:val="000000"/>
          <w:kern w:val="0"/>
          <w:sz w:val="24"/>
          <w:szCs w:val="20"/>
        </w:rPr>
        <w:t>桩基施工影响：钻孔灌注桩施工过程中产生的泥浆若发生泄漏，会导致水体悬浮物浓度急剧升高，影响水体透明度，进而影响水生生物的光合作用和呼吸作用。</w:t>
      </w:r>
    </w:p>
    <w:p w14:paraId="40EC9368">
      <w:pPr>
        <w:spacing w:line="300" w:lineRule="auto"/>
        <w:ind w:firstLine="480" w:firstLineChars="200"/>
        <w:rPr>
          <w:rFonts w:ascii="Times New Roman" w:hAnsi="Times New Roman" w:eastAsia="宋体" w:cs="Times New Roman"/>
          <w:color w:val="000000"/>
          <w:kern w:val="0"/>
          <w:sz w:val="24"/>
          <w:szCs w:val="20"/>
        </w:rPr>
      </w:pPr>
      <w:r>
        <w:rPr>
          <w:rFonts w:ascii="Times New Roman" w:hAnsi="Times New Roman" w:eastAsia="宋体" w:cs="Times New Roman"/>
          <w:color w:val="000000"/>
          <w:kern w:val="0"/>
          <w:sz w:val="24"/>
          <w:szCs w:val="20"/>
        </w:rPr>
        <w:t>克孜勒苏大桥规模较大，涉水桥墩数量多，施工周期长，泥浆产生量较大，是施工期主要的水环境污染源。</w:t>
      </w:r>
    </w:p>
    <w:p w14:paraId="4EDFDBA4">
      <w:pPr>
        <w:spacing w:line="300" w:lineRule="auto"/>
        <w:ind w:firstLine="480" w:firstLineChars="200"/>
        <w:rPr>
          <w:rFonts w:ascii="Times New Roman" w:hAnsi="Times New Roman" w:eastAsia="宋体" w:cs="Times New Roman"/>
          <w:color w:val="000000"/>
          <w:kern w:val="0"/>
          <w:sz w:val="24"/>
          <w:szCs w:val="20"/>
        </w:rPr>
      </w:pPr>
      <w:r>
        <w:rPr>
          <w:rFonts w:ascii="Times New Roman" w:hAnsi="Times New Roman" w:eastAsia="宋体" w:cs="Times New Roman"/>
          <w:color w:val="000000"/>
          <w:kern w:val="0"/>
          <w:sz w:val="24"/>
          <w:szCs w:val="20"/>
        </w:rPr>
        <w:t>新栏杆一桥规模小，涉水桥墩少，施工周期短，泥浆产生量小，影响范围和程度均有限。</w:t>
      </w:r>
    </w:p>
    <w:p w14:paraId="7CF9FAC4">
      <w:pPr>
        <w:spacing w:line="300" w:lineRule="auto"/>
        <w:ind w:firstLine="480" w:firstLineChars="200"/>
        <w:rPr>
          <w:rFonts w:ascii="Times New Roman" w:hAnsi="Times New Roman" w:eastAsia="宋体" w:cs="Times New Roman"/>
          <w:color w:val="000000"/>
          <w:kern w:val="0"/>
          <w:sz w:val="24"/>
          <w:szCs w:val="20"/>
        </w:rPr>
      </w:pPr>
      <w:r>
        <w:rPr>
          <w:rFonts w:ascii="Times New Roman" w:hAnsi="Times New Roman" w:eastAsia="宋体" w:cs="Times New Roman"/>
          <w:color w:val="000000"/>
          <w:kern w:val="0"/>
          <w:sz w:val="24"/>
          <w:szCs w:val="20"/>
        </w:rPr>
        <w:t>围堰施工影响：两座桥梁施工均需设置钢板桩围堰，围堰会临时阻隔局部水体流动，改变围堰周边小范围的流速和流态，导致局部底泥淤积。围堰拆除过程中，若操作不当会导致河床底泥二次悬浮，增加水体悬浮物浓度。</w:t>
      </w:r>
    </w:p>
    <w:p w14:paraId="1D162964">
      <w:pPr>
        <w:spacing w:line="300" w:lineRule="auto"/>
        <w:ind w:firstLine="480" w:firstLineChars="200"/>
        <w:rPr>
          <w:rFonts w:ascii="Times New Roman" w:hAnsi="Times New Roman" w:eastAsia="宋体" w:cs="Times New Roman"/>
          <w:color w:val="000000"/>
          <w:kern w:val="0"/>
          <w:sz w:val="24"/>
          <w:szCs w:val="20"/>
        </w:rPr>
      </w:pPr>
      <w:r>
        <w:rPr>
          <w:rFonts w:ascii="Times New Roman" w:hAnsi="Times New Roman" w:eastAsia="宋体" w:cs="Times New Roman"/>
          <w:color w:val="000000"/>
          <w:kern w:val="0"/>
          <w:sz w:val="24"/>
          <w:szCs w:val="20"/>
        </w:rPr>
        <w:t>两座桥梁围堰设置在河道主槽边缘，不会对河道整体行洪能力产生影响。</w:t>
      </w:r>
    </w:p>
    <w:p w14:paraId="763EA24A">
      <w:pPr>
        <w:spacing w:line="300" w:lineRule="auto"/>
        <w:ind w:firstLine="480" w:firstLineChars="200"/>
        <w:rPr>
          <w:rFonts w:ascii="Times New Roman" w:hAnsi="Times New Roman" w:eastAsia="宋体" w:cs="Times New Roman"/>
          <w:color w:val="000000"/>
          <w:kern w:val="0"/>
          <w:sz w:val="24"/>
          <w:szCs w:val="20"/>
        </w:rPr>
      </w:pPr>
      <w:r>
        <w:rPr>
          <w:rFonts w:ascii="Times New Roman" w:hAnsi="Times New Roman" w:eastAsia="宋体" w:cs="Times New Roman"/>
          <w:color w:val="000000"/>
          <w:kern w:val="0"/>
          <w:sz w:val="24"/>
          <w:szCs w:val="20"/>
        </w:rPr>
        <w:t>施工废水影响：施工废水主要包括基坑排水、机械冲洗水和混凝土养护废水，主要污染物为悬浮物、石油类和 pH 值。若施工废水未经处理直接排入河流，会导致局部水体水质超标，特别是石油类污染物会对水生生物造成毒害作用。</w:t>
      </w:r>
      <w:r>
        <w:rPr>
          <w:rFonts w:hint="eastAsia" w:ascii="Times New Roman" w:hAnsi="Times New Roman" w:eastAsia="宋体" w:cs="Times New Roman"/>
          <w:color w:val="000000"/>
          <w:kern w:val="0"/>
          <w:sz w:val="24"/>
          <w:szCs w:val="20"/>
          <w:lang w:val="en-US" w:eastAsia="zh-CN"/>
        </w:rPr>
        <w:t>水体1</w:t>
      </w:r>
      <w:r>
        <w:rPr>
          <w:rFonts w:ascii="Times New Roman" w:hAnsi="Times New Roman" w:eastAsia="宋体" w:cs="Times New Roman"/>
          <w:color w:val="000000"/>
          <w:kern w:val="0"/>
          <w:sz w:val="24"/>
          <w:szCs w:val="20"/>
        </w:rPr>
        <w:t>作为饮用水源地，对石油类污染物的控制要求极高，施工废水泄漏可能会对下游饮用水安全造成潜在威胁。</w:t>
      </w:r>
    </w:p>
    <w:p w14:paraId="5BE4DD3A">
      <w:pPr>
        <w:spacing w:line="300" w:lineRule="auto"/>
        <w:ind w:firstLine="480" w:firstLineChars="200"/>
        <w:rPr>
          <w:rFonts w:ascii="Times New Roman" w:hAnsi="Times New Roman" w:eastAsia="宋体" w:cs="Times New Roman"/>
          <w:color w:val="000000"/>
          <w:kern w:val="0"/>
          <w:sz w:val="24"/>
          <w:szCs w:val="20"/>
        </w:rPr>
      </w:pPr>
      <w:r>
        <w:rPr>
          <w:rFonts w:ascii="Times New Roman" w:hAnsi="Times New Roman" w:eastAsia="宋体" w:cs="Times New Roman"/>
          <w:color w:val="000000"/>
          <w:kern w:val="0"/>
          <w:sz w:val="24"/>
          <w:szCs w:val="20"/>
        </w:rPr>
        <w:t>固体废物影响：施工过程中产生的弃渣、建筑垃圾和施工人员生活垃圾若随意堆放，被雨水冲刷进入河流，会导致水体污染。桥梁施工产生的钻渣若处置不当，进入河道会淤积河床，影响行洪安全。</w:t>
      </w:r>
    </w:p>
    <w:p w14:paraId="7607ED15">
      <w:pPr>
        <w:spacing w:line="300" w:lineRule="auto"/>
        <w:ind w:firstLine="480" w:firstLineChars="200"/>
        <w:rPr>
          <w:rFonts w:ascii="Times New Roman" w:hAnsi="Times New Roman" w:eastAsia="宋体" w:cs="Times New Roman"/>
          <w:color w:val="000000"/>
          <w:kern w:val="0"/>
          <w:sz w:val="24"/>
          <w:szCs w:val="20"/>
        </w:rPr>
      </w:pPr>
      <w:r>
        <w:rPr>
          <w:rFonts w:ascii="Times New Roman" w:hAnsi="Times New Roman" w:eastAsia="宋体" w:cs="Times New Roman"/>
          <w:color w:val="000000"/>
          <w:kern w:val="0"/>
          <w:sz w:val="24"/>
          <w:szCs w:val="20"/>
        </w:rPr>
        <w:t>对水生生物的影响：桩基施工和围堰施工会扰动河床底泥，破坏底栖生物的栖息地，导致底栖生物暂时减少。水体悬浮物浓度升高会影响鱼类的摄食和呼吸，导致鱼类暂时逃离施工区域。</w:t>
      </w:r>
    </w:p>
    <w:p w14:paraId="3C810D9B">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kern w:val="0"/>
          <w:sz w:val="24"/>
          <w:szCs w:val="20"/>
        </w:rPr>
        <w:t>根据前期水生生物调查结果，评价范围内无国家级、自治区级保护鱼类，无鱼类产卵场、索饵场、越冬场等重要生境，且拟建公路为改扩建工程，在桥梁建设以单侧拼宽、双侧拼宽、修复利用为主，新建桥梁较少，涉水桥墩有限，因此施工期对水生生物的影响是局部、可逆的，施工结束后可逐步恢复。</w:t>
      </w:r>
    </w:p>
    <w:p w14:paraId="5899F62E">
      <w:pPr>
        <w:keepNext/>
        <w:keepLines/>
        <w:widowControl w:val="0"/>
        <w:numPr>
          <w:ilvl w:val="1"/>
          <w:numId w:val="13"/>
        </w:numPr>
        <w:spacing w:before="240" w:after="240" w:line="240" w:lineRule="auto"/>
        <w:ind w:firstLine="200" w:firstLineChars="0"/>
        <w:jc w:val="both"/>
        <w:outlineLvl w:val="1"/>
        <w:rPr>
          <w:rFonts w:ascii="Times New Roman" w:hAnsi="Times New Roman" w:eastAsia="宋体" w:cs="Times New Roman"/>
          <w:b/>
          <w:bCs/>
          <w:color w:val="000000"/>
          <w:kern w:val="2"/>
          <w:sz w:val="28"/>
          <w:szCs w:val="32"/>
          <w:lang w:val="en-US" w:eastAsia="zh-CN" w:bidi="ar-SA"/>
        </w:rPr>
      </w:pPr>
      <w:bookmarkStart w:id="400" w:name="_Toc219363422"/>
      <w:bookmarkStart w:id="401" w:name="_Toc10720"/>
      <w:r>
        <w:rPr>
          <w:rFonts w:ascii="Times New Roman" w:hAnsi="Times New Roman" w:eastAsia="宋体" w:cs="Times New Roman"/>
          <w:b/>
          <w:bCs/>
          <w:color w:val="000000"/>
          <w:kern w:val="2"/>
          <w:sz w:val="28"/>
          <w:szCs w:val="32"/>
          <w:lang w:val="en-US" w:eastAsia="zh-CN" w:bidi="ar-SA"/>
        </w:rPr>
        <w:t>工程占地对农业生产的影响</w:t>
      </w:r>
      <w:bookmarkEnd w:id="400"/>
      <w:bookmarkEnd w:id="401"/>
    </w:p>
    <w:p w14:paraId="463B6C14">
      <w:pPr>
        <w:spacing w:line="300" w:lineRule="auto"/>
        <w:ind w:firstLine="480" w:firstLineChars="200"/>
        <w:rPr>
          <w:rFonts w:ascii="Times New Roman" w:hAnsi="Times New Roman" w:eastAsia="宋体" w:cs="Times New Roman"/>
          <w:bCs/>
          <w:color w:val="000000"/>
          <w:kern w:val="0"/>
          <w:sz w:val="24"/>
          <w:szCs w:val="22"/>
        </w:rPr>
      </w:pPr>
      <w:bookmarkStart w:id="402" w:name="OLE_LINK37"/>
      <w:r>
        <w:rPr>
          <w:rFonts w:ascii="Times New Roman" w:hAnsi="Times New Roman" w:eastAsia="宋体" w:cs="Times New Roman"/>
          <w:bCs/>
          <w:color w:val="000000"/>
          <w:kern w:val="0"/>
          <w:sz w:val="24"/>
          <w:szCs w:val="22"/>
        </w:rPr>
        <w:t>拟建公路</w:t>
      </w:r>
      <w:bookmarkStart w:id="403" w:name="OLE_LINK25"/>
      <w:r>
        <w:rPr>
          <w:rFonts w:ascii="Times New Roman" w:hAnsi="Times New Roman" w:eastAsia="宋体" w:cs="Times New Roman"/>
          <w:bCs/>
          <w:color w:val="000000"/>
          <w:kern w:val="0"/>
          <w:sz w:val="24"/>
          <w:szCs w:val="22"/>
        </w:rPr>
        <w:t>K18+300～K22+410</w:t>
      </w:r>
      <w:bookmarkEnd w:id="403"/>
      <w:r>
        <w:rPr>
          <w:rFonts w:ascii="Times New Roman" w:hAnsi="Times New Roman" w:eastAsia="宋体" w:cs="Times New Roman"/>
          <w:bCs/>
          <w:color w:val="000000"/>
          <w:kern w:val="0"/>
          <w:sz w:val="24"/>
          <w:szCs w:val="22"/>
        </w:rPr>
        <w:t>路段穿越一般耕地集中分布区，不涉及永久基本农田。工程建设将临时占用部分一般耕地，占地范围集中在路基填筑区域，占地类型清晰、范围可控。项目不压占、不切割集中连片耕地核心区，不改变区域耕地总体分布格局，拟建公路永久占用耕地34.12</w:t>
      </w:r>
      <w:r>
        <w:rPr>
          <w:rFonts w:ascii="Times New Roman" w:hAnsi="Times New Roman" w:eastAsia="宋体" w:cs="Times New Roman"/>
          <w:color w:val="000000"/>
          <w:sz w:val="24"/>
          <w:szCs w:val="22"/>
        </w:rPr>
        <w:t>hm</w:t>
      </w:r>
      <w:r>
        <w:rPr>
          <w:rFonts w:ascii="Times New Roman" w:hAnsi="Times New Roman" w:eastAsia="宋体" w:cs="Times New Roman"/>
          <w:color w:val="000000"/>
          <w:sz w:val="24"/>
          <w:szCs w:val="22"/>
          <w:vertAlign w:val="superscript"/>
        </w:rPr>
        <w:t>2</w:t>
      </w:r>
      <w:r>
        <w:rPr>
          <w:rFonts w:ascii="Times New Roman" w:hAnsi="Times New Roman" w:eastAsia="宋体" w:cs="Times New Roman"/>
          <w:color w:val="000000"/>
          <w:sz w:val="24"/>
          <w:szCs w:val="22"/>
        </w:rPr>
        <w:t>，占评价范围内耕地总面积比例较小，</w:t>
      </w:r>
      <w:r>
        <w:rPr>
          <w:rFonts w:ascii="Times New Roman" w:hAnsi="Times New Roman" w:eastAsia="宋体" w:cs="Times New Roman"/>
          <w:bCs/>
          <w:color w:val="000000"/>
          <w:kern w:val="0"/>
          <w:sz w:val="24"/>
          <w:szCs w:val="22"/>
        </w:rPr>
        <w:t>对区域耕地保有量及农业生产空间布局无明显不利影响。占用耕地均为一般耕地，不在基本农田管控范围内，符合国土空间管控与耕地保护相关要求。</w:t>
      </w:r>
    </w:p>
    <w:p w14:paraId="70AE1EB1">
      <w:pPr>
        <w:spacing w:line="300" w:lineRule="auto"/>
        <w:ind w:firstLine="480" w:firstLineChars="200"/>
        <w:rPr>
          <w:rFonts w:ascii="Times New Roman" w:hAnsi="Times New Roman" w:eastAsia="宋体" w:cs="Times New Roman"/>
          <w:bCs/>
          <w:color w:val="000000"/>
          <w:kern w:val="0"/>
          <w:sz w:val="24"/>
          <w:szCs w:val="22"/>
        </w:rPr>
      </w:pPr>
      <w:r>
        <w:rPr>
          <w:rFonts w:ascii="Times New Roman" w:hAnsi="Times New Roman" w:eastAsia="宋体" w:cs="Times New Roman"/>
          <w:bCs/>
          <w:color w:val="000000"/>
          <w:kern w:val="0"/>
          <w:sz w:val="24"/>
          <w:szCs w:val="22"/>
        </w:rPr>
        <w:t>施工期，路基开挖、场地平整、机械碾压等施工活动会破坏地表土层结构、压实地表，短期内影响耕地耕作层完整性与土壤肥力；施工扬尘、机械油料滴漏可能对局部耕地土壤造成轻微短期影响。由于施工活动仅对占地范围内及邻近少量耕地产生短期干扰，不破坏农田水利设施、不阻断农业耕作通道，对区域整体农业生产秩序、农作物产量影响有限、可逆。</w:t>
      </w:r>
    </w:p>
    <w:p w14:paraId="3B7DDE32">
      <w:pPr>
        <w:spacing w:line="300" w:lineRule="auto"/>
        <w:ind w:firstLine="480" w:firstLineChars="200"/>
        <w:rPr>
          <w:rFonts w:ascii="Times New Roman" w:hAnsi="Times New Roman" w:eastAsia="宋体" w:cs="Times New Roman"/>
          <w:bCs/>
          <w:color w:val="000000"/>
          <w:kern w:val="0"/>
          <w:sz w:val="24"/>
          <w:szCs w:val="22"/>
        </w:rPr>
      </w:pPr>
      <w:r>
        <w:rPr>
          <w:rFonts w:ascii="Times New Roman" w:hAnsi="Times New Roman" w:eastAsia="宋体" w:cs="Times New Roman"/>
          <w:bCs/>
          <w:color w:val="000000"/>
          <w:kern w:val="0"/>
          <w:sz w:val="24"/>
          <w:szCs w:val="22"/>
        </w:rPr>
        <w:t>运营期，</w:t>
      </w:r>
      <w:r>
        <w:rPr>
          <w:rFonts w:hint="eastAsia" w:ascii="Times New Roman" w:hAnsi="Times New Roman" w:eastAsia="宋体" w:cs="Times New Roman"/>
          <w:bCs/>
          <w:color w:val="000000"/>
          <w:kern w:val="0"/>
          <w:sz w:val="24"/>
          <w:szCs w:val="22"/>
          <w:lang w:eastAsia="zh-CN"/>
        </w:rPr>
        <w:t>拟建公路</w:t>
      </w:r>
      <w:r>
        <w:rPr>
          <w:rFonts w:ascii="Times New Roman" w:hAnsi="Times New Roman" w:eastAsia="宋体" w:cs="Times New Roman"/>
          <w:bCs/>
          <w:color w:val="000000"/>
          <w:kern w:val="0"/>
          <w:sz w:val="24"/>
          <w:szCs w:val="22"/>
        </w:rPr>
        <w:t>不再占用耕地，对耕地数量、农业耕作及农田水利设施无直接影响。主要潜在影响为交通噪声、车辆尾气、路面扬尘对沿线耕地农作物的轻微影响，但影响范围有限、强度较低，不会影响农作物正常生长发育及产量。项目K18+300～K22+410路段虽穿越耕地集中区，但不涉及基本农田，运营期无占地、无开挖、无土壤扰动，对区域农业生产、耕地质量及土壤结构无持续影响。考虑到</w:t>
      </w:r>
      <w:r>
        <w:rPr>
          <w:rFonts w:hint="eastAsia" w:ascii="Times New Roman" w:hAnsi="Times New Roman" w:eastAsia="宋体" w:cs="Times New Roman"/>
          <w:bCs/>
          <w:color w:val="000000"/>
          <w:kern w:val="0"/>
          <w:sz w:val="24"/>
          <w:szCs w:val="22"/>
          <w:lang w:eastAsia="zh-CN"/>
        </w:rPr>
        <w:t>耕地占补平衡</w:t>
      </w:r>
      <w:r>
        <w:rPr>
          <w:rFonts w:ascii="Times New Roman" w:hAnsi="Times New Roman" w:eastAsia="宋体" w:cs="Times New Roman"/>
          <w:bCs/>
          <w:color w:val="000000"/>
          <w:kern w:val="0"/>
          <w:sz w:val="24"/>
          <w:szCs w:val="22"/>
        </w:rPr>
        <w:t>调整等，运营期</w:t>
      </w:r>
      <w:r>
        <w:rPr>
          <w:rFonts w:hint="eastAsia" w:ascii="Times New Roman" w:hAnsi="Times New Roman" w:eastAsia="宋体" w:cs="Times New Roman"/>
          <w:bCs/>
          <w:color w:val="000000"/>
          <w:kern w:val="0"/>
          <w:sz w:val="24"/>
          <w:szCs w:val="22"/>
          <w:lang w:eastAsia="zh-CN"/>
        </w:rPr>
        <w:t>拟建公路</w:t>
      </w:r>
      <w:r>
        <w:rPr>
          <w:rFonts w:ascii="Times New Roman" w:hAnsi="Times New Roman" w:eastAsia="宋体" w:cs="Times New Roman"/>
          <w:bCs/>
          <w:color w:val="000000"/>
          <w:kern w:val="0"/>
          <w:sz w:val="24"/>
          <w:szCs w:val="22"/>
        </w:rPr>
        <w:t>对沿线耕地及农业生产影响极小。</w:t>
      </w:r>
    </w:p>
    <w:p w14:paraId="62DC6DED">
      <w:pPr>
        <w:widowControl w:val="0"/>
        <w:adjustRightInd w:val="0"/>
        <w:spacing w:before="0" w:beforeAutospacing="0" w:after="0" w:afterAutospacing="0" w:line="300" w:lineRule="auto"/>
        <w:ind w:firstLine="480" w:firstLineChars="200"/>
        <w:jc w:val="both"/>
        <w:rPr>
          <w:rFonts w:ascii="Times New Roman" w:hAnsi="Times New Roman" w:eastAsia="宋体" w:cs="Times New Roman"/>
          <w:color w:val="000000"/>
          <w:spacing w:val="4"/>
          <w:kern w:val="0"/>
          <w:sz w:val="24"/>
          <w:szCs w:val="20"/>
          <w:lang w:val="en-US" w:eastAsia="zh-CN" w:bidi="ar-SA"/>
        </w:rPr>
      </w:pPr>
      <w:r>
        <w:rPr>
          <w:rFonts w:ascii="Times New Roman" w:hAnsi="Times New Roman" w:eastAsia="宋体" w:cs="Times New Roman"/>
          <w:color w:val="000000"/>
          <w:kern w:val="2"/>
          <w:sz w:val="24"/>
          <w:szCs w:val="20"/>
          <w:lang w:val="en-US" w:eastAsia="zh-CN" w:bidi="ar"/>
        </w:rPr>
        <w:t>拟建公路占用耕地应根据《中华人民共和国土地管理法》《基本农田保护条例》及相关规定，对占用的耕地进行补偿，并由土地主管部门根据“占多少，垦多少”的原则开垦与所占耕地数量质量相当的耕地。建设单位对工程占用的耕地，按规定交纳征用该土地的耕地开垦费，专款用于开垦新的耕地。</w:t>
      </w:r>
      <w:r>
        <w:rPr>
          <w:rFonts w:ascii="Times New Roman" w:hAnsi="Times New Roman" w:eastAsia="宋体" w:cs="Times New Roman"/>
          <w:bCs/>
          <w:color w:val="000000"/>
          <w:kern w:val="0"/>
          <w:sz w:val="24"/>
          <w:szCs w:val="20"/>
          <w:lang w:val="en-US" w:eastAsia="zh-CN" w:bidi="ar-SA"/>
        </w:rPr>
        <w:t>施工结束后经表土剥离保护、土地平整、植被恢复，可快速恢复耕地耕作条件，不会造成耕地性退化。</w:t>
      </w:r>
    </w:p>
    <w:p w14:paraId="3D72003A">
      <w:pPr>
        <w:spacing w:line="300" w:lineRule="auto"/>
        <w:ind w:firstLine="480" w:firstLineChars="200"/>
        <w:rPr>
          <w:rFonts w:ascii="Times New Roman" w:hAnsi="Times New Roman" w:eastAsia="宋体" w:cs="Times New Roman"/>
          <w:bCs/>
          <w:color w:val="000000"/>
          <w:kern w:val="0"/>
          <w:sz w:val="24"/>
          <w:szCs w:val="22"/>
        </w:rPr>
      </w:pPr>
      <w:r>
        <w:rPr>
          <w:rFonts w:ascii="Times New Roman" w:hAnsi="Times New Roman" w:eastAsia="宋体" w:cs="Times New Roman"/>
          <w:bCs/>
          <w:color w:val="000000"/>
          <w:kern w:val="0"/>
          <w:sz w:val="24"/>
          <w:szCs w:val="22"/>
        </w:rPr>
        <w:t>本段以农田景观为主，施工仅造成局部、短期景观扰动，不改变农田生态系统整体结构；施工结束后通过边坡绿化、耕地复垦、植被恢复，可快速恢复农田生态与景观连续性，对区域生态影响较小。</w:t>
      </w:r>
    </w:p>
    <w:p w14:paraId="64AA52F7">
      <w:pPr>
        <w:widowControl w:val="0"/>
        <w:adjustRightInd w:val="0"/>
        <w:spacing w:before="0" w:beforeAutospacing="0" w:after="0" w:afterAutospacing="0" w:line="300" w:lineRule="auto"/>
        <w:ind w:firstLine="480" w:firstLineChars="200"/>
        <w:jc w:val="both"/>
        <w:rPr>
          <w:rFonts w:ascii="Times New Roman" w:hAnsi="Times New Roman" w:eastAsia="宋体" w:cs="Times New Roman"/>
          <w:color w:val="000000"/>
          <w:spacing w:val="4"/>
          <w:kern w:val="0"/>
          <w:sz w:val="24"/>
          <w:szCs w:val="20"/>
          <w:lang w:val="en-US" w:eastAsia="zh-CN" w:bidi="ar-SA"/>
        </w:rPr>
      </w:pPr>
      <w:r>
        <w:rPr>
          <w:rFonts w:ascii="Times New Roman" w:hAnsi="Times New Roman" w:eastAsia="宋体" w:cs="Times New Roman"/>
          <w:bCs/>
          <w:color w:val="000000"/>
          <w:kern w:val="0"/>
          <w:sz w:val="24"/>
          <w:szCs w:val="20"/>
          <w:lang w:val="en-US" w:eastAsia="zh-CN" w:bidi="ar-SA"/>
        </w:rPr>
        <w:t>因此，拟建公路不会对区域农业生产及生态造成明显不利影响。</w:t>
      </w:r>
    </w:p>
    <w:bookmarkEnd w:id="402"/>
    <w:p w14:paraId="760A1A8B">
      <w:pPr>
        <w:keepNext/>
        <w:keepLines/>
        <w:widowControl w:val="0"/>
        <w:numPr>
          <w:ilvl w:val="1"/>
          <w:numId w:val="13"/>
        </w:numPr>
        <w:spacing w:before="240" w:after="240" w:line="240" w:lineRule="auto"/>
        <w:ind w:firstLine="200" w:firstLineChars="0"/>
        <w:jc w:val="both"/>
        <w:outlineLvl w:val="1"/>
        <w:rPr>
          <w:rFonts w:ascii="Times New Roman" w:hAnsi="Times New Roman" w:eastAsia="宋体" w:cs="Times New Roman"/>
          <w:b/>
          <w:bCs/>
          <w:color w:val="000000"/>
          <w:kern w:val="2"/>
          <w:sz w:val="28"/>
          <w:szCs w:val="32"/>
          <w:lang w:val="en-US" w:eastAsia="zh-CN" w:bidi="ar-SA"/>
        </w:rPr>
      </w:pPr>
      <w:bookmarkStart w:id="404" w:name="_Toc219363423"/>
      <w:bookmarkStart w:id="405" w:name="_Toc29851"/>
      <w:r>
        <w:rPr>
          <w:rFonts w:ascii="Times New Roman" w:hAnsi="Times New Roman" w:eastAsia="宋体" w:cs="Times New Roman"/>
          <w:b/>
          <w:bCs/>
          <w:color w:val="000000"/>
          <w:kern w:val="2"/>
          <w:sz w:val="28"/>
          <w:szCs w:val="32"/>
          <w:lang w:val="en-US" w:eastAsia="zh-CN" w:bidi="ar-SA"/>
        </w:rPr>
        <w:t>临时用地对生态的影响</w:t>
      </w:r>
      <w:bookmarkEnd w:id="404"/>
      <w:bookmarkEnd w:id="405"/>
    </w:p>
    <w:p w14:paraId="044F3B42">
      <w:pPr>
        <w:keepNext/>
        <w:keepLines/>
        <w:widowControl w:val="0"/>
        <w:numPr>
          <w:ilvl w:val="2"/>
          <w:numId w:val="13"/>
        </w:numPr>
        <w:spacing w:before="120" w:after="120" w:line="240" w:lineRule="auto"/>
        <w:ind w:firstLine="200" w:firstLineChars="0"/>
        <w:jc w:val="both"/>
        <w:outlineLvl w:val="2"/>
        <w:rPr>
          <w:rFonts w:ascii="Times New Roman" w:hAnsi="Times New Roman" w:eastAsia="宋体" w:cs="Times New Roman"/>
          <w:b/>
          <w:bCs w:val="0"/>
          <w:color w:val="000000"/>
          <w:kern w:val="28"/>
          <w:sz w:val="24"/>
          <w:szCs w:val="32"/>
          <w:lang w:val="en-US" w:eastAsia="zh-CN" w:bidi="ar-SA"/>
        </w:rPr>
      </w:pPr>
      <w:bookmarkStart w:id="406" w:name="_Toc26419"/>
      <w:r>
        <w:rPr>
          <w:rFonts w:ascii="Times New Roman" w:hAnsi="Times New Roman" w:eastAsia="宋体" w:cs="Times New Roman"/>
          <w:b/>
          <w:bCs w:val="0"/>
          <w:color w:val="000000"/>
          <w:kern w:val="28"/>
          <w:sz w:val="24"/>
          <w:szCs w:val="32"/>
          <w:lang w:val="en-US" w:eastAsia="zh-CN" w:bidi="ar-SA"/>
        </w:rPr>
        <w:t>取弃土场</w:t>
      </w:r>
      <w:bookmarkEnd w:id="406"/>
    </w:p>
    <w:p w14:paraId="0198324F">
      <w:pPr>
        <w:autoSpaceDE w:val="0"/>
        <w:autoSpaceDN w:val="0"/>
        <w:adjustRightInd w:val="0"/>
        <w:spacing w:line="300" w:lineRule="auto"/>
        <w:ind w:firstLine="496" w:firstLineChars="200"/>
        <w:rPr>
          <w:rFonts w:ascii="Times New Roman" w:hAnsi="Times New Roman" w:eastAsia="宋体" w:cs="Times New Roman"/>
          <w:color w:val="000000"/>
          <w:spacing w:val="4"/>
          <w:sz w:val="24"/>
          <w:szCs w:val="22"/>
        </w:rPr>
      </w:pPr>
      <w:bookmarkStart w:id="407" w:name="OLE_LINK56"/>
      <w:r>
        <w:rPr>
          <w:rFonts w:ascii="Times New Roman" w:hAnsi="Times New Roman" w:eastAsia="宋体" w:cs="Times New Roman"/>
          <w:color w:val="000000"/>
          <w:spacing w:val="4"/>
          <w:sz w:val="24"/>
          <w:szCs w:val="22"/>
        </w:rPr>
        <w:t>1. 设置情况</w:t>
      </w:r>
    </w:p>
    <w:p w14:paraId="23D7D1D2">
      <w:pPr>
        <w:autoSpaceDE w:val="0"/>
        <w:autoSpaceDN w:val="0"/>
        <w:adjustRightInd w:val="0"/>
        <w:spacing w:line="300" w:lineRule="auto"/>
        <w:ind w:firstLine="496" w:firstLineChars="200"/>
        <w:rPr>
          <w:rFonts w:ascii="Times New Roman" w:hAnsi="Times New Roman" w:eastAsia="宋体" w:cs="Times New Roman"/>
          <w:color w:val="000000"/>
          <w:spacing w:val="4"/>
          <w:sz w:val="24"/>
          <w:szCs w:val="22"/>
        </w:rPr>
      </w:pPr>
      <w:r>
        <w:rPr>
          <w:rFonts w:ascii="Times New Roman" w:hAnsi="Times New Roman" w:eastAsia="宋体" w:cs="Times New Roman"/>
          <w:color w:val="000000"/>
          <w:spacing w:val="4"/>
          <w:sz w:val="24"/>
          <w:szCs w:val="22"/>
        </w:rPr>
        <w:t>拟建公路设置取土场 1 处，采用招拍挂方式外购布设，同步利用该取土场作为弃土场，此外无其他弃土场。外购取土场由经营单位自行开展环境影响评价工作，同步约定利用该取土场开采形成的采空区作为弃渣消纳场地，将项目内部无法平衡的剩余弃渣，运送至取土场采坑进行分层回填、压实治理。该取土场为独立经营的合法矿业用地，其回填治理、生态恢复等环保要求由经营单位承担主体责任，相关管理要求不纳入</w:t>
      </w:r>
      <w:r>
        <w:rPr>
          <w:rFonts w:hint="eastAsia" w:ascii="Times New Roman" w:hAnsi="Times New Roman" w:eastAsia="宋体" w:cs="Times New Roman"/>
          <w:color w:val="000000"/>
          <w:spacing w:val="4"/>
          <w:sz w:val="24"/>
          <w:szCs w:val="22"/>
          <w:lang w:eastAsia="zh-CN"/>
        </w:rPr>
        <w:t>拟建公路</w:t>
      </w:r>
      <w:r>
        <w:rPr>
          <w:rFonts w:ascii="Times New Roman" w:hAnsi="Times New Roman" w:eastAsia="宋体" w:cs="Times New Roman"/>
          <w:color w:val="000000"/>
          <w:spacing w:val="4"/>
          <w:sz w:val="24"/>
          <w:szCs w:val="22"/>
        </w:rPr>
        <w:t>评价范围。</w:t>
      </w:r>
    </w:p>
    <w:p w14:paraId="00FB6B71">
      <w:pPr>
        <w:autoSpaceDE w:val="0"/>
        <w:autoSpaceDN w:val="0"/>
        <w:adjustRightInd w:val="0"/>
        <w:spacing w:line="300" w:lineRule="auto"/>
        <w:ind w:firstLine="496" w:firstLineChars="200"/>
        <w:rPr>
          <w:rFonts w:ascii="Times New Roman" w:hAnsi="Times New Roman" w:eastAsia="宋体" w:cs="Times New Roman"/>
          <w:color w:val="000000"/>
          <w:spacing w:val="4"/>
          <w:sz w:val="24"/>
          <w:szCs w:val="22"/>
        </w:rPr>
      </w:pPr>
      <w:r>
        <w:rPr>
          <w:rFonts w:ascii="Times New Roman" w:hAnsi="Times New Roman" w:eastAsia="宋体" w:cs="Times New Roman"/>
          <w:color w:val="000000"/>
          <w:spacing w:val="4"/>
          <w:sz w:val="24"/>
          <w:szCs w:val="22"/>
        </w:rPr>
        <w:t>2. 环境合理性分析</w:t>
      </w:r>
    </w:p>
    <w:p w14:paraId="58ACD233">
      <w:pPr>
        <w:autoSpaceDE w:val="0"/>
        <w:autoSpaceDN w:val="0"/>
        <w:adjustRightInd w:val="0"/>
        <w:spacing w:line="300" w:lineRule="auto"/>
        <w:ind w:firstLine="496" w:firstLineChars="200"/>
        <w:rPr>
          <w:rFonts w:ascii="Times New Roman" w:hAnsi="Times New Roman" w:eastAsia="宋体" w:cs="Times New Roman"/>
          <w:color w:val="000000"/>
          <w:spacing w:val="4"/>
          <w:sz w:val="24"/>
          <w:szCs w:val="22"/>
        </w:rPr>
      </w:pPr>
      <w:r>
        <w:rPr>
          <w:rFonts w:ascii="Times New Roman" w:hAnsi="Times New Roman" w:eastAsia="宋体" w:cs="Times New Roman"/>
          <w:color w:val="000000"/>
          <w:spacing w:val="4"/>
          <w:sz w:val="24"/>
          <w:szCs w:val="22"/>
        </w:rPr>
        <w:t>项目不新增专用弃渣场，避免了额外占用草地、盐碱地等土地资源，减少了弃渣场建设带来的地表扰动与植被破坏，符合《公路建设项目占地指标》中 “从严控制临时用地规模、优先永临结合与资源利用” 的管控要求，也契合干旱区稀缺土地资源的保护导向。</w:t>
      </w:r>
    </w:p>
    <w:p w14:paraId="6553FDC5">
      <w:pPr>
        <w:autoSpaceDE w:val="0"/>
        <w:autoSpaceDN w:val="0"/>
        <w:adjustRightInd w:val="0"/>
        <w:spacing w:line="300" w:lineRule="auto"/>
        <w:ind w:firstLine="496" w:firstLineChars="200"/>
        <w:rPr>
          <w:rFonts w:ascii="Times New Roman" w:hAnsi="Times New Roman" w:eastAsia="宋体" w:cs="Times New Roman"/>
          <w:color w:val="000000"/>
          <w:spacing w:val="4"/>
          <w:sz w:val="24"/>
          <w:szCs w:val="22"/>
        </w:rPr>
      </w:pPr>
      <w:r>
        <w:rPr>
          <w:rFonts w:ascii="Times New Roman" w:hAnsi="Times New Roman" w:eastAsia="宋体" w:cs="Times New Roman"/>
          <w:color w:val="000000"/>
          <w:spacing w:val="4"/>
          <w:sz w:val="24"/>
          <w:szCs w:val="22"/>
        </w:rPr>
        <w:t>项目区地处塔里木盆地西缘，部分路段穿越沙化土地，地表砾幕层与生物结皮对防风固沙至关重要。若新增弃渣场，将大面积破坏原生地表结构，加剧风力侵蚀与土地沙化风险。</w:t>
      </w:r>
      <w:r>
        <w:rPr>
          <w:rFonts w:hint="eastAsia" w:ascii="Times New Roman" w:hAnsi="Times New Roman" w:eastAsia="宋体" w:cs="Times New Roman"/>
          <w:color w:val="000000"/>
          <w:spacing w:val="4"/>
          <w:sz w:val="24"/>
          <w:szCs w:val="22"/>
          <w:lang w:eastAsia="zh-CN"/>
        </w:rPr>
        <w:t>拟建公路</w:t>
      </w:r>
      <w:r>
        <w:rPr>
          <w:rFonts w:ascii="Times New Roman" w:hAnsi="Times New Roman" w:eastAsia="宋体" w:cs="Times New Roman"/>
          <w:color w:val="000000"/>
          <w:spacing w:val="4"/>
          <w:sz w:val="24"/>
          <w:szCs w:val="22"/>
        </w:rPr>
        <w:t>通过取土场消纳弃渣，避免了弃渣场建设对荒漠植被、砾幕层的大范围破坏，有效控制了新增沙化与水土流失源，与区域防沙治沙的生态管控要求相契合。</w:t>
      </w:r>
    </w:p>
    <w:p w14:paraId="19BCB3C8">
      <w:pPr>
        <w:autoSpaceDE w:val="0"/>
        <w:autoSpaceDN w:val="0"/>
        <w:adjustRightInd w:val="0"/>
        <w:spacing w:line="300" w:lineRule="auto"/>
        <w:ind w:firstLine="496" w:firstLineChars="200"/>
        <w:rPr>
          <w:rFonts w:ascii="Times New Roman" w:hAnsi="Times New Roman" w:eastAsia="宋体" w:cs="Times New Roman"/>
          <w:color w:val="000000"/>
          <w:spacing w:val="4"/>
          <w:sz w:val="24"/>
          <w:szCs w:val="22"/>
        </w:rPr>
      </w:pPr>
      <w:r>
        <w:rPr>
          <w:rFonts w:ascii="Times New Roman" w:hAnsi="Times New Roman" w:eastAsia="宋体" w:cs="Times New Roman"/>
          <w:color w:val="000000"/>
          <w:spacing w:val="4"/>
          <w:sz w:val="24"/>
          <w:szCs w:val="22"/>
        </w:rPr>
        <w:t>项目绝大多数弃渣可通过路基填料，再利用实现资源化，既减少了外购填料的取土规模，也避免了弃渣堆存的生态影响，实现土石方资源的循环利用，符合绿色公路建设与低碳减排的发展方向。</w:t>
      </w:r>
    </w:p>
    <w:p w14:paraId="6169F106">
      <w:pPr>
        <w:autoSpaceDE w:val="0"/>
        <w:autoSpaceDN w:val="0"/>
        <w:adjustRightInd w:val="0"/>
        <w:spacing w:line="300" w:lineRule="auto"/>
        <w:ind w:firstLine="496" w:firstLineChars="200"/>
        <w:rPr>
          <w:rFonts w:ascii="Times New Roman" w:hAnsi="Times New Roman" w:eastAsia="宋体" w:cs="Times New Roman"/>
          <w:color w:val="000000"/>
          <w:spacing w:val="4"/>
          <w:sz w:val="24"/>
          <w:szCs w:val="22"/>
        </w:rPr>
      </w:pPr>
      <w:r>
        <w:rPr>
          <w:rFonts w:ascii="Times New Roman" w:hAnsi="Times New Roman" w:eastAsia="宋体" w:cs="Times New Roman"/>
          <w:color w:val="000000"/>
          <w:spacing w:val="4"/>
          <w:sz w:val="24"/>
          <w:szCs w:val="22"/>
        </w:rPr>
        <w:t>所有外弃渣均流向具备合法资质的经营性取土场，处置主体责任清晰，运输过程采用密闭车辆、定期洒水降尘，严格按照指定路线行驶，严禁沿途撒漏与随意倾倒，不会对沿线农田、水体、荒漠植被造成二次污染，环境风险整体可控。</w:t>
      </w:r>
    </w:p>
    <w:p w14:paraId="603F3C8B">
      <w:pPr>
        <w:autoSpaceDE w:val="0"/>
        <w:autoSpaceDN w:val="0"/>
        <w:adjustRightInd w:val="0"/>
        <w:spacing w:line="300" w:lineRule="auto"/>
        <w:ind w:firstLine="496" w:firstLineChars="200"/>
        <w:rPr>
          <w:rFonts w:ascii="Times New Roman" w:hAnsi="Times New Roman" w:eastAsia="宋体" w:cs="Times New Roman"/>
          <w:color w:val="000000"/>
          <w:spacing w:val="4"/>
          <w:sz w:val="24"/>
          <w:szCs w:val="22"/>
        </w:rPr>
      </w:pPr>
      <w:r>
        <w:rPr>
          <w:rFonts w:ascii="Times New Roman" w:hAnsi="Times New Roman" w:eastAsia="宋体" w:cs="Times New Roman"/>
          <w:color w:val="000000"/>
          <w:spacing w:val="4"/>
          <w:sz w:val="24"/>
          <w:szCs w:val="22"/>
        </w:rPr>
        <w:t>项目所有弃渣均得到妥善处置，无随意堆放弃置情况，不会造成周边河道淤积、农田压占、植被掩埋等问题。</w:t>
      </w:r>
    </w:p>
    <w:p w14:paraId="0FE528D3">
      <w:pPr>
        <w:autoSpaceDE w:val="0"/>
        <w:autoSpaceDN w:val="0"/>
        <w:adjustRightInd w:val="0"/>
        <w:spacing w:line="300" w:lineRule="auto"/>
        <w:ind w:firstLine="496" w:firstLineChars="200"/>
        <w:rPr>
          <w:rFonts w:ascii="Times New Roman" w:hAnsi="Times New Roman" w:eastAsia="宋体" w:cs="Times New Roman"/>
          <w:color w:val="000000"/>
          <w:spacing w:val="4"/>
          <w:sz w:val="24"/>
          <w:szCs w:val="22"/>
        </w:rPr>
      </w:pPr>
      <w:r>
        <w:rPr>
          <w:rFonts w:ascii="Times New Roman" w:hAnsi="Times New Roman" w:eastAsia="宋体" w:cs="Times New Roman"/>
          <w:color w:val="000000"/>
          <w:spacing w:val="4"/>
          <w:sz w:val="24"/>
          <w:szCs w:val="22"/>
        </w:rPr>
        <w:t>综上所述，</w:t>
      </w:r>
      <w:r>
        <w:rPr>
          <w:rFonts w:hint="eastAsia" w:ascii="Times New Roman" w:hAnsi="Times New Roman" w:eastAsia="宋体" w:cs="Times New Roman"/>
          <w:color w:val="000000"/>
          <w:spacing w:val="4"/>
          <w:sz w:val="24"/>
          <w:szCs w:val="22"/>
          <w:lang w:eastAsia="zh-CN"/>
        </w:rPr>
        <w:t>拟建公路</w:t>
      </w:r>
      <w:r>
        <w:rPr>
          <w:rFonts w:ascii="Times New Roman" w:hAnsi="Times New Roman" w:eastAsia="宋体" w:cs="Times New Roman"/>
          <w:color w:val="000000"/>
          <w:spacing w:val="4"/>
          <w:sz w:val="24"/>
          <w:szCs w:val="22"/>
        </w:rPr>
        <w:t>不设置专用弃渣场的方案，可通过内部平衡、合规消纳与资源化利用相结合的方式，实现全部弃渣的妥善处置，在生态保护、用地节约、风险防控等方面均具备环境合理性。</w:t>
      </w:r>
    </w:p>
    <w:bookmarkEnd w:id="407"/>
    <w:p w14:paraId="7663FDF7">
      <w:pPr>
        <w:keepNext/>
        <w:keepLines/>
        <w:widowControl w:val="0"/>
        <w:numPr>
          <w:ilvl w:val="2"/>
          <w:numId w:val="13"/>
        </w:numPr>
        <w:spacing w:before="120" w:after="120" w:line="240" w:lineRule="auto"/>
        <w:ind w:firstLine="200" w:firstLineChars="0"/>
        <w:jc w:val="both"/>
        <w:outlineLvl w:val="2"/>
        <w:rPr>
          <w:rFonts w:ascii="Times New Roman" w:hAnsi="Times New Roman" w:eastAsia="宋体" w:cs="Times New Roman"/>
          <w:b/>
          <w:bCs w:val="0"/>
          <w:color w:val="000000"/>
          <w:kern w:val="28"/>
          <w:sz w:val="24"/>
          <w:szCs w:val="32"/>
          <w:lang w:val="en-US" w:eastAsia="zh-CN" w:bidi="ar-SA"/>
        </w:rPr>
      </w:pPr>
      <w:bookmarkStart w:id="408" w:name="_Toc20102"/>
      <w:r>
        <w:rPr>
          <w:rFonts w:ascii="Times New Roman" w:hAnsi="Times New Roman" w:eastAsia="宋体" w:cs="Times New Roman"/>
          <w:b/>
          <w:bCs w:val="0"/>
          <w:color w:val="000000"/>
          <w:kern w:val="28"/>
          <w:sz w:val="24"/>
          <w:szCs w:val="32"/>
          <w:lang w:val="en-US" w:eastAsia="zh-CN" w:bidi="ar-SA"/>
        </w:rPr>
        <w:t>施工生产生活区</w:t>
      </w:r>
      <w:bookmarkEnd w:id="408"/>
    </w:p>
    <w:p w14:paraId="7512F1E0">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1. 设置原则</w:t>
      </w:r>
    </w:p>
    <w:p w14:paraId="72D61608">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（1）施工生产生活区包括拌合站、预制场、钢筋加工厂、施工营地等临时设施，尽量选择地形开阔、地势平坦的区域布设，尽量减少占地。</w:t>
      </w:r>
    </w:p>
    <w:p w14:paraId="1A183442">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（2）施工场地等临时占地尽量选用荒坡和劣质的土地，远离村庄、学校、医院等敏感目标，一般要选在处于上述敏感目标下风向200m以外。</w:t>
      </w:r>
    </w:p>
    <w:p w14:paraId="2D998B7D">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3）拟建公路拌合站、预制场要远离河道以减少对河道水质的影响，其中，混凝土拌合站与预制场应设置沉淀池，施工生产废水经沉淀处理后上清液用作施工场地洒水，沉淀池定期进行清理，沉淀物运至临时堆土场存放，不得向河道倾倒泥沙和建筑施工垃圾。</w:t>
      </w:r>
    </w:p>
    <w:p w14:paraId="76890722">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w:t>
      </w:r>
      <w:r>
        <w:rPr>
          <w:rFonts w:hint="eastAsia" w:ascii="Times New Roman" w:hAnsi="Times New Roman" w:eastAsia="宋体" w:cs="Times New Roman"/>
          <w:color w:val="000000"/>
          <w:sz w:val="24"/>
          <w:szCs w:val="22"/>
          <w:lang w:val="en-US" w:eastAsia="zh-CN"/>
        </w:rPr>
        <w:t>4</w:t>
      </w:r>
      <w:r>
        <w:rPr>
          <w:rFonts w:ascii="Times New Roman" w:hAnsi="Times New Roman" w:eastAsia="宋体" w:cs="Times New Roman"/>
          <w:color w:val="000000"/>
          <w:sz w:val="24"/>
          <w:szCs w:val="22"/>
        </w:rPr>
        <w:t>）尽量少占耕地，考虑沿线荒地、荒坡地形，避开水土流失严重区，禁止占用基本农田。</w:t>
      </w:r>
    </w:p>
    <w:p w14:paraId="01E3A38F">
      <w:pPr>
        <w:spacing w:line="300" w:lineRule="auto"/>
        <w:ind w:firstLine="480" w:firstLineChars="200"/>
        <w:rPr>
          <w:rFonts w:ascii="Times New Roman" w:hAnsi="Times New Roman" w:eastAsia="宋体" w:cs="Times New Roman"/>
          <w:color w:val="000000"/>
          <w:sz w:val="24"/>
          <w:szCs w:val="22"/>
        </w:rPr>
      </w:pPr>
      <w:r>
        <w:rPr>
          <w:rFonts w:hint="eastAsia" w:ascii="Times New Roman" w:hAnsi="Times New Roman" w:eastAsia="宋体" w:cs="Times New Roman"/>
          <w:color w:val="000000"/>
          <w:sz w:val="24"/>
          <w:szCs w:val="22"/>
          <w:lang w:eastAsia="zh-CN"/>
        </w:rPr>
        <w:t>（</w:t>
      </w:r>
      <w:r>
        <w:rPr>
          <w:rFonts w:hint="eastAsia" w:ascii="Times New Roman" w:hAnsi="Times New Roman" w:eastAsia="宋体" w:cs="Times New Roman"/>
          <w:color w:val="000000"/>
          <w:sz w:val="24"/>
          <w:szCs w:val="22"/>
          <w:lang w:val="en-US" w:eastAsia="zh-CN"/>
        </w:rPr>
        <w:t>5</w:t>
      </w:r>
      <w:r>
        <w:rPr>
          <w:rFonts w:hint="eastAsia" w:ascii="Times New Roman" w:hAnsi="Times New Roman" w:eastAsia="宋体" w:cs="Times New Roman"/>
          <w:color w:val="000000"/>
          <w:sz w:val="24"/>
          <w:szCs w:val="22"/>
          <w:lang w:eastAsia="zh-CN"/>
        </w:rPr>
        <w:t>）</w:t>
      </w:r>
      <w:r>
        <w:rPr>
          <w:rFonts w:ascii="Times New Roman" w:hAnsi="Times New Roman" w:eastAsia="宋体" w:cs="Times New Roman"/>
          <w:color w:val="000000"/>
          <w:sz w:val="24"/>
          <w:szCs w:val="22"/>
        </w:rPr>
        <w:t>施工营地、拌合站禁止设置于沿线生态保护红线及水源保护区等环境敏感区域范围内。</w:t>
      </w:r>
    </w:p>
    <w:p w14:paraId="15065056">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2. 对生态影响分析</w:t>
      </w:r>
    </w:p>
    <w:p w14:paraId="2E44AD3E">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施工生产生活区是施工单位为进行公路建设而临时设立的拌和站、预制场、施工驻地等设施。其对生态的影响主要表现为以下几个方面：占用草地，导致植被破坏和生产力下降；施工粉尘及往来运输车辆起尘对周边环境空气有一定影响；施工场地清洗水、作业区地面冲洗水和工人的生活用水对水环境有一定影响；搅拌机、运输车辆、水泵、物料传输装置生产过程中</w:t>
      </w:r>
      <w:r>
        <w:rPr>
          <w:rFonts w:hint="eastAsia" w:ascii="Times New Roman" w:hAnsi="Times New Roman" w:eastAsia="宋体" w:cs="Times New Roman"/>
          <w:color w:val="000000"/>
          <w:sz w:val="24"/>
          <w:szCs w:val="22"/>
          <w:lang w:eastAsia="zh-CN"/>
        </w:rPr>
        <w:t>产生</w:t>
      </w:r>
      <w:r>
        <w:rPr>
          <w:rFonts w:ascii="Times New Roman" w:hAnsi="Times New Roman" w:eastAsia="宋体" w:cs="Times New Roman"/>
          <w:color w:val="000000"/>
          <w:sz w:val="24"/>
          <w:szCs w:val="22"/>
        </w:rPr>
        <w:t>的噪声影响；施工场地废弃的砂石料、废弃的混凝土，各类废水产生的沉淀物以及施工人员生活垃圾等固体废弃物影响，影响周边景观，但在施工结束后，施工生产生活区可恢复为林地、草地，其对生态系统的影响将得到减缓。</w:t>
      </w:r>
    </w:p>
    <w:p w14:paraId="1BB6DE45">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3. 设置合理性分析</w:t>
      </w:r>
    </w:p>
    <w:p w14:paraId="546BB09F">
      <w:pPr>
        <w:keepNext w:val="0"/>
        <w:keepLines w:val="0"/>
        <w:pageBreakBefore w:val="0"/>
        <w:widowControl w:val="0"/>
        <w:kinsoku/>
        <w:wordWrap/>
        <w:overflowPunct/>
        <w:topLinePunct w:val="0"/>
        <w:autoSpaceDE/>
        <w:autoSpaceDN/>
        <w:bidi w:val="0"/>
        <w:adjustRightInd/>
        <w:snapToGrid/>
        <w:spacing w:after="157" w:afterLines="50" w:line="300" w:lineRule="auto"/>
        <w:ind w:firstLine="480" w:firstLineChars="200"/>
        <w:textAlignment w:val="auto"/>
        <w:rPr>
          <w:rFonts w:ascii="Times New Roman" w:hAnsi="Times New Roman" w:eastAsia="宋体" w:cs="Times New Roman"/>
          <w:color w:val="000000"/>
          <w:spacing w:val="5"/>
          <w:sz w:val="24"/>
          <w:szCs w:val="22"/>
        </w:rPr>
      </w:pPr>
      <w:r>
        <w:rPr>
          <w:rFonts w:ascii="Times New Roman" w:hAnsi="Times New Roman" w:eastAsia="宋体" w:cs="Times New Roman"/>
          <w:color w:val="000000"/>
          <w:sz w:val="24"/>
          <w:szCs w:val="22"/>
        </w:rPr>
        <w:t>拟建公路施工生产生活区共设2处，均不涉及环境敏感区，也不占用基本农田，新增临时占地9.37hm</w:t>
      </w:r>
      <w:r>
        <w:rPr>
          <w:rFonts w:ascii="Times New Roman" w:hAnsi="Times New Roman" w:eastAsia="宋体" w:cs="Times New Roman"/>
          <w:color w:val="000000"/>
          <w:sz w:val="24"/>
          <w:szCs w:val="22"/>
          <w:vertAlign w:val="superscript"/>
        </w:rPr>
        <w:t>2</w:t>
      </w:r>
      <w:r>
        <w:rPr>
          <w:rFonts w:ascii="Times New Roman" w:hAnsi="Times New Roman" w:eastAsia="宋体" w:cs="Times New Roman"/>
          <w:color w:val="000000"/>
          <w:sz w:val="24"/>
          <w:szCs w:val="22"/>
        </w:rPr>
        <w:t>，占地类型为草地。</w:t>
      </w:r>
      <w:r>
        <w:rPr>
          <w:rFonts w:ascii="Times New Roman" w:hAnsi="Times New Roman" w:eastAsia="宋体" w:cs="Times New Roman"/>
          <w:color w:val="000000"/>
          <w:spacing w:val="5"/>
          <w:sz w:val="24"/>
          <w:szCs w:val="22"/>
        </w:rPr>
        <w:t>施工场地选取及相关说明情况见表3.7-1。</w:t>
      </w:r>
    </w:p>
    <w:p w14:paraId="6634324E">
      <w:pPr>
        <w:widowControl w:val="0"/>
        <w:spacing w:line="240" w:lineRule="auto"/>
        <w:ind w:firstLine="422" w:firstLineChars="200"/>
        <w:jc w:val="center"/>
        <w:rPr>
          <w:rFonts w:ascii="Times New Roman" w:hAnsi="Times New Roman" w:eastAsia="宋体" w:cs="Times New Roman"/>
          <w:b/>
          <w:color w:val="000000"/>
          <w:kern w:val="2"/>
          <w:sz w:val="21"/>
          <w:szCs w:val="21"/>
          <w:lang w:val="en-US" w:eastAsia="zh-CN" w:bidi="ar-SA"/>
        </w:rPr>
      </w:pPr>
      <w:r>
        <w:rPr>
          <w:rFonts w:ascii="Times New Roman" w:hAnsi="Times New Roman" w:eastAsia="宋体" w:cs="Times New Roman"/>
          <w:b/>
          <w:color w:val="000000"/>
          <w:kern w:val="2"/>
          <w:sz w:val="21"/>
          <w:szCs w:val="21"/>
          <w:lang w:val="en-US" w:eastAsia="zh-CN" w:bidi="ar-SA"/>
        </w:rPr>
        <w:t>表3.7-1  施工场地选取及相关说明情况一览表</w:t>
      </w:r>
    </w:p>
    <w:tbl>
      <w:tblPr>
        <w:tblStyle w:val="22"/>
        <w:tblW w:w="8299" w:type="dxa"/>
        <w:jc w:val="center"/>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fixed"/>
        <w:tblCellMar>
          <w:top w:w="0" w:type="dxa"/>
          <w:left w:w="0" w:type="dxa"/>
          <w:bottom w:w="0" w:type="dxa"/>
          <w:right w:w="0" w:type="dxa"/>
        </w:tblCellMar>
      </w:tblPr>
      <w:tblGrid>
        <w:gridCol w:w="2766"/>
        <w:gridCol w:w="2766"/>
        <w:gridCol w:w="2767"/>
      </w:tblGrid>
      <w:tr w14:paraId="44913FCD">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0" w:type="dxa"/>
            <w:bottom w:w="0" w:type="dxa"/>
            <w:right w:w="0" w:type="dxa"/>
          </w:tblCellMar>
        </w:tblPrEx>
        <w:trPr>
          <w:trHeight w:val="283" w:hRule="atLeast"/>
          <w:tblHeader/>
          <w:jc w:val="center"/>
        </w:trPr>
        <w:tc>
          <w:tcPr>
            <w:tcW w:w="1666" w:type="pct"/>
            <w:vAlign w:val="center"/>
          </w:tcPr>
          <w:p w14:paraId="434F31D3">
            <w:pPr>
              <w:widowControl w:val="0"/>
              <w:spacing w:line="240" w:lineRule="auto"/>
              <w:ind w:firstLine="0" w:firstLineChars="0"/>
              <w:jc w:val="center"/>
              <w:rPr>
                <w:rFonts w:ascii="Times New Roman" w:hAnsi="Times New Roman" w:eastAsia="宋体" w:cs="Times New Roman"/>
                <w:b/>
                <w:color w:val="000000"/>
                <w:kern w:val="0"/>
                <w:sz w:val="21"/>
                <w:szCs w:val="21"/>
                <w:lang w:val="en-US" w:eastAsia="zh-CN" w:bidi="ar-SA"/>
              </w:rPr>
            </w:pPr>
            <w:r>
              <w:rPr>
                <w:rFonts w:ascii="Times New Roman" w:hAnsi="Times New Roman" w:eastAsia="宋体" w:cs="Times New Roman"/>
                <w:b/>
                <w:color w:val="000000"/>
                <w:kern w:val="0"/>
                <w:sz w:val="21"/>
                <w:szCs w:val="21"/>
                <w:lang w:val="en-US" w:eastAsia="zh-CN" w:bidi="ar-SA"/>
              </w:rPr>
              <w:t>桩号及距路距离(m)</w:t>
            </w:r>
          </w:p>
        </w:tc>
        <w:tc>
          <w:tcPr>
            <w:tcW w:w="1666" w:type="pct"/>
            <w:vAlign w:val="center"/>
          </w:tcPr>
          <w:p w14:paraId="503736F4">
            <w:pPr>
              <w:widowControl w:val="0"/>
              <w:spacing w:line="240" w:lineRule="auto"/>
              <w:ind w:firstLine="0" w:firstLineChars="0"/>
              <w:jc w:val="center"/>
              <w:rPr>
                <w:rFonts w:ascii="Times New Roman" w:hAnsi="Times New Roman" w:eastAsia="宋体" w:cs="Times New Roman"/>
                <w:b/>
                <w:color w:val="000000"/>
                <w:kern w:val="0"/>
                <w:sz w:val="21"/>
                <w:szCs w:val="21"/>
                <w:lang w:val="en-US" w:eastAsia="zh-CN" w:bidi="ar-SA"/>
              </w:rPr>
            </w:pPr>
            <w:r>
              <w:rPr>
                <w:rFonts w:ascii="Times New Roman" w:hAnsi="Times New Roman" w:eastAsia="宋体" w:cs="Times New Roman"/>
                <w:b/>
                <w:color w:val="000000"/>
                <w:kern w:val="0"/>
                <w:sz w:val="21"/>
                <w:szCs w:val="21"/>
                <w:lang w:val="en-US" w:eastAsia="zh-CN" w:bidi="ar-SA"/>
              </w:rPr>
              <w:t>名称</w:t>
            </w:r>
          </w:p>
        </w:tc>
        <w:tc>
          <w:tcPr>
            <w:tcW w:w="1667" w:type="pct"/>
            <w:vAlign w:val="center"/>
          </w:tcPr>
          <w:p w14:paraId="71441D88">
            <w:pPr>
              <w:autoSpaceDE w:val="0"/>
              <w:autoSpaceDN w:val="0"/>
              <w:adjustRightInd w:val="0"/>
              <w:spacing w:line="300" w:lineRule="auto"/>
              <w:ind w:left="-250" w:leftChars="-119" w:firstLine="0" w:firstLineChars="0"/>
              <w:jc w:val="center"/>
              <w:rPr>
                <w:rFonts w:ascii="Times New Roman" w:hAnsi="Times New Roman" w:eastAsia="宋体" w:cs="Times New Roman"/>
                <w:b/>
                <w:color w:val="000000"/>
                <w:sz w:val="21"/>
                <w:szCs w:val="21"/>
              </w:rPr>
            </w:pPr>
            <w:r>
              <w:rPr>
                <w:rFonts w:ascii="Times New Roman" w:hAnsi="Times New Roman" w:eastAsia="宋体" w:cs="Times New Roman"/>
                <w:b/>
                <w:color w:val="000000"/>
                <w:sz w:val="21"/>
                <w:szCs w:val="21"/>
              </w:rPr>
              <w:t>选取理由</w:t>
            </w:r>
          </w:p>
        </w:tc>
      </w:tr>
      <w:tr w14:paraId="403DFDCC">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0" w:type="dxa"/>
            <w:bottom w:w="0" w:type="dxa"/>
            <w:right w:w="0" w:type="dxa"/>
          </w:tblCellMar>
        </w:tblPrEx>
        <w:trPr>
          <w:trHeight w:val="283" w:hRule="atLeast"/>
          <w:jc w:val="center"/>
        </w:trPr>
        <w:tc>
          <w:tcPr>
            <w:tcW w:w="1666" w:type="pct"/>
            <w:vAlign w:val="center"/>
          </w:tcPr>
          <w:p w14:paraId="134966DB">
            <w:pPr>
              <w:keepNext w:val="0"/>
              <w:keepLines w:val="0"/>
              <w:pageBreakBefore w:val="0"/>
              <w:widowControl w:val="0"/>
              <w:kinsoku/>
              <w:wordWrap/>
              <w:overflowPunct/>
              <w:topLinePunct w:val="0"/>
              <w:bidi w:val="0"/>
              <w:snapToGrid/>
              <w:spacing w:line="240" w:lineRule="auto"/>
              <w:ind w:firstLine="0" w:firstLineChars="0"/>
              <w:jc w:val="center"/>
              <w:textAlignment w:val="auto"/>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K0+400左25m</w:t>
            </w:r>
          </w:p>
        </w:tc>
        <w:tc>
          <w:tcPr>
            <w:tcW w:w="1666" w:type="pct"/>
            <w:vAlign w:val="center"/>
          </w:tcPr>
          <w:p w14:paraId="01FB88B3">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预制场、沥青拌合站、混凝土拌合站、水稳拌合站</w:t>
            </w:r>
          </w:p>
        </w:tc>
        <w:tc>
          <w:tcPr>
            <w:tcW w:w="1667" w:type="pct"/>
            <w:vAlign w:val="center"/>
          </w:tcPr>
          <w:p w14:paraId="29B7E3CA">
            <w:pPr>
              <w:keepNext w:val="0"/>
              <w:keepLines w:val="0"/>
              <w:pageBreakBefore w:val="0"/>
              <w:widowControl w:val="0"/>
              <w:kinsoku/>
              <w:wordWrap/>
              <w:overflowPunct/>
              <w:topLinePunct w:val="0"/>
              <w:bidi w:val="0"/>
              <w:snapToGrid/>
              <w:spacing w:line="240" w:lineRule="auto"/>
              <w:ind w:firstLine="0" w:firstLineChars="0"/>
              <w:jc w:val="center"/>
              <w:textAlignment w:val="auto"/>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避开村庄、基本农田及植被较好区域，减少环境破坏</w:t>
            </w:r>
          </w:p>
        </w:tc>
      </w:tr>
      <w:tr w14:paraId="57013156">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0" w:type="dxa"/>
            <w:bottom w:w="0" w:type="dxa"/>
            <w:right w:w="0" w:type="dxa"/>
          </w:tblCellMar>
        </w:tblPrEx>
        <w:trPr>
          <w:trHeight w:val="283" w:hRule="atLeast"/>
          <w:jc w:val="center"/>
        </w:trPr>
        <w:tc>
          <w:tcPr>
            <w:tcW w:w="1666" w:type="pct"/>
            <w:vAlign w:val="center"/>
          </w:tcPr>
          <w:p w14:paraId="253E576C">
            <w:pPr>
              <w:keepNext w:val="0"/>
              <w:keepLines w:val="0"/>
              <w:pageBreakBefore w:val="0"/>
              <w:widowControl w:val="0"/>
              <w:kinsoku/>
              <w:wordWrap/>
              <w:overflowPunct/>
              <w:topLinePunct w:val="0"/>
              <w:bidi w:val="0"/>
              <w:snapToGrid/>
              <w:spacing w:line="240" w:lineRule="auto"/>
              <w:ind w:firstLine="0" w:firstLineChars="0"/>
              <w:jc w:val="center"/>
              <w:textAlignment w:val="auto"/>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K33+400右55m</w:t>
            </w:r>
          </w:p>
        </w:tc>
        <w:tc>
          <w:tcPr>
            <w:tcW w:w="1666" w:type="pct"/>
            <w:vAlign w:val="center"/>
          </w:tcPr>
          <w:p w14:paraId="63AC9BAE">
            <w:pPr>
              <w:keepNext w:val="0"/>
              <w:keepLines w:val="0"/>
              <w:pageBreakBefore w:val="0"/>
              <w:widowControl w:val="0"/>
              <w:kinsoku/>
              <w:wordWrap/>
              <w:overflowPunct/>
              <w:topLinePunct w:val="0"/>
              <w:bidi w:val="0"/>
              <w:snapToGrid/>
              <w:spacing w:line="240" w:lineRule="auto"/>
              <w:ind w:firstLine="0" w:firstLineChars="0"/>
              <w:jc w:val="center"/>
              <w:textAlignment w:val="auto"/>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预制场、沥青拌合站、混凝土拌合站、水稳拌合站</w:t>
            </w:r>
          </w:p>
        </w:tc>
        <w:tc>
          <w:tcPr>
            <w:tcW w:w="1667" w:type="pct"/>
            <w:vAlign w:val="center"/>
          </w:tcPr>
          <w:p w14:paraId="6FDD4D0E">
            <w:pPr>
              <w:keepNext w:val="0"/>
              <w:keepLines w:val="0"/>
              <w:pageBreakBefore w:val="0"/>
              <w:widowControl w:val="0"/>
              <w:kinsoku/>
              <w:wordWrap/>
              <w:overflowPunct/>
              <w:topLinePunct w:val="0"/>
              <w:bidi w:val="0"/>
              <w:snapToGrid/>
              <w:spacing w:line="240" w:lineRule="auto"/>
              <w:ind w:firstLine="0" w:firstLineChars="0"/>
              <w:jc w:val="center"/>
              <w:textAlignment w:val="auto"/>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避开村庄、基本农田及植被较好区域，减少环境破坏</w:t>
            </w:r>
          </w:p>
        </w:tc>
      </w:tr>
    </w:tbl>
    <w:p w14:paraId="2901C0D3">
      <w:pPr>
        <w:spacing w:line="300" w:lineRule="auto"/>
        <w:ind w:firstLine="480" w:firstLineChars="200"/>
        <w:rPr>
          <w:rFonts w:ascii="Times New Roman" w:hAnsi="Times New Roman" w:eastAsia="宋体" w:cs="Times New Roman"/>
          <w:color w:val="000000"/>
          <w:sz w:val="24"/>
          <w:szCs w:val="22"/>
        </w:rPr>
      </w:pPr>
    </w:p>
    <w:p w14:paraId="2DA1D245">
      <w:pPr>
        <w:autoSpaceDE w:val="0"/>
        <w:autoSpaceDN w:val="0"/>
        <w:adjustRightInd w:val="0"/>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经现场调查，并结合周边环境现状分析，施工生产生活区选址均对项目沿线</w:t>
      </w:r>
      <w:r>
        <w:rPr>
          <w:rFonts w:hint="eastAsia" w:ascii="Times New Roman" w:hAnsi="Times New Roman" w:eastAsia="宋体" w:cs="Times New Roman"/>
          <w:color w:val="000000"/>
          <w:sz w:val="24"/>
          <w:szCs w:val="22"/>
          <w:lang w:eastAsia="zh-CN"/>
        </w:rPr>
        <w:t>生态保护红线</w:t>
      </w:r>
      <w:r>
        <w:rPr>
          <w:rFonts w:ascii="Times New Roman" w:hAnsi="Times New Roman" w:eastAsia="宋体" w:cs="Times New Roman"/>
          <w:color w:val="000000"/>
          <w:sz w:val="24"/>
          <w:szCs w:val="22"/>
        </w:rPr>
        <w:t>及饮用水源保护区等环境敏感区范围进行了避让，不会对沿线生态敏感区造成影响。施工生产生活区不占用耕地和基本农田，减少了对农业生产的影响。少量占用草地，可能对沿线生态造成短暂影响，施工结束后</w:t>
      </w:r>
      <w:r>
        <w:rPr>
          <w:rFonts w:ascii="Times New Roman" w:hAnsi="Times New Roman" w:eastAsia="宋体" w:cs="Times New Roman"/>
          <w:color w:val="000000"/>
          <w:spacing w:val="5"/>
          <w:sz w:val="24"/>
          <w:szCs w:val="24"/>
          <w:lang w:bidi="ar"/>
        </w:rPr>
        <w:t>，遵循“因地制宜”的原则，根据原有土地类型</w:t>
      </w:r>
      <w:r>
        <w:rPr>
          <w:rFonts w:hint="eastAsia" w:ascii="Times New Roman" w:hAnsi="Times New Roman" w:eastAsia="宋体" w:cs="Times New Roman"/>
          <w:color w:val="000000"/>
          <w:spacing w:val="5"/>
          <w:sz w:val="24"/>
          <w:szCs w:val="24"/>
          <w:lang w:eastAsia="zh-CN" w:bidi="ar"/>
        </w:rPr>
        <w:t>采取</w:t>
      </w:r>
      <w:r>
        <w:rPr>
          <w:rFonts w:ascii="Times New Roman" w:hAnsi="Times New Roman" w:eastAsia="宋体" w:cs="Times New Roman"/>
          <w:color w:val="000000"/>
          <w:spacing w:val="5"/>
          <w:sz w:val="24"/>
          <w:szCs w:val="24"/>
          <w:lang w:bidi="ar"/>
        </w:rPr>
        <w:t>适宜的恢复措施。</w:t>
      </w:r>
      <w:r>
        <w:rPr>
          <w:rFonts w:hint="eastAsia" w:ascii="Times New Roman" w:hAnsi="Times New Roman" w:eastAsia="宋体" w:cs="Times New Roman"/>
          <w:color w:val="000000"/>
          <w:spacing w:val="5"/>
          <w:sz w:val="24"/>
          <w:szCs w:val="24"/>
          <w:lang w:eastAsia="zh-CN" w:bidi="ar"/>
        </w:rPr>
        <w:t>拟建公路</w:t>
      </w:r>
      <w:r>
        <w:rPr>
          <w:rFonts w:ascii="Times New Roman" w:hAnsi="Times New Roman" w:eastAsia="宋体" w:cs="Times New Roman"/>
          <w:color w:val="000000"/>
          <w:spacing w:val="5"/>
          <w:sz w:val="24"/>
          <w:szCs w:val="24"/>
          <w:lang w:bidi="ar"/>
        </w:rPr>
        <w:t>施工生产生活区占用草地9.37hm</w:t>
      </w:r>
      <w:r>
        <w:rPr>
          <w:rFonts w:ascii="Times New Roman" w:hAnsi="Times New Roman" w:eastAsia="宋体" w:cs="Times New Roman"/>
          <w:color w:val="000000"/>
          <w:spacing w:val="5"/>
          <w:sz w:val="24"/>
          <w:szCs w:val="24"/>
          <w:vertAlign w:val="superscript"/>
          <w:lang w:bidi="ar"/>
        </w:rPr>
        <w:t>2</w:t>
      </w:r>
      <w:r>
        <w:rPr>
          <w:rFonts w:ascii="Times New Roman" w:hAnsi="Times New Roman" w:eastAsia="宋体" w:cs="Times New Roman"/>
          <w:color w:val="000000"/>
          <w:spacing w:val="5"/>
          <w:sz w:val="24"/>
          <w:szCs w:val="24"/>
          <w:lang w:bidi="ar"/>
        </w:rPr>
        <w:t>，</w:t>
      </w:r>
      <w:r>
        <w:rPr>
          <w:rFonts w:ascii="Times New Roman" w:hAnsi="Times New Roman" w:eastAsia="宋体" w:cs="Times New Roman"/>
          <w:color w:val="000000"/>
          <w:kern w:val="0"/>
          <w:sz w:val="24"/>
          <w:szCs w:val="22"/>
        </w:rPr>
        <w:t>原为草地的区域采用栽植草本或播撒草籽方式恢复。</w:t>
      </w:r>
    </w:p>
    <w:p w14:paraId="7D3955F2">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总体来看，拟建公路拟设置的施工生产生活区，对沿线生态影响较小。</w:t>
      </w:r>
    </w:p>
    <w:p w14:paraId="0EFDBCDD">
      <w:pPr>
        <w:keepNext/>
        <w:keepLines/>
        <w:widowControl w:val="0"/>
        <w:numPr>
          <w:ilvl w:val="2"/>
          <w:numId w:val="13"/>
        </w:numPr>
        <w:spacing w:before="120" w:after="120" w:line="240" w:lineRule="auto"/>
        <w:ind w:firstLine="200" w:firstLineChars="0"/>
        <w:jc w:val="both"/>
        <w:outlineLvl w:val="2"/>
        <w:rPr>
          <w:rFonts w:ascii="Times New Roman" w:hAnsi="Times New Roman" w:eastAsia="宋体" w:cs="Times New Roman"/>
          <w:b/>
          <w:bCs w:val="0"/>
          <w:color w:val="000000"/>
          <w:kern w:val="28"/>
          <w:sz w:val="24"/>
          <w:szCs w:val="32"/>
          <w:lang w:val="en-US" w:eastAsia="zh-CN" w:bidi="ar-SA"/>
        </w:rPr>
      </w:pPr>
      <w:bookmarkStart w:id="409" w:name="_Toc29932"/>
      <w:r>
        <w:rPr>
          <w:rFonts w:ascii="Times New Roman" w:hAnsi="Times New Roman" w:eastAsia="宋体" w:cs="Times New Roman"/>
          <w:b/>
          <w:bCs w:val="0"/>
          <w:color w:val="000000"/>
          <w:kern w:val="28"/>
          <w:sz w:val="24"/>
          <w:szCs w:val="32"/>
          <w:lang w:val="en-US" w:eastAsia="zh-CN" w:bidi="ar-SA"/>
        </w:rPr>
        <w:t>施工便道</w:t>
      </w:r>
      <w:bookmarkEnd w:id="409"/>
    </w:p>
    <w:p w14:paraId="38DBE8BF">
      <w:pPr>
        <w:spacing w:line="300" w:lineRule="auto"/>
        <w:ind w:firstLine="480" w:firstLineChars="200"/>
        <w:rPr>
          <w:rFonts w:ascii="Times New Roman" w:hAnsi="Times New Roman" w:eastAsia="宋体" w:cs="Times New Roman"/>
          <w:color w:val="000000"/>
          <w:spacing w:val="4"/>
          <w:kern w:val="0"/>
          <w:sz w:val="24"/>
          <w:szCs w:val="24"/>
        </w:rPr>
      </w:pPr>
      <w:r>
        <w:rPr>
          <w:rFonts w:ascii="Times New Roman" w:hAnsi="Times New Roman" w:eastAsia="宋体" w:cs="Times New Roman"/>
          <w:color w:val="000000"/>
          <w:kern w:val="0"/>
          <w:sz w:val="24"/>
          <w:szCs w:val="24"/>
        </w:rPr>
        <w:t>拟建公路共设置</w:t>
      </w:r>
      <w:r>
        <w:rPr>
          <w:rFonts w:ascii="Times New Roman" w:hAnsi="Times New Roman" w:eastAsia="宋体" w:cs="Times New Roman"/>
          <w:color w:val="000000"/>
          <w:spacing w:val="4"/>
          <w:kern w:val="0"/>
          <w:sz w:val="24"/>
          <w:szCs w:val="24"/>
        </w:rPr>
        <w:t>施工便道2.3km，便道宽度7m，均为新建，占地面积为1.61hm</w:t>
      </w:r>
      <w:r>
        <w:rPr>
          <w:rFonts w:ascii="Times New Roman" w:hAnsi="Times New Roman" w:eastAsia="宋体" w:cs="Times New Roman"/>
          <w:color w:val="000000"/>
          <w:spacing w:val="4"/>
          <w:kern w:val="0"/>
          <w:sz w:val="24"/>
          <w:szCs w:val="24"/>
          <w:vertAlign w:val="superscript"/>
        </w:rPr>
        <w:t>2</w:t>
      </w:r>
      <w:r>
        <w:rPr>
          <w:rFonts w:ascii="Times New Roman" w:hAnsi="Times New Roman" w:eastAsia="宋体" w:cs="Times New Roman"/>
          <w:color w:val="000000"/>
          <w:spacing w:val="4"/>
          <w:kern w:val="0"/>
          <w:sz w:val="24"/>
          <w:szCs w:val="24"/>
        </w:rPr>
        <w:t>，占地类型为草地。</w:t>
      </w:r>
    </w:p>
    <w:p w14:paraId="614C227E">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1. 施工便道对生态影响分析</w:t>
      </w:r>
    </w:p>
    <w:p w14:paraId="40D43096">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施工便道的生态影响主要是通过运输机械（车辆）碾压，破坏地表植被和土壤物理结构，导致植物生长不良或枯死，同时也加剧水土流失，影响公路景观。</w:t>
      </w:r>
    </w:p>
    <w:p w14:paraId="2758CB27">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整体影响程度较轻、范围有限、短期可逆，施工结束后经场地平整、植被恢复，可有效减缓并消除生态影响，不会对区域生态系统结构与功能造成明显不利影响。</w:t>
      </w:r>
    </w:p>
    <w:p w14:paraId="147656C9">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2. 施工便道设置优化建议</w:t>
      </w:r>
    </w:p>
    <w:p w14:paraId="42141293">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施工便道将尽量依托现有道路，经加固后使用。对于必须新建的便道，应优先剥离表层肥沃土壤，集中堆放并养护，用于后期施工便道的植被恢复。施工便道未设置于相关法律法规规定的禁止建设的区域，还应远离学校等环境敏感点，并严格划定施工范围，避免施工车辆随意行驶。在落实上述措施后，施工期的不利影响可得到有效控制，对环境的影响处于可接受范围内。</w:t>
      </w:r>
    </w:p>
    <w:p w14:paraId="583277E8">
      <w:pPr>
        <w:keepNext/>
        <w:keepLines/>
        <w:widowControl w:val="0"/>
        <w:numPr>
          <w:ilvl w:val="1"/>
          <w:numId w:val="13"/>
        </w:numPr>
        <w:spacing w:before="240" w:after="240" w:line="240" w:lineRule="auto"/>
        <w:ind w:firstLine="200" w:firstLineChars="0"/>
        <w:jc w:val="both"/>
        <w:outlineLvl w:val="1"/>
        <w:rPr>
          <w:rFonts w:ascii="Times New Roman" w:hAnsi="Times New Roman" w:eastAsia="宋体" w:cs="Times New Roman"/>
          <w:b/>
          <w:bCs/>
          <w:color w:val="000000"/>
          <w:kern w:val="2"/>
          <w:sz w:val="28"/>
          <w:szCs w:val="32"/>
          <w:lang w:val="en-US" w:eastAsia="zh-CN" w:bidi="ar-SA"/>
        </w:rPr>
      </w:pPr>
      <w:bookmarkStart w:id="410" w:name="_Toc24457"/>
      <w:bookmarkStart w:id="411" w:name="_Toc219363425"/>
      <w:bookmarkStart w:id="412" w:name="OLE_LINK44"/>
      <w:r>
        <w:rPr>
          <w:rFonts w:ascii="Times New Roman" w:hAnsi="Times New Roman" w:eastAsia="宋体" w:cs="Times New Roman"/>
          <w:b/>
          <w:bCs/>
          <w:color w:val="000000"/>
          <w:kern w:val="2"/>
          <w:sz w:val="28"/>
          <w:szCs w:val="32"/>
          <w:lang w:val="en-US" w:eastAsia="zh-CN" w:bidi="ar-SA"/>
        </w:rPr>
        <w:t>工</w:t>
      </w:r>
      <w:bookmarkStart w:id="413" w:name="OLE_LINK30"/>
      <w:r>
        <w:rPr>
          <w:rFonts w:ascii="Times New Roman" w:hAnsi="Times New Roman" w:eastAsia="宋体" w:cs="Times New Roman"/>
          <w:b/>
          <w:bCs/>
          <w:color w:val="000000"/>
          <w:kern w:val="2"/>
          <w:sz w:val="28"/>
          <w:szCs w:val="32"/>
          <w:lang w:val="en-US" w:eastAsia="zh-CN" w:bidi="ar-SA"/>
        </w:rPr>
        <w:t>程实施前后</w:t>
      </w:r>
      <w:bookmarkEnd w:id="413"/>
      <w:r>
        <w:rPr>
          <w:rFonts w:ascii="Times New Roman" w:hAnsi="Times New Roman" w:eastAsia="宋体" w:cs="Times New Roman"/>
          <w:b/>
          <w:bCs/>
          <w:color w:val="000000"/>
          <w:kern w:val="2"/>
          <w:sz w:val="28"/>
          <w:szCs w:val="32"/>
          <w:lang w:val="en-US" w:eastAsia="zh-CN" w:bidi="ar-SA"/>
        </w:rPr>
        <w:t>的生态影响变化分析</w:t>
      </w:r>
      <w:bookmarkEnd w:id="410"/>
      <w:bookmarkEnd w:id="411"/>
    </w:p>
    <w:bookmarkEnd w:id="412"/>
    <w:p w14:paraId="232ED23B">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4"/>
          <w:lang w:bidi="ar"/>
        </w:rPr>
        <w:t>拟建公路永久占地306.32hm</w:t>
      </w:r>
      <w:r>
        <w:rPr>
          <w:rFonts w:ascii="Times New Roman" w:hAnsi="Times New Roman" w:eastAsia="宋体" w:cs="Times New Roman"/>
          <w:color w:val="000000"/>
          <w:sz w:val="24"/>
          <w:szCs w:val="24"/>
          <w:vertAlign w:val="superscript"/>
          <w:lang w:bidi="ar"/>
        </w:rPr>
        <w:t>2</w:t>
      </w:r>
      <w:r>
        <w:rPr>
          <w:rFonts w:ascii="Times New Roman" w:hAnsi="Times New Roman" w:eastAsia="宋体" w:cs="Times New Roman"/>
          <w:color w:val="000000"/>
          <w:sz w:val="24"/>
          <w:szCs w:val="24"/>
          <w:lang w:bidi="ar"/>
        </w:rPr>
        <w:t>，临时占地10.98hm</w:t>
      </w:r>
      <w:r>
        <w:rPr>
          <w:rFonts w:ascii="Times New Roman" w:hAnsi="Times New Roman" w:eastAsia="宋体" w:cs="Times New Roman"/>
          <w:color w:val="000000"/>
          <w:sz w:val="24"/>
          <w:szCs w:val="24"/>
          <w:vertAlign w:val="superscript"/>
          <w:lang w:bidi="ar"/>
        </w:rPr>
        <w:t>2</w:t>
      </w:r>
      <w:r>
        <w:rPr>
          <w:rFonts w:ascii="Times New Roman" w:hAnsi="Times New Roman" w:eastAsia="宋体" w:cs="Times New Roman"/>
          <w:color w:val="000000"/>
          <w:sz w:val="24"/>
          <w:szCs w:val="24"/>
          <w:lang w:bidi="ar"/>
        </w:rPr>
        <w:t>，</w:t>
      </w:r>
      <w:r>
        <w:rPr>
          <w:rFonts w:ascii="Times New Roman" w:hAnsi="Times New Roman" w:eastAsia="宋体" w:cs="Times New Roman"/>
          <w:color w:val="000000"/>
          <w:sz w:val="24"/>
          <w:szCs w:val="22"/>
        </w:rPr>
        <w:t>根据3.2节分析可知，受拟建公路建设影响的植物均是沿线评价区广布种、常见种，工程施工会暂时减少这些植物种的个体数量，但对整个区域的植物种类、种群数量基本</w:t>
      </w:r>
      <w:r>
        <w:rPr>
          <w:rFonts w:hint="eastAsia" w:ascii="Times New Roman" w:hAnsi="Times New Roman" w:eastAsia="宋体" w:cs="Times New Roman"/>
          <w:color w:val="000000"/>
          <w:sz w:val="24"/>
          <w:szCs w:val="22"/>
          <w:lang w:eastAsia="zh-CN"/>
        </w:rPr>
        <w:t>没有</w:t>
      </w:r>
      <w:r>
        <w:rPr>
          <w:rFonts w:ascii="Times New Roman" w:hAnsi="Times New Roman" w:eastAsia="宋体" w:cs="Times New Roman"/>
          <w:color w:val="000000"/>
          <w:sz w:val="24"/>
          <w:szCs w:val="22"/>
        </w:rPr>
        <w:t>影响，项目沿线无保护植物物种分布，也不会因项目建设导致任何植物种明显减少或消失，同时项目建成后采用当地物种进行植被恢复，可减缓公路占地对植被产生的影响，拟建公路实施后对沿线植被和植物物种多样性影响很小。</w:t>
      </w:r>
    </w:p>
    <w:p w14:paraId="5643D7D5">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拟建公路沿线野生动物均为常见的鸟类、两栖爬行类、小型兽类等物种，拟建公路为既有公路改扩建工程，公路建成通车多年，上述野生动物对沿线交通活动干扰具有一定的适应性，根据3.3节分析可知，拟建公路施工会导致项目沿线周围环境的动物数量有所减少，对沿线的爬行类和两栖动物有一定的干扰，但是对其生存及种群数量、种类影响很小。项目实施后设置的桥梁可作为野生动物通行使用，对动物的阻隔影响较小。</w:t>
      </w:r>
    </w:p>
    <w:p w14:paraId="60DE4E54">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综上，拟建公路为改扩建项目，沿线生态敏感性一般，在采取相应的生态保护及减缓措施后，项目实施对沿线生态影响较小。</w:t>
      </w:r>
    </w:p>
    <w:p w14:paraId="6F59C127">
      <w:pPr>
        <w:keepNext/>
        <w:keepLines/>
        <w:widowControl w:val="0"/>
        <w:numPr>
          <w:ilvl w:val="0"/>
          <w:numId w:val="0"/>
        </w:numPr>
        <w:spacing w:before="240" w:after="240" w:line="240" w:lineRule="auto"/>
        <w:ind w:firstLine="200" w:firstLineChars="0"/>
        <w:jc w:val="both"/>
        <w:outlineLvl w:val="1"/>
        <w:rPr>
          <w:rFonts w:ascii="Times New Roman" w:hAnsi="Times New Roman" w:eastAsia="宋体" w:cs="Times New Roman"/>
          <w:b/>
          <w:bCs/>
          <w:color w:val="000000"/>
          <w:kern w:val="2"/>
          <w:sz w:val="28"/>
          <w:szCs w:val="32"/>
          <w:lang w:val="en-US" w:eastAsia="zh-CN" w:bidi="ar-SA"/>
        </w:rPr>
      </w:pPr>
      <w:bookmarkStart w:id="414" w:name="_Toc28017"/>
      <w:r>
        <w:rPr>
          <w:rFonts w:ascii="Times New Roman" w:hAnsi="Times New Roman" w:eastAsia="宋体" w:cs="Times New Roman"/>
          <w:b/>
          <w:bCs/>
          <w:color w:val="000000"/>
          <w:kern w:val="2"/>
          <w:sz w:val="28"/>
          <w:szCs w:val="32"/>
          <w:lang w:val="en-US" w:eastAsia="zh-CN" w:bidi="ar-SA"/>
        </w:rPr>
        <w:t>3.9 对沙化土地的影响</w:t>
      </w:r>
      <w:bookmarkEnd w:id="414"/>
    </w:p>
    <w:p w14:paraId="66FB1929">
      <w:pPr>
        <w:widowControl w:val="0"/>
        <w:spacing w:before="0" w:beforeAutospacing="0" w:after="0" w:afterAutospacing="0" w:line="300" w:lineRule="auto"/>
        <w:ind w:firstLine="480" w:firstLineChars="200"/>
        <w:jc w:val="both"/>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szCs w:val="24"/>
          <w:lang w:val="en-US" w:eastAsia="zh-CN" w:bidi="ar"/>
        </w:rPr>
        <w:t>拟建公路永久占地306.32hm</w:t>
      </w:r>
      <w:r>
        <w:rPr>
          <w:rFonts w:ascii="Times New Roman" w:hAnsi="Times New Roman" w:eastAsia="宋体" w:cs="Times New Roman"/>
          <w:color w:val="000000"/>
          <w:kern w:val="0"/>
          <w:sz w:val="24"/>
          <w:szCs w:val="24"/>
          <w:vertAlign w:val="superscript"/>
          <w:lang w:val="en-US" w:eastAsia="zh-CN" w:bidi="ar"/>
        </w:rPr>
        <w:t>2</w:t>
      </w:r>
      <w:r>
        <w:rPr>
          <w:rFonts w:ascii="Times New Roman" w:hAnsi="Times New Roman" w:eastAsia="宋体" w:cs="Times New Roman"/>
          <w:color w:val="000000"/>
          <w:kern w:val="0"/>
          <w:sz w:val="24"/>
          <w:szCs w:val="24"/>
          <w:lang w:val="en-US" w:eastAsia="zh-CN" w:bidi="ar"/>
        </w:rPr>
        <w:t>，临时占地10.98hm</w:t>
      </w:r>
      <w:r>
        <w:rPr>
          <w:rFonts w:ascii="Times New Roman" w:hAnsi="Times New Roman" w:eastAsia="宋体" w:cs="Times New Roman"/>
          <w:color w:val="000000"/>
          <w:kern w:val="0"/>
          <w:sz w:val="24"/>
          <w:szCs w:val="24"/>
          <w:vertAlign w:val="superscript"/>
          <w:lang w:val="en-US" w:eastAsia="zh-CN" w:bidi="ar"/>
        </w:rPr>
        <w:t>2</w:t>
      </w:r>
      <w:r>
        <w:rPr>
          <w:rFonts w:ascii="Times New Roman" w:hAnsi="Times New Roman" w:eastAsia="宋体" w:cs="Times New Roman"/>
          <w:color w:val="000000"/>
          <w:kern w:val="0"/>
          <w:sz w:val="24"/>
          <w:szCs w:val="24"/>
          <w:lang w:val="en-US" w:eastAsia="zh-CN" w:bidi="ar"/>
        </w:rPr>
        <w:t>，</w:t>
      </w:r>
      <w:bookmarkStart w:id="415" w:name="OLE_LINK57"/>
      <w:r>
        <w:rPr>
          <w:rFonts w:ascii="Times New Roman" w:hAnsi="Times New Roman" w:eastAsia="宋体" w:cs="Times New Roman"/>
          <w:color w:val="000000"/>
          <w:kern w:val="0"/>
          <w:sz w:val="24"/>
          <w:szCs w:val="20"/>
          <w:lang w:val="en-US" w:eastAsia="zh-CN" w:bidi="ar-SA"/>
        </w:rPr>
        <w:t>K0+000~K1+100、K4+100~K6+500、K11+000~K14+000</w:t>
      </w:r>
      <w:bookmarkEnd w:id="415"/>
      <w:r>
        <w:rPr>
          <w:rFonts w:ascii="Times New Roman" w:hAnsi="Times New Roman" w:eastAsia="宋体" w:cs="Times New Roman"/>
          <w:color w:val="000000"/>
          <w:kern w:val="0"/>
          <w:sz w:val="24"/>
          <w:szCs w:val="20"/>
          <w:lang w:val="en-US" w:eastAsia="zh-CN" w:bidi="ar-SA"/>
        </w:rPr>
        <w:t>段穿越沙化土地，共6.5km，约占戈壁类型沙化土地15.68hm</w:t>
      </w:r>
      <w:r>
        <w:rPr>
          <w:rFonts w:ascii="Times New Roman" w:hAnsi="Times New Roman" w:eastAsia="宋体" w:cs="Times New Roman"/>
          <w:color w:val="000000"/>
          <w:kern w:val="0"/>
          <w:sz w:val="24"/>
          <w:szCs w:val="20"/>
          <w:vertAlign w:val="superscript"/>
          <w:lang w:val="en-US" w:eastAsia="zh-CN" w:bidi="ar-SA"/>
        </w:rPr>
        <w:t>2</w:t>
      </w:r>
      <w:r>
        <w:rPr>
          <w:rFonts w:ascii="Times New Roman" w:hAnsi="Times New Roman" w:eastAsia="宋体" w:cs="Times New Roman"/>
          <w:color w:val="000000"/>
          <w:kern w:val="0"/>
          <w:sz w:val="24"/>
          <w:szCs w:val="20"/>
          <w:lang w:val="en-US" w:eastAsia="zh-CN" w:bidi="ar"/>
        </w:rPr>
        <w:t>。</w:t>
      </w:r>
      <w:r>
        <w:rPr>
          <w:rFonts w:ascii="Times New Roman" w:hAnsi="Times New Roman" w:eastAsia="宋体" w:cs="Times New Roman"/>
          <w:color w:val="000000"/>
          <w:kern w:val="0"/>
          <w:sz w:val="24"/>
          <w:szCs w:val="24"/>
          <w:lang w:val="en-US" w:eastAsia="zh-CN" w:bidi="ar"/>
        </w:rPr>
        <w:t>施工活动对土地沙化的影响主要包括公路施工期间路基填筑、设置施工便道、营地等工程活动将不可避免地扰动原地貌，破坏地表植被，改变土体结构，使土壤抗蚀性降低，为风力侵蚀提供了丰富的沙源，加剧局部地段土地沙化现象。项目建设过程中，受扰动地表土壤侵蚀强度普遍增强。</w:t>
      </w:r>
    </w:p>
    <w:p w14:paraId="4A012B1C">
      <w:pPr>
        <w:widowControl w:val="0"/>
        <w:spacing w:before="0" w:beforeAutospacing="0" w:after="0" w:afterAutospacing="0" w:line="300" w:lineRule="auto"/>
        <w:ind w:firstLine="480" w:firstLineChars="200"/>
        <w:jc w:val="both"/>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szCs w:val="24"/>
          <w:lang w:val="en-US" w:eastAsia="zh-CN" w:bidi="ar"/>
        </w:rPr>
        <w:t>拟建公路地处暖温带大陆性干旱气候区和高原寒带干旱气候区，气候干燥少雨，地表干燥，公路施工过程中会破坏荒漠戈壁的地表砾幕层和植被，结皮下覆盖的沙地将变成沙源，就地起沙，当风速超过一定值后，在失去结皮和植被保护的地表，就会产生风蚀。起沙风速的大小因沙粒粒径的大小和沙层表面的湿度状况不同而不同，一般而言，沙粒的粒径愈大，所需起沙风速愈大。在沙粒粒径相同时，潮湿沙表的起沙风速值需大于干燥沙表的起沙风速值。</w:t>
      </w:r>
    </w:p>
    <w:p w14:paraId="57CD9D49">
      <w:pPr>
        <w:widowControl w:val="0"/>
        <w:spacing w:before="0" w:beforeAutospacing="0" w:after="0" w:afterAutospacing="0" w:line="300" w:lineRule="auto"/>
        <w:ind w:firstLine="480" w:firstLineChars="200"/>
        <w:jc w:val="both"/>
        <w:rPr>
          <w:rFonts w:ascii="Times New Roman" w:hAnsi="Times New Roman" w:eastAsia="宋体" w:cs="Times New Roman"/>
          <w:color w:val="000000"/>
          <w:kern w:val="0"/>
          <w:sz w:val="24"/>
          <w:szCs w:val="24"/>
          <w:lang w:val="en-US" w:eastAsia="zh-CN" w:bidi="ar"/>
        </w:rPr>
      </w:pPr>
      <w:r>
        <w:rPr>
          <w:rFonts w:ascii="Times New Roman" w:hAnsi="Times New Roman" w:eastAsia="宋体" w:cs="Times New Roman"/>
          <w:color w:val="000000"/>
          <w:kern w:val="0"/>
          <w:sz w:val="24"/>
          <w:szCs w:val="24"/>
          <w:lang w:val="en-US" w:eastAsia="zh-CN" w:bidi="ar"/>
        </w:rPr>
        <w:t>拟建公路沿线是水力侵蚀和风力侵蚀为主的地区，部分剥蚀残丘基岩出露，地层物质组成主要为粉砂、细砂和少量砾石混合堆积物质。公路施工需要进行土地平整、路基开挖等作业，这会直接破坏施工区域内的地表植被。而植被具有截留雨水、减缓径流的作用，植被被破坏后，雨水直接冲刷地面，增加了水力侵蚀的强度，容易引发水土流失。风是荒漠化主要自然营力，而被破坏的戈壁下层的沙质土是风对地表重塑的必要条件。在长期风力吹蚀下，裸露地表覆盖物质颗粒相对较粗。项目所在区域最大风速为27m/s，平均风速4.5m/s，大风与沙尘暴日数较多。在3～5月份风速大于4.5m/s的天气经常出现，加之运输车辆的扰动和气候干燥，公路施工期施工场地极易导致风蚀现象发生，严重时易引发沙尘暴。而这一季节正是一年中植被覆盖最少和降水稀少的季节，加上公路施工对地表的破坏，极易产生风蚀，造成荒漠化的局部蔓延，并造成扬沙、浮尘天气的加剧，甚至造成局部沙尘暴的增加。</w:t>
      </w:r>
    </w:p>
    <w:p w14:paraId="317D8015">
      <w:pPr>
        <w:widowControl w:val="0"/>
        <w:spacing w:before="0" w:beforeAutospacing="0" w:after="0" w:afterAutospacing="0" w:line="300" w:lineRule="auto"/>
        <w:ind w:firstLine="480" w:firstLineChars="200"/>
        <w:jc w:val="both"/>
        <w:rPr>
          <w:rFonts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施工期影响：</w:t>
      </w:r>
    </w:p>
    <w:p w14:paraId="765A19A7">
      <w:pPr>
        <w:widowControl w:val="0"/>
        <w:spacing w:before="0" w:beforeAutospacing="0" w:after="0" w:afterAutospacing="0" w:line="300" w:lineRule="auto"/>
        <w:ind w:firstLine="480" w:firstLineChars="200"/>
        <w:jc w:val="both"/>
        <w:rPr>
          <w:rFonts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原生固沙结构破坏，风蚀起沙风险升高：施工期路基开挖、临时占地布设将破坏地表砾幕层、生物结皮与原生沙生植被，导致下伏沙质、砂砾质土壤裸露。项目区春季多大风天气，裸露地表在风力作用下易发生风蚀、就地起沙，加剧局部沙化程度。</w:t>
      </w:r>
    </w:p>
    <w:p w14:paraId="243D655E">
      <w:pPr>
        <w:widowControl w:val="0"/>
        <w:spacing w:before="0" w:beforeAutospacing="0" w:after="0" w:afterAutospacing="0" w:line="300" w:lineRule="auto"/>
        <w:ind w:firstLine="480" w:firstLineChars="200"/>
        <w:jc w:val="both"/>
        <w:rPr>
          <w:rFonts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临时占地裸露期沙化风险：施工便道、表土堆存场、施工营地等临时占地，施工期内地表压实、植被清除，长期裸露状态下受风力侵蚀，可能由原有非沙化 / 轻度沙化土地向中度沙化转化；若表土堆存体防护不当，还可能造成沙土扩散，掩埋周边植被。</w:t>
      </w:r>
    </w:p>
    <w:p w14:paraId="34506D73">
      <w:pPr>
        <w:widowControl w:val="0"/>
        <w:spacing w:before="0" w:beforeAutospacing="0" w:after="0" w:afterAutospacing="0" w:line="300" w:lineRule="auto"/>
        <w:ind w:firstLine="480" w:firstLineChars="200"/>
        <w:jc w:val="both"/>
        <w:rPr>
          <w:rFonts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施工扬尘叠加局地风沙影响：土石方作业、渣土运输产生的施工扬尘，将与区域自然风沙叠加，短时间内提升局地沙尘浓度，对沿线绿洲农田、村庄环境造成短时影响。</w:t>
      </w:r>
    </w:p>
    <w:p w14:paraId="419372B2">
      <w:pPr>
        <w:widowControl w:val="0"/>
        <w:spacing w:before="0" w:beforeAutospacing="0" w:after="0" w:afterAutospacing="0" w:line="300" w:lineRule="auto"/>
        <w:ind w:firstLine="480" w:firstLineChars="200"/>
        <w:jc w:val="both"/>
        <w:rPr>
          <w:rFonts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运营期影响：</w:t>
      </w:r>
    </w:p>
    <w:p w14:paraId="697930A3">
      <w:pPr>
        <w:widowControl w:val="0"/>
        <w:spacing w:before="0" w:beforeAutospacing="0" w:after="0" w:afterAutospacing="0" w:line="300" w:lineRule="auto"/>
        <w:ind w:firstLine="480" w:firstLineChars="200"/>
        <w:jc w:val="both"/>
        <w:rPr>
          <w:rFonts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线性工程阻隔间接影响固沙生态稳定性：公路路基对荒漠生态系统产生空间分割，一定程度上影响沙生植物种群扩散与动物迁徙，长期可能降低周边原生植被群落的稳定性，间接削弱天然固沙能力。</w:t>
      </w:r>
    </w:p>
    <w:p w14:paraId="7329B610">
      <w:pPr>
        <w:widowControl w:val="0"/>
        <w:spacing w:before="0" w:beforeAutospacing="0" w:after="0" w:afterAutospacing="0" w:line="300" w:lineRule="auto"/>
        <w:ind w:firstLine="480" w:firstLineChars="200"/>
        <w:jc w:val="both"/>
        <w:rPr>
          <w:rFonts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局地气流变化引发路基周边风蚀积沙：路基改变近地面气流场，迎风侧可能加剧风蚀、背风侧可能产生积沙，若防护措施不到位，将造成路基周边局部沙化加重，同时风沙流侵蚀、掩埋路面也会影响道路运营安全。</w:t>
      </w:r>
    </w:p>
    <w:p w14:paraId="3A5F4D55">
      <w:pPr>
        <w:widowControl w:val="0"/>
        <w:spacing w:before="0" w:beforeAutospacing="0" w:after="0" w:afterAutospacing="0" w:line="300" w:lineRule="auto"/>
        <w:ind w:firstLine="480" w:firstLineChars="200"/>
        <w:jc w:val="both"/>
        <w:rPr>
          <w:rFonts w:ascii="Times New Roman" w:hAnsi="Times New Roman" w:eastAsia="宋体" w:cs="Times New Roman"/>
          <w:color w:val="000000"/>
          <w:kern w:val="0"/>
          <w:sz w:val="24"/>
          <w:szCs w:val="24"/>
          <w:lang w:val="en-US" w:eastAsia="zh-CN" w:bidi="ar-SA"/>
        </w:rPr>
      </w:pPr>
      <w:r>
        <w:rPr>
          <w:rFonts w:hint="eastAsia" w:ascii="Times New Roman" w:hAnsi="Times New Roman" w:eastAsia="宋体" w:cs="Times New Roman"/>
          <w:color w:val="000000"/>
          <w:kern w:val="0"/>
          <w:sz w:val="24"/>
          <w:szCs w:val="24"/>
          <w:lang w:val="en-US" w:eastAsia="zh-CN" w:bidi="ar"/>
        </w:rPr>
        <w:t>运营期管控不当存在沙化反弹风险：若道路周边生态恢复措施失效、固沙植被退化，沿线扰动裸露区可能出现沙化反弹，与区域沙化治理的整体方向相悖。</w:t>
      </w:r>
    </w:p>
    <w:p w14:paraId="70D624F7">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4"/>
          <w:lang w:bidi="ar"/>
        </w:rPr>
        <w:t>拟建公路施工中要严格控制施工活动范围，尽可能减少对地表植被和砾幕层的扰动。建议路基填挖施工、取土作业应避开3～5月进行，同时在风速大于八级时应停止施工作业，并做好裸露路基边坡、施工场所以及粉状物质材料堆放场的临时覆盖防护措施，定期洒水降尘，利用取土过程中筛出的粒径大于5mm的砾石进行压盖。随着公路完工，公路防风沙工程的实施与发挥效应，公路施工期对沙地植被的破坏和扰动影响将逐步减轻和消除。项目建设不会因</w:t>
      </w:r>
      <w:r>
        <w:rPr>
          <w:rFonts w:hint="eastAsia" w:ascii="Times New Roman" w:hAnsi="Times New Roman" w:eastAsia="宋体" w:cs="Times New Roman"/>
          <w:color w:val="000000"/>
          <w:sz w:val="24"/>
          <w:szCs w:val="24"/>
          <w:lang w:eastAsia="zh-CN" w:bidi="ar"/>
        </w:rPr>
        <w:t>拟建公路</w:t>
      </w:r>
      <w:r>
        <w:rPr>
          <w:rFonts w:ascii="Times New Roman" w:hAnsi="Times New Roman" w:eastAsia="宋体" w:cs="Times New Roman"/>
          <w:color w:val="000000"/>
          <w:sz w:val="24"/>
          <w:szCs w:val="24"/>
          <w:lang w:bidi="ar"/>
        </w:rPr>
        <w:t>建设加重项目区域土地沙化程度。</w:t>
      </w:r>
    </w:p>
    <w:p w14:paraId="03BBDB47">
      <w:pPr>
        <w:ind w:firstLine="480"/>
        <w:rPr>
          <w:rFonts w:cs="Times New Roman"/>
          <w:color w:val="000000"/>
        </w:rPr>
        <w:sectPr>
          <w:headerReference r:id="rId134" w:type="default"/>
          <w:footerReference r:id="rId136" w:type="default"/>
          <w:headerReference r:id="rId135" w:type="even"/>
          <w:footerReference r:id="rId137" w:type="even"/>
          <w:pgSz w:w="11906" w:h="16838"/>
          <w:pgMar w:top="1440" w:right="1797" w:bottom="1559" w:left="1797" w:header="851" w:footer="992" w:gutter="0"/>
          <w:pgBorders>
            <w:top w:val="none" w:sz="0" w:space="0"/>
            <w:left w:val="none" w:sz="0" w:space="0"/>
            <w:bottom w:val="none" w:sz="0" w:space="0"/>
            <w:right w:val="none" w:sz="0" w:space="0"/>
          </w:pgBorders>
          <w:cols w:space="720" w:num="1"/>
          <w:docGrid w:type="lines" w:linePitch="312" w:charSpace="0"/>
        </w:sectPr>
      </w:pPr>
    </w:p>
    <w:p w14:paraId="70F7EEB0">
      <w:pPr>
        <w:keepNext/>
        <w:keepLines/>
        <w:widowControl w:val="0"/>
        <w:numPr>
          <w:ilvl w:val="0"/>
          <w:numId w:val="13"/>
        </w:numPr>
        <w:spacing w:before="480" w:after="480" w:line="240" w:lineRule="auto"/>
        <w:ind w:firstLine="0" w:firstLineChars="0"/>
        <w:jc w:val="center"/>
        <w:outlineLvl w:val="0"/>
        <w:rPr>
          <w:rFonts w:ascii="Times New Roman" w:hAnsi="Times New Roman" w:eastAsia="宋体" w:cs="Times New Roman"/>
          <w:b/>
          <w:bCs/>
          <w:color w:val="000000"/>
          <w:kern w:val="44"/>
          <w:sz w:val="32"/>
          <w:szCs w:val="44"/>
          <w:lang w:val="en-US" w:eastAsia="zh-CN" w:bidi="ar-SA"/>
        </w:rPr>
      </w:pPr>
      <w:bookmarkStart w:id="416" w:name="_Toc219363469"/>
      <w:bookmarkStart w:id="417" w:name="_Toc25834"/>
      <w:r>
        <w:rPr>
          <w:rFonts w:ascii="Times New Roman" w:hAnsi="Times New Roman" w:eastAsia="宋体" w:cs="Times New Roman"/>
          <w:b/>
          <w:bCs/>
          <w:color w:val="000000"/>
          <w:kern w:val="44"/>
          <w:sz w:val="32"/>
          <w:szCs w:val="44"/>
          <w:lang w:val="en-US" w:eastAsia="zh-CN" w:bidi="ar-SA"/>
        </w:rPr>
        <w:t>生态保护措施</w:t>
      </w:r>
      <w:bookmarkEnd w:id="416"/>
      <w:bookmarkEnd w:id="417"/>
    </w:p>
    <w:p w14:paraId="728CC0DB">
      <w:pPr>
        <w:keepNext/>
        <w:keepLines/>
        <w:widowControl w:val="0"/>
        <w:numPr>
          <w:ilvl w:val="1"/>
          <w:numId w:val="13"/>
        </w:numPr>
        <w:spacing w:before="240" w:after="240" w:line="240" w:lineRule="auto"/>
        <w:ind w:firstLine="200" w:firstLineChars="0"/>
        <w:jc w:val="both"/>
        <w:outlineLvl w:val="1"/>
        <w:rPr>
          <w:rFonts w:ascii="Times New Roman" w:hAnsi="Times New Roman" w:eastAsia="宋体" w:cs="Times New Roman"/>
          <w:b/>
          <w:bCs/>
          <w:color w:val="000000"/>
          <w:kern w:val="2"/>
          <w:sz w:val="28"/>
          <w:szCs w:val="32"/>
          <w:lang w:val="en-US" w:eastAsia="zh-CN" w:bidi="ar-SA"/>
        </w:rPr>
      </w:pPr>
      <w:bookmarkStart w:id="418" w:name="_Toc219363470"/>
      <w:bookmarkStart w:id="419" w:name="_Toc173232040"/>
      <w:bookmarkStart w:id="420" w:name="_Toc15262"/>
      <w:bookmarkStart w:id="421" w:name="_Hlk164677360"/>
      <w:r>
        <w:rPr>
          <w:rFonts w:ascii="Times New Roman" w:hAnsi="Times New Roman" w:eastAsia="宋体" w:cs="Times New Roman"/>
          <w:b/>
          <w:bCs/>
          <w:color w:val="000000"/>
          <w:kern w:val="2"/>
          <w:sz w:val="28"/>
          <w:szCs w:val="32"/>
          <w:lang w:val="en-US" w:eastAsia="zh-CN" w:bidi="ar-SA"/>
        </w:rPr>
        <w:t>设计期生态保护措施</w:t>
      </w:r>
      <w:bookmarkEnd w:id="418"/>
      <w:bookmarkEnd w:id="419"/>
      <w:bookmarkEnd w:id="420"/>
    </w:p>
    <w:bookmarkEnd w:id="421"/>
    <w:p w14:paraId="0A08C20C">
      <w:pPr>
        <w:spacing w:line="300" w:lineRule="auto"/>
        <w:ind w:firstLine="480" w:firstLineChars="200"/>
        <w:rPr>
          <w:rFonts w:ascii="Times New Roman" w:hAnsi="Times New Roman" w:eastAsia="宋体" w:cs="Times New Roman"/>
          <w:color w:val="000000"/>
          <w:sz w:val="24"/>
          <w:szCs w:val="22"/>
        </w:rPr>
      </w:pPr>
      <w:bookmarkStart w:id="422" w:name="_Hlk164677394"/>
      <w:r>
        <w:rPr>
          <w:rFonts w:hint="eastAsia" w:ascii="Times New Roman" w:hAnsi="Times New Roman" w:eastAsia="宋体" w:cs="Times New Roman"/>
          <w:color w:val="000000"/>
          <w:kern w:val="0"/>
          <w:sz w:val="24"/>
          <w:szCs w:val="22"/>
          <w:lang w:val="en-US" w:eastAsia="zh-CN"/>
        </w:rPr>
        <w:t xml:space="preserve">1. </w:t>
      </w:r>
      <w:r>
        <w:rPr>
          <w:rFonts w:ascii="Times New Roman" w:hAnsi="Times New Roman" w:eastAsia="宋体" w:cs="Times New Roman"/>
          <w:color w:val="000000"/>
          <w:sz w:val="24"/>
          <w:szCs w:val="22"/>
        </w:rPr>
        <w:t>占地减缓措施</w:t>
      </w:r>
    </w:p>
    <w:p w14:paraId="6342AA23">
      <w:pPr>
        <w:spacing w:line="300" w:lineRule="auto"/>
        <w:ind w:firstLine="480" w:firstLineChars="200"/>
        <w:rPr>
          <w:rFonts w:hint="default" w:ascii="Times New Roman" w:hAnsi="Times New Roman" w:eastAsia="宋体" w:cs="Times New Roman"/>
          <w:color w:val="000000"/>
          <w:sz w:val="24"/>
          <w:szCs w:val="22"/>
        </w:rPr>
      </w:pPr>
      <w:r>
        <w:rPr>
          <w:rFonts w:hint="default" w:ascii="Times New Roman" w:hAnsi="Times New Roman" w:eastAsia="宋体" w:cs="Times New Roman"/>
          <w:color w:val="000000"/>
          <w:kern w:val="0"/>
          <w:sz w:val="24"/>
          <w:szCs w:val="22"/>
          <w:lang w:eastAsia="zh-CN"/>
        </w:rPr>
        <w:t>（</w:t>
      </w:r>
      <w:r>
        <w:rPr>
          <w:rFonts w:hint="default" w:ascii="Times New Roman" w:hAnsi="Times New Roman" w:eastAsia="宋体" w:cs="Times New Roman"/>
          <w:color w:val="000000"/>
          <w:kern w:val="0"/>
          <w:sz w:val="24"/>
          <w:szCs w:val="22"/>
          <w:lang w:val="en-US" w:eastAsia="zh-CN"/>
        </w:rPr>
        <w:t>1</w:t>
      </w:r>
      <w:r>
        <w:rPr>
          <w:rFonts w:hint="default" w:ascii="Times New Roman" w:hAnsi="Times New Roman" w:eastAsia="宋体" w:cs="Times New Roman"/>
          <w:color w:val="000000"/>
          <w:kern w:val="0"/>
          <w:sz w:val="24"/>
          <w:szCs w:val="22"/>
          <w:lang w:eastAsia="zh-CN"/>
        </w:rPr>
        <w:t>）</w:t>
      </w:r>
      <w:r>
        <w:rPr>
          <w:rFonts w:hint="default" w:ascii="Times New Roman" w:hAnsi="Times New Roman" w:eastAsia="宋体" w:cs="Times New Roman"/>
          <w:color w:val="000000"/>
          <w:sz w:val="24"/>
          <w:szCs w:val="22"/>
        </w:rPr>
        <w:t>拟建公路设计阶段，结合当地生态、自然景观、环境敏感区实际情况进行路线方案布设，由于拟建公路为</w:t>
      </w:r>
      <w:r>
        <w:rPr>
          <w:rFonts w:hint="default" w:ascii="Times New Roman" w:hAnsi="Times New Roman" w:eastAsia="宋体" w:cs="Times New Roman"/>
          <w:color w:val="000000"/>
          <w:kern w:val="0"/>
          <w:sz w:val="24"/>
          <w:szCs w:val="22"/>
        </w:rPr>
        <w:t>沿既有道路进行</w:t>
      </w:r>
      <w:bookmarkStart w:id="423" w:name="OLE_LINK22"/>
      <w:r>
        <w:rPr>
          <w:rFonts w:hint="default" w:ascii="Times New Roman" w:hAnsi="Times New Roman" w:eastAsia="宋体" w:cs="Times New Roman"/>
          <w:color w:val="000000"/>
          <w:kern w:val="0"/>
          <w:sz w:val="24"/>
          <w:szCs w:val="22"/>
        </w:rPr>
        <w:t>拼宽扩建</w:t>
      </w:r>
      <w:bookmarkEnd w:id="423"/>
      <w:r>
        <w:rPr>
          <w:rFonts w:hint="default" w:ascii="Times New Roman" w:hAnsi="Times New Roman" w:eastAsia="宋体" w:cs="Times New Roman"/>
          <w:color w:val="000000"/>
          <w:sz w:val="24"/>
          <w:szCs w:val="22"/>
        </w:rPr>
        <w:t>，注重与当地规划相协调，做到经济技术指标高、平纵面线形美观顺畅、工程量小、投资经济、对沿线环境影响小。</w:t>
      </w:r>
    </w:p>
    <w:p w14:paraId="0F85DA7B">
      <w:pPr>
        <w:spacing w:line="300" w:lineRule="auto"/>
        <w:ind w:firstLine="480" w:firstLineChars="200"/>
        <w:rPr>
          <w:rFonts w:hint="default" w:ascii="Times New Roman" w:hAnsi="Times New Roman" w:eastAsia="宋体" w:cs="Times New Roman"/>
          <w:color w:val="000000"/>
          <w:sz w:val="24"/>
          <w:szCs w:val="22"/>
        </w:rPr>
      </w:pPr>
      <w:r>
        <w:rPr>
          <w:rFonts w:hint="default" w:ascii="Times New Roman" w:hAnsi="Times New Roman" w:eastAsia="宋体" w:cs="Times New Roman"/>
          <w:color w:val="000000"/>
          <w:kern w:val="0"/>
          <w:sz w:val="24"/>
          <w:szCs w:val="22"/>
          <w:lang w:eastAsia="zh-CN"/>
        </w:rPr>
        <w:t>（</w:t>
      </w:r>
      <w:r>
        <w:rPr>
          <w:rFonts w:hint="default" w:ascii="Times New Roman" w:hAnsi="Times New Roman" w:eastAsia="宋体" w:cs="Times New Roman"/>
          <w:color w:val="000000"/>
          <w:kern w:val="0"/>
          <w:sz w:val="24"/>
          <w:szCs w:val="22"/>
          <w:lang w:val="en-US" w:eastAsia="zh-CN"/>
        </w:rPr>
        <w:t>2</w:t>
      </w:r>
      <w:r>
        <w:rPr>
          <w:rFonts w:hint="default" w:ascii="Times New Roman" w:hAnsi="Times New Roman" w:eastAsia="宋体" w:cs="Times New Roman"/>
          <w:color w:val="000000"/>
          <w:kern w:val="0"/>
          <w:sz w:val="24"/>
          <w:szCs w:val="22"/>
          <w:lang w:eastAsia="zh-CN"/>
        </w:rPr>
        <w:t>）</w:t>
      </w:r>
      <w:r>
        <w:rPr>
          <w:rFonts w:hint="default" w:ascii="Times New Roman" w:hAnsi="Times New Roman" w:eastAsia="宋体" w:cs="Times New Roman"/>
          <w:color w:val="000000"/>
          <w:sz w:val="24"/>
          <w:szCs w:val="22"/>
        </w:rPr>
        <w:t>拟建公路推荐方案主要占用建设用地。相较于其他项目，已节约用地，</w:t>
      </w:r>
      <w:bookmarkStart w:id="424" w:name="OLE_LINK59"/>
      <w:r>
        <w:rPr>
          <w:rFonts w:hint="default" w:ascii="Times New Roman" w:hAnsi="Times New Roman" w:eastAsia="宋体" w:cs="Times New Roman"/>
          <w:color w:val="000000"/>
          <w:sz w:val="24"/>
          <w:szCs w:val="22"/>
        </w:rPr>
        <w:t>建议耕地段采取降低路基、收缩边坡的措施，以减少占地，减少对农业生产和生态的影响。</w:t>
      </w:r>
      <w:bookmarkEnd w:id="424"/>
    </w:p>
    <w:p w14:paraId="1D1B6B64">
      <w:pPr>
        <w:spacing w:line="300" w:lineRule="auto"/>
        <w:ind w:firstLine="480" w:firstLineChars="200"/>
        <w:rPr>
          <w:rFonts w:hint="default" w:ascii="Times New Roman" w:hAnsi="Times New Roman" w:eastAsia="宋体" w:cs="Times New Roman"/>
          <w:color w:val="000000"/>
          <w:sz w:val="24"/>
          <w:szCs w:val="22"/>
        </w:rPr>
      </w:pPr>
      <w:r>
        <w:rPr>
          <w:rFonts w:hint="default" w:ascii="Times New Roman" w:hAnsi="Times New Roman" w:eastAsia="宋体" w:cs="Times New Roman"/>
          <w:color w:val="000000"/>
          <w:kern w:val="0"/>
          <w:sz w:val="24"/>
          <w:szCs w:val="22"/>
          <w:lang w:val="en-US" w:eastAsia="zh-CN"/>
        </w:rPr>
        <w:t xml:space="preserve">2. </w:t>
      </w:r>
      <w:r>
        <w:rPr>
          <w:rFonts w:hint="default" w:ascii="Times New Roman" w:hAnsi="Times New Roman" w:eastAsia="宋体" w:cs="Times New Roman"/>
          <w:color w:val="000000"/>
          <w:sz w:val="24"/>
          <w:szCs w:val="22"/>
        </w:rPr>
        <w:t>植物资源及植被保护和植被恢复</w:t>
      </w:r>
    </w:p>
    <w:p w14:paraId="3FF3927A">
      <w:pPr>
        <w:spacing w:line="300" w:lineRule="auto"/>
        <w:ind w:firstLine="480" w:firstLineChars="200"/>
        <w:rPr>
          <w:rFonts w:hint="default" w:ascii="Times New Roman" w:hAnsi="Times New Roman" w:eastAsia="宋体" w:cs="Times New Roman"/>
          <w:color w:val="000000"/>
          <w:sz w:val="24"/>
          <w:szCs w:val="22"/>
        </w:rPr>
      </w:pPr>
      <w:r>
        <w:rPr>
          <w:rFonts w:hint="default" w:ascii="Times New Roman" w:hAnsi="Times New Roman" w:eastAsia="宋体" w:cs="Times New Roman"/>
          <w:color w:val="000000"/>
          <w:kern w:val="0"/>
          <w:sz w:val="24"/>
          <w:szCs w:val="22"/>
          <w:lang w:eastAsia="zh-CN"/>
        </w:rPr>
        <w:t>（</w:t>
      </w:r>
      <w:r>
        <w:rPr>
          <w:rFonts w:hint="default" w:ascii="Times New Roman" w:hAnsi="Times New Roman" w:eastAsia="宋体" w:cs="Times New Roman"/>
          <w:color w:val="000000"/>
          <w:kern w:val="0"/>
          <w:sz w:val="24"/>
          <w:szCs w:val="22"/>
          <w:lang w:val="en-US" w:eastAsia="zh-CN"/>
        </w:rPr>
        <w:t>1</w:t>
      </w:r>
      <w:r>
        <w:rPr>
          <w:rFonts w:hint="default" w:ascii="Times New Roman" w:hAnsi="Times New Roman" w:eastAsia="宋体" w:cs="Times New Roman"/>
          <w:color w:val="000000"/>
          <w:kern w:val="0"/>
          <w:sz w:val="24"/>
          <w:szCs w:val="22"/>
          <w:lang w:eastAsia="zh-CN"/>
        </w:rPr>
        <w:t>）</w:t>
      </w:r>
      <w:r>
        <w:rPr>
          <w:rFonts w:hint="default" w:ascii="Times New Roman" w:hAnsi="Times New Roman" w:eastAsia="宋体" w:cs="Times New Roman"/>
          <w:color w:val="000000"/>
          <w:sz w:val="24"/>
          <w:szCs w:val="22"/>
        </w:rPr>
        <w:t>下阶段设计中，应</w:t>
      </w:r>
      <w:r>
        <w:rPr>
          <w:rFonts w:hint="eastAsia" w:ascii="Times New Roman" w:hAnsi="Times New Roman" w:eastAsia="宋体" w:cs="Times New Roman"/>
          <w:color w:val="000000"/>
          <w:sz w:val="24"/>
          <w:szCs w:val="22"/>
          <w:lang w:eastAsia="zh-CN"/>
        </w:rPr>
        <w:t>重视</w:t>
      </w:r>
      <w:r>
        <w:rPr>
          <w:rFonts w:hint="default" w:ascii="Times New Roman" w:hAnsi="Times New Roman" w:eastAsia="宋体" w:cs="Times New Roman"/>
          <w:color w:val="000000"/>
          <w:sz w:val="24"/>
          <w:szCs w:val="22"/>
        </w:rPr>
        <w:t>沿线植被的保护工作，尽量减少因路基填筑占压和开挖砍伐对植被的破坏。</w:t>
      </w:r>
      <w:r>
        <w:rPr>
          <w:rFonts w:hint="eastAsia" w:ascii="Times New Roman" w:hAnsi="Times New Roman" w:eastAsia="宋体" w:cs="Times New Roman"/>
          <w:color w:val="000000"/>
          <w:sz w:val="24"/>
          <w:szCs w:val="22"/>
          <w:lang w:eastAsia="zh-CN"/>
        </w:rPr>
        <w:t>结合</w:t>
      </w:r>
      <w:r>
        <w:rPr>
          <w:rFonts w:hint="default" w:ascii="Times New Roman" w:hAnsi="Times New Roman" w:eastAsia="宋体" w:cs="Times New Roman"/>
          <w:color w:val="000000"/>
          <w:sz w:val="24"/>
          <w:szCs w:val="22"/>
        </w:rPr>
        <w:t>沿线区县生态规划建设的要求，提出详细植被恢复方案，尽量采取乡土树草种进行植被恢复，从而降低对环境的人为破坏。</w:t>
      </w:r>
    </w:p>
    <w:p w14:paraId="7E47202B">
      <w:pPr>
        <w:spacing w:line="300" w:lineRule="auto"/>
        <w:ind w:firstLine="480" w:firstLineChars="200"/>
        <w:rPr>
          <w:rFonts w:hint="default" w:ascii="Times New Roman" w:hAnsi="Times New Roman" w:eastAsia="宋体" w:cs="Times New Roman"/>
          <w:color w:val="000000"/>
          <w:sz w:val="24"/>
          <w:szCs w:val="22"/>
        </w:rPr>
      </w:pPr>
      <w:r>
        <w:rPr>
          <w:rFonts w:hint="default" w:ascii="Times New Roman" w:hAnsi="Times New Roman" w:eastAsia="宋体" w:cs="Times New Roman"/>
          <w:color w:val="000000"/>
          <w:kern w:val="0"/>
          <w:sz w:val="24"/>
          <w:szCs w:val="22"/>
          <w:lang w:eastAsia="zh-CN"/>
        </w:rPr>
        <w:t>（</w:t>
      </w:r>
      <w:r>
        <w:rPr>
          <w:rFonts w:hint="default" w:ascii="Times New Roman" w:hAnsi="Times New Roman" w:eastAsia="宋体" w:cs="Times New Roman"/>
          <w:color w:val="000000"/>
          <w:kern w:val="0"/>
          <w:sz w:val="24"/>
          <w:szCs w:val="22"/>
          <w:lang w:val="en-US" w:eastAsia="zh-CN"/>
        </w:rPr>
        <w:t>2</w:t>
      </w:r>
      <w:r>
        <w:rPr>
          <w:rFonts w:hint="default" w:ascii="Times New Roman" w:hAnsi="Times New Roman" w:eastAsia="宋体" w:cs="Times New Roman"/>
          <w:color w:val="000000"/>
          <w:kern w:val="0"/>
          <w:sz w:val="24"/>
          <w:szCs w:val="22"/>
          <w:lang w:eastAsia="zh-CN"/>
        </w:rPr>
        <w:t>）</w:t>
      </w:r>
      <w:r>
        <w:rPr>
          <w:rFonts w:hint="default" w:ascii="Times New Roman" w:hAnsi="Times New Roman" w:eastAsia="宋体" w:cs="Times New Roman"/>
          <w:color w:val="000000"/>
          <w:sz w:val="24"/>
          <w:szCs w:val="22"/>
        </w:rPr>
        <w:t>在下阶段优化设计方案中，临时用地尽量利用工程征地范围内的土地，使用结束后做好植被恢复工作。</w:t>
      </w:r>
    </w:p>
    <w:p w14:paraId="09AA0743">
      <w:pPr>
        <w:spacing w:line="300" w:lineRule="auto"/>
        <w:ind w:firstLine="480" w:firstLineChars="200"/>
        <w:rPr>
          <w:rFonts w:hint="default" w:ascii="Times New Roman" w:hAnsi="Times New Roman" w:eastAsia="宋体" w:cs="Times New Roman"/>
          <w:color w:val="000000"/>
          <w:sz w:val="24"/>
          <w:szCs w:val="22"/>
        </w:rPr>
      </w:pPr>
      <w:r>
        <w:rPr>
          <w:rFonts w:hint="default" w:ascii="Times New Roman" w:hAnsi="Times New Roman" w:eastAsia="宋体" w:cs="Times New Roman"/>
          <w:color w:val="000000"/>
          <w:kern w:val="0"/>
          <w:sz w:val="24"/>
          <w:szCs w:val="22"/>
          <w:lang w:eastAsia="zh-CN"/>
        </w:rPr>
        <w:t>（</w:t>
      </w:r>
      <w:r>
        <w:rPr>
          <w:rFonts w:hint="default" w:ascii="Times New Roman" w:hAnsi="Times New Roman" w:eastAsia="宋体" w:cs="Times New Roman"/>
          <w:color w:val="000000"/>
          <w:kern w:val="0"/>
          <w:sz w:val="24"/>
          <w:szCs w:val="22"/>
          <w:lang w:val="en-US" w:eastAsia="zh-CN"/>
        </w:rPr>
        <w:t>3</w:t>
      </w:r>
      <w:r>
        <w:rPr>
          <w:rFonts w:hint="default" w:ascii="Times New Roman" w:hAnsi="Times New Roman" w:eastAsia="宋体" w:cs="Times New Roman"/>
          <w:color w:val="000000"/>
          <w:kern w:val="0"/>
          <w:sz w:val="24"/>
          <w:szCs w:val="22"/>
          <w:lang w:eastAsia="zh-CN"/>
        </w:rPr>
        <w:t>）</w:t>
      </w:r>
      <w:r>
        <w:rPr>
          <w:rFonts w:hint="default" w:ascii="Times New Roman" w:hAnsi="Times New Roman" w:eastAsia="宋体" w:cs="Times New Roman"/>
          <w:color w:val="000000"/>
          <w:sz w:val="24"/>
          <w:szCs w:val="22"/>
        </w:rPr>
        <w:t>施工前要按《中华人民共和国森林法》《中华人民共和国草原法》《国家林草局35号令》等文件的要求和规定，依法依规办理建设项目使用林地、草地的审核审批手续。</w:t>
      </w:r>
    </w:p>
    <w:bookmarkEnd w:id="422"/>
    <w:p w14:paraId="6B59CA8C">
      <w:pPr>
        <w:keepNext/>
        <w:keepLines/>
        <w:widowControl w:val="0"/>
        <w:numPr>
          <w:ilvl w:val="1"/>
          <w:numId w:val="13"/>
        </w:numPr>
        <w:spacing w:before="240" w:after="240" w:line="240" w:lineRule="auto"/>
        <w:ind w:firstLine="200" w:firstLineChars="0"/>
        <w:jc w:val="both"/>
        <w:outlineLvl w:val="1"/>
        <w:rPr>
          <w:rFonts w:ascii="Times New Roman" w:hAnsi="Times New Roman" w:eastAsia="宋体" w:cs="Times New Roman"/>
          <w:b/>
          <w:bCs/>
          <w:color w:val="000000"/>
          <w:kern w:val="2"/>
          <w:sz w:val="28"/>
          <w:szCs w:val="32"/>
          <w:lang w:val="en-US" w:eastAsia="zh-CN" w:bidi="ar-SA"/>
        </w:rPr>
      </w:pPr>
      <w:bookmarkStart w:id="425" w:name="_Toc24086"/>
      <w:bookmarkStart w:id="426" w:name="_Toc173232041"/>
      <w:bookmarkStart w:id="427" w:name="_Toc219363471"/>
      <w:r>
        <w:rPr>
          <w:rFonts w:ascii="Times New Roman" w:hAnsi="Times New Roman" w:eastAsia="宋体" w:cs="Times New Roman"/>
          <w:b/>
          <w:bCs/>
          <w:color w:val="000000"/>
          <w:kern w:val="2"/>
          <w:sz w:val="28"/>
          <w:szCs w:val="32"/>
          <w:lang w:val="en-US" w:eastAsia="zh-CN" w:bidi="ar-SA"/>
        </w:rPr>
        <w:t>施工期生态保护措施</w:t>
      </w:r>
      <w:bookmarkEnd w:id="425"/>
      <w:bookmarkEnd w:id="426"/>
      <w:bookmarkEnd w:id="427"/>
    </w:p>
    <w:p w14:paraId="20AB62D3">
      <w:pPr>
        <w:autoSpaceDE w:val="0"/>
        <w:autoSpaceDN w:val="0"/>
        <w:adjustRightInd w:val="0"/>
        <w:spacing w:line="300" w:lineRule="auto"/>
        <w:ind w:firstLine="480" w:firstLineChars="200"/>
        <w:rPr>
          <w:rFonts w:hint="default" w:ascii="Times New Roman" w:hAnsi="Times New Roman" w:eastAsia="宋体" w:cs="Times New Roman"/>
          <w:color w:val="000000"/>
          <w:kern w:val="0"/>
          <w:sz w:val="24"/>
          <w:szCs w:val="22"/>
        </w:rPr>
      </w:pPr>
      <w:bookmarkStart w:id="428" w:name="OLE_LINK15"/>
      <w:bookmarkStart w:id="429" w:name="_Toc219363472"/>
      <w:bookmarkStart w:id="430" w:name="_Toc173232042"/>
      <w:bookmarkStart w:id="431" w:name="_Toc173232043"/>
      <w:r>
        <w:rPr>
          <w:rFonts w:hint="default" w:ascii="Times New Roman" w:hAnsi="Times New Roman" w:eastAsia="宋体" w:cs="Times New Roman"/>
          <w:color w:val="000000"/>
          <w:kern w:val="0"/>
          <w:sz w:val="24"/>
          <w:szCs w:val="22"/>
          <w:lang w:val="en-US" w:eastAsia="zh-CN"/>
        </w:rPr>
        <w:t xml:space="preserve">1. </w:t>
      </w:r>
      <w:r>
        <w:rPr>
          <w:rFonts w:hint="default" w:ascii="Times New Roman" w:hAnsi="Times New Roman" w:eastAsia="宋体" w:cs="Times New Roman"/>
          <w:color w:val="000000"/>
          <w:kern w:val="0"/>
          <w:sz w:val="24"/>
          <w:szCs w:val="22"/>
        </w:rPr>
        <w:t>生态环保宣传教育与管理制度</w:t>
      </w:r>
    </w:p>
    <w:p w14:paraId="69FB0D9E">
      <w:pPr>
        <w:autoSpaceDE w:val="0"/>
        <w:autoSpaceDN w:val="0"/>
        <w:adjustRightInd w:val="0"/>
        <w:spacing w:line="300" w:lineRule="auto"/>
        <w:ind w:firstLine="480" w:firstLineChars="200"/>
        <w:rPr>
          <w:rFonts w:hint="default" w:ascii="Times New Roman" w:hAnsi="Times New Roman" w:eastAsia="宋体" w:cs="Times New Roman"/>
          <w:color w:val="000000"/>
          <w:kern w:val="0"/>
          <w:sz w:val="24"/>
          <w:szCs w:val="22"/>
        </w:rPr>
      </w:pPr>
      <w:r>
        <w:rPr>
          <w:rFonts w:hint="default" w:ascii="Times New Roman" w:hAnsi="Times New Roman" w:eastAsia="宋体" w:cs="Times New Roman"/>
          <w:color w:val="000000"/>
          <w:kern w:val="0"/>
          <w:sz w:val="24"/>
          <w:szCs w:val="22"/>
          <w:lang w:eastAsia="zh-CN"/>
        </w:rPr>
        <w:t>（</w:t>
      </w:r>
      <w:r>
        <w:rPr>
          <w:rFonts w:hint="default" w:ascii="Times New Roman" w:hAnsi="Times New Roman" w:eastAsia="宋体" w:cs="Times New Roman"/>
          <w:color w:val="000000"/>
          <w:kern w:val="0"/>
          <w:sz w:val="24"/>
          <w:szCs w:val="22"/>
          <w:lang w:val="en-US" w:eastAsia="zh-CN"/>
        </w:rPr>
        <w:t>1</w:t>
      </w:r>
      <w:r>
        <w:rPr>
          <w:rFonts w:hint="default" w:ascii="Times New Roman" w:hAnsi="Times New Roman" w:eastAsia="宋体" w:cs="Times New Roman"/>
          <w:color w:val="000000"/>
          <w:kern w:val="0"/>
          <w:sz w:val="24"/>
          <w:szCs w:val="22"/>
          <w:lang w:eastAsia="zh-CN"/>
        </w:rPr>
        <w:t>）</w:t>
      </w:r>
      <w:r>
        <w:rPr>
          <w:rFonts w:hint="default" w:ascii="Times New Roman" w:hAnsi="Times New Roman" w:eastAsia="宋体" w:cs="Times New Roman"/>
          <w:color w:val="000000"/>
          <w:kern w:val="0"/>
          <w:sz w:val="24"/>
          <w:szCs w:val="22"/>
        </w:rPr>
        <w:t>施工进场前全员宣传教育</w:t>
      </w:r>
    </w:p>
    <w:p w14:paraId="5F4665DA">
      <w:pPr>
        <w:autoSpaceDE w:val="0"/>
        <w:autoSpaceDN w:val="0"/>
        <w:adjustRightInd w:val="0"/>
        <w:spacing w:line="300" w:lineRule="auto"/>
        <w:ind w:firstLine="480" w:firstLineChars="200"/>
        <w:rPr>
          <w:rFonts w:hint="default" w:ascii="Times New Roman" w:hAnsi="Times New Roman" w:eastAsia="宋体" w:cs="Times New Roman"/>
          <w:color w:val="000000"/>
          <w:kern w:val="0"/>
          <w:sz w:val="24"/>
          <w:szCs w:val="22"/>
        </w:rPr>
      </w:pPr>
      <w:r>
        <w:rPr>
          <w:rFonts w:hint="default" w:ascii="Times New Roman" w:hAnsi="Times New Roman" w:eastAsia="宋体" w:cs="Times New Roman"/>
          <w:color w:val="000000"/>
          <w:kern w:val="0"/>
          <w:sz w:val="24"/>
          <w:szCs w:val="22"/>
        </w:rPr>
        <w:t>在工地及周边区域设立生态保护科普宣传牌，内容涵盖生态保护常识、相关法律法规、</w:t>
      </w:r>
      <w:r>
        <w:rPr>
          <w:rFonts w:hint="eastAsia" w:ascii="Times New Roman" w:hAnsi="Times New Roman" w:eastAsia="宋体" w:cs="Times New Roman"/>
          <w:color w:val="000000"/>
          <w:kern w:val="0"/>
          <w:sz w:val="24"/>
          <w:szCs w:val="22"/>
          <w:lang w:eastAsia="zh-CN"/>
        </w:rPr>
        <w:t>拟建公路</w:t>
      </w:r>
      <w:r>
        <w:rPr>
          <w:rFonts w:hint="default" w:ascii="Times New Roman" w:hAnsi="Times New Roman" w:eastAsia="宋体" w:cs="Times New Roman"/>
          <w:color w:val="000000"/>
          <w:kern w:val="0"/>
          <w:sz w:val="24"/>
          <w:szCs w:val="22"/>
        </w:rPr>
        <w:t>拟采取的生态保护措施及实施意义。向全体施工人员分发野生动物保护宣传资料，严禁施工人员捕杀、伤害野生动物，禁止捡拾鸟蛋、破坏巢穴等行为。涉水工程开工前，对所有施工人员进行鱼类保护知识培训，明确禁止捕捞、伤害鱼类，禁止向河道丢弃任何废弃物。</w:t>
      </w:r>
    </w:p>
    <w:p w14:paraId="2ABE34E9">
      <w:pPr>
        <w:autoSpaceDE w:val="0"/>
        <w:autoSpaceDN w:val="0"/>
        <w:adjustRightInd w:val="0"/>
        <w:spacing w:line="300" w:lineRule="auto"/>
        <w:ind w:firstLine="480" w:firstLineChars="200"/>
        <w:rPr>
          <w:rFonts w:hint="default" w:ascii="Times New Roman" w:hAnsi="Times New Roman" w:eastAsia="宋体" w:cs="Times New Roman"/>
          <w:color w:val="000000"/>
          <w:kern w:val="0"/>
          <w:sz w:val="24"/>
          <w:szCs w:val="22"/>
        </w:rPr>
      </w:pPr>
      <w:r>
        <w:rPr>
          <w:rFonts w:hint="default" w:ascii="Times New Roman" w:hAnsi="Times New Roman" w:eastAsia="宋体" w:cs="Times New Roman"/>
          <w:color w:val="000000"/>
          <w:kern w:val="0"/>
          <w:sz w:val="24"/>
          <w:szCs w:val="22"/>
          <w:lang w:eastAsia="zh-CN"/>
        </w:rPr>
        <w:t>（</w:t>
      </w:r>
      <w:r>
        <w:rPr>
          <w:rFonts w:hint="default" w:ascii="Times New Roman" w:hAnsi="Times New Roman" w:eastAsia="宋体" w:cs="Times New Roman"/>
          <w:color w:val="000000"/>
          <w:kern w:val="0"/>
          <w:sz w:val="24"/>
          <w:szCs w:val="22"/>
          <w:lang w:val="en-US" w:eastAsia="zh-CN"/>
        </w:rPr>
        <w:t>2</w:t>
      </w:r>
      <w:r>
        <w:rPr>
          <w:rFonts w:hint="default" w:ascii="Times New Roman" w:hAnsi="Times New Roman" w:eastAsia="宋体" w:cs="Times New Roman"/>
          <w:color w:val="000000"/>
          <w:kern w:val="0"/>
          <w:sz w:val="24"/>
          <w:szCs w:val="22"/>
          <w:lang w:eastAsia="zh-CN"/>
        </w:rPr>
        <w:t>）</w:t>
      </w:r>
      <w:r>
        <w:rPr>
          <w:rFonts w:hint="default" w:ascii="Times New Roman" w:hAnsi="Times New Roman" w:eastAsia="宋体" w:cs="Times New Roman"/>
          <w:color w:val="000000"/>
          <w:kern w:val="0"/>
          <w:sz w:val="24"/>
          <w:szCs w:val="22"/>
        </w:rPr>
        <w:t>绿色施工制度建设</w:t>
      </w:r>
    </w:p>
    <w:p w14:paraId="5E00AAE1">
      <w:pPr>
        <w:autoSpaceDE w:val="0"/>
        <w:autoSpaceDN w:val="0"/>
        <w:adjustRightInd w:val="0"/>
        <w:spacing w:line="300" w:lineRule="auto"/>
        <w:ind w:firstLine="480" w:firstLineChars="200"/>
        <w:rPr>
          <w:rFonts w:hint="default" w:ascii="Times New Roman" w:hAnsi="Times New Roman" w:eastAsia="宋体" w:cs="Times New Roman"/>
          <w:color w:val="000000"/>
          <w:kern w:val="0"/>
          <w:sz w:val="24"/>
          <w:szCs w:val="22"/>
        </w:rPr>
      </w:pPr>
      <w:r>
        <w:rPr>
          <w:rFonts w:hint="default" w:ascii="Times New Roman" w:hAnsi="Times New Roman" w:eastAsia="宋体" w:cs="Times New Roman"/>
          <w:color w:val="000000"/>
          <w:kern w:val="0"/>
          <w:sz w:val="24"/>
          <w:szCs w:val="22"/>
        </w:rPr>
        <w:t>将绿色施工、环境保护、水土保持相关要求纳入招标文件及施工合同，明确施工单位的生态保护责任。</w:t>
      </w:r>
    </w:p>
    <w:p w14:paraId="5AA86A94">
      <w:pPr>
        <w:autoSpaceDE w:val="0"/>
        <w:autoSpaceDN w:val="0"/>
        <w:adjustRightInd w:val="0"/>
        <w:spacing w:line="300" w:lineRule="auto"/>
        <w:ind w:firstLine="480" w:firstLineChars="200"/>
        <w:rPr>
          <w:rFonts w:hint="default" w:ascii="Times New Roman" w:hAnsi="Times New Roman" w:eastAsia="宋体" w:cs="Times New Roman"/>
          <w:color w:val="000000"/>
          <w:kern w:val="0"/>
          <w:sz w:val="24"/>
          <w:szCs w:val="22"/>
        </w:rPr>
      </w:pPr>
      <w:r>
        <w:rPr>
          <w:rFonts w:hint="default" w:ascii="Times New Roman" w:hAnsi="Times New Roman" w:eastAsia="宋体" w:cs="Times New Roman"/>
          <w:color w:val="000000"/>
          <w:kern w:val="0"/>
          <w:sz w:val="24"/>
          <w:szCs w:val="22"/>
          <w:lang w:val="en-US" w:eastAsia="zh-CN"/>
        </w:rPr>
        <w:t xml:space="preserve">2. </w:t>
      </w:r>
      <w:r>
        <w:rPr>
          <w:rFonts w:hint="default" w:ascii="Times New Roman" w:hAnsi="Times New Roman" w:eastAsia="宋体" w:cs="Times New Roman"/>
          <w:color w:val="000000"/>
          <w:kern w:val="0"/>
          <w:sz w:val="24"/>
          <w:szCs w:val="22"/>
        </w:rPr>
        <w:t>植物资源保护与恢复措施</w:t>
      </w:r>
    </w:p>
    <w:p w14:paraId="0A0D9EBD">
      <w:pPr>
        <w:autoSpaceDE w:val="0"/>
        <w:autoSpaceDN w:val="0"/>
        <w:adjustRightInd w:val="0"/>
        <w:spacing w:line="300" w:lineRule="auto"/>
        <w:ind w:firstLine="480" w:firstLineChars="200"/>
        <w:rPr>
          <w:rFonts w:hint="default" w:ascii="Times New Roman" w:hAnsi="Times New Roman" w:eastAsia="宋体" w:cs="Times New Roman"/>
          <w:color w:val="000000"/>
          <w:kern w:val="0"/>
          <w:sz w:val="24"/>
          <w:szCs w:val="22"/>
        </w:rPr>
      </w:pPr>
      <w:r>
        <w:rPr>
          <w:rFonts w:hint="default" w:ascii="Times New Roman" w:hAnsi="Times New Roman" w:eastAsia="宋体" w:cs="Times New Roman"/>
          <w:color w:val="000000"/>
          <w:kern w:val="0"/>
          <w:sz w:val="24"/>
          <w:szCs w:val="22"/>
          <w:lang w:eastAsia="zh-CN"/>
        </w:rPr>
        <w:t>（</w:t>
      </w:r>
      <w:r>
        <w:rPr>
          <w:rFonts w:hint="default" w:ascii="Times New Roman" w:hAnsi="Times New Roman" w:eastAsia="宋体" w:cs="Times New Roman"/>
          <w:color w:val="000000"/>
          <w:kern w:val="0"/>
          <w:sz w:val="24"/>
          <w:szCs w:val="22"/>
          <w:lang w:val="en-US" w:eastAsia="zh-CN"/>
        </w:rPr>
        <w:t>1</w:t>
      </w:r>
      <w:r>
        <w:rPr>
          <w:rFonts w:hint="default" w:ascii="Times New Roman" w:hAnsi="Times New Roman" w:eastAsia="宋体" w:cs="Times New Roman"/>
          <w:color w:val="000000"/>
          <w:kern w:val="0"/>
          <w:sz w:val="24"/>
          <w:szCs w:val="22"/>
          <w:lang w:eastAsia="zh-CN"/>
        </w:rPr>
        <w:t>）</w:t>
      </w:r>
      <w:r>
        <w:rPr>
          <w:rFonts w:hint="default" w:ascii="Times New Roman" w:hAnsi="Times New Roman" w:eastAsia="宋体" w:cs="Times New Roman"/>
          <w:color w:val="000000"/>
          <w:kern w:val="0"/>
          <w:sz w:val="24"/>
          <w:szCs w:val="22"/>
        </w:rPr>
        <w:t>严格施工边界管控：</w:t>
      </w:r>
      <w:bookmarkStart w:id="432" w:name="OLE_LINK58"/>
      <w:r>
        <w:rPr>
          <w:rFonts w:hint="default" w:ascii="Times New Roman" w:hAnsi="Times New Roman" w:eastAsia="宋体" w:cs="Times New Roman"/>
          <w:color w:val="000000"/>
          <w:kern w:val="0"/>
          <w:sz w:val="24"/>
          <w:szCs w:val="22"/>
        </w:rPr>
        <w:t>严格按照设计文件划定的征占地范围，在开工前对永久占地、临时占地全部现场放线定界，通过界桩、彩条旗、临时围挡明确施工作业红线，严禁施工人员、机械、物料超出划定范围作业。沙化土地路段，即</w:t>
      </w:r>
      <w:r>
        <w:rPr>
          <w:rFonts w:hint="default" w:ascii="Times New Roman" w:hAnsi="Times New Roman" w:eastAsia="宋体" w:cs="Times New Roman"/>
          <w:color w:val="000000"/>
          <w:sz w:val="24"/>
          <w:szCs w:val="22"/>
        </w:rPr>
        <w:t>K0+000~K1+100、K4+100~K6+500、K11+000~K14+000路段</w:t>
      </w:r>
      <w:r>
        <w:rPr>
          <w:rFonts w:hint="default" w:ascii="Times New Roman" w:hAnsi="Times New Roman" w:eastAsia="宋体" w:cs="Times New Roman"/>
          <w:color w:val="000000"/>
          <w:kern w:val="0"/>
          <w:sz w:val="24"/>
          <w:szCs w:val="22"/>
        </w:rPr>
        <w:t>加密界桩布设，设置生态保护警示标识，明确越界扰动的管控罚则，禁止超界施工破坏征地范围外的原生植被。</w:t>
      </w:r>
      <w:bookmarkEnd w:id="432"/>
      <w:r>
        <w:rPr>
          <w:rFonts w:hint="default" w:ascii="Times New Roman" w:hAnsi="Times New Roman" w:eastAsia="宋体" w:cs="Times New Roman"/>
          <w:color w:val="000000"/>
          <w:kern w:val="0"/>
          <w:sz w:val="24"/>
          <w:szCs w:val="22"/>
        </w:rPr>
        <w:t>严格控制路基开挖范围和深度，避免超挖扰动周边土壤和植被根系。</w:t>
      </w:r>
    </w:p>
    <w:p w14:paraId="478F6C83">
      <w:pPr>
        <w:autoSpaceDE w:val="0"/>
        <w:autoSpaceDN w:val="0"/>
        <w:adjustRightInd w:val="0"/>
        <w:spacing w:line="300" w:lineRule="auto"/>
        <w:ind w:firstLine="480" w:firstLineChars="200"/>
        <w:rPr>
          <w:rFonts w:hint="default" w:ascii="Times New Roman" w:hAnsi="Times New Roman" w:eastAsia="宋体" w:cs="Times New Roman"/>
          <w:color w:val="000000"/>
          <w:kern w:val="0"/>
          <w:sz w:val="24"/>
          <w:szCs w:val="22"/>
        </w:rPr>
      </w:pPr>
      <w:r>
        <w:rPr>
          <w:rFonts w:hint="default" w:ascii="Times New Roman" w:hAnsi="Times New Roman" w:eastAsia="宋体" w:cs="Times New Roman"/>
          <w:color w:val="000000"/>
          <w:kern w:val="0"/>
          <w:sz w:val="24"/>
          <w:szCs w:val="22"/>
          <w:lang w:eastAsia="zh-CN"/>
        </w:rPr>
        <w:t>（</w:t>
      </w:r>
      <w:r>
        <w:rPr>
          <w:rFonts w:hint="default" w:ascii="Times New Roman" w:hAnsi="Times New Roman" w:eastAsia="宋体" w:cs="Times New Roman"/>
          <w:color w:val="000000"/>
          <w:kern w:val="0"/>
          <w:sz w:val="24"/>
          <w:szCs w:val="22"/>
          <w:lang w:val="en-US" w:eastAsia="zh-CN"/>
        </w:rPr>
        <w:t>2</w:t>
      </w:r>
      <w:r>
        <w:rPr>
          <w:rFonts w:hint="default" w:ascii="Times New Roman" w:hAnsi="Times New Roman" w:eastAsia="宋体" w:cs="Times New Roman"/>
          <w:color w:val="000000"/>
          <w:kern w:val="0"/>
          <w:sz w:val="24"/>
          <w:szCs w:val="22"/>
          <w:lang w:eastAsia="zh-CN"/>
        </w:rPr>
        <w:t>）</w:t>
      </w:r>
      <w:r>
        <w:rPr>
          <w:rFonts w:hint="default" w:ascii="Times New Roman" w:hAnsi="Times New Roman" w:eastAsia="宋体" w:cs="Times New Roman"/>
          <w:color w:val="000000"/>
          <w:kern w:val="0"/>
          <w:sz w:val="24"/>
          <w:szCs w:val="22"/>
        </w:rPr>
        <w:t>表土剥离与专项保护</w:t>
      </w:r>
    </w:p>
    <w:p w14:paraId="77A7AE67">
      <w:pPr>
        <w:autoSpaceDE w:val="0"/>
        <w:autoSpaceDN w:val="0"/>
        <w:adjustRightInd w:val="0"/>
        <w:spacing w:line="300" w:lineRule="auto"/>
        <w:ind w:firstLine="480" w:firstLineChars="200"/>
        <w:rPr>
          <w:rFonts w:hint="default" w:ascii="Times New Roman" w:hAnsi="Times New Roman" w:eastAsia="宋体" w:cs="Times New Roman"/>
          <w:color w:val="000000"/>
          <w:kern w:val="0"/>
          <w:sz w:val="24"/>
          <w:szCs w:val="22"/>
        </w:rPr>
      </w:pPr>
      <w:r>
        <w:rPr>
          <w:rFonts w:hint="default" w:ascii="Times New Roman" w:hAnsi="Times New Roman" w:eastAsia="宋体" w:cs="Times New Roman"/>
          <w:color w:val="000000"/>
          <w:kern w:val="0"/>
          <w:sz w:val="24"/>
          <w:szCs w:val="22"/>
        </w:rPr>
        <w:t>路基、弃渣场及各类临时工程施工前，对占用土地的耕作层进行剥离，具体剥离标准如下：</w:t>
      </w:r>
    </w:p>
    <w:p w14:paraId="640817AB">
      <w:pPr>
        <w:autoSpaceDE w:val="0"/>
        <w:autoSpaceDN w:val="0"/>
        <w:adjustRightInd w:val="0"/>
        <w:spacing w:line="300" w:lineRule="auto"/>
        <w:ind w:firstLine="480" w:firstLineChars="200"/>
        <w:rPr>
          <w:rFonts w:hint="default" w:ascii="Times New Roman" w:hAnsi="Times New Roman" w:eastAsia="宋体" w:cs="Times New Roman"/>
          <w:color w:val="000000"/>
          <w:kern w:val="0"/>
          <w:sz w:val="24"/>
          <w:szCs w:val="22"/>
        </w:rPr>
      </w:pPr>
      <w:r>
        <w:rPr>
          <w:rFonts w:hint="default" w:ascii="Times New Roman" w:hAnsi="Times New Roman" w:eastAsia="宋体" w:cs="Times New Roman"/>
          <w:color w:val="000000"/>
          <w:kern w:val="0"/>
          <w:sz w:val="24"/>
          <w:szCs w:val="22"/>
        </w:rPr>
        <w:t>①</w:t>
      </w:r>
      <w:r>
        <w:rPr>
          <w:rFonts w:hint="default" w:ascii="Times New Roman" w:hAnsi="Times New Roman" w:eastAsia="宋体" w:cs="Times New Roman"/>
          <w:color w:val="000000"/>
          <w:kern w:val="0"/>
          <w:sz w:val="24"/>
          <w:szCs w:val="22"/>
          <w:lang w:val="en-US" w:eastAsia="zh-CN"/>
        </w:rPr>
        <w:t xml:space="preserve"> </w:t>
      </w:r>
      <w:r>
        <w:rPr>
          <w:rFonts w:hint="default" w:ascii="Times New Roman" w:hAnsi="Times New Roman" w:eastAsia="宋体" w:cs="Times New Roman"/>
          <w:color w:val="000000"/>
          <w:kern w:val="0"/>
          <w:sz w:val="24"/>
          <w:szCs w:val="22"/>
        </w:rPr>
        <w:t>耕地（含水浇地、园地）：统一剥离厚度 30cm，对应耕作层熟化土壤，单独收集存放，专项用于后期耕地复垦、土地整治。</w:t>
      </w:r>
    </w:p>
    <w:p w14:paraId="2580DA0F">
      <w:pPr>
        <w:autoSpaceDE w:val="0"/>
        <w:autoSpaceDN w:val="0"/>
        <w:adjustRightInd w:val="0"/>
        <w:spacing w:line="300" w:lineRule="auto"/>
        <w:ind w:firstLine="480" w:firstLineChars="200"/>
        <w:rPr>
          <w:rFonts w:hint="default" w:ascii="Times New Roman" w:hAnsi="Times New Roman" w:eastAsia="宋体" w:cs="Times New Roman"/>
          <w:color w:val="000000"/>
          <w:kern w:val="0"/>
          <w:sz w:val="24"/>
          <w:szCs w:val="22"/>
        </w:rPr>
      </w:pPr>
      <w:r>
        <w:rPr>
          <w:rFonts w:hint="default" w:ascii="Times New Roman" w:hAnsi="Times New Roman" w:eastAsia="宋体" w:cs="Times New Roman"/>
          <w:color w:val="000000"/>
          <w:kern w:val="0"/>
          <w:sz w:val="24"/>
          <w:szCs w:val="22"/>
        </w:rPr>
        <w:t>②</w:t>
      </w:r>
      <w:r>
        <w:rPr>
          <w:rFonts w:hint="default" w:ascii="Times New Roman" w:hAnsi="Times New Roman" w:eastAsia="宋体" w:cs="Times New Roman"/>
          <w:color w:val="000000"/>
          <w:kern w:val="0"/>
          <w:sz w:val="24"/>
          <w:szCs w:val="22"/>
          <w:lang w:val="en-US" w:eastAsia="zh-CN"/>
        </w:rPr>
        <w:t xml:space="preserve"> </w:t>
      </w:r>
      <w:r>
        <w:rPr>
          <w:rFonts w:hint="default" w:ascii="Times New Roman" w:hAnsi="Times New Roman" w:eastAsia="宋体" w:cs="Times New Roman"/>
          <w:color w:val="000000"/>
          <w:kern w:val="0"/>
          <w:sz w:val="24"/>
          <w:szCs w:val="22"/>
        </w:rPr>
        <w:t>林地、草地：剥离厚度10cm，对应地表腐殖质层与根系层，单独堆放，专项用于后期路基边坡绿化、临时占地植被恢复。</w:t>
      </w:r>
    </w:p>
    <w:p w14:paraId="5B3A2A3E">
      <w:pPr>
        <w:autoSpaceDE w:val="0"/>
        <w:autoSpaceDN w:val="0"/>
        <w:adjustRightInd w:val="0"/>
        <w:spacing w:line="300" w:lineRule="auto"/>
        <w:ind w:firstLine="480" w:firstLineChars="200"/>
        <w:rPr>
          <w:rFonts w:hint="default" w:ascii="Times New Roman" w:hAnsi="Times New Roman" w:eastAsia="宋体" w:cs="Times New Roman"/>
          <w:color w:val="000000"/>
          <w:kern w:val="0"/>
          <w:sz w:val="24"/>
          <w:szCs w:val="22"/>
        </w:rPr>
      </w:pPr>
      <w:r>
        <w:rPr>
          <w:rFonts w:hint="default" w:ascii="Times New Roman" w:hAnsi="Times New Roman" w:eastAsia="宋体" w:cs="Times New Roman"/>
          <w:color w:val="000000"/>
          <w:kern w:val="0"/>
          <w:sz w:val="24"/>
          <w:szCs w:val="22"/>
        </w:rPr>
        <w:t>③</w:t>
      </w:r>
      <w:r>
        <w:rPr>
          <w:rFonts w:hint="default" w:ascii="Times New Roman" w:hAnsi="Times New Roman" w:eastAsia="宋体" w:cs="Times New Roman"/>
          <w:color w:val="000000"/>
          <w:kern w:val="0"/>
          <w:sz w:val="24"/>
          <w:szCs w:val="22"/>
          <w:lang w:val="en-US" w:eastAsia="zh-CN"/>
        </w:rPr>
        <w:t xml:space="preserve"> </w:t>
      </w:r>
      <w:r>
        <w:rPr>
          <w:rFonts w:hint="default" w:ascii="Times New Roman" w:hAnsi="Times New Roman" w:eastAsia="宋体" w:cs="Times New Roman"/>
          <w:color w:val="000000"/>
          <w:kern w:val="0"/>
          <w:sz w:val="24"/>
          <w:szCs w:val="22"/>
        </w:rPr>
        <w:t>沙化/盐碱荒漠段：单独剥离表层砾幕层与生物结皮层，独立存放，专项用于荒漠段施工后地表原位回铺，恢复原生防风固沙结构。</w:t>
      </w:r>
    </w:p>
    <w:p w14:paraId="00AA5AA1">
      <w:pPr>
        <w:autoSpaceDE w:val="0"/>
        <w:autoSpaceDN w:val="0"/>
        <w:adjustRightInd w:val="0"/>
        <w:spacing w:line="300" w:lineRule="auto"/>
        <w:ind w:firstLine="480" w:firstLineChars="200"/>
        <w:rPr>
          <w:rFonts w:hint="default" w:ascii="Times New Roman" w:hAnsi="Times New Roman" w:eastAsia="宋体" w:cs="Times New Roman"/>
          <w:color w:val="000000"/>
          <w:kern w:val="0"/>
          <w:sz w:val="24"/>
          <w:szCs w:val="22"/>
        </w:rPr>
      </w:pPr>
      <w:r>
        <w:rPr>
          <w:rFonts w:hint="default" w:ascii="Times New Roman" w:hAnsi="Times New Roman" w:eastAsia="宋体" w:cs="Times New Roman"/>
          <w:color w:val="000000"/>
          <w:kern w:val="0"/>
          <w:sz w:val="24"/>
          <w:szCs w:val="22"/>
        </w:rPr>
        <w:t>严禁混杂堆放：不同地类、不同土层的表土分类剥离、分区堆存，禁止耕作层熟土与深层生土、盐碱土、建筑垃圾混杂，从源头保障回填利用质量。</w:t>
      </w:r>
    </w:p>
    <w:p w14:paraId="5B185C15">
      <w:pPr>
        <w:autoSpaceDE w:val="0"/>
        <w:autoSpaceDN w:val="0"/>
        <w:adjustRightInd w:val="0"/>
        <w:spacing w:line="300" w:lineRule="auto"/>
        <w:ind w:firstLine="480" w:firstLineChars="200"/>
        <w:rPr>
          <w:rFonts w:hint="default" w:ascii="Times New Roman" w:hAnsi="Times New Roman" w:eastAsia="宋体" w:cs="Times New Roman"/>
          <w:color w:val="000000"/>
          <w:kern w:val="0"/>
          <w:sz w:val="24"/>
          <w:szCs w:val="22"/>
        </w:rPr>
      </w:pPr>
      <w:r>
        <w:rPr>
          <w:rFonts w:hint="default" w:ascii="Times New Roman" w:hAnsi="Times New Roman" w:eastAsia="宋体" w:cs="Times New Roman"/>
          <w:color w:val="000000"/>
          <w:kern w:val="0"/>
          <w:sz w:val="24"/>
          <w:szCs w:val="22"/>
        </w:rPr>
        <w:t>对剥离的表土进行集中分层堆放。表土堆存场全部设置在工程永久占地或临时占地范围内，优先利用路基两侧闲置空地，不占用优质耕地、不临近河流水体，避开低洼易积水区域与大风主迎风面。采用分层堆叠方式，每层堆放厚度控制在 30～50cm，自然轻堆、避免过度碾压破坏土壤团粒结构。不同类型表土堆体设置标识牌，标注表土类型、来源桩号、堆存方量、指定用途，避免后续回填混用。所有表土堆体采用防尘网全覆盖，干旱大风季节加密巡查，苫盖破损及时修补，抑制风力侵蚀与扬尘；降雨前加固苫盖固定，防止雨水冲刷造成表土流失、肥力下降。表土堆存区周边严禁堆放油料、化学品、建筑垃圾等污染物，禁止施工机械在表土堆体上碾压；若发生油污渗漏，立即将受污染土壤清理并单独转运处置，严禁混入耕作层表土。耕地耕作层表土堆存区设置专用隔离带，防止周边盐碱土、生土混入，保障复耕土壤质量。</w:t>
      </w:r>
    </w:p>
    <w:p w14:paraId="6CC35CCE">
      <w:pPr>
        <w:autoSpaceDE w:val="0"/>
        <w:autoSpaceDN w:val="0"/>
        <w:adjustRightInd w:val="0"/>
        <w:spacing w:line="300" w:lineRule="auto"/>
        <w:ind w:firstLine="480" w:firstLineChars="200"/>
        <w:rPr>
          <w:rFonts w:hint="default" w:ascii="Times New Roman" w:hAnsi="Times New Roman" w:eastAsia="宋体" w:cs="Times New Roman"/>
          <w:color w:val="000000"/>
          <w:kern w:val="0"/>
          <w:sz w:val="24"/>
          <w:szCs w:val="22"/>
        </w:rPr>
      </w:pPr>
      <w:r>
        <w:rPr>
          <w:rFonts w:hint="default" w:ascii="Times New Roman" w:hAnsi="Times New Roman" w:eastAsia="宋体" w:cs="Times New Roman"/>
          <w:color w:val="000000"/>
          <w:kern w:val="0"/>
          <w:sz w:val="24"/>
          <w:szCs w:val="22"/>
          <w:lang w:eastAsia="zh-CN"/>
        </w:rPr>
        <w:t>（</w:t>
      </w:r>
      <w:r>
        <w:rPr>
          <w:rFonts w:hint="default" w:ascii="Times New Roman" w:hAnsi="Times New Roman" w:eastAsia="宋体" w:cs="Times New Roman"/>
          <w:color w:val="000000"/>
          <w:kern w:val="0"/>
          <w:sz w:val="24"/>
          <w:szCs w:val="22"/>
          <w:lang w:val="en-US" w:eastAsia="zh-CN"/>
        </w:rPr>
        <w:t>3</w:t>
      </w:r>
      <w:r>
        <w:rPr>
          <w:rFonts w:hint="default" w:ascii="Times New Roman" w:hAnsi="Times New Roman" w:eastAsia="宋体" w:cs="Times New Roman"/>
          <w:color w:val="000000"/>
          <w:kern w:val="0"/>
          <w:sz w:val="24"/>
          <w:szCs w:val="22"/>
          <w:lang w:eastAsia="zh-CN"/>
        </w:rPr>
        <w:t>）</w:t>
      </w:r>
      <w:r>
        <w:rPr>
          <w:rFonts w:hint="default" w:ascii="Times New Roman" w:hAnsi="Times New Roman" w:eastAsia="宋体" w:cs="Times New Roman"/>
          <w:color w:val="000000"/>
          <w:kern w:val="0"/>
          <w:sz w:val="24"/>
          <w:szCs w:val="22"/>
        </w:rPr>
        <w:t>裸露土地及时恢复</w:t>
      </w:r>
    </w:p>
    <w:p w14:paraId="1DCC414D">
      <w:pPr>
        <w:autoSpaceDE w:val="0"/>
        <w:autoSpaceDN w:val="0"/>
        <w:adjustRightInd w:val="0"/>
        <w:spacing w:line="300" w:lineRule="auto"/>
        <w:ind w:firstLine="480" w:firstLineChars="200"/>
        <w:rPr>
          <w:rFonts w:hint="default" w:ascii="Times New Roman" w:hAnsi="Times New Roman" w:eastAsia="宋体" w:cs="Times New Roman"/>
          <w:color w:val="000000"/>
          <w:kern w:val="0"/>
          <w:sz w:val="24"/>
          <w:szCs w:val="22"/>
        </w:rPr>
      </w:pPr>
      <w:r>
        <w:rPr>
          <w:rFonts w:hint="default" w:ascii="Times New Roman" w:hAnsi="Times New Roman" w:eastAsia="宋体" w:cs="Times New Roman"/>
          <w:color w:val="000000"/>
          <w:kern w:val="0"/>
          <w:sz w:val="24"/>
          <w:szCs w:val="22"/>
        </w:rPr>
        <w:t>所有因施工破坏植被形成的裸露土地，在施工结束后立即进行整治。遵循"原地类恢复"原则：原为乔木林的区域采用乔灌草结合方式恢复；原为灌丛的区域采用栽植灌木苗+播撒草籽方式恢复；原为草地的区域采用栽植草本或播撒草籽方式恢复。</w:t>
      </w:r>
    </w:p>
    <w:p w14:paraId="7E53DDC3">
      <w:pPr>
        <w:autoSpaceDE w:val="0"/>
        <w:autoSpaceDN w:val="0"/>
        <w:adjustRightInd w:val="0"/>
        <w:spacing w:line="300" w:lineRule="auto"/>
        <w:ind w:firstLine="480" w:firstLineChars="200"/>
        <w:rPr>
          <w:rFonts w:hint="default" w:ascii="Times New Roman" w:hAnsi="Times New Roman" w:eastAsia="宋体" w:cs="Times New Roman"/>
          <w:color w:val="000000"/>
          <w:kern w:val="0"/>
          <w:sz w:val="24"/>
          <w:szCs w:val="22"/>
        </w:rPr>
      </w:pPr>
      <w:r>
        <w:rPr>
          <w:rFonts w:hint="default" w:ascii="Times New Roman" w:hAnsi="Times New Roman" w:eastAsia="宋体" w:cs="Times New Roman"/>
          <w:color w:val="000000"/>
          <w:kern w:val="0"/>
          <w:sz w:val="24"/>
          <w:szCs w:val="22"/>
          <w:lang w:eastAsia="zh-CN"/>
        </w:rPr>
        <w:t>（</w:t>
      </w:r>
      <w:r>
        <w:rPr>
          <w:rFonts w:hint="default" w:ascii="Times New Roman" w:hAnsi="Times New Roman" w:eastAsia="宋体" w:cs="Times New Roman"/>
          <w:color w:val="000000"/>
          <w:kern w:val="0"/>
          <w:sz w:val="24"/>
          <w:szCs w:val="22"/>
          <w:lang w:val="en-US" w:eastAsia="zh-CN"/>
        </w:rPr>
        <w:t>4</w:t>
      </w:r>
      <w:r>
        <w:rPr>
          <w:rFonts w:hint="default" w:ascii="Times New Roman" w:hAnsi="Times New Roman" w:eastAsia="宋体" w:cs="Times New Roman"/>
          <w:color w:val="000000"/>
          <w:kern w:val="0"/>
          <w:sz w:val="24"/>
          <w:szCs w:val="22"/>
          <w:lang w:eastAsia="zh-CN"/>
        </w:rPr>
        <w:t>）</w:t>
      </w:r>
      <w:r>
        <w:rPr>
          <w:rFonts w:hint="default" w:ascii="Times New Roman" w:hAnsi="Times New Roman" w:eastAsia="宋体" w:cs="Times New Roman"/>
          <w:color w:val="000000"/>
          <w:kern w:val="0"/>
          <w:sz w:val="24"/>
          <w:szCs w:val="22"/>
        </w:rPr>
        <w:t>具体植被恢复措施</w:t>
      </w:r>
    </w:p>
    <w:p w14:paraId="178B9A9E">
      <w:pPr>
        <w:autoSpaceDE w:val="0"/>
        <w:autoSpaceDN w:val="0"/>
        <w:adjustRightInd w:val="0"/>
        <w:spacing w:line="300" w:lineRule="auto"/>
        <w:ind w:firstLine="480" w:firstLineChars="200"/>
        <w:rPr>
          <w:rFonts w:hint="default" w:ascii="Times New Roman" w:hAnsi="Times New Roman" w:eastAsia="宋体" w:cs="Times New Roman"/>
          <w:color w:val="000000"/>
          <w:kern w:val="0"/>
          <w:sz w:val="24"/>
          <w:szCs w:val="22"/>
        </w:rPr>
      </w:pPr>
      <w:r>
        <w:rPr>
          <w:rFonts w:hint="default" w:ascii="Times New Roman" w:hAnsi="Times New Roman" w:eastAsia="宋体" w:cs="Times New Roman"/>
          <w:color w:val="000000"/>
          <w:kern w:val="0"/>
          <w:sz w:val="24"/>
          <w:szCs w:val="22"/>
        </w:rPr>
        <w:t>按照“原地类恢复、同功能等效、乡土物种优先”的原则，结合各生态单元本底特征与生态功能定位，分区制定差异化植被恢复措施：</w:t>
      </w:r>
    </w:p>
    <w:p w14:paraId="64CFD0CB">
      <w:pPr>
        <w:autoSpaceDE w:val="0"/>
        <w:autoSpaceDN w:val="0"/>
        <w:adjustRightInd w:val="0"/>
        <w:spacing w:line="300" w:lineRule="auto"/>
        <w:ind w:firstLine="480" w:firstLineChars="200"/>
        <w:rPr>
          <w:rFonts w:hint="default" w:ascii="Times New Roman" w:hAnsi="Times New Roman" w:eastAsia="宋体" w:cs="Times New Roman"/>
          <w:color w:val="000000"/>
          <w:kern w:val="0"/>
          <w:sz w:val="24"/>
          <w:szCs w:val="22"/>
        </w:rPr>
      </w:pPr>
      <w:r>
        <w:rPr>
          <w:rFonts w:hint="default" w:ascii="Times New Roman" w:hAnsi="Times New Roman" w:eastAsia="宋体" w:cs="Times New Roman"/>
          <w:color w:val="000000"/>
          <w:kern w:val="0"/>
          <w:sz w:val="24"/>
          <w:szCs w:val="22"/>
        </w:rPr>
        <w:t>①</w:t>
      </w:r>
      <w:r>
        <w:rPr>
          <w:rFonts w:hint="default" w:ascii="Times New Roman" w:hAnsi="Times New Roman" w:eastAsia="宋体" w:cs="Times New Roman"/>
          <w:color w:val="000000"/>
          <w:kern w:val="0"/>
          <w:sz w:val="24"/>
          <w:szCs w:val="22"/>
          <w:lang w:val="en-US" w:eastAsia="zh-CN"/>
        </w:rPr>
        <w:t xml:space="preserve"> </w:t>
      </w:r>
      <w:r>
        <w:rPr>
          <w:rFonts w:hint="default" w:ascii="Times New Roman" w:hAnsi="Times New Roman" w:eastAsia="宋体" w:cs="Times New Roman"/>
          <w:color w:val="000000"/>
          <w:kern w:val="0"/>
          <w:sz w:val="24"/>
          <w:szCs w:val="22"/>
        </w:rPr>
        <w:t>硫酸盐型重盐碱地生态段</w:t>
      </w:r>
    </w:p>
    <w:p w14:paraId="1389D823">
      <w:pPr>
        <w:autoSpaceDE w:val="0"/>
        <w:autoSpaceDN w:val="0"/>
        <w:adjustRightInd w:val="0"/>
        <w:spacing w:line="300" w:lineRule="auto"/>
        <w:ind w:firstLine="480" w:firstLineChars="200"/>
        <w:rPr>
          <w:rFonts w:hint="default" w:ascii="Times New Roman" w:hAnsi="Times New Roman" w:eastAsia="宋体" w:cs="Times New Roman"/>
          <w:color w:val="000000"/>
          <w:kern w:val="0"/>
          <w:sz w:val="24"/>
          <w:szCs w:val="22"/>
        </w:rPr>
      </w:pPr>
      <w:r>
        <w:rPr>
          <w:rFonts w:hint="default" w:ascii="Times New Roman" w:hAnsi="Times New Roman" w:eastAsia="宋体" w:cs="Times New Roman"/>
          <w:color w:val="000000"/>
          <w:kern w:val="0"/>
          <w:sz w:val="24"/>
          <w:szCs w:val="22"/>
        </w:rPr>
        <w:t>分布范围：K0+000~K1+100 周边，临时用地主要为K0+400处施工生产生活区及施工便道。</w:t>
      </w:r>
    </w:p>
    <w:p w14:paraId="2A3568C5">
      <w:pPr>
        <w:autoSpaceDE w:val="0"/>
        <w:autoSpaceDN w:val="0"/>
        <w:adjustRightInd w:val="0"/>
        <w:spacing w:line="300" w:lineRule="auto"/>
        <w:ind w:firstLine="480" w:firstLineChars="200"/>
        <w:rPr>
          <w:rFonts w:hint="default" w:ascii="Times New Roman" w:hAnsi="Times New Roman" w:eastAsia="宋体" w:cs="Times New Roman"/>
          <w:color w:val="000000"/>
          <w:kern w:val="0"/>
          <w:sz w:val="24"/>
          <w:szCs w:val="22"/>
        </w:rPr>
      </w:pPr>
      <w:r>
        <w:rPr>
          <w:rFonts w:hint="default" w:ascii="Times New Roman" w:hAnsi="Times New Roman" w:eastAsia="宋体" w:cs="Times New Roman"/>
          <w:color w:val="000000"/>
          <w:kern w:val="0"/>
          <w:sz w:val="24"/>
          <w:szCs w:val="22"/>
        </w:rPr>
        <w:t>恢复目标：恢复为盐生荒漠草地生态系统，防风固沙功能不低于原生水平，维持荒漠生态系统稳定性。</w:t>
      </w:r>
    </w:p>
    <w:p w14:paraId="5E010DEE">
      <w:pPr>
        <w:autoSpaceDE w:val="0"/>
        <w:autoSpaceDN w:val="0"/>
        <w:adjustRightInd w:val="0"/>
        <w:spacing w:line="300" w:lineRule="auto"/>
        <w:ind w:firstLine="480" w:firstLineChars="200"/>
        <w:rPr>
          <w:rFonts w:hint="default" w:ascii="Times New Roman" w:hAnsi="Times New Roman" w:eastAsia="宋体" w:cs="Times New Roman"/>
          <w:color w:val="000000"/>
          <w:kern w:val="0"/>
          <w:sz w:val="24"/>
          <w:szCs w:val="22"/>
        </w:rPr>
      </w:pPr>
      <w:r>
        <w:rPr>
          <w:rFonts w:hint="default" w:ascii="Times New Roman" w:hAnsi="Times New Roman" w:eastAsia="宋体" w:cs="Times New Roman"/>
          <w:color w:val="000000"/>
          <w:kern w:val="0"/>
          <w:sz w:val="24"/>
          <w:szCs w:val="22"/>
        </w:rPr>
        <w:t>物种选择：全部选用原生极耐盐乡土物种，草本以碱蓬、圆叶盐爪爪、骆驼刺为主，少量搭配柽柳灌木，杜绝引入不耐盐外来物种。</w:t>
      </w:r>
    </w:p>
    <w:p w14:paraId="69803E6C">
      <w:pPr>
        <w:autoSpaceDE w:val="0"/>
        <w:autoSpaceDN w:val="0"/>
        <w:adjustRightInd w:val="0"/>
        <w:spacing w:line="300" w:lineRule="auto"/>
        <w:ind w:firstLine="480" w:firstLineChars="200"/>
        <w:rPr>
          <w:rFonts w:hint="default" w:ascii="Times New Roman" w:hAnsi="Times New Roman" w:eastAsia="宋体" w:cs="Times New Roman"/>
          <w:color w:val="000000"/>
          <w:kern w:val="0"/>
          <w:sz w:val="24"/>
          <w:szCs w:val="22"/>
        </w:rPr>
      </w:pPr>
      <w:r>
        <w:rPr>
          <w:rFonts w:hint="default" w:ascii="Times New Roman" w:hAnsi="Times New Roman" w:eastAsia="宋体" w:cs="Times New Roman"/>
          <w:color w:val="000000"/>
          <w:kern w:val="0"/>
          <w:sz w:val="24"/>
          <w:szCs w:val="22"/>
        </w:rPr>
        <w:t>技术要求：施工结束后全面拆除临时建构筑物，清理建筑垃圾与油污土壤；平整土地后回铺原剥离的砾幕层与生物结皮层，再均匀撒播混合草籽；柽柳采用穴植定植，株行距 2m×3m；配套节水滴灌保障定植期补水，成活后逐步减少人工补水。</w:t>
      </w:r>
    </w:p>
    <w:p w14:paraId="0F3842DD">
      <w:pPr>
        <w:autoSpaceDE w:val="0"/>
        <w:autoSpaceDN w:val="0"/>
        <w:adjustRightInd w:val="0"/>
        <w:spacing w:line="300" w:lineRule="auto"/>
        <w:ind w:firstLine="480" w:firstLineChars="200"/>
        <w:rPr>
          <w:rFonts w:hint="default" w:ascii="Times New Roman" w:hAnsi="Times New Roman" w:eastAsia="宋体" w:cs="Times New Roman"/>
          <w:color w:val="000000"/>
          <w:kern w:val="0"/>
          <w:sz w:val="24"/>
          <w:szCs w:val="22"/>
        </w:rPr>
      </w:pPr>
      <w:r>
        <w:rPr>
          <w:rFonts w:hint="default" w:ascii="Times New Roman" w:hAnsi="Times New Roman" w:eastAsia="宋体" w:cs="Times New Roman"/>
          <w:color w:val="000000"/>
          <w:kern w:val="0"/>
          <w:sz w:val="24"/>
          <w:szCs w:val="22"/>
        </w:rPr>
        <w:t>砾幕层覆盖率逐步恢复至原生水平，群落以原生盐生物种为主，无外来物种入侵。</w:t>
      </w:r>
    </w:p>
    <w:p w14:paraId="0C59BBB2">
      <w:pPr>
        <w:autoSpaceDE w:val="0"/>
        <w:autoSpaceDN w:val="0"/>
        <w:adjustRightInd w:val="0"/>
        <w:spacing w:line="300" w:lineRule="auto"/>
        <w:ind w:firstLine="480" w:firstLineChars="200"/>
        <w:rPr>
          <w:rFonts w:hint="default" w:ascii="Times New Roman" w:hAnsi="Times New Roman" w:eastAsia="宋体" w:cs="Times New Roman"/>
          <w:color w:val="000000"/>
          <w:kern w:val="0"/>
          <w:sz w:val="24"/>
          <w:szCs w:val="22"/>
        </w:rPr>
      </w:pPr>
      <w:r>
        <w:rPr>
          <w:rFonts w:hint="default" w:ascii="Times New Roman" w:hAnsi="Times New Roman" w:eastAsia="宋体" w:cs="Times New Roman"/>
          <w:color w:val="000000"/>
          <w:kern w:val="0"/>
          <w:sz w:val="24"/>
          <w:szCs w:val="22"/>
        </w:rPr>
        <w:t>②</w:t>
      </w:r>
      <w:r>
        <w:rPr>
          <w:rFonts w:hint="default" w:ascii="Times New Roman" w:hAnsi="Times New Roman" w:eastAsia="宋体" w:cs="Times New Roman"/>
          <w:color w:val="000000"/>
          <w:kern w:val="0"/>
          <w:sz w:val="24"/>
          <w:szCs w:val="22"/>
          <w:lang w:val="en-US" w:eastAsia="zh-CN"/>
        </w:rPr>
        <w:t xml:space="preserve"> </w:t>
      </w:r>
      <w:r>
        <w:rPr>
          <w:rFonts w:hint="default" w:ascii="Times New Roman" w:hAnsi="Times New Roman" w:eastAsia="宋体" w:cs="Times New Roman"/>
          <w:color w:val="000000"/>
          <w:kern w:val="0"/>
          <w:sz w:val="24"/>
          <w:szCs w:val="22"/>
        </w:rPr>
        <w:t>绿洲 - 盐碱地过渡生态段</w:t>
      </w:r>
    </w:p>
    <w:p w14:paraId="69824925">
      <w:pPr>
        <w:autoSpaceDE w:val="0"/>
        <w:autoSpaceDN w:val="0"/>
        <w:adjustRightInd w:val="0"/>
        <w:spacing w:line="300" w:lineRule="auto"/>
        <w:ind w:firstLine="480" w:firstLineChars="200"/>
        <w:rPr>
          <w:rFonts w:hint="default" w:ascii="Times New Roman" w:hAnsi="Times New Roman" w:eastAsia="宋体" w:cs="Times New Roman"/>
          <w:color w:val="000000"/>
          <w:kern w:val="0"/>
          <w:sz w:val="24"/>
          <w:szCs w:val="22"/>
        </w:rPr>
      </w:pPr>
      <w:r>
        <w:rPr>
          <w:rFonts w:hint="default" w:ascii="Times New Roman" w:hAnsi="Times New Roman" w:eastAsia="宋体" w:cs="Times New Roman"/>
          <w:color w:val="000000"/>
          <w:kern w:val="0"/>
          <w:sz w:val="24"/>
          <w:szCs w:val="22"/>
        </w:rPr>
        <w:t>分布范围：K4+100~K6+500、K11+000~K14+000 沿线，临时用地主要为少量施工便道。</w:t>
      </w:r>
    </w:p>
    <w:p w14:paraId="463CF419">
      <w:pPr>
        <w:autoSpaceDE w:val="0"/>
        <w:autoSpaceDN w:val="0"/>
        <w:adjustRightInd w:val="0"/>
        <w:spacing w:line="300" w:lineRule="auto"/>
        <w:ind w:firstLine="480" w:firstLineChars="200"/>
        <w:rPr>
          <w:rFonts w:hint="default" w:ascii="Times New Roman" w:hAnsi="Times New Roman" w:eastAsia="宋体" w:cs="Times New Roman"/>
          <w:color w:val="000000"/>
          <w:kern w:val="0"/>
          <w:sz w:val="24"/>
          <w:szCs w:val="22"/>
        </w:rPr>
      </w:pPr>
      <w:r>
        <w:rPr>
          <w:rFonts w:hint="default" w:ascii="Times New Roman" w:hAnsi="Times New Roman" w:eastAsia="宋体" w:cs="Times New Roman"/>
          <w:color w:val="000000"/>
          <w:kern w:val="0"/>
          <w:sz w:val="24"/>
          <w:szCs w:val="22"/>
        </w:rPr>
        <w:t>恢复目标：恢复为盐生灌草丛生态系统，维持绿洲外围防风固沙、缓冲过渡的生态功能。</w:t>
      </w:r>
    </w:p>
    <w:p w14:paraId="2B6D2CE3">
      <w:pPr>
        <w:autoSpaceDE w:val="0"/>
        <w:autoSpaceDN w:val="0"/>
        <w:adjustRightInd w:val="0"/>
        <w:spacing w:line="300" w:lineRule="auto"/>
        <w:ind w:firstLine="480" w:firstLineChars="200"/>
        <w:rPr>
          <w:rFonts w:hint="default" w:ascii="Times New Roman" w:hAnsi="Times New Roman" w:eastAsia="宋体" w:cs="Times New Roman"/>
          <w:color w:val="000000"/>
          <w:kern w:val="0"/>
          <w:sz w:val="24"/>
          <w:szCs w:val="22"/>
        </w:rPr>
      </w:pPr>
      <w:r>
        <w:rPr>
          <w:rFonts w:hint="default" w:ascii="Times New Roman" w:hAnsi="Times New Roman" w:eastAsia="宋体" w:cs="Times New Roman"/>
          <w:color w:val="000000"/>
          <w:kern w:val="0"/>
          <w:sz w:val="24"/>
          <w:szCs w:val="22"/>
        </w:rPr>
        <w:t>物种选择：灌木选用多枝柽柳、琵琶柴等原生优势种，草本选用芨芨草、骆驼刺，与原生过渡带群落组成一致。</w:t>
      </w:r>
    </w:p>
    <w:p w14:paraId="165FD716">
      <w:pPr>
        <w:autoSpaceDE w:val="0"/>
        <w:autoSpaceDN w:val="0"/>
        <w:adjustRightInd w:val="0"/>
        <w:spacing w:line="300" w:lineRule="auto"/>
        <w:ind w:firstLine="480" w:firstLineChars="200"/>
        <w:rPr>
          <w:rFonts w:hint="default" w:ascii="Times New Roman" w:hAnsi="Times New Roman" w:eastAsia="宋体" w:cs="Times New Roman"/>
          <w:color w:val="000000"/>
          <w:kern w:val="0"/>
          <w:sz w:val="24"/>
          <w:szCs w:val="22"/>
        </w:rPr>
      </w:pPr>
      <w:r>
        <w:rPr>
          <w:rFonts w:hint="default" w:ascii="Times New Roman" w:hAnsi="Times New Roman" w:eastAsia="宋体" w:cs="Times New Roman"/>
          <w:color w:val="000000"/>
          <w:kern w:val="0"/>
          <w:sz w:val="24"/>
          <w:szCs w:val="22"/>
        </w:rPr>
        <w:t>技术要求：拆除便道硬化层，翻松压实土壤，回铺原剥离的表层土壤与枯落物；采用 “灌草结合、均匀混植”模式，灌木穴植定植，草本撒播建群；坡度较大路段同步设置简易水土保持措施，防止恢复初期水土流失。</w:t>
      </w:r>
    </w:p>
    <w:p w14:paraId="75CB1991">
      <w:pPr>
        <w:autoSpaceDE w:val="0"/>
        <w:autoSpaceDN w:val="0"/>
        <w:adjustRightInd w:val="0"/>
        <w:spacing w:line="300" w:lineRule="auto"/>
        <w:ind w:firstLine="480" w:firstLineChars="200"/>
        <w:rPr>
          <w:rFonts w:hint="default" w:ascii="Times New Roman" w:hAnsi="Times New Roman" w:eastAsia="宋体" w:cs="Times New Roman"/>
          <w:color w:val="000000"/>
          <w:kern w:val="0"/>
          <w:sz w:val="24"/>
          <w:szCs w:val="22"/>
        </w:rPr>
      </w:pPr>
      <w:r>
        <w:rPr>
          <w:rFonts w:hint="default" w:ascii="Times New Roman" w:hAnsi="Times New Roman" w:eastAsia="宋体" w:cs="Times New Roman"/>
          <w:color w:val="000000"/>
          <w:kern w:val="0"/>
          <w:sz w:val="24"/>
          <w:szCs w:val="22"/>
        </w:rPr>
        <w:t>恢复后灌草配比接近原生群落，逐步形成稳定的灌草复合群落，防风固沙功能恢复至原有水平。</w:t>
      </w:r>
    </w:p>
    <w:p w14:paraId="0BA0C0D2">
      <w:pPr>
        <w:autoSpaceDE w:val="0"/>
        <w:autoSpaceDN w:val="0"/>
        <w:adjustRightInd w:val="0"/>
        <w:spacing w:line="300" w:lineRule="auto"/>
        <w:ind w:firstLine="480" w:firstLineChars="200"/>
        <w:rPr>
          <w:rFonts w:hint="default" w:ascii="Times New Roman" w:hAnsi="Times New Roman" w:eastAsia="宋体" w:cs="Times New Roman"/>
          <w:color w:val="000000"/>
          <w:kern w:val="0"/>
          <w:sz w:val="24"/>
          <w:szCs w:val="22"/>
        </w:rPr>
      </w:pPr>
      <w:r>
        <w:rPr>
          <w:rFonts w:hint="default" w:ascii="Times New Roman" w:hAnsi="Times New Roman" w:eastAsia="宋体" w:cs="Times New Roman"/>
          <w:color w:val="000000"/>
          <w:kern w:val="0"/>
          <w:sz w:val="24"/>
          <w:szCs w:val="22"/>
        </w:rPr>
        <w:t>③</w:t>
      </w:r>
      <w:r>
        <w:rPr>
          <w:rFonts w:hint="default" w:ascii="Times New Roman" w:hAnsi="Times New Roman" w:eastAsia="宋体" w:cs="Times New Roman"/>
          <w:color w:val="000000"/>
          <w:kern w:val="0"/>
          <w:sz w:val="24"/>
          <w:szCs w:val="22"/>
          <w:lang w:val="en-US" w:eastAsia="zh-CN"/>
        </w:rPr>
        <w:t xml:space="preserve"> </w:t>
      </w:r>
      <w:r>
        <w:rPr>
          <w:rFonts w:hint="default" w:ascii="Times New Roman" w:hAnsi="Times New Roman" w:eastAsia="宋体" w:cs="Times New Roman"/>
          <w:color w:val="000000"/>
          <w:kern w:val="0"/>
          <w:sz w:val="24"/>
          <w:szCs w:val="22"/>
        </w:rPr>
        <w:t>平原绿洲农田生态段</w:t>
      </w:r>
    </w:p>
    <w:p w14:paraId="3111F68E">
      <w:pPr>
        <w:autoSpaceDE w:val="0"/>
        <w:autoSpaceDN w:val="0"/>
        <w:adjustRightInd w:val="0"/>
        <w:spacing w:line="300" w:lineRule="auto"/>
        <w:ind w:firstLine="480" w:firstLineChars="200"/>
        <w:rPr>
          <w:rFonts w:hint="default" w:ascii="Times New Roman" w:hAnsi="Times New Roman" w:eastAsia="宋体" w:cs="Times New Roman"/>
          <w:color w:val="000000"/>
          <w:kern w:val="0"/>
          <w:sz w:val="24"/>
          <w:szCs w:val="22"/>
        </w:rPr>
      </w:pPr>
      <w:r>
        <w:rPr>
          <w:rFonts w:hint="default" w:ascii="Times New Roman" w:hAnsi="Times New Roman" w:eastAsia="宋体" w:cs="Times New Roman"/>
          <w:color w:val="000000"/>
          <w:kern w:val="0"/>
          <w:sz w:val="24"/>
          <w:szCs w:val="22"/>
        </w:rPr>
        <w:t>分布范围：主要分布于K1+100~K4+100、K6+500~K11+000、K19+000~K24+900、K25+200~终点路段，临时用地主要为沿线农田集中区周边的临时便道。</w:t>
      </w:r>
    </w:p>
    <w:p w14:paraId="192C7D41">
      <w:pPr>
        <w:autoSpaceDE w:val="0"/>
        <w:autoSpaceDN w:val="0"/>
        <w:adjustRightInd w:val="0"/>
        <w:spacing w:line="300" w:lineRule="auto"/>
        <w:ind w:firstLine="480" w:firstLineChars="200"/>
        <w:rPr>
          <w:rFonts w:hint="default" w:ascii="Times New Roman" w:hAnsi="Times New Roman" w:eastAsia="宋体" w:cs="Times New Roman"/>
          <w:color w:val="000000"/>
          <w:kern w:val="0"/>
          <w:sz w:val="24"/>
          <w:szCs w:val="22"/>
        </w:rPr>
      </w:pPr>
      <w:r>
        <w:rPr>
          <w:rFonts w:hint="default" w:ascii="Times New Roman" w:hAnsi="Times New Roman" w:eastAsia="宋体" w:cs="Times New Roman"/>
          <w:color w:val="000000"/>
          <w:kern w:val="0"/>
          <w:sz w:val="24"/>
          <w:szCs w:val="22"/>
        </w:rPr>
        <w:t>恢复目标：临近耕地的临时占地优先复垦为一般耕地，耕地边缘区域恢复为农田防护林带，与周边农田生态系统无缝衔接。</w:t>
      </w:r>
    </w:p>
    <w:p w14:paraId="5ACDEE05">
      <w:pPr>
        <w:autoSpaceDE w:val="0"/>
        <w:autoSpaceDN w:val="0"/>
        <w:adjustRightInd w:val="0"/>
        <w:spacing w:line="300" w:lineRule="auto"/>
        <w:ind w:firstLine="480" w:firstLineChars="200"/>
        <w:rPr>
          <w:rFonts w:hint="default" w:ascii="Times New Roman" w:hAnsi="Times New Roman" w:eastAsia="宋体" w:cs="Times New Roman"/>
          <w:color w:val="000000"/>
          <w:kern w:val="0"/>
          <w:sz w:val="24"/>
          <w:szCs w:val="22"/>
        </w:rPr>
      </w:pPr>
      <w:r>
        <w:rPr>
          <w:rFonts w:hint="default" w:ascii="Times New Roman" w:hAnsi="Times New Roman" w:eastAsia="宋体" w:cs="Times New Roman"/>
          <w:color w:val="000000"/>
          <w:kern w:val="0"/>
          <w:sz w:val="24"/>
          <w:szCs w:val="22"/>
        </w:rPr>
        <w:t>物种选择：耕地复垦后恢复农作物种植；防护林选用新疆杨、白榆、沙枣等乡土防护林树种，林下搭配耐盐碱草本。</w:t>
      </w:r>
    </w:p>
    <w:p w14:paraId="293113A1">
      <w:pPr>
        <w:autoSpaceDE w:val="0"/>
        <w:autoSpaceDN w:val="0"/>
        <w:adjustRightInd w:val="0"/>
        <w:spacing w:line="300" w:lineRule="auto"/>
        <w:ind w:firstLine="480" w:firstLineChars="200"/>
        <w:rPr>
          <w:rFonts w:hint="default" w:ascii="Times New Roman" w:hAnsi="Times New Roman" w:eastAsia="宋体" w:cs="Times New Roman"/>
          <w:color w:val="000000"/>
          <w:kern w:val="0"/>
          <w:sz w:val="24"/>
          <w:szCs w:val="22"/>
        </w:rPr>
      </w:pPr>
      <w:r>
        <w:rPr>
          <w:rFonts w:hint="default" w:ascii="Times New Roman" w:hAnsi="Times New Roman" w:eastAsia="宋体" w:cs="Times New Roman"/>
          <w:color w:val="000000"/>
          <w:kern w:val="0"/>
          <w:sz w:val="24"/>
          <w:szCs w:val="22"/>
        </w:rPr>
        <w:t>技术要求：彻底清理建筑废料与受油污污染土壤，回铺 30cm 厚原剥离耕作层表土，平整并恢复田间灌排接口；耕地边缘临时占地恢复为农田防护林带，行列与周边现有林网对齐；复垦耕地恢复</w:t>
      </w:r>
      <w:r>
        <w:rPr>
          <w:rFonts w:hint="eastAsia" w:ascii="Times New Roman" w:hAnsi="Times New Roman" w:eastAsia="宋体" w:cs="Times New Roman"/>
          <w:color w:val="000000"/>
          <w:kern w:val="0"/>
          <w:sz w:val="24"/>
          <w:szCs w:val="22"/>
          <w:lang w:eastAsia="zh-CN"/>
        </w:rPr>
        <w:t>种植</w:t>
      </w:r>
      <w:r>
        <w:rPr>
          <w:rFonts w:hint="default" w:ascii="Times New Roman" w:hAnsi="Times New Roman" w:eastAsia="宋体" w:cs="Times New Roman"/>
          <w:color w:val="000000"/>
          <w:kern w:val="0"/>
          <w:sz w:val="24"/>
          <w:szCs w:val="22"/>
        </w:rPr>
        <w:t>能力。</w:t>
      </w:r>
    </w:p>
    <w:p w14:paraId="5ACACAD9">
      <w:pPr>
        <w:autoSpaceDE w:val="0"/>
        <w:autoSpaceDN w:val="0"/>
        <w:adjustRightInd w:val="0"/>
        <w:spacing w:line="300" w:lineRule="auto"/>
        <w:ind w:firstLine="480" w:firstLineChars="200"/>
        <w:rPr>
          <w:rFonts w:hint="default" w:ascii="Times New Roman" w:hAnsi="Times New Roman" w:eastAsia="宋体" w:cs="Times New Roman"/>
          <w:color w:val="000000"/>
          <w:kern w:val="0"/>
          <w:sz w:val="24"/>
          <w:szCs w:val="22"/>
        </w:rPr>
      </w:pPr>
      <w:r>
        <w:rPr>
          <w:rFonts w:hint="default" w:ascii="Times New Roman" w:hAnsi="Times New Roman" w:eastAsia="宋体" w:cs="Times New Roman"/>
          <w:color w:val="000000"/>
          <w:kern w:val="0"/>
          <w:sz w:val="24"/>
          <w:szCs w:val="22"/>
        </w:rPr>
        <w:t>复垦耕地土壤肥力、耕作层厚度不低于周边一般耕地标准；防护林林带连续完整，不影响周边农田耕作与灌溉通行。</w:t>
      </w:r>
    </w:p>
    <w:p w14:paraId="30D4CBFD">
      <w:pPr>
        <w:autoSpaceDE w:val="0"/>
        <w:autoSpaceDN w:val="0"/>
        <w:adjustRightInd w:val="0"/>
        <w:spacing w:line="300" w:lineRule="auto"/>
        <w:ind w:firstLine="480" w:firstLineChars="200"/>
        <w:rPr>
          <w:rFonts w:hint="default" w:ascii="Times New Roman" w:hAnsi="Times New Roman" w:eastAsia="宋体" w:cs="Times New Roman"/>
          <w:color w:val="000000"/>
          <w:kern w:val="0"/>
          <w:sz w:val="24"/>
          <w:szCs w:val="22"/>
        </w:rPr>
      </w:pPr>
      <w:r>
        <w:rPr>
          <w:rFonts w:hint="default" w:ascii="Times New Roman" w:hAnsi="Times New Roman" w:eastAsia="宋体" w:cs="Times New Roman"/>
          <w:color w:val="000000"/>
          <w:kern w:val="0"/>
          <w:sz w:val="24"/>
          <w:szCs w:val="22"/>
        </w:rPr>
        <w:t>④</w:t>
      </w:r>
      <w:r>
        <w:rPr>
          <w:rFonts w:hint="default" w:ascii="Times New Roman" w:hAnsi="Times New Roman" w:eastAsia="宋体" w:cs="Times New Roman"/>
          <w:color w:val="000000"/>
          <w:kern w:val="0"/>
          <w:sz w:val="24"/>
          <w:szCs w:val="22"/>
          <w:lang w:val="en-US" w:eastAsia="zh-CN"/>
        </w:rPr>
        <w:t xml:space="preserve"> </w:t>
      </w:r>
      <w:r>
        <w:rPr>
          <w:rFonts w:hint="default" w:ascii="Times New Roman" w:hAnsi="Times New Roman" w:eastAsia="宋体" w:cs="Times New Roman"/>
          <w:color w:val="000000"/>
          <w:kern w:val="0"/>
          <w:sz w:val="24"/>
          <w:szCs w:val="22"/>
        </w:rPr>
        <w:t>绿洲防护林生态段</w:t>
      </w:r>
    </w:p>
    <w:p w14:paraId="6EA264A0">
      <w:pPr>
        <w:autoSpaceDE w:val="0"/>
        <w:autoSpaceDN w:val="0"/>
        <w:adjustRightInd w:val="0"/>
        <w:spacing w:line="300" w:lineRule="auto"/>
        <w:ind w:firstLine="480" w:firstLineChars="200"/>
        <w:rPr>
          <w:rFonts w:hint="default" w:ascii="Times New Roman" w:hAnsi="Times New Roman" w:eastAsia="宋体" w:cs="Times New Roman"/>
          <w:color w:val="000000"/>
          <w:kern w:val="0"/>
          <w:sz w:val="24"/>
          <w:szCs w:val="22"/>
        </w:rPr>
      </w:pPr>
      <w:r>
        <w:rPr>
          <w:rFonts w:hint="default" w:ascii="Times New Roman" w:hAnsi="Times New Roman" w:eastAsia="宋体" w:cs="Times New Roman"/>
          <w:color w:val="000000"/>
          <w:kern w:val="0"/>
          <w:sz w:val="24"/>
          <w:szCs w:val="22"/>
        </w:rPr>
        <w:t>分布范围：主要分布于K19+000~K24+900、K25+200~终点路段，老路两侧人工林带</w:t>
      </w:r>
      <w:r>
        <w:rPr>
          <w:rFonts w:hint="eastAsia" w:ascii="Times New Roman" w:hAnsi="Times New Roman" w:eastAsia="宋体" w:cs="Times New Roman"/>
          <w:color w:val="000000"/>
          <w:kern w:val="0"/>
          <w:sz w:val="24"/>
          <w:szCs w:val="22"/>
          <w:lang w:eastAsia="zh-CN"/>
        </w:rPr>
        <w:t>周边</w:t>
      </w:r>
      <w:r>
        <w:rPr>
          <w:rFonts w:hint="default" w:ascii="Times New Roman" w:hAnsi="Times New Roman" w:eastAsia="宋体" w:cs="Times New Roman"/>
          <w:color w:val="000000"/>
          <w:kern w:val="0"/>
          <w:sz w:val="24"/>
          <w:szCs w:val="22"/>
        </w:rPr>
        <w:t>分布有零星施工便道。</w:t>
      </w:r>
    </w:p>
    <w:p w14:paraId="66FB4569">
      <w:pPr>
        <w:autoSpaceDE w:val="0"/>
        <w:autoSpaceDN w:val="0"/>
        <w:adjustRightInd w:val="0"/>
        <w:spacing w:line="300" w:lineRule="auto"/>
        <w:ind w:firstLine="480" w:firstLineChars="200"/>
        <w:rPr>
          <w:rFonts w:hint="default" w:ascii="Times New Roman" w:hAnsi="Times New Roman" w:eastAsia="宋体" w:cs="Times New Roman"/>
          <w:color w:val="000000"/>
          <w:kern w:val="0"/>
          <w:sz w:val="24"/>
          <w:szCs w:val="22"/>
        </w:rPr>
      </w:pPr>
      <w:r>
        <w:rPr>
          <w:rFonts w:hint="default" w:ascii="Times New Roman" w:hAnsi="Times New Roman" w:eastAsia="宋体" w:cs="Times New Roman"/>
          <w:color w:val="000000"/>
          <w:kern w:val="0"/>
          <w:sz w:val="24"/>
          <w:szCs w:val="22"/>
        </w:rPr>
        <w:t>恢复目标：恢复为农田防护林体系组成部分，衔接原有林带格局，保持防风固沙、农田防护功能。</w:t>
      </w:r>
    </w:p>
    <w:p w14:paraId="50A2AD94">
      <w:pPr>
        <w:autoSpaceDE w:val="0"/>
        <w:autoSpaceDN w:val="0"/>
        <w:adjustRightInd w:val="0"/>
        <w:spacing w:line="300" w:lineRule="auto"/>
        <w:ind w:firstLine="480" w:firstLineChars="200"/>
        <w:rPr>
          <w:rFonts w:hint="default" w:ascii="Times New Roman" w:hAnsi="Times New Roman" w:eastAsia="宋体" w:cs="Times New Roman"/>
          <w:color w:val="000000"/>
          <w:kern w:val="0"/>
          <w:sz w:val="24"/>
          <w:szCs w:val="22"/>
        </w:rPr>
      </w:pPr>
      <w:r>
        <w:rPr>
          <w:rFonts w:hint="default" w:ascii="Times New Roman" w:hAnsi="Times New Roman" w:eastAsia="宋体" w:cs="Times New Roman"/>
          <w:color w:val="000000"/>
          <w:kern w:val="0"/>
          <w:sz w:val="24"/>
          <w:szCs w:val="22"/>
        </w:rPr>
        <w:t>物种选择：乔木选用新疆杨、银白杨、榆树，与原有林带树种完全一致，林下撒播芨芨草、苜蓿等草本。</w:t>
      </w:r>
    </w:p>
    <w:p w14:paraId="0BE9D7D7">
      <w:pPr>
        <w:autoSpaceDE w:val="0"/>
        <w:autoSpaceDN w:val="0"/>
        <w:adjustRightInd w:val="0"/>
        <w:spacing w:line="300" w:lineRule="auto"/>
        <w:ind w:firstLine="480" w:firstLineChars="200"/>
        <w:rPr>
          <w:rFonts w:hint="default" w:ascii="Times New Roman" w:hAnsi="Times New Roman" w:eastAsia="宋体" w:cs="Times New Roman"/>
          <w:color w:val="000000"/>
          <w:kern w:val="0"/>
          <w:sz w:val="24"/>
          <w:szCs w:val="22"/>
        </w:rPr>
      </w:pPr>
      <w:r>
        <w:rPr>
          <w:rFonts w:hint="default" w:ascii="Times New Roman" w:hAnsi="Times New Roman" w:eastAsia="宋体" w:cs="Times New Roman"/>
          <w:color w:val="000000"/>
          <w:kern w:val="0"/>
          <w:sz w:val="24"/>
          <w:szCs w:val="22"/>
        </w:rPr>
        <w:t>技术要求：清理场地后回填改良种植土，采用行间栽植方式补植乔木，与原有林带行列对齐，保障林网连续性；林下撒播混合草籽，提升地表覆盖度，减少扬尘与土壤侵蚀。</w:t>
      </w:r>
    </w:p>
    <w:p w14:paraId="250A1B1D">
      <w:pPr>
        <w:autoSpaceDE w:val="0"/>
        <w:autoSpaceDN w:val="0"/>
        <w:adjustRightInd w:val="0"/>
        <w:spacing w:line="300" w:lineRule="auto"/>
        <w:ind w:firstLine="480" w:firstLineChars="200"/>
        <w:rPr>
          <w:rFonts w:hint="default" w:ascii="Times New Roman" w:hAnsi="Times New Roman" w:eastAsia="宋体" w:cs="Times New Roman"/>
          <w:color w:val="000000"/>
          <w:kern w:val="0"/>
          <w:sz w:val="24"/>
          <w:szCs w:val="22"/>
        </w:rPr>
      </w:pPr>
      <w:r>
        <w:rPr>
          <w:rFonts w:hint="default" w:ascii="Times New Roman" w:hAnsi="Times New Roman" w:eastAsia="宋体" w:cs="Times New Roman"/>
          <w:color w:val="000000"/>
          <w:kern w:val="0"/>
          <w:sz w:val="24"/>
          <w:szCs w:val="22"/>
        </w:rPr>
        <w:t>林带郁闭度逐步接近周边原有防护林水平，逐年融入区域农田防护林体系。</w:t>
      </w:r>
    </w:p>
    <w:p w14:paraId="0FBEF05E">
      <w:pPr>
        <w:autoSpaceDE w:val="0"/>
        <w:autoSpaceDN w:val="0"/>
        <w:adjustRightInd w:val="0"/>
        <w:spacing w:line="300" w:lineRule="auto"/>
        <w:ind w:firstLine="480" w:firstLineChars="200"/>
        <w:rPr>
          <w:rFonts w:hint="default" w:ascii="Times New Roman" w:hAnsi="Times New Roman" w:eastAsia="宋体" w:cs="Times New Roman"/>
          <w:color w:val="000000"/>
          <w:kern w:val="0"/>
          <w:sz w:val="24"/>
          <w:szCs w:val="22"/>
        </w:rPr>
      </w:pPr>
      <w:r>
        <w:rPr>
          <w:rFonts w:hint="default" w:ascii="Times New Roman" w:hAnsi="Times New Roman" w:eastAsia="宋体" w:cs="Times New Roman"/>
          <w:color w:val="000000"/>
          <w:kern w:val="0"/>
          <w:sz w:val="24"/>
          <w:szCs w:val="22"/>
        </w:rPr>
        <w:t>⑤</w:t>
      </w:r>
      <w:r>
        <w:rPr>
          <w:rFonts w:hint="default" w:ascii="Times New Roman" w:hAnsi="Times New Roman" w:eastAsia="宋体" w:cs="Times New Roman"/>
          <w:color w:val="000000"/>
          <w:kern w:val="0"/>
          <w:sz w:val="24"/>
          <w:szCs w:val="22"/>
          <w:lang w:val="en-US" w:eastAsia="zh-CN"/>
        </w:rPr>
        <w:t xml:space="preserve"> </w:t>
      </w:r>
      <w:r>
        <w:rPr>
          <w:rFonts w:hint="default" w:ascii="Times New Roman" w:hAnsi="Times New Roman" w:eastAsia="宋体" w:cs="Times New Roman"/>
          <w:color w:val="000000"/>
          <w:kern w:val="0"/>
          <w:sz w:val="24"/>
          <w:szCs w:val="22"/>
        </w:rPr>
        <w:t>低洼盐沼生态段</w:t>
      </w:r>
    </w:p>
    <w:p w14:paraId="2B180EE8">
      <w:pPr>
        <w:autoSpaceDE w:val="0"/>
        <w:autoSpaceDN w:val="0"/>
        <w:adjustRightInd w:val="0"/>
        <w:spacing w:line="300" w:lineRule="auto"/>
        <w:ind w:firstLine="480" w:firstLineChars="200"/>
        <w:rPr>
          <w:rFonts w:hint="default" w:ascii="Times New Roman" w:hAnsi="Times New Roman" w:eastAsia="宋体" w:cs="Times New Roman"/>
          <w:color w:val="000000"/>
          <w:kern w:val="0"/>
          <w:sz w:val="24"/>
          <w:szCs w:val="22"/>
        </w:rPr>
      </w:pPr>
      <w:r>
        <w:rPr>
          <w:rFonts w:hint="default" w:ascii="Times New Roman" w:hAnsi="Times New Roman" w:eastAsia="宋体" w:cs="Times New Roman"/>
          <w:color w:val="000000"/>
          <w:kern w:val="0"/>
          <w:sz w:val="24"/>
          <w:szCs w:val="22"/>
        </w:rPr>
        <w:t>分布范围：主要为K14+000~K19+000、K24+900~K25+200路段，河流湿地周边可能分布有零星便道。</w:t>
      </w:r>
    </w:p>
    <w:p w14:paraId="55009C11">
      <w:pPr>
        <w:autoSpaceDE w:val="0"/>
        <w:autoSpaceDN w:val="0"/>
        <w:adjustRightInd w:val="0"/>
        <w:spacing w:line="300" w:lineRule="auto"/>
        <w:ind w:firstLine="480" w:firstLineChars="200"/>
        <w:rPr>
          <w:rFonts w:hint="default" w:ascii="Times New Roman" w:hAnsi="Times New Roman" w:eastAsia="宋体" w:cs="Times New Roman"/>
          <w:color w:val="000000"/>
          <w:kern w:val="0"/>
          <w:sz w:val="24"/>
          <w:szCs w:val="22"/>
        </w:rPr>
      </w:pPr>
      <w:r>
        <w:rPr>
          <w:rFonts w:hint="default" w:ascii="Times New Roman" w:hAnsi="Times New Roman" w:eastAsia="宋体" w:cs="Times New Roman"/>
          <w:color w:val="000000"/>
          <w:kern w:val="0"/>
          <w:sz w:val="24"/>
          <w:szCs w:val="22"/>
        </w:rPr>
        <w:t>恢复目标：恢复为沼生湿地植被，保障湿地水文连通性，维持水质净化与小型动物栖息地功能。</w:t>
      </w:r>
    </w:p>
    <w:p w14:paraId="13702473">
      <w:pPr>
        <w:autoSpaceDE w:val="0"/>
        <w:autoSpaceDN w:val="0"/>
        <w:adjustRightInd w:val="0"/>
        <w:spacing w:line="300" w:lineRule="auto"/>
        <w:ind w:firstLine="480" w:firstLineChars="200"/>
        <w:rPr>
          <w:rFonts w:hint="default" w:ascii="Times New Roman" w:hAnsi="Times New Roman" w:eastAsia="宋体" w:cs="Times New Roman"/>
          <w:color w:val="000000"/>
          <w:kern w:val="0"/>
          <w:sz w:val="24"/>
          <w:szCs w:val="22"/>
        </w:rPr>
      </w:pPr>
      <w:r>
        <w:rPr>
          <w:rFonts w:hint="default" w:ascii="Times New Roman" w:hAnsi="Times New Roman" w:eastAsia="宋体" w:cs="Times New Roman"/>
          <w:color w:val="000000"/>
          <w:kern w:val="0"/>
          <w:sz w:val="24"/>
          <w:szCs w:val="22"/>
        </w:rPr>
        <w:t>物种选择：挺水植物选用芦苇、香蒲、水烛等原生湿地物种，湿生草本选用碱蓬、苔草，全部采用本地种源。</w:t>
      </w:r>
    </w:p>
    <w:p w14:paraId="5033154F">
      <w:pPr>
        <w:autoSpaceDE w:val="0"/>
        <w:autoSpaceDN w:val="0"/>
        <w:adjustRightInd w:val="0"/>
        <w:spacing w:line="300" w:lineRule="auto"/>
        <w:ind w:firstLine="480" w:firstLineChars="200"/>
        <w:rPr>
          <w:rFonts w:hint="default" w:ascii="Times New Roman" w:hAnsi="Times New Roman" w:eastAsia="宋体" w:cs="Times New Roman"/>
          <w:color w:val="000000"/>
          <w:kern w:val="0"/>
          <w:sz w:val="24"/>
          <w:szCs w:val="22"/>
        </w:rPr>
      </w:pPr>
      <w:r>
        <w:rPr>
          <w:rFonts w:hint="default" w:ascii="Times New Roman" w:hAnsi="Times New Roman" w:eastAsia="宋体" w:cs="Times New Roman"/>
          <w:color w:val="000000"/>
          <w:kern w:val="0"/>
          <w:sz w:val="24"/>
          <w:szCs w:val="22"/>
        </w:rPr>
        <w:t>技术要求：拆除临时设施后恢复原有地形坡度，保障地表径流自然汇入湿地，严禁改变湿地汇水格局；采用 “自然恢复为主、人工补植为辅” 的方式，仅在植被破坏严重区域补植原生湿地植物，不开展大规模人工改造。</w:t>
      </w:r>
    </w:p>
    <w:p w14:paraId="52C5671E">
      <w:pPr>
        <w:autoSpaceDE w:val="0"/>
        <w:autoSpaceDN w:val="0"/>
        <w:adjustRightInd w:val="0"/>
        <w:spacing w:line="300" w:lineRule="auto"/>
        <w:ind w:firstLine="480" w:firstLineChars="200"/>
        <w:rPr>
          <w:rFonts w:hint="default" w:ascii="Times New Roman" w:hAnsi="Times New Roman" w:eastAsia="宋体" w:cs="Times New Roman"/>
          <w:color w:val="000000"/>
          <w:kern w:val="0"/>
          <w:sz w:val="24"/>
          <w:szCs w:val="22"/>
        </w:rPr>
      </w:pPr>
      <w:r>
        <w:rPr>
          <w:rFonts w:hint="default" w:ascii="Times New Roman" w:hAnsi="Times New Roman" w:eastAsia="宋体" w:cs="Times New Roman"/>
          <w:color w:val="000000"/>
          <w:kern w:val="0"/>
          <w:sz w:val="24"/>
          <w:szCs w:val="22"/>
        </w:rPr>
        <w:t>不改变湿地原有水文节律与空间格局，恢复后植被覆盖度不低于周边原生湿地，无外来物种入侵，湿地生态功能保持稳定。</w:t>
      </w:r>
    </w:p>
    <w:p w14:paraId="65D82FE1">
      <w:pPr>
        <w:autoSpaceDE w:val="0"/>
        <w:autoSpaceDN w:val="0"/>
        <w:adjustRightInd w:val="0"/>
        <w:spacing w:line="300" w:lineRule="auto"/>
        <w:ind w:firstLine="480" w:firstLineChars="200"/>
        <w:rPr>
          <w:rFonts w:hint="default" w:ascii="Times New Roman" w:hAnsi="Times New Roman" w:eastAsia="宋体" w:cs="Times New Roman"/>
          <w:color w:val="000000"/>
          <w:kern w:val="0"/>
          <w:sz w:val="24"/>
          <w:szCs w:val="22"/>
        </w:rPr>
      </w:pPr>
      <w:r>
        <w:rPr>
          <w:rFonts w:hint="default" w:ascii="Times New Roman" w:hAnsi="Times New Roman" w:eastAsia="宋体" w:cs="Times New Roman"/>
          <w:color w:val="000000"/>
          <w:kern w:val="0"/>
          <w:sz w:val="24"/>
          <w:szCs w:val="22"/>
        </w:rPr>
        <w:t>通过上述分区段的植被恢复措施，确保恢复后生态功能不低于现有水平。</w:t>
      </w:r>
    </w:p>
    <w:p w14:paraId="3FF1E131">
      <w:pPr>
        <w:autoSpaceDE w:val="0"/>
        <w:autoSpaceDN w:val="0"/>
        <w:adjustRightInd w:val="0"/>
        <w:spacing w:line="300" w:lineRule="auto"/>
        <w:ind w:firstLine="480" w:firstLineChars="200"/>
        <w:rPr>
          <w:rFonts w:hint="default" w:ascii="Times New Roman" w:hAnsi="Times New Roman" w:eastAsia="宋体" w:cs="Times New Roman"/>
          <w:color w:val="000000"/>
          <w:kern w:val="0"/>
          <w:sz w:val="24"/>
          <w:szCs w:val="22"/>
        </w:rPr>
      </w:pPr>
      <w:r>
        <w:rPr>
          <w:rFonts w:hint="default" w:ascii="Times New Roman" w:hAnsi="Times New Roman" w:eastAsia="宋体" w:cs="Times New Roman"/>
          <w:color w:val="000000"/>
          <w:kern w:val="0"/>
          <w:sz w:val="24"/>
          <w:szCs w:val="22"/>
          <w:lang w:val="en-US" w:eastAsia="zh-CN"/>
        </w:rPr>
        <w:t xml:space="preserve">3. </w:t>
      </w:r>
      <w:r>
        <w:rPr>
          <w:rFonts w:hint="default" w:ascii="Times New Roman" w:hAnsi="Times New Roman" w:eastAsia="宋体" w:cs="Times New Roman"/>
          <w:color w:val="000000"/>
          <w:kern w:val="0"/>
          <w:sz w:val="24"/>
          <w:szCs w:val="22"/>
        </w:rPr>
        <w:t>野生动物保护措施</w:t>
      </w:r>
    </w:p>
    <w:p w14:paraId="3D58F3CF">
      <w:pPr>
        <w:autoSpaceDE w:val="0"/>
        <w:autoSpaceDN w:val="0"/>
        <w:adjustRightInd w:val="0"/>
        <w:spacing w:line="300" w:lineRule="auto"/>
        <w:ind w:firstLine="480" w:firstLineChars="200"/>
        <w:rPr>
          <w:rFonts w:hint="default" w:ascii="Times New Roman" w:hAnsi="Times New Roman" w:eastAsia="宋体" w:cs="Times New Roman"/>
          <w:color w:val="000000"/>
          <w:kern w:val="0"/>
          <w:sz w:val="24"/>
          <w:szCs w:val="22"/>
        </w:rPr>
      </w:pPr>
      <w:r>
        <w:rPr>
          <w:rFonts w:hint="default" w:ascii="Times New Roman" w:hAnsi="Times New Roman" w:eastAsia="宋体" w:cs="Times New Roman"/>
          <w:color w:val="000000"/>
          <w:kern w:val="0"/>
          <w:sz w:val="24"/>
          <w:szCs w:val="22"/>
          <w:lang w:eastAsia="zh-CN"/>
        </w:rPr>
        <w:t>（</w:t>
      </w:r>
      <w:r>
        <w:rPr>
          <w:rFonts w:hint="default" w:ascii="Times New Roman" w:hAnsi="Times New Roman" w:eastAsia="宋体" w:cs="Times New Roman"/>
          <w:color w:val="000000"/>
          <w:kern w:val="0"/>
          <w:sz w:val="24"/>
          <w:szCs w:val="22"/>
          <w:lang w:val="en-US" w:eastAsia="zh-CN"/>
        </w:rPr>
        <w:t>1</w:t>
      </w:r>
      <w:r>
        <w:rPr>
          <w:rFonts w:hint="default" w:ascii="Times New Roman" w:hAnsi="Times New Roman" w:eastAsia="宋体" w:cs="Times New Roman"/>
          <w:color w:val="000000"/>
          <w:kern w:val="0"/>
          <w:sz w:val="24"/>
          <w:szCs w:val="22"/>
          <w:lang w:eastAsia="zh-CN"/>
        </w:rPr>
        <w:t>）</w:t>
      </w:r>
      <w:r>
        <w:rPr>
          <w:rFonts w:hint="default" w:ascii="Times New Roman" w:hAnsi="Times New Roman" w:eastAsia="宋体" w:cs="Times New Roman"/>
          <w:color w:val="000000"/>
          <w:kern w:val="0"/>
          <w:sz w:val="24"/>
          <w:szCs w:val="22"/>
        </w:rPr>
        <w:t>施工时序与作业方式避让：合理安排施工时段，避开鸟类集中繁殖期进行林地清理作业；高噪声施工避开晨昏及夜间野生动物活动频繁时段。</w:t>
      </w:r>
    </w:p>
    <w:p w14:paraId="188E3254">
      <w:pPr>
        <w:autoSpaceDE w:val="0"/>
        <w:autoSpaceDN w:val="0"/>
        <w:adjustRightInd w:val="0"/>
        <w:spacing w:line="300" w:lineRule="auto"/>
        <w:ind w:firstLine="480" w:firstLineChars="200"/>
        <w:rPr>
          <w:rFonts w:hint="default" w:ascii="Times New Roman" w:hAnsi="Times New Roman" w:eastAsia="宋体" w:cs="Times New Roman"/>
          <w:color w:val="000000"/>
          <w:kern w:val="0"/>
          <w:sz w:val="24"/>
          <w:szCs w:val="22"/>
        </w:rPr>
      </w:pPr>
      <w:r>
        <w:rPr>
          <w:rFonts w:hint="default" w:ascii="Times New Roman" w:hAnsi="Times New Roman" w:eastAsia="宋体" w:cs="Times New Roman"/>
          <w:color w:val="000000"/>
          <w:kern w:val="0"/>
          <w:sz w:val="24"/>
          <w:szCs w:val="22"/>
          <w:lang w:eastAsia="zh-CN"/>
        </w:rPr>
        <w:t>（</w:t>
      </w:r>
      <w:r>
        <w:rPr>
          <w:rFonts w:hint="default" w:ascii="Times New Roman" w:hAnsi="Times New Roman" w:eastAsia="宋体" w:cs="Times New Roman"/>
          <w:color w:val="000000"/>
          <w:kern w:val="0"/>
          <w:sz w:val="24"/>
          <w:szCs w:val="22"/>
          <w:lang w:val="en-US" w:eastAsia="zh-CN"/>
        </w:rPr>
        <w:t>2</w:t>
      </w:r>
      <w:r>
        <w:rPr>
          <w:rFonts w:hint="default" w:ascii="Times New Roman" w:hAnsi="Times New Roman" w:eastAsia="宋体" w:cs="Times New Roman"/>
          <w:color w:val="000000"/>
          <w:kern w:val="0"/>
          <w:sz w:val="24"/>
          <w:szCs w:val="22"/>
          <w:lang w:eastAsia="zh-CN"/>
        </w:rPr>
        <w:t>）</w:t>
      </w:r>
      <w:r>
        <w:rPr>
          <w:rFonts w:hint="default" w:ascii="Times New Roman" w:hAnsi="Times New Roman" w:eastAsia="宋体" w:cs="Times New Roman"/>
          <w:color w:val="000000"/>
          <w:kern w:val="0"/>
          <w:sz w:val="24"/>
          <w:szCs w:val="22"/>
        </w:rPr>
        <w:t>野生动物生境保护：加强弃渣场防护，严禁向水体及周边倾倒弃渣；严格管理施工人员生活污水，禁止未经处理直接排放，避免污染水体和野生动物栖息地。</w:t>
      </w:r>
    </w:p>
    <w:p w14:paraId="222D8A19">
      <w:pPr>
        <w:autoSpaceDE w:val="0"/>
        <w:autoSpaceDN w:val="0"/>
        <w:adjustRightInd w:val="0"/>
        <w:spacing w:line="300" w:lineRule="auto"/>
        <w:ind w:firstLine="480" w:firstLineChars="200"/>
        <w:rPr>
          <w:rFonts w:hint="default" w:ascii="Times New Roman" w:hAnsi="Times New Roman" w:eastAsia="宋体" w:cs="Times New Roman"/>
          <w:color w:val="000000"/>
          <w:kern w:val="0"/>
          <w:sz w:val="24"/>
          <w:szCs w:val="22"/>
        </w:rPr>
      </w:pPr>
      <w:r>
        <w:rPr>
          <w:rFonts w:hint="default" w:ascii="Times New Roman" w:hAnsi="Times New Roman" w:eastAsia="宋体" w:cs="Times New Roman"/>
          <w:color w:val="000000"/>
          <w:kern w:val="0"/>
          <w:sz w:val="24"/>
          <w:szCs w:val="22"/>
          <w:lang w:eastAsia="zh-CN"/>
        </w:rPr>
        <w:t>（</w:t>
      </w:r>
      <w:r>
        <w:rPr>
          <w:rFonts w:hint="default" w:ascii="Times New Roman" w:hAnsi="Times New Roman" w:eastAsia="宋体" w:cs="Times New Roman"/>
          <w:color w:val="000000"/>
          <w:kern w:val="0"/>
          <w:sz w:val="24"/>
          <w:szCs w:val="22"/>
          <w:lang w:val="en-US" w:eastAsia="zh-CN"/>
        </w:rPr>
        <w:t>3</w:t>
      </w:r>
      <w:r>
        <w:rPr>
          <w:rFonts w:hint="default" w:ascii="Times New Roman" w:hAnsi="Times New Roman" w:eastAsia="宋体" w:cs="Times New Roman"/>
          <w:color w:val="000000"/>
          <w:kern w:val="0"/>
          <w:sz w:val="24"/>
          <w:szCs w:val="22"/>
          <w:lang w:eastAsia="zh-CN"/>
        </w:rPr>
        <w:t>）</w:t>
      </w:r>
      <w:r>
        <w:rPr>
          <w:rFonts w:hint="default" w:ascii="Times New Roman" w:hAnsi="Times New Roman" w:eastAsia="宋体" w:cs="Times New Roman"/>
          <w:color w:val="000000"/>
          <w:kern w:val="0"/>
          <w:sz w:val="24"/>
          <w:szCs w:val="22"/>
        </w:rPr>
        <w:t>应急处置措施：建立野生动物应急救助机制，若发现重点保护动物误入施工区，立即停止相关作业，及时联系当地林草部门，采取科学保护措施。</w:t>
      </w:r>
    </w:p>
    <w:p w14:paraId="4817A2CB">
      <w:pPr>
        <w:autoSpaceDE w:val="0"/>
        <w:autoSpaceDN w:val="0"/>
        <w:adjustRightInd w:val="0"/>
        <w:spacing w:line="300" w:lineRule="auto"/>
        <w:ind w:firstLine="480" w:firstLineChars="200"/>
        <w:rPr>
          <w:rFonts w:hint="default" w:ascii="Times New Roman" w:hAnsi="Times New Roman" w:eastAsia="宋体" w:cs="Times New Roman"/>
          <w:color w:val="000000"/>
          <w:kern w:val="0"/>
          <w:sz w:val="24"/>
          <w:szCs w:val="22"/>
        </w:rPr>
      </w:pPr>
      <w:r>
        <w:rPr>
          <w:rFonts w:hint="default" w:ascii="Times New Roman" w:hAnsi="Times New Roman" w:eastAsia="宋体" w:cs="Times New Roman"/>
          <w:color w:val="000000"/>
          <w:kern w:val="0"/>
          <w:sz w:val="24"/>
          <w:szCs w:val="22"/>
          <w:lang w:eastAsia="zh-CN"/>
        </w:rPr>
        <w:t>（</w:t>
      </w:r>
      <w:r>
        <w:rPr>
          <w:rFonts w:hint="default" w:ascii="Times New Roman" w:hAnsi="Times New Roman" w:eastAsia="宋体" w:cs="Times New Roman"/>
          <w:color w:val="000000"/>
          <w:kern w:val="0"/>
          <w:sz w:val="24"/>
          <w:szCs w:val="22"/>
          <w:lang w:val="en-US" w:eastAsia="zh-CN"/>
        </w:rPr>
        <w:t>4</w:t>
      </w:r>
      <w:r>
        <w:rPr>
          <w:rFonts w:hint="default" w:ascii="Times New Roman" w:hAnsi="Times New Roman" w:eastAsia="宋体" w:cs="Times New Roman"/>
          <w:color w:val="000000"/>
          <w:kern w:val="0"/>
          <w:sz w:val="24"/>
          <w:szCs w:val="22"/>
          <w:lang w:eastAsia="zh-CN"/>
        </w:rPr>
        <w:t>）</w:t>
      </w:r>
      <w:r>
        <w:rPr>
          <w:rFonts w:hint="default" w:ascii="Times New Roman" w:hAnsi="Times New Roman" w:eastAsia="宋体" w:cs="Times New Roman"/>
          <w:color w:val="000000"/>
          <w:kern w:val="0"/>
          <w:sz w:val="24"/>
          <w:szCs w:val="22"/>
        </w:rPr>
        <w:t>严格限定涉水施工时间：涉水工程（桩基、围堰、河道清理）须安排在枯水期（11 月 1 日至次年 3 月 31 日）进行，避开4-7月鱼类繁殖高峰期和夏季鱼类摄食活跃期。错峰高噪声作业，桩基钻孔、围堰打桩等高噪声作业避开每日6:00-8:00、18:00-20:00鱼类早晚摄食高峰时段，夜间（22:00 至次日6:00）严禁任何涉水高噪声作业。</w:t>
      </w:r>
    </w:p>
    <w:p w14:paraId="4DCD2B0C">
      <w:pPr>
        <w:autoSpaceDE w:val="0"/>
        <w:autoSpaceDN w:val="0"/>
        <w:adjustRightInd w:val="0"/>
        <w:spacing w:line="300" w:lineRule="auto"/>
        <w:ind w:firstLine="480" w:firstLineChars="200"/>
        <w:rPr>
          <w:rFonts w:hint="default" w:ascii="Times New Roman" w:hAnsi="Times New Roman" w:eastAsia="宋体" w:cs="Times New Roman"/>
          <w:color w:val="000000"/>
          <w:kern w:val="0"/>
          <w:sz w:val="24"/>
          <w:szCs w:val="22"/>
        </w:rPr>
      </w:pPr>
      <w:r>
        <w:rPr>
          <w:rFonts w:hint="default" w:ascii="Times New Roman" w:hAnsi="Times New Roman" w:eastAsia="宋体" w:cs="Times New Roman"/>
          <w:color w:val="000000"/>
          <w:kern w:val="0"/>
          <w:sz w:val="24"/>
          <w:szCs w:val="22"/>
          <w:lang w:eastAsia="zh-CN"/>
        </w:rPr>
        <w:t>（</w:t>
      </w:r>
      <w:r>
        <w:rPr>
          <w:rFonts w:hint="default" w:ascii="Times New Roman" w:hAnsi="Times New Roman" w:eastAsia="宋体" w:cs="Times New Roman"/>
          <w:color w:val="000000"/>
          <w:kern w:val="0"/>
          <w:sz w:val="24"/>
          <w:szCs w:val="22"/>
          <w:lang w:val="en-US" w:eastAsia="zh-CN"/>
        </w:rPr>
        <w:t>5</w:t>
      </w:r>
      <w:r>
        <w:rPr>
          <w:rFonts w:hint="default" w:ascii="Times New Roman" w:hAnsi="Times New Roman" w:eastAsia="宋体" w:cs="Times New Roman"/>
          <w:color w:val="000000"/>
          <w:kern w:val="0"/>
          <w:sz w:val="24"/>
          <w:szCs w:val="22"/>
          <w:lang w:eastAsia="zh-CN"/>
        </w:rPr>
        <w:t>）</w:t>
      </w:r>
      <w:r>
        <w:rPr>
          <w:rFonts w:hint="default" w:ascii="Times New Roman" w:hAnsi="Times New Roman" w:eastAsia="宋体" w:cs="Times New Roman"/>
          <w:color w:val="000000"/>
          <w:kern w:val="0"/>
          <w:sz w:val="24"/>
          <w:szCs w:val="22"/>
        </w:rPr>
        <w:t>分段施工缩短影响时间：克孜勒苏大桥采用半幅施工、半幅通水方式，左幅老桥拼宽与右幅新桥施工分阶段进行，单段涉水施工周期不超过 3 个月；新栏杆一桥一次性完成涉水工程，缩短工期，减少对水生生态的影响。</w:t>
      </w:r>
    </w:p>
    <w:p w14:paraId="52F95B60">
      <w:pPr>
        <w:autoSpaceDE w:val="0"/>
        <w:autoSpaceDN w:val="0"/>
        <w:adjustRightInd w:val="0"/>
        <w:spacing w:line="300" w:lineRule="auto"/>
        <w:ind w:firstLine="480" w:firstLineChars="200"/>
        <w:rPr>
          <w:rFonts w:hint="default" w:ascii="Times New Roman" w:hAnsi="Times New Roman" w:eastAsia="宋体" w:cs="Times New Roman"/>
          <w:color w:val="000000"/>
          <w:kern w:val="0"/>
          <w:sz w:val="24"/>
          <w:szCs w:val="22"/>
        </w:rPr>
      </w:pPr>
      <w:r>
        <w:rPr>
          <w:rFonts w:hint="default" w:ascii="Times New Roman" w:hAnsi="Times New Roman" w:eastAsia="宋体" w:cs="Times New Roman"/>
          <w:color w:val="000000"/>
          <w:kern w:val="0"/>
          <w:sz w:val="24"/>
          <w:szCs w:val="22"/>
          <w:lang w:val="en-US" w:eastAsia="zh-CN"/>
        </w:rPr>
        <w:t xml:space="preserve">4. </w:t>
      </w:r>
      <w:r>
        <w:rPr>
          <w:rFonts w:hint="default" w:ascii="Times New Roman" w:hAnsi="Times New Roman" w:eastAsia="宋体" w:cs="Times New Roman"/>
          <w:color w:val="000000"/>
          <w:kern w:val="0"/>
          <w:sz w:val="24"/>
          <w:szCs w:val="22"/>
        </w:rPr>
        <w:t>临时工程生态保护措施</w:t>
      </w:r>
    </w:p>
    <w:p w14:paraId="433360EB">
      <w:pPr>
        <w:autoSpaceDE w:val="0"/>
        <w:autoSpaceDN w:val="0"/>
        <w:adjustRightInd w:val="0"/>
        <w:spacing w:line="300" w:lineRule="auto"/>
        <w:ind w:firstLine="480" w:firstLineChars="200"/>
        <w:rPr>
          <w:rFonts w:hint="default" w:ascii="Times New Roman" w:hAnsi="Times New Roman" w:eastAsia="宋体" w:cs="Times New Roman"/>
          <w:color w:val="000000"/>
          <w:kern w:val="0"/>
          <w:sz w:val="24"/>
          <w:szCs w:val="22"/>
        </w:rPr>
      </w:pPr>
      <w:r>
        <w:rPr>
          <w:rFonts w:hint="default" w:ascii="Times New Roman" w:hAnsi="Times New Roman" w:eastAsia="宋体" w:cs="Times New Roman"/>
          <w:color w:val="000000"/>
          <w:kern w:val="0"/>
          <w:sz w:val="24"/>
          <w:szCs w:val="22"/>
          <w:lang w:eastAsia="zh-CN"/>
        </w:rPr>
        <w:t>（</w:t>
      </w:r>
      <w:r>
        <w:rPr>
          <w:rFonts w:hint="default" w:ascii="Times New Roman" w:hAnsi="Times New Roman" w:eastAsia="宋体" w:cs="Times New Roman"/>
          <w:color w:val="000000"/>
          <w:kern w:val="0"/>
          <w:sz w:val="24"/>
          <w:szCs w:val="22"/>
          <w:lang w:val="en-US" w:eastAsia="zh-CN"/>
        </w:rPr>
        <w:t>1</w:t>
      </w:r>
      <w:r>
        <w:rPr>
          <w:rFonts w:hint="default" w:ascii="Times New Roman" w:hAnsi="Times New Roman" w:eastAsia="宋体" w:cs="Times New Roman"/>
          <w:color w:val="000000"/>
          <w:kern w:val="0"/>
          <w:sz w:val="24"/>
          <w:szCs w:val="22"/>
          <w:lang w:eastAsia="zh-CN"/>
        </w:rPr>
        <w:t>）</w:t>
      </w:r>
      <w:r>
        <w:rPr>
          <w:rFonts w:hint="default" w:ascii="Times New Roman" w:hAnsi="Times New Roman" w:eastAsia="宋体" w:cs="Times New Roman"/>
          <w:color w:val="000000"/>
          <w:kern w:val="0"/>
          <w:sz w:val="24"/>
          <w:szCs w:val="22"/>
        </w:rPr>
        <w:t>临时用地选址优化：施工便道优先依托现有道路，尽量利用征地红线范围内用地，减少新建便道长度；新建便道优先占用荒地、劣地，避开植被良好区域、耕地集中区、生态公益林和基本农田。施工生产生活区优先租用现有场地，尽量减少对原生地表的扰动。</w:t>
      </w:r>
    </w:p>
    <w:p w14:paraId="2519F88E">
      <w:pPr>
        <w:autoSpaceDE w:val="0"/>
        <w:autoSpaceDN w:val="0"/>
        <w:adjustRightInd w:val="0"/>
        <w:spacing w:line="300" w:lineRule="auto"/>
        <w:ind w:firstLine="480" w:firstLineChars="200"/>
        <w:rPr>
          <w:rFonts w:hint="default" w:ascii="Times New Roman" w:hAnsi="Times New Roman" w:eastAsia="宋体" w:cs="Times New Roman"/>
          <w:color w:val="000000"/>
          <w:kern w:val="0"/>
          <w:sz w:val="24"/>
          <w:szCs w:val="22"/>
        </w:rPr>
      </w:pPr>
      <w:r>
        <w:rPr>
          <w:rFonts w:hint="default" w:ascii="Times New Roman" w:hAnsi="Times New Roman" w:eastAsia="宋体" w:cs="Times New Roman"/>
          <w:color w:val="000000"/>
          <w:kern w:val="0"/>
          <w:sz w:val="24"/>
          <w:szCs w:val="22"/>
          <w:lang w:eastAsia="zh-CN"/>
        </w:rPr>
        <w:t>（</w:t>
      </w:r>
      <w:r>
        <w:rPr>
          <w:rFonts w:hint="default" w:ascii="Times New Roman" w:hAnsi="Times New Roman" w:eastAsia="宋体" w:cs="Times New Roman"/>
          <w:color w:val="000000"/>
          <w:kern w:val="0"/>
          <w:sz w:val="24"/>
          <w:szCs w:val="22"/>
          <w:lang w:val="en-US" w:eastAsia="zh-CN"/>
        </w:rPr>
        <w:t>2</w:t>
      </w:r>
      <w:r>
        <w:rPr>
          <w:rFonts w:hint="default" w:ascii="Times New Roman" w:hAnsi="Times New Roman" w:eastAsia="宋体" w:cs="Times New Roman"/>
          <w:color w:val="000000"/>
          <w:kern w:val="0"/>
          <w:sz w:val="24"/>
          <w:szCs w:val="22"/>
          <w:lang w:eastAsia="zh-CN"/>
        </w:rPr>
        <w:t>）</w:t>
      </w:r>
      <w:r>
        <w:rPr>
          <w:rFonts w:hint="default" w:ascii="Times New Roman" w:hAnsi="Times New Roman" w:eastAsia="宋体" w:cs="Times New Roman"/>
          <w:color w:val="000000"/>
          <w:kern w:val="0"/>
          <w:sz w:val="24"/>
          <w:szCs w:val="22"/>
        </w:rPr>
        <w:t>施工便道精细化管控：新建施工便道严格按设计宽度（7m）建设，两侧设置限行桩与警示带，禁止施工车辆私自驶离便道碾压周边原生植被。优先依托既有乡村道路改造升级，减少新建便道规模；运输车辆严格按指定路线行驶，不得私自开辟临时行驶路线。定期对便道洒水降尘。施工材料运输远离水体并密闭运输，禁止在河岸或水体周边清洗施工机械。</w:t>
      </w:r>
    </w:p>
    <w:p w14:paraId="7061299D">
      <w:pPr>
        <w:autoSpaceDE w:val="0"/>
        <w:autoSpaceDN w:val="0"/>
        <w:adjustRightInd w:val="0"/>
        <w:spacing w:line="300" w:lineRule="auto"/>
        <w:ind w:firstLine="480" w:firstLineChars="200"/>
        <w:rPr>
          <w:rFonts w:hint="default" w:ascii="Times New Roman" w:hAnsi="Times New Roman" w:eastAsia="宋体" w:cs="Times New Roman"/>
          <w:color w:val="000000"/>
          <w:kern w:val="0"/>
          <w:sz w:val="24"/>
          <w:szCs w:val="22"/>
        </w:rPr>
      </w:pPr>
      <w:r>
        <w:rPr>
          <w:rFonts w:hint="default" w:ascii="Times New Roman" w:hAnsi="Times New Roman" w:eastAsia="宋体" w:cs="Times New Roman"/>
          <w:color w:val="000000"/>
          <w:kern w:val="0"/>
          <w:sz w:val="24"/>
          <w:szCs w:val="22"/>
          <w:lang w:eastAsia="zh-CN"/>
        </w:rPr>
        <w:t>（</w:t>
      </w:r>
      <w:r>
        <w:rPr>
          <w:rFonts w:hint="default" w:ascii="Times New Roman" w:hAnsi="Times New Roman" w:eastAsia="宋体" w:cs="Times New Roman"/>
          <w:color w:val="000000"/>
          <w:kern w:val="0"/>
          <w:sz w:val="24"/>
          <w:szCs w:val="22"/>
          <w:lang w:val="en-US" w:eastAsia="zh-CN"/>
        </w:rPr>
        <w:t>3</w:t>
      </w:r>
      <w:r>
        <w:rPr>
          <w:rFonts w:hint="default" w:ascii="Times New Roman" w:hAnsi="Times New Roman" w:eastAsia="宋体" w:cs="Times New Roman"/>
          <w:color w:val="000000"/>
          <w:kern w:val="0"/>
          <w:sz w:val="24"/>
          <w:szCs w:val="22"/>
          <w:lang w:eastAsia="zh-CN"/>
        </w:rPr>
        <w:t>）</w:t>
      </w:r>
      <w:r>
        <w:rPr>
          <w:rFonts w:hint="default" w:ascii="Times New Roman" w:hAnsi="Times New Roman" w:eastAsia="宋体" w:cs="Times New Roman"/>
          <w:color w:val="000000"/>
          <w:kern w:val="0"/>
          <w:sz w:val="24"/>
          <w:szCs w:val="22"/>
        </w:rPr>
        <w:t>临时用地恢复：施工结束后，可继续使用的施工便道移交地方政府养护作为乡村道路；无法继续使用的立即进行土地整治，对占用的草地采用植灌种草方式恢复植被。</w:t>
      </w:r>
    </w:p>
    <w:p w14:paraId="5A86578E">
      <w:pPr>
        <w:autoSpaceDE w:val="0"/>
        <w:autoSpaceDN w:val="0"/>
        <w:adjustRightInd w:val="0"/>
        <w:spacing w:line="300" w:lineRule="auto"/>
        <w:ind w:firstLine="480" w:firstLineChars="200"/>
        <w:rPr>
          <w:rFonts w:hint="default" w:ascii="Times New Roman" w:hAnsi="Times New Roman" w:eastAsia="宋体" w:cs="Times New Roman"/>
          <w:color w:val="000000"/>
          <w:kern w:val="0"/>
          <w:sz w:val="24"/>
          <w:szCs w:val="22"/>
        </w:rPr>
      </w:pPr>
      <w:r>
        <w:rPr>
          <w:rFonts w:hint="default" w:ascii="Times New Roman" w:hAnsi="Times New Roman" w:eastAsia="宋体" w:cs="Times New Roman"/>
          <w:color w:val="000000"/>
          <w:kern w:val="0"/>
          <w:sz w:val="24"/>
          <w:szCs w:val="22"/>
          <w:lang w:val="en-US" w:eastAsia="zh-CN"/>
        </w:rPr>
        <w:t xml:space="preserve">5. </w:t>
      </w:r>
      <w:r>
        <w:rPr>
          <w:rFonts w:hint="default" w:ascii="Times New Roman" w:hAnsi="Times New Roman" w:eastAsia="宋体" w:cs="Times New Roman"/>
          <w:color w:val="000000"/>
          <w:kern w:val="0"/>
          <w:sz w:val="24"/>
          <w:szCs w:val="22"/>
        </w:rPr>
        <w:t>生态恢复与补偿措施</w:t>
      </w:r>
    </w:p>
    <w:p w14:paraId="6ED9D599">
      <w:pPr>
        <w:autoSpaceDE w:val="0"/>
        <w:autoSpaceDN w:val="0"/>
        <w:adjustRightInd w:val="0"/>
        <w:spacing w:line="300" w:lineRule="auto"/>
        <w:ind w:firstLine="480" w:firstLineChars="200"/>
        <w:rPr>
          <w:rFonts w:hint="default" w:ascii="Times New Roman" w:hAnsi="Times New Roman" w:eastAsia="宋体" w:cs="Times New Roman"/>
          <w:color w:val="000000"/>
          <w:kern w:val="0"/>
          <w:sz w:val="24"/>
          <w:szCs w:val="22"/>
        </w:rPr>
      </w:pPr>
      <w:r>
        <w:rPr>
          <w:rFonts w:hint="default" w:ascii="Times New Roman" w:hAnsi="Times New Roman" w:eastAsia="宋体" w:cs="Times New Roman"/>
          <w:color w:val="000000"/>
          <w:kern w:val="0"/>
          <w:sz w:val="24"/>
          <w:szCs w:val="22"/>
          <w:lang w:eastAsia="zh-CN"/>
        </w:rPr>
        <w:t>（</w:t>
      </w:r>
      <w:r>
        <w:rPr>
          <w:rFonts w:hint="default" w:ascii="Times New Roman" w:hAnsi="Times New Roman" w:eastAsia="宋体" w:cs="Times New Roman"/>
          <w:color w:val="000000"/>
          <w:kern w:val="0"/>
          <w:sz w:val="24"/>
          <w:szCs w:val="22"/>
          <w:lang w:val="en-US" w:eastAsia="zh-CN"/>
        </w:rPr>
        <w:t>1</w:t>
      </w:r>
      <w:r>
        <w:rPr>
          <w:rFonts w:hint="default" w:ascii="Times New Roman" w:hAnsi="Times New Roman" w:eastAsia="宋体" w:cs="Times New Roman"/>
          <w:color w:val="000000"/>
          <w:kern w:val="0"/>
          <w:sz w:val="24"/>
          <w:szCs w:val="22"/>
          <w:lang w:eastAsia="zh-CN"/>
        </w:rPr>
        <w:t>）</w:t>
      </w:r>
      <w:r>
        <w:rPr>
          <w:rFonts w:hint="default" w:ascii="Times New Roman" w:hAnsi="Times New Roman" w:eastAsia="宋体" w:cs="Times New Roman"/>
          <w:color w:val="000000"/>
          <w:kern w:val="0"/>
          <w:sz w:val="24"/>
          <w:szCs w:val="22"/>
        </w:rPr>
        <w:t>乡土物种优先原则：植被恢复全部选用当地乡土物种，优先选择对土壤要求低、适应性强、根系发达、固土效果好、抗逆性强且便于养护的植物。</w:t>
      </w:r>
    </w:p>
    <w:p w14:paraId="35E447D1">
      <w:pPr>
        <w:autoSpaceDE w:val="0"/>
        <w:autoSpaceDN w:val="0"/>
        <w:adjustRightInd w:val="0"/>
        <w:spacing w:line="300" w:lineRule="auto"/>
        <w:ind w:firstLine="480" w:firstLineChars="200"/>
        <w:rPr>
          <w:rFonts w:hint="default" w:ascii="Times New Roman" w:hAnsi="Times New Roman" w:eastAsia="宋体" w:cs="Times New Roman"/>
          <w:color w:val="000000"/>
          <w:kern w:val="0"/>
          <w:sz w:val="24"/>
          <w:szCs w:val="22"/>
        </w:rPr>
      </w:pPr>
      <w:r>
        <w:rPr>
          <w:rFonts w:hint="default" w:ascii="Times New Roman" w:hAnsi="Times New Roman" w:eastAsia="宋体" w:cs="Times New Roman"/>
          <w:color w:val="000000"/>
          <w:kern w:val="0"/>
          <w:sz w:val="24"/>
          <w:szCs w:val="22"/>
          <w:lang w:eastAsia="zh-CN"/>
        </w:rPr>
        <w:t>（</w:t>
      </w:r>
      <w:r>
        <w:rPr>
          <w:rFonts w:hint="default" w:ascii="Times New Roman" w:hAnsi="Times New Roman" w:eastAsia="宋体" w:cs="Times New Roman"/>
          <w:color w:val="000000"/>
          <w:kern w:val="0"/>
          <w:sz w:val="24"/>
          <w:szCs w:val="22"/>
          <w:lang w:val="en-US" w:eastAsia="zh-CN"/>
        </w:rPr>
        <w:t>2</w:t>
      </w:r>
      <w:r>
        <w:rPr>
          <w:rFonts w:hint="default" w:ascii="Times New Roman" w:hAnsi="Times New Roman" w:eastAsia="宋体" w:cs="Times New Roman"/>
          <w:color w:val="000000"/>
          <w:kern w:val="0"/>
          <w:sz w:val="24"/>
          <w:szCs w:val="22"/>
          <w:lang w:eastAsia="zh-CN"/>
        </w:rPr>
        <w:t>）</w:t>
      </w:r>
      <w:r>
        <w:rPr>
          <w:rFonts w:hint="default" w:ascii="Times New Roman" w:hAnsi="Times New Roman" w:eastAsia="宋体" w:cs="Times New Roman"/>
          <w:color w:val="000000"/>
          <w:kern w:val="0"/>
          <w:sz w:val="24"/>
          <w:szCs w:val="22"/>
        </w:rPr>
        <w:t>同步交错恢复机制：实行"使用一块、恢复一块"的原则，对施工现场的零星占地，在使用完毕后立即开展植被恢复，实现生态恢复与工程建设同步、交错进行。</w:t>
      </w:r>
    </w:p>
    <w:p w14:paraId="3A1503CF">
      <w:pPr>
        <w:autoSpaceDE w:val="0"/>
        <w:autoSpaceDN w:val="0"/>
        <w:adjustRightInd w:val="0"/>
        <w:spacing w:line="300" w:lineRule="auto"/>
        <w:ind w:firstLine="480" w:firstLineChars="200"/>
        <w:rPr>
          <w:rFonts w:hint="default" w:ascii="Times New Roman" w:hAnsi="Times New Roman" w:eastAsia="宋体" w:cs="Times New Roman"/>
          <w:color w:val="000000"/>
          <w:kern w:val="0"/>
          <w:sz w:val="24"/>
          <w:szCs w:val="22"/>
        </w:rPr>
      </w:pPr>
      <w:r>
        <w:rPr>
          <w:rFonts w:hint="default" w:ascii="Times New Roman" w:hAnsi="Times New Roman" w:eastAsia="宋体" w:cs="Times New Roman"/>
          <w:color w:val="000000"/>
          <w:kern w:val="0"/>
          <w:sz w:val="24"/>
          <w:szCs w:val="22"/>
          <w:lang w:val="en-US" w:eastAsia="zh-CN"/>
        </w:rPr>
        <w:t xml:space="preserve">6. </w:t>
      </w:r>
      <w:r>
        <w:rPr>
          <w:rFonts w:hint="default" w:ascii="Times New Roman" w:hAnsi="Times New Roman" w:eastAsia="宋体" w:cs="Times New Roman"/>
          <w:color w:val="000000"/>
          <w:kern w:val="0"/>
          <w:sz w:val="24"/>
          <w:szCs w:val="22"/>
        </w:rPr>
        <w:t>沙化土地防沙治沙措施</w:t>
      </w:r>
    </w:p>
    <w:p w14:paraId="32423FEB">
      <w:pPr>
        <w:autoSpaceDE w:val="0"/>
        <w:autoSpaceDN w:val="0"/>
        <w:adjustRightInd w:val="0"/>
        <w:spacing w:line="300" w:lineRule="auto"/>
        <w:ind w:firstLine="480" w:firstLineChars="200"/>
        <w:rPr>
          <w:rFonts w:hint="default" w:ascii="Times New Roman" w:hAnsi="Times New Roman" w:eastAsia="宋体" w:cs="Times New Roman"/>
          <w:color w:val="000000"/>
          <w:kern w:val="0"/>
          <w:sz w:val="24"/>
          <w:szCs w:val="22"/>
        </w:rPr>
      </w:pPr>
      <w:r>
        <w:rPr>
          <w:rFonts w:hint="default" w:ascii="Times New Roman" w:hAnsi="Times New Roman" w:eastAsia="宋体" w:cs="Times New Roman"/>
          <w:color w:val="000000"/>
          <w:kern w:val="0"/>
          <w:sz w:val="24"/>
          <w:szCs w:val="22"/>
        </w:rPr>
        <w:t>根据</w:t>
      </w:r>
      <w:r>
        <w:rPr>
          <w:rFonts w:hint="eastAsia" w:ascii="Times New Roman" w:hAnsi="Times New Roman" w:eastAsia="宋体" w:cs="Times New Roman"/>
          <w:color w:val="000000"/>
          <w:kern w:val="0"/>
          <w:sz w:val="24"/>
          <w:szCs w:val="22"/>
          <w:lang w:eastAsia="zh-CN"/>
        </w:rPr>
        <w:t>拟建公路</w:t>
      </w:r>
      <w:r>
        <w:rPr>
          <w:rFonts w:hint="default" w:ascii="Times New Roman" w:hAnsi="Times New Roman" w:eastAsia="宋体" w:cs="Times New Roman"/>
          <w:color w:val="000000"/>
          <w:sz w:val="24"/>
          <w:szCs w:val="22"/>
        </w:rPr>
        <w:t>K0+000~K1+100、K4+100~K6+500、K11+000~K14+000段涉及沙化土地情况，制定针对性措施如下：</w:t>
      </w:r>
    </w:p>
    <w:p w14:paraId="59A91599">
      <w:pPr>
        <w:autoSpaceDE w:val="0"/>
        <w:autoSpaceDN w:val="0"/>
        <w:adjustRightInd w:val="0"/>
        <w:spacing w:line="300" w:lineRule="auto"/>
        <w:ind w:firstLine="480" w:firstLineChars="200"/>
        <w:rPr>
          <w:rFonts w:hint="default" w:ascii="Times New Roman" w:hAnsi="Times New Roman" w:eastAsia="宋体" w:cs="Times New Roman"/>
          <w:color w:val="000000"/>
          <w:kern w:val="0"/>
          <w:sz w:val="24"/>
          <w:szCs w:val="22"/>
        </w:rPr>
      </w:pPr>
      <w:r>
        <w:rPr>
          <w:rFonts w:hint="default" w:ascii="Times New Roman" w:hAnsi="Times New Roman" w:eastAsia="宋体" w:cs="Times New Roman"/>
          <w:color w:val="000000"/>
          <w:kern w:val="0"/>
          <w:sz w:val="24"/>
          <w:szCs w:val="22"/>
          <w:lang w:eastAsia="zh-CN"/>
        </w:rPr>
        <w:t>（</w:t>
      </w:r>
      <w:r>
        <w:rPr>
          <w:rFonts w:hint="default" w:ascii="Times New Roman" w:hAnsi="Times New Roman" w:eastAsia="宋体" w:cs="Times New Roman"/>
          <w:color w:val="000000"/>
          <w:kern w:val="0"/>
          <w:sz w:val="24"/>
          <w:szCs w:val="22"/>
          <w:lang w:val="en-US" w:eastAsia="zh-CN"/>
        </w:rPr>
        <w:t>1</w:t>
      </w:r>
      <w:r>
        <w:rPr>
          <w:rFonts w:hint="default" w:ascii="Times New Roman" w:hAnsi="Times New Roman" w:eastAsia="宋体" w:cs="Times New Roman"/>
          <w:color w:val="000000"/>
          <w:kern w:val="0"/>
          <w:sz w:val="24"/>
          <w:szCs w:val="22"/>
          <w:lang w:eastAsia="zh-CN"/>
        </w:rPr>
        <w:t>）</w:t>
      </w:r>
      <w:r>
        <w:rPr>
          <w:rFonts w:hint="default" w:ascii="Times New Roman" w:hAnsi="Times New Roman" w:eastAsia="宋体" w:cs="Times New Roman"/>
          <w:color w:val="000000"/>
          <w:kern w:val="0"/>
          <w:sz w:val="24"/>
          <w:szCs w:val="22"/>
        </w:rPr>
        <w:t>综合治理原则：坚持"因地制宜、因害设防、保护优先、综合治理"的原则，宜乔则乔、宜灌则灌、宜草则草，采取以林草植被恢复为主的综合防沙治沙措施。</w:t>
      </w:r>
    </w:p>
    <w:p w14:paraId="46AE7E73">
      <w:pPr>
        <w:autoSpaceDE w:val="0"/>
        <w:autoSpaceDN w:val="0"/>
        <w:adjustRightInd w:val="0"/>
        <w:spacing w:line="300" w:lineRule="auto"/>
        <w:ind w:firstLine="480" w:firstLineChars="200"/>
        <w:rPr>
          <w:rFonts w:hint="default" w:ascii="Times New Roman" w:hAnsi="Times New Roman" w:eastAsia="宋体" w:cs="Times New Roman"/>
          <w:color w:val="000000"/>
          <w:kern w:val="0"/>
          <w:sz w:val="24"/>
          <w:szCs w:val="22"/>
        </w:rPr>
      </w:pPr>
      <w:r>
        <w:rPr>
          <w:rFonts w:hint="default" w:ascii="Times New Roman" w:hAnsi="Times New Roman" w:eastAsia="宋体" w:cs="Times New Roman"/>
          <w:color w:val="000000"/>
          <w:kern w:val="0"/>
          <w:sz w:val="24"/>
          <w:szCs w:val="22"/>
          <w:lang w:eastAsia="zh-CN"/>
        </w:rPr>
        <w:t>（</w:t>
      </w:r>
      <w:r>
        <w:rPr>
          <w:rFonts w:hint="default" w:ascii="Times New Roman" w:hAnsi="Times New Roman" w:eastAsia="宋体" w:cs="Times New Roman"/>
          <w:color w:val="000000"/>
          <w:kern w:val="0"/>
          <w:sz w:val="24"/>
          <w:szCs w:val="22"/>
          <w:lang w:val="en-US" w:eastAsia="zh-CN"/>
        </w:rPr>
        <w:t>2</w:t>
      </w:r>
      <w:r>
        <w:rPr>
          <w:rFonts w:hint="default" w:ascii="Times New Roman" w:hAnsi="Times New Roman" w:eastAsia="宋体" w:cs="Times New Roman"/>
          <w:color w:val="000000"/>
          <w:kern w:val="0"/>
          <w:sz w:val="24"/>
          <w:szCs w:val="22"/>
          <w:lang w:eastAsia="zh-CN"/>
        </w:rPr>
        <w:t>）</w:t>
      </w:r>
      <w:r>
        <w:rPr>
          <w:rFonts w:hint="default" w:ascii="Times New Roman" w:hAnsi="Times New Roman" w:eastAsia="宋体" w:cs="Times New Roman"/>
          <w:color w:val="000000"/>
          <w:kern w:val="0"/>
          <w:sz w:val="24"/>
          <w:szCs w:val="22"/>
        </w:rPr>
        <w:t>原生地表与植被保护</w:t>
      </w:r>
    </w:p>
    <w:p w14:paraId="2F35E2E3">
      <w:pPr>
        <w:autoSpaceDE w:val="0"/>
        <w:autoSpaceDN w:val="0"/>
        <w:adjustRightInd w:val="0"/>
        <w:spacing w:line="300" w:lineRule="auto"/>
        <w:ind w:firstLine="480" w:firstLineChars="200"/>
        <w:rPr>
          <w:rFonts w:hint="default" w:ascii="Times New Roman" w:hAnsi="Times New Roman" w:eastAsia="宋体" w:cs="Times New Roman"/>
          <w:color w:val="000000"/>
          <w:kern w:val="0"/>
          <w:sz w:val="24"/>
          <w:szCs w:val="22"/>
        </w:rPr>
      </w:pPr>
      <w:r>
        <w:rPr>
          <w:rFonts w:hint="default" w:ascii="Times New Roman" w:hAnsi="Times New Roman" w:eastAsia="宋体" w:cs="Times New Roman"/>
          <w:color w:val="000000"/>
          <w:kern w:val="0"/>
          <w:sz w:val="24"/>
          <w:szCs w:val="22"/>
        </w:rPr>
        <w:t>严格控制施工范围，开工前对沙化区段施工边界精准放线，采用界桩 + 警示带双重围挡，限制施工人员活动范围，严禁施工机械、人员越界破坏原生砾幕层与沙生植被。戈壁段施工遵循 “最小扰动” 原则，尽量利用原有戈壁地表作为施工场地，不随意铲除表层砾石；绿洲 - 荒漠过渡带加密界桩布设，设置“沙化土地区、禁止越界扰动” 警示标识，最大限度保留原生固沙结构。严禁随意破坏防风固沙设施、荒漠植被和天然砾幕层。</w:t>
      </w:r>
    </w:p>
    <w:p w14:paraId="414DE187">
      <w:pPr>
        <w:autoSpaceDE w:val="0"/>
        <w:autoSpaceDN w:val="0"/>
        <w:adjustRightInd w:val="0"/>
        <w:spacing w:line="300" w:lineRule="auto"/>
        <w:ind w:firstLine="480" w:firstLineChars="200"/>
        <w:rPr>
          <w:rFonts w:hint="default" w:ascii="Times New Roman" w:hAnsi="Times New Roman" w:eastAsia="宋体" w:cs="Times New Roman"/>
          <w:color w:val="000000"/>
          <w:kern w:val="0"/>
          <w:sz w:val="24"/>
          <w:szCs w:val="22"/>
        </w:rPr>
      </w:pPr>
      <w:r>
        <w:rPr>
          <w:rFonts w:hint="default" w:ascii="Times New Roman" w:hAnsi="Times New Roman" w:eastAsia="宋体" w:cs="Times New Roman"/>
          <w:color w:val="000000"/>
          <w:kern w:val="0"/>
          <w:sz w:val="24"/>
          <w:szCs w:val="22"/>
          <w:lang w:eastAsia="zh-CN"/>
        </w:rPr>
        <w:t>（</w:t>
      </w:r>
      <w:r>
        <w:rPr>
          <w:rFonts w:hint="default" w:ascii="Times New Roman" w:hAnsi="Times New Roman" w:eastAsia="宋体" w:cs="Times New Roman"/>
          <w:color w:val="000000"/>
          <w:kern w:val="0"/>
          <w:sz w:val="24"/>
          <w:szCs w:val="22"/>
          <w:lang w:val="en-US" w:eastAsia="zh-CN"/>
        </w:rPr>
        <w:t>3</w:t>
      </w:r>
      <w:r>
        <w:rPr>
          <w:rFonts w:hint="default" w:ascii="Times New Roman" w:hAnsi="Times New Roman" w:eastAsia="宋体" w:cs="Times New Roman"/>
          <w:color w:val="000000"/>
          <w:kern w:val="0"/>
          <w:sz w:val="24"/>
          <w:szCs w:val="22"/>
          <w:lang w:eastAsia="zh-CN"/>
        </w:rPr>
        <w:t>）</w:t>
      </w:r>
      <w:r>
        <w:rPr>
          <w:rFonts w:hint="default" w:ascii="Times New Roman" w:hAnsi="Times New Roman" w:eastAsia="宋体" w:cs="Times New Roman"/>
          <w:color w:val="000000"/>
          <w:kern w:val="0"/>
          <w:sz w:val="24"/>
          <w:szCs w:val="22"/>
        </w:rPr>
        <w:t>砾幕层专项保护与恢复</w:t>
      </w:r>
    </w:p>
    <w:p w14:paraId="1EC3D562">
      <w:pPr>
        <w:autoSpaceDE w:val="0"/>
        <w:autoSpaceDN w:val="0"/>
        <w:adjustRightInd w:val="0"/>
        <w:spacing w:line="300" w:lineRule="auto"/>
        <w:ind w:firstLine="480" w:firstLineChars="200"/>
        <w:rPr>
          <w:rFonts w:hint="default" w:ascii="Times New Roman" w:hAnsi="Times New Roman" w:eastAsia="宋体" w:cs="Times New Roman"/>
          <w:color w:val="000000"/>
          <w:kern w:val="0"/>
          <w:sz w:val="24"/>
          <w:szCs w:val="22"/>
        </w:rPr>
      </w:pPr>
      <w:r>
        <w:rPr>
          <w:rFonts w:hint="default" w:ascii="Times New Roman" w:hAnsi="Times New Roman" w:eastAsia="宋体" w:cs="Times New Roman"/>
          <w:color w:val="000000"/>
          <w:kern w:val="0"/>
          <w:sz w:val="24"/>
          <w:szCs w:val="22"/>
        </w:rPr>
        <w:t>对沙化区段实行 “砾幕层 / 生物结皮层 — 表土层 — 深层生土” 分层剥离、分类堆存：戈壁段单独剥离表层砾幕层，过渡带剥离 10~15cm 含根系腐殖土层，耕地段剥离 30cm 耕作层；各土层分区堆放，配套苫盖、拦挡防护，严禁混杂。施工结束后按原层次序回铺，优先恢复砾幕层与结皮层，快速重建地表天然固沙功能。在施工期5年内，完成全线6.5km涉及沙化土地路段的砾幕层恢复工作。</w:t>
      </w:r>
    </w:p>
    <w:p w14:paraId="07D2AEB2">
      <w:pPr>
        <w:autoSpaceDE w:val="0"/>
        <w:autoSpaceDN w:val="0"/>
        <w:adjustRightInd w:val="0"/>
        <w:spacing w:line="300" w:lineRule="auto"/>
        <w:ind w:firstLine="480" w:firstLineChars="200"/>
        <w:rPr>
          <w:rFonts w:hint="default" w:ascii="Times New Roman" w:hAnsi="Times New Roman" w:eastAsia="宋体" w:cs="Times New Roman"/>
          <w:color w:val="000000"/>
          <w:kern w:val="0"/>
          <w:sz w:val="24"/>
          <w:szCs w:val="22"/>
        </w:rPr>
      </w:pPr>
      <w:r>
        <w:rPr>
          <w:rFonts w:hint="default" w:ascii="Times New Roman" w:hAnsi="Times New Roman" w:eastAsia="宋体" w:cs="Times New Roman"/>
          <w:color w:val="000000"/>
          <w:kern w:val="0"/>
          <w:sz w:val="24"/>
          <w:szCs w:val="22"/>
          <w:lang w:eastAsia="zh-CN"/>
        </w:rPr>
        <w:t>（</w:t>
      </w:r>
      <w:r>
        <w:rPr>
          <w:rFonts w:hint="default" w:ascii="Times New Roman" w:hAnsi="Times New Roman" w:eastAsia="宋体" w:cs="Times New Roman"/>
          <w:color w:val="000000"/>
          <w:kern w:val="0"/>
          <w:sz w:val="24"/>
          <w:szCs w:val="22"/>
          <w:lang w:val="en-US" w:eastAsia="zh-CN"/>
        </w:rPr>
        <w:t>4</w:t>
      </w:r>
      <w:r>
        <w:rPr>
          <w:rFonts w:hint="default" w:ascii="Times New Roman" w:hAnsi="Times New Roman" w:eastAsia="宋体" w:cs="Times New Roman"/>
          <w:color w:val="000000"/>
          <w:kern w:val="0"/>
          <w:sz w:val="24"/>
          <w:szCs w:val="22"/>
          <w:lang w:eastAsia="zh-CN"/>
        </w:rPr>
        <w:t>）</w:t>
      </w:r>
      <w:r>
        <w:rPr>
          <w:rFonts w:hint="default" w:ascii="Times New Roman" w:hAnsi="Times New Roman" w:eastAsia="宋体" w:cs="Times New Roman"/>
          <w:color w:val="000000"/>
          <w:kern w:val="0"/>
          <w:sz w:val="24"/>
          <w:szCs w:val="22"/>
        </w:rPr>
        <w:t>临时工程沙化专项防护</w:t>
      </w:r>
    </w:p>
    <w:p w14:paraId="59DDCF3E">
      <w:pPr>
        <w:autoSpaceDE w:val="0"/>
        <w:autoSpaceDN w:val="0"/>
        <w:adjustRightInd w:val="0"/>
        <w:spacing w:line="300" w:lineRule="auto"/>
        <w:ind w:firstLine="480" w:firstLineChars="200"/>
        <w:rPr>
          <w:rFonts w:hint="default" w:ascii="Times New Roman" w:hAnsi="Times New Roman" w:eastAsia="宋体" w:cs="Times New Roman"/>
          <w:color w:val="000000"/>
          <w:kern w:val="0"/>
          <w:sz w:val="24"/>
          <w:szCs w:val="22"/>
        </w:rPr>
      </w:pPr>
      <w:r>
        <w:rPr>
          <w:rFonts w:hint="default" w:ascii="Times New Roman" w:hAnsi="Times New Roman" w:eastAsia="宋体" w:cs="Times New Roman"/>
          <w:color w:val="000000"/>
          <w:kern w:val="0"/>
          <w:sz w:val="24"/>
          <w:szCs w:val="22"/>
        </w:rPr>
        <w:t>施工便道优先依托既有道路改造，新建便道选线避开植被较好的固定沙地与沙化耕地，便道两侧设置限行桩，严禁车辆随意碾压周边沙地；表土堆存场、临时堆土场选址避开主风迎风面，堆体采用防尘网全覆盖，坡脚设置编织袋拦挡，防止风蚀扩散。</w:t>
      </w:r>
    </w:p>
    <w:p w14:paraId="2D6451AB">
      <w:pPr>
        <w:autoSpaceDE w:val="0"/>
        <w:autoSpaceDN w:val="0"/>
        <w:adjustRightInd w:val="0"/>
        <w:spacing w:line="300" w:lineRule="auto"/>
        <w:ind w:firstLine="480" w:firstLineChars="200"/>
        <w:rPr>
          <w:rFonts w:hint="default" w:ascii="Times New Roman" w:hAnsi="Times New Roman" w:eastAsia="宋体" w:cs="Times New Roman"/>
          <w:color w:val="000000"/>
          <w:kern w:val="0"/>
          <w:sz w:val="24"/>
          <w:szCs w:val="22"/>
        </w:rPr>
      </w:pPr>
      <w:r>
        <w:rPr>
          <w:rFonts w:hint="default" w:ascii="Times New Roman" w:hAnsi="Times New Roman" w:eastAsia="宋体" w:cs="Times New Roman"/>
          <w:color w:val="000000"/>
          <w:kern w:val="0"/>
          <w:sz w:val="24"/>
          <w:szCs w:val="22"/>
          <w:lang w:eastAsia="zh-CN"/>
        </w:rPr>
        <w:t>（</w:t>
      </w:r>
      <w:r>
        <w:rPr>
          <w:rFonts w:hint="default" w:ascii="Times New Roman" w:hAnsi="Times New Roman" w:eastAsia="宋体" w:cs="Times New Roman"/>
          <w:color w:val="000000"/>
          <w:kern w:val="0"/>
          <w:sz w:val="24"/>
          <w:szCs w:val="22"/>
          <w:lang w:val="en-US" w:eastAsia="zh-CN"/>
        </w:rPr>
        <w:t>5</w:t>
      </w:r>
      <w:r>
        <w:rPr>
          <w:rFonts w:hint="default" w:ascii="Times New Roman" w:hAnsi="Times New Roman" w:eastAsia="宋体" w:cs="Times New Roman"/>
          <w:color w:val="000000"/>
          <w:kern w:val="0"/>
          <w:sz w:val="24"/>
          <w:szCs w:val="22"/>
          <w:lang w:eastAsia="zh-CN"/>
        </w:rPr>
        <w:t>）</w:t>
      </w:r>
      <w:r>
        <w:rPr>
          <w:rFonts w:hint="default" w:ascii="Times New Roman" w:hAnsi="Times New Roman" w:eastAsia="宋体" w:cs="Times New Roman"/>
          <w:color w:val="000000"/>
          <w:kern w:val="0"/>
          <w:sz w:val="24"/>
          <w:szCs w:val="22"/>
        </w:rPr>
        <w:t>施工时序优化避大风</w:t>
      </w:r>
    </w:p>
    <w:p w14:paraId="63D1C152">
      <w:pPr>
        <w:autoSpaceDE w:val="0"/>
        <w:autoSpaceDN w:val="0"/>
        <w:adjustRightInd w:val="0"/>
        <w:spacing w:line="300" w:lineRule="auto"/>
        <w:ind w:firstLine="480" w:firstLineChars="200"/>
        <w:rPr>
          <w:rFonts w:hint="default" w:ascii="Times New Roman" w:hAnsi="Times New Roman" w:eastAsia="宋体" w:cs="Times New Roman"/>
          <w:color w:val="000000"/>
          <w:kern w:val="0"/>
          <w:sz w:val="24"/>
          <w:szCs w:val="22"/>
        </w:rPr>
      </w:pPr>
      <w:r>
        <w:rPr>
          <w:rFonts w:hint="default" w:ascii="Times New Roman" w:hAnsi="Times New Roman" w:eastAsia="宋体" w:cs="Times New Roman"/>
          <w:color w:val="000000"/>
          <w:kern w:val="0"/>
          <w:sz w:val="24"/>
          <w:szCs w:val="22"/>
        </w:rPr>
        <w:t>土石方作业尽量避开春季大风高发期（3~5 月）；大风天气（风速≥5 级）停止所有土石方开挖、转运作业，并对裸露场地、堆存体加密苫盖，降低风蚀起沙风险。</w:t>
      </w:r>
    </w:p>
    <w:p w14:paraId="00F2595C">
      <w:pPr>
        <w:autoSpaceDE w:val="0"/>
        <w:autoSpaceDN w:val="0"/>
        <w:adjustRightInd w:val="0"/>
        <w:spacing w:line="300" w:lineRule="auto"/>
        <w:ind w:firstLine="480" w:firstLineChars="200"/>
        <w:rPr>
          <w:rFonts w:hint="default" w:ascii="Times New Roman" w:hAnsi="Times New Roman" w:eastAsia="宋体" w:cs="Times New Roman"/>
          <w:color w:val="000000"/>
          <w:kern w:val="0"/>
          <w:sz w:val="24"/>
          <w:szCs w:val="22"/>
        </w:rPr>
      </w:pPr>
      <w:r>
        <w:rPr>
          <w:rFonts w:hint="default" w:ascii="Times New Roman" w:hAnsi="Times New Roman" w:eastAsia="宋体" w:cs="Times New Roman"/>
          <w:color w:val="000000"/>
          <w:kern w:val="0"/>
          <w:sz w:val="24"/>
          <w:szCs w:val="22"/>
          <w:lang w:eastAsia="zh-CN"/>
        </w:rPr>
        <w:t>（</w:t>
      </w:r>
      <w:r>
        <w:rPr>
          <w:rFonts w:hint="default" w:ascii="Times New Roman" w:hAnsi="Times New Roman" w:eastAsia="宋体" w:cs="Times New Roman"/>
          <w:color w:val="000000"/>
          <w:kern w:val="0"/>
          <w:sz w:val="24"/>
          <w:szCs w:val="22"/>
          <w:lang w:val="en-US" w:eastAsia="zh-CN"/>
        </w:rPr>
        <w:t>6</w:t>
      </w:r>
      <w:r>
        <w:rPr>
          <w:rFonts w:hint="default" w:ascii="Times New Roman" w:hAnsi="Times New Roman" w:eastAsia="宋体" w:cs="Times New Roman"/>
          <w:color w:val="000000"/>
          <w:kern w:val="0"/>
          <w:sz w:val="24"/>
          <w:szCs w:val="22"/>
          <w:lang w:eastAsia="zh-CN"/>
        </w:rPr>
        <w:t>）</w:t>
      </w:r>
      <w:r>
        <w:rPr>
          <w:rFonts w:hint="default" w:ascii="Times New Roman" w:hAnsi="Times New Roman" w:eastAsia="宋体" w:cs="Times New Roman"/>
          <w:color w:val="000000"/>
          <w:kern w:val="0"/>
          <w:sz w:val="24"/>
          <w:szCs w:val="22"/>
        </w:rPr>
        <w:t>工程与植物结合防护</w:t>
      </w:r>
    </w:p>
    <w:p w14:paraId="7F7F3B57">
      <w:pPr>
        <w:autoSpaceDE w:val="0"/>
        <w:autoSpaceDN w:val="0"/>
        <w:adjustRightInd w:val="0"/>
        <w:spacing w:line="300" w:lineRule="auto"/>
        <w:ind w:firstLine="480" w:firstLineChars="200"/>
        <w:rPr>
          <w:rFonts w:hint="default" w:ascii="Times New Roman" w:hAnsi="Times New Roman" w:eastAsia="宋体" w:cs="Times New Roman"/>
          <w:color w:val="000000"/>
          <w:sz w:val="24"/>
          <w:szCs w:val="22"/>
        </w:rPr>
      </w:pPr>
      <w:r>
        <w:rPr>
          <w:rFonts w:hint="default" w:ascii="Times New Roman" w:hAnsi="Times New Roman" w:eastAsia="宋体" w:cs="Times New Roman"/>
          <w:color w:val="000000"/>
          <w:sz w:val="24"/>
          <w:szCs w:val="22"/>
        </w:rPr>
        <w:t>遵循 “适地适种、乡土优先、节水耐旱” 原则，按沙化分区实施差异化植被恢复，衔接区域防护林体系。</w:t>
      </w:r>
      <w:r>
        <w:rPr>
          <w:rFonts w:hint="default" w:ascii="Times New Roman" w:hAnsi="Times New Roman" w:eastAsia="宋体" w:cs="Times New Roman"/>
          <w:color w:val="000000"/>
          <w:kern w:val="0"/>
          <w:sz w:val="24"/>
          <w:szCs w:val="22"/>
        </w:rPr>
        <w:t>路基边坡采用植物护坡，选择当地耐旱乡土物种，采用灌草结合的方式；公路两侧永久占地范围内加强绿化，形成防风固沙林带</w:t>
      </w:r>
      <w:r>
        <w:rPr>
          <w:rFonts w:hint="default" w:ascii="Times New Roman" w:hAnsi="Times New Roman" w:eastAsia="宋体" w:cs="Times New Roman"/>
          <w:color w:val="000000"/>
          <w:sz w:val="24"/>
          <w:szCs w:val="22"/>
        </w:rPr>
        <w:t>。</w:t>
      </w:r>
    </w:p>
    <w:p w14:paraId="77523C55">
      <w:pPr>
        <w:autoSpaceDE w:val="0"/>
        <w:autoSpaceDN w:val="0"/>
        <w:adjustRightInd w:val="0"/>
        <w:spacing w:line="300" w:lineRule="auto"/>
        <w:ind w:firstLine="480" w:firstLineChars="200"/>
        <w:rPr>
          <w:rFonts w:hint="default" w:ascii="Times New Roman" w:hAnsi="Times New Roman" w:eastAsia="宋体" w:cs="Times New Roman"/>
          <w:color w:val="000000"/>
          <w:sz w:val="24"/>
          <w:szCs w:val="22"/>
        </w:rPr>
      </w:pPr>
      <w:r>
        <w:rPr>
          <w:rFonts w:hint="default" w:ascii="Times New Roman" w:hAnsi="Times New Roman" w:eastAsia="宋体" w:cs="Times New Roman"/>
          <w:color w:val="000000"/>
          <w:sz w:val="24"/>
          <w:szCs w:val="22"/>
        </w:rPr>
        <w:t>戈壁沙化区：以自然恢复为主，回铺砾幕层后不强制人工造林，仅在局部破坏严重区域补植骆驼刺、碱蓬等极耐旱草本，依靠自然力恢复生态，避免高耗水造林加剧水资源矛盾。</w:t>
      </w:r>
    </w:p>
    <w:p w14:paraId="28E18C9B">
      <w:pPr>
        <w:autoSpaceDE w:val="0"/>
        <w:autoSpaceDN w:val="0"/>
        <w:adjustRightInd w:val="0"/>
        <w:spacing w:line="300" w:lineRule="auto"/>
        <w:ind w:firstLine="480" w:firstLineChars="200"/>
        <w:rPr>
          <w:rFonts w:hint="default" w:ascii="Times New Roman" w:hAnsi="Times New Roman" w:eastAsia="宋体" w:cs="Times New Roman"/>
          <w:color w:val="000000"/>
          <w:sz w:val="24"/>
          <w:szCs w:val="22"/>
        </w:rPr>
      </w:pPr>
      <w:r>
        <w:rPr>
          <w:rFonts w:hint="default" w:ascii="Times New Roman" w:hAnsi="Times New Roman" w:eastAsia="宋体" w:cs="Times New Roman"/>
          <w:color w:val="000000"/>
          <w:sz w:val="24"/>
          <w:szCs w:val="22"/>
        </w:rPr>
        <w:t>绿洲 - 荒漠过渡带：营造灌草结合的防风固沙林带，灌木选用多枝柽柳等乡土固沙树种，草本搭配芨芨草，采用穴植 + 撒播结合方式，配套节水滴灌保障定植成活，成活后逐步取消人工补水，构建稳定的原生灌草固沙群落。</w:t>
      </w:r>
    </w:p>
    <w:p w14:paraId="3A637344">
      <w:pPr>
        <w:autoSpaceDE w:val="0"/>
        <w:autoSpaceDN w:val="0"/>
        <w:adjustRightInd w:val="0"/>
        <w:spacing w:line="300" w:lineRule="auto"/>
        <w:ind w:firstLine="480" w:firstLineChars="200"/>
        <w:rPr>
          <w:rFonts w:hint="default" w:ascii="Times New Roman" w:hAnsi="Times New Roman" w:eastAsia="宋体" w:cs="Times New Roman"/>
          <w:color w:val="000000"/>
          <w:sz w:val="24"/>
          <w:szCs w:val="22"/>
        </w:rPr>
      </w:pPr>
      <w:r>
        <w:rPr>
          <w:rFonts w:hint="default" w:ascii="Times New Roman" w:hAnsi="Times New Roman" w:eastAsia="宋体" w:cs="Times New Roman"/>
          <w:color w:val="000000"/>
          <w:sz w:val="24"/>
          <w:szCs w:val="22"/>
        </w:rPr>
        <w:t>绿洲轻度沙化区：临时占地优先复垦为耕地，恢复农作物种植；耕地边缘区域补植新疆杨、沙枣等乔木，衔接原有农田林网，完善绿洲内部防护林体系，提升农田防沙能力。</w:t>
      </w:r>
    </w:p>
    <w:bookmarkEnd w:id="428"/>
    <w:p w14:paraId="0B1648DD">
      <w:pPr>
        <w:keepNext/>
        <w:keepLines/>
        <w:widowControl w:val="0"/>
        <w:numPr>
          <w:ilvl w:val="1"/>
          <w:numId w:val="13"/>
        </w:numPr>
        <w:spacing w:before="240" w:after="240" w:line="240" w:lineRule="auto"/>
        <w:ind w:firstLine="200" w:firstLineChars="0"/>
        <w:jc w:val="both"/>
        <w:outlineLvl w:val="1"/>
        <w:rPr>
          <w:rFonts w:ascii="Times New Roman" w:hAnsi="Times New Roman" w:eastAsia="宋体" w:cs="Times New Roman"/>
          <w:b/>
          <w:bCs/>
          <w:color w:val="000000"/>
          <w:kern w:val="2"/>
          <w:sz w:val="28"/>
          <w:szCs w:val="32"/>
          <w:lang w:val="en-US" w:eastAsia="zh-CN" w:bidi="ar-SA"/>
        </w:rPr>
      </w:pPr>
      <w:bookmarkStart w:id="433" w:name="_Toc10532"/>
      <w:r>
        <w:rPr>
          <w:rFonts w:ascii="Times New Roman" w:hAnsi="Times New Roman" w:eastAsia="宋体" w:cs="Times New Roman"/>
          <w:b/>
          <w:bCs/>
          <w:color w:val="000000"/>
          <w:kern w:val="2"/>
          <w:sz w:val="28"/>
          <w:szCs w:val="32"/>
          <w:lang w:val="en-US" w:eastAsia="zh-CN" w:bidi="ar-SA"/>
        </w:rPr>
        <w:t>运营期生态保护措施</w:t>
      </w:r>
      <w:bookmarkEnd w:id="429"/>
      <w:bookmarkEnd w:id="430"/>
      <w:bookmarkEnd w:id="433"/>
    </w:p>
    <w:p w14:paraId="23E8D367">
      <w:pPr>
        <w:spacing w:line="300" w:lineRule="auto"/>
        <w:ind w:firstLine="480" w:firstLineChars="200"/>
        <w:rPr>
          <w:rFonts w:ascii="Times New Roman" w:hAnsi="Times New Roman" w:eastAsia="宋体" w:cs="Times New Roman"/>
          <w:color w:val="000000"/>
          <w:sz w:val="24"/>
          <w:szCs w:val="22"/>
        </w:rPr>
      </w:pPr>
      <w:bookmarkStart w:id="434" w:name="_Hlk192184076"/>
      <w:r>
        <w:rPr>
          <w:rFonts w:hint="eastAsia" w:ascii="Times New Roman" w:hAnsi="Times New Roman" w:eastAsia="宋体" w:cs="Times New Roman"/>
          <w:color w:val="000000"/>
          <w:sz w:val="24"/>
          <w:szCs w:val="22"/>
          <w:lang w:val="en-US" w:eastAsia="zh-CN"/>
        </w:rPr>
        <w:t xml:space="preserve">1. </w:t>
      </w:r>
      <w:r>
        <w:rPr>
          <w:rFonts w:ascii="Times New Roman" w:hAnsi="Times New Roman" w:eastAsia="宋体" w:cs="Times New Roman"/>
          <w:color w:val="000000"/>
          <w:sz w:val="24"/>
          <w:szCs w:val="22"/>
        </w:rPr>
        <w:t>施工后期应按公路绿化设计的要求，完成拟建公路征地范围内绿化工作，并加强对绿化植物的管理与养护，使之保证成活，以达到恢复植被、保护路基，以及减少土壤侵蚀的目的。</w:t>
      </w:r>
    </w:p>
    <w:p w14:paraId="3602CA32">
      <w:pPr>
        <w:autoSpaceDE w:val="0"/>
        <w:autoSpaceDN w:val="0"/>
        <w:adjustRightInd w:val="0"/>
        <w:spacing w:after="156" w:afterLines="50" w:line="300" w:lineRule="auto"/>
        <w:ind w:firstLine="480" w:firstLineChars="200"/>
        <w:rPr>
          <w:rFonts w:ascii="Times New Roman" w:hAnsi="Times New Roman" w:eastAsia="宋体" w:cs="Times New Roman"/>
          <w:color w:val="000000"/>
          <w:kern w:val="0"/>
          <w:sz w:val="24"/>
          <w:szCs w:val="22"/>
        </w:rPr>
      </w:pPr>
      <w:r>
        <w:rPr>
          <w:rFonts w:hint="eastAsia" w:ascii="Times New Roman" w:hAnsi="Times New Roman" w:eastAsia="宋体" w:cs="Times New Roman"/>
          <w:color w:val="000000"/>
          <w:sz w:val="24"/>
          <w:szCs w:val="22"/>
          <w:lang w:val="en-US" w:eastAsia="zh-CN"/>
        </w:rPr>
        <w:t xml:space="preserve">2. </w:t>
      </w:r>
      <w:r>
        <w:rPr>
          <w:rFonts w:ascii="Times New Roman" w:hAnsi="Times New Roman" w:eastAsia="宋体" w:cs="Times New Roman"/>
          <w:color w:val="000000"/>
          <w:sz w:val="24"/>
          <w:szCs w:val="22"/>
        </w:rPr>
        <w:t>主体工程完成后，优先采用乡土植物品种进行植被恢复。加强道路沿线绿化养护，保障植被成活率，逐步恢复区域植被覆盖度与生态功能。不随意引入外来物种，避免造成生物入侵风险</w:t>
      </w:r>
      <w:r>
        <w:rPr>
          <w:rFonts w:ascii="Times New Roman" w:hAnsi="Times New Roman" w:eastAsia="宋体" w:cs="Times New Roman"/>
          <w:color w:val="000000"/>
          <w:kern w:val="0"/>
          <w:sz w:val="24"/>
          <w:szCs w:val="22"/>
        </w:rPr>
        <w:t>。</w:t>
      </w:r>
    </w:p>
    <w:bookmarkEnd w:id="434"/>
    <w:p w14:paraId="0AE4DA23">
      <w:pPr>
        <w:ind w:firstLine="480"/>
        <w:rPr>
          <w:rFonts w:cs="Times New Roman"/>
          <w:color w:val="000000"/>
        </w:rPr>
        <w:sectPr>
          <w:headerReference r:id="rId138" w:type="default"/>
          <w:headerReference r:id="rId139" w:type="even"/>
          <w:pgSz w:w="11906" w:h="16838"/>
          <w:pgMar w:top="1440" w:right="1797" w:bottom="1559" w:left="1797" w:header="851" w:footer="992" w:gutter="0"/>
          <w:pgBorders>
            <w:top w:val="none" w:sz="0" w:space="0"/>
            <w:left w:val="none" w:sz="0" w:space="0"/>
            <w:bottom w:val="none" w:sz="0" w:space="0"/>
            <w:right w:val="none" w:sz="0" w:space="0"/>
          </w:pgBorders>
          <w:cols w:space="720" w:num="1"/>
          <w:docGrid w:type="lines" w:linePitch="312" w:charSpace="0"/>
        </w:sectPr>
      </w:pPr>
    </w:p>
    <w:p w14:paraId="08911895">
      <w:pPr>
        <w:keepNext/>
        <w:keepLines/>
        <w:widowControl w:val="0"/>
        <w:numPr>
          <w:ilvl w:val="0"/>
          <w:numId w:val="13"/>
        </w:numPr>
        <w:spacing w:before="480" w:after="480" w:line="240" w:lineRule="auto"/>
        <w:ind w:firstLine="0" w:firstLineChars="0"/>
        <w:jc w:val="center"/>
        <w:outlineLvl w:val="0"/>
        <w:rPr>
          <w:rFonts w:ascii="Times New Roman" w:hAnsi="Times New Roman" w:eastAsia="宋体" w:cs="Times New Roman"/>
          <w:b/>
          <w:bCs/>
          <w:color w:val="000000"/>
          <w:kern w:val="44"/>
          <w:sz w:val="32"/>
          <w:szCs w:val="44"/>
          <w:lang w:val="en-US" w:eastAsia="zh-CN" w:bidi="ar-SA"/>
        </w:rPr>
      </w:pPr>
      <w:bookmarkStart w:id="435" w:name="_Toc219363473"/>
      <w:bookmarkStart w:id="436" w:name="_Toc32268"/>
      <w:r>
        <w:rPr>
          <w:rFonts w:ascii="Times New Roman" w:hAnsi="Times New Roman" w:eastAsia="宋体" w:cs="Times New Roman"/>
          <w:b/>
          <w:bCs/>
          <w:color w:val="000000"/>
          <w:kern w:val="44"/>
          <w:sz w:val="32"/>
          <w:szCs w:val="44"/>
          <w:lang w:val="en-US" w:eastAsia="zh-CN" w:bidi="ar-SA"/>
        </w:rPr>
        <w:t>生态影响评价结论</w:t>
      </w:r>
      <w:bookmarkEnd w:id="431"/>
      <w:bookmarkEnd w:id="435"/>
      <w:bookmarkEnd w:id="436"/>
    </w:p>
    <w:p w14:paraId="77C1C5CA">
      <w:pPr>
        <w:adjustRightInd w:val="0"/>
        <w:spacing w:line="300" w:lineRule="auto"/>
        <w:ind w:firstLine="480" w:firstLineChars="200"/>
        <w:rPr>
          <w:rFonts w:ascii="Times New Roman" w:hAnsi="Times New Roman" w:eastAsia="宋体" w:cs="Times New Roman"/>
          <w:color w:val="000000"/>
          <w:spacing w:val="-2"/>
          <w:sz w:val="24"/>
          <w:szCs w:val="24"/>
        </w:rPr>
      </w:pPr>
      <w:r>
        <w:rPr>
          <w:rFonts w:ascii="Times New Roman" w:hAnsi="Times New Roman" w:eastAsia="宋体" w:cs="Times New Roman"/>
          <w:color w:val="000000"/>
          <w:sz w:val="24"/>
          <w:szCs w:val="22"/>
        </w:rPr>
        <w:t>1.</w:t>
      </w:r>
      <w:r>
        <w:rPr>
          <w:rFonts w:hint="eastAsia" w:ascii="Times New Roman" w:hAnsi="Times New Roman" w:eastAsia="宋体" w:cs="Times New Roman"/>
          <w:color w:val="000000"/>
          <w:sz w:val="24"/>
          <w:szCs w:val="22"/>
          <w:lang w:val="en-US" w:eastAsia="zh-CN"/>
        </w:rPr>
        <w:t xml:space="preserve"> </w:t>
      </w:r>
      <w:r>
        <w:rPr>
          <w:rFonts w:ascii="Times New Roman" w:hAnsi="Times New Roman" w:eastAsia="宋体" w:cs="Times New Roman"/>
          <w:color w:val="000000"/>
          <w:sz w:val="24"/>
          <w:szCs w:val="22"/>
        </w:rPr>
        <w:t>拟建公路评价区域生态系统类型有</w:t>
      </w:r>
      <w:r>
        <w:rPr>
          <w:rFonts w:ascii="Times New Roman" w:hAnsi="Times New Roman" w:eastAsia="宋体" w:cs="Times New Roman"/>
          <w:color w:val="000000"/>
          <w:sz w:val="24"/>
          <w:szCs w:val="24"/>
        </w:rPr>
        <w:t>森林生态系统、灌丛生态系统、草地生态系统、湿地生态系统、农田生态系统、荒漠生态系统和城镇生态系统</w:t>
      </w:r>
      <w:r>
        <w:rPr>
          <w:rFonts w:ascii="Times New Roman" w:hAnsi="Times New Roman" w:eastAsia="宋体" w:cs="Times New Roman"/>
          <w:color w:val="000000"/>
          <w:sz w:val="24"/>
          <w:szCs w:val="22"/>
        </w:rPr>
        <w:t>。</w:t>
      </w:r>
      <w:r>
        <w:rPr>
          <w:rFonts w:ascii="Times New Roman" w:hAnsi="Times New Roman" w:eastAsia="宋体" w:cs="Times New Roman"/>
          <w:color w:val="000000"/>
          <w:spacing w:val="-2"/>
          <w:sz w:val="24"/>
          <w:szCs w:val="24"/>
        </w:rPr>
        <w:t xml:space="preserve">拟建公路评价区域生态系统类型以农田生态系统为主，城镇生态系统比重居第二位，森林、灌丛、草地、荒漠、湿地生态系统所占项目评价区域面积较小。 </w:t>
      </w:r>
    </w:p>
    <w:p w14:paraId="4F6D27E9">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2.</w:t>
      </w:r>
      <w:r>
        <w:rPr>
          <w:rFonts w:hint="eastAsia" w:ascii="Times New Roman" w:hAnsi="Times New Roman" w:eastAsia="宋体" w:cs="Times New Roman"/>
          <w:color w:val="000000"/>
          <w:sz w:val="24"/>
          <w:szCs w:val="22"/>
          <w:lang w:val="en-US" w:eastAsia="zh-CN"/>
        </w:rPr>
        <w:t xml:space="preserve"> </w:t>
      </w:r>
      <w:r>
        <w:rPr>
          <w:rFonts w:ascii="Times New Roman" w:hAnsi="Times New Roman" w:eastAsia="宋体" w:cs="Times New Roman"/>
          <w:color w:val="000000"/>
          <w:sz w:val="24"/>
          <w:szCs w:val="22"/>
        </w:rPr>
        <w:t>拟建公路区属于温带荒漠区域-东部荒漠亚区域-暖温带灌木、半灌木荒漠地带-塔里木盆地沙漠与稀疏灌木、半灌木荒漠区-天山南坡-西昆仑山山地半灌木荒漠、草原区。沿线天然植被以荒漠植被为主，无天然针叶林、阔叶林及高山植被分布；人工植被以绿洲农田和农田防护林为主。主要植被型包括灌木、草地、栽培植被三类，区域植被结构简单、覆盖度低。项目沿线植被以新疆杨、银白杨、榆树、沙枣构成的人工林为主，灌木为多枝柽柳、柽柳、琵琶柴、沙拐枣、骆驼刺、盐爪爪等，草地主要为芨芨草、碱蓬。项目沿线农田栽培植被及人</w:t>
      </w:r>
      <w:r>
        <w:rPr>
          <w:rFonts w:hint="eastAsia" w:ascii="Times New Roman" w:hAnsi="Times New Roman" w:eastAsia="宋体" w:cs="Times New Roman"/>
          <w:color w:val="000000"/>
          <w:sz w:val="24"/>
          <w:szCs w:val="22"/>
          <w:lang w:eastAsia="zh-CN"/>
        </w:rPr>
        <w:t>工</w:t>
      </w:r>
      <w:r>
        <w:rPr>
          <w:rFonts w:ascii="Times New Roman" w:hAnsi="Times New Roman" w:eastAsia="宋体" w:cs="Times New Roman"/>
          <w:color w:val="000000"/>
          <w:sz w:val="24"/>
          <w:szCs w:val="22"/>
        </w:rPr>
        <w:t>分布广泛。</w:t>
      </w:r>
    </w:p>
    <w:p w14:paraId="0677A922">
      <w:pPr>
        <w:snapToGrid w:val="0"/>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3.</w:t>
      </w:r>
      <w:r>
        <w:rPr>
          <w:rFonts w:hint="eastAsia" w:ascii="Times New Roman" w:hAnsi="Times New Roman" w:eastAsia="宋体" w:cs="Times New Roman"/>
          <w:color w:val="000000"/>
          <w:sz w:val="24"/>
          <w:szCs w:val="22"/>
          <w:lang w:val="en-US" w:eastAsia="zh-CN"/>
        </w:rPr>
        <w:t xml:space="preserve"> </w:t>
      </w:r>
      <w:r>
        <w:rPr>
          <w:rFonts w:ascii="Times New Roman" w:hAnsi="Times New Roman" w:eastAsia="宋体" w:cs="Times New Roman"/>
          <w:color w:val="000000"/>
          <w:sz w:val="24"/>
          <w:szCs w:val="22"/>
        </w:rPr>
        <w:t>拟建公路区在动物地理区划上属于古北界-中亚亚界-蒙新区-西部荒漠亚区，动物区系组成简单</w:t>
      </w:r>
      <w:r>
        <w:rPr>
          <w:rFonts w:ascii="Times New Roman" w:hAnsi="Times New Roman" w:eastAsia="宋体" w:cs="Times New Roman"/>
          <w:color w:val="000000"/>
          <w:sz w:val="24"/>
          <w:szCs w:val="21"/>
          <w:lang w:bidi="ar"/>
        </w:rPr>
        <w:t>，</w:t>
      </w:r>
      <w:r>
        <w:rPr>
          <w:rFonts w:ascii="Times New Roman" w:hAnsi="Times New Roman" w:eastAsia="宋体" w:cs="Times New Roman"/>
          <w:color w:val="000000"/>
          <w:sz w:val="24"/>
          <w:szCs w:val="22"/>
        </w:rPr>
        <w:t>且受人类活动以及项目区已有公路等影响，</w:t>
      </w:r>
      <w:r>
        <w:rPr>
          <w:rFonts w:ascii="Times New Roman" w:hAnsi="Times New Roman" w:eastAsia="宋体" w:cs="Times New Roman"/>
          <w:color w:val="000000"/>
          <w:sz w:val="24"/>
          <w:szCs w:val="21"/>
          <w:lang w:bidi="ar"/>
        </w:rPr>
        <w:t>野生动物种类及分布均较少。</w:t>
      </w:r>
    </w:p>
    <w:p w14:paraId="37A02B82">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4.</w:t>
      </w:r>
      <w:bookmarkStart w:id="437" w:name="_Hlk192184310"/>
      <w:r>
        <w:rPr>
          <w:rFonts w:ascii="Times New Roman" w:hAnsi="Times New Roman" w:eastAsia="宋体" w:cs="Times New Roman"/>
          <w:color w:val="000000"/>
          <w:sz w:val="24"/>
          <w:szCs w:val="24"/>
        </w:rPr>
        <w:t xml:space="preserve"> 拟建公路</w:t>
      </w:r>
      <w:r>
        <w:rPr>
          <w:rFonts w:ascii="Times New Roman" w:hAnsi="Times New Roman" w:eastAsia="宋体" w:cs="Times New Roman"/>
          <w:color w:val="000000"/>
          <w:sz w:val="24"/>
          <w:szCs w:val="22"/>
        </w:rPr>
        <w:t>共计占地317.3</w:t>
      </w:r>
      <w:r>
        <w:rPr>
          <w:rFonts w:ascii="Times New Roman" w:hAnsi="Times New Roman" w:eastAsia="宋体" w:cs="Times New Roman"/>
          <w:color w:val="000000"/>
          <w:spacing w:val="4"/>
          <w:sz w:val="24"/>
          <w:szCs w:val="22"/>
        </w:rPr>
        <w:t>hm</w:t>
      </w:r>
      <w:r>
        <w:rPr>
          <w:rFonts w:ascii="Times New Roman" w:hAnsi="Times New Roman" w:eastAsia="宋体" w:cs="Times New Roman"/>
          <w:color w:val="000000"/>
          <w:spacing w:val="4"/>
          <w:sz w:val="24"/>
          <w:szCs w:val="22"/>
          <w:vertAlign w:val="superscript"/>
        </w:rPr>
        <w:t>2</w:t>
      </w:r>
      <w:r>
        <w:rPr>
          <w:rFonts w:ascii="Times New Roman" w:hAnsi="Times New Roman" w:eastAsia="宋体" w:cs="Times New Roman"/>
          <w:color w:val="000000"/>
          <w:spacing w:val="4"/>
          <w:sz w:val="24"/>
          <w:szCs w:val="22"/>
        </w:rPr>
        <w:t>，其中</w:t>
      </w:r>
      <w:r>
        <w:rPr>
          <w:rFonts w:ascii="Times New Roman" w:hAnsi="Times New Roman" w:eastAsia="宋体" w:cs="Times New Roman"/>
          <w:color w:val="000000"/>
          <w:sz w:val="24"/>
          <w:szCs w:val="22"/>
        </w:rPr>
        <w:t>永久占地306.32hm</w:t>
      </w:r>
      <w:r>
        <w:rPr>
          <w:rFonts w:ascii="Times New Roman" w:hAnsi="Times New Roman" w:eastAsia="宋体" w:cs="Times New Roman"/>
          <w:color w:val="000000"/>
          <w:sz w:val="24"/>
          <w:szCs w:val="22"/>
          <w:vertAlign w:val="superscript"/>
        </w:rPr>
        <w:t>2</w:t>
      </w:r>
      <w:r>
        <w:rPr>
          <w:rFonts w:ascii="Times New Roman" w:hAnsi="Times New Roman" w:eastAsia="宋体" w:cs="Times New Roman"/>
          <w:color w:val="000000"/>
          <w:sz w:val="24"/>
          <w:szCs w:val="22"/>
        </w:rPr>
        <w:t>，临时用地10.98hm</w:t>
      </w:r>
      <w:r>
        <w:rPr>
          <w:rFonts w:ascii="Times New Roman" w:hAnsi="Times New Roman" w:eastAsia="宋体" w:cs="Times New Roman"/>
          <w:color w:val="000000"/>
          <w:sz w:val="24"/>
          <w:szCs w:val="22"/>
          <w:vertAlign w:val="superscript"/>
        </w:rPr>
        <w:t>2</w:t>
      </w:r>
      <w:r>
        <w:rPr>
          <w:rFonts w:ascii="Times New Roman" w:hAnsi="Times New Roman" w:eastAsia="宋体" w:cs="Times New Roman"/>
          <w:color w:val="000000"/>
          <w:sz w:val="24"/>
          <w:szCs w:val="22"/>
        </w:rPr>
        <w:t>，。拟建公路永久占用耕地34.12 hm</w:t>
      </w:r>
      <w:r>
        <w:rPr>
          <w:rFonts w:ascii="Times New Roman" w:hAnsi="Times New Roman" w:eastAsia="宋体" w:cs="Times New Roman"/>
          <w:color w:val="000000"/>
          <w:sz w:val="24"/>
          <w:szCs w:val="22"/>
          <w:vertAlign w:val="superscript"/>
        </w:rPr>
        <w:t>2</w:t>
      </w:r>
      <w:r>
        <w:rPr>
          <w:rFonts w:ascii="Times New Roman" w:hAnsi="Times New Roman" w:eastAsia="宋体" w:cs="Times New Roman"/>
          <w:color w:val="000000"/>
          <w:sz w:val="24"/>
          <w:szCs w:val="22"/>
        </w:rPr>
        <w:t>，园地7.85hm</w:t>
      </w:r>
      <w:r>
        <w:rPr>
          <w:rFonts w:ascii="Times New Roman" w:hAnsi="Times New Roman" w:eastAsia="宋体" w:cs="Times New Roman"/>
          <w:color w:val="000000"/>
          <w:sz w:val="24"/>
          <w:szCs w:val="22"/>
          <w:vertAlign w:val="superscript"/>
        </w:rPr>
        <w:t>2</w:t>
      </w:r>
      <w:r>
        <w:rPr>
          <w:rFonts w:ascii="Times New Roman" w:hAnsi="Times New Roman" w:eastAsia="宋体" w:cs="Times New Roman"/>
          <w:color w:val="000000"/>
          <w:sz w:val="24"/>
          <w:szCs w:val="22"/>
        </w:rPr>
        <w:t>，林地78.08hm</w:t>
      </w:r>
      <w:r>
        <w:rPr>
          <w:rFonts w:ascii="Times New Roman" w:hAnsi="Times New Roman" w:eastAsia="宋体" w:cs="Times New Roman"/>
          <w:color w:val="000000"/>
          <w:sz w:val="24"/>
          <w:szCs w:val="22"/>
          <w:vertAlign w:val="superscript"/>
        </w:rPr>
        <w:t>2</w:t>
      </w:r>
      <w:r>
        <w:rPr>
          <w:rFonts w:ascii="Times New Roman" w:hAnsi="Times New Roman" w:eastAsia="宋体" w:cs="Times New Roman"/>
          <w:color w:val="000000"/>
          <w:sz w:val="24"/>
          <w:szCs w:val="22"/>
        </w:rPr>
        <w:t>，草地4.79 hm</w:t>
      </w:r>
      <w:r>
        <w:rPr>
          <w:rFonts w:ascii="Times New Roman" w:hAnsi="Times New Roman" w:eastAsia="宋体" w:cs="Times New Roman"/>
          <w:color w:val="000000"/>
          <w:sz w:val="24"/>
          <w:szCs w:val="22"/>
          <w:vertAlign w:val="superscript"/>
        </w:rPr>
        <w:t>2</w:t>
      </w:r>
      <w:r>
        <w:rPr>
          <w:rFonts w:ascii="Times New Roman" w:hAnsi="Times New Roman" w:eastAsia="宋体" w:cs="Times New Roman"/>
          <w:color w:val="000000"/>
          <w:sz w:val="24"/>
          <w:szCs w:val="22"/>
        </w:rPr>
        <w:t>，荒地15.68 hm</w:t>
      </w:r>
      <w:r>
        <w:rPr>
          <w:rFonts w:ascii="Times New Roman" w:hAnsi="Times New Roman" w:eastAsia="宋体" w:cs="Times New Roman"/>
          <w:color w:val="000000"/>
          <w:sz w:val="24"/>
          <w:szCs w:val="22"/>
          <w:vertAlign w:val="superscript"/>
        </w:rPr>
        <w:t>2</w:t>
      </w:r>
      <w:r>
        <w:rPr>
          <w:rFonts w:ascii="Times New Roman" w:hAnsi="Times New Roman" w:eastAsia="宋体" w:cs="Times New Roman"/>
          <w:color w:val="000000"/>
          <w:sz w:val="24"/>
          <w:szCs w:val="22"/>
        </w:rPr>
        <w:t>，宅基地9.74hm</w:t>
      </w:r>
      <w:r>
        <w:rPr>
          <w:rFonts w:ascii="Times New Roman" w:hAnsi="Times New Roman" w:eastAsia="宋体" w:cs="Times New Roman"/>
          <w:color w:val="000000"/>
          <w:sz w:val="24"/>
          <w:szCs w:val="22"/>
          <w:vertAlign w:val="superscript"/>
        </w:rPr>
        <w:t>2</w:t>
      </w:r>
      <w:r>
        <w:rPr>
          <w:rFonts w:ascii="Times New Roman" w:hAnsi="Times New Roman" w:eastAsia="宋体" w:cs="Times New Roman"/>
          <w:color w:val="000000"/>
          <w:sz w:val="24"/>
          <w:szCs w:val="22"/>
        </w:rPr>
        <w:t>，原有公路142.46hm</w:t>
      </w:r>
      <w:r>
        <w:rPr>
          <w:rFonts w:ascii="Times New Roman" w:hAnsi="Times New Roman" w:eastAsia="宋体" w:cs="Times New Roman"/>
          <w:color w:val="000000"/>
          <w:sz w:val="24"/>
          <w:szCs w:val="22"/>
          <w:vertAlign w:val="superscript"/>
        </w:rPr>
        <w:t>2</w:t>
      </w:r>
      <w:r>
        <w:rPr>
          <w:rFonts w:ascii="Times New Roman" w:hAnsi="Times New Roman" w:eastAsia="宋体" w:cs="Times New Roman"/>
          <w:color w:val="000000"/>
          <w:sz w:val="24"/>
          <w:szCs w:val="22"/>
        </w:rPr>
        <w:t>，地方老路12.8hm</w:t>
      </w:r>
      <w:r>
        <w:rPr>
          <w:rFonts w:ascii="Times New Roman" w:hAnsi="Times New Roman" w:eastAsia="宋体" w:cs="Times New Roman"/>
          <w:color w:val="000000"/>
          <w:sz w:val="24"/>
          <w:szCs w:val="22"/>
          <w:vertAlign w:val="superscript"/>
        </w:rPr>
        <w:t>2</w:t>
      </w:r>
      <w:r>
        <w:rPr>
          <w:rFonts w:ascii="Times New Roman" w:hAnsi="Times New Roman" w:eastAsia="宋体" w:cs="Times New Roman"/>
          <w:color w:val="000000"/>
          <w:sz w:val="24"/>
          <w:szCs w:val="22"/>
        </w:rPr>
        <w:t>，河流水面1.07 hm</w:t>
      </w:r>
      <w:r>
        <w:rPr>
          <w:rFonts w:ascii="Times New Roman" w:hAnsi="Times New Roman" w:eastAsia="宋体" w:cs="Times New Roman"/>
          <w:color w:val="000000"/>
          <w:sz w:val="24"/>
          <w:szCs w:val="22"/>
          <w:vertAlign w:val="superscript"/>
        </w:rPr>
        <w:t>2</w:t>
      </w:r>
      <w:r>
        <w:rPr>
          <w:rFonts w:ascii="Times New Roman" w:hAnsi="Times New Roman" w:eastAsia="宋体" w:cs="Times New Roman"/>
          <w:color w:val="000000"/>
          <w:sz w:val="24"/>
          <w:szCs w:val="22"/>
        </w:rPr>
        <w:t>。占用各地类占区域各地类总面积比重较小，考虑到后期对耕地、林地和草地的自然恢复等，总体上看对项目区农业和土地利用开发的影响是有限的。</w:t>
      </w:r>
      <w:bookmarkEnd w:id="437"/>
    </w:p>
    <w:p w14:paraId="16B1EFDF">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5.</w:t>
      </w:r>
      <w:r>
        <w:rPr>
          <w:rFonts w:hint="eastAsia" w:ascii="Times New Roman" w:hAnsi="Times New Roman" w:eastAsia="宋体" w:cs="Times New Roman"/>
          <w:color w:val="000000"/>
          <w:sz w:val="24"/>
          <w:szCs w:val="22"/>
          <w:lang w:val="en-US" w:eastAsia="zh-CN"/>
        </w:rPr>
        <w:t xml:space="preserve"> </w:t>
      </w:r>
      <w:r>
        <w:rPr>
          <w:rFonts w:ascii="Times New Roman" w:hAnsi="Times New Roman" w:eastAsia="宋体" w:cs="Times New Roman"/>
          <w:color w:val="000000"/>
          <w:sz w:val="24"/>
          <w:szCs w:val="22"/>
        </w:rPr>
        <w:t>拟建公路设置取土场 1 处，采用招拍挂方式外购布设，同步利用该取土场作为弃土场，此外无其他弃土场。2处施工生产生活区，新修便道2.3km。拟建公路临时占地10.98hm</w:t>
      </w:r>
      <w:r>
        <w:rPr>
          <w:rFonts w:ascii="Times New Roman" w:hAnsi="Times New Roman" w:eastAsia="宋体" w:cs="Times New Roman"/>
          <w:color w:val="000000"/>
          <w:sz w:val="24"/>
          <w:szCs w:val="22"/>
          <w:vertAlign w:val="superscript"/>
        </w:rPr>
        <w:t>2</w:t>
      </w:r>
      <w:r>
        <w:rPr>
          <w:rFonts w:ascii="Times New Roman" w:hAnsi="Times New Roman" w:eastAsia="宋体" w:cs="Times New Roman"/>
          <w:color w:val="000000"/>
          <w:sz w:val="24"/>
          <w:szCs w:val="22"/>
        </w:rPr>
        <w:t>，占地类型均为草地。施工结束后临时用地采取植被恢复措施，临时用地占地是合理的，对环境影响较小。</w:t>
      </w:r>
    </w:p>
    <w:p w14:paraId="434C0917">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6.</w:t>
      </w:r>
      <w:r>
        <w:rPr>
          <w:rFonts w:hint="eastAsia" w:ascii="Times New Roman" w:hAnsi="Times New Roman" w:eastAsia="宋体" w:cs="Times New Roman"/>
          <w:color w:val="000000"/>
          <w:sz w:val="24"/>
          <w:szCs w:val="22"/>
          <w:lang w:val="en-US" w:eastAsia="zh-CN"/>
        </w:rPr>
        <w:t xml:space="preserve"> </w:t>
      </w:r>
      <w:r>
        <w:rPr>
          <w:rFonts w:ascii="Times New Roman" w:hAnsi="Times New Roman" w:eastAsia="宋体" w:cs="Times New Roman"/>
          <w:color w:val="000000"/>
          <w:sz w:val="24"/>
          <w:szCs w:val="22"/>
        </w:rPr>
        <w:t>受拟建公路建设影响的植物均是沿线评价区广布种、常见种，工程施工会暂时减少这些植物种的个体数量，但对整个区域的植物种类、种群数量基本</w:t>
      </w:r>
      <w:r>
        <w:rPr>
          <w:rFonts w:hint="eastAsia" w:ascii="Times New Roman" w:hAnsi="Times New Roman" w:eastAsia="宋体" w:cs="Times New Roman"/>
          <w:color w:val="000000"/>
          <w:sz w:val="24"/>
          <w:szCs w:val="22"/>
          <w:lang w:eastAsia="zh-CN"/>
        </w:rPr>
        <w:t>没有</w:t>
      </w:r>
      <w:r>
        <w:rPr>
          <w:rFonts w:ascii="Times New Roman" w:hAnsi="Times New Roman" w:eastAsia="宋体" w:cs="Times New Roman"/>
          <w:color w:val="000000"/>
          <w:sz w:val="24"/>
          <w:szCs w:val="22"/>
        </w:rPr>
        <w:t>影响，</w:t>
      </w:r>
      <w:bookmarkStart w:id="438" w:name="_Hlk192183081"/>
      <w:r>
        <w:rPr>
          <w:rFonts w:ascii="Times New Roman" w:hAnsi="Times New Roman" w:eastAsia="宋体" w:cs="Times New Roman"/>
          <w:color w:val="000000"/>
          <w:sz w:val="24"/>
          <w:szCs w:val="22"/>
        </w:rPr>
        <w:t>项目沿线无国家及自治区重点保护野生植物分布，也不会因项目建设导致任何植物种明显减少或消失。同时项目建成后采用当地物种进行植被恢复，可减缓公路占地对植被产生的影响。总之，项目建设对沿线植被和植物物种多样性影响很小。</w:t>
      </w:r>
    </w:p>
    <w:bookmarkEnd w:id="438"/>
    <w:p w14:paraId="57059158">
      <w:pPr>
        <w:spacing w:line="300" w:lineRule="auto"/>
        <w:ind w:firstLine="480" w:firstLineChars="200"/>
        <w:rPr>
          <w:rFonts w:ascii="Times New Roman" w:hAnsi="Times New Roman" w:eastAsia="宋体" w:cs="Times New Roman"/>
          <w:color w:val="000000"/>
          <w:sz w:val="24"/>
          <w:szCs w:val="22"/>
        </w:rPr>
      </w:pPr>
      <w:r>
        <w:rPr>
          <w:rFonts w:ascii="Times New Roman" w:hAnsi="Times New Roman" w:eastAsia="宋体" w:cs="Times New Roman"/>
          <w:color w:val="000000"/>
          <w:sz w:val="24"/>
          <w:szCs w:val="22"/>
        </w:rPr>
        <w:t>7.</w:t>
      </w:r>
      <w:r>
        <w:rPr>
          <w:rFonts w:hint="eastAsia" w:ascii="Times New Roman" w:hAnsi="Times New Roman" w:eastAsia="宋体" w:cs="Times New Roman"/>
          <w:color w:val="000000"/>
          <w:sz w:val="24"/>
          <w:szCs w:val="22"/>
          <w:lang w:val="en-US" w:eastAsia="zh-CN"/>
        </w:rPr>
        <w:t xml:space="preserve"> </w:t>
      </w:r>
      <w:r>
        <w:rPr>
          <w:rFonts w:ascii="Times New Roman" w:hAnsi="Times New Roman" w:eastAsia="宋体" w:cs="Times New Roman"/>
          <w:color w:val="000000"/>
          <w:sz w:val="24"/>
          <w:szCs w:val="22"/>
        </w:rPr>
        <w:t>拟建公路的</w:t>
      </w:r>
      <w:bookmarkStart w:id="439" w:name="_Hlk192183107"/>
      <w:r>
        <w:rPr>
          <w:rFonts w:ascii="Times New Roman" w:hAnsi="Times New Roman" w:eastAsia="宋体" w:cs="Times New Roman"/>
          <w:color w:val="000000"/>
          <w:sz w:val="24"/>
          <w:szCs w:val="22"/>
        </w:rPr>
        <w:t>建设对野生动物的栖息环境的破坏、迁徙阻隔以及种群数量影响较小，不会降低区域野生动物的物种多样性；虽然项目的建设对沿线的爬行类和两栖动物有一定的干扰，但是对其生存及种群数量、种类影响很小。对拟建公路评价范围内可能出现的重点保护野生动物采取必要的保护措施后，公路建设对其栖息地、觅食以及迁徙影响较小。</w:t>
      </w:r>
      <w:bookmarkEnd w:id="439"/>
    </w:p>
    <w:p w14:paraId="70E6ADDE">
      <w:pPr>
        <w:spacing w:line="300" w:lineRule="auto"/>
        <w:ind w:firstLine="0" w:firstLineChars="0"/>
        <w:rPr>
          <w:rFonts w:ascii="Times New Roman" w:hAnsi="Times New Roman" w:eastAsia="宋体" w:cs="Times New Roman"/>
          <w:color w:val="000000"/>
          <w:sz w:val="24"/>
          <w:szCs w:val="22"/>
        </w:rPr>
      </w:pPr>
    </w:p>
    <w:p w14:paraId="6214E243">
      <w:pPr>
        <w:adjustRightInd w:val="0"/>
        <w:snapToGrid w:val="0"/>
        <w:spacing w:before="192" w:beforeLines="80"/>
        <w:rPr>
          <w:color w:val="0070C0"/>
          <w:szCs w:val="21"/>
        </w:rPr>
      </w:pPr>
      <w:bookmarkStart w:id="443" w:name="_GoBack"/>
      <w:bookmarkEnd w:id="443"/>
    </w:p>
    <w:sectPr>
      <w:headerReference r:id="rId140" w:type="default"/>
      <w:headerReference r:id="rId141" w:type="even"/>
      <w:footerReference r:id="rId142" w:type="even"/>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B1FD73CE-ED55-4252-8B4E-0BA733071ECC}"/>
  </w:font>
  <w:font w:name="Arial">
    <w:panose1 w:val="020B0604020202020204"/>
    <w:charset w:val="01"/>
    <w:family w:val="swiss"/>
    <w:pitch w:val="default"/>
    <w:sig w:usb0="E0002EFF" w:usb1="C000785B" w:usb2="00000009" w:usb3="00000000" w:csb0="400001FF" w:csb1="FFFF0000"/>
    <w:embedRegular r:id="rId2" w:fontKey="{219E9F1A-F173-486D-832C-B1A5F252F2CA}"/>
  </w:font>
  <w:font w:name="黑体">
    <w:panose1 w:val="02010609060101010101"/>
    <w:charset w:val="86"/>
    <w:family w:val="auto"/>
    <w:pitch w:val="default"/>
    <w:sig w:usb0="800002BF" w:usb1="38CF7CFA" w:usb2="00000016" w:usb3="00000000" w:csb0="00040001" w:csb1="00000000"/>
    <w:embedRegular r:id="rId3" w:fontKey="{B2DBBCD0-5805-44E3-B4D8-989493CCEFC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embedRegular r:id="rId4" w:fontKey="{8F3427B7-0ABE-401B-A781-D34D86F68884}"/>
  </w:font>
  <w:font w:name="Calibri">
    <w:panose1 w:val="020F0502020204030204"/>
    <w:charset w:val="00"/>
    <w:family w:val="swiss"/>
    <w:pitch w:val="default"/>
    <w:sig w:usb0="E4002EFF" w:usb1="C000247B" w:usb2="00000009" w:usb3="00000000" w:csb0="200001FF" w:csb1="00000000"/>
    <w:embedRegular r:id="rId5" w:fontKey="{5D0179B0-2DB6-4042-8246-74A2339DAFA1}"/>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embedRegular r:id="rId6" w:fontKey="{3DFB6D00-67A8-4BB2-9819-3C076CB8111A}"/>
  </w:font>
  <w:font w:name="仿宋">
    <w:panose1 w:val="02010609060101010101"/>
    <w:charset w:val="86"/>
    <w:family w:val="modern"/>
    <w:pitch w:val="default"/>
    <w:sig w:usb0="800002BF" w:usb1="38CF7CFA" w:usb2="00000016" w:usb3="00000000" w:csb0="00040001" w:csb1="00000000"/>
    <w:embedRegular r:id="rId7" w:fontKey="{77D95634-85B7-4552-AAE8-68EA318C18A1}"/>
  </w:font>
  <w:font w:name="方正小标宋_GBK">
    <w:panose1 w:val="02000000000000000000"/>
    <w:charset w:val="86"/>
    <w:family w:val="script"/>
    <w:pitch w:val="default"/>
    <w:sig w:usb0="A00002BF" w:usb1="38CF7CFA" w:usb2="00082016" w:usb3="00000000" w:csb0="00040001" w:csb1="00000000"/>
    <w:embedRegular r:id="rId8" w:fontKey="{7928F9DF-4A02-44D9-AAD7-C6CC8F79CAF7}"/>
  </w:font>
  <w:font w:name="楷体_GB2312">
    <w:altName w:val="楷体"/>
    <w:panose1 w:val="00000000000000000000"/>
    <w:charset w:val="86"/>
    <w:family w:val="modern"/>
    <w:pitch w:val="default"/>
    <w:sig w:usb0="00000000" w:usb1="00000000" w:usb2="00000000" w:usb3="00000000" w:csb0="00040000" w:csb1="00000000"/>
    <w:embedRegular r:id="rId9" w:fontKey="{BC8A9B90-9E77-4D10-A16D-07EC42DE7FDC}"/>
  </w:font>
  <w:font w:name="楷体">
    <w:panose1 w:val="02010609060101010101"/>
    <w:charset w:val="86"/>
    <w:family w:val="auto"/>
    <w:pitch w:val="default"/>
    <w:sig w:usb0="800002BF" w:usb1="38CF7CFA" w:usb2="00000016" w:usb3="00000000" w:csb0="00040001" w:csb1="00000000"/>
  </w:font>
  <w:font w:name="Segoe UI Symbol">
    <w:panose1 w:val="020B0502040204020203"/>
    <w:charset w:val="00"/>
    <w:family w:val="swiss"/>
    <w:pitch w:val="default"/>
    <w:sig w:usb0="800001E3" w:usb1="1200FFEF" w:usb2="00040000" w:usb3="04000000" w:csb0="00000001" w:csb1="40000000"/>
    <w:embedRegular r:id="rId10" w:fontKey="{A2D076ED-07CC-4EAD-A793-FF1CCCC6E6A2}"/>
  </w:font>
  <w:font w:name="FZFSK--GBK1-0">
    <w:altName w:val="宋体"/>
    <w:panose1 w:val="00000000000000000000"/>
    <w:charset w:val="86"/>
    <w:family w:val="auto"/>
    <w:pitch w:val="default"/>
    <w:sig w:usb0="00000000" w:usb1="00000000" w:usb2="00000010" w:usb3="00000000" w:csb0="00040000" w:csb1="00000000"/>
    <w:embedRegular r:id="rId11" w:fontKey="{40CC83E7-0199-44BA-BC9A-77E246EA9EED}"/>
  </w:font>
  <w:font w:name="TimesNewRomanPSMT">
    <w:altName w:val="等线"/>
    <w:panose1 w:val="00000000000000000000"/>
    <w:charset w:val="00"/>
    <w:family w:val="roman"/>
    <w:pitch w:val="default"/>
    <w:sig w:usb0="00000000" w:usb1="00000000" w:usb2="00000000" w:usb3="00000000" w:csb0="00000001" w:csb1="00000000"/>
  </w:font>
  <w:font w:name="等线">
    <w:panose1 w:val="02010600030101010101"/>
    <w:charset w:val="86"/>
    <w:family w:val="auto"/>
    <w:pitch w:val="default"/>
    <w:sig w:usb0="A00002BF" w:usb1="38CF7CFA" w:usb2="00000016" w:usb3="00000000" w:csb0="0004000F" w:csb1="00000000"/>
    <w:embedRegular r:id="rId12" w:fontKey="{D6DA4D58-47E1-4528-AB6F-8BC721C616EB}"/>
  </w:font>
  <w:font w:name="Segoe UI Emoji">
    <w:panose1 w:val="020B0502040204020203"/>
    <w:charset w:val="00"/>
    <w:family w:val="swiss"/>
    <w:pitch w:val="default"/>
    <w:sig w:usb0="00000001" w:usb1="02000000" w:usb2="00000000" w:usb3="00000000" w:csb0="00000001" w:csb1="00000000"/>
    <w:embedRegular r:id="rId13" w:fontKey="{5003E264-607E-4628-A5BB-211042FE27FB}"/>
  </w:font>
  <w:font w:name="CIDFont+F2">
    <w:altName w:val="等线"/>
    <w:panose1 w:val="00000000000000000000"/>
    <w:charset w:val="86"/>
    <w:family w:val="auto"/>
    <w:pitch w:val="default"/>
    <w:sig w:usb0="00000000" w:usb1="00000000" w:usb2="00000010" w:usb3="00000000" w:csb0="00040000" w:csb1="00000000"/>
    <w:embedRegular r:id="rId14" w:fontKey="{4580C136-8AE6-4DC0-A09B-AA1937067ED9}"/>
  </w:font>
  <w:font w:name="Cambria Math">
    <w:panose1 w:val="02040503050406030204"/>
    <w:charset w:val="00"/>
    <w:family w:val="roman"/>
    <w:pitch w:val="default"/>
    <w:sig w:usb0="E00006FF" w:usb1="420024FF" w:usb2="02000000" w:usb3="00000000" w:csb0="2000019F" w:csb1="00000000"/>
    <w:embedRegular r:id="rId15" w:fontKey="{F6324C41-CE31-45BB-8482-639B0909F091}"/>
  </w:font>
  <w:font w:name="Segoe UI">
    <w:panose1 w:val="020B0502040204020203"/>
    <w:charset w:val="00"/>
    <w:family w:val="swiss"/>
    <w:pitch w:val="default"/>
    <w:sig w:usb0="E4002EFF" w:usb1="C000E47F" w:usb2="00000009" w:usb3="00000000" w:csb0="200001FF" w:csb1="00000000"/>
    <w:embedRegular r:id="rId16" w:fontKey="{B0B13DF4-790D-4860-AFAB-5B622255BD87}"/>
  </w:font>
  <w:font w:name="TimesNewRomanPS-BoldMT">
    <w:altName w:val="宋体"/>
    <w:panose1 w:val="00000000000000000000"/>
    <w:charset w:val="86"/>
    <w:family w:val="auto"/>
    <w:pitch w:val="default"/>
    <w:sig w:usb0="00000000" w:usb1="00000000" w:usb2="00000010" w:usb3="00000000" w:csb0="00040000" w:csb1="00000000"/>
    <w:embedRegular r:id="rId17" w:fontKey="{676C57EB-1255-463E-9CBE-7EE54E9BFF5F}"/>
  </w:font>
  <w:font w:name="KSOFE44F9426">
    <w:panose1 w:val="02010609060101010101"/>
    <w:charset w:val="86"/>
    <w:family w:val="auto"/>
    <w:pitch w:val="default"/>
    <w:sig w:usb0="00000001" w:usb1="00000000" w:usb2="00000000"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embedRegular r:id="rId18" w:fontKey="{EDB0DDE5-2FCB-4175-8640-A9E36E53DDF2}"/>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13CEFD">
    <w:pPr>
      <w:pStyle w:val="16"/>
      <w:ind w:right="360" w:firstLine="360"/>
      <w:jc w:val="cen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4E5C53">
    <w:pPr>
      <w:framePr w:wrap="around" w:vAnchor="text" w:hAnchor="margin" w:xAlign="outside" w:y="1"/>
      <w:widowControl w:val="0"/>
      <w:snapToGrid w:val="0"/>
      <w:spacing w:line="320" w:lineRule="exact"/>
      <w:jc w:val="left"/>
      <w:rPr>
        <w:rStyle w:val="26"/>
        <w:rFonts w:ascii="Times New Roman" w:hAnsi="Times New Roman" w:eastAsia="黑体" w:cs="Times New Roman"/>
        <w:kern w:val="2"/>
        <w:sz w:val="21"/>
        <w:szCs w:val="21"/>
        <w:lang w:val="en-US" w:eastAsia="zh-CN" w:bidi="ar-SA"/>
      </w:rPr>
    </w:pPr>
    <w:r>
      <w:rPr>
        <w:rFonts w:ascii="Times New Roman" w:hAnsi="Times New Roman" w:eastAsia="黑体" w:cs="Times New Roman"/>
        <w:kern w:val="2"/>
        <w:sz w:val="21"/>
        <w:szCs w:val="21"/>
        <w:lang w:val="en-US" w:eastAsia="zh-CN" w:bidi="ar-SA"/>
      </w:rPr>
      <w:fldChar w:fldCharType="begin"/>
    </w:r>
    <w:r>
      <w:rPr>
        <w:rStyle w:val="26"/>
        <w:rFonts w:ascii="Times New Roman" w:hAnsi="Times New Roman" w:eastAsia="黑体" w:cs="Times New Roman"/>
        <w:kern w:val="2"/>
        <w:sz w:val="21"/>
        <w:szCs w:val="21"/>
        <w:lang w:val="en-US" w:eastAsia="zh-CN" w:bidi="ar-SA"/>
      </w:rPr>
      <w:instrText xml:space="preserve">PAGE  </w:instrText>
    </w:r>
    <w:r>
      <w:rPr>
        <w:rFonts w:ascii="Times New Roman" w:hAnsi="Times New Roman" w:eastAsia="黑体" w:cs="Times New Roman"/>
        <w:kern w:val="2"/>
        <w:sz w:val="21"/>
        <w:szCs w:val="21"/>
        <w:lang w:val="en-US" w:eastAsia="zh-CN" w:bidi="ar-SA"/>
      </w:rPr>
      <w:fldChar w:fldCharType="separate"/>
    </w:r>
    <w:r>
      <w:rPr>
        <w:rStyle w:val="26"/>
        <w:rFonts w:ascii="Times New Roman" w:hAnsi="Times New Roman" w:eastAsia="黑体" w:cs="Times New Roman"/>
        <w:kern w:val="2"/>
        <w:sz w:val="21"/>
        <w:szCs w:val="21"/>
        <w:lang w:val="en-US" w:eastAsia="zh-CN" w:bidi="ar-SA"/>
      </w:rPr>
      <w:t>11</w:t>
    </w:r>
    <w:r>
      <w:rPr>
        <w:rFonts w:ascii="Times New Roman" w:hAnsi="Times New Roman" w:eastAsia="黑体" w:cs="Times New Roman"/>
        <w:kern w:val="2"/>
        <w:sz w:val="21"/>
        <w:szCs w:val="21"/>
        <w:lang w:val="en-US" w:eastAsia="zh-CN" w:bidi="ar-SA"/>
      </w:rPr>
      <w:fldChar w:fldCharType="end"/>
    </w:r>
  </w:p>
  <w:p w14:paraId="0769CA77">
    <w:pPr>
      <w:pBdr>
        <w:top w:val="thickThinSmallGap" w:color="auto" w:sz="12" w:space="1"/>
      </w:pBdr>
      <w:rPr>
        <w:rFonts w:hint="eastAsia" w:ascii="黑体" w:hAnsi="黑体" w:eastAsia="黑体" w:cs="Times New Roman"/>
        <w:lang w:eastAsia="zh-CN"/>
      </w:rPr>
    </w:pPr>
    <w:r>
      <w:rPr>
        <w:rFonts w:hint="eastAsia" w:ascii="黑体" w:hAnsi="Times New Roman" w:eastAsia="黑体" w:cs="Times New Roman"/>
        <w:szCs w:val="21"/>
        <w:lang w:eastAsia="zh-CN"/>
      </w:rPr>
      <w:t>北京交科公路勘察设计研究院有限公司</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BADBBB">
    <w:pPr>
      <w:framePr w:wrap="around" w:vAnchor="text" w:hAnchor="page" w:x="1710" w:y="79"/>
      <w:widowControl w:val="0"/>
      <w:snapToGrid w:val="0"/>
      <w:jc w:val="left"/>
      <w:rPr>
        <w:rStyle w:val="26"/>
        <w:rFonts w:ascii="Times New Roman" w:hAnsi="Times New Roman" w:eastAsia="黑体" w:cs="Times New Roman"/>
        <w:kern w:val="2"/>
        <w:sz w:val="21"/>
        <w:szCs w:val="21"/>
        <w:lang w:val="en-US" w:eastAsia="zh-CN" w:bidi="ar-SA"/>
      </w:rPr>
    </w:pPr>
    <w:r>
      <w:rPr>
        <w:rFonts w:ascii="Times New Roman" w:hAnsi="Times New Roman" w:eastAsia="黑体" w:cs="Times New Roman"/>
        <w:kern w:val="2"/>
        <w:sz w:val="21"/>
        <w:szCs w:val="21"/>
        <w:lang w:val="en-US" w:eastAsia="zh-CN" w:bidi="ar-SA"/>
      </w:rPr>
      <w:fldChar w:fldCharType="begin"/>
    </w:r>
    <w:r>
      <w:rPr>
        <w:rStyle w:val="26"/>
        <w:rFonts w:ascii="Times New Roman" w:hAnsi="Times New Roman" w:eastAsia="黑体" w:cs="Times New Roman"/>
        <w:kern w:val="2"/>
        <w:sz w:val="21"/>
        <w:szCs w:val="21"/>
        <w:lang w:val="en-US" w:eastAsia="zh-CN" w:bidi="ar-SA"/>
      </w:rPr>
      <w:instrText xml:space="preserve">PAGE  </w:instrText>
    </w:r>
    <w:r>
      <w:rPr>
        <w:rFonts w:ascii="Times New Roman" w:hAnsi="Times New Roman" w:eastAsia="黑体" w:cs="Times New Roman"/>
        <w:kern w:val="2"/>
        <w:sz w:val="21"/>
        <w:szCs w:val="21"/>
        <w:lang w:val="en-US" w:eastAsia="zh-CN" w:bidi="ar-SA"/>
      </w:rPr>
      <w:fldChar w:fldCharType="separate"/>
    </w:r>
    <w:r>
      <w:rPr>
        <w:rStyle w:val="26"/>
        <w:rFonts w:ascii="Times New Roman" w:hAnsi="Times New Roman" w:eastAsia="黑体" w:cs="Times New Roman"/>
        <w:kern w:val="2"/>
        <w:sz w:val="21"/>
        <w:szCs w:val="21"/>
        <w:lang w:val="en-US" w:eastAsia="zh-CN" w:bidi="ar-SA"/>
      </w:rPr>
      <w:t>12</w:t>
    </w:r>
    <w:r>
      <w:rPr>
        <w:rFonts w:ascii="Times New Roman" w:hAnsi="Times New Roman" w:eastAsia="黑体" w:cs="Times New Roman"/>
        <w:kern w:val="2"/>
        <w:sz w:val="21"/>
        <w:szCs w:val="21"/>
        <w:lang w:val="en-US" w:eastAsia="zh-CN" w:bidi="ar-SA"/>
      </w:rPr>
      <w:fldChar w:fldCharType="end"/>
    </w:r>
  </w:p>
  <w:p w14:paraId="0331D311">
    <w:pPr>
      <w:pBdr>
        <w:top w:val="thickThinSmallGap" w:color="auto" w:sz="12" w:space="1"/>
      </w:pBdr>
      <w:jc w:val="right"/>
      <w:rPr>
        <w:rFonts w:hint="eastAsia" w:ascii="黑体" w:hAnsi="黑体" w:eastAsia="黑体" w:cs="Times New Roman"/>
        <w:lang w:eastAsia="zh-CN"/>
      </w:rPr>
    </w:pPr>
    <w:r>
      <w:rPr>
        <w:rFonts w:hint="eastAsia" w:ascii="黑体" w:hAnsi="Times New Roman" w:eastAsia="黑体" w:cs="Times New Roman"/>
        <w:szCs w:val="21"/>
        <w:lang w:eastAsia="zh-CN"/>
      </w:rPr>
      <w:t>北京交科公路勘察设计研究院有限公司</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EFF9F8">
    <w:pPr>
      <w:widowControl w:val="0"/>
      <w:pBdr>
        <w:top w:val="thinThickSmallGap" w:color="auto" w:sz="12" w:space="1"/>
      </w:pBdr>
      <w:snapToGrid w:val="0"/>
      <w:jc w:val="left"/>
      <w:rPr>
        <w:rFonts w:ascii="Times New Roman" w:hAnsi="Times New Roman" w:eastAsia="宋体" w:cs="Times New Roman"/>
        <w:kern w:val="2"/>
        <w:sz w:val="18"/>
        <w:szCs w:val="18"/>
        <w:lang w:val="en-US" w:eastAsia="zh-CN" w:bidi="ar-SA"/>
      </w:rPr>
    </w:pPr>
    <w:r>
      <w:rPr>
        <w:rFonts w:hint="eastAsia" w:ascii="黑体" w:hAnsi="Times New Roman" w:eastAsia="黑体" w:cs="Times New Roman"/>
        <w:kern w:val="2"/>
        <w:sz w:val="21"/>
        <w:szCs w:val="21"/>
        <w:lang w:val="en-US" w:eastAsia="zh-CN" w:bidi="ar-SA"/>
      </w:rPr>
      <w:t>北京交科公路勘察设计研究院有限公司</w:t>
    </w:r>
    <w:r>
      <w:rPr>
        <w:rFonts w:ascii="黑体" w:hAnsi="Times New Roman" w:eastAsia="黑体" w:cs="Times New Roman"/>
        <w:kern w:val="2"/>
        <w:sz w:val="21"/>
        <w:szCs w:val="21"/>
        <w:lang w:val="en-US" w:eastAsia="zh-CN" w:bidi="ar-SA"/>
      </w:rPr>
      <w:t xml:space="preserve">             </w:t>
    </w:r>
    <w:r>
      <w:rPr>
        <w:rFonts w:hint="eastAsia" w:ascii="黑体" w:hAnsi="Times New Roman" w:eastAsia="黑体" w:cs="Times New Roman"/>
        <w:kern w:val="2"/>
        <w:sz w:val="21"/>
        <w:szCs w:val="21"/>
        <w:lang w:val="en-US" w:eastAsia="zh-CN" w:bidi="ar-SA"/>
      </w:rPr>
      <w:t xml:space="preserve">                              </w:t>
    </w:r>
    <w:sdt>
      <w:sdtPr>
        <w:rPr>
          <w:rFonts w:ascii="Times New Roman" w:hAnsi="Times New Roman" w:eastAsia="宋体" w:cs="Times New Roman"/>
          <w:kern w:val="2"/>
          <w:sz w:val="21"/>
          <w:szCs w:val="21"/>
          <w:lang w:val="en-US" w:eastAsia="zh-CN" w:bidi="ar-SA"/>
        </w:rPr>
        <w:id w:val="147478452"/>
      </w:sdtPr>
      <w:sdtEndPr>
        <w:rPr>
          <w:rFonts w:ascii="Times New Roman" w:hAnsi="Times New Roman" w:eastAsia="宋体" w:cs="Times New Roman"/>
          <w:kern w:val="2"/>
          <w:sz w:val="18"/>
          <w:szCs w:val="18"/>
          <w:lang w:val="en-US" w:eastAsia="zh-CN" w:bidi="ar-SA"/>
        </w:rPr>
      </w:sdtEndPr>
      <w:sdtContent>
        <w:r>
          <w:rPr>
            <w:rFonts w:ascii="Times New Roman" w:hAnsi="Times New Roman" w:eastAsia="宋体" w:cs="Times New Roman"/>
            <w:kern w:val="2"/>
            <w:sz w:val="21"/>
            <w:szCs w:val="21"/>
            <w:lang w:val="en-US" w:eastAsia="zh-CN" w:bidi="ar-SA"/>
          </w:rPr>
          <w:fldChar w:fldCharType="begin"/>
        </w:r>
        <w:r>
          <w:rPr>
            <w:rFonts w:ascii="Times New Roman" w:hAnsi="Times New Roman" w:eastAsia="宋体" w:cs="Times New Roman"/>
            <w:kern w:val="2"/>
            <w:sz w:val="21"/>
            <w:szCs w:val="21"/>
            <w:lang w:val="en-US" w:eastAsia="zh-CN" w:bidi="ar-SA"/>
          </w:rPr>
          <w:instrText xml:space="preserve"> PAGE   \* MERGEFORMAT </w:instrText>
        </w:r>
        <w:r>
          <w:rPr>
            <w:rFonts w:ascii="Times New Roman" w:hAnsi="Times New Roman" w:eastAsia="宋体" w:cs="Times New Roman"/>
            <w:kern w:val="2"/>
            <w:sz w:val="21"/>
            <w:szCs w:val="21"/>
            <w:lang w:val="en-US" w:eastAsia="zh-CN" w:bidi="ar-SA"/>
          </w:rPr>
          <w:fldChar w:fldCharType="separate"/>
        </w:r>
        <w:r>
          <w:rPr>
            <w:rFonts w:ascii="Times New Roman" w:hAnsi="Times New Roman" w:eastAsia="宋体" w:cs="Times New Roman"/>
            <w:kern w:val="2"/>
            <w:sz w:val="21"/>
            <w:szCs w:val="21"/>
            <w:lang w:val="zh-CN" w:eastAsia="zh-CN" w:bidi="ar-SA"/>
          </w:rPr>
          <w:t>31</w:t>
        </w:r>
        <w:r>
          <w:rPr>
            <w:rFonts w:ascii="Times New Roman" w:hAnsi="Times New Roman" w:eastAsia="宋体" w:cs="Times New Roman"/>
            <w:kern w:val="2"/>
            <w:sz w:val="21"/>
            <w:szCs w:val="21"/>
            <w:lang w:val="zh-CN" w:eastAsia="zh-CN" w:bidi="ar-SA"/>
          </w:rPr>
          <w:fldChar w:fldCharType="end"/>
        </w:r>
      </w:sdtContent>
    </w:sdt>
    <w:r>
      <w:rPr>
        <w:rFonts w:hint="eastAsia" w:ascii="黑体" w:hAnsi="Times New Roman" w:eastAsia="黑体" w:cs="Times New Roman"/>
        <w:kern w:val="2"/>
        <w:sz w:val="21"/>
        <w:szCs w:val="21"/>
        <w:lang w:val="en-US" w:eastAsia="zh-CN" w:bidi="ar-SA"/>
      </w:rPr>
      <w:t xml:space="preserve">  </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eastAsia="宋体" w:cs="Times New Roman"/>
        <w:kern w:val="2"/>
        <w:sz w:val="21"/>
        <w:szCs w:val="24"/>
        <w:lang w:val="en-US" w:eastAsia="zh-CN" w:bidi="ar-SA"/>
      </w:rPr>
      <w:id w:val="2597639"/>
    </w:sdtPr>
    <w:sdtEndPr>
      <w:rPr>
        <w:rFonts w:ascii="Times New Roman" w:hAnsi="Times New Roman" w:eastAsia="宋体" w:cs="Times New Roman"/>
        <w:kern w:val="2"/>
        <w:sz w:val="18"/>
        <w:szCs w:val="18"/>
        <w:lang w:val="en-US" w:eastAsia="zh-CN" w:bidi="ar-SA"/>
      </w:rPr>
    </w:sdtEndPr>
    <w:sdtContent>
      <w:p w14:paraId="182F8EF7">
        <w:pPr>
          <w:widowControl w:val="0"/>
          <w:pBdr>
            <w:top w:val="thinThickSmallGap" w:color="auto" w:sz="12" w:space="1"/>
          </w:pBdr>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21"/>
            <w:szCs w:val="21"/>
            <w:lang w:val="en-US" w:eastAsia="zh-CN" w:bidi="ar-SA"/>
          </w:rPr>
          <w:fldChar w:fldCharType="begin"/>
        </w:r>
        <w:r>
          <w:rPr>
            <w:rFonts w:ascii="Times New Roman" w:hAnsi="Times New Roman" w:eastAsia="宋体" w:cs="Times New Roman"/>
            <w:kern w:val="2"/>
            <w:sz w:val="21"/>
            <w:szCs w:val="21"/>
            <w:lang w:val="en-US" w:eastAsia="zh-CN" w:bidi="ar-SA"/>
          </w:rPr>
          <w:instrText xml:space="preserve"> PAGE   \* MERGEFORMAT </w:instrText>
        </w:r>
        <w:r>
          <w:rPr>
            <w:rFonts w:ascii="Times New Roman" w:hAnsi="Times New Roman" w:eastAsia="宋体" w:cs="Times New Roman"/>
            <w:kern w:val="2"/>
            <w:sz w:val="21"/>
            <w:szCs w:val="21"/>
            <w:lang w:val="en-US" w:eastAsia="zh-CN" w:bidi="ar-SA"/>
          </w:rPr>
          <w:fldChar w:fldCharType="separate"/>
        </w:r>
        <w:r>
          <w:rPr>
            <w:rFonts w:ascii="Times New Roman" w:hAnsi="Times New Roman" w:eastAsia="宋体" w:cs="Times New Roman"/>
            <w:kern w:val="2"/>
            <w:sz w:val="21"/>
            <w:szCs w:val="21"/>
            <w:lang w:val="zh-CN" w:eastAsia="zh-CN" w:bidi="ar-SA"/>
          </w:rPr>
          <w:t>14</w:t>
        </w:r>
        <w:r>
          <w:rPr>
            <w:rFonts w:ascii="Times New Roman" w:hAnsi="Times New Roman" w:eastAsia="宋体" w:cs="Times New Roman"/>
            <w:kern w:val="2"/>
            <w:sz w:val="21"/>
            <w:szCs w:val="21"/>
            <w:lang w:val="zh-CN" w:eastAsia="zh-CN" w:bidi="ar-SA"/>
          </w:rPr>
          <w:fldChar w:fldCharType="end"/>
        </w:r>
        <w:r>
          <w:rPr>
            <w:rFonts w:ascii="Times New Roman" w:hAnsi="Times New Roman" w:eastAsia="宋体" w:cs="Times New Roman"/>
            <w:kern w:val="2"/>
            <w:sz w:val="21"/>
            <w:szCs w:val="21"/>
            <w:lang w:val="zh-CN" w:eastAsia="zh-CN" w:bidi="ar-SA"/>
          </w:rPr>
          <w:t xml:space="preserve"> </w:t>
        </w:r>
        <w:r>
          <w:rPr>
            <w:rFonts w:ascii="Times New Roman" w:hAnsi="Times New Roman" w:eastAsia="宋体" w:cs="Times New Roman"/>
            <w:kern w:val="2"/>
            <w:sz w:val="18"/>
            <w:szCs w:val="18"/>
            <w:lang w:val="zh-CN" w:eastAsia="zh-CN" w:bidi="ar-SA"/>
          </w:rPr>
          <w:t xml:space="preserve">                                                 </w:t>
        </w:r>
        <w:r>
          <w:rPr>
            <w:rFonts w:hint="eastAsia" w:ascii="黑体" w:hAnsi="Times New Roman" w:eastAsia="黑体" w:cs="Times New Roman"/>
            <w:kern w:val="2"/>
            <w:sz w:val="21"/>
            <w:szCs w:val="21"/>
            <w:lang w:val="en-US" w:eastAsia="zh-CN" w:bidi="ar-SA"/>
          </w:rPr>
          <w:t>北京交科公路勘察设计研究院有限公司</w:t>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F9E0F7">
    <w:pPr>
      <w:widowControl w:val="0"/>
      <w:pBdr>
        <w:top w:val="thinThickSmallGap" w:color="auto" w:sz="12" w:space="1"/>
      </w:pBdr>
      <w:snapToGrid w:val="0"/>
      <w:jc w:val="left"/>
      <w:rPr>
        <w:rFonts w:ascii="Times New Roman" w:hAnsi="Times New Roman" w:eastAsia="宋体" w:cs="Times New Roman"/>
        <w:kern w:val="2"/>
        <w:sz w:val="18"/>
        <w:szCs w:val="18"/>
        <w:lang w:val="en-US" w:eastAsia="zh-CN" w:bidi="ar-SA"/>
      </w:rPr>
    </w:pPr>
    <w:r>
      <w:rPr>
        <w:rFonts w:hint="eastAsia" w:ascii="黑体" w:hAnsi="Times New Roman" w:eastAsia="黑体" w:cs="Times New Roman"/>
        <w:kern w:val="2"/>
        <w:sz w:val="21"/>
        <w:szCs w:val="21"/>
        <w:lang w:val="en-US" w:eastAsia="zh-CN" w:bidi="ar-SA"/>
      </w:rPr>
      <w:t>北京交科公路勘察设计研究院有限公司</w:t>
    </w:r>
    <w:r>
      <w:rPr>
        <w:rFonts w:ascii="黑体" w:hAnsi="Times New Roman" w:eastAsia="黑体" w:cs="Times New Roman"/>
        <w:kern w:val="2"/>
        <w:sz w:val="21"/>
        <w:szCs w:val="21"/>
        <w:lang w:val="en-US" w:eastAsia="zh-CN" w:bidi="ar-SA"/>
      </w:rPr>
      <w:t xml:space="preserve">             </w:t>
    </w:r>
    <w:r>
      <w:rPr>
        <w:rFonts w:hint="eastAsia" w:ascii="黑体" w:hAnsi="Times New Roman" w:eastAsia="黑体" w:cs="Times New Roman"/>
        <w:kern w:val="2"/>
        <w:sz w:val="21"/>
        <w:szCs w:val="21"/>
        <w:lang w:val="en-US" w:eastAsia="zh-CN" w:bidi="ar-SA"/>
      </w:rPr>
      <w:t xml:space="preserve">                              </w:t>
    </w:r>
    <w:sdt>
      <w:sdtPr>
        <w:rPr>
          <w:rFonts w:ascii="Times New Roman" w:hAnsi="Times New Roman" w:eastAsia="宋体" w:cs="Times New Roman"/>
          <w:kern w:val="2"/>
          <w:sz w:val="21"/>
          <w:szCs w:val="21"/>
          <w:lang w:val="en-US" w:eastAsia="zh-CN" w:bidi="ar-SA"/>
        </w:rPr>
        <w:id w:val="147471845"/>
      </w:sdtPr>
      <w:sdtEndPr>
        <w:rPr>
          <w:rFonts w:ascii="Times New Roman" w:hAnsi="Times New Roman" w:eastAsia="宋体" w:cs="Times New Roman"/>
          <w:kern w:val="2"/>
          <w:sz w:val="18"/>
          <w:szCs w:val="18"/>
          <w:lang w:val="en-US" w:eastAsia="zh-CN" w:bidi="ar-SA"/>
        </w:rPr>
      </w:sdtEndPr>
      <w:sdtContent>
        <w:r>
          <w:rPr>
            <w:rFonts w:ascii="Times New Roman" w:hAnsi="Times New Roman" w:eastAsia="宋体" w:cs="Times New Roman"/>
            <w:kern w:val="2"/>
            <w:sz w:val="21"/>
            <w:szCs w:val="21"/>
            <w:lang w:val="en-US" w:eastAsia="zh-CN" w:bidi="ar-SA"/>
          </w:rPr>
          <w:fldChar w:fldCharType="begin"/>
        </w:r>
        <w:r>
          <w:rPr>
            <w:rFonts w:ascii="Times New Roman" w:hAnsi="Times New Roman" w:eastAsia="宋体" w:cs="Times New Roman"/>
            <w:kern w:val="2"/>
            <w:sz w:val="21"/>
            <w:szCs w:val="21"/>
            <w:lang w:val="en-US" w:eastAsia="zh-CN" w:bidi="ar-SA"/>
          </w:rPr>
          <w:instrText xml:space="preserve"> PAGE   \* MERGEFORMAT </w:instrText>
        </w:r>
        <w:r>
          <w:rPr>
            <w:rFonts w:ascii="Times New Roman" w:hAnsi="Times New Roman" w:eastAsia="宋体" w:cs="Times New Roman"/>
            <w:kern w:val="2"/>
            <w:sz w:val="21"/>
            <w:szCs w:val="21"/>
            <w:lang w:val="en-US" w:eastAsia="zh-CN" w:bidi="ar-SA"/>
          </w:rPr>
          <w:fldChar w:fldCharType="separate"/>
        </w:r>
        <w:r>
          <w:rPr>
            <w:rFonts w:ascii="Times New Roman" w:hAnsi="Times New Roman" w:eastAsia="宋体" w:cs="Times New Roman"/>
            <w:kern w:val="2"/>
            <w:sz w:val="21"/>
            <w:szCs w:val="21"/>
            <w:lang w:val="zh-CN" w:eastAsia="zh-CN" w:bidi="ar-SA"/>
          </w:rPr>
          <w:t>31</w:t>
        </w:r>
        <w:r>
          <w:rPr>
            <w:rFonts w:ascii="Times New Roman" w:hAnsi="Times New Roman" w:eastAsia="宋体" w:cs="Times New Roman"/>
            <w:kern w:val="2"/>
            <w:sz w:val="21"/>
            <w:szCs w:val="21"/>
            <w:lang w:val="zh-CN" w:eastAsia="zh-CN" w:bidi="ar-SA"/>
          </w:rPr>
          <w:fldChar w:fldCharType="end"/>
        </w:r>
      </w:sdtContent>
    </w:sdt>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eastAsia="宋体" w:cs="Times New Roman"/>
        <w:kern w:val="2"/>
        <w:sz w:val="21"/>
        <w:szCs w:val="24"/>
        <w:lang w:val="en-US" w:eastAsia="zh-CN" w:bidi="ar-SA"/>
      </w:rPr>
      <w:id w:val="2597641"/>
    </w:sdtPr>
    <w:sdtEndPr>
      <w:rPr>
        <w:rFonts w:ascii="Times New Roman" w:hAnsi="Times New Roman" w:eastAsia="宋体" w:cs="Times New Roman"/>
        <w:kern w:val="2"/>
        <w:sz w:val="18"/>
        <w:szCs w:val="18"/>
        <w:lang w:val="en-US" w:eastAsia="zh-CN" w:bidi="ar-SA"/>
      </w:rPr>
    </w:sdtEndPr>
    <w:sdtContent>
      <w:p w14:paraId="6FACEC74">
        <w:pPr>
          <w:widowControl w:val="0"/>
          <w:pBdr>
            <w:top w:val="thinThickSmallGap" w:color="auto" w:sz="12" w:space="1"/>
          </w:pBdr>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21"/>
            <w:szCs w:val="21"/>
            <w:lang w:val="en-US" w:eastAsia="zh-CN" w:bidi="ar-SA"/>
          </w:rPr>
          <w:fldChar w:fldCharType="begin"/>
        </w:r>
        <w:r>
          <w:rPr>
            <w:rFonts w:ascii="Times New Roman" w:hAnsi="Times New Roman" w:eastAsia="宋体" w:cs="Times New Roman"/>
            <w:kern w:val="2"/>
            <w:sz w:val="21"/>
            <w:szCs w:val="21"/>
            <w:lang w:val="en-US" w:eastAsia="zh-CN" w:bidi="ar-SA"/>
          </w:rPr>
          <w:instrText xml:space="preserve"> PAGE   \* MERGEFORMAT </w:instrText>
        </w:r>
        <w:r>
          <w:rPr>
            <w:rFonts w:ascii="Times New Roman" w:hAnsi="Times New Roman" w:eastAsia="宋体" w:cs="Times New Roman"/>
            <w:kern w:val="2"/>
            <w:sz w:val="21"/>
            <w:szCs w:val="21"/>
            <w:lang w:val="en-US" w:eastAsia="zh-CN" w:bidi="ar-SA"/>
          </w:rPr>
          <w:fldChar w:fldCharType="separate"/>
        </w:r>
        <w:r>
          <w:rPr>
            <w:rFonts w:ascii="Times New Roman" w:hAnsi="Times New Roman" w:eastAsia="宋体" w:cs="Times New Roman"/>
            <w:kern w:val="2"/>
            <w:sz w:val="21"/>
            <w:szCs w:val="21"/>
            <w:lang w:val="zh-CN" w:eastAsia="zh-CN" w:bidi="ar-SA"/>
          </w:rPr>
          <w:t>32</w:t>
        </w:r>
        <w:r>
          <w:rPr>
            <w:rFonts w:ascii="Times New Roman" w:hAnsi="Times New Roman" w:eastAsia="宋体" w:cs="Times New Roman"/>
            <w:kern w:val="2"/>
            <w:sz w:val="21"/>
            <w:szCs w:val="21"/>
            <w:lang w:val="zh-CN" w:eastAsia="zh-CN" w:bidi="ar-SA"/>
          </w:rPr>
          <w:fldChar w:fldCharType="end"/>
        </w:r>
        <w:r>
          <w:rPr>
            <w:rFonts w:ascii="Times New Roman" w:hAnsi="Times New Roman" w:eastAsia="宋体" w:cs="Times New Roman"/>
            <w:kern w:val="2"/>
            <w:sz w:val="21"/>
            <w:szCs w:val="21"/>
            <w:lang w:val="zh-CN" w:eastAsia="zh-CN" w:bidi="ar-SA"/>
          </w:rPr>
          <w:t xml:space="preserve"> </w:t>
        </w:r>
        <w:r>
          <w:rPr>
            <w:rFonts w:ascii="Times New Roman" w:hAnsi="Times New Roman" w:eastAsia="宋体" w:cs="Times New Roman"/>
            <w:kern w:val="2"/>
            <w:sz w:val="18"/>
            <w:szCs w:val="18"/>
            <w:lang w:val="zh-CN" w:eastAsia="zh-CN" w:bidi="ar-SA"/>
          </w:rPr>
          <w:t xml:space="preserve">                                                 </w:t>
        </w:r>
        <w:r>
          <w:rPr>
            <w:rFonts w:hint="eastAsia" w:ascii="黑体" w:hAnsi="Times New Roman" w:eastAsia="黑体" w:cs="Times New Roman"/>
            <w:kern w:val="2"/>
            <w:sz w:val="21"/>
            <w:szCs w:val="21"/>
            <w:lang w:val="en-US" w:eastAsia="zh-CN" w:bidi="ar-SA"/>
          </w:rPr>
          <w:t>北京交科公路勘察设计研究院有限公司</w:t>
        </w:r>
      </w:p>
    </w:sdtContent>
  </w:sdt>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BDB6B9">
    <w:pPr>
      <w:widowControl w:val="0"/>
      <w:pBdr>
        <w:top w:val="thinThickSmallGap" w:color="auto" w:sz="12" w:space="1"/>
      </w:pBdr>
      <w:snapToGrid w:val="0"/>
      <w:jc w:val="left"/>
      <w:rPr>
        <w:rFonts w:ascii="Times New Roman" w:hAnsi="Times New Roman" w:eastAsia="宋体" w:cs="Times New Roman"/>
        <w:kern w:val="2"/>
        <w:sz w:val="18"/>
        <w:szCs w:val="18"/>
        <w:lang w:val="en-US" w:eastAsia="zh-CN" w:bidi="ar-SA"/>
      </w:rPr>
    </w:pPr>
    <w:r>
      <w:rPr>
        <w:rFonts w:hint="eastAsia" w:ascii="黑体" w:hAnsi="Times New Roman" w:eastAsia="黑体" w:cs="Times New Roman"/>
        <w:kern w:val="2"/>
        <w:sz w:val="21"/>
        <w:szCs w:val="21"/>
        <w:lang w:val="en-US" w:eastAsia="zh-CN" w:bidi="ar-SA"/>
      </w:rPr>
      <w:t>北京交科公路勘察设计研究院有限公司</w:t>
    </w:r>
    <w:r>
      <w:rPr>
        <w:rFonts w:ascii="黑体" w:hAnsi="Times New Roman" w:eastAsia="黑体" w:cs="Times New Roman"/>
        <w:kern w:val="2"/>
        <w:sz w:val="21"/>
        <w:szCs w:val="21"/>
        <w:lang w:val="en-US" w:eastAsia="zh-CN" w:bidi="ar-SA"/>
      </w:rPr>
      <w:t xml:space="preserve">             </w:t>
    </w:r>
    <w:r>
      <w:rPr>
        <w:rFonts w:hint="eastAsia" w:ascii="黑体" w:hAnsi="Times New Roman" w:eastAsia="黑体" w:cs="Times New Roman"/>
        <w:kern w:val="2"/>
        <w:sz w:val="21"/>
        <w:szCs w:val="21"/>
        <w:lang w:val="en-US" w:eastAsia="zh-CN" w:bidi="ar-SA"/>
      </w:rPr>
      <w:t xml:space="preserve">                                                                            </w:t>
    </w:r>
    <w:sdt>
      <w:sdtPr>
        <w:rPr>
          <w:rFonts w:ascii="Times New Roman" w:hAnsi="Times New Roman" w:eastAsia="宋体" w:cs="Times New Roman"/>
          <w:kern w:val="2"/>
          <w:sz w:val="21"/>
          <w:szCs w:val="21"/>
          <w:lang w:val="en-US" w:eastAsia="zh-CN" w:bidi="ar-SA"/>
        </w:rPr>
        <w:id w:val="2597643"/>
      </w:sdtPr>
      <w:sdtEndPr>
        <w:rPr>
          <w:rFonts w:ascii="Times New Roman" w:hAnsi="Times New Roman" w:eastAsia="宋体" w:cs="Times New Roman"/>
          <w:kern w:val="2"/>
          <w:sz w:val="18"/>
          <w:szCs w:val="18"/>
          <w:lang w:val="en-US" w:eastAsia="zh-CN" w:bidi="ar-SA"/>
        </w:rPr>
      </w:sdtEndPr>
      <w:sdtContent>
        <w:r>
          <w:rPr>
            <w:rFonts w:hint="eastAsia" w:ascii="Times New Roman" w:hAnsi="Times New Roman" w:eastAsia="宋体" w:cs="Times New Roman"/>
            <w:kern w:val="2"/>
            <w:sz w:val="21"/>
            <w:szCs w:val="21"/>
            <w:lang w:val="en-US" w:eastAsia="zh-CN" w:bidi="ar-SA"/>
          </w:rPr>
          <w:t xml:space="preserve">      </w:t>
        </w:r>
        <w:r>
          <w:rPr>
            <w:rFonts w:ascii="Times New Roman" w:hAnsi="Times New Roman" w:eastAsia="宋体" w:cs="Times New Roman"/>
            <w:kern w:val="2"/>
            <w:sz w:val="21"/>
            <w:szCs w:val="21"/>
            <w:lang w:val="en-US" w:eastAsia="zh-CN" w:bidi="ar-SA"/>
          </w:rPr>
          <w:fldChar w:fldCharType="begin"/>
        </w:r>
        <w:r>
          <w:rPr>
            <w:rFonts w:ascii="Times New Roman" w:hAnsi="Times New Roman" w:eastAsia="宋体" w:cs="Times New Roman"/>
            <w:kern w:val="2"/>
            <w:sz w:val="21"/>
            <w:szCs w:val="21"/>
            <w:lang w:val="en-US" w:eastAsia="zh-CN" w:bidi="ar-SA"/>
          </w:rPr>
          <w:instrText xml:space="preserve"> PAGE   \* MERGEFORMAT </w:instrText>
        </w:r>
        <w:r>
          <w:rPr>
            <w:rFonts w:ascii="Times New Roman" w:hAnsi="Times New Roman" w:eastAsia="宋体" w:cs="Times New Roman"/>
            <w:kern w:val="2"/>
            <w:sz w:val="21"/>
            <w:szCs w:val="21"/>
            <w:lang w:val="en-US" w:eastAsia="zh-CN" w:bidi="ar-SA"/>
          </w:rPr>
          <w:fldChar w:fldCharType="separate"/>
        </w:r>
        <w:r>
          <w:rPr>
            <w:rFonts w:ascii="Times New Roman" w:hAnsi="Times New Roman" w:eastAsia="宋体" w:cs="Times New Roman"/>
            <w:kern w:val="2"/>
            <w:sz w:val="21"/>
            <w:szCs w:val="21"/>
            <w:lang w:val="zh-CN" w:eastAsia="zh-CN" w:bidi="ar-SA"/>
          </w:rPr>
          <w:t>33</w:t>
        </w:r>
        <w:r>
          <w:rPr>
            <w:rFonts w:ascii="Times New Roman" w:hAnsi="Times New Roman" w:eastAsia="宋体" w:cs="Times New Roman"/>
            <w:kern w:val="2"/>
            <w:sz w:val="21"/>
            <w:szCs w:val="21"/>
            <w:lang w:val="zh-CN" w:eastAsia="zh-CN" w:bidi="ar-SA"/>
          </w:rPr>
          <w:fldChar w:fldCharType="end"/>
        </w:r>
      </w:sdtContent>
    </w:sdt>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eastAsia="宋体" w:cs="Times New Roman"/>
        <w:kern w:val="2"/>
        <w:sz w:val="21"/>
        <w:szCs w:val="24"/>
        <w:lang w:val="en-US" w:eastAsia="zh-CN" w:bidi="ar-SA"/>
      </w:rPr>
      <w:id w:val="2597642"/>
    </w:sdtPr>
    <w:sdtEndPr>
      <w:rPr>
        <w:rFonts w:ascii="Times New Roman" w:hAnsi="Times New Roman" w:eastAsia="宋体" w:cs="Times New Roman"/>
        <w:kern w:val="2"/>
        <w:sz w:val="18"/>
        <w:szCs w:val="18"/>
        <w:lang w:val="en-US" w:eastAsia="zh-CN" w:bidi="ar-SA"/>
      </w:rPr>
    </w:sdtEndPr>
    <w:sdtContent>
      <w:p w14:paraId="2C7C27E3">
        <w:pPr>
          <w:widowControl w:val="0"/>
          <w:pBdr>
            <w:top w:val="thinThickSmallGap" w:color="auto" w:sz="12" w:space="1"/>
          </w:pBdr>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21"/>
            <w:szCs w:val="21"/>
            <w:lang w:val="en-US" w:eastAsia="zh-CN" w:bidi="ar-SA"/>
          </w:rPr>
          <w:fldChar w:fldCharType="begin"/>
        </w:r>
        <w:r>
          <w:rPr>
            <w:rFonts w:ascii="Times New Roman" w:hAnsi="Times New Roman" w:eastAsia="宋体" w:cs="Times New Roman"/>
            <w:kern w:val="2"/>
            <w:sz w:val="21"/>
            <w:szCs w:val="21"/>
            <w:lang w:val="en-US" w:eastAsia="zh-CN" w:bidi="ar-SA"/>
          </w:rPr>
          <w:instrText xml:space="preserve"> PAGE   \* MERGEFORMAT </w:instrText>
        </w:r>
        <w:r>
          <w:rPr>
            <w:rFonts w:ascii="Times New Roman" w:hAnsi="Times New Roman" w:eastAsia="宋体" w:cs="Times New Roman"/>
            <w:kern w:val="2"/>
            <w:sz w:val="21"/>
            <w:szCs w:val="21"/>
            <w:lang w:val="en-US" w:eastAsia="zh-CN" w:bidi="ar-SA"/>
          </w:rPr>
          <w:fldChar w:fldCharType="separate"/>
        </w:r>
        <w:r>
          <w:rPr>
            <w:rFonts w:ascii="Times New Roman" w:hAnsi="Times New Roman" w:eastAsia="宋体" w:cs="Times New Roman"/>
            <w:kern w:val="2"/>
            <w:sz w:val="21"/>
            <w:szCs w:val="21"/>
            <w:lang w:val="zh-CN" w:eastAsia="zh-CN" w:bidi="ar-SA"/>
          </w:rPr>
          <w:t>34</w:t>
        </w:r>
        <w:r>
          <w:rPr>
            <w:rFonts w:ascii="Times New Roman" w:hAnsi="Times New Roman" w:eastAsia="宋体" w:cs="Times New Roman"/>
            <w:kern w:val="2"/>
            <w:sz w:val="21"/>
            <w:szCs w:val="21"/>
            <w:lang w:val="zh-CN" w:eastAsia="zh-CN" w:bidi="ar-SA"/>
          </w:rPr>
          <w:fldChar w:fldCharType="end"/>
        </w:r>
        <w:r>
          <w:rPr>
            <w:rFonts w:ascii="Times New Roman" w:hAnsi="Times New Roman" w:eastAsia="宋体" w:cs="Times New Roman"/>
            <w:kern w:val="2"/>
            <w:sz w:val="21"/>
            <w:szCs w:val="21"/>
            <w:lang w:val="zh-CN" w:eastAsia="zh-CN" w:bidi="ar-SA"/>
          </w:rPr>
          <w:t xml:space="preserve"> </w:t>
        </w:r>
        <w:r>
          <w:rPr>
            <w:rFonts w:ascii="Times New Roman" w:hAnsi="Times New Roman" w:eastAsia="宋体" w:cs="Times New Roman"/>
            <w:kern w:val="2"/>
            <w:sz w:val="18"/>
            <w:szCs w:val="18"/>
            <w:lang w:val="zh-CN" w:eastAsia="zh-CN" w:bidi="ar-SA"/>
          </w:rPr>
          <w:t xml:space="preserve">                                                 </w:t>
        </w:r>
        <w:r>
          <w:rPr>
            <w:rFonts w:hint="eastAsia" w:ascii="Times New Roman" w:hAnsi="Times New Roman" w:eastAsia="宋体" w:cs="Times New Roman"/>
            <w:kern w:val="2"/>
            <w:sz w:val="18"/>
            <w:szCs w:val="18"/>
            <w:lang w:val="zh-CN" w:eastAsia="zh-CN" w:bidi="ar-SA"/>
          </w:rPr>
          <w:t xml:space="preserve">                                                             </w:t>
        </w:r>
        <w:r>
          <w:rPr>
            <w:rFonts w:hint="eastAsia" w:ascii="黑体" w:hAnsi="Times New Roman" w:eastAsia="黑体" w:cs="Times New Roman"/>
            <w:kern w:val="2"/>
            <w:sz w:val="21"/>
            <w:szCs w:val="21"/>
            <w:lang w:val="en-US" w:eastAsia="zh-CN" w:bidi="ar-SA"/>
          </w:rPr>
          <w:t>北京交科公路勘察设计研究院有限公司</w:t>
        </w:r>
      </w:p>
    </w:sdtContent>
  </w:sdt>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3DD54E">
    <w:pPr>
      <w:widowControl w:val="0"/>
      <w:pBdr>
        <w:top w:val="thinThickSmallGap" w:color="auto" w:sz="12" w:space="1"/>
      </w:pBdr>
      <w:snapToGrid w:val="0"/>
      <w:jc w:val="left"/>
      <w:rPr>
        <w:rFonts w:ascii="Times New Roman" w:hAnsi="Times New Roman" w:eastAsia="宋体" w:cs="Times New Roman"/>
        <w:kern w:val="2"/>
        <w:sz w:val="18"/>
        <w:szCs w:val="18"/>
        <w:lang w:val="en-US" w:eastAsia="zh-CN" w:bidi="ar-SA"/>
      </w:rPr>
    </w:pPr>
    <w:r>
      <w:rPr>
        <w:rFonts w:hint="eastAsia" w:ascii="黑体" w:hAnsi="Times New Roman" w:eastAsia="黑体" w:cs="Times New Roman"/>
        <w:kern w:val="2"/>
        <w:sz w:val="21"/>
        <w:szCs w:val="21"/>
        <w:lang w:val="en-US" w:eastAsia="zh-CN" w:bidi="ar-SA"/>
      </w:rPr>
      <w:t>北京交科公路勘察设计研究院有限公司</w:t>
    </w:r>
    <w:r>
      <w:rPr>
        <w:rFonts w:ascii="黑体" w:hAnsi="Times New Roman" w:eastAsia="黑体" w:cs="Times New Roman"/>
        <w:kern w:val="2"/>
        <w:sz w:val="21"/>
        <w:szCs w:val="21"/>
        <w:lang w:val="en-US" w:eastAsia="zh-CN" w:bidi="ar-SA"/>
      </w:rPr>
      <w:t xml:space="preserve">             </w:t>
    </w:r>
    <w:r>
      <w:rPr>
        <w:rFonts w:hint="eastAsia" w:ascii="黑体" w:hAnsi="Times New Roman" w:eastAsia="黑体" w:cs="Times New Roman"/>
        <w:kern w:val="2"/>
        <w:sz w:val="21"/>
        <w:szCs w:val="21"/>
        <w:lang w:val="en-US" w:eastAsia="zh-CN" w:bidi="ar-SA"/>
      </w:rPr>
      <w:t xml:space="preserve">                                                                                  </w:t>
    </w:r>
    <w:sdt>
      <w:sdtPr>
        <w:rPr>
          <w:rFonts w:ascii="Times New Roman" w:hAnsi="Times New Roman" w:eastAsia="宋体" w:cs="Times New Roman"/>
          <w:kern w:val="2"/>
          <w:sz w:val="21"/>
          <w:szCs w:val="21"/>
          <w:lang w:val="en-US" w:eastAsia="zh-CN" w:bidi="ar-SA"/>
        </w:rPr>
        <w:id w:val="2597645"/>
      </w:sdtPr>
      <w:sdtEndPr>
        <w:rPr>
          <w:rFonts w:ascii="Times New Roman" w:hAnsi="Times New Roman" w:eastAsia="宋体" w:cs="Times New Roman"/>
          <w:kern w:val="2"/>
          <w:sz w:val="18"/>
          <w:szCs w:val="18"/>
          <w:lang w:val="en-US" w:eastAsia="zh-CN" w:bidi="ar-SA"/>
        </w:rPr>
      </w:sdtEndPr>
      <w:sdtContent>
        <w:r>
          <w:rPr>
            <w:rFonts w:ascii="Times New Roman" w:hAnsi="Times New Roman" w:eastAsia="宋体" w:cs="Times New Roman"/>
            <w:kern w:val="2"/>
            <w:sz w:val="21"/>
            <w:szCs w:val="21"/>
            <w:lang w:val="en-US" w:eastAsia="zh-CN" w:bidi="ar-SA"/>
          </w:rPr>
          <w:fldChar w:fldCharType="begin"/>
        </w:r>
        <w:r>
          <w:rPr>
            <w:rFonts w:ascii="Times New Roman" w:hAnsi="Times New Roman" w:eastAsia="宋体" w:cs="Times New Roman"/>
            <w:kern w:val="2"/>
            <w:sz w:val="21"/>
            <w:szCs w:val="21"/>
            <w:lang w:val="en-US" w:eastAsia="zh-CN" w:bidi="ar-SA"/>
          </w:rPr>
          <w:instrText xml:space="preserve"> PAGE   \* MERGEFORMAT </w:instrText>
        </w:r>
        <w:r>
          <w:rPr>
            <w:rFonts w:ascii="Times New Roman" w:hAnsi="Times New Roman" w:eastAsia="宋体" w:cs="Times New Roman"/>
            <w:kern w:val="2"/>
            <w:sz w:val="21"/>
            <w:szCs w:val="21"/>
            <w:lang w:val="en-US" w:eastAsia="zh-CN" w:bidi="ar-SA"/>
          </w:rPr>
          <w:fldChar w:fldCharType="separate"/>
        </w:r>
        <w:r>
          <w:rPr>
            <w:rFonts w:ascii="Times New Roman" w:hAnsi="Times New Roman" w:eastAsia="宋体" w:cs="Times New Roman"/>
            <w:kern w:val="2"/>
            <w:sz w:val="21"/>
            <w:szCs w:val="21"/>
            <w:lang w:val="zh-CN" w:eastAsia="zh-CN" w:bidi="ar-SA"/>
          </w:rPr>
          <w:t>33</w:t>
        </w:r>
        <w:r>
          <w:rPr>
            <w:rFonts w:ascii="Times New Roman" w:hAnsi="Times New Roman" w:eastAsia="宋体" w:cs="Times New Roman"/>
            <w:kern w:val="2"/>
            <w:sz w:val="21"/>
            <w:szCs w:val="21"/>
            <w:lang w:val="zh-CN" w:eastAsia="zh-CN" w:bidi="ar-SA"/>
          </w:rPr>
          <w:fldChar w:fldCharType="end"/>
        </w:r>
      </w:sdtContent>
    </w:sdt>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eastAsia="宋体" w:cs="Times New Roman"/>
        <w:kern w:val="2"/>
        <w:sz w:val="21"/>
        <w:szCs w:val="24"/>
        <w:lang w:val="en-US" w:eastAsia="zh-CN" w:bidi="ar-SA"/>
      </w:rPr>
      <w:id w:val="2597644"/>
    </w:sdtPr>
    <w:sdtEndPr>
      <w:rPr>
        <w:rFonts w:ascii="Times New Roman" w:hAnsi="Times New Roman" w:eastAsia="宋体" w:cs="Times New Roman"/>
        <w:kern w:val="2"/>
        <w:sz w:val="18"/>
        <w:szCs w:val="18"/>
        <w:lang w:val="en-US" w:eastAsia="zh-CN" w:bidi="ar-SA"/>
      </w:rPr>
    </w:sdtEndPr>
    <w:sdtContent>
      <w:p w14:paraId="2D15CFF4">
        <w:pPr>
          <w:widowControl w:val="0"/>
          <w:pBdr>
            <w:top w:val="thinThickSmallGap" w:color="auto" w:sz="12" w:space="1"/>
          </w:pBdr>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21"/>
            <w:szCs w:val="21"/>
            <w:lang w:val="en-US" w:eastAsia="zh-CN" w:bidi="ar-SA"/>
          </w:rPr>
          <w:fldChar w:fldCharType="begin"/>
        </w:r>
        <w:r>
          <w:rPr>
            <w:rFonts w:ascii="Times New Roman" w:hAnsi="Times New Roman" w:eastAsia="宋体" w:cs="Times New Roman"/>
            <w:kern w:val="2"/>
            <w:sz w:val="21"/>
            <w:szCs w:val="21"/>
            <w:lang w:val="en-US" w:eastAsia="zh-CN" w:bidi="ar-SA"/>
          </w:rPr>
          <w:instrText xml:space="preserve"> PAGE   \* MERGEFORMAT </w:instrText>
        </w:r>
        <w:r>
          <w:rPr>
            <w:rFonts w:ascii="Times New Roman" w:hAnsi="Times New Roman" w:eastAsia="宋体" w:cs="Times New Roman"/>
            <w:kern w:val="2"/>
            <w:sz w:val="21"/>
            <w:szCs w:val="21"/>
            <w:lang w:val="en-US" w:eastAsia="zh-CN" w:bidi="ar-SA"/>
          </w:rPr>
          <w:fldChar w:fldCharType="separate"/>
        </w:r>
        <w:r>
          <w:rPr>
            <w:rFonts w:ascii="Times New Roman" w:hAnsi="Times New Roman" w:eastAsia="宋体" w:cs="Times New Roman"/>
            <w:kern w:val="2"/>
            <w:sz w:val="21"/>
            <w:szCs w:val="21"/>
            <w:lang w:val="zh-CN" w:eastAsia="zh-CN" w:bidi="ar-SA"/>
          </w:rPr>
          <w:t>34</w:t>
        </w:r>
        <w:r>
          <w:rPr>
            <w:rFonts w:ascii="Times New Roman" w:hAnsi="Times New Roman" w:eastAsia="宋体" w:cs="Times New Roman"/>
            <w:kern w:val="2"/>
            <w:sz w:val="21"/>
            <w:szCs w:val="21"/>
            <w:lang w:val="zh-CN" w:eastAsia="zh-CN" w:bidi="ar-SA"/>
          </w:rPr>
          <w:fldChar w:fldCharType="end"/>
        </w:r>
        <w:r>
          <w:rPr>
            <w:rFonts w:ascii="Times New Roman" w:hAnsi="Times New Roman" w:eastAsia="宋体" w:cs="Times New Roman"/>
            <w:kern w:val="2"/>
            <w:sz w:val="21"/>
            <w:szCs w:val="21"/>
            <w:lang w:val="zh-CN" w:eastAsia="zh-CN" w:bidi="ar-SA"/>
          </w:rPr>
          <w:t xml:space="preserve"> </w:t>
        </w:r>
        <w:r>
          <w:rPr>
            <w:rFonts w:ascii="Times New Roman" w:hAnsi="Times New Roman" w:eastAsia="宋体" w:cs="Times New Roman"/>
            <w:kern w:val="2"/>
            <w:sz w:val="18"/>
            <w:szCs w:val="18"/>
            <w:lang w:val="zh-CN" w:eastAsia="zh-CN" w:bidi="ar-SA"/>
          </w:rPr>
          <w:t xml:space="preserve">                                                 </w:t>
        </w:r>
        <w:r>
          <w:rPr>
            <w:rFonts w:hint="eastAsia" w:ascii="Times New Roman" w:hAnsi="Times New Roman" w:eastAsia="宋体" w:cs="Times New Roman"/>
            <w:kern w:val="2"/>
            <w:sz w:val="18"/>
            <w:szCs w:val="18"/>
            <w:lang w:val="zh-CN" w:eastAsia="zh-CN" w:bidi="ar-SA"/>
          </w:rPr>
          <w:t xml:space="preserve">                                                           </w:t>
        </w:r>
        <w:r>
          <w:rPr>
            <w:rFonts w:hint="eastAsia" w:ascii="Times New Roman" w:hAnsi="Times New Roman" w:eastAsia="宋体" w:cs="Times New Roman"/>
            <w:kern w:val="2"/>
            <w:sz w:val="18"/>
            <w:szCs w:val="18"/>
            <w:lang w:val="en-US" w:eastAsia="zh-CN" w:bidi="ar-SA"/>
          </w:rPr>
          <w:t xml:space="preserve">  </w:t>
        </w:r>
        <w:r>
          <w:rPr>
            <w:rFonts w:hint="eastAsia" w:ascii="黑体" w:hAnsi="Times New Roman" w:eastAsia="黑体" w:cs="Times New Roman"/>
            <w:kern w:val="2"/>
            <w:sz w:val="21"/>
            <w:szCs w:val="21"/>
            <w:lang w:val="en-US" w:eastAsia="zh-CN" w:bidi="ar-SA"/>
          </w:rPr>
          <w:t>北京交科公路勘察设计研究院有限公司</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76062013"/>
      <w:docPartObj>
        <w:docPartGallery w:val="autotext"/>
      </w:docPartObj>
    </w:sdtPr>
    <w:sdtContent>
      <w:sdt>
        <w:sdtPr>
          <w:id w:val="136687587"/>
          <w:docPartObj>
            <w:docPartGallery w:val="autotext"/>
          </w:docPartObj>
        </w:sdtPr>
        <w:sdtContent>
          <w:p w14:paraId="797667E9">
            <w:pPr>
              <w:pStyle w:val="16"/>
              <w:pBdr>
                <w:top w:val="thinThickSmallGap" w:color="auto" w:sz="12" w:space="1"/>
              </w:pBdr>
              <w:jc w:val="distribute"/>
            </w:pPr>
            <w:r>
              <w:rPr>
                <w:sz w:val="21"/>
                <w:szCs w:val="21"/>
              </w:rPr>
              <w:fldChar w:fldCharType="begin"/>
            </w:r>
            <w:r>
              <w:rPr>
                <w:sz w:val="21"/>
                <w:szCs w:val="21"/>
              </w:rPr>
              <w:instrText xml:space="preserve"> PAGE   \* MERGEFORMAT </w:instrText>
            </w:r>
            <w:r>
              <w:rPr>
                <w:sz w:val="21"/>
                <w:szCs w:val="21"/>
              </w:rPr>
              <w:fldChar w:fldCharType="separate"/>
            </w:r>
            <w:r>
              <w:rPr>
                <w:sz w:val="21"/>
                <w:szCs w:val="21"/>
                <w:lang w:val="zh-CN"/>
              </w:rPr>
              <w:t>74</w:t>
            </w:r>
            <w:r>
              <w:rPr>
                <w:sz w:val="21"/>
                <w:szCs w:val="21"/>
                <w:lang w:val="zh-CN"/>
              </w:rPr>
              <w:fldChar w:fldCharType="end"/>
            </w:r>
            <w:r>
              <w:rPr>
                <w:rFonts w:hint="eastAsia"/>
                <w:sz w:val="21"/>
                <w:szCs w:val="21"/>
              </w:rPr>
              <w:t xml:space="preserve">  </w:t>
            </w:r>
            <w:r>
              <w:rPr>
                <w:rFonts w:hint="eastAsia"/>
              </w:rPr>
              <w:t xml:space="preserve">                                                 </w:t>
            </w:r>
            <w:r>
              <w:rPr>
                <w:rFonts w:hint="eastAsia" w:ascii="黑体" w:eastAsia="黑体"/>
                <w:spacing w:val="-6"/>
                <w:sz w:val="21"/>
                <w:szCs w:val="21"/>
                <w:lang w:val="en-US" w:eastAsia="zh-CN"/>
              </w:rPr>
              <w:t>北京交科公路勘察设计研究院有限公司</w:t>
            </w:r>
            <w:r>
              <w:rPr>
                <w:rFonts w:ascii="黑体" w:eastAsia="黑体"/>
                <w:sz w:val="21"/>
                <w:szCs w:val="21"/>
              </w:rPr>
              <w:t xml:space="preserve"> </w:t>
            </w:r>
          </w:p>
        </w:sdtContent>
      </w:sdt>
    </w:sdtContent>
  </w:sdt>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407159">
    <w:pPr>
      <w:widowControl w:val="0"/>
      <w:pBdr>
        <w:top w:val="thinThickSmallGap" w:color="auto" w:sz="12" w:space="1"/>
      </w:pBdr>
      <w:snapToGrid w:val="0"/>
      <w:jc w:val="left"/>
      <w:rPr>
        <w:rFonts w:ascii="Times New Roman" w:hAnsi="Times New Roman" w:eastAsia="宋体" w:cs="Times New Roman"/>
        <w:kern w:val="2"/>
        <w:sz w:val="18"/>
        <w:szCs w:val="18"/>
        <w:lang w:val="en-US" w:eastAsia="zh-CN" w:bidi="ar-SA"/>
      </w:rPr>
    </w:pPr>
    <w:r>
      <w:rPr>
        <w:rFonts w:hint="eastAsia" w:ascii="黑体" w:hAnsi="Times New Roman" w:eastAsia="黑体" w:cs="Times New Roman"/>
        <w:kern w:val="2"/>
        <w:sz w:val="21"/>
        <w:szCs w:val="21"/>
        <w:lang w:val="en-US" w:eastAsia="zh-CN" w:bidi="ar-SA"/>
      </w:rPr>
      <w:t>北京交科公路勘察设计研究院有限公司</w:t>
    </w:r>
    <w:r>
      <w:rPr>
        <w:rFonts w:ascii="黑体" w:hAnsi="Times New Roman" w:eastAsia="黑体" w:cs="Times New Roman"/>
        <w:kern w:val="2"/>
        <w:sz w:val="21"/>
        <w:szCs w:val="21"/>
        <w:lang w:val="en-US" w:eastAsia="zh-CN" w:bidi="ar-SA"/>
      </w:rPr>
      <w:t xml:space="preserve">             </w:t>
    </w:r>
    <w:r>
      <w:rPr>
        <w:rFonts w:hint="eastAsia" w:ascii="黑体" w:hAnsi="Times New Roman" w:eastAsia="黑体" w:cs="Times New Roman"/>
        <w:kern w:val="2"/>
        <w:sz w:val="21"/>
        <w:szCs w:val="21"/>
        <w:lang w:val="en-US" w:eastAsia="zh-CN" w:bidi="ar-SA"/>
      </w:rPr>
      <w:t xml:space="preserve">                                                                            </w:t>
    </w:r>
    <w:sdt>
      <w:sdtPr>
        <w:rPr>
          <w:rFonts w:ascii="Times New Roman" w:hAnsi="Times New Roman" w:eastAsia="宋体" w:cs="Times New Roman"/>
          <w:kern w:val="2"/>
          <w:sz w:val="21"/>
          <w:szCs w:val="21"/>
          <w:lang w:val="en-US" w:eastAsia="zh-CN" w:bidi="ar-SA"/>
        </w:rPr>
        <w:id w:val="2597647"/>
      </w:sdtPr>
      <w:sdtEndPr>
        <w:rPr>
          <w:rFonts w:ascii="Times New Roman" w:hAnsi="Times New Roman" w:eastAsia="宋体" w:cs="Times New Roman"/>
          <w:kern w:val="2"/>
          <w:sz w:val="18"/>
          <w:szCs w:val="18"/>
          <w:lang w:val="en-US" w:eastAsia="zh-CN" w:bidi="ar-SA"/>
        </w:rPr>
      </w:sdtEndPr>
      <w:sdtContent>
        <w:r>
          <w:rPr>
            <w:rFonts w:hint="eastAsia" w:ascii="Times New Roman" w:hAnsi="Times New Roman" w:eastAsia="宋体" w:cs="Times New Roman"/>
            <w:kern w:val="2"/>
            <w:sz w:val="21"/>
            <w:szCs w:val="21"/>
            <w:lang w:val="en-US" w:eastAsia="zh-CN" w:bidi="ar-SA"/>
          </w:rPr>
          <w:t xml:space="preserve">      </w:t>
        </w:r>
        <w:r>
          <w:rPr>
            <w:rFonts w:ascii="Times New Roman" w:hAnsi="Times New Roman" w:eastAsia="宋体" w:cs="Times New Roman"/>
            <w:kern w:val="2"/>
            <w:sz w:val="21"/>
            <w:szCs w:val="21"/>
            <w:lang w:val="en-US" w:eastAsia="zh-CN" w:bidi="ar-SA"/>
          </w:rPr>
          <w:fldChar w:fldCharType="begin"/>
        </w:r>
        <w:r>
          <w:rPr>
            <w:rFonts w:ascii="Times New Roman" w:hAnsi="Times New Roman" w:eastAsia="宋体" w:cs="Times New Roman"/>
            <w:kern w:val="2"/>
            <w:sz w:val="21"/>
            <w:szCs w:val="21"/>
            <w:lang w:val="en-US" w:eastAsia="zh-CN" w:bidi="ar-SA"/>
          </w:rPr>
          <w:instrText xml:space="preserve"> PAGE   \* MERGEFORMAT </w:instrText>
        </w:r>
        <w:r>
          <w:rPr>
            <w:rFonts w:ascii="Times New Roman" w:hAnsi="Times New Roman" w:eastAsia="宋体" w:cs="Times New Roman"/>
            <w:kern w:val="2"/>
            <w:sz w:val="21"/>
            <w:szCs w:val="21"/>
            <w:lang w:val="en-US" w:eastAsia="zh-CN" w:bidi="ar-SA"/>
          </w:rPr>
          <w:fldChar w:fldCharType="separate"/>
        </w:r>
        <w:r>
          <w:rPr>
            <w:rFonts w:ascii="Times New Roman" w:hAnsi="Times New Roman" w:eastAsia="宋体" w:cs="Times New Roman"/>
            <w:kern w:val="2"/>
            <w:sz w:val="21"/>
            <w:szCs w:val="21"/>
            <w:lang w:val="zh-CN" w:eastAsia="zh-CN" w:bidi="ar-SA"/>
          </w:rPr>
          <w:t>35</w:t>
        </w:r>
        <w:r>
          <w:rPr>
            <w:rFonts w:ascii="Times New Roman" w:hAnsi="Times New Roman" w:eastAsia="宋体" w:cs="Times New Roman"/>
            <w:kern w:val="2"/>
            <w:sz w:val="21"/>
            <w:szCs w:val="21"/>
            <w:lang w:val="zh-CN" w:eastAsia="zh-CN" w:bidi="ar-SA"/>
          </w:rPr>
          <w:fldChar w:fldCharType="end"/>
        </w:r>
      </w:sdtContent>
    </w:sdt>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eastAsia="宋体" w:cs="Times New Roman"/>
        <w:kern w:val="2"/>
        <w:sz w:val="21"/>
        <w:szCs w:val="24"/>
        <w:lang w:val="en-US" w:eastAsia="zh-CN" w:bidi="ar-SA"/>
      </w:rPr>
      <w:id w:val="2597646"/>
    </w:sdtPr>
    <w:sdtEndPr>
      <w:rPr>
        <w:rFonts w:ascii="Times New Roman" w:hAnsi="Times New Roman" w:eastAsia="宋体" w:cs="Times New Roman"/>
        <w:kern w:val="2"/>
        <w:sz w:val="18"/>
        <w:szCs w:val="18"/>
        <w:lang w:val="en-US" w:eastAsia="zh-CN" w:bidi="ar-SA"/>
      </w:rPr>
    </w:sdtEndPr>
    <w:sdtContent>
      <w:p w14:paraId="599E670C">
        <w:pPr>
          <w:widowControl w:val="0"/>
          <w:pBdr>
            <w:top w:val="thinThickSmallGap" w:color="auto" w:sz="12" w:space="1"/>
          </w:pBdr>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21"/>
            <w:szCs w:val="21"/>
            <w:lang w:val="en-US" w:eastAsia="zh-CN" w:bidi="ar-SA"/>
          </w:rPr>
          <w:fldChar w:fldCharType="begin"/>
        </w:r>
        <w:r>
          <w:rPr>
            <w:rFonts w:ascii="Times New Roman" w:hAnsi="Times New Roman" w:eastAsia="宋体" w:cs="Times New Roman"/>
            <w:kern w:val="2"/>
            <w:sz w:val="21"/>
            <w:szCs w:val="21"/>
            <w:lang w:val="en-US" w:eastAsia="zh-CN" w:bidi="ar-SA"/>
          </w:rPr>
          <w:instrText xml:space="preserve"> PAGE   \* MERGEFORMAT </w:instrText>
        </w:r>
        <w:r>
          <w:rPr>
            <w:rFonts w:ascii="Times New Roman" w:hAnsi="Times New Roman" w:eastAsia="宋体" w:cs="Times New Roman"/>
            <w:kern w:val="2"/>
            <w:sz w:val="21"/>
            <w:szCs w:val="21"/>
            <w:lang w:val="en-US" w:eastAsia="zh-CN" w:bidi="ar-SA"/>
          </w:rPr>
          <w:fldChar w:fldCharType="separate"/>
        </w:r>
        <w:r>
          <w:rPr>
            <w:rFonts w:ascii="Times New Roman" w:hAnsi="Times New Roman" w:eastAsia="宋体" w:cs="Times New Roman"/>
            <w:kern w:val="2"/>
            <w:sz w:val="21"/>
            <w:szCs w:val="21"/>
            <w:lang w:val="zh-CN" w:eastAsia="zh-CN" w:bidi="ar-SA"/>
          </w:rPr>
          <w:t>36</w:t>
        </w:r>
        <w:r>
          <w:rPr>
            <w:rFonts w:ascii="Times New Roman" w:hAnsi="Times New Roman" w:eastAsia="宋体" w:cs="Times New Roman"/>
            <w:kern w:val="2"/>
            <w:sz w:val="21"/>
            <w:szCs w:val="21"/>
            <w:lang w:val="zh-CN" w:eastAsia="zh-CN" w:bidi="ar-SA"/>
          </w:rPr>
          <w:fldChar w:fldCharType="end"/>
        </w:r>
        <w:r>
          <w:rPr>
            <w:rFonts w:ascii="Times New Roman" w:hAnsi="Times New Roman" w:eastAsia="宋体" w:cs="Times New Roman"/>
            <w:kern w:val="2"/>
            <w:sz w:val="21"/>
            <w:szCs w:val="21"/>
            <w:lang w:val="zh-CN" w:eastAsia="zh-CN" w:bidi="ar-SA"/>
          </w:rPr>
          <w:t xml:space="preserve"> </w:t>
        </w:r>
        <w:r>
          <w:rPr>
            <w:rFonts w:ascii="Times New Roman" w:hAnsi="Times New Roman" w:eastAsia="宋体" w:cs="Times New Roman"/>
            <w:kern w:val="2"/>
            <w:sz w:val="18"/>
            <w:szCs w:val="18"/>
            <w:lang w:val="zh-CN" w:eastAsia="zh-CN" w:bidi="ar-SA"/>
          </w:rPr>
          <w:t xml:space="preserve">                                                 </w:t>
        </w:r>
        <w:r>
          <w:rPr>
            <w:rFonts w:hint="eastAsia" w:ascii="Times New Roman" w:hAnsi="Times New Roman" w:eastAsia="宋体" w:cs="Times New Roman"/>
            <w:kern w:val="2"/>
            <w:sz w:val="18"/>
            <w:szCs w:val="18"/>
            <w:lang w:val="zh-CN" w:eastAsia="zh-CN" w:bidi="ar-SA"/>
          </w:rPr>
          <w:t xml:space="preserve">                                                             </w:t>
        </w:r>
        <w:r>
          <w:rPr>
            <w:rFonts w:hint="eastAsia" w:ascii="黑体" w:hAnsi="Times New Roman" w:eastAsia="黑体" w:cs="Times New Roman"/>
            <w:kern w:val="2"/>
            <w:sz w:val="21"/>
            <w:szCs w:val="21"/>
            <w:lang w:val="en-US" w:eastAsia="zh-CN" w:bidi="ar-SA"/>
          </w:rPr>
          <w:t>北京交科公路勘察设计研究院有限公司</w:t>
        </w:r>
      </w:p>
    </w:sdtContent>
  </w:sdt>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D6F99D">
    <w:pPr>
      <w:widowControl w:val="0"/>
      <w:pBdr>
        <w:top w:val="thinThickSmallGap" w:color="auto" w:sz="12" w:space="1"/>
      </w:pBdr>
      <w:snapToGrid w:val="0"/>
      <w:jc w:val="left"/>
      <w:rPr>
        <w:rFonts w:ascii="Times New Roman" w:hAnsi="Times New Roman" w:eastAsia="宋体" w:cs="Times New Roman"/>
        <w:kern w:val="2"/>
        <w:sz w:val="18"/>
        <w:szCs w:val="18"/>
        <w:lang w:val="en-US" w:eastAsia="zh-CN" w:bidi="ar-SA"/>
      </w:rPr>
    </w:pPr>
    <w:r>
      <w:rPr>
        <w:rFonts w:hint="eastAsia" w:ascii="黑体" w:hAnsi="Times New Roman" w:eastAsia="黑体" w:cs="Times New Roman"/>
        <w:kern w:val="2"/>
        <w:sz w:val="21"/>
        <w:szCs w:val="21"/>
        <w:lang w:val="en-US" w:eastAsia="zh-CN" w:bidi="ar-SA"/>
      </w:rPr>
      <w:t>北京交科公路勘察设计研究院有限公司</w:t>
    </w:r>
    <w:r>
      <w:rPr>
        <w:rFonts w:ascii="黑体" w:hAnsi="Times New Roman" w:eastAsia="黑体" w:cs="Times New Roman"/>
        <w:kern w:val="2"/>
        <w:sz w:val="21"/>
        <w:szCs w:val="21"/>
        <w:lang w:val="en-US" w:eastAsia="zh-CN" w:bidi="ar-SA"/>
      </w:rPr>
      <w:t xml:space="preserve">             </w:t>
    </w:r>
    <w:r>
      <w:rPr>
        <w:rFonts w:hint="eastAsia" w:ascii="黑体" w:hAnsi="Times New Roman" w:eastAsia="黑体" w:cs="Times New Roman"/>
        <w:kern w:val="2"/>
        <w:sz w:val="21"/>
        <w:szCs w:val="21"/>
        <w:lang w:val="en-US" w:eastAsia="zh-CN" w:bidi="ar-SA"/>
      </w:rPr>
      <w:t xml:space="preserve">                                                                                  </w:t>
    </w:r>
    <w:sdt>
      <w:sdtPr>
        <w:rPr>
          <w:rFonts w:ascii="Times New Roman" w:hAnsi="Times New Roman" w:eastAsia="宋体" w:cs="Times New Roman"/>
          <w:kern w:val="2"/>
          <w:sz w:val="21"/>
          <w:szCs w:val="21"/>
          <w:lang w:val="en-US" w:eastAsia="zh-CN" w:bidi="ar-SA"/>
        </w:rPr>
        <w:id w:val="2597649"/>
      </w:sdtPr>
      <w:sdtEndPr>
        <w:rPr>
          <w:rFonts w:ascii="Times New Roman" w:hAnsi="Times New Roman" w:eastAsia="宋体" w:cs="Times New Roman"/>
          <w:kern w:val="2"/>
          <w:sz w:val="18"/>
          <w:szCs w:val="18"/>
          <w:lang w:val="en-US" w:eastAsia="zh-CN" w:bidi="ar-SA"/>
        </w:rPr>
      </w:sdtEndPr>
      <w:sdtContent>
        <w:r>
          <w:rPr>
            <w:rFonts w:ascii="Times New Roman" w:hAnsi="Times New Roman" w:eastAsia="宋体" w:cs="Times New Roman"/>
            <w:kern w:val="2"/>
            <w:sz w:val="21"/>
            <w:szCs w:val="21"/>
            <w:lang w:val="en-US" w:eastAsia="zh-CN" w:bidi="ar-SA"/>
          </w:rPr>
          <w:fldChar w:fldCharType="begin"/>
        </w:r>
        <w:r>
          <w:rPr>
            <w:rFonts w:ascii="Times New Roman" w:hAnsi="Times New Roman" w:eastAsia="宋体" w:cs="Times New Roman"/>
            <w:kern w:val="2"/>
            <w:sz w:val="21"/>
            <w:szCs w:val="21"/>
            <w:lang w:val="en-US" w:eastAsia="zh-CN" w:bidi="ar-SA"/>
          </w:rPr>
          <w:instrText xml:space="preserve"> PAGE   \* MERGEFORMAT </w:instrText>
        </w:r>
        <w:r>
          <w:rPr>
            <w:rFonts w:ascii="Times New Roman" w:hAnsi="Times New Roman" w:eastAsia="宋体" w:cs="Times New Roman"/>
            <w:kern w:val="2"/>
            <w:sz w:val="21"/>
            <w:szCs w:val="21"/>
            <w:lang w:val="en-US" w:eastAsia="zh-CN" w:bidi="ar-SA"/>
          </w:rPr>
          <w:fldChar w:fldCharType="separate"/>
        </w:r>
        <w:r>
          <w:rPr>
            <w:rFonts w:ascii="Times New Roman" w:hAnsi="Times New Roman" w:eastAsia="宋体" w:cs="Times New Roman"/>
            <w:kern w:val="2"/>
            <w:sz w:val="21"/>
            <w:szCs w:val="21"/>
            <w:lang w:val="zh-CN" w:eastAsia="zh-CN" w:bidi="ar-SA"/>
          </w:rPr>
          <w:t>35</w:t>
        </w:r>
        <w:r>
          <w:rPr>
            <w:rFonts w:ascii="Times New Roman" w:hAnsi="Times New Roman" w:eastAsia="宋体" w:cs="Times New Roman"/>
            <w:kern w:val="2"/>
            <w:sz w:val="21"/>
            <w:szCs w:val="21"/>
            <w:lang w:val="zh-CN" w:eastAsia="zh-CN" w:bidi="ar-SA"/>
          </w:rPr>
          <w:fldChar w:fldCharType="end"/>
        </w:r>
      </w:sdtContent>
    </w:sdt>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eastAsia="宋体" w:cs="Times New Roman"/>
        <w:kern w:val="2"/>
        <w:sz w:val="21"/>
        <w:szCs w:val="24"/>
        <w:lang w:val="en-US" w:eastAsia="zh-CN" w:bidi="ar-SA"/>
      </w:rPr>
      <w:id w:val="2597648"/>
    </w:sdtPr>
    <w:sdtEndPr>
      <w:rPr>
        <w:rFonts w:ascii="Times New Roman" w:hAnsi="Times New Roman" w:eastAsia="宋体" w:cs="Times New Roman"/>
        <w:kern w:val="2"/>
        <w:sz w:val="18"/>
        <w:szCs w:val="18"/>
        <w:lang w:val="en-US" w:eastAsia="zh-CN" w:bidi="ar-SA"/>
      </w:rPr>
    </w:sdtEndPr>
    <w:sdtContent>
      <w:p w14:paraId="4B4BD9A0">
        <w:pPr>
          <w:widowControl w:val="0"/>
          <w:pBdr>
            <w:top w:val="thinThickSmallGap" w:color="auto" w:sz="12" w:space="1"/>
          </w:pBdr>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21"/>
            <w:szCs w:val="21"/>
            <w:lang w:val="en-US" w:eastAsia="zh-CN" w:bidi="ar-SA"/>
          </w:rPr>
          <w:fldChar w:fldCharType="begin"/>
        </w:r>
        <w:r>
          <w:rPr>
            <w:rFonts w:ascii="Times New Roman" w:hAnsi="Times New Roman" w:eastAsia="宋体" w:cs="Times New Roman"/>
            <w:kern w:val="2"/>
            <w:sz w:val="21"/>
            <w:szCs w:val="21"/>
            <w:lang w:val="en-US" w:eastAsia="zh-CN" w:bidi="ar-SA"/>
          </w:rPr>
          <w:instrText xml:space="preserve"> PAGE   \* MERGEFORMAT </w:instrText>
        </w:r>
        <w:r>
          <w:rPr>
            <w:rFonts w:ascii="Times New Roman" w:hAnsi="Times New Roman" w:eastAsia="宋体" w:cs="Times New Roman"/>
            <w:kern w:val="2"/>
            <w:sz w:val="21"/>
            <w:szCs w:val="21"/>
            <w:lang w:val="en-US" w:eastAsia="zh-CN" w:bidi="ar-SA"/>
          </w:rPr>
          <w:fldChar w:fldCharType="separate"/>
        </w:r>
        <w:r>
          <w:rPr>
            <w:rFonts w:ascii="Times New Roman" w:hAnsi="Times New Roman" w:eastAsia="宋体" w:cs="Times New Roman"/>
            <w:kern w:val="2"/>
            <w:sz w:val="21"/>
            <w:szCs w:val="21"/>
            <w:lang w:val="zh-CN" w:eastAsia="zh-CN" w:bidi="ar-SA"/>
          </w:rPr>
          <w:t>36</w:t>
        </w:r>
        <w:r>
          <w:rPr>
            <w:rFonts w:ascii="Times New Roman" w:hAnsi="Times New Roman" w:eastAsia="宋体" w:cs="Times New Roman"/>
            <w:kern w:val="2"/>
            <w:sz w:val="21"/>
            <w:szCs w:val="21"/>
            <w:lang w:val="zh-CN" w:eastAsia="zh-CN" w:bidi="ar-SA"/>
          </w:rPr>
          <w:fldChar w:fldCharType="end"/>
        </w:r>
        <w:r>
          <w:rPr>
            <w:rFonts w:ascii="Times New Roman" w:hAnsi="Times New Roman" w:eastAsia="宋体" w:cs="Times New Roman"/>
            <w:kern w:val="2"/>
            <w:sz w:val="21"/>
            <w:szCs w:val="21"/>
            <w:lang w:val="zh-CN" w:eastAsia="zh-CN" w:bidi="ar-SA"/>
          </w:rPr>
          <w:t xml:space="preserve"> </w:t>
        </w:r>
        <w:r>
          <w:rPr>
            <w:rFonts w:ascii="Times New Roman" w:hAnsi="Times New Roman" w:eastAsia="宋体" w:cs="Times New Roman"/>
            <w:kern w:val="2"/>
            <w:sz w:val="18"/>
            <w:szCs w:val="18"/>
            <w:lang w:val="zh-CN" w:eastAsia="zh-CN" w:bidi="ar-SA"/>
          </w:rPr>
          <w:t xml:space="preserve">                                                 </w:t>
        </w:r>
        <w:r>
          <w:rPr>
            <w:rFonts w:hint="eastAsia" w:ascii="Times New Roman" w:hAnsi="Times New Roman" w:eastAsia="宋体" w:cs="Times New Roman"/>
            <w:kern w:val="2"/>
            <w:sz w:val="18"/>
            <w:szCs w:val="18"/>
            <w:lang w:val="zh-CN" w:eastAsia="zh-CN" w:bidi="ar-SA"/>
          </w:rPr>
          <w:t xml:space="preserve">                                              </w:t>
        </w:r>
        <w:r>
          <w:rPr>
            <w:rFonts w:hint="eastAsia" w:ascii="Times New Roman" w:hAnsi="Times New Roman" w:eastAsia="宋体" w:cs="Times New Roman"/>
            <w:kern w:val="2"/>
            <w:sz w:val="18"/>
            <w:szCs w:val="18"/>
            <w:lang w:val="en-US" w:eastAsia="zh-CN" w:bidi="ar-SA"/>
          </w:rPr>
          <w:t xml:space="preserve">     </w:t>
        </w:r>
        <w:r>
          <w:rPr>
            <w:rFonts w:hint="eastAsia" w:ascii="Times New Roman" w:hAnsi="Times New Roman" w:eastAsia="宋体" w:cs="Times New Roman"/>
            <w:kern w:val="2"/>
            <w:sz w:val="18"/>
            <w:szCs w:val="18"/>
            <w:lang w:val="zh-CN" w:eastAsia="zh-CN" w:bidi="ar-SA"/>
          </w:rPr>
          <w:t xml:space="preserve">          </w:t>
        </w:r>
        <w:r>
          <w:rPr>
            <w:rFonts w:hint="eastAsia" w:ascii="黑体" w:hAnsi="Times New Roman" w:eastAsia="黑体" w:cs="Times New Roman"/>
            <w:kern w:val="2"/>
            <w:sz w:val="21"/>
            <w:szCs w:val="21"/>
            <w:lang w:val="en-US" w:eastAsia="zh-CN" w:bidi="ar-SA"/>
          </w:rPr>
          <w:t>北京交科公路勘察设计研究院有限公司</w:t>
        </w:r>
      </w:p>
    </w:sdtContent>
  </w:sdt>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21AD58">
    <w:pPr>
      <w:widowControl w:val="0"/>
      <w:pBdr>
        <w:top w:val="thinThickSmallGap" w:color="auto" w:sz="12" w:space="1"/>
      </w:pBdr>
      <w:snapToGrid w:val="0"/>
      <w:jc w:val="left"/>
      <w:rPr>
        <w:rFonts w:ascii="Times New Roman" w:hAnsi="Times New Roman" w:eastAsia="宋体" w:cs="Times New Roman"/>
        <w:kern w:val="2"/>
        <w:sz w:val="18"/>
        <w:szCs w:val="18"/>
        <w:lang w:val="en-US" w:eastAsia="zh-CN" w:bidi="ar-SA"/>
      </w:rPr>
    </w:pPr>
    <w:r>
      <w:rPr>
        <w:rFonts w:hint="eastAsia" w:ascii="黑体" w:hAnsi="Times New Roman" w:eastAsia="黑体" w:cs="Times New Roman"/>
        <w:kern w:val="2"/>
        <w:sz w:val="21"/>
        <w:szCs w:val="21"/>
        <w:lang w:val="en-US" w:eastAsia="zh-CN" w:bidi="ar-SA"/>
      </w:rPr>
      <w:t>北京交科公路勘察设计研究院有限公司</w:t>
    </w:r>
    <w:r>
      <w:rPr>
        <w:rFonts w:ascii="黑体" w:hAnsi="Times New Roman" w:eastAsia="黑体" w:cs="Times New Roman"/>
        <w:kern w:val="2"/>
        <w:sz w:val="21"/>
        <w:szCs w:val="21"/>
        <w:lang w:val="en-US" w:eastAsia="zh-CN" w:bidi="ar-SA"/>
      </w:rPr>
      <w:t xml:space="preserve">             </w:t>
    </w:r>
    <w:r>
      <w:rPr>
        <w:rFonts w:hint="eastAsia" w:ascii="黑体" w:hAnsi="Times New Roman" w:eastAsia="黑体" w:cs="Times New Roman"/>
        <w:kern w:val="2"/>
        <w:sz w:val="21"/>
        <w:szCs w:val="21"/>
        <w:lang w:val="en-US" w:eastAsia="zh-CN" w:bidi="ar-SA"/>
      </w:rPr>
      <w:t xml:space="preserve">                                                                                 </w:t>
    </w:r>
    <w:r>
      <w:rPr>
        <w:rFonts w:hint="eastAsia" w:ascii="Times New Roman" w:hAnsi="Times New Roman" w:eastAsia="宋体" w:cs="Times New Roman"/>
        <w:kern w:val="2"/>
        <w:sz w:val="21"/>
        <w:szCs w:val="21"/>
        <w:lang w:val="en-US" w:eastAsia="zh-CN" w:bidi="ar-SA"/>
      </w:rPr>
      <w:t xml:space="preserve"> </w:t>
    </w:r>
    <w:r>
      <w:rPr>
        <w:rFonts w:ascii="Times New Roman" w:hAnsi="Times New Roman" w:eastAsia="宋体" w:cs="Times New Roman"/>
        <w:kern w:val="2"/>
        <w:sz w:val="21"/>
        <w:szCs w:val="21"/>
        <w:lang w:val="en-US" w:eastAsia="zh-CN" w:bidi="ar-SA"/>
      </w:rPr>
      <w:fldChar w:fldCharType="begin"/>
    </w:r>
    <w:r>
      <w:rPr>
        <w:rFonts w:ascii="Times New Roman" w:hAnsi="Times New Roman" w:eastAsia="宋体" w:cs="Times New Roman"/>
        <w:kern w:val="2"/>
        <w:sz w:val="21"/>
        <w:szCs w:val="21"/>
        <w:lang w:val="en-US" w:eastAsia="zh-CN" w:bidi="ar-SA"/>
      </w:rPr>
      <w:instrText xml:space="preserve"> PAGE   \* MERGEFORMAT </w:instrText>
    </w:r>
    <w:r>
      <w:rPr>
        <w:rFonts w:ascii="Times New Roman" w:hAnsi="Times New Roman" w:eastAsia="宋体" w:cs="Times New Roman"/>
        <w:kern w:val="2"/>
        <w:sz w:val="21"/>
        <w:szCs w:val="21"/>
        <w:lang w:val="en-US" w:eastAsia="zh-CN" w:bidi="ar-SA"/>
      </w:rPr>
      <w:fldChar w:fldCharType="separate"/>
    </w:r>
    <w:r>
      <w:rPr>
        <w:rFonts w:ascii="Times New Roman" w:hAnsi="Times New Roman" w:eastAsia="宋体" w:cs="Times New Roman"/>
        <w:kern w:val="2"/>
        <w:sz w:val="21"/>
        <w:szCs w:val="21"/>
        <w:lang w:val="zh-CN" w:eastAsia="zh-CN" w:bidi="ar-SA"/>
      </w:rPr>
      <w:t>37</w:t>
    </w:r>
    <w:r>
      <w:rPr>
        <w:rFonts w:ascii="Times New Roman" w:hAnsi="Times New Roman" w:eastAsia="宋体" w:cs="Times New Roman"/>
        <w:kern w:val="2"/>
        <w:sz w:val="21"/>
        <w:szCs w:val="21"/>
        <w:lang w:val="zh-CN" w:eastAsia="zh-CN" w:bidi="ar-SA"/>
      </w:rPr>
      <w:fldChar w:fldCharType="end"/>
    </w:r>
    <w:r>
      <w:rPr>
        <w:rFonts w:hint="eastAsia" w:ascii="黑体" w:hAnsi="Times New Roman" w:eastAsia="黑体" w:cs="Times New Roman"/>
        <w:kern w:val="2"/>
        <w:sz w:val="21"/>
        <w:szCs w:val="21"/>
        <w:lang w:val="en-US" w:eastAsia="zh-CN" w:bidi="ar-SA"/>
      </w:rPr>
      <w:t xml:space="preserve">    </w:t>
    </w:r>
    <w:sdt>
      <w:sdtPr>
        <w:rPr>
          <w:rFonts w:ascii="Times New Roman" w:hAnsi="Times New Roman" w:eastAsia="宋体" w:cs="Times New Roman"/>
          <w:kern w:val="2"/>
          <w:sz w:val="21"/>
          <w:szCs w:val="21"/>
          <w:lang w:val="en-US" w:eastAsia="zh-CN" w:bidi="ar-SA"/>
        </w:rPr>
        <w:id w:val="2597651"/>
      </w:sdtPr>
      <w:sdtEndPr>
        <w:rPr>
          <w:rFonts w:ascii="Times New Roman" w:hAnsi="Times New Roman" w:eastAsia="宋体" w:cs="Times New Roman"/>
          <w:kern w:val="2"/>
          <w:sz w:val="18"/>
          <w:szCs w:val="18"/>
          <w:lang w:val="en-US" w:eastAsia="zh-CN" w:bidi="ar-SA"/>
        </w:rPr>
      </w:sdtEndPr>
      <w:sdtContent>
        <w:r>
          <w:rPr>
            <w:rFonts w:hint="eastAsia" w:ascii="Times New Roman" w:hAnsi="Times New Roman" w:eastAsia="宋体" w:cs="Times New Roman"/>
            <w:kern w:val="2"/>
            <w:sz w:val="21"/>
            <w:szCs w:val="21"/>
            <w:lang w:val="en-US" w:eastAsia="zh-CN" w:bidi="ar-SA"/>
          </w:rPr>
          <w:t xml:space="preserve">     </w:t>
        </w:r>
      </w:sdtContent>
    </w:sdt>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eastAsia="宋体" w:cs="Times New Roman"/>
        <w:kern w:val="2"/>
        <w:sz w:val="21"/>
        <w:szCs w:val="24"/>
        <w:lang w:val="en-US" w:eastAsia="zh-CN" w:bidi="ar-SA"/>
      </w:rPr>
      <w:id w:val="2597650"/>
    </w:sdtPr>
    <w:sdtEndPr>
      <w:rPr>
        <w:rFonts w:ascii="Times New Roman" w:hAnsi="Times New Roman" w:eastAsia="宋体" w:cs="Times New Roman"/>
        <w:kern w:val="2"/>
        <w:sz w:val="18"/>
        <w:szCs w:val="18"/>
        <w:lang w:val="en-US" w:eastAsia="zh-CN" w:bidi="ar-SA"/>
      </w:rPr>
    </w:sdtEndPr>
    <w:sdtContent>
      <w:p w14:paraId="0542B867">
        <w:pPr>
          <w:widowControl w:val="0"/>
          <w:pBdr>
            <w:top w:val="thinThickSmallGap" w:color="auto" w:sz="12" w:space="1"/>
          </w:pBdr>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21"/>
            <w:szCs w:val="21"/>
            <w:lang w:val="en-US" w:eastAsia="zh-CN" w:bidi="ar-SA"/>
          </w:rPr>
          <w:fldChar w:fldCharType="begin"/>
        </w:r>
        <w:r>
          <w:rPr>
            <w:rFonts w:ascii="Times New Roman" w:hAnsi="Times New Roman" w:eastAsia="宋体" w:cs="Times New Roman"/>
            <w:kern w:val="2"/>
            <w:sz w:val="21"/>
            <w:szCs w:val="21"/>
            <w:lang w:val="en-US" w:eastAsia="zh-CN" w:bidi="ar-SA"/>
          </w:rPr>
          <w:instrText xml:space="preserve"> PAGE   \* MERGEFORMAT </w:instrText>
        </w:r>
        <w:r>
          <w:rPr>
            <w:rFonts w:ascii="Times New Roman" w:hAnsi="Times New Roman" w:eastAsia="宋体" w:cs="Times New Roman"/>
            <w:kern w:val="2"/>
            <w:sz w:val="21"/>
            <w:szCs w:val="21"/>
            <w:lang w:val="en-US" w:eastAsia="zh-CN" w:bidi="ar-SA"/>
          </w:rPr>
          <w:fldChar w:fldCharType="separate"/>
        </w:r>
        <w:r>
          <w:rPr>
            <w:rFonts w:ascii="Times New Roman" w:hAnsi="Times New Roman" w:eastAsia="宋体" w:cs="Times New Roman"/>
            <w:kern w:val="2"/>
            <w:sz w:val="21"/>
            <w:szCs w:val="21"/>
            <w:lang w:val="zh-CN" w:eastAsia="zh-CN" w:bidi="ar-SA"/>
          </w:rPr>
          <w:t>36</w:t>
        </w:r>
        <w:r>
          <w:rPr>
            <w:rFonts w:ascii="Times New Roman" w:hAnsi="Times New Roman" w:eastAsia="宋体" w:cs="Times New Roman"/>
            <w:kern w:val="2"/>
            <w:sz w:val="21"/>
            <w:szCs w:val="21"/>
            <w:lang w:val="zh-CN" w:eastAsia="zh-CN" w:bidi="ar-SA"/>
          </w:rPr>
          <w:fldChar w:fldCharType="end"/>
        </w:r>
        <w:r>
          <w:rPr>
            <w:rFonts w:ascii="Times New Roman" w:hAnsi="Times New Roman" w:eastAsia="宋体" w:cs="Times New Roman"/>
            <w:kern w:val="2"/>
            <w:sz w:val="21"/>
            <w:szCs w:val="21"/>
            <w:lang w:val="zh-CN" w:eastAsia="zh-CN" w:bidi="ar-SA"/>
          </w:rPr>
          <w:t xml:space="preserve"> </w:t>
        </w:r>
        <w:r>
          <w:rPr>
            <w:rFonts w:ascii="Times New Roman" w:hAnsi="Times New Roman" w:eastAsia="宋体" w:cs="Times New Roman"/>
            <w:kern w:val="2"/>
            <w:sz w:val="18"/>
            <w:szCs w:val="18"/>
            <w:lang w:val="zh-CN" w:eastAsia="zh-CN" w:bidi="ar-SA"/>
          </w:rPr>
          <w:t xml:space="preserve">                                                 </w:t>
        </w:r>
        <w:r>
          <w:rPr>
            <w:rFonts w:hint="eastAsia" w:ascii="Times New Roman" w:hAnsi="Times New Roman" w:eastAsia="宋体" w:cs="Times New Roman"/>
            <w:kern w:val="2"/>
            <w:sz w:val="18"/>
            <w:szCs w:val="18"/>
            <w:lang w:val="zh-CN" w:eastAsia="zh-CN" w:bidi="ar-SA"/>
          </w:rPr>
          <w:t xml:space="preserve">                                                             </w:t>
        </w:r>
        <w:r>
          <w:rPr>
            <w:rFonts w:hint="eastAsia" w:ascii="黑体" w:hAnsi="Times New Roman" w:eastAsia="黑体" w:cs="Times New Roman"/>
            <w:kern w:val="2"/>
            <w:sz w:val="21"/>
            <w:szCs w:val="21"/>
            <w:lang w:val="en-US" w:eastAsia="zh-CN" w:bidi="ar-SA"/>
          </w:rPr>
          <w:t>北京交科公路勘察设计研究院有限公司</w:t>
        </w:r>
      </w:p>
    </w:sdtContent>
  </w:sdt>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505A44">
    <w:pPr>
      <w:widowControl w:val="0"/>
      <w:pBdr>
        <w:top w:val="thinThickSmallGap" w:color="auto" w:sz="12" w:space="1"/>
      </w:pBdr>
      <w:snapToGrid w:val="0"/>
      <w:jc w:val="left"/>
      <w:rPr>
        <w:rFonts w:ascii="Times New Roman" w:hAnsi="Times New Roman" w:eastAsia="宋体" w:cs="Times New Roman"/>
        <w:kern w:val="2"/>
        <w:sz w:val="18"/>
        <w:szCs w:val="18"/>
        <w:lang w:val="en-US" w:eastAsia="zh-CN" w:bidi="ar-SA"/>
      </w:rPr>
    </w:pPr>
    <w:r>
      <w:rPr>
        <w:rFonts w:hint="eastAsia" w:ascii="黑体" w:hAnsi="Times New Roman" w:eastAsia="黑体" w:cs="Times New Roman"/>
        <w:kern w:val="2"/>
        <w:sz w:val="21"/>
        <w:szCs w:val="21"/>
        <w:lang w:val="en-US" w:eastAsia="zh-CN" w:bidi="ar-SA"/>
      </w:rPr>
      <w:t>北京交科公路勘察设计研究院有限公司</w:t>
    </w:r>
    <w:r>
      <w:rPr>
        <w:rFonts w:ascii="黑体" w:hAnsi="Times New Roman" w:eastAsia="黑体" w:cs="Times New Roman"/>
        <w:kern w:val="2"/>
        <w:sz w:val="21"/>
        <w:szCs w:val="21"/>
        <w:lang w:val="en-US" w:eastAsia="zh-CN" w:bidi="ar-SA"/>
      </w:rPr>
      <w:t xml:space="preserve">             </w:t>
    </w:r>
    <w:r>
      <w:rPr>
        <w:rFonts w:hint="eastAsia" w:ascii="黑体" w:hAnsi="Times New Roman" w:eastAsia="黑体" w:cs="Times New Roman"/>
        <w:kern w:val="2"/>
        <w:sz w:val="21"/>
        <w:szCs w:val="21"/>
        <w:lang w:val="en-US" w:eastAsia="zh-CN" w:bidi="ar-SA"/>
      </w:rPr>
      <w:t xml:space="preserve">                                                                                  </w:t>
    </w:r>
    <w:sdt>
      <w:sdtPr>
        <w:rPr>
          <w:rFonts w:ascii="Times New Roman" w:hAnsi="Times New Roman" w:eastAsia="宋体" w:cs="Times New Roman"/>
          <w:kern w:val="2"/>
          <w:sz w:val="21"/>
          <w:szCs w:val="21"/>
          <w:lang w:val="en-US" w:eastAsia="zh-CN" w:bidi="ar-SA"/>
        </w:rPr>
        <w:id w:val="2597653"/>
      </w:sdtPr>
      <w:sdtEndPr>
        <w:rPr>
          <w:rFonts w:ascii="Times New Roman" w:hAnsi="Times New Roman" w:eastAsia="宋体" w:cs="Times New Roman"/>
          <w:kern w:val="2"/>
          <w:sz w:val="18"/>
          <w:szCs w:val="18"/>
          <w:lang w:val="en-US" w:eastAsia="zh-CN" w:bidi="ar-SA"/>
        </w:rPr>
      </w:sdtEndPr>
      <w:sdtContent>
        <w:r>
          <w:rPr>
            <w:rFonts w:ascii="Times New Roman" w:hAnsi="Times New Roman" w:eastAsia="宋体" w:cs="Times New Roman"/>
            <w:kern w:val="2"/>
            <w:sz w:val="21"/>
            <w:szCs w:val="21"/>
            <w:lang w:val="en-US" w:eastAsia="zh-CN" w:bidi="ar-SA"/>
          </w:rPr>
          <w:fldChar w:fldCharType="begin"/>
        </w:r>
        <w:r>
          <w:rPr>
            <w:rFonts w:ascii="Times New Roman" w:hAnsi="Times New Roman" w:eastAsia="宋体" w:cs="Times New Roman"/>
            <w:kern w:val="2"/>
            <w:sz w:val="21"/>
            <w:szCs w:val="21"/>
            <w:lang w:val="en-US" w:eastAsia="zh-CN" w:bidi="ar-SA"/>
          </w:rPr>
          <w:instrText xml:space="preserve"> PAGE   \* MERGEFORMAT </w:instrText>
        </w:r>
        <w:r>
          <w:rPr>
            <w:rFonts w:ascii="Times New Roman" w:hAnsi="Times New Roman" w:eastAsia="宋体" w:cs="Times New Roman"/>
            <w:kern w:val="2"/>
            <w:sz w:val="21"/>
            <w:szCs w:val="21"/>
            <w:lang w:val="en-US" w:eastAsia="zh-CN" w:bidi="ar-SA"/>
          </w:rPr>
          <w:fldChar w:fldCharType="separate"/>
        </w:r>
        <w:r>
          <w:rPr>
            <w:rFonts w:ascii="Times New Roman" w:hAnsi="Times New Roman" w:eastAsia="宋体" w:cs="Times New Roman"/>
            <w:kern w:val="2"/>
            <w:sz w:val="21"/>
            <w:szCs w:val="21"/>
            <w:lang w:val="zh-CN" w:eastAsia="zh-CN" w:bidi="ar-SA"/>
          </w:rPr>
          <w:t>37</w:t>
        </w:r>
        <w:r>
          <w:rPr>
            <w:rFonts w:ascii="Times New Roman" w:hAnsi="Times New Roman" w:eastAsia="宋体" w:cs="Times New Roman"/>
            <w:kern w:val="2"/>
            <w:sz w:val="21"/>
            <w:szCs w:val="21"/>
            <w:lang w:val="zh-CN" w:eastAsia="zh-CN" w:bidi="ar-SA"/>
          </w:rPr>
          <w:fldChar w:fldCharType="end"/>
        </w:r>
      </w:sdtContent>
    </w:sdt>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eastAsia="宋体" w:cs="Times New Roman"/>
        <w:kern w:val="2"/>
        <w:sz w:val="21"/>
        <w:szCs w:val="24"/>
        <w:lang w:val="en-US" w:eastAsia="zh-CN" w:bidi="ar-SA"/>
      </w:rPr>
      <w:id w:val="2597652"/>
    </w:sdtPr>
    <w:sdtEndPr>
      <w:rPr>
        <w:rFonts w:ascii="Times New Roman" w:hAnsi="Times New Roman" w:eastAsia="宋体" w:cs="Times New Roman"/>
        <w:kern w:val="2"/>
        <w:sz w:val="18"/>
        <w:szCs w:val="18"/>
        <w:lang w:val="en-US" w:eastAsia="zh-CN" w:bidi="ar-SA"/>
      </w:rPr>
    </w:sdtEndPr>
    <w:sdtContent>
      <w:p w14:paraId="6A856271">
        <w:pPr>
          <w:widowControl w:val="0"/>
          <w:pBdr>
            <w:top w:val="thinThickSmallGap" w:color="auto" w:sz="12" w:space="1"/>
          </w:pBdr>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21"/>
            <w:szCs w:val="21"/>
            <w:lang w:val="en-US" w:eastAsia="zh-CN" w:bidi="ar-SA"/>
          </w:rPr>
          <w:fldChar w:fldCharType="begin"/>
        </w:r>
        <w:r>
          <w:rPr>
            <w:rFonts w:ascii="Times New Roman" w:hAnsi="Times New Roman" w:eastAsia="宋体" w:cs="Times New Roman"/>
            <w:kern w:val="2"/>
            <w:sz w:val="21"/>
            <w:szCs w:val="21"/>
            <w:lang w:val="en-US" w:eastAsia="zh-CN" w:bidi="ar-SA"/>
          </w:rPr>
          <w:instrText xml:space="preserve"> PAGE   \* MERGEFORMAT </w:instrText>
        </w:r>
        <w:r>
          <w:rPr>
            <w:rFonts w:ascii="Times New Roman" w:hAnsi="Times New Roman" w:eastAsia="宋体" w:cs="Times New Roman"/>
            <w:kern w:val="2"/>
            <w:sz w:val="21"/>
            <w:szCs w:val="21"/>
            <w:lang w:val="en-US" w:eastAsia="zh-CN" w:bidi="ar-SA"/>
          </w:rPr>
          <w:fldChar w:fldCharType="separate"/>
        </w:r>
        <w:r>
          <w:rPr>
            <w:rFonts w:ascii="Times New Roman" w:hAnsi="Times New Roman" w:eastAsia="宋体" w:cs="Times New Roman"/>
            <w:kern w:val="2"/>
            <w:sz w:val="21"/>
            <w:szCs w:val="21"/>
            <w:lang w:val="zh-CN" w:eastAsia="zh-CN" w:bidi="ar-SA"/>
          </w:rPr>
          <w:t>38</w:t>
        </w:r>
        <w:r>
          <w:rPr>
            <w:rFonts w:ascii="Times New Roman" w:hAnsi="Times New Roman" w:eastAsia="宋体" w:cs="Times New Roman"/>
            <w:kern w:val="2"/>
            <w:sz w:val="21"/>
            <w:szCs w:val="21"/>
            <w:lang w:val="zh-CN" w:eastAsia="zh-CN" w:bidi="ar-SA"/>
          </w:rPr>
          <w:fldChar w:fldCharType="end"/>
        </w:r>
        <w:r>
          <w:rPr>
            <w:rFonts w:ascii="Times New Roman" w:hAnsi="Times New Roman" w:eastAsia="宋体" w:cs="Times New Roman"/>
            <w:kern w:val="2"/>
            <w:sz w:val="21"/>
            <w:szCs w:val="21"/>
            <w:lang w:val="zh-CN" w:eastAsia="zh-CN" w:bidi="ar-SA"/>
          </w:rPr>
          <w:t xml:space="preserve"> </w:t>
        </w:r>
        <w:r>
          <w:rPr>
            <w:rFonts w:ascii="Times New Roman" w:hAnsi="Times New Roman" w:eastAsia="宋体" w:cs="Times New Roman"/>
            <w:kern w:val="2"/>
            <w:sz w:val="18"/>
            <w:szCs w:val="18"/>
            <w:lang w:val="zh-CN" w:eastAsia="zh-CN" w:bidi="ar-SA"/>
          </w:rPr>
          <w:t xml:space="preserve">                                                 </w:t>
        </w:r>
        <w:r>
          <w:rPr>
            <w:rFonts w:hint="eastAsia" w:ascii="Times New Roman" w:hAnsi="Times New Roman" w:eastAsia="宋体" w:cs="Times New Roman"/>
            <w:kern w:val="2"/>
            <w:sz w:val="18"/>
            <w:szCs w:val="18"/>
            <w:lang w:val="zh-CN" w:eastAsia="zh-CN" w:bidi="ar-SA"/>
          </w:rPr>
          <w:t xml:space="preserve">                                         </w:t>
        </w:r>
        <w:r>
          <w:rPr>
            <w:rFonts w:hint="eastAsia" w:ascii="Times New Roman" w:hAnsi="Times New Roman" w:eastAsia="宋体" w:cs="Times New Roman"/>
            <w:kern w:val="2"/>
            <w:sz w:val="18"/>
            <w:szCs w:val="18"/>
            <w:lang w:val="en-US" w:eastAsia="zh-CN" w:bidi="ar-SA"/>
          </w:rPr>
          <w:t xml:space="preserve">     </w:t>
        </w:r>
        <w:r>
          <w:rPr>
            <w:rFonts w:hint="eastAsia" w:ascii="Times New Roman" w:hAnsi="Times New Roman" w:eastAsia="宋体" w:cs="Times New Roman"/>
            <w:kern w:val="2"/>
            <w:sz w:val="18"/>
            <w:szCs w:val="18"/>
            <w:lang w:val="zh-CN" w:eastAsia="zh-CN" w:bidi="ar-SA"/>
          </w:rPr>
          <w:t xml:space="preserve">               </w:t>
        </w:r>
        <w:r>
          <w:rPr>
            <w:rFonts w:hint="eastAsia" w:ascii="黑体" w:hAnsi="Times New Roman" w:eastAsia="黑体" w:cs="Times New Roman"/>
            <w:kern w:val="2"/>
            <w:sz w:val="21"/>
            <w:szCs w:val="21"/>
            <w:lang w:val="en-US" w:eastAsia="zh-CN" w:bidi="ar-SA"/>
          </w:rPr>
          <w:t>北京交科公路勘察设计研究院有限公司</w:t>
        </w:r>
      </w:p>
    </w:sdtContent>
  </w:sdt>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F6E845">
    <w:pPr>
      <w:widowControl w:val="0"/>
      <w:pBdr>
        <w:top w:val="thinThickSmallGap" w:color="auto" w:sz="12" w:space="1"/>
      </w:pBdr>
      <w:snapToGrid w:val="0"/>
      <w:jc w:val="left"/>
      <w:rPr>
        <w:rFonts w:ascii="Times New Roman" w:hAnsi="Times New Roman" w:eastAsia="宋体" w:cs="Times New Roman"/>
        <w:kern w:val="2"/>
        <w:sz w:val="18"/>
        <w:szCs w:val="18"/>
        <w:lang w:val="en-US" w:eastAsia="zh-CN" w:bidi="ar-SA"/>
      </w:rPr>
    </w:pPr>
    <w:r>
      <w:rPr>
        <w:rFonts w:hint="eastAsia" w:ascii="黑体" w:hAnsi="Times New Roman" w:eastAsia="黑体" w:cs="Times New Roman"/>
        <w:kern w:val="2"/>
        <w:sz w:val="21"/>
        <w:szCs w:val="21"/>
        <w:lang w:val="en-US" w:eastAsia="zh-CN" w:bidi="ar-SA"/>
      </w:rPr>
      <w:t>北京交科公路勘察设计研究院有限公司</w:t>
    </w:r>
    <w:r>
      <w:rPr>
        <w:rFonts w:ascii="黑体" w:hAnsi="Times New Roman" w:eastAsia="黑体" w:cs="Times New Roman"/>
        <w:kern w:val="2"/>
        <w:sz w:val="21"/>
        <w:szCs w:val="21"/>
        <w:lang w:val="en-US" w:eastAsia="zh-CN" w:bidi="ar-SA"/>
      </w:rPr>
      <w:t xml:space="preserve">             </w:t>
    </w:r>
    <w:r>
      <w:rPr>
        <w:rFonts w:hint="eastAsia" w:ascii="黑体" w:hAnsi="Times New Roman" w:eastAsia="黑体" w:cs="Times New Roman"/>
        <w:kern w:val="2"/>
        <w:sz w:val="21"/>
        <w:szCs w:val="21"/>
        <w:lang w:val="en-US" w:eastAsia="zh-CN" w:bidi="ar-SA"/>
      </w:rPr>
      <w:t xml:space="preserve">                                                                                  </w:t>
    </w:r>
    <w:r>
      <w:rPr>
        <w:rFonts w:ascii="Times New Roman" w:hAnsi="Times New Roman" w:eastAsia="宋体" w:cs="Times New Roman"/>
        <w:kern w:val="2"/>
        <w:sz w:val="21"/>
        <w:szCs w:val="21"/>
        <w:lang w:val="en-US" w:eastAsia="zh-CN" w:bidi="ar-SA"/>
      </w:rPr>
      <w:fldChar w:fldCharType="begin"/>
    </w:r>
    <w:r>
      <w:rPr>
        <w:rFonts w:ascii="Times New Roman" w:hAnsi="Times New Roman" w:eastAsia="宋体" w:cs="Times New Roman"/>
        <w:kern w:val="2"/>
        <w:sz w:val="21"/>
        <w:szCs w:val="21"/>
        <w:lang w:val="en-US" w:eastAsia="zh-CN" w:bidi="ar-SA"/>
      </w:rPr>
      <w:instrText xml:space="preserve"> PAGE   \* MERGEFORMAT </w:instrText>
    </w:r>
    <w:r>
      <w:rPr>
        <w:rFonts w:ascii="Times New Roman" w:hAnsi="Times New Roman" w:eastAsia="宋体" w:cs="Times New Roman"/>
        <w:kern w:val="2"/>
        <w:sz w:val="21"/>
        <w:szCs w:val="21"/>
        <w:lang w:val="en-US" w:eastAsia="zh-CN" w:bidi="ar-SA"/>
      </w:rPr>
      <w:fldChar w:fldCharType="separate"/>
    </w:r>
    <w:r>
      <w:rPr>
        <w:rFonts w:ascii="Times New Roman" w:hAnsi="Times New Roman" w:eastAsia="宋体" w:cs="Times New Roman"/>
        <w:kern w:val="2"/>
        <w:sz w:val="21"/>
        <w:szCs w:val="21"/>
        <w:lang w:val="zh-CN" w:eastAsia="zh-CN" w:bidi="ar-SA"/>
      </w:rPr>
      <w:t>39</w:t>
    </w:r>
    <w:r>
      <w:rPr>
        <w:rFonts w:ascii="Times New Roman" w:hAnsi="Times New Roman" w:eastAsia="宋体" w:cs="Times New Roman"/>
        <w:kern w:val="2"/>
        <w:sz w:val="21"/>
        <w:szCs w:val="21"/>
        <w:lang w:val="zh-CN" w:eastAsia="zh-CN" w:bidi="ar-SA"/>
      </w:rPr>
      <w:fldChar w:fldCharType="end"/>
    </w:r>
    <w:r>
      <w:rPr>
        <w:rFonts w:hint="eastAsia" w:ascii="黑体" w:hAnsi="Times New Roman" w:eastAsia="黑体" w:cs="Times New Roman"/>
        <w:kern w:val="2"/>
        <w:sz w:val="21"/>
        <w:szCs w:val="21"/>
        <w:lang w:val="en-US" w:eastAsia="zh-CN" w:bidi="ar-SA"/>
      </w:rPr>
      <w:t xml:space="preserve">       </w:t>
    </w:r>
    <w:sdt>
      <w:sdtPr>
        <w:rPr>
          <w:rFonts w:ascii="Times New Roman" w:hAnsi="Times New Roman" w:eastAsia="宋体" w:cs="Times New Roman"/>
          <w:kern w:val="2"/>
          <w:sz w:val="21"/>
          <w:szCs w:val="21"/>
          <w:lang w:val="en-US" w:eastAsia="zh-CN" w:bidi="ar-SA"/>
        </w:rPr>
        <w:id w:val="2597655"/>
      </w:sdtPr>
      <w:sdtEndPr>
        <w:rPr>
          <w:rFonts w:ascii="Times New Roman" w:hAnsi="Times New Roman" w:eastAsia="宋体" w:cs="Times New Roman"/>
          <w:kern w:val="2"/>
          <w:sz w:val="18"/>
          <w:szCs w:val="18"/>
          <w:lang w:val="en-US" w:eastAsia="zh-CN" w:bidi="ar-SA"/>
        </w:rPr>
      </w:sdtEndPr>
      <w:sdtContent>
        <w:r>
          <w:rPr>
            <w:rFonts w:hint="eastAsia" w:ascii="Times New Roman" w:hAnsi="Times New Roman" w:eastAsia="宋体" w:cs="Times New Roman"/>
            <w:kern w:val="2"/>
            <w:sz w:val="21"/>
            <w:szCs w:val="21"/>
            <w:lang w:val="en-US" w:eastAsia="zh-CN" w:bidi="ar-SA"/>
          </w:rPr>
          <w:t xml:space="preserve">      </w:t>
        </w:r>
      </w:sdtContent>
    </w:sdt>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eastAsia="宋体" w:cs="Times New Roman"/>
        <w:kern w:val="2"/>
        <w:sz w:val="21"/>
        <w:szCs w:val="24"/>
        <w:lang w:val="en-US" w:eastAsia="zh-CN" w:bidi="ar-SA"/>
      </w:rPr>
      <w:id w:val="2597654"/>
    </w:sdtPr>
    <w:sdtEndPr>
      <w:rPr>
        <w:rFonts w:ascii="Times New Roman" w:hAnsi="Times New Roman" w:eastAsia="宋体" w:cs="Times New Roman"/>
        <w:kern w:val="2"/>
        <w:sz w:val="18"/>
        <w:szCs w:val="18"/>
        <w:lang w:val="en-US" w:eastAsia="zh-CN" w:bidi="ar-SA"/>
      </w:rPr>
    </w:sdtEndPr>
    <w:sdtContent>
      <w:p w14:paraId="4D461503">
        <w:pPr>
          <w:widowControl w:val="0"/>
          <w:pBdr>
            <w:top w:val="thinThickSmallGap" w:color="auto" w:sz="12" w:space="1"/>
          </w:pBdr>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21"/>
            <w:szCs w:val="21"/>
            <w:lang w:val="en-US" w:eastAsia="zh-CN" w:bidi="ar-SA"/>
          </w:rPr>
          <w:fldChar w:fldCharType="begin"/>
        </w:r>
        <w:r>
          <w:rPr>
            <w:rFonts w:ascii="Times New Roman" w:hAnsi="Times New Roman" w:eastAsia="宋体" w:cs="Times New Roman"/>
            <w:kern w:val="2"/>
            <w:sz w:val="21"/>
            <w:szCs w:val="21"/>
            <w:lang w:val="en-US" w:eastAsia="zh-CN" w:bidi="ar-SA"/>
          </w:rPr>
          <w:instrText xml:space="preserve"> PAGE   \* MERGEFORMAT </w:instrText>
        </w:r>
        <w:r>
          <w:rPr>
            <w:rFonts w:ascii="Times New Roman" w:hAnsi="Times New Roman" w:eastAsia="宋体" w:cs="Times New Roman"/>
            <w:kern w:val="2"/>
            <w:sz w:val="21"/>
            <w:szCs w:val="21"/>
            <w:lang w:val="en-US" w:eastAsia="zh-CN" w:bidi="ar-SA"/>
          </w:rPr>
          <w:fldChar w:fldCharType="separate"/>
        </w:r>
        <w:r>
          <w:rPr>
            <w:rFonts w:ascii="Times New Roman" w:hAnsi="Times New Roman" w:eastAsia="宋体" w:cs="Times New Roman"/>
            <w:kern w:val="2"/>
            <w:sz w:val="21"/>
            <w:szCs w:val="21"/>
            <w:lang w:val="zh-CN" w:eastAsia="zh-CN" w:bidi="ar-SA"/>
          </w:rPr>
          <w:t>38</w:t>
        </w:r>
        <w:r>
          <w:rPr>
            <w:rFonts w:ascii="Times New Roman" w:hAnsi="Times New Roman" w:eastAsia="宋体" w:cs="Times New Roman"/>
            <w:kern w:val="2"/>
            <w:sz w:val="21"/>
            <w:szCs w:val="21"/>
            <w:lang w:val="zh-CN" w:eastAsia="zh-CN" w:bidi="ar-SA"/>
          </w:rPr>
          <w:fldChar w:fldCharType="end"/>
        </w:r>
        <w:r>
          <w:rPr>
            <w:rFonts w:ascii="Times New Roman" w:hAnsi="Times New Roman" w:eastAsia="宋体" w:cs="Times New Roman"/>
            <w:kern w:val="2"/>
            <w:sz w:val="21"/>
            <w:szCs w:val="21"/>
            <w:lang w:val="zh-CN" w:eastAsia="zh-CN" w:bidi="ar-SA"/>
          </w:rPr>
          <w:t xml:space="preserve"> </w:t>
        </w:r>
        <w:r>
          <w:rPr>
            <w:rFonts w:ascii="Times New Roman" w:hAnsi="Times New Roman" w:eastAsia="宋体" w:cs="Times New Roman"/>
            <w:kern w:val="2"/>
            <w:sz w:val="18"/>
            <w:szCs w:val="18"/>
            <w:lang w:val="zh-CN" w:eastAsia="zh-CN" w:bidi="ar-SA"/>
          </w:rPr>
          <w:t xml:space="preserve">                                                 </w:t>
        </w:r>
        <w:r>
          <w:rPr>
            <w:rFonts w:hint="eastAsia" w:ascii="Times New Roman" w:hAnsi="Times New Roman" w:eastAsia="宋体" w:cs="Times New Roman"/>
            <w:kern w:val="2"/>
            <w:sz w:val="18"/>
            <w:szCs w:val="18"/>
            <w:lang w:val="zh-CN" w:eastAsia="zh-CN" w:bidi="ar-SA"/>
          </w:rPr>
          <w:t xml:space="preserve">                                                             </w:t>
        </w:r>
        <w:r>
          <w:rPr>
            <w:rFonts w:hint="eastAsia" w:ascii="黑体" w:hAnsi="Times New Roman" w:eastAsia="黑体" w:cs="Times New Roman"/>
            <w:kern w:val="2"/>
            <w:sz w:val="21"/>
            <w:szCs w:val="21"/>
            <w:lang w:val="en-US" w:eastAsia="zh-CN" w:bidi="ar-SA"/>
          </w:rPr>
          <w:t>北京交科公路勘察设计研究院有限公司</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F2FC5F">
    <w:pPr>
      <w:pStyle w:val="16"/>
      <w:pBdr>
        <w:top w:val="thinThickSmallGap" w:color="auto" w:sz="12" w:space="2"/>
      </w:pBdr>
      <w:ind w:right="-51"/>
      <w:jc w:val="distribute"/>
    </w:pPr>
    <w:r>
      <w:rPr>
        <w:rFonts w:hint="eastAsia" w:ascii="黑体" w:eastAsia="黑体"/>
        <w:spacing w:val="-6"/>
        <w:sz w:val="21"/>
        <w:szCs w:val="21"/>
        <w:lang w:val="en-US" w:eastAsia="zh-CN"/>
      </w:rPr>
      <w:t>北京交科公路勘察设计研究院有限公司</w:t>
    </w:r>
    <w:r>
      <w:rPr>
        <w:rFonts w:ascii="黑体" w:eastAsia="黑体"/>
        <w:sz w:val="21"/>
        <w:szCs w:val="21"/>
      </w:rPr>
      <w:t xml:space="preserve">                                         </w:t>
    </w:r>
    <w:sdt>
      <w:sdtPr>
        <w:rPr>
          <w:sz w:val="21"/>
          <w:szCs w:val="21"/>
        </w:rPr>
        <w:id w:val="24864797"/>
        <w:docPartObj>
          <w:docPartGallery w:val="autotext"/>
        </w:docPartObj>
      </w:sdtPr>
      <w:sdtEndPr>
        <w:rPr>
          <w:sz w:val="21"/>
          <w:szCs w:val="21"/>
        </w:rPr>
      </w:sdtEndPr>
      <w:sdtContent>
        <w:r>
          <w:rPr>
            <w:sz w:val="21"/>
            <w:szCs w:val="21"/>
          </w:rPr>
          <w:fldChar w:fldCharType="begin"/>
        </w:r>
        <w:r>
          <w:rPr>
            <w:sz w:val="21"/>
            <w:szCs w:val="21"/>
          </w:rPr>
          <w:instrText xml:space="preserve"> PAGE   \* MERGEFORMAT </w:instrText>
        </w:r>
        <w:r>
          <w:rPr>
            <w:sz w:val="21"/>
            <w:szCs w:val="21"/>
          </w:rPr>
          <w:fldChar w:fldCharType="separate"/>
        </w:r>
        <w:r>
          <w:rPr>
            <w:sz w:val="21"/>
            <w:szCs w:val="21"/>
            <w:lang w:val="zh-CN"/>
          </w:rPr>
          <w:t>75</w:t>
        </w:r>
        <w:r>
          <w:rPr>
            <w:sz w:val="21"/>
            <w:szCs w:val="21"/>
            <w:lang w:val="zh-CN"/>
          </w:rPr>
          <w:fldChar w:fldCharType="end"/>
        </w:r>
      </w:sdtContent>
    </w:sdt>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F0307C">
    <w:pPr>
      <w:widowControl w:val="0"/>
      <w:pBdr>
        <w:top w:val="thinThickSmallGap" w:color="auto" w:sz="12" w:space="1"/>
      </w:pBdr>
      <w:snapToGrid w:val="0"/>
      <w:jc w:val="left"/>
      <w:rPr>
        <w:rFonts w:ascii="Times New Roman" w:hAnsi="Times New Roman" w:eastAsia="宋体" w:cs="Times New Roman"/>
        <w:kern w:val="2"/>
        <w:sz w:val="18"/>
        <w:szCs w:val="18"/>
        <w:lang w:val="en-US" w:eastAsia="zh-CN" w:bidi="ar-SA"/>
      </w:rPr>
    </w:pPr>
    <w:r>
      <w:rPr>
        <w:rFonts w:hint="eastAsia" w:ascii="黑体" w:hAnsi="Times New Roman" w:eastAsia="黑体" w:cs="Times New Roman"/>
        <w:kern w:val="2"/>
        <w:sz w:val="21"/>
        <w:szCs w:val="21"/>
        <w:lang w:val="en-US" w:eastAsia="zh-CN" w:bidi="ar-SA"/>
      </w:rPr>
      <w:t>北京交科公路勘察设计研究院有限公司</w:t>
    </w:r>
    <w:r>
      <w:rPr>
        <w:rFonts w:ascii="黑体" w:hAnsi="Times New Roman" w:eastAsia="黑体" w:cs="Times New Roman"/>
        <w:kern w:val="2"/>
        <w:sz w:val="21"/>
        <w:szCs w:val="21"/>
        <w:lang w:val="en-US" w:eastAsia="zh-CN" w:bidi="ar-SA"/>
      </w:rPr>
      <w:t xml:space="preserve">             </w:t>
    </w:r>
    <w:r>
      <w:rPr>
        <w:rFonts w:hint="eastAsia" w:ascii="黑体" w:hAnsi="Times New Roman" w:eastAsia="黑体" w:cs="Times New Roman"/>
        <w:kern w:val="2"/>
        <w:sz w:val="21"/>
        <w:szCs w:val="21"/>
        <w:lang w:val="en-US" w:eastAsia="zh-CN" w:bidi="ar-SA"/>
      </w:rPr>
      <w:t xml:space="preserve">                                                                                  </w:t>
    </w:r>
    <w:sdt>
      <w:sdtPr>
        <w:rPr>
          <w:rFonts w:ascii="Times New Roman" w:hAnsi="Times New Roman" w:eastAsia="宋体" w:cs="Times New Roman"/>
          <w:kern w:val="2"/>
          <w:sz w:val="21"/>
          <w:szCs w:val="21"/>
          <w:lang w:val="en-US" w:eastAsia="zh-CN" w:bidi="ar-SA"/>
        </w:rPr>
        <w:id w:val="2597657"/>
      </w:sdtPr>
      <w:sdtEndPr>
        <w:rPr>
          <w:rFonts w:ascii="Times New Roman" w:hAnsi="Times New Roman" w:eastAsia="宋体" w:cs="Times New Roman"/>
          <w:kern w:val="2"/>
          <w:sz w:val="18"/>
          <w:szCs w:val="18"/>
          <w:lang w:val="en-US" w:eastAsia="zh-CN" w:bidi="ar-SA"/>
        </w:rPr>
      </w:sdtEndPr>
      <w:sdtContent>
        <w:r>
          <w:rPr>
            <w:rFonts w:ascii="Times New Roman" w:hAnsi="Times New Roman" w:eastAsia="宋体" w:cs="Times New Roman"/>
            <w:kern w:val="2"/>
            <w:sz w:val="21"/>
            <w:szCs w:val="21"/>
            <w:lang w:val="en-US" w:eastAsia="zh-CN" w:bidi="ar-SA"/>
          </w:rPr>
          <w:fldChar w:fldCharType="begin"/>
        </w:r>
        <w:r>
          <w:rPr>
            <w:rFonts w:ascii="Times New Roman" w:hAnsi="Times New Roman" w:eastAsia="宋体" w:cs="Times New Roman"/>
            <w:kern w:val="2"/>
            <w:sz w:val="21"/>
            <w:szCs w:val="21"/>
            <w:lang w:val="en-US" w:eastAsia="zh-CN" w:bidi="ar-SA"/>
          </w:rPr>
          <w:instrText xml:space="preserve"> PAGE   \* MERGEFORMAT </w:instrText>
        </w:r>
        <w:r>
          <w:rPr>
            <w:rFonts w:ascii="Times New Roman" w:hAnsi="Times New Roman" w:eastAsia="宋体" w:cs="Times New Roman"/>
            <w:kern w:val="2"/>
            <w:sz w:val="21"/>
            <w:szCs w:val="21"/>
            <w:lang w:val="en-US" w:eastAsia="zh-CN" w:bidi="ar-SA"/>
          </w:rPr>
          <w:fldChar w:fldCharType="separate"/>
        </w:r>
        <w:r>
          <w:rPr>
            <w:rFonts w:ascii="Times New Roman" w:hAnsi="Times New Roman" w:eastAsia="宋体" w:cs="Times New Roman"/>
            <w:kern w:val="2"/>
            <w:sz w:val="21"/>
            <w:szCs w:val="21"/>
            <w:lang w:val="zh-CN" w:eastAsia="zh-CN" w:bidi="ar-SA"/>
          </w:rPr>
          <w:t>41</w:t>
        </w:r>
        <w:r>
          <w:rPr>
            <w:rFonts w:ascii="Times New Roman" w:hAnsi="Times New Roman" w:eastAsia="宋体" w:cs="Times New Roman"/>
            <w:kern w:val="2"/>
            <w:sz w:val="21"/>
            <w:szCs w:val="21"/>
            <w:lang w:val="zh-CN" w:eastAsia="zh-CN" w:bidi="ar-SA"/>
          </w:rPr>
          <w:fldChar w:fldCharType="end"/>
        </w:r>
      </w:sdtContent>
    </w:sdt>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eastAsia="宋体" w:cs="Times New Roman"/>
        <w:kern w:val="2"/>
        <w:sz w:val="21"/>
        <w:szCs w:val="24"/>
        <w:lang w:val="en-US" w:eastAsia="zh-CN" w:bidi="ar-SA"/>
      </w:rPr>
      <w:id w:val="2597656"/>
    </w:sdtPr>
    <w:sdtEndPr>
      <w:rPr>
        <w:rFonts w:ascii="Times New Roman" w:hAnsi="Times New Roman" w:eastAsia="宋体" w:cs="Times New Roman"/>
        <w:kern w:val="2"/>
        <w:sz w:val="18"/>
        <w:szCs w:val="18"/>
        <w:lang w:val="en-US" w:eastAsia="zh-CN" w:bidi="ar-SA"/>
      </w:rPr>
    </w:sdtEndPr>
    <w:sdtContent>
      <w:p w14:paraId="0DD16555">
        <w:pPr>
          <w:widowControl w:val="0"/>
          <w:pBdr>
            <w:top w:val="thinThickSmallGap" w:color="auto" w:sz="12" w:space="1"/>
          </w:pBdr>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21"/>
            <w:szCs w:val="21"/>
            <w:lang w:val="en-US" w:eastAsia="zh-CN" w:bidi="ar-SA"/>
          </w:rPr>
          <w:fldChar w:fldCharType="begin"/>
        </w:r>
        <w:r>
          <w:rPr>
            <w:rFonts w:ascii="Times New Roman" w:hAnsi="Times New Roman" w:eastAsia="宋体" w:cs="Times New Roman"/>
            <w:kern w:val="2"/>
            <w:sz w:val="21"/>
            <w:szCs w:val="21"/>
            <w:lang w:val="en-US" w:eastAsia="zh-CN" w:bidi="ar-SA"/>
          </w:rPr>
          <w:instrText xml:space="preserve"> PAGE   \* MERGEFORMAT </w:instrText>
        </w:r>
        <w:r>
          <w:rPr>
            <w:rFonts w:ascii="Times New Roman" w:hAnsi="Times New Roman" w:eastAsia="宋体" w:cs="Times New Roman"/>
            <w:kern w:val="2"/>
            <w:sz w:val="21"/>
            <w:szCs w:val="21"/>
            <w:lang w:val="en-US" w:eastAsia="zh-CN" w:bidi="ar-SA"/>
          </w:rPr>
          <w:fldChar w:fldCharType="separate"/>
        </w:r>
        <w:r>
          <w:rPr>
            <w:rFonts w:ascii="Times New Roman" w:hAnsi="Times New Roman" w:eastAsia="宋体" w:cs="Times New Roman"/>
            <w:kern w:val="2"/>
            <w:sz w:val="21"/>
            <w:szCs w:val="21"/>
            <w:lang w:val="zh-CN" w:eastAsia="zh-CN" w:bidi="ar-SA"/>
          </w:rPr>
          <w:t>40</w:t>
        </w:r>
        <w:r>
          <w:rPr>
            <w:rFonts w:ascii="Times New Roman" w:hAnsi="Times New Roman" w:eastAsia="宋体" w:cs="Times New Roman"/>
            <w:kern w:val="2"/>
            <w:sz w:val="21"/>
            <w:szCs w:val="21"/>
            <w:lang w:val="zh-CN" w:eastAsia="zh-CN" w:bidi="ar-SA"/>
          </w:rPr>
          <w:fldChar w:fldCharType="end"/>
        </w:r>
        <w:r>
          <w:rPr>
            <w:rFonts w:ascii="Times New Roman" w:hAnsi="Times New Roman" w:eastAsia="宋体" w:cs="Times New Roman"/>
            <w:kern w:val="2"/>
            <w:sz w:val="21"/>
            <w:szCs w:val="21"/>
            <w:lang w:val="zh-CN" w:eastAsia="zh-CN" w:bidi="ar-SA"/>
          </w:rPr>
          <w:t xml:space="preserve"> </w:t>
        </w:r>
        <w:r>
          <w:rPr>
            <w:rFonts w:ascii="Times New Roman" w:hAnsi="Times New Roman" w:eastAsia="宋体" w:cs="Times New Roman"/>
            <w:kern w:val="2"/>
            <w:sz w:val="18"/>
            <w:szCs w:val="18"/>
            <w:lang w:val="zh-CN" w:eastAsia="zh-CN" w:bidi="ar-SA"/>
          </w:rPr>
          <w:t xml:space="preserve">                                                 </w:t>
        </w:r>
        <w:r>
          <w:rPr>
            <w:rFonts w:hint="eastAsia" w:ascii="Times New Roman" w:hAnsi="Times New Roman" w:eastAsia="宋体" w:cs="Times New Roman"/>
            <w:kern w:val="2"/>
            <w:sz w:val="18"/>
            <w:szCs w:val="18"/>
            <w:lang w:val="zh-CN" w:eastAsia="zh-CN" w:bidi="ar-SA"/>
          </w:rPr>
          <w:t xml:space="preserve">                                     </w:t>
        </w:r>
        <w:r>
          <w:rPr>
            <w:rFonts w:hint="eastAsia" w:ascii="Times New Roman" w:hAnsi="Times New Roman" w:eastAsia="宋体" w:cs="Times New Roman"/>
            <w:kern w:val="2"/>
            <w:sz w:val="18"/>
            <w:szCs w:val="18"/>
            <w:lang w:val="en-US" w:eastAsia="zh-CN" w:bidi="ar-SA"/>
          </w:rPr>
          <w:t xml:space="preserve">     </w:t>
        </w:r>
        <w:r>
          <w:rPr>
            <w:rFonts w:hint="eastAsia" w:ascii="Times New Roman" w:hAnsi="Times New Roman" w:eastAsia="宋体" w:cs="Times New Roman"/>
            <w:kern w:val="2"/>
            <w:sz w:val="18"/>
            <w:szCs w:val="18"/>
            <w:lang w:val="zh-CN" w:eastAsia="zh-CN" w:bidi="ar-SA"/>
          </w:rPr>
          <w:t xml:space="preserve">                   </w:t>
        </w:r>
        <w:r>
          <w:rPr>
            <w:rFonts w:hint="eastAsia" w:ascii="黑体" w:hAnsi="Times New Roman" w:eastAsia="黑体" w:cs="Times New Roman"/>
            <w:kern w:val="2"/>
            <w:sz w:val="21"/>
            <w:szCs w:val="21"/>
            <w:lang w:val="en-US" w:eastAsia="zh-CN" w:bidi="ar-SA"/>
          </w:rPr>
          <w:t>北京交科公路勘察设计研究院有限公司</w:t>
        </w:r>
      </w:p>
    </w:sdtContent>
  </w:sdt>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6B148E">
    <w:pPr>
      <w:widowControl w:val="0"/>
      <w:pBdr>
        <w:top w:val="thinThickSmallGap" w:color="auto" w:sz="12" w:space="1"/>
      </w:pBdr>
      <w:snapToGrid w:val="0"/>
      <w:jc w:val="left"/>
      <w:rPr>
        <w:rFonts w:ascii="Times New Roman" w:hAnsi="Times New Roman" w:eastAsia="宋体" w:cs="Times New Roman"/>
        <w:kern w:val="2"/>
        <w:sz w:val="18"/>
        <w:szCs w:val="18"/>
        <w:lang w:val="en-US" w:eastAsia="zh-CN" w:bidi="ar-SA"/>
      </w:rPr>
    </w:pPr>
    <w:r>
      <w:rPr>
        <w:rFonts w:hint="eastAsia" w:ascii="黑体" w:hAnsi="Times New Roman" w:eastAsia="黑体" w:cs="Times New Roman"/>
        <w:kern w:val="2"/>
        <w:sz w:val="21"/>
        <w:szCs w:val="21"/>
        <w:lang w:val="en-US" w:eastAsia="zh-CN" w:bidi="ar-SA"/>
      </w:rPr>
      <w:t>北京交科公路勘察设计研究院有限公司</w:t>
    </w:r>
    <w:r>
      <w:rPr>
        <w:rFonts w:ascii="黑体" w:hAnsi="Times New Roman" w:eastAsia="黑体" w:cs="Times New Roman"/>
        <w:kern w:val="2"/>
        <w:sz w:val="21"/>
        <w:szCs w:val="21"/>
        <w:lang w:val="en-US" w:eastAsia="zh-CN" w:bidi="ar-SA"/>
      </w:rPr>
      <w:t xml:space="preserve"> </w:t>
    </w:r>
    <w:r>
      <w:rPr>
        <w:rFonts w:hint="eastAsia" w:ascii="黑体" w:hAnsi="Times New Roman" w:eastAsia="黑体" w:cs="Times New Roman"/>
        <w:kern w:val="2"/>
        <w:sz w:val="21"/>
        <w:szCs w:val="21"/>
        <w:lang w:val="en-US" w:eastAsia="zh-CN" w:bidi="ar-SA"/>
      </w:rPr>
      <w:t xml:space="preserve">                                          </w:t>
    </w:r>
    <w:sdt>
      <w:sdtPr>
        <w:rPr>
          <w:rFonts w:ascii="Times New Roman" w:hAnsi="Times New Roman" w:eastAsia="宋体" w:cs="Times New Roman"/>
          <w:kern w:val="2"/>
          <w:sz w:val="21"/>
          <w:szCs w:val="21"/>
          <w:lang w:val="en-US" w:eastAsia="zh-CN" w:bidi="ar-SA"/>
        </w:rPr>
        <w:id w:val="22519612"/>
      </w:sdtPr>
      <w:sdtEndPr>
        <w:rPr>
          <w:rFonts w:ascii="Times New Roman" w:hAnsi="Times New Roman" w:eastAsia="宋体" w:cs="Times New Roman"/>
          <w:kern w:val="2"/>
          <w:sz w:val="18"/>
          <w:szCs w:val="18"/>
          <w:lang w:val="en-US" w:eastAsia="zh-CN" w:bidi="ar-SA"/>
        </w:rPr>
      </w:sdtEndPr>
      <w:sdtContent>
        <w:r>
          <w:rPr>
            <w:rFonts w:ascii="Times New Roman" w:hAnsi="Times New Roman" w:eastAsia="宋体" w:cs="Times New Roman"/>
            <w:kern w:val="2"/>
            <w:sz w:val="21"/>
            <w:szCs w:val="21"/>
            <w:lang w:val="en-US" w:eastAsia="zh-CN" w:bidi="ar-SA"/>
          </w:rPr>
          <w:fldChar w:fldCharType="begin"/>
        </w:r>
        <w:r>
          <w:rPr>
            <w:rFonts w:ascii="Times New Roman" w:hAnsi="Times New Roman" w:eastAsia="宋体" w:cs="Times New Roman"/>
            <w:kern w:val="2"/>
            <w:sz w:val="21"/>
            <w:szCs w:val="21"/>
            <w:lang w:val="en-US" w:eastAsia="zh-CN" w:bidi="ar-SA"/>
          </w:rPr>
          <w:instrText xml:space="preserve"> PAGE   \* MERGEFORMAT </w:instrText>
        </w:r>
        <w:r>
          <w:rPr>
            <w:rFonts w:ascii="Times New Roman" w:hAnsi="Times New Roman" w:eastAsia="宋体" w:cs="Times New Roman"/>
            <w:kern w:val="2"/>
            <w:sz w:val="21"/>
            <w:szCs w:val="21"/>
            <w:lang w:val="en-US" w:eastAsia="zh-CN" w:bidi="ar-SA"/>
          </w:rPr>
          <w:fldChar w:fldCharType="separate"/>
        </w:r>
        <w:r>
          <w:rPr>
            <w:rFonts w:ascii="Times New Roman" w:hAnsi="Times New Roman" w:eastAsia="宋体" w:cs="Times New Roman"/>
            <w:kern w:val="2"/>
            <w:sz w:val="21"/>
            <w:szCs w:val="21"/>
            <w:lang w:val="zh-CN" w:eastAsia="zh-CN" w:bidi="ar-SA"/>
          </w:rPr>
          <w:t>41</w:t>
        </w:r>
        <w:r>
          <w:rPr>
            <w:rFonts w:ascii="Times New Roman" w:hAnsi="Times New Roman" w:eastAsia="宋体" w:cs="Times New Roman"/>
            <w:kern w:val="2"/>
            <w:sz w:val="21"/>
            <w:szCs w:val="21"/>
            <w:lang w:val="zh-CN" w:eastAsia="zh-CN" w:bidi="ar-SA"/>
          </w:rPr>
          <w:fldChar w:fldCharType="end"/>
        </w:r>
      </w:sdtContent>
    </w:sdt>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F3085B">
    <w:pPr>
      <w:widowControl w:val="0"/>
      <w:pBdr>
        <w:top w:val="thinThickSmallGap" w:color="auto" w:sz="12" w:space="1"/>
      </w:pBdr>
      <w:snapToGrid w:val="0"/>
      <w:jc w:val="left"/>
      <w:rPr>
        <w:rFonts w:ascii="Times New Roman" w:hAnsi="Times New Roman" w:eastAsia="宋体" w:cs="Times New Roman"/>
        <w:kern w:val="2"/>
        <w:sz w:val="18"/>
        <w:szCs w:val="18"/>
        <w:lang w:val="en-US" w:eastAsia="zh-CN" w:bidi="ar-SA"/>
      </w:rPr>
    </w:pPr>
    <w:r>
      <w:rPr>
        <w:rFonts w:hint="eastAsia" w:ascii="黑体" w:hAnsi="Times New Roman" w:eastAsia="黑体" w:cs="Times New Roman"/>
        <w:kern w:val="2"/>
        <w:sz w:val="21"/>
        <w:szCs w:val="21"/>
        <w:lang w:val="en-US" w:eastAsia="zh-CN" w:bidi="ar-SA"/>
      </w:rPr>
      <w:t>北京交科公路勘察设计研究院有限公司</w:t>
    </w:r>
    <w:r>
      <w:rPr>
        <w:rFonts w:ascii="黑体" w:hAnsi="Times New Roman" w:eastAsia="黑体" w:cs="Times New Roman"/>
        <w:kern w:val="2"/>
        <w:sz w:val="21"/>
        <w:szCs w:val="21"/>
        <w:lang w:val="en-US" w:eastAsia="zh-CN" w:bidi="ar-SA"/>
      </w:rPr>
      <w:t xml:space="preserve"> </w:t>
    </w:r>
    <w:r>
      <w:rPr>
        <w:rFonts w:hint="eastAsia" w:ascii="黑体" w:hAnsi="Times New Roman" w:eastAsia="黑体" w:cs="Times New Roman"/>
        <w:kern w:val="2"/>
        <w:sz w:val="21"/>
        <w:szCs w:val="21"/>
        <w:lang w:val="en-US" w:eastAsia="zh-CN" w:bidi="ar-SA"/>
      </w:rPr>
      <w:t xml:space="preserve">                                         </w:t>
    </w:r>
    <w:sdt>
      <w:sdtPr>
        <w:rPr>
          <w:rFonts w:ascii="Times New Roman" w:hAnsi="Times New Roman" w:eastAsia="宋体" w:cs="Times New Roman"/>
          <w:kern w:val="2"/>
          <w:sz w:val="21"/>
          <w:szCs w:val="21"/>
          <w:lang w:val="en-US" w:eastAsia="zh-CN" w:bidi="ar-SA"/>
        </w:rPr>
        <w:id w:val="2597659"/>
      </w:sdtPr>
      <w:sdtEndPr>
        <w:rPr>
          <w:rFonts w:ascii="Times New Roman" w:hAnsi="Times New Roman" w:eastAsia="宋体" w:cs="Times New Roman"/>
          <w:kern w:val="2"/>
          <w:sz w:val="18"/>
          <w:szCs w:val="18"/>
          <w:lang w:val="en-US" w:eastAsia="zh-CN" w:bidi="ar-SA"/>
        </w:rPr>
      </w:sdtEndPr>
      <w:sdtContent>
        <w:r>
          <w:rPr>
            <w:rFonts w:hint="eastAsia" w:ascii="Times New Roman" w:hAnsi="Times New Roman" w:eastAsia="宋体" w:cs="Times New Roman"/>
            <w:kern w:val="2"/>
            <w:sz w:val="21"/>
            <w:szCs w:val="21"/>
            <w:lang w:val="en-US" w:eastAsia="zh-CN" w:bidi="ar-SA"/>
          </w:rPr>
          <w:t xml:space="preserve"> </w:t>
        </w:r>
        <w:r>
          <w:rPr>
            <w:rFonts w:ascii="Times New Roman" w:hAnsi="Times New Roman" w:eastAsia="宋体" w:cs="Times New Roman"/>
            <w:kern w:val="2"/>
            <w:sz w:val="21"/>
            <w:szCs w:val="21"/>
            <w:lang w:val="en-US" w:eastAsia="zh-CN" w:bidi="ar-SA"/>
          </w:rPr>
          <w:fldChar w:fldCharType="begin"/>
        </w:r>
        <w:r>
          <w:rPr>
            <w:rFonts w:ascii="Times New Roman" w:hAnsi="Times New Roman" w:eastAsia="宋体" w:cs="Times New Roman"/>
            <w:kern w:val="2"/>
            <w:sz w:val="21"/>
            <w:szCs w:val="21"/>
            <w:lang w:val="en-US" w:eastAsia="zh-CN" w:bidi="ar-SA"/>
          </w:rPr>
          <w:instrText xml:space="preserve"> PAGE   \* MERGEFORMAT </w:instrText>
        </w:r>
        <w:r>
          <w:rPr>
            <w:rFonts w:ascii="Times New Roman" w:hAnsi="Times New Roman" w:eastAsia="宋体" w:cs="Times New Roman"/>
            <w:kern w:val="2"/>
            <w:sz w:val="21"/>
            <w:szCs w:val="21"/>
            <w:lang w:val="en-US" w:eastAsia="zh-CN" w:bidi="ar-SA"/>
          </w:rPr>
          <w:fldChar w:fldCharType="separate"/>
        </w:r>
        <w:r>
          <w:rPr>
            <w:rFonts w:ascii="Times New Roman" w:hAnsi="Times New Roman" w:eastAsia="宋体" w:cs="Times New Roman"/>
            <w:kern w:val="2"/>
            <w:sz w:val="21"/>
            <w:szCs w:val="21"/>
            <w:lang w:val="zh-CN" w:eastAsia="zh-CN" w:bidi="ar-SA"/>
          </w:rPr>
          <w:t>43</w:t>
        </w:r>
        <w:r>
          <w:rPr>
            <w:rFonts w:ascii="Times New Roman" w:hAnsi="Times New Roman" w:eastAsia="宋体" w:cs="Times New Roman"/>
            <w:kern w:val="2"/>
            <w:sz w:val="21"/>
            <w:szCs w:val="21"/>
            <w:lang w:val="zh-CN" w:eastAsia="zh-CN" w:bidi="ar-SA"/>
          </w:rPr>
          <w:fldChar w:fldCharType="end"/>
        </w:r>
      </w:sdtContent>
    </w:sdt>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eastAsia="宋体" w:cs="Times New Roman"/>
        <w:kern w:val="2"/>
        <w:sz w:val="21"/>
        <w:szCs w:val="24"/>
        <w:lang w:val="en-US" w:eastAsia="zh-CN" w:bidi="ar-SA"/>
      </w:rPr>
      <w:id w:val="2597658"/>
    </w:sdtPr>
    <w:sdtEndPr>
      <w:rPr>
        <w:rFonts w:ascii="Times New Roman" w:hAnsi="Times New Roman" w:eastAsia="宋体" w:cs="Times New Roman"/>
        <w:kern w:val="2"/>
        <w:sz w:val="18"/>
        <w:szCs w:val="18"/>
        <w:lang w:val="en-US" w:eastAsia="zh-CN" w:bidi="ar-SA"/>
      </w:rPr>
    </w:sdtEndPr>
    <w:sdtContent>
      <w:p w14:paraId="7ED4A63C">
        <w:pPr>
          <w:widowControl w:val="0"/>
          <w:pBdr>
            <w:top w:val="thinThickSmallGap" w:color="auto" w:sz="12" w:space="1"/>
          </w:pBdr>
          <w:snapToGrid w:val="0"/>
          <w:jc w:val="distribute"/>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21"/>
            <w:szCs w:val="21"/>
            <w:lang w:val="en-US" w:eastAsia="zh-CN" w:bidi="ar-SA"/>
          </w:rPr>
          <w:fldChar w:fldCharType="begin"/>
        </w:r>
        <w:r>
          <w:rPr>
            <w:rFonts w:ascii="Times New Roman" w:hAnsi="Times New Roman" w:eastAsia="宋体" w:cs="Times New Roman"/>
            <w:kern w:val="2"/>
            <w:sz w:val="21"/>
            <w:szCs w:val="21"/>
            <w:lang w:val="en-US" w:eastAsia="zh-CN" w:bidi="ar-SA"/>
          </w:rPr>
          <w:instrText xml:space="preserve"> PAGE   \* MERGEFORMAT </w:instrText>
        </w:r>
        <w:r>
          <w:rPr>
            <w:rFonts w:ascii="Times New Roman" w:hAnsi="Times New Roman" w:eastAsia="宋体" w:cs="Times New Roman"/>
            <w:kern w:val="2"/>
            <w:sz w:val="21"/>
            <w:szCs w:val="21"/>
            <w:lang w:val="en-US" w:eastAsia="zh-CN" w:bidi="ar-SA"/>
          </w:rPr>
          <w:fldChar w:fldCharType="separate"/>
        </w:r>
        <w:r>
          <w:rPr>
            <w:rFonts w:ascii="Times New Roman" w:hAnsi="Times New Roman" w:eastAsia="宋体" w:cs="Times New Roman"/>
            <w:kern w:val="2"/>
            <w:sz w:val="21"/>
            <w:szCs w:val="21"/>
            <w:lang w:val="zh-CN" w:eastAsia="zh-CN" w:bidi="ar-SA"/>
          </w:rPr>
          <w:t>46</w:t>
        </w:r>
        <w:r>
          <w:rPr>
            <w:rFonts w:ascii="Times New Roman" w:hAnsi="Times New Roman" w:eastAsia="宋体" w:cs="Times New Roman"/>
            <w:kern w:val="2"/>
            <w:sz w:val="21"/>
            <w:szCs w:val="21"/>
            <w:lang w:val="zh-CN" w:eastAsia="zh-CN" w:bidi="ar-SA"/>
          </w:rPr>
          <w:fldChar w:fldCharType="end"/>
        </w:r>
        <w:r>
          <w:rPr>
            <w:rFonts w:hint="eastAsia" w:ascii="Times New Roman" w:hAnsi="Times New Roman" w:eastAsia="宋体" w:cs="Times New Roman"/>
            <w:kern w:val="2"/>
            <w:sz w:val="21"/>
            <w:szCs w:val="21"/>
            <w:lang w:val="zh-CN" w:eastAsia="zh-CN" w:bidi="ar-SA"/>
          </w:rPr>
          <w:t xml:space="preserve">                          </w:t>
        </w:r>
        <w:r>
          <w:rPr>
            <w:rFonts w:hint="eastAsia" w:ascii="Times New Roman" w:hAnsi="Times New Roman" w:eastAsia="宋体" w:cs="Times New Roman"/>
            <w:kern w:val="2"/>
            <w:sz w:val="18"/>
            <w:szCs w:val="18"/>
            <w:lang w:val="zh-CN" w:eastAsia="zh-CN" w:bidi="ar-SA"/>
          </w:rPr>
          <w:t xml:space="preserve">                    </w:t>
        </w:r>
        <w:r>
          <w:rPr>
            <w:rFonts w:hint="eastAsia" w:ascii="黑体" w:hAnsi="Times New Roman" w:eastAsia="黑体" w:cs="Times New Roman"/>
            <w:kern w:val="2"/>
            <w:sz w:val="21"/>
            <w:szCs w:val="21"/>
            <w:lang w:val="en-US" w:eastAsia="zh-CN" w:bidi="ar-SA"/>
          </w:rPr>
          <w:t>北京交科公路勘察设计研究院有限公司</w:t>
        </w:r>
      </w:p>
    </w:sdtContent>
  </w:sdt>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E2F1EC">
    <w:pPr>
      <w:widowControl w:val="0"/>
      <w:pBdr>
        <w:top w:val="thinThickSmallGap" w:color="auto" w:sz="12" w:space="1"/>
      </w:pBdr>
      <w:snapToGrid w:val="0"/>
      <w:jc w:val="distribute"/>
      <w:rPr>
        <w:rFonts w:ascii="Times New Roman" w:hAnsi="Times New Roman" w:eastAsia="宋体" w:cs="Times New Roman"/>
        <w:kern w:val="2"/>
        <w:sz w:val="18"/>
        <w:szCs w:val="18"/>
        <w:lang w:val="en-US" w:eastAsia="zh-CN" w:bidi="ar-SA"/>
      </w:rPr>
    </w:pPr>
    <w:r>
      <w:rPr>
        <w:rFonts w:hint="eastAsia" w:ascii="黑体" w:hAnsi="Times New Roman" w:eastAsia="黑体" w:cs="Times New Roman"/>
        <w:kern w:val="2"/>
        <w:sz w:val="21"/>
        <w:szCs w:val="21"/>
        <w:lang w:val="en-US" w:eastAsia="zh-CN" w:bidi="ar-SA"/>
      </w:rPr>
      <w:t xml:space="preserve">北京交科公路勘察设计研究院有限公司                                            </w:t>
    </w:r>
    <w:sdt>
      <w:sdtPr>
        <w:rPr>
          <w:rFonts w:ascii="Times New Roman" w:hAnsi="Times New Roman" w:eastAsia="宋体" w:cs="Times New Roman"/>
          <w:kern w:val="2"/>
          <w:sz w:val="21"/>
          <w:szCs w:val="21"/>
          <w:lang w:val="en-US" w:eastAsia="zh-CN" w:bidi="ar-SA"/>
        </w:rPr>
        <w:id w:val="2597660"/>
      </w:sdtPr>
      <w:sdtEndPr>
        <w:rPr>
          <w:rFonts w:ascii="Times New Roman" w:hAnsi="Times New Roman" w:eastAsia="宋体" w:cs="Times New Roman"/>
          <w:kern w:val="2"/>
          <w:sz w:val="18"/>
          <w:szCs w:val="18"/>
          <w:lang w:val="en-US" w:eastAsia="zh-CN" w:bidi="ar-SA"/>
        </w:rPr>
      </w:sdtEndPr>
      <w:sdtContent>
        <w:r>
          <w:rPr>
            <w:rFonts w:ascii="Times New Roman" w:hAnsi="Times New Roman" w:eastAsia="宋体" w:cs="Times New Roman"/>
            <w:kern w:val="2"/>
            <w:sz w:val="21"/>
            <w:szCs w:val="21"/>
            <w:lang w:val="en-US" w:eastAsia="zh-CN" w:bidi="ar-SA"/>
          </w:rPr>
          <w:fldChar w:fldCharType="begin"/>
        </w:r>
        <w:r>
          <w:rPr>
            <w:rFonts w:ascii="Times New Roman" w:hAnsi="Times New Roman" w:eastAsia="宋体" w:cs="Times New Roman"/>
            <w:kern w:val="2"/>
            <w:sz w:val="21"/>
            <w:szCs w:val="21"/>
            <w:lang w:val="en-US" w:eastAsia="zh-CN" w:bidi="ar-SA"/>
          </w:rPr>
          <w:instrText xml:space="preserve"> PAGE   \* MERGEFORMAT </w:instrText>
        </w:r>
        <w:r>
          <w:rPr>
            <w:rFonts w:ascii="Times New Roman" w:hAnsi="Times New Roman" w:eastAsia="宋体" w:cs="Times New Roman"/>
            <w:kern w:val="2"/>
            <w:sz w:val="21"/>
            <w:szCs w:val="21"/>
            <w:lang w:val="en-US" w:eastAsia="zh-CN" w:bidi="ar-SA"/>
          </w:rPr>
          <w:fldChar w:fldCharType="separate"/>
        </w:r>
        <w:r>
          <w:rPr>
            <w:rFonts w:ascii="Times New Roman" w:hAnsi="Times New Roman" w:eastAsia="宋体" w:cs="Times New Roman"/>
            <w:kern w:val="2"/>
            <w:sz w:val="21"/>
            <w:szCs w:val="21"/>
            <w:lang w:val="zh-CN" w:eastAsia="zh-CN" w:bidi="ar-SA"/>
          </w:rPr>
          <w:t>47</w:t>
        </w:r>
        <w:r>
          <w:rPr>
            <w:rFonts w:ascii="Times New Roman" w:hAnsi="Times New Roman" w:eastAsia="宋体" w:cs="Times New Roman"/>
            <w:kern w:val="2"/>
            <w:sz w:val="21"/>
            <w:szCs w:val="21"/>
            <w:lang w:val="zh-CN" w:eastAsia="zh-CN" w:bidi="ar-SA"/>
          </w:rPr>
          <w:fldChar w:fldCharType="end"/>
        </w:r>
      </w:sdtContent>
    </w:sdt>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ACA2E1">
    <w:pPr>
      <w:widowControl w:val="0"/>
      <w:pBdr>
        <w:top w:val="thinThickSmallGap" w:color="auto" w:sz="12" w:space="1"/>
      </w:pBdr>
      <w:snapToGrid w:val="0"/>
      <w:jc w:val="distribute"/>
      <w:rPr>
        <w:rFonts w:ascii="Times New Roman" w:hAnsi="Times New Roman" w:eastAsia="宋体" w:cs="Times New Roman"/>
        <w:kern w:val="2"/>
        <w:sz w:val="18"/>
        <w:szCs w:val="18"/>
        <w:lang w:val="en-US" w:eastAsia="zh-CN" w:bidi="ar-SA"/>
      </w:rPr>
    </w:pPr>
    <w:r>
      <w:rPr>
        <w:rFonts w:hint="eastAsia" w:ascii="黑体" w:hAnsi="Times New Roman" w:eastAsia="黑体" w:cs="Times New Roman"/>
        <w:kern w:val="2"/>
        <w:sz w:val="21"/>
        <w:szCs w:val="21"/>
        <w:lang w:val="en-US" w:eastAsia="zh-CN" w:bidi="ar-SA"/>
      </w:rPr>
      <w:t xml:space="preserve">北京交科公路勘察设计研究院有限公司                                                                                                                   </w:t>
    </w:r>
    <w:r>
      <w:rPr>
        <w:rFonts w:ascii="黑体" w:hAnsi="Times New Roman" w:eastAsia="黑体" w:cs="Times New Roman"/>
        <w:kern w:val="2"/>
        <w:sz w:val="21"/>
        <w:szCs w:val="21"/>
        <w:lang w:val="en-US" w:eastAsia="zh-CN" w:bidi="ar-SA"/>
      </w:rPr>
      <w:t xml:space="preserve"> </w:t>
    </w:r>
    <w:r>
      <w:rPr>
        <w:rFonts w:hint="eastAsia" w:ascii="黑体" w:hAnsi="Times New Roman" w:eastAsia="黑体" w:cs="Times New Roman"/>
        <w:kern w:val="2"/>
        <w:sz w:val="21"/>
        <w:szCs w:val="21"/>
        <w:lang w:val="en-US" w:eastAsia="zh-CN" w:bidi="ar-SA"/>
      </w:rPr>
      <w:t xml:space="preserve">                                         </w:t>
    </w:r>
    <w:sdt>
      <w:sdtPr>
        <w:rPr>
          <w:rFonts w:ascii="Times New Roman" w:hAnsi="Times New Roman" w:eastAsia="宋体" w:cs="Times New Roman"/>
          <w:kern w:val="2"/>
          <w:sz w:val="21"/>
          <w:szCs w:val="21"/>
          <w:lang w:val="en-US" w:eastAsia="zh-CN" w:bidi="ar-SA"/>
        </w:rPr>
        <w:id w:val="2597662"/>
      </w:sdtPr>
      <w:sdtEndPr>
        <w:rPr>
          <w:rFonts w:ascii="Times New Roman" w:hAnsi="Times New Roman" w:eastAsia="宋体" w:cs="Times New Roman"/>
          <w:kern w:val="2"/>
          <w:sz w:val="18"/>
          <w:szCs w:val="18"/>
          <w:lang w:val="en-US" w:eastAsia="zh-CN" w:bidi="ar-SA"/>
        </w:rPr>
      </w:sdtEndPr>
      <w:sdtContent>
        <w:r>
          <w:rPr>
            <w:rFonts w:hint="eastAsia" w:ascii="Times New Roman" w:hAnsi="Times New Roman" w:eastAsia="宋体" w:cs="Times New Roman"/>
            <w:kern w:val="2"/>
            <w:sz w:val="21"/>
            <w:szCs w:val="21"/>
            <w:lang w:val="en-US" w:eastAsia="zh-CN" w:bidi="ar-SA"/>
          </w:rPr>
          <w:t xml:space="preserve"> </w:t>
        </w:r>
        <w:r>
          <w:rPr>
            <w:rFonts w:ascii="Times New Roman" w:hAnsi="Times New Roman" w:eastAsia="宋体" w:cs="Times New Roman"/>
            <w:kern w:val="2"/>
            <w:sz w:val="21"/>
            <w:szCs w:val="21"/>
            <w:lang w:val="en-US" w:eastAsia="zh-CN" w:bidi="ar-SA"/>
          </w:rPr>
          <w:fldChar w:fldCharType="begin"/>
        </w:r>
        <w:r>
          <w:rPr>
            <w:rFonts w:ascii="Times New Roman" w:hAnsi="Times New Roman" w:eastAsia="宋体" w:cs="Times New Roman"/>
            <w:kern w:val="2"/>
            <w:sz w:val="21"/>
            <w:szCs w:val="21"/>
            <w:lang w:val="en-US" w:eastAsia="zh-CN" w:bidi="ar-SA"/>
          </w:rPr>
          <w:instrText xml:space="preserve"> PAGE   \* MERGEFORMAT </w:instrText>
        </w:r>
        <w:r>
          <w:rPr>
            <w:rFonts w:ascii="Times New Roman" w:hAnsi="Times New Roman" w:eastAsia="宋体" w:cs="Times New Roman"/>
            <w:kern w:val="2"/>
            <w:sz w:val="21"/>
            <w:szCs w:val="21"/>
            <w:lang w:val="en-US" w:eastAsia="zh-CN" w:bidi="ar-SA"/>
          </w:rPr>
          <w:fldChar w:fldCharType="separate"/>
        </w:r>
        <w:r>
          <w:rPr>
            <w:rFonts w:ascii="Times New Roman" w:hAnsi="Times New Roman" w:eastAsia="宋体" w:cs="Times New Roman"/>
            <w:kern w:val="2"/>
            <w:sz w:val="21"/>
            <w:szCs w:val="21"/>
            <w:lang w:val="zh-CN" w:eastAsia="zh-CN" w:bidi="ar-SA"/>
          </w:rPr>
          <w:t>47</w:t>
        </w:r>
        <w:r>
          <w:rPr>
            <w:rFonts w:ascii="Times New Roman" w:hAnsi="Times New Roman" w:eastAsia="宋体" w:cs="Times New Roman"/>
            <w:kern w:val="2"/>
            <w:sz w:val="21"/>
            <w:szCs w:val="21"/>
            <w:lang w:val="zh-CN" w:eastAsia="zh-CN" w:bidi="ar-SA"/>
          </w:rPr>
          <w:fldChar w:fldCharType="end"/>
        </w:r>
      </w:sdtContent>
    </w:sdt>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eastAsia="宋体" w:cs="Times New Roman"/>
        <w:kern w:val="2"/>
        <w:sz w:val="21"/>
        <w:szCs w:val="24"/>
        <w:lang w:val="en-US" w:eastAsia="zh-CN" w:bidi="ar-SA"/>
      </w:rPr>
      <w:id w:val="2597661"/>
    </w:sdtPr>
    <w:sdtEndPr>
      <w:rPr>
        <w:rFonts w:ascii="Times New Roman" w:hAnsi="Times New Roman" w:eastAsia="宋体" w:cs="Times New Roman"/>
        <w:kern w:val="2"/>
        <w:sz w:val="18"/>
        <w:szCs w:val="18"/>
        <w:lang w:val="en-US" w:eastAsia="zh-CN" w:bidi="ar-SA"/>
      </w:rPr>
    </w:sdtEndPr>
    <w:sdtContent>
      <w:p w14:paraId="3D04F1B5">
        <w:pPr>
          <w:widowControl w:val="0"/>
          <w:pBdr>
            <w:top w:val="thinThickSmallGap" w:color="auto" w:sz="12" w:space="1"/>
          </w:pBdr>
          <w:snapToGrid w:val="0"/>
          <w:jc w:val="distribute"/>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21"/>
            <w:szCs w:val="21"/>
            <w:lang w:val="en-US" w:eastAsia="zh-CN" w:bidi="ar-SA"/>
          </w:rPr>
          <w:fldChar w:fldCharType="begin"/>
        </w:r>
        <w:r>
          <w:rPr>
            <w:rFonts w:ascii="Times New Roman" w:hAnsi="Times New Roman" w:eastAsia="宋体" w:cs="Times New Roman"/>
            <w:kern w:val="2"/>
            <w:sz w:val="21"/>
            <w:szCs w:val="21"/>
            <w:lang w:val="en-US" w:eastAsia="zh-CN" w:bidi="ar-SA"/>
          </w:rPr>
          <w:instrText xml:space="preserve"> PAGE   \* MERGEFORMAT </w:instrText>
        </w:r>
        <w:r>
          <w:rPr>
            <w:rFonts w:ascii="Times New Roman" w:hAnsi="Times New Roman" w:eastAsia="宋体" w:cs="Times New Roman"/>
            <w:kern w:val="2"/>
            <w:sz w:val="21"/>
            <w:szCs w:val="21"/>
            <w:lang w:val="en-US" w:eastAsia="zh-CN" w:bidi="ar-SA"/>
          </w:rPr>
          <w:fldChar w:fldCharType="separate"/>
        </w:r>
        <w:r>
          <w:rPr>
            <w:rFonts w:ascii="Times New Roman" w:hAnsi="Times New Roman" w:eastAsia="宋体" w:cs="Times New Roman"/>
            <w:kern w:val="2"/>
            <w:sz w:val="21"/>
            <w:szCs w:val="21"/>
            <w:lang w:val="zh-CN" w:eastAsia="zh-CN" w:bidi="ar-SA"/>
          </w:rPr>
          <w:t>48</w:t>
        </w:r>
        <w:r>
          <w:rPr>
            <w:rFonts w:ascii="Times New Roman" w:hAnsi="Times New Roman" w:eastAsia="宋体" w:cs="Times New Roman"/>
            <w:kern w:val="2"/>
            <w:sz w:val="21"/>
            <w:szCs w:val="21"/>
            <w:lang w:val="zh-CN" w:eastAsia="zh-CN" w:bidi="ar-SA"/>
          </w:rPr>
          <w:fldChar w:fldCharType="end"/>
        </w:r>
        <w:r>
          <w:rPr>
            <w:rFonts w:hint="eastAsia" w:ascii="Times New Roman" w:hAnsi="Times New Roman" w:eastAsia="宋体" w:cs="Times New Roman"/>
            <w:kern w:val="2"/>
            <w:sz w:val="21"/>
            <w:szCs w:val="21"/>
            <w:lang w:val="zh-CN" w:eastAsia="zh-CN" w:bidi="ar-SA"/>
          </w:rPr>
          <w:t xml:space="preserve">                                                                                                                                             </w:t>
        </w:r>
        <w:r>
          <w:rPr>
            <w:rFonts w:hint="eastAsia" w:ascii="Times New Roman" w:hAnsi="Times New Roman" w:eastAsia="宋体" w:cs="Times New Roman"/>
            <w:kern w:val="2"/>
            <w:sz w:val="18"/>
            <w:szCs w:val="18"/>
            <w:lang w:val="zh-CN" w:eastAsia="zh-CN" w:bidi="ar-SA"/>
          </w:rPr>
          <w:t xml:space="preserve">                   </w:t>
        </w:r>
        <w:r>
          <w:rPr>
            <w:rFonts w:hint="eastAsia" w:ascii="黑体" w:hAnsi="Times New Roman" w:eastAsia="黑体" w:cs="Times New Roman"/>
            <w:kern w:val="2"/>
            <w:sz w:val="21"/>
            <w:szCs w:val="21"/>
            <w:lang w:val="en-US" w:eastAsia="zh-CN" w:bidi="ar-SA"/>
          </w:rPr>
          <w:t>北京交科公路勘察设计研究院有限公司</w:t>
        </w:r>
      </w:p>
    </w:sdtContent>
  </w:sdt>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2A4DAE">
    <w:pPr>
      <w:widowControl w:val="0"/>
      <w:pBdr>
        <w:top w:val="thinThickSmallGap" w:color="auto" w:sz="12" w:space="1"/>
      </w:pBdr>
      <w:snapToGrid w:val="0"/>
      <w:jc w:val="distribute"/>
      <w:rPr>
        <w:rFonts w:ascii="Times New Roman" w:hAnsi="Times New Roman" w:eastAsia="宋体" w:cs="Times New Roman"/>
        <w:kern w:val="2"/>
        <w:sz w:val="18"/>
        <w:szCs w:val="18"/>
        <w:lang w:val="en-US" w:eastAsia="zh-CN" w:bidi="ar-SA"/>
      </w:rPr>
    </w:pPr>
    <w:r>
      <w:rPr>
        <w:rFonts w:hint="eastAsia" w:ascii="黑体" w:hAnsi="Times New Roman" w:eastAsia="黑体" w:cs="Times New Roman"/>
        <w:kern w:val="2"/>
        <w:sz w:val="21"/>
        <w:szCs w:val="21"/>
        <w:lang w:val="en-US" w:eastAsia="zh-CN" w:bidi="ar-SA"/>
      </w:rPr>
      <w:t xml:space="preserve">北京交科公路勘察设计研究院有限公司                                                                                                                   </w:t>
    </w:r>
    <w:r>
      <w:rPr>
        <w:rFonts w:ascii="黑体" w:hAnsi="Times New Roman" w:eastAsia="黑体" w:cs="Times New Roman"/>
        <w:kern w:val="2"/>
        <w:sz w:val="21"/>
        <w:szCs w:val="21"/>
        <w:lang w:val="en-US" w:eastAsia="zh-CN" w:bidi="ar-SA"/>
      </w:rPr>
      <w:t xml:space="preserve"> </w:t>
    </w:r>
    <w:r>
      <w:rPr>
        <w:rFonts w:hint="eastAsia" w:ascii="黑体" w:hAnsi="Times New Roman" w:eastAsia="黑体" w:cs="Times New Roman"/>
        <w:kern w:val="2"/>
        <w:sz w:val="21"/>
        <w:szCs w:val="21"/>
        <w:lang w:val="en-US" w:eastAsia="zh-CN" w:bidi="ar-SA"/>
      </w:rPr>
      <w:t xml:space="preserve">                                         </w:t>
    </w:r>
    <w:sdt>
      <w:sdtPr>
        <w:rPr>
          <w:rFonts w:ascii="Times New Roman" w:hAnsi="Times New Roman" w:eastAsia="宋体" w:cs="Times New Roman"/>
          <w:kern w:val="2"/>
          <w:sz w:val="21"/>
          <w:szCs w:val="21"/>
          <w:lang w:val="en-US" w:eastAsia="zh-CN" w:bidi="ar-SA"/>
        </w:rPr>
        <w:id w:val="2597664"/>
      </w:sdtPr>
      <w:sdtEndPr>
        <w:rPr>
          <w:rFonts w:ascii="Times New Roman" w:hAnsi="Times New Roman" w:eastAsia="宋体" w:cs="Times New Roman"/>
          <w:kern w:val="2"/>
          <w:sz w:val="18"/>
          <w:szCs w:val="18"/>
          <w:lang w:val="en-US" w:eastAsia="zh-CN" w:bidi="ar-SA"/>
        </w:rPr>
      </w:sdtEndPr>
      <w:sdtContent>
        <w:r>
          <w:rPr>
            <w:rFonts w:hint="eastAsia" w:ascii="Times New Roman" w:hAnsi="Times New Roman" w:eastAsia="宋体" w:cs="Times New Roman"/>
            <w:kern w:val="2"/>
            <w:sz w:val="21"/>
            <w:szCs w:val="21"/>
            <w:lang w:val="en-US" w:eastAsia="zh-CN" w:bidi="ar-SA"/>
          </w:rPr>
          <w:t xml:space="preserve"> </w:t>
        </w:r>
        <w:r>
          <w:rPr>
            <w:rFonts w:ascii="Times New Roman" w:hAnsi="Times New Roman" w:eastAsia="宋体" w:cs="Times New Roman"/>
            <w:kern w:val="2"/>
            <w:sz w:val="21"/>
            <w:szCs w:val="21"/>
            <w:lang w:val="en-US" w:eastAsia="zh-CN" w:bidi="ar-SA"/>
          </w:rPr>
          <w:fldChar w:fldCharType="begin"/>
        </w:r>
        <w:r>
          <w:rPr>
            <w:rFonts w:ascii="Times New Roman" w:hAnsi="Times New Roman" w:eastAsia="宋体" w:cs="Times New Roman"/>
            <w:kern w:val="2"/>
            <w:sz w:val="21"/>
            <w:szCs w:val="21"/>
            <w:lang w:val="en-US" w:eastAsia="zh-CN" w:bidi="ar-SA"/>
          </w:rPr>
          <w:instrText xml:space="preserve"> PAGE   \* MERGEFORMAT </w:instrText>
        </w:r>
        <w:r>
          <w:rPr>
            <w:rFonts w:ascii="Times New Roman" w:hAnsi="Times New Roman" w:eastAsia="宋体" w:cs="Times New Roman"/>
            <w:kern w:val="2"/>
            <w:sz w:val="21"/>
            <w:szCs w:val="21"/>
            <w:lang w:val="en-US" w:eastAsia="zh-CN" w:bidi="ar-SA"/>
          </w:rPr>
          <w:fldChar w:fldCharType="separate"/>
        </w:r>
        <w:r>
          <w:rPr>
            <w:rFonts w:ascii="Times New Roman" w:hAnsi="Times New Roman" w:eastAsia="宋体" w:cs="Times New Roman"/>
            <w:kern w:val="2"/>
            <w:sz w:val="21"/>
            <w:szCs w:val="21"/>
            <w:lang w:val="zh-CN" w:eastAsia="zh-CN" w:bidi="ar-SA"/>
          </w:rPr>
          <w:t>49</w:t>
        </w:r>
        <w:r>
          <w:rPr>
            <w:rFonts w:ascii="Times New Roman" w:hAnsi="Times New Roman" w:eastAsia="宋体" w:cs="Times New Roman"/>
            <w:kern w:val="2"/>
            <w:sz w:val="21"/>
            <w:szCs w:val="21"/>
            <w:lang w:val="zh-CN" w:eastAsia="zh-CN" w:bidi="ar-SA"/>
          </w:rPr>
          <w:fldChar w:fldCharType="end"/>
        </w:r>
      </w:sdtContent>
    </w:sdt>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eastAsia="宋体" w:cs="Times New Roman"/>
        <w:kern w:val="2"/>
        <w:sz w:val="21"/>
        <w:szCs w:val="24"/>
        <w:lang w:val="en-US" w:eastAsia="zh-CN" w:bidi="ar-SA"/>
      </w:rPr>
      <w:id w:val="2597663"/>
    </w:sdtPr>
    <w:sdtEndPr>
      <w:rPr>
        <w:rFonts w:ascii="Times New Roman" w:hAnsi="Times New Roman" w:eastAsia="宋体" w:cs="Times New Roman"/>
        <w:kern w:val="2"/>
        <w:sz w:val="18"/>
        <w:szCs w:val="18"/>
        <w:lang w:val="en-US" w:eastAsia="zh-CN" w:bidi="ar-SA"/>
      </w:rPr>
    </w:sdtEndPr>
    <w:sdtContent>
      <w:p w14:paraId="23E492A2">
        <w:pPr>
          <w:widowControl w:val="0"/>
          <w:pBdr>
            <w:top w:val="thinThickSmallGap" w:color="auto" w:sz="12" w:space="1"/>
          </w:pBdr>
          <w:snapToGrid w:val="0"/>
          <w:jc w:val="distribute"/>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21"/>
            <w:szCs w:val="21"/>
            <w:lang w:val="en-US" w:eastAsia="zh-CN" w:bidi="ar-SA"/>
          </w:rPr>
          <w:fldChar w:fldCharType="begin"/>
        </w:r>
        <w:r>
          <w:rPr>
            <w:rFonts w:ascii="Times New Roman" w:hAnsi="Times New Roman" w:eastAsia="宋体" w:cs="Times New Roman"/>
            <w:kern w:val="2"/>
            <w:sz w:val="21"/>
            <w:szCs w:val="21"/>
            <w:lang w:val="en-US" w:eastAsia="zh-CN" w:bidi="ar-SA"/>
          </w:rPr>
          <w:instrText xml:space="preserve"> PAGE   \* MERGEFORMAT </w:instrText>
        </w:r>
        <w:r>
          <w:rPr>
            <w:rFonts w:ascii="Times New Roman" w:hAnsi="Times New Roman" w:eastAsia="宋体" w:cs="Times New Roman"/>
            <w:kern w:val="2"/>
            <w:sz w:val="21"/>
            <w:szCs w:val="21"/>
            <w:lang w:val="en-US" w:eastAsia="zh-CN" w:bidi="ar-SA"/>
          </w:rPr>
          <w:fldChar w:fldCharType="separate"/>
        </w:r>
        <w:r>
          <w:rPr>
            <w:rFonts w:ascii="Times New Roman" w:hAnsi="Times New Roman" w:eastAsia="宋体" w:cs="Times New Roman"/>
            <w:kern w:val="2"/>
            <w:sz w:val="21"/>
            <w:szCs w:val="21"/>
            <w:lang w:val="zh-CN" w:eastAsia="zh-CN" w:bidi="ar-SA"/>
          </w:rPr>
          <w:t>48</w:t>
        </w:r>
        <w:r>
          <w:rPr>
            <w:rFonts w:ascii="Times New Roman" w:hAnsi="Times New Roman" w:eastAsia="宋体" w:cs="Times New Roman"/>
            <w:kern w:val="2"/>
            <w:sz w:val="21"/>
            <w:szCs w:val="21"/>
            <w:lang w:val="zh-CN" w:eastAsia="zh-CN" w:bidi="ar-SA"/>
          </w:rPr>
          <w:fldChar w:fldCharType="end"/>
        </w:r>
        <w:r>
          <w:rPr>
            <w:rFonts w:hint="eastAsia" w:ascii="Times New Roman" w:hAnsi="Times New Roman" w:eastAsia="宋体" w:cs="Times New Roman"/>
            <w:kern w:val="2"/>
            <w:sz w:val="21"/>
            <w:szCs w:val="21"/>
            <w:lang w:val="zh-CN" w:eastAsia="zh-CN" w:bidi="ar-SA"/>
          </w:rPr>
          <w:t xml:space="preserve">                                                                                                                                             </w:t>
        </w:r>
        <w:r>
          <w:rPr>
            <w:rFonts w:hint="eastAsia" w:ascii="Times New Roman" w:hAnsi="Times New Roman" w:eastAsia="宋体" w:cs="Times New Roman"/>
            <w:kern w:val="2"/>
            <w:sz w:val="18"/>
            <w:szCs w:val="18"/>
            <w:lang w:val="zh-CN" w:eastAsia="zh-CN" w:bidi="ar-SA"/>
          </w:rPr>
          <w:t xml:space="preserve">                    </w:t>
        </w:r>
        <w:r>
          <w:rPr>
            <w:rFonts w:hint="eastAsia" w:ascii="黑体" w:hAnsi="Times New Roman" w:eastAsia="黑体" w:cs="Times New Roman"/>
            <w:kern w:val="2"/>
            <w:sz w:val="21"/>
            <w:szCs w:val="21"/>
            <w:lang w:val="en-US" w:eastAsia="zh-CN" w:bidi="ar-SA"/>
          </w:rPr>
          <w:t>北京交科公路勘察设计研究院有限公司</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7D7200">
    <w:pPr>
      <w:widowControl w:val="0"/>
      <w:tabs>
        <w:tab w:val="center" w:pos="284"/>
        <w:tab w:val="left" w:pos="8312"/>
        <w:tab w:val="left" w:pos="8620"/>
      </w:tabs>
      <w:wordWrap w:val="0"/>
      <w:snapToGrid w:val="0"/>
      <w:ind w:right="-52"/>
      <w:jc w:val="left"/>
      <w:rPr>
        <w:rFonts w:ascii="黑体" w:hAnsi="Times New Roman" w:eastAsia="黑体" w:cs="Times New Roman"/>
        <w:kern w:val="2"/>
        <w:sz w:val="21"/>
        <w:szCs w:val="21"/>
        <w:lang w:val="en-US" w:eastAsia="zh-CN" w:bidi="ar-SA"/>
      </w:rPr>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7361F2">
    <w:pPr>
      <w:widowControl w:val="0"/>
      <w:pBdr>
        <w:top w:val="thinThickSmallGap" w:color="auto" w:sz="12" w:space="1"/>
      </w:pBdr>
      <w:snapToGrid w:val="0"/>
      <w:jc w:val="distribute"/>
      <w:rPr>
        <w:rFonts w:ascii="Times New Roman" w:hAnsi="Times New Roman" w:eastAsia="宋体" w:cs="Times New Roman"/>
        <w:kern w:val="2"/>
        <w:sz w:val="18"/>
        <w:szCs w:val="18"/>
        <w:lang w:val="en-US" w:eastAsia="zh-CN" w:bidi="ar-SA"/>
      </w:rPr>
    </w:pPr>
    <w:r>
      <w:rPr>
        <w:rFonts w:hint="eastAsia" w:ascii="黑体" w:hAnsi="Times New Roman" w:eastAsia="黑体" w:cs="Times New Roman"/>
        <w:kern w:val="2"/>
        <w:sz w:val="21"/>
        <w:szCs w:val="21"/>
        <w:lang w:val="en-US" w:eastAsia="zh-CN" w:bidi="ar-SA"/>
      </w:rPr>
      <w:t xml:space="preserve">北京交科公路勘察设计研究院有限公司                                                                                                                   </w:t>
    </w:r>
    <w:r>
      <w:rPr>
        <w:rFonts w:ascii="黑体" w:hAnsi="Times New Roman" w:eastAsia="黑体" w:cs="Times New Roman"/>
        <w:kern w:val="2"/>
        <w:sz w:val="21"/>
        <w:szCs w:val="21"/>
        <w:lang w:val="en-US" w:eastAsia="zh-CN" w:bidi="ar-SA"/>
      </w:rPr>
      <w:t xml:space="preserve"> </w:t>
    </w:r>
    <w:r>
      <w:rPr>
        <w:rFonts w:hint="eastAsia" w:ascii="黑体" w:hAnsi="Times New Roman" w:eastAsia="黑体" w:cs="Times New Roman"/>
        <w:kern w:val="2"/>
        <w:sz w:val="21"/>
        <w:szCs w:val="21"/>
        <w:lang w:val="en-US" w:eastAsia="zh-CN" w:bidi="ar-SA"/>
      </w:rPr>
      <w:t xml:space="preserve">                                         </w:t>
    </w:r>
    <w:sdt>
      <w:sdtPr>
        <w:rPr>
          <w:rFonts w:ascii="Times New Roman" w:hAnsi="Times New Roman" w:eastAsia="宋体" w:cs="Times New Roman"/>
          <w:kern w:val="2"/>
          <w:sz w:val="21"/>
          <w:szCs w:val="21"/>
          <w:lang w:val="en-US" w:eastAsia="zh-CN" w:bidi="ar-SA"/>
        </w:rPr>
        <w:id w:val="2597666"/>
      </w:sdtPr>
      <w:sdtEndPr>
        <w:rPr>
          <w:rFonts w:ascii="Times New Roman" w:hAnsi="Times New Roman" w:eastAsia="宋体" w:cs="Times New Roman"/>
          <w:kern w:val="2"/>
          <w:sz w:val="18"/>
          <w:szCs w:val="18"/>
          <w:lang w:val="en-US" w:eastAsia="zh-CN" w:bidi="ar-SA"/>
        </w:rPr>
      </w:sdtEndPr>
      <w:sdtContent>
        <w:r>
          <w:rPr>
            <w:rFonts w:hint="eastAsia" w:ascii="Times New Roman" w:hAnsi="Times New Roman" w:eastAsia="宋体" w:cs="Times New Roman"/>
            <w:kern w:val="2"/>
            <w:sz w:val="21"/>
            <w:szCs w:val="21"/>
            <w:lang w:val="en-US" w:eastAsia="zh-CN" w:bidi="ar-SA"/>
          </w:rPr>
          <w:t xml:space="preserve"> </w:t>
        </w:r>
        <w:r>
          <w:rPr>
            <w:rFonts w:ascii="Times New Roman" w:hAnsi="Times New Roman" w:eastAsia="宋体" w:cs="Times New Roman"/>
            <w:kern w:val="2"/>
            <w:sz w:val="21"/>
            <w:szCs w:val="21"/>
            <w:lang w:val="en-US" w:eastAsia="zh-CN" w:bidi="ar-SA"/>
          </w:rPr>
          <w:fldChar w:fldCharType="begin"/>
        </w:r>
        <w:r>
          <w:rPr>
            <w:rFonts w:ascii="Times New Roman" w:hAnsi="Times New Roman" w:eastAsia="宋体" w:cs="Times New Roman"/>
            <w:kern w:val="2"/>
            <w:sz w:val="21"/>
            <w:szCs w:val="21"/>
            <w:lang w:val="en-US" w:eastAsia="zh-CN" w:bidi="ar-SA"/>
          </w:rPr>
          <w:instrText xml:space="preserve"> PAGE   \* MERGEFORMAT </w:instrText>
        </w:r>
        <w:r>
          <w:rPr>
            <w:rFonts w:ascii="Times New Roman" w:hAnsi="Times New Roman" w:eastAsia="宋体" w:cs="Times New Roman"/>
            <w:kern w:val="2"/>
            <w:sz w:val="21"/>
            <w:szCs w:val="21"/>
            <w:lang w:val="en-US" w:eastAsia="zh-CN" w:bidi="ar-SA"/>
          </w:rPr>
          <w:fldChar w:fldCharType="separate"/>
        </w:r>
        <w:r>
          <w:rPr>
            <w:rFonts w:ascii="Times New Roman" w:hAnsi="Times New Roman" w:eastAsia="宋体" w:cs="Times New Roman"/>
            <w:kern w:val="2"/>
            <w:sz w:val="21"/>
            <w:szCs w:val="21"/>
            <w:lang w:val="zh-CN" w:eastAsia="zh-CN" w:bidi="ar-SA"/>
          </w:rPr>
          <w:t>49</w:t>
        </w:r>
        <w:r>
          <w:rPr>
            <w:rFonts w:ascii="Times New Roman" w:hAnsi="Times New Roman" w:eastAsia="宋体" w:cs="Times New Roman"/>
            <w:kern w:val="2"/>
            <w:sz w:val="21"/>
            <w:szCs w:val="21"/>
            <w:lang w:val="zh-CN" w:eastAsia="zh-CN" w:bidi="ar-SA"/>
          </w:rPr>
          <w:fldChar w:fldCharType="end"/>
        </w:r>
      </w:sdtContent>
    </w:sdt>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eastAsia="宋体" w:cs="Times New Roman"/>
        <w:kern w:val="2"/>
        <w:sz w:val="21"/>
        <w:szCs w:val="24"/>
        <w:lang w:val="en-US" w:eastAsia="zh-CN" w:bidi="ar-SA"/>
      </w:rPr>
      <w:id w:val="2597665"/>
    </w:sdtPr>
    <w:sdtEndPr>
      <w:rPr>
        <w:rFonts w:ascii="Times New Roman" w:hAnsi="Times New Roman" w:eastAsia="宋体" w:cs="Times New Roman"/>
        <w:kern w:val="2"/>
        <w:sz w:val="18"/>
        <w:szCs w:val="18"/>
        <w:lang w:val="en-US" w:eastAsia="zh-CN" w:bidi="ar-SA"/>
      </w:rPr>
    </w:sdtEndPr>
    <w:sdtContent>
      <w:p w14:paraId="2318B5D8">
        <w:pPr>
          <w:widowControl w:val="0"/>
          <w:pBdr>
            <w:top w:val="thinThickSmallGap" w:color="auto" w:sz="12" w:space="1"/>
          </w:pBdr>
          <w:snapToGrid w:val="0"/>
          <w:jc w:val="distribute"/>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21"/>
            <w:szCs w:val="21"/>
            <w:lang w:val="en-US" w:eastAsia="zh-CN" w:bidi="ar-SA"/>
          </w:rPr>
          <w:fldChar w:fldCharType="begin"/>
        </w:r>
        <w:r>
          <w:rPr>
            <w:rFonts w:ascii="Times New Roman" w:hAnsi="Times New Roman" w:eastAsia="宋体" w:cs="Times New Roman"/>
            <w:kern w:val="2"/>
            <w:sz w:val="21"/>
            <w:szCs w:val="21"/>
            <w:lang w:val="en-US" w:eastAsia="zh-CN" w:bidi="ar-SA"/>
          </w:rPr>
          <w:instrText xml:space="preserve"> PAGE   \* MERGEFORMAT </w:instrText>
        </w:r>
        <w:r>
          <w:rPr>
            <w:rFonts w:ascii="Times New Roman" w:hAnsi="Times New Roman" w:eastAsia="宋体" w:cs="Times New Roman"/>
            <w:kern w:val="2"/>
            <w:sz w:val="21"/>
            <w:szCs w:val="21"/>
            <w:lang w:val="en-US" w:eastAsia="zh-CN" w:bidi="ar-SA"/>
          </w:rPr>
          <w:fldChar w:fldCharType="separate"/>
        </w:r>
        <w:r>
          <w:rPr>
            <w:rFonts w:ascii="Times New Roman" w:hAnsi="Times New Roman" w:eastAsia="宋体" w:cs="Times New Roman"/>
            <w:kern w:val="2"/>
            <w:sz w:val="21"/>
            <w:szCs w:val="21"/>
            <w:lang w:val="zh-CN" w:eastAsia="zh-CN" w:bidi="ar-SA"/>
          </w:rPr>
          <w:t>50</w:t>
        </w:r>
        <w:r>
          <w:rPr>
            <w:rFonts w:ascii="Times New Roman" w:hAnsi="Times New Roman" w:eastAsia="宋体" w:cs="Times New Roman"/>
            <w:kern w:val="2"/>
            <w:sz w:val="21"/>
            <w:szCs w:val="21"/>
            <w:lang w:val="zh-CN" w:eastAsia="zh-CN" w:bidi="ar-SA"/>
          </w:rPr>
          <w:fldChar w:fldCharType="end"/>
        </w:r>
        <w:r>
          <w:rPr>
            <w:rFonts w:hint="eastAsia" w:ascii="Times New Roman" w:hAnsi="Times New Roman" w:eastAsia="宋体" w:cs="Times New Roman"/>
            <w:kern w:val="2"/>
            <w:sz w:val="21"/>
            <w:szCs w:val="21"/>
            <w:lang w:val="zh-CN" w:eastAsia="zh-CN" w:bidi="ar-SA"/>
          </w:rPr>
          <w:t xml:space="preserve">                                                                                                                                             </w:t>
        </w:r>
        <w:r>
          <w:rPr>
            <w:rFonts w:hint="eastAsia" w:ascii="Times New Roman" w:hAnsi="Times New Roman" w:eastAsia="宋体" w:cs="Times New Roman"/>
            <w:kern w:val="2"/>
            <w:sz w:val="18"/>
            <w:szCs w:val="18"/>
            <w:lang w:val="zh-CN" w:eastAsia="zh-CN" w:bidi="ar-SA"/>
          </w:rPr>
          <w:t xml:space="preserve">                    </w:t>
        </w:r>
        <w:r>
          <w:rPr>
            <w:rFonts w:hint="eastAsia" w:ascii="黑体" w:hAnsi="Times New Roman" w:eastAsia="黑体" w:cs="Times New Roman"/>
            <w:kern w:val="2"/>
            <w:sz w:val="21"/>
            <w:szCs w:val="21"/>
            <w:lang w:val="en-US" w:eastAsia="zh-CN" w:bidi="ar-SA"/>
          </w:rPr>
          <w:t>北京交科公路勘察设计研究院有限公司</w:t>
        </w:r>
      </w:p>
    </w:sdtContent>
  </w:sdt>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E51F14">
    <w:pPr>
      <w:widowControl w:val="0"/>
      <w:pBdr>
        <w:top w:val="thinThickSmallGap" w:color="auto" w:sz="12" w:space="1"/>
      </w:pBdr>
      <w:snapToGrid w:val="0"/>
      <w:jc w:val="distribute"/>
      <w:rPr>
        <w:rFonts w:ascii="Times New Roman" w:hAnsi="Times New Roman" w:eastAsia="宋体" w:cs="Times New Roman"/>
        <w:kern w:val="2"/>
        <w:sz w:val="18"/>
        <w:szCs w:val="18"/>
        <w:lang w:val="en-US" w:eastAsia="zh-CN" w:bidi="ar-SA"/>
      </w:rPr>
    </w:pPr>
    <w:r>
      <w:rPr>
        <w:rFonts w:hint="eastAsia" w:ascii="黑体" w:hAnsi="Times New Roman" w:eastAsia="黑体" w:cs="Times New Roman"/>
        <w:kern w:val="2"/>
        <w:sz w:val="21"/>
        <w:szCs w:val="21"/>
        <w:lang w:val="en-US" w:eastAsia="zh-CN" w:bidi="ar-SA"/>
      </w:rPr>
      <w:t xml:space="preserve">北京交科公路勘察设计研究院有限公司                                                                                                                   </w:t>
    </w:r>
    <w:r>
      <w:rPr>
        <w:rFonts w:ascii="黑体" w:hAnsi="Times New Roman" w:eastAsia="黑体" w:cs="Times New Roman"/>
        <w:kern w:val="2"/>
        <w:sz w:val="21"/>
        <w:szCs w:val="21"/>
        <w:lang w:val="en-US" w:eastAsia="zh-CN" w:bidi="ar-SA"/>
      </w:rPr>
      <w:t xml:space="preserve"> </w:t>
    </w:r>
    <w:r>
      <w:rPr>
        <w:rFonts w:hint="eastAsia" w:ascii="黑体" w:hAnsi="Times New Roman" w:eastAsia="黑体" w:cs="Times New Roman"/>
        <w:kern w:val="2"/>
        <w:sz w:val="21"/>
        <w:szCs w:val="21"/>
        <w:lang w:val="en-US" w:eastAsia="zh-CN" w:bidi="ar-SA"/>
      </w:rPr>
      <w:t xml:space="preserve">                                         </w:t>
    </w:r>
    <w:sdt>
      <w:sdtPr>
        <w:rPr>
          <w:rFonts w:ascii="Times New Roman" w:hAnsi="Times New Roman" w:eastAsia="宋体" w:cs="Times New Roman"/>
          <w:kern w:val="2"/>
          <w:sz w:val="21"/>
          <w:szCs w:val="21"/>
          <w:lang w:val="en-US" w:eastAsia="zh-CN" w:bidi="ar-SA"/>
        </w:rPr>
        <w:id w:val="2597668"/>
      </w:sdtPr>
      <w:sdtEndPr>
        <w:rPr>
          <w:rFonts w:ascii="Times New Roman" w:hAnsi="Times New Roman" w:eastAsia="宋体" w:cs="Times New Roman"/>
          <w:kern w:val="2"/>
          <w:sz w:val="18"/>
          <w:szCs w:val="18"/>
          <w:lang w:val="en-US" w:eastAsia="zh-CN" w:bidi="ar-SA"/>
        </w:rPr>
      </w:sdtEndPr>
      <w:sdtContent>
        <w:r>
          <w:rPr>
            <w:rFonts w:hint="eastAsia" w:ascii="Times New Roman" w:hAnsi="Times New Roman" w:eastAsia="宋体" w:cs="Times New Roman"/>
            <w:kern w:val="2"/>
            <w:sz w:val="21"/>
            <w:szCs w:val="21"/>
            <w:lang w:val="en-US" w:eastAsia="zh-CN" w:bidi="ar-SA"/>
          </w:rPr>
          <w:t xml:space="preserve"> </w:t>
        </w:r>
        <w:r>
          <w:rPr>
            <w:rFonts w:ascii="Times New Roman" w:hAnsi="Times New Roman" w:eastAsia="宋体" w:cs="Times New Roman"/>
            <w:kern w:val="2"/>
            <w:sz w:val="21"/>
            <w:szCs w:val="21"/>
            <w:lang w:val="en-US" w:eastAsia="zh-CN" w:bidi="ar-SA"/>
          </w:rPr>
          <w:fldChar w:fldCharType="begin"/>
        </w:r>
        <w:r>
          <w:rPr>
            <w:rFonts w:ascii="Times New Roman" w:hAnsi="Times New Roman" w:eastAsia="宋体" w:cs="Times New Roman"/>
            <w:kern w:val="2"/>
            <w:sz w:val="21"/>
            <w:szCs w:val="21"/>
            <w:lang w:val="en-US" w:eastAsia="zh-CN" w:bidi="ar-SA"/>
          </w:rPr>
          <w:instrText xml:space="preserve"> PAGE   \* MERGEFORMAT </w:instrText>
        </w:r>
        <w:r>
          <w:rPr>
            <w:rFonts w:ascii="Times New Roman" w:hAnsi="Times New Roman" w:eastAsia="宋体" w:cs="Times New Roman"/>
            <w:kern w:val="2"/>
            <w:sz w:val="21"/>
            <w:szCs w:val="21"/>
            <w:lang w:val="en-US" w:eastAsia="zh-CN" w:bidi="ar-SA"/>
          </w:rPr>
          <w:fldChar w:fldCharType="separate"/>
        </w:r>
        <w:r>
          <w:rPr>
            <w:rFonts w:ascii="Times New Roman" w:hAnsi="Times New Roman" w:eastAsia="宋体" w:cs="Times New Roman"/>
            <w:kern w:val="2"/>
            <w:sz w:val="21"/>
            <w:szCs w:val="21"/>
            <w:lang w:val="zh-CN" w:eastAsia="zh-CN" w:bidi="ar-SA"/>
          </w:rPr>
          <w:t>51</w:t>
        </w:r>
        <w:r>
          <w:rPr>
            <w:rFonts w:ascii="Times New Roman" w:hAnsi="Times New Roman" w:eastAsia="宋体" w:cs="Times New Roman"/>
            <w:kern w:val="2"/>
            <w:sz w:val="21"/>
            <w:szCs w:val="21"/>
            <w:lang w:val="zh-CN" w:eastAsia="zh-CN" w:bidi="ar-SA"/>
          </w:rPr>
          <w:fldChar w:fldCharType="end"/>
        </w:r>
      </w:sdtContent>
    </w:sdt>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eastAsia="宋体" w:cs="Times New Roman"/>
        <w:kern w:val="2"/>
        <w:sz w:val="21"/>
        <w:szCs w:val="24"/>
        <w:lang w:val="en-US" w:eastAsia="zh-CN" w:bidi="ar-SA"/>
      </w:rPr>
      <w:id w:val="2597667"/>
    </w:sdtPr>
    <w:sdtEndPr>
      <w:rPr>
        <w:rFonts w:ascii="Times New Roman" w:hAnsi="Times New Roman" w:eastAsia="宋体" w:cs="Times New Roman"/>
        <w:kern w:val="2"/>
        <w:sz w:val="18"/>
        <w:szCs w:val="18"/>
        <w:lang w:val="en-US" w:eastAsia="zh-CN" w:bidi="ar-SA"/>
      </w:rPr>
    </w:sdtEndPr>
    <w:sdtContent>
      <w:p w14:paraId="7C26CD7D">
        <w:pPr>
          <w:widowControl w:val="0"/>
          <w:pBdr>
            <w:top w:val="thinThickSmallGap" w:color="auto" w:sz="12" w:space="1"/>
          </w:pBdr>
          <w:snapToGrid w:val="0"/>
          <w:jc w:val="distribute"/>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21"/>
            <w:szCs w:val="21"/>
            <w:lang w:val="en-US" w:eastAsia="zh-CN" w:bidi="ar-SA"/>
          </w:rPr>
          <w:fldChar w:fldCharType="begin"/>
        </w:r>
        <w:r>
          <w:rPr>
            <w:rFonts w:ascii="Times New Roman" w:hAnsi="Times New Roman" w:eastAsia="宋体" w:cs="Times New Roman"/>
            <w:kern w:val="2"/>
            <w:sz w:val="21"/>
            <w:szCs w:val="21"/>
            <w:lang w:val="en-US" w:eastAsia="zh-CN" w:bidi="ar-SA"/>
          </w:rPr>
          <w:instrText xml:space="preserve"> PAGE   \* MERGEFORMAT </w:instrText>
        </w:r>
        <w:r>
          <w:rPr>
            <w:rFonts w:ascii="Times New Roman" w:hAnsi="Times New Roman" w:eastAsia="宋体" w:cs="Times New Roman"/>
            <w:kern w:val="2"/>
            <w:sz w:val="21"/>
            <w:szCs w:val="21"/>
            <w:lang w:val="en-US" w:eastAsia="zh-CN" w:bidi="ar-SA"/>
          </w:rPr>
          <w:fldChar w:fldCharType="separate"/>
        </w:r>
        <w:r>
          <w:rPr>
            <w:rFonts w:ascii="Times New Roman" w:hAnsi="Times New Roman" w:eastAsia="宋体" w:cs="Times New Roman"/>
            <w:kern w:val="2"/>
            <w:sz w:val="21"/>
            <w:szCs w:val="21"/>
            <w:lang w:val="zh-CN" w:eastAsia="zh-CN" w:bidi="ar-SA"/>
          </w:rPr>
          <w:t>50</w:t>
        </w:r>
        <w:r>
          <w:rPr>
            <w:rFonts w:ascii="Times New Roman" w:hAnsi="Times New Roman" w:eastAsia="宋体" w:cs="Times New Roman"/>
            <w:kern w:val="2"/>
            <w:sz w:val="21"/>
            <w:szCs w:val="21"/>
            <w:lang w:val="zh-CN" w:eastAsia="zh-CN" w:bidi="ar-SA"/>
          </w:rPr>
          <w:fldChar w:fldCharType="end"/>
        </w:r>
        <w:r>
          <w:rPr>
            <w:rFonts w:hint="eastAsia" w:ascii="Times New Roman" w:hAnsi="Times New Roman" w:eastAsia="宋体" w:cs="Times New Roman"/>
            <w:kern w:val="2"/>
            <w:sz w:val="21"/>
            <w:szCs w:val="21"/>
            <w:lang w:val="zh-CN" w:eastAsia="zh-CN" w:bidi="ar-SA"/>
          </w:rPr>
          <w:t xml:space="preserve">                                                                                                                                             </w:t>
        </w:r>
        <w:r>
          <w:rPr>
            <w:rFonts w:hint="eastAsia" w:ascii="Times New Roman" w:hAnsi="Times New Roman" w:eastAsia="宋体" w:cs="Times New Roman"/>
            <w:kern w:val="2"/>
            <w:sz w:val="18"/>
            <w:szCs w:val="18"/>
            <w:lang w:val="zh-CN" w:eastAsia="zh-CN" w:bidi="ar-SA"/>
          </w:rPr>
          <w:t xml:space="preserve">                  </w:t>
        </w:r>
        <w:r>
          <w:rPr>
            <w:rFonts w:hint="eastAsia" w:ascii="黑体" w:hAnsi="Times New Roman" w:eastAsia="黑体" w:cs="Times New Roman"/>
            <w:kern w:val="2"/>
            <w:sz w:val="21"/>
            <w:szCs w:val="21"/>
            <w:lang w:val="en-US" w:eastAsia="zh-CN" w:bidi="ar-SA"/>
          </w:rPr>
          <w:t>北京交科公路勘察设计研究院有限公司</w:t>
        </w:r>
      </w:p>
    </w:sdtContent>
  </w:sdt>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759E9A">
    <w:pPr>
      <w:widowControl w:val="0"/>
      <w:pBdr>
        <w:top w:val="thinThickSmallGap" w:color="auto" w:sz="12" w:space="1"/>
      </w:pBdr>
      <w:snapToGrid w:val="0"/>
      <w:jc w:val="distribute"/>
      <w:rPr>
        <w:rFonts w:ascii="Times New Roman" w:hAnsi="Times New Roman" w:eastAsia="宋体" w:cs="Times New Roman"/>
        <w:kern w:val="2"/>
        <w:sz w:val="18"/>
        <w:szCs w:val="18"/>
        <w:lang w:val="en-US" w:eastAsia="zh-CN" w:bidi="ar-SA"/>
      </w:rPr>
    </w:pPr>
    <w:r>
      <w:rPr>
        <w:rFonts w:hint="eastAsia" w:ascii="黑体" w:hAnsi="Times New Roman" w:eastAsia="黑体" w:cs="Times New Roman"/>
        <w:kern w:val="2"/>
        <w:sz w:val="21"/>
        <w:szCs w:val="21"/>
        <w:lang w:val="en-US" w:eastAsia="zh-CN" w:bidi="ar-SA"/>
      </w:rPr>
      <w:t xml:space="preserve">北京交科公路勘察设计研究院有限公司                                           </w:t>
    </w:r>
    <w:sdt>
      <w:sdtPr>
        <w:rPr>
          <w:rFonts w:ascii="Times New Roman" w:hAnsi="Times New Roman" w:eastAsia="宋体" w:cs="Times New Roman"/>
          <w:kern w:val="2"/>
          <w:sz w:val="21"/>
          <w:szCs w:val="21"/>
          <w:lang w:val="en-US" w:eastAsia="zh-CN" w:bidi="ar-SA"/>
        </w:rPr>
        <w:id w:val="2597670"/>
      </w:sdtPr>
      <w:sdtEndPr>
        <w:rPr>
          <w:rFonts w:ascii="Times New Roman" w:hAnsi="Times New Roman" w:eastAsia="宋体" w:cs="Times New Roman"/>
          <w:kern w:val="2"/>
          <w:sz w:val="18"/>
          <w:szCs w:val="18"/>
          <w:lang w:val="en-US" w:eastAsia="zh-CN" w:bidi="ar-SA"/>
        </w:rPr>
      </w:sdtEndPr>
      <w:sdtContent>
        <w:r>
          <w:rPr>
            <w:rFonts w:ascii="Times New Roman" w:hAnsi="Times New Roman" w:eastAsia="宋体" w:cs="Times New Roman"/>
            <w:kern w:val="2"/>
            <w:sz w:val="21"/>
            <w:szCs w:val="21"/>
            <w:lang w:val="en-US" w:eastAsia="zh-CN" w:bidi="ar-SA"/>
          </w:rPr>
          <w:fldChar w:fldCharType="begin"/>
        </w:r>
        <w:r>
          <w:rPr>
            <w:rFonts w:ascii="Times New Roman" w:hAnsi="Times New Roman" w:eastAsia="宋体" w:cs="Times New Roman"/>
            <w:kern w:val="2"/>
            <w:sz w:val="21"/>
            <w:szCs w:val="21"/>
            <w:lang w:val="en-US" w:eastAsia="zh-CN" w:bidi="ar-SA"/>
          </w:rPr>
          <w:instrText xml:space="preserve"> PAGE   \* MERGEFORMAT </w:instrText>
        </w:r>
        <w:r>
          <w:rPr>
            <w:rFonts w:ascii="Times New Roman" w:hAnsi="Times New Roman" w:eastAsia="宋体" w:cs="Times New Roman"/>
            <w:kern w:val="2"/>
            <w:sz w:val="21"/>
            <w:szCs w:val="21"/>
            <w:lang w:val="en-US" w:eastAsia="zh-CN" w:bidi="ar-SA"/>
          </w:rPr>
          <w:fldChar w:fldCharType="separate"/>
        </w:r>
        <w:r>
          <w:rPr>
            <w:rFonts w:ascii="Times New Roman" w:hAnsi="Times New Roman" w:eastAsia="宋体" w:cs="Times New Roman"/>
            <w:kern w:val="2"/>
            <w:sz w:val="21"/>
            <w:szCs w:val="21"/>
            <w:lang w:val="zh-CN" w:eastAsia="zh-CN" w:bidi="ar-SA"/>
          </w:rPr>
          <w:t>57</w:t>
        </w:r>
        <w:r>
          <w:rPr>
            <w:rFonts w:ascii="Times New Roman" w:hAnsi="Times New Roman" w:eastAsia="宋体" w:cs="Times New Roman"/>
            <w:kern w:val="2"/>
            <w:sz w:val="21"/>
            <w:szCs w:val="21"/>
            <w:lang w:val="zh-CN" w:eastAsia="zh-CN" w:bidi="ar-SA"/>
          </w:rPr>
          <w:fldChar w:fldCharType="end"/>
        </w:r>
      </w:sdtContent>
    </w:sdt>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eastAsia="宋体" w:cs="Times New Roman"/>
        <w:kern w:val="2"/>
        <w:sz w:val="21"/>
        <w:szCs w:val="24"/>
        <w:lang w:val="en-US" w:eastAsia="zh-CN" w:bidi="ar-SA"/>
      </w:rPr>
      <w:id w:val="2597669"/>
    </w:sdtPr>
    <w:sdtEndPr>
      <w:rPr>
        <w:rFonts w:ascii="Times New Roman" w:hAnsi="Times New Roman" w:eastAsia="宋体" w:cs="Times New Roman"/>
        <w:kern w:val="2"/>
        <w:sz w:val="18"/>
        <w:szCs w:val="18"/>
        <w:lang w:val="en-US" w:eastAsia="zh-CN" w:bidi="ar-SA"/>
      </w:rPr>
    </w:sdtEndPr>
    <w:sdtContent>
      <w:p w14:paraId="56D4690E">
        <w:pPr>
          <w:widowControl w:val="0"/>
          <w:pBdr>
            <w:top w:val="thinThickSmallGap" w:color="auto" w:sz="12" w:space="1"/>
          </w:pBdr>
          <w:snapToGrid w:val="0"/>
          <w:jc w:val="distribute"/>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21"/>
            <w:szCs w:val="21"/>
            <w:lang w:val="en-US" w:eastAsia="zh-CN" w:bidi="ar-SA"/>
          </w:rPr>
          <w:fldChar w:fldCharType="begin"/>
        </w:r>
        <w:r>
          <w:rPr>
            <w:rFonts w:ascii="Times New Roman" w:hAnsi="Times New Roman" w:eastAsia="宋体" w:cs="Times New Roman"/>
            <w:kern w:val="2"/>
            <w:sz w:val="21"/>
            <w:szCs w:val="21"/>
            <w:lang w:val="en-US" w:eastAsia="zh-CN" w:bidi="ar-SA"/>
          </w:rPr>
          <w:instrText xml:space="preserve"> PAGE   \* MERGEFORMAT </w:instrText>
        </w:r>
        <w:r>
          <w:rPr>
            <w:rFonts w:ascii="Times New Roman" w:hAnsi="Times New Roman" w:eastAsia="宋体" w:cs="Times New Roman"/>
            <w:kern w:val="2"/>
            <w:sz w:val="21"/>
            <w:szCs w:val="21"/>
            <w:lang w:val="en-US" w:eastAsia="zh-CN" w:bidi="ar-SA"/>
          </w:rPr>
          <w:fldChar w:fldCharType="separate"/>
        </w:r>
        <w:r>
          <w:rPr>
            <w:rFonts w:ascii="Times New Roman" w:hAnsi="Times New Roman" w:eastAsia="宋体" w:cs="Times New Roman"/>
            <w:kern w:val="2"/>
            <w:sz w:val="21"/>
            <w:szCs w:val="21"/>
            <w:lang w:val="zh-CN" w:eastAsia="zh-CN" w:bidi="ar-SA"/>
          </w:rPr>
          <w:t>58</w:t>
        </w:r>
        <w:r>
          <w:rPr>
            <w:rFonts w:ascii="Times New Roman" w:hAnsi="Times New Roman" w:eastAsia="宋体" w:cs="Times New Roman"/>
            <w:kern w:val="2"/>
            <w:sz w:val="21"/>
            <w:szCs w:val="21"/>
            <w:lang w:val="zh-CN" w:eastAsia="zh-CN" w:bidi="ar-SA"/>
          </w:rPr>
          <w:fldChar w:fldCharType="end"/>
        </w:r>
        <w:r>
          <w:rPr>
            <w:rFonts w:hint="eastAsia" w:ascii="Times New Roman" w:hAnsi="Times New Roman" w:eastAsia="宋体" w:cs="Times New Roman"/>
            <w:kern w:val="2"/>
            <w:sz w:val="21"/>
            <w:szCs w:val="21"/>
            <w:lang w:val="zh-CN" w:eastAsia="zh-CN" w:bidi="ar-SA"/>
          </w:rPr>
          <w:t xml:space="preserve">                                           </w:t>
        </w:r>
        <w:r>
          <w:rPr>
            <w:rFonts w:hint="eastAsia" w:ascii="黑体" w:hAnsi="Times New Roman" w:eastAsia="黑体" w:cs="Times New Roman"/>
            <w:kern w:val="2"/>
            <w:sz w:val="21"/>
            <w:szCs w:val="21"/>
            <w:lang w:val="en-US" w:eastAsia="zh-CN" w:bidi="ar-SA"/>
          </w:rPr>
          <w:t>北京交科公路勘察设计研究院有限公司</w:t>
        </w:r>
      </w:p>
    </w:sdtContent>
  </w:sdt>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A13B18">
    <w:pPr>
      <w:widowControl w:val="0"/>
      <w:pBdr>
        <w:top w:val="thinThickSmallGap" w:color="auto" w:sz="12" w:space="1"/>
      </w:pBdr>
      <w:snapToGrid w:val="0"/>
      <w:jc w:val="distribute"/>
      <w:rPr>
        <w:rFonts w:ascii="Times New Roman" w:hAnsi="Times New Roman" w:eastAsia="宋体" w:cs="Times New Roman"/>
        <w:kern w:val="2"/>
        <w:sz w:val="18"/>
        <w:szCs w:val="18"/>
        <w:lang w:val="en-US" w:eastAsia="zh-CN" w:bidi="ar-SA"/>
      </w:rPr>
    </w:pPr>
    <w:r>
      <w:rPr>
        <w:rFonts w:hint="eastAsia" w:ascii="黑体" w:hAnsi="Times New Roman" w:eastAsia="黑体" w:cs="Times New Roman"/>
        <w:kern w:val="2"/>
        <w:sz w:val="21"/>
        <w:szCs w:val="21"/>
        <w:lang w:val="en-US" w:eastAsia="zh-CN" w:bidi="ar-SA"/>
      </w:rPr>
      <w:t xml:space="preserve">北京交科公路勘察设计研究院有限公司                                           </w:t>
    </w:r>
    <w:sdt>
      <w:sdtPr>
        <w:rPr>
          <w:rFonts w:ascii="Times New Roman" w:hAnsi="Times New Roman" w:eastAsia="宋体" w:cs="Times New Roman"/>
          <w:kern w:val="2"/>
          <w:sz w:val="21"/>
          <w:szCs w:val="21"/>
          <w:lang w:val="en-US" w:eastAsia="zh-CN" w:bidi="ar-SA"/>
        </w:rPr>
        <w:id w:val="2597672"/>
      </w:sdtPr>
      <w:sdtEndPr>
        <w:rPr>
          <w:rFonts w:ascii="Times New Roman" w:hAnsi="Times New Roman" w:eastAsia="宋体" w:cs="Times New Roman"/>
          <w:kern w:val="2"/>
          <w:sz w:val="18"/>
          <w:szCs w:val="18"/>
          <w:lang w:val="en-US" w:eastAsia="zh-CN" w:bidi="ar-SA"/>
        </w:rPr>
      </w:sdtEndPr>
      <w:sdtContent>
        <w:r>
          <w:rPr>
            <w:rFonts w:ascii="Times New Roman" w:hAnsi="Times New Roman" w:eastAsia="宋体" w:cs="Times New Roman"/>
            <w:kern w:val="2"/>
            <w:sz w:val="21"/>
            <w:szCs w:val="21"/>
            <w:lang w:val="en-US" w:eastAsia="zh-CN" w:bidi="ar-SA"/>
          </w:rPr>
          <w:fldChar w:fldCharType="begin"/>
        </w:r>
        <w:r>
          <w:rPr>
            <w:rFonts w:ascii="Times New Roman" w:hAnsi="Times New Roman" w:eastAsia="宋体" w:cs="Times New Roman"/>
            <w:kern w:val="2"/>
            <w:sz w:val="21"/>
            <w:szCs w:val="21"/>
            <w:lang w:val="en-US" w:eastAsia="zh-CN" w:bidi="ar-SA"/>
          </w:rPr>
          <w:instrText xml:space="preserve"> PAGE   \* MERGEFORMAT </w:instrText>
        </w:r>
        <w:r>
          <w:rPr>
            <w:rFonts w:ascii="Times New Roman" w:hAnsi="Times New Roman" w:eastAsia="宋体" w:cs="Times New Roman"/>
            <w:kern w:val="2"/>
            <w:sz w:val="21"/>
            <w:szCs w:val="21"/>
            <w:lang w:val="en-US" w:eastAsia="zh-CN" w:bidi="ar-SA"/>
          </w:rPr>
          <w:fldChar w:fldCharType="separate"/>
        </w:r>
        <w:r>
          <w:rPr>
            <w:rFonts w:ascii="Times New Roman" w:hAnsi="Times New Roman" w:eastAsia="宋体" w:cs="Times New Roman"/>
            <w:kern w:val="2"/>
            <w:sz w:val="21"/>
            <w:szCs w:val="21"/>
            <w:lang w:val="zh-CN" w:eastAsia="zh-CN" w:bidi="ar-SA"/>
          </w:rPr>
          <w:t>59</w:t>
        </w:r>
        <w:r>
          <w:rPr>
            <w:rFonts w:ascii="Times New Roman" w:hAnsi="Times New Roman" w:eastAsia="宋体" w:cs="Times New Roman"/>
            <w:kern w:val="2"/>
            <w:sz w:val="21"/>
            <w:szCs w:val="21"/>
            <w:lang w:val="zh-CN" w:eastAsia="zh-CN" w:bidi="ar-SA"/>
          </w:rPr>
          <w:fldChar w:fldCharType="end"/>
        </w:r>
      </w:sdtContent>
    </w:sdt>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eastAsia="宋体" w:cs="Times New Roman"/>
        <w:kern w:val="2"/>
        <w:sz w:val="21"/>
        <w:szCs w:val="24"/>
        <w:lang w:val="en-US" w:eastAsia="zh-CN" w:bidi="ar-SA"/>
      </w:rPr>
      <w:id w:val="2597671"/>
    </w:sdtPr>
    <w:sdtEndPr>
      <w:rPr>
        <w:rFonts w:ascii="Times New Roman" w:hAnsi="Times New Roman" w:eastAsia="宋体" w:cs="Times New Roman"/>
        <w:kern w:val="2"/>
        <w:sz w:val="18"/>
        <w:szCs w:val="18"/>
        <w:lang w:val="en-US" w:eastAsia="zh-CN" w:bidi="ar-SA"/>
      </w:rPr>
    </w:sdtEndPr>
    <w:sdtContent>
      <w:p w14:paraId="7C079DFC">
        <w:pPr>
          <w:widowControl w:val="0"/>
          <w:pBdr>
            <w:top w:val="thinThickSmallGap" w:color="auto" w:sz="12" w:space="1"/>
          </w:pBdr>
          <w:snapToGrid w:val="0"/>
          <w:jc w:val="distribute"/>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21"/>
            <w:szCs w:val="21"/>
            <w:lang w:val="en-US" w:eastAsia="zh-CN" w:bidi="ar-SA"/>
          </w:rPr>
          <w:fldChar w:fldCharType="begin"/>
        </w:r>
        <w:r>
          <w:rPr>
            <w:rFonts w:ascii="Times New Roman" w:hAnsi="Times New Roman" w:eastAsia="宋体" w:cs="Times New Roman"/>
            <w:kern w:val="2"/>
            <w:sz w:val="21"/>
            <w:szCs w:val="21"/>
            <w:lang w:val="en-US" w:eastAsia="zh-CN" w:bidi="ar-SA"/>
          </w:rPr>
          <w:instrText xml:space="preserve"> PAGE   \* MERGEFORMAT </w:instrText>
        </w:r>
        <w:r>
          <w:rPr>
            <w:rFonts w:ascii="Times New Roman" w:hAnsi="Times New Roman" w:eastAsia="宋体" w:cs="Times New Roman"/>
            <w:kern w:val="2"/>
            <w:sz w:val="21"/>
            <w:szCs w:val="21"/>
            <w:lang w:val="en-US" w:eastAsia="zh-CN" w:bidi="ar-SA"/>
          </w:rPr>
          <w:fldChar w:fldCharType="separate"/>
        </w:r>
        <w:r>
          <w:rPr>
            <w:rFonts w:ascii="Times New Roman" w:hAnsi="Times New Roman" w:eastAsia="宋体" w:cs="Times New Roman"/>
            <w:kern w:val="2"/>
            <w:sz w:val="21"/>
            <w:szCs w:val="21"/>
            <w:lang w:val="zh-CN" w:eastAsia="zh-CN" w:bidi="ar-SA"/>
          </w:rPr>
          <w:t>60</w:t>
        </w:r>
        <w:r>
          <w:rPr>
            <w:rFonts w:ascii="Times New Roman" w:hAnsi="Times New Roman" w:eastAsia="宋体" w:cs="Times New Roman"/>
            <w:kern w:val="2"/>
            <w:sz w:val="21"/>
            <w:szCs w:val="21"/>
            <w:lang w:val="zh-CN" w:eastAsia="zh-CN" w:bidi="ar-SA"/>
          </w:rPr>
          <w:fldChar w:fldCharType="end"/>
        </w:r>
        <w:r>
          <w:rPr>
            <w:rFonts w:hint="eastAsia" w:ascii="Times New Roman" w:hAnsi="Times New Roman" w:eastAsia="宋体" w:cs="Times New Roman"/>
            <w:kern w:val="2"/>
            <w:sz w:val="21"/>
            <w:szCs w:val="21"/>
            <w:lang w:val="zh-CN" w:eastAsia="zh-CN" w:bidi="ar-SA"/>
          </w:rPr>
          <w:t xml:space="preserve">                                           </w:t>
        </w:r>
        <w:r>
          <w:rPr>
            <w:rFonts w:hint="eastAsia" w:ascii="黑体" w:hAnsi="Times New Roman" w:eastAsia="黑体" w:cs="Times New Roman"/>
            <w:kern w:val="2"/>
            <w:sz w:val="21"/>
            <w:szCs w:val="21"/>
            <w:lang w:val="en-US" w:eastAsia="zh-CN" w:bidi="ar-SA"/>
          </w:rPr>
          <w:t>北京交科公路勘察设计研究院有限公司</w:t>
        </w:r>
      </w:p>
    </w:sdtContent>
  </w:sdt>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B3369C">
    <w:pPr>
      <w:widowControl w:val="0"/>
      <w:pBdr>
        <w:top w:val="thinThickSmallGap" w:color="auto" w:sz="12" w:space="1"/>
      </w:pBdr>
      <w:snapToGrid w:val="0"/>
      <w:jc w:val="distribute"/>
      <w:rPr>
        <w:rFonts w:ascii="Times New Roman" w:hAnsi="Times New Roman" w:eastAsia="宋体" w:cs="Times New Roman"/>
        <w:kern w:val="2"/>
        <w:sz w:val="18"/>
        <w:szCs w:val="18"/>
        <w:lang w:val="en-US" w:eastAsia="zh-CN" w:bidi="ar-SA"/>
      </w:rPr>
    </w:pPr>
    <w:r>
      <w:rPr>
        <w:rFonts w:hint="eastAsia" w:ascii="黑体" w:hAnsi="Times New Roman" w:eastAsia="黑体" w:cs="Times New Roman"/>
        <w:kern w:val="2"/>
        <w:sz w:val="21"/>
        <w:szCs w:val="21"/>
        <w:lang w:val="en-US" w:eastAsia="zh-CN" w:bidi="ar-SA"/>
      </w:rPr>
      <w:t xml:space="preserve">北京交科公路勘察设计研究院有限公司                                                                                                </w:t>
    </w:r>
    <w:sdt>
      <w:sdtPr>
        <w:rPr>
          <w:rFonts w:ascii="Times New Roman" w:hAnsi="Times New Roman" w:eastAsia="宋体" w:cs="Times New Roman"/>
          <w:kern w:val="2"/>
          <w:sz w:val="21"/>
          <w:szCs w:val="21"/>
          <w:lang w:val="en-US" w:eastAsia="zh-CN" w:bidi="ar-SA"/>
        </w:rPr>
        <w:id w:val="2597674"/>
      </w:sdtPr>
      <w:sdtEndPr>
        <w:rPr>
          <w:rFonts w:ascii="Times New Roman" w:hAnsi="Times New Roman" w:eastAsia="宋体" w:cs="Times New Roman"/>
          <w:kern w:val="2"/>
          <w:sz w:val="18"/>
          <w:szCs w:val="18"/>
          <w:lang w:val="en-US" w:eastAsia="zh-CN" w:bidi="ar-SA"/>
        </w:rPr>
      </w:sdtEndPr>
      <w:sdtContent>
        <w:r>
          <w:rPr>
            <w:rFonts w:ascii="Times New Roman" w:hAnsi="Times New Roman" w:eastAsia="宋体" w:cs="Times New Roman"/>
            <w:kern w:val="2"/>
            <w:sz w:val="21"/>
            <w:szCs w:val="21"/>
            <w:lang w:val="en-US" w:eastAsia="zh-CN" w:bidi="ar-SA"/>
          </w:rPr>
          <w:fldChar w:fldCharType="begin"/>
        </w:r>
        <w:r>
          <w:rPr>
            <w:rFonts w:ascii="Times New Roman" w:hAnsi="Times New Roman" w:eastAsia="宋体" w:cs="Times New Roman"/>
            <w:kern w:val="2"/>
            <w:sz w:val="21"/>
            <w:szCs w:val="21"/>
            <w:lang w:val="en-US" w:eastAsia="zh-CN" w:bidi="ar-SA"/>
          </w:rPr>
          <w:instrText xml:space="preserve"> PAGE   \* MERGEFORMAT </w:instrText>
        </w:r>
        <w:r>
          <w:rPr>
            <w:rFonts w:ascii="Times New Roman" w:hAnsi="Times New Roman" w:eastAsia="宋体" w:cs="Times New Roman"/>
            <w:kern w:val="2"/>
            <w:sz w:val="21"/>
            <w:szCs w:val="21"/>
            <w:lang w:val="en-US" w:eastAsia="zh-CN" w:bidi="ar-SA"/>
          </w:rPr>
          <w:fldChar w:fldCharType="separate"/>
        </w:r>
        <w:r>
          <w:rPr>
            <w:rFonts w:ascii="Times New Roman" w:hAnsi="Times New Roman" w:eastAsia="宋体" w:cs="Times New Roman"/>
            <w:kern w:val="2"/>
            <w:sz w:val="21"/>
            <w:szCs w:val="21"/>
            <w:lang w:val="zh-CN" w:eastAsia="zh-CN" w:bidi="ar-SA"/>
          </w:rPr>
          <w:t>61</w:t>
        </w:r>
        <w:r>
          <w:rPr>
            <w:rFonts w:ascii="Times New Roman" w:hAnsi="Times New Roman" w:eastAsia="宋体" w:cs="Times New Roman"/>
            <w:kern w:val="2"/>
            <w:sz w:val="21"/>
            <w:szCs w:val="21"/>
            <w:lang w:val="zh-CN" w:eastAsia="zh-CN" w:bidi="ar-SA"/>
          </w:rPr>
          <w:fldChar w:fldCharType="end"/>
        </w:r>
      </w:sdtContent>
    </w:sdt>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eastAsia="宋体" w:cs="Times New Roman"/>
        <w:kern w:val="2"/>
        <w:sz w:val="21"/>
        <w:szCs w:val="24"/>
        <w:lang w:val="en-US" w:eastAsia="zh-CN" w:bidi="ar-SA"/>
      </w:rPr>
      <w:id w:val="2597673"/>
    </w:sdtPr>
    <w:sdtEndPr>
      <w:rPr>
        <w:rFonts w:ascii="Times New Roman" w:hAnsi="Times New Roman" w:eastAsia="宋体" w:cs="Times New Roman"/>
        <w:kern w:val="2"/>
        <w:sz w:val="18"/>
        <w:szCs w:val="18"/>
        <w:lang w:val="en-US" w:eastAsia="zh-CN" w:bidi="ar-SA"/>
      </w:rPr>
    </w:sdtEndPr>
    <w:sdtContent>
      <w:p w14:paraId="3A54A8AC">
        <w:pPr>
          <w:widowControl w:val="0"/>
          <w:pBdr>
            <w:top w:val="thinThickSmallGap" w:color="auto" w:sz="12" w:space="1"/>
          </w:pBdr>
          <w:snapToGrid w:val="0"/>
          <w:jc w:val="distribute"/>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21"/>
            <w:szCs w:val="21"/>
            <w:lang w:val="en-US" w:eastAsia="zh-CN" w:bidi="ar-SA"/>
          </w:rPr>
          <w:fldChar w:fldCharType="begin"/>
        </w:r>
        <w:r>
          <w:rPr>
            <w:rFonts w:ascii="Times New Roman" w:hAnsi="Times New Roman" w:eastAsia="宋体" w:cs="Times New Roman"/>
            <w:kern w:val="2"/>
            <w:sz w:val="21"/>
            <w:szCs w:val="21"/>
            <w:lang w:val="en-US" w:eastAsia="zh-CN" w:bidi="ar-SA"/>
          </w:rPr>
          <w:instrText xml:space="preserve"> PAGE   \* MERGEFORMAT </w:instrText>
        </w:r>
        <w:r>
          <w:rPr>
            <w:rFonts w:ascii="Times New Roman" w:hAnsi="Times New Roman" w:eastAsia="宋体" w:cs="Times New Roman"/>
            <w:kern w:val="2"/>
            <w:sz w:val="21"/>
            <w:szCs w:val="21"/>
            <w:lang w:val="en-US" w:eastAsia="zh-CN" w:bidi="ar-SA"/>
          </w:rPr>
          <w:fldChar w:fldCharType="separate"/>
        </w:r>
        <w:r>
          <w:rPr>
            <w:rFonts w:ascii="Times New Roman" w:hAnsi="Times New Roman" w:eastAsia="宋体" w:cs="Times New Roman"/>
            <w:kern w:val="2"/>
            <w:sz w:val="21"/>
            <w:szCs w:val="21"/>
            <w:lang w:val="zh-CN" w:eastAsia="zh-CN" w:bidi="ar-SA"/>
          </w:rPr>
          <w:t>62</w:t>
        </w:r>
        <w:r>
          <w:rPr>
            <w:rFonts w:ascii="Times New Roman" w:hAnsi="Times New Roman" w:eastAsia="宋体" w:cs="Times New Roman"/>
            <w:kern w:val="2"/>
            <w:sz w:val="21"/>
            <w:szCs w:val="21"/>
            <w:lang w:val="zh-CN" w:eastAsia="zh-CN" w:bidi="ar-SA"/>
          </w:rPr>
          <w:fldChar w:fldCharType="end"/>
        </w:r>
        <w:r>
          <w:rPr>
            <w:rFonts w:hint="eastAsia" w:ascii="Times New Roman" w:hAnsi="Times New Roman" w:eastAsia="宋体" w:cs="Times New Roman"/>
            <w:kern w:val="2"/>
            <w:sz w:val="21"/>
            <w:szCs w:val="21"/>
            <w:lang w:val="zh-CN" w:eastAsia="zh-CN" w:bidi="ar-SA"/>
          </w:rPr>
          <w:t xml:space="preserve">                                                                                               </w:t>
        </w:r>
        <w:r>
          <w:rPr>
            <w:rFonts w:hint="eastAsia" w:ascii="黑体" w:hAnsi="Times New Roman" w:eastAsia="黑体" w:cs="Times New Roman"/>
            <w:kern w:val="2"/>
            <w:sz w:val="21"/>
            <w:szCs w:val="21"/>
            <w:lang w:val="en-US" w:eastAsia="zh-CN" w:bidi="ar-SA"/>
          </w:rPr>
          <w:t>北京交科公路勘察设计研究院有限公司</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9B45AB">
    <w:pPr>
      <w:framePr w:wrap="around" w:vAnchor="text" w:hAnchor="page" w:x="1833" w:y="36"/>
      <w:widowControl w:val="0"/>
      <w:snapToGrid w:val="0"/>
      <w:jc w:val="left"/>
      <w:rPr>
        <w:rStyle w:val="26"/>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fldChar w:fldCharType="begin"/>
    </w:r>
    <w:r>
      <w:rPr>
        <w:rStyle w:val="26"/>
        <w:rFonts w:ascii="Times New Roman" w:hAnsi="Times New Roman" w:eastAsia="宋体" w:cs="Times New Roman"/>
        <w:kern w:val="2"/>
        <w:sz w:val="21"/>
        <w:szCs w:val="24"/>
        <w:lang w:val="en-US" w:eastAsia="zh-CN" w:bidi="ar-SA"/>
      </w:rPr>
      <w:instrText xml:space="preserve">PAGE  </w:instrText>
    </w:r>
    <w:r>
      <w:rPr>
        <w:rFonts w:ascii="Times New Roman" w:hAnsi="Times New Roman" w:eastAsia="宋体" w:cs="Times New Roman"/>
        <w:kern w:val="2"/>
        <w:sz w:val="18"/>
        <w:szCs w:val="18"/>
        <w:lang w:val="en-US" w:eastAsia="zh-CN" w:bidi="ar-SA"/>
      </w:rPr>
      <w:fldChar w:fldCharType="separate"/>
    </w:r>
    <w:r>
      <w:rPr>
        <w:rStyle w:val="26"/>
        <w:rFonts w:ascii="Times New Roman" w:hAnsi="Times New Roman" w:eastAsia="宋体" w:cs="Times New Roman"/>
        <w:kern w:val="2"/>
        <w:sz w:val="21"/>
        <w:szCs w:val="24"/>
        <w:lang w:val="en-US" w:eastAsia="zh-CN" w:bidi="ar-SA"/>
      </w:rPr>
      <w:t>2</w:t>
    </w:r>
    <w:r>
      <w:rPr>
        <w:rFonts w:ascii="Times New Roman" w:hAnsi="Times New Roman" w:eastAsia="宋体" w:cs="Times New Roman"/>
        <w:kern w:val="2"/>
        <w:sz w:val="18"/>
        <w:szCs w:val="18"/>
        <w:lang w:val="en-US" w:eastAsia="zh-CN" w:bidi="ar-SA"/>
      </w:rPr>
      <w:fldChar w:fldCharType="end"/>
    </w:r>
  </w:p>
  <w:p w14:paraId="25065191">
    <w:pPr>
      <w:widowControl w:val="0"/>
      <w:pBdr>
        <w:top w:val="thinThickSmallGap" w:color="auto" w:sz="12" w:space="1"/>
      </w:pBdr>
      <w:tabs>
        <w:tab w:val="left" w:pos="5415"/>
        <w:tab w:val="right" w:pos="8154"/>
        <w:tab w:val="left" w:pos="8620"/>
      </w:tabs>
      <w:wordWrap w:val="0"/>
      <w:snapToGrid w:val="0"/>
      <w:ind w:right="-58" w:firstLine="360"/>
      <w:jc w:val="left"/>
      <w:rPr>
        <w:rFonts w:hint="eastAsia" w:ascii="Times New Roman" w:hAnsi="Times New Roman" w:eastAsia="黑体" w:cs="Times New Roman"/>
        <w:kern w:val="2"/>
        <w:sz w:val="18"/>
        <w:szCs w:val="18"/>
        <w:lang w:val="en-US" w:eastAsia="zh-CN" w:bidi="ar-SA"/>
      </w:rPr>
    </w:pPr>
    <w:r>
      <w:rPr>
        <w:rFonts w:ascii="黑体" w:hAnsi="Times New Roman" w:eastAsia="黑体" w:cs="Times New Roman"/>
        <w:kern w:val="2"/>
        <w:sz w:val="21"/>
        <w:szCs w:val="21"/>
        <w:lang w:val="en-US" w:eastAsia="zh-CN" w:bidi="ar-SA"/>
      </w:rPr>
      <w:tab/>
    </w:r>
    <w:r>
      <w:rPr>
        <w:rFonts w:hint="eastAsia" w:ascii="黑体" w:hAnsi="Times New Roman" w:eastAsia="黑体" w:cs="Times New Roman"/>
        <w:kern w:val="2"/>
        <w:sz w:val="21"/>
        <w:szCs w:val="21"/>
        <w:lang w:val="en-US" w:eastAsia="zh-CN" w:bidi="ar-SA"/>
      </w:rPr>
      <w:t>北京交科公路勘察设计研究院有限公司</w: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5E26CB">
    <w:pPr>
      <w:widowControl w:val="0"/>
      <w:pBdr>
        <w:top w:val="thinThickSmallGap" w:color="auto" w:sz="12" w:space="1"/>
      </w:pBdr>
      <w:snapToGrid w:val="0"/>
      <w:jc w:val="distribute"/>
      <w:rPr>
        <w:rFonts w:ascii="Times New Roman" w:hAnsi="Times New Roman" w:eastAsia="宋体" w:cs="Times New Roman"/>
        <w:kern w:val="2"/>
        <w:sz w:val="18"/>
        <w:szCs w:val="18"/>
        <w:lang w:val="en-US" w:eastAsia="zh-CN" w:bidi="ar-SA"/>
      </w:rPr>
    </w:pPr>
    <w:r>
      <w:rPr>
        <w:rFonts w:hint="eastAsia" w:ascii="黑体" w:hAnsi="Times New Roman" w:eastAsia="黑体" w:cs="Times New Roman"/>
        <w:kern w:val="2"/>
        <w:sz w:val="21"/>
        <w:szCs w:val="21"/>
        <w:lang w:val="en-US" w:eastAsia="zh-CN" w:bidi="ar-SA"/>
      </w:rPr>
      <w:t xml:space="preserve">北京交科公路勘察设计研究院有限公司                                           </w:t>
    </w:r>
    <w:sdt>
      <w:sdtPr>
        <w:rPr>
          <w:rFonts w:ascii="Times New Roman" w:hAnsi="Times New Roman" w:eastAsia="宋体" w:cs="Times New Roman"/>
          <w:kern w:val="2"/>
          <w:sz w:val="21"/>
          <w:szCs w:val="21"/>
          <w:lang w:val="en-US" w:eastAsia="zh-CN" w:bidi="ar-SA"/>
        </w:rPr>
        <w:id w:val="2597676"/>
      </w:sdtPr>
      <w:sdtEndPr>
        <w:rPr>
          <w:rFonts w:ascii="Times New Roman" w:hAnsi="Times New Roman" w:eastAsia="宋体" w:cs="Times New Roman"/>
          <w:kern w:val="2"/>
          <w:sz w:val="18"/>
          <w:szCs w:val="18"/>
          <w:lang w:val="en-US" w:eastAsia="zh-CN" w:bidi="ar-SA"/>
        </w:rPr>
      </w:sdtEndPr>
      <w:sdtContent>
        <w:r>
          <w:rPr>
            <w:rFonts w:ascii="Times New Roman" w:hAnsi="Times New Roman" w:eastAsia="宋体" w:cs="Times New Roman"/>
            <w:kern w:val="2"/>
            <w:sz w:val="21"/>
            <w:szCs w:val="21"/>
            <w:lang w:val="en-US" w:eastAsia="zh-CN" w:bidi="ar-SA"/>
          </w:rPr>
          <w:fldChar w:fldCharType="begin"/>
        </w:r>
        <w:r>
          <w:rPr>
            <w:rFonts w:ascii="Times New Roman" w:hAnsi="Times New Roman" w:eastAsia="宋体" w:cs="Times New Roman"/>
            <w:kern w:val="2"/>
            <w:sz w:val="21"/>
            <w:szCs w:val="21"/>
            <w:lang w:val="en-US" w:eastAsia="zh-CN" w:bidi="ar-SA"/>
          </w:rPr>
          <w:instrText xml:space="preserve"> PAGE   \* MERGEFORMAT </w:instrText>
        </w:r>
        <w:r>
          <w:rPr>
            <w:rFonts w:ascii="Times New Roman" w:hAnsi="Times New Roman" w:eastAsia="宋体" w:cs="Times New Roman"/>
            <w:kern w:val="2"/>
            <w:sz w:val="21"/>
            <w:szCs w:val="21"/>
            <w:lang w:val="en-US" w:eastAsia="zh-CN" w:bidi="ar-SA"/>
          </w:rPr>
          <w:fldChar w:fldCharType="separate"/>
        </w:r>
        <w:r>
          <w:rPr>
            <w:rFonts w:ascii="Times New Roman" w:hAnsi="Times New Roman" w:eastAsia="宋体" w:cs="Times New Roman"/>
            <w:kern w:val="2"/>
            <w:sz w:val="21"/>
            <w:szCs w:val="21"/>
            <w:lang w:val="zh-CN" w:eastAsia="zh-CN" w:bidi="ar-SA"/>
          </w:rPr>
          <w:t>63</w:t>
        </w:r>
        <w:r>
          <w:rPr>
            <w:rFonts w:ascii="Times New Roman" w:hAnsi="Times New Roman" w:eastAsia="宋体" w:cs="Times New Roman"/>
            <w:kern w:val="2"/>
            <w:sz w:val="21"/>
            <w:szCs w:val="21"/>
            <w:lang w:val="zh-CN" w:eastAsia="zh-CN" w:bidi="ar-SA"/>
          </w:rPr>
          <w:fldChar w:fldCharType="end"/>
        </w:r>
      </w:sdtContent>
    </w:sdt>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eastAsia="宋体" w:cs="Times New Roman"/>
        <w:kern w:val="2"/>
        <w:sz w:val="21"/>
        <w:szCs w:val="24"/>
        <w:lang w:val="en-US" w:eastAsia="zh-CN" w:bidi="ar-SA"/>
      </w:rPr>
      <w:id w:val="2597675"/>
    </w:sdtPr>
    <w:sdtEndPr>
      <w:rPr>
        <w:rFonts w:ascii="Times New Roman" w:hAnsi="Times New Roman" w:eastAsia="宋体" w:cs="Times New Roman"/>
        <w:kern w:val="2"/>
        <w:sz w:val="18"/>
        <w:szCs w:val="18"/>
        <w:lang w:val="en-US" w:eastAsia="zh-CN" w:bidi="ar-SA"/>
      </w:rPr>
    </w:sdtEndPr>
    <w:sdtContent>
      <w:p w14:paraId="558A02C2">
        <w:pPr>
          <w:widowControl w:val="0"/>
          <w:pBdr>
            <w:top w:val="thinThickSmallGap" w:color="auto" w:sz="12" w:space="1"/>
          </w:pBdr>
          <w:snapToGrid w:val="0"/>
          <w:jc w:val="distribute"/>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21"/>
            <w:szCs w:val="21"/>
            <w:lang w:val="en-US" w:eastAsia="zh-CN" w:bidi="ar-SA"/>
          </w:rPr>
          <w:fldChar w:fldCharType="begin"/>
        </w:r>
        <w:r>
          <w:rPr>
            <w:rFonts w:ascii="Times New Roman" w:hAnsi="Times New Roman" w:eastAsia="宋体" w:cs="Times New Roman"/>
            <w:kern w:val="2"/>
            <w:sz w:val="21"/>
            <w:szCs w:val="21"/>
            <w:lang w:val="en-US" w:eastAsia="zh-CN" w:bidi="ar-SA"/>
          </w:rPr>
          <w:instrText xml:space="preserve"> PAGE   \* MERGEFORMAT </w:instrText>
        </w:r>
        <w:r>
          <w:rPr>
            <w:rFonts w:ascii="Times New Roman" w:hAnsi="Times New Roman" w:eastAsia="宋体" w:cs="Times New Roman"/>
            <w:kern w:val="2"/>
            <w:sz w:val="21"/>
            <w:szCs w:val="21"/>
            <w:lang w:val="en-US" w:eastAsia="zh-CN" w:bidi="ar-SA"/>
          </w:rPr>
          <w:fldChar w:fldCharType="separate"/>
        </w:r>
        <w:r>
          <w:rPr>
            <w:rFonts w:ascii="Times New Roman" w:hAnsi="Times New Roman" w:eastAsia="宋体" w:cs="Times New Roman"/>
            <w:kern w:val="2"/>
            <w:sz w:val="21"/>
            <w:szCs w:val="21"/>
            <w:lang w:val="zh-CN" w:eastAsia="zh-CN" w:bidi="ar-SA"/>
          </w:rPr>
          <w:t>64</w:t>
        </w:r>
        <w:r>
          <w:rPr>
            <w:rFonts w:ascii="Times New Roman" w:hAnsi="Times New Roman" w:eastAsia="宋体" w:cs="Times New Roman"/>
            <w:kern w:val="2"/>
            <w:sz w:val="21"/>
            <w:szCs w:val="21"/>
            <w:lang w:val="zh-CN" w:eastAsia="zh-CN" w:bidi="ar-SA"/>
          </w:rPr>
          <w:fldChar w:fldCharType="end"/>
        </w:r>
        <w:r>
          <w:rPr>
            <w:rFonts w:hint="eastAsia" w:ascii="Times New Roman" w:hAnsi="Times New Roman" w:eastAsia="宋体" w:cs="Times New Roman"/>
            <w:kern w:val="2"/>
            <w:sz w:val="21"/>
            <w:szCs w:val="21"/>
            <w:lang w:val="zh-CN" w:eastAsia="zh-CN" w:bidi="ar-SA"/>
          </w:rPr>
          <w:t xml:space="preserve">                                           </w:t>
        </w:r>
        <w:r>
          <w:rPr>
            <w:rFonts w:hint="eastAsia" w:ascii="黑体" w:hAnsi="Times New Roman" w:eastAsia="黑体" w:cs="Times New Roman"/>
            <w:kern w:val="2"/>
            <w:sz w:val="21"/>
            <w:szCs w:val="21"/>
            <w:lang w:val="en-US" w:eastAsia="zh-CN" w:bidi="ar-SA"/>
          </w:rPr>
          <w:t>北京交科公路勘察设计研究院有限公司</w:t>
        </w:r>
      </w:p>
    </w:sdtContent>
  </w:sdt>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DAD055">
    <w:pPr>
      <w:widowControl w:val="0"/>
      <w:pBdr>
        <w:top w:val="thinThickSmallGap" w:color="auto" w:sz="12" w:space="1"/>
      </w:pBdr>
      <w:snapToGrid w:val="0"/>
      <w:jc w:val="distribute"/>
      <w:rPr>
        <w:rFonts w:ascii="Times New Roman" w:hAnsi="Times New Roman" w:eastAsia="宋体" w:cs="Times New Roman"/>
        <w:kern w:val="2"/>
        <w:sz w:val="18"/>
        <w:szCs w:val="18"/>
        <w:lang w:val="en-US" w:eastAsia="zh-CN" w:bidi="ar-SA"/>
      </w:rPr>
    </w:pPr>
    <w:r>
      <w:rPr>
        <w:rFonts w:hint="eastAsia" w:ascii="黑体" w:hAnsi="Times New Roman" w:eastAsia="黑体" w:cs="Times New Roman"/>
        <w:kern w:val="2"/>
        <w:sz w:val="21"/>
        <w:szCs w:val="21"/>
        <w:lang w:val="en-US" w:eastAsia="zh-CN" w:bidi="ar-SA"/>
      </w:rPr>
      <w:t xml:space="preserve">北京交科公路勘察设计研究院有限公司                                                                                                                                                                   </w:t>
    </w:r>
    <w:sdt>
      <w:sdtPr>
        <w:rPr>
          <w:rFonts w:ascii="Times New Roman" w:hAnsi="Times New Roman" w:eastAsia="宋体" w:cs="Times New Roman"/>
          <w:kern w:val="2"/>
          <w:sz w:val="21"/>
          <w:szCs w:val="21"/>
          <w:lang w:val="en-US" w:eastAsia="zh-CN" w:bidi="ar-SA"/>
        </w:rPr>
        <w:id w:val="2597678"/>
      </w:sdtPr>
      <w:sdtEndPr>
        <w:rPr>
          <w:rFonts w:ascii="Times New Roman" w:hAnsi="Times New Roman" w:eastAsia="宋体" w:cs="Times New Roman"/>
          <w:kern w:val="2"/>
          <w:sz w:val="18"/>
          <w:szCs w:val="18"/>
          <w:lang w:val="en-US" w:eastAsia="zh-CN" w:bidi="ar-SA"/>
        </w:rPr>
      </w:sdtEndPr>
      <w:sdtContent>
        <w:r>
          <w:rPr>
            <w:rFonts w:ascii="Times New Roman" w:hAnsi="Times New Roman" w:eastAsia="宋体" w:cs="Times New Roman"/>
            <w:kern w:val="2"/>
            <w:sz w:val="21"/>
            <w:szCs w:val="21"/>
            <w:lang w:val="en-US" w:eastAsia="zh-CN" w:bidi="ar-SA"/>
          </w:rPr>
          <w:fldChar w:fldCharType="begin"/>
        </w:r>
        <w:r>
          <w:rPr>
            <w:rFonts w:ascii="Times New Roman" w:hAnsi="Times New Roman" w:eastAsia="宋体" w:cs="Times New Roman"/>
            <w:kern w:val="2"/>
            <w:sz w:val="21"/>
            <w:szCs w:val="21"/>
            <w:lang w:val="en-US" w:eastAsia="zh-CN" w:bidi="ar-SA"/>
          </w:rPr>
          <w:instrText xml:space="preserve"> PAGE   \* MERGEFORMAT </w:instrText>
        </w:r>
        <w:r>
          <w:rPr>
            <w:rFonts w:ascii="Times New Roman" w:hAnsi="Times New Roman" w:eastAsia="宋体" w:cs="Times New Roman"/>
            <w:kern w:val="2"/>
            <w:sz w:val="21"/>
            <w:szCs w:val="21"/>
            <w:lang w:val="en-US" w:eastAsia="zh-CN" w:bidi="ar-SA"/>
          </w:rPr>
          <w:fldChar w:fldCharType="separate"/>
        </w:r>
        <w:r>
          <w:rPr>
            <w:rFonts w:ascii="Times New Roman" w:hAnsi="Times New Roman" w:eastAsia="宋体" w:cs="Times New Roman"/>
            <w:kern w:val="2"/>
            <w:sz w:val="21"/>
            <w:szCs w:val="21"/>
            <w:lang w:val="zh-CN" w:eastAsia="zh-CN" w:bidi="ar-SA"/>
          </w:rPr>
          <w:t>65</w:t>
        </w:r>
        <w:r>
          <w:rPr>
            <w:rFonts w:ascii="Times New Roman" w:hAnsi="Times New Roman" w:eastAsia="宋体" w:cs="Times New Roman"/>
            <w:kern w:val="2"/>
            <w:sz w:val="21"/>
            <w:szCs w:val="21"/>
            <w:lang w:val="zh-CN" w:eastAsia="zh-CN" w:bidi="ar-SA"/>
          </w:rPr>
          <w:fldChar w:fldCharType="end"/>
        </w:r>
      </w:sdtContent>
    </w:sdt>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eastAsia="宋体" w:cs="Times New Roman"/>
        <w:kern w:val="2"/>
        <w:sz w:val="21"/>
        <w:szCs w:val="24"/>
        <w:lang w:val="en-US" w:eastAsia="zh-CN" w:bidi="ar-SA"/>
      </w:rPr>
      <w:id w:val="2597677"/>
    </w:sdtPr>
    <w:sdtEndPr>
      <w:rPr>
        <w:rFonts w:ascii="Times New Roman" w:hAnsi="Times New Roman" w:eastAsia="宋体" w:cs="Times New Roman"/>
        <w:kern w:val="2"/>
        <w:sz w:val="18"/>
        <w:szCs w:val="18"/>
        <w:lang w:val="en-US" w:eastAsia="zh-CN" w:bidi="ar-SA"/>
      </w:rPr>
    </w:sdtEndPr>
    <w:sdtContent>
      <w:p w14:paraId="3E09C976">
        <w:pPr>
          <w:widowControl w:val="0"/>
          <w:pBdr>
            <w:top w:val="thinThickSmallGap" w:color="auto" w:sz="12" w:space="1"/>
          </w:pBdr>
          <w:snapToGrid w:val="0"/>
          <w:jc w:val="distribute"/>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21"/>
            <w:szCs w:val="21"/>
            <w:lang w:val="en-US" w:eastAsia="zh-CN" w:bidi="ar-SA"/>
          </w:rPr>
          <w:fldChar w:fldCharType="begin"/>
        </w:r>
        <w:r>
          <w:rPr>
            <w:rFonts w:ascii="Times New Roman" w:hAnsi="Times New Roman" w:eastAsia="宋体" w:cs="Times New Roman"/>
            <w:kern w:val="2"/>
            <w:sz w:val="21"/>
            <w:szCs w:val="21"/>
            <w:lang w:val="en-US" w:eastAsia="zh-CN" w:bidi="ar-SA"/>
          </w:rPr>
          <w:instrText xml:space="preserve"> PAGE   \* MERGEFORMAT </w:instrText>
        </w:r>
        <w:r>
          <w:rPr>
            <w:rFonts w:ascii="Times New Roman" w:hAnsi="Times New Roman" w:eastAsia="宋体" w:cs="Times New Roman"/>
            <w:kern w:val="2"/>
            <w:sz w:val="21"/>
            <w:szCs w:val="21"/>
            <w:lang w:val="en-US" w:eastAsia="zh-CN" w:bidi="ar-SA"/>
          </w:rPr>
          <w:fldChar w:fldCharType="separate"/>
        </w:r>
        <w:r>
          <w:rPr>
            <w:rFonts w:ascii="Times New Roman" w:hAnsi="Times New Roman" w:eastAsia="宋体" w:cs="Times New Roman"/>
            <w:kern w:val="2"/>
            <w:sz w:val="21"/>
            <w:szCs w:val="21"/>
            <w:lang w:val="zh-CN" w:eastAsia="zh-CN" w:bidi="ar-SA"/>
          </w:rPr>
          <w:t>66</w:t>
        </w:r>
        <w:r>
          <w:rPr>
            <w:rFonts w:ascii="Times New Roman" w:hAnsi="Times New Roman" w:eastAsia="宋体" w:cs="Times New Roman"/>
            <w:kern w:val="2"/>
            <w:sz w:val="21"/>
            <w:szCs w:val="21"/>
            <w:lang w:val="zh-CN" w:eastAsia="zh-CN" w:bidi="ar-SA"/>
          </w:rPr>
          <w:fldChar w:fldCharType="end"/>
        </w:r>
        <w:r>
          <w:rPr>
            <w:rFonts w:hint="eastAsia" w:ascii="Times New Roman" w:hAnsi="Times New Roman" w:eastAsia="宋体" w:cs="Times New Roman"/>
            <w:kern w:val="2"/>
            <w:sz w:val="21"/>
            <w:szCs w:val="21"/>
            <w:lang w:val="zh-CN" w:eastAsia="zh-CN" w:bidi="ar-SA"/>
          </w:rPr>
          <w:t xml:space="preserve">                                                                                                                                                                   </w:t>
        </w:r>
        <w:r>
          <w:rPr>
            <w:rFonts w:hint="eastAsia" w:ascii="黑体" w:hAnsi="Times New Roman" w:eastAsia="黑体" w:cs="Times New Roman"/>
            <w:kern w:val="2"/>
            <w:sz w:val="21"/>
            <w:szCs w:val="21"/>
            <w:lang w:val="en-US" w:eastAsia="zh-CN" w:bidi="ar-SA"/>
          </w:rPr>
          <w:t>北京交科公路勘察设计研究院有限公司</w:t>
        </w:r>
      </w:p>
    </w:sdtContent>
  </w:sdt>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6078E">
    <w:pPr>
      <w:widowControl w:val="0"/>
      <w:pBdr>
        <w:top w:val="thinThickSmallGap" w:color="auto" w:sz="12" w:space="1"/>
      </w:pBdr>
      <w:snapToGrid w:val="0"/>
      <w:jc w:val="distribute"/>
      <w:rPr>
        <w:rFonts w:ascii="Times New Roman" w:hAnsi="Times New Roman" w:eastAsia="宋体" w:cs="Times New Roman"/>
        <w:kern w:val="2"/>
        <w:sz w:val="18"/>
        <w:szCs w:val="18"/>
        <w:lang w:val="en-US" w:eastAsia="zh-CN" w:bidi="ar-SA"/>
      </w:rPr>
    </w:pPr>
    <w:r>
      <w:rPr>
        <w:rFonts w:hint="eastAsia" w:ascii="黑体" w:hAnsi="Times New Roman" w:eastAsia="黑体" w:cs="Times New Roman"/>
        <w:kern w:val="2"/>
        <w:sz w:val="21"/>
        <w:szCs w:val="21"/>
        <w:lang w:val="en-US" w:eastAsia="zh-CN" w:bidi="ar-SA"/>
      </w:rPr>
      <w:t xml:space="preserve">北京交科公路勘察设计研究院有限公司                                                                                               </w:t>
    </w:r>
    <w:sdt>
      <w:sdtPr>
        <w:rPr>
          <w:rFonts w:ascii="Times New Roman" w:hAnsi="Times New Roman" w:eastAsia="宋体" w:cs="Times New Roman"/>
          <w:kern w:val="2"/>
          <w:sz w:val="21"/>
          <w:szCs w:val="21"/>
          <w:lang w:val="en-US" w:eastAsia="zh-CN" w:bidi="ar-SA"/>
        </w:rPr>
        <w:id w:val="2597680"/>
      </w:sdtPr>
      <w:sdtEndPr>
        <w:rPr>
          <w:rFonts w:ascii="Times New Roman" w:hAnsi="Times New Roman" w:eastAsia="宋体" w:cs="Times New Roman"/>
          <w:kern w:val="2"/>
          <w:sz w:val="18"/>
          <w:szCs w:val="18"/>
          <w:lang w:val="en-US" w:eastAsia="zh-CN" w:bidi="ar-SA"/>
        </w:rPr>
      </w:sdtEndPr>
      <w:sdtContent>
        <w:r>
          <w:rPr>
            <w:rFonts w:ascii="Times New Roman" w:hAnsi="Times New Roman" w:eastAsia="宋体" w:cs="Times New Roman"/>
            <w:kern w:val="2"/>
            <w:sz w:val="21"/>
            <w:szCs w:val="21"/>
            <w:lang w:val="en-US" w:eastAsia="zh-CN" w:bidi="ar-SA"/>
          </w:rPr>
          <w:fldChar w:fldCharType="begin"/>
        </w:r>
        <w:r>
          <w:rPr>
            <w:rFonts w:ascii="Times New Roman" w:hAnsi="Times New Roman" w:eastAsia="宋体" w:cs="Times New Roman"/>
            <w:kern w:val="2"/>
            <w:sz w:val="21"/>
            <w:szCs w:val="21"/>
            <w:lang w:val="en-US" w:eastAsia="zh-CN" w:bidi="ar-SA"/>
          </w:rPr>
          <w:instrText xml:space="preserve"> PAGE   \* MERGEFORMAT </w:instrText>
        </w:r>
        <w:r>
          <w:rPr>
            <w:rFonts w:ascii="Times New Roman" w:hAnsi="Times New Roman" w:eastAsia="宋体" w:cs="Times New Roman"/>
            <w:kern w:val="2"/>
            <w:sz w:val="21"/>
            <w:szCs w:val="21"/>
            <w:lang w:val="en-US" w:eastAsia="zh-CN" w:bidi="ar-SA"/>
          </w:rPr>
          <w:fldChar w:fldCharType="separate"/>
        </w:r>
        <w:r>
          <w:rPr>
            <w:rFonts w:ascii="Times New Roman" w:hAnsi="Times New Roman" w:eastAsia="宋体" w:cs="Times New Roman"/>
            <w:kern w:val="2"/>
            <w:sz w:val="21"/>
            <w:szCs w:val="21"/>
            <w:lang w:val="zh-CN" w:eastAsia="zh-CN" w:bidi="ar-SA"/>
          </w:rPr>
          <w:t>67</w:t>
        </w:r>
        <w:r>
          <w:rPr>
            <w:rFonts w:ascii="Times New Roman" w:hAnsi="Times New Roman" w:eastAsia="宋体" w:cs="Times New Roman"/>
            <w:kern w:val="2"/>
            <w:sz w:val="21"/>
            <w:szCs w:val="21"/>
            <w:lang w:val="zh-CN" w:eastAsia="zh-CN" w:bidi="ar-SA"/>
          </w:rPr>
          <w:fldChar w:fldCharType="end"/>
        </w:r>
      </w:sdtContent>
    </w:sdt>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eastAsia="宋体" w:cs="Times New Roman"/>
        <w:kern w:val="2"/>
        <w:sz w:val="21"/>
        <w:szCs w:val="24"/>
        <w:lang w:val="en-US" w:eastAsia="zh-CN" w:bidi="ar-SA"/>
      </w:rPr>
      <w:id w:val="2597679"/>
    </w:sdtPr>
    <w:sdtEndPr>
      <w:rPr>
        <w:rFonts w:ascii="Times New Roman" w:hAnsi="Times New Roman" w:eastAsia="宋体" w:cs="Times New Roman"/>
        <w:kern w:val="2"/>
        <w:sz w:val="18"/>
        <w:szCs w:val="18"/>
        <w:lang w:val="en-US" w:eastAsia="zh-CN" w:bidi="ar-SA"/>
      </w:rPr>
    </w:sdtEndPr>
    <w:sdtContent>
      <w:p w14:paraId="0483E3FB">
        <w:pPr>
          <w:widowControl w:val="0"/>
          <w:pBdr>
            <w:top w:val="thinThickSmallGap" w:color="auto" w:sz="12" w:space="1"/>
          </w:pBdr>
          <w:snapToGrid w:val="0"/>
          <w:jc w:val="distribute"/>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21"/>
            <w:szCs w:val="21"/>
            <w:lang w:val="en-US" w:eastAsia="zh-CN" w:bidi="ar-SA"/>
          </w:rPr>
          <w:fldChar w:fldCharType="begin"/>
        </w:r>
        <w:r>
          <w:rPr>
            <w:rFonts w:ascii="Times New Roman" w:hAnsi="Times New Roman" w:eastAsia="宋体" w:cs="Times New Roman"/>
            <w:kern w:val="2"/>
            <w:sz w:val="21"/>
            <w:szCs w:val="21"/>
            <w:lang w:val="en-US" w:eastAsia="zh-CN" w:bidi="ar-SA"/>
          </w:rPr>
          <w:instrText xml:space="preserve"> PAGE   \* MERGEFORMAT </w:instrText>
        </w:r>
        <w:r>
          <w:rPr>
            <w:rFonts w:ascii="Times New Roman" w:hAnsi="Times New Roman" w:eastAsia="宋体" w:cs="Times New Roman"/>
            <w:kern w:val="2"/>
            <w:sz w:val="21"/>
            <w:szCs w:val="21"/>
            <w:lang w:val="en-US" w:eastAsia="zh-CN" w:bidi="ar-SA"/>
          </w:rPr>
          <w:fldChar w:fldCharType="separate"/>
        </w:r>
        <w:r>
          <w:rPr>
            <w:rFonts w:ascii="Times New Roman" w:hAnsi="Times New Roman" w:eastAsia="宋体" w:cs="Times New Roman"/>
            <w:kern w:val="2"/>
            <w:sz w:val="21"/>
            <w:szCs w:val="21"/>
            <w:lang w:val="zh-CN" w:eastAsia="zh-CN" w:bidi="ar-SA"/>
          </w:rPr>
          <w:t>66</w:t>
        </w:r>
        <w:r>
          <w:rPr>
            <w:rFonts w:ascii="Times New Roman" w:hAnsi="Times New Roman" w:eastAsia="宋体" w:cs="Times New Roman"/>
            <w:kern w:val="2"/>
            <w:sz w:val="21"/>
            <w:szCs w:val="21"/>
            <w:lang w:val="zh-CN" w:eastAsia="zh-CN" w:bidi="ar-SA"/>
          </w:rPr>
          <w:fldChar w:fldCharType="end"/>
        </w:r>
        <w:r>
          <w:rPr>
            <w:rFonts w:hint="eastAsia" w:ascii="Times New Roman" w:hAnsi="Times New Roman" w:eastAsia="宋体" w:cs="Times New Roman"/>
            <w:kern w:val="2"/>
            <w:sz w:val="21"/>
            <w:szCs w:val="21"/>
            <w:lang w:val="zh-CN" w:eastAsia="zh-CN" w:bidi="ar-SA"/>
          </w:rPr>
          <w:t xml:space="preserve">                                                                                               </w:t>
        </w:r>
        <w:r>
          <w:rPr>
            <w:rFonts w:hint="eastAsia" w:ascii="黑体" w:hAnsi="Times New Roman" w:eastAsia="黑体" w:cs="Times New Roman"/>
            <w:kern w:val="2"/>
            <w:sz w:val="21"/>
            <w:szCs w:val="21"/>
            <w:lang w:val="en-US" w:eastAsia="zh-CN" w:bidi="ar-SA"/>
          </w:rPr>
          <w:t>北京交科公路勘察设计研究院有限公司</w:t>
        </w:r>
      </w:p>
    </w:sdtContent>
  </w:sdt>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4F9F0D">
    <w:pPr>
      <w:widowControl w:val="0"/>
      <w:pBdr>
        <w:top w:val="thinThickSmallGap" w:color="auto" w:sz="12" w:space="1"/>
      </w:pBdr>
      <w:snapToGrid w:val="0"/>
      <w:jc w:val="distribute"/>
      <w:rPr>
        <w:rFonts w:ascii="Times New Roman" w:hAnsi="Times New Roman" w:eastAsia="宋体" w:cs="Times New Roman"/>
        <w:kern w:val="2"/>
        <w:sz w:val="18"/>
        <w:szCs w:val="18"/>
        <w:lang w:val="en-US" w:eastAsia="zh-CN" w:bidi="ar-SA"/>
      </w:rPr>
    </w:pPr>
    <w:r>
      <w:rPr>
        <w:rFonts w:hint="eastAsia" w:ascii="黑体" w:hAnsi="Times New Roman" w:eastAsia="黑体" w:cs="Times New Roman"/>
        <w:kern w:val="2"/>
        <w:sz w:val="21"/>
        <w:szCs w:val="21"/>
        <w:lang w:val="en-US" w:eastAsia="zh-CN" w:bidi="ar-SA"/>
      </w:rPr>
      <w:t xml:space="preserve">北京交科公路勘察设计研究院有限公司                                                                                               </w:t>
    </w:r>
    <w:sdt>
      <w:sdtPr>
        <w:rPr>
          <w:rFonts w:ascii="Times New Roman" w:hAnsi="Times New Roman" w:eastAsia="宋体" w:cs="Times New Roman"/>
          <w:kern w:val="2"/>
          <w:sz w:val="21"/>
          <w:szCs w:val="21"/>
          <w:lang w:val="en-US" w:eastAsia="zh-CN" w:bidi="ar-SA"/>
        </w:rPr>
        <w:id w:val="2597682"/>
      </w:sdtPr>
      <w:sdtEndPr>
        <w:rPr>
          <w:rFonts w:ascii="Times New Roman" w:hAnsi="Times New Roman" w:eastAsia="宋体" w:cs="Times New Roman"/>
          <w:kern w:val="2"/>
          <w:sz w:val="18"/>
          <w:szCs w:val="18"/>
          <w:lang w:val="en-US" w:eastAsia="zh-CN" w:bidi="ar-SA"/>
        </w:rPr>
      </w:sdtEndPr>
      <w:sdtContent>
        <w:r>
          <w:rPr>
            <w:rFonts w:ascii="Times New Roman" w:hAnsi="Times New Roman" w:eastAsia="宋体" w:cs="Times New Roman"/>
            <w:kern w:val="2"/>
            <w:sz w:val="21"/>
            <w:szCs w:val="21"/>
            <w:lang w:val="en-US" w:eastAsia="zh-CN" w:bidi="ar-SA"/>
          </w:rPr>
          <w:fldChar w:fldCharType="begin"/>
        </w:r>
        <w:r>
          <w:rPr>
            <w:rFonts w:ascii="Times New Roman" w:hAnsi="Times New Roman" w:eastAsia="宋体" w:cs="Times New Roman"/>
            <w:kern w:val="2"/>
            <w:sz w:val="21"/>
            <w:szCs w:val="21"/>
            <w:lang w:val="en-US" w:eastAsia="zh-CN" w:bidi="ar-SA"/>
          </w:rPr>
          <w:instrText xml:space="preserve"> PAGE   \* MERGEFORMAT </w:instrText>
        </w:r>
        <w:r>
          <w:rPr>
            <w:rFonts w:ascii="Times New Roman" w:hAnsi="Times New Roman" w:eastAsia="宋体" w:cs="Times New Roman"/>
            <w:kern w:val="2"/>
            <w:sz w:val="21"/>
            <w:szCs w:val="21"/>
            <w:lang w:val="en-US" w:eastAsia="zh-CN" w:bidi="ar-SA"/>
          </w:rPr>
          <w:fldChar w:fldCharType="separate"/>
        </w:r>
        <w:r>
          <w:rPr>
            <w:rFonts w:ascii="Times New Roman" w:hAnsi="Times New Roman" w:eastAsia="宋体" w:cs="Times New Roman"/>
            <w:kern w:val="2"/>
            <w:sz w:val="21"/>
            <w:szCs w:val="21"/>
            <w:lang w:val="zh-CN" w:eastAsia="zh-CN" w:bidi="ar-SA"/>
          </w:rPr>
          <w:t>67</w:t>
        </w:r>
        <w:r>
          <w:rPr>
            <w:rFonts w:ascii="Times New Roman" w:hAnsi="Times New Roman" w:eastAsia="宋体" w:cs="Times New Roman"/>
            <w:kern w:val="2"/>
            <w:sz w:val="21"/>
            <w:szCs w:val="21"/>
            <w:lang w:val="zh-CN" w:eastAsia="zh-CN" w:bidi="ar-SA"/>
          </w:rPr>
          <w:fldChar w:fldCharType="end"/>
        </w:r>
      </w:sdtContent>
    </w:sdt>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eastAsia="宋体" w:cs="Times New Roman"/>
        <w:kern w:val="2"/>
        <w:sz w:val="21"/>
        <w:szCs w:val="24"/>
        <w:lang w:val="en-US" w:eastAsia="zh-CN" w:bidi="ar-SA"/>
      </w:rPr>
      <w:id w:val="2597681"/>
    </w:sdtPr>
    <w:sdtEndPr>
      <w:rPr>
        <w:rFonts w:ascii="Times New Roman" w:hAnsi="Times New Roman" w:eastAsia="宋体" w:cs="Times New Roman"/>
        <w:kern w:val="2"/>
        <w:sz w:val="18"/>
        <w:szCs w:val="18"/>
        <w:lang w:val="en-US" w:eastAsia="zh-CN" w:bidi="ar-SA"/>
      </w:rPr>
    </w:sdtEndPr>
    <w:sdtContent>
      <w:p w14:paraId="76399D19">
        <w:pPr>
          <w:widowControl w:val="0"/>
          <w:pBdr>
            <w:top w:val="thinThickSmallGap" w:color="auto" w:sz="12" w:space="1"/>
          </w:pBdr>
          <w:snapToGrid w:val="0"/>
          <w:jc w:val="distribute"/>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21"/>
            <w:szCs w:val="21"/>
            <w:lang w:val="en-US" w:eastAsia="zh-CN" w:bidi="ar-SA"/>
          </w:rPr>
          <w:fldChar w:fldCharType="begin"/>
        </w:r>
        <w:r>
          <w:rPr>
            <w:rFonts w:ascii="Times New Roman" w:hAnsi="Times New Roman" w:eastAsia="宋体" w:cs="Times New Roman"/>
            <w:kern w:val="2"/>
            <w:sz w:val="21"/>
            <w:szCs w:val="21"/>
            <w:lang w:val="en-US" w:eastAsia="zh-CN" w:bidi="ar-SA"/>
          </w:rPr>
          <w:instrText xml:space="preserve"> PAGE   \* MERGEFORMAT </w:instrText>
        </w:r>
        <w:r>
          <w:rPr>
            <w:rFonts w:ascii="Times New Roman" w:hAnsi="Times New Roman" w:eastAsia="宋体" w:cs="Times New Roman"/>
            <w:kern w:val="2"/>
            <w:sz w:val="21"/>
            <w:szCs w:val="21"/>
            <w:lang w:val="en-US" w:eastAsia="zh-CN" w:bidi="ar-SA"/>
          </w:rPr>
          <w:fldChar w:fldCharType="separate"/>
        </w:r>
        <w:r>
          <w:rPr>
            <w:rFonts w:ascii="Times New Roman" w:hAnsi="Times New Roman" w:eastAsia="宋体" w:cs="Times New Roman"/>
            <w:kern w:val="2"/>
            <w:sz w:val="21"/>
            <w:szCs w:val="21"/>
            <w:lang w:val="zh-CN" w:eastAsia="zh-CN" w:bidi="ar-SA"/>
          </w:rPr>
          <w:t>68</w:t>
        </w:r>
        <w:r>
          <w:rPr>
            <w:rFonts w:ascii="Times New Roman" w:hAnsi="Times New Roman" w:eastAsia="宋体" w:cs="Times New Roman"/>
            <w:kern w:val="2"/>
            <w:sz w:val="21"/>
            <w:szCs w:val="21"/>
            <w:lang w:val="zh-CN" w:eastAsia="zh-CN" w:bidi="ar-SA"/>
          </w:rPr>
          <w:fldChar w:fldCharType="end"/>
        </w:r>
        <w:r>
          <w:rPr>
            <w:rFonts w:hint="eastAsia" w:ascii="Times New Roman" w:hAnsi="Times New Roman" w:eastAsia="宋体" w:cs="Times New Roman"/>
            <w:kern w:val="2"/>
            <w:sz w:val="21"/>
            <w:szCs w:val="21"/>
            <w:lang w:val="zh-CN" w:eastAsia="zh-CN" w:bidi="ar-SA"/>
          </w:rPr>
          <w:t xml:space="preserve">                                                                                               </w:t>
        </w:r>
        <w:r>
          <w:rPr>
            <w:rFonts w:hint="eastAsia" w:ascii="黑体" w:hAnsi="Times New Roman" w:eastAsia="黑体" w:cs="Times New Roman"/>
            <w:kern w:val="2"/>
            <w:sz w:val="21"/>
            <w:szCs w:val="21"/>
            <w:lang w:val="en-US" w:eastAsia="zh-CN" w:bidi="ar-SA"/>
          </w:rPr>
          <w:t>北京交科公路勘察设计研究院有限公司</w:t>
        </w:r>
      </w:p>
    </w:sdtContent>
  </w:sdt>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4BF9EB">
    <w:pPr>
      <w:widowControl w:val="0"/>
      <w:pBdr>
        <w:top w:val="thinThickSmallGap" w:color="auto" w:sz="12" w:space="1"/>
      </w:pBdr>
      <w:snapToGrid w:val="0"/>
      <w:jc w:val="distribute"/>
      <w:rPr>
        <w:rFonts w:ascii="Times New Roman" w:hAnsi="Times New Roman" w:eastAsia="宋体" w:cs="Times New Roman"/>
        <w:kern w:val="2"/>
        <w:sz w:val="18"/>
        <w:szCs w:val="18"/>
        <w:lang w:val="en-US" w:eastAsia="zh-CN" w:bidi="ar-SA"/>
      </w:rPr>
    </w:pPr>
    <w:r>
      <w:rPr>
        <w:rFonts w:hint="eastAsia" w:ascii="黑体" w:hAnsi="Times New Roman" w:eastAsia="黑体" w:cs="Times New Roman"/>
        <w:kern w:val="2"/>
        <w:sz w:val="21"/>
        <w:szCs w:val="21"/>
        <w:lang w:val="en-US" w:eastAsia="zh-CN" w:bidi="ar-SA"/>
      </w:rPr>
      <w:t xml:space="preserve">北京交科公路勘察设计研究院有限公司                                                                                              </w:t>
    </w:r>
    <w:sdt>
      <w:sdtPr>
        <w:rPr>
          <w:rFonts w:ascii="Times New Roman" w:hAnsi="Times New Roman" w:eastAsia="宋体" w:cs="Times New Roman"/>
          <w:kern w:val="2"/>
          <w:sz w:val="21"/>
          <w:szCs w:val="21"/>
          <w:lang w:val="en-US" w:eastAsia="zh-CN" w:bidi="ar-SA"/>
        </w:rPr>
        <w:id w:val="2597684"/>
      </w:sdtPr>
      <w:sdtEndPr>
        <w:rPr>
          <w:rFonts w:ascii="Times New Roman" w:hAnsi="Times New Roman" w:eastAsia="宋体" w:cs="Times New Roman"/>
          <w:kern w:val="2"/>
          <w:sz w:val="18"/>
          <w:szCs w:val="18"/>
          <w:lang w:val="en-US" w:eastAsia="zh-CN" w:bidi="ar-SA"/>
        </w:rPr>
      </w:sdtEndPr>
      <w:sdtContent>
        <w:r>
          <w:rPr>
            <w:rFonts w:ascii="Times New Roman" w:hAnsi="Times New Roman" w:eastAsia="宋体" w:cs="Times New Roman"/>
            <w:kern w:val="2"/>
            <w:sz w:val="21"/>
            <w:szCs w:val="21"/>
            <w:lang w:val="en-US" w:eastAsia="zh-CN" w:bidi="ar-SA"/>
          </w:rPr>
          <w:fldChar w:fldCharType="begin"/>
        </w:r>
        <w:r>
          <w:rPr>
            <w:rFonts w:ascii="Times New Roman" w:hAnsi="Times New Roman" w:eastAsia="宋体" w:cs="Times New Roman"/>
            <w:kern w:val="2"/>
            <w:sz w:val="21"/>
            <w:szCs w:val="21"/>
            <w:lang w:val="en-US" w:eastAsia="zh-CN" w:bidi="ar-SA"/>
          </w:rPr>
          <w:instrText xml:space="preserve"> PAGE   \* MERGEFORMAT </w:instrText>
        </w:r>
        <w:r>
          <w:rPr>
            <w:rFonts w:ascii="Times New Roman" w:hAnsi="Times New Roman" w:eastAsia="宋体" w:cs="Times New Roman"/>
            <w:kern w:val="2"/>
            <w:sz w:val="21"/>
            <w:szCs w:val="21"/>
            <w:lang w:val="en-US" w:eastAsia="zh-CN" w:bidi="ar-SA"/>
          </w:rPr>
          <w:fldChar w:fldCharType="separate"/>
        </w:r>
        <w:r>
          <w:rPr>
            <w:rFonts w:ascii="Times New Roman" w:hAnsi="Times New Roman" w:eastAsia="宋体" w:cs="Times New Roman"/>
            <w:kern w:val="2"/>
            <w:sz w:val="21"/>
            <w:szCs w:val="21"/>
            <w:lang w:val="zh-CN" w:eastAsia="zh-CN" w:bidi="ar-SA"/>
          </w:rPr>
          <w:t>69</w:t>
        </w:r>
        <w:r>
          <w:rPr>
            <w:rFonts w:ascii="Times New Roman" w:hAnsi="Times New Roman" w:eastAsia="宋体" w:cs="Times New Roman"/>
            <w:kern w:val="2"/>
            <w:sz w:val="21"/>
            <w:szCs w:val="21"/>
            <w:lang w:val="zh-CN" w:eastAsia="zh-CN" w:bidi="ar-SA"/>
          </w:rPr>
          <w:fldChar w:fldCharType="end"/>
        </w:r>
      </w:sdtContent>
    </w:sdt>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eastAsia="宋体" w:cs="Times New Roman"/>
        <w:kern w:val="2"/>
        <w:sz w:val="21"/>
        <w:szCs w:val="24"/>
        <w:lang w:val="en-US" w:eastAsia="zh-CN" w:bidi="ar-SA"/>
      </w:rPr>
      <w:id w:val="2597683"/>
    </w:sdtPr>
    <w:sdtEndPr>
      <w:rPr>
        <w:rFonts w:ascii="Times New Roman" w:hAnsi="Times New Roman" w:eastAsia="宋体" w:cs="Times New Roman"/>
        <w:kern w:val="2"/>
        <w:sz w:val="18"/>
        <w:szCs w:val="18"/>
        <w:lang w:val="en-US" w:eastAsia="zh-CN" w:bidi="ar-SA"/>
      </w:rPr>
    </w:sdtEndPr>
    <w:sdtContent>
      <w:p w14:paraId="7EC71480">
        <w:pPr>
          <w:widowControl w:val="0"/>
          <w:pBdr>
            <w:top w:val="thinThickSmallGap" w:color="auto" w:sz="12" w:space="1"/>
          </w:pBdr>
          <w:snapToGrid w:val="0"/>
          <w:jc w:val="distribute"/>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21"/>
            <w:szCs w:val="21"/>
            <w:lang w:val="en-US" w:eastAsia="zh-CN" w:bidi="ar-SA"/>
          </w:rPr>
          <w:fldChar w:fldCharType="begin"/>
        </w:r>
        <w:r>
          <w:rPr>
            <w:rFonts w:ascii="Times New Roman" w:hAnsi="Times New Roman" w:eastAsia="宋体" w:cs="Times New Roman"/>
            <w:kern w:val="2"/>
            <w:sz w:val="21"/>
            <w:szCs w:val="21"/>
            <w:lang w:val="en-US" w:eastAsia="zh-CN" w:bidi="ar-SA"/>
          </w:rPr>
          <w:instrText xml:space="preserve"> PAGE   \* MERGEFORMAT </w:instrText>
        </w:r>
        <w:r>
          <w:rPr>
            <w:rFonts w:ascii="Times New Roman" w:hAnsi="Times New Roman" w:eastAsia="宋体" w:cs="Times New Roman"/>
            <w:kern w:val="2"/>
            <w:sz w:val="21"/>
            <w:szCs w:val="21"/>
            <w:lang w:val="en-US" w:eastAsia="zh-CN" w:bidi="ar-SA"/>
          </w:rPr>
          <w:fldChar w:fldCharType="separate"/>
        </w:r>
        <w:r>
          <w:rPr>
            <w:rFonts w:ascii="Times New Roman" w:hAnsi="Times New Roman" w:eastAsia="宋体" w:cs="Times New Roman"/>
            <w:kern w:val="2"/>
            <w:sz w:val="21"/>
            <w:szCs w:val="21"/>
            <w:lang w:val="zh-CN" w:eastAsia="zh-CN" w:bidi="ar-SA"/>
          </w:rPr>
          <w:t>68</w:t>
        </w:r>
        <w:r>
          <w:rPr>
            <w:rFonts w:ascii="Times New Roman" w:hAnsi="Times New Roman" w:eastAsia="宋体" w:cs="Times New Roman"/>
            <w:kern w:val="2"/>
            <w:sz w:val="21"/>
            <w:szCs w:val="21"/>
            <w:lang w:val="zh-CN" w:eastAsia="zh-CN" w:bidi="ar-SA"/>
          </w:rPr>
          <w:fldChar w:fldCharType="end"/>
        </w:r>
        <w:r>
          <w:rPr>
            <w:rFonts w:hint="eastAsia" w:ascii="Times New Roman" w:hAnsi="Times New Roman" w:eastAsia="宋体" w:cs="Times New Roman"/>
            <w:kern w:val="2"/>
            <w:sz w:val="21"/>
            <w:szCs w:val="21"/>
            <w:lang w:val="zh-CN" w:eastAsia="zh-CN" w:bidi="ar-SA"/>
          </w:rPr>
          <w:t xml:space="preserve">                                                                                               </w:t>
        </w:r>
        <w:r>
          <w:rPr>
            <w:rFonts w:hint="eastAsia" w:ascii="黑体" w:hAnsi="Times New Roman" w:eastAsia="黑体" w:cs="Times New Roman"/>
            <w:kern w:val="2"/>
            <w:sz w:val="21"/>
            <w:szCs w:val="21"/>
            <w:lang w:val="en-US" w:eastAsia="zh-CN" w:bidi="ar-SA"/>
          </w:rPr>
          <w:t>北京交科公路勘察设计研究院有限公司</w:t>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eastAsia="宋体" w:cs="Times New Roman"/>
        <w:kern w:val="2"/>
        <w:sz w:val="21"/>
        <w:szCs w:val="24"/>
        <w:lang w:val="en-US" w:eastAsia="zh-CN" w:bidi="ar-SA"/>
      </w:rPr>
      <w:id w:val="2597963"/>
    </w:sdtPr>
    <w:sdtEndPr>
      <w:rPr>
        <w:rFonts w:ascii="Times New Roman" w:hAnsi="Times New Roman" w:eastAsia="宋体" w:cs="Times New Roman"/>
        <w:kern w:val="2"/>
        <w:sz w:val="18"/>
        <w:szCs w:val="18"/>
        <w:lang w:val="en-US" w:eastAsia="zh-CN" w:bidi="ar-SA"/>
      </w:rPr>
    </w:sdtEndPr>
    <w:sdtContent>
      <w:sdt>
        <w:sdtPr>
          <w:rPr>
            <w:rFonts w:ascii="Times New Roman" w:hAnsi="Times New Roman" w:eastAsia="宋体" w:cs="Times New Roman"/>
            <w:kern w:val="2"/>
            <w:sz w:val="21"/>
            <w:szCs w:val="24"/>
            <w:lang w:val="en-US" w:eastAsia="zh-CN" w:bidi="ar-SA"/>
          </w:rPr>
          <w:id w:val="2597964"/>
        </w:sdtPr>
        <w:sdtEndPr>
          <w:rPr>
            <w:rFonts w:ascii="Times New Roman" w:hAnsi="Times New Roman" w:eastAsia="宋体" w:cs="Times New Roman"/>
            <w:kern w:val="2"/>
            <w:sz w:val="18"/>
            <w:szCs w:val="18"/>
            <w:lang w:val="en-US" w:eastAsia="zh-CN" w:bidi="ar-SA"/>
          </w:rPr>
        </w:sdtEndPr>
        <w:sdtContent>
          <w:p w14:paraId="219071B7">
            <w:pPr>
              <w:widowControl w:val="0"/>
              <w:pBdr>
                <w:top w:val="thinThickSmallGap" w:color="auto" w:sz="12" w:space="1"/>
              </w:pBdr>
              <w:snapToGrid w:val="0"/>
              <w:jc w:val="left"/>
              <w:rPr>
                <w:rFonts w:ascii="Times New Roman" w:hAnsi="Times New Roman" w:eastAsia="宋体" w:cs="Times New Roman"/>
                <w:kern w:val="2"/>
                <w:sz w:val="18"/>
                <w:szCs w:val="18"/>
                <w:lang w:val="en-US" w:eastAsia="zh-CN" w:bidi="ar-SA"/>
              </w:rPr>
            </w:pPr>
            <w:r>
              <w:rPr>
                <w:rFonts w:hint="eastAsia" w:ascii="黑体" w:hAnsi="Times New Roman" w:eastAsia="黑体" w:cs="Times New Roman"/>
                <w:kern w:val="2"/>
                <w:sz w:val="21"/>
                <w:szCs w:val="21"/>
                <w:lang w:val="en-US" w:eastAsia="zh-CN" w:bidi="ar-SA"/>
              </w:rPr>
              <w:t>北京交科公路勘察设计研究院有限公司</w:t>
            </w:r>
            <w:r>
              <w:rPr>
                <w:rFonts w:ascii="黑体" w:hAnsi="Times New Roman" w:eastAsia="黑体" w:cs="Times New Roman"/>
                <w:kern w:val="2"/>
                <w:sz w:val="21"/>
                <w:szCs w:val="21"/>
                <w:lang w:val="en-US" w:eastAsia="zh-CN" w:bidi="ar-SA"/>
              </w:rPr>
              <w:t xml:space="preserve">                                      </w:t>
            </w:r>
            <w:r>
              <w:rPr>
                <w:rFonts w:hint="eastAsia" w:ascii="黑体" w:hAnsi="Times New Roman" w:eastAsia="黑体" w:cs="Times New Roman"/>
                <w:kern w:val="2"/>
                <w:sz w:val="21"/>
                <w:szCs w:val="21"/>
                <w:lang w:val="en-US" w:eastAsia="zh-CN" w:bidi="ar-SA"/>
              </w:rPr>
              <w:t xml:space="preserve">      </w:t>
            </w:r>
            <w:r>
              <w:rPr>
                <w:rFonts w:ascii="Times New Roman" w:hAnsi="Times New Roman" w:eastAsia="宋体" w:cs="Times New Roman"/>
                <w:kern w:val="2"/>
                <w:sz w:val="21"/>
                <w:szCs w:val="21"/>
                <w:lang w:val="en-US" w:eastAsia="zh-CN" w:bidi="ar-SA"/>
              </w:rPr>
              <w:fldChar w:fldCharType="begin"/>
            </w:r>
            <w:r>
              <w:rPr>
                <w:rFonts w:ascii="Times New Roman" w:hAnsi="Times New Roman" w:eastAsia="宋体" w:cs="Times New Roman"/>
                <w:kern w:val="2"/>
                <w:sz w:val="21"/>
                <w:szCs w:val="21"/>
                <w:lang w:val="en-US" w:eastAsia="zh-CN" w:bidi="ar-SA"/>
              </w:rPr>
              <w:instrText xml:space="preserve"> PAGE   \* MERGEFORMAT </w:instrText>
            </w:r>
            <w:r>
              <w:rPr>
                <w:rFonts w:ascii="Times New Roman" w:hAnsi="Times New Roman" w:eastAsia="宋体" w:cs="Times New Roman"/>
                <w:kern w:val="2"/>
                <w:sz w:val="21"/>
                <w:szCs w:val="21"/>
                <w:lang w:val="en-US" w:eastAsia="zh-CN" w:bidi="ar-SA"/>
              </w:rPr>
              <w:fldChar w:fldCharType="separate"/>
            </w:r>
            <w:r>
              <w:rPr>
                <w:rFonts w:ascii="Times New Roman" w:hAnsi="Times New Roman" w:eastAsia="宋体" w:cs="Times New Roman"/>
                <w:kern w:val="2"/>
                <w:sz w:val="18"/>
                <w:szCs w:val="21"/>
                <w:lang w:val="en-US" w:eastAsia="zh-CN" w:bidi="ar-SA"/>
              </w:rPr>
              <w:t>i</w:t>
            </w:r>
            <w:r>
              <w:rPr>
                <w:rFonts w:ascii="Times New Roman" w:hAnsi="Times New Roman" w:eastAsia="宋体" w:cs="Times New Roman"/>
                <w:kern w:val="2"/>
                <w:sz w:val="21"/>
                <w:szCs w:val="21"/>
                <w:lang w:val="zh-CN" w:eastAsia="zh-CN" w:bidi="ar-SA"/>
              </w:rPr>
              <w:fldChar w:fldCharType="end"/>
            </w:r>
          </w:p>
        </w:sdtContent>
      </w:sdt>
    </w:sdtContent>
  </w:sdt>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93E8CC">
    <w:pPr>
      <w:widowControl w:val="0"/>
      <w:pBdr>
        <w:top w:val="thinThickSmallGap" w:color="auto" w:sz="12" w:space="1"/>
      </w:pBdr>
      <w:snapToGrid w:val="0"/>
      <w:jc w:val="distribute"/>
      <w:rPr>
        <w:rFonts w:ascii="Times New Roman" w:hAnsi="Times New Roman" w:eastAsia="宋体" w:cs="Times New Roman"/>
        <w:kern w:val="2"/>
        <w:sz w:val="18"/>
        <w:szCs w:val="18"/>
        <w:lang w:val="en-US" w:eastAsia="zh-CN" w:bidi="ar-SA"/>
      </w:rPr>
    </w:pPr>
    <w:r>
      <w:rPr>
        <w:rFonts w:hint="eastAsia" w:ascii="黑体" w:hAnsi="Times New Roman" w:eastAsia="黑体" w:cs="Times New Roman"/>
        <w:kern w:val="2"/>
        <w:sz w:val="21"/>
        <w:szCs w:val="21"/>
        <w:lang w:val="en-US" w:eastAsia="zh-CN" w:bidi="ar-SA"/>
      </w:rPr>
      <w:t xml:space="preserve">北京交科公路勘察设计研究院有限公司                                           </w:t>
    </w:r>
    <w:sdt>
      <w:sdtPr>
        <w:rPr>
          <w:rFonts w:ascii="Times New Roman" w:hAnsi="Times New Roman" w:eastAsia="宋体" w:cs="Times New Roman"/>
          <w:kern w:val="2"/>
          <w:sz w:val="21"/>
          <w:szCs w:val="21"/>
          <w:lang w:val="en-US" w:eastAsia="zh-CN" w:bidi="ar-SA"/>
        </w:rPr>
        <w:id w:val="2597686"/>
      </w:sdtPr>
      <w:sdtEndPr>
        <w:rPr>
          <w:rFonts w:ascii="Times New Roman" w:hAnsi="Times New Roman" w:eastAsia="宋体" w:cs="Times New Roman"/>
          <w:kern w:val="2"/>
          <w:sz w:val="18"/>
          <w:szCs w:val="18"/>
          <w:lang w:val="en-US" w:eastAsia="zh-CN" w:bidi="ar-SA"/>
        </w:rPr>
      </w:sdtEndPr>
      <w:sdtContent>
        <w:r>
          <w:rPr>
            <w:rFonts w:ascii="Times New Roman" w:hAnsi="Times New Roman" w:eastAsia="宋体" w:cs="Times New Roman"/>
            <w:kern w:val="2"/>
            <w:sz w:val="21"/>
            <w:szCs w:val="21"/>
            <w:lang w:val="en-US" w:eastAsia="zh-CN" w:bidi="ar-SA"/>
          </w:rPr>
          <w:fldChar w:fldCharType="begin"/>
        </w:r>
        <w:r>
          <w:rPr>
            <w:rFonts w:ascii="Times New Roman" w:hAnsi="Times New Roman" w:eastAsia="宋体" w:cs="Times New Roman"/>
            <w:kern w:val="2"/>
            <w:sz w:val="21"/>
            <w:szCs w:val="21"/>
            <w:lang w:val="en-US" w:eastAsia="zh-CN" w:bidi="ar-SA"/>
          </w:rPr>
          <w:instrText xml:space="preserve"> PAGE   \* MERGEFORMAT </w:instrText>
        </w:r>
        <w:r>
          <w:rPr>
            <w:rFonts w:ascii="Times New Roman" w:hAnsi="Times New Roman" w:eastAsia="宋体" w:cs="Times New Roman"/>
            <w:kern w:val="2"/>
            <w:sz w:val="21"/>
            <w:szCs w:val="21"/>
            <w:lang w:val="en-US" w:eastAsia="zh-CN" w:bidi="ar-SA"/>
          </w:rPr>
          <w:fldChar w:fldCharType="separate"/>
        </w:r>
        <w:r>
          <w:rPr>
            <w:rFonts w:ascii="Times New Roman" w:hAnsi="Times New Roman" w:eastAsia="宋体" w:cs="Times New Roman"/>
            <w:kern w:val="2"/>
            <w:sz w:val="21"/>
            <w:szCs w:val="21"/>
            <w:lang w:val="zh-CN" w:eastAsia="zh-CN" w:bidi="ar-SA"/>
          </w:rPr>
          <w:t>71</w:t>
        </w:r>
        <w:r>
          <w:rPr>
            <w:rFonts w:ascii="Times New Roman" w:hAnsi="Times New Roman" w:eastAsia="宋体" w:cs="Times New Roman"/>
            <w:kern w:val="2"/>
            <w:sz w:val="21"/>
            <w:szCs w:val="21"/>
            <w:lang w:val="zh-CN" w:eastAsia="zh-CN" w:bidi="ar-SA"/>
          </w:rPr>
          <w:fldChar w:fldCharType="end"/>
        </w:r>
      </w:sdtContent>
    </w:sdt>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eastAsia="宋体" w:cs="Times New Roman"/>
        <w:kern w:val="2"/>
        <w:sz w:val="21"/>
        <w:szCs w:val="24"/>
        <w:lang w:val="en-US" w:eastAsia="zh-CN" w:bidi="ar-SA"/>
      </w:rPr>
      <w:id w:val="2597685"/>
    </w:sdtPr>
    <w:sdtEndPr>
      <w:rPr>
        <w:rFonts w:ascii="Times New Roman" w:hAnsi="Times New Roman" w:eastAsia="宋体" w:cs="Times New Roman"/>
        <w:kern w:val="2"/>
        <w:sz w:val="18"/>
        <w:szCs w:val="18"/>
        <w:lang w:val="en-US" w:eastAsia="zh-CN" w:bidi="ar-SA"/>
      </w:rPr>
    </w:sdtEndPr>
    <w:sdtContent>
      <w:p w14:paraId="098FBA9C">
        <w:pPr>
          <w:widowControl w:val="0"/>
          <w:pBdr>
            <w:top w:val="thinThickSmallGap" w:color="auto" w:sz="12" w:space="1"/>
          </w:pBdr>
          <w:snapToGrid w:val="0"/>
          <w:jc w:val="distribute"/>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21"/>
            <w:szCs w:val="21"/>
            <w:lang w:val="en-US" w:eastAsia="zh-CN" w:bidi="ar-SA"/>
          </w:rPr>
          <w:fldChar w:fldCharType="begin"/>
        </w:r>
        <w:r>
          <w:rPr>
            <w:rFonts w:ascii="Times New Roman" w:hAnsi="Times New Roman" w:eastAsia="宋体" w:cs="Times New Roman"/>
            <w:kern w:val="2"/>
            <w:sz w:val="21"/>
            <w:szCs w:val="21"/>
            <w:lang w:val="en-US" w:eastAsia="zh-CN" w:bidi="ar-SA"/>
          </w:rPr>
          <w:instrText xml:space="preserve"> PAGE   \* MERGEFORMAT </w:instrText>
        </w:r>
        <w:r>
          <w:rPr>
            <w:rFonts w:ascii="Times New Roman" w:hAnsi="Times New Roman" w:eastAsia="宋体" w:cs="Times New Roman"/>
            <w:kern w:val="2"/>
            <w:sz w:val="21"/>
            <w:szCs w:val="21"/>
            <w:lang w:val="en-US" w:eastAsia="zh-CN" w:bidi="ar-SA"/>
          </w:rPr>
          <w:fldChar w:fldCharType="separate"/>
        </w:r>
        <w:r>
          <w:rPr>
            <w:rFonts w:ascii="Times New Roman" w:hAnsi="Times New Roman" w:eastAsia="宋体" w:cs="Times New Roman"/>
            <w:kern w:val="2"/>
            <w:sz w:val="21"/>
            <w:szCs w:val="21"/>
            <w:lang w:val="zh-CN" w:eastAsia="zh-CN" w:bidi="ar-SA"/>
          </w:rPr>
          <w:t>70</w:t>
        </w:r>
        <w:r>
          <w:rPr>
            <w:rFonts w:ascii="Times New Roman" w:hAnsi="Times New Roman" w:eastAsia="宋体" w:cs="Times New Roman"/>
            <w:kern w:val="2"/>
            <w:sz w:val="21"/>
            <w:szCs w:val="21"/>
            <w:lang w:val="zh-CN" w:eastAsia="zh-CN" w:bidi="ar-SA"/>
          </w:rPr>
          <w:fldChar w:fldCharType="end"/>
        </w:r>
        <w:r>
          <w:rPr>
            <w:rFonts w:hint="eastAsia" w:ascii="Times New Roman" w:hAnsi="Times New Roman" w:eastAsia="宋体" w:cs="Times New Roman"/>
            <w:kern w:val="2"/>
            <w:sz w:val="21"/>
            <w:szCs w:val="21"/>
            <w:lang w:val="zh-CN" w:eastAsia="zh-CN" w:bidi="ar-SA"/>
          </w:rPr>
          <w:t xml:space="preserve">                                           </w:t>
        </w:r>
        <w:r>
          <w:rPr>
            <w:rFonts w:hint="eastAsia" w:ascii="黑体" w:hAnsi="Times New Roman" w:eastAsia="黑体" w:cs="Times New Roman"/>
            <w:kern w:val="2"/>
            <w:sz w:val="21"/>
            <w:szCs w:val="21"/>
            <w:lang w:val="en-US" w:eastAsia="zh-CN" w:bidi="ar-SA"/>
          </w:rPr>
          <w:t>北京交科公路勘察设计研究院有限公司</w:t>
        </w:r>
      </w:p>
    </w:sdtContent>
  </w:sdt>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FF9D8A">
    <w:pPr>
      <w:widowControl w:val="0"/>
      <w:pBdr>
        <w:top w:val="thinThickSmallGap" w:color="auto" w:sz="12" w:space="1"/>
      </w:pBdr>
      <w:snapToGrid w:val="0"/>
      <w:jc w:val="left"/>
      <w:rPr>
        <w:rFonts w:ascii="Times New Roman" w:hAnsi="Times New Roman" w:eastAsia="宋体" w:cs="Times New Roman"/>
        <w:kern w:val="2"/>
        <w:sz w:val="18"/>
        <w:szCs w:val="18"/>
        <w:lang w:val="en-US" w:eastAsia="zh-CN" w:bidi="ar-SA"/>
      </w:rPr>
    </w:pPr>
    <w:r>
      <w:rPr>
        <w:rFonts w:hint="eastAsia" w:ascii="黑体" w:hAnsi="Times New Roman" w:eastAsia="黑体" w:cs="Times New Roman"/>
        <w:kern w:val="2"/>
        <w:sz w:val="21"/>
        <w:szCs w:val="21"/>
        <w:lang w:val="en-US" w:eastAsia="zh-CN" w:bidi="ar-SA"/>
      </w:rPr>
      <w:t>北京交科公路勘察设计研究院有限公司</w:t>
    </w:r>
    <w:r>
      <w:rPr>
        <w:rFonts w:ascii="黑体" w:hAnsi="Times New Roman" w:eastAsia="黑体" w:cs="Times New Roman"/>
        <w:kern w:val="2"/>
        <w:sz w:val="21"/>
        <w:szCs w:val="21"/>
        <w:lang w:val="en-US" w:eastAsia="zh-CN" w:bidi="ar-SA"/>
      </w:rPr>
      <w:t xml:space="preserve"> </w:t>
    </w:r>
    <w:r>
      <w:rPr>
        <w:rFonts w:hint="eastAsia" w:ascii="黑体" w:hAnsi="Times New Roman" w:eastAsia="黑体" w:cs="Times New Roman"/>
        <w:kern w:val="2"/>
        <w:sz w:val="21"/>
        <w:szCs w:val="21"/>
        <w:lang w:val="en-US" w:eastAsia="zh-CN" w:bidi="ar-SA"/>
      </w:rPr>
      <w:t xml:space="preserve">                                          </w:t>
    </w:r>
    <w:sdt>
      <w:sdtPr>
        <w:rPr>
          <w:rFonts w:ascii="Times New Roman" w:hAnsi="Times New Roman" w:eastAsia="宋体" w:cs="Times New Roman"/>
          <w:kern w:val="2"/>
          <w:sz w:val="21"/>
          <w:szCs w:val="21"/>
          <w:lang w:val="en-US" w:eastAsia="zh-CN" w:bidi="ar-SA"/>
        </w:rPr>
        <w:id w:val="22519793"/>
      </w:sdtPr>
      <w:sdtEndPr>
        <w:rPr>
          <w:rFonts w:ascii="Times New Roman" w:hAnsi="Times New Roman" w:eastAsia="宋体" w:cs="Times New Roman"/>
          <w:kern w:val="2"/>
          <w:sz w:val="18"/>
          <w:szCs w:val="18"/>
          <w:lang w:val="en-US" w:eastAsia="zh-CN" w:bidi="ar-SA"/>
        </w:rPr>
      </w:sdtEndPr>
      <w:sdtContent>
        <w:r>
          <w:rPr>
            <w:rFonts w:ascii="Times New Roman" w:hAnsi="Times New Roman" w:eastAsia="宋体" w:cs="Times New Roman"/>
            <w:kern w:val="2"/>
            <w:sz w:val="21"/>
            <w:szCs w:val="21"/>
            <w:lang w:val="en-US" w:eastAsia="zh-CN" w:bidi="ar-SA"/>
          </w:rPr>
          <w:fldChar w:fldCharType="begin"/>
        </w:r>
        <w:r>
          <w:rPr>
            <w:rFonts w:ascii="Times New Roman" w:hAnsi="Times New Roman" w:eastAsia="宋体" w:cs="Times New Roman"/>
            <w:kern w:val="2"/>
            <w:sz w:val="21"/>
            <w:szCs w:val="21"/>
            <w:lang w:val="en-US" w:eastAsia="zh-CN" w:bidi="ar-SA"/>
          </w:rPr>
          <w:instrText xml:space="preserve"> PAGE   \* MERGEFORMAT </w:instrText>
        </w:r>
        <w:r>
          <w:rPr>
            <w:rFonts w:ascii="Times New Roman" w:hAnsi="Times New Roman" w:eastAsia="宋体" w:cs="Times New Roman"/>
            <w:kern w:val="2"/>
            <w:sz w:val="21"/>
            <w:szCs w:val="21"/>
            <w:lang w:val="en-US" w:eastAsia="zh-CN" w:bidi="ar-SA"/>
          </w:rPr>
          <w:fldChar w:fldCharType="separate"/>
        </w:r>
        <w:r>
          <w:rPr>
            <w:rFonts w:ascii="Times New Roman" w:hAnsi="Times New Roman" w:eastAsia="宋体" w:cs="Times New Roman"/>
            <w:kern w:val="2"/>
            <w:sz w:val="21"/>
            <w:szCs w:val="21"/>
            <w:lang w:val="zh-CN" w:eastAsia="zh-CN" w:bidi="ar-SA"/>
          </w:rPr>
          <w:t>77</w:t>
        </w:r>
        <w:r>
          <w:rPr>
            <w:rFonts w:ascii="Times New Roman" w:hAnsi="Times New Roman" w:eastAsia="宋体" w:cs="Times New Roman"/>
            <w:kern w:val="2"/>
            <w:sz w:val="21"/>
            <w:szCs w:val="21"/>
            <w:lang w:val="zh-CN" w:eastAsia="zh-CN" w:bidi="ar-SA"/>
          </w:rPr>
          <w:fldChar w:fldCharType="end"/>
        </w:r>
      </w:sdtContent>
    </w:sdt>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7AC55D">
    <w:pPr>
      <w:widowControl w:val="0"/>
      <w:pBdr>
        <w:top w:val="thinThickSmallGap" w:color="auto" w:sz="12" w:space="1"/>
      </w:pBdr>
      <w:snapToGrid w:val="0"/>
      <w:jc w:val="distribute"/>
      <w:rPr>
        <w:rFonts w:ascii="Times New Roman" w:hAnsi="Times New Roman" w:eastAsia="宋体" w:cs="Times New Roman"/>
        <w:kern w:val="2"/>
        <w:sz w:val="18"/>
        <w:szCs w:val="18"/>
        <w:lang w:val="en-US" w:eastAsia="zh-CN" w:bidi="ar-SA"/>
      </w:rPr>
    </w:pPr>
    <w:r>
      <w:rPr>
        <w:rFonts w:hint="eastAsia" w:ascii="黑体" w:hAnsi="Times New Roman" w:eastAsia="黑体" w:cs="Times New Roman"/>
        <w:kern w:val="2"/>
        <w:sz w:val="21"/>
        <w:szCs w:val="21"/>
        <w:lang w:val="en-US" w:eastAsia="zh-CN" w:bidi="ar-SA"/>
      </w:rPr>
      <w:t xml:space="preserve">北京交科公路勘察设计研究院有限公司                                           </w:t>
    </w:r>
    <w:sdt>
      <w:sdtPr>
        <w:rPr>
          <w:rFonts w:ascii="Times New Roman" w:hAnsi="Times New Roman" w:eastAsia="宋体" w:cs="Times New Roman"/>
          <w:kern w:val="2"/>
          <w:sz w:val="21"/>
          <w:szCs w:val="21"/>
          <w:lang w:val="en-US" w:eastAsia="zh-CN" w:bidi="ar-SA"/>
        </w:rPr>
        <w:id w:val="2597688"/>
      </w:sdtPr>
      <w:sdtEndPr>
        <w:rPr>
          <w:rFonts w:ascii="Times New Roman" w:hAnsi="Times New Roman" w:eastAsia="宋体" w:cs="Times New Roman"/>
          <w:kern w:val="2"/>
          <w:sz w:val="18"/>
          <w:szCs w:val="18"/>
          <w:lang w:val="en-US" w:eastAsia="zh-CN" w:bidi="ar-SA"/>
        </w:rPr>
      </w:sdtEndPr>
      <w:sdtContent>
        <w:r>
          <w:rPr>
            <w:rFonts w:ascii="Times New Roman" w:hAnsi="Times New Roman" w:eastAsia="宋体" w:cs="Times New Roman"/>
            <w:kern w:val="2"/>
            <w:sz w:val="21"/>
            <w:szCs w:val="21"/>
            <w:lang w:val="en-US" w:eastAsia="zh-CN" w:bidi="ar-SA"/>
          </w:rPr>
          <w:fldChar w:fldCharType="begin"/>
        </w:r>
        <w:r>
          <w:rPr>
            <w:rFonts w:ascii="Times New Roman" w:hAnsi="Times New Roman" w:eastAsia="宋体" w:cs="Times New Roman"/>
            <w:kern w:val="2"/>
            <w:sz w:val="21"/>
            <w:szCs w:val="21"/>
            <w:lang w:val="en-US" w:eastAsia="zh-CN" w:bidi="ar-SA"/>
          </w:rPr>
          <w:instrText xml:space="preserve"> PAGE   \* MERGEFORMAT </w:instrText>
        </w:r>
        <w:r>
          <w:rPr>
            <w:rFonts w:ascii="Times New Roman" w:hAnsi="Times New Roman" w:eastAsia="宋体" w:cs="Times New Roman"/>
            <w:kern w:val="2"/>
            <w:sz w:val="21"/>
            <w:szCs w:val="21"/>
            <w:lang w:val="en-US" w:eastAsia="zh-CN" w:bidi="ar-SA"/>
          </w:rPr>
          <w:fldChar w:fldCharType="separate"/>
        </w:r>
        <w:r>
          <w:rPr>
            <w:rFonts w:ascii="Times New Roman" w:hAnsi="Times New Roman" w:eastAsia="宋体" w:cs="Times New Roman"/>
            <w:kern w:val="2"/>
            <w:sz w:val="21"/>
            <w:szCs w:val="21"/>
            <w:lang w:val="zh-CN" w:eastAsia="zh-CN" w:bidi="ar-SA"/>
          </w:rPr>
          <w:t>79</w:t>
        </w:r>
        <w:r>
          <w:rPr>
            <w:rFonts w:ascii="Times New Roman" w:hAnsi="Times New Roman" w:eastAsia="宋体" w:cs="Times New Roman"/>
            <w:kern w:val="2"/>
            <w:sz w:val="21"/>
            <w:szCs w:val="21"/>
            <w:lang w:val="zh-CN" w:eastAsia="zh-CN" w:bidi="ar-SA"/>
          </w:rPr>
          <w:fldChar w:fldCharType="end"/>
        </w:r>
      </w:sdtContent>
    </w:sdt>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eastAsia="宋体" w:cs="Times New Roman"/>
        <w:kern w:val="2"/>
        <w:sz w:val="21"/>
        <w:szCs w:val="24"/>
        <w:lang w:val="en-US" w:eastAsia="zh-CN" w:bidi="ar-SA"/>
      </w:rPr>
      <w:id w:val="2597687"/>
    </w:sdtPr>
    <w:sdtEndPr>
      <w:rPr>
        <w:rFonts w:ascii="Times New Roman" w:hAnsi="Times New Roman" w:eastAsia="宋体" w:cs="Times New Roman"/>
        <w:kern w:val="2"/>
        <w:sz w:val="18"/>
        <w:szCs w:val="18"/>
        <w:lang w:val="en-US" w:eastAsia="zh-CN" w:bidi="ar-SA"/>
      </w:rPr>
    </w:sdtEndPr>
    <w:sdtContent>
      <w:p w14:paraId="377D3C51">
        <w:pPr>
          <w:widowControl w:val="0"/>
          <w:pBdr>
            <w:top w:val="thinThickSmallGap" w:color="auto" w:sz="12" w:space="1"/>
          </w:pBdr>
          <w:snapToGrid w:val="0"/>
          <w:jc w:val="distribute"/>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21"/>
            <w:szCs w:val="21"/>
            <w:lang w:val="en-US" w:eastAsia="zh-CN" w:bidi="ar-SA"/>
          </w:rPr>
          <w:fldChar w:fldCharType="begin"/>
        </w:r>
        <w:r>
          <w:rPr>
            <w:rFonts w:ascii="Times New Roman" w:hAnsi="Times New Roman" w:eastAsia="宋体" w:cs="Times New Roman"/>
            <w:kern w:val="2"/>
            <w:sz w:val="21"/>
            <w:szCs w:val="21"/>
            <w:lang w:val="en-US" w:eastAsia="zh-CN" w:bidi="ar-SA"/>
          </w:rPr>
          <w:instrText xml:space="preserve"> PAGE   \* MERGEFORMAT </w:instrText>
        </w:r>
        <w:r>
          <w:rPr>
            <w:rFonts w:ascii="Times New Roman" w:hAnsi="Times New Roman" w:eastAsia="宋体" w:cs="Times New Roman"/>
            <w:kern w:val="2"/>
            <w:sz w:val="21"/>
            <w:szCs w:val="21"/>
            <w:lang w:val="en-US" w:eastAsia="zh-CN" w:bidi="ar-SA"/>
          </w:rPr>
          <w:fldChar w:fldCharType="separate"/>
        </w:r>
        <w:r>
          <w:rPr>
            <w:rFonts w:ascii="Times New Roman" w:hAnsi="Times New Roman" w:eastAsia="宋体" w:cs="Times New Roman"/>
            <w:kern w:val="2"/>
            <w:sz w:val="21"/>
            <w:szCs w:val="21"/>
            <w:lang w:val="zh-CN" w:eastAsia="zh-CN" w:bidi="ar-SA"/>
          </w:rPr>
          <w:t>80</w:t>
        </w:r>
        <w:r>
          <w:rPr>
            <w:rFonts w:ascii="Times New Roman" w:hAnsi="Times New Roman" w:eastAsia="宋体" w:cs="Times New Roman"/>
            <w:kern w:val="2"/>
            <w:sz w:val="21"/>
            <w:szCs w:val="21"/>
            <w:lang w:val="zh-CN" w:eastAsia="zh-CN" w:bidi="ar-SA"/>
          </w:rPr>
          <w:fldChar w:fldCharType="end"/>
        </w:r>
        <w:r>
          <w:rPr>
            <w:rFonts w:hint="eastAsia" w:ascii="Times New Roman" w:hAnsi="Times New Roman" w:eastAsia="宋体" w:cs="Times New Roman"/>
            <w:kern w:val="2"/>
            <w:sz w:val="21"/>
            <w:szCs w:val="21"/>
            <w:lang w:val="zh-CN" w:eastAsia="zh-CN" w:bidi="ar-SA"/>
          </w:rPr>
          <w:t xml:space="preserve">                                           </w:t>
        </w:r>
        <w:r>
          <w:rPr>
            <w:rFonts w:hint="eastAsia" w:ascii="黑体" w:hAnsi="Times New Roman" w:eastAsia="黑体" w:cs="Times New Roman"/>
            <w:kern w:val="2"/>
            <w:sz w:val="21"/>
            <w:szCs w:val="21"/>
            <w:lang w:val="en-US" w:eastAsia="zh-CN" w:bidi="ar-SA"/>
          </w:rPr>
          <w:t>北京交科公路勘察设计研究院有限公司</w:t>
        </w:r>
      </w:p>
    </w:sdtContent>
  </w:sdt>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4227BE">
    <w:pPr>
      <w:widowControl w:val="0"/>
      <w:pBdr>
        <w:top w:val="thinThickSmallGap" w:color="auto" w:sz="12" w:space="1"/>
      </w:pBdr>
      <w:snapToGrid w:val="0"/>
      <w:jc w:val="distribute"/>
      <w:rPr>
        <w:rFonts w:ascii="Times New Roman" w:hAnsi="Times New Roman" w:eastAsia="宋体" w:cs="Times New Roman"/>
        <w:kern w:val="2"/>
        <w:sz w:val="18"/>
        <w:szCs w:val="18"/>
        <w:lang w:val="en-US" w:eastAsia="zh-CN" w:bidi="ar-SA"/>
      </w:rPr>
    </w:pPr>
    <w:r>
      <w:rPr>
        <w:rFonts w:hint="eastAsia" w:ascii="黑体" w:hAnsi="Times New Roman" w:eastAsia="黑体" w:cs="Times New Roman"/>
        <w:kern w:val="2"/>
        <w:sz w:val="21"/>
        <w:szCs w:val="21"/>
        <w:lang w:val="en-US" w:eastAsia="zh-CN" w:bidi="ar-SA"/>
      </w:rPr>
      <w:t xml:space="preserve">北京交科公路勘察设计研究院有限公司                                                                                                                                                              </w:t>
    </w:r>
    <w:sdt>
      <w:sdtPr>
        <w:rPr>
          <w:rFonts w:ascii="Times New Roman" w:hAnsi="Times New Roman" w:eastAsia="宋体" w:cs="Times New Roman"/>
          <w:kern w:val="2"/>
          <w:sz w:val="21"/>
          <w:szCs w:val="21"/>
          <w:lang w:val="en-US" w:eastAsia="zh-CN" w:bidi="ar-SA"/>
        </w:rPr>
        <w:id w:val="2597690"/>
      </w:sdtPr>
      <w:sdtEndPr>
        <w:rPr>
          <w:rFonts w:ascii="Times New Roman" w:hAnsi="Times New Roman" w:eastAsia="宋体" w:cs="Times New Roman"/>
          <w:kern w:val="2"/>
          <w:sz w:val="18"/>
          <w:szCs w:val="18"/>
          <w:lang w:val="en-US" w:eastAsia="zh-CN" w:bidi="ar-SA"/>
        </w:rPr>
      </w:sdtEndPr>
      <w:sdtContent>
        <w:r>
          <w:rPr>
            <w:rFonts w:ascii="Times New Roman" w:hAnsi="Times New Roman" w:eastAsia="宋体" w:cs="Times New Roman"/>
            <w:kern w:val="2"/>
            <w:sz w:val="21"/>
            <w:szCs w:val="21"/>
            <w:lang w:val="en-US" w:eastAsia="zh-CN" w:bidi="ar-SA"/>
          </w:rPr>
          <w:fldChar w:fldCharType="begin"/>
        </w:r>
        <w:r>
          <w:rPr>
            <w:rFonts w:ascii="Times New Roman" w:hAnsi="Times New Roman" w:eastAsia="宋体" w:cs="Times New Roman"/>
            <w:kern w:val="2"/>
            <w:sz w:val="21"/>
            <w:szCs w:val="21"/>
            <w:lang w:val="en-US" w:eastAsia="zh-CN" w:bidi="ar-SA"/>
          </w:rPr>
          <w:instrText xml:space="preserve"> PAGE   \* MERGEFORMAT </w:instrText>
        </w:r>
        <w:r>
          <w:rPr>
            <w:rFonts w:ascii="Times New Roman" w:hAnsi="Times New Roman" w:eastAsia="宋体" w:cs="Times New Roman"/>
            <w:kern w:val="2"/>
            <w:sz w:val="21"/>
            <w:szCs w:val="21"/>
            <w:lang w:val="en-US" w:eastAsia="zh-CN" w:bidi="ar-SA"/>
          </w:rPr>
          <w:fldChar w:fldCharType="separate"/>
        </w:r>
        <w:r>
          <w:rPr>
            <w:rFonts w:ascii="Times New Roman" w:hAnsi="Times New Roman" w:eastAsia="宋体" w:cs="Times New Roman"/>
            <w:kern w:val="2"/>
            <w:sz w:val="21"/>
            <w:szCs w:val="21"/>
            <w:lang w:val="zh-CN" w:eastAsia="zh-CN" w:bidi="ar-SA"/>
          </w:rPr>
          <w:t>81</w:t>
        </w:r>
        <w:r>
          <w:rPr>
            <w:rFonts w:ascii="Times New Roman" w:hAnsi="Times New Roman" w:eastAsia="宋体" w:cs="Times New Roman"/>
            <w:kern w:val="2"/>
            <w:sz w:val="21"/>
            <w:szCs w:val="21"/>
            <w:lang w:val="zh-CN" w:eastAsia="zh-CN" w:bidi="ar-SA"/>
          </w:rPr>
          <w:fldChar w:fldCharType="end"/>
        </w:r>
      </w:sdtContent>
    </w:sdt>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eastAsia="宋体" w:cs="Times New Roman"/>
        <w:kern w:val="2"/>
        <w:sz w:val="21"/>
        <w:szCs w:val="24"/>
        <w:lang w:val="en-US" w:eastAsia="zh-CN" w:bidi="ar-SA"/>
      </w:rPr>
      <w:id w:val="2597689"/>
    </w:sdtPr>
    <w:sdtEndPr>
      <w:rPr>
        <w:rFonts w:ascii="Times New Roman" w:hAnsi="Times New Roman" w:eastAsia="宋体" w:cs="Times New Roman"/>
        <w:kern w:val="2"/>
        <w:sz w:val="18"/>
        <w:szCs w:val="18"/>
        <w:lang w:val="en-US" w:eastAsia="zh-CN" w:bidi="ar-SA"/>
      </w:rPr>
    </w:sdtEndPr>
    <w:sdtContent>
      <w:p w14:paraId="4BC259C1">
        <w:pPr>
          <w:widowControl w:val="0"/>
          <w:pBdr>
            <w:top w:val="thinThickSmallGap" w:color="auto" w:sz="12" w:space="1"/>
          </w:pBdr>
          <w:snapToGrid w:val="0"/>
          <w:jc w:val="distribute"/>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21"/>
            <w:szCs w:val="21"/>
            <w:lang w:val="en-US" w:eastAsia="zh-CN" w:bidi="ar-SA"/>
          </w:rPr>
          <w:fldChar w:fldCharType="begin"/>
        </w:r>
        <w:r>
          <w:rPr>
            <w:rFonts w:ascii="Times New Roman" w:hAnsi="Times New Roman" w:eastAsia="宋体" w:cs="Times New Roman"/>
            <w:kern w:val="2"/>
            <w:sz w:val="21"/>
            <w:szCs w:val="21"/>
            <w:lang w:val="en-US" w:eastAsia="zh-CN" w:bidi="ar-SA"/>
          </w:rPr>
          <w:instrText xml:space="preserve"> PAGE   \* MERGEFORMAT </w:instrText>
        </w:r>
        <w:r>
          <w:rPr>
            <w:rFonts w:ascii="Times New Roman" w:hAnsi="Times New Roman" w:eastAsia="宋体" w:cs="Times New Roman"/>
            <w:kern w:val="2"/>
            <w:sz w:val="21"/>
            <w:szCs w:val="21"/>
            <w:lang w:val="en-US" w:eastAsia="zh-CN" w:bidi="ar-SA"/>
          </w:rPr>
          <w:fldChar w:fldCharType="separate"/>
        </w:r>
        <w:r>
          <w:rPr>
            <w:rFonts w:ascii="Times New Roman" w:hAnsi="Times New Roman" w:eastAsia="宋体" w:cs="Times New Roman"/>
            <w:kern w:val="2"/>
            <w:sz w:val="21"/>
            <w:szCs w:val="21"/>
            <w:lang w:val="zh-CN" w:eastAsia="zh-CN" w:bidi="ar-SA"/>
          </w:rPr>
          <w:t>80</w:t>
        </w:r>
        <w:r>
          <w:rPr>
            <w:rFonts w:ascii="Times New Roman" w:hAnsi="Times New Roman" w:eastAsia="宋体" w:cs="Times New Roman"/>
            <w:kern w:val="2"/>
            <w:sz w:val="21"/>
            <w:szCs w:val="21"/>
            <w:lang w:val="zh-CN" w:eastAsia="zh-CN" w:bidi="ar-SA"/>
          </w:rPr>
          <w:fldChar w:fldCharType="end"/>
        </w:r>
        <w:r>
          <w:rPr>
            <w:rFonts w:hint="eastAsia" w:ascii="Times New Roman" w:hAnsi="Times New Roman" w:eastAsia="宋体" w:cs="Times New Roman"/>
            <w:kern w:val="2"/>
            <w:sz w:val="21"/>
            <w:szCs w:val="21"/>
            <w:lang w:val="zh-CN" w:eastAsia="zh-CN" w:bidi="ar-SA"/>
          </w:rPr>
          <w:t xml:space="preserve">                                                                                                                                                              </w:t>
        </w:r>
        <w:r>
          <w:rPr>
            <w:rFonts w:hint="eastAsia" w:ascii="黑体" w:hAnsi="Times New Roman" w:eastAsia="黑体" w:cs="Times New Roman"/>
            <w:kern w:val="2"/>
            <w:sz w:val="21"/>
            <w:szCs w:val="21"/>
            <w:lang w:val="en-US" w:eastAsia="zh-CN" w:bidi="ar-SA"/>
          </w:rPr>
          <w:t>北京交科公路勘察设计研究院有限公司</w:t>
        </w:r>
      </w:p>
    </w:sdtContent>
  </w:sdt>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E0BE83">
    <w:pPr>
      <w:widowControl w:val="0"/>
      <w:pBdr>
        <w:top w:val="thinThickSmallGap" w:color="auto" w:sz="12" w:space="1"/>
      </w:pBdr>
      <w:snapToGrid w:val="0"/>
      <w:jc w:val="distribute"/>
      <w:rPr>
        <w:rFonts w:ascii="Times New Roman" w:hAnsi="Times New Roman" w:eastAsia="宋体" w:cs="Times New Roman"/>
        <w:kern w:val="2"/>
        <w:sz w:val="18"/>
        <w:szCs w:val="18"/>
        <w:lang w:val="en-US" w:eastAsia="zh-CN" w:bidi="ar-SA"/>
      </w:rPr>
    </w:pPr>
    <w:r>
      <w:rPr>
        <w:rFonts w:hint="eastAsia" w:ascii="黑体" w:hAnsi="Times New Roman" w:eastAsia="黑体" w:cs="Times New Roman"/>
        <w:kern w:val="2"/>
        <w:sz w:val="21"/>
        <w:szCs w:val="21"/>
        <w:lang w:val="en-US" w:eastAsia="zh-CN" w:bidi="ar-SA"/>
      </w:rPr>
      <w:t xml:space="preserve">北京交科公路勘察设计研究院有限公司                                                                                                                                                              </w:t>
    </w:r>
    <w:sdt>
      <w:sdtPr>
        <w:rPr>
          <w:rFonts w:ascii="Times New Roman" w:hAnsi="Times New Roman" w:eastAsia="宋体" w:cs="Times New Roman"/>
          <w:kern w:val="2"/>
          <w:sz w:val="21"/>
          <w:szCs w:val="21"/>
          <w:lang w:val="en-US" w:eastAsia="zh-CN" w:bidi="ar-SA"/>
        </w:rPr>
        <w:id w:val="2597692"/>
      </w:sdtPr>
      <w:sdtEndPr>
        <w:rPr>
          <w:rFonts w:ascii="Times New Roman" w:hAnsi="Times New Roman" w:eastAsia="宋体" w:cs="Times New Roman"/>
          <w:kern w:val="2"/>
          <w:sz w:val="18"/>
          <w:szCs w:val="18"/>
          <w:lang w:val="en-US" w:eastAsia="zh-CN" w:bidi="ar-SA"/>
        </w:rPr>
      </w:sdtEndPr>
      <w:sdtContent>
        <w:r>
          <w:rPr>
            <w:rFonts w:ascii="Times New Roman" w:hAnsi="Times New Roman" w:eastAsia="宋体" w:cs="Times New Roman"/>
            <w:kern w:val="2"/>
            <w:sz w:val="21"/>
            <w:szCs w:val="21"/>
            <w:lang w:val="en-US" w:eastAsia="zh-CN" w:bidi="ar-SA"/>
          </w:rPr>
          <w:fldChar w:fldCharType="begin"/>
        </w:r>
        <w:r>
          <w:rPr>
            <w:rFonts w:ascii="Times New Roman" w:hAnsi="Times New Roman" w:eastAsia="宋体" w:cs="Times New Roman"/>
            <w:kern w:val="2"/>
            <w:sz w:val="21"/>
            <w:szCs w:val="21"/>
            <w:lang w:val="en-US" w:eastAsia="zh-CN" w:bidi="ar-SA"/>
          </w:rPr>
          <w:instrText xml:space="preserve"> PAGE   \* MERGEFORMAT </w:instrText>
        </w:r>
        <w:r>
          <w:rPr>
            <w:rFonts w:ascii="Times New Roman" w:hAnsi="Times New Roman" w:eastAsia="宋体" w:cs="Times New Roman"/>
            <w:kern w:val="2"/>
            <w:sz w:val="21"/>
            <w:szCs w:val="21"/>
            <w:lang w:val="en-US" w:eastAsia="zh-CN" w:bidi="ar-SA"/>
          </w:rPr>
          <w:fldChar w:fldCharType="separate"/>
        </w:r>
        <w:r>
          <w:rPr>
            <w:rFonts w:ascii="Times New Roman" w:hAnsi="Times New Roman" w:eastAsia="宋体" w:cs="Times New Roman"/>
            <w:kern w:val="2"/>
            <w:sz w:val="21"/>
            <w:szCs w:val="21"/>
            <w:lang w:val="zh-CN" w:eastAsia="zh-CN" w:bidi="ar-SA"/>
          </w:rPr>
          <w:t>81</w:t>
        </w:r>
        <w:r>
          <w:rPr>
            <w:rFonts w:ascii="Times New Roman" w:hAnsi="Times New Roman" w:eastAsia="宋体" w:cs="Times New Roman"/>
            <w:kern w:val="2"/>
            <w:sz w:val="21"/>
            <w:szCs w:val="21"/>
            <w:lang w:val="zh-CN" w:eastAsia="zh-CN" w:bidi="ar-SA"/>
          </w:rPr>
          <w:fldChar w:fldCharType="end"/>
        </w:r>
      </w:sdtContent>
    </w:sdt>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eastAsia="宋体" w:cs="Times New Roman"/>
        <w:kern w:val="2"/>
        <w:sz w:val="21"/>
        <w:szCs w:val="24"/>
        <w:lang w:val="en-US" w:eastAsia="zh-CN" w:bidi="ar-SA"/>
      </w:rPr>
      <w:id w:val="2597691"/>
    </w:sdtPr>
    <w:sdtEndPr>
      <w:rPr>
        <w:rFonts w:ascii="Times New Roman" w:hAnsi="Times New Roman" w:eastAsia="宋体" w:cs="Times New Roman"/>
        <w:kern w:val="2"/>
        <w:sz w:val="18"/>
        <w:szCs w:val="18"/>
        <w:lang w:val="en-US" w:eastAsia="zh-CN" w:bidi="ar-SA"/>
      </w:rPr>
    </w:sdtEndPr>
    <w:sdtContent>
      <w:p w14:paraId="3F275EB8">
        <w:pPr>
          <w:widowControl w:val="0"/>
          <w:pBdr>
            <w:top w:val="thinThickSmallGap" w:color="auto" w:sz="12" w:space="1"/>
          </w:pBdr>
          <w:snapToGrid w:val="0"/>
          <w:jc w:val="distribute"/>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21"/>
            <w:szCs w:val="21"/>
            <w:lang w:val="en-US" w:eastAsia="zh-CN" w:bidi="ar-SA"/>
          </w:rPr>
          <w:fldChar w:fldCharType="begin"/>
        </w:r>
        <w:r>
          <w:rPr>
            <w:rFonts w:ascii="Times New Roman" w:hAnsi="Times New Roman" w:eastAsia="宋体" w:cs="Times New Roman"/>
            <w:kern w:val="2"/>
            <w:sz w:val="21"/>
            <w:szCs w:val="21"/>
            <w:lang w:val="en-US" w:eastAsia="zh-CN" w:bidi="ar-SA"/>
          </w:rPr>
          <w:instrText xml:space="preserve"> PAGE   \* MERGEFORMAT </w:instrText>
        </w:r>
        <w:r>
          <w:rPr>
            <w:rFonts w:ascii="Times New Roman" w:hAnsi="Times New Roman" w:eastAsia="宋体" w:cs="Times New Roman"/>
            <w:kern w:val="2"/>
            <w:sz w:val="21"/>
            <w:szCs w:val="21"/>
            <w:lang w:val="en-US" w:eastAsia="zh-CN" w:bidi="ar-SA"/>
          </w:rPr>
          <w:fldChar w:fldCharType="separate"/>
        </w:r>
        <w:r>
          <w:rPr>
            <w:rFonts w:ascii="Times New Roman" w:hAnsi="Times New Roman" w:eastAsia="宋体" w:cs="Times New Roman"/>
            <w:kern w:val="2"/>
            <w:sz w:val="21"/>
            <w:szCs w:val="21"/>
            <w:lang w:val="zh-CN" w:eastAsia="zh-CN" w:bidi="ar-SA"/>
          </w:rPr>
          <w:t>82</w:t>
        </w:r>
        <w:r>
          <w:rPr>
            <w:rFonts w:ascii="Times New Roman" w:hAnsi="Times New Roman" w:eastAsia="宋体" w:cs="Times New Roman"/>
            <w:kern w:val="2"/>
            <w:sz w:val="21"/>
            <w:szCs w:val="21"/>
            <w:lang w:val="zh-CN" w:eastAsia="zh-CN" w:bidi="ar-SA"/>
          </w:rPr>
          <w:fldChar w:fldCharType="end"/>
        </w:r>
        <w:r>
          <w:rPr>
            <w:rFonts w:hint="eastAsia" w:ascii="Times New Roman" w:hAnsi="Times New Roman" w:eastAsia="宋体" w:cs="Times New Roman"/>
            <w:kern w:val="2"/>
            <w:sz w:val="21"/>
            <w:szCs w:val="21"/>
            <w:lang w:val="zh-CN" w:eastAsia="zh-CN" w:bidi="ar-SA"/>
          </w:rPr>
          <w:t xml:space="preserve">                                                                                                                                                              </w:t>
        </w:r>
        <w:r>
          <w:rPr>
            <w:rFonts w:hint="eastAsia" w:ascii="黑体" w:hAnsi="Times New Roman" w:eastAsia="黑体" w:cs="Times New Roman"/>
            <w:kern w:val="2"/>
            <w:sz w:val="21"/>
            <w:szCs w:val="21"/>
            <w:lang w:val="en-US" w:eastAsia="zh-CN" w:bidi="ar-SA"/>
          </w:rPr>
          <w:t>北京交科公路勘察设计研究院有限公司</w:t>
        </w:r>
      </w:p>
    </w:sdtContent>
  </w:sdt>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CBC0DF">
    <w:pPr>
      <w:widowControl w:val="0"/>
      <w:pBdr>
        <w:top w:val="thinThickSmallGap" w:color="auto" w:sz="12" w:space="1"/>
      </w:pBdr>
      <w:snapToGrid w:val="0"/>
      <w:jc w:val="distribute"/>
      <w:rPr>
        <w:rFonts w:ascii="Times New Roman" w:hAnsi="Times New Roman" w:eastAsia="宋体" w:cs="Times New Roman"/>
        <w:kern w:val="2"/>
        <w:sz w:val="18"/>
        <w:szCs w:val="18"/>
        <w:lang w:val="en-US" w:eastAsia="zh-CN" w:bidi="ar-SA"/>
      </w:rPr>
    </w:pPr>
    <w:r>
      <w:rPr>
        <w:rFonts w:hint="eastAsia" w:ascii="黑体" w:hAnsi="Times New Roman" w:eastAsia="黑体" w:cs="Times New Roman"/>
        <w:kern w:val="2"/>
        <w:sz w:val="21"/>
        <w:szCs w:val="21"/>
        <w:lang w:val="en-US" w:eastAsia="zh-CN" w:bidi="ar-SA"/>
      </w:rPr>
      <w:t xml:space="preserve">北京交科公路勘察设计研究院有限公司                                                                                                                                                              </w:t>
    </w:r>
    <w:sdt>
      <w:sdtPr>
        <w:rPr>
          <w:rFonts w:ascii="Times New Roman" w:hAnsi="Times New Roman" w:eastAsia="宋体" w:cs="Times New Roman"/>
          <w:kern w:val="2"/>
          <w:sz w:val="21"/>
          <w:szCs w:val="21"/>
          <w:lang w:val="en-US" w:eastAsia="zh-CN" w:bidi="ar-SA"/>
        </w:rPr>
        <w:id w:val="2597694"/>
      </w:sdtPr>
      <w:sdtEndPr>
        <w:rPr>
          <w:rFonts w:ascii="Times New Roman" w:hAnsi="Times New Roman" w:eastAsia="宋体" w:cs="Times New Roman"/>
          <w:kern w:val="2"/>
          <w:sz w:val="18"/>
          <w:szCs w:val="18"/>
          <w:lang w:val="en-US" w:eastAsia="zh-CN" w:bidi="ar-SA"/>
        </w:rPr>
      </w:sdtEndPr>
      <w:sdtContent>
        <w:r>
          <w:rPr>
            <w:rFonts w:ascii="Times New Roman" w:hAnsi="Times New Roman" w:eastAsia="宋体" w:cs="Times New Roman"/>
            <w:kern w:val="2"/>
            <w:sz w:val="21"/>
            <w:szCs w:val="21"/>
            <w:lang w:val="en-US" w:eastAsia="zh-CN" w:bidi="ar-SA"/>
          </w:rPr>
          <w:fldChar w:fldCharType="begin"/>
        </w:r>
        <w:r>
          <w:rPr>
            <w:rFonts w:ascii="Times New Roman" w:hAnsi="Times New Roman" w:eastAsia="宋体" w:cs="Times New Roman"/>
            <w:kern w:val="2"/>
            <w:sz w:val="21"/>
            <w:szCs w:val="21"/>
            <w:lang w:val="en-US" w:eastAsia="zh-CN" w:bidi="ar-SA"/>
          </w:rPr>
          <w:instrText xml:space="preserve"> PAGE   \* MERGEFORMAT </w:instrText>
        </w:r>
        <w:r>
          <w:rPr>
            <w:rFonts w:ascii="Times New Roman" w:hAnsi="Times New Roman" w:eastAsia="宋体" w:cs="Times New Roman"/>
            <w:kern w:val="2"/>
            <w:sz w:val="21"/>
            <w:szCs w:val="21"/>
            <w:lang w:val="en-US" w:eastAsia="zh-CN" w:bidi="ar-SA"/>
          </w:rPr>
          <w:fldChar w:fldCharType="separate"/>
        </w:r>
        <w:r>
          <w:rPr>
            <w:rFonts w:ascii="Times New Roman" w:hAnsi="Times New Roman" w:eastAsia="宋体" w:cs="Times New Roman"/>
            <w:kern w:val="2"/>
            <w:sz w:val="21"/>
            <w:szCs w:val="21"/>
            <w:lang w:val="zh-CN" w:eastAsia="zh-CN" w:bidi="ar-SA"/>
          </w:rPr>
          <w:t>83</w:t>
        </w:r>
        <w:r>
          <w:rPr>
            <w:rFonts w:ascii="Times New Roman" w:hAnsi="Times New Roman" w:eastAsia="宋体" w:cs="Times New Roman"/>
            <w:kern w:val="2"/>
            <w:sz w:val="21"/>
            <w:szCs w:val="21"/>
            <w:lang w:val="zh-CN" w:eastAsia="zh-CN" w:bidi="ar-SA"/>
          </w:rPr>
          <w:fldChar w:fldCharType="end"/>
        </w:r>
      </w:sdtContent>
    </w:sdt>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eastAsia="宋体" w:cs="Times New Roman"/>
        <w:kern w:val="2"/>
        <w:sz w:val="21"/>
        <w:szCs w:val="24"/>
        <w:lang w:val="en-US" w:eastAsia="zh-CN" w:bidi="ar-SA"/>
      </w:rPr>
      <w:id w:val="2597962"/>
    </w:sdtPr>
    <w:sdtEndPr>
      <w:rPr>
        <w:rFonts w:ascii="Times New Roman" w:hAnsi="Times New Roman" w:eastAsia="宋体" w:cs="Times New Roman"/>
        <w:kern w:val="2"/>
        <w:sz w:val="18"/>
        <w:szCs w:val="18"/>
        <w:lang w:val="en-US" w:eastAsia="zh-CN" w:bidi="ar-SA"/>
      </w:rPr>
    </w:sdtEndPr>
    <w:sdtContent>
      <w:p w14:paraId="62C2B52E">
        <w:pPr>
          <w:widowControl w:val="0"/>
          <w:pBdr>
            <w:top w:val="thinThickSmallGap" w:color="auto" w:sz="12" w:space="1"/>
          </w:pBdr>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 PAGE   \* MERGEFORMAT </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zh-CN" w:eastAsia="zh-CN" w:bidi="ar-SA"/>
          </w:rPr>
          <w:t>ii</w:t>
        </w:r>
        <w:r>
          <w:rPr>
            <w:rFonts w:ascii="Times New Roman" w:hAnsi="Times New Roman" w:eastAsia="宋体" w:cs="Times New Roman"/>
            <w:kern w:val="2"/>
            <w:sz w:val="18"/>
            <w:szCs w:val="18"/>
            <w:lang w:val="zh-CN" w:eastAsia="zh-CN" w:bidi="ar-SA"/>
          </w:rPr>
          <w:fldChar w:fldCharType="end"/>
        </w:r>
        <w:r>
          <w:rPr>
            <w:rFonts w:ascii="Times New Roman" w:hAnsi="Times New Roman" w:eastAsia="宋体" w:cs="Times New Roman"/>
            <w:kern w:val="2"/>
            <w:sz w:val="18"/>
            <w:szCs w:val="18"/>
            <w:lang w:val="zh-CN" w:eastAsia="zh-CN" w:bidi="ar-SA"/>
          </w:rPr>
          <w:t xml:space="preserve">                                                         </w:t>
        </w:r>
        <w:r>
          <w:rPr>
            <w:rFonts w:hint="eastAsia" w:ascii="黑体" w:hAnsi="Times New Roman" w:eastAsia="黑体" w:cs="Times New Roman"/>
            <w:kern w:val="2"/>
            <w:sz w:val="21"/>
            <w:szCs w:val="21"/>
            <w:lang w:val="en-US" w:eastAsia="zh-CN" w:bidi="ar-SA"/>
          </w:rPr>
          <w:t>北京交科公路勘察设计研究院有限公司</w:t>
        </w:r>
      </w:p>
    </w:sdtContent>
  </w:sdt>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eastAsia="宋体" w:cs="Times New Roman"/>
        <w:kern w:val="2"/>
        <w:sz w:val="21"/>
        <w:szCs w:val="24"/>
        <w:lang w:val="en-US" w:eastAsia="zh-CN" w:bidi="ar-SA"/>
      </w:rPr>
      <w:id w:val="2597693"/>
    </w:sdtPr>
    <w:sdtEndPr>
      <w:rPr>
        <w:rFonts w:ascii="Times New Roman" w:hAnsi="Times New Roman" w:eastAsia="宋体" w:cs="Times New Roman"/>
        <w:kern w:val="2"/>
        <w:sz w:val="18"/>
        <w:szCs w:val="18"/>
        <w:lang w:val="en-US" w:eastAsia="zh-CN" w:bidi="ar-SA"/>
      </w:rPr>
    </w:sdtEndPr>
    <w:sdtContent>
      <w:p w14:paraId="5539CD9A">
        <w:pPr>
          <w:widowControl w:val="0"/>
          <w:pBdr>
            <w:top w:val="thinThickSmallGap" w:color="auto" w:sz="12" w:space="1"/>
          </w:pBdr>
          <w:snapToGrid w:val="0"/>
          <w:jc w:val="distribute"/>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21"/>
            <w:szCs w:val="21"/>
            <w:lang w:val="en-US" w:eastAsia="zh-CN" w:bidi="ar-SA"/>
          </w:rPr>
          <w:fldChar w:fldCharType="begin"/>
        </w:r>
        <w:r>
          <w:rPr>
            <w:rFonts w:ascii="Times New Roman" w:hAnsi="Times New Roman" w:eastAsia="宋体" w:cs="Times New Roman"/>
            <w:kern w:val="2"/>
            <w:sz w:val="21"/>
            <w:szCs w:val="21"/>
            <w:lang w:val="en-US" w:eastAsia="zh-CN" w:bidi="ar-SA"/>
          </w:rPr>
          <w:instrText xml:space="preserve"> PAGE   \* MERGEFORMAT </w:instrText>
        </w:r>
        <w:r>
          <w:rPr>
            <w:rFonts w:ascii="Times New Roman" w:hAnsi="Times New Roman" w:eastAsia="宋体" w:cs="Times New Roman"/>
            <w:kern w:val="2"/>
            <w:sz w:val="21"/>
            <w:szCs w:val="21"/>
            <w:lang w:val="en-US" w:eastAsia="zh-CN" w:bidi="ar-SA"/>
          </w:rPr>
          <w:fldChar w:fldCharType="separate"/>
        </w:r>
        <w:r>
          <w:rPr>
            <w:rFonts w:ascii="Times New Roman" w:hAnsi="Times New Roman" w:eastAsia="宋体" w:cs="Times New Roman"/>
            <w:kern w:val="2"/>
            <w:sz w:val="21"/>
            <w:szCs w:val="21"/>
            <w:lang w:val="zh-CN" w:eastAsia="zh-CN" w:bidi="ar-SA"/>
          </w:rPr>
          <w:t>82</w:t>
        </w:r>
        <w:r>
          <w:rPr>
            <w:rFonts w:ascii="Times New Roman" w:hAnsi="Times New Roman" w:eastAsia="宋体" w:cs="Times New Roman"/>
            <w:kern w:val="2"/>
            <w:sz w:val="21"/>
            <w:szCs w:val="21"/>
            <w:lang w:val="zh-CN" w:eastAsia="zh-CN" w:bidi="ar-SA"/>
          </w:rPr>
          <w:fldChar w:fldCharType="end"/>
        </w:r>
        <w:r>
          <w:rPr>
            <w:rFonts w:hint="eastAsia" w:ascii="Times New Roman" w:hAnsi="Times New Roman" w:eastAsia="宋体" w:cs="Times New Roman"/>
            <w:kern w:val="2"/>
            <w:sz w:val="21"/>
            <w:szCs w:val="21"/>
            <w:lang w:val="zh-CN" w:eastAsia="zh-CN" w:bidi="ar-SA"/>
          </w:rPr>
          <w:t xml:space="preserve">                                                                                                                                                              </w:t>
        </w:r>
        <w:r>
          <w:rPr>
            <w:rFonts w:hint="eastAsia" w:ascii="黑体" w:hAnsi="Times New Roman" w:eastAsia="黑体" w:cs="Times New Roman"/>
            <w:kern w:val="2"/>
            <w:sz w:val="21"/>
            <w:szCs w:val="21"/>
            <w:lang w:val="en-US" w:eastAsia="zh-CN" w:bidi="ar-SA"/>
          </w:rPr>
          <w:t>北京交科公路勘察设计研究院有限公司</w:t>
        </w:r>
      </w:p>
    </w:sdtContent>
  </w:sdt>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0CD641">
    <w:pPr>
      <w:widowControl w:val="0"/>
      <w:pBdr>
        <w:top w:val="thinThickSmallGap" w:color="auto" w:sz="12" w:space="1"/>
      </w:pBdr>
      <w:snapToGrid w:val="0"/>
      <w:jc w:val="distribute"/>
      <w:rPr>
        <w:rFonts w:ascii="Times New Roman" w:hAnsi="Times New Roman" w:eastAsia="宋体" w:cs="Times New Roman"/>
        <w:kern w:val="2"/>
        <w:sz w:val="18"/>
        <w:szCs w:val="18"/>
        <w:lang w:val="en-US" w:eastAsia="zh-CN" w:bidi="ar-SA"/>
      </w:rPr>
    </w:pPr>
    <w:r>
      <w:rPr>
        <w:rFonts w:hint="eastAsia" w:ascii="黑体" w:hAnsi="Times New Roman" w:eastAsia="黑体" w:cs="Times New Roman"/>
        <w:kern w:val="2"/>
        <w:sz w:val="21"/>
        <w:szCs w:val="21"/>
        <w:lang w:val="en-US" w:eastAsia="zh-CN" w:bidi="ar-SA"/>
      </w:rPr>
      <w:t xml:space="preserve">北京交科公路勘察设计研究院有限公司                                                                                                                                                              </w:t>
    </w:r>
    <w:sdt>
      <w:sdtPr>
        <w:rPr>
          <w:rFonts w:ascii="Times New Roman" w:hAnsi="Times New Roman" w:eastAsia="宋体" w:cs="Times New Roman"/>
          <w:kern w:val="2"/>
          <w:sz w:val="21"/>
          <w:szCs w:val="21"/>
          <w:lang w:val="en-US" w:eastAsia="zh-CN" w:bidi="ar-SA"/>
        </w:rPr>
        <w:id w:val="2597696"/>
      </w:sdtPr>
      <w:sdtEndPr>
        <w:rPr>
          <w:rFonts w:ascii="Times New Roman" w:hAnsi="Times New Roman" w:eastAsia="宋体" w:cs="Times New Roman"/>
          <w:kern w:val="2"/>
          <w:sz w:val="18"/>
          <w:szCs w:val="18"/>
          <w:lang w:val="en-US" w:eastAsia="zh-CN" w:bidi="ar-SA"/>
        </w:rPr>
      </w:sdtEndPr>
      <w:sdtContent>
        <w:r>
          <w:rPr>
            <w:rFonts w:ascii="Times New Roman" w:hAnsi="Times New Roman" w:eastAsia="宋体" w:cs="Times New Roman"/>
            <w:kern w:val="2"/>
            <w:sz w:val="21"/>
            <w:szCs w:val="21"/>
            <w:lang w:val="en-US" w:eastAsia="zh-CN" w:bidi="ar-SA"/>
          </w:rPr>
          <w:fldChar w:fldCharType="begin"/>
        </w:r>
        <w:r>
          <w:rPr>
            <w:rFonts w:ascii="Times New Roman" w:hAnsi="Times New Roman" w:eastAsia="宋体" w:cs="Times New Roman"/>
            <w:kern w:val="2"/>
            <w:sz w:val="21"/>
            <w:szCs w:val="21"/>
            <w:lang w:val="en-US" w:eastAsia="zh-CN" w:bidi="ar-SA"/>
          </w:rPr>
          <w:instrText xml:space="preserve"> PAGE   \* MERGEFORMAT </w:instrText>
        </w:r>
        <w:r>
          <w:rPr>
            <w:rFonts w:ascii="Times New Roman" w:hAnsi="Times New Roman" w:eastAsia="宋体" w:cs="Times New Roman"/>
            <w:kern w:val="2"/>
            <w:sz w:val="21"/>
            <w:szCs w:val="21"/>
            <w:lang w:val="en-US" w:eastAsia="zh-CN" w:bidi="ar-SA"/>
          </w:rPr>
          <w:fldChar w:fldCharType="separate"/>
        </w:r>
        <w:r>
          <w:rPr>
            <w:rFonts w:ascii="Times New Roman" w:hAnsi="Times New Roman" w:eastAsia="宋体" w:cs="Times New Roman"/>
            <w:kern w:val="2"/>
            <w:sz w:val="21"/>
            <w:szCs w:val="21"/>
            <w:lang w:val="zh-CN" w:eastAsia="zh-CN" w:bidi="ar-SA"/>
          </w:rPr>
          <w:t>83</w:t>
        </w:r>
        <w:r>
          <w:rPr>
            <w:rFonts w:ascii="Times New Roman" w:hAnsi="Times New Roman" w:eastAsia="宋体" w:cs="Times New Roman"/>
            <w:kern w:val="2"/>
            <w:sz w:val="21"/>
            <w:szCs w:val="21"/>
            <w:lang w:val="zh-CN" w:eastAsia="zh-CN" w:bidi="ar-SA"/>
          </w:rPr>
          <w:fldChar w:fldCharType="end"/>
        </w:r>
      </w:sdtContent>
    </w:sdt>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eastAsia="宋体" w:cs="Times New Roman"/>
        <w:kern w:val="2"/>
        <w:sz w:val="21"/>
        <w:szCs w:val="24"/>
        <w:lang w:val="en-US" w:eastAsia="zh-CN" w:bidi="ar-SA"/>
      </w:rPr>
      <w:id w:val="2597695"/>
    </w:sdtPr>
    <w:sdtEndPr>
      <w:rPr>
        <w:rFonts w:ascii="Times New Roman" w:hAnsi="Times New Roman" w:eastAsia="宋体" w:cs="Times New Roman"/>
        <w:kern w:val="2"/>
        <w:sz w:val="18"/>
        <w:szCs w:val="18"/>
        <w:lang w:val="en-US" w:eastAsia="zh-CN" w:bidi="ar-SA"/>
      </w:rPr>
    </w:sdtEndPr>
    <w:sdtContent>
      <w:p w14:paraId="1E641208">
        <w:pPr>
          <w:widowControl w:val="0"/>
          <w:pBdr>
            <w:top w:val="thinThickSmallGap" w:color="auto" w:sz="12" w:space="1"/>
          </w:pBdr>
          <w:snapToGrid w:val="0"/>
          <w:jc w:val="distribute"/>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21"/>
            <w:szCs w:val="21"/>
            <w:lang w:val="en-US" w:eastAsia="zh-CN" w:bidi="ar-SA"/>
          </w:rPr>
          <w:fldChar w:fldCharType="begin"/>
        </w:r>
        <w:r>
          <w:rPr>
            <w:rFonts w:ascii="Times New Roman" w:hAnsi="Times New Roman" w:eastAsia="宋体" w:cs="Times New Roman"/>
            <w:kern w:val="2"/>
            <w:sz w:val="21"/>
            <w:szCs w:val="21"/>
            <w:lang w:val="en-US" w:eastAsia="zh-CN" w:bidi="ar-SA"/>
          </w:rPr>
          <w:instrText xml:space="preserve"> PAGE   \* MERGEFORMAT </w:instrText>
        </w:r>
        <w:r>
          <w:rPr>
            <w:rFonts w:ascii="Times New Roman" w:hAnsi="Times New Roman" w:eastAsia="宋体" w:cs="Times New Roman"/>
            <w:kern w:val="2"/>
            <w:sz w:val="21"/>
            <w:szCs w:val="21"/>
            <w:lang w:val="en-US" w:eastAsia="zh-CN" w:bidi="ar-SA"/>
          </w:rPr>
          <w:fldChar w:fldCharType="separate"/>
        </w:r>
        <w:r>
          <w:rPr>
            <w:rFonts w:ascii="Times New Roman" w:hAnsi="Times New Roman" w:eastAsia="宋体" w:cs="Times New Roman"/>
            <w:kern w:val="2"/>
            <w:sz w:val="21"/>
            <w:szCs w:val="21"/>
            <w:lang w:val="zh-CN" w:eastAsia="zh-CN" w:bidi="ar-SA"/>
          </w:rPr>
          <w:t>84</w:t>
        </w:r>
        <w:r>
          <w:rPr>
            <w:rFonts w:ascii="Times New Roman" w:hAnsi="Times New Roman" w:eastAsia="宋体" w:cs="Times New Roman"/>
            <w:kern w:val="2"/>
            <w:sz w:val="21"/>
            <w:szCs w:val="21"/>
            <w:lang w:val="zh-CN" w:eastAsia="zh-CN" w:bidi="ar-SA"/>
          </w:rPr>
          <w:fldChar w:fldCharType="end"/>
        </w:r>
        <w:r>
          <w:rPr>
            <w:rFonts w:hint="eastAsia" w:ascii="Times New Roman" w:hAnsi="Times New Roman" w:eastAsia="宋体" w:cs="Times New Roman"/>
            <w:kern w:val="2"/>
            <w:sz w:val="21"/>
            <w:szCs w:val="21"/>
            <w:lang w:val="zh-CN" w:eastAsia="zh-CN" w:bidi="ar-SA"/>
          </w:rPr>
          <w:t xml:space="preserve">                                                                                                                                                              </w:t>
        </w:r>
        <w:r>
          <w:rPr>
            <w:rFonts w:hint="eastAsia" w:ascii="黑体" w:hAnsi="Times New Roman" w:eastAsia="黑体" w:cs="Times New Roman"/>
            <w:kern w:val="2"/>
            <w:sz w:val="21"/>
            <w:szCs w:val="21"/>
            <w:lang w:val="en-US" w:eastAsia="zh-CN" w:bidi="ar-SA"/>
          </w:rPr>
          <w:t>北京交科公路勘察设计研究院有限公司</w:t>
        </w:r>
      </w:p>
    </w:sdtContent>
  </w:sdt>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5B56E8">
    <w:pPr>
      <w:widowControl w:val="0"/>
      <w:pBdr>
        <w:top w:val="thinThickSmallGap" w:color="auto" w:sz="12" w:space="1"/>
      </w:pBdr>
      <w:snapToGrid w:val="0"/>
      <w:jc w:val="distribute"/>
      <w:rPr>
        <w:rFonts w:ascii="Times New Roman" w:hAnsi="Times New Roman" w:eastAsia="宋体" w:cs="Times New Roman"/>
        <w:kern w:val="2"/>
        <w:sz w:val="18"/>
        <w:szCs w:val="18"/>
        <w:lang w:val="en-US" w:eastAsia="zh-CN" w:bidi="ar-SA"/>
      </w:rPr>
    </w:pPr>
    <w:r>
      <w:rPr>
        <w:rFonts w:hint="eastAsia" w:ascii="黑体" w:hAnsi="Times New Roman" w:eastAsia="黑体" w:cs="Times New Roman"/>
        <w:kern w:val="2"/>
        <w:sz w:val="21"/>
        <w:szCs w:val="21"/>
        <w:lang w:val="en-US" w:eastAsia="zh-CN" w:bidi="ar-SA"/>
      </w:rPr>
      <w:t xml:space="preserve">北京交科公路勘察设计研究院有限公司                                                                                                                                                              </w:t>
    </w:r>
    <w:sdt>
      <w:sdtPr>
        <w:rPr>
          <w:rFonts w:ascii="Times New Roman" w:hAnsi="Times New Roman" w:eastAsia="宋体" w:cs="Times New Roman"/>
          <w:kern w:val="2"/>
          <w:sz w:val="21"/>
          <w:szCs w:val="21"/>
          <w:lang w:val="en-US" w:eastAsia="zh-CN" w:bidi="ar-SA"/>
        </w:rPr>
        <w:id w:val="2597698"/>
      </w:sdtPr>
      <w:sdtEndPr>
        <w:rPr>
          <w:rFonts w:ascii="Times New Roman" w:hAnsi="Times New Roman" w:eastAsia="宋体" w:cs="Times New Roman"/>
          <w:kern w:val="2"/>
          <w:sz w:val="18"/>
          <w:szCs w:val="18"/>
          <w:lang w:val="en-US" w:eastAsia="zh-CN" w:bidi="ar-SA"/>
        </w:rPr>
      </w:sdtEndPr>
      <w:sdtContent>
        <w:r>
          <w:rPr>
            <w:rFonts w:ascii="Times New Roman" w:hAnsi="Times New Roman" w:eastAsia="宋体" w:cs="Times New Roman"/>
            <w:kern w:val="2"/>
            <w:sz w:val="21"/>
            <w:szCs w:val="21"/>
            <w:lang w:val="en-US" w:eastAsia="zh-CN" w:bidi="ar-SA"/>
          </w:rPr>
          <w:fldChar w:fldCharType="begin"/>
        </w:r>
        <w:r>
          <w:rPr>
            <w:rFonts w:ascii="Times New Roman" w:hAnsi="Times New Roman" w:eastAsia="宋体" w:cs="Times New Roman"/>
            <w:kern w:val="2"/>
            <w:sz w:val="21"/>
            <w:szCs w:val="21"/>
            <w:lang w:val="en-US" w:eastAsia="zh-CN" w:bidi="ar-SA"/>
          </w:rPr>
          <w:instrText xml:space="preserve"> PAGE   \* MERGEFORMAT </w:instrText>
        </w:r>
        <w:r>
          <w:rPr>
            <w:rFonts w:ascii="Times New Roman" w:hAnsi="Times New Roman" w:eastAsia="宋体" w:cs="Times New Roman"/>
            <w:kern w:val="2"/>
            <w:sz w:val="21"/>
            <w:szCs w:val="21"/>
            <w:lang w:val="en-US" w:eastAsia="zh-CN" w:bidi="ar-SA"/>
          </w:rPr>
          <w:fldChar w:fldCharType="separate"/>
        </w:r>
        <w:r>
          <w:rPr>
            <w:rFonts w:ascii="Times New Roman" w:hAnsi="Times New Roman" w:eastAsia="宋体" w:cs="Times New Roman"/>
            <w:kern w:val="2"/>
            <w:sz w:val="21"/>
            <w:szCs w:val="21"/>
            <w:lang w:val="zh-CN" w:eastAsia="zh-CN" w:bidi="ar-SA"/>
          </w:rPr>
          <w:t>85</w:t>
        </w:r>
        <w:r>
          <w:rPr>
            <w:rFonts w:ascii="Times New Roman" w:hAnsi="Times New Roman" w:eastAsia="宋体" w:cs="Times New Roman"/>
            <w:kern w:val="2"/>
            <w:sz w:val="21"/>
            <w:szCs w:val="21"/>
            <w:lang w:val="zh-CN" w:eastAsia="zh-CN" w:bidi="ar-SA"/>
          </w:rPr>
          <w:fldChar w:fldCharType="end"/>
        </w:r>
      </w:sdtContent>
    </w:sdt>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eastAsia="宋体" w:cs="Times New Roman"/>
        <w:kern w:val="2"/>
        <w:sz w:val="21"/>
        <w:szCs w:val="24"/>
        <w:lang w:val="en-US" w:eastAsia="zh-CN" w:bidi="ar-SA"/>
      </w:rPr>
      <w:id w:val="2597697"/>
    </w:sdtPr>
    <w:sdtEndPr>
      <w:rPr>
        <w:rFonts w:ascii="Times New Roman" w:hAnsi="Times New Roman" w:eastAsia="宋体" w:cs="Times New Roman"/>
        <w:kern w:val="2"/>
        <w:sz w:val="18"/>
        <w:szCs w:val="18"/>
        <w:lang w:val="en-US" w:eastAsia="zh-CN" w:bidi="ar-SA"/>
      </w:rPr>
    </w:sdtEndPr>
    <w:sdtContent>
      <w:p w14:paraId="72181D70">
        <w:pPr>
          <w:widowControl w:val="0"/>
          <w:pBdr>
            <w:top w:val="thinThickSmallGap" w:color="auto" w:sz="12" w:space="1"/>
          </w:pBdr>
          <w:snapToGrid w:val="0"/>
          <w:jc w:val="distribute"/>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21"/>
            <w:szCs w:val="21"/>
            <w:lang w:val="en-US" w:eastAsia="zh-CN" w:bidi="ar-SA"/>
          </w:rPr>
          <w:fldChar w:fldCharType="begin"/>
        </w:r>
        <w:r>
          <w:rPr>
            <w:rFonts w:ascii="Times New Roman" w:hAnsi="Times New Roman" w:eastAsia="宋体" w:cs="Times New Roman"/>
            <w:kern w:val="2"/>
            <w:sz w:val="21"/>
            <w:szCs w:val="21"/>
            <w:lang w:val="en-US" w:eastAsia="zh-CN" w:bidi="ar-SA"/>
          </w:rPr>
          <w:instrText xml:space="preserve"> PAGE   \* MERGEFORMAT </w:instrText>
        </w:r>
        <w:r>
          <w:rPr>
            <w:rFonts w:ascii="Times New Roman" w:hAnsi="Times New Roman" w:eastAsia="宋体" w:cs="Times New Roman"/>
            <w:kern w:val="2"/>
            <w:sz w:val="21"/>
            <w:szCs w:val="21"/>
            <w:lang w:val="en-US" w:eastAsia="zh-CN" w:bidi="ar-SA"/>
          </w:rPr>
          <w:fldChar w:fldCharType="separate"/>
        </w:r>
        <w:r>
          <w:rPr>
            <w:rFonts w:ascii="Times New Roman" w:hAnsi="Times New Roman" w:eastAsia="宋体" w:cs="Times New Roman"/>
            <w:kern w:val="2"/>
            <w:sz w:val="21"/>
            <w:szCs w:val="21"/>
            <w:lang w:val="zh-CN" w:eastAsia="zh-CN" w:bidi="ar-SA"/>
          </w:rPr>
          <w:t>84</w:t>
        </w:r>
        <w:r>
          <w:rPr>
            <w:rFonts w:ascii="Times New Roman" w:hAnsi="Times New Roman" w:eastAsia="宋体" w:cs="Times New Roman"/>
            <w:kern w:val="2"/>
            <w:sz w:val="21"/>
            <w:szCs w:val="21"/>
            <w:lang w:val="zh-CN" w:eastAsia="zh-CN" w:bidi="ar-SA"/>
          </w:rPr>
          <w:fldChar w:fldCharType="end"/>
        </w:r>
        <w:r>
          <w:rPr>
            <w:rFonts w:hint="eastAsia" w:ascii="Times New Roman" w:hAnsi="Times New Roman" w:eastAsia="宋体" w:cs="Times New Roman"/>
            <w:kern w:val="2"/>
            <w:sz w:val="21"/>
            <w:szCs w:val="21"/>
            <w:lang w:val="zh-CN" w:eastAsia="zh-CN" w:bidi="ar-SA"/>
          </w:rPr>
          <w:t xml:space="preserve">                                                                                                                                                              </w:t>
        </w:r>
        <w:r>
          <w:rPr>
            <w:rFonts w:hint="eastAsia" w:ascii="黑体" w:hAnsi="Times New Roman" w:eastAsia="黑体" w:cs="Times New Roman"/>
            <w:kern w:val="2"/>
            <w:sz w:val="21"/>
            <w:szCs w:val="21"/>
            <w:lang w:val="en-US" w:eastAsia="zh-CN" w:bidi="ar-SA"/>
          </w:rPr>
          <w:t>北京交科公路勘察设计研究院有限公司</w:t>
        </w:r>
      </w:p>
    </w:sdtContent>
  </w:sdt>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4D05D9">
    <w:pPr>
      <w:widowControl w:val="0"/>
      <w:pBdr>
        <w:top w:val="thinThickSmallGap" w:color="auto" w:sz="12" w:space="1"/>
      </w:pBdr>
      <w:snapToGrid w:val="0"/>
      <w:jc w:val="distribute"/>
      <w:rPr>
        <w:rFonts w:ascii="Times New Roman" w:hAnsi="Times New Roman" w:eastAsia="宋体" w:cs="Times New Roman"/>
        <w:kern w:val="2"/>
        <w:sz w:val="18"/>
        <w:szCs w:val="18"/>
        <w:lang w:val="en-US" w:eastAsia="zh-CN" w:bidi="ar-SA"/>
      </w:rPr>
    </w:pPr>
    <w:r>
      <w:rPr>
        <w:rFonts w:hint="eastAsia" w:ascii="黑体" w:hAnsi="Times New Roman" w:eastAsia="黑体" w:cs="Times New Roman"/>
        <w:kern w:val="2"/>
        <w:sz w:val="21"/>
        <w:szCs w:val="21"/>
        <w:lang w:val="en-US" w:eastAsia="zh-CN" w:bidi="ar-SA"/>
      </w:rPr>
      <w:t xml:space="preserve">北京交科公路勘察设计研究院有限公司                                          </w:t>
    </w:r>
    <w:sdt>
      <w:sdtPr>
        <w:rPr>
          <w:rFonts w:ascii="Times New Roman" w:hAnsi="Times New Roman" w:eastAsia="宋体" w:cs="Times New Roman"/>
          <w:kern w:val="2"/>
          <w:sz w:val="21"/>
          <w:szCs w:val="21"/>
          <w:lang w:val="en-US" w:eastAsia="zh-CN" w:bidi="ar-SA"/>
        </w:rPr>
        <w:id w:val="28539376"/>
      </w:sdtPr>
      <w:sdtEndPr>
        <w:rPr>
          <w:rFonts w:ascii="Times New Roman" w:hAnsi="Times New Roman" w:eastAsia="宋体" w:cs="Times New Roman"/>
          <w:kern w:val="2"/>
          <w:sz w:val="18"/>
          <w:szCs w:val="18"/>
          <w:lang w:val="en-US" w:eastAsia="zh-CN" w:bidi="ar-SA"/>
        </w:rPr>
      </w:sdtEndPr>
      <w:sdtContent>
        <w:r>
          <w:rPr>
            <w:rFonts w:ascii="Times New Roman" w:hAnsi="Times New Roman" w:eastAsia="宋体" w:cs="Times New Roman"/>
            <w:kern w:val="2"/>
            <w:sz w:val="21"/>
            <w:szCs w:val="21"/>
            <w:lang w:val="en-US" w:eastAsia="zh-CN" w:bidi="ar-SA"/>
          </w:rPr>
          <w:fldChar w:fldCharType="begin"/>
        </w:r>
        <w:r>
          <w:rPr>
            <w:rFonts w:ascii="Times New Roman" w:hAnsi="Times New Roman" w:eastAsia="宋体" w:cs="Times New Roman"/>
            <w:kern w:val="2"/>
            <w:sz w:val="21"/>
            <w:szCs w:val="21"/>
            <w:lang w:val="en-US" w:eastAsia="zh-CN" w:bidi="ar-SA"/>
          </w:rPr>
          <w:instrText xml:space="preserve"> PAGE   \* MERGEFORMAT </w:instrText>
        </w:r>
        <w:r>
          <w:rPr>
            <w:rFonts w:ascii="Times New Roman" w:hAnsi="Times New Roman" w:eastAsia="宋体" w:cs="Times New Roman"/>
            <w:kern w:val="2"/>
            <w:sz w:val="21"/>
            <w:szCs w:val="21"/>
            <w:lang w:val="en-US" w:eastAsia="zh-CN" w:bidi="ar-SA"/>
          </w:rPr>
          <w:fldChar w:fldCharType="separate"/>
        </w:r>
        <w:r>
          <w:rPr>
            <w:rFonts w:ascii="Times New Roman" w:hAnsi="Times New Roman" w:eastAsia="宋体" w:cs="Times New Roman"/>
            <w:kern w:val="2"/>
            <w:sz w:val="21"/>
            <w:szCs w:val="21"/>
            <w:lang w:val="zh-CN" w:eastAsia="zh-CN" w:bidi="ar-SA"/>
          </w:rPr>
          <w:t>87</w:t>
        </w:r>
        <w:r>
          <w:rPr>
            <w:rFonts w:ascii="Times New Roman" w:hAnsi="Times New Roman" w:eastAsia="宋体" w:cs="Times New Roman"/>
            <w:kern w:val="2"/>
            <w:sz w:val="21"/>
            <w:szCs w:val="21"/>
            <w:lang w:val="zh-CN" w:eastAsia="zh-CN" w:bidi="ar-SA"/>
          </w:rPr>
          <w:fldChar w:fldCharType="end"/>
        </w:r>
      </w:sdtContent>
    </w:sdt>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eastAsia="宋体" w:cs="Times New Roman"/>
        <w:kern w:val="2"/>
        <w:sz w:val="21"/>
        <w:szCs w:val="24"/>
        <w:lang w:val="en-US" w:eastAsia="zh-CN" w:bidi="ar-SA"/>
      </w:rPr>
      <w:id w:val="28539375"/>
    </w:sdtPr>
    <w:sdtEndPr>
      <w:rPr>
        <w:rFonts w:ascii="Times New Roman" w:hAnsi="Times New Roman" w:eastAsia="宋体" w:cs="Times New Roman"/>
        <w:kern w:val="2"/>
        <w:sz w:val="18"/>
        <w:szCs w:val="18"/>
        <w:lang w:val="en-US" w:eastAsia="zh-CN" w:bidi="ar-SA"/>
      </w:rPr>
    </w:sdtEndPr>
    <w:sdtContent>
      <w:p w14:paraId="1B13ED79">
        <w:pPr>
          <w:widowControl w:val="0"/>
          <w:pBdr>
            <w:top w:val="thinThickSmallGap" w:color="auto" w:sz="12" w:space="1"/>
          </w:pBdr>
          <w:snapToGrid w:val="0"/>
          <w:jc w:val="distribute"/>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21"/>
            <w:szCs w:val="21"/>
            <w:lang w:val="en-US" w:eastAsia="zh-CN" w:bidi="ar-SA"/>
          </w:rPr>
          <w:fldChar w:fldCharType="begin"/>
        </w:r>
        <w:r>
          <w:rPr>
            <w:rFonts w:ascii="Times New Roman" w:hAnsi="Times New Roman" w:eastAsia="宋体" w:cs="Times New Roman"/>
            <w:kern w:val="2"/>
            <w:sz w:val="21"/>
            <w:szCs w:val="21"/>
            <w:lang w:val="en-US" w:eastAsia="zh-CN" w:bidi="ar-SA"/>
          </w:rPr>
          <w:instrText xml:space="preserve"> PAGE   \* MERGEFORMAT </w:instrText>
        </w:r>
        <w:r>
          <w:rPr>
            <w:rFonts w:ascii="Times New Roman" w:hAnsi="Times New Roman" w:eastAsia="宋体" w:cs="Times New Roman"/>
            <w:kern w:val="2"/>
            <w:sz w:val="21"/>
            <w:szCs w:val="21"/>
            <w:lang w:val="en-US" w:eastAsia="zh-CN" w:bidi="ar-SA"/>
          </w:rPr>
          <w:fldChar w:fldCharType="separate"/>
        </w:r>
        <w:r>
          <w:rPr>
            <w:rFonts w:ascii="Times New Roman" w:hAnsi="Times New Roman" w:eastAsia="宋体" w:cs="Times New Roman"/>
            <w:kern w:val="2"/>
            <w:sz w:val="21"/>
            <w:szCs w:val="21"/>
            <w:lang w:val="zh-CN" w:eastAsia="zh-CN" w:bidi="ar-SA"/>
          </w:rPr>
          <w:t>86</w:t>
        </w:r>
        <w:r>
          <w:rPr>
            <w:rFonts w:ascii="Times New Roman" w:hAnsi="Times New Roman" w:eastAsia="宋体" w:cs="Times New Roman"/>
            <w:kern w:val="2"/>
            <w:sz w:val="21"/>
            <w:szCs w:val="21"/>
            <w:lang w:val="zh-CN" w:eastAsia="zh-CN" w:bidi="ar-SA"/>
          </w:rPr>
          <w:fldChar w:fldCharType="end"/>
        </w:r>
        <w:r>
          <w:rPr>
            <w:rFonts w:hint="eastAsia" w:ascii="Times New Roman" w:hAnsi="Times New Roman" w:eastAsia="宋体" w:cs="Times New Roman"/>
            <w:kern w:val="2"/>
            <w:sz w:val="21"/>
            <w:szCs w:val="21"/>
            <w:lang w:val="zh-CN" w:eastAsia="zh-CN" w:bidi="ar-SA"/>
          </w:rPr>
          <w:t xml:space="preserve">                                         </w:t>
        </w:r>
        <w:r>
          <w:rPr>
            <w:rFonts w:hint="eastAsia" w:ascii="黑体" w:hAnsi="Times New Roman" w:eastAsia="黑体" w:cs="Times New Roman"/>
            <w:kern w:val="2"/>
            <w:sz w:val="21"/>
            <w:szCs w:val="21"/>
            <w:lang w:val="en-US" w:eastAsia="zh-CN" w:bidi="ar-SA"/>
          </w:rPr>
          <w:t>北京交科公路勘察设计研究院有限公司</w:t>
        </w:r>
      </w:p>
    </w:sdtContent>
  </w:sdt>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A0EC5A">
    <w:pPr>
      <w:widowControl w:val="0"/>
      <w:pBdr>
        <w:top w:val="thinThickSmallGap" w:color="auto" w:sz="12" w:space="1"/>
      </w:pBdr>
      <w:tabs>
        <w:tab w:val="center" w:pos="4153"/>
        <w:tab w:val="right" w:pos="8306"/>
      </w:tabs>
      <w:snapToGrid w:val="0"/>
      <w:spacing w:line="240" w:lineRule="auto"/>
      <w:ind w:firstLine="0" w:firstLineChars="0"/>
      <w:jc w:val="center"/>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PAGE   \* MERGEFORMAT</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zh-CN" w:eastAsia="zh-CN" w:bidi="ar-SA"/>
      </w:rPr>
      <w:t>1</w:t>
    </w:r>
    <w:r>
      <w:rPr>
        <w:rFonts w:ascii="Times New Roman" w:hAnsi="Times New Roman" w:eastAsia="宋体" w:cs="Times New Roman"/>
        <w:kern w:val="2"/>
        <w:sz w:val="18"/>
        <w:szCs w:val="18"/>
        <w:lang w:val="en-US" w:eastAsia="zh-CN" w:bidi="ar-SA"/>
      </w:rPr>
      <w:fldChar w:fldCharType="end"/>
    </w: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eastAsia="宋体" w:cs="Times New Roman"/>
        <w:kern w:val="2"/>
        <w:sz w:val="24"/>
        <w:szCs w:val="22"/>
        <w:lang w:val="en-US" w:eastAsia="zh-CN" w:bidi="ar-SA"/>
      </w:rPr>
      <w:id w:val="849842418"/>
      <w:docPartObj>
        <w:docPartGallery w:val="autotext"/>
      </w:docPartObj>
    </w:sdtPr>
    <w:sdtEndPr>
      <w:rPr>
        <w:rFonts w:ascii="Times New Roman" w:hAnsi="Times New Roman" w:eastAsia="宋体" w:cs="Times New Roman"/>
        <w:kern w:val="2"/>
        <w:sz w:val="18"/>
        <w:szCs w:val="18"/>
        <w:lang w:val="en-US" w:eastAsia="zh-CN" w:bidi="ar-SA"/>
      </w:rPr>
    </w:sdtEndPr>
    <w:sdtContent>
      <w:p w14:paraId="306E5377">
        <w:pPr>
          <w:widowControl w:val="0"/>
          <w:pBdr>
            <w:top w:val="thinThickSmallGap" w:color="auto" w:sz="12" w:space="1"/>
          </w:pBdr>
          <w:tabs>
            <w:tab w:val="center" w:pos="4153"/>
            <w:tab w:val="right" w:pos="8306"/>
          </w:tabs>
          <w:snapToGrid w:val="0"/>
          <w:spacing w:line="240" w:lineRule="auto"/>
          <w:ind w:firstLine="0" w:firstLineChars="0"/>
          <w:jc w:val="center"/>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PAGE   \* MERGEFORMAT</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zh-CN" w:eastAsia="zh-CN" w:bidi="ar-SA"/>
          </w:rPr>
          <w:t>2</w:t>
        </w:r>
        <w:r>
          <w:rPr>
            <w:rFonts w:ascii="Times New Roman" w:hAnsi="Times New Roman" w:eastAsia="宋体" w:cs="Times New Roman"/>
            <w:kern w:val="2"/>
            <w:sz w:val="18"/>
            <w:szCs w:val="18"/>
            <w:lang w:val="en-US" w:eastAsia="zh-CN" w:bidi="ar-SA"/>
          </w:rPr>
          <w:fldChar w:fldCharType="end"/>
        </w:r>
      </w:p>
    </w:sdtContent>
  </w:sdt>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362938">
    <w:pPr>
      <w:widowControl w:val="0"/>
      <w:tabs>
        <w:tab w:val="center" w:pos="4153"/>
        <w:tab w:val="right" w:pos="8306"/>
      </w:tabs>
      <w:snapToGrid w:val="0"/>
      <w:spacing w:line="240" w:lineRule="auto"/>
      <w:ind w:firstLine="360" w:firstLineChars="200"/>
      <w:jc w:val="left"/>
      <w:rPr>
        <w:rFonts w:ascii="Times New Roman" w:hAnsi="Times New Roman" w:eastAsia="宋体" w:cs="Times New Roman"/>
        <w:kern w:val="2"/>
        <w:sz w:val="18"/>
        <w:szCs w:val="18"/>
        <w:lang w:val="en-US" w:eastAsia="zh-CN" w:bidi="ar-SA"/>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1B54FA">
    <w:pPr>
      <w:widowControl w:val="0"/>
      <w:pBdr>
        <w:top w:val="thinThickSmallGap" w:color="auto" w:sz="12" w:space="1"/>
      </w:pBdr>
      <w:snapToGrid w:val="0"/>
      <w:jc w:val="left"/>
      <w:rPr>
        <w:rFonts w:ascii="Times New Roman" w:hAnsi="Times New Roman" w:eastAsia="宋体" w:cs="Times New Roman"/>
        <w:kern w:val="2"/>
        <w:sz w:val="18"/>
        <w:szCs w:val="18"/>
        <w:lang w:val="en-US" w:eastAsia="zh-CN" w:bidi="ar-SA"/>
      </w:rPr>
    </w:pPr>
    <w:r>
      <w:rPr>
        <w:rFonts w:hint="eastAsia" w:ascii="黑体" w:hAnsi="Times New Roman" w:eastAsia="黑体" w:cs="Times New Roman"/>
        <w:kern w:val="2"/>
        <w:sz w:val="21"/>
        <w:szCs w:val="21"/>
        <w:lang w:val="en-US" w:eastAsia="zh-CN" w:bidi="ar-SA"/>
      </w:rPr>
      <w:t xml:space="preserve">北京交科公路勘察设计研究院有限公司            </w:t>
    </w:r>
    <w:sdt>
      <w:sdtPr>
        <w:rPr>
          <w:rFonts w:ascii="Times New Roman" w:hAnsi="Times New Roman" w:eastAsia="宋体" w:cs="Times New Roman"/>
          <w:kern w:val="2"/>
          <w:sz w:val="18"/>
          <w:szCs w:val="18"/>
          <w:lang w:val="en-US" w:eastAsia="zh-CN" w:bidi="ar-SA"/>
        </w:rPr>
        <w:id w:val="2597637"/>
      </w:sdtPr>
      <w:sdtEndPr>
        <w:rPr>
          <w:rFonts w:ascii="Times New Roman" w:hAnsi="Times New Roman" w:eastAsia="宋体" w:cs="Times New Roman"/>
          <w:kern w:val="2"/>
          <w:sz w:val="18"/>
          <w:szCs w:val="18"/>
          <w:lang w:val="en-US" w:eastAsia="zh-CN" w:bidi="ar-SA"/>
        </w:rPr>
      </w:sdtEndPr>
      <w:sdtContent>
        <w:r>
          <w:rPr>
            <w:rFonts w:hint="eastAsia" w:ascii="Times New Roman" w:hAnsi="Times New Roman" w:eastAsia="宋体" w:cs="Times New Roman"/>
            <w:kern w:val="2"/>
            <w:sz w:val="18"/>
            <w:szCs w:val="18"/>
            <w:lang w:val="en-US" w:eastAsia="zh-CN" w:bidi="ar-SA"/>
          </w:rPr>
          <w:t xml:space="preserve">                                     </w:t>
        </w: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 PAGE   \* MERGEFORMAT </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zh-CN" w:eastAsia="zh-CN" w:bidi="ar-SA"/>
          </w:rPr>
          <w:t>5</w:t>
        </w:r>
        <w:r>
          <w:rPr>
            <w:rFonts w:ascii="Times New Roman" w:hAnsi="Times New Roman" w:eastAsia="宋体" w:cs="Times New Roman"/>
            <w:kern w:val="2"/>
            <w:sz w:val="18"/>
            <w:szCs w:val="18"/>
            <w:lang w:val="zh-CN" w:eastAsia="zh-CN" w:bidi="ar-SA"/>
          </w:rPr>
          <w:fldChar w:fldCharType="end"/>
        </w:r>
        <w:r>
          <w:rPr>
            <w:rFonts w:hint="eastAsia" w:ascii="Times New Roman" w:hAnsi="Times New Roman" w:eastAsia="宋体" w:cs="Times New Roman"/>
            <w:kern w:val="2"/>
            <w:sz w:val="18"/>
            <w:szCs w:val="18"/>
            <w:lang w:val="en-US" w:eastAsia="zh-CN" w:bidi="ar-SA"/>
          </w:rPr>
          <w:t xml:space="preserve">                                                                                                 </w:t>
        </w:r>
      </w:sdtContent>
    </w:sdt>
  </w:p>
</w:ftr>
</file>

<file path=word/footer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DF4DA2">
    <w:pPr>
      <w:widowControl w:val="0"/>
      <w:pBdr>
        <w:top w:val="thinThickSmallGap" w:color="auto" w:sz="12" w:space="1"/>
      </w:pBdr>
      <w:tabs>
        <w:tab w:val="center" w:pos="4153"/>
        <w:tab w:val="right" w:pos="8306"/>
      </w:tabs>
      <w:snapToGrid w:val="0"/>
      <w:spacing w:line="240" w:lineRule="auto"/>
      <w:ind w:firstLine="0" w:firstLineChars="0"/>
      <w:jc w:val="center"/>
      <w:rPr>
        <w:rFonts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 xml:space="preserve">                                                                                          </w:t>
    </w: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PAGE   \* MERGEFORMAT</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zh-CN" w:eastAsia="zh-CN" w:bidi="ar-SA"/>
      </w:rPr>
      <w:t>1</w:t>
    </w:r>
    <w:r>
      <w:rPr>
        <w:rFonts w:ascii="Times New Roman" w:hAnsi="Times New Roman" w:eastAsia="宋体" w:cs="Times New Roman"/>
        <w:kern w:val="2"/>
        <w:sz w:val="18"/>
        <w:szCs w:val="18"/>
        <w:lang w:val="en-US" w:eastAsia="zh-CN" w:bidi="ar-SA"/>
      </w:rPr>
      <w:fldChar w:fldCharType="end"/>
    </w:r>
  </w:p>
</w:ftr>
</file>

<file path=word/footer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eastAsia="宋体" w:cs="Times New Roman"/>
        <w:kern w:val="2"/>
        <w:sz w:val="24"/>
        <w:szCs w:val="22"/>
        <w:lang w:val="en-US" w:eastAsia="zh-CN" w:bidi="ar-SA"/>
      </w:rPr>
      <w:id w:val="147473539"/>
      <w:docPartObj>
        <w:docPartGallery w:val="autotext"/>
      </w:docPartObj>
    </w:sdtPr>
    <w:sdtEndPr>
      <w:rPr>
        <w:rFonts w:ascii="Times New Roman" w:hAnsi="Times New Roman" w:eastAsia="宋体" w:cs="Times New Roman"/>
        <w:kern w:val="2"/>
        <w:sz w:val="18"/>
        <w:szCs w:val="18"/>
        <w:lang w:val="en-US" w:eastAsia="zh-CN" w:bidi="ar-SA"/>
      </w:rPr>
    </w:sdtEndPr>
    <w:sdtContent>
      <w:p w14:paraId="3528D271">
        <w:pPr>
          <w:widowControl w:val="0"/>
          <w:pBdr>
            <w:top w:val="thinThickSmallGap" w:color="auto" w:sz="12" w:space="1"/>
          </w:pBdr>
          <w:tabs>
            <w:tab w:val="center" w:pos="4153"/>
            <w:tab w:val="right" w:pos="8306"/>
          </w:tabs>
          <w:snapToGrid w:val="0"/>
          <w:spacing w:line="240" w:lineRule="auto"/>
          <w:ind w:firstLine="0" w:firstLineChars="0"/>
          <w:jc w:val="both"/>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PAGE   \* MERGEFORMAT</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zh-CN" w:eastAsia="zh-CN" w:bidi="ar-SA"/>
          </w:rPr>
          <w:t>2</w:t>
        </w:r>
        <w:r>
          <w:rPr>
            <w:rFonts w:ascii="Times New Roman" w:hAnsi="Times New Roman" w:eastAsia="宋体" w:cs="Times New Roman"/>
            <w:kern w:val="2"/>
            <w:sz w:val="18"/>
            <w:szCs w:val="18"/>
            <w:lang w:val="en-US" w:eastAsia="zh-CN" w:bidi="ar-SA"/>
          </w:rPr>
          <w:fldChar w:fldCharType="end"/>
        </w:r>
      </w:p>
    </w:sdtContent>
  </w:sdt>
</w:ftr>
</file>

<file path=word/footer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D0B6D5">
    <w:pPr>
      <w:pBdr>
        <w:top w:val="thinThickSmallGap" w:color="auto" w:sz="12" w:space="1"/>
      </w:pBdr>
      <w:spacing w:line="240" w:lineRule="auto"/>
      <w:ind w:firstLine="0" w:firstLineChars="0"/>
      <w:jc w:val="left"/>
      <w:rPr>
        <w:rFonts w:ascii="Times New Roman" w:hAnsi="Times New Roman" w:eastAsia="宋体" w:cs="Times New Roman"/>
        <w:b/>
        <w:bCs/>
        <w:sz w:val="21"/>
        <w:szCs w:val="21"/>
      </w:rPr>
    </w:pPr>
    <w:r>
      <w:rPr>
        <w:rFonts w:hint="eastAsia" w:ascii="Times New Roman" w:hAnsi="Times New Roman" w:eastAsia="宋体" w:cs="Times New Roman"/>
        <w:b/>
        <w:bCs/>
        <w:sz w:val="21"/>
        <w:szCs w:val="21"/>
        <w:lang w:val="en-US" w:eastAsia="zh-CN"/>
      </w:rPr>
      <w:t>北京交科公路勘察设计研究院有限公司</w:t>
    </w:r>
    <w:r>
      <w:rPr>
        <w:rFonts w:ascii="Times New Roman" w:hAnsi="Times New Roman" w:eastAsia="宋体" w:cs="Times New Roman"/>
        <w:b/>
        <w:bCs/>
        <w:sz w:val="21"/>
        <w:szCs w:val="21"/>
      </w:rPr>
      <w:t xml:space="preserve">                              </w:t>
    </w:r>
    <w:r>
      <w:rPr>
        <w:rFonts w:hint="eastAsia" w:ascii="Times New Roman" w:hAnsi="Times New Roman" w:eastAsia="宋体" w:cs="Times New Roman"/>
        <w:b/>
        <w:bCs/>
        <w:sz w:val="21"/>
        <w:szCs w:val="21"/>
        <w:lang w:val="en-US" w:eastAsia="zh-CN"/>
      </w:rPr>
      <w:t xml:space="preserve">      </w:t>
    </w:r>
    <w:r>
      <w:rPr>
        <w:rFonts w:ascii="Times New Roman" w:hAnsi="Times New Roman" w:eastAsia="宋体" w:cs="Times New Roman"/>
        <w:b/>
        <w:bCs/>
        <w:sz w:val="21"/>
        <w:szCs w:val="21"/>
      </w:rPr>
      <w:t xml:space="preserve">  </w:t>
    </w:r>
    <w:r>
      <w:rPr>
        <w:rFonts w:hint="eastAsia" w:ascii="Times New Roman" w:hAnsi="Times New Roman" w:eastAsia="宋体" w:cs="Times New Roman"/>
        <w:b/>
        <w:bCs/>
        <w:sz w:val="21"/>
        <w:szCs w:val="21"/>
        <w:lang w:val="en-US" w:eastAsia="zh-CN"/>
      </w:rPr>
      <w:t xml:space="preserve">      </w:t>
    </w:r>
    <w:r>
      <w:rPr>
        <w:rFonts w:ascii="Times New Roman" w:hAnsi="Times New Roman" w:eastAsia="宋体" w:cs="Times New Roman"/>
        <w:b/>
        <w:bCs/>
        <w:sz w:val="21"/>
        <w:szCs w:val="21"/>
      </w:rPr>
      <w:t xml:space="preserve"> </w:t>
    </w:r>
    <w:r>
      <w:rPr>
        <w:rFonts w:ascii="Times New Roman" w:hAnsi="Times New Roman" w:eastAsia="宋体" w:cs="Times New Roman"/>
        <w:b/>
        <w:bCs/>
        <w:sz w:val="21"/>
        <w:szCs w:val="21"/>
      </w:rPr>
      <w:fldChar w:fldCharType="begin"/>
    </w:r>
    <w:r>
      <w:rPr>
        <w:rFonts w:ascii="Times New Roman" w:hAnsi="Times New Roman" w:eastAsia="宋体" w:cs="Times New Roman"/>
        <w:b/>
        <w:bCs/>
        <w:sz w:val="21"/>
        <w:szCs w:val="21"/>
      </w:rPr>
      <w:instrText xml:space="preserve">PAGE   \* MERGEFORMAT</w:instrText>
    </w:r>
    <w:r>
      <w:rPr>
        <w:rFonts w:ascii="Times New Roman" w:hAnsi="Times New Roman" w:eastAsia="宋体" w:cs="Times New Roman"/>
        <w:b/>
        <w:bCs/>
        <w:sz w:val="21"/>
        <w:szCs w:val="21"/>
      </w:rPr>
      <w:fldChar w:fldCharType="separate"/>
    </w:r>
    <w:r>
      <w:rPr>
        <w:rFonts w:ascii="Times New Roman" w:hAnsi="Times New Roman" w:eastAsia="宋体" w:cs="Times New Roman"/>
        <w:b/>
        <w:bCs/>
        <w:sz w:val="21"/>
        <w:szCs w:val="21"/>
        <w:lang w:val="zh-CN"/>
      </w:rPr>
      <w:t>1</w:t>
    </w:r>
    <w:r>
      <w:rPr>
        <w:rFonts w:ascii="Times New Roman" w:hAnsi="Times New Roman" w:eastAsia="宋体" w:cs="Times New Roman"/>
        <w:b/>
        <w:bCs/>
        <w:sz w:val="21"/>
        <w:szCs w:val="21"/>
      </w:rPr>
      <w:fldChar w:fldCharType="end"/>
    </w:r>
    <w:r>
      <w:rPr>
        <w:rFonts w:ascii="Times New Roman" w:hAnsi="Times New Roman" w:eastAsia="宋体" w:cs="Times New Roman"/>
        <w:b/>
        <w:bCs/>
        <w:sz w:val="21"/>
        <w:szCs w:val="21"/>
      </w:rPr>
      <w:t xml:space="preserve"> </w:t>
    </w:r>
    <w:r>
      <w:rPr>
        <w:rFonts w:hint="eastAsia" w:ascii="Times New Roman" w:hAnsi="Times New Roman" w:eastAsia="宋体" w:cs="Times New Roman"/>
        <w:b/>
        <w:bCs/>
        <w:sz w:val="21"/>
        <w:szCs w:val="21"/>
      </w:rPr>
      <w:t xml:space="preserve">  </w:t>
    </w:r>
    <w:r>
      <w:rPr>
        <w:rFonts w:ascii="Times New Roman" w:hAnsi="Times New Roman" w:eastAsia="宋体" w:cs="Times New Roman"/>
        <w:b/>
        <w:bCs/>
        <w:sz w:val="21"/>
        <w:szCs w:val="21"/>
      </w:rPr>
      <w:t xml:space="preserve">         </w:t>
    </w:r>
  </w:p>
</w:ftr>
</file>

<file path=word/footer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CAD847">
    <w:pPr>
      <w:pBdr>
        <w:top w:val="thinThickSmallGap" w:color="auto" w:sz="12" w:space="1"/>
      </w:pBdr>
      <w:spacing w:line="240" w:lineRule="auto"/>
      <w:ind w:firstLine="0" w:firstLineChars="0"/>
      <w:rPr>
        <w:rFonts w:ascii="Times New Roman" w:hAnsi="Times New Roman" w:eastAsia="宋体" w:cs="Times New Roman"/>
        <w:b/>
        <w:bCs/>
        <w:sz w:val="21"/>
        <w:szCs w:val="21"/>
      </w:rPr>
    </w:pPr>
    <w:r>
      <w:rPr>
        <w:rFonts w:ascii="Times New Roman" w:hAnsi="Times New Roman" w:eastAsia="宋体" w:cs="Times New Roman"/>
        <w:b/>
        <w:bCs/>
        <w:sz w:val="21"/>
        <w:szCs w:val="21"/>
      </w:rPr>
      <w:fldChar w:fldCharType="begin"/>
    </w:r>
    <w:r>
      <w:rPr>
        <w:rFonts w:ascii="Times New Roman" w:hAnsi="Times New Roman" w:eastAsia="宋体" w:cs="Times New Roman"/>
        <w:b/>
        <w:bCs/>
        <w:sz w:val="21"/>
        <w:szCs w:val="21"/>
      </w:rPr>
      <w:instrText xml:space="preserve"> PAGE   \* MERGEFORMAT </w:instrText>
    </w:r>
    <w:r>
      <w:rPr>
        <w:rFonts w:ascii="Times New Roman" w:hAnsi="Times New Roman" w:eastAsia="宋体" w:cs="Times New Roman"/>
        <w:b/>
        <w:bCs/>
        <w:sz w:val="21"/>
        <w:szCs w:val="21"/>
      </w:rPr>
      <w:fldChar w:fldCharType="separate"/>
    </w:r>
    <w:r>
      <w:rPr>
        <w:rFonts w:ascii="Times New Roman" w:hAnsi="Times New Roman" w:eastAsia="宋体" w:cs="Times New Roman"/>
        <w:b/>
        <w:bCs/>
        <w:sz w:val="21"/>
        <w:szCs w:val="21"/>
      </w:rPr>
      <w:t>6</w:t>
    </w:r>
    <w:r>
      <w:rPr>
        <w:rFonts w:ascii="Times New Roman" w:hAnsi="Times New Roman" w:eastAsia="宋体" w:cs="Times New Roman"/>
        <w:b/>
        <w:bCs/>
        <w:sz w:val="21"/>
        <w:szCs w:val="21"/>
      </w:rPr>
      <w:fldChar w:fldCharType="end"/>
    </w:r>
    <w:r>
      <w:rPr>
        <w:rFonts w:ascii="Times New Roman" w:hAnsi="Times New Roman" w:eastAsia="宋体" w:cs="Times New Roman"/>
        <w:b/>
        <w:bCs/>
        <w:sz w:val="21"/>
        <w:szCs w:val="21"/>
      </w:rPr>
      <w:t xml:space="preserve">      </w:t>
    </w:r>
    <w:r>
      <w:rPr>
        <w:rFonts w:hint="eastAsia" w:ascii="Times New Roman" w:hAnsi="Times New Roman" w:eastAsia="宋体" w:cs="Times New Roman"/>
        <w:b/>
        <w:bCs/>
        <w:sz w:val="21"/>
        <w:szCs w:val="21"/>
      </w:rPr>
      <w:t xml:space="preserve">    </w:t>
    </w:r>
    <w:r>
      <w:rPr>
        <w:rFonts w:ascii="Times New Roman" w:hAnsi="Times New Roman" w:eastAsia="宋体" w:cs="Times New Roman"/>
        <w:b/>
        <w:bCs/>
        <w:sz w:val="21"/>
        <w:szCs w:val="21"/>
      </w:rPr>
      <w:t xml:space="preserve">                                   </w:t>
    </w:r>
    <w:r>
      <w:rPr>
        <w:rFonts w:hint="eastAsia" w:ascii="Times New Roman" w:hAnsi="Times New Roman" w:eastAsia="宋体" w:cs="Times New Roman"/>
        <w:b/>
        <w:bCs/>
        <w:sz w:val="21"/>
        <w:szCs w:val="21"/>
        <w:lang w:val="en-US" w:eastAsia="zh-CN"/>
      </w:rPr>
      <w:t>北京交科公路勘察设计研究院有限公司</w:t>
    </w:r>
    <w:r>
      <w:rPr>
        <w:rFonts w:ascii="Times New Roman" w:hAnsi="Times New Roman" w:eastAsia="宋体" w:cs="Times New Roman"/>
        <w:b/>
        <w:bCs/>
        <w:sz w:val="21"/>
        <w:szCs w:val="21"/>
      </w:rPr>
      <w:t xml:space="preserve"> </w:t>
    </w:r>
  </w:p>
</w:ftr>
</file>

<file path=word/footer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0B0E84">
    <w:pPr>
      <w:pBdr>
        <w:top w:val="thinThickSmallGap" w:color="auto" w:sz="12" w:space="1"/>
      </w:pBdr>
      <w:spacing w:line="240" w:lineRule="auto"/>
      <w:ind w:firstLine="0" w:firstLineChars="0"/>
      <w:jc w:val="left"/>
      <w:rPr>
        <w:rFonts w:ascii="Times New Roman" w:hAnsi="Times New Roman" w:eastAsia="宋体" w:cs="Times New Roman"/>
        <w:b/>
        <w:bCs/>
        <w:sz w:val="21"/>
        <w:szCs w:val="21"/>
      </w:rPr>
    </w:pPr>
    <w:r>
      <w:rPr>
        <w:rFonts w:hint="eastAsia" w:ascii="Times New Roman" w:hAnsi="Times New Roman" w:eastAsia="宋体" w:cs="Times New Roman"/>
        <w:b/>
        <w:bCs/>
        <w:sz w:val="21"/>
        <w:szCs w:val="21"/>
        <w:lang w:val="en-US" w:eastAsia="zh-CN"/>
      </w:rPr>
      <w:t>北京交科公路勘察设计研究院有限公司</w:t>
    </w:r>
    <w:r>
      <w:rPr>
        <w:rFonts w:ascii="Times New Roman" w:hAnsi="Times New Roman" w:eastAsia="宋体" w:cs="Times New Roman"/>
        <w:b/>
        <w:bCs/>
        <w:sz w:val="21"/>
        <w:szCs w:val="21"/>
      </w:rPr>
      <w:t xml:space="preserve">                  </w:t>
    </w:r>
    <w:r>
      <w:rPr>
        <w:rFonts w:hint="eastAsia" w:ascii="Times New Roman" w:hAnsi="Times New Roman" w:eastAsia="宋体" w:cs="Times New Roman"/>
        <w:b/>
        <w:bCs/>
        <w:sz w:val="21"/>
        <w:szCs w:val="21"/>
        <w:lang w:val="en-US" w:eastAsia="zh-CN"/>
      </w:rPr>
      <w:t xml:space="preserve">     </w:t>
    </w:r>
    <w:r>
      <w:rPr>
        <w:rFonts w:ascii="Times New Roman" w:hAnsi="Times New Roman" w:eastAsia="宋体" w:cs="Times New Roman"/>
        <w:b/>
        <w:bCs/>
        <w:sz w:val="21"/>
        <w:szCs w:val="21"/>
      </w:rPr>
      <w:t xml:space="preserve">       </w:t>
    </w:r>
    <w:r>
      <w:rPr>
        <w:rFonts w:hint="eastAsia" w:ascii="Times New Roman" w:hAnsi="Times New Roman" w:eastAsia="宋体" w:cs="Times New Roman"/>
        <w:b/>
        <w:bCs/>
        <w:sz w:val="21"/>
        <w:szCs w:val="21"/>
      </w:rPr>
      <w:t xml:space="preserve">  </w:t>
    </w:r>
    <w:r>
      <w:rPr>
        <w:rFonts w:hint="eastAsia" w:ascii="Times New Roman" w:hAnsi="Times New Roman" w:eastAsia="宋体" w:cs="Times New Roman"/>
        <w:b/>
        <w:bCs/>
        <w:sz w:val="21"/>
        <w:szCs w:val="21"/>
        <w:lang w:val="en-US" w:eastAsia="zh-CN"/>
      </w:rPr>
      <w:t xml:space="preserve"> </w:t>
    </w:r>
    <w:r>
      <w:rPr>
        <w:rFonts w:ascii="Times New Roman" w:hAnsi="Times New Roman" w:eastAsia="宋体" w:cs="Times New Roman"/>
        <w:b/>
        <w:bCs/>
        <w:sz w:val="21"/>
        <w:szCs w:val="21"/>
      </w:rPr>
      <w:t xml:space="preserve">  </w:t>
    </w:r>
    <w:r>
      <w:rPr>
        <w:rFonts w:hint="eastAsia" w:ascii="Times New Roman" w:hAnsi="Times New Roman" w:eastAsia="宋体" w:cs="Times New Roman"/>
        <w:b/>
        <w:bCs/>
        <w:sz w:val="21"/>
        <w:szCs w:val="21"/>
        <w:lang w:val="en-US" w:eastAsia="zh-CN"/>
      </w:rPr>
      <w:t xml:space="preserve">   </w:t>
    </w:r>
    <w:r>
      <w:rPr>
        <w:rFonts w:ascii="Times New Roman" w:hAnsi="Times New Roman" w:eastAsia="宋体" w:cs="Times New Roman"/>
        <w:b/>
        <w:bCs/>
        <w:sz w:val="21"/>
        <w:szCs w:val="21"/>
      </w:rPr>
      <w:t xml:space="preserve">  </w:t>
    </w:r>
    <w:r>
      <w:rPr>
        <w:rFonts w:hint="eastAsia" w:ascii="Times New Roman" w:hAnsi="Times New Roman" w:eastAsia="宋体" w:cs="Times New Roman"/>
        <w:b/>
        <w:bCs/>
        <w:sz w:val="21"/>
        <w:szCs w:val="21"/>
        <w:lang w:val="en-US" w:eastAsia="zh-CN"/>
      </w:rPr>
      <w:t xml:space="preserve">    </w:t>
    </w:r>
    <w:r>
      <w:rPr>
        <w:rFonts w:ascii="Times New Roman" w:hAnsi="Times New Roman" w:eastAsia="宋体" w:cs="Times New Roman"/>
        <w:b/>
        <w:bCs/>
        <w:sz w:val="21"/>
        <w:szCs w:val="21"/>
      </w:rPr>
      <w:fldChar w:fldCharType="begin"/>
    </w:r>
    <w:r>
      <w:rPr>
        <w:rFonts w:ascii="Times New Roman" w:hAnsi="Times New Roman" w:eastAsia="宋体" w:cs="Times New Roman"/>
        <w:b/>
        <w:bCs/>
        <w:sz w:val="21"/>
        <w:szCs w:val="21"/>
      </w:rPr>
      <w:instrText xml:space="preserve">PAGE   \* MERGEFORMAT</w:instrText>
    </w:r>
    <w:r>
      <w:rPr>
        <w:rFonts w:ascii="Times New Roman" w:hAnsi="Times New Roman" w:eastAsia="宋体" w:cs="Times New Roman"/>
        <w:b/>
        <w:bCs/>
        <w:sz w:val="21"/>
        <w:szCs w:val="21"/>
      </w:rPr>
      <w:fldChar w:fldCharType="separate"/>
    </w:r>
    <w:r>
      <w:rPr>
        <w:rFonts w:ascii="Times New Roman" w:hAnsi="Times New Roman" w:eastAsia="宋体" w:cs="Times New Roman"/>
        <w:b/>
        <w:bCs/>
        <w:sz w:val="21"/>
        <w:szCs w:val="21"/>
        <w:lang w:val="zh-CN"/>
      </w:rPr>
      <w:t>1</w:t>
    </w:r>
    <w:r>
      <w:rPr>
        <w:rFonts w:ascii="Times New Roman" w:hAnsi="Times New Roman" w:eastAsia="宋体" w:cs="Times New Roman"/>
        <w:b/>
        <w:bCs/>
        <w:sz w:val="21"/>
        <w:szCs w:val="21"/>
      </w:rPr>
      <w:fldChar w:fldCharType="end"/>
    </w:r>
  </w:p>
</w:ftr>
</file>

<file path=word/footer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5ECF22">
    <w:pPr>
      <w:pBdr>
        <w:top w:val="thinThickSmallGap" w:color="auto" w:sz="12" w:space="1"/>
      </w:pBdr>
      <w:spacing w:line="240" w:lineRule="auto"/>
      <w:ind w:firstLine="0" w:firstLineChars="0"/>
      <w:rPr>
        <w:rFonts w:ascii="Times New Roman" w:hAnsi="Times New Roman" w:eastAsia="宋体" w:cs="Times New Roman"/>
        <w:b/>
        <w:bCs/>
        <w:sz w:val="21"/>
        <w:szCs w:val="21"/>
      </w:rPr>
    </w:pPr>
    <w:r>
      <w:rPr>
        <w:rFonts w:ascii="Times New Roman" w:hAnsi="Times New Roman" w:eastAsia="宋体" w:cs="Times New Roman"/>
        <w:b/>
        <w:bCs/>
        <w:sz w:val="21"/>
        <w:szCs w:val="21"/>
      </w:rPr>
      <w:fldChar w:fldCharType="begin"/>
    </w:r>
    <w:r>
      <w:rPr>
        <w:rFonts w:ascii="Times New Roman" w:hAnsi="Times New Roman" w:eastAsia="宋体" w:cs="Times New Roman"/>
        <w:b/>
        <w:bCs/>
        <w:sz w:val="21"/>
        <w:szCs w:val="21"/>
      </w:rPr>
      <w:instrText xml:space="preserve"> PAGE   \* MERGEFORMAT </w:instrText>
    </w:r>
    <w:r>
      <w:rPr>
        <w:rFonts w:ascii="Times New Roman" w:hAnsi="Times New Roman" w:eastAsia="宋体" w:cs="Times New Roman"/>
        <w:b/>
        <w:bCs/>
        <w:sz w:val="21"/>
        <w:szCs w:val="21"/>
      </w:rPr>
      <w:fldChar w:fldCharType="separate"/>
    </w:r>
    <w:r>
      <w:rPr>
        <w:rFonts w:ascii="Times New Roman" w:hAnsi="Times New Roman" w:eastAsia="宋体" w:cs="Times New Roman"/>
        <w:b/>
        <w:bCs/>
        <w:sz w:val="21"/>
        <w:szCs w:val="21"/>
      </w:rPr>
      <w:t>6</w:t>
    </w:r>
    <w:r>
      <w:rPr>
        <w:rFonts w:ascii="Times New Roman" w:hAnsi="Times New Roman" w:eastAsia="宋体" w:cs="Times New Roman"/>
        <w:b/>
        <w:bCs/>
        <w:sz w:val="21"/>
        <w:szCs w:val="21"/>
      </w:rPr>
      <w:fldChar w:fldCharType="end"/>
    </w:r>
    <w:r>
      <w:rPr>
        <w:rFonts w:ascii="Times New Roman" w:hAnsi="Times New Roman" w:eastAsia="宋体" w:cs="Times New Roman"/>
        <w:b/>
        <w:bCs/>
        <w:sz w:val="21"/>
        <w:szCs w:val="21"/>
      </w:rPr>
      <w:t xml:space="preserve"> </w:t>
    </w:r>
    <w:r>
      <w:rPr>
        <w:rFonts w:hint="eastAsia" w:ascii="Times New Roman" w:hAnsi="Times New Roman" w:eastAsia="宋体" w:cs="Times New Roman"/>
        <w:b/>
        <w:bCs/>
        <w:sz w:val="21"/>
        <w:szCs w:val="21"/>
      </w:rPr>
      <w:t xml:space="preserve">             </w:t>
    </w:r>
    <w:r>
      <w:rPr>
        <w:rFonts w:ascii="Times New Roman" w:hAnsi="Times New Roman" w:eastAsia="宋体" w:cs="Times New Roman"/>
        <w:b/>
        <w:bCs/>
        <w:sz w:val="21"/>
        <w:szCs w:val="21"/>
      </w:rPr>
      <w:t xml:space="preserve">                           </w:t>
    </w:r>
    <w:r>
      <w:rPr>
        <w:rFonts w:hint="eastAsia" w:ascii="Times New Roman" w:hAnsi="Times New Roman" w:eastAsia="宋体" w:cs="Times New Roman"/>
        <w:b/>
        <w:bCs/>
        <w:sz w:val="21"/>
        <w:szCs w:val="21"/>
        <w:lang w:val="en-US" w:eastAsia="zh-CN"/>
      </w:rPr>
      <w:t xml:space="preserve">   北京交科公路勘察设计研究院有限公司</w:t>
    </w:r>
  </w:p>
</w:ftr>
</file>

<file path=word/footer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DF6BAC">
    <w:pPr>
      <w:pBdr>
        <w:top w:val="thinThickSmallGap" w:color="auto" w:sz="12" w:space="1"/>
      </w:pBdr>
      <w:spacing w:line="240" w:lineRule="auto"/>
      <w:ind w:firstLine="0" w:firstLineChars="0"/>
      <w:jc w:val="left"/>
      <w:rPr>
        <w:rFonts w:ascii="Times New Roman" w:hAnsi="Times New Roman" w:eastAsia="宋体" w:cs="Times New Roman"/>
        <w:b/>
        <w:bCs/>
        <w:sz w:val="21"/>
        <w:szCs w:val="21"/>
      </w:rPr>
    </w:pPr>
    <w:r>
      <w:rPr>
        <w:rFonts w:hint="eastAsia" w:ascii="Times New Roman" w:hAnsi="Times New Roman" w:eastAsia="宋体" w:cs="Times New Roman"/>
        <w:b/>
        <w:bCs/>
        <w:sz w:val="21"/>
        <w:szCs w:val="21"/>
        <w:lang w:val="en-US" w:eastAsia="zh-CN"/>
      </w:rPr>
      <w:t>北京交科公路勘察设计研究院有限公司</w:t>
    </w:r>
    <w:r>
      <w:rPr>
        <w:rFonts w:ascii="Times New Roman" w:hAnsi="Times New Roman" w:eastAsia="宋体" w:cs="Times New Roman"/>
        <w:b/>
        <w:bCs/>
        <w:sz w:val="21"/>
        <w:szCs w:val="21"/>
      </w:rPr>
      <w:t xml:space="preserve">                            </w:t>
    </w:r>
    <w:r>
      <w:rPr>
        <w:rFonts w:hint="eastAsia" w:ascii="Times New Roman" w:hAnsi="Times New Roman" w:eastAsia="宋体" w:cs="Times New Roman"/>
        <w:b/>
        <w:bCs/>
        <w:sz w:val="21"/>
        <w:szCs w:val="21"/>
        <w:lang w:val="en-US" w:eastAsia="zh-CN"/>
      </w:rPr>
      <w:t xml:space="preserve">    </w:t>
    </w:r>
    <w:r>
      <w:rPr>
        <w:rFonts w:ascii="Times New Roman" w:hAnsi="Times New Roman" w:eastAsia="宋体" w:cs="Times New Roman"/>
        <w:b/>
        <w:bCs/>
        <w:sz w:val="21"/>
        <w:szCs w:val="21"/>
      </w:rPr>
      <w:t xml:space="preserve">   </w:t>
    </w:r>
    <w:r>
      <w:rPr>
        <w:rFonts w:hint="eastAsia" w:ascii="Times New Roman" w:hAnsi="Times New Roman" w:eastAsia="宋体" w:cs="Times New Roman"/>
        <w:b/>
        <w:bCs/>
        <w:sz w:val="21"/>
        <w:szCs w:val="21"/>
      </w:rPr>
      <w:t xml:space="preserve"> </w:t>
    </w:r>
    <w:r>
      <w:rPr>
        <w:rFonts w:hint="eastAsia" w:ascii="Times New Roman" w:hAnsi="Times New Roman" w:eastAsia="宋体" w:cs="Times New Roman"/>
        <w:b/>
        <w:bCs/>
        <w:sz w:val="21"/>
        <w:szCs w:val="21"/>
        <w:lang w:val="en-US" w:eastAsia="zh-CN"/>
      </w:rPr>
      <w:t xml:space="preserve">  </w:t>
    </w:r>
    <w:r>
      <w:rPr>
        <w:rFonts w:ascii="Times New Roman" w:hAnsi="Times New Roman" w:eastAsia="宋体" w:cs="Times New Roman"/>
        <w:b/>
        <w:bCs/>
        <w:sz w:val="21"/>
        <w:szCs w:val="21"/>
      </w:rPr>
      <w:t xml:space="preserve">    </w:t>
    </w:r>
    <w:r>
      <w:rPr>
        <w:rFonts w:ascii="Times New Roman" w:hAnsi="Times New Roman" w:eastAsia="宋体" w:cs="Times New Roman"/>
        <w:b/>
        <w:bCs/>
        <w:sz w:val="21"/>
        <w:szCs w:val="21"/>
      </w:rPr>
      <w:fldChar w:fldCharType="begin"/>
    </w:r>
    <w:r>
      <w:rPr>
        <w:rFonts w:ascii="Times New Roman" w:hAnsi="Times New Roman" w:eastAsia="宋体" w:cs="Times New Roman"/>
        <w:b/>
        <w:bCs/>
        <w:sz w:val="21"/>
        <w:szCs w:val="21"/>
      </w:rPr>
      <w:instrText xml:space="preserve">PAGE   \* MERGEFORMAT</w:instrText>
    </w:r>
    <w:r>
      <w:rPr>
        <w:rFonts w:ascii="Times New Roman" w:hAnsi="Times New Roman" w:eastAsia="宋体" w:cs="Times New Roman"/>
        <w:b/>
        <w:bCs/>
        <w:sz w:val="21"/>
        <w:szCs w:val="21"/>
      </w:rPr>
      <w:fldChar w:fldCharType="separate"/>
    </w:r>
    <w:r>
      <w:rPr>
        <w:rFonts w:ascii="Times New Roman" w:hAnsi="Times New Roman" w:eastAsia="宋体" w:cs="Times New Roman"/>
        <w:b/>
        <w:bCs/>
        <w:sz w:val="21"/>
        <w:szCs w:val="21"/>
        <w:lang w:val="zh-CN"/>
      </w:rPr>
      <w:t>1</w:t>
    </w:r>
    <w:r>
      <w:rPr>
        <w:rFonts w:ascii="Times New Roman" w:hAnsi="Times New Roman" w:eastAsia="宋体" w:cs="Times New Roman"/>
        <w:b/>
        <w:bCs/>
        <w:sz w:val="21"/>
        <w:szCs w:val="21"/>
      </w:rPr>
      <w:fldChar w:fldCharType="end"/>
    </w:r>
  </w:p>
</w:ftr>
</file>

<file path=word/footer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BCBF68">
    <w:pPr>
      <w:pBdr>
        <w:top w:val="thinThickSmallGap" w:color="auto" w:sz="12" w:space="1"/>
      </w:pBdr>
      <w:spacing w:line="240" w:lineRule="auto"/>
      <w:ind w:firstLine="0" w:firstLineChars="0"/>
      <w:rPr>
        <w:rFonts w:ascii="Times New Roman" w:hAnsi="Times New Roman" w:eastAsia="宋体" w:cs="Times New Roman"/>
        <w:b/>
        <w:bCs/>
        <w:sz w:val="21"/>
        <w:szCs w:val="21"/>
      </w:rPr>
    </w:pPr>
    <w:r>
      <w:rPr>
        <w:rFonts w:ascii="Times New Roman" w:hAnsi="Times New Roman" w:eastAsia="宋体" w:cs="Times New Roman"/>
        <w:b/>
        <w:bCs/>
        <w:sz w:val="21"/>
        <w:szCs w:val="21"/>
      </w:rPr>
      <w:fldChar w:fldCharType="begin"/>
    </w:r>
    <w:r>
      <w:rPr>
        <w:rFonts w:ascii="Times New Roman" w:hAnsi="Times New Roman" w:eastAsia="宋体" w:cs="Times New Roman"/>
        <w:b/>
        <w:bCs/>
        <w:sz w:val="21"/>
        <w:szCs w:val="21"/>
      </w:rPr>
      <w:instrText xml:space="preserve"> PAGE   \* MERGEFORMAT </w:instrText>
    </w:r>
    <w:r>
      <w:rPr>
        <w:rFonts w:ascii="Times New Roman" w:hAnsi="Times New Roman" w:eastAsia="宋体" w:cs="Times New Roman"/>
        <w:b/>
        <w:bCs/>
        <w:sz w:val="21"/>
        <w:szCs w:val="21"/>
      </w:rPr>
      <w:fldChar w:fldCharType="separate"/>
    </w:r>
    <w:r>
      <w:rPr>
        <w:rFonts w:ascii="Times New Roman" w:hAnsi="Times New Roman" w:eastAsia="宋体" w:cs="Times New Roman"/>
        <w:b/>
        <w:bCs/>
        <w:sz w:val="21"/>
        <w:szCs w:val="21"/>
      </w:rPr>
      <w:t>6</w:t>
    </w:r>
    <w:r>
      <w:rPr>
        <w:rFonts w:ascii="Times New Roman" w:hAnsi="Times New Roman" w:eastAsia="宋体" w:cs="Times New Roman"/>
        <w:b/>
        <w:bCs/>
        <w:sz w:val="21"/>
        <w:szCs w:val="21"/>
      </w:rPr>
      <w:fldChar w:fldCharType="end"/>
    </w:r>
    <w:r>
      <w:rPr>
        <w:rFonts w:ascii="Times New Roman" w:hAnsi="Times New Roman" w:eastAsia="宋体" w:cs="Times New Roman"/>
        <w:b/>
        <w:bCs/>
        <w:sz w:val="21"/>
        <w:szCs w:val="21"/>
      </w:rPr>
      <w:t xml:space="preserve"> </w:t>
    </w:r>
    <w:r>
      <w:rPr>
        <w:rFonts w:hint="eastAsia" w:ascii="Times New Roman" w:hAnsi="Times New Roman" w:eastAsia="宋体" w:cs="Times New Roman"/>
        <w:b/>
        <w:bCs/>
        <w:sz w:val="21"/>
        <w:szCs w:val="21"/>
      </w:rPr>
      <w:t xml:space="preserve">             </w:t>
    </w:r>
    <w:r>
      <w:rPr>
        <w:rFonts w:ascii="Times New Roman" w:hAnsi="Times New Roman" w:eastAsia="宋体" w:cs="Times New Roman"/>
        <w:b/>
        <w:bCs/>
        <w:sz w:val="21"/>
        <w:szCs w:val="21"/>
      </w:rPr>
      <w:t xml:space="preserve">                           </w:t>
    </w:r>
    <w:r>
      <w:rPr>
        <w:rFonts w:hint="eastAsia" w:ascii="Times New Roman" w:hAnsi="Times New Roman" w:eastAsia="宋体" w:cs="Times New Roman"/>
        <w:b/>
        <w:bCs/>
        <w:sz w:val="21"/>
        <w:szCs w:val="21"/>
        <w:lang w:val="en-US" w:eastAsia="zh-CN"/>
      </w:rPr>
      <w:t xml:space="preserve">  北京交科公路勘察设计研究院有限公司</w:t>
    </w:r>
  </w:p>
</w:ftr>
</file>

<file path=word/footer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C5C07A">
    <w:pPr>
      <w:pBdr>
        <w:top w:val="thinThickSmallGap" w:color="auto" w:sz="12" w:space="1"/>
      </w:pBdr>
      <w:spacing w:line="240" w:lineRule="auto"/>
      <w:ind w:firstLine="0" w:firstLineChars="0"/>
      <w:rPr>
        <w:rFonts w:ascii="Times New Roman" w:hAnsi="Times New Roman" w:eastAsia="宋体" w:cs="Times New Roman"/>
        <w:b/>
        <w:bCs/>
        <w:sz w:val="21"/>
        <w:szCs w:val="21"/>
      </w:rPr>
    </w:pPr>
    <w:r>
      <w:rPr>
        <w:rFonts w:ascii="Times New Roman" w:hAnsi="Times New Roman" w:eastAsia="宋体" w:cs="Times New Roman"/>
        <w:b/>
        <w:bCs/>
        <w:sz w:val="21"/>
        <w:szCs w:val="21"/>
      </w:rPr>
      <w:fldChar w:fldCharType="begin"/>
    </w:r>
    <w:r>
      <w:rPr>
        <w:rFonts w:ascii="Times New Roman" w:hAnsi="Times New Roman" w:eastAsia="宋体" w:cs="Times New Roman"/>
        <w:b/>
        <w:bCs/>
        <w:sz w:val="21"/>
        <w:szCs w:val="21"/>
      </w:rPr>
      <w:instrText xml:space="preserve"> PAGE   \* MERGEFORMAT </w:instrText>
    </w:r>
    <w:r>
      <w:rPr>
        <w:rFonts w:ascii="Times New Roman" w:hAnsi="Times New Roman" w:eastAsia="宋体" w:cs="Times New Roman"/>
        <w:b/>
        <w:bCs/>
        <w:sz w:val="21"/>
        <w:szCs w:val="21"/>
      </w:rPr>
      <w:fldChar w:fldCharType="separate"/>
    </w:r>
    <w:r>
      <w:rPr>
        <w:rFonts w:ascii="Times New Roman" w:hAnsi="Times New Roman" w:eastAsia="宋体" w:cs="Times New Roman"/>
        <w:b/>
        <w:bCs/>
        <w:sz w:val="21"/>
        <w:szCs w:val="21"/>
      </w:rPr>
      <w:t>6</w:t>
    </w:r>
    <w:r>
      <w:rPr>
        <w:rFonts w:ascii="Times New Roman" w:hAnsi="Times New Roman" w:eastAsia="宋体" w:cs="Times New Roman"/>
        <w:b/>
        <w:bCs/>
        <w:sz w:val="21"/>
        <w:szCs w:val="21"/>
      </w:rPr>
      <w:fldChar w:fldCharType="end"/>
    </w:r>
    <w:r>
      <w:rPr>
        <w:rFonts w:ascii="Times New Roman" w:hAnsi="Times New Roman" w:eastAsia="宋体" w:cs="Times New Roman"/>
        <w:b/>
        <w:bCs/>
        <w:sz w:val="21"/>
        <w:szCs w:val="21"/>
      </w:rPr>
      <w:t xml:space="preserve"> </w:t>
    </w:r>
    <w:r>
      <w:rPr>
        <w:rFonts w:hint="eastAsia" w:ascii="Times New Roman" w:hAnsi="Times New Roman" w:eastAsia="宋体" w:cs="Times New Roman"/>
        <w:b/>
        <w:bCs/>
        <w:sz w:val="21"/>
        <w:szCs w:val="21"/>
      </w:rPr>
      <w:t xml:space="preserve">             </w:t>
    </w:r>
    <w:r>
      <w:rPr>
        <w:rFonts w:ascii="Times New Roman" w:hAnsi="Times New Roman" w:eastAsia="宋体" w:cs="Times New Roman"/>
        <w:b/>
        <w:bCs/>
        <w:sz w:val="21"/>
        <w:szCs w:val="21"/>
      </w:rPr>
      <w:t xml:space="preserve">                           </w:t>
    </w:r>
    <w:r>
      <w:rPr>
        <w:rFonts w:hint="eastAsia" w:ascii="Times New Roman" w:hAnsi="Times New Roman" w:eastAsia="宋体" w:cs="Times New Roman"/>
        <w:b/>
        <w:bCs/>
        <w:sz w:val="21"/>
        <w:szCs w:val="21"/>
        <w:lang w:val="en-US" w:eastAsia="zh-CN"/>
      </w:rPr>
      <w:t xml:space="preserve"> 北京交科公路勘察设计研究院有限公司</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eastAsia="宋体" w:cs="Times New Roman"/>
        <w:kern w:val="2"/>
        <w:sz w:val="21"/>
        <w:szCs w:val="24"/>
        <w:lang w:val="en-US" w:eastAsia="zh-CN" w:bidi="ar-SA"/>
      </w:rPr>
      <w:id w:val="2597636"/>
    </w:sdtPr>
    <w:sdtEndPr>
      <w:rPr>
        <w:rFonts w:ascii="Times New Roman" w:hAnsi="Times New Roman" w:eastAsia="宋体" w:cs="Times New Roman"/>
        <w:kern w:val="2"/>
        <w:sz w:val="18"/>
        <w:szCs w:val="18"/>
        <w:lang w:val="en-US" w:eastAsia="zh-CN" w:bidi="ar-SA"/>
      </w:rPr>
    </w:sdtEndPr>
    <w:sdtContent>
      <w:p w14:paraId="1D935A7A">
        <w:pPr>
          <w:widowControl w:val="0"/>
          <w:pBdr>
            <w:top w:val="thinThickSmallGap" w:color="auto" w:sz="12" w:space="1"/>
          </w:pBdr>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 PAGE   \* MERGEFORMAT </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zh-CN" w:eastAsia="zh-CN" w:bidi="ar-SA"/>
          </w:rPr>
          <w:t>4</w:t>
        </w:r>
        <w:r>
          <w:rPr>
            <w:rFonts w:ascii="Times New Roman" w:hAnsi="Times New Roman" w:eastAsia="宋体" w:cs="Times New Roman"/>
            <w:kern w:val="2"/>
            <w:sz w:val="18"/>
            <w:szCs w:val="18"/>
            <w:lang w:val="zh-CN" w:eastAsia="zh-CN" w:bidi="ar-SA"/>
          </w:rPr>
          <w:fldChar w:fldCharType="end"/>
        </w:r>
        <w:r>
          <w:rPr>
            <w:rFonts w:ascii="Times New Roman" w:hAnsi="Times New Roman" w:eastAsia="宋体" w:cs="Times New Roman"/>
            <w:kern w:val="2"/>
            <w:sz w:val="18"/>
            <w:szCs w:val="18"/>
            <w:lang w:val="zh-CN" w:eastAsia="zh-CN" w:bidi="ar-SA"/>
          </w:rPr>
          <w:t xml:space="preserve">                                                   </w:t>
        </w:r>
        <w:r>
          <w:rPr>
            <w:rFonts w:hint="eastAsia" w:ascii="黑体" w:hAnsi="Times New Roman" w:eastAsia="黑体" w:cs="Times New Roman"/>
            <w:kern w:val="2"/>
            <w:sz w:val="21"/>
            <w:szCs w:val="21"/>
            <w:lang w:val="en-US" w:eastAsia="zh-CN" w:bidi="ar-SA"/>
          </w:rPr>
          <w:t>北京交科公路勘察设计研究院有限公司</w:t>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728A64">
    <w:pPr>
      <w:pStyle w:val="17"/>
      <w:pBdr>
        <w:bottom w:val="thinThickSmallGap" w:color="auto" w:sz="12" w:space="1"/>
      </w:pBdr>
      <w:tabs>
        <w:tab w:val="left" w:pos="7140"/>
        <w:tab w:val="clear" w:pos="8306"/>
      </w:tabs>
      <w:jc w:val="left"/>
      <w:rPr>
        <w:rFonts w:ascii="黑体" w:eastAsia="黑体"/>
        <w:spacing w:val="-6"/>
        <w:sz w:val="21"/>
        <w:szCs w:val="21"/>
      </w:rPr>
    </w:pPr>
    <w:r>
      <w:rPr>
        <w:rFonts w:hint="eastAsia" w:ascii="黑体" w:eastAsia="黑体"/>
        <w:spacing w:val="-6"/>
        <w:sz w:val="21"/>
        <w:szCs w:val="21"/>
      </w:rPr>
      <w:t>G219</w:t>
    </w:r>
    <w:r>
      <w:rPr>
        <w:rFonts w:hint="eastAsia" w:ascii="黑体" w:eastAsia="黑体"/>
        <w:spacing w:val="-6"/>
        <w:sz w:val="21"/>
        <w:szCs w:val="21"/>
        <w:lang w:eastAsia="zh-CN"/>
      </w:rPr>
      <w:t>八盘水磨至伽师沿边通道工程</w:t>
    </w:r>
    <w:r>
      <w:rPr>
        <w:rFonts w:hint="eastAsia" w:ascii="黑体" w:eastAsia="黑体"/>
        <w:spacing w:val="-6"/>
        <w:sz w:val="21"/>
        <w:szCs w:val="21"/>
      </w:rPr>
      <w:t>环境影响报告表</w:t>
    </w:r>
    <w:r>
      <w:rPr>
        <w:rFonts w:ascii="黑体" w:eastAsia="黑体"/>
        <w:spacing w:val="-6"/>
        <w:sz w:val="21"/>
        <w:szCs w:val="21"/>
      </w:rPr>
      <w:tab/>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A1816B">
    <w:pPr>
      <w:widowControl w:val="0"/>
      <w:pBdr>
        <w:bottom w:val="thinThickSmallGap" w:color="auto" w:sz="12" w:space="1"/>
      </w:pBdr>
      <w:snapToGrid w:val="0"/>
      <w:jc w:val="right"/>
      <w:rPr>
        <w:rFonts w:hint="default" w:ascii="黑体" w:hAnsi="Times New Roman" w:eastAsia="黑体" w:cs="Times New Roman"/>
        <w:spacing w:val="-6"/>
        <w:kern w:val="2"/>
        <w:sz w:val="21"/>
        <w:szCs w:val="21"/>
        <w:lang w:val="en-US" w:eastAsia="zh-CN" w:bidi="ar-SA"/>
      </w:rPr>
    </w:pPr>
    <w:r>
      <w:rPr>
        <w:rFonts w:hint="eastAsia" w:ascii="黑体" w:hAnsi="Times New Roman" w:eastAsia="黑体" w:cs="Times New Roman"/>
        <w:spacing w:val="-6"/>
        <w:kern w:val="2"/>
        <w:sz w:val="21"/>
        <w:szCs w:val="21"/>
        <w:lang w:val="en-US" w:eastAsia="zh-CN" w:bidi="ar-SA"/>
      </w:rPr>
      <w:t>1 总论</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4D9B2B">
    <w:pPr>
      <w:widowControl w:val="0"/>
      <w:pBdr>
        <w:bottom w:val="thinThickSmallGap" w:color="auto" w:sz="12" w:space="1"/>
      </w:pBdr>
      <w:snapToGrid w:val="0"/>
      <w:ind w:firstLine="99" w:firstLineChars="50"/>
      <w:jc w:val="right"/>
      <w:rPr>
        <w:rFonts w:ascii="Times New Roman" w:hAnsi="Times New Roman" w:eastAsia="宋体" w:cs="Times New Roman"/>
        <w:spacing w:val="-6"/>
        <w:kern w:val="2"/>
        <w:sz w:val="21"/>
        <w:szCs w:val="21"/>
        <w:lang w:val="en-US" w:eastAsia="zh-CN" w:bidi="ar-SA"/>
      </w:rPr>
    </w:pPr>
    <w:r>
      <w:rPr>
        <w:rFonts w:hint="eastAsia" w:ascii="黑体" w:hAnsi="Times New Roman" w:eastAsia="黑体" w:cs="Times New Roman"/>
        <w:spacing w:val="-6"/>
        <w:kern w:val="2"/>
        <w:sz w:val="21"/>
        <w:szCs w:val="21"/>
        <w:lang w:val="en-US" w:eastAsia="zh-CN" w:bidi="ar-SA"/>
      </w:rPr>
      <w:t>1</w:t>
    </w:r>
    <w:r>
      <w:rPr>
        <w:rFonts w:ascii="黑体" w:hAnsi="Times New Roman" w:eastAsia="黑体" w:cs="Times New Roman"/>
        <w:spacing w:val="-6"/>
        <w:kern w:val="2"/>
        <w:sz w:val="21"/>
        <w:szCs w:val="21"/>
        <w:lang w:val="en-US" w:eastAsia="zh-CN" w:bidi="ar-SA"/>
      </w:rPr>
      <w:t xml:space="preserve">  总则</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CE96AA">
    <w:pPr>
      <w:widowControl w:val="0"/>
      <w:pBdr>
        <w:bottom w:val="thinThickSmallGap" w:color="auto" w:sz="12" w:space="1"/>
      </w:pBdr>
      <w:snapToGrid w:val="0"/>
      <w:jc w:val="left"/>
      <w:rPr>
        <w:rFonts w:ascii="黑体" w:hAnsi="Times New Roman" w:eastAsia="黑体" w:cs="Times New Roman"/>
        <w:spacing w:val="-6"/>
        <w:kern w:val="2"/>
        <w:sz w:val="21"/>
        <w:szCs w:val="21"/>
        <w:lang w:val="en-US" w:eastAsia="zh-CN" w:bidi="ar-SA"/>
      </w:rPr>
    </w:pPr>
    <w:r>
      <w:rPr>
        <w:rFonts w:hint="eastAsia" w:ascii="黑体" w:hAnsi="Times New Roman" w:eastAsia="黑体" w:cs="Times New Roman"/>
        <w:spacing w:val="-6"/>
        <w:kern w:val="2"/>
        <w:sz w:val="21"/>
        <w:szCs w:val="21"/>
        <w:lang w:val="en-US" w:eastAsia="zh-CN" w:bidi="ar-SA"/>
      </w:rPr>
      <w:t>G219八盘水磨至伽师沿边通道工程声环境专项评价</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A7EB8A">
    <w:pPr>
      <w:pBdr>
        <w:bottom w:val="thinThickSmallGap" w:color="auto" w:sz="12" w:space="1"/>
      </w:pBdr>
      <w:jc w:val="right"/>
      <w:rPr>
        <w:rFonts w:ascii="Times New Roman" w:hAnsi="Times New Roman" w:eastAsia="黑体" w:cs="Times New Roman"/>
      </w:rPr>
    </w:pPr>
    <w:r>
      <w:rPr>
        <w:rFonts w:ascii="Times New Roman" w:hAnsi="Times New Roman" w:eastAsia="黑体" w:cs="Times New Roman"/>
      </w:rPr>
      <w:t xml:space="preserve">                       </w:t>
    </w:r>
    <w:r>
      <w:rPr>
        <w:rFonts w:hint="eastAsia" w:ascii="Times New Roman" w:hAnsi="Times New Roman" w:eastAsia="黑体" w:cs="Times New Roman"/>
      </w:rPr>
      <w:t xml:space="preserve">          </w:t>
    </w:r>
    <w:r>
      <w:rPr>
        <w:rFonts w:ascii="Times New Roman" w:hAnsi="Times New Roman" w:eastAsia="黑体" w:cs="Times New Roman"/>
      </w:rPr>
      <w:t xml:space="preserve">                        </w:t>
    </w:r>
    <w:r>
      <w:rPr>
        <w:rFonts w:hint="eastAsia" w:ascii="Times New Roman" w:hAnsi="Times New Roman" w:eastAsia="黑体" w:cs="Times New Roman"/>
      </w:rPr>
      <w:t xml:space="preserve">                                 </w:t>
    </w:r>
    <w:r>
      <w:rPr>
        <w:rFonts w:ascii="Times New Roman" w:hAnsi="Times New Roman" w:eastAsia="黑体" w:cs="Times New Roman"/>
      </w:rPr>
      <w:t xml:space="preserve">                   </w:t>
    </w:r>
    <w:r>
      <w:rPr>
        <w:rFonts w:hint="eastAsia" w:ascii="Times New Roman" w:hAnsi="Times New Roman" w:eastAsia="黑体" w:cs="Times New Roman"/>
      </w:rPr>
      <w:t xml:space="preserve">        </w:t>
    </w:r>
    <w:r>
      <w:rPr>
        <w:rFonts w:ascii="Times New Roman" w:hAnsi="Times New Roman" w:eastAsia="黑体" w:cs="Times New Roman"/>
      </w:rPr>
      <w:t xml:space="preserve">    </w:t>
    </w:r>
    <w:r>
      <w:rPr>
        <w:rFonts w:hint="eastAsia" w:ascii="Times New Roman" w:hAnsi="Times New Roman" w:eastAsia="黑体" w:cs="Times New Roman"/>
      </w:rPr>
      <w:t xml:space="preserve">   </w:t>
    </w:r>
    <w:r>
      <w:rPr>
        <w:rFonts w:ascii="Times New Roman" w:hAnsi="Times New Roman" w:eastAsia="黑体" w:cs="Times New Roman"/>
      </w:rPr>
      <w:t xml:space="preserve">1 </w:t>
    </w:r>
    <w:r>
      <w:rPr>
        <w:rFonts w:hint="eastAsia" w:ascii="Times New Roman" w:hAnsi="Times New Roman" w:eastAsia="黑体" w:cs="Times New Roman"/>
      </w:rPr>
      <w:t>总则</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B19F29">
    <w:pPr>
      <w:widowControl w:val="0"/>
      <w:pBdr>
        <w:bottom w:val="thinThickSmallGap" w:color="auto" w:sz="12" w:space="1"/>
      </w:pBdr>
      <w:snapToGrid w:val="0"/>
      <w:jc w:val="left"/>
      <w:rPr>
        <w:rFonts w:ascii="黑体" w:hAnsi="Times New Roman" w:eastAsia="黑体" w:cs="Times New Roman"/>
        <w:spacing w:val="-6"/>
        <w:kern w:val="2"/>
        <w:sz w:val="21"/>
        <w:szCs w:val="21"/>
        <w:lang w:val="en-US" w:eastAsia="zh-CN" w:bidi="ar-SA"/>
      </w:rPr>
    </w:pPr>
    <w:r>
      <w:rPr>
        <w:rFonts w:hint="eastAsia" w:ascii="黑体" w:hAnsi="Times New Roman" w:eastAsia="黑体" w:cs="Times New Roman"/>
        <w:spacing w:val="-6"/>
        <w:kern w:val="2"/>
        <w:sz w:val="21"/>
        <w:szCs w:val="21"/>
        <w:lang w:val="en-US" w:eastAsia="zh-CN" w:bidi="ar-SA"/>
      </w:rPr>
      <w:t>G219八盘水磨至伽师沿边通道工程声环境专项评价</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03A7B0">
    <w:pPr>
      <w:pBdr>
        <w:bottom w:val="thinThickSmallGap" w:color="auto" w:sz="12" w:space="1"/>
      </w:pBdr>
      <w:jc w:val="right"/>
      <w:rPr>
        <w:rFonts w:ascii="Times New Roman" w:hAnsi="Times New Roman" w:eastAsia="黑体" w:cs="Times New Roman"/>
      </w:rPr>
    </w:pPr>
    <w:r>
      <w:rPr>
        <w:rFonts w:ascii="Times New Roman" w:hAnsi="Times New Roman" w:eastAsia="黑体" w:cs="Times New Roman"/>
      </w:rPr>
      <w:t xml:space="preserve">1 </w:t>
    </w:r>
    <w:r>
      <w:rPr>
        <w:rFonts w:hint="eastAsia" w:ascii="Times New Roman" w:hAnsi="Times New Roman" w:eastAsia="黑体" w:cs="Times New Roman"/>
      </w:rPr>
      <w:t>总则</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8662A1">
    <w:pPr>
      <w:pBdr>
        <w:bottom w:val="thinThickSmallGap" w:color="auto" w:sz="12" w:space="1"/>
      </w:pBdr>
      <w:jc w:val="left"/>
      <w:rPr>
        <w:rFonts w:ascii="Times New Roman" w:hAnsi="Times New Roman" w:eastAsia="黑体" w:cs="Times New Roman"/>
      </w:rPr>
    </w:pPr>
    <w:r>
      <w:rPr>
        <w:rFonts w:hint="eastAsia" w:ascii="黑体" w:hAnsi="Times New Roman" w:eastAsia="黑体" w:cs="Times New Roman"/>
        <w:spacing w:val="-6"/>
        <w:szCs w:val="21"/>
      </w:rPr>
      <w:t>G219</w:t>
    </w:r>
    <w:r>
      <w:rPr>
        <w:rFonts w:hint="eastAsia" w:ascii="黑体" w:hAnsi="Times New Roman" w:eastAsia="黑体" w:cs="Times New Roman"/>
        <w:spacing w:val="-6"/>
        <w:szCs w:val="21"/>
        <w:lang w:eastAsia="zh-CN"/>
      </w:rPr>
      <w:t>八盘水磨至伽师沿边通道工程</w:t>
    </w:r>
    <w:r>
      <w:rPr>
        <w:rFonts w:hint="eastAsia" w:ascii="黑体" w:hAnsi="Times New Roman" w:eastAsia="黑体" w:cs="Times New Roman"/>
        <w:spacing w:val="-6"/>
        <w:szCs w:val="21"/>
      </w:rPr>
      <w:t>声环境专项评价</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02C84B">
    <w:pPr>
      <w:pBdr>
        <w:bottom w:val="thinThickSmallGap" w:color="auto" w:sz="12" w:space="1"/>
      </w:pBdr>
      <w:wordWrap w:val="0"/>
      <w:jc w:val="right"/>
      <w:rPr>
        <w:rFonts w:hint="default" w:ascii="Times New Roman" w:hAnsi="Times New Roman" w:eastAsia="黑体" w:cs="Times New Roman"/>
        <w:lang w:val="en-US" w:eastAsia="zh-CN"/>
      </w:rPr>
    </w:pPr>
    <w:r>
      <w:rPr>
        <w:rFonts w:hint="eastAsia" w:ascii="Times New Roman" w:hAnsi="Times New Roman" w:eastAsia="黑体" w:cs="Times New Roman"/>
        <w:lang w:val="en-US" w:eastAsia="zh-CN"/>
      </w:rPr>
      <w:t>2  工程概括</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F3C23A">
    <w:pPr>
      <w:widowControl w:val="0"/>
      <w:pBdr>
        <w:bottom w:val="thinThickSmallGap" w:color="auto" w:sz="12" w:space="1"/>
      </w:pBdr>
      <w:snapToGrid w:val="0"/>
      <w:jc w:val="left"/>
      <w:rPr>
        <w:rFonts w:ascii="黑体" w:hAnsi="Times New Roman" w:eastAsia="黑体" w:cs="Times New Roman"/>
        <w:spacing w:val="-6"/>
        <w:kern w:val="2"/>
        <w:sz w:val="21"/>
        <w:szCs w:val="21"/>
        <w:lang w:val="en-US" w:eastAsia="zh-CN" w:bidi="ar-SA"/>
      </w:rPr>
    </w:pPr>
    <w:bookmarkStart w:id="442" w:name="OLE_LINK224"/>
    <w:r>
      <w:rPr>
        <w:rFonts w:hint="eastAsia" w:ascii="黑体" w:hAnsi="Times New Roman" w:eastAsia="黑体" w:cs="Times New Roman"/>
        <w:spacing w:val="-6"/>
        <w:kern w:val="2"/>
        <w:sz w:val="21"/>
        <w:szCs w:val="21"/>
        <w:lang w:val="en-US" w:eastAsia="zh-CN" w:bidi="ar-SA"/>
      </w:rPr>
      <w:t>G219八盘水磨至伽师沿边通道工程声环境专项评价</w:t>
    </w:r>
    <w:bookmarkEnd w:id="442"/>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37F7B1">
    <w:pPr>
      <w:widowControl w:val="0"/>
      <w:pBdr>
        <w:bottom w:val="thinThickSmallGap" w:color="auto" w:sz="12" w:space="1"/>
      </w:pBdr>
      <w:snapToGrid w:val="0"/>
      <w:ind w:firstLine="99" w:firstLineChars="50"/>
      <w:jc w:val="right"/>
      <w:rPr>
        <w:rFonts w:ascii="Times New Roman" w:hAnsi="Times New Roman" w:eastAsia="宋体" w:cs="Times New Roman"/>
        <w:spacing w:val="-6"/>
        <w:kern w:val="2"/>
        <w:sz w:val="18"/>
        <w:szCs w:val="18"/>
        <w:lang w:val="en-US" w:eastAsia="zh-CN" w:bidi="ar-SA"/>
      </w:rPr>
    </w:pPr>
    <w:r>
      <w:rPr>
        <w:rFonts w:hint="eastAsia" w:ascii="黑体" w:hAnsi="Times New Roman" w:eastAsia="黑体" w:cs="Times New Roman"/>
        <w:spacing w:val="-6"/>
        <w:kern w:val="2"/>
        <w:sz w:val="21"/>
        <w:szCs w:val="21"/>
        <w:lang w:val="en-US" w:eastAsia="zh-CN" w:bidi="ar-SA"/>
      </w:rPr>
      <w:t xml:space="preserve">3  声环境现状调查与评价 </w:t>
    </w:r>
    <w:r>
      <w:rPr>
        <w:rFonts w:ascii="黑体" w:hAnsi="Times New Roman" w:eastAsia="黑体" w:cs="Times New Roman"/>
        <w:spacing w:val="-6"/>
        <w:kern w:val="2"/>
        <w:sz w:val="21"/>
        <w:szCs w:val="21"/>
        <w:lang w:val="en-US" w:eastAsia="zh-CN" w:bidi="ar-SA"/>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124234">
    <w:pPr>
      <w:pBdr>
        <w:bottom w:val="thinThickSmallGap" w:color="auto" w:sz="12" w:space="1"/>
      </w:pBdr>
      <w:jc w:val="right"/>
      <w:rPr>
        <w:rFonts w:hint="eastAsia" w:ascii="黑体" w:hAnsi="黑体" w:eastAsia="黑体"/>
      </w:rPr>
    </w:pPr>
    <w:bookmarkStart w:id="440" w:name="_Hlk164677163"/>
    <w:bookmarkStart w:id="441" w:name="_Hlk164677162"/>
    <w:r>
      <w:rPr>
        <w:rFonts w:hint="eastAsia" w:ascii="黑体" w:eastAsia="黑体"/>
      </w:rPr>
      <w:t>一、建设项目基本情况</w:t>
    </w:r>
    <w:r>
      <w:rPr>
        <w:rFonts w:eastAsia="仿宋_GB2312"/>
      </w:rPr>
      <w:t xml:space="preserve">                                                                                                                                                         </w:t>
    </w:r>
    <w:bookmarkEnd w:id="440"/>
    <w:bookmarkEnd w:id="441"/>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9BF272">
    <w:pPr>
      <w:widowControl w:val="0"/>
      <w:pBdr>
        <w:bottom w:val="thinThickSmallGap" w:color="auto" w:sz="12" w:space="1"/>
      </w:pBdr>
      <w:snapToGrid w:val="0"/>
      <w:ind w:firstLine="99" w:firstLineChars="50"/>
      <w:jc w:val="right"/>
      <w:rPr>
        <w:rFonts w:ascii="Times New Roman" w:hAnsi="Times New Roman" w:eastAsia="宋体" w:cs="Times New Roman"/>
        <w:spacing w:val="-6"/>
        <w:kern w:val="2"/>
        <w:sz w:val="18"/>
        <w:szCs w:val="18"/>
        <w:lang w:val="en-US" w:eastAsia="zh-CN" w:bidi="ar-SA"/>
      </w:rPr>
    </w:pPr>
    <w:r>
      <w:rPr>
        <w:rFonts w:hint="eastAsia" w:ascii="黑体" w:hAnsi="Times New Roman" w:eastAsia="黑体" w:cs="Times New Roman"/>
        <w:spacing w:val="-6"/>
        <w:kern w:val="2"/>
        <w:sz w:val="21"/>
        <w:szCs w:val="21"/>
        <w:lang w:val="en-US" w:eastAsia="zh-CN" w:bidi="ar-SA"/>
      </w:rPr>
      <w:t xml:space="preserve">3  声环境现状调查与评价 </w:t>
    </w:r>
    <w:r>
      <w:rPr>
        <w:rFonts w:ascii="黑体" w:hAnsi="Times New Roman" w:eastAsia="黑体" w:cs="Times New Roman"/>
        <w:spacing w:val="-6"/>
        <w:kern w:val="2"/>
        <w:sz w:val="21"/>
        <w:szCs w:val="21"/>
        <w:lang w:val="en-US" w:eastAsia="zh-CN" w:bidi="ar-SA"/>
      </w:rPr>
      <w:t xml:space="preserve">                           </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CE1BE4">
    <w:pPr>
      <w:widowControl w:val="0"/>
      <w:pBdr>
        <w:bottom w:val="thinThickSmallGap" w:color="auto" w:sz="12" w:space="1"/>
      </w:pBdr>
      <w:snapToGrid w:val="0"/>
      <w:ind w:firstLine="99" w:firstLineChars="50"/>
      <w:jc w:val="right"/>
      <w:rPr>
        <w:rFonts w:ascii="Times New Roman" w:hAnsi="Times New Roman" w:eastAsia="宋体" w:cs="Times New Roman"/>
        <w:spacing w:val="-6"/>
        <w:kern w:val="2"/>
        <w:sz w:val="18"/>
        <w:szCs w:val="18"/>
        <w:lang w:val="en-US" w:eastAsia="zh-CN" w:bidi="ar-SA"/>
      </w:rPr>
    </w:pPr>
    <w:r>
      <w:rPr>
        <w:rFonts w:hint="eastAsia" w:ascii="黑体" w:hAnsi="Times New Roman" w:eastAsia="黑体" w:cs="Times New Roman"/>
        <w:spacing w:val="-6"/>
        <w:kern w:val="2"/>
        <w:sz w:val="21"/>
        <w:szCs w:val="21"/>
        <w:lang w:val="en-US" w:eastAsia="zh-CN" w:bidi="ar-SA"/>
      </w:rPr>
      <w:t xml:space="preserve">3  声环境现状调查与评价 </w:t>
    </w:r>
    <w:r>
      <w:rPr>
        <w:rFonts w:ascii="黑体" w:hAnsi="Times New Roman" w:eastAsia="黑体" w:cs="Times New Roman"/>
        <w:spacing w:val="-6"/>
        <w:kern w:val="2"/>
        <w:sz w:val="21"/>
        <w:szCs w:val="21"/>
        <w:lang w:val="en-US" w:eastAsia="zh-CN" w:bidi="ar-SA"/>
      </w:rPr>
      <w:t xml:space="preserve">                           </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4D9EC7">
    <w:pPr>
      <w:widowControl w:val="0"/>
      <w:pBdr>
        <w:bottom w:val="thinThickSmallGap" w:color="auto" w:sz="12" w:space="1"/>
      </w:pBdr>
      <w:snapToGrid w:val="0"/>
      <w:ind w:firstLine="99" w:firstLineChars="50"/>
      <w:jc w:val="right"/>
      <w:rPr>
        <w:rFonts w:ascii="Times New Roman" w:hAnsi="Times New Roman" w:eastAsia="宋体" w:cs="Times New Roman"/>
        <w:spacing w:val="-6"/>
        <w:kern w:val="2"/>
        <w:sz w:val="18"/>
        <w:szCs w:val="18"/>
        <w:lang w:val="en-US" w:eastAsia="zh-CN" w:bidi="ar-SA"/>
      </w:rPr>
    </w:pPr>
    <w:r>
      <w:rPr>
        <w:rFonts w:hint="eastAsia" w:ascii="黑体" w:hAnsi="Times New Roman" w:eastAsia="黑体" w:cs="Times New Roman"/>
        <w:spacing w:val="-6"/>
        <w:kern w:val="2"/>
        <w:sz w:val="21"/>
        <w:szCs w:val="21"/>
        <w:lang w:val="en-US" w:eastAsia="zh-CN" w:bidi="ar-SA"/>
      </w:rPr>
      <w:t xml:space="preserve">3  声环境现状调查与评价 </w:t>
    </w:r>
    <w:r>
      <w:rPr>
        <w:rFonts w:ascii="黑体" w:hAnsi="Times New Roman" w:eastAsia="黑体" w:cs="Times New Roman"/>
        <w:spacing w:val="-6"/>
        <w:kern w:val="2"/>
        <w:sz w:val="21"/>
        <w:szCs w:val="21"/>
        <w:lang w:val="en-US" w:eastAsia="zh-CN" w:bidi="ar-SA"/>
      </w:rPr>
      <w:t xml:space="preserve">                           </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A619FF">
    <w:pPr>
      <w:widowControl w:val="0"/>
      <w:pBdr>
        <w:bottom w:val="thinThickSmallGap" w:color="auto" w:sz="12" w:space="1"/>
      </w:pBdr>
      <w:snapToGrid w:val="0"/>
      <w:ind w:firstLine="99" w:firstLineChars="50"/>
      <w:jc w:val="right"/>
      <w:rPr>
        <w:rFonts w:ascii="Times New Roman" w:hAnsi="Times New Roman" w:eastAsia="宋体" w:cs="Times New Roman"/>
        <w:kern w:val="2"/>
        <w:sz w:val="18"/>
        <w:szCs w:val="18"/>
        <w:lang w:val="en-US" w:eastAsia="zh-CN" w:bidi="ar-SA"/>
      </w:rPr>
    </w:pPr>
    <w:r>
      <w:rPr>
        <w:rFonts w:hint="eastAsia" w:ascii="Times New Roman" w:hAnsi="Times New Roman" w:eastAsia="黑体" w:cs="Times New Roman"/>
        <w:spacing w:val="-6"/>
        <w:kern w:val="2"/>
        <w:sz w:val="21"/>
        <w:szCs w:val="21"/>
        <w:lang w:val="en-US" w:eastAsia="zh-CN" w:bidi="ar-SA"/>
      </w:rPr>
      <w:t>4</w:t>
    </w:r>
    <w:r>
      <w:rPr>
        <w:rFonts w:ascii="Times New Roman" w:hAnsi="Times New Roman" w:eastAsia="黑体" w:cs="Times New Roman"/>
        <w:spacing w:val="-6"/>
        <w:kern w:val="2"/>
        <w:sz w:val="21"/>
        <w:szCs w:val="21"/>
        <w:lang w:val="en-US" w:eastAsia="zh-CN" w:bidi="ar-SA"/>
      </w:rPr>
      <w:t xml:space="preserve">  </w:t>
    </w:r>
    <w:r>
      <w:rPr>
        <w:rFonts w:hint="eastAsia" w:ascii="Times New Roman" w:hAnsi="Times New Roman" w:eastAsia="黑体" w:cs="Times New Roman"/>
        <w:spacing w:val="-6"/>
        <w:kern w:val="2"/>
        <w:sz w:val="21"/>
        <w:szCs w:val="21"/>
        <w:lang w:val="en-US" w:eastAsia="zh-CN" w:bidi="ar-SA"/>
      </w:rPr>
      <w:t>声环境影响预测评价</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05D46D">
    <w:pPr>
      <w:widowControl w:val="0"/>
      <w:pBdr>
        <w:bottom w:val="thinThickSmallGap" w:color="auto" w:sz="12" w:space="1"/>
      </w:pBdr>
      <w:snapToGrid w:val="0"/>
      <w:jc w:val="right"/>
      <w:rPr>
        <w:rFonts w:ascii="黑体" w:hAnsi="Times New Roman" w:eastAsia="黑体" w:cs="Times New Roman"/>
        <w:spacing w:val="-6"/>
        <w:kern w:val="2"/>
        <w:sz w:val="21"/>
        <w:szCs w:val="21"/>
        <w:lang w:val="en-US" w:eastAsia="zh-CN" w:bidi="ar-SA"/>
      </w:rPr>
    </w:pPr>
    <w:r>
      <w:rPr>
        <w:rFonts w:hint="eastAsia" w:ascii="黑体" w:hAnsi="Times New Roman" w:eastAsia="黑体" w:cs="Times New Roman"/>
        <w:spacing w:val="-6"/>
        <w:kern w:val="2"/>
        <w:sz w:val="21"/>
        <w:szCs w:val="21"/>
        <w:lang w:val="en-US" w:eastAsia="zh-CN" w:bidi="ar-SA"/>
      </w:rPr>
      <w:t xml:space="preserve">4  声环境影响预测评价 </w:t>
    </w:r>
    <w:r>
      <w:rPr>
        <w:rFonts w:ascii="黑体" w:hAnsi="Times New Roman" w:eastAsia="黑体" w:cs="Times New Roman"/>
        <w:spacing w:val="-6"/>
        <w:kern w:val="2"/>
        <w:sz w:val="21"/>
        <w:szCs w:val="21"/>
        <w:lang w:val="en-US" w:eastAsia="zh-CN" w:bidi="ar-SA"/>
      </w:rPr>
      <w:t xml:space="preserve">                            </w: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05FF5F">
    <w:pPr>
      <w:widowControl w:val="0"/>
      <w:pBdr>
        <w:bottom w:val="thinThickSmallGap" w:color="auto" w:sz="12" w:space="1"/>
      </w:pBdr>
      <w:snapToGrid w:val="0"/>
      <w:jc w:val="right"/>
      <w:rPr>
        <w:rFonts w:ascii="黑体" w:hAnsi="Times New Roman" w:eastAsia="黑体" w:cs="Times New Roman"/>
        <w:spacing w:val="-6"/>
        <w:kern w:val="2"/>
        <w:sz w:val="21"/>
        <w:szCs w:val="21"/>
        <w:lang w:val="en-US" w:eastAsia="zh-CN" w:bidi="ar-SA"/>
      </w:rPr>
    </w:pPr>
    <w:r>
      <w:rPr>
        <w:rFonts w:hint="eastAsia" w:ascii="黑体" w:hAnsi="Times New Roman" w:eastAsia="黑体" w:cs="Times New Roman"/>
        <w:spacing w:val="-6"/>
        <w:kern w:val="2"/>
        <w:sz w:val="21"/>
        <w:szCs w:val="21"/>
        <w:lang w:val="en-US" w:eastAsia="zh-CN" w:bidi="ar-SA"/>
      </w:rPr>
      <w:t xml:space="preserve">4  声环境影响预测评价 </w:t>
    </w:r>
    <w:r>
      <w:rPr>
        <w:rFonts w:ascii="黑体" w:hAnsi="Times New Roman" w:eastAsia="黑体" w:cs="Times New Roman"/>
        <w:spacing w:val="-6"/>
        <w:kern w:val="2"/>
        <w:sz w:val="21"/>
        <w:szCs w:val="21"/>
        <w:lang w:val="en-US" w:eastAsia="zh-CN" w:bidi="ar-SA"/>
      </w:rPr>
      <w:t xml:space="preserve">                            </w: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75DE43">
    <w:pPr>
      <w:widowControl w:val="0"/>
      <w:pBdr>
        <w:bottom w:val="thinThickSmallGap" w:color="auto" w:sz="12" w:space="1"/>
      </w:pBdr>
      <w:wordWrap w:val="0"/>
      <w:snapToGrid w:val="0"/>
      <w:jc w:val="right"/>
      <w:rPr>
        <w:rFonts w:ascii="黑体" w:hAnsi="Times New Roman" w:eastAsia="黑体" w:cs="Times New Roman"/>
        <w:kern w:val="2"/>
        <w:sz w:val="21"/>
        <w:szCs w:val="21"/>
        <w:lang w:val="en-US" w:eastAsia="zh-CN" w:bidi="ar-SA"/>
      </w:rPr>
    </w:pPr>
    <w:r>
      <w:rPr>
        <w:rFonts w:hint="eastAsia" w:ascii="黑体" w:hAnsi="Times New Roman" w:eastAsia="黑体" w:cs="Times New Roman"/>
        <w:spacing w:val="-6"/>
        <w:kern w:val="2"/>
        <w:sz w:val="21"/>
        <w:szCs w:val="21"/>
        <w:lang w:val="en-US" w:eastAsia="zh-CN" w:bidi="ar-SA"/>
      </w:rPr>
      <w:t>4  声环境影响预测评价</w: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052682">
    <w:pPr>
      <w:widowControl w:val="0"/>
      <w:pBdr>
        <w:bottom w:val="thinThickSmallGap" w:color="auto" w:sz="12" w:space="1"/>
      </w:pBdr>
      <w:wordWrap w:val="0"/>
      <w:snapToGrid w:val="0"/>
      <w:jc w:val="right"/>
      <w:rPr>
        <w:rFonts w:ascii="黑体" w:hAnsi="Times New Roman" w:eastAsia="黑体" w:cs="Times New Roman"/>
        <w:spacing w:val="-6"/>
        <w:kern w:val="2"/>
        <w:sz w:val="21"/>
        <w:szCs w:val="21"/>
        <w:lang w:val="en-US" w:eastAsia="zh-CN" w:bidi="ar-SA"/>
      </w:rPr>
    </w:pPr>
    <w:r>
      <w:rPr>
        <w:rFonts w:hint="eastAsia" w:ascii="黑体" w:hAnsi="Times New Roman" w:eastAsia="黑体" w:cs="Times New Roman"/>
        <w:spacing w:val="-6"/>
        <w:kern w:val="2"/>
        <w:sz w:val="21"/>
        <w:szCs w:val="21"/>
        <w:lang w:val="en-US" w:eastAsia="zh-CN" w:bidi="ar-SA"/>
      </w:rPr>
      <w:t>4  声环境影响预测评价</w: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EEE74E">
    <w:pPr>
      <w:widowControl w:val="0"/>
      <w:pBdr>
        <w:bottom w:val="thinThickSmallGap" w:color="auto" w:sz="12" w:space="1"/>
      </w:pBdr>
      <w:snapToGrid w:val="0"/>
      <w:jc w:val="right"/>
      <w:rPr>
        <w:rFonts w:ascii="黑体" w:hAnsi="Times New Roman" w:eastAsia="黑体" w:cs="Times New Roman"/>
        <w:spacing w:val="-6"/>
        <w:kern w:val="2"/>
        <w:sz w:val="21"/>
        <w:szCs w:val="21"/>
        <w:lang w:val="en-US" w:eastAsia="zh-CN" w:bidi="ar-SA"/>
      </w:rPr>
    </w:pPr>
    <w:r>
      <w:rPr>
        <w:rFonts w:hint="eastAsia" w:ascii="黑体" w:hAnsi="Times New Roman" w:eastAsia="黑体" w:cs="Times New Roman"/>
        <w:spacing w:val="-6"/>
        <w:kern w:val="2"/>
        <w:sz w:val="21"/>
        <w:szCs w:val="21"/>
        <w:lang w:val="en-US" w:eastAsia="zh-CN" w:bidi="ar-SA"/>
      </w:rPr>
      <w:t xml:space="preserve">4  声环境影响预测评价 </w:t>
    </w:r>
    <w:r>
      <w:rPr>
        <w:rFonts w:ascii="黑体" w:hAnsi="Times New Roman" w:eastAsia="黑体" w:cs="Times New Roman"/>
        <w:spacing w:val="-6"/>
        <w:kern w:val="2"/>
        <w:sz w:val="21"/>
        <w:szCs w:val="21"/>
        <w:lang w:val="en-US" w:eastAsia="zh-CN" w:bidi="ar-SA"/>
      </w:rPr>
      <w:t xml:space="preserve">                          </w: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156C9B">
    <w:pPr>
      <w:widowControl w:val="0"/>
      <w:pBdr>
        <w:bottom w:val="thinThickSmallGap" w:color="auto" w:sz="12" w:space="1"/>
      </w:pBdr>
      <w:snapToGrid w:val="0"/>
      <w:jc w:val="left"/>
      <w:rPr>
        <w:rFonts w:ascii="黑体" w:hAnsi="Times New Roman" w:eastAsia="黑体" w:cs="Times New Roman"/>
        <w:spacing w:val="-6"/>
        <w:kern w:val="2"/>
        <w:sz w:val="21"/>
        <w:szCs w:val="21"/>
        <w:lang w:val="en-US" w:eastAsia="zh-CN" w:bidi="ar-SA"/>
      </w:rPr>
    </w:pPr>
    <w:r>
      <w:rPr>
        <w:rFonts w:hint="eastAsia" w:ascii="黑体" w:hAnsi="Times New Roman" w:eastAsia="黑体" w:cs="Times New Roman"/>
        <w:spacing w:val="-6"/>
        <w:kern w:val="2"/>
        <w:sz w:val="21"/>
        <w:szCs w:val="21"/>
        <w:lang w:val="en-US" w:eastAsia="zh-CN" w:bidi="ar-SA"/>
      </w:rPr>
      <w:t>G219八盘水磨至伽师沿边通道工程声环境专项评价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79F15D">
    <w:pPr>
      <w:pBdr>
        <w:bottom w:val="thinThickSmallGap" w:color="auto" w:sz="12" w:space="1"/>
      </w:pBdr>
      <w:jc w:val="right"/>
      <w:rPr>
        <w:rFonts w:hint="eastAsia" w:ascii="黑体" w:hAnsi="黑体" w:eastAsia="黑体"/>
      </w:rPr>
    </w:pPr>
    <w:r>
      <w:rPr>
        <w:rFonts w:hint="eastAsia" w:ascii="黑体" w:eastAsia="黑体"/>
      </w:rPr>
      <w:t>二、建设内容</w:t>
    </w:r>
    <w:r>
      <w:rPr>
        <w:rFonts w:eastAsia="仿宋_GB2312"/>
      </w:rPr>
      <w:t xml:space="preserve">                                                                                                                                                         </w: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48B40E">
    <w:pPr>
      <w:widowControl w:val="0"/>
      <w:pBdr>
        <w:bottom w:val="thinThickSmallGap" w:color="auto" w:sz="12" w:space="1"/>
      </w:pBdr>
      <w:snapToGrid w:val="0"/>
      <w:jc w:val="right"/>
      <w:rPr>
        <w:rFonts w:ascii="黑体" w:hAnsi="Times New Roman" w:eastAsia="黑体" w:cs="Times New Roman"/>
        <w:spacing w:val="-6"/>
        <w:kern w:val="2"/>
        <w:sz w:val="21"/>
        <w:szCs w:val="21"/>
        <w:lang w:val="en-US" w:eastAsia="zh-CN" w:bidi="ar-SA"/>
      </w:rPr>
    </w:pPr>
    <w:r>
      <w:rPr>
        <w:rFonts w:hint="eastAsia" w:ascii="黑体" w:hAnsi="Times New Roman" w:eastAsia="黑体" w:cs="Times New Roman"/>
        <w:spacing w:val="-6"/>
        <w:kern w:val="2"/>
        <w:sz w:val="21"/>
        <w:szCs w:val="21"/>
        <w:lang w:val="en-US" w:eastAsia="zh-CN" w:bidi="ar-SA"/>
      </w:rPr>
      <w:t xml:space="preserve">4  声环境影响预测评价 </w:t>
    </w:r>
    <w:r>
      <w:rPr>
        <w:rFonts w:ascii="黑体" w:hAnsi="Times New Roman" w:eastAsia="黑体" w:cs="Times New Roman"/>
        <w:spacing w:val="-6"/>
        <w:kern w:val="2"/>
        <w:sz w:val="21"/>
        <w:szCs w:val="21"/>
        <w:lang w:val="en-US" w:eastAsia="zh-CN" w:bidi="ar-SA"/>
      </w:rPr>
      <w:t xml:space="preserve">                          </w: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813C82">
    <w:pPr>
      <w:widowControl w:val="0"/>
      <w:pBdr>
        <w:bottom w:val="thinThickSmallGap" w:color="auto" w:sz="12" w:space="1"/>
      </w:pBdr>
      <w:snapToGrid w:val="0"/>
      <w:jc w:val="left"/>
      <w:rPr>
        <w:rFonts w:ascii="黑体" w:hAnsi="Times New Roman" w:eastAsia="黑体" w:cs="Times New Roman"/>
        <w:spacing w:val="-6"/>
        <w:kern w:val="2"/>
        <w:sz w:val="21"/>
        <w:szCs w:val="21"/>
        <w:lang w:val="en-US" w:eastAsia="zh-CN" w:bidi="ar-SA"/>
      </w:rPr>
    </w:pPr>
    <w:r>
      <w:rPr>
        <w:rFonts w:hint="eastAsia" w:ascii="黑体" w:hAnsi="Times New Roman" w:eastAsia="黑体" w:cs="Times New Roman"/>
        <w:spacing w:val="-6"/>
        <w:kern w:val="2"/>
        <w:sz w:val="21"/>
        <w:szCs w:val="21"/>
        <w:lang w:val="en-US" w:eastAsia="zh-CN" w:bidi="ar-SA"/>
      </w:rPr>
      <w:t>G219八盘水磨至伽师沿边通道工程声环境专项评价</w: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29B02B">
    <w:pPr>
      <w:widowControl w:val="0"/>
      <w:pBdr>
        <w:bottom w:val="thinThickSmallGap" w:color="auto" w:sz="12" w:space="1"/>
      </w:pBdr>
      <w:snapToGrid w:val="0"/>
      <w:jc w:val="right"/>
      <w:rPr>
        <w:rFonts w:ascii="黑体" w:hAnsi="Times New Roman" w:eastAsia="黑体" w:cs="Times New Roman"/>
        <w:spacing w:val="-6"/>
        <w:kern w:val="2"/>
        <w:sz w:val="21"/>
        <w:szCs w:val="21"/>
        <w:lang w:val="en-US" w:eastAsia="zh-CN" w:bidi="ar-SA"/>
      </w:rPr>
    </w:pPr>
    <w:r>
      <w:rPr>
        <w:rFonts w:hint="eastAsia" w:ascii="黑体" w:hAnsi="Times New Roman" w:eastAsia="黑体" w:cs="Times New Roman"/>
        <w:spacing w:val="-6"/>
        <w:kern w:val="2"/>
        <w:sz w:val="21"/>
        <w:szCs w:val="21"/>
        <w:lang w:val="en-US" w:eastAsia="zh-CN" w:bidi="ar-SA"/>
      </w:rPr>
      <w:t xml:space="preserve">4  声环境影响预测评价 </w:t>
    </w:r>
    <w:r>
      <w:rPr>
        <w:rFonts w:ascii="黑体" w:hAnsi="Times New Roman" w:eastAsia="黑体" w:cs="Times New Roman"/>
        <w:spacing w:val="-6"/>
        <w:kern w:val="2"/>
        <w:sz w:val="21"/>
        <w:szCs w:val="21"/>
        <w:lang w:val="en-US" w:eastAsia="zh-CN" w:bidi="ar-SA"/>
      </w:rPr>
      <w:t xml:space="preserve">                          </w: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258C32">
    <w:pPr>
      <w:widowControl w:val="0"/>
      <w:pBdr>
        <w:bottom w:val="thinThickSmallGap" w:color="auto" w:sz="12" w:space="1"/>
      </w:pBdr>
      <w:snapToGrid w:val="0"/>
      <w:jc w:val="left"/>
      <w:rPr>
        <w:rFonts w:ascii="黑体" w:hAnsi="Times New Roman" w:eastAsia="黑体" w:cs="Times New Roman"/>
        <w:spacing w:val="-6"/>
        <w:kern w:val="2"/>
        <w:sz w:val="21"/>
        <w:szCs w:val="21"/>
        <w:lang w:val="en-US" w:eastAsia="zh-CN" w:bidi="ar-SA"/>
      </w:rPr>
    </w:pPr>
    <w:r>
      <w:rPr>
        <w:rFonts w:hint="eastAsia" w:ascii="黑体" w:hAnsi="Times New Roman" w:eastAsia="黑体" w:cs="Times New Roman"/>
        <w:spacing w:val="-6"/>
        <w:kern w:val="2"/>
        <w:sz w:val="21"/>
        <w:szCs w:val="21"/>
        <w:lang w:val="en-US" w:eastAsia="zh-CN" w:bidi="ar-SA"/>
      </w:rPr>
      <w:t>G219八盘水磨至伽师沿边通道工程声环境专项评价</w: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719C6D">
    <w:pPr>
      <w:widowControl w:val="0"/>
      <w:pBdr>
        <w:bottom w:val="thinThickSmallGap" w:color="auto" w:sz="12" w:space="1"/>
      </w:pBdr>
      <w:snapToGrid w:val="0"/>
      <w:ind w:firstLine="99" w:firstLineChars="50"/>
      <w:jc w:val="right"/>
      <w:rPr>
        <w:rFonts w:ascii="Times New Roman" w:hAnsi="Times New Roman" w:eastAsia="宋体" w:cs="Times New Roman"/>
        <w:spacing w:val="-6"/>
        <w:kern w:val="2"/>
        <w:sz w:val="18"/>
        <w:szCs w:val="18"/>
        <w:lang w:val="en-US" w:eastAsia="zh-CN" w:bidi="ar-SA"/>
      </w:rPr>
    </w:pPr>
    <w:r>
      <w:rPr>
        <w:rFonts w:hint="eastAsia" w:ascii="黑体" w:hAnsi="Times New Roman" w:eastAsia="黑体" w:cs="Times New Roman"/>
        <w:spacing w:val="-6"/>
        <w:kern w:val="2"/>
        <w:sz w:val="21"/>
        <w:szCs w:val="21"/>
        <w:lang w:val="en-US" w:eastAsia="zh-CN" w:bidi="ar-SA"/>
      </w:rPr>
      <w:t xml:space="preserve">3  声环境现状调查与评价 </w:t>
    </w:r>
    <w:r>
      <w:rPr>
        <w:rFonts w:ascii="黑体" w:hAnsi="Times New Roman" w:eastAsia="黑体" w:cs="Times New Roman"/>
        <w:spacing w:val="-6"/>
        <w:kern w:val="2"/>
        <w:sz w:val="21"/>
        <w:szCs w:val="21"/>
        <w:lang w:val="en-US" w:eastAsia="zh-CN" w:bidi="ar-SA"/>
      </w:rPr>
      <w:t xml:space="preserve">                           </w:t>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F71244">
    <w:pPr>
      <w:widowControl w:val="0"/>
      <w:pBdr>
        <w:bottom w:val="thinThickSmallGap" w:color="auto" w:sz="12" w:space="1"/>
      </w:pBdr>
      <w:snapToGrid w:val="0"/>
      <w:jc w:val="right"/>
      <w:rPr>
        <w:rFonts w:ascii="黑体" w:hAnsi="Times New Roman" w:eastAsia="黑体" w:cs="Times New Roman"/>
        <w:spacing w:val="-6"/>
        <w:kern w:val="2"/>
        <w:sz w:val="21"/>
        <w:szCs w:val="21"/>
        <w:lang w:val="en-US" w:eastAsia="zh-CN" w:bidi="ar-SA"/>
      </w:rPr>
    </w:pPr>
    <w:r>
      <w:rPr>
        <w:rFonts w:hint="eastAsia" w:ascii="黑体" w:hAnsi="Times New Roman" w:eastAsia="黑体" w:cs="Times New Roman"/>
        <w:spacing w:val="-6"/>
        <w:kern w:val="2"/>
        <w:sz w:val="21"/>
        <w:szCs w:val="21"/>
        <w:lang w:val="en-US" w:eastAsia="zh-CN" w:bidi="ar-SA"/>
      </w:rPr>
      <w:t>5 声环境保护措施</w:t>
    </w:r>
    <w:r>
      <w:rPr>
        <w:rFonts w:ascii="黑体" w:hAnsi="Times New Roman" w:eastAsia="黑体" w:cs="Times New Roman"/>
        <w:spacing w:val="-6"/>
        <w:kern w:val="2"/>
        <w:sz w:val="21"/>
        <w:szCs w:val="21"/>
        <w:lang w:val="en-US" w:eastAsia="zh-CN" w:bidi="ar-SA"/>
      </w:rPr>
      <w:t xml:space="preserve">                         </w:t>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432C9C">
    <w:pPr>
      <w:pBdr>
        <w:bottom w:val="thinThickSmallGap" w:color="auto" w:sz="12" w:space="1"/>
      </w:pBdr>
      <w:jc w:val="right"/>
      <w:rPr>
        <w:rFonts w:ascii="Times New Roman" w:hAnsi="Times New Roman" w:eastAsia="黑体" w:cs="Times New Roman"/>
      </w:rPr>
    </w:pPr>
    <w:r>
      <w:rPr>
        <w:rFonts w:ascii="Times New Roman" w:hAnsi="Times New Roman" w:eastAsia="黑体" w:cs="Times New Roman"/>
      </w:rPr>
      <w:t xml:space="preserve">                       </w:t>
    </w:r>
    <w:r>
      <w:rPr>
        <w:rFonts w:hint="eastAsia" w:ascii="Times New Roman" w:hAnsi="Times New Roman" w:eastAsia="黑体" w:cs="Times New Roman"/>
      </w:rPr>
      <w:t xml:space="preserve">          </w:t>
    </w:r>
    <w:r>
      <w:rPr>
        <w:rFonts w:ascii="Times New Roman" w:hAnsi="Times New Roman" w:eastAsia="黑体" w:cs="Times New Roman"/>
      </w:rPr>
      <w:t xml:space="preserve">                        </w:t>
    </w:r>
    <w:r>
      <w:rPr>
        <w:rFonts w:hint="eastAsia" w:ascii="Times New Roman" w:hAnsi="Times New Roman" w:eastAsia="黑体" w:cs="Times New Roman"/>
      </w:rPr>
      <w:t xml:space="preserve">                                 </w:t>
    </w:r>
    <w:r>
      <w:rPr>
        <w:rFonts w:ascii="Times New Roman" w:hAnsi="Times New Roman" w:eastAsia="黑体" w:cs="Times New Roman"/>
      </w:rPr>
      <w:t xml:space="preserve">                   </w:t>
    </w:r>
    <w:r>
      <w:rPr>
        <w:rFonts w:hint="eastAsia" w:ascii="Times New Roman" w:hAnsi="Times New Roman" w:eastAsia="黑体" w:cs="Times New Roman"/>
      </w:rPr>
      <w:t xml:space="preserve">        </w:t>
    </w:r>
    <w:r>
      <w:rPr>
        <w:rFonts w:ascii="Times New Roman" w:hAnsi="Times New Roman" w:eastAsia="黑体" w:cs="Times New Roman"/>
      </w:rPr>
      <w:t xml:space="preserve">    </w:t>
    </w:r>
    <w:r>
      <w:rPr>
        <w:rFonts w:hint="eastAsia" w:ascii="Times New Roman" w:hAnsi="Times New Roman" w:eastAsia="黑体" w:cs="Times New Roman"/>
      </w:rPr>
      <w:t xml:space="preserve">  </w:t>
    </w:r>
    <w:r>
      <w:rPr>
        <w:rFonts w:hint="eastAsia" w:ascii="黑体" w:hAnsi="Times New Roman" w:eastAsia="黑体" w:cs="Times New Roman"/>
        <w:spacing w:val="-6"/>
        <w:szCs w:val="21"/>
      </w:rPr>
      <w:t>5 声环境保护措施</w:t>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FDD26C">
    <w:pPr>
      <w:pBdr>
        <w:bottom w:val="thinThickSmallGap" w:color="auto" w:sz="12" w:space="1"/>
      </w:pBdr>
      <w:jc w:val="right"/>
      <w:rPr>
        <w:rFonts w:ascii="Times New Roman" w:hAnsi="Times New Roman" w:eastAsia="黑体" w:cs="Times New Roman"/>
      </w:rPr>
    </w:pPr>
    <w:r>
      <w:rPr>
        <w:rFonts w:ascii="Times New Roman" w:hAnsi="Times New Roman" w:eastAsia="黑体" w:cs="Times New Roman"/>
      </w:rPr>
      <w:t xml:space="preserve">                       </w:t>
    </w:r>
    <w:r>
      <w:rPr>
        <w:rFonts w:hint="eastAsia" w:ascii="Times New Roman" w:hAnsi="Times New Roman" w:eastAsia="黑体" w:cs="Times New Roman"/>
      </w:rPr>
      <w:t xml:space="preserve">          </w:t>
    </w:r>
    <w:r>
      <w:rPr>
        <w:rFonts w:ascii="Times New Roman" w:hAnsi="Times New Roman" w:eastAsia="黑体" w:cs="Times New Roman"/>
      </w:rPr>
      <w:t xml:space="preserve">                        </w:t>
    </w:r>
    <w:r>
      <w:rPr>
        <w:rFonts w:hint="eastAsia" w:ascii="Times New Roman" w:hAnsi="Times New Roman" w:eastAsia="黑体" w:cs="Times New Roman"/>
      </w:rPr>
      <w:t xml:space="preserve">                                 </w:t>
    </w:r>
    <w:r>
      <w:rPr>
        <w:rFonts w:ascii="Times New Roman" w:hAnsi="Times New Roman" w:eastAsia="黑体" w:cs="Times New Roman"/>
      </w:rPr>
      <w:t xml:space="preserve">                   </w:t>
    </w:r>
    <w:r>
      <w:rPr>
        <w:rFonts w:hint="eastAsia" w:ascii="Times New Roman" w:hAnsi="Times New Roman" w:eastAsia="黑体" w:cs="Times New Roman"/>
      </w:rPr>
      <w:t xml:space="preserve">        </w:t>
    </w:r>
    <w:r>
      <w:rPr>
        <w:rFonts w:ascii="Times New Roman" w:hAnsi="Times New Roman" w:eastAsia="黑体" w:cs="Times New Roman"/>
      </w:rPr>
      <w:t xml:space="preserve">    </w:t>
    </w:r>
    <w:r>
      <w:rPr>
        <w:rFonts w:hint="eastAsia" w:ascii="Times New Roman" w:hAnsi="Times New Roman" w:eastAsia="黑体" w:cs="Times New Roman"/>
      </w:rPr>
      <w:t xml:space="preserve">  </w:t>
    </w:r>
    <w:r>
      <w:rPr>
        <w:rFonts w:hint="eastAsia" w:ascii="黑体" w:hAnsi="Times New Roman" w:eastAsia="黑体" w:cs="Times New Roman"/>
        <w:spacing w:val="-6"/>
        <w:szCs w:val="21"/>
      </w:rPr>
      <w:t>5 声环境保护措施</w:t>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94B9EA">
    <w:pPr>
      <w:pBdr>
        <w:bottom w:val="thinThickSmallGap" w:color="auto" w:sz="12" w:space="1"/>
      </w:pBdr>
      <w:jc w:val="right"/>
      <w:rPr>
        <w:rFonts w:ascii="Times New Roman" w:hAnsi="Times New Roman" w:eastAsia="黑体" w:cs="Times New Roman"/>
      </w:rPr>
    </w:pPr>
    <w:r>
      <w:rPr>
        <w:rFonts w:ascii="Times New Roman" w:hAnsi="Times New Roman" w:eastAsia="黑体" w:cs="Times New Roman"/>
      </w:rPr>
      <w:t xml:space="preserve">                       </w:t>
    </w:r>
    <w:r>
      <w:rPr>
        <w:rFonts w:hint="eastAsia" w:ascii="Times New Roman" w:hAnsi="Times New Roman" w:eastAsia="黑体" w:cs="Times New Roman"/>
      </w:rPr>
      <w:t xml:space="preserve">          </w:t>
    </w:r>
    <w:r>
      <w:rPr>
        <w:rFonts w:ascii="Times New Roman" w:hAnsi="Times New Roman" w:eastAsia="黑体" w:cs="Times New Roman"/>
      </w:rPr>
      <w:t xml:space="preserve">                        </w:t>
    </w:r>
    <w:r>
      <w:rPr>
        <w:rFonts w:hint="eastAsia" w:ascii="Times New Roman" w:hAnsi="Times New Roman" w:eastAsia="黑体" w:cs="Times New Roman"/>
      </w:rPr>
      <w:t xml:space="preserve">                                 </w:t>
    </w:r>
    <w:r>
      <w:rPr>
        <w:rFonts w:ascii="Times New Roman" w:hAnsi="Times New Roman" w:eastAsia="黑体" w:cs="Times New Roman"/>
      </w:rPr>
      <w:t xml:space="preserve">                   </w:t>
    </w:r>
    <w:r>
      <w:rPr>
        <w:rFonts w:hint="eastAsia" w:ascii="Times New Roman" w:hAnsi="Times New Roman" w:eastAsia="黑体" w:cs="Times New Roman"/>
      </w:rPr>
      <w:t xml:space="preserve">        </w:t>
    </w:r>
    <w:r>
      <w:rPr>
        <w:rFonts w:ascii="Times New Roman" w:hAnsi="Times New Roman" w:eastAsia="黑体" w:cs="Times New Roman"/>
      </w:rPr>
      <w:t xml:space="preserve">    </w:t>
    </w:r>
    <w:r>
      <w:rPr>
        <w:rFonts w:hint="eastAsia" w:ascii="Times New Roman" w:hAnsi="Times New Roman" w:eastAsia="黑体" w:cs="Times New Roman"/>
      </w:rPr>
      <w:t xml:space="preserve">  </w:t>
    </w:r>
    <w:r>
      <w:rPr>
        <w:rFonts w:hint="eastAsia" w:ascii="黑体" w:hAnsi="Times New Roman" w:eastAsia="黑体" w:cs="Times New Roman"/>
        <w:spacing w:val="-6"/>
        <w:szCs w:val="21"/>
      </w:rPr>
      <w:t>5 声环境保护措施</w:t>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1317BF">
    <w:pPr>
      <w:pBdr>
        <w:bottom w:val="thinThickSmallGap" w:color="auto" w:sz="12" w:space="1"/>
      </w:pBdr>
      <w:jc w:val="right"/>
      <w:rPr>
        <w:rFonts w:ascii="Times New Roman" w:hAnsi="Times New Roman" w:eastAsia="黑体" w:cs="Times New Roman"/>
      </w:rPr>
    </w:pPr>
    <w:r>
      <w:rPr>
        <w:rFonts w:ascii="Times New Roman" w:hAnsi="Times New Roman" w:eastAsia="黑体" w:cs="Times New Roman"/>
      </w:rPr>
      <w:t xml:space="preserve">                       </w:t>
    </w:r>
    <w:r>
      <w:rPr>
        <w:rFonts w:hint="eastAsia" w:ascii="Times New Roman" w:hAnsi="Times New Roman" w:eastAsia="黑体" w:cs="Times New Roman"/>
      </w:rPr>
      <w:t xml:space="preserve">          </w:t>
    </w:r>
    <w:r>
      <w:rPr>
        <w:rFonts w:ascii="Times New Roman" w:hAnsi="Times New Roman" w:eastAsia="黑体" w:cs="Times New Roman"/>
      </w:rPr>
      <w:t xml:space="preserve">                        </w:t>
    </w:r>
    <w:r>
      <w:rPr>
        <w:rFonts w:hint="eastAsia" w:ascii="Times New Roman" w:hAnsi="Times New Roman" w:eastAsia="黑体" w:cs="Times New Roman"/>
      </w:rPr>
      <w:t xml:space="preserve">                                 </w:t>
    </w:r>
    <w:r>
      <w:rPr>
        <w:rFonts w:ascii="Times New Roman" w:hAnsi="Times New Roman" w:eastAsia="黑体" w:cs="Times New Roman"/>
      </w:rPr>
      <w:t xml:space="preserve">                   </w:t>
    </w:r>
    <w:r>
      <w:rPr>
        <w:rFonts w:hint="eastAsia" w:ascii="Times New Roman" w:hAnsi="Times New Roman" w:eastAsia="黑体" w:cs="Times New Roman"/>
      </w:rPr>
      <w:t xml:space="preserve">        </w:t>
    </w:r>
    <w:r>
      <w:rPr>
        <w:rFonts w:ascii="Times New Roman" w:hAnsi="Times New Roman" w:eastAsia="黑体" w:cs="Times New Roman"/>
      </w:rPr>
      <w:t xml:space="preserve">    </w:t>
    </w:r>
    <w:r>
      <w:rPr>
        <w:rFonts w:hint="eastAsia" w:ascii="Times New Roman" w:hAnsi="Times New Roman" w:eastAsia="黑体" w:cs="Times New Roman"/>
      </w:rPr>
      <w:t xml:space="preserve">  </w:t>
    </w:r>
    <w:r>
      <w:rPr>
        <w:rFonts w:hint="eastAsia" w:ascii="黑体" w:hAnsi="Times New Roman" w:eastAsia="黑体" w:cs="Times New Roman"/>
        <w:spacing w:val="-6"/>
        <w:szCs w:val="21"/>
      </w:rPr>
      <w:t>5 声环境保护措施</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A046F3">
    <w:pPr>
      <w:pBdr>
        <w:bottom w:val="thinThickSmallGap" w:color="auto" w:sz="12" w:space="1"/>
      </w:pBdr>
      <w:jc w:val="right"/>
      <w:rPr>
        <w:rFonts w:hint="eastAsia" w:ascii="黑体" w:hAnsi="黑体" w:eastAsia="黑体"/>
      </w:rPr>
    </w:pPr>
    <w:r>
      <w:rPr>
        <w:rFonts w:hint="eastAsia" w:ascii="黑体" w:eastAsia="黑体"/>
      </w:rPr>
      <w:t>三、生态环境现状、保护目标及评价标准</w:t>
    </w:r>
    <w:r>
      <w:rPr>
        <w:rFonts w:eastAsia="仿宋_GB2312"/>
      </w:rPr>
      <w:t xml:space="preserve">                                                                                                                                                         </w:t>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D70FC5">
    <w:pPr>
      <w:pBdr>
        <w:bottom w:val="thinThickSmallGap" w:color="auto" w:sz="12" w:space="1"/>
      </w:pBdr>
      <w:jc w:val="right"/>
      <w:rPr>
        <w:rFonts w:ascii="Times New Roman" w:hAnsi="Times New Roman" w:eastAsia="黑体" w:cs="Times New Roman"/>
      </w:rPr>
    </w:pPr>
    <w:r>
      <w:rPr>
        <w:rFonts w:ascii="Times New Roman" w:hAnsi="Times New Roman" w:eastAsia="黑体" w:cs="Times New Roman"/>
      </w:rPr>
      <w:t xml:space="preserve">                       </w:t>
    </w:r>
    <w:r>
      <w:rPr>
        <w:rFonts w:hint="eastAsia" w:ascii="Times New Roman" w:hAnsi="Times New Roman" w:eastAsia="黑体" w:cs="Times New Roman"/>
      </w:rPr>
      <w:t xml:space="preserve">          </w:t>
    </w:r>
    <w:r>
      <w:rPr>
        <w:rFonts w:ascii="Times New Roman" w:hAnsi="Times New Roman" w:eastAsia="黑体" w:cs="Times New Roman"/>
      </w:rPr>
      <w:t xml:space="preserve">                        </w:t>
    </w:r>
    <w:r>
      <w:rPr>
        <w:rFonts w:hint="eastAsia" w:ascii="Times New Roman" w:hAnsi="Times New Roman" w:eastAsia="黑体" w:cs="Times New Roman"/>
      </w:rPr>
      <w:t xml:space="preserve">                                 </w:t>
    </w:r>
    <w:r>
      <w:rPr>
        <w:rFonts w:ascii="Times New Roman" w:hAnsi="Times New Roman" w:eastAsia="黑体" w:cs="Times New Roman"/>
      </w:rPr>
      <w:t xml:space="preserve">                   </w:t>
    </w:r>
    <w:r>
      <w:rPr>
        <w:rFonts w:hint="eastAsia" w:ascii="Times New Roman" w:hAnsi="Times New Roman" w:eastAsia="黑体" w:cs="Times New Roman"/>
      </w:rPr>
      <w:t xml:space="preserve">        </w:t>
    </w:r>
    <w:r>
      <w:rPr>
        <w:rFonts w:ascii="Times New Roman" w:hAnsi="Times New Roman" w:eastAsia="黑体" w:cs="Times New Roman"/>
      </w:rPr>
      <w:t xml:space="preserve">    </w:t>
    </w:r>
    <w:r>
      <w:rPr>
        <w:rFonts w:hint="eastAsia" w:ascii="Times New Roman" w:hAnsi="Times New Roman" w:eastAsia="黑体" w:cs="Times New Roman"/>
      </w:rPr>
      <w:t xml:space="preserve">  </w:t>
    </w:r>
    <w:r>
      <w:rPr>
        <w:rFonts w:hint="eastAsia" w:ascii="黑体" w:hAnsi="Times New Roman" w:eastAsia="黑体" w:cs="Times New Roman"/>
        <w:spacing w:val="-6"/>
        <w:szCs w:val="21"/>
      </w:rPr>
      <w:t>5 声环境保护措施</w:t>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672FBE">
    <w:pPr>
      <w:widowControl w:val="0"/>
      <w:pBdr>
        <w:bottom w:val="thinThickSmallGap" w:color="auto" w:sz="12" w:space="1"/>
      </w:pBdr>
      <w:snapToGrid w:val="0"/>
      <w:jc w:val="right"/>
      <w:rPr>
        <w:rFonts w:ascii="黑体" w:hAnsi="Times New Roman" w:eastAsia="黑体" w:cs="Times New Roman"/>
        <w:spacing w:val="-6"/>
        <w:kern w:val="2"/>
        <w:sz w:val="21"/>
        <w:szCs w:val="21"/>
        <w:lang w:val="en-US" w:eastAsia="zh-CN" w:bidi="ar-SA"/>
      </w:rPr>
    </w:pPr>
    <w:r>
      <w:rPr>
        <w:rFonts w:hint="eastAsia" w:ascii="黑体" w:hAnsi="Times New Roman" w:eastAsia="黑体" w:cs="Times New Roman"/>
        <w:spacing w:val="-6"/>
        <w:kern w:val="2"/>
        <w:sz w:val="21"/>
        <w:szCs w:val="21"/>
        <w:lang w:val="en-US" w:eastAsia="zh-CN" w:bidi="ar-SA"/>
      </w:rPr>
      <w:t xml:space="preserve">6  声环境影响评价结论 </w:t>
    </w:r>
    <w:r>
      <w:rPr>
        <w:rFonts w:ascii="黑体" w:hAnsi="Times New Roman" w:eastAsia="黑体" w:cs="Times New Roman"/>
        <w:spacing w:val="-6"/>
        <w:kern w:val="2"/>
        <w:sz w:val="21"/>
        <w:szCs w:val="21"/>
        <w:lang w:val="en-US" w:eastAsia="zh-CN" w:bidi="ar-SA"/>
      </w:rPr>
      <w:t xml:space="preserve">                          </w:t>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1D02CE">
    <w:pPr>
      <w:widowControl w:val="0"/>
      <w:pBdr>
        <w:bottom w:val="thickThinSmallGap" w:color="auto" w:sz="12" w:space="1"/>
      </w:pBdr>
      <w:tabs>
        <w:tab w:val="center" w:pos="4153"/>
        <w:tab w:val="right" w:pos="8306"/>
      </w:tabs>
      <w:snapToGrid w:val="0"/>
      <w:spacing w:line="240" w:lineRule="auto"/>
      <w:ind w:firstLine="0" w:firstLineChars="0"/>
      <w:jc w:val="left"/>
      <w:rPr>
        <w:rFonts w:ascii="Times New Roman" w:hAnsi="Times New Roman" w:eastAsia="宋体" w:cs="Times New Roman"/>
        <w:b/>
        <w:bCs/>
        <w:kern w:val="2"/>
        <w:sz w:val="21"/>
        <w:szCs w:val="21"/>
        <w:lang w:val="en-US" w:eastAsia="zh-CN" w:bidi="ar-SA"/>
      </w:rPr>
    </w:pPr>
    <w:r>
      <w:rPr>
        <w:rFonts w:hint="eastAsia" w:ascii="Times New Roman" w:hAnsi="Times New Roman" w:eastAsia="宋体" w:cs="Times New Roman"/>
        <w:b/>
        <w:bCs/>
        <w:kern w:val="2"/>
        <w:sz w:val="21"/>
        <w:szCs w:val="21"/>
        <w:lang w:val="en-US" w:eastAsia="zh-CN" w:bidi="ar-SA"/>
      </w:rPr>
      <w:t>G219八盘水磨至伽师沿边通道工程生态专项评价</w:t>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E9656F">
    <w:pPr>
      <w:widowControl w:val="0"/>
      <w:pBdr>
        <w:bottom w:val="thickThinSmallGap" w:color="auto" w:sz="12" w:space="1"/>
      </w:pBdr>
      <w:tabs>
        <w:tab w:val="center" w:pos="4153"/>
        <w:tab w:val="right" w:pos="8306"/>
      </w:tabs>
      <w:snapToGrid w:val="0"/>
      <w:spacing w:line="240" w:lineRule="auto"/>
      <w:ind w:firstLine="0" w:firstLineChars="0"/>
      <w:jc w:val="left"/>
      <w:rPr>
        <w:rFonts w:ascii="Times New Roman" w:hAnsi="Times New Roman" w:eastAsia="宋体" w:cs="Times New Roman"/>
        <w:b/>
        <w:bCs/>
        <w:kern w:val="2"/>
        <w:sz w:val="21"/>
        <w:szCs w:val="21"/>
        <w:lang w:val="en-US" w:eastAsia="zh-CN" w:bidi="ar-SA"/>
      </w:rPr>
    </w:pPr>
    <w:r>
      <w:rPr>
        <w:rFonts w:hint="eastAsia" w:ascii="Times New Roman" w:hAnsi="Times New Roman" w:eastAsia="宋体" w:cs="Times New Roman"/>
        <w:b/>
        <w:bCs/>
        <w:kern w:val="2"/>
        <w:sz w:val="21"/>
        <w:szCs w:val="21"/>
        <w:lang w:val="en-US" w:eastAsia="zh-CN" w:bidi="ar-SA"/>
      </w:rPr>
      <w:t>G219八盘水磨至伽师沿边通道工程生态专项评价</w:t>
    </w: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6D7388">
    <w:pPr>
      <w:widowControl w:val="0"/>
      <w:pBdr>
        <w:bottom w:val="none" w:color="auto" w:sz="0" w:space="0"/>
      </w:pBdr>
      <w:tabs>
        <w:tab w:val="center" w:pos="4153"/>
        <w:tab w:val="right" w:pos="8306"/>
      </w:tabs>
      <w:snapToGrid w:val="0"/>
      <w:spacing w:line="240" w:lineRule="auto"/>
      <w:ind w:firstLine="360" w:firstLineChars="200"/>
      <w:jc w:val="center"/>
      <w:rPr>
        <w:rFonts w:ascii="Times New Roman" w:hAnsi="Times New Roman" w:eastAsia="宋体" w:cs="Times New Roman"/>
        <w:kern w:val="2"/>
        <w:sz w:val="18"/>
        <w:szCs w:val="18"/>
        <w:lang w:val="en-US" w:eastAsia="zh-CN" w:bidi="ar-SA"/>
      </w:rPr>
    </w:pP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BAB2F2">
    <w:pPr>
      <w:pBdr>
        <w:bottom w:val="thickThinSmallGap" w:color="auto" w:sz="12" w:space="1"/>
      </w:pBdr>
      <w:spacing w:line="240" w:lineRule="auto"/>
      <w:ind w:firstLine="0" w:firstLineChars="0"/>
      <w:jc w:val="right"/>
      <w:rPr>
        <w:rFonts w:ascii="Times New Roman" w:hAnsi="Times New Roman" w:eastAsia="宋体" w:cs="Times New Roman"/>
        <w:b/>
        <w:bCs/>
        <w:sz w:val="21"/>
        <w:szCs w:val="21"/>
      </w:rPr>
    </w:pPr>
    <w:r>
      <w:rPr>
        <w:rFonts w:hint="eastAsia" w:ascii="Times New Roman" w:hAnsi="Times New Roman" w:eastAsia="宋体" w:cs="Times New Roman"/>
        <w:b/>
        <w:bCs/>
        <w:sz w:val="21"/>
        <w:szCs w:val="21"/>
      </w:rPr>
      <w:t>1</w:t>
    </w:r>
    <w:r>
      <w:rPr>
        <w:rFonts w:ascii="Times New Roman" w:hAnsi="Times New Roman" w:eastAsia="宋体" w:cs="Times New Roman"/>
        <w:b/>
        <w:bCs/>
        <w:sz w:val="21"/>
        <w:szCs w:val="21"/>
      </w:rPr>
      <w:t xml:space="preserve"> </w:t>
    </w:r>
    <w:r>
      <w:rPr>
        <w:rFonts w:hint="eastAsia" w:ascii="Times New Roman" w:hAnsi="Times New Roman" w:eastAsia="宋体" w:cs="Times New Roman"/>
        <w:b/>
        <w:bCs/>
        <w:sz w:val="21"/>
        <w:szCs w:val="21"/>
      </w:rPr>
      <w:t>总 则</w:t>
    </w: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D03523">
    <w:pPr>
      <w:pBdr>
        <w:bottom w:val="thickThinSmallGap" w:color="auto" w:sz="12" w:space="1"/>
      </w:pBdr>
      <w:wordWrap w:val="0"/>
      <w:spacing w:line="240" w:lineRule="auto"/>
      <w:ind w:firstLine="0" w:firstLineChars="0"/>
      <w:jc w:val="right"/>
      <w:rPr>
        <w:rFonts w:ascii="Times New Roman" w:hAnsi="Times New Roman" w:eastAsia="宋体" w:cs="Times New Roman"/>
        <w:b/>
        <w:bCs/>
        <w:sz w:val="21"/>
        <w:szCs w:val="21"/>
      </w:rPr>
    </w:pPr>
    <w:r>
      <w:rPr>
        <w:rFonts w:hint="eastAsia" w:ascii="Times New Roman" w:hAnsi="Times New Roman" w:eastAsia="宋体" w:cs="Times New Roman"/>
        <w:b/>
        <w:bCs/>
        <w:sz w:val="21"/>
        <w:szCs w:val="21"/>
      </w:rPr>
      <w:t>2 生态现状调查与评价</w:t>
    </w: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4B1FD6">
    <w:pPr>
      <w:pBdr>
        <w:bottom w:val="thickThinSmallGap" w:color="auto" w:sz="12" w:space="1"/>
      </w:pBdr>
      <w:spacing w:line="240" w:lineRule="auto"/>
      <w:ind w:firstLine="0" w:firstLineChars="0"/>
      <w:jc w:val="right"/>
      <w:rPr>
        <w:rFonts w:ascii="Times New Roman" w:hAnsi="Times New Roman" w:eastAsia="宋体" w:cs="Times New Roman"/>
        <w:b/>
        <w:bCs/>
        <w:sz w:val="21"/>
        <w:szCs w:val="21"/>
      </w:rPr>
    </w:pPr>
    <w:r>
      <w:rPr>
        <w:rFonts w:ascii="Times New Roman" w:hAnsi="Times New Roman" w:eastAsia="宋体" w:cs="Times New Roman"/>
        <w:b/>
        <w:bCs/>
        <w:sz w:val="21"/>
        <w:szCs w:val="21"/>
      </w:rPr>
      <w:t xml:space="preserve">3 </w:t>
    </w:r>
    <w:r>
      <w:rPr>
        <w:rFonts w:hint="eastAsia" w:ascii="Times New Roman" w:hAnsi="Times New Roman" w:eastAsia="宋体" w:cs="Times New Roman"/>
        <w:b/>
        <w:bCs/>
        <w:sz w:val="21"/>
        <w:szCs w:val="21"/>
      </w:rPr>
      <w:t>生态影响预测与评价</w:t>
    </w: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C80BC5">
    <w:pPr>
      <w:widowControl w:val="0"/>
      <w:pBdr>
        <w:bottom w:val="thickThinSmallGap" w:color="auto" w:sz="12" w:space="1"/>
      </w:pBdr>
      <w:tabs>
        <w:tab w:val="center" w:pos="4153"/>
        <w:tab w:val="right" w:pos="8306"/>
      </w:tabs>
      <w:snapToGrid w:val="0"/>
      <w:spacing w:line="240" w:lineRule="auto"/>
      <w:ind w:firstLine="0" w:firstLineChars="0"/>
      <w:jc w:val="left"/>
      <w:rPr>
        <w:rFonts w:ascii="Times New Roman" w:hAnsi="Times New Roman" w:eastAsia="宋体" w:cs="Times New Roman"/>
        <w:b/>
        <w:bCs/>
        <w:kern w:val="2"/>
        <w:sz w:val="21"/>
        <w:szCs w:val="21"/>
        <w:lang w:val="en-US" w:eastAsia="zh-CN" w:bidi="ar-SA"/>
      </w:rPr>
    </w:pPr>
    <w:r>
      <w:rPr>
        <w:rFonts w:hint="eastAsia" w:ascii="Times New Roman" w:hAnsi="Times New Roman" w:eastAsia="宋体" w:cs="Times New Roman"/>
        <w:b/>
        <w:bCs/>
        <w:kern w:val="2"/>
        <w:sz w:val="21"/>
        <w:szCs w:val="21"/>
        <w:lang w:val="en-US" w:eastAsia="zh-CN" w:bidi="ar-SA"/>
      </w:rPr>
      <w:t>G219八盘水磨至伽师沿边通道工程生态专项评价</w:t>
    </w: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D4295F">
    <w:pPr>
      <w:pBdr>
        <w:bottom w:val="thickThinSmallGap" w:color="auto" w:sz="12" w:space="1"/>
      </w:pBdr>
      <w:spacing w:line="240" w:lineRule="auto"/>
      <w:ind w:firstLine="0" w:firstLineChars="0"/>
      <w:jc w:val="right"/>
      <w:rPr>
        <w:rFonts w:ascii="Times New Roman" w:hAnsi="Times New Roman" w:eastAsia="宋体" w:cs="Times New Roman"/>
        <w:b/>
        <w:bCs/>
        <w:sz w:val="21"/>
        <w:szCs w:val="21"/>
      </w:rPr>
    </w:pPr>
    <w:r>
      <w:rPr>
        <w:rFonts w:hint="eastAsia" w:ascii="Times New Roman" w:hAnsi="Times New Roman" w:eastAsia="宋体" w:cs="Times New Roman"/>
        <w:b/>
        <w:bCs/>
        <w:sz w:val="21"/>
        <w:szCs w:val="21"/>
      </w:rPr>
      <w:t>4</w:t>
    </w:r>
    <w:r>
      <w:rPr>
        <w:rFonts w:ascii="Times New Roman" w:hAnsi="Times New Roman" w:eastAsia="宋体" w:cs="Times New Roman"/>
        <w:b/>
        <w:bCs/>
        <w:sz w:val="21"/>
        <w:szCs w:val="21"/>
      </w:rPr>
      <w:t xml:space="preserve"> </w:t>
    </w:r>
    <w:r>
      <w:rPr>
        <w:rFonts w:hint="eastAsia" w:ascii="Times New Roman" w:hAnsi="Times New Roman" w:eastAsia="宋体" w:cs="Times New Roman"/>
        <w:b/>
        <w:bCs/>
        <w:sz w:val="21"/>
        <w:szCs w:val="21"/>
      </w:rPr>
      <w:t>生态保护措施</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2BD130">
    <w:pPr>
      <w:pBdr>
        <w:bottom w:val="thinThickSmallGap" w:color="auto" w:sz="12" w:space="1"/>
      </w:pBdr>
      <w:jc w:val="right"/>
      <w:rPr>
        <w:rFonts w:hint="eastAsia" w:ascii="黑体" w:hAnsi="黑体" w:eastAsia="黑体"/>
      </w:rPr>
    </w:pPr>
    <w:r>
      <w:rPr>
        <w:rFonts w:hint="eastAsia" w:ascii="黑体" w:eastAsia="黑体"/>
      </w:rPr>
      <w:t>四、生态环境影响分析</w:t>
    </w:r>
    <w:r>
      <w:rPr>
        <w:rFonts w:eastAsia="仿宋_GB2312"/>
      </w:rPr>
      <w:t xml:space="preserve">                                                                                                                                                         </w:t>
    </w: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C116EC">
    <w:pPr>
      <w:widowControl w:val="0"/>
      <w:pBdr>
        <w:bottom w:val="thickThinSmallGap" w:color="auto" w:sz="12" w:space="1"/>
      </w:pBdr>
      <w:tabs>
        <w:tab w:val="center" w:pos="4153"/>
        <w:tab w:val="right" w:pos="8306"/>
      </w:tabs>
      <w:snapToGrid w:val="0"/>
      <w:spacing w:line="240" w:lineRule="auto"/>
      <w:ind w:firstLine="0" w:firstLineChars="0"/>
      <w:jc w:val="left"/>
      <w:rPr>
        <w:rFonts w:ascii="Times New Roman" w:hAnsi="Times New Roman" w:eastAsia="宋体" w:cs="Times New Roman"/>
        <w:b/>
        <w:bCs/>
        <w:kern w:val="2"/>
        <w:sz w:val="21"/>
        <w:szCs w:val="21"/>
        <w:lang w:val="en-US" w:eastAsia="zh-CN" w:bidi="ar-SA"/>
      </w:rPr>
    </w:pPr>
    <w:r>
      <w:rPr>
        <w:rFonts w:hint="eastAsia" w:ascii="Times New Roman" w:hAnsi="Times New Roman" w:eastAsia="宋体" w:cs="Times New Roman"/>
        <w:b/>
        <w:bCs/>
        <w:kern w:val="2"/>
        <w:sz w:val="21"/>
        <w:szCs w:val="21"/>
        <w:lang w:val="en-US" w:eastAsia="zh-CN" w:bidi="ar-SA"/>
      </w:rPr>
      <w:t>G219八盘水磨至伽师沿边通道工程生态专项评价</w:t>
    </w: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6DB0E1">
    <w:pPr>
      <w:pBdr>
        <w:bottom w:val="thickThinSmallGap" w:color="auto" w:sz="12" w:space="1"/>
      </w:pBdr>
      <w:spacing w:line="240" w:lineRule="auto"/>
      <w:ind w:firstLine="0" w:firstLineChars="0"/>
      <w:jc w:val="right"/>
      <w:rPr>
        <w:rFonts w:ascii="Times New Roman" w:hAnsi="Times New Roman" w:eastAsia="宋体" w:cs="Times New Roman"/>
        <w:b/>
        <w:bCs/>
        <w:sz w:val="21"/>
        <w:szCs w:val="21"/>
      </w:rPr>
    </w:pPr>
    <w:r>
      <w:rPr>
        <w:rFonts w:hint="eastAsia" w:ascii="Times New Roman" w:hAnsi="Times New Roman" w:eastAsia="宋体" w:cs="Times New Roman"/>
        <w:b/>
        <w:bCs/>
        <w:sz w:val="21"/>
        <w:szCs w:val="21"/>
      </w:rPr>
      <w:t>5</w:t>
    </w:r>
    <w:r>
      <w:rPr>
        <w:rFonts w:ascii="Times New Roman" w:hAnsi="Times New Roman" w:eastAsia="宋体" w:cs="Times New Roman"/>
        <w:b/>
        <w:bCs/>
        <w:sz w:val="21"/>
        <w:szCs w:val="21"/>
      </w:rPr>
      <w:t xml:space="preserve"> </w:t>
    </w:r>
    <w:r>
      <w:rPr>
        <w:rFonts w:hint="eastAsia" w:ascii="Times New Roman" w:hAnsi="Times New Roman" w:eastAsia="宋体" w:cs="Times New Roman"/>
        <w:b/>
        <w:bCs/>
        <w:sz w:val="21"/>
        <w:szCs w:val="21"/>
      </w:rPr>
      <w:t>生态影响评价结论</w:t>
    </w: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744D20">
    <w:pPr>
      <w:widowControl w:val="0"/>
      <w:pBdr>
        <w:bottom w:val="thickThinSmallGap" w:color="auto" w:sz="12" w:space="1"/>
      </w:pBdr>
      <w:tabs>
        <w:tab w:val="center" w:pos="4153"/>
        <w:tab w:val="right" w:pos="8306"/>
      </w:tabs>
      <w:snapToGrid w:val="0"/>
      <w:spacing w:line="240" w:lineRule="auto"/>
      <w:ind w:firstLine="0" w:firstLineChars="0"/>
      <w:jc w:val="left"/>
      <w:rPr>
        <w:rFonts w:ascii="Times New Roman" w:hAnsi="Times New Roman" w:eastAsia="宋体" w:cs="Times New Roman"/>
        <w:b/>
        <w:bCs/>
        <w:kern w:val="2"/>
        <w:sz w:val="21"/>
        <w:szCs w:val="21"/>
        <w:lang w:val="en-US" w:eastAsia="zh-CN" w:bidi="ar-SA"/>
      </w:rPr>
    </w:pPr>
    <w:r>
      <w:rPr>
        <w:rFonts w:hint="eastAsia" w:ascii="Times New Roman" w:hAnsi="Times New Roman" w:eastAsia="宋体" w:cs="Times New Roman"/>
        <w:b/>
        <w:bCs/>
        <w:kern w:val="2"/>
        <w:sz w:val="21"/>
        <w:szCs w:val="21"/>
        <w:lang w:val="en-US" w:eastAsia="zh-CN" w:bidi="ar-SA"/>
      </w:rPr>
      <w:t>G219八盘水磨至伽师沿边通道工程生态专项评价</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7C6713">
    <w:pPr>
      <w:pBdr>
        <w:bottom w:val="thinThickSmallGap" w:color="auto" w:sz="12" w:space="1"/>
      </w:pBdr>
      <w:jc w:val="right"/>
      <w:rPr>
        <w:rFonts w:hint="eastAsia" w:ascii="黑体" w:hAnsi="黑体" w:eastAsia="黑体"/>
      </w:rPr>
    </w:pPr>
    <w:r>
      <w:rPr>
        <w:rFonts w:hint="eastAsia" w:ascii="黑体" w:eastAsia="黑体"/>
      </w:rPr>
      <w:t>五、主要生态环境保护措施</w:t>
    </w:r>
    <w:r>
      <w:rPr>
        <w:rFonts w:eastAsia="仿宋_GB2312"/>
      </w:rP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BC84D6">
    <w:pPr>
      <w:pBdr>
        <w:bottom w:val="thinThickSmallGap" w:color="auto" w:sz="12" w:space="1"/>
      </w:pBdr>
      <w:jc w:val="right"/>
      <w:rPr>
        <w:rFonts w:hint="eastAsia" w:ascii="黑体" w:hAnsi="黑体" w:eastAsia="黑体"/>
      </w:rPr>
    </w:pPr>
    <w:r>
      <w:rPr>
        <w:rFonts w:hint="eastAsia" w:ascii="黑体" w:eastAsia="黑体"/>
      </w:rPr>
      <w:t>六、生态环境保护措施监督检查清单</w:t>
    </w:r>
    <w:r>
      <w:rPr>
        <w:rFonts w:eastAsia="仿宋_GB2312"/>
      </w:rPr>
      <w:t xml:space="preserve">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743356">
    <w:pPr>
      <w:pBdr>
        <w:bottom w:val="thinThickSmallGap" w:color="auto" w:sz="12" w:space="1"/>
      </w:pBdr>
      <w:jc w:val="right"/>
      <w:rPr>
        <w:rFonts w:hint="eastAsia" w:ascii="黑体" w:hAnsi="黑体" w:eastAsia="黑体"/>
      </w:rPr>
    </w:pPr>
    <w:r>
      <w:rPr>
        <w:rFonts w:hint="eastAsia" w:ascii="黑体" w:eastAsia="黑体"/>
      </w:rPr>
      <w:t>七、结论</w:t>
    </w:r>
    <w:r>
      <w:rPr>
        <w:rFonts w:eastAsia="仿宋_GB2312"/>
      </w:rPr>
      <w:t xml:space="preserve">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B406DB">
    <w:pPr>
      <w:pBdr>
        <w:bottom w:val="thinThickSmallGap" w:color="auto" w:sz="12" w:space="1"/>
      </w:pBdr>
      <w:jc w:val="left"/>
      <w:rPr>
        <w:rFonts w:ascii="黑体" w:hAnsi="黑体" w:eastAsia="黑体" w:cs="Times New Roman"/>
      </w:rPr>
    </w:pPr>
    <w:r>
      <w:rPr>
        <w:rFonts w:hint="eastAsia" w:ascii="黑体" w:hAnsi="Times New Roman" w:eastAsia="黑体" w:cs="Times New Roman"/>
      </w:rPr>
      <w:t>G219</w:t>
    </w:r>
    <w:r>
      <w:rPr>
        <w:rFonts w:hint="eastAsia" w:ascii="黑体" w:hAnsi="Times New Roman" w:eastAsia="黑体" w:cs="Times New Roman"/>
        <w:lang w:eastAsia="zh-CN"/>
      </w:rPr>
      <w:t>八盘水磨至伽师沿边通道工程</w:t>
    </w:r>
    <w:r>
      <w:rPr>
        <w:rFonts w:hint="eastAsia" w:ascii="黑体" w:hAnsi="Times New Roman" w:eastAsia="黑体" w:cs="Times New Roman"/>
      </w:rPr>
      <w:t>声环境专项评价</w:t>
    </w:r>
    <w:r>
      <w:rPr>
        <w:rFonts w:ascii="Times New Roman" w:hAnsi="Times New Roman" w:eastAsia="仿宋_GB2312" w:cs="Times New Roma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D12874"/>
    <w:multiLevelType w:val="multilevel"/>
    <w:tmpl w:val="0ED12874"/>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1">
    <w:nsid w:val="0F89337E"/>
    <w:multiLevelType w:val="multilevel"/>
    <w:tmpl w:val="0F89337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
    <w:nsid w:val="1D4F069C"/>
    <w:multiLevelType w:val="multilevel"/>
    <w:tmpl w:val="1D4F069C"/>
    <w:lvl w:ilvl="0" w:tentative="0">
      <w:start w:val="1"/>
      <w:numFmt w:val="bullet"/>
      <w:lvlText w:val=""/>
      <w:lvlJc w:val="left"/>
      <w:pPr>
        <w:ind w:left="916" w:hanging="420"/>
      </w:pPr>
      <w:rPr>
        <w:rFonts w:hint="default" w:ascii="Wingdings" w:hAnsi="Wingdings"/>
      </w:rPr>
    </w:lvl>
    <w:lvl w:ilvl="1" w:tentative="0">
      <w:start w:val="1"/>
      <w:numFmt w:val="bullet"/>
      <w:lvlText w:val=""/>
      <w:lvlJc w:val="left"/>
      <w:pPr>
        <w:ind w:left="1336" w:hanging="420"/>
      </w:pPr>
      <w:rPr>
        <w:rFonts w:hint="default" w:ascii="Wingdings" w:hAnsi="Wingdings"/>
      </w:rPr>
    </w:lvl>
    <w:lvl w:ilvl="2" w:tentative="0">
      <w:start w:val="1"/>
      <w:numFmt w:val="bullet"/>
      <w:lvlText w:val=""/>
      <w:lvlJc w:val="left"/>
      <w:pPr>
        <w:ind w:left="1756" w:hanging="420"/>
      </w:pPr>
      <w:rPr>
        <w:rFonts w:hint="default" w:ascii="Wingdings" w:hAnsi="Wingdings"/>
      </w:rPr>
    </w:lvl>
    <w:lvl w:ilvl="3" w:tentative="0">
      <w:start w:val="1"/>
      <w:numFmt w:val="bullet"/>
      <w:lvlText w:val=""/>
      <w:lvlJc w:val="left"/>
      <w:pPr>
        <w:ind w:left="2176" w:hanging="420"/>
      </w:pPr>
      <w:rPr>
        <w:rFonts w:hint="default" w:ascii="Wingdings" w:hAnsi="Wingdings"/>
      </w:rPr>
    </w:lvl>
    <w:lvl w:ilvl="4" w:tentative="0">
      <w:start w:val="1"/>
      <w:numFmt w:val="bullet"/>
      <w:lvlText w:val=""/>
      <w:lvlJc w:val="left"/>
      <w:pPr>
        <w:ind w:left="2596" w:hanging="420"/>
      </w:pPr>
      <w:rPr>
        <w:rFonts w:hint="default" w:ascii="Wingdings" w:hAnsi="Wingdings"/>
      </w:rPr>
    </w:lvl>
    <w:lvl w:ilvl="5" w:tentative="0">
      <w:start w:val="1"/>
      <w:numFmt w:val="bullet"/>
      <w:lvlText w:val=""/>
      <w:lvlJc w:val="left"/>
      <w:pPr>
        <w:ind w:left="3016" w:hanging="420"/>
      </w:pPr>
      <w:rPr>
        <w:rFonts w:hint="default" w:ascii="Wingdings" w:hAnsi="Wingdings"/>
      </w:rPr>
    </w:lvl>
    <w:lvl w:ilvl="6" w:tentative="0">
      <w:start w:val="1"/>
      <w:numFmt w:val="bullet"/>
      <w:lvlText w:val=""/>
      <w:lvlJc w:val="left"/>
      <w:pPr>
        <w:ind w:left="3436" w:hanging="420"/>
      </w:pPr>
      <w:rPr>
        <w:rFonts w:hint="default" w:ascii="Wingdings" w:hAnsi="Wingdings"/>
      </w:rPr>
    </w:lvl>
    <w:lvl w:ilvl="7" w:tentative="0">
      <w:start w:val="1"/>
      <w:numFmt w:val="bullet"/>
      <w:lvlText w:val=""/>
      <w:lvlJc w:val="left"/>
      <w:pPr>
        <w:ind w:left="3856" w:hanging="420"/>
      </w:pPr>
      <w:rPr>
        <w:rFonts w:hint="default" w:ascii="Wingdings" w:hAnsi="Wingdings"/>
      </w:rPr>
    </w:lvl>
    <w:lvl w:ilvl="8" w:tentative="0">
      <w:start w:val="1"/>
      <w:numFmt w:val="bullet"/>
      <w:lvlText w:val=""/>
      <w:lvlJc w:val="left"/>
      <w:pPr>
        <w:ind w:left="4276" w:hanging="420"/>
      </w:pPr>
      <w:rPr>
        <w:rFonts w:hint="default" w:ascii="Wingdings" w:hAnsi="Wingdings"/>
      </w:rPr>
    </w:lvl>
  </w:abstractNum>
  <w:abstractNum w:abstractNumId="3">
    <w:nsid w:val="2D026CED"/>
    <w:multiLevelType w:val="multilevel"/>
    <w:tmpl w:val="2D026CED"/>
    <w:lvl w:ilvl="0" w:tentative="0">
      <w:start w:val="1"/>
      <w:numFmt w:val="bullet"/>
      <w:lvlText w:val=""/>
      <w:lvlJc w:val="left"/>
      <w:pPr>
        <w:ind w:left="919" w:hanging="420"/>
      </w:pPr>
      <w:rPr>
        <w:rFonts w:hint="default" w:ascii="Wingdings" w:hAnsi="Wingdings"/>
      </w:rPr>
    </w:lvl>
    <w:lvl w:ilvl="1" w:tentative="0">
      <w:start w:val="1"/>
      <w:numFmt w:val="bullet"/>
      <w:lvlText w:val=""/>
      <w:lvlJc w:val="left"/>
      <w:pPr>
        <w:ind w:left="1339" w:hanging="420"/>
      </w:pPr>
      <w:rPr>
        <w:rFonts w:hint="default" w:ascii="Wingdings" w:hAnsi="Wingdings"/>
      </w:rPr>
    </w:lvl>
    <w:lvl w:ilvl="2" w:tentative="0">
      <w:start w:val="1"/>
      <w:numFmt w:val="bullet"/>
      <w:lvlText w:val=""/>
      <w:lvlJc w:val="left"/>
      <w:pPr>
        <w:ind w:left="1759" w:hanging="420"/>
      </w:pPr>
      <w:rPr>
        <w:rFonts w:hint="default" w:ascii="Wingdings" w:hAnsi="Wingdings"/>
      </w:rPr>
    </w:lvl>
    <w:lvl w:ilvl="3" w:tentative="0">
      <w:start w:val="1"/>
      <w:numFmt w:val="bullet"/>
      <w:lvlText w:val=""/>
      <w:lvlJc w:val="left"/>
      <w:pPr>
        <w:ind w:left="2179" w:hanging="420"/>
      </w:pPr>
      <w:rPr>
        <w:rFonts w:hint="default" w:ascii="Wingdings" w:hAnsi="Wingdings"/>
      </w:rPr>
    </w:lvl>
    <w:lvl w:ilvl="4" w:tentative="0">
      <w:start w:val="1"/>
      <w:numFmt w:val="bullet"/>
      <w:lvlText w:val=""/>
      <w:lvlJc w:val="left"/>
      <w:pPr>
        <w:ind w:left="2599" w:hanging="420"/>
      </w:pPr>
      <w:rPr>
        <w:rFonts w:hint="default" w:ascii="Wingdings" w:hAnsi="Wingdings"/>
      </w:rPr>
    </w:lvl>
    <w:lvl w:ilvl="5" w:tentative="0">
      <w:start w:val="1"/>
      <w:numFmt w:val="bullet"/>
      <w:lvlText w:val=""/>
      <w:lvlJc w:val="left"/>
      <w:pPr>
        <w:ind w:left="3019" w:hanging="420"/>
      </w:pPr>
      <w:rPr>
        <w:rFonts w:hint="default" w:ascii="Wingdings" w:hAnsi="Wingdings"/>
      </w:rPr>
    </w:lvl>
    <w:lvl w:ilvl="6" w:tentative="0">
      <w:start w:val="1"/>
      <w:numFmt w:val="bullet"/>
      <w:lvlText w:val=""/>
      <w:lvlJc w:val="left"/>
      <w:pPr>
        <w:ind w:left="3439" w:hanging="420"/>
      </w:pPr>
      <w:rPr>
        <w:rFonts w:hint="default" w:ascii="Wingdings" w:hAnsi="Wingdings"/>
      </w:rPr>
    </w:lvl>
    <w:lvl w:ilvl="7" w:tentative="0">
      <w:start w:val="1"/>
      <w:numFmt w:val="bullet"/>
      <w:lvlText w:val=""/>
      <w:lvlJc w:val="left"/>
      <w:pPr>
        <w:ind w:left="3859" w:hanging="420"/>
      </w:pPr>
      <w:rPr>
        <w:rFonts w:hint="default" w:ascii="Wingdings" w:hAnsi="Wingdings"/>
      </w:rPr>
    </w:lvl>
    <w:lvl w:ilvl="8" w:tentative="0">
      <w:start w:val="1"/>
      <w:numFmt w:val="bullet"/>
      <w:lvlText w:val=""/>
      <w:lvlJc w:val="left"/>
      <w:pPr>
        <w:ind w:left="4279" w:hanging="420"/>
      </w:pPr>
      <w:rPr>
        <w:rFonts w:hint="default" w:ascii="Wingdings" w:hAnsi="Wingdings"/>
      </w:rPr>
    </w:lvl>
  </w:abstractNum>
  <w:abstractNum w:abstractNumId="4">
    <w:nsid w:val="310721E8"/>
    <w:multiLevelType w:val="multilevel"/>
    <w:tmpl w:val="310721E8"/>
    <w:lvl w:ilvl="0" w:tentative="0">
      <w:start w:val="1"/>
      <w:numFmt w:val="lowerLetter"/>
      <w:lvlText w:val="%1."/>
      <w:lvlJc w:val="left"/>
      <w:pPr>
        <w:ind w:left="900" w:hanging="420"/>
      </w:pPr>
      <w:rPr>
        <w:rFonts w:hint="default"/>
      </w:rPr>
    </w:lvl>
    <w:lvl w:ilvl="1" w:tentative="0">
      <w:start w:val="1"/>
      <w:numFmt w:val="lowerLetter"/>
      <w:lvlText w:val="%2."/>
      <w:lvlJc w:val="left"/>
      <w:pPr>
        <w:ind w:left="1320" w:hanging="42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5">
    <w:nsid w:val="54E34423"/>
    <w:multiLevelType w:val="multilevel"/>
    <w:tmpl w:val="54E34423"/>
    <w:lvl w:ilvl="0" w:tentative="0">
      <w:start w:val="1"/>
      <w:numFmt w:val="bullet"/>
      <w:lvlText w:val=""/>
      <w:lvlJc w:val="left"/>
      <w:pPr>
        <w:ind w:left="916" w:hanging="420"/>
      </w:pPr>
      <w:rPr>
        <w:rFonts w:hint="default" w:ascii="Wingdings" w:hAnsi="Wingdings"/>
      </w:rPr>
    </w:lvl>
    <w:lvl w:ilvl="1" w:tentative="0">
      <w:start w:val="1"/>
      <w:numFmt w:val="bullet"/>
      <w:lvlText w:val=""/>
      <w:lvlJc w:val="left"/>
      <w:pPr>
        <w:ind w:left="1336" w:hanging="420"/>
      </w:pPr>
      <w:rPr>
        <w:rFonts w:hint="default" w:ascii="Wingdings" w:hAnsi="Wingdings"/>
      </w:rPr>
    </w:lvl>
    <w:lvl w:ilvl="2" w:tentative="0">
      <w:start w:val="1"/>
      <w:numFmt w:val="bullet"/>
      <w:lvlText w:val=""/>
      <w:lvlJc w:val="left"/>
      <w:pPr>
        <w:ind w:left="1756" w:hanging="420"/>
      </w:pPr>
      <w:rPr>
        <w:rFonts w:hint="default" w:ascii="Wingdings" w:hAnsi="Wingdings"/>
      </w:rPr>
    </w:lvl>
    <w:lvl w:ilvl="3" w:tentative="0">
      <w:start w:val="1"/>
      <w:numFmt w:val="bullet"/>
      <w:lvlText w:val=""/>
      <w:lvlJc w:val="left"/>
      <w:pPr>
        <w:ind w:left="2176" w:hanging="420"/>
      </w:pPr>
      <w:rPr>
        <w:rFonts w:hint="default" w:ascii="Wingdings" w:hAnsi="Wingdings"/>
      </w:rPr>
    </w:lvl>
    <w:lvl w:ilvl="4" w:tentative="0">
      <w:start w:val="1"/>
      <w:numFmt w:val="bullet"/>
      <w:lvlText w:val=""/>
      <w:lvlJc w:val="left"/>
      <w:pPr>
        <w:ind w:left="2596" w:hanging="420"/>
      </w:pPr>
      <w:rPr>
        <w:rFonts w:hint="default" w:ascii="Wingdings" w:hAnsi="Wingdings"/>
      </w:rPr>
    </w:lvl>
    <w:lvl w:ilvl="5" w:tentative="0">
      <w:start w:val="1"/>
      <w:numFmt w:val="bullet"/>
      <w:lvlText w:val=""/>
      <w:lvlJc w:val="left"/>
      <w:pPr>
        <w:ind w:left="3016" w:hanging="420"/>
      </w:pPr>
      <w:rPr>
        <w:rFonts w:hint="default" w:ascii="Wingdings" w:hAnsi="Wingdings"/>
      </w:rPr>
    </w:lvl>
    <w:lvl w:ilvl="6" w:tentative="0">
      <w:start w:val="1"/>
      <w:numFmt w:val="bullet"/>
      <w:lvlText w:val=""/>
      <w:lvlJc w:val="left"/>
      <w:pPr>
        <w:ind w:left="3436" w:hanging="420"/>
      </w:pPr>
      <w:rPr>
        <w:rFonts w:hint="default" w:ascii="Wingdings" w:hAnsi="Wingdings"/>
      </w:rPr>
    </w:lvl>
    <w:lvl w:ilvl="7" w:tentative="0">
      <w:start w:val="1"/>
      <w:numFmt w:val="bullet"/>
      <w:lvlText w:val=""/>
      <w:lvlJc w:val="left"/>
      <w:pPr>
        <w:ind w:left="3856" w:hanging="420"/>
      </w:pPr>
      <w:rPr>
        <w:rFonts w:hint="default" w:ascii="Wingdings" w:hAnsi="Wingdings"/>
      </w:rPr>
    </w:lvl>
    <w:lvl w:ilvl="8" w:tentative="0">
      <w:start w:val="1"/>
      <w:numFmt w:val="bullet"/>
      <w:lvlText w:val=""/>
      <w:lvlJc w:val="left"/>
      <w:pPr>
        <w:ind w:left="4276" w:hanging="420"/>
      </w:pPr>
      <w:rPr>
        <w:rFonts w:hint="default" w:ascii="Wingdings" w:hAnsi="Wingdings"/>
      </w:rPr>
    </w:lvl>
  </w:abstractNum>
  <w:abstractNum w:abstractNumId="6">
    <w:nsid w:val="57495252"/>
    <w:multiLevelType w:val="multilevel"/>
    <w:tmpl w:val="57495252"/>
    <w:lvl w:ilvl="0" w:tentative="0">
      <w:start w:val="1"/>
      <w:numFmt w:val="decimal"/>
      <w:suff w:val="space"/>
      <w:lvlText w:val="%1"/>
      <w:lvlJc w:val="center"/>
      <w:pPr>
        <w:ind w:left="0" w:firstLine="288"/>
      </w:pPr>
      <w:rPr>
        <w:rFonts w:hint="eastAsia"/>
        <w:color w:val="000000"/>
      </w:rPr>
    </w:lvl>
    <w:lvl w:ilvl="1" w:tentative="0">
      <w:start w:val="1"/>
      <w:numFmt w:val="decimal"/>
      <w:suff w:val="space"/>
      <w:lvlText w:val="%1.%2"/>
      <w:lvlJc w:val="left"/>
      <w:pPr>
        <w:ind w:left="0" w:firstLine="0"/>
      </w:pPr>
      <w:rPr>
        <w:rFonts w:hint="eastAsia"/>
      </w:rPr>
    </w:lvl>
    <w:lvl w:ilvl="2" w:tentative="0">
      <w:start w:val="1"/>
      <w:numFmt w:val="decimal"/>
      <w:suff w:val="space"/>
      <w:lvlText w:val="%1.%2.%3"/>
      <w:lvlJc w:val="left"/>
      <w:pPr>
        <w:ind w:left="0" w:firstLine="0"/>
      </w:pPr>
      <w:rPr>
        <w:rFonts w:hint="eastAsia"/>
        <w:color w:val="auto"/>
      </w:rPr>
    </w:lvl>
    <w:lvl w:ilvl="3" w:tentative="0">
      <w:start w:val="1"/>
      <w:numFmt w:val="decimal"/>
      <w:suff w:val="space"/>
      <w:lvlText w:val="%1.%2.%3.%4"/>
      <w:lvlJc w:val="left"/>
      <w:pPr>
        <w:ind w:left="0" w:firstLine="0"/>
      </w:pPr>
      <w:rPr>
        <w:rFonts w:hint="eastAsia"/>
      </w:rPr>
    </w:lvl>
    <w:lvl w:ilvl="4" w:tentative="0">
      <w:start w:val="1"/>
      <w:numFmt w:val="decimal"/>
      <w:suff w:val="space"/>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7">
    <w:nsid w:val="57F763BA"/>
    <w:multiLevelType w:val="multilevel"/>
    <w:tmpl w:val="57F763BA"/>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8">
    <w:nsid w:val="628B329C"/>
    <w:multiLevelType w:val="multilevel"/>
    <w:tmpl w:val="628B329C"/>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9">
    <w:nsid w:val="646F54AF"/>
    <w:multiLevelType w:val="multilevel"/>
    <w:tmpl w:val="646F54AF"/>
    <w:lvl w:ilvl="0" w:tentative="0">
      <w:start w:val="1"/>
      <w:numFmt w:val="lowerLetter"/>
      <w:lvlText w:val="%1."/>
      <w:lvlJc w:val="left"/>
      <w:pPr>
        <w:ind w:left="900" w:hanging="420"/>
      </w:pPr>
      <w:rPr>
        <w:rFonts w:hint="default"/>
      </w:rPr>
    </w:lvl>
    <w:lvl w:ilvl="1" w:tentative="0">
      <w:start w:val="1"/>
      <w:numFmt w:val="lowerLetter"/>
      <w:lvlText w:val="%2."/>
      <w:lvlJc w:val="left"/>
      <w:pPr>
        <w:ind w:left="1320" w:hanging="42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0">
    <w:nsid w:val="6F3A5FC3"/>
    <w:multiLevelType w:val="multilevel"/>
    <w:tmpl w:val="6F3A5FC3"/>
    <w:lvl w:ilvl="0" w:tentative="0">
      <w:start w:val="1"/>
      <w:numFmt w:val="bullet"/>
      <w:lvlText w:val=""/>
      <w:lvlJc w:val="left"/>
      <w:pPr>
        <w:ind w:left="885" w:hanging="420"/>
      </w:pPr>
      <w:rPr>
        <w:rFonts w:hint="default" w:ascii="Wingdings" w:hAnsi="Wingdings"/>
      </w:rPr>
    </w:lvl>
    <w:lvl w:ilvl="1" w:tentative="0">
      <w:start w:val="1"/>
      <w:numFmt w:val="bullet"/>
      <w:lvlText w:val=""/>
      <w:lvlJc w:val="left"/>
      <w:pPr>
        <w:ind w:left="1305" w:hanging="420"/>
      </w:pPr>
      <w:rPr>
        <w:rFonts w:hint="default" w:ascii="Wingdings" w:hAnsi="Wingdings"/>
      </w:rPr>
    </w:lvl>
    <w:lvl w:ilvl="2" w:tentative="0">
      <w:start w:val="1"/>
      <w:numFmt w:val="bullet"/>
      <w:lvlText w:val=""/>
      <w:lvlJc w:val="left"/>
      <w:pPr>
        <w:ind w:left="1725" w:hanging="420"/>
      </w:pPr>
      <w:rPr>
        <w:rFonts w:hint="default" w:ascii="Wingdings" w:hAnsi="Wingdings"/>
      </w:rPr>
    </w:lvl>
    <w:lvl w:ilvl="3" w:tentative="0">
      <w:start w:val="1"/>
      <w:numFmt w:val="bullet"/>
      <w:lvlText w:val=""/>
      <w:lvlJc w:val="left"/>
      <w:pPr>
        <w:ind w:left="2145" w:hanging="420"/>
      </w:pPr>
      <w:rPr>
        <w:rFonts w:hint="default" w:ascii="Wingdings" w:hAnsi="Wingdings"/>
      </w:rPr>
    </w:lvl>
    <w:lvl w:ilvl="4" w:tentative="0">
      <w:start w:val="1"/>
      <w:numFmt w:val="bullet"/>
      <w:lvlText w:val=""/>
      <w:lvlJc w:val="left"/>
      <w:pPr>
        <w:ind w:left="2565" w:hanging="420"/>
      </w:pPr>
      <w:rPr>
        <w:rFonts w:hint="default" w:ascii="Wingdings" w:hAnsi="Wingdings"/>
      </w:rPr>
    </w:lvl>
    <w:lvl w:ilvl="5" w:tentative="0">
      <w:start w:val="1"/>
      <w:numFmt w:val="bullet"/>
      <w:lvlText w:val=""/>
      <w:lvlJc w:val="left"/>
      <w:pPr>
        <w:ind w:left="2985" w:hanging="420"/>
      </w:pPr>
      <w:rPr>
        <w:rFonts w:hint="default" w:ascii="Wingdings" w:hAnsi="Wingdings"/>
      </w:rPr>
    </w:lvl>
    <w:lvl w:ilvl="6" w:tentative="0">
      <w:start w:val="1"/>
      <w:numFmt w:val="bullet"/>
      <w:lvlText w:val=""/>
      <w:lvlJc w:val="left"/>
      <w:pPr>
        <w:ind w:left="3405" w:hanging="420"/>
      </w:pPr>
      <w:rPr>
        <w:rFonts w:hint="default" w:ascii="Wingdings" w:hAnsi="Wingdings"/>
      </w:rPr>
    </w:lvl>
    <w:lvl w:ilvl="7" w:tentative="0">
      <w:start w:val="1"/>
      <w:numFmt w:val="bullet"/>
      <w:lvlText w:val=""/>
      <w:lvlJc w:val="left"/>
      <w:pPr>
        <w:ind w:left="3825" w:hanging="420"/>
      </w:pPr>
      <w:rPr>
        <w:rFonts w:hint="default" w:ascii="Wingdings" w:hAnsi="Wingdings"/>
      </w:rPr>
    </w:lvl>
    <w:lvl w:ilvl="8" w:tentative="0">
      <w:start w:val="1"/>
      <w:numFmt w:val="bullet"/>
      <w:lvlText w:val=""/>
      <w:lvlJc w:val="left"/>
      <w:pPr>
        <w:ind w:left="4245" w:hanging="420"/>
      </w:pPr>
      <w:rPr>
        <w:rFonts w:hint="default" w:ascii="Wingdings" w:hAnsi="Wingdings"/>
      </w:rPr>
    </w:lvl>
  </w:abstractNum>
  <w:abstractNum w:abstractNumId="11">
    <w:nsid w:val="7A555431"/>
    <w:multiLevelType w:val="singleLevel"/>
    <w:tmpl w:val="7A555431"/>
    <w:lvl w:ilvl="0" w:tentative="0">
      <w:start w:val="1"/>
      <w:numFmt w:val="bullet"/>
      <w:lvlText w:val=""/>
      <w:lvlJc w:val="left"/>
      <w:pPr>
        <w:ind w:left="420" w:hanging="420"/>
      </w:pPr>
      <w:rPr>
        <w:rFonts w:hint="default" w:ascii="Wingdings" w:hAnsi="Wingdings"/>
      </w:rPr>
    </w:lvl>
  </w:abstractNum>
  <w:abstractNum w:abstractNumId="12">
    <w:nsid w:val="7D5B62DF"/>
    <w:multiLevelType w:val="multilevel"/>
    <w:tmpl w:val="7D5B62DF"/>
    <w:lvl w:ilvl="0" w:tentative="0">
      <w:start w:val="1"/>
      <w:numFmt w:val="bullet"/>
      <w:lvlText w:val=""/>
      <w:lvlJc w:val="left"/>
      <w:pPr>
        <w:ind w:left="916" w:hanging="420"/>
      </w:pPr>
      <w:rPr>
        <w:rFonts w:hint="default" w:ascii="Wingdings" w:hAnsi="Wingdings"/>
      </w:rPr>
    </w:lvl>
    <w:lvl w:ilvl="1" w:tentative="0">
      <w:start w:val="1"/>
      <w:numFmt w:val="bullet"/>
      <w:lvlText w:val=""/>
      <w:lvlJc w:val="left"/>
      <w:pPr>
        <w:ind w:left="1336" w:hanging="420"/>
      </w:pPr>
      <w:rPr>
        <w:rFonts w:hint="default" w:ascii="Wingdings" w:hAnsi="Wingdings"/>
      </w:rPr>
    </w:lvl>
    <w:lvl w:ilvl="2" w:tentative="0">
      <w:start w:val="1"/>
      <w:numFmt w:val="bullet"/>
      <w:lvlText w:val=""/>
      <w:lvlJc w:val="left"/>
      <w:pPr>
        <w:ind w:left="1756" w:hanging="420"/>
      </w:pPr>
      <w:rPr>
        <w:rFonts w:hint="default" w:ascii="Wingdings" w:hAnsi="Wingdings"/>
      </w:rPr>
    </w:lvl>
    <w:lvl w:ilvl="3" w:tentative="0">
      <w:start w:val="1"/>
      <w:numFmt w:val="bullet"/>
      <w:lvlText w:val=""/>
      <w:lvlJc w:val="left"/>
      <w:pPr>
        <w:ind w:left="2176" w:hanging="420"/>
      </w:pPr>
      <w:rPr>
        <w:rFonts w:hint="default" w:ascii="Wingdings" w:hAnsi="Wingdings"/>
      </w:rPr>
    </w:lvl>
    <w:lvl w:ilvl="4" w:tentative="0">
      <w:start w:val="1"/>
      <w:numFmt w:val="bullet"/>
      <w:lvlText w:val=""/>
      <w:lvlJc w:val="left"/>
      <w:pPr>
        <w:ind w:left="2596" w:hanging="420"/>
      </w:pPr>
      <w:rPr>
        <w:rFonts w:hint="default" w:ascii="Wingdings" w:hAnsi="Wingdings"/>
      </w:rPr>
    </w:lvl>
    <w:lvl w:ilvl="5" w:tentative="0">
      <w:start w:val="1"/>
      <w:numFmt w:val="bullet"/>
      <w:lvlText w:val=""/>
      <w:lvlJc w:val="left"/>
      <w:pPr>
        <w:ind w:left="3016" w:hanging="420"/>
      </w:pPr>
      <w:rPr>
        <w:rFonts w:hint="default" w:ascii="Wingdings" w:hAnsi="Wingdings"/>
      </w:rPr>
    </w:lvl>
    <w:lvl w:ilvl="6" w:tentative="0">
      <w:start w:val="1"/>
      <w:numFmt w:val="bullet"/>
      <w:lvlText w:val=""/>
      <w:lvlJc w:val="left"/>
      <w:pPr>
        <w:ind w:left="3436" w:hanging="420"/>
      </w:pPr>
      <w:rPr>
        <w:rFonts w:hint="default" w:ascii="Wingdings" w:hAnsi="Wingdings"/>
      </w:rPr>
    </w:lvl>
    <w:lvl w:ilvl="7" w:tentative="0">
      <w:start w:val="1"/>
      <w:numFmt w:val="bullet"/>
      <w:lvlText w:val=""/>
      <w:lvlJc w:val="left"/>
      <w:pPr>
        <w:ind w:left="3856" w:hanging="420"/>
      </w:pPr>
      <w:rPr>
        <w:rFonts w:hint="default" w:ascii="Wingdings" w:hAnsi="Wingdings"/>
      </w:rPr>
    </w:lvl>
    <w:lvl w:ilvl="8" w:tentative="0">
      <w:start w:val="1"/>
      <w:numFmt w:val="bullet"/>
      <w:lvlText w:val=""/>
      <w:lvlJc w:val="left"/>
      <w:pPr>
        <w:ind w:left="4276" w:hanging="420"/>
      </w:pPr>
      <w:rPr>
        <w:rFonts w:hint="default" w:ascii="Wingdings" w:hAnsi="Wingdings"/>
      </w:rPr>
    </w:lvl>
  </w:abstractNum>
  <w:num w:numId="1">
    <w:abstractNumId w:val="11"/>
  </w:num>
  <w:num w:numId="2">
    <w:abstractNumId w:val="10"/>
  </w:num>
  <w:num w:numId="3">
    <w:abstractNumId w:val="3"/>
  </w:num>
  <w:num w:numId="4">
    <w:abstractNumId w:val="12"/>
  </w:num>
  <w:num w:numId="5">
    <w:abstractNumId w:val="2"/>
  </w:num>
  <w:num w:numId="6">
    <w:abstractNumId w:val="5"/>
  </w:num>
  <w:num w:numId="7">
    <w:abstractNumId w:val="1"/>
  </w:num>
  <w:num w:numId="8">
    <w:abstractNumId w:val="9"/>
  </w:num>
  <w:num w:numId="9">
    <w:abstractNumId w:val="4"/>
  </w:num>
  <w:num w:numId="10">
    <w:abstractNumId w:val="7"/>
  </w:num>
  <w:num w:numId="11">
    <w:abstractNumId w:val="0"/>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hideSpellingErrors/>
  <w:hideGrammaticalErrors/>
  <w:documentProtection w:edit="trackedChanges" w:enforcement="0"/>
  <w:defaultTabStop w:val="420"/>
  <w:doNotHyphenateCaps/>
  <w:evenAndOddHeaders w:val="1"/>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172A27"/>
    <w:rsid w:val="000001F6"/>
    <w:rsid w:val="00001309"/>
    <w:rsid w:val="0000170A"/>
    <w:rsid w:val="00001CED"/>
    <w:rsid w:val="00001E67"/>
    <w:rsid w:val="00002CAD"/>
    <w:rsid w:val="000036E4"/>
    <w:rsid w:val="0000394F"/>
    <w:rsid w:val="00003CD8"/>
    <w:rsid w:val="000105F4"/>
    <w:rsid w:val="00010910"/>
    <w:rsid w:val="000109B1"/>
    <w:rsid w:val="000109B8"/>
    <w:rsid w:val="000132BE"/>
    <w:rsid w:val="00013EE7"/>
    <w:rsid w:val="00014965"/>
    <w:rsid w:val="0001523A"/>
    <w:rsid w:val="000156D6"/>
    <w:rsid w:val="000164FF"/>
    <w:rsid w:val="000165BD"/>
    <w:rsid w:val="00016ECB"/>
    <w:rsid w:val="0001735D"/>
    <w:rsid w:val="000173E2"/>
    <w:rsid w:val="000204E0"/>
    <w:rsid w:val="000217D4"/>
    <w:rsid w:val="00022DED"/>
    <w:rsid w:val="00023A6D"/>
    <w:rsid w:val="00025DF3"/>
    <w:rsid w:val="000269F6"/>
    <w:rsid w:val="00030EA1"/>
    <w:rsid w:val="00031939"/>
    <w:rsid w:val="00032D25"/>
    <w:rsid w:val="000344EF"/>
    <w:rsid w:val="00034CCD"/>
    <w:rsid w:val="00035E23"/>
    <w:rsid w:val="00035F20"/>
    <w:rsid w:val="00036D75"/>
    <w:rsid w:val="00036D97"/>
    <w:rsid w:val="00036DD5"/>
    <w:rsid w:val="000406F4"/>
    <w:rsid w:val="0004072E"/>
    <w:rsid w:val="00042A6D"/>
    <w:rsid w:val="00042F98"/>
    <w:rsid w:val="00043098"/>
    <w:rsid w:val="00045BE6"/>
    <w:rsid w:val="00045E3C"/>
    <w:rsid w:val="00050589"/>
    <w:rsid w:val="00050F5A"/>
    <w:rsid w:val="00051433"/>
    <w:rsid w:val="0005219D"/>
    <w:rsid w:val="00052F96"/>
    <w:rsid w:val="00054FE0"/>
    <w:rsid w:val="00054FF6"/>
    <w:rsid w:val="0005568F"/>
    <w:rsid w:val="000562E3"/>
    <w:rsid w:val="0005690F"/>
    <w:rsid w:val="00057A17"/>
    <w:rsid w:val="00057EE8"/>
    <w:rsid w:val="0006076A"/>
    <w:rsid w:val="0006153D"/>
    <w:rsid w:val="00061B1F"/>
    <w:rsid w:val="000655DC"/>
    <w:rsid w:val="00065D01"/>
    <w:rsid w:val="000664D3"/>
    <w:rsid w:val="000664DB"/>
    <w:rsid w:val="00066DBF"/>
    <w:rsid w:val="000675CF"/>
    <w:rsid w:val="0007127D"/>
    <w:rsid w:val="00071AE5"/>
    <w:rsid w:val="00071C4F"/>
    <w:rsid w:val="00073D53"/>
    <w:rsid w:val="00074783"/>
    <w:rsid w:val="00074B2C"/>
    <w:rsid w:val="00076E47"/>
    <w:rsid w:val="000801E0"/>
    <w:rsid w:val="00082073"/>
    <w:rsid w:val="00082A29"/>
    <w:rsid w:val="00082CCF"/>
    <w:rsid w:val="0008331D"/>
    <w:rsid w:val="00083A1A"/>
    <w:rsid w:val="00083C18"/>
    <w:rsid w:val="00083D47"/>
    <w:rsid w:val="00087C89"/>
    <w:rsid w:val="00092899"/>
    <w:rsid w:val="00095CF2"/>
    <w:rsid w:val="00096618"/>
    <w:rsid w:val="000969CF"/>
    <w:rsid w:val="000972CF"/>
    <w:rsid w:val="000A178E"/>
    <w:rsid w:val="000A193F"/>
    <w:rsid w:val="000A47F3"/>
    <w:rsid w:val="000A557E"/>
    <w:rsid w:val="000A6900"/>
    <w:rsid w:val="000A7545"/>
    <w:rsid w:val="000B058F"/>
    <w:rsid w:val="000B2BEB"/>
    <w:rsid w:val="000B3C21"/>
    <w:rsid w:val="000B4915"/>
    <w:rsid w:val="000B5BE9"/>
    <w:rsid w:val="000B693F"/>
    <w:rsid w:val="000B6A18"/>
    <w:rsid w:val="000B7FD3"/>
    <w:rsid w:val="000C09AC"/>
    <w:rsid w:val="000C0A63"/>
    <w:rsid w:val="000C0BA8"/>
    <w:rsid w:val="000C0F36"/>
    <w:rsid w:val="000C1138"/>
    <w:rsid w:val="000C437E"/>
    <w:rsid w:val="000C470F"/>
    <w:rsid w:val="000C579F"/>
    <w:rsid w:val="000C6222"/>
    <w:rsid w:val="000C7712"/>
    <w:rsid w:val="000D13D7"/>
    <w:rsid w:val="000D3501"/>
    <w:rsid w:val="000D3D5D"/>
    <w:rsid w:val="000D5EAA"/>
    <w:rsid w:val="000D6CCC"/>
    <w:rsid w:val="000E07CF"/>
    <w:rsid w:val="000E0869"/>
    <w:rsid w:val="000E0997"/>
    <w:rsid w:val="000E1948"/>
    <w:rsid w:val="000E3863"/>
    <w:rsid w:val="000E3E99"/>
    <w:rsid w:val="000E4679"/>
    <w:rsid w:val="000E4BB6"/>
    <w:rsid w:val="000E4E71"/>
    <w:rsid w:val="000E537C"/>
    <w:rsid w:val="000E5F16"/>
    <w:rsid w:val="000E76FC"/>
    <w:rsid w:val="000E7CB2"/>
    <w:rsid w:val="000F1ADA"/>
    <w:rsid w:val="000F1C63"/>
    <w:rsid w:val="000F3F7A"/>
    <w:rsid w:val="000F4452"/>
    <w:rsid w:val="000F6DA1"/>
    <w:rsid w:val="000F701B"/>
    <w:rsid w:val="0010288F"/>
    <w:rsid w:val="00102C94"/>
    <w:rsid w:val="00102D50"/>
    <w:rsid w:val="001034BB"/>
    <w:rsid w:val="00104C4D"/>
    <w:rsid w:val="00104CDF"/>
    <w:rsid w:val="001056A0"/>
    <w:rsid w:val="001069AA"/>
    <w:rsid w:val="00107899"/>
    <w:rsid w:val="001078ED"/>
    <w:rsid w:val="00107D8C"/>
    <w:rsid w:val="0011097A"/>
    <w:rsid w:val="00110B1A"/>
    <w:rsid w:val="00111C30"/>
    <w:rsid w:val="00113EB9"/>
    <w:rsid w:val="001143FD"/>
    <w:rsid w:val="00115279"/>
    <w:rsid w:val="00115A86"/>
    <w:rsid w:val="001164D2"/>
    <w:rsid w:val="00117459"/>
    <w:rsid w:val="0011749A"/>
    <w:rsid w:val="001219BB"/>
    <w:rsid w:val="00123453"/>
    <w:rsid w:val="00124BA2"/>
    <w:rsid w:val="00125031"/>
    <w:rsid w:val="001256F1"/>
    <w:rsid w:val="00125741"/>
    <w:rsid w:val="00127A68"/>
    <w:rsid w:val="00127CBD"/>
    <w:rsid w:val="00134064"/>
    <w:rsid w:val="001353AC"/>
    <w:rsid w:val="00136C88"/>
    <w:rsid w:val="00137FB4"/>
    <w:rsid w:val="0014030F"/>
    <w:rsid w:val="00140B13"/>
    <w:rsid w:val="00141B68"/>
    <w:rsid w:val="00141BD1"/>
    <w:rsid w:val="00144182"/>
    <w:rsid w:val="0014613F"/>
    <w:rsid w:val="001466DA"/>
    <w:rsid w:val="001526B9"/>
    <w:rsid w:val="001531C8"/>
    <w:rsid w:val="00153A1B"/>
    <w:rsid w:val="00154DE1"/>
    <w:rsid w:val="00155B40"/>
    <w:rsid w:val="0015694D"/>
    <w:rsid w:val="00156FED"/>
    <w:rsid w:val="00157435"/>
    <w:rsid w:val="001602B5"/>
    <w:rsid w:val="00162C8F"/>
    <w:rsid w:val="00163A2D"/>
    <w:rsid w:val="00163EEA"/>
    <w:rsid w:val="001640E7"/>
    <w:rsid w:val="001648AA"/>
    <w:rsid w:val="00167A07"/>
    <w:rsid w:val="001702B7"/>
    <w:rsid w:val="0017046A"/>
    <w:rsid w:val="001704A3"/>
    <w:rsid w:val="00170942"/>
    <w:rsid w:val="00170D24"/>
    <w:rsid w:val="0017117D"/>
    <w:rsid w:val="00171D07"/>
    <w:rsid w:val="00172A27"/>
    <w:rsid w:val="0017504D"/>
    <w:rsid w:val="00177422"/>
    <w:rsid w:val="0017744B"/>
    <w:rsid w:val="00181869"/>
    <w:rsid w:val="001823DA"/>
    <w:rsid w:val="00182557"/>
    <w:rsid w:val="00182600"/>
    <w:rsid w:val="00182B22"/>
    <w:rsid w:val="00183A35"/>
    <w:rsid w:val="00184F10"/>
    <w:rsid w:val="00185546"/>
    <w:rsid w:val="0018562E"/>
    <w:rsid w:val="001860EB"/>
    <w:rsid w:val="0019146B"/>
    <w:rsid w:val="001915D1"/>
    <w:rsid w:val="001929A3"/>
    <w:rsid w:val="00193F64"/>
    <w:rsid w:val="00194398"/>
    <w:rsid w:val="0019530F"/>
    <w:rsid w:val="0019532B"/>
    <w:rsid w:val="00195608"/>
    <w:rsid w:val="00195FB5"/>
    <w:rsid w:val="00196870"/>
    <w:rsid w:val="001A12C1"/>
    <w:rsid w:val="001A326F"/>
    <w:rsid w:val="001A3665"/>
    <w:rsid w:val="001A42F0"/>
    <w:rsid w:val="001A76C2"/>
    <w:rsid w:val="001A7D2A"/>
    <w:rsid w:val="001A7EE9"/>
    <w:rsid w:val="001B0189"/>
    <w:rsid w:val="001B0CB9"/>
    <w:rsid w:val="001B0D87"/>
    <w:rsid w:val="001B0F67"/>
    <w:rsid w:val="001B1490"/>
    <w:rsid w:val="001B1A61"/>
    <w:rsid w:val="001B3FAB"/>
    <w:rsid w:val="001B574C"/>
    <w:rsid w:val="001B764C"/>
    <w:rsid w:val="001C0AF9"/>
    <w:rsid w:val="001C155A"/>
    <w:rsid w:val="001C22F2"/>
    <w:rsid w:val="001C30DA"/>
    <w:rsid w:val="001C393F"/>
    <w:rsid w:val="001C3AAA"/>
    <w:rsid w:val="001C4578"/>
    <w:rsid w:val="001C48C0"/>
    <w:rsid w:val="001C5874"/>
    <w:rsid w:val="001D0434"/>
    <w:rsid w:val="001D24A6"/>
    <w:rsid w:val="001D2C3B"/>
    <w:rsid w:val="001D3BC9"/>
    <w:rsid w:val="001D3E64"/>
    <w:rsid w:val="001D6726"/>
    <w:rsid w:val="001E233F"/>
    <w:rsid w:val="001E284B"/>
    <w:rsid w:val="001E586A"/>
    <w:rsid w:val="001E5B59"/>
    <w:rsid w:val="001E6ED3"/>
    <w:rsid w:val="001F0857"/>
    <w:rsid w:val="001F169C"/>
    <w:rsid w:val="001F1AEE"/>
    <w:rsid w:val="001F3347"/>
    <w:rsid w:val="001F4440"/>
    <w:rsid w:val="001F5682"/>
    <w:rsid w:val="001F69E4"/>
    <w:rsid w:val="001F7CC4"/>
    <w:rsid w:val="002013E3"/>
    <w:rsid w:val="002016BD"/>
    <w:rsid w:val="00201D90"/>
    <w:rsid w:val="002023A9"/>
    <w:rsid w:val="002024E2"/>
    <w:rsid w:val="00204FB2"/>
    <w:rsid w:val="002069D4"/>
    <w:rsid w:val="00206A65"/>
    <w:rsid w:val="00206E6A"/>
    <w:rsid w:val="002074C4"/>
    <w:rsid w:val="002108F6"/>
    <w:rsid w:val="002117C1"/>
    <w:rsid w:val="00211A66"/>
    <w:rsid w:val="00212D31"/>
    <w:rsid w:val="002130C7"/>
    <w:rsid w:val="002141C0"/>
    <w:rsid w:val="002153C1"/>
    <w:rsid w:val="002153CD"/>
    <w:rsid w:val="0021558F"/>
    <w:rsid w:val="00215FB0"/>
    <w:rsid w:val="00217BBE"/>
    <w:rsid w:val="00217C4F"/>
    <w:rsid w:val="002205C9"/>
    <w:rsid w:val="00221202"/>
    <w:rsid w:val="002218A8"/>
    <w:rsid w:val="00221CC5"/>
    <w:rsid w:val="00221CDC"/>
    <w:rsid w:val="00222222"/>
    <w:rsid w:val="0022306D"/>
    <w:rsid w:val="00223D55"/>
    <w:rsid w:val="00225429"/>
    <w:rsid w:val="00225C86"/>
    <w:rsid w:val="00226574"/>
    <w:rsid w:val="0022689E"/>
    <w:rsid w:val="00226E1E"/>
    <w:rsid w:val="002278EC"/>
    <w:rsid w:val="002339DB"/>
    <w:rsid w:val="002357C7"/>
    <w:rsid w:val="00235CE5"/>
    <w:rsid w:val="002367C4"/>
    <w:rsid w:val="002406C8"/>
    <w:rsid w:val="00243619"/>
    <w:rsid w:val="00245249"/>
    <w:rsid w:val="002457F0"/>
    <w:rsid w:val="0024696B"/>
    <w:rsid w:val="00246B41"/>
    <w:rsid w:val="00247706"/>
    <w:rsid w:val="00250D39"/>
    <w:rsid w:val="00251451"/>
    <w:rsid w:val="002518C2"/>
    <w:rsid w:val="00251E2E"/>
    <w:rsid w:val="00251F8A"/>
    <w:rsid w:val="0025244D"/>
    <w:rsid w:val="0025245C"/>
    <w:rsid w:val="002532D7"/>
    <w:rsid w:val="00253C83"/>
    <w:rsid w:val="002551E6"/>
    <w:rsid w:val="0025679E"/>
    <w:rsid w:val="00256CB8"/>
    <w:rsid w:val="00260C68"/>
    <w:rsid w:val="00262234"/>
    <w:rsid w:val="002623C8"/>
    <w:rsid w:val="00263C8B"/>
    <w:rsid w:val="002646DC"/>
    <w:rsid w:val="002648B0"/>
    <w:rsid w:val="00267041"/>
    <w:rsid w:val="00270827"/>
    <w:rsid w:val="0027167C"/>
    <w:rsid w:val="00271C5F"/>
    <w:rsid w:val="00273F08"/>
    <w:rsid w:val="00274D57"/>
    <w:rsid w:val="00275271"/>
    <w:rsid w:val="0027535E"/>
    <w:rsid w:val="00275AA6"/>
    <w:rsid w:val="00275E84"/>
    <w:rsid w:val="00276108"/>
    <w:rsid w:val="00280191"/>
    <w:rsid w:val="002807D5"/>
    <w:rsid w:val="00281641"/>
    <w:rsid w:val="00281EA0"/>
    <w:rsid w:val="00282CCD"/>
    <w:rsid w:val="00282F26"/>
    <w:rsid w:val="002831A5"/>
    <w:rsid w:val="00283839"/>
    <w:rsid w:val="00283C87"/>
    <w:rsid w:val="00284367"/>
    <w:rsid w:val="00285237"/>
    <w:rsid w:val="002900DF"/>
    <w:rsid w:val="00291048"/>
    <w:rsid w:val="0029141D"/>
    <w:rsid w:val="00291D84"/>
    <w:rsid w:val="002938B8"/>
    <w:rsid w:val="00294770"/>
    <w:rsid w:val="002952DC"/>
    <w:rsid w:val="00296DA9"/>
    <w:rsid w:val="002A168C"/>
    <w:rsid w:val="002A18E3"/>
    <w:rsid w:val="002A2087"/>
    <w:rsid w:val="002A26F0"/>
    <w:rsid w:val="002A2C48"/>
    <w:rsid w:val="002A3EED"/>
    <w:rsid w:val="002A4152"/>
    <w:rsid w:val="002A4225"/>
    <w:rsid w:val="002A4A39"/>
    <w:rsid w:val="002A53D2"/>
    <w:rsid w:val="002A5A17"/>
    <w:rsid w:val="002A5BF5"/>
    <w:rsid w:val="002A5FF4"/>
    <w:rsid w:val="002A6425"/>
    <w:rsid w:val="002B007F"/>
    <w:rsid w:val="002B0E38"/>
    <w:rsid w:val="002B2731"/>
    <w:rsid w:val="002B3FFD"/>
    <w:rsid w:val="002B49E2"/>
    <w:rsid w:val="002B6BBE"/>
    <w:rsid w:val="002B7B00"/>
    <w:rsid w:val="002B7C44"/>
    <w:rsid w:val="002C059E"/>
    <w:rsid w:val="002C1388"/>
    <w:rsid w:val="002C173B"/>
    <w:rsid w:val="002C2392"/>
    <w:rsid w:val="002C3B44"/>
    <w:rsid w:val="002C3C6A"/>
    <w:rsid w:val="002C525A"/>
    <w:rsid w:val="002C5751"/>
    <w:rsid w:val="002C5EEA"/>
    <w:rsid w:val="002C7114"/>
    <w:rsid w:val="002C7624"/>
    <w:rsid w:val="002C7667"/>
    <w:rsid w:val="002C7687"/>
    <w:rsid w:val="002D0BAD"/>
    <w:rsid w:val="002D13B9"/>
    <w:rsid w:val="002D16D7"/>
    <w:rsid w:val="002D3D2C"/>
    <w:rsid w:val="002D42DB"/>
    <w:rsid w:val="002D619C"/>
    <w:rsid w:val="002D66E3"/>
    <w:rsid w:val="002D6CA2"/>
    <w:rsid w:val="002E0E75"/>
    <w:rsid w:val="002E1F3A"/>
    <w:rsid w:val="002E2146"/>
    <w:rsid w:val="002E298A"/>
    <w:rsid w:val="002E2F19"/>
    <w:rsid w:val="002E3EA8"/>
    <w:rsid w:val="002E3EFF"/>
    <w:rsid w:val="002F02A4"/>
    <w:rsid w:val="002F12DC"/>
    <w:rsid w:val="002F1B69"/>
    <w:rsid w:val="002F272B"/>
    <w:rsid w:val="002F318F"/>
    <w:rsid w:val="002F49F7"/>
    <w:rsid w:val="002F4C69"/>
    <w:rsid w:val="002F4D26"/>
    <w:rsid w:val="002F5E8A"/>
    <w:rsid w:val="002F6188"/>
    <w:rsid w:val="002F62B3"/>
    <w:rsid w:val="002F6554"/>
    <w:rsid w:val="002F6D8F"/>
    <w:rsid w:val="002F7C6D"/>
    <w:rsid w:val="00300535"/>
    <w:rsid w:val="00301CFC"/>
    <w:rsid w:val="003027E4"/>
    <w:rsid w:val="0030332C"/>
    <w:rsid w:val="003103D5"/>
    <w:rsid w:val="00310CF7"/>
    <w:rsid w:val="00311A33"/>
    <w:rsid w:val="003120DC"/>
    <w:rsid w:val="00312296"/>
    <w:rsid w:val="003123C6"/>
    <w:rsid w:val="00312FD3"/>
    <w:rsid w:val="0031340E"/>
    <w:rsid w:val="00314EF2"/>
    <w:rsid w:val="00316464"/>
    <w:rsid w:val="003205DC"/>
    <w:rsid w:val="0032073A"/>
    <w:rsid w:val="00320A4A"/>
    <w:rsid w:val="00321D8E"/>
    <w:rsid w:val="00322102"/>
    <w:rsid w:val="0032257B"/>
    <w:rsid w:val="00324CFF"/>
    <w:rsid w:val="00325CC7"/>
    <w:rsid w:val="003323C3"/>
    <w:rsid w:val="00333F20"/>
    <w:rsid w:val="00334996"/>
    <w:rsid w:val="003349F5"/>
    <w:rsid w:val="00334EAB"/>
    <w:rsid w:val="0033600A"/>
    <w:rsid w:val="003364C0"/>
    <w:rsid w:val="00336969"/>
    <w:rsid w:val="00336C52"/>
    <w:rsid w:val="003374D8"/>
    <w:rsid w:val="0034049E"/>
    <w:rsid w:val="0034058D"/>
    <w:rsid w:val="00340F2A"/>
    <w:rsid w:val="00341B3E"/>
    <w:rsid w:val="00341B42"/>
    <w:rsid w:val="003442C3"/>
    <w:rsid w:val="003442C9"/>
    <w:rsid w:val="003444BA"/>
    <w:rsid w:val="00344764"/>
    <w:rsid w:val="00344A12"/>
    <w:rsid w:val="00344FAC"/>
    <w:rsid w:val="00345154"/>
    <w:rsid w:val="0034560E"/>
    <w:rsid w:val="003476BE"/>
    <w:rsid w:val="00350523"/>
    <w:rsid w:val="00352128"/>
    <w:rsid w:val="003528D1"/>
    <w:rsid w:val="00352975"/>
    <w:rsid w:val="00353AE6"/>
    <w:rsid w:val="00354ED9"/>
    <w:rsid w:val="0035569E"/>
    <w:rsid w:val="00355D0C"/>
    <w:rsid w:val="00356868"/>
    <w:rsid w:val="00357E74"/>
    <w:rsid w:val="00357FAE"/>
    <w:rsid w:val="0036219A"/>
    <w:rsid w:val="00362679"/>
    <w:rsid w:val="003626C5"/>
    <w:rsid w:val="003631CC"/>
    <w:rsid w:val="00363774"/>
    <w:rsid w:val="00363F60"/>
    <w:rsid w:val="0036485B"/>
    <w:rsid w:val="00364C00"/>
    <w:rsid w:val="00370CEE"/>
    <w:rsid w:val="00371124"/>
    <w:rsid w:val="00371982"/>
    <w:rsid w:val="00372440"/>
    <w:rsid w:val="00372E09"/>
    <w:rsid w:val="00373B0D"/>
    <w:rsid w:val="003764E6"/>
    <w:rsid w:val="00376988"/>
    <w:rsid w:val="0037770B"/>
    <w:rsid w:val="00380968"/>
    <w:rsid w:val="003819ED"/>
    <w:rsid w:val="00381A72"/>
    <w:rsid w:val="003831A0"/>
    <w:rsid w:val="00386228"/>
    <w:rsid w:val="00386523"/>
    <w:rsid w:val="00386A30"/>
    <w:rsid w:val="00391C0D"/>
    <w:rsid w:val="00393D53"/>
    <w:rsid w:val="0039415C"/>
    <w:rsid w:val="003950BE"/>
    <w:rsid w:val="0039535F"/>
    <w:rsid w:val="00397FC5"/>
    <w:rsid w:val="003A0789"/>
    <w:rsid w:val="003A09E5"/>
    <w:rsid w:val="003A0A14"/>
    <w:rsid w:val="003A163B"/>
    <w:rsid w:val="003A1948"/>
    <w:rsid w:val="003A1BE6"/>
    <w:rsid w:val="003A1C70"/>
    <w:rsid w:val="003A3D47"/>
    <w:rsid w:val="003A66AB"/>
    <w:rsid w:val="003A79C5"/>
    <w:rsid w:val="003B152A"/>
    <w:rsid w:val="003B1A63"/>
    <w:rsid w:val="003B1BD5"/>
    <w:rsid w:val="003B2FA0"/>
    <w:rsid w:val="003B3540"/>
    <w:rsid w:val="003B515D"/>
    <w:rsid w:val="003B545B"/>
    <w:rsid w:val="003B5E50"/>
    <w:rsid w:val="003B64F2"/>
    <w:rsid w:val="003B6649"/>
    <w:rsid w:val="003B7308"/>
    <w:rsid w:val="003C082C"/>
    <w:rsid w:val="003C1EAA"/>
    <w:rsid w:val="003C2A00"/>
    <w:rsid w:val="003C404B"/>
    <w:rsid w:val="003C4844"/>
    <w:rsid w:val="003C708A"/>
    <w:rsid w:val="003D0960"/>
    <w:rsid w:val="003D2568"/>
    <w:rsid w:val="003D359E"/>
    <w:rsid w:val="003D3EE9"/>
    <w:rsid w:val="003D5736"/>
    <w:rsid w:val="003D770E"/>
    <w:rsid w:val="003D796E"/>
    <w:rsid w:val="003E0E50"/>
    <w:rsid w:val="003E1A76"/>
    <w:rsid w:val="003E2FA8"/>
    <w:rsid w:val="003E643D"/>
    <w:rsid w:val="003E7681"/>
    <w:rsid w:val="003F0809"/>
    <w:rsid w:val="003F0B8F"/>
    <w:rsid w:val="003F0D5F"/>
    <w:rsid w:val="003F1114"/>
    <w:rsid w:val="003F38A9"/>
    <w:rsid w:val="003F5A1B"/>
    <w:rsid w:val="003F611C"/>
    <w:rsid w:val="003F755C"/>
    <w:rsid w:val="00400D1E"/>
    <w:rsid w:val="00404AE0"/>
    <w:rsid w:val="00406D31"/>
    <w:rsid w:val="00406F01"/>
    <w:rsid w:val="00407C11"/>
    <w:rsid w:val="00410FD4"/>
    <w:rsid w:val="00411120"/>
    <w:rsid w:val="00411B36"/>
    <w:rsid w:val="004121D7"/>
    <w:rsid w:val="004137D8"/>
    <w:rsid w:val="0041543A"/>
    <w:rsid w:val="00415747"/>
    <w:rsid w:val="00416D50"/>
    <w:rsid w:val="00416E93"/>
    <w:rsid w:val="00417439"/>
    <w:rsid w:val="00417772"/>
    <w:rsid w:val="004204EB"/>
    <w:rsid w:val="00420E6A"/>
    <w:rsid w:val="00420FCD"/>
    <w:rsid w:val="0042786F"/>
    <w:rsid w:val="00427A57"/>
    <w:rsid w:val="004301B2"/>
    <w:rsid w:val="00430264"/>
    <w:rsid w:val="0043041B"/>
    <w:rsid w:val="00431B63"/>
    <w:rsid w:val="004326D9"/>
    <w:rsid w:val="0043283C"/>
    <w:rsid w:val="00432F04"/>
    <w:rsid w:val="00433CA9"/>
    <w:rsid w:val="0043521D"/>
    <w:rsid w:val="00440676"/>
    <w:rsid w:val="00441CA7"/>
    <w:rsid w:val="00442024"/>
    <w:rsid w:val="00442275"/>
    <w:rsid w:val="0044254C"/>
    <w:rsid w:val="00442916"/>
    <w:rsid w:val="00443F6A"/>
    <w:rsid w:val="00444659"/>
    <w:rsid w:val="004456C9"/>
    <w:rsid w:val="00445B6B"/>
    <w:rsid w:val="00447536"/>
    <w:rsid w:val="004503DD"/>
    <w:rsid w:val="004504E5"/>
    <w:rsid w:val="0045092B"/>
    <w:rsid w:val="00450A17"/>
    <w:rsid w:val="00450FC0"/>
    <w:rsid w:val="0045191E"/>
    <w:rsid w:val="00454F27"/>
    <w:rsid w:val="004612D7"/>
    <w:rsid w:val="00462DD3"/>
    <w:rsid w:val="00463550"/>
    <w:rsid w:val="004635BB"/>
    <w:rsid w:val="00463674"/>
    <w:rsid w:val="00465D8A"/>
    <w:rsid w:val="00466321"/>
    <w:rsid w:val="00466BB4"/>
    <w:rsid w:val="004672AF"/>
    <w:rsid w:val="004727B0"/>
    <w:rsid w:val="00476066"/>
    <w:rsid w:val="00476E6E"/>
    <w:rsid w:val="00477C65"/>
    <w:rsid w:val="00480247"/>
    <w:rsid w:val="0048081D"/>
    <w:rsid w:val="00480924"/>
    <w:rsid w:val="0048117E"/>
    <w:rsid w:val="004819EA"/>
    <w:rsid w:val="00481B13"/>
    <w:rsid w:val="00481F34"/>
    <w:rsid w:val="004825AB"/>
    <w:rsid w:val="00483BDA"/>
    <w:rsid w:val="004840BC"/>
    <w:rsid w:val="004855F6"/>
    <w:rsid w:val="00486F0C"/>
    <w:rsid w:val="0049142A"/>
    <w:rsid w:val="0049184A"/>
    <w:rsid w:val="0049185F"/>
    <w:rsid w:val="00491949"/>
    <w:rsid w:val="00492147"/>
    <w:rsid w:val="004923B6"/>
    <w:rsid w:val="00493744"/>
    <w:rsid w:val="00494670"/>
    <w:rsid w:val="00496183"/>
    <w:rsid w:val="00497676"/>
    <w:rsid w:val="004A0EB4"/>
    <w:rsid w:val="004A1397"/>
    <w:rsid w:val="004A1952"/>
    <w:rsid w:val="004A2607"/>
    <w:rsid w:val="004A3823"/>
    <w:rsid w:val="004A4384"/>
    <w:rsid w:val="004A457B"/>
    <w:rsid w:val="004A5467"/>
    <w:rsid w:val="004A59BB"/>
    <w:rsid w:val="004A6FA6"/>
    <w:rsid w:val="004B038B"/>
    <w:rsid w:val="004B29A4"/>
    <w:rsid w:val="004B2B17"/>
    <w:rsid w:val="004B2F46"/>
    <w:rsid w:val="004B43A3"/>
    <w:rsid w:val="004B4C49"/>
    <w:rsid w:val="004B5594"/>
    <w:rsid w:val="004B58A5"/>
    <w:rsid w:val="004B63D9"/>
    <w:rsid w:val="004C0539"/>
    <w:rsid w:val="004C0882"/>
    <w:rsid w:val="004C0ADB"/>
    <w:rsid w:val="004C2FAA"/>
    <w:rsid w:val="004C55BE"/>
    <w:rsid w:val="004C75D2"/>
    <w:rsid w:val="004D064C"/>
    <w:rsid w:val="004D0F20"/>
    <w:rsid w:val="004D2072"/>
    <w:rsid w:val="004D2634"/>
    <w:rsid w:val="004D2985"/>
    <w:rsid w:val="004D4859"/>
    <w:rsid w:val="004E0125"/>
    <w:rsid w:val="004E2DD7"/>
    <w:rsid w:val="004E5B30"/>
    <w:rsid w:val="004E5D17"/>
    <w:rsid w:val="004E671D"/>
    <w:rsid w:val="004E70F9"/>
    <w:rsid w:val="004E7A30"/>
    <w:rsid w:val="004F0779"/>
    <w:rsid w:val="004F0BF5"/>
    <w:rsid w:val="004F0F7A"/>
    <w:rsid w:val="004F1230"/>
    <w:rsid w:val="004F173F"/>
    <w:rsid w:val="004F177C"/>
    <w:rsid w:val="004F2143"/>
    <w:rsid w:val="004F22C4"/>
    <w:rsid w:val="004F2880"/>
    <w:rsid w:val="004F2CB6"/>
    <w:rsid w:val="004F2DCE"/>
    <w:rsid w:val="004F39D7"/>
    <w:rsid w:val="004F4FBB"/>
    <w:rsid w:val="004F6872"/>
    <w:rsid w:val="004F756E"/>
    <w:rsid w:val="004F7D2E"/>
    <w:rsid w:val="004F7DC0"/>
    <w:rsid w:val="004F7F07"/>
    <w:rsid w:val="005009FE"/>
    <w:rsid w:val="0050168E"/>
    <w:rsid w:val="00501DB9"/>
    <w:rsid w:val="00503964"/>
    <w:rsid w:val="005039CB"/>
    <w:rsid w:val="00503A87"/>
    <w:rsid w:val="0050477B"/>
    <w:rsid w:val="0050558F"/>
    <w:rsid w:val="005057E0"/>
    <w:rsid w:val="00505ADD"/>
    <w:rsid w:val="00505C6D"/>
    <w:rsid w:val="00505EA1"/>
    <w:rsid w:val="00506114"/>
    <w:rsid w:val="00506286"/>
    <w:rsid w:val="00506990"/>
    <w:rsid w:val="00506BAB"/>
    <w:rsid w:val="00507EE3"/>
    <w:rsid w:val="00507F1F"/>
    <w:rsid w:val="00510813"/>
    <w:rsid w:val="00510E23"/>
    <w:rsid w:val="00511DE0"/>
    <w:rsid w:val="00512883"/>
    <w:rsid w:val="00513C34"/>
    <w:rsid w:val="00515081"/>
    <w:rsid w:val="005176AC"/>
    <w:rsid w:val="00517DF4"/>
    <w:rsid w:val="00517F02"/>
    <w:rsid w:val="00522160"/>
    <w:rsid w:val="00523D79"/>
    <w:rsid w:val="00524547"/>
    <w:rsid w:val="005249E2"/>
    <w:rsid w:val="005258A2"/>
    <w:rsid w:val="00530F7C"/>
    <w:rsid w:val="0053195D"/>
    <w:rsid w:val="005337BC"/>
    <w:rsid w:val="00534567"/>
    <w:rsid w:val="00534F43"/>
    <w:rsid w:val="00535196"/>
    <w:rsid w:val="00535A84"/>
    <w:rsid w:val="00536889"/>
    <w:rsid w:val="00536A1E"/>
    <w:rsid w:val="00536AFE"/>
    <w:rsid w:val="00542E07"/>
    <w:rsid w:val="00543F76"/>
    <w:rsid w:val="0054578D"/>
    <w:rsid w:val="00550442"/>
    <w:rsid w:val="00550A82"/>
    <w:rsid w:val="0055310C"/>
    <w:rsid w:val="00553ADC"/>
    <w:rsid w:val="00554A7B"/>
    <w:rsid w:val="005554F0"/>
    <w:rsid w:val="0055572C"/>
    <w:rsid w:val="00555B6B"/>
    <w:rsid w:val="00556539"/>
    <w:rsid w:val="0056064F"/>
    <w:rsid w:val="005610E9"/>
    <w:rsid w:val="00561B84"/>
    <w:rsid w:val="00561C97"/>
    <w:rsid w:val="005622B7"/>
    <w:rsid w:val="00564906"/>
    <w:rsid w:val="00565B41"/>
    <w:rsid w:val="00571D98"/>
    <w:rsid w:val="005720AE"/>
    <w:rsid w:val="00572ACD"/>
    <w:rsid w:val="00572CBF"/>
    <w:rsid w:val="00573154"/>
    <w:rsid w:val="00574883"/>
    <w:rsid w:val="00574CBB"/>
    <w:rsid w:val="00576F71"/>
    <w:rsid w:val="0058030D"/>
    <w:rsid w:val="00581D81"/>
    <w:rsid w:val="00582045"/>
    <w:rsid w:val="00584074"/>
    <w:rsid w:val="00584644"/>
    <w:rsid w:val="00584C7A"/>
    <w:rsid w:val="005857D6"/>
    <w:rsid w:val="00586B08"/>
    <w:rsid w:val="00587258"/>
    <w:rsid w:val="00587CA0"/>
    <w:rsid w:val="00590AE3"/>
    <w:rsid w:val="00591468"/>
    <w:rsid w:val="005918F1"/>
    <w:rsid w:val="005935EB"/>
    <w:rsid w:val="00593C4B"/>
    <w:rsid w:val="00594EB1"/>
    <w:rsid w:val="00595717"/>
    <w:rsid w:val="005A02B8"/>
    <w:rsid w:val="005A06B7"/>
    <w:rsid w:val="005A0D84"/>
    <w:rsid w:val="005A1759"/>
    <w:rsid w:val="005A260D"/>
    <w:rsid w:val="005A2FF3"/>
    <w:rsid w:val="005A4013"/>
    <w:rsid w:val="005A49E3"/>
    <w:rsid w:val="005A54EF"/>
    <w:rsid w:val="005A6477"/>
    <w:rsid w:val="005A670B"/>
    <w:rsid w:val="005A6C59"/>
    <w:rsid w:val="005A6D46"/>
    <w:rsid w:val="005A786C"/>
    <w:rsid w:val="005A7EAD"/>
    <w:rsid w:val="005B04A7"/>
    <w:rsid w:val="005B05EB"/>
    <w:rsid w:val="005B2072"/>
    <w:rsid w:val="005B20B3"/>
    <w:rsid w:val="005B2579"/>
    <w:rsid w:val="005B32C7"/>
    <w:rsid w:val="005B4AE8"/>
    <w:rsid w:val="005B57EF"/>
    <w:rsid w:val="005B6DC4"/>
    <w:rsid w:val="005C07A0"/>
    <w:rsid w:val="005C4261"/>
    <w:rsid w:val="005C4A0D"/>
    <w:rsid w:val="005C5192"/>
    <w:rsid w:val="005C5D21"/>
    <w:rsid w:val="005C7A9F"/>
    <w:rsid w:val="005D0369"/>
    <w:rsid w:val="005D15C4"/>
    <w:rsid w:val="005D379C"/>
    <w:rsid w:val="005D53FE"/>
    <w:rsid w:val="005D5EF8"/>
    <w:rsid w:val="005D6B60"/>
    <w:rsid w:val="005D774D"/>
    <w:rsid w:val="005D7A0F"/>
    <w:rsid w:val="005E0009"/>
    <w:rsid w:val="005E0438"/>
    <w:rsid w:val="005E11D8"/>
    <w:rsid w:val="005E1791"/>
    <w:rsid w:val="005E2CE6"/>
    <w:rsid w:val="005E3861"/>
    <w:rsid w:val="005E3A9D"/>
    <w:rsid w:val="005E4CA3"/>
    <w:rsid w:val="005E4EBF"/>
    <w:rsid w:val="005E50E8"/>
    <w:rsid w:val="005E565A"/>
    <w:rsid w:val="005E6324"/>
    <w:rsid w:val="005E7185"/>
    <w:rsid w:val="005E7CF0"/>
    <w:rsid w:val="005E7FF5"/>
    <w:rsid w:val="005F049A"/>
    <w:rsid w:val="005F15A9"/>
    <w:rsid w:val="005F179B"/>
    <w:rsid w:val="005F228B"/>
    <w:rsid w:val="005F2391"/>
    <w:rsid w:val="005F29CD"/>
    <w:rsid w:val="005F3926"/>
    <w:rsid w:val="005F4360"/>
    <w:rsid w:val="005F4DFB"/>
    <w:rsid w:val="005F4F4F"/>
    <w:rsid w:val="005F62E5"/>
    <w:rsid w:val="005F6CC0"/>
    <w:rsid w:val="005F6FEC"/>
    <w:rsid w:val="005F7FF5"/>
    <w:rsid w:val="00600F10"/>
    <w:rsid w:val="00601B17"/>
    <w:rsid w:val="006026F2"/>
    <w:rsid w:val="00603CC9"/>
    <w:rsid w:val="00603E5B"/>
    <w:rsid w:val="00604BC8"/>
    <w:rsid w:val="0060570C"/>
    <w:rsid w:val="00606822"/>
    <w:rsid w:val="00610603"/>
    <w:rsid w:val="00612BFE"/>
    <w:rsid w:val="0061573D"/>
    <w:rsid w:val="00615B4C"/>
    <w:rsid w:val="00615B5D"/>
    <w:rsid w:val="00616EE4"/>
    <w:rsid w:val="00620AC9"/>
    <w:rsid w:val="0062146F"/>
    <w:rsid w:val="006216A8"/>
    <w:rsid w:val="00622830"/>
    <w:rsid w:val="00623F45"/>
    <w:rsid w:val="00625280"/>
    <w:rsid w:val="00630198"/>
    <w:rsid w:val="0063106A"/>
    <w:rsid w:val="00631DBD"/>
    <w:rsid w:val="00631F5A"/>
    <w:rsid w:val="00632A47"/>
    <w:rsid w:val="006332FF"/>
    <w:rsid w:val="006343AF"/>
    <w:rsid w:val="00636160"/>
    <w:rsid w:val="0063634A"/>
    <w:rsid w:val="00636847"/>
    <w:rsid w:val="0064250D"/>
    <w:rsid w:val="00645409"/>
    <w:rsid w:val="00645915"/>
    <w:rsid w:val="00646064"/>
    <w:rsid w:val="00646841"/>
    <w:rsid w:val="00647225"/>
    <w:rsid w:val="0064798A"/>
    <w:rsid w:val="00651133"/>
    <w:rsid w:val="0065156D"/>
    <w:rsid w:val="006535EB"/>
    <w:rsid w:val="006545B8"/>
    <w:rsid w:val="006549E0"/>
    <w:rsid w:val="0065651E"/>
    <w:rsid w:val="006566FE"/>
    <w:rsid w:val="006605C0"/>
    <w:rsid w:val="006605D4"/>
    <w:rsid w:val="00660A09"/>
    <w:rsid w:val="00661A1A"/>
    <w:rsid w:val="0066249B"/>
    <w:rsid w:val="00663016"/>
    <w:rsid w:val="006655C1"/>
    <w:rsid w:val="00665D56"/>
    <w:rsid w:val="00666A33"/>
    <w:rsid w:val="00671A05"/>
    <w:rsid w:val="00673C76"/>
    <w:rsid w:val="00674605"/>
    <w:rsid w:val="006748B8"/>
    <w:rsid w:val="00677C38"/>
    <w:rsid w:val="006801A6"/>
    <w:rsid w:val="0068280F"/>
    <w:rsid w:val="00683750"/>
    <w:rsid w:val="00683E50"/>
    <w:rsid w:val="0068535B"/>
    <w:rsid w:val="00685493"/>
    <w:rsid w:val="0068736E"/>
    <w:rsid w:val="00690A06"/>
    <w:rsid w:val="006919B7"/>
    <w:rsid w:val="00692116"/>
    <w:rsid w:val="006923AB"/>
    <w:rsid w:val="0069250D"/>
    <w:rsid w:val="0069290A"/>
    <w:rsid w:val="00693516"/>
    <w:rsid w:val="00695B9C"/>
    <w:rsid w:val="00697032"/>
    <w:rsid w:val="006975AC"/>
    <w:rsid w:val="006A11C4"/>
    <w:rsid w:val="006A15FB"/>
    <w:rsid w:val="006A252D"/>
    <w:rsid w:val="006A262D"/>
    <w:rsid w:val="006A72BF"/>
    <w:rsid w:val="006A79DD"/>
    <w:rsid w:val="006A7A2F"/>
    <w:rsid w:val="006B332A"/>
    <w:rsid w:val="006B33BD"/>
    <w:rsid w:val="006B3A93"/>
    <w:rsid w:val="006B3EDF"/>
    <w:rsid w:val="006B60EC"/>
    <w:rsid w:val="006B65DE"/>
    <w:rsid w:val="006B738D"/>
    <w:rsid w:val="006C17E2"/>
    <w:rsid w:val="006C20CE"/>
    <w:rsid w:val="006C3F75"/>
    <w:rsid w:val="006C52B7"/>
    <w:rsid w:val="006C68ED"/>
    <w:rsid w:val="006C7588"/>
    <w:rsid w:val="006C7E55"/>
    <w:rsid w:val="006D170E"/>
    <w:rsid w:val="006D1F98"/>
    <w:rsid w:val="006D269A"/>
    <w:rsid w:val="006D353B"/>
    <w:rsid w:val="006D57FD"/>
    <w:rsid w:val="006D5938"/>
    <w:rsid w:val="006D62E7"/>
    <w:rsid w:val="006D7110"/>
    <w:rsid w:val="006D7FE5"/>
    <w:rsid w:val="006E06AF"/>
    <w:rsid w:val="006E274B"/>
    <w:rsid w:val="006E2D4A"/>
    <w:rsid w:val="006E4070"/>
    <w:rsid w:val="006E4E38"/>
    <w:rsid w:val="006E4F53"/>
    <w:rsid w:val="006E4FD9"/>
    <w:rsid w:val="006E7292"/>
    <w:rsid w:val="006F11E2"/>
    <w:rsid w:val="006F1789"/>
    <w:rsid w:val="006F3050"/>
    <w:rsid w:val="006F3A46"/>
    <w:rsid w:val="006F3EF0"/>
    <w:rsid w:val="006F47A7"/>
    <w:rsid w:val="006F5AC7"/>
    <w:rsid w:val="006F5E59"/>
    <w:rsid w:val="006F5FA4"/>
    <w:rsid w:val="006F6D86"/>
    <w:rsid w:val="006F7A8B"/>
    <w:rsid w:val="00701E9E"/>
    <w:rsid w:val="0070325D"/>
    <w:rsid w:val="0070331A"/>
    <w:rsid w:val="00705F23"/>
    <w:rsid w:val="00706C5D"/>
    <w:rsid w:val="00707BF5"/>
    <w:rsid w:val="00707EB4"/>
    <w:rsid w:val="007102E8"/>
    <w:rsid w:val="00710994"/>
    <w:rsid w:val="00710D8D"/>
    <w:rsid w:val="0071176A"/>
    <w:rsid w:val="007118E6"/>
    <w:rsid w:val="00711D9C"/>
    <w:rsid w:val="00712539"/>
    <w:rsid w:val="007159AC"/>
    <w:rsid w:val="007225C9"/>
    <w:rsid w:val="00722AD1"/>
    <w:rsid w:val="007256B9"/>
    <w:rsid w:val="00732435"/>
    <w:rsid w:val="00732598"/>
    <w:rsid w:val="00732621"/>
    <w:rsid w:val="00733B13"/>
    <w:rsid w:val="00734655"/>
    <w:rsid w:val="00735CD7"/>
    <w:rsid w:val="007375E2"/>
    <w:rsid w:val="00737DEE"/>
    <w:rsid w:val="00741130"/>
    <w:rsid w:val="00741493"/>
    <w:rsid w:val="00743372"/>
    <w:rsid w:val="00743A76"/>
    <w:rsid w:val="00746402"/>
    <w:rsid w:val="00746B05"/>
    <w:rsid w:val="00747159"/>
    <w:rsid w:val="007472F3"/>
    <w:rsid w:val="0074765A"/>
    <w:rsid w:val="007512F8"/>
    <w:rsid w:val="00754034"/>
    <w:rsid w:val="00754BF1"/>
    <w:rsid w:val="007555AD"/>
    <w:rsid w:val="00755A30"/>
    <w:rsid w:val="00755E1C"/>
    <w:rsid w:val="007560E2"/>
    <w:rsid w:val="00756556"/>
    <w:rsid w:val="007566AD"/>
    <w:rsid w:val="0075783D"/>
    <w:rsid w:val="00757FF3"/>
    <w:rsid w:val="0076050B"/>
    <w:rsid w:val="0076072C"/>
    <w:rsid w:val="0076132B"/>
    <w:rsid w:val="00761357"/>
    <w:rsid w:val="00761512"/>
    <w:rsid w:val="00761AAF"/>
    <w:rsid w:val="007623AE"/>
    <w:rsid w:val="00763027"/>
    <w:rsid w:val="00763031"/>
    <w:rsid w:val="00764890"/>
    <w:rsid w:val="007649C3"/>
    <w:rsid w:val="00764E88"/>
    <w:rsid w:val="007700F3"/>
    <w:rsid w:val="00770B19"/>
    <w:rsid w:val="00773131"/>
    <w:rsid w:val="00774FA0"/>
    <w:rsid w:val="00775211"/>
    <w:rsid w:val="00776620"/>
    <w:rsid w:val="00777B6D"/>
    <w:rsid w:val="00780506"/>
    <w:rsid w:val="00781119"/>
    <w:rsid w:val="00781CA0"/>
    <w:rsid w:val="00784855"/>
    <w:rsid w:val="00784AEC"/>
    <w:rsid w:val="00784F39"/>
    <w:rsid w:val="007850B4"/>
    <w:rsid w:val="0078541D"/>
    <w:rsid w:val="0078545C"/>
    <w:rsid w:val="00785995"/>
    <w:rsid w:val="007906C4"/>
    <w:rsid w:val="00790EFF"/>
    <w:rsid w:val="00791B05"/>
    <w:rsid w:val="0079204A"/>
    <w:rsid w:val="0079250F"/>
    <w:rsid w:val="007940EA"/>
    <w:rsid w:val="0079655A"/>
    <w:rsid w:val="0079667C"/>
    <w:rsid w:val="007967E8"/>
    <w:rsid w:val="007A0AF6"/>
    <w:rsid w:val="007A36D0"/>
    <w:rsid w:val="007A63F2"/>
    <w:rsid w:val="007A71E5"/>
    <w:rsid w:val="007A72D1"/>
    <w:rsid w:val="007A7526"/>
    <w:rsid w:val="007B08A8"/>
    <w:rsid w:val="007B0D6F"/>
    <w:rsid w:val="007B1453"/>
    <w:rsid w:val="007B1B02"/>
    <w:rsid w:val="007B1C72"/>
    <w:rsid w:val="007B1E98"/>
    <w:rsid w:val="007B34AB"/>
    <w:rsid w:val="007B4FA0"/>
    <w:rsid w:val="007B5CDB"/>
    <w:rsid w:val="007B68DE"/>
    <w:rsid w:val="007B735F"/>
    <w:rsid w:val="007C08D8"/>
    <w:rsid w:val="007C09D8"/>
    <w:rsid w:val="007C0E34"/>
    <w:rsid w:val="007C1857"/>
    <w:rsid w:val="007C514F"/>
    <w:rsid w:val="007C67D1"/>
    <w:rsid w:val="007D0DBD"/>
    <w:rsid w:val="007D0F95"/>
    <w:rsid w:val="007D127F"/>
    <w:rsid w:val="007D2AC8"/>
    <w:rsid w:val="007D350C"/>
    <w:rsid w:val="007D6094"/>
    <w:rsid w:val="007D7ECB"/>
    <w:rsid w:val="007E157E"/>
    <w:rsid w:val="007E178B"/>
    <w:rsid w:val="007E25A1"/>
    <w:rsid w:val="007E2E09"/>
    <w:rsid w:val="007E3637"/>
    <w:rsid w:val="007E4BD2"/>
    <w:rsid w:val="007E5022"/>
    <w:rsid w:val="007E55FE"/>
    <w:rsid w:val="007E7145"/>
    <w:rsid w:val="007E7768"/>
    <w:rsid w:val="007F16DC"/>
    <w:rsid w:val="007F26E9"/>
    <w:rsid w:val="007F31FC"/>
    <w:rsid w:val="007F3916"/>
    <w:rsid w:val="007F5BAE"/>
    <w:rsid w:val="008003B5"/>
    <w:rsid w:val="0080084C"/>
    <w:rsid w:val="00801179"/>
    <w:rsid w:val="008014B3"/>
    <w:rsid w:val="00802479"/>
    <w:rsid w:val="00803065"/>
    <w:rsid w:val="00805372"/>
    <w:rsid w:val="00805B7B"/>
    <w:rsid w:val="0081057B"/>
    <w:rsid w:val="008115C0"/>
    <w:rsid w:val="00811DE5"/>
    <w:rsid w:val="0081267B"/>
    <w:rsid w:val="0081293E"/>
    <w:rsid w:val="00812ED5"/>
    <w:rsid w:val="00813F88"/>
    <w:rsid w:val="00813F96"/>
    <w:rsid w:val="00814A3A"/>
    <w:rsid w:val="00814FFB"/>
    <w:rsid w:val="00820568"/>
    <w:rsid w:val="00821755"/>
    <w:rsid w:val="008219BE"/>
    <w:rsid w:val="0082309F"/>
    <w:rsid w:val="00825B35"/>
    <w:rsid w:val="00830508"/>
    <w:rsid w:val="00830D27"/>
    <w:rsid w:val="008310A5"/>
    <w:rsid w:val="00831A80"/>
    <w:rsid w:val="00831A93"/>
    <w:rsid w:val="008332C8"/>
    <w:rsid w:val="00833743"/>
    <w:rsid w:val="008340A4"/>
    <w:rsid w:val="00835DF4"/>
    <w:rsid w:val="00835E2B"/>
    <w:rsid w:val="00836799"/>
    <w:rsid w:val="00837028"/>
    <w:rsid w:val="00837131"/>
    <w:rsid w:val="00837577"/>
    <w:rsid w:val="00840C41"/>
    <w:rsid w:val="0084370B"/>
    <w:rsid w:val="00845F57"/>
    <w:rsid w:val="008465FD"/>
    <w:rsid w:val="0084677B"/>
    <w:rsid w:val="00847D3E"/>
    <w:rsid w:val="00850EF3"/>
    <w:rsid w:val="00851959"/>
    <w:rsid w:val="00851EDD"/>
    <w:rsid w:val="008521E0"/>
    <w:rsid w:val="0085220E"/>
    <w:rsid w:val="008525B0"/>
    <w:rsid w:val="00852D6D"/>
    <w:rsid w:val="00853A51"/>
    <w:rsid w:val="00853D02"/>
    <w:rsid w:val="00853D2A"/>
    <w:rsid w:val="00861799"/>
    <w:rsid w:val="008637F6"/>
    <w:rsid w:val="00863853"/>
    <w:rsid w:val="00863FF7"/>
    <w:rsid w:val="00864526"/>
    <w:rsid w:val="00864AD1"/>
    <w:rsid w:val="00865145"/>
    <w:rsid w:val="00867CBC"/>
    <w:rsid w:val="00867D9A"/>
    <w:rsid w:val="008743C7"/>
    <w:rsid w:val="00874E7C"/>
    <w:rsid w:val="00876C30"/>
    <w:rsid w:val="00877017"/>
    <w:rsid w:val="008773C0"/>
    <w:rsid w:val="00880364"/>
    <w:rsid w:val="00880855"/>
    <w:rsid w:val="008817F6"/>
    <w:rsid w:val="00881DC7"/>
    <w:rsid w:val="00883D1E"/>
    <w:rsid w:val="00884833"/>
    <w:rsid w:val="00885424"/>
    <w:rsid w:val="00885C83"/>
    <w:rsid w:val="00886C4C"/>
    <w:rsid w:val="0088711C"/>
    <w:rsid w:val="00887152"/>
    <w:rsid w:val="008906FC"/>
    <w:rsid w:val="008928B0"/>
    <w:rsid w:val="00892ECF"/>
    <w:rsid w:val="00892F06"/>
    <w:rsid w:val="00894285"/>
    <w:rsid w:val="00896AE0"/>
    <w:rsid w:val="00896D0D"/>
    <w:rsid w:val="008979B9"/>
    <w:rsid w:val="00897B11"/>
    <w:rsid w:val="008A0EED"/>
    <w:rsid w:val="008A160B"/>
    <w:rsid w:val="008A205B"/>
    <w:rsid w:val="008A3103"/>
    <w:rsid w:val="008A360D"/>
    <w:rsid w:val="008A40AE"/>
    <w:rsid w:val="008A4E19"/>
    <w:rsid w:val="008A5A5F"/>
    <w:rsid w:val="008A67C5"/>
    <w:rsid w:val="008A7A9F"/>
    <w:rsid w:val="008B0303"/>
    <w:rsid w:val="008B0E4A"/>
    <w:rsid w:val="008B151E"/>
    <w:rsid w:val="008B22E1"/>
    <w:rsid w:val="008B3C78"/>
    <w:rsid w:val="008B49B0"/>
    <w:rsid w:val="008B4AE9"/>
    <w:rsid w:val="008B660E"/>
    <w:rsid w:val="008B6A63"/>
    <w:rsid w:val="008C01C6"/>
    <w:rsid w:val="008C1C18"/>
    <w:rsid w:val="008C30AD"/>
    <w:rsid w:val="008C3565"/>
    <w:rsid w:val="008C4FC7"/>
    <w:rsid w:val="008C5C03"/>
    <w:rsid w:val="008C6304"/>
    <w:rsid w:val="008C6B4F"/>
    <w:rsid w:val="008D068E"/>
    <w:rsid w:val="008D0F7A"/>
    <w:rsid w:val="008D4198"/>
    <w:rsid w:val="008D63BE"/>
    <w:rsid w:val="008E0CFF"/>
    <w:rsid w:val="008E5020"/>
    <w:rsid w:val="008E57CD"/>
    <w:rsid w:val="008E5D0A"/>
    <w:rsid w:val="008E5D6B"/>
    <w:rsid w:val="008E67E3"/>
    <w:rsid w:val="008E689B"/>
    <w:rsid w:val="008E7320"/>
    <w:rsid w:val="008E76F0"/>
    <w:rsid w:val="008F1213"/>
    <w:rsid w:val="008F15FE"/>
    <w:rsid w:val="008F1E42"/>
    <w:rsid w:val="008F2A94"/>
    <w:rsid w:val="008F384D"/>
    <w:rsid w:val="008F50E9"/>
    <w:rsid w:val="008F5187"/>
    <w:rsid w:val="008F6E4C"/>
    <w:rsid w:val="008F709C"/>
    <w:rsid w:val="009020FC"/>
    <w:rsid w:val="00902BC9"/>
    <w:rsid w:val="0090312B"/>
    <w:rsid w:val="00903B62"/>
    <w:rsid w:val="00904961"/>
    <w:rsid w:val="00905469"/>
    <w:rsid w:val="00906FB2"/>
    <w:rsid w:val="009102AA"/>
    <w:rsid w:val="00912765"/>
    <w:rsid w:val="009130DB"/>
    <w:rsid w:val="009147B9"/>
    <w:rsid w:val="00914E05"/>
    <w:rsid w:val="0091517A"/>
    <w:rsid w:val="00915964"/>
    <w:rsid w:val="00916025"/>
    <w:rsid w:val="00916D30"/>
    <w:rsid w:val="0091736D"/>
    <w:rsid w:val="009178A4"/>
    <w:rsid w:val="009203E2"/>
    <w:rsid w:val="00920E55"/>
    <w:rsid w:val="00921180"/>
    <w:rsid w:val="009214FD"/>
    <w:rsid w:val="00925948"/>
    <w:rsid w:val="009300D6"/>
    <w:rsid w:val="00930B8F"/>
    <w:rsid w:val="00931001"/>
    <w:rsid w:val="00931863"/>
    <w:rsid w:val="00933374"/>
    <w:rsid w:val="00933524"/>
    <w:rsid w:val="0093386C"/>
    <w:rsid w:val="00933A17"/>
    <w:rsid w:val="00935339"/>
    <w:rsid w:val="00935FB6"/>
    <w:rsid w:val="009360F3"/>
    <w:rsid w:val="0094114B"/>
    <w:rsid w:val="00941ACE"/>
    <w:rsid w:val="0094278D"/>
    <w:rsid w:val="00943C21"/>
    <w:rsid w:val="009479A1"/>
    <w:rsid w:val="0095308A"/>
    <w:rsid w:val="0095417E"/>
    <w:rsid w:val="00954FDC"/>
    <w:rsid w:val="00955166"/>
    <w:rsid w:val="00955AEE"/>
    <w:rsid w:val="00956799"/>
    <w:rsid w:val="00956F14"/>
    <w:rsid w:val="00956F18"/>
    <w:rsid w:val="009604E5"/>
    <w:rsid w:val="0096191A"/>
    <w:rsid w:val="009620FD"/>
    <w:rsid w:val="0096247A"/>
    <w:rsid w:val="00963031"/>
    <w:rsid w:val="009636B6"/>
    <w:rsid w:val="009647D1"/>
    <w:rsid w:val="00965201"/>
    <w:rsid w:val="0096534F"/>
    <w:rsid w:val="00965F4B"/>
    <w:rsid w:val="009666BC"/>
    <w:rsid w:val="00966BDA"/>
    <w:rsid w:val="00967D20"/>
    <w:rsid w:val="00970F8A"/>
    <w:rsid w:val="009713CB"/>
    <w:rsid w:val="00971FB5"/>
    <w:rsid w:val="00972D2A"/>
    <w:rsid w:val="0097429C"/>
    <w:rsid w:val="00974448"/>
    <w:rsid w:val="00975CC5"/>
    <w:rsid w:val="00976328"/>
    <w:rsid w:val="00976B4E"/>
    <w:rsid w:val="00976D79"/>
    <w:rsid w:val="00977DF8"/>
    <w:rsid w:val="0098005E"/>
    <w:rsid w:val="00980856"/>
    <w:rsid w:val="00981C9F"/>
    <w:rsid w:val="00984458"/>
    <w:rsid w:val="0098456A"/>
    <w:rsid w:val="00984C8E"/>
    <w:rsid w:val="0098507A"/>
    <w:rsid w:val="00985273"/>
    <w:rsid w:val="00985283"/>
    <w:rsid w:val="0098624F"/>
    <w:rsid w:val="00987322"/>
    <w:rsid w:val="0099054F"/>
    <w:rsid w:val="0099330D"/>
    <w:rsid w:val="009956F1"/>
    <w:rsid w:val="00995916"/>
    <w:rsid w:val="00996C97"/>
    <w:rsid w:val="00996D39"/>
    <w:rsid w:val="009A0EBB"/>
    <w:rsid w:val="009A0F3B"/>
    <w:rsid w:val="009A1AFD"/>
    <w:rsid w:val="009A28E5"/>
    <w:rsid w:val="009A3493"/>
    <w:rsid w:val="009A3874"/>
    <w:rsid w:val="009A5357"/>
    <w:rsid w:val="009A5591"/>
    <w:rsid w:val="009A6393"/>
    <w:rsid w:val="009A72C7"/>
    <w:rsid w:val="009B07E6"/>
    <w:rsid w:val="009B0897"/>
    <w:rsid w:val="009B0A58"/>
    <w:rsid w:val="009B1A35"/>
    <w:rsid w:val="009B1B0D"/>
    <w:rsid w:val="009B1E62"/>
    <w:rsid w:val="009B2117"/>
    <w:rsid w:val="009B34FB"/>
    <w:rsid w:val="009C1311"/>
    <w:rsid w:val="009C17DC"/>
    <w:rsid w:val="009C3414"/>
    <w:rsid w:val="009C38CF"/>
    <w:rsid w:val="009C45A4"/>
    <w:rsid w:val="009C539C"/>
    <w:rsid w:val="009C72F0"/>
    <w:rsid w:val="009D0297"/>
    <w:rsid w:val="009D0852"/>
    <w:rsid w:val="009D1FBF"/>
    <w:rsid w:val="009D3059"/>
    <w:rsid w:val="009D3088"/>
    <w:rsid w:val="009D3E15"/>
    <w:rsid w:val="009D4E7E"/>
    <w:rsid w:val="009D5640"/>
    <w:rsid w:val="009D5AB2"/>
    <w:rsid w:val="009E30F1"/>
    <w:rsid w:val="009E3378"/>
    <w:rsid w:val="009E399C"/>
    <w:rsid w:val="009E4313"/>
    <w:rsid w:val="009E43C1"/>
    <w:rsid w:val="009E5357"/>
    <w:rsid w:val="009E60C9"/>
    <w:rsid w:val="009E6460"/>
    <w:rsid w:val="009E77A6"/>
    <w:rsid w:val="009E7E95"/>
    <w:rsid w:val="009F0088"/>
    <w:rsid w:val="009F04A9"/>
    <w:rsid w:val="009F116F"/>
    <w:rsid w:val="009F17CE"/>
    <w:rsid w:val="009F2009"/>
    <w:rsid w:val="009F329E"/>
    <w:rsid w:val="009F363D"/>
    <w:rsid w:val="009F6AE8"/>
    <w:rsid w:val="009F7A0B"/>
    <w:rsid w:val="009F7ED3"/>
    <w:rsid w:val="00A00FA1"/>
    <w:rsid w:val="00A013E4"/>
    <w:rsid w:val="00A01DE5"/>
    <w:rsid w:val="00A03607"/>
    <w:rsid w:val="00A047FF"/>
    <w:rsid w:val="00A04FEF"/>
    <w:rsid w:val="00A05E2E"/>
    <w:rsid w:val="00A06DAA"/>
    <w:rsid w:val="00A073BB"/>
    <w:rsid w:val="00A073C6"/>
    <w:rsid w:val="00A122CD"/>
    <w:rsid w:val="00A12A32"/>
    <w:rsid w:val="00A14248"/>
    <w:rsid w:val="00A14947"/>
    <w:rsid w:val="00A156FA"/>
    <w:rsid w:val="00A20F6A"/>
    <w:rsid w:val="00A2132E"/>
    <w:rsid w:val="00A2134E"/>
    <w:rsid w:val="00A2182F"/>
    <w:rsid w:val="00A2192C"/>
    <w:rsid w:val="00A21BCD"/>
    <w:rsid w:val="00A2369A"/>
    <w:rsid w:val="00A23DC5"/>
    <w:rsid w:val="00A24831"/>
    <w:rsid w:val="00A252F8"/>
    <w:rsid w:val="00A25B55"/>
    <w:rsid w:val="00A26241"/>
    <w:rsid w:val="00A266D5"/>
    <w:rsid w:val="00A31C9B"/>
    <w:rsid w:val="00A320AD"/>
    <w:rsid w:val="00A3286B"/>
    <w:rsid w:val="00A34028"/>
    <w:rsid w:val="00A35568"/>
    <w:rsid w:val="00A37056"/>
    <w:rsid w:val="00A4040A"/>
    <w:rsid w:val="00A4233A"/>
    <w:rsid w:val="00A433EC"/>
    <w:rsid w:val="00A4344A"/>
    <w:rsid w:val="00A4358F"/>
    <w:rsid w:val="00A436FC"/>
    <w:rsid w:val="00A43B2B"/>
    <w:rsid w:val="00A43DC7"/>
    <w:rsid w:val="00A44270"/>
    <w:rsid w:val="00A44A30"/>
    <w:rsid w:val="00A45D35"/>
    <w:rsid w:val="00A46EE9"/>
    <w:rsid w:val="00A46F67"/>
    <w:rsid w:val="00A47111"/>
    <w:rsid w:val="00A47149"/>
    <w:rsid w:val="00A52267"/>
    <w:rsid w:val="00A542C9"/>
    <w:rsid w:val="00A54AA1"/>
    <w:rsid w:val="00A555C7"/>
    <w:rsid w:val="00A55612"/>
    <w:rsid w:val="00A5678C"/>
    <w:rsid w:val="00A568FF"/>
    <w:rsid w:val="00A57BD0"/>
    <w:rsid w:val="00A61496"/>
    <w:rsid w:val="00A61833"/>
    <w:rsid w:val="00A62174"/>
    <w:rsid w:val="00A624C6"/>
    <w:rsid w:val="00A629DC"/>
    <w:rsid w:val="00A63292"/>
    <w:rsid w:val="00A63CEC"/>
    <w:rsid w:val="00A63E12"/>
    <w:rsid w:val="00A64223"/>
    <w:rsid w:val="00A65D43"/>
    <w:rsid w:val="00A66036"/>
    <w:rsid w:val="00A661A1"/>
    <w:rsid w:val="00A66584"/>
    <w:rsid w:val="00A6724A"/>
    <w:rsid w:val="00A67CD5"/>
    <w:rsid w:val="00A7031E"/>
    <w:rsid w:val="00A70BED"/>
    <w:rsid w:val="00A70C10"/>
    <w:rsid w:val="00A722A7"/>
    <w:rsid w:val="00A728B1"/>
    <w:rsid w:val="00A74AC7"/>
    <w:rsid w:val="00A75C6A"/>
    <w:rsid w:val="00A762C4"/>
    <w:rsid w:val="00A763DE"/>
    <w:rsid w:val="00A772E5"/>
    <w:rsid w:val="00A803D6"/>
    <w:rsid w:val="00A81282"/>
    <w:rsid w:val="00A849DF"/>
    <w:rsid w:val="00A869E3"/>
    <w:rsid w:val="00A86F1A"/>
    <w:rsid w:val="00A8713F"/>
    <w:rsid w:val="00A87C2B"/>
    <w:rsid w:val="00A91167"/>
    <w:rsid w:val="00A9171C"/>
    <w:rsid w:val="00A91DE3"/>
    <w:rsid w:val="00A92FFD"/>
    <w:rsid w:val="00A94286"/>
    <w:rsid w:val="00A95975"/>
    <w:rsid w:val="00A9708D"/>
    <w:rsid w:val="00A9753F"/>
    <w:rsid w:val="00A97678"/>
    <w:rsid w:val="00AA288A"/>
    <w:rsid w:val="00AA2C17"/>
    <w:rsid w:val="00AA4135"/>
    <w:rsid w:val="00AA4155"/>
    <w:rsid w:val="00AA4172"/>
    <w:rsid w:val="00AA44DE"/>
    <w:rsid w:val="00AA7BC0"/>
    <w:rsid w:val="00AB054B"/>
    <w:rsid w:val="00AB059A"/>
    <w:rsid w:val="00AB1914"/>
    <w:rsid w:val="00AB22FA"/>
    <w:rsid w:val="00AB34B2"/>
    <w:rsid w:val="00AB5330"/>
    <w:rsid w:val="00AB6F42"/>
    <w:rsid w:val="00AB7747"/>
    <w:rsid w:val="00AC10BB"/>
    <w:rsid w:val="00AC2532"/>
    <w:rsid w:val="00AC516A"/>
    <w:rsid w:val="00AC6FCD"/>
    <w:rsid w:val="00AC7E99"/>
    <w:rsid w:val="00AD0613"/>
    <w:rsid w:val="00AD1507"/>
    <w:rsid w:val="00AD3C1C"/>
    <w:rsid w:val="00AD58D5"/>
    <w:rsid w:val="00AD5A70"/>
    <w:rsid w:val="00AD65D4"/>
    <w:rsid w:val="00AD738B"/>
    <w:rsid w:val="00AD75EC"/>
    <w:rsid w:val="00AE1BF4"/>
    <w:rsid w:val="00AE2C61"/>
    <w:rsid w:val="00AE5D97"/>
    <w:rsid w:val="00AE6794"/>
    <w:rsid w:val="00AE6E70"/>
    <w:rsid w:val="00AE722A"/>
    <w:rsid w:val="00AF026E"/>
    <w:rsid w:val="00AF2241"/>
    <w:rsid w:val="00AF3631"/>
    <w:rsid w:val="00AF3999"/>
    <w:rsid w:val="00AF436E"/>
    <w:rsid w:val="00AF4BB6"/>
    <w:rsid w:val="00AF4CF1"/>
    <w:rsid w:val="00AF5729"/>
    <w:rsid w:val="00AF59AF"/>
    <w:rsid w:val="00AF5ED8"/>
    <w:rsid w:val="00AF61E8"/>
    <w:rsid w:val="00B00FD4"/>
    <w:rsid w:val="00B01110"/>
    <w:rsid w:val="00B02262"/>
    <w:rsid w:val="00B02282"/>
    <w:rsid w:val="00B03663"/>
    <w:rsid w:val="00B03826"/>
    <w:rsid w:val="00B03CEC"/>
    <w:rsid w:val="00B0455D"/>
    <w:rsid w:val="00B048E4"/>
    <w:rsid w:val="00B04FD0"/>
    <w:rsid w:val="00B06252"/>
    <w:rsid w:val="00B102C3"/>
    <w:rsid w:val="00B10A2A"/>
    <w:rsid w:val="00B117AE"/>
    <w:rsid w:val="00B11C13"/>
    <w:rsid w:val="00B11DDC"/>
    <w:rsid w:val="00B11DFD"/>
    <w:rsid w:val="00B1209F"/>
    <w:rsid w:val="00B12AD0"/>
    <w:rsid w:val="00B12D9F"/>
    <w:rsid w:val="00B1361B"/>
    <w:rsid w:val="00B1371B"/>
    <w:rsid w:val="00B1651D"/>
    <w:rsid w:val="00B20DD5"/>
    <w:rsid w:val="00B2101D"/>
    <w:rsid w:val="00B21614"/>
    <w:rsid w:val="00B2428D"/>
    <w:rsid w:val="00B24F30"/>
    <w:rsid w:val="00B24F53"/>
    <w:rsid w:val="00B2792F"/>
    <w:rsid w:val="00B31ABF"/>
    <w:rsid w:val="00B3287C"/>
    <w:rsid w:val="00B32F89"/>
    <w:rsid w:val="00B335AE"/>
    <w:rsid w:val="00B340D5"/>
    <w:rsid w:val="00B341AB"/>
    <w:rsid w:val="00B34B13"/>
    <w:rsid w:val="00B34B5A"/>
    <w:rsid w:val="00B3600B"/>
    <w:rsid w:val="00B36290"/>
    <w:rsid w:val="00B37CE1"/>
    <w:rsid w:val="00B40ACF"/>
    <w:rsid w:val="00B40B72"/>
    <w:rsid w:val="00B41138"/>
    <w:rsid w:val="00B42D7E"/>
    <w:rsid w:val="00B43374"/>
    <w:rsid w:val="00B4363A"/>
    <w:rsid w:val="00B44607"/>
    <w:rsid w:val="00B46BAA"/>
    <w:rsid w:val="00B50B5F"/>
    <w:rsid w:val="00B516F3"/>
    <w:rsid w:val="00B52714"/>
    <w:rsid w:val="00B53288"/>
    <w:rsid w:val="00B54128"/>
    <w:rsid w:val="00B55826"/>
    <w:rsid w:val="00B568E0"/>
    <w:rsid w:val="00B56C79"/>
    <w:rsid w:val="00B56DBD"/>
    <w:rsid w:val="00B57983"/>
    <w:rsid w:val="00B60426"/>
    <w:rsid w:val="00B622DD"/>
    <w:rsid w:val="00B63522"/>
    <w:rsid w:val="00B63DF9"/>
    <w:rsid w:val="00B63E2B"/>
    <w:rsid w:val="00B65037"/>
    <w:rsid w:val="00B70BAD"/>
    <w:rsid w:val="00B7146F"/>
    <w:rsid w:val="00B71746"/>
    <w:rsid w:val="00B74FCB"/>
    <w:rsid w:val="00B75F0B"/>
    <w:rsid w:val="00B76F1D"/>
    <w:rsid w:val="00B77344"/>
    <w:rsid w:val="00B82C8D"/>
    <w:rsid w:val="00B82D7F"/>
    <w:rsid w:val="00B8571C"/>
    <w:rsid w:val="00B865AF"/>
    <w:rsid w:val="00B87E38"/>
    <w:rsid w:val="00B87E89"/>
    <w:rsid w:val="00B91282"/>
    <w:rsid w:val="00B928D2"/>
    <w:rsid w:val="00B92A19"/>
    <w:rsid w:val="00B9544C"/>
    <w:rsid w:val="00B9656E"/>
    <w:rsid w:val="00B97E3E"/>
    <w:rsid w:val="00BA055C"/>
    <w:rsid w:val="00BA1862"/>
    <w:rsid w:val="00BA1873"/>
    <w:rsid w:val="00BA29E9"/>
    <w:rsid w:val="00BA419C"/>
    <w:rsid w:val="00BA4894"/>
    <w:rsid w:val="00BA5095"/>
    <w:rsid w:val="00BA5F69"/>
    <w:rsid w:val="00BB016D"/>
    <w:rsid w:val="00BB0300"/>
    <w:rsid w:val="00BB09CA"/>
    <w:rsid w:val="00BB0BFF"/>
    <w:rsid w:val="00BB1F7C"/>
    <w:rsid w:val="00BB31FD"/>
    <w:rsid w:val="00BB3618"/>
    <w:rsid w:val="00BB3D3F"/>
    <w:rsid w:val="00BB4C23"/>
    <w:rsid w:val="00BB4F54"/>
    <w:rsid w:val="00BB67CB"/>
    <w:rsid w:val="00BC0C9E"/>
    <w:rsid w:val="00BC2019"/>
    <w:rsid w:val="00BC2545"/>
    <w:rsid w:val="00BC2687"/>
    <w:rsid w:val="00BC2D40"/>
    <w:rsid w:val="00BC32DC"/>
    <w:rsid w:val="00BC4012"/>
    <w:rsid w:val="00BC45C0"/>
    <w:rsid w:val="00BC6FC9"/>
    <w:rsid w:val="00BD1608"/>
    <w:rsid w:val="00BD1B51"/>
    <w:rsid w:val="00BD2190"/>
    <w:rsid w:val="00BD23BF"/>
    <w:rsid w:val="00BD2A63"/>
    <w:rsid w:val="00BD3B76"/>
    <w:rsid w:val="00BD47F6"/>
    <w:rsid w:val="00BD746F"/>
    <w:rsid w:val="00BD74EF"/>
    <w:rsid w:val="00BD7A64"/>
    <w:rsid w:val="00BE183F"/>
    <w:rsid w:val="00BE1CC7"/>
    <w:rsid w:val="00BE312D"/>
    <w:rsid w:val="00BE37ED"/>
    <w:rsid w:val="00BE3FCA"/>
    <w:rsid w:val="00BE542A"/>
    <w:rsid w:val="00BE6196"/>
    <w:rsid w:val="00BF1939"/>
    <w:rsid w:val="00BF1DD3"/>
    <w:rsid w:val="00BF431E"/>
    <w:rsid w:val="00BF6654"/>
    <w:rsid w:val="00BF6FE3"/>
    <w:rsid w:val="00BF73F1"/>
    <w:rsid w:val="00BF7F27"/>
    <w:rsid w:val="00C01B63"/>
    <w:rsid w:val="00C0213C"/>
    <w:rsid w:val="00C02275"/>
    <w:rsid w:val="00C04BB8"/>
    <w:rsid w:val="00C05719"/>
    <w:rsid w:val="00C0590B"/>
    <w:rsid w:val="00C06AE3"/>
    <w:rsid w:val="00C07036"/>
    <w:rsid w:val="00C0710B"/>
    <w:rsid w:val="00C078FD"/>
    <w:rsid w:val="00C10578"/>
    <w:rsid w:val="00C118A4"/>
    <w:rsid w:val="00C1237A"/>
    <w:rsid w:val="00C12A69"/>
    <w:rsid w:val="00C14196"/>
    <w:rsid w:val="00C14A20"/>
    <w:rsid w:val="00C15298"/>
    <w:rsid w:val="00C15A38"/>
    <w:rsid w:val="00C16188"/>
    <w:rsid w:val="00C1771C"/>
    <w:rsid w:val="00C17D62"/>
    <w:rsid w:val="00C20604"/>
    <w:rsid w:val="00C20CCA"/>
    <w:rsid w:val="00C21FDC"/>
    <w:rsid w:val="00C22C37"/>
    <w:rsid w:val="00C24B99"/>
    <w:rsid w:val="00C24EE7"/>
    <w:rsid w:val="00C25210"/>
    <w:rsid w:val="00C2596A"/>
    <w:rsid w:val="00C27070"/>
    <w:rsid w:val="00C271BE"/>
    <w:rsid w:val="00C27425"/>
    <w:rsid w:val="00C30301"/>
    <w:rsid w:val="00C3189E"/>
    <w:rsid w:val="00C328FE"/>
    <w:rsid w:val="00C33A05"/>
    <w:rsid w:val="00C34CAA"/>
    <w:rsid w:val="00C34CD1"/>
    <w:rsid w:val="00C34F59"/>
    <w:rsid w:val="00C35739"/>
    <w:rsid w:val="00C4076B"/>
    <w:rsid w:val="00C41446"/>
    <w:rsid w:val="00C42500"/>
    <w:rsid w:val="00C4353D"/>
    <w:rsid w:val="00C43767"/>
    <w:rsid w:val="00C439D5"/>
    <w:rsid w:val="00C4409D"/>
    <w:rsid w:val="00C45113"/>
    <w:rsid w:val="00C455BE"/>
    <w:rsid w:val="00C457E2"/>
    <w:rsid w:val="00C45FDE"/>
    <w:rsid w:val="00C46C76"/>
    <w:rsid w:val="00C47CE9"/>
    <w:rsid w:val="00C506E2"/>
    <w:rsid w:val="00C50DD6"/>
    <w:rsid w:val="00C51462"/>
    <w:rsid w:val="00C51E5F"/>
    <w:rsid w:val="00C525DB"/>
    <w:rsid w:val="00C52D1C"/>
    <w:rsid w:val="00C5496E"/>
    <w:rsid w:val="00C56291"/>
    <w:rsid w:val="00C5691F"/>
    <w:rsid w:val="00C57874"/>
    <w:rsid w:val="00C613AF"/>
    <w:rsid w:val="00C61E4B"/>
    <w:rsid w:val="00C62359"/>
    <w:rsid w:val="00C62E3A"/>
    <w:rsid w:val="00C64242"/>
    <w:rsid w:val="00C64503"/>
    <w:rsid w:val="00C64A1F"/>
    <w:rsid w:val="00C64BFF"/>
    <w:rsid w:val="00C669B9"/>
    <w:rsid w:val="00C67E84"/>
    <w:rsid w:val="00C72579"/>
    <w:rsid w:val="00C72915"/>
    <w:rsid w:val="00C731D8"/>
    <w:rsid w:val="00C73A0C"/>
    <w:rsid w:val="00C74B18"/>
    <w:rsid w:val="00C7568B"/>
    <w:rsid w:val="00C763C9"/>
    <w:rsid w:val="00C80057"/>
    <w:rsid w:val="00C8094E"/>
    <w:rsid w:val="00C82C79"/>
    <w:rsid w:val="00C834C7"/>
    <w:rsid w:val="00C84753"/>
    <w:rsid w:val="00C849A2"/>
    <w:rsid w:val="00C87E71"/>
    <w:rsid w:val="00C91611"/>
    <w:rsid w:val="00C954DA"/>
    <w:rsid w:val="00C96E5C"/>
    <w:rsid w:val="00C971A8"/>
    <w:rsid w:val="00CA0A9C"/>
    <w:rsid w:val="00CA0B3B"/>
    <w:rsid w:val="00CA0D93"/>
    <w:rsid w:val="00CA11BD"/>
    <w:rsid w:val="00CA16DB"/>
    <w:rsid w:val="00CA2F09"/>
    <w:rsid w:val="00CA31F5"/>
    <w:rsid w:val="00CA3289"/>
    <w:rsid w:val="00CA3585"/>
    <w:rsid w:val="00CA362D"/>
    <w:rsid w:val="00CA3D5A"/>
    <w:rsid w:val="00CA3D95"/>
    <w:rsid w:val="00CA4A4E"/>
    <w:rsid w:val="00CA4C7C"/>
    <w:rsid w:val="00CA6B11"/>
    <w:rsid w:val="00CA6FDE"/>
    <w:rsid w:val="00CA7140"/>
    <w:rsid w:val="00CA7570"/>
    <w:rsid w:val="00CB0183"/>
    <w:rsid w:val="00CB19D0"/>
    <w:rsid w:val="00CB1EA3"/>
    <w:rsid w:val="00CB23A5"/>
    <w:rsid w:val="00CB2526"/>
    <w:rsid w:val="00CB3AB2"/>
    <w:rsid w:val="00CB552C"/>
    <w:rsid w:val="00CB6A9E"/>
    <w:rsid w:val="00CC0D17"/>
    <w:rsid w:val="00CC1406"/>
    <w:rsid w:val="00CC3874"/>
    <w:rsid w:val="00CC4495"/>
    <w:rsid w:val="00CC4BA3"/>
    <w:rsid w:val="00CC4F0C"/>
    <w:rsid w:val="00CC5A11"/>
    <w:rsid w:val="00CC6181"/>
    <w:rsid w:val="00CC61E1"/>
    <w:rsid w:val="00CC67C9"/>
    <w:rsid w:val="00CC768E"/>
    <w:rsid w:val="00CD2BCD"/>
    <w:rsid w:val="00CD36AA"/>
    <w:rsid w:val="00CD3791"/>
    <w:rsid w:val="00CD65B0"/>
    <w:rsid w:val="00CD6BA2"/>
    <w:rsid w:val="00CE02CD"/>
    <w:rsid w:val="00CE0766"/>
    <w:rsid w:val="00CE07A1"/>
    <w:rsid w:val="00CE10E9"/>
    <w:rsid w:val="00CE20D6"/>
    <w:rsid w:val="00CE4703"/>
    <w:rsid w:val="00CE556A"/>
    <w:rsid w:val="00CE60D4"/>
    <w:rsid w:val="00CE610F"/>
    <w:rsid w:val="00CE622C"/>
    <w:rsid w:val="00CE622E"/>
    <w:rsid w:val="00CE700F"/>
    <w:rsid w:val="00CF00DA"/>
    <w:rsid w:val="00CF19F9"/>
    <w:rsid w:val="00CF7342"/>
    <w:rsid w:val="00D00436"/>
    <w:rsid w:val="00D0072E"/>
    <w:rsid w:val="00D03142"/>
    <w:rsid w:val="00D03A2D"/>
    <w:rsid w:val="00D04254"/>
    <w:rsid w:val="00D055B8"/>
    <w:rsid w:val="00D059BE"/>
    <w:rsid w:val="00D05C4D"/>
    <w:rsid w:val="00D06429"/>
    <w:rsid w:val="00D07405"/>
    <w:rsid w:val="00D102D7"/>
    <w:rsid w:val="00D111D6"/>
    <w:rsid w:val="00D138DB"/>
    <w:rsid w:val="00D14B54"/>
    <w:rsid w:val="00D14D07"/>
    <w:rsid w:val="00D151B5"/>
    <w:rsid w:val="00D15727"/>
    <w:rsid w:val="00D16051"/>
    <w:rsid w:val="00D16332"/>
    <w:rsid w:val="00D16BC8"/>
    <w:rsid w:val="00D1773C"/>
    <w:rsid w:val="00D17E44"/>
    <w:rsid w:val="00D20262"/>
    <w:rsid w:val="00D2149D"/>
    <w:rsid w:val="00D2193D"/>
    <w:rsid w:val="00D22DA7"/>
    <w:rsid w:val="00D22F87"/>
    <w:rsid w:val="00D23921"/>
    <w:rsid w:val="00D23DB7"/>
    <w:rsid w:val="00D24598"/>
    <w:rsid w:val="00D245FF"/>
    <w:rsid w:val="00D24621"/>
    <w:rsid w:val="00D24972"/>
    <w:rsid w:val="00D2515E"/>
    <w:rsid w:val="00D2616E"/>
    <w:rsid w:val="00D26ED9"/>
    <w:rsid w:val="00D2728C"/>
    <w:rsid w:val="00D278BD"/>
    <w:rsid w:val="00D279EC"/>
    <w:rsid w:val="00D27B2D"/>
    <w:rsid w:val="00D308ED"/>
    <w:rsid w:val="00D30B29"/>
    <w:rsid w:val="00D3231B"/>
    <w:rsid w:val="00D32528"/>
    <w:rsid w:val="00D32CD4"/>
    <w:rsid w:val="00D3324D"/>
    <w:rsid w:val="00D33BFF"/>
    <w:rsid w:val="00D34C1C"/>
    <w:rsid w:val="00D365F3"/>
    <w:rsid w:val="00D403AF"/>
    <w:rsid w:val="00D41034"/>
    <w:rsid w:val="00D41D12"/>
    <w:rsid w:val="00D42082"/>
    <w:rsid w:val="00D43304"/>
    <w:rsid w:val="00D45A1D"/>
    <w:rsid w:val="00D52676"/>
    <w:rsid w:val="00D52DCE"/>
    <w:rsid w:val="00D537A3"/>
    <w:rsid w:val="00D53BAC"/>
    <w:rsid w:val="00D53E20"/>
    <w:rsid w:val="00D5437E"/>
    <w:rsid w:val="00D5472B"/>
    <w:rsid w:val="00D55D1C"/>
    <w:rsid w:val="00D56178"/>
    <w:rsid w:val="00D56CF0"/>
    <w:rsid w:val="00D56F5C"/>
    <w:rsid w:val="00D62352"/>
    <w:rsid w:val="00D63AB6"/>
    <w:rsid w:val="00D64704"/>
    <w:rsid w:val="00D64910"/>
    <w:rsid w:val="00D6654F"/>
    <w:rsid w:val="00D6748C"/>
    <w:rsid w:val="00D67EC3"/>
    <w:rsid w:val="00D704B1"/>
    <w:rsid w:val="00D70B63"/>
    <w:rsid w:val="00D7178A"/>
    <w:rsid w:val="00D72B92"/>
    <w:rsid w:val="00D72C22"/>
    <w:rsid w:val="00D72ED4"/>
    <w:rsid w:val="00D73F61"/>
    <w:rsid w:val="00D754C0"/>
    <w:rsid w:val="00D75629"/>
    <w:rsid w:val="00D75BD1"/>
    <w:rsid w:val="00D761DA"/>
    <w:rsid w:val="00D772A6"/>
    <w:rsid w:val="00D776A2"/>
    <w:rsid w:val="00D801C4"/>
    <w:rsid w:val="00D8088E"/>
    <w:rsid w:val="00D81E7B"/>
    <w:rsid w:val="00D83246"/>
    <w:rsid w:val="00D840FB"/>
    <w:rsid w:val="00D84E63"/>
    <w:rsid w:val="00D851DC"/>
    <w:rsid w:val="00D8520F"/>
    <w:rsid w:val="00D85A7B"/>
    <w:rsid w:val="00D86262"/>
    <w:rsid w:val="00D86A41"/>
    <w:rsid w:val="00D86CB0"/>
    <w:rsid w:val="00D871D9"/>
    <w:rsid w:val="00D87281"/>
    <w:rsid w:val="00D876DB"/>
    <w:rsid w:val="00D90836"/>
    <w:rsid w:val="00D91578"/>
    <w:rsid w:val="00D944C8"/>
    <w:rsid w:val="00D94F3F"/>
    <w:rsid w:val="00D95896"/>
    <w:rsid w:val="00D95CC6"/>
    <w:rsid w:val="00D96B58"/>
    <w:rsid w:val="00D96DB9"/>
    <w:rsid w:val="00D9741B"/>
    <w:rsid w:val="00D97720"/>
    <w:rsid w:val="00DA0A79"/>
    <w:rsid w:val="00DA2DA3"/>
    <w:rsid w:val="00DA410C"/>
    <w:rsid w:val="00DA482D"/>
    <w:rsid w:val="00DA574B"/>
    <w:rsid w:val="00DA5B3E"/>
    <w:rsid w:val="00DA6615"/>
    <w:rsid w:val="00DA76AE"/>
    <w:rsid w:val="00DA7C7E"/>
    <w:rsid w:val="00DB181E"/>
    <w:rsid w:val="00DB1B33"/>
    <w:rsid w:val="00DB1C7A"/>
    <w:rsid w:val="00DB2983"/>
    <w:rsid w:val="00DB343D"/>
    <w:rsid w:val="00DB5579"/>
    <w:rsid w:val="00DB5CFE"/>
    <w:rsid w:val="00DB756B"/>
    <w:rsid w:val="00DB7C20"/>
    <w:rsid w:val="00DC02E3"/>
    <w:rsid w:val="00DC1D44"/>
    <w:rsid w:val="00DC214A"/>
    <w:rsid w:val="00DC3B5F"/>
    <w:rsid w:val="00DC407F"/>
    <w:rsid w:val="00DC4887"/>
    <w:rsid w:val="00DC5AC2"/>
    <w:rsid w:val="00DC61AF"/>
    <w:rsid w:val="00DC72A6"/>
    <w:rsid w:val="00DD0294"/>
    <w:rsid w:val="00DD160B"/>
    <w:rsid w:val="00DD2113"/>
    <w:rsid w:val="00DD265E"/>
    <w:rsid w:val="00DE0C43"/>
    <w:rsid w:val="00DE1F8C"/>
    <w:rsid w:val="00DE23B1"/>
    <w:rsid w:val="00DE2BBF"/>
    <w:rsid w:val="00DE3784"/>
    <w:rsid w:val="00DE5280"/>
    <w:rsid w:val="00DF0016"/>
    <w:rsid w:val="00DF1930"/>
    <w:rsid w:val="00DF1A50"/>
    <w:rsid w:val="00DF4FE2"/>
    <w:rsid w:val="00DF514A"/>
    <w:rsid w:val="00E00293"/>
    <w:rsid w:val="00E01BF0"/>
    <w:rsid w:val="00E030ED"/>
    <w:rsid w:val="00E0341C"/>
    <w:rsid w:val="00E0358D"/>
    <w:rsid w:val="00E04437"/>
    <w:rsid w:val="00E04613"/>
    <w:rsid w:val="00E06327"/>
    <w:rsid w:val="00E06B92"/>
    <w:rsid w:val="00E11622"/>
    <w:rsid w:val="00E11C52"/>
    <w:rsid w:val="00E121F1"/>
    <w:rsid w:val="00E135D8"/>
    <w:rsid w:val="00E16348"/>
    <w:rsid w:val="00E17EFB"/>
    <w:rsid w:val="00E2044D"/>
    <w:rsid w:val="00E2064B"/>
    <w:rsid w:val="00E21331"/>
    <w:rsid w:val="00E21495"/>
    <w:rsid w:val="00E22E7B"/>
    <w:rsid w:val="00E2332A"/>
    <w:rsid w:val="00E25239"/>
    <w:rsid w:val="00E265B1"/>
    <w:rsid w:val="00E26A15"/>
    <w:rsid w:val="00E275B0"/>
    <w:rsid w:val="00E32A46"/>
    <w:rsid w:val="00E32A9B"/>
    <w:rsid w:val="00E335FF"/>
    <w:rsid w:val="00E3394F"/>
    <w:rsid w:val="00E346C3"/>
    <w:rsid w:val="00E3553D"/>
    <w:rsid w:val="00E4099B"/>
    <w:rsid w:val="00E412D0"/>
    <w:rsid w:val="00E416AD"/>
    <w:rsid w:val="00E4184D"/>
    <w:rsid w:val="00E42BC0"/>
    <w:rsid w:val="00E42DD1"/>
    <w:rsid w:val="00E42FF6"/>
    <w:rsid w:val="00E4307B"/>
    <w:rsid w:val="00E43CA3"/>
    <w:rsid w:val="00E442DE"/>
    <w:rsid w:val="00E463D2"/>
    <w:rsid w:val="00E46F1D"/>
    <w:rsid w:val="00E4760A"/>
    <w:rsid w:val="00E47CDB"/>
    <w:rsid w:val="00E50D4C"/>
    <w:rsid w:val="00E51AFD"/>
    <w:rsid w:val="00E53495"/>
    <w:rsid w:val="00E549CD"/>
    <w:rsid w:val="00E54FF8"/>
    <w:rsid w:val="00E566BC"/>
    <w:rsid w:val="00E6033B"/>
    <w:rsid w:val="00E60982"/>
    <w:rsid w:val="00E60C8D"/>
    <w:rsid w:val="00E6162F"/>
    <w:rsid w:val="00E61BE4"/>
    <w:rsid w:val="00E62815"/>
    <w:rsid w:val="00E6311B"/>
    <w:rsid w:val="00E65D97"/>
    <w:rsid w:val="00E65FA9"/>
    <w:rsid w:val="00E664E2"/>
    <w:rsid w:val="00E66BC2"/>
    <w:rsid w:val="00E67EFD"/>
    <w:rsid w:val="00E702DC"/>
    <w:rsid w:val="00E70C98"/>
    <w:rsid w:val="00E712C9"/>
    <w:rsid w:val="00E71FFB"/>
    <w:rsid w:val="00E72ABC"/>
    <w:rsid w:val="00E7434E"/>
    <w:rsid w:val="00E75F56"/>
    <w:rsid w:val="00E76029"/>
    <w:rsid w:val="00E7688D"/>
    <w:rsid w:val="00E76D1D"/>
    <w:rsid w:val="00E806F8"/>
    <w:rsid w:val="00E81681"/>
    <w:rsid w:val="00E823A8"/>
    <w:rsid w:val="00E82B0D"/>
    <w:rsid w:val="00E843D9"/>
    <w:rsid w:val="00E84EE2"/>
    <w:rsid w:val="00E854A4"/>
    <w:rsid w:val="00E85D17"/>
    <w:rsid w:val="00E866CF"/>
    <w:rsid w:val="00E86BB0"/>
    <w:rsid w:val="00E8757E"/>
    <w:rsid w:val="00E87752"/>
    <w:rsid w:val="00E8793B"/>
    <w:rsid w:val="00E90388"/>
    <w:rsid w:val="00E90F81"/>
    <w:rsid w:val="00E91A6D"/>
    <w:rsid w:val="00E91DA0"/>
    <w:rsid w:val="00E9242D"/>
    <w:rsid w:val="00E94773"/>
    <w:rsid w:val="00E9799D"/>
    <w:rsid w:val="00EA13D4"/>
    <w:rsid w:val="00EA1D1E"/>
    <w:rsid w:val="00EA1FBB"/>
    <w:rsid w:val="00EA4915"/>
    <w:rsid w:val="00EA5846"/>
    <w:rsid w:val="00EA6389"/>
    <w:rsid w:val="00EA6CBF"/>
    <w:rsid w:val="00EB041C"/>
    <w:rsid w:val="00EB1070"/>
    <w:rsid w:val="00EB1E64"/>
    <w:rsid w:val="00EB2E9D"/>
    <w:rsid w:val="00EB47A6"/>
    <w:rsid w:val="00EB543E"/>
    <w:rsid w:val="00EB5CB3"/>
    <w:rsid w:val="00EC3F2A"/>
    <w:rsid w:val="00EC405F"/>
    <w:rsid w:val="00EC41C6"/>
    <w:rsid w:val="00EC52CD"/>
    <w:rsid w:val="00EC5874"/>
    <w:rsid w:val="00EC6FC8"/>
    <w:rsid w:val="00EC7629"/>
    <w:rsid w:val="00EC77F0"/>
    <w:rsid w:val="00ED192D"/>
    <w:rsid w:val="00ED1AC2"/>
    <w:rsid w:val="00ED27F1"/>
    <w:rsid w:val="00ED30B4"/>
    <w:rsid w:val="00ED31F5"/>
    <w:rsid w:val="00ED3A1F"/>
    <w:rsid w:val="00ED3ACD"/>
    <w:rsid w:val="00ED439B"/>
    <w:rsid w:val="00ED6D3D"/>
    <w:rsid w:val="00EE1D6B"/>
    <w:rsid w:val="00EE477B"/>
    <w:rsid w:val="00EE6FE3"/>
    <w:rsid w:val="00EF156E"/>
    <w:rsid w:val="00EF2759"/>
    <w:rsid w:val="00EF45EB"/>
    <w:rsid w:val="00EF4F28"/>
    <w:rsid w:val="00EF5099"/>
    <w:rsid w:val="00EF5E33"/>
    <w:rsid w:val="00EF776E"/>
    <w:rsid w:val="00F00075"/>
    <w:rsid w:val="00F0028B"/>
    <w:rsid w:val="00F01553"/>
    <w:rsid w:val="00F0309C"/>
    <w:rsid w:val="00F031EB"/>
    <w:rsid w:val="00F07023"/>
    <w:rsid w:val="00F07822"/>
    <w:rsid w:val="00F102B2"/>
    <w:rsid w:val="00F11D9D"/>
    <w:rsid w:val="00F145F4"/>
    <w:rsid w:val="00F15C95"/>
    <w:rsid w:val="00F16317"/>
    <w:rsid w:val="00F164A9"/>
    <w:rsid w:val="00F16712"/>
    <w:rsid w:val="00F206EA"/>
    <w:rsid w:val="00F20853"/>
    <w:rsid w:val="00F208BF"/>
    <w:rsid w:val="00F21471"/>
    <w:rsid w:val="00F219B3"/>
    <w:rsid w:val="00F21BFD"/>
    <w:rsid w:val="00F21ECC"/>
    <w:rsid w:val="00F22266"/>
    <w:rsid w:val="00F22501"/>
    <w:rsid w:val="00F22985"/>
    <w:rsid w:val="00F2306C"/>
    <w:rsid w:val="00F238A6"/>
    <w:rsid w:val="00F23EFA"/>
    <w:rsid w:val="00F241AB"/>
    <w:rsid w:val="00F2492A"/>
    <w:rsid w:val="00F24CFF"/>
    <w:rsid w:val="00F25BED"/>
    <w:rsid w:val="00F30A51"/>
    <w:rsid w:val="00F31302"/>
    <w:rsid w:val="00F31382"/>
    <w:rsid w:val="00F31AE2"/>
    <w:rsid w:val="00F329D3"/>
    <w:rsid w:val="00F335D4"/>
    <w:rsid w:val="00F3387E"/>
    <w:rsid w:val="00F3389A"/>
    <w:rsid w:val="00F34774"/>
    <w:rsid w:val="00F34C50"/>
    <w:rsid w:val="00F350DA"/>
    <w:rsid w:val="00F3511D"/>
    <w:rsid w:val="00F35829"/>
    <w:rsid w:val="00F3675A"/>
    <w:rsid w:val="00F36C5F"/>
    <w:rsid w:val="00F379A4"/>
    <w:rsid w:val="00F37F70"/>
    <w:rsid w:val="00F42474"/>
    <w:rsid w:val="00F42868"/>
    <w:rsid w:val="00F43D23"/>
    <w:rsid w:val="00F4469A"/>
    <w:rsid w:val="00F45313"/>
    <w:rsid w:val="00F465A7"/>
    <w:rsid w:val="00F47A14"/>
    <w:rsid w:val="00F47C27"/>
    <w:rsid w:val="00F50B7C"/>
    <w:rsid w:val="00F516E0"/>
    <w:rsid w:val="00F5202D"/>
    <w:rsid w:val="00F527B0"/>
    <w:rsid w:val="00F52A20"/>
    <w:rsid w:val="00F52CF6"/>
    <w:rsid w:val="00F53834"/>
    <w:rsid w:val="00F54496"/>
    <w:rsid w:val="00F5540F"/>
    <w:rsid w:val="00F55AE2"/>
    <w:rsid w:val="00F56147"/>
    <w:rsid w:val="00F56F46"/>
    <w:rsid w:val="00F60AD8"/>
    <w:rsid w:val="00F61097"/>
    <w:rsid w:val="00F610F4"/>
    <w:rsid w:val="00F61388"/>
    <w:rsid w:val="00F618B3"/>
    <w:rsid w:val="00F628BC"/>
    <w:rsid w:val="00F62D2F"/>
    <w:rsid w:val="00F71A34"/>
    <w:rsid w:val="00F73555"/>
    <w:rsid w:val="00F73CF5"/>
    <w:rsid w:val="00F74345"/>
    <w:rsid w:val="00F74441"/>
    <w:rsid w:val="00F76CEB"/>
    <w:rsid w:val="00F77F30"/>
    <w:rsid w:val="00F806EB"/>
    <w:rsid w:val="00F811F4"/>
    <w:rsid w:val="00F817DD"/>
    <w:rsid w:val="00F82589"/>
    <w:rsid w:val="00F826B3"/>
    <w:rsid w:val="00F82B19"/>
    <w:rsid w:val="00F839E4"/>
    <w:rsid w:val="00F83AEC"/>
    <w:rsid w:val="00F85400"/>
    <w:rsid w:val="00F87034"/>
    <w:rsid w:val="00F90AA7"/>
    <w:rsid w:val="00F9126E"/>
    <w:rsid w:val="00F9212D"/>
    <w:rsid w:val="00F92DB2"/>
    <w:rsid w:val="00F92EB0"/>
    <w:rsid w:val="00F93040"/>
    <w:rsid w:val="00F93CC5"/>
    <w:rsid w:val="00F93E13"/>
    <w:rsid w:val="00F96CAC"/>
    <w:rsid w:val="00F97523"/>
    <w:rsid w:val="00FA1A96"/>
    <w:rsid w:val="00FA301A"/>
    <w:rsid w:val="00FA3B8F"/>
    <w:rsid w:val="00FA406A"/>
    <w:rsid w:val="00FA4122"/>
    <w:rsid w:val="00FA4371"/>
    <w:rsid w:val="00FA5CB6"/>
    <w:rsid w:val="00FA6B32"/>
    <w:rsid w:val="00FB055B"/>
    <w:rsid w:val="00FB40AA"/>
    <w:rsid w:val="00FB6685"/>
    <w:rsid w:val="00FB695A"/>
    <w:rsid w:val="00FC0D9E"/>
    <w:rsid w:val="00FC3134"/>
    <w:rsid w:val="00FC3975"/>
    <w:rsid w:val="00FC3DD1"/>
    <w:rsid w:val="00FC4280"/>
    <w:rsid w:val="00FC5A51"/>
    <w:rsid w:val="00FC5AAF"/>
    <w:rsid w:val="00FC647C"/>
    <w:rsid w:val="00FC66AC"/>
    <w:rsid w:val="00FC7F79"/>
    <w:rsid w:val="00FD0CC7"/>
    <w:rsid w:val="00FD18F4"/>
    <w:rsid w:val="00FD54FD"/>
    <w:rsid w:val="00FD70A5"/>
    <w:rsid w:val="00FD74B4"/>
    <w:rsid w:val="00FD7746"/>
    <w:rsid w:val="00FE0F6B"/>
    <w:rsid w:val="00FE1127"/>
    <w:rsid w:val="00FE12CE"/>
    <w:rsid w:val="00FE1E2E"/>
    <w:rsid w:val="00FE46C4"/>
    <w:rsid w:val="00FE4BCB"/>
    <w:rsid w:val="00FE5CEB"/>
    <w:rsid w:val="00FE668E"/>
    <w:rsid w:val="00FE76DF"/>
    <w:rsid w:val="00FF0662"/>
    <w:rsid w:val="00FF1C71"/>
    <w:rsid w:val="00FF2D6B"/>
    <w:rsid w:val="00FF3155"/>
    <w:rsid w:val="00FF434C"/>
    <w:rsid w:val="00FF4A22"/>
    <w:rsid w:val="00FF5669"/>
    <w:rsid w:val="00FF5B9A"/>
    <w:rsid w:val="00FF5D10"/>
    <w:rsid w:val="00FF6FCE"/>
    <w:rsid w:val="00FF7077"/>
    <w:rsid w:val="00FF7518"/>
    <w:rsid w:val="00FF7AF0"/>
    <w:rsid w:val="00FF7FD8"/>
    <w:rsid w:val="0136492A"/>
    <w:rsid w:val="035F44C3"/>
    <w:rsid w:val="037F7191"/>
    <w:rsid w:val="03D070CA"/>
    <w:rsid w:val="043C73DD"/>
    <w:rsid w:val="05705AEA"/>
    <w:rsid w:val="05742AC8"/>
    <w:rsid w:val="06352F05"/>
    <w:rsid w:val="063E7D85"/>
    <w:rsid w:val="070875E0"/>
    <w:rsid w:val="071E783D"/>
    <w:rsid w:val="07293586"/>
    <w:rsid w:val="07295285"/>
    <w:rsid w:val="072F5E19"/>
    <w:rsid w:val="07770C56"/>
    <w:rsid w:val="07937164"/>
    <w:rsid w:val="07A03649"/>
    <w:rsid w:val="07B618ED"/>
    <w:rsid w:val="08021FB7"/>
    <w:rsid w:val="082A0A86"/>
    <w:rsid w:val="083F2A84"/>
    <w:rsid w:val="086A727E"/>
    <w:rsid w:val="08E16219"/>
    <w:rsid w:val="092217DD"/>
    <w:rsid w:val="093A7294"/>
    <w:rsid w:val="099F22BB"/>
    <w:rsid w:val="0A01777B"/>
    <w:rsid w:val="0A8C47FE"/>
    <w:rsid w:val="0B440899"/>
    <w:rsid w:val="0B48497F"/>
    <w:rsid w:val="0BBB49FA"/>
    <w:rsid w:val="0BCB634C"/>
    <w:rsid w:val="0BD27BF6"/>
    <w:rsid w:val="0BF972EF"/>
    <w:rsid w:val="0CA76276"/>
    <w:rsid w:val="0D964A82"/>
    <w:rsid w:val="0E110D06"/>
    <w:rsid w:val="0E8536A2"/>
    <w:rsid w:val="0F13775A"/>
    <w:rsid w:val="0F9A112B"/>
    <w:rsid w:val="0FAB0A27"/>
    <w:rsid w:val="10026F41"/>
    <w:rsid w:val="106D2F64"/>
    <w:rsid w:val="10B63710"/>
    <w:rsid w:val="10CF3F87"/>
    <w:rsid w:val="10D8227B"/>
    <w:rsid w:val="111C2F7A"/>
    <w:rsid w:val="113013DE"/>
    <w:rsid w:val="11765EBD"/>
    <w:rsid w:val="11C269F2"/>
    <w:rsid w:val="121B396A"/>
    <w:rsid w:val="121E2919"/>
    <w:rsid w:val="122B06C2"/>
    <w:rsid w:val="12A2060B"/>
    <w:rsid w:val="13682577"/>
    <w:rsid w:val="13951726"/>
    <w:rsid w:val="13981495"/>
    <w:rsid w:val="13E125F6"/>
    <w:rsid w:val="14396509"/>
    <w:rsid w:val="1447165C"/>
    <w:rsid w:val="14C318B2"/>
    <w:rsid w:val="158F4E06"/>
    <w:rsid w:val="15C44AD1"/>
    <w:rsid w:val="1621583E"/>
    <w:rsid w:val="175837AE"/>
    <w:rsid w:val="17735226"/>
    <w:rsid w:val="179B273C"/>
    <w:rsid w:val="182D3DF1"/>
    <w:rsid w:val="184B454C"/>
    <w:rsid w:val="184D3875"/>
    <w:rsid w:val="18A63791"/>
    <w:rsid w:val="18B061D1"/>
    <w:rsid w:val="18FF6155"/>
    <w:rsid w:val="19C5529B"/>
    <w:rsid w:val="1A1C66C0"/>
    <w:rsid w:val="1A42393B"/>
    <w:rsid w:val="1AA10321"/>
    <w:rsid w:val="1B046F80"/>
    <w:rsid w:val="1B3267B5"/>
    <w:rsid w:val="1B581959"/>
    <w:rsid w:val="1BC25DC8"/>
    <w:rsid w:val="1C5E7925"/>
    <w:rsid w:val="1C887FC8"/>
    <w:rsid w:val="1CD041E7"/>
    <w:rsid w:val="1D5F6196"/>
    <w:rsid w:val="1D6132A5"/>
    <w:rsid w:val="1D8E56D5"/>
    <w:rsid w:val="1DBF3C5B"/>
    <w:rsid w:val="1E0841A2"/>
    <w:rsid w:val="1E395185"/>
    <w:rsid w:val="1E492E7A"/>
    <w:rsid w:val="1E544E3F"/>
    <w:rsid w:val="1E7A43DA"/>
    <w:rsid w:val="1EA95B97"/>
    <w:rsid w:val="1EB277FE"/>
    <w:rsid w:val="1F140DD4"/>
    <w:rsid w:val="1FE7539E"/>
    <w:rsid w:val="203504FC"/>
    <w:rsid w:val="2060408B"/>
    <w:rsid w:val="20963CB8"/>
    <w:rsid w:val="20B07FB6"/>
    <w:rsid w:val="213B74B1"/>
    <w:rsid w:val="215A2310"/>
    <w:rsid w:val="21AF3C88"/>
    <w:rsid w:val="21BA1E52"/>
    <w:rsid w:val="21DE318A"/>
    <w:rsid w:val="21EF5B80"/>
    <w:rsid w:val="22160CAE"/>
    <w:rsid w:val="22463B93"/>
    <w:rsid w:val="22576990"/>
    <w:rsid w:val="229C4EAB"/>
    <w:rsid w:val="22DF1F73"/>
    <w:rsid w:val="22F24DA2"/>
    <w:rsid w:val="232A616E"/>
    <w:rsid w:val="23B80892"/>
    <w:rsid w:val="2487313D"/>
    <w:rsid w:val="252D53FE"/>
    <w:rsid w:val="25EC2D81"/>
    <w:rsid w:val="264528BD"/>
    <w:rsid w:val="26DF63DF"/>
    <w:rsid w:val="27076629"/>
    <w:rsid w:val="27D15DD1"/>
    <w:rsid w:val="27ED1919"/>
    <w:rsid w:val="28781DA9"/>
    <w:rsid w:val="28A10931"/>
    <w:rsid w:val="28A76295"/>
    <w:rsid w:val="29206EB8"/>
    <w:rsid w:val="29A02DB0"/>
    <w:rsid w:val="29AC3D81"/>
    <w:rsid w:val="29E325E0"/>
    <w:rsid w:val="29F238B0"/>
    <w:rsid w:val="2A124796"/>
    <w:rsid w:val="2A452503"/>
    <w:rsid w:val="2A701158"/>
    <w:rsid w:val="2AB0164F"/>
    <w:rsid w:val="2ABA3B16"/>
    <w:rsid w:val="2BA936A8"/>
    <w:rsid w:val="2BD57D58"/>
    <w:rsid w:val="2C103440"/>
    <w:rsid w:val="2C315A5A"/>
    <w:rsid w:val="2D245FF9"/>
    <w:rsid w:val="2D474187"/>
    <w:rsid w:val="2D7B2FA0"/>
    <w:rsid w:val="2D9E56F5"/>
    <w:rsid w:val="2E667F96"/>
    <w:rsid w:val="2E8226AB"/>
    <w:rsid w:val="2EC862F4"/>
    <w:rsid w:val="2F832C79"/>
    <w:rsid w:val="2FC04C8D"/>
    <w:rsid w:val="2FCC7B7E"/>
    <w:rsid w:val="2FD77A41"/>
    <w:rsid w:val="2FEF2D58"/>
    <w:rsid w:val="302E321F"/>
    <w:rsid w:val="30580BC9"/>
    <w:rsid w:val="30B4058C"/>
    <w:rsid w:val="311E2ED7"/>
    <w:rsid w:val="315C449C"/>
    <w:rsid w:val="31621C41"/>
    <w:rsid w:val="316E3F62"/>
    <w:rsid w:val="31B82709"/>
    <w:rsid w:val="32400B34"/>
    <w:rsid w:val="329E6876"/>
    <w:rsid w:val="32BF5020"/>
    <w:rsid w:val="33462B51"/>
    <w:rsid w:val="33D934D4"/>
    <w:rsid w:val="33F82F63"/>
    <w:rsid w:val="33FE2F6A"/>
    <w:rsid w:val="34B45D4E"/>
    <w:rsid w:val="34F67037"/>
    <w:rsid w:val="351F4DE1"/>
    <w:rsid w:val="35EA5902"/>
    <w:rsid w:val="35FA1C30"/>
    <w:rsid w:val="36074A7F"/>
    <w:rsid w:val="36923549"/>
    <w:rsid w:val="36B75FBF"/>
    <w:rsid w:val="36FB4891"/>
    <w:rsid w:val="37BC4752"/>
    <w:rsid w:val="381E68E9"/>
    <w:rsid w:val="38C430B9"/>
    <w:rsid w:val="38DC7786"/>
    <w:rsid w:val="38F12CD3"/>
    <w:rsid w:val="38F94775"/>
    <w:rsid w:val="392971ED"/>
    <w:rsid w:val="39E7184D"/>
    <w:rsid w:val="3B3763D1"/>
    <w:rsid w:val="3B7E7DBB"/>
    <w:rsid w:val="3BDB1DE5"/>
    <w:rsid w:val="3BF660AE"/>
    <w:rsid w:val="3CDA245A"/>
    <w:rsid w:val="3CEE0A37"/>
    <w:rsid w:val="3CEF1456"/>
    <w:rsid w:val="3D1D7E4E"/>
    <w:rsid w:val="3DA54AD7"/>
    <w:rsid w:val="3E7F657F"/>
    <w:rsid w:val="3EB179ED"/>
    <w:rsid w:val="3F207159"/>
    <w:rsid w:val="3F2A276C"/>
    <w:rsid w:val="3F3810A1"/>
    <w:rsid w:val="3F3900E4"/>
    <w:rsid w:val="3F660E74"/>
    <w:rsid w:val="407A6407"/>
    <w:rsid w:val="41444097"/>
    <w:rsid w:val="416F7716"/>
    <w:rsid w:val="41BA51F5"/>
    <w:rsid w:val="41EA3A3F"/>
    <w:rsid w:val="41F05449"/>
    <w:rsid w:val="423A3BCC"/>
    <w:rsid w:val="42734326"/>
    <w:rsid w:val="42D22CEC"/>
    <w:rsid w:val="430322FD"/>
    <w:rsid w:val="433A6FE6"/>
    <w:rsid w:val="4350713C"/>
    <w:rsid w:val="436653E0"/>
    <w:rsid w:val="43973937"/>
    <w:rsid w:val="441C04C4"/>
    <w:rsid w:val="44CD14E0"/>
    <w:rsid w:val="44DD598E"/>
    <w:rsid w:val="458946E9"/>
    <w:rsid w:val="45A1719C"/>
    <w:rsid w:val="46D955A7"/>
    <w:rsid w:val="470079CC"/>
    <w:rsid w:val="47133957"/>
    <w:rsid w:val="4779329E"/>
    <w:rsid w:val="47A07E0C"/>
    <w:rsid w:val="47AC54AD"/>
    <w:rsid w:val="47E73B47"/>
    <w:rsid w:val="4870272E"/>
    <w:rsid w:val="488C33E7"/>
    <w:rsid w:val="48965ED0"/>
    <w:rsid w:val="498D51B7"/>
    <w:rsid w:val="49DC7715"/>
    <w:rsid w:val="4A023139"/>
    <w:rsid w:val="4A7B576F"/>
    <w:rsid w:val="4A970A0A"/>
    <w:rsid w:val="4B444CAC"/>
    <w:rsid w:val="4B501DBF"/>
    <w:rsid w:val="4C4A0649"/>
    <w:rsid w:val="4C5B2141"/>
    <w:rsid w:val="4C993E74"/>
    <w:rsid w:val="4CE470D3"/>
    <w:rsid w:val="4D1E18AA"/>
    <w:rsid w:val="4D8A77ED"/>
    <w:rsid w:val="4DEC4FB0"/>
    <w:rsid w:val="4E075D8A"/>
    <w:rsid w:val="4E327812"/>
    <w:rsid w:val="4FB679FB"/>
    <w:rsid w:val="4FC62A8C"/>
    <w:rsid w:val="4FE20F0D"/>
    <w:rsid w:val="50504C4B"/>
    <w:rsid w:val="509C6E7C"/>
    <w:rsid w:val="5162104E"/>
    <w:rsid w:val="516F0A45"/>
    <w:rsid w:val="527B1D79"/>
    <w:rsid w:val="53A039CC"/>
    <w:rsid w:val="53A1505A"/>
    <w:rsid w:val="54063E08"/>
    <w:rsid w:val="543437E8"/>
    <w:rsid w:val="547515B2"/>
    <w:rsid w:val="55766473"/>
    <w:rsid w:val="557B2451"/>
    <w:rsid w:val="559B174B"/>
    <w:rsid w:val="55C52857"/>
    <w:rsid w:val="55CE0CF4"/>
    <w:rsid w:val="56116B96"/>
    <w:rsid w:val="56777446"/>
    <w:rsid w:val="56B22A9C"/>
    <w:rsid w:val="56D84963"/>
    <w:rsid w:val="56E9314D"/>
    <w:rsid w:val="57B72A76"/>
    <w:rsid w:val="583059FA"/>
    <w:rsid w:val="59017F41"/>
    <w:rsid w:val="590F1FC2"/>
    <w:rsid w:val="597F6191"/>
    <w:rsid w:val="5A3C747D"/>
    <w:rsid w:val="5A5C2987"/>
    <w:rsid w:val="5ABE2233"/>
    <w:rsid w:val="5ADA0A66"/>
    <w:rsid w:val="5B276D18"/>
    <w:rsid w:val="5B744511"/>
    <w:rsid w:val="5B9032B1"/>
    <w:rsid w:val="5BDF5D95"/>
    <w:rsid w:val="5C076DAA"/>
    <w:rsid w:val="5D4B0B0F"/>
    <w:rsid w:val="5DF87A0F"/>
    <w:rsid w:val="5E5B06BD"/>
    <w:rsid w:val="5F1A2B43"/>
    <w:rsid w:val="5F9F15FE"/>
    <w:rsid w:val="5FA83E95"/>
    <w:rsid w:val="5FB837BB"/>
    <w:rsid w:val="60197523"/>
    <w:rsid w:val="603941E0"/>
    <w:rsid w:val="60B25351"/>
    <w:rsid w:val="61A65E2F"/>
    <w:rsid w:val="62021657"/>
    <w:rsid w:val="62364782"/>
    <w:rsid w:val="63403972"/>
    <w:rsid w:val="6360455B"/>
    <w:rsid w:val="636B720F"/>
    <w:rsid w:val="63D40BE9"/>
    <w:rsid w:val="63E0211F"/>
    <w:rsid w:val="63E14960"/>
    <w:rsid w:val="6437196C"/>
    <w:rsid w:val="64711444"/>
    <w:rsid w:val="64ED3848"/>
    <w:rsid w:val="64FE5B3E"/>
    <w:rsid w:val="6522587A"/>
    <w:rsid w:val="65373578"/>
    <w:rsid w:val="665D22FC"/>
    <w:rsid w:val="665E40ED"/>
    <w:rsid w:val="66B636A2"/>
    <w:rsid w:val="66DF31AB"/>
    <w:rsid w:val="672072BC"/>
    <w:rsid w:val="672F7772"/>
    <w:rsid w:val="673F2C7A"/>
    <w:rsid w:val="674C7259"/>
    <w:rsid w:val="679A2115"/>
    <w:rsid w:val="680B3B2F"/>
    <w:rsid w:val="681F6961"/>
    <w:rsid w:val="68610A2F"/>
    <w:rsid w:val="68805514"/>
    <w:rsid w:val="691406ED"/>
    <w:rsid w:val="694E2071"/>
    <w:rsid w:val="697A3B33"/>
    <w:rsid w:val="69960CAF"/>
    <w:rsid w:val="699E2456"/>
    <w:rsid w:val="6A251702"/>
    <w:rsid w:val="6AC6648F"/>
    <w:rsid w:val="6B032AFA"/>
    <w:rsid w:val="6B322639"/>
    <w:rsid w:val="6BD531E5"/>
    <w:rsid w:val="6C636C38"/>
    <w:rsid w:val="6D2F2FDA"/>
    <w:rsid w:val="6DB34098"/>
    <w:rsid w:val="6DB545B6"/>
    <w:rsid w:val="6DBC51E2"/>
    <w:rsid w:val="6DE032B1"/>
    <w:rsid w:val="6E102039"/>
    <w:rsid w:val="6E4375A0"/>
    <w:rsid w:val="6E514CED"/>
    <w:rsid w:val="6E6316F7"/>
    <w:rsid w:val="6E79491A"/>
    <w:rsid w:val="6EB563D5"/>
    <w:rsid w:val="6EE56220"/>
    <w:rsid w:val="6F225983"/>
    <w:rsid w:val="6F2A748E"/>
    <w:rsid w:val="6FFC5590"/>
    <w:rsid w:val="70301DA3"/>
    <w:rsid w:val="706978A3"/>
    <w:rsid w:val="706D1DD0"/>
    <w:rsid w:val="707A2692"/>
    <w:rsid w:val="70856B87"/>
    <w:rsid w:val="70C3004D"/>
    <w:rsid w:val="70C7280E"/>
    <w:rsid w:val="70D527EE"/>
    <w:rsid w:val="715B5300"/>
    <w:rsid w:val="715F4BD7"/>
    <w:rsid w:val="71D27F8A"/>
    <w:rsid w:val="71F744C6"/>
    <w:rsid w:val="71F960CF"/>
    <w:rsid w:val="72B14963"/>
    <w:rsid w:val="72BD72A0"/>
    <w:rsid w:val="72BE48A1"/>
    <w:rsid w:val="731F5D5E"/>
    <w:rsid w:val="737C09CA"/>
    <w:rsid w:val="73893596"/>
    <w:rsid w:val="741E793C"/>
    <w:rsid w:val="745148D6"/>
    <w:rsid w:val="758D75E2"/>
    <w:rsid w:val="75F77BBD"/>
    <w:rsid w:val="76C94A6B"/>
    <w:rsid w:val="76DF3D2B"/>
    <w:rsid w:val="77666485"/>
    <w:rsid w:val="77762421"/>
    <w:rsid w:val="77BB0B0A"/>
    <w:rsid w:val="77FB705C"/>
    <w:rsid w:val="780F09F4"/>
    <w:rsid w:val="78427FA6"/>
    <w:rsid w:val="789C4F47"/>
    <w:rsid w:val="78A90480"/>
    <w:rsid w:val="79114C74"/>
    <w:rsid w:val="79811327"/>
    <w:rsid w:val="7A350E58"/>
    <w:rsid w:val="7A364017"/>
    <w:rsid w:val="7A534EE1"/>
    <w:rsid w:val="7A8265E1"/>
    <w:rsid w:val="7A84362B"/>
    <w:rsid w:val="7AA059E5"/>
    <w:rsid w:val="7B5B603A"/>
    <w:rsid w:val="7B686D42"/>
    <w:rsid w:val="7B841746"/>
    <w:rsid w:val="7BE626D4"/>
    <w:rsid w:val="7C0A5428"/>
    <w:rsid w:val="7C5A2796"/>
    <w:rsid w:val="7CA40C18"/>
    <w:rsid w:val="7D0239FF"/>
    <w:rsid w:val="7D094119"/>
    <w:rsid w:val="7D5E40CD"/>
    <w:rsid w:val="7D693BED"/>
    <w:rsid w:val="7E4D2FA2"/>
    <w:rsid w:val="7E674BF7"/>
    <w:rsid w:val="7EA60327"/>
    <w:rsid w:val="7EF14B2E"/>
    <w:rsid w:val="7F157D33"/>
    <w:rsid w:val="7F434A45"/>
    <w:rsid w:val="7FC963C9"/>
    <w:rsid w:val="7FE2280F"/>
    <w:rsid w:val="7FE47E50"/>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ocked="1"/>
    <w:lsdException w:qFormat="1" w:uiPriority="0" w:semiHidden="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ocked="1"/>
    <w:lsdException w:qFormat="1" w:unhideWhenUsed="0" w:uiPriority="39" w:semiHidden="0" w:name="toc 2" w:locked="1"/>
    <w:lsdException w:uiPriority="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uiPriority="0" w:name="Normal Indent"/>
    <w:lsdException w:uiPriority="0" w:name="footnote text"/>
    <w:lsdException w:qFormat="1" w:unhideWhenUsed="0"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qFormat="1" w:unhideWhenUsed="0"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ocked="1"/>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qFormat="1" w:unhideWhenUsed="0" w:uiPriority="0" w:semiHidden="0" w:name="Body Text 3"/>
    <w:lsdException w:qFormat="1"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ocked="1"/>
    <w:lsdException w:qFormat="1" w:unhideWhenUsed="0" w:uiPriority="20" w:semiHidden="0" w:name="Emphasis" w:locked="1"/>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3">
    <w:name w:val="heading 2"/>
    <w:basedOn w:val="1"/>
    <w:next w:val="1"/>
    <w:link w:val="67"/>
    <w:semiHidden/>
    <w:unhideWhenUsed/>
    <w:qFormat/>
    <w:locked/>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59"/>
    <w:unhideWhenUsed/>
    <w:qFormat/>
    <w:locked/>
    <w:uiPriority w:val="0"/>
    <w:pPr>
      <w:keepNext/>
      <w:keepLines/>
      <w:spacing w:before="260" w:after="260" w:line="416" w:lineRule="auto"/>
      <w:outlineLvl w:val="2"/>
    </w:pPr>
    <w:rPr>
      <w:b/>
      <w:bCs/>
      <w:sz w:val="32"/>
      <w:szCs w:val="32"/>
    </w:rPr>
  </w:style>
  <w:style w:type="paragraph" w:styleId="5">
    <w:name w:val="heading 4"/>
    <w:basedOn w:val="1"/>
    <w:next w:val="1"/>
    <w:link w:val="88"/>
    <w:semiHidden/>
    <w:unhideWhenUsed/>
    <w:qFormat/>
    <w:locked/>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89"/>
    <w:semiHidden/>
    <w:unhideWhenUsed/>
    <w:qFormat/>
    <w:locked/>
    <w:uiPriority w:val="0"/>
    <w:pPr>
      <w:keepNext/>
      <w:keepLines/>
      <w:spacing w:before="280" w:after="290" w:line="376" w:lineRule="auto"/>
      <w:outlineLvl w:val="4"/>
    </w:pPr>
    <w:rPr>
      <w:b/>
      <w:bCs/>
      <w:sz w:val="28"/>
      <w:szCs w:val="28"/>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7">
    <w:name w:val="Document Map"/>
    <w:basedOn w:val="1"/>
    <w:link w:val="46"/>
    <w:qFormat/>
    <w:uiPriority w:val="0"/>
    <w:rPr>
      <w:rFonts w:ascii="宋体"/>
      <w:sz w:val="18"/>
      <w:szCs w:val="18"/>
    </w:rPr>
  </w:style>
  <w:style w:type="paragraph" w:styleId="8">
    <w:name w:val="annotation text"/>
    <w:basedOn w:val="1"/>
    <w:link w:val="41"/>
    <w:semiHidden/>
    <w:qFormat/>
    <w:uiPriority w:val="0"/>
    <w:pPr>
      <w:jc w:val="left"/>
    </w:pPr>
    <w:rPr>
      <w:kern w:val="0"/>
      <w:sz w:val="24"/>
      <w:szCs w:val="20"/>
    </w:rPr>
  </w:style>
  <w:style w:type="paragraph" w:styleId="9">
    <w:name w:val="Body Text 3"/>
    <w:basedOn w:val="1"/>
    <w:link w:val="86"/>
    <w:qFormat/>
    <w:uiPriority w:val="0"/>
    <w:pPr>
      <w:spacing w:after="120"/>
    </w:pPr>
    <w:rPr>
      <w:sz w:val="16"/>
      <w:szCs w:val="16"/>
    </w:rPr>
  </w:style>
  <w:style w:type="paragraph" w:styleId="10">
    <w:name w:val="Body Text"/>
    <w:basedOn w:val="1"/>
    <w:link w:val="32"/>
    <w:qFormat/>
    <w:uiPriority w:val="0"/>
    <w:pPr>
      <w:widowControl/>
      <w:snapToGrid w:val="0"/>
      <w:spacing w:before="60" w:after="160" w:line="259" w:lineRule="auto"/>
      <w:ind w:right="113"/>
    </w:pPr>
    <w:rPr>
      <w:kern w:val="0"/>
      <w:sz w:val="18"/>
      <w:szCs w:val="20"/>
    </w:rPr>
  </w:style>
  <w:style w:type="paragraph" w:styleId="11">
    <w:name w:val="Body Text Indent"/>
    <w:basedOn w:val="1"/>
    <w:link w:val="43"/>
    <w:qFormat/>
    <w:uiPriority w:val="0"/>
    <w:pPr>
      <w:spacing w:after="120"/>
      <w:ind w:left="420" w:leftChars="200"/>
    </w:pPr>
  </w:style>
  <w:style w:type="paragraph" w:styleId="12">
    <w:name w:val="Plain Text"/>
    <w:basedOn w:val="1"/>
    <w:link w:val="76"/>
    <w:qFormat/>
    <w:uiPriority w:val="0"/>
    <w:rPr>
      <w:rFonts w:ascii="宋体" w:hAnsi="Courier New"/>
    </w:rPr>
  </w:style>
  <w:style w:type="paragraph" w:styleId="13">
    <w:name w:val="Date"/>
    <w:basedOn w:val="1"/>
    <w:next w:val="1"/>
    <w:link w:val="34"/>
    <w:qFormat/>
    <w:uiPriority w:val="0"/>
    <w:pPr>
      <w:ind w:left="100" w:leftChars="2500"/>
    </w:pPr>
    <w:rPr>
      <w:kern w:val="0"/>
      <w:sz w:val="24"/>
      <w:szCs w:val="20"/>
    </w:rPr>
  </w:style>
  <w:style w:type="paragraph" w:styleId="14">
    <w:name w:val="Body Text Indent 2"/>
    <w:basedOn w:val="1"/>
    <w:link w:val="75"/>
    <w:semiHidden/>
    <w:unhideWhenUsed/>
    <w:qFormat/>
    <w:uiPriority w:val="0"/>
    <w:pPr>
      <w:spacing w:after="120" w:line="480" w:lineRule="auto"/>
      <w:ind w:left="420" w:leftChars="200"/>
    </w:pPr>
  </w:style>
  <w:style w:type="paragraph" w:styleId="15">
    <w:name w:val="Balloon Text"/>
    <w:basedOn w:val="1"/>
    <w:link w:val="40"/>
    <w:semiHidden/>
    <w:qFormat/>
    <w:uiPriority w:val="0"/>
    <w:rPr>
      <w:sz w:val="18"/>
      <w:szCs w:val="18"/>
    </w:rPr>
  </w:style>
  <w:style w:type="paragraph" w:styleId="16">
    <w:name w:val="footer"/>
    <w:basedOn w:val="1"/>
    <w:link w:val="31"/>
    <w:qFormat/>
    <w:uiPriority w:val="99"/>
    <w:pPr>
      <w:tabs>
        <w:tab w:val="center" w:pos="4153"/>
        <w:tab w:val="right" w:pos="8306"/>
      </w:tabs>
      <w:snapToGrid w:val="0"/>
      <w:jc w:val="left"/>
    </w:pPr>
    <w:rPr>
      <w:sz w:val="18"/>
      <w:szCs w:val="18"/>
    </w:rPr>
  </w:style>
  <w:style w:type="paragraph" w:styleId="17">
    <w:name w:val="header"/>
    <w:basedOn w:val="1"/>
    <w:link w:val="30"/>
    <w:qFormat/>
    <w:uiPriority w:val="0"/>
    <w:pPr>
      <w:pBdr>
        <w:bottom w:val="single" w:color="auto" w:sz="6" w:space="1"/>
      </w:pBdr>
      <w:tabs>
        <w:tab w:val="center" w:pos="4153"/>
        <w:tab w:val="right" w:pos="8306"/>
      </w:tabs>
      <w:snapToGrid w:val="0"/>
      <w:jc w:val="center"/>
    </w:pPr>
    <w:rPr>
      <w:sz w:val="18"/>
      <w:szCs w:val="18"/>
    </w:rPr>
  </w:style>
  <w:style w:type="paragraph" w:styleId="18">
    <w:name w:val="toc 1"/>
    <w:next w:val="1"/>
    <w:qFormat/>
    <w:locked/>
    <w:uiPriority w:val="39"/>
    <w:pPr>
      <w:widowControl w:val="0"/>
      <w:tabs>
        <w:tab w:val="right" w:leader="dot" w:pos="8296"/>
      </w:tabs>
      <w:spacing w:beforeLines="100" w:line="360" w:lineRule="auto"/>
      <w:jc w:val="both"/>
    </w:pPr>
    <w:rPr>
      <w:rFonts w:ascii="Times New Roman" w:hAnsi="Times New Roman" w:eastAsia="宋体" w:cs="Times New Roman"/>
      <w:snapToGrid w:val="0"/>
      <w:kern w:val="0"/>
      <w:sz w:val="24"/>
      <w:szCs w:val="24"/>
      <w:lang w:val="en-US" w:eastAsia="zh-CN" w:bidi="ar-SA"/>
    </w:rPr>
  </w:style>
  <w:style w:type="paragraph" w:styleId="19">
    <w:name w:val="toc 2"/>
    <w:next w:val="1"/>
    <w:qFormat/>
    <w:locked/>
    <w:uiPriority w:val="39"/>
    <w:pPr>
      <w:widowControl w:val="0"/>
      <w:tabs>
        <w:tab w:val="right" w:leader="dot" w:pos="8296"/>
      </w:tabs>
      <w:spacing w:line="360" w:lineRule="auto"/>
      <w:ind w:left="420" w:leftChars="200"/>
      <w:jc w:val="both"/>
    </w:pPr>
    <w:rPr>
      <w:rFonts w:ascii="Times New Roman" w:hAnsi="Times New Roman" w:eastAsia="宋体" w:cs="Times New Roman"/>
      <w:kern w:val="2"/>
      <w:sz w:val="21"/>
      <w:szCs w:val="24"/>
      <w:lang w:val="en-US" w:eastAsia="zh-CN" w:bidi="ar-SA"/>
    </w:rPr>
  </w:style>
  <w:style w:type="paragraph" w:styleId="20">
    <w:name w:val="Normal (Web)"/>
    <w:basedOn w:val="1"/>
    <w:link w:val="33"/>
    <w:qFormat/>
    <w:uiPriority w:val="0"/>
    <w:pPr>
      <w:widowControl/>
      <w:spacing w:before="100" w:beforeAutospacing="1" w:after="100" w:afterAutospacing="1"/>
      <w:jc w:val="left"/>
    </w:pPr>
    <w:rPr>
      <w:rFonts w:ascii="宋体" w:hAnsi="宋体"/>
      <w:kern w:val="0"/>
      <w:sz w:val="24"/>
      <w:szCs w:val="20"/>
    </w:rPr>
  </w:style>
  <w:style w:type="paragraph" w:styleId="21">
    <w:name w:val="annotation subject"/>
    <w:basedOn w:val="8"/>
    <w:next w:val="8"/>
    <w:link w:val="44"/>
    <w:semiHidden/>
    <w:qFormat/>
    <w:uiPriority w:val="0"/>
    <w:rPr>
      <w:b/>
      <w:bCs/>
    </w:rPr>
  </w:style>
  <w:style w:type="table" w:styleId="23">
    <w:name w:val="Table Grid"/>
    <w:basedOn w:val="2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qFormat/>
    <w:locked/>
    <w:uiPriority w:val="22"/>
    <w:rPr>
      <w:b/>
      <w:bCs/>
    </w:rPr>
  </w:style>
  <w:style w:type="character" w:styleId="26">
    <w:name w:val="page number"/>
    <w:basedOn w:val="24"/>
    <w:qFormat/>
    <w:uiPriority w:val="0"/>
  </w:style>
  <w:style w:type="character" w:styleId="27">
    <w:name w:val="Emphasis"/>
    <w:qFormat/>
    <w:locked/>
    <w:uiPriority w:val="20"/>
    <w:rPr>
      <w:i/>
      <w:iCs/>
    </w:rPr>
  </w:style>
  <w:style w:type="character" w:styleId="28">
    <w:name w:val="Hyperlink"/>
    <w:unhideWhenUsed/>
    <w:qFormat/>
    <w:uiPriority w:val="99"/>
    <w:rPr>
      <w:color w:val="0000FF"/>
      <w:u w:val="single"/>
    </w:rPr>
  </w:style>
  <w:style w:type="character" w:styleId="29">
    <w:name w:val="annotation reference"/>
    <w:semiHidden/>
    <w:qFormat/>
    <w:uiPriority w:val="0"/>
    <w:rPr>
      <w:sz w:val="21"/>
    </w:rPr>
  </w:style>
  <w:style w:type="character" w:customStyle="1" w:styleId="30">
    <w:name w:val="页眉 字符"/>
    <w:link w:val="17"/>
    <w:qFormat/>
    <w:locked/>
    <w:uiPriority w:val="0"/>
    <w:rPr>
      <w:rFonts w:cs="Times New Roman"/>
      <w:sz w:val="18"/>
      <w:szCs w:val="18"/>
    </w:rPr>
  </w:style>
  <w:style w:type="character" w:customStyle="1" w:styleId="31">
    <w:name w:val="页脚 字符"/>
    <w:link w:val="16"/>
    <w:qFormat/>
    <w:locked/>
    <w:uiPriority w:val="99"/>
    <w:rPr>
      <w:rFonts w:cs="Times New Roman"/>
      <w:sz w:val="18"/>
      <w:szCs w:val="18"/>
    </w:rPr>
  </w:style>
  <w:style w:type="character" w:customStyle="1" w:styleId="32">
    <w:name w:val="正文文本 字符"/>
    <w:link w:val="10"/>
    <w:qFormat/>
    <w:locked/>
    <w:uiPriority w:val="0"/>
    <w:rPr>
      <w:sz w:val="18"/>
    </w:rPr>
  </w:style>
  <w:style w:type="character" w:customStyle="1" w:styleId="33">
    <w:name w:val="普通(网站) 字符"/>
    <w:link w:val="20"/>
    <w:qFormat/>
    <w:locked/>
    <w:uiPriority w:val="0"/>
    <w:rPr>
      <w:rFonts w:ascii="宋体" w:hAnsi="宋体" w:eastAsia="宋体"/>
      <w:sz w:val="24"/>
    </w:rPr>
  </w:style>
  <w:style w:type="character" w:customStyle="1" w:styleId="34">
    <w:name w:val="日期 字符1"/>
    <w:link w:val="13"/>
    <w:qFormat/>
    <w:locked/>
    <w:uiPriority w:val="0"/>
    <w:rPr>
      <w:rFonts w:ascii="Times New Roman" w:hAnsi="Times New Roman" w:eastAsia="宋体"/>
      <w:sz w:val="24"/>
    </w:rPr>
  </w:style>
  <w:style w:type="character" w:customStyle="1" w:styleId="35">
    <w:name w:val="日期 字符"/>
    <w:semiHidden/>
    <w:qFormat/>
    <w:uiPriority w:val="0"/>
    <w:rPr>
      <w:rFonts w:ascii="Times New Roman" w:hAnsi="Times New Roman" w:eastAsia="宋体" w:cs="Times New Roman"/>
      <w:sz w:val="24"/>
      <w:szCs w:val="24"/>
    </w:rPr>
  </w:style>
  <w:style w:type="character" w:customStyle="1" w:styleId="36">
    <w:name w:val="正文文本 字符1"/>
    <w:semiHidden/>
    <w:qFormat/>
    <w:uiPriority w:val="0"/>
    <w:rPr>
      <w:rFonts w:ascii="Times New Roman" w:hAnsi="Times New Roman" w:eastAsia="宋体" w:cs="Times New Roman"/>
      <w:sz w:val="24"/>
      <w:szCs w:val="24"/>
    </w:rPr>
  </w:style>
  <w:style w:type="paragraph" w:customStyle="1" w:styleId="37">
    <w:name w:val="普通(网站)2"/>
    <w:basedOn w:val="1"/>
    <w:qFormat/>
    <w:uiPriority w:val="0"/>
    <w:pPr>
      <w:widowControl/>
      <w:spacing w:before="100" w:beforeAutospacing="1" w:after="100" w:afterAutospacing="1"/>
      <w:jc w:val="left"/>
    </w:pPr>
    <w:rPr>
      <w:rFonts w:ascii="宋体" w:hAnsi="宋体"/>
      <w:sz w:val="24"/>
      <w:szCs w:val="20"/>
    </w:rPr>
  </w:style>
  <w:style w:type="character" w:customStyle="1" w:styleId="38">
    <w:name w:val="表格 Char"/>
    <w:link w:val="39"/>
    <w:qFormat/>
    <w:locked/>
    <w:uiPriority w:val="0"/>
    <w:rPr>
      <w:rFonts w:ascii="宋体"/>
      <w:sz w:val="21"/>
    </w:rPr>
  </w:style>
  <w:style w:type="paragraph" w:customStyle="1" w:styleId="39">
    <w:name w:val="表格"/>
    <w:basedOn w:val="1"/>
    <w:next w:val="1"/>
    <w:link w:val="38"/>
    <w:qFormat/>
    <w:uiPriority w:val="0"/>
    <w:pPr>
      <w:adjustRightInd w:val="0"/>
      <w:snapToGrid w:val="0"/>
      <w:spacing w:beforeLines="10" w:afterLines="10" w:line="259" w:lineRule="auto"/>
      <w:jc w:val="center"/>
    </w:pPr>
    <w:rPr>
      <w:rFonts w:ascii="宋体"/>
      <w:kern w:val="0"/>
      <w:szCs w:val="20"/>
    </w:rPr>
  </w:style>
  <w:style w:type="character" w:customStyle="1" w:styleId="40">
    <w:name w:val="批注框文本 字符"/>
    <w:link w:val="15"/>
    <w:semiHidden/>
    <w:qFormat/>
    <w:locked/>
    <w:uiPriority w:val="0"/>
    <w:rPr>
      <w:rFonts w:ascii="Times New Roman" w:hAnsi="Times New Roman" w:eastAsia="宋体" w:cs="Times New Roman"/>
      <w:sz w:val="18"/>
      <w:szCs w:val="18"/>
    </w:rPr>
  </w:style>
  <w:style w:type="character" w:customStyle="1" w:styleId="41">
    <w:name w:val="批注文字 字符"/>
    <w:link w:val="8"/>
    <w:qFormat/>
    <w:locked/>
    <w:uiPriority w:val="0"/>
    <w:rPr>
      <w:rFonts w:ascii="Times New Roman" w:hAnsi="Times New Roman" w:eastAsia="宋体"/>
      <w:sz w:val="24"/>
    </w:rPr>
  </w:style>
  <w:style w:type="character" w:customStyle="1" w:styleId="42">
    <w:name w:val="批注文字 字符1"/>
    <w:semiHidden/>
    <w:qFormat/>
    <w:uiPriority w:val="0"/>
    <w:rPr>
      <w:rFonts w:ascii="Times New Roman" w:hAnsi="Times New Roman" w:eastAsia="宋体" w:cs="Times New Roman"/>
      <w:sz w:val="24"/>
      <w:szCs w:val="24"/>
    </w:rPr>
  </w:style>
  <w:style w:type="character" w:customStyle="1" w:styleId="43">
    <w:name w:val="正文文本缩进 字符"/>
    <w:link w:val="11"/>
    <w:qFormat/>
    <w:locked/>
    <w:uiPriority w:val="0"/>
    <w:rPr>
      <w:rFonts w:ascii="Times New Roman" w:hAnsi="Times New Roman" w:eastAsia="宋体" w:cs="Times New Roman"/>
      <w:sz w:val="24"/>
      <w:szCs w:val="24"/>
    </w:rPr>
  </w:style>
  <w:style w:type="character" w:customStyle="1" w:styleId="44">
    <w:name w:val="批注主题 字符"/>
    <w:link w:val="21"/>
    <w:semiHidden/>
    <w:qFormat/>
    <w:locked/>
    <w:uiPriority w:val="0"/>
    <w:rPr>
      <w:rFonts w:ascii="Times New Roman" w:hAnsi="Times New Roman" w:eastAsia="宋体" w:cs="Times New Roman"/>
      <w:b/>
      <w:bCs/>
      <w:kern w:val="2"/>
      <w:sz w:val="24"/>
      <w:szCs w:val="24"/>
    </w:rPr>
  </w:style>
  <w:style w:type="character" w:customStyle="1" w:styleId="45">
    <w:name w:val="普通(网站) Char"/>
    <w:qFormat/>
    <w:locked/>
    <w:uiPriority w:val="0"/>
    <w:rPr>
      <w:rFonts w:ascii="宋体" w:hAnsi="宋体" w:eastAsia="宋体"/>
      <w:sz w:val="24"/>
    </w:rPr>
  </w:style>
  <w:style w:type="character" w:customStyle="1" w:styleId="46">
    <w:name w:val="文档结构图 字符"/>
    <w:link w:val="7"/>
    <w:qFormat/>
    <w:uiPriority w:val="0"/>
    <w:rPr>
      <w:rFonts w:ascii="宋体"/>
      <w:kern w:val="2"/>
      <w:sz w:val="18"/>
      <w:szCs w:val="18"/>
    </w:rPr>
  </w:style>
  <w:style w:type="paragraph" w:customStyle="1" w:styleId="47">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48">
    <w:name w:val="text_jayku"/>
    <w:basedOn w:val="24"/>
    <w:qFormat/>
    <w:uiPriority w:val="0"/>
  </w:style>
  <w:style w:type="character" w:customStyle="1" w:styleId="49">
    <w:name w:val="supwrap_a9wtz"/>
    <w:basedOn w:val="24"/>
    <w:qFormat/>
    <w:uiPriority w:val="0"/>
  </w:style>
  <w:style w:type="paragraph" w:customStyle="1" w:styleId="50">
    <w:name w:val="图表头"/>
    <w:basedOn w:val="1"/>
    <w:link w:val="54"/>
    <w:qFormat/>
    <w:uiPriority w:val="0"/>
    <w:pPr>
      <w:adjustRightInd w:val="0"/>
      <w:spacing w:line="360" w:lineRule="auto"/>
      <w:jc w:val="center"/>
      <w:textAlignment w:val="baseline"/>
    </w:pPr>
    <w:rPr>
      <w:rFonts w:ascii="黑体" w:eastAsia="黑体"/>
      <w:spacing w:val="5"/>
      <w:kern w:val="0"/>
      <w:szCs w:val="20"/>
    </w:rPr>
  </w:style>
  <w:style w:type="character" w:customStyle="1" w:styleId="51">
    <w:name w:val="日期 字符3"/>
    <w:qFormat/>
    <w:uiPriority w:val="0"/>
    <w:rPr>
      <w:rFonts w:ascii="宋体" w:eastAsia="宋体"/>
      <w:sz w:val="24"/>
      <w:lang w:val="en-US" w:eastAsia="zh-CN" w:bidi="ar-SA"/>
    </w:rPr>
  </w:style>
  <w:style w:type="paragraph" w:customStyle="1" w:styleId="52">
    <w:name w:val="表格文字"/>
    <w:basedOn w:val="1"/>
    <w:link w:val="53"/>
    <w:qFormat/>
    <w:uiPriority w:val="0"/>
    <w:pPr>
      <w:widowControl/>
      <w:adjustRightInd w:val="0"/>
      <w:snapToGrid w:val="0"/>
      <w:spacing w:line="320" w:lineRule="exact"/>
      <w:jc w:val="center"/>
    </w:pPr>
    <w:rPr>
      <w:rFonts w:ascii="宋体" w:hAnsi="宋体"/>
      <w:snapToGrid w:val="0"/>
      <w:color w:val="000000"/>
      <w:kern w:val="0"/>
      <w:sz w:val="24"/>
    </w:rPr>
  </w:style>
  <w:style w:type="character" w:customStyle="1" w:styleId="53">
    <w:name w:val="表格文字 Char"/>
    <w:link w:val="52"/>
    <w:qFormat/>
    <w:uiPriority w:val="0"/>
    <w:rPr>
      <w:rFonts w:ascii="宋体" w:hAnsi="宋体" w:cs="宋体"/>
      <w:snapToGrid w:val="0"/>
      <w:color w:val="000000"/>
      <w:sz w:val="24"/>
      <w:szCs w:val="24"/>
    </w:rPr>
  </w:style>
  <w:style w:type="character" w:customStyle="1" w:styleId="54">
    <w:name w:val="图表头 Char"/>
    <w:link w:val="50"/>
    <w:qFormat/>
    <w:uiPriority w:val="0"/>
    <w:rPr>
      <w:rFonts w:ascii="黑体" w:eastAsia="黑体"/>
      <w:spacing w:val="5"/>
      <w:sz w:val="21"/>
    </w:rPr>
  </w:style>
  <w:style w:type="paragraph" w:customStyle="1" w:styleId="55">
    <w:name w:val="样式 正文文本正文文字 Char"/>
    <w:basedOn w:val="10"/>
    <w:qFormat/>
    <w:uiPriority w:val="99"/>
    <w:pPr>
      <w:widowControl w:val="0"/>
      <w:snapToGrid/>
      <w:spacing w:before="0" w:after="0" w:line="240" w:lineRule="atLeast"/>
      <w:ind w:right="0"/>
      <w:jc w:val="center"/>
    </w:pPr>
    <w:rPr>
      <w:bCs/>
      <w:sz w:val="21"/>
      <w:szCs w:val="24"/>
    </w:rPr>
  </w:style>
  <w:style w:type="paragraph" w:customStyle="1" w:styleId="56">
    <w:name w:val="报告书"/>
    <w:basedOn w:val="1"/>
    <w:qFormat/>
    <w:uiPriority w:val="0"/>
    <w:pPr>
      <w:widowControl/>
      <w:spacing w:line="300" w:lineRule="auto"/>
      <w:ind w:firstLine="480" w:firstLineChars="200"/>
      <w:jc w:val="left"/>
    </w:pPr>
    <w:rPr>
      <w:rFonts w:ascii="宋体" w:hAnsi="宋体" w:cs="宋体"/>
      <w:kern w:val="0"/>
      <w:sz w:val="24"/>
    </w:rPr>
  </w:style>
  <w:style w:type="character" w:customStyle="1" w:styleId="57">
    <w:name w:val="报告书正文 Char2"/>
    <w:link w:val="58"/>
    <w:qFormat/>
    <w:uiPriority w:val="0"/>
    <w:rPr>
      <w:kern w:val="2"/>
      <w:sz w:val="24"/>
    </w:rPr>
  </w:style>
  <w:style w:type="paragraph" w:customStyle="1" w:styleId="58">
    <w:name w:val="报告书正文"/>
    <w:basedOn w:val="1"/>
    <w:link w:val="57"/>
    <w:qFormat/>
    <w:uiPriority w:val="0"/>
    <w:pPr>
      <w:spacing w:line="300" w:lineRule="auto"/>
      <w:ind w:firstLine="200" w:firstLineChars="200"/>
    </w:pPr>
    <w:rPr>
      <w:sz w:val="24"/>
      <w:szCs w:val="20"/>
    </w:rPr>
  </w:style>
  <w:style w:type="character" w:customStyle="1" w:styleId="59">
    <w:name w:val="标题 3 字符"/>
    <w:link w:val="4"/>
    <w:qFormat/>
    <w:uiPriority w:val="0"/>
    <w:rPr>
      <w:b/>
      <w:bCs/>
      <w:kern w:val="2"/>
      <w:sz w:val="32"/>
      <w:szCs w:val="32"/>
    </w:rPr>
  </w:style>
  <w:style w:type="character" w:customStyle="1" w:styleId="60">
    <w:name w:val="报告书正文 Char Char Char Char"/>
    <w:link w:val="61"/>
    <w:qFormat/>
    <w:uiPriority w:val="0"/>
    <w:rPr>
      <w:kern w:val="2"/>
      <w:sz w:val="24"/>
      <w:szCs w:val="24"/>
    </w:rPr>
  </w:style>
  <w:style w:type="paragraph" w:customStyle="1" w:styleId="61">
    <w:name w:val="报告书正文 Char Char Char"/>
    <w:basedOn w:val="1"/>
    <w:link w:val="60"/>
    <w:qFormat/>
    <w:uiPriority w:val="0"/>
    <w:pPr>
      <w:spacing w:line="300" w:lineRule="auto"/>
      <w:ind w:firstLine="200" w:firstLineChars="200"/>
    </w:pPr>
    <w:rPr>
      <w:sz w:val="24"/>
    </w:rPr>
  </w:style>
  <w:style w:type="paragraph" w:customStyle="1" w:styleId="62">
    <w:name w:val="0正文"/>
    <w:basedOn w:val="11"/>
    <w:link w:val="63"/>
    <w:qFormat/>
    <w:uiPriority w:val="0"/>
    <w:pPr>
      <w:spacing w:after="0" w:line="300" w:lineRule="auto"/>
      <w:ind w:left="0" w:leftChars="0" w:firstLine="480" w:firstLineChars="200"/>
    </w:pPr>
    <w:rPr>
      <w:rFonts w:cs="宋体"/>
      <w:kern w:val="0"/>
      <w:sz w:val="24"/>
      <w:szCs w:val="20"/>
    </w:rPr>
  </w:style>
  <w:style w:type="character" w:customStyle="1" w:styleId="63">
    <w:name w:val="0正文 Char"/>
    <w:link w:val="62"/>
    <w:qFormat/>
    <w:uiPriority w:val="0"/>
    <w:rPr>
      <w:rFonts w:cs="宋体"/>
      <w:sz w:val="24"/>
    </w:rPr>
  </w:style>
  <w:style w:type="paragraph" w:styleId="64">
    <w:name w:val="List Paragraph"/>
    <w:basedOn w:val="1"/>
    <w:link w:val="82"/>
    <w:qFormat/>
    <w:uiPriority w:val="34"/>
    <w:pPr>
      <w:ind w:firstLine="420" w:firstLineChars="200"/>
    </w:pPr>
  </w:style>
  <w:style w:type="paragraph" w:customStyle="1" w:styleId="65">
    <w:name w:val="样式 首行缩进:  2 字符"/>
    <w:basedOn w:val="1"/>
    <w:qFormat/>
    <w:uiPriority w:val="0"/>
    <w:pPr>
      <w:adjustRightInd w:val="0"/>
      <w:spacing w:line="300" w:lineRule="auto"/>
      <w:ind w:firstLine="480" w:firstLineChars="200"/>
      <w:textAlignment w:val="baseline"/>
    </w:pPr>
    <w:rPr>
      <w:rFonts w:ascii="宋体" w:hAnsi="宋体"/>
      <w:color w:val="FF0000"/>
      <w:kern w:val="0"/>
      <w:sz w:val="24"/>
    </w:rPr>
  </w:style>
  <w:style w:type="paragraph" w:customStyle="1" w:styleId="66">
    <w:name w:val="Char Char3 Char Char Char Char"/>
    <w:basedOn w:val="1"/>
    <w:qFormat/>
    <w:uiPriority w:val="0"/>
    <w:pPr>
      <w:widowControl/>
      <w:tabs>
        <w:tab w:val="left" w:pos="480"/>
      </w:tabs>
      <w:spacing w:after="160" w:line="240" w:lineRule="exact"/>
      <w:jc w:val="left"/>
    </w:pPr>
    <w:rPr>
      <w:rFonts w:ascii="宋体" w:hAnsi="宋体" w:cs="宋体"/>
      <w:sz w:val="24"/>
    </w:rPr>
  </w:style>
  <w:style w:type="character" w:customStyle="1" w:styleId="67">
    <w:name w:val="标题 2 字符"/>
    <w:basedOn w:val="24"/>
    <w:link w:val="3"/>
    <w:semiHidden/>
    <w:qFormat/>
    <w:uiPriority w:val="0"/>
    <w:rPr>
      <w:rFonts w:asciiTheme="majorHAnsi" w:hAnsiTheme="majorHAnsi" w:eastAsiaTheme="majorEastAsia" w:cstheme="majorBidi"/>
      <w:b/>
      <w:bCs/>
      <w:kern w:val="2"/>
      <w:sz w:val="32"/>
      <w:szCs w:val="32"/>
    </w:rPr>
  </w:style>
  <w:style w:type="paragraph" w:customStyle="1" w:styleId="68">
    <w:name w:val="报告书正文 Char Char Char Char Char Char Char"/>
    <w:basedOn w:val="1"/>
    <w:qFormat/>
    <w:uiPriority w:val="0"/>
    <w:pPr>
      <w:spacing w:line="300" w:lineRule="auto"/>
      <w:ind w:firstLine="480" w:firstLineChars="200"/>
    </w:pPr>
    <w:rPr>
      <w:color w:val="000000"/>
      <w:sz w:val="24"/>
    </w:rPr>
  </w:style>
  <w:style w:type="character" w:customStyle="1" w:styleId="69">
    <w:name w:val="dlist_title_str"/>
    <w:basedOn w:val="24"/>
    <w:qFormat/>
    <w:uiPriority w:val="0"/>
  </w:style>
  <w:style w:type="paragraph" w:customStyle="1" w:styleId="70">
    <w:name w:val="说明正文"/>
    <w:basedOn w:val="1"/>
    <w:link w:val="71"/>
    <w:qFormat/>
    <w:uiPriority w:val="0"/>
    <w:pPr>
      <w:adjustRightInd w:val="0"/>
      <w:snapToGrid w:val="0"/>
      <w:spacing w:line="360" w:lineRule="auto"/>
      <w:ind w:firstLine="510"/>
      <w:jc w:val="left"/>
    </w:pPr>
    <w:rPr>
      <w:rFonts w:ascii="宋体"/>
      <w:sz w:val="24"/>
      <w:szCs w:val="20"/>
    </w:rPr>
  </w:style>
  <w:style w:type="character" w:customStyle="1" w:styleId="71">
    <w:name w:val="说明正文 Char"/>
    <w:link w:val="70"/>
    <w:qFormat/>
    <w:uiPriority w:val="0"/>
    <w:rPr>
      <w:rFonts w:ascii="宋体"/>
      <w:kern w:val="2"/>
      <w:sz w:val="24"/>
    </w:rPr>
  </w:style>
  <w:style w:type="character" w:customStyle="1" w:styleId="72">
    <w:name w:val="Char Char1 Char Char"/>
    <w:qFormat/>
    <w:uiPriority w:val="0"/>
    <w:rPr>
      <w:rFonts w:hint="eastAsia" w:ascii="宋体" w:hAnsi="宋体" w:eastAsia="宋体"/>
      <w:b/>
      <w:bCs/>
      <w:kern w:val="2"/>
      <w:sz w:val="24"/>
      <w:szCs w:val="24"/>
      <w:lang w:val="en-US" w:eastAsia="zh-CN" w:bidi="ar-SA"/>
    </w:rPr>
  </w:style>
  <w:style w:type="paragraph" w:customStyle="1" w:styleId="73">
    <w:name w:val="2"/>
    <w:basedOn w:val="1"/>
    <w:next w:val="14"/>
    <w:link w:val="74"/>
    <w:qFormat/>
    <w:uiPriority w:val="0"/>
    <w:pPr>
      <w:spacing w:line="360" w:lineRule="auto"/>
      <w:ind w:firstLine="480"/>
    </w:pPr>
    <w:rPr>
      <w:sz w:val="24"/>
    </w:rPr>
  </w:style>
  <w:style w:type="character" w:customStyle="1" w:styleId="74">
    <w:name w:val="2 Char"/>
    <w:link w:val="73"/>
    <w:qFormat/>
    <w:uiPriority w:val="0"/>
    <w:rPr>
      <w:kern w:val="2"/>
      <w:sz w:val="24"/>
      <w:szCs w:val="24"/>
    </w:rPr>
  </w:style>
  <w:style w:type="character" w:customStyle="1" w:styleId="75">
    <w:name w:val="正文文本缩进 2 字符"/>
    <w:basedOn w:val="24"/>
    <w:link w:val="14"/>
    <w:semiHidden/>
    <w:qFormat/>
    <w:uiPriority w:val="0"/>
    <w:rPr>
      <w:kern w:val="2"/>
      <w:sz w:val="21"/>
      <w:szCs w:val="24"/>
    </w:rPr>
  </w:style>
  <w:style w:type="character" w:customStyle="1" w:styleId="76">
    <w:name w:val="纯文本 字符"/>
    <w:basedOn w:val="24"/>
    <w:link w:val="12"/>
    <w:qFormat/>
    <w:uiPriority w:val="0"/>
    <w:rPr>
      <w:rFonts w:ascii="宋体" w:hAnsi="Courier New"/>
      <w:kern w:val="2"/>
      <w:sz w:val="21"/>
      <w:szCs w:val="24"/>
    </w:rPr>
  </w:style>
  <w:style w:type="paragraph" w:customStyle="1" w:styleId="77">
    <w:name w:val="Table Paragraph"/>
    <w:basedOn w:val="1"/>
    <w:qFormat/>
    <w:uiPriority w:val="1"/>
    <w:pPr>
      <w:jc w:val="left"/>
    </w:pPr>
    <w:rPr>
      <w:rFonts w:ascii="Calibri" w:hAnsi="Calibri"/>
      <w:kern w:val="0"/>
      <w:sz w:val="22"/>
      <w:szCs w:val="22"/>
      <w:lang w:eastAsia="en-US"/>
    </w:rPr>
  </w:style>
  <w:style w:type="paragraph" w:customStyle="1" w:styleId="78">
    <w:name w:val="表中文字"/>
    <w:basedOn w:val="1"/>
    <w:qFormat/>
    <w:uiPriority w:val="0"/>
    <w:pPr>
      <w:jc w:val="center"/>
    </w:pPr>
    <w:rPr>
      <w:rFonts w:eastAsia="仿宋_GB2312" w:cs="宋体"/>
      <w:szCs w:val="20"/>
    </w:rPr>
  </w:style>
  <w:style w:type="paragraph" w:customStyle="1" w:styleId="79">
    <w:name w:val="正文文本 21"/>
    <w:basedOn w:val="1"/>
    <w:qFormat/>
    <w:uiPriority w:val="0"/>
    <w:pPr>
      <w:adjustRightInd w:val="0"/>
      <w:spacing w:line="360" w:lineRule="atLeast"/>
      <w:ind w:firstLine="600"/>
      <w:jc w:val="left"/>
      <w:textAlignment w:val="baseline"/>
    </w:pPr>
    <w:rPr>
      <w:rFonts w:eastAsia="Wingdings"/>
      <w:kern w:val="0"/>
      <w:sz w:val="28"/>
      <w:szCs w:val="20"/>
    </w:rPr>
  </w:style>
  <w:style w:type="paragraph" w:customStyle="1" w:styleId="80">
    <w:name w:val="真正文"/>
    <w:basedOn w:val="1"/>
    <w:link w:val="81"/>
    <w:qFormat/>
    <w:uiPriority w:val="0"/>
    <w:pPr>
      <w:spacing w:line="600" w:lineRule="exact"/>
      <w:ind w:firstLine="200" w:firstLineChars="200"/>
    </w:pPr>
    <w:rPr>
      <w:rFonts w:ascii="仿宋_GB2312" w:eastAsia="仿宋_GB2312" w:cstheme="minorBidi"/>
      <w:sz w:val="32"/>
      <w:szCs w:val="22"/>
    </w:rPr>
  </w:style>
  <w:style w:type="character" w:customStyle="1" w:styleId="81">
    <w:name w:val="真正文 字符"/>
    <w:basedOn w:val="24"/>
    <w:link w:val="80"/>
    <w:qFormat/>
    <w:uiPriority w:val="0"/>
    <w:rPr>
      <w:rFonts w:ascii="仿宋_GB2312" w:eastAsia="仿宋_GB2312" w:cstheme="minorBidi"/>
      <w:kern w:val="2"/>
      <w:sz w:val="32"/>
      <w:szCs w:val="22"/>
    </w:rPr>
  </w:style>
  <w:style w:type="character" w:customStyle="1" w:styleId="82">
    <w:name w:val="列表段落 字符"/>
    <w:basedOn w:val="24"/>
    <w:link w:val="64"/>
    <w:qFormat/>
    <w:uiPriority w:val="34"/>
    <w:rPr>
      <w:kern w:val="2"/>
      <w:sz w:val="21"/>
      <w:szCs w:val="24"/>
    </w:rPr>
  </w:style>
  <w:style w:type="character" w:customStyle="1" w:styleId="83">
    <w:name w:val="正文文本缩进 字符1"/>
    <w:semiHidden/>
    <w:qFormat/>
    <w:locked/>
    <w:uiPriority w:val="0"/>
    <w:rPr>
      <w:kern w:val="2"/>
      <w:sz w:val="21"/>
      <w:szCs w:val="24"/>
    </w:rPr>
  </w:style>
  <w:style w:type="paragraph" w:customStyle="1" w:styleId="84">
    <w:name w:val="方案正文"/>
    <w:basedOn w:val="1"/>
    <w:qFormat/>
    <w:uiPriority w:val="0"/>
    <w:pPr>
      <w:widowControl/>
      <w:adjustRightInd w:val="0"/>
      <w:snapToGrid w:val="0"/>
      <w:spacing w:line="576" w:lineRule="exact"/>
      <w:ind w:firstLine="560" w:firstLineChars="200"/>
    </w:pPr>
    <w:rPr>
      <w:rFonts w:eastAsia="仿宋_GB2312"/>
      <w:sz w:val="28"/>
      <w:szCs w:val="28"/>
    </w:rPr>
  </w:style>
  <w:style w:type="character" w:customStyle="1" w:styleId="85">
    <w:name w:val="正文文本 3 Char1"/>
    <w:qFormat/>
    <w:uiPriority w:val="0"/>
    <w:rPr>
      <w:kern w:val="2"/>
      <w:sz w:val="16"/>
      <w:szCs w:val="16"/>
    </w:rPr>
  </w:style>
  <w:style w:type="character" w:customStyle="1" w:styleId="86">
    <w:name w:val="正文文本 3 字符"/>
    <w:basedOn w:val="24"/>
    <w:link w:val="9"/>
    <w:semiHidden/>
    <w:qFormat/>
    <w:uiPriority w:val="0"/>
    <w:rPr>
      <w:kern w:val="2"/>
      <w:sz w:val="16"/>
      <w:szCs w:val="16"/>
    </w:rPr>
  </w:style>
  <w:style w:type="paragraph" w:customStyle="1" w:styleId="87">
    <w:name w:val="正文1234"/>
    <w:basedOn w:val="1"/>
    <w:next w:val="1"/>
    <w:qFormat/>
    <w:uiPriority w:val="0"/>
    <w:pPr>
      <w:spacing w:line="360" w:lineRule="auto"/>
      <w:ind w:firstLine="560"/>
    </w:pPr>
    <w:rPr>
      <w:sz w:val="28"/>
      <w:szCs w:val="28"/>
    </w:rPr>
  </w:style>
  <w:style w:type="character" w:customStyle="1" w:styleId="88">
    <w:name w:val="标题 4 字符"/>
    <w:basedOn w:val="24"/>
    <w:link w:val="5"/>
    <w:semiHidden/>
    <w:qFormat/>
    <w:uiPriority w:val="0"/>
    <w:rPr>
      <w:rFonts w:asciiTheme="majorHAnsi" w:hAnsiTheme="majorHAnsi" w:eastAsiaTheme="majorEastAsia" w:cstheme="majorBidi"/>
      <w:b/>
      <w:bCs/>
      <w:kern w:val="2"/>
      <w:sz w:val="28"/>
      <w:szCs w:val="28"/>
    </w:rPr>
  </w:style>
  <w:style w:type="character" w:customStyle="1" w:styleId="89">
    <w:name w:val="标题 5 字符"/>
    <w:basedOn w:val="24"/>
    <w:link w:val="6"/>
    <w:semiHidden/>
    <w:qFormat/>
    <w:uiPriority w:val="0"/>
    <w:rPr>
      <w:b/>
      <w:bCs/>
      <w:kern w:val="2"/>
      <w:sz w:val="28"/>
      <w:szCs w:val="28"/>
    </w:rPr>
  </w:style>
  <w:style w:type="paragraph" w:customStyle="1" w:styleId="90">
    <w:name w:val="XCHG论文正文"/>
    <w:basedOn w:val="1"/>
    <w:qFormat/>
    <w:uiPriority w:val="0"/>
    <w:pPr>
      <w:spacing w:line="300" w:lineRule="auto"/>
      <w:ind w:firstLine="480" w:firstLineChars="200"/>
    </w:pPr>
    <w:rPr>
      <w:color w:val="000000"/>
      <w:sz w:val="24"/>
    </w:rPr>
  </w:style>
  <w:style w:type="paragraph" w:customStyle="1" w:styleId="91">
    <w:name w:val="报告书正文 Char Char"/>
    <w:basedOn w:val="11"/>
    <w:qFormat/>
    <w:uiPriority w:val="0"/>
    <w:pPr>
      <w:spacing w:after="0" w:line="300" w:lineRule="auto"/>
      <w:ind w:left="0" w:leftChars="0" w:firstLine="200" w:firstLineChars="200"/>
    </w:pPr>
    <w:rPr>
      <w:kern w:val="0"/>
      <w:sz w:val="24"/>
      <w:szCs w:val="20"/>
    </w:rPr>
  </w:style>
  <w:style w:type="character" w:customStyle="1" w:styleId="92">
    <w:name w:val="正文文本 3 Char2"/>
    <w:qFormat/>
    <w:uiPriority w:val="0"/>
    <w:rPr>
      <w:rFonts w:eastAsia="宋体"/>
      <w:kern w:val="2"/>
      <w:sz w:val="16"/>
      <w:szCs w:val="16"/>
      <w:lang w:val="en-US" w:eastAsia="zh-CN" w:bidi="ar-SA"/>
    </w:rPr>
  </w:style>
  <w:style w:type="character" w:customStyle="1" w:styleId="93">
    <w:name w:val="段前: 8 磅2 Char C"/>
    <w:qFormat/>
    <w:uiPriority w:val="0"/>
    <w:rPr>
      <w:rFonts w:ascii="黑体" w:hAnsi="宋体" w:eastAsia="黑体"/>
      <w:b/>
      <w:bCs/>
      <w:spacing w:val="5"/>
      <w:sz w:val="24"/>
      <w:szCs w:val="28"/>
      <w:lang w:val="en-US" w:eastAsia="zh-CN" w:bidi="ar-SA"/>
    </w:rPr>
  </w:style>
  <w:style w:type="paragraph" w:customStyle="1" w:styleId="94">
    <w:name w:val="表格内容"/>
    <w:basedOn w:val="1"/>
    <w:qFormat/>
    <w:uiPriority w:val="99"/>
    <w:pPr>
      <w:jc w:val="center"/>
    </w:pPr>
    <w:rPr>
      <w:kern w:val="2"/>
    </w:rPr>
  </w:style>
  <w:style w:type="table" w:customStyle="1" w:styleId="95">
    <w:name w:val="表格-武黄工可"/>
    <w:basedOn w:val="22"/>
    <w:qFormat/>
    <w:uiPriority w:val="99"/>
    <w:pPr>
      <w:jc w:val="center"/>
    </w:pPr>
    <w:rPr>
      <w:rFonts w:ascii="仿宋_GB2312" w:hAnsi="仿宋_GB2312" w:eastAsia="仿宋_GB2312"/>
    </w:rPr>
    <w:tblPr>
      <w:jc w:val="center"/>
      <w:tblBorders>
        <w:top w:val="single" w:color="auto" w:sz="12" w:space="0"/>
        <w:bottom w:val="single" w:color="auto" w:sz="12" w:space="0"/>
        <w:insideH w:val="single" w:color="auto" w:sz="4" w:space="0"/>
        <w:insideV w:val="single" w:color="auto" w:sz="4" w:space="0"/>
      </w:tblBorders>
    </w:tblPr>
    <w:trPr>
      <w:jc w:val="center"/>
    </w:trPr>
    <w:tcPr>
      <w:vAlign w:val="center"/>
    </w:tcPr>
  </w:style>
  <w:style w:type="paragraph" w:customStyle="1" w:styleId="96">
    <w:name w:val="首行缩进2字符"/>
    <w:basedOn w:val="1"/>
    <w:next w:val="1"/>
    <w:qFormat/>
    <w:uiPriority w:val="0"/>
    <w:pPr>
      <w:spacing w:line="360" w:lineRule="auto"/>
      <w:ind w:left="0" w:leftChars="0" w:right="0" w:rightChars="0" w:firstLine="480" w:firstLineChars="200"/>
    </w:pPr>
    <w:rPr>
      <w:rFonts w:ascii="宋体" w:hAnsi="宋体" w:eastAsia="宋体" w:cs="Times New Roman"/>
      <w:sz w:val="24"/>
    </w:rPr>
  </w:style>
  <w:style w:type="paragraph" w:customStyle="1" w:styleId="97">
    <w:name w:val="TOC 标题1"/>
    <w:next w:val="1"/>
    <w:qFormat/>
    <w:uiPriority w:val="39"/>
    <w:pPr>
      <w:keepNext/>
      <w:keepLines/>
      <w:widowControl/>
      <w:spacing w:before="480" w:after="0" w:line="276" w:lineRule="auto"/>
      <w:jc w:val="left"/>
      <w:outlineLvl w:val="9"/>
    </w:pPr>
    <w:rPr>
      <w:rFonts w:ascii="Cambria" w:hAnsi="Cambria" w:eastAsia="宋体" w:cs="Times New Roman"/>
      <w:b/>
      <w:bCs/>
      <w:color w:val="365F91"/>
      <w:kern w:val="0"/>
      <w:sz w:val="28"/>
      <w:szCs w:val="28"/>
      <w:lang w:val="en-US" w:eastAsia="zh-CN" w:bidi="ar-SA"/>
    </w:rPr>
  </w:style>
  <w:style w:type="paragraph" w:customStyle="1" w:styleId="98">
    <w:name w:val="报告书正文 Char Char Char2"/>
    <w:qFormat/>
    <w:uiPriority w:val="0"/>
    <w:pPr>
      <w:widowControl w:val="0"/>
      <w:spacing w:line="300" w:lineRule="auto"/>
      <w:ind w:firstLine="480" w:firstLineChars="200"/>
      <w:jc w:val="both"/>
    </w:pPr>
    <w:rPr>
      <w:rFonts w:ascii="Times New Roman" w:hAnsi="Times New Roman" w:eastAsia="宋体" w:cs="Times New Roman"/>
      <w:kern w:val="2"/>
      <w:sz w:val="24"/>
      <w:szCs w:val="24"/>
      <w:lang w:val="en-US" w:eastAsia="zh-CN" w:bidi="ar-SA"/>
    </w:rPr>
  </w:style>
  <w:style w:type="paragraph" w:customStyle="1" w:styleId="99">
    <w:name w:val="使用的正文"/>
    <w:qFormat/>
    <w:uiPriority w:val="0"/>
    <w:pPr>
      <w:spacing w:line="300" w:lineRule="auto"/>
      <w:ind w:firstLine="200" w:firstLineChars="200"/>
    </w:pPr>
    <w:rPr>
      <w:rFonts w:ascii="Times New Roman" w:hAnsi="Times New Roman" w:eastAsia="宋体" w:cs="Times New Roman"/>
      <w:sz w:val="24"/>
      <w:szCs w:val="24"/>
      <w:lang w:val="en-US" w:eastAsia="zh-CN" w:bidi="ar-SA"/>
    </w:rPr>
  </w:style>
  <w:style w:type="paragraph" w:customStyle="1" w:styleId="100">
    <w:name w:val="公式右对齐"/>
    <w:next w:val="1"/>
    <w:autoRedefine/>
    <w:qFormat/>
    <w:uiPriority w:val="0"/>
    <w:pPr>
      <w:widowControl w:val="0"/>
      <w:tabs>
        <w:tab w:val="center" w:pos="4410"/>
        <w:tab w:val="right" w:pos="8820"/>
      </w:tabs>
      <w:textAlignment w:val="center"/>
    </w:pPr>
    <w:rPr>
      <w:rFonts w:ascii="Times New Roman" w:hAnsi="Times New Roman" w:eastAsia="宋体" w:cs="Times New Roman"/>
      <w:kern w:val="2"/>
      <w:sz w:val="21"/>
      <w:szCs w:val="21"/>
      <w:lang w:val="en-US" w:eastAsia="zh-CN" w:bidi="ar-SA"/>
    </w:rPr>
  </w:style>
  <w:style w:type="paragraph" w:customStyle="1" w:styleId="101">
    <w:name w:val="报告书正文 Char Char Char1"/>
    <w:qFormat/>
    <w:uiPriority w:val="0"/>
    <w:pPr>
      <w:widowControl w:val="0"/>
      <w:spacing w:line="300" w:lineRule="auto"/>
      <w:ind w:firstLine="480" w:firstLineChars="200"/>
      <w:jc w:val="both"/>
    </w:pPr>
    <w:rPr>
      <w:rFonts w:ascii="Times New Roman" w:hAnsi="Times New Roman" w:eastAsia="宋体" w:cs="Times New Roman"/>
      <w:kern w:val="2"/>
      <w:sz w:val="24"/>
      <w:szCs w:val="24"/>
      <w:lang w:val="en-US" w:eastAsia="zh-CN" w:bidi="ar-SA"/>
    </w:rPr>
  </w:style>
</w:styles>
</file>

<file path=word/_rels/document.xml.rels><?xml version="1.0" encoding="UTF-8" standalone="yes"?>
<Relationships xmlns="http://schemas.openxmlformats.org/package/2006/relationships"><Relationship Id="rId99" Type="http://schemas.openxmlformats.org/officeDocument/2006/relationships/header" Target="header35.xml"/><Relationship Id="rId98" Type="http://schemas.openxmlformats.org/officeDocument/2006/relationships/footer" Target="footer62.xml"/><Relationship Id="rId97" Type="http://schemas.openxmlformats.org/officeDocument/2006/relationships/header" Target="header34.xml"/><Relationship Id="rId96" Type="http://schemas.openxmlformats.org/officeDocument/2006/relationships/footer" Target="footer61.xml"/><Relationship Id="rId95" Type="http://schemas.openxmlformats.org/officeDocument/2006/relationships/footer" Target="footer60.xml"/><Relationship Id="rId94" Type="http://schemas.openxmlformats.org/officeDocument/2006/relationships/footer" Target="footer59.xml"/><Relationship Id="rId93" Type="http://schemas.openxmlformats.org/officeDocument/2006/relationships/footer" Target="footer58.xml"/><Relationship Id="rId92" Type="http://schemas.openxmlformats.org/officeDocument/2006/relationships/header" Target="header33.xml"/><Relationship Id="rId91" Type="http://schemas.openxmlformats.org/officeDocument/2006/relationships/header" Target="header32.xml"/><Relationship Id="rId90" Type="http://schemas.openxmlformats.org/officeDocument/2006/relationships/footer" Target="footer57.xml"/><Relationship Id="rId9" Type="http://schemas.openxmlformats.org/officeDocument/2006/relationships/header" Target="header4.xml"/><Relationship Id="rId89" Type="http://schemas.openxmlformats.org/officeDocument/2006/relationships/footer" Target="footer56.xml"/><Relationship Id="rId88" Type="http://schemas.openxmlformats.org/officeDocument/2006/relationships/header" Target="header31.xml"/><Relationship Id="rId87" Type="http://schemas.openxmlformats.org/officeDocument/2006/relationships/header" Target="header30.xml"/><Relationship Id="rId86" Type="http://schemas.openxmlformats.org/officeDocument/2006/relationships/footer" Target="footer55.xml"/><Relationship Id="rId85" Type="http://schemas.openxmlformats.org/officeDocument/2006/relationships/footer" Target="footer54.xml"/><Relationship Id="rId84" Type="http://schemas.openxmlformats.org/officeDocument/2006/relationships/header" Target="header29.xml"/><Relationship Id="rId83" Type="http://schemas.openxmlformats.org/officeDocument/2006/relationships/header" Target="header28.xml"/><Relationship Id="rId82" Type="http://schemas.openxmlformats.org/officeDocument/2006/relationships/footer" Target="footer53.xml"/><Relationship Id="rId81" Type="http://schemas.openxmlformats.org/officeDocument/2006/relationships/footer" Target="footer52.xml"/><Relationship Id="rId80" Type="http://schemas.openxmlformats.org/officeDocument/2006/relationships/footer" Target="footer51.xml"/><Relationship Id="rId8" Type="http://schemas.openxmlformats.org/officeDocument/2006/relationships/header" Target="header3.xml"/><Relationship Id="rId79" Type="http://schemas.openxmlformats.org/officeDocument/2006/relationships/footer" Target="footer50.xml"/><Relationship Id="rId78" Type="http://schemas.openxmlformats.org/officeDocument/2006/relationships/header" Target="header27.xml"/><Relationship Id="rId77" Type="http://schemas.openxmlformats.org/officeDocument/2006/relationships/footer" Target="footer49.xml"/><Relationship Id="rId76" Type="http://schemas.openxmlformats.org/officeDocument/2006/relationships/footer" Target="footer48.xml"/><Relationship Id="rId75" Type="http://schemas.openxmlformats.org/officeDocument/2006/relationships/header" Target="header26.xml"/><Relationship Id="rId74" Type="http://schemas.openxmlformats.org/officeDocument/2006/relationships/footer" Target="footer47.xml"/><Relationship Id="rId73" Type="http://schemas.openxmlformats.org/officeDocument/2006/relationships/footer" Target="footer46.xml"/><Relationship Id="rId72" Type="http://schemas.openxmlformats.org/officeDocument/2006/relationships/header" Target="header25.xml"/><Relationship Id="rId71" Type="http://schemas.openxmlformats.org/officeDocument/2006/relationships/footer" Target="footer45.xml"/><Relationship Id="rId70" Type="http://schemas.openxmlformats.org/officeDocument/2006/relationships/footer" Target="footer44.xml"/><Relationship Id="rId7" Type="http://schemas.openxmlformats.org/officeDocument/2006/relationships/footer" Target="footer3.xml"/><Relationship Id="rId69" Type="http://schemas.openxmlformats.org/officeDocument/2006/relationships/header" Target="header24.xml"/><Relationship Id="rId68" Type="http://schemas.openxmlformats.org/officeDocument/2006/relationships/footer" Target="footer43.xml"/><Relationship Id="rId67" Type="http://schemas.openxmlformats.org/officeDocument/2006/relationships/footer" Target="footer42.xml"/><Relationship Id="rId66" Type="http://schemas.openxmlformats.org/officeDocument/2006/relationships/footer" Target="footer41.xml"/><Relationship Id="rId65" Type="http://schemas.openxmlformats.org/officeDocument/2006/relationships/footer" Target="footer40.xml"/><Relationship Id="rId64" Type="http://schemas.openxmlformats.org/officeDocument/2006/relationships/footer" Target="footer39.xml"/><Relationship Id="rId63" Type="http://schemas.openxmlformats.org/officeDocument/2006/relationships/footer" Target="footer38.xml"/><Relationship Id="rId62" Type="http://schemas.openxmlformats.org/officeDocument/2006/relationships/footer" Target="footer37.xml"/><Relationship Id="rId61" Type="http://schemas.openxmlformats.org/officeDocument/2006/relationships/footer" Target="footer36.xml"/><Relationship Id="rId60" Type="http://schemas.openxmlformats.org/officeDocument/2006/relationships/footer" Target="footer35.xml"/><Relationship Id="rId6" Type="http://schemas.openxmlformats.org/officeDocument/2006/relationships/header" Target="header2.xml"/><Relationship Id="rId59" Type="http://schemas.openxmlformats.org/officeDocument/2006/relationships/header" Target="header23.xml"/><Relationship Id="rId58" Type="http://schemas.openxmlformats.org/officeDocument/2006/relationships/footer" Target="footer34.xml"/><Relationship Id="rId57" Type="http://schemas.openxmlformats.org/officeDocument/2006/relationships/footer" Target="footer33.xml"/><Relationship Id="rId56" Type="http://schemas.openxmlformats.org/officeDocument/2006/relationships/footer" Target="footer32.xml"/><Relationship Id="rId55" Type="http://schemas.openxmlformats.org/officeDocument/2006/relationships/header" Target="header22.xml"/><Relationship Id="rId54" Type="http://schemas.openxmlformats.org/officeDocument/2006/relationships/footer" Target="footer31.xml"/><Relationship Id="rId53" Type="http://schemas.openxmlformats.org/officeDocument/2006/relationships/footer" Target="footer30.xml"/><Relationship Id="rId52" Type="http://schemas.openxmlformats.org/officeDocument/2006/relationships/footer" Target="footer29.xml"/><Relationship Id="rId51" Type="http://schemas.openxmlformats.org/officeDocument/2006/relationships/footer" Target="footer28.xml"/><Relationship Id="rId50" Type="http://schemas.openxmlformats.org/officeDocument/2006/relationships/footer" Target="footer27.xml"/><Relationship Id="rId5" Type="http://schemas.openxmlformats.org/officeDocument/2006/relationships/footer" Target="footer2.xml"/><Relationship Id="rId49" Type="http://schemas.openxmlformats.org/officeDocument/2006/relationships/footer" Target="footer26.xml"/><Relationship Id="rId48" Type="http://schemas.openxmlformats.org/officeDocument/2006/relationships/footer" Target="footer25.xml"/><Relationship Id="rId47" Type="http://schemas.openxmlformats.org/officeDocument/2006/relationships/footer" Target="footer24.xml"/><Relationship Id="rId46" Type="http://schemas.openxmlformats.org/officeDocument/2006/relationships/footer" Target="footer23.xml"/><Relationship Id="rId45" Type="http://schemas.openxmlformats.org/officeDocument/2006/relationships/footer" Target="footer22.xml"/><Relationship Id="rId44" Type="http://schemas.openxmlformats.org/officeDocument/2006/relationships/footer" Target="footer21.xml"/><Relationship Id="rId43" Type="http://schemas.openxmlformats.org/officeDocument/2006/relationships/footer" Target="footer20.xml"/><Relationship Id="rId42" Type="http://schemas.openxmlformats.org/officeDocument/2006/relationships/footer" Target="footer19.xml"/><Relationship Id="rId41" Type="http://schemas.openxmlformats.org/officeDocument/2006/relationships/footer" Target="footer18.xml"/><Relationship Id="rId40" Type="http://schemas.openxmlformats.org/officeDocument/2006/relationships/footer" Target="footer17.xml"/><Relationship Id="rId4" Type="http://schemas.openxmlformats.org/officeDocument/2006/relationships/footer" Target="footer1.xml"/><Relationship Id="rId39" Type="http://schemas.openxmlformats.org/officeDocument/2006/relationships/footer" Target="footer16.xml"/><Relationship Id="rId38" Type="http://schemas.openxmlformats.org/officeDocument/2006/relationships/header" Target="header21.xml"/><Relationship Id="rId37" Type="http://schemas.openxmlformats.org/officeDocument/2006/relationships/header" Target="header20.xml"/><Relationship Id="rId36" Type="http://schemas.openxmlformats.org/officeDocument/2006/relationships/header" Target="header19.xml"/><Relationship Id="rId35" Type="http://schemas.openxmlformats.org/officeDocument/2006/relationships/footer" Target="footer15.xml"/><Relationship Id="rId34" Type="http://schemas.openxmlformats.org/officeDocument/2006/relationships/footer" Target="footer14.xml"/><Relationship Id="rId33" Type="http://schemas.openxmlformats.org/officeDocument/2006/relationships/header" Target="header18.xml"/><Relationship Id="rId32" Type="http://schemas.openxmlformats.org/officeDocument/2006/relationships/header" Target="header17.xml"/><Relationship Id="rId31" Type="http://schemas.openxmlformats.org/officeDocument/2006/relationships/footer" Target="footer13.xml"/><Relationship Id="rId30" Type="http://schemas.openxmlformats.org/officeDocument/2006/relationships/footer" Target="footer12.xml"/><Relationship Id="rId3" Type="http://schemas.openxmlformats.org/officeDocument/2006/relationships/header" Target="header1.xml"/><Relationship Id="rId29" Type="http://schemas.openxmlformats.org/officeDocument/2006/relationships/header" Target="header16.xml"/><Relationship Id="rId28" Type="http://schemas.openxmlformats.org/officeDocument/2006/relationships/header" Target="header15.xml"/><Relationship Id="rId278" Type="http://schemas.openxmlformats.org/officeDocument/2006/relationships/fontTable" Target="fontTable.xml"/><Relationship Id="rId277" Type="http://schemas.openxmlformats.org/officeDocument/2006/relationships/customXml" Target="../customXml/item3.xml"/><Relationship Id="rId276" Type="http://schemas.openxmlformats.org/officeDocument/2006/relationships/customXml" Target="../customXml/item2.xml"/><Relationship Id="rId275" Type="http://schemas.openxmlformats.org/officeDocument/2006/relationships/numbering" Target="numbering.xml"/><Relationship Id="rId274" Type="http://schemas.openxmlformats.org/officeDocument/2006/relationships/customXml" Target="../customXml/item1.xml"/><Relationship Id="rId273" Type="http://schemas.openxmlformats.org/officeDocument/2006/relationships/image" Target="media/image86.png"/><Relationship Id="rId272" Type="http://schemas.openxmlformats.org/officeDocument/2006/relationships/image" Target="media/image85.png"/><Relationship Id="rId271" Type="http://schemas.openxmlformats.org/officeDocument/2006/relationships/image" Target="media/image84.png"/><Relationship Id="rId270" Type="http://schemas.openxmlformats.org/officeDocument/2006/relationships/image" Target="media/image83.png"/><Relationship Id="rId27" Type="http://schemas.openxmlformats.org/officeDocument/2006/relationships/footer" Target="footer11.xml"/><Relationship Id="rId269" Type="http://schemas.openxmlformats.org/officeDocument/2006/relationships/image" Target="media/image82.png"/><Relationship Id="rId268" Type="http://schemas.openxmlformats.org/officeDocument/2006/relationships/image" Target="media/image81.png"/><Relationship Id="rId267" Type="http://schemas.openxmlformats.org/officeDocument/2006/relationships/image" Target="media/image80.png"/><Relationship Id="rId266" Type="http://schemas.openxmlformats.org/officeDocument/2006/relationships/image" Target="media/image79.png"/><Relationship Id="rId265" Type="http://schemas.openxmlformats.org/officeDocument/2006/relationships/image" Target="media/image78.png"/><Relationship Id="rId264" Type="http://schemas.openxmlformats.org/officeDocument/2006/relationships/image" Target="media/image77.png"/><Relationship Id="rId263" Type="http://schemas.openxmlformats.org/officeDocument/2006/relationships/image" Target="media/image76.wmf"/><Relationship Id="rId262" Type="http://schemas.openxmlformats.org/officeDocument/2006/relationships/oleObject" Target="embeddings/oleObject43.bin"/><Relationship Id="rId261" Type="http://schemas.openxmlformats.org/officeDocument/2006/relationships/oleObject" Target="embeddings/oleObject42.bin"/><Relationship Id="rId260" Type="http://schemas.openxmlformats.org/officeDocument/2006/relationships/image" Target="media/image75.png"/><Relationship Id="rId26" Type="http://schemas.openxmlformats.org/officeDocument/2006/relationships/footer" Target="footer10.xml"/><Relationship Id="rId259" Type="http://schemas.openxmlformats.org/officeDocument/2006/relationships/image" Target="media/image74.wmf"/><Relationship Id="rId258" Type="http://schemas.openxmlformats.org/officeDocument/2006/relationships/oleObject" Target="embeddings/oleObject41.bin"/><Relationship Id="rId257" Type="http://schemas.openxmlformats.org/officeDocument/2006/relationships/image" Target="media/image73.wmf"/><Relationship Id="rId256" Type="http://schemas.openxmlformats.org/officeDocument/2006/relationships/oleObject" Target="embeddings/oleObject40.bin"/><Relationship Id="rId255" Type="http://schemas.openxmlformats.org/officeDocument/2006/relationships/oleObject" Target="embeddings/oleObject39.bin"/><Relationship Id="rId254" Type="http://schemas.openxmlformats.org/officeDocument/2006/relationships/image" Target="media/image72.wmf"/><Relationship Id="rId253" Type="http://schemas.openxmlformats.org/officeDocument/2006/relationships/oleObject" Target="embeddings/oleObject38.bin"/><Relationship Id="rId252" Type="http://schemas.openxmlformats.org/officeDocument/2006/relationships/image" Target="media/image71.png"/><Relationship Id="rId251" Type="http://schemas.openxmlformats.org/officeDocument/2006/relationships/image" Target="media/image70.wmf"/><Relationship Id="rId250" Type="http://schemas.openxmlformats.org/officeDocument/2006/relationships/oleObject" Target="embeddings/oleObject37.bin"/><Relationship Id="rId25" Type="http://schemas.openxmlformats.org/officeDocument/2006/relationships/header" Target="header14.xml"/><Relationship Id="rId249" Type="http://schemas.openxmlformats.org/officeDocument/2006/relationships/image" Target="media/image69.wmf"/><Relationship Id="rId248" Type="http://schemas.openxmlformats.org/officeDocument/2006/relationships/oleObject" Target="embeddings/oleObject36.bin"/><Relationship Id="rId247" Type="http://schemas.openxmlformats.org/officeDocument/2006/relationships/image" Target="media/image68.wmf"/><Relationship Id="rId246" Type="http://schemas.openxmlformats.org/officeDocument/2006/relationships/oleObject" Target="embeddings/oleObject35.bin"/><Relationship Id="rId245" Type="http://schemas.openxmlformats.org/officeDocument/2006/relationships/image" Target="media/image67.wmf"/><Relationship Id="rId244" Type="http://schemas.openxmlformats.org/officeDocument/2006/relationships/oleObject" Target="embeddings/oleObject34.bin"/><Relationship Id="rId243" Type="http://schemas.openxmlformats.org/officeDocument/2006/relationships/image" Target="media/image66.wmf"/><Relationship Id="rId242" Type="http://schemas.openxmlformats.org/officeDocument/2006/relationships/oleObject" Target="embeddings/oleObject33.bin"/><Relationship Id="rId241" Type="http://schemas.openxmlformats.org/officeDocument/2006/relationships/image" Target="media/image65.wmf"/><Relationship Id="rId240" Type="http://schemas.openxmlformats.org/officeDocument/2006/relationships/oleObject" Target="embeddings/oleObject32.bin"/><Relationship Id="rId24" Type="http://schemas.openxmlformats.org/officeDocument/2006/relationships/header" Target="header13.xml"/><Relationship Id="rId239" Type="http://schemas.openxmlformats.org/officeDocument/2006/relationships/image" Target="media/image64.wmf"/><Relationship Id="rId238" Type="http://schemas.openxmlformats.org/officeDocument/2006/relationships/oleObject" Target="embeddings/oleObject31.bin"/><Relationship Id="rId237" Type="http://schemas.openxmlformats.org/officeDocument/2006/relationships/image" Target="media/image63.png"/><Relationship Id="rId236" Type="http://schemas.openxmlformats.org/officeDocument/2006/relationships/image" Target="media/image62.wmf"/><Relationship Id="rId235" Type="http://schemas.openxmlformats.org/officeDocument/2006/relationships/oleObject" Target="embeddings/oleObject30.bin"/><Relationship Id="rId234" Type="http://schemas.openxmlformats.org/officeDocument/2006/relationships/image" Target="media/image61.wmf"/><Relationship Id="rId233" Type="http://schemas.openxmlformats.org/officeDocument/2006/relationships/oleObject" Target="embeddings/oleObject29.bin"/><Relationship Id="rId232" Type="http://schemas.openxmlformats.org/officeDocument/2006/relationships/image" Target="media/image60.wmf"/><Relationship Id="rId231" Type="http://schemas.openxmlformats.org/officeDocument/2006/relationships/oleObject" Target="embeddings/oleObject28.bin"/><Relationship Id="rId230" Type="http://schemas.openxmlformats.org/officeDocument/2006/relationships/image" Target="media/image59.wmf"/><Relationship Id="rId23" Type="http://schemas.openxmlformats.org/officeDocument/2006/relationships/footer" Target="footer9.xml"/><Relationship Id="rId229" Type="http://schemas.openxmlformats.org/officeDocument/2006/relationships/oleObject" Target="embeddings/oleObject27.bin"/><Relationship Id="rId228" Type="http://schemas.openxmlformats.org/officeDocument/2006/relationships/chart" Target="charts/chart1.xml"/><Relationship Id="rId227" Type="http://schemas.openxmlformats.org/officeDocument/2006/relationships/image" Target="media/image58.wmf"/><Relationship Id="rId226" Type="http://schemas.openxmlformats.org/officeDocument/2006/relationships/oleObject" Target="embeddings/oleObject26.bin"/><Relationship Id="rId225" Type="http://schemas.openxmlformats.org/officeDocument/2006/relationships/image" Target="media/image57.wmf"/><Relationship Id="rId224" Type="http://schemas.openxmlformats.org/officeDocument/2006/relationships/oleObject" Target="embeddings/oleObject25.bin"/><Relationship Id="rId223" Type="http://schemas.openxmlformats.org/officeDocument/2006/relationships/image" Target="media/image56.wmf"/><Relationship Id="rId222" Type="http://schemas.openxmlformats.org/officeDocument/2006/relationships/oleObject" Target="embeddings/oleObject24.bin"/><Relationship Id="rId221" Type="http://schemas.openxmlformats.org/officeDocument/2006/relationships/oleObject" Target="embeddings/oleObject23.bin"/><Relationship Id="rId220" Type="http://schemas.openxmlformats.org/officeDocument/2006/relationships/oleObject" Target="embeddings/oleObject22.bin"/><Relationship Id="rId22" Type="http://schemas.openxmlformats.org/officeDocument/2006/relationships/footer" Target="footer8.xml"/><Relationship Id="rId219" Type="http://schemas.openxmlformats.org/officeDocument/2006/relationships/oleObject" Target="embeddings/oleObject21.bin"/><Relationship Id="rId218" Type="http://schemas.openxmlformats.org/officeDocument/2006/relationships/image" Target="media/image55.wmf"/><Relationship Id="rId217" Type="http://schemas.openxmlformats.org/officeDocument/2006/relationships/oleObject" Target="embeddings/oleObject20.bin"/><Relationship Id="rId216" Type="http://schemas.openxmlformats.org/officeDocument/2006/relationships/image" Target="media/image54.wmf"/><Relationship Id="rId215" Type="http://schemas.openxmlformats.org/officeDocument/2006/relationships/oleObject" Target="embeddings/oleObject19.bin"/><Relationship Id="rId214" Type="http://schemas.openxmlformats.org/officeDocument/2006/relationships/oleObject" Target="embeddings/oleObject18.bin"/><Relationship Id="rId213" Type="http://schemas.openxmlformats.org/officeDocument/2006/relationships/oleObject" Target="embeddings/oleObject17.bin"/><Relationship Id="rId212" Type="http://schemas.openxmlformats.org/officeDocument/2006/relationships/image" Target="media/image53.wmf"/><Relationship Id="rId211" Type="http://schemas.openxmlformats.org/officeDocument/2006/relationships/oleObject" Target="embeddings/oleObject16.bin"/><Relationship Id="rId210" Type="http://schemas.openxmlformats.org/officeDocument/2006/relationships/oleObject" Target="embeddings/oleObject15.bin"/><Relationship Id="rId21" Type="http://schemas.openxmlformats.org/officeDocument/2006/relationships/header" Target="header12.xml"/><Relationship Id="rId209" Type="http://schemas.openxmlformats.org/officeDocument/2006/relationships/oleObject" Target="embeddings/oleObject14.bin"/><Relationship Id="rId208" Type="http://schemas.openxmlformats.org/officeDocument/2006/relationships/image" Target="media/image52.wmf"/><Relationship Id="rId207" Type="http://schemas.openxmlformats.org/officeDocument/2006/relationships/oleObject" Target="embeddings/oleObject13.bin"/><Relationship Id="rId206" Type="http://schemas.openxmlformats.org/officeDocument/2006/relationships/oleObject" Target="embeddings/oleObject12.bin"/><Relationship Id="rId205" Type="http://schemas.openxmlformats.org/officeDocument/2006/relationships/oleObject" Target="embeddings/oleObject11.bin"/><Relationship Id="rId204" Type="http://schemas.openxmlformats.org/officeDocument/2006/relationships/image" Target="media/image51.wmf"/><Relationship Id="rId203" Type="http://schemas.openxmlformats.org/officeDocument/2006/relationships/oleObject" Target="embeddings/oleObject10.bin"/><Relationship Id="rId202" Type="http://schemas.openxmlformats.org/officeDocument/2006/relationships/oleObject" Target="embeddings/oleObject9.bin"/><Relationship Id="rId201" Type="http://schemas.openxmlformats.org/officeDocument/2006/relationships/image" Target="media/image50.wmf"/><Relationship Id="rId200" Type="http://schemas.openxmlformats.org/officeDocument/2006/relationships/oleObject" Target="embeddings/oleObject8.bin"/><Relationship Id="rId20" Type="http://schemas.openxmlformats.org/officeDocument/2006/relationships/header" Target="header11.xml"/><Relationship Id="rId2" Type="http://schemas.openxmlformats.org/officeDocument/2006/relationships/settings" Target="settings.xml"/><Relationship Id="rId199" Type="http://schemas.openxmlformats.org/officeDocument/2006/relationships/image" Target="media/image49.wmf"/><Relationship Id="rId198" Type="http://schemas.openxmlformats.org/officeDocument/2006/relationships/oleObject" Target="embeddings/oleObject7.bin"/><Relationship Id="rId197" Type="http://schemas.openxmlformats.org/officeDocument/2006/relationships/image" Target="media/image48.wmf"/><Relationship Id="rId196" Type="http://schemas.openxmlformats.org/officeDocument/2006/relationships/oleObject" Target="embeddings/oleObject6.bin"/><Relationship Id="rId195" Type="http://schemas.openxmlformats.org/officeDocument/2006/relationships/image" Target="media/image47.wmf"/><Relationship Id="rId194" Type="http://schemas.openxmlformats.org/officeDocument/2006/relationships/oleObject" Target="embeddings/oleObject5.bin"/><Relationship Id="rId193" Type="http://schemas.openxmlformats.org/officeDocument/2006/relationships/image" Target="media/image46.wmf"/><Relationship Id="rId192" Type="http://schemas.openxmlformats.org/officeDocument/2006/relationships/oleObject" Target="embeddings/oleObject4.bin"/><Relationship Id="rId191" Type="http://schemas.openxmlformats.org/officeDocument/2006/relationships/image" Target="media/image45.wmf"/><Relationship Id="rId190" Type="http://schemas.openxmlformats.org/officeDocument/2006/relationships/oleObject" Target="embeddings/oleObject3.bin"/><Relationship Id="rId19" Type="http://schemas.openxmlformats.org/officeDocument/2006/relationships/footer" Target="footer7.xml"/><Relationship Id="rId189" Type="http://schemas.openxmlformats.org/officeDocument/2006/relationships/image" Target="media/image44.wmf"/><Relationship Id="rId188" Type="http://schemas.openxmlformats.org/officeDocument/2006/relationships/oleObject" Target="embeddings/oleObject2.bin"/><Relationship Id="rId187" Type="http://schemas.openxmlformats.org/officeDocument/2006/relationships/image" Target="media/image43.wmf"/><Relationship Id="rId186" Type="http://schemas.openxmlformats.org/officeDocument/2006/relationships/oleObject" Target="embeddings/oleObject1.bin"/><Relationship Id="rId185" Type="http://schemas.openxmlformats.org/officeDocument/2006/relationships/image" Target="media/image42.png"/><Relationship Id="rId184" Type="http://schemas.openxmlformats.org/officeDocument/2006/relationships/image" Target="media/image41.jpeg"/><Relationship Id="rId183" Type="http://schemas.openxmlformats.org/officeDocument/2006/relationships/image" Target="media/image40.jpeg"/><Relationship Id="rId182" Type="http://schemas.openxmlformats.org/officeDocument/2006/relationships/image" Target="media/image39.jpeg"/><Relationship Id="rId181" Type="http://schemas.openxmlformats.org/officeDocument/2006/relationships/image" Target="media/image38.jpeg"/><Relationship Id="rId180" Type="http://schemas.openxmlformats.org/officeDocument/2006/relationships/image" Target="media/image37.jpeg"/><Relationship Id="rId18" Type="http://schemas.openxmlformats.org/officeDocument/2006/relationships/footer" Target="footer6.xml"/><Relationship Id="rId179" Type="http://schemas.openxmlformats.org/officeDocument/2006/relationships/image" Target="media/image36.jpeg"/><Relationship Id="rId178" Type="http://schemas.openxmlformats.org/officeDocument/2006/relationships/image" Target="media/image35.jpeg"/><Relationship Id="rId177" Type="http://schemas.openxmlformats.org/officeDocument/2006/relationships/image" Target="media/image34.jpeg"/><Relationship Id="rId176" Type="http://schemas.openxmlformats.org/officeDocument/2006/relationships/image" Target="media/image33.jpeg"/><Relationship Id="rId175" Type="http://schemas.openxmlformats.org/officeDocument/2006/relationships/image" Target="media/image32.jpeg"/><Relationship Id="rId174" Type="http://schemas.openxmlformats.org/officeDocument/2006/relationships/image" Target="media/image31.jpeg"/><Relationship Id="rId173" Type="http://schemas.openxmlformats.org/officeDocument/2006/relationships/image" Target="media/image30.jpeg"/><Relationship Id="rId172" Type="http://schemas.openxmlformats.org/officeDocument/2006/relationships/image" Target="media/image29.jpeg"/><Relationship Id="rId171" Type="http://schemas.openxmlformats.org/officeDocument/2006/relationships/image" Target="media/image28.jpeg"/><Relationship Id="rId170" Type="http://schemas.openxmlformats.org/officeDocument/2006/relationships/image" Target="media/image27.jpeg"/><Relationship Id="rId17" Type="http://schemas.openxmlformats.org/officeDocument/2006/relationships/header" Target="header10.xml"/><Relationship Id="rId169" Type="http://schemas.openxmlformats.org/officeDocument/2006/relationships/image" Target="media/image26.jpeg"/><Relationship Id="rId168" Type="http://schemas.openxmlformats.org/officeDocument/2006/relationships/image" Target="media/image25.jpeg"/><Relationship Id="rId167" Type="http://schemas.openxmlformats.org/officeDocument/2006/relationships/image" Target="media/image24.jpeg"/><Relationship Id="rId166" Type="http://schemas.openxmlformats.org/officeDocument/2006/relationships/image" Target="media/image23.jpeg"/><Relationship Id="rId165" Type="http://schemas.openxmlformats.org/officeDocument/2006/relationships/image" Target="media/image22.jpeg"/><Relationship Id="rId164" Type="http://schemas.openxmlformats.org/officeDocument/2006/relationships/image" Target="media/image21.jpeg"/><Relationship Id="rId163" Type="http://schemas.openxmlformats.org/officeDocument/2006/relationships/image" Target="media/image20.jpeg"/><Relationship Id="rId162" Type="http://schemas.openxmlformats.org/officeDocument/2006/relationships/image" Target="media/image19.jpeg"/><Relationship Id="rId161" Type="http://schemas.openxmlformats.org/officeDocument/2006/relationships/image" Target="media/image18.jpeg"/><Relationship Id="rId160" Type="http://schemas.openxmlformats.org/officeDocument/2006/relationships/image" Target="media/image17.jpeg"/><Relationship Id="rId16" Type="http://schemas.openxmlformats.org/officeDocument/2006/relationships/footer" Target="footer5.xml"/><Relationship Id="rId159" Type="http://schemas.openxmlformats.org/officeDocument/2006/relationships/image" Target="media/image16.jpeg"/><Relationship Id="rId158" Type="http://schemas.openxmlformats.org/officeDocument/2006/relationships/image" Target="media/image15.jpeg"/><Relationship Id="rId157" Type="http://schemas.openxmlformats.org/officeDocument/2006/relationships/image" Target="media/image14.jpeg"/><Relationship Id="rId156" Type="http://schemas.openxmlformats.org/officeDocument/2006/relationships/image" Target="media/image13.jpeg"/><Relationship Id="rId155" Type="http://schemas.openxmlformats.org/officeDocument/2006/relationships/image" Target="media/image12.jpeg"/><Relationship Id="rId154" Type="http://schemas.openxmlformats.org/officeDocument/2006/relationships/image" Target="media/image11.png"/><Relationship Id="rId153" Type="http://schemas.openxmlformats.org/officeDocument/2006/relationships/image" Target="media/image10.png"/><Relationship Id="rId152" Type="http://schemas.openxmlformats.org/officeDocument/2006/relationships/image" Target="media/image9.png"/><Relationship Id="rId151" Type="http://schemas.openxmlformats.org/officeDocument/2006/relationships/image" Target="media/image8.png"/><Relationship Id="rId150" Type="http://schemas.openxmlformats.org/officeDocument/2006/relationships/image" Target="media/image7.png"/><Relationship Id="rId15" Type="http://schemas.openxmlformats.org/officeDocument/2006/relationships/footer" Target="footer4.xml"/><Relationship Id="rId149" Type="http://schemas.openxmlformats.org/officeDocument/2006/relationships/image" Target="media/image6.png"/><Relationship Id="rId148" Type="http://schemas.openxmlformats.org/officeDocument/2006/relationships/image" Target="media/image5.png"/><Relationship Id="rId147" Type="http://schemas.openxmlformats.org/officeDocument/2006/relationships/image" Target="media/image4.png"/><Relationship Id="rId146" Type="http://schemas.openxmlformats.org/officeDocument/2006/relationships/image" Target="media/image3.png"/><Relationship Id="rId145" Type="http://schemas.openxmlformats.org/officeDocument/2006/relationships/image" Target="media/image2.png"/><Relationship Id="rId144" Type="http://schemas.openxmlformats.org/officeDocument/2006/relationships/image" Target="media/image1.png"/><Relationship Id="rId143" Type="http://schemas.openxmlformats.org/officeDocument/2006/relationships/theme" Target="theme/theme1.xml"/><Relationship Id="rId142" Type="http://schemas.openxmlformats.org/officeDocument/2006/relationships/footer" Target="footer88.xml"/><Relationship Id="rId141" Type="http://schemas.openxmlformats.org/officeDocument/2006/relationships/header" Target="header52.xml"/><Relationship Id="rId140" Type="http://schemas.openxmlformats.org/officeDocument/2006/relationships/header" Target="header51.xml"/><Relationship Id="rId14" Type="http://schemas.openxmlformats.org/officeDocument/2006/relationships/header" Target="header9.xml"/><Relationship Id="rId139" Type="http://schemas.openxmlformats.org/officeDocument/2006/relationships/header" Target="header50.xml"/><Relationship Id="rId138" Type="http://schemas.openxmlformats.org/officeDocument/2006/relationships/header" Target="header49.xml"/><Relationship Id="rId137" Type="http://schemas.openxmlformats.org/officeDocument/2006/relationships/footer" Target="footer87.xml"/><Relationship Id="rId136" Type="http://schemas.openxmlformats.org/officeDocument/2006/relationships/footer" Target="footer86.xml"/><Relationship Id="rId135" Type="http://schemas.openxmlformats.org/officeDocument/2006/relationships/header" Target="header48.xml"/><Relationship Id="rId134" Type="http://schemas.openxmlformats.org/officeDocument/2006/relationships/header" Target="header47.xml"/><Relationship Id="rId133" Type="http://schemas.openxmlformats.org/officeDocument/2006/relationships/footer" Target="footer85.xml"/><Relationship Id="rId132" Type="http://schemas.openxmlformats.org/officeDocument/2006/relationships/footer" Target="footer84.xml"/><Relationship Id="rId131" Type="http://schemas.openxmlformats.org/officeDocument/2006/relationships/header" Target="header46.xml"/><Relationship Id="rId130" Type="http://schemas.openxmlformats.org/officeDocument/2006/relationships/footer" Target="footer83.xml"/><Relationship Id="rId13" Type="http://schemas.openxmlformats.org/officeDocument/2006/relationships/header" Target="header8.xml"/><Relationship Id="rId129" Type="http://schemas.openxmlformats.org/officeDocument/2006/relationships/footer" Target="footer82.xml"/><Relationship Id="rId128" Type="http://schemas.openxmlformats.org/officeDocument/2006/relationships/header" Target="header45.xml"/><Relationship Id="rId127" Type="http://schemas.openxmlformats.org/officeDocument/2006/relationships/footer" Target="footer81.xml"/><Relationship Id="rId126" Type="http://schemas.openxmlformats.org/officeDocument/2006/relationships/footer" Target="footer80.xml"/><Relationship Id="rId125" Type="http://schemas.openxmlformats.org/officeDocument/2006/relationships/footer" Target="footer79.xml"/><Relationship Id="rId124" Type="http://schemas.openxmlformats.org/officeDocument/2006/relationships/footer" Target="footer78.xml"/><Relationship Id="rId123" Type="http://schemas.openxmlformats.org/officeDocument/2006/relationships/footer" Target="footer77.xml"/><Relationship Id="rId122" Type="http://schemas.openxmlformats.org/officeDocument/2006/relationships/header" Target="header44.xml"/><Relationship Id="rId121" Type="http://schemas.openxmlformats.org/officeDocument/2006/relationships/header" Target="header43.xml"/><Relationship Id="rId120" Type="http://schemas.openxmlformats.org/officeDocument/2006/relationships/header" Target="header42.xml"/><Relationship Id="rId12" Type="http://schemas.openxmlformats.org/officeDocument/2006/relationships/header" Target="header7.xml"/><Relationship Id="rId119" Type="http://schemas.openxmlformats.org/officeDocument/2006/relationships/footer" Target="footer76.xml"/><Relationship Id="rId118" Type="http://schemas.openxmlformats.org/officeDocument/2006/relationships/footer" Target="footer75.xml"/><Relationship Id="rId117" Type="http://schemas.openxmlformats.org/officeDocument/2006/relationships/header" Target="header41.xml"/><Relationship Id="rId116" Type="http://schemas.openxmlformats.org/officeDocument/2006/relationships/footer" Target="footer74.xml"/><Relationship Id="rId115" Type="http://schemas.openxmlformats.org/officeDocument/2006/relationships/footer" Target="footer73.xml"/><Relationship Id="rId114" Type="http://schemas.openxmlformats.org/officeDocument/2006/relationships/header" Target="header40.xml"/><Relationship Id="rId113" Type="http://schemas.openxmlformats.org/officeDocument/2006/relationships/footer" Target="footer72.xml"/><Relationship Id="rId112" Type="http://schemas.openxmlformats.org/officeDocument/2006/relationships/footer" Target="footer71.xml"/><Relationship Id="rId111" Type="http://schemas.openxmlformats.org/officeDocument/2006/relationships/header" Target="header39.xml"/><Relationship Id="rId110" Type="http://schemas.openxmlformats.org/officeDocument/2006/relationships/footer" Target="footer70.xml"/><Relationship Id="rId11" Type="http://schemas.openxmlformats.org/officeDocument/2006/relationships/header" Target="header6.xml"/><Relationship Id="rId109" Type="http://schemas.openxmlformats.org/officeDocument/2006/relationships/footer" Target="footer69.xml"/><Relationship Id="rId108" Type="http://schemas.openxmlformats.org/officeDocument/2006/relationships/header" Target="header38.xml"/><Relationship Id="rId107" Type="http://schemas.openxmlformats.org/officeDocument/2006/relationships/footer" Target="footer68.xml"/><Relationship Id="rId106" Type="http://schemas.openxmlformats.org/officeDocument/2006/relationships/footer" Target="footer67.xml"/><Relationship Id="rId105" Type="http://schemas.openxmlformats.org/officeDocument/2006/relationships/header" Target="header37.xml"/><Relationship Id="rId104" Type="http://schemas.openxmlformats.org/officeDocument/2006/relationships/footer" Target="footer66.xml"/><Relationship Id="rId103" Type="http://schemas.openxmlformats.org/officeDocument/2006/relationships/footer" Target="footer65.xml"/><Relationship Id="rId102" Type="http://schemas.openxmlformats.org/officeDocument/2006/relationships/header" Target="header36.xml"/><Relationship Id="rId101" Type="http://schemas.openxmlformats.org/officeDocument/2006/relationships/footer" Target="footer64.xml"/><Relationship Id="rId100" Type="http://schemas.openxmlformats.org/officeDocument/2006/relationships/footer" Target="footer63.xml"/><Relationship Id="rId10" Type="http://schemas.openxmlformats.org/officeDocument/2006/relationships/header" Target="head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8" Type="http://schemas.openxmlformats.org/officeDocument/2006/relationships/font" Target="fonts/font18.odttf"/><Relationship Id="rId17" Type="http://schemas.openxmlformats.org/officeDocument/2006/relationships/font" Target="fonts/font17.odttf"/><Relationship Id="rId16" Type="http://schemas.openxmlformats.org/officeDocument/2006/relationships/font" Target="fonts/font16.odttf"/><Relationship Id="rId15" Type="http://schemas.openxmlformats.org/officeDocument/2006/relationships/font" Target="fonts/font15.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2" Type="http://schemas.openxmlformats.org/officeDocument/2006/relationships/themeOverride" Target="../theme/themeOverride1.xml"/><Relationship Id="rId1" Type="http://schemas.openxmlformats.org/officeDocument/2006/relationships/oleObject" Target="file:///E:\&#21672;&#35810;&#39033;&#30446;\&#29615;&#35780;\&#26032;&#30086;-G219&#32447;&#20843;&#30424;&#27700;&#30952;&#33267;&#20285;&#24072;&#20844;&#36335;\&#26029;&#38754;&#29616;&#29366;&#30417;&#27979;&#20998;&#2651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2026年4月21日昼间</c:f>
              <c:strCache>
                <c:ptCount val="1"/>
                <c:pt idx="0">
                  <c:v>2026年4月21日昼间</c:v>
                </c:pt>
              </c:strCache>
            </c:strRef>
          </c:tx>
          <c:spPr>
            <a:ln w="28575" cap="rnd" cmpd="sng" algn="ctr">
              <a:solidFill>
                <a:srgbClr val="4F81BD"/>
              </a:solidFill>
              <a:prstDash val="solid"/>
              <a:round/>
            </a:ln>
            <a:effectLst/>
          </c:spPr>
          <c:marker>
            <c:symbol val="circle"/>
            <c:size val="5"/>
            <c:spPr>
              <a:solidFill>
                <a:srgbClr val="4F81BD"/>
              </a:solidFill>
              <a:ln w="9525" cap="flat" cmpd="sng" algn="ctr">
                <a:solidFill>
                  <a:srgbClr val="4F81BD"/>
                </a:solidFill>
                <a:prstDash val="solid"/>
                <a:round/>
              </a:ln>
              <a:effectLst/>
            </c:spPr>
          </c:marker>
          <c:dLbls>
            <c:delete val="1"/>
          </c:dLbls>
          <c:cat>
            <c:strRef>
              <c:f>路段衰减!$F$3:$J$3</c:f>
              <c:strCache>
                <c:ptCount val="5"/>
                <c:pt idx="0">
                  <c:v>20m</c:v>
                </c:pt>
                <c:pt idx="1">
                  <c:v>40m</c:v>
                </c:pt>
                <c:pt idx="2">
                  <c:v>60m</c:v>
                </c:pt>
                <c:pt idx="3">
                  <c:v>80m</c:v>
                </c:pt>
                <c:pt idx="4">
                  <c:v>120m</c:v>
                </c:pt>
              </c:strCache>
            </c:strRef>
          </c:cat>
          <c:val>
            <c:numRef>
              <c:f>路段衰减!$F$4:$J$4</c:f>
              <c:numCache>
                <c:formatCode>General</c:formatCode>
                <c:ptCount val="5"/>
                <c:pt idx="0">
                  <c:v>62.1</c:v>
                </c:pt>
                <c:pt idx="1">
                  <c:v>58.6</c:v>
                </c:pt>
                <c:pt idx="2">
                  <c:v>54</c:v>
                </c:pt>
                <c:pt idx="3">
                  <c:v>51.4</c:v>
                </c:pt>
                <c:pt idx="4">
                  <c:v>45.7</c:v>
                </c:pt>
              </c:numCache>
            </c:numRef>
          </c:val>
          <c:smooth val="0"/>
        </c:ser>
        <c:ser>
          <c:idx val="1"/>
          <c:order val="1"/>
          <c:tx>
            <c:strRef>
              <c:f>2026年4月21日夜间</c:f>
              <c:strCache>
                <c:ptCount val="1"/>
                <c:pt idx="0">
                  <c:v>2026年4月21日夜间</c:v>
                </c:pt>
              </c:strCache>
            </c:strRef>
          </c:tx>
          <c:spPr>
            <a:ln w="28575" cap="rnd" cmpd="sng" algn="ctr">
              <a:solidFill>
                <a:srgbClr val="C0504D"/>
              </a:solidFill>
              <a:prstDash val="solid"/>
              <a:round/>
            </a:ln>
            <a:effectLst/>
          </c:spPr>
          <c:marker>
            <c:symbol val="circle"/>
            <c:size val="5"/>
            <c:spPr>
              <a:solidFill>
                <a:srgbClr val="C0504D"/>
              </a:solidFill>
              <a:ln w="9525" cap="flat" cmpd="sng" algn="ctr">
                <a:solidFill>
                  <a:srgbClr val="C0504D"/>
                </a:solidFill>
                <a:prstDash val="solid"/>
                <a:round/>
              </a:ln>
              <a:effectLst/>
            </c:spPr>
          </c:marker>
          <c:dLbls>
            <c:delete val="1"/>
          </c:dLbls>
          <c:cat>
            <c:strRef>
              <c:f>路段衰减!$F$3:$J$3</c:f>
              <c:strCache>
                <c:ptCount val="5"/>
                <c:pt idx="0">
                  <c:v>20m</c:v>
                </c:pt>
                <c:pt idx="1">
                  <c:v>40m</c:v>
                </c:pt>
                <c:pt idx="2">
                  <c:v>60m</c:v>
                </c:pt>
                <c:pt idx="3">
                  <c:v>80m</c:v>
                </c:pt>
                <c:pt idx="4">
                  <c:v>120m</c:v>
                </c:pt>
              </c:strCache>
            </c:strRef>
          </c:cat>
          <c:val>
            <c:numRef>
              <c:f>路段衰减!$F$5:$J$5</c:f>
              <c:numCache>
                <c:formatCode>General</c:formatCode>
                <c:ptCount val="5"/>
                <c:pt idx="0">
                  <c:v>48.2</c:v>
                </c:pt>
                <c:pt idx="1">
                  <c:v>45.5</c:v>
                </c:pt>
                <c:pt idx="2">
                  <c:v>42</c:v>
                </c:pt>
                <c:pt idx="3">
                  <c:v>40</c:v>
                </c:pt>
                <c:pt idx="4">
                  <c:v>38.3</c:v>
                </c:pt>
              </c:numCache>
            </c:numRef>
          </c:val>
          <c:smooth val="0"/>
        </c:ser>
        <c:ser>
          <c:idx val="2"/>
          <c:order val="2"/>
          <c:tx>
            <c:strRef>
              <c:f>2026年4月22日昼间</c:f>
              <c:strCache>
                <c:ptCount val="1"/>
                <c:pt idx="0">
                  <c:v>2026年4月22日昼间</c:v>
                </c:pt>
              </c:strCache>
            </c:strRef>
          </c:tx>
          <c:spPr>
            <a:ln w="28575" cap="rnd" cmpd="sng" algn="ctr">
              <a:solidFill>
                <a:srgbClr val="9BBB59"/>
              </a:solidFill>
              <a:prstDash val="solid"/>
              <a:round/>
            </a:ln>
            <a:effectLst/>
          </c:spPr>
          <c:marker>
            <c:symbol val="circle"/>
            <c:size val="5"/>
            <c:spPr>
              <a:solidFill>
                <a:srgbClr val="9BBB59"/>
              </a:solidFill>
              <a:ln w="9525" cap="flat" cmpd="sng" algn="ctr">
                <a:solidFill>
                  <a:srgbClr val="9BBB59"/>
                </a:solidFill>
                <a:prstDash val="solid"/>
                <a:round/>
              </a:ln>
              <a:effectLst/>
            </c:spPr>
          </c:marker>
          <c:dLbls>
            <c:delete val="1"/>
          </c:dLbls>
          <c:cat>
            <c:strRef>
              <c:f>路段衰减!$F$3:$J$3</c:f>
              <c:strCache>
                <c:ptCount val="5"/>
                <c:pt idx="0">
                  <c:v>20m</c:v>
                </c:pt>
                <c:pt idx="1">
                  <c:v>40m</c:v>
                </c:pt>
                <c:pt idx="2">
                  <c:v>60m</c:v>
                </c:pt>
                <c:pt idx="3">
                  <c:v>80m</c:v>
                </c:pt>
                <c:pt idx="4">
                  <c:v>120m</c:v>
                </c:pt>
              </c:strCache>
            </c:strRef>
          </c:cat>
          <c:val>
            <c:numRef>
              <c:f>路段衰减!$F$6:$J$6</c:f>
              <c:numCache>
                <c:formatCode>General</c:formatCode>
                <c:ptCount val="5"/>
                <c:pt idx="0">
                  <c:v>59.7</c:v>
                </c:pt>
                <c:pt idx="1">
                  <c:v>55</c:v>
                </c:pt>
                <c:pt idx="2">
                  <c:v>50</c:v>
                </c:pt>
                <c:pt idx="3">
                  <c:v>47.9</c:v>
                </c:pt>
                <c:pt idx="4">
                  <c:v>43.4</c:v>
                </c:pt>
              </c:numCache>
            </c:numRef>
          </c:val>
          <c:smooth val="0"/>
        </c:ser>
        <c:ser>
          <c:idx val="3"/>
          <c:order val="3"/>
          <c:tx>
            <c:strRef>
              <c:f>2026年4月22日夜间</c:f>
              <c:strCache>
                <c:ptCount val="1"/>
                <c:pt idx="0">
                  <c:v>2026年4月22日夜间</c:v>
                </c:pt>
              </c:strCache>
            </c:strRef>
          </c:tx>
          <c:spPr>
            <a:ln w="28575" cap="rnd" cmpd="sng" algn="ctr">
              <a:solidFill>
                <a:srgbClr val="8064A2"/>
              </a:solidFill>
              <a:prstDash val="solid"/>
              <a:round/>
            </a:ln>
            <a:effectLst/>
          </c:spPr>
          <c:marker>
            <c:symbol val="circle"/>
            <c:size val="5"/>
            <c:spPr>
              <a:solidFill>
                <a:srgbClr val="8064A2"/>
              </a:solidFill>
              <a:ln w="9525" cap="flat" cmpd="sng" algn="ctr">
                <a:solidFill>
                  <a:srgbClr val="8064A2"/>
                </a:solidFill>
                <a:prstDash val="solid"/>
                <a:round/>
              </a:ln>
              <a:effectLst/>
            </c:spPr>
          </c:marker>
          <c:dLbls>
            <c:delete val="1"/>
          </c:dLbls>
          <c:cat>
            <c:strRef>
              <c:f>路段衰减!$F$3:$J$3</c:f>
              <c:strCache>
                <c:ptCount val="5"/>
                <c:pt idx="0">
                  <c:v>20m</c:v>
                </c:pt>
                <c:pt idx="1">
                  <c:v>40m</c:v>
                </c:pt>
                <c:pt idx="2">
                  <c:v>60m</c:v>
                </c:pt>
                <c:pt idx="3">
                  <c:v>80m</c:v>
                </c:pt>
                <c:pt idx="4">
                  <c:v>120m</c:v>
                </c:pt>
              </c:strCache>
            </c:strRef>
          </c:cat>
          <c:val>
            <c:numRef>
              <c:f>路段衰减!$F$7:$J$7</c:f>
              <c:numCache>
                <c:formatCode>General</c:formatCode>
                <c:ptCount val="5"/>
                <c:pt idx="0">
                  <c:v>54.2</c:v>
                </c:pt>
                <c:pt idx="1">
                  <c:v>51</c:v>
                </c:pt>
                <c:pt idx="2">
                  <c:v>47.2</c:v>
                </c:pt>
                <c:pt idx="3">
                  <c:v>43.5</c:v>
                </c:pt>
                <c:pt idx="4">
                  <c:v>39.5</c:v>
                </c:pt>
              </c:numCache>
            </c:numRef>
          </c:val>
          <c:smooth val="0"/>
        </c:ser>
        <c:dLbls>
          <c:showLegendKey val="0"/>
          <c:showVal val="0"/>
          <c:showCatName val="0"/>
          <c:showSerName val="0"/>
          <c:showPercent val="0"/>
          <c:showBubbleSize val="0"/>
        </c:dLbls>
        <c:marker val="1"/>
        <c:smooth val="0"/>
        <c:axId val="240960640"/>
        <c:axId val="242058368"/>
      </c:lineChart>
      <c:catAx>
        <c:axId val="240960640"/>
        <c:scaling>
          <c:orientation val="minMax"/>
        </c:scaling>
        <c:delete val="0"/>
        <c:axPos val="b"/>
        <c:title>
          <c:tx>
            <c:rich>
              <a:bodyPr rot="0" spcFirstLastPara="1" vertOverflow="ellipsis" vert="horz" wrap="square" anchor="ctr" anchorCtr="1"/>
              <a:lstStyle/>
              <a:p>
                <a:pPr>
                  <a:defRPr lang="zh-CN" sz="1000" b="0" i="0" u="none" strike="noStrike" kern="1200" baseline="0">
                    <a:solidFill>
                      <a:sysClr val="windowText" lastClr="000000">
                        <a:lumMod val="65000"/>
                        <a:lumOff val="35000"/>
                      </a:sysClr>
                    </a:solidFill>
                    <a:latin typeface="+mn-lt"/>
                    <a:ea typeface="+mn-ea"/>
                    <a:cs typeface="+mn-cs"/>
                  </a:defRPr>
                </a:pPr>
                <a:r>
                  <a:rPr lang="zh-CN" altLang="en-US"/>
                  <a:t>距路中心距离</a:t>
                </a:r>
                <a:endParaRPr lang="zh-CN" altLang="en-US"/>
              </a:p>
            </c:rich>
          </c:tx>
          <c:layout>
            <c:manualLayout>
              <c:xMode val="edge"/>
              <c:yMode val="edge"/>
              <c:x val="0.411121391076116"/>
              <c:y val="0.888888888888889"/>
            </c:manualLayout>
          </c:layout>
          <c:overlay val="0"/>
          <c:spPr>
            <a:noFill/>
            <a:ln>
              <a:noFill/>
            </a:ln>
            <a:effectLst/>
          </c:spPr>
        </c:title>
        <c:numFmt formatCode="General" sourceLinked="1"/>
        <c:majorTickMark val="none"/>
        <c:minorTickMark val="none"/>
        <c:tickLblPos val="nextTo"/>
        <c:spPr>
          <a:noFill/>
          <a:ln w="9525" cap="flat" cmpd="sng" algn="ctr">
            <a:solidFill>
              <a:sysClr val="windowText" lastClr="000000">
                <a:lumMod val="15000"/>
                <a:lumOff val="85000"/>
              </a:sysClr>
            </a:solidFill>
            <a:prstDash val="solid"/>
            <a:round/>
          </a:ln>
          <a:effectLst/>
        </c:spPr>
        <c:txPr>
          <a:bodyPr rot="-60000000" spcFirstLastPara="1" vertOverflow="ellipsis" vert="horz" wrap="square" anchor="ctr" anchorCtr="1"/>
          <a:lstStyle/>
          <a:p>
            <a:pPr>
              <a:defRPr lang="zh-CN" sz="1000" b="0" i="0" u="none" strike="noStrike" kern="1200" baseline="0">
                <a:solidFill>
                  <a:sysClr val="windowText" lastClr="000000">
                    <a:lumMod val="65000"/>
                    <a:lumOff val="35000"/>
                  </a:sysClr>
                </a:solidFill>
                <a:latin typeface="Times New Roman" panose="02020603050405020304" charset="0"/>
                <a:ea typeface="+mn-ea"/>
                <a:cs typeface="Times New Roman" panose="02020603050405020304" charset="0"/>
              </a:defRPr>
            </a:pPr>
          </a:p>
        </c:txPr>
        <c:crossAx val="242058368"/>
        <c:crosses val="autoZero"/>
        <c:auto val="1"/>
        <c:lblAlgn val="ctr"/>
        <c:lblOffset val="100"/>
        <c:noMultiLvlLbl val="0"/>
      </c:catAx>
      <c:valAx>
        <c:axId val="242058368"/>
        <c:scaling>
          <c:orientation val="minMax"/>
          <c:max val="65"/>
          <c:min val="35"/>
        </c:scaling>
        <c:delete val="0"/>
        <c:axPos val="l"/>
        <c:majorGridlines>
          <c:spPr>
            <a:ln w="9525" cap="flat" cmpd="sng" algn="ctr">
              <a:solidFill>
                <a:sysClr val="windowText" lastClr="000000">
                  <a:lumMod val="15000"/>
                  <a:lumOff val="85000"/>
                </a:sysClr>
              </a:solidFill>
              <a:prstDash val="solid"/>
              <a:round/>
            </a:ln>
            <a:effectLst/>
          </c:spPr>
        </c:majorGridlines>
        <c:title>
          <c:tx>
            <c:rich>
              <a:bodyPr rot="-5400000" spcFirstLastPara="1" vertOverflow="ellipsis" vert="horz" wrap="square" anchor="ctr" anchorCtr="1"/>
              <a:lstStyle/>
              <a:p>
                <a:pPr>
                  <a:defRPr lang="zh-CN" sz="1000" b="0" i="0" u="none" strike="noStrike" kern="1200" baseline="0">
                    <a:solidFill>
                      <a:sysClr val="windowText" lastClr="000000">
                        <a:lumMod val="65000"/>
                        <a:lumOff val="35000"/>
                      </a:sysClr>
                    </a:solidFill>
                    <a:latin typeface="+mn-lt"/>
                    <a:ea typeface="+mn-ea"/>
                    <a:cs typeface="+mn-cs"/>
                  </a:defRPr>
                </a:pPr>
                <a:r>
                  <a:rPr lang="zh-CN" altLang="en-US"/>
                  <a:t>交通噪声监测值（</a:t>
                </a:r>
                <a:r>
                  <a:rPr lang="en-US" altLang="zh-CN"/>
                  <a:t>dB</a:t>
                </a:r>
                <a:r>
                  <a:rPr lang="zh-CN" altLang="en-US"/>
                  <a:t>）</a:t>
                </a:r>
                <a:endParaRPr lang="zh-CN" altLang="en-US"/>
              </a:p>
            </c:rich>
          </c:tx>
          <c:layout>
            <c:manualLayout>
              <c:xMode val="edge"/>
              <c:yMode val="edge"/>
              <c:x val="0.013888888888889"/>
              <c:y val="0.182384076990376"/>
            </c:manualLayout>
          </c:layout>
          <c:overlay val="0"/>
          <c:spPr>
            <a:noFill/>
            <a:ln>
              <a:noFill/>
            </a:ln>
            <a:effectLst/>
          </c:spPr>
        </c:title>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1000" b="0" i="0" u="none" strike="noStrike" kern="1200" baseline="0">
                <a:solidFill>
                  <a:sysClr val="windowText" lastClr="000000">
                    <a:lumMod val="65000"/>
                    <a:lumOff val="35000"/>
                  </a:sysClr>
                </a:solidFill>
                <a:latin typeface="Times New Roman" panose="02020603050405020304" charset="0"/>
                <a:ea typeface="+mn-ea"/>
                <a:cs typeface="Times New Roman" panose="02020603050405020304" charset="0"/>
              </a:defRPr>
            </a:pPr>
          </a:p>
        </c:txPr>
        <c:crossAx val="240960640"/>
        <c:crosses val="autoZero"/>
        <c:crossBetween val="between"/>
        <c:majorUnit val="5"/>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ysClr val="windowText" lastClr="000000">
                  <a:lumMod val="65000"/>
                  <a:lumOff val="35000"/>
                </a:sysClr>
              </a:solidFill>
              <a:latin typeface="+mn-lt"/>
              <a:ea typeface="+mn-ea"/>
              <a:cs typeface="+mn-cs"/>
            </a:defRPr>
          </a:pPr>
        </a:p>
      </c:txPr>
    </c:legend>
    <c:plotVisOnly val="1"/>
    <c:dispBlanksAs val="gap"/>
    <c:showDLblsOverMax val="0"/>
    <c:extLst>
      <c:ext uri="{0b15fc19-7d7d-44ad-8c2d-2c3a37ce22c3}">
        <chartProps xmlns="https://web.wps.cn/et/2018/main" chartId="{72c2f697-5561-4a29-832a-84ed7df56872}"/>
      </c:ext>
    </c:extLst>
  </c:chart>
  <c:spPr>
    <a:solidFill>
      <a:sysClr val="window" lastClr="FFFFFF"/>
    </a:solidFill>
    <a:ln w="9525" cap="flat" cmpd="sng" algn="ctr">
      <a:solidFill>
        <a:sysClr val="windowText" lastClr="000000">
          <a:lumMod val="15000"/>
          <a:lumOff val="85000"/>
        </a:sysClr>
      </a:solidFill>
      <a:prstDash val="solid"/>
      <a:round/>
    </a:ln>
    <a:effectLst/>
  </c:spPr>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Info spid="_x0000_s1036"/>
    <customShpInfo spid="_x0000_s1037"/>
    <customShpInfo spid="_x0000_s1038"/>
    <customShpInfo spid="_x0000_s1039"/>
    <customShpInfo spid="_x0000_s1040"/>
    <customShpInfo spid="_x0000_s1041"/>
    <customShpInfo spid="_x0000_s1042"/>
    <customShpInfo spid="_x0000_s1043"/>
    <customShpInfo spid="_x0000_s1045"/>
    <customShpInfo spid="_x0000_s1046"/>
    <customShpInfo spid="_x0000_s1044"/>
    <customShpInfo spid="_x0000_s1048"/>
    <customShpInfo spid="_x0000_s1049"/>
    <customShpInfo spid="_x0000_s1047"/>
    <customShpInfo spid="_x0000_s1051"/>
    <customShpInfo spid="_x0000_s1052"/>
    <customShpInfo spid="_x0000_s1050"/>
    <customShpInfo spid="_x0000_s1054"/>
    <customShpInfo spid="_x0000_s1055"/>
    <customShpInfo spid="_x0000_s1053"/>
  </customShpExts>
</s:customData>
</file>

<file path=customXml/item2.xml><?xml version="1.0" encoding="utf-8"?>
<contractReview xmlns="http://schemas.wps.cn/vas-ai-hub/contract-review">
  <reviewItems>
    <reviewItem>
      <errorID>8925589d-e2d8-4e94-b727-aff55c1089e9</errorID>
      <errorWord>"</errorWord>
      <group>L1_Format</group>
      <groupName>格式问题</groupName>
      <ability>L2_HalfPunc_CN</ability>
      <abilityName>全半角问题</abilityName>
      <candidateList/>
      <explain>文本全半角错误。</explain>
      <paraID> 11045D7</paraID>
      <start>18</start>
      <end>19</end>
      <status>unmodified</status>
      <modifiedWord/>
      <trackRevisions>false</trackRevisions>
    </reviewItem>
    <reviewItem>
      <errorID>2dcfce8f-3994-4d77-8c65-5958037a03fe</errorID>
      <errorWord>"</errorWord>
      <group>L1_Format</group>
      <groupName>格式问题</groupName>
      <ability>L2_HalfPunc_CN</ability>
      <abilityName>全半角问题</abilityName>
      <candidateList/>
      <explain>文本全半角错误。</explain>
      <paraID>11E26F47</paraID>
      <start>18</start>
      <end>19</end>
      <status>unmodified</status>
      <modifiedWord/>
      <trackRevisions>false</trackRevisions>
    </reviewItem>
    <reviewItem>
      <errorID>e8a6c011-63eb-4d90-8680-e7a93324f1f9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10A8A0B1</paraID>
      <start>17</start>
      <end>18</end>
      <status>unmodified</status>
      <modifiedWord/>
      <trackRevisions>false</trackRevisions>
    </reviewItem>
    <reviewItem>
      <errorID>709e1351-0b84-44c6-8ec5-2711ea59587e</errorID>
      <errorWord>&lt;</errorWord>
      <group>L1_Format</group>
      <groupName>格式问题</groupName>
      <ability>L2_HalfPunc_CN</ability>
      <abilityName>全半角问题</abilityName>
      <candidateList>
        <item>〈</item>
      </candidateList>
      <explain>文本全半角错误。</explain>
      <paraID>40823524</paraID>
      <start>15</start>
      <end>16</end>
      <status>modified</status>
      <modifiedWord>〈</modifiedWord>
      <trackRevisions>false</trackRevisions>
    </reviewItem>
    <reviewItem>
      <errorID>22f47591-b846-4ebd-8592-db49603648c4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40823524</paraID>
      <start>29</start>
      <end>30</end>
      <status>unmodified</status>
      <modifiedWord/>
      <trackRevisions>false</trackRevisions>
    </reviewItem>
    <reviewItem>
      <errorID>f94aadea-2b37-4b8f-9431-39c717af8445</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40823524</paraID>
      <start>36</start>
      <end>37</end>
      <status>unmodified</status>
      <modifiedWord/>
      <trackRevisions>false</trackRevisions>
    </reviewItem>
    <reviewItem>
      <errorID>db9c76be-9d14-4e06-8172-d2521008cb30</errorID>
      <errorWord>[2022]1033号</errorWord>
      <group>L1_Knowledge</group>
      <groupName>知识性问题</groupName>
      <ability>L2_Knowledge</ability>
      <abilityName>其他知识</abilityName>
      <candidateList>
        <item>〔2022〕1033号</item>
      </candidateList>
      <explain>发文字号格式错误。</explain>
      <paraID>40823524</paraID>
      <start>46</start>
      <end>57</end>
      <status>unmodified</status>
      <modifiedWord/>
      <trackRevisions>false</trackRevisions>
    </reviewItem>
    <reviewItem>
      <errorID>a54eb4f9-0db2-4ca0-b7e7-6032f8f19d90</errorID>
      <errorWord>&lt;</errorWord>
      <group>L1_Format</group>
      <groupName>格式问题</groupName>
      <ability>L2_HalfPunc_CN</ability>
      <abilityName>全半角问题</abilityName>
      <candidateList>
        <item>〈</item>
      </candidateList>
      <explain>文本全半角错误。</explain>
      <paraID> 59EB461</paraID>
      <start>12</start>
      <end>13</end>
      <status>modified</status>
      <modifiedWord>〈</modifiedWord>
      <trackRevisions>false</trackRevisions>
    </reviewItem>
    <reviewItem>
      <errorID>317ba7f6-97b0-48d5-882d-ddd23f08c7bd</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59EB461</paraID>
      <start>39</start>
      <end>40</end>
      <status>unmodified</status>
      <modifiedWord/>
      <trackRevisions>false</trackRevisions>
    </reviewItem>
    <reviewItem>
      <errorID>17de9c8a-00d2-44db-a6fe-89554d4278d9</errorID>
      <errorWord>&lt;</errorWord>
      <group>L1_Format</group>
      <groupName>格式问题</groupName>
      <ability>L2_HalfPunc_CN</ability>
      <abilityName>全半角问题</abilityName>
      <candidateList>
        <item>〈</item>
      </candidateList>
      <explain>文本全半角错误。</explain>
      <paraID>44E15FE5</paraID>
      <start>10</start>
      <end>11</end>
      <status>modified</status>
      <modifiedWord>〈</modifiedWord>
      <trackRevisions>false</trackRevisions>
    </reviewItem>
    <reviewItem>
      <errorID>a8444704-cffb-4dc9-a883-a401fa95c46b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44E15FE5</paraID>
      <start>35</start>
      <end>36</end>
      <status>unmodified</status>
      <modifiedWord/>
      <trackRevisions>false</trackRevisions>
    </reviewItem>
    <reviewItem>
      <errorID>a802a4bf-d5c0-4a01-962a-bfe8a8317ca6</errorID>
      <errorWord>&gt;</errorWord>
      <group>L1_Format</group>
      <groupName>格式问题</groupName>
      <ability>L2_HalfPunc_CN</ability>
      <abilityName>全半角问题</abilityName>
      <candidateList>
        <item>〉</item>
      </candidateList>
      <explain>文本全半角错误。</explain>
      <paraID>44E15FE5</paraID>
      <start>42</start>
      <end>43</end>
      <status>modified</status>
      <modifiedWord>〉</modifiedWord>
      <trackRevisions>false</trackRevisions>
    </reviewItem>
    <reviewItem>
      <errorID>540c9986-ca91-4323-ac27-b2dc7e600e76</errorID>
      <errorWord>&lt;</errorWord>
      <group>L1_Format</group>
      <groupName>格式问题</groupName>
      <ability>L2_HalfPunc_CN</ability>
      <abilityName>全半角问题</abilityName>
      <candidateList>
        <item>〈</item>
      </candidateList>
      <explain>文本全半角错误。</explain>
      <paraID>773437D1</paraID>
      <start>10</start>
      <end>11</end>
      <status>modified</status>
      <modifiedWord>〈</modifiedWord>
      <trackRevisions>false</trackRevisions>
    </reviewItem>
    <reviewItem>
      <errorID>be8c6c23-923a-4bc9-954c-756db01bc3ed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773437D1</paraID>
      <start>28</start>
      <end>29</end>
      <status>unmodified</status>
      <modifiedWord/>
      <trackRevisions>false</trackRevisions>
    </reviewItem>
    <reviewItem>
      <errorID>aeb58322-2e33-47a5-8a3b-697f498e6f18</errorID>
      <errorWord>&gt;</errorWord>
      <group>L1_Format</group>
      <groupName>格式问题</groupName>
      <ability>L2_HalfPunc_CN</ability>
      <abilityName>全半角问题</abilityName>
      <candidateList>
        <item>〉</item>
      </candidateList>
      <explain>文本全半角错误。</explain>
      <paraID>773437D1</paraID>
      <start>35</start>
      <end>36</end>
      <status>modified</status>
      <modifiedWord>〉</modifiedWord>
      <trackRevisions>false</trackRevisions>
    </reviewItem>
    <reviewItem>
      <errorID>a7680f3c-1a50-4fc9-8def-aca700c7cf93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477FC893</paraID>
      <start>21</start>
      <end>22</end>
      <status>unmodified</status>
      <modifiedWord/>
      <trackRevisions>false</trackRevisions>
    </reviewItem>
    <reviewItem>
      <errorID>a241e4c7-b831-40d9-9e88-6eb943c450da</errorID>
      <errorWord>&lt;</errorWord>
      <group>L1_Format</group>
      <groupName>格式问题</groupName>
      <ability>L2_HalfPunc_CN</ability>
      <abilityName>全半角问题</abilityName>
      <candidateList>
        <item>〈</item>
      </candidateList>
      <explain>文本全半角错误。</explain>
      <paraID>57885128</paraID>
      <start>10</start>
      <end>11</end>
      <status>modified</status>
      <modifiedWord>〈</modifiedWord>
      <trackRevisions>false</trackRevisions>
    </reviewItem>
    <reviewItem>
      <errorID>71ca11de-3990-4a9e-aa16-0d1dceea1870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57885128</paraID>
      <start>28</start>
      <end>29</end>
      <status>unmodified</status>
      <modifiedWord/>
      <trackRevisions>false</trackRevisions>
    </reviewItem>
    <reviewItem>
      <errorID>fc42aad0-7aed-4747-9217-d95a0bf85623</errorID>
      <errorWord>&gt;</errorWord>
      <group>L1_Format</group>
      <groupName>格式问题</groupName>
      <ability>L2_HalfPunc_CN</ability>
      <abilityName>全半角问题</abilityName>
      <candidateList>
        <item>〉</item>
      </candidateList>
      <explain>文本全半角错误。</explain>
      <paraID>57885128</paraID>
      <start>35</start>
      <end>36</end>
      <status>modified</status>
      <modifiedWord>〉</modifiedWord>
      <trackRevisions>false</trackRevisions>
    </reviewItem>
    <reviewItem>
      <errorID>6e203e0d-1a23-4f4a-a10a-299f896db389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239E5EFF</paraID>
      <start>20</start>
      <end>21</end>
      <status>unmodified</status>
      <modifiedWord/>
      <trackRevisions>false</trackRevisions>
    </reviewItem>
    <reviewItem>
      <errorID>faf4bbf2-d256-41d7-b814-a67fd2b02792</errorID>
      <errorWord>&lt;</errorWord>
      <group>L1_Format</group>
      <groupName>格式问题</groupName>
      <ability>L2_HalfPunc_CN</ability>
      <abilityName>全半角问题</abilityName>
      <candidateList>
        <item>〈</item>
      </candidateList>
      <explain>文本全半角错误。</explain>
      <paraID>15429E13</paraID>
      <start>10</start>
      <end>11</end>
      <status>modified</status>
      <modifiedWord>〈</modifiedWord>
      <trackRevisions>false</trackRevisions>
    </reviewItem>
    <reviewItem>
      <errorID>52f8d2f5-d51f-4ade-8ff9-2a9fa64392b0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15429E13</paraID>
      <start>27</start>
      <end>28</end>
      <status>unmodified</status>
      <modifiedWord/>
      <trackRevisions>false</trackRevisions>
    </reviewItem>
    <reviewItem>
      <errorID>e4ae8e40-5606-4b0c-a400-b30d2a966c2a</errorID>
      <errorWord>&gt;</errorWord>
      <group>L1_Format</group>
      <groupName>格式问题</groupName>
      <ability>L2_HalfPunc_CN</ability>
      <abilityName>全半角问题</abilityName>
      <candidateList>
        <item>〉</item>
      </candidateList>
      <explain>文本全半角错误。</explain>
      <paraID>15429E13</paraID>
      <start>34</start>
      <end>35</end>
      <status>modified</status>
      <modifiedWord>〉</modifiedWord>
      <trackRevisions>false</trackRevisions>
    </reviewItem>
    <reviewItem>
      <errorID>26d30dec-1f11-4ab0-a8a3-bf5d4c0f5fe3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37B6F3CD</paraID>
      <start>21</start>
      <end>22</end>
      <status>unmodified</status>
      <modifiedWord/>
      <trackRevisions>false</trackRevisions>
    </reviewItem>
    <reviewItem>
      <errorID>c4a995e1-6685-4f0e-a965-20001b99aae4</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7E3E46ED</paraID>
      <start>10</start>
      <end>11</end>
      <status>unmodified</status>
      <modifiedWord/>
      <trackRevisions>false</trackRevisions>
    </reviewItem>
    <reviewItem>
      <errorID>476e1017-7d9d-4a01-98e6-34b0616ea9da</errorID>
      <errorWord>&lt;</errorWord>
      <group>L1_Format</group>
      <groupName>格式问题</groupName>
      <ability>L2_HalfPunc_CN</ability>
      <abilityName>全半角问题</abilityName>
      <candidateList>
        <item>〈</item>
      </candidateList>
      <explain>文本全半角错误。</explain>
      <paraID>7E3E46ED</paraID>
      <start>13</start>
      <end>14</end>
      <status>modified</status>
      <modifiedWord>〈</modifiedWord>
      <trackRevisions>false</trackRevisions>
    </reviewItem>
    <reviewItem>
      <errorID>1133436d-2bf3-4442-9e17-505e0979b2bc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7E3E46ED</paraID>
      <start>31</start>
      <end>32</end>
      <status>unmodified</status>
      <modifiedWord/>
      <trackRevisions>false</trackRevisions>
    </reviewItem>
    <reviewItem>
      <errorID>37fbaf57-1892-4a36-ad50-1b5634c82354</errorID>
      <errorWord>&gt;</errorWord>
      <group>L1_Format</group>
      <groupName>格式问题</groupName>
      <ability>L2_HalfPunc_CN</ability>
      <abilityName>全半角问题</abilityName>
      <candidateList>
        <item>〉</item>
      </candidateList>
      <explain>文本全半角错误。</explain>
      <paraID>7E3E46ED</paraID>
      <start>41</start>
      <end>42</end>
      <status>modified</status>
      <modifiedWord>〉</modifiedWord>
      <trackRevisions>false</trackRevisions>
    </reviewItem>
    <reviewItem>
      <errorID>d109dfa7-446b-4a4a-8125-a77d10b59ab2</errorID>
      <errorWord>[2024]36号</errorWord>
      <group>L1_Knowledge</group>
      <groupName>知识性问题</groupName>
      <ability>L2_Knowledge</ability>
      <abilityName>其他知识</abilityName>
      <candidateList>
        <item>〔2024〕36号</item>
      </candidateList>
      <explain>发文字号格式错误。</explain>
      <paraID>7E3E46ED</paraID>
      <start>46</start>
      <end>55</end>
      <status>unmodified</status>
      <modifiedWord/>
      <trackRevisions>false</trackRevisions>
    </reviewItem>
    <reviewItem>
      <errorID>0b2dd678-02e6-42f1-a7b0-caafd69adf4b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3BC5D4EF</paraID>
      <start>16</start>
      <end>17</end>
      <status>unmodified</status>
      <modifiedWord/>
      <trackRevisions>false</trackRevisions>
    </reviewItem>
    <reviewItem>
      <errorID>efce9c64-1ebb-4efb-90bb-86a0be9f9d42</errorID>
      <errorWord>&lt;</errorWord>
      <group>L1_Format</group>
      <groupName>格式问题</groupName>
      <ability>L2_HalfPunc_CN</ability>
      <abilityName>全半角问题</abilityName>
      <candidateList>
        <item>〈</item>
      </candidateList>
      <explain>文本全半角错误。</explain>
      <paraID>5E0414A0</paraID>
      <start>15</start>
      <end>16</end>
      <status>modified</status>
      <modifiedWord>〈</modifiedWord>
      <trackRevisions>false</trackRevisions>
    </reviewItem>
    <reviewItem>
      <errorID>85c98d4a-fb32-4716-947d-b99563861ddf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5E0414A0</paraID>
      <start>29</start>
      <end>30</end>
      <status>unmodified</status>
      <modifiedWord/>
      <trackRevisions>false</trackRevisions>
    </reviewItem>
    <reviewItem>
      <errorID>5f458fa6-891c-4b86-95b6-d474f49e5b77</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5E0414A0</paraID>
      <start>36</start>
      <end>37</end>
      <status>unmodified</status>
      <modifiedWord/>
      <trackRevisions>false</trackRevisions>
    </reviewItem>
    <reviewItem>
      <errorID>492f07b5-db96-4dc1-8126-5e5b05466447</errorID>
      <errorWord>[2022]1033号</errorWord>
      <group>L1_Knowledge</group>
      <groupName>知识性问题</groupName>
      <ability>L2_Knowledge</ability>
      <abilityName>其他知识</abilityName>
      <candidateList>
        <item>〔2022〕1033号</item>
      </candidateList>
      <explain>发文字号格式错误。</explain>
      <paraID>5E0414A0</paraID>
      <start>46</start>
      <end>57</end>
      <status>unmodified</status>
      <modifiedWord/>
      <trackRevisions>false</trackRevisions>
    </reviewItem>
    <reviewItem>
      <errorID>8c93a700-191e-4eb3-8ddf-c530f4526ef8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5D982586</paraID>
      <start>22</start>
      <end>23</end>
      <status>unmodified</status>
      <modifiedWord/>
      <trackRevisions>false</trackRevisions>
    </reviewItem>
    <reviewItem>
      <errorID>4d708de6-e26e-4d90-adf0-fb99b20c449b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48029704</paraID>
      <start>31</start>
      <end>32</end>
      <status>unmodified</status>
      <modifiedWord/>
      <trackRevisions>false</trackRevisions>
    </reviewItem>
    <reviewItem>
      <errorID>b45ec739-a642-48a8-9e61-3bb5fb0c9682</errorID>
      <errorWord>[2021]880号</errorWord>
      <group>L1_Knowledge</group>
      <groupName>知识性问题</groupName>
      <ability>L2_Knowledge</ability>
      <abilityName>其他知识</abilityName>
      <candidateList>
        <item>〔2021〕880号</item>
      </candidateList>
      <explain>发文字号格式错误。</explain>
      <paraID>48029704</paraID>
      <start>57</start>
      <end>67</end>
      <status>unmodified</status>
      <modifiedWord/>
      <trackRevisions>false</trackRevisions>
    </reviewItem>
    <reviewItem>
      <errorID>c239cd70-eb7a-4680-8625-ff2a6e3ba415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65F2D6BD</paraID>
      <start>17</start>
      <end>18</end>
      <status>unmodified</status>
      <modifiedWord/>
      <trackRevisions>false</trackRevisions>
    </reviewItem>
    <reviewItem>
      <errorID>7cee14e6-7483-41c9-9850-4609a31be016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3024EB53</paraID>
      <start>18</start>
      <end>19</end>
      <status>unmodified</status>
      <modifiedWord/>
      <trackRevisions>false</trackRevisions>
    </reviewItem>
    <reviewItem>
      <errorID>3cab7a8a-1956-4fc5-adcc-1e9936e1726f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1364A0C1</paraID>
      <start>15</start>
      <end>16</end>
      <status>unmodified</status>
      <modifiedWord/>
      <trackRevisions>false</trackRevisions>
    </reviewItem>
    <reviewItem>
      <errorID>5720d5c4-dd4e-4f0a-ab29-152ce3487e73</errorID>
      <errorWord>-</errorWord>
      <group>L1_Format</group>
      <groupName>格式问题</groupName>
      <ability>L2_HalfPunc_CN</ability>
      <abilityName>全半角问题</abilityName>
      <candidateList>
        <item>－</item>
      </candidateList>
      <explain>文本全半角错误。</explain>
      <paraID>1364A0C1</paraID>
      <start>27</start>
      <end>28</end>
      <status>unmodified</status>
      <modifiedWord/>
      <trackRevisions>false</trackRevisions>
    </reviewItem>
    <reviewItem>
      <errorID>a491fe10-9500-4477-892a-43325b23036d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305F84B3</paraID>
      <start>23</start>
      <end>24</end>
      <status>unmodified</status>
      <modifiedWord/>
      <trackRevisions>false</trackRevisions>
    </reviewItem>
    <reviewItem>
      <errorID>975c909d-09f3-43b9-bdbc-e770dd594895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5B728B23</paraID>
      <start>24</start>
      <end>25</end>
      <status>unmodified</status>
      <modifiedWord/>
      <trackRevisions>false</trackRevisions>
    </reviewItem>
    <reviewItem>
      <errorID>8eb8a1e0-6338-4edd-93e1-48f72360525a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5B728B23</paraID>
      <start>79</start>
      <end>80</end>
      <status>unmodified</status>
      <modifiedWord/>
      <trackRevisions>false</trackRevisions>
    </reviewItem>
    <reviewItem>
      <errorID>a5958d4f-f840-493e-8b09-c7b50b6e45fa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7624ACCB</paraID>
      <start>26</start>
      <end>27</end>
      <status>unmodified</status>
      <modifiedWord/>
      <trackRevisions>false</trackRevisions>
    </reviewItem>
    <reviewItem>
      <errorID>7564ad8f-d1c2-4db0-b313-8fa359bcc257</errorID>
      <errorWord>，</errorWord>
      <group>L1_Word</group>
      <groupName>字词问题</groupName>
      <ability>L2_Typo</ability>
      <abilityName>字词错误</abilityName>
      <candidateList>
        <item>，对</item>
      </candidateList>
      <explain/>
      <paraID> 9FBCC45</paraID>
      <start>59</start>
      <end>60</end>
      <status>unmodified</status>
      <modifiedWord/>
      <trackRevisions>false</trackRevisions>
    </reviewItem>
    <reviewItem>
      <errorID>cec27e8e-892c-4b8f-ba7e-2d97c9570745</errorID>
      <errorWord>，</errorWord>
      <group>L1_Word</group>
      <groupName>字词问题</groupName>
      <ability>L2_Typo</ability>
      <abilityName>字词错误</abilityName>
      <candidateList>
        <item>，对</item>
      </candidateList>
      <explain/>
      <paraID>4F48E6D7</paraID>
      <start>104</start>
      <end>105</end>
      <status>unmodified</status>
      <modifiedWord/>
      <trackRevisions>false</trackRevisions>
    </reviewItem>
    <reviewItem>
      <errorID>b4e5e1d4-d2aa-490d-9e3d-b0ea35dcfe40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31CDB867</paraID>
      <start>0</start>
      <end>3</end>
      <status>unmodified</status>
      <modifiedWord/>
      <trackRevisions>false</trackRevisions>
    </reviewItem>
    <reviewItem>
      <errorID>5880fb6e-82bc-4223-a5e7-27970b76e707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7D295AEA</paraID>
      <start>0</start>
      <end>3</end>
      <status>unmodified</status>
      <modifiedWord/>
      <trackRevisions>false</trackRevisions>
    </reviewItem>
    <reviewItem>
      <errorID>1b189486-cf25-4924-83fb-9849f76ead54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3CB1E244</paraID>
      <start>0</start>
      <end>3</end>
      <status>unmodified</status>
      <modifiedWord/>
      <trackRevisions>false</trackRevisions>
    </reviewItem>
    <reviewItem>
      <errorID>f19fa146-a034-4133-b4cd-cd901a033b61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2560CF96</paraID>
      <start>22</start>
      <end>23</end>
      <status>unmodified</status>
      <modifiedWord/>
      <trackRevisions>false</trackRevisions>
    </reviewItem>
    <reviewItem>
      <errorID>7f58026d-ca7b-4fd2-b6d7-fedb543af25b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D31AE92</paraID>
      <start>0</start>
      <end>3</end>
      <status>unmodified</status>
      <modifiedWord/>
      <trackRevisions>false</trackRevisions>
    </reviewItem>
    <reviewItem>
      <errorID>963c6048-f781-4147-95fe-20d45760c8a2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4A51CC9</paraID>
      <start>0</start>
      <end>3</end>
      <status>unmodified</status>
      <modifiedWord/>
      <trackRevisions>false</trackRevisions>
    </reviewItem>
    <reviewItem>
      <errorID>7a066352-05ca-4de2-85af-241fb8d7015a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485BC881</paraID>
      <start>0</start>
      <end>3</end>
      <status>unmodified</status>
      <modifiedWord/>
      <trackRevisions>false</trackRevisions>
    </reviewItem>
    <reviewItem>
      <errorID>7bd30908-fc10-4de5-b078-e5e2d2027628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694BF064</paraID>
      <start>22</start>
      <end>23</end>
      <status>unmodified</status>
      <modifiedWord/>
      <trackRevisions>false</trackRevisions>
    </reviewItem>
    <reviewItem>
      <errorID>2853b1c0-11b4-4633-8369-cf308c5a0dae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1EC2CC58</paraID>
      <start>0</start>
      <end>3</end>
      <status>unmodified</status>
      <modifiedWord/>
      <trackRevisions>false</trackRevisions>
    </reviewItem>
    <reviewItem>
      <errorID>d7077cd7-f3b1-4675-a307-c2ce2dd264a7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C128FC2</paraID>
      <start>0</start>
      <end>3</end>
      <status>unmodified</status>
      <modifiedWord/>
      <trackRevisions>false</trackRevisions>
    </reviewItem>
    <reviewItem>
      <errorID>4be5d401-d0eb-4645-a08e-3f61dfb2405f</errorID>
      <errorWord>区域协同发展战略</errorWord>
      <group>L1_Political</group>
      <groupName>政治性问题</groupName>
      <ability>L2_Keyword</ability>
      <abilityName>固定表述</abilityName>
      <candidateList>
        <item>区域协调发展战略</item>
      </candidateList>
      <explain>词汇“区域协调发展战略”在特定场景下为固定表述形式，请确认此处的“区域协同发展战略”是否存在不当。</explain>
      <paraID> C128FC2</paraID>
      <start>12</start>
      <end>20</end>
      <status>unmodified</status>
      <modifiedWord/>
      <trackRevisions>false</trackRevisions>
    </reviewItem>
    <reviewItem>
      <errorID>70b3bc50-d8a1-40ee-ad84-957a742b9ef3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5DBB67DB</paraID>
      <start>0</start>
      <end>3</end>
      <status>unmodified</status>
      <modifiedWord/>
      <trackRevisions>false</trackRevisions>
    </reviewItem>
    <reviewItem>
      <errorID>20b04636-1a9d-4001-930a-4428565f0757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5A9BD03A</paraID>
      <start>21</start>
      <end>22</end>
      <status>unmodified</status>
      <modifiedWord/>
      <trackRevisions>false</trackRevisions>
    </reviewItem>
    <reviewItem>
      <errorID>ce78eb92-56b2-45d4-9c3b-49911eff64ec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2FDB0412</paraID>
      <start>0</start>
      <end>3</end>
      <status>unmodified</status>
      <modifiedWord/>
      <trackRevisions>false</trackRevisions>
    </reviewItem>
    <reviewItem>
      <errorID>69927a7e-9b0c-4f5c-b690-ceec3484e38b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30015BB9</paraID>
      <start>0</start>
      <end>3</end>
      <status>unmodified</status>
      <modifiedWord/>
      <trackRevisions>false</trackRevisions>
    </reviewItem>
    <reviewItem>
      <errorID>05c9cda2-1fe3-476f-8842-c853258bbda1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55E5287A</paraID>
      <start>0</start>
      <end>3</end>
      <status>unmodified</status>
      <modifiedWord/>
      <trackRevisions>false</trackRevisions>
    </reviewItem>
    <reviewItem>
      <errorID>745b41d3-892b-4ff8-82b2-f0e35126c856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373F9A67</paraID>
      <start>0</start>
      <end>3</end>
      <status>unmodified</status>
      <modifiedWord/>
      <trackRevisions>false</trackRevisions>
    </reviewItem>
    <reviewItem>
      <errorID>04508577-84a3-4de6-919f-7b313c65c872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632880E5</paraID>
      <start>0</start>
      <end>3</end>
      <status>unmodified</status>
      <modifiedWord/>
      <trackRevisions>false</trackRevisions>
    </reviewItem>
    <reviewItem>
      <errorID>bd226dce-d700-4806-af27-88df3dd3194b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EBCDEBA</paraID>
      <start>0</start>
      <end>3</end>
      <status>unmodified</status>
      <modifiedWord/>
      <trackRevisions>false</trackRevisions>
    </reviewItem>
    <reviewItem>
      <errorID>318b72b7-311b-46d2-81b1-11c286b4d4eb</errorID>
      <errorWord>[2021]18号</errorWord>
      <group>L1_Knowledge</group>
      <groupName>知识性问题</groupName>
      <ability>L2_Knowledge</ability>
      <abilityName>其他知识</abilityName>
      <candidateList>
        <item>〔2021〕18号</item>
      </candidateList>
      <explain>发文字号格式错误。</explain>
      <paraID>201E5A31</paraID>
      <start>32</start>
      <end>41</end>
      <status>unmodified</status>
      <modifiedWord/>
      <trackRevisions>false</trackRevisions>
    </reviewItem>
    <reviewItem>
      <errorID>92c7caf7-5209-4c90-9f8d-501a66524ea8</errorID>
      <errorWord>[2024]157号</errorWord>
      <group>L1_Knowledge</group>
      <groupName>知识性问题</groupName>
      <ability>L2_Knowledge</ability>
      <abilityName>其他知识</abilityName>
      <candidateList>
        <item>〔2024〕157号</item>
      </candidateList>
      <explain>发文字号格式错误。</explain>
      <paraID>201E5A31</paraID>
      <start>82</start>
      <end>92</end>
      <status>unmodified</status>
      <modifiedWord/>
      <trackRevisions>false</trackRevisions>
    </reviewItem>
    <reviewItem>
      <errorID>ebad17f1-7438-49dc-8f50-9ed9de32f0f0</errorID>
      <errorWord>，</errorWord>
      <group>L1_Word</group>
      <groupName>字词问题</groupName>
      <ability>L2_Typo</ability>
      <abilityName>字词错误</abilityName>
      <candidateList>
        <item>，对</item>
      </candidateList>
      <explain/>
      <paraID> 6C1CDF6</paraID>
      <start>42</start>
      <end>43</end>
      <status>unmodified</status>
      <modifiedWord/>
      <trackRevisions>false</trackRevisions>
    </reviewItem>
    <reviewItem>
      <errorID>0394f98a-7835-40c2-ad67-6d2df2e487fb</errorID>
      <errorWord>&lt;</errorWord>
      <group>L1_Format</group>
      <groupName>格式问题</groupName>
      <ability>L2_HalfPunc_CN</ability>
      <abilityName>全半角问题</abilityName>
      <candidateList>
        <item>〈</item>
      </candidateList>
      <explain>文本全半角错误。</explain>
      <paraID>7493FE96</paraID>
      <start>7</start>
      <end>8</end>
      <status>unmodified</status>
      <modifiedWord/>
      <trackRevisions>false</trackRevisions>
    </reviewItem>
    <reviewItem>
      <errorID>ff303b16-a970-491d-b42d-bc3e4aa01bf5</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7493FE96</paraID>
      <start>39</start>
      <end>40</end>
      <status>unmodified</status>
      <modifiedWord/>
      <trackRevisions>false</trackRevisions>
    </reviewItem>
    <reviewItem>
      <errorID>8aeaa854-3023-4c0e-a0b6-ad925d65b8e9</errorID>
      <errorWord>围</errorWord>
      <group>L1_Word</group>
      <groupName>字词问题</groupName>
      <ability>L2_Typo</ability>
      <abilityName>字词错误</abilityName>
      <candidateList>
        <item>围内</item>
      </candidateList>
      <explain/>
      <paraID>78BA691D</paraID>
      <start>10</start>
      <end>11</end>
      <status>unmodified</status>
      <modifiedWord/>
      <trackRevisions>false</trackRevisions>
    </reviewItem>
    <reviewItem>
      <errorID>1fd78d00-d1e6-49c3-97b6-dd3f8b39a7d1</errorID>
      <errorWord>围</errorWord>
      <group>L1_Word</group>
      <groupName>字词问题</groupName>
      <ability>L2_Typo</ability>
      <abilityName>字词错误</abilityName>
      <candidateList>
        <item>围内</item>
      </candidateList>
      <explain/>
      <paraID>3AB4335E</paraID>
      <start>53</start>
      <end>54</end>
      <status>unmodified</status>
      <modifiedWord/>
      <trackRevisions>false</trackRevisions>
    </reviewItem>
    <reviewItem>
      <errorID>97f14523-b13a-4aca-ab3c-a108aaa6ffe7</errorID>
      <errorWord>围</errorWord>
      <group>L1_Word</group>
      <groupName>字词问题</groupName>
      <ability>L2_Typo</ability>
      <abilityName>字词错误</abilityName>
      <candidateList>
        <item>围内</item>
      </candidateList>
      <explain/>
      <paraID>60AD932A</paraID>
      <start>53</start>
      <end>54</end>
      <status>unmodified</status>
      <modifiedWord/>
      <trackRevisions>false</trackRevisions>
    </reviewItem>
    <reviewItem>
      <errorID>b25fd5fd-47a0-4ee6-8c15-62301cbb9bfb</errorID>
      <errorWord>其它</errorWord>
      <group>L1_Word</group>
      <groupName>字词问题</groupName>
      <ability>L2_Alias</ability>
      <abilityName>也作/曾用词</abilityName>
      <candidateList>
        <item>其他</item>
      </candidateList>
      <explain>词汇[其它]为不规范表述或旧称，其规范书面表述为[其他]。</explain>
      <paraID> 6AA3546</paraID>
      <start>238</start>
      <end>240</end>
      <status>unmodified</status>
      <modifiedWord/>
      <trackRevisions>false</trackRevisions>
    </reviewItem>
    <reviewItem>
      <errorID>4fe5dec5-3f10-4a31-9c34-4fe5375a490a</errorID>
      <errorWord>亟需</errorWord>
      <group>L1_Word</group>
      <groupName>字词问题</groupName>
      <ability>L2_Typo</ability>
      <abilityName>字词错误</abilityName>
      <candidateList>
        <item>亟须</item>
      </candidateList>
      <explain>存在发音相同字词的误用。</explain>
      <paraID>378F038F</paraID>
      <start>115</start>
      <end>117</end>
      <status>modified</status>
      <modifiedWord>亟须</modifiedWord>
      <trackRevisions>false</trackRevisions>
    </reviewItem>
    <reviewItem>
      <errorID>60f4ed73-89a5-488d-b62d-9f6a804c8a37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36102121</paraID>
      <start>0</start>
      <end>3</end>
      <status>unmodified</status>
      <modifiedWord/>
      <trackRevisions>false</trackRevisions>
    </reviewItem>
    <reviewItem>
      <errorID>84433ad3-0aa4-4eb3-845a-492cada2cc96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77FE6A5F</paraID>
      <start>0</start>
      <end>3</end>
      <status>unmodified</status>
      <modifiedWord/>
      <trackRevisions>false</trackRevisions>
    </reviewItem>
    <reviewItem>
      <errorID>15eb2e94-01a4-44e5-b969-e088e663e2b4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293E855F</paraID>
      <start>1</start>
      <end>4</end>
      <status>unmodified</status>
      <modifiedWord/>
      <trackRevisions>false</trackRevisions>
    </reviewItem>
    <reviewItem>
      <errorID>084ab191-c658-4459-b394-e261d9f4fbae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6A1A5970</paraID>
      <start>0</start>
      <end>3</end>
      <status>unmodified</status>
      <modifiedWord/>
      <trackRevisions>false</trackRevisions>
    </reviewItem>
    <reviewItem>
      <errorID>1f3063ff-fc51-4f3c-a6e9-080ace740416</errorID>
      <errorWord>～</errorWord>
      <group>L1_Format</group>
      <groupName>格式问题</groupName>
      <ability>L2_HalfPunc_CN</ability>
      <abilityName>全半角问题</abilityName>
      <candidateList>
        <item>~</item>
      </candidateList>
      <explain>文本全半角错误。</explain>
      <paraID>5109E078</paraID>
      <start>2</start>
      <end>3</end>
      <status>unmodified</status>
      <modifiedWord/>
      <trackRevisions>false</trackRevisions>
    </reviewItem>
    <reviewItem>
      <errorID>0107ddea-a714-4313-a3a1-3ea11acfaf28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2753BAA9</paraID>
      <start>4</start>
      <end>7</end>
      <status>unmodified</status>
      <modifiedWord/>
      <trackRevisions>false</trackRevisions>
    </reviewItem>
    <reviewItem>
      <errorID>1f81cd5c-e0cf-429b-99e9-8835fe1db97a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6CBC1D07</paraID>
      <start>0</start>
      <end>3</end>
      <status>unmodified</status>
      <modifiedWord/>
      <trackRevisions>false</trackRevisions>
    </reviewItem>
    <reviewItem>
      <errorID>c0f332d5-8394-4713-8af9-182570aa713b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66DD2C84</paraID>
      <start>0</start>
      <end>2</end>
      <status>unmodified</status>
      <modifiedWord/>
      <trackRevisions>false</trackRevisions>
    </reviewItem>
    <reviewItem>
      <errorID>0d4d9a4b-0e7b-46ce-8591-8da9f0281a5e</errorID>
      <errorWord>)</errorWord>
      <group>L1_Format</group>
      <groupName>格式问题</groupName>
      <ability>L2_HalfPunc_CN</ability>
      <abilityName>全半角问题</abilityName>
      <candidateList>
        <item>）</item>
      </candidateList>
      <explain>文本全半角错误。</explain>
      <paraID>2F8AE0DC</paraID>
      <start>123</start>
      <end>124</end>
      <status>unmodified</status>
      <modifiedWord/>
      <trackRevisions>false</trackRevisions>
    </reviewItem>
    <reviewItem>
      <errorID>9ea25d50-f42a-4c9c-b53a-edb850a20848</errorID>
      <errorWord>)</errorWord>
      <group>L1_Format</group>
      <groupName>格式问题</groupName>
      <ability>L2_HalfPunc_CN</ability>
      <abilityName>全半角问题</abilityName>
      <candidateList>
        <item>）</item>
      </candidateList>
      <explain>文本全半角错误。</explain>
      <paraID>295A504A</paraID>
      <start>128</start>
      <end>129</end>
      <status>unmodified</status>
      <modifiedWord/>
      <trackRevisions>false</trackRevisions>
    </reviewItem>
    <reviewItem>
      <errorID>85c8ac5c-2217-4bb6-ae2e-b379debd9538</errorID>
      <errorWord>)</errorWord>
      <group>L1_Format</group>
      <groupName>格式问题</groupName>
      <ability>L2_HalfPunc_CN</ability>
      <abilityName>全半角问题</abilityName>
      <candidateList>
        <item>）</item>
      </candidateList>
      <explain>文本全半角错误。</explain>
      <paraID>1658E360</paraID>
      <start>189</start>
      <end>190</end>
      <status>unmodified</status>
      <modifiedWord/>
      <trackRevisions>false</trackRevisions>
    </reviewItem>
    <reviewItem>
      <errorID>b60534a0-809f-4e6f-99b0-6e25232db99e</errorID>
      <errorWord>)</errorWord>
      <group>L1_Format</group>
      <groupName>格式问题</groupName>
      <ability>L2_HalfPunc_CN</ability>
      <abilityName>全半角问题</abilityName>
      <candidateList>
        <item>）</item>
      </candidateList>
      <explain>文本全半角错误。</explain>
      <paraID>10B4A4D2</paraID>
      <start>169</start>
      <end>170</end>
      <status>unmodified</status>
      <modifiedWord/>
      <trackRevisions>false</trackRevisions>
    </reviewItem>
    <reviewItem>
      <errorID>2235626c-5c15-4d44-8f53-5b20b8ede8d6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539865A1</paraID>
      <start>0</start>
      <end>2</end>
      <status>unmodified</status>
      <modifiedWord/>
      <trackRevisions>false</trackRevisions>
    </reviewItem>
    <reviewItem>
      <errorID>5b767d2c-505d-4b80-8870-a276770f3904</errorID>
      <errorWord>(</errorWord>
      <group>L1_Format</group>
      <groupName>格式问题</groupName>
      <ability>L2_HalfPunc_CN</ability>
      <abilityName>全半角问题</abilityName>
      <candidateList>
        <item>（</item>
      </candidateList>
      <explain>文本全半角错误。</explain>
      <paraID>61147153</paraID>
      <start>15</start>
      <end>16</end>
      <status>unmodified</status>
      <modifiedWord/>
      <trackRevisions>false</trackRevisions>
    </reviewItem>
    <reviewItem>
      <errorID>5435ebc8-34c2-4150-96c7-d02d28c05a2f</errorID>
      <errorWord>)</errorWord>
      <group>L1_Format</group>
      <groupName>格式问题</groupName>
      <ability>L2_HalfPunc_CN</ability>
      <abilityName>全半角问题</abilityName>
      <candidateList>
        <item>）</item>
      </candidateList>
      <explain>文本全半角错误。</explain>
      <paraID>61147153</paraID>
      <start>28</start>
      <end>29</end>
      <status>unmodified</status>
      <modifiedWord/>
      <trackRevisions>false</trackRevisions>
    </reviewItem>
    <reviewItem>
      <errorID>15f2b35f-0809-4bf1-bbbc-dcefd743d559</errorID>
      <errorWord>》</errorWord>
      <group>L1_Word</group>
      <groupName>字词问题</groupName>
      <ability>L2_Typo</ability>
      <abilityName>字词错误</abilityName>
      <candidateList>
        <item>》第</item>
      </candidateList>
      <explain/>
      <paraID>61147153</paraID>
      <start>91</start>
      <end>92</end>
      <status>unmodified</status>
      <modifiedWord/>
      <trackRevisions>false</trackRevisions>
    </reviewItem>
    <reviewItem>
      <errorID>206bda92-43c4-4853-afdc-bc873774f9f4</errorID>
      <errorWord>(</errorWord>
      <group>L1_Format</group>
      <groupName>格式问题</groupName>
      <ability>L2_HalfPunc_CN</ability>
      <abilityName>全半角问题</abilityName>
      <candidateList>
        <item>（</item>
      </candidateList>
      <explain>文本全半角错误。</explain>
      <paraID>533EB0B6</paraID>
      <start>15</start>
      <end>16</end>
      <status>unmodified</status>
      <modifiedWord/>
      <trackRevisions>false</trackRevisions>
    </reviewItem>
    <reviewItem>
      <errorID>9698be20-0df2-4c75-b995-3c58ee0c47cd</errorID>
      <errorWord>)</errorWord>
      <group>L1_Format</group>
      <groupName>格式问题</groupName>
      <ability>L2_HalfPunc_CN</ability>
      <abilityName>全半角问题</abilityName>
      <candidateList>
        <item>）</item>
      </candidateList>
      <explain>文本全半角错误。</explain>
      <paraID>533EB0B6</paraID>
      <start>19</start>
      <end>20</end>
      <status>unmodified</status>
      <modifiedWord/>
      <trackRevisions>false</trackRevisions>
    </reviewItem>
    <reviewItem>
      <errorID>1e5f2f6b-98c8-4866-a8a6-dd6f82a793e9</errorID>
      <errorWord>新疆维吾尔自治区交通厅</errorWord>
      <group>L1_Knowledge</group>
      <groupName>知识性问题</groupName>
      <ability>L2_Organization</ability>
      <abilityName>机构检查</abilityName>
      <candidateList>
        <item>新疆维吾尔自治区交通运输厅</item>
      </candidateList>
      <explain>机关单位全简称表述错误</explain>
      <paraID>4F7D818C</paraID>
      <start>83</start>
      <end>94</end>
      <status>unmodified</status>
      <modifiedWord/>
      <trackRevisions>false</trackRevisions>
    </reviewItem>
    <reviewItem>
      <errorID>330842ee-1058-45b1-ac80-732754fef4d8</errorID>
      <errorWord>[2002]2号</errorWord>
      <group>L1_Knowledge</group>
      <groupName>知识性问题</groupName>
      <ability>L2_Knowledge</ability>
      <abilityName>其他知识</abilityName>
      <candidateList>
        <item>〔2002〕2号</item>
      </candidateList>
      <explain>发文字号格式错误。</explain>
      <paraID>4F7D818C</paraID>
      <start>98</start>
      <end>106</end>
      <status>unmodified</status>
      <modifiedWord/>
      <trackRevisions>false</trackRevisions>
    </reviewItem>
    <reviewItem>
      <errorID>41ad5c94-1f9e-4080-9551-65225803ebee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2D335FC</paraID>
      <start>0</start>
      <end>2</end>
      <status>unmodified</status>
      <modifiedWord/>
      <trackRevisions>false</trackRevisions>
    </reviewItem>
    <reviewItem>
      <errorID>ad5e7280-12c4-4531-a0a3-c37bcd0f4ff5</errorID>
      <errorWord>砂砾土</errorWord>
      <group>L1_Word</group>
      <groupName>字词问题</groupName>
      <ability>L2_Typo</ability>
      <abilityName>字词错误</abilityName>
      <candidateList>
        <item>沙砾土</item>
      </candidateList>
      <explain/>
      <paraID>2F4CF648</paraID>
      <start>20</start>
      <end>23</end>
      <status>unmodified</status>
      <modifiedWord/>
      <trackRevisions>false</trackRevisions>
    </reviewItem>
    <reviewItem>
      <errorID>58644041-6a83-4c08-8159-4690496b54ed</errorID>
      <errorWord>、且</errorWord>
      <group>L1_Word</group>
      <groupName>字词问题</groupName>
      <ability>L2_Typo</ability>
      <abilityName>字词错误</abilityName>
      <candidateList>
        <item>且</item>
      </candidateList>
      <explain/>
      <paraID>2F4CF648</paraID>
      <start>37</start>
      <end>39</end>
      <status>unmodified</status>
      <modifiedWord/>
      <trackRevisions>false</trackRevisions>
    </reviewItem>
    <reviewItem>
      <errorID>6ce2d91f-3106-4bb9-8bb3-eef619b0c54f</errorID>
      <errorWord>砂砾土</errorWord>
      <group>L1_Word</group>
      <groupName>字词问题</groupName>
      <ability>L2_Typo</ability>
      <abilityName>字词错误</abilityName>
      <candidateList>
        <item>沙砾土</item>
      </candidateList>
      <explain/>
      <paraID>2F4CF648</paraID>
      <start>63</start>
      <end>66</end>
      <status>unmodified</status>
      <modifiedWord/>
      <trackRevisions>false</trackRevisions>
    </reviewItem>
    <reviewItem>
      <errorID>8f658724-859d-405f-87d0-17fc9995dd5e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66DAA7C</paraID>
      <start>0</start>
      <end>2</end>
      <status>unmodified</status>
      <modifiedWord/>
      <trackRevisions>false</trackRevisions>
    </reviewItem>
    <reviewItem>
      <errorID>2925961a-d8be-4ac2-b6b4-ca464aaf6cd7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5F08BF9C</paraID>
      <start>0</start>
      <end>2</end>
      <status>unmodified</status>
      <modifiedWord/>
      <trackRevisions>false</trackRevisions>
    </reviewItem>
    <reviewItem>
      <errorID>4346dd76-86f2-4759-9236-bc15625db2c3</errorID>
      <errorWord>：</errorWord>
      <group>L1_Format</group>
      <groupName>格式问题</groupName>
      <ability>L2_HalfPunc_CN</ability>
      <abilityName>全半角问题</abilityName>
      <candidateList>
        <item>:</item>
      </candidateList>
      <explain>文本全半角错误。</explain>
      <paraID>50C911B0</paraID>
      <start>44</start>
      <end>45</end>
      <status>unmodified</status>
      <modifiedWord/>
      <trackRevisions>false</trackRevisions>
    </reviewItem>
    <reviewItem>
      <errorID>0c334a93-ee1f-41b6-b29a-07e6823aed0d</errorID>
      <errorWord>,</errorWord>
      <group>L1_Format</group>
      <groupName>格式问题</groupName>
      <ability>L2_HalfPunc_CN</ability>
      <abilityName>全半角问题</abilityName>
      <candidateList>
        <item>，</item>
      </candidateList>
      <explain>文本全半角错误。</explain>
      <paraID>12818A08</paraID>
      <start>20</start>
      <end>21</end>
      <status>unmodified</status>
      <modifiedWord/>
      <trackRevisions>false</trackRevisions>
    </reviewItem>
    <reviewItem>
      <errorID>43b5fa35-3127-4d76-a0c6-7a86f4b05369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BEC5259</paraID>
      <start>0</start>
      <end>3</end>
      <status>unmodified</status>
      <modifiedWord/>
      <trackRevisions>false</trackRevisions>
    </reviewItem>
    <reviewItem>
      <errorID>51317744-9dc1-4fce-a033-0f7818aa8de8</errorID>
      <errorWord>粘结</errorWord>
      <group>L1_Word</group>
      <groupName>字词问题</groupName>
      <ability>L2_Typo</ability>
      <abilityName>字词错误</abilityName>
      <candidateList>
        <item>黏结</item>
      </candidateList>
      <explain>存在发音相同字词的误用。</explain>
      <paraID>463D5305</paraID>
      <start>2</start>
      <end>4</end>
      <status>unmodified</status>
      <modifiedWord/>
      <trackRevisions>false</trackRevisions>
    </reviewItem>
    <reviewItem>
      <errorID>0fb3c78f-66bd-4a52-b764-e6912e841bb1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39A6BAA9</paraID>
      <start>0</start>
      <end>3</end>
      <status>unmodified</status>
      <modifiedWord/>
      <trackRevisions>false</trackRevisions>
    </reviewItem>
    <reviewItem>
      <errorID>942c346a-3b2c-4241-9648-6e45d11eca37</errorID>
      <errorWord>(</errorWord>
      <group>L1_Format</group>
      <groupName>格式问题</groupName>
      <ability>L2_HalfPunc_CN</ability>
      <abilityName>全半角问题</abilityName>
      <candidateList>
        <item>（</item>
      </candidateList>
      <explain>文本全半角错误。</explain>
      <paraID>7543D9DE</paraID>
      <start>7</start>
      <end>8</end>
      <status>unmodified</status>
      <modifiedWord/>
      <trackRevisions>false</trackRevisions>
    </reviewItem>
    <reviewItem>
      <errorID>b6d9e7b0-a020-48e4-a0b1-1cb3cc798b91</errorID>
      <errorWord>)</errorWord>
      <group>L1_Format</group>
      <groupName>格式问题</groupName>
      <ability>L2_HalfPunc_CN</ability>
      <abilityName>全半角问题</abilityName>
      <candidateList>
        <item>）</item>
      </candidateList>
      <explain>文本全半角错误。</explain>
      <paraID>7543D9DE</paraID>
      <start>10</start>
      <end>11</end>
      <status>unmodified</status>
      <modifiedWord/>
      <trackRevisions>false</trackRevisions>
    </reviewItem>
    <reviewItem>
      <errorID>8f41a126-d952-40b6-8948-7995c5c7e781</errorID>
      <errorWord>(</errorWord>
      <group>L1_Format</group>
      <groupName>格式问题</groupName>
      <ability>L2_HalfPunc_CN</ability>
      <abilityName>全半角问题</abilityName>
      <candidateList>
        <item>（</item>
      </candidateList>
      <explain>文本全半角错误。</explain>
      <paraID>4A106F24</paraID>
      <start>7</start>
      <end>8</end>
      <status>unmodified</status>
      <modifiedWord/>
      <trackRevisions>false</trackRevisions>
    </reviewItem>
    <reviewItem>
      <errorID>abccfd15-0770-4084-95b5-15bdddef6412</errorID>
      <errorWord>)</errorWord>
      <group>L1_Format</group>
      <groupName>格式问题</groupName>
      <ability>L2_HalfPunc_CN</ability>
      <abilityName>全半角问题</abilityName>
      <candidateList>
        <item>）</item>
      </candidateList>
      <explain>文本全半角错误。</explain>
      <paraID>4A106F24</paraID>
      <start>10</start>
      <end>11</end>
      <status>unmodified</status>
      <modifiedWord/>
      <trackRevisions>false</trackRevisions>
    </reviewItem>
    <reviewItem>
      <errorID>9250e697-b11b-46f0-9575-5ed9997d58d4</errorID>
      <errorWord>(</errorWord>
      <group>L1_Format</group>
      <groupName>格式问题</groupName>
      <ability>L2_HalfPunc_CN</ability>
      <abilityName>全半角问题</abilityName>
      <candidateList>
        <item>（</item>
      </candidateList>
      <explain>文本全半角错误。</explain>
      <paraID>58754A1B</paraID>
      <start>5</start>
      <end>6</end>
      <status>unmodified</status>
      <modifiedWord/>
      <trackRevisions>false</trackRevisions>
    </reviewItem>
    <reviewItem>
      <errorID>720216ee-7ade-43dc-bbde-9b5c9f94e292</errorID>
      <errorWord>)</errorWord>
      <group>L1_Format</group>
      <groupName>格式问题</groupName>
      <ability>L2_HalfPunc_CN</ability>
      <abilityName>全半角问题</abilityName>
      <candidateList>
        <item>）</item>
      </candidateList>
      <explain>文本全半角错误。</explain>
      <paraID>58754A1B</paraID>
      <start>8</start>
      <end>9</end>
      <status>unmodified</status>
      <modifiedWord/>
      <trackRevisions>false</trackRevisions>
    </reviewItem>
    <reviewItem>
      <errorID>1d42c155-01e7-4594-9887-422c590ad2a8</errorID>
      <errorWord>(</errorWord>
      <group>L1_Format</group>
      <groupName>格式问题</groupName>
      <ability>L2_HalfPunc_CN</ability>
      <abilityName>全半角问题</abilityName>
      <candidateList>
        <item>（</item>
      </candidateList>
      <explain>文本全半角错误。</explain>
      <paraID>18683DF9</paraID>
      <start>5</start>
      <end>6</end>
      <status>unmodified</status>
      <modifiedWord/>
      <trackRevisions>false</trackRevisions>
    </reviewItem>
    <reviewItem>
      <errorID>ab14c150-6ecd-4efc-83b2-a11889d12f63</errorID>
      <errorWord>)</errorWord>
      <group>L1_Format</group>
      <groupName>格式问题</groupName>
      <ability>L2_HalfPunc_CN</ability>
      <abilityName>全半角问题</abilityName>
      <candidateList>
        <item>）</item>
      </candidateList>
      <explain>文本全半角错误。</explain>
      <paraID>18683DF9</paraID>
      <start>8</start>
      <end>9</end>
      <status>unmodified</status>
      <modifiedWord/>
      <trackRevisions>false</trackRevisions>
    </reviewItem>
    <reviewItem>
      <errorID>273949eb-a63e-4398-872e-450cbdc141df</errorID>
      <errorWord>(</errorWord>
      <group>L1_Format</group>
      <groupName>格式问题</groupName>
      <ability>L2_HalfPunc_CN</ability>
      <abilityName>全半角问题</abilityName>
      <candidateList>
        <item>（</item>
      </candidateList>
      <explain>文本全半角错误。</explain>
      <paraID>3DC27399</paraID>
      <start>5</start>
      <end>6</end>
      <status>unmodified</status>
      <modifiedWord/>
      <trackRevisions>false</trackRevisions>
    </reviewItem>
    <reviewItem>
      <errorID>eefa643a-5238-4b6f-bfe0-eef70c875385</errorID>
      <errorWord>)</errorWord>
      <group>L1_Format</group>
      <groupName>格式问题</groupName>
      <ability>L2_HalfPunc_CN</ability>
      <abilityName>全半角问题</abilityName>
      <candidateList>
        <item>）</item>
      </candidateList>
      <explain>文本全半角错误。</explain>
      <paraID>3DC27399</paraID>
      <start>8</start>
      <end>9</end>
      <status>unmodified</status>
      <modifiedWord/>
      <trackRevisions>false</trackRevisions>
    </reviewItem>
    <reviewItem>
      <errorID>72878352-fd03-426d-b6e7-3254576c06c9</errorID>
      <errorWord>(</errorWord>
      <group>L1_Format</group>
      <groupName>格式问题</groupName>
      <ability>L2_HalfPunc_CN</ability>
      <abilityName>全半角问题</abilityName>
      <candidateList>
        <item>（</item>
      </candidateList>
      <explain>文本全半角错误。</explain>
      <paraID>71F5929E</paraID>
      <start>5</start>
      <end>6</end>
      <status>unmodified</status>
      <modifiedWord/>
      <trackRevisions>false</trackRevisions>
    </reviewItem>
    <reviewItem>
      <errorID>56cca450-7b93-40dc-9c5d-831303af331a</errorID>
      <errorWord>)</errorWord>
      <group>L1_Format</group>
      <groupName>格式问题</groupName>
      <ability>L2_HalfPunc_CN</ability>
      <abilityName>全半角问题</abilityName>
      <candidateList>
        <item>）</item>
      </candidateList>
      <explain>文本全半角错误。</explain>
      <paraID>71F5929E</paraID>
      <start>8</start>
      <end>9</end>
      <status>unmodified</status>
      <modifiedWord/>
      <trackRevisions>false</trackRevisions>
    </reviewItem>
    <reviewItem>
      <errorID>7fd2c47a-36df-42a6-9b74-4fd737c274cf</errorID>
      <errorWord>(</errorWord>
      <group>L1_Format</group>
      <groupName>格式问题</groupName>
      <ability>L2_HalfPunc_CN</ability>
      <abilityName>全半角问题</abilityName>
      <candidateList>
        <item>（</item>
      </candidateList>
      <explain>文本全半角错误。</explain>
      <paraID>63DC1F43</paraID>
      <start>5</start>
      <end>6</end>
      <status>unmodified</status>
      <modifiedWord/>
      <trackRevisions>false</trackRevisions>
    </reviewItem>
    <reviewItem>
      <errorID>da780a2a-414d-45e4-8444-c6f308a67107</errorID>
      <errorWord>)</errorWord>
      <group>L1_Format</group>
      <groupName>格式问题</groupName>
      <ability>L2_HalfPunc_CN</ability>
      <abilityName>全半角问题</abilityName>
      <candidateList>
        <item>）</item>
      </candidateList>
      <explain>文本全半角错误。</explain>
      <paraID>63DC1F43</paraID>
      <start>8</start>
      <end>9</end>
      <status>unmodified</status>
      <modifiedWord/>
      <trackRevisions>false</trackRevisions>
    </reviewItem>
    <reviewItem>
      <errorID>ffb8d47b-f2bc-40ea-9b65-5cd6fb12b4a2</errorID>
      <errorWord>(</errorWord>
      <group>L1_Format</group>
      <groupName>格式问题</groupName>
      <ability>L2_HalfPunc_CN</ability>
      <abilityName>全半角问题</abilityName>
      <candidateList>
        <item>（</item>
      </candidateList>
      <explain>文本全半角错误。</explain>
      <paraID>656C6B9A</paraID>
      <start>5</start>
      <end>6</end>
      <status>unmodified</status>
      <modifiedWord/>
      <trackRevisions>false</trackRevisions>
    </reviewItem>
    <reviewItem>
      <errorID>67ca58e2-ec3b-4af1-b522-119f7ec88e27</errorID>
      <errorWord>)</errorWord>
      <group>L1_Format</group>
      <groupName>格式问题</groupName>
      <ability>L2_HalfPunc_CN</ability>
      <abilityName>全半角问题</abilityName>
      <candidateList>
        <item>）</item>
      </candidateList>
      <explain>文本全半角错误。</explain>
      <paraID>656C6B9A</paraID>
      <start>8</start>
      <end>9</end>
      <status>unmodified</status>
      <modifiedWord/>
      <trackRevisions>false</trackRevisions>
    </reviewItem>
    <reviewItem>
      <errorID>98f865c3-51d8-4665-b971-01b4b9d838ee</errorID>
      <errorWord>(</errorWord>
      <group>L1_Format</group>
      <groupName>格式问题</groupName>
      <ability>L2_HalfPunc_CN</ability>
      <abilityName>全半角问题</abilityName>
      <candidateList>
        <item>（</item>
      </candidateList>
      <explain>文本全半角错误。</explain>
      <paraID>44880C59</paraID>
      <start>5</start>
      <end>6</end>
      <status>unmodified</status>
      <modifiedWord/>
      <trackRevisions>false</trackRevisions>
    </reviewItem>
    <reviewItem>
      <errorID>3f9c4b27-3af5-4193-8e96-256e7ed945ba</errorID>
      <errorWord>)</errorWord>
      <group>L1_Format</group>
      <groupName>格式问题</groupName>
      <ability>L2_HalfPunc_CN</ability>
      <abilityName>全半角问题</abilityName>
      <candidateList>
        <item>）</item>
      </candidateList>
      <explain>文本全半角错误。</explain>
      <paraID>44880C59</paraID>
      <start>8</start>
      <end>9</end>
      <status>unmodified</status>
      <modifiedWord/>
      <trackRevisions>false</trackRevisions>
    </reviewItem>
    <reviewItem>
      <errorID>77046124-7645-4bdd-a805-bfa468dc4d92</errorID>
      <errorWord>(</errorWord>
      <group>L1_Format</group>
      <groupName>格式问题</groupName>
      <ability>L2_HalfPunc_CN</ability>
      <abilityName>全半角问题</abilityName>
      <candidateList>
        <item>（</item>
      </candidateList>
      <explain>文本全半角错误。</explain>
      <paraID>4BE8C38D</paraID>
      <start>5</start>
      <end>6</end>
      <status>unmodified</status>
      <modifiedWord/>
      <trackRevisions>false</trackRevisions>
    </reviewItem>
    <reviewItem>
      <errorID>652ad577-fd18-4746-8a98-2b2b3c6f351a</errorID>
      <errorWord>)</errorWord>
      <group>L1_Format</group>
      <groupName>格式问题</groupName>
      <ability>L2_HalfPunc_CN</ability>
      <abilityName>全半角问题</abilityName>
      <candidateList>
        <item>）</item>
      </candidateList>
      <explain>文本全半角错误。</explain>
      <paraID>4BE8C38D</paraID>
      <start>8</start>
      <end>9</end>
      <status>unmodified</status>
      <modifiedWord/>
      <trackRevisions>false</trackRevisions>
    </reviewItem>
    <reviewItem>
      <errorID>427d5822-a01d-445b-a4e6-9a60113d2221</errorID>
      <errorWord>(</errorWord>
      <group>L1_Format</group>
      <groupName>格式问题</groupName>
      <ability>L2_HalfPunc_CN</ability>
      <abilityName>全半角问题</abilityName>
      <candidateList>
        <item>（</item>
      </candidateList>
      <explain>文本全半角错误。</explain>
      <paraID> 9ABB0DB</paraID>
      <start>5</start>
      <end>6</end>
      <status>unmodified</status>
      <modifiedWord/>
      <trackRevisions>false</trackRevisions>
    </reviewItem>
    <reviewItem>
      <errorID>6698cbaf-466d-43e9-aa34-12dcb9d9c50f</errorID>
      <errorWord>)</errorWord>
      <group>L1_Format</group>
      <groupName>格式问题</groupName>
      <ability>L2_HalfPunc_CN</ability>
      <abilityName>全半角问题</abilityName>
      <candidateList>
        <item>）</item>
      </candidateList>
      <explain>文本全半角错误。</explain>
      <paraID> 9ABB0DB</paraID>
      <start>8</start>
      <end>9</end>
      <status>unmodified</status>
      <modifiedWord/>
      <trackRevisions>false</trackRevisions>
    </reviewItem>
    <reviewItem>
      <errorID>5358475f-dada-426c-906f-ee7384be2014</errorID>
      <errorWord>(</errorWord>
      <group>L1_Format</group>
      <groupName>格式问题</groupName>
      <ability>L2_HalfPunc_CN</ability>
      <abilityName>全半角问题</abilityName>
      <candidateList>
        <item>（</item>
      </candidateList>
      <explain>文本全半角错误。</explain>
      <paraID>3C43276F</paraID>
      <start>5</start>
      <end>6</end>
      <status>unmodified</status>
      <modifiedWord/>
      <trackRevisions>false</trackRevisions>
    </reviewItem>
    <reviewItem>
      <errorID>b57bf5a7-6cb5-4615-a313-920a6e26f396</errorID>
      <errorWord>)</errorWord>
      <group>L1_Format</group>
      <groupName>格式问题</groupName>
      <ability>L2_HalfPunc_CN</ability>
      <abilityName>全半角问题</abilityName>
      <candidateList>
        <item>）</item>
      </candidateList>
      <explain>文本全半角错误。</explain>
      <paraID>3C43276F</paraID>
      <start>8</start>
      <end>9</end>
      <status>unmodified</status>
      <modifiedWord/>
      <trackRevisions>false</trackRevisions>
    </reviewItem>
    <reviewItem>
      <errorID>242091f9-c94b-4823-98b6-5788f679b384</errorID>
      <errorWord>(</errorWord>
      <group>L1_Format</group>
      <groupName>格式问题</groupName>
      <ability>L2_HalfPunc_CN</ability>
      <abilityName>全半角问题</abilityName>
      <candidateList>
        <item>（</item>
      </candidateList>
      <explain>文本全半角错误。</explain>
      <paraID>48567D01</paraID>
      <start>0</start>
      <end>1</end>
      <status>unmodified</status>
      <modifiedWord/>
      <trackRevisions>false</trackRevisions>
    </reviewItem>
    <reviewItem>
      <errorID>30398758-7c09-4c44-a88a-752976191e45</errorID>
      <errorWord>)</errorWord>
      <group>L1_Format</group>
      <groupName>格式问题</groupName>
      <ability>L2_HalfPunc_CN</ability>
      <abilityName>全半角问题</abilityName>
      <candidateList>
        <item>）</item>
      </candidateList>
      <explain>文本全半角错误。</explain>
      <paraID>48567D01</paraID>
      <start>3</start>
      <end>4</end>
      <status>unmodified</status>
      <modifiedWord/>
      <trackRevisions>false</trackRevisions>
    </reviewItem>
    <reviewItem>
      <errorID>36ac4b66-e223-46c5-af0b-da1f6599583a</errorID>
      <errorWord>(</errorWord>
      <group>L1_Format</group>
      <groupName>格式问题</groupName>
      <ability>L2_HalfPunc_CN</ability>
      <abilityName>全半角问题</abilityName>
      <candidateList>
        <item>（</item>
      </candidateList>
      <explain>文本全半角错误。</explain>
      <paraID>6CB8A0E4</paraID>
      <start>0</start>
      <end>1</end>
      <status>unmodified</status>
      <modifiedWord/>
      <trackRevisions>false</trackRevisions>
    </reviewItem>
    <reviewItem>
      <errorID>c85ee195-9190-48fb-b65a-b2c7e9934d55</errorID>
      <errorWord>)</errorWord>
      <group>L1_Format</group>
      <groupName>格式问题</groupName>
      <ability>L2_HalfPunc_CN</ability>
      <abilityName>全半角问题</abilityName>
      <candidateList>
        <item>）</item>
      </candidateList>
      <explain>文本全半角错误。</explain>
      <paraID>6CB8A0E4</paraID>
      <start>3</start>
      <end>4</end>
      <status>unmodified</status>
      <modifiedWord/>
      <trackRevisions>false</trackRevisions>
    </reviewItem>
    <reviewItem>
      <errorID>65a8b3e9-3099-45c5-9f60-b83cfab95d22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3774A665</paraID>
      <start>0</start>
      <end>3</end>
      <status>unmodified</status>
      <modifiedWord/>
      <trackRevisions>false</trackRevisions>
    </reviewItem>
    <reviewItem>
      <errorID>712d1642-d011-4caa-be15-a7aa3faee4d4</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1F2B7154</paraID>
      <start>0</start>
      <end>3</end>
      <status>unmodified</status>
      <modifiedWord/>
      <trackRevisions>false</trackRevisions>
    </reviewItem>
    <reviewItem>
      <errorID>a6a6f28f-389f-4c99-be82-bbb434a9f159</errorID>
      <errorWord>(</errorWord>
      <group>L1_Format</group>
      <groupName>格式问题</groupName>
      <ability>L2_HalfPunc_CN</ability>
      <abilityName>全半角问题</abilityName>
      <candidateList>
        <item>（</item>
      </candidateList>
      <explain>文本全半角错误。</explain>
      <paraID>160A6C18</paraID>
      <start>4</start>
      <end>5</end>
      <status>unmodified</status>
      <modifiedWord/>
      <trackRevisions>false</trackRevisions>
    </reviewItem>
    <reviewItem>
      <errorID>28c3ddf3-c199-42c8-9322-4611fde76bbe</errorID>
      <errorWord>)</errorWord>
      <group>L1_Format</group>
      <groupName>格式问题</groupName>
      <ability>L2_HalfPunc_CN</ability>
      <abilityName>全半角问题</abilityName>
      <candidateList>
        <item>）</item>
      </candidateList>
      <explain>文本全半角错误。</explain>
      <paraID>160A6C18</paraID>
      <start>8</start>
      <end>9</end>
      <status>unmodified</status>
      <modifiedWord/>
      <trackRevisions>false</trackRevisions>
    </reviewItem>
    <reviewItem>
      <errorID>4fe2b4b9-d5fe-4115-9386-ac621ca11f5a</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4CED9A0</paraID>
      <start>0</start>
      <end>3</end>
      <status>unmodified</status>
      <modifiedWord/>
      <trackRevisions>false</trackRevisions>
    </reviewItem>
    <reviewItem>
      <errorID>1aabb1e9-49be-456e-98ce-766816152f34</errorID>
      <errorWord>~</errorWord>
      <group>L1_Format</group>
      <groupName>格式问题</groupName>
      <ability>L2_HalfPunc_CN</ability>
      <abilityName>全半角问题</abilityName>
      <candidateList>
        <item>～</item>
      </candidateList>
      <explain>文本全半角错误。</explain>
      <paraID>108E9EC1</paraID>
      <start>61</start>
      <end>62</end>
      <status>unmodified</status>
      <modifiedWord/>
      <trackRevisions>false</trackRevisions>
    </reviewItem>
    <reviewItem>
      <errorID>caa44d19-9ec5-49be-8fa5-bd003eae192e</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6B55060F</paraID>
      <start>0</start>
      <end>4</end>
      <status>unmodified</status>
      <modifiedWord/>
      <trackRevisions>false</trackRevisions>
    </reviewItem>
    <reviewItem>
      <errorID>28b47545-26fc-4bc2-918d-d3ce5f630af9</errorID>
      <errorWord>(</errorWord>
      <group>L1_Format</group>
      <groupName>格式问题</groupName>
      <ability>L2_HalfPunc_CN</ability>
      <abilityName>全半角问题</abilityName>
      <candidateList>
        <item>（</item>
      </candidateList>
      <explain>文本全半角错误。</explain>
      <paraID> 3950905</paraID>
      <start>3</start>
      <end>4</end>
      <status>unmodified</status>
      <modifiedWord/>
      <trackRevisions>false</trackRevisions>
    </reviewItem>
    <reviewItem>
      <errorID>941f7baa-6b5d-4e2a-8104-b59c977b6c3d</errorID>
      <errorWord>)</errorWord>
      <group>L1_Format</group>
      <groupName>格式问题</groupName>
      <ability>L2_HalfPunc_CN</ability>
      <abilityName>全半角问题</abilityName>
      <candidateList>
        <item>）</item>
      </candidateList>
      <explain>文本全半角错误。</explain>
      <paraID> 3950905</paraID>
      <start>6</start>
      <end>7</end>
      <status>unmodified</status>
      <modifiedWord/>
      <trackRevisions>false</trackRevisions>
    </reviewItem>
    <reviewItem>
      <errorID>93987ecb-9166-4efd-a54a-76402fcda749</errorID>
      <errorWord>(</errorWord>
      <group>L1_Format</group>
      <groupName>格式问题</groupName>
      <ability>L2_HalfPunc_CN</ability>
      <abilityName>全半角问题</abilityName>
      <candidateList>
        <item>（</item>
      </candidateList>
      <explain>文本全半角错误。</explain>
      <paraID>6117EAA9</paraID>
      <start>4</start>
      <end>5</end>
      <status>unmodified</status>
      <modifiedWord/>
      <trackRevisions>false</trackRevisions>
    </reviewItem>
    <reviewItem>
      <errorID>8d1deef3-a2f4-44a6-819c-6a6ff38520ee</errorID>
      <errorWord>)</errorWord>
      <group>L1_Format</group>
      <groupName>格式问题</groupName>
      <ability>L2_HalfPunc_CN</ability>
      <abilityName>全半角问题</abilityName>
      <candidateList>
        <item>）</item>
      </candidateList>
      <explain>文本全半角错误。</explain>
      <paraID>6117EAA9</paraID>
      <start>6</start>
      <end>7</end>
      <status>unmodified</status>
      <modifiedWord/>
      <trackRevisions>false</trackRevisions>
    </reviewItem>
    <reviewItem>
      <errorID>87f712ca-e5d1-4ffc-ad99-5ddbb5c2aabe</errorID>
      <errorWord>(</errorWord>
      <group>L1_Format</group>
      <groupName>格式问题</groupName>
      <ability>L2_HalfPunc_CN</ability>
      <abilityName>全半角问题</abilityName>
      <candidateList>
        <item>（</item>
      </candidateList>
      <explain>文本全半角错误。</explain>
      <paraID>6D9232E7</paraID>
      <start>4</start>
      <end>5</end>
      <status>unmodified</status>
      <modifiedWord/>
      <trackRevisions>false</trackRevisions>
    </reviewItem>
    <reviewItem>
      <errorID>86acde0c-5bc8-4943-95a8-253236868688</errorID>
      <errorWord>)</errorWord>
      <group>L1_Format</group>
      <groupName>格式问题</groupName>
      <ability>L2_HalfPunc_CN</ability>
      <abilityName>全半角问题</abilityName>
      <candidateList>
        <item>）</item>
      </candidateList>
      <explain>文本全半角错误。</explain>
      <paraID>6D9232E7</paraID>
      <start>6</start>
      <end>7</end>
      <status>unmodified</status>
      <modifiedWord/>
      <trackRevisions>false</trackRevisions>
    </reviewItem>
    <reviewItem>
      <errorID>9a52faf0-f311-4246-91c8-6293e90c5b85</errorID>
      <errorWord>(</errorWord>
      <group>L1_Format</group>
      <groupName>格式问题</groupName>
      <ability>L2_HalfPunc_CN</ability>
      <abilityName>全半角问题</abilityName>
      <candidateList>
        <item>（</item>
      </candidateList>
      <explain>文本全半角错误。</explain>
      <paraID>1CB7BC22</paraID>
      <start>2</start>
      <end>3</end>
      <status>unmodified</status>
      <modifiedWord/>
      <trackRevisions>false</trackRevisions>
    </reviewItem>
    <reviewItem>
      <errorID>8e1a96c3-0c62-4156-bad6-b423d7ae7169</errorID>
      <errorWord>)</errorWord>
      <group>L1_Format</group>
      <groupName>格式问题</groupName>
      <ability>L2_HalfPunc_CN</ability>
      <abilityName>全半角问题</abilityName>
      <candidateList>
        <item>）</item>
      </candidateList>
      <explain>文本全半角错误。</explain>
      <paraID>1CB7BC22</paraID>
      <start>5</start>
      <end>6</end>
      <status>unmodified</status>
      <modifiedWord/>
      <trackRevisions>false</trackRevisions>
    </reviewItem>
    <reviewItem>
      <errorID>c0132c35-a2d6-41ed-b0c6-2ca0e1957b45</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1E935B0A</paraID>
      <start>0</start>
      <end>4</end>
      <status>unmodified</status>
      <modifiedWord/>
      <trackRevisions>false</trackRevisions>
    </reviewItem>
    <reviewItem>
      <errorID>9c6caecf-6eb0-4f3a-9513-340b35866bb3</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184E1DB4</paraID>
      <start>0</start>
      <end>4</end>
      <status>unmodified</status>
      <modifiedWord/>
      <trackRevisions>false</trackRevisions>
    </reviewItem>
    <reviewItem>
      <errorID>c615aa65-6456-40f8-9d37-73ac89a24934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190B943E</paraID>
      <start>0</start>
      <end>3</end>
      <status>unmodified</status>
      <modifiedWord/>
      <trackRevisions>false</trackRevisions>
    </reviewItem>
    <reviewItem>
      <errorID>603e76e9-d8a2-4ba7-bee4-45797675922e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15BDE271</paraID>
      <start>0</start>
      <end>3</end>
      <status>unmodified</status>
      <modifiedWord/>
      <trackRevisions>false</trackRevisions>
    </reviewItem>
    <reviewItem>
      <errorID>e7591bb4-16d8-45bd-bd86-0b1997b000ff</errorID>
      <errorWord>拌合站</errorWord>
      <group>L1_Word</group>
      <groupName>字词问题</groupName>
      <ability>L2_Typo</ability>
      <abilityName>字词错误</abilityName>
      <candidateList>
        <item>拌和站</item>
      </candidateList>
      <explain>存在发音相同字词的误用。</explain>
      <paraID>30A4BB41</paraID>
      <start>13</start>
      <end>16</end>
      <status>unmodified</status>
      <modifiedWord/>
      <trackRevisions>false</trackRevisions>
    </reviewItem>
    <reviewItem>
      <errorID>fa6d2380-35bd-4f1d-bfe7-e80f0cec6e92</errorID>
      <errorWord>(</errorWord>
      <group>L1_Format</group>
      <groupName>格式问题</groupName>
      <ability>L2_HalfPunc_CN</ability>
      <abilityName>全半角问题</abilityName>
      <candidateList>
        <item>（</item>
      </candidateList>
      <explain>文本全半角错误。</explain>
      <paraID>7BE20EC9</paraID>
      <start>5</start>
      <end>6</end>
      <status>unmodified</status>
      <modifiedWord/>
      <trackRevisions>false</trackRevisions>
    </reviewItem>
    <reviewItem>
      <errorID>96beb19f-507f-4b2b-9623-8ba071e56eca</errorID>
      <errorWord>)</errorWord>
      <group>L1_Format</group>
      <groupName>格式问题</groupName>
      <ability>L2_HalfPunc_CN</ability>
      <abilityName>全半角问题</abilityName>
      <candidateList>
        <item>）</item>
      </candidateList>
      <explain>文本全半角错误。</explain>
      <paraID>7BE20EC9</paraID>
      <start>7</start>
      <end>8</end>
      <status>unmodified</status>
      <modifiedWord/>
      <trackRevisions>false</trackRevisions>
    </reviewItem>
    <reviewItem>
      <errorID>e756fb05-0d98-4146-b1f3-5ec3e5a6e713</errorID>
      <errorWord>(</errorWord>
      <group>L1_Format</group>
      <groupName>格式问题</groupName>
      <ability>L2_HalfPunc_CN</ability>
      <abilityName>全半角问题</abilityName>
      <candidateList>
        <item>（</item>
      </candidateList>
      <explain>文本全半角错误。</explain>
      <paraID>7C4930B9</paraID>
      <start>2</start>
      <end>3</end>
      <status>unmodified</status>
      <modifiedWord/>
      <trackRevisions>false</trackRevisions>
    </reviewItem>
    <reviewItem>
      <errorID>51483322-422f-4046-83c0-982489b907c0</errorID>
      <errorWord>)</errorWord>
      <group>L1_Format</group>
      <groupName>格式问题</groupName>
      <ability>L2_HalfPunc_CN</ability>
      <abilityName>全半角问题</abilityName>
      <candidateList>
        <item>）</item>
      </candidateList>
      <explain>文本全半角错误。</explain>
      <paraID>7C4930B9</paraID>
      <start>4</start>
      <end>5</end>
      <status>unmodified</status>
      <modifiedWord/>
      <trackRevisions>false</trackRevisions>
    </reviewItem>
    <reviewItem>
      <errorID>aba0d6a2-a1ac-4ba6-b430-8278bb6cc2f8</errorID>
      <errorWord>(</errorWord>
      <group>L1_Format</group>
      <groupName>格式问题</groupName>
      <ability>L2_HalfPunc_CN</ability>
      <abilityName>全半角问题</abilityName>
      <candidateList>
        <item>（</item>
      </candidateList>
      <explain>文本全半角错误。</explain>
      <paraID>1EDF1E8C</paraID>
      <start>7</start>
      <end>8</end>
      <status>unmodified</status>
      <modifiedWord/>
      <trackRevisions>false</trackRevisions>
    </reviewItem>
    <reviewItem>
      <errorID>efab1beb-0036-484e-a4b7-f94227ee982d</errorID>
      <errorWord>)</errorWord>
      <group>L1_Format</group>
      <groupName>格式问题</groupName>
      <ability>L2_HalfPunc_CN</ability>
      <abilityName>全半角问题</abilityName>
      <candidateList>
        <item>）</item>
      </candidateList>
      <explain>文本全半角错误。</explain>
      <paraID>1EDF1E8C</paraID>
      <start>11</start>
      <end>12</end>
      <status>unmodified</status>
      <modifiedWord/>
      <trackRevisions>false</trackRevisions>
    </reviewItem>
    <reviewItem>
      <errorID>69ea5885-d537-4df5-97c2-4c8299841e06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2510B2A5</paraID>
      <start>0</start>
      <end>3</end>
      <status>unmodified</status>
      <modifiedWord/>
      <trackRevisions>false</trackRevisions>
    </reviewItem>
    <reviewItem>
      <errorID>12701231-0378-4c17-b98a-8419eb418786</errorID>
      <errorWord>(</errorWord>
      <group>L1_Format</group>
      <groupName>格式问题</groupName>
      <ability>L2_HalfPunc_CN</ability>
      <abilityName>全半角问题</abilityName>
      <candidateList>
        <item>（</item>
      </candidateList>
      <explain>文本全半角错误。</explain>
      <paraID>34E97F3C</paraID>
      <start>3</start>
      <end>4</end>
      <status>unmodified</status>
      <modifiedWord/>
      <trackRevisions>false</trackRevisions>
    </reviewItem>
    <reviewItem>
      <errorID>9d2c508b-db0a-4370-a8a0-7aab747b00a8</errorID>
      <errorWord>)</errorWord>
      <group>L1_Format</group>
      <groupName>格式问题</groupName>
      <ability>L2_HalfPunc_CN</ability>
      <abilityName>全半角问题</abilityName>
      <candidateList>
        <item>）</item>
      </candidateList>
      <explain>文本全半角错误。</explain>
      <paraID>34E97F3C</paraID>
      <start>5</start>
      <end>6</end>
      <status>unmodified</status>
      <modifiedWord/>
      <trackRevisions>false</trackRevisions>
    </reviewItem>
    <reviewItem>
      <errorID>c612d5e6-4624-4f20-84a7-024e5e5c1f72</errorID>
      <errorWord>(</errorWord>
      <group>L1_Format</group>
      <groupName>格式问题</groupName>
      <ability>L2_HalfPunc_CN</ability>
      <abilityName>全半角问题</abilityName>
      <candidateList>
        <item>（</item>
      </candidateList>
      <explain>文本全半角错误。</explain>
      <paraID>5F7E6C73</paraID>
      <start>2</start>
      <end>3</end>
      <status>unmodified</status>
      <modifiedWord/>
      <trackRevisions>false</trackRevisions>
    </reviewItem>
    <reviewItem>
      <errorID>a321f6fd-8424-460d-bbb1-99aa11372f88</errorID>
      <errorWord>)</errorWord>
      <group>L1_Format</group>
      <groupName>格式问题</groupName>
      <ability>L2_HalfPunc_CN</ability>
      <abilityName>全半角问题</abilityName>
      <candidateList>
        <item>）</item>
      </candidateList>
      <explain>文本全半角错误。</explain>
      <paraID>5F7E6C73</paraID>
      <start>5</start>
      <end>6</end>
      <status>unmodified</status>
      <modifiedWord/>
      <trackRevisions>false</trackRevisions>
    </reviewItem>
    <reviewItem>
      <errorID>0d63a7cc-2e8f-462d-a088-1ab746410328</errorID>
      <errorWord>(</errorWord>
      <group>L1_Format</group>
      <groupName>格式问题</groupName>
      <ability>L2_HalfPunc_CN</ability>
      <abilityName>全半角问题</abilityName>
      <candidateList>
        <item>（</item>
      </candidateList>
      <explain>文本全半角错误。</explain>
      <paraID>1013639A</paraID>
      <start>4</start>
      <end>5</end>
      <status>unmodified</status>
      <modifiedWord/>
      <trackRevisions>false</trackRevisions>
    </reviewItem>
    <reviewItem>
      <errorID>fc20861b-7c0b-4862-9e7a-b9bf2feb9a1b</errorID>
      <errorWord>)</errorWord>
      <group>L1_Format</group>
      <groupName>格式问题</groupName>
      <ability>L2_HalfPunc_CN</ability>
      <abilityName>全半角问题</abilityName>
      <candidateList>
        <item>）</item>
      </candidateList>
      <explain>文本全半角错误。</explain>
      <paraID>1013639A</paraID>
      <start>6</start>
      <end>7</end>
      <status>unmodified</status>
      <modifiedWord/>
      <trackRevisions>false</trackRevisions>
    </reviewItem>
    <reviewItem>
      <errorID>0c27a527-f5b1-47f9-bd78-5b5f5a509cb7</errorID>
      <errorWord>(</errorWord>
      <group>L1_Format</group>
      <groupName>格式问题</groupName>
      <ability>L2_HalfPunc_CN</ability>
      <abilityName>全半角问题</abilityName>
      <candidateList>
        <item>（</item>
      </candidateList>
      <explain>文本全半角错误。</explain>
      <paraID>52E0CD08</paraID>
      <start>7</start>
      <end>8</end>
      <status>unmodified</status>
      <modifiedWord/>
      <trackRevisions>false</trackRevisions>
    </reviewItem>
    <reviewItem>
      <errorID>fa4c41a5-10d3-4b2c-9caf-1598f017eeea</errorID>
      <errorWord>)</errorWord>
      <group>L1_Format</group>
      <groupName>格式问题</groupName>
      <ability>L2_HalfPunc_CN</ability>
      <abilityName>全半角问题</abilityName>
      <candidateList>
        <item>）</item>
      </candidateList>
      <explain>文本全半角错误。</explain>
      <paraID>52E0CD08</paraID>
      <start>11</start>
      <end>12</end>
      <status>unmodified</status>
      <modifiedWord/>
      <trackRevisions>false</trackRevisions>
    </reviewItem>
    <reviewItem>
      <errorID>3aec06a6-ba43-48d8-8adf-60eec2ad6021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529B3151</paraID>
      <start>0</start>
      <end>3</end>
      <status>unmodified</status>
      <modifiedWord/>
      <trackRevisions>false</trackRevisions>
    </reviewItem>
    <reviewItem>
      <errorID>890c5754-5b05-4140-a7b8-d95983da4a7c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567012F1</paraID>
      <start>0</start>
      <end>3</end>
      <status>unmodified</status>
      <modifiedWord/>
      <trackRevisions>false</trackRevisions>
    </reviewItem>
    <reviewItem>
      <errorID>fa099a0c-7f85-40b1-b071-a7169c8c8ffc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1A3AB2F3</paraID>
      <start>0</start>
      <end>3</end>
      <status>unmodified</status>
      <modifiedWord/>
      <trackRevisions>false</trackRevisions>
    </reviewItem>
    <reviewItem>
      <errorID>698e741a-d305-48ee-b861-0308447eb74f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2F5C06C0</paraID>
      <start>1</start>
      <end>4</end>
      <status>unmodified</status>
      <modifiedWord/>
      <trackRevisions>false</trackRevisions>
    </reviewItem>
    <reviewItem>
      <errorID>537359c9-c610-4886-9146-7ecb42146421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4435B39D</paraID>
      <start>0</start>
      <end>3</end>
      <status>unmodified</status>
      <modifiedWord/>
      <trackRevisions>false</trackRevisions>
    </reviewItem>
    <reviewItem>
      <errorID>be0b9912-6d78-4ef1-8d05-17c8d0eb39a8</errorID>
      <errorWord>拌合站</errorWord>
      <group>L1_Word</group>
      <groupName>字词问题</groupName>
      <ability>L2_Typo</ability>
      <abilityName>字词错误</abilityName>
      <candidateList>
        <item>拌和站</item>
      </candidateList>
      <explain>存在发音相同字词的误用。</explain>
      <paraID>1CC51BC2</paraID>
      <start>116</start>
      <end>119</end>
      <status>unmodified</status>
      <modifiedWord/>
      <trackRevisions>false</trackRevisions>
    </reviewItem>
    <reviewItem>
      <errorID>c86197fa-5633-4c5b-8163-93cfcc5a5c83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3CC4EB5F</paraID>
      <start>0</start>
      <end>3</end>
      <status>unmodified</status>
      <modifiedWord/>
      <trackRevisions>false</trackRevisions>
    </reviewItem>
    <reviewItem>
      <errorID>ff3c0208-202d-4ff1-9a02-49609a372a3e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76CAC41F</paraID>
      <start>0</start>
      <end>3</end>
      <status>unmodified</status>
      <modifiedWord/>
      <trackRevisions>false</trackRevisions>
    </reviewItem>
    <reviewItem>
      <errorID>75377be2-6b9a-4e5f-a541-c15c04695fd2</errorID>
      <errorWord>拌合</errorWord>
      <group>L1_Word</group>
      <groupName>字词问题</groupName>
      <ability>L2_Typo</ability>
      <abilityName>字词错误</abilityName>
      <candidateList>
        <item>拌和</item>
      </candidateList>
      <explain/>
      <paraID>7AE8340A</paraID>
      <start>63</start>
      <end>65</end>
      <status>unmodified</status>
      <modifiedWord/>
      <trackRevisions>false</trackRevisions>
    </reviewItem>
    <reviewItem>
      <errorID>77e0ce29-5fa1-4881-a038-988d18d3bf6f</errorID>
      <errorWord>拌合</errorWord>
      <group>L1_Word</group>
      <groupName>字词问题</groupName>
      <ability>L2_Typo</ability>
      <abilityName>字词错误</abilityName>
      <candidateList>
        <item>拌和</item>
      </candidateList>
      <explain>存在发音相同字词的误用。</explain>
      <paraID>64938437</paraID>
      <start>2</start>
      <end>4</end>
      <status>unmodified</status>
      <modifiedWord/>
      <trackRevisions>false</trackRevisions>
    </reviewItem>
    <reviewItem>
      <errorID>79538313-5a9a-4b5f-bcc6-912e82cfa495</errorID>
      <errorWord>拌合</errorWord>
      <group>L1_Word</group>
      <groupName>字词问题</groupName>
      <ability>L2_Typo</ability>
      <abilityName>字词错误</abilityName>
      <candidateList>
        <item>拌和</item>
      </candidateList>
      <explain>存在发音相同字词的误用。</explain>
      <paraID>14A058D9</paraID>
      <start>2</start>
      <end>4</end>
      <status>unmodified</status>
      <modifiedWord/>
      <trackRevisions>false</trackRevisions>
    </reviewItem>
    <reviewItem>
      <errorID>bf2b5778-0775-4ba1-97be-baf237e64bce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4A784A2F</paraID>
      <start>0</start>
      <end>3</end>
      <status>unmodified</status>
      <modifiedWord/>
      <trackRevisions>false</trackRevisions>
    </reviewItem>
    <reviewItem>
      <errorID>0da46b75-d76a-4948-92e3-6e0945e1309d</errorID>
      <errorWord>拌合</errorWord>
      <group>L1_Word</group>
      <groupName>字词问题</groupName>
      <ability>L2_Typo</ability>
      <abilityName>字词错误</abilityName>
      <candidateList>
        <item>拌和</item>
      </candidateList>
      <explain>存在发音相同字词的误用。</explain>
      <paraID>56F99479</paraID>
      <start>106</start>
      <end>108</end>
      <status>unmodified</status>
      <modifiedWord/>
      <trackRevisions>false</trackRevisions>
    </reviewItem>
    <reviewItem>
      <errorID>fcb2ae5c-a4df-4215-884f-7a0c6be3d35e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1B2EAB61</paraID>
      <start>0</start>
      <end>3</end>
      <status>unmodified</status>
      <modifiedWord/>
      <trackRevisions>false</trackRevisions>
    </reviewItem>
    <reviewItem>
      <errorID>f3d78b6a-8160-426e-ab0d-1d852a3701fe</errorID>
      <errorWord>拌合站</errorWord>
      <group>L1_Word</group>
      <groupName>字词问题</groupName>
      <ability>L2_Typo</ability>
      <abilityName>字词错误</abilityName>
      <candidateList>
        <item>拌和站</item>
      </candidateList>
      <explain>存在发音相同字词的误用。</explain>
      <paraID>1B2EAB61</paraID>
      <start>6</start>
      <end>9</end>
      <status>unmodified</status>
      <modifiedWord/>
      <trackRevisions>false</trackRevisions>
    </reviewItem>
    <reviewItem>
      <errorID>acda913f-f2cd-4223-8c79-4228fc564116</errorID>
      <errorWord>拌和</errorWord>
      <group>L1_Word</group>
      <groupName>字词问题</groupName>
      <ability>L2_Typo</ability>
      <abilityName>字词错误</abilityName>
      <candidateList>
        <item>拌合</item>
      </candidateList>
      <explain>存在发音相同字词的误用。</explain>
      <paraID>64A7FDB4</paraID>
      <start>2</start>
      <end>4</end>
      <status>unmodified</status>
      <modifiedWord/>
      <trackRevisions>false</trackRevisions>
    </reviewItem>
    <reviewItem>
      <errorID>d40cb24c-cfa2-42e3-bfa3-160dea195709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47A4D9F</paraID>
      <start>0</start>
      <end>3</end>
      <status>unmodified</status>
      <modifiedWord/>
      <trackRevisions>false</trackRevisions>
    </reviewItem>
    <reviewItem>
      <errorID>1a0f070f-ae13-4b3e-a85a-b02c2dbb64be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4DAF7EC4</paraID>
      <start>0</start>
      <end>3</end>
      <status>unmodified</status>
      <modifiedWord/>
      <trackRevisions>false</trackRevisions>
    </reviewItem>
    <reviewItem>
      <errorID>483084cb-23b4-467b-9af8-fe7c5505b7ee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135D15E2</paraID>
      <start>0</start>
      <end>3</end>
      <status>unmodified</status>
      <modifiedWord/>
      <trackRevisions>false</trackRevisions>
    </reviewItem>
    <reviewItem>
      <errorID>523d6d83-a7bc-422b-837a-d32dc62b1d81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7C720633</paraID>
      <start>0</start>
      <end>3</end>
      <status>unmodified</status>
      <modifiedWord/>
      <trackRevisions>false</trackRevisions>
    </reviewItem>
    <reviewItem>
      <errorID>8674f770-12bc-4cb7-b027-45b463a00fe3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40D4BB9F</paraID>
      <start>13</start>
      <end>14</end>
      <status>unmodified</status>
      <modifiedWord/>
      <trackRevisions>false</trackRevisions>
    </reviewItem>
    <reviewItem>
      <errorID>415bc789-ab5d-4fd5-9be5-a9c3bdd08f09</errorID>
      <errorWord>~</errorWord>
      <group>L1_Format</group>
      <groupName>格式问题</groupName>
      <ability>L2_HalfPunc_CN</ability>
      <abilityName>全半角问题</abilityName>
      <candidateList>
        <item>～</item>
      </candidateList>
      <explain>文本全半角错误。</explain>
      <paraID>7184DE1C</paraID>
      <start>156</start>
      <end>157</end>
      <status>unmodified</status>
      <modifiedWord/>
      <trackRevisions>false</trackRevisions>
    </reviewItem>
    <reviewItem>
      <errorID>45fc3594-5197-4726-b5ec-edd799e2b073</errorID>
      <errorWord>~</errorWord>
      <group>L1_Format</group>
      <groupName>格式问题</groupName>
      <ability>L2_HalfPunc_CN</ability>
      <abilityName>全半角问题</abilityName>
      <candidateList>
        <item>～</item>
      </candidateList>
      <explain>文本全半角错误。</explain>
      <paraID>575AFF81</paraID>
      <start>83</start>
      <end>84</end>
      <status>unmodified</status>
      <modifiedWord/>
      <trackRevisions>false</trackRevisions>
    </reviewItem>
    <reviewItem>
      <errorID>c503f5dc-ce7a-4c28-a3ca-fe745b6c5ab4</errorID>
      <errorWord>~</errorWord>
      <group>L1_Format</group>
      <groupName>格式问题</groupName>
      <ability>L2_HalfPunc_CN</ability>
      <abilityName>全半角问题</abilityName>
      <candidateList>
        <item>～</item>
      </candidateList>
      <explain>文本全半角错误。</explain>
      <paraID>575AFF81</paraID>
      <start>128</start>
      <end>129</end>
      <status>unmodified</status>
      <modifiedWord/>
      <trackRevisions>false</trackRevisions>
    </reviewItem>
    <reviewItem>
      <errorID>9aae7293-8dfc-4cfc-9221-8a547d4f27f4</errorID>
      <errorWord>平</errorWord>
      <group>L1_Word</group>
      <groupName>字词问题</groupName>
      <ability>L2_Typo</ability>
      <abilityName>字词错误</abilityName>
      <candidateList>
        <item>平均</item>
      </candidateList>
      <explain/>
      <paraID>575AFF81</paraID>
      <start>136</start>
      <end>137</end>
      <status>unmodified</status>
      <modifiedWord/>
      <trackRevisions>false</trackRevisions>
    </reviewItem>
    <reviewItem>
      <errorID>773d8bf9-f0e0-4646-bf58-39d5f9f9e8a7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418A21C3</paraID>
      <start>0</start>
      <end>3</end>
      <status>unmodified</status>
      <modifiedWord/>
      <trackRevisions>false</trackRevisions>
    </reviewItem>
    <reviewItem>
      <errorID>8af50d1f-1155-4061-868a-a41808dee6cc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5C47D60D</paraID>
      <start>0</start>
      <end>3</end>
      <status>unmodified</status>
      <modifiedWord/>
      <trackRevisions>false</trackRevisions>
    </reviewItem>
    <reviewItem>
      <errorID>a7cac9ba-f5c3-47d8-a9c8-822f39eecfbf</errorID>
      <errorWord>~</errorWord>
      <group>L1_Format</group>
      <groupName>格式问题</groupName>
      <ability>L2_HalfPunc_CN</ability>
      <abilityName>全半角问题</abilityName>
      <candidateList>
        <item>～</item>
      </candidateList>
      <explain>文本全半角错误。</explain>
      <paraID>49C7E121</paraID>
      <start>11</start>
      <end>12</end>
      <status>unmodified</status>
      <modifiedWord/>
      <trackRevisions>false</trackRevisions>
    </reviewItem>
    <reviewItem>
      <errorID>0f8565e1-2865-495d-a540-d23b9d5e74e3</errorID>
      <errorWord>~</errorWord>
      <group>L1_Format</group>
      <groupName>格式问题</groupName>
      <ability>L2_HalfPunc_CN</ability>
      <abilityName>全半角问题</abilityName>
      <candidateList>
        <item>～</item>
      </candidateList>
      <explain>文本全半角错误。</explain>
      <paraID>49C7E121</paraID>
      <start>20</start>
      <end>21</end>
      <status>unmodified</status>
      <modifiedWord/>
      <trackRevisions>false</trackRevisions>
    </reviewItem>
    <reviewItem>
      <errorID>105d78a1-d656-4dc2-ab8b-7f43b98c093f</errorID>
      <errorWord>~</errorWord>
      <group>L1_Format</group>
      <groupName>格式问题</groupName>
      <ability>L2_HalfPunc_CN</ability>
      <abilityName>全半角问题</abilityName>
      <candidateList>
        <item>～</item>
      </candidateList>
      <explain>文本全半角错误。</explain>
      <paraID>49C7E121</paraID>
      <start>57</start>
      <end>58</end>
      <status>unmodified</status>
      <modifiedWord/>
      <trackRevisions>false</trackRevisions>
    </reviewItem>
    <reviewItem>
      <errorID>056acbc0-f19a-44eb-9808-fd7a37bf1130</errorID>
      <errorWord>)</errorWord>
      <group>L1_Format</group>
      <groupName>格式问题</groupName>
      <ability>L2_HalfPunc_CN</ability>
      <abilityName>全半角问题</abilityName>
      <candidateList>
        <item>）</item>
      </candidateList>
      <explain>文本全半角错误。</explain>
      <paraID>48F0DDD5</paraID>
      <start>73</start>
      <end>74</end>
      <status>unmodified</status>
      <modifiedWord/>
      <trackRevisions>false</trackRevisions>
    </reviewItem>
    <reviewItem>
      <errorID>0e0ab674-bdb3-453a-9b91-f86a2f3548aa</errorID>
      <errorWord>)</errorWord>
      <group>L1_Format</group>
      <groupName>格式问题</groupName>
      <ability>L2_HalfPunc_CN</ability>
      <abilityName>全半角问题</abilityName>
      <candidateList>
        <item>）</item>
      </candidateList>
      <explain>文本全半角错误。</explain>
      <paraID>48F0DDD5</paraID>
      <start>83</start>
      <end>84</end>
      <status>unmodified</status>
      <modifiedWord/>
      <trackRevisions>false</trackRevisions>
    </reviewItem>
    <reviewItem>
      <errorID>c68d4cc1-3fd3-4756-8aec-50a4c145be42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CC44AF7</paraID>
      <start>0</start>
      <end>3</end>
      <status>unmodified</status>
      <modifiedWord/>
      <trackRevisions>false</trackRevisions>
    </reviewItem>
    <reviewItem>
      <errorID>86fdbcd9-b047-4973-bf7c-5ce643fe1cc5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442159A</paraID>
      <start>0</start>
      <end>3</end>
      <status>unmodified</status>
      <modifiedWord/>
      <trackRevisions>false</trackRevisions>
    </reviewItem>
    <reviewItem>
      <errorID>7ca42e55-402f-4c2e-93b1-166e33548e5b</errorID>
      <errorWord>(</errorWord>
      <group>L1_Format</group>
      <groupName>格式问题</groupName>
      <ability>L2_HalfPunc_CN</ability>
      <abilityName>全半角问题</abilityName>
      <candidateList>
        <item>（</item>
      </candidateList>
      <explain>文本全半角错误。</explain>
      <paraID>50911409</paraID>
      <start>4</start>
      <end>5</end>
      <status>unmodified</status>
      <modifiedWord/>
      <trackRevisions>false</trackRevisions>
    </reviewItem>
    <reviewItem>
      <errorID>d2f5c483-1796-454d-90d9-bf380ad745cf</errorID>
      <errorWord>)</errorWord>
      <group>L1_Format</group>
      <groupName>格式问题</groupName>
      <ability>L2_HalfPunc_CN</ability>
      <abilityName>全半角问题</abilityName>
      <candidateList>
        <item>）</item>
      </candidateList>
      <explain>文本全半角错误。</explain>
      <paraID>50911409</paraID>
      <start>10</start>
      <end>11</end>
      <status>unmodified</status>
      <modifiedWord/>
      <trackRevisions>false</trackRevisions>
    </reviewItem>
    <reviewItem>
      <errorID>12a10bea-eb7c-486e-913d-d2a0a9d95c6b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70F29F09</paraID>
      <start>50</start>
      <end>51</end>
      <status>unmodified</status>
      <modifiedWord/>
      <trackRevisions>false</trackRevisions>
    </reviewItem>
    <reviewItem>
      <errorID>b2c92bb7-c2ae-4c76-afe5-201f7b45e4f2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26CC04B9</paraID>
      <start>0</start>
      <end>3</end>
      <status>unmodified</status>
      <modifiedWord/>
      <trackRevisions>false</trackRevisions>
    </reviewItem>
    <reviewItem>
      <errorID>b66f4292-77e0-41b9-bbba-7c0a30c6e9d9</errorID>
      <errorWord>~</errorWord>
      <group>L1_Format</group>
      <groupName>格式问题</groupName>
      <ability>L2_HalfPunc_CN</ability>
      <abilityName>全半角问题</abilityName>
      <candidateList>
        <item>～</item>
      </candidateList>
      <explain>文本全半角错误。</explain>
      <paraID>6D37DE1A</paraID>
      <start>85</start>
      <end>86</end>
      <status>unmodified</status>
      <modifiedWord/>
      <trackRevisions>false</trackRevisions>
    </reviewItem>
    <reviewItem>
      <errorID>9a4e3db4-30fa-4b33-8453-7207a3c62961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C3900B7</paraID>
      <start>0</start>
      <end>3</end>
      <status>unmodified</status>
      <modifiedWord/>
      <trackRevisions>false</trackRevisions>
    </reviewItem>
    <reviewItem>
      <errorID>5404a075-2eec-4dab-ae4f-ba130c8c9a17</errorID>
      <errorWord>04月23日</errorWord>
      <group>L1_Knowledge</group>
      <groupName>知识性问题</groupName>
      <ability>L2_Time</ability>
      <abilityName>日期时间</abilityName>
      <candidateList>
        <item>4月23日</item>
      </candidateList>
      <explain>根据日常书写习惯，月份一般会省略前导零。</explain>
      <paraID>559AA975</paraID>
      <start>0</start>
      <end>6</end>
      <status>unmodified</status>
      <modifiedWord/>
      <trackRevisions>false</trackRevisions>
    </reviewItem>
    <reviewItem>
      <errorID>17b65928-3d7f-4e8d-8629-e2d875b82c9e</errorID>
      <errorWord>04月24日</errorWord>
      <group>L1_Knowledge</group>
      <groupName>知识性问题</groupName>
      <ability>L2_Time</ability>
      <abilityName>日期时间</abilityName>
      <candidateList>
        <item>4月24日</item>
      </candidateList>
      <explain>根据日常书写习惯，月份一般会省略前导零。</explain>
      <paraID> 9727C29</paraID>
      <start>0</start>
      <end>6</end>
      <status>unmodified</status>
      <modifiedWord/>
      <trackRevisions>false</trackRevisions>
    </reviewItem>
    <reviewItem>
      <errorID>c87e85f4-fb15-47c8-b87f-5b22e1f77aa5</errorID>
      <errorWord>04月25日</errorWord>
      <group>L1_Knowledge</group>
      <groupName>知识性问题</groupName>
      <ability>L2_Time</ability>
      <abilityName>日期时间</abilityName>
      <candidateList>
        <item>4月25日</item>
      </candidateList>
      <explain>根据日常书写习惯，月份一般会省略前导零。</explain>
      <paraID>5F24A822</paraID>
      <start>0</start>
      <end>6</end>
      <status>unmodified</status>
      <modifiedWord/>
      <trackRevisions>false</trackRevisions>
    </reviewItem>
    <reviewItem>
      <errorID>ff6e869b-95c5-4927-8610-0e8b288a579a</errorID>
      <errorWord>04月23日</errorWord>
      <group>L1_Knowledge</group>
      <groupName>知识性问题</groupName>
      <ability>L2_Time</ability>
      <abilityName>日期时间</abilityName>
      <candidateList>
        <item>4月23日</item>
      </candidateList>
      <explain>根据日常书写习惯，月份一般会省略前导零。</explain>
      <paraID>4DFF5016</paraID>
      <start>0</start>
      <end>6</end>
      <status>unmodified</status>
      <modifiedWord/>
      <trackRevisions>false</trackRevisions>
    </reviewItem>
    <reviewItem>
      <errorID>7d53c021-b559-4275-803c-8d11c7d2e161</errorID>
      <errorWord>04月24日</errorWord>
      <group>L1_Knowledge</group>
      <groupName>知识性问题</groupName>
      <ability>L2_Time</ability>
      <abilityName>日期时间</abilityName>
      <candidateList>
        <item>4月24日</item>
      </candidateList>
      <explain>根据日常书写习惯，月份一般会省略前导零。</explain>
      <paraID>3F49A4C0</paraID>
      <start>0</start>
      <end>6</end>
      <status>unmodified</status>
      <modifiedWord/>
      <trackRevisions>false</trackRevisions>
    </reviewItem>
    <reviewItem>
      <errorID>8b2b7ad7-b7ca-4bbe-8f7e-cc929ec3e56f</errorID>
      <errorWord>04月25日</errorWord>
      <group>L1_Knowledge</group>
      <groupName>知识性问题</groupName>
      <ability>L2_Time</ability>
      <abilityName>日期时间</abilityName>
      <candidateList>
        <item>4月25日</item>
      </candidateList>
      <explain>根据日常书写习惯，月份一般会省略前导零。</explain>
      <paraID>5FE2F06D</paraID>
      <start>0</start>
      <end>6</end>
      <status>unmodified</status>
      <modifiedWord/>
      <trackRevisions>false</trackRevisions>
    </reviewItem>
    <reviewItem>
      <errorID>51c98e71-4140-4cd1-9d66-8d04056a3891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371B370D</paraID>
      <start>96</start>
      <end>97</end>
      <status>unmodified</status>
      <modifiedWord/>
      <trackRevisions>false</trackRevisions>
    </reviewItem>
    <reviewItem>
      <errorID>9f018d83-2655-4254-8cc7-a16d8493f261</errorID>
      <errorWord>-</errorWord>
      <group>L1_Format</group>
      <groupName>格式问题</groupName>
      <ability>L2_HalfPunc_CN</ability>
      <abilityName>全半角问题</abilityName>
      <candidateList>
        <item>－</item>
      </candidateList>
      <explain>文本全半角错误。</explain>
      <paraID>35FB1535</paraID>
      <start>45</start>
      <end>46</end>
      <status>unmodified</status>
      <modifiedWord/>
      <trackRevisions>false</trackRevisions>
    </reviewItem>
    <reviewItem>
      <errorID>bee740d1-8bd9-4a6d-a637-8d22e5e1e654</errorID>
      <errorWord>-</errorWord>
      <group>L1_Format</group>
      <groupName>格式问题</groupName>
      <ability>L2_HalfPunc_CN</ability>
      <abilityName>全半角问题</abilityName>
      <candidateList>
        <item>－</item>
      </candidateList>
      <explain>文本全半角错误。</explain>
      <paraID>35FB1535</paraID>
      <start>67</start>
      <end>68</end>
      <status>unmodified</status>
      <modifiedWord/>
      <trackRevisions>false</trackRevisions>
    </reviewItem>
    <reviewItem>
      <errorID>4596f9d6-7076-4076-a166-cfc6c709ab29</errorID>
      <errorWord>新疆自治区级</errorWord>
      <group>L1_Word</group>
      <groupName>字词问题</groupName>
      <ability>L2_Typo</ability>
      <abilityName>字词错误</abilityName>
      <candidateList>
        <item>新疆维吾尔自治区级</item>
      </candidateList>
      <explain/>
      <paraID>6B8AB206</paraID>
      <start>164</start>
      <end>170</end>
      <status>unmodified</status>
      <modifiedWord/>
      <trackRevisions>false</trackRevisions>
    </reviewItem>
    <reviewItem>
      <errorID>5e8cee12-d1eb-4cdb-9e6f-a465cfacdbd1</errorID>
      <errorWord>新疆自治区级</errorWord>
      <group>L1_Word</group>
      <groupName>字词问题</groupName>
      <ability>L2_Typo</ability>
      <abilityName>字词错误</abilityName>
      <candidateList>
        <item>新疆维吾尔自治区级</item>
      </candidateList>
      <explain/>
      <paraID>1E28CFFC</paraID>
      <start>171</start>
      <end>177</end>
      <status>unmodified</status>
      <modifiedWord/>
      <trackRevisions>false</trackRevisions>
    </reviewItem>
    <reviewItem>
      <errorID>e23eaaee-456f-4f36-973f-52c6b5090e78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581EE1B5</paraID>
      <start>0</start>
      <end>3</end>
      <status>unmodified</status>
      <modifiedWord/>
      <trackRevisions>false</trackRevisions>
    </reviewItem>
    <reviewItem>
      <errorID>648ee60a-a740-4412-a914-ce08baf92ed7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47F19A41</paraID>
      <start>0</start>
      <end>3</end>
      <status>unmodified</status>
      <modifiedWord/>
      <trackRevisions>false</trackRevisions>
    </reviewItem>
    <reviewItem>
      <errorID>19688b1e-0cdd-4cc6-9d88-c750f5a700c3</errorID>
      <errorWord>[2013]975号</errorWord>
      <group>L1_Knowledge</group>
      <groupName>知识性问题</groupName>
      <ability>L2_Knowledge</ability>
      <abilityName>其他知识</abilityName>
      <candidateList>
        <item>〔2013〕975号</item>
      </candidateList>
      <explain>发文字号格式错误。</explain>
      <paraID>6FF5F4AA</paraID>
      <start>29</start>
      <end>39</end>
      <status>unmodified</status>
      <modifiedWord/>
      <trackRevisions>false</trackRevisions>
    </reviewItem>
    <reviewItem>
      <errorID>269653da-52df-48be-b5a9-1c0adbb023a4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28288F82</paraID>
      <start>0</start>
      <end>3</end>
      <status>unmodified</status>
      <modifiedWord/>
      <trackRevisions>false</trackRevisions>
    </reviewItem>
    <reviewItem>
      <errorID>fac8e384-fea8-4fb8-adb2-1bc22b458f50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6E3CBF0A</paraID>
      <start>0</start>
      <end>3</end>
      <status>unmodified</status>
      <modifiedWord/>
      <trackRevisions>false</trackRevisions>
    </reviewItem>
    <reviewItem>
      <errorID>8a7699b9-6755-472f-9e8b-891c4068b4d0</errorID>
      <errorWord>-</errorWord>
      <group>L1_Format</group>
      <groupName>格式问题</groupName>
      <ability>L2_HalfPunc_CN</ability>
      <abilityName>全半角问题</abilityName>
      <candidateList>
        <item>－</item>
      </candidateList>
      <explain>文本全半角错误。</explain>
      <paraID>44F95988</paraID>
      <start>109</start>
      <end>110</end>
      <status>unmodified</status>
      <modifiedWord/>
      <trackRevisions>false</trackRevisions>
    </reviewItem>
    <reviewItem>
      <errorID>0252ad75-6a19-4c5d-9afa-3353ffd7c4e1</errorID>
      <errorWord>拌合站</errorWord>
      <group>L1_Word</group>
      <groupName>字词问题</groupName>
      <ability>L2_Typo</ability>
      <abilityName>字词错误</abilityName>
      <candidateList>
        <item>拌和站</item>
      </candidateList>
      <explain>存在发音相同字词的误用。</explain>
      <paraID>6F3A2091</paraID>
      <start>75</start>
      <end>78</end>
      <status>unmodified</status>
      <modifiedWord/>
      <trackRevisions>false</trackRevisions>
    </reviewItem>
    <reviewItem>
      <errorID>31df080a-9fea-4290-88de-6b1a129b247c</errorID>
      <errorWord>拌合站</errorWord>
      <group>L1_Word</group>
      <groupName>字词问题</groupName>
      <ability>L2_Typo</ability>
      <abilityName>字词错误</abilityName>
      <candidateList>
        <item>拌和站</item>
      </candidateList>
      <explain>存在发音相同字词的误用。</explain>
      <paraID>51FFF84F</paraID>
      <start>22</start>
      <end>25</end>
      <status>unmodified</status>
      <modifiedWord/>
      <trackRevisions>false</trackRevisions>
    </reviewItem>
    <reviewItem>
      <errorID>fc12fa1f-2074-4aa9-b2e7-9f7d9656bff1</errorID>
      <errorWord>．</errorWord>
      <group>L1_Format</group>
      <groupName>格式问题</groupName>
      <ability>L2_HalfPunc_CN</ability>
      <abilityName>全半角问题</abilityName>
      <candidateList>
        <item>。</item>
      </candidateList>
      <explain>文本全半角错误。</explain>
      <paraID>6865C530</paraID>
      <start>164</start>
      <end>165</end>
      <status>unmodified</status>
      <modifiedWord/>
      <trackRevisions>false</trackRevisions>
    </reviewItem>
    <reviewItem>
      <errorID>1bdc36a3-1a3b-4de4-a3a5-25cf200484c8</errorID>
      <errorWord>等</errorWord>
      <group>L1_Word</group>
      <groupName>字词问题</groupName>
      <ability>L2_Typo</ability>
      <abilityName>字词错误</abilityName>
      <candidateList>
        <item>等地</item>
      </candidateList>
      <explain/>
      <paraID>6865C530</paraID>
      <start>176</start>
      <end>177</end>
      <status>unmodified</status>
      <modifiedWord/>
      <trackRevisions>false</trackRevisions>
    </reviewItem>
    <reviewItem>
      <errorID>3b688ace-60c9-486f-b260-d7a99e7c4d10</errorID>
      <errorWord>期</errorWord>
      <group>L1_Word</group>
      <groupName>字词问题</groupName>
      <ability>L2_Typo</ability>
      <abilityName>字词错误</abilityName>
      <candidateList>
        <item>期间</item>
      </candidateList>
      <explain/>
      <paraID> FF74150</paraID>
      <start>142</start>
      <end>143</end>
      <status>unmodified</status>
      <modifiedWord/>
      <trackRevisions>false</trackRevisions>
    </reviewItem>
    <reviewItem>
      <errorID>d9d15f82-dcf8-4974-812a-24e03e35f7c6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6366C55F</paraID>
      <start>0</start>
      <end>3</end>
      <status>unmodified</status>
      <modifiedWord/>
      <trackRevisions>false</trackRevisions>
    </reviewItem>
    <reviewItem>
      <errorID>4c03c5d9-650e-49fc-8f87-efbf775ab1ba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293AC0B8</paraID>
      <start>0</start>
      <end>3</end>
      <status>unmodified</status>
      <modifiedWord/>
      <trackRevisions>false</trackRevisions>
    </reviewItem>
    <reviewItem>
      <errorID>57eaeb44-bdbb-47cf-8cfe-25fe383bff4b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F80D8BB</paraID>
      <start>0</start>
      <end>3</end>
      <status>unmodified</status>
      <modifiedWord/>
      <trackRevisions>false</trackRevisions>
    </reviewItem>
    <reviewItem>
      <errorID>d751c542-254a-4ab7-8d1e-2f7d5c83e5c7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6FF2DAE9</paraID>
      <start>0</start>
      <end>3</end>
      <status>unmodified</status>
      <modifiedWord/>
      <trackRevisions>false</trackRevisions>
    </reviewItem>
    <reviewItem>
      <errorID>27bde828-2839-45d5-a413-26f6fd99b044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7B626974</paraID>
      <start>0</start>
      <end>3</end>
      <status>unmodified</status>
      <modifiedWord/>
      <trackRevisions>false</trackRevisions>
    </reviewItem>
    <reviewItem>
      <errorID>52a476e0-a91c-468d-aa8c-e3a94ba9a50f</errorID>
      <errorWord>(</errorWord>
      <group>L1_Format</group>
      <groupName>格式问题</groupName>
      <ability>L2_HalfPunc_CN</ability>
      <abilityName>全半角问题</abilityName>
      <candidateList>
        <item>（</item>
      </candidateList>
      <explain>文本全半角错误。</explain>
      <paraID>241F8748</paraID>
      <start>61</start>
      <end>62</end>
      <status>unmodified</status>
      <modifiedWord/>
      <trackRevisions>false</trackRevisions>
    </reviewItem>
    <reviewItem>
      <errorID>7c242560-83a9-4035-a132-00d18172e19c</errorID>
      <errorWord>)</errorWord>
      <group>L1_Format</group>
      <groupName>格式问题</groupName>
      <ability>L2_HalfPunc_CN</ability>
      <abilityName>全半角问题</abilityName>
      <candidateList>
        <item>）</item>
      </candidateList>
      <explain>文本全半角错误。</explain>
      <paraID>241F8748</paraID>
      <start>77</start>
      <end>78</end>
      <status>unmodified</status>
      <modifiedWord/>
      <trackRevisions>false</trackRevisions>
    </reviewItem>
    <reviewItem>
      <errorID>4177f283-5ea2-4a0f-a77a-c1851d422ad4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56F22012</paraID>
      <start>0</start>
      <end>3</end>
      <status>unmodified</status>
      <modifiedWord/>
      <trackRevisions>false</trackRevisions>
    </reviewItem>
    <reviewItem>
      <errorID>1288b1fa-453e-4c8b-b698-a5c67114ad7f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9251513</paraID>
      <start>0</start>
      <end>3</end>
      <status>unmodified</status>
      <modifiedWord/>
      <trackRevisions>false</trackRevisions>
    </reviewItem>
    <reviewItem>
      <errorID>61d70f32-6983-43a8-9804-d96fbe42adf6</errorID>
      <errorWord>III类</errorWord>
      <group>L1_Knowledge</group>
      <groupName>知识性问题</groupName>
      <ability>L2_Knowledge</ability>
      <abilityName>其他知识</abilityName>
      <candidateList>
        <item>Ⅲ类</item>
      </candidateList>
      <explain>中文环境下罗马数字格式错误。</explain>
      <paraID>106AD8DE</paraID>
      <start>97</start>
      <end>101</end>
      <status>unmodified</status>
      <modifiedWord/>
      <trackRevisions>false</trackRevisions>
    </reviewItem>
    <reviewItem>
      <errorID>6245ba78-cb57-498f-98ba-479ffbe1755c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2C827FEB</paraID>
      <start>1</start>
      <end>4</end>
      <status>unmodified</status>
      <modifiedWord/>
      <trackRevisions>false</trackRevisions>
    </reviewItem>
    <reviewItem>
      <errorID>69834915-c4ef-4e6d-a9e5-2291ae19af93</errorID>
      <errorWord>新疆自治区级</errorWord>
      <group>L1_Word</group>
      <groupName>字词问题</groupName>
      <ability>L2_Typo</ability>
      <abilityName>字词错误</abilityName>
      <candidateList>
        <item>新疆维吾尔自治区级</item>
      </candidateList>
      <explain/>
      <paraID>3161B7E2</paraID>
      <start>94</start>
      <end>100</end>
      <status>unmodified</status>
      <modifiedWord/>
      <trackRevisions>false</trackRevisions>
    </reviewItem>
    <reviewItem>
      <errorID>44718eb3-39aa-4fbe-a5d8-597f2d16de99</errorID>
      <errorWord>新疆自治区级</errorWord>
      <group>L1_Word</group>
      <groupName>字词问题</groupName>
      <ability>L2_Typo</ability>
      <abilityName>字词错误</abilityName>
      <candidateList>
        <item>新疆维吾尔自治区级</item>
      </candidateList>
      <explain/>
      <paraID>19C75E93</paraID>
      <start>125</start>
      <end>131</end>
      <status>unmodified</status>
      <modifiedWord/>
      <trackRevisions>false</trackRevisions>
    </reviewItem>
    <reviewItem>
      <errorID>72852fd2-33fc-45b8-be7c-b45ac38422e4</errorID>
      <errorWord>~</errorWord>
      <group>L1_Format</group>
      <groupName>格式问题</groupName>
      <ability>L2_HalfPunc_CN</ability>
      <abilityName>全半角问题</abilityName>
      <candidateList>
        <item>～</item>
      </candidateList>
      <explain>文本全半角错误。</explain>
      <paraID>  1CE935</paraID>
      <start>35</start>
      <end>36</end>
      <status>unmodified</status>
      <modifiedWord/>
      <trackRevisions>false</trackRevisions>
    </reviewItem>
    <reviewItem>
      <errorID>9f5219f3-4911-43b1-8700-ad0436e8d60c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14F63FB6</paraID>
      <start>0</start>
      <end>3</end>
      <status>unmodified</status>
      <modifiedWord/>
      <trackRevisions>false</trackRevisions>
    </reviewItem>
    <reviewItem>
      <errorID>e8cd2d4f-f15d-4f55-84a6-d47d379317c0</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5A5F10C9</paraID>
      <start>40</start>
      <end>41</end>
      <status>unmodified</status>
      <modifiedWord/>
      <trackRevisions>false</trackRevisions>
    </reviewItem>
    <reviewItem>
      <errorID>b9b7e7f1-8c52-4b1e-959c-3d133fb05d57</errorID>
      <errorWord>（</errorWord>
      <group>L1_Format</group>
      <groupName>格式问题</groupName>
      <ability>L2_HalfPunc_CN</ability>
      <abilityName>全半角问题</abilityName>
      <candidateList>
        <item>(</item>
      </candidateList>
      <explain>文本全半角错误。</explain>
      <paraID>7F6A112B</paraID>
      <start>0</start>
      <end>1</end>
      <status>unmodified</status>
      <modifiedWord/>
      <trackRevisions>false</trackRevisions>
    </reviewItem>
    <reviewItem>
      <errorID>870aae46-cb03-45be-b278-ca8d277bb9d2</errorID>
      <errorWord>）</errorWord>
      <group>L1_Format</group>
      <groupName>格式问题</groupName>
      <ability>L2_HalfPunc_CN</ability>
      <abilityName>全半角问题</abilityName>
      <candidateList>
        <item>)</item>
      </candidateList>
      <explain>文本全半角错误。</explain>
      <paraID>7F6A112B</paraID>
      <start>12</start>
      <end>13</end>
      <status>unmodified</status>
      <modifiedWord/>
      <trackRevisions>false</trackRevisions>
    </reviewItem>
    <reviewItem>
      <errorID>fbd387a9-ee0e-4def-a6b2-9a4fae691ea5</errorID>
      <errorWord>（</errorWord>
      <group>L1_Format</group>
      <groupName>格式问题</groupName>
      <ability>L2_HalfPunc_CN</ability>
      <abilityName>全半角问题</abilityName>
      <candidateList>
        <item>(</item>
      </candidateList>
      <explain>文本全半角错误。</explain>
      <paraID>6A23AAEA</paraID>
      <start>0</start>
      <end>1</end>
      <status>unmodified</status>
      <modifiedWord/>
      <trackRevisions>false</trackRevisions>
    </reviewItem>
    <reviewItem>
      <errorID>74ffcf86-be57-47b0-8888-f8e6e5c8d21c</errorID>
      <errorWord>）</errorWord>
      <group>L1_Format</group>
      <groupName>格式问题</groupName>
      <ability>L2_HalfPunc_CN</ability>
      <abilityName>全半角问题</abilityName>
      <candidateList>
        <item>)</item>
      </candidateList>
      <explain>文本全半角错误。</explain>
      <paraID>6A23AAEA</paraID>
      <start>12</start>
      <end>13</end>
      <status>unmodified</status>
      <modifiedWord/>
      <trackRevisions>false</trackRevisions>
    </reviewItem>
    <reviewItem>
      <errorID>0acc8fee-c668-4064-82ff-ab1728a45ccd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6711D0ED</paraID>
      <start>0</start>
      <end>3</end>
      <status>unmodified</status>
      <modifiedWord/>
      <trackRevisions>false</trackRevisions>
    </reviewItem>
    <reviewItem>
      <errorID>418e69ed-2adb-488c-9b54-e6aed0280468</errorID>
      <errorWord>～</errorWord>
      <group>L1_Format</group>
      <groupName>格式问题</groupName>
      <ability>L2_HalfPunc_CN</ability>
      <abilityName>全半角问题</abilityName>
      <candidateList>
        <item>~</item>
      </candidateList>
      <explain>文本全半角错误。</explain>
      <paraID>337ED3F3</paraID>
      <start>1</start>
      <end>2</end>
      <status>unmodified</status>
      <modifiedWord/>
      <trackRevisions>false</trackRevisions>
    </reviewItem>
    <reviewItem>
      <errorID>0dc61266-b6b3-479a-88d6-29133ab15ad2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6F25B125</paraID>
      <start>0</start>
      <end>3</end>
      <status>unmodified</status>
      <modifiedWord/>
      <trackRevisions>false</trackRevisions>
    </reviewItem>
    <reviewItem>
      <errorID>ed1954ed-f6f7-4679-b139-11d9e33f6a1c</errorID>
      <errorWord>(</errorWord>
      <group>L1_Format</group>
      <groupName>格式问题</groupName>
      <ability>L2_HalfPunc_CN</ability>
      <abilityName>全半角问题</abilityName>
      <candidateList>
        <item>（</item>
      </candidateList>
      <explain>文本全半角错误。</explain>
      <paraID> 24D624B</paraID>
      <start>3</start>
      <end>4</end>
      <status>unmodified</status>
      <modifiedWord/>
      <trackRevisions>false</trackRevisions>
    </reviewItem>
    <reviewItem>
      <errorID>d2390174-3bab-4be1-a82b-b3ed9fdff80d</errorID>
      <errorWord>)</errorWord>
      <group>L1_Format</group>
      <groupName>格式问题</groupName>
      <ability>L2_HalfPunc_CN</ability>
      <abilityName>全半角问题</abilityName>
      <candidateList>
        <item>）</item>
      </candidateList>
      <explain>文本全半角错误。</explain>
      <paraID> 24D624B</paraID>
      <start>8</start>
      <end>9</end>
      <status>unmodified</status>
      <modifiedWord/>
      <trackRevisions>false</trackRevisions>
    </reviewItem>
    <reviewItem>
      <errorID>253598b4-7ee6-4f50-a878-462945c229bd</errorID>
      <errorWord>(</errorWord>
      <group>L1_Format</group>
      <groupName>格式问题</groupName>
      <ability>L2_HalfPunc_CN</ability>
      <abilityName>全半角问题</abilityName>
      <candidateList>
        <item>（</item>
      </candidateList>
      <explain>文本全半角错误。</explain>
      <paraID>6DC083AD</paraID>
      <start>3</start>
      <end>4</end>
      <status>unmodified</status>
      <modifiedWord/>
      <trackRevisions>false</trackRevisions>
    </reviewItem>
    <reviewItem>
      <errorID>faf512d4-907c-486c-8798-52cc16fab6dd</errorID>
      <errorWord>)</errorWord>
      <group>L1_Format</group>
      <groupName>格式问题</groupName>
      <ability>L2_HalfPunc_CN</ability>
      <abilityName>全半角问题</abilityName>
      <candidateList>
        <item>）</item>
      </candidateList>
      <explain>文本全半角错误。</explain>
      <paraID>6DC083AD</paraID>
      <start>8</start>
      <end>9</end>
      <status>unmodified</status>
      <modifiedWord/>
      <trackRevisions>false</trackRevisions>
    </reviewItem>
    <reviewItem>
      <errorID>96eb6391-e5a7-41d7-87b0-dc0abaa2f5ab</errorID>
      <errorWord>III</errorWord>
      <group>L1_Knowledge</group>
      <groupName>知识性问题</groupName>
      <ability>L2_Knowledge</ability>
      <abilityName>其他知识</abilityName>
      <candidateList>
        <item>Ⅲ</item>
      </candidateList>
      <explain>中文环境下罗马数字格式错误。</explain>
      <paraID>4798427C</paraID>
      <start>0</start>
      <end>3</end>
      <status>unmodified</status>
      <modifiedWord/>
      <trackRevisions>false</trackRevisions>
    </reviewItem>
    <reviewItem>
      <errorID>bac46fb8-8703-42e5-ba5b-9fa5730bce54</errorID>
      <errorWord>(</errorWord>
      <group>L1_Format</group>
      <groupName>格式问题</groupName>
      <ability>L2_HalfPunc_CN</ability>
      <abilityName>全半角问题</abilityName>
      <candidateList>
        <item>（</item>
      </candidateList>
      <explain>文本全半角错误。</explain>
      <paraID>53A7B1C4</paraID>
      <start>6</start>
      <end>7</end>
      <status>unmodified</status>
      <modifiedWord/>
      <trackRevisions>false</trackRevisions>
    </reviewItem>
    <reviewItem>
      <errorID>d6532b9d-ca4e-445e-9b1d-d5d22ea2337a</errorID>
      <errorWord>)</errorWord>
      <group>L1_Format</group>
      <groupName>格式问题</groupName>
      <ability>L2_HalfPunc_CN</ability>
      <abilityName>全半角问题</abilityName>
      <candidateList>
        <item>）</item>
      </candidateList>
      <explain>文本全半角错误。</explain>
      <paraID>53A7B1C4</paraID>
      <start>11</start>
      <end>12</end>
      <status>unmodified</status>
      <modifiedWord/>
      <trackRevisions>false</trackRevisions>
    </reviewItem>
    <reviewItem>
      <errorID>38ac6318-5170-4e30-85a2-1b367db32193</errorID>
      <errorWord>(</errorWord>
      <group>L1_Format</group>
      <groupName>格式问题</groupName>
      <ability>L2_HalfPunc_CN</ability>
      <abilityName>全半角问题</abilityName>
      <candidateList>
        <item>（</item>
      </candidateList>
      <explain>文本全半角错误。</explain>
      <paraID>635B945A</paraID>
      <start>3</start>
      <end>4</end>
      <status>unmodified</status>
      <modifiedWord/>
      <trackRevisions>false</trackRevisions>
    </reviewItem>
    <reviewItem>
      <errorID>a46b033d-8d94-426a-a3bc-6ba97e2844a6</errorID>
      <errorWord>)</errorWord>
      <group>L1_Format</group>
      <groupName>格式问题</groupName>
      <ability>L2_HalfPunc_CN</ability>
      <abilityName>全半角问题</abilityName>
      <candidateList>
        <item>）</item>
      </candidateList>
      <explain>文本全半角错误。</explain>
      <paraID>635B945A</paraID>
      <start>8</start>
      <end>9</end>
      <status>unmodified</status>
      <modifiedWord/>
      <trackRevisions>false</trackRevisions>
    </reviewItem>
    <reviewItem>
      <errorID>9f731c48-3d54-46e0-878b-1a2dee131e89</errorID>
      <errorWord>(</errorWord>
      <group>L1_Format</group>
      <groupName>格式问题</groupName>
      <ability>L2_HalfPunc_CN</ability>
      <abilityName>全半角问题</abilityName>
      <candidateList>
        <item>（</item>
      </candidateList>
      <explain>文本全半角错误。</explain>
      <paraID>7A4D0C51</paraID>
      <start>5</start>
      <end>6</end>
      <status>unmodified</status>
      <modifiedWord/>
      <trackRevisions>false</trackRevisions>
    </reviewItem>
    <reviewItem>
      <errorID>bdaba0e3-d9e2-4049-a678-3f16428f7532</errorID>
      <errorWord>)</errorWord>
      <group>L1_Format</group>
      <groupName>格式问题</groupName>
      <ability>L2_HalfPunc_CN</ability>
      <abilityName>全半角问题</abilityName>
      <candidateList>
        <item>）</item>
      </candidateList>
      <explain>文本全半角错误。</explain>
      <paraID>7A4D0C51</paraID>
      <start>16</start>
      <end>17</end>
      <status>unmodified</status>
      <modifiedWord/>
      <trackRevisions>false</trackRevisions>
    </reviewItem>
    <reviewItem>
      <errorID>3cf55460-5778-4ad6-befe-e07958d4e6c6</errorID>
      <errorWord>III</errorWord>
      <group>L1_Knowledge</group>
      <groupName>知识性问题</groupName>
      <ability>L2_Knowledge</ability>
      <abilityName>其他知识</abilityName>
      <candidateList>
        <item>Ⅲ</item>
      </candidateList>
      <explain>中文环境下罗马数字格式错误。</explain>
      <paraID> 81EBEBA</paraID>
      <start>0</start>
      <end>3</end>
      <status>unmodified</status>
      <modifiedWord/>
      <trackRevisions>false</trackRevisions>
    </reviewItem>
    <reviewItem>
      <errorID>2244be8c-1d2f-407a-b789-465ea39199c9</errorID>
      <errorWord>(</errorWord>
      <group>L1_Format</group>
      <groupName>格式问题</groupName>
      <ability>L2_HalfPunc_CN</ability>
      <abilityName>全半角问题</abilityName>
      <candidateList>
        <item>（</item>
      </candidateList>
      <explain>文本全半角错误。</explain>
      <paraID>1313BDBA</paraID>
      <start>1</start>
      <end>2</end>
      <status>unmodified</status>
      <modifiedWord/>
      <trackRevisions>false</trackRevisions>
    </reviewItem>
    <reviewItem>
      <errorID>61b6ae0e-68d9-4f28-a497-646ff7b735cd</errorID>
      <errorWord>)</errorWord>
      <group>L1_Format</group>
      <groupName>格式问题</groupName>
      <ability>L2_HalfPunc_CN</ability>
      <abilityName>全半角问题</abilityName>
      <candidateList>
        <item>）</item>
      </candidateList>
      <explain>文本全半角错误。</explain>
      <paraID>1313BDBA</paraID>
      <start>6</start>
      <end>7</end>
      <status>unmodified</status>
      <modifiedWord/>
      <trackRevisions>false</trackRevisions>
    </reviewItem>
    <reviewItem>
      <errorID>67026c49-c5a3-4e89-be35-464de5a4dcac</errorID>
      <errorWord>(</errorWord>
      <group>L1_Format</group>
      <groupName>格式问题</groupName>
      <ability>L2_HalfPunc_CN</ability>
      <abilityName>全半角问题</abilityName>
      <candidateList>
        <item>（</item>
      </candidateList>
      <explain>文本全半角错误。</explain>
      <paraID>776247E2</paraID>
      <start>1</start>
      <end>2</end>
      <status>unmodified</status>
      <modifiedWord/>
      <trackRevisions>false</trackRevisions>
    </reviewItem>
    <reviewItem>
      <errorID>0ce0070e-5290-4ea7-b28b-f2b45a530160</errorID>
      <errorWord>)</errorWord>
      <group>L1_Format</group>
      <groupName>格式问题</groupName>
      <ability>L2_HalfPunc_CN</ability>
      <abilityName>全半角问题</abilityName>
      <candidateList>
        <item>）</item>
      </candidateList>
      <explain>文本全半角错误。</explain>
      <paraID>776247E2</paraID>
      <start>6</start>
      <end>7</end>
      <status>unmodified</status>
      <modifiedWord/>
      <trackRevisions>false</trackRevisions>
    </reviewItem>
    <reviewItem>
      <errorID>0694b4ee-f750-4e1f-a869-0d0178e09892</errorID>
      <errorWord>(</errorWord>
      <group>L1_Format</group>
      <groupName>格式问题</groupName>
      <ability>L2_HalfPunc_CN</ability>
      <abilityName>全半角问题</abilityName>
      <candidateList>
        <item>（</item>
      </candidateList>
      <explain>文本全半角错误。</explain>
      <paraID>106C959A</paraID>
      <start>1</start>
      <end>2</end>
      <status>unmodified</status>
      <modifiedWord/>
      <trackRevisions>false</trackRevisions>
    </reviewItem>
    <reviewItem>
      <errorID>1942fe3d-3373-4f3d-bed1-3ea951753806</errorID>
      <errorWord>)</errorWord>
      <group>L1_Format</group>
      <groupName>格式问题</groupName>
      <ability>L2_HalfPunc_CN</ability>
      <abilityName>全半角问题</abilityName>
      <candidateList>
        <item>）</item>
      </candidateList>
      <explain>文本全半角错误。</explain>
      <paraID>106C959A</paraID>
      <start>6</start>
      <end>7</end>
      <status>unmodified</status>
      <modifiedWord/>
      <trackRevisions>false</trackRevisions>
    </reviewItem>
    <reviewItem>
      <errorID>7dfe4b60-bf00-46ed-873d-47f6507316c3</errorID>
      <errorWord>(</errorWord>
      <group>L1_Format</group>
      <groupName>格式问题</groupName>
      <ability>L2_HalfPunc_CN</ability>
      <abilityName>全半角问题</abilityName>
      <candidateList>
        <item>（</item>
      </candidateList>
      <explain>文本全半角错误。</explain>
      <paraID>30B3E906</paraID>
      <start>1</start>
      <end>2</end>
      <status>unmodified</status>
      <modifiedWord/>
      <trackRevisions>false</trackRevisions>
    </reviewItem>
    <reviewItem>
      <errorID>9b167f1d-d131-4df4-ba83-6da091abc73e</errorID>
      <errorWord>)</errorWord>
      <group>L1_Format</group>
      <groupName>格式问题</groupName>
      <ability>L2_HalfPunc_CN</ability>
      <abilityName>全半角问题</abilityName>
      <candidateList>
        <item>）</item>
      </candidateList>
      <explain>文本全半角错误。</explain>
      <paraID>30B3E906</paraID>
      <start>6</start>
      <end>7</end>
      <status>unmodified</status>
      <modifiedWord/>
      <trackRevisions>false</trackRevisions>
    </reviewItem>
    <reviewItem>
      <errorID>9b06917c-973c-487f-91cb-b093bdd2fca6</errorID>
      <errorWord>(</errorWord>
      <group>L1_Format</group>
      <groupName>格式问题</groupName>
      <ability>L2_HalfPunc_CN</ability>
      <abilityName>全半角问题</abilityName>
      <candidateList>
        <item>（</item>
      </candidateList>
      <explain>文本全半角错误。</explain>
      <paraID>  FF47E0</paraID>
      <start>2</start>
      <end>3</end>
      <status>unmodified</status>
      <modifiedWord/>
      <trackRevisions>false</trackRevisions>
    </reviewItem>
    <reviewItem>
      <errorID>8c228a9a-246b-423f-9d72-81f838c6ccf2</errorID>
      <errorWord>)</errorWord>
      <group>L1_Format</group>
      <groupName>格式问题</groupName>
      <ability>L2_HalfPunc_CN</ability>
      <abilityName>全半角问题</abilityName>
      <candidateList>
        <item>）</item>
      </candidateList>
      <explain>文本全半角错误。</explain>
      <paraID>  FF47E0</paraID>
      <start>8</start>
      <end>9</end>
      <status>unmodified</status>
      <modifiedWord/>
      <trackRevisions>false</trackRevisions>
    </reviewItem>
    <reviewItem>
      <errorID>a8b3f6a9-ba11-4bbd-b8fa-2abc2701e256</errorID>
      <errorWord>(</errorWord>
      <group>L1_Format</group>
      <groupName>格式问题</groupName>
      <ability>L2_HalfPunc_CN</ability>
      <abilityName>全半角问题</abilityName>
      <candidateList>
        <item>（</item>
      </candidateList>
      <explain>文本全半角错误。</explain>
      <paraID>5C7514CB</paraID>
      <start>1</start>
      <end>2</end>
      <status>unmodified</status>
      <modifiedWord/>
      <trackRevisions>false</trackRevisions>
    </reviewItem>
    <reviewItem>
      <errorID>b92e56fc-a182-4710-b16e-9dd8821537ba</errorID>
      <errorWord>)</errorWord>
      <group>L1_Format</group>
      <groupName>格式问题</groupName>
      <ability>L2_HalfPunc_CN</ability>
      <abilityName>全半角问题</abilityName>
      <candidateList>
        <item>）</item>
      </candidateList>
      <explain>文本全半角错误。</explain>
      <paraID>5C7514CB</paraID>
      <start>6</start>
      <end>7</end>
      <status>unmodified</status>
      <modifiedWord/>
      <trackRevisions>false</trackRevisions>
    </reviewItem>
    <reviewItem>
      <errorID>8ffd8bfe-784f-4b62-943f-fc4e635a71e1</errorID>
      <errorWord>III</errorWord>
      <group>L1_Knowledge</group>
      <groupName>知识性问题</groupName>
      <ability>L2_Knowledge</ability>
      <abilityName>其他知识</abilityName>
      <candidateList>
        <item>Ⅲ</item>
      </candidateList>
      <explain>中文环境下罗马数字格式错误。</explain>
      <paraID>5E3F4949</paraID>
      <start>0</start>
      <end>3</end>
      <status>unmodified</status>
      <modifiedWord/>
      <trackRevisions>false</trackRevisions>
    </reviewItem>
    <reviewItem>
      <errorID>00e42235-f0e6-4474-841e-cf784469455b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2CE8F39E</paraID>
      <start>0</start>
      <end>3</end>
      <status>unmodified</status>
      <modifiedWord/>
      <trackRevisions>false</trackRevisions>
    </reviewItem>
    <reviewItem>
      <errorID>14ca371a-9b19-41d5-b248-a2d58b2abcb0</errorID>
      <errorWord>)</errorWord>
      <group>L1_Format</group>
      <groupName>格式问题</groupName>
      <ability>L2_HalfPunc_CN</ability>
      <abilityName>全半角问题</abilityName>
      <candidateList>
        <item>）</item>
      </candidateList>
      <explain>文本全半角错误。</explain>
      <paraID>7FD6CF95</paraID>
      <start>106</start>
      <end>107</end>
      <status>unmodified</status>
      <modifiedWord/>
      <trackRevisions>false</trackRevisions>
    </reviewItem>
    <reviewItem>
      <errorID>3a9288b2-42ec-4140-bc2e-bc90585f1700</errorID>
      <errorWord>)</errorWord>
      <group>L1_Format</group>
      <groupName>格式问题</groupName>
      <ability>L2_HalfPunc_CN</ability>
      <abilityName>全半角问题</abilityName>
      <candidateList>
        <item>）</item>
      </candidateList>
      <explain>文本全半角错误。</explain>
      <paraID>7FD6CF95</paraID>
      <start>116</start>
      <end>117</end>
      <status>unmodified</status>
      <modifiedWord/>
      <trackRevisions>false</trackRevisions>
    </reviewItem>
    <reviewItem>
      <errorID>a8358530-1dc2-4aff-ada6-7b878b4b6240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2B2C73A7</paraID>
      <start>0</start>
      <end>3</end>
      <status>unmodified</status>
      <modifiedWord/>
      <trackRevisions>false</trackRevisions>
    </reviewItem>
    <reviewItem>
      <errorID>2b7b697c-3a2b-45aa-8a07-28faa47b9e04</errorID>
      <errorWord>拌合站</errorWord>
      <group>L1_Word</group>
      <groupName>字词问题</groupName>
      <ability>L2_Typo</ability>
      <abilityName>字词错误</abilityName>
      <candidateList>
        <item>拌和站</item>
      </candidateList>
      <explain>存在发音相同字词的误用。</explain>
      <paraID>4CA5A75A</paraID>
      <start>61</start>
      <end>64</end>
      <status>unmodified</status>
      <modifiedWord/>
      <trackRevisions>false</trackRevisions>
    </reviewItem>
    <reviewItem>
      <errorID>136c6386-7780-4342-a013-b1e05b20d25d</errorID>
      <errorWord>拌合站</errorWord>
      <group>L1_Word</group>
      <groupName>字词问题</groupName>
      <ability>L2_Typo</ability>
      <abilityName>字词错误</abilityName>
      <candidateList>
        <item>拌和站</item>
      </candidateList>
      <explain>存在发音相同字词的误用。</explain>
      <paraID>4CA5A75A</paraID>
      <start>146</start>
      <end>149</end>
      <status>unmodified</status>
      <modifiedWord/>
      <trackRevisions>false</trackRevisions>
    </reviewItem>
    <reviewItem>
      <errorID>9ed861a5-5d35-4b9c-9bd4-2b9bef9f912f</errorID>
      <errorWord>(</errorWord>
      <group>L1_Format</group>
      <groupName>格式问题</groupName>
      <ability>L2_HalfPunc_CN</ability>
      <abilityName>全半角问题</abilityName>
      <candidateList>
        <item>（</item>
      </candidateList>
      <explain>文本全半角错误。</explain>
      <paraID> 91B9180</paraID>
      <start>8</start>
      <end>9</end>
      <status>unmodified</status>
      <modifiedWord/>
      <trackRevisions>false</trackRevisions>
    </reviewItem>
    <reviewItem>
      <errorID>dc1903c7-3885-4dbd-8f41-d728d7247ea6</errorID>
      <errorWord>)</errorWord>
      <group>L1_Format</group>
      <groupName>格式问题</groupName>
      <ability>L2_HalfPunc_CN</ability>
      <abilityName>全半角问题</abilityName>
      <candidateList>
        <item>）</item>
      </candidateList>
      <explain>文本全半角错误。</explain>
      <paraID> 91B9180</paraID>
      <start>14</start>
      <end>15</end>
      <status>unmodified</status>
      <modifiedWord/>
      <trackRevisions>false</trackRevisions>
    </reviewItem>
    <reviewItem>
      <errorID>2c5f61c3-fb23-4c69-94cc-ce4319e4eae3</errorID>
      <errorWord>(</errorWord>
      <group>L1_Format</group>
      <groupName>格式问题</groupName>
      <ability>L2_HalfPunc_CN</ability>
      <abilityName>全半角问题</abilityName>
      <candidateList>
        <item>（</item>
      </candidateList>
      <explain>文本全半角错误。</explain>
      <paraID>470650D5</paraID>
      <start>8</start>
      <end>9</end>
      <status>unmodified</status>
      <modifiedWord/>
      <trackRevisions>false</trackRevisions>
    </reviewItem>
    <reviewItem>
      <errorID>c680caf0-cde5-404d-bc88-0d09e1a195be</errorID>
      <errorWord>)</errorWord>
      <group>L1_Format</group>
      <groupName>格式问题</groupName>
      <ability>L2_HalfPunc_CN</ability>
      <abilityName>全半角问题</abilityName>
      <candidateList>
        <item>）</item>
      </candidateList>
      <explain>文本全半角错误。</explain>
      <paraID>470650D5</paraID>
      <start>14</start>
      <end>15</end>
      <status>unmodified</status>
      <modifiedWord/>
      <trackRevisions>false</trackRevisions>
    </reviewItem>
    <reviewItem>
      <errorID>a820ffa6-c14a-4012-9fbf-fe7c3f83160f</errorID>
      <errorWord>(</errorWord>
      <group>L1_Format</group>
      <groupName>格式问题</groupName>
      <ability>L2_HalfPunc_CN</ability>
      <abilityName>全半角问题</abilityName>
      <candidateList>
        <item>（</item>
      </candidateList>
      <explain>文本全半角错误。</explain>
      <paraID>324B0287</paraID>
      <start>5</start>
      <end>6</end>
      <status>unmodified</status>
      <modifiedWord/>
      <trackRevisions>false</trackRevisions>
    </reviewItem>
    <reviewItem>
      <errorID>af764ba8-27ac-4aa6-8396-752e510d391f</errorID>
      <errorWord>)</errorWord>
      <group>L1_Format</group>
      <groupName>格式问题</groupName>
      <ability>L2_HalfPunc_CN</ability>
      <abilityName>全半角问题</abilityName>
      <candidateList>
        <item>）</item>
      </candidateList>
      <explain>文本全半角错误。</explain>
      <paraID>324B0287</paraID>
      <start>7</start>
      <end>8</end>
      <status>unmodified</status>
      <modifiedWord/>
      <trackRevisions>false</trackRevisions>
    </reviewItem>
    <reviewItem>
      <errorID>6e43b90d-490c-422c-84fb-48313d82286a</errorID>
      <errorWord>(</errorWord>
      <group>L1_Format</group>
      <groupName>格式问题</groupName>
      <ability>L2_HalfPunc_CN</ability>
      <abilityName>全半角问题</abilityName>
      <candidateList>
        <item>（</item>
      </candidateList>
      <explain>文本全半角错误。</explain>
      <paraID>662470D5</paraID>
      <start>2</start>
      <end>3</end>
      <status>unmodified</status>
      <modifiedWord/>
      <trackRevisions>false</trackRevisions>
    </reviewItem>
    <reviewItem>
      <errorID>f7170af4-0bf1-422e-9bf0-102c9113b465</errorID>
      <errorWord>)</errorWord>
      <group>L1_Format</group>
      <groupName>格式问题</groupName>
      <ability>L2_HalfPunc_CN</ability>
      <abilityName>全半角问题</abilityName>
      <candidateList>
        <item>）</item>
      </candidateList>
      <explain>文本全半角错误。</explain>
      <paraID>662470D5</paraID>
      <start>8</start>
      <end>9</end>
      <status>unmodified</status>
      <modifiedWord/>
      <trackRevisions>false</trackRevisions>
    </reviewItem>
    <reviewItem>
      <errorID>85405970-bb17-4ea4-bfb1-e588dbad927f</errorID>
      <errorWord>(</errorWord>
      <group>L1_Format</group>
      <groupName>格式问题</groupName>
      <ability>L2_HalfPunc_CN</ability>
      <abilityName>全半角问题</abilityName>
      <candidateList>
        <item>（</item>
      </candidateList>
      <explain>文本全半角错误。</explain>
      <paraID>35DF09FA</paraID>
      <start>8</start>
      <end>9</end>
      <status>unmodified</status>
      <modifiedWord/>
      <trackRevisions>false</trackRevisions>
    </reviewItem>
    <reviewItem>
      <errorID>2f9af711-d036-4d92-a4d5-2b685d812253</errorID>
      <errorWord>)</errorWord>
      <group>L1_Format</group>
      <groupName>格式问题</groupName>
      <ability>L2_HalfPunc_CN</ability>
      <abilityName>全半角问题</abilityName>
      <candidateList>
        <item>）</item>
      </candidateList>
      <explain>文本全半角错误。</explain>
      <paraID>35DF09FA</paraID>
      <start>14</start>
      <end>15</end>
      <status>unmodified</status>
      <modifiedWord/>
      <trackRevisions>false</trackRevisions>
    </reviewItem>
    <reviewItem>
      <errorID>ea002263-fa3d-43c7-bf9c-f648067934ce</errorID>
      <errorWord>(</errorWord>
      <group>L1_Format</group>
      <groupName>格式问题</groupName>
      <ability>L2_HalfPunc_CN</ability>
      <abilityName>全半角问题</abilityName>
      <candidateList>
        <item>（</item>
      </candidateList>
      <explain>文本全半角错误。</explain>
      <paraID>68884542</paraID>
      <start>8</start>
      <end>9</end>
      <status>unmodified</status>
      <modifiedWord/>
      <trackRevisions>false</trackRevisions>
    </reviewItem>
    <reviewItem>
      <errorID>4f4e87d4-bc81-47ec-a2ca-28e3cf09a82b</errorID>
      <errorWord>)</errorWord>
      <group>L1_Format</group>
      <groupName>格式问题</groupName>
      <ability>L2_HalfPunc_CN</ability>
      <abilityName>全半角问题</abilityName>
      <candidateList>
        <item>）</item>
      </candidateList>
      <explain>文本全半角错误。</explain>
      <paraID>68884542</paraID>
      <start>14</start>
      <end>15</end>
      <status>unmodified</status>
      <modifiedWord/>
      <trackRevisions>false</trackRevisions>
    </reviewItem>
    <reviewItem>
      <errorID>2bc8718d-fb8b-4bbf-9137-a159f5e81604</errorID>
      <errorWord>(</errorWord>
      <group>L1_Format</group>
      <groupName>格式问题</groupName>
      <ability>L2_HalfPunc_CN</ability>
      <abilityName>全半角问题</abilityName>
      <candidateList>
        <item>（</item>
      </candidateList>
      <explain>文本全半角错误。</explain>
      <paraID>696E8647</paraID>
      <start>10</start>
      <end>11</end>
      <status>unmodified</status>
      <modifiedWord/>
      <trackRevisions>false</trackRevisions>
    </reviewItem>
    <reviewItem>
      <errorID>25fa76ef-6aa7-4e52-a3ad-967eaea6af8c</errorID>
      <errorWord>)</errorWord>
      <group>L1_Format</group>
      <groupName>格式问题</groupName>
      <ability>L2_HalfPunc_CN</ability>
      <abilityName>全半角问题</abilityName>
      <candidateList>
        <item>）</item>
      </candidateList>
      <explain>文本全半角错误。</explain>
      <paraID>696E8647</paraID>
      <start>12</start>
      <end>13</end>
      <status>unmodified</status>
      <modifiedWord/>
      <trackRevisions>false</trackRevisions>
    </reviewItem>
    <reviewItem>
      <errorID>1ae66a1c-986d-4aa0-9e62-72ef67e89561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12CDB1B2</paraID>
      <start>0</start>
      <end>3</end>
      <status>unmodified</status>
      <modifiedWord/>
      <trackRevisions>false</trackRevisions>
    </reviewItem>
    <reviewItem>
      <errorID>aeec8430-4a40-4b7d-b734-ffe606a64981</errorID>
      <errorWord>(</errorWord>
      <group>L1_Format</group>
      <groupName>格式问题</groupName>
      <ability>L2_HalfPunc_CN</ability>
      <abilityName>全半角问题</abilityName>
      <candidateList>
        <item>（</item>
      </candidateList>
      <explain>文本全半角错误。</explain>
      <paraID> 167F1C0</paraID>
      <start>43</start>
      <end>44</end>
      <status>unmodified</status>
      <modifiedWord/>
      <trackRevisions>false</trackRevisions>
    </reviewItem>
    <reviewItem>
      <errorID>fa4c2d2a-c417-44fe-89e1-92a97d450da8</errorID>
      <errorWord>)</errorWord>
      <group>L1_Format</group>
      <groupName>格式问题</groupName>
      <ability>L2_HalfPunc_CN</ability>
      <abilityName>全半角问题</abilityName>
      <candidateList>
        <item>）</item>
      </candidateList>
      <explain>文本全半角错误。</explain>
      <paraID> 167F1C0</paraID>
      <start>59</start>
      <end>60</end>
      <status>unmodified</status>
      <modifiedWord/>
      <trackRevisions>false</trackRevisions>
    </reviewItem>
    <reviewItem>
      <errorID>5b7b8045-4952-45b6-a076-0d584da1a849</errorID>
      <errorWord>（</errorWord>
      <group>L1_Format</group>
      <groupName>格式问题</groupName>
      <ability>L2_HalfPunc_CN</ability>
      <abilityName>全半角问题</abilityName>
      <candidateList>
        <item>(</item>
      </candidateList>
      <explain>文本全半角错误。</explain>
      <paraID>3AF61E12</paraID>
      <start>0</start>
      <end>1</end>
      <status>unmodified</status>
      <modifiedWord/>
      <trackRevisions>false</trackRevisions>
    </reviewItem>
    <reviewItem>
      <errorID>d75d62b6-a04b-4791-8567-127046b9105b</errorID>
      <errorWord>）</errorWord>
      <group>L1_Format</group>
      <groupName>格式问题</groupName>
      <ability>L2_HalfPunc_CN</ability>
      <abilityName>全半角问题</abilityName>
      <candidateList>
        <item>)</item>
      </candidateList>
      <explain>文本全半角错误。</explain>
      <paraID>3AF61E12</paraID>
      <start>5</start>
      <end>6</end>
      <status>unmodified</status>
      <modifiedWord/>
      <trackRevisions>false</trackRevisions>
    </reviewItem>
    <reviewItem>
      <errorID>3c31c378-c7cc-4830-97dc-def541eccac7</errorID>
      <errorWord>（</errorWord>
      <group>L1_Format</group>
      <groupName>格式问题</groupName>
      <ability>L2_HalfPunc_CN</ability>
      <abilityName>全半角问题</abilityName>
      <candidateList>
        <item>(</item>
      </candidateList>
      <explain>文本全半角错误。</explain>
      <paraID> B3CB730</paraID>
      <start>0</start>
      <end>1</end>
      <status>unmodified</status>
      <modifiedWord/>
      <trackRevisions>false</trackRevisions>
    </reviewItem>
    <reviewItem>
      <errorID>ba1c1027-721f-42b0-94c0-51f2dfb8303b</errorID>
      <errorWord>）</errorWord>
      <group>L1_Format</group>
      <groupName>格式问题</groupName>
      <ability>L2_HalfPunc_CN</ability>
      <abilityName>全半角问题</abilityName>
      <candidateList>
        <item>)</item>
      </candidateList>
      <explain>文本全半角错误。</explain>
      <paraID> B3CB730</paraID>
      <start>5</start>
      <end>6</end>
      <status>unmodified</status>
      <modifiedWord/>
      <trackRevisions>false</trackRevisions>
    </reviewItem>
    <reviewItem>
      <errorID>28be8dbb-f8fd-41d0-be9d-211548138544</errorID>
      <errorWord>(</errorWord>
      <group>L1_Format</group>
      <groupName>格式问题</groupName>
      <ability>L2_HalfPunc_CN</ability>
      <abilityName>全半角问题</abilityName>
      <candidateList>
        <item>（</item>
      </candidateList>
      <explain>文本全半角错误。</explain>
      <paraID>3EC0B990</paraID>
      <start>18</start>
      <end>19</end>
      <status>unmodified</status>
      <modifiedWord/>
      <trackRevisions>false</trackRevisions>
    </reviewItem>
    <reviewItem>
      <errorID>045cef37-feee-4a30-bfd8-728bcea9c139</errorID>
      <errorWord>)</errorWord>
      <group>L1_Format</group>
      <groupName>格式问题</groupName>
      <ability>L2_HalfPunc_CN</ability>
      <abilityName>全半角问题</abilityName>
      <candidateList>
        <item>）</item>
      </candidateList>
      <explain>文本全半角错误。</explain>
      <paraID>3EC0B990</paraID>
      <start>34</start>
      <end>35</end>
      <status>unmodified</status>
      <modifiedWord/>
      <trackRevisions>false</trackRevisions>
    </reviewItem>
    <reviewItem>
      <errorID>58a11f61-573e-47a3-b5c8-b4f44cf4387f</errorID>
      <errorWord>～</errorWord>
      <group>L1_Format</group>
      <groupName>格式问题</groupName>
      <ability>L2_HalfPunc_CN</ability>
      <abilityName>全半角问题</abilityName>
      <candidateList>
        <item>~</item>
      </candidateList>
      <explain>文本全半角错误。</explain>
      <paraID>75DA28C7</paraID>
      <start>1</start>
      <end>2</end>
      <status>unmodified</status>
      <modifiedWord/>
      <trackRevisions>false</trackRevisions>
    </reviewItem>
    <reviewItem>
      <errorID>80c515bd-f47c-4fda-a636-088e5029cc27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53042A11</paraID>
      <start>0</start>
      <end>3</end>
      <status>unmodified</status>
      <modifiedWord/>
      <trackRevisions>false</trackRevisions>
    </reviewItem>
    <reviewItem>
      <errorID>a3ffe720-f06f-4539-8728-1143999d9e71</errorID>
      <errorWord>(</errorWord>
      <group>L1_Format</group>
      <groupName>格式问题</groupName>
      <ability>L2_HalfPunc_CN</ability>
      <abilityName>全半角问题</abilityName>
      <candidateList>
        <item>（</item>
      </candidateList>
      <explain>文本全半角错误。</explain>
      <paraID>61CEBC78</paraID>
      <start>22</start>
      <end>23</end>
      <status>unmodified</status>
      <modifiedWord/>
      <trackRevisions>false</trackRevisions>
    </reviewItem>
    <reviewItem>
      <errorID>975b689c-ff74-464d-9f64-a7ebd960d577</errorID>
      <errorWord>)</errorWord>
      <group>L1_Format</group>
      <groupName>格式问题</groupName>
      <ability>L2_HalfPunc_CN</ability>
      <abilityName>全半角问题</abilityName>
      <candidateList>
        <item>）</item>
      </candidateList>
      <explain>文本全半角错误。</explain>
      <paraID>61CEBC78</paraID>
      <start>35</start>
      <end>36</end>
      <status>unmodified</status>
      <modifiedWord/>
      <trackRevisions>false</trackRevisions>
    </reviewItem>
    <reviewItem>
      <errorID>ee86c74d-4473-4de1-8b50-327749e0d4f8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1003EB28</paraID>
      <start>0</start>
      <end>3</end>
      <status>unmodified</status>
      <modifiedWord/>
      <trackRevisions>false</trackRevisions>
    </reviewItem>
    <reviewItem>
      <errorID>b8239a08-4e9d-43cf-84e2-b641be0302cc</errorID>
      <errorWord>（</errorWord>
      <group>L1_Format</group>
      <groupName>格式问题</groupName>
      <ability>L2_HalfPunc_CN</ability>
      <abilityName>全半角问题</abilityName>
      <candidateList>
        <item>(</item>
      </candidateList>
      <explain>文本全半角错误。</explain>
      <paraID>71D1788D</paraID>
      <start>0</start>
      <end>1</end>
      <status>unmodified</status>
      <modifiedWord/>
      <trackRevisions>false</trackRevisions>
    </reviewItem>
    <reviewItem>
      <errorID>b3cdc92c-0f7d-4848-9c42-32b78d4129ea</errorID>
      <errorWord>）。</errorWord>
      <group>L1_Format</group>
      <groupName>格式问题</groupName>
      <ability>L2_HalfPunc_CN</ability>
      <abilityName>全半角问题</abilityName>
      <candidateList>
        <item>).</item>
      </candidateList>
      <explain>文本全半角错误。</explain>
      <paraID>71D1788D</paraID>
      <start>13</start>
      <end>15</end>
      <status>unmodified</status>
      <modifiedWord/>
      <trackRevisions>false</trackRevisions>
    </reviewItem>
    <reviewItem>
      <errorID>96c0d31a-d9e0-4ffa-9db3-676333fe19bf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2ADD065E</paraID>
      <start>0</start>
      <end>3</end>
      <status>unmodified</status>
      <modifiedWord/>
      <trackRevisions>false</trackRevisions>
    </reviewItem>
    <reviewItem>
      <errorID>f450c35b-8c5f-4b59-84de-7fbc68583efb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4067DBDC</paraID>
      <start>0</start>
      <end>3</end>
      <status>unmodified</status>
      <modifiedWord/>
      <trackRevisions>false</trackRevisions>
    </reviewItem>
    <reviewItem>
      <errorID>194cf254-aa82-49a7-83df-6f70fa7fe1e3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436FC6B0</paraID>
      <start>0</start>
      <end>3</end>
      <status>unmodified</status>
      <modifiedWord/>
      <trackRevisions>false</trackRevisions>
    </reviewItem>
    <reviewItem>
      <errorID>3eafa3d6-12ab-46a1-93ee-cd68018da79f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4057AFB7</paraID>
      <start>0</start>
      <end>3</end>
      <status>unmodified</status>
      <modifiedWord/>
      <trackRevisions>false</trackRevisions>
    </reviewItem>
    <reviewItem>
      <errorID>e8faf21a-6248-4405-8553-00676d83be78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37AC8862</paraID>
      <start>0</start>
      <end>3</end>
      <status>unmodified</status>
      <modifiedWord/>
      <trackRevisions>false</trackRevisions>
    </reviewItem>
    <reviewItem>
      <errorID>47516f94-842c-4bfd-bf88-4a09ba3eb17c</errorID>
      <errorWord>，在</errorWord>
      <group>L1_Word</group>
      <groupName>字词问题</groupName>
      <ability>L2_Typo</ability>
      <abilityName>字词错误</abilityName>
      <candidateList>
        <item>，</item>
      </candidateList>
      <explain/>
      <paraID>37AC8862</paraID>
      <start>54</start>
      <end>56</end>
      <status>unmodified</status>
      <modifiedWord/>
      <trackRevisions>false</trackRevisions>
    </reviewItem>
    <reviewItem>
      <errorID>4b21f4f2-73c9-4507-b284-ee7f7731fc24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1DE5EC5</paraID>
      <start>0</start>
      <end>3</end>
      <status>unmodified</status>
      <modifiedWord/>
      <trackRevisions>false</trackRevisions>
    </reviewItem>
    <reviewItem>
      <errorID>aa76af1c-eade-41c5-b0dc-90c51187f4f2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2B2A785E</paraID>
      <start>0</start>
      <end>3</end>
      <status>unmodified</status>
      <modifiedWord/>
      <trackRevisions>false</trackRevisions>
    </reviewItem>
    <reviewItem>
      <errorID>11725ce0-e597-4ed9-95d5-578ac0c53806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571EBBF2</paraID>
      <start>0</start>
      <end>3</end>
      <status>unmodified</status>
      <modifiedWord/>
      <trackRevisions>false</trackRevisions>
    </reviewItem>
    <reviewItem>
      <errorID>232964f1-bc8a-4397-957e-a8cf2d987db6</errorID>
      <errorWord>别</errorWord>
      <group>L1_Word</group>
      <groupName>字词问题</groupName>
      <ability>L2_Typo</ability>
      <abilityName>字词错误</abilityName>
      <candidateList>
        <item>别是</item>
      </candidateList>
      <explain/>
      <paraID>6965DD43</paraID>
      <start>105</start>
      <end>107</end>
      <status>modified</status>
      <modifiedWord>别是</modifiedWord>
      <trackRevisions>false</trackRevisions>
    </reviewItem>
    <reviewItem>
      <errorID>7d4141ec-e632-472b-a2b0-30659840fc0c</errorID>
      <errorWord>期</errorWord>
      <group>L1_Word</group>
      <groupName>字词问题</groupName>
      <ability>L2_Typo</ability>
      <abilityName>字词错误</abilityName>
      <candidateList>
        <item>期间</item>
      </candidateList>
      <explain/>
      <paraID>3B81B456</paraID>
      <start>27</start>
      <end>28</end>
      <status>unmodified</status>
      <modifiedWord/>
      <trackRevisions>false</trackRevisions>
    </reviewItem>
    <reviewItem>
      <errorID>0f50e804-d8f9-45ae-b5d4-aaea476ae6cc</errorID>
      <errorWord>拌合站</errorWord>
      <group>L1_Word</group>
      <groupName>字词问题</groupName>
      <ability>L2_Typo</ability>
      <abilityName>字词错误</abilityName>
      <candidateList>
        <item>拌和站</item>
      </candidateList>
      <explain>存在发音相同字词的误用。</explain>
      <paraID>3B81B456</paraID>
      <start>197</start>
      <end>200</end>
      <status>unmodified</status>
      <modifiedWord/>
      <trackRevisions>false</trackRevisions>
    </reviewItem>
    <reviewItem>
      <errorID>7a929daa-1c18-44e6-84ed-faeed04e85f8</errorID>
      <errorWord>是由于施工车辆在施工道路上运输施工材料而引起的</errorWord>
      <group>L1_Grammar</group>
      <groupName>语法问题</groupName>
      <ability>L2_Grammar</ability>
      <abilityName>语法错误</abilityName>
      <candidateList>
        <item>是由于施工车辆在施工道路上运输施工材料而</item>
      </candidateList>
      <explain>该表达中的“是由于施工车辆在施工道路上运输施工材料而引起的”存在语义重复。</explain>
      <paraID>2C487E6E</paraID>
      <start>8</start>
      <end>31</end>
      <status>unmodified</status>
      <modifiedWord/>
      <trackRevisions>false</trackRevisions>
    </reviewItem>
    <reviewItem>
      <errorID>7b1d5456-44a5-4713-b5bf-0732e5318b20</errorID>
      <errorWord>(</errorWord>
      <group>L1_Format</group>
      <groupName>格式问题</groupName>
      <ability>L2_HalfPunc_CN</ability>
      <abilityName>全半角问题</abilityName>
      <candidateList>
        <item>（</item>
      </candidateList>
      <explain>文本全半角错误。</explain>
      <paraID>309E67AD</paraID>
      <start>5</start>
      <end>6</end>
      <status>unmodified</status>
      <modifiedWord/>
      <trackRevisions>false</trackRevisions>
    </reviewItem>
    <reviewItem>
      <errorID>b83088cf-6a8b-4630-924e-bafd2de24f5b</errorID>
      <errorWord>)</errorWord>
      <group>L1_Format</group>
      <groupName>格式问题</groupName>
      <ability>L2_HalfPunc_CN</ability>
      <abilityName>全半角问题</abilityName>
      <candidateList>
        <item>）</item>
      </candidateList>
      <explain>文本全半角错误。</explain>
      <paraID>309E67AD</paraID>
      <start>7</start>
      <end>8</end>
      <status>unmodified</status>
      <modifiedWord/>
      <trackRevisions>false</trackRevisions>
    </reviewItem>
    <reviewItem>
      <errorID>20ef6e6c-b9e8-4a15-83e5-91e89411681b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27C6050B</paraID>
      <start>0</start>
      <end>3</end>
      <status>unmodified</status>
      <modifiedWord/>
      <trackRevisions>false</trackRevisions>
    </reviewItem>
    <reviewItem>
      <errorID>0aa51d8f-1604-4493-b542-119df0bb9c95</errorID>
      <errorWord>拌合站</errorWord>
      <group>L1_Word</group>
      <groupName>字词问题</groupName>
      <ability>L2_Typo</ability>
      <abilityName>字词错误</abilityName>
      <candidateList>
        <item>拌和站</item>
      </candidateList>
      <explain>存在发音相同字词的误用。</explain>
      <paraID>6EF05A9F</paraID>
      <start>37</start>
      <end>40</end>
      <status>unmodified</status>
      <modifiedWord/>
      <trackRevisions>false</trackRevisions>
    </reviewItem>
    <reviewItem>
      <errorID>9648bc59-bcae-4ad2-8354-687170cd585b</errorID>
      <errorWord>拌合站</errorWord>
      <group>L1_Word</group>
      <groupName>字词问题</groupName>
      <ability>L2_Typo</ability>
      <abilityName>字词错误</abilityName>
      <candidateList>
        <item>拌和站</item>
      </candidateList>
      <explain>存在发音相同字词的误用。</explain>
      <paraID>6EF05A9F</paraID>
      <start>159</start>
      <end>162</end>
      <status>unmodified</status>
      <modifiedWord/>
      <trackRevisions>false</trackRevisions>
    </reviewItem>
    <reviewItem>
      <errorID>ae6c280c-d783-4365-985e-c0f6c41f51d8</errorID>
      <errorWord>拌合站</errorWord>
      <group>L1_Word</group>
      <groupName>字词问题</groupName>
      <ability>L2_Typo</ability>
      <abilityName>字词错误</abilityName>
      <candidateList>
        <item>拌和站</item>
      </candidateList>
      <explain>存在发音相同字词的误用。</explain>
      <paraID>6EF05A9F</paraID>
      <start>222</start>
      <end>225</end>
      <status>unmodified</status>
      <modifiedWord/>
      <trackRevisions>false</trackRevisions>
    </reviewItem>
    <reviewItem>
      <errorID>b1fe3848-2662-448c-a12c-0d0905a1b93d</errorID>
      <errorWord>拌合站</errorWord>
      <group>L1_Word</group>
      <groupName>字词问题</groupName>
      <ability>L2_Typo</ability>
      <abilityName>字词错误</abilityName>
      <candidateList>
        <item>拌和站</item>
      </candidateList>
      <explain>存在发音相同字词的误用。</explain>
      <paraID>56E22D5C</paraID>
      <start>12</start>
      <end>15</end>
      <status>unmodified</status>
      <modifiedWord/>
      <trackRevisions>false</trackRevisions>
    </reviewItem>
    <reviewItem>
      <errorID>2bbbdfdb-84cc-40d8-8227-b3a0496f8dc2</errorID>
      <errorWord>拌合站</errorWord>
      <group>L1_Word</group>
      <groupName>字词问题</groupName>
      <ability>L2_Typo</ability>
      <abilityName>字词错误</abilityName>
      <candidateList>
        <item>拌和站</item>
      </candidateList>
      <explain>存在发音相同字词的误用。</explain>
      <paraID>56E22D5C</paraID>
      <start>27</start>
      <end>30</end>
      <status>unmodified</status>
      <modifiedWord/>
      <trackRevisions>false</trackRevisions>
    </reviewItem>
    <reviewItem>
      <errorID>9a32880d-ff9c-4a90-a728-2b44806b4f2a</errorID>
      <errorWord>拌合站</errorWord>
      <group>L1_Word</group>
      <groupName>字词问题</groupName>
      <ability>L2_Typo</ability>
      <abilityName>字词错误</abilityName>
      <candidateList>
        <item>拌和站</item>
      </candidateList>
      <explain>存在发音相同字词的误用。</explain>
      <paraID>56E22D5C</paraID>
      <start>162</start>
      <end>165</end>
      <status>unmodified</status>
      <modifiedWord/>
      <trackRevisions>false</trackRevisions>
    </reviewItem>
    <reviewItem>
      <errorID>54acc70b-81c2-4d3d-a11d-5574888945ee</errorID>
      <errorWord>蓬布</errorWord>
      <group>L1_Word</group>
      <groupName>字词问题</groupName>
      <ability>L2_Typo</ability>
      <abilityName>字词错误</abilityName>
      <candidateList>
        <item>篷布</item>
      </candidateList>
      <explain/>
      <paraID>2E7B499E</paraID>
      <start>126</start>
      <end>128</end>
      <status>modified</status>
      <modifiedWord>篷布</modifiedWord>
      <trackRevisions>false</trackRevisions>
    </reviewItem>
    <reviewItem>
      <errorID>4d3d63eb-0b4c-4e5b-9d55-18abe01d19aa</errorID>
      <errorWord>拌合站</errorWord>
      <group>L1_Word</group>
      <groupName>字词问题</groupName>
      <ability>L2_Typo</ability>
      <abilityName>字词错误</abilityName>
      <candidateList>
        <item>拌和站</item>
      </candidateList>
      <explain>存在发音相同字词的误用。</explain>
      <paraID>46F0351A</paraID>
      <start>79</start>
      <end>82</end>
      <status>unmodified</status>
      <modifiedWord/>
      <trackRevisions>false</trackRevisions>
    </reviewItem>
    <reviewItem>
      <errorID>cd9f8d38-e711-4437-9d51-efcbfc974cb1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6F87C814</paraID>
      <start>0</start>
      <end>3</end>
      <status>unmodified</status>
      <modifiedWord/>
      <trackRevisions>false</trackRevisions>
    </reviewItem>
    <reviewItem>
      <errorID>b4e5d17b-39dc-4704-9eaa-216055132b4b</errorID>
      <errorWord>拌合站</errorWord>
      <group>L1_Word</group>
      <groupName>字词问题</groupName>
      <ability>L2_Typo</ability>
      <abilityName>字词错误</abilityName>
      <candidateList>
        <item>拌和站</item>
      </candidateList>
      <explain>存在发音相同字词的误用。</explain>
      <paraID>6F87C814</paraID>
      <start>6</start>
      <end>9</end>
      <status>unmodified</status>
      <modifiedWord/>
      <trackRevisions>false</trackRevisions>
    </reviewItem>
    <reviewItem>
      <errorID>9ea3ef5d-8623-4c02-87fa-ab53c508832d</errorID>
      <errorWord>拌合</errorWord>
      <group>L1_Word</group>
      <groupName>字词问题</groupName>
      <ability>L2_Typo</ability>
      <abilityName>字词错误</abilityName>
      <candidateList>
        <item>拌和</item>
      </candidateList>
      <explain/>
      <paraID> 1CEAE1E</paraID>
      <start>20</start>
      <end>22</end>
      <status>unmodified</status>
      <modifiedWord/>
      <trackRevisions>false</trackRevisions>
    </reviewItem>
    <reviewItem>
      <errorID>75fd03fe-5ab2-49c2-8cb7-dc28864e596a</errorID>
      <errorWord>拌合</errorWord>
      <group>L1_Word</group>
      <groupName>字词问题</groupName>
      <ability>L2_Typo</ability>
      <abilityName>字词错误</abilityName>
      <candidateList>
        <item>拌和</item>
      </candidateList>
      <explain/>
      <paraID>24A59596</paraID>
      <start>20</start>
      <end>22</end>
      <status>unmodified</status>
      <modifiedWord/>
      <trackRevisions>false</trackRevisions>
    </reviewItem>
    <reviewItem>
      <errorID>89a59512-e22c-4050-83bf-5cd1eafd9338</errorID>
      <errorWord>拌合站</errorWord>
      <group>L1_Word</group>
      <groupName>字词问题</groupName>
      <ability>L2_Typo</ability>
      <abilityName>字词错误</abilityName>
      <candidateList>
        <item>拌和站</item>
      </candidateList>
      <explain>存在发音相同字词的误用。</explain>
      <paraID>36ADE948</paraID>
      <start>0</start>
      <end>3</end>
      <status>unmodified</status>
      <modifiedWord/>
      <trackRevisions>false</trackRevisions>
    </reviewItem>
    <reviewItem>
      <errorID>76254614-29eb-4dd4-b044-de19fac61309</errorID>
      <errorWord>拌合站</errorWord>
      <group>L1_Word</group>
      <groupName>字词问题</groupName>
      <ability>L2_Typo</ability>
      <abilityName>字词错误</abilityName>
      <candidateList>
        <item>拌和站</item>
      </candidateList>
      <explain>存在发音相同字词的误用。</explain>
      <paraID>3C909EB9</paraID>
      <start>2</start>
      <end>5</end>
      <status>unmodified</status>
      <modifiedWord/>
      <trackRevisions>false</trackRevisions>
    </reviewItem>
    <reviewItem>
      <errorID>44f7bc51-8358-4615-b7a9-5d404ee96d37</errorID>
      <errorWord>拌合站</errorWord>
      <group>L1_Word</group>
      <groupName>字词问题</groupName>
      <ability>L2_Typo</ability>
      <abilityName>字词错误</abilityName>
      <candidateList>
        <item>拌和站</item>
      </candidateList>
      <explain>存在发音相同字词的误用。</explain>
      <paraID>4BE01BB7</paraID>
      <start>60</start>
      <end>63</end>
      <status>unmodified</status>
      <modifiedWord/>
      <trackRevisions>false</trackRevisions>
    </reviewItem>
    <reviewItem>
      <errorID>213e5404-9b3b-46db-acd6-505658690d6e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20BB8D24</paraID>
      <start>0</start>
      <end>3</end>
      <status>unmodified</status>
      <modifiedWord/>
      <trackRevisions>false</trackRevisions>
    </reviewItem>
    <reviewItem>
      <errorID>a8a28621-5320-46f4-95be-3e67472748dc</errorID>
      <errorWord>～</errorWord>
      <group>L1_Format</group>
      <groupName>格式问题</groupName>
      <ability>L2_HalfPunc_CN</ability>
      <abilityName>全半角问题</abilityName>
      <candidateList>
        <item>~</item>
      </candidateList>
      <explain>文本全半角错误。</explain>
      <paraID>2E1BB7F7</paraID>
      <start>4</start>
      <end>5</end>
      <status>unmodified</status>
      <modifiedWord/>
      <trackRevisions>false</trackRevisions>
    </reviewItem>
    <reviewItem>
      <errorID>2fcd067e-787a-4ecc-ba85-f7e66c249d69</errorID>
      <errorWord>～</errorWord>
      <group>L1_Format</group>
      <groupName>格式问题</groupName>
      <ability>L2_HalfPunc_CN</ability>
      <abilityName>全半角问题</abilityName>
      <candidateList>
        <item>~</item>
      </candidateList>
      <explain>文本全半角错误。</explain>
      <paraID>7AE55E23</paraID>
      <start>4</start>
      <end>5</end>
      <status>unmodified</status>
      <modifiedWord/>
      <trackRevisions>false</trackRevisions>
    </reviewItem>
    <reviewItem>
      <errorID>543db062-c0a2-4c92-8033-b71adac18b74</errorID>
      <errorWord>～</errorWord>
      <group>L1_Format</group>
      <groupName>格式问题</groupName>
      <ability>L2_HalfPunc_CN</ability>
      <abilityName>全半角问题</abilityName>
      <candidateList>
        <item>~</item>
      </candidateList>
      <explain>文本全半角错误。</explain>
      <paraID>5D2DF9C6</paraID>
      <start>4</start>
      <end>5</end>
      <status>unmodified</status>
      <modifiedWord/>
      <trackRevisions>false</trackRevisions>
    </reviewItem>
    <reviewItem>
      <errorID>a7930a56-c19a-49fd-8788-49b2e3213f79</errorID>
      <errorWord>~</errorWord>
      <group>L1_Format</group>
      <groupName>格式问题</groupName>
      <ability>L2_HalfPunc_CN</ability>
      <abilityName>全半角问题</abilityName>
      <candidateList>
        <item>～</item>
      </candidateList>
      <explain>文本全半角错误。</explain>
      <paraID> 9EEB16B</paraID>
      <start>56</start>
      <end>57</end>
      <status>unmodified</status>
      <modifiedWord/>
      <trackRevisions>false</trackRevisions>
    </reviewItem>
    <reviewItem>
      <errorID>e6a45b6a-8174-4f31-9234-b50be1366787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4DF33F48</paraID>
      <start>0</start>
      <end>3</end>
      <status>unmodified</status>
      <modifiedWord/>
      <trackRevisions>false</trackRevisions>
    </reviewItem>
    <reviewItem>
      <errorID>7132be3c-acdd-4417-bbe0-53b4d2122ac3</errorID>
      <errorWord>拌合站</errorWord>
      <group>L1_Word</group>
      <groupName>字词问题</groupName>
      <ability>L2_Typo</ability>
      <abilityName>字词错误</abilityName>
      <candidateList>
        <item>拌和站</item>
      </candidateList>
      <explain>存在发音相同字词的误用。</explain>
      <paraID>4FE5EB05</paraID>
      <start>66</start>
      <end>69</end>
      <status>unmodified</status>
      <modifiedWord/>
      <trackRevisions>false</trackRevisions>
    </reviewItem>
    <reviewItem>
      <errorID>d4ad5dbd-9bcf-45af-8c20-52831c920bd4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42760F6F</paraID>
      <start>0</start>
      <end>3</end>
      <status>unmodified</status>
      <modifiedWord/>
      <trackRevisions>false</trackRevisions>
    </reviewItem>
    <reviewItem>
      <errorID>e2fe97b2-d096-4dd7-992f-62f810570f45</errorID>
      <errorWord>泥砂</errorWord>
      <group>L1_Word</group>
      <groupName>字词问题</groupName>
      <ability>L2_Typo</ability>
      <abilityName>字词错误</abilityName>
      <candidateList>
        <item>泥沙</item>
      </candidateList>
      <explain>存在发音相同字词的误用。</explain>
      <paraID>106055B1</paraID>
      <start>156</start>
      <end>158</end>
      <status>unmodified</status>
      <modifiedWord/>
      <trackRevisions>false</trackRevisions>
    </reviewItem>
    <reviewItem>
      <errorID>03116a55-dcf0-427b-bab3-951651493075</errorID>
      <errorWord>~</errorWord>
      <group>L1_Format</group>
      <groupName>格式问题</groupName>
      <ability>L2_HalfPunc_CN</ability>
      <abilityName>全半角问题</abilityName>
      <candidateList>
        <item>～</item>
      </candidateList>
      <explain>文本全半角错误。</explain>
      <paraID>2F302262</paraID>
      <start>86</start>
      <end>87</end>
      <status>unmodified</status>
      <modifiedWord/>
      <trackRevisions>false</trackRevisions>
    </reviewItem>
    <reviewItem>
      <errorID>95cfafd5-235b-4e71-b037-37ad6ea42c7f</errorID>
      <errorWord>~</errorWord>
      <group>L1_Format</group>
      <groupName>格式问题</groupName>
      <ability>L2_HalfPunc_CN</ability>
      <abilityName>全半角问题</abilityName>
      <candidateList>
        <item>～</item>
      </candidateList>
      <explain>文本全半角错误。</explain>
      <paraID>2F302262</paraID>
      <start>324</start>
      <end>325</end>
      <status>unmodified</status>
      <modifiedWord/>
      <trackRevisions>false</trackRevisions>
    </reviewItem>
    <reviewItem>
      <errorID>3e95a85d-c6f3-4b5f-b608-4db60cbeae74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7F62AE2D</paraID>
      <start>0</start>
      <end>3</end>
      <status>unmodified</status>
      <modifiedWord/>
      <trackRevisions>false</trackRevisions>
    </reviewItem>
    <reviewItem>
      <errorID>5911b134-5c40-4014-bb47-838edf319f0d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52171414</paraID>
      <start>0</start>
      <end>3</end>
      <status>unmodified</status>
      <modifiedWord/>
      <trackRevisions>false</trackRevisions>
    </reviewItem>
    <reviewItem>
      <errorID>5a6c3436-33a9-45ef-8dac-d7a47723c4f3</errorID>
      <errorWord>拌合站</errorWord>
      <group>L1_Word</group>
      <groupName>字词问题</groupName>
      <ability>L2_Typo</ability>
      <abilityName>字词错误</abilityName>
      <candidateList>
        <item>拌和站</item>
      </candidateList>
      <explain>存在发音相同字词的误用。</explain>
      <paraID>52171414</paraID>
      <start>9</start>
      <end>12</end>
      <status>unmodified</status>
      <modifiedWord/>
      <trackRevisions>false</trackRevisions>
    </reviewItem>
    <reviewItem>
      <errorID>15ddc3a1-986d-4105-8f70-28cb244c5e84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33CEA7C6</paraID>
      <start>0</start>
      <end>3</end>
      <status>unmodified</status>
      <modifiedWord/>
      <trackRevisions>false</trackRevisions>
    </reviewItem>
    <reviewItem>
      <errorID>711dbcdf-4d01-4c22-bdc0-904f9ef44ef6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64E3657</paraID>
      <start>0</start>
      <end>3</end>
      <status>unmodified</status>
      <modifiedWord/>
      <trackRevisions>false</trackRevisions>
    </reviewItem>
    <reviewItem>
      <errorID>d683c265-b65c-48d2-880b-e2fda2ff4e19</errorID>
      <errorWord>~</errorWord>
      <group>L1_Format</group>
      <groupName>格式问题</groupName>
      <ability>L2_HalfPunc_CN</ability>
      <abilityName>全半角问题</abilityName>
      <candidateList>
        <item>～</item>
      </candidateList>
      <explain>文本全半角错误。</explain>
      <paraID>6B6E53A7</paraID>
      <start>52</start>
      <end>53</end>
      <status>unmodified</status>
      <modifiedWord/>
      <trackRevisions>false</trackRevisions>
    </reviewItem>
    <reviewItem>
      <errorID>eec56828-7ea6-4fc5-bb4c-4c2ac7deef3a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6B6E53A7</paraID>
      <start>75</start>
      <end>76</end>
      <status>unmodified</status>
      <modifiedWord/>
      <trackRevisions>false</trackRevisions>
    </reviewItem>
    <reviewItem>
      <errorID>65b7abeb-1b58-4017-8cc5-1154220cdf4c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41DD795E</paraID>
      <start>0</start>
      <end>3</end>
      <status>unmodified</status>
      <modifiedWord/>
      <trackRevisions>false</trackRevisions>
    </reviewItem>
    <reviewItem>
      <errorID>6114b7a7-9fe3-4cc5-8352-b2904550462a</errorID>
      <errorWord>中工</errorWord>
      <group>L1_Word</group>
      <groupName>字词问题</groupName>
      <ability>L2_Typo</ability>
      <abilityName>字词错误</abilityName>
      <candidateList>
        <item>中</item>
      </candidateList>
      <explain/>
      <paraID>6885EE6D</paraID>
      <start>73</start>
      <end>75</end>
      <status>unmodified</status>
      <modifiedWord/>
      <trackRevisions>false</trackRevisions>
    </reviewItem>
    <reviewItem>
      <errorID>b4406219-82d0-43e8-8556-4a486a1594e5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7518CAC0</paraID>
      <start>0</start>
      <end>3</end>
      <status>unmodified</status>
      <modifiedWord/>
      <trackRevisions>false</trackRevisions>
    </reviewItem>
    <reviewItem>
      <errorID>817bc0bc-c34c-4909-acb0-f7dbc12f144c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44C44589</paraID>
      <start>0</start>
      <end>3</end>
      <status>unmodified</status>
      <modifiedWord/>
      <trackRevisions>false</trackRevisions>
    </reviewItem>
    <reviewItem>
      <errorID>54e9a62b-7087-4eca-bbd7-ba37df2b826a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B3F3F20</paraID>
      <start>0</start>
      <end>3</end>
      <status>unmodified</status>
      <modifiedWord/>
      <trackRevisions>false</trackRevisions>
    </reviewItem>
    <reviewItem>
      <errorID>b808c9d5-62c7-4650-9d4c-5228cccf8f13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1709C127</paraID>
      <start>0</start>
      <end>3</end>
      <status>unmodified</status>
      <modifiedWord/>
      <trackRevisions>false</trackRevisions>
    </reviewItem>
    <reviewItem>
      <errorID>b4e6b3a2-55e6-487e-abf4-9e593e155ce6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159F1E7F</paraID>
      <start>0</start>
      <end>3</end>
      <status>unmodified</status>
      <modifiedWord/>
      <trackRevisions>false</trackRevisions>
    </reviewItem>
    <reviewItem>
      <errorID>ccc1c731-fd02-444a-a750-3aeb2a74a260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25D9DA</paraID>
      <start>0</start>
      <end>3</end>
      <status>unmodified</status>
      <modifiedWord/>
      <trackRevisions>false</trackRevisions>
    </reviewItem>
    <reviewItem>
      <errorID>6b8f3adb-ba89-4e16-9e51-204de53e0a23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65529F46</paraID>
      <start>0</start>
      <end>3</end>
      <status>unmodified</status>
      <modifiedWord/>
      <trackRevisions>false</trackRevisions>
    </reviewItem>
    <reviewItem>
      <errorID>74eca2cd-0996-4a1d-a273-5e31b31a1312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F963571</paraID>
      <start>0</start>
      <end>3</end>
      <status>unmodified</status>
      <modifiedWord/>
      <trackRevisions>false</trackRevisions>
    </reviewItem>
    <reviewItem>
      <errorID>3ebd5022-c5f1-44ae-aa42-bbf72857b6cf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23ABDF2F</paraID>
      <start>0</start>
      <end>3</end>
      <status>unmodified</status>
      <modifiedWord/>
      <trackRevisions>false</trackRevisions>
    </reviewItem>
    <reviewItem>
      <errorID>5d13621f-9ab9-46d1-955e-9555e0f48b2d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4D1D6212</paraID>
      <start>0</start>
      <end>3</end>
      <status>unmodified</status>
      <modifiedWord/>
      <trackRevisions>false</trackRevisions>
    </reviewItem>
    <reviewItem>
      <errorID>10ea49e8-0129-4e15-b1bc-401b20f51670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21347AA7</paraID>
      <start>0</start>
      <end>3</end>
      <status>unmodified</status>
      <modifiedWord/>
      <trackRevisions>false</trackRevisions>
    </reviewItem>
    <reviewItem>
      <errorID>05bfdfa9-48a6-47b9-992d-ad654ae4cce5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26D6C417</paraID>
      <start>0</start>
      <end>3</end>
      <status>unmodified</status>
      <modifiedWord/>
      <trackRevisions>false</trackRevisions>
    </reviewItem>
    <reviewItem>
      <errorID>340dbc71-2e05-4e4c-a383-daea98c4b61c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6B783B</paraID>
      <start>0</start>
      <end>3</end>
      <status>unmodified</status>
      <modifiedWord/>
      <trackRevisions>false</trackRevisions>
    </reviewItem>
    <reviewItem>
      <errorID>30806598-edc7-4459-944b-049c2f6a6dc3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576FA237</paraID>
      <start>0</start>
      <end>3</end>
      <status>unmodified</status>
      <modifiedWord/>
      <trackRevisions>false</trackRevisions>
    </reviewItem>
    <reviewItem>
      <errorID>d33e56a5-5e07-4a73-b860-bd2aaab8cbdd</errorID>
      <errorWord>(</errorWord>
      <group>L1_Format</group>
      <groupName>格式问题</groupName>
      <ability>L2_HalfPunc_CN</ability>
      <abilityName>全半角问题</abilityName>
      <candidateList>
        <item>（</item>
      </candidateList>
      <explain>文本全半角错误。</explain>
      <paraID> 4A2D424</paraID>
      <start>2</start>
      <end>3</end>
      <status>unmodified</status>
      <modifiedWord/>
      <trackRevisions>false</trackRevisions>
    </reviewItem>
    <reviewItem>
      <errorID>fb736b41-701d-4ea3-be24-84434e3c3545</errorID>
      <errorWord>)</errorWord>
      <group>L1_Format</group>
      <groupName>格式问题</groupName>
      <ability>L2_HalfPunc_CN</ability>
      <abilityName>全半角问题</abilityName>
      <candidateList>
        <item>）</item>
      </candidateList>
      <explain>文本全半角错误。</explain>
      <paraID> 4A2D424</paraID>
      <start>4</start>
      <end>5</end>
      <status>unmodified</status>
      <modifiedWord/>
      <trackRevisions>false</trackRevisions>
    </reviewItem>
    <reviewItem>
      <errorID>2f1f48ec-4215-40c5-971c-025d304df054</errorID>
      <errorWord>(</errorWord>
      <group>L1_Format</group>
      <groupName>格式问题</groupName>
      <ability>L2_HalfPunc_CN</ability>
      <abilityName>全半角问题</abilityName>
      <candidateList>
        <item>（</item>
      </candidateList>
      <explain>文本全半角错误。</explain>
      <paraID>262E4A6F</paraID>
      <start>3</start>
      <end>4</end>
      <status>unmodified</status>
      <modifiedWord/>
      <trackRevisions>false</trackRevisions>
    </reviewItem>
    <reviewItem>
      <errorID>bac9be11-1eba-410e-a526-dd9ec1d8eb90</errorID>
      <errorWord>)</errorWord>
      <group>L1_Format</group>
      <groupName>格式问题</groupName>
      <ability>L2_HalfPunc_CN</ability>
      <abilityName>全半角问题</abilityName>
      <candidateList>
        <item>）</item>
      </candidateList>
      <explain>文本全半角错误。</explain>
      <paraID>262E4A6F</paraID>
      <start>7</start>
      <end>8</end>
      <status>unmodified</status>
      <modifiedWord/>
      <trackRevisions>false</trackRevisions>
    </reviewItem>
    <reviewItem>
      <errorID>a6a3a33d-fd0c-496f-a3b2-a36e9152313a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73F92403</paraID>
      <start>4</start>
      <end>7</end>
      <status>unmodified</status>
      <modifiedWord/>
      <trackRevisions>false</trackRevisions>
    </reviewItem>
    <reviewItem>
      <errorID>07c79083-a4d0-445a-83ac-b13fe7b3a646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1FF507BB</paraID>
      <start>0</start>
      <end>3</end>
      <status>unmodified</status>
      <modifiedWord/>
      <trackRevisions>false</trackRevisions>
    </reviewItem>
    <reviewItem>
      <errorID>7681a3fb-609d-4424-9d75-b716b4cb6fb2</errorID>
      <errorWord>其它有毒</errorWord>
      <group>L1_Word</group>
      <groupName>字词问题</groupName>
      <ability>L2_Alias</ability>
      <abilityName>也作/曾用词</abilityName>
      <candidateList>
        <item>其他有毒</item>
      </candidateList>
      <explain>词汇[其它有毒]为不规范表述或旧称，其规范书面表述为[其他有毒]。</explain>
      <paraID>7165D8C9</paraID>
      <start>45</start>
      <end>49</end>
      <status>unmodified</status>
      <modifiedWord/>
      <trackRevisions>false</trackRevisions>
    </reviewItem>
    <reviewItem>
      <errorID>497f7c65-77aa-43ae-9923-ac55d745a307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79237B62</paraID>
      <start>0</start>
      <end>3</end>
      <status>unmodified</status>
      <modifiedWord/>
      <trackRevisions>false</trackRevisions>
    </reviewItem>
    <reviewItem>
      <errorID>0bdaff2b-fabd-4604-9f20-e126b6103155</errorID>
      <errorWord>(</errorWord>
      <group>L1_Format</group>
      <groupName>格式问题</groupName>
      <ability>L2_HalfPunc_CN</ability>
      <abilityName>全半角问题</abilityName>
      <candidateList>
        <item>（</item>
      </candidateList>
      <explain>文本全半角错误。</explain>
      <paraID>7BBA4006</paraID>
      <start>2</start>
      <end>3</end>
      <status>unmodified</status>
      <modifiedWord/>
      <trackRevisions>false</trackRevisions>
    </reviewItem>
    <reviewItem>
      <errorID>8f53c683-0abe-42e6-b98f-13007ed9b795</errorID>
      <errorWord>)</errorWord>
      <group>L1_Format</group>
      <groupName>格式问题</groupName>
      <ability>L2_HalfPunc_CN</ability>
      <abilityName>全半角问题</abilityName>
      <candidateList>
        <item>）</item>
      </candidateList>
      <explain>文本全半角错误。</explain>
      <paraID>7BBA4006</paraID>
      <start>4</start>
      <end>5</end>
      <status>unmodified</status>
      <modifiedWord/>
      <trackRevisions>false</trackRevisions>
    </reviewItem>
    <reviewItem>
      <errorID>c7328a9e-08ba-48a8-b464-6b424660b671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72D6C037</paraID>
      <start>0</start>
      <end>3</end>
      <status>unmodified</status>
      <modifiedWord/>
      <trackRevisions>false</trackRevisions>
    </reviewItem>
    <reviewItem>
      <errorID>c37ddaf4-e805-4c9e-b638-a68e971ab32a</errorID>
      <errorWord>(</errorWord>
      <group>L1_Format</group>
      <groupName>格式问题</groupName>
      <ability>L2_HalfPunc_CN</ability>
      <abilityName>全半角问题</abilityName>
      <candidateList>
        <item>（</item>
      </candidateList>
      <explain>文本全半角错误。</explain>
      <paraID>214B177C</paraID>
      <start>2</start>
      <end>3</end>
      <status>unmodified</status>
      <modifiedWord/>
      <trackRevisions>false</trackRevisions>
    </reviewItem>
    <reviewItem>
      <errorID>98eb675b-6b63-4b91-ad19-a38370081b23</errorID>
      <errorWord>)</errorWord>
      <group>L1_Format</group>
      <groupName>格式问题</groupName>
      <ability>L2_HalfPunc_CN</ability>
      <abilityName>全半角问题</abilityName>
      <candidateList>
        <item>）</item>
      </candidateList>
      <explain>文本全半角错误。</explain>
      <paraID>214B177C</paraID>
      <start>4</start>
      <end>5</end>
      <status>unmodified</status>
      <modifiedWord/>
      <trackRevisions>false</trackRevisions>
    </reviewItem>
    <reviewItem>
      <errorID>46f541f1-ed21-47ff-94ce-fe2fa23e4244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2FCA352</paraID>
      <start>0</start>
      <end>3</end>
      <status>unmodified</status>
      <modifiedWord/>
      <trackRevisions>false</trackRevisions>
    </reviewItem>
    <reviewItem>
      <errorID>db70cca8-2044-49e3-83b9-94ca8d4731e4</errorID>
      <errorWord>)</errorWord>
      <group>L1_Format</group>
      <groupName>格式问题</groupName>
      <ability>L2_HalfPunc_CN</ability>
      <abilityName>全半角问题</abilityName>
      <candidateList>
        <item>）</item>
      </candidateList>
      <explain>文本全半角错误。</explain>
      <paraID>4FE9F767</paraID>
      <start>7</start>
      <end>8</end>
      <status>unmodified</status>
      <modifiedWord/>
      <trackRevisions>false</trackRevisions>
    </reviewItem>
    <reviewItem>
      <errorID>3570e492-7584-449f-8481-1fee9bc51a12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1AB190D5</paraID>
      <start>0</start>
      <end>3</end>
      <status>unmodified</status>
      <modifiedWord/>
      <trackRevisions>false</trackRevisions>
    </reviewItem>
    <reviewItem>
      <errorID>2f96013a-baf8-4170-ab51-ab7750b37949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46DA1E47</paraID>
      <start>0</start>
      <end>3</end>
      <status>unmodified</status>
      <modifiedWord/>
      <trackRevisions>false</trackRevisions>
    </reviewItem>
    <reviewItem>
      <errorID>ecbcb1ab-6356-46dd-adbf-b0b03a8a3baa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1A85C43E</paraID>
      <start>0</start>
      <end>3</end>
      <status>unmodified</status>
      <modifiedWord/>
      <trackRevisions>false</trackRevisions>
    </reviewItem>
    <reviewItem>
      <errorID>984b388f-7d0a-4332-8c34-9e1b9891318f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3B76857D</paraID>
      <start>0</start>
      <end>3</end>
      <status>unmodified</status>
      <modifiedWord/>
      <trackRevisions>false</trackRevisions>
    </reviewItem>
    <reviewItem>
      <errorID>5f65e23e-84c7-4b12-b063-ad9d839e1ced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E471D60</paraID>
      <start>0</start>
      <end>3</end>
      <status>unmodified</status>
      <modifiedWord/>
      <trackRevisions>false</trackRevisions>
    </reviewItem>
    <reviewItem>
      <errorID>adc200b0-2343-43fa-8c0b-bad1baa88b6c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F51FA8F</paraID>
      <start>0</start>
      <end>3</end>
      <status>unmodified</status>
      <modifiedWord/>
      <trackRevisions>false</trackRevisions>
    </reviewItem>
    <reviewItem>
      <errorID>f94af2d3-f870-4cc3-9338-ffdba0f0ad0f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766444FC</paraID>
      <start>0</start>
      <end>3</end>
      <status>unmodified</status>
      <modifiedWord/>
      <trackRevisions>false</trackRevisions>
    </reviewItem>
    <reviewItem>
      <errorID>f02fe5df-51ee-4581-93d4-66dc3452a8c4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3655A70B</paraID>
      <start>0</start>
      <end>3</end>
      <status>unmodified</status>
      <modifiedWord/>
      <trackRevisions>false</trackRevisions>
    </reviewItem>
    <reviewItem>
      <errorID>6df1bfc0-d590-4d08-915e-04a5752ad1db</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380FAFB</paraID>
      <start>0</start>
      <end>3</end>
      <status>unmodified</status>
      <modifiedWord/>
      <trackRevisions>false</trackRevisions>
    </reviewItem>
    <reviewItem>
      <errorID>7e562223-71ec-406a-a43d-161e01415be2</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6960778B</paraID>
      <start>0</start>
      <end>3</end>
      <status>unmodified</status>
      <modifiedWord/>
      <trackRevisions>false</trackRevisions>
    </reviewItem>
    <reviewItem>
      <errorID>51b92722-7d7c-4e24-83f5-73b6cf7386a4</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37756202</paraID>
      <start>0</start>
      <end>4</end>
      <status>unmodified</status>
      <modifiedWord/>
      <trackRevisions>false</trackRevisions>
    </reviewItem>
    <reviewItem>
      <errorID>04127c25-5dc7-4433-bf42-6a7e7285b454</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1C36F6CF</paraID>
      <start>0</start>
      <end>4</end>
      <status>unmodified</status>
      <modifiedWord/>
      <trackRevisions>false</trackRevisions>
    </reviewItem>
    <reviewItem>
      <errorID>dedecbd6-263d-42f4-80bc-99abe5432997</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2C58ECA4</paraID>
      <start>0</start>
      <end>4</end>
      <status>unmodified</status>
      <modifiedWord/>
      <trackRevisions>false</trackRevisions>
    </reviewItem>
    <reviewItem>
      <errorID>ab8aed0d-44d7-4535-80bd-221187751818</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1C3583CF</paraID>
      <start>0</start>
      <end>4</end>
      <status>unmodified</status>
      <modifiedWord/>
      <trackRevisions>false</trackRevisions>
    </reviewItem>
    <reviewItem>
      <errorID>64d63afe-68b9-4807-b355-564f1afa3f71</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9461C2F</paraID>
      <start>0</start>
      <end>4</end>
      <status>unmodified</status>
      <modifiedWord/>
      <trackRevisions>false</trackRevisions>
    </reviewItem>
    <reviewItem>
      <errorID>13eb97e5-a736-4b0c-b4ca-fe7aeb27175c</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65C58623</paraID>
      <start>0</start>
      <end>4</end>
      <status>unmodified</status>
      <modifiedWord/>
      <trackRevisions>false</trackRevisions>
    </reviewItem>
    <reviewItem>
      <errorID>371bff6d-6ee9-4c7f-a434-ce96b9ef8689</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49667145</paraID>
      <start>0</start>
      <end>4</end>
      <status>unmodified</status>
      <modifiedWord/>
      <trackRevisions>false</trackRevisions>
    </reviewItem>
    <reviewItem>
      <errorID>796fb50b-90b4-4b49-8d93-d180b070e9ff</errorID>
      <errorWord>~</errorWord>
      <group>L1_Format</group>
      <groupName>格式问题</groupName>
      <ability>L2_HalfPunc_CN</ability>
      <abilityName>全半角问题</abilityName>
      <candidateList>
        <item>～</item>
      </candidateList>
      <explain>文本全半角错误。</explain>
      <paraID>49667145</paraID>
      <start>61</start>
      <end>62</end>
      <status>unmodified</status>
      <modifiedWord/>
      <trackRevisions>false</trackRevisions>
    </reviewItem>
    <reviewItem>
      <errorID>71ee2990-002f-49d3-8235-004ba434e7d6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4AB89873</paraID>
      <start>0</start>
      <end>3</end>
      <status>unmodified</status>
      <modifiedWord/>
      <trackRevisions>false</trackRevisions>
    </reviewItem>
    <reviewItem>
      <errorID>b4b5293e-3d96-4cb2-83f2-40b2ad94839c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19D098EA</paraID>
      <start>0</start>
      <end>3</end>
      <status>unmodified</status>
      <modifiedWord/>
      <trackRevisions>false</trackRevisions>
    </reviewItem>
    <reviewItem>
      <errorID>b768b818-e175-4ea6-a296-ecbc978fe9b1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71D178A2</paraID>
      <start>0</start>
      <end>3</end>
      <status>unmodified</status>
      <modifiedWord/>
      <trackRevisions>false</trackRevisions>
    </reviewItem>
    <reviewItem>
      <errorID>6ce41b38-e0f2-4a60-aef4-111a4edd34c6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72BDDFA7</paraID>
      <start>0</start>
      <end>3</end>
      <status>unmodified</status>
      <modifiedWord/>
      <trackRevisions>false</trackRevisions>
    </reviewItem>
    <reviewItem>
      <errorID>95841014-c785-4c34-934f-c3c58c95eacc</errorID>
      <errorWord>拌合站</errorWord>
      <group>L1_Word</group>
      <groupName>字词问题</groupName>
      <ability>L2_Typo</ability>
      <abilityName>字词错误</abilityName>
      <candidateList>
        <item>拌和站</item>
      </candidateList>
      <explain>存在发音相同字词的误用。</explain>
      <paraID>19D2F663</paraID>
      <start>9</start>
      <end>12</end>
      <status>unmodified</status>
      <modifiedWord/>
      <trackRevisions>false</trackRevisions>
    </reviewItem>
    <reviewItem>
      <errorID>fdebe87b-563d-4402-bc94-8a9e98adddad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14CEB05C</paraID>
      <start>0</start>
      <end>3</end>
      <status>unmodified</status>
      <modifiedWord/>
      <trackRevisions>false</trackRevisions>
    </reviewItem>
    <reviewItem>
      <errorID>b4a8bfcb-a1ff-4c42-8b44-35a240ff080a</errorID>
      <errorWord>拌合站</errorWord>
      <group>L1_Word</group>
      <groupName>字词问题</groupName>
      <ability>L2_Typo</ability>
      <abilityName>字词错误</abilityName>
      <candidateList>
        <item>拌和站</item>
      </candidateList>
      <explain>存在发音相同字词的误用。</explain>
      <paraID>14CEB05C</paraID>
      <start>11</start>
      <end>14</end>
      <status>unmodified</status>
      <modifiedWord/>
      <trackRevisions>false</trackRevisions>
    </reviewItem>
    <reviewItem>
      <errorID>31663e8c-72ca-4116-86c7-278ab114d1e8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381C79AD</paraID>
      <start>0</start>
      <end>3</end>
      <status>unmodified</status>
      <modifiedWord/>
      <trackRevisions>false</trackRevisions>
    </reviewItem>
    <reviewItem>
      <errorID>1c26ebbe-b9ce-4a37-b4d4-cf0e9bfbc639</errorID>
      <errorWord>拌合站</errorWord>
      <group>L1_Word</group>
      <groupName>字词问题</groupName>
      <ability>L2_Typo</ability>
      <abilityName>字词错误</abilityName>
      <candidateList>
        <item>拌和站</item>
      </candidateList>
      <explain>存在发音相同字词的误用。</explain>
      <paraID>381C79AD</paraID>
      <start>4</start>
      <end>7</end>
      <status>unmodified</status>
      <modifiedWord/>
      <trackRevisions>false</trackRevisions>
    </reviewItem>
    <reviewItem>
      <errorID>18eb610d-747e-4b07-a074-764fce87f007</errorID>
      <errorWord>程</errorWord>
      <group>L1_Word</group>
      <groupName>字词问题</groupName>
      <ability>L2_Typo</ability>
      <abilityName>字词错误</abilityName>
      <candidateList>
        <item>程中</item>
      </candidateList>
      <explain/>
      <paraID>381C79AD</paraID>
      <start>61</start>
      <end>62</end>
      <status>unmodified</status>
      <modifiedWord/>
      <trackRevisions>false</trackRevisions>
    </reviewItem>
    <reviewItem>
      <errorID>e7e8b483-d94c-4772-bca5-c6d0bda5c253</errorID>
      <errorWord>拌合站</errorWord>
      <group>L1_Word</group>
      <groupName>字词问题</groupName>
      <ability>L2_Typo</ability>
      <abilityName>字词错误</abilityName>
      <candidateList>
        <item>拌和站</item>
      </candidateList>
      <explain>存在发音相同字词的误用。</explain>
      <paraID>381C79AD</paraID>
      <start>124</start>
      <end>127</end>
      <status>unmodified</status>
      <modifiedWord/>
      <trackRevisions>false</trackRevisions>
    </reviewItem>
    <reviewItem>
      <errorID>efaab242-2d23-4752-98b5-b6e59d76a440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33718D42</paraID>
      <start>0</start>
      <end>3</end>
      <status>unmodified</status>
      <modifiedWord/>
      <trackRevisions>false</trackRevisions>
    </reviewItem>
    <reviewItem>
      <errorID>851fbfa8-4617-428a-ab32-41c229515be3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7FD4C480</paraID>
      <start>0</start>
      <end>3</end>
      <status>unmodified</status>
      <modifiedWord/>
      <trackRevisions>false</trackRevisions>
    </reviewItem>
    <reviewItem>
      <errorID>64186a0e-6de4-4c6f-bafb-3cd44dd83bf3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6F6462A</paraID>
      <start>0</start>
      <end>3</end>
      <status>unmodified</status>
      <modifiedWord/>
      <trackRevisions>false</trackRevisions>
    </reviewItem>
    <reviewItem>
      <errorID>998c1a7b-2557-4f03-b36d-891632e42eb4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764EF3E0</paraID>
      <start>0</start>
      <end>3</end>
      <status>unmodified</status>
      <modifiedWord/>
      <trackRevisions>false</trackRevisions>
    </reviewItem>
    <reviewItem>
      <errorID>11ae43d7-724c-4052-8870-b7cc849044c7</errorID>
      <errorWord>拌合站</errorWord>
      <group>L1_Word</group>
      <groupName>字词问题</groupName>
      <ability>L2_Typo</ability>
      <abilityName>字词错误</abilityName>
      <candidateList>
        <item>拌和站</item>
      </candidateList>
      <explain>存在发音相同字词的误用。</explain>
      <paraID>764EF3E0</paraID>
      <start>60</start>
      <end>63</end>
      <status>unmodified</status>
      <modifiedWord/>
      <trackRevisions>false</trackRevisions>
    </reviewItem>
    <reviewItem>
      <errorID>a6f25c1f-a89a-428b-8591-3ccdf1dc466d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1EA0566B</paraID>
      <start>0</start>
      <end>3</end>
      <status>unmodified</status>
      <modifiedWord/>
      <trackRevisions>false</trackRevisions>
    </reviewItem>
    <reviewItem>
      <errorID>797a15b3-941c-47ae-9854-6e2411aeb69f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168EB6FC</paraID>
      <start>0</start>
      <end>3</end>
      <status>unmodified</status>
      <modifiedWord/>
      <trackRevisions>false</trackRevisions>
    </reviewItem>
    <reviewItem>
      <errorID>fe0d03e6-028a-4e40-8d78-4f08467d94e7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A8C276B</paraID>
      <start>0</start>
      <end>3</end>
      <status>unmodified</status>
      <modifiedWord/>
      <trackRevisions>false</trackRevisions>
    </reviewItem>
    <reviewItem>
      <errorID>1d33d8c5-73f7-4cc7-8a8d-2467a048705a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4769E892</paraID>
      <start>0</start>
      <end>3</end>
      <status>unmodified</status>
      <modifiedWord/>
      <trackRevisions>false</trackRevisions>
    </reviewItem>
    <reviewItem>
      <errorID>efea0295-7352-4d7f-926e-a1453484cb21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4769E892</paraID>
      <start>351</start>
      <end>352</end>
      <status>unmodified</status>
      <modifiedWord/>
      <trackRevisions>false</trackRevisions>
    </reviewItem>
    <reviewItem>
      <errorID>63f567a1-f911-4c98-af5f-0fff5d20e029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634E2C95</paraID>
      <start>0</start>
      <end>3</end>
      <status>unmodified</status>
      <modifiedWord/>
      <trackRevisions>false</trackRevisions>
    </reviewItem>
    <reviewItem>
      <errorID>b327aa53-4d6a-4759-b9af-8a71bcfa136b</errorID>
      <errorWord>拌合站</errorWord>
      <group>L1_Word</group>
      <groupName>字词问题</groupName>
      <ability>L2_Typo</ability>
      <abilityName>字词错误</abilityName>
      <candidateList>
        <item>拌和站</item>
      </candidateList>
      <explain>存在发音相同字词的误用。</explain>
      <paraID>634E2C95</paraID>
      <start>6</start>
      <end>9</end>
      <status>unmodified</status>
      <modifiedWord/>
      <trackRevisions>false</trackRevisions>
    </reviewItem>
    <reviewItem>
      <errorID>d7fa1742-79ee-4313-9873-f5c13c621da8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5F51E05D</paraID>
      <start>0</start>
      <end>3</end>
      <status>unmodified</status>
      <modifiedWord/>
      <trackRevisions>false</trackRevisions>
    </reviewItem>
    <reviewItem>
      <errorID>2f01315c-2f88-4058-bb37-4f8ed43cbf2a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220A51E7</paraID>
      <start>0</start>
      <end>3</end>
      <status>unmodified</status>
      <modifiedWord/>
      <trackRevisions>false</trackRevisions>
    </reviewItem>
    <reviewItem>
      <errorID>f12017a2-ba7c-4811-9c70-420f7a26482d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3D247C2D</paraID>
      <start>0</start>
      <end>3</end>
      <status>unmodified</status>
      <modifiedWord/>
      <trackRevisions>false</trackRevisions>
    </reviewItem>
    <reviewItem>
      <errorID>697afdf5-340e-48c3-9320-ad076be9679a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2677E8AE</paraID>
      <start>0</start>
      <end>3</end>
      <status>unmodified</status>
      <modifiedWord/>
      <trackRevisions>false</trackRevisions>
    </reviewItem>
    <reviewItem>
      <errorID>14f530b6-8368-425a-9ccf-dd19a1426b2d</errorID>
      <errorWord>其它</errorWord>
      <group>L1_Word</group>
      <groupName>字词问题</groupName>
      <ability>L2_Alias</ability>
      <abilityName>也作/曾用词</abilityName>
      <candidateList>
        <item>其他</item>
      </candidateList>
      <explain>词汇[其它]为不规范表述或旧称，其规范书面表述为[其他]。</explain>
      <paraID>207D1ACD</paraID>
      <start>3</start>
      <end>5</end>
      <status>unmodified</status>
      <modifiedWord/>
      <trackRevisions>false</trackRevisions>
    </reviewItem>
    <reviewItem>
      <errorID>f57e8a8f-dd72-4f05-97b1-96c074ec1279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16C00CA6</paraID>
      <start>0</start>
      <end>3</end>
      <status>unmodified</status>
      <modifiedWord/>
      <trackRevisions>false</trackRevisions>
    </reviewItem>
    <reviewItem>
      <errorID>38f87053-1b47-4491-8957-d44022d4b3ae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73D775A5</paraID>
      <start>0</start>
      <end>3</end>
      <status>unmodified</status>
      <modifiedWord/>
      <trackRevisions>false</trackRevisions>
    </reviewItem>
    <reviewItem>
      <errorID>0e8fa228-a143-450a-8893-96317b975a74</errorID>
      <errorWord>，</errorWord>
      <group>L1_Word</group>
      <groupName>字词问题</groupName>
      <ability>L2_Typo</ability>
      <abilityName>字词错误</abilityName>
      <candidateList>
        <item>，对</item>
      </candidateList>
      <explain/>
      <paraID>73D775A5</paraID>
      <start>22</start>
      <end>23</end>
      <status>unmodified</status>
      <modifiedWord/>
      <trackRevisions>false</trackRevisions>
    </reviewItem>
    <reviewItem>
      <errorID>098d5574-f94a-42c2-b51d-0eb93f8cb3a0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2FAF0E90</paraID>
      <start>0</start>
      <end>3</end>
      <status>unmodified</status>
      <modifiedWord/>
      <trackRevisions>false</trackRevisions>
    </reviewItem>
    <reviewItem>
      <errorID>1fe54595-3599-4925-85ce-5db80bcd0d75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2EFEA0C3</paraID>
      <start>0</start>
      <end>3</end>
      <status>unmodified</status>
      <modifiedWord/>
      <trackRevisions>false</trackRevisions>
    </reviewItem>
    <reviewItem>
      <errorID>833185be-d3d4-4967-979c-928bb0896342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5A78640E</paraID>
      <start>0</start>
      <end>3</end>
      <status>unmodified</status>
      <modifiedWord/>
      <trackRevisions>false</trackRevisions>
    </reviewItem>
    <reviewItem>
      <errorID>a7260b69-18a3-406c-957b-3fdabecfa7ee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4F2FC3AD</paraID>
      <start>0</start>
      <end>3</end>
      <status>unmodified</status>
      <modifiedWord/>
      <trackRevisions>false</trackRevisions>
    </reviewItem>
    <reviewItem>
      <errorID>aa4d58d7-1a08-4424-87f3-25a1a70b2951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1151FC36</paraID>
      <start>0</start>
      <end>3</end>
      <status>unmodified</status>
      <modifiedWord/>
      <trackRevisions>false</trackRevisions>
    </reviewItem>
    <reviewItem>
      <errorID>681cda58-a3f0-416b-a08a-70276b16f036</errorID>
      <errorWord>设</errorWord>
      <group>L1_Word</group>
      <groupName>字词问题</groupName>
      <ability>L2_Typo</ability>
      <abilityName>字词错误</abilityName>
      <candidateList>
        <item>设置</item>
      </candidateList>
      <explain/>
      <paraID>1151FC36</paraID>
      <start>149</start>
      <end>150</end>
      <status>unmodified</status>
      <modifiedWord/>
      <trackRevisions>false</trackRevisions>
    </reviewItem>
    <reviewItem>
      <errorID>3f56bf6d-9967-4e33-a911-059e4d8f2d2b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4395C5FB</paraID>
      <start>0</start>
      <end>3</end>
      <status>unmodified</status>
      <modifiedWord/>
      <trackRevisions>false</trackRevisions>
    </reviewItem>
    <reviewItem>
      <errorID>9c7c2499-1fb1-4302-b95f-331019ee154f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118DA73A</paraID>
      <start>0</start>
      <end>3</end>
      <status>unmodified</status>
      <modifiedWord/>
      <trackRevisions>false</trackRevisions>
    </reviewItem>
    <reviewItem>
      <errorID>149fcabf-c66e-49c6-92b0-838aa50fb153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1ECB45F1</paraID>
      <start>0</start>
      <end>3</end>
      <status>unmodified</status>
      <modifiedWord/>
      <trackRevisions>false</trackRevisions>
    </reviewItem>
    <reviewItem>
      <errorID>7ee79270-7afc-4caf-9e4c-7ab5280dbcd7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3642015E</paraID>
      <start>0</start>
      <end>3</end>
      <status>unmodified</status>
      <modifiedWord/>
      <trackRevisions>false</trackRevisions>
    </reviewItem>
    <reviewItem>
      <errorID>d35d516b-09f6-4ff5-8a8b-71d9bb2f6506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44EB07D4</paraID>
      <start>0</start>
      <end>3</end>
      <status>unmodified</status>
      <modifiedWord/>
      <trackRevisions>false</trackRevisions>
    </reviewItem>
    <reviewItem>
      <errorID>b34b4636-7880-40fc-9a42-d0e6341cbf52</errorID>
      <errorWord>其它</errorWord>
      <group>L1_Word</group>
      <groupName>字词问题</groupName>
      <ability>L2_Alias</ability>
      <abilityName>也作/曾用词</abilityName>
      <candidateList>
        <item>其他</item>
      </candidateList>
      <explain>词汇[其它]为不规范表述或旧称，其规范书面表述为[其他]。</explain>
      <paraID>74F797CE</paraID>
      <start>54</start>
      <end>56</end>
      <status>unmodified</status>
      <modifiedWord/>
      <trackRevisions>false</trackRevisions>
    </reviewItem>
    <reviewItem>
      <errorID>0d89d30a-14f0-4228-a752-a81af4dc80c2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1C8CB9DF</paraID>
      <start>0</start>
      <end>3</end>
      <status>unmodified</status>
      <modifiedWord/>
      <trackRevisions>false</trackRevisions>
    </reviewItem>
    <reviewItem>
      <errorID>d80d58c9-b357-48c7-abd6-1c3f6fbc918a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530F31D8</paraID>
      <start>0</start>
      <end>3</end>
      <status>unmodified</status>
      <modifiedWord/>
      <trackRevisions>false</trackRevisions>
    </reviewItem>
    <reviewItem>
      <errorID>9002c25a-e0ba-4f39-9201-b981b78cd274</errorID>
      <errorWord>拌合站</errorWord>
      <group>L1_Word</group>
      <groupName>字词问题</groupName>
      <ability>L2_Typo</ability>
      <abilityName>字词错误</abilityName>
      <candidateList>
        <item>拌和站</item>
      </candidateList>
      <explain>存在发音相同字词的误用。</explain>
      <paraID>530F31D8</paraID>
      <start>36</start>
      <end>39</end>
      <status>unmodified</status>
      <modifiedWord/>
      <trackRevisions>false</trackRevisions>
    </reviewItem>
    <reviewItem>
      <errorID>18b5c140-f217-48fe-b126-1d546aead63d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192F06CC</paraID>
      <start>0</start>
      <end>3</end>
      <status>unmodified</status>
      <modifiedWord/>
      <trackRevisions>false</trackRevisions>
    </reviewItem>
    <reviewItem>
      <errorID>32e84591-6816-4b9f-b248-ce277150d875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662D3110</paraID>
      <start>0</start>
      <end>3</end>
      <status>unmodified</status>
      <modifiedWord/>
      <trackRevisions>false</trackRevisions>
    </reviewItem>
    <reviewItem>
      <errorID>2ee2b75f-e335-4ab5-915c-a13004aa9472</errorID>
      <errorWord>中工</errorWord>
      <group>L1_Word</group>
      <groupName>字词问题</groupName>
      <ability>L2_Typo</ability>
      <abilityName>字词错误</abilityName>
      <candidateList>
        <item>中</item>
      </candidateList>
      <explain/>
      <paraID>662D3110</paraID>
      <start>14</start>
      <end>16</end>
      <status>unmodified</status>
      <modifiedWord/>
      <trackRevisions>false</trackRevisions>
    </reviewItem>
    <reviewItem>
      <errorID>fcd34827-5b55-4b0f-b419-defbb0cdceac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43D0F8F1</paraID>
      <start>0</start>
      <end>3</end>
      <status>unmodified</status>
      <modifiedWord/>
      <trackRevisions>false</trackRevisions>
    </reviewItem>
    <reviewItem>
      <errorID>73bda92e-8a54-46ae-bc3d-67b127ae2233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2717608A</paraID>
      <start>0</start>
      <end>3</end>
      <status>unmodified</status>
      <modifiedWord/>
      <trackRevisions>false</trackRevisions>
    </reviewItem>
    <reviewItem>
      <errorID>db66f3a1-6a1a-4670-95c4-9d3ad9cc249b</errorID>
      <errorWord>，</errorWord>
      <group>L1_Word</group>
      <groupName>字词问题</groupName>
      <ability>L2_Typo</ability>
      <abilityName>字词错误</abilityName>
      <candidateList>
        <item>，在</item>
      </candidateList>
      <explain/>
      <paraID>2717608A</paraID>
      <start>23</start>
      <end>24</end>
      <status>unmodified</status>
      <modifiedWord/>
      <trackRevisions>false</trackRevisions>
    </reviewItem>
    <reviewItem>
      <errorID>0084b62f-4d23-4939-9dfd-bae0b7d42158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34D8734</paraID>
      <start>0</start>
      <end>3</end>
      <status>unmodified</status>
      <modifiedWord/>
      <trackRevisions>false</trackRevisions>
    </reviewItem>
    <reviewItem>
      <errorID>80e7078c-b5ce-47cd-bb1c-dbe0fbf06ae9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8ED56C9</paraID>
      <start>0</start>
      <end>3</end>
      <status>unmodified</status>
      <modifiedWord/>
      <trackRevisions>false</trackRevisions>
    </reviewItem>
    <reviewItem>
      <errorID>7a99bdf7-f44e-49a0-8a40-e87785e8f34d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32BAB22A</paraID>
      <start>0</start>
      <end>3</end>
      <status>unmodified</status>
      <modifiedWord/>
      <trackRevisions>false</trackRevisions>
    </reviewItem>
    <reviewItem>
      <errorID>f4b63410-5e60-4aed-8fdf-9a7c0b7d09c0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538DAADA</paraID>
      <start>0</start>
      <end>3</end>
      <status>unmodified</status>
      <modifiedWord/>
      <trackRevisions>false</trackRevisions>
    </reviewItem>
    <reviewItem>
      <errorID>4ae2a44c-3a06-4188-aba0-8565fc6dd742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524ED3F0</paraID>
      <start>0</start>
      <end>3</end>
      <status>unmodified</status>
      <modifiedWord/>
      <trackRevisions>false</trackRevisions>
    </reviewItem>
    <reviewItem>
      <errorID>5ae5a4fc-3eae-48fe-9187-8d7a6a9969bd</errorID>
      <errorWord>"</errorWord>
      <group>L1_Format</group>
      <groupName>格式问题</groupName>
      <ability>L2_HalfPunc_CN</ability>
      <abilityName>全半角问题</abilityName>
      <candidateList>
        <item>“</item>
      </candidateList>
      <explain>文本全半角错误。</explain>
      <paraID>524ED3F0</paraID>
      <start>6</start>
      <end>7</end>
      <status>unmodified</status>
      <modifiedWord/>
      <trackRevisions>false</trackRevisions>
    </reviewItem>
    <reviewItem>
      <errorID>d5c01a03-a95c-4aec-a868-929fa58b1607</errorID>
      <errorWord>"</errorWord>
      <group>L1_Format</group>
      <groupName>格式问题</groupName>
      <ability>L2_HalfPunc_CN</ability>
      <abilityName>全半角问题</abilityName>
      <candidateList>
        <item>”</item>
      </candidateList>
      <explain>文本全半角错误。</explain>
      <paraID>524ED3F0</paraID>
      <start>26</start>
      <end>27</end>
      <status>unmodified</status>
      <modifiedWord/>
      <trackRevisions>false</trackRevisions>
    </reviewItem>
    <reviewItem>
      <errorID>8acfaeb6-bd5a-40c4-a24f-f765f3a24602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72763381</paraID>
      <start>0</start>
      <end>3</end>
      <status>unmodified</status>
      <modifiedWord/>
      <trackRevisions>false</trackRevisions>
    </reviewItem>
    <reviewItem>
      <errorID>b510eb25-f461-4053-a51c-0ceadd04c812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2FE63C43</paraID>
      <start>0</start>
      <end>3</end>
      <status>unmodified</status>
      <modifiedWord/>
      <trackRevisions>false</trackRevisions>
    </reviewItem>
    <reviewItem>
      <errorID>d9941e69-ee0b-4238-9eba-dc67b8b164d7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1239B23</paraID>
      <start>0</start>
      <end>3</end>
      <status>unmodified</status>
      <modifiedWord/>
      <trackRevisions>false</trackRevisions>
    </reviewItem>
    <reviewItem>
      <errorID>ead5c6a6-b3e0-486f-ac31-1812e90acc78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94B98D6</paraID>
      <start>0</start>
      <end>3</end>
      <status>unmodified</status>
      <modifiedWord/>
      <trackRevisions>false</trackRevisions>
    </reviewItem>
    <reviewItem>
      <errorID>ea5576eb-ae9e-44cb-ab99-e9f959da538e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12C190B5</paraID>
      <start>0</start>
      <end>3</end>
      <status>unmodified</status>
      <modifiedWord/>
      <trackRevisions>false</trackRevisions>
    </reviewItem>
    <reviewItem>
      <errorID>591cfb0c-8221-40ce-a6aa-dbe54f1ccade</errorID>
      <errorWord>即</errorWord>
      <group>L1_Word</group>
      <groupName>字词问题</groupName>
      <ability>L2_Typo</ability>
      <abilityName>字词错误</abilityName>
      <candidateList>
        <item>既</item>
      </candidateList>
      <explain>存在发音相同字词的误用。</explain>
      <paraID>12C190B5</paraID>
      <start>37</start>
      <end>38</end>
      <status>modified</status>
      <modifiedWord>既</modifiedWord>
      <trackRevisions>false</trackRevisions>
    </reviewItem>
    <reviewItem>
      <errorID>dbcd7778-8da1-4227-978f-a43d6b1d6d4d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68A60E97</paraID>
      <start>0</start>
      <end>3</end>
      <status>unmodified</status>
      <modifiedWord/>
      <trackRevisions>false</trackRevisions>
    </reviewItem>
    <reviewItem>
      <errorID>d12af429-10b3-43d2-b37d-c80cce13f2bd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59BD552D</paraID>
      <start>0</start>
      <end>3</end>
      <status>unmodified</status>
      <modifiedWord/>
      <trackRevisions>false</trackRevisions>
    </reviewItem>
    <reviewItem>
      <errorID>c5077cad-160a-4102-aa3d-26c3b659537c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EEBF600</paraID>
      <start>0</start>
      <end>3</end>
      <status>unmodified</status>
      <modifiedWord/>
      <trackRevisions>false</trackRevisions>
    </reviewItem>
    <reviewItem>
      <errorID>3fc0c78b-2ca1-4d9a-b1a6-22906496bc24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7F4D6A3D</paraID>
      <start>0</start>
      <end>3</end>
      <status>unmodified</status>
      <modifiedWord/>
      <trackRevisions>false</trackRevisions>
    </reviewItem>
    <reviewItem>
      <errorID>071059ad-a14a-48e3-83da-b544eb4d252e</errorID>
      <errorWord>(</errorWord>
      <group>L1_Format</group>
      <groupName>格式问题</groupName>
      <ability>L2_HalfPunc_CN</ability>
      <abilityName>全半角问题</abilityName>
      <candidateList>
        <item>（</item>
      </candidateList>
      <explain>文本全半角错误。</explain>
      <paraID>7B55407B</paraID>
      <start>46</start>
      <end>47</end>
      <status>unmodified</status>
      <modifiedWord/>
      <trackRevisions>false</trackRevisions>
    </reviewItem>
    <reviewItem>
      <errorID>566840a2-4090-4d10-b411-375d5b5d6229</errorID>
      <errorWord>)</errorWord>
      <group>L1_Format</group>
      <groupName>格式问题</groupName>
      <ability>L2_HalfPunc_CN</ability>
      <abilityName>全半角问题</abilityName>
      <candidateList>
        <item>）</item>
      </candidateList>
      <explain>文本全半角错误。</explain>
      <paraID>7B55407B</paraID>
      <start>62</start>
      <end>63</end>
      <status>unmodified</status>
      <modifiedWord/>
      <trackRevisions>false</trackRevisions>
    </reviewItem>
    <reviewItem>
      <errorID>ff05eae1-318b-4886-bed7-5b37886c9de9</errorID>
      <errorWord>(</errorWord>
      <group>L1_Format</group>
      <groupName>格式问题</groupName>
      <ability>L2_HalfPunc_CN</ability>
      <abilityName>全半角问题</abilityName>
      <candidateList>
        <item>（</item>
      </candidateList>
      <explain>文本全半角错误。</explain>
      <paraID> 50CC4D6</paraID>
      <start>2</start>
      <end>3</end>
      <status>unmodified</status>
      <modifiedWord/>
      <trackRevisions>false</trackRevisions>
    </reviewItem>
    <reviewItem>
      <errorID>39c6d2a9-bdbf-4ade-bb86-20b4a557e432</errorID>
      <errorWord>)</errorWord>
      <group>L1_Format</group>
      <groupName>格式问题</groupName>
      <ability>L2_HalfPunc_CN</ability>
      <abilityName>全半角问题</abilityName>
      <candidateList>
        <item>）</item>
      </candidateList>
      <explain>文本全半角错误。</explain>
      <paraID> 50CC4D6</paraID>
      <start>4</start>
      <end>5</end>
      <status>unmodified</status>
      <modifiedWord/>
      <trackRevisions>false</trackRevisions>
    </reviewItem>
    <reviewItem>
      <errorID>06093905-ac90-4951-8100-15d607ab5b2d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2B776AB1</paraID>
      <start>0</start>
      <end>3</end>
      <status>unmodified</status>
      <modifiedWord/>
      <trackRevisions>false</trackRevisions>
    </reviewItem>
    <reviewItem>
      <errorID>cdcf303c-c31b-4a74-a347-ec7c5bfa76f4</errorID>
      <errorWord>期</errorWord>
      <group>L1_Word</group>
      <groupName>字词问题</groupName>
      <ability>L2_Typo</ability>
      <abilityName>字词错误</abilityName>
      <candidateList>
        <item>期间</item>
      </candidateList>
      <explain/>
      <paraID>2B776AB1</paraID>
      <start>6</start>
      <end>7</end>
      <status>unmodified</status>
      <modifiedWord/>
      <trackRevisions>false</trackRevisions>
    </reviewItem>
    <reviewItem>
      <errorID>4c9a3e4a-dbd1-4ed3-8670-5c35ee3a8d1b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4B06F6D9</paraID>
      <start>0</start>
      <end>3</end>
      <status>unmodified</status>
      <modifiedWord/>
      <trackRevisions>false</trackRevisions>
    </reviewItem>
    <reviewItem>
      <errorID>467e861a-0d7e-4a5a-9ce4-29ba97ded8e8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1253D574</paraID>
      <start>0</start>
      <end>3</end>
      <status>unmodified</status>
      <modifiedWord/>
      <trackRevisions>false</trackRevisions>
    </reviewItem>
    <reviewItem>
      <errorID>350db31b-637b-4380-bdd8-b87c2d75138f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55FD705E</paraID>
      <start>0</start>
      <end>3</end>
      <status>unmodified</status>
      <modifiedWord/>
      <trackRevisions>false</trackRevisions>
    </reviewItem>
    <reviewItem>
      <errorID>10d35acc-7b2e-4e75-838d-f30b32932164</errorID>
      <errorWord>(</errorWord>
      <group>L1_Format</group>
      <groupName>格式问题</groupName>
      <ability>L2_HalfPunc_CN</ability>
      <abilityName>全半角问题</abilityName>
      <candidateList>
        <item>（</item>
      </candidateList>
      <explain>文本全半角错误。</explain>
      <paraID>7F2A2449</paraID>
      <start>2</start>
      <end>3</end>
      <status>unmodified</status>
      <modifiedWord/>
      <trackRevisions>false</trackRevisions>
    </reviewItem>
    <reviewItem>
      <errorID>6a5c26b0-5a05-4219-8bbd-68f2ef3e86f9</errorID>
      <errorWord>)</errorWord>
      <group>L1_Format</group>
      <groupName>格式问题</groupName>
      <ability>L2_HalfPunc_CN</ability>
      <abilityName>全半角问题</abilityName>
      <candidateList>
        <item>）</item>
      </candidateList>
      <explain>文本全半角错误。</explain>
      <paraID>7F2A2449</paraID>
      <start>4</start>
      <end>5</end>
      <status>unmodified</status>
      <modifiedWord/>
      <trackRevisions>false</trackRevisions>
    </reviewItem>
    <reviewItem>
      <errorID>7fd7ebd2-4cb6-464b-ae70-879e25ca5bbc</errorID>
      <errorWord>(</errorWord>
      <group>L1_Format</group>
      <groupName>格式问题</groupName>
      <ability>L2_HalfPunc_CN</ability>
      <abilityName>全半角问题</abilityName>
      <candidateList>
        <item>（</item>
      </candidateList>
      <explain>文本全半角错误。</explain>
      <paraID>2ED0CB53</paraID>
      <start>2</start>
      <end>3</end>
      <status>unmodified</status>
      <modifiedWord/>
      <trackRevisions>false</trackRevisions>
    </reviewItem>
    <reviewItem>
      <errorID>15a2d82d-08b2-40f9-a6b8-9e11df6c96ba</errorID>
      <errorWord>)</errorWord>
      <group>L1_Format</group>
      <groupName>格式问题</groupName>
      <ability>L2_HalfPunc_CN</ability>
      <abilityName>全半角问题</abilityName>
      <candidateList>
        <item>）</item>
      </candidateList>
      <explain>文本全半角错误。</explain>
      <paraID>2ED0CB53</paraID>
      <start>4</start>
      <end>5</end>
      <status>unmodified</status>
      <modifiedWord/>
      <trackRevisions>false</trackRevisions>
    </reviewItem>
    <reviewItem>
      <errorID>ae53ae35-1ded-4bf1-976a-183e9ff99377</errorID>
      <errorWord>(</errorWord>
      <group>L1_Format</group>
      <groupName>格式问题</groupName>
      <ability>L2_HalfPunc_CN</ability>
      <abilityName>全半角问题</abilityName>
      <candidateList>
        <item>（</item>
      </candidateList>
      <explain>文本全半角错误。</explain>
      <paraID>71F8F30B</paraID>
      <start>0</start>
      <end>1</end>
      <status>unmodified</status>
      <modifiedWord/>
      <trackRevisions>false</trackRevisions>
    </reviewItem>
    <reviewItem>
      <errorID>ffb978d6-5a35-4162-9cce-0ddf9371d3cc</errorID>
      <errorWord>)</errorWord>
      <group>L1_Format</group>
      <groupName>格式问题</groupName>
      <ability>L2_HalfPunc_CN</ability>
      <abilityName>全半角问题</abilityName>
      <candidateList>
        <item>）</item>
      </candidateList>
      <explain>文本全半角错误。</explain>
      <paraID>71F8F30B</paraID>
      <start>2</start>
      <end>3</end>
      <status>unmodified</status>
      <modifiedWord/>
      <trackRevisions>false</trackRevisions>
    </reviewItem>
    <reviewItem>
      <errorID>ebb6c3b6-f030-4c19-9530-543e5da045a4</errorID>
      <errorWord>(</errorWord>
      <group>L1_Format</group>
      <groupName>格式问题</groupName>
      <ability>L2_HalfPunc_CN</ability>
      <abilityName>全半角问题</abilityName>
      <candidateList>
        <item>（</item>
      </candidateList>
      <explain>文本全半角错误。</explain>
      <paraID>5D1F7E8A</paraID>
      <start>7</start>
      <end>8</end>
      <status>unmodified</status>
      <modifiedWord/>
      <trackRevisions>false</trackRevisions>
    </reviewItem>
    <reviewItem>
      <errorID>4647ddb6-9b5f-42e2-8925-63100c8ee248</errorID>
      <errorWord>)</errorWord>
      <group>L1_Format</group>
      <groupName>格式问题</groupName>
      <ability>L2_HalfPunc_CN</ability>
      <abilityName>全半角问题</abilityName>
      <candidateList>
        <item>）</item>
      </candidateList>
      <explain>文本全半角错误。</explain>
      <paraID>5D1F7E8A</paraID>
      <start>9</start>
      <end>10</end>
      <status>unmodified</status>
      <modifiedWord/>
      <trackRevisions>false</trackRevisions>
    </reviewItem>
    <reviewItem>
      <errorID>53363c02-b071-4576-9e39-ec448f0a68ec</errorID>
      <errorWord>(</errorWord>
      <group>L1_Format</group>
      <groupName>格式问题</groupName>
      <ability>L2_HalfPunc_CN</ability>
      <abilityName>全半角问题</abilityName>
      <candidateList>
        <item>（</item>
      </candidateList>
      <explain>文本全半角错误。</explain>
      <paraID>2F38D0DE</paraID>
      <start>8</start>
      <end>9</end>
      <status>unmodified</status>
      <modifiedWord/>
      <trackRevisions>false</trackRevisions>
    </reviewItem>
    <reviewItem>
      <errorID>4c388615-ff98-41eb-b52f-4099b6cf892b</errorID>
      <errorWord>)</errorWord>
      <group>L1_Format</group>
      <groupName>格式问题</groupName>
      <ability>L2_HalfPunc_CN</ability>
      <abilityName>全半角问题</abilityName>
      <candidateList>
        <item>）</item>
      </candidateList>
      <explain>文本全半角错误。</explain>
      <paraID>2F38D0DE</paraID>
      <start>11</start>
      <end>12</end>
      <status>unmodified</status>
      <modifiedWord/>
      <trackRevisions>false</trackRevisions>
    </reviewItem>
    <reviewItem>
      <errorID>f9d97304-3647-4303-add0-7fe00ee137af</errorID>
      <errorWord>(</errorWord>
      <group>L1_Format</group>
      <groupName>格式问题</groupName>
      <ability>L2_HalfPunc_CN</ability>
      <abilityName>全半角问题</abilityName>
      <candidateList>
        <item>（</item>
      </candidateList>
      <explain>文本全半角错误。</explain>
      <paraID> C1172FC</paraID>
      <start>0</start>
      <end>1</end>
      <status>unmodified</status>
      <modifiedWord/>
      <trackRevisions>false</trackRevisions>
    </reviewItem>
    <reviewItem>
      <errorID>5d0ec77c-9e9b-480b-a0c6-86c70c216a85</errorID>
      <errorWord>)</errorWord>
      <group>L1_Format</group>
      <groupName>格式问题</groupName>
      <ability>L2_HalfPunc_CN</ability>
      <abilityName>全半角问题</abilityName>
      <candidateList>
        <item>）</item>
      </candidateList>
      <explain>文本全半角错误。</explain>
      <paraID> C1172FC</paraID>
      <start>2</start>
      <end>3</end>
      <status>unmodified</status>
      <modifiedWord/>
      <trackRevisions>false</trackRevisions>
    </reviewItem>
    <reviewItem>
      <errorID>ad27e0ab-ef40-4564-b80f-dc4ba8604818</errorID>
      <errorWord>(</errorWord>
      <group>L1_Format</group>
      <groupName>格式问题</groupName>
      <ability>L2_HalfPunc_CN</ability>
      <abilityName>全半角问题</abilityName>
      <candidateList>
        <item>（</item>
      </candidateList>
      <explain>文本全半角错误。</explain>
      <paraID>7EEBD26B</paraID>
      <start>7</start>
      <end>8</end>
      <status>unmodified</status>
      <modifiedWord/>
      <trackRevisions>false</trackRevisions>
    </reviewItem>
    <reviewItem>
      <errorID>254cc9db-c032-45e4-8b9e-2296eee60687</errorID>
      <errorWord>)</errorWord>
      <group>L1_Format</group>
      <groupName>格式问题</groupName>
      <ability>L2_HalfPunc_CN</ability>
      <abilityName>全半角问题</abilityName>
      <candidateList>
        <item>）</item>
      </candidateList>
      <explain>文本全半角错误。</explain>
      <paraID>7EEBD26B</paraID>
      <start>9</start>
      <end>10</end>
      <status>unmodified</status>
      <modifiedWord/>
      <trackRevisions>false</trackRevisions>
    </reviewItem>
    <reviewItem>
      <errorID>75189885-b2f0-47ee-8826-625edf3d381f</errorID>
      <errorWord>(</errorWord>
      <group>L1_Format</group>
      <groupName>格式问题</groupName>
      <ability>L2_HalfPunc_CN</ability>
      <abilityName>全半角问题</abilityName>
      <candidateList>
        <item>（</item>
      </candidateList>
      <explain>文本全半角错误。</explain>
      <paraID>53916E43</paraID>
      <start>8</start>
      <end>9</end>
      <status>unmodified</status>
      <modifiedWord/>
      <trackRevisions>false</trackRevisions>
    </reviewItem>
    <reviewItem>
      <errorID>066af072-3c8b-45ad-93f0-7f832fe37042</errorID>
      <errorWord>)</errorWord>
      <group>L1_Format</group>
      <groupName>格式问题</groupName>
      <ability>L2_HalfPunc_CN</ability>
      <abilityName>全半角问题</abilityName>
      <candidateList>
        <item>）</item>
      </candidateList>
      <explain>文本全半角错误。</explain>
      <paraID>53916E43</paraID>
      <start>11</start>
      <end>12</end>
      <status>unmodified</status>
      <modifiedWord/>
      <trackRevisions>false</trackRevisions>
    </reviewItem>
    <reviewItem>
      <errorID>e4c9834c-ca87-43ee-918f-9d9ecf2021ba</errorID>
      <errorWord>(</errorWord>
      <group>L1_Format</group>
      <groupName>格式问题</groupName>
      <ability>L2_HalfPunc_CN</ability>
      <abilityName>全半角问题</abilityName>
      <candidateList>
        <item>（</item>
      </candidateList>
      <explain>文本全半角错误。</explain>
      <paraID>5224B770</paraID>
      <start>2</start>
      <end>3</end>
      <status>unmodified</status>
      <modifiedWord/>
      <trackRevisions>false</trackRevisions>
    </reviewItem>
    <reviewItem>
      <errorID>9b4436a1-15e2-4ccd-ae49-151a7070f65c</errorID>
      <errorWord>)</errorWord>
      <group>L1_Format</group>
      <groupName>格式问题</groupName>
      <ability>L2_HalfPunc_CN</ability>
      <abilityName>全半角问题</abilityName>
      <candidateList>
        <item>）</item>
      </candidateList>
      <explain>文本全半角错误。</explain>
      <paraID>5224B770</paraID>
      <start>4</start>
      <end>5</end>
      <status>unmodified</status>
      <modifiedWord/>
      <trackRevisions>false</trackRevisions>
    </reviewItem>
    <reviewItem>
      <errorID>c06938fd-4dbe-40d3-81d7-1f8d32e6631b</errorID>
      <errorWord>(</errorWord>
      <group>L1_Format</group>
      <groupName>格式问题</groupName>
      <ability>L2_HalfPunc_CN</ability>
      <abilityName>全半角问题</abilityName>
      <candidateList>
        <item>（</item>
      </candidateList>
      <explain>文本全半角错误。</explain>
      <paraID>1EE851DE</paraID>
      <start>2</start>
      <end>3</end>
      <status>unmodified</status>
      <modifiedWord/>
      <trackRevisions>false</trackRevisions>
    </reviewItem>
    <reviewItem>
      <errorID>49b14e6e-b688-4bf7-9b19-20cad7d3d16b</errorID>
      <errorWord>)</errorWord>
      <group>L1_Format</group>
      <groupName>格式问题</groupName>
      <ability>L2_HalfPunc_CN</ability>
      <abilityName>全半角问题</abilityName>
      <candidateList>
        <item>）</item>
      </candidateList>
      <explain>文本全半角错误。</explain>
      <paraID>1EE851DE</paraID>
      <start>4</start>
      <end>5</end>
      <status>unmodified</status>
      <modifiedWord/>
      <trackRevisions>false</trackRevisions>
    </reviewItem>
    <reviewItem>
      <errorID>26083f27-ab09-4cdc-906d-0e04f3e11814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248498A</paraID>
      <start>0</start>
      <end>3</end>
      <status>unmodified</status>
      <modifiedWord/>
      <trackRevisions>false</trackRevisions>
    </reviewItem>
    <reviewItem>
      <errorID>7c0b6dad-663f-4488-8579-c869537ccd3d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5142016</paraID>
      <start>0</start>
      <end>3</end>
      <status>unmodified</status>
      <modifiedWord/>
      <trackRevisions>false</trackRevisions>
    </reviewItem>
    <reviewItem>
      <errorID>409b8a77-3c45-473d-9baa-c77c3d3a9992</errorID>
      <errorWord>；</errorWord>
      <group>L1_Word</group>
      <groupName>字词问题</groupName>
      <ability>L2_Typo</ability>
      <abilityName>字词错误</abilityName>
      <candidateList>
        <item>；在</item>
      </candidateList>
      <explain/>
      <paraID>3A2C735E</paraID>
      <start>95</start>
      <end>96</end>
      <status>unmodified</status>
      <modifiedWord/>
      <trackRevisions>false</trackRevisions>
    </reviewItem>
    <reviewItem>
      <errorID>05225861-67c9-460d-acc0-912b7474e07b</errorID>
      <errorWord>处置的</errorWord>
      <group>L1_Word</group>
      <groupName>字词问题</groupName>
      <ability>L2_Typo</ability>
      <abilityName>字词错误</abilityName>
      <candidateList>
        <item>处置</item>
      </candidateList>
      <explain/>
      <paraID>4CAC939E</paraID>
      <start>29</start>
      <end>31</end>
      <status>modified</status>
      <modifiedWord>处置</modifiedWord>
      <trackRevisions>false</trackRevisions>
    </reviewItem>
    <reviewItem>
      <errorID>c3669c7c-8411-47f5-9dde-2ab62751dab2</errorID>
      <errorWord>(</errorWord>
      <group>L1_Format</group>
      <groupName>格式问题</groupName>
      <ability>L2_HalfPunc_CN</ability>
      <abilityName>全半角问题</abilityName>
      <candidateList>
        <item>（</item>
      </candidateList>
      <explain>文本全半角错误。</explain>
      <paraID>38D1CBCF</paraID>
      <start>4</start>
      <end>5</end>
      <status>unmodified</status>
      <modifiedWord/>
      <trackRevisions>false</trackRevisions>
    </reviewItem>
    <reviewItem>
      <errorID>5a528d15-922e-4365-944b-7263fefd02a1</errorID>
      <errorWord>)</errorWord>
      <group>L1_Format</group>
      <groupName>格式问题</groupName>
      <ability>L2_HalfPunc_CN</ability>
      <abilityName>全半角问题</abilityName>
      <candidateList>
        <item>）</item>
      </candidateList>
      <explain>文本全半角错误。</explain>
      <paraID>38D1CBCF</paraID>
      <start>9</start>
      <end>10</end>
      <status>unmodified</status>
      <modifiedWord/>
      <trackRevisions>false</trackRevisions>
    </reviewItem>
    <reviewItem>
      <errorID>f87431b2-a69a-4ee8-a4ec-b7b9730e2ee2</errorID>
      <errorWord>拌合站</errorWord>
      <group>L1_Word</group>
      <groupName>字词问题</groupName>
      <ability>L2_Typo</ability>
      <abilityName>字词错误</abilityName>
      <candidateList>
        <item>拌和站</item>
      </candidateList>
      <explain>存在发音相同字词的误用。</explain>
      <paraID>1F09C386</paraID>
      <start>128</start>
      <end>131</end>
      <status>unmodified</status>
      <modifiedWord/>
      <trackRevisions>false</trackRevisions>
    </reviewItem>
    <reviewItem>
      <errorID>2c25b78d-253b-4c99-8246-41c34b780f55</errorID>
      <errorWord>拌合站</errorWord>
      <group>L1_Word</group>
      <groupName>字词问题</groupName>
      <ability>L2_Typo</ability>
      <abilityName>字词错误</abilityName>
      <candidateList>
        <item>拌和站</item>
      </candidateList>
      <explain>存在发音相同字词的误用。</explain>
      <paraID>4874CC37</paraID>
      <start>10</start>
      <end>13</end>
      <status>unmodified</status>
      <modifiedWord/>
      <trackRevisions>false</trackRevisions>
    </reviewItem>
    <reviewItem>
      <errorID>f8d33740-a41d-45db-a99e-1662a314be9e</errorID>
      <errorWord>拌合站</errorWord>
      <group>L1_Word</group>
      <groupName>字词问题</groupName>
      <ability>L2_Typo</ability>
      <abilityName>字词错误</abilityName>
      <candidateList>
        <item>拌和站</item>
      </candidateList>
      <explain/>
      <paraID>43CB41E8</paraID>
      <start>9</start>
      <end>12</end>
      <status>unmodified</status>
      <modifiedWord/>
      <trackRevisions>false</trackRevisions>
    </reviewItem>
    <reviewItem>
      <errorID>5be21bd2-4b13-4a3e-ba92-4e424e13a793</errorID>
      <errorWord>；</errorWord>
      <group>L1_Word</group>
      <groupName>字词问题</groupName>
      <ability>L2_Typo</ability>
      <abilityName>字词错误</abilityName>
      <candidateList>
        <item>；在</item>
      </candidateList>
      <explain/>
      <paraID>4D42565F</paraID>
      <start>32</start>
      <end>33</end>
      <status>unmodified</status>
      <modifiedWord/>
      <trackRevisions>false</trackRevisions>
    </reviewItem>
    <reviewItem>
      <errorID>8f4d51b5-8793-43ba-9d0b-888738ee9159</errorID>
      <errorWord>拌合站</errorWord>
      <group>L1_Word</group>
      <groupName>字词问题</groupName>
      <ability>L2_Typo</ability>
      <abilityName>字词错误</abilityName>
      <candidateList>
        <item>拌和站</item>
      </candidateList>
      <explain/>
      <paraID>3C4EB86D</paraID>
      <start>5</start>
      <end>8</end>
      <status>unmodified</status>
      <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379e3a3-7b84-4ad1-8c82-b94ac2f78b12}">
  <ds:schemaRefs/>
</ds:datastoreItem>
</file>

<file path=customXml/itemProps3.xml><?xml version="1.0" encoding="utf-8"?>
<ds:datastoreItem xmlns:ds="http://schemas.openxmlformats.org/officeDocument/2006/customXml" ds:itemID="{74853AB9-530C-4024-8694-A83924266EC0}">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244</Pages>
  <Words>16557</Words>
  <Characters>18192</Characters>
  <Lines>554</Lines>
  <Paragraphs>155</Paragraphs>
  <TotalTime>0</TotalTime>
  <ScaleCrop>false</ScaleCrop>
  <LinksUpToDate>false</LinksUpToDate>
  <CharactersWithSpaces>18433</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2025-01-08T13:54:00Z</dcterms:created>
  <dc:creator>lhj</dc:creator>
  <cp:lastModifiedBy>GXZ</cp:lastModifiedBy>
  <cp:lastPrinted>2025-02-23T03:14:00Z</cp:lastPrinted>
  <dcterms:modified xsi:type="dcterms:W3CDTF">2026-08-20T05:01:02Z</dcterms:modified>
  <cp:revision>193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KSOTemplateDocerSaveRecord">
    <vt:lpwstr>eyJoZGlkIjoiMDBiOTkwYmViYTBiZWE3ZjA1OGNhZjU5MjRkM2Y5MWQiLCJ1c2VySWQiOiIxMDg0NDk4NDQ0In0=</vt:lpwstr>
  </property>
  <property fmtid="{D5CDD505-2E9C-101B-9397-08002B2CF9AE}" pid="4" name="ICV">
    <vt:lpwstr>1748200DDAB541A7B4F150400D030E58_12</vt:lpwstr>
  </property>
</Properties>
</file>